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0DD7" w:rsidRPr="000A0A5F" w:rsidRDefault="00CB0DD7">
      <w:pPr>
        <w:pStyle w:val="ZA"/>
        <w:framePr w:wrap="notBeside"/>
        <w:rPr>
          <w:rFonts w:hint="eastAsia"/>
          <w:noProof w:val="0"/>
          <w:lang w:eastAsia="ko-KR"/>
        </w:rPr>
      </w:pPr>
      <w:bookmarkStart w:id="0" w:name="page1"/>
      <w:bookmarkStart w:id="1" w:name="_GoBack"/>
      <w:bookmarkEnd w:id="1"/>
      <w:r w:rsidRPr="000A0A5F">
        <w:rPr>
          <w:noProof w:val="0"/>
          <w:sz w:val="64"/>
        </w:rPr>
        <w:t xml:space="preserve">3GPP TS 29.122 </w:t>
      </w:r>
      <w:r w:rsidRPr="000A0A5F">
        <w:rPr>
          <w:noProof w:val="0"/>
        </w:rPr>
        <w:t>V</w:t>
      </w:r>
      <w:r w:rsidRPr="000A0A5F">
        <w:rPr>
          <w:rFonts w:hint="eastAsia"/>
          <w:noProof w:val="0"/>
          <w:lang w:eastAsia="ko-KR"/>
        </w:rPr>
        <w:t>1</w:t>
      </w:r>
      <w:r w:rsidR="009A74B9" w:rsidRPr="000A0A5F">
        <w:rPr>
          <w:noProof w:val="0"/>
          <w:lang w:eastAsia="ko-KR"/>
        </w:rPr>
        <w:t>8</w:t>
      </w:r>
      <w:r w:rsidRPr="000A0A5F">
        <w:rPr>
          <w:noProof w:val="0"/>
        </w:rPr>
        <w:t>.</w:t>
      </w:r>
      <w:r w:rsidR="006E2F19" w:rsidRPr="000A0A5F">
        <w:rPr>
          <w:noProof w:val="0"/>
        </w:rPr>
        <w:t>4</w:t>
      </w:r>
      <w:r w:rsidRPr="000A0A5F">
        <w:rPr>
          <w:noProof w:val="0"/>
        </w:rPr>
        <w:t>.</w:t>
      </w:r>
      <w:r w:rsidRPr="000A0A5F">
        <w:rPr>
          <w:noProof w:val="0"/>
          <w:lang w:eastAsia="ko-KR"/>
        </w:rPr>
        <w:t>0</w:t>
      </w:r>
      <w:r w:rsidRPr="000A0A5F">
        <w:rPr>
          <w:noProof w:val="0"/>
          <w:sz w:val="32"/>
        </w:rPr>
        <w:t xml:space="preserve"> (20</w:t>
      </w:r>
      <w:r w:rsidR="000B0BCC" w:rsidRPr="000A0A5F">
        <w:rPr>
          <w:noProof w:val="0"/>
          <w:sz w:val="32"/>
          <w:lang w:eastAsia="ko-KR"/>
        </w:rPr>
        <w:t>23</w:t>
      </w:r>
      <w:r w:rsidRPr="000A0A5F">
        <w:rPr>
          <w:noProof w:val="0"/>
          <w:sz w:val="32"/>
        </w:rPr>
        <w:t>-</w:t>
      </w:r>
      <w:r w:rsidR="006E2F19" w:rsidRPr="000A0A5F">
        <w:rPr>
          <w:noProof w:val="0"/>
          <w:sz w:val="32"/>
        </w:rPr>
        <w:t>12</w:t>
      </w:r>
      <w:r w:rsidRPr="000A0A5F">
        <w:rPr>
          <w:noProof w:val="0"/>
          <w:sz w:val="32"/>
        </w:rPr>
        <w:t>)</w:t>
      </w:r>
    </w:p>
    <w:p w:rsidR="00CB0DD7" w:rsidRPr="000A0A5F" w:rsidRDefault="00CB0DD7">
      <w:pPr>
        <w:pStyle w:val="ZB"/>
        <w:framePr w:wrap="notBeside"/>
        <w:rPr>
          <w:noProof w:val="0"/>
        </w:rPr>
      </w:pPr>
      <w:r w:rsidRPr="000A0A5F">
        <w:rPr>
          <w:noProof w:val="0"/>
        </w:rPr>
        <w:t>Technical Specification</w:t>
      </w:r>
    </w:p>
    <w:p w:rsidR="00CB0DD7" w:rsidRPr="000A0A5F" w:rsidRDefault="00CB0DD7">
      <w:pPr>
        <w:pStyle w:val="ZT"/>
        <w:framePr w:wrap="notBeside"/>
      </w:pPr>
      <w:r w:rsidRPr="000A0A5F">
        <w:t>3rd Generation Partnership Project;</w:t>
      </w:r>
    </w:p>
    <w:p w:rsidR="00CB0DD7" w:rsidRPr="000A0A5F" w:rsidRDefault="00CB0DD7">
      <w:pPr>
        <w:pStyle w:val="ZT"/>
        <w:framePr w:wrap="notBeside"/>
      </w:pPr>
      <w:r w:rsidRPr="000A0A5F">
        <w:t>Technical Specification Group Core Network and Terminals;</w:t>
      </w:r>
    </w:p>
    <w:p w:rsidR="00CB0DD7" w:rsidRPr="000A0A5F" w:rsidRDefault="00CB0DD7">
      <w:pPr>
        <w:pStyle w:val="ZT"/>
        <w:framePr w:wrap="notBeside"/>
      </w:pPr>
      <w:r w:rsidRPr="000A0A5F">
        <w:t>T8 reference point for Northbound APIs;</w:t>
      </w:r>
    </w:p>
    <w:p w:rsidR="00CB0DD7" w:rsidRPr="000A0A5F" w:rsidRDefault="00CB0DD7">
      <w:pPr>
        <w:pStyle w:val="ZT"/>
        <w:framePr w:wrap="notBeside"/>
      </w:pPr>
      <w:r w:rsidRPr="000A0A5F">
        <w:t>(</w:t>
      </w:r>
      <w:r w:rsidRPr="000A0A5F">
        <w:rPr>
          <w:rStyle w:val="ZGSM"/>
        </w:rPr>
        <w:t xml:space="preserve">Release </w:t>
      </w:r>
      <w:r w:rsidRPr="000A0A5F">
        <w:rPr>
          <w:rStyle w:val="ZGSM"/>
          <w:rFonts w:hint="eastAsia"/>
          <w:lang w:eastAsia="ko-KR"/>
        </w:rPr>
        <w:t>1</w:t>
      </w:r>
      <w:r w:rsidR="009A74B9" w:rsidRPr="000A0A5F">
        <w:rPr>
          <w:rStyle w:val="ZGSM"/>
          <w:lang w:eastAsia="ko-KR"/>
        </w:rPr>
        <w:t>8</w:t>
      </w:r>
      <w:r w:rsidRPr="000A0A5F">
        <w:t>)</w:t>
      </w:r>
    </w:p>
    <w:p w:rsidR="00CB0DD7" w:rsidRPr="000A0A5F" w:rsidRDefault="00CB0DD7">
      <w:pPr>
        <w:pStyle w:val="ZT"/>
        <w:framePr w:wrap="notBeside"/>
        <w:rPr>
          <w:i/>
          <w:sz w:val="28"/>
        </w:rPr>
      </w:pPr>
    </w:p>
    <w:bookmarkStart w:id="2" w:name="_MON_1684549432"/>
    <w:bookmarkEnd w:id="2"/>
    <w:bookmarkStart w:id="3" w:name="_MON_1684549432"/>
    <w:bookmarkEnd w:id="3"/>
    <w:p w:rsidR="00CB0DD7" w:rsidRPr="000A0A5F" w:rsidRDefault="006D0C73">
      <w:pPr>
        <w:pStyle w:val="ZU"/>
        <w:framePr w:wrap="notBeside"/>
        <w:tabs>
          <w:tab w:val="right" w:pos="10206"/>
        </w:tabs>
        <w:jc w:val="left"/>
      </w:pPr>
      <w:r w:rsidRPr="000A0A5F">
        <w:rPr>
          <w:i/>
        </w:rPr>
        <w:object w:dxaOrig="2026" w:dyaOrig="1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15pt;height:58.85pt" o:ole="">
            <v:imagedata r:id="rId8" o:title=""/>
          </v:shape>
          <o:OLEObject Type="Embed" ProgID="Word.Picture.8" ShapeID="_x0000_i1025" DrawAspect="Content" ObjectID="_1771924960" r:id="rId9"/>
        </w:object>
      </w:r>
      <w:r w:rsidR="00CB0DD7" w:rsidRPr="000A0A5F">
        <w:rPr>
          <w:color w:val="0000FF"/>
        </w:rPr>
        <w:tab/>
      </w:r>
      <w:r w:rsidR="00CB0DD7" w:rsidRPr="000A0A5F">
        <w:pict>
          <v:shape id="_x0000_i1026" type="#_x0000_t75" style="width:127.7pt;height:75.15pt">
            <v:imagedata r:id="rId10" o:title="3GPP-logo_web"/>
          </v:shape>
        </w:pict>
      </w:r>
    </w:p>
    <w:p w:rsidR="00CB0DD7" w:rsidRPr="000A0A5F" w:rsidRDefault="00CB0DD7">
      <w:pPr>
        <w:pStyle w:val="ZU"/>
        <w:framePr w:wrap="notBeside"/>
        <w:tabs>
          <w:tab w:val="right" w:pos="10206"/>
        </w:tabs>
        <w:jc w:val="left"/>
        <w:rPr>
          <w:noProof w:val="0"/>
          <w:lang w:eastAsia="ko-KR"/>
        </w:rPr>
      </w:pPr>
    </w:p>
    <w:p w:rsidR="00CB0DD7" w:rsidRPr="000A0A5F" w:rsidRDefault="00CB0DD7">
      <w:pPr>
        <w:framePr w:h="1636" w:hRule="exact" w:wrap="notBeside" w:vAnchor="page" w:hAnchor="margin" w:y="15121"/>
        <w:rPr>
          <w:sz w:val="16"/>
        </w:rPr>
      </w:pPr>
      <w:r w:rsidRPr="000A0A5F">
        <w:rPr>
          <w:sz w:val="16"/>
        </w:rPr>
        <w:t>The present document has been developed within the 3</w:t>
      </w:r>
      <w:r w:rsidRPr="000A0A5F">
        <w:rPr>
          <w:sz w:val="16"/>
          <w:vertAlign w:val="superscript"/>
        </w:rPr>
        <w:t>rd</w:t>
      </w:r>
      <w:r w:rsidRPr="000A0A5F">
        <w:rPr>
          <w:sz w:val="16"/>
        </w:rPr>
        <w:t xml:space="preserve"> Generation Partnership Project (3GPP</w:t>
      </w:r>
      <w:r w:rsidRPr="000A0A5F">
        <w:rPr>
          <w:sz w:val="16"/>
          <w:vertAlign w:val="superscript"/>
        </w:rPr>
        <w:t xml:space="preserve"> TM</w:t>
      </w:r>
      <w:r w:rsidRPr="000A0A5F">
        <w:rPr>
          <w:sz w:val="16"/>
        </w:rPr>
        <w:t>) and may be further elaborated for the purposes of 3GPP.</w:t>
      </w:r>
      <w:r w:rsidRPr="000A0A5F">
        <w:rPr>
          <w:sz w:val="16"/>
        </w:rPr>
        <w:br/>
        <w:t>The present document has not been subject to any approval process by the 3GPP</w:t>
      </w:r>
      <w:r w:rsidRPr="000A0A5F">
        <w:rPr>
          <w:sz w:val="16"/>
          <w:vertAlign w:val="superscript"/>
        </w:rPr>
        <w:t xml:space="preserve"> </w:t>
      </w:r>
      <w:r w:rsidRPr="000A0A5F">
        <w:rPr>
          <w:sz w:val="16"/>
        </w:rPr>
        <w:t>Organizational Partners and shall not be implemented.</w:t>
      </w:r>
      <w:r w:rsidRPr="000A0A5F">
        <w:rPr>
          <w:sz w:val="16"/>
        </w:rPr>
        <w:br/>
        <w:t>This Specification is provided for future development work within 3GPP</w:t>
      </w:r>
      <w:r w:rsidRPr="000A0A5F">
        <w:rPr>
          <w:sz w:val="16"/>
          <w:vertAlign w:val="superscript"/>
        </w:rPr>
        <w:t xml:space="preserve"> </w:t>
      </w:r>
      <w:r w:rsidRPr="000A0A5F">
        <w:rPr>
          <w:sz w:val="16"/>
        </w:rPr>
        <w:t>only. The Organizational Partners accept no liability for any use of this Specification.</w:t>
      </w:r>
      <w:r w:rsidRPr="000A0A5F">
        <w:rPr>
          <w:sz w:val="16"/>
        </w:rPr>
        <w:br/>
        <w:t>Specifications and reports for implementation of the 3GPP</w:t>
      </w:r>
      <w:r w:rsidRPr="000A0A5F">
        <w:rPr>
          <w:sz w:val="16"/>
          <w:vertAlign w:val="superscript"/>
        </w:rPr>
        <w:t xml:space="preserve"> TM</w:t>
      </w:r>
      <w:r w:rsidRPr="000A0A5F">
        <w:rPr>
          <w:sz w:val="16"/>
        </w:rPr>
        <w:t xml:space="preserve"> system should be obtained via the 3GPP Organizational Partners' Publications Offices.</w:t>
      </w:r>
    </w:p>
    <w:p w:rsidR="00CB0DD7" w:rsidRPr="000A0A5F" w:rsidRDefault="00CB0DD7">
      <w:pPr>
        <w:pStyle w:val="ZV"/>
        <w:framePr w:wrap="notBeside"/>
        <w:rPr>
          <w:noProof w:val="0"/>
        </w:rPr>
      </w:pPr>
    </w:p>
    <w:p w:rsidR="00CB0DD7" w:rsidRPr="000A0A5F" w:rsidRDefault="00CB0DD7"/>
    <w:p w:rsidR="00CB0DD7" w:rsidRPr="000A0A5F" w:rsidRDefault="00CB0DD7">
      <w:pPr>
        <w:rPr>
          <w:rFonts w:hint="eastAsia"/>
          <w:lang w:eastAsia="ko-KR"/>
        </w:rPr>
        <w:sectPr w:rsidR="00CB0DD7" w:rsidRPr="000A0A5F">
          <w:footnotePr>
            <w:numRestart w:val="eachSect"/>
          </w:footnotePr>
          <w:pgSz w:w="11907" w:h="16840"/>
          <w:pgMar w:top="2268" w:right="851" w:bottom="10773" w:left="851" w:header="0" w:footer="0" w:gutter="0"/>
          <w:cols w:space="720"/>
        </w:sectPr>
      </w:pPr>
    </w:p>
    <w:p w:rsidR="00CB0DD7" w:rsidRPr="000A0A5F" w:rsidRDefault="00CB0DD7">
      <w:pPr>
        <w:pStyle w:val="FP"/>
        <w:framePr w:wrap="notBeside" w:hAnchor="margin" w:y="1419"/>
        <w:pBdr>
          <w:bottom w:val="single" w:sz="6" w:space="1" w:color="auto"/>
        </w:pBdr>
        <w:spacing w:before="240"/>
        <w:ind w:left="2835" w:right="2835"/>
        <w:jc w:val="center"/>
      </w:pPr>
      <w:bookmarkStart w:id="4" w:name="page2"/>
      <w:bookmarkEnd w:id="0"/>
      <w:r w:rsidRPr="000A0A5F">
        <w:lastRenderedPageBreak/>
        <w:t>Keywords</w:t>
      </w:r>
    </w:p>
    <w:p w:rsidR="00CB0DD7" w:rsidRPr="000A0A5F" w:rsidRDefault="00CB0DD7">
      <w:pPr>
        <w:pStyle w:val="FP"/>
        <w:framePr w:wrap="notBeside" w:hAnchor="margin" w:y="1419"/>
        <w:ind w:left="2835" w:right="2835"/>
        <w:jc w:val="center"/>
        <w:rPr>
          <w:rFonts w:ascii="Arial" w:hAnsi="Arial"/>
          <w:sz w:val="18"/>
        </w:rPr>
      </w:pPr>
      <w:r w:rsidRPr="000A0A5F">
        <w:t>SCEF, SCS/AS, HTTP</w:t>
      </w:r>
    </w:p>
    <w:p w:rsidR="00CB0DD7" w:rsidRPr="000A0A5F" w:rsidRDefault="00CB0DD7"/>
    <w:p w:rsidR="00CB0DD7" w:rsidRPr="000A0A5F" w:rsidRDefault="00CB0DD7">
      <w:pPr>
        <w:pStyle w:val="FP"/>
        <w:framePr w:wrap="notBeside" w:hAnchor="margin" w:yAlign="center"/>
        <w:spacing w:after="240"/>
        <w:ind w:left="2835" w:right="2835"/>
        <w:jc w:val="center"/>
        <w:rPr>
          <w:rFonts w:ascii="Arial" w:hAnsi="Arial"/>
          <w:b/>
          <w:i/>
        </w:rPr>
      </w:pPr>
      <w:r w:rsidRPr="000A0A5F">
        <w:rPr>
          <w:rFonts w:ascii="Arial" w:hAnsi="Arial"/>
          <w:b/>
          <w:i/>
        </w:rPr>
        <w:t>3GPP</w:t>
      </w:r>
    </w:p>
    <w:p w:rsidR="00CB0DD7" w:rsidRPr="000A0A5F" w:rsidRDefault="00CB0DD7">
      <w:pPr>
        <w:pStyle w:val="FP"/>
        <w:framePr w:wrap="notBeside" w:hAnchor="margin" w:yAlign="center"/>
        <w:pBdr>
          <w:bottom w:val="single" w:sz="6" w:space="1" w:color="auto"/>
        </w:pBdr>
        <w:ind w:left="2835" w:right="2835"/>
        <w:jc w:val="center"/>
      </w:pPr>
      <w:r w:rsidRPr="000A0A5F">
        <w:t>Postal address</w:t>
      </w:r>
    </w:p>
    <w:p w:rsidR="00CB0DD7" w:rsidRPr="000A0A5F" w:rsidRDefault="00CB0DD7">
      <w:pPr>
        <w:pStyle w:val="FP"/>
        <w:framePr w:wrap="notBeside" w:hAnchor="margin" w:yAlign="center"/>
        <w:ind w:left="2835" w:right="2835"/>
        <w:jc w:val="center"/>
        <w:rPr>
          <w:rFonts w:ascii="Arial" w:hAnsi="Arial"/>
          <w:sz w:val="18"/>
        </w:rPr>
      </w:pPr>
    </w:p>
    <w:p w:rsidR="00CB0DD7" w:rsidRPr="000A0A5F" w:rsidRDefault="00CB0DD7">
      <w:pPr>
        <w:pStyle w:val="FP"/>
        <w:framePr w:wrap="notBeside" w:hAnchor="margin" w:yAlign="center"/>
        <w:pBdr>
          <w:bottom w:val="single" w:sz="6" w:space="1" w:color="auto"/>
        </w:pBdr>
        <w:spacing w:before="240"/>
        <w:ind w:left="2835" w:right="2835"/>
        <w:jc w:val="center"/>
        <w:rPr>
          <w:lang w:val="en-US"/>
        </w:rPr>
      </w:pPr>
      <w:r w:rsidRPr="000A0A5F">
        <w:rPr>
          <w:lang w:val="en-US"/>
        </w:rPr>
        <w:t>3GPP support office address</w:t>
      </w:r>
    </w:p>
    <w:p w:rsidR="00CB0DD7" w:rsidRPr="000A0A5F" w:rsidRDefault="00CB0DD7">
      <w:pPr>
        <w:pStyle w:val="FP"/>
        <w:framePr w:wrap="notBeside" w:hAnchor="margin" w:yAlign="center"/>
        <w:ind w:left="2835" w:right="2835"/>
        <w:jc w:val="center"/>
        <w:rPr>
          <w:rFonts w:ascii="Arial" w:hAnsi="Arial"/>
          <w:sz w:val="18"/>
          <w:lang w:val="fr-FR"/>
        </w:rPr>
      </w:pPr>
      <w:r w:rsidRPr="000A0A5F">
        <w:rPr>
          <w:rFonts w:ascii="Arial" w:hAnsi="Arial"/>
          <w:sz w:val="18"/>
          <w:lang w:val="fr-FR"/>
        </w:rPr>
        <w:t>650 Route des Lucioles - Sophia Antipolis</w:t>
      </w:r>
    </w:p>
    <w:p w:rsidR="00CB0DD7" w:rsidRPr="000A0A5F" w:rsidRDefault="00CB0DD7">
      <w:pPr>
        <w:pStyle w:val="FP"/>
        <w:framePr w:wrap="notBeside" w:hAnchor="margin" w:yAlign="center"/>
        <w:ind w:left="2835" w:right="2835"/>
        <w:jc w:val="center"/>
        <w:rPr>
          <w:rFonts w:ascii="Arial" w:hAnsi="Arial"/>
          <w:sz w:val="18"/>
          <w:lang w:val="fr-FR" w:eastAsia="ko-KR"/>
        </w:rPr>
      </w:pPr>
      <w:r w:rsidRPr="000A0A5F">
        <w:rPr>
          <w:rFonts w:ascii="Arial" w:hAnsi="Arial"/>
          <w:sz w:val="18"/>
          <w:lang w:val="fr-FR"/>
        </w:rPr>
        <w:t>Valbonne - FRANCE</w:t>
      </w:r>
    </w:p>
    <w:p w:rsidR="00CB0DD7" w:rsidRPr="000A0A5F" w:rsidRDefault="00CB0DD7">
      <w:pPr>
        <w:pStyle w:val="FP"/>
        <w:framePr w:wrap="notBeside" w:hAnchor="margin" w:yAlign="center"/>
        <w:spacing w:after="20"/>
        <w:ind w:left="2835" w:right="2835"/>
        <w:jc w:val="center"/>
        <w:rPr>
          <w:rFonts w:ascii="Arial" w:hAnsi="Arial"/>
          <w:sz w:val="18"/>
        </w:rPr>
      </w:pPr>
      <w:r w:rsidRPr="000A0A5F">
        <w:rPr>
          <w:rFonts w:ascii="Arial" w:hAnsi="Arial"/>
          <w:sz w:val="18"/>
        </w:rPr>
        <w:t>Tel.: +33 4 92 94 42 00 Fax: +33 4 93 65 47 16</w:t>
      </w:r>
    </w:p>
    <w:p w:rsidR="00CB0DD7" w:rsidRPr="000A0A5F" w:rsidRDefault="00CB0DD7">
      <w:pPr>
        <w:pStyle w:val="FP"/>
        <w:framePr w:wrap="notBeside" w:hAnchor="margin" w:yAlign="center"/>
        <w:pBdr>
          <w:bottom w:val="single" w:sz="6" w:space="1" w:color="auto"/>
        </w:pBdr>
        <w:spacing w:before="240"/>
        <w:ind w:left="2835" w:right="2835"/>
        <w:jc w:val="center"/>
      </w:pPr>
      <w:r w:rsidRPr="000A0A5F">
        <w:t>Internet</w:t>
      </w:r>
    </w:p>
    <w:p w:rsidR="00CB0DD7" w:rsidRPr="000A0A5F" w:rsidRDefault="00CB0DD7">
      <w:pPr>
        <w:pStyle w:val="FP"/>
        <w:framePr w:wrap="notBeside" w:hAnchor="margin" w:yAlign="center"/>
        <w:ind w:left="2835" w:right="2835"/>
        <w:jc w:val="center"/>
        <w:rPr>
          <w:rFonts w:ascii="Arial" w:hAnsi="Arial"/>
          <w:sz w:val="18"/>
          <w:lang w:val="en-US"/>
        </w:rPr>
      </w:pPr>
      <w:r w:rsidRPr="000A0A5F">
        <w:rPr>
          <w:rFonts w:ascii="Arial" w:hAnsi="Arial"/>
          <w:sz w:val="18"/>
          <w:lang w:val="en-US"/>
        </w:rPr>
        <w:t>http://www.3gpp.org</w:t>
      </w:r>
    </w:p>
    <w:p w:rsidR="00CB0DD7" w:rsidRPr="000A0A5F" w:rsidRDefault="00CB0DD7"/>
    <w:p w:rsidR="00CB0DD7" w:rsidRPr="000A0A5F" w:rsidRDefault="00CB0DD7">
      <w:pPr>
        <w:pStyle w:val="FP"/>
        <w:framePr w:wrap="notBeside" w:hAnchor="margin" w:yAlign="bottom"/>
        <w:pBdr>
          <w:bottom w:val="single" w:sz="6" w:space="1" w:color="auto"/>
        </w:pBdr>
        <w:spacing w:after="240"/>
        <w:jc w:val="center"/>
        <w:rPr>
          <w:rFonts w:ascii="Arial" w:hAnsi="Arial"/>
          <w:b/>
          <w:i/>
        </w:rPr>
      </w:pPr>
      <w:r w:rsidRPr="000A0A5F">
        <w:rPr>
          <w:rFonts w:ascii="Arial" w:hAnsi="Arial"/>
          <w:b/>
          <w:i/>
        </w:rPr>
        <w:t>Copyright Notification</w:t>
      </w:r>
    </w:p>
    <w:p w:rsidR="00CB0DD7" w:rsidRPr="000A0A5F" w:rsidRDefault="00CB0DD7">
      <w:pPr>
        <w:pStyle w:val="FP"/>
        <w:framePr w:wrap="notBeside" w:hAnchor="margin" w:yAlign="bottom"/>
        <w:jc w:val="center"/>
      </w:pPr>
      <w:r w:rsidRPr="000A0A5F">
        <w:t>No part may be reproduced except as authorized by written permission.</w:t>
      </w:r>
      <w:r w:rsidRPr="000A0A5F">
        <w:br/>
        <w:t>The copyright and the foregoing restriction extend to reproduction in all media.</w:t>
      </w:r>
    </w:p>
    <w:p w:rsidR="00CB0DD7" w:rsidRPr="000A0A5F" w:rsidRDefault="00CB0DD7">
      <w:pPr>
        <w:pStyle w:val="FP"/>
        <w:framePr w:wrap="notBeside" w:hAnchor="margin" w:yAlign="bottom"/>
        <w:jc w:val="center"/>
      </w:pPr>
    </w:p>
    <w:p w:rsidR="00CB0DD7" w:rsidRPr="000A0A5F" w:rsidRDefault="00CB0DD7">
      <w:pPr>
        <w:pStyle w:val="FP"/>
        <w:framePr w:wrap="notBeside" w:hAnchor="margin" w:yAlign="bottom"/>
        <w:jc w:val="center"/>
        <w:rPr>
          <w:sz w:val="18"/>
        </w:rPr>
      </w:pPr>
      <w:r w:rsidRPr="000A0A5F">
        <w:rPr>
          <w:sz w:val="18"/>
        </w:rPr>
        <w:t>©</w:t>
      </w:r>
      <w:bookmarkStart w:id="5" w:name="copyrightaddon"/>
      <w:bookmarkEnd w:id="5"/>
      <w:r w:rsidRPr="000A0A5F">
        <w:rPr>
          <w:sz w:val="18"/>
        </w:rPr>
        <w:t xml:space="preserve"> 20</w:t>
      </w:r>
      <w:r w:rsidRPr="000A0A5F">
        <w:rPr>
          <w:sz w:val="18"/>
          <w:lang w:eastAsia="ko-KR"/>
        </w:rPr>
        <w:t>2</w:t>
      </w:r>
      <w:r w:rsidR="00C72A64" w:rsidRPr="000A0A5F">
        <w:rPr>
          <w:sz w:val="18"/>
          <w:lang w:eastAsia="ko-KR"/>
        </w:rPr>
        <w:t>3</w:t>
      </w:r>
      <w:r w:rsidRPr="000A0A5F">
        <w:rPr>
          <w:sz w:val="18"/>
        </w:rPr>
        <w:t xml:space="preserve">, 3GPP Organizational Partners (ARIB, ATIS, CCSA, ETSI, </w:t>
      </w:r>
      <w:r w:rsidRPr="000A0A5F">
        <w:rPr>
          <w:noProof/>
          <w:sz w:val="18"/>
        </w:rPr>
        <w:t xml:space="preserve">TSDSI, </w:t>
      </w:r>
      <w:r w:rsidRPr="000A0A5F">
        <w:rPr>
          <w:sz w:val="18"/>
        </w:rPr>
        <w:t>TTA, TTC).</w:t>
      </w:r>
    </w:p>
    <w:p w:rsidR="00CB0DD7" w:rsidRPr="000A0A5F" w:rsidRDefault="00CB0DD7">
      <w:pPr>
        <w:pStyle w:val="FP"/>
        <w:framePr w:wrap="notBeside" w:hAnchor="margin" w:yAlign="bottom"/>
        <w:jc w:val="center"/>
        <w:rPr>
          <w:sz w:val="18"/>
          <w:lang w:eastAsia="ko-KR"/>
        </w:rPr>
      </w:pPr>
      <w:r w:rsidRPr="000A0A5F">
        <w:rPr>
          <w:sz w:val="18"/>
        </w:rPr>
        <w:t>All rights reserved.</w:t>
      </w:r>
    </w:p>
    <w:p w:rsidR="00CB0DD7" w:rsidRPr="000A0A5F" w:rsidRDefault="00CB0DD7">
      <w:pPr>
        <w:pStyle w:val="FP"/>
        <w:framePr w:wrap="notBeside" w:hAnchor="margin" w:yAlign="bottom"/>
        <w:rPr>
          <w:noProof/>
          <w:sz w:val="18"/>
          <w:lang w:eastAsia="ko-KR"/>
        </w:rPr>
      </w:pPr>
    </w:p>
    <w:p w:rsidR="00CB0DD7" w:rsidRPr="000A0A5F" w:rsidRDefault="00CB0DD7">
      <w:pPr>
        <w:pStyle w:val="FP"/>
        <w:framePr w:wrap="notBeside" w:hAnchor="margin" w:yAlign="bottom"/>
        <w:rPr>
          <w:noProof/>
          <w:sz w:val="18"/>
        </w:rPr>
      </w:pPr>
      <w:r w:rsidRPr="000A0A5F">
        <w:rPr>
          <w:noProof/>
          <w:sz w:val="18"/>
        </w:rPr>
        <w:t>UMTS™ is a Trade Mark of ETSI registered for the benefit of its members</w:t>
      </w:r>
    </w:p>
    <w:p w:rsidR="00CB0DD7" w:rsidRPr="000A0A5F" w:rsidRDefault="00CB0DD7">
      <w:pPr>
        <w:pStyle w:val="FP"/>
        <w:framePr w:wrap="notBeside" w:hAnchor="margin" w:yAlign="bottom"/>
        <w:rPr>
          <w:noProof/>
          <w:sz w:val="18"/>
        </w:rPr>
      </w:pPr>
      <w:r w:rsidRPr="000A0A5F">
        <w:rPr>
          <w:noProof/>
          <w:sz w:val="18"/>
        </w:rPr>
        <w:t>3GPP™ is a Trade Mark of ETSI registered for the benefit of its Members and of the 3GPP Organizational Partners</w:t>
      </w:r>
      <w:r w:rsidRPr="000A0A5F">
        <w:rPr>
          <w:noProof/>
          <w:sz w:val="18"/>
        </w:rPr>
        <w:br/>
        <w:t>LTE™ is a Trade Mark of ETSI registered for the benefit of its Members and of the 3GPP Organizational Partners</w:t>
      </w:r>
    </w:p>
    <w:p w:rsidR="00CB0DD7" w:rsidRPr="000A0A5F" w:rsidRDefault="00CB0DD7">
      <w:pPr>
        <w:pStyle w:val="FP"/>
        <w:framePr w:wrap="notBeside" w:hAnchor="margin" w:yAlign="bottom"/>
        <w:rPr>
          <w:sz w:val="18"/>
        </w:rPr>
      </w:pPr>
      <w:r w:rsidRPr="000A0A5F">
        <w:rPr>
          <w:noProof/>
          <w:sz w:val="18"/>
        </w:rPr>
        <w:t>GSM® and the GSM logo are registered and owned by the GSM Association</w:t>
      </w:r>
      <w:r w:rsidRPr="000A0A5F">
        <w:rPr>
          <w:sz w:val="18"/>
        </w:rPr>
        <w:br/>
      </w:r>
    </w:p>
    <w:bookmarkEnd w:id="4"/>
    <w:p w:rsidR="00CB0DD7" w:rsidRPr="000A0A5F" w:rsidRDefault="00CB0DD7" w:rsidP="00DD71B9">
      <w:pPr>
        <w:pStyle w:val="TT"/>
      </w:pPr>
      <w:r w:rsidRPr="000A0A5F">
        <w:br w:type="page"/>
      </w:r>
      <w:bookmarkStart w:id="6" w:name="_Toc11247173"/>
      <w:bookmarkStart w:id="7" w:name="_Toc27044289"/>
      <w:bookmarkStart w:id="8" w:name="_Toc36033331"/>
      <w:bookmarkStart w:id="9" w:name="_Toc45131461"/>
      <w:bookmarkStart w:id="10" w:name="_Toc49775746"/>
      <w:bookmarkStart w:id="11" w:name="_Toc51746666"/>
      <w:bookmarkStart w:id="12" w:name="_Toc66360208"/>
      <w:bookmarkStart w:id="13" w:name="_Toc68104713"/>
      <w:bookmarkStart w:id="14" w:name="_Toc74755342"/>
      <w:r w:rsidRPr="000A0A5F">
        <w:t>Contents</w:t>
      </w:r>
      <w:bookmarkEnd w:id="6"/>
      <w:bookmarkEnd w:id="7"/>
      <w:bookmarkEnd w:id="8"/>
      <w:bookmarkEnd w:id="9"/>
      <w:bookmarkEnd w:id="10"/>
      <w:bookmarkEnd w:id="11"/>
      <w:bookmarkEnd w:id="12"/>
      <w:bookmarkEnd w:id="13"/>
      <w:bookmarkEnd w:id="14"/>
    </w:p>
    <w:p w:rsidR="007D56C6" w:rsidRPr="00DD140B" w:rsidRDefault="00765F4D">
      <w:pPr>
        <w:pStyle w:val="TOC1"/>
        <w:rPr>
          <w:rFonts w:ascii="Calibri" w:eastAsia="Malgun Gothic" w:hAnsi="Calibri"/>
          <w:noProof/>
          <w:szCs w:val="22"/>
          <w:lang w:eastAsia="ko-KR"/>
        </w:rPr>
      </w:pPr>
      <w:r w:rsidRPr="000A0A5F">
        <w:fldChar w:fldCharType="begin" w:fldLock="1"/>
      </w:r>
      <w:r w:rsidRPr="000A0A5F">
        <w:instrText xml:space="preserve"> TOC \o "1-9" </w:instrText>
      </w:r>
      <w:r w:rsidRPr="000A0A5F">
        <w:fldChar w:fldCharType="separate"/>
      </w:r>
      <w:r w:rsidR="007D56C6">
        <w:rPr>
          <w:noProof/>
        </w:rPr>
        <w:t>Foreword</w:t>
      </w:r>
      <w:r w:rsidR="007D56C6">
        <w:rPr>
          <w:noProof/>
        </w:rPr>
        <w:tab/>
      </w:r>
      <w:r w:rsidR="007D56C6">
        <w:rPr>
          <w:noProof/>
        </w:rPr>
        <w:fldChar w:fldCharType="begin" w:fldLock="1"/>
      </w:r>
      <w:r w:rsidR="007D56C6">
        <w:rPr>
          <w:noProof/>
        </w:rPr>
        <w:instrText xml:space="preserve"> PAGEREF _Toc153625010 \h </w:instrText>
      </w:r>
      <w:r w:rsidR="007D56C6">
        <w:rPr>
          <w:noProof/>
        </w:rPr>
      </w:r>
      <w:r w:rsidR="007D56C6">
        <w:rPr>
          <w:noProof/>
        </w:rPr>
        <w:fldChar w:fldCharType="separate"/>
      </w:r>
      <w:r w:rsidR="007D56C6">
        <w:rPr>
          <w:noProof/>
        </w:rPr>
        <w:t>20</w:t>
      </w:r>
      <w:r w:rsidR="007D56C6">
        <w:rPr>
          <w:noProof/>
        </w:rPr>
        <w:fldChar w:fldCharType="end"/>
      </w:r>
    </w:p>
    <w:p w:rsidR="007D56C6" w:rsidRPr="00DD140B" w:rsidRDefault="007D56C6">
      <w:pPr>
        <w:pStyle w:val="TOC1"/>
        <w:rPr>
          <w:rFonts w:ascii="Calibri" w:eastAsia="Malgun Gothic" w:hAnsi="Calibri"/>
          <w:noProof/>
          <w:szCs w:val="22"/>
          <w:lang w:eastAsia="ko-KR"/>
        </w:rPr>
      </w:pPr>
      <w:r>
        <w:rPr>
          <w:noProof/>
        </w:rPr>
        <w:t>1</w:t>
      </w:r>
      <w:r w:rsidRPr="00DD140B">
        <w:rPr>
          <w:rFonts w:ascii="Calibri" w:eastAsia="Malgun Gothic" w:hAnsi="Calibri"/>
          <w:noProof/>
          <w:szCs w:val="22"/>
          <w:lang w:eastAsia="ko-KR"/>
        </w:rPr>
        <w:tab/>
      </w:r>
      <w:r>
        <w:rPr>
          <w:noProof/>
        </w:rPr>
        <w:t>Scope</w:t>
      </w:r>
      <w:r>
        <w:rPr>
          <w:noProof/>
        </w:rPr>
        <w:tab/>
      </w:r>
      <w:r>
        <w:rPr>
          <w:noProof/>
        </w:rPr>
        <w:fldChar w:fldCharType="begin" w:fldLock="1"/>
      </w:r>
      <w:r>
        <w:rPr>
          <w:noProof/>
        </w:rPr>
        <w:instrText xml:space="preserve"> PAGEREF _Toc153625011 \h </w:instrText>
      </w:r>
      <w:r>
        <w:rPr>
          <w:noProof/>
        </w:rPr>
      </w:r>
      <w:r>
        <w:rPr>
          <w:noProof/>
        </w:rPr>
        <w:fldChar w:fldCharType="separate"/>
      </w:r>
      <w:r>
        <w:rPr>
          <w:noProof/>
        </w:rPr>
        <w:t>21</w:t>
      </w:r>
      <w:r>
        <w:rPr>
          <w:noProof/>
        </w:rPr>
        <w:fldChar w:fldCharType="end"/>
      </w:r>
    </w:p>
    <w:p w:rsidR="007D56C6" w:rsidRPr="00DD140B" w:rsidRDefault="007D56C6">
      <w:pPr>
        <w:pStyle w:val="TOC1"/>
        <w:rPr>
          <w:rFonts w:ascii="Calibri" w:eastAsia="Malgun Gothic" w:hAnsi="Calibri"/>
          <w:noProof/>
          <w:szCs w:val="22"/>
          <w:lang w:eastAsia="ko-KR"/>
        </w:rPr>
      </w:pPr>
      <w:r>
        <w:rPr>
          <w:noProof/>
        </w:rPr>
        <w:t>2</w:t>
      </w:r>
      <w:r w:rsidRPr="00DD140B">
        <w:rPr>
          <w:rFonts w:ascii="Calibri" w:eastAsia="Malgun Gothic" w:hAnsi="Calibri"/>
          <w:noProof/>
          <w:szCs w:val="22"/>
          <w:lang w:eastAsia="ko-KR"/>
        </w:rPr>
        <w:tab/>
      </w:r>
      <w:r>
        <w:rPr>
          <w:noProof/>
        </w:rPr>
        <w:t>References</w:t>
      </w:r>
      <w:r>
        <w:rPr>
          <w:noProof/>
        </w:rPr>
        <w:tab/>
      </w:r>
      <w:r>
        <w:rPr>
          <w:noProof/>
        </w:rPr>
        <w:fldChar w:fldCharType="begin" w:fldLock="1"/>
      </w:r>
      <w:r>
        <w:rPr>
          <w:noProof/>
        </w:rPr>
        <w:instrText xml:space="preserve"> PAGEREF _Toc153625012 \h </w:instrText>
      </w:r>
      <w:r>
        <w:rPr>
          <w:noProof/>
        </w:rPr>
      </w:r>
      <w:r>
        <w:rPr>
          <w:noProof/>
        </w:rPr>
        <w:fldChar w:fldCharType="separate"/>
      </w:r>
      <w:r>
        <w:rPr>
          <w:noProof/>
        </w:rPr>
        <w:t>21</w:t>
      </w:r>
      <w:r>
        <w:rPr>
          <w:noProof/>
        </w:rPr>
        <w:fldChar w:fldCharType="end"/>
      </w:r>
    </w:p>
    <w:p w:rsidR="007D56C6" w:rsidRPr="00DD140B" w:rsidRDefault="007D56C6">
      <w:pPr>
        <w:pStyle w:val="TOC1"/>
        <w:rPr>
          <w:rFonts w:ascii="Calibri" w:eastAsia="Malgun Gothic" w:hAnsi="Calibri"/>
          <w:noProof/>
          <w:szCs w:val="22"/>
          <w:lang w:eastAsia="ko-KR"/>
        </w:rPr>
      </w:pPr>
      <w:r>
        <w:rPr>
          <w:noProof/>
        </w:rPr>
        <w:t>3</w:t>
      </w:r>
      <w:r w:rsidRPr="00DD140B">
        <w:rPr>
          <w:rFonts w:ascii="Calibri" w:eastAsia="Malgun Gothic" w:hAnsi="Calibri"/>
          <w:noProof/>
          <w:szCs w:val="22"/>
          <w:lang w:eastAsia="ko-KR"/>
        </w:rPr>
        <w:tab/>
      </w:r>
      <w:r>
        <w:rPr>
          <w:noProof/>
        </w:rPr>
        <w:t>Definitions</w:t>
      </w:r>
      <w:r>
        <w:rPr>
          <w:noProof/>
          <w:lang w:eastAsia="zh-CN"/>
        </w:rPr>
        <w:t xml:space="preserve"> </w:t>
      </w:r>
      <w:r>
        <w:rPr>
          <w:noProof/>
        </w:rPr>
        <w:t>and abbreviations</w:t>
      </w:r>
      <w:r>
        <w:rPr>
          <w:noProof/>
        </w:rPr>
        <w:tab/>
      </w:r>
      <w:r>
        <w:rPr>
          <w:noProof/>
        </w:rPr>
        <w:fldChar w:fldCharType="begin" w:fldLock="1"/>
      </w:r>
      <w:r>
        <w:rPr>
          <w:noProof/>
        </w:rPr>
        <w:instrText xml:space="preserve"> PAGEREF _Toc153625013 \h </w:instrText>
      </w:r>
      <w:r>
        <w:rPr>
          <w:noProof/>
        </w:rPr>
      </w:r>
      <w:r>
        <w:rPr>
          <w:noProof/>
        </w:rPr>
        <w:fldChar w:fldCharType="separate"/>
      </w:r>
      <w:r>
        <w:rPr>
          <w:noProof/>
        </w:rPr>
        <w:t>23</w:t>
      </w:r>
      <w:r>
        <w:rPr>
          <w:noProof/>
        </w:rPr>
        <w:fldChar w:fldCharType="end"/>
      </w:r>
    </w:p>
    <w:p w:rsidR="007D56C6" w:rsidRPr="00DD140B" w:rsidRDefault="007D56C6">
      <w:pPr>
        <w:pStyle w:val="TOC2"/>
        <w:rPr>
          <w:rFonts w:ascii="Calibri" w:eastAsia="Malgun Gothic" w:hAnsi="Calibri"/>
          <w:noProof/>
          <w:sz w:val="22"/>
          <w:szCs w:val="22"/>
          <w:lang w:eastAsia="ko-KR"/>
        </w:rPr>
      </w:pPr>
      <w:r>
        <w:rPr>
          <w:noProof/>
        </w:rPr>
        <w:t>3.1</w:t>
      </w:r>
      <w:r w:rsidRPr="00DD140B">
        <w:rPr>
          <w:rFonts w:ascii="Calibri" w:eastAsia="Malgun Gothic" w:hAnsi="Calibri"/>
          <w:noProof/>
          <w:sz w:val="22"/>
          <w:szCs w:val="22"/>
          <w:lang w:eastAsia="ko-KR"/>
        </w:rPr>
        <w:tab/>
      </w:r>
      <w:r>
        <w:rPr>
          <w:noProof/>
        </w:rPr>
        <w:t>Definitions</w:t>
      </w:r>
      <w:r>
        <w:rPr>
          <w:noProof/>
        </w:rPr>
        <w:tab/>
      </w:r>
      <w:r>
        <w:rPr>
          <w:noProof/>
        </w:rPr>
        <w:fldChar w:fldCharType="begin" w:fldLock="1"/>
      </w:r>
      <w:r>
        <w:rPr>
          <w:noProof/>
        </w:rPr>
        <w:instrText xml:space="preserve"> PAGEREF _Toc153625014 \h </w:instrText>
      </w:r>
      <w:r>
        <w:rPr>
          <w:noProof/>
        </w:rPr>
      </w:r>
      <w:r>
        <w:rPr>
          <w:noProof/>
        </w:rPr>
        <w:fldChar w:fldCharType="separate"/>
      </w:r>
      <w:r>
        <w:rPr>
          <w:noProof/>
        </w:rPr>
        <w:t>23</w:t>
      </w:r>
      <w:r>
        <w:rPr>
          <w:noProof/>
        </w:rPr>
        <w:fldChar w:fldCharType="end"/>
      </w:r>
    </w:p>
    <w:p w:rsidR="007D56C6" w:rsidRPr="00DD140B" w:rsidRDefault="007D56C6">
      <w:pPr>
        <w:pStyle w:val="TOC2"/>
        <w:rPr>
          <w:rFonts w:ascii="Calibri" w:eastAsia="Malgun Gothic" w:hAnsi="Calibri"/>
          <w:noProof/>
          <w:sz w:val="22"/>
          <w:szCs w:val="22"/>
          <w:lang w:eastAsia="ko-KR"/>
        </w:rPr>
      </w:pPr>
      <w:r>
        <w:rPr>
          <w:noProof/>
        </w:rPr>
        <w:t>3.2</w:t>
      </w:r>
      <w:r w:rsidRPr="00DD140B">
        <w:rPr>
          <w:rFonts w:ascii="Calibri" w:eastAsia="Malgun Gothic" w:hAnsi="Calibri"/>
          <w:noProof/>
          <w:sz w:val="22"/>
          <w:szCs w:val="22"/>
          <w:lang w:eastAsia="ko-KR"/>
        </w:rPr>
        <w:tab/>
      </w:r>
      <w:r>
        <w:rPr>
          <w:noProof/>
        </w:rPr>
        <w:t>Abbreviations</w:t>
      </w:r>
      <w:r>
        <w:rPr>
          <w:noProof/>
        </w:rPr>
        <w:tab/>
      </w:r>
      <w:r>
        <w:rPr>
          <w:noProof/>
        </w:rPr>
        <w:fldChar w:fldCharType="begin" w:fldLock="1"/>
      </w:r>
      <w:r>
        <w:rPr>
          <w:noProof/>
        </w:rPr>
        <w:instrText xml:space="preserve"> PAGEREF _Toc153625015 \h </w:instrText>
      </w:r>
      <w:r>
        <w:rPr>
          <w:noProof/>
        </w:rPr>
      </w:r>
      <w:r>
        <w:rPr>
          <w:noProof/>
        </w:rPr>
        <w:fldChar w:fldCharType="separate"/>
      </w:r>
      <w:r>
        <w:rPr>
          <w:noProof/>
        </w:rPr>
        <w:t>23</w:t>
      </w:r>
      <w:r>
        <w:rPr>
          <w:noProof/>
        </w:rPr>
        <w:fldChar w:fldCharType="end"/>
      </w:r>
    </w:p>
    <w:p w:rsidR="007D56C6" w:rsidRPr="00DD140B" w:rsidRDefault="007D56C6">
      <w:pPr>
        <w:pStyle w:val="TOC1"/>
        <w:rPr>
          <w:rFonts w:ascii="Calibri" w:eastAsia="Malgun Gothic" w:hAnsi="Calibri"/>
          <w:noProof/>
          <w:szCs w:val="22"/>
          <w:lang w:eastAsia="ko-KR"/>
        </w:rPr>
      </w:pPr>
      <w:r w:rsidRPr="00677085">
        <w:rPr>
          <w:rFonts w:eastAsia="Times New Roman"/>
          <w:noProof/>
        </w:rPr>
        <w:t>4</w:t>
      </w:r>
      <w:r w:rsidRPr="00DD140B">
        <w:rPr>
          <w:rFonts w:ascii="Calibri" w:eastAsia="Malgun Gothic" w:hAnsi="Calibri"/>
          <w:noProof/>
          <w:szCs w:val="22"/>
          <w:lang w:eastAsia="ko-KR"/>
        </w:rPr>
        <w:tab/>
      </w:r>
      <w:r w:rsidRPr="00677085">
        <w:rPr>
          <w:rFonts w:eastAsia="Times New Roman"/>
          <w:noProof/>
        </w:rPr>
        <w:t>T8 reference point</w:t>
      </w:r>
      <w:r>
        <w:rPr>
          <w:noProof/>
        </w:rPr>
        <w:tab/>
      </w:r>
      <w:r>
        <w:rPr>
          <w:noProof/>
        </w:rPr>
        <w:fldChar w:fldCharType="begin" w:fldLock="1"/>
      </w:r>
      <w:r>
        <w:rPr>
          <w:noProof/>
        </w:rPr>
        <w:instrText xml:space="preserve"> PAGEREF _Toc153625016 \h </w:instrText>
      </w:r>
      <w:r>
        <w:rPr>
          <w:noProof/>
        </w:rPr>
      </w:r>
      <w:r>
        <w:rPr>
          <w:noProof/>
        </w:rPr>
        <w:fldChar w:fldCharType="separate"/>
      </w:r>
      <w:r>
        <w:rPr>
          <w:noProof/>
        </w:rPr>
        <w:t>24</w:t>
      </w:r>
      <w:r>
        <w:rPr>
          <w:noProof/>
        </w:rPr>
        <w:fldChar w:fldCharType="end"/>
      </w:r>
    </w:p>
    <w:p w:rsidR="007D56C6" w:rsidRPr="00DD140B" w:rsidRDefault="007D56C6">
      <w:pPr>
        <w:pStyle w:val="TOC2"/>
        <w:rPr>
          <w:rFonts w:ascii="Calibri" w:eastAsia="Malgun Gothic" w:hAnsi="Calibri"/>
          <w:noProof/>
          <w:sz w:val="22"/>
          <w:szCs w:val="22"/>
          <w:lang w:eastAsia="ko-KR"/>
        </w:rPr>
      </w:pPr>
      <w:r>
        <w:rPr>
          <w:noProof/>
        </w:rPr>
        <w:t>4.</w:t>
      </w:r>
      <w:r>
        <w:rPr>
          <w:noProof/>
          <w:lang w:eastAsia="zh-CN"/>
        </w:rPr>
        <w:t>1</w:t>
      </w:r>
      <w:r w:rsidRPr="00DD140B">
        <w:rPr>
          <w:rFonts w:ascii="Calibri" w:eastAsia="Malgun Gothic" w:hAnsi="Calibri"/>
          <w:noProof/>
          <w:sz w:val="22"/>
          <w:szCs w:val="22"/>
          <w:lang w:eastAsia="ko-KR"/>
        </w:rPr>
        <w:tab/>
      </w:r>
      <w:r>
        <w:rPr>
          <w:noProof/>
          <w:lang w:eastAsia="zh-CN"/>
        </w:rPr>
        <w:t>Overview</w:t>
      </w:r>
      <w:r>
        <w:rPr>
          <w:noProof/>
        </w:rPr>
        <w:tab/>
      </w:r>
      <w:r>
        <w:rPr>
          <w:noProof/>
        </w:rPr>
        <w:fldChar w:fldCharType="begin" w:fldLock="1"/>
      </w:r>
      <w:r>
        <w:rPr>
          <w:noProof/>
        </w:rPr>
        <w:instrText xml:space="preserve"> PAGEREF _Toc153625017 \h </w:instrText>
      </w:r>
      <w:r>
        <w:rPr>
          <w:noProof/>
        </w:rPr>
      </w:r>
      <w:r>
        <w:rPr>
          <w:noProof/>
        </w:rPr>
        <w:fldChar w:fldCharType="separate"/>
      </w:r>
      <w:r>
        <w:rPr>
          <w:noProof/>
        </w:rPr>
        <w:t>24</w:t>
      </w:r>
      <w:r>
        <w:rPr>
          <w:noProof/>
        </w:rPr>
        <w:fldChar w:fldCharType="end"/>
      </w:r>
    </w:p>
    <w:p w:rsidR="007D56C6" w:rsidRPr="00DD140B" w:rsidRDefault="007D56C6">
      <w:pPr>
        <w:pStyle w:val="TOC2"/>
        <w:rPr>
          <w:rFonts w:ascii="Calibri" w:eastAsia="Malgun Gothic" w:hAnsi="Calibri"/>
          <w:noProof/>
          <w:sz w:val="22"/>
          <w:szCs w:val="22"/>
          <w:lang w:eastAsia="ko-KR"/>
        </w:rPr>
      </w:pPr>
      <w:r>
        <w:rPr>
          <w:noProof/>
        </w:rPr>
        <w:t>4.2</w:t>
      </w:r>
      <w:r w:rsidRPr="00DD140B">
        <w:rPr>
          <w:rFonts w:ascii="Calibri" w:eastAsia="Malgun Gothic" w:hAnsi="Calibri"/>
          <w:noProof/>
          <w:sz w:val="22"/>
          <w:szCs w:val="22"/>
          <w:lang w:eastAsia="ko-KR"/>
        </w:rPr>
        <w:tab/>
      </w:r>
      <w:r>
        <w:rPr>
          <w:noProof/>
        </w:rPr>
        <w:t>Reference model</w:t>
      </w:r>
      <w:r>
        <w:rPr>
          <w:noProof/>
        </w:rPr>
        <w:tab/>
      </w:r>
      <w:r>
        <w:rPr>
          <w:noProof/>
        </w:rPr>
        <w:fldChar w:fldCharType="begin" w:fldLock="1"/>
      </w:r>
      <w:r>
        <w:rPr>
          <w:noProof/>
        </w:rPr>
        <w:instrText xml:space="preserve"> PAGEREF _Toc153625018 \h </w:instrText>
      </w:r>
      <w:r>
        <w:rPr>
          <w:noProof/>
        </w:rPr>
      </w:r>
      <w:r>
        <w:rPr>
          <w:noProof/>
        </w:rPr>
        <w:fldChar w:fldCharType="separate"/>
      </w:r>
      <w:r>
        <w:rPr>
          <w:noProof/>
        </w:rPr>
        <w:t>25</w:t>
      </w:r>
      <w:r>
        <w:rPr>
          <w:noProof/>
        </w:rPr>
        <w:fldChar w:fldCharType="end"/>
      </w:r>
    </w:p>
    <w:p w:rsidR="007D56C6" w:rsidRPr="00DD140B" w:rsidRDefault="007D56C6">
      <w:pPr>
        <w:pStyle w:val="TOC2"/>
        <w:rPr>
          <w:rFonts w:ascii="Calibri" w:eastAsia="Malgun Gothic" w:hAnsi="Calibri"/>
          <w:noProof/>
          <w:sz w:val="22"/>
          <w:szCs w:val="22"/>
          <w:lang w:eastAsia="ko-KR"/>
        </w:rPr>
      </w:pPr>
      <w:r w:rsidRPr="00677085">
        <w:rPr>
          <w:noProof/>
          <w:lang w:val="en-US"/>
        </w:rPr>
        <w:t>4.</w:t>
      </w:r>
      <w:r w:rsidRPr="00677085">
        <w:rPr>
          <w:noProof/>
          <w:lang w:val="en-US" w:eastAsia="zh-CN"/>
        </w:rPr>
        <w:t>3</w:t>
      </w:r>
      <w:r w:rsidRPr="00DD140B">
        <w:rPr>
          <w:rFonts w:ascii="Calibri" w:eastAsia="Malgun Gothic" w:hAnsi="Calibri"/>
          <w:noProof/>
          <w:sz w:val="22"/>
          <w:szCs w:val="22"/>
          <w:lang w:eastAsia="ko-KR"/>
        </w:rPr>
        <w:tab/>
      </w:r>
      <w:r w:rsidRPr="00677085">
        <w:rPr>
          <w:noProof/>
          <w:lang w:val="en-US"/>
        </w:rPr>
        <w:t>Functional elements</w:t>
      </w:r>
      <w:r>
        <w:rPr>
          <w:noProof/>
        </w:rPr>
        <w:tab/>
      </w:r>
      <w:r>
        <w:rPr>
          <w:noProof/>
        </w:rPr>
        <w:fldChar w:fldCharType="begin" w:fldLock="1"/>
      </w:r>
      <w:r>
        <w:rPr>
          <w:noProof/>
        </w:rPr>
        <w:instrText xml:space="preserve"> PAGEREF _Toc153625019 \h </w:instrText>
      </w:r>
      <w:r>
        <w:rPr>
          <w:noProof/>
        </w:rPr>
      </w:r>
      <w:r>
        <w:rPr>
          <w:noProof/>
        </w:rPr>
        <w:fldChar w:fldCharType="separate"/>
      </w:r>
      <w:r>
        <w:rPr>
          <w:noProof/>
        </w:rPr>
        <w:t>25</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4.</w:t>
      </w:r>
      <w:r>
        <w:rPr>
          <w:noProof/>
          <w:lang w:eastAsia="zh-CN"/>
        </w:rPr>
        <w:t>3</w:t>
      </w:r>
      <w:r>
        <w:rPr>
          <w:noProof/>
        </w:rPr>
        <w:t>.1</w:t>
      </w:r>
      <w:r w:rsidRPr="00DD140B">
        <w:rPr>
          <w:rFonts w:ascii="Calibri" w:eastAsia="Malgun Gothic" w:hAnsi="Calibri"/>
          <w:noProof/>
          <w:sz w:val="22"/>
          <w:szCs w:val="22"/>
          <w:lang w:eastAsia="ko-KR"/>
        </w:rPr>
        <w:tab/>
      </w:r>
      <w:r>
        <w:rPr>
          <w:noProof/>
          <w:lang w:eastAsia="zh-CN"/>
        </w:rPr>
        <w:t>SCEF</w:t>
      </w:r>
      <w:r>
        <w:rPr>
          <w:noProof/>
        </w:rPr>
        <w:tab/>
      </w:r>
      <w:r>
        <w:rPr>
          <w:noProof/>
        </w:rPr>
        <w:fldChar w:fldCharType="begin" w:fldLock="1"/>
      </w:r>
      <w:r>
        <w:rPr>
          <w:noProof/>
        </w:rPr>
        <w:instrText xml:space="preserve"> PAGEREF _Toc153625020 \h </w:instrText>
      </w:r>
      <w:r>
        <w:rPr>
          <w:noProof/>
        </w:rPr>
      </w:r>
      <w:r>
        <w:rPr>
          <w:noProof/>
        </w:rPr>
        <w:fldChar w:fldCharType="separate"/>
      </w:r>
      <w:r>
        <w:rPr>
          <w:noProof/>
        </w:rPr>
        <w:t>25</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4.</w:t>
      </w:r>
      <w:r>
        <w:rPr>
          <w:noProof/>
          <w:lang w:eastAsia="zh-CN"/>
        </w:rPr>
        <w:t>3</w:t>
      </w:r>
      <w:r>
        <w:rPr>
          <w:noProof/>
        </w:rPr>
        <w:t>.2</w:t>
      </w:r>
      <w:r w:rsidRPr="00DD140B">
        <w:rPr>
          <w:rFonts w:ascii="Calibri" w:eastAsia="Malgun Gothic" w:hAnsi="Calibri"/>
          <w:noProof/>
          <w:sz w:val="22"/>
          <w:szCs w:val="22"/>
          <w:lang w:eastAsia="ko-KR"/>
        </w:rPr>
        <w:tab/>
      </w:r>
      <w:r>
        <w:rPr>
          <w:noProof/>
          <w:lang w:eastAsia="zh-CN"/>
        </w:rPr>
        <w:t>SCS/AS</w:t>
      </w:r>
      <w:r>
        <w:rPr>
          <w:noProof/>
        </w:rPr>
        <w:tab/>
      </w:r>
      <w:r>
        <w:rPr>
          <w:noProof/>
        </w:rPr>
        <w:fldChar w:fldCharType="begin" w:fldLock="1"/>
      </w:r>
      <w:r>
        <w:rPr>
          <w:noProof/>
        </w:rPr>
        <w:instrText xml:space="preserve"> PAGEREF _Toc153625021 \h </w:instrText>
      </w:r>
      <w:r>
        <w:rPr>
          <w:noProof/>
        </w:rPr>
      </w:r>
      <w:r>
        <w:rPr>
          <w:noProof/>
        </w:rPr>
        <w:fldChar w:fldCharType="separate"/>
      </w:r>
      <w:r>
        <w:rPr>
          <w:noProof/>
        </w:rPr>
        <w:t>26</w:t>
      </w:r>
      <w:r>
        <w:rPr>
          <w:noProof/>
        </w:rPr>
        <w:fldChar w:fldCharType="end"/>
      </w:r>
    </w:p>
    <w:p w:rsidR="007D56C6" w:rsidRPr="00DD140B" w:rsidRDefault="007D56C6">
      <w:pPr>
        <w:pStyle w:val="TOC2"/>
        <w:rPr>
          <w:rFonts w:ascii="Calibri" w:eastAsia="Malgun Gothic" w:hAnsi="Calibri"/>
          <w:noProof/>
          <w:sz w:val="22"/>
          <w:szCs w:val="22"/>
          <w:lang w:eastAsia="ko-KR"/>
        </w:rPr>
      </w:pPr>
      <w:r w:rsidRPr="00677085">
        <w:rPr>
          <w:noProof/>
          <w:lang w:val="en-US"/>
        </w:rPr>
        <w:t>4.</w:t>
      </w:r>
      <w:r w:rsidRPr="00677085">
        <w:rPr>
          <w:noProof/>
          <w:lang w:val="en-US" w:eastAsia="zh-CN"/>
        </w:rPr>
        <w:t>4</w:t>
      </w:r>
      <w:r w:rsidRPr="00DD140B">
        <w:rPr>
          <w:rFonts w:ascii="Calibri" w:eastAsia="Malgun Gothic" w:hAnsi="Calibri"/>
          <w:noProof/>
          <w:sz w:val="22"/>
          <w:szCs w:val="22"/>
          <w:lang w:eastAsia="ko-KR"/>
        </w:rPr>
        <w:tab/>
      </w:r>
      <w:r w:rsidRPr="00677085">
        <w:rPr>
          <w:noProof/>
          <w:lang w:val="en-US" w:eastAsia="zh-CN"/>
        </w:rPr>
        <w:t>Procedures over T8 reference point</w:t>
      </w:r>
      <w:r>
        <w:rPr>
          <w:noProof/>
        </w:rPr>
        <w:tab/>
      </w:r>
      <w:r>
        <w:rPr>
          <w:noProof/>
        </w:rPr>
        <w:fldChar w:fldCharType="begin" w:fldLock="1"/>
      </w:r>
      <w:r>
        <w:rPr>
          <w:noProof/>
        </w:rPr>
        <w:instrText xml:space="preserve"> PAGEREF _Toc153625022 \h </w:instrText>
      </w:r>
      <w:r>
        <w:rPr>
          <w:noProof/>
        </w:rPr>
      </w:r>
      <w:r>
        <w:rPr>
          <w:noProof/>
        </w:rPr>
        <w:fldChar w:fldCharType="separate"/>
      </w:r>
      <w:r>
        <w:rPr>
          <w:noProof/>
        </w:rPr>
        <w:t>26</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4.</w:t>
      </w:r>
      <w:r>
        <w:rPr>
          <w:noProof/>
          <w:lang w:eastAsia="zh-CN"/>
        </w:rPr>
        <w:t>4</w:t>
      </w:r>
      <w:r>
        <w:rPr>
          <w:noProof/>
        </w:rPr>
        <w:t>.1</w:t>
      </w:r>
      <w:r w:rsidRPr="00DD140B">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_Toc153625023 \h </w:instrText>
      </w:r>
      <w:r>
        <w:rPr>
          <w:noProof/>
        </w:rPr>
      </w:r>
      <w:r>
        <w:rPr>
          <w:noProof/>
        </w:rPr>
        <w:fldChar w:fldCharType="separate"/>
      </w:r>
      <w:r>
        <w:rPr>
          <w:noProof/>
        </w:rPr>
        <w:t>26</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4.</w:t>
      </w:r>
      <w:r>
        <w:rPr>
          <w:noProof/>
          <w:lang w:eastAsia="zh-CN"/>
        </w:rPr>
        <w:t>4</w:t>
      </w:r>
      <w:r>
        <w:rPr>
          <w:noProof/>
        </w:rPr>
        <w:t>.2</w:t>
      </w:r>
      <w:r w:rsidRPr="00DD140B">
        <w:rPr>
          <w:rFonts w:ascii="Calibri" w:eastAsia="Malgun Gothic" w:hAnsi="Calibri"/>
          <w:noProof/>
          <w:sz w:val="22"/>
          <w:szCs w:val="22"/>
          <w:lang w:eastAsia="ko-KR"/>
        </w:rPr>
        <w:tab/>
      </w:r>
      <w:r>
        <w:rPr>
          <w:noProof/>
        </w:rPr>
        <w:t>Monitoring Procedures</w:t>
      </w:r>
      <w:r>
        <w:rPr>
          <w:noProof/>
        </w:rPr>
        <w:tab/>
      </w:r>
      <w:r>
        <w:rPr>
          <w:noProof/>
        </w:rPr>
        <w:fldChar w:fldCharType="begin" w:fldLock="1"/>
      </w:r>
      <w:r>
        <w:rPr>
          <w:noProof/>
        </w:rPr>
        <w:instrText xml:space="preserve"> PAGEREF _Toc153625024 \h </w:instrText>
      </w:r>
      <w:r>
        <w:rPr>
          <w:noProof/>
        </w:rPr>
      </w:r>
      <w:r>
        <w:rPr>
          <w:noProof/>
        </w:rPr>
        <w:fldChar w:fldCharType="separate"/>
      </w:r>
      <w:r>
        <w:rPr>
          <w:noProof/>
        </w:rPr>
        <w:t>26</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4.4.2.1</w:t>
      </w:r>
      <w:r w:rsidRPr="00DD140B">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_Toc153625025 \h </w:instrText>
      </w:r>
      <w:r>
        <w:rPr>
          <w:noProof/>
        </w:rPr>
      </w:r>
      <w:r>
        <w:rPr>
          <w:noProof/>
        </w:rPr>
        <w:fldChar w:fldCharType="separate"/>
      </w:r>
      <w:r>
        <w:rPr>
          <w:noProof/>
        </w:rPr>
        <w:t>26</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4.4.2.2</w:t>
      </w:r>
      <w:r w:rsidRPr="00DD140B">
        <w:rPr>
          <w:rFonts w:ascii="Calibri" w:eastAsia="Malgun Gothic" w:hAnsi="Calibri"/>
          <w:noProof/>
          <w:sz w:val="22"/>
          <w:szCs w:val="22"/>
          <w:lang w:eastAsia="ko-KR"/>
        </w:rPr>
        <w:tab/>
      </w:r>
      <w:r>
        <w:rPr>
          <w:noProof/>
        </w:rPr>
        <w:t>Monitoring Events Configuration</w:t>
      </w:r>
      <w:r>
        <w:rPr>
          <w:noProof/>
        </w:rPr>
        <w:tab/>
      </w:r>
      <w:r>
        <w:rPr>
          <w:noProof/>
        </w:rPr>
        <w:fldChar w:fldCharType="begin" w:fldLock="1"/>
      </w:r>
      <w:r>
        <w:rPr>
          <w:noProof/>
        </w:rPr>
        <w:instrText xml:space="preserve"> PAGEREF _Toc153625026 \h </w:instrText>
      </w:r>
      <w:r>
        <w:rPr>
          <w:noProof/>
        </w:rPr>
      </w:r>
      <w:r>
        <w:rPr>
          <w:noProof/>
        </w:rPr>
        <w:fldChar w:fldCharType="separate"/>
      </w:r>
      <w:r>
        <w:rPr>
          <w:noProof/>
        </w:rPr>
        <w:t>26</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4.4.2.2.1</w:t>
      </w:r>
      <w:r w:rsidRPr="00DD140B">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_Toc153625027 \h </w:instrText>
      </w:r>
      <w:r>
        <w:rPr>
          <w:noProof/>
        </w:rPr>
      </w:r>
      <w:r>
        <w:rPr>
          <w:noProof/>
        </w:rPr>
        <w:fldChar w:fldCharType="separate"/>
      </w:r>
      <w:r>
        <w:rPr>
          <w:noProof/>
        </w:rPr>
        <w:t>26</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4.4.2.2.2</w:t>
      </w:r>
      <w:r w:rsidRPr="00DD140B">
        <w:rPr>
          <w:rFonts w:ascii="Calibri" w:eastAsia="Malgun Gothic" w:hAnsi="Calibri"/>
          <w:noProof/>
          <w:sz w:val="22"/>
          <w:szCs w:val="22"/>
          <w:lang w:eastAsia="ko-KR"/>
        </w:rPr>
        <w:tab/>
      </w:r>
      <w:r>
        <w:rPr>
          <w:noProof/>
        </w:rPr>
        <w:t>Monitoring Events Configuration via HSS</w:t>
      </w:r>
      <w:r>
        <w:rPr>
          <w:noProof/>
        </w:rPr>
        <w:tab/>
      </w:r>
      <w:r>
        <w:rPr>
          <w:noProof/>
        </w:rPr>
        <w:fldChar w:fldCharType="begin" w:fldLock="1"/>
      </w:r>
      <w:r>
        <w:rPr>
          <w:noProof/>
        </w:rPr>
        <w:instrText xml:space="preserve"> PAGEREF _Toc153625028 \h </w:instrText>
      </w:r>
      <w:r>
        <w:rPr>
          <w:noProof/>
        </w:rPr>
      </w:r>
      <w:r>
        <w:rPr>
          <w:noProof/>
        </w:rPr>
        <w:fldChar w:fldCharType="separate"/>
      </w:r>
      <w:r>
        <w:rPr>
          <w:noProof/>
        </w:rPr>
        <w:t>28</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4.4.2.2.2.1</w:t>
      </w:r>
      <w:r w:rsidRPr="00DD140B">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_Toc153625029 \h </w:instrText>
      </w:r>
      <w:r>
        <w:rPr>
          <w:noProof/>
        </w:rPr>
      </w:r>
      <w:r>
        <w:rPr>
          <w:noProof/>
        </w:rPr>
        <w:fldChar w:fldCharType="separate"/>
      </w:r>
      <w:r>
        <w:rPr>
          <w:noProof/>
        </w:rPr>
        <w:t>28</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4.</w:t>
      </w:r>
      <w:r>
        <w:rPr>
          <w:noProof/>
          <w:lang w:eastAsia="zh-CN"/>
        </w:rPr>
        <w:t>4</w:t>
      </w:r>
      <w:r>
        <w:rPr>
          <w:noProof/>
        </w:rPr>
        <w:t>.2.2.2.2</w:t>
      </w:r>
      <w:r w:rsidRPr="00DD140B">
        <w:rPr>
          <w:rFonts w:ascii="Calibri" w:eastAsia="Malgun Gothic" w:hAnsi="Calibri"/>
          <w:noProof/>
          <w:sz w:val="22"/>
          <w:szCs w:val="22"/>
          <w:lang w:eastAsia="ko-KR"/>
        </w:rPr>
        <w:tab/>
      </w:r>
      <w:r>
        <w:rPr>
          <w:noProof/>
        </w:rPr>
        <w:t>Configuration Request for an individual UE</w:t>
      </w:r>
      <w:r>
        <w:rPr>
          <w:noProof/>
        </w:rPr>
        <w:tab/>
      </w:r>
      <w:r>
        <w:rPr>
          <w:noProof/>
        </w:rPr>
        <w:fldChar w:fldCharType="begin" w:fldLock="1"/>
      </w:r>
      <w:r>
        <w:rPr>
          <w:noProof/>
        </w:rPr>
        <w:instrText xml:space="preserve"> PAGEREF _Toc153625030 \h </w:instrText>
      </w:r>
      <w:r>
        <w:rPr>
          <w:noProof/>
        </w:rPr>
      </w:r>
      <w:r>
        <w:rPr>
          <w:noProof/>
        </w:rPr>
        <w:fldChar w:fldCharType="separate"/>
      </w:r>
      <w:r>
        <w:rPr>
          <w:noProof/>
        </w:rPr>
        <w:t>28</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4.</w:t>
      </w:r>
      <w:r>
        <w:rPr>
          <w:noProof/>
          <w:lang w:eastAsia="zh-CN"/>
        </w:rPr>
        <w:t>4</w:t>
      </w:r>
      <w:r>
        <w:rPr>
          <w:noProof/>
        </w:rPr>
        <w:t>.2.2.2.3</w:t>
      </w:r>
      <w:r w:rsidRPr="00DD140B">
        <w:rPr>
          <w:rFonts w:ascii="Calibri" w:eastAsia="Malgun Gothic" w:hAnsi="Calibri"/>
          <w:noProof/>
          <w:sz w:val="22"/>
          <w:szCs w:val="22"/>
          <w:lang w:eastAsia="ko-KR"/>
        </w:rPr>
        <w:tab/>
      </w:r>
      <w:r>
        <w:rPr>
          <w:noProof/>
        </w:rPr>
        <w:t>Configuration Request for a group of UEs</w:t>
      </w:r>
      <w:r>
        <w:rPr>
          <w:noProof/>
        </w:rPr>
        <w:tab/>
      </w:r>
      <w:r>
        <w:rPr>
          <w:noProof/>
        </w:rPr>
        <w:fldChar w:fldCharType="begin" w:fldLock="1"/>
      </w:r>
      <w:r>
        <w:rPr>
          <w:noProof/>
        </w:rPr>
        <w:instrText xml:space="preserve"> PAGEREF _Toc153625031 \h </w:instrText>
      </w:r>
      <w:r>
        <w:rPr>
          <w:noProof/>
        </w:rPr>
      </w:r>
      <w:r>
        <w:rPr>
          <w:noProof/>
        </w:rPr>
        <w:fldChar w:fldCharType="separate"/>
      </w:r>
      <w:r>
        <w:rPr>
          <w:noProof/>
        </w:rPr>
        <w:t>29</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4.4.2.2.3</w:t>
      </w:r>
      <w:r w:rsidRPr="00DD140B">
        <w:rPr>
          <w:rFonts w:ascii="Calibri" w:eastAsia="Malgun Gothic" w:hAnsi="Calibri"/>
          <w:noProof/>
          <w:sz w:val="22"/>
          <w:szCs w:val="22"/>
          <w:lang w:eastAsia="ko-KR"/>
        </w:rPr>
        <w:tab/>
      </w:r>
      <w:r>
        <w:rPr>
          <w:noProof/>
        </w:rPr>
        <w:t>Monitoring Events Configuration directly via MME/SGSN</w:t>
      </w:r>
      <w:r>
        <w:rPr>
          <w:noProof/>
        </w:rPr>
        <w:tab/>
      </w:r>
      <w:r>
        <w:rPr>
          <w:noProof/>
        </w:rPr>
        <w:fldChar w:fldCharType="begin" w:fldLock="1"/>
      </w:r>
      <w:r>
        <w:rPr>
          <w:noProof/>
        </w:rPr>
        <w:instrText xml:space="preserve"> PAGEREF _Toc153625032 \h </w:instrText>
      </w:r>
      <w:r>
        <w:rPr>
          <w:noProof/>
        </w:rPr>
      </w:r>
      <w:r>
        <w:rPr>
          <w:noProof/>
        </w:rPr>
        <w:fldChar w:fldCharType="separate"/>
      </w:r>
      <w:r>
        <w:rPr>
          <w:noProof/>
        </w:rPr>
        <w:t>30</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4.4.2.2.4</w:t>
      </w:r>
      <w:r w:rsidRPr="00DD140B">
        <w:rPr>
          <w:rFonts w:ascii="Calibri" w:eastAsia="Malgun Gothic" w:hAnsi="Calibri"/>
          <w:noProof/>
          <w:sz w:val="22"/>
          <w:szCs w:val="22"/>
          <w:lang w:eastAsia="ko-KR"/>
        </w:rPr>
        <w:tab/>
      </w:r>
      <w:r>
        <w:rPr>
          <w:noProof/>
        </w:rPr>
        <w:t>Monitoring Events Configuration via PCRF</w:t>
      </w:r>
      <w:r>
        <w:rPr>
          <w:noProof/>
        </w:rPr>
        <w:tab/>
      </w:r>
      <w:r>
        <w:rPr>
          <w:noProof/>
        </w:rPr>
        <w:fldChar w:fldCharType="begin" w:fldLock="1"/>
      </w:r>
      <w:r>
        <w:rPr>
          <w:noProof/>
        </w:rPr>
        <w:instrText xml:space="preserve"> PAGEREF _Toc153625033 \h </w:instrText>
      </w:r>
      <w:r>
        <w:rPr>
          <w:noProof/>
        </w:rPr>
      </w:r>
      <w:r>
        <w:rPr>
          <w:noProof/>
        </w:rPr>
        <w:fldChar w:fldCharType="separate"/>
      </w:r>
      <w:r>
        <w:rPr>
          <w:noProof/>
        </w:rPr>
        <w:t>30</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4.</w:t>
      </w:r>
      <w:r>
        <w:rPr>
          <w:noProof/>
          <w:lang w:eastAsia="zh-CN"/>
        </w:rPr>
        <w:t>4</w:t>
      </w:r>
      <w:r>
        <w:rPr>
          <w:noProof/>
        </w:rPr>
        <w:t>.2.2.4.1</w:t>
      </w:r>
      <w:r w:rsidRPr="00DD140B">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_Toc153625034 \h </w:instrText>
      </w:r>
      <w:r>
        <w:rPr>
          <w:noProof/>
        </w:rPr>
      </w:r>
      <w:r>
        <w:rPr>
          <w:noProof/>
        </w:rPr>
        <w:fldChar w:fldCharType="separate"/>
      </w:r>
      <w:r>
        <w:rPr>
          <w:noProof/>
        </w:rPr>
        <w:t>30</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4.</w:t>
      </w:r>
      <w:r>
        <w:rPr>
          <w:noProof/>
          <w:lang w:eastAsia="zh-CN"/>
        </w:rPr>
        <w:t>4</w:t>
      </w:r>
      <w:r>
        <w:rPr>
          <w:noProof/>
        </w:rPr>
        <w:t>.2.2.4.2</w:t>
      </w:r>
      <w:r w:rsidRPr="00DD140B">
        <w:rPr>
          <w:rFonts w:ascii="Calibri" w:eastAsia="Malgun Gothic" w:hAnsi="Calibri"/>
          <w:noProof/>
          <w:sz w:val="22"/>
          <w:szCs w:val="22"/>
          <w:lang w:eastAsia="ko-KR"/>
        </w:rPr>
        <w:tab/>
      </w:r>
      <w:r>
        <w:rPr>
          <w:noProof/>
        </w:rPr>
        <w:t>Configuration Request for an individual UE</w:t>
      </w:r>
      <w:r>
        <w:rPr>
          <w:noProof/>
        </w:rPr>
        <w:tab/>
      </w:r>
      <w:r>
        <w:rPr>
          <w:noProof/>
        </w:rPr>
        <w:fldChar w:fldCharType="begin" w:fldLock="1"/>
      </w:r>
      <w:r>
        <w:rPr>
          <w:noProof/>
        </w:rPr>
        <w:instrText xml:space="preserve"> PAGEREF _Toc153625035 \h </w:instrText>
      </w:r>
      <w:r>
        <w:rPr>
          <w:noProof/>
        </w:rPr>
      </w:r>
      <w:r>
        <w:rPr>
          <w:noProof/>
        </w:rPr>
        <w:fldChar w:fldCharType="separate"/>
      </w:r>
      <w:r>
        <w:rPr>
          <w:noProof/>
        </w:rPr>
        <w:t>31</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4.</w:t>
      </w:r>
      <w:r>
        <w:rPr>
          <w:noProof/>
          <w:lang w:eastAsia="zh-CN"/>
        </w:rPr>
        <w:t>4</w:t>
      </w:r>
      <w:r>
        <w:rPr>
          <w:noProof/>
        </w:rPr>
        <w:t>.2.2.4.3</w:t>
      </w:r>
      <w:r w:rsidRPr="00DD140B">
        <w:rPr>
          <w:rFonts w:ascii="Calibri" w:eastAsia="Malgun Gothic" w:hAnsi="Calibri"/>
          <w:noProof/>
          <w:sz w:val="22"/>
          <w:szCs w:val="22"/>
          <w:lang w:eastAsia="ko-KR"/>
        </w:rPr>
        <w:tab/>
      </w:r>
      <w:r>
        <w:rPr>
          <w:noProof/>
        </w:rPr>
        <w:t>Configuration Request for a group of UEs</w:t>
      </w:r>
      <w:r>
        <w:rPr>
          <w:noProof/>
        </w:rPr>
        <w:tab/>
      </w:r>
      <w:r>
        <w:rPr>
          <w:noProof/>
        </w:rPr>
        <w:fldChar w:fldCharType="begin" w:fldLock="1"/>
      </w:r>
      <w:r>
        <w:rPr>
          <w:noProof/>
        </w:rPr>
        <w:instrText xml:space="preserve"> PAGEREF _Toc153625036 \h </w:instrText>
      </w:r>
      <w:r>
        <w:rPr>
          <w:noProof/>
        </w:rPr>
      </w:r>
      <w:r>
        <w:rPr>
          <w:noProof/>
        </w:rPr>
        <w:fldChar w:fldCharType="separate"/>
      </w:r>
      <w:r>
        <w:rPr>
          <w:noProof/>
        </w:rPr>
        <w:t>31</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4.4.2.3</w:t>
      </w:r>
      <w:r w:rsidRPr="00DD140B">
        <w:rPr>
          <w:rFonts w:ascii="Calibri" w:eastAsia="Malgun Gothic" w:hAnsi="Calibri"/>
          <w:noProof/>
          <w:sz w:val="22"/>
          <w:szCs w:val="22"/>
          <w:lang w:eastAsia="ko-KR"/>
        </w:rPr>
        <w:tab/>
      </w:r>
      <w:r>
        <w:rPr>
          <w:noProof/>
        </w:rPr>
        <w:t>Reporting of Monitoring Event Procedure</w:t>
      </w:r>
      <w:r>
        <w:rPr>
          <w:noProof/>
        </w:rPr>
        <w:tab/>
      </w:r>
      <w:r>
        <w:rPr>
          <w:noProof/>
        </w:rPr>
        <w:fldChar w:fldCharType="begin" w:fldLock="1"/>
      </w:r>
      <w:r>
        <w:rPr>
          <w:noProof/>
        </w:rPr>
        <w:instrText xml:space="preserve"> PAGEREF _Toc153625037 \h </w:instrText>
      </w:r>
      <w:r>
        <w:rPr>
          <w:noProof/>
        </w:rPr>
      </w:r>
      <w:r>
        <w:rPr>
          <w:noProof/>
        </w:rPr>
        <w:fldChar w:fldCharType="separate"/>
      </w:r>
      <w:r>
        <w:rPr>
          <w:noProof/>
        </w:rPr>
        <w:t>31</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4.4.2.4</w:t>
      </w:r>
      <w:r w:rsidRPr="00DD140B">
        <w:rPr>
          <w:rFonts w:ascii="Calibri" w:eastAsia="Malgun Gothic" w:hAnsi="Calibri"/>
          <w:noProof/>
          <w:sz w:val="22"/>
          <w:szCs w:val="22"/>
          <w:lang w:eastAsia="ko-KR"/>
        </w:rPr>
        <w:tab/>
      </w:r>
      <w:r>
        <w:rPr>
          <w:noProof/>
        </w:rPr>
        <w:t>Network-initiated Explicit Monitoring Event Deletion Procedure</w:t>
      </w:r>
      <w:r>
        <w:rPr>
          <w:noProof/>
        </w:rPr>
        <w:tab/>
      </w:r>
      <w:r>
        <w:rPr>
          <w:noProof/>
        </w:rPr>
        <w:fldChar w:fldCharType="begin" w:fldLock="1"/>
      </w:r>
      <w:r>
        <w:rPr>
          <w:noProof/>
        </w:rPr>
        <w:instrText xml:space="preserve"> PAGEREF _Toc153625038 \h </w:instrText>
      </w:r>
      <w:r>
        <w:rPr>
          <w:noProof/>
        </w:rPr>
      </w:r>
      <w:r>
        <w:rPr>
          <w:noProof/>
        </w:rPr>
        <w:fldChar w:fldCharType="separate"/>
      </w:r>
      <w:r>
        <w:rPr>
          <w:noProof/>
        </w:rPr>
        <w:t>32</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4.</w:t>
      </w:r>
      <w:r>
        <w:rPr>
          <w:noProof/>
          <w:lang w:eastAsia="zh-CN"/>
        </w:rPr>
        <w:t>4</w:t>
      </w:r>
      <w:r>
        <w:rPr>
          <w:noProof/>
        </w:rPr>
        <w:t>.2.5</w:t>
      </w:r>
      <w:r w:rsidRPr="00DD140B">
        <w:rPr>
          <w:rFonts w:ascii="Calibri" w:eastAsia="Malgun Gothic" w:hAnsi="Calibri"/>
          <w:noProof/>
          <w:sz w:val="22"/>
          <w:szCs w:val="22"/>
          <w:lang w:eastAsia="ko-KR"/>
        </w:rPr>
        <w:tab/>
      </w:r>
      <w:r>
        <w:rPr>
          <w:noProof/>
        </w:rPr>
        <w:t>Network initiated notification of applied parameter configuration</w:t>
      </w:r>
      <w:r>
        <w:rPr>
          <w:noProof/>
        </w:rPr>
        <w:tab/>
      </w:r>
      <w:r>
        <w:rPr>
          <w:noProof/>
        </w:rPr>
        <w:fldChar w:fldCharType="begin" w:fldLock="1"/>
      </w:r>
      <w:r>
        <w:rPr>
          <w:noProof/>
        </w:rPr>
        <w:instrText xml:space="preserve"> PAGEREF _Toc153625039 \h </w:instrText>
      </w:r>
      <w:r>
        <w:rPr>
          <w:noProof/>
        </w:rPr>
      </w:r>
      <w:r>
        <w:rPr>
          <w:noProof/>
        </w:rPr>
        <w:fldChar w:fldCharType="separate"/>
      </w:r>
      <w:r>
        <w:rPr>
          <w:noProof/>
        </w:rPr>
        <w:t>32</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4.</w:t>
      </w:r>
      <w:r>
        <w:rPr>
          <w:noProof/>
          <w:lang w:eastAsia="zh-CN"/>
        </w:rPr>
        <w:t>4</w:t>
      </w:r>
      <w:r>
        <w:rPr>
          <w:noProof/>
        </w:rPr>
        <w:t>.</w:t>
      </w:r>
      <w:r>
        <w:rPr>
          <w:noProof/>
          <w:lang w:eastAsia="zh-CN"/>
        </w:rPr>
        <w:t>3</w:t>
      </w:r>
      <w:r w:rsidRPr="00DD140B">
        <w:rPr>
          <w:rFonts w:ascii="Calibri" w:eastAsia="Malgun Gothic" w:hAnsi="Calibri"/>
          <w:noProof/>
          <w:sz w:val="22"/>
          <w:szCs w:val="22"/>
          <w:lang w:eastAsia="ko-KR"/>
        </w:rPr>
        <w:tab/>
      </w:r>
      <w:r>
        <w:rPr>
          <w:noProof/>
          <w:lang w:eastAsia="zh-CN"/>
        </w:rPr>
        <w:t>Procedures for resource management of Background Data Transfer</w:t>
      </w:r>
      <w:r>
        <w:rPr>
          <w:noProof/>
        </w:rPr>
        <w:tab/>
      </w:r>
      <w:r>
        <w:rPr>
          <w:noProof/>
        </w:rPr>
        <w:fldChar w:fldCharType="begin" w:fldLock="1"/>
      </w:r>
      <w:r>
        <w:rPr>
          <w:noProof/>
        </w:rPr>
        <w:instrText xml:space="preserve"> PAGEREF _Toc153625040 \h </w:instrText>
      </w:r>
      <w:r>
        <w:rPr>
          <w:noProof/>
        </w:rPr>
      </w:r>
      <w:r>
        <w:rPr>
          <w:noProof/>
        </w:rPr>
        <w:fldChar w:fldCharType="separate"/>
      </w:r>
      <w:r>
        <w:rPr>
          <w:noProof/>
        </w:rPr>
        <w:t>32</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4.</w:t>
      </w:r>
      <w:r>
        <w:rPr>
          <w:noProof/>
          <w:lang w:eastAsia="zh-CN"/>
        </w:rPr>
        <w:t>4</w:t>
      </w:r>
      <w:r>
        <w:rPr>
          <w:noProof/>
        </w:rPr>
        <w:t>.</w:t>
      </w:r>
      <w:r>
        <w:rPr>
          <w:noProof/>
          <w:lang w:eastAsia="zh-CN"/>
        </w:rPr>
        <w:t>4</w:t>
      </w:r>
      <w:r w:rsidRPr="00DD140B">
        <w:rPr>
          <w:rFonts w:ascii="Calibri" w:eastAsia="Malgun Gothic" w:hAnsi="Calibri"/>
          <w:noProof/>
          <w:sz w:val="22"/>
          <w:szCs w:val="22"/>
          <w:lang w:eastAsia="ko-KR"/>
        </w:rPr>
        <w:tab/>
      </w:r>
      <w:r>
        <w:rPr>
          <w:noProof/>
          <w:lang w:eastAsia="zh-CN"/>
        </w:rPr>
        <w:t>Procedures for changing the chargeable party at session set up or during the session</w:t>
      </w:r>
      <w:r>
        <w:rPr>
          <w:noProof/>
        </w:rPr>
        <w:tab/>
      </w:r>
      <w:r>
        <w:rPr>
          <w:noProof/>
        </w:rPr>
        <w:fldChar w:fldCharType="begin" w:fldLock="1"/>
      </w:r>
      <w:r>
        <w:rPr>
          <w:noProof/>
        </w:rPr>
        <w:instrText xml:space="preserve"> PAGEREF _Toc153625041 \h </w:instrText>
      </w:r>
      <w:r>
        <w:rPr>
          <w:noProof/>
        </w:rPr>
      </w:r>
      <w:r>
        <w:rPr>
          <w:noProof/>
        </w:rPr>
        <w:fldChar w:fldCharType="separate"/>
      </w:r>
      <w:r>
        <w:rPr>
          <w:noProof/>
        </w:rPr>
        <w:t>33</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4.4.5</w:t>
      </w:r>
      <w:r w:rsidRPr="00DD140B">
        <w:rPr>
          <w:rFonts w:ascii="Calibri" w:eastAsia="Malgun Gothic" w:hAnsi="Calibri"/>
          <w:noProof/>
          <w:sz w:val="22"/>
          <w:szCs w:val="22"/>
          <w:lang w:eastAsia="ko-KR"/>
        </w:rPr>
        <w:tab/>
      </w:r>
      <w:r>
        <w:rPr>
          <w:noProof/>
        </w:rPr>
        <w:t>Procedures for Non-IP Data Delivery</w:t>
      </w:r>
      <w:r>
        <w:rPr>
          <w:noProof/>
        </w:rPr>
        <w:tab/>
      </w:r>
      <w:r>
        <w:rPr>
          <w:noProof/>
        </w:rPr>
        <w:fldChar w:fldCharType="begin" w:fldLock="1"/>
      </w:r>
      <w:r>
        <w:rPr>
          <w:noProof/>
        </w:rPr>
        <w:instrText xml:space="preserve"> PAGEREF _Toc153625042 \h </w:instrText>
      </w:r>
      <w:r>
        <w:rPr>
          <w:noProof/>
        </w:rPr>
      </w:r>
      <w:r>
        <w:rPr>
          <w:noProof/>
        </w:rPr>
        <w:fldChar w:fldCharType="separate"/>
      </w:r>
      <w:r>
        <w:rPr>
          <w:noProof/>
        </w:rPr>
        <w:t>34</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4.4.</w:t>
      </w:r>
      <w:r>
        <w:rPr>
          <w:noProof/>
          <w:lang w:eastAsia="zh-CN"/>
        </w:rPr>
        <w:t>5</w:t>
      </w:r>
      <w:r>
        <w:rPr>
          <w:noProof/>
        </w:rPr>
        <w:t>.1</w:t>
      </w:r>
      <w:r w:rsidRPr="00DD140B">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_Toc153625043 \h </w:instrText>
      </w:r>
      <w:r>
        <w:rPr>
          <w:noProof/>
        </w:rPr>
      </w:r>
      <w:r>
        <w:rPr>
          <w:noProof/>
        </w:rPr>
        <w:fldChar w:fldCharType="separate"/>
      </w:r>
      <w:r>
        <w:rPr>
          <w:noProof/>
        </w:rPr>
        <w:t>34</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4.4.</w:t>
      </w:r>
      <w:r>
        <w:rPr>
          <w:noProof/>
          <w:lang w:eastAsia="zh-CN"/>
        </w:rPr>
        <w:t>5</w:t>
      </w:r>
      <w:r>
        <w:rPr>
          <w:noProof/>
        </w:rPr>
        <w:t>.2</w:t>
      </w:r>
      <w:r w:rsidRPr="00DD140B">
        <w:rPr>
          <w:rFonts w:ascii="Calibri" w:eastAsia="Malgun Gothic" w:hAnsi="Calibri"/>
          <w:noProof/>
          <w:sz w:val="22"/>
          <w:szCs w:val="22"/>
          <w:lang w:eastAsia="ko-KR"/>
        </w:rPr>
        <w:tab/>
      </w:r>
      <w:r>
        <w:rPr>
          <w:noProof/>
          <w:lang w:eastAsia="zh-CN"/>
        </w:rPr>
        <w:t>NIDD Configuration</w:t>
      </w:r>
      <w:r>
        <w:rPr>
          <w:noProof/>
        </w:rPr>
        <w:tab/>
      </w:r>
      <w:r>
        <w:rPr>
          <w:noProof/>
        </w:rPr>
        <w:fldChar w:fldCharType="begin" w:fldLock="1"/>
      </w:r>
      <w:r>
        <w:rPr>
          <w:noProof/>
        </w:rPr>
        <w:instrText xml:space="preserve"> PAGEREF _Toc153625044 \h </w:instrText>
      </w:r>
      <w:r>
        <w:rPr>
          <w:noProof/>
        </w:rPr>
      </w:r>
      <w:r>
        <w:rPr>
          <w:noProof/>
        </w:rPr>
        <w:fldChar w:fldCharType="separate"/>
      </w:r>
      <w:r>
        <w:rPr>
          <w:noProof/>
        </w:rPr>
        <w:t>35</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4.4.5.2.1</w:t>
      </w:r>
      <w:r w:rsidRPr="00DD140B">
        <w:rPr>
          <w:rFonts w:ascii="Calibri" w:eastAsia="Malgun Gothic" w:hAnsi="Calibri"/>
          <w:noProof/>
          <w:sz w:val="22"/>
          <w:szCs w:val="22"/>
          <w:lang w:eastAsia="ko-KR"/>
        </w:rPr>
        <w:tab/>
      </w:r>
      <w:r>
        <w:rPr>
          <w:noProof/>
        </w:rPr>
        <w:t>NIDD Configuration for a single UE</w:t>
      </w:r>
      <w:r>
        <w:rPr>
          <w:noProof/>
        </w:rPr>
        <w:tab/>
      </w:r>
      <w:r>
        <w:rPr>
          <w:noProof/>
        </w:rPr>
        <w:fldChar w:fldCharType="begin" w:fldLock="1"/>
      </w:r>
      <w:r>
        <w:rPr>
          <w:noProof/>
        </w:rPr>
        <w:instrText xml:space="preserve"> PAGEREF _Toc153625045 \h </w:instrText>
      </w:r>
      <w:r>
        <w:rPr>
          <w:noProof/>
        </w:rPr>
      </w:r>
      <w:r>
        <w:rPr>
          <w:noProof/>
        </w:rPr>
        <w:fldChar w:fldCharType="separate"/>
      </w:r>
      <w:r>
        <w:rPr>
          <w:noProof/>
        </w:rPr>
        <w:t>35</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4.4.5.2.2</w:t>
      </w:r>
      <w:r w:rsidRPr="00DD140B">
        <w:rPr>
          <w:rFonts w:ascii="Calibri" w:eastAsia="Malgun Gothic" w:hAnsi="Calibri"/>
          <w:noProof/>
          <w:sz w:val="22"/>
          <w:szCs w:val="22"/>
          <w:lang w:eastAsia="ko-KR"/>
        </w:rPr>
        <w:tab/>
      </w:r>
      <w:r>
        <w:rPr>
          <w:noProof/>
        </w:rPr>
        <w:t>NIDD Configuration for a group of UEs</w:t>
      </w:r>
      <w:r>
        <w:rPr>
          <w:noProof/>
        </w:rPr>
        <w:tab/>
      </w:r>
      <w:r>
        <w:rPr>
          <w:noProof/>
        </w:rPr>
        <w:fldChar w:fldCharType="begin" w:fldLock="1"/>
      </w:r>
      <w:r>
        <w:rPr>
          <w:noProof/>
        </w:rPr>
        <w:instrText xml:space="preserve"> PAGEREF _Toc153625046 \h </w:instrText>
      </w:r>
      <w:r>
        <w:rPr>
          <w:noProof/>
        </w:rPr>
      </w:r>
      <w:r>
        <w:rPr>
          <w:noProof/>
        </w:rPr>
        <w:fldChar w:fldCharType="separate"/>
      </w:r>
      <w:r>
        <w:rPr>
          <w:noProof/>
        </w:rPr>
        <w:t>36</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4.4.</w:t>
      </w:r>
      <w:r>
        <w:rPr>
          <w:noProof/>
          <w:lang w:eastAsia="zh-CN"/>
        </w:rPr>
        <w:t>5</w:t>
      </w:r>
      <w:r>
        <w:rPr>
          <w:noProof/>
        </w:rPr>
        <w:t>.</w:t>
      </w:r>
      <w:r>
        <w:rPr>
          <w:noProof/>
          <w:lang w:eastAsia="zh-CN"/>
        </w:rPr>
        <w:t>3</w:t>
      </w:r>
      <w:r w:rsidRPr="00DD140B">
        <w:rPr>
          <w:rFonts w:ascii="Calibri" w:eastAsia="Malgun Gothic" w:hAnsi="Calibri"/>
          <w:noProof/>
          <w:sz w:val="22"/>
          <w:szCs w:val="22"/>
          <w:lang w:eastAsia="ko-KR"/>
        </w:rPr>
        <w:tab/>
      </w:r>
      <w:r>
        <w:rPr>
          <w:noProof/>
        </w:rPr>
        <w:t>Mobile Terminated NIDD procedure</w:t>
      </w:r>
      <w:r>
        <w:rPr>
          <w:noProof/>
        </w:rPr>
        <w:tab/>
      </w:r>
      <w:r>
        <w:rPr>
          <w:noProof/>
        </w:rPr>
        <w:fldChar w:fldCharType="begin" w:fldLock="1"/>
      </w:r>
      <w:r>
        <w:rPr>
          <w:noProof/>
        </w:rPr>
        <w:instrText xml:space="preserve"> PAGEREF _Toc153625047 \h </w:instrText>
      </w:r>
      <w:r>
        <w:rPr>
          <w:noProof/>
        </w:rPr>
      </w:r>
      <w:r>
        <w:rPr>
          <w:noProof/>
        </w:rPr>
        <w:fldChar w:fldCharType="separate"/>
      </w:r>
      <w:r>
        <w:rPr>
          <w:noProof/>
        </w:rPr>
        <w:t>36</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4.4.5.3.1</w:t>
      </w:r>
      <w:r w:rsidRPr="00DD140B">
        <w:rPr>
          <w:rFonts w:ascii="Calibri" w:eastAsia="Malgun Gothic" w:hAnsi="Calibri"/>
          <w:noProof/>
          <w:sz w:val="22"/>
          <w:szCs w:val="22"/>
          <w:lang w:eastAsia="ko-KR"/>
        </w:rPr>
        <w:tab/>
      </w:r>
      <w:r>
        <w:rPr>
          <w:noProof/>
        </w:rPr>
        <w:t>Mobile Terminated NIDD for a single UE</w:t>
      </w:r>
      <w:r>
        <w:rPr>
          <w:noProof/>
        </w:rPr>
        <w:tab/>
      </w:r>
      <w:r>
        <w:rPr>
          <w:noProof/>
        </w:rPr>
        <w:fldChar w:fldCharType="begin" w:fldLock="1"/>
      </w:r>
      <w:r>
        <w:rPr>
          <w:noProof/>
        </w:rPr>
        <w:instrText xml:space="preserve"> PAGEREF _Toc153625048 \h </w:instrText>
      </w:r>
      <w:r>
        <w:rPr>
          <w:noProof/>
        </w:rPr>
      </w:r>
      <w:r>
        <w:rPr>
          <w:noProof/>
        </w:rPr>
        <w:fldChar w:fldCharType="separate"/>
      </w:r>
      <w:r>
        <w:rPr>
          <w:noProof/>
        </w:rPr>
        <w:t>36</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4.4.5.3.2</w:t>
      </w:r>
      <w:r w:rsidRPr="00DD140B">
        <w:rPr>
          <w:rFonts w:ascii="Calibri" w:eastAsia="Malgun Gothic" w:hAnsi="Calibri"/>
          <w:noProof/>
          <w:sz w:val="22"/>
          <w:szCs w:val="22"/>
          <w:lang w:eastAsia="ko-KR"/>
        </w:rPr>
        <w:tab/>
      </w:r>
      <w:r>
        <w:rPr>
          <w:noProof/>
        </w:rPr>
        <w:t>Mobile Terminated NIDD for a group of UEs</w:t>
      </w:r>
      <w:r>
        <w:rPr>
          <w:noProof/>
        </w:rPr>
        <w:tab/>
      </w:r>
      <w:r>
        <w:rPr>
          <w:noProof/>
        </w:rPr>
        <w:fldChar w:fldCharType="begin" w:fldLock="1"/>
      </w:r>
      <w:r>
        <w:rPr>
          <w:noProof/>
        </w:rPr>
        <w:instrText xml:space="preserve"> PAGEREF _Toc153625049 \h </w:instrText>
      </w:r>
      <w:r>
        <w:rPr>
          <w:noProof/>
        </w:rPr>
      </w:r>
      <w:r>
        <w:rPr>
          <w:noProof/>
        </w:rPr>
        <w:fldChar w:fldCharType="separate"/>
      </w:r>
      <w:r>
        <w:rPr>
          <w:noProof/>
        </w:rPr>
        <w:t>38</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4.4.</w:t>
      </w:r>
      <w:r>
        <w:rPr>
          <w:noProof/>
          <w:lang w:eastAsia="zh-CN"/>
        </w:rPr>
        <w:t>5</w:t>
      </w:r>
      <w:r>
        <w:rPr>
          <w:noProof/>
        </w:rPr>
        <w:t>.</w:t>
      </w:r>
      <w:r>
        <w:rPr>
          <w:noProof/>
          <w:lang w:eastAsia="zh-CN"/>
        </w:rPr>
        <w:t>4</w:t>
      </w:r>
      <w:r w:rsidRPr="00DD140B">
        <w:rPr>
          <w:rFonts w:ascii="Calibri" w:eastAsia="Malgun Gothic" w:hAnsi="Calibri"/>
          <w:noProof/>
          <w:sz w:val="22"/>
          <w:szCs w:val="22"/>
          <w:lang w:eastAsia="ko-KR"/>
        </w:rPr>
        <w:tab/>
      </w:r>
      <w:r>
        <w:rPr>
          <w:noProof/>
        </w:rPr>
        <w:t>Mobile Originated NIDD procedure</w:t>
      </w:r>
      <w:r>
        <w:rPr>
          <w:noProof/>
        </w:rPr>
        <w:tab/>
      </w:r>
      <w:r>
        <w:rPr>
          <w:noProof/>
        </w:rPr>
        <w:fldChar w:fldCharType="begin" w:fldLock="1"/>
      </w:r>
      <w:r>
        <w:rPr>
          <w:noProof/>
        </w:rPr>
        <w:instrText xml:space="preserve"> PAGEREF _Toc153625050 \h </w:instrText>
      </w:r>
      <w:r>
        <w:rPr>
          <w:noProof/>
        </w:rPr>
      </w:r>
      <w:r>
        <w:rPr>
          <w:noProof/>
        </w:rPr>
        <w:fldChar w:fldCharType="separate"/>
      </w:r>
      <w:r>
        <w:rPr>
          <w:noProof/>
        </w:rPr>
        <w:t>38</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4.4.</w:t>
      </w:r>
      <w:r>
        <w:rPr>
          <w:noProof/>
          <w:lang w:eastAsia="zh-CN"/>
        </w:rPr>
        <w:t>5</w:t>
      </w:r>
      <w:r>
        <w:rPr>
          <w:noProof/>
        </w:rPr>
        <w:t>.</w:t>
      </w:r>
      <w:r>
        <w:rPr>
          <w:noProof/>
          <w:lang w:eastAsia="zh-CN"/>
        </w:rPr>
        <w:t>5</w:t>
      </w:r>
      <w:r w:rsidRPr="00DD140B">
        <w:rPr>
          <w:rFonts w:ascii="Calibri" w:eastAsia="Malgun Gothic" w:hAnsi="Calibri"/>
          <w:noProof/>
          <w:sz w:val="22"/>
          <w:szCs w:val="22"/>
          <w:lang w:eastAsia="ko-KR"/>
        </w:rPr>
        <w:tab/>
      </w:r>
      <w:r>
        <w:rPr>
          <w:noProof/>
        </w:rPr>
        <w:t>NIDD Authorisation Update procedure</w:t>
      </w:r>
      <w:r>
        <w:rPr>
          <w:noProof/>
        </w:rPr>
        <w:tab/>
      </w:r>
      <w:r>
        <w:rPr>
          <w:noProof/>
        </w:rPr>
        <w:fldChar w:fldCharType="begin" w:fldLock="1"/>
      </w:r>
      <w:r>
        <w:rPr>
          <w:noProof/>
        </w:rPr>
        <w:instrText xml:space="preserve"> PAGEREF _Toc153625051 \h </w:instrText>
      </w:r>
      <w:r>
        <w:rPr>
          <w:noProof/>
        </w:rPr>
      </w:r>
      <w:r>
        <w:rPr>
          <w:noProof/>
        </w:rPr>
        <w:fldChar w:fldCharType="separate"/>
      </w:r>
      <w:r>
        <w:rPr>
          <w:noProof/>
        </w:rPr>
        <w:t>39</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4.4.</w:t>
      </w:r>
      <w:r>
        <w:rPr>
          <w:noProof/>
          <w:lang w:eastAsia="zh-CN"/>
        </w:rPr>
        <w:t>5</w:t>
      </w:r>
      <w:r>
        <w:rPr>
          <w:noProof/>
        </w:rPr>
        <w:t>.6</w:t>
      </w:r>
      <w:r w:rsidRPr="00DD140B">
        <w:rPr>
          <w:rFonts w:ascii="Calibri" w:eastAsia="Malgun Gothic" w:hAnsi="Calibri"/>
          <w:noProof/>
          <w:sz w:val="22"/>
          <w:szCs w:val="22"/>
          <w:lang w:eastAsia="ko-KR"/>
        </w:rPr>
        <w:tab/>
      </w:r>
      <w:r>
        <w:rPr>
          <w:noProof/>
          <w:lang w:eastAsia="zh-CN"/>
        </w:rPr>
        <w:t>Port Management Configuration</w:t>
      </w:r>
      <w:r>
        <w:rPr>
          <w:noProof/>
        </w:rPr>
        <w:tab/>
      </w:r>
      <w:r>
        <w:rPr>
          <w:noProof/>
        </w:rPr>
        <w:fldChar w:fldCharType="begin" w:fldLock="1"/>
      </w:r>
      <w:r>
        <w:rPr>
          <w:noProof/>
        </w:rPr>
        <w:instrText xml:space="preserve"> PAGEREF _Toc153625052 \h </w:instrText>
      </w:r>
      <w:r>
        <w:rPr>
          <w:noProof/>
        </w:rPr>
      </w:r>
      <w:r>
        <w:rPr>
          <w:noProof/>
        </w:rPr>
        <w:fldChar w:fldCharType="separate"/>
      </w:r>
      <w:r>
        <w:rPr>
          <w:noProof/>
        </w:rPr>
        <w:t>39</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lang w:eastAsia="zh-CN"/>
        </w:rPr>
        <w:t>4.4.5.6.1</w:t>
      </w:r>
      <w:r w:rsidRPr="00DD140B">
        <w:rPr>
          <w:rFonts w:ascii="Calibri" w:eastAsia="Malgun Gothic" w:hAnsi="Calibri"/>
          <w:noProof/>
          <w:sz w:val="22"/>
          <w:szCs w:val="22"/>
          <w:lang w:eastAsia="ko-KR"/>
        </w:rPr>
        <w:tab/>
      </w:r>
      <w:r>
        <w:rPr>
          <w:noProof/>
          <w:lang w:eastAsia="zh-CN"/>
        </w:rPr>
        <w:t>Port Reservation and Release</w:t>
      </w:r>
      <w:r>
        <w:rPr>
          <w:noProof/>
        </w:rPr>
        <w:tab/>
      </w:r>
      <w:r>
        <w:rPr>
          <w:noProof/>
        </w:rPr>
        <w:fldChar w:fldCharType="begin" w:fldLock="1"/>
      </w:r>
      <w:r>
        <w:rPr>
          <w:noProof/>
        </w:rPr>
        <w:instrText xml:space="preserve"> PAGEREF _Toc153625053 \h </w:instrText>
      </w:r>
      <w:r>
        <w:rPr>
          <w:noProof/>
        </w:rPr>
      </w:r>
      <w:r>
        <w:rPr>
          <w:noProof/>
        </w:rPr>
        <w:fldChar w:fldCharType="separate"/>
      </w:r>
      <w:r>
        <w:rPr>
          <w:noProof/>
        </w:rPr>
        <w:t>39</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lang w:eastAsia="zh-CN"/>
        </w:rPr>
        <w:t>4.4.5.6.2</w:t>
      </w:r>
      <w:r w:rsidRPr="00DD140B">
        <w:rPr>
          <w:rFonts w:ascii="Calibri" w:eastAsia="Malgun Gothic" w:hAnsi="Calibri"/>
          <w:noProof/>
          <w:sz w:val="22"/>
          <w:szCs w:val="22"/>
          <w:lang w:eastAsia="ko-KR"/>
        </w:rPr>
        <w:tab/>
      </w:r>
      <w:r>
        <w:rPr>
          <w:noProof/>
          <w:lang w:eastAsia="zh-CN"/>
        </w:rPr>
        <w:t>Port Notification</w:t>
      </w:r>
      <w:r>
        <w:rPr>
          <w:noProof/>
        </w:rPr>
        <w:tab/>
      </w:r>
      <w:r>
        <w:rPr>
          <w:noProof/>
        </w:rPr>
        <w:fldChar w:fldCharType="begin" w:fldLock="1"/>
      </w:r>
      <w:r>
        <w:rPr>
          <w:noProof/>
        </w:rPr>
        <w:instrText xml:space="preserve"> PAGEREF _Toc153625054 \h </w:instrText>
      </w:r>
      <w:r>
        <w:rPr>
          <w:noProof/>
        </w:rPr>
      </w:r>
      <w:r>
        <w:rPr>
          <w:noProof/>
        </w:rPr>
        <w:fldChar w:fldCharType="separate"/>
      </w:r>
      <w:r>
        <w:rPr>
          <w:noProof/>
        </w:rPr>
        <w:t>40</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4.</w:t>
      </w:r>
      <w:r>
        <w:rPr>
          <w:noProof/>
          <w:lang w:eastAsia="zh-CN"/>
        </w:rPr>
        <w:t>4</w:t>
      </w:r>
      <w:r>
        <w:rPr>
          <w:noProof/>
        </w:rPr>
        <w:t>.6</w:t>
      </w:r>
      <w:r w:rsidRPr="00DD140B">
        <w:rPr>
          <w:rFonts w:ascii="Calibri" w:eastAsia="Malgun Gothic" w:hAnsi="Calibri"/>
          <w:noProof/>
          <w:sz w:val="22"/>
          <w:szCs w:val="22"/>
          <w:lang w:eastAsia="ko-KR"/>
        </w:rPr>
        <w:tab/>
      </w:r>
      <w:r>
        <w:rPr>
          <w:noProof/>
          <w:lang w:eastAsia="zh-CN"/>
        </w:rPr>
        <w:t>Procedures for Device Triggering</w:t>
      </w:r>
      <w:r>
        <w:rPr>
          <w:noProof/>
        </w:rPr>
        <w:tab/>
      </w:r>
      <w:r>
        <w:rPr>
          <w:noProof/>
        </w:rPr>
        <w:fldChar w:fldCharType="begin" w:fldLock="1"/>
      </w:r>
      <w:r>
        <w:rPr>
          <w:noProof/>
        </w:rPr>
        <w:instrText xml:space="preserve"> PAGEREF _Toc153625055 \h </w:instrText>
      </w:r>
      <w:r>
        <w:rPr>
          <w:noProof/>
        </w:rPr>
      </w:r>
      <w:r>
        <w:rPr>
          <w:noProof/>
        </w:rPr>
        <w:fldChar w:fldCharType="separate"/>
      </w:r>
      <w:r>
        <w:rPr>
          <w:noProof/>
        </w:rPr>
        <w:t>41</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4.</w:t>
      </w:r>
      <w:r>
        <w:rPr>
          <w:noProof/>
          <w:lang w:eastAsia="zh-CN"/>
        </w:rPr>
        <w:t>4</w:t>
      </w:r>
      <w:r>
        <w:rPr>
          <w:noProof/>
        </w:rPr>
        <w:t>.7</w:t>
      </w:r>
      <w:r w:rsidRPr="00DD140B">
        <w:rPr>
          <w:rFonts w:ascii="Calibri" w:eastAsia="Malgun Gothic" w:hAnsi="Calibri"/>
          <w:noProof/>
          <w:sz w:val="22"/>
          <w:szCs w:val="22"/>
          <w:lang w:eastAsia="ko-KR"/>
        </w:rPr>
        <w:tab/>
      </w:r>
      <w:r>
        <w:rPr>
          <w:noProof/>
          <w:lang w:eastAsia="zh-CN"/>
        </w:rPr>
        <w:t>Procedures for Group Message Delivery</w:t>
      </w:r>
      <w:r>
        <w:rPr>
          <w:noProof/>
        </w:rPr>
        <w:tab/>
      </w:r>
      <w:r>
        <w:rPr>
          <w:noProof/>
        </w:rPr>
        <w:fldChar w:fldCharType="begin" w:fldLock="1"/>
      </w:r>
      <w:r>
        <w:rPr>
          <w:noProof/>
        </w:rPr>
        <w:instrText xml:space="preserve"> PAGEREF _Toc153625056 \h </w:instrText>
      </w:r>
      <w:r>
        <w:rPr>
          <w:noProof/>
        </w:rPr>
      </w:r>
      <w:r>
        <w:rPr>
          <w:noProof/>
        </w:rPr>
        <w:fldChar w:fldCharType="separate"/>
      </w:r>
      <w:r>
        <w:rPr>
          <w:noProof/>
        </w:rPr>
        <w:t>42</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4.4.7.1</w:t>
      </w:r>
      <w:r w:rsidRPr="00DD140B">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_Toc153625057 \h </w:instrText>
      </w:r>
      <w:r>
        <w:rPr>
          <w:noProof/>
        </w:rPr>
      </w:r>
      <w:r>
        <w:rPr>
          <w:noProof/>
        </w:rPr>
        <w:fldChar w:fldCharType="separate"/>
      </w:r>
      <w:r>
        <w:rPr>
          <w:noProof/>
        </w:rPr>
        <w:t>42</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4.4.</w:t>
      </w:r>
      <w:r>
        <w:rPr>
          <w:noProof/>
          <w:lang w:eastAsia="zh-CN"/>
        </w:rPr>
        <w:t>7</w:t>
      </w:r>
      <w:r>
        <w:rPr>
          <w:noProof/>
        </w:rPr>
        <w:t>.2</w:t>
      </w:r>
      <w:r w:rsidRPr="00DD140B">
        <w:rPr>
          <w:rFonts w:ascii="Calibri" w:eastAsia="Malgun Gothic" w:hAnsi="Calibri"/>
          <w:noProof/>
          <w:sz w:val="22"/>
          <w:szCs w:val="22"/>
          <w:lang w:eastAsia="ko-KR"/>
        </w:rPr>
        <w:tab/>
      </w:r>
      <w:r>
        <w:rPr>
          <w:noProof/>
        </w:rPr>
        <w:t>Group Message Delivery via MBMS</w:t>
      </w:r>
      <w:r>
        <w:rPr>
          <w:noProof/>
        </w:rPr>
        <w:tab/>
      </w:r>
      <w:r>
        <w:rPr>
          <w:noProof/>
        </w:rPr>
        <w:fldChar w:fldCharType="begin" w:fldLock="1"/>
      </w:r>
      <w:r>
        <w:rPr>
          <w:noProof/>
        </w:rPr>
        <w:instrText xml:space="preserve"> PAGEREF _Toc153625058 \h </w:instrText>
      </w:r>
      <w:r>
        <w:rPr>
          <w:noProof/>
        </w:rPr>
      </w:r>
      <w:r>
        <w:rPr>
          <w:noProof/>
        </w:rPr>
        <w:fldChar w:fldCharType="separate"/>
      </w:r>
      <w:r>
        <w:rPr>
          <w:noProof/>
        </w:rPr>
        <w:t>42</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4.4.7.2.1</w:t>
      </w:r>
      <w:r w:rsidRPr="00DD140B">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_Toc153625059 \h </w:instrText>
      </w:r>
      <w:r>
        <w:rPr>
          <w:noProof/>
        </w:rPr>
      </w:r>
      <w:r>
        <w:rPr>
          <w:noProof/>
        </w:rPr>
        <w:fldChar w:fldCharType="separate"/>
      </w:r>
      <w:r>
        <w:rPr>
          <w:noProof/>
        </w:rPr>
        <w:t>42</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4.4.7.2.2</w:t>
      </w:r>
      <w:r w:rsidRPr="00DD140B">
        <w:rPr>
          <w:rFonts w:ascii="Calibri" w:eastAsia="Malgun Gothic" w:hAnsi="Calibri"/>
          <w:noProof/>
          <w:sz w:val="22"/>
          <w:szCs w:val="22"/>
          <w:lang w:eastAsia="ko-KR"/>
        </w:rPr>
        <w:tab/>
      </w:r>
      <w:r>
        <w:rPr>
          <w:noProof/>
          <w:lang w:eastAsia="zh-CN"/>
        </w:rPr>
        <w:t>Group Message Delivery via MBMS by MB2</w:t>
      </w:r>
      <w:r>
        <w:rPr>
          <w:noProof/>
        </w:rPr>
        <w:tab/>
      </w:r>
      <w:r>
        <w:rPr>
          <w:noProof/>
        </w:rPr>
        <w:fldChar w:fldCharType="begin" w:fldLock="1"/>
      </w:r>
      <w:r>
        <w:rPr>
          <w:noProof/>
        </w:rPr>
        <w:instrText xml:space="preserve"> PAGEREF _Toc153625060 \h </w:instrText>
      </w:r>
      <w:r>
        <w:rPr>
          <w:noProof/>
        </w:rPr>
      </w:r>
      <w:r>
        <w:rPr>
          <w:noProof/>
        </w:rPr>
        <w:fldChar w:fldCharType="separate"/>
      </w:r>
      <w:r>
        <w:rPr>
          <w:noProof/>
        </w:rPr>
        <w:t>42</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4.4.7.2.2.1</w:t>
      </w:r>
      <w:r w:rsidRPr="00DD140B">
        <w:rPr>
          <w:rFonts w:ascii="Calibri" w:eastAsia="Malgun Gothic" w:hAnsi="Calibri"/>
          <w:noProof/>
          <w:sz w:val="22"/>
          <w:szCs w:val="22"/>
          <w:lang w:eastAsia="ko-KR"/>
        </w:rPr>
        <w:tab/>
      </w:r>
      <w:r>
        <w:rPr>
          <w:noProof/>
        </w:rPr>
        <w:t>TMGI Allocation</w:t>
      </w:r>
      <w:r>
        <w:rPr>
          <w:noProof/>
        </w:rPr>
        <w:tab/>
      </w:r>
      <w:r>
        <w:rPr>
          <w:noProof/>
        </w:rPr>
        <w:fldChar w:fldCharType="begin" w:fldLock="1"/>
      </w:r>
      <w:r>
        <w:rPr>
          <w:noProof/>
        </w:rPr>
        <w:instrText xml:space="preserve"> PAGEREF _Toc153625061 \h </w:instrText>
      </w:r>
      <w:r>
        <w:rPr>
          <w:noProof/>
        </w:rPr>
      </w:r>
      <w:r>
        <w:rPr>
          <w:noProof/>
        </w:rPr>
        <w:fldChar w:fldCharType="separate"/>
      </w:r>
      <w:r>
        <w:rPr>
          <w:noProof/>
        </w:rPr>
        <w:t>42</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4.4.7.2.2.2</w:t>
      </w:r>
      <w:r w:rsidRPr="00DD140B">
        <w:rPr>
          <w:rFonts w:ascii="Calibri" w:eastAsia="Malgun Gothic" w:hAnsi="Calibri"/>
          <w:noProof/>
          <w:sz w:val="22"/>
          <w:szCs w:val="22"/>
          <w:lang w:eastAsia="ko-KR"/>
        </w:rPr>
        <w:tab/>
      </w:r>
      <w:r>
        <w:rPr>
          <w:noProof/>
        </w:rPr>
        <w:t>TMGI Deallocation</w:t>
      </w:r>
      <w:r>
        <w:rPr>
          <w:noProof/>
        </w:rPr>
        <w:tab/>
      </w:r>
      <w:r>
        <w:rPr>
          <w:noProof/>
        </w:rPr>
        <w:fldChar w:fldCharType="begin" w:fldLock="1"/>
      </w:r>
      <w:r>
        <w:rPr>
          <w:noProof/>
        </w:rPr>
        <w:instrText xml:space="preserve"> PAGEREF _Toc153625062 \h </w:instrText>
      </w:r>
      <w:r>
        <w:rPr>
          <w:noProof/>
        </w:rPr>
      </w:r>
      <w:r>
        <w:rPr>
          <w:noProof/>
        </w:rPr>
        <w:fldChar w:fldCharType="separate"/>
      </w:r>
      <w:r>
        <w:rPr>
          <w:noProof/>
        </w:rPr>
        <w:t>43</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4.4.7.2.2.3</w:t>
      </w:r>
      <w:r w:rsidRPr="00DD140B">
        <w:rPr>
          <w:rFonts w:ascii="Calibri" w:eastAsia="Malgun Gothic" w:hAnsi="Calibri"/>
          <w:noProof/>
          <w:sz w:val="22"/>
          <w:szCs w:val="22"/>
          <w:lang w:eastAsia="ko-KR"/>
        </w:rPr>
        <w:tab/>
      </w:r>
      <w:r>
        <w:rPr>
          <w:noProof/>
        </w:rPr>
        <w:t>Creation of group message delivery</w:t>
      </w:r>
      <w:r>
        <w:rPr>
          <w:noProof/>
        </w:rPr>
        <w:tab/>
      </w:r>
      <w:r>
        <w:rPr>
          <w:noProof/>
        </w:rPr>
        <w:fldChar w:fldCharType="begin" w:fldLock="1"/>
      </w:r>
      <w:r>
        <w:rPr>
          <w:noProof/>
        </w:rPr>
        <w:instrText xml:space="preserve"> PAGEREF _Toc153625063 \h </w:instrText>
      </w:r>
      <w:r>
        <w:rPr>
          <w:noProof/>
        </w:rPr>
      </w:r>
      <w:r>
        <w:rPr>
          <w:noProof/>
        </w:rPr>
        <w:fldChar w:fldCharType="separate"/>
      </w:r>
      <w:r>
        <w:rPr>
          <w:noProof/>
        </w:rPr>
        <w:t>43</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4.4.7.2.2.4</w:t>
      </w:r>
      <w:r w:rsidRPr="00DD140B">
        <w:rPr>
          <w:rFonts w:ascii="Calibri" w:eastAsia="Malgun Gothic" w:hAnsi="Calibri"/>
          <w:noProof/>
          <w:sz w:val="22"/>
          <w:szCs w:val="22"/>
          <w:lang w:eastAsia="ko-KR"/>
        </w:rPr>
        <w:tab/>
      </w:r>
      <w:r>
        <w:rPr>
          <w:noProof/>
        </w:rPr>
        <w:t>Modification of previous submitted group message delivery</w:t>
      </w:r>
      <w:r>
        <w:rPr>
          <w:noProof/>
        </w:rPr>
        <w:tab/>
      </w:r>
      <w:r>
        <w:rPr>
          <w:noProof/>
        </w:rPr>
        <w:fldChar w:fldCharType="begin" w:fldLock="1"/>
      </w:r>
      <w:r>
        <w:rPr>
          <w:noProof/>
        </w:rPr>
        <w:instrText xml:space="preserve"> PAGEREF _Toc153625064 \h </w:instrText>
      </w:r>
      <w:r>
        <w:rPr>
          <w:noProof/>
        </w:rPr>
      </w:r>
      <w:r>
        <w:rPr>
          <w:noProof/>
        </w:rPr>
        <w:fldChar w:fldCharType="separate"/>
      </w:r>
      <w:r>
        <w:rPr>
          <w:noProof/>
        </w:rPr>
        <w:t>43</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4.4.7.2.2.5</w:t>
      </w:r>
      <w:r w:rsidRPr="00DD140B">
        <w:rPr>
          <w:rFonts w:ascii="Calibri" w:eastAsia="Malgun Gothic" w:hAnsi="Calibri"/>
          <w:noProof/>
          <w:sz w:val="22"/>
          <w:szCs w:val="22"/>
          <w:lang w:eastAsia="ko-KR"/>
        </w:rPr>
        <w:tab/>
      </w:r>
      <w:r>
        <w:rPr>
          <w:noProof/>
        </w:rPr>
        <w:t xml:space="preserve">Cancellation of previous submitted </w:t>
      </w:r>
      <w:r w:rsidRPr="00677085">
        <w:rPr>
          <w:rFonts w:eastAsia="Batang"/>
          <w:noProof/>
        </w:rPr>
        <w:t>g</w:t>
      </w:r>
      <w:r>
        <w:rPr>
          <w:noProof/>
        </w:rPr>
        <w:t>roup message</w:t>
      </w:r>
      <w:r w:rsidRPr="00677085">
        <w:rPr>
          <w:rFonts w:eastAsia="Batang"/>
          <w:noProof/>
        </w:rPr>
        <w:t xml:space="preserve"> delivery</w:t>
      </w:r>
      <w:r>
        <w:rPr>
          <w:noProof/>
        </w:rPr>
        <w:tab/>
      </w:r>
      <w:r>
        <w:rPr>
          <w:noProof/>
        </w:rPr>
        <w:fldChar w:fldCharType="begin" w:fldLock="1"/>
      </w:r>
      <w:r>
        <w:rPr>
          <w:noProof/>
        </w:rPr>
        <w:instrText xml:space="preserve"> PAGEREF _Toc153625065 \h </w:instrText>
      </w:r>
      <w:r>
        <w:rPr>
          <w:noProof/>
        </w:rPr>
      </w:r>
      <w:r>
        <w:rPr>
          <w:noProof/>
        </w:rPr>
        <w:fldChar w:fldCharType="separate"/>
      </w:r>
      <w:r>
        <w:rPr>
          <w:noProof/>
        </w:rPr>
        <w:t>44</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4.4.7.2.3</w:t>
      </w:r>
      <w:r w:rsidRPr="00DD140B">
        <w:rPr>
          <w:rFonts w:ascii="Calibri" w:eastAsia="Malgun Gothic" w:hAnsi="Calibri"/>
          <w:noProof/>
          <w:sz w:val="22"/>
          <w:szCs w:val="22"/>
          <w:lang w:eastAsia="ko-KR"/>
        </w:rPr>
        <w:tab/>
      </w:r>
      <w:r>
        <w:rPr>
          <w:noProof/>
          <w:lang w:eastAsia="zh-CN"/>
        </w:rPr>
        <w:t>Group message Delivery via MBMS by xMB</w:t>
      </w:r>
      <w:r>
        <w:rPr>
          <w:noProof/>
        </w:rPr>
        <w:tab/>
      </w:r>
      <w:r>
        <w:rPr>
          <w:noProof/>
        </w:rPr>
        <w:fldChar w:fldCharType="begin" w:fldLock="1"/>
      </w:r>
      <w:r>
        <w:rPr>
          <w:noProof/>
        </w:rPr>
        <w:instrText xml:space="preserve"> PAGEREF _Toc153625066 \h </w:instrText>
      </w:r>
      <w:r>
        <w:rPr>
          <w:noProof/>
        </w:rPr>
      </w:r>
      <w:r>
        <w:rPr>
          <w:noProof/>
        </w:rPr>
        <w:fldChar w:fldCharType="separate"/>
      </w:r>
      <w:r>
        <w:rPr>
          <w:noProof/>
        </w:rPr>
        <w:t>44</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4.4.7.2.3.1</w:t>
      </w:r>
      <w:r w:rsidRPr="00DD140B">
        <w:rPr>
          <w:rFonts w:ascii="Calibri" w:eastAsia="Malgun Gothic" w:hAnsi="Calibri"/>
          <w:noProof/>
          <w:sz w:val="22"/>
          <w:szCs w:val="22"/>
          <w:lang w:eastAsia="ko-KR"/>
        </w:rPr>
        <w:tab/>
      </w:r>
      <w:r>
        <w:rPr>
          <w:noProof/>
        </w:rPr>
        <w:t>Service Creation</w:t>
      </w:r>
      <w:r>
        <w:rPr>
          <w:noProof/>
        </w:rPr>
        <w:tab/>
      </w:r>
      <w:r>
        <w:rPr>
          <w:noProof/>
        </w:rPr>
        <w:fldChar w:fldCharType="begin" w:fldLock="1"/>
      </w:r>
      <w:r>
        <w:rPr>
          <w:noProof/>
        </w:rPr>
        <w:instrText xml:space="preserve"> PAGEREF _Toc153625067 \h </w:instrText>
      </w:r>
      <w:r>
        <w:rPr>
          <w:noProof/>
        </w:rPr>
      </w:r>
      <w:r>
        <w:rPr>
          <w:noProof/>
        </w:rPr>
        <w:fldChar w:fldCharType="separate"/>
      </w:r>
      <w:r>
        <w:rPr>
          <w:noProof/>
        </w:rPr>
        <w:t>44</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4.4.7.2.3.2</w:t>
      </w:r>
      <w:r w:rsidRPr="00DD140B">
        <w:rPr>
          <w:rFonts w:ascii="Calibri" w:eastAsia="Malgun Gothic" w:hAnsi="Calibri"/>
          <w:noProof/>
          <w:sz w:val="22"/>
          <w:szCs w:val="22"/>
          <w:lang w:eastAsia="ko-KR"/>
        </w:rPr>
        <w:tab/>
      </w:r>
      <w:r>
        <w:rPr>
          <w:noProof/>
        </w:rPr>
        <w:t>Service Deletion</w:t>
      </w:r>
      <w:r>
        <w:rPr>
          <w:noProof/>
        </w:rPr>
        <w:tab/>
      </w:r>
      <w:r>
        <w:rPr>
          <w:noProof/>
        </w:rPr>
        <w:fldChar w:fldCharType="begin" w:fldLock="1"/>
      </w:r>
      <w:r>
        <w:rPr>
          <w:noProof/>
        </w:rPr>
        <w:instrText xml:space="preserve"> PAGEREF _Toc153625068 \h </w:instrText>
      </w:r>
      <w:r>
        <w:rPr>
          <w:noProof/>
        </w:rPr>
      </w:r>
      <w:r>
        <w:rPr>
          <w:noProof/>
        </w:rPr>
        <w:fldChar w:fldCharType="separate"/>
      </w:r>
      <w:r>
        <w:rPr>
          <w:noProof/>
        </w:rPr>
        <w:t>44</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4.4.7.2.3.3</w:t>
      </w:r>
      <w:r w:rsidRPr="00DD140B">
        <w:rPr>
          <w:rFonts w:ascii="Calibri" w:eastAsia="Malgun Gothic" w:hAnsi="Calibri"/>
          <w:noProof/>
          <w:sz w:val="22"/>
          <w:szCs w:val="22"/>
          <w:lang w:eastAsia="ko-KR"/>
        </w:rPr>
        <w:tab/>
      </w:r>
      <w:r>
        <w:rPr>
          <w:noProof/>
        </w:rPr>
        <w:t>Creation of group message delivery</w:t>
      </w:r>
      <w:r>
        <w:rPr>
          <w:noProof/>
        </w:rPr>
        <w:tab/>
      </w:r>
      <w:r>
        <w:rPr>
          <w:noProof/>
        </w:rPr>
        <w:fldChar w:fldCharType="begin" w:fldLock="1"/>
      </w:r>
      <w:r>
        <w:rPr>
          <w:noProof/>
        </w:rPr>
        <w:instrText xml:space="preserve"> PAGEREF _Toc153625069 \h </w:instrText>
      </w:r>
      <w:r>
        <w:rPr>
          <w:noProof/>
        </w:rPr>
      </w:r>
      <w:r>
        <w:rPr>
          <w:noProof/>
        </w:rPr>
        <w:fldChar w:fldCharType="separate"/>
      </w:r>
      <w:r>
        <w:rPr>
          <w:noProof/>
        </w:rPr>
        <w:t>45</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4.4.7.2.3.4</w:t>
      </w:r>
      <w:r w:rsidRPr="00DD140B">
        <w:rPr>
          <w:rFonts w:ascii="Calibri" w:eastAsia="Malgun Gothic" w:hAnsi="Calibri"/>
          <w:noProof/>
          <w:sz w:val="22"/>
          <w:szCs w:val="22"/>
          <w:lang w:eastAsia="ko-KR"/>
        </w:rPr>
        <w:tab/>
      </w:r>
      <w:r>
        <w:rPr>
          <w:noProof/>
        </w:rPr>
        <w:t>Modification of previous submitted group message delivery</w:t>
      </w:r>
      <w:r>
        <w:rPr>
          <w:noProof/>
        </w:rPr>
        <w:tab/>
      </w:r>
      <w:r>
        <w:rPr>
          <w:noProof/>
        </w:rPr>
        <w:fldChar w:fldCharType="begin" w:fldLock="1"/>
      </w:r>
      <w:r>
        <w:rPr>
          <w:noProof/>
        </w:rPr>
        <w:instrText xml:space="preserve"> PAGEREF _Toc153625070 \h </w:instrText>
      </w:r>
      <w:r>
        <w:rPr>
          <w:noProof/>
        </w:rPr>
      </w:r>
      <w:r>
        <w:rPr>
          <w:noProof/>
        </w:rPr>
        <w:fldChar w:fldCharType="separate"/>
      </w:r>
      <w:r>
        <w:rPr>
          <w:noProof/>
        </w:rPr>
        <w:t>45</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4.4.7.2.3.5</w:t>
      </w:r>
      <w:r w:rsidRPr="00DD140B">
        <w:rPr>
          <w:rFonts w:ascii="Calibri" w:eastAsia="Malgun Gothic" w:hAnsi="Calibri"/>
          <w:noProof/>
          <w:sz w:val="22"/>
          <w:szCs w:val="22"/>
          <w:lang w:eastAsia="ko-KR"/>
        </w:rPr>
        <w:tab/>
      </w:r>
      <w:r>
        <w:rPr>
          <w:noProof/>
        </w:rPr>
        <w:t>Cancellation of previous submitted group message delivery</w:t>
      </w:r>
      <w:r>
        <w:rPr>
          <w:noProof/>
        </w:rPr>
        <w:tab/>
      </w:r>
      <w:r>
        <w:rPr>
          <w:noProof/>
        </w:rPr>
        <w:fldChar w:fldCharType="begin" w:fldLock="1"/>
      </w:r>
      <w:r>
        <w:rPr>
          <w:noProof/>
        </w:rPr>
        <w:instrText xml:space="preserve"> PAGEREF _Toc153625071 \h </w:instrText>
      </w:r>
      <w:r>
        <w:rPr>
          <w:noProof/>
        </w:rPr>
      </w:r>
      <w:r>
        <w:rPr>
          <w:noProof/>
        </w:rPr>
        <w:fldChar w:fldCharType="separate"/>
      </w:r>
      <w:r>
        <w:rPr>
          <w:noProof/>
        </w:rPr>
        <w:t>46</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4.</w:t>
      </w:r>
      <w:r>
        <w:rPr>
          <w:noProof/>
          <w:lang w:eastAsia="zh-CN"/>
        </w:rPr>
        <w:t>4</w:t>
      </w:r>
      <w:r>
        <w:rPr>
          <w:noProof/>
        </w:rPr>
        <w:t>.8</w:t>
      </w:r>
      <w:r w:rsidRPr="00DD140B">
        <w:rPr>
          <w:rFonts w:ascii="Calibri" w:eastAsia="Malgun Gothic" w:hAnsi="Calibri"/>
          <w:noProof/>
          <w:sz w:val="22"/>
          <w:szCs w:val="22"/>
          <w:lang w:eastAsia="ko-KR"/>
        </w:rPr>
        <w:tab/>
      </w:r>
      <w:r>
        <w:rPr>
          <w:noProof/>
          <w:lang w:eastAsia="zh-CN"/>
        </w:rPr>
        <w:t xml:space="preserve">Procedures for </w:t>
      </w:r>
      <w:r>
        <w:rPr>
          <w:noProof/>
        </w:rPr>
        <w:t>Reporting of Network Status</w:t>
      </w:r>
      <w:r>
        <w:rPr>
          <w:noProof/>
        </w:rPr>
        <w:tab/>
      </w:r>
      <w:r>
        <w:rPr>
          <w:noProof/>
        </w:rPr>
        <w:fldChar w:fldCharType="begin" w:fldLock="1"/>
      </w:r>
      <w:r>
        <w:rPr>
          <w:noProof/>
        </w:rPr>
        <w:instrText xml:space="preserve"> PAGEREF _Toc153625072 \h </w:instrText>
      </w:r>
      <w:r>
        <w:rPr>
          <w:noProof/>
        </w:rPr>
      </w:r>
      <w:r>
        <w:rPr>
          <w:noProof/>
        </w:rPr>
        <w:fldChar w:fldCharType="separate"/>
      </w:r>
      <w:r>
        <w:rPr>
          <w:noProof/>
        </w:rPr>
        <w:t>46</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4.4.8.1</w:t>
      </w:r>
      <w:r w:rsidRPr="00DD140B">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_Toc153625073 \h </w:instrText>
      </w:r>
      <w:r>
        <w:rPr>
          <w:noProof/>
        </w:rPr>
      </w:r>
      <w:r>
        <w:rPr>
          <w:noProof/>
        </w:rPr>
        <w:fldChar w:fldCharType="separate"/>
      </w:r>
      <w:r>
        <w:rPr>
          <w:noProof/>
        </w:rPr>
        <w:t>46</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4.4.8.2</w:t>
      </w:r>
      <w:r w:rsidRPr="00DD140B">
        <w:rPr>
          <w:rFonts w:ascii="Calibri" w:eastAsia="Malgun Gothic" w:hAnsi="Calibri"/>
          <w:noProof/>
          <w:sz w:val="22"/>
          <w:szCs w:val="22"/>
          <w:lang w:eastAsia="ko-KR"/>
        </w:rPr>
        <w:tab/>
      </w:r>
      <w:r>
        <w:rPr>
          <w:noProof/>
        </w:rPr>
        <w:t>Network Status Reporting Subscription</w:t>
      </w:r>
      <w:r>
        <w:rPr>
          <w:noProof/>
        </w:rPr>
        <w:tab/>
      </w:r>
      <w:r>
        <w:rPr>
          <w:noProof/>
        </w:rPr>
        <w:fldChar w:fldCharType="begin" w:fldLock="1"/>
      </w:r>
      <w:r>
        <w:rPr>
          <w:noProof/>
        </w:rPr>
        <w:instrText xml:space="preserve"> PAGEREF _Toc153625074 \h </w:instrText>
      </w:r>
      <w:r>
        <w:rPr>
          <w:noProof/>
        </w:rPr>
      </w:r>
      <w:r>
        <w:rPr>
          <w:noProof/>
        </w:rPr>
        <w:fldChar w:fldCharType="separate"/>
      </w:r>
      <w:r>
        <w:rPr>
          <w:noProof/>
        </w:rPr>
        <w:t>46</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4.4.8.3</w:t>
      </w:r>
      <w:r w:rsidRPr="00DD140B">
        <w:rPr>
          <w:rFonts w:ascii="Calibri" w:eastAsia="Malgun Gothic" w:hAnsi="Calibri"/>
          <w:noProof/>
          <w:sz w:val="22"/>
          <w:szCs w:val="22"/>
          <w:lang w:eastAsia="ko-KR"/>
        </w:rPr>
        <w:tab/>
      </w:r>
      <w:r>
        <w:rPr>
          <w:noProof/>
        </w:rPr>
        <w:t>Network Status Reporting Notification</w:t>
      </w:r>
      <w:r>
        <w:rPr>
          <w:noProof/>
        </w:rPr>
        <w:tab/>
      </w:r>
      <w:r>
        <w:rPr>
          <w:noProof/>
        </w:rPr>
        <w:fldChar w:fldCharType="begin" w:fldLock="1"/>
      </w:r>
      <w:r>
        <w:rPr>
          <w:noProof/>
        </w:rPr>
        <w:instrText xml:space="preserve"> PAGEREF _Toc153625075 \h </w:instrText>
      </w:r>
      <w:r>
        <w:rPr>
          <w:noProof/>
        </w:rPr>
      </w:r>
      <w:r>
        <w:rPr>
          <w:noProof/>
        </w:rPr>
        <w:fldChar w:fldCharType="separate"/>
      </w:r>
      <w:r>
        <w:rPr>
          <w:noProof/>
        </w:rPr>
        <w:t>47</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4.</w:t>
      </w:r>
      <w:r>
        <w:rPr>
          <w:noProof/>
          <w:lang w:eastAsia="zh-CN"/>
        </w:rPr>
        <w:t>4</w:t>
      </w:r>
      <w:r>
        <w:rPr>
          <w:noProof/>
        </w:rPr>
        <w:t>.9</w:t>
      </w:r>
      <w:r w:rsidRPr="00DD140B">
        <w:rPr>
          <w:rFonts w:ascii="Calibri" w:eastAsia="Malgun Gothic" w:hAnsi="Calibri"/>
          <w:noProof/>
          <w:sz w:val="22"/>
          <w:szCs w:val="22"/>
          <w:lang w:eastAsia="ko-KR"/>
        </w:rPr>
        <w:tab/>
      </w:r>
      <w:r>
        <w:rPr>
          <w:noProof/>
          <w:lang w:eastAsia="zh-CN"/>
        </w:rPr>
        <w:t xml:space="preserve">Procedures for </w:t>
      </w:r>
      <w:r>
        <w:rPr>
          <w:noProof/>
        </w:rPr>
        <w:t>Communication Pattern Parameters Provisioning</w:t>
      </w:r>
      <w:r>
        <w:rPr>
          <w:noProof/>
        </w:rPr>
        <w:tab/>
      </w:r>
      <w:r>
        <w:rPr>
          <w:noProof/>
        </w:rPr>
        <w:fldChar w:fldCharType="begin" w:fldLock="1"/>
      </w:r>
      <w:r>
        <w:rPr>
          <w:noProof/>
        </w:rPr>
        <w:instrText xml:space="preserve"> PAGEREF _Toc153625076 \h </w:instrText>
      </w:r>
      <w:r>
        <w:rPr>
          <w:noProof/>
        </w:rPr>
      </w:r>
      <w:r>
        <w:rPr>
          <w:noProof/>
        </w:rPr>
        <w:fldChar w:fldCharType="separate"/>
      </w:r>
      <w:r>
        <w:rPr>
          <w:noProof/>
        </w:rPr>
        <w:t>47</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4.</w:t>
      </w:r>
      <w:r>
        <w:rPr>
          <w:noProof/>
          <w:lang w:eastAsia="zh-CN"/>
        </w:rPr>
        <w:t>4</w:t>
      </w:r>
      <w:r>
        <w:rPr>
          <w:noProof/>
        </w:rPr>
        <w:t>.10</w:t>
      </w:r>
      <w:r w:rsidRPr="00DD140B">
        <w:rPr>
          <w:rFonts w:ascii="Calibri" w:eastAsia="Malgun Gothic" w:hAnsi="Calibri"/>
          <w:noProof/>
          <w:sz w:val="22"/>
          <w:szCs w:val="22"/>
          <w:lang w:eastAsia="ko-KR"/>
        </w:rPr>
        <w:tab/>
      </w:r>
      <w:r>
        <w:rPr>
          <w:noProof/>
          <w:lang w:eastAsia="zh-CN"/>
        </w:rPr>
        <w:t xml:space="preserve">Procedures for </w:t>
      </w:r>
      <w:r>
        <w:rPr>
          <w:noProof/>
        </w:rPr>
        <w:t>PFD Management</w:t>
      </w:r>
      <w:r>
        <w:rPr>
          <w:noProof/>
        </w:rPr>
        <w:tab/>
      </w:r>
      <w:r>
        <w:rPr>
          <w:noProof/>
        </w:rPr>
        <w:fldChar w:fldCharType="begin" w:fldLock="1"/>
      </w:r>
      <w:r>
        <w:rPr>
          <w:noProof/>
        </w:rPr>
        <w:instrText xml:space="preserve"> PAGEREF _Toc153625077 \h </w:instrText>
      </w:r>
      <w:r>
        <w:rPr>
          <w:noProof/>
        </w:rPr>
      </w:r>
      <w:r>
        <w:rPr>
          <w:noProof/>
        </w:rPr>
        <w:fldChar w:fldCharType="separate"/>
      </w:r>
      <w:r>
        <w:rPr>
          <w:noProof/>
        </w:rPr>
        <w:t>48</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4.</w:t>
      </w:r>
      <w:r>
        <w:rPr>
          <w:noProof/>
          <w:lang w:eastAsia="zh-CN"/>
        </w:rPr>
        <w:t>4</w:t>
      </w:r>
      <w:r>
        <w:rPr>
          <w:noProof/>
        </w:rPr>
        <w:t>.11</w:t>
      </w:r>
      <w:r w:rsidRPr="00DD140B">
        <w:rPr>
          <w:rFonts w:ascii="Calibri" w:eastAsia="Malgun Gothic" w:hAnsi="Calibri"/>
          <w:noProof/>
          <w:sz w:val="22"/>
          <w:szCs w:val="22"/>
          <w:lang w:eastAsia="ko-KR"/>
        </w:rPr>
        <w:tab/>
      </w:r>
      <w:r>
        <w:rPr>
          <w:noProof/>
          <w:lang w:eastAsia="zh-CN"/>
        </w:rPr>
        <w:t xml:space="preserve">Procedures for </w:t>
      </w:r>
      <w:r>
        <w:rPr>
          <w:noProof/>
        </w:rPr>
        <w:t>Enhanced Coverage Restriction Control</w:t>
      </w:r>
      <w:r>
        <w:rPr>
          <w:noProof/>
        </w:rPr>
        <w:tab/>
      </w:r>
      <w:r>
        <w:rPr>
          <w:noProof/>
        </w:rPr>
        <w:fldChar w:fldCharType="begin" w:fldLock="1"/>
      </w:r>
      <w:r>
        <w:rPr>
          <w:noProof/>
        </w:rPr>
        <w:instrText xml:space="preserve"> PAGEREF _Toc153625078 \h </w:instrText>
      </w:r>
      <w:r>
        <w:rPr>
          <w:noProof/>
        </w:rPr>
      </w:r>
      <w:r>
        <w:rPr>
          <w:noProof/>
        </w:rPr>
        <w:fldChar w:fldCharType="separate"/>
      </w:r>
      <w:r>
        <w:rPr>
          <w:noProof/>
        </w:rPr>
        <w:t>50</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4.</w:t>
      </w:r>
      <w:r>
        <w:rPr>
          <w:noProof/>
          <w:lang w:eastAsia="zh-CN"/>
        </w:rPr>
        <w:t>4</w:t>
      </w:r>
      <w:r>
        <w:rPr>
          <w:noProof/>
        </w:rPr>
        <w:t>.12</w:t>
      </w:r>
      <w:r w:rsidRPr="00DD140B">
        <w:rPr>
          <w:rFonts w:ascii="Calibri" w:eastAsia="Malgun Gothic" w:hAnsi="Calibri"/>
          <w:noProof/>
          <w:sz w:val="22"/>
          <w:szCs w:val="22"/>
          <w:lang w:eastAsia="ko-KR"/>
        </w:rPr>
        <w:tab/>
      </w:r>
      <w:r>
        <w:rPr>
          <w:noProof/>
          <w:lang w:eastAsia="zh-CN"/>
        </w:rPr>
        <w:t xml:space="preserve">Procedures for </w:t>
      </w:r>
      <w:r>
        <w:rPr>
          <w:noProof/>
        </w:rPr>
        <w:t>Network Parameter Configuration</w:t>
      </w:r>
      <w:r>
        <w:rPr>
          <w:noProof/>
        </w:rPr>
        <w:tab/>
      </w:r>
      <w:r>
        <w:rPr>
          <w:noProof/>
        </w:rPr>
        <w:fldChar w:fldCharType="begin" w:fldLock="1"/>
      </w:r>
      <w:r>
        <w:rPr>
          <w:noProof/>
        </w:rPr>
        <w:instrText xml:space="preserve"> PAGEREF _Toc153625079 \h </w:instrText>
      </w:r>
      <w:r>
        <w:rPr>
          <w:noProof/>
        </w:rPr>
      </w:r>
      <w:r>
        <w:rPr>
          <w:noProof/>
        </w:rPr>
        <w:fldChar w:fldCharType="separate"/>
      </w:r>
      <w:r>
        <w:rPr>
          <w:noProof/>
        </w:rPr>
        <w:t>50</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4.</w:t>
      </w:r>
      <w:r>
        <w:rPr>
          <w:noProof/>
          <w:lang w:eastAsia="zh-CN"/>
        </w:rPr>
        <w:t>4</w:t>
      </w:r>
      <w:r>
        <w:rPr>
          <w:noProof/>
        </w:rPr>
        <w:t>.12.1</w:t>
      </w:r>
      <w:r w:rsidRPr="00DD140B">
        <w:rPr>
          <w:rFonts w:ascii="Calibri" w:eastAsia="Malgun Gothic" w:hAnsi="Calibri"/>
          <w:noProof/>
          <w:sz w:val="22"/>
          <w:szCs w:val="22"/>
          <w:lang w:eastAsia="ko-KR"/>
        </w:rPr>
        <w:tab/>
      </w:r>
      <w:r>
        <w:rPr>
          <w:noProof/>
          <w:lang w:eastAsia="zh-CN"/>
        </w:rPr>
        <w:t>General</w:t>
      </w:r>
      <w:r>
        <w:rPr>
          <w:noProof/>
        </w:rPr>
        <w:tab/>
      </w:r>
      <w:r>
        <w:rPr>
          <w:noProof/>
        </w:rPr>
        <w:fldChar w:fldCharType="begin" w:fldLock="1"/>
      </w:r>
      <w:r>
        <w:rPr>
          <w:noProof/>
        </w:rPr>
        <w:instrText xml:space="preserve"> PAGEREF _Toc153625080 \h </w:instrText>
      </w:r>
      <w:r>
        <w:rPr>
          <w:noProof/>
        </w:rPr>
      </w:r>
      <w:r>
        <w:rPr>
          <w:noProof/>
        </w:rPr>
        <w:fldChar w:fldCharType="separate"/>
      </w:r>
      <w:r>
        <w:rPr>
          <w:noProof/>
        </w:rPr>
        <w:t>50</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4.</w:t>
      </w:r>
      <w:r>
        <w:rPr>
          <w:noProof/>
          <w:lang w:eastAsia="zh-CN"/>
        </w:rPr>
        <w:t>4</w:t>
      </w:r>
      <w:r>
        <w:rPr>
          <w:noProof/>
        </w:rPr>
        <w:t>.12.2</w:t>
      </w:r>
      <w:r w:rsidRPr="00DD140B">
        <w:rPr>
          <w:rFonts w:ascii="Calibri" w:eastAsia="Malgun Gothic" w:hAnsi="Calibri"/>
          <w:noProof/>
          <w:sz w:val="22"/>
          <w:szCs w:val="22"/>
          <w:lang w:eastAsia="ko-KR"/>
        </w:rPr>
        <w:tab/>
      </w:r>
      <w:r>
        <w:rPr>
          <w:noProof/>
        </w:rPr>
        <w:t>Configuration Request for an individual UE</w:t>
      </w:r>
      <w:r>
        <w:rPr>
          <w:noProof/>
        </w:rPr>
        <w:tab/>
      </w:r>
      <w:r>
        <w:rPr>
          <w:noProof/>
        </w:rPr>
        <w:fldChar w:fldCharType="begin" w:fldLock="1"/>
      </w:r>
      <w:r>
        <w:rPr>
          <w:noProof/>
        </w:rPr>
        <w:instrText xml:space="preserve"> PAGEREF _Toc153625081 \h </w:instrText>
      </w:r>
      <w:r>
        <w:rPr>
          <w:noProof/>
        </w:rPr>
      </w:r>
      <w:r>
        <w:rPr>
          <w:noProof/>
        </w:rPr>
        <w:fldChar w:fldCharType="separate"/>
      </w:r>
      <w:r>
        <w:rPr>
          <w:noProof/>
        </w:rPr>
        <w:t>51</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4.</w:t>
      </w:r>
      <w:r>
        <w:rPr>
          <w:noProof/>
          <w:lang w:eastAsia="zh-CN"/>
        </w:rPr>
        <w:t>4</w:t>
      </w:r>
      <w:r>
        <w:rPr>
          <w:noProof/>
        </w:rPr>
        <w:t>.12.3</w:t>
      </w:r>
      <w:r w:rsidRPr="00DD140B">
        <w:rPr>
          <w:rFonts w:ascii="Calibri" w:eastAsia="Malgun Gothic" w:hAnsi="Calibri"/>
          <w:noProof/>
          <w:sz w:val="22"/>
          <w:szCs w:val="22"/>
          <w:lang w:eastAsia="ko-KR"/>
        </w:rPr>
        <w:tab/>
      </w:r>
      <w:r>
        <w:rPr>
          <w:noProof/>
        </w:rPr>
        <w:t>Configuration Request for a group of UEs</w:t>
      </w:r>
      <w:r>
        <w:rPr>
          <w:noProof/>
        </w:rPr>
        <w:tab/>
      </w:r>
      <w:r>
        <w:rPr>
          <w:noProof/>
        </w:rPr>
        <w:fldChar w:fldCharType="begin" w:fldLock="1"/>
      </w:r>
      <w:r>
        <w:rPr>
          <w:noProof/>
        </w:rPr>
        <w:instrText xml:space="preserve"> PAGEREF _Toc153625082 \h </w:instrText>
      </w:r>
      <w:r>
        <w:rPr>
          <w:noProof/>
        </w:rPr>
      </w:r>
      <w:r>
        <w:rPr>
          <w:noProof/>
        </w:rPr>
        <w:fldChar w:fldCharType="separate"/>
      </w:r>
      <w:r>
        <w:rPr>
          <w:noProof/>
        </w:rPr>
        <w:t>51</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4.</w:t>
      </w:r>
      <w:r>
        <w:rPr>
          <w:noProof/>
          <w:lang w:eastAsia="zh-CN"/>
        </w:rPr>
        <w:t>4</w:t>
      </w:r>
      <w:r>
        <w:rPr>
          <w:noProof/>
        </w:rPr>
        <w:t>.12.4</w:t>
      </w:r>
      <w:r w:rsidRPr="00DD140B">
        <w:rPr>
          <w:rFonts w:ascii="Calibri" w:eastAsia="Malgun Gothic" w:hAnsi="Calibri"/>
          <w:noProof/>
          <w:sz w:val="22"/>
          <w:szCs w:val="22"/>
          <w:lang w:eastAsia="ko-KR"/>
        </w:rPr>
        <w:tab/>
      </w:r>
      <w:r>
        <w:rPr>
          <w:noProof/>
        </w:rPr>
        <w:t>Notification of applied parameter configuration</w:t>
      </w:r>
      <w:r>
        <w:rPr>
          <w:noProof/>
        </w:rPr>
        <w:tab/>
      </w:r>
      <w:r>
        <w:rPr>
          <w:noProof/>
        </w:rPr>
        <w:fldChar w:fldCharType="begin" w:fldLock="1"/>
      </w:r>
      <w:r>
        <w:rPr>
          <w:noProof/>
        </w:rPr>
        <w:instrText xml:space="preserve"> PAGEREF _Toc153625083 \h </w:instrText>
      </w:r>
      <w:r>
        <w:rPr>
          <w:noProof/>
        </w:rPr>
      </w:r>
      <w:r>
        <w:rPr>
          <w:noProof/>
        </w:rPr>
        <w:fldChar w:fldCharType="separate"/>
      </w:r>
      <w:r>
        <w:rPr>
          <w:noProof/>
        </w:rPr>
        <w:t>52</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4.4.13</w:t>
      </w:r>
      <w:r w:rsidRPr="00DD140B">
        <w:rPr>
          <w:rFonts w:ascii="Calibri" w:eastAsia="Malgun Gothic" w:hAnsi="Calibri"/>
          <w:noProof/>
          <w:sz w:val="22"/>
          <w:szCs w:val="22"/>
          <w:lang w:eastAsia="ko-KR"/>
        </w:rPr>
        <w:tab/>
      </w:r>
      <w:r>
        <w:rPr>
          <w:noProof/>
        </w:rPr>
        <w:t>Procedures for setting up an AS session with required QoS</w:t>
      </w:r>
      <w:r>
        <w:rPr>
          <w:noProof/>
        </w:rPr>
        <w:tab/>
      </w:r>
      <w:r>
        <w:rPr>
          <w:noProof/>
        </w:rPr>
        <w:fldChar w:fldCharType="begin" w:fldLock="1"/>
      </w:r>
      <w:r>
        <w:rPr>
          <w:noProof/>
        </w:rPr>
        <w:instrText xml:space="preserve"> PAGEREF _Toc153625084 \h </w:instrText>
      </w:r>
      <w:r>
        <w:rPr>
          <w:noProof/>
        </w:rPr>
      </w:r>
      <w:r>
        <w:rPr>
          <w:noProof/>
        </w:rPr>
        <w:fldChar w:fldCharType="separate"/>
      </w:r>
      <w:r>
        <w:rPr>
          <w:noProof/>
        </w:rPr>
        <w:t>52</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4.4.14</w:t>
      </w:r>
      <w:r w:rsidRPr="00DD140B">
        <w:rPr>
          <w:rFonts w:ascii="Calibri" w:eastAsia="Malgun Gothic" w:hAnsi="Calibri"/>
          <w:noProof/>
          <w:sz w:val="22"/>
          <w:szCs w:val="22"/>
          <w:lang w:eastAsia="ko-KR"/>
        </w:rPr>
        <w:tab/>
      </w:r>
      <w:r>
        <w:rPr>
          <w:noProof/>
        </w:rPr>
        <w:t>Procedures for MSISDN-less Mobile Originated SMS</w:t>
      </w:r>
      <w:r>
        <w:rPr>
          <w:noProof/>
        </w:rPr>
        <w:tab/>
      </w:r>
      <w:r>
        <w:rPr>
          <w:noProof/>
        </w:rPr>
        <w:fldChar w:fldCharType="begin" w:fldLock="1"/>
      </w:r>
      <w:r>
        <w:rPr>
          <w:noProof/>
        </w:rPr>
        <w:instrText xml:space="preserve"> PAGEREF _Toc153625085 \h </w:instrText>
      </w:r>
      <w:r>
        <w:rPr>
          <w:noProof/>
        </w:rPr>
      </w:r>
      <w:r>
        <w:rPr>
          <w:noProof/>
        </w:rPr>
        <w:fldChar w:fldCharType="separate"/>
      </w:r>
      <w:r>
        <w:rPr>
          <w:noProof/>
        </w:rPr>
        <w:t>53</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4.4.14.1</w:t>
      </w:r>
      <w:r w:rsidRPr="00DD140B">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_Toc153625086 \h </w:instrText>
      </w:r>
      <w:r>
        <w:rPr>
          <w:noProof/>
        </w:rPr>
      </w:r>
      <w:r>
        <w:rPr>
          <w:noProof/>
        </w:rPr>
        <w:fldChar w:fldCharType="separate"/>
      </w:r>
      <w:r>
        <w:rPr>
          <w:noProof/>
        </w:rPr>
        <w:t>53</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4.4.14.2</w:t>
      </w:r>
      <w:r w:rsidRPr="00DD140B">
        <w:rPr>
          <w:rFonts w:ascii="Calibri" w:eastAsia="Malgun Gothic" w:hAnsi="Calibri"/>
          <w:noProof/>
          <w:sz w:val="22"/>
          <w:szCs w:val="22"/>
          <w:lang w:eastAsia="ko-KR"/>
        </w:rPr>
        <w:tab/>
      </w:r>
      <w:r>
        <w:rPr>
          <w:noProof/>
        </w:rPr>
        <w:t>Delivery of MSISDN-less MO SMS</w:t>
      </w:r>
      <w:r>
        <w:rPr>
          <w:noProof/>
        </w:rPr>
        <w:tab/>
      </w:r>
      <w:r>
        <w:rPr>
          <w:noProof/>
        </w:rPr>
        <w:fldChar w:fldCharType="begin" w:fldLock="1"/>
      </w:r>
      <w:r>
        <w:rPr>
          <w:noProof/>
        </w:rPr>
        <w:instrText xml:space="preserve"> PAGEREF _Toc153625087 \h </w:instrText>
      </w:r>
      <w:r>
        <w:rPr>
          <w:noProof/>
        </w:rPr>
      </w:r>
      <w:r>
        <w:rPr>
          <w:noProof/>
        </w:rPr>
        <w:fldChar w:fldCharType="separate"/>
      </w:r>
      <w:r>
        <w:rPr>
          <w:noProof/>
        </w:rPr>
        <w:t>53</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4.</w:t>
      </w:r>
      <w:r>
        <w:rPr>
          <w:noProof/>
          <w:lang w:eastAsia="zh-CN"/>
        </w:rPr>
        <w:t>4</w:t>
      </w:r>
      <w:r>
        <w:rPr>
          <w:noProof/>
        </w:rPr>
        <w:t>.15</w:t>
      </w:r>
      <w:r w:rsidRPr="00DD140B">
        <w:rPr>
          <w:rFonts w:ascii="Calibri" w:eastAsia="Malgun Gothic" w:hAnsi="Calibri"/>
          <w:noProof/>
          <w:sz w:val="22"/>
          <w:szCs w:val="22"/>
          <w:lang w:eastAsia="ko-KR"/>
        </w:rPr>
        <w:tab/>
      </w:r>
      <w:r>
        <w:rPr>
          <w:noProof/>
          <w:lang w:eastAsia="zh-CN"/>
        </w:rPr>
        <w:t xml:space="preserve">Procedures for RACS </w:t>
      </w:r>
      <w:r>
        <w:rPr>
          <w:noProof/>
        </w:rPr>
        <w:t>Parameter Provisioning</w:t>
      </w:r>
      <w:r>
        <w:rPr>
          <w:noProof/>
        </w:rPr>
        <w:tab/>
      </w:r>
      <w:r>
        <w:rPr>
          <w:noProof/>
        </w:rPr>
        <w:fldChar w:fldCharType="begin" w:fldLock="1"/>
      </w:r>
      <w:r>
        <w:rPr>
          <w:noProof/>
        </w:rPr>
        <w:instrText xml:space="preserve"> PAGEREF _Toc153625088 \h </w:instrText>
      </w:r>
      <w:r>
        <w:rPr>
          <w:noProof/>
        </w:rPr>
      </w:r>
      <w:r>
        <w:rPr>
          <w:noProof/>
        </w:rPr>
        <w:fldChar w:fldCharType="separate"/>
      </w:r>
      <w:r>
        <w:rPr>
          <w:noProof/>
        </w:rPr>
        <w:t>54</w:t>
      </w:r>
      <w:r>
        <w:rPr>
          <w:noProof/>
        </w:rPr>
        <w:fldChar w:fldCharType="end"/>
      </w:r>
    </w:p>
    <w:p w:rsidR="007D56C6" w:rsidRPr="00DD140B" w:rsidRDefault="007D56C6">
      <w:pPr>
        <w:pStyle w:val="TOC1"/>
        <w:rPr>
          <w:rFonts w:ascii="Calibri" w:eastAsia="Malgun Gothic" w:hAnsi="Calibri"/>
          <w:noProof/>
          <w:szCs w:val="22"/>
          <w:lang w:eastAsia="ko-KR"/>
        </w:rPr>
      </w:pPr>
      <w:r>
        <w:rPr>
          <w:noProof/>
          <w:lang w:eastAsia="zh-CN"/>
        </w:rPr>
        <w:t>5</w:t>
      </w:r>
      <w:r w:rsidRPr="00DD140B">
        <w:rPr>
          <w:rFonts w:ascii="Calibri" w:eastAsia="Malgun Gothic" w:hAnsi="Calibri"/>
          <w:noProof/>
          <w:szCs w:val="22"/>
          <w:lang w:eastAsia="ko-KR"/>
        </w:rPr>
        <w:tab/>
      </w:r>
      <w:r>
        <w:rPr>
          <w:noProof/>
          <w:lang w:eastAsia="zh-CN"/>
        </w:rPr>
        <w:t>T8 APIs</w:t>
      </w:r>
      <w:r>
        <w:rPr>
          <w:noProof/>
        </w:rPr>
        <w:tab/>
      </w:r>
      <w:r>
        <w:rPr>
          <w:noProof/>
        </w:rPr>
        <w:fldChar w:fldCharType="begin" w:fldLock="1"/>
      </w:r>
      <w:r>
        <w:rPr>
          <w:noProof/>
        </w:rPr>
        <w:instrText xml:space="preserve"> PAGEREF _Toc153625089 \h </w:instrText>
      </w:r>
      <w:r>
        <w:rPr>
          <w:noProof/>
        </w:rPr>
      </w:r>
      <w:r>
        <w:rPr>
          <w:noProof/>
        </w:rPr>
        <w:fldChar w:fldCharType="separate"/>
      </w:r>
      <w:r>
        <w:rPr>
          <w:noProof/>
        </w:rPr>
        <w:t>54</w:t>
      </w:r>
      <w:r>
        <w:rPr>
          <w:noProof/>
        </w:rPr>
        <w:fldChar w:fldCharType="end"/>
      </w:r>
    </w:p>
    <w:p w:rsidR="007D56C6" w:rsidRPr="00DD140B" w:rsidRDefault="007D56C6">
      <w:pPr>
        <w:pStyle w:val="TOC2"/>
        <w:rPr>
          <w:rFonts w:ascii="Calibri" w:eastAsia="Malgun Gothic" w:hAnsi="Calibri"/>
          <w:noProof/>
          <w:sz w:val="22"/>
          <w:szCs w:val="22"/>
          <w:lang w:eastAsia="ko-KR"/>
        </w:rPr>
      </w:pPr>
      <w:r>
        <w:rPr>
          <w:noProof/>
          <w:lang w:eastAsia="zh-CN"/>
        </w:rPr>
        <w:t>5</w:t>
      </w:r>
      <w:r>
        <w:rPr>
          <w:noProof/>
        </w:rPr>
        <w:t>.1</w:t>
      </w:r>
      <w:r w:rsidRPr="00DD140B">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_Toc153625090 \h </w:instrText>
      </w:r>
      <w:r>
        <w:rPr>
          <w:noProof/>
        </w:rPr>
      </w:r>
      <w:r>
        <w:rPr>
          <w:noProof/>
        </w:rPr>
        <w:fldChar w:fldCharType="separate"/>
      </w:r>
      <w:r>
        <w:rPr>
          <w:noProof/>
        </w:rPr>
        <w:t>54</w:t>
      </w:r>
      <w:r>
        <w:rPr>
          <w:noProof/>
        </w:rPr>
        <w:fldChar w:fldCharType="end"/>
      </w:r>
    </w:p>
    <w:p w:rsidR="007D56C6" w:rsidRPr="00DD140B" w:rsidRDefault="007D56C6">
      <w:pPr>
        <w:pStyle w:val="TOC2"/>
        <w:rPr>
          <w:rFonts w:ascii="Calibri" w:eastAsia="Malgun Gothic" w:hAnsi="Calibri"/>
          <w:noProof/>
          <w:sz w:val="22"/>
          <w:szCs w:val="22"/>
          <w:lang w:eastAsia="ko-KR"/>
        </w:rPr>
      </w:pPr>
      <w:r>
        <w:rPr>
          <w:noProof/>
          <w:lang w:eastAsia="zh-CN"/>
        </w:rPr>
        <w:t>5</w:t>
      </w:r>
      <w:r>
        <w:rPr>
          <w:noProof/>
        </w:rPr>
        <w:t>.2</w:t>
      </w:r>
      <w:r w:rsidRPr="00DD140B">
        <w:rPr>
          <w:rFonts w:ascii="Calibri" w:eastAsia="Malgun Gothic" w:hAnsi="Calibri"/>
          <w:noProof/>
          <w:sz w:val="22"/>
          <w:szCs w:val="22"/>
          <w:lang w:eastAsia="ko-KR"/>
        </w:rPr>
        <w:tab/>
      </w:r>
      <w:r>
        <w:rPr>
          <w:noProof/>
        </w:rPr>
        <w:t>Information applicable to several APIs</w:t>
      </w:r>
      <w:r>
        <w:rPr>
          <w:noProof/>
        </w:rPr>
        <w:tab/>
      </w:r>
      <w:r>
        <w:rPr>
          <w:noProof/>
        </w:rPr>
        <w:fldChar w:fldCharType="begin" w:fldLock="1"/>
      </w:r>
      <w:r>
        <w:rPr>
          <w:noProof/>
        </w:rPr>
        <w:instrText xml:space="preserve"> PAGEREF _Toc153625091 \h </w:instrText>
      </w:r>
      <w:r>
        <w:rPr>
          <w:noProof/>
        </w:rPr>
      </w:r>
      <w:r>
        <w:rPr>
          <w:noProof/>
        </w:rPr>
        <w:fldChar w:fldCharType="separate"/>
      </w:r>
      <w:r>
        <w:rPr>
          <w:noProof/>
        </w:rPr>
        <w:t>55</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5.2.1</w:t>
      </w:r>
      <w:r w:rsidRPr="00DD140B">
        <w:rPr>
          <w:rFonts w:ascii="Calibri" w:eastAsia="Malgun Gothic" w:hAnsi="Calibri"/>
          <w:noProof/>
          <w:sz w:val="22"/>
          <w:szCs w:val="22"/>
          <w:lang w:eastAsia="ko-KR"/>
        </w:rPr>
        <w:tab/>
      </w:r>
      <w:r>
        <w:rPr>
          <w:noProof/>
        </w:rPr>
        <w:t>Data Types</w:t>
      </w:r>
      <w:r>
        <w:rPr>
          <w:noProof/>
        </w:rPr>
        <w:tab/>
      </w:r>
      <w:r>
        <w:rPr>
          <w:noProof/>
        </w:rPr>
        <w:fldChar w:fldCharType="begin" w:fldLock="1"/>
      </w:r>
      <w:r>
        <w:rPr>
          <w:noProof/>
        </w:rPr>
        <w:instrText xml:space="preserve"> PAGEREF _Toc153625092 \h </w:instrText>
      </w:r>
      <w:r>
        <w:rPr>
          <w:noProof/>
        </w:rPr>
      </w:r>
      <w:r>
        <w:rPr>
          <w:noProof/>
        </w:rPr>
        <w:fldChar w:fldCharType="separate"/>
      </w:r>
      <w:r>
        <w:rPr>
          <w:noProof/>
        </w:rPr>
        <w:t>55</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5.2.1.1</w:t>
      </w:r>
      <w:r w:rsidRPr="00DD140B">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_Toc153625093 \h </w:instrText>
      </w:r>
      <w:r>
        <w:rPr>
          <w:noProof/>
        </w:rPr>
      </w:r>
      <w:r>
        <w:rPr>
          <w:noProof/>
        </w:rPr>
        <w:fldChar w:fldCharType="separate"/>
      </w:r>
      <w:r>
        <w:rPr>
          <w:noProof/>
        </w:rPr>
        <w:t>55</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5.2.1.2</w:t>
      </w:r>
      <w:r w:rsidRPr="00DD140B">
        <w:rPr>
          <w:rFonts w:ascii="Calibri" w:eastAsia="Malgun Gothic" w:hAnsi="Calibri"/>
          <w:noProof/>
          <w:sz w:val="22"/>
          <w:szCs w:val="22"/>
          <w:lang w:eastAsia="ko-KR"/>
        </w:rPr>
        <w:tab/>
      </w:r>
      <w:r>
        <w:rPr>
          <w:noProof/>
        </w:rPr>
        <w:t>Referenced structured data types</w:t>
      </w:r>
      <w:r>
        <w:rPr>
          <w:noProof/>
        </w:rPr>
        <w:tab/>
      </w:r>
      <w:r>
        <w:rPr>
          <w:noProof/>
        </w:rPr>
        <w:fldChar w:fldCharType="begin" w:fldLock="1"/>
      </w:r>
      <w:r>
        <w:rPr>
          <w:noProof/>
        </w:rPr>
        <w:instrText xml:space="preserve"> PAGEREF _Toc153625094 \h </w:instrText>
      </w:r>
      <w:r>
        <w:rPr>
          <w:noProof/>
        </w:rPr>
      </w:r>
      <w:r>
        <w:rPr>
          <w:noProof/>
        </w:rPr>
        <w:fldChar w:fldCharType="separate"/>
      </w:r>
      <w:r>
        <w:rPr>
          <w:noProof/>
        </w:rPr>
        <w:t>58</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5.2.1.2.1</w:t>
      </w:r>
      <w:r w:rsidRPr="00DD140B">
        <w:rPr>
          <w:rFonts w:ascii="Calibri" w:eastAsia="Malgun Gothic" w:hAnsi="Calibri"/>
          <w:noProof/>
          <w:sz w:val="22"/>
          <w:szCs w:val="22"/>
          <w:lang w:eastAsia="ko-KR"/>
        </w:rPr>
        <w:tab/>
      </w:r>
      <w:r>
        <w:rPr>
          <w:noProof/>
        </w:rPr>
        <w:t>Type: SponsorInformation</w:t>
      </w:r>
      <w:r>
        <w:rPr>
          <w:noProof/>
        </w:rPr>
        <w:tab/>
      </w:r>
      <w:r>
        <w:rPr>
          <w:noProof/>
        </w:rPr>
        <w:fldChar w:fldCharType="begin" w:fldLock="1"/>
      </w:r>
      <w:r>
        <w:rPr>
          <w:noProof/>
        </w:rPr>
        <w:instrText xml:space="preserve"> PAGEREF _Toc153625095 \h </w:instrText>
      </w:r>
      <w:r>
        <w:rPr>
          <w:noProof/>
        </w:rPr>
      </w:r>
      <w:r>
        <w:rPr>
          <w:noProof/>
        </w:rPr>
        <w:fldChar w:fldCharType="separate"/>
      </w:r>
      <w:r>
        <w:rPr>
          <w:noProof/>
        </w:rPr>
        <w:t>58</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5.2.1.2.2</w:t>
      </w:r>
      <w:r w:rsidRPr="00DD140B">
        <w:rPr>
          <w:rFonts w:ascii="Calibri" w:eastAsia="Malgun Gothic" w:hAnsi="Calibri"/>
          <w:noProof/>
          <w:sz w:val="22"/>
          <w:szCs w:val="22"/>
          <w:lang w:eastAsia="ko-KR"/>
        </w:rPr>
        <w:tab/>
      </w:r>
      <w:r>
        <w:rPr>
          <w:noProof/>
        </w:rPr>
        <w:t>Type: UsageThreshold</w:t>
      </w:r>
      <w:r>
        <w:rPr>
          <w:noProof/>
        </w:rPr>
        <w:tab/>
      </w:r>
      <w:r>
        <w:rPr>
          <w:noProof/>
        </w:rPr>
        <w:fldChar w:fldCharType="begin" w:fldLock="1"/>
      </w:r>
      <w:r>
        <w:rPr>
          <w:noProof/>
        </w:rPr>
        <w:instrText xml:space="preserve"> PAGEREF _Toc153625096 \h </w:instrText>
      </w:r>
      <w:r>
        <w:rPr>
          <w:noProof/>
        </w:rPr>
      </w:r>
      <w:r>
        <w:rPr>
          <w:noProof/>
        </w:rPr>
        <w:fldChar w:fldCharType="separate"/>
      </w:r>
      <w:r>
        <w:rPr>
          <w:noProof/>
        </w:rPr>
        <w:t>58</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5.2.1.2.3</w:t>
      </w:r>
      <w:r w:rsidRPr="00DD140B">
        <w:rPr>
          <w:rFonts w:ascii="Calibri" w:eastAsia="Malgun Gothic" w:hAnsi="Calibri"/>
          <w:noProof/>
          <w:sz w:val="22"/>
          <w:szCs w:val="22"/>
          <w:lang w:eastAsia="ko-KR"/>
        </w:rPr>
        <w:tab/>
      </w:r>
      <w:r>
        <w:rPr>
          <w:noProof/>
        </w:rPr>
        <w:t xml:space="preserve">Type: </w:t>
      </w:r>
      <w:r w:rsidRPr="00677085">
        <w:rPr>
          <w:rFonts w:eastAsia="Times New Roman"/>
          <w:noProof/>
        </w:rPr>
        <w:t>TimeWindow</w:t>
      </w:r>
      <w:r>
        <w:rPr>
          <w:noProof/>
        </w:rPr>
        <w:tab/>
      </w:r>
      <w:r>
        <w:rPr>
          <w:noProof/>
        </w:rPr>
        <w:fldChar w:fldCharType="begin" w:fldLock="1"/>
      </w:r>
      <w:r>
        <w:rPr>
          <w:noProof/>
        </w:rPr>
        <w:instrText xml:space="preserve"> PAGEREF _Toc153625097 \h </w:instrText>
      </w:r>
      <w:r>
        <w:rPr>
          <w:noProof/>
        </w:rPr>
      </w:r>
      <w:r>
        <w:rPr>
          <w:noProof/>
        </w:rPr>
        <w:fldChar w:fldCharType="separate"/>
      </w:r>
      <w:r>
        <w:rPr>
          <w:noProof/>
        </w:rPr>
        <w:t>58</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5.2.1.2.4</w:t>
      </w:r>
      <w:r w:rsidRPr="00DD140B">
        <w:rPr>
          <w:rFonts w:ascii="Calibri" w:eastAsia="Malgun Gothic" w:hAnsi="Calibri"/>
          <w:noProof/>
          <w:sz w:val="22"/>
          <w:szCs w:val="22"/>
          <w:lang w:eastAsia="ko-KR"/>
        </w:rPr>
        <w:tab/>
      </w:r>
      <w:r>
        <w:rPr>
          <w:noProof/>
        </w:rPr>
        <w:t>Type: Acknowledgement</w:t>
      </w:r>
      <w:r>
        <w:rPr>
          <w:noProof/>
        </w:rPr>
        <w:tab/>
      </w:r>
      <w:r>
        <w:rPr>
          <w:noProof/>
        </w:rPr>
        <w:fldChar w:fldCharType="begin" w:fldLock="1"/>
      </w:r>
      <w:r>
        <w:rPr>
          <w:noProof/>
        </w:rPr>
        <w:instrText xml:space="preserve"> PAGEREF _Toc153625098 \h </w:instrText>
      </w:r>
      <w:r>
        <w:rPr>
          <w:noProof/>
        </w:rPr>
      </w:r>
      <w:r>
        <w:rPr>
          <w:noProof/>
        </w:rPr>
        <w:fldChar w:fldCharType="separate"/>
      </w:r>
      <w:r>
        <w:rPr>
          <w:noProof/>
        </w:rPr>
        <w:t>59</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5.2.1.2.5</w:t>
      </w:r>
      <w:r w:rsidRPr="00DD140B">
        <w:rPr>
          <w:rFonts w:ascii="Calibri" w:eastAsia="Malgun Gothic" w:hAnsi="Calibri"/>
          <w:noProof/>
          <w:sz w:val="22"/>
          <w:szCs w:val="22"/>
          <w:lang w:eastAsia="ko-KR"/>
        </w:rPr>
        <w:tab/>
      </w:r>
      <w:r>
        <w:rPr>
          <w:noProof/>
        </w:rPr>
        <w:t>Type: NotificationData</w:t>
      </w:r>
      <w:r>
        <w:rPr>
          <w:noProof/>
        </w:rPr>
        <w:tab/>
      </w:r>
      <w:r>
        <w:rPr>
          <w:noProof/>
        </w:rPr>
        <w:fldChar w:fldCharType="begin" w:fldLock="1"/>
      </w:r>
      <w:r>
        <w:rPr>
          <w:noProof/>
        </w:rPr>
        <w:instrText xml:space="preserve"> PAGEREF _Toc153625099 \h </w:instrText>
      </w:r>
      <w:r>
        <w:rPr>
          <w:noProof/>
        </w:rPr>
      </w:r>
      <w:r>
        <w:rPr>
          <w:noProof/>
        </w:rPr>
        <w:fldChar w:fldCharType="separate"/>
      </w:r>
      <w:r>
        <w:rPr>
          <w:noProof/>
        </w:rPr>
        <w:t>59</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5.2.1.2.6</w:t>
      </w:r>
      <w:r w:rsidRPr="00DD140B">
        <w:rPr>
          <w:rFonts w:ascii="Calibri" w:eastAsia="Malgun Gothic" w:hAnsi="Calibri"/>
          <w:noProof/>
          <w:sz w:val="22"/>
          <w:szCs w:val="22"/>
          <w:lang w:eastAsia="ko-KR"/>
        </w:rPr>
        <w:tab/>
      </w:r>
      <w:r>
        <w:rPr>
          <w:noProof/>
        </w:rPr>
        <w:t>Type: EventReport</w:t>
      </w:r>
      <w:r>
        <w:rPr>
          <w:noProof/>
        </w:rPr>
        <w:tab/>
      </w:r>
      <w:r>
        <w:rPr>
          <w:noProof/>
        </w:rPr>
        <w:fldChar w:fldCharType="begin" w:fldLock="1"/>
      </w:r>
      <w:r>
        <w:rPr>
          <w:noProof/>
        </w:rPr>
        <w:instrText xml:space="preserve"> PAGEREF _Toc153625100 \h </w:instrText>
      </w:r>
      <w:r>
        <w:rPr>
          <w:noProof/>
        </w:rPr>
      </w:r>
      <w:r>
        <w:rPr>
          <w:noProof/>
        </w:rPr>
        <w:fldChar w:fldCharType="separate"/>
      </w:r>
      <w:r>
        <w:rPr>
          <w:noProof/>
        </w:rPr>
        <w:t>59</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5.2.1.2.7</w:t>
      </w:r>
      <w:r w:rsidRPr="00DD140B">
        <w:rPr>
          <w:rFonts w:ascii="Calibri" w:eastAsia="Malgun Gothic" w:hAnsi="Calibri"/>
          <w:noProof/>
          <w:sz w:val="22"/>
          <w:szCs w:val="22"/>
          <w:lang w:eastAsia="ko-KR"/>
        </w:rPr>
        <w:tab/>
      </w:r>
      <w:r>
        <w:rPr>
          <w:noProof/>
        </w:rPr>
        <w:t>Type: AccumulatedUsage</w:t>
      </w:r>
      <w:r>
        <w:rPr>
          <w:noProof/>
        </w:rPr>
        <w:tab/>
      </w:r>
      <w:r>
        <w:rPr>
          <w:noProof/>
        </w:rPr>
        <w:fldChar w:fldCharType="begin" w:fldLock="1"/>
      </w:r>
      <w:r>
        <w:rPr>
          <w:noProof/>
        </w:rPr>
        <w:instrText xml:space="preserve"> PAGEREF _Toc153625101 \h </w:instrText>
      </w:r>
      <w:r>
        <w:rPr>
          <w:noProof/>
        </w:rPr>
      </w:r>
      <w:r>
        <w:rPr>
          <w:noProof/>
        </w:rPr>
        <w:fldChar w:fldCharType="separate"/>
      </w:r>
      <w:r>
        <w:rPr>
          <w:noProof/>
        </w:rPr>
        <w:t>59</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5.2.1.2.8</w:t>
      </w:r>
      <w:r w:rsidRPr="00DD140B">
        <w:rPr>
          <w:rFonts w:ascii="Calibri" w:eastAsia="Malgun Gothic" w:hAnsi="Calibri"/>
          <w:noProof/>
          <w:sz w:val="22"/>
          <w:szCs w:val="22"/>
          <w:lang w:eastAsia="ko-KR"/>
        </w:rPr>
        <w:tab/>
      </w:r>
      <w:r>
        <w:rPr>
          <w:noProof/>
        </w:rPr>
        <w:t>Type: FlowInfo</w:t>
      </w:r>
      <w:r>
        <w:rPr>
          <w:noProof/>
        </w:rPr>
        <w:tab/>
      </w:r>
      <w:r>
        <w:rPr>
          <w:noProof/>
        </w:rPr>
        <w:fldChar w:fldCharType="begin" w:fldLock="1"/>
      </w:r>
      <w:r>
        <w:rPr>
          <w:noProof/>
        </w:rPr>
        <w:instrText xml:space="preserve"> PAGEREF _Toc153625102 \h </w:instrText>
      </w:r>
      <w:r>
        <w:rPr>
          <w:noProof/>
        </w:rPr>
      </w:r>
      <w:r>
        <w:rPr>
          <w:noProof/>
        </w:rPr>
        <w:fldChar w:fldCharType="separate"/>
      </w:r>
      <w:r>
        <w:rPr>
          <w:noProof/>
        </w:rPr>
        <w:t>59</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5.2.1.2.9</w:t>
      </w:r>
      <w:r w:rsidRPr="00DD140B">
        <w:rPr>
          <w:rFonts w:ascii="Calibri" w:eastAsia="Malgun Gothic" w:hAnsi="Calibri"/>
          <w:noProof/>
          <w:sz w:val="22"/>
          <w:szCs w:val="22"/>
          <w:lang w:eastAsia="ko-KR"/>
        </w:rPr>
        <w:tab/>
      </w:r>
      <w:r>
        <w:rPr>
          <w:noProof/>
        </w:rPr>
        <w:t>Type: TestNotification</w:t>
      </w:r>
      <w:r>
        <w:rPr>
          <w:noProof/>
        </w:rPr>
        <w:tab/>
      </w:r>
      <w:r>
        <w:rPr>
          <w:noProof/>
        </w:rPr>
        <w:fldChar w:fldCharType="begin" w:fldLock="1"/>
      </w:r>
      <w:r>
        <w:rPr>
          <w:noProof/>
        </w:rPr>
        <w:instrText xml:space="preserve"> PAGEREF _Toc153625103 \h </w:instrText>
      </w:r>
      <w:r>
        <w:rPr>
          <w:noProof/>
        </w:rPr>
      </w:r>
      <w:r>
        <w:rPr>
          <w:noProof/>
        </w:rPr>
        <w:fldChar w:fldCharType="separate"/>
      </w:r>
      <w:r>
        <w:rPr>
          <w:noProof/>
        </w:rPr>
        <w:t>60</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5.2.1.2.10</w:t>
      </w:r>
      <w:r w:rsidRPr="00DD140B">
        <w:rPr>
          <w:rFonts w:ascii="Calibri" w:eastAsia="Malgun Gothic" w:hAnsi="Calibri"/>
          <w:noProof/>
          <w:sz w:val="22"/>
          <w:szCs w:val="22"/>
          <w:lang w:eastAsia="ko-KR"/>
        </w:rPr>
        <w:tab/>
      </w:r>
      <w:r>
        <w:rPr>
          <w:noProof/>
        </w:rPr>
        <w:t>Type: WebsockNotifConfig</w:t>
      </w:r>
      <w:r>
        <w:rPr>
          <w:noProof/>
        </w:rPr>
        <w:tab/>
      </w:r>
      <w:r>
        <w:rPr>
          <w:noProof/>
        </w:rPr>
        <w:fldChar w:fldCharType="begin" w:fldLock="1"/>
      </w:r>
      <w:r>
        <w:rPr>
          <w:noProof/>
        </w:rPr>
        <w:instrText xml:space="preserve"> PAGEREF _Toc153625104 \h </w:instrText>
      </w:r>
      <w:r>
        <w:rPr>
          <w:noProof/>
        </w:rPr>
      </w:r>
      <w:r>
        <w:rPr>
          <w:noProof/>
        </w:rPr>
        <w:fldChar w:fldCharType="separate"/>
      </w:r>
      <w:r>
        <w:rPr>
          <w:noProof/>
        </w:rPr>
        <w:t>60</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5.2.1.2.11</w:t>
      </w:r>
      <w:r w:rsidRPr="00DD140B">
        <w:rPr>
          <w:rFonts w:ascii="Calibri" w:eastAsia="Malgun Gothic" w:hAnsi="Calibri"/>
          <w:noProof/>
          <w:sz w:val="22"/>
          <w:szCs w:val="22"/>
          <w:lang w:eastAsia="ko-KR"/>
        </w:rPr>
        <w:tab/>
      </w:r>
      <w:r>
        <w:rPr>
          <w:noProof/>
        </w:rPr>
        <w:t xml:space="preserve">Type: </w:t>
      </w:r>
      <w:r>
        <w:rPr>
          <w:noProof/>
          <w:lang w:eastAsia="zh-CN"/>
        </w:rPr>
        <w:t>LocationArea</w:t>
      </w:r>
      <w:r>
        <w:rPr>
          <w:noProof/>
        </w:rPr>
        <w:tab/>
      </w:r>
      <w:r>
        <w:rPr>
          <w:noProof/>
        </w:rPr>
        <w:fldChar w:fldCharType="begin" w:fldLock="1"/>
      </w:r>
      <w:r>
        <w:rPr>
          <w:noProof/>
        </w:rPr>
        <w:instrText xml:space="preserve"> PAGEREF _Toc153625105 \h </w:instrText>
      </w:r>
      <w:r>
        <w:rPr>
          <w:noProof/>
        </w:rPr>
      </w:r>
      <w:r>
        <w:rPr>
          <w:noProof/>
        </w:rPr>
        <w:fldChar w:fldCharType="separate"/>
      </w:r>
      <w:r>
        <w:rPr>
          <w:noProof/>
        </w:rPr>
        <w:t>60</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5.2.1.2.12</w:t>
      </w:r>
      <w:r w:rsidRPr="00DD140B">
        <w:rPr>
          <w:rFonts w:ascii="Calibri" w:eastAsia="Malgun Gothic" w:hAnsi="Calibri"/>
          <w:noProof/>
          <w:sz w:val="22"/>
          <w:szCs w:val="22"/>
          <w:lang w:eastAsia="ko-KR"/>
        </w:rPr>
        <w:tab/>
      </w:r>
      <w:r>
        <w:rPr>
          <w:noProof/>
        </w:rPr>
        <w:t>Type: ProblemDetails</w:t>
      </w:r>
      <w:r>
        <w:rPr>
          <w:noProof/>
        </w:rPr>
        <w:tab/>
      </w:r>
      <w:r>
        <w:rPr>
          <w:noProof/>
        </w:rPr>
        <w:fldChar w:fldCharType="begin" w:fldLock="1"/>
      </w:r>
      <w:r>
        <w:rPr>
          <w:noProof/>
        </w:rPr>
        <w:instrText xml:space="preserve"> PAGEREF _Toc153625106 \h </w:instrText>
      </w:r>
      <w:r>
        <w:rPr>
          <w:noProof/>
        </w:rPr>
      </w:r>
      <w:r>
        <w:rPr>
          <w:noProof/>
        </w:rPr>
        <w:fldChar w:fldCharType="separate"/>
      </w:r>
      <w:r>
        <w:rPr>
          <w:noProof/>
        </w:rPr>
        <w:t>61</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5.2.1.2.13</w:t>
      </w:r>
      <w:r w:rsidRPr="00DD140B">
        <w:rPr>
          <w:rFonts w:ascii="Calibri" w:eastAsia="Malgun Gothic" w:hAnsi="Calibri"/>
          <w:noProof/>
          <w:sz w:val="22"/>
          <w:szCs w:val="22"/>
          <w:lang w:eastAsia="ko-KR"/>
        </w:rPr>
        <w:tab/>
      </w:r>
      <w:r>
        <w:rPr>
          <w:noProof/>
        </w:rPr>
        <w:t>Type: InvalidParam</w:t>
      </w:r>
      <w:r>
        <w:rPr>
          <w:noProof/>
        </w:rPr>
        <w:tab/>
      </w:r>
      <w:r>
        <w:rPr>
          <w:noProof/>
        </w:rPr>
        <w:fldChar w:fldCharType="begin" w:fldLock="1"/>
      </w:r>
      <w:r>
        <w:rPr>
          <w:noProof/>
        </w:rPr>
        <w:instrText xml:space="preserve"> PAGEREF _Toc153625107 \h </w:instrText>
      </w:r>
      <w:r>
        <w:rPr>
          <w:noProof/>
        </w:rPr>
      </w:r>
      <w:r>
        <w:rPr>
          <w:noProof/>
        </w:rPr>
        <w:fldChar w:fldCharType="separate"/>
      </w:r>
      <w:r>
        <w:rPr>
          <w:noProof/>
        </w:rPr>
        <w:t>61</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5.2.1.2.14</w:t>
      </w:r>
      <w:r w:rsidRPr="00DD140B">
        <w:rPr>
          <w:rFonts w:ascii="Calibri" w:eastAsia="Malgun Gothic" w:hAnsi="Calibri"/>
          <w:noProof/>
          <w:sz w:val="22"/>
          <w:szCs w:val="22"/>
          <w:lang w:eastAsia="ko-KR"/>
        </w:rPr>
        <w:tab/>
      </w:r>
      <w:r>
        <w:rPr>
          <w:noProof/>
        </w:rPr>
        <w:t>Type: PlmnId</w:t>
      </w:r>
      <w:r>
        <w:rPr>
          <w:noProof/>
        </w:rPr>
        <w:tab/>
      </w:r>
      <w:r>
        <w:rPr>
          <w:noProof/>
        </w:rPr>
        <w:fldChar w:fldCharType="begin" w:fldLock="1"/>
      </w:r>
      <w:r>
        <w:rPr>
          <w:noProof/>
        </w:rPr>
        <w:instrText xml:space="preserve"> PAGEREF _Toc153625108 \h </w:instrText>
      </w:r>
      <w:r>
        <w:rPr>
          <w:noProof/>
        </w:rPr>
      </w:r>
      <w:r>
        <w:rPr>
          <w:noProof/>
        </w:rPr>
        <w:fldChar w:fldCharType="separate"/>
      </w:r>
      <w:r>
        <w:rPr>
          <w:noProof/>
        </w:rPr>
        <w:t>62</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5.2.1.2.15</w:t>
      </w:r>
      <w:r w:rsidRPr="00DD140B">
        <w:rPr>
          <w:rFonts w:ascii="Calibri" w:eastAsia="Malgun Gothic" w:hAnsi="Calibri"/>
          <w:noProof/>
          <w:sz w:val="22"/>
          <w:szCs w:val="22"/>
          <w:lang w:eastAsia="ko-KR"/>
        </w:rPr>
        <w:tab/>
      </w:r>
      <w:r>
        <w:rPr>
          <w:noProof/>
        </w:rPr>
        <w:t>Type: ConfigResult</w:t>
      </w:r>
      <w:r>
        <w:rPr>
          <w:noProof/>
        </w:rPr>
        <w:tab/>
      </w:r>
      <w:r>
        <w:rPr>
          <w:noProof/>
        </w:rPr>
        <w:fldChar w:fldCharType="begin" w:fldLock="1"/>
      </w:r>
      <w:r>
        <w:rPr>
          <w:noProof/>
        </w:rPr>
        <w:instrText xml:space="preserve"> PAGEREF _Toc153625109 \h </w:instrText>
      </w:r>
      <w:r>
        <w:rPr>
          <w:noProof/>
        </w:rPr>
      </w:r>
      <w:r>
        <w:rPr>
          <w:noProof/>
        </w:rPr>
        <w:fldChar w:fldCharType="separate"/>
      </w:r>
      <w:r>
        <w:rPr>
          <w:noProof/>
        </w:rPr>
        <w:t>62</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5.2.1.2.16</w:t>
      </w:r>
      <w:r w:rsidRPr="00DD140B">
        <w:rPr>
          <w:rFonts w:ascii="Calibri" w:eastAsia="Malgun Gothic" w:hAnsi="Calibri"/>
          <w:noProof/>
          <w:sz w:val="22"/>
          <w:szCs w:val="22"/>
          <w:lang w:eastAsia="ko-KR"/>
        </w:rPr>
        <w:tab/>
      </w:r>
      <w:r>
        <w:rPr>
          <w:noProof/>
        </w:rPr>
        <w:t>Type: UsageThresholdRm</w:t>
      </w:r>
      <w:r>
        <w:rPr>
          <w:noProof/>
        </w:rPr>
        <w:tab/>
      </w:r>
      <w:r>
        <w:rPr>
          <w:noProof/>
        </w:rPr>
        <w:fldChar w:fldCharType="begin" w:fldLock="1"/>
      </w:r>
      <w:r>
        <w:rPr>
          <w:noProof/>
        </w:rPr>
        <w:instrText xml:space="preserve"> PAGEREF _Toc153625110 \h </w:instrText>
      </w:r>
      <w:r>
        <w:rPr>
          <w:noProof/>
        </w:rPr>
      </w:r>
      <w:r>
        <w:rPr>
          <w:noProof/>
        </w:rPr>
        <w:fldChar w:fldCharType="separate"/>
      </w:r>
      <w:r>
        <w:rPr>
          <w:noProof/>
        </w:rPr>
        <w:t>62</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5.2.1.2.17</w:t>
      </w:r>
      <w:r w:rsidRPr="00DD140B">
        <w:rPr>
          <w:rFonts w:ascii="Calibri" w:eastAsia="Malgun Gothic" w:hAnsi="Calibri"/>
          <w:noProof/>
          <w:sz w:val="22"/>
          <w:szCs w:val="22"/>
          <w:lang w:eastAsia="ko-KR"/>
        </w:rPr>
        <w:tab/>
      </w:r>
      <w:r>
        <w:rPr>
          <w:noProof/>
        </w:rPr>
        <w:t xml:space="preserve">Type: </w:t>
      </w:r>
      <w:r>
        <w:rPr>
          <w:noProof/>
          <w:lang w:eastAsia="zh-CN"/>
        </w:rPr>
        <w:t>LocationArea5G</w:t>
      </w:r>
      <w:r>
        <w:rPr>
          <w:noProof/>
        </w:rPr>
        <w:tab/>
      </w:r>
      <w:r>
        <w:rPr>
          <w:noProof/>
        </w:rPr>
        <w:fldChar w:fldCharType="begin" w:fldLock="1"/>
      </w:r>
      <w:r>
        <w:rPr>
          <w:noProof/>
        </w:rPr>
        <w:instrText xml:space="preserve"> PAGEREF _Toc153625111 \h </w:instrText>
      </w:r>
      <w:r>
        <w:rPr>
          <w:noProof/>
        </w:rPr>
      </w:r>
      <w:r>
        <w:rPr>
          <w:noProof/>
        </w:rPr>
        <w:fldChar w:fldCharType="separate"/>
      </w:r>
      <w:r>
        <w:rPr>
          <w:noProof/>
        </w:rPr>
        <w:t>62</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5.2.1.2.18</w:t>
      </w:r>
      <w:r w:rsidRPr="00DD140B">
        <w:rPr>
          <w:rFonts w:ascii="Calibri" w:eastAsia="Malgun Gothic" w:hAnsi="Calibri"/>
          <w:noProof/>
          <w:sz w:val="22"/>
          <w:szCs w:val="22"/>
          <w:lang w:eastAsia="ko-KR"/>
        </w:rPr>
        <w:tab/>
      </w:r>
      <w:r>
        <w:rPr>
          <w:noProof/>
        </w:rPr>
        <w:t>Type: EthFlowInfo</w:t>
      </w:r>
      <w:r>
        <w:rPr>
          <w:noProof/>
        </w:rPr>
        <w:tab/>
      </w:r>
      <w:r>
        <w:rPr>
          <w:noProof/>
        </w:rPr>
        <w:fldChar w:fldCharType="begin" w:fldLock="1"/>
      </w:r>
      <w:r>
        <w:rPr>
          <w:noProof/>
        </w:rPr>
        <w:instrText xml:space="preserve"> PAGEREF _Toc153625112 \h </w:instrText>
      </w:r>
      <w:r>
        <w:rPr>
          <w:noProof/>
        </w:rPr>
      </w:r>
      <w:r>
        <w:rPr>
          <w:noProof/>
        </w:rPr>
        <w:fldChar w:fldCharType="separate"/>
      </w:r>
      <w:r>
        <w:rPr>
          <w:noProof/>
        </w:rPr>
        <w:t>63</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5.2.1.3</w:t>
      </w:r>
      <w:r w:rsidRPr="00DD140B">
        <w:rPr>
          <w:rFonts w:ascii="Calibri" w:eastAsia="Malgun Gothic" w:hAnsi="Calibri"/>
          <w:noProof/>
          <w:sz w:val="22"/>
          <w:szCs w:val="22"/>
          <w:lang w:eastAsia="ko-KR"/>
        </w:rPr>
        <w:tab/>
      </w:r>
      <w:r>
        <w:rPr>
          <w:noProof/>
        </w:rPr>
        <w:t>Referenced Simple data types and enumerations</w:t>
      </w:r>
      <w:r>
        <w:rPr>
          <w:noProof/>
        </w:rPr>
        <w:tab/>
      </w:r>
      <w:r>
        <w:rPr>
          <w:noProof/>
        </w:rPr>
        <w:fldChar w:fldCharType="begin" w:fldLock="1"/>
      </w:r>
      <w:r>
        <w:rPr>
          <w:noProof/>
        </w:rPr>
        <w:instrText xml:space="preserve"> PAGEREF _Toc153625113 \h </w:instrText>
      </w:r>
      <w:r>
        <w:rPr>
          <w:noProof/>
        </w:rPr>
      </w:r>
      <w:r>
        <w:rPr>
          <w:noProof/>
        </w:rPr>
        <w:fldChar w:fldCharType="separate"/>
      </w:r>
      <w:r>
        <w:rPr>
          <w:noProof/>
        </w:rPr>
        <w:t>63</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5.2.1.3.1</w:t>
      </w:r>
      <w:r w:rsidRPr="00DD140B">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_Toc153625114 \h </w:instrText>
      </w:r>
      <w:r>
        <w:rPr>
          <w:noProof/>
        </w:rPr>
      </w:r>
      <w:r>
        <w:rPr>
          <w:noProof/>
        </w:rPr>
        <w:fldChar w:fldCharType="separate"/>
      </w:r>
      <w:r>
        <w:rPr>
          <w:noProof/>
        </w:rPr>
        <w:t>63</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5.2.1.3.2</w:t>
      </w:r>
      <w:r w:rsidRPr="00DD140B">
        <w:rPr>
          <w:rFonts w:ascii="Calibri" w:eastAsia="Malgun Gothic" w:hAnsi="Calibri"/>
          <w:noProof/>
          <w:sz w:val="22"/>
          <w:szCs w:val="22"/>
          <w:lang w:eastAsia="ko-KR"/>
        </w:rPr>
        <w:tab/>
      </w:r>
      <w:r>
        <w:rPr>
          <w:noProof/>
        </w:rPr>
        <w:t>Simple data types</w:t>
      </w:r>
      <w:r>
        <w:rPr>
          <w:noProof/>
        </w:rPr>
        <w:tab/>
      </w:r>
      <w:r>
        <w:rPr>
          <w:noProof/>
        </w:rPr>
        <w:fldChar w:fldCharType="begin" w:fldLock="1"/>
      </w:r>
      <w:r>
        <w:rPr>
          <w:noProof/>
        </w:rPr>
        <w:instrText xml:space="preserve"> PAGEREF _Toc153625115 \h </w:instrText>
      </w:r>
      <w:r>
        <w:rPr>
          <w:noProof/>
        </w:rPr>
      </w:r>
      <w:r>
        <w:rPr>
          <w:noProof/>
        </w:rPr>
        <w:fldChar w:fldCharType="separate"/>
      </w:r>
      <w:r>
        <w:rPr>
          <w:noProof/>
        </w:rPr>
        <w:t>63</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5.2.1.3.3</w:t>
      </w:r>
      <w:r w:rsidRPr="00DD140B">
        <w:rPr>
          <w:rFonts w:ascii="Calibri" w:eastAsia="Malgun Gothic" w:hAnsi="Calibri"/>
          <w:noProof/>
          <w:sz w:val="22"/>
          <w:szCs w:val="22"/>
          <w:lang w:eastAsia="ko-KR"/>
        </w:rPr>
        <w:tab/>
      </w:r>
      <w:r>
        <w:rPr>
          <w:noProof/>
        </w:rPr>
        <w:t>Enumeration:</w:t>
      </w:r>
      <w:r>
        <w:rPr>
          <w:noProof/>
          <w:lang w:eastAsia="zh-CN"/>
        </w:rPr>
        <w:t xml:space="preserve"> Event</w:t>
      </w:r>
      <w:r>
        <w:rPr>
          <w:noProof/>
        </w:rPr>
        <w:tab/>
      </w:r>
      <w:r>
        <w:rPr>
          <w:noProof/>
        </w:rPr>
        <w:fldChar w:fldCharType="begin" w:fldLock="1"/>
      </w:r>
      <w:r>
        <w:rPr>
          <w:noProof/>
        </w:rPr>
        <w:instrText xml:space="preserve"> PAGEREF _Toc153625116 \h </w:instrText>
      </w:r>
      <w:r>
        <w:rPr>
          <w:noProof/>
        </w:rPr>
      </w:r>
      <w:r>
        <w:rPr>
          <w:noProof/>
        </w:rPr>
        <w:fldChar w:fldCharType="separate"/>
      </w:r>
      <w:r>
        <w:rPr>
          <w:noProof/>
        </w:rPr>
        <w:t>64</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5.2.1.3.4</w:t>
      </w:r>
      <w:r w:rsidRPr="00DD140B">
        <w:rPr>
          <w:rFonts w:ascii="Calibri" w:eastAsia="Malgun Gothic" w:hAnsi="Calibri"/>
          <w:noProof/>
          <w:sz w:val="22"/>
          <w:szCs w:val="22"/>
          <w:lang w:eastAsia="ko-KR"/>
        </w:rPr>
        <w:tab/>
      </w:r>
      <w:r>
        <w:rPr>
          <w:noProof/>
        </w:rPr>
        <w:t>Enumeration:</w:t>
      </w:r>
      <w:r>
        <w:rPr>
          <w:noProof/>
          <w:lang w:eastAsia="zh-CN"/>
        </w:rPr>
        <w:t xml:space="preserve"> ResultReason</w:t>
      </w:r>
      <w:r>
        <w:rPr>
          <w:noProof/>
        </w:rPr>
        <w:tab/>
      </w:r>
      <w:r>
        <w:rPr>
          <w:noProof/>
        </w:rPr>
        <w:fldChar w:fldCharType="begin" w:fldLock="1"/>
      </w:r>
      <w:r>
        <w:rPr>
          <w:noProof/>
        </w:rPr>
        <w:instrText xml:space="preserve"> PAGEREF _Toc153625117 \h </w:instrText>
      </w:r>
      <w:r>
        <w:rPr>
          <w:noProof/>
        </w:rPr>
      </w:r>
      <w:r>
        <w:rPr>
          <w:noProof/>
        </w:rPr>
        <w:fldChar w:fldCharType="separate"/>
      </w:r>
      <w:r>
        <w:rPr>
          <w:noProof/>
        </w:rPr>
        <w:t>65</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5.2.1.4</w:t>
      </w:r>
      <w:r w:rsidRPr="00DD140B">
        <w:rPr>
          <w:rFonts w:ascii="Calibri" w:eastAsia="Malgun Gothic" w:hAnsi="Calibri"/>
          <w:noProof/>
          <w:sz w:val="22"/>
          <w:szCs w:val="22"/>
          <w:lang w:eastAsia="ko-KR"/>
        </w:rPr>
        <w:tab/>
      </w:r>
      <w:r>
        <w:rPr>
          <w:noProof/>
        </w:rPr>
        <w:t>Conventions for documenting structured data types</w:t>
      </w:r>
      <w:r>
        <w:rPr>
          <w:noProof/>
        </w:rPr>
        <w:tab/>
      </w:r>
      <w:r>
        <w:rPr>
          <w:noProof/>
        </w:rPr>
        <w:fldChar w:fldCharType="begin" w:fldLock="1"/>
      </w:r>
      <w:r>
        <w:rPr>
          <w:noProof/>
        </w:rPr>
        <w:instrText xml:space="preserve"> PAGEREF _Toc153625118 \h </w:instrText>
      </w:r>
      <w:r>
        <w:rPr>
          <w:noProof/>
        </w:rPr>
      </w:r>
      <w:r>
        <w:rPr>
          <w:noProof/>
        </w:rPr>
        <w:fldChar w:fldCharType="separate"/>
      </w:r>
      <w:r>
        <w:rPr>
          <w:noProof/>
        </w:rPr>
        <w:t>65</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5.2.2</w:t>
      </w:r>
      <w:r w:rsidRPr="00DD140B">
        <w:rPr>
          <w:rFonts w:ascii="Calibri" w:eastAsia="Malgun Gothic" w:hAnsi="Calibri"/>
          <w:noProof/>
          <w:sz w:val="22"/>
          <w:szCs w:val="22"/>
          <w:lang w:eastAsia="ko-KR"/>
        </w:rPr>
        <w:tab/>
      </w:r>
      <w:r>
        <w:rPr>
          <w:noProof/>
        </w:rPr>
        <w:t>Usage of HTTP</w:t>
      </w:r>
      <w:r>
        <w:rPr>
          <w:noProof/>
        </w:rPr>
        <w:tab/>
      </w:r>
      <w:r>
        <w:rPr>
          <w:noProof/>
        </w:rPr>
        <w:fldChar w:fldCharType="begin" w:fldLock="1"/>
      </w:r>
      <w:r>
        <w:rPr>
          <w:noProof/>
        </w:rPr>
        <w:instrText xml:space="preserve"> PAGEREF _Toc153625119 \h </w:instrText>
      </w:r>
      <w:r>
        <w:rPr>
          <w:noProof/>
        </w:rPr>
      </w:r>
      <w:r>
        <w:rPr>
          <w:noProof/>
        </w:rPr>
        <w:fldChar w:fldCharType="separate"/>
      </w:r>
      <w:r>
        <w:rPr>
          <w:noProof/>
        </w:rPr>
        <w:t>66</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lang w:eastAsia="zh-CN"/>
        </w:rPr>
        <w:t>5.2.2.1</w:t>
      </w:r>
      <w:r w:rsidRPr="00DD140B">
        <w:rPr>
          <w:rFonts w:ascii="Calibri" w:eastAsia="Malgun Gothic" w:hAnsi="Calibri"/>
          <w:noProof/>
          <w:sz w:val="22"/>
          <w:szCs w:val="22"/>
          <w:lang w:eastAsia="ko-KR"/>
        </w:rPr>
        <w:tab/>
      </w:r>
      <w:r>
        <w:rPr>
          <w:noProof/>
          <w:lang w:eastAsia="zh-CN"/>
        </w:rPr>
        <w:t>General</w:t>
      </w:r>
      <w:r>
        <w:rPr>
          <w:noProof/>
        </w:rPr>
        <w:tab/>
      </w:r>
      <w:r>
        <w:rPr>
          <w:noProof/>
        </w:rPr>
        <w:fldChar w:fldCharType="begin" w:fldLock="1"/>
      </w:r>
      <w:r>
        <w:rPr>
          <w:noProof/>
        </w:rPr>
        <w:instrText xml:space="preserve"> PAGEREF _Toc153625120 \h </w:instrText>
      </w:r>
      <w:r>
        <w:rPr>
          <w:noProof/>
        </w:rPr>
      </w:r>
      <w:r>
        <w:rPr>
          <w:noProof/>
        </w:rPr>
        <w:fldChar w:fldCharType="separate"/>
      </w:r>
      <w:r>
        <w:rPr>
          <w:noProof/>
        </w:rPr>
        <w:t>66</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lang w:eastAsia="zh-CN"/>
        </w:rPr>
        <w:t>5.2.2.2</w:t>
      </w:r>
      <w:r w:rsidRPr="00DD140B">
        <w:rPr>
          <w:rFonts w:ascii="Calibri" w:eastAsia="Malgun Gothic" w:hAnsi="Calibri"/>
          <w:noProof/>
          <w:sz w:val="22"/>
          <w:szCs w:val="22"/>
          <w:lang w:eastAsia="ko-KR"/>
        </w:rPr>
        <w:tab/>
      </w:r>
      <w:r>
        <w:rPr>
          <w:noProof/>
          <w:lang w:eastAsia="zh-CN"/>
        </w:rPr>
        <w:t>Usage of the HTTP PATCH method</w:t>
      </w:r>
      <w:r>
        <w:rPr>
          <w:noProof/>
        </w:rPr>
        <w:tab/>
      </w:r>
      <w:r>
        <w:rPr>
          <w:noProof/>
        </w:rPr>
        <w:fldChar w:fldCharType="begin" w:fldLock="1"/>
      </w:r>
      <w:r>
        <w:rPr>
          <w:noProof/>
        </w:rPr>
        <w:instrText xml:space="preserve"> PAGEREF _Toc153625121 \h </w:instrText>
      </w:r>
      <w:r>
        <w:rPr>
          <w:noProof/>
        </w:rPr>
      </w:r>
      <w:r>
        <w:rPr>
          <w:noProof/>
        </w:rPr>
        <w:fldChar w:fldCharType="separate"/>
      </w:r>
      <w:r>
        <w:rPr>
          <w:noProof/>
        </w:rPr>
        <w:t>66</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5.2.3</w:t>
      </w:r>
      <w:r w:rsidRPr="00DD140B">
        <w:rPr>
          <w:rFonts w:ascii="Calibri" w:eastAsia="Malgun Gothic" w:hAnsi="Calibri"/>
          <w:noProof/>
          <w:sz w:val="22"/>
          <w:szCs w:val="22"/>
          <w:lang w:eastAsia="ko-KR"/>
        </w:rPr>
        <w:tab/>
      </w:r>
      <w:r>
        <w:rPr>
          <w:noProof/>
        </w:rPr>
        <w:t>Content type</w:t>
      </w:r>
      <w:r>
        <w:rPr>
          <w:noProof/>
        </w:rPr>
        <w:tab/>
      </w:r>
      <w:r>
        <w:rPr>
          <w:noProof/>
        </w:rPr>
        <w:fldChar w:fldCharType="begin" w:fldLock="1"/>
      </w:r>
      <w:r>
        <w:rPr>
          <w:noProof/>
        </w:rPr>
        <w:instrText xml:space="preserve"> PAGEREF _Toc153625122 \h </w:instrText>
      </w:r>
      <w:r>
        <w:rPr>
          <w:noProof/>
        </w:rPr>
      </w:r>
      <w:r>
        <w:rPr>
          <w:noProof/>
        </w:rPr>
        <w:fldChar w:fldCharType="separate"/>
      </w:r>
      <w:r>
        <w:rPr>
          <w:noProof/>
        </w:rPr>
        <w:t>66</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5.2.4</w:t>
      </w:r>
      <w:r w:rsidRPr="00DD140B">
        <w:rPr>
          <w:rFonts w:ascii="Calibri" w:eastAsia="Malgun Gothic" w:hAnsi="Calibri"/>
          <w:noProof/>
          <w:sz w:val="22"/>
          <w:szCs w:val="22"/>
          <w:lang w:eastAsia="ko-KR"/>
        </w:rPr>
        <w:tab/>
      </w:r>
      <w:r>
        <w:rPr>
          <w:noProof/>
        </w:rPr>
        <w:t>URI structure</w:t>
      </w:r>
      <w:r>
        <w:rPr>
          <w:noProof/>
        </w:rPr>
        <w:tab/>
      </w:r>
      <w:r>
        <w:rPr>
          <w:noProof/>
        </w:rPr>
        <w:fldChar w:fldCharType="begin" w:fldLock="1"/>
      </w:r>
      <w:r>
        <w:rPr>
          <w:noProof/>
        </w:rPr>
        <w:instrText xml:space="preserve"> PAGEREF _Toc153625123 \h </w:instrText>
      </w:r>
      <w:r>
        <w:rPr>
          <w:noProof/>
        </w:rPr>
      </w:r>
      <w:r>
        <w:rPr>
          <w:noProof/>
        </w:rPr>
        <w:fldChar w:fldCharType="separate"/>
      </w:r>
      <w:r>
        <w:rPr>
          <w:noProof/>
        </w:rPr>
        <w:t>67</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5.2.4.1</w:t>
      </w:r>
      <w:r w:rsidRPr="00DD140B">
        <w:rPr>
          <w:rFonts w:ascii="Calibri" w:eastAsia="Malgun Gothic" w:hAnsi="Calibri"/>
          <w:noProof/>
          <w:sz w:val="22"/>
          <w:szCs w:val="22"/>
          <w:lang w:eastAsia="ko-KR"/>
        </w:rPr>
        <w:tab/>
      </w:r>
      <w:r>
        <w:rPr>
          <w:noProof/>
        </w:rPr>
        <w:t>Resource URI structure</w:t>
      </w:r>
      <w:r>
        <w:rPr>
          <w:noProof/>
        </w:rPr>
        <w:tab/>
      </w:r>
      <w:r>
        <w:rPr>
          <w:noProof/>
        </w:rPr>
        <w:fldChar w:fldCharType="begin" w:fldLock="1"/>
      </w:r>
      <w:r>
        <w:rPr>
          <w:noProof/>
        </w:rPr>
        <w:instrText xml:space="preserve"> PAGEREF _Toc153625124 \h </w:instrText>
      </w:r>
      <w:r>
        <w:rPr>
          <w:noProof/>
        </w:rPr>
      </w:r>
      <w:r>
        <w:rPr>
          <w:noProof/>
        </w:rPr>
        <w:fldChar w:fldCharType="separate"/>
      </w:r>
      <w:r>
        <w:rPr>
          <w:noProof/>
        </w:rPr>
        <w:t>67</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5.2.4.2</w:t>
      </w:r>
      <w:r w:rsidRPr="00DD140B">
        <w:rPr>
          <w:rFonts w:ascii="Calibri" w:eastAsia="Malgun Gothic" w:hAnsi="Calibri"/>
          <w:noProof/>
          <w:sz w:val="22"/>
          <w:szCs w:val="22"/>
          <w:lang w:eastAsia="ko-KR"/>
        </w:rPr>
        <w:tab/>
      </w:r>
      <w:r>
        <w:rPr>
          <w:noProof/>
        </w:rPr>
        <w:t>Custom operations URI structure</w:t>
      </w:r>
      <w:r>
        <w:rPr>
          <w:noProof/>
        </w:rPr>
        <w:tab/>
      </w:r>
      <w:r>
        <w:rPr>
          <w:noProof/>
        </w:rPr>
        <w:fldChar w:fldCharType="begin" w:fldLock="1"/>
      </w:r>
      <w:r>
        <w:rPr>
          <w:noProof/>
        </w:rPr>
        <w:instrText xml:space="preserve"> PAGEREF _Toc153625125 \h </w:instrText>
      </w:r>
      <w:r>
        <w:rPr>
          <w:noProof/>
        </w:rPr>
      </w:r>
      <w:r>
        <w:rPr>
          <w:noProof/>
        </w:rPr>
        <w:fldChar w:fldCharType="separate"/>
      </w:r>
      <w:r>
        <w:rPr>
          <w:noProof/>
        </w:rPr>
        <w:t>67</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5.2.4.3</w:t>
      </w:r>
      <w:r w:rsidRPr="00DD140B">
        <w:rPr>
          <w:rFonts w:ascii="Calibri" w:eastAsia="Malgun Gothic" w:hAnsi="Calibri"/>
          <w:noProof/>
          <w:sz w:val="22"/>
          <w:szCs w:val="22"/>
          <w:lang w:eastAsia="ko-KR"/>
        </w:rPr>
        <w:tab/>
      </w:r>
      <w:r>
        <w:rPr>
          <w:noProof/>
        </w:rPr>
        <w:t>Callback URI structure</w:t>
      </w:r>
      <w:r>
        <w:rPr>
          <w:noProof/>
        </w:rPr>
        <w:tab/>
      </w:r>
      <w:r>
        <w:rPr>
          <w:noProof/>
        </w:rPr>
        <w:fldChar w:fldCharType="begin" w:fldLock="1"/>
      </w:r>
      <w:r>
        <w:rPr>
          <w:noProof/>
        </w:rPr>
        <w:instrText xml:space="preserve"> PAGEREF _Toc153625126 \h </w:instrText>
      </w:r>
      <w:r>
        <w:rPr>
          <w:noProof/>
        </w:rPr>
      </w:r>
      <w:r>
        <w:rPr>
          <w:noProof/>
        </w:rPr>
        <w:fldChar w:fldCharType="separate"/>
      </w:r>
      <w:r>
        <w:rPr>
          <w:noProof/>
        </w:rPr>
        <w:t>67</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5.2.5</w:t>
      </w:r>
      <w:r w:rsidRPr="00DD140B">
        <w:rPr>
          <w:rFonts w:ascii="Calibri" w:eastAsia="Malgun Gothic" w:hAnsi="Calibri"/>
          <w:noProof/>
          <w:sz w:val="22"/>
          <w:szCs w:val="22"/>
          <w:lang w:eastAsia="ko-KR"/>
        </w:rPr>
        <w:tab/>
      </w:r>
      <w:r>
        <w:rPr>
          <w:noProof/>
        </w:rPr>
        <w:t>Notifications</w:t>
      </w:r>
      <w:r>
        <w:rPr>
          <w:noProof/>
        </w:rPr>
        <w:tab/>
      </w:r>
      <w:r>
        <w:rPr>
          <w:noProof/>
        </w:rPr>
        <w:fldChar w:fldCharType="begin" w:fldLock="1"/>
      </w:r>
      <w:r>
        <w:rPr>
          <w:noProof/>
        </w:rPr>
        <w:instrText xml:space="preserve"> PAGEREF _Toc153625127 \h </w:instrText>
      </w:r>
      <w:r>
        <w:rPr>
          <w:noProof/>
        </w:rPr>
      </w:r>
      <w:r>
        <w:rPr>
          <w:noProof/>
        </w:rPr>
        <w:fldChar w:fldCharType="separate"/>
      </w:r>
      <w:r>
        <w:rPr>
          <w:noProof/>
        </w:rPr>
        <w:t>68</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5.2.5.1</w:t>
      </w:r>
      <w:r w:rsidRPr="00DD140B">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_Toc153625128 \h </w:instrText>
      </w:r>
      <w:r>
        <w:rPr>
          <w:noProof/>
        </w:rPr>
      </w:r>
      <w:r>
        <w:rPr>
          <w:noProof/>
        </w:rPr>
        <w:fldChar w:fldCharType="separate"/>
      </w:r>
      <w:r>
        <w:rPr>
          <w:noProof/>
        </w:rPr>
        <w:t>68</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5.2.5.2</w:t>
      </w:r>
      <w:r w:rsidRPr="00DD140B">
        <w:rPr>
          <w:rFonts w:ascii="Calibri" w:eastAsia="Malgun Gothic" w:hAnsi="Calibri"/>
          <w:noProof/>
          <w:sz w:val="22"/>
          <w:szCs w:val="22"/>
          <w:lang w:eastAsia="ko-KR"/>
        </w:rPr>
        <w:tab/>
      </w:r>
      <w:r>
        <w:rPr>
          <w:noProof/>
        </w:rPr>
        <w:t>Notification Delivery using a separate HTTP connection</w:t>
      </w:r>
      <w:r>
        <w:rPr>
          <w:noProof/>
        </w:rPr>
        <w:tab/>
      </w:r>
      <w:r>
        <w:rPr>
          <w:noProof/>
        </w:rPr>
        <w:fldChar w:fldCharType="begin" w:fldLock="1"/>
      </w:r>
      <w:r>
        <w:rPr>
          <w:noProof/>
        </w:rPr>
        <w:instrText xml:space="preserve"> PAGEREF _Toc153625129 \h </w:instrText>
      </w:r>
      <w:r>
        <w:rPr>
          <w:noProof/>
        </w:rPr>
      </w:r>
      <w:r>
        <w:rPr>
          <w:noProof/>
        </w:rPr>
        <w:fldChar w:fldCharType="separate"/>
      </w:r>
      <w:r>
        <w:rPr>
          <w:noProof/>
        </w:rPr>
        <w:t>68</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5.2.5.3</w:t>
      </w:r>
      <w:r w:rsidRPr="00DD140B">
        <w:rPr>
          <w:rFonts w:ascii="Calibri" w:eastAsia="Malgun Gothic" w:hAnsi="Calibri"/>
          <w:noProof/>
          <w:sz w:val="22"/>
          <w:szCs w:val="22"/>
          <w:lang w:eastAsia="ko-KR"/>
        </w:rPr>
        <w:tab/>
      </w:r>
      <w:r>
        <w:rPr>
          <w:noProof/>
        </w:rPr>
        <w:t>Notification Test Event</w:t>
      </w:r>
      <w:r>
        <w:rPr>
          <w:noProof/>
        </w:rPr>
        <w:tab/>
      </w:r>
      <w:r>
        <w:rPr>
          <w:noProof/>
        </w:rPr>
        <w:fldChar w:fldCharType="begin" w:fldLock="1"/>
      </w:r>
      <w:r>
        <w:rPr>
          <w:noProof/>
        </w:rPr>
        <w:instrText xml:space="preserve"> PAGEREF _Toc153625130 \h </w:instrText>
      </w:r>
      <w:r>
        <w:rPr>
          <w:noProof/>
        </w:rPr>
      </w:r>
      <w:r>
        <w:rPr>
          <w:noProof/>
        </w:rPr>
        <w:fldChar w:fldCharType="separate"/>
      </w:r>
      <w:r>
        <w:rPr>
          <w:noProof/>
        </w:rPr>
        <w:t>68</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5.2.5.4</w:t>
      </w:r>
      <w:r w:rsidRPr="00DD140B">
        <w:rPr>
          <w:rFonts w:ascii="Calibri" w:eastAsia="Malgun Gothic" w:hAnsi="Calibri"/>
          <w:noProof/>
          <w:sz w:val="22"/>
          <w:szCs w:val="22"/>
          <w:lang w:eastAsia="ko-KR"/>
        </w:rPr>
        <w:tab/>
      </w:r>
      <w:r>
        <w:rPr>
          <w:noProof/>
        </w:rPr>
        <w:t>Notification Delivery using Websocket</w:t>
      </w:r>
      <w:r>
        <w:rPr>
          <w:noProof/>
        </w:rPr>
        <w:tab/>
      </w:r>
      <w:r>
        <w:rPr>
          <w:noProof/>
        </w:rPr>
        <w:fldChar w:fldCharType="begin" w:fldLock="1"/>
      </w:r>
      <w:r>
        <w:rPr>
          <w:noProof/>
        </w:rPr>
        <w:instrText xml:space="preserve"> PAGEREF _Toc153625131 \h </w:instrText>
      </w:r>
      <w:r>
        <w:rPr>
          <w:noProof/>
        </w:rPr>
      </w:r>
      <w:r>
        <w:rPr>
          <w:noProof/>
        </w:rPr>
        <w:fldChar w:fldCharType="separate"/>
      </w:r>
      <w:r>
        <w:rPr>
          <w:noProof/>
        </w:rPr>
        <w:t>68</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5.2.6</w:t>
      </w:r>
      <w:r w:rsidRPr="00DD140B">
        <w:rPr>
          <w:rFonts w:ascii="Calibri" w:eastAsia="Malgun Gothic" w:hAnsi="Calibri"/>
          <w:noProof/>
          <w:sz w:val="22"/>
          <w:szCs w:val="22"/>
          <w:lang w:eastAsia="ko-KR"/>
        </w:rPr>
        <w:tab/>
      </w:r>
      <w:r>
        <w:rPr>
          <w:noProof/>
        </w:rPr>
        <w:t>Error handling</w:t>
      </w:r>
      <w:r>
        <w:rPr>
          <w:noProof/>
        </w:rPr>
        <w:tab/>
      </w:r>
      <w:r>
        <w:rPr>
          <w:noProof/>
        </w:rPr>
        <w:fldChar w:fldCharType="begin" w:fldLock="1"/>
      </w:r>
      <w:r>
        <w:rPr>
          <w:noProof/>
        </w:rPr>
        <w:instrText xml:space="preserve"> PAGEREF _Toc153625132 \h </w:instrText>
      </w:r>
      <w:r>
        <w:rPr>
          <w:noProof/>
        </w:rPr>
      </w:r>
      <w:r>
        <w:rPr>
          <w:noProof/>
        </w:rPr>
        <w:fldChar w:fldCharType="separate"/>
      </w:r>
      <w:r>
        <w:rPr>
          <w:noProof/>
        </w:rPr>
        <w:t>70</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5.2.7</w:t>
      </w:r>
      <w:r w:rsidRPr="00DD140B">
        <w:rPr>
          <w:rFonts w:ascii="Calibri" w:eastAsia="Malgun Gothic" w:hAnsi="Calibri"/>
          <w:noProof/>
          <w:sz w:val="22"/>
          <w:szCs w:val="22"/>
          <w:lang w:eastAsia="ko-KR"/>
        </w:rPr>
        <w:tab/>
      </w:r>
      <w:r>
        <w:rPr>
          <w:noProof/>
          <w:lang w:eastAsia="zh-CN"/>
        </w:rPr>
        <w:t>Feature negotiation</w:t>
      </w:r>
      <w:r>
        <w:rPr>
          <w:noProof/>
        </w:rPr>
        <w:tab/>
      </w:r>
      <w:r>
        <w:rPr>
          <w:noProof/>
        </w:rPr>
        <w:fldChar w:fldCharType="begin" w:fldLock="1"/>
      </w:r>
      <w:r>
        <w:rPr>
          <w:noProof/>
        </w:rPr>
        <w:instrText xml:space="preserve"> PAGEREF _Toc153625133 \h </w:instrText>
      </w:r>
      <w:r>
        <w:rPr>
          <w:noProof/>
        </w:rPr>
      </w:r>
      <w:r>
        <w:rPr>
          <w:noProof/>
        </w:rPr>
        <w:fldChar w:fldCharType="separate"/>
      </w:r>
      <w:r>
        <w:rPr>
          <w:noProof/>
        </w:rPr>
        <w:t>72</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5.2.8</w:t>
      </w:r>
      <w:r w:rsidRPr="00DD140B">
        <w:rPr>
          <w:rFonts w:ascii="Calibri" w:eastAsia="Malgun Gothic" w:hAnsi="Calibri"/>
          <w:noProof/>
          <w:sz w:val="22"/>
          <w:szCs w:val="22"/>
          <w:lang w:eastAsia="ko-KR"/>
        </w:rPr>
        <w:tab/>
      </w:r>
      <w:r>
        <w:rPr>
          <w:noProof/>
          <w:lang w:eastAsia="zh-CN"/>
        </w:rPr>
        <w:t>HTTP custom headers</w:t>
      </w:r>
      <w:r>
        <w:rPr>
          <w:noProof/>
        </w:rPr>
        <w:tab/>
      </w:r>
      <w:r>
        <w:rPr>
          <w:noProof/>
        </w:rPr>
        <w:fldChar w:fldCharType="begin" w:fldLock="1"/>
      </w:r>
      <w:r>
        <w:rPr>
          <w:noProof/>
        </w:rPr>
        <w:instrText xml:space="preserve"> PAGEREF _Toc153625134 \h </w:instrText>
      </w:r>
      <w:r>
        <w:rPr>
          <w:noProof/>
        </w:rPr>
      </w:r>
      <w:r>
        <w:rPr>
          <w:noProof/>
        </w:rPr>
        <w:fldChar w:fldCharType="separate"/>
      </w:r>
      <w:r>
        <w:rPr>
          <w:noProof/>
        </w:rPr>
        <w:t>72</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5.2.8.1</w:t>
      </w:r>
      <w:r w:rsidRPr="00DD140B">
        <w:rPr>
          <w:rFonts w:ascii="Calibri" w:eastAsia="Malgun Gothic" w:hAnsi="Calibri"/>
          <w:noProof/>
          <w:sz w:val="22"/>
          <w:szCs w:val="22"/>
          <w:lang w:eastAsia="ko-KR"/>
        </w:rPr>
        <w:tab/>
      </w:r>
      <w:r>
        <w:rPr>
          <w:noProof/>
          <w:lang w:eastAsia="zh-CN"/>
        </w:rPr>
        <w:t>General</w:t>
      </w:r>
      <w:r>
        <w:rPr>
          <w:noProof/>
        </w:rPr>
        <w:tab/>
      </w:r>
      <w:r>
        <w:rPr>
          <w:noProof/>
        </w:rPr>
        <w:fldChar w:fldCharType="begin" w:fldLock="1"/>
      </w:r>
      <w:r>
        <w:rPr>
          <w:noProof/>
        </w:rPr>
        <w:instrText xml:space="preserve"> PAGEREF _Toc153625135 \h </w:instrText>
      </w:r>
      <w:r>
        <w:rPr>
          <w:noProof/>
        </w:rPr>
      </w:r>
      <w:r>
        <w:rPr>
          <w:noProof/>
        </w:rPr>
        <w:fldChar w:fldCharType="separate"/>
      </w:r>
      <w:r>
        <w:rPr>
          <w:noProof/>
        </w:rPr>
        <w:t>72</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5.2.8.2</w:t>
      </w:r>
      <w:r w:rsidRPr="00DD140B">
        <w:rPr>
          <w:rFonts w:ascii="Calibri" w:eastAsia="Malgun Gothic" w:hAnsi="Calibri"/>
          <w:noProof/>
          <w:sz w:val="22"/>
          <w:szCs w:val="22"/>
          <w:lang w:eastAsia="ko-KR"/>
        </w:rPr>
        <w:tab/>
      </w:r>
      <w:r>
        <w:rPr>
          <w:noProof/>
          <w:lang w:eastAsia="zh-CN"/>
        </w:rPr>
        <w:t>Reused HTTP custom headers</w:t>
      </w:r>
      <w:r>
        <w:rPr>
          <w:noProof/>
        </w:rPr>
        <w:tab/>
      </w:r>
      <w:r>
        <w:rPr>
          <w:noProof/>
        </w:rPr>
        <w:fldChar w:fldCharType="begin" w:fldLock="1"/>
      </w:r>
      <w:r>
        <w:rPr>
          <w:noProof/>
        </w:rPr>
        <w:instrText xml:space="preserve"> PAGEREF _Toc153625136 \h </w:instrText>
      </w:r>
      <w:r>
        <w:rPr>
          <w:noProof/>
        </w:rPr>
      </w:r>
      <w:r>
        <w:rPr>
          <w:noProof/>
        </w:rPr>
        <w:fldChar w:fldCharType="separate"/>
      </w:r>
      <w:r>
        <w:rPr>
          <w:noProof/>
        </w:rPr>
        <w:t>72</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5.2.8.3.1</w:t>
      </w:r>
      <w:r w:rsidRPr="00DD140B">
        <w:rPr>
          <w:rFonts w:ascii="Calibri" w:eastAsia="Malgun Gothic" w:hAnsi="Calibri"/>
          <w:noProof/>
          <w:sz w:val="22"/>
          <w:szCs w:val="22"/>
          <w:lang w:eastAsia="ko-KR"/>
        </w:rPr>
        <w:tab/>
      </w:r>
      <w:r>
        <w:rPr>
          <w:noProof/>
          <w:lang w:eastAsia="zh-CN"/>
        </w:rPr>
        <w:t>General</w:t>
      </w:r>
      <w:r>
        <w:rPr>
          <w:noProof/>
        </w:rPr>
        <w:tab/>
      </w:r>
      <w:r>
        <w:rPr>
          <w:noProof/>
        </w:rPr>
        <w:fldChar w:fldCharType="begin" w:fldLock="1"/>
      </w:r>
      <w:r>
        <w:rPr>
          <w:noProof/>
        </w:rPr>
        <w:instrText xml:space="preserve"> PAGEREF _Toc153625137 \h </w:instrText>
      </w:r>
      <w:r>
        <w:rPr>
          <w:noProof/>
        </w:rPr>
      </w:r>
      <w:r>
        <w:rPr>
          <w:noProof/>
        </w:rPr>
        <w:fldChar w:fldCharType="separate"/>
      </w:r>
      <w:r>
        <w:rPr>
          <w:noProof/>
        </w:rPr>
        <w:t>72</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5.2.9</w:t>
      </w:r>
      <w:r w:rsidRPr="00DD140B">
        <w:rPr>
          <w:rFonts w:ascii="Calibri" w:eastAsia="Malgun Gothic" w:hAnsi="Calibri"/>
          <w:noProof/>
          <w:sz w:val="22"/>
          <w:szCs w:val="22"/>
          <w:lang w:eastAsia="ko-KR"/>
        </w:rPr>
        <w:tab/>
      </w:r>
      <w:r>
        <w:rPr>
          <w:noProof/>
        </w:rPr>
        <w:t>Conventions for Open API specification files</w:t>
      </w:r>
      <w:r>
        <w:rPr>
          <w:noProof/>
        </w:rPr>
        <w:tab/>
      </w:r>
      <w:r>
        <w:rPr>
          <w:noProof/>
        </w:rPr>
        <w:fldChar w:fldCharType="begin" w:fldLock="1"/>
      </w:r>
      <w:r>
        <w:rPr>
          <w:noProof/>
        </w:rPr>
        <w:instrText xml:space="preserve"> PAGEREF _Toc153625138 \h </w:instrText>
      </w:r>
      <w:r>
        <w:rPr>
          <w:noProof/>
        </w:rPr>
      </w:r>
      <w:r>
        <w:rPr>
          <w:noProof/>
        </w:rPr>
        <w:fldChar w:fldCharType="separate"/>
      </w:r>
      <w:r>
        <w:rPr>
          <w:noProof/>
        </w:rPr>
        <w:t>74</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lang w:eastAsia="zh-CN"/>
        </w:rPr>
        <w:t>5.2.9.1</w:t>
      </w:r>
      <w:r w:rsidRPr="00DD140B">
        <w:rPr>
          <w:rFonts w:ascii="Calibri" w:eastAsia="Malgun Gothic" w:hAnsi="Calibri"/>
          <w:noProof/>
          <w:sz w:val="22"/>
          <w:szCs w:val="22"/>
          <w:lang w:eastAsia="ko-KR"/>
        </w:rPr>
        <w:tab/>
      </w:r>
      <w:r>
        <w:rPr>
          <w:noProof/>
          <w:lang w:eastAsia="zh-CN"/>
        </w:rPr>
        <w:t>General</w:t>
      </w:r>
      <w:r>
        <w:rPr>
          <w:noProof/>
        </w:rPr>
        <w:tab/>
      </w:r>
      <w:r>
        <w:rPr>
          <w:noProof/>
        </w:rPr>
        <w:fldChar w:fldCharType="begin" w:fldLock="1"/>
      </w:r>
      <w:r>
        <w:rPr>
          <w:noProof/>
        </w:rPr>
        <w:instrText xml:space="preserve"> PAGEREF _Toc153625139 \h </w:instrText>
      </w:r>
      <w:r>
        <w:rPr>
          <w:noProof/>
        </w:rPr>
      </w:r>
      <w:r>
        <w:rPr>
          <w:noProof/>
        </w:rPr>
        <w:fldChar w:fldCharType="separate"/>
      </w:r>
      <w:r>
        <w:rPr>
          <w:noProof/>
        </w:rPr>
        <w:t>74</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lang w:eastAsia="zh-CN"/>
        </w:rPr>
        <w:t>5.2.9.2</w:t>
      </w:r>
      <w:r w:rsidRPr="00DD140B">
        <w:rPr>
          <w:rFonts w:ascii="Calibri" w:eastAsia="Malgun Gothic" w:hAnsi="Calibri"/>
          <w:noProof/>
          <w:sz w:val="22"/>
          <w:szCs w:val="22"/>
          <w:lang w:eastAsia="ko-KR"/>
        </w:rPr>
        <w:tab/>
      </w:r>
      <w:r>
        <w:rPr>
          <w:noProof/>
          <w:lang w:eastAsia="zh-CN"/>
        </w:rPr>
        <w:t>Formatting of OpenAPI files</w:t>
      </w:r>
      <w:r>
        <w:rPr>
          <w:noProof/>
        </w:rPr>
        <w:tab/>
      </w:r>
      <w:r>
        <w:rPr>
          <w:noProof/>
        </w:rPr>
        <w:fldChar w:fldCharType="begin" w:fldLock="1"/>
      </w:r>
      <w:r>
        <w:rPr>
          <w:noProof/>
        </w:rPr>
        <w:instrText xml:space="preserve"> PAGEREF _Toc153625140 \h </w:instrText>
      </w:r>
      <w:r>
        <w:rPr>
          <w:noProof/>
        </w:rPr>
      </w:r>
      <w:r>
        <w:rPr>
          <w:noProof/>
        </w:rPr>
        <w:fldChar w:fldCharType="separate"/>
      </w:r>
      <w:r>
        <w:rPr>
          <w:noProof/>
        </w:rPr>
        <w:t>74</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lang w:eastAsia="zh-CN"/>
        </w:rPr>
        <w:t>5.2.9.3</w:t>
      </w:r>
      <w:r w:rsidRPr="00DD140B">
        <w:rPr>
          <w:rFonts w:ascii="Calibri" w:eastAsia="Malgun Gothic" w:hAnsi="Calibri"/>
          <w:noProof/>
          <w:sz w:val="22"/>
          <w:szCs w:val="22"/>
          <w:lang w:eastAsia="ko-KR"/>
        </w:rPr>
        <w:tab/>
      </w:r>
      <w:r>
        <w:rPr>
          <w:noProof/>
          <w:lang w:eastAsia="zh-CN"/>
        </w:rPr>
        <w:t>Structured data types</w:t>
      </w:r>
      <w:r>
        <w:rPr>
          <w:noProof/>
        </w:rPr>
        <w:tab/>
      </w:r>
      <w:r>
        <w:rPr>
          <w:noProof/>
        </w:rPr>
        <w:fldChar w:fldCharType="begin" w:fldLock="1"/>
      </w:r>
      <w:r>
        <w:rPr>
          <w:noProof/>
        </w:rPr>
        <w:instrText xml:space="preserve"> PAGEREF _Toc153625141 \h </w:instrText>
      </w:r>
      <w:r>
        <w:rPr>
          <w:noProof/>
        </w:rPr>
      </w:r>
      <w:r>
        <w:rPr>
          <w:noProof/>
        </w:rPr>
        <w:fldChar w:fldCharType="separate"/>
      </w:r>
      <w:r>
        <w:rPr>
          <w:noProof/>
        </w:rPr>
        <w:t>74</w:t>
      </w:r>
      <w:r>
        <w:rPr>
          <w:noProof/>
        </w:rPr>
        <w:fldChar w:fldCharType="end"/>
      </w:r>
    </w:p>
    <w:p w:rsidR="007D56C6" w:rsidRPr="00DD140B" w:rsidRDefault="007D56C6">
      <w:pPr>
        <w:pStyle w:val="TOC4"/>
        <w:rPr>
          <w:rFonts w:ascii="Calibri" w:eastAsia="Malgun Gothic" w:hAnsi="Calibri"/>
          <w:noProof/>
          <w:sz w:val="22"/>
          <w:szCs w:val="22"/>
          <w:lang w:eastAsia="ko-KR"/>
        </w:rPr>
      </w:pPr>
      <w:r w:rsidRPr="00677085">
        <w:rPr>
          <w:noProof/>
          <w:lang w:val="en-US" w:eastAsia="zh-CN"/>
        </w:rPr>
        <w:t>5.2.9.4</w:t>
      </w:r>
      <w:r w:rsidRPr="00DD140B">
        <w:rPr>
          <w:rFonts w:ascii="Calibri" w:eastAsia="Malgun Gothic" w:hAnsi="Calibri"/>
          <w:noProof/>
          <w:sz w:val="22"/>
          <w:szCs w:val="22"/>
          <w:lang w:eastAsia="ko-KR"/>
        </w:rPr>
        <w:tab/>
      </w:r>
      <w:r w:rsidRPr="00677085">
        <w:rPr>
          <w:noProof/>
          <w:lang w:val="en-US" w:eastAsia="zh-CN"/>
        </w:rPr>
        <w:t>Info</w:t>
      </w:r>
      <w:r>
        <w:rPr>
          <w:noProof/>
        </w:rPr>
        <w:tab/>
      </w:r>
      <w:r>
        <w:rPr>
          <w:noProof/>
        </w:rPr>
        <w:fldChar w:fldCharType="begin" w:fldLock="1"/>
      </w:r>
      <w:r>
        <w:rPr>
          <w:noProof/>
        </w:rPr>
        <w:instrText xml:space="preserve"> PAGEREF _Toc153625142 \h </w:instrText>
      </w:r>
      <w:r>
        <w:rPr>
          <w:noProof/>
        </w:rPr>
      </w:r>
      <w:r>
        <w:rPr>
          <w:noProof/>
        </w:rPr>
        <w:fldChar w:fldCharType="separate"/>
      </w:r>
      <w:r>
        <w:rPr>
          <w:noProof/>
        </w:rPr>
        <w:t>76</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lang w:eastAsia="zh-CN"/>
        </w:rPr>
        <w:t>5.2.9.5</w:t>
      </w:r>
      <w:r w:rsidRPr="00DD140B">
        <w:rPr>
          <w:rFonts w:ascii="Calibri" w:eastAsia="Malgun Gothic" w:hAnsi="Calibri"/>
          <w:noProof/>
          <w:sz w:val="22"/>
          <w:szCs w:val="22"/>
          <w:lang w:eastAsia="ko-KR"/>
        </w:rPr>
        <w:tab/>
      </w:r>
      <w:r>
        <w:rPr>
          <w:noProof/>
          <w:lang w:eastAsia="zh-CN"/>
        </w:rPr>
        <w:t>Servers</w:t>
      </w:r>
      <w:r>
        <w:rPr>
          <w:noProof/>
        </w:rPr>
        <w:tab/>
      </w:r>
      <w:r>
        <w:rPr>
          <w:noProof/>
        </w:rPr>
        <w:fldChar w:fldCharType="begin" w:fldLock="1"/>
      </w:r>
      <w:r>
        <w:rPr>
          <w:noProof/>
        </w:rPr>
        <w:instrText xml:space="preserve"> PAGEREF _Toc153625143 \h </w:instrText>
      </w:r>
      <w:r>
        <w:rPr>
          <w:noProof/>
        </w:rPr>
      </w:r>
      <w:r>
        <w:rPr>
          <w:noProof/>
        </w:rPr>
        <w:fldChar w:fldCharType="separate"/>
      </w:r>
      <w:r>
        <w:rPr>
          <w:noProof/>
        </w:rPr>
        <w:t>76</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lang w:eastAsia="zh-CN"/>
        </w:rPr>
        <w:t>5.2.9.6</w:t>
      </w:r>
      <w:r w:rsidRPr="00DD140B">
        <w:rPr>
          <w:rFonts w:ascii="Calibri" w:eastAsia="Malgun Gothic" w:hAnsi="Calibri"/>
          <w:noProof/>
          <w:sz w:val="22"/>
          <w:szCs w:val="22"/>
          <w:lang w:eastAsia="ko-KR"/>
        </w:rPr>
        <w:tab/>
      </w:r>
      <w:r>
        <w:rPr>
          <w:noProof/>
          <w:lang w:eastAsia="zh-CN"/>
        </w:rPr>
        <w:t xml:space="preserve">References to other 3GPP-defined </w:t>
      </w:r>
      <w:r>
        <w:rPr>
          <w:noProof/>
        </w:rPr>
        <w:t>Open API specification files</w:t>
      </w:r>
      <w:r>
        <w:rPr>
          <w:noProof/>
        </w:rPr>
        <w:tab/>
      </w:r>
      <w:r>
        <w:rPr>
          <w:noProof/>
        </w:rPr>
        <w:fldChar w:fldCharType="begin" w:fldLock="1"/>
      </w:r>
      <w:r>
        <w:rPr>
          <w:noProof/>
        </w:rPr>
        <w:instrText xml:space="preserve"> PAGEREF _Toc153625144 \h </w:instrText>
      </w:r>
      <w:r>
        <w:rPr>
          <w:noProof/>
        </w:rPr>
      </w:r>
      <w:r>
        <w:rPr>
          <w:noProof/>
        </w:rPr>
        <w:fldChar w:fldCharType="separate"/>
      </w:r>
      <w:r>
        <w:rPr>
          <w:noProof/>
        </w:rPr>
        <w:t>76</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lang w:eastAsia="zh-CN"/>
        </w:rPr>
        <w:t>5.2.9.7</w:t>
      </w:r>
      <w:r w:rsidRPr="00DD140B">
        <w:rPr>
          <w:rFonts w:ascii="Calibri" w:eastAsia="Malgun Gothic" w:hAnsi="Calibri"/>
          <w:noProof/>
          <w:sz w:val="22"/>
          <w:szCs w:val="22"/>
          <w:lang w:eastAsia="ko-KR"/>
        </w:rPr>
        <w:tab/>
      </w:r>
      <w:r>
        <w:rPr>
          <w:noProof/>
          <w:lang w:eastAsia="zh-CN"/>
        </w:rPr>
        <w:t>Server-initiated communication</w:t>
      </w:r>
      <w:r>
        <w:rPr>
          <w:noProof/>
        </w:rPr>
        <w:tab/>
      </w:r>
      <w:r>
        <w:rPr>
          <w:noProof/>
        </w:rPr>
        <w:fldChar w:fldCharType="begin" w:fldLock="1"/>
      </w:r>
      <w:r>
        <w:rPr>
          <w:noProof/>
        </w:rPr>
        <w:instrText xml:space="preserve"> PAGEREF _Toc153625145 \h </w:instrText>
      </w:r>
      <w:r>
        <w:rPr>
          <w:noProof/>
        </w:rPr>
      </w:r>
      <w:r>
        <w:rPr>
          <w:noProof/>
        </w:rPr>
        <w:fldChar w:fldCharType="separate"/>
      </w:r>
      <w:r>
        <w:rPr>
          <w:noProof/>
        </w:rPr>
        <w:t>77</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5.2.9.8</w:t>
      </w:r>
      <w:r w:rsidRPr="00DD140B">
        <w:rPr>
          <w:rFonts w:ascii="Calibri" w:eastAsia="Malgun Gothic" w:hAnsi="Calibri"/>
          <w:noProof/>
          <w:sz w:val="22"/>
          <w:szCs w:val="22"/>
          <w:lang w:eastAsia="ko-KR"/>
        </w:rPr>
        <w:tab/>
      </w:r>
      <w:r>
        <w:rPr>
          <w:noProof/>
        </w:rPr>
        <w:t>Describing the body of HTTP PATCH requests</w:t>
      </w:r>
      <w:r>
        <w:rPr>
          <w:noProof/>
        </w:rPr>
        <w:tab/>
      </w:r>
      <w:r>
        <w:rPr>
          <w:noProof/>
        </w:rPr>
        <w:fldChar w:fldCharType="begin" w:fldLock="1"/>
      </w:r>
      <w:r>
        <w:rPr>
          <w:noProof/>
        </w:rPr>
        <w:instrText xml:space="preserve"> PAGEREF _Toc153625146 \h </w:instrText>
      </w:r>
      <w:r>
        <w:rPr>
          <w:noProof/>
        </w:rPr>
      </w:r>
      <w:r>
        <w:rPr>
          <w:noProof/>
        </w:rPr>
        <w:fldChar w:fldCharType="separate"/>
      </w:r>
      <w:r>
        <w:rPr>
          <w:noProof/>
        </w:rPr>
        <w:t>77</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5.2.9.8.1</w:t>
      </w:r>
      <w:r w:rsidRPr="00DD140B">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_Toc153625147 \h </w:instrText>
      </w:r>
      <w:r>
        <w:rPr>
          <w:noProof/>
        </w:rPr>
      </w:r>
      <w:r>
        <w:rPr>
          <w:noProof/>
        </w:rPr>
        <w:fldChar w:fldCharType="separate"/>
      </w:r>
      <w:r>
        <w:rPr>
          <w:noProof/>
        </w:rPr>
        <w:t>77</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5.2.9.8.2</w:t>
      </w:r>
      <w:r w:rsidRPr="00DD140B">
        <w:rPr>
          <w:rFonts w:ascii="Calibri" w:eastAsia="Malgun Gothic" w:hAnsi="Calibri"/>
          <w:noProof/>
          <w:sz w:val="22"/>
          <w:szCs w:val="22"/>
          <w:lang w:eastAsia="ko-KR"/>
        </w:rPr>
        <w:tab/>
      </w:r>
      <w:r>
        <w:rPr>
          <w:noProof/>
        </w:rPr>
        <w:t>JSON Merge Patch</w:t>
      </w:r>
      <w:r>
        <w:rPr>
          <w:noProof/>
        </w:rPr>
        <w:tab/>
      </w:r>
      <w:r>
        <w:rPr>
          <w:noProof/>
        </w:rPr>
        <w:fldChar w:fldCharType="begin" w:fldLock="1"/>
      </w:r>
      <w:r>
        <w:rPr>
          <w:noProof/>
        </w:rPr>
        <w:instrText xml:space="preserve"> PAGEREF _Toc153625148 \h </w:instrText>
      </w:r>
      <w:r>
        <w:rPr>
          <w:noProof/>
        </w:rPr>
      </w:r>
      <w:r>
        <w:rPr>
          <w:noProof/>
        </w:rPr>
        <w:fldChar w:fldCharType="separate"/>
      </w:r>
      <w:r>
        <w:rPr>
          <w:noProof/>
        </w:rPr>
        <w:t>77</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5.2.9.8.3</w:t>
      </w:r>
      <w:r w:rsidRPr="00DD140B">
        <w:rPr>
          <w:rFonts w:ascii="Calibri" w:eastAsia="Malgun Gothic" w:hAnsi="Calibri"/>
          <w:noProof/>
          <w:sz w:val="22"/>
          <w:szCs w:val="22"/>
          <w:lang w:eastAsia="ko-KR"/>
        </w:rPr>
        <w:tab/>
      </w:r>
      <w:r>
        <w:rPr>
          <w:noProof/>
        </w:rPr>
        <w:t>JSON PATCH</w:t>
      </w:r>
      <w:r>
        <w:rPr>
          <w:noProof/>
        </w:rPr>
        <w:tab/>
      </w:r>
      <w:r>
        <w:rPr>
          <w:noProof/>
        </w:rPr>
        <w:fldChar w:fldCharType="begin" w:fldLock="1"/>
      </w:r>
      <w:r>
        <w:rPr>
          <w:noProof/>
        </w:rPr>
        <w:instrText xml:space="preserve"> PAGEREF _Toc153625149 \h </w:instrText>
      </w:r>
      <w:r>
        <w:rPr>
          <w:noProof/>
        </w:rPr>
      </w:r>
      <w:r>
        <w:rPr>
          <w:noProof/>
        </w:rPr>
        <w:fldChar w:fldCharType="separate"/>
      </w:r>
      <w:r>
        <w:rPr>
          <w:noProof/>
        </w:rPr>
        <w:t>78</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w:t>
      </w:r>
      <w:r w:rsidRPr="00677085">
        <w:rPr>
          <w:noProof/>
          <w:lang w:val="de-DE"/>
        </w:rPr>
        <w:t>2</w:t>
      </w:r>
      <w:r>
        <w:rPr>
          <w:noProof/>
        </w:rPr>
        <w:t>.</w:t>
      </w:r>
      <w:r w:rsidRPr="00677085">
        <w:rPr>
          <w:noProof/>
          <w:lang w:val="de-DE"/>
        </w:rPr>
        <w:t>9.9</w:t>
      </w:r>
      <w:r w:rsidRPr="00DD140B">
        <w:rPr>
          <w:rFonts w:ascii="Calibri" w:eastAsia="Malgun Gothic" w:hAnsi="Calibri"/>
          <w:noProof/>
          <w:sz w:val="22"/>
          <w:szCs w:val="22"/>
          <w:lang w:eastAsia="ko-KR"/>
        </w:rPr>
        <w:tab/>
      </w:r>
      <w:r>
        <w:rPr>
          <w:noProof/>
        </w:rPr>
        <w:t>Error Responses</w:t>
      </w:r>
      <w:r>
        <w:rPr>
          <w:noProof/>
        </w:rPr>
        <w:tab/>
      </w:r>
      <w:r>
        <w:rPr>
          <w:noProof/>
        </w:rPr>
        <w:fldChar w:fldCharType="begin" w:fldLock="1"/>
      </w:r>
      <w:r>
        <w:rPr>
          <w:noProof/>
        </w:rPr>
        <w:instrText xml:space="preserve"> PAGEREF _Toc153625150 \h </w:instrText>
      </w:r>
      <w:r>
        <w:rPr>
          <w:noProof/>
        </w:rPr>
      </w:r>
      <w:r>
        <w:rPr>
          <w:noProof/>
        </w:rPr>
        <w:fldChar w:fldCharType="separate"/>
      </w:r>
      <w:r>
        <w:rPr>
          <w:noProof/>
        </w:rPr>
        <w:t>78</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lang w:eastAsia="zh-CN"/>
        </w:rPr>
        <w:t>5.2.9.10</w:t>
      </w:r>
      <w:r w:rsidRPr="00DD140B">
        <w:rPr>
          <w:rFonts w:ascii="Calibri" w:eastAsia="Malgun Gothic" w:hAnsi="Calibri"/>
          <w:noProof/>
          <w:sz w:val="22"/>
          <w:szCs w:val="22"/>
          <w:lang w:eastAsia="ko-KR"/>
        </w:rPr>
        <w:tab/>
      </w:r>
      <w:r>
        <w:rPr>
          <w:noProof/>
          <w:lang w:eastAsia="zh-CN"/>
        </w:rPr>
        <w:t>Enumerations</w:t>
      </w:r>
      <w:r>
        <w:rPr>
          <w:noProof/>
        </w:rPr>
        <w:tab/>
      </w:r>
      <w:r>
        <w:rPr>
          <w:noProof/>
        </w:rPr>
        <w:fldChar w:fldCharType="begin" w:fldLock="1"/>
      </w:r>
      <w:r>
        <w:rPr>
          <w:noProof/>
        </w:rPr>
        <w:instrText xml:space="preserve"> PAGEREF _Toc153625151 \h </w:instrText>
      </w:r>
      <w:r>
        <w:rPr>
          <w:noProof/>
        </w:rPr>
      </w:r>
      <w:r>
        <w:rPr>
          <w:noProof/>
        </w:rPr>
        <w:fldChar w:fldCharType="separate"/>
      </w:r>
      <w:r>
        <w:rPr>
          <w:noProof/>
        </w:rPr>
        <w:t>79</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lang w:eastAsia="zh-CN"/>
        </w:rPr>
        <w:t>5.2.9.11</w:t>
      </w:r>
      <w:r w:rsidRPr="00DD140B">
        <w:rPr>
          <w:rFonts w:ascii="Calibri" w:eastAsia="Malgun Gothic" w:hAnsi="Calibri"/>
          <w:noProof/>
          <w:sz w:val="22"/>
          <w:szCs w:val="22"/>
          <w:lang w:eastAsia="ko-KR"/>
        </w:rPr>
        <w:tab/>
      </w:r>
      <w:r>
        <w:rPr>
          <w:noProof/>
          <w:lang w:eastAsia="zh-CN"/>
        </w:rPr>
        <w:t>Read only attribute</w:t>
      </w:r>
      <w:r>
        <w:rPr>
          <w:noProof/>
        </w:rPr>
        <w:tab/>
      </w:r>
      <w:r>
        <w:rPr>
          <w:noProof/>
        </w:rPr>
        <w:fldChar w:fldCharType="begin" w:fldLock="1"/>
      </w:r>
      <w:r>
        <w:rPr>
          <w:noProof/>
        </w:rPr>
        <w:instrText xml:space="preserve"> PAGEREF _Toc153625152 \h </w:instrText>
      </w:r>
      <w:r>
        <w:rPr>
          <w:noProof/>
        </w:rPr>
      </w:r>
      <w:r>
        <w:rPr>
          <w:noProof/>
        </w:rPr>
        <w:fldChar w:fldCharType="separate"/>
      </w:r>
      <w:r>
        <w:rPr>
          <w:noProof/>
        </w:rPr>
        <w:t>80</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lang w:eastAsia="zh-CN"/>
        </w:rPr>
        <w:t>5.2.9.12</w:t>
      </w:r>
      <w:r w:rsidRPr="00DD140B">
        <w:rPr>
          <w:rFonts w:ascii="Calibri" w:eastAsia="Malgun Gothic" w:hAnsi="Calibri"/>
          <w:noProof/>
          <w:sz w:val="22"/>
          <w:szCs w:val="22"/>
          <w:lang w:eastAsia="ko-KR"/>
        </w:rPr>
        <w:tab/>
      </w:r>
      <w:r>
        <w:rPr>
          <w:noProof/>
          <w:lang w:eastAsia="zh-CN"/>
        </w:rPr>
        <w:t>externalDocs</w:t>
      </w:r>
      <w:r>
        <w:rPr>
          <w:noProof/>
        </w:rPr>
        <w:tab/>
      </w:r>
      <w:r>
        <w:rPr>
          <w:noProof/>
        </w:rPr>
        <w:fldChar w:fldCharType="begin" w:fldLock="1"/>
      </w:r>
      <w:r>
        <w:rPr>
          <w:noProof/>
        </w:rPr>
        <w:instrText xml:space="preserve"> PAGEREF _Toc153625153 \h </w:instrText>
      </w:r>
      <w:r>
        <w:rPr>
          <w:noProof/>
        </w:rPr>
      </w:r>
      <w:r>
        <w:rPr>
          <w:noProof/>
        </w:rPr>
        <w:fldChar w:fldCharType="separate"/>
      </w:r>
      <w:r>
        <w:rPr>
          <w:noProof/>
        </w:rPr>
        <w:t>80</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lang w:eastAsia="zh-CN"/>
        </w:rPr>
        <w:t>5.2.9.13</w:t>
      </w:r>
      <w:r w:rsidRPr="00DD140B">
        <w:rPr>
          <w:rFonts w:ascii="Calibri" w:eastAsia="Malgun Gothic" w:hAnsi="Calibri"/>
          <w:noProof/>
          <w:sz w:val="22"/>
          <w:szCs w:val="22"/>
          <w:lang w:eastAsia="ko-KR"/>
        </w:rPr>
        <w:tab/>
      </w:r>
      <w:r>
        <w:rPr>
          <w:noProof/>
          <w:lang w:eastAsia="zh-CN"/>
        </w:rPr>
        <w:t>Operation identifiers</w:t>
      </w:r>
      <w:r>
        <w:rPr>
          <w:noProof/>
        </w:rPr>
        <w:tab/>
      </w:r>
      <w:r>
        <w:rPr>
          <w:noProof/>
        </w:rPr>
        <w:fldChar w:fldCharType="begin" w:fldLock="1"/>
      </w:r>
      <w:r>
        <w:rPr>
          <w:noProof/>
        </w:rPr>
        <w:instrText xml:space="preserve"> PAGEREF _Toc153625154 \h </w:instrText>
      </w:r>
      <w:r>
        <w:rPr>
          <w:noProof/>
        </w:rPr>
      </w:r>
      <w:r>
        <w:rPr>
          <w:noProof/>
        </w:rPr>
        <w:fldChar w:fldCharType="separate"/>
      </w:r>
      <w:r>
        <w:rPr>
          <w:noProof/>
        </w:rPr>
        <w:t>80</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lang w:eastAsia="zh-CN"/>
        </w:rPr>
        <w:t>5.2.9.14</w:t>
      </w:r>
      <w:r w:rsidRPr="00DD140B">
        <w:rPr>
          <w:rFonts w:ascii="Calibri" w:eastAsia="Malgun Gothic" w:hAnsi="Calibri"/>
          <w:noProof/>
          <w:sz w:val="22"/>
          <w:szCs w:val="22"/>
          <w:lang w:eastAsia="ko-KR"/>
        </w:rPr>
        <w:tab/>
      </w:r>
      <w:r>
        <w:rPr>
          <w:noProof/>
          <w:lang w:eastAsia="zh-CN"/>
        </w:rPr>
        <w:t>Usage of the "tags" field</w:t>
      </w:r>
      <w:r>
        <w:rPr>
          <w:noProof/>
        </w:rPr>
        <w:tab/>
      </w:r>
      <w:r>
        <w:rPr>
          <w:noProof/>
        </w:rPr>
        <w:fldChar w:fldCharType="begin" w:fldLock="1"/>
      </w:r>
      <w:r>
        <w:rPr>
          <w:noProof/>
        </w:rPr>
        <w:instrText xml:space="preserve"> PAGEREF _Toc153625155 \h </w:instrText>
      </w:r>
      <w:r>
        <w:rPr>
          <w:noProof/>
        </w:rPr>
      </w:r>
      <w:r>
        <w:rPr>
          <w:noProof/>
        </w:rPr>
        <w:fldChar w:fldCharType="separate"/>
      </w:r>
      <w:r>
        <w:rPr>
          <w:noProof/>
        </w:rPr>
        <w:t>80</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5.2.10</w:t>
      </w:r>
      <w:r w:rsidRPr="00DD140B">
        <w:rPr>
          <w:rFonts w:ascii="Calibri" w:eastAsia="Malgun Gothic" w:hAnsi="Calibri"/>
          <w:noProof/>
          <w:sz w:val="22"/>
          <w:szCs w:val="22"/>
          <w:lang w:eastAsia="ko-KR"/>
        </w:rPr>
        <w:tab/>
      </w:r>
      <w:r>
        <w:rPr>
          <w:noProof/>
          <w:lang w:eastAsia="zh-CN"/>
        </w:rPr>
        <w:t>Redirection handling</w:t>
      </w:r>
      <w:r>
        <w:rPr>
          <w:noProof/>
        </w:rPr>
        <w:tab/>
      </w:r>
      <w:r>
        <w:rPr>
          <w:noProof/>
        </w:rPr>
        <w:fldChar w:fldCharType="begin" w:fldLock="1"/>
      </w:r>
      <w:r>
        <w:rPr>
          <w:noProof/>
        </w:rPr>
        <w:instrText xml:space="preserve"> PAGEREF _Toc153625156 \h </w:instrText>
      </w:r>
      <w:r>
        <w:rPr>
          <w:noProof/>
        </w:rPr>
      </w:r>
      <w:r>
        <w:rPr>
          <w:noProof/>
        </w:rPr>
        <w:fldChar w:fldCharType="separate"/>
      </w:r>
      <w:r>
        <w:rPr>
          <w:noProof/>
        </w:rPr>
        <w:t>81</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5.2.11</w:t>
      </w:r>
      <w:r w:rsidRPr="00DD140B">
        <w:rPr>
          <w:rFonts w:ascii="Calibri" w:eastAsia="Malgun Gothic" w:hAnsi="Calibri"/>
          <w:noProof/>
          <w:sz w:val="22"/>
          <w:szCs w:val="22"/>
          <w:lang w:eastAsia="ko-KR"/>
        </w:rPr>
        <w:tab/>
      </w:r>
      <w:r>
        <w:rPr>
          <w:noProof/>
          <w:lang w:eastAsia="zh-CN"/>
        </w:rPr>
        <w:t>Support of Load and Overload Control</w:t>
      </w:r>
      <w:r>
        <w:rPr>
          <w:noProof/>
        </w:rPr>
        <w:tab/>
      </w:r>
      <w:r>
        <w:rPr>
          <w:noProof/>
        </w:rPr>
        <w:fldChar w:fldCharType="begin" w:fldLock="1"/>
      </w:r>
      <w:r>
        <w:rPr>
          <w:noProof/>
        </w:rPr>
        <w:instrText xml:space="preserve"> PAGEREF _Toc153625157 \h </w:instrText>
      </w:r>
      <w:r>
        <w:rPr>
          <w:noProof/>
        </w:rPr>
      </w:r>
      <w:r>
        <w:rPr>
          <w:noProof/>
        </w:rPr>
        <w:fldChar w:fldCharType="separate"/>
      </w:r>
      <w:r>
        <w:rPr>
          <w:noProof/>
        </w:rPr>
        <w:t>81</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5.2.12</w:t>
      </w:r>
      <w:r w:rsidRPr="00DD140B">
        <w:rPr>
          <w:rFonts w:ascii="Calibri" w:eastAsia="Malgun Gothic" w:hAnsi="Calibri"/>
          <w:noProof/>
          <w:sz w:val="22"/>
          <w:szCs w:val="22"/>
          <w:lang w:eastAsia="ko-KR"/>
        </w:rPr>
        <w:tab/>
      </w:r>
      <w:r>
        <w:rPr>
          <w:noProof/>
        </w:rPr>
        <w:t>Query parameters</w:t>
      </w:r>
      <w:r>
        <w:rPr>
          <w:noProof/>
        </w:rPr>
        <w:tab/>
      </w:r>
      <w:r>
        <w:rPr>
          <w:noProof/>
        </w:rPr>
        <w:fldChar w:fldCharType="begin" w:fldLock="1"/>
      </w:r>
      <w:r>
        <w:rPr>
          <w:noProof/>
        </w:rPr>
        <w:instrText xml:space="preserve"> PAGEREF _Toc153625158 \h </w:instrText>
      </w:r>
      <w:r>
        <w:rPr>
          <w:noProof/>
        </w:rPr>
      </w:r>
      <w:r>
        <w:rPr>
          <w:noProof/>
        </w:rPr>
        <w:fldChar w:fldCharType="separate"/>
      </w:r>
      <w:r>
        <w:rPr>
          <w:noProof/>
        </w:rPr>
        <w:t>82</w:t>
      </w:r>
      <w:r>
        <w:rPr>
          <w:noProof/>
        </w:rPr>
        <w:fldChar w:fldCharType="end"/>
      </w:r>
    </w:p>
    <w:p w:rsidR="007D56C6" w:rsidRPr="00DD140B" w:rsidRDefault="007D56C6">
      <w:pPr>
        <w:pStyle w:val="TOC3"/>
        <w:rPr>
          <w:rFonts w:ascii="Calibri" w:eastAsia="Malgun Gothic" w:hAnsi="Calibri"/>
          <w:noProof/>
          <w:sz w:val="22"/>
          <w:szCs w:val="22"/>
          <w:lang w:eastAsia="ko-KR"/>
        </w:rPr>
      </w:pPr>
      <w:r w:rsidRPr="00677085">
        <w:rPr>
          <w:noProof/>
          <w:lang w:val="en-IN"/>
        </w:rPr>
        <w:t>5.2.13</w:t>
      </w:r>
      <w:r w:rsidRPr="00DD140B">
        <w:rPr>
          <w:rFonts w:ascii="Calibri" w:eastAsia="Malgun Gothic" w:hAnsi="Calibri"/>
          <w:noProof/>
          <w:sz w:val="22"/>
          <w:szCs w:val="22"/>
          <w:lang w:eastAsia="ko-KR"/>
        </w:rPr>
        <w:tab/>
      </w:r>
      <w:r w:rsidRPr="00677085">
        <w:rPr>
          <w:noProof/>
          <w:lang w:val="en-IN"/>
        </w:rPr>
        <w:t>Vendor-specific extensions</w:t>
      </w:r>
      <w:r>
        <w:rPr>
          <w:noProof/>
        </w:rPr>
        <w:tab/>
      </w:r>
      <w:r>
        <w:rPr>
          <w:noProof/>
        </w:rPr>
        <w:fldChar w:fldCharType="begin" w:fldLock="1"/>
      </w:r>
      <w:r>
        <w:rPr>
          <w:noProof/>
        </w:rPr>
        <w:instrText xml:space="preserve"> PAGEREF _Toc153625159 \h </w:instrText>
      </w:r>
      <w:r>
        <w:rPr>
          <w:noProof/>
        </w:rPr>
      </w:r>
      <w:r>
        <w:rPr>
          <w:noProof/>
        </w:rPr>
        <w:fldChar w:fldCharType="separate"/>
      </w:r>
      <w:r>
        <w:rPr>
          <w:noProof/>
        </w:rPr>
        <w:t>82</w:t>
      </w:r>
      <w:r>
        <w:rPr>
          <w:noProof/>
        </w:rPr>
        <w:fldChar w:fldCharType="end"/>
      </w:r>
    </w:p>
    <w:p w:rsidR="007D56C6" w:rsidRPr="00DD140B" w:rsidRDefault="007D56C6">
      <w:pPr>
        <w:pStyle w:val="TOC4"/>
        <w:rPr>
          <w:rFonts w:ascii="Calibri" w:eastAsia="Malgun Gothic" w:hAnsi="Calibri"/>
          <w:noProof/>
          <w:sz w:val="22"/>
          <w:szCs w:val="22"/>
          <w:lang w:eastAsia="ko-KR"/>
        </w:rPr>
      </w:pPr>
      <w:r w:rsidRPr="00677085">
        <w:rPr>
          <w:noProof/>
          <w:lang w:val="en-IN"/>
        </w:rPr>
        <w:t>5.2.13.1 General</w:t>
      </w:r>
      <w:r>
        <w:rPr>
          <w:noProof/>
        </w:rPr>
        <w:tab/>
      </w:r>
      <w:r>
        <w:rPr>
          <w:noProof/>
        </w:rPr>
        <w:fldChar w:fldCharType="begin" w:fldLock="1"/>
      </w:r>
      <w:r>
        <w:rPr>
          <w:noProof/>
        </w:rPr>
        <w:instrText xml:space="preserve"> PAGEREF _Toc153625160 \h </w:instrText>
      </w:r>
      <w:r>
        <w:rPr>
          <w:noProof/>
        </w:rPr>
      </w:r>
      <w:r>
        <w:rPr>
          <w:noProof/>
        </w:rPr>
        <w:fldChar w:fldCharType="separate"/>
      </w:r>
      <w:r>
        <w:rPr>
          <w:noProof/>
        </w:rPr>
        <w:t>82</w:t>
      </w:r>
      <w:r>
        <w:rPr>
          <w:noProof/>
        </w:rPr>
        <w:fldChar w:fldCharType="end"/>
      </w:r>
    </w:p>
    <w:p w:rsidR="007D56C6" w:rsidRPr="00DD140B" w:rsidRDefault="007D56C6">
      <w:pPr>
        <w:pStyle w:val="TOC4"/>
        <w:rPr>
          <w:rFonts w:ascii="Calibri" w:eastAsia="Malgun Gothic" w:hAnsi="Calibri"/>
          <w:noProof/>
          <w:sz w:val="22"/>
          <w:szCs w:val="22"/>
          <w:lang w:eastAsia="ko-KR"/>
        </w:rPr>
      </w:pPr>
      <w:r w:rsidRPr="00677085">
        <w:rPr>
          <w:noProof/>
          <w:lang w:val="en-IN"/>
        </w:rPr>
        <w:t>5.2.13.2</w:t>
      </w:r>
      <w:r w:rsidRPr="00DD140B">
        <w:rPr>
          <w:rFonts w:ascii="Calibri" w:eastAsia="Malgun Gothic" w:hAnsi="Calibri"/>
          <w:noProof/>
          <w:sz w:val="22"/>
          <w:szCs w:val="22"/>
          <w:lang w:eastAsia="ko-KR"/>
        </w:rPr>
        <w:tab/>
      </w:r>
      <w:r w:rsidRPr="00677085">
        <w:rPr>
          <w:noProof/>
          <w:lang w:val="en-IN"/>
        </w:rPr>
        <w:t>Vendor-specific extensions to the data model</w:t>
      </w:r>
      <w:r>
        <w:rPr>
          <w:noProof/>
        </w:rPr>
        <w:tab/>
      </w:r>
      <w:r>
        <w:rPr>
          <w:noProof/>
        </w:rPr>
        <w:fldChar w:fldCharType="begin" w:fldLock="1"/>
      </w:r>
      <w:r>
        <w:rPr>
          <w:noProof/>
        </w:rPr>
        <w:instrText xml:space="preserve"> PAGEREF _Toc153625161 \h </w:instrText>
      </w:r>
      <w:r>
        <w:rPr>
          <w:noProof/>
        </w:rPr>
      </w:r>
      <w:r>
        <w:rPr>
          <w:noProof/>
        </w:rPr>
        <w:fldChar w:fldCharType="separate"/>
      </w:r>
      <w:r>
        <w:rPr>
          <w:noProof/>
        </w:rPr>
        <w:t>82</w:t>
      </w:r>
      <w:r>
        <w:rPr>
          <w:noProof/>
        </w:rPr>
        <w:fldChar w:fldCharType="end"/>
      </w:r>
    </w:p>
    <w:p w:rsidR="007D56C6" w:rsidRPr="00DD140B" w:rsidRDefault="007D56C6">
      <w:pPr>
        <w:pStyle w:val="TOC4"/>
        <w:rPr>
          <w:rFonts w:ascii="Calibri" w:eastAsia="Malgun Gothic" w:hAnsi="Calibri"/>
          <w:noProof/>
          <w:sz w:val="22"/>
          <w:szCs w:val="22"/>
          <w:lang w:eastAsia="ko-KR"/>
        </w:rPr>
      </w:pPr>
      <w:r w:rsidRPr="00677085">
        <w:rPr>
          <w:noProof/>
          <w:lang w:val="en-IN"/>
        </w:rPr>
        <w:t>5.2.13.3</w:t>
      </w:r>
      <w:r w:rsidRPr="00DD140B">
        <w:rPr>
          <w:rFonts w:ascii="Calibri" w:eastAsia="Malgun Gothic" w:hAnsi="Calibri"/>
          <w:noProof/>
          <w:sz w:val="22"/>
          <w:szCs w:val="22"/>
          <w:lang w:eastAsia="ko-KR"/>
        </w:rPr>
        <w:tab/>
      </w:r>
      <w:r w:rsidRPr="00677085">
        <w:rPr>
          <w:noProof/>
          <w:lang w:val="en-IN"/>
        </w:rPr>
        <w:t>Vendor-specific query parameters</w:t>
      </w:r>
      <w:r>
        <w:rPr>
          <w:noProof/>
        </w:rPr>
        <w:tab/>
      </w:r>
      <w:r>
        <w:rPr>
          <w:noProof/>
        </w:rPr>
        <w:fldChar w:fldCharType="begin" w:fldLock="1"/>
      </w:r>
      <w:r>
        <w:rPr>
          <w:noProof/>
        </w:rPr>
        <w:instrText xml:space="preserve"> PAGEREF _Toc153625162 \h </w:instrText>
      </w:r>
      <w:r>
        <w:rPr>
          <w:noProof/>
        </w:rPr>
      </w:r>
      <w:r>
        <w:rPr>
          <w:noProof/>
        </w:rPr>
        <w:fldChar w:fldCharType="separate"/>
      </w:r>
      <w:r>
        <w:rPr>
          <w:noProof/>
        </w:rPr>
        <w:t>83</w:t>
      </w:r>
      <w:r>
        <w:rPr>
          <w:noProof/>
        </w:rPr>
        <w:fldChar w:fldCharType="end"/>
      </w:r>
    </w:p>
    <w:p w:rsidR="007D56C6" w:rsidRPr="00DD140B" w:rsidRDefault="007D56C6">
      <w:pPr>
        <w:pStyle w:val="TOC2"/>
        <w:rPr>
          <w:rFonts w:ascii="Calibri" w:eastAsia="Malgun Gothic" w:hAnsi="Calibri"/>
          <w:noProof/>
          <w:sz w:val="22"/>
          <w:szCs w:val="22"/>
          <w:lang w:eastAsia="ko-KR"/>
        </w:rPr>
      </w:pPr>
      <w:r>
        <w:rPr>
          <w:noProof/>
        </w:rPr>
        <w:t>5.3</w:t>
      </w:r>
      <w:r w:rsidRPr="00DD140B">
        <w:rPr>
          <w:rFonts w:ascii="Calibri" w:eastAsia="Malgun Gothic" w:hAnsi="Calibri"/>
          <w:noProof/>
          <w:sz w:val="22"/>
          <w:szCs w:val="22"/>
          <w:lang w:eastAsia="ko-KR"/>
        </w:rPr>
        <w:tab/>
      </w:r>
      <w:r>
        <w:rPr>
          <w:noProof/>
        </w:rPr>
        <w:t>MonitoringEvent API</w:t>
      </w:r>
      <w:r>
        <w:rPr>
          <w:noProof/>
        </w:rPr>
        <w:tab/>
      </w:r>
      <w:r>
        <w:rPr>
          <w:noProof/>
        </w:rPr>
        <w:fldChar w:fldCharType="begin" w:fldLock="1"/>
      </w:r>
      <w:r>
        <w:rPr>
          <w:noProof/>
        </w:rPr>
        <w:instrText xml:space="preserve"> PAGEREF _Toc153625163 \h </w:instrText>
      </w:r>
      <w:r>
        <w:rPr>
          <w:noProof/>
        </w:rPr>
      </w:r>
      <w:r>
        <w:rPr>
          <w:noProof/>
        </w:rPr>
        <w:fldChar w:fldCharType="separate"/>
      </w:r>
      <w:r>
        <w:rPr>
          <w:noProof/>
        </w:rPr>
        <w:t>84</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5.3.1</w:t>
      </w:r>
      <w:r w:rsidRPr="00DD140B">
        <w:rPr>
          <w:rFonts w:ascii="Calibri" w:eastAsia="Malgun Gothic" w:hAnsi="Calibri"/>
          <w:noProof/>
          <w:sz w:val="22"/>
          <w:szCs w:val="22"/>
          <w:lang w:eastAsia="ko-KR"/>
        </w:rPr>
        <w:tab/>
      </w:r>
      <w:r>
        <w:rPr>
          <w:noProof/>
        </w:rPr>
        <w:t>Overview</w:t>
      </w:r>
      <w:r>
        <w:rPr>
          <w:noProof/>
        </w:rPr>
        <w:tab/>
      </w:r>
      <w:r>
        <w:rPr>
          <w:noProof/>
        </w:rPr>
        <w:fldChar w:fldCharType="begin" w:fldLock="1"/>
      </w:r>
      <w:r>
        <w:rPr>
          <w:noProof/>
        </w:rPr>
        <w:instrText xml:space="preserve"> PAGEREF _Toc153625164 \h </w:instrText>
      </w:r>
      <w:r>
        <w:rPr>
          <w:noProof/>
        </w:rPr>
      </w:r>
      <w:r>
        <w:rPr>
          <w:noProof/>
        </w:rPr>
        <w:fldChar w:fldCharType="separate"/>
      </w:r>
      <w:r>
        <w:rPr>
          <w:noProof/>
        </w:rPr>
        <w:t>84</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5.3.2</w:t>
      </w:r>
      <w:r w:rsidRPr="00DD140B">
        <w:rPr>
          <w:rFonts w:ascii="Calibri" w:eastAsia="Malgun Gothic" w:hAnsi="Calibri"/>
          <w:noProof/>
          <w:sz w:val="22"/>
          <w:szCs w:val="22"/>
          <w:lang w:eastAsia="ko-KR"/>
        </w:rPr>
        <w:tab/>
      </w:r>
      <w:r>
        <w:rPr>
          <w:noProof/>
        </w:rPr>
        <w:t>Data model</w:t>
      </w:r>
      <w:r>
        <w:rPr>
          <w:noProof/>
        </w:rPr>
        <w:tab/>
      </w:r>
      <w:r>
        <w:rPr>
          <w:noProof/>
        </w:rPr>
        <w:fldChar w:fldCharType="begin" w:fldLock="1"/>
      </w:r>
      <w:r>
        <w:rPr>
          <w:noProof/>
        </w:rPr>
        <w:instrText xml:space="preserve"> PAGEREF _Toc153625165 \h </w:instrText>
      </w:r>
      <w:r>
        <w:rPr>
          <w:noProof/>
        </w:rPr>
      </w:r>
      <w:r>
        <w:rPr>
          <w:noProof/>
        </w:rPr>
        <w:fldChar w:fldCharType="separate"/>
      </w:r>
      <w:r>
        <w:rPr>
          <w:noProof/>
        </w:rPr>
        <w:t>84</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5.3.2.1</w:t>
      </w:r>
      <w:r w:rsidRPr="00DD140B">
        <w:rPr>
          <w:rFonts w:ascii="Calibri" w:eastAsia="Malgun Gothic" w:hAnsi="Calibri"/>
          <w:noProof/>
          <w:sz w:val="22"/>
          <w:szCs w:val="22"/>
          <w:lang w:eastAsia="ko-KR"/>
        </w:rPr>
        <w:tab/>
      </w:r>
      <w:r>
        <w:rPr>
          <w:noProof/>
        </w:rPr>
        <w:t>Resource data types</w:t>
      </w:r>
      <w:r>
        <w:rPr>
          <w:noProof/>
        </w:rPr>
        <w:tab/>
      </w:r>
      <w:r>
        <w:rPr>
          <w:noProof/>
        </w:rPr>
        <w:fldChar w:fldCharType="begin" w:fldLock="1"/>
      </w:r>
      <w:r>
        <w:rPr>
          <w:noProof/>
        </w:rPr>
        <w:instrText xml:space="preserve"> PAGEREF _Toc153625166 \h </w:instrText>
      </w:r>
      <w:r>
        <w:rPr>
          <w:noProof/>
        </w:rPr>
      </w:r>
      <w:r>
        <w:rPr>
          <w:noProof/>
        </w:rPr>
        <w:fldChar w:fldCharType="separate"/>
      </w:r>
      <w:r>
        <w:rPr>
          <w:noProof/>
        </w:rPr>
        <w:t>84</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5.3.2.1.1</w:t>
      </w:r>
      <w:r w:rsidRPr="00DD140B">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_Toc153625167 \h </w:instrText>
      </w:r>
      <w:r>
        <w:rPr>
          <w:noProof/>
        </w:rPr>
      </w:r>
      <w:r>
        <w:rPr>
          <w:noProof/>
        </w:rPr>
        <w:fldChar w:fldCharType="separate"/>
      </w:r>
      <w:r>
        <w:rPr>
          <w:noProof/>
        </w:rPr>
        <w:t>84</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5.3.2.1.2</w:t>
      </w:r>
      <w:r w:rsidRPr="00DD140B">
        <w:rPr>
          <w:rFonts w:ascii="Calibri" w:eastAsia="Malgun Gothic" w:hAnsi="Calibri"/>
          <w:noProof/>
          <w:sz w:val="22"/>
          <w:szCs w:val="22"/>
          <w:lang w:eastAsia="ko-KR"/>
        </w:rPr>
        <w:tab/>
      </w:r>
      <w:r>
        <w:rPr>
          <w:noProof/>
        </w:rPr>
        <w:t>Type: MonitoringEventSubscription</w:t>
      </w:r>
      <w:r>
        <w:rPr>
          <w:noProof/>
        </w:rPr>
        <w:tab/>
      </w:r>
      <w:r>
        <w:rPr>
          <w:noProof/>
        </w:rPr>
        <w:fldChar w:fldCharType="begin" w:fldLock="1"/>
      </w:r>
      <w:r>
        <w:rPr>
          <w:noProof/>
        </w:rPr>
        <w:instrText xml:space="preserve"> PAGEREF _Toc153625168 \h </w:instrText>
      </w:r>
      <w:r>
        <w:rPr>
          <w:noProof/>
        </w:rPr>
      </w:r>
      <w:r>
        <w:rPr>
          <w:noProof/>
        </w:rPr>
        <w:fldChar w:fldCharType="separate"/>
      </w:r>
      <w:r>
        <w:rPr>
          <w:noProof/>
        </w:rPr>
        <w:t>87</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5.3.2.1.3</w:t>
      </w:r>
      <w:r w:rsidRPr="00DD140B">
        <w:rPr>
          <w:rFonts w:ascii="Calibri" w:eastAsia="Malgun Gothic" w:hAnsi="Calibri"/>
          <w:noProof/>
          <w:sz w:val="22"/>
          <w:szCs w:val="22"/>
          <w:lang w:eastAsia="ko-KR"/>
        </w:rPr>
        <w:tab/>
      </w:r>
      <w:r>
        <w:rPr>
          <w:noProof/>
        </w:rPr>
        <w:t>Void</w:t>
      </w:r>
      <w:r>
        <w:rPr>
          <w:noProof/>
        </w:rPr>
        <w:tab/>
      </w:r>
      <w:r>
        <w:rPr>
          <w:noProof/>
        </w:rPr>
        <w:fldChar w:fldCharType="begin" w:fldLock="1"/>
      </w:r>
      <w:r>
        <w:rPr>
          <w:noProof/>
        </w:rPr>
        <w:instrText xml:space="preserve"> PAGEREF _Toc153625169 \h </w:instrText>
      </w:r>
      <w:r>
        <w:rPr>
          <w:noProof/>
        </w:rPr>
      </w:r>
      <w:r>
        <w:rPr>
          <w:noProof/>
        </w:rPr>
        <w:fldChar w:fldCharType="separate"/>
      </w:r>
      <w:r>
        <w:rPr>
          <w:noProof/>
        </w:rPr>
        <w:t>99</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5.3.2.2</w:t>
      </w:r>
      <w:r w:rsidRPr="00DD140B">
        <w:rPr>
          <w:rFonts w:ascii="Calibri" w:eastAsia="Malgun Gothic" w:hAnsi="Calibri"/>
          <w:noProof/>
          <w:sz w:val="22"/>
          <w:szCs w:val="22"/>
          <w:lang w:eastAsia="ko-KR"/>
        </w:rPr>
        <w:tab/>
      </w:r>
      <w:r>
        <w:rPr>
          <w:noProof/>
        </w:rPr>
        <w:t>Notification data types</w:t>
      </w:r>
      <w:r>
        <w:rPr>
          <w:noProof/>
        </w:rPr>
        <w:tab/>
      </w:r>
      <w:r>
        <w:rPr>
          <w:noProof/>
        </w:rPr>
        <w:fldChar w:fldCharType="begin" w:fldLock="1"/>
      </w:r>
      <w:r>
        <w:rPr>
          <w:noProof/>
        </w:rPr>
        <w:instrText xml:space="preserve"> PAGEREF _Toc153625170 \h </w:instrText>
      </w:r>
      <w:r>
        <w:rPr>
          <w:noProof/>
        </w:rPr>
      </w:r>
      <w:r>
        <w:rPr>
          <w:noProof/>
        </w:rPr>
        <w:fldChar w:fldCharType="separate"/>
      </w:r>
      <w:r>
        <w:rPr>
          <w:noProof/>
        </w:rPr>
        <w:t>99</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5.3.2.2.1</w:t>
      </w:r>
      <w:r w:rsidRPr="00DD140B">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_Toc153625171 \h </w:instrText>
      </w:r>
      <w:r>
        <w:rPr>
          <w:noProof/>
        </w:rPr>
      </w:r>
      <w:r>
        <w:rPr>
          <w:noProof/>
        </w:rPr>
        <w:fldChar w:fldCharType="separate"/>
      </w:r>
      <w:r>
        <w:rPr>
          <w:noProof/>
        </w:rPr>
        <w:t>99</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5.3.2.2.2</w:t>
      </w:r>
      <w:r w:rsidRPr="00DD140B">
        <w:rPr>
          <w:rFonts w:ascii="Calibri" w:eastAsia="Malgun Gothic" w:hAnsi="Calibri"/>
          <w:noProof/>
          <w:sz w:val="22"/>
          <w:szCs w:val="22"/>
          <w:lang w:eastAsia="ko-KR"/>
        </w:rPr>
        <w:tab/>
      </w:r>
      <w:r>
        <w:rPr>
          <w:noProof/>
        </w:rPr>
        <w:t>Type: MonitoringNotification</w:t>
      </w:r>
      <w:r>
        <w:rPr>
          <w:noProof/>
        </w:rPr>
        <w:tab/>
      </w:r>
      <w:r>
        <w:rPr>
          <w:noProof/>
        </w:rPr>
        <w:fldChar w:fldCharType="begin" w:fldLock="1"/>
      </w:r>
      <w:r>
        <w:rPr>
          <w:noProof/>
        </w:rPr>
        <w:instrText xml:space="preserve"> PAGEREF _Toc153625172 \h </w:instrText>
      </w:r>
      <w:r>
        <w:rPr>
          <w:noProof/>
        </w:rPr>
      </w:r>
      <w:r>
        <w:rPr>
          <w:noProof/>
        </w:rPr>
        <w:fldChar w:fldCharType="separate"/>
      </w:r>
      <w:r>
        <w:rPr>
          <w:noProof/>
        </w:rPr>
        <w:t>99</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5.3.2.3</w:t>
      </w:r>
      <w:r w:rsidRPr="00DD140B">
        <w:rPr>
          <w:rFonts w:ascii="Calibri" w:eastAsia="Malgun Gothic" w:hAnsi="Calibri"/>
          <w:noProof/>
          <w:sz w:val="22"/>
          <w:szCs w:val="22"/>
          <w:lang w:eastAsia="ko-KR"/>
        </w:rPr>
        <w:tab/>
      </w:r>
      <w:r>
        <w:rPr>
          <w:noProof/>
        </w:rPr>
        <w:t>Referenced structured data types</w:t>
      </w:r>
      <w:r>
        <w:rPr>
          <w:noProof/>
        </w:rPr>
        <w:tab/>
      </w:r>
      <w:r>
        <w:rPr>
          <w:noProof/>
        </w:rPr>
        <w:fldChar w:fldCharType="begin" w:fldLock="1"/>
      </w:r>
      <w:r>
        <w:rPr>
          <w:noProof/>
        </w:rPr>
        <w:instrText xml:space="preserve"> PAGEREF _Toc153625173 \h </w:instrText>
      </w:r>
      <w:r>
        <w:rPr>
          <w:noProof/>
        </w:rPr>
      </w:r>
      <w:r>
        <w:rPr>
          <w:noProof/>
        </w:rPr>
        <w:fldChar w:fldCharType="separate"/>
      </w:r>
      <w:r>
        <w:rPr>
          <w:noProof/>
        </w:rPr>
        <w:t>100</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5.3.2.3.1</w:t>
      </w:r>
      <w:r w:rsidRPr="00DD140B">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_Toc153625174 \h </w:instrText>
      </w:r>
      <w:r>
        <w:rPr>
          <w:noProof/>
        </w:rPr>
      </w:r>
      <w:r>
        <w:rPr>
          <w:noProof/>
        </w:rPr>
        <w:fldChar w:fldCharType="separate"/>
      </w:r>
      <w:r>
        <w:rPr>
          <w:noProof/>
        </w:rPr>
        <w:t>100</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5.3.2.3.2</w:t>
      </w:r>
      <w:r w:rsidRPr="00DD140B">
        <w:rPr>
          <w:rFonts w:ascii="Calibri" w:eastAsia="Malgun Gothic" w:hAnsi="Calibri"/>
          <w:noProof/>
          <w:sz w:val="22"/>
          <w:szCs w:val="22"/>
          <w:lang w:eastAsia="ko-KR"/>
        </w:rPr>
        <w:tab/>
      </w:r>
      <w:r>
        <w:rPr>
          <w:noProof/>
        </w:rPr>
        <w:t>Type: MonitoringEventReport</w:t>
      </w:r>
      <w:r>
        <w:rPr>
          <w:noProof/>
        </w:rPr>
        <w:tab/>
      </w:r>
      <w:r>
        <w:rPr>
          <w:noProof/>
        </w:rPr>
        <w:fldChar w:fldCharType="begin" w:fldLock="1"/>
      </w:r>
      <w:r>
        <w:rPr>
          <w:noProof/>
        </w:rPr>
        <w:instrText xml:space="preserve"> PAGEREF _Toc153625175 \h </w:instrText>
      </w:r>
      <w:r>
        <w:rPr>
          <w:noProof/>
        </w:rPr>
      </w:r>
      <w:r>
        <w:rPr>
          <w:noProof/>
        </w:rPr>
        <w:fldChar w:fldCharType="separate"/>
      </w:r>
      <w:r>
        <w:rPr>
          <w:noProof/>
        </w:rPr>
        <w:t>100</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5.3.2.3.3</w:t>
      </w:r>
      <w:r w:rsidRPr="00DD140B">
        <w:rPr>
          <w:rFonts w:ascii="Calibri" w:eastAsia="Malgun Gothic" w:hAnsi="Calibri"/>
          <w:noProof/>
          <w:sz w:val="22"/>
          <w:szCs w:val="22"/>
          <w:lang w:eastAsia="ko-KR"/>
        </w:rPr>
        <w:tab/>
      </w:r>
      <w:r>
        <w:rPr>
          <w:noProof/>
        </w:rPr>
        <w:t>Type: IdleStatusInfo</w:t>
      </w:r>
      <w:r>
        <w:rPr>
          <w:noProof/>
        </w:rPr>
        <w:tab/>
      </w:r>
      <w:r>
        <w:rPr>
          <w:noProof/>
        </w:rPr>
        <w:fldChar w:fldCharType="begin" w:fldLock="1"/>
      </w:r>
      <w:r>
        <w:rPr>
          <w:noProof/>
        </w:rPr>
        <w:instrText xml:space="preserve"> PAGEREF _Toc153625176 \h </w:instrText>
      </w:r>
      <w:r>
        <w:rPr>
          <w:noProof/>
        </w:rPr>
      </w:r>
      <w:r>
        <w:rPr>
          <w:noProof/>
        </w:rPr>
        <w:fldChar w:fldCharType="separate"/>
      </w:r>
      <w:r>
        <w:rPr>
          <w:noProof/>
        </w:rPr>
        <w:t>104</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5.3.2.3.4</w:t>
      </w:r>
      <w:r w:rsidRPr="00DD140B">
        <w:rPr>
          <w:rFonts w:ascii="Calibri" w:eastAsia="Malgun Gothic" w:hAnsi="Calibri"/>
          <w:noProof/>
          <w:sz w:val="22"/>
          <w:szCs w:val="22"/>
          <w:lang w:eastAsia="ko-KR"/>
        </w:rPr>
        <w:tab/>
      </w:r>
      <w:r>
        <w:rPr>
          <w:noProof/>
        </w:rPr>
        <w:t>Type: UePerLocationReport</w:t>
      </w:r>
      <w:r>
        <w:rPr>
          <w:noProof/>
        </w:rPr>
        <w:tab/>
      </w:r>
      <w:r>
        <w:rPr>
          <w:noProof/>
        </w:rPr>
        <w:fldChar w:fldCharType="begin" w:fldLock="1"/>
      </w:r>
      <w:r>
        <w:rPr>
          <w:noProof/>
        </w:rPr>
        <w:instrText xml:space="preserve"> PAGEREF _Toc153625177 \h </w:instrText>
      </w:r>
      <w:r>
        <w:rPr>
          <w:noProof/>
        </w:rPr>
      </w:r>
      <w:r>
        <w:rPr>
          <w:noProof/>
        </w:rPr>
        <w:fldChar w:fldCharType="separate"/>
      </w:r>
      <w:r>
        <w:rPr>
          <w:noProof/>
        </w:rPr>
        <w:t>104</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5.3.2.3.5</w:t>
      </w:r>
      <w:r w:rsidRPr="00DD140B">
        <w:rPr>
          <w:rFonts w:ascii="Calibri" w:eastAsia="Malgun Gothic" w:hAnsi="Calibri"/>
          <w:noProof/>
          <w:sz w:val="22"/>
          <w:szCs w:val="22"/>
          <w:lang w:eastAsia="ko-KR"/>
        </w:rPr>
        <w:tab/>
      </w:r>
      <w:r>
        <w:rPr>
          <w:noProof/>
        </w:rPr>
        <w:t xml:space="preserve">Type: </w:t>
      </w:r>
      <w:r>
        <w:rPr>
          <w:noProof/>
          <w:lang w:eastAsia="zh-CN"/>
        </w:rPr>
        <w:t>LocationInfo</w:t>
      </w:r>
      <w:r>
        <w:rPr>
          <w:noProof/>
        </w:rPr>
        <w:tab/>
      </w:r>
      <w:r>
        <w:rPr>
          <w:noProof/>
        </w:rPr>
        <w:fldChar w:fldCharType="begin" w:fldLock="1"/>
      </w:r>
      <w:r>
        <w:rPr>
          <w:noProof/>
        </w:rPr>
        <w:instrText xml:space="preserve"> PAGEREF _Toc153625178 \h </w:instrText>
      </w:r>
      <w:r>
        <w:rPr>
          <w:noProof/>
        </w:rPr>
      </w:r>
      <w:r>
        <w:rPr>
          <w:noProof/>
        </w:rPr>
        <w:fldChar w:fldCharType="separate"/>
      </w:r>
      <w:r>
        <w:rPr>
          <w:noProof/>
        </w:rPr>
        <w:t>104</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5.3.2.3.6</w:t>
      </w:r>
      <w:r w:rsidRPr="00DD140B">
        <w:rPr>
          <w:rFonts w:ascii="Calibri" w:eastAsia="Malgun Gothic" w:hAnsi="Calibri"/>
          <w:noProof/>
          <w:sz w:val="22"/>
          <w:szCs w:val="22"/>
          <w:lang w:eastAsia="ko-KR"/>
        </w:rPr>
        <w:tab/>
      </w:r>
      <w:r>
        <w:rPr>
          <w:noProof/>
        </w:rPr>
        <w:t>Type: Failure</w:t>
      </w:r>
      <w:r>
        <w:rPr>
          <w:noProof/>
          <w:lang w:eastAsia="zh-CN"/>
        </w:rPr>
        <w:t>Cause</w:t>
      </w:r>
      <w:r>
        <w:rPr>
          <w:noProof/>
        </w:rPr>
        <w:tab/>
      </w:r>
      <w:r>
        <w:rPr>
          <w:noProof/>
        </w:rPr>
        <w:fldChar w:fldCharType="begin" w:fldLock="1"/>
      </w:r>
      <w:r>
        <w:rPr>
          <w:noProof/>
        </w:rPr>
        <w:instrText xml:space="preserve"> PAGEREF _Toc153625179 \h </w:instrText>
      </w:r>
      <w:r>
        <w:rPr>
          <w:noProof/>
        </w:rPr>
      </w:r>
      <w:r>
        <w:rPr>
          <w:noProof/>
        </w:rPr>
        <w:fldChar w:fldCharType="separate"/>
      </w:r>
      <w:r>
        <w:rPr>
          <w:noProof/>
        </w:rPr>
        <w:t>106</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5.3.2.3.7</w:t>
      </w:r>
      <w:r w:rsidRPr="00DD140B">
        <w:rPr>
          <w:rFonts w:ascii="Calibri" w:eastAsia="Malgun Gothic" w:hAnsi="Calibri"/>
          <w:noProof/>
          <w:sz w:val="22"/>
          <w:szCs w:val="22"/>
          <w:lang w:eastAsia="ko-KR"/>
        </w:rPr>
        <w:tab/>
      </w:r>
      <w:r>
        <w:rPr>
          <w:noProof/>
        </w:rPr>
        <w:t>Type: PdnConnectionInformation</w:t>
      </w:r>
      <w:r>
        <w:rPr>
          <w:noProof/>
        </w:rPr>
        <w:tab/>
      </w:r>
      <w:r>
        <w:rPr>
          <w:noProof/>
        </w:rPr>
        <w:fldChar w:fldCharType="begin" w:fldLock="1"/>
      </w:r>
      <w:r>
        <w:rPr>
          <w:noProof/>
        </w:rPr>
        <w:instrText xml:space="preserve"> PAGEREF _Toc153625180 \h </w:instrText>
      </w:r>
      <w:r>
        <w:rPr>
          <w:noProof/>
        </w:rPr>
      </w:r>
      <w:r>
        <w:rPr>
          <w:noProof/>
        </w:rPr>
        <w:fldChar w:fldCharType="separate"/>
      </w:r>
      <w:r>
        <w:rPr>
          <w:noProof/>
        </w:rPr>
        <w:t>107</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5.3.2.3.8</w:t>
      </w:r>
      <w:r w:rsidRPr="00DD140B">
        <w:rPr>
          <w:rFonts w:ascii="Calibri" w:eastAsia="Malgun Gothic" w:hAnsi="Calibri"/>
          <w:noProof/>
          <w:sz w:val="22"/>
          <w:szCs w:val="22"/>
          <w:lang w:eastAsia="ko-KR"/>
        </w:rPr>
        <w:tab/>
      </w:r>
      <w:r>
        <w:rPr>
          <w:noProof/>
        </w:rPr>
        <w:t>Type: AppliedParameterConfiguration</w:t>
      </w:r>
      <w:r>
        <w:rPr>
          <w:noProof/>
        </w:rPr>
        <w:tab/>
      </w:r>
      <w:r>
        <w:rPr>
          <w:noProof/>
        </w:rPr>
        <w:fldChar w:fldCharType="begin" w:fldLock="1"/>
      </w:r>
      <w:r>
        <w:rPr>
          <w:noProof/>
        </w:rPr>
        <w:instrText xml:space="preserve"> PAGEREF _Toc153625181 \h </w:instrText>
      </w:r>
      <w:r>
        <w:rPr>
          <w:noProof/>
        </w:rPr>
      </w:r>
      <w:r>
        <w:rPr>
          <w:noProof/>
        </w:rPr>
        <w:fldChar w:fldCharType="separate"/>
      </w:r>
      <w:r>
        <w:rPr>
          <w:noProof/>
        </w:rPr>
        <w:t>107</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5.3.2.3.9</w:t>
      </w:r>
      <w:r w:rsidRPr="00DD140B">
        <w:rPr>
          <w:rFonts w:ascii="Calibri" w:eastAsia="Malgun Gothic" w:hAnsi="Calibri"/>
          <w:noProof/>
          <w:sz w:val="22"/>
          <w:szCs w:val="22"/>
          <w:lang w:eastAsia="ko-KR"/>
        </w:rPr>
        <w:tab/>
      </w:r>
      <w:r>
        <w:rPr>
          <w:noProof/>
        </w:rPr>
        <w:t>Type: ApiCapabilityInfo</w:t>
      </w:r>
      <w:r>
        <w:rPr>
          <w:noProof/>
        </w:rPr>
        <w:tab/>
      </w:r>
      <w:r>
        <w:rPr>
          <w:noProof/>
        </w:rPr>
        <w:fldChar w:fldCharType="begin" w:fldLock="1"/>
      </w:r>
      <w:r>
        <w:rPr>
          <w:noProof/>
        </w:rPr>
        <w:instrText xml:space="preserve"> PAGEREF _Toc153625182 \h </w:instrText>
      </w:r>
      <w:r>
        <w:rPr>
          <w:noProof/>
        </w:rPr>
      </w:r>
      <w:r>
        <w:rPr>
          <w:noProof/>
        </w:rPr>
        <w:fldChar w:fldCharType="separate"/>
      </w:r>
      <w:r>
        <w:rPr>
          <w:noProof/>
        </w:rPr>
        <w:t>107</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5.3.2.3.10</w:t>
      </w:r>
      <w:r w:rsidRPr="00DD140B">
        <w:rPr>
          <w:rFonts w:ascii="Calibri" w:eastAsia="Malgun Gothic" w:hAnsi="Calibri"/>
          <w:noProof/>
          <w:sz w:val="22"/>
          <w:szCs w:val="22"/>
          <w:lang w:eastAsia="ko-KR"/>
        </w:rPr>
        <w:tab/>
      </w:r>
      <w:r>
        <w:rPr>
          <w:noProof/>
        </w:rPr>
        <w:t>Type: MonitoringEventReports</w:t>
      </w:r>
      <w:r>
        <w:rPr>
          <w:noProof/>
        </w:rPr>
        <w:tab/>
      </w:r>
      <w:r>
        <w:rPr>
          <w:noProof/>
        </w:rPr>
        <w:fldChar w:fldCharType="begin" w:fldLock="1"/>
      </w:r>
      <w:r>
        <w:rPr>
          <w:noProof/>
        </w:rPr>
        <w:instrText xml:space="preserve"> PAGEREF _Toc153625183 \h </w:instrText>
      </w:r>
      <w:r>
        <w:rPr>
          <w:noProof/>
        </w:rPr>
      </w:r>
      <w:r>
        <w:rPr>
          <w:noProof/>
        </w:rPr>
        <w:fldChar w:fldCharType="separate"/>
      </w:r>
      <w:r>
        <w:rPr>
          <w:noProof/>
        </w:rPr>
        <w:t>108</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5.3.2.3.11</w:t>
      </w:r>
      <w:r w:rsidRPr="00DD140B">
        <w:rPr>
          <w:rFonts w:ascii="Calibri" w:eastAsia="Malgun Gothic" w:hAnsi="Calibri"/>
          <w:noProof/>
          <w:sz w:val="22"/>
          <w:szCs w:val="22"/>
          <w:lang w:eastAsia="ko-KR"/>
        </w:rPr>
        <w:tab/>
      </w:r>
      <w:r>
        <w:rPr>
          <w:noProof/>
        </w:rPr>
        <w:t>Type: UavPolicy</w:t>
      </w:r>
      <w:r>
        <w:rPr>
          <w:noProof/>
        </w:rPr>
        <w:tab/>
      </w:r>
      <w:r>
        <w:rPr>
          <w:noProof/>
        </w:rPr>
        <w:fldChar w:fldCharType="begin" w:fldLock="1"/>
      </w:r>
      <w:r>
        <w:rPr>
          <w:noProof/>
        </w:rPr>
        <w:instrText xml:space="preserve"> PAGEREF _Toc153625184 \h </w:instrText>
      </w:r>
      <w:r>
        <w:rPr>
          <w:noProof/>
        </w:rPr>
      </w:r>
      <w:r>
        <w:rPr>
          <w:noProof/>
        </w:rPr>
        <w:fldChar w:fldCharType="separate"/>
      </w:r>
      <w:r>
        <w:rPr>
          <w:noProof/>
        </w:rPr>
        <w:t>108</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5.3.2.3.11</w:t>
      </w:r>
      <w:r w:rsidRPr="00DD140B">
        <w:rPr>
          <w:rFonts w:ascii="Calibri" w:eastAsia="Malgun Gothic" w:hAnsi="Calibri"/>
          <w:noProof/>
          <w:sz w:val="22"/>
          <w:szCs w:val="22"/>
          <w:lang w:eastAsia="ko-KR"/>
        </w:rPr>
        <w:tab/>
      </w:r>
      <w:r>
        <w:rPr>
          <w:noProof/>
        </w:rPr>
        <w:t>Type: ConsentRevocNotif</w:t>
      </w:r>
      <w:r>
        <w:rPr>
          <w:noProof/>
        </w:rPr>
        <w:tab/>
      </w:r>
      <w:r>
        <w:rPr>
          <w:noProof/>
        </w:rPr>
        <w:fldChar w:fldCharType="begin" w:fldLock="1"/>
      </w:r>
      <w:r>
        <w:rPr>
          <w:noProof/>
        </w:rPr>
        <w:instrText xml:space="preserve"> PAGEREF _Toc153625185 \h </w:instrText>
      </w:r>
      <w:r>
        <w:rPr>
          <w:noProof/>
        </w:rPr>
      </w:r>
      <w:r>
        <w:rPr>
          <w:noProof/>
        </w:rPr>
        <w:fldChar w:fldCharType="separate"/>
      </w:r>
      <w:r>
        <w:rPr>
          <w:noProof/>
        </w:rPr>
        <w:t>108</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5.3.2.3.12</w:t>
      </w:r>
      <w:r w:rsidRPr="00DD140B">
        <w:rPr>
          <w:rFonts w:ascii="Calibri" w:eastAsia="Malgun Gothic" w:hAnsi="Calibri"/>
          <w:noProof/>
          <w:sz w:val="22"/>
          <w:szCs w:val="22"/>
          <w:lang w:eastAsia="ko-KR"/>
        </w:rPr>
        <w:tab/>
      </w:r>
      <w:r>
        <w:rPr>
          <w:noProof/>
        </w:rPr>
        <w:t xml:space="preserve">Type: </w:t>
      </w:r>
      <w:r>
        <w:rPr>
          <w:noProof/>
          <w:lang w:eastAsia="zh-CN"/>
        </w:rPr>
        <w:t>ConsentRevoked</w:t>
      </w:r>
      <w:r>
        <w:rPr>
          <w:noProof/>
        </w:rPr>
        <w:tab/>
      </w:r>
      <w:r>
        <w:rPr>
          <w:noProof/>
        </w:rPr>
        <w:fldChar w:fldCharType="begin" w:fldLock="1"/>
      </w:r>
      <w:r>
        <w:rPr>
          <w:noProof/>
        </w:rPr>
        <w:instrText xml:space="preserve"> PAGEREF _Toc153625186 \h </w:instrText>
      </w:r>
      <w:r>
        <w:rPr>
          <w:noProof/>
        </w:rPr>
      </w:r>
      <w:r>
        <w:rPr>
          <w:noProof/>
        </w:rPr>
        <w:fldChar w:fldCharType="separate"/>
      </w:r>
      <w:r>
        <w:rPr>
          <w:noProof/>
        </w:rPr>
        <w:t>109</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5.3.2.3.13</w:t>
      </w:r>
      <w:r w:rsidRPr="00DD140B">
        <w:rPr>
          <w:rFonts w:ascii="Calibri" w:eastAsia="Malgun Gothic" w:hAnsi="Calibri"/>
          <w:noProof/>
          <w:sz w:val="22"/>
          <w:szCs w:val="22"/>
          <w:lang w:eastAsia="ko-KR"/>
        </w:rPr>
        <w:tab/>
      </w:r>
      <w:r>
        <w:rPr>
          <w:noProof/>
        </w:rPr>
        <w:t>Type: GroupMembListChanges</w:t>
      </w:r>
      <w:r>
        <w:rPr>
          <w:noProof/>
        </w:rPr>
        <w:tab/>
      </w:r>
      <w:r>
        <w:rPr>
          <w:noProof/>
        </w:rPr>
        <w:fldChar w:fldCharType="begin" w:fldLock="1"/>
      </w:r>
      <w:r>
        <w:rPr>
          <w:noProof/>
        </w:rPr>
        <w:instrText xml:space="preserve"> PAGEREF _Toc153625187 \h </w:instrText>
      </w:r>
      <w:r>
        <w:rPr>
          <w:noProof/>
        </w:rPr>
      </w:r>
      <w:r>
        <w:rPr>
          <w:noProof/>
        </w:rPr>
        <w:fldChar w:fldCharType="separate"/>
      </w:r>
      <w:r>
        <w:rPr>
          <w:noProof/>
        </w:rPr>
        <w:t>109</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5.3.2.3.14</w:t>
      </w:r>
      <w:r w:rsidRPr="00DD140B">
        <w:rPr>
          <w:rFonts w:ascii="Calibri" w:eastAsia="Malgun Gothic" w:hAnsi="Calibri"/>
          <w:noProof/>
          <w:sz w:val="22"/>
          <w:szCs w:val="22"/>
          <w:lang w:eastAsia="ko-KR"/>
        </w:rPr>
        <w:tab/>
      </w:r>
      <w:r>
        <w:rPr>
          <w:noProof/>
        </w:rPr>
        <w:t xml:space="preserve">Type: </w:t>
      </w:r>
      <w:r>
        <w:rPr>
          <w:noProof/>
          <w:lang w:eastAsia="zh-CN"/>
        </w:rPr>
        <w:t>RangeDirection</w:t>
      </w:r>
      <w:r>
        <w:rPr>
          <w:noProof/>
        </w:rPr>
        <w:tab/>
      </w:r>
      <w:r>
        <w:rPr>
          <w:noProof/>
        </w:rPr>
        <w:fldChar w:fldCharType="begin" w:fldLock="1"/>
      </w:r>
      <w:r>
        <w:rPr>
          <w:noProof/>
        </w:rPr>
        <w:instrText xml:space="preserve"> PAGEREF _Toc153625188 \h </w:instrText>
      </w:r>
      <w:r>
        <w:rPr>
          <w:noProof/>
        </w:rPr>
      </w:r>
      <w:r>
        <w:rPr>
          <w:noProof/>
        </w:rPr>
        <w:fldChar w:fldCharType="separate"/>
      </w:r>
      <w:r>
        <w:rPr>
          <w:noProof/>
        </w:rPr>
        <w:t>109</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5.3.2.3.15</w:t>
      </w:r>
      <w:r w:rsidRPr="00DD140B">
        <w:rPr>
          <w:rFonts w:ascii="Calibri" w:eastAsia="Malgun Gothic" w:hAnsi="Calibri"/>
          <w:noProof/>
          <w:sz w:val="22"/>
          <w:szCs w:val="22"/>
          <w:lang w:eastAsia="ko-KR"/>
        </w:rPr>
        <w:tab/>
      </w:r>
      <w:r>
        <w:rPr>
          <w:noProof/>
        </w:rPr>
        <w:t xml:space="preserve">Type: </w:t>
      </w:r>
      <w:r>
        <w:rPr>
          <w:noProof/>
          <w:lang w:eastAsia="zh-CN"/>
        </w:rPr>
        <w:t>TwodrelativeLocation</w:t>
      </w:r>
      <w:r>
        <w:rPr>
          <w:noProof/>
        </w:rPr>
        <w:tab/>
      </w:r>
      <w:r>
        <w:rPr>
          <w:noProof/>
        </w:rPr>
        <w:fldChar w:fldCharType="begin" w:fldLock="1"/>
      </w:r>
      <w:r>
        <w:rPr>
          <w:noProof/>
        </w:rPr>
        <w:instrText xml:space="preserve"> PAGEREF _Toc153625189 \h </w:instrText>
      </w:r>
      <w:r>
        <w:rPr>
          <w:noProof/>
        </w:rPr>
      </w:r>
      <w:r>
        <w:rPr>
          <w:noProof/>
        </w:rPr>
        <w:fldChar w:fldCharType="separate"/>
      </w:r>
      <w:r>
        <w:rPr>
          <w:noProof/>
        </w:rPr>
        <w:t>109</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5.3.2.3.16</w:t>
      </w:r>
      <w:r w:rsidRPr="00DD140B">
        <w:rPr>
          <w:rFonts w:ascii="Calibri" w:eastAsia="Malgun Gothic" w:hAnsi="Calibri"/>
          <w:noProof/>
          <w:sz w:val="22"/>
          <w:szCs w:val="22"/>
          <w:lang w:eastAsia="ko-KR"/>
        </w:rPr>
        <w:tab/>
      </w:r>
      <w:r>
        <w:rPr>
          <w:noProof/>
        </w:rPr>
        <w:t xml:space="preserve">Type: </w:t>
      </w:r>
      <w:r>
        <w:rPr>
          <w:noProof/>
          <w:lang w:eastAsia="zh-CN"/>
        </w:rPr>
        <w:t>ThreedrelativeLocation</w:t>
      </w:r>
      <w:r>
        <w:rPr>
          <w:noProof/>
        </w:rPr>
        <w:tab/>
      </w:r>
      <w:r>
        <w:rPr>
          <w:noProof/>
        </w:rPr>
        <w:fldChar w:fldCharType="begin" w:fldLock="1"/>
      </w:r>
      <w:r>
        <w:rPr>
          <w:noProof/>
        </w:rPr>
        <w:instrText xml:space="preserve"> PAGEREF _Toc153625190 \h </w:instrText>
      </w:r>
      <w:r>
        <w:rPr>
          <w:noProof/>
        </w:rPr>
      </w:r>
      <w:r>
        <w:rPr>
          <w:noProof/>
        </w:rPr>
        <w:fldChar w:fldCharType="separate"/>
      </w:r>
      <w:r>
        <w:rPr>
          <w:noProof/>
        </w:rPr>
        <w:t>109</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5.3.2.3.17</w:t>
      </w:r>
      <w:r w:rsidRPr="00DD140B">
        <w:rPr>
          <w:rFonts w:ascii="Calibri" w:eastAsia="Malgun Gothic" w:hAnsi="Calibri"/>
          <w:noProof/>
          <w:sz w:val="22"/>
          <w:szCs w:val="22"/>
          <w:lang w:eastAsia="ko-KR"/>
        </w:rPr>
        <w:tab/>
      </w:r>
      <w:r>
        <w:rPr>
          <w:noProof/>
        </w:rPr>
        <w:t xml:space="preserve">Type: </w:t>
      </w:r>
      <w:r w:rsidRPr="00677085">
        <w:rPr>
          <w:rFonts w:eastAsia="Times New Roman"/>
          <w:noProof/>
          <w:lang w:eastAsia="en-GB"/>
        </w:rPr>
        <w:t>UpLocRepAddrAfRm</w:t>
      </w:r>
      <w:r>
        <w:rPr>
          <w:noProof/>
        </w:rPr>
        <w:tab/>
      </w:r>
      <w:r>
        <w:rPr>
          <w:noProof/>
        </w:rPr>
        <w:fldChar w:fldCharType="begin" w:fldLock="1"/>
      </w:r>
      <w:r>
        <w:rPr>
          <w:noProof/>
        </w:rPr>
        <w:instrText xml:space="preserve"> PAGEREF _Toc153625191 \h </w:instrText>
      </w:r>
      <w:r>
        <w:rPr>
          <w:noProof/>
        </w:rPr>
      </w:r>
      <w:r>
        <w:rPr>
          <w:noProof/>
        </w:rPr>
        <w:fldChar w:fldCharType="separate"/>
      </w:r>
      <w:r>
        <w:rPr>
          <w:noProof/>
        </w:rPr>
        <w:t>110</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5.3.2.3.18</w:t>
      </w:r>
      <w:r w:rsidRPr="00DD140B">
        <w:rPr>
          <w:rFonts w:ascii="Calibri" w:eastAsia="Malgun Gothic" w:hAnsi="Calibri"/>
          <w:noProof/>
          <w:sz w:val="22"/>
          <w:szCs w:val="22"/>
          <w:lang w:eastAsia="ko-KR"/>
        </w:rPr>
        <w:tab/>
      </w:r>
      <w:r>
        <w:rPr>
          <w:noProof/>
        </w:rPr>
        <w:t xml:space="preserve">Type: </w:t>
      </w:r>
      <w:r>
        <w:rPr>
          <w:noProof/>
          <w:lang w:eastAsia="zh-CN"/>
        </w:rPr>
        <w:t>UpCumEvtRep</w:t>
      </w:r>
      <w:r>
        <w:rPr>
          <w:noProof/>
        </w:rPr>
        <w:tab/>
      </w:r>
      <w:r>
        <w:rPr>
          <w:noProof/>
        </w:rPr>
        <w:fldChar w:fldCharType="begin" w:fldLock="1"/>
      </w:r>
      <w:r>
        <w:rPr>
          <w:noProof/>
        </w:rPr>
        <w:instrText xml:space="preserve"> PAGEREF _Toc153625192 \h </w:instrText>
      </w:r>
      <w:r>
        <w:rPr>
          <w:noProof/>
        </w:rPr>
      </w:r>
      <w:r>
        <w:rPr>
          <w:noProof/>
        </w:rPr>
        <w:fldChar w:fldCharType="separate"/>
      </w:r>
      <w:r>
        <w:rPr>
          <w:noProof/>
        </w:rPr>
        <w:t>110</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5.3.2.4</w:t>
      </w:r>
      <w:r w:rsidRPr="00DD140B">
        <w:rPr>
          <w:rFonts w:ascii="Calibri" w:eastAsia="Malgun Gothic" w:hAnsi="Calibri"/>
          <w:noProof/>
          <w:sz w:val="22"/>
          <w:szCs w:val="22"/>
          <w:lang w:eastAsia="ko-KR"/>
        </w:rPr>
        <w:tab/>
      </w:r>
      <w:r>
        <w:rPr>
          <w:noProof/>
        </w:rPr>
        <w:t>Referenced simple data types and enumerations</w:t>
      </w:r>
      <w:r>
        <w:rPr>
          <w:noProof/>
        </w:rPr>
        <w:tab/>
      </w:r>
      <w:r>
        <w:rPr>
          <w:noProof/>
        </w:rPr>
        <w:fldChar w:fldCharType="begin" w:fldLock="1"/>
      </w:r>
      <w:r>
        <w:rPr>
          <w:noProof/>
        </w:rPr>
        <w:instrText xml:space="preserve"> PAGEREF _Toc153625193 \h </w:instrText>
      </w:r>
      <w:r>
        <w:rPr>
          <w:noProof/>
        </w:rPr>
      </w:r>
      <w:r>
        <w:rPr>
          <w:noProof/>
        </w:rPr>
        <w:fldChar w:fldCharType="separate"/>
      </w:r>
      <w:r>
        <w:rPr>
          <w:noProof/>
        </w:rPr>
        <w:t>110</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5.3.2.4.1</w:t>
      </w:r>
      <w:r w:rsidRPr="00DD140B">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_Toc153625194 \h </w:instrText>
      </w:r>
      <w:r>
        <w:rPr>
          <w:noProof/>
        </w:rPr>
      </w:r>
      <w:r>
        <w:rPr>
          <w:noProof/>
        </w:rPr>
        <w:fldChar w:fldCharType="separate"/>
      </w:r>
      <w:r>
        <w:rPr>
          <w:noProof/>
        </w:rPr>
        <w:t>110</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5.3.2.4.2</w:t>
      </w:r>
      <w:r w:rsidRPr="00DD140B">
        <w:rPr>
          <w:rFonts w:ascii="Calibri" w:eastAsia="Malgun Gothic" w:hAnsi="Calibri"/>
          <w:noProof/>
          <w:sz w:val="22"/>
          <w:szCs w:val="22"/>
          <w:lang w:eastAsia="ko-KR"/>
        </w:rPr>
        <w:tab/>
      </w:r>
      <w:r>
        <w:rPr>
          <w:noProof/>
        </w:rPr>
        <w:t>Simple data types</w:t>
      </w:r>
      <w:r>
        <w:rPr>
          <w:noProof/>
        </w:rPr>
        <w:tab/>
      </w:r>
      <w:r>
        <w:rPr>
          <w:noProof/>
        </w:rPr>
        <w:fldChar w:fldCharType="begin" w:fldLock="1"/>
      </w:r>
      <w:r>
        <w:rPr>
          <w:noProof/>
        </w:rPr>
        <w:instrText xml:space="preserve"> PAGEREF _Toc153625195 \h </w:instrText>
      </w:r>
      <w:r>
        <w:rPr>
          <w:noProof/>
        </w:rPr>
      </w:r>
      <w:r>
        <w:rPr>
          <w:noProof/>
        </w:rPr>
        <w:fldChar w:fldCharType="separate"/>
      </w:r>
      <w:r>
        <w:rPr>
          <w:noProof/>
        </w:rPr>
        <w:t>110</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5.3.2.4.3</w:t>
      </w:r>
      <w:r w:rsidRPr="00DD140B">
        <w:rPr>
          <w:rFonts w:ascii="Calibri" w:eastAsia="Malgun Gothic" w:hAnsi="Calibri"/>
          <w:noProof/>
          <w:sz w:val="22"/>
          <w:szCs w:val="22"/>
          <w:lang w:eastAsia="ko-KR"/>
        </w:rPr>
        <w:tab/>
      </w:r>
      <w:r>
        <w:rPr>
          <w:noProof/>
        </w:rPr>
        <w:t>Enumeration: MonitoringType</w:t>
      </w:r>
      <w:r>
        <w:rPr>
          <w:noProof/>
        </w:rPr>
        <w:tab/>
      </w:r>
      <w:r>
        <w:rPr>
          <w:noProof/>
        </w:rPr>
        <w:fldChar w:fldCharType="begin" w:fldLock="1"/>
      </w:r>
      <w:r>
        <w:rPr>
          <w:noProof/>
        </w:rPr>
        <w:instrText xml:space="preserve"> PAGEREF _Toc153625196 \h </w:instrText>
      </w:r>
      <w:r>
        <w:rPr>
          <w:noProof/>
        </w:rPr>
      </w:r>
      <w:r>
        <w:rPr>
          <w:noProof/>
        </w:rPr>
        <w:fldChar w:fldCharType="separate"/>
      </w:r>
      <w:r>
        <w:rPr>
          <w:noProof/>
        </w:rPr>
        <w:t>110</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5.3.2.4.4</w:t>
      </w:r>
      <w:r w:rsidRPr="00DD140B">
        <w:rPr>
          <w:rFonts w:ascii="Calibri" w:eastAsia="Malgun Gothic" w:hAnsi="Calibri"/>
          <w:noProof/>
          <w:sz w:val="22"/>
          <w:szCs w:val="22"/>
          <w:lang w:eastAsia="ko-KR"/>
        </w:rPr>
        <w:tab/>
      </w:r>
      <w:r>
        <w:rPr>
          <w:noProof/>
        </w:rPr>
        <w:t>Enumeration: ReachabilityType</w:t>
      </w:r>
      <w:r>
        <w:rPr>
          <w:noProof/>
        </w:rPr>
        <w:tab/>
      </w:r>
      <w:r>
        <w:rPr>
          <w:noProof/>
        </w:rPr>
        <w:fldChar w:fldCharType="begin" w:fldLock="1"/>
      </w:r>
      <w:r>
        <w:rPr>
          <w:noProof/>
        </w:rPr>
        <w:instrText xml:space="preserve"> PAGEREF _Toc153625197 \h </w:instrText>
      </w:r>
      <w:r>
        <w:rPr>
          <w:noProof/>
        </w:rPr>
      </w:r>
      <w:r>
        <w:rPr>
          <w:noProof/>
        </w:rPr>
        <w:fldChar w:fldCharType="separate"/>
      </w:r>
      <w:r>
        <w:rPr>
          <w:noProof/>
        </w:rPr>
        <w:t>111</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5.3.2.4.5</w:t>
      </w:r>
      <w:r w:rsidRPr="00DD140B">
        <w:rPr>
          <w:rFonts w:ascii="Calibri" w:eastAsia="Malgun Gothic" w:hAnsi="Calibri"/>
          <w:noProof/>
          <w:sz w:val="22"/>
          <w:szCs w:val="22"/>
          <w:lang w:eastAsia="ko-KR"/>
        </w:rPr>
        <w:tab/>
      </w:r>
      <w:r>
        <w:rPr>
          <w:noProof/>
        </w:rPr>
        <w:t>Enumeration: LocationType</w:t>
      </w:r>
      <w:r>
        <w:rPr>
          <w:noProof/>
        </w:rPr>
        <w:tab/>
      </w:r>
      <w:r>
        <w:rPr>
          <w:noProof/>
        </w:rPr>
        <w:fldChar w:fldCharType="begin" w:fldLock="1"/>
      </w:r>
      <w:r>
        <w:rPr>
          <w:noProof/>
        </w:rPr>
        <w:instrText xml:space="preserve"> PAGEREF _Toc153625198 \h </w:instrText>
      </w:r>
      <w:r>
        <w:rPr>
          <w:noProof/>
        </w:rPr>
      </w:r>
      <w:r>
        <w:rPr>
          <w:noProof/>
        </w:rPr>
        <w:fldChar w:fldCharType="separate"/>
      </w:r>
      <w:r>
        <w:rPr>
          <w:noProof/>
        </w:rPr>
        <w:t>112</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5.3.2.4.6</w:t>
      </w:r>
      <w:r w:rsidRPr="00DD140B">
        <w:rPr>
          <w:rFonts w:ascii="Calibri" w:eastAsia="Malgun Gothic" w:hAnsi="Calibri"/>
          <w:noProof/>
          <w:sz w:val="22"/>
          <w:szCs w:val="22"/>
          <w:lang w:eastAsia="ko-KR"/>
        </w:rPr>
        <w:tab/>
      </w:r>
      <w:r>
        <w:rPr>
          <w:noProof/>
        </w:rPr>
        <w:t>Enumeration: AssociationType</w:t>
      </w:r>
      <w:r>
        <w:rPr>
          <w:noProof/>
        </w:rPr>
        <w:tab/>
      </w:r>
      <w:r>
        <w:rPr>
          <w:noProof/>
        </w:rPr>
        <w:fldChar w:fldCharType="begin" w:fldLock="1"/>
      </w:r>
      <w:r>
        <w:rPr>
          <w:noProof/>
        </w:rPr>
        <w:instrText xml:space="preserve"> PAGEREF _Toc153625199 \h </w:instrText>
      </w:r>
      <w:r>
        <w:rPr>
          <w:noProof/>
        </w:rPr>
      </w:r>
      <w:r>
        <w:rPr>
          <w:noProof/>
        </w:rPr>
        <w:fldChar w:fldCharType="separate"/>
      </w:r>
      <w:r>
        <w:rPr>
          <w:noProof/>
        </w:rPr>
        <w:t>112</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5.3.2.4.7</w:t>
      </w:r>
      <w:r w:rsidRPr="00DD140B">
        <w:rPr>
          <w:rFonts w:ascii="Calibri" w:eastAsia="Malgun Gothic" w:hAnsi="Calibri"/>
          <w:noProof/>
          <w:sz w:val="22"/>
          <w:szCs w:val="22"/>
          <w:lang w:eastAsia="ko-KR"/>
        </w:rPr>
        <w:tab/>
      </w:r>
      <w:r>
        <w:rPr>
          <w:noProof/>
        </w:rPr>
        <w:t>Enumeration: Accuracy</w:t>
      </w:r>
      <w:r>
        <w:rPr>
          <w:noProof/>
        </w:rPr>
        <w:tab/>
      </w:r>
      <w:r>
        <w:rPr>
          <w:noProof/>
        </w:rPr>
        <w:fldChar w:fldCharType="begin" w:fldLock="1"/>
      </w:r>
      <w:r>
        <w:rPr>
          <w:noProof/>
        </w:rPr>
        <w:instrText xml:space="preserve"> PAGEREF _Toc153625200 \h </w:instrText>
      </w:r>
      <w:r>
        <w:rPr>
          <w:noProof/>
        </w:rPr>
      </w:r>
      <w:r>
        <w:rPr>
          <w:noProof/>
        </w:rPr>
        <w:fldChar w:fldCharType="separate"/>
      </w:r>
      <w:r>
        <w:rPr>
          <w:noProof/>
        </w:rPr>
        <w:t>112</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5.3.2.4.8</w:t>
      </w:r>
      <w:r w:rsidRPr="00DD140B">
        <w:rPr>
          <w:rFonts w:ascii="Calibri" w:eastAsia="Malgun Gothic" w:hAnsi="Calibri"/>
          <w:noProof/>
          <w:sz w:val="22"/>
          <w:szCs w:val="22"/>
          <w:lang w:eastAsia="ko-KR"/>
        </w:rPr>
        <w:tab/>
      </w:r>
      <w:r>
        <w:rPr>
          <w:noProof/>
        </w:rPr>
        <w:t>Enumeration: PdnConnectionStatus</w:t>
      </w:r>
      <w:r>
        <w:rPr>
          <w:noProof/>
        </w:rPr>
        <w:tab/>
      </w:r>
      <w:r>
        <w:rPr>
          <w:noProof/>
        </w:rPr>
        <w:fldChar w:fldCharType="begin" w:fldLock="1"/>
      </w:r>
      <w:r>
        <w:rPr>
          <w:noProof/>
        </w:rPr>
        <w:instrText xml:space="preserve"> PAGEREF _Toc153625201 \h </w:instrText>
      </w:r>
      <w:r>
        <w:rPr>
          <w:noProof/>
        </w:rPr>
      </w:r>
      <w:r>
        <w:rPr>
          <w:noProof/>
        </w:rPr>
        <w:fldChar w:fldCharType="separate"/>
      </w:r>
      <w:r>
        <w:rPr>
          <w:noProof/>
        </w:rPr>
        <w:t>113</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5.3.2.4.9</w:t>
      </w:r>
      <w:r w:rsidRPr="00DD140B">
        <w:rPr>
          <w:rFonts w:ascii="Calibri" w:eastAsia="Malgun Gothic" w:hAnsi="Calibri"/>
          <w:noProof/>
          <w:sz w:val="22"/>
          <w:szCs w:val="22"/>
          <w:lang w:eastAsia="ko-KR"/>
        </w:rPr>
        <w:tab/>
      </w:r>
      <w:r>
        <w:rPr>
          <w:noProof/>
        </w:rPr>
        <w:t>Enumeration: PdnType</w:t>
      </w:r>
      <w:r>
        <w:rPr>
          <w:noProof/>
        </w:rPr>
        <w:tab/>
      </w:r>
      <w:r>
        <w:rPr>
          <w:noProof/>
        </w:rPr>
        <w:fldChar w:fldCharType="begin" w:fldLock="1"/>
      </w:r>
      <w:r>
        <w:rPr>
          <w:noProof/>
        </w:rPr>
        <w:instrText xml:space="preserve"> PAGEREF _Toc153625202 \h </w:instrText>
      </w:r>
      <w:r>
        <w:rPr>
          <w:noProof/>
        </w:rPr>
      </w:r>
      <w:r>
        <w:rPr>
          <w:noProof/>
        </w:rPr>
        <w:fldChar w:fldCharType="separate"/>
      </w:r>
      <w:r>
        <w:rPr>
          <w:noProof/>
        </w:rPr>
        <w:t>113</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5.3.2.4.10</w:t>
      </w:r>
      <w:r w:rsidRPr="00DD140B">
        <w:rPr>
          <w:rFonts w:ascii="Calibri" w:eastAsia="Malgun Gothic" w:hAnsi="Calibri"/>
          <w:noProof/>
          <w:sz w:val="22"/>
          <w:szCs w:val="22"/>
          <w:lang w:eastAsia="ko-KR"/>
        </w:rPr>
        <w:tab/>
      </w:r>
      <w:r>
        <w:rPr>
          <w:noProof/>
        </w:rPr>
        <w:t>Enumeration: InterfaceIndication</w:t>
      </w:r>
      <w:r>
        <w:rPr>
          <w:noProof/>
        </w:rPr>
        <w:tab/>
      </w:r>
      <w:r>
        <w:rPr>
          <w:noProof/>
        </w:rPr>
        <w:fldChar w:fldCharType="begin" w:fldLock="1"/>
      </w:r>
      <w:r>
        <w:rPr>
          <w:noProof/>
        </w:rPr>
        <w:instrText xml:space="preserve"> PAGEREF _Toc153625203 \h </w:instrText>
      </w:r>
      <w:r>
        <w:rPr>
          <w:noProof/>
        </w:rPr>
      </w:r>
      <w:r>
        <w:rPr>
          <w:noProof/>
        </w:rPr>
        <w:fldChar w:fldCharType="separate"/>
      </w:r>
      <w:r>
        <w:rPr>
          <w:noProof/>
        </w:rPr>
        <w:t>113</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5.3.2.4.11</w:t>
      </w:r>
      <w:r w:rsidRPr="00DD140B">
        <w:rPr>
          <w:rFonts w:ascii="Calibri" w:eastAsia="Malgun Gothic" w:hAnsi="Calibri"/>
          <w:noProof/>
          <w:sz w:val="22"/>
          <w:szCs w:val="22"/>
          <w:lang w:eastAsia="ko-KR"/>
        </w:rPr>
        <w:tab/>
      </w:r>
      <w:r>
        <w:rPr>
          <w:noProof/>
        </w:rPr>
        <w:t>Enumeration: LocationFailureCause</w:t>
      </w:r>
      <w:r>
        <w:rPr>
          <w:noProof/>
        </w:rPr>
        <w:tab/>
      </w:r>
      <w:r>
        <w:rPr>
          <w:noProof/>
        </w:rPr>
        <w:fldChar w:fldCharType="begin" w:fldLock="1"/>
      </w:r>
      <w:r>
        <w:rPr>
          <w:noProof/>
        </w:rPr>
        <w:instrText xml:space="preserve"> PAGEREF _Toc153625204 \h </w:instrText>
      </w:r>
      <w:r>
        <w:rPr>
          <w:noProof/>
        </w:rPr>
      </w:r>
      <w:r>
        <w:rPr>
          <w:noProof/>
        </w:rPr>
        <w:fldChar w:fldCharType="separate"/>
      </w:r>
      <w:r>
        <w:rPr>
          <w:noProof/>
        </w:rPr>
        <w:t>114</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5.3.2.4.12</w:t>
      </w:r>
      <w:r w:rsidRPr="00DD140B">
        <w:rPr>
          <w:rFonts w:ascii="Calibri" w:eastAsia="Malgun Gothic" w:hAnsi="Calibri"/>
          <w:noProof/>
          <w:sz w:val="22"/>
          <w:szCs w:val="22"/>
          <w:lang w:eastAsia="ko-KR"/>
        </w:rPr>
        <w:tab/>
      </w:r>
      <w:r>
        <w:rPr>
          <w:noProof/>
        </w:rPr>
        <w:t>Enumeration: SubType</w:t>
      </w:r>
      <w:r>
        <w:rPr>
          <w:noProof/>
        </w:rPr>
        <w:tab/>
      </w:r>
      <w:r>
        <w:rPr>
          <w:noProof/>
        </w:rPr>
        <w:fldChar w:fldCharType="begin" w:fldLock="1"/>
      </w:r>
      <w:r>
        <w:rPr>
          <w:noProof/>
        </w:rPr>
        <w:instrText xml:space="preserve"> PAGEREF _Toc153625205 \h </w:instrText>
      </w:r>
      <w:r>
        <w:rPr>
          <w:noProof/>
        </w:rPr>
      </w:r>
      <w:r>
        <w:rPr>
          <w:noProof/>
        </w:rPr>
        <w:fldChar w:fldCharType="separate"/>
      </w:r>
      <w:r>
        <w:rPr>
          <w:noProof/>
        </w:rPr>
        <w:t>114</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5.3.2.4.13</w:t>
      </w:r>
      <w:r w:rsidRPr="00DD140B">
        <w:rPr>
          <w:rFonts w:ascii="Calibri" w:eastAsia="Malgun Gothic" w:hAnsi="Calibri"/>
          <w:noProof/>
          <w:sz w:val="22"/>
          <w:szCs w:val="22"/>
          <w:lang w:eastAsia="ko-KR"/>
        </w:rPr>
        <w:tab/>
      </w:r>
      <w:r>
        <w:rPr>
          <w:noProof/>
        </w:rPr>
        <w:t>Enumeration: SACRepFormat</w:t>
      </w:r>
      <w:r>
        <w:rPr>
          <w:noProof/>
        </w:rPr>
        <w:tab/>
      </w:r>
      <w:r>
        <w:rPr>
          <w:noProof/>
        </w:rPr>
        <w:fldChar w:fldCharType="begin" w:fldLock="1"/>
      </w:r>
      <w:r>
        <w:rPr>
          <w:noProof/>
        </w:rPr>
        <w:instrText xml:space="preserve"> PAGEREF _Toc153625206 \h </w:instrText>
      </w:r>
      <w:r>
        <w:rPr>
          <w:noProof/>
        </w:rPr>
      </w:r>
      <w:r>
        <w:rPr>
          <w:noProof/>
        </w:rPr>
        <w:fldChar w:fldCharType="separate"/>
      </w:r>
      <w:r>
        <w:rPr>
          <w:noProof/>
        </w:rPr>
        <w:t>114</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5.3.3</w:t>
      </w:r>
      <w:r w:rsidRPr="00DD140B">
        <w:rPr>
          <w:rFonts w:ascii="Calibri" w:eastAsia="Malgun Gothic" w:hAnsi="Calibri"/>
          <w:noProof/>
          <w:sz w:val="22"/>
          <w:szCs w:val="22"/>
          <w:lang w:eastAsia="ko-KR"/>
        </w:rPr>
        <w:tab/>
      </w:r>
      <w:r>
        <w:rPr>
          <w:noProof/>
        </w:rPr>
        <w:t>Resource structure</w:t>
      </w:r>
      <w:r>
        <w:rPr>
          <w:noProof/>
        </w:rPr>
        <w:tab/>
      </w:r>
      <w:r>
        <w:rPr>
          <w:noProof/>
        </w:rPr>
        <w:fldChar w:fldCharType="begin" w:fldLock="1"/>
      </w:r>
      <w:r>
        <w:rPr>
          <w:noProof/>
        </w:rPr>
        <w:instrText xml:space="preserve"> PAGEREF _Toc153625207 \h </w:instrText>
      </w:r>
      <w:r>
        <w:rPr>
          <w:noProof/>
        </w:rPr>
      </w:r>
      <w:r>
        <w:rPr>
          <w:noProof/>
        </w:rPr>
        <w:fldChar w:fldCharType="separate"/>
      </w:r>
      <w:r>
        <w:rPr>
          <w:noProof/>
        </w:rPr>
        <w:t>114</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5.3.3.1</w:t>
      </w:r>
      <w:r w:rsidRPr="00DD140B">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_Toc153625208 \h </w:instrText>
      </w:r>
      <w:r>
        <w:rPr>
          <w:noProof/>
        </w:rPr>
      </w:r>
      <w:r>
        <w:rPr>
          <w:noProof/>
        </w:rPr>
        <w:fldChar w:fldCharType="separate"/>
      </w:r>
      <w:r>
        <w:rPr>
          <w:noProof/>
        </w:rPr>
        <w:t>114</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5.3.3.2</w:t>
      </w:r>
      <w:r w:rsidRPr="00DD140B">
        <w:rPr>
          <w:rFonts w:ascii="Calibri" w:eastAsia="Malgun Gothic" w:hAnsi="Calibri"/>
          <w:noProof/>
          <w:sz w:val="22"/>
          <w:szCs w:val="22"/>
          <w:lang w:eastAsia="ko-KR"/>
        </w:rPr>
        <w:tab/>
      </w:r>
      <w:r>
        <w:rPr>
          <w:noProof/>
        </w:rPr>
        <w:t>Resource: Monitoring Event Subscriptions</w:t>
      </w:r>
      <w:r>
        <w:rPr>
          <w:noProof/>
        </w:rPr>
        <w:tab/>
      </w:r>
      <w:r>
        <w:rPr>
          <w:noProof/>
        </w:rPr>
        <w:fldChar w:fldCharType="begin" w:fldLock="1"/>
      </w:r>
      <w:r>
        <w:rPr>
          <w:noProof/>
        </w:rPr>
        <w:instrText xml:space="preserve"> PAGEREF _Toc153625209 \h </w:instrText>
      </w:r>
      <w:r>
        <w:rPr>
          <w:noProof/>
        </w:rPr>
      </w:r>
      <w:r>
        <w:rPr>
          <w:noProof/>
        </w:rPr>
        <w:fldChar w:fldCharType="separate"/>
      </w:r>
      <w:r>
        <w:rPr>
          <w:noProof/>
        </w:rPr>
        <w:t>115</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5.3.3.2.1</w:t>
      </w:r>
      <w:r w:rsidRPr="00DD140B">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_Toc153625210 \h </w:instrText>
      </w:r>
      <w:r>
        <w:rPr>
          <w:noProof/>
        </w:rPr>
      </w:r>
      <w:r>
        <w:rPr>
          <w:noProof/>
        </w:rPr>
        <w:fldChar w:fldCharType="separate"/>
      </w:r>
      <w:r>
        <w:rPr>
          <w:noProof/>
        </w:rPr>
        <w:t>115</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5.3.3.2.2</w:t>
      </w:r>
      <w:r w:rsidRPr="00DD140B">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_Toc153625211 \h </w:instrText>
      </w:r>
      <w:r>
        <w:rPr>
          <w:noProof/>
        </w:rPr>
      </w:r>
      <w:r>
        <w:rPr>
          <w:noProof/>
        </w:rPr>
        <w:fldChar w:fldCharType="separate"/>
      </w:r>
      <w:r>
        <w:rPr>
          <w:noProof/>
        </w:rPr>
        <w:t>115</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5.3.3.2.3</w:t>
      </w:r>
      <w:r w:rsidRPr="00DD140B">
        <w:rPr>
          <w:rFonts w:ascii="Calibri" w:eastAsia="Malgun Gothic" w:hAnsi="Calibri"/>
          <w:noProof/>
          <w:sz w:val="22"/>
          <w:szCs w:val="22"/>
          <w:lang w:eastAsia="ko-KR"/>
        </w:rPr>
        <w:tab/>
      </w:r>
      <w:r>
        <w:rPr>
          <w:noProof/>
        </w:rPr>
        <w:t>Resource methods</w:t>
      </w:r>
      <w:r>
        <w:rPr>
          <w:noProof/>
        </w:rPr>
        <w:tab/>
      </w:r>
      <w:r>
        <w:rPr>
          <w:noProof/>
        </w:rPr>
        <w:fldChar w:fldCharType="begin" w:fldLock="1"/>
      </w:r>
      <w:r>
        <w:rPr>
          <w:noProof/>
        </w:rPr>
        <w:instrText xml:space="preserve"> PAGEREF _Toc153625212 \h </w:instrText>
      </w:r>
      <w:r>
        <w:rPr>
          <w:noProof/>
        </w:rPr>
      </w:r>
      <w:r>
        <w:rPr>
          <w:noProof/>
        </w:rPr>
        <w:fldChar w:fldCharType="separate"/>
      </w:r>
      <w:r>
        <w:rPr>
          <w:noProof/>
        </w:rPr>
        <w:t>115</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5.3.3.2.3.1</w:t>
      </w:r>
      <w:r w:rsidRPr="00DD140B">
        <w:rPr>
          <w:rFonts w:ascii="Calibri" w:eastAsia="Malgun Gothic" w:hAnsi="Calibri"/>
          <w:noProof/>
          <w:sz w:val="22"/>
          <w:szCs w:val="22"/>
          <w:lang w:eastAsia="ko-KR"/>
        </w:rPr>
        <w:tab/>
      </w:r>
      <w:r>
        <w:rPr>
          <w:noProof/>
        </w:rPr>
        <w:t>GET</w:t>
      </w:r>
      <w:r>
        <w:rPr>
          <w:noProof/>
        </w:rPr>
        <w:tab/>
      </w:r>
      <w:r>
        <w:rPr>
          <w:noProof/>
        </w:rPr>
        <w:fldChar w:fldCharType="begin" w:fldLock="1"/>
      </w:r>
      <w:r>
        <w:rPr>
          <w:noProof/>
        </w:rPr>
        <w:instrText xml:space="preserve"> PAGEREF _Toc153625213 \h </w:instrText>
      </w:r>
      <w:r>
        <w:rPr>
          <w:noProof/>
        </w:rPr>
      </w:r>
      <w:r>
        <w:rPr>
          <w:noProof/>
        </w:rPr>
        <w:fldChar w:fldCharType="separate"/>
      </w:r>
      <w:r>
        <w:rPr>
          <w:noProof/>
        </w:rPr>
        <w:t>115</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5.3.3.2.3.2</w:t>
      </w:r>
      <w:r w:rsidRPr="00DD140B">
        <w:rPr>
          <w:rFonts w:ascii="Calibri" w:eastAsia="Malgun Gothic" w:hAnsi="Calibri"/>
          <w:noProof/>
          <w:sz w:val="22"/>
          <w:szCs w:val="22"/>
          <w:lang w:eastAsia="ko-KR"/>
        </w:rPr>
        <w:tab/>
      </w:r>
      <w:r>
        <w:rPr>
          <w:noProof/>
        </w:rPr>
        <w:t>PUT</w:t>
      </w:r>
      <w:r>
        <w:rPr>
          <w:noProof/>
        </w:rPr>
        <w:tab/>
      </w:r>
      <w:r>
        <w:rPr>
          <w:noProof/>
        </w:rPr>
        <w:fldChar w:fldCharType="begin" w:fldLock="1"/>
      </w:r>
      <w:r>
        <w:rPr>
          <w:noProof/>
        </w:rPr>
        <w:instrText xml:space="preserve"> PAGEREF _Toc153625214 \h </w:instrText>
      </w:r>
      <w:r>
        <w:rPr>
          <w:noProof/>
        </w:rPr>
      </w:r>
      <w:r>
        <w:rPr>
          <w:noProof/>
        </w:rPr>
        <w:fldChar w:fldCharType="separate"/>
      </w:r>
      <w:r>
        <w:rPr>
          <w:noProof/>
        </w:rPr>
        <w:t>116</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5.3.3.2.3.3</w:t>
      </w:r>
      <w:r w:rsidRPr="00DD140B">
        <w:rPr>
          <w:rFonts w:ascii="Calibri" w:eastAsia="Malgun Gothic" w:hAnsi="Calibri"/>
          <w:noProof/>
          <w:sz w:val="22"/>
          <w:szCs w:val="22"/>
          <w:lang w:eastAsia="ko-KR"/>
        </w:rPr>
        <w:tab/>
      </w:r>
      <w:r>
        <w:rPr>
          <w:noProof/>
        </w:rPr>
        <w:t>PATCH</w:t>
      </w:r>
      <w:r>
        <w:rPr>
          <w:noProof/>
        </w:rPr>
        <w:tab/>
      </w:r>
      <w:r>
        <w:rPr>
          <w:noProof/>
        </w:rPr>
        <w:fldChar w:fldCharType="begin" w:fldLock="1"/>
      </w:r>
      <w:r>
        <w:rPr>
          <w:noProof/>
        </w:rPr>
        <w:instrText xml:space="preserve"> PAGEREF _Toc153625215 \h </w:instrText>
      </w:r>
      <w:r>
        <w:rPr>
          <w:noProof/>
        </w:rPr>
      </w:r>
      <w:r>
        <w:rPr>
          <w:noProof/>
        </w:rPr>
        <w:fldChar w:fldCharType="separate"/>
      </w:r>
      <w:r>
        <w:rPr>
          <w:noProof/>
        </w:rPr>
        <w:t>116</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5.3.3.2.3.4</w:t>
      </w:r>
      <w:r w:rsidRPr="00DD140B">
        <w:rPr>
          <w:rFonts w:ascii="Calibri" w:eastAsia="Malgun Gothic" w:hAnsi="Calibri"/>
          <w:noProof/>
          <w:sz w:val="22"/>
          <w:szCs w:val="22"/>
          <w:lang w:eastAsia="ko-KR"/>
        </w:rPr>
        <w:tab/>
      </w:r>
      <w:r>
        <w:rPr>
          <w:noProof/>
        </w:rPr>
        <w:t>POST</w:t>
      </w:r>
      <w:r>
        <w:rPr>
          <w:noProof/>
        </w:rPr>
        <w:tab/>
      </w:r>
      <w:r>
        <w:rPr>
          <w:noProof/>
        </w:rPr>
        <w:fldChar w:fldCharType="begin" w:fldLock="1"/>
      </w:r>
      <w:r>
        <w:rPr>
          <w:noProof/>
        </w:rPr>
        <w:instrText xml:space="preserve"> PAGEREF _Toc153625216 \h </w:instrText>
      </w:r>
      <w:r>
        <w:rPr>
          <w:noProof/>
        </w:rPr>
      </w:r>
      <w:r>
        <w:rPr>
          <w:noProof/>
        </w:rPr>
        <w:fldChar w:fldCharType="separate"/>
      </w:r>
      <w:r>
        <w:rPr>
          <w:noProof/>
        </w:rPr>
        <w:t>117</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5.3.3.2.3.5</w:t>
      </w:r>
      <w:r w:rsidRPr="00DD140B">
        <w:rPr>
          <w:rFonts w:ascii="Calibri" w:eastAsia="Malgun Gothic" w:hAnsi="Calibri"/>
          <w:noProof/>
          <w:sz w:val="22"/>
          <w:szCs w:val="22"/>
          <w:lang w:eastAsia="ko-KR"/>
        </w:rPr>
        <w:tab/>
      </w:r>
      <w:r>
        <w:rPr>
          <w:noProof/>
        </w:rPr>
        <w:t>DELETE</w:t>
      </w:r>
      <w:r>
        <w:rPr>
          <w:noProof/>
        </w:rPr>
        <w:tab/>
      </w:r>
      <w:r>
        <w:rPr>
          <w:noProof/>
        </w:rPr>
        <w:fldChar w:fldCharType="begin" w:fldLock="1"/>
      </w:r>
      <w:r>
        <w:rPr>
          <w:noProof/>
        </w:rPr>
        <w:instrText xml:space="preserve"> PAGEREF _Toc153625217 \h </w:instrText>
      </w:r>
      <w:r>
        <w:rPr>
          <w:noProof/>
        </w:rPr>
      </w:r>
      <w:r>
        <w:rPr>
          <w:noProof/>
        </w:rPr>
        <w:fldChar w:fldCharType="separate"/>
      </w:r>
      <w:r>
        <w:rPr>
          <w:noProof/>
        </w:rPr>
        <w:t>118</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5.3.3.3</w:t>
      </w:r>
      <w:r w:rsidRPr="00DD140B">
        <w:rPr>
          <w:rFonts w:ascii="Calibri" w:eastAsia="Malgun Gothic" w:hAnsi="Calibri"/>
          <w:noProof/>
          <w:sz w:val="22"/>
          <w:szCs w:val="22"/>
          <w:lang w:eastAsia="ko-KR"/>
        </w:rPr>
        <w:tab/>
      </w:r>
      <w:r>
        <w:rPr>
          <w:noProof/>
        </w:rPr>
        <w:t>Resource: Individual Monitoring Event Subscription</w:t>
      </w:r>
      <w:r>
        <w:rPr>
          <w:noProof/>
        </w:rPr>
        <w:tab/>
      </w:r>
      <w:r>
        <w:rPr>
          <w:noProof/>
        </w:rPr>
        <w:fldChar w:fldCharType="begin" w:fldLock="1"/>
      </w:r>
      <w:r>
        <w:rPr>
          <w:noProof/>
        </w:rPr>
        <w:instrText xml:space="preserve"> PAGEREF _Toc153625218 \h </w:instrText>
      </w:r>
      <w:r>
        <w:rPr>
          <w:noProof/>
        </w:rPr>
      </w:r>
      <w:r>
        <w:rPr>
          <w:noProof/>
        </w:rPr>
        <w:fldChar w:fldCharType="separate"/>
      </w:r>
      <w:r>
        <w:rPr>
          <w:noProof/>
        </w:rPr>
        <w:t>118</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5.3.3.3.1</w:t>
      </w:r>
      <w:r w:rsidRPr="00DD140B">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_Toc153625219 \h </w:instrText>
      </w:r>
      <w:r>
        <w:rPr>
          <w:noProof/>
        </w:rPr>
      </w:r>
      <w:r>
        <w:rPr>
          <w:noProof/>
        </w:rPr>
        <w:fldChar w:fldCharType="separate"/>
      </w:r>
      <w:r>
        <w:rPr>
          <w:noProof/>
        </w:rPr>
        <w:t>118</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5.3.3.3.2</w:t>
      </w:r>
      <w:r w:rsidRPr="00DD140B">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_Toc153625220 \h </w:instrText>
      </w:r>
      <w:r>
        <w:rPr>
          <w:noProof/>
        </w:rPr>
      </w:r>
      <w:r>
        <w:rPr>
          <w:noProof/>
        </w:rPr>
        <w:fldChar w:fldCharType="separate"/>
      </w:r>
      <w:r>
        <w:rPr>
          <w:noProof/>
        </w:rPr>
        <w:t>118</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5.3.3.3.3</w:t>
      </w:r>
      <w:r w:rsidRPr="00DD140B">
        <w:rPr>
          <w:rFonts w:ascii="Calibri" w:eastAsia="Malgun Gothic" w:hAnsi="Calibri"/>
          <w:noProof/>
          <w:sz w:val="22"/>
          <w:szCs w:val="22"/>
          <w:lang w:eastAsia="ko-KR"/>
        </w:rPr>
        <w:tab/>
      </w:r>
      <w:r>
        <w:rPr>
          <w:noProof/>
        </w:rPr>
        <w:t>Resource methods</w:t>
      </w:r>
      <w:r>
        <w:rPr>
          <w:noProof/>
        </w:rPr>
        <w:tab/>
      </w:r>
      <w:r>
        <w:rPr>
          <w:noProof/>
        </w:rPr>
        <w:fldChar w:fldCharType="begin" w:fldLock="1"/>
      </w:r>
      <w:r>
        <w:rPr>
          <w:noProof/>
        </w:rPr>
        <w:instrText xml:space="preserve"> PAGEREF _Toc153625221 \h </w:instrText>
      </w:r>
      <w:r>
        <w:rPr>
          <w:noProof/>
        </w:rPr>
      </w:r>
      <w:r>
        <w:rPr>
          <w:noProof/>
        </w:rPr>
        <w:fldChar w:fldCharType="separate"/>
      </w:r>
      <w:r>
        <w:rPr>
          <w:noProof/>
        </w:rPr>
        <w:t>118</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5.3.3.3.3.1</w:t>
      </w:r>
      <w:r w:rsidRPr="00DD140B">
        <w:rPr>
          <w:rFonts w:ascii="Calibri" w:eastAsia="Malgun Gothic" w:hAnsi="Calibri"/>
          <w:noProof/>
          <w:sz w:val="22"/>
          <w:szCs w:val="22"/>
          <w:lang w:eastAsia="ko-KR"/>
        </w:rPr>
        <w:tab/>
      </w:r>
      <w:r>
        <w:rPr>
          <w:noProof/>
        </w:rPr>
        <w:t>GET</w:t>
      </w:r>
      <w:r>
        <w:rPr>
          <w:noProof/>
        </w:rPr>
        <w:tab/>
      </w:r>
      <w:r>
        <w:rPr>
          <w:noProof/>
        </w:rPr>
        <w:fldChar w:fldCharType="begin" w:fldLock="1"/>
      </w:r>
      <w:r>
        <w:rPr>
          <w:noProof/>
        </w:rPr>
        <w:instrText xml:space="preserve"> PAGEREF _Toc153625222 \h </w:instrText>
      </w:r>
      <w:r>
        <w:rPr>
          <w:noProof/>
        </w:rPr>
      </w:r>
      <w:r>
        <w:rPr>
          <w:noProof/>
        </w:rPr>
        <w:fldChar w:fldCharType="separate"/>
      </w:r>
      <w:r>
        <w:rPr>
          <w:noProof/>
        </w:rPr>
        <w:t>118</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5.3.3.3.3.2</w:t>
      </w:r>
      <w:r w:rsidRPr="00DD140B">
        <w:rPr>
          <w:rFonts w:ascii="Calibri" w:eastAsia="Malgun Gothic" w:hAnsi="Calibri"/>
          <w:noProof/>
          <w:sz w:val="22"/>
          <w:szCs w:val="22"/>
          <w:lang w:eastAsia="ko-KR"/>
        </w:rPr>
        <w:tab/>
      </w:r>
      <w:r>
        <w:rPr>
          <w:noProof/>
        </w:rPr>
        <w:t>PUT</w:t>
      </w:r>
      <w:r>
        <w:rPr>
          <w:noProof/>
        </w:rPr>
        <w:tab/>
      </w:r>
      <w:r>
        <w:rPr>
          <w:noProof/>
        </w:rPr>
        <w:fldChar w:fldCharType="begin" w:fldLock="1"/>
      </w:r>
      <w:r>
        <w:rPr>
          <w:noProof/>
        </w:rPr>
        <w:instrText xml:space="preserve"> PAGEREF _Toc153625223 \h </w:instrText>
      </w:r>
      <w:r>
        <w:rPr>
          <w:noProof/>
        </w:rPr>
      </w:r>
      <w:r>
        <w:rPr>
          <w:noProof/>
        </w:rPr>
        <w:fldChar w:fldCharType="separate"/>
      </w:r>
      <w:r>
        <w:rPr>
          <w:noProof/>
        </w:rPr>
        <w:t>119</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5.3.3.3.3.3</w:t>
      </w:r>
      <w:r w:rsidRPr="00DD140B">
        <w:rPr>
          <w:rFonts w:ascii="Calibri" w:eastAsia="Malgun Gothic" w:hAnsi="Calibri"/>
          <w:noProof/>
          <w:sz w:val="22"/>
          <w:szCs w:val="22"/>
          <w:lang w:eastAsia="ko-KR"/>
        </w:rPr>
        <w:tab/>
      </w:r>
      <w:r>
        <w:rPr>
          <w:noProof/>
        </w:rPr>
        <w:t>PATCH</w:t>
      </w:r>
      <w:r>
        <w:rPr>
          <w:noProof/>
        </w:rPr>
        <w:tab/>
      </w:r>
      <w:r>
        <w:rPr>
          <w:noProof/>
        </w:rPr>
        <w:fldChar w:fldCharType="begin" w:fldLock="1"/>
      </w:r>
      <w:r>
        <w:rPr>
          <w:noProof/>
        </w:rPr>
        <w:instrText xml:space="preserve"> PAGEREF _Toc153625224 \h </w:instrText>
      </w:r>
      <w:r>
        <w:rPr>
          <w:noProof/>
        </w:rPr>
      </w:r>
      <w:r>
        <w:rPr>
          <w:noProof/>
        </w:rPr>
        <w:fldChar w:fldCharType="separate"/>
      </w:r>
      <w:r>
        <w:rPr>
          <w:noProof/>
        </w:rPr>
        <w:t>120</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5.3.3.3.3.4</w:t>
      </w:r>
      <w:r w:rsidRPr="00DD140B">
        <w:rPr>
          <w:rFonts w:ascii="Calibri" w:eastAsia="Malgun Gothic" w:hAnsi="Calibri"/>
          <w:noProof/>
          <w:sz w:val="22"/>
          <w:szCs w:val="22"/>
          <w:lang w:eastAsia="ko-KR"/>
        </w:rPr>
        <w:tab/>
      </w:r>
      <w:r>
        <w:rPr>
          <w:noProof/>
        </w:rPr>
        <w:t>POST</w:t>
      </w:r>
      <w:r>
        <w:rPr>
          <w:noProof/>
        </w:rPr>
        <w:tab/>
      </w:r>
      <w:r>
        <w:rPr>
          <w:noProof/>
        </w:rPr>
        <w:fldChar w:fldCharType="begin" w:fldLock="1"/>
      </w:r>
      <w:r>
        <w:rPr>
          <w:noProof/>
        </w:rPr>
        <w:instrText xml:space="preserve"> PAGEREF _Toc153625225 \h </w:instrText>
      </w:r>
      <w:r>
        <w:rPr>
          <w:noProof/>
        </w:rPr>
      </w:r>
      <w:r>
        <w:rPr>
          <w:noProof/>
        </w:rPr>
        <w:fldChar w:fldCharType="separate"/>
      </w:r>
      <w:r>
        <w:rPr>
          <w:noProof/>
        </w:rPr>
        <w:t>121</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5.3.3.3.3.5</w:t>
      </w:r>
      <w:r w:rsidRPr="00DD140B">
        <w:rPr>
          <w:rFonts w:ascii="Calibri" w:eastAsia="Malgun Gothic" w:hAnsi="Calibri"/>
          <w:noProof/>
          <w:sz w:val="22"/>
          <w:szCs w:val="22"/>
          <w:lang w:eastAsia="ko-KR"/>
        </w:rPr>
        <w:tab/>
      </w:r>
      <w:r>
        <w:rPr>
          <w:noProof/>
        </w:rPr>
        <w:t>DELETE</w:t>
      </w:r>
      <w:r>
        <w:rPr>
          <w:noProof/>
        </w:rPr>
        <w:tab/>
      </w:r>
      <w:r>
        <w:rPr>
          <w:noProof/>
        </w:rPr>
        <w:fldChar w:fldCharType="begin" w:fldLock="1"/>
      </w:r>
      <w:r>
        <w:rPr>
          <w:noProof/>
        </w:rPr>
        <w:instrText xml:space="preserve"> PAGEREF _Toc153625226 \h </w:instrText>
      </w:r>
      <w:r>
        <w:rPr>
          <w:noProof/>
        </w:rPr>
      </w:r>
      <w:r>
        <w:rPr>
          <w:noProof/>
        </w:rPr>
        <w:fldChar w:fldCharType="separate"/>
      </w:r>
      <w:r>
        <w:rPr>
          <w:noProof/>
        </w:rPr>
        <w:t>121</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5.3.3.4</w:t>
      </w:r>
      <w:r w:rsidRPr="00DD140B">
        <w:rPr>
          <w:rFonts w:ascii="Calibri" w:eastAsia="Malgun Gothic" w:hAnsi="Calibri"/>
          <w:noProof/>
          <w:sz w:val="22"/>
          <w:szCs w:val="22"/>
          <w:lang w:eastAsia="ko-KR"/>
        </w:rPr>
        <w:tab/>
      </w:r>
      <w:r>
        <w:rPr>
          <w:noProof/>
        </w:rPr>
        <w:t>Void</w:t>
      </w:r>
      <w:r>
        <w:rPr>
          <w:noProof/>
        </w:rPr>
        <w:tab/>
      </w:r>
      <w:r>
        <w:rPr>
          <w:noProof/>
        </w:rPr>
        <w:fldChar w:fldCharType="begin" w:fldLock="1"/>
      </w:r>
      <w:r>
        <w:rPr>
          <w:noProof/>
        </w:rPr>
        <w:instrText xml:space="preserve"> PAGEREF _Toc153625227 \h </w:instrText>
      </w:r>
      <w:r>
        <w:rPr>
          <w:noProof/>
        </w:rPr>
      </w:r>
      <w:r>
        <w:rPr>
          <w:noProof/>
        </w:rPr>
        <w:fldChar w:fldCharType="separate"/>
      </w:r>
      <w:r>
        <w:rPr>
          <w:noProof/>
        </w:rPr>
        <w:t>122</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5.3.3A</w:t>
      </w:r>
      <w:r w:rsidRPr="00DD140B">
        <w:rPr>
          <w:rFonts w:ascii="Calibri" w:eastAsia="Malgun Gothic" w:hAnsi="Calibri"/>
          <w:noProof/>
          <w:sz w:val="22"/>
          <w:szCs w:val="22"/>
          <w:lang w:eastAsia="ko-KR"/>
        </w:rPr>
        <w:tab/>
      </w:r>
      <w:r>
        <w:rPr>
          <w:noProof/>
        </w:rPr>
        <w:t>Notifications</w:t>
      </w:r>
      <w:r>
        <w:rPr>
          <w:noProof/>
        </w:rPr>
        <w:tab/>
      </w:r>
      <w:r>
        <w:rPr>
          <w:noProof/>
        </w:rPr>
        <w:fldChar w:fldCharType="begin" w:fldLock="1"/>
      </w:r>
      <w:r>
        <w:rPr>
          <w:noProof/>
        </w:rPr>
        <w:instrText xml:space="preserve"> PAGEREF _Toc153625228 \h </w:instrText>
      </w:r>
      <w:r>
        <w:rPr>
          <w:noProof/>
        </w:rPr>
      </w:r>
      <w:r>
        <w:rPr>
          <w:noProof/>
        </w:rPr>
        <w:fldChar w:fldCharType="separate"/>
      </w:r>
      <w:r>
        <w:rPr>
          <w:noProof/>
        </w:rPr>
        <w:t>122</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5.3.3A.1</w:t>
      </w:r>
      <w:r w:rsidRPr="00DD140B">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_Toc153625229 \h </w:instrText>
      </w:r>
      <w:r>
        <w:rPr>
          <w:noProof/>
        </w:rPr>
      </w:r>
      <w:r>
        <w:rPr>
          <w:noProof/>
        </w:rPr>
        <w:fldChar w:fldCharType="separate"/>
      </w:r>
      <w:r>
        <w:rPr>
          <w:noProof/>
        </w:rPr>
        <w:t>122</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5.3.3A.2</w:t>
      </w:r>
      <w:r w:rsidRPr="00DD140B">
        <w:rPr>
          <w:rFonts w:ascii="Calibri" w:eastAsia="Malgun Gothic" w:hAnsi="Calibri"/>
          <w:noProof/>
          <w:sz w:val="22"/>
          <w:szCs w:val="22"/>
          <w:lang w:eastAsia="ko-KR"/>
        </w:rPr>
        <w:tab/>
      </w:r>
      <w:r>
        <w:rPr>
          <w:noProof/>
        </w:rPr>
        <w:t>Monitoring Notification</w:t>
      </w:r>
      <w:r>
        <w:rPr>
          <w:noProof/>
        </w:rPr>
        <w:tab/>
      </w:r>
      <w:r>
        <w:rPr>
          <w:noProof/>
        </w:rPr>
        <w:fldChar w:fldCharType="begin" w:fldLock="1"/>
      </w:r>
      <w:r>
        <w:rPr>
          <w:noProof/>
        </w:rPr>
        <w:instrText xml:space="preserve"> PAGEREF _Toc153625230 \h </w:instrText>
      </w:r>
      <w:r>
        <w:rPr>
          <w:noProof/>
        </w:rPr>
      </w:r>
      <w:r>
        <w:rPr>
          <w:noProof/>
        </w:rPr>
        <w:fldChar w:fldCharType="separate"/>
      </w:r>
      <w:r>
        <w:rPr>
          <w:noProof/>
        </w:rPr>
        <w:t>123</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5.3.3A.2.1</w:t>
      </w:r>
      <w:r w:rsidRPr="00DD140B">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_Toc153625231 \h </w:instrText>
      </w:r>
      <w:r>
        <w:rPr>
          <w:noProof/>
        </w:rPr>
      </w:r>
      <w:r>
        <w:rPr>
          <w:noProof/>
        </w:rPr>
        <w:fldChar w:fldCharType="separate"/>
      </w:r>
      <w:r>
        <w:rPr>
          <w:noProof/>
        </w:rPr>
        <w:t>123</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5.3.3A.2.2</w:t>
      </w:r>
      <w:r w:rsidRPr="00DD140B">
        <w:rPr>
          <w:rFonts w:ascii="Calibri" w:eastAsia="Malgun Gothic" w:hAnsi="Calibri"/>
          <w:noProof/>
          <w:sz w:val="22"/>
          <w:szCs w:val="22"/>
          <w:lang w:eastAsia="ko-KR"/>
        </w:rPr>
        <w:tab/>
      </w:r>
      <w:r>
        <w:rPr>
          <w:noProof/>
        </w:rPr>
        <w:t>Target URI</w:t>
      </w:r>
      <w:r>
        <w:rPr>
          <w:noProof/>
        </w:rPr>
        <w:tab/>
      </w:r>
      <w:r>
        <w:rPr>
          <w:noProof/>
        </w:rPr>
        <w:fldChar w:fldCharType="begin" w:fldLock="1"/>
      </w:r>
      <w:r>
        <w:rPr>
          <w:noProof/>
        </w:rPr>
        <w:instrText xml:space="preserve"> PAGEREF _Toc153625232 \h </w:instrText>
      </w:r>
      <w:r>
        <w:rPr>
          <w:noProof/>
        </w:rPr>
      </w:r>
      <w:r>
        <w:rPr>
          <w:noProof/>
        </w:rPr>
        <w:fldChar w:fldCharType="separate"/>
      </w:r>
      <w:r>
        <w:rPr>
          <w:noProof/>
        </w:rPr>
        <w:t>123</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5.3.3A.2.3</w:t>
      </w:r>
      <w:r w:rsidRPr="00DD140B">
        <w:rPr>
          <w:rFonts w:ascii="Calibri" w:eastAsia="Malgun Gothic" w:hAnsi="Calibri"/>
          <w:noProof/>
          <w:sz w:val="22"/>
          <w:szCs w:val="22"/>
          <w:lang w:eastAsia="ko-KR"/>
        </w:rPr>
        <w:tab/>
      </w:r>
      <w:r>
        <w:rPr>
          <w:noProof/>
        </w:rPr>
        <w:t>Standard Methods</w:t>
      </w:r>
      <w:r>
        <w:rPr>
          <w:noProof/>
        </w:rPr>
        <w:tab/>
      </w:r>
      <w:r>
        <w:rPr>
          <w:noProof/>
        </w:rPr>
        <w:fldChar w:fldCharType="begin" w:fldLock="1"/>
      </w:r>
      <w:r>
        <w:rPr>
          <w:noProof/>
        </w:rPr>
        <w:instrText xml:space="preserve"> PAGEREF _Toc153625233 \h </w:instrText>
      </w:r>
      <w:r>
        <w:rPr>
          <w:noProof/>
        </w:rPr>
      </w:r>
      <w:r>
        <w:rPr>
          <w:noProof/>
        </w:rPr>
        <w:fldChar w:fldCharType="separate"/>
      </w:r>
      <w:r>
        <w:rPr>
          <w:noProof/>
        </w:rPr>
        <w:t>123</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5.3.3A.2.3.1</w:t>
      </w:r>
      <w:r w:rsidRPr="00DD140B">
        <w:rPr>
          <w:rFonts w:ascii="Calibri" w:eastAsia="Malgun Gothic" w:hAnsi="Calibri"/>
          <w:noProof/>
          <w:sz w:val="22"/>
          <w:szCs w:val="22"/>
          <w:lang w:eastAsia="ko-KR"/>
        </w:rPr>
        <w:tab/>
      </w:r>
      <w:r>
        <w:rPr>
          <w:noProof/>
        </w:rPr>
        <w:t>Notification via POST</w:t>
      </w:r>
      <w:r>
        <w:rPr>
          <w:noProof/>
        </w:rPr>
        <w:tab/>
      </w:r>
      <w:r>
        <w:rPr>
          <w:noProof/>
        </w:rPr>
        <w:fldChar w:fldCharType="begin" w:fldLock="1"/>
      </w:r>
      <w:r>
        <w:rPr>
          <w:noProof/>
        </w:rPr>
        <w:instrText xml:space="preserve"> PAGEREF _Toc153625234 \h </w:instrText>
      </w:r>
      <w:r>
        <w:rPr>
          <w:noProof/>
        </w:rPr>
      </w:r>
      <w:r>
        <w:rPr>
          <w:noProof/>
        </w:rPr>
        <w:fldChar w:fldCharType="separate"/>
      </w:r>
      <w:r>
        <w:rPr>
          <w:noProof/>
        </w:rPr>
        <w:t>123</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5.3.3A.2.3.2</w:t>
      </w:r>
      <w:r w:rsidRPr="00DD140B">
        <w:rPr>
          <w:rFonts w:ascii="Calibri" w:eastAsia="Malgun Gothic" w:hAnsi="Calibri"/>
          <w:noProof/>
          <w:sz w:val="22"/>
          <w:szCs w:val="22"/>
          <w:lang w:eastAsia="ko-KR"/>
        </w:rPr>
        <w:tab/>
      </w:r>
      <w:r>
        <w:rPr>
          <w:noProof/>
        </w:rPr>
        <w:t>Notification via Websocket</w:t>
      </w:r>
      <w:r>
        <w:rPr>
          <w:noProof/>
        </w:rPr>
        <w:tab/>
      </w:r>
      <w:r>
        <w:rPr>
          <w:noProof/>
        </w:rPr>
        <w:fldChar w:fldCharType="begin" w:fldLock="1"/>
      </w:r>
      <w:r>
        <w:rPr>
          <w:noProof/>
        </w:rPr>
        <w:instrText xml:space="preserve"> PAGEREF _Toc153625235 \h </w:instrText>
      </w:r>
      <w:r>
        <w:rPr>
          <w:noProof/>
        </w:rPr>
      </w:r>
      <w:r>
        <w:rPr>
          <w:noProof/>
        </w:rPr>
        <w:fldChar w:fldCharType="separate"/>
      </w:r>
      <w:r>
        <w:rPr>
          <w:noProof/>
        </w:rPr>
        <w:t>124</w:t>
      </w:r>
      <w:r>
        <w:rPr>
          <w:noProof/>
        </w:rPr>
        <w:fldChar w:fldCharType="end"/>
      </w:r>
    </w:p>
    <w:p w:rsidR="007D56C6" w:rsidRPr="00DD140B" w:rsidRDefault="007D56C6">
      <w:pPr>
        <w:pStyle w:val="TOC4"/>
        <w:rPr>
          <w:rFonts w:ascii="Calibri" w:eastAsia="Malgun Gothic" w:hAnsi="Calibri"/>
          <w:noProof/>
          <w:sz w:val="22"/>
          <w:szCs w:val="22"/>
          <w:lang w:eastAsia="ko-KR"/>
        </w:rPr>
      </w:pPr>
      <w:r w:rsidRPr="00677085">
        <w:rPr>
          <w:noProof/>
          <w:lang w:val="fr-FR"/>
        </w:rPr>
        <w:t>5.3.3A.3</w:t>
      </w:r>
      <w:r w:rsidRPr="00DD140B">
        <w:rPr>
          <w:rFonts w:ascii="Calibri" w:eastAsia="Malgun Gothic" w:hAnsi="Calibri"/>
          <w:noProof/>
          <w:sz w:val="22"/>
          <w:szCs w:val="22"/>
          <w:lang w:eastAsia="ko-KR"/>
        </w:rPr>
        <w:tab/>
      </w:r>
      <w:r w:rsidRPr="00677085">
        <w:rPr>
          <w:noProof/>
          <w:lang w:val="fr-FR"/>
        </w:rPr>
        <w:t>User Consent Revocation Notification</w:t>
      </w:r>
      <w:r>
        <w:rPr>
          <w:noProof/>
        </w:rPr>
        <w:tab/>
      </w:r>
      <w:r>
        <w:rPr>
          <w:noProof/>
        </w:rPr>
        <w:fldChar w:fldCharType="begin" w:fldLock="1"/>
      </w:r>
      <w:r>
        <w:rPr>
          <w:noProof/>
        </w:rPr>
        <w:instrText xml:space="preserve"> PAGEREF _Toc153625236 \h </w:instrText>
      </w:r>
      <w:r>
        <w:rPr>
          <w:noProof/>
        </w:rPr>
      </w:r>
      <w:r>
        <w:rPr>
          <w:noProof/>
        </w:rPr>
        <w:fldChar w:fldCharType="separate"/>
      </w:r>
      <w:r>
        <w:rPr>
          <w:noProof/>
        </w:rPr>
        <w:t>124</w:t>
      </w:r>
      <w:r>
        <w:rPr>
          <w:noProof/>
        </w:rPr>
        <w:fldChar w:fldCharType="end"/>
      </w:r>
    </w:p>
    <w:p w:rsidR="007D56C6" w:rsidRPr="00DD140B" w:rsidRDefault="007D56C6">
      <w:pPr>
        <w:pStyle w:val="TOC5"/>
        <w:rPr>
          <w:rFonts w:ascii="Calibri" w:eastAsia="Malgun Gothic" w:hAnsi="Calibri"/>
          <w:noProof/>
          <w:sz w:val="22"/>
          <w:szCs w:val="22"/>
          <w:lang w:eastAsia="ko-KR"/>
        </w:rPr>
      </w:pPr>
      <w:r w:rsidRPr="00677085">
        <w:rPr>
          <w:noProof/>
          <w:lang w:val="fr-FR"/>
        </w:rPr>
        <w:t>5.3.3A.3.1</w:t>
      </w:r>
      <w:r w:rsidRPr="00DD140B">
        <w:rPr>
          <w:rFonts w:ascii="Calibri" w:eastAsia="Malgun Gothic" w:hAnsi="Calibri"/>
          <w:noProof/>
          <w:sz w:val="22"/>
          <w:szCs w:val="22"/>
          <w:lang w:eastAsia="ko-KR"/>
        </w:rPr>
        <w:tab/>
      </w:r>
      <w:r w:rsidRPr="00677085">
        <w:rPr>
          <w:noProof/>
          <w:lang w:val="fr-FR"/>
        </w:rPr>
        <w:t>Description</w:t>
      </w:r>
      <w:r>
        <w:rPr>
          <w:noProof/>
        </w:rPr>
        <w:tab/>
      </w:r>
      <w:r>
        <w:rPr>
          <w:noProof/>
        </w:rPr>
        <w:fldChar w:fldCharType="begin" w:fldLock="1"/>
      </w:r>
      <w:r>
        <w:rPr>
          <w:noProof/>
        </w:rPr>
        <w:instrText xml:space="preserve"> PAGEREF _Toc153625237 \h </w:instrText>
      </w:r>
      <w:r>
        <w:rPr>
          <w:noProof/>
        </w:rPr>
      </w:r>
      <w:r>
        <w:rPr>
          <w:noProof/>
        </w:rPr>
        <w:fldChar w:fldCharType="separate"/>
      </w:r>
      <w:r>
        <w:rPr>
          <w:noProof/>
        </w:rPr>
        <w:t>124</w:t>
      </w:r>
      <w:r>
        <w:rPr>
          <w:noProof/>
        </w:rPr>
        <w:fldChar w:fldCharType="end"/>
      </w:r>
    </w:p>
    <w:p w:rsidR="007D56C6" w:rsidRPr="00DD140B" w:rsidRDefault="007D56C6">
      <w:pPr>
        <w:pStyle w:val="TOC5"/>
        <w:rPr>
          <w:rFonts w:ascii="Calibri" w:eastAsia="Malgun Gothic" w:hAnsi="Calibri"/>
          <w:noProof/>
          <w:sz w:val="22"/>
          <w:szCs w:val="22"/>
          <w:lang w:eastAsia="ko-KR"/>
        </w:rPr>
      </w:pPr>
      <w:r w:rsidRPr="00677085">
        <w:rPr>
          <w:noProof/>
          <w:lang w:val="en-US"/>
        </w:rPr>
        <w:t>5.3.3A</w:t>
      </w:r>
      <w:r>
        <w:rPr>
          <w:noProof/>
        </w:rPr>
        <w:t>.3.2</w:t>
      </w:r>
      <w:r w:rsidRPr="00DD140B">
        <w:rPr>
          <w:rFonts w:ascii="Calibri" w:eastAsia="Malgun Gothic" w:hAnsi="Calibri"/>
          <w:noProof/>
          <w:sz w:val="22"/>
          <w:szCs w:val="22"/>
          <w:lang w:eastAsia="ko-KR"/>
        </w:rPr>
        <w:tab/>
      </w:r>
      <w:r>
        <w:rPr>
          <w:noProof/>
        </w:rPr>
        <w:t>Target URI</w:t>
      </w:r>
      <w:r>
        <w:rPr>
          <w:noProof/>
        </w:rPr>
        <w:tab/>
      </w:r>
      <w:r>
        <w:rPr>
          <w:noProof/>
        </w:rPr>
        <w:fldChar w:fldCharType="begin" w:fldLock="1"/>
      </w:r>
      <w:r>
        <w:rPr>
          <w:noProof/>
        </w:rPr>
        <w:instrText xml:space="preserve"> PAGEREF _Toc153625238 \h </w:instrText>
      </w:r>
      <w:r>
        <w:rPr>
          <w:noProof/>
        </w:rPr>
      </w:r>
      <w:r>
        <w:rPr>
          <w:noProof/>
        </w:rPr>
        <w:fldChar w:fldCharType="separate"/>
      </w:r>
      <w:r>
        <w:rPr>
          <w:noProof/>
        </w:rPr>
        <w:t>124</w:t>
      </w:r>
      <w:r>
        <w:rPr>
          <w:noProof/>
        </w:rPr>
        <w:fldChar w:fldCharType="end"/>
      </w:r>
    </w:p>
    <w:p w:rsidR="007D56C6" w:rsidRPr="00DD140B" w:rsidRDefault="007D56C6">
      <w:pPr>
        <w:pStyle w:val="TOC5"/>
        <w:rPr>
          <w:rFonts w:ascii="Calibri" w:eastAsia="Malgun Gothic" w:hAnsi="Calibri"/>
          <w:noProof/>
          <w:sz w:val="22"/>
          <w:szCs w:val="22"/>
          <w:lang w:eastAsia="ko-KR"/>
        </w:rPr>
      </w:pPr>
      <w:r w:rsidRPr="00677085">
        <w:rPr>
          <w:noProof/>
          <w:lang w:val="en-US"/>
        </w:rPr>
        <w:t>5.3.3A</w:t>
      </w:r>
      <w:r>
        <w:rPr>
          <w:noProof/>
        </w:rPr>
        <w:t>.3.3</w:t>
      </w:r>
      <w:r w:rsidRPr="00DD140B">
        <w:rPr>
          <w:rFonts w:ascii="Calibri" w:eastAsia="Malgun Gothic" w:hAnsi="Calibri"/>
          <w:noProof/>
          <w:sz w:val="22"/>
          <w:szCs w:val="22"/>
          <w:lang w:eastAsia="ko-KR"/>
        </w:rPr>
        <w:tab/>
      </w:r>
      <w:r>
        <w:rPr>
          <w:noProof/>
        </w:rPr>
        <w:t>Operation Definition</w:t>
      </w:r>
      <w:r>
        <w:rPr>
          <w:noProof/>
        </w:rPr>
        <w:tab/>
      </w:r>
      <w:r>
        <w:rPr>
          <w:noProof/>
        </w:rPr>
        <w:fldChar w:fldCharType="begin" w:fldLock="1"/>
      </w:r>
      <w:r>
        <w:rPr>
          <w:noProof/>
        </w:rPr>
        <w:instrText xml:space="preserve"> PAGEREF _Toc153625239 \h </w:instrText>
      </w:r>
      <w:r>
        <w:rPr>
          <w:noProof/>
        </w:rPr>
      </w:r>
      <w:r>
        <w:rPr>
          <w:noProof/>
        </w:rPr>
        <w:fldChar w:fldCharType="separate"/>
      </w:r>
      <w:r>
        <w:rPr>
          <w:noProof/>
        </w:rPr>
        <w:t>125</w:t>
      </w:r>
      <w:r>
        <w:rPr>
          <w:noProof/>
        </w:rPr>
        <w:fldChar w:fldCharType="end"/>
      </w:r>
    </w:p>
    <w:p w:rsidR="007D56C6" w:rsidRPr="00DD140B" w:rsidRDefault="007D56C6">
      <w:pPr>
        <w:pStyle w:val="TOC6"/>
        <w:rPr>
          <w:rFonts w:ascii="Calibri" w:eastAsia="Malgun Gothic" w:hAnsi="Calibri"/>
          <w:noProof/>
          <w:sz w:val="22"/>
          <w:szCs w:val="22"/>
          <w:lang w:eastAsia="ko-KR"/>
        </w:rPr>
      </w:pPr>
      <w:r w:rsidRPr="00677085">
        <w:rPr>
          <w:noProof/>
          <w:lang w:val="en-US"/>
        </w:rPr>
        <w:t>5.3.3A</w:t>
      </w:r>
      <w:r>
        <w:rPr>
          <w:noProof/>
        </w:rPr>
        <w:t>.3.3.1</w:t>
      </w:r>
      <w:r w:rsidRPr="00DD140B">
        <w:rPr>
          <w:rFonts w:ascii="Calibri" w:eastAsia="Malgun Gothic" w:hAnsi="Calibri"/>
          <w:noProof/>
          <w:sz w:val="22"/>
          <w:szCs w:val="22"/>
          <w:lang w:eastAsia="ko-KR"/>
        </w:rPr>
        <w:tab/>
      </w:r>
      <w:r>
        <w:rPr>
          <w:noProof/>
        </w:rPr>
        <w:t>Notification via HTTP POST</w:t>
      </w:r>
      <w:r>
        <w:rPr>
          <w:noProof/>
        </w:rPr>
        <w:tab/>
      </w:r>
      <w:r>
        <w:rPr>
          <w:noProof/>
        </w:rPr>
        <w:fldChar w:fldCharType="begin" w:fldLock="1"/>
      </w:r>
      <w:r>
        <w:rPr>
          <w:noProof/>
        </w:rPr>
        <w:instrText xml:space="preserve"> PAGEREF _Toc153625240 \h </w:instrText>
      </w:r>
      <w:r>
        <w:rPr>
          <w:noProof/>
        </w:rPr>
      </w:r>
      <w:r>
        <w:rPr>
          <w:noProof/>
        </w:rPr>
        <w:fldChar w:fldCharType="separate"/>
      </w:r>
      <w:r>
        <w:rPr>
          <w:noProof/>
        </w:rPr>
        <w:t>125</w:t>
      </w:r>
      <w:r>
        <w:rPr>
          <w:noProof/>
        </w:rPr>
        <w:fldChar w:fldCharType="end"/>
      </w:r>
    </w:p>
    <w:p w:rsidR="007D56C6" w:rsidRPr="00DD140B" w:rsidRDefault="007D56C6">
      <w:pPr>
        <w:pStyle w:val="TOC6"/>
        <w:rPr>
          <w:rFonts w:ascii="Calibri" w:eastAsia="Malgun Gothic" w:hAnsi="Calibri"/>
          <w:noProof/>
          <w:sz w:val="22"/>
          <w:szCs w:val="22"/>
          <w:lang w:eastAsia="ko-KR"/>
        </w:rPr>
      </w:pPr>
      <w:r w:rsidRPr="00677085">
        <w:rPr>
          <w:noProof/>
          <w:lang w:val="en-US"/>
        </w:rPr>
        <w:t>5.3.3A</w:t>
      </w:r>
      <w:r>
        <w:rPr>
          <w:noProof/>
        </w:rPr>
        <w:t>.3.3.2</w:t>
      </w:r>
      <w:r w:rsidRPr="00DD140B">
        <w:rPr>
          <w:rFonts w:ascii="Calibri" w:eastAsia="Malgun Gothic" w:hAnsi="Calibri"/>
          <w:noProof/>
          <w:sz w:val="22"/>
          <w:szCs w:val="22"/>
          <w:lang w:eastAsia="ko-KR"/>
        </w:rPr>
        <w:tab/>
      </w:r>
      <w:r>
        <w:rPr>
          <w:noProof/>
        </w:rPr>
        <w:t>Notification via Websocket</w:t>
      </w:r>
      <w:r>
        <w:rPr>
          <w:noProof/>
        </w:rPr>
        <w:tab/>
      </w:r>
      <w:r>
        <w:rPr>
          <w:noProof/>
        </w:rPr>
        <w:fldChar w:fldCharType="begin" w:fldLock="1"/>
      </w:r>
      <w:r>
        <w:rPr>
          <w:noProof/>
        </w:rPr>
        <w:instrText xml:space="preserve"> PAGEREF _Toc153625241 \h </w:instrText>
      </w:r>
      <w:r>
        <w:rPr>
          <w:noProof/>
        </w:rPr>
      </w:r>
      <w:r>
        <w:rPr>
          <w:noProof/>
        </w:rPr>
        <w:fldChar w:fldCharType="separate"/>
      </w:r>
      <w:r>
        <w:rPr>
          <w:noProof/>
        </w:rPr>
        <w:t>125</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5.3.4</w:t>
      </w:r>
      <w:r w:rsidRPr="00DD140B">
        <w:rPr>
          <w:rFonts w:ascii="Calibri" w:eastAsia="Malgun Gothic" w:hAnsi="Calibri"/>
          <w:noProof/>
          <w:sz w:val="22"/>
          <w:szCs w:val="22"/>
          <w:lang w:eastAsia="ko-KR"/>
        </w:rPr>
        <w:tab/>
      </w:r>
      <w:r>
        <w:rPr>
          <w:noProof/>
        </w:rPr>
        <w:t>Used Features</w:t>
      </w:r>
      <w:r>
        <w:rPr>
          <w:noProof/>
        </w:rPr>
        <w:tab/>
      </w:r>
      <w:r>
        <w:rPr>
          <w:noProof/>
        </w:rPr>
        <w:fldChar w:fldCharType="begin" w:fldLock="1"/>
      </w:r>
      <w:r>
        <w:rPr>
          <w:noProof/>
        </w:rPr>
        <w:instrText xml:space="preserve"> PAGEREF _Toc153625242 \h </w:instrText>
      </w:r>
      <w:r>
        <w:rPr>
          <w:noProof/>
        </w:rPr>
      </w:r>
      <w:r>
        <w:rPr>
          <w:noProof/>
        </w:rPr>
        <w:fldChar w:fldCharType="separate"/>
      </w:r>
      <w:r>
        <w:rPr>
          <w:noProof/>
        </w:rPr>
        <w:t>125</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5.3.5</w:t>
      </w:r>
      <w:r w:rsidRPr="00DD140B">
        <w:rPr>
          <w:rFonts w:ascii="Calibri" w:eastAsia="Malgun Gothic" w:hAnsi="Calibri"/>
          <w:noProof/>
          <w:sz w:val="22"/>
          <w:szCs w:val="22"/>
          <w:lang w:eastAsia="ko-KR"/>
        </w:rPr>
        <w:tab/>
      </w:r>
      <w:r>
        <w:rPr>
          <w:noProof/>
        </w:rPr>
        <w:t>Error handling</w:t>
      </w:r>
      <w:r>
        <w:rPr>
          <w:noProof/>
        </w:rPr>
        <w:tab/>
      </w:r>
      <w:r>
        <w:rPr>
          <w:noProof/>
        </w:rPr>
        <w:fldChar w:fldCharType="begin" w:fldLock="1"/>
      </w:r>
      <w:r>
        <w:rPr>
          <w:noProof/>
        </w:rPr>
        <w:instrText xml:space="preserve"> PAGEREF _Toc153625243 \h </w:instrText>
      </w:r>
      <w:r>
        <w:rPr>
          <w:noProof/>
        </w:rPr>
      </w:r>
      <w:r>
        <w:rPr>
          <w:noProof/>
        </w:rPr>
        <w:fldChar w:fldCharType="separate"/>
      </w:r>
      <w:r>
        <w:rPr>
          <w:noProof/>
        </w:rPr>
        <w:t>128</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5.3.5.1</w:t>
      </w:r>
      <w:r w:rsidRPr="00DD140B">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_Toc153625244 \h </w:instrText>
      </w:r>
      <w:r>
        <w:rPr>
          <w:noProof/>
        </w:rPr>
      </w:r>
      <w:r>
        <w:rPr>
          <w:noProof/>
        </w:rPr>
        <w:fldChar w:fldCharType="separate"/>
      </w:r>
      <w:r>
        <w:rPr>
          <w:noProof/>
        </w:rPr>
        <w:t>128</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5.3.5.2</w:t>
      </w:r>
      <w:r w:rsidRPr="00DD140B">
        <w:rPr>
          <w:rFonts w:ascii="Calibri" w:eastAsia="Malgun Gothic" w:hAnsi="Calibri"/>
          <w:noProof/>
          <w:sz w:val="22"/>
          <w:szCs w:val="22"/>
          <w:lang w:eastAsia="ko-KR"/>
        </w:rPr>
        <w:tab/>
      </w:r>
      <w:r>
        <w:rPr>
          <w:noProof/>
        </w:rPr>
        <w:t>Protocol Errors</w:t>
      </w:r>
      <w:r>
        <w:rPr>
          <w:noProof/>
        </w:rPr>
        <w:tab/>
      </w:r>
      <w:r>
        <w:rPr>
          <w:noProof/>
        </w:rPr>
        <w:fldChar w:fldCharType="begin" w:fldLock="1"/>
      </w:r>
      <w:r>
        <w:rPr>
          <w:noProof/>
        </w:rPr>
        <w:instrText xml:space="preserve"> PAGEREF _Toc153625245 \h </w:instrText>
      </w:r>
      <w:r>
        <w:rPr>
          <w:noProof/>
        </w:rPr>
      </w:r>
      <w:r>
        <w:rPr>
          <w:noProof/>
        </w:rPr>
        <w:fldChar w:fldCharType="separate"/>
      </w:r>
      <w:r>
        <w:rPr>
          <w:noProof/>
        </w:rPr>
        <w:t>128</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5.3.5.3</w:t>
      </w:r>
      <w:r w:rsidRPr="00DD140B">
        <w:rPr>
          <w:rFonts w:ascii="Calibri" w:eastAsia="Malgun Gothic" w:hAnsi="Calibri"/>
          <w:noProof/>
          <w:sz w:val="22"/>
          <w:szCs w:val="22"/>
          <w:lang w:eastAsia="ko-KR"/>
        </w:rPr>
        <w:tab/>
      </w:r>
      <w:r>
        <w:rPr>
          <w:noProof/>
        </w:rPr>
        <w:t>Application Errors</w:t>
      </w:r>
      <w:r>
        <w:rPr>
          <w:noProof/>
        </w:rPr>
        <w:tab/>
      </w:r>
      <w:r>
        <w:rPr>
          <w:noProof/>
        </w:rPr>
        <w:fldChar w:fldCharType="begin" w:fldLock="1"/>
      </w:r>
      <w:r>
        <w:rPr>
          <w:noProof/>
        </w:rPr>
        <w:instrText xml:space="preserve"> PAGEREF _Toc153625246 \h </w:instrText>
      </w:r>
      <w:r>
        <w:rPr>
          <w:noProof/>
        </w:rPr>
      </w:r>
      <w:r>
        <w:rPr>
          <w:noProof/>
        </w:rPr>
        <w:fldChar w:fldCharType="separate"/>
      </w:r>
      <w:r>
        <w:rPr>
          <w:noProof/>
        </w:rPr>
        <w:t>128</w:t>
      </w:r>
      <w:r>
        <w:rPr>
          <w:noProof/>
        </w:rPr>
        <w:fldChar w:fldCharType="end"/>
      </w:r>
    </w:p>
    <w:p w:rsidR="007D56C6" w:rsidRPr="00DD140B" w:rsidRDefault="007D56C6">
      <w:pPr>
        <w:pStyle w:val="TOC2"/>
        <w:rPr>
          <w:rFonts w:ascii="Calibri" w:eastAsia="Malgun Gothic" w:hAnsi="Calibri"/>
          <w:noProof/>
          <w:sz w:val="22"/>
          <w:szCs w:val="22"/>
          <w:lang w:eastAsia="ko-KR"/>
        </w:rPr>
      </w:pPr>
      <w:r>
        <w:rPr>
          <w:noProof/>
        </w:rPr>
        <w:t>5.4</w:t>
      </w:r>
      <w:r w:rsidRPr="00DD140B">
        <w:rPr>
          <w:rFonts w:ascii="Calibri" w:eastAsia="Malgun Gothic" w:hAnsi="Calibri"/>
          <w:noProof/>
          <w:sz w:val="22"/>
          <w:szCs w:val="22"/>
          <w:lang w:eastAsia="ko-KR"/>
        </w:rPr>
        <w:tab/>
      </w:r>
      <w:r>
        <w:rPr>
          <w:noProof/>
        </w:rPr>
        <w:t>ResourceManagementOfBdt API</w:t>
      </w:r>
      <w:r>
        <w:rPr>
          <w:noProof/>
        </w:rPr>
        <w:tab/>
      </w:r>
      <w:r>
        <w:rPr>
          <w:noProof/>
        </w:rPr>
        <w:fldChar w:fldCharType="begin" w:fldLock="1"/>
      </w:r>
      <w:r>
        <w:rPr>
          <w:noProof/>
        </w:rPr>
        <w:instrText xml:space="preserve"> PAGEREF _Toc153625247 \h </w:instrText>
      </w:r>
      <w:r>
        <w:rPr>
          <w:noProof/>
        </w:rPr>
      </w:r>
      <w:r>
        <w:rPr>
          <w:noProof/>
        </w:rPr>
        <w:fldChar w:fldCharType="separate"/>
      </w:r>
      <w:r>
        <w:rPr>
          <w:noProof/>
        </w:rPr>
        <w:t>130</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5.4.1</w:t>
      </w:r>
      <w:r w:rsidRPr="00DD140B">
        <w:rPr>
          <w:rFonts w:ascii="Calibri" w:eastAsia="Malgun Gothic" w:hAnsi="Calibri"/>
          <w:noProof/>
          <w:sz w:val="22"/>
          <w:szCs w:val="22"/>
          <w:lang w:eastAsia="ko-KR"/>
        </w:rPr>
        <w:tab/>
      </w:r>
      <w:r>
        <w:rPr>
          <w:noProof/>
        </w:rPr>
        <w:t>Overview</w:t>
      </w:r>
      <w:r>
        <w:rPr>
          <w:noProof/>
        </w:rPr>
        <w:tab/>
      </w:r>
      <w:r>
        <w:rPr>
          <w:noProof/>
        </w:rPr>
        <w:fldChar w:fldCharType="begin" w:fldLock="1"/>
      </w:r>
      <w:r>
        <w:rPr>
          <w:noProof/>
        </w:rPr>
        <w:instrText xml:space="preserve"> PAGEREF _Toc153625248 \h </w:instrText>
      </w:r>
      <w:r>
        <w:rPr>
          <w:noProof/>
        </w:rPr>
      </w:r>
      <w:r>
        <w:rPr>
          <w:noProof/>
        </w:rPr>
        <w:fldChar w:fldCharType="separate"/>
      </w:r>
      <w:r>
        <w:rPr>
          <w:noProof/>
        </w:rPr>
        <w:t>130</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5.4.2</w:t>
      </w:r>
      <w:r w:rsidRPr="00DD140B">
        <w:rPr>
          <w:rFonts w:ascii="Calibri" w:eastAsia="Malgun Gothic" w:hAnsi="Calibri"/>
          <w:noProof/>
          <w:sz w:val="22"/>
          <w:szCs w:val="22"/>
          <w:lang w:eastAsia="ko-KR"/>
        </w:rPr>
        <w:tab/>
      </w:r>
      <w:r>
        <w:rPr>
          <w:noProof/>
        </w:rPr>
        <w:t>Data model</w:t>
      </w:r>
      <w:r>
        <w:rPr>
          <w:noProof/>
        </w:rPr>
        <w:tab/>
      </w:r>
      <w:r>
        <w:rPr>
          <w:noProof/>
        </w:rPr>
        <w:fldChar w:fldCharType="begin" w:fldLock="1"/>
      </w:r>
      <w:r>
        <w:rPr>
          <w:noProof/>
        </w:rPr>
        <w:instrText xml:space="preserve"> PAGEREF _Toc153625249 \h </w:instrText>
      </w:r>
      <w:r>
        <w:rPr>
          <w:noProof/>
        </w:rPr>
      </w:r>
      <w:r>
        <w:rPr>
          <w:noProof/>
        </w:rPr>
        <w:fldChar w:fldCharType="separate"/>
      </w:r>
      <w:r>
        <w:rPr>
          <w:noProof/>
        </w:rPr>
        <w:t>130</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5.4.2.1</w:t>
      </w:r>
      <w:r w:rsidRPr="00DD140B">
        <w:rPr>
          <w:rFonts w:ascii="Calibri" w:eastAsia="Malgun Gothic" w:hAnsi="Calibri"/>
          <w:noProof/>
          <w:sz w:val="22"/>
          <w:szCs w:val="22"/>
          <w:lang w:eastAsia="ko-KR"/>
        </w:rPr>
        <w:tab/>
      </w:r>
      <w:r>
        <w:rPr>
          <w:noProof/>
        </w:rPr>
        <w:t>Resource data types</w:t>
      </w:r>
      <w:r>
        <w:rPr>
          <w:noProof/>
        </w:rPr>
        <w:tab/>
      </w:r>
      <w:r>
        <w:rPr>
          <w:noProof/>
        </w:rPr>
        <w:fldChar w:fldCharType="begin" w:fldLock="1"/>
      </w:r>
      <w:r>
        <w:rPr>
          <w:noProof/>
        </w:rPr>
        <w:instrText xml:space="preserve"> PAGEREF _Toc153625250 \h </w:instrText>
      </w:r>
      <w:r>
        <w:rPr>
          <w:noProof/>
        </w:rPr>
      </w:r>
      <w:r>
        <w:rPr>
          <w:noProof/>
        </w:rPr>
        <w:fldChar w:fldCharType="separate"/>
      </w:r>
      <w:r>
        <w:rPr>
          <w:noProof/>
        </w:rPr>
        <w:t>130</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5.4.2.1.1</w:t>
      </w:r>
      <w:r w:rsidRPr="00DD140B">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_Toc153625251 \h </w:instrText>
      </w:r>
      <w:r>
        <w:rPr>
          <w:noProof/>
        </w:rPr>
      </w:r>
      <w:r>
        <w:rPr>
          <w:noProof/>
        </w:rPr>
        <w:fldChar w:fldCharType="separate"/>
      </w:r>
      <w:r>
        <w:rPr>
          <w:noProof/>
        </w:rPr>
        <w:t>130</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5.4.2.1.2</w:t>
      </w:r>
      <w:r w:rsidRPr="00DD140B">
        <w:rPr>
          <w:rFonts w:ascii="Calibri" w:eastAsia="Malgun Gothic" w:hAnsi="Calibri"/>
          <w:noProof/>
          <w:sz w:val="22"/>
          <w:szCs w:val="22"/>
          <w:lang w:eastAsia="ko-KR"/>
        </w:rPr>
        <w:tab/>
      </w:r>
      <w:r>
        <w:rPr>
          <w:noProof/>
        </w:rPr>
        <w:t>Type: Bdt</w:t>
      </w:r>
      <w:r>
        <w:rPr>
          <w:noProof/>
        </w:rPr>
        <w:tab/>
      </w:r>
      <w:r>
        <w:rPr>
          <w:noProof/>
        </w:rPr>
        <w:fldChar w:fldCharType="begin" w:fldLock="1"/>
      </w:r>
      <w:r>
        <w:rPr>
          <w:noProof/>
        </w:rPr>
        <w:instrText xml:space="preserve"> PAGEREF _Toc153625252 \h </w:instrText>
      </w:r>
      <w:r>
        <w:rPr>
          <w:noProof/>
        </w:rPr>
      </w:r>
      <w:r>
        <w:rPr>
          <w:noProof/>
        </w:rPr>
        <w:fldChar w:fldCharType="separate"/>
      </w:r>
      <w:r>
        <w:rPr>
          <w:noProof/>
        </w:rPr>
        <w:t>130</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5.4.2.1.3</w:t>
      </w:r>
      <w:r w:rsidRPr="00DD140B">
        <w:rPr>
          <w:rFonts w:ascii="Calibri" w:eastAsia="Malgun Gothic" w:hAnsi="Calibri"/>
          <w:noProof/>
          <w:sz w:val="22"/>
          <w:szCs w:val="22"/>
          <w:lang w:eastAsia="ko-KR"/>
        </w:rPr>
        <w:tab/>
      </w:r>
      <w:r>
        <w:rPr>
          <w:noProof/>
        </w:rPr>
        <w:t>Type: BdtPatch</w:t>
      </w:r>
      <w:r>
        <w:rPr>
          <w:noProof/>
        </w:rPr>
        <w:tab/>
      </w:r>
      <w:r>
        <w:rPr>
          <w:noProof/>
        </w:rPr>
        <w:fldChar w:fldCharType="begin" w:fldLock="1"/>
      </w:r>
      <w:r>
        <w:rPr>
          <w:noProof/>
        </w:rPr>
        <w:instrText xml:space="preserve"> PAGEREF _Toc153625253 \h </w:instrText>
      </w:r>
      <w:r>
        <w:rPr>
          <w:noProof/>
        </w:rPr>
      </w:r>
      <w:r>
        <w:rPr>
          <w:noProof/>
        </w:rPr>
        <w:fldChar w:fldCharType="separate"/>
      </w:r>
      <w:r>
        <w:rPr>
          <w:noProof/>
        </w:rPr>
        <w:t>131</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5.4.2.1.4</w:t>
      </w:r>
      <w:r w:rsidRPr="00DD140B">
        <w:rPr>
          <w:rFonts w:ascii="Calibri" w:eastAsia="Malgun Gothic" w:hAnsi="Calibri"/>
          <w:noProof/>
          <w:sz w:val="22"/>
          <w:szCs w:val="22"/>
          <w:lang w:eastAsia="ko-KR"/>
        </w:rPr>
        <w:tab/>
      </w:r>
      <w:r>
        <w:rPr>
          <w:noProof/>
        </w:rPr>
        <w:t>Type: ExNotification</w:t>
      </w:r>
      <w:r>
        <w:rPr>
          <w:noProof/>
        </w:rPr>
        <w:tab/>
      </w:r>
      <w:r>
        <w:rPr>
          <w:noProof/>
        </w:rPr>
        <w:fldChar w:fldCharType="begin" w:fldLock="1"/>
      </w:r>
      <w:r>
        <w:rPr>
          <w:noProof/>
        </w:rPr>
        <w:instrText xml:space="preserve"> PAGEREF _Toc153625254 \h </w:instrText>
      </w:r>
      <w:r>
        <w:rPr>
          <w:noProof/>
        </w:rPr>
      </w:r>
      <w:r>
        <w:rPr>
          <w:noProof/>
        </w:rPr>
        <w:fldChar w:fldCharType="separate"/>
      </w:r>
      <w:r>
        <w:rPr>
          <w:noProof/>
        </w:rPr>
        <w:t>132</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5.4.2.2</w:t>
      </w:r>
      <w:r w:rsidRPr="00DD140B">
        <w:rPr>
          <w:rFonts w:ascii="Calibri" w:eastAsia="Malgun Gothic" w:hAnsi="Calibri"/>
          <w:noProof/>
          <w:sz w:val="22"/>
          <w:szCs w:val="22"/>
          <w:lang w:eastAsia="ko-KR"/>
        </w:rPr>
        <w:tab/>
      </w:r>
      <w:r>
        <w:rPr>
          <w:noProof/>
        </w:rPr>
        <w:t>Referenced structured data types</w:t>
      </w:r>
      <w:r>
        <w:rPr>
          <w:noProof/>
        </w:rPr>
        <w:tab/>
      </w:r>
      <w:r>
        <w:rPr>
          <w:noProof/>
        </w:rPr>
        <w:fldChar w:fldCharType="begin" w:fldLock="1"/>
      </w:r>
      <w:r>
        <w:rPr>
          <w:noProof/>
        </w:rPr>
        <w:instrText xml:space="preserve"> PAGEREF _Toc153625255 \h </w:instrText>
      </w:r>
      <w:r>
        <w:rPr>
          <w:noProof/>
        </w:rPr>
      </w:r>
      <w:r>
        <w:rPr>
          <w:noProof/>
        </w:rPr>
        <w:fldChar w:fldCharType="separate"/>
      </w:r>
      <w:r>
        <w:rPr>
          <w:noProof/>
        </w:rPr>
        <w:t>132</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5.4.2.2.1</w:t>
      </w:r>
      <w:r w:rsidRPr="00DD140B">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_Toc153625256 \h </w:instrText>
      </w:r>
      <w:r>
        <w:rPr>
          <w:noProof/>
        </w:rPr>
      </w:r>
      <w:r>
        <w:rPr>
          <w:noProof/>
        </w:rPr>
        <w:fldChar w:fldCharType="separate"/>
      </w:r>
      <w:r>
        <w:rPr>
          <w:noProof/>
        </w:rPr>
        <w:t>132</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5.4.2.2.2</w:t>
      </w:r>
      <w:r w:rsidRPr="00DD140B">
        <w:rPr>
          <w:rFonts w:ascii="Calibri" w:eastAsia="Malgun Gothic" w:hAnsi="Calibri"/>
          <w:noProof/>
          <w:sz w:val="22"/>
          <w:szCs w:val="22"/>
          <w:lang w:eastAsia="ko-KR"/>
        </w:rPr>
        <w:tab/>
      </w:r>
      <w:r>
        <w:rPr>
          <w:noProof/>
        </w:rPr>
        <w:t xml:space="preserve">Type: </w:t>
      </w:r>
      <w:r w:rsidRPr="00677085">
        <w:rPr>
          <w:rFonts w:eastAsia="Times New Roman"/>
          <w:noProof/>
        </w:rPr>
        <w:t>TransferPolicy</w:t>
      </w:r>
      <w:r>
        <w:rPr>
          <w:noProof/>
        </w:rPr>
        <w:tab/>
      </w:r>
      <w:r>
        <w:rPr>
          <w:noProof/>
        </w:rPr>
        <w:fldChar w:fldCharType="begin" w:fldLock="1"/>
      </w:r>
      <w:r>
        <w:rPr>
          <w:noProof/>
        </w:rPr>
        <w:instrText xml:space="preserve"> PAGEREF _Toc153625257 \h </w:instrText>
      </w:r>
      <w:r>
        <w:rPr>
          <w:noProof/>
        </w:rPr>
      </w:r>
      <w:r>
        <w:rPr>
          <w:noProof/>
        </w:rPr>
        <w:fldChar w:fldCharType="separate"/>
      </w:r>
      <w:r>
        <w:rPr>
          <w:noProof/>
        </w:rPr>
        <w:t>132</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5.4.2.3</w:t>
      </w:r>
      <w:r w:rsidRPr="00DD140B">
        <w:rPr>
          <w:rFonts w:ascii="Calibri" w:eastAsia="Malgun Gothic" w:hAnsi="Calibri"/>
          <w:noProof/>
          <w:sz w:val="22"/>
          <w:szCs w:val="22"/>
          <w:lang w:eastAsia="ko-KR"/>
        </w:rPr>
        <w:tab/>
      </w:r>
      <w:r>
        <w:rPr>
          <w:noProof/>
        </w:rPr>
        <w:t>Referenced simple data types and enumerations</w:t>
      </w:r>
      <w:r>
        <w:rPr>
          <w:noProof/>
        </w:rPr>
        <w:tab/>
      </w:r>
      <w:r>
        <w:rPr>
          <w:noProof/>
        </w:rPr>
        <w:fldChar w:fldCharType="begin" w:fldLock="1"/>
      </w:r>
      <w:r>
        <w:rPr>
          <w:noProof/>
        </w:rPr>
        <w:instrText xml:space="preserve"> PAGEREF _Toc153625258 \h </w:instrText>
      </w:r>
      <w:r>
        <w:rPr>
          <w:noProof/>
        </w:rPr>
      </w:r>
      <w:r>
        <w:rPr>
          <w:noProof/>
        </w:rPr>
        <w:fldChar w:fldCharType="separate"/>
      </w:r>
      <w:r>
        <w:rPr>
          <w:noProof/>
        </w:rPr>
        <w:t>133</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5.4.2.3.1</w:t>
      </w:r>
      <w:r w:rsidRPr="00DD140B">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_Toc153625259 \h </w:instrText>
      </w:r>
      <w:r>
        <w:rPr>
          <w:noProof/>
        </w:rPr>
      </w:r>
      <w:r>
        <w:rPr>
          <w:noProof/>
        </w:rPr>
        <w:fldChar w:fldCharType="separate"/>
      </w:r>
      <w:r>
        <w:rPr>
          <w:noProof/>
        </w:rPr>
        <w:t>133</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5.4.2.3.2</w:t>
      </w:r>
      <w:r w:rsidRPr="00DD140B">
        <w:rPr>
          <w:rFonts w:ascii="Calibri" w:eastAsia="Malgun Gothic" w:hAnsi="Calibri"/>
          <w:noProof/>
          <w:sz w:val="22"/>
          <w:szCs w:val="22"/>
          <w:lang w:eastAsia="ko-KR"/>
        </w:rPr>
        <w:tab/>
      </w:r>
      <w:r>
        <w:rPr>
          <w:noProof/>
        </w:rPr>
        <w:t>Simple data types</w:t>
      </w:r>
      <w:r>
        <w:rPr>
          <w:noProof/>
        </w:rPr>
        <w:tab/>
      </w:r>
      <w:r>
        <w:rPr>
          <w:noProof/>
        </w:rPr>
        <w:fldChar w:fldCharType="begin" w:fldLock="1"/>
      </w:r>
      <w:r>
        <w:rPr>
          <w:noProof/>
        </w:rPr>
        <w:instrText xml:space="preserve"> PAGEREF _Toc153625260 \h </w:instrText>
      </w:r>
      <w:r>
        <w:rPr>
          <w:noProof/>
        </w:rPr>
      </w:r>
      <w:r>
        <w:rPr>
          <w:noProof/>
        </w:rPr>
        <w:fldChar w:fldCharType="separate"/>
      </w:r>
      <w:r>
        <w:rPr>
          <w:noProof/>
        </w:rPr>
        <w:t>133</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5.4.3</w:t>
      </w:r>
      <w:r w:rsidRPr="00DD140B">
        <w:rPr>
          <w:rFonts w:ascii="Calibri" w:eastAsia="Malgun Gothic" w:hAnsi="Calibri"/>
          <w:noProof/>
          <w:sz w:val="22"/>
          <w:szCs w:val="22"/>
          <w:lang w:eastAsia="ko-KR"/>
        </w:rPr>
        <w:tab/>
      </w:r>
      <w:r>
        <w:rPr>
          <w:noProof/>
        </w:rPr>
        <w:t>Resource structure</w:t>
      </w:r>
      <w:r>
        <w:rPr>
          <w:noProof/>
        </w:rPr>
        <w:tab/>
      </w:r>
      <w:r>
        <w:rPr>
          <w:noProof/>
        </w:rPr>
        <w:fldChar w:fldCharType="begin" w:fldLock="1"/>
      </w:r>
      <w:r>
        <w:rPr>
          <w:noProof/>
        </w:rPr>
        <w:instrText xml:space="preserve"> PAGEREF _Toc153625261 \h </w:instrText>
      </w:r>
      <w:r>
        <w:rPr>
          <w:noProof/>
        </w:rPr>
      </w:r>
      <w:r>
        <w:rPr>
          <w:noProof/>
        </w:rPr>
        <w:fldChar w:fldCharType="separate"/>
      </w:r>
      <w:r>
        <w:rPr>
          <w:noProof/>
        </w:rPr>
        <w:t>133</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5.4.3.1</w:t>
      </w:r>
      <w:r w:rsidRPr="00DD140B">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_Toc153625262 \h </w:instrText>
      </w:r>
      <w:r>
        <w:rPr>
          <w:noProof/>
        </w:rPr>
      </w:r>
      <w:r>
        <w:rPr>
          <w:noProof/>
        </w:rPr>
        <w:fldChar w:fldCharType="separate"/>
      </w:r>
      <w:r>
        <w:rPr>
          <w:noProof/>
        </w:rPr>
        <w:t>133</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5.4.3.2</w:t>
      </w:r>
      <w:r w:rsidRPr="00DD140B">
        <w:rPr>
          <w:rFonts w:ascii="Calibri" w:eastAsia="Malgun Gothic" w:hAnsi="Calibri"/>
          <w:noProof/>
          <w:sz w:val="22"/>
          <w:szCs w:val="22"/>
          <w:lang w:eastAsia="ko-KR"/>
        </w:rPr>
        <w:tab/>
      </w:r>
      <w:r>
        <w:rPr>
          <w:noProof/>
        </w:rPr>
        <w:t>Resource: BDT Subscriptions</w:t>
      </w:r>
      <w:r>
        <w:rPr>
          <w:noProof/>
        </w:rPr>
        <w:tab/>
      </w:r>
      <w:r>
        <w:rPr>
          <w:noProof/>
        </w:rPr>
        <w:fldChar w:fldCharType="begin" w:fldLock="1"/>
      </w:r>
      <w:r>
        <w:rPr>
          <w:noProof/>
        </w:rPr>
        <w:instrText xml:space="preserve"> PAGEREF _Toc153625263 \h </w:instrText>
      </w:r>
      <w:r>
        <w:rPr>
          <w:noProof/>
        </w:rPr>
      </w:r>
      <w:r>
        <w:rPr>
          <w:noProof/>
        </w:rPr>
        <w:fldChar w:fldCharType="separate"/>
      </w:r>
      <w:r>
        <w:rPr>
          <w:noProof/>
        </w:rPr>
        <w:t>134</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5.4.3.2.1</w:t>
      </w:r>
      <w:r w:rsidRPr="00DD140B">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_Toc153625264 \h </w:instrText>
      </w:r>
      <w:r>
        <w:rPr>
          <w:noProof/>
        </w:rPr>
      </w:r>
      <w:r>
        <w:rPr>
          <w:noProof/>
        </w:rPr>
        <w:fldChar w:fldCharType="separate"/>
      </w:r>
      <w:r>
        <w:rPr>
          <w:noProof/>
        </w:rPr>
        <w:t>134</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5.4.3.2.2</w:t>
      </w:r>
      <w:r w:rsidRPr="00DD140B">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_Toc153625265 \h </w:instrText>
      </w:r>
      <w:r>
        <w:rPr>
          <w:noProof/>
        </w:rPr>
      </w:r>
      <w:r>
        <w:rPr>
          <w:noProof/>
        </w:rPr>
        <w:fldChar w:fldCharType="separate"/>
      </w:r>
      <w:r>
        <w:rPr>
          <w:noProof/>
        </w:rPr>
        <w:t>134</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5.4.3.2.3</w:t>
      </w:r>
      <w:r w:rsidRPr="00DD140B">
        <w:rPr>
          <w:rFonts w:ascii="Calibri" w:eastAsia="Malgun Gothic" w:hAnsi="Calibri"/>
          <w:noProof/>
          <w:sz w:val="22"/>
          <w:szCs w:val="22"/>
          <w:lang w:eastAsia="ko-KR"/>
        </w:rPr>
        <w:tab/>
      </w:r>
      <w:r>
        <w:rPr>
          <w:noProof/>
        </w:rPr>
        <w:t>Resource methods</w:t>
      </w:r>
      <w:r>
        <w:rPr>
          <w:noProof/>
        </w:rPr>
        <w:tab/>
      </w:r>
      <w:r>
        <w:rPr>
          <w:noProof/>
        </w:rPr>
        <w:fldChar w:fldCharType="begin" w:fldLock="1"/>
      </w:r>
      <w:r>
        <w:rPr>
          <w:noProof/>
        </w:rPr>
        <w:instrText xml:space="preserve"> PAGEREF _Toc153625266 \h </w:instrText>
      </w:r>
      <w:r>
        <w:rPr>
          <w:noProof/>
        </w:rPr>
      </w:r>
      <w:r>
        <w:rPr>
          <w:noProof/>
        </w:rPr>
        <w:fldChar w:fldCharType="separate"/>
      </w:r>
      <w:r>
        <w:rPr>
          <w:noProof/>
        </w:rPr>
        <w:t>134</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5.4.3.2.3.1</w:t>
      </w:r>
      <w:r w:rsidRPr="00DD140B">
        <w:rPr>
          <w:rFonts w:ascii="Calibri" w:eastAsia="Malgun Gothic" w:hAnsi="Calibri"/>
          <w:noProof/>
          <w:sz w:val="22"/>
          <w:szCs w:val="22"/>
          <w:lang w:eastAsia="ko-KR"/>
        </w:rPr>
        <w:tab/>
      </w:r>
      <w:r>
        <w:rPr>
          <w:noProof/>
        </w:rPr>
        <w:t>GET</w:t>
      </w:r>
      <w:r>
        <w:rPr>
          <w:noProof/>
        </w:rPr>
        <w:tab/>
      </w:r>
      <w:r>
        <w:rPr>
          <w:noProof/>
        </w:rPr>
        <w:fldChar w:fldCharType="begin" w:fldLock="1"/>
      </w:r>
      <w:r>
        <w:rPr>
          <w:noProof/>
        </w:rPr>
        <w:instrText xml:space="preserve"> PAGEREF _Toc153625267 \h </w:instrText>
      </w:r>
      <w:r>
        <w:rPr>
          <w:noProof/>
        </w:rPr>
      </w:r>
      <w:r>
        <w:rPr>
          <w:noProof/>
        </w:rPr>
        <w:fldChar w:fldCharType="separate"/>
      </w:r>
      <w:r>
        <w:rPr>
          <w:noProof/>
        </w:rPr>
        <w:t>134</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5.4.3.2.3.2</w:t>
      </w:r>
      <w:r w:rsidRPr="00DD140B">
        <w:rPr>
          <w:rFonts w:ascii="Calibri" w:eastAsia="Malgun Gothic" w:hAnsi="Calibri"/>
          <w:noProof/>
          <w:sz w:val="22"/>
          <w:szCs w:val="22"/>
          <w:lang w:eastAsia="ko-KR"/>
        </w:rPr>
        <w:tab/>
      </w:r>
      <w:r>
        <w:rPr>
          <w:noProof/>
        </w:rPr>
        <w:t>PUT</w:t>
      </w:r>
      <w:r>
        <w:rPr>
          <w:noProof/>
        </w:rPr>
        <w:tab/>
      </w:r>
      <w:r>
        <w:rPr>
          <w:noProof/>
        </w:rPr>
        <w:fldChar w:fldCharType="begin" w:fldLock="1"/>
      </w:r>
      <w:r>
        <w:rPr>
          <w:noProof/>
        </w:rPr>
        <w:instrText xml:space="preserve"> PAGEREF _Toc153625268 \h </w:instrText>
      </w:r>
      <w:r>
        <w:rPr>
          <w:noProof/>
        </w:rPr>
      </w:r>
      <w:r>
        <w:rPr>
          <w:noProof/>
        </w:rPr>
        <w:fldChar w:fldCharType="separate"/>
      </w:r>
      <w:r>
        <w:rPr>
          <w:noProof/>
        </w:rPr>
        <w:t>135</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5.4.3.2.3.3</w:t>
      </w:r>
      <w:r w:rsidRPr="00DD140B">
        <w:rPr>
          <w:rFonts w:ascii="Calibri" w:eastAsia="Malgun Gothic" w:hAnsi="Calibri"/>
          <w:noProof/>
          <w:sz w:val="22"/>
          <w:szCs w:val="22"/>
          <w:lang w:eastAsia="ko-KR"/>
        </w:rPr>
        <w:tab/>
      </w:r>
      <w:r>
        <w:rPr>
          <w:noProof/>
        </w:rPr>
        <w:t>PATCH</w:t>
      </w:r>
      <w:r>
        <w:rPr>
          <w:noProof/>
        </w:rPr>
        <w:tab/>
      </w:r>
      <w:r>
        <w:rPr>
          <w:noProof/>
        </w:rPr>
        <w:fldChar w:fldCharType="begin" w:fldLock="1"/>
      </w:r>
      <w:r>
        <w:rPr>
          <w:noProof/>
        </w:rPr>
        <w:instrText xml:space="preserve"> PAGEREF _Toc153625269 \h </w:instrText>
      </w:r>
      <w:r>
        <w:rPr>
          <w:noProof/>
        </w:rPr>
      </w:r>
      <w:r>
        <w:rPr>
          <w:noProof/>
        </w:rPr>
        <w:fldChar w:fldCharType="separate"/>
      </w:r>
      <w:r>
        <w:rPr>
          <w:noProof/>
        </w:rPr>
        <w:t>135</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5.4.3.2.3.4</w:t>
      </w:r>
      <w:r w:rsidRPr="00DD140B">
        <w:rPr>
          <w:rFonts w:ascii="Calibri" w:eastAsia="Malgun Gothic" w:hAnsi="Calibri"/>
          <w:noProof/>
          <w:sz w:val="22"/>
          <w:szCs w:val="22"/>
          <w:lang w:eastAsia="ko-KR"/>
        </w:rPr>
        <w:tab/>
      </w:r>
      <w:r>
        <w:rPr>
          <w:noProof/>
        </w:rPr>
        <w:t>POST</w:t>
      </w:r>
      <w:r>
        <w:rPr>
          <w:noProof/>
        </w:rPr>
        <w:tab/>
      </w:r>
      <w:r>
        <w:rPr>
          <w:noProof/>
        </w:rPr>
        <w:fldChar w:fldCharType="begin" w:fldLock="1"/>
      </w:r>
      <w:r>
        <w:rPr>
          <w:noProof/>
        </w:rPr>
        <w:instrText xml:space="preserve"> PAGEREF _Toc153625270 \h </w:instrText>
      </w:r>
      <w:r>
        <w:rPr>
          <w:noProof/>
        </w:rPr>
      </w:r>
      <w:r>
        <w:rPr>
          <w:noProof/>
        </w:rPr>
        <w:fldChar w:fldCharType="separate"/>
      </w:r>
      <w:r>
        <w:rPr>
          <w:noProof/>
        </w:rPr>
        <w:t>135</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5.4.3.2.3.5</w:t>
      </w:r>
      <w:r w:rsidRPr="00DD140B">
        <w:rPr>
          <w:rFonts w:ascii="Calibri" w:eastAsia="Malgun Gothic" w:hAnsi="Calibri"/>
          <w:noProof/>
          <w:sz w:val="22"/>
          <w:szCs w:val="22"/>
          <w:lang w:eastAsia="ko-KR"/>
        </w:rPr>
        <w:tab/>
      </w:r>
      <w:r>
        <w:rPr>
          <w:noProof/>
        </w:rPr>
        <w:t>DELETE</w:t>
      </w:r>
      <w:r>
        <w:rPr>
          <w:noProof/>
        </w:rPr>
        <w:tab/>
      </w:r>
      <w:r>
        <w:rPr>
          <w:noProof/>
        </w:rPr>
        <w:fldChar w:fldCharType="begin" w:fldLock="1"/>
      </w:r>
      <w:r>
        <w:rPr>
          <w:noProof/>
        </w:rPr>
        <w:instrText xml:space="preserve"> PAGEREF _Toc153625271 \h </w:instrText>
      </w:r>
      <w:r>
        <w:rPr>
          <w:noProof/>
        </w:rPr>
      </w:r>
      <w:r>
        <w:rPr>
          <w:noProof/>
        </w:rPr>
        <w:fldChar w:fldCharType="separate"/>
      </w:r>
      <w:r>
        <w:rPr>
          <w:noProof/>
        </w:rPr>
        <w:t>136</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5.4.3.3</w:t>
      </w:r>
      <w:r w:rsidRPr="00DD140B">
        <w:rPr>
          <w:rFonts w:ascii="Calibri" w:eastAsia="Malgun Gothic" w:hAnsi="Calibri"/>
          <w:noProof/>
          <w:sz w:val="22"/>
          <w:szCs w:val="22"/>
          <w:lang w:eastAsia="ko-KR"/>
        </w:rPr>
        <w:tab/>
      </w:r>
      <w:r>
        <w:rPr>
          <w:noProof/>
        </w:rPr>
        <w:t>Resource: Individual BDT Subscription</w:t>
      </w:r>
      <w:r>
        <w:rPr>
          <w:noProof/>
        </w:rPr>
        <w:tab/>
      </w:r>
      <w:r>
        <w:rPr>
          <w:noProof/>
        </w:rPr>
        <w:fldChar w:fldCharType="begin" w:fldLock="1"/>
      </w:r>
      <w:r>
        <w:rPr>
          <w:noProof/>
        </w:rPr>
        <w:instrText xml:space="preserve"> PAGEREF _Toc153625272 \h </w:instrText>
      </w:r>
      <w:r>
        <w:rPr>
          <w:noProof/>
        </w:rPr>
      </w:r>
      <w:r>
        <w:rPr>
          <w:noProof/>
        </w:rPr>
        <w:fldChar w:fldCharType="separate"/>
      </w:r>
      <w:r>
        <w:rPr>
          <w:noProof/>
        </w:rPr>
        <w:t>136</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5.4.3.3.1</w:t>
      </w:r>
      <w:r w:rsidRPr="00DD140B">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_Toc153625273 \h </w:instrText>
      </w:r>
      <w:r>
        <w:rPr>
          <w:noProof/>
        </w:rPr>
      </w:r>
      <w:r>
        <w:rPr>
          <w:noProof/>
        </w:rPr>
        <w:fldChar w:fldCharType="separate"/>
      </w:r>
      <w:r>
        <w:rPr>
          <w:noProof/>
        </w:rPr>
        <w:t>136</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5.4.3.3.2</w:t>
      </w:r>
      <w:r w:rsidRPr="00DD140B">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_Toc153625274 \h </w:instrText>
      </w:r>
      <w:r>
        <w:rPr>
          <w:noProof/>
        </w:rPr>
      </w:r>
      <w:r>
        <w:rPr>
          <w:noProof/>
        </w:rPr>
        <w:fldChar w:fldCharType="separate"/>
      </w:r>
      <w:r>
        <w:rPr>
          <w:noProof/>
        </w:rPr>
        <w:t>136</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5.4.3.3.3</w:t>
      </w:r>
      <w:r w:rsidRPr="00DD140B">
        <w:rPr>
          <w:rFonts w:ascii="Calibri" w:eastAsia="Malgun Gothic" w:hAnsi="Calibri"/>
          <w:noProof/>
          <w:sz w:val="22"/>
          <w:szCs w:val="22"/>
          <w:lang w:eastAsia="ko-KR"/>
        </w:rPr>
        <w:tab/>
      </w:r>
      <w:r>
        <w:rPr>
          <w:noProof/>
        </w:rPr>
        <w:t>Resource methods</w:t>
      </w:r>
      <w:r>
        <w:rPr>
          <w:noProof/>
        </w:rPr>
        <w:tab/>
      </w:r>
      <w:r>
        <w:rPr>
          <w:noProof/>
        </w:rPr>
        <w:fldChar w:fldCharType="begin" w:fldLock="1"/>
      </w:r>
      <w:r>
        <w:rPr>
          <w:noProof/>
        </w:rPr>
        <w:instrText xml:space="preserve"> PAGEREF _Toc153625275 \h </w:instrText>
      </w:r>
      <w:r>
        <w:rPr>
          <w:noProof/>
        </w:rPr>
      </w:r>
      <w:r>
        <w:rPr>
          <w:noProof/>
        </w:rPr>
        <w:fldChar w:fldCharType="separate"/>
      </w:r>
      <w:r>
        <w:rPr>
          <w:noProof/>
        </w:rPr>
        <w:t>136</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5.4.3.3.3.1</w:t>
      </w:r>
      <w:r w:rsidRPr="00DD140B">
        <w:rPr>
          <w:rFonts w:ascii="Calibri" w:eastAsia="Malgun Gothic" w:hAnsi="Calibri"/>
          <w:noProof/>
          <w:sz w:val="22"/>
          <w:szCs w:val="22"/>
          <w:lang w:eastAsia="ko-KR"/>
        </w:rPr>
        <w:tab/>
      </w:r>
      <w:r>
        <w:rPr>
          <w:noProof/>
        </w:rPr>
        <w:t>GET</w:t>
      </w:r>
      <w:r>
        <w:rPr>
          <w:noProof/>
        </w:rPr>
        <w:tab/>
      </w:r>
      <w:r>
        <w:rPr>
          <w:noProof/>
        </w:rPr>
        <w:fldChar w:fldCharType="begin" w:fldLock="1"/>
      </w:r>
      <w:r>
        <w:rPr>
          <w:noProof/>
        </w:rPr>
        <w:instrText xml:space="preserve"> PAGEREF _Toc153625276 \h </w:instrText>
      </w:r>
      <w:r>
        <w:rPr>
          <w:noProof/>
        </w:rPr>
      </w:r>
      <w:r>
        <w:rPr>
          <w:noProof/>
        </w:rPr>
        <w:fldChar w:fldCharType="separate"/>
      </w:r>
      <w:r>
        <w:rPr>
          <w:noProof/>
        </w:rPr>
        <w:t>136</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5.4.3.3.3.2</w:t>
      </w:r>
      <w:r w:rsidRPr="00DD140B">
        <w:rPr>
          <w:rFonts w:ascii="Calibri" w:eastAsia="Malgun Gothic" w:hAnsi="Calibri"/>
          <w:noProof/>
          <w:sz w:val="22"/>
          <w:szCs w:val="22"/>
          <w:lang w:eastAsia="ko-KR"/>
        </w:rPr>
        <w:tab/>
      </w:r>
      <w:r>
        <w:rPr>
          <w:noProof/>
        </w:rPr>
        <w:t>PUT</w:t>
      </w:r>
      <w:r>
        <w:rPr>
          <w:noProof/>
        </w:rPr>
        <w:tab/>
      </w:r>
      <w:r>
        <w:rPr>
          <w:noProof/>
        </w:rPr>
        <w:fldChar w:fldCharType="begin" w:fldLock="1"/>
      </w:r>
      <w:r>
        <w:rPr>
          <w:noProof/>
        </w:rPr>
        <w:instrText xml:space="preserve"> PAGEREF _Toc153625277 \h </w:instrText>
      </w:r>
      <w:r>
        <w:rPr>
          <w:noProof/>
        </w:rPr>
      </w:r>
      <w:r>
        <w:rPr>
          <w:noProof/>
        </w:rPr>
        <w:fldChar w:fldCharType="separate"/>
      </w:r>
      <w:r>
        <w:rPr>
          <w:noProof/>
        </w:rPr>
        <w:t>137</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5.4.3.3.3.3</w:t>
      </w:r>
      <w:r w:rsidRPr="00DD140B">
        <w:rPr>
          <w:rFonts w:ascii="Calibri" w:eastAsia="Malgun Gothic" w:hAnsi="Calibri"/>
          <w:noProof/>
          <w:sz w:val="22"/>
          <w:szCs w:val="22"/>
          <w:lang w:eastAsia="ko-KR"/>
        </w:rPr>
        <w:tab/>
      </w:r>
      <w:r>
        <w:rPr>
          <w:noProof/>
        </w:rPr>
        <w:t>PATCH</w:t>
      </w:r>
      <w:r>
        <w:rPr>
          <w:noProof/>
        </w:rPr>
        <w:tab/>
      </w:r>
      <w:r>
        <w:rPr>
          <w:noProof/>
        </w:rPr>
        <w:fldChar w:fldCharType="begin" w:fldLock="1"/>
      </w:r>
      <w:r>
        <w:rPr>
          <w:noProof/>
        </w:rPr>
        <w:instrText xml:space="preserve"> PAGEREF _Toc153625278 \h </w:instrText>
      </w:r>
      <w:r>
        <w:rPr>
          <w:noProof/>
        </w:rPr>
      </w:r>
      <w:r>
        <w:rPr>
          <w:noProof/>
        </w:rPr>
        <w:fldChar w:fldCharType="separate"/>
      </w:r>
      <w:r>
        <w:rPr>
          <w:noProof/>
        </w:rPr>
        <w:t>138</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5.4.3.3.3.4</w:t>
      </w:r>
      <w:r w:rsidRPr="00DD140B">
        <w:rPr>
          <w:rFonts w:ascii="Calibri" w:eastAsia="Malgun Gothic" w:hAnsi="Calibri"/>
          <w:noProof/>
          <w:sz w:val="22"/>
          <w:szCs w:val="22"/>
          <w:lang w:eastAsia="ko-KR"/>
        </w:rPr>
        <w:tab/>
      </w:r>
      <w:r>
        <w:rPr>
          <w:noProof/>
        </w:rPr>
        <w:t>POST</w:t>
      </w:r>
      <w:r>
        <w:rPr>
          <w:noProof/>
        </w:rPr>
        <w:tab/>
      </w:r>
      <w:r>
        <w:rPr>
          <w:noProof/>
        </w:rPr>
        <w:fldChar w:fldCharType="begin" w:fldLock="1"/>
      </w:r>
      <w:r>
        <w:rPr>
          <w:noProof/>
        </w:rPr>
        <w:instrText xml:space="preserve"> PAGEREF _Toc153625279 \h </w:instrText>
      </w:r>
      <w:r>
        <w:rPr>
          <w:noProof/>
        </w:rPr>
      </w:r>
      <w:r>
        <w:rPr>
          <w:noProof/>
        </w:rPr>
        <w:fldChar w:fldCharType="separate"/>
      </w:r>
      <w:r>
        <w:rPr>
          <w:noProof/>
        </w:rPr>
        <w:t>139</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5.4.3.3.3.5</w:t>
      </w:r>
      <w:r w:rsidRPr="00DD140B">
        <w:rPr>
          <w:rFonts w:ascii="Calibri" w:eastAsia="Malgun Gothic" w:hAnsi="Calibri"/>
          <w:noProof/>
          <w:sz w:val="22"/>
          <w:szCs w:val="22"/>
          <w:lang w:eastAsia="ko-KR"/>
        </w:rPr>
        <w:tab/>
      </w:r>
      <w:r>
        <w:rPr>
          <w:noProof/>
        </w:rPr>
        <w:t>DELETE</w:t>
      </w:r>
      <w:r>
        <w:rPr>
          <w:noProof/>
        </w:rPr>
        <w:tab/>
      </w:r>
      <w:r>
        <w:rPr>
          <w:noProof/>
        </w:rPr>
        <w:fldChar w:fldCharType="begin" w:fldLock="1"/>
      </w:r>
      <w:r>
        <w:rPr>
          <w:noProof/>
        </w:rPr>
        <w:instrText xml:space="preserve"> PAGEREF _Toc153625280 \h </w:instrText>
      </w:r>
      <w:r>
        <w:rPr>
          <w:noProof/>
        </w:rPr>
      </w:r>
      <w:r>
        <w:rPr>
          <w:noProof/>
        </w:rPr>
        <w:fldChar w:fldCharType="separate"/>
      </w:r>
      <w:r>
        <w:rPr>
          <w:noProof/>
        </w:rPr>
        <w:t>139</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5.4.3.4</w:t>
      </w:r>
      <w:r w:rsidRPr="00DD140B">
        <w:rPr>
          <w:rFonts w:ascii="Calibri" w:eastAsia="Malgun Gothic" w:hAnsi="Calibri"/>
          <w:noProof/>
          <w:sz w:val="22"/>
          <w:szCs w:val="22"/>
          <w:lang w:eastAsia="ko-KR"/>
        </w:rPr>
        <w:tab/>
      </w:r>
      <w:r>
        <w:rPr>
          <w:noProof/>
        </w:rPr>
        <w:t>Void</w:t>
      </w:r>
      <w:r>
        <w:rPr>
          <w:noProof/>
        </w:rPr>
        <w:tab/>
      </w:r>
      <w:r>
        <w:rPr>
          <w:noProof/>
        </w:rPr>
        <w:fldChar w:fldCharType="begin" w:fldLock="1"/>
      </w:r>
      <w:r>
        <w:rPr>
          <w:noProof/>
        </w:rPr>
        <w:instrText xml:space="preserve"> PAGEREF _Toc153625281 \h </w:instrText>
      </w:r>
      <w:r>
        <w:rPr>
          <w:noProof/>
        </w:rPr>
      </w:r>
      <w:r>
        <w:rPr>
          <w:noProof/>
        </w:rPr>
        <w:fldChar w:fldCharType="separate"/>
      </w:r>
      <w:r>
        <w:rPr>
          <w:noProof/>
        </w:rPr>
        <w:t>140</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5.4.3A</w:t>
      </w:r>
      <w:r w:rsidRPr="00DD140B">
        <w:rPr>
          <w:rFonts w:ascii="Calibri" w:eastAsia="Malgun Gothic" w:hAnsi="Calibri"/>
          <w:noProof/>
          <w:sz w:val="22"/>
          <w:szCs w:val="22"/>
          <w:lang w:eastAsia="ko-KR"/>
        </w:rPr>
        <w:tab/>
      </w:r>
      <w:r>
        <w:rPr>
          <w:noProof/>
        </w:rPr>
        <w:t>Notifications</w:t>
      </w:r>
      <w:r>
        <w:rPr>
          <w:noProof/>
        </w:rPr>
        <w:tab/>
      </w:r>
      <w:r>
        <w:rPr>
          <w:noProof/>
        </w:rPr>
        <w:fldChar w:fldCharType="begin" w:fldLock="1"/>
      </w:r>
      <w:r>
        <w:rPr>
          <w:noProof/>
        </w:rPr>
        <w:instrText xml:space="preserve"> PAGEREF _Toc153625282 \h </w:instrText>
      </w:r>
      <w:r>
        <w:rPr>
          <w:noProof/>
        </w:rPr>
      </w:r>
      <w:r>
        <w:rPr>
          <w:noProof/>
        </w:rPr>
        <w:fldChar w:fldCharType="separate"/>
      </w:r>
      <w:r>
        <w:rPr>
          <w:noProof/>
        </w:rPr>
        <w:t>140</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5.4.3A.1</w:t>
      </w:r>
      <w:r w:rsidRPr="00DD140B">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_Toc153625283 \h </w:instrText>
      </w:r>
      <w:r>
        <w:rPr>
          <w:noProof/>
        </w:rPr>
      </w:r>
      <w:r>
        <w:rPr>
          <w:noProof/>
        </w:rPr>
        <w:fldChar w:fldCharType="separate"/>
      </w:r>
      <w:r>
        <w:rPr>
          <w:noProof/>
        </w:rPr>
        <w:t>140</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5.4.3A.2</w:t>
      </w:r>
      <w:r w:rsidRPr="00DD140B">
        <w:rPr>
          <w:rFonts w:ascii="Calibri" w:eastAsia="Malgun Gothic" w:hAnsi="Calibri"/>
          <w:noProof/>
          <w:sz w:val="22"/>
          <w:szCs w:val="22"/>
          <w:lang w:eastAsia="ko-KR"/>
        </w:rPr>
        <w:tab/>
      </w:r>
      <w:r>
        <w:rPr>
          <w:noProof/>
        </w:rPr>
        <w:t>BDT Warning Notification</w:t>
      </w:r>
      <w:r>
        <w:rPr>
          <w:noProof/>
        </w:rPr>
        <w:tab/>
      </w:r>
      <w:r>
        <w:rPr>
          <w:noProof/>
        </w:rPr>
        <w:fldChar w:fldCharType="begin" w:fldLock="1"/>
      </w:r>
      <w:r>
        <w:rPr>
          <w:noProof/>
        </w:rPr>
        <w:instrText xml:space="preserve"> PAGEREF _Toc153625284 \h </w:instrText>
      </w:r>
      <w:r>
        <w:rPr>
          <w:noProof/>
        </w:rPr>
      </w:r>
      <w:r>
        <w:rPr>
          <w:noProof/>
        </w:rPr>
        <w:fldChar w:fldCharType="separate"/>
      </w:r>
      <w:r>
        <w:rPr>
          <w:noProof/>
        </w:rPr>
        <w:t>141</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5.4.3A.2.1</w:t>
      </w:r>
      <w:r w:rsidRPr="00DD140B">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_Toc153625285 \h </w:instrText>
      </w:r>
      <w:r>
        <w:rPr>
          <w:noProof/>
        </w:rPr>
      </w:r>
      <w:r>
        <w:rPr>
          <w:noProof/>
        </w:rPr>
        <w:fldChar w:fldCharType="separate"/>
      </w:r>
      <w:r>
        <w:rPr>
          <w:noProof/>
        </w:rPr>
        <w:t>141</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5.4.3A.2.2</w:t>
      </w:r>
      <w:r w:rsidRPr="00DD140B">
        <w:rPr>
          <w:rFonts w:ascii="Calibri" w:eastAsia="Malgun Gothic" w:hAnsi="Calibri"/>
          <w:noProof/>
          <w:sz w:val="22"/>
          <w:szCs w:val="22"/>
          <w:lang w:eastAsia="ko-KR"/>
        </w:rPr>
        <w:tab/>
      </w:r>
      <w:r>
        <w:rPr>
          <w:noProof/>
        </w:rPr>
        <w:t>Target URI</w:t>
      </w:r>
      <w:r>
        <w:rPr>
          <w:noProof/>
        </w:rPr>
        <w:tab/>
      </w:r>
      <w:r>
        <w:rPr>
          <w:noProof/>
        </w:rPr>
        <w:fldChar w:fldCharType="begin" w:fldLock="1"/>
      </w:r>
      <w:r>
        <w:rPr>
          <w:noProof/>
        </w:rPr>
        <w:instrText xml:space="preserve"> PAGEREF _Toc153625286 \h </w:instrText>
      </w:r>
      <w:r>
        <w:rPr>
          <w:noProof/>
        </w:rPr>
      </w:r>
      <w:r>
        <w:rPr>
          <w:noProof/>
        </w:rPr>
        <w:fldChar w:fldCharType="separate"/>
      </w:r>
      <w:r>
        <w:rPr>
          <w:noProof/>
        </w:rPr>
        <w:t>141</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5.4.3A.2.3</w:t>
      </w:r>
      <w:r w:rsidRPr="00DD140B">
        <w:rPr>
          <w:rFonts w:ascii="Calibri" w:eastAsia="Malgun Gothic" w:hAnsi="Calibri"/>
          <w:noProof/>
          <w:sz w:val="22"/>
          <w:szCs w:val="22"/>
          <w:lang w:eastAsia="ko-KR"/>
        </w:rPr>
        <w:tab/>
      </w:r>
      <w:r>
        <w:rPr>
          <w:noProof/>
        </w:rPr>
        <w:t>Standard Methods</w:t>
      </w:r>
      <w:r>
        <w:rPr>
          <w:noProof/>
        </w:rPr>
        <w:tab/>
      </w:r>
      <w:r>
        <w:rPr>
          <w:noProof/>
        </w:rPr>
        <w:fldChar w:fldCharType="begin" w:fldLock="1"/>
      </w:r>
      <w:r>
        <w:rPr>
          <w:noProof/>
        </w:rPr>
        <w:instrText xml:space="preserve"> PAGEREF _Toc153625287 \h </w:instrText>
      </w:r>
      <w:r>
        <w:rPr>
          <w:noProof/>
        </w:rPr>
      </w:r>
      <w:r>
        <w:rPr>
          <w:noProof/>
        </w:rPr>
        <w:fldChar w:fldCharType="separate"/>
      </w:r>
      <w:r>
        <w:rPr>
          <w:noProof/>
        </w:rPr>
        <w:t>141</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5.4.3A.2.3.1</w:t>
      </w:r>
      <w:r w:rsidRPr="00DD140B">
        <w:rPr>
          <w:rFonts w:ascii="Calibri" w:eastAsia="Malgun Gothic" w:hAnsi="Calibri"/>
          <w:noProof/>
          <w:sz w:val="22"/>
          <w:szCs w:val="22"/>
          <w:lang w:eastAsia="ko-KR"/>
        </w:rPr>
        <w:tab/>
      </w:r>
      <w:r>
        <w:rPr>
          <w:noProof/>
        </w:rPr>
        <w:t>Notification via POST</w:t>
      </w:r>
      <w:r>
        <w:rPr>
          <w:noProof/>
        </w:rPr>
        <w:tab/>
      </w:r>
      <w:r>
        <w:rPr>
          <w:noProof/>
        </w:rPr>
        <w:fldChar w:fldCharType="begin" w:fldLock="1"/>
      </w:r>
      <w:r>
        <w:rPr>
          <w:noProof/>
        </w:rPr>
        <w:instrText xml:space="preserve"> PAGEREF _Toc153625288 \h </w:instrText>
      </w:r>
      <w:r>
        <w:rPr>
          <w:noProof/>
        </w:rPr>
      </w:r>
      <w:r>
        <w:rPr>
          <w:noProof/>
        </w:rPr>
        <w:fldChar w:fldCharType="separate"/>
      </w:r>
      <w:r>
        <w:rPr>
          <w:noProof/>
        </w:rPr>
        <w:t>141</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5.4.3A.2.3.2</w:t>
      </w:r>
      <w:r w:rsidRPr="00DD140B">
        <w:rPr>
          <w:rFonts w:ascii="Calibri" w:eastAsia="Malgun Gothic" w:hAnsi="Calibri"/>
          <w:noProof/>
          <w:sz w:val="22"/>
          <w:szCs w:val="22"/>
          <w:lang w:eastAsia="ko-KR"/>
        </w:rPr>
        <w:tab/>
      </w:r>
      <w:r>
        <w:rPr>
          <w:noProof/>
        </w:rPr>
        <w:t>Notification via Websocket</w:t>
      </w:r>
      <w:r>
        <w:rPr>
          <w:noProof/>
        </w:rPr>
        <w:tab/>
      </w:r>
      <w:r>
        <w:rPr>
          <w:noProof/>
        </w:rPr>
        <w:fldChar w:fldCharType="begin" w:fldLock="1"/>
      </w:r>
      <w:r>
        <w:rPr>
          <w:noProof/>
        </w:rPr>
        <w:instrText xml:space="preserve"> PAGEREF _Toc153625289 \h </w:instrText>
      </w:r>
      <w:r>
        <w:rPr>
          <w:noProof/>
        </w:rPr>
      </w:r>
      <w:r>
        <w:rPr>
          <w:noProof/>
        </w:rPr>
        <w:fldChar w:fldCharType="separate"/>
      </w:r>
      <w:r>
        <w:rPr>
          <w:noProof/>
        </w:rPr>
        <w:t>142</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5.4.4</w:t>
      </w:r>
      <w:r w:rsidRPr="00DD140B">
        <w:rPr>
          <w:rFonts w:ascii="Calibri" w:eastAsia="Malgun Gothic" w:hAnsi="Calibri"/>
          <w:noProof/>
          <w:sz w:val="22"/>
          <w:szCs w:val="22"/>
          <w:lang w:eastAsia="ko-KR"/>
        </w:rPr>
        <w:tab/>
      </w:r>
      <w:r>
        <w:rPr>
          <w:noProof/>
        </w:rPr>
        <w:t>Used Features</w:t>
      </w:r>
      <w:r>
        <w:rPr>
          <w:noProof/>
        </w:rPr>
        <w:tab/>
      </w:r>
      <w:r>
        <w:rPr>
          <w:noProof/>
        </w:rPr>
        <w:fldChar w:fldCharType="begin" w:fldLock="1"/>
      </w:r>
      <w:r>
        <w:rPr>
          <w:noProof/>
        </w:rPr>
        <w:instrText xml:space="preserve"> PAGEREF _Toc153625290 \h </w:instrText>
      </w:r>
      <w:r>
        <w:rPr>
          <w:noProof/>
        </w:rPr>
      </w:r>
      <w:r>
        <w:rPr>
          <w:noProof/>
        </w:rPr>
        <w:fldChar w:fldCharType="separate"/>
      </w:r>
      <w:r>
        <w:rPr>
          <w:noProof/>
        </w:rPr>
        <w:t>142</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5.4.5</w:t>
      </w:r>
      <w:r w:rsidRPr="00DD140B">
        <w:rPr>
          <w:rFonts w:ascii="Calibri" w:eastAsia="Malgun Gothic" w:hAnsi="Calibri"/>
          <w:noProof/>
          <w:sz w:val="22"/>
          <w:szCs w:val="22"/>
          <w:lang w:eastAsia="ko-KR"/>
        </w:rPr>
        <w:tab/>
      </w:r>
      <w:r>
        <w:rPr>
          <w:noProof/>
        </w:rPr>
        <w:t>Error handling</w:t>
      </w:r>
      <w:r>
        <w:rPr>
          <w:noProof/>
        </w:rPr>
        <w:tab/>
      </w:r>
      <w:r>
        <w:rPr>
          <w:noProof/>
        </w:rPr>
        <w:fldChar w:fldCharType="begin" w:fldLock="1"/>
      </w:r>
      <w:r>
        <w:rPr>
          <w:noProof/>
        </w:rPr>
        <w:instrText xml:space="preserve"> PAGEREF _Toc153625291 \h </w:instrText>
      </w:r>
      <w:r>
        <w:rPr>
          <w:noProof/>
        </w:rPr>
      </w:r>
      <w:r>
        <w:rPr>
          <w:noProof/>
        </w:rPr>
        <w:fldChar w:fldCharType="separate"/>
      </w:r>
      <w:r>
        <w:rPr>
          <w:noProof/>
        </w:rPr>
        <w:t>142</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5.4.5.1</w:t>
      </w:r>
      <w:r w:rsidRPr="00DD140B">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_Toc153625292 \h </w:instrText>
      </w:r>
      <w:r>
        <w:rPr>
          <w:noProof/>
        </w:rPr>
      </w:r>
      <w:r>
        <w:rPr>
          <w:noProof/>
        </w:rPr>
        <w:fldChar w:fldCharType="separate"/>
      </w:r>
      <w:r>
        <w:rPr>
          <w:noProof/>
        </w:rPr>
        <w:t>142</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5.4.5.2</w:t>
      </w:r>
      <w:r w:rsidRPr="00DD140B">
        <w:rPr>
          <w:rFonts w:ascii="Calibri" w:eastAsia="Malgun Gothic" w:hAnsi="Calibri"/>
          <w:noProof/>
          <w:sz w:val="22"/>
          <w:szCs w:val="22"/>
          <w:lang w:eastAsia="ko-KR"/>
        </w:rPr>
        <w:tab/>
      </w:r>
      <w:r>
        <w:rPr>
          <w:noProof/>
        </w:rPr>
        <w:t>Protocol Errors</w:t>
      </w:r>
      <w:r>
        <w:rPr>
          <w:noProof/>
        </w:rPr>
        <w:tab/>
      </w:r>
      <w:r>
        <w:rPr>
          <w:noProof/>
        </w:rPr>
        <w:fldChar w:fldCharType="begin" w:fldLock="1"/>
      </w:r>
      <w:r>
        <w:rPr>
          <w:noProof/>
        </w:rPr>
        <w:instrText xml:space="preserve"> PAGEREF _Toc153625293 \h </w:instrText>
      </w:r>
      <w:r>
        <w:rPr>
          <w:noProof/>
        </w:rPr>
      </w:r>
      <w:r>
        <w:rPr>
          <w:noProof/>
        </w:rPr>
        <w:fldChar w:fldCharType="separate"/>
      </w:r>
      <w:r>
        <w:rPr>
          <w:noProof/>
        </w:rPr>
        <w:t>142</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5.4.5.3</w:t>
      </w:r>
      <w:r w:rsidRPr="00DD140B">
        <w:rPr>
          <w:rFonts w:ascii="Calibri" w:eastAsia="Malgun Gothic" w:hAnsi="Calibri"/>
          <w:noProof/>
          <w:sz w:val="22"/>
          <w:szCs w:val="22"/>
          <w:lang w:eastAsia="ko-KR"/>
        </w:rPr>
        <w:tab/>
      </w:r>
      <w:r>
        <w:rPr>
          <w:noProof/>
        </w:rPr>
        <w:t>Application Errors</w:t>
      </w:r>
      <w:r>
        <w:rPr>
          <w:noProof/>
        </w:rPr>
        <w:tab/>
      </w:r>
      <w:r>
        <w:rPr>
          <w:noProof/>
        </w:rPr>
        <w:fldChar w:fldCharType="begin" w:fldLock="1"/>
      </w:r>
      <w:r>
        <w:rPr>
          <w:noProof/>
        </w:rPr>
        <w:instrText xml:space="preserve"> PAGEREF _Toc153625294 \h </w:instrText>
      </w:r>
      <w:r>
        <w:rPr>
          <w:noProof/>
        </w:rPr>
      </w:r>
      <w:r>
        <w:rPr>
          <w:noProof/>
        </w:rPr>
        <w:fldChar w:fldCharType="separate"/>
      </w:r>
      <w:r>
        <w:rPr>
          <w:noProof/>
        </w:rPr>
        <w:t>142</w:t>
      </w:r>
      <w:r>
        <w:rPr>
          <w:noProof/>
        </w:rPr>
        <w:fldChar w:fldCharType="end"/>
      </w:r>
    </w:p>
    <w:p w:rsidR="007D56C6" w:rsidRPr="00DD140B" w:rsidRDefault="007D56C6">
      <w:pPr>
        <w:pStyle w:val="TOC2"/>
        <w:rPr>
          <w:rFonts w:ascii="Calibri" w:eastAsia="Malgun Gothic" w:hAnsi="Calibri"/>
          <w:noProof/>
          <w:sz w:val="22"/>
          <w:szCs w:val="22"/>
          <w:lang w:eastAsia="ko-KR"/>
        </w:rPr>
      </w:pPr>
      <w:r>
        <w:rPr>
          <w:noProof/>
        </w:rPr>
        <w:t>5.5</w:t>
      </w:r>
      <w:r w:rsidRPr="00DD140B">
        <w:rPr>
          <w:rFonts w:ascii="Calibri" w:eastAsia="Malgun Gothic" w:hAnsi="Calibri"/>
          <w:noProof/>
          <w:sz w:val="22"/>
          <w:szCs w:val="22"/>
          <w:lang w:eastAsia="ko-KR"/>
        </w:rPr>
        <w:tab/>
      </w:r>
      <w:r>
        <w:rPr>
          <w:noProof/>
        </w:rPr>
        <w:t>ChargeableParty API</w:t>
      </w:r>
      <w:r>
        <w:rPr>
          <w:noProof/>
        </w:rPr>
        <w:tab/>
      </w:r>
      <w:r>
        <w:rPr>
          <w:noProof/>
        </w:rPr>
        <w:fldChar w:fldCharType="begin" w:fldLock="1"/>
      </w:r>
      <w:r>
        <w:rPr>
          <w:noProof/>
        </w:rPr>
        <w:instrText xml:space="preserve"> PAGEREF _Toc153625295 \h </w:instrText>
      </w:r>
      <w:r>
        <w:rPr>
          <w:noProof/>
        </w:rPr>
      </w:r>
      <w:r>
        <w:rPr>
          <w:noProof/>
        </w:rPr>
        <w:fldChar w:fldCharType="separate"/>
      </w:r>
      <w:r>
        <w:rPr>
          <w:noProof/>
        </w:rPr>
        <w:t>143</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5.5.1</w:t>
      </w:r>
      <w:r w:rsidRPr="00DD140B">
        <w:rPr>
          <w:rFonts w:ascii="Calibri" w:eastAsia="Malgun Gothic" w:hAnsi="Calibri"/>
          <w:noProof/>
          <w:sz w:val="22"/>
          <w:szCs w:val="22"/>
          <w:lang w:eastAsia="ko-KR"/>
        </w:rPr>
        <w:tab/>
      </w:r>
      <w:r>
        <w:rPr>
          <w:noProof/>
        </w:rPr>
        <w:t>Overview</w:t>
      </w:r>
      <w:r>
        <w:rPr>
          <w:noProof/>
        </w:rPr>
        <w:tab/>
      </w:r>
      <w:r>
        <w:rPr>
          <w:noProof/>
        </w:rPr>
        <w:fldChar w:fldCharType="begin" w:fldLock="1"/>
      </w:r>
      <w:r>
        <w:rPr>
          <w:noProof/>
        </w:rPr>
        <w:instrText xml:space="preserve"> PAGEREF _Toc153625296 \h </w:instrText>
      </w:r>
      <w:r>
        <w:rPr>
          <w:noProof/>
        </w:rPr>
      </w:r>
      <w:r>
        <w:rPr>
          <w:noProof/>
        </w:rPr>
        <w:fldChar w:fldCharType="separate"/>
      </w:r>
      <w:r>
        <w:rPr>
          <w:noProof/>
        </w:rPr>
        <w:t>143</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5.5.2</w:t>
      </w:r>
      <w:r w:rsidRPr="00DD140B">
        <w:rPr>
          <w:rFonts w:ascii="Calibri" w:eastAsia="Malgun Gothic" w:hAnsi="Calibri"/>
          <w:noProof/>
          <w:sz w:val="22"/>
          <w:szCs w:val="22"/>
          <w:lang w:eastAsia="ko-KR"/>
        </w:rPr>
        <w:tab/>
      </w:r>
      <w:r>
        <w:rPr>
          <w:noProof/>
        </w:rPr>
        <w:t>Data model</w:t>
      </w:r>
      <w:r>
        <w:rPr>
          <w:noProof/>
        </w:rPr>
        <w:tab/>
      </w:r>
      <w:r>
        <w:rPr>
          <w:noProof/>
        </w:rPr>
        <w:fldChar w:fldCharType="begin" w:fldLock="1"/>
      </w:r>
      <w:r>
        <w:rPr>
          <w:noProof/>
        </w:rPr>
        <w:instrText xml:space="preserve"> PAGEREF _Toc153625297 \h </w:instrText>
      </w:r>
      <w:r>
        <w:rPr>
          <w:noProof/>
        </w:rPr>
      </w:r>
      <w:r>
        <w:rPr>
          <w:noProof/>
        </w:rPr>
        <w:fldChar w:fldCharType="separate"/>
      </w:r>
      <w:r>
        <w:rPr>
          <w:noProof/>
        </w:rPr>
        <w:t>143</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5.5.2.1</w:t>
      </w:r>
      <w:r w:rsidRPr="00DD140B">
        <w:rPr>
          <w:rFonts w:ascii="Calibri" w:eastAsia="Malgun Gothic" w:hAnsi="Calibri"/>
          <w:noProof/>
          <w:sz w:val="22"/>
          <w:szCs w:val="22"/>
          <w:lang w:eastAsia="ko-KR"/>
        </w:rPr>
        <w:tab/>
      </w:r>
      <w:r>
        <w:rPr>
          <w:noProof/>
        </w:rPr>
        <w:t>Resource data types</w:t>
      </w:r>
      <w:r>
        <w:rPr>
          <w:noProof/>
        </w:rPr>
        <w:tab/>
      </w:r>
      <w:r>
        <w:rPr>
          <w:noProof/>
        </w:rPr>
        <w:fldChar w:fldCharType="begin" w:fldLock="1"/>
      </w:r>
      <w:r>
        <w:rPr>
          <w:noProof/>
        </w:rPr>
        <w:instrText xml:space="preserve"> PAGEREF _Toc153625298 \h </w:instrText>
      </w:r>
      <w:r>
        <w:rPr>
          <w:noProof/>
        </w:rPr>
      </w:r>
      <w:r>
        <w:rPr>
          <w:noProof/>
        </w:rPr>
        <w:fldChar w:fldCharType="separate"/>
      </w:r>
      <w:r>
        <w:rPr>
          <w:noProof/>
        </w:rPr>
        <w:t>143</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5.5.2.1.1</w:t>
      </w:r>
      <w:r w:rsidRPr="00DD140B">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_Toc153625299 \h </w:instrText>
      </w:r>
      <w:r>
        <w:rPr>
          <w:noProof/>
        </w:rPr>
      </w:r>
      <w:r>
        <w:rPr>
          <w:noProof/>
        </w:rPr>
        <w:fldChar w:fldCharType="separate"/>
      </w:r>
      <w:r>
        <w:rPr>
          <w:noProof/>
        </w:rPr>
        <w:t>143</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5.5.2.1.2</w:t>
      </w:r>
      <w:r w:rsidRPr="00DD140B">
        <w:rPr>
          <w:rFonts w:ascii="Calibri" w:eastAsia="Malgun Gothic" w:hAnsi="Calibri"/>
          <w:noProof/>
          <w:sz w:val="22"/>
          <w:szCs w:val="22"/>
          <w:lang w:eastAsia="ko-KR"/>
        </w:rPr>
        <w:tab/>
      </w:r>
      <w:r>
        <w:rPr>
          <w:noProof/>
        </w:rPr>
        <w:t>Type: ChargeableParty</w:t>
      </w:r>
      <w:r>
        <w:rPr>
          <w:noProof/>
        </w:rPr>
        <w:tab/>
      </w:r>
      <w:r>
        <w:rPr>
          <w:noProof/>
        </w:rPr>
        <w:fldChar w:fldCharType="begin" w:fldLock="1"/>
      </w:r>
      <w:r>
        <w:rPr>
          <w:noProof/>
        </w:rPr>
        <w:instrText xml:space="preserve"> PAGEREF _Toc153625300 \h </w:instrText>
      </w:r>
      <w:r>
        <w:rPr>
          <w:noProof/>
        </w:rPr>
      </w:r>
      <w:r>
        <w:rPr>
          <w:noProof/>
        </w:rPr>
        <w:fldChar w:fldCharType="separate"/>
      </w:r>
      <w:r>
        <w:rPr>
          <w:noProof/>
        </w:rPr>
        <w:t>143</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5.5.2.1.3</w:t>
      </w:r>
      <w:r w:rsidRPr="00DD140B">
        <w:rPr>
          <w:rFonts w:ascii="Calibri" w:eastAsia="Malgun Gothic" w:hAnsi="Calibri"/>
          <w:noProof/>
          <w:sz w:val="22"/>
          <w:szCs w:val="22"/>
          <w:lang w:eastAsia="ko-KR"/>
        </w:rPr>
        <w:tab/>
      </w:r>
      <w:r>
        <w:rPr>
          <w:noProof/>
        </w:rPr>
        <w:t>Type: ChargeablePartyPatch</w:t>
      </w:r>
      <w:r>
        <w:rPr>
          <w:noProof/>
        </w:rPr>
        <w:tab/>
      </w:r>
      <w:r>
        <w:rPr>
          <w:noProof/>
        </w:rPr>
        <w:fldChar w:fldCharType="begin" w:fldLock="1"/>
      </w:r>
      <w:r>
        <w:rPr>
          <w:noProof/>
        </w:rPr>
        <w:instrText xml:space="preserve"> PAGEREF _Toc153625301 \h </w:instrText>
      </w:r>
      <w:r>
        <w:rPr>
          <w:noProof/>
        </w:rPr>
      </w:r>
      <w:r>
        <w:rPr>
          <w:noProof/>
        </w:rPr>
        <w:fldChar w:fldCharType="separate"/>
      </w:r>
      <w:r>
        <w:rPr>
          <w:noProof/>
        </w:rPr>
        <w:t>145</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5.5.3</w:t>
      </w:r>
      <w:r w:rsidRPr="00DD140B">
        <w:rPr>
          <w:rFonts w:ascii="Calibri" w:eastAsia="Malgun Gothic" w:hAnsi="Calibri"/>
          <w:noProof/>
          <w:sz w:val="22"/>
          <w:szCs w:val="22"/>
          <w:lang w:eastAsia="ko-KR"/>
        </w:rPr>
        <w:tab/>
      </w:r>
      <w:r>
        <w:rPr>
          <w:noProof/>
        </w:rPr>
        <w:t>Resource structure</w:t>
      </w:r>
      <w:r>
        <w:rPr>
          <w:noProof/>
        </w:rPr>
        <w:tab/>
      </w:r>
      <w:r>
        <w:rPr>
          <w:noProof/>
        </w:rPr>
        <w:fldChar w:fldCharType="begin" w:fldLock="1"/>
      </w:r>
      <w:r>
        <w:rPr>
          <w:noProof/>
        </w:rPr>
        <w:instrText xml:space="preserve"> PAGEREF _Toc153625302 \h </w:instrText>
      </w:r>
      <w:r>
        <w:rPr>
          <w:noProof/>
        </w:rPr>
      </w:r>
      <w:r>
        <w:rPr>
          <w:noProof/>
        </w:rPr>
        <w:fldChar w:fldCharType="separate"/>
      </w:r>
      <w:r>
        <w:rPr>
          <w:noProof/>
        </w:rPr>
        <w:t>145</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5.5.3.1</w:t>
      </w:r>
      <w:r w:rsidRPr="00DD140B">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_Toc153625303 \h </w:instrText>
      </w:r>
      <w:r>
        <w:rPr>
          <w:noProof/>
        </w:rPr>
      </w:r>
      <w:r>
        <w:rPr>
          <w:noProof/>
        </w:rPr>
        <w:fldChar w:fldCharType="separate"/>
      </w:r>
      <w:r>
        <w:rPr>
          <w:noProof/>
        </w:rPr>
        <w:t>145</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5.5.3.2</w:t>
      </w:r>
      <w:r w:rsidRPr="00DD140B">
        <w:rPr>
          <w:rFonts w:ascii="Calibri" w:eastAsia="Malgun Gothic" w:hAnsi="Calibri"/>
          <w:noProof/>
          <w:sz w:val="22"/>
          <w:szCs w:val="22"/>
          <w:lang w:eastAsia="ko-KR"/>
        </w:rPr>
        <w:tab/>
      </w:r>
      <w:r>
        <w:rPr>
          <w:noProof/>
        </w:rPr>
        <w:t>Resource: Chargeable Party Transactions</w:t>
      </w:r>
      <w:r>
        <w:rPr>
          <w:noProof/>
        </w:rPr>
        <w:tab/>
      </w:r>
      <w:r>
        <w:rPr>
          <w:noProof/>
        </w:rPr>
        <w:fldChar w:fldCharType="begin" w:fldLock="1"/>
      </w:r>
      <w:r>
        <w:rPr>
          <w:noProof/>
        </w:rPr>
        <w:instrText xml:space="preserve"> PAGEREF _Toc153625304 \h </w:instrText>
      </w:r>
      <w:r>
        <w:rPr>
          <w:noProof/>
        </w:rPr>
      </w:r>
      <w:r>
        <w:rPr>
          <w:noProof/>
        </w:rPr>
        <w:fldChar w:fldCharType="separate"/>
      </w:r>
      <w:r>
        <w:rPr>
          <w:noProof/>
        </w:rPr>
        <w:t>146</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5.5.3.2.1</w:t>
      </w:r>
      <w:r w:rsidRPr="00DD140B">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_Toc153625305 \h </w:instrText>
      </w:r>
      <w:r>
        <w:rPr>
          <w:noProof/>
        </w:rPr>
      </w:r>
      <w:r>
        <w:rPr>
          <w:noProof/>
        </w:rPr>
        <w:fldChar w:fldCharType="separate"/>
      </w:r>
      <w:r>
        <w:rPr>
          <w:noProof/>
        </w:rPr>
        <w:t>146</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5.5.3.2.2</w:t>
      </w:r>
      <w:r w:rsidRPr="00DD140B">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_Toc153625306 \h </w:instrText>
      </w:r>
      <w:r>
        <w:rPr>
          <w:noProof/>
        </w:rPr>
      </w:r>
      <w:r>
        <w:rPr>
          <w:noProof/>
        </w:rPr>
        <w:fldChar w:fldCharType="separate"/>
      </w:r>
      <w:r>
        <w:rPr>
          <w:noProof/>
        </w:rPr>
        <w:t>146</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5.5.3.2.3</w:t>
      </w:r>
      <w:r w:rsidRPr="00DD140B">
        <w:rPr>
          <w:rFonts w:ascii="Calibri" w:eastAsia="Malgun Gothic" w:hAnsi="Calibri"/>
          <w:noProof/>
          <w:sz w:val="22"/>
          <w:szCs w:val="22"/>
          <w:lang w:eastAsia="ko-KR"/>
        </w:rPr>
        <w:tab/>
      </w:r>
      <w:r>
        <w:rPr>
          <w:noProof/>
        </w:rPr>
        <w:t>Resource methods</w:t>
      </w:r>
      <w:r>
        <w:rPr>
          <w:noProof/>
        </w:rPr>
        <w:tab/>
      </w:r>
      <w:r>
        <w:rPr>
          <w:noProof/>
        </w:rPr>
        <w:fldChar w:fldCharType="begin" w:fldLock="1"/>
      </w:r>
      <w:r>
        <w:rPr>
          <w:noProof/>
        </w:rPr>
        <w:instrText xml:space="preserve"> PAGEREF _Toc153625307 \h </w:instrText>
      </w:r>
      <w:r>
        <w:rPr>
          <w:noProof/>
        </w:rPr>
      </w:r>
      <w:r>
        <w:rPr>
          <w:noProof/>
        </w:rPr>
        <w:fldChar w:fldCharType="separate"/>
      </w:r>
      <w:r>
        <w:rPr>
          <w:noProof/>
        </w:rPr>
        <w:t>146</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5.5.3.2.3.1</w:t>
      </w:r>
      <w:r w:rsidRPr="00DD140B">
        <w:rPr>
          <w:rFonts w:ascii="Calibri" w:eastAsia="Malgun Gothic" w:hAnsi="Calibri"/>
          <w:noProof/>
          <w:sz w:val="22"/>
          <w:szCs w:val="22"/>
          <w:lang w:eastAsia="ko-KR"/>
        </w:rPr>
        <w:tab/>
      </w:r>
      <w:r>
        <w:rPr>
          <w:noProof/>
        </w:rPr>
        <w:t>GET</w:t>
      </w:r>
      <w:r>
        <w:rPr>
          <w:noProof/>
        </w:rPr>
        <w:tab/>
      </w:r>
      <w:r>
        <w:rPr>
          <w:noProof/>
        </w:rPr>
        <w:fldChar w:fldCharType="begin" w:fldLock="1"/>
      </w:r>
      <w:r>
        <w:rPr>
          <w:noProof/>
        </w:rPr>
        <w:instrText xml:space="preserve"> PAGEREF _Toc153625308 \h </w:instrText>
      </w:r>
      <w:r>
        <w:rPr>
          <w:noProof/>
        </w:rPr>
      </w:r>
      <w:r>
        <w:rPr>
          <w:noProof/>
        </w:rPr>
        <w:fldChar w:fldCharType="separate"/>
      </w:r>
      <w:r>
        <w:rPr>
          <w:noProof/>
        </w:rPr>
        <w:t>146</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5.5.3.2.3.2</w:t>
      </w:r>
      <w:r w:rsidRPr="00DD140B">
        <w:rPr>
          <w:rFonts w:ascii="Calibri" w:eastAsia="Malgun Gothic" w:hAnsi="Calibri"/>
          <w:noProof/>
          <w:sz w:val="22"/>
          <w:szCs w:val="22"/>
          <w:lang w:eastAsia="ko-KR"/>
        </w:rPr>
        <w:tab/>
      </w:r>
      <w:r>
        <w:rPr>
          <w:noProof/>
        </w:rPr>
        <w:t>PUT</w:t>
      </w:r>
      <w:r>
        <w:rPr>
          <w:noProof/>
        </w:rPr>
        <w:tab/>
      </w:r>
      <w:r>
        <w:rPr>
          <w:noProof/>
        </w:rPr>
        <w:fldChar w:fldCharType="begin" w:fldLock="1"/>
      </w:r>
      <w:r>
        <w:rPr>
          <w:noProof/>
        </w:rPr>
        <w:instrText xml:space="preserve"> PAGEREF _Toc153625309 \h </w:instrText>
      </w:r>
      <w:r>
        <w:rPr>
          <w:noProof/>
        </w:rPr>
      </w:r>
      <w:r>
        <w:rPr>
          <w:noProof/>
        </w:rPr>
        <w:fldChar w:fldCharType="separate"/>
      </w:r>
      <w:r>
        <w:rPr>
          <w:noProof/>
        </w:rPr>
        <w:t>147</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5.5.3.2.3.3</w:t>
      </w:r>
      <w:r w:rsidRPr="00DD140B">
        <w:rPr>
          <w:rFonts w:ascii="Calibri" w:eastAsia="Malgun Gothic" w:hAnsi="Calibri"/>
          <w:noProof/>
          <w:sz w:val="22"/>
          <w:szCs w:val="22"/>
          <w:lang w:eastAsia="ko-KR"/>
        </w:rPr>
        <w:tab/>
      </w:r>
      <w:r>
        <w:rPr>
          <w:noProof/>
        </w:rPr>
        <w:t>PATCH</w:t>
      </w:r>
      <w:r>
        <w:rPr>
          <w:noProof/>
        </w:rPr>
        <w:tab/>
      </w:r>
      <w:r>
        <w:rPr>
          <w:noProof/>
        </w:rPr>
        <w:fldChar w:fldCharType="begin" w:fldLock="1"/>
      </w:r>
      <w:r>
        <w:rPr>
          <w:noProof/>
        </w:rPr>
        <w:instrText xml:space="preserve"> PAGEREF _Toc153625310 \h </w:instrText>
      </w:r>
      <w:r>
        <w:rPr>
          <w:noProof/>
        </w:rPr>
      </w:r>
      <w:r>
        <w:rPr>
          <w:noProof/>
        </w:rPr>
        <w:fldChar w:fldCharType="separate"/>
      </w:r>
      <w:r>
        <w:rPr>
          <w:noProof/>
        </w:rPr>
        <w:t>147</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5.5.3.2.3.4</w:t>
      </w:r>
      <w:r w:rsidRPr="00DD140B">
        <w:rPr>
          <w:rFonts w:ascii="Calibri" w:eastAsia="Malgun Gothic" w:hAnsi="Calibri"/>
          <w:noProof/>
          <w:sz w:val="22"/>
          <w:szCs w:val="22"/>
          <w:lang w:eastAsia="ko-KR"/>
        </w:rPr>
        <w:tab/>
      </w:r>
      <w:r>
        <w:rPr>
          <w:noProof/>
        </w:rPr>
        <w:t>POST</w:t>
      </w:r>
      <w:r>
        <w:rPr>
          <w:noProof/>
        </w:rPr>
        <w:tab/>
      </w:r>
      <w:r>
        <w:rPr>
          <w:noProof/>
        </w:rPr>
        <w:fldChar w:fldCharType="begin" w:fldLock="1"/>
      </w:r>
      <w:r>
        <w:rPr>
          <w:noProof/>
        </w:rPr>
        <w:instrText xml:space="preserve"> PAGEREF _Toc153625311 \h </w:instrText>
      </w:r>
      <w:r>
        <w:rPr>
          <w:noProof/>
        </w:rPr>
      </w:r>
      <w:r>
        <w:rPr>
          <w:noProof/>
        </w:rPr>
        <w:fldChar w:fldCharType="separate"/>
      </w:r>
      <w:r>
        <w:rPr>
          <w:noProof/>
        </w:rPr>
        <w:t>147</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5.5.3.2.3.5</w:t>
      </w:r>
      <w:r w:rsidRPr="00DD140B">
        <w:rPr>
          <w:rFonts w:ascii="Calibri" w:eastAsia="Malgun Gothic" w:hAnsi="Calibri"/>
          <w:noProof/>
          <w:sz w:val="22"/>
          <w:szCs w:val="22"/>
          <w:lang w:eastAsia="ko-KR"/>
        </w:rPr>
        <w:tab/>
      </w:r>
      <w:r>
        <w:rPr>
          <w:noProof/>
        </w:rPr>
        <w:t>DELETE</w:t>
      </w:r>
      <w:r>
        <w:rPr>
          <w:noProof/>
        </w:rPr>
        <w:tab/>
      </w:r>
      <w:r>
        <w:rPr>
          <w:noProof/>
        </w:rPr>
        <w:fldChar w:fldCharType="begin" w:fldLock="1"/>
      </w:r>
      <w:r>
        <w:rPr>
          <w:noProof/>
        </w:rPr>
        <w:instrText xml:space="preserve"> PAGEREF _Toc153625312 \h </w:instrText>
      </w:r>
      <w:r>
        <w:rPr>
          <w:noProof/>
        </w:rPr>
      </w:r>
      <w:r>
        <w:rPr>
          <w:noProof/>
        </w:rPr>
        <w:fldChar w:fldCharType="separate"/>
      </w:r>
      <w:r>
        <w:rPr>
          <w:noProof/>
        </w:rPr>
        <w:t>148</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5.5.3.3</w:t>
      </w:r>
      <w:r w:rsidRPr="00DD140B">
        <w:rPr>
          <w:rFonts w:ascii="Calibri" w:eastAsia="Malgun Gothic" w:hAnsi="Calibri"/>
          <w:noProof/>
          <w:sz w:val="22"/>
          <w:szCs w:val="22"/>
          <w:lang w:eastAsia="ko-KR"/>
        </w:rPr>
        <w:tab/>
      </w:r>
      <w:r>
        <w:rPr>
          <w:noProof/>
        </w:rPr>
        <w:t>Resource: Individual Chargeable Party Transaction</w:t>
      </w:r>
      <w:r>
        <w:rPr>
          <w:noProof/>
        </w:rPr>
        <w:tab/>
      </w:r>
      <w:r>
        <w:rPr>
          <w:noProof/>
        </w:rPr>
        <w:fldChar w:fldCharType="begin" w:fldLock="1"/>
      </w:r>
      <w:r>
        <w:rPr>
          <w:noProof/>
        </w:rPr>
        <w:instrText xml:space="preserve"> PAGEREF _Toc153625313 \h </w:instrText>
      </w:r>
      <w:r>
        <w:rPr>
          <w:noProof/>
        </w:rPr>
      </w:r>
      <w:r>
        <w:rPr>
          <w:noProof/>
        </w:rPr>
        <w:fldChar w:fldCharType="separate"/>
      </w:r>
      <w:r>
        <w:rPr>
          <w:noProof/>
        </w:rPr>
        <w:t>148</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5.5.3.3.1</w:t>
      </w:r>
      <w:r w:rsidRPr="00DD140B">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_Toc153625314 \h </w:instrText>
      </w:r>
      <w:r>
        <w:rPr>
          <w:noProof/>
        </w:rPr>
      </w:r>
      <w:r>
        <w:rPr>
          <w:noProof/>
        </w:rPr>
        <w:fldChar w:fldCharType="separate"/>
      </w:r>
      <w:r>
        <w:rPr>
          <w:noProof/>
        </w:rPr>
        <w:t>148</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5.5.3.3.2</w:t>
      </w:r>
      <w:r w:rsidRPr="00DD140B">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_Toc153625315 \h </w:instrText>
      </w:r>
      <w:r>
        <w:rPr>
          <w:noProof/>
        </w:rPr>
      </w:r>
      <w:r>
        <w:rPr>
          <w:noProof/>
        </w:rPr>
        <w:fldChar w:fldCharType="separate"/>
      </w:r>
      <w:r>
        <w:rPr>
          <w:noProof/>
        </w:rPr>
        <w:t>148</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5.5.3.3.3</w:t>
      </w:r>
      <w:r w:rsidRPr="00DD140B">
        <w:rPr>
          <w:rFonts w:ascii="Calibri" w:eastAsia="Malgun Gothic" w:hAnsi="Calibri"/>
          <w:noProof/>
          <w:sz w:val="22"/>
          <w:szCs w:val="22"/>
          <w:lang w:eastAsia="ko-KR"/>
        </w:rPr>
        <w:tab/>
      </w:r>
      <w:r>
        <w:rPr>
          <w:noProof/>
        </w:rPr>
        <w:t>Resource methods</w:t>
      </w:r>
      <w:r>
        <w:rPr>
          <w:noProof/>
        </w:rPr>
        <w:tab/>
      </w:r>
      <w:r>
        <w:rPr>
          <w:noProof/>
        </w:rPr>
        <w:fldChar w:fldCharType="begin" w:fldLock="1"/>
      </w:r>
      <w:r>
        <w:rPr>
          <w:noProof/>
        </w:rPr>
        <w:instrText xml:space="preserve"> PAGEREF _Toc153625316 \h </w:instrText>
      </w:r>
      <w:r>
        <w:rPr>
          <w:noProof/>
        </w:rPr>
      </w:r>
      <w:r>
        <w:rPr>
          <w:noProof/>
        </w:rPr>
        <w:fldChar w:fldCharType="separate"/>
      </w:r>
      <w:r>
        <w:rPr>
          <w:noProof/>
        </w:rPr>
        <w:t>148</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5.5.3.3.3.1</w:t>
      </w:r>
      <w:r w:rsidRPr="00DD140B">
        <w:rPr>
          <w:rFonts w:ascii="Calibri" w:eastAsia="Malgun Gothic" w:hAnsi="Calibri"/>
          <w:noProof/>
          <w:sz w:val="22"/>
          <w:szCs w:val="22"/>
          <w:lang w:eastAsia="ko-KR"/>
        </w:rPr>
        <w:tab/>
      </w:r>
      <w:r>
        <w:rPr>
          <w:noProof/>
        </w:rPr>
        <w:t>GET</w:t>
      </w:r>
      <w:r>
        <w:rPr>
          <w:noProof/>
        </w:rPr>
        <w:tab/>
      </w:r>
      <w:r>
        <w:rPr>
          <w:noProof/>
        </w:rPr>
        <w:fldChar w:fldCharType="begin" w:fldLock="1"/>
      </w:r>
      <w:r>
        <w:rPr>
          <w:noProof/>
        </w:rPr>
        <w:instrText xml:space="preserve"> PAGEREF _Toc153625317 \h </w:instrText>
      </w:r>
      <w:r>
        <w:rPr>
          <w:noProof/>
        </w:rPr>
      </w:r>
      <w:r>
        <w:rPr>
          <w:noProof/>
        </w:rPr>
        <w:fldChar w:fldCharType="separate"/>
      </w:r>
      <w:r>
        <w:rPr>
          <w:noProof/>
        </w:rPr>
        <w:t>148</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5.5.3.3.3.2</w:t>
      </w:r>
      <w:r w:rsidRPr="00DD140B">
        <w:rPr>
          <w:rFonts w:ascii="Calibri" w:eastAsia="Malgun Gothic" w:hAnsi="Calibri"/>
          <w:noProof/>
          <w:sz w:val="22"/>
          <w:szCs w:val="22"/>
          <w:lang w:eastAsia="ko-KR"/>
        </w:rPr>
        <w:tab/>
      </w:r>
      <w:r>
        <w:rPr>
          <w:noProof/>
        </w:rPr>
        <w:t>PUT</w:t>
      </w:r>
      <w:r>
        <w:rPr>
          <w:noProof/>
        </w:rPr>
        <w:tab/>
      </w:r>
      <w:r>
        <w:rPr>
          <w:noProof/>
        </w:rPr>
        <w:fldChar w:fldCharType="begin" w:fldLock="1"/>
      </w:r>
      <w:r>
        <w:rPr>
          <w:noProof/>
        </w:rPr>
        <w:instrText xml:space="preserve"> PAGEREF _Toc153625318 \h </w:instrText>
      </w:r>
      <w:r>
        <w:rPr>
          <w:noProof/>
        </w:rPr>
      </w:r>
      <w:r>
        <w:rPr>
          <w:noProof/>
        </w:rPr>
        <w:fldChar w:fldCharType="separate"/>
      </w:r>
      <w:r>
        <w:rPr>
          <w:noProof/>
        </w:rPr>
        <w:t>149</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5.5.3.3.3.3</w:t>
      </w:r>
      <w:r w:rsidRPr="00DD140B">
        <w:rPr>
          <w:rFonts w:ascii="Calibri" w:eastAsia="Malgun Gothic" w:hAnsi="Calibri"/>
          <w:noProof/>
          <w:sz w:val="22"/>
          <w:szCs w:val="22"/>
          <w:lang w:eastAsia="ko-KR"/>
        </w:rPr>
        <w:tab/>
      </w:r>
      <w:r>
        <w:rPr>
          <w:noProof/>
        </w:rPr>
        <w:t>PATCH</w:t>
      </w:r>
      <w:r>
        <w:rPr>
          <w:noProof/>
        </w:rPr>
        <w:tab/>
      </w:r>
      <w:r>
        <w:rPr>
          <w:noProof/>
        </w:rPr>
        <w:fldChar w:fldCharType="begin" w:fldLock="1"/>
      </w:r>
      <w:r>
        <w:rPr>
          <w:noProof/>
        </w:rPr>
        <w:instrText xml:space="preserve"> PAGEREF _Toc153625319 \h </w:instrText>
      </w:r>
      <w:r>
        <w:rPr>
          <w:noProof/>
        </w:rPr>
      </w:r>
      <w:r>
        <w:rPr>
          <w:noProof/>
        </w:rPr>
        <w:fldChar w:fldCharType="separate"/>
      </w:r>
      <w:r>
        <w:rPr>
          <w:noProof/>
        </w:rPr>
        <w:t>149</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5.5.3.3.3.4</w:t>
      </w:r>
      <w:r w:rsidRPr="00DD140B">
        <w:rPr>
          <w:rFonts w:ascii="Calibri" w:eastAsia="Malgun Gothic" w:hAnsi="Calibri"/>
          <w:noProof/>
          <w:sz w:val="22"/>
          <w:szCs w:val="22"/>
          <w:lang w:eastAsia="ko-KR"/>
        </w:rPr>
        <w:tab/>
      </w:r>
      <w:r>
        <w:rPr>
          <w:noProof/>
        </w:rPr>
        <w:t>POST</w:t>
      </w:r>
      <w:r>
        <w:rPr>
          <w:noProof/>
        </w:rPr>
        <w:tab/>
      </w:r>
      <w:r>
        <w:rPr>
          <w:noProof/>
        </w:rPr>
        <w:fldChar w:fldCharType="begin" w:fldLock="1"/>
      </w:r>
      <w:r>
        <w:rPr>
          <w:noProof/>
        </w:rPr>
        <w:instrText xml:space="preserve"> PAGEREF _Toc153625320 \h </w:instrText>
      </w:r>
      <w:r>
        <w:rPr>
          <w:noProof/>
        </w:rPr>
      </w:r>
      <w:r>
        <w:rPr>
          <w:noProof/>
        </w:rPr>
        <w:fldChar w:fldCharType="separate"/>
      </w:r>
      <w:r>
        <w:rPr>
          <w:noProof/>
        </w:rPr>
        <w:t>150</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5.5.3.3.3.5</w:t>
      </w:r>
      <w:r w:rsidRPr="00DD140B">
        <w:rPr>
          <w:rFonts w:ascii="Calibri" w:eastAsia="Malgun Gothic" w:hAnsi="Calibri"/>
          <w:noProof/>
          <w:sz w:val="22"/>
          <w:szCs w:val="22"/>
          <w:lang w:eastAsia="ko-KR"/>
        </w:rPr>
        <w:tab/>
      </w:r>
      <w:r>
        <w:rPr>
          <w:noProof/>
        </w:rPr>
        <w:t>DELETE</w:t>
      </w:r>
      <w:r>
        <w:rPr>
          <w:noProof/>
        </w:rPr>
        <w:tab/>
      </w:r>
      <w:r>
        <w:rPr>
          <w:noProof/>
        </w:rPr>
        <w:fldChar w:fldCharType="begin" w:fldLock="1"/>
      </w:r>
      <w:r>
        <w:rPr>
          <w:noProof/>
        </w:rPr>
        <w:instrText xml:space="preserve"> PAGEREF _Toc153625321 \h </w:instrText>
      </w:r>
      <w:r>
        <w:rPr>
          <w:noProof/>
        </w:rPr>
      </w:r>
      <w:r>
        <w:rPr>
          <w:noProof/>
        </w:rPr>
        <w:fldChar w:fldCharType="separate"/>
      </w:r>
      <w:r>
        <w:rPr>
          <w:noProof/>
        </w:rPr>
        <w:t>150</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5.5.3.4</w:t>
      </w:r>
      <w:r w:rsidRPr="00DD140B">
        <w:rPr>
          <w:rFonts w:ascii="Calibri" w:eastAsia="Malgun Gothic" w:hAnsi="Calibri"/>
          <w:noProof/>
          <w:sz w:val="22"/>
          <w:szCs w:val="22"/>
          <w:lang w:eastAsia="ko-KR"/>
        </w:rPr>
        <w:tab/>
      </w:r>
      <w:r>
        <w:rPr>
          <w:noProof/>
        </w:rPr>
        <w:t>Void</w:t>
      </w:r>
      <w:r>
        <w:rPr>
          <w:noProof/>
        </w:rPr>
        <w:tab/>
      </w:r>
      <w:r>
        <w:rPr>
          <w:noProof/>
        </w:rPr>
        <w:fldChar w:fldCharType="begin" w:fldLock="1"/>
      </w:r>
      <w:r>
        <w:rPr>
          <w:noProof/>
        </w:rPr>
        <w:instrText xml:space="preserve"> PAGEREF _Toc153625322 \h </w:instrText>
      </w:r>
      <w:r>
        <w:rPr>
          <w:noProof/>
        </w:rPr>
      </w:r>
      <w:r>
        <w:rPr>
          <w:noProof/>
        </w:rPr>
        <w:fldChar w:fldCharType="separate"/>
      </w:r>
      <w:r>
        <w:rPr>
          <w:noProof/>
        </w:rPr>
        <w:t>151</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5.5.3A</w:t>
      </w:r>
      <w:r w:rsidRPr="00DD140B">
        <w:rPr>
          <w:rFonts w:ascii="Calibri" w:eastAsia="Malgun Gothic" w:hAnsi="Calibri"/>
          <w:noProof/>
          <w:sz w:val="22"/>
          <w:szCs w:val="22"/>
          <w:lang w:eastAsia="ko-KR"/>
        </w:rPr>
        <w:tab/>
      </w:r>
      <w:r>
        <w:rPr>
          <w:noProof/>
        </w:rPr>
        <w:t>Notifications</w:t>
      </w:r>
      <w:r>
        <w:rPr>
          <w:noProof/>
        </w:rPr>
        <w:tab/>
      </w:r>
      <w:r>
        <w:rPr>
          <w:noProof/>
        </w:rPr>
        <w:fldChar w:fldCharType="begin" w:fldLock="1"/>
      </w:r>
      <w:r>
        <w:rPr>
          <w:noProof/>
        </w:rPr>
        <w:instrText xml:space="preserve"> PAGEREF _Toc153625323 \h </w:instrText>
      </w:r>
      <w:r>
        <w:rPr>
          <w:noProof/>
        </w:rPr>
      </w:r>
      <w:r>
        <w:rPr>
          <w:noProof/>
        </w:rPr>
        <w:fldChar w:fldCharType="separate"/>
      </w:r>
      <w:r>
        <w:rPr>
          <w:noProof/>
        </w:rPr>
        <w:t>151</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5.5.3A.1</w:t>
      </w:r>
      <w:r w:rsidRPr="00DD140B">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_Toc153625324 \h </w:instrText>
      </w:r>
      <w:r>
        <w:rPr>
          <w:noProof/>
        </w:rPr>
      </w:r>
      <w:r>
        <w:rPr>
          <w:noProof/>
        </w:rPr>
        <w:fldChar w:fldCharType="separate"/>
      </w:r>
      <w:r>
        <w:rPr>
          <w:noProof/>
        </w:rPr>
        <w:t>151</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5.5.3A.2</w:t>
      </w:r>
      <w:r w:rsidRPr="00DD140B">
        <w:rPr>
          <w:rFonts w:ascii="Calibri" w:eastAsia="Malgun Gothic" w:hAnsi="Calibri"/>
          <w:noProof/>
          <w:sz w:val="22"/>
          <w:szCs w:val="22"/>
          <w:lang w:eastAsia="ko-KR"/>
        </w:rPr>
        <w:tab/>
      </w:r>
      <w:r>
        <w:rPr>
          <w:noProof/>
        </w:rPr>
        <w:t>Event Notification</w:t>
      </w:r>
      <w:r>
        <w:rPr>
          <w:noProof/>
        </w:rPr>
        <w:tab/>
      </w:r>
      <w:r>
        <w:rPr>
          <w:noProof/>
        </w:rPr>
        <w:fldChar w:fldCharType="begin" w:fldLock="1"/>
      </w:r>
      <w:r>
        <w:rPr>
          <w:noProof/>
        </w:rPr>
        <w:instrText xml:space="preserve"> PAGEREF _Toc153625325 \h </w:instrText>
      </w:r>
      <w:r>
        <w:rPr>
          <w:noProof/>
        </w:rPr>
      </w:r>
      <w:r>
        <w:rPr>
          <w:noProof/>
        </w:rPr>
        <w:fldChar w:fldCharType="separate"/>
      </w:r>
      <w:r>
        <w:rPr>
          <w:noProof/>
        </w:rPr>
        <w:t>152</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5.5.3A.2.1</w:t>
      </w:r>
      <w:r w:rsidRPr="00DD140B">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_Toc153625326 \h </w:instrText>
      </w:r>
      <w:r>
        <w:rPr>
          <w:noProof/>
        </w:rPr>
      </w:r>
      <w:r>
        <w:rPr>
          <w:noProof/>
        </w:rPr>
        <w:fldChar w:fldCharType="separate"/>
      </w:r>
      <w:r>
        <w:rPr>
          <w:noProof/>
        </w:rPr>
        <w:t>152</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5.5.3A.2.2</w:t>
      </w:r>
      <w:r w:rsidRPr="00DD140B">
        <w:rPr>
          <w:rFonts w:ascii="Calibri" w:eastAsia="Malgun Gothic" w:hAnsi="Calibri"/>
          <w:noProof/>
          <w:sz w:val="22"/>
          <w:szCs w:val="22"/>
          <w:lang w:eastAsia="ko-KR"/>
        </w:rPr>
        <w:tab/>
      </w:r>
      <w:r>
        <w:rPr>
          <w:noProof/>
        </w:rPr>
        <w:t>Target URI</w:t>
      </w:r>
      <w:r>
        <w:rPr>
          <w:noProof/>
        </w:rPr>
        <w:tab/>
      </w:r>
      <w:r>
        <w:rPr>
          <w:noProof/>
        </w:rPr>
        <w:fldChar w:fldCharType="begin" w:fldLock="1"/>
      </w:r>
      <w:r>
        <w:rPr>
          <w:noProof/>
        </w:rPr>
        <w:instrText xml:space="preserve"> PAGEREF _Toc153625327 \h </w:instrText>
      </w:r>
      <w:r>
        <w:rPr>
          <w:noProof/>
        </w:rPr>
      </w:r>
      <w:r>
        <w:rPr>
          <w:noProof/>
        </w:rPr>
        <w:fldChar w:fldCharType="separate"/>
      </w:r>
      <w:r>
        <w:rPr>
          <w:noProof/>
        </w:rPr>
        <w:t>152</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5.5.3A.2.3</w:t>
      </w:r>
      <w:r w:rsidRPr="00DD140B">
        <w:rPr>
          <w:rFonts w:ascii="Calibri" w:eastAsia="Malgun Gothic" w:hAnsi="Calibri"/>
          <w:noProof/>
          <w:sz w:val="22"/>
          <w:szCs w:val="22"/>
          <w:lang w:eastAsia="ko-KR"/>
        </w:rPr>
        <w:tab/>
      </w:r>
      <w:r>
        <w:rPr>
          <w:noProof/>
        </w:rPr>
        <w:t>Standard Methods</w:t>
      </w:r>
      <w:r>
        <w:rPr>
          <w:noProof/>
        </w:rPr>
        <w:tab/>
      </w:r>
      <w:r>
        <w:rPr>
          <w:noProof/>
        </w:rPr>
        <w:fldChar w:fldCharType="begin" w:fldLock="1"/>
      </w:r>
      <w:r>
        <w:rPr>
          <w:noProof/>
        </w:rPr>
        <w:instrText xml:space="preserve"> PAGEREF _Toc153625328 \h </w:instrText>
      </w:r>
      <w:r>
        <w:rPr>
          <w:noProof/>
        </w:rPr>
      </w:r>
      <w:r>
        <w:rPr>
          <w:noProof/>
        </w:rPr>
        <w:fldChar w:fldCharType="separate"/>
      </w:r>
      <w:r>
        <w:rPr>
          <w:noProof/>
        </w:rPr>
        <w:t>152</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5.5.3A.2.3.1</w:t>
      </w:r>
      <w:r w:rsidRPr="00DD140B">
        <w:rPr>
          <w:rFonts w:ascii="Calibri" w:eastAsia="Malgun Gothic" w:hAnsi="Calibri"/>
          <w:noProof/>
          <w:sz w:val="22"/>
          <w:szCs w:val="22"/>
          <w:lang w:eastAsia="ko-KR"/>
        </w:rPr>
        <w:tab/>
      </w:r>
      <w:r>
        <w:rPr>
          <w:noProof/>
        </w:rPr>
        <w:t>Notification via POST</w:t>
      </w:r>
      <w:r>
        <w:rPr>
          <w:noProof/>
        </w:rPr>
        <w:tab/>
      </w:r>
      <w:r>
        <w:rPr>
          <w:noProof/>
        </w:rPr>
        <w:fldChar w:fldCharType="begin" w:fldLock="1"/>
      </w:r>
      <w:r>
        <w:rPr>
          <w:noProof/>
        </w:rPr>
        <w:instrText xml:space="preserve"> PAGEREF _Toc153625329 \h </w:instrText>
      </w:r>
      <w:r>
        <w:rPr>
          <w:noProof/>
        </w:rPr>
      </w:r>
      <w:r>
        <w:rPr>
          <w:noProof/>
        </w:rPr>
        <w:fldChar w:fldCharType="separate"/>
      </w:r>
      <w:r>
        <w:rPr>
          <w:noProof/>
        </w:rPr>
        <w:t>152</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5.5.3A.2.3.2</w:t>
      </w:r>
      <w:r w:rsidRPr="00DD140B">
        <w:rPr>
          <w:rFonts w:ascii="Calibri" w:eastAsia="Malgun Gothic" w:hAnsi="Calibri"/>
          <w:noProof/>
          <w:sz w:val="22"/>
          <w:szCs w:val="22"/>
          <w:lang w:eastAsia="ko-KR"/>
        </w:rPr>
        <w:tab/>
      </w:r>
      <w:r>
        <w:rPr>
          <w:noProof/>
        </w:rPr>
        <w:t>Notification via Websocket</w:t>
      </w:r>
      <w:r>
        <w:rPr>
          <w:noProof/>
        </w:rPr>
        <w:tab/>
      </w:r>
      <w:r>
        <w:rPr>
          <w:noProof/>
        </w:rPr>
        <w:fldChar w:fldCharType="begin" w:fldLock="1"/>
      </w:r>
      <w:r>
        <w:rPr>
          <w:noProof/>
        </w:rPr>
        <w:instrText xml:space="preserve"> PAGEREF _Toc153625330 \h </w:instrText>
      </w:r>
      <w:r>
        <w:rPr>
          <w:noProof/>
        </w:rPr>
      </w:r>
      <w:r>
        <w:rPr>
          <w:noProof/>
        </w:rPr>
        <w:fldChar w:fldCharType="separate"/>
      </w:r>
      <w:r>
        <w:rPr>
          <w:noProof/>
        </w:rPr>
        <w:t>153</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5.5.4</w:t>
      </w:r>
      <w:r w:rsidRPr="00DD140B">
        <w:rPr>
          <w:rFonts w:ascii="Calibri" w:eastAsia="Malgun Gothic" w:hAnsi="Calibri"/>
          <w:noProof/>
          <w:sz w:val="22"/>
          <w:szCs w:val="22"/>
          <w:lang w:eastAsia="ko-KR"/>
        </w:rPr>
        <w:tab/>
      </w:r>
      <w:r>
        <w:rPr>
          <w:noProof/>
        </w:rPr>
        <w:t>Used Features</w:t>
      </w:r>
      <w:r>
        <w:rPr>
          <w:noProof/>
        </w:rPr>
        <w:tab/>
      </w:r>
      <w:r>
        <w:rPr>
          <w:noProof/>
        </w:rPr>
        <w:fldChar w:fldCharType="begin" w:fldLock="1"/>
      </w:r>
      <w:r>
        <w:rPr>
          <w:noProof/>
        </w:rPr>
        <w:instrText xml:space="preserve"> PAGEREF _Toc153625331 \h </w:instrText>
      </w:r>
      <w:r>
        <w:rPr>
          <w:noProof/>
        </w:rPr>
      </w:r>
      <w:r>
        <w:rPr>
          <w:noProof/>
        </w:rPr>
        <w:fldChar w:fldCharType="separate"/>
      </w:r>
      <w:r>
        <w:rPr>
          <w:noProof/>
        </w:rPr>
        <w:t>153</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5.5.5</w:t>
      </w:r>
      <w:r w:rsidRPr="00DD140B">
        <w:rPr>
          <w:rFonts w:ascii="Calibri" w:eastAsia="Malgun Gothic" w:hAnsi="Calibri"/>
          <w:noProof/>
          <w:sz w:val="22"/>
          <w:szCs w:val="22"/>
          <w:lang w:eastAsia="ko-KR"/>
        </w:rPr>
        <w:tab/>
      </w:r>
      <w:r>
        <w:rPr>
          <w:noProof/>
        </w:rPr>
        <w:t>Error handling</w:t>
      </w:r>
      <w:r>
        <w:rPr>
          <w:noProof/>
        </w:rPr>
        <w:tab/>
      </w:r>
      <w:r>
        <w:rPr>
          <w:noProof/>
        </w:rPr>
        <w:fldChar w:fldCharType="begin" w:fldLock="1"/>
      </w:r>
      <w:r>
        <w:rPr>
          <w:noProof/>
        </w:rPr>
        <w:instrText xml:space="preserve"> PAGEREF _Toc153625332 \h </w:instrText>
      </w:r>
      <w:r>
        <w:rPr>
          <w:noProof/>
        </w:rPr>
      </w:r>
      <w:r>
        <w:rPr>
          <w:noProof/>
        </w:rPr>
        <w:fldChar w:fldCharType="separate"/>
      </w:r>
      <w:r>
        <w:rPr>
          <w:noProof/>
        </w:rPr>
        <w:t>153</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5.5.5.1</w:t>
      </w:r>
      <w:r w:rsidRPr="00DD140B">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_Toc153625333 \h </w:instrText>
      </w:r>
      <w:r>
        <w:rPr>
          <w:noProof/>
        </w:rPr>
      </w:r>
      <w:r>
        <w:rPr>
          <w:noProof/>
        </w:rPr>
        <w:fldChar w:fldCharType="separate"/>
      </w:r>
      <w:r>
        <w:rPr>
          <w:noProof/>
        </w:rPr>
        <w:t>153</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5.5.5.2</w:t>
      </w:r>
      <w:r w:rsidRPr="00DD140B">
        <w:rPr>
          <w:rFonts w:ascii="Calibri" w:eastAsia="Malgun Gothic" w:hAnsi="Calibri"/>
          <w:noProof/>
          <w:sz w:val="22"/>
          <w:szCs w:val="22"/>
          <w:lang w:eastAsia="ko-KR"/>
        </w:rPr>
        <w:tab/>
      </w:r>
      <w:r>
        <w:rPr>
          <w:noProof/>
        </w:rPr>
        <w:t>Protocol Errors</w:t>
      </w:r>
      <w:r>
        <w:rPr>
          <w:noProof/>
        </w:rPr>
        <w:tab/>
      </w:r>
      <w:r>
        <w:rPr>
          <w:noProof/>
        </w:rPr>
        <w:fldChar w:fldCharType="begin" w:fldLock="1"/>
      </w:r>
      <w:r>
        <w:rPr>
          <w:noProof/>
        </w:rPr>
        <w:instrText xml:space="preserve"> PAGEREF _Toc153625334 \h </w:instrText>
      </w:r>
      <w:r>
        <w:rPr>
          <w:noProof/>
        </w:rPr>
      </w:r>
      <w:r>
        <w:rPr>
          <w:noProof/>
        </w:rPr>
        <w:fldChar w:fldCharType="separate"/>
      </w:r>
      <w:r>
        <w:rPr>
          <w:noProof/>
        </w:rPr>
        <w:t>153</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5.5.5.3</w:t>
      </w:r>
      <w:r w:rsidRPr="00DD140B">
        <w:rPr>
          <w:rFonts w:ascii="Calibri" w:eastAsia="Malgun Gothic" w:hAnsi="Calibri"/>
          <w:noProof/>
          <w:sz w:val="22"/>
          <w:szCs w:val="22"/>
          <w:lang w:eastAsia="ko-KR"/>
        </w:rPr>
        <w:tab/>
      </w:r>
      <w:r>
        <w:rPr>
          <w:noProof/>
        </w:rPr>
        <w:t>Application Errors</w:t>
      </w:r>
      <w:r>
        <w:rPr>
          <w:noProof/>
        </w:rPr>
        <w:tab/>
      </w:r>
      <w:r>
        <w:rPr>
          <w:noProof/>
        </w:rPr>
        <w:fldChar w:fldCharType="begin" w:fldLock="1"/>
      </w:r>
      <w:r>
        <w:rPr>
          <w:noProof/>
        </w:rPr>
        <w:instrText xml:space="preserve"> PAGEREF _Toc153625335 \h </w:instrText>
      </w:r>
      <w:r>
        <w:rPr>
          <w:noProof/>
        </w:rPr>
      </w:r>
      <w:r>
        <w:rPr>
          <w:noProof/>
        </w:rPr>
        <w:fldChar w:fldCharType="separate"/>
      </w:r>
      <w:r>
        <w:rPr>
          <w:noProof/>
        </w:rPr>
        <w:t>153</w:t>
      </w:r>
      <w:r>
        <w:rPr>
          <w:noProof/>
        </w:rPr>
        <w:fldChar w:fldCharType="end"/>
      </w:r>
    </w:p>
    <w:p w:rsidR="007D56C6" w:rsidRPr="00DD140B" w:rsidRDefault="007D56C6">
      <w:pPr>
        <w:pStyle w:val="TOC2"/>
        <w:rPr>
          <w:rFonts w:ascii="Calibri" w:eastAsia="Malgun Gothic" w:hAnsi="Calibri"/>
          <w:noProof/>
          <w:sz w:val="22"/>
          <w:szCs w:val="22"/>
          <w:lang w:eastAsia="ko-KR"/>
        </w:rPr>
      </w:pPr>
      <w:r>
        <w:rPr>
          <w:noProof/>
        </w:rPr>
        <w:t>5.6</w:t>
      </w:r>
      <w:r w:rsidRPr="00DD140B">
        <w:rPr>
          <w:rFonts w:ascii="Calibri" w:eastAsia="Malgun Gothic" w:hAnsi="Calibri"/>
          <w:noProof/>
          <w:sz w:val="22"/>
          <w:szCs w:val="22"/>
          <w:lang w:eastAsia="ko-KR"/>
        </w:rPr>
        <w:tab/>
      </w:r>
      <w:r>
        <w:rPr>
          <w:noProof/>
        </w:rPr>
        <w:t>NIDD API</w:t>
      </w:r>
      <w:r>
        <w:rPr>
          <w:noProof/>
        </w:rPr>
        <w:tab/>
      </w:r>
      <w:r>
        <w:rPr>
          <w:noProof/>
        </w:rPr>
        <w:fldChar w:fldCharType="begin" w:fldLock="1"/>
      </w:r>
      <w:r>
        <w:rPr>
          <w:noProof/>
        </w:rPr>
        <w:instrText xml:space="preserve"> PAGEREF _Toc153625336 \h </w:instrText>
      </w:r>
      <w:r>
        <w:rPr>
          <w:noProof/>
        </w:rPr>
      </w:r>
      <w:r>
        <w:rPr>
          <w:noProof/>
        </w:rPr>
        <w:fldChar w:fldCharType="separate"/>
      </w:r>
      <w:r>
        <w:rPr>
          <w:noProof/>
        </w:rPr>
        <w:t>154</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5.6.1</w:t>
      </w:r>
      <w:r w:rsidRPr="00DD140B">
        <w:rPr>
          <w:rFonts w:ascii="Calibri" w:eastAsia="Malgun Gothic" w:hAnsi="Calibri"/>
          <w:noProof/>
          <w:sz w:val="22"/>
          <w:szCs w:val="22"/>
          <w:lang w:eastAsia="ko-KR"/>
        </w:rPr>
        <w:tab/>
      </w:r>
      <w:r>
        <w:rPr>
          <w:noProof/>
        </w:rPr>
        <w:t>Overview</w:t>
      </w:r>
      <w:r>
        <w:rPr>
          <w:noProof/>
        </w:rPr>
        <w:tab/>
      </w:r>
      <w:r>
        <w:rPr>
          <w:noProof/>
        </w:rPr>
        <w:fldChar w:fldCharType="begin" w:fldLock="1"/>
      </w:r>
      <w:r>
        <w:rPr>
          <w:noProof/>
        </w:rPr>
        <w:instrText xml:space="preserve"> PAGEREF _Toc153625337 \h </w:instrText>
      </w:r>
      <w:r>
        <w:rPr>
          <w:noProof/>
        </w:rPr>
      </w:r>
      <w:r>
        <w:rPr>
          <w:noProof/>
        </w:rPr>
        <w:fldChar w:fldCharType="separate"/>
      </w:r>
      <w:r>
        <w:rPr>
          <w:noProof/>
        </w:rPr>
        <w:t>154</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5.6.2</w:t>
      </w:r>
      <w:r w:rsidRPr="00DD140B">
        <w:rPr>
          <w:rFonts w:ascii="Calibri" w:eastAsia="Malgun Gothic" w:hAnsi="Calibri"/>
          <w:noProof/>
          <w:sz w:val="22"/>
          <w:szCs w:val="22"/>
          <w:lang w:eastAsia="ko-KR"/>
        </w:rPr>
        <w:tab/>
      </w:r>
      <w:r>
        <w:rPr>
          <w:noProof/>
        </w:rPr>
        <w:t>Data model</w:t>
      </w:r>
      <w:r>
        <w:rPr>
          <w:noProof/>
        </w:rPr>
        <w:tab/>
      </w:r>
      <w:r>
        <w:rPr>
          <w:noProof/>
        </w:rPr>
        <w:fldChar w:fldCharType="begin" w:fldLock="1"/>
      </w:r>
      <w:r>
        <w:rPr>
          <w:noProof/>
        </w:rPr>
        <w:instrText xml:space="preserve"> PAGEREF _Toc153625338 \h </w:instrText>
      </w:r>
      <w:r>
        <w:rPr>
          <w:noProof/>
        </w:rPr>
      </w:r>
      <w:r>
        <w:rPr>
          <w:noProof/>
        </w:rPr>
        <w:fldChar w:fldCharType="separate"/>
      </w:r>
      <w:r>
        <w:rPr>
          <w:noProof/>
        </w:rPr>
        <w:t>154</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5.6.2.1</w:t>
      </w:r>
      <w:r w:rsidRPr="00DD140B">
        <w:rPr>
          <w:rFonts w:ascii="Calibri" w:eastAsia="Malgun Gothic" w:hAnsi="Calibri"/>
          <w:noProof/>
          <w:sz w:val="22"/>
          <w:szCs w:val="22"/>
          <w:lang w:eastAsia="ko-KR"/>
        </w:rPr>
        <w:tab/>
      </w:r>
      <w:r>
        <w:rPr>
          <w:noProof/>
        </w:rPr>
        <w:t>Resource data types</w:t>
      </w:r>
      <w:r>
        <w:rPr>
          <w:noProof/>
        </w:rPr>
        <w:tab/>
      </w:r>
      <w:r>
        <w:rPr>
          <w:noProof/>
        </w:rPr>
        <w:fldChar w:fldCharType="begin" w:fldLock="1"/>
      </w:r>
      <w:r>
        <w:rPr>
          <w:noProof/>
        </w:rPr>
        <w:instrText xml:space="preserve"> PAGEREF _Toc153625339 \h </w:instrText>
      </w:r>
      <w:r>
        <w:rPr>
          <w:noProof/>
        </w:rPr>
      </w:r>
      <w:r>
        <w:rPr>
          <w:noProof/>
        </w:rPr>
        <w:fldChar w:fldCharType="separate"/>
      </w:r>
      <w:r>
        <w:rPr>
          <w:noProof/>
        </w:rPr>
        <w:t>154</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5.6.2.1.1</w:t>
      </w:r>
      <w:r w:rsidRPr="00DD140B">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_Toc153625340 \h </w:instrText>
      </w:r>
      <w:r>
        <w:rPr>
          <w:noProof/>
        </w:rPr>
      </w:r>
      <w:r>
        <w:rPr>
          <w:noProof/>
        </w:rPr>
        <w:fldChar w:fldCharType="separate"/>
      </w:r>
      <w:r>
        <w:rPr>
          <w:noProof/>
        </w:rPr>
        <w:t>154</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5.6.2.1.2</w:t>
      </w:r>
      <w:r w:rsidRPr="00DD140B">
        <w:rPr>
          <w:rFonts w:ascii="Calibri" w:eastAsia="Malgun Gothic" w:hAnsi="Calibri"/>
          <w:noProof/>
          <w:sz w:val="22"/>
          <w:szCs w:val="22"/>
          <w:lang w:eastAsia="ko-KR"/>
        </w:rPr>
        <w:tab/>
      </w:r>
      <w:r>
        <w:rPr>
          <w:noProof/>
        </w:rPr>
        <w:t>Type: Nidd</w:t>
      </w:r>
      <w:r>
        <w:rPr>
          <w:noProof/>
          <w:lang w:eastAsia="zh-CN"/>
        </w:rPr>
        <w:t>Configuration</w:t>
      </w:r>
      <w:r>
        <w:rPr>
          <w:noProof/>
        </w:rPr>
        <w:tab/>
      </w:r>
      <w:r>
        <w:rPr>
          <w:noProof/>
        </w:rPr>
        <w:fldChar w:fldCharType="begin" w:fldLock="1"/>
      </w:r>
      <w:r>
        <w:rPr>
          <w:noProof/>
        </w:rPr>
        <w:instrText xml:space="preserve"> PAGEREF _Toc153625341 \h </w:instrText>
      </w:r>
      <w:r>
        <w:rPr>
          <w:noProof/>
        </w:rPr>
      </w:r>
      <w:r>
        <w:rPr>
          <w:noProof/>
        </w:rPr>
        <w:fldChar w:fldCharType="separate"/>
      </w:r>
      <w:r>
        <w:rPr>
          <w:noProof/>
        </w:rPr>
        <w:t>155</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5.6.2.1.3</w:t>
      </w:r>
      <w:r w:rsidRPr="00DD140B">
        <w:rPr>
          <w:rFonts w:ascii="Calibri" w:eastAsia="Malgun Gothic" w:hAnsi="Calibri"/>
          <w:noProof/>
          <w:sz w:val="22"/>
          <w:szCs w:val="22"/>
          <w:lang w:eastAsia="ko-KR"/>
        </w:rPr>
        <w:tab/>
      </w:r>
      <w:r>
        <w:rPr>
          <w:noProof/>
        </w:rPr>
        <w:t>Type: NiddDownlinkDataTransfer</w:t>
      </w:r>
      <w:r>
        <w:rPr>
          <w:noProof/>
        </w:rPr>
        <w:tab/>
      </w:r>
      <w:r>
        <w:rPr>
          <w:noProof/>
        </w:rPr>
        <w:fldChar w:fldCharType="begin" w:fldLock="1"/>
      </w:r>
      <w:r>
        <w:rPr>
          <w:noProof/>
        </w:rPr>
        <w:instrText xml:space="preserve"> PAGEREF _Toc153625342 \h </w:instrText>
      </w:r>
      <w:r>
        <w:rPr>
          <w:noProof/>
        </w:rPr>
      </w:r>
      <w:r>
        <w:rPr>
          <w:noProof/>
        </w:rPr>
        <w:fldChar w:fldCharType="separate"/>
      </w:r>
      <w:r>
        <w:rPr>
          <w:noProof/>
        </w:rPr>
        <w:t>157</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5.6.2.1.</w:t>
      </w:r>
      <w:r>
        <w:rPr>
          <w:noProof/>
          <w:lang w:eastAsia="zh-CN"/>
        </w:rPr>
        <w:t>4</w:t>
      </w:r>
      <w:r w:rsidRPr="00DD140B">
        <w:rPr>
          <w:rFonts w:ascii="Calibri" w:eastAsia="Malgun Gothic" w:hAnsi="Calibri"/>
          <w:noProof/>
          <w:sz w:val="22"/>
          <w:szCs w:val="22"/>
          <w:lang w:eastAsia="ko-KR"/>
        </w:rPr>
        <w:tab/>
      </w:r>
      <w:r>
        <w:rPr>
          <w:noProof/>
        </w:rPr>
        <w:t>Type: Nidd</w:t>
      </w:r>
      <w:r>
        <w:rPr>
          <w:noProof/>
          <w:lang w:eastAsia="zh-CN"/>
        </w:rPr>
        <w:t>Uplink</w:t>
      </w:r>
      <w:r>
        <w:rPr>
          <w:noProof/>
        </w:rPr>
        <w:t>DataNotification</w:t>
      </w:r>
      <w:r>
        <w:rPr>
          <w:noProof/>
        </w:rPr>
        <w:tab/>
      </w:r>
      <w:r>
        <w:rPr>
          <w:noProof/>
        </w:rPr>
        <w:fldChar w:fldCharType="begin" w:fldLock="1"/>
      </w:r>
      <w:r>
        <w:rPr>
          <w:noProof/>
        </w:rPr>
        <w:instrText xml:space="preserve"> PAGEREF _Toc153625343 \h </w:instrText>
      </w:r>
      <w:r>
        <w:rPr>
          <w:noProof/>
        </w:rPr>
      </w:r>
      <w:r>
        <w:rPr>
          <w:noProof/>
        </w:rPr>
        <w:fldChar w:fldCharType="separate"/>
      </w:r>
      <w:r>
        <w:rPr>
          <w:noProof/>
        </w:rPr>
        <w:t>159</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5.6.2.1.</w:t>
      </w:r>
      <w:r>
        <w:rPr>
          <w:noProof/>
          <w:lang w:eastAsia="zh-CN"/>
        </w:rPr>
        <w:t>5</w:t>
      </w:r>
      <w:r w:rsidRPr="00DD140B">
        <w:rPr>
          <w:rFonts w:ascii="Calibri" w:eastAsia="Malgun Gothic" w:hAnsi="Calibri"/>
          <w:noProof/>
          <w:sz w:val="22"/>
          <w:szCs w:val="22"/>
          <w:lang w:eastAsia="ko-KR"/>
        </w:rPr>
        <w:tab/>
      </w:r>
      <w:r>
        <w:rPr>
          <w:noProof/>
        </w:rPr>
        <w:t>Type: NiddDownlinkDataDeliveryStatusNotification</w:t>
      </w:r>
      <w:r>
        <w:rPr>
          <w:noProof/>
        </w:rPr>
        <w:tab/>
      </w:r>
      <w:r>
        <w:rPr>
          <w:noProof/>
        </w:rPr>
        <w:fldChar w:fldCharType="begin" w:fldLock="1"/>
      </w:r>
      <w:r>
        <w:rPr>
          <w:noProof/>
        </w:rPr>
        <w:instrText xml:space="preserve"> PAGEREF _Toc153625344 \h </w:instrText>
      </w:r>
      <w:r>
        <w:rPr>
          <w:noProof/>
        </w:rPr>
      </w:r>
      <w:r>
        <w:rPr>
          <w:noProof/>
        </w:rPr>
        <w:fldChar w:fldCharType="separate"/>
      </w:r>
      <w:r>
        <w:rPr>
          <w:noProof/>
        </w:rPr>
        <w:t>159</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5.6.2.1.</w:t>
      </w:r>
      <w:r>
        <w:rPr>
          <w:noProof/>
          <w:lang w:eastAsia="zh-CN"/>
        </w:rPr>
        <w:t>6</w:t>
      </w:r>
      <w:r w:rsidRPr="00DD140B">
        <w:rPr>
          <w:rFonts w:ascii="Calibri" w:eastAsia="Malgun Gothic" w:hAnsi="Calibri"/>
          <w:noProof/>
          <w:sz w:val="22"/>
          <w:szCs w:val="22"/>
          <w:lang w:eastAsia="ko-KR"/>
        </w:rPr>
        <w:tab/>
      </w:r>
      <w:r>
        <w:rPr>
          <w:noProof/>
        </w:rPr>
        <w:t xml:space="preserve">Type: </w:t>
      </w:r>
      <w:r>
        <w:rPr>
          <w:noProof/>
          <w:lang w:eastAsia="zh-CN"/>
        </w:rPr>
        <w:t>NiddConfigurationStatusNotifiation</w:t>
      </w:r>
      <w:r>
        <w:rPr>
          <w:noProof/>
        </w:rPr>
        <w:tab/>
      </w:r>
      <w:r>
        <w:rPr>
          <w:noProof/>
        </w:rPr>
        <w:fldChar w:fldCharType="begin" w:fldLock="1"/>
      </w:r>
      <w:r>
        <w:rPr>
          <w:noProof/>
        </w:rPr>
        <w:instrText xml:space="preserve"> PAGEREF _Toc153625345 \h </w:instrText>
      </w:r>
      <w:r>
        <w:rPr>
          <w:noProof/>
        </w:rPr>
      </w:r>
      <w:r>
        <w:rPr>
          <w:noProof/>
        </w:rPr>
        <w:fldChar w:fldCharType="separate"/>
      </w:r>
      <w:r>
        <w:rPr>
          <w:noProof/>
        </w:rPr>
        <w:t>160</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5.6.2.1.</w:t>
      </w:r>
      <w:r>
        <w:rPr>
          <w:noProof/>
          <w:lang w:eastAsia="zh-CN"/>
        </w:rPr>
        <w:t>7</w:t>
      </w:r>
      <w:r w:rsidRPr="00DD140B">
        <w:rPr>
          <w:rFonts w:ascii="Calibri" w:eastAsia="Malgun Gothic" w:hAnsi="Calibri"/>
          <w:noProof/>
          <w:sz w:val="22"/>
          <w:szCs w:val="22"/>
          <w:lang w:eastAsia="ko-KR"/>
        </w:rPr>
        <w:tab/>
      </w:r>
      <w:r>
        <w:rPr>
          <w:noProof/>
        </w:rPr>
        <w:t xml:space="preserve">Type: </w:t>
      </w:r>
      <w:r>
        <w:rPr>
          <w:noProof/>
          <w:lang w:eastAsia="zh-CN"/>
        </w:rPr>
        <w:t>NiddConfigurationPatch</w:t>
      </w:r>
      <w:r>
        <w:rPr>
          <w:noProof/>
        </w:rPr>
        <w:tab/>
      </w:r>
      <w:r>
        <w:rPr>
          <w:noProof/>
        </w:rPr>
        <w:fldChar w:fldCharType="begin" w:fldLock="1"/>
      </w:r>
      <w:r>
        <w:rPr>
          <w:noProof/>
        </w:rPr>
        <w:instrText xml:space="preserve"> PAGEREF _Toc153625346 \h </w:instrText>
      </w:r>
      <w:r>
        <w:rPr>
          <w:noProof/>
        </w:rPr>
      </w:r>
      <w:r>
        <w:rPr>
          <w:noProof/>
        </w:rPr>
        <w:fldChar w:fldCharType="separate"/>
      </w:r>
      <w:r>
        <w:rPr>
          <w:noProof/>
        </w:rPr>
        <w:t>160</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5.6.2.1.</w:t>
      </w:r>
      <w:r>
        <w:rPr>
          <w:noProof/>
          <w:lang w:eastAsia="zh-CN"/>
        </w:rPr>
        <w:t>8</w:t>
      </w:r>
      <w:r w:rsidRPr="00DD140B">
        <w:rPr>
          <w:rFonts w:ascii="Calibri" w:eastAsia="Malgun Gothic" w:hAnsi="Calibri"/>
          <w:noProof/>
          <w:sz w:val="22"/>
          <w:szCs w:val="22"/>
          <w:lang w:eastAsia="ko-KR"/>
        </w:rPr>
        <w:tab/>
      </w:r>
      <w:r>
        <w:rPr>
          <w:noProof/>
        </w:rPr>
        <w:t>Type: GmdNiddDownlinkDataDeliveryNotification</w:t>
      </w:r>
      <w:r>
        <w:rPr>
          <w:noProof/>
        </w:rPr>
        <w:tab/>
      </w:r>
      <w:r>
        <w:rPr>
          <w:noProof/>
        </w:rPr>
        <w:fldChar w:fldCharType="begin" w:fldLock="1"/>
      </w:r>
      <w:r>
        <w:rPr>
          <w:noProof/>
        </w:rPr>
        <w:instrText xml:space="preserve"> PAGEREF _Toc153625347 \h </w:instrText>
      </w:r>
      <w:r>
        <w:rPr>
          <w:noProof/>
        </w:rPr>
      </w:r>
      <w:r>
        <w:rPr>
          <w:noProof/>
        </w:rPr>
        <w:fldChar w:fldCharType="separate"/>
      </w:r>
      <w:r>
        <w:rPr>
          <w:noProof/>
        </w:rPr>
        <w:t>161</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5.6.2.1.9</w:t>
      </w:r>
      <w:r w:rsidRPr="00DD140B">
        <w:rPr>
          <w:rFonts w:ascii="Calibri" w:eastAsia="Malgun Gothic" w:hAnsi="Calibri"/>
          <w:noProof/>
          <w:sz w:val="22"/>
          <w:szCs w:val="22"/>
          <w:lang w:eastAsia="ko-KR"/>
        </w:rPr>
        <w:tab/>
      </w:r>
      <w:r>
        <w:rPr>
          <w:noProof/>
        </w:rPr>
        <w:t>Type: ManagePort</w:t>
      </w:r>
      <w:r>
        <w:rPr>
          <w:noProof/>
        </w:rPr>
        <w:tab/>
      </w:r>
      <w:r>
        <w:rPr>
          <w:noProof/>
        </w:rPr>
        <w:fldChar w:fldCharType="begin" w:fldLock="1"/>
      </w:r>
      <w:r>
        <w:rPr>
          <w:noProof/>
        </w:rPr>
        <w:instrText xml:space="preserve"> PAGEREF _Toc153625348 \h </w:instrText>
      </w:r>
      <w:r>
        <w:rPr>
          <w:noProof/>
        </w:rPr>
      </w:r>
      <w:r>
        <w:rPr>
          <w:noProof/>
        </w:rPr>
        <w:fldChar w:fldCharType="separate"/>
      </w:r>
      <w:r>
        <w:rPr>
          <w:noProof/>
        </w:rPr>
        <w:t>161</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5.6.2.1.</w:t>
      </w:r>
      <w:r>
        <w:rPr>
          <w:noProof/>
          <w:lang w:eastAsia="zh-CN"/>
        </w:rPr>
        <w:t>10</w:t>
      </w:r>
      <w:r w:rsidRPr="00DD140B">
        <w:rPr>
          <w:rFonts w:ascii="Calibri" w:eastAsia="Malgun Gothic" w:hAnsi="Calibri"/>
          <w:noProof/>
          <w:sz w:val="22"/>
          <w:szCs w:val="22"/>
          <w:lang w:eastAsia="ko-KR"/>
        </w:rPr>
        <w:tab/>
      </w:r>
      <w:r>
        <w:rPr>
          <w:noProof/>
        </w:rPr>
        <w:t xml:space="preserve">Type: </w:t>
      </w:r>
      <w:r>
        <w:rPr>
          <w:noProof/>
          <w:lang w:eastAsia="zh-CN"/>
        </w:rPr>
        <w:t>ManagePortNotification</w:t>
      </w:r>
      <w:r>
        <w:rPr>
          <w:noProof/>
        </w:rPr>
        <w:tab/>
      </w:r>
      <w:r>
        <w:rPr>
          <w:noProof/>
        </w:rPr>
        <w:fldChar w:fldCharType="begin" w:fldLock="1"/>
      </w:r>
      <w:r>
        <w:rPr>
          <w:noProof/>
        </w:rPr>
        <w:instrText xml:space="preserve"> PAGEREF _Toc153625349 \h </w:instrText>
      </w:r>
      <w:r>
        <w:rPr>
          <w:noProof/>
        </w:rPr>
      </w:r>
      <w:r>
        <w:rPr>
          <w:noProof/>
        </w:rPr>
        <w:fldChar w:fldCharType="separate"/>
      </w:r>
      <w:r>
        <w:rPr>
          <w:noProof/>
        </w:rPr>
        <w:t>162</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5.6.2.1.11</w:t>
      </w:r>
      <w:r w:rsidRPr="00DD140B">
        <w:rPr>
          <w:rFonts w:ascii="Calibri" w:eastAsia="Malgun Gothic" w:hAnsi="Calibri"/>
          <w:noProof/>
          <w:sz w:val="22"/>
          <w:szCs w:val="22"/>
          <w:lang w:eastAsia="ko-KR"/>
        </w:rPr>
        <w:tab/>
      </w:r>
      <w:r>
        <w:rPr>
          <w:noProof/>
        </w:rPr>
        <w:t>Type: NiddDownlinkDataTransferPatch</w:t>
      </w:r>
      <w:r>
        <w:rPr>
          <w:noProof/>
        </w:rPr>
        <w:tab/>
      </w:r>
      <w:r>
        <w:rPr>
          <w:noProof/>
        </w:rPr>
        <w:fldChar w:fldCharType="begin" w:fldLock="1"/>
      </w:r>
      <w:r>
        <w:rPr>
          <w:noProof/>
        </w:rPr>
        <w:instrText xml:space="preserve"> PAGEREF _Toc153625350 \h </w:instrText>
      </w:r>
      <w:r>
        <w:rPr>
          <w:noProof/>
        </w:rPr>
      </w:r>
      <w:r>
        <w:rPr>
          <w:noProof/>
        </w:rPr>
        <w:fldChar w:fldCharType="separate"/>
      </w:r>
      <w:r>
        <w:rPr>
          <w:noProof/>
        </w:rPr>
        <w:t>162</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5.6.2.2</w:t>
      </w:r>
      <w:r w:rsidRPr="00DD140B">
        <w:rPr>
          <w:rFonts w:ascii="Calibri" w:eastAsia="Malgun Gothic" w:hAnsi="Calibri"/>
          <w:noProof/>
          <w:sz w:val="22"/>
          <w:szCs w:val="22"/>
          <w:lang w:eastAsia="ko-KR"/>
        </w:rPr>
        <w:tab/>
      </w:r>
      <w:r>
        <w:rPr>
          <w:noProof/>
        </w:rPr>
        <w:t>Referenced structured data types</w:t>
      </w:r>
      <w:r>
        <w:rPr>
          <w:noProof/>
        </w:rPr>
        <w:tab/>
      </w:r>
      <w:r>
        <w:rPr>
          <w:noProof/>
        </w:rPr>
        <w:fldChar w:fldCharType="begin" w:fldLock="1"/>
      </w:r>
      <w:r>
        <w:rPr>
          <w:noProof/>
        </w:rPr>
        <w:instrText xml:space="preserve"> PAGEREF _Toc153625351 \h </w:instrText>
      </w:r>
      <w:r>
        <w:rPr>
          <w:noProof/>
        </w:rPr>
      </w:r>
      <w:r>
        <w:rPr>
          <w:noProof/>
        </w:rPr>
        <w:fldChar w:fldCharType="separate"/>
      </w:r>
      <w:r>
        <w:rPr>
          <w:noProof/>
        </w:rPr>
        <w:t>163</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5.6.2.2.1</w:t>
      </w:r>
      <w:r w:rsidRPr="00DD140B">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_Toc153625352 \h </w:instrText>
      </w:r>
      <w:r>
        <w:rPr>
          <w:noProof/>
        </w:rPr>
      </w:r>
      <w:r>
        <w:rPr>
          <w:noProof/>
        </w:rPr>
        <w:fldChar w:fldCharType="separate"/>
      </w:r>
      <w:r>
        <w:rPr>
          <w:noProof/>
        </w:rPr>
        <w:t>163</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5.6.2.2.2</w:t>
      </w:r>
      <w:r w:rsidRPr="00DD140B">
        <w:rPr>
          <w:rFonts w:ascii="Calibri" w:eastAsia="Malgun Gothic" w:hAnsi="Calibri"/>
          <w:noProof/>
          <w:sz w:val="22"/>
          <w:szCs w:val="22"/>
          <w:lang w:eastAsia="ko-KR"/>
        </w:rPr>
        <w:tab/>
      </w:r>
      <w:r>
        <w:rPr>
          <w:noProof/>
        </w:rPr>
        <w:t>Type: RdsPort</w:t>
      </w:r>
      <w:r>
        <w:rPr>
          <w:noProof/>
        </w:rPr>
        <w:tab/>
      </w:r>
      <w:r>
        <w:rPr>
          <w:noProof/>
        </w:rPr>
        <w:fldChar w:fldCharType="begin" w:fldLock="1"/>
      </w:r>
      <w:r>
        <w:rPr>
          <w:noProof/>
        </w:rPr>
        <w:instrText xml:space="preserve"> PAGEREF _Toc153625353 \h </w:instrText>
      </w:r>
      <w:r>
        <w:rPr>
          <w:noProof/>
        </w:rPr>
      </w:r>
      <w:r>
        <w:rPr>
          <w:noProof/>
        </w:rPr>
        <w:fldChar w:fldCharType="separate"/>
      </w:r>
      <w:r>
        <w:rPr>
          <w:noProof/>
        </w:rPr>
        <w:t>163</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5.6.2.2.3</w:t>
      </w:r>
      <w:r w:rsidRPr="00DD140B">
        <w:rPr>
          <w:rFonts w:ascii="Calibri" w:eastAsia="Malgun Gothic" w:hAnsi="Calibri"/>
          <w:noProof/>
          <w:sz w:val="22"/>
          <w:szCs w:val="22"/>
          <w:lang w:eastAsia="ko-KR"/>
        </w:rPr>
        <w:tab/>
      </w:r>
      <w:r>
        <w:rPr>
          <w:noProof/>
        </w:rPr>
        <w:t>Type: GmdResult</w:t>
      </w:r>
      <w:r>
        <w:rPr>
          <w:noProof/>
        </w:rPr>
        <w:tab/>
      </w:r>
      <w:r>
        <w:rPr>
          <w:noProof/>
        </w:rPr>
        <w:fldChar w:fldCharType="begin" w:fldLock="1"/>
      </w:r>
      <w:r>
        <w:rPr>
          <w:noProof/>
        </w:rPr>
        <w:instrText xml:space="preserve"> PAGEREF _Toc153625354 \h </w:instrText>
      </w:r>
      <w:r>
        <w:rPr>
          <w:noProof/>
        </w:rPr>
      </w:r>
      <w:r>
        <w:rPr>
          <w:noProof/>
        </w:rPr>
        <w:fldChar w:fldCharType="separate"/>
      </w:r>
      <w:r>
        <w:rPr>
          <w:noProof/>
        </w:rPr>
        <w:t>164</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5.6.2.2.4</w:t>
      </w:r>
      <w:r w:rsidRPr="00DD140B">
        <w:rPr>
          <w:rFonts w:ascii="Calibri" w:eastAsia="Malgun Gothic" w:hAnsi="Calibri"/>
          <w:noProof/>
          <w:sz w:val="22"/>
          <w:szCs w:val="22"/>
          <w:lang w:eastAsia="ko-KR"/>
        </w:rPr>
        <w:tab/>
      </w:r>
      <w:r>
        <w:rPr>
          <w:noProof/>
        </w:rPr>
        <w:t>Type: NiddDownlinkDataDeliveryFailure</w:t>
      </w:r>
      <w:r>
        <w:rPr>
          <w:noProof/>
        </w:rPr>
        <w:tab/>
      </w:r>
      <w:r>
        <w:rPr>
          <w:noProof/>
        </w:rPr>
        <w:fldChar w:fldCharType="begin" w:fldLock="1"/>
      </w:r>
      <w:r>
        <w:rPr>
          <w:noProof/>
        </w:rPr>
        <w:instrText xml:space="preserve"> PAGEREF _Toc153625355 \h </w:instrText>
      </w:r>
      <w:r>
        <w:rPr>
          <w:noProof/>
        </w:rPr>
      </w:r>
      <w:r>
        <w:rPr>
          <w:noProof/>
        </w:rPr>
        <w:fldChar w:fldCharType="separate"/>
      </w:r>
      <w:r>
        <w:rPr>
          <w:noProof/>
        </w:rPr>
        <w:t>164</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5.6.2.2.5</w:t>
      </w:r>
      <w:r w:rsidRPr="00DD140B">
        <w:rPr>
          <w:rFonts w:ascii="Calibri" w:eastAsia="Malgun Gothic" w:hAnsi="Calibri"/>
          <w:noProof/>
          <w:sz w:val="22"/>
          <w:szCs w:val="22"/>
          <w:lang w:eastAsia="ko-KR"/>
        </w:rPr>
        <w:tab/>
      </w:r>
      <w:r>
        <w:rPr>
          <w:noProof/>
        </w:rPr>
        <w:t>Type: RdsDownlinkDataDeliveryFailure</w:t>
      </w:r>
      <w:r>
        <w:rPr>
          <w:noProof/>
        </w:rPr>
        <w:tab/>
      </w:r>
      <w:r>
        <w:rPr>
          <w:noProof/>
        </w:rPr>
        <w:fldChar w:fldCharType="begin" w:fldLock="1"/>
      </w:r>
      <w:r>
        <w:rPr>
          <w:noProof/>
        </w:rPr>
        <w:instrText xml:space="preserve"> PAGEREF _Toc153625356 \h </w:instrText>
      </w:r>
      <w:r>
        <w:rPr>
          <w:noProof/>
        </w:rPr>
      </w:r>
      <w:r>
        <w:rPr>
          <w:noProof/>
        </w:rPr>
        <w:fldChar w:fldCharType="separate"/>
      </w:r>
      <w:r>
        <w:rPr>
          <w:noProof/>
        </w:rPr>
        <w:t>164</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5.6.2.3</w:t>
      </w:r>
      <w:r w:rsidRPr="00DD140B">
        <w:rPr>
          <w:rFonts w:ascii="Calibri" w:eastAsia="Malgun Gothic" w:hAnsi="Calibri"/>
          <w:noProof/>
          <w:sz w:val="22"/>
          <w:szCs w:val="22"/>
          <w:lang w:eastAsia="ko-KR"/>
        </w:rPr>
        <w:tab/>
      </w:r>
      <w:r>
        <w:rPr>
          <w:noProof/>
        </w:rPr>
        <w:t>Referenced simple data types and enumerations</w:t>
      </w:r>
      <w:r>
        <w:rPr>
          <w:noProof/>
        </w:rPr>
        <w:tab/>
      </w:r>
      <w:r>
        <w:rPr>
          <w:noProof/>
        </w:rPr>
        <w:fldChar w:fldCharType="begin" w:fldLock="1"/>
      </w:r>
      <w:r>
        <w:rPr>
          <w:noProof/>
        </w:rPr>
        <w:instrText xml:space="preserve"> PAGEREF _Toc153625357 \h </w:instrText>
      </w:r>
      <w:r>
        <w:rPr>
          <w:noProof/>
        </w:rPr>
      </w:r>
      <w:r>
        <w:rPr>
          <w:noProof/>
        </w:rPr>
        <w:fldChar w:fldCharType="separate"/>
      </w:r>
      <w:r>
        <w:rPr>
          <w:noProof/>
        </w:rPr>
        <w:t>165</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5.6.2.3.1</w:t>
      </w:r>
      <w:r w:rsidRPr="00DD140B">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_Toc153625358 \h </w:instrText>
      </w:r>
      <w:r>
        <w:rPr>
          <w:noProof/>
        </w:rPr>
      </w:r>
      <w:r>
        <w:rPr>
          <w:noProof/>
        </w:rPr>
        <w:fldChar w:fldCharType="separate"/>
      </w:r>
      <w:r>
        <w:rPr>
          <w:noProof/>
        </w:rPr>
        <w:t>165</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5.6.2.3.2</w:t>
      </w:r>
      <w:r w:rsidRPr="00DD140B">
        <w:rPr>
          <w:rFonts w:ascii="Calibri" w:eastAsia="Malgun Gothic" w:hAnsi="Calibri"/>
          <w:noProof/>
          <w:sz w:val="22"/>
          <w:szCs w:val="22"/>
          <w:lang w:eastAsia="ko-KR"/>
        </w:rPr>
        <w:tab/>
      </w:r>
      <w:r>
        <w:rPr>
          <w:noProof/>
        </w:rPr>
        <w:t>Simple data types</w:t>
      </w:r>
      <w:r>
        <w:rPr>
          <w:noProof/>
        </w:rPr>
        <w:tab/>
      </w:r>
      <w:r>
        <w:rPr>
          <w:noProof/>
        </w:rPr>
        <w:fldChar w:fldCharType="begin" w:fldLock="1"/>
      </w:r>
      <w:r>
        <w:rPr>
          <w:noProof/>
        </w:rPr>
        <w:instrText xml:space="preserve"> PAGEREF _Toc153625359 \h </w:instrText>
      </w:r>
      <w:r>
        <w:rPr>
          <w:noProof/>
        </w:rPr>
      </w:r>
      <w:r>
        <w:rPr>
          <w:noProof/>
        </w:rPr>
        <w:fldChar w:fldCharType="separate"/>
      </w:r>
      <w:r>
        <w:rPr>
          <w:noProof/>
        </w:rPr>
        <w:t>165</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5.6.2.3.3</w:t>
      </w:r>
      <w:r w:rsidRPr="00DD140B">
        <w:rPr>
          <w:rFonts w:ascii="Calibri" w:eastAsia="Malgun Gothic" w:hAnsi="Calibri"/>
          <w:noProof/>
          <w:sz w:val="22"/>
          <w:szCs w:val="22"/>
          <w:lang w:eastAsia="ko-KR"/>
        </w:rPr>
        <w:tab/>
      </w:r>
      <w:r>
        <w:rPr>
          <w:noProof/>
        </w:rPr>
        <w:t xml:space="preserve">Enumeration: </w:t>
      </w:r>
      <w:r w:rsidRPr="00677085">
        <w:rPr>
          <w:rFonts w:eastAsia="Times New Roman"/>
          <w:noProof/>
        </w:rPr>
        <w:t>PdnEstablishmentOptions</w:t>
      </w:r>
      <w:r>
        <w:rPr>
          <w:noProof/>
        </w:rPr>
        <w:tab/>
      </w:r>
      <w:r>
        <w:rPr>
          <w:noProof/>
        </w:rPr>
        <w:fldChar w:fldCharType="begin" w:fldLock="1"/>
      </w:r>
      <w:r>
        <w:rPr>
          <w:noProof/>
        </w:rPr>
        <w:instrText xml:space="preserve"> PAGEREF _Toc153625360 \h </w:instrText>
      </w:r>
      <w:r>
        <w:rPr>
          <w:noProof/>
        </w:rPr>
      </w:r>
      <w:r>
        <w:rPr>
          <w:noProof/>
        </w:rPr>
        <w:fldChar w:fldCharType="separate"/>
      </w:r>
      <w:r>
        <w:rPr>
          <w:noProof/>
        </w:rPr>
        <w:t>165</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5.6.2.3.4</w:t>
      </w:r>
      <w:r w:rsidRPr="00DD140B">
        <w:rPr>
          <w:rFonts w:ascii="Calibri" w:eastAsia="Malgun Gothic" w:hAnsi="Calibri"/>
          <w:noProof/>
          <w:sz w:val="22"/>
          <w:szCs w:val="22"/>
          <w:lang w:eastAsia="ko-KR"/>
        </w:rPr>
        <w:tab/>
      </w:r>
      <w:r>
        <w:rPr>
          <w:noProof/>
        </w:rPr>
        <w:t xml:space="preserve">Enumeration: </w:t>
      </w:r>
      <w:r w:rsidRPr="00677085">
        <w:rPr>
          <w:rFonts w:eastAsia="Times New Roman"/>
          <w:noProof/>
        </w:rPr>
        <w:t>DeliveryStatus</w:t>
      </w:r>
      <w:r>
        <w:rPr>
          <w:noProof/>
        </w:rPr>
        <w:tab/>
      </w:r>
      <w:r>
        <w:rPr>
          <w:noProof/>
        </w:rPr>
        <w:fldChar w:fldCharType="begin" w:fldLock="1"/>
      </w:r>
      <w:r>
        <w:rPr>
          <w:noProof/>
        </w:rPr>
        <w:instrText xml:space="preserve"> PAGEREF _Toc153625361 \h </w:instrText>
      </w:r>
      <w:r>
        <w:rPr>
          <w:noProof/>
        </w:rPr>
      </w:r>
      <w:r>
        <w:rPr>
          <w:noProof/>
        </w:rPr>
        <w:fldChar w:fldCharType="separate"/>
      </w:r>
      <w:r>
        <w:rPr>
          <w:noProof/>
        </w:rPr>
        <w:t>165</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5.6.2.3.5</w:t>
      </w:r>
      <w:r w:rsidRPr="00DD140B">
        <w:rPr>
          <w:rFonts w:ascii="Calibri" w:eastAsia="Malgun Gothic" w:hAnsi="Calibri"/>
          <w:noProof/>
          <w:sz w:val="22"/>
          <w:szCs w:val="22"/>
          <w:lang w:eastAsia="ko-KR"/>
        </w:rPr>
        <w:tab/>
      </w:r>
      <w:r>
        <w:rPr>
          <w:noProof/>
        </w:rPr>
        <w:t xml:space="preserve">Enumeration: </w:t>
      </w:r>
      <w:r w:rsidRPr="00677085">
        <w:rPr>
          <w:rFonts w:eastAsia="Times New Roman"/>
          <w:noProof/>
        </w:rPr>
        <w:t>NiddStatus</w:t>
      </w:r>
      <w:r>
        <w:rPr>
          <w:noProof/>
        </w:rPr>
        <w:tab/>
      </w:r>
      <w:r>
        <w:rPr>
          <w:noProof/>
        </w:rPr>
        <w:fldChar w:fldCharType="begin" w:fldLock="1"/>
      </w:r>
      <w:r>
        <w:rPr>
          <w:noProof/>
        </w:rPr>
        <w:instrText xml:space="preserve"> PAGEREF _Toc153625362 \h </w:instrText>
      </w:r>
      <w:r>
        <w:rPr>
          <w:noProof/>
        </w:rPr>
      </w:r>
      <w:r>
        <w:rPr>
          <w:noProof/>
        </w:rPr>
        <w:fldChar w:fldCharType="separate"/>
      </w:r>
      <w:r>
        <w:rPr>
          <w:noProof/>
        </w:rPr>
        <w:t>166</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5.6.2.3.6</w:t>
      </w:r>
      <w:r w:rsidRPr="00DD140B">
        <w:rPr>
          <w:rFonts w:ascii="Calibri" w:eastAsia="Malgun Gothic" w:hAnsi="Calibri"/>
          <w:noProof/>
          <w:sz w:val="22"/>
          <w:szCs w:val="22"/>
          <w:lang w:eastAsia="ko-KR"/>
        </w:rPr>
        <w:tab/>
      </w:r>
      <w:r>
        <w:rPr>
          <w:noProof/>
        </w:rPr>
        <w:t xml:space="preserve">Enumeration: </w:t>
      </w:r>
      <w:r w:rsidRPr="00677085">
        <w:rPr>
          <w:rFonts w:eastAsia="Times New Roman"/>
          <w:noProof/>
        </w:rPr>
        <w:t>PdnEstablishmentOptionsRm</w:t>
      </w:r>
      <w:r>
        <w:rPr>
          <w:noProof/>
        </w:rPr>
        <w:tab/>
      </w:r>
      <w:r>
        <w:rPr>
          <w:noProof/>
        </w:rPr>
        <w:fldChar w:fldCharType="begin" w:fldLock="1"/>
      </w:r>
      <w:r>
        <w:rPr>
          <w:noProof/>
        </w:rPr>
        <w:instrText xml:space="preserve"> PAGEREF _Toc153625363 \h </w:instrText>
      </w:r>
      <w:r>
        <w:rPr>
          <w:noProof/>
        </w:rPr>
      </w:r>
      <w:r>
        <w:rPr>
          <w:noProof/>
        </w:rPr>
        <w:fldChar w:fldCharType="separate"/>
      </w:r>
      <w:r>
        <w:rPr>
          <w:noProof/>
        </w:rPr>
        <w:t>166</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5.6.2.3.7</w:t>
      </w:r>
      <w:r w:rsidRPr="00DD140B">
        <w:rPr>
          <w:rFonts w:ascii="Calibri" w:eastAsia="Malgun Gothic" w:hAnsi="Calibri"/>
          <w:noProof/>
          <w:sz w:val="22"/>
          <w:szCs w:val="22"/>
          <w:lang w:eastAsia="ko-KR"/>
        </w:rPr>
        <w:tab/>
      </w:r>
      <w:r>
        <w:rPr>
          <w:noProof/>
        </w:rPr>
        <w:t>Enumeration: ManageEntity</w:t>
      </w:r>
      <w:r>
        <w:rPr>
          <w:noProof/>
        </w:rPr>
        <w:tab/>
      </w:r>
      <w:r>
        <w:rPr>
          <w:noProof/>
        </w:rPr>
        <w:fldChar w:fldCharType="begin" w:fldLock="1"/>
      </w:r>
      <w:r>
        <w:rPr>
          <w:noProof/>
        </w:rPr>
        <w:instrText xml:space="preserve"> PAGEREF _Toc153625364 \h </w:instrText>
      </w:r>
      <w:r>
        <w:rPr>
          <w:noProof/>
        </w:rPr>
      </w:r>
      <w:r>
        <w:rPr>
          <w:noProof/>
        </w:rPr>
        <w:fldChar w:fldCharType="separate"/>
      </w:r>
      <w:r>
        <w:rPr>
          <w:noProof/>
        </w:rPr>
        <w:t>167</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5.6.2.3.8</w:t>
      </w:r>
      <w:r w:rsidRPr="00DD140B">
        <w:rPr>
          <w:rFonts w:ascii="Calibri" w:eastAsia="Malgun Gothic" w:hAnsi="Calibri"/>
          <w:noProof/>
          <w:sz w:val="22"/>
          <w:szCs w:val="22"/>
          <w:lang w:eastAsia="ko-KR"/>
        </w:rPr>
        <w:tab/>
      </w:r>
      <w:r>
        <w:rPr>
          <w:noProof/>
        </w:rPr>
        <w:t>Enumeration: SerializationFormat</w:t>
      </w:r>
      <w:r>
        <w:rPr>
          <w:noProof/>
        </w:rPr>
        <w:tab/>
      </w:r>
      <w:r>
        <w:rPr>
          <w:noProof/>
        </w:rPr>
        <w:fldChar w:fldCharType="begin" w:fldLock="1"/>
      </w:r>
      <w:r>
        <w:rPr>
          <w:noProof/>
        </w:rPr>
        <w:instrText xml:space="preserve"> PAGEREF _Toc153625365 \h </w:instrText>
      </w:r>
      <w:r>
        <w:rPr>
          <w:noProof/>
        </w:rPr>
      </w:r>
      <w:r>
        <w:rPr>
          <w:noProof/>
        </w:rPr>
        <w:fldChar w:fldCharType="separate"/>
      </w:r>
      <w:r>
        <w:rPr>
          <w:noProof/>
        </w:rPr>
        <w:t>167</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5.6.3</w:t>
      </w:r>
      <w:r w:rsidRPr="00DD140B">
        <w:rPr>
          <w:rFonts w:ascii="Calibri" w:eastAsia="Malgun Gothic" w:hAnsi="Calibri"/>
          <w:noProof/>
          <w:sz w:val="22"/>
          <w:szCs w:val="22"/>
          <w:lang w:eastAsia="ko-KR"/>
        </w:rPr>
        <w:tab/>
      </w:r>
      <w:r>
        <w:rPr>
          <w:noProof/>
        </w:rPr>
        <w:t>Resource structure</w:t>
      </w:r>
      <w:r>
        <w:rPr>
          <w:noProof/>
        </w:rPr>
        <w:tab/>
      </w:r>
      <w:r>
        <w:rPr>
          <w:noProof/>
        </w:rPr>
        <w:fldChar w:fldCharType="begin" w:fldLock="1"/>
      </w:r>
      <w:r>
        <w:rPr>
          <w:noProof/>
        </w:rPr>
        <w:instrText xml:space="preserve"> PAGEREF _Toc153625366 \h </w:instrText>
      </w:r>
      <w:r>
        <w:rPr>
          <w:noProof/>
        </w:rPr>
      </w:r>
      <w:r>
        <w:rPr>
          <w:noProof/>
        </w:rPr>
        <w:fldChar w:fldCharType="separate"/>
      </w:r>
      <w:r>
        <w:rPr>
          <w:noProof/>
        </w:rPr>
        <w:t>167</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5.6.3.1</w:t>
      </w:r>
      <w:r w:rsidRPr="00DD140B">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_Toc153625367 \h </w:instrText>
      </w:r>
      <w:r>
        <w:rPr>
          <w:noProof/>
        </w:rPr>
      </w:r>
      <w:r>
        <w:rPr>
          <w:noProof/>
        </w:rPr>
        <w:fldChar w:fldCharType="separate"/>
      </w:r>
      <w:r>
        <w:rPr>
          <w:noProof/>
        </w:rPr>
        <w:t>167</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5.6.3.2</w:t>
      </w:r>
      <w:r w:rsidRPr="00DD140B">
        <w:rPr>
          <w:rFonts w:ascii="Calibri" w:eastAsia="Malgun Gothic" w:hAnsi="Calibri"/>
          <w:noProof/>
          <w:sz w:val="22"/>
          <w:szCs w:val="22"/>
          <w:lang w:eastAsia="ko-KR"/>
        </w:rPr>
        <w:tab/>
      </w:r>
      <w:r>
        <w:rPr>
          <w:noProof/>
        </w:rPr>
        <w:t xml:space="preserve">Resource: NIDD </w:t>
      </w:r>
      <w:r>
        <w:rPr>
          <w:noProof/>
          <w:lang w:eastAsia="zh-CN"/>
        </w:rPr>
        <w:t>Configurations</w:t>
      </w:r>
      <w:r>
        <w:rPr>
          <w:noProof/>
        </w:rPr>
        <w:tab/>
      </w:r>
      <w:r>
        <w:rPr>
          <w:noProof/>
        </w:rPr>
        <w:fldChar w:fldCharType="begin" w:fldLock="1"/>
      </w:r>
      <w:r>
        <w:rPr>
          <w:noProof/>
        </w:rPr>
        <w:instrText xml:space="preserve"> PAGEREF _Toc153625368 \h </w:instrText>
      </w:r>
      <w:r>
        <w:rPr>
          <w:noProof/>
        </w:rPr>
      </w:r>
      <w:r>
        <w:rPr>
          <w:noProof/>
        </w:rPr>
        <w:fldChar w:fldCharType="separate"/>
      </w:r>
      <w:r>
        <w:rPr>
          <w:noProof/>
        </w:rPr>
        <w:t>168</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5.6.3.2.1</w:t>
      </w:r>
      <w:r w:rsidRPr="00DD140B">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_Toc153625369 \h </w:instrText>
      </w:r>
      <w:r>
        <w:rPr>
          <w:noProof/>
        </w:rPr>
      </w:r>
      <w:r>
        <w:rPr>
          <w:noProof/>
        </w:rPr>
        <w:fldChar w:fldCharType="separate"/>
      </w:r>
      <w:r>
        <w:rPr>
          <w:noProof/>
        </w:rPr>
        <w:t>168</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5.6.3.2.2</w:t>
      </w:r>
      <w:r w:rsidRPr="00DD140B">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_Toc153625370 \h </w:instrText>
      </w:r>
      <w:r>
        <w:rPr>
          <w:noProof/>
        </w:rPr>
      </w:r>
      <w:r>
        <w:rPr>
          <w:noProof/>
        </w:rPr>
        <w:fldChar w:fldCharType="separate"/>
      </w:r>
      <w:r>
        <w:rPr>
          <w:noProof/>
        </w:rPr>
        <w:t>169</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5.6.3.2.3</w:t>
      </w:r>
      <w:r w:rsidRPr="00DD140B">
        <w:rPr>
          <w:rFonts w:ascii="Calibri" w:eastAsia="Malgun Gothic" w:hAnsi="Calibri"/>
          <w:noProof/>
          <w:sz w:val="22"/>
          <w:szCs w:val="22"/>
          <w:lang w:eastAsia="ko-KR"/>
        </w:rPr>
        <w:tab/>
      </w:r>
      <w:r>
        <w:rPr>
          <w:noProof/>
        </w:rPr>
        <w:t>Resource methods</w:t>
      </w:r>
      <w:r>
        <w:rPr>
          <w:noProof/>
        </w:rPr>
        <w:tab/>
      </w:r>
      <w:r>
        <w:rPr>
          <w:noProof/>
        </w:rPr>
        <w:fldChar w:fldCharType="begin" w:fldLock="1"/>
      </w:r>
      <w:r>
        <w:rPr>
          <w:noProof/>
        </w:rPr>
        <w:instrText xml:space="preserve"> PAGEREF _Toc153625371 \h </w:instrText>
      </w:r>
      <w:r>
        <w:rPr>
          <w:noProof/>
        </w:rPr>
      </w:r>
      <w:r>
        <w:rPr>
          <w:noProof/>
        </w:rPr>
        <w:fldChar w:fldCharType="separate"/>
      </w:r>
      <w:r>
        <w:rPr>
          <w:noProof/>
        </w:rPr>
        <w:t>169</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5.6.3.2.3.1</w:t>
      </w:r>
      <w:r w:rsidRPr="00DD140B">
        <w:rPr>
          <w:rFonts w:ascii="Calibri" w:eastAsia="Malgun Gothic" w:hAnsi="Calibri"/>
          <w:noProof/>
          <w:sz w:val="22"/>
          <w:szCs w:val="22"/>
          <w:lang w:eastAsia="ko-KR"/>
        </w:rPr>
        <w:tab/>
      </w:r>
      <w:r>
        <w:rPr>
          <w:noProof/>
        </w:rPr>
        <w:t>GET</w:t>
      </w:r>
      <w:r>
        <w:rPr>
          <w:noProof/>
        </w:rPr>
        <w:tab/>
      </w:r>
      <w:r>
        <w:rPr>
          <w:noProof/>
        </w:rPr>
        <w:fldChar w:fldCharType="begin" w:fldLock="1"/>
      </w:r>
      <w:r>
        <w:rPr>
          <w:noProof/>
        </w:rPr>
        <w:instrText xml:space="preserve"> PAGEREF _Toc153625372 \h </w:instrText>
      </w:r>
      <w:r>
        <w:rPr>
          <w:noProof/>
        </w:rPr>
      </w:r>
      <w:r>
        <w:rPr>
          <w:noProof/>
        </w:rPr>
        <w:fldChar w:fldCharType="separate"/>
      </w:r>
      <w:r>
        <w:rPr>
          <w:noProof/>
        </w:rPr>
        <w:t>169</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5.6.3.2.3.2</w:t>
      </w:r>
      <w:r w:rsidRPr="00DD140B">
        <w:rPr>
          <w:rFonts w:ascii="Calibri" w:eastAsia="Malgun Gothic" w:hAnsi="Calibri"/>
          <w:noProof/>
          <w:sz w:val="22"/>
          <w:szCs w:val="22"/>
          <w:lang w:eastAsia="ko-KR"/>
        </w:rPr>
        <w:tab/>
      </w:r>
      <w:r>
        <w:rPr>
          <w:noProof/>
        </w:rPr>
        <w:t>PUT</w:t>
      </w:r>
      <w:r>
        <w:rPr>
          <w:noProof/>
        </w:rPr>
        <w:tab/>
      </w:r>
      <w:r>
        <w:rPr>
          <w:noProof/>
        </w:rPr>
        <w:fldChar w:fldCharType="begin" w:fldLock="1"/>
      </w:r>
      <w:r>
        <w:rPr>
          <w:noProof/>
        </w:rPr>
        <w:instrText xml:space="preserve"> PAGEREF _Toc153625373 \h </w:instrText>
      </w:r>
      <w:r>
        <w:rPr>
          <w:noProof/>
        </w:rPr>
      </w:r>
      <w:r>
        <w:rPr>
          <w:noProof/>
        </w:rPr>
        <w:fldChar w:fldCharType="separate"/>
      </w:r>
      <w:r>
        <w:rPr>
          <w:noProof/>
        </w:rPr>
        <w:t>170</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5.6.3.2.3.3</w:t>
      </w:r>
      <w:r w:rsidRPr="00DD140B">
        <w:rPr>
          <w:rFonts w:ascii="Calibri" w:eastAsia="Malgun Gothic" w:hAnsi="Calibri"/>
          <w:noProof/>
          <w:sz w:val="22"/>
          <w:szCs w:val="22"/>
          <w:lang w:eastAsia="ko-KR"/>
        </w:rPr>
        <w:tab/>
      </w:r>
      <w:r>
        <w:rPr>
          <w:noProof/>
        </w:rPr>
        <w:t>PATCH</w:t>
      </w:r>
      <w:r>
        <w:rPr>
          <w:noProof/>
        </w:rPr>
        <w:tab/>
      </w:r>
      <w:r>
        <w:rPr>
          <w:noProof/>
        </w:rPr>
        <w:fldChar w:fldCharType="begin" w:fldLock="1"/>
      </w:r>
      <w:r>
        <w:rPr>
          <w:noProof/>
        </w:rPr>
        <w:instrText xml:space="preserve"> PAGEREF _Toc153625374 \h </w:instrText>
      </w:r>
      <w:r>
        <w:rPr>
          <w:noProof/>
        </w:rPr>
      </w:r>
      <w:r>
        <w:rPr>
          <w:noProof/>
        </w:rPr>
        <w:fldChar w:fldCharType="separate"/>
      </w:r>
      <w:r>
        <w:rPr>
          <w:noProof/>
        </w:rPr>
        <w:t>170</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5.6.3.2.3.4</w:t>
      </w:r>
      <w:r w:rsidRPr="00DD140B">
        <w:rPr>
          <w:rFonts w:ascii="Calibri" w:eastAsia="Malgun Gothic" w:hAnsi="Calibri"/>
          <w:noProof/>
          <w:sz w:val="22"/>
          <w:szCs w:val="22"/>
          <w:lang w:eastAsia="ko-KR"/>
        </w:rPr>
        <w:tab/>
      </w:r>
      <w:r>
        <w:rPr>
          <w:noProof/>
        </w:rPr>
        <w:t>POST</w:t>
      </w:r>
      <w:r>
        <w:rPr>
          <w:noProof/>
        </w:rPr>
        <w:tab/>
      </w:r>
      <w:r>
        <w:rPr>
          <w:noProof/>
        </w:rPr>
        <w:fldChar w:fldCharType="begin" w:fldLock="1"/>
      </w:r>
      <w:r>
        <w:rPr>
          <w:noProof/>
        </w:rPr>
        <w:instrText xml:space="preserve"> PAGEREF _Toc153625375 \h </w:instrText>
      </w:r>
      <w:r>
        <w:rPr>
          <w:noProof/>
        </w:rPr>
      </w:r>
      <w:r>
        <w:rPr>
          <w:noProof/>
        </w:rPr>
        <w:fldChar w:fldCharType="separate"/>
      </w:r>
      <w:r>
        <w:rPr>
          <w:noProof/>
        </w:rPr>
        <w:t>170</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5.6.3.2.3.5</w:t>
      </w:r>
      <w:r w:rsidRPr="00DD140B">
        <w:rPr>
          <w:rFonts w:ascii="Calibri" w:eastAsia="Malgun Gothic" w:hAnsi="Calibri"/>
          <w:noProof/>
          <w:sz w:val="22"/>
          <w:szCs w:val="22"/>
          <w:lang w:eastAsia="ko-KR"/>
        </w:rPr>
        <w:tab/>
      </w:r>
      <w:r>
        <w:rPr>
          <w:noProof/>
        </w:rPr>
        <w:t>DELETE</w:t>
      </w:r>
      <w:r>
        <w:rPr>
          <w:noProof/>
        </w:rPr>
        <w:tab/>
      </w:r>
      <w:r>
        <w:rPr>
          <w:noProof/>
        </w:rPr>
        <w:fldChar w:fldCharType="begin" w:fldLock="1"/>
      </w:r>
      <w:r>
        <w:rPr>
          <w:noProof/>
        </w:rPr>
        <w:instrText xml:space="preserve"> PAGEREF _Toc153625376 \h </w:instrText>
      </w:r>
      <w:r>
        <w:rPr>
          <w:noProof/>
        </w:rPr>
      </w:r>
      <w:r>
        <w:rPr>
          <w:noProof/>
        </w:rPr>
        <w:fldChar w:fldCharType="separate"/>
      </w:r>
      <w:r>
        <w:rPr>
          <w:noProof/>
        </w:rPr>
        <w:t>170</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5.6.3.3</w:t>
      </w:r>
      <w:r w:rsidRPr="00DD140B">
        <w:rPr>
          <w:rFonts w:ascii="Calibri" w:eastAsia="Malgun Gothic" w:hAnsi="Calibri"/>
          <w:noProof/>
          <w:sz w:val="22"/>
          <w:szCs w:val="22"/>
          <w:lang w:eastAsia="ko-KR"/>
        </w:rPr>
        <w:tab/>
      </w:r>
      <w:r>
        <w:rPr>
          <w:noProof/>
        </w:rPr>
        <w:t xml:space="preserve">Resource: Individual NIDD </w:t>
      </w:r>
      <w:r>
        <w:rPr>
          <w:noProof/>
          <w:lang w:eastAsia="zh-CN"/>
        </w:rPr>
        <w:t>Configuration</w:t>
      </w:r>
      <w:r>
        <w:rPr>
          <w:noProof/>
        </w:rPr>
        <w:tab/>
      </w:r>
      <w:r>
        <w:rPr>
          <w:noProof/>
        </w:rPr>
        <w:fldChar w:fldCharType="begin" w:fldLock="1"/>
      </w:r>
      <w:r>
        <w:rPr>
          <w:noProof/>
        </w:rPr>
        <w:instrText xml:space="preserve"> PAGEREF _Toc153625377 \h </w:instrText>
      </w:r>
      <w:r>
        <w:rPr>
          <w:noProof/>
        </w:rPr>
      </w:r>
      <w:r>
        <w:rPr>
          <w:noProof/>
        </w:rPr>
        <w:fldChar w:fldCharType="separate"/>
      </w:r>
      <w:r>
        <w:rPr>
          <w:noProof/>
        </w:rPr>
        <w:t>170</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5.6.3.3.1</w:t>
      </w:r>
      <w:r w:rsidRPr="00DD140B">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_Toc153625378 \h </w:instrText>
      </w:r>
      <w:r>
        <w:rPr>
          <w:noProof/>
        </w:rPr>
      </w:r>
      <w:r>
        <w:rPr>
          <w:noProof/>
        </w:rPr>
        <w:fldChar w:fldCharType="separate"/>
      </w:r>
      <w:r>
        <w:rPr>
          <w:noProof/>
        </w:rPr>
        <w:t>170</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5.6.3.3.2</w:t>
      </w:r>
      <w:r w:rsidRPr="00DD140B">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_Toc153625379 \h </w:instrText>
      </w:r>
      <w:r>
        <w:rPr>
          <w:noProof/>
        </w:rPr>
      </w:r>
      <w:r>
        <w:rPr>
          <w:noProof/>
        </w:rPr>
        <w:fldChar w:fldCharType="separate"/>
      </w:r>
      <w:r>
        <w:rPr>
          <w:noProof/>
        </w:rPr>
        <w:t>171</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5.6.3.3.3</w:t>
      </w:r>
      <w:r w:rsidRPr="00DD140B">
        <w:rPr>
          <w:rFonts w:ascii="Calibri" w:eastAsia="Malgun Gothic" w:hAnsi="Calibri"/>
          <w:noProof/>
          <w:sz w:val="22"/>
          <w:szCs w:val="22"/>
          <w:lang w:eastAsia="ko-KR"/>
        </w:rPr>
        <w:tab/>
      </w:r>
      <w:r>
        <w:rPr>
          <w:noProof/>
        </w:rPr>
        <w:t>Resource methods</w:t>
      </w:r>
      <w:r>
        <w:rPr>
          <w:noProof/>
        </w:rPr>
        <w:tab/>
      </w:r>
      <w:r>
        <w:rPr>
          <w:noProof/>
        </w:rPr>
        <w:fldChar w:fldCharType="begin" w:fldLock="1"/>
      </w:r>
      <w:r>
        <w:rPr>
          <w:noProof/>
        </w:rPr>
        <w:instrText xml:space="preserve"> PAGEREF _Toc153625380 \h </w:instrText>
      </w:r>
      <w:r>
        <w:rPr>
          <w:noProof/>
        </w:rPr>
      </w:r>
      <w:r>
        <w:rPr>
          <w:noProof/>
        </w:rPr>
        <w:fldChar w:fldCharType="separate"/>
      </w:r>
      <w:r>
        <w:rPr>
          <w:noProof/>
        </w:rPr>
        <w:t>171</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5.6.3.3.3.1</w:t>
      </w:r>
      <w:r w:rsidRPr="00DD140B">
        <w:rPr>
          <w:rFonts w:ascii="Calibri" w:eastAsia="Malgun Gothic" w:hAnsi="Calibri"/>
          <w:noProof/>
          <w:sz w:val="22"/>
          <w:szCs w:val="22"/>
          <w:lang w:eastAsia="ko-KR"/>
        </w:rPr>
        <w:tab/>
      </w:r>
      <w:r>
        <w:rPr>
          <w:noProof/>
        </w:rPr>
        <w:t>GET</w:t>
      </w:r>
      <w:r>
        <w:rPr>
          <w:noProof/>
        </w:rPr>
        <w:tab/>
      </w:r>
      <w:r>
        <w:rPr>
          <w:noProof/>
        </w:rPr>
        <w:fldChar w:fldCharType="begin" w:fldLock="1"/>
      </w:r>
      <w:r>
        <w:rPr>
          <w:noProof/>
        </w:rPr>
        <w:instrText xml:space="preserve"> PAGEREF _Toc153625381 \h </w:instrText>
      </w:r>
      <w:r>
        <w:rPr>
          <w:noProof/>
        </w:rPr>
      </w:r>
      <w:r>
        <w:rPr>
          <w:noProof/>
        </w:rPr>
        <w:fldChar w:fldCharType="separate"/>
      </w:r>
      <w:r>
        <w:rPr>
          <w:noProof/>
        </w:rPr>
        <w:t>171</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5.6.3.3.3.2</w:t>
      </w:r>
      <w:r w:rsidRPr="00DD140B">
        <w:rPr>
          <w:rFonts w:ascii="Calibri" w:eastAsia="Malgun Gothic" w:hAnsi="Calibri"/>
          <w:noProof/>
          <w:sz w:val="22"/>
          <w:szCs w:val="22"/>
          <w:lang w:eastAsia="ko-KR"/>
        </w:rPr>
        <w:tab/>
      </w:r>
      <w:r>
        <w:rPr>
          <w:noProof/>
        </w:rPr>
        <w:t>PUT</w:t>
      </w:r>
      <w:r>
        <w:rPr>
          <w:noProof/>
        </w:rPr>
        <w:tab/>
      </w:r>
      <w:r>
        <w:rPr>
          <w:noProof/>
        </w:rPr>
        <w:fldChar w:fldCharType="begin" w:fldLock="1"/>
      </w:r>
      <w:r>
        <w:rPr>
          <w:noProof/>
        </w:rPr>
        <w:instrText xml:space="preserve"> PAGEREF _Toc153625382 \h </w:instrText>
      </w:r>
      <w:r>
        <w:rPr>
          <w:noProof/>
        </w:rPr>
      </w:r>
      <w:r>
        <w:rPr>
          <w:noProof/>
        </w:rPr>
        <w:fldChar w:fldCharType="separate"/>
      </w:r>
      <w:r>
        <w:rPr>
          <w:noProof/>
        </w:rPr>
        <w:t>172</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5.6.3.3.3.3</w:t>
      </w:r>
      <w:r w:rsidRPr="00DD140B">
        <w:rPr>
          <w:rFonts w:ascii="Calibri" w:eastAsia="Malgun Gothic" w:hAnsi="Calibri"/>
          <w:noProof/>
          <w:sz w:val="22"/>
          <w:szCs w:val="22"/>
          <w:lang w:eastAsia="ko-KR"/>
        </w:rPr>
        <w:tab/>
      </w:r>
      <w:r>
        <w:rPr>
          <w:noProof/>
        </w:rPr>
        <w:t>PATCH</w:t>
      </w:r>
      <w:r>
        <w:rPr>
          <w:noProof/>
        </w:rPr>
        <w:tab/>
      </w:r>
      <w:r>
        <w:rPr>
          <w:noProof/>
        </w:rPr>
        <w:fldChar w:fldCharType="begin" w:fldLock="1"/>
      </w:r>
      <w:r>
        <w:rPr>
          <w:noProof/>
        </w:rPr>
        <w:instrText xml:space="preserve"> PAGEREF _Toc153625383 \h </w:instrText>
      </w:r>
      <w:r>
        <w:rPr>
          <w:noProof/>
        </w:rPr>
      </w:r>
      <w:r>
        <w:rPr>
          <w:noProof/>
        </w:rPr>
        <w:fldChar w:fldCharType="separate"/>
      </w:r>
      <w:r>
        <w:rPr>
          <w:noProof/>
        </w:rPr>
        <w:t>172</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5.6.3.3.3.4</w:t>
      </w:r>
      <w:r w:rsidRPr="00DD140B">
        <w:rPr>
          <w:rFonts w:ascii="Calibri" w:eastAsia="Malgun Gothic" w:hAnsi="Calibri"/>
          <w:noProof/>
          <w:sz w:val="22"/>
          <w:szCs w:val="22"/>
          <w:lang w:eastAsia="ko-KR"/>
        </w:rPr>
        <w:tab/>
      </w:r>
      <w:r>
        <w:rPr>
          <w:noProof/>
        </w:rPr>
        <w:t>POST</w:t>
      </w:r>
      <w:r>
        <w:rPr>
          <w:noProof/>
        </w:rPr>
        <w:tab/>
      </w:r>
      <w:r>
        <w:rPr>
          <w:noProof/>
        </w:rPr>
        <w:fldChar w:fldCharType="begin" w:fldLock="1"/>
      </w:r>
      <w:r>
        <w:rPr>
          <w:noProof/>
        </w:rPr>
        <w:instrText xml:space="preserve"> PAGEREF _Toc153625384 \h </w:instrText>
      </w:r>
      <w:r>
        <w:rPr>
          <w:noProof/>
        </w:rPr>
      </w:r>
      <w:r>
        <w:rPr>
          <w:noProof/>
        </w:rPr>
        <w:fldChar w:fldCharType="separate"/>
      </w:r>
      <w:r>
        <w:rPr>
          <w:noProof/>
        </w:rPr>
        <w:t>173</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5.6.3.3.3.5</w:t>
      </w:r>
      <w:r w:rsidRPr="00DD140B">
        <w:rPr>
          <w:rFonts w:ascii="Calibri" w:eastAsia="Malgun Gothic" w:hAnsi="Calibri"/>
          <w:noProof/>
          <w:sz w:val="22"/>
          <w:szCs w:val="22"/>
          <w:lang w:eastAsia="ko-KR"/>
        </w:rPr>
        <w:tab/>
      </w:r>
      <w:r>
        <w:rPr>
          <w:noProof/>
        </w:rPr>
        <w:t>DELETE</w:t>
      </w:r>
      <w:r>
        <w:rPr>
          <w:noProof/>
        </w:rPr>
        <w:tab/>
      </w:r>
      <w:r>
        <w:rPr>
          <w:noProof/>
        </w:rPr>
        <w:fldChar w:fldCharType="begin" w:fldLock="1"/>
      </w:r>
      <w:r>
        <w:rPr>
          <w:noProof/>
        </w:rPr>
        <w:instrText xml:space="preserve"> PAGEREF _Toc153625385 \h </w:instrText>
      </w:r>
      <w:r>
        <w:rPr>
          <w:noProof/>
        </w:rPr>
      </w:r>
      <w:r>
        <w:rPr>
          <w:noProof/>
        </w:rPr>
        <w:fldChar w:fldCharType="separate"/>
      </w:r>
      <w:r>
        <w:rPr>
          <w:noProof/>
        </w:rPr>
        <w:t>173</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5.6.3.4</w:t>
      </w:r>
      <w:r w:rsidRPr="00DD140B">
        <w:rPr>
          <w:rFonts w:ascii="Calibri" w:eastAsia="Malgun Gothic" w:hAnsi="Calibri"/>
          <w:noProof/>
          <w:sz w:val="22"/>
          <w:szCs w:val="22"/>
          <w:lang w:eastAsia="ko-KR"/>
        </w:rPr>
        <w:tab/>
      </w:r>
      <w:r>
        <w:rPr>
          <w:noProof/>
        </w:rPr>
        <w:t>Resource: NIDD downlink data</w:t>
      </w:r>
      <w:r>
        <w:rPr>
          <w:noProof/>
          <w:lang w:eastAsia="zh-CN"/>
        </w:rPr>
        <w:t xml:space="preserve"> deliveries</w:t>
      </w:r>
      <w:r>
        <w:rPr>
          <w:noProof/>
        </w:rPr>
        <w:tab/>
      </w:r>
      <w:r>
        <w:rPr>
          <w:noProof/>
        </w:rPr>
        <w:fldChar w:fldCharType="begin" w:fldLock="1"/>
      </w:r>
      <w:r>
        <w:rPr>
          <w:noProof/>
        </w:rPr>
        <w:instrText xml:space="preserve"> PAGEREF _Toc153625386 \h </w:instrText>
      </w:r>
      <w:r>
        <w:rPr>
          <w:noProof/>
        </w:rPr>
      </w:r>
      <w:r>
        <w:rPr>
          <w:noProof/>
        </w:rPr>
        <w:fldChar w:fldCharType="separate"/>
      </w:r>
      <w:r>
        <w:rPr>
          <w:noProof/>
        </w:rPr>
        <w:t>173</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5.6.3.4.1</w:t>
      </w:r>
      <w:r w:rsidRPr="00DD140B">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_Toc153625387 \h </w:instrText>
      </w:r>
      <w:r>
        <w:rPr>
          <w:noProof/>
        </w:rPr>
      </w:r>
      <w:r>
        <w:rPr>
          <w:noProof/>
        </w:rPr>
        <w:fldChar w:fldCharType="separate"/>
      </w:r>
      <w:r>
        <w:rPr>
          <w:noProof/>
        </w:rPr>
        <w:t>173</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5.6.3.4.2</w:t>
      </w:r>
      <w:r w:rsidRPr="00DD140B">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_Toc153625388 \h </w:instrText>
      </w:r>
      <w:r>
        <w:rPr>
          <w:noProof/>
        </w:rPr>
      </w:r>
      <w:r>
        <w:rPr>
          <w:noProof/>
        </w:rPr>
        <w:fldChar w:fldCharType="separate"/>
      </w:r>
      <w:r>
        <w:rPr>
          <w:noProof/>
        </w:rPr>
        <w:t>174</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5.6.3.4.3</w:t>
      </w:r>
      <w:r w:rsidRPr="00DD140B">
        <w:rPr>
          <w:rFonts w:ascii="Calibri" w:eastAsia="Malgun Gothic" w:hAnsi="Calibri"/>
          <w:noProof/>
          <w:sz w:val="22"/>
          <w:szCs w:val="22"/>
          <w:lang w:eastAsia="ko-KR"/>
        </w:rPr>
        <w:tab/>
      </w:r>
      <w:r>
        <w:rPr>
          <w:noProof/>
        </w:rPr>
        <w:t>Resource methods</w:t>
      </w:r>
      <w:r>
        <w:rPr>
          <w:noProof/>
        </w:rPr>
        <w:tab/>
      </w:r>
      <w:r>
        <w:rPr>
          <w:noProof/>
        </w:rPr>
        <w:fldChar w:fldCharType="begin" w:fldLock="1"/>
      </w:r>
      <w:r>
        <w:rPr>
          <w:noProof/>
        </w:rPr>
        <w:instrText xml:space="preserve"> PAGEREF _Toc153625389 \h </w:instrText>
      </w:r>
      <w:r>
        <w:rPr>
          <w:noProof/>
        </w:rPr>
      </w:r>
      <w:r>
        <w:rPr>
          <w:noProof/>
        </w:rPr>
        <w:fldChar w:fldCharType="separate"/>
      </w:r>
      <w:r>
        <w:rPr>
          <w:noProof/>
        </w:rPr>
        <w:t>174</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5.6.3.4.3.1</w:t>
      </w:r>
      <w:r w:rsidRPr="00DD140B">
        <w:rPr>
          <w:rFonts w:ascii="Calibri" w:eastAsia="Malgun Gothic" w:hAnsi="Calibri"/>
          <w:noProof/>
          <w:sz w:val="22"/>
          <w:szCs w:val="22"/>
          <w:lang w:eastAsia="ko-KR"/>
        </w:rPr>
        <w:tab/>
      </w:r>
      <w:r>
        <w:rPr>
          <w:noProof/>
        </w:rPr>
        <w:t>GET</w:t>
      </w:r>
      <w:r>
        <w:rPr>
          <w:noProof/>
        </w:rPr>
        <w:tab/>
      </w:r>
      <w:r>
        <w:rPr>
          <w:noProof/>
        </w:rPr>
        <w:fldChar w:fldCharType="begin" w:fldLock="1"/>
      </w:r>
      <w:r>
        <w:rPr>
          <w:noProof/>
        </w:rPr>
        <w:instrText xml:space="preserve"> PAGEREF _Toc153625390 \h </w:instrText>
      </w:r>
      <w:r>
        <w:rPr>
          <w:noProof/>
        </w:rPr>
      </w:r>
      <w:r>
        <w:rPr>
          <w:noProof/>
        </w:rPr>
        <w:fldChar w:fldCharType="separate"/>
      </w:r>
      <w:r>
        <w:rPr>
          <w:noProof/>
        </w:rPr>
        <w:t>174</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5.6.3.4.3.2</w:t>
      </w:r>
      <w:r w:rsidRPr="00DD140B">
        <w:rPr>
          <w:rFonts w:ascii="Calibri" w:eastAsia="Malgun Gothic" w:hAnsi="Calibri"/>
          <w:noProof/>
          <w:sz w:val="22"/>
          <w:szCs w:val="22"/>
          <w:lang w:eastAsia="ko-KR"/>
        </w:rPr>
        <w:tab/>
      </w:r>
      <w:r>
        <w:rPr>
          <w:noProof/>
        </w:rPr>
        <w:t>PUT</w:t>
      </w:r>
      <w:r>
        <w:rPr>
          <w:noProof/>
        </w:rPr>
        <w:tab/>
      </w:r>
      <w:r>
        <w:rPr>
          <w:noProof/>
        </w:rPr>
        <w:fldChar w:fldCharType="begin" w:fldLock="1"/>
      </w:r>
      <w:r>
        <w:rPr>
          <w:noProof/>
        </w:rPr>
        <w:instrText xml:space="preserve"> PAGEREF _Toc153625391 \h </w:instrText>
      </w:r>
      <w:r>
        <w:rPr>
          <w:noProof/>
        </w:rPr>
      </w:r>
      <w:r>
        <w:rPr>
          <w:noProof/>
        </w:rPr>
        <w:fldChar w:fldCharType="separate"/>
      </w:r>
      <w:r>
        <w:rPr>
          <w:noProof/>
        </w:rPr>
        <w:t>175</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5.6.3.4.3.3</w:t>
      </w:r>
      <w:r w:rsidRPr="00DD140B">
        <w:rPr>
          <w:rFonts w:ascii="Calibri" w:eastAsia="Malgun Gothic" w:hAnsi="Calibri"/>
          <w:noProof/>
          <w:sz w:val="22"/>
          <w:szCs w:val="22"/>
          <w:lang w:eastAsia="ko-KR"/>
        </w:rPr>
        <w:tab/>
      </w:r>
      <w:r>
        <w:rPr>
          <w:noProof/>
        </w:rPr>
        <w:t>PATCH</w:t>
      </w:r>
      <w:r>
        <w:rPr>
          <w:noProof/>
        </w:rPr>
        <w:tab/>
      </w:r>
      <w:r>
        <w:rPr>
          <w:noProof/>
        </w:rPr>
        <w:fldChar w:fldCharType="begin" w:fldLock="1"/>
      </w:r>
      <w:r>
        <w:rPr>
          <w:noProof/>
        </w:rPr>
        <w:instrText xml:space="preserve"> PAGEREF _Toc153625392 \h </w:instrText>
      </w:r>
      <w:r>
        <w:rPr>
          <w:noProof/>
        </w:rPr>
      </w:r>
      <w:r>
        <w:rPr>
          <w:noProof/>
        </w:rPr>
        <w:fldChar w:fldCharType="separate"/>
      </w:r>
      <w:r>
        <w:rPr>
          <w:noProof/>
        </w:rPr>
        <w:t>175</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5.6.3.4.3.4</w:t>
      </w:r>
      <w:r w:rsidRPr="00DD140B">
        <w:rPr>
          <w:rFonts w:ascii="Calibri" w:eastAsia="Malgun Gothic" w:hAnsi="Calibri"/>
          <w:noProof/>
          <w:sz w:val="22"/>
          <w:szCs w:val="22"/>
          <w:lang w:eastAsia="ko-KR"/>
        </w:rPr>
        <w:tab/>
      </w:r>
      <w:r>
        <w:rPr>
          <w:noProof/>
        </w:rPr>
        <w:t>POST</w:t>
      </w:r>
      <w:r>
        <w:rPr>
          <w:noProof/>
        </w:rPr>
        <w:tab/>
      </w:r>
      <w:r>
        <w:rPr>
          <w:noProof/>
        </w:rPr>
        <w:fldChar w:fldCharType="begin" w:fldLock="1"/>
      </w:r>
      <w:r>
        <w:rPr>
          <w:noProof/>
        </w:rPr>
        <w:instrText xml:space="preserve"> PAGEREF _Toc153625393 \h </w:instrText>
      </w:r>
      <w:r>
        <w:rPr>
          <w:noProof/>
        </w:rPr>
      </w:r>
      <w:r>
        <w:rPr>
          <w:noProof/>
        </w:rPr>
        <w:fldChar w:fldCharType="separate"/>
      </w:r>
      <w:r>
        <w:rPr>
          <w:noProof/>
        </w:rPr>
        <w:t>175</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5.6.3.4.3.5</w:t>
      </w:r>
      <w:r w:rsidRPr="00DD140B">
        <w:rPr>
          <w:rFonts w:ascii="Calibri" w:eastAsia="Malgun Gothic" w:hAnsi="Calibri"/>
          <w:noProof/>
          <w:sz w:val="22"/>
          <w:szCs w:val="22"/>
          <w:lang w:eastAsia="ko-KR"/>
        </w:rPr>
        <w:tab/>
      </w:r>
      <w:r>
        <w:rPr>
          <w:noProof/>
        </w:rPr>
        <w:t>DELETE</w:t>
      </w:r>
      <w:r>
        <w:rPr>
          <w:noProof/>
        </w:rPr>
        <w:tab/>
      </w:r>
      <w:r>
        <w:rPr>
          <w:noProof/>
        </w:rPr>
        <w:fldChar w:fldCharType="begin" w:fldLock="1"/>
      </w:r>
      <w:r>
        <w:rPr>
          <w:noProof/>
        </w:rPr>
        <w:instrText xml:space="preserve"> PAGEREF _Toc153625394 \h </w:instrText>
      </w:r>
      <w:r>
        <w:rPr>
          <w:noProof/>
        </w:rPr>
      </w:r>
      <w:r>
        <w:rPr>
          <w:noProof/>
        </w:rPr>
        <w:fldChar w:fldCharType="separate"/>
      </w:r>
      <w:r>
        <w:rPr>
          <w:noProof/>
        </w:rPr>
        <w:t>177</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5.6.3.5</w:t>
      </w:r>
      <w:r w:rsidRPr="00DD140B">
        <w:rPr>
          <w:rFonts w:ascii="Calibri" w:eastAsia="Malgun Gothic" w:hAnsi="Calibri"/>
          <w:noProof/>
          <w:sz w:val="22"/>
          <w:szCs w:val="22"/>
          <w:lang w:eastAsia="ko-KR"/>
        </w:rPr>
        <w:tab/>
      </w:r>
      <w:r>
        <w:rPr>
          <w:noProof/>
        </w:rPr>
        <w:t>Resource: Individual NIDD downlink data</w:t>
      </w:r>
      <w:r>
        <w:rPr>
          <w:noProof/>
          <w:lang w:eastAsia="zh-CN"/>
        </w:rPr>
        <w:t xml:space="preserve"> delivery</w:t>
      </w:r>
      <w:r>
        <w:rPr>
          <w:noProof/>
        </w:rPr>
        <w:tab/>
      </w:r>
      <w:r>
        <w:rPr>
          <w:noProof/>
        </w:rPr>
        <w:fldChar w:fldCharType="begin" w:fldLock="1"/>
      </w:r>
      <w:r>
        <w:rPr>
          <w:noProof/>
        </w:rPr>
        <w:instrText xml:space="preserve"> PAGEREF _Toc153625395 \h </w:instrText>
      </w:r>
      <w:r>
        <w:rPr>
          <w:noProof/>
        </w:rPr>
      </w:r>
      <w:r>
        <w:rPr>
          <w:noProof/>
        </w:rPr>
        <w:fldChar w:fldCharType="separate"/>
      </w:r>
      <w:r>
        <w:rPr>
          <w:noProof/>
        </w:rPr>
        <w:t>177</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5.6.3.5.1</w:t>
      </w:r>
      <w:r w:rsidRPr="00DD140B">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_Toc153625396 \h </w:instrText>
      </w:r>
      <w:r>
        <w:rPr>
          <w:noProof/>
        </w:rPr>
      </w:r>
      <w:r>
        <w:rPr>
          <w:noProof/>
        </w:rPr>
        <w:fldChar w:fldCharType="separate"/>
      </w:r>
      <w:r>
        <w:rPr>
          <w:noProof/>
        </w:rPr>
        <w:t>177</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5.6.3.5.2</w:t>
      </w:r>
      <w:r w:rsidRPr="00DD140B">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_Toc153625397 \h </w:instrText>
      </w:r>
      <w:r>
        <w:rPr>
          <w:noProof/>
        </w:rPr>
      </w:r>
      <w:r>
        <w:rPr>
          <w:noProof/>
        </w:rPr>
        <w:fldChar w:fldCharType="separate"/>
      </w:r>
      <w:r>
        <w:rPr>
          <w:noProof/>
        </w:rPr>
        <w:t>177</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5.6.3.5.3</w:t>
      </w:r>
      <w:r w:rsidRPr="00DD140B">
        <w:rPr>
          <w:rFonts w:ascii="Calibri" w:eastAsia="Malgun Gothic" w:hAnsi="Calibri"/>
          <w:noProof/>
          <w:sz w:val="22"/>
          <w:szCs w:val="22"/>
          <w:lang w:eastAsia="ko-KR"/>
        </w:rPr>
        <w:tab/>
      </w:r>
      <w:r>
        <w:rPr>
          <w:noProof/>
        </w:rPr>
        <w:t>Resource methods</w:t>
      </w:r>
      <w:r>
        <w:rPr>
          <w:noProof/>
        </w:rPr>
        <w:tab/>
      </w:r>
      <w:r>
        <w:rPr>
          <w:noProof/>
        </w:rPr>
        <w:fldChar w:fldCharType="begin" w:fldLock="1"/>
      </w:r>
      <w:r>
        <w:rPr>
          <w:noProof/>
        </w:rPr>
        <w:instrText xml:space="preserve"> PAGEREF _Toc153625398 \h </w:instrText>
      </w:r>
      <w:r>
        <w:rPr>
          <w:noProof/>
        </w:rPr>
      </w:r>
      <w:r>
        <w:rPr>
          <w:noProof/>
        </w:rPr>
        <w:fldChar w:fldCharType="separate"/>
      </w:r>
      <w:r>
        <w:rPr>
          <w:noProof/>
        </w:rPr>
        <w:t>177</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5.6.3.5.3.1</w:t>
      </w:r>
      <w:r w:rsidRPr="00DD140B">
        <w:rPr>
          <w:rFonts w:ascii="Calibri" w:eastAsia="Malgun Gothic" w:hAnsi="Calibri"/>
          <w:noProof/>
          <w:sz w:val="22"/>
          <w:szCs w:val="22"/>
          <w:lang w:eastAsia="ko-KR"/>
        </w:rPr>
        <w:tab/>
      </w:r>
      <w:r>
        <w:rPr>
          <w:noProof/>
        </w:rPr>
        <w:t>GET</w:t>
      </w:r>
      <w:r>
        <w:rPr>
          <w:noProof/>
        </w:rPr>
        <w:tab/>
      </w:r>
      <w:r>
        <w:rPr>
          <w:noProof/>
        </w:rPr>
        <w:fldChar w:fldCharType="begin" w:fldLock="1"/>
      </w:r>
      <w:r>
        <w:rPr>
          <w:noProof/>
        </w:rPr>
        <w:instrText xml:space="preserve"> PAGEREF _Toc153625399 \h </w:instrText>
      </w:r>
      <w:r>
        <w:rPr>
          <w:noProof/>
        </w:rPr>
      </w:r>
      <w:r>
        <w:rPr>
          <w:noProof/>
        </w:rPr>
        <w:fldChar w:fldCharType="separate"/>
      </w:r>
      <w:r>
        <w:rPr>
          <w:noProof/>
        </w:rPr>
        <w:t>177</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5.6.3.5.3.2</w:t>
      </w:r>
      <w:r w:rsidRPr="00DD140B">
        <w:rPr>
          <w:rFonts w:ascii="Calibri" w:eastAsia="Malgun Gothic" w:hAnsi="Calibri"/>
          <w:noProof/>
          <w:sz w:val="22"/>
          <w:szCs w:val="22"/>
          <w:lang w:eastAsia="ko-KR"/>
        </w:rPr>
        <w:tab/>
      </w:r>
      <w:r>
        <w:rPr>
          <w:noProof/>
        </w:rPr>
        <w:t>PUT</w:t>
      </w:r>
      <w:r>
        <w:rPr>
          <w:noProof/>
        </w:rPr>
        <w:tab/>
      </w:r>
      <w:r>
        <w:rPr>
          <w:noProof/>
        </w:rPr>
        <w:fldChar w:fldCharType="begin" w:fldLock="1"/>
      </w:r>
      <w:r>
        <w:rPr>
          <w:noProof/>
        </w:rPr>
        <w:instrText xml:space="preserve"> PAGEREF _Toc153625400 \h </w:instrText>
      </w:r>
      <w:r>
        <w:rPr>
          <w:noProof/>
        </w:rPr>
      </w:r>
      <w:r>
        <w:rPr>
          <w:noProof/>
        </w:rPr>
        <w:fldChar w:fldCharType="separate"/>
      </w:r>
      <w:r>
        <w:rPr>
          <w:noProof/>
        </w:rPr>
        <w:t>178</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5.6.3.5.3.3</w:t>
      </w:r>
      <w:r w:rsidRPr="00DD140B">
        <w:rPr>
          <w:rFonts w:ascii="Calibri" w:eastAsia="Malgun Gothic" w:hAnsi="Calibri"/>
          <w:noProof/>
          <w:sz w:val="22"/>
          <w:szCs w:val="22"/>
          <w:lang w:eastAsia="ko-KR"/>
        </w:rPr>
        <w:tab/>
      </w:r>
      <w:r>
        <w:rPr>
          <w:noProof/>
        </w:rPr>
        <w:t>PATCH</w:t>
      </w:r>
      <w:r>
        <w:rPr>
          <w:noProof/>
        </w:rPr>
        <w:tab/>
      </w:r>
      <w:r>
        <w:rPr>
          <w:noProof/>
        </w:rPr>
        <w:fldChar w:fldCharType="begin" w:fldLock="1"/>
      </w:r>
      <w:r>
        <w:rPr>
          <w:noProof/>
        </w:rPr>
        <w:instrText xml:space="preserve"> PAGEREF _Toc153625401 \h </w:instrText>
      </w:r>
      <w:r>
        <w:rPr>
          <w:noProof/>
        </w:rPr>
      </w:r>
      <w:r>
        <w:rPr>
          <w:noProof/>
        </w:rPr>
        <w:fldChar w:fldCharType="separate"/>
      </w:r>
      <w:r>
        <w:rPr>
          <w:noProof/>
        </w:rPr>
        <w:t>179</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5.6.3.5.3.4</w:t>
      </w:r>
      <w:r w:rsidRPr="00DD140B">
        <w:rPr>
          <w:rFonts w:ascii="Calibri" w:eastAsia="Malgun Gothic" w:hAnsi="Calibri"/>
          <w:noProof/>
          <w:sz w:val="22"/>
          <w:szCs w:val="22"/>
          <w:lang w:eastAsia="ko-KR"/>
        </w:rPr>
        <w:tab/>
      </w:r>
      <w:r>
        <w:rPr>
          <w:noProof/>
        </w:rPr>
        <w:t>POST</w:t>
      </w:r>
      <w:r>
        <w:rPr>
          <w:noProof/>
        </w:rPr>
        <w:tab/>
      </w:r>
      <w:r>
        <w:rPr>
          <w:noProof/>
        </w:rPr>
        <w:fldChar w:fldCharType="begin" w:fldLock="1"/>
      </w:r>
      <w:r>
        <w:rPr>
          <w:noProof/>
        </w:rPr>
        <w:instrText xml:space="preserve"> PAGEREF _Toc153625402 \h </w:instrText>
      </w:r>
      <w:r>
        <w:rPr>
          <w:noProof/>
        </w:rPr>
      </w:r>
      <w:r>
        <w:rPr>
          <w:noProof/>
        </w:rPr>
        <w:fldChar w:fldCharType="separate"/>
      </w:r>
      <w:r>
        <w:rPr>
          <w:noProof/>
        </w:rPr>
        <w:t>180</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5.6.3.5.3.5</w:t>
      </w:r>
      <w:r w:rsidRPr="00DD140B">
        <w:rPr>
          <w:rFonts w:ascii="Calibri" w:eastAsia="Malgun Gothic" w:hAnsi="Calibri"/>
          <w:noProof/>
          <w:sz w:val="22"/>
          <w:szCs w:val="22"/>
          <w:lang w:eastAsia="ko-KR"/>
        </w:rPr>
        <w:tab/>
      </w:r>
      <w:r>
        <w:rPr>
          <w:noProof/>
        </w:rPr>
        <w:t>DELETE</w:t>
      </w:r>
      <w:r>
        <w:rPr>
          <w:noProof/>
        </w:rPr>
        <w:tab/>
      </w:r>
      <w:r>
        <w:rPr>
          <w:noProof/>
        </w:rPr>
        <w:fldChar w:fldCharType="begin" w:fldLock="1"/>
      </w:r>
      <w:r>
        <w:rPr>
          <w:noProof/>
        </w:rPr>
        <w:instrText xml:space="preserve"> PAGEREF _Toc153625403 \h </w:instrText>
      </w:r>
      <w:r>
        <w:rPr>
          <w:noProof/>
        </w:rPr>
      </w:r>
      <w:r>
        <w:rPr>
          <w:noProof/>
        </w:rPr>
        <w:fldChar w:fldCharType="separate"/>
      </w:r>
      <w:r>
        <w:rPr>
          <w:noProof/>
        </w:rPr>
        <w:t>181</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5.6.3.6</w:t>
      </w:r>
      <w:r w:rsidRPr="00DD140B">
        <w:rPr>
          <w:rFonts w:ascii="Calibri" w:eastAsia="Malgun Gothic" w:hAnsi="Calibri"/>
          <w:noProof/>
          <w:sz w:val="22"/>
          <w:szCs w:val="22"/>
          <w:lang w:eastAsia="ko-KR"/>
        </w:rPr>
        <w:tab/>
      </w:r>
      <w:r>
        <w:rPr>
          <w:noProof/>
        </w:rPr>
        <w:t>Void</w:t>
      </w:r>
      <w:r>
        <w:rPr>
          <w:noProof/>
        </w:rPr>
        <w:tab/>
      </w:r>
      <w:r>
        <w:rPr>
          <w:noProof/>
        </w:rPr>
        <w:fldChar w:fldCharType="begin" w:fldLock="1"/>
      </w:r>
      <w:r>
        <w:rPr>
          <w:noProof/>
        </w:rPr>
        <w:instrText xml:space="preserve"> PAGEREF _Toc153625404 \h </w:instrText>
      </w:r>
      <w:r>
        <w:rPr>
          <w:noProof/>
        </w:rPr>
      </w:r>
      <w:r>
        <w:rPr>
          <w:noProof/>
        </w:rPr>
        <w:fldChar w:fldCharType="separate"/>
      </w:r>
      <w:r>
        <w:rPr>
          <w:noProof/>
        </w:rPr>
        <w:t>182</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5.6.3.7</w:t>
      </w:r>
      <w:r w:rsidRPr="00DD140B">
        <w:rPr>
          <w:rFonts w:ascii="Calibri" w:eastAsia="Malgun Gothic" w:hAnsi="Calibri"/>
          <w:noProof/>
          <w:sz w:val="22"/>
          <w:szCs w:val="22"/>
          <w:lang w:eastAsia="ko-KR"/>
        </w:rPr>
        <w:tab/>
      </w:r>
      <w:r>
        <w:rPr>
          <w:noProof/>
        </w:rPr>
        <w:t>Void</w:t>
      </w:r>
      <w:r>
        <w:rPr>
          <w:noProof/>
        </w:rPr>
        <w:tab/>
      </w:r>
      <w:r>
        <w:rPr>
          <w:noProof/>
        </w:rPr>
        <w:fldChar w:fldCharType="begin" w:fldLock="1"/>
      </w:r>
      <w:r>
        <w:rPr>
          <w:noProof/>
        </w:rPr>
        <w:instrText xml:space="preserve"> PAGEREF _Toc153625405 \h </w:instrText>
      </w:r>
      <w:r>
        <w:rPr>
          <w:noProof/>
        </w:rPr>
      </w:r>
      <w:r>
        <w:rPr>
          <w:noProof/>
        </w:rPr>
        <w:fldChar w:fldCharType="separate"/>
      </w:r>
      <w:r>
        <w:rPr>
          <w:noProof/>
        </w:rPr>
        <w:t>182</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5.6.3.8</w:t>
      </w:r>
      <w:r w:rsidRPr="00DD140B">
        <w:rPr>
          <w:rFonts w:ascii="Calibri" w:eastAsia="Malgun Gothic" w:hAnsi="Calibri"/>
          <w:noProof/>
          <w:sz w:val="22"/>
          <w:szCs w:val="22"/>
          <w:lang w:eastAsia="ko-KR"/>
        </w:rPr>
        <w:tab/>
      </w:r>
      <w:r>
        <w:rPr>
          <w:noProof/>
        </w:rPr>
        <w:t>Void</w:t>
      </w:r>
      <w:r>
        <w:rPr>
          <w:noProof/>
        </w:rPr>
        <w:tab/>
      </w:r>
      <w:r>
        <w:rPr>
          <w:noProof/>
        </w:rPr>
        <w:fldChar w:fldCharType="begin" w:fldLock="1"/>
      </w:r>
      <w:r>
        <w:rPr>
          <w:noProof/>
        </w:rPr>
        <w:instrText xml:space="preserve"> PAGEREF _Toc153625406 \h </w:instrText>
      </w:r>
      <w:r>
        <w:rPr>
          <w:noProof/>
        </w:rPr>
      </w:r>
      <w:r>
        <w:rPr>
          <w:noProof/>
        </w:rPr>
        <w:fldChar w:fldCharType="separate"/>
      </w:r>
      <w:r>
        <w:rPr>
          <w:noProof/>
        </w:rPr>
        <w:t>182</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5.6.3.9</w:t>
      </w:r>
      <w:r w:rsidRPr="00DD140B">
        <w:rPr>
          <w:rFonts w:ascii="Calibri" w:eastAsia="Malgun Gothic" w:hAnsi="Calibri"/>
          <w:noProof/>
          <w:sz w:val="22"/>
          <w:szCs w:val="22"/>
          <w:lang w:eastAsia="ko-KR"/>
        </w:rPr>
        <w:tab/>
      </w:r>
      <w:r>
        <w:rPr>
          <w:noProof/>
        </w:rPr>
        <w:t xml:space="preserve">Resource: Individual ManagePort </w:t>
      </w:r>
      <w:r>
        <w:rPr>
          <w:noProof/>
          <w:lang w:eastAsia="zh-CN"/>
        </w:rPr>
        <w:t>Configuration</w:t>
      </w:r>
      <w:r>
        <w:rPr>
          <w:noProof/>
        </w:rPr>
        <w:tab/>
      </w:r>
      <w:r>
        <w:rPr>
          <w:noProof/>
        </w:rPr>
        <w:fldChar w:fldCharType="begin" w:fldLock="1"/>
      </w:r>
      <w:r>
        <w:rPr>
          <w:noProof/>
        </w:rPr>
        <w:instrText xml:space="preserve"> PAGEREF _Toc153625407 \h </w:instrText>
      </w:r>
      <w:r>
        <w:rPr>
          <w:noProof/>
        </w:rPr>
      </w:r>
      <w:r>
        <w:rPr>
          <w:noProof/>
        </w:rPr>
        <w:fldChar w:fldCharType="separate"/>
      </w:r>
      <w:r>
        <w:rPr>
          <w:noProof/>
        </w:rPr>
        <w:t>182</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5.6.3.9.1</w:t>
      </w:r>
      <w:r w:rsidRPr="00DD140B">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_Toc153625408 \h </w:instrText>
      </w:r>
      <w:r>
        <w:rPr>
          <w:noProof/>
        </w:rPr>
      </w:r>
      <w:r>
        <w:rPr>
          <w:noProof/>
        </w:rPr>
        <w:fldChar w:fldCharType="separate"/>
      </w:r>
      <w:r>
        <w:rPr>
          <w:noProof/>
        </w:rPr>
        <w:t>182</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5.6.3.9.2</w:t>
      </w:r>
      <w:r w:rsidRPr="00DD140B">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_Toc153625409 \h </w:instrText>
      </w:r>
      <w:r>
        <w:rPr>
          <w:noProof/>
        </w:rPr>
      </w:r>
      <w:r>
        <w:rPr>
          <w:noProof/>
        </w:rPr>
        <w:fldChar w:fldCharType="separate"/>
      </w:r>
      <w:r>
        <w:rPr>
          <w:noProof/>
        </w:rPr>
        <w:t>182</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5.6.3.9.3</w:t>
      </w:r>
      <w:r w:rsidRPr="00DD140B">
        <w:rPr>
          <w:rFonts w:ascii="Calibri" w:eastAsia="Malgun Gothic" w:hAnsi="Calibri"/>
          <w:noProof/>
          <w:sz w:val="22"/>
          <w:szCs w:val="22"/>
          <w:lang w:eastAsia="ko-KR"/>
        </w:rPr>
        <w:tab/>
      </w:r>
      <w:r>
        <w:rPr>
          <w:noProof/>
        </w:rPr>
        <w:t>Resource methods</w:t>
      </w:r>
      <w:r>
        <w:rPr>
          <w:noProof/>
        </w:rPr>
        <w:tab/>
      </w:r>
      <w:r>
        <w:rPr>
          <w:noProof/>
        </w:rPr>
        <w:fldChar w:fldCharType="begin" w:fldLock="1"/>
      </w:r>
      <w:r>
        <w:rPr>
          <w:noProof/>
        </w:rPr>
        <w:instrText xml:space="preserve"> PAGEREF _Toc153625410 \h </w:instrText>
      </w:r>
      <w:r>
        <w:rPr>
          <w:noProof/>
        </w:rPr>
      </w:r>
      <w:r>
        <w:rPr>
          <w:noProof/>
        </w:rPr>
        <w:fldChar w:fldCharType="separate"/>
      </w:r>
      <w:r>
        <w:rPr>
          <w:noProof/>
        </w:rPr>
        <w:t>182</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5.6.3.9.3.1</w:t>
      </w:r>
      <w:r w:rsidRPr="00DD140B">
        <w:rPr>
          <w:rFonts w:ascii="Calibri" w:eastAsia="Malgun Gothic" w:hAnsi="Calibri"/>
          <w:noProof/>
          <w:sz w:val="22"/>
          <w:szCs w:val="22"/>
          <w:lang w:eastAsia="ko-KR"/>
        </w:rPr>
        <w:tab/>
      </w:r>
      <w:r>
        <w:rPr>
          <w:noProof/>
        </w:rPr>
        <w:t>GET</w:t>
      </w:r>
      <w:r>
        <w:rPr>
          <w:noProof/>
        </w:rPr>
        <w:tab/>
      </w:r>
      <w:r>
        <w:rPr>
          <w:noProof/>
        </w:rPr>
        <w:fldChar w:fldCharType="begin" w:fldLock="1"/>
      </w:r>
      <w:r>
        <w:rPr>
          <w:noProof/>
        </w:rPr>
        <w:instrText xml:space="preserve"> PAGEREF _Toc153625411 \h </w:instrText>
      </w:r>
      <w:r>
        <w:rPr>
          <w:noProof/>
        </w:rPr>
      </w:r>
      <w:r>
        <w:rPr>
          <w:noProof/>
        </w:rPr>
        <w:fldChar w:fldCharType="separate"/>
      </w:r>
      <w:r>
        <w:rPr>
          <w:noProof/>
        </w:rPr>
        <w:t>182</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5.6.3.9.3.2</w:t>
      </w:r>
      <w:r w:rsidRPr="00DD140B">
        <w:rPr>
          <w:rFonts w:ascii="Calibri" w:eastAsia="Malgun Gothic" w:hAnsi="Calibri"/>
          <w:noProof/>
          <w:sz w:val="22"/>
          <w:szCs w:val="22"/>
          <w:lang w:eastAsia="ko-KR"/>
        </w:rPr>
        <w:tab/>
      </w:r>
      <w:r>
        <w:rPr>
          <w:noProof/>
        </w:rPr>
        <w:t>PUT</w:t>
      </w:r>
      <w:r>
        <w:rPr>
          <w:noProof/>
        </w:rPr>
        <w:tab/>
      </w:r>
      <w:r>
        <w:rPr>
          <w:noProof/>
        </w:rPr>
        <w:fldChar w:fldCharType="begin" w:fldLock="1"/>
      </w:r>
      <w:r>
        <w:rPr>
          <w:noProof/>
        </w:rPr>
        <w:instrText xml:space="preserve"> PAGEREF _Toc153625412 \h </w:instrText>
      </w:r>
      <w:r>
        <w:rPr>
          <w:noProof/>
        </w:rPr>
      </w:r>
      <w:r>
        <w:rPr>
          <w:noProof/>
        </w:rPr>
        <w:fldChar w:fldCharType="separate"/>
      </w:r>
      <w:r>
        <w:rPr>
          <w:noProof/>
        </w:rPr>
        <w:t>183</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5.6.3.9.3.3</w:t>
      </w:r>
      <w:r w:rsidRPr="00DD140B">
        <w:rPr>
          <w:rFonts w:ascii="Calibri" w:eastAsia="Malgun Gothic" w:hAnsi="Calibri"/>
          <w:noProof/>
          <w:sz w:val="22"/>
          <w:szCs w:val="22"/>
          <w:lang w:eastAsia="ko-KR"/>
        </w:rPr>
        <w:tab/>
      </w:r>
      <w:r>
        <w:rPr>
          <w:noProof/>
        </w:rPr>
        <w:t>PATCH</w:t>
      </w:r>
      <w:r>
        <w:rPr>
          <w:noProof/>
        </w:rPr>
        <w:tab/>
      </w:r>
      <w:r>
        <w:rPr>
          <w:noProof/>
        </w:rPr>
        <w:fldChar w:fldCharType="begin" w:fldLock="1"/>
      </w:r>
      <w:r>
        <w:rPr>
          <w:noProof/>
        </w:rPr>
        <w:instrText xml:space="preserve"> PAGEREF _Toc153625413 \h </w:instrText>
      </w:r>
      <w:r>
        <w:rPr>
          <w:noProof/>
        </w:rPr>
      </w:r>
      <w:r>
        <w:rPr>
          <w:noProof/>
        </w:rPr>
        <w:fldChar w:fldCharType="separate"/>
      </w:r>
      <w:r>
        <w:rPr>
          <w:noProof/>
        </w:rPr>
        <w:t>184</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5.6.3.9.3.4</w:t>
      </w:r>
      <w:r w:rsidRPr="00DD140B">
        <w:rPr>
          <w:rFonts w:ascii="Calibri" w:eastAsia="Malgun Gothic" w:hAnsi="Calibri"/>
          <w:noProof/>
          <w:sz w:val="22"/>
          <w:szCs w:val="22"/>
          <w:lang w:eastAsia="ko-KR"/>
        </w:rPr>
        <w:tab/>
      </w:r>
      <w:r>
        <w:rPr>
          <w:noProof/>
        </w:rPr>
        <w:t>POST</w:t>
      </w:r>
      <w:r>
        <w:rPr>
          <w:noProof/>
        </w:rPr>
        <w:tab/>
      </w:r>
      <w:r>
        <w:rPr>
          <w:noProof/>
        </w:rPr>
        <w:fldChar w:fldCharType="begin" w:fldLock="1"/>
      </w:r>
      <w:r>
        <w:rPr>
          <w:noProof/>
        </w:rPr>
        <w:instrText xml:space="preserve"> PAGEREF _Toc153625414 \h </w:instrText>
      </w:r>
      <w:r>
        <w:rPr>
          <w:noProof/>
        </w:rPr>
      </w:r>
      <w:r>
        <w:rPr>
          <w:noProof/>
        </w:rPr>
        <w:fldChar w:fldCharType="separate"/>
      </w:r>
      <w:r>
        <w:rPr>
          <w:noProof/>
        </w:rPr>
        <w:t>184</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5.6.3.9.3.5</w:t>
      </w:r>
      <w:r w:rsidRPr="00DD140B">
        <w:rPr>
          <w:rFonts w:ascii="Calibri" w:eastAsia="Malgun Gothic" w:hAnsi="Calibri"/>
          <w:noProof/>
          <w:sz w:val="22"/>
          <w:szCs w:val="22"/>
          <w:lang w:eastAsia="ko-KR"/>
        </w:rPr>
        <w:tab/>
      </w:r>
      <w:r>
        <w:rPr>
          <w:noProof/>
        </w:rPr>
        <w:t>DELETE</w:t>
      </w:r>
      <w:r>
        <w:rPr>
          <w:noProof/>
        </w:rPr>
        <w:tab/>
      </w:r>
      <w:r>
        <w:rPr>
          <w:noProof/>
        </w:rPr>
        <w:fldChar w:fldCharType="begin" w:fldLock="1"/>
      </w:r>
      <w:r>
        <w:rPr>
          <w:noProof/>
        </w:rPr>
        <w:instrText xml:space="preserve"> PAGEREF _Toc153625415 \h </w:instrText>
      </w:r>
      <w:r>
        <w:rPr>
          <w:noProof/>
        </w:rPr>
      </w:r>
      <w:r>
        <w:rPr>
          <w:noProof/>
        </w:rPr>
        <w:fldChar w:fldCharType="separate"/>
      </w:r>
      <w:r>
        <w:rPr>
          <w:noProof/>
        </w:rPr>
        <w:t>184</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5.6.3.10</w:t>
      </w:r>
      <w:r w:rsidRPr="00DD140B">
        <w:rPr>
          <w:rFonts w:ascii="Calibri" w:eastAsia="Malgun Gothic" w:hAnsi="Calibri"/>
          <w:noProof/>
          <w:sz w:val="22"/>
          <w:szCs w:val="22"/>
          <w:lang w:eastAsia="ko-KR"/>
        </w:rPr>
        <w:tab/>
      </w:r>
      <w:r>
        <w:rPr>
          <w:noProof/>
        </w:rPr>
        <w:t>Void</w:t>
      </w:r>
      <w:r>
        <w:rPr>
          <w:noProof/>
        </w:rPr>
        <w:tab/>
      </w:r>
      <w:r>
        <w:rPr>
          <w:noProof/>
        </w:rPr>
        <w:fldChar w:fldCharType="begin" w:fldLock="1"/>
      </w:r>
      <w:r>
        <w:rPr>
          <w:noProof/>
        </w:rPr>
        <w:instrText xml:space="preserve"> PAGEREF _Toc153625416 \h </w:instrText>
      </w:r>
      <w:r>
        <w:rPr>
          <w:noProof/>
        </w:rPr>
      </w:r>
      <w:r>
        <w:rPr>
          <w:noProof/>
        </w:rPr>
        <w:fldChar w:fldCharType="separate"/>
      </w:r>
      <w:r>
        <w:rPr>
          <w:noProof/>
        </w:rPr>
        <w:t>185</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5.6.3.11</w:t>
      </w:r>
      <w:r w:rsidRPr="00DD140B">
        <w:rPr>
          <w:rFonts w:ascii="Calibri" w:eastAsia="Malgun Gothic" w:hAnsi="Calibri"/>
          <w:noProof/>
          <w:sz w:val="22"/>
          <w:szCs w:val="22"/>
          <w:lang w:eastAsia="ko-KR"/>
        </w:rPr>
        <w:tab/>
      </w:r>
      <w:r>
        <w:rPr>
          <w:noProof/>
        </w:rPr>
        <w:t xml:space="preserve">Resource: ManagePort </w:t>
      </w:r>
      <w:r>
        <w:rPr>
          <w:noProof/>
          <w:lang w:eastAsia="zh-CN"/>
        </w:rPr>
        <w:t>Configurations</w:t>
      </w:r>
      <w:r>
        <w:rPr>
          <w:noProof/>
        </w:rPr>
        <w:tab/>
      </w:r>
      <w:r>
        <w:rPr>
          <w:noProof/>
        </w:rPr>
        <w:fldChar w:fldCharType="begin" w:fldLock="1"/>
      </w:r>
      <w:r>
        <w:rPr>
          <w:noProof/>
        </w:rPr>
        <w:instrText xml:space="preserve"> PAGEREF _Toc153625417 \h </w:instrText>
      </w:r>
      <w:r>
        <w:rPr>
          <w:noProof/>
        </w:rPr>
      </w:r>
      <w:r>
        <w:rPr>
          <w:noProof/>
        </w:rPr>
        <w:fldChar w:fldCharType="separate"/>
      </w:r>
      <w:r>
        <w:rPr>
          <w:noProof/>
        </w:rPr>
        <w:t>185</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5.6.3.11.1</w:t>
      </w:r>
      <w:r w:rsidRPr="00DD140B">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_Toc153625418 \h </w:instrText>
      </w:r>
      <w:r>
        <w:rPr>
          <w:noProof/>
        </w:rPr>
      </w:r>
      <w:r>
        <w:rPr>
          <w:noProof/>
        </w:rPr>
        <w:fldChar w:fldCharType="separate"/>
      </w:r>
      <w:r>
        <w:rPr>
          <w:noProof/>
        </w:rPr>
        <w:t>185</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5.6.3.11.2</w:t>
      </w:r>
      <w:r w:rsidRPr="00DD140B">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_Toc153625419 \h </w:instrText>
      </w:r>
      <w:r>
        <w:rPr>
          <w:noProof/>
        </w:rPr>
      </w:r>
      <w:r>
        <w:rPr>
          <w:noProof/>
        </w:rPr>
        <w:fldChar w:fldCharType="separate"/>
      </w:r>
      <w:r>
        <w:rPr>
          <w:noProof/>
        </w:rPr>
        <w:t>186</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5.6.3.11.3</w:t>
      </w:r>
      <w:r w:rsidRPr="00DD140B">
        <w:rPr>
          <w:rFonts w:ascii="Calibri" w:eastAsia="Malgun Gothic" w:hAnsi="Calibri"/>
          <w:noProof/>
          <w:sz w:val="22"/>
          <w:szCs w:val="22"/>
          <w:lang w:eastAsia="ko-KR"/>
        </w:rPr>
        <w:tab/>
      </w:r>
      <w:r>
        <w:rPr>
          <w:noProof/>
        </w:rPr>
        <w:t>Resource methods</w:t>
      </w:r>
      <w:r>
        <w:rPr>
          <w:noProof/>
        </w:rPr>
        <w:tab/>
      </w:r>
      <w:r>
        <w:rPr>
          <w:noProof/>
        </w:rPr>
        <w:fldChar w:fldCharType="begin" w:fldLock="1"/>
      </w:r>
      <w:r>
        <w:rPr>
          <w:noProof/>
        </w:rPr>
        <w:instrText xml:space="preserve"> PAGEREF _Toc153625420 \h </w:instrText>
      </w:r>
      <w:r>
        <w:rPr>
          <w:noProof/>
        </w:rPr>
      </w:r>
      <w:r>
        <w:rPr>
          <w:noProof/>
        </w:rPr>
        <w:fldChar w:fldCharType="separate"/>
      </w:r>
      <w:r>
        <w:rPr>
          <w:noProof/>
        </w:rPr>
        <w:t>186</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5.6.3.11.3.1</w:t>
      </w:r>
      <w:r w:rsidRPr="00DD140B">
        <w:rPr>
          <w:rFonts w:ascii="Calibri" w:eastAsia="Malgun Gothic" w:hAnsi="Calibri"/>
          <w:noProof/>
          <w:sz w:val="22"/>
          <w:szCs w:val="22"/>
          <w:lang w:eastAsia="ko-KR"/>
        </w:rPr>
        <w:tab/>
      </w:r>
      <w:r>
        <w:rPr>
          <w:noProof/>
        </w:rPr>
        <w:t>GET</w:t>
      </w:r>
      <w:r>
        <w:rPr>
          <w:noProof/>
        </w:rPr>
        <w:tab/>
      </w:r>
      <w:r>
        <w:rPr>
          <w:noProof/>
        </w:rPr>
        <w:fldChar w:fldCharType="begin" w:fldLock="1"/>
      </w:r>
      <w:r>
        <w:rPr>
          <w:noProof/>
        </w:rPr>
        <w:instrText xml:space="preserve"> PAGEREF _Toc153625421 \h </w:instrText>
      </w:r>
      <w:r>
        <w:rPr>
          <w:noProof/>
        </w:rPr>
      </w:r>
      <w:r>
        <w:rPr>
          <w:noProof/>
        </w:rPr>
        <w:fldChar w:fldCharType="separate"/>
      </w:r>
      <w:r>
        <w:rPr>
          <w:noProof/>
        </w:rPr>
        <w:t>186</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5.6.3.11.3.2</w:t>
      </w:r>
      <w:r w:rsidRPr="00DD140B">
        <w:rPr>
          <w:rFonts w:ascii="Calibri" w:eastAsia="Malgun Gothic" w:hAnsi="Calibri"/>
          <w:noProof/>
          <w:sz w:val="22"/>
          <w:szCs w:val="22"/>
          <w:lang w:eastAsia="ko-KR"/>
        </w:rPr>
        <w:tab/>
      </w:r>
      <w:r>
        <w:rPr>
          <w:noProof/>
        </w:rPr>
        <w:t>PUT</w:t>
      </w:r>
      <w:r>
        <w:rPr>
          <w:noProof/>
        </w:rPr>
        <w:tab/>
      </w:r>
      <w:r>
        <w:rPr>
          <w:noProof/>
        </w:rPr>
        <w:fldChar w:fldCharType="begin" w:fldLock="1"/>
      </w:r>
      <w:r>
        <w:rPr>
          <w:noProof/>
        </w:rPr>
        <w:instrText xml:space="preserve"> PAGEREF _Toc153625422 \h </w:instrText>
      </w:r>
      <w:r>
        <w:rPr>
          <w:noProof/>
        </w:rPr>
      </w:r>
      <w:r>
        <w:rPr>
          <w:noProof/>
        </w:rPr>
        <w:fldChar w:fldCharType="separate"/>
      </w:r>
      <w:r>
        <w:rPr>
          <w:noProof/>
        </w:rPr>
        <w:t>187</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5.6.3.11.3.3</w:t>
      </w:r>
      <w:r w:rsidRPr="00DD140B">
        <w:rPr>
          <w:rFonts w:ascii="Calibri" w:eastAsia="Malgun Gothic" w:hAnsi="Calibri"/>
          <w:noProof/>
          <w:sz w:val="22"/>
          <w:szCs w:val="22"/>
          <w:lang w:eastAsia="ko-KR"/>
        </w:rPr>
        <w:tab/>
      </w:r>
      <w:r>
        <w:rPr>
          <w:noProof/>
        </w:rPr>
        <w:t>PATCH</w:t>
      </w:r>
      <w:r>
        <w:rPr>
          <w:noProof/>
        </w:rPr>
        <w:tab/>
      </w:r>
      <w:r>
        <w:rPr>
          <w:noProof/>
        </w:rPr>
        <w:fldChar w:fldCharType="begin" w:fldLock="1"/>
      </w:r>
      <w:r>
        <w:rPr>
          <w:noProof/>
        </w:rPr>
        <w:instrText xml:space="preserve"> PAGEREF _Toc153625423 \h </w:instrText>
      </w:r>
      <w:r>
        <w:rPr>
          <w:noProof/>
        </w:rPr>
      </w:r>
      <w:r>
        <w:rPr>
          <w:noProof/>
        </w:rPr>
        <w:fldChar w:fldCharType="separate"/>
      </w:r>
      <w:r>
        <w:rPr>
          <w:noProof/>
        </w:rPr>
        <w:t>187</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5.6.3.11.3.4</w:t>
      </w:r>
      <w:r w:rsidRPr="00DD140B">
        <w:rPr>
          <w:rFonts w:ascii="Calibri" w:eastAsia="Malgun Gothic" w:hAnsi="Calibri"/>
          <w:noProof/>
          <w:sz w:val="22"/>
          <w:szCs w:val="22"/>
          <w:lang w:eastAsia="ko-KR"/>
        </w:rPr>
        <w:tab/>
      </w:r>
      <w:r>
        <w:rPr>
          <w:noProof/>
        </w:rPr>
        <w:t>POST</w:t>
      </w:r>
      <w:r>
        <w:rPr>
          <w:noProof/>
        </w:rPr>
        <w:tab/>
      </w:r>
      <w:r>
        <w:rPr>
          <w:noProof/>
        </w:rPr>
        <w:fldChar w:fldCharType="begin" w:fldLock="1"/>
      </w:r>
      <w:r>
        <w:rPr>
          <w:noProof/>
        </w:rPr>
        <w:instrText xml:space="preserve"> PAGEREF _Toc153625424 \h </w:instrText>
      </w:r>
      <w:r>
        <w:rPr>
          <w:noProof/>
        </w:rPr>
      </w:r>
      <w:r>
        <w:rPr>
          <w:noProof/>
        </w:rPr>
        <w:fldChar w:fldCharType="separate"/>
      </w:r>
      <w:r>
        <w:rPr>
          <w:noProof/>
        </w:rPr>
        <w:t>187</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5.6.3.11.3.5</w:t>
      </w:r>
      <w:r w:rsidRPr="00DD140B">
        <w:rPr>
          <w:rFonts w:ascii="Calibri" w:eastAsia="Malgun Gothic" w:hAnsi="Calibri"/>
          <w:noProof/>
          <w:sz w:val="22"/>
          <w:szCs w:val="22"/>
          <w:lang w:eastAsia="ko-KR"/>
        </w:rPr>
        <w:tab/>
      </w:r>
      <w:r>
        <w:rPr>
          <w:noProof/>
        </w:rPr>
        <w:t>DELETE</w:t>
      </w:r>
      <w:r>
        <w:rPr>
          <w:noProof/>
        </w:rPr>
        <w:tab/>
      </w:r>
      <w:r>
        <w:rPr>
          <w:noProof/>
        </w:rPr>
        <w:fldChar w:fldCharType="begin" w:fldLock="1"/>
      </w:r>
      <w:r>
        <w:rPr>
          <w:noProof/>
        </w:rPr>
        <w:instrText xml:space="preserve"> PAGEREF _Toc153625425 \h </w:instrText>
      </w:r>
      <w:r>
        <w:rPr>
          <w:noProof/>
        </w:rPr>
      </w:r>
      <w:r>
        <w:rPr>
          <w:noProof/>
        </w:rPr>
        <w:fldChar w:fldCharType="separate"/>
      </w:r>
      <w:r>
        <w:rPr>
          <w:noProof/>
        </w:rPr>
        <w:t>187</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5.6.3A</w:t>
      </w:r>
      <w:r w:rsidRPr="00DD140B">
        <w:rPr>
          <w:rFonts w:ascii="Calibri" w:eastAsia="Malgun Gothic" w:hAnsi="Calibri"/>
          <w:noProof/>
          <w:sz w:val="22"/>
          <w:szCs w:val="22"/>
          <w:lang w:eastAsia="ko-KR"/>
        </w:rPr>
        <w:tab/>
      </w:r>
      <w:r>
        <w:rPr>
          <w:noProof/>
        </w:rPr>
        <w:t>Notifications</w:t>
      </w:r>
      <w:r>
        <w:rPr>
          <w:noProof/>
        </w:rPr>
        <w:tab/>
      </w:r>
      <w:r>
        <w:rPr>
          <w:noProof/>
        </w:rPr>
        <w:fldChar w:fldCharType="begin" w:fldLock="1"/>
      </w:r>
      <w:r>
        <w:rPr>
          <w:noProof/>
        </w:rPr>
        <w:instrText xml:space="preserve"> PAGEREF _Toc153625426 \h </w:instrText>
      </w:r>
      <w:r>
        <w:rPr>
          <w:noProof/>
        </w:rPr>
      </w:r>
      <w:r>
        <w:rPr>
          <w:noProof/>
        </w:rPr>
        <w:fldChar w:fldCharType="separate"/>
      </w:r>
      <w:r>
        <w:rPr>
          <w:noProof/>
        </w:rPr>
        <w:t>187</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5.6.3A.1</w:t>
      </w:r>
      <w:r w:rsidRPr="00DD140B">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_Toc153625427 \h </w:instrText>
      </w:r>
      <w:r>
        <w:rPr>
          <w:noProof/>
        </w:rPr>
      </w:r>
      <w:r>
        <w:rPr>
          <w:noProof/>
        </w:rPr>
        <w:fldChar w:fldCharType="separate"/>
      </w:r>
      <w:r>
        <w:rPr>
          <w:noProof/>
        </w:rPr>
        <w:t>187</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5.6.3A.2</w:t>
      </w:r>
      <w:r w:rsidRPr="00DD140B">
        <w:rPr>
          <w:rFonts w:ascii="Calibri" w:eastAsia="Malgun Gothic" w:hAnsi="Calibri"/>
          <w:noProof/>
          <w:sz w:val="22"/>
          <w:szCs w:val="22"/>
          <w:lang w:eastAsia="ko-KR"/>
        </w:rPr>
        <w:tab/>
      </w:r>
      <w:r>
        <w:rPr>
          <w:noProof/>
        </w:rPr>
        <w:t xml:space="preserve">NIDD </w:t>
      </w:r>
      <w:r>
        <w:rPr>
          <w:noProof/>
          <w:lang w:eastAsia="zh-CN"/>
        </w:rPr>
        <w:t xml:space="preserve">Configuration Update </w:t>
      </w:r>
      <w:r>
        <w:rPr>
          <w:noProof/>
        </w:rPr>
        <w:t>Notification</w:t>
      </w:r>
      <w:r>
        <w:rPr>
          <w:noProof/>
        </w:rPr>
        <w:tab/>
      </w:r>
      <w:r>
        <w:rPr>
          <w:noProof/>
        </w:rPr>
        <w:fldChar w:fldCharType="begin" w:fldLock="1"/>
      </w:r>
      <w:r>
        <w:rPr>
          <w:noProof/>
        </w:rPr>
        <w:instrText xml:space="preserve"> PAGEREF _Toc153625428 \h </w:instrText>
      </w:r>
      <w:r>
        <w:rPr>
          <w:noProof/>
        </w:rPr>
      </w:r>
      <w:r>
        <w:rPr>
          <w:noProof/>
        </w:rPr>
        <w:fldChar w:fldCharType="separate"/>
      </w:r>
      <w:r>
        <w:rPr>
          <w:noProof/>
        </w:rPr>
        <w:t>187</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5.6.3A.2.1</w:t>
      </w:r>
      <w:r w:rsidRPr="00DD140B">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_Toc153625429 \h </w:instrText>
      </w:r>
      <w:r>
        <w:rPr>
          <w:noProof/>
        </w:rPr>
      </w:r>
      <w:r>
        <w:rPr>
          <w:noProof/>
        </w:rPr>
        <w:fldChar w:fldCharType="separate"/>
      </w:r>
      <w:r>
        <w:rPr>
          <w:noProof/>
        </w:rPr>
        <w:t>187</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5.6.3A.2.2</w:t>
      </w:r>
      <w:r w:rsidRPr="00DD140B">
        <w:rPr>
          <w:rFonts w:ascii="Calibri" w:eastAsia="Malgun Gothic" w:hAnsi="Calibri"/>
          <w:noProof/>
          <w:sz w:val="22"/>
          <w:szCs w:val="22"/>
          <w:lang w:eastAsia="ko-KR"/>
        </w:rPr>
        <w:tab/>
      </w:r>
      <w:r>
        <w:rPr>
          <w:noProof/>
        </w:rPr>
        <w:t>Target URI</w:t>
      </w:r>
      <w:r>
        <w:rPr>
          <w:noProof/>
        </w:rPr>
        <w:tab/>
      </w:r>
      <w:r>
        <w:rPr>
          <w:noProof/>
        </w:rPr>
        <w:fldChar w:fldCharType="begin" w:fldLock="1"/>
      </w:r>
      <w:r>
        <w:rPr>
          <w:noProof/>
        </w:rPr>
        <w:instrText xml:space="preserve"> PAGEREF _Toc153625430 \h </w:instrText>
      </w:r>
      <w:r>
        <w:rPr>
          <w:noProof/>
        </w:rPr>
      </w:r>
      <w:r>
        <w:rPr>
          <w:noProof/>
        </w:rPr>
        <w:fldChar w:fldCharType="separate"/>
      </w:r>
      <w:r>
        <w:rPr>
          <w:noProof/>
        </w:rPr>
        <w:t>188</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5.6.3A.2.3</w:t>
      </w:r>
      <w:r w:rsidRPr="00DD140B">
        <w:rPr>
          <w:rFonts w:ascii="Calibri" w:eastAsia="Malgun Gothic" w:hAnsi="Calibri"/>
          <w:noProof/>
          <w:sz w:val="22"/>
          <w:szCs w:val="22"/>
          <w:lang w:eastAsia="ko-KR"/>
        </w:rPr>
        <w:tab/>
      </w:r>
      <w:r>
        <w:rPr>
          <w:noProof/>
        </w:rPr>
        <w:t>Standard Methods</w:t>
      </w:r>
      <w:r>
        <w:rPr>
          <w:noProof/>
        </w:rPr>
        <w:tab/>
      </w:r>
      <w:r>
        <w:rPr>
          <w:noProof/>
        </w:rPr>
        <w:fldChar w:fldCharType="begin" w:fldLock="1"/>
      </w:r>
      <w:r>
        <w:rPr>
          <w:noProof/>
        </w:rPr>
        <w:instrText xml:space="preserve"> PAGEREF _Toc153625431 \h </w:instrText>
      </w:r>
      <w:r>
        <w:rPr>
          <w:noProof/>
        </w:rPr>
      </w:r>
      <w:r>
        <w:rPr>
          <w:noProof/>
        </w:rPr>
        <w:fldChar w:fldCharType="separate"/>
      </w:r>
      <w:r>
        <w:rPr>
          <w:noProof/>
        </w:rPr>
        <w:t>188</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5.6.3A.2.3.1</w:t>
      </w:r>
      <w:r w:rsidRPr="00DD140B">
        <w:rPr>
          <w:rFonts w:ascii="Calibri" w:eastAsia="Malgun Gothic" w:hAnsi="Calibri"/>
          <w:noProof/>
          <w:sz w:val="22"/>
          <w:szCs w:val="22"/>
          <w:lang w:eastAsia="ko-KR"/>
        </w:rPr>
        <w:tab/>
      </w:r>
      <w:r>
        <w:rPr>
          <w:noProof/>
        </w:rPr>
        <w:t>Notification via POST</w:t>
      </w:r>
      <w:r>
        <w:rPr>
          <w:noProof/>
        </w:rPr>
        <w:tab/>
      </w:r>
      <w:r>
        <w:rPr>
          <w:noProof/>
        </w:rPr>
        <w:fldChar w:fldCharType="begin" w:fldLock="1"/>
      </w:r>
      <w:r>
        <w:rPr>
          <w:noProof/>
        </w:rPr>
        <w:instrText xml:space="preserve"> PAGEREF _Toc153625432 \h </w:instrText>
      </w:r>
      <w:r>
        <w:rPr>
          <w:noProof/>
        </w:rPr>
      </w:r>
      <w:r>
        <w:rPr>
          <w:noProof/>
        </w:rPr>
        <w:fldChar w:fldCharType="separate"/>
      </w:r>
      <w:r>
        <w:rPr>
          <w:noProof/>
        </w:rPr>
        <w:t>188</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5.6.3A.2.3.2</w:t>
      </w:r>
      <w:r w:rsidRPr="00DD140B">
        <w:rPr>
          <w:rFonts w:ascii="Calibri" w:eastAsia="Malgun Gothic" w:hAnsi="Calibri"/>
          <w:noProof/>
          <w:sz w:val="22"/>
          <w:szCs w:val="22"/>
          <w:lang w:eastAsia="ko-KR"/>
        </w:rPr>
        <w:tab/>
      </w:r>
      <w:r>
        <w:rPr>
          <w:noProof/>
        </w:rPr>
        <w:t>Notification via Websocket</w:t>
      </w:r>
      <w:r>
        <w:rPr>
          <w:noProof/>
        </w:rPr>
        <w:tab/>
      </w:r>
      <w:r>
        <w:rPr>
          <w:noProof/>
        </w:rPr>
        <w:fldChar w:fldCharType="begin" w:fldLock="1"/>
      </w:r>
      <w:r>
        <w:rPr>
          <w:noProof/>
        </w:rPr>
        <w:instrText xml:space="preserve"> PAGEREF _Toc153625433 \h </w:instrText>
      </w:r>
      <w:r>
        <w:rPr>
          <w:noProof/>
        </w:rPr>
      </w:r>
      <w:r>
        <w:rPr>
          <w:noProof/>
        </w:rPr>
        <w:fldChar w:fldCharType="separate"/>
      </w:r>
      <w:r>
        <w:rPr>
          <w:noProof/>
        </w:rPr>
        <w:t>189</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5.6.3A.3</w:t>
      </w:r>
      <w:r w:rsidRPr="00DD140B">
        <w:rPr>
          <w:rFonts w:ascii="Calibri" w:eastAsia="Malgun Gothic" w:hAnsi="Calibri"/>
          <w:noProof/>
          <w:sz w:val="22"/>
          <w:szCs w:val="22"/>
          <w:lang w:eastAsia="ko-KR"/>
        </w:rPr>
        <w:tab/>
      </w:r>
      <w:r>
        <w:rPr>
          <w:noProof/>
        </w:rPr>
        <w:t>NIDD Downlink Data Delivery Status Notification</w:t>
      </w:r>
      <w:r>
        <w:rPr>
          <w:noProof/>
        </w:rPr>
        <w:tab/>
      </w:r>
      <w:r>
        <w:rPr>
          <w:noProof/>
        </w:rPr>
        <w:fldChar w:fldCharType="begin" w:fldLock="1"/>
      </w:r>
      <w:r>
        <w:rPr>
          <w:noProof/>
        </w:rPr>
        <w:instrText xml:space="preserve"> PAGEREF _Toc153625434 \h </w:instrText>
      </w:r>
      <w:r>
        <w:rPr>
          <w:noProof/>
        </w:rPr>
      </w:r>
      <w:r>
        <w:rPr>
          <w:noProof/>
        </w:rPr>
        <w:fldChar w:fldCharType="separate"/>
      </w:r>
      <w:r>
        <w:rPr>
          <w:noProof/>
        </w:rPr>
        <w:t>189</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5.6.3A.3.1</w:t>
      </w:r>
      <w:r w:rsidRPr="00DD140B">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_Toc153625435 \h </w:instrText>
      </w:r>
      <w:r>
        <w:rPr>
          <w:noProof/>
        </w:rPr>
      </w:r>
      <w:r>
        <w:rPr>
          <w:noProof/>
        </w:rPr>
        <w:fldChar w:fldCharType="separate"/>
      </w:r>
      <w:r>
        <w:rPr>
          <w:noProof/>
        </w:rPr>
        <w:t>189</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5.6.3A.3.2</w:t>
      </w:r>
      <w:r w:rsidRPr="00DD140B">
        <w:rPr>
          <w:rFonts w:ascii="Calibri" w:eastAsia="Malgun Gothic" w:hAnsi="Calibri"/>
          <w:noProof/>
          <w:sz w:val="22"/>
          <w:szCs w:val="22"/>
          <w:lang w:eastAsia="ko-KR"/>
        </w:rPr>
        <w:tab/>
      </w:r>
      <w:r>
        <w:rPr>
          <w:noProof/>
        </w:rPr>
        <w:t>Target URI</w:t>
      </w:r>
      <w:r>
        <w:rPr>
          <w:noProof/>
        </w:rPr>
        <w:tab/>
      </w:r>
      <w:r>
        <w:rPr>
          <w:noProof/>
        </w:rPr>
        <w:fldChar w:fldCharType="begin" w:fldLock="1"/>
      </w:r>
      <w:r>
        <w:rPr>
          <w:noProof/>
        </w:rPr>
        <w:instrText xml:space="preserve"> PAGEREF _Toc153625436 \h </w:instrText>
      </w:r>
      <w:r>
        <w:rPr>
          <w:noProof/>
        </w:rPr>
      </w:r>
      <w:r>
        <w:rPr>
          <w:noProof/>
        </w:rPr>
        <w:fldChar w:fldCharType="separate"/>
      </w:r>
      <w:r>
        <w:rPr>
          <w:noProof/>
        </w:rPr>
        <w:t>189</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5.6.3A.3.3</w:t>
      </w:r>
      <w:r w:rsidRPr="00DD140B">
        <w:rPr>
          <w:rFonts w:ascii="Calibri" w:eastAsia="Malgun Gothic" w:hAnsi="Calibri"/>
          <w:noProof/>
          <w:sz w:val="22"/>
          <w:szCs w:val="22"/>
          <w:lang w:eastAsia="ko-KR"/>
        </w:rPr>
        <w:tab/>
      </w:r>
      <w:r>
        <w:rPr>
          <w:noProof/>
        </w:rPr>
        <w:t>Standard Methods</w:t>
      </w:r>
      <w:r>
        <w:rPr>
          <w:noProof/>
        </w:rPr>
        <w:tab/>
      </w:r>
      <w:r>
        <w:rPr>
          <w:noProof/>
        </w:rPr>
        <w:fldChar w:fldCharType="begin" w:fldLock="1"/>
      </w:r>
      <w:r>
        <w:rPr>
          <w:noProof/>
        </w:rPr>
        <w:instrText xml:space="preserve"> PAGEREF _Toc153625437 \h </w:instrText>
      </w:r>
      <w:r>
        <w:rPr>
          <w:noProof/>
        </w:rPr>
      </w:r>
      <w:r>
        <w:rPr>
          <w:noProof/>
        </w:rPr>
        <w:fldChar w:fldCharType="separate"/>
      </w:r>
      <w:r>
        <w:rPr>
          <w:noProof/>
        </w:rPr>
        <w:t>189</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5.6.3A.3.3.1</w:t>
      </w:r>
      <w:r w:rsidRPr="00DD140B">
        <w:rPr>
          <w:rFonts w:ascii="Calibri" w:eastAsia="Malgun Gothic" w:hAnsi="Calibri"/>
          <w:noProof/>
          <w:sz w:val="22"/>
          <w:szCs w:val="22"/>
          <w:lang w:eastAsia="ko-KR"/>
        </w:rPr>
        <w:tab/>
      </w:r>
      <w:r>
        <w:rPr>
          <w:noProof/>
        </w:rPr>
        <w:t>Notification via POST</w:t>
      </w:r>
      <w:r>
        <w:rPr>
          <w:noProof/>
        </w:rPr>
        <w:tab/>
      </w:r>
      <w:r>
        <w:rPr>
          <w:noProof/>
        </w:rPr>
        <w:fldChar w:fldCharType="begin" w:fldLock="1"/>
      </w:r>
      <w:r>
        <w:rPr>
          <w:noProof/>
        </w:rPr>
        <w:instrText xml:space="preserve"> PAGEREF _Toc153625438 \h </w:instrText>
      </w:r>
      <w:r>
        <w:rPr>
          <w:noProof/>
        </w:rPr>
      </w:r>
      <w:r>
        <w:rPr>
          <w:noProof/>
        </w:rPr>
        <w:fldChar w:fldCharType="separate"/>
      </w:r>
      <w:r>
        <w:rPr>
          <w:noProof/>
        </w:rPr>
        <w:t>189</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5.6.3A.3.3.2</w:t>
      </w:r>
      <w:r w:rsidRPr="00DD140B">
        <w:rPr>
          <w:rFonts w:ascii="Calibri" w:eastAsia="Malgun Gothic" w:hAnsi="Calibri"/>
          <w:noProof/>
          <w:sz w:val="22"/>
          <w:szCs w:val="22"/>
          <w:lang w:eastAsia="ko-KR"/>
        </w:rPr>
        <w:tab/>
      </w:r>
      <w:r>
        <w:rPr>
          <w:noProof/>
        </w:rPr>
        <w:t>Notification via Websocket</w:t>
      </w:r>
      <w:r>
        <w:rPr>
          <w:noProof/>
        </w:rPr>
        <w:tab/>
      </w:r>
      <w:r>
        <w:rPr>
          <w:noProof/>
        </w:rPr>
        <w:fldChar w:fldCharType="begin" w:fldLock="1"/>
      </w:r>
      <w:r>
        <w:rPr>
          <w:noProof/>
        </w:rPr>
        <w:instrText xml:space="preserve"> PAGEREF _Toc153625439 \h </w:instrText>
      </w:r>
      <w:r>
        <w:rPr>
          <w:noProof/>
        </w:rPr>
      </w:r>
      <w:r>
        <w:rPr>
          <w:noProof/>
        </w:rPr>
        <w:fldChar w:fldCharType="separate"/>
      </w:r>
      <w:r>
        <w:rPr>
          <w:noProof/>
        </w:rPr>
        <w:t>191</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5.6.3A.4</w:t>
      </w:r>
      <w:r w:rsidRPr="00DD140B">
        <w:rPr>
          <w:rFonts w:ascii="Calibri" w:eastAsia="Malgun Gothic" w:hAnsi="Calibri"/>
          <w:noProof/>
          <w:sz w:val="22"/>
          <w:szCs w:val="22"/>
          <w:lang w:eastAsia="ko-KR"/>
        </w:rPr>
        <w:tab/>
      </w:r>
      <w:r>
        <w:rPr>
          <w:noProof/>
        </w:rPr>
        <w:t>NIDD Uplink Data Notification</w:t>
      </w:r>
      <w:r>
        <w:rPr>
          <w:noProof/>
        </w:rPr>
        <w:tab/>
      </w:r>
      <w:r>
        <w:rPr>
          <w:noProof/>
        </w:rPr>
        <w:fldChar w:fldCharType="begin" w:fldLock="1"/>
      </w:r>
      <w:r>
        <w:rPr>
          <w:noProof/>
        </w:rPr>
        <w:instrText xml:space="preserve"> PAGEREF _Toc153625440 \h </w:instrText>
      </w:r>
      <w:r>
        <w:rPr>
          <w:noProof/>
        </w:rPr>
      </w:r>
      <w:r>
        <w:rPr>
          <w:noProof/>
        </w:rPr>
        <w:fldChar w:fldCharType="separate"/>
      </w:r>
      <w:r>
        <w:rPr>
          <w:noProof/>
        </w:rPr>
        <w:t>191</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5.6.3A.4.1</w:t>
      </w:r>
      <w:r w:rsidRPr="00DD140B">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_Toc153625441 \h </w:instrText>
      </w:r>
      <w:r>
        <w:rPr>
          <w:noProof/>
        </w:rPr>
      </w:r>
      <w:r>
        <w:rPr>
          <w:noProof/>
        </w:rPr>
        <w:fldChar w:fldCharType="separate"/>
      </w:r>
      <w:r>
        <w:rPr>
          <w:noProof/>
        </w:rPr>
        <w:t>191</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5.6.3A.4.2</w:t>
      </w:r>
      <w:r w:rsidRPr="00DD140B">
        <w:rPr>
          <w:rFonts w:ascii="Calibri" w:eastAsia="Malgun Gothic" w:hAnsi="Calibri"/>
          <w:noProof/>
          <w:sz w:val="22"/>
          <w:szCs w:val="22"/>
          <w:lang w:eastAsia="ko-KR"/>
        </w:rPr>
        <w:tab/>
      </w:r>
      <w:r>
        <w:rPr>
          <w:noProof/>
        </w:rPr>
        <w:t>Target URI</w:t>
      </w:r>
      <w:r>
        <w:rPr>
          <w:noProof/>
        </w:rPr>
        <w:tab/>
      </w:r>
      <w:r>
        <w:rPr>
          <w:noProof/>
        </w:rPr>
        <w:fldChar w:fldCharType="begin" w:fldLock="1"/>
      </w:r>
      <w:r>
        <w:rPr>
          <w:noProof/>
        </w:rPr>
        <w:instrText xml:space="preserve"> PAGEREF _Toc153625442 \h </w:instrText>
      </w:r>
      <w:r>
        <w:rPr>
          <w:noProof/>
        </w:rPr>
      </w:r>
      <w:r>
        <w:rPr>
          <w:noProof/>
        </w:rPr>
        <w:fldChar w:fldCharType="separate"/>
      </w:r>
      <w:r>
        <w:rPr>
          <w:noProof/>
        </w:rPr>
        <w:t>191</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5.6.3A.4.3</w:t>
      </w:r>
      <w:r w:rsidRPr="00DD140B">
        <w:rPr>
          <w:rFonts w:ascii="Calibri" w:eastAsia="Malgun Gothic" w:hAnsi="Calibri"/>
          <w:noProof/>
          <w:sz w:val="22"/>
          <w:szCs w:val="22"/>
          <w:lang w:eastAsia="ko-KR"/>
        </w:rPr>
        <w:tab/>
      </w:r>
      <w:r>
        <w:rPr>
          <w:noProof/>
        </w:rPr>
        <w:t>Standard Methods</w:t>
      </w:r>
      <w:r>
        <w:rPr>
          <w:noProof/>
        </w:rPr>
        <w:tab/>
      </w:r>
      <w:r>
        <w:rPr>
          <w:noProof/>
        </w:rPr>
        <w:fldChar w:fldCharType="begin" w:fldLock="1"/>
      </w:r>
      <w:r>
        <w:rPr>
          <w:noProof/>
        </w:rPr>
        <w:instrText xml:space="preserve"> PAGEREF _Toc153625443 \h </w:instrText>
      </w:r>
      <w:r>
        <w:rPr>
          <w:noProof/>
        </w:rPr>
      </w:r>
      <w:r>
        <w:rPr>
          <w:noProof/>
        </w:rPr>
        <w:fldChar w:fldCharType="separate"/>
      </w:r>
      <w:r>
        <w:rPr>
          <w:noProof/>
        </w:rPr>
        <w:t>191</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5.6.3A.4.3.1</w:t>
      </w:r>
      <w:r w:rsidRPr="00DD140B">
        <w:rPr>
          <w:rFonts w:ascii="Calibri" w:eastAsia="Malgun Gothic" w:hAnsi="Calibri"/>
          <w:noProof/>
          <w:sz w:val="22"/>
          <w:szCs w:val="22"/>
          <w:lang w:eastAsia="ko-KR"/>
        </w:rPr>
        <w:tab/>
      </w:r>
      <w:r>
        <w:rPr>
          <w:noProof/>
        </w:rPr>
        <w:t>Notification via POST</w:t>
      </w:r>
      <w:r>
        <w:rPr>
          <w:noProof/>
        </w:rPr>
        <w:tab/>
      </w:r>
      <w:r>
        <w:rPr>
          <w:noProof/>
        </w:rPr>
        <w:fldChar w:fldCharType="begin" w:fldLock="1"/>
      </w:r>
      <w:r>
        <w:rPr>
          <w:noProof/>
        </w:rPr>
        <w:instrText xml:space="preserve"> PAGEREF _Toc153625444 \h </w:instrText>
      </w:r>
      <w:r>
        <w:rPr>
          <w:noProof/>
        </w:rPr>
      </w:r>
      <w:r>
        <w:rPr>
          <w:noProof/>
        </w:rPr>
        <w:fldChar w:fldCharType="separate"/>
      </w:r>
      <w:r>
        <w:rPr>
          <w:noProof/>
        </w:rPr>
        <w:t>191</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5.6.3A.4.3.2</w:t>
      </w:r>
      <w:r w:rsidRPr="00DD140B">
        <w:rPr>
          <w:rFonts w:ascii="Calibri" w:eastAsia="Malgun Gothic" w:hAnsi="Calibri"/>
          <w:noProof/>
          <w:sz w:val="22"/>
          <w:szCs w:val="22"/>
          <w:lang w:eastAsia="ko-KR"/>
        </w:rPr>
        <w:tab/>
      </w:r>
      <w:r>
        <w:rPr>
          <w:noProof/>
        </w:rPr>
        <w:t>Notification via Websocket</w:t>
      </w:r>
      <w:r>
        <w:rPr>
          <w:noProof/>
        </w:rPr>
        <w:tab/>
      </w:r>
      <w:r>
        <w:rPr>
          <w:noProof/>
        </w:rPr>
        <w:fldChar w:fldCharType="begin" w:fldLock="1"/>
      </w:r>
      <w:r>
        <w:rPr>
          <w:noProof/>
        </w:rPr>
        <w:instrText xml:space="preserve"> PAGEREF _Toc153625445 \h </w:instrText>
      </w:r>
      <w:r>
        <w:rPr>
          <w:noProof/>
        </w:rPr>
      </w:r>
      <w:r>
        <w:rPr>
          <w:noProof/>
        </w:rPr>
        <w:fldChar w:fldCharType="separate"/>
      </w:r>
      <w:r>
        <w:rPr>
          <w:noProof/>
        </w:rPr>
        <w:t>192</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5.6.3A.5</w:t>
      </w:r>
      <w:r w:rsidRPr="00DD140B">
        <w:rPr>
          <w:rFonts w:ascii="Calibri" w:eastAsia="Malgun Gothic" w:hAnsi="Calibri"/>
          <w:noProof/>
          <w:sz w:val="22"/>
          <w:szCs w:val="22"/>
          <w:lang w:eastAsia="ko-KR"/>
        </w:rPr>
        <w:tab/>
      </w:r>
      <w:r>
        <w:rPr>
          <w:noProof/>
        </w:rPr>
        <w:t>ManagePort Notification</w:t>
      </w:r>
      <w:r>
        <w:rPr>
          <w:noProof/>
        </w:rPr>
        <w:tab/>
      </w:r>
      <w:r>
        <w:rPr>
          <w:noProof/>
        </w:rPr>
        <w:fldChar w:fldCharType="begin" w:fldLock="1"/>
      </w:r>
      <w:r>
        <w:rPr>
          <w:noProof/>
        </w:rPr>
        <w:instrText xml:space="preserve"> PAGEREF _Toc153625446 \h </w:instrText>
      </w:r>
      <w:r>
        <w:rPr>
          <w:noProof/>
        </w:rPr>
      </w:r>
      <w:r>
        <w:rPr>
          <w:noProof/>
        </w:rPr>
        <w:fldChar w:fldCharType="separate"/>
      </w:r>
      <w:r>
        <w:rPr>
          <w:noProof/>
        </w:rPr>
        <w:t>192</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5.6.3A.5.1</w:t>
      </w:r>
      <w:r w:rsidRPr="00DD140B">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_Toc153625447 \h </w:instrText>
      </w:r>
      <w:r>
        <w:rPr>
          <w:noProof/>
        </w:rPr>
      </w:r>
      <w:r>
        <w:rPr>
          <w:noProof/>
        </w:rPr>
        <w:fldChar w:fldCharType="separate"/>
      </w:r>
      <w:r>
        <w:rPr>
          <w:noProof/>
        </w:rPr>
        <w:t>192</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5.6.3A.5.2</w:t>
      </w:r>
      <w:r w:rsidRPr="00DD140B">
        <w:rPr>
          <w:rFonts w:ascii="Calibri" w:eastAsia="Malgun Gothic" w:hAnsi="Calibri"/>
          <w:noProof/>
          <w:sz w:val="22"/>
          <w:szCs w:val="22"/>
          <w:lang w:eastAsia="ko-KR"/>
        </w:rPr>
        <w:tab/>
      </w:r>
      <w:r>
        <w:rPr>
          <w:noProof/>
        </w:rPr>
        <w:t>Target URI</w:t>
      </w:r>
      <w:r>
        <w:rPr>
          <w:noProof/>
        </w:rPr>
        <w:tab/>
      </w:r>
      <w:r>
        <w:rPr>
          <w:noProof/>
        </w:rPr>
        <w:fldChar w:fldCharType="begin" w:fldLock="1"/>
      </w:r>
      <w:r>
        <w:rPr>
          <w:noProof/>
        </w:rPr>
        <w:instrText xml:space="preserve"> PAGEREF _Toc153625448 \h </w:instrText>
      </w:r>
      <w:r>
        <w:rPr>
          <w:noProof/>
        </w:rPr>
      </w:r>
      <w:r>
        <w:rPr>
          <w:noProof/>
        </w:rPr>
        <w:fldChar w:fldCharType="separate"/>
      </w:r>
      <w:r>
        <w:rPr>
          <w:noProof/>
        </w:rPr>
        <w:t>192</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5.6.3A.5.3</w:t>
      </w:r>
      <w:r w:rsidRPr="00DD140B">
        <w:rPr>
          <w:rFonts w:ascii="Calibri" w:eastAsia="Malgun Gothic" w:hAnsi="Calibri"/>
          <w:noProof/>
          <w:sz w:val="22"/>
          <w:szCs w:val="22"/>
          <w:lang w:eastAsia="ko-KR"/>
        </w:rPr>
        <w:tab/>
      </w:r>
      <w:r>
        <w:rPr>
          <w:noProof/>
        </w:rPr>
        <w:t>Standard Methods</w:t>
      </w:r>
      <w:r>
        <w:rPr>
          <w:noProof/>
        </w:rPr>
        <w:tab/>
      </w:r>
      <w:r>
        <w:rPr>
          <w:noProof/>
        </w:rPr>
        <w:fldChar w:fldCharType="begin" w:fldLock="1"/>
      </w:r>
      <w:r>
        <w:rPr>
          <w:noProof/>
        </w:rPr>
        <w:instrText xml:space="preserve"> PAGEREF _Toc153625449 \h </w:instrText>
      </w:r>
      <w:r>
        <w:rPr>
          <w:noProof/>
        </w:rPr>
      </w:r>
      <w:r>
        <w:rPr>
          <w:noProof/>
        </w:rPr>
        <w:fldChar w:fldCharType="separate"/>
      </w:r>
      <w:r>
        <w:rPr>
          <w:noProof/>
        </w:rPr>
        <w:t>193</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5.6.3A.5.3.1</w:t>
      </w:r>
      <w:r w:rsidRPr="00DD140B">
        <w:rPr>
          <w:rFonts w:ascii="Calibri" w:eastAsia="Malgun Gothic" w:hAnsi="Calibri"/>
          <w:noProof/>
          <w:sz w:val="22"/>
          <w:szCs w:val="22"/>
          <w:lang w:eastAsia="ko-KR"/>
        </w:rPr>
        <w:tab/>
      </w:r>
      <w:r>
        <w:rPr>
          <w:noProof/>
        </w:rPr>
        <w:t>Notification via POST</w:t>
      </w:r>
      <w:r>
        <w:rPr>
          <w:noProof/>
        </w:rPr>
        <w:tab/>
      </w:r>
      <w:r>
        <w:rPr>
          <w:noProof/>
        </w:rPr>
        <w:fldChar w:fldCharType="begin" w:fldLock="1"/>
      </w:r>
      <w:r>
        <w:rPr>
          <w:noProof/>
        </w:rPr>
        <w:instrText xml:space="preserve"> PAGEREF _Toc153625450 \h </w:instrText>
      </w:r>
      <w:r>
        <w:rPr>
          <w:noProof/>
        </w:rPr>
      </w:r>
      <w:r>
        <w:rPr>
          <w:noProof/>
        </w:rPr>
        <w:fldChar w:fldCharType="separate"/>
      </w:r>
      <w:r>
        <w:rPr>
          <w:noProof/>
        </w:rPr>
        <w:t>193</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5.6.3A.5.3.2</w:t>
      </w:r>
      <w:r w:rsidRPr="00DD140B">
        <w:rPr>
          <w:rFonts w:ascii="Calibri" w:eastAsia="Malgun Gothic" w:hAnsi="Calibri"/>
          <w:noProof/>
          <w:sz w:val="22"/>
          <w:szCs w:val="22"/>
          <w:lang w:eastAsia="ko-KR"/>
        </w:rPr>
        <w:tab/>
      </w:r>
      <w:r>
        <w:rPr>
          <w:noProof/>
        </w:rPr>
        <w:t>Notification via Websocket</w:t>
      </w:r>
      <w:r>
        <w:rPr>
          <w:noProof/>
        </w:rPr>
        <w:tab/>
      </w:r>
      <w:r>
        <w:rPr>
          <w:noProof/>
        </w:rPr>
        <w:fldChar w:fldCharType="begin" w:fldLock="1"/>
      </w:r>
      <w:r>
        <w:rPr>
          <w:noProof/>
        </w:rPr>
        <w:instrText xml:space="preserve"> PAGEREF _Toc153625451 \h </w:instrText>
      </w:r>
      <w:r>
        <w:rPr>
          <w:noProof/>
        </w:rPr>
      </w:r>
      <w:r>
        <w:rPr>
          <w:noProof/>
        </w:rPr>
        <w:fldChar w:fldCharType="separate"/>
      </w:r>
      <w:r>
        <w:rPr>
          <w:noProof/>
        </w:rPr>
        <w:t>193</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5.6.4</w:t>
      </w:r>
      <w:r w:rsidRPr="00DD140B">
        <w:rPr>
          <w:rFonts w:ascii="Calibri" w:eastAsia="Malgun Gothic" w:hAnsi="Calibri"/>
          <w:noProof/>
          <w:sz w:val="22"/>
          <w:szCs w:val="22"/>
          <w:lang w:eastAsia="ko-KR"/>
        </w:rPr>
        <w:tab/>
      </w:r>
      <w:r>
        <w:rPr>
          <w:noProof/>
        </w:rPr>
        <w:t>Used Features</w:t>
      </w:r>
      <w:r>
        <w:rPr>
          <w:noProof/>
        </w:rPr>
        <w:tab/>
      </w:r>
      <w:r>
        <w:rPr>
          <w:noProof/>
        </w:rPr>
        <w:fldChar w:fldCharType="begin" w:fldLock="1"/>
      </w:r>
      <w:r>
        <w:rPr>
          <w:noProof/>
        </w:rPr>
        <w:instrText xml:space="preserve"> PAGEREF _Toc153625452 \h </w:instrText>
      </w:r>
      <w:r>
        <w:rPr>
          <w:noProof/>
        </w:rPr>
      </w:r>
      <w:r>
        <w:rPr>
          <w:noProof/>
        </w:rPr>
        <w:fldChar w:fldCharType="separate"/>
      </w:r>
      <w:r>
        <w:rPr>
          <w:noProof/>
        </w:rPr>
        <w:t>194</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5.6.5</w:t>
      </w:r>
      <w:r w:rsidRPr="00DD140B">
        <w:rPr>
          <w:rFonts w:ascii="Calibri" w:eastAsia="Malgun Gothic" w:hAnsi="Calibri"/>
          <w:noProof/>
          <w:sz w:val="22"/>
          <w:szCs w:val="22"/>
          <w:lang w:eastAsia="ko-KR"/>
        </w:rPr>
        <w:tab/>
      </w:r>
      <w:r>
        <w:rPr>
          <w:noProof/>
        </w:rPr>
        <w:t>Error handling</w:t>
      </w:r>
      <w:r>
        <w:rPr>
          <w:noProof/>
        </w:rPr>
        <w:tab/>
      </w:r>
      <w:r>
        <w:rPr>
          <w:noProof/>
        </w:rPr>
        <w:fldChar w:fldCharType="begin" w:fldLock="1"/>
      </w:r>
      <w:r>
        <w:rPr>
          <w:noProof/>
        </w:rPr>
        <w:instrText xml:space="preserve"> PAGEREF _Toc153625453 \h </w:instrText>
      </w:r>
      <w:r>
        <w:rPr>
          <w:noProof/>
        </w:rPr>
      </w:r>
      <w:r>
        <w:rPr>
          <w:noProof/>
        </w:rPr>
        <w:fldChar w:fldCharType="separate"/>
      </w:r>
      <w:r>
        <w:rPr>
          <w:noProof/>
        </w:rPr>
        <w:t>194</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5.6.5.1</w:t>
      </w:r>
      <w:r w:rsidRPr="00DD140B">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_Toc153625454 \h </w:instrText>
      </w:r>
      <w:r>
        <w:rPr>
          <w:noProof/>
        </w:rPr>
      </w:r>
      <w:r>
        <w:rPr>
          <w:noProof/>
        </w:rPr>
        <w:fldChar w:fldCharType="separate"/>
      </w:r>
      <w:r>
        <w:rPr>
          <w:noProof/>
        </w:rPr>
        <w:t>194</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5.6.5.2</w:t>
      </w:r>
      <w:r w:rsidRPr="00DD140B">
        <w:rPr>
          <w:rFonts w:ascii="Calibri" w:eastAsia="Malgun Gothic" w:hAnsi="Calibri"/>
          <w:noProof/>
          <w:sz w:val="22"/>
          <w:szCs w:val="22"/>
          <w:lang w:eastAsia="ko-KR"/>
        </w:rPr>
        <w:tab/>
      </w:r>
      <w:r>
        <w:rPr>
          <w:noProof/>
        </w:rPr>
        <w:t>Protocol Errors</w:t>
      </w:r>
      <w:r>
        <w:rPr>
          <w:noProof/>
        </w:rPr>
        <w:tab/>
      </w:r>
      <w:r>
        <w:rPr>
          <w:noProof/>
        </w:rPr>
        <w:fldChar w:fldCharType="begin" w:fldLock="1"/>
      </w:r>
      <w:r>
        <w:rPr>
          <w:noProof/>
        </w:rPr>
        <w:instrText xml:space="preserve"> PAGEREF _Toc153625455 \h </w:instrText>
      </w:r>
      <w:r>
        <w:rPr>
          <w:noProof/>
        </w:rPr>
      </w:r>
      <w:r>
        <w:rPr>
          <w:noProof/>
        </w:rPr>
        <w:fldChar w:fldCharType="separate"/>
      </w:r>
      <w:r>
        <w:rPr>
          <w:noProof/>
        </w:rPr>
        <w:t>194</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5.6.5.3</w:t>
      </w:r>
      <w:r w:rsidRPr="00DD140B">
        <w:rPr>
          <w:rFonts w:ascii="Calibri" w:eastAsia="Malgun Gothic" w:hAnsi="Calibri"/>
          <w:noProof/>
          <w:sz w:val="22"/>
          <w:szCs w:val="22"/>
          <w:lang w:eastAsia="ko-KR"/>
        </w:rPr>
        <w:tab/>
      </w:r>
      <w:r>
        <w:rPr>
          <w:noProof/>
        </w:rPr>
        <w:t>Application Errors</w:t>
      </w:r>
      <w:r>
        <w:rPr>
          <w:noProof/>
        </w:rPr>
        <w:tab/>
      </w:r>
      <w:r>
        <w:rPr>
          <w:noProof/>
        </w:rPr>
        <w:fldChar w:fldCharType="begin" w:fldLock="1"/>
      </w:r>
      <w:r>
        <w:rPr>
          <w:noProof/>
        </w:rPr>
        <w:instrText xml:space="preserve"> PAGEREF _Toc153625456 \h </w:instrText>
      </w:r>
      <w:r>
        <w:rPr>
          <w:noProof/>
        </w:rPr>
      </w:r>
      <w:r>
        <w:rPr>
          <w:noProof/>
        </w:rPr>
        <w:fldChar w:fldCharType="separate"/>
      </w:r>
      <w:r>
        <w:rPr>
          <w:noProof/>
        </w:rPr>
        <w:t>194</w:t>
      </w:r>
      <w:r>
        <w:rPr>
          <w:noProof/>
        </w:rPr>
        <w:fldChar w:fldCharType="end"/>
      </w:r>
    </w:p>
    <w:p w:rsidR="007D56C6" w:rsidRPr="00DD140B" w:rsidRDefault="007D56C6">
      <w:pPr>
        <w:pStyle w:val="TOC2"/>
        <w:rPr>
          <w:rFonts w:ascii="Calibri" w:eastAsia="Malgun Gothic" w:hAnsi="Calibri"/>
          <w:noProof/>
          <w:sz w:val="22"/>
          <w:szCs w:val="22"/>
          <w:lang w:eastAsia="ko-KR"/>
        </w:rPr>
      </w:pPr>
      <w:r>
        <w:rPr>
          <w:noProof/>
        </w:rPr>
        <w:t>5.7</w:t>
      </w:r>
      <w:r w:rsidRPr="00DD140B">
        <w:rPr>
          <w:rFonts w:ascii="Calibri" w:eastAsia="Malgun Gothic" w:hAnsi="Calibri"/>
          <w:noProof/>
          <w:sz w:val="22"/>
          <w:szCs w:val="22"/>
          <w:lang w:eastAsia="ko-KR"/>
        </w:rPr>
        <w:tab/>
      </w:r>
      <w:r>
        <w:rPr>
          <w:noProof/>
        </w:rPr>
        <w:t>DeviceTriggering API</w:t>
      </w:r>
      <w:r>
        <w:rPr>
          <w:noProof/>
        </w:rPr>
        <w:tab/>
      </w:r>
      <w:r>
        <w:rPr>
          <w:noProof/>
        </w:rPr>
        <w:fldChar w:fldCharType="begin" w:fldLock="1"/>
      </w:r>
      <w:r>
        <w:rPr>
          <w:noProof/>
        </w:rPr>
        <w:instrText xml:space="preserve"> PAGEREF _Toc153625457 \h </w:instrText>
      </w:r>
      <w:r>
        <w:rPr>
          <w:noProof/>
        </w:rPr>
      </w:r>
      <w:r>
        <w:rPr>
          <w:noProof/>
        </w:rPr>
        <w:fldChar w:fldCharType="separate"/>
      </w:r>
      <w:r>
        <w:rPr>
          <w:noProof/>
        </w:rPr>
        <w:t>195</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5.7.1</w:t>
      </w:r>
      <w:r w:rsidRPr="00DD140B">
        <w:rPr>
          <w:rFonts w:ascii="Calibri" w:eastAsia="Malgun Gothic" w:hAnsi="Calibri"/>
          <w:noProof/>
          <w:sz w:val="22"/>
          <w:szCs w:val="22"/>
          <w:lang w:eastAsia="ko-KR"/>
        </w:rPr>
        <w:tab/>
      </w:r>
      <w:r>
        <w:rPr>
          <w:noProof/>
        </w:rPr>
        <w:t>Overview</w:t>
      </w:r>
      <w:r>
        <w:rPr>
          <w:noProof/>
        </w:rPr>
        <w:tab/>
      </w:r>
      <w:r>
        <w:rPr>
          <w:noProof/>
        </w:rPr>
        <w:fldChar w:fldCharType="begin" w:fldLock="1"/>
      </w:r>
      <w:r>
        <w:rPr>
          <w:noProof/>
        </w:rPr>
        <w:instrText xml:space="preserve"> PAGEREF _Toc153625458 \h </w:instrText>
      </w:r>
      <w:r>
        <w:rPr>
          <w:noProof/>
        </w:rPr>
      </w:r>
      <w:r>
        <w:rPr>
          <w:noProof/>
        </w:rPr>
        <w:fldChar w:fldCharType="separate"/>
      </w:r>
      <w:r>
        <w:rPr>
          <w:noProof/>
        </w:rPr>
        <w:t>195</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5.7.2</w:t>
      </w:r>
      <w:r w:rsidRPr="00DD140B">
        <w:rPr>
          <w:rFonts w:ascii="Calibri" w:eastAsia="Malgun Gothic" w:hAnsi="Calibri"/>
          <w:noProof/>
          <w:sz w:val="22"/>
          <w:szCs w:val="22"/>
          <w:lang w:eastAsia="ko-KR"/>
        </w:rPr>
        <w:tab/>
      </w:r>
      <w:r>
        <w:rPr>
          <w:noProof/>
        </w:rPr>
        <w:t>Data model</w:t>
      </w:r>
      <w:r>
        <w:rPr>
          <w:noProof/>
        </w:rPr>
        <w:tab/>
      </w:r>
      <w:r>
        <w:rPr>
          <w:noProof/>
        </w:rPr>
        <w:fldChar w:fldCharType="begin" w:fldLock="1"/>
      </w:r>
      <w:r>
        <w:rPr>
          <w:noProof/>
        </w:rPr>
        <w:instrText xml:space="preserve"> PAGEREF _Toc153625459 \h </w:instrText>
      </w:r>
      <w:r>
        <w:rPr>
          <w:noProof/>
        </w:rPr>
      </w:r>
      <w:r>
        <w:rPr>
          <w:noProof/>
        </w:rPr>
        <w:fldChar w:fldCharType="separate"/>
      </w:r>
      <w:r>
        <w:rPr>
          <w:noProof/>
        </w:rPr>
        <w:t>195</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5.7.2.1</w:t>
      </w:r>
      <w:r w:rsidRPr="00DD140B">
        <w:rPr>
          <w:rFonts w:ascii="Calibri" w:eastAsia="Malgun Gothic" w:hAnsi="Calibri"/>
          <w:noProof/>
          <w:sz w:val="22"/>
          <w:szCs w:val="22"/>
          <w:lang w:eastAsia="ko-KR"/>
        </w:rPr>
        <w:tab/>
      </w:r>
      <w:r>
        <w:rPr>
          <w:noProof/>
        </w:rPr>
        <w:t>Resource data types</w:t>
      </w:r>
      <w:r>
        <w:rPr>
          <w:noProof/>
        </w:rPr>
        <w:tab/>
      </w:r>
      <w:r>
        <w:rPr>
          <w:noProof/>
        </w:rPr>
        <w:fldChar w:fldCharType="begin" w:fldLock="1"/>
      </w:r>
      <w:r>
        <w:rPr>
          <w:noProof/>
        </w:rPr>
        <w:instrText xml:space="preserve"> PAGEREF _Toc153625460 \h </w:instrText>
      </w:r>
      <w:r>
        <w:rPr>
          <w:noProof/>
        </w:rPr>
      </w:r>
      <w:r>
        <w:rPr>
          <w:noProof/>
        </w:rPr>
        <w:fldChar w:fldCharType="separate"/>
      </w:r>
      <w:r>
        <w:rPr>
          <w:noProof/>
        </w:rPr>
        <w:t>195</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5.7.2.1.1</w:t>
      </w:r>
      <w:r w:rsidRPr="00DD140B">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_Toc153625461 \h </w:instrText>
      </w:r>
      <w:r>
        <w:rPr>
          <w:noProof/>
        </w:rPr>
      </w:r>
      <w:r>
        <w:rPr>
          <w:noProof/>
        </w:rPr>
        <w:fldChar w:fldCharType="separate"/>
      </w:r>
      <w:r>
        <w:rPr>
          <w:noProof/>
        </w:rPr>
        <w:t>195</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5.7.2.1.2</w:t>
      </w:r>
      <w:r w:rsidRPr="00DD140B">
        <w:rPr>
          <w:rFonts w:ascii="Calibri" w:eastAsia="Malgun Gothic" w:hAnsi="Calibri"/>
          <w:noProof/>
          <w:sz w:val="22"/>
          <w:szCs w:val="22"/>
          <w:lang w:eastAsia="ko-KR"/>
        </w:rPr>
        <w:tab/>
      </w:r>
      <w:r>
        <w:rPr>
          <w:noProof/>
        </w:rPr>
        <w:t>Type: DeviceTriggering</w:t>
      </w:r>
      <w:r>
        <w:rPr>
          <w:noProof/>
        </w:rPr>
        <w:tab/>
      </w:r>
      <w:r>
        <w:rPr>
          <w:noProof/>
        </w:rPr>
        <w:fldChar w:fldCharType="begin" w:fldLock="1"/>
      </w:r>
      <w:r>
        <w:rPr>
          <w:noProof/>
        </w:rPr>
        <w:instrText xml:space="preserve"> PAGEREF _Toc153625462 \h </w:instrText>
      </w:r>
      <w:r>
        <w:rPr>
          <w:noProof/>
        </w:rPr>
      </w:r>
      <w:r>
        <w:rPr>
          <w:noProof/>
        </w:rPr>
        <w:fldChar w:fldCharType="separate"/>
      </w:r>
      <w:r>
        <w:rPr>
          <w:noProof/>
        </w:rPr>
        <w:t>196</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5.7.2.1.3</w:t>
      </w:r>
      <w:r w:rsidRPr="00DD140B">
        <w:rPr>
          <w:rFonts w:ascii="Calibri" w:eastAsia="Malgun Gothic" w:hAnsi="Calibri"/>
          <w:noProof/>
          <w:sz w:val="22"/>
          <w:szCs w:val="22"/>
          <w:lang w:eastAsia="ko-KR"/>
        </w:rPr>
        <w:tab/>
      </w:r>
      <w:r>
        <w:rPr>
          <w:noProof/>
        </w:rPr>
        <w:t>Type: DeviceTriggeringDeliveryReportNotification</w:t>
      </w:r>
      <w:r>
        <w:rPr>
          <w:noProof/>
        </w:rPr>
        <w:tab/>
      </w:r>
      <w:r>
        <w:rPr>
          <w:noProof/>
        </w:rPr>
        <w:fldChar w:fldCharType="begin" w:fldLock="1"/>
      </w:r>
      <w:r>
        <w:rPr>
          <w:noProof/>
        </w:rPr>
        <w:instrText xml:space="preserve"> PAGEREF _Toc153625463 \h </w:instrText>
      </w:r>
      <w:r>
        <w:rPr>
          <w:noProof/>
        </w:rPr>
      </w:r>
      <w:r>
        <w:rPr>
          <w:noProof/>
        </w:rPr>
        <w:fldChar w:fldCharType="separate"/>
      </w:r>
      <w:r>
        <w:rPr>
          <w:noProof/>
        </w:rPr>
        <w:t>197</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5.7.2.1.4</w:t>
      </w:r>
      <w:r w:rsidRPr="00DD140B">
        <w:rPr>
          <w:rFonts w:ascii="Calibri" w:eastAsia="Malgun Gothic" w:hAnsi="Calibri"/>
          <w:noProof/>
          <w:sz w:val="22"/>
          <w:szCs w:val="22"/>
          <w:lang w:eastAsia="ko-KR"/>
        </w:rPr>
        <w:tab/>
      </w:r>
      <w:r>
        <w:rPr>
          <w:noProof/>
        </w:rPr>
        <w:t>Type: DeviceTriggeringPatch</w:t>
      </w:r>
      <w:r>
        <w:rPr>
          <w:noProof/>
        </w:rPr>
        <w:tab/>
      </w:r>
      <w:r>
        <w:rPr>
          <w:noProof/>
        </w:rPr>
        <w:fldChar w:fldCharType="begin" w:fldLock="1"/>
      </w:r>
      <w:r>
        <w:rPr>
          <w:noProof/>
        </w:rPr>
        <w:instrText xml:space="preserve"> PAGEREF _Toc153625464 \h </w:instrText>
      </w:r>
      <w:r>
        <w:rPr>
          <w:noProof/>
        </w:rPr>
      </w:r>
      <w:r>
        <w:rPr>
          <w:noProof/>
        </w:rPr>
        <w:fldChar w:fldCharType="separate"/>
      </w:r>
      <w:r>
        <w:rPr>
          <w:noProof/>
        </w:rPr>
        <w:t>198</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5.7.2.2</w:t>
      </w:r>
      <w:r w:rsidRPr="00DD140B">
        <w:rPr>
          <w:rFonts w:ascii="Calibri" w:eastAsia="Malgun Gothic" w:hAnsi="Calibri"/>
          <w:noProof/>
          <w:sz w:val="22"/>
          <w:szCs w:val="22"/>
          <w:lang w:eastAsia="ko-KR"/>
        </w:rPr>
        <w:tab/>
      </w:r>
      <w:r>
        <w:rPr>
          <w:noProof/>
        </w:rPr>
        <w:t>Referenced simple data types and enumerations</w:t>
      </w:r>
      <w:r>
        <w:rPr>
          <w:noProof/>
        </w:rPr>
        <w:tab/>
      </w:r>
      <w:r>
        <w:rPr>
          <w:noProof/>
        </w:rPr>
        <w:fldChar w:fldCharType="begin" w:fldLock="1"/>
      </w:r>
      <w:r>
        <w:rPr>
          <w:noProof/>
        </w:rPr>
        <w:instrText xml:space="preserve"> PAGEREF _Toc153625465 \h </w:instrText>
      </w:r>
      <w:r>
        <w:rPr>
          <w:noProof/>
        </w:rPr>
      </w:r>
      <w:r>
        <w:rPr>
          <w:noProof/>
        </w:rPr>
        <w:fldChar w:fldCharType="separate"/>
      </w:r>
      <w:r>
        <w:rPr>
          <w:noProof/>
        </w:rPr>
        <w:t>198</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5.7.2.2.1</w:t>
      </w:r>
      <w:r w:rsidRPr="00DD140B">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_Toc153625466 \h </w:instrText>
      </w:r>
      <w:r>
        <w:rPr>
          <w:noProof/>
        </w:rPr>
      </w:r>
      <w:r>
        <w:rPr>
          <w:noProof/>
        </w:rPr>
        <w:fldChar w:fldCharType="separate"/>
      </w:r>
      <w:r>
        <w:rPr>
          <w:noProof/>
        </w:rPr>
        <w:t>198</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5.7.2.2.2</w:t>
      </w:r>
      <w:r w:rsidRPr="00DD140B">
        <w:rPr>
          <w:rFonts w:ascii="Calibri" w:eastAsia="Malgun Gothic" w:hAnsi="Calibri"/>
          <w:noProof/>
          <w:sz w:val="22"/>
          <w:szCs w:val="22"/>
          <w:lang w:eastAsia="ko-KR"/>
        </w:rPr>
        <w:tab/>
      </w:r>
      <w:r>
        <w:rPr>
          <w:noProof/>
        </w:rPr>
        <w:t>Simple data types</w:t>
      </w:r>
      <w:r>
        <w:rPr>
          <w:noProof/>
        </w:rPr>
        <w:tab/>
      </w:r>
      <w:r>
        <w:rPr>
          <w:noProof/>
        </w:rPr>
        <w:fldChar w:fldCharType="begin" w:fldLock="1"/>
      </w:r>
      <w:r>
        <w:rPr>
          <w:noProof/>
        </w:rPr>
        <w:instrText xml:space="preserve"> PAGEREF _Toc153625467 \h </w:instrText>
      </w:r>
      <w:r>
        <w:rPr>
          <w:noProof/>
        </w:rPr>
      </w:r>
      <w:r>
        <w:rPr>
          <w:noProof/>
        </w:rPr>
        <w:fldChar w:fldCharType="separate"/>
      </w:r>
      <w:r>
        <w:rPr>
          <w:noProof/>
        </w:rPr>
        <w:t>198</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5.7.2.2.3</w:t>
      </w:r>
      <w:r w:rsidRPr="00DD140B">
        <w:rPr>
          <w:rFonts w:ascii="Calibri" w:eastAsia="Malgun Gothic" w:hAnsi="Calibri"/>
          <w:noProof/>
          <w:sz w:val="22"/>
          <w:szCs w:val="22"/>
          <w:lang w:eastAsia="ko-KR"/>
        </w:rPr>
        <w:tab/>
      </w:r>
      <w:r>
        <w:rPr>
          <w:noProof/>
        </w:rPr>
        <w:t xml:space="preserve">Enumeration: </w:t>
      </w:r>
      <w:r w:rsidRPr="00677085">
        <w:rPr>
          <w:rFonts w:eastAsia="Times New Roman"/>
          <w:noProof/>
        </w:rPr>
        <w:t>DeliveryResult</w:t>
      </w:r>
      <w:r>
        <w:rPr>
          <w:noProof/>
        </w:rPr>
        <w:tab/>
      </w:r>
      <w:r>
        <w:rPr>
          <w:noProof/>
        </w:rPr>
        <w:fldChar w:fldCharType="begin" w:fldLock="1"/>
      </w:r>
      <w:r>
        <w:rPr>
          <w:noProof/>
        </w:rPr>
        <w:instrText xml:space="preserve"> PAGEREF _Toc153625468 \h </w:instrText>
      </w:r>
      <w:r>
        <w:rPr>
          <w:noProof/>
        </w:rPr>
      </w:r>
      <w:r>
        <w:rPr>
          <w:noProof/>
        </w:rPr>
        <w:fldChar w:fldCharType="separate"/>
      </w:r>
      <w:r>
        <w:rPr>
          <w:noProof/>
        </w:rPr>
        <w:t>198</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5.7.2.2.4</w:t>
      </w:r>
      <w:r w:rsidRPr="00DD140B">
        <w:rPr>
          <w:rFonts w:ascii="Calibri" w:eastAsia="Malgun Gothic" w:hAnsi="Calibri"/>
          <w:noProof/>
          <w:sz w:val="22"/>
          <w:szCs w:val="22"/>
          <w:lang w:eastAsia="ko-KR"/>
        </w:rPr>
        <w:tab/>
      </w:r>
      <w:r>
        <w:rPr>
          <w:noProof/>
        </w:rPr>
        <w:t>Enumeration: Priority</w:t>
      </w:r>
      <w:r>
        <w:rPr>
          <w:noProof/>
        </w:rPr>
        <w:tab/>
      </w:r>
      <w:r>
        <w:rPr>
          <w:noProof/>
        </w:rPr>
        <w:fldChar w:fldCharType="begin" w:fldLock="1"/>
      </w:r>
      <w:r>
        <w:rPr>
          <w:noProof/>
        </w:rPr>
        <w:instrText xml:space="preserve"> PAGEREF _Toc153625469 \h </w:instrText>
      </w:r>
      <w:r>
        <w:rPr>
          <w:noProof/>
        </w:rPr>
      </w:r>
      <w:r>
        <w:rPr>
          <w:noProof/>
        </w:rPr>
        <w:fldChar w:fldCharType="separate"/>
      </w:r>
      <w:r>
        <w:rPr>
          <w:noProof/>
        </w:rPr>
        <w:t>199</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5.7.3</w:t>
      </w:r>
      <w:r w:rsidRPr="00DD140B">
        <w:rPr>
          <w:rFonts w:ascii="Calibri" w:eastAsia="Malgun Gothic" w:hAnsi="Calibri"/>
          <w:noProof/>
          <w:sz w:val="22"/>
          <w:szCs w:val="22"/>
          <w:lang w:eastAsia="ko-KR"/>
        </w:rPr>
        <w:tab/>
      </w:r>
      <w:r>
        <w:rPr>
          <w:noProof/>
        </w:rPr>
        <w:t>Resource structure</w:t>
      </w:r>
      <w:r>
        <w:rPr>
          <w:noProof/>
        </w:rPr>
        <w:tab/>
      </w:r>
      <w:r>
        <w:rPr>
          <w:noProof/>
        </w:rPr>
        <w:fldChar w:fldCharType="begin" w:fldLock="1"/>
      </w:r>
      <w:r>
        <w:rPr>
          <w:noProof/>
        </w:rPr>
        <w:instrText xml:space="preserve"> PAGEREF _Toc153625470 \h </w:instrText>
      </w:r>
      <w:r>
        <w:rPr>
          <w:noProof/>
        </w:rPr>
      </w:r>
      <w:r>
        <w:rPr>
          <w:noProof/>
        </w:rPr>
        <w:fldChar w:fldCharType="separate"/>
      </w:r>
      <w:r>
        <w:rPr>
          <w:noProof/>
        </w:rPr>
        <w:t>199</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5.7.3.1</w:t>
      </w:r>
      <w:r w:rsidRPr="00DD140B">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_Toc153625471 \h </w:instrText>
      </w:r>
      <w:r>
        <w:rPr>
          <w:noProof/>
        </w:rPr>
      </w:r>
      <w:r>
        <w:rPr>
          <w:noProof/>
        </w:rPr>
        <w:fldChar w:fldCharType="separate"/>
      </w:r>
      <w:r>
        <w:rPr>
          <w:noProof/>
        </w:rPr>
        <w:t>199</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5.7.3.2</w:t>
      </w:r>
      <w:r w:rsidRPr="00DD140B">
        <w:rPr>
          <w:rFonts w:ascii="Calibri" w:eastAsia="Malgun Gothic" w:hAnsi="Calibri"/>
          <w:noProof/>
          <w:sz w:val="22"/>
          <w:szCs w:val="22"/>
          <w:lang w:eastAsia="ko-KR"/>
        </w:rPr>
        <w:tab/>
      </w:r>
      <w:r>
        <w:rPr>
          <w:noProof/>
        </w:rPr>
        <w:t>Resource: Device Triggering Transactions</w:t>
      </w:r>
      <w:r>
        <w:rPr>
          <w:noProof/>
        </w:rPr>
        <w:tab/>
      </w:r>
      <w:r>
        <w:rPr>
          <w:noProof/>
        </w:rPr>
        <w:fldChar w:fldCharType="begin" w:fldLock="1"/>
      </w:r>
      <w:r>
        <w:rPr>
          <w:noProof/>
        </w:rPr>
        <w:instrText xml:space="preserve"> PAGEREF _Toc153625472 \h </w:instrText>
      </w:r>
      <w:r>
        <w:rPr>
          <w:noProof/>
        </w:rPr>
      </w:r>
      <w:r>
        <w:rPr>
          <w:noProof/>
        </w:rPr>
        <w:fldChar w:fldCharType="separate"/>
      </w:r>
      <w:r>
        <w:rPr>
          <w:noProof/>
        </w:rPr>
        <w:t>200</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5.7.3.2.1</w:t>
      </w:r>
      <w:r w:rsidRPr="00DD140B">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_Toc153625473 \h </w:instrText>
      </w:r>
      <w:r>
        <w:rPr>
          <w:noProof/>
        </w:rPr>
      </w:r>
      <w:r>
        <w:rPr>
          <w:noProof/>
        </w:rPr>
        <w:fldChar w:fldCharType="separate"/>
      </w:r>
      <w:r>
        <w:rPr>
          <w:noProof/>
        </w:rPr>
        <w:t>200</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5.7.3.2.2</w:t>
      </w:r>
      <w:r w:rsidRPr="00DD140B">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_Toc153625474 \h </w:instrText>
      </w:r>
      <w:r>
        <w:rPr>
          <w:noProof/>
        </w:rPr>
      </w:r>
      <w:r>
        <w:rPr>
          <w:noProof/>
        </w:rPr>
        <w:fldChar w:fldCharType="separate"/>
      </w:r>
      <w:r>
        <w:rPr>
          <w:noProof/>
        </w:rPr>
        <w:t>200</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5.7.3.2.3</w:t>
      </w:r>
      <w:r w:rsidRPr="00DD140B">
        <w:rPr>
          <w:rFonts w:ascii="Calibri" w:eastAsia="Malgun Gothic" w:hAnsi="Calibri"/>
          <w:noProof/>
          <w:sz w:val="22"/>
          <w:szCs w:val="22"/>
          <w:lang w:eastAsia="ko-KR"/>
        </w:rPr>
        <w:tab/>
      </w:r>
      <w:r>
        <w:rPr>
          <w:noProof/>
        </w:rPr>
        <w:t>Resource methods</w:t>
      </w:r>
      <w:r>
        <w:rPr>
          <w:noProof/>
        </w:rPr>
        <w:tab/>
      </w:r>
      <w:r>
        <w:rPr>
          <w:noProof/>
        </w:rPr>
        <w:fldChar w:fldCharType="begin" w:fldLock="1"/>
      </w:r>
      <w:r>
        <w:rPr>
          <w:noProof/>
        </w:rPr>
        <w:instrText xml:space="preserve"> PAGEREF _Toc153625475 \h </w:instrText>
      </w:r>
      <w:r>
        <w:rPr>
          <w:noProof/>
        </w:rPr>
      </w:r>
      <w:r>
        <w:rPr>
          <w:noProof/>
        </w:rPr>
        <w:fldChar w:fldCharType="separate"/>
      </w:r>
      <w:r>
        <w:rPr>
          <w:noProof/>
        </w:rPr>
        <w:t>200</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5.7.3.2.3.1</w:t>
      </w:r>
      <w:r w:rsidRPr="00DD140B">
        <w:rPr>
          <w:rFonts w:ascii="Calibri" w:eastAsia="Malgun Gothic" w:hAnsi="Calibri"/>
          <w:noProof/>
          <w:sz w:val="22"/>
          <w:szCs w:val="22"/>
          <w:lang w:eastAsia="ko-KR"/>
        </w:rPr>
        <w:tab/>
      </w:r>
      <w:r>
        <w:rPr>
          <w:noProof/>
        </w:rPr>
        <w:t>GET</w:t>
      </w:r>
      <w:r>
        <w:rPr>
          <w:noProof/>
        </w:rPr>
        <w:tab/>
      </w:r>
      <w:r>
        <w:rPr>
          <w:noProof/>
        </w:rPr>
        <w:fldChar w:fldCharType="begin" w:fldLock="1"/>
      </w:r>
      <w:r>
        <w:rPr>
          <w:noProof/>
        </w:rPr>
        <w:instrText xml:space="preserve"> PAGEREF _Toc153625476 \h </w:instrText>
      </w:r>
      <w:r>
        <w:rPr>
          <w:noProof/>
        </w:rPr>
      </w:r>
      <w:r>
        <w:rPr>
          <w:noProof/>
        </w:rPr>
        <w:fldChar w:fldCharType="separate"/>
      </w:r>
      <w:r>
        <w:rPr>
          <w:noProof/>
        </w:rPr>
        <w:t>200</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5.7.3.2.3.2</w:t>
      </w:r>
      <w:r w:rsidRPr="00DD140B">
        <w:rPr>
          <w:rFonts w:ascii="Calibri" w:eastAsia="Malgun Gothic" w:hAnsi="Calibri"/>
          <w:noProof/>
          <w:sz w:val="22"/>
          <w:szCs w:val="22"/>
          <w:lang w:eastAsia="ko-KR"/>
        </w:rPr>
        <w:tab/>
      </w:r>
      <w:r>
        <w:rPr>
          <w:noProof/>
        </w:rPr>
        <w:t>PUT</w:t>
      </w:r>
      <w:r>
        <w:rPr>
          <w:noProof/>
        </w:rPr>
        <w:tab/>
      </w:r>
      <w:r>
        <w:rPr>
          <w:noProof/>
        </w:rPr>
        <w:fldChar w:fldCharType="begin" w:fldLock="1"/>
      </w:r>
      <w:r>
        <w:rPr>
          <w:noProof/>
        </w:rPr>
        <w:instrText xml:space="preserve"> PAGEREF _Toc153625477 \h </w:instrText>
      </w:r>
      <w:r>
        <w:rPr>
          <w:noProof/>
        </w:rPr>
      </w:r>
      <w:r>
        <w:rPr>
          <w:noProof/>
        </w:rPr>
        <w:fldChar w:fldCharType="separate"/>
      </w:r>
      <w:r>
        <w:rPr>
          <w:noProof/>
        </w:rPr>
        <w:t>201</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5.7.3.2.3.3</w:t>
      </w:r>
      <w:r w:rsidRPr="00DD140B">
        <w:rPr>
          <w:rFonts w:ascii="Calibri" w:eastAsia="Malgun Gothic" w:hAnsi="Calibri"/>
          <w:noProof/>
          <w:sz w:val="22"/>
          <w:szCs w:val="22"/>
          <w:lang w:eastAsia="ko-KR"/>
        </w:rPr>
        <w:tab/>
      </w:r>
      <w:r>
        <w:rPr>
          <w:noProof/>
        </w:rPr>
        <w:t>PATCH</w:t>
      </w:r>
      <w:r>
        <w:rPr>
          <w:noProof/>
        </w:rPr>
        <w:tab/>
      </w:r>
      <w:r>
        <w:rPr>
          <w:noProof/>
        </w:rPr>
        <w:fldChar w:fldCharType="begin" w:fldLock="1"/>
      </w:r>
      <w:r>
        <w:rPr>
          <w:noProof/>
        </w:rPr>
        <w:instrText xml:space="preserve"> PAGEREF _Toc153625478 \h </w:instrText>
      </w:r>
      <w:r>
        <w:rPr>
          <w:noProof/>
        </w:rPr>
      </w:r>
      <w:r>
        <w:rPr>
          <w:noProof/>
        </w:rPr>
        <w:fldChar w:fldCharType="separate"/>
      </w:r>
      <w:r>
        <w:rPr>
          <w:noProof/>
        </w:rPr>
        <w:t>201</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5.7.3.2.3.4</w:t>
      </w:r>
      <w:r w:rsidRPr="00DD140B">
        <w:rPr>
          <w:rFonts w:ascii="Calibri" w:eastAsia="Malgun Gothic" w:hAnsi="Calibri"/>
          <w:noProof/>
          <w:sz w:val="22"/>
          <w:szCs w:val="22"/>
          <w:lang w:eastAsia="ko-KR"/>
        </w:rPr>
        <w:tab/>
      </w:r>
      <w:r>
        <w:rPr>
          <w:noProof/>
        </w:rPr>
        <w:t>POST</w:t>
      </w:r>
      <w:r>
        <w:rPr>
          <w:noProof/>
        </w:rPr>
        <w:tab/>
      </w:r>
      <w:r>
        <w:rPr>
          <w:noProof/>
        </w:rPr>
        <w:fldChar w:fldCharType="begin" w:fldLock="1"/>
      </w:r>
      <w:r>
        <w:rPr>
          <w:noProof/>
        </w:rPr>
        <w:instrText xml:space="preserve"> PAGEREF _Toc153625479 \h </w:instrText>
      </w:r>
      <w:r>
        <w:rPr>
          <w:noProof/>
        </w:rPr>
      </w:r>
      <w:r>
        <w:rPr>
          <w:noProof/>
        </w:rPr>
        <w:fldChar w:fldCharType="separate"/>
      </w:r>
      <w:r>
        <w:rPr>
          <w:noProof/>
        </w:rPr>
        <w:t>201</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5.7.3.2.3.5</w:t>
      </w:r>
      <w:r w:rsidRPr="00DD140B">
        <w:rPr>
          <w:rFonts w:ascii="Calibri" w:eastAsia="Malgun Gothic" w:hAnsi="Calibri"/>
          <w:noProof/>
          <w:sz w:val="22"/>
          <w:szCs w:val="22"/>
          <w:lang w:eastAsia="ko-KR"/>
        </w:rPr>
        <w:tab/>
      </w:r>
      <w:r>
        <w:rPr>
          <w:noProof/>
        </w:rPr>
        <w:t>DELETE</w:t>
      </w:r>
      <w:r>
        <w:rPr>
          <w:noProof/>
        </w:rPr>
        <w:tab/>
      </w:r>
      <w:r>
        <w:rPr>
          <w:noProof/>
        </w:rPr>
        <w:fldChar w:fldCharType="begin" w:fldLock="1"/>
      </w:r>
      <w:r>
        <w:rPr>
          <w:noProof/>
        </w:rPr>
        <w:instrText xml:space="preserve"> PAGEREF _Toc153625480 \h </w:instrText>
      </w:r>
      <w:r>
        <w:rPr>
          <w:noProof/>
        </w:rPr>
      </w:r>
      <w:r>
        <w:rPr>
          <w:noProof/>
        </w:rPr>
        <w:fldChar w:fldCharType="separate"/>
      </w:r>
      <w:r>
        <w:rPr>
          <w:noProof/>
        </w:rPr>
        <w:t>202</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5.7.3.3</w:t>
      </w:r>
      <w:r w:rsidRPr="00DD140B">
        <w:rPr>
          <w:rFonts w:ascii="Calibri" w:eastAsia="Malgun Gothic" w:hAnsi="Calibri"/>
          <w:noProof/>
          <w:sz w:val="22"/>
          <w:szCs w:val="22"/>
          <w:lang w:eastAsia="ko-KR"/>
        </w:rPr>
        <w:tab/>
      </w:r>
      <w:r>
        <w:rPr>
          <w:noProof/>
        </w:rPr>
        <w:t>Resource: Individual Device Triggering Transaction</w:t>
      </w:r>
      <w:r>
        <w:rPr>
          <w:noProof/>
        </w:rPr>
        <w:tab/>
      </w:r>
      <w:r>
        <w:rPr>
          <w:noProof/>
        </w:rPr>
        <w:fldChar w:fldCharType="begin" w:fldLock="1"/>
      </w:r>
      <w:r>
        <w:rPr>
          <w:noProof/>
        </w:rPr>
        <w:instrText xml:space="preserve"> PAGEREF _Toc153625481 \h </w:instrText>
      </w:r>
      <w:r>
        <w:rPr>
          <w:noProof/>
        </w:rPr>
      </w:r>
      <w:r>
        <w:rPr>
          <w:noProof/>
        </w:rPr>
        <w:fldChar w:fldCharType="separate"/>
      </w:r>
      <w:r>
        <w:rPr>
          <w:noProof/>
        </w:rPr>
        <w:t>202</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5.7.3.3.1</w:t>
      </w:r>
      <w:r w:rsidRPr="00DD140B">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_Toc153625482 \h </w:instrText>
      </w:r>
      <w:r>
        <w:rPr>
          <w:noProof/>
        </w:rPr>
      </w:r>
      <w:r>
        <w:rPr>
          <w:noProof/>
        </w:rPr>
        <w:fldChar w:fldCharType="separate"/>
      </w:r>
      <w:r>
        <w:rPr>
          <w:noProof/>
        </w:rPr>
        <w:t>202</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5.7.3.3.2</w:t>
      </w:r>
      <w:r w:rsidRPr="00DD140B">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_Toc153625483 \h </w:instrText>
      </w:r>
      <w:r>
        <w:rPr>
          <w:noProof/>
        </w:rPr>
      </w:r>
      <w:r>
        <w:rPr>
          <w:noProof/>
        </w:rPr>
        <w:fldChar w:fldCharType="separate"/>
      </w:r>
      <w:r>
        <w:rPr>
          <w:noProof/>
        </w:rPr>
        <w:t>202</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5.7.3.3.3</w:t>
      </w:r>
      <w:r w:rsidRPr="00DD140B">
        <w:rPr>
          <w:rFonts w:ascii="Calibri" w:eastAsia="Malgun Gothic" w:hAnsi="Calibri"/>
          <w:noProof/>
          <w:sz w:val="22"/>
          <w:szCs w:val="22"/>
          <w:lang w:eastAsia="ko-KR"/>
        </w:rPr>
        <w:tab/>
      </w:r>
      <w:r>
        <w:rPr>
          <w:noProof/>
        </w:rPr>
        <w:t>Resource methods</w:t>
      </w:r>
      <w:r>
        <w:rPr>
          <w:noProof/>
        </w:rPr>
        <w:tab/>
      </w:r>
      <w:r>
        <w:rPr>
          <w:noProof/>
        </w:rPr>
        <w:fldChar w:fldCharType="begin" w:fldLock="1"/>
      </w:r>
      <w:r>
        <w:rPr>
          <w:noProof/>
        </w:rPr>
        <w:instrText xml:space="preserve"> PAGEREF _Toc153625484 \h </w:instrText>
      </w:r>
      <w:r>
        <w:rPr>
          <w:noProof/>
        </w:rPr>
      </w:r>
      <w:r>
        <w:rPr>
          <w:noProof/>
        </w:rPr>
        <w:fldChar w:fldCharType="separate"/>
      </w:r>
      <w:r>
        <w:rPr>
          <w:noProof/>
        </w:rPr>
        <w:t>202</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5.7.3.3.3.1</w:t>
      </w:r>
      <w:r w:rsidRPr="00DD140B">
        <w:rPr>
          <w:rFonts w:ascii="Calibri" w:eastAsia="Malgun Gothic" w:hAnsi="Calibri"/>
          <w:noProof/>
          <w:sz w:val="22"/>
          <w:szCs w:val="22"/>
          <w:lang w:eastAsia="ko-KR"/>
        </w:rPr>
        <w:tab/>
      </w:r>
      <w:r>
        <w:rPr>
          <w:noProof/>
        </w:rPr>
        <w:t>GET</w:t>
      </w:r>
      <w:r>
        <w:rPr>
          <w:noProof/>
        </w:rPr>
        <w:tab/>
      </w:r>
      <w:r>
        <w:rPr>
          <w:noProof/>
        </w:rPr>
        <w:fldChar w:fldCharType="begin" w:fldLock="1"/>
      </w:r>
      <w:r>
        <w:rPr>
          <w:noProof/>
        </w:rPr>
        <w:instrText xml:space="preserve"> PAGEREF _Toc153625485 \h </w:instrText>
      </w:r>
      <w:r>
        <w:rPr>
          <w:noProof/>
        </w:rPr>
      </w:r>
      <w:r>
        <w:rPr>
          <w:noProof/>
        </w:rPr>
        <w:fldChar w:fldCharType="separate"/>
      </w:r>
      <w:r>
        <w:rPr>
          <w:noProof/>
        </w:rPr>
        <w:t>202</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5.7.3.3.3.2</w:t>
      </w:r>
      <w:r w:rsidRPr="00DD140B">
        <w:rPr>
          <w:rFonts w:ascii="Calibri" w:eastAsia="Malgun Gothic" w:hAnsi="Calibri"/>
          <w:noProof/>
          <w:sz w:val="22"/>
          <w:szCs w:val="22"/>
          <w:lang w:eastAsia="ko-KR"/>
        </w:rPr>
        <w:tab/>
      </w:r>
      <w:r>
        <w:rPr>
          <w:noProof/>
        </w:rPr>
        <w:t>PUT</w:t>
      </w:r>
      <w:r>
        <w:rPr>
          <w:noProof/>
        </w:rPr>
        <w:tab/>
      </w:r>
      <w:r>
        <w:rPr>
          <w:noProof/>
        </w:rPr>
        <w:fldChar w:fldCharType="begin" w:fldLock="1"/>
      </w:r>
      <w:r>
        <w:rPr>
          <w:noProof/>
        </w:rPr>
        <w:instrText xml:space="preserve"> PAGEREF _Toc153625486 \h </w:instrText>
      </w:r>
      <w:r>
        <w:rPr>
          <w:noProof/>
        </w:rPr>
      </w:r>
      <w:r>
        <w:rPr>
          <w:noProof/>
        </w:rPr>
        <w:fldChar w:fldCharType="separate"/>
      </w:r>
      <w:r>
        <w:rPr>
          <w:noProof/>
        </w:rPr>
        <w:t>203</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5.7.3.3.3.3</w:t>
      </w:r>
      <w:r w:rsidRPr="00DD140B">
        <w:rPr>
          <w:rFonts w:ascii="Calibri" w:eastAsia="Malgun Gothic" w:hAnsi="Calibri"/>
          <w:noProof/>
          <w:sz w:val="22"/>
          <w:szCs w:val="22"/>
          <w:lang w:eastAsia="ko-KR"/>
        </w:rPr>
        <w:tab/>
      </w:r>
      <w:r>
        <w:rPr>
          <w:noProof/>
        </w:rPr>
        <w:t>PATCH</w:t>
      </w:r>
      <w:r>
        <w:rPr>
          <w:noProof/>
        </w:rPr>
        <w:tab/>
      </w:r>
      <w:r>
        <w:rPr>
          <w:noProof/>
        </w:rPr>
        <w:fldChar w:fldCharType="begin" w:fldLock="1"/>
      </w:r>
      <w:r>
        <w:rPr>
          <w:noProof/>
        </w:rPr>
        <w:instrText xml:space="preserve"> PAGEREF _Toc153625487 \h </w:instrText>
      </w:r>
      <w:r>
        <w:rPr>
          <w:noProof/>
        </w:rPr>
      </w:r>
      <w:r>
        <w:rPr>
          <w:noProof/>
        </w:rPr>
        <w:fldChar w:fldCharType="separate"/>
      </w:r>
      <w:r>
        <w:rPr>
          <w:noProof/>
        </w:rPr>
        <w:t>204</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5.7.3.3.3.4</w:t>
      </w:r>
      <w:r w:rsidRPr="00DD140B">
        <w:rPr>
          <w:rFonts w:ascii="Calibri" w:eastAsia="Malgun Gothic" w:hAnsi="Calibri"/>
          <w:noProof/>
          <w:sz w:val="22"/>
          <w:szCs w:val="22"/>
          <w:lang w:eastAsia="ko-KR"/>
        </w:rPr>
        <w:tab/>
      </w:r>
      <w:r>
        <w:rPr>
          <w:noProof/>
        </w:rPr>
        <w:t>POST</w:t>
      </w:r>
      <w:r>
        <w:rPr>
          <w:noProof/>
        </w:rPr>
        <w:tab/>
      </w:r>
      <w:r>
        <w:rPr>
          <w:noProof/>
        </w:rPr>
        <w:fldChar w:fldCharType="begin" w:fldLock="1"/>
      </w:r>
      <w:r>
        <w:rPr>
          <w:noProof/>
        </w:rPr>
        <w:instrText xml:space="preserve"> PAGEREF _Toc153625488 \h </w:instrText>
      </w:r>
      <w:r>
        <w:rPr>
          <w:noProof/>
        </w:rPr>
      </w:r>
      <w:r>
        <w:rPr>
          <w:noProof/>
        </w:rPr>
        <w:fldChar w:fldCharType="separate"/>
      </w:r>
      <w:r>
        <w:rPr>
          <w:noProof/>
        </w:rPr>
        <w:t>205</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5.7.3.3.3.5</w:t>
      </w:r>
      <w:r w:rsidRPr="00DD140B">
        <w:rPr>
          <w:rFonts w:ascii="Calibri" w:eastAsia="Malgun Gothic" w:hAnsi="Calibri"/>
          <w:noProof/>
          <w:sz w:val="22"/>
          <w:szCs w:val="22"/>
          <w:lang w:eastAsia="ko-KR"/>
        </w:rPr>
        <w:tab/>
      </w:r>
      <w:r>
        <w:rPr>
          <w:noProof/>
        </w:rPr>
        <w:t>DELETE</w:t>
      </w:r>
      <w:r>
        <w:rPr>
          <w:noProof/>
        </w:rPr>
        <w:tab/>
      </w:r>
      <w:r>
        <w:rPr>
          <w:noProof/>
        </w:rPr>
        <w:fldChar w:fldCharType="begin" w:fldLock="1"/>
      </w:r>
      <w:r>
        <w:rPr>
          <w:noProof/>
        </w:rPr>
        <w:instrText xml:space="preserve"> PAGEREF _Toc153625489 \h </w:instrText>
      </w:r>
      <w:r>
        <w:rPr>
          <w:noProof/>
        </w:rPr>
      </w:r>
      <w:r>
        <w:rPr>
          <w:noProof/>
        </w:rPr>
        <w:fldChar w:fldCharType="separate"/>
      </w:r>
      <w:r>
        <w:rPr>
          <w:noProof/>
        </w:rPr>
        <w:t>205</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5.7.3.4</w:t>
      </w:r>
      <w:r w:rsidRPr="00DD140B">
        <w:rPr>
          <w:rFonts w:ascii="Calibri" w:eastAsia="Malgun Gothic" w:hAnsi="Calibri"/>
          <w:noProof/>
          <w:sz w:val="22"/>
          <w:szCs w:val="22"/>
          <w:lang w:eastAsia="ko-KR"/>
        </w:rPr>
        <w:tab/>
      </w:r>
      <w:r>
        <w:rPr>
          <w:noProof/>
        </w:rPr>
        <w:t>Void</w:t>
      </w:r>
      <w:r>
        <w:rPr>
          <w:noProof/>
        </w:rPr>
        <w:tab/>
      </w:r>
      <w:r>
        <w:rPr>
          <w:noProof/>
        </w:rPr>
        <w:fldChar w:fldCharType="begin" w:fldLock="1"/>
      </w:r>
      <w:r>
        <w:rPr>
          <w:noProof/>
        </w:rPr>
        <w:instrText xml:space="preserve"> PAGEREF _Toc153625490 \h </w:instrText>
      </w:r>
      <w:r>
        <w:rPr>
          <w:noProof/>
        </w:rPr>
      </w:r>
      <w:r>
        <w:rPr>
          <w:noProof/>
        </w:rPr>
        <w:fldChar w:fldCharType="separate"/>
      </w:r>
      <w:r>
        <w:rPr>
          <w:noProof/>
        </w:rPr>
        <w:t>206</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5.7.3A</w:t>
      </w:r>
      <w:r w:rsidRPr="00DD140B">
        <w:rPr>
          <w:rFonts w:ascii="Calibri" w:eastAsia="Malgun Gothic" w:hAnsi="Calibri"/>
          <w:noProof/>
          <w:sz w:val="22"/>
          <w:szCs w:val="22"/>
          <w:lang w:eastAsia="ko-KR"/>
        </w:rPr>
        <w:tab/>
      </w:r>
      <w:r>
        <w:rPr>
          <w:noProof/>
        </w:rPr>
        <w:t>Notifications</w:t>
      </w:r>
      <w:r>
        <w:rPr>
          <w:noProof/>
        </w:rPr>
        <w:tab/>
      </w:r>
      <w:r>
        <w:rPr>
          <w:noProof/>
        </w:rPr>
        <w:fldChar w:fldCharType="begin" w:fldLock="1"/>
      </w:r>
      <w:r>
        <w:rPr>
          <w:noProof/>
        </w:rPr>
        <w:instrText xml:space="preserve"> PAGEREF _Toc153625491 \h </w:instrText>
      </w:r>
      <w:r>
        <w:rPr>
          <w:noProof/>
        </w:rPr>
      </w:r>
      <w:r>
        <w:rPr>
          <w:noProof/>
        </w:rPr>
        <w:fldChar w:fldCharType="separate"/>
      </w:r>
      <w:r>
        <w:rPr>
          <w:noProof/>
        </w:rPr>
        <w:t>206</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5.7.3A.1</w:t>
      </w:r>
      <w:r w:rsidRPr="00DD140B">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_Toc153625492 \h </w:instrText>
      </w:r>
      <w:r>
        <w:rPr>
          <w:noProof/>
        </w:rPr>
      </w:r>
      <w:r>
        <w:rPr>
          <w:noProof/>
        </w:rPr>
        <w:fldChar w:fldCharType="separate"/>
      </w:r>
      <w:r>
        <w:rPr>
          <w:noProof/>
        </w:rPr>
        <w:t>206</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5.7.3A.2</w:t>
      </w:r>
      <w:r w:rsidRPr="00DD140B">
        <w:rPr>
          <w:rFonts w:ascii="Calibri" w:eastAsia="Malgun Gothic" w:hAnsi="Calibri"/>
          <w:noProof/>
          <w:sz w:val="22"/>
          <w:szCs w:val="22"/>
          <w:lang w:eastAsia="ko-KR"/>
        </w:rPr>
        <w:tab/>
      </w:r>
      <w:r>
        <w:rPr>
          <w:noProof/>
        </w:rPr>
        <w:t>Device Triggering Delivery Report Notification</w:t>
      </w:r>
      <w:r>
        <w:rPr>
          <w:noProof/>
        </w:rPr>
        <w:tab/>
      </w:r>
      <w:r>
        <w:rPr>
          <w:noProof/>
        </w:rPr>
        <w:fldChar w:fldCharType="begin" w:fldLock="1"/>
      </w:r>
      <w:r>
        <w:rPr>
          <w:noProof/>
        </w:rPr>
        <w:instrText xml:space="preserve"> PAGEREF _Toc153625493 \h </w:instrText>
      </w:r>
      <w:r>
        <w:rPr>
          <w:noProof/>
        </w:rPr>
      </w:r>
      <w:r>
        <w:rPr>
          <w:noProof/>
        </w:rPr>
        <w:fldChar w:fldCharType="separate"/>
      </w:r>
      <w:r>
        <w:rPr>
          <w:noProof/>
        </w:rPr>
        <w:t>207</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5.7.3A.2.1</w:t>
      </w:r>
      <w:r w:rsidRPr="00DD140B">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_Toc153625494 \h </w:instrText>
      </w:r>
      <w:r>
        <w:rPr>
          <w:noProof/>
        </w:rPr>
      </w:r>
      <w:r>
        <w:rPr>
          <w:noProof/>
        </w:rPr>
        <w:fldChar w:fldCharType="separate"/>
      </w:r>
      <w:r>
        <w:rPr>
          <w:noProof/>
        </w:rPr>
        <w:t>207</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5.7.3A.2.2</w:t>
      </w:r>
      <w:r w:rsidRPr="00DD140B">
        <w:rPr>
          <w:rFonts w:ascii="Calibri" w:eastAsia="Malgun Gothic" w:hAnsi="Calibri"/>
          <w:noProof/>
          <w:sz w:val="22"/>
          <w:szCs w:val="22"/>
          <w:lang w:eastAsia="ko-KR"/>
        </w:rPr>
        <w:tab/>
      </w:r>
      <w:r>
        <w:rPr>
          <w:noProof/>
        </w:rPr>
        <w:t>Target URI</w:t>
      </w:r>
      <w:r>
        <w:rPr>
          <w:noProof/>
        </w:rPr>
        <w:tab/>
      </w:r>
      <w:r>
        <w:rPr>
          <w:noProof/>
        </w:rPr>
        <w:fldChar w:fldCharType="begin" w:fldLock="1"/>
      </w:r>
      <w:r>
        <w:rPr>
          <w:noProof/>
        </w:rPr>
        <w:instrText xml:space="preserve"> PAGEREF _Toc153625495 \h </w:instrText>
      </w:r>
      <w:r>
        <w:rPr>
          <w:noProof/>
        </w:rPr>
      </w:r>
      <w:r>
        <w:rPr>
          <w:noProof/>
        </w:rPr>
        <w:fldChar w:fldCharType="separate"/>
      </w:r>
      <w:r>
        <w:rPr>
          <w:noProof/>
        </w:rPr>
        <w:t>207</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5.7.3A.2.3</w:t>
      </w:r>
      <w:r w:rsidRPr="00DD140B">
        <w:rPr>
          <w:rFonts w:ascii="Calibri" w:eastAsia="Malgun Gothic" w:hAnsi="Calibri"/>
          <w:noProof/>
          <w:sz w:val="22"/>
          <w:szCs w:val="22"/>
          <w:lang w:eastAsia="ko-KR"/>
        </w:rPr>
        <w:tab/>
      </w:r>
      <w:r>
        <w:rPr>
          <w:noProof/>
        </w:rPr>
        <w:t>Standard Methods</w:t>
      </w:r>
      <w:r>
        <w:rPr>
          <w:noProof/>
        </w:rPr>
        <w:tab/>
      </w:r>
      <w:r>
        <w:rPr>
          <w:noProof/>
        </w:rPr>
        <w:fldChar w:fldCharType="begin" w:fldLock="1"/>
      </w:r>
      <w:r>
        <w:rPr>
          <w:noProof/>
        </w:rPr>
        <w:instrText xml:space="preserve"> PAGEREF _Toc153625496 \h </w:instrText>
      </w:r>
      <w:r>
        <w:rPr>
          <w:noProof/>
        </w:rPr>
      </w:r>
      <w:r>
        <w:rPr>
          <w:noProof/>
        </w:rPr>
        <w:fldChar w:fldCharType="separate"/>
      </w:r>
      <w:r>
        <w:rPr>
          <w:noProof/>
        </w:rPr>
        <w:t>207</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5.7.3A.2.3.1</w:t>
      </w:r>
      <w:r w:rsidRPr="00DD140B">
        <w:rPr>
          <w:rFonts w:ascii="Calibri" w:eastAsia="Malgun Gothic" w:hAnsi="Calibri"/>
          <w:noProof/>
          <w:sz w:val="22"/>
          <w:szCs w:val="22"/>
          <w:lang w:eastAsia="ko-KR"/>
        </w:rPr>
        <w:tab/>
      </w:r>
      <w:r>
        <w:rPr>
          <w:noProof/>
        </w:rPr>
        <w:t>Notification via POST</w:t>
      </w:r>
      <w:r>
        <w:rPr>
          <w:noProof/>
        </w:rPr>
        <w:tab/>
      </w:r>
      <w:r>
        <w:rPr>
          <w:noProof/>
        </w:rPr>
        <w:fldChar w:fldCharType="begin" w:fldLock="1"/>
      </w:r>
      <w:r>
        <w:rPr>
          <w:noProof/>
        </w:rPr>
        <w:instrText xml:space="preserve"> PAGEREF _Toc153625497 \h </w:instrText>
      </w:r>
      <w:r>
        <w:rPr>
          <w:noProof/>
        </w:rPr>
      </w:r>
      <w:r>
        <w:rPr>
          <w:noProof/>
        </w:rPr>
        <w:fldChar w:fldCharType="separate"/>
      </w:r>
      <w:r>
        <w:rPr>
          <w:noProof/>
        </w:rPr>
        <w:t>207</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5.7.3a.2.3.2</w:t>
      </w:r>
      <w:r w:rsidRPr="00DD140B">
        <w:rPr>
          <w:rFonts w:ascii="Calibri" w:eastAsia="Malgun Gothic" w:hAnsi="Calibri"/>
          <w:noProof/>
          <w:sz w:val="22"/>
          <w:szCs w:val="22"/>
          <w:lang w:eastAsia="ko-KR"/>
        </w:rPr>
        <w:tab/>
      </w:r>
      <w:r>
        <w:rPr>
          <w:noProof/>
        </w:rPr>
        <w:t>Notification via Websocket</w:t>
      </w:r>
      <w:r>
        <w:rPr>
          <w:noProof/>
        </w:rPr>
        <w:tab/>
      </w:r>
      <w:r>
        <w:rPr>
          <w:noProof/>
        </w:rPr>
        <w:fldChar w:fldCharType="begin" w:fldLock="1"/>
      </w:r>
      <w:r>
        <w:rPr>
          <w:noProof/>
        </w:rPr>
        <w:instrText xml:space="preserve"> PAGEREF _Toc153625498 \h </w:instrText>
      </w:r>
      <w:r>
        <w:rPr>
          <w:noProof/>
        </w:rPr>
      </w:r>
      <w:r>
        <w:rPr>
          <w:noProof/>
        </w:rPr>
        <w:fldChar w:fldCharType="separate"/>
      </w:r>
      <w:r>
        <w:rPr>
          <w:noProof/>
        </w:rPr>
        <w:t>208</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5.7.4</w:t>
      </w:r>
      <w:r w:rsidRPr="00DD140B">
        <w:rPr>
          <w:rFonts w:ascii="Calibri" w:eastAsia="Malgun Gothic" w:hAnsi="Calibri"/>
          <w:noProof/>
          <w:sz w:val="22"/>
          <w:szCs w:val="22"/>
          <w:lang w:eastAsia="ko-KR"/>
        </w:rPr>
        <w:tab/>
      </w:r>
      <w:r>
        <w:rPr>
          <w:noProof/>
        </w:rPr>
        <w:t>Used Features</w:t>
      </w:r>
      <w:r>
        <w:rPr>
          <w:noProof/>
        </w:rPr>
        <w:tab/>
      </w:r>
      <w:r>
        <w:rPr>
          <w:noProof/>
        </w:rPr>
        <w:fldChar w:fldCharType="begin" w:fldLock="1"/>
      </w:r>
      <w:r>
        <w:rPr>
          <w:noProof/>
        </w:rPr>
        <w:instrText xml:space="preserve"> PAGEREF _Toc153625499 \h </w:instrText>
      </w:r>
      <w:r>
        <w:rPr>
          <w:noProof/>
        </w:rPr>
      </w:r>
      <w:r>
        <w:rPr>
          <w:noProof/>
        </w:rPr>
        <w:fldChar w:fldCharType="separate"/>
      </w:r>
      <w:r>
        <w:rPr>
          <w:noProof/>
        </w:rPr>
        <w:t>208</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5.7.5</w:t>
      </w:r>
      <w:r w:rsidRPr="00DD140B">
        <w:rPr>
          <w:rFonts w:ascii="Calibri" w:eastAsia="Malgun Gothic" w:hAnsi="Calibri"/>
          <w:noProof/>
          <w:sz w:val="22"/>
          <w:szCs w:val="22"/>
          <w:lang w:eastAsia="ko-KR"/>
        </w:rPr>
        <w:tab/>
      </w:r>
      <w:r>
        <w:rPr>
          <w:noProof/>
        </w:rPr>
        <w:t>Error handling</w:t>
      </w:r>
      <w:r>
        <w:rPr>
          <w:noProof/>
        </w:rPr>
        <w:tab/>
      </w:r>
      <w:r>
        <w:rPr>
          <w:noProof/>
        </w:rPr>
        <w:fldChar w:fldCharType="begin" w:fldLock="1"/>
      </w:r>
      <w:r>
        <w:rPr>
          <w:noProof/>
        </w:rPr>
        <w:instrText xml:space="preserve"> PAGEREF _Toc153625500 \h </w:instrText>
      </w:r>
      <w:r>
        <w:rPr>
          <w:noProof/>
        </w:rPr>
      </w:r>
      <w:r>
        <w:rPr>
          <w:noProof/>
        </w:rPr>
        <w:fldChar w:fldCharType="separate"/>
      </w:r>
      <w:r>
        <w:rPr>
          <w:noProof/>
        </w:rPr>
        <w:t>208</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5.7.5.1</w:t>
      </w:r>
      <w:r w:rsidRPr="00DD140B">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_Toc153625501 \h </w:instrText>
      </w:r>
      <w:r>
        <w:rPr>
          <w:noProof/>
        </w:rPr>
      </w:r>
      <w:r>
        <w:rPr>
          <w:noProof/>
        </w:rPr>
        <w:fldChar w:fldCharType="separate"/>
      </w:r>
      <w:r>
        <w:rPr>
          <w:noProof/>
        </w:rPr>
        <w:t>208</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5.7.5.2</w:t>
      </w:r>
      <w:r w:rsidRPr="00DD140B">
        <w:rPr>
          <w:rFonts w:ascii="Calibri" w:eastAsia="Malgun Gothic" w:hAnsi="Calibri"/>
          <w:noProof/>
          <w:sz w:val="22"/>
          <w:szCs w:val="22"/>
          <w:lang w:eastAsia="ko-KR"/>
        </w:rPr>
        <w:tab/>
      </w:r>
      <w:r>
        <w:rPr>
          <w:noProof/>
        </w:rPr>
        <w:t>Protocol Errors</w:t>
      </w:r>
      <w:r>
        <w:rPr>
          <w:noProof/>
        </w:rPr>
        <w:tab/>
      </w:r>
      <w:r>
        <w:rPr>
          <w:noProof/>
        </w:rPr>
        <w:fldChar w:fldCharType="begin" w:fldLock="1"/>
      </w:r>
      <w:r>
        <w:rPr>
          <w:noProof/>
        </w:rPr>
        <w:instrText xml:space="preserve"> PAGEREF _Toc153625502 \h </w:instrText>
      </w:r>
      <w:r>
        <w:rPr>
          <w:noProof/>
        </w:rPr>
      </w:r>
      <w:r>
        <w:rPr>
          <w:noProof/>
        </w:rPr>
        <w:fldChar w:fldCharType="separate"/>
      </w:r>
      <w:r>
        <w:rPr>
          <w:noProof/>
        </w:rPr>
        <w:t>208</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5.7.5.3</w:t>
      </w:r>
      <w:r w:rsidRPr="00DD140B">
        <w:rPr>
          <w:rFonts w:ascii="Calibri" w:eastAsia="Malgun Gothic" w:hAnsi="Calibri"/>
          <w:noProof/>
          <w:sz w:val="22"/>
          <w:szCs w:val="22"/>
          <w:lang w:eastAsia="ko-KR"/>
        </w:rPr>
        <w:tab/>
      </w:r>
      <w:r>
        <w:rPr>
          <w:noProof/>
        </w:rPr>
        <w:t>Application Errors</w:t>
      </w:r>
      <w:r>
        <w:rPr>
          <w:noProof/>
        </w:rPr>
        <w:tab/>
      </w:r>
      <w:r>
        <w:rPr>
          <w:noProof/>
        </w:rPr>
        <w:fldChar w:fldCharType="begin" w:fldLock="1"/>
      </w:r>
      <w:r>
        <w:rPr>
          <w:noProof/>
        </w:rPr>
        <w:instrText xml:space="preserve"> PAGEREF _Toc153625503 \h </w:instrText>
      </w:r>
      <w:r>
        <w:rPr>
          <w:noProof/>
        </w:rPr>
      </w:r>
      <w:r>
        <w:rPr>
          <w:noProof/>
        </w:rPr>
        <w:fldChar w:fldCharType="separate"/>
      </w:r>
      <w:r>
        <w:rPr>
          <w:noProof/>
        </w:rPr>
        <w:t>208</w:t>
      </w:r>
      <w:r>
        <w:rPr>
          <w:noProof/>
        </w:rPr>
        <w:fldChar w:fldCharType="end"/>
      </w:r>
    </w:p>
    <w:p w:rsidR="007D56C6" w:rsidRPr="00DD140B" w:rsidRDefault="007D56C6">
      <w:pPr>
        <w:pStyle w:val="TOC2"/>
        <w:rPr>
          <w:rFonts w:ascii="Calibri" w:eastAsia="Malgun Gothic" w:hAnsi="Calibri"/>
          <w:noProof/>
          <w:sz w:val="22"/>
          <w:szCs w:val="22"/>
          <w:lang w:eastAsia="ko-KR"/>
        </w:rPr>
      </w:pPr>
      <w:r>
        <w:rPr>
          <w:noProof/>
        </w:rPr>
        <w:t>5.8</w:t>
      </w:r>
      <w:r w:rsidRPr="00DD140B">
        <w:rPr>
          <w:rFonts w:ascii="Calibri" w:eastAsia="Malgun Gothic" w:hAnsi="Calibri"/>
          <w:noProof/>
          <w:sz w:val="22"/>
          <w:szCs w:val="22"/>
          <w:lang w:eastAsia="ko-KR"/>
        </w:rPr>
        <w:tab/>
      </w:r>
      <w:r>
        <w:rPr>
          <w:noProof/>
        </w:rPr>
        <w:t>GMD via MBMS related APIs</w:t>
      </w:r>
      <w:r>
        <w:rPr>
          <w:noProof/>
        </w:rPr>
        <w:tab/>
      </w:r>
      <w:r>
        <w:rPr>
          <w:noProof/>
        </w:rPr>
        <w:fldChar w:fldCharType="begin" w:fldLock="1"/>
      </w:r>
      <w:r>
        <w:rPr>
          <w:noProof/>
        </w:rPr>
        <w:instrText xml:space="preserve"> PAGEREF _Toc153625504 \h </w:instrText>
      </w:r>
      <w:r>
        <w:rPr>
          <w:noProof/>
        </w:rPr>
      </w:r>
      <w:r>
        <w:rPr>
          <w:noProof/>
        </w:rPr>
        <w:fldChar w:fldCharType="separate"/>
      </w:r>
      <w:r>
        <w:rPr>
          <w:noProof/>
        </w:rPr>
        <w:t>209</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5.8.1</w:t>
      </w:r>
      <w:r w:rsidRPr="00DD140B">
        <w:rPr>
          <w:rFonts w:ascii="Calibri" w:eastAsia="Malgun Gothic" w:hAnsi="Calibri"/>
          <w:noProof/>
          <w:sz w:val="22"/>
          <w:szCs w:val="22"/>
          <w:lang w:eastAsia="ko-KR"/>
        </w:rPr>
        <w:tab/>
      </w:r>
      <w:r>
        <w:rPr>
          <w:noProof/>
        </w:rPr>
        <w:t>Overview</w:t>
      </w:r>
      <w:r>
        <w:rPr>
          <w:noProof/>
        </w:rPr>
        <w:tab/>
      </w:r>
      <w:r>
        <w:rPr>
          <w:noProof/>
        </w:rPr>
        <w:fldChar w:fldCharType="begin" w:fldLock="1"/>
      </w:r>
      <w:r>
        <w:rPr>
          <w:noProof/>
        </w:rPr>
        <w:instrText xml:space="preserve"> PAGEREF _Toc153625505 \h </w:instrText>
      </w:r>
      <w:r>
        <w:rPr>
          <w:noProof/>
        </w:rPr>
      </w:r>
      <w:r>
        <w:rPr>
          <w:noProof/>
        </w:rPr>
        <w:fldChar w:fldCharType="separate"/>
      </w:r>
      <w:r>
        <w:rPr>
          <w:noProof/>
        </w:rPr>
        <w:t>209</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5.8.2</w:t>
      </w:r>
      <w:r w:rsidRPr="00DD140B">
        <w:rPr>
          <w:rFonts w:ascii="Calibri" w:eastAsia="Malgun Gothic" w:hAnsi="Calibri"/>
          <w:noProof/>
          <w:sz w:val="22"/>
          <w:szCs w:val="22"/>
          <w:lang w:eastAsia="ko-KR"/>
        </w:rPr>
        <w:tab/>
      </w:r>
      <w:r>
        <w:rPr>
          <w:noProof/>
        </w:rPr>
        <w:t>GMDviaMBMSbyMB2 API</w:t>
      </w:r>
      <w:r>
        <w:rPr>
          <w:noProof/>
        </w:rPr>
        <w:tab/>
      </w:r>
      <w:r>
        <w:rPr>
          <w:noProof/>
        </w:rPr>
        <w:fldChar w:fldCharType="begin" w:fldLock="1"/>
      </w:r>
      <w:r>
        <w:rPr>
          <w:noProof/>
        </w:rPr>
        <w:instrText xml:space="preserve"> PAGEREF _Toc153625506 \h </w:instrText>
      </w:r>
      <w:r>
        <w:rPr>
          <w:noProof/>
        </w:rPr>
      </w:r>
      <w:r>
        <w:rPr>
          <w:noProof/>
        </w:rPr>
        <w:fldChar w:fldCharType="separate"/>
      </w:r>
      <w:r>
        <w:rPr>
          <w:noProof/>
        </w:rPr>
        <w:t>209</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5.8.2.1</w:t>
      </w:r>
      <w:r w:rsidRPr="00DD140B">
        <w:rPr>
          <w:rFonts w:ascii="Calibri" w:eastAsia="Malgun Gothic" w:hAnsi="Calibri"/>
          <w:noProof/>
          <w:sz w:val="22"/>
          <w:szCs w:val="22"/>
          <w:lang w:eastAsia="ko-KR"/>
        </w:rPr>
        <w:tab/>
      </w:r>
      <w:r>
        <w:rPr>
          <w:noProof/>
        </w:rPr>
        <w:t>Data model</w:t>
      </w:r>
      <w:r>
        <w:rPr>
          <w:noProof/>
        </w:rPr>
        <w:tab/>
      </w:r>
      <w:r>
        <w:rPr>
          <w:noProof/>
        </w:rPr>
        <w:fldChar w:fldCharType="begin" w:fldLock="1"/>
      </w:r>
      <w:r>
        <w:rPr>
          <w:noProof/>
        </w:rPr>
        <w:instrText xml:space="preserve"> PAGEREF _Toc153625507 \h </w:instrText>
      </w:r>
      <w:r>
        <w:rPr>
          <w:noProof/>
        </w:rPr>
      </w:r>
      <w:r>
        <w:rPr>
          <w:noProof/>
        </w:rPr>
        <w:fldChar w:fldCharType="separate"/>
      </w:r>
      <w:r>
        <w:rPr>
          <w:noProof/>
        </w:rPr>
        <w:t>209</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5.8.2.1.1</w:t>
      </w:r>
      <w:r w:rsidRPr="00DD140B">
        <w:rPr>
          <w:rFonts w:ascii="Calibri" w:eastAsia="Malgun Gothic" w:hAnsi="Calibri"/>
          <w:noProof/>
          <w:sz w:val="22"/>
          <w:szCs w:val="22"/>
          <w:lang w:eastAsia="ko-KR"/>
        </w:rPr>
        <w:tab/>
      </w:r>
      <w:r>
        <w:rPr>
          <w:noProof/>
        </w:rPr>
        <w:t>Resource data types</w:t>
      </w:r>
      <w:r>
        <w:rPr>
          <w:noProof/>
        </w:rPr>
        <w:tab/>
      </w:r>
      <w:r>
        <w:rPr>
          <w:noProof/>
        </w:rPr>
        <w:fldChar w:fldCharType="begin" w:fldLock="1"/>
      </w:r>
      <w:r>
        <w:rPr>
          <w:noProof/>
        </w:rPr>
        <w:instrText xml:space="preserve"> PAGEREF _Toc153625508 \h </w:instrText>
      </w:r>
      <w:r>
        <w:rPr>
          <w:noProof/>
        </w:rPr>
      </w:r>
      <w:r>
        <w:rPr>
          <w:noProof/>
        </w:rPr>
        <w:fldChar w:fldCharType="separate"/>
      </w:r>
      <w:r>
        <w:rPr>
          <w:noProof/>
        </w:rPr>
        <w:t>209</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5.8.2.1.1.1</w:t>
      </w:r>
      <w:r w:rsidRPr="00DD140B">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_Toc153625509 \h </w:instrText>
      </w:r>
      <w:r>
        <w:rPr>
          <w:noProof/>
        </w:rPr>
      </w:r>
      <w:r>
        <w:rPr>
          <w:noProof/>
        </w:rPr>
        <w:fldChar w:fldCharType="separate"/>
      </w:r>
      <w:r>
        <w:rPr>
          <w:noProof/>
        </w:rPr>
        <w:t>209</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5.8.2.1.1.2</w:t>
      </w:r>
      <w:r w:rsidRPr="00DD140B">
        <w:rPr>
          <w:rFonts w:ascii="Calibri" w:eastAsia="Malgun Gothic" w:hAnsi="Calibri"/>
          <w:noProof/>
          <w:sz w:val="22"/>
          <w:szCs w:val="22"/>
          <w:lang w:eastAsia="ko-KR"/>
        </w:rPr>
        <w:tab/>
      </w:r>
      <w:r>
        <w:rPr>
          <w:noProof/>
        </w:rPr>
        <w:t>Type: TMGIAllocation</w:t>
      </w:r>
      <w:r>
        <w:rPr>
          <w:noProof/>
        </w:rPr>
        <w:tab/>
      </w:r>
      <w:r>
        <w:rPr>
          <w:noProof/>
        </w:rPr>
        <w:fldChar w:fldCharType="begin" w:fldLock="1"/>
      </w:r>
      <w:r>
        <w:rPr>
          <w:noProof/>
        </w:rPr>
        <w:instrText xml:space="preserve"> PAGEREF _Toc153625510 \h </w:instrText>
      </w:r>
      <w:r>
        <w:rPr>
          <w:noProof/>
        </w:rPr>
      </w:r>
      <w:r>
        <w:rPr>
          <w:noProof/>
        </w:rPr>
        <w:fldChar w:fldCharType="separate"/>
      </w:r>
      <w:r>
        <w:rPr>
          <w:noProof/>
        </w:rPr>
        <w:t>209</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5.8.2.1.1.3</w:t>
      </w:r>
      <w:r w:rsidRPr="00DD140B">
        <w:rPr>
          <w:rFonts w:ascii="Calibri" w:eastAsia="Malgun Gothic" w:hAnsi="Calibri"/>
          <w:noProof/>
          <w:sz w:val="22"/>
          <w:szCs w:val="22"/>
          <w:lang w:eastAsia="ko-KR"/>
        </w:rPr>
        <w:tab/>
      </w:r>
      <w:r>
        <w:rPr>
          <w:noProof/>
        </w:rPr>
        <w:t>Type: GMDViaMBMSByMb2</w:t>
      </w:r>
      <w:r>
        <w:rPr>
          <w:noProof/>
        </w:rPr>
        <w:tab/>
      </w:r>
      <w:r>
        <w:rPr>
          <w:noProof/>
        </w:rPr>
        <w:fldChar w:fldCharType="begin" w:fldLock="1"/>
      </w:r>
      <w:r>
        <w:rPr>
          <w:noProof/>
        </w:rPr>
        <w:instrText xml:space="preserve"> PAGEREF _Toc153625511 \h </w:instrText>
      </w:r>
      <w:r>
        <w:rPr>
          <w:noProof/>
        </w:rPr>
      </w:r>
      <w:r>
        <w:rPr>
          <w:noProof/>
        </w:rPr>
        <w:fldChar w:fldCharType="separate"/>
      </w:r>
      <w:r>
        <w:rPr>
          <w:noProof/>
        </w:rPr>
        <w:t>210</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5.8.2.1.1.4</w:t>
      </w:r>
      <w:r w:rsidRPr="00DD140B">
        <w:rPr>
          <w:rFonts w:ascii="Calibri" w:eastAsia="Malgun Gothic" w:hAnsi="Calibri"/>
          <w:noProof/>
          <w:sz w:val="22"/>
          <w:szCs w:val="22"/>
          <w:lang w:eastAsia="ko-KR"/>
        </w:rPr>
        <w:tab/>
      </w:r>
      <w:r>
        <w:rPr>
          <w:noProof/>
        </w:rPr>
        <w:t>Type: GMDByMb2Notification</w:t>
      </w:r>
      <w:r>
        <w:rPr>
          <w:noProof/>
        </w:rPr>
        <w:tab/>
      </w:r>
      <w:r>
        <w:rPr>
          <w:noProof/>
        </w:rPr>
        <w:fldChar w:fldCharType="begin" w:fldLock="1"/>
      </w:r>
      <w:r>
        <w:rPr>
          <w:noProof/>
        </w:rPr>
        <w:instrText xml:space="preserve"> PAGEREF _Toc153625512 \h </w:instrText>
      </w:r>
      <w:r>
        <w:rPr>
          <w:noProof/>
        </w:rPr>
      </w:r>
      <w:r>
        <w:rPr>
          <w:noProof/>
        </w:rPr>
        <w:fldChar w:fldCharType="separate"/>
      </w:r>
      <w:r>
        <w:rPr>
          <w:noProof/>
        </w:rPr>
        <w:t>211</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5.8.2.1.1.5</w:t>
      </w:r>
      <w:r w:rsidRPr="00DD140B">
        <w:rPr>
          <w:rFonts w:ascii="Calibri" w:eastAsia="Malgun Gothic" w:hAnsi="Calibri"/>
          <w:noProof/>
          <w:sz w:val="22"/>
          <w:szCs w:val="22"/>
          <w:lang w:eastAsia="ko-KR"/>
        </w:rPr>
        <w:tab/>
      </w:r>
      <w:r>
        <w:rPr>
          <w:noProof/>
        </w:rPr>
        <w:t>Type: TMGIAllocationPatch</w:t>
      </w:r>
      <w:r>
        <w:rPr>
          <w:noProof/>
        </w:rPr>
        <w:tab/>
      </w:r>
      <w:r>
        <w:rPr>
          <w:noProof/>
        </w:rPr>
        <w:fldChar w:fldCharType="begin" w:fldLock="1"/>
      </w:r>
      <w:r>
        <w:rPr>
          <w:noProof/>
        </w:rPr>
        <w:instrText xml:space="preserve"> PAGEREF _Toc153625513 \h </w:instrText>
      </w:r>
      <w:r>
        <w:rPr>
          <w:noProof/>
        </w:rPr>
      </w:r>
      <w:r>
        <w:rPr>
          <w:noProof/>
        </w:rPr>
        <w:fldChar w:fldCharType="separate"/>
      </w:r>
      <w:r>
        <w:rPr>
          <w:noProof/>
        </w:rPr>
        <w:t>211</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5.8.2.1.1.6</w:t>
      </w:r>
      <w:r w:rsidRPr="00DD140B">
        <w:rPr>
          <w:rFonts w:ascii="Calibri" w:eastAsia="Malgun Gothic" w:hAnsi="Calibri"/>
          <w:noProof/>
          <w:sz w:val="22"/>
          <w:szCs w:val="22"/>
          <w:lang w:eastAsia="ko-KR"/>
        </w:rPr>
        <w:tab/>
      </w:r>
      <w:r>
        <w:rPr>
          <w:noProof/>
        </w:rPr>
        <w:t>Type: GMDViaMBMSByMb2Patch</w:t>
      </w:r>
      <w:r>
        <w:rPr>
          <w:noProof/>
        </w:rPr>
        <w:tab/>
      </w:r>
      <w:r>
        <w:rPr>
          <w:noProof/>
        </w:rPr>
        <w:fldChar w:fldCharType="begin" w:fldLock="1"/>
      </w:r>
      <w:r>
        <w:rPr>
          <w:noProof/>
        </w:rPr>
        <w:instrText xml:space="preserve"> PAGEREF _Toc153625514 \h </w:instrText>
      </w:r>
      <w:r>
        <w:rPr>
          <w:noProof/>
        </w:rPr>
      </w:r>
      <w:r>
        <w:rPr>
          <w:noProof/>
        </w:rPr>
        <w:fldChar w:fldCharType="separate"/>
      </w:r>
      <w:r>
        <w:rPr>
          <w:noProof/>
        </w:rPr>
        <w:t>211</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5.8.2.1.1.7</w:t>
      </w:r>
      <w:r w:rsidRPr="00DD140B">
        <w:rPr>
          <w:rFonts w:ascii="Calibri" w:eastAsia="Malgun Gothic" w:hAnsi="Calibri"/>
          <w:noProof/>
          <w:sz w:val="22"/>
          <w:szCs w:val="22"/>
          <w:lang w:eastAsia="ko-KR"/>
        </w:rPr>
        <w:tab/>
      </w:r>
      <w:r>
        <w:rPr>
          <w:noProof/>
        </w:rPr>
        <w:t>Type: MbmsLocArea</w:t>
      </w:r>
      <w:r>
        <w:rPr>
          <w:noProof/>
        </w:rPr>
        <w:tab/>
      </w:r>
      <w:r>
        <w:rPr>
          <w:noProof/>
        </w:rPr>
        <w:fldChar w:fldCharType="begin" w:fldLock="1"/>
      </w:r>
      <w:r>
        <w:rPr>
          <w:noProof/>
        </w:rPr>
        <w:instrText xml:space="preserve"> PAGEREF _Toc153625515 \h </w:instrText>
      </w:r>
      <w:r>
        <w:rPr>
          <w:noProof/>
        </w:rPr>
      </w:r>
      <w:r>
        <w:rPr>
          <w:noProof/>
        </w:rPr>
        <w:fldChar w:fldCharType="separate"/>
      </w:r>
      <w:r>
        <w:rPr>
          <w:noProof/>
        </w:rPr>
        <w:t>212</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5.8.2.2</w:t>
      </w:r>
      <w:r w:rsidRPr="00DD140B">
        <w:rPr>
          <w:rFonts w:ascii="Calibri" w:eastAsia="Malgun Gothic" w:hAnsi="Calibri"/>
          <w:noProof/>
          <w:sz w:val="22"/>
          <w:szCs w:val="22"/>
          <w:lang w:eastAsia="ko-KR"/>
        </w:rPr>
        <w:tab/>
      </w:r>
      <w:r>
        <w:rPr>
          <w:noProof/>
        </w:rPr>
        <w:t>Resource structure</w:t>
      </w:r>
      <w:r>
        <w:rPr>
          <w:noProof/>
        </w:rPr>
        <w:tab/>
      </w:r>
      <w:r>
        <w:rPr>
          <w:noProof/>
        </w:rPr>
        <w:fldChar w:fldCharType="begin" w:fldLock="1"/>
      </w:r>
      <w:r>
        <w:rPr>
          <w:noProof/>
        </w:rPr>
        <w:instrText xml:space="preserve"> PAGEREF _Toc153625516 \h </w:instrText>
      </w:r>
      <w:r>
        <w:rPr>
          <w:noProof/>
        </w:rPr>
      </w:r>
      <w:r>
        <w:rPr>
          <w:noProof/>
        </w:rPr>
        <w:fldChar w:fldCharType="separate"/>
      </w:r>
      <w:r>
        <w:rPr>
          <w:noProof/>
        </w:rPr>
        <w:t>212</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5.8.2.2.1</w:t>
      </w:r>
      <w:r w:rsidRPr="00DD140B">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_Toc153625517 \h </w:instrText>
      </w:r>
      <w:r>
        <w:rPr>
          <w:noProof/>
        </w:rPr>
      </w:r>
      <w:r>
        <w:rPr>
          <w:noProof/>
        </w:rPr>
        <w:fldChar w:fldCharType="separate"/>
      </w:r>
      <w:r>
        <w:rPr>
          <w:noProof/>
        </w:rPr>
        <w:t>212</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5.8.2.2.2</w:t>
      </w:r>
      <w:r w:rsidRPr="00DD140B">
        <w:rPr>
          <w:rFonts w:ascii="Calibri" w:eastAsia="Malgun Gothic" w:hAnsi="Calibri"/>
          <w:noProof/>
          <w:sz w:val="22"/>
          <w:szCs w:val="22"/>
          <w:lang w:eastAsia="ko-KR"/>
        </w:rPr>
        <w:tab/>
      </w:r>
      <w:r>
        <w:rPr>
          <w:noProof/>
        </w:rPr>
        <w:t>Resource: TMGI Allocation</w:t>
      </w:r>
      <w:r>
        <w:rPr>
          <w:noProof/>
        </w:rPr>
        <w:tab/>
      </w:r>
      <w:r>
        <w:rPr>
          <w:noProof/>
        </w:rPr>
        <w:fldChar w:fldCharType="begin" w:fldLock="1"/>
      </w:r>
      <w:r>
        <w:rPr>
          <w:noProof/>
        </w:rPr>
        <w:instrText xml:space="preserve"> PAGEREF _Toc153625518 \h </w:instrText>
      </w:r>
      <w:r>
        <w:rPr>
          <w:noProof/>
        </w:rPr>
      </w:r>
      <w:r>
        <w:rPr>
          <w:noProof/>
        </w:rPr>
        <w:fldChar w:fldCharType="separate"/>
      </w:r>
      <w:r>
        <w:rPr>
          <w:noProof/>
        </w:rPr>
        <w:t>213</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5.8.2.2.2.1</w:t>
      </w:r>
      <w:r w:rsidRPr="00DD140B">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_Toc153625519 \h </w:instrText>
      </w:r>
      <w:r>
        <w:rPr>
          <w:noProof/>
        </w:rPr>
      </w:r>
      <w:r>
        <w:rPr>
          <w:noProof/>
        </w:rPr>
        <w:fldChar w:fldCharType="separate"/>
      </w:r>
      <w:r>
        <w:rPr>
          <w:noProof/>
        </w:rPr>
        <w:t>213</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5.8.2.2.2.2</w:t>
      </w:r>
      <w:r w:rsidRPr="00DD140B">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_Toc153625520 \h </w:instrText>
      </w:r>
      <w:r>
        <w:rPr>
          <w:noProof/>
        </w:rPr>
      </w:r>
      <w:r>
        <w:rPr>
          <w:noProof/>
        </w:rPr>
        <w:fldChar w:fldCharType="separate"/>
      </w:r>
      <w:r>
        <w:rPr>
          <w:noProof/>
        </w:rPr>
        <w:t>213</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5.8.2.2.2.3</w:t>
      </w:r>
      <w:r w:rsidRPr="00DD140B">
        <w:rPr>
          <w:rFonts w:ascii="Calibri" w:eastAsia="Malgun Gothic" w:hAnsi="Calibri"/>
          <w:noProof/>
          <w:sz w:val="22"/>
          <w:szCs w:val="22"/>
          <w:lang w:eastAsia="ko-KR"/>
        </w:rPr>
        <w:tab/>
      </w:r>
      <w:r>
        <w:rPr>
          <w:noProof/>
        </w:rPr>
        <w:t>Resource methods</w:t>
      </w:r>
      <w:r>
        <w:rPr>
          <w:noProof/>
        </w:rPr>
        <w:tab/>
      </w:r>
      <w:r>
        <w:rPr>
          <w:noProof/>
        </w:rPr>
        <w:fldChar w:fldCharType="begin" w:fldLock="1"/>
      </w:r>
      <w:r>
        <w:rPr>
          <w:noProof/>
        </w:rPr>
        <w:instrText xml:space="preserve"> PAGEREF _Toc153625521 \h </w:instrText>
      </w:r>
      <w:r>
        <w:rPr>
          <w:noProof/>
        </w:rPr>
      </w:r>
      <w:r>
        <w:rPr>
          <w:noProof/>
        </w:rPr>
        <w:fldChar w:fldCharType="separate"/>
      </w:r>
      <w:r>
        <w:rPr>
          <w:noProof/>
        </w:rPr>
        <w:t>213</w:t>
      </w:r>
      <w:r>
        <w:rPr>
          <w:noProof/>
        </w:rPr>
        <w:fldChar w:fldCharType="end"/>
      </w:r>
    </w:p>
    <w:p w:rsidR="007D56C6" w:rsidRPr="00DD140B" w:rsidRDefault="007D56C6">
      <w:pPr>
        <w:pStyle w:val="TOC7"/>
        <w:rPr>
          <w:rFonts w:ascii="Calibri" w:eastAsia="Malgun Gothic" w:hAnsi="Calibri"/>
          <w:noProof/>
          <w:sz w:val="22"/>
          <w:szCs w:val="22"/>
          <w:lang w:eastAsia="ko-KR"/>
        </w:rPr>
      </w:pPr>
      <w:r>
        <w:rPr>
          <w:noProof/>
        </w:rPr>
        <w:t>5.8.2.2.2.3.1</w:t>
      </w:r>
      <w:r w:rsidRPr="00DD140B">
        <w:rPr>
          <w:rFonts w:ascii="Calibri" w:eastAsia="Malgun Gothic" w:hAnsi="Calibri"/>
          <w:noProof/>
          <w:sz w:val="22"/>
          <w:szCs w:val="22"/>
          <w:lang w:eastAsia="ko-KR"/>
        </w:rPr>
        <w:tab/>
      </w:r>
      <w:r>
        <w:rPr>
          <w:noProof/>
        </w:rPr>
        <w:t>GET</w:t>
      </w:r>
      <w:r>
        <w:rPr>
          <w:noProof/>
        </w:rPr>
        <w:tab/>
      </w:r>
      <w:r>
        <w:rPr>
          <w:noProof/>
        </w:rPr>
        <w:fldChar w:fldCharType="begin" w:fldLock="1"/>
      </w:r>
      <w:r>
        <w:rPr>
          <w:noProof/>
        </w:rPr>
        <w:instrText xml:space="preserve"> PAGEREF _Toc153625522 \h </w:instrText>
      </w:r>
      <w:r>
        <w:rPr>
          <w:noProof/>
        </w:rPr>
      </w:r>
      <w:r>
        <w:rPr>
          <w:noProof/>
        </w:rPr>
        <w:fldChar w:fldCharType="separate"/>
      </w:r>
      <w:r>
        <w:rPr>
          <w:noProof/>
        </w:rPr>
        <w:t>213</w:t>
      </w:r>
      <w:r>
        <w:rPr>
          <w:noProof/>
        </w:rPr>
        <w:fldChar w:fldCharType="end"/>
      </w:r>
    </w:p>
    <w:p w:rsidR="007D56C6" w:rsidRPr="00DD140B" w:rsidRDefault="007D56C6">
      <w:pPr>
        <w:pStyle w:val="TOC7"/>
        <w:rPr>
          <w:rFonts w:ascii="Calibri" w:eastAsia="Malgun Gothic" w:hAnsi="Calibri"/>
          <w:noProof/>
          <w:sz w:val="22"/>
          <w:szCs w:val="22"/>
          <w:lang w:eastAsia="ko-KR"/>
        </w:rPr>
      </w:pPr>
      <w:r>
        <w:rPr>
          <w:noProof/>
        </w:rPr>
        <w:t>5.8.2.2.2.3.2</w:t>
      </w:r>
      <w:r w:rsidRPr="00DD140B">
        <w:rPr>
          <w:rFonts w:ascii="Calibri" w:eastAsia="Malgun Gothic" w:hAnsi="Calibri"/>
          <w:noProof/>
          <w:sz w:val="22"/>
          <w:szCs w:val="22"/>
          <w:lang w:eastAsia="ko-KR"/>
        </w:rPr>
        <w:tab/>
      </w:r>
      <w:r>
        <w:rPr>
          <w:noProof/>
        </w:rPr>
        <w:t>PUT</w:t>
      </w:r>
      <w:r>
        <w:rPr>
          <w:noProof/>
        </w:rPr>
        <w:tab/>
      </w:r>
      <w:r>
        <w:rPr>
          <w:noProof/>
        </w:rPr>
        <w:fldChar w:fldCharType="begin" w:fldLock="1"/>
      </w:r>
      <w:r>
        <w:rPr>
          <w:noProof/>
        </w:rPr>
        <w:instrText xml:space="preserve"> PAGEREF _Toc153625523 \h </w:instrText>
      </w:r>
      <w:r>
        <w:rPr>
          <w:noProof/>
        </w:rPr>
      </w:r>
      <w:r>
        <w:rPr>
          <w:noProof/>
        </w:rPr>
        <w:fldChar w:fldCharType="separate"/>
      </w:r>
      <w:r>
        <w:rPr>
          <w:noProof/>
        </w:rPr>
        <w:t>214</w:t>
      </w:r>
      <w:r>
        <w:rPr>
          <w:noProof/>
        </w:rPr>
        <w:fldChar w:fldCharType="end"/>
      </w:r>
    </w:p>
    <w:p w:rsidR="007D56C6" w:rsidRPr="00DD140B" w:rsidRDefault="007D56C6">
      <w:pPr>
        <w:pStyle w:val="TOC7"/>
        <w:rPr>
          <w:rFonts w:ascii="Calibri" w:eastAsia="Malgun Gothic" w:hAnsi="Calibri"/>
          <w:noProof/>
          <w:sz w:val="22"/>
          <w:szCs w:val="22"/>
          <w:lang w:eastAsia="ko-KR"/>
        </w:rPr>
      </w:pPr>
      <w:r>
        <w:rPr>
          <w:noProof/>
        </w:rPr>
        <w:t>5.8.2.2.2.3.3</w:t>
      </w:r>
      <w:r w:rsidRPr="00DD140B">
        <w:rPr>
          <w:rFonts w:ascii="Calibri" w:eastAsia="Malgun Gothic" w:hAnsi="Calibri"/>
          <w:noProof/>
          <w:sz w:val="22"/>
          <w:szCs w:val="22"/>
          <w:lang w:eastAsia="ko-KR"/>
        </w:rPr>
        <w:tab/>
      </w:r>
      <w:r>
        <w:rPr>
          <w:noProof/>
        </w:rPr>
        <w:t>PATCH</w:t>
      </w:r>
      <w:r>
        <w:rPr>
          <w:noProof/>
        </w:rPr>
        <w:tab/>
      </w:r>
      <w:r>
        <w:rPr>
          <w:noProof/>
        </w:rPr>
        <w:fldChar w:fldCharType="begin" w:fldLock="1"/>
      </w:r>
      <w:r>
        <w:rPr>
          <w:noProof/>
        </w:rPr>
        <w:instrText xml:space="preserve"> PAGEREF _Toc153625524 \h </w:instrText>
      </w:r>
      <w:r>
        <w:rPr>
          <w:noProof/>
        </w:rPr>
      </w:r>
      <w:r>
        <w:rPr>
          <w:noProof/>
        </w:rPr>
        <w:fldChar w:fldCharType="separate"/>
      </w:r>
      <w:r>
        <w:rPr>
          <w:noProof/>
        </w:rPr>
        <w:t>214</w:t>
      </w:r>
      <w:r>
        <w:rPr>
          <w:noProof/>
        </w:rPr>
        <w:fldChar w:fldCharType="end"/>
      </w:r>
    </w:p>
    <w:p w:rsidR="007D56C6" w:rsidRPr="00DD140B" w:rsidRDefault="007D56C6">
      <w:pPr>
        <w:pStyle w:val="TOC7"/>
        <w:rPr>
          <w:rFonts w:ascii="Calibri" w:eastAsia="Malgun Gothic" w:hAnsi="Calibri"/>
          <w:noProof/>
          <w:sz w:val="22"/>
          <w:szCs w:val="22"/>
          <w:lang w:eastAsia="ko-KR"/>
        </w:rPr>
      </w:pPr>
      <w:r>
        <w:rPr>
          <w:noProof/>
        </w:rPr>
        <w:t>5.8.2.2.2.3.4</w:t>
      </w:r>
      <w:r w:rsidRPr="00DD140B">
        <w:rPr>
          <w:rFonts w:ascii="Calibri" w:eastAsia="Malgun Gothic" w:hAnsi="Calibri"/>
          <w:noProof/>
          <w:sz w:val="22"/>
          <w:szCs w:val="22"/>
          <w:lang w:eastAsia="ko-KR"/>
        </w:rPr>
        <w:tab/>
      </w:r>
      <w:r>
        <w:rPr>
          <w:noProof/>
        </w:rPr>
        <w:t>POST</w:t>
      </w:r>
      <w:r>
        <w:rPr>
          <w:noProof/>
        </w:rPr>
        <w:tab/>
      </w:r>
      <w:r>
        <w:rPr>
          <w:noProof/>
        </w:rPr>
        <w:fldChar w:fldCharType="begin" w:fldLock="1"/>
      </w:r>
      <w:r>
        <w:rPr>
          <w:noProof/>
        </w:rPr>
        <w:instrText xml:space="preserve"> PAGEREF _Toc153625525 \h </w:instrText>
      </w:r>
      <w:r>
        <w:rPr>
          <w:noProof/>
        </w:rPr>
      </w:r>
      <w:r>
        <w:rPr>
          <w:noProof/>
        </w:rPr>
        <w:fldChar w:fldCharType="separate"/>
      </w:r>
      <w:r>
        <w:rPr>
          <w:noProof/>
        </w:rPr>
        <w:t>214</w:t>
      </w:r>
      <w:r>
        <w:rPr>
          <w:noProof/>
        </w:rPr>
        <w:fldChar w:fldCharType="end"/>
      </w:r>
    </w:p>
    <w:p w:rsidR="007D56C6" w:rsidRPr="00DD140B" w:rsidRDefault="007D56C6">
      <w:pPr>
        <w:pStyle w:val="TOC7"/>
        <w:rPr>
          <w:rFonts w:ascii="Calibri" w:eastAsia="Malgun Gothic" w:hAnsi="Calibri"/>
          <w:noProof/>
          <w:sz w:val="22"/>
          <w:szCs w:val="22"/>
          <w:lang w:eastAsia="ko-KR"/>
        </w:rPr>
      </w:pPr>
      <w:r>
        <w:rPr>
          <w:noProof/>
        </w:rPr>
        <w:t>5.8.2.2.2.3.5</w:t>
      </w:r>
      <w:r w:rsidRPr="00DD140B">
        <w:rPr>
          <w:rFonts w:ascii="Calibri" w:eastAsia="Malgun Gothic" w:hAnsi="Calibri"/>
          <w:noProof/>
          <w:sz w:val="22"/>
          <w:szCs w:val="22"/>
          <w:lang w:eastAsia="ko-KR"/>
        </w:rPr>
        <w:tab/>
      </w:r>
      <w:r>
        <w:rPr>
          <w:noProof/>
        </w:rPr>
        <w:t>DELETE</w:t>
      </w:r>
      <w:r>
        <w:rPr>
          <w:noProof/>
        </w:rPr>
        <w:tab/>
      </w:r>
      <w:r>
        <w:rPr>
          <w:noProof/>
        </w:rPr>
        <w:fldChar w:fldCharType="begin" w:fldLock="1"/>
      </w:r>
      <w:r>
        <w:rPr>
          <w:noProof/>
        </w:rPr>
        <w:instrText xml:space="preserve"> PAGEREF _Toc153625526 \h </w:instrText>
      </w:r>
      <w:r>
        <w:rPr>
          <w:noProof/>
        </w:rPr>
      </w:r>
      <w:r>
        <w:rPr>
          <w:noProof/>
        </w:rPr>
        <w:fldChar w:fldCharType="separate"/>
      </w:r>
      <w:r>
        <w:rPr>
          <w:noProof/>
        </w:rPr>
        <w:t>215</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5.8.2.2.3</w:t>
      </w:r>
      <w:r w:rsidRPr="00DD140B">
        <w:rPr>
          <w:rFonts w:ascii="Calibri" w:eastAsia="Malgun Gothic" w:hAnsi="Calibri"/>
          <w:noProof/>
          <w:sz w:val="22"/>
          <w:szCs w:val="22"/>
          <w:lang w:eastAsia="ko-KR"/>
        </w:rPr>
        <w:tab/>
      </w:r>
      <w:r>
        <w:rPr>
          <w:noProof/>
        </w:rPr>
        <w:t>Resource: Individual TMGI Allocation</w:t>
      </w:r>
      <w:r>
        <w:rPr>
          <w:noProof/>
        </w:rPr>
        <w:tab/>
      </w:r>
      <w:r>
        <w:rPr>
          <w:noProof/>
        </w:rPr>
        <w:fldChar w:fldCharType="begin" w:fldLock="1"/>
      </w:r>
      <w:r>
        <w:rPr>
          <w:noProof/>
        </w:rPr>
        <w:instrText xml:space="preserve"> PAGEREF _Toc153625527 \h </w:instrText>
      </w:r>
      <w:r>
        <w:rPr>
          <w:noProof/>
        </w:rPr>
      </w:r>
      <w:r>
        <w:rPr>
          <w:noProof/>
        </w:rPr>
        <w:fldChar w:fldCharType="separate"/>
      </w:r>
      <w:r>
        <w:rPr>
          <w:noProof/>
        </w:rPr>
        <w:t>215</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5.8.2.2.3.1</w:t>
      </w:r>
      <w:r w:rsidRPr="00DD140B">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_Toc153625528 \h </w:instrText>
      </w:r>
      <w:r>
        <w:rPr>
          <w:noProof/>
        </w:rPr>
      </w:r>
      <w:r>
        <w:rPr>
          <w:noProof/>
        </w:rPr>
        <w:fldChar w:fldCharType="separate"/>
      </w:r>
      <w:r>
        <w:rPr>
          <w:noProof/>
        </w:rPr>
        <w:t>215</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5.8.2.2.3.2</w:t>
      </w:r>
      <w:r w:rsidRPr="00DD140B">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_Toc153625529 \h </w:instrText>
      </w:r>
      <w:r>
        <w:rPr>
          <w:noProof/>
        </w:rPr>
      </w:r>
      <w:r>
        <w:rPr>
          <w:noProof/>
        </w:rPr>
        <w:fldChar w:fldCharType="separate"/>
      </w:r>
      <w:r>
        <w:rPr>
          <w:noProof/>
        </w:rPr>
        <w:t>215</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5.8.2.2.3.3</w:t>
      </w:r>
      <w:r w:rsidRPr="00DD140B">
        <w:rPr>
          <w:rFonts w:ascii="Calibri" w:eastAsia="Malgun Gothic" w:hAnsi="Calibri"/>
          <w:noProof/>
          <w:sz w:val="22"/>
          <w:szCs w:val="22"/>
          <w:lang w:eastAsia="ko-KR"/>
        </w:rPr>
        <w:tab/>
      </w:r>
      <w:r>
        <w:rPr>
          <w:noProof/>
        </w:rPr>
        <w:t>Resource methods</w:t>
      </w:r>
      <w:r>
        <w:rPr>
          <w:noProof/>
        </w:rPr>
        <w:tab/>
      </w:r>
      <w:r>
        <w:rPr>
          <w:noProof/>
        </w:rPr>
        <w:fldChar w:fldCharType="begin" w:fldLock="1"/>
      </w:r>
      <w:r>
        <w:rPr>
          <w:noProof/>
        </w:rPr>
        <w:instrText xml:space="preserve"> PAGEREF _Toc153625530 \h </w:instrText>
      </w:r>
      <w:r>
        <w:rPr>
          <w:noProof/>
        </w:rPr>
      </w:r>
      <w:r>
        <w:rPr>
          <w:noProof/>
        </w:rPr>
        <w:fldChar w:fldCharType="separate"/>
      </w:r>
      <w:r>
        <w:rPr>
          <w:noProof/>
        </w:rPr>
        <w:t>215</w:t>
      </w:r>
      <w:r>
        <w:rPr>
          <w:noProof/>
        </w:rPr>
        <w:fldChar w:fldCharType="end"/>
      </w:r>
    </w:p>
    <w:p w:rsidR="007D56C6" w:rsidRPr="00DD140B" w:rsidRDefault="007D56C6">
      <w:pPr>
        <w:pStyle w:val="TOC7"/>
        <w:rPr>
          <w:rFonts w:ascii="Calibri" w:eastAsia="Malgun Gothic" w:hAnsi="Calibri"/>
          <w:noProof/>
          <w:sz w:val="22"/>
          <w:szCs w:val="22"/>
          <w:lang w:eastAsia="ko-KR"/>
        </w:rPr>
      </w:pPr>
      <w:r>
        <w:rPr>
          <w:noProof/>
        </w:rPr>
        <w:t>5.8.2.2.3.3.1</w:t>
      </w:r>
      <w:r w:rsidRPr="00DD140B">
        <w:rPr>
          <w:rFonts w:ascii="Calibri" w:eastAsia="Malgun Gothic" w:hAnsi="Calibri"/>
          <w:noProof/>
          <w:sz w:val="22"/>
          <w:szCs w:val="22"/>
          <w:lang w:eastAsia="ko-KR"/>
        </w:rPr>
        <w:tab/>
      </w:r>
      <w:r>
        <w:rPr>
          <w:noProof/>
        </w:rPr>
        <w:t>GET</w:t>
      </w:r>
      <w:r>
        <w:rPr>
          <w:noProof/>
        </w:rPr>
        <w:tab/>
      </w:r>
      <w:r>
        <w:rPr>
          <w:noProof/>
        </w:rPr>
        <w:fldChar w:fldCharType="begin" w:fldLock="1"/>
      </w:r>
      <w:r>
        <w:rPr>
          <w:noProof/>
        </w:rPr>
        <w:instrText xml:space="preserve"> PAGEREF _Toc153625531 \h </w:instrText>
      </w:r>
      <w:r>
        <w:rPr>
          <w:noProof/>
        </w:rPr>
      </w:r>
      <w:r>
        <w:rPr>
          <w:noProof/>
        </w:rPr>
        <w:fldChar w:fldCharType="separate"/>
      </w:r>
      <w:r>
        <w:rPr>
          <w:noProof/>
        </w:rPr>
        <w:t>215</w:t>
      </w:r>
      <w:r>
        <w:rPr>
          <w:noProof/>
        </w:rPr>
        <w:fldChar w:fldCharType="end"/>
      </w:r>
    </w:p>
    <w:p w:rsidR="007D56C6" w:rsidRPr="00DD140B" w:rsidRDefault="007D56C6">
      <w:pPr>
        <w:pStyle w:val="TOC7"/>
        <w:rPr>
          <w:rFonts w:ascii="Calibri" w:eastAsia="Malgun Gothic" w:hAnsi="Calibri"/>
          <w:noProof/>
          <w:sz w:val="22"/>
          <w:szCs w:val="22"/>
          <w:lang w:eastAsia="ko-KR"/>
        </w:rPr>
      </w:pPr>
      <w:r>
        <w:rPr>
          <w:noProof/>
        </w:rPr>
        <w:t>5.8.2.2.3.3.2</w:t>
      </w:r>
      <w:r w:rsidRPr="00DD140B">
        <w:rPr>
          <w:rFonts w:ascii="Calibri" w:eastAsia="Malgun Gothic" w:hAnsi="Calibri"/>
          <w:noProof/>
          <w:sz w:val="22"/>
          <w:szCs w:val="22"/>
          <w:lang w:eastAsia="ko-KR"/>
        </w:rPr>
        <w:tab/>
      </w:r>
      <w:r>
        <w:rPr>
          <w:noProof/>
        </w:rPr>
        <w:t>PUT</w:t>
      </w:r>
      <w:r>
        <w:rPr>
          <w:noProof/>
        </w:rPr>
        <w:tab/>
      </w:r>
      <w:r>
        <w:rPr>
          <w:noProof/>
        </w:rPr>
        <w:fldChar w:fldCharType="begin" w:fldLock="1"/>
      </w:r>
      <w:r>
        <w:rPr>
          <w:noProof/>
        </w:rPr>
        <w:instrText xml:space="preserve"> PAGEREF _Toc153625532 \h </w:instrText>
      </w:r>
      <w:r>
        <w:rPr>
          <w:noProof/>
        </w:rPr>
      </w:r>
      <w:r>
        <w:rPr>
          <w:noProof/>
        </w:rPr>
        <w:fldChar w:fldCharType="separate"/>
      </w:r>
      <w:r>
        <w:rPr>
          <w:noProof/>
        </w:rPr>
        <w:t>216</w:t>
      </w:r>
      <w:r>
        <w:rPr>
          <w:noProof/>
        </w:rPr>
        <w:fldChar w:fldCharType="end"/>
      </w:r>
    </w:p>
    <w:p w:rsidR="007D56C6" w:rsidRPr="00DD140B" w:rsidRDefault="007D56C6">
      <w:pPr>
        <w:pStyle w:val="TOC7"/>
        <w:rPr>
          <w:rFonts w:ascii="Calibri" w:eastAsia="Malgun Gothic" w:hAnsi="Calibri"/>
          <w:noProof/>
          <w:sz w:val="22"/>
          <w:szCs w:val="22"/>
          <w:lang w:eastAsia="ko-KR"/>
        </w:rPr>
      </w:pPr>
      <w:r>
        <w:rPr>
          <w:noProof/>
        </w:rPr>
        <w:t>5.8.2.2.3.3.3</w:t>
      </w:r>
      <w:r w:rsidRPr="00DD140B">
        <w:rPr>
          <w:rFonts w:ascii="Calibri" w:eastAsia="Malgun Gothic" w:hAnsi="Calibri"/>
          <w:noProof/>
          <w:sz w:val="22"/>
          <w:szCs w:val="22"/>
          <w:lang w:eastAsia="ko-KR"/>
        </w:rPr>
        <w:tab/>
      </w:r>
      <w:r>
        <w:rPr>
          <w:noProof/>
        </w:rPr>
        <w:t>PATCH</w:t>
      </w:r>
      <w:r>
        <w:rPr>
          <w:noProof/>
        </w:rPr>
        <w:tab/>
      </w:r>
      <w:r>
        <w:rPr>
          <w:noProof/>
        </w:rPr>
        <w:fldChar w:fldCharType="begin" w:fldLock="1"/>
      </w:r>
      <w:r>
        <w:rPr>
          <w:noProof/>
        </w:rPr>
        <w:instrText xml:space="preserve"> PAGEREF _Toc153625533 \h </w:instrText>
      </w:r>
      <w:r>
        <w:rPr>
          <w:noProof/>
        </w:rPr>
      </w:r>
      <w:r>
        <w:rPr>
          <w:noProof/>
        </w:rPr>
        <w:fldChar w:fldCharType="separate"/>
      </w:r>
      <w:r>
        <w:rPr>
          <w:noProof/>
        </w:rPr>
        <w:t>217</w:t>
      </w:r>
      <w:r>
        <w:rPr>
          <w:noProof/>
        </w:rPr>
        <w:fldChar w:fldCharType="end"/>
      </w:r>
    </w:p>
    <w:p w:rsidR="007D56C6" w:rsidRPr="00DD140B" w:rsidRDefault="007D56C6">
      <w:pPr>
        <w:pStyle w:val="TOC7"/>
        <w:rPr>
          <w:rFonts w:ascii="Calibri" w:eastAsia="Malgun Gothic" w:hAnsi="Calibri"/>
          <w:noProof/>
          <w:sz w:val="22"/>
          <w:szCs w:val="22"/>
          <w:lang w:eastAsia="ko-KR"/>
        </w:rPr>
      </w:pPr>
      <w:r>
        <w:rPr>
          <w:noProof/>
        </w:rPr>
        <w:t>5.8.2.2.3.3.4</w:t>
      </w:r>
      <w:r w:rsidRPr="00DD140B">
        <w:rPr>
          <w:rFonts w:ascii="Calibri" w:eastAsia="Malgun Gothic" w:hAnsi="Calibri"/>
          <w:noProof/>
          <w:sz w:val="22"/>
          <w:szCs w:val="22"/>
          <w:lang w:eastAsia="ko-KR"/>
        </w:rPr>
        <w:tab/>
      </w:r>
      <w:r>
        <w:rPr>
          <w:noProof/>
        </w:rPr>
        <w:t>POST</w:t>
      </w:r>
      <w:r>
        <w:rPr>
          <w:noProof/>
        </w:rPr>
        <w:tab/>
      </w:r>
      <w:r>
        <w:rPr>
          <w:noProof/>
        </w:rPr>
        <w:fldChar w:fldCharType="begin" w:fldLock="1"/>
      </w:r>
      <w:r>
        <w:rPr>
          <w:noProof/>
        </w:rPr>
        <w:instrText xml:space="preserve"> PAGEREF _Toc153625534 \h </w:instrText>
      </w:r>
      <w:r>
        <w:rPr>
          <w:noProof/>
        </w:rPr>
      </w:r>
      <w:r>
        <w:rPr>
          <w:noProof/>
        </w:rPr>
        <w:fldChar w:fldCharType="separate"/>
      </w:r>
      <w:r>
        <w:rPr>
          <w:noProof/>
        </w:rPr>
        <w:t>218</w:t>
      </w:r>
      <w:r>
        <w:rPr>
          <w:noProof/>
        </w:rPr>
        <w:fldChar w:fldCharType="end"/>
      </w:r>
    </w:p>
    <w:p w:rsidR="007D56C6" w:rsidRPr="00DD140B" w:rsidRDefault="007D56C6">
      <w:pPr>
        <w:pStyle w:val="TOC7"/>
        <w:rPr>
          <w:rFonts w:ascii="Calibri" w:eastAsia="Malgun Gothic" w:hAnsi="Calibri"/>
          <w:noProof/>
          <w:sz w:val="22"/>
          <w:szCs w:val="22"/>
          <w:lang w:eastAsia="ko-KR"/>
        </w:rPr>
      </w:pPr>
      <w:r>
        <w:rPr>
          <w:noProof/>
        </w:rPr>
        <w:t>5.8.2.2.3.3.5</w:t>
      </w:r>
      <w:r w:rsidRPr="00DD140B">
        <w:rPr>
          <w:rFonts w:ascii="Calibri" w:eastAsia="Malgun Gothic" w:hAnsi="Calibri"/>
          <w:noProof/>
          <w:sz w:val="22"/>
          <w:szCs w:val="22"/>
          <w:lang w:eastAsia="ko-KR"/>
        </w:rPr>
        <w:tab/>
      </w:r>
      <w:r>
        <w:rPr>
          <w:noProof/>
        </w:rPr>
        <w:t>DELETE</w:t>
      </w:r>
      <w:r>
        <w:rPr>
          <w:noProof/>
        </w:rPr>
        <w:tab/>
      </w:r>
      <w:r>
        <w:rPr>
          <w:noProof/>
        </w:rPr>
        <w:fldChar w:fldCharType="begin" w:fldLock="1"/>
      </w:r>
      <w:r>
        <w:rPr>
          <w:noProof/>
        </w:rPr>
        <w:instrText xml:space="preserve"> PAGEREF _Toc153625535 \h </w:instrText>
      </w:r>
      <w:r>
        <w:rPr>
          <w:noProof/>
        </w:rPr>
      </w:r>
      <w:r>
        <w:rPr>
          <w:noProof/>
        </w:rPr>
        <w:fldChar w:fldCharType="separate"/>
      </w:r>
      <w:r>
        <w:rPr>
          <w:noProof/>
        </w:rPr>
        <w:t>218</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5.8.2.2.4</w:t>
      </w:r>
      <w:r w:rsidRPr="00DD140B">
        <w:rPr>
          <w:rFonts w:ascii="Calibri" w:eastAsia="Malgun Gothic" w:hAnsi="Calibri"/>
          <w:noProof/>
          <w:sz w:val="22"/>
          <w:szCs w:val="22"/>
          <w:lang w:eastAsia="ko-KR"/>
        </w:rPr>
        <w:tab/>
      </w:r>
      <w:r>
        <w:rPr>
          <w:noProof/>
        </w:rPr>
        <w:t>Resource: GMD via MBMS by MB2</w:t>
      </w:r>
      <w:r>
        <w:rPr>
          <w:noProof/>
        </w:rPr>
        <w:tab/>
      </w:r>
      <w:r>
        <w:rPr>
          <w:noProof/>
        </w:rPr>
        <w:fldChar w:fldCharType="begin" w:fldLock="1"/>
      </w:r>
      <w:r>
        <w:rPr>
          <w:noProof/>
        </w:rPr>
        <w:instrText xml:space="preserve"> PAGEREF _Toc153625536 \h </w:instrText>
      </w:r>
      <w:r>
        <w:rPr>
          <w:noProof/>
        </w:rPr>
      </w:r>
      <w:r>
        <w:rPr>
          <w:noProof/>
        </w:rPr>
        <w:fldChar w:fldCharType="separate"/>
      </w:r>
      <w:r>
        <w:rPr>
          <w:noProof/>
        </w:rPr>
        <w:t>219</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5.8.2.2.4.1</w:t>
      </w:r>
      <w:r w:rsidRPr="00DD140B">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_Toc153625537 \h </w:instrText>
      </w:r>
      <w:r>
        <w:rPr>
          <w:noProof/>
        </w:rPr>
      </w:r>
      <w:r>
        <w:rPr>
          <w:noProof/>
        </w:rPr>
        <w:fldChar w:fldCharType="separate"/>
      </w:r>
      <w:r>
        <w:rPr>
          <w:noProof/>
        </w:rPr>
        <w:t>219</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5.8.2.2.4.2</w:t>
      </w:r>
      <w:r w:rsidRPr="00DD140B">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_Toc153625538 \h </w:instrText>
      </w:r>
      <w:r>
        <w:rPr>
          <w:noProof/>
        </w:rPr>
      </w:r>
      <w:r>
        <w:rPr>
          <w:noProof/>
        </w:rPr>
        <w:fldChar w:fldCharType="separate"/>
      </w:r>
      <w:r>
        <w:rPr>
          <w:noProof/>
        </w:rPr>
        <w:t>219</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5.8.2.2.4.3</w:t>
      </w:r>
      <w:r w:rsidRPr="00DD140B">
        <w:rPr>
          <w:rFonts w:ascii="Calibri" w:eastAsia="Malgun Gothic" w:hAnsi="Calibri"/>
          <w:noProof/>
          <w:sz w:val="22"/>
          <w:szCs w:val="22"/>
          <w:lang w:eastAsia="ko-KR"/>
        </w:rPr>
        <w:tab/>
      </w:r>
      <w:r>
        <w:rPr>
          <w:noProof/>
        </w:rPr>
        <w:t>Resource methods</w:t>
      </w:r>
      <w:r>
        <w:rPr>
          <w:noProof/>
        </w:rPr>
        <w:tab/>
      </w:r>
      <w:r>
        <w:rPr>
          <w:noProof/>
        </w:rPr>
        <w:fldChar w:fldCharType="begin" w:fldLock="1"/>
      </w:r>
      <w:r>
        <w:rPr>
          <w:noProof/>
        </w:rPr>
        <w:instrText xml:space="preserve"> PAGEREF _Toc153625539 \h </w:instrText>
      </w:r>
      <w:r>
        <w:rPr>
          <w:noProof/>
        </w:rPr>
      </w:r>
      <w:r>
        <w:rPr>
          <w:noProof/>
        </w:rPr>
        <w:fldChar w:fldCharType="separate"/>
      </w:r>
      <w:r>
        <w:rPr>
          <w:noProof/>
        </w:rPr>
        <w:t>220</w:t>
      </w:r>
      <w:r>
        <w:rPr>
          <w:noProof/>
        </w:rPr>
        <w:fldChar w:fldCharType="end"/>
      </w:r>
    </w:p>
    <w:p w:rsidR="007D56C6" w:rsidRPr="00DD140B" w:rsidRDefault="007D56C6">
      <w:pPr>
        <w:pStyle w:val="TOC7"/>
        <w:rPr>
          <w:rFonts w:ascii="Calibri" w:eastAsia="Malgun Gothic" w:hAnsi="Calibri"/>
          <w:noProof/>
          <w:sz w:val="22"/>
          <w:szCs w:val="22"/>
          <w:lang w:eastAsia="ko-KR"/>
        </w:rPr>
      </w:pPr>
      <w:r>
        <w:rPr>
          <w:noProof/>
        </w:rPr>
        <w:t>5.8.2.2.4.3.1</w:t>
      </w:r>
      <w:r w:rsidRPr="00DD140B">
        <w:rPr>
          <w:rFonts w:ascii="Calibri" w:eastAsia="Malgun Gothic" w:hAnsi="Calibri"/>
          <w:noProof/>
          <w:sz w:val="22"/>
          <w:szCs w:val="22"/>
          <w:lang w:eastAsia="ko-KR"/>
        </w:rPr>
        <w:tab/>
      </w:r>
      <w:r>
        <w:rPr>
          <w:noProof/>
        </w:rPr>
        <w:t>GET</w:t>
      </w:r>
      <w:r>
        <w:rPr>
          <w:noProof/>
        </w:rPr>
        <w:tab/>
      </w:r>
      <w:r>
        <w:rPr>
          <w:noProof/>
        </w:rPr>
        <w:fldChar w:fldCharType="begin" w:fldLock="1"/>
      </w:r>
      <w:r>
        <w:rPr>
          <w:noProof/>
        </w:rPr>
        <w:instrText xml:space="preserve"> PAGEREF _Toc153625540 \h </w:instrText>
      </w:r>
      <w:r>
        <w:rPr>
          <w:noProof/>
        </w:rPr>
      </w:r>
      <w:r>
        <w:rPr>
          <w:noProof/>
        </w:rPr>
        <w:fldChar w:fldCharType="separate"/>
      </w:r>
      <w:r>
        <w:rPr>
          <w:noProof/>
        </w:rPr>
        <w:t>220</w:t>
      </w:r>
      <w:r>
        <w:rPr>
          <w:noProof/>
        </w:rPr>
        <w:fldChar w:fldCharType="end"/>
      </w:r>
    </w:p>
    <w:p w:rsidR="007D56C6" w:rsidRPr="00DD140B" w:rsidRDefault="007D56C6">
      <w:pPr>
        <w:pStyle w:val="TOC7"/>
        <w:rPr>
          <w:rFonts w:ascii="Calibri" w:eastAsia="Malgun Gothic" w:hAnsi="Calibri"/>
          <w:noProof/>
          <w:sz w:val="22"/>
          <w:szCs w:val="22"/>
          <w:lang w:eastAsia="ko-KR"/>
        </w:rPr>
      </w:pPr>
      <w:r>
        <w:rPr>
          <w:noProof/>
        </w:rPr>
        <w:t>5.8.2.2.4.3.2</w:t>
      </w:r>
      <w:r w:rsidRPr="00DD140B">
        <w:rPr>
          <w:rFonts w:ascii="Calibri" w:eastAsia="Malgun Gothic" w:hAnsi="Calibri"/>
          <w:noProof/>
          <w:sz w:val="22"/>
          <w:szCs w:val="22"/>
          <w:lang w:eastAsia="ko-KR"/>
        </w:rPr>
        <w:tab/>
      </w:r>
      <w:r>
        <w:rPr>
          <w:noProof/>
        </w:rPr>
        <w:t>PUT</w:t>
      </w:r>
      <w:r>
        <w:rPr>
          <w:noProof/>
        </w:rPr>
        <w:tab/>
      </w:r>
      <w:r>
        <w:rPr>
          <w:noProof/>
        </w:rPr>
        <w:fldChar w:fldCharType="begin" w:fldLock="1"/>
      </w:r>
      <w:r>
        <w:rPr>
          <w:noProof/>
        </w:rPr>
        <w:instrText xml:space="preserve"> PAGEREF _Toc153625541 \h </w:instrText>
      </w:r>
      <w:r>
        <w:rPr>
          <w:noProof/>
        </w:rPr>
      </w:r>
      <w:r>
        <w:rPr>
          <w:noProof/>
        </w:rPr>
        <w:fldChar w:fldCharType="separate"/>
      </w:r>
      <w:r>
        <w:rPr>
          <w:noProof/>
        </w:rPr>
        <w:t>220</w:t>
      </w:r>
      <w:r>
        <w:rPr>
          <w:noProof/>
        </w:rPr>
        <w:fldChar w:fldCharType="end"/>
      </w:r>
    </w:p>
    <w:p w:rsidR="007D56C6" w:rsidRPr="00DD140B" w:rsidRDefault="007D56C6">
      <w:pPr>
        <w:pStyle w:val="TOC7"/>
        <w:rPr>
          <w:rFonts w:ascii="Calibri" w:eastAsia="Malgun Gothic" w:hAnsi="Calibri"/>
          <w:noProof/>
          <w:sz w:val="22"/>
          <w:szCs w:val="22"/>
          <w:lang w:eastAsia="ko-KR"/>
        </w:rPr>
      </w:pPr>
      <w:r>
        <w:rPr>
          <w:noProof/>
        </w:rPr>
        <w:t>5.8.2.2.4.3.3</w:t>
      </w:r>
      <w:r w:rsidRPr="00DD140B">
        <w:rPr>
          <w:rFonts w:ascii="Calibri" w:eastAsia="Malgun Gothic" w:hAnsi="Calibri"/>
          <w:noProof/>
          <w:sz w:val="22"/>
          <w:szCs w:val="22"/>
          <w:lang w:eastAsia="ko-KR"/>
        </w:rPr>
        <w:tab/>
      </w:r>
      <w:r>
        <w:rPr>
          <w:noProof/>
        </w:rPr>
        <w:t>PATCH</w:t>
      </w:r>
      <w:r>
        <w:rPr>
          <w:noProof/>
        </w:rPr>
        <w:tab/>
      </w:r>
      <w:r>
        <w:rPr>
          <w:noProof/>
        </w:rPr>
        <w:fldChar w:fldCharType="begin" w:fldLock="1"/>
      </w:r>
      <w:r>
        <w:rPr>
          <w:noProof/>
        </w:rPr>
        <w:instrText xml:space="preserve"> PAGEREF _Toc153625542 \h </w:instrText>
      </w:r>
      <w:r>
        <w:rPr>
          <w:noProof/>
        </w:rPr>
      </w:r>
      <w:r>
        <w:rPr>
          <w:noProof/>
        </w:rPr>
        <w:fldChar w:fldCharType="separate"/>
      </w:r>
      <w:r>
        <w:rPr>
          <w:noProof/>
        </w:rPr>
        <w:t>220</w:t>
      </w:r>
      <w:r>
        <w:rPr>
          <w:noProof/>
        </w:rPr>
        <w:fldChar w:fldCharType="end"/>
      </w:r>
    </w:p>
    <w:p w:rsidR="007D56C6" w:rsidRPr="00DD140B" w:rsidRDefault="007D56C6">
      <w:pPr>
        <w:pStyle w:val="TOC7"/>
        <w:rPr>
          <w:rFonts w:ascii="Calibri" w:eastAsia="Malgun Gothic" w:hAnsi="Calibri"/>
          <w:noProof/>
          <w:sz w:val="22"/>
          <w:szCs w:val="22"/>
          <w:lang w:eastAsia="ko-KR"/>
        </w:rPr>
      </w:pPr>
      <w:r>
        <w:rPr>
          <w:noProof/>
        </w:rPr>
        <w:t>5.8.2.2.4.3.4</w:t>
      </w:r>
      <w:r w:rsidRPr="00DD140B">
        <w:rPr>
          <w:rFonts w:ascii="Calibri" w:eastAsia="Malgun Gothic" w:hAnsi="Calibri"/>
          <w:noProof/>
          <w:sz w:val="22"/>
          <w:szCs w:val="22"/>
          <w:lang w:eastAsia="ko-KR"/>
        </w:rPr>
        <w:tab/>
      </w:r>
      <w:r>
        <w:rPr>
          <w:noProof/>
        </w:rPr>
        <w:t>POST</w:t>
      </w:r>
      <w:r>
        <w:rPr>
          <w:noProof/>
        </w:rPr>
        <w:tab/>
      </w:r>
      <w:r>
        <w:rPr>
          <w:noProof/>
        </w:rPr>
        <w:fldChar w:fldCharType="begin" w:fldLock="1"/>
      </w:r>
      <w:r>
        <w:rPr>
          <w:noProof/>
        </w:rPr>
        <w:instrText xml:space="preserve"> PAGEREF _Toc153625543 \h </w:instrText>
      </w:r>
      <w:r>
        <w:rPr>
          <w:noProof/>
        </w:rPr>
      </w:r>
      <w:r>
        <w:rPr>
          <w:noProof/>
        </w:rPr>
        <w:fldChar w:fldCharType="separate"/>
      </w:r>
      <w:r>
        <w:rPr>
          <w:noProof/>
        </w:rPr>
        <w:t>220</w:t>
      </w:r>
      <w:r>
        <w:rPr>
          <w:noProof/>
        </w:rPr>
        <w:fldChar w:fldCharType="end"/>
      </w:r>
    </w:p>
    <w:p w:rsidR="007D56C6" w:rsidRPr="00DD140B" w:rsidRDefault="007D56C6">
      <w:pPr>
        <w:pStyle w:val="TOC7"/>
        <w:rPr>
          <w:rFonts w:ascii="Calibri" w:eastAsia="Malgun Gothic" w:hAnsi="Calibri"/>
          <w:noProof/>
          <w:sz w:val="22"/>
          <w:szCs w:val="22"/>
          <w:lang w:eastAsia="ko-KR"/>
        </w:rPr>
      </w:pPr>
      <w:r>
        <w:rPr>
          <w:noProof/>
        </w:rPr>
        <w:t>5.8.2.2.4.3.5</w:t>
      </w:r>
      <w:r w:rsidRPr="00DD140B">
        <w:rPr>
          <w:rFonts w:ascii="Calibri" w:eastAsia="Malgun Gothic" w:hAnsi="Calibri"/>
          <w:noProof/>
          <w:sz w:val="22"/>
          <w:szCs w:val="22"/>
          <w:lang w:eastAsia="ko-KR"/>
        </w:rPr>
        <w:tab/>
      </w:r>
      <w:r>
        <w:rPr>
          <w:noProof/>
        </w:rPr>
        <w:t>DELETE</w:t>
      </w:r>
      <w:r>
        <w:rPr>
          <w:noProof/>
        </w:rPr>
        <w:tab/>
      </w:r>
      <w:r>
        <w:rPr>
          <w:noProof/>
        </w:rPr>
        <w:fldChar w:fldCharType="begin" w:fldLock="1"/>
      </w:r>
      <w:r>
        <w:rPr>
          <w:noProof/>
        </w:rPr>
        <w:instrText xml:space="preserve"> PAGEREF _Toc153625544 \h </w:instrText>
      </w:r>
      <w:r>
        <w:rPr>
          <w:noProof/>
        </w:rPr>
      </w:r>
      <w:r>
        <w:rPr>
          <w:noProof/>
        </w:rPr>
        <w:fldChar w:fldCharType="separate"/>
      </w:r>
      <w:r>
        <w:rPr>
          <w:noProof/>
        </w:rPr>
        <w:t>221</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5.8.2.2.5</w:t>
      </w:r>
      <w:r w:rsidRPr="00DD140B">
        <w:rPr>
          <w:rFonts w:ascii="Calibri" w:eastAsia="Malgun Gothic" w:hAnsi="Calibri"/>
          <w:noProof/>
          <w:sz w:val="22"/>
          <w:szCs w:val="22"/>
          <w:lang w:eastAsia="ko-KR"/>
        </w:rPr>
        <w:tab/>
      </w:r>
      <w:r>
        <w:rPr>
          <w:noProof/>
        </w:rPr>
        <w:t>Resource: Individual GMD via MBMS by MB2</w:t>
      </w:r>
      <w:r>
        <w:rPr>
          <w:noProof/>
        </w:rPr>
        <w:tab/>
      </w:r>
      <w:r>
        <w:rPr>
          <w:noProof/>
        </w:rPr>
        <w:fldChar w:fldCharType="begin" w:fldLock="1"/>
      </w:r>
      <w:r>
        <w:rPr>
          <w:noProof/>
        </w:rPr>
        <w:instrText xml:space="preserve"> PAGEREF _Toc153625545 \h </w:instrText>
      </w:r>
      <w:r>
        <w:rPr>
          <w:noProof/>
        </w:rPr>
      </w:r>
      <w:r>
        <w:rPr>
          <w:noProof/>
        </w:rPr>
        <w:fldChar w:fldCharType="separate"/>
      </w:r>
      <w:r>
        <w:rPr>
          <w:noProof/>
        </w:rPr>
        <w:t>221</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5.8.2.2.5.1</w:t>
      </w:r>
      <w:r w:rsidRPr="00DD140B">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_Toc153625546 \h </w:instrText>
      </w:r>
      <w:r>
        <w:rPr>
          <w:noProof/>
        </w:rPr>
      </w:r>
      <w:r>
        <w:rPr>
          <w:noProof/>
        </w:rPr>
        <w:fldChar w:fldCharType="separate"/>
      </w:r>
      <w:r>
        <w:rPr>
          <w:noProof/>
        </w:rPr>
        <w:t>221</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5.8.2.2.5.2</w:t>
      </w:r>
      <w:r w:rsidRPr="00DD140B">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_Toc153625547 \h </w:instrText>
      </w:r>
      <w:r>
        <w:rPr>
          <w:noProof/>
        </w:rPr>
      </w:r>
      <w:r>
        <w:rPr>
          <w:noProof/>
        </w:rPr>
        <w:fldChar w:fldCharType="separate"/>
      </w:r>
      <w:r>
        <w:rPr>
          <w:noProof/>
        </w:rPr>
        <w:t>221</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5.8.2.2.5.3</w:t>
      </w:r>
      <w:r w:rsidRPr="00DD140B">
        <w:rPr>
          <w:rFonts w:ascii="Calibri" w:eastAsia="Malgun Gothic" w:hAnsi="Calibri"/>
          <w:noProof/>
          <w:sz w:val="22"/>
          <w:szCs w:val="22"/>
          <w:lang w:eastAsia="ko-KR"/>
        </w:rPr>
        <w:tab/>
      </w:r>
      <w:r>
        <w:rPr>
          <w:noProof/>
        </w:rPr>
        <w:t>Resource methods</w:t>
      </w:r>
      <w:r>
        <w:rPr>
          <w:noProof/>
        </w:rPr>
        <w:tab/>
      </w:r>
      <w:r>
        <w:rPr>
          <w:noProof/>
        </w:rPr>
        <w:fldChar w:fldCharType="begin" w:fldLock="1"/>
      </w:r>
      <w:r>
        <w:rPr>
          <w:noProof/>
        </w:rPr>
        <w:instrText xml:space="preserve"> PAGEREF _Toc153625548 \h </w:instrText>
      </w:r>
      <w:r>
        <w:rPr>
          <w:noProof/>
        </w:rPr>
      </w:r>
      <w:r>
        <w:rPr>
          <w:noProof/>
        </w:rPr>
        <w:fldChar w:fldCharType="separate"/>
      </w:r>
      <w:r>
        <w:rPr>
          <w:noProof/>
        </w:rPr>
        <w:t>221</w:t>
      </w:r>
      <w:r>
        <w:rPr>
          <w:noProof/>
        </w:rPr>
        <w:fldChar w:fldCharType="end"/>
      </w:r>
    </w:p>
    <w:p w:rsidR="007D56C6" w:rsidRPr="00DD140B" w:rsidRDefault="007D56C6">
      <w:pPr>
        <w:pStyle w:val="TOC7"/>
        <w:rPr>
          <w:rFonts w:ascii="Calibri" w:eastAsia="Malgun Gothic" w:hAnsi="Calibri"/>
          <w:noProof/>
          <w:sz w:val="22"/>
          <w:szCs w:val="22"/>
          <w:lang w:eastAsia="ko-KR"/>
        </w:rPr>
      </w:pPr>
      <w:r>
        <w:rPr>
          <w:noProof/>
        </w:rPr>
        <w:t>5.8.2.2.5.3.1</w:t>
      </w:r>
      <w:r w:rsidRPr="00DD140B">
        <w:rPr>
          <w:rFonts w:ascii="Calibri" w:eastAsia="Malgun Gothic" w:hAnsi="Calibri"/>
          <w:noProof/>
          <w:sz w:val="22"/>
          <w:szCs w:val="22"/>
          <w:lang w:eastAsia="ko-KR"/>
        </w:rPr>
        <w:tab/>
      </w:r>
      <w:r>
        <w:rPr>
          <w:noProof/>
        </w:rPr>
        <w:t>GET</w:t>
      </w:r>
      <w:r>
        <w:rPr>
          <w:noProof/>
        </w:rPr>
        <w:tab/>
      </w:r>
      <w:r>
        <w:rPr>
          <w:noProof/>
        </w:rPr>
        <w:fldChar w:fldCharType="begin" w:fldLock="1"/>
      </w:r>
      <w:r>
        <w:rPr>
          <w:noProof/>
        </w:rPr>
        <w:instrText xml:space="preserve"> PAGEREF _Toc153625549 \h </w:instrText>
      </w:r>
      <w:r>
        <w:rPr>
          <w:noProof/>
        </w:rPr>
      </w:r>
      <w:r>
        <w:rPr>
          <w:noProof/>
        </w:rPr>
        <w:fldChar w:fldCharType="separate"/>
      </w:r>
      <w:r>
        <w:rPr>
          <w:noProof/>
        </w:rPr>
        <w:t>221</w:t>
      </w:r>
      <w:r>
        <w:rPr>
          <w:noProof/>
        </w:rPr>
        <w:fldChar w:fldCharType="end"/>
      </w:r>
    </w:p>
    <w:p w:rsidR="007D56C6" w:rsidRPr="00DD140B" w:rsidRDefault="007D56C6">
      <w:pPr>
        <w:pStyle w:val="TOC7"/>
        <w:rPr>
          <w:rFonts w:ascii="Calibri" w:eastAsia="Malgun Gothic" w:hAnsi="Calibri"/>
          <w:noProof/>
          <w:sz w:val="22"/>
          <w:szCs w:val="22"/>
          <w:lang w:eastAsia="ko-KR"/>
        </w:rPr>
      </w:pPr>
      <w:r>
        <w:rPr>
          <w:noProof/>
        </w:rPr>
        <w:t>5.8.2.2.5.3.2</w:t>
      </w:r>
      <w:r w:rsidRPr="00DD140B">
        <w:rPr>
          <w:rFonts w:ascii="Calibri" w:eastAsia="Malgun Gothic" w:hAnsi="Calibri"/>
          <w:noProof/>
          <w:sz w:val="22"/>
          <w:szCs w:val="22"/>
          <w:lang w:eastAsia="ko-KR"/>
        </w:rPr>
        <w:tab/>
      </w:r>
      <w:r>
        <w:rPr>
          <w:noProof/>
        </w:rPr>
        <w:t>PUT</w:t>
      </w:r>
      <w:r>
        <w:rPr>
          <w:noProof/>
        </w:rPr>
        <w:tab/>
      </w:r>
      <w:r>
        <w:rPr>
          <w:noProof/>
        </w:rPr>
        <w:fldChar w:fldCharType="begin" w:fldLock="1"/>
      </w:r>
      <w:r>
        <w:rPr>
          <w:noProof/>
        </w:rPr>
        <w:instrText xml:space="preserve"> PAGEREF _Toc153625550 \h </w:instrText>
      </w:r>
      <w:r>
        <w:rPr>
          <w:noProof/>
        </w:rPr>
      </w:r>
      <w:r>
        <w:rPr>
          <w:noProof/>
        </w:rPr>
        <w:fldChar w:fldCharType="separate"/>
      </w:r>
      <w:r>
        <w:rPr>
          <w:noProof/>
        </w:rPr>
        <w:t>222</w:t>
      </w:r>
      <w:r>
        <w:rPr>
          <w:noProof/>
        </w:rPr>
        <w:fldChar w:fldCharType="end"/>
      </w:r>
    </w:p>
    <w:p w:rsidR="007D56C6" w:rsidRPr="00DD140B" w:rsidRDefault="007D56C6">
      <w:pPr>
        <w:pStyle w:val="TOC7"/>
        <w:rPr>
          <w:rFonts w:ascii="Calibri" w:eastAsia="Malgun Gothic" w:hAnsi="Calibri"/>
          <w:noProof/>
          <w:sz w:val="22"/>
          <w:szCs w:val="22"/>
          <w:lang w:eastAsia="ko-KR"/>
        </w:rPr>
      </w:pPr>
      <w:r>
        <w:rPr>
          <w:noProof/>
        </w:rPr>
        <w:t>5.8.2.2.5.3.3</w:t>
      </w:r>
      <w:r w:rsidRPr="00DD140B">
        <w:rPr>
          <w:rFonts w:ascii="Calibri" w:eastAsia="Malgun Gothic" w:hAnsi="Calibri"/>
          <w:noProof/>
          <w:sz w:val="22"/>
          <w:szCs w:val="22"/>
          <w:lang w:eastAsia="ko-KR"/>
        </w:rPr>
        <w:tab/>
      </w:r>
      <w:r>
        <w:rPr>
          <w:noProof/>
        </w:rPr>
        <w:t>PATCH</w:t>
      </w:r>
      <w:r>
        <w:rPr>
          <w:noProof/>
        </w:rPr>
        <w:tab/>
      </w:r>
      <w:r>
        <w:rPr>
          <w:noProof/>
        </w:rPr>
        <w:fldChar w:fldCharType="begin" w:fldLock="1"/>
      </w:r>
      <w:r>
        <w:rPr>
          <w:noProof/>
        </w:rPr>
        <w:instrText xml:space="preserve"> PAGEREF _Toc153625551 \h </w:instrText>
      </w:r>
      <w:r>
        <w:rPr>
          <w:noProof/>
        </w:rPr>
      </w:r>
      <w:r>
        <w:rPr>
          <w:noProof/>
        </w:rPr>
        <w:fldChar w:fldCharType="separate"/>
      </w:r>
      <w:r>
        <w:rPr>
          <w:noProof/>
        </w:rPr>
        <w:t>223</w:t>
      </w:r>
      <w:r>
        <w:rPr>
          <w:noProof/>
        </w:rPr>
        <w:fldChar w:fldCharType="end"/>
      </w:r>
    </w:p>
    <w:p w:rsidR="007D56C6" w:rsidRPr="00DD140B" w:rsidRDefault="007D56C6">
      <w:pPr>
        <w:pStyle w:val="TOC7"/>
        <w:rPr>
          <w:rFonts w:ascii="Calibri" w:eastAsia="Malgun Gothic" w:hAnsi="Calibri"/>
          <w:noProof/>
          <w:sz w:val="22"/>
          <w:szCs w:val="22"/>
          <w:lang w:eastAsia="ko-KR"/>
        </w:rPr>
      </w:pPr>
      <w:r>
        <w:rPr>
          <w:noProof/>
        </w:rPr>
        <w:t>5.8.2.2.5.3.4</w:t>
      </w:r>
      <w:r w:rsidRPr="00DD140B">
        <w:rPr>
          <w:rFonts w:ascii="Calibri" w:eastAsia="Malgun Gothic" w:hAnsi="Calibri"/>
          <w:noProof/>
          <w:sz w:val="22"/>
          <w:szCs w:val="22"/>
          <w:lang w:eastAsia="ko-KR"/>
        </w:rPr>
        <w:tab/>
      </w:r>
      <w:r>
        <w:rPr>
          <w:noProof/>
        </w:rPr>
        <w:t>POST</w:t>
      </w:r>
      <w:r>
        <w:rPr>
          <w:noProof/>
        </w:rPr>
        <w:tab/>
      </w:r>
      <w:r>
        <w:rPr>
          <w:noProof/>
        </w:rPr>
        <w:fldChar w:fldCharType="begin" w:fldLock="1"/>
      </w:r>
      <w:r>
        <w:rPr>
          <w:noProof/>
        </w:rPr>
        <w:instrText xml:space="preserve"> PAGEREF _Toc153625552 \h </w:instrText>
      </w:r>
      <w:r>
        <w:rPr>
          <w:noProof/>
        </w:rPr>
      </w:r>
      <w:r>
        <w:rPr>
          <w:noProof/>
        </w:rPr>
        <w:fldChar w:fldCharType="separate"/>
      </w:r>
      <w:r>
        <w:rPr>
          <w:noProof/>
        </w:rPr>
        <w:t>224</w:t>
      </w:r>
      <w:r>
        <w:rPr>
          <w:noProof/>
        </w:rPr>
        <w:fldChar w:fldCharType="end"/>
      </w:r>
    </w:p>
    <w:p w:rsidR="007D56C6" w:rsidRPr="00DD140B" w:rsidRDefault="007D56C6">
      <w:pPr>
        <w:pStyle w:val="TOC7"/>
        <w:rPr>
          <w:rFonts w:ascii="Calibri" w:eastAsia="Malgun Gothic" w:hAnsi="Calibri"/>
          <w:noProof/>
          <w:sz w:val="22"/>
          <w:szCs w:val="22"/>
          <w:lang w:eastAsia="ko-KR"/>
        </w:rPr>
      </w:pPr>
      <w:r>
        <w:rPr>
          <w:noProof/>
        </w:rPr>
        <w:t>5.8.2.2.5.3.5</w:t>
      </w:r>
      <w:r w:rsidRPr="00DD140B">
        <w:rPr>
          <w:rFonts w:ascii="Calibri" w:eastAsia="Malgun Gothic" w:hAnsi="Calibri"/>
          <w:noProof/>
          <w:sz w:val="22"/>
          <w:szCs w:val="22"/>
          <w:lang w:eastAsia="ko-KR"/>
        </w:rPr>
        <w:tab/>
      </w:r>
      <w:r>
        <w:rPr>
          <w:noProof/>
        </w:rPr>
        <w:t>DELETE</w:t>
      </w:r>
      <w:r>
        <w:rPr>
          <w:noProof/>
        </w:rPr>
        <w:tab/>
      </w:r>
      <w:r>
        <w:rPr>
          <w:noProof/>
        </w:rPr>
        <w:fldChar w:fldCharType="begin" w:fldLock="1"/>
      </w:r>
      <w:r>
        <w:rPr>
          <w:noProof/>
        </w:rPr>
        <w:instrText xml:space="preserve"> PAGEREF _Toc153625553 \h </w:instrText>
      </w:r>
      <w:r>
        <w:rPr>
          <w:noProof/>
        </w:rPr>
      </w:r>
      <w:r>
        <w:rPr>
          <w:noProof/>
        </w:rPr>
        <w:fldChar w:fldCharType="separate"/>
      </w:r>
      <w:r>
        <w:rPr>
          <w:noProof/>
        </w:rPr>
        <w:t>224</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5.8.2.2.</w:t>
      </w:r>
      <w:r w:rsidRPr="00677085">
        <w:rPr>
          <w:rFonts w:eastAsia="Batang"/>
          <w:noProof/>
        </w:rPr>
        <w:t>6</w:t>
      </w:r>
      <w:r w:rsidRPr="00DD140B">
        <w:rPr>
          <w:rFonts w:ascii="Calibri" w:eastAsia="Malgun Gothic" w:hAnsi="Calibri"/>
          <w:noProof/>
          <w:sz w:val="22"/>
          <w:szCs w:val="22"/>
          <w:lang w:eastAsia="ko-KR"/>
        </w:rPr>
        <w:tab/>
      </w:r>
      <w:r>
        <w:rPr>
          <w:noProof/>
        </w:rPr>
        <w:t>Void</w:t>
      </w:r>
      <w:r>
        <w:rPr>
          <w:noProof/>
        </w:rPr>
        <w:tab/>
      </w:r>
      <w:r>
        <w:rPr>
          <w:noProof/>
        </w:rPr>
        <w:fldChar w:fldCharType="begin" w:fldLock="1"/>
      </w:r>
      <w:r>
        <w:rPr>
          <w:noProof/>
        </w:rPr>
        <w:instrText xml:space="preserve"> PAGEREF _Toc153625554 \h </w:instrText>
      </w:r>
      <w:r>
        <w:rPr>
          <w:noProof/>
        </w:rPr>
      </w:r>
      <w:r>
        <w:rPr>
          <w:noProof/>
        </w:rPr>
        <w:fldChar w:fldCharType="separate"/>
      </w:r>
      <w:r>
        <w:rPr>
          <w:noProof/>
        </w:rPr>
        <w:t>225</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5.8.2.2A</w:t>
      </w:r>
      <w:r w:rsidRPr="00DD140B">
        <w:rPr>
          <w:rFonts w:ascii="Calibri" w:eastAsia="Malgun Gothic" w:hAnsi="Calibri"/>
          <w:noProof/>
          <w:sz w:val="22"/>
          <w:szCs w:val="22"/>
          <w:lang w:eastAsia="ko-KR"/>
        </w:rPr>
        <w:tab/>
      </w:r>
      <w:r>
        <w:rPr>
          <w:noProof/>
        </w:rPr>
        <w:t>Notifications</w:t>
      </w:r>
      <w:r>
        <w:rPr>
          <w:noProof/>
        </w:rPr>
        <w:tab/>
      </w:r>
      <w:r>
        <w:rPr>
          <w:noProof/>
        </w:rPr>
        <w:fldChar w:fldCharType="begin" w:fldLock="1"/>
      </w:r>
      <w:r>
        <w:rPr>
          <w:noProof/>
        </w:rPr>
        <w:instrText xml:space="preserve"> PAGEREF _Toc153625555 \h </w:instrText>
      </w:r>
      <w:r>
        <w:rPr>
          <w:noProof/>
        </w:rPr>
      </w:r>
      <w:r>
        <w:rPr>
          <w:noProof/>
        </w:rPr>
        <w:fldChar w:fldCharType="separate"/>
      </w:r>
      <w:r>
        <w:rPr>
          <w:noProof/>
        </w:rPr>
        <w:t>225</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5.8.2.2A.1</w:t>
      </w:r>
      <w:r w:rsidRPr="00DD140B">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_Toc153625556 \h </w:instrText>
      </w:r>
      <w:r>
        <w:rPr>
          <w:noProof/>
        </w:rPr>
      </w:r>
      <w:r>
        <w:rPr>
          <w:noProof/>
        </w:rPr>
        <w:fldChar w:fldCharType="separate"/>
      </w:r>
      <w:r>
        <w:rPr>
          <w:noProof/>
        </w:rPr>
        <w:t>225</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5.8.2.2A.2</w:t>
      </w:r>
      <w:r w:rsidRPr="00DD140B">
        <w:rPr>
          <w:rFonts w:ascii="Calibri" w:eastAsia="Malgun Gothic" w:hAnsi="Calibri"/>
          <w:noProof/>
          <w:sz w:val="22"/>
          <w:szCs w:val="22"/>
          <w:lang w:eastAsia="ko-KR"/>
        </w:rPr>
        <w:tab/>
      </w:r>
      <w:r>
        <w:rPr>
          <w:noProof/>
          <w:lang w:eastAsia="zh-CN"/>
        </w:rPr>
        <w:t>GMD via MBMS by MB2 Notification</w:t>
      </w:r>
      <w:r>
        <w:rPr>
          <w:noProof/>
        </w:rPr>
        <w:tab/>
      </w:r>
      <w:r>
        <w:rPr>
          <w:noProof/>
        </w:rPr>
        <w:fldChar w:fldCharType="begin" w:fldLock="1"/>
      </w:r>
      <w:r>
        <w:rPr>
          <w:noProof/>
        </w:rPr>
        <w:instrText xml:space="preserve"> PAGEREF _Toc153625557 \h </w:instrText>
      </w:r>
      <w:r>
        <w:rPr>
          <w:noProof/>
        </w:rPr>
      </w:r>
      <w:r>
        <w:rPr>
          <w:noProof/>
        </w:rPr>
        <w:fldChar w:fldCharType="separate"/>
      </w:r>
      <w:r>
        <w:rPr>
          <w:noProof/>
        </w:rPr>
        <w:t>226</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5.8.2.2A.2.1</w:t>
      </w:r>
      <w:r w:rsidRPr="00DD140B">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_Toc153625558 \h </w:instrText>
      </w:r>
      <w:r>
        <w:rPr>
          <w:noProof/>
        </w:rPr>
      </w:r>
      <w:r>
        <w:rPr>
          <w:noProof/>
        </w:rPr>
        <w:fldChar w:fldCharType="separate"/>
      </w:r>
      <w:r>
        <w:rPr>
          <w:noProof/>
        </w:rPr>
        <w:t>226</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5.8.2.2A.2.2</w:t>
      </w:r>
      <w:r w:rsidRPr="00DD140B">
        <w:rPr>
          <w:rFonts w:ascii="Calibri" w:eastAsia="Malgun Gothic" w:hAnsi="Calibri"/>
          <w:noProof/>
          <w:sz w:val="22"/>
          <w:szCs w:val="22"/>
          <w:lang w:eastAsia="ko-KR"/>
        </w:rPr>
        <w:tab/>
      </w:r>
      <w:r>
        <w:rPr>
          <w:noProof/>
        </w:rPr>
        <w:t>Target URI</w:t>
      </w:r>
      <w:r>
        <w:rPr>
          <w:noProof/>
        </w:rPr>
        <w:tab/>
      </w:r>
      <w:r>
        <w:rPr>
          <w:noProof/>
        </w:rPr>
        <w:fldChar w:fldCharType="begin" w:fldLock="1"/>
      </w:r>
      <w:r>
        <w:rPr>
          <w:noProof/>
        </w:rPr>
        <w:instrText xml:space="preserve"> PAGEREF _Toc153625559 \h </w:instrText>
      </w:r>
      <w:r>
        <w:rPr>
          <w:noProof/>
        </w:rPr>
      </w:r>
      <w:r>
        <w:rPr>
          <w:noProof/>
        </w:rPr>
        <w:fldChar w:fldCharType="separate"/>
      </w:r>
      <w:r>
        <w:rPr>
          <w:noProof/>
        </w:rPr>
        <w:t>226</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5.8.2.2A.2.3</w:t>
      </w:r>
      <w:r w:rsidRPr="00DD140B">
        <w:rPr>
          <w:rFonts w:ascii="Calibri" w:eastAsia="Malgun Gothic" w:hAnsi="Calibri"/>
          <w:noProof/>
          <w:sz w:val="22"/>
          <w:szCs w:val="22"/>
          <w:lang w:eastAsia="ko-KR"/>
        </w:rPr>
        <w:tab/>
      </w:r>
      <w:r>
        <w:rPr>
          <w:noProof/>
        </w:rPr>
        <w:t>Standard Methods</w:t>
      </w:r>
      <w:r>
        <w:rPr>
          <w:noProof/>
        </w:rPr>
        <w:tab/>
      </w:r>
      <w:r>
        <w:rPr>
          <w:noProof/>
        </w:rPr>
        <w:fldChar w:fldCharType="begin" w:fldLock="1"/>
      </w:r>
      <w:r>
        <w:rPr>
          <w:noProof/>
        </w:rPr>
        <w:instrText xml:space="preserve"> PAGEREF _Toc153625560 \h </w:instrText>
      </w:r>
      <w:r>
        <w:rPr>
          <w:noProof/>
        </w:rPr>
      </w:r>
      <w:r>
        <w:rPr>
          <w:noProof/>
        </w:rPr>
        <w:fldChar w:fldCharType="separate"/>
      </w:r>
      <w:r>
        <w:rPr>
          <w:noProof/>
        </w:rPr>
        <w:t>226</w:t>
      </w:r>
      <w:r>
        <w:rPr>
          <w:noProof/>
        </w:rPr>
        <w:fldChar w:fldCharType="end"/>
      </w:r>
    </w:p>
    <w:p w:rsidR="007D56C6" w:rsidRPr="00DD140B" w:rsidRDefault="007D56C6">
      <w:pPr>
        <w:pStyle w:val="TOC7"/>
        <w:rPr>
          <w:rFonts w:ascii="Calibri" w:eastAsia="Malgun Gothic" w:hAnsi="Calibri"/>
          <w:noProof/>
          <w:sz w:val="22"/>
          <w:szCs w:val="22"/>
          <w:lang w:eastAsia="ko-KR"/>
        </w:rPr>
      </w:pPr>
      <w:r>
        <w:rPr>
          <w:noProof/>
        </w:rPr>
        <w:t>5.8.2.2A.2.3.1</w:t>
      </w:r>
      <w:r w:rsidRPr="00DD140B">
        <w:rPr>
          <w:rFonts w:ascii="Calibri" w:eastAsia="Malgun Gothic" w:hAnsi="Calibri"/>
          <w:noProof/>
          <w:sz w:val="22"/>
          <w:szCs w:val="22"/>
          <w:lang w:eastAsia="ko-KR"/>
        </w:rPr>
        <w:tab/>
      </w:r>
      <w:r>
        <w:rPr>
          <w:noProof/>
        </w:rPr>
        <w:t>Notification via POST</w:t>
      </w:r>
      <w:r>
        <w:rPr>
          <w:noProof/>
        </w:rPr>
        <w:tab/>
      </w:r>
      <w:r>
        <w:rPr>
          <w:noProof/>
        </w:rPr>
        <w:fldChar w:fldCharType="begin" w:fldLock="1"/>
      </w:r>
      <w:r>
        <w:rPr>
          <w:noProof/>
        </w:rPr>
        <w:instrText xml:space="preserve"> PAGEREF _Toc153625561 \h </w:instrText>
      </w:r>
      <w:r>
        <w:rPr>
          <w:noProof/>
        </w:rPr>
      </w:r>
      <w:r>
        <w:rPr>
          <w:noProof/>
        </w:rPr>
        <w:fldChar w:fldCharType="separate"/>
      </w:r>
      <w:r>
        <w:rPr>
          <w:noProof/>
        </w:rPr>
        <w:t>226</w:t>
      </w:r>
      <w:r>
        <w:rPr>
          <w:noProof/>
        </w:rPr>
        <w:fldChar w:fldCharType="end"/>
      </w:r>
    </w:p>
    <w:p w:rsidR="007D56C6" w:rsidRPr="00DD140B" w:rsidRDefault="007D56C6">
      <w:pPr>
        <w:pStyle w:val="TOC7"/>
        <w:rPr>
          <w:rFonts w:ascii="Calibri" w:eastAsia="Malgun Gothic" w:hAnsi="Calibri"/>
          <w:noProof/>
          <w:sz w:val="22"/>
          <w:szCs w:val="22"/>
          <w:lang w:eastAsia="ko-KR"/>
        </w:rPr>
      </w:pPr>
      <w:r>
        <w:rPr>
          <w:noProof/>
        </w:rPr>
        <w:t>5.8.2.2A.2.3.2</w:t>
      </w:r>
      <w:r w:rsidRPr="00DD140B">
        <w:rPr>
          <w:rFonts w:ascii="Calibri" w:eastAsia="Malgun Gothic" w:hAnsi="Calibri"/>
          <w:noProof/>
          <w:sz w:val="22"/>
          <w:szCs w:val="22"/>
          <w:lang w:eastAsia="ko-KR"/>
        </w:rPr>
        <w:tab/>
      </w:r>
      <w:r>
        <w:rPr>
          <w:noProof/>
        </w:rPr>
        <w:t>Notification via Websocket</w:t>
      </w:r>
      <w:r>
        <w:rPr>
          <w:noProof/>
        </w:rPr>
        <w:tab/>
      </w:r>
      <w:r>
        <w:rPr>
          <w:noProof/>
        </w:rPr>
        <w:fldChar w:fldCharType="begin" w:fldLock="1"/>
      </w:r>
      <w:r>
        <w:rPr>
          <w:noProof/>
        </w:rPr>
        <w:instrText xml:space="preserve"> PAGEREF _Toc153625562 \h </w:instrText>
      </w:r>
      <w:r>
        <w:rPr>
          <w:noProof/>
        </w:rPr>
      </w:r>
      <w:r>
        <w:rPr>
          <w:noProof/>
        </w:rPr>
        <w:fldChar w:fldCharType="separate"/>
      </w:r>
      <w:r>
        <w:rPr>
          <w:noProof/>
        </w:rPr>
        <w:t>227</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5.8.2.3</w:t>
      </w:r>
      <w:r w:rsidRPr="00DD140B">
        <w:rPr>
          <w:rFonts w:ascii="Calibri" w:eastAsia="Malgun Gothic" w:hAnsi="Calibri"/>
          <w:noProof/>
          <w:sz w:val="22"/>
          <w:szCs w:val="22"/>
          <w:lang w:eastAsia="ko-KR"/>
        </w:rPr>
        <w:tab/>
      </w:r>
      <w:r>
        <w:rPr>
          <w:noProof/>
        </w:rPr>
        <w:t>Used Features</w:t>
      </w:r>
      <w:r>
        <w:rPr>
          <w:noProof/>
        </w:rPr>
        <w:tab/>
      </w:r>
      <w:r>
        <w:rPr>
          <w:noProof/>
        </w:rPr>
        <w:fldChar w:fldCharType="begin" w:fldLock="1"/>
      </w:r>
      <w:r>
        <w:rPr>
          <w:noProof/>
        </w:rPr>
        <w:instrText xml:space="preserve"> PAGEREF _Toc153625563 \h </w:instrText>
      </w:r>
      <w:r>
        <w:rPr>
          <w:noProof/>
        </w:rPr>
      </w:r>
      <w:r>
        <w:rPr>
          <w:noProof/>
        </w:rPr>
        <w:fldChar w:fldCharType="separate"/>
      </w:r>
      <w:r>
        <w:rPr>
          <w:noProof/>
        </w:rPr>
        <w:t>227</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5.8.2.4</w:t>
      </w:r>
      <w:r w:rsidRPr="00DD140B">
        <w:rPr>
          <w:rFonts w:ascii="Calibri" w:eastAsia="Malgun Gothic" w:hAnsi="Calibri"/>
          <w:noProof/>
          <w:sz w:val="22"/>
          <w:szCs w:val="22"/>
          <w:lang w:eastAsia="ko-KR"/>
        </w:rPr>
        <w:tab/>
      </w:r>
      <w:r>
        <w:rPr>
          <w:noProof/>
        </w:rPr>
        <w:t>Error handling</w:t>
      </w:r>
      <w:r>
        <w:rPr>
          <w:noProof/>
        </w:rPr>
        <w:tab/>
      </w:r>
      <w:r>
        <w:rPr>
          <w:noProof/>
        </w:rPr>
        <w:fldChar w:fldCharType="begin" w:fldLock="1"/>
      </w:r>
      <w:r>
        <w:rPr>
          <w:noProof/>
        </w:rPr>
        <w:instrText xml:space="preserve"> PAGEREF _Toc153625564 \h </w:instrText>
      </w:r>
      <w:r>
        <w:rPr>
          <w:noProof/>
        </w:rPr>
      </w:r>
      <w:r>
        <w:rPr>
          <w:noProof/>
        </w:rPr>
        <w:fldChar w:fldCharType="separate"/>
      </w:r>
      <w:r>
        <w:rPr>
          <w:noProof/>
        </w:rPr>
        <w:t>227</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5.8.2.4.1</w:t>
      </w:r>
      <w:r w:rsidRPr="00DD140B">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_Toc153625565 \h </w:instrText>
      </w:r>
      <w:r>
        <w:rPr>
          <w:noProof/>
        </w:rPr>
      </w:r>
      <w:r>
        <w:rPr>
          <w:noProof/>
        </w:rPr>
        <w:fldChar w:fldCharType="separate"/>
      </w:r>
      <w:r>
        <w:rPr>
          <w:noProof/>
        </w:rPr>
        <w:t>227</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5.8.2.4.2</w:t>
      </w:r>
      <w:r w:rsidRPr="00DD140B">
        <w:rPr>
          <w:rFonts w:ascii="Calibri" w:eastAsia="Malgun Gothic" w:hAnsi="Calibri"/>
          <w:noProof/>
          <w:sz w:val="22"/>
          <w:szCs w:val="22"/>
          <w:lang w:eastAsia="ko-KR"/>
        </w:rPr>
        <w:tab/>
      </w:r>
      <w:r>
        <w:rPr>
          <w:noProof/>
        </w:rPr>
        <w:t>Protocol Errors</w:t>
      </w:r>
      <w:r>
        <w:rPr>
          <w:noProof/>
        </w:rPr>
        <w:tab/>
      </w:r>
      <w:r>
        <w:rPr>
          <w:noProof/>
        </w:rPr>
        <w:fldChar w:fldCharType="begin" w:fldLock="1"/>
      </w:r>
      <w:r>
        <w:rPr>
          <w:noProof/>
        </w:rPr>
        <w:instrText xml:space="preserve"> PAGEREF _Toc153625566 \h </w:instrText>
      </w:r>
      <w:r>
        <w:rPr>
          <w:noProof/>
        </w:rPr>
      </w:r>
      <w:r>
        <w:rPr>
          <w:noProof/>
        </w:rPr>
        <w:fldChar w:fldCharType="separate"/>
      </w:r>
      <w:r>
        <w:rPr>
          <w:noProof/>
        </w:rPr>
        <w:t>227</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5.8.2.4.3</w:t>
      </w:r>
      <w:r w:rsidRPr="00DD140B">
        <w:rPr>
          <w:rFonts w:ascii="Calibri" w:eastAsia="Malgun Gothic" w:hAnsi="Calibri"/>
          <w:noProof/>
          <w:sz w:val="22"/>
          <w:szCs w:val="22"/>
          <w:lang w:eastAsia="ko-KR"/>
        </w:rPr>
        <w:tab/>
      </w:r>
      <w:r>
        <w:rPr>
          <w:noProof/>
        </w:rPr>
        <w:t>Application Errors</w:t>
      </w:r>
      <w:r>
        <w:rPr>
          <w:noProof/>
        </w:rPr>
        <w:tab/>
      </w:r>
      <w:r>
        <w:rPr>
          <w:noProof/>
        </w:rPr>
        <w:fldChar w:fldCharType="begin" w:fldLock="1"/>
      </w:r>
      <w:r>
        <w:rPr>
          <w:noProof/>
        </w:rPr>
        <w:instrText xml:space="preserve"> PAGEREF _Toc153625567 \h </w:instrText>
      </w:r>
      <w:r>
        <w:rPr>
          <w:noProof/>
        </w:rPr>
      </w:r>
      <w:r>
        <w:rPr>
          <w:noProof/>
        </w:rPr>
        <w:fldChar w:fldCharType="separate"/>
      </w:r>
      <w:r>
        <w:rPr>
          <w:noProof/>
        </w:rPr>
        <w:t>227</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5.8.3</w:t>
      </w:r>
      <w:r w:rsidRPr="00DD140B">
        <w:rPr>
          <w:rFonts w:ascii="Calibri" w:eastAsia="Malgun Gothic" w:hAnsi="Calibri"/>
          <w:noProof/>
          <w:sz w:val="22"/>
          <w:szCs w:val="22"/>
          <w:lang w:eastAsia="ko-KR"/>
        </w:rPr>
        <w:tab/>
      </w:r>
      <w:r>
        <w:rPr>
          <w:noProof/>
        </w:rPr>
        <w:t>GMDviaMBMSbyxMB API</w:t>
      </w:r>
      <w:r>
        <w:rPr>
          <w:noProof/>
        </w:rPr>
        <w:tab/>
      </w:r>
      <w:r>
        <w:rPr>
          <w:noProof/>
        </w:rPr>
        <w:fldChar w:fldCharType="begin" w:fldLock="1"/>
      </w:r>
      <w:r>
        <w:rPr>
          <w:noProof/>
        </w:rPr>
        <w:instrText xml:space="preserve"> PAGEREF _Toc153625568 \h </w:instrText>
      </w:r>
      <w:r>
        <w:rPr>
          <w:noProof/>
        </w:rPr>
      </w:r>
      <w:r>
        <w:rPr>
          <w:noProof/>
        </w:rPr>
        <w:fldChar w:fldCharType="separate"/>
      </w:r>
      <w:r>
        <w:rPr>
          <w:noProof/>
        </w:rPr>
        <w:t>228</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5.8.3.1</w:t>
      </w:r>
      <w:r w:rsidRPr="00DD140B">
        <w:rPr>
          <w:rFonts w:ascii="Calibri" w:eastAsia="Malgun Gothic" w:hAnsi="Calibri"/>
          <w:noProof/>
          <w:sz w:val="22"/>
          <w:szCs w:val="22"/>
          <w:lang w:eastAsia="ko-KR"/>
        </w:rPr>
        <w:tab/>
      </w:r>
      <w:r>
        <w:rPr>
          <w:noProof/>
        </w:rPr>
        <w:t>Data model</w:t>
      </w:r>
      <w:r>
        <w:rPr>
          <w:noProof/>
        </w:rPr>
        <w:tab/>
      </w:r>
      <w:r>
        <w:rPr>
          <w:noProof/>
        </w:rPr>
        <w:fldChar w:fldCharType="begin" w:fldLock="1"/>
      </w:r>
      <w:r>
        <w:rPr>
          <w:noProof/>
        </w:rPr>
        <w:instrText xml:space="preserve"> PAGEREF _Toc153625569 \h </w:instrText>
      </w:r>
      <w:r>
        <w:rPr>
          <w:noProof/>
        </w:rPr>
      </w:r>
      <w:r>
        <w:rPr>
          <w:noProof/>
        </w:rPr>
        <w:fldChar w:fldCharType="separate"/>
      </w:r>
      <w:r>
        <w:rPr>
          <w:noProof/>
        </w:rPr>
        <w:t>228</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5.8.3.1.1</w:t>
      </w:r>
      <w:r w:rsidRPr="00DD140B">
        <w:rPr>
          <w:rFonts w:ascii="Calibri" w:eastAsia="Malgun Gothic" w:hAnsi="Calibri"/>
          <w:noProof/>
          <w:sz w:val="22"/>
          <w:szCs w:val="22"/>
          <w:lang w:eastAsia="ko-KR"/>
        </w:rPr>
        <w:tab/>
      </w:r>
      <w:r>
        <w:rPr>
          <w:noProof/>
        </w:rPr>
        <w:t>Resource data types</w:t>
      </w:r>
      <w:r>
        <w:rPr>
          <w:noProof/>
        </w:rPr>
        <w:tab/>
      </w:r>
      <w:r>
        <w:rPr>
          <w:noProof/>
        </w:rPr>
        <w:fldChar w:fldCharType="begin" w:fldLock="1"/>
      </w:r>
      <w:r>
        <w:rPr>
          <w:noProof/>
        </w:rPr>
        <w:instrText xml:space="preserve"> PAGEREF _Toc153625570 \h </w:instrText>
      </w:r>
      <w:r>
        <w:rPr>
          <w:noProof/>
        </w:rPr>
      </w:r>
      <w:r>
        <w:rPr>
          <w:noProof/>
        </w:rPr>
        <w:fldChar w:fldCharType="separate"/>
      </w:r>
      <w:r>
        <w:rPr>
          <w:noProof/>
        </w:rPr>
        <w:t>228</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5.8.3.1.1.1</w:t>
      </w:r>
      <w:r w:rsidRPr="00DD140B">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_Toc153625571 \h </w:instrText>
      </w:r>
      <w:r>
        <w:rPr>
          <w:noProof/>
        </w:rPr>
      </w:r>
      <w:r>
        <w:rPr>
          <w:noProof/>
        </w:rPr>
        <w:fldChar w:fldCharType="separate"/>
      </w:r>
      <w:r>
        <w:rPr>
          <w:noProof/>
        </w:rPr>
        <w:t>228</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5.8.3.1.1.2</w:t>
      </w:r>
      <w:r w:rsidRPr="00DD140B">
        <w:rPr>
          <w:rFonts w:ascii="Calibri" w:eastAsia="Malgun Gothic" w:hAnsi="Calibri"/>
          <w:noProof/>
          <w:sz w:val="22"/>
          <w:szCs w:val="22"/>
          <w:lang w:eastAsia="ko-KR"/>
        </w:rPr>
        <w:tab/>
      </w:r>
      <w:r>
        <w:rPr>
          <w:noProof/>
        </w:rPr>
        <w:t>Type: ServiceCreation</w:t>
      </w:r>
      <w:r>
        <w:rPr>
          <w:noProof/>
        </w:rPr>
        <w:tab/>
      </w:r>
      <w:r>
        <w:rPr>
          <w:noProof/>
        </w:rPr>
        <w:fldChar w:fldCharType="begin" w:fldLock="1"/>
      </w:r>
      <w:r>
        <w:rPr>
          <w:noProof/>
        </w:rPr>
        <w:instrText xml:space="preserve"> PAGEREF _Toc153625572 \h </w:instrText>
      </w:r>
      <w:r>
        <w:rPr>
          <w:noProof/>
        </w:rPr>
      </w:r>
      <w:r>
        <w:rPr>
          <w:noProof/>
        </w:rPr>
        <w:fldChar w:fldCharType="separate"/>
      </w:r>
      <w:r>
        <w:rPr>
          <w:noProof/>
        </w:rPr>
        <w:t>228</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5.8.3.1.1.3</w:t>
      </w:r>
      <w:r w:rsidRPr="00DD140B">
        <w:rPr>
          <w:rFonts w:ascii="Calibri" w:eastAsia="Malgun Gothic" w:hAnsi="Calibri"/>
          <w:noProof/>
          <w:sz w:val="22"/>
          <w:szCs w:val="22"/>
          <w:lang w:eastAsia="ko-KR"/>
        </w:rPr>
        <w:tab/>
      </w:r>
      <w:r>
        <w:rPr>
          <w:noProof/>
        </w:rPr>
        <w:t>Type: GMDViaMBMSByxMB</w:t>
      </w:r>
      <w:r>
        <w:rPr>
          <w:noProof/>
        </w:rPr>
        <w:tab/>
      </w:r>
      <w:r>
        <w:rPr>
          <w:noProof/>
        </w:rPr>
        <w:fldChar w:fldCharType="begin" w:fldLock="1"/>
      </w:r>
      <w:r>
        <w:rPr>
          <w:noProof/>
        </w:rPr>
        <w:instrText xml:space="preserve"> PAGEREF _Toc153625573 \h </w:instrText>
      </w:r>
      <w:r>
        <w:rPr>
          <w:noProof/>
        </w:rPr>
      </w:r>
      <w:r>
        <w:rPr>
          <w:noProof/>
        </w:rPr>
        <w:fldChar w:fldCharType="separate"/>
      </w:r>
      <w:r>
        <w:rPr>
          <w:noProof/>
        </w:rPr>
        <w:t>229</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5.8.3.1.1.4</w:t>
      </w:r>
      <w:r w:rsidRPr="00DD140B">
        <w:rPr>
          <w:rFonts w:ascii="Calibri" w:eastAsia="Malgun Gothic" w:hAnsi="Calibri"/>
          <w:noProof/>
          <w:sz w:val="22"/>
          <w:szCs w:val="22"/>
          <w:lang w:eastAsia="ko-KR"/>
        </w:rPr>
        <w:tab/>
      </w:r>
      <w:r>
        <w:rPr>
          <w:noProof/>
        </w:rPr>
        <w:t>Type: GMDByxMBNotification</w:t>
      </w:r>
      <w:r>
        <w:rPr>
          <w:noProof/>
        </w:rPr>
        <w:tab/>
      </w:r>
      <w:r>
        <w:rPr>
          <w:noProof/>
        </w:rPr>
        <w:fldChar w:fldCharType="begin" w:fldLock="1"/>
      </w:r>
      <w:r>
        <w:rPr>
          <w:noProof/>
        </w:rPr>
        <w:instrText xml:space="preserve"> PAGEREF _Toc153625574 \h </w:instrText>
      </w:r>
      <w:r>
        <w:rPr>
          <w:noProof/>
        </w:rPr>
      </w:r>
      <w:r>
        <w:rPr>
          <w:noProof/>
        </w:rPr>
        <w:fldChar w:fldCharType="separate"/>
      </w:r>
      <w:r>
        <w:rPr>
          <w:noProof/>
        </w:rPr>
        <w:t>230</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5.8.3.1.1.5</w:t>
      </w:r>
      <w:r w:rsidRPr="00DD140B">
        <w:rPr>
          <w:rFonts w:ascii="Calibri" w:eastAsia="Malgun Gothic" w:hAnsi="Calibri"/>
          <w:noProof/>
          <w:sz w:val="22"/>
          <w:szCs w:val="22"/>
          <w:lang w:eastAsia="ko-KR"/>
        </w:rPr>
        <w:tab/>
      </w:r>
      <w:r>
        <w:rPr>
          <w:noProof/>
        </w:rPr>
        <w:t>Type: GMDViaMBMSByxMBPatch</w:t>
      </w:r>
      <w:r>
        <w:rPr>
          <w:noProof/>
        </w:rPr>
        <w:tab/>
      </w:r>
      <w:r>
        <w:rPr>
          <w:noProof/>
        </w:rPr>
        <w:fldChar w:fldCharType="begin" w:fldLock="1"/>
      </w:r>
      <w:r>
        <w:rPr>
          <w:noProof/>
        </w:rPr>
        <w:instrText xml:space="preserve"> PAGEREF _Toc153625575 \h </w:instrText>
      </w:r>
      <w:r>
        <w:rPr>
          <w:noProof/>
        </w:rPr>
      </w:r>
      <w:r>
        <w:rPr>
          <w:noProof/>
        </w:rPr>
        <w:fldChar w:fldCharType="separate"/>
      </w:r>
      <w:r>
        <w:rPr>
          <w:noProof/>
        </w:rPr>
        <w:t>230</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5.8.3.1.1.6</w:t>
      </w:r>
      <w:r w:rsidRPr="00DD140B">
        <w:rPr>
          <w:rFonts w:ascii="Calibri" w:eastAsia="Malgun Gothic" w:hAnsi="Calibri"/>
          <w:noProof/>
          <w:sz w:val="22"/>
          <w:szCs w:val="22"/>
          <w:lang w:eastAsia="ko-KR"/>
        </w:rPr>
        <w:tab/>
      </w:r>
      <w:r>
        <w:rPr>
          <w:noProof/>
        </w:rPr>
        <w:t>Type: MbmsLocArea</w:t>
      </w:r>
      <w:r>
        <w:rPr>
          <w:noProof/>
        </w:rPr>
        <w:tab/>
      </w:r>
      <w:r>
        <w:rPr>
          <w:noProof/>
        </w:rPr>
        <w:fldChar w:fldCharType="begin" w:fldLock="1"/>
      </w:r>
      <w:r>
        <w:rPr>
          <w:noProof/>
        </w:rPr>
        <w:instrText xml:space="preserve"> PAGEREF _Toc153625576 \h </w:instrText>
      </w:r>
      <w:r>
        <w:rPr>
          <w:noProof/>
        </w:rPr>
      </w:r>
      <w:r>
        <w:rPr>
          <w:noProof/>
        </w:rPr>
        <w:fldChar w:fldCharType="separate"/>
      </w:r>
      <w:r>
        <w:rPr>
          <w:noProof/>
        </w:rPr>
        <w:t>231</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5.8.3.1.2</w:t>
      </w:r>
      <w:r w:rsidRPr="00DD140B">
        <w:rPr>
          <w:rFonts w:ascii="Calibri" w:eastAsia="Malgun Gothic" w:hAnsi="Calibri"/>
          <w:noProof/>
          <w:sz w:val="22"/>
          <w:szCs w:val="22"/>
          <w:lang w:eastAsia="ko-KR"/>
        </w:rPr>
        <w:tab/>
      </w:r>
      <w:r>
        <w:rPr>
          <w:noProof/>
        </w:rPr>
        <w:t>Referenced simple data types and enumerations</w:t>
      </w:r>
      <w:r>
        <w:rPr>
          <w:noProof/>
        </w:rPr>
        <w:tab/>
      </w:r>
      <w:r>
        <w:rPr>
          <w:noProof/>
        </w:rPr>
        <w:fldChar w:fldCharType="begin" w:fldLock="1"/>
      </w:r>
      <w:r>
        <w:rPr>
          <w:noProof/>
        </w:rPr>
        <w:instrText xml:space="preserve"> PAGEREF _Toc153625577 \h </w:instrText>
      </w:r>
      <w:r>
        <w:rPr>
          <w:noProof/>
        </w:rPr>
      </w:r>
      <w:r>
        <w:rPr>
          <w:noProof/>
        </w:rPr>
        <w:fldChar w:fldCharType="separate"/>
      </w:r>
      <w:r>
        <w:rPr>
          <w:noProof/>
        </w:rPr>
        <w:t>231</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5.8.3.1.2.1</w:t>
      </w:r>
      <w:r w:rsidRPr="00DD140B">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_Toc153625578 \h </w:instrText>
      </w:r>
      <w:r>
        <w:rPr>
          <w:noProof/>
        </w:rPr>
      </w:r>
      <w:r>
        <w:rPr>
          <w:noProof/>
        </w:rPr>
        <w:fldChar w:fldCharType="separate"/>
      </w:r>
      <w:r>
        <w:rPr>
          <w:noProof/>
        </w:rPr>
        <w:t>231</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5.8.3.1.2.2</w:t>
      </w:r>
      <w:r w:rsidRPr="00DD140B">
        <w:rPr>
          <w:rFonts w:ascii="Calibri" w:eastAsia="Malgun Gothic" w:hAnsi="Calibri"/>
          <w:noProof/>
          <w:sz w:val="22"/>
          <w:szCs w:val="22"/>
          <w:lang w:eastAsia="ko-KR"/>
        </w:rPr>
        <w:tab/>
      </w:r>
      <w:r>
        <w:rPr>
          <w:noProof/>
        </w:rPr>
        <w:t>Simple data types</w:t>
      </w:r>
      <w:r>
        <w:rPr>
          <w:noProof/>
        </w:rPr>
        <w:tab/>
      </w:r>
      <w:r>
        <w:rPr>
          <w:noProof/>
        </w:rPr>
        <w:fldChar w:fldCharType="begin" w:fldLock="1"/>
      </w:r>
      <w:r>
        <w:rPr>
          <w:noProof/>
        </w:rPr>
        <w:instrText xml:space="preserve"> PAGEREF _Toc153625579 \h </w:instrText>
      </w:r>
      <w:r>
        <w:rPr>
          <w:noProof/>
        </w:rPr>
      </w:r>
      <w:r>
        <w:rPr>
          <w:noProof/>
        </w:rPr>
        <w:fldChar w:fldCharType="separate"/>
      </w:r>
      <w:r>
        <w:rPr>
          <w:noProof/>
        </w:rPr>
        <w:t>231</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5.8.3.1.2.3</w:t>
      </w:r>
      <w:r w:rsidRPr="00DD140B">
        <w:rPr>
          <w:rFonts w:ascii="Calibri" w:eastAsia="Malgun Gothic" w:hAnsi="Calibri"/>
          <w:noProof/>
          <w:sz w:val="22"/>
          <w:szCs w:val="22"/>
          <w:lang w:eastAsia="ko-KR"/>
        </w:rPr>
        <w:tab/>
      </w:r>
      <w:r>
        <w:rPr>
          <w:noProof/>
        </w:rPr>
        <w:t xml:space="preserve">Enumeration: </w:t>
      </w:r>
      <w:r w:rsidRPr="00677085">
        <w:rPr>
          <w:rFonts w:eastAsia="Times New Roman"/>
          <w:noProof/>
        </w:rPr>
        <w:t>ServiceAnnouncementMode</w:t>
      </w:r>
      <w:r>
        <w:rPr>
          <w:noProof/>
        </w:rPr>
        <w:tab/>
      </w:r>
      <w:r>
        <w:rPr>
          <w:noProof/>
        </w:rPr>
        <w:fldChar w:fldCharType="begin" w:fldLock="1"/>
      </w:r>
      <w:r>
        <w:rPr>
          <w:noProof/>
        </w:rPr>
        <w:instrText xml:space="preserve"> PAGEREF _Toc153625580 \h </w:instrText>
      </w:r>
      <w:r>
        <w:rPr>
          <w:noProof/>
        </w:rPr>
      </w:r>
      <w:r>
        <w:rPr>
          <w:noProof/>
        </w:rPr>
        <w:fldChar w:fldCharType="separate"/>
      </w:r>
      <w:r>
        <w:rPr>
          <w:noProof/>
        </w:rPr>
        <w:t>232</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5.8.3.2</w:t>
      </w:r>
      <w:r w:rsidRPr="00DD140B">
        <w:rPr>
          <w:rFonts w:ascii="Calibri" w:eastAsia="Malgun Gothic" w:hAnsi="Calibri"/>
          <w:noProof/>
          <w:sz w:val="22"/>
          <w:szCs w:val="22"/>
          <w:lang w:eastAsia="ko-KR"/>
        </w:rPr>
        <w:tab/>
      </w:r>
      <w:r>
        <w:rPr>
          <w:noProof/>
        </w:rPr>
        <w:t>Resource structure</w:t>
      </w:r>
      <w:r>
        <w:rPr>
          <w:noProof/>
        </w:rPr>
        <w:tab/>
      </w:r>
      <w:r>
        <w:rPr>
          <w:noProof/>
        </w:rPr>
        <w:fldChar w:fldCharType="begin" w:fldLock="1"/>
      </w:r>
      <w:r>
        <w:rPr>
          <w:noProof/>
        </w:rPr>
        <w:instrText xml:space="preserve"> PAGEREF _Toc153625581 \h </w:instrText>
      </w:r>
      <w:r>
        <w:rPr>
          <w:noProof/>
        </w:rPr>
      </w:r>
      <w:r>
        <w:rPr>
          <w:noProof/>
        </w:rPr>
        <w:fldChar w:fldCharType="separate"/>
      </w:r>
      <w:r>
        <w:rPr>
          <w:noProof/>
        </w:rPr>
        <w:t>232</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5.8.3.2.1</w:t>
      </w:r>
      <w:r w:rsidRPr="00DD140B">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_Toc153625582 \h </w:instrText>
      </w:r>
      <w:r>
        <w:rPr>
          <w:noProof/>
        </w:rPr>
      </w:r>
      <w:r>
        <w:rPr>
          <w:noProof/>
        </w:rPr>
        <w:fldChar w:fldCharType="separate"/>
      </w:r>
      <w:r>
        <w:rPr>
          <w:noProof/>
        </w:rPr>
        <w:t>232</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5.8.3.2.2</w:t>
      </w:r>
      <w:r w:rsidRPr="00DD140B">
        <w:rPr>
          <w:rFonts w:ascii="Calibri" w:eastAsia="Malgun Gothic" w:hAnsi="Calibri"/>
          <w:noProof/>
          <w:sz w:val="22"/>
          <w:szCs w:val="22"/>
          <w:lang w:eastAsia="ko-KR"/>
        </w:rPr>
        <w:tab/>
      </w:r>
      <w:r>
        <w:rPr>
          <w:noProof/>
        </w:rPr>
        <w:t>Resource: xMB Services</w:t>
      </w:r>
      <w:r>
        <w:rPr>
          <w:noProof/>
        </w:rPr>
        <w:tab/>
      </w:r>
      <w:r>
        <w:rPr>
          <w:noProof/>
        </w:rPr>
        <w:fldChar w:fldCharType="begin" w:fldLock="1"/>
      </w:r>
      <w:r>
        <w:rPr>
          <w:noProof/>
        </w:rPr>
        <w:instrText xml:space="preserve"> PAGEREF _Toc153625583 \h </w:instrText>
      </w:r>
      <w:r>
        <w:rPr>
          <w:noProof/>
        </w:rPr>
      </w:r>
      <w:r>
        <w:rPr>
          <w:noProof/>
        </w:rPr>
        <w:fldChar w:fldCharType="separate"/>
      </w:r>
      <w:r>
        <w:rPr>
          <w:noProof/>
        </w:rPr>
        <w:t>233</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5.8.3.2.2.1</w:t>
      </w:r>
      <w:r w:rsidRPr="00DD140B">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_Toc153625584 \h </w:instrText>
      </w:r>
      <w:r>
        <w:rPr>
          <w:noProof/>
        </w:rPr>
      </w:r>
      <w:r>
        <w:rPr>
          <w:noProof/>
        </w:rPr>
        <w:fldChar w:fldCharType="separate"/>
      </w:r>
      <w:r>
        <w:rPr>
          <w:noProof/>
        </w:rPr>
        <w:t>233</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5.8.3.2.2.2</w:t>
      </w:r>
      <w:r w:rsidRPr="00DD140B">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_Toc153625585 \h </w:instrText>
      </w:r>
      <w:r>
        <w:rPr>
          <w:noProof/>
        </w:rPr>
      </w:r>
      <w:r>
        <w:rPr>
          <w:noProof/>
        </w:rPr>
        <w:fldChar w:fldCharType="separate"/>
      </w:r>
      <w:r>
        <w:rPr>
          <w:noProof/>
        </w:rPr>
        <w:t>233</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5.8.3.2.2.3</w:t>
      </w:r>
      <w:r w:rsidRPr="00DD140B">
        <w:rPr>
          <w:rFonts w:ascii="Calibri" w:eastAsia="Malgun Gothic" w:hAnsi="Calibri"/>
          <w:noProof/>
          <w:sz w:val="22"/>
          <w:szCs w:val="22"/>
          <w:lang w:eastAsia="ko-KR"/>
        </w:rPr>
        <w:tab/>
      </w:r>
      <w:r>
        <w:rPr>
          <w:noProof/>
        </w:rPr>
        <w:t>Resource methods</w:t>
      </w:r>
      <w:r>
        <w:rPr>
          <w:noProof/>
        </w:rPr>
        <w:tab/>
      </w:r>
      <w:r>
        <w:rPr>
          <w:noProof/>
        </w:rPr>
        <w:fldChar w:fldCharType="begin" w:fldLock="1"/>
      </w:r>
      <w:r>
        <w:rPr>
          <w:noProof/>
        </w:rPr>
        <w:instrText xml:space="preserve"> PAGEREF _Toc153625586 \h </w:instrText>
      </w:r>
      <w:r>
        <w:rPr>
          <w:noProof/>
        </w:rPr>
      </w:r>
      <w:r>
        <w:rPr>
          <w:noProof/>
        </w:rPr>
        <w:fldChar w:fldCharType="separate"/>
      </w:r>
      <w:r>
        <w:rPr>
          <w:noProof/>
        </w:rPr>
        <w:t>233</w:t>
      </w:r>
      <w:r>
        <w:rPr>
          <w:noProof/>
        </w:rPr>
        <w:fldChar w:fldCharType="end"/>
      </w:r>
    </w:p>
    <w:p w:rsidR="007D56C6" w:rsidRPr="00DD140B" w:rsidRDefault="007D56C6">
      <w:pPr>
        <w:pStyle w:val="TOC7"/>
        <w:rPr>
          <w:rFonts w:ascii="Calibri" w:eastAsia="Malgun Gothic" w:hAnsi="Calibri"/>
          <w:noProof/>
          <w:sz w:val="22"/>
          <w:szCs w:val="22"/>
          <w:lang w:eastAsia="ko-KR"/>
        </w:rPr>
      </w:pPr>
      <w:r>
        <w:rPr>
          <w:noProof/>
        </w:rPr>
        <w:t>5.8.3.2.2.3.1</w:t>
      </w:r>
      <w:r w:rsidRPr="00DD140B">
        <w:rPr>
          <w:rFonts w:ascii="Calibri" w:eastAsia="Malgun Gothic" w:hAnsi="Calibri"/>
          <w:noProof/>
          <w:sz w:val="22"/>
          <w:szCs w:val="22"/>
          <w:lang w:eastAsia="ko-KR"/>
        </w:rPr>
        <w:tab/>
      </w:r>
      <w:r>
        <w:rPr>
          <w:noProof/>
        </w:rPr>
        <w:t>GET</w:t>
      </w:r>
      <w:r>
        <w:rPr>
          <w:noProof/>
        </w:rPr>
        <w:tab/>
      </w:r>
      <w:r>
        <w:rPr>
          <w:noProof/>
        </w:rPr>
        <w:fldChar w:fldCharType="begin" w:fldLock="1"/>
      </w:r>
      <w:r>
        <w:rPr>
          <w:noProof/>
        </w:rPr>
        <w:instrText xml:space="preserve"> PAGEREF _Toc153625587 \h </w:instrText>
      </w:r>
      <w:r>
        <w:rPr>
          <w:noProof/>
        </w:rPr>
      </w:r>
      <w:r>
        <w:rPr>
          <w:noProof/>
        </w:rPr>
        <w:fldChar w:fldCharType="separate"/>
      </w:r>
      <w:r>
        <w:rPr>
          <w:noProof/>
        </w:rPr>
        <w:t>233</w:t>
      </w:r>
      <w:r>
        <w:rPr>
          <w:noProof/>
        </w:rPr>
        <w:fldChar w:fldCharType="end"/>
      </w:r>
    </w:p>
    <w:p w:rsidR="007D56C6" w:rsidRPr="00DD140B" w:rsidRDefault="007D56C6">
      <w:pPr>
        <w:pStyle w:val="TOC7"/>
        <w:rPr>
          <w:rFonts w:ascii="Calibri" w:eastAsia="Malgun Gothic" w:hAnsi="Calibri"/>
          <w:noProof/>
          <w:sz w:val="22"/>
          <w:szCs w:val="22"/>
          <w:lang w:eastAsia="ko-KR"/>
        </w:rPr>
      </w:pPr>
      <w:r>
        <w:rPr>
          <w:noProof/>
        </w:rPr>
        <w:t>5.8.3.2.2.3.2</w:t>
      </w:r>
      <w:r w:rsidRPr="00DD140B">
        <w:rPr>
          <w:rFonts w:ascii="Calibri" w:eastAsia="Malgun Gothic" w:hAnsi="Calibri"/>
          <w:noProof/>
          <w:sz w:val="22"/>
          <w:szCs w:val="22"/>
          <w:lang w:eastAsia="ko-KR"/>
        </w:rPr>
        <w:tab/>
      </w:r>
      <w:r>
        <w:rPr>
          <w:noProof/>
        </w:rPr>
        <w:t>PUT</w:t>
      </w:r>
      <w:r>
        <w:rPr>
          <w:noProof/>
        </w:rPr>
        <w:tab/>
      </w:r>
      <w:r>
        <w:rPr>
          <w:noProof/>
        </w:rPr>
        <w:fldChar w:fldCharType="begin" w:fldLock="1"/>
      </w:r>
      <w:r>
        <w:rPr>
          <w:noProof/>
        </w:rPr>
        <w:instrText xml:space="preserve"> PAGEREF _Toc153625588 \h </w:instrText>
      </w:r>
      <w:r>
        <w:rPr>
          <w:noProof/>
        </w:rPr>
      </w:r>
      <w:r>
        <w:rPr>
          <w:noProof/>
        </w:rPr>
        <w:fldChar w:fldCharType="separate"/>
      </w:r>
      <w:r>
        <w:rPr>
          <w:noProof/>
        </w:rPr>
        <w:t>234</w:t>
      </w:r>
      <w:r>
        <w:rPr>
          <w:noProof/>
        </w:rPr>
        <w:fldChar w:fldCharType="end"/>
      </w:r>
    </w:p>
    <w:p w:rsidR="007D56C6" w:rsidRPr="00DD140B" w:rsidRDefault="007D56C6">
      <w:pPr>
        <w:pStyle w:val="TOC7"/>
        <w:rPr>
          <w:rFonts w:ascii="Calibri" w:eastAsia="Malgun Gothic" w:hAnsi="Calibri"/>
          <w:noProof/>
          <w:sz w:val="22"/>
          <w:szCs w:val="22"/>
          <w:lang w:eastAsia="ko-KR"/>
        </w:rPr>
      </w:pPr>
      <w:r>
        <w:rPr>
          <w:noProof/>
        </w:rPr>
        <w:t>5.8.3.2.2.3.3</w:t>
      </w:r>
      <w:r w:rsidRPr="00DD140B">
        <w:rPr>
          <w:rFonts w:ascii="Calibri" w:eastAsia="Malgun Gothic" w:hAnsi="Calibri"/>
          <w:noProof/>
          <w:sz w:val="22"/>
          <w:szCs w:val="22"/>
          <w:lang w:eastAsia="ko-KR"/>
        </w:rPr>
        <w:tab/>
      </w:r>
      <w:r>
        <w:rPr>
          <w:noProof/>
        </w:rPr>
        <w:t>PATCH</w:t>
      </w:r>
      <w:r>
        <w:rPr>
          <w:noProof/>
        </w:rPr>
        <w:tab/>
      </w:r>
      <w:r>
        <w:rPr>
          <w:noProof/>
        </w:rPr>
        <w:fldChar w:fldCharType="begin" w:fldLock="1"/>
      </w:r>
      <w:r>
        <w:rPr>
          <w:noProof/>
        </w:rPr>
        <w:instrText xml:space="preserve"> PAGEREF _Toc153625589 \h </w:instrText>
      </w:r>
      <w:r>
        <w:rPr>
          <w:noProof/>
        </w:rPr>
      </w:r>
      <w:r>
        <w:rPr>
          <w:noProof/>
        </w:rPr>
        <w:fldChar w:fldCharType="separate"/>
      </w:r>
      <w:r>
        <w:rPr>
          <w:noProof/>
        </w:rPr>
        <w:t>234</w:t>
      </w:r>
      <w:r>
        <w:rPr>
          <w:noProof/>
        </w:rPr>
        <w:fldChar w:fldCharType="end"/>
      </w:r>
    </w:p>
    <w:p w:rsidR="007D56C6" w:rsidRPr="00DD140B" w:rsidRDefault="007D56C6">
      <w:pPr>
        <w:pStyle w:val="TOC7"/>
        <w:rPr>
          <w:rFonts w:ascii="Calibri" w:eastAsia="Malgun Gothic" w:hAnsi="Calibri"/>
          <w:noProof/>
          <w:sz w:val="22"/>
          <w:szCs w:val="22"/>
          <w:lang w:eastAsia="ko-KR"/>
        </w:rPr>
      </w:pPr>
      <w:r>
        <w:rPr>
          <w:noProof/>
        </w:rPr>
        <w:t>5.8.3.2.2.3.4</w:t>
      </w:r>
      <w:r w:rsidRPr="00DD140B">
        <w:rPr>
          <w:rFonts w:ascii="Calibri" w:eastAsia="Malgun Gothic" w:hAnsi="Calibri"/>
          <w:noProof/>
          <w:sz w:val="22"/>
          <w:szCs w:val="22"/>
          <w:lang w:eastAsia="ko-KR"/>
        </w:rPr>
        <w:tab/>
      </w:r>
      <w:r>
        <w:rPr>
          <w:noProof/>
        </w:rPr>
        <w:t>POST</w:t>
      </w:r>
      <w:r>
        <w:rPr>
          <w:noProof/>
        </w:rPr>
        <w:tab/>
      </w:r>
      <w:r>
        <w:rPr>
          <w:noProof/>
        </w:rPr>
        <w:fldChar w:fldCharType="begin" w:fldLock="1"/>
      </w:r>
      <w:r>
        <w:rPr>
          <w:noProof/>
        </w:rPr>
        <w:instrText xml:space="preserve"> PAGEREF _Toc153625590 \h </w:instrText>
      </w:r>
      <w:r>
        <w:rPr>
          <w:noProof/>
        </w:rPr>
      </w:r>
      <w:r>
        <w:rPr>
          <w:noProof/>
        </w:rPr>
        <w:fldChar w:fldCharType="separate"/>
      </w:r>
      <w:r>
        <w:rPr>
          <w:noProof/>
        </w:rPr>
        <w:t>234</w:t>
      </w:r>
      <w:r>
        <w:rPr>
          <w:noProof/>
        </w:rPr>
        <w:fldChar w:fldCharType="end"/>
      </w:r>
    </w:p>
    <w:p w:rsidR="007D56C6" w:rsidRPr="00DD140B" w:rsidRDefault="007D56C6">
      <w:pPr>
        <w:pStyle w:val="TOC7"/>
        <w:rPr>
          <w:rFonts w:ascii="Calibri" w:eastAsia="Malgun Gothic" w:hAnsi="Calibri"/>
          <w:noProof/>
          <w:sz w:val="22"/>
          <w:szCs w:val="22"/>
          <w:lang w:eastAsia="ko-KR"/>
        </w:rPr>
      </w:pPr>
      <w:r>
        <w:rPr>
          <w:noProof/>
        </w:rPr>
        <w:t>5.8.3.2.2.3.5</w:t>
      </w:r>
      <w:r w:rsidRPr="00DD140B">
        <w:rPr>
          <w:rFonts w:ascii="Calibri" w:eastAsia="Malgun Gothic" w:hAnsi="Calibri"/>
          <w:noProof/>
          <w:sz w:val="22"/>
          <w:szCs w:val="22"/>
          <w:lang w:eastAsia="ko-KR"/>
        </w:rPr>
        <w:tab/>
      </w:r>
      <w:r>
        <w:rPr>
          <w:noProof/>
        </w:rPr>
        <w:t>DELETE</w:t>
      </w:r>
      <w:r>
        <w:rPr>
          <w:noProof/>
        </w:rPr>
        <w:tab/>
      </w:r>
      <w:r>
        <w:rPr>
          <w:noProof/>
        </w:rPr>
        <w:fldChar w:fldCharType="begin" w:fldLock="1"/>
      </w:r>
      <w:r>
        <w:rPr>
          <w:noProof/>
        </w:rPr>
        <w:instrText xml:space="preserve"> PAGEREF _Toc153625591 \h </w:instrText>
      </w:r>
      <w:r>
        <w:rPr>
          <w:noProof/>
        </w:rPr>
      </w:r>
      <w:r>
        <w:rPr>
          <w:noProof/>
        </w:rPr>
        <w:fldChar w:fldCharType="separate"/>
      </w:r>
      <w:r>
        <w:rPr>
          <w:noProof/>
        </w:rPr>
        <w:t>235</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5.8.3.2.3</w:t>
      </w:r>
      <w:r w:rsidRPr="00DD140B">
        <w:rPr>
          <w:rFonts w:ascii="Calibri" w:eastAsia="Malgun Gothic" w:hAnsi="Calibri"/>
          <w:noProof/>
          <w:sz w:val="22"/>
          <w:szCs w:val="22"/>
          <w:lang w:eastAsia="ko-KR"/>
        </w:rPr>
        <w:tab/>
      </w:r>
      <w:r>
        <w:rPr>
          <w:noProof/>
        </w:rPr>
        <w:t>Resource: Individual xMB Service</w:t>
      </w:r>
      <w:r>
        <w:rPr>
          <w:noProof/>
        </w:rPr>
        <w:tab/>
      </w:r>
      <w:r>
        <w:rPr>
          <w:noProof/>
        </w:rPr>
        <w:fldChar w:fldCharType="begin" w:fldLock="1"/>
      </w:r>
      <w:r>
        <w:rPr>
          <w:noProof/>
        </w:rPr>
        <w:instrText xml:space="preserve"> PAGEREF _Toc153625592 \h </w:instrText>
      </w:r>
      <w:r>
        <w:rPr>
          <w:noProof/>
        </w:rPr>
      </w:r>
      <w:r>
        <w:rPr>
          <w:noProof/>
        </w:rPr>
        <w:fldChar w:fldCharType="separate"/>
      </w:r>
      <w:r>
        <w:rPr>
          <w:noProof/>
        </w:rPr>
        <w:t>235</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5.8.3.2.3.1</w:t>
      </w:r>
      <w:r w:rsidRPr="00DD140B">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_Toc153625593 \h </w:instrText>
      </w:r>
      <w:r>
        <w:rPr>
          <w:noProof/>
        </w:rPr>
      </w:r>
      <w:r>
        <w:rPr>
          <w:noProof/>
        </w:rPr>
        <w:fldChar w:fldCharType="separate"/>
      </w:r>
      <w:r>
        <w:rPr>
          <w:noProof/>
        </w:rPr>
        <w:t>235</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5.8.3.2.3.2</w:t>
      </w:r>
      <w:r w:rsidRPr="00DD140B">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_Toc153625594 \h </w:instrText>
      </w:r>
      <w:r>
        <w:rPr>
          <w:noProof/>
        </w:rPr>
      </w:r>
      <w:r>
        <w:rPr>
          <w:noProof/>
        </w:rPr>
        <w:fldChar w:fldCharType="separate"/>
      </w:r>
      <w:r>
        <w:rPr>
          <w:noProof/>
        </w:rPr>
        <w:t>235</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5.8.3.2.3.3</w:t>
      </w:r>
      <w:r w:rsidRPr="00DD140B">
        <w:rPr>
          <w:rFonts w:ascii="Calibri" w:eastAsia="Malgun Gothic" w:hAnsi="Calibri"/>
          <w:noProof/>
          <w:sz w:val="22"/>
          <w:szCs w:val="22"/>
          <w:lang w:eastAsia="ko-KR"/>
        </w:rPr>
        <w:tab/>
      </w:r>
      <w:r>
        <w:rPr>
          <w:noProof/>
        </w:rPr>
        <w:t>Resource methods</w:t>
      </w:r>
      <w:r>
        <w:rPr>
          <w:noProof/>
        </w:rPr>
        <w:tab/>
      </w:r>
      <w:r>
        <w:rPr>
          <w:noProof/>
        </w:rPr>
        <w:fldChar w:fldCharType="begin" w:fldLock="1"/>
      </w:r>
      <w:r>
        <w:rPr>
          <w:noProof/>
        </w:rPr>
        <w:instrText xml:space="preserve"> PAGEREF _Toc153625595 \h </w:instrText>
      </w:r>
      <w:r>
        <w:rPr>
          <w:noProof/>
        </w:rPr>
      </w:r>
      <w:r>
        <w:rPr>
          <w:noProof/>
        </w:rPr>
        <w:fldChar w:fldCharType="separate"/>
      </w:r>
      <w:r>
        <w:rPr>
          <w:noProof/>
        </w:rPr>
        <w:t>235</w:t>
      </w:r>
      <w:r>
        <w:rPr>
          <w:noProof/>
        </w:rPr>
        <w:fldChar w:fldCharType="end"/>
      </w:r>
    </w:p>
    <w:p w:rsidR="007D56C6" w:rsidRPr="00DD140B" w:rsidRDefault="007D56C6">
      <w:pPr>
        <w:pStyle w:val="TOC7"/>
        <w:rPr>
          <w:rFonts w:ascii="Calibri" w:eastAsia="Malgun Gothic" w:hAnsi="Calibri"/>
          <w:noProof/>
          <w:sz w:val="22"/>
          <w:szCs w:val="22"/>
          <w:lang w:eastAsia="ko-KR"/>
        </w:rPr>
      </w:pPr>
      <w:r>
        <w:rPr>
          <w:noProof/>
        </w:rPr>
        <w:t>5.8.3.2.3.3.1</w:t>
      </w:r>
      <w:r w:rsidRPr="00DD140B">
        <w:rPr>
          <w:rFonts w:ascii="Calibri" w:eastAsia="Malgun Gothic" w:hAnsi="Calibri"/>
          <w:noProof/>
          <w:sz w:val="22"/>
          <w:szCs w:val="22"/>
          <w:lang w:eastAsia="ko-KR"/>
        </w:rPr>
        <w:tab/>
      </w:r>
      <w:r>
        <w:rPr>
          <w:noProof/>
        </w:rPr>
        <w:t>GET</w:t>
      </w:r>
      <w:r>
        <w:rPr>
          <w:noProof/>
        </w:rPr>
        <w:tab/>
      </w:r>
      <w:r>
        <w:rPr>
          <w:noProof/>
        </w:rPr>
        <w:fldChar w:fldCharType="begin" w:fldLock="1"/>
      </w:r>
      <w:r>
        <w:rPr>
          <w:noProof/>
        </w:rPr>
        <w:instrText xml:space="preserve"> PAGEREF _Toc153625596 \h </w:instrText>
      </w:r>
      <w:r>
        <w:rPr>
          <w:noProof/>
        </w:rPr>
      </w:r>
      <w:r>
        <w:rPr>
          <w:noProof/>
        </w:rPr>
        <w:fldChar w:fldCharType="separate"/>
      </w:r>
      <w:r>
        <w:rPr>
          <w:noProof/>
        </w:rPr>
        <w:t>235</w:t>
      </w:r>
      <w:r>
        <w:rPr>
          <w:noProof/>
        </w:rPr>
        <w:fldChar w:fldCharType="end"/>
      </w:r>
    </w:p>
    <w:p w:rsidR="007D56C6" w:rsidRPr="00DD140B" w:rsidRDefault="007D56C6">
      <w:pPr>
        <w:pStyle w:val="TOC7"/>
        <w:rPr>
          <w:rFonts w:ascii="Calibri" w:eastAsia="Malgun Gothic" w:hAnsi="Calibri"/>
          <w:noProof/>
          <w:sz w:val="22"/>
          <w:szCs w:val="22"/>
          <w:lang w:eastAsia="ko-KR"/>
        </w:rPr>
      </w:pPr>
      <w:r>
        <w:rPr>
          <w:noProof/>
        </w:rPr>
        <w:t>5.8.3.2.3.3.2</w:t>
      </w:r>
      <w:r w:rsidRPr="00DD140B">
        <w:rPr>
          <w:rFonts w:ascii="Calibri" w:eastAsia="Malgun Gothic" w:hAnsi="Calibri"/>
          <w:noProof/>
          <w:sz w:val="22"/>
          <w:szCs w:val="22"/>
          <w:lang w:eastAsia="ko-KR"/>
        </w:rPr>
        <w:tab/>
      </w:r>
      <w:r>
        <w:rPr>
          <w:noProof/>
        </w:rPr>
        <w:t>PUT</w:t>
      </w:r>
      <w:r>
        <w:rPr>
          <w:noProof/>
        </w:rPr>
        <w:tab/>
      </w:r>
      <w:r>
        <w:rPr>
          <w:noProof/>
        </w:rPr>
        <w:fldChar w:fldCharType="begin" w:fldLock="1"/>
      </w:r>
      <w:r>
        <w:rPr>
          <w:noProof/>
        </w:rPr>
        <w:instrText xml:space="preserve"> PAGEREF _Toc153625597 \h </w:instrText>
      </w:r>
      <w:r>
        <w:rPr>
          <w:noProof/>
        </w:rPr>
      </w:r>
      <w:r>
        <w:rPr>
          <w:noProof/>
        </w:rPr>
        <w:fldChar w:fldCharType="separate"/>
      </w:r>
      <w:r>
        <w:rPr>
          <w:noProof/>
        </w:rPr>
        <w:t>236</w:t>
      </w:r>
      <w:r>
        <w:rPr>
          <w:noProof/>
        </w:rPr>
        <w:fldChar w:fldCharType="end"/>
      </w:r>
    </w:p>
    <w:p w:rsidR="007D56C6" w:rsidRPr="00DD140B" w:rsidRDefault="007D56C6">
      <w:pPr>
        <w:pStyle w:val="TOC7"/>
        <w:rPr>
          <w:rFonts w:ascii="Calibri" w:eastAsia="Malgun Gothic" w:hAnsi="Calibri"/>
          <w:noProof/>
          <w:sz w:val="22"/>
          <w:szCs w:val="22"/>
          <w:lang w:eastAsia="ko-KR"/>
        </w:rPr>
      </w:pPr>
      <w:r>
        <w:rPr>
          <w:noProof/>
        </w:rPr>
        <w:t>5.8.3.2.3.3.3</w:t>
      </w:r>
      <w:r w:rsidRPr="00DD140B">
        <w:rPr>
          <w:rFonts w:ascii="Calibri" w:eastAsia="Malgun Gothic" w:hAnsi="Calibri"/>
          <w:noProof/>
          <w:sz w:val="22"/>
          <w:szCs w:val="22"/>
          <w:lang w:eastAsia="ko-KR"/>
        </w:rPr>
        <w:tab/>
      </w:r>
      <w:r>
        <w:rPr>
          <w:noProof/>
        </w:rPr>
        <w:t>PATCH</w:t>
      </w:r>
      <w:r>
        <w:rPr>
          <w:noProof/>
        </w:rPr>
        <w:tab/>
      </w:r>
      <w:r>
        <w:rPr>
          <w:noProof/>
        </w:rPr>
        <w:fldChar w:fldCharType="begin" w:fldLock="1"/>
      </w:r>
      <w:r>
        <w:rPr>
          <w:noProof/>
        </w:rPr>
        <w:instrText xml:space="preserve"> PAGEREF _Toc153625598 \h </w:instrText>
      </w:r>
      <w:r>
        <w:rPr>
          <w:noProof/>
        </w:rPr>
      </w:r>
      <w:r>
        <w:rPr>
          <w:noProof/>
        </w:rPr>
        <w:fldChar w:fldCharType="separate"/>
      </w:r>
      <w:r>
        <w:rPr>
          <w:noProof/>
        </w:rPr>
        <w:t>236</w:t>
      </w:r>
      <w:r>
        <w:rPr>
          <w:noProof/>
        </w:rPr>
        <w:fldChar w:fldCharType="end"/>
      </w:r>
    </w:p>
    <w:p w:rsidR="007D56C6" w:rsidRPr="00DD140B" w:rsidRDefault="007D56C6">
      <w:pPr>
        <w:pStyle w:val="TOC7"/>
        <w:rPr>
          <w:rFonts w:ascii="Calibri" w:eastAsia="Malgun Gothic" w:hAnsi="Calibri"/>
          <w:noProof/>
          <w:sz w:val="22"/>
          <w:szCs w:val="22"/>
          <w:lang w:eastAsia="ko-KR"/>
        </w:rPr>
      </w:pPr>
      <w:r>
        <w:rPr>
          <w:noProof/>
        </w:rPr>
        <w:t>5.8.3.2.3.3.4</w:t>
      </w:r>
      <w:r w:rsidRPr="00DD140B">
        <w:rPr>
          <w:rFonts w:ascii="Calibri" w:eastAsia="Malgun Gothic" w:hAnsi="Calibri"/>
          <w:noProof/>
          <w:sz w:val="22"/>
          <w:szCs w:val="22"/>
          <w:lang w:eastAsia="ko-KR"/>
        </w:rPr>
        <w:tab/>
      </w:r>
      <w:r>
        <w:rPr>
          <w:noProof/>
        </w:rPr>
        <w:t>POST</w:t>
      </w:r>
      <w:r>
        <w:rPr>
          <w:noProof/>
        </w:rPr>
        <w:tab/>
      </w:r>
      <w:r>
        <w:rPr>
          <w:noProof/>
        </w:rPr>
        <w:fldChar w:fldCharType="begin" w:fldLock="1"/>
      </w:r>
      <w:r>
        <w:rPr>
          <w:noProof/>
        </w:rPr>
        <w:instrText xml:space="preserve"> PAGEREF _Toc153625599 \h </w:instrText>
      </w:r>
      <w:r>
        <w:rPr>
          <w:noProof/>
        </w:rPr>
      </w:r>
      <w:r>
        <w:rPr>
          <w:noProof/>
        </w:rPr>
        <w:fldChar w:fldCharType="separate"/>
      </w:r>
      <w:r>
        <w:rPr>
          <w:noProof/>
        </w:rPr>
        <w:t>236</w:t>
      </w:r>
      <w:r>
        <w:rPr>
          <w:noProof/>
        </w:rPr>
        <w:fldChar w:fldCharType="end"/>
      </w:r>
    </w:p>
    <w:p w:rsidR="007D56C6" w:rsidRPr="00DD140B" w:rsidRDefault="007D56C6">
      <w:pPr>
        <w:pStyle w:val="TOC7"/>
        <w:rPr>
          <w:rFonts w:ascii="Calibri" w:eastAsia="Malgun Gothic" w:hAnsi="Calibri"/>
          <w:noProof/>
          <w:sz w:val="22"/>
          <w:szCs w:val="22"/>
          <w:lang w:eastAsia="ko-KR"/>
        </w:rPr>
      </w:pPr>
      <w:r>
        <w:rPr>
          <w:noProof/>
        </w:rPr>
        <w:t>5.8.3.2.3.3.5</w:t>
      </w:r>
      <w:r w:rsidRPr="00DD140B">
        <w:rPr>
          <w:rFonts w:ascii="Calibri" w:eastAsia="Malgun Gothic" w:hAnsi="Calibri"/>
          <w:noProof/>
          <w:sz w:val="22"/>
          <w:szCs w:val="22"/>
          <w:lang w:eastAsia="ko-KR"/>
        </w:rPr>
        <w:tab/>
      </w:r>
      <w:r>
        <w:rPr>
          <w:noProof/>
        </w:rPr>
        <w:t>DELETE</w:t>
      </w:r>
      <w:r>
        <w:rPr>
          <w:noProof/>
        </w:rPr>
        <w:tab/>
      </w:r>
      <w:r>
        <w:rPr>
          <w:noProof/>
        </w:rPr>
        <w:fldChar w:fldCharType="begin" w:fldLock="1"/>
      </w:r>
      <w:r>
        <w:rPr>
          <w:noProof/>
        </w:rPr>
        <w:instrText xml:space="preserve"> PAGEREF _Toc153625600 \h </w:instrText>
      </w:r>
      <w:r>
        <w:rPr>
          <w:noProof/>
        </w:rPr>
      </w:r>
      <w:r>
        <w:rPr>
          <w:noProof/>
        </w:rPr>
        <w:fldChar w:fldCharType="separate"/>
      </w:r>
      <w:r>
        <w:rPr>
          <w:noProof/>
        </w:rPr>
        <w:t>236</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5.8.3.2.4</w:t>
      </w:r>
      <w:r w:rsidRPr="00DD140B">
        <w:rPr>
          <w:rFonts w:ascii="Calibri" w:eastAsia="Malgun Gothic" w:hAnsi="Calibri"/>
          <w:noProof/>
          <w:sz w:val="22"/>
          <w:szCs w:val="22"/>
          <w:lang w:eastAsia="ko-KR"/>
        </w:rPr>
        <w:tab/>
      </w:r>
      <w:r>
        <w:rPr>
          <w:noProof/>
        </w:rPr>
        <w:t>Resource: GMD via MBMS by xMB</w:t>
      </w:r>
      <w:r>
        <w:rPr>
          <w:noProof/>
        </w:rPr>
        <w:tab/>
      </w:r>
      <w:r>
        <w:rPr>
          <w:noProof/>
        </w:rPr>
        <w:fldChar w:fldCharType="begin" w:fldLock="1"/>
      </w:r>
      <w:r>
        <w:rPr>
          <w:noProof/>
        </w:rPr>
        <w:instrText xml:space="preserve"> PAGEREF _Toc153625601 \h </w:instrText>
      </w:r>
      <w:r>
        <w:rPr>
          <w:noProof/>
        </w:rPr>
      </w:r>
      <w:r>
        <w:rPr>
          <w:noProof/>
        </w:rPr>
        <w:fldChar w:fldCharType="separate"/>
      </w:r>
      <w:r>
        <w:rPr>
          <w:noProof/>
        </w:rPr>
        <w:t>237</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5.8.3.2.4.1</w:t>
      </w:r>
      <w:r w:rsidRPr="00DD140B">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_Toc153625602 \h </w:instrText>
      </w:r>
      <w:r>
        <w:rPr>
          <w:noProof/>
        </w:rPr>
      </w:r>
      <w:r>
        <w:rPr>
          <w:noProof/>
        </w:rPr>
        <w:fldChar w:fldCharType="separate"/>
      </w:r>
      <w:r>
        <w:rPr>
          <w:noProof/>
        </w:rPr>
        <w:t>237</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5.8.3.2.4.2</w:t>
      </w:r>
      <w:r w:rsidRPr="00DD140B">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_Toc153625603 \h </w:instrText>
      </w:r>
      <w:r>
        <w:rPr>
          <w:noProof/>
        </w:rPr>
      </w:r>
      <w:r>
        <w:rPr>
          <w:noProof/>
        </w:rPr>
        <w:fldChar w:fldCharType="separate"/>
      </w:r>
      <w:r>
        <w:rPr>
          <w:noProof/>
        </w:rPr>
        <w:t>237</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5.8.3.2.4.3</w:t>
      </w:r>
      <w:r w:rsidRPr="00DD140B">
        <w:rPr>
          <w:rFonts w:ascii="Calibri" w:eastAsia="Malgun Gothic" w:hAnsi="Calibri"/>
          <w:noProof/>
          <w:sz w:val="22"/>
          <w:szCs w:val="22"/>
          <w:lang w:eastAsia="ko-KR"/>
        </w:rPr>
        <w:tab/>
      </w:r>
      <w:r>
        <w:rPr>
          <w:noProof/>
        </w:rPr>
        <w:t>Resource methods</w:t>
      </w:r>
      <w:r>
        <w:rPr>
          <w:noProof/>
        </w:rPr>
        <w:tab/>
      </w:r>
      <w:r>
        <w:rPr>
          <w:noProof/>
        </w:rPr>
        <w:fldChar w:fldCharType="begin" w:fldLock="1"/>
      </w:r>
      <w:r>
        <w:rPr>
          <w:noProof/>
        </w:rPr>
        <w:instrText xml:space="preserve"> PAGEREF _Toc153625604 \h </w:instrText>
      </w:r>
      <w:r>
        <w:rPr>
          <w:noProof/>
        </w:rPr>
      </w:r>
      <w:r>
        <w:rPr>
          <w:noProof/>
        </w:rPr>
        <w:fldChar w:fldCharType="separate"/>
      </w:r>
      <w:r>
        <w:rPr>
          <w:noProof/>
        </w:rPr>
        <w:t>238</w:t>
      </w:r>
      <w:r>
        <w:rPr>
          <w:noProof/>
        </w:rPr>
        <w:fldChar w:fldCharType="end"/>
      </w:r>
    </w:p>
    <w:p w:rsidR="007D56C6" w:rsidRPr="00DD140B" w:rsidRDefault="007D56C6">
      <w:pPr>
        <w:pStyle w:val="TOC7"/>
        <w:rPr>
          <w:rFonts w:ascii="Calibri" w:eastAsia="Malgun Gothic" w:hAnsi="Calibri"/>
          <w:noProof/>
          <w:sz w:val="22"/>
          <w:szCs w:val="22"/>
          <w:lang w:eastAsia="ko-KR"/>
        </w:rPr>
      </w:pPr>
      <w:r>
        <w:rPr>
          <w:noProof/>
        </w:rPr>
        <w:t>5.8.3.2.4.3.1</w:t>
      </w:r>
      <w:r w:rsidRPr="00DD140B">
        <w:rPr>
          <w:rFonts w:ascii="Calibri" w:eastAsia="Malgun Gothic" w:hAnsi="Calibri"/>
          <w:noProof/>
          <w:sz w:val="22"/>
          <w:szCs w:val="22"/>
          <w:lang w:eastAsia="ko-KR"/>
        </w:rPr>
        <w:tab/>
      </w:r>
      <w:r>
        <w:rPr>
          <w:noProof/>
        </w:rPr>
        <w:t>GET</w:t>
      </w:r>
      <w:r>
        <w:rPr>
          <w:noProof/>
        </w:rPr>
        <w:tab/>
      </w:r>
      <w:r>
        <w:rPr>
          <w:noProof/>
        </w:rPr>
        <w:fldChar w:fldCharType="begin" w:fldLock="1"/>
      </w:r>
      <w:r>
        <w:rPr>
          <w:noProof/>
        </w:rPr>
        <w:instrText xml:space="preserve"> PAGEREF _Toc153625605 \h </w:instrText>
      </w:r>
      <w:r>
        <w:rPr>
          <w:noProof/>
        </w:rPr>
      </w:r>
      <w:r>
        <w:rPr>
          <w:noProof/>
        </w:rPr>
        <w:fldChar w:fldCharType="separate"/>
      </w:r>
      <w:r>
        <w:rPr>
          <w:noProof/>
        </w:rPr>
        <w:t>238</w:t>
      </w:r>
      <w:r>
        <w:rPr>
          <w:noProof/>
        </w:rPr>
        <w:fldChar w:fldCharType="end"/>
      </w:r>
    </w:p>
    <w:p w:rsidR="007D56C6" w:rsidRPr="00DD140B" w:rsidRDefault="007D56C6">
      <w:pPr>
        <w:pStyle w:val="TOC7"/>
        <w:rPr>
          <w:rFonts w:ascii="Calibri" w:eastAsia="Malgun Gothic" w:hAnsi="Calibri"/>
          <w:noProof/>
          <w:sz w:val="22"/>
          <w:szCs w:val="22"/>
          <w:lang w:eastAsia="ko-KR"/>
        </w:rPr>
      </w:pPr>
      <w:r>
        <w:rPr>
          <w:noProof/>
        </w:rPr>
        <w:t>5.8.3.2.4.3.2</w:t>
      </w:r>
      <w:r w:rsidRPr="00DD140B">
        <w:rPr>
          <w:rFonts w:ascii="Calibri" w:eastAsia="Malgun Gothic" w:hAnsi="Calibri"/>
          <w:noProof/>
          <w:sz w:val="22"/>
          <w:szCs w:val="22"/>
          <w:lang w:eastAsia="ko-KR"/>
        </w:rPr>
        <w:tab/>
      </w:r>
      <w:r>
        <w:rPr>
          <w:noProof/>
        </w:rPr>
        <w:t>PUT</w:t>
      </w:r>
      <w:r>
        <w:rPr>
          <w:noProof/>
        </w:rPr>
        <w:tab/>
      </w:r>
      <w:r>
        <w:rPr>
          <w:noProof/>
        </w:rPr>
        <w:fldChar w:fldCharType="begin" w:fldLock="1"/>
      </w:r>
      <w:r>
        <w:rPr>
          <w:noProof/>
        </w:rPr>
        <w:instrText xml:space="preserve"> PAGEREF _Toc153625606 \h </w:instrText>
      </w:r>
      <w:r>
        <w:rPr>
          <w:noProof/>
        </w:rPr>
      </w:r>
      <w:r>
        <w:rPr>
          <w:noProof/>
        </w:rPr>
        <w:fldChar w:fldCharType="separate"/>
      </w:r>
      <w:r>
        <w:rPr>
          <w:noProof/>
        </w:rPr>
        <w:t>238</w:t>
      </w:r>
      <w:r>
        <w:rPr>
          <w:noProof/>
        </w:rPr>
        <w:fldChar w:fldCharType="end"/>
      </w:r>
    </w:p>
    <w:p w:rsidR="007D56C6" w:rsidRPr="00DD140B" w:rsidRDefault="007D56C6">
      <w:pPr>
        <w:pStyle w:val="TOC7"/>
        <w:rPr>
          <w:rFonts w:ascii="Calibri" w:eastAsia="Malgun Gothic" w:hAnsi="Calibri"/>
          <w:noProof/>
          <w:sz w:val="22"/>
          <w:szCs w:val="22"/>
          <w:lang w:eastAsia="ko-KR"/>
        </w:rPr>
      </w:pPr>
      <w:r>
        <w:rPr>
          <w:noProof/>
        </w:rPr>
        <w:t>5.8.3.2.4.3.3</w:t>
      </w:r>
      <w:r w:rsidRPr="00DD140B">
        <w:rPr>
          <w:rFonts w:ascii="Calibri" w:eastAsia="Malgun Gothic" w:hAnsi="Calibri"/>
          <w:noProof/>
          <w:sz w:val="22"/>
          <w:szCs w:val="22"/>
          <w:lang w:eastAsia="ko-KR"/>
        </w:rPr>
        <w:tab/>
      </w:r>
      <w:r>
        <w:rPr>
          <w:noProof/>
        </w:rPr>
        <w:t>PATCH</w:t>
      </w:r>
      <w:r>
        <w:rPr>
          <w:noProof/>
        </w:rPr>
        <w:tab/>
      </w:r>
      <w:r>
        <w:rPr>
          <w:noProof/>
        </w:rPr>
        <w:fldChar w:fldCharType="begin" w:fldLock="1"/>
      </w:r>
      <w:r>
        <w:rPr>
          <w:noProof/>
        </w:rPr>
        <w:instrText xml:space="preserve"> PAGEREF _Toc153625607 \h </w:instrText>
      </w:r>
      <w:r>
        <w:rPr>
          <w:noProof/>
        </w:rPr>
      </w:r>
      <w:r>
        <w:rPr>
          <w:noProof/>
        </w:rPr>
        <w:fldChar w:fldCharType="separate"/>
      </w:r>
      <w:r>
        <w:rPr>
          <w:noProof/>
        </w:rPr>
        <w:t>238</w:t>
      </w:r>
      <w:r>
        <w:rPr>
          <w:noProof/>
        </w:rPr>
        <w:fldChar w:fldCharType="end"/>
      </w:r>
    </w:p>
    <w:p w:rsidR="007D56C6" w:rsidRPr="00DD140B" w:rsidRDefault="007D56C6">
      <w:pPr>
        <w:pStyle w:val="TOC7"/>
        <w:rPr>
          <w:rFonts w:ascii="Calibri" w:eastAsia="Malgun Gothic" w:hAnsi="Calibri"/>
          <w:noProof/>
          <w:sz w:val="22"/>
          <w:szCs w:val="22"/>
          <w:lang w:eastAsia="ko-KR"/>
        </w:rPr>
      </w:pPr>
      <w:r>
        <w:rPr>
          <w:noProof/>
        </w:rPr>
        <w:t>5.8.3.2.4.3.4</w:t>
      </w:r>
      <w:r w:rsidRPr="00DD140B">
        <w:rPr>
          <w:rFonts w:ascii="Calibri" w:eastAsia="Malgun Gothic" w:hAnsi="Calibri"/>
          <w:noProof/>
          <w:sz w:val="22"/>
          <w:szCs w:val="22"/>
          <w:lang w:eastAsia="ko-KR"/>
        </w:rPr>
        <w:tab/>
      </w:r>
      <w:r>
        <w:rPr>
          <w:noProof/>
        </w:rPr>
        <w:t>POST</w:t>
      </w:r>
      <w:r>
        <w:rPr>
          <w:noProof/>
        </w:rPr>
        <w:tab/>
      </w:r>
      <w:r>
        <w:rPr>
          <w:noProof/>
        </w:rPr>
        <w:fldChar w:fldCharType="begin" w:fldLock="1"/>
      </w:r>
      <w:r>
        <w:rPr>
          <w:noProof/>
        </w:rPr>
        <w:instrText xml:space="preserve"> PAGEREF _Toc153625608 \h </w:instrText>
      </w:r>
      <w:r>
        <w:rPr>
          <w:noProof/>
        </w:rPr>
      </w:r>
      <w:r>
        <w:rPr>
          <w:noProof/>
        </w:rPr>
        <w:fldChar w:fldCharType="separate"/>
      </w:r>
      <w:r>
        <w:rPr>
          <w:noProof/>
        </w:rPr>
        <w:t>238</w:t>
      </w:r>
      <w:r>
        <w:rPr>
          <w:noProof/>
        </w:rPr>
        <w:fldChar w:fldCharType="end"/>
      </w:r>
    </w:p>
    <w:p w:rsidR="007D56C6" w:rsidRPr="00DD140B" w:rsidRDefault="007D56C6">
      <w:pPr>
        <w:pStyle w:val="TOC7"/>
        <w:rPr>
          <w:rFonts w:ascii="Calibri" w:eastAsia="Malgun Gothic" w:hAnsi="Calibri"/>
          <w:noProof/>
          <w:sz w:val="22"/>
          <w:szCs w:val="22"/>
          <w:lang w:eastAsia="ko-KR"/>
        </w:rPr>
      </w:pPr>
      <w:r>
        <w:rPr>
          <w:noProof/>
        </w:rPr>
        <w:t>5.8.3.2.4.3.5</w:t>
      </w:r>
      <w:r w:rsidRPr="00DD140B">
        <w:rPr>
          <w:rFonts w:ascii="Calibri" w:eastAsia="Malgun Gothic" w:hAnsi="Calibri"/>
          <w:noProof/>
          <w:sz w:val="22"/>
          <w:szCs w:val="22"/>
          <w:lang w:eastAsia="ko-KR"/>
        </w:rPr>
        <w:tab/>
      </w:r>
      <w:r>
        <w:rPr>
          <w:noProof/>
        </w:rPr>
        <w:t>DELETE</w:t>
      </w:r>
      <w:r>
        <w:rPr>
          <w:noProof/>
        </w:rPr>
        <w:tab/>
      </w:r>
      <w:r>
        <w:rPr>
          <w:noProof/>
        </w:rPr>
        <w:fldChar w:fldCharType="begin" w:fldLock="1"/>
      </w:r>
      <w:r>
        <w:rPr>
          <w:noProof/>
        </w:rPr>
        <w:instrText xml:space="preserve"> PAGEREF _Toc153625609 \h </w:instrText>
      </w:r>
      <w:r>
        <w:rPr>
          <w:noProof/>
        </w:rPr>
      </w:r>
      <w:r>
        <w:rPr>
          <w:noProof/>
        </w:rPr>
        <w:fldChar w:fldCharType="separate"/>
      </w:r>
      <w:r>
        <w:rPr>
          <w:noProof/>
        </w:rPr>
        <w:t>239</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5.8.3.2.5</w:t>
      </w:r>
      <w:r w:rsidRPr="00DD140B">
        <w:rPr>
          <w:rFonts w:ascii="Calibri" w:eastAsia="Malgun Gothic" w:hAnsi="Calibri"/>
          <w:noProof/>
          <w:sz w:val="22"/>
          <w:szCs w:val="22"/>
          <w:lang w:eastAsia="ko-KR"/>
        </w:rPr>
        <w:tab/>
      </w:r>
      <w:r>
        <w:rPr>
          <w:noProof/>
        </w:rPr>
        <w:t>Resource: Individual GMD via MBMS by xMB</w:t>
      </w:r>
      <w:r>
        <w:rPr>
          <w:noProof/>
        </w:rPr>
        <w:tab/>
      </w:r>
      <w:r>
        <w:rPr>
          <w:noProof/>
        </w:rPr>
        <w:fldChar w:fldCharType="begin" w:fldLock="1"/>
      </w:r>
      <w:r>
        <w:rPr>
          <w:noProof/>
        </w:rPr>
        <w:instrText xml:space="preserve"> PAGEREF _Toc153625610 \h </w:instrText>
      </w:r>
      <w:r>
        <w:rPr>
          <w:noProof/>
        </w:rPr>
      </w:r>
      <w:r>
        <w:rPr>
          <w:noProof/>
        </w:rPr>
        <w:fldChar w:fldCharType="separate"/>
      </w:r>
      <w:r>
        <w:rPr>
          <w:noProof/>
        </w:rPr>
        <w:t>239</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5.8.3.2.5.1</w:t>
      </w:r>
      <w:r w:rsidRPr="00DD140B">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_Toc153625611 \h </w:instrText>
      </w:r>
      <w:r>
        <w:rPr>
          <w:noProof/>
        </w:rPr>
      </w:r>
      <w:r>
        <w:rPr>
          <w:noProof/>
        </w:rPr>
        <w:fldChar w:fldCharType="separate"/>
      </w:r>
      <w:r>
        <w:rPr>
          <w:noProof/>
        </w:rPr>
        <w:t>239</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5.8.3.2.5.2</w:t>
      </w:r>
      <w:r w:rsidRPr="00DD140B">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_Toc153625612 \h </w:instrText>
      </w:r>
      <w:r>
        <w:rPr>
          <w:noProof/>
        </w:rPr>
      </w:r>
      <w:r>
        <w:rPr>
          <w:noProof/>
        </w:rPr>
        <w:fldChar w:fldCharType="separate"/>
      </w:r>
      <w:r>
        <w:rPr>
          <w:noProof/>
        </w:rPr>
        <w:t>239</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5.8.3.2.5.3</w:t>
      </w:r>
      <w:r w:rsidRPr="00DD140B">
        <w:rPr>
          <w:rFonts w:ascii="Calibri" w:eastAsia="Malgun Gothic" w:hAnsi="Calibri"/>
          <w:noProof/>
          <w:sz w:val="22"/>
          <w:szCs w:val="22"/>
          <w:lang w:eastAsia="ko-KR"/>
        </w:rPr>
        <w:tab/>
      </w:r>
      <w:r>
        <w:rPr>
          <w:noProof/>
        </w:rPr>
        <w:t>Resource methods</w:t>
      </w:r>
      <w:r>
        <w:rPr>
          <w:noProof/>
        </w:rPr>
        <w:tab/>
      </w:r>
      <w:r>
        <w:rPr>
          <w:noProof/>
        </w:rPr>
        <w:fldChar w:fldCharType="begin" w:fldLock="1"/>
      </w:r>
      <w:r>
        <w:rPr>
          <w:noProof/>
        </w:rPr>
        <w:instrText xml:space="preserve"> PAGEREF _Toc153625613 \h </w:instrText>
      </w:r>
      <w:r>
        <w:rPr>
          <w:noProof/>
        </w:rPr>
      </w:r>
      <w:r>
        <w:rPr>
          <w:noProof/>
        </w:rPr>
        <w:fldChar w:fldCharType="separate"/>
      </w:r>
      <w:r>
        <w:rPr>
          <w:noProof/>
        </w:rPr>
        <w:t>239</w:t>
      </w:r>
      <w:r>
        <w:rPr>
          <w:noProof/>
        </w:rPr>
        <w:fldChar w:fldCharType="end"/>
      </w:r>
    </w:p>
    <w:p w:rsidR="007D56C6" w:rsidRPr="00DD140B" w:rsidRDefault="007D56C6">
      <w:pPr>
        <w:pStyle w:val="TOC7"/>
        <w:rPr>
          <w:rFonts w:ascii="Calibri" w:eastAsia="Malgun Gothic" w:hAnsi="Calibri"/>
          <w:noProof/>
          <w:sz w:val="22"/>
          <w:szCs w:val="22"/>
          <w:lang w:eastAsia="ko-KR"/>
        </w:rPr>
      </w:pPr>
      <w:r>
        <w:rPr>
          <w:noProof/>
        </w:rPr>
        <w:t>5.8.3.2.5.3.1</w:t>
      </w:r>
      <w:r w:rsidRPr="00DD140B">
        <w:rPr>
          <w:rFonts w:ascii="Calibri" w:eastAsia="Malgun Gothic" w:hAnsi="Calibri"/>
          <w:noProof/>
          <w:sz w:val="22"/>
          <w:szCs w:val="22"/>
          <w:lang w:eastAsia="ko-KR"/>
        </w:rPr>
        <w:tab/>
      </w:r>
      <w:r>
        <w:rPr>
          <w:noProof/>
        </w:rPr>
        <w:t>GET</w:t>
      </w:r>
      <w:r>
        <w:rPr>
          <w:noProof/>
        </w:rPr>
        <w:tab/>
      </w:r>
      <w:r>
        <w:rPr>
          <w:noProof/>
        </w:rPr>
        <w:fldChar w:fldCharType="begin" w:fldLock="1"/>
      </w:r>
      <w:r>
        <w:rPr>
          <w:noProof/>
        </w:rPr>
        <w:instrText xml:space="preserve"> PAGEREF _Toc153625614 \h </w:instrText>
      </w:r>
      <w:r>
        <w:rPr>
          <w:noProof/>
        </w:rPr>
      </w:r>
      <w:r>
        <w:rPr>
          <w:noProof/>
        </w:rPr>
        <w:fldChar w:fldCharType="separate"/>
      </w:r>
      <w:r>
        <w:rPr>
          <w:noProof/>
        </w:rPr>
        <w:t>239</w:t>
      </w:r>
      <w:r>
        <w:rPr>
          <w:noProof/>
        </w:rPr>
        <w:fldChar w:fldCharType="end"/>
      </w:r>
    </w:p>
    <w:p w:rsidR="007D56C6" w:rsidRPr="00DD140B" w:rsidRDefault="007D56C6">
      <w:pPr>
        <w:pStyle w:val="TOC7"/>
        <w:rPr>
          <w:rFonts w:ascii="Calibri" w:eastAsia="Malgun Gothic" w:hAnsi="Calibri"/>
          <w:noProof/>
          <w:sz w:val="22"/>
          <w:szCs w:val="22"/>
          <w:lang w:eastAsia="ko-KR"/>
        </w:rPr>
      </w:pPr>
      <w:r>
        <w:rPr>
          <w:noProof/>
        </w:rPr>
        <w:t>5.8.3.2.5.3.2</w:t>
      </w:r>
      <w:r w:rsidRPr="00DD140B">
        <w:rPr>
          <w:rFonts w:ascii="Calibri" w:eastAsia="Malgun Gothic" w:hAnsi="Calibri"/>
          <w:noProof/>
          <w:sz w:val="22"/>
          <w:szCs w:val="22"/>
          <w:lang w:eastAsia="ko-KR"/>
        </w:rPr>
        <w:tab/>
      </w:r>
      <w:r>
        <w:rPr>
          <w:noProof/>
        </w:rPr>
        <w:t>PUT</w:t>
      </w:r>
      <w:r>
        <w:rPr>
          <w:noProof/>
        </w:rPr>
        <w:tab/>
      </w:r>
      <w:r>
        <w:rPr>
          <w:noProof/>
        </w:rPr>
        <w:fldChar w:fldCharType="begin" w:fldLock="1"/>
      </w:r>
      <w:r>
        <w:rPr>
          <w:noProof/>
        </w:rPr>
        <w:instrText xml:space="preserve"> PAGEREF _Toc153625615 \h </w:instrText>
      </w:r>
      <w:r>
        <w:rPr>
          <w:noProof/>
        </w:rPr>
      </w:r>
      <w:r>
        <w:rPr>
          <w:noProof/>
        </w:rPr>
        <w:fldChar w:fldCharType="separate"/>
      </w:r>
      <w:r>
        <w:rPr>
          <w:noProof/>
        </w:rPr>
        <w:t>240</w:t>
      </w:r>
      <w:r>
        <w:rPr>
          <w:noProof/>
        </w:rPr>
        <w:fldChar w:fldCharType="end"/>
      </w:r>
    </w:p>
    <w:p w:rsidR="007D56C6" w:rsidRPr="00DD140B" w:rsidRDefault="007D56C6">
      <w:pPr>
        <w:pStyle w:val="TOC7"/>
        <w:rPr>
          <w:rFonts w:ascii="Calibri" w:eastAsia="Malgun Gothic" w:hAnsi="Calibri"/>
          <w:noProof/>
          <w:sz w:val="22"/>
          <w:szCs w:val="22"/>
          <w:lang w:eastAsia="ko-KR"/>
        </w:rPr>
      </w:pPr>
      <w:r>
        <w:rPr>
          <w:noProof/>
        </w:rPr>
        <w:t>5.8.3.2.5.3.3</w:t>
      </w:r>
      <w:r w:rsidRPr="00DD140B">
        <w:rPr>
          <w:rFonts w:ascii="Calibri" w:eastAsia="Malgun Gothic" w:hAnsi="Calibri"/>
          <w:noProof/>
          <w:sz w:val="22"/>
          <w:szCs w:val="22"/>
          <w:lang w:eastAsia="ko-KR"/>
        </w:rPr>
        <w:tab/>
      </w:r>
      <w:r>
        <w:rPr>
          <w:noProof/>
        </w:rPr>
        <w:t>PATCH</w:t>
      </w:r>
      <w:r>
        <w:rPr>
          <w:noProof/>
        </w:rPr>
        <w:tab/>
      </w:r>
      <w:r>
        <w:rPr>
          <w:noProof/>
        </w:rPr>
        <w:fldChar w:fldCharType="begin" w:fldLock="1"/>
      </w:r>
      <w:r>
        <w:rPr>
          <w:noProof/>
        </w:rPr>
        <w:instrText xml:space="preserve"> PAGEREF _Toc153625616 \h </w:instrText>
      </w:r>
      <w:r>
        <w:rPr>
          <w:noProof/>
        </w:rPr>
      </w:r>
      <w:r>
        <w:rPr>
          <w:noProof/>
        </w:rPr>
        <w:fldChar w:fldCharType="separate"/>
      </w:r>
      <w:r>
        <w:rPr>
          <w:noProof/>
        </w:rPr>
        <w:t>241</w:t>
      </w:r>
      <w:r>
        <w:rPr>
          <w:noProof/>
        </w:rPr>
        <w:fldChar w:fldCharType="end"/>
      </w:r>
    </w:p>
    <w:p w:rsidR="007D56C6" w:rsidRPr="00DD140B" w:rsidRDefault="007D56C6">
      <w:pPr>
        <w:pStyle w:val="TOC7"/>
        <w:rPr>
          <w:rFonts w:ascii="Calibri" w:eastAsia="Malgun Gothic" w:hAnsi="Calibri"/>
          <w:noProof/>
          <w:sz w:val="22"/>
          <w:szCs w:val="22"/>
          <w:lang w:eastAsia="ko-KR"/>
        </w:rPr>
      </w:pPr>
      <w:r>
        <w:rPr>
          <w:noProof/>
        </w:rPr>
        <w:t>5.8.3.2.5.3.4</w:t>
      </w:r>
      <w:r w:rsidRPr="00DD140B">
        <w:rPr>
          <w:rFonts w:ascii="Calibri" w:eastAsia="Malgun Gothic" w:hAnsi="Calibri"/>
          <w:noProof/>
          <w:sz w:val="22"/>
          <w:szCs w:val="22"/>
          <w:lang w:eastAsia="ko-KR"/>
        </w:rPr>
        <w:tab/>
      </w:r>
      <w:r>
        <w:rPr>
          <w:noProof/>
        </w:rPr>
        <w:t>POST</w:t>
      </w:r>
      <w:r>
        <w:rPr>
          <w:noProof/>
        </w:rPr>
        <w:tab/>
      </w:r>
      <w:r>
        <w:rPr>
          <w:noProof/>
        </w:rPr>
        <w:fldChar w:fldCharType="begin" w:fldLock="1"/>
      </w:r>
      <w:r>
        <w:rPr>
          <w:noProof/>
        </w:rPr>
        <w:instrText xml:space="preserve"> PAGEREF _Toc153625617 \h </w:instrText>
      </w:r>
      <w:r>
        <w:rPr>
          <w:noProof/>
        </w:rPr>
      </w:r>
      <w:r>
        <w:rPr>
          <w:noProof/>
        </w:rPr>
        <w:fldChar w:fldCharType="separate"/>
      </w:r>
      <w:r>
        <w:rPr>
          <w:noProof/>
        </w:rPr>
        <w:t>242</w:t>
      </w:r>
      <w:r>
        <w:rPr>
          <w:noProof/>
        </w:rPr>
        <w:fldChar w:fldCharType="end"/>
      </w:r>
    </w:p>
    <w:p w:rsidR="007D56C6" w:rsidRPr="00DD140B" w:rsidRDefault="007D56C6">
      <w:pPr>
        <w:pStyle w:val="TOC7"/>
        <w:rPr>
          <w:rFonts w:ascii="Calibri" w:eastAsia="Malgun Gothic" w:hAnsi="Calibri"/>
          <w:noProof/>
          <w:sz w:val="22"/>
          <w:szCs w:val="22"/>
          <w:lang w:eastAsia="ko-KR"/>
        </w:rPr>
      </w:pPr>
      <w:r>
        <w:rPr>
          <w:noProof/>
        </w:rPr>
        <w:t>5.8.3.2.5.3.5</w:t>
      </w:r>
      <w:r w:rsidRPr="00DD140B">
        <w:rPr>
          <w:rFonts w:ascii="Calibri" w:eastAsia="Malgun Gothic" w:hAnsi="Calibri"/>
          <w:noProof/>
          <w:sz w:val="22"/>
          <w:szCs w:val="22"/>
          <w:lang w:eastAsia="ko-KR"/>
        </w:rPr>
        <w:tab/>
      </w:r>
      <w:r>
        <w:rPr>
          <w:noProof/>
        </w:rPr>
        <w:t>DELETE</w:t>
      </w:r>
      <w:r>
        <w:rPr>
          <w:noProof/>
        </w:rPr>
        <w:tab/>
      </w:r>
      <w:r>
        <w:rPr>
          <w:noProof/>
        </w:rPr>
        <w:fldChar w:fldCharType="begin" w:fldLock="1"/>
      </w:r>
      <w:r>
        <w:rPr>
          <w:noProof/>
        </w:rPr>
        <w:instrText xml:space="preserve"> PAGEREF _Toc153625618 \h </w:instrText>
      </w:r>
      <w:r>
        <w:rPr>
          <w:noProof/>
        </w:rPr>
      </w:r>
      <w:r>
        <w:rPr>
          <w:noProof/>
        </w:rPr>
        <w:fldChar w:fldCharType="separate"/>
      </w:r>
      <w:r>
        <w:rPr>
          <w:noProof/>
        </w:rPr>
        <w:t>242</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5.8.3.2.6</w:t>
      </w:r>
      <w:r w:rsidRPr="00DD140B">
        <w:rPr>
          <w:rFonts w:ascii="Calibri" w:eastAsia="Malgun Gothic" w:hAnsi="Calibri"/>
          <w:noProof/>
          <w:sz w:val="22"/>
          <w:szCs w:val="22"/>
          <w:lang w:eastAsia="ko-KR"/>
        </w:rPr>
        <w:tab/>
      </w:r>
      <w:r>
        <w:rPr>
          <w:noProof/>
        </w:rPr>
        <w:t>Void</w:t>
      </w:r>
      <w:r>
        <w:rPr>
          <w:noProof/>
        </w:rPr>
        <w:tab/>
      </w:r>
      <w:r>
        <w:rPr>
          <w:noProof/>
        </w:rPr>
        <w:fldChar w:fldCharType="begin" w:fldLock="1"/>
      </w:r>
      <w:r>
        <w:rPr>
          <w:noProof/>
        </w:rPr>
        <w:instrText xml:space="preserve"> PAGEREF _Toc153625619 \h </w:instrText>
      </w:r>
      <w:r>
        <w:rPr>
          <w:noProof/>
        </w:rPr>
      </w:r>
      <w:r>
        <w:rPr>
          <w:noProof/>
        </w:rPr>
        <w:fldChar w:fldCharType="separate"/>
      </w:r>
      <w:r>
        <w:rPr>
          <w:noProof/>
        </w:rPr>
        <w:t>243</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5.8.3.2A</w:t>
      </w:r>
      <w:r w:rsidRPr="00DD140B">
        <w:rPr>
          <w:rFonts w:ascii="Calibri" w:eastAsia="Malgun Gothic" w:hAnsi="Calibri"/>
          <w:noProof/>
          <w:sz w:val="22"/>
          <w:szCs w:val="22"/>
          <w:lang w:eastAsia="ko-KR"/>
        </w:rPr>
        <w:tab/>
      </w:r>
      <w:r>
        <w:rPr>
          <w:noProof/>
        </w:rPr>
        <w:t>Notifications</w:t>
      </w:r>
      <w:r>
        <w:rPr>
          <w:noProof/>
        </w:rPr>
        <w:tab/>
      </w:r>
      <w:r>
        <w:rPr>
          <w:noProof/>
        </w:rPr>
        <w:fldChar w:fldCharType="begin" w:fldLock="1"/>
      </w:r>
      <w:r>
        <w:rPr>
          <w:noProof/>
        </w:rPr>
        <w:instrText xml:space="preserve"> PAGEREF _Toc153625620 \h </w:instrText>
      </w:r>
      <w:r>
        <w:rPr>
          <w:noProof/>
        </w:rPr>
      </w:r>
      <w:r>
        <w:rPr>
          <w:noProof/>
        </w:rPr>
        <w:fldChar w:fldCharType="separate"/>
      </w:r>
      <w:r>
        <w:rPr>
          <w:noProof/>
        </w:rPr>
        <w:t>243</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5.8.3.2A.1</w:t>
      </w:r>
      <w:r w:rsidRPr="00DD140B">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_Toc153625621 \h </w:instrText>
      </w:r>
      <w:r>
        <w:rPr>
          <w:noProof/>
        </w:rPr>
      </w:r>
      <w:r>
        <w:rPr>
          <w:noProof/>
        </w:rPr>
        <w:fldChar w:fldCharType="separate"/>
      </w:r>
      <w:r>
        <w:rPr>
          <w:noProof/>
        </w:rPr>
        <w:t>243</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5.8.3.2A.2</w:t>
      </w:r>
      <w:r w:rsidRPr="00DD140B">
        <w:rPr>
          <w:rFonts w:ascii="Calibri" w:eastAsia="Malgun Gothic" w:hAnsi="Calibri"/>
          <w:noProof/>
          <w:sz w:val="22"/>
          <w:szCs w:val="22"/>
          <w:lang w:eastAsia="ko-KR"/>
        </w:rPr>
        <w:tab/>
      </w:r>
      <w:r>
        <w:rPr>
          <w:noProof/>
        </w:rPr>
        <w:t>GMD via MBMS by xMB Notification</w:t>
      </w:r>
      <w:r>
        <w:rPr>
          <w:noProof/>
        </w:rPr>
        <w:tab/>
      </w:r>
      <w:r>
        <w:rPr>
          <w:noProof/>
        </w:rPr>
        <w:fldChar w:fldCharType="begin" w:fldLock="1"/>
      </w:r>
      <w:r>
        <w:rPr>
          <w:noProof/>
        </w:rPr>
        <w:instrText xml:space="preserve"> PAGEREF _Toc153625622 \h </w:instrText>
      </w:r>
      <w:r>
        <w:rPr>
          <w:noProof/>
        </w:rPr>
      </w:r>
      <w:r>
        <w:rPr>
          <w:noProof/>
        </w:rPr>
        <w:fldChar w:fldCharType="separate"/>
      </w:r>
      <w:r>
        <w:rPr>
          <w:noProof/>
        </w:rPr>
        <w:t>244</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5.8.3.2A.2.1</w:t>
      </w:r>
      <w:r w:rsidRPr="00DD140B">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_Toc153625623 \h </w:instrText>
      </w:r>
      <w:r>
        <w:rPr>
          <w:noProof/>
        </w:rPr>
      </w:r>
      <w:r>
        <w:rPr>
          <w:noProof/>
        </w:rPr>
        <w:fldChar w:fldCharType="separate"/>
      </w:r>
      <w:r>
        <w:rPr>
          <w:noProof/>
        </w:rPr>
        <w:t>244</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5.8.3.2A.2.2</w:t>
      </w:r>
      <w:r w:rsidRPr="00DD140B">
        <w:rPr>
          <w:rFonts w:ascii="Calibri" w:eastAsia="Malgun Gothic" w:hAnsi="Calibri"/>
          <w:noProof/>
          <w:sz w:val="22"/>
          <w:szCs w:val="22"/>
          <w:lang w:eastAsia="ko-KR"/>
        </w:rPr>
        <w:tab/>
      </w:r>
      <w:r>
        <w:rPr>
          <w:noProof/>
        </w:rPr>
        <w:t>Target URI</w:t>
      </w:r>
      <w:r>
        <w:rPr>
          <w:noProof/>
        </w:rPr>
        <w:tab/>
      </w:r>
      <w:r>
        <w:rPr>
          <w:noProof/>
        </w:rPr>
        <w:fldChar w:fldCharType="begin" w:fldLock="1"/>
      </w:r>
      <w:r>
        <w:rPr>
          <w:noProof/>
        </w:rPr>
        <w:instrText xml:space="preserve"> PAGEREF _Toc153625624 \h </w:instrText>
      </w:r>
      <w:r>
        <w:rPr>
          <w:noProof/>
        </w:rPr>
      </w:r>
      <w:r>
        <w:rPr>
          <w:noProof/>
        </w:rPr>
        <w:fldChar w:fldCharType="separate"/>
      </w:r>
      <w:r>
        <w:rPr>
          <w:noProof/>
        </w:rPr>
        <w:t>244</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5.8.3.2A.2.3</w:t>
      </w:r>
      <w:r w:rsidRPr="00DD140B">
        <w:rPr>
          <w:rFonts w:ascii="Calibri" w:eastAsia="Malgun Gothic" w:hAnsi="Calibri"/>
          <w:noProof/>
          <w:sz w:val="22"/>
          <w:szCs w:val="22"/>
          <w:lang w:eastAsia="ko-KR"/>
        </w:rPr>
        <w:tab/>
      </w:r>
      <w:r>
        <w:rPr>
          <w:noProof/>
        </w:rPr>
        <w:t>Standard Methods</w:t>
      </w:r>
      <w:r>
        <w:rPr>
          <w:noProof/>
        </w:rPr>
        <w:tab/>
      </w:r>
      <w:r>
        <w:rPr>
          <w:noProof/>
        </w:rPr>
        <w:fldChar w:fldCharType="begin" w:fldLock="1"/>
      </w:r>
      <w:r>
        <w:rPr>
          <w:noProof/>
        </w:rPr>
        <w:instrText xml:space="preserve"> PAGEREF _Toc153625625 \h </w:instrText>
      </w:r>
      <w:r>
        <w:rPr>
          <w:noProof/>
        </w:rPr>
      </w:r>
      <w:r>
        <w:rPr>
          <w:noProof/>
        </w:rPr>
        <w:fldChar w:fldCharType="separate"/>
      </w:r>
      <w:r>
        <w:rPr>
          <w:noProof/>
        </w:rPr>
        <w:t>244</w:t>
      </w:r>
      <w:r>
        <w:rPr>
          <w:noProof/>
        </w:rPr>
        <w:fldChar w:fldCharType="end"/>
      </w:r>
    </w:p>
    <w:p w:rsidR="007D56C6" w:rsidRPr="00DD140B" w:rsidRDefault="007D56C6">
      <w:pPr>
        <w:pStyle w:val="TOC7"/>
        <w:rPr>
          <w:rFonts w:ascii="Calibri" w:eastAsia="Malgun Gothic" w:hAnsi="Calibri"/>
          <w:noProof/>
          <w:sz w:val="22"/>
          <w:szCs w:val="22"/>
          <w:lang w:eastAsia="ko-KR"/>
        </w:rPr>
      </w:pPr>
      <w:r>
        <w:rPr>
          <w:noProof/>
        </w:rPr>
        <w:t>5.8.3.2A.2.3.1</w:t>
      </w:r>
      <w:r w:rsidRPr="00DD140B">
        <w:rPr>
          <w:rFonts w:ascii="Calibri" w:eastAsia="Malgun Gothic" w:hAnsi="Calibri"/>
          <w:noProof/>
          <w:sz w:val="22"/>
          <w:szCs w:val="22"/>
          <w:lang w:eastAsia="ko-KR"/>
        </w:rPr>
        <w:tab/>
      </w:r>
      <w:r>
        <w:rPr>
          <w:noProof/>
        </w:rPr>
        <w:t>Notification via POST</w:t>
      </w:r>
      <w:r>
        <w:rPr>
          <w:noProof/>
        </w:rPr>
        <w:tab/>
      </w:r>
      <w:r>
        <w:rPr>
          <w:noProof/>
        </w:rPr>
        <w:fldChar w:fldCharType="begin" w:fldLock="1"/>
      </w:r>
      <w:r>
        <w:rPr>
          <w:noProof/>
        </w:rPr>
        <w:instrText xml:space="preserve"> PAGEREF _Toc153625626 \h </w:instrText>
      </w:r>
      <w:r>
        <w:rPr>
          <w:noProof/>
        </w:rPr>
      </w:r>
      <w:r>
        <w:rPr>
          <w:noProof/>
        </w:rPr>
        <w:fldChar w:fldCharType="separate"/>
      </w:r>
      <w:r>
        <w:rPr>
          <w:noProof/>
        </w:rPr>
        <w:t>244</w:t>
      </w:r>
      <w:r>
        <w:rPr>
          <w:noProof/>
        </w:rPr>
        <w:fldChar w:fldCharType="end"/>
      </w:r>
    </w:p>
    <w:p w:rsidR="007D56C6" w:rsidRPr="00DD140B" w:rsidRDefault="007D56C6">
      <w:pPr>
        <w:pStyle w:val="TOC7"/>
        <w:rPr>
          <w:rFonts w:ascii="Calibri" w:eastAsia="Malgun Gothic" w:hAnsi="Calibri"/>
          <w:noProof/>
          <w:sz w:val="22"/>
          <w:szCs w:val="22"/>
          <w:lang w:eastAsia="ko-KR"/>
        </w:rPr>
      </w:pPr>
      <w:r>
        <w:rPr>
          <w:noProof/>
        </w:rPr>
        <w:t>5.8.3.2a.2.3.2</w:t>
      </w:r>
      <w:r w:rsidRPr="00DD140B">
        <w:rPr>
          <w:rFonts w:ascii="Calibri" w:eastAsia="Malgun Gothic" w:hAnsi="Calibri"/>
          <w:noProof/>
          <w:sz w:val="22"/>
          <w:szCs w:val="22"/>
          <w:lang w:eastAsia="ko-KR"/>
        </w:rPr>
        <w:tab/>
      </w:r>
      <w:r>
        <w:rPr>
          <w:noProof/>
        </w:rPr>
        <w:t>Notification via Websocket</w:t>
      </w:r>
      <w:r>
        <w:rPr>
          <w:noProof/>
        </w:rPr>
        <w:tab/>
      </w:r>
      <w:r>
        <w:rPr>
          <w:noProof/>
        </w:rPr>
        <w:fldChar w:fldCharType="begin" w:fldLock="1"/>
      </w:r>
      <w:r>
        <w:rPr>
          <w:noProof/>
        </w:rPr>
        <w:instrText xml:space="preserve"> PAGEREF _Toc153625627 \h </w:instrText>
      </w:r>
      <w:r>
        <w:rPr>
          <w:noProof/>
        </w:rPr>
      </w:r>
      <w:r>
        <w:rPr>
          <w:noProof/>
        </w:rPr>
        <w:fldChar w:fldCharType="separate"/>
      </w:r>
      <w:r>
        <w:rPr>
          <w:noProof/>
        </w:rPr>
        <w:t>245</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5.8.3.3</w:t>
      </w:r>
      <w:r w:rsidRPr="00DD140B">
        <w:rPr>
          <w:rFonts w:ascii="Calibri" w:eastAsia="Malgun Gothic" w:hAnsi="Calibri"/>
          <w:noProof/>
          <w:sz w:val="22"/>
          <w:szCs w:val="22"/>
          <w:lang w:eastAsia="ko-KR"/>
        </w:rPr>
        <w:tab/>
      </w:r>
      <w:r>
        <w:rPr>
          <w:noProof/>
        </w:rPr>
        <w:t>Used Features</w:t>
      </w:r>
      <w:r>
        <w:rPr>
          <w:noProof/>
        </w:rPr>
        <w:tab/>
      </w:r>
      <w:r>
        <w:rPr>
          <w:noProof/>
        </w:rPr>
        <w:fldChar w:fldCharType="begin" w:fldLock="1"/>
      </w:r>
      <w:r>
        <w:rPr>
          <w:noProof/>
        </w:rPr>
        <w:instrText xml:space="preserve"> PAGEREF _Toc153625628 \h </w:instrText>
      </w:r>
      <w:r>
        <w:rPr>
          <w:noProof/>
        </w:rPr>
      </w:r>
      <w:r>
        <w:rPr>
          <w:noProof/>
        </w:rPr>
        <w:fldChar w:fldCharType="separate"/>
      </w:r>
      <w:r>
        <w:rPr>
          <w:noProof/>
        </w:rPr>
        <w:t>245</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5.8.3.4</w:t>
      </w:r>
      <w:r w:rsidRPr="00DD140B">
        <w:rPr>
          <w:rFonts w:ascii="Calibri" w:eastAsia="Malgun Gothic" w:hAnsi="Calibri"/>
          <w:noProof/>
          <w:sz w:val="22"/>
          <w:szCs w:val="22"/>
          <w:lang w:eastAsia="ko-KR"/>
        </w:rPr>
        <w:tab/>
      </w:r>
      <w:r>
        <w:rPr>
          <w:noProof/>
        </w:rPr>
        <w:t>Error handling</w:t>
      </w:r>
      <w:r>
        <w:rPr>
          <w:noProof/>
        </w:rPr>
        <w:tab/>
      </w:r>
      <w:r>
        <w:rPr>
          <w:noProof/>
        </w:rPr>
        <w:fldChar w:fldCharType="begin" w:fldLock="1"/>
      </w:r>
      <w:r>
        <w:rPr>
          <w:noProof/>
        </w:rPr>
        <w:instrText xml:space="preserve"> PAGEREF _Toc153625629 \h </w:instrText>
      </w:r>
      <w:r>
        <w:rPr>
          <w:noProof/>
        </w:rPr>
      </w:r>
      <w:r>
        <w:rPr>
          <w:noProof/>
        </w:rPr>
        <w:fldChar w:fldCharType="separate"/>
      </w:r>
      <w:r>
        <w:rPr>
          <w:noProof/>
        </w:rPr>
        <w:t>245</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5.8.3.4.1</w:t>
      </w:r>
      <w:r w:rsidRPr="00DD140B">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_Toc153625630 \h </w:instrText>
      </w:r>
      <w:r>
        <w:rPr>
          <w:noProof/>
        </w:rPr>
      </w:r>
      <w:r>
        <w:rPr>
          <w:noProof/>
        </w:rPr>
        <w:fldChar w:fldCharType="separate"/>
      </w:r>
      <w:r>
        <w:rPr>
          <w:noProof/>
        </w:rPr>
        <w:t>245</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5.8.3.4.2</w:t>
      </w:r>
      <w:r w:rsidRPr="00DD140B">
        <w:rPr>
          <w:rFonts w:ascii="Calibri" w:eastAsia="Malgun Gothic" w:hAnsi="Calibri"/>
          <w:noProof/>
          <w:sz w:val="22"/>
          <w:szCs w:val="22"/>
          <w:lang w:eastAsia="ko-KR"/>
        </w:rPr>
        <w:tab/>
      </w:r>
      <w:r>
        <w:rPr>
          <w:noProof/>
        </w:rPr>
        <w:t>Protocol Errors</w:t>
      </w:r>
      <w:r>
        <w:rPr>
          <w:noProof/>
        </w:rPr>
        <w:tab/>
      </w:r>
      <w:r>
        <w:rPr>
          <w:noProof/>
        </w:rPr>
        <w:fldChar w:fldCharType="begin" w:fldLock="1"/>
      </w:r>
      <w:r>
        <w:rPr>
          <w:noProof/>
        </w:rPr>
        <w:instrText xml:space="preserve"> PAGEREF _Toc153625631 \h </w:instrText>
      </w:r>
      <w:r>
        <w:rPr>
          <w:noProof/>
        </w:rPr>
      </w:r>
      <w:r>
        <w:rPr>
          <w:noProof/>
        </w:rPr>
        <w:fldChar w:fldCharType="separate"/>
      </w:r>
      <w:r>
        <w:rPr>
          <w:noProof/>
        </w:rPr>
        <w:t>245</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5.8.3.4.3</w:t>
      </w:r>
      <w:r w:rsidRPr="00DD140B">
        <w:rPr>
          <w:rFonts w:ascii="Calibri" w:eastAsia="Malgun Gothic" w:hAnsi="Calibri"/>
          <w:noProof/>
          <w:sz w:val="22"/>
          <w:szCs w:val="22"/>
          <w:lang w:eastAsia="ko-KR"/>
        </w:rPr>
        <w:tab/>
      </w:r>
      <w:r>
        <w:rPr>
          <w:noProof/>
        </w:rPr>
        <w:t>Application Errors</w:t>
      </w:r>
      <w:r>
        <w:rPr>
          <w:noProof/>
        </w:rPr>
        <w:tab/>
      </w:r>
      <w:r>
        <w:rPr>
          <w:noProof/>
        </w:rPr>
        <w:fldChar w:fldCharType="begin" w:fldLock="1"/>
      </w:r>
      <w:r>
        <w:rPr>
          <w:noProof/>
        </w:rPr>
        <w:instrText xml:space="preserve"> PAGEREF _Toc153625632 \h </w:instrText>
      </w:r>
      <w:r>
        <w:rPr>
          <w:noProof/>
        </w:rPr>
      </w:r>
      <w:r>
        <w:rPr>
          <w:noProof/>
        </w:rPr>
        <w:fldChar w:fldCharType="separate"/>
      </w:r>
      <w:r>
        <w:rPr>
          <w:noProof/>
        </w:rPr>
        <w:t>245</w:t>
      </w:r>
      <w:r>
        <w:rPr>
          <w:noProof/>
        </w:rPr>
        <w:fldChar w:fldCharType="end"/>
      </w:r>
    </w:p>
    <w:p w:rsidR="007D56C6" w:rsidRPr="00DD140B" w:rsidRDefault="007D56C6">
      <w:pPr>
        <w:pStyle w:val="TOC2"/>
        <w:rPr>
          <w:rFonts w:ascii="Calibri" w:eastAsia="Malgun Gothic" w:hAnsi="Calibri"/>
          <w:noProof/>
          <w:sz w:val="22"/>
          <w:szCs w:val="22"/>
          <w:lang w:eastAsia="ko-KR"/>
        </w:rPr>
      </w:pPr>
      <w:r>
        <w:rPr>
          <w:noProof/>
        </w:rPr>
        <w:t>5.9</w:t>
      </w:r>
      <w:r w:rsidRPr="00DD140B">
        <w:rPr>
          <w:rFonts w:ascii="Calibri" w:eastAsia="Malgun Gothic" w:hAnsi="Calibri"/>
          <w:noProof/>
          <w:sz w:val="22"/>
          <w:szCs w:val="22"/>
          <w:lang w:eastAsia="ko-KR"/>
        </w:rPr>
        <w:tab/>
      </w:r>
      <w:r>
        <w:rPr>
          <w:noProof/>
        </w:rPr>
        <w:t>ReportingNetworkStatus API</w:t>
      </w:r>
      <w:r>
        <w:rPr>
          <w:noProof/>
        </w:rPr>
        <w:tab/>
      </w:r>
      <w:r>
        <w:rPr>
          <w:noProof/>
        </w:rPr>
        <w:fldChar w:fldCharType="begin" w:fldLock="1"/>
      </w:r>
      <w:r>
        <w:rPr>
          <w:noProof/>
        </w:rPr>
        <w:instrText xml:space="preserve"> PAGEREF _Toc153625633 \h </w:instrText>
      </w:r>
      <w:r>
        <w:rPr>
          <w:noProof/>
        </w:rPr>
      </w:r>
      <w:r>
        <w:rPr>
          <w:noProof/>
        </w:rPr>
        <w:fldChar w:fldCharType="separate"/>
      </w:r>
      <w:r>
        <w:rPr>
          <w:noProof/>
        </w:rPr>
        <w:t>246</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5.9.1</w:t>
      </w:r>
      <w:r w:rsidRPr="00DD140B">
        <w:rPr>
          <w:rFonts w:ascii="Calibri" w:eastAsia="Malgun Gothic" w:hAnsi="Calibri"/>
          <w:noProof/>
          <w:sz w:val="22"/>
          <w:szCs w:val="22"/>
          <w:lang w:eastAsia="ko-KR"/>
        </w:rPr>
        <w:tab/>
      </w:r>
      <w:r>
        <w:rPr>
          <w:noProof/>
        </w:rPr>
        <w:t>Overview</w:t>
      </w:r>
      <w:r>
        <w:rPr>
          <w:noProof/>
        </w:rPr>
        <w:tab/>
      </w:r>
      <w:r>
        <w:rPr>
          <w:noProof/>
        </w:rPr>
        <w:fldChar w:fldCharType="begin" w:fldLock="1"/>
      </w:r>
      <w:r>
        <w:rPr>
          <w:noProof/>
        </w:rPr>
        <w:instrText xml:space="preserve"> PAGEREF _Toc153625634 \h </w:instrText>
      </w:r>
      <w:r>
        <w:rPr>
          <w:noProof/>
        </w:rPr>
      </w:r>
      <w:r>
        <w:rPr>
          <w:noProof/>
        </w:rPr>
        <w:fldChar w:fldCharType="separate"/>
      </w:r>
      <w:r>
        <w:rPr>
          <w:noProof/>
        </w:rPr>
        <w:t>246</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5.9.2</w:t>
      </w:r>
      <w:r w:rsidRPr="00DD140B">
        <w:rPr>
          <w:rFonts w:ascii="Calibri" w:eastAsia="Malgun Gothic" w:hAnsi="Calibri"/>
          <w:noProof/>
          <w:sz w:val="22"/>
          <w:szCs w:val="22"/>
          <w:lang w:eastAsia="ko-KR"/>
        </w:rPr>
        <w:tab/>
      </w:r>
      <w:r>
        <w:rPr>
          <w:noProof/>
        </w:rPr>
        <w:t>Data model</w:t>
      </w:r>
      <w:r>
        <w:rPr>
          <w:noProof/>
        </w:rPr>
        <w:tab/>
      </w:r>
      <w:r>
        <w:rPr>
          <w:noProof/>
        </w:rPr>
        <w:fldChar w:fldCharType="begin" w:fldLock="1"/>
      </w:r>
      <w:r>
        <w:rPr>
          <w:noProof/>
        </w:rPr>
        <w:instrText xml:space="preserve"> PAGEREF _Toc153625635 \h </w:instrText>
      </w:r>
      <w:r>
        <w:rPr>
          <w:noProof/>
        </w:rPr>
      </w:r>
      <w:r>
        <w:rPr>
          <w:noProof/>
        </w:rPr>
        <w:fldChar w:fldCharType="separate"/>
      </w:r>
      <w:r>
        <w:rPr>
          <w:noProof/>
        </w:rPr>
        <w:t>246</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5.9.2.1</w:t>
      </w:r>
      <w:r w:rsidRPr="00DD140B">
        <w:rPr>
          <w:rFonts w:ascii="Calibri" w:eastAsia="Malgun Gothic" w:hAnsi="Calibri"/>
          <w:noProof/>
          <w:sz w:val="22"/>
          <w:szCs w:val="22"/>
          <w:lang w:eastAsia="ko-KR"/>
        </w:rPr>
        <w:tab/>
      </w:r>
      <w:r>
        <w:rPr>
          <w:noProof/>
        </w:rPr>
        <w:t>Resource data types</w:t>
      </w:r>
      <w:r>
        <w:rPr>
          <w:noProof/>
        </w:rPr>
        <w:tab/>
      </w:r>
      <w:r>
        <w:rPr>
          <w:noProof/>
        </w:rPr>
        <w:fldChar w:fldCharType="begin" w:fldLock="1"/>
      </w:r>
      <w:r>
        <w:rPr>
          <w:noProof/>
        </w:rPr>
        <w:instrText xml:space="preserve"> PAGEREF _Toc153625636 \h </w:instrText>
      </w:r>
      <w:r>
        <w:rPr>
          <w:noProof/>
        </w:rPr>
      </w:r>
      <w:r>
        <w:rPr>
          <w:noProof/>
        </w:rPr>
        <w:fldChar w:fldCharType="separate"/>
      </w:r>
      <w:r>
        <w:rPr>
          <w:noProof/>
        </w:rPr>
        <w:t>246</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5.9.2.1.1</w:t>
      </w:r>
      <w:r w:rsidRPr="00DD140B">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_Toc153625637 \h </w:instrText>
      </w:r>
      <w:r>
        <w:rPr>
          <w:noProof/>
        </w:rPr>
      </w:r>
      <w:r>
        <w:rPr>
          <w:noProof/>
        </w:rPr>
        <w:fldChar w:fldCharType="separate"/>
      </w:r>
      <w:r>
        <w:rPr>
          <w:noProof/>
        </w:rPr>
        <w:t>246</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5.9.2.1.2</w:t>
      </w:r>
      <w:r w:rsidRPr="00DD140B">
        <w:rPr>
          <w:rFonts w:ascii="Calibri" w:eastAsia="Malgun Gothic" w:hAnsi="Calibri"/>
          <w:noProof/>
          <w:sz w:val="22"/>
          <w:szCs w:val="22"/>
          <w:lang w:eastAsia="ko-KR"/>
        </w:rPr>
        <w:tab/>
      </w:r>
      <w:r>
        <w:rPr>
          <w:noProof/>
        </w:rPr>
        <w:t>Type: NetworkStatusReportingSubscription</w:t>
      </w:r>
      <w:r>
        <w:rPr>
          <w:noProof/>
        </w:rPr>
        <w:tab/>
      </w:r>
      <w:r>
        <w:rPr>
          <w:noProof/>
        </w:rPr>
        <w:fldChar w:fldCharType="begin" w:fldLock="1"/>
      </w:r>
      <w:r>
        <w:rPr>
          <w:noProof/>
        </w:rPr>
        <w:instrText xml:space="preserve"> PAGEREF _Toc153625638 \h </w:instrText>
      </w:r>
      <w:r>
        <w:rPr>
          <w:noProof/>
        </w:rPr>
      </w:r>
      <w:r>
        <w:rPr>
          <w:noProof/>
        </w:rPr>
        <w:fldChar w:fldCharType="separate"/>
      </w:r>
      <w:r>
        <w:rPr>
          <w:noProof/>
        </w:rPr>
        <w:t>246</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5.9.2.1.3</w:t>
      </w:r>
      <w:r w:rsidRPr="00DD140B">
        <w:rPr>
          <w:rFonts w:ascii="Calibri" w:eastAsia="Malgun Gothic" w:hAnsi="Calibri"/>
          <w:noProof/>
          <w:sz w:val="22"/>
          <w:szCs w:val="22"/>
          <w:lang w:eastAsia="ko-KR"/>
        </w:rPr>
        <w:tab/>
      </w:r>
      <w:r>
        <w:rPr>
          <w:noProof/>
        </w:rPr>
        <w:t>Type: NetStatusRepSubsPatch</w:t>
      </w:r>
      <w:r>
        <w:rPr>
          <w:noProof/>
        </w:rPr>
        <w:tab/>
      </w:r>
      <w:r>
        <w:rPr>
          <w:noProof/>
        </w:rPr>
        <w:fldChar w:fldCharType="begin" w:fldLock="1"/>
      </w:r>
      <w:r>
        <w:rPr>
          <w:noProof/>
        </w:rPr>
        <w:instrText xml:space="preserve"> PAGEREF _Toc153625639 \h </w:instrText>
      </w:r>
      <w:r>
        <w:rPr>
          <w:noProof/>
        </w:rPr>
      </w:r>
      <w:r>
        <w:rPr>
          <w:noProof/>
        </w:rPr>
        <w:fldChar w:fldCharType="separate"/>
      </w:r>
      <w:r>
        <w:rPr>
          <w:noProof/>
        </w:rPr>
        <w:t>247</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lang w:eastAsia="ja-JP"/>
        </w:rPr>
        <w:t>5.9.2.2</w:t>
      </w:r>
      <w:r w:rsidRPr="00DD140B">
        <w:rPr>
          <w:rFonts w:ascii="Calibri" w:eastAsia="Malgun Gothic" w:hAnsi="Calibri"/>
          <w:noProof/>
          <w:sz w:val="22"/>
          <w:szCs w:val="22"/>
          <w:lang w:eastAsia="ko-KR"/>
        </w:rPr>
        <w:tab/>
      </w:r>
      <w:r>
        <w:rPr>
          <w:noProof/>
          <w:lang w:eastAsia="ja-JP"/>
        </w:rPr>
        <w:t>Notification data types</w:t>
      </w:r>
      <w:r>
        <w:rPr>
          <w:noProof/>
        </w:rPr>
        <w:tab/>
      </w:r>
      <w:r>
        <w:rPr>
          <w:noProof/>
        </w:rPr>
        <w:fldChar w:fldCharType="begin" w:fldLock="1"/>
      </w:r>
      <w:r>
        <w:rPr>
          <w:noProof/>
        </w:rPr>
        <w:instrText xml:space="preserve"> PAGEREF _Toc153625640 \h </w:instrText>
      </w:r>
      <w:r>
        <w:rPr>
          <w:noProof/>
        </w:rPr>
      </w:r>
      <w:r>
        <w:rPr>
          <w:noProof/>
        </w:rPr>
        <w:fldChar w:fldCharType="separate"/>
      </w:r>
      <w:r>
        <w:rPr>
          <w:noProof/>
        </w:rPr>
        <w:t>248</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5.9.2.2.1</w:t>
      </w:r>
      <w:r w:rsidRPr="00DD140B">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_Toc153625641 \h </w:instrText>
      </w:r>
      <w:r>
        <w:rPr>
          <w:noProof/>
        </w:rPr>
      </w:r>
      <w:r>
        <w:rPr>
          <w:noProof/>
        </w:rPr>
        <w:fldChar w:fldCharType="separate"/>
      </w:r>
      <w:r>
        <w:rPr>
          <w:noProof/>
        </w:rPr>
        <w:t>248</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5.9.2.2.2</w:t>
      </w:r>
      <w:r w:rsidRPr="00DD140B">
        <w:rPr>
          <w:rFonts w:ascii="Calibri" w:eastAsia="Malgun Gothic" w:hAnsi="Calibri"/>
          <w:noProof/>
          <w:sz w:val="22"/>
          <w:szCs w:val="22"/>
          <w:lang w:eastAsia="ko-KR"/>
        </w:rPr>
        <w:tab/>
      </w:r>
      <w:r>
        <w:rPr>
          <w:noProof/>
        </w:rPr>
        <w:t>Type: NetworkStatusReportingNotification</w:t>
      </w:r>
      <w:r>
        <w:rPr>
          <w:noProof/>
        </w:rPr>
        <w:tab/>
      </w:r>
      <w:r>
        <w:rPr>
          <w:noProof/>
        </w:rPr>
        <w:fldChar w:fldCharType="begin" w:fldLock="1"/>
      </w:r>
      <w:r>
        <w:rPr>
          <w:noProof/>
        </w:rPr>
        <w:instrText xml:space="preserve"> PAGEREF _Toc153625642 \h </w:instrText>
      </w:r>
      <w:r>
        <w:rPr>
          <w:noProof/>
        </w:rPr>
      </w:r>
      <w:r>
        <w:rPr>
          <w:noProof/>
        </w:rPr>
        <w:fldChar w:fldCharType="separate"/>
      </w:r>
      <w:r>
        <w:rPr>
          <w:noProof/>
        </w:rPr>
        <w:t>248</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5.9.2.3</w:t>
      </w:r>
      <w:r w:rsidRPr="00DD140B">
        <w:rPr>
          <w:rFonts w:ascii="Calibri" w:eastAsia="Malgun Gothic" w:hAnsi="Calibri"/>
          <w:noProof/>
          <w:sz w:val="22"/>
          <w:szCs w:val="22"/>
          <w:lang w:eastAsia="ko-KR"/>
        </w:rPr>
        <w:tab/>
      </w:r>
      <w:r>
        <w:rPr>
          <w:noProof/>
        </w:rPr>
        <w:t>Referenced simple data types and enumerations</w:t>
      </w:r>
      <w:r>
        <w:rPr>
          <w:noProof/>
        </w:rPr>
        <w:tab/>
      </w:r>
      <w:r>
        <w:rPr>
          <w:noProof/>
        </w:rPr>
        <w:fldChar w:fldCharType="begin" w:fldLock="1"/>
      </w:r>
      <w:r>
        <w:rPr>
          <w:noProof/>
        </w:rPr>
        <w:instrText xml:space="preserve"> PAGEREF _Toc153625643 \h </w:instrText>
      </w:r>
      <w:r>
        <w:rPr>
          <w:noProof/>
        </w:rPr>
      </w:r>
      <w:r>
        <w:rPr>
          <w:noProof/>
        </w:rPr>
        <w:fldChar w:fldCharType="separate"/>
      </w:r>
      <w:r>
        <w:rPr>
          <w:noProof/>
        </w:rPr>
        <w:t>249</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5.9.2.3.1</w:t>
      </w:r>
      <w:r w:rsidRPr="00DD140B">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_Toc153625644 \h </w:instrText>
      </w:r>
      <w:r>
        <w:rPr>
          <w:noProof/>
        </w:rPr>
      </w:r>
      <w:r>
        <w:rPr>
          <w:noProof/>
        </w:rPr>
        <w:fldChar w:fldCharType="separate"/>
      </w:r>
      <w:r>
        <w:rPr>
          <w:noProof/>
        </w:rPr>
        <w:t>249</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5.9.2.3.2</w:t>
      </w:r>
      <w:r w:rsidRPr="00DD140B">
        <w:rPr>
          <w:rFonts w:ascii="Calibri" w:eastAsia="Malgun Gothic" w:hAnsi="Calibri"/>
          <w:noProof/>
          <w:sz w:val="22"/>
          <w:szCs w:val="22"/>
          <w:lang w:eastAsia="ko-KR"/>
        </w:rPr>
        <w:tab/>
      </w:r>
      <w:r>
        <w:rPr>
          <w:noProof/>
        </w:rPr>
        <w:t>Simple data types</w:t>
      </w:r>
      <w:r>
        <w:rPr>
          <w:noProof/>
        </w:rPr>
        <w:tab/>
      </w:r>
      <w:r>
        <w:rPr>
          <w:noProof/>
        </w:rPr>
        <w:fldChar w:fldCharType="begin" w:fldLock="1"/>
      </w:r>
      <w:r>
        <w:rPr>
          <w:noProof/>
        </w:rPr>
        <w:instrText xml:space="preserve"> PAGEREF _Toc153625645 \h </w:instrText>
      </w:r>
      <w:r>
        <w:rPr>
          <w:noProof/>
        </w:rPr>
      </w:r>
      <w:r>
        <w:rPr>
          <w:noProof/>
        </w:rPr>
        <w:fldChar w:fldCharType="separate"/>
      </w:r>
      <w:r>
        <w:rPr>
          <w:noProof/>
        </w:rPr>
        <w:t>249</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5.9.2.3.3</w:t>
      </w:r>
      <w:r w:rsidRPr="00DD140B">
        <w:rPr>
          <w:rFonts w:ascii="Calibri" w:eastAsia="Malgun Gothic" w:hAnsi="Calibri"/>
          <w:noProof/>
          <w:sz w:val="22"/>
          <w:szCs w:val="22"/>
          <w:lang w:eastAsia="ko-KR"/>
        </w:rPr>
        <w:tab/>
      </w:r>
      <w:r>
        <w:rPr>
          <w:noProof/>
        </w:rPr>
        <w:t xml:space="preserve">Enumeration: </w:t>
      </w:r>
      <w:r w:rsidRPr="00677085">
        <w:rPr>
          <w:rFonts w:eastAsia="Times New Roman"/>
          <w:noProof/>
        </w:rPr>
        <w:t>CongestionType</w:t>
      </w:r>
      <w:r>
        <w:rPr>
          <w:noProof/>
        </w:rPr>
        <w:tab/>
      </w:r>
      <w:r>
        <w:rPr>
          <w:noProof/>
        </w:rPr>
        <w:fldChar w:fldCharType="begin" w:fldLock="1"/>
      </w:r>
      <w:r>
        <w:rPr>
          <w:noProof/>
        </w:rPr>
        <w:instrText xml:space="preserve"> PAGEREF _Toc153625646 \h </w:instrText>
      </w:r>
      <w:r>
        <w:rPr>
          <w:noProof/>
        </w:rPr>
      </w:r>
      <w:r>
        <w:rPr>
          <w:noProof/>
        </w:rPr>
        <w:fldChar w:fldCharType="separate"/>
      </w:r>
      <w:r>
        <w:rPr>
          <w:noProof/>
        </w:rPr>
        <w:t>249</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5.9.3</w:t>
      </w:r>
      <w:r w:rsidRPr="00DD140B">
        <w:rPr>
          <w:rFonts w:ascii="Calibri" w:eastAsia="Malgun Gothic" w:hAnsi="Calibri"/>
          <w:noProof/>
          <w:sz w:val="22"/>
          <w:szCs w:val="22"/>
          <w:lang w:eastAsia="ko-KR"/>
        </w:rPr>
        <w:tab/>
      </w:r>
      <w:r>
        <w:rPr>
          <w:noProof/>
        </w:rPr>
        <w:t>Resource structure</w:t>
      </w:r>
      <w:r>
        <w:rPr>
          <w:noProof/>
        </w:rPr>
        <w:tab/>
      </w:r>
      <w:r>
        <w:rPr>
          <w:noProof/>
        </w:rPr>
        <w:fldChar w:fldCharType="begin" w:fldLock="1"/>
      </w:r>
      <w:r>
        <w:rPr>
          <w:noProof/>
        </w:rPr>
        <w:instrText xml:space="preserve"> PAGEREF _Toc153625647 \h </w:instrText>
      </w:r>
      <w:r>
        <w:rPr>
          <w:noProof/>
        </w:rPr>
      </w:r>
      <w:r>
        <w:rPr>
          <w:noProof/>
        </w:rPr>
        <w:fldChar w:fldCharType="separate"/>
      </w:r>
      <w:r>
        <w:rPr>
          <w:noProof/>
        </w:rPr>
        <w:t>249</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5.9.3.1</w:t>
      </w:r>
      <w:r w:rsidRPr="00DD140B">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_Toc153625648 \h </w:instrText>
      </w:r>
      <w:r>
        <w:rPr>
          <w:noProof/>
        </w:rPr>
      </w:r>
      <w:r>
        <w:rPr>
          <w:noProof/>
        </w:rPr>
        <w:fldChar w:fldCharType="separate"/>
      </w:r>
      <w:r>
        <w:rPr>
          <w:noProof/>
        </w:rPr>
        <w:t>249</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5.9.3.2</w:t>
      </w:r>
      <w:r w:rsidRPr="00DD140B">
        <w:rPr>
          <w:rFonts w:ascii="Calibri" w:eastAsia="Malgun Gothic" w:hAnsi="Calibri"/>
          <w:noProof/>
          <w:sz w:val="22"/>
          <w:szCs w:val="22"/>
          <w:lang w:eastAsia="ko-KR"/>
        </w:rPr>
        <w:tab/>
      </w:r>
      <w:r>
        <w:rPr>
          <w:noProof/>
        </w:rPr>
        <w:t>Resource: Network Status Reporting Subscriptions</w:t>
      </w:r>
      <w:r>
        <w:rPr>
          <w:noProof/>
        </w:rPr>
        <w:tab/>
      </w:r>
      <w:r>
        <w:rPr>
          <w:noProof/>
        </w:rPr>
        <w:fldChar w:fldCharType="begin" w:fldLock="1"/>
      </w:r>
      <w:r>
        <w:rPr>
          <w:noProof/>
        </w:rPr>
        <w:instrText xml:space="preserve"> PAGEREF _Toc153625649 \h </w:instrText>
      </w:r>
      <w:r>
        <w:rPr>
          <w:noProof/>
        </w:rPr>
      </w:r>
      <w:r>
        <w:rPr>
          <w:noProof/>
        </w:rPr>
        <w:fldChar w:fldCharType="separate"/>
      </w:r>
      <w:r>
        <w:rPr>
          <w:noProof/>
        </w:rPr>
        <w:t>250</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5.9.3.2.1</w:t>
      </w:r>
      <w:r w:rsidRPr="00DD140B">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_Toc153625650 \h </w:instrText>
      </w:r>
      <w:r>
        <w:rPr>
          <w:noProof/>
        </w:rPr>
      </w:r>
      <w:r>
        <w:rPr>
          <w:noProof/>
        </w:rPr>
        <w:fldChar w:fldCharType="separate"/>
      </w:r>
      <w:r>
        <w:rPr>
          <w:noProof/>
        </w:rPr>
        <w:t>250</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5.9.3.2.2</w:t>
      </w:r>
      <w:r w:rsidRPr="00DD140B">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_Toc153625651 \h </w:instrText>
      </w:r>
      <w:r>
        <w:rPr>
          <w:noProof/>
        </w:rPr>
      </w:r>
      <w:r>
        <w:rPr>
          <w:noProof/>
        </w:rPr>
        <w:fldChar w:fldCharType="separate"/>
      </w:r>
      <w:r>
        <w:rPr>
          <w:noProof/>
        </w:rPr>
        <w:t>250</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5.9.3.2.3</w:t>
      </w:r>
      <w:r w:rsidRPr="00DD140B">
        <w:rPr>
          <w:rFonts w:ascii="Calibri" w:eastAsia="Malgun Gothic" w:hAnsi="Calibri"/>
          <w:noProof/>
          <w:sz w:val="22"/>
          <w:szCs w:val="22"/>
          <w:lang w:eastAsia="ko-KR"/>
        </w:rPr>
        <w:tab/>
      </w:r>
      <w:r>
        <w:rPr>
          <w:noProof/>
        </w:rPr>
        <w:t>Resource methods</w:t>
      </w:r>
      <w:r>
        <w:rPr>
          <w:noProof/>
        </w:rPr>
        <w:tab/>
      </w:r>
      <w:r>
        <w:rPr>
          <w:noProof/>
        </w:rPr>
        <w:fldChar w:fldCharType="begin" w:fldLock="1"/>
      </w:r>
      <w:r>
        <w:rPr>
          <w:noProof/>
        </w:rPr>
        <w:instrText xml:space="preserve"> PAGEREF _Toc153625652 \h </w:instrText>
      </w:r>
      <w:r>
        <w:rPr>
          <w:noProof/>
        </w:rPr>
      </w:r>
      <w:r>
        <w:rPr>
          <w:noProof/>
        </w:rPr>
        <w:fldChar w:fldCharType="separate"/>
      </w:r>
      <w:r>
        <w:rPr>
          <w:noProof/>
        </w:rPr>
        <w:t>250</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5.9.3.2.3.1</w:t>
      </w:r>
      <w:r w:rsidRPr="00DD140B">
        <w:rPr>
          <w:rFonts w:ascii="Calibri" w:eastAsia="Malgun Gothic" w:hAnsi="Calibri"/>
          <w:noProof/>
          <w:sz w:val="22"/>
          <w:szCs w:val="22"/>
          <w:lang w:eastAsia="ko-KR"/>
        </w:rPr>
        <w:tab/>
      </w:r>
      <w:r>
        <w:rPr>
          <w:noProof/>
        </w:rPr>
        <w:t>GET</w:t>
      </w:r>
      <w:r>
        <w:rPr>
          <w:noProof/>
        </w:rPr>
        <w:tab/>
      </w:r>
      <w:r>
        <w:rPr>
          <w:noProof/>
        </w:rPr>
        <w:fldChar w:fldCharType="begin" w:fldLock="1"/>
      </w:r>
      <w:r>
        <w:rPr>
          <w:noProof/>
        </w:rPr>
        <w:instrText xml:space="preserve"> PAGEREF _Toc153625653 \h </w:instrText>
      </w:r>
      <w:r>
        <w:rPr>
          <w:noProof/>
        </w:rPr>
      </w:r>
      <w:r>
        <w:rPr>
          <w:noProof/>
        </w:rPr>
        <w:fldChar w:fldCharType="separate"/>
      </w:r>
      <w:r>
        <w:rPr>
          <w:noProof/>
        </w:rPr>
        <w:t>250</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5.9.3.2.3.2</w:t>
      </w:r>
      <w:r w:rsidRPr="00DD140B">
        <w:rPr>
          <w:rFonts w:ascii="Calibri" w:eastAsia="Malgun Gothic" w:hAnsi="Calibri"/>
          <w:noProof/>
          <w:sz w:val="22"/>
          <w:szCs w:val="22"/>
          <w:lang w:eastAsia="ko-KR"/>
        </w:rPr>
        <w:tab/>
      </w:r>
      <w:r>
        <w:rPr>
          <w:noProof/>
        </w:rPr>
        <w:t>PUT</w:t>
      </w:r>
      <w:r>
        <w:rPr>
          <w:noProof/>
        </w:rPr>
        <w:tab/>
      </w:r>
      <w:r>
        <w:rPr>
          <w:noProof/>
        </w:rPr>
        <w:fldChar w:fldCharType="begin" w:fldLock="1"/>
      </w:r>
      <w:r>
        <w:rPr>
          <w:noProof/>
        </w:rPr>
        <w:instrText xml:space="preserve"> PAGEREF _Toc153625654 \h </w:instrText>
      </w:r>
      <w:r>
        <w:rPr>
          <w:noProof/>
        </w:rPr>
      </w:r>
      <w:r>
        <w:rPr>
          <w:noProof/>
        </w:rPr>
        <w:fldChar w:fldCharType="separate"/>
      </w:r>
      <w:r>
        <w:rPr>
          <w:noProof/>
        </w:rPr>
        <w:t>251</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5.9.3.2.3.3</w:t>
      </w:r>
      <w:r w:rsidRPr="00DD140B">
        <w:rPr>
          <w:rFonts w:ascii="Calibri" w:eastAsia="Malgun Gothic" w:hAnsi="Calibri"/>
          <w:noProof/>
          <w:sz w:val="22"/>
          <w:szCs w:val="22"/>
          <w:lang w:eastAsia="ko-KR"/>
        </w:rPr>
        <w:tab/>
      </w:r>
      <w:r>
        <w:rPr>
          <w:noProof/>
        </w:rPr>
        <w:t>PATCH</w:t>
      </w:r>
      <w:r>
        <w:rPr>
          <w:noProof/>
        </w:rPr>
        <w:tab/>
      </w:r>
      <w:r>
        <w:rPr>
          <w:noProof/>
        </w:rPr>
        <w:fldChar w:fldCharType="begin" w:fldLock="1"/>
      </w:r>
      <w:r>
        <w:rPr>
          <w:noProof/>
        </w:rPr>
        <w:instrText xml:space="preserve"> PAGEREF _Toc153625655 \h </w:instrText>
      </w:r>
      <w:r>
        <w:rPr>
          <w:noProof/>
        </w:rPr>
      </w:r>
      <w:r>
        <w:rPr>
          <w:noProof/>
        </w:rPr>
        <w:fldChar w:fldCharType="separate"/>
      </w:r>
      <w:r>
        <w:rPr>
          <w:noProof/>
        </w:rPr>
        <w:t>251</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5.9.3.2.3.4</w:t>
      </w:r>
      <w:r w:rsidRPr="00DD140B">
        <w:rPr>
          <w:rFonts w:ascii="Calibri" w:eastAsia="Malgun Gothic" w:hAnsi="Calibri"/>
          <w:noProof/>
          <w:sz w:val="22"/>
          <w:szCs w:val="22"/>
          <w:lang w:eastAsia="ko-KR"/>
        </w:rPr>
        <w:tab/>
      </w:r>
      <w:r>
        <w:rPr>
          <w:noProof/>
        </w:rPr>
        <w:t>POST</w:t>
      </w:r>
      <w:r>
        <w:rPr>
          <w:noProof/>
        </w:rPr>
        <w:tab/>
      </w:r>
      <w:r>
        <w:rPr>
          <w:noProof/>
        </w:rPr>
        <w:fldChar w:fldCharType="begin" w:fldLock="1"/>
      </w:r>
      <w:r>
        <w:rPr>
          <w:noProof/>
        </w:rPr>
        <w:instrText xml:space="preserve"> PAGEREF _Toc153625656 \h </w:instrText>
      </w:r>
      <w:r>
        <w:rPr>
          <w:noProof/>
        </w:rPr>
      </w:r>
      <w:r>
        <w:rPr>
          <w:noProof/>
        </w:rPr>
        <w:fldChar w:fldCharType="separate"/>
      </w:r>
      <w:r>
        <w:rPr>
          <w:noProof/>
        </w:rPr>
        <w:t>251</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5.9.3.2.3.5</w:t>
      </w:r>
      <w:r w:rsidRPr="00DD140B">
        <w:rPr>
          <w:rFonts w:ascii="Calibri" w:eastAsia="Malgun Gothic" w:hAnsi="Calibri"/>
          <w:noProof/>
          <w:sz w:val="22"/>
          <w:szCs w:val="22"/>
          <w:lang w:eastAsia="ko-KR"/>
        </w:rPr>
        <w:tab/>
      </w:r>
      <w:r>
        <w:rPr>
          <w:noProof/>
        </w:rPr>
        <w:t>DELETE</w:t>
      </w:r>
      <w:r>
        <w:rPr>
          <w:noProof/>
        </w:rPr>
        <w:tab/>
      </w:r>
      <w:r>
        <w:rPr>
          <w:noProof/>
        </w:rPr>
        <w:fldChar w:fldCharType="begin" w:fldLock="1"/>
      </w:r>
      <w:r>
        <w:rPr>
          <w:noProof/>
        </w:rPr>
        <w:instrText xml:space="preserve"> PAGEREF _Toc153625657 \h </w:instrText>
      </w:r>
      <w:r>
        <w:rPr>
          <w:noProof/>
        </w:rPr>
      </w:r>
      <w:r>
        <w:rPr>
          <w:noProof/>
        </w:rPr>
        <w:fldChar w:fldCharType="separate"/>
      </w:r>
      <w:r>
        <w:rPr>
          <w:noProof/>
        </w:rPr>
        <w:t>252</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5.9.3.3</w:t>
      </w:r>
      <w:r w:rsidRPr="00DD140B">
        <w:rPr>
          <w:rFonts w:ascii="Calibri" w:eastAsia="Malgun Gothic" w:hAnsi="Calibri"/>
          <w:noProof/>
          <w:sz w:val="22"/>
          <w:szCs w:val="22"/>
          <w:lang w:eastAsia="ko-KR"/>
        </w:rPr>
        <w:tab/>
      </w:r>
      <w:r>
        <w:rPr>
          <w:noProof/>
        </w:rPr>
        <w:t>Resource: Individual Network Status Reporting Subscription</w:t>
      </w:r>
      <w:r>
        <w:rPr>
          <w:noProof/>
        </w:rPr>
        <w:tab/>
      </w:r>
      <w:r>
        <w:rPr>
          <w:noProof/>
        </w:rPr>
        <w:fldChar w:fldCharType="begin" w:fldLock="1"/>
      </w:r>
      <w:r>
        <w:rPr>
          <w:noProof/>
        </w:rPr>
        <w:instrText xml:space="preserve"> PAGEREF _Toc153625658 \h </w:instrText>
      </w:r>
      <w:r>
        <w:rPr>
          <w:noProof/>
        </w:rPr>
      </w:r>
      <w:r>
        <w:rPr>
          <w:noProof/>
        </w:rPr>
        <w:fldChar w:fldCharType="separate"/>
      </w:r>
      <w:r>
        <w:rPr>
          <w:noProof/>
        </w:rPr>
        <w:t>252</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5.9.3.3.1</w:t>
      </w:r>
      <w:r w:rsidRPr="00DD140B">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_Toc153625659 \h </w:instrText>
      </w:r>
      <w:r>
        <w:rPr>
          <w:noProof/>
        </w:rPr>
      </w:r>
      <w:r>
        <w:rPr>
          <w:noProof/>
        </w:rPr>
        <w:fldChar w:fldCharType="separate"/>
      </w:r>
      <w:r>
        <w:rPr>
          <w:noProof/>
        </w:rPr>
        <w:t>252</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5.9.3.3.2</w:t>
      </w:r>
      <w:r w:rsidRPr="00DD140B">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_Toc153625660 \h </w:instrText>
      </w:r>
      <w:r>
        <w:rPr>
          <w:noProof/>
        </w:rPr>
      </w:r>
      <w:r>
        <w:rPr>
          <w:noProof/>
        </w:rPr>
        <w:fldChar w:fldCharType="separate"/>
      </w:r>
      <w:r>
        <w:rPr>
          <w:noProof/>
        </w:rPr>
        <w:t>252</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5.9.3.3.3</w:t>
      </w:r>
      <w:r w:rsidRPr="00DD140B">
        <w:rPr>
          <w:rFonts w:ascii="Calibri" w:eastAsia="Malgun Gothic" w:hAnsi="Calibri"/>
          <w:noProof/>
          <w:sz w:val="22"/>
          <w:szCs w:val="22"/>
          <w:lang w:eastAsia="ko-KR"/>
        </w:rPr>
        <w:tab/>
      </w:r>
      <w:r>
        <w:rPr>
          <w:noProof/>
        </w:rPr>
        <w:t>Resource methods</w:t>
      </w:r>
      <w:r>
        <w:rPr>
          <w:noProof/>
        </w:rPr>
        <w:tab/>
      </w:r>
      <w:r>
        <w:rPr>
          <w:noProof/>
        </w:rPr>
        <w:fldChar w:fldCharType="begin" w:fldLock="1"/>
      </w:r>
      <w:r>
        <w:rPr>
          <w:noProof/>
        </w:rPr>
        <w:instrText xml:space="preserve"> PAGEREF _Toc153625661 \h </w:instrText>
      </w:r>
      <w:r>
        <w:rPr>
          <w:noProof/>
        </w:rPr>
      </w:r>
      <w:r>
        <w:rPr>
          <w:noProof/>
        </w:rPr>
        <w:fldChar w:fldCharType="separate"/>
      </w:r>
      <w:r>
        <w:rPr>
          <w:noProof/>
        </w:rPr>
        <w:t>252</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5.9.3.3.3.1</w:t>
      </w:r>
      <w:r w:rsidRPr="00DD140B">
        <w:rPr>
          <w:rFonts w:ascii="Calibri" w:eastAsia="Malgun Gothic" w:hAnsi="Calibri"/>
          <w:noProof/>
          <w:sz w:val="22"/>
          <w:szCs w:val="22"/>
          <w:lang w:eastAsia="ko-KR"/>
        </w:rPr>
        <w:tab/>
      </w:r>
      <w:r>
        <w:rPr>
          <w:noProof/>
        </w:rPr>
        <w:t>GET</w:t>
      </w:r>
      <w:r>
        <w:rPr>
          <w:noProof/>
        </w:rPr>
        <w:tab/>
      </w:r>
      <w:r>
        <w:rPr>
          <w:noProof/>
        </w:rPr>
        <w:fldChar w:fldCharType="begin" w:fldLock="1"/>
      </w:r>
      <w:r>
        <w:rPr>
          <w:noProof/>
        </w:rPr>
        <w:instrText xml:space="preserve"> PAGEREF _Toc153625662 \h </w:instrText>
      </w:r>
      <w:r>
        <w:rPr>
          <w:noProof/>
        </w:rPr>
      </w:r>
      <w:r>
        <w:rPr>
          <w:noProof/>
        </w:rPr>
        <w:fldChar w:fldCharType="separate"/>
      </w:r>
      <w:r>
        <w:rPr>
          <w:noProof/>
        </w:rPr>
        <w:t>252</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5.9.3.3.3.2</w:t>
      </w:r>
      <w:r w:rsidRPr="00DD140B">
        <w:rPr>
          <w:rFonts w:ascii="Calibri" w:eastAsia="Malgun Gothic" w:hAnsi="Calibri"/>
          <w:noProof/>
          <w:sz w:val="22"/>
          <w:szCs w:val="22"/>
          <w:lang w:eastAsia="ko-KR"/>
        </w:rPr>
        <w:tab/>
      </w:r>
      <w:r>
        <w:rPr>
          <w:noProof/>
        </w:rPr>
        <w:t>PUT</w:t>
      </w:r>
      <w:r>
        <w:rPr>
          <w:noProof/>
        </w:rPr>
        <w:tab/>
      </w:r>
      <w:r>
        <w:rPr>
          <w:noProof/>
        </w:rPr>
        <w:fldChar w:fldCharType="begin" w:fldLock="1"/>
      </w:r>
      <w:r>
        <w:rPr>
          <w:noProof/>
        </w:rPr>
        <w:instrText xml:space="preserve"> PAGEREF _Toc153625663 \h </w:instrText>
      </w:r>
      <w:r>
        <w:rPr>
          <w:noProof/>
        </w:rPr>
      </w:r>
      <w:r>
        <w:rPr>
          <w:noProof/>
        </w:rPr>
        <w:fldChar w:fldCharType="separate"/>
      </w:r>
      <w:r>
        <w:rPr>
          <w:noProof/>
        </w:rPr>
        <w:t>253</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5.9.3.3.3.3</w:t>
      </w:r>
      <w:r w:rsidRPr="00DD140B">
        <w:rPr>
          <w:rFonts w:ascii="Calibri" w:eastAsia="Malgun Gothic" w:hAnsi="Calibri"/>
          <w:noProof/>
          <w:sz w:val="22"/>
          <w:szCs w:val="22"/>
          <w:lang w:eastAsia="ko-KR"/>
        </w:rPr>
        <w:tab/>
      </w:r>
      <w:r>
        <w:rPr>
          <w:noProof/>
        </w:rPr>
        <w:t>PATCH</w:t>
      </w:r>
      <w:r>
        <w:rPr>
          <w:noProof/>
        </w:rPr>
        <w:tab/>
      </w:r>
      <w:r>
        <w:rPr>
          <w:noProof/>
        </w:rPr>
        <w:fldChar w:fldCharType="begin" w:fldLock="1"/>
      </w:r>
      <w:r>
        <w:rPr>
          <w:noProof/>
        </w:rPr>
        <w:instrText xml:space="preserve"> PAGEREF _Toc153625664 \h </w:instrText>
      </w:r>
      <w:r>
        <w:rPr>
          <w:noProof/>
        </w:rPr>
      </w:r>
      <w:r>
        <w:rPr>
          <w:noProof/>
        </w:rPr>
        <w:fldChar w:fldCharType="separate"/>
      </w:r>
      <w:r>
        <w:rPr>
          <w:noProof/>
        </w:rPr>
        <w:t>254</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5.9.3.3.3.4</w:t>
      </w:r>
      <w:r w:rsidRPr="00DD140B">
        <w:rPr>
          <w:rFonts w:ascii="Calibri" w:eastAsia="Malgun Gothic" w:hAnsi="Calibri"/>
          <w:noProof/>
          <w:sz w:val="22"/>
          <w:szCs w:val="22"/>
          <w:lang w:eastAsia="ko-KR"/>
        </w:rPr>
        <w:tab/>
      </w:r>
      <w:r>
        <w:rPr>
          <w:noProof/>
        </w:rPr>
        <w:t>POST</w:t>
      </w:r>
      <w:r>
        <w:rPr>
          <w:noProof/>
        </w:rPr>
        <w:tab/>
      </w:r>
      <w:r>
        <w:rPr>
          <w:noProof/>
        </w:rPr>
        <w:fldChar w:fldCharType="begin" w:fldLock="1"/>
      </w:r>
      <w:r>
        <w:rPr>
          <w:noProof/>
        </w:rPr>
        <w:instrText xml:space="preserve"> PAGEREF _Toc153625665 \h </w:instrText>
      </w:r>
      <w:r>
        <w:rPr>
          <w:noProof/>
        </w:rPr>
      </w:r>
      <w:r>
        <w:rPr>
          <w:noProof/>
        </w:rPr>
        <w:fldChar w:fldCharType="separate"/>
      </w:r>
      <w:r>
        <w:rPr>
          <w:noProof/>
        </w:rPr>
        <w:t>255</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5.9.3.3.3.5</w:t>
      </w:r>
      <w:r w:rsidRPr="00DD140B">
        <w:rPr>
          <w:rFonts w:ascii="Calibri" w:eastAsia="Malgun Gothic" w:hAnsi="Calibri"/>
          <w:noProof/>
          <w:sz w:val="22"/>
          <w:szCs w:val="22"/>
          <w:lang w:eastAsia="ko-KR"/>
        </w:rPr>
        <w:tab/>
      </w:r>
      <w:r>
        <w:rPr>
          <w:noProof/>
        </w:rPr>
        <w:t>DELETE</w:t>
      </w:r>
      <w:r>
        <w:rPr>
          <w:noProof/>
        </w:rPr>
        <w:tab/>
      </w:r>
      <w:r>
        <w:rPr>
          <w:noProof/>
        </w:rPr>
        <w:fldChar w:fldCharType="begin" w:fldLock="1"/>
      </w:r>
      <w:r>
        <w:rPr>
          <w:noProof/>
        </w:rPr>
        <w:instrText xml:space="preserve"> PAGEREF _Toc153625666 \h </w:instrText>
      </w:r>
      <w:r>
        <w:rPr>
          <w:noProof/>
        </w:rPr>
      </w:r>
      <w:r>
        <w:rPr>
          <w:noProof/>
        </w:rPr>
        <w:fldChar w:fldCharType="separate"/>
      </w:r>
      <w:r>
        <w:rPr>
          <w:noProof/>
        </w:rPr>
        <w:t>255</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5.9.3.4</w:t>
      </w:r>
      <w:r w:rsidRPr="00DD140B">
        <w:rPr>
          <w:rFonts w:ascii="Calibri" w:eastAsia="Malgun Gothic" w:hAnsi="Calibri"/>
          <w:noProof/>
          <w:sz w:val="22"/>
          <w:szCs w:val="22"/>
          <w:lang w:eastAsia="ko-KR"/>
        </w:rPr>
        <w:tab/>
      </w:r>
      <w:r>
        <w:rPr>
          <w:noProof/>
        </w:rPr>
        <w:t>Void</w:t>
      </w:r>
      <w:r>
        <w:rPr>
          <w:noProof/>
        </w:rPr>
        <w:tab/>
      </w:r>
      <w:r>
        <w:rPr>
          <w:noProof/>
        </w:rPr>
        <w:fldChar w:fldCharType="begin" w:fldLock="1"/>
      </w:r>
      <w:r>
        <w:rPr>
          <w:noProof/>
        </w:rPr>
        <w:instrText xml:space="preserve"> PAGEREF _Toc153625667 \h </w:instrText>
      </w:r>
      <w:r>
        <w:rPr>
          <w:noProof/>
        </w:rPr>
      </w:r>
      <w:r>
        <w:rPr>
          <w:noProof/>
        </w:rPr>
        <w:fldChar w:fldCharType="separate"/>
      </w:r>
      <w:r>
        <w:rPr>
          <w:noProof/>
        </w:rPr>
        <w:t>256</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5.9.3A</w:t>
      </w:r>
      <w:r w:rsidRPr="00DD140B">
        <w:rPr>
          <w:rFonts w:ascii="Calibri" w:eastAsia="Malgun Gothic" w:hAnsi="Calibri"/>
          <w:noProof/>
          <w:sz w:val="22"/>
          <w:szCs w:val="22"/>
          <w:lang w:eastAsia="ko-KR"/>
        </w:rPr>
        <w:tab/>
      </w:r>
      <w:r>
        <w:rPr>
          <w:noProof/>
        </w:rPr>
        <w:t>Notifications</w:t>
      </w:r>
      <w:r>
        <w:rPr>
          <w:noProof/>
        </w:rPr>
        <w:tab/>
      </w:r>
      <w:r>
        <w:rPr>
          <w:noProof/>
        </w:rPr>
        <w:fldChar w:fldCharType="begin" w:fldLock="1"/>
      </w:r>
      <w:r>
        <w:rPr>
          <w:noProof/>
        </w:rPr>
        <w:instrText xml:space="preserve"> PAGEREF _Toc153625668 \h </w:instrText>
      </w:r>
      <w:r>
        <w:rPr>
          <w:noProof/>
        </w:rPr>
      </w:r>
      <w:r>
        <w:rPr>
          <w:noProof/>
        </w:rPr>
        <w:fldChar w:fldCharType="separate"/>
      </w:r>
      <w:r>
        <w:rPr>
          <w:noProof/>
        </w:rPr>
        <w:t>256</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5.9.3A.1</w:t>
      </w:r>
      <w:r w:rsidRPr="00DD140B">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_Toc153625669 \h </w:instrText>
      </w:r>
      <w:r>
        <w:rPr>
          <w:noProof/>
        </w:rPr>
      </w:r>
      <w:r>
        <w:rPr>
          <w:noProof/>
        </w:rPr>
        <w:fldChar w:fldCharType="separate"/>
      </w:r>
      <w:r>
        <w:rPr>
          <w:noProof/>
        </w:rPr>
        <w:t>256</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5.9.3A.2</w:t>
      </w:r>
      <w:r w:rsidRPr="00DD140B">
        <w:rPr>
          <w:rFonts w:ascii="Calibri" w:eastAsia="Malgun Gothic" w:hAnsi="Calibri"/>
          <w:noProof/>
          <w:sz w:val="22"/>
          <w:szCs w:val="22"/>
          <w:lang w:eastAsia="ko-KR"/>
        </w:rPr>
        <w:tab/>
      </w:r>
      <w:r>
        <w:rPr>
          <w:noProof/>
        </w:rPr>
        <w:t>Network Status Reporting Notification</w:t>
      </w:r>
      <w:r>
        <w:rPr>
          <w:noProof/>
        </w:rPr>
        <w:tab/>
      </w:r>
      <w:r>
        <w:rPr>
          <w:noProof/>
        </w:rPr>
        <w:fldChar w:fldCharType="begin" w:fldLock="1"/>
      </w:r>
      <w:r>
        <w:rPr>
          <w:noProof/>
        </w:rPr>
        <w:instrText xml:space="preserve"> PAGEREF _Toc153625670 \h </w:instrText>
      </w:r>
      <w:r>
        <w:rPr>
          <w:noProof/>
        </w:rPr>
      </w:r>
      <w:r>
        <w:rPr>
          <w:noProof/>
        </w:rPr>
        <w:fldChar w:fldCharType="separate"/>
      </w:r>
      <w:r>
        <w:rPr>
          <w:noProof/>
        </w:rPr>
        <w:t>257</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5.9.3A.2.1</w:t>
      </w:r>
      <w:r w:rsidRPr="00DD140B">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_Toc153625671 \h </w:instrText>
      </w:r>
      <w:r>
        <w:rPr>
          <w:noProof/>
        </w:rPr>
      </w:r>
      <w:r>
        <w:rPr>
          <w:noProof/>
        </w:rPr>
        <w:fldChar w:fldCharType="separate"/>
      </w:r>
      <w:r>
        <w:rPr>
          <w:noProof/>
        </w:rPr>
        <w:t>257</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5.9.3A.2.2</w:t>
      </w:r>
      <w:r w:rsidRPr="00DD140B">
        <w:rPr>
          <w:rFonts w:ascii="Calibri" w:eastAsia="Malgun Gothic" w:hAnsi="Calibri"/>
          <w:noProof/>
          <w:sz w:val="22"/>
          <w:szCs w:val="22"/>
          <w:lang w:eastAsia="ko-KR"/>
        </w:rPr>
        <w:tab/>
      </w:r>
      <w:r>
        <w:rPr>
          <w:noProof/>
        </w:rPr>
        <w:t>Target URI</w:t>
      </w:r>
      <w:r>
        <w:rPr>
          <w:noProof/>
        </w:rPr>
        <w:tab/>
      </w:r>
      <w:r>
        <w:rPr>
          <w:noProof/>
        </w:rPr>
        <w:fldChar w:fldCharType="begin" w:fldLock="1"/>
      </w:r>
      <w:r>
        <w:rPr>
          <w:noProof/>
        </w:rPr>
        <w:instrText xml:space="preserve"> PAGEREF _Toc153625672 \h </w:instrText>
      </w:r>
      <w:r>
        <w:rPr>
          <w:noProof/>
        </w:rPr>
      </w:r>
      <w:r>
        <w:rPr>
          <w:noProof/>
        </w:rPr>
        <w:fldChar w:fldCharType="separate"/>
      </w:r>
      <w:r>
        <w:rPr>
          <w:noProof/>
        </w:rPr>
        <w:t>257</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5.9.3A.2.3</w:t>
      </w:r>
      <w:r w:rsidRPr="00DD140B">
        <w:rPr>
          <w:rFonts w:ascii="Calibri" w:eastAsia="Malgun Gothic" w:hAnsi="Calibri"/>
          <w:noProof/>
          <w:sz w:val="22"/>
          <w:szCs w:val="22"/>
          <w:lang w:eastAsia="ko-KR"/>
        </w:rPr>
        <w:tab/>
      </w:r>
      <w:r>
        <w:rPr>
          <w:noProof/>
        </w:rPr>
        <w:t>Standard Methods</w:t>
      </w:r>
      <w:r>
        <w:rPr>
          <w:noProof/>
        </w:rPr>
        <w:tab/>
      </w:r>
      <w:r>
        <w:rPr>
          <w:noProof/>
        </w:rPr>
        <w:fldChar w:fldCharType="begin" w:fldLock="1"/>
      </w:r>
      <w:r>
        <w:rPr>
          <w:noProof/>
        </w:rPr>
        <w:instrText xml:space="preserve"> PAGEREF _Toc153625673 \h </w:instrText>
      </w:r>
      <w:r>
        <w:rPr>
          <w:noProof/>
        </w:rPr>
      </w:r>
      <w:r>
        <w:rPr>
          <w:noProof/>
        </w:rPr>
        <w:fldChar w:fldCharType="separate"/>
      </w:r>
      <w:r>
        <w:rPr>
          <w:noProof/>
        </w:rPr>
        <w:t>257</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5.9.3A.2.3.1</w:t>
      </w:r>
      <w:r w:rsidRPr="00DD140B">
        <w:rPr>
          <w:rFonts w:ascii="Calibri" w:eastAsia="Malgun Gothic" w:hAnsi="Calibri"/>
          <w:noProof/>
          <w:sz w:val="22"/>
          <w:szCs w:val="22"/>
          <w:lang w:eastAsia="ko-KR"/>
        </w:rPr>
        <w:tab/>
      </w:r>
      <w:r>
        <w:rPr>
          <w:noProof/>
        </w:rPr>
        <w:t>Notification via POST</w:t>
      </w:r>
      <w:r>
        <w:rPr>
          <w:noProof/>
        </w:rPr>
        <w:tab/>
      </w:r>
      <w:r>
        <w:rPr>
          <w:noProof/>
        </w:rPr>
        <w:fldChar w:fldCharType="begin" w:fldLock="1"/>
      </w:r>
      <w:r>
        <w:rPr>
          <w:noProof/>
        </w:rPr>
        <w:instrText xml:space="preserve"> PAGEREF _Toc153625674 \h </w:instrText>
      </w:r>
      <w:r>
        <w:rPr>
          <w:noProof/>
        </w:rPr>
      </w:r>
      <w:r>
        <w:rPr>
          <w:noProof/>
        </w:rPr>
        <w:fldChar w:fldCharType="separate"/>
      </w:r>
      <w:r>
        <w:rPr>
          <w:noProof/>
        </w:rPr>
        <w:t>257</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5.9.3A.2.3.2</w:t>
      </w:r>
      <w:r w:rsidRPr="00DD140B">
        <w:rPr>
          <w:rFonts w:ascii="Calibri" w:eastAsia="Malgun Gothic" w:hAnsi="Calibri"/>
          <w:noProof/>
          <w:sz w:val="22"/>
          <w:szCs w:val="22"/>
          <w:lang w:eastAsia="ko-KR"/>
        </w:rPr>
        <w:tab/>
      </w:r>
      <w:r>
        <w:rPr>
          <w:noProof/>
        </w:rPr>
        <w:t>Notification via Websocket</w:t>
      </w:r>
      <w:r>
        <w:rPr>
          <w:noProof/>
        </w:rPr>
        <w:tab/>
      </w:r>
      <w:r>
        <w:rPr>
          <w:noProof/>
        </w:rPr>
        <w:fldChar w:fldCharType="begin" w:fldLock="1"/>
      </w:r>
      <w:r>
        <w:rPr>
          <w:noProof/>
        </w:rPr>
        <w:instrText xml:space="preserve"> PAGEREF _Toc153625675 \h </w:instrText>
      </w:r>
      <w:r>
        <w:rPr>
          <w:noProof/>
        </w:rPr>
      </w:r>
      <w:r>
        <w:rPr>
          <w:noProof/>
        </w:rPr>
        <w:fldChar w:fldCharType="separate"/>
      </w:r>
      <w:r>
        <w:rPr>
          <w:noProof/>
        </w:rPr>
        <w:t>258</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5.9.4</w:t>
      </w:r>
      <w:r w:rsidRPr="00DD140B">
        <w:rPr>
          <w:rFonts w:ascii="Calibri" w:eastAsia="Malgun Gothic" w:hAnsi="Calibri"/>
          <w:noProof/>
          <w:sz w:val="22"/>
          <w:szCs w:val="22"/>
          <w:lang w:eastAsia="ko-KR"/>
        </w:rPr>
        <w:tab/>
      </w:r>
      <w:r>
        <w:rPr>
          <w:noProof/>
        </w:rPr>
        <w:t>Used Features</w:t>
      </w:r>
      <w:r>
        <w:rPr>
          <w:noProof/>
        </w:rPr>
        <w:tab/>
      </w:r>
      <w:r>
        <w:rPr>
          <w:noProof/>
        </w:rPr>
        <w:fldChar w:fldCharType="begin" w:fldLock="1"/>
      </w:r>
      <w:r>
        <w:rPr>
          <w:noProof/>
        </w:rPr>
        <w:instrText xml:space="preserve"> PAGEREF _Toc153625676 \h </w:instrText>
      </w:r>
      <w:r>
        <w:rPr>
          <w:noProof/>
        </w:rPr>
      </w:r>
      <w:r>
        <w:rPr>
          <w:noProof/>
        </w:rPr>
        <w:fldChar w:fldCharType="separate"/>
      </w:r>
      <w:r>
        <w:rPr>
          <w:noProof/>
        </w:rPr>
        <w:t>258</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5.9.5</w:t>
      </w:r>
      <w:r w:rsidRPr="00DD140B">
        <w:rPr>
          <w:rFonts w:ascii="Calibri" w:eastAsia="Malgun Gothic" w:hAnsi="Calibri"/>
          <w:noProof/>
          <w:sz w:val="22"/>
          <w:szCs w:val="22"/>
          <w:lang w:eastAsia="ko-KR"/>
        </w:rPr>
        <w:tab/>
      </w:r>
      <w:r>
        <w:rPr>
          <w:noProof/>
        </w:rPr>
        <w:t>Error handling</w:t>
      </w:r>
      <w:r>
        <w:rPr>
          <w:noProof/>
        </w:rPr>
        <w:tab/>
      </w:r>
      <w:r>
        <w:rPr>
          <w:noProof/>
        </w:rPr>
        <w:fldChar w:fldCharType="begin" w:fldLock="1"/>
      </w:r>
      <w:r>
        <w:rPr>
          <w:noProof/>
        </w:rPr>
        <w:instrText xml:space="preserve"> PAGEREF _Toc153625677 \h </w:instrText>
      </w:r>
      <w:r>
        <w:rPr>
          <w:noProof/>
        </w:rPr>
      </w:r>
      <w:r>
        <w:rPr>
          <w:noProof/>
        </w:rPr>
        <w:fldChar w:fldCharType="separate"/>
      </w:r>
      <w:r>
        <w:rPr>
          <w:noProof/>
        </w:rPr>
        <w:t>258</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5.9.5.1</w:t>
      </w:r>
      <w:r w:rsidRPr="00DD140B">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_Toc153625678 \h </w:instrText>
      </w:r>
      <w:r>
        <w:rPr>
          <w:noProof/>
        </w:rPr>
      </w:r>
      <w:r>
        <w:rPr>
          <w:noProof/>
        </w:rPr>
        <w:fldChar w:fldCharType="separate"/>
      </w:r>
      <w:r>
        <w:rPr>
          <w:noProof/>
        </w:rPr>
        <w:t>258</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5.9.5.2</w:t>
      </w:r>
      <w:r w:rsidRPr="00DD140B">
        <w:rPr>
          <w:rFonts w:ascii="Calibri" w:eastAsia="Malgun Gothic" w:hAnsi="Calibri"/>
          <w:noProof/>
          <w:sz w:val="22"/>
          <w:szCs w:val="22"/>
          <w:lang w:eastAsia="ko-KR"/>
        </w:rPr>
        <w:tab/>
      </w:r>
      <w:r>
        <w:rPr>
          <w:noProof/>
        </w:rPr>
        <w:t>Protocol Errors</w:t>
      </w:r>
      <w:r>
        <w:rPr>
          <w:noProof/>
        </w:rPr>
        <w:tab/>
      </w:r>
      <w:r>
        <w:rPr>
          <w:noProof/>
        </w:rPr>
        <w:fldChar w:fldCharType="begin" w:fldLock="1"/>
      </w:r>
      <w:r>
        <w:rPr>
          <w:noProof/>
        </w:rPr>
        <w:instrText xml:space="preserve"> PAGEREF _Toc153625679 \h </w:instrText>
      </w:r>
      <w:r>
        <w:rPr>
          <w:noProof/>
        </w:rPr>
      </w:r>
      <w:r>
        <w:rPr>
          <w:noProof/>
        </w:rPr>
        <w:fldChar w:fldCharType="separate"/>
      </w:r>
      <w:r>
        <w:rPr>
          <w:noProof/>
        </w:rPr>
        <w:t>258</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5.9.5.3</w:t>
      </w:r>
      <w:r w:rsidRPr="00DD140B">
        <w:rPr>
          <w:rFonts w:ascii="Calibri" w:eastAsia="Malgun Gothic" w:hAnsi="Calibri"/>
          <w:noProof/>
          <w:sz w:val="22"/>
          <w:szCs w:val="22"/>
          <w:lang w:eastAsia="ko-KR"/>
        </w:rPr>
        <w:tab/>
      </w:r>
      <w:r>
        <w:rPr>
          <w:noProof/>
        </w:rPr>
        <w:t>Application Errors</w:t>
      </w:r>
      <w:r>
        <w:rPr>
          <w:noProof/>
        </w:rPr>
        <w:tab/>
      </w:r>
      <w:r>
        <w:rPr>
          <w:noProof/>
        </w:rPr>
        <w:fldChar w:fldCharType="begin" w:fldLock="1"/>
      </w:r>
      <w:r>
        <w:rPr>
          <w:noProof/>
        </w:rPr>
        <w:instrText xml:space="preserve"> PAGEREF _Toc153625680 \h </w:instrText>
      </w:r>
      <w:r>
        <w:rPr>
          <w:noProof/>
        </w:rPr>
      </w:r>
      <w:r>
        <w:rPr>
          <w:noProof/>
        </w:rPr>
        <w:fldChar w:fldCharType="separate"/>
      </w:r>
      <w:r>
        <w:rPr>
          <w:noProof/>
        </w:rPr>
        <w:t>258</w:t>
      </w:r>
      <w:r>
        <w:rPr>
          <w:noProof/>
        </w:rPr>
        <w:fldChar w:fldCharType="end"/>
      </w:r>
    </w:p>
    <w:p w:rsidR="007D56C6" w:rsidRPr="00DD140B" w:rsidRDefault="007D56C6">
      <w:pPr>
        <w:pStyle w:val="TOC2"/>
        <w:rPr>
          <w:rFonts w:ascii="Calibri" w:eastAsia="Malgun Gothic" w:hAnsi="Calibri"/>
          <w:noProof/>
          <w:sz w:val="22"/>
          <w:szCs w:val="22"/>
          <w:lang w:eastAsia="ko-KR"/>
        </w:rPr>
      </w:pPr>
      <w:r>
        <w:rPr>
          <w:noProof/>
        </w:rPr>
        <w:t>5.10</w:t>
      </w:r>
      <w:r w:rsidRPr="00DD140B">
        <w:rPr>
          <w:rFonts w:ascii="Calibri" w:eastAsia="Malgun Gothic" w:hAnsi="Calibri"/>
          <w:noProof/>
          <w:sz w:val="22"/>
          <w:szCs w:val="22"/>
          <w:lang w:eastAsia="ko-KR"/>
        </w:rPr>
        <w:tab/>
      </w:r>
      <w:r>
        <w:rPr>
          <w:noProof/>
        </w:rPr>
        <w:t>CpProvisioning API</w:t>
      </w:r>
      <w:r>
        <w:rPr>
          <w:noProof/>
        </w:rPr>
        <w:tab/>
      </w:r>
      <w:r>
        <w:rPr>
          <w:noProof/>
        </w:rPr>
        <w:fldChar w:fldCharType="begin" w:fldLock="1"/>
      </w:r>
      <w:r>
        <w:rPr>
          <w:noProof/>
        </w:rPr>
        <w:instrText xml:space="preserve"> PAGEREF _Toc153625681 \h </w:instrText>
      </w:r>
      <w:r>
        <w:rPr>
          <w:noProof/>
        </w:rPr>
      </w:r>
      <w:r>
        <w:rPr>
          <w:noProof/>
        </w:rPr>
        <w:fldChar w:fldCharType="separate"/>
      </w:r>
      <w:r>
        <w:rPr>
          <w:noProof/>
        </w:rPr>
        <w:t>259</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5.10.1</w:t>
      </w:r>
      <w:r w:rsidRPr="00DD140B">
        <w:rPr>
          <w:rFonts w:ascii="Calibri" w:eastAsia="Malgun Gothic" w:hAnsi="Calibri"/>
          <w:noProof/>
          <w:sz w:val="22"/>
          <w:szCs w:val="22"/>
          <w:lang w:eastAsia="ko-KR"/>
        </w:rPr>
        <w:tab/>
      </w:r>
      <w:r>
        <w:rPr>
          <w:noProof/>
        </w:rPr>
        <w:t>Overview</w:t>
      </w:r>
      <w:r>
        <w:rPr>
          <w:noProof/>
        </w:rPr>
        <w:tab/>
      </w:r>
      <w:r>
        <w:rPr>
          <w:noProof/>
        </w:rPr>
        <w:fldChar w:fldCharType="begin" w:fldLock="1"/>
      </w:r>
      <w:r>
        <w:rPr>
          <w:noProof/>
        </w:rPr>
        <w:instrText xml:space="preserve"> PAGEREF _Toc153625682 \h </w:instrText>
      </w:r>
      <w:r>
        <w:rPr>
          <w:noProof/>
        </w:rPr>
      </w:r>
      <w:r>
        <w:rPr>
          <w:noProof/>
        </w:rPr>
        <w:fldChar w:fldCharType="separate"/>
      </w:r>
      <w:r>
        <w:rPr>
          <w:noProof/>
        </w:rPr>
        <w:t>259</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5.10.2</w:t>
      </w:r>
      <w:r w:rsidRPr="00DD140B">
        <w:rPr>
          <w:rFonts w:ascii="Calibri" w:eastAsia="Malgun Gothic" w:hAnsi="Calibri"/>
          <w:noProof/>
          <w:sz w:val="22"/>
          <w:szCs w:val="22"/>
          <w:lang w:eastAsia="ko-KR"/>
        </w:rPr>
        <w:tab/>
      </w:r>
      <w:r>
        <w:rPr>
          <w:noProof/>
        </w:rPr>
        <w:t>Data model</w:t>
      </w:r>
      <w:r>
        <w:rPr>
          <w:noProof/>
        </w:rPr>
        <w:tab/>
      </w:r>
      <w:r>
        <w:rPr>
          <w:noProof/>
        </w:rPr>
        <w:fldChar w:fldCharType="begin" w:fldLock="1"/>
      </w:r>
      <w:r>
        <w:rPr>
          <w:noProof/>
        </w:rPr>
        <w:instrText xml:space="preserve"> PAGEREF _Toc153625683 \h </w:instrText>
      </w:r>
      <w:r>
        <w:rPr>
          <w:noProof/>
        </w:rPr>
      </w:r>
      <w:r>
        <w:rPr>
          <w:noProof/>
        </w:rPr>
        <w:fldChar w:fldCharType="separate"/>
      </w:r>
      <w:r>
        <w:rPr>
          <w:noProof/>
        </w:rPr>
        <w:t>259</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5.10.2.1</w:t>
      </w:r>
      <w:r w:rsidRPr="00DD140B">
        <w:rPr>
          <w:rFonts w:ascii="Calibri" w:eastAsia="Malgun Gothic" w:hAnsi="Calibri"/>
          <w:noProof/>
          <w:sz w:val="22"/>
          <w:szCs w:val="22"/>
          <w:lang w:eastAsia="ko-KR"/>
        </w:rPr>
        <w:tab/>
      </w:r>
      <w:r>
        <w:rPr>
          <w:noProof/>
        </w:rPr>
        <w:t>Resource data types</w:t>
      </w:r>
      <w:r>
        <w:rPr>
          <w:noProof/>
        </w:rPr>
        <w:tab/>
      </w:r>
      <w:r>
        <w:rPr>
          <w:noProof/>
        </w:rPr>
        <w:fldChar w:fldCharType="begin" w:fldLock="1"/>
      </w:r>
      <w:r>
        <w:rPr>
          <w:noProof/>
        </w:rPr>
        <w:instrText xml:space="preserve"> PAGEREF _Toc153625684 \h </w:instrText>
      </w:r>
      <w:r>
        <w:rPr>
          <w:noProof/>
        </w:rPr>
      </w:r>
      <w:r>
        <w:rPr>
          <w:noProof/>
        </w:rPr>
        <w:fldChar w:fldCharType="separate"/>
      </w:r>
      <w:r>
        <w:rPr>
          <w:noProof/>
        </w:rPr>
        <w:t>259</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5.10.2.1.1</w:t>
      </w:r>
      <w:r w:rsidRPr="00DD140B">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_Toc153625685 \h </w:instrText>
      </w:r>
      <w:r>
        <w:rPr>
          <w:noProof/>
        </w:rPr>
      </w:r>
      <w:r>
        <w:rPr>
          <w:noProof/>
        </w:rPr>
        <w:fldChar w:fldCharType="separate"/>
      </w:r>
      <w:r>
        <w:rPr>
          <w:noProof/>
        </w:rPr>
        <w:t>259</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5.10.2.1.2</w:t>
      </w:r>
      <w:r w:rsidRPr="00DD140B">
        <w:rPr>
          <w:rFonts w:ascii="Calibri" w:eastAsia="Malgun Gothic" w:hAnsi="Calibri"/>
          <w:noProof/>
          <w:sz w:val="22"/>
          <w:szCs w:val="22"/>
          <w:lang w:eastAsia="ko-KR"/>
        </w:rPr>
        <w:tab/>
      </w:r>
      <w:r>
        <w:rPr>
          <w:noProof/>
        </w:rPr>
        <w:t>Type: CpInfo</w:t>
      </w:r>
      <w:r>
        <w:rPr>
          <w:noProof/>
        </w:rPr>
        <w:tab/>
      </w:r>
      <w:r>
        <w:rPr>
          <w:noProof/>
        </w:rPr>
        <w:fldChar w:fldCharType="begin" w:fldLock="1"/>
      </w:r>
      <w:r>
        <w:rPr>
          <w:noProof/>
        </w:rPr>
        <w:instrText xml:space="preserve"> PAGEREF _Toc153625686 \h </w:instrText>
      </w:r>
      <w:r>
        <w:rPr>
          <w:noProof/>
        </w:rPr>
      </w:r>
      <w:r>
        <w:rPr>
          <w:noProof/>
        </w:rPr>
        <w:fldChar w:fldCharType="separate"/>
      </w:r>
      <w:r>
        <w:rPr>
          <w:noProof/>
        </w:rPr>
        <w:t>260</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5.10.2.2</w:t>
      </w:r>
      <w:r w:rsidRPr="00DD140B">
        <w:rPr>
          <w:rFonts w:ascii="Calibri" w:eastAsia="Malgun Gothic" w:hAnsi="Calibri"/>
          <w:noProof/>
          <w:sz w:val="22"/>
          <w:szCs w:val="22"/>
          <w:lang w:eastAsia="ko-KR"/>
        </w:rPr>
        <w:tab/>
      </w:r>
      <w:r>
        <w:rPr>
          <w:noProof/>
        </w:rPr>
        <w:t>Referenced structured data types</w:t>
      </w:r>
      <w:r>
        <w:rPr>
          <w:noProof/>
        </w:rPr>
        <w:tab/>
      </w:r>
      <w:r>
        <w:rPr>
          <w:noProof/>
        </w:rPr>
        <w:fldChar w:fldCharType="begin" w:fldLock="1"/>
      </w:r>
      <w:r>
        <w:rPr>
          <w:noProof/>
        </w:rPr>
        <w:instrText xml:space="preserve"> PAGEREF _Toc153625687 \h </w:instrText>
      </w:r>
      <w:r>
        <w:rPr>
          <w:noProof/>
        </w:rPr>
      </w:r>
      <w:r>
        <w:rPr>
          <w:noProof/>
        </w:rPr>
        <w:fldChar w:fldCharType="separate"/>
      </w:r>
      <w:r>
        <w:rPr>
          <w:noProof/>
        </w:rPr>
        <w:t>262</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5.10.2.2.1</w:t>
      </w:r>
      <w:r w:rsidRPr="00DD140B">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_Toc153625688 \h </w:instrText>
      </w:r>
      <w:r>
        <w:rPr>
          <w:noProof/>
        </w:rPr>
      </w:r>
      <w:r>
        <w:rPr>
          <w:noProof/>
        </w:rPr>
        <w:fldChar w:fldCharType="separate"/>
      </w:r>
      <w:r>
        <w:rPr>
          <w:noProof/>
        </w:rPr>
        <w:t>262</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5.10.2.2.2</w:t>
      </w:r>
      <w:r w:rsidRPr="00DD140B">
        <w:rPr>
          <w:rFonts w:ascii="Calibri" w:eastAsia="Malgun Gothic" w:hAnsi="Calibri"/>
          <w:noProof/>
          <w:sz w:val="22"/>
          <w:szCs w:val="22"/>
          <w:lang w:eastAsia="ko-KR"/>
        </w:rPr>
        <w:tab/>
      </w:r>
      <w:r>
        <w:rPr>
          <w:noProof/>
        </w:rPr>
        <w:t xml:space="preserve">Type: </w:t>
      </w:r>
      <w:r w:rsidRPr="00677085">
        <w:rPr>
          <w:rFonts w:eastAsia="Times New Roman"/>
          <w:noProof/>
        </w:rPr>
        <w:t>CpParameterSet</w:t>
      </w:r>
      <w:r>
        <w:rPr>
          <w:noProof/>
        </w:rPr>
        <w:tab/>
      </w:r>
      <w:r>
        <w:rPr>
          <w:noProof/>
        </w:rPr>
        <w:fldChar w:fldCharType="begin" w:fldLock="1"/>
      </w:r>
      <w:r>
        <w:rPr>
          <w:noProof/>
        </w:rPr>
        <w:instrText xml:space="preserve"> PAGEREF _Toc153625689 \h </w:instrText>
      </w:r>
      <w:r>
        <w:rPr>
          <w:noProof/>
        </w:rPr>
      </w:r>
      <w:r>
        <w:rPr>
          <w:noProof/>
        </w:rPr>
        <w:fldChar w:fldCharType="separate"/>
      </w:r>
      <w:r>
        <w:rPr>
          <w:noProof/>
        </w:rPr>
        <w:t>262</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5.10.2.2.3</w:t>
      </w:r>
      <w:r w:rsidRPr="00DD140B">
        <w:rPr>
          <w:rFonts w:ascii="Calibri" w:eastAsia="Malgun Gothic" w:hAnsi="Calibri"/>
          <w:noProof/>
          <w:sz w:val="22"/>
          <w:szCs w:val="22"/>
          <w:lang w:eastAsia="ko-KR"/>
        </w:rPr>
        <w:tab/>
      </w:r>
      <w:r>
        <w:rPr>
          <w:noProof/>
        </w:rPr>
        <w:t xml:space="preserve">Type: </w:t>
      </w:r>
      <w:r w:rsidRPr="00677085">
        <w:rPr>
          <w:rFonts w:eastAsia="Times New Roman"/>
          <w:noProof/>
        </w:rPr>
        <w:t>ScheduledCommunicationTime</w:t>
      </w:r>
      <w:r>
        <w:rPr>
          <w:noProof/>
        </w:rPr>
        <w:tab/>
      </w:r>
      <w:r>
        <w:rPr>
          <w:noProof/>
        </w:rPr>
        <w:fldChar w:fldCharType="begin" w:fldLock="1"/>
      </w:r>
      <w:r>
        <w:rPr>
          <w:noProof/>
        </w:rPr>
        <w:instrText xml:space="preserve"> PAGEREF _Toc153625690 \h </w:instrText>
      </w:r>
      <w:r>
        <w:rPr>
          <w:noProof/>
        </w:rPr>
      </w:r>
      <w:r>
        <w:rPr>
          <w:noProof/>
        </w:rPr>
        <w:fldChar w:fldCharType="separate"/>
      </w:r>
      <w:r>
        <w:rPr>
          <w:noProof/>
        </w:rPr>
        <w:t>264</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5.10.2.2.4</w:t>
      </w:r>
      <w:r w:rsidRPr="00DD140B">
        <w:rPr>
          <w:rFonts w:ascii="Calibri" w:eastAsia="Malgun Gothic" w:hAnsi="Calibri"/>
          <w:noProof/>
          <w:sz w:val="22"/>
          <w:szCs w:val="22"/>
          <w:lang w:eastAsia="ko-KR"/>
        </w:rPr>
        <w:tab/>
      </w:r>
      <w:r>
        <w:rPr>
          <w:noProof/>
        </w:rPr>
        <w:t>Type: CpReport</w:t>
      </w:r>
      <w:r>
        <w:rPr>
          <w:noProof/>
        </w:rPr>
        <w:tab/>
      </w:r>
      <w:r>
        <w:rPr>
          <w:noProof/>
        </w:rPr>
        <w:fldChar w:fldCharType="begin" w:fldLock="1"/>
      </w:r>
      <w:r>
        <w:rPr>
          <w:noProof/>
        </w:rPr>
        <w:instrText xml:space="preserve"> PAGEREF _Toc153625691 \h </w:instrText>
      </w:r>
      <w:r>
        <w:rPr>
          <w:noProof/>
        </w:rPr>
      </w:r>
      <w:r>
        <w:rPr>
          <w:noProof/>
        </w:rPr>
        <w:fldChar w:fldCharType="separate"/>
      </w:r>
      <w:r>
        <w:rPr>
          <w:noProof/>
        </w:rPr>
        <w:t>264</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5.10.2.2.5</w:t>
      </w:r>
      <w:r w:rsidRPr="00DD140B">
        <w:rPr>
          <w:rFonts w:ascii="Calibri" w:eastAsia="Malgun Gothic" w:hAnsi="Calibri"/>
          <w:noProof/>
          <w:sz w:val="22"/>
          <w:szCs w:val="22"/>
          <w:lang w:eastAsia="ko-KR"/>
        </w:rPr>
        <w:tab/>
      </w:r>
      <w:r>
        <w:rPr>
          <w:noProof/>
        </w:rPr>
        <w:t>Type: Umt</w:t>
      </w:r>
      <w:r>
        <w:rPr>
          <w:noProof/>
          <w:lang w:eastAsia="zh-CN"/>
        </w:rPr>
        <w:t>LocationArea5G</w:t>
      </w:r>
      <w:r>
        <w:rPr>
          <w:noProof/>
        </w:rPr>
        <w:tab/>
      </w:r>
      <w:r>
        <w:rPr>
          <w:noProof/>
        </w:rPr>
        <w:fldChar w:fldCharType="begin" w:fldLock="1"/>
      </w:r>
      <w:r>
        <w:rPr>
          <w:noProof/>
        </w:rPr>
        <w:instrText xml:space="preserve"> PAGEREF _Toc153625692 \h </w:instrText>
      </w:r>
      <w:r>
        <w:rPr>
          <w:noProof/>
        </w:rPr>
      </w:r>
      <w:r>
        <w:rPr>
          <w:noProof/>
        </w:rPr>
        <w:fldChar w:fldCharType="separate"/>
      </w:r>
      <w:r>
        <w:rPr>
          <w:noProof/>
        </w:rPr>
        <w:t>264</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5.10.2.2.6</w:t>
      </w:r>
      <w:r w:rsidRPr="00DD140B">
        <w:rPr>
          <w:rFonts w:ascii="Calibri" w:eastAsia="Malgun Gothic" w:hAnsi="Calibri"/>
          <w:noProof/>
          <w:sz w:val="22"/>
          <w:szCs w:val="22"/>
          <w:lang w:eastAsia="ko-KR"/>
        </w:rPr>
        <w:tab/>
      </w:r>
      <w:r>
        <w:rPr>
          <w:noProof/>
        </w:rPr>
        <w:t>Type: AppExpUeBehaviour</w:t>
      </w:r>
      <w:r>
        <w:rPr>
          <w:noProof/>
        </w:rPr>
        <w:tab/>
      </w:r>
      <w:r>
        <w:rPr>
          <w:noProof/>
        </w:rPr>
        <w:fldChar w:fldCharType="begin" w:fldLock="1"/>
      </w:r>
      <w:r>
        <w:rPr>
          <w:noProof/>
        </w:rPr>
        <w:instrText xml:space="preserve"> PAGEREF _Toc153625693 \h </w:instrText>
      </w:r>
      <w:r>
        <w:rPr>
          <w:noProof/>
        </w:rPr>
      </w:r>
      <w:r>
        <w:rPr>
          <w:noProof/>
        </w:rPr>
        <w:fldChar w:fldCharType="separate"/>
      </w:r>
      <w:r>
        <w:rPr>
          <w:noProof/>
        </w:rPr>
        <w:t>266</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5.10.2.3</w:t>
      </w:r>
      <w:r w:rsidRPr="00DD140B">
        <w:rPr>
          <w:rFonts w:ascii="Calibri" w:eastAsia="Malgun Gothic" w:hAnsi="Calibri"/>
          <w:noProof/>
          <w:sz w:val="22"/>
          <w:szCs w:val="22"/>
          <w:lang w:eastAsia="ko-KR"/>
        </w:rPr>
        <w:tab/>
      </w:r>
      <w:r>
        <w:rPr>
          <w:noProof/>
        </w:rPr>
        <w:t>Referenced simple data types and enumerations</w:t>
      </w:r>
      <w:r>
        <w:rPr>
          <w:noProof/>
        </w:rPr>
        <w:tab/>
      </w:r>
      <w:r>
        <w:rPr>
          <w:noProof/>
        </w:rPr>
        <w:fldChar w:fldCharType="begin" w:fldLock="1"/>
      </w:r>
      <w:r>
        <w:rPr>
          <w:noProof/>
        </w:rPr>
        <w:instrText xml:space="preserve"> PAGEREF _Toc153625694 \h </w:instrText>
      </w:r>
      <w:r>
        <w:rPr>
          <w:noProof/>
        </w:rPr>
      </w:r>
      <w:r>
        <w:rPr>
          <w:noProof/>
        </w:rPr>
        <w:fldChar w:fldCharType="separate"/>
      </w:r>
      <w:r>
        <w:rPr>
          <w:noProof/>
        </w:rPr>
        <w:t>267</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5.10.2.3.1</w:t>
      </w:r>
      <w:r w:rsidRPr="00DD140B">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_Toc153625695 \h </w:instrText>
      </w:r>
      <w:r>
        <w:rPr>
          <w:noProof/>
        </w:rPr>
      </w:r>
      <w:r>
        <w:rPr>
          <w:noProof/>
        </w:rPr>
        <w:fldChar w:fldCharType="separate"/>
      </w:r>
      <w:r>
        <w:rPr>
          <w:noProof/>
        </w:rPr>
        <w:t>267</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5.10.2.3.2</w:t>
      </w:r>
      <w:r w:rsidRPr="00DD140B">
        <w:rPr>
          <w:rFonts w:ascii="Calibri" w:eastAsia="Malgun Gothic" w:hAnsi="Calibri"/>
          <w:noProof/>
          <w:sz w:val="22"/>
          <w:szCs w:val="22"/>
          <w:lang w:eastAsia="ko-KR"/>
        </w:rPr>
        <w:tab/>
      </w:r>
      <w:r>
        <w:rPr>
          <w:noProof/>
        </w:rPr>
        <w:t>Simple data types</w:t>
      </w:r>
      <w:r>
        <w:rPr>
          <w:noProof/>
        </w:rPr>
        <w:tab/>
      </w:r>
      <w:r>
        <w:rPr>
          <w:noProof/>
        </w:rPr>
        <w:fldChar w:fldCharType="begin" w:fldLock="1"/>
      </w:r>
      <w:r>
        <w:rPr>
          <w:noProof/>
        </w:rPr>
        <w:instrText xml:space="preserve"> PAGEREF _Toc153625696 \h </w:instrText>
      </w:r>
      <w:r>
        <w:rPr>
          <w:noProof/>
        </w:rPr>
      </w:r>
      <w:r>
        <w:rPr>
          <w:noProof/>
        </w:rPr>
        <w:fldChar w:fldCharType="separate"/>
      </w:r>
      <w:r>
        <w:rPr>
          <w:noProof/>
        </w:rPr>
        <w:t>267</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5.10.2.3.3</w:t>
      </w:r>
      <w:r w:rsidRPr="00DD140B">
        <w:rPr>
          <w:rFonts w:ascii="Calibri" w:eastAsia="Malgun Gothic" w:hAnsi="Calibri"/>
          <w:noProof/>
          <w:sz w:val="22"/>
          <w:szCs w:val="22"/>
          <w:lang w:eastAsia="ko-KR"/>
        </w:rPr>
        <w:tab/>
      </w:r>
      <w:r>
        <w:rPr>
          <w:noProof/>
        </w:rPr>
        <w:t xml:space="preserve">Enumeration: </w:t>
      </w:r>
      <w:r>
        <w:rPr>
          <w:noProof/>
          <w:lang w:eastAsia="zh-CN"/>
        </w:rPr>
        <w:t>CommunicationIndicator</w:t>
      </w:r>
      <w:r>
        <w:rPr>
          <w:noProof/>
        </w:rPr>
        <w:tab/>
      </w:r>
      <w:r>
        <w:rPr>
          <w:noProof/>
        </w:rPr>
        <w:fldChar w:fldCharType="begin" w:fldLock="1"/>
      </w:r>
      <w:r>
        <w:rPr>
          <w:noProof/>
        </w:rPr>
        <w:instrText xml:space="preserve"> PAGEREF _Toc153625697 \h </w:instrText>
      </w:r>
      <w:r>
        <w:rPr>
          <w:noProof/>
        </w:rPr>
      </w:r>
      <w:r>
        <w:rPr>
          <w:noProof/>
        </w:rPr>
        <w:fldChar w:fldCharType="separate"/>
      </w:r>
      <w:r>
        <w:rPr>
          <w:noProof/>
        </w:rPr>
        <w:t>267</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5.10.2.3.4</w:t>
      </w:r>
      <w:r w:rsidRPr="00DD140B">
        <w:rPr>
          <w:rFonts w:ascii="Calibri" w:eastAsia="Malgun Gothic" w:hAnsi="Calibri"/>
          <w:noProof/>
          <w:sz w:val="22"/>
          <w:szCs w:val="22"/>
          <w:lang w:eastAsia="ko-KR"/>
        </w:rPr>
        <w:tab/>
      </w:r>
      <w:r>
        <w:rPr>
          <w:noProof/>
        </w:rPr>
        <w:t xml:space="preserve">Enumeration: </w:t>
      </w:r>
      <w:r>
        <w:rPr>
          <w:noProof/>
          <w:lang w:eastAsia="zh-CN"/>
        </w:rPr>
        <w:t>StationaryIndication</w:t>
      </w:r>
      <w:r>
        <w:rPr>
          <w:noProof/>
        </w:rPr>
        <w:tab/>
      </w:r>
      <w:r>
        <w:rPr>
          <w:noProof/>
        </w:rPr>
        <w:fldChar w:fldCharType="begin" w:fldLock="1"/>
      </w:r>
      <w:r>
        <w:rPr>
          <w:noProof/>
        </w:rPr>
        <w:instrText xml:space="preserve"> PAGEREF _Toc153625698 \h </w:instrText>
      </w:r>
      <w:r>
        <w:rPr>
          <w:noProof/>
        </w:rPr>
      </w:r>
      <w:r>
        <w:rPr>
          <w:noProof/>
        </w:rPr>
        <w:fldChar w:fldCharType="separate"/>
      </w:r>
      <w:r>
        <w:rPr>
          <w:noProof/>
        </w:rPr>
        <w:t>267</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5.10.2.3.5</w:t>
      </w:r>
      <w:r w:rsidRPr="00DD140B">
        <w:rPr>
          <w:rFonts w:ascii="Calibri" w:eastAsia="Malgun Gothic" w:hAnsi="Calibri"/>
          <w:noProof/>
          <w:sz w:val="22"/>
          <w:szCs w:val="22"/>
          <w:lang w:eastAsia="ko-KR"/>
        </w:rPr>
        <w:tab/>
      </w:r>
      <w:r>
        <w:rPr>
          <w:noProof/>
        </w:rPr>
        <w:t>Enumeration: CpFailureCode</w:t>
      </w:r>
      <w:r>
        <w:rPr>
          <w:noProof/>
        </w:rPr>
        <w:tab/>
      </w:r>
      <w:r>
        <w:rPr>
          <w:noProof/>
        </w:rPr>
        <w:fldChar w:fldCharType="begin" w:fldLock="1"/>
      </w:r>
      <w:r>
        <w:rPr>
          <w:noProof/>
        </w:rPr>
        <w:instrText xml:space="preserve"> PAGEREF _Toc153625699 \h </w:instrText>
      </w:r>
      <w:r>
        <w:rPr>
          <w:noProof/>
        </w:rPr>
      </w:r>
      <w:r>
        <w:rPr>
          <w:noProof/>
        </w:rPr>
        <w:fldChar w:fldCharType="separate"/>
      </w:r>
      <w:r>
        <w:rPr>
          <w:noProof/>
        </w:rPr>
        <w:t>267</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5.10.2.3.6</w:t>
      </w:r>
      <w:r w:rsidRPr="00DD140B">
        <w:rPr>
          <w:rFonts w:ascii="Calibri" w:eastAsia="Malgun Gothic" w:hAnsi="Calibri"/>
          <w:noProof/>
          <w:sz w:val="22"/>
          <w:szCs w:val="22"/>
          <w:lang w:eastAsia="ko-KR"/>
        </w:rPr>
        <w:tab/>
      </w:r>
      <w:r>
        <w:rPr>
          <w:noProof/>
        </w:rPr>
        <w:t>Enumeration: BatteryIndication</w:t>
      </w:r>
      <w:r>
        <w:rPr>
          <w:noProof/>
        </w:rPr>
        <w:tab/>
      </w:r>
      <w:r>
        <w:rPr>
          <w:noProof/>
        </w:rPr>
        <w:fldChar w:fldCharType="begin" w:fldLock="1"/>
      </w:r>
      <w:r>
        <w:rPr>
          <w:noProof/>
        </w:rPr>
        <w:instrText xml:space="preserve"> PAGEREF _Toc153625700 \h </w:instrText>
      </w:r>
      <w:r>
        <w:rPr>
          <w:noProof/>
        </w:rPr>
      </w:r>
      <w:r>
        <w:rPr>
          <w:noProof/>
        </w:rPr>
        <w:fldChar w:fldCharType="separate"/>
      </w:r>
      <w:r>
        <w:rPr>
          <w:noProof/>
        </w:rPr>
        <w:t>268</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5.10.2.3.7</w:t>
      </w:r>
      <w:r w:rsidRPr="00DD140B">
        <w:rPr>
          <w:rFonts w:ascii="Calibri" w:eastAsia="Malgun Gothic" w:hAnsi="Calibri"/>
          <w:noProof/>
          <w:sz w:val="22"/>
          <w:szCs w:val="22"/>
          <w:lang w:eastAsia="ko-KR"/>
        </w:rPr>
        <w:tab/>
      </w:r>
      <w:r>
        <w:rPr>
          <w:noProof/>
        </w:rPr>
        <w:t>Enumeration: TrafficProfile</w:t>
      </w:r>
      <w:r>
        <w:rPr>
          <w:noProof/>
        </w:rPr>
        <w:tab/>
      </w:r>
      <w:r>
        <w:rPr>
          <w:noProof/>
        </w:rPr>
        <w:fldChar w:fldCharType="begin" w:fldLock="1"/>
      </w:r>
      <w:r>
        <w:rPr>
          <w:noProof/>
        </w:rPr>
        <w:instrText xml:space="preserve"> PAGEREF _Toc153625701 \h </w:instrText>
      </w:r>
      <w:r>
        <w:rPr>
          <w:noProof/>
        </w:rPr>
      </w:r>
      <w:r>
        <w:rPr>
          <w:noProof/>
        </w:rPr>
        <w:fldChar w:fldCharType="separate"/>
      </w:r>
      <w:r>
        <w:rPr>
          <w:noProof/>
        </w:rPr>
        <w:t>268</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5.10.2.3.8A</w:t>
      </w:r>
      <w:r w:rsidRPr="00DD140B">
        <w:rPr>
          <w:rFonts w:ascii="Calibri" w:eastAsia="Malgun Gothic" w:hAnsi="Calibri"/>
          <w:noProof/>
          <w:sz w:val="22"/>
          <w:szCs w:val="22"/>
          <w:lang w:eastAsia="ko-KR"/>
        </w:rPr>
        <w:tab/>
      </w:r>
      <w:r>
        <w:rPr>
          <w:noProof/>
        </w:rPr>
        <w:t>Enumeration: ScheduledCommunicationType</w:t>
      </w:r>
      <w:r>
        <w:rPr>
          <w:noProof/>
        </w:rPr>
        <w:tab/>
      </w:r>
      <w:r>
        <w:rPr>
          <w:noProof/>
        </w:rPr>
        <w:fldChar w:fldCharType="begin" w:fldLock="1"/>
      </w:r>
      <w:r>
        <w:rPr>
          <w:noProof/>
        </w:rPr>
        <w:instrText xml:space="preserve"> PAGEREF _Toc153625702 \h </w:instrText>
      </w:r>
      <w:r>
        <w:rPr>
          <w:noProof/>
        </w:rPr>
      </w:r>
      <w:r>
        <w:rPr>
          <w:noProof/>
        </w:rPr>
        <w:fldChar w:fldCharType="separate"/>
      </w:r>
      <w:r>
        <w:rPr>
          <w:noProof/>
        </w:rPr>
        <w:t>268</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5.10.3</w:t>
      </w:r>
      <w:r w:rsidRPr="00DD140B">
        <w:rPr>
          <w:rFonts w:ascii="Calibri" w:eastAsia="Malgun Gothic" w:hAnsi="Calibri"/>
          <w:noProof/>
          <w:sz w:val="22"/>
          <w:szCs w:val="22"/>
          <w:lang w:eastAsia="ko-KR"/>
        </w:rPr>
        <w:tab/>
      </w:r>
      <w:r>
        <w:rPr>
          <w:noProof/>
        </w:rPr>
        <w:t>Resource structure</w:t>
      </w:r>
      <w:r>
        <w:rPr>
          <w:noProof/>
        </w:rPr>
        <w:tab/>
      </w:r>
      <w:r>
        <w:rPr>
          <w:noProof/>
        </w:rPr>
        <w:fldChar w:fldCharType="begin" w:fldLock="1"/>
      </w:r>
      <w:r>
        <w:rPr>
          <w:noProof/>
        </w:rPr>
        <w:instrText xml:space="preserve"> PAGEREF _Toc153625703 \h </w:instrText>
      </w:r>
      <w:r>
        <w:rPr>
          <w:noProof/>
        </w:rPr>
      </w:r>
      <w:r>
        <w:rPr>
          <w:noProof/>
        </w:rPr>
        <w:fldChar w:fldCharType="separate"/>
      </w:r>
      <w:r>
        <w:rPr>
          <w:noProof/>
        </w:rPr>
        <w:t>269</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5.10.3.1</w:t>
      </w:r>
      <w:r w:rsidRPr="00DD140B">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_Toc153625704 \h </w:instrText>
      </w:r>
      <w:r>
        <w:rPr>
          <w:noProof/>
        </w:rPr>
      </w:r>
      <w:r>
        <w:rPr>
          <w:noProof/>
        </w:rPr>
        <w:fldChar w:fldCharType="separate"/>
      </w:r>
      <w:r>
        <w:rPr>
          <w:noProof/>
        </w:rPr>
        <w:t>269</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5.10.3.2</w:t>
      </w:r>
      <w:r w:rsidRPr="00DD140B">
        <w:rPr>
          <w:rFonts w:ascii="Calibri" w:eastAsia="Malgun Gothic" w:hAnsi="Calibri"/>
          <w:noProof/>
          <w:sz w:val="22"/>
          <w:szCs w:val="22"/>
          <w:lang w:eastAsia="ko-KR"/>
        </w:rPr>
        <w:tab/>
      </w:r>
      <w:r>
        <w:rPr>
          <w:noProof/>
        </w:rPr>
        <w:t>Resource: CP Provisioning Subscriptions</w:t>
      </w:r>
      <w:r>
        <w:rPr>
          <w:noProof/>
        </w:rPr>
        <w:tab/>
      </w:r>
      <w:r>
        <w:rPr>
          <w:noProof/>
        </w:rPr>
        <w:fldChar w:fldCharType="begin" w:fldLock="1"/>
      </w:r>
      <w:r>
        <w:rPr>
          <w:noProof/>
        </w:rPr>
        <w:instrText xml:space="preserve"> PAGEREF _Toc153625705 \h </w:instrText>
      </w:r>
      <w:r>
        <w:rPr>
          <w:noProof/>
        </w:rPr>
      </w:r>
      <w:r>
        <w:rPr>
          <w:noProof/>
        </w:rPr>
        <w:fldChar w:fldCharType="separate"/>
      </w:r>
      <w:r>
        <w:rPr>
          <w:noProof/>
        </w:rPr>
        <w:t>269</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5.10.3.2.1</w:t>
      </w:r>
      <w:r w:rsidRPr="00DD140B">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_Toc153625706 \h </w:instrText>
      </w:r>
      <w:r>
        <w:rPr>
          <w:noProof/>
        </w:rPr>
      </w:r>
      <w:r>
        <w:rPr>
          <w:noProof/>
        </w:rPr>
        <w:fldChar w:fldCharType="separate"/>
      </w:r>
      <w:r>
        <w:rPr>
          <w:noProof/>
        </w:rPr>
        <w:t>269</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5.10.3.2.2</w:t>
      </w:r>
      <w:r w:rsidRPr="00DD140B">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_Toc153625707 \h </w:instrText>
      </w:r>
      <w:r>
        <w:rPr>
          <w:noProof/>
        </w:rPr>
      </w:r>
      <w:r>
        <w:rPr>
          <w:noProof/>
        </w:rPr>
        <w:fldChar w:fldCharType="separate"/>
      </w:r>
      <w:r>
        <w:rPr>
          <w:noProof/>
        </w:rPr>
        <w:t>270</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5.10.3.2.3</w:t>
      </w:r>
      <w:r w:rsidRPr="00DD140B">
        <w:rPr>
          <w:rFonts w:ascii="Calibri" w:eastAsia="Malgun Gothic" w:hAnsi="Calibri"/>
          <w:noProof/>
          <w:sz w:val="22"/>
          <w:szCs w:val="22"/>
          <w:lang w:eastAsia="ko-KR"/>
        </w:rPr>
        <w:tab/>
      </w:r>
      <w:r>
        <w:rPr>
          <w:noProof/>
        </w:rPr>
        <w:t>Resource methods</w:t>
      </w:r>
      <w:r>
        <w:rPr>
          <w:noProof/>
        </w:rPr>
        <w:tab/>
      </w:r>
      <w:r>
        <w:rPr>
          <w:noProof/>
        </w:rPr>
        <w:fldChar w:fldCharType="begin" w:fldLock="1"/>
      </w:r>
      <w:r>
        <w:rPr>
          <w:noProof/>
        </w:rPr>
        <w:instrText xml:space="preserve"> PAGEREF _Toc153625708 \h </w:instrText>
      </w:r>
      <w:r>
        <w:rPr>
          <w:noProof/>
        </w:rPr>
      </w:r>
      <w:r>
        <w:rPr>
          <w:noProof/>
        </w:rPr>
        <w:fldChar w:fldCharType="separate"/>
      </w:r>
      <w:r>
        <w:rPr>
          <w:noProof/>
        </w:rPr>
        <w:t>270</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5.10.3.2.3.1</w:t>
      </w:r>
      <w:r w:rsidRPr="00DD140B">
        <w:rPr>
          <w:rFonts w:ascii="Calibri" w:eastAsia="Malgun Gothic" w:hAnsi="Calibri"/>
          <w:noProof/>
          <w:sz w:val="22"/>
          <w:szCs w:val="22"/>
          <w:lang w:eastAsia="ko-KR"/>
        </w:rPr>
        <w:tab/>
      </w:r>
      <w:r>
        <w:rPr>
          <w:noProof/>
        </w:rPr>
        <w:t>GET</w:t>
      </w:r>
      <w:r>
        <w:rPr>
          <w:noProof/>
        </w:rPr>
        <w:tab/>
      </w:r>
      <w:r>
        <w:rPr>
          <w:noProof/>
        </w:rPr>
        <w:fldChar w:fldCharType="begin" w:fldLock="1"/>
      </w:r>
      <w:r>
        <w:rPr>
          <w:noProof/>
        </w:rPr>
        <w:instrText xml:space="preserve"> PAGEREF _Toc153625709 \h </w:instrText>
      </w:r>
      <w:r>
        <w:rPr>
          <w:noProof/>
        </w:rPr>
      </w:r>
      <w:r>
        <w:rPr>
          <w:noProof/>
        </w:rPr>
        <w:fldChar w:fldCharType="separate"/>
      </w:r>
      <w:r>
        <w:rPr>
          <w:noProof/>
        </w:rPr>
        <w:t>270</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5.10.3.2.3.2</w:t>
      </w:r>
      <w:r w:rsidRPr="00DD140B">
        <w:rPr>
          <w:rFonts w:ascii="Calibri" w:eastAsia="Malgun Gothic" w:hAnsi="Calibri"/>
          <w:noProof/>
          <w:sz w:val="22"/>
          <w:szCs w:val="22"/>
          <w:lang w:eastAsia="ko-KR"/>
        </w:rPr>
        <w:tab/>
      </w:r>
      <w:r>
        <w:rPr>
          <w:noProof/>
        </w:rPr>
        <w:t>PUT</w:t>
      </w:r>
      <w:r>
        <w:rPr>
          <w:noProof/>
        </w:rPr>
        <w:tab/>
      </w:r>
      <w:r>
        <w:rPr>
          <w:noProof/>
        </w:rPr>
        <w:fldChar w:fldCharType="begin" w:fldLock="1"/>
      </w:r>
      <w:r>
        <w:rPr>
          <w:noProof/>
        </w:rPr>
        <w:instrText xml:space="preserve"> PAGEREF _Toc153625710 \h </w:instrText>
      </w:r>
      <w:r>
        <w:rPr>
          <w:noProof/>
        </w:rPr>
      </w:r>
      <w:r>
        <w:rPr>
          <w:noProof/>
        </w:rPr>
        <w:fldChar w:fldCharType="separate"/>
      </w:r>
      <w:r>
        <w:rPr>
          <w:noProof/>
        </w:rPr>
        <w:t>271</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5.10.3.2.3.3</w:t>
      </w:r>
      <w:r w:rsidRPr="00DD140B">
        <w:rPr>
          <w:rFonts w:ascii="Calibri" w:eastAsia="Malgun Gothic" w:hAnsi="Calibri"/>
          <w:noProof/>
          <w:sz w:val="22"/>
          <w:szCs w:val="22"/>
          <w:lang w:eastAsia="ko-KR"/>
        </w:rPr>
        <w:tab/>
      </w:r>
      <w:r>
        <w:rPr>
          <w:noProof/>
        </w:rPr>
        <w:t>PATCH</w:t>
      </w:r>
      <w:r>
        <w:rPr>
          <w:noProof/>
        </w:rPr>
        <w:tab/>
      </w:r>
      <w:r>
        <w:rPr>
          <w:noProof/>
        </w:rPr>
        <w:fldChar w:fldCharType="begin" w:fldLock="1"/>
      </w:r>
      <w:r>
        <w:rPr>
          <w:noProof/>
        </w:rPr>
        <w:instrText xml:space="preserve"> PAGEREF _Toc153625711 \h </w:instrText>
      </w:r>
      <w:r>
        <w:rPr>
          <w:noProof/>
        </w:rPr>
      </w:r>
      <w:r>
        <w:rPr>
          <w:noProof/>
        </w:rPr>
        <w:fldChar w:fldCharType="separate"/>
      </w:r>
      <w:r>
        <w:rPr>
          <w:noProof/>
        </w:rPr>
        <w:t>271</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5.10.3.2.3.4</w:t>
      </w:r>
      <w:r w:rsidRPr="00DD140B">
        <w:rPr>
          <w:rFonts w:ascii="Calibri" w:eastAsia="Malgun Gothic" w:hAnsi="Calibri"/>
          <w:noProof/>
          <w:sz w:val="22"/>
          <w:szCs w:val="22"/>
          <w:lang w:eastAsia="ko-KR"/>
        </w:rPr>
        <w:tab/>
      </w:r>
      <w:r>
        <w:rPr>
          <w:noProof/>
        </w:rPr>
        <w:t>POST</w:t>
      </w:r>
      <w:r>
        <w:rPr>
          <w:noProof/>
        </w:rPr>
        <w:tab/>
      </w:r>
      <w:r>
        <w:rPr>
          <w:noProof/>
        </w:rPr>
        <w:fldChar w:fldCharType="begin" w:fldLock="1"/>
      </w:r>
      <w:r>
        <w:rPr>
          <w:noProof/>
        </w:rPr>
        <w:instrText xml:space="preserve"> PAGEREF _Toc153625712 \h </w:instrText>
      </w:r>
      <w:r>
        <w:rPr>
          <w:noProof/>
        </w:rPr>
      </w:r>
      <w:r>
        <w:rPr>
          <w:noProof/>
        </w:rPr>
        <w:fldChar w:fldCharType="separate"/>
      </w:r>
      <w:r>
        <w:rPr>
          <w:noProof/>
        </w:rPr>
        <w:t>271</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5.10.3.2.3.5</w:t>
      </w:r>
      <w:r w:rsidRPr="00DD140B">
        <w:rPr>
          <w:rFonts w:ascii="Calibri" w:eastAsia="Malgun Gothic" w:hAnsi="Calibri"/>
          <w:noProof/>
          <w:sz w:val="22"/>
          <w:szCs w:val="22"/>
          <w:lang w:eastAsia="ko-KR"/>
        </w:rPr>
        <w:tab/>
      </w:r>
      <w:r>
        <w:rPr>
          <w:noProof/>
        </w:rPr>
        <w:t>DELETE</w:t>
      </w:r>
      <w:r>
        <w:rPr>
          <w:noProof/>
        </w:rPr>
        <w:tab/>
      </w:r>
      <w:r>
        <w:rPr>
          <w:noProof/>
        </w:rPr>
        <w:fldChar w:fldCharType="begin" w:fldLock="1"/>
      </w:r>
      <w:r>
        <w:rPr>
          <w:noProof/>
        </w:rPr>
        <w:instrText xml:space="preserve"> PAGEREF _Toc153625713 \h </w:instrText>
      </w:r>
      <w:r>
        <w:rPr>
          <w:noProof/>
        </w:rPr>
      </w:r>
      <w:r>
        <w:rPr>
          <w:noProof/>
        </w:rPr>
        <w:fldChar w:fldCharType="separate"/>
      </w:r>
      <w:r>
        <w:rPr>
          <w:noProof/>
        </w:rPr>
        <w:t>271</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5.10.3.3</w:t>
      </w:r>
      <w:r w:rsidRPr="00DD140B">
        <w:rPr>
          <w:rFonts w:ascii="Calibri" w:eastAsia="Malgun Gothic" w:hAnsi="Calibri"/>
          <w:noProof/>
          <w:sz w:val="22"/>
          <w:szCs w:val="22"/>
          <w:lang w:eastAsia="ko-KR"/>
        </w:rPr>
        <w:tab/>
      </w:r>
      <w:r>
        <w:rPr>
          <w:noProof/>
        </w:rPr>
        <w:t>Resource: Individual CP Provisioning Subscription</w:t>
      </w:r>
      <w:r>
        <w:rPr>
          <w:noProof/>
        </w:rPr>
        <w:tab/>
      </w:r>
      <w:r>
        <w:rPr>
          <w:noProof/>
        </w:rPr>
        <w:fldChar w:fldCharType="begin" w:fldLock="1"/>
      </w:r>
      <w:r>
        <w:rPr>
          <w:noProof/>
        </w:rPr>
        <w:instrText xml:space="preserve"> PAGEREF _Toc153625714 \h </w:instrText>
      </w:r>
      <w:r>
        <w:rPr>
          <w:noProof/>
        </w:rPr>
      </w:r>
      <w:r>
        <w:rPr>
          <w:noProof/>
        </w:rPr>
        <w:fldChar w:fldCharType="separate"/>
      </w:r>
      <w:r>
        <w:rPr>
          <w:noProof/>
        </w:rPr>
        <w:t>272</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5.10.3.3.1</w:t>
      </w:r>
      <w:r w:rsidRPr="00DD140B">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_Toc153625715 \h </w:instrText>
      </w:r>
      <w:r>
        <w:rPr>
          <w:noProof/>
        </w:rPr>
      </w:r>
      <w:r>
        <w:rPr>
          <w:noProof/>
        </w:rPr>
        <w:fldChar w:fldCharType="separate"/>
      </w:r>
      <w:r>
        <w:rPr>
          <w:noProof/>
        </w:rPr>
        <w:t>272</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5.10.3.3.2</w:t>
      </w:r>
      <w:r w:rsidRPr="00DD140B">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_Toc153625716 \h </w:instrText>
      </w:r>
      <w:r>
        <w:rPr>
          <w:noProof/>
        </w:rPr>
      </w:r>
      <w:r>
        <w:rPr>
          <w:noProof/>
        </w:rPr>
        <w:fldChar w:fldCharType="separate"/>
      </w:r>
      <w:r>
        <w:rPr>
          <w:noProof/>
        </w:rPr>
        <w:t>272</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5.10.3.3.3</w:t>
      </w:r>
      <w:r w:rsidRPr="00DD140B">
        <w:rPr>
          <w:rFonts w:ascii="Calibri" w:eastAsia="Malgun Gothic" w:hAnsi="Calibri"/>
          <w:noProof/>
          <w:sz w:val="22"/>
          <w:szCs w:val="22"/>
          <w:lang w:eastAsia="ko-KR"/>
        </w:rPr>
        <w:tab/>
      </w:r>
      <w:r>
        <w:rPr>
          <w:noProof/>
        </w:rPr>
        <w:t>Resource methods</w:t>
      </w:r>
      <w:r>
        <w:rPr>
          <w:noProof/>
        </w:rPr>
        <w:tab/>
      </w:r>
      <w:r>
        <w:rPr>
          <w:noProof/>
        </w:rPr>
        <w:fldChar w:fldCharType="begin" w:fldLock="1"/>
      </w:r>
      <w:r>
        <w:rPr>
          <w:noProof/>
        </w:rPr>
        <w:instrText xml:space="preserve"> PAGEREF _Toc153625717 \h </w:instrText>
      </w:r>
      <w:r>
        <w:rPr>
          <w:noProof/>
        </w:rPr>
      </w:r>
      <w:r>
        <w:rPr>
          <w:noProof/>
        </w:rPr>
        <w:fldChar w:fldCharType="separate"/>
      </w:r>
      <w:r>
        <w:rPr>
          <w:noProof/>
        </w:rPr>
        <w:t>272</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5.10.3.3.3.1</w:t>
      </w:r>
      <w:r w:rsidRPr="00DD140B">
        <w:rPr>
          <w:rFonts w:ascii="Calibri" w:eastAsia="Malgun Gothic" w:hAnsi="Calibri"/>
          <w:noProof/>
          <w:sz w:val="22"/>
          <w:szCs w:val="22"/>
          <w:lang w:eastAsia="ko-KR"/>
        </w:rPr>
        <w:tab/>
      </w:r>
      <w:r>
        <w:rPr>
          <w:noProof/>
        </w:rPr>
        <w:t>GET</w:t>
      </w:r>
      <w:r>
        <w:rPr>
          <w:noProof/>
        </w:rPr>
        <w:tab/>
      </w:r>
      <w:r>
        <w:rPr>
          <w:noProof/>
        </w:rPr>
        <w:fldChar w:fldCharType="begin" w:fldLock="1"/>
      </w:r>
      <w:r>
        <w:rPr>
          <w:noProof/>
        </w:rPr>
        <w:instrText xml:space="preserve"> PAGEREF _Toc153625718 \h </w:instrText>
      </w:r>
      <w:r>
        <w:rPr>
          <w:noProof/>
        </w:rPr>
      </w:r>
      <w:r>
        <w:rPr>
          <w:noProof/>
        </w:rPr>
        <w:fldChar w:fldCharType="separate"/>
      </w:r>
      <w:r>
        <w:rPr>
          <w:noProof/>
        </w:rPr>
        <w:t>272</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5.10.3.3.3.2</w:t>
      </w:r>
      <w:r w:rsidRPr="00DD140B">
        <w:rPr>
          <w:rFonts w:ascii="Calibri" w:eastAsia="Malgun Gothic" w:hAnsi="Calibri"/>
          <w:noProof/>
          <w:sz w:val="22"/>
          <w:szCs w:val="22"/>
          <w:lang w:eastAsia="ko-KR"/>
        </w:rPr>
        <w:tab/>
      </w:r>
      <w:r>
        <w:rPr>
          <w:noProof/>
        </w:rPr>
        <w:t>PUT</w:t>
      </w:r>
      <w:r>
        <w:rPr>
          <w:noProof/>
        </w:rPr>
        <w:tab/>
      </w:r>
      <w:r>
        <w:rPr>
          <w:noProof/>
        </w:rPr>
        <w:fldChar w:fldCharType="begin" w:fldLock="1"/>
      </w:r>
      <w:r>
        <w:rPr>
          <w:noProof/>
        </w:rPr>
        <w:instrText xml:space="preserve"> PAGEREF _Toc153625719 \h </w:instrText>
      </w:r>
      <w:r>
        <w:rPr>
          <w:noProof/>
        </w:rPr>
      </w:r>
      <w:r>
        <w:rPr>
          <w:noProof/>
        </w:rPr>
        <w:fldChar w:fldCharType="separate"/>
      </w:r>
      <w:r>
        <w:rPr>
          <w:noProof/>
        </w:rPr>
        <w:t>273</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5.10.3.3.3.3</w:t>
      </w:r>
      <w:r w:rsidRPr="00DD140B">
        <w:rPr>
          <w:rFonts w:ascii="Calibri" w:eastAsia="Malgun Gothic" w:hAnsi="Calibri"/>
          <w:noProof/>
          <w:sz w:val="22"/>
          <w:szCs w:val="22"/>
          <w:lang w:eastAsia="ko-KR"/>
        </w:rPr>
        <w:tab/>
      </w:r>
      <w:r>
        <w:rPr>
          <w:noProof/>
        </w:rPr>
        <w:t>PATCH</w:t>
      </w:r>
      <w:r>
        <w:rPr>
          <w:noProof/>
        </w:rPr>
        <w:tab/>
      </w:r>
      <w:r>
        <w:rPr>
          <w:noProof/>
        </w:rPr>
        <w:fldChar w:fldCharType="begin" w:fldLock="1"/>
      </w:r>
      <w:r>
        <w:rPr>
          <w:noProof/>
        </w:rPr>
        <w:instrText xml:space="preserve"> PAGEREF _Toc153625720 \h </w:instrText>
      </w:r>
      <w:r>
        <w:rPr>
          <w:noProof/>
        </w:rPr>
      </w:r>
      <w:r>
        <w:rPr>
          <w:noProof/>
        </w:rPr>
        <w:fldChar w:fldCharType="separate"/>
      </w:r>
      <w:r>
        <w:rPr>
          <w:noProof/>
        </w:rPr>
        <w:t>274</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5.10.3.3.3.4</w:t>
      </w:r>
      <w:r w:rsidRPr="00DD140B">
        <w:rPr>
          <w:rFonts w:ascii="Calibri" w:eastAsia="Malgun Gothic" w:hAnsi="Calibri"/>
          <w:noProof/>
          <w:sz w:val="22"/>
          <w:szCs w:val="22"/>
          <w:lang w:eastAsia="ko-KR"/>
        </w:rPr>
        <w:tab/>
      </w:r>
      <w:r>
        <w:rPr>
          <w:noProof/>
        </w:rPr>
        <w:t>POST</w:t>
      </w:r>
      <w:r>
        <w:rPr>
          <w:noProof/>
        </w:rPr>
        <w:tab/>
      </w:r>
      <w:r>
        <w:rPr>
          <w:noProof/>
        </w:rPr>
        <w:fldChar w:fldCharType="begin" w:fldLock="1"/>
      </w:r>
      <w:r>
        <w:rPr>
          <w:noProof/>
        </w:rPr>
        <w:instrText xml:space="preserve"> PAGEREF _Toc153625721 \h </w:instrText>
      </w:r>
      <w:r>
        <w:rPr>
          <w:noProof/>
        </w:rPr>
      </w:r>
      <w:r>
        <w:rPr>
          <w:noProof/>
        </w:rPr>
        <w:fldChar w:fldCharType="separate"/>
      </w:r>
      <w:r>
        <w:rPr>
          <w:noProof/>
        </w:rPr>
        <w:t>274</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5.10.3.3.3.5</w:t>
      </w:r>
      <w:r w:rsidRPr="00DD140B">
        <w:rPr>
          <w:rFonts w:ascii="Calibri" w:eastAsia="Malgun Gothic" w:hAnsi="Calibri"/>
          <w:noProof/>
          <w:sz w:val="22"/>
          <w:szCs w:val="22"/>
          <w:lang w:eastAsia="ko-KR"/>
        </w:rPr>
        <w:tab/>
      </w:r>
      <w:r>
        <w:rPr>
          <w:noProof/>
        </w:rPr>
        <w:t>DELETE</w:t>
      </w:r>
      <w:r>
        <w:rPr>
          <w:noProof/>
        </w:rPr>
        <w:tab/>
      </w:r>
      <w:r>
        <w:rPr>
          <w:noProof/>
        </w:rPr>
        <w:fldChar w:fldCharType="begin" w:fldLock="1"/>
      </w:r>
      <w:r>
        <w:rPr>
          <w:noProof/>
        </w:rPr>
        <w:instrText xml:space="preserve"> PAGEREF _Toc153625722 \h </w:instrText>
      </w:r>
      <w:r>
        <w:rPr>
          <w:noProof/>
        </w:rPr>
      </w:r>
      <w:r>
        <w:rPr>
          <w:noProof/>
        </w:rPr>
        <w:fldChar w:fldCharType="separate"/>
      </w:r>
      <w:r>
        <w:rPr>
          <w:noProof/>
        </w:rPr>
        <w:t>274</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5.10.3.4</w:t>
      </w:r>
      <w:r w:rsidRPr="00DD140B">
        <w:rPr>
          <w:rFonts w:ascii="Calibri" w:eastAsia="Malgun Gothic" w:hAnsi="Calibri"/>
          <w:noProof/>
          <w:sz w:val="22"/>
          <w:szCs w:val="22"/>
          <w:lang w:eastAsia="ko-KR"/>
        </w:rPr>
        <w:tab/>
      </w:r>
      <w:r>
        <w:rPr>
          <w:noProof/>
        </w:rPr>
        <w:t>Resource: Individual CP Set Provisioning</w:t>
      </w:r>
      <w:r>
        <w:rPr>
          <w:noProof/>
        </w:rPr>
        <w:tab/>
      </w:r>
      <w:r>
        <w:rPr>
          <w:noProof/>
        </w:rPr>
        <w:fldChar w:fldCharType="begin" w:fldLock="1"/>
      </w:r>
      <w:r>
        <w:rPr>
          <w:noProof/>
        </w:rPr>
        <w:instrText xml:space="preserve"> PAGEREF _Toc153625723 \h </w:instrText>
      </w:r>
      <w:r>
        <w:rPr>
          <w:noProof/>
        </w:rPr>
      </w:r>
      <w:r>
        <w:rPr>
          <w:noProof/>
        </w:rPr>
        <w:fldChar w:fldCharType="separate"/>
      </w:r>
      <w:r>
        <w:rPr>
          <w:noProof/>
        </w:rPr>
        <w:t>275</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5.10.3.4.1</w:t>
      </w:r>
      <w:r w:rsidRPr="00DD140B">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_Toc153625724 \h </w:instrText>
      </w:r>
      <w:r>
        <w:rPr>
          <w:noProof/>
        </w:rPr>
      </w:r>
      <w:r>
        <w:rPr>
          <w:noProof/>
        </w:rPr>
        <w:fldChar w:fldCharType="separate"/>
      </w:r>
      <w:r>
        <w:rPr>
          <w:noProof/>
        </w:rPr>
        <w:t>275</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5.10.3.4.2</w:t>
      </w:r>
      <w:r w:rsidRPr="00DD140B">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_Toc153625725 \h </w:instrText>
      </w:r>
      <w:r>
        <w:rPr>
          <w:noProof/>
        </w:rPr>
      </w:r>
      <w:r>
        <w:rPr>
          <w:noProof/>
        </w:rPr>
        <w:fldChar w:fldCharType="separate"/>
      </w:r>
      <w:r>
        <w:rPr>
          <w:noProof/>
        </w:rPr>
        <w:t>275</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5.10.3.4.3</w:t>
      </w:r>
      <w:r w:rsidRPr="00DD140B">
        <w:rPr>
          <w:rFonts w:ascii="Calibri" w:eastAsia="Malgun Gothic" w:hAnsi="Calibri"/>
          <w:noProof/>
          <w:sz w:val="22"/>
          <w:szCs w:val="22"/>
          <w:lang w:eastAsia="ko-KR"/>
        </w:rPr>
        <w:tab/>
      </w:r>
      <w:r>
        <w:rPr>
          <w:noProof/>
        </w:rPr>
        <w:t>Resource methods</w:t>
      </w:r>
      <w:r>
        <w:rPr>
          <w:noProof/>
        </w:rPr>
        <w:tab/>
      </w:r>
      <w:r>
        <w:rPr>
          <w:noProof/>
        </w:rPr>
        <w:fldChar w:fldCharType="begin" w:fldLock="1"/>
      </w:r>
      <w:r>
        <w:rPr>
          <w:noProof/>
        </w:rPr>
        <w:instrText xml:space="preserve"> PAGEREF _Toc153625726 \h </w:instrText>
      </w:r>
      <w:r>
        <w:rPr>
          <w:noProof/>
        </w:rPr>
      </w:r>
      <w:r>
        <w:rPr>
          <w:noProof/>
        </w:rPr>
        <w:fldChar w:fldCharType="separate"/>
      </w:r>
      <w:r>
        <w:rPr>
          <w:noProof/>
        </w:rPr>
        <w:t>275</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5.10.3.4.3.1</w:t>
      </w:r>
      <w:r w:rsidRPr="00DD140B">
        <w:rPr>
          <w:rFonts w:ascii="Calibri" w:eastAsia="Malgun Gothic" w:hAnsi="Calibri"/>
          <w:noProof/>
          <w:sz w:val="22"/>
          <w:szCs w:val="22"/>
          <w:lang w:eastAsia="ko-KR"/>
        </w:rPr>
        <w:tab/>
      </w:r>
      <w:r>
        <w:rPr>
          <w:noProof/>
        </w:rPr>
        <w:t>GET</w:t>
      </w:r>
      <w:r>
        <w:rPr>
          <w:noProof/>
        </w:rPr>
        <w:tab/>
      </w:r>
      <w:r>
        <w:rPr>
          <w:noProof/>
        </w:rPr>
        <w:fldChar w:fldCharType="begin" w:fldLock="1"/>
      </w:r>
      <w:r>
        <w:rPr>
          <w:noProof/>
        </w:rPr>
        <w:instrText xml:space="preserve"> PAGEREF _Toc153625727 \h </w:instrText>
      </w:r>
      <w:r>
        <w:rPr>
          <w:noProof/>
        </w:rPr>
      </w:r>
      <w:r>
        <w:rPr>
          <w:noProof/>
        </w:rPr>
        <w:fldChar w:fldCharType="separate"/>
      </w:r>
      <w:r>
        <w:rPr>
          <w:noProof/>
        </w:rPr>
        <w:t>275</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5.10.3.4.3.2</w:t>
      </w:r>
      <w:r w:rsidRPr="00DD140B">
        <w:rPr>
          <w:rFonts w:ascii="Calibri" w:eastAsia="Malgun Gothic" w:hAnsi="Calibri"/>
          <w:noProof/>
          <w:sz w:val="22"/>
          <w:szCs w:val="22"/>
          <w:lang w:eastAsia="ko-KR"/>
        </w:rPr>
        <w:tab/>
      </w:r>
      <w:r>
        <w:rPr>
          <w:noProof/>
        </w:rPr>
        <w:t>PUT</w:t>
      </w:r>
      <w:r>
        <w:rPr>
          <w:noProof/>
        </w:rPr>
        <w:tab/>
      </w:r>
      <w:r>
        <w:rPr>
          <w:noProof/>
        </w:rPr>
        <w:fldChar w:fldCharType="begin" w:fldLock="1"/>
      </w:r>
      <w:r>
        <w:rPr>
          <w:noProof/>
        </w:rPr>
        <w:instrText xml:space="preserve"> PAGEREF _Toc153625728 \h </w:instrText>
      </w:r>
      <w:r>
        <w:rPr>
          <w:noProof/>
        </w:rPr>
      </w:r>
      <w:r>
        <w:rPr>
          <w:noProof/>
        </w:rPr>
        <w:fldChar w:fldCharType="separate"/>
      </w:r>
      <w:r>
        <w:rPr>
          <w:noProof/>
        </w:rPr>
        <w:t>276</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5.10.3.4.3.3</w:t>
      </w:r>
      <w:r w:rsidRPr="00DD140B">
        <w:rPr>
          <w:rFonts w:ascii="Calibri" w:eastAsia="Malgun Gothic" w:hAnsi="Calibri"/>
          <w:noProof/>
          <w:sz w:val="22"/>
          <w:szCs w:val="22"/>
          <w:lang w:eastAsia="ko-KR"/>
        </w:rPr>
        <w:tab/>
      </w:r>
      <w:r>
        <w:rPr>
          <w:noProof/>
        </w:rPr>
        <w:t>PATCH</w:t>
      </w:r>
      <w:r>
        <w:rPr>
          <w:noProof/>
        </w:rPr>
        <w:tab/>
      </w:r>
      <w:r>
        <w:rPr>
          <w:noProof/>
        </w:rPr>
        <w:fldChar w:fldCharType="begin" w:fldLock="1"/>
      </w:r>
      <w:r>
        <w:rPr>
          <w:noProof/>
        </w:rPr>
        <w:instrText xml:space="preserve"> PAGEREF _Toc153625729 \h </w:instrText>
      </w:r>
      <w:r>
        <w:rPr>
          <w:noProof/>
        </w:rPr>
      </w:r>
      <w:r>
        <w:rPr>
          <w:noProof/>
        </w:rPr>
        <w:fldChar w:fldCharType="separate"/>
      </w:r>
      <w:r>
        <w:rPr>
          <w:noProof/>
        </w:rPr>
        <w:t>277</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5.10.3.4.3.4</w:t>
      </w:r>
      <w:r w:rsidRPr="00DD140B">
        <w:rPr>
          <w:rFonts w:ascii="Calibri" w:eastAsia="Malgun Gothic" w:hAnsi="Calibri"/>
          <w:noProof/>
          <w:sz w:val="22"/>
          <w:szCs w:val="22"/>
          <w:lang w:eastAsia="ko-KR"/>
        </w:rPr>
        <w:tab/>
      </w:r>
      <w:r>
        <w:rPr>
          <w:noProof/>
        </w:rPr>
        <w:t>POST</w:t>
      </w:r>
      <w:r>
        <w:rPr>
          <w:noProof/>
        </w:rPr>
        <w:tab/>
      </w:r>
      <w:r>
        <w:rPr>
          <w:noProof/>
        </w:rPr>
        <w:fldChar w:fldCharType="begin" w:fldLock="1"/>
      </w:r>
      <w:r>
        <w:rPr>
          <w:noProof/>
        </w:rPr>
        <w:instrText xml:space="preserve"> PAGEREF _Toc153625730 \h </w:instrText>
      </w:r>
      <w:r>
        <w:rPr>
          <w:noProof/>
        </w:rPr>
      </w:r>
      <w:r>
        <w:rPr>
          <w:noProof/>
        </w:rPr>
        <w:fldChar w:fldCharType="separate"/>
      </w:r>
      <w:r>
        <w:rPr>
          <w:noProof/>
        </w:rPr>
        <w:t>277</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5.10.3.4.3.5</w:t>
      </w:r>
      <w:r w:rsidRPr="00DD140B">
        <w:rPr>
          <w:rFonts w:ascii="Calibri" w:eastAsia="Malgun Gothic" w:hAnsi="Calibri"/>
          <w:noProof/>
          <w:sz w:val="22"/>
          <w:szCs w:val="22"/>
          <w:lang w:eastAsia="ko-KR"/>
        </w:rPr>
        <w:tab/>
      </w:r>
      <w:r>
        <w:rPr>
          <w:noProof/>
        </w:rPr>
        <w:t>DELETE</w:t>
      </w:r>
      <w:r>
        <w:rPr>
          <w:noProof/>
        </w:rPr>
        <w:tab/>
      </w:r>
      <w:r>
        <w:rPr>
          <w:noProof/>
        </w:rPr>
        <w:fldChar w:fldCharType="begin" w:fldLock="1"/>
      </w:r>
      <w:r>
        <w:rPr>
          <w:noProof/>
        </w:rPr>
        <w:instrText xml:space="preserve"> PAGEREF _Toc153625731 \h </w:instrText>
      </w:r>
      <w:r>
        <w:rPr>
          <w:noProof/>
        </w:rPr>
      </w:r>
      <w:r>
        <w:rPr>
          <w:noProof/>
        </w:rPr>
        <w:fldChar w:fldCharType="separate"/>
      </w:r>
      <w:r>
        <w:rPr>
          <w:noProof/>
        </w:rPr>
        <w:t>277</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5.10.4</w:t>
      </w:r>
      <w:r w:rsidRPr="00DD140B">
        <w:rPr>
          <w:rFonts w:ascii="Calibri" w:eastAsia="Malgun Gothic" w:hAnsi="Calibri"/>
          <w:noProof/>
          <w:sz w:val="22"/>
          <w:szCs w:val="22"/>
          <w:lang w:eastAsia="ko-KR"/>
        </w:rPr>
        <w:tab/>
      </w:r>
      <w:r>
        <w:rPr>
          <w:noProof/>
        </w:rPr>
        <w:t>Used Features</w:t>
      </w:r>
      <w:r>
        <w:rPr>
          <w:noProof/>
        </w:rPr>
        <w:tab/>
      </w:r>
      <w:r>
        <w:rPr>
          <w:noProof/>
        </w:rPr>
        <w:fldChar w:fldCharType="begin" w:fldLock="1"/>
      </w:r>
      <w:r>
        <w:rPr>
          <w:noProof/>
        </w:rPr>
        <w:instrText xml:space="preserve"> PAGEREF _Toc153625732 \h </w:instrText>
      </w:r>
      <w:r>
        <w:rPr>
          <w:noProof/>
        </w:rPr>
      </w:r>
      <w:r>
        <w:rPr>
          <w:noProof/>
        </w:rPr>
        <w:fldChar w:fldCharType="separate"/>
      </w:r>
      <w:r>
        <w:rPr>
          <w:noProof/>
        </w:rPr>
        <w:t>278</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5.10.5</w:t>
      </w:r>
      <w:r w:rsidRPr="00DD140B">
        <w:rPr>
          <w:rFonts w:ascii="Calibri" w:eastAsia="Malgun Gothic" w:hAnsi="Calibri"/>
          <w:noProof/>
          <w:sz w:val="22"/>
          <w:szCs w:val="22"/>
          <w:lang w:eastAsia="ko-KR"/>
        </w:rPr>
        <w:tab/>
      </w:r>
      <w:r>
        <w:rPr>
          <w:noProof/>
        </w:rPr>
        <w:t>Error handling</w:t>
      </w:r>
      <w:r>
        <w:rPr>
          <w:noProof/>
        </w:rPr>
        <w:tab/>
      </w:r>
      <w:r>
        <w:rPr>
          <w:noProof/>
        </w:rPr>
        <w:fldChar w:fldCharType="begin" w:fldLock="1"/>
      </w:r>
      <w:r>
        <w:rPr>
          <w:noProof/>
        </w:rPr>
        <w:instrText xml:space="preserve"> PAGEREF _Toc153625733 \h </w:instrText>
      </w:r>
      <w:r>
        <w:rPr>
          <w:noProof/>
        </w:rPr>
      </w:r>
      <w:r>
        <w:rPr>
          <w:noProof/>
        </w:rPr>
        <w:fldChar w:fldCharType="separate"/>
      </w:r>
      <w:r>
        <w:rPr>
          <w:noProof/>
        </w:rPr>
        <w:t>278</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5.10.5.1</w:t>
      </w:r>
      <w:r w:rsidRPr="00DD140B">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_Toc153625734 \h </w:instrText>
      </w:r>
      <w:r>
        <w:rPr>
          <w:noProof/>
        </w:rPr>
      </w:r>
      <w:r>
        <w:rPr>
          <w:noProof/>
        </w:rPr>
        <w:fldChar w:fldCharType="separate"/>
      </w:r>
      <w:r>
        <w:rPr>
          <w:noProof/>
        </w:rPr>
        <w:t>278</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5.10.5.2</w:t>
      </w:r>
      <w:r w:rsidRPr="00DD140B">
        <w:rPr>
          <w:rFonts w:ascii="Calibri" w:eastAsia="Malgun Gothic" w:hAnsi="Calibri"/>
          <w:noProof/>
          <w:sz w:val="22"/>
          <w:szCs w:val="22"/>
          <w:lang w:eastAsia="ko-KR"/>
        </w:rPr>
        <w:tab/>
      </w:r>
      <w:r>
        <w:rPr>
          <w:noProof/>
        </w:rPr>
        <w:t>Protocol Errors</w:t>
      </w:r>
      <w:r>
        <w:rPr>
          <w:noProof/>
        </w:rPr>
        <w:tab/>
      </w:r>
      <w:r>
        <w:rPr>
          <w:noProof/>
        </w:rPr>
        <w:fldChar w:fldCharType="begin" w:fldLock="1"/>
      </w:r>
      <w:r>
        <w:rPr>
          <w:noProof/>
        </w:rPr>
        <w:instrText xml:space="preserve"> PAGEREF _Toc153625735 \h </w:instrText>
      </w:r>
      <w:r>
        <w:rPr>
          <w:noProof/>
        </w:rPr>
      </w:r>
      <w:r>
        <w:rPr>
          <w:noProof/>
        </w:rPr>
        <w:fldChar w:fldCharType="separate"/>
      </w:r>
      <w:r>
        <w:rPr>
          <w:noProof/>
        </w:rPr>
        <w:t>278</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5.10.5.3</w:t>
      </w:r>
      <w:r w:rsidRPr="00DD140B">
        <w:rPr>
          <w:rFonts w:ascii="Calibri" w:eastAsia="Malgun Gothic" w:hAnsi="Calibri"/>
          <w:noProof/>
          <w:sz w:val="22"/>
          <w:szCs w:val="22"/>
          <w:lang w:eastAsia="ko-KR"/>
        </w:rPr>
        <w:tab/>
      </w:r>
      <w:r>
        <w:rPr>
          <w:noProof/>
        </w:rPr>
        <w:t>Application Errors</w:t>
      </w:r>
      <w:r>
        <w:rPr>
          <w:noProof/>
        </w:rPr>
        <w:tab/>
      </w:r>
      <w:r>
        <w:rPr>
          <w:noProof/>
        </w:rPr>
        <w:fldChar w:fldCharType="begin" w:fldLock="1"/>
      </w:r>
      <w:r>
        <w:rPr>
          <w:noProof/>
        </w:rPr>
        <w:instrText xml:space="preserve"> PAGEREF _Toc153625736 \h </w:instrText>
      </w:r>
      <w:r>
        <w:rPr>
          <w:noProof/>
        </w:rPr>
      </w:r>
      <w:r>
        <w:rPr>
          <w:noProof/>
        </w:rPr>
        <w:fldChar w:fldCharType="separate"/>
      </w:r>
      <w:r>
        <w:rPr>
          <w:noProof/>
        </w:rPr>
        <w:t>278</w:t>
      </w:r>
      <w:r>
        <w:rPr>
          <w:noProof/>
        </w:rPr>
        <w:fldChar w:fldCharType="end"/>
      </w:r>
    </w:p>
    <w:p w:rsidR="007D56C6" w:rsidRPr="00DD140B" w:rsidRDefault="007D56C6">
      <w:pPr>
        <w:pStyle w:val="TOC2"/>
        <w:rPr>
          <w:rFonts w:ascii="Calibri" w:eastAsia="Malgun Gothic" w:hAnsi="Calibri"/>
          <w:noProof/>
          <w:sz w:val="22"/>
          <w:szCs w:val="22"/>
          <w:lang w:eastAsia="ko-KR"/>
        </w:rPr>
      </w:pPr>
      <w:r>
        <w:rPr>
          <w:noProof/>
        </w:rPr>
        <w:t>5.11</w:t>
      </w:r>
      <w:r w:rsidRPr="00DD140B">
        <w:rPr>
          <w:rFonts w:ascii="Calibri" w:eastAsia="Malgun Gothic" w:hAnsi="Calibri"/>
          <w:noProof/>
          <w:sz w:val="22"/>
          <w:szCs w:val="22"/>
          <w:lang w:eastAsia="ko-KR"/>
        </w:rPr>
        <w:tab/>
      </w:r>
      <w:r>
        <w:rPr>
          <w:noProof/>
        </w:rPr>
        <w:t>PfdManagement API</w:t>
      </w:r>
      <w:r>
        <w:rPr>
          <w:noProof/>
        </w:rPr>
        <w:tab/>
      </w:r>
      <w:r>
        <w:rPr>
          <w:noProof/>
        </w:rPr>
        <w:fldChar w:fldCharType="begin" w:fldLock="1"/>
      </w:r>
      <w:r>
        <w:rPr>
          <w:noProof/>
        </w:rPr>
        <w:instrText xml:space="preserve"> PAGEREF _Toc153625737 \h </w:instrText>
      </w:r>
      <w:r>
        <w:rPr>
          <w:noProof/>
        </w:rPr>
      </w:r>
      <w:r>
        <w:rPr>
          <w:noProof/>
        </w:rPr>
        <w:fldChar w:fldCharType="separate"/>
      </w:r>
      <w:r>
        <w:rPr>
          <w:noProof/>
        </w:rPr>
        <w:t>279</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5.11.1</w:t>
      </w:r>
      <w:r w:rsidRPr="00DD140B">
        <w:rPr>
          <w:rFonts w:ascii="Calibri" w:eastAsia="Malgun Gothic" w:hAnsi="Calibri"/>
          <w:noProof/>
          <w:sz w:val="22"/>
          <w:szCs w:val="22"/>
          <w:lang w:eastAsia="ko-KR"/>
        </w:rPr>
        <w:tab/>
      </w:r>
      <w:r>
        <w:rPr>
          <w:noProof/>
        </w:rPr>
        <w:t>Overview</w:t>
      </w:r>
      <w:r>
        <w:rPr>
          <w:noProof/>
        </w:rPr>
        <w:tab/>
      </w:r>
      <w:r>
        <w:rPr>
          <w:noProof/>
        </w:rPr>
        <w:fldChar w:fldCharType="begin" w:fldLock="1"/>
      </w:r>
      <w:r>
        <w:rPr>
          <w:noProof/>
        </w:rPr>
        <w:instrText xml:space="preserve"> PAGEREF _Toc153625738 \h </w:instrText>
      </w:r>
      <w:r>
        <w:rPr>
          <w:noProof/>
        </w:rPr>
      </w:r>
      <w:r>
        <w:rPr>
          <w:noProof/>
        </w:rPr>
        <w:fldChar w:fldCharType="separate"/>
      </w:r>
      <w:r>
        <w:rPr>
          <w:noProof/>
        </w:rPr>
        <w:t>279</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5.11.2</w:t>
      </w:r>
      <w:r w:rsidRPr="00DD140B">
        <w:rPr>
          <w:rFonts w:ascii="Calibri" w:eastAsia="Malgun Gothic" w:hAnsi="Calibri"/>
          <w:noProof/>
          <w:sz w:val="22"/>
          <w:szCs w:val="22"/>
          <w:lang w:eastAsia="ko-KR"/>
        </w:rPr>
        <w:tab/>
      </w:r>
      <w:r>
        <w:rPr>
          <w:noProof/>
        </w:rPr>
        <w:t>Data model</w:t>
      </w:r>
      <w:r>
        <w:rPr>
          <w:noProof/>
        </w:rPr>
        <w:tab/>
      </w:r>
      <w:r>
        <w:rPr>
          <w:noProof/>
        </w:rPr>
        <w:fldChar w:fldCharType="begin" w:fldLock="1"/>
      </w:r>
      <w:r>
        <w:rPr>
          <w:noProof/>
        </w:rPr>
        <w:instrText xml:space="preserve"> PAGEREF _Toc153625739 \h </w:instrText>
      </w:r>
      <w:r>
        <w:rPr>
          <w:noProof/>
        </w:rPr>
      </w:r>
      <w:r>
        <w:rPr>
          <w:noProof/>
        </w:rPr>
        <w:fldChar w:fldCharType="separate"/>
      </w:r>
      <w:r>
        <w:rPr>
          <w:noProof/>
        </w:rPr>
        <w:t>279</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5.11.2.1</w:t>
      </w:r>
      <w:r w:rsidRPr="00DD140B">
        <w:rPr>
          <w:rFonts w:ascii="Calibri" w:eastAsia="Malgun Gothic" w:hAnsi="Calibri"/>
          <w:noProof/>
          <w:sz w:val="22"/>
          <w:szCs w:val="22"/>
          <w:lang w:eastAsia="ko-KR"/>
        </w:rPr>
        <w:tab/>
      </w:r>
      <w:r>
        <w:rPr>
          <w:noProof/>
        </w:rPr>
        <w:t>Resource data types</w:t>
      </w:r>
      <w:r>
        <w:rPr>
          <w:noProof/>
        </w:rPr>
        <w:tab/>
      </w:r>
      <w:r>
        <w:rPr>
          <w:noProof/>
        </w:rPr>
        <w:fldChar w:fldCharType="begin" w:fldLock="1"/>
      </w:r>
      <w:r>
        <w:rPr>
          <w:noProof/>
        </w:rPr>
        <w:instrText xml:space="preserve"> PAGEREF _Toc153625740 \h </w:instrText>
      </w:r>
      <w:r>
        <w:rPr>
          <w:noProof/>
        </w:rPr>
      </w:r>
      <w:r>
        <w:rPr>
          <w:noProof/>
        </w:rPr>
        <w:fldChar w:fldCharType="separate"/>
      </w:r>
      <w:r>
        <w:rPr>
          <w:noProof/>
        </w:rPr>
        <w:t>279</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5.11.2.1.1</w:t>
      </w:r>
      <w:r w:rsidRPr="00DD140B">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_Toc153625741 \h </w:instrText>
      </w:r>
      <w:r>
        <w:rPr>
          <w:noProof/>
        </w:rPr>
      </w:r>
      <w:r>
        <w:rPr>
          <w:noProof/>
        </w:rPr>
        <w:fldChar w:fldCharType="separate"/>
      </w:r>
      <w:r>
        <w:rPr>
          <w:noProof/>
        </w:rPr>
        <w:t>279</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5.11.2.1.2</w:t>
      </w:r>
      <w:r w:rsidRPr="00DD140B">
        <w:rPr>
          <w:rFonts w:ascii="Calibri" w:eastAsia="Malgun Gothic" w:hAnsi="Calibri"/>
          <w:noProof/>
          <w:sz w:val="22"/>
          <w:szCs w:val="22"/>
          <w:lang w:eastAsia="ko-KR"/>
        </w:rPr>
        <w:tab/>
      </w:r>
      <w:r>
        <w:rPr>
          <w:noProof/>
        </w:rPr>
        <w:t>Type: PfdManagement</w:t>
      </w:r>
      <w:r>
        <w:rPr>
          <w:noProof/>
        </w:rPr>
        <w:tab/>
      </w:r>
      <w:r>
        <w:rPr>
          <w:noProof/>
        </w:rPr>
        <w:fldChar w:fldCharType="begin" w:fldLock="1"/>
      </w:r>
      <w:r>
        <w:rPr>
          <w:noProof/>
        </w:rPr>
        <w:instrText xml:space="preserve"> PAGEREF _Toc153625742 \h </w:instrText>
      </w:r>
      <w:r>
        <w:rPr>
          <w:noProof/>
        </w:rPr>
      </w:r>
      <w:r>
        <w:rPr>
          <w:noProof/>
        </w:rPr>
        <w:fldChar w:fldCharType="separate"/>
      </w:r>
      <w:r>
        <w:rPr>
          <w:noProof/>
        </w:rPr>
        <w:t>280</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5.11.2.1.3</w:t>
      </w:r>
      <w:r w:rsidRPr="00DD140B">
        <w:rPr>
          <w:rFonts w:ascii="Calibri" w:eastAsia="Malgun Gothic" w:hAnsi="Calibri"/>
          <w:noProof/>
          <w:sz w:val="22"/>
          <w:szCs w:val="22"/>
          <w:lang w:eastAsia="ko-KR"/>
        </w:rPr>
        <w:tab/>
      </w:r>
      <w:r>
        <w:rPr>
          <w:noProof/>
        </w:rPr>
        <w:t>Type: PfdData</w:t>
      </w:r>
      <w:r>
        <w:rPr>
          <w:noProof/>
        </w:rPr>
        <w:tab/>
      </w:r>
      <w:r>
        <w:rPr>
          <w:noProof/>
        </w:rPr>
        <w:fldChar w:fldCharType="begin" w:fldLock="1"/>
      </w:r>
      <w:r>
        <w:rPr>
          <w:noProof/>
        </w:rPr>
        <w:instrText xml:space="preserve"> PAGEREF _Toc153625743 \h </w:instrText>
      </w:r>
      <w:r>
        <w:rPr>
          <w:noProof/>
        </w:rPr>
      </w:r>
      <w:r>
        <w:rPr>
          <w:noProof/>
        </w:rPr>
        <w:fldChar w:fldCharType="separate"/>
      </w:r>
      <w:r>
        <w:rPr>
          <w:noProof/>
        </w:rPr>
        <w:t>281</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5.11.2.1.4</w:t>
      </w:r>
      <w:r w:rsidRPr="00DD140B">
        <w:rPr>
          <w:rFonts w:ascii="Calibri" w:eastAsia="Malgun Gothic" w:hAnsi="Calibri"/>
          <w:noProof/>
          <w:sz w:val="22"/>
          <w:szCs w:val="22"/>
          <w:lang w:eastAsia="ko-KR"/>
        </w:rPr>
        <w:tab/>
      </w:r>
      <w:r>
        <w:rPr>
          <w:noProof/>
        </w:rPr>
        <w:t>Type: Pfd</w:t>
      </w:r>
      <w:r>
        <w:rPr>
          <w:noProof/>
        </w:rPr>
        <w:tab/>
      </w:r>
      <w:r>
        <w:rPr>
          <w:noProof/>
        </w:rPr>
        <w:fldChar w:fldCharType="begin" w:fldLock="1"/>
      </w:r>
      <w:r>
        <w:rPr>
          <w:noProof/>
        </w:rPr>
        <w:instrText xml:space="preserve"> PAGEREF _Toc153625744 \h </w:instrText>
      </w:r>
      <w:r>
        <w:rPr>
          <w:noProof/>
        </w:rPr>
      </w:r>
      <w:r>
        <w:rPr>
          <w:noProof/>
        </w:rPr>
        <w:fldChar w:fldCharType="separate"/>
      </w:r>
      <w:r>
        <w:rPr>
          <w:noProof/>
        </w:rPr>
        <w:t>281</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5.11.2.1.5</w:t>
      </w:r>
      <w:r w:rsidRPr="00DD140B">
        <w:rPr>
          <w:rFonts w:ascii="Calibri" w:eastAsia="Malgun Gothic" w:hAnsi="Calibri"/>
          <w:noProof/>
          <w:sz w:val="22"/>
          <w:szCs w:val="22"/>
          <w:lang w:eastAsia="ko-KR"/>
        </w:rPr>
        <w:tab/>
      </w:r>
      <w:r>
        <w:rPr>
          <w:noProof/>
        </w:rPr>
        <w:t>Type: PfdReport</w:t>
      </w:r>
      <w:r>
        <w:rPr>
          <w:noProof/>
        </w:rPr>
        <w:tab/>
      </w:r>
      <w:r>
        <w:rPr>
          <w:noProof/>
        </w:rPr>
        <w:fldChar w:fldCharType="begin" w:fldLock="1"/>
      </w:r>
      <w:r>
        <w:rPr>
          <w:noProof/>
        </w:rPr>
        <w:instrText xml:space="preserve"> PAGEREF _Toc153625745 \h </w:instrText>
      </w:r>
      <w:r>
        <w:rPr>
          <w:noProof/>
        </w:rPr>
      </w:r>
      <w:r>
        <w:rPr>
          <w:noProof/>
        </w:rPr>
        <w:fldChar w:fldCharType="separate"/>
      </w:r>
      <w:r>
        <w:rPr>
          <w:noProof/>
        </w:rPr>
        <w:t>282</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5.11.2.1.6</w:t>
      </w:r>
      <w:r w:rsidRPr="00DD140B">
        <w:rPr>
          <w:rFonts w:ascii="Calibri" w:eastAsia="Malgun Gothic" w:hAnsi="Calibri"/>
          <w:noProof/>
          <w:sz w:val="22"/>
          <w:szCs w:val="22"/>
          <w:lang w:eastAsia="ko-KR"/>
        </w:rPr>
        <w:tab/>
      </w:r>
      <w:r>
        <w:rPr>
          <w:noProof/>
        </w:rPr>
        <w:t>Type: UserPlane</w:t>
      </w:r>
      <w:r>
        <w:rPr>
          <w:noProof/>
          <w:lang w:eastAsia="zh-CN"/>
        </w:rPr>
        <w:t>LocationArea</w:t>
      </w:r>
      <w:r>
        <w:rPr>
          <w:noProof/>
        </w:rPr>
        <w:tab/>
      </w:r>
      <w:r>
        <w:rPr>
          <w:noProof/>
        </w:rPr>
        <w:fldChar w:fldCharType="begin" w:fldLock="1"/>
      </w:r>
      <w:r>
        <w:rPr>
          <w:noProof/>
        </w:rPr>
        <w:instrText xml:space="preserve"> PAGEREF _Toc153625746 \h </w:instrText>
      </w:r>
      <w:r>
        <w:rPr>
          <w:noProof/>
        </w:rPr>
      </w:r>
      <w:r>
        <w:rPr>
          <w:noProof/>
        </w:rPr>
        <w:fldChar w:fldCharType="separate"/>
      </w:r>
      <w:r>
        <w:rPr>
          <w:noProof/>
        </w:rPr>
        <w:t>282</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5.11.2.1.7</w:t>
      </w:r>
      <w:r w:rsidRPr="00DD140B">
        <w:rPr>
          <w:rFonts w:ascii="Calibri" w:eastAsia="Malgun Gothic" w:hAnsi="Calibri"/>
          <w:noProof/>
          <w:sz w:val="22"/>
          <w:szCs w:val="22"/>
          <w:lang w:eastAsia="ko-KR"/>
        </w:rPr>
        <w:tab/>
      </w:r>
      <w:r>
        <w:rPr>
          <w:noProof/>
        </w:rPr>
        <w:t>Type: PfdManagementPatch</w:t>
      </w:r>
      <w:r>
        <w:rPr>
          <w:noProof/>
        </w:rPr>
        <w:tab/>
      </w:r>
      <w:r>
        <w:rPr>
          <w:noProof/>
        </w:rPr>
        <w:fldChar w:fldCharType="begin" w:fldLock="1"/>
      </w:r>
      <w:r>
        <w:rPr>
          <w:noProof/>
        </w:rPr>
        <w:instrText xml:space="preserve"> PAGEREF _Toc153625747 \h </w:instrText>
      </w:r>
      <w:r>
        <w:rPr>
          <w:noProof/>
        </w:rPr>
      </w:r>
      <w:r>
        <w:rPr>
          <w:noProof/>
        </w:rPr>
        <w:fldChar w:fldCharType="separate"/>
      </w:r>
      <w:r>
        <w:rPr>
          <w:noProof/>
        </w:rPr>
        <w:t>283</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5.11.2.2</w:t>
      </w:r>
      <w:r w:rsidRPr="00DD140B">
        <w:rPr>
          <w:rFonts w:ascii="Calibri" w:eastAsia="Malgun Gothic" w:hAnsi="Calibri"/>
          <w:noProof/>
          <w:sz w:val="22"/>
          <w:szCs w:val="22"/>
          <w:lang w:eastAsia="ko-KR"/>
        </w:rPr>
        <w:tab/>
      </w:r>
      <w:r>
        <w:rPr>
          <w:noProof/>
        </w:rPr>
        <w:t>Referenced simple data types and enumerations</w:t>
      </w:r>
      <w:r>
        <w:rPr>
          <w:noProof/>
        </w:rPr>
        <w:tab/>
      </w:r>
      <w:r>
        <w:rPr>
          <w:noProof/>
        </w:rPr>
        <w:fldChar w:fldCharType="begin" w:fldLock="1"/>
      </w:r>
      <w:r>
        <w:rPr>
          <w:noProof/>
        </w:rPr>
        <w:instrText xml:space="preserve"> PAGEREF _Toc153625748 \h </w:instrText>
      </w:r>
      <w:r>
        <w:rPr>
          <w:noProof/>
        </w:rPr>
      </w:r>
      <w:r>
        <w:rPr>
          <w:noProof/>
        </w:rPr>
        <w:fldChar w:fldCharType="separate"/>
      </w:r>
      <w:r>
        <w:rPr>
          <w:noProof/>
        </w:rPr>
        <w:t>283</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5.11.2.2.1</w:t>
      </w:r>
      <w:r w:rsidRPr="00DD140B">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_Toc153625749 \h </w:instrText>
      </w:r>
      <w:r>
        <w:rPr>
          <w:noProof/>
        </w:rPr>
      </w:r>
      <w:r>
        <w:rPr>
          <w:noProof/>
        </w:rPr>
        <w:fldChar w:fldCharType="separate"/>
      </w:r>
      <w:r>
        <w:rPr>
          <w:noProof/>
        </w:rPr>
        <w:t>283</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5.11.2.2.2</w:t>
      </w:r>
      <w:r w:rsidRPr="00DD140B">
        <w:rPr>
          <w:rFonts w:ascii="Calibri" w:eastAsia="Malgun Gothic" w:hAnsi="Calibri"/>
          <w:noProof/>
          <w:sz w:val="22"/>
          <w:szCs w:val="22"/>
          <w:lang w:eastAsia="ko-KR"/>
        </w:rPr>
        <w:tab/>
      </w:r>
      <w:r>
        <w:rPr>
          <w:noProof/>
        </w:rPr>
        <w:t>Simple data types</w:t>
      </w:r>
      <w:r>
        <w:rPr>
          <w:noProof/>
        </w:rPr>
        <w:tab/>
      </w:r>
      <w:r>
        <w:rPr>
          <w:noProof/>
        </w:rPr>
        <w:fldChar w:fldCharType="begin" w:fldLock="1"/>
      </w:r>
      <w:r>
        <w:rPr>
          <w:noProof/>
        </w:rPr>
        <w:instrText xml:space="preserve"> PAGEREF _Toc153625750 \h </w:instrText>
      </w:r>
      <w:r>
        <w:rPr>
          <w:noProof/>
        </w:rPr>
      </w:r>
      <w:r>
        <w:rPr>
          <w:noProof/>
        </w:rPr>
        <w:fldChar w:fldCharType="separate"/>
      </w:r>
      <w:r>
        <w:rPr>
          <w:noProof/>
        </w:rPr>
        <w:t>283</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5.11.2.2.3</w:t>
      </w:r>
      <w:r w:rsidRPr="00DD140B">
        <w:rPr>
          <w:rFonts w:ascii="Calibri" w:eastAsia="Malgun Gothic" w:hAnsi="Calibri"/>
          <w:noProof/>
          <w:sz w:val="22"/>
          <w:szCs w:val="22"/>
          <w:lang w:eastAsia="ko-KR"/>
        </w:rPr>
        <w:tab/>
      </w:r>
      <w:r>
        <w:rPr>
          <w:noProof/>
        </w:rPr>
        <w:t>Enumeration: FailureCode</w:t>
      </w:r>
      <w:r>
        <w:rPr>
          <w:noProof/>
        </w:rPr>
        <w:tab/>
      </w:r>
      <w:r>
        <w:rPr>
          <w:noProof/>
        </w:rPr>
        <w:fldChar w:fldCharType="begin" w:fldLock="1"/>
      </w:r>
      <w:r>
        <w:rPr>
          <w:noProof/>
        </w:rPr>
        <w:instrText xml:space="preserve"> PAGEREF _Toc153625751 \h </w:instrText>
      </w:r>
      <w:r>
        <w:rPr>
          <w:noProof/>
        </w:rPr>
      </w:r>
      <w:r>
        <w:rPr>
          <w:noProof/>
        </w:rPr>
        <w:fldChar w:fldCharType="separate"/>
      </w:r>
      <w:r>
        <w:rPr>
          <w:noProof/>
        </w:rPr>
        <w:t>284</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5.11.2.2.4</w:t>
      </w:r>
      <w:r w:rsidRPr="00DD140B">
        <w:rPr>
          <w:rFonts w:ascii="Calibri" w:eastAsia="Malgun Gothic" w:hAnsi="Calibri"/>
          <w:noProof/>
          <w:sz w:val="22"/>
          <w:szCs w:val="22"/>
          <w:lang w:eastAsia="ko-KR"/>
        </w:rPr>
        <w:tab/>
      </w:r>
      <w:r>
        <w:rPr>
          <w:noProof/>
        </w:rPr>
        <w:t xml:space="preserve">Enumeration: </w:t>
      </w:r>
      <w:r>
        <w:rPr>
          <w:noProof/>
          <w:lang w:eastAsia="zh-CN"/>
        </w:rPr>
        <w:t>DomainNameProtocol</w:t>
      </w:r>
      <w:r>
        <w:rPr>
          <w:noProof/>
        </w:rPr>
        <w:tab/>
      </w:r>
      <w:r>
        <w:rPr>
          <w:noProof/>
        </w:rPr>
        <w:fldChar w:fldCharType="begin" w:fldLock="1"/>
      </w:r>
      <w:r>
        <w:rPr>
          <w:noProof/>
        </w:rPr>
        <w:instrText xml:space="preserve"> PAGEREF _Toc153625752 \h </w:instrText>
      </w:r>
      <w:r>
        <w:rPr>
          <w:noProof/>
        </w:rPr>
      </w:r>
      <w:r>
        <w:rPr>
          <w:noProof/>
        </w:rPr>
        <w:fldChar w:fldCharType="separate"/>
      </w:r>
      <w:r>
        <w:rPr>
          <w:noProof/>
        </w:rPr>
        <w:t>284</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5.11.3</w:t>
      </w:r>
      <w:r w:rsidRPr="00DD140B">
        <w:rPr>
          <w:rFonts w:ascii="Calibri" w:eastAsia="Malgun Gothic" w:hAnsi="Calibri"/>
          <w:noProof/>
          <w:sz w:val="22"/>
          <w:szCs w:val="22"/>
          <w:lang w:eastAsia="ko-KR"/>
        </w:rPr>
        <w:tab/>
      </w:r>
      <w:r>
        <w:rPr>
          <w:noProof/>
        </w:rPr>
        <w:t>Resource structure</w:t>
      </w:r>
      <w:r>
        <w:rPr>
          <w:noProof/>
        </w:rPr>
        <w:tab/>
      </w:r>
      <w:r>
        <w:rPr>
          <w:noProof/>
        </w:rPr>
        <w:fldChar w:fldCharType="begin" w:fldLock="1"/>
      </w:r>
      <w:r>
        <w:rPr>
          <w:noProof/>
        </w:rPr>
        <w:instrText xml:space="preserve"> PAGEREF _Toc153625753 \h </w:instrText>
      </w:r>
      <w:r>
        <w:rPr>
          <w:noProof/>
        </w:rPr>
      </w:r>
      <w:r>
        <w:rPr>
          <w:noProof/>
        </w:rPr>
        <w:fldChar w:fldCharType="separate"/>
      </w:r>
      <w:r>
        <w:rPr>
          <w:noProof/>
        </w:rPr>
        <w:t>284</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5.11.3.1</w:t>
      </w:r>
      <w:r w:rsidRPr="00DD140B">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_Toc153625754 \h </w:instrText>
      </w:r>
      <w:r>
        <w:rPr>
          <w:noProof/>
        </w:rPr>
      </w:r>
      <w:r>
        <w:rPr>
          <w:noProof/>
        </w:rPr>
        <w:fldChar w:fldCharType="separate"/>
      </w:r>
      <w:r>
        <w:rPr>
          <w:noProof/>
        </w:rPr>
        <w:t>284</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5.11.3.2</w:t>
      </w:r>
      <w:r w:rsidRPr="00DD140B">
        <w:rPr>
          <w:rFonts w:ascii="Calibri" w:eastAsia="Malgun Gothic" w:hAnsi="Calibri"/>
          <w:noProof/>
          <w:sz w:val="22"/>
          <w:szCs w:val="22"/>
          <w:lang w:eastAsia="ko-KR"/>
        </w:rPr>
        <w:tab/>
      </w:r>
      <w:r>
        <w:rPr>
          <w:noProof/>
        </w:rPr>
        <w:t>Resource: PFD Management Transactions</w:t>
      </w:r>
      <w:r>
        <w:rPr>
          <w:noProof/>
        </w:rPr>
        <w:tab/>
      </w:r>
      <w:r>
        <w:rPr>
          <w:noProof/>
        </w:rPr>
        <w:fldChar w:fldCharType="begin" w:fldLock="1"/>
      </w:r>
      <w:r>
        <w:rPr>
          <w:noProof/>
        </w:rPr>
        <w:instrText xml:space="preserve"> PAGEREF _Toc153625755 \h </w:instrText>
      </w:r>
      <w:r>
        <w:rPr>
          <w:noProof/>
        </w:rPr>
      </w:r>
      <w:r>
        <w:rPr>
          <w:noProof/>
        </w:rPr>
        <w:fldChar w:fldCharType="separate"/>
      </w:r>
      <w:r>
        <w:rPr>
          <w:noProof/>
        </w:rPr>
        <w:t>285</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5.11.3.2.1</w:t>
      </w:r>
      <w:r w:rsidRPr="00DD140B">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_Toc153625756 \h </w:instrText>
      </w:r>
      <w:r>
        <w:rPr>
          <w:noProof/>
        </w:rPr>
      </w:r>
      <w:r>
        <w:rPr>
          <w:noProof/>
        </w:rPr>
        <w:fldChar w:fldCharType="separate"/>
      </w:r>
      <w:r>
        <w:rPr>
          <w:noProof/>
        </w:rPr>
        <w:t>285</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5.11.3.2.2</w:t>
      </w:r>
      <w:r w:rsidRPr="00DD140B">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_Toc153625757 \h </w:instrText>
      </w:r>
      <w:r>
        <w:rPr>
          <w:noProof/>
        </w:rPr>
      </w:r>
      <w:r>
        <w:rPr>
          <w:noProof/>
        </w:rPr>
        <w:fldChar w:fldCharType="separate"/>
      </w:r>
      <w:r>
        <w:rPr>
          <w:noProof/>
        </w:rPr>
        <w:t>285</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5.11.3.2.3</w:t>
      </w:r>
      <w:r w:rsidRPr="00DD140B">
        <w:rPr>
          <w:rFonts w:ascii="Calibri" w:eastAsia="Malgun Gothic" w:hAnsi="Calibri"/>
          <w:noProof/>
          <w:sz w:val="22"/>
          <w:szCs w:val="22"/>
          <w:lang w:eastAsia="ko-KR"/>
        </w:rPr>
        <w:tab/>
      </w:r>
      <w:r>
        <w:rPr>
          <w:noProof/>
        </w:rPr>
        <w:t>Resource methods</w:t>
      </w:r>
      <w:r>
        <w:rPr>
          <w:noProof/>
        </w:rPr>
        <w:tab/>
      </w:r>
      <w:r>
        <w:rPr>
          <w:noProof/>
        </w:rPr>
        <w:fldChar w:fldCharType="begin" w:fldLock="1"/>
      </w:r>
      <w:r>
        <w:rPr>
          <w:noProof/>
        </w:rPr>
        <w:instrText xml:space="preserve"> PAGEREF _Toc153625758 \h </w:instrText>
      </w:r>
      <w:r>
        <w:rPr>
          <w:noProof/>
        </w:rPr>
      </w:r>
      <w:r>
        <w:rPr>
          <w:noProof/>
        </w:rPr>
        <w:fldChar w:fldCharType="separate"/>
      </w:r>
      <w:r>
        <w:rPr>
          <w:noProof/>
        </w:rPr>
        <w:t>286</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5.11.3.2.3.1</w:t>
      </w:r>
      <w:r w:rsidRPr="00DD140B">
        <w:rPr>
          <w:rFonts w:ascii="Calibri" w:eastAsia="Malgun Gothic" w:hAnsi="Calibri"/>
          <w:noProof/>
          <w:sz w:val="22"/>
          <w:szCs w:val="22"/>
          <w:lang w:eastAsia="ko-KR"/>
        </w:rPr>
        <w:tab/>
      </w:r>
      <w:r>
        <w:rPr>
          <w:noProof/>
        </w:rPr>
        <w:t>GET</w:t>
      </w:r>
      <w:r>
        <w:rPr>
          <w:noProof/>
        </w:rPr>
        <w:tab/>
      </w:r>
      <w:r>
        <w:rPr>
          <w:noProof/>
        </w:rPr>
        <w:fldChar w:fldCharType="begin" w:fldLock="1"/>
      </w:r>
      <w:r>
        <w:rPr>
          <w:noProof/>
        </w:rPr>
        <w:instrText xml:space="preserve"> PAGEREF _Toc153625759 \h </w:instrText>
      </w:r>
      <w:r>
        <w:rPr>
          <w:noProof/>
        </w:rPr>
      </w:r>
      <w:r>
        <w:rPr>
          <w:noProof/>
        </w:rPr>
        <w:fldChar w:fldCharType="separate"/>
      </w:r>
      <w:r>
        <w:rPr>
          <w:noProof/>
        </w:rPr>
        <w:t>286</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5.11.3.2.3.2</w:t>
      </w:r>
      <w:r w:rsidRPr="00DD140B">
        <w:rPr>
          <w:rFonts w:ascii="Calibri" w:eastAsia="Malgun Gothic" w:hAnsi="Calibri"/>
          <w:noProof/>
          <w:sz w:val="22"/>
          <w:szCs w:val="22"/>
          <w:lang w:eastAsia="ko-KR"/>
        </w:rPr>
        <w:tab/>
      </w:r>
      <w:r>
        <w:rPr>
          <w:noProof/>
        </w:rPr>
        <w:t>PUT</w:t>
      </w:r>
      <w:r>
        <w:rPr>
          <w:noProof/>
        </w:rPr>
        <w:tab/>
      </w:r>
      <w:r>
        <w:rPr>
          <w:noProof/>
        </w:rPr>
        <w:fldChar w:fldCharType="begin" w:fldLock="1"/>
      </w:r>
      <w:r>
        <w:rPr>
          <w:noProof/>
        </w:rPr>
        <w:instrText xml:space="preserve"> PAGEREF _Toc153625760 \h </w:instrText>
      </w:r>
      <w:r>
        <w:rPr>
          <w:noProof/>
        </w:rPr>
      </w:r>
      <w:r>
        <w:rPr>
          <w:noProof/>
        </w:rPr>
        <w:fldChar w:fldCharType="separate"/>
      </w:r>
      <w:r>
        <w:rPr>
          <w:noProof/>
        </w:rPr>
        <w:t>286</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5.11.3.2.3.3</w:t>
      </w:r>
      <w:r w:rsidRPr="00DD140B">
        <w:rPr>
          <w:rFonts w:ascii="Calibri" w:eastAsia="Malgun Gothic" w:hAnsi="Calibri"/>
          <w:noProof/>
          <w:sz w:val="22"/>
          <w:szCs w:val="22"/>
          <w:lang w:eastAsia="ko-KR"/>
        </w:rPr>
        <w:tab/>
      </w:r>
      <w:r>
        <w:rPr>
          <w:noProof/>
        </w:rPr>
        <w:t>POST</w:t>
      </w:r>
      <w:r>
        <w:rPr>
          <w:noProof/>
        </w:rPr>
        <w:tab/>
      </w:r>
      <w:r>
        <w:rPr>
          <w:noProof/>
        </w:rPr>
        <w:fldChar w:fldCharType="begin" w:fldLock="1"/>
      </w:r>
      <w:r>
        <w:rPr>
          <w:noProof/>
        </w:rPr>
        <w:instrText xml:space="preserve"> PAGEREF _Toc153625761 \h </w:instrText>
      </w:r>
      <w:r>
        <w:rPr>
          <w:noProof/>
        </w:rPr>
      </w:r>
      <w:r>
        <w:rPr>
          <w:noProof/>
        </w:rPr>
        <w:fldChar w:fldCharType="separate"/>
      </w:r>
      <w:r>
        <w:rPr>
          <w:noProof/>
        </w:rPr>
        <w:t>287</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5.11.3.2.3.4</w:t>
      </w:r>
      <w:r w:rsidRPr="00DD140B">
        <w:rPr>
          <w:rFonts w:ascii="Calibri" w:eastAsia="Malgun Gothic" w:hAnsi="Calibri"/>
          <w:noProof/>
          <w:sz w:val="22"/>
          <w:szCs w:val="22"/>
          <w:lang w:eastAsia="ko-KR"/>
        </w:rPr>
        <w:tab/>
      </w:r>
      <w:r>
        <w:rPr>
          <w:noProof/>
        </w:rPr>
        <w:t>PATCH</w:t>
      </w:r>
      <w:r>
        <w:rPr>
          <w:noProof/>
        </w:rPr>
        <w:tab/>
      </w:r>
      <w:r>
        <w:rPr>
          <w:noProof/>
        </w:rPr>
        <w:fldChar w:fldCharType="begin" w:fldLock="1"/>
      </w:r>
      <w:r>
        <w:rPr>
          <w:noProof/>
        </w:rPr>
        <w:instrText xml:space="preserve"> PAGEREF _Toc153625762 \h </w:instrText>
      </w:r>
      <w:r>
        <w:rPr>
          <w:noProof/>
        </w:rPr>
      </w:r>
      <w:r>
        <w:rPr>
          <w:noProof/>
        </w:rPr>
        <w:fldChar w:fldCharType="separate"/>
      </w:r>
      <w:r>
        <w:rPr>
          <w:noProof/>
        </w:rPr>
        <w:t>287</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5.11.3.2.3.5</w:t>
      </w:r>
      <w:r w:rsidRPr="00DD140B">
        <w:rPr>
          <w:rFonts w:ascii="Calibri" w:eastAsia="Malgun Gothic" w:hAnsi="Calibri"/>
          <w:noProof/>
          <w:sz w:val="22"/>
          <w:szCs w:val="22"/>
          <w:lang w:eastAsia="ko-KR"/>
        </w:rPr>
        <w:tab/>
      </w:r>
      <w:r>
        <w:rPr>
          <w:noProof/>
        </w:rPr>
        <w:t>DELETE</w:t>
      </w:r>
      <w:r>
        <w:rPr>
          <w:noProof/>
        </w:rPr>
        <w:tab/>
      </w:r>
      <w:r>
        <w:rPr>
          <w:noProof/>
        </w:rPr>
        <w:fldChar w:fldCharType="begin" w:fldLock="1"/>
      </w:r>
      <w:r>
        <w:rPr>
          <w:noProof/>
        </w:rPr>
        <w:instrText xml:space="preserve"> PAGEREF _Toc153625763 \h </w:instrText>
      </w:r>
      <w:r>
        <w:rPr>
          <w:noProof/>
        </w:rPr>
      </w:r>
      <w:r>
        <w:rPr>
          <w:noProof/>
        </w:rPr>
        <w:fldChar w:fldCharType="separate"/>
      </w:r>
      <w:r>
        <w:rPr>
          <w:noProof/>
        </w:rPr>
        <w:t>287</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5.11.3.3</w:t>
      </w:r>
      <w:r w:rsidRPr="00DD140B">
        <w:rPr>
          <w:rFonts w:ascii="Calibri" w:eastAsia="Malgun Gothic" w:hAnsi="Calibri"/>
          <w:noProof/>
          <w:sz w:val="22"/>
          <w:szCs w:val="22"/>
          <w:lang w:eastAsia="ko-KR"/>
        </w:rPr>
        <w:tab/>
      </w:r>
      <w:r>
        <w:rPr>
          <w:noProof/>
        </w:rPr>
        <w:t>Resource: Individual PFD Management Transaction</w:t>
      </w:r>
      <w:r>
        <w:rPr>
          <w:noProof/>
        </w:rPr>
        <w:tab/>
      </w:r>
      <w:r>
        <w:rPr>
          <w:noProof/>
        </w:rPr>
        <w:fldChar w:fldCharType="begin" w:fldLock="1"/>
      </w:r>
      <w:r>
        <w:rPr>
          <w:noProof/>
        </w:rPr>
        <w:instrText xml:space="preserve"> PAGEREF _Toc153625764 \h </w:instrText>
      </w:r>
      <w:r>
        <w:rPr>
          <w:noProof/>
        </w:rPr>
      </w:r>
      <w:r>
        <w:rPr>
          <w:noProof/>
        </w:rPr>
        <w:fldChar w:fldCharType="separate"/>
      </w:r>
      <w:r>
        <w:rPr>
          <w:noProof/>
        </w:rPr>
        <w:t>288</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5.11.3.3.1</w:t>
      </w:r>
      <w:r w:rsidRPr="00DD140B">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_Toc153625765 \h </w:instrText>
      </w:r>
      <w:r>
        <w:rPr>
          <w:noProof/>
        </w:rPr>
      </w:r>
      <w:r>
        <w:rPr>
          <w:noProof/>
        </w:rPr>
        <w:fldChar w:fldCharType="separate"/>
      </w:r>
      <w:r>
        <w:rPr>
          <w:noProof/>
        </w:rPr>
        <w:t>288</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5.11.3.3.2</w:t>
      </w:r>
      <w:r w:rsidRPr="00DD140B">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_Toc153625766 \h </w:instrText>
      </w:r>
      <w:r>
        <w:rPr>
          <w:noProof/>
        </w:rPr>
      </w:r>
      <w:r>
        <w:rPr>
          <w:noProof/>
        </w:rPr>
        <w:fldChar w:fldCharType="separate"/>
      </w:r>
      <w:r>
        <w:rPr>
          <w:noProof/>
        </w:rPr>
        <w:t>288</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5.11.3.3.3</w:t>
      </w:r>
      <w:r w:rsidRPr="00DD140B">
        <w:rPr>
          <w:rFonts w:ascii="Calibri" w:eastAsia="Malgun Gothic" w:hAnsi="Calibri"/>
          <w:noProof/>
          <w:sz w:val="22"/>
          <w:szCs w:val="22"/>
          <w:lang w:eastAsia="ko-KR"/>
        </w:rPr>
        <w:tab/>
      </w:r>
      <w:r>
        <w:rPr>
          <w:noProof/>
        </w:rPr>
        <w:t>Resource methods</w:t>
      </w:r>
      <w:r>
        <w:rPr>
          <w:noProof/>
        </w:rPr>
        <w:tab/>
      </w:r>
      <w:r>
        <w:rPr>
          <w:noProof/>
        </w:rPr>
        <w:fldChar w:fldCharType="begin" w:fldLock="1"/>
      </w:r>
      <w:r>
        <w:rPr>
          <w:noProof/>
        </w:rPr>
        <w:instrText xml:space="preserve"> PAGEREF _Toc153625767 \h </w:instrText>
      </w:r>
      <w:r>
        <w:rPr>
          <w:noProof/>
        </w:rPr>
      </w:r>
      <w:r>
        <w:rPr>
          <w:noProof/>
        </w:rPr>
        <w:fldChar w:fldCharType="separate"/>
      </w:r>
      <w:r>
        <w:rPr>
          <w:noProof/>
        </w:rPr>
        <w:t>288</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5.11.3.3.3.1</w:t>
      </w:r>
      <w:r w:rsidRPr="00DD140B">
        <w:rPr>
          <w:rFonts w:ascii="Calibri" w:eastAsia="Malgun Gothic" w:hAnsi="Calibri"/>
          <w:noProof/>
          <w:sz w:val="22"/>
          <w:szCs w:val="22"/>
          <w:lang w:eastAsia="ko-KR"/>
        </w:rPr>
        <w:tab/>
      </w:r>
      <w:r>
        <w:rPr>
          <w:noProof/>
        </w:rPr>
        <w:t>GET</w:t>
      </w:r>
      <w:r>
        <w:rPr>
          <w:noProof/>
        </w:rPr>
        <w:tab/>
      </w:r>
      <w:r>
        <w:rPr>
          <w:noProof/>
        </w:rPr>
        <w:fldChar w:fldCharType="begin" w:fldLock="1"/>
      </w:r>
      <w:r>
        <w:rPr>
          <w:noProof/>
        </w:rPr>
        <w:instrText xml:space="preserve"> PAGEREF _Toc153625768 \h </w:instrText>
      </w:r>
      <w:r>
        <w:rPr>
          <w:noProof/>
        </w:rPr>
      </w:r>
      <w:r>
        <w:rPr>
          <w:noProof/>
        </w:rPr>
        <w:fldChar w:fldCharType="separate"/>
      </w:r>
      <w:r>
        <w:rPr>
          <w:noProof/>
        </w:rPr>
        <w:t>288</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5.11.3.3.3.2</w:t>
      </w:r>
      <w:r w:rsidRPr="00DD140B">
        <w:rPr>
          <w:rFonts w:ascii="Calibri" w:eastAsia="Malgun Gothic" w:hAnsi="Calibri"/>
          <w:noProof/>
          <w:sz w:val="22"/>
          <w:szCs w:val="22"/>
          <w:lang w:eastAsia="ko-KR"/>
        </w:rPr>
        <w:tab/>
      </w:r>
      <w:r>
        <w:rPr>
          <w:noProof/>
        </w:rPr>
        <w:t>PUT</w:t>
      </w:r>
      <w:r>
        <w:rPr>
          <w:noProof/>
        </w:rPr>
        <w:tab/>
      </w:r>
      <w:r>
        <w:rPr>
          <w:noProof/>
        </w:rPr>
        <w:fldChar w:fldCharType="begin" w:fldLock="1"/>
      </w:r>
      <w:r>
        <w:rPr>
          <w:noProof/>
        </w:rPr>
        <w:instrText xml:space="preserve"> PAGEREF _Toc153625769 \h </w:instrText>
      </w:r>
      <w:r>
        <w:rPr>
          <w:noProof/>
        </w:rPr>
      </w:r>
      <w:r>
        <w:rPr>
          <w:noProof/>
        </w:rPr>
        <w:fldChar w:fldCharType="separate"/>
      </w:r>
      <w:r>
        <w:rPr>
          <w:noProof/>
        </w:rPr>
        <w:t>289</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5.11.3.3.3.3</w:t>
      </w:r>
      <w:r w:rsidRPr="00DD140B">
        <w:rPr>
          <w:rFonts w:ascii="Calibri" w:eastAsia="Malgun Gothic" w:hAnsi="Calibri"/>
          <w:noProof/>
          <w:sz w:val="22"/>
          <w:szCs w:val="22"/>
          <w:lang w:eastAsia="ko-KR"/>
        </w:rPr>
        <w:tab/>
      </w:r>
      <w:r>
        <w:rPr>
          <w:noProof/>
        </w:rPr>
        <w:t>PATCH</w:t>
      </w:r>
      <w:r>
        <w:rPr>
          <w:noProof/>
        </w:rPr>
        <w:tab/>
      </w:r>
      <w:r>
        <w:rPr>
          <w:noProof/>
        </w:rPr>
        <w:fldChar w:fldCharType="begin" w:fldLock="1"/>
      </w:r>
      <w:r>
        <w:rPr>
          <w:noProof/>
        </w:rPr>
        <w:instrText xml:space="preserve"> PAGEREF _Toc153625770 \h </w:instrText>
      </w:r>
      <w:r>
        <w:rPr>
          <w:noProof/>
        </w:rPr>
      </w:r>
      <w:r>
        <w:rPr>
          <w:noProof/>
        </w:rPr>
        <w:fldChar w:fldCharType="separate"/>
      </w:r>
      <w:r>
        <w:rPr>
          <w:noProof/>
        </w:rPr>
        <w:t>290</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5.11.3.3.3.4</w:t>
      </w:r>
      <w:r w:rsidRPr="00DD140B">
        <w:rPr>
          <w:rFonts w:ascii="Calibri" w:eastAsia="Malgun Gothic" w:hAnsi="Calibri"/>
          <w:noProof/>
          <w:sz w:val="22"/>
          <w:szCs w:val="22"/>
          <w:lang w:eastAsia="ko-KR"/>
        </w:rPr>
        <w:tab/>
      </w:r>
      <w:r>
        <w:rPr>
          <w:noProof/>
        </w:rPr>
        <w:t>POST</w:t>
      </w:r>
      <w:r>
        <w:rPr>
          <w:noProof/>
        </w:rPr>
        <w:tab/>
      </w:r>
      <w:r>
        <w:rPr>
          <w:noProof/>
        </w:rPr>
        <w:fldChar w:fldCharType="begin" w:fldLock="1"/>
      </w:r>
      <w:r>
        <w:rPr>
          <w:noProof/>
        </w:rPr>
        <w:instrText xml:space="preserve"> PAGEREF _Toc153625771 \h </w:instrText>
      </w:r>
      <w:r>
        <w:rPr>
          <w:noProof/>
        </w:rPr>
      </w:r>
      <w:r>
        <w:rPr>
          <w:noProof/>
        </w:rPr>
        <w:fldChar w:fldCharType="separate"/>
      </w:r>
      <w:r>
        <w:rPr>
          <w:noProof/>
        </w:rPr>
        <w:t>291</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5.11.3.3.3.5</w:t>
      </w:r>
      <w:r w:rsidRPr="00DD140B">
        <w:rPr>
          <w:rFonts w:ascii="Calibri" w:eastAsia="Malgun Gothic" w:hAnsi="Calibri"/>
          <w:noProof/>
          <w:sz w:val="22"/>
          <w:szCs w:val="22"/>
          <w:lang w:eastAsia="ko-KR"/>
        </w:rPr>
        <w:tab/>
      </w:r>
      <w:r>
        <w:rPr>
          <w:noProof/>
        </w:rPr>
        <w:t>DELETE</w:t>
      </w:r>
      <w:r>
        <w:rPr>
          <w:noProof/>
        </w:rPr>
        <w:tab/>
      </w:r>
      <w:r>
        <w:rPr>
          <w:noProof/>
        </w:rPr>
        <w:fldChar w:fldCharType="begin" w:fldLock="1"/>
      </w:r>
      <w:r>
        <w:rPr>
          <w:noProof/>
        </w:rPr>
        <w:instrText xml:space="preserve"> PAGEREF _Toc153625772 \h </w:instrText>
      </w:r>
      <w:r>
        <w:rPr>
          <w:noProof/>
        </w:rPr>
      </w:r>
      <w:r>
        <w:rPr>
          <w:noProof/>
        </w:rPr>
        <w:fldChar w:fldCharType="separate"/>
      </w:r>
      <w:r>
        <w:rPr>
          <w:noProof/>
        </w:rPr>
        <w:t>291</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5.11.3.4</w:t>
      </w:r>
      <w:r w:rsidRPr="00DD140B">
        <w:rPr>
          <w:rFonts w:ascii="Calibri" w:eastAsia="Malgun Gothic" w:hAnsi="Calibri"/>
          <w:noProof/>
          <w:sz w:val="22"/>
          <w:szCs w:val="22"/>
          <w:lang w:eastAsia="ko-KR"/>
        </w:rPr>
        <w:tab/>
      </w:r>
      <w:r>
        <w:rPr>
          <w:noProof/>
        </w:rPr>
        <w:t>Resource: Individual Application PFD Management</w:t>
      </w:r>
      <w:r>
        <w:rPr>
          <w:noProof/>
        </w:rPr>
        <w:tab/>
      </w:r>
      <w:r>
        <w:rPr>
          <w:noProof/>
        </w:rPr>
        <w:fldChar w:fldCharType="begin" w:fldLock="1"/>
      </w:r>
      <w:r>
        <w:rPr>
          <w:noProof/>
        </w:rPr>
        <w:instrText xml:space="preserve"> PAGEREF _Toc153625773 \h </w:instrText>
      </w:r>
      <w:r>
        <w:rPr>
          <w:noProof/>
        </w:rPr>
      </w:r>
      <w:r>
        <w:rPr>
          <w:noProof/>
        </w:rPr>
        <w:fldChar w:fldCharType="separate"/>
      </w:r>
      <w:r>
        <w:rPr>
          <w:noProof/>
        </w:rPr>
        <w:t>292</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5.11.3.4.1</w:t>
      </w:r>
      <w:r w:rsidRPr="00DD140B">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_Toc153625774 \h </w:instrText>
      </w:r>
      <w:r>
        <w:rPr>
          <w:noProof/>
        </w:rPr>
      </w:r>
      <w:r>
        <w:rPr>
          <w:noProof/>
        </w:rPr>
        <w:fldChar w:fldCharType="separate"/>
      </w:r>
      <w:r>
        <w:rPr>
          <w:noProof/>
        </w:rPr>
        <w:t>292</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5.11.3.4.2</w:t>
      </w:r>
      <w:r w:rsidRPr="00DD140B">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_Toc153625775 \h </w:instrText>
      </w:r>
      <w:r>
        <w:rPr>
          <w:noProof/>
        </w:rPr>
      </w:r>
      <w:r>
        <w:rPr>
          <w:noProof/>
        </w:rPr>
        <w:fldChar w:fldCharType="separate"/>
      </w:r>
      <w:r>
        <w:rPr>
          <w:noProof/>
        </w:rPr>
        <w:t>292</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5.11.3.4.3</w:t>
      </w:r>
      <w:r w:rsidRPr="00DD140B">
        <w:rPr>
          <w:rFonts w:ascii="Calibri" w:eastAsia="Malgun Gothic" w:hAnsi="Calibri"/>
          <w:noProof/>
          <w:sz w:val="22"/>
          <w:szCs w:val="22"/>
          <w:lang w:eastAsia="ko-KR"/>
        </w:rPr>
        <w:tab/>
      </w:r>
      <w:r>
        <w:rPr>
          <w:noProof/>
        </w:rPr>
        <w:t>Resource methods</w:t>
      </w:r>
      <w:r>
        <w:rPr>
          <w:noProof/>
        </w:rPr>
        <w:tab/>
      </w:r>
      <w:r>
        <w:rPr>
          <w:noProof/>
        </w:rPr>
        <w:fldChar w:fldCharType="begin" w:fldLock="1"/>
      </w:r>
      <w:r>
        <w:rPr>
          <w:noProof/>
        </w:rPr>
        <w:instrText xml:space="preserve"> PAGEREF _Toc153625776 \h </w:instrText>
      </w:r>
      <w:r>
        <w:rPr>
          <w:noProof/>
        </w:rPr>
      </w:r>
      <w:r>
        <w:rPr>
          <w:noProof/>
        </w:rPr>
        <w:fldChar w:fldCharType="separate"/>
      </w:r>
      <w:r>
        <w:rPr>
          <w:noProof/>
        </w:rPr>
        <w:t>293</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5.11.3.4.3.1</w:t>
      </w:r>
      <w:r w:rsidRPr="00DD140B">
        <w:rPr>
          <w:rFonts w:ascii="Calibri" w:eastAsia="Malgun Gothic" w:hAnsi="Calibri"/>
          <w:noProof/>
          <w:sz w:val="22"/>
          <w:szCs w:val="22"/>
          <w:lang w:eastAsia="ko-KR"/>
        </w:rPr>
        <w:tab/>
      </w:r>
      <w:r>
        <w:rPr>
          <w:noProof/>
        </w:rPr>
        <w:t>GET</w:t>
      </w:r>
      <w:r>
        <w:rPr>
          <w:noProof/>
        </w:rPr>
        <w:tab/>
      </w:r>
      <w:r>
        <w:rPr>
          <w:noProof/>
        </w:rPr>
        <w:fldChar w:fldCharType="begin" w:fldLock="1"/>
      </w:r>
      <w:r>
        <w:rPr>
          <w:noProof/>
        </w:rPr>
        <w:instrText xml:space="preserve"> PAGEREF _Toc153625777 \h </w:instrText>
      </w:r>
      <w:r>
        <w:rPr>
          <w:noProof/>
        </w:rPr>
      </w:r>
      <w:r>
        <w:rPr>
          <w:noProof/>
        </w:rPr>
        <w:fldChar w:fldCharType="separate"/>
      </w:r>
      <w:r>
        <w:rPr>
          <w:noProof/>
        </w:rPr>
        <w:t>293</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5.11.3.4.3.2</w:t>
      </w:r>
      <w:r w:rsidRPr="00DD140B">
        <w:rPr>
          <w:rFonts w:ascii="Calibri" w:eastAsia="Malgun Gothic" w:hAnsi="Calibri"/>
          <w:noProof/>
          <w:sz w:val="22"/>
          <w:szCs w:val="22"/>
          <w:lang w:eastAsia="ko-KR"/>
        </w:rPr>
        <w:tab/>
      </w:r>
      <w:r>
        <w:rPr>
          <w:noProof/>
        </w:rPr>
        <w:t>PUT</w:t>
      </w:r>
      <w:r>
        <w:rPr>
          <w:noProof/>
        </w:rPr>
        <w:tab/>
      </w:r>
      <w:r>
        <w:rPr>
          <w:noProof/>
        </w:rPr>
        <w:fldChar w:fldCharType="begin" w:fldLock="1"/>
      </w:r>
      <w:r>
        <w:rPr>
          <w:noProof/>
        </w:rPr>
        <w:instrText xml:space="preserve"> PAGEREF _Toc153625778 \h </w:instrText>
      </w:r>
      <w:r>
        <w:rPr>
          <w:noProof/>
        </w:rPr>
      </w:r>
      <w:r>
        <w:rPr>
          <w:noProof/>
        </w:rPr>
        <w:fldChar w:fldCharType="separate"/>
      </w:r>
      <w:r>
        <w:rPr>
          <w:noProof/>
        </w:rPr>
        <w:t>293</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5.11.3.4.3.3</w:t>
      </w:r>
      <w:r w:rsidRPr="00DD140B">
        <w:rPr>
          <w:rFonts w:ascii="Calibri" w:eastAsia="Malgun Gothic" w:hAnsi="Calibri"/>
          <w:noProof/>
          <w:sz w:val="22"/>
          <w:szCs w:val="22"/>
          <w:lang w:eastAsia="ko-KR"/>
        </w:rPr>
        <w:tab/>
      </w:r>
      <w:r>
        <w:rPr>
          <w:noProof/>
        </w:rPr>
        <w:t>PATCH</w:t>
      </w:r>
      <w:r>
        <w:rPr>
          <w:noProof/>
        </w:rPr>
        <w:tab/>
      </w:r>
      <w:r>
        <w:rPr>
          <w:noProof/>
        </w:rPr>
        <w:fldChar w:fldCharType="begin" w:fldLock="1"/>
      </w:r>
      <w:r>
        <w:rPr>
          <w:noProof/>
        </w:rPr>
        <w:instrText xml:space="preserve"> PAGEREF _Toc153625779 \h </w:instrText>
      </w:r>
      <w:r>
        <w:rPr>
          <w:noProof/>
        </w:rPr>
      </w:r>
      <w:r>
        <w:rPr>
          <w:noProof/>
        </w:rPr>
        <w:fldChar w:fldCharType="separate"/>
      </w:r>
      <w:r>
        <w:rPr>
          <w:noProof/>
        </w:rPr>
        <w:t>294</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5.11.3.4.3.4</w:t>
      </w:r>
      <w:r w:rsidRPr="00DD140B">
        <w:rPr>
          <w:rFonts w:ascii="Calibri" w:eastAsia="Malgun Gothic" w:hAnsi="Calibri"/>
          <w:noProof/>
          <w:sz w:val="22"/>
          <w:szCs w:val="22"/>
          <w:lang w:eastAsia="ko-KR"/>
        </w:rPr>
        <w:tab/>
      </w:r>
      <w:r>
        <w:rPr>
          <w:noProof/>
        </w:rPr>
        <w:t>POST</w:t>
      </w:r>
      <w:r>
        <w:rPr>
          <w:noProof/>
        </w:rPr>
        <w:tab/>
      </w:r>
      <w:r>
        <w:rPr>
          <w:noProof/>
        </w:rPr>
        <w:fldChar w:fldCharType="begin" w:fldLock="1"/>
      </w:r>
      <w:r>
        <w:rPr>
          <w:noProof/>
        </w:rPr>
        <w:instrText xml:space="preserve"> PAGEREF _Toc153625780 \h </w:instrText>
      </w:r>
      <w:r>
        <w:rPr>
          <w:noProof/>
        </w:rPr>
      </w:r>
      <w:r>
        <w:rPr>
          <w:noProof/>
        </w:rPr>
        <w:fldChar w:fldCharType="separate"/>
      </w:r>
      <w:r>
        <w:rPr>
          <w:noProof/>
        </w:rPr>
        <w:t>295</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5.11.3.4.3.5</w:t>
      </w:r>
      <w:r w:rsidRPr="00DD140B">
        <w:rPr>
          <w:rFonts w:ascii="Calibri" w:eastAsia="Malgun Gothic" w:hAnsi="Calibri"/>
          <w:noProof/>
          <w:sz w:val="22"/>
          <w:szCs w:val="22"/>
          <w:lang w:eastAsia="ko-KR"/>
        </w:rPr>
        <w:tab/>
      </w:r>
      <w:r>
        <w:rPr>
          <w:noProof/>
        </w:rPr>
        <w:t>DELETE</w:t>
      </w:r>
      <w:r>
        <w:rPr>
          <w:noProof/>
        </w:rPr>
        <w:tab/>
      </w:r>
      <w:r>
        <w:rPr>
          <w:noProof/>
        </w:rPr>
        <w:fldChar w:fldCharType="begin" w:fldLock="1"/>
      </w:r>
      <w:r>
        <w:rPr>
          <w:noProof/>
        </w:rPr>
        <w:instrText xml:space="preserve"> PAGEREF _Toc153625781 \h </w:instrText>
      </w:r>
      <w:r>
        <w:rPr>
          <w:noProof/>
        </w:rPr>
      </w:r>
      <w:r>
        <w:rPr>
          <w:noProof/>
        </w:rPr>
        <w:fldChar w:fldCharType="separate"/>
      </w:r>
      <w:r>
        <w:rPr>
          <w:noProof/>
        </w:rPr>
        <w:t>295</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5.11.3.5</w:t>
      </w:r>
      <w:r w:rsidRPr="00DD140B">
        <w:rPr>
          <w:rFonts w:ascii="Calibri" w:eastAsia="Malgun Gothic" w:hAnsi="Calibri"/>
          <w:noProof/>
          <w:sz w:val="22"/>
          <w:szCs w:val="22"/>
          <w:lang w:eastAsia="ko-KR"/>
        </w:rPr>
        <w:tab/>
      </w:r>
      <w:r>
        <w:rPr>
          <w:noProof/>
        </w:rPr>
        <w:t>Void</w:t>
      </w:r>
      <w:r>
        <w:rPr>
          <w:noProof/>
        </w:rPr>
        <w:tab/>
      </w:r>
      <w:r>
        <w:rPr>
          <w:noProof/>
        </w:rPr>
        <w:fldChar w:fldCharType="begin" w:fldLock="1"/>
      </w:r>
      <w:r>
        <w:rPr>
          <w:noProof/>
        </w:rPr>
        <w:instrText xml:space="preserve"> PAGEREF _Toc153625782 \h </w:instrText>
      </w:r>
      <w:r>
        <w:rPr>
          <w:noProof/>
        </w:rPr>
      </w:r>
      <w:r>
        <w:rPr>
          <w:noProof/>
        </w:rPr>
        <w:fldChar w:fldCharType="separate"/>
      </w:r>
      <w:r>
        <w:rPr>
          <w:noProof/>
        </w:rPr>
        <w:t>296</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5.11.3A</w:t>
      </w:r>
      <w:r w:rsidRPr="00DD140B">
        <w:rPr>
          <w:rFonts w:ascii="Calibri" w:eastAsia="Malgun Gothic" w:hAnsi="Calibri"/>
          <w:noProof/>
          <w:sz w:val="22"/>
          <w:szCs w:val="22"/>
          <w:lang w:eastAsia="ko-KR"/>
        </w:rPr>
        <w:tab/>
      </w:r>
      <w:r>
        <w:rPr>
          <w:noProof/>
        </w:rPr>
        <w:t>Notifications</w:t>
      </w:r>
      <w:r>
        <w:rPr>
          <w:noProof/>
        </w:rPr>
        <w:tab/>
      </w:r>
      <w:r>
        <w:rPr>
          <w:noProof/>
        </w:rPr>
        <w:fldChar w:fldCharType="begin" w:fldLock="1"/>
      </w:r>
      <w:r>
        <w:rPr>
          <w:noProof/>
        </w:rPr>
        <w:instrText xml:space="preserve"> PAGEREF _Toc153625783 \h </w:instrText>
      </w:r>
      <w:r>
        <w:rPr>
          <w:noProof/>
        </w:rPr>
      </w:r>
      <w:r>
        <w:rPr>
          <w:noProof/>
        </w:rPr>
        <w:fldChar w:fldCharType="separate"/>
      </w:r>
      <w:r>
        <w:rPr>
          <w:noProof/>
        </w:rPr>
        <w:t>296</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5.11.3A.1</w:t>
      </w:r>
      <w:r w:rsidRPr="00DD140B">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_Toc153625784 \h </w:instrText>
      </w:r>
      <w:r>
        <w:rPr>
          <w:noProof/>
        </w:rPr>
      </w:r>
      <w:r>
        <w:rPr>
          <w:noProof/>
        </w:rPr>
        <w:fldChar w:fldCharType="separate"/>
      </w:r>
      <w:r>
        <w:rPr>
          <w:noProof/>
        </w:rPr>
        <w:t>296</w:t>
      </w:r>
      <w:r>
        <w:rPr>
          <w:noProof/>
        </w:rPr>
        <w:fldChar w:fldCharType="end"/>
      </w:r>
    </w:p>
    <w:p w:rsidR="007D56C6" w:rsidRPr="00DD140B" w:rsidRDefault="007D56C6">
      <w:pPr>
        <w:pStyle w:val="TOC4"/>
        <w:rPr>
          <w:rFonts w:ascii="Calibri" w:eastAsia="Malgun Gothic" w:hAnsi="Calibri"/>
          <w:noProof/>
          <w:sz w:val="22"/>
          <w:szCs w:val="22"/>
          <w:lang w:eastAsia="ko-KR"/>
        </w:rPr>
      </w:pPr>
      <w:r w:rsidRPr="00677085">
        <w:rPr>
          <w:noProof/>
          <w:lang w:val="fr-FR"/>
        </w:rPr>
        <w:t>5.11.3A.2</w:t>
      </w:r>
      <w:r w:rsidRPr="00DD140B">
        <w:rPr>
          <w:rFonts w:ascii="Calibri" w:eastAsia="Malgun Gothic" w:hAnsi="Calibri"/>
          <w:noProof/>
          <w:sz w:val="22"/>
          <w:szCs w:val="22"/>
          <w:lang w:eastAsia="ko-KR"/>
        </w:rPr>
        <w:tab/>
      </w:r>
      <w:r w:rsidRPr="00677085">
        <w:rPr>
          <w:noProof/>
          <w:lang w:val="fr-FR"/>
        </w:rPr>
        <w:t>PFD Management Notification</w:t>
      </w:r>
      <w:r>
        <w:rPr>
          <w:noProof/>
        </w:rPr>
        <w:tab/>
      </w:r>
      <w:r>
        <w:rPr>
          <w:noProof/>
        </w:rPr>
        <w:fldChar w:fldCharType="begin" w:fldLock="1"/>
      </w:r>
      <w:r>
        <w:rPr>
          <w:noProof/>
        </w:rPr>
        <w:instrText xml:space="preserve"> PAGEREF _Toc153625785 \h </w:instrText>
      </w:r>
      <w:r>
        <w:rPr>
          <w:noProof/>
        </w:rPr>
      </w:r>
      <w:r>
        <w:rPr>
          <w:noProof/>
        </w:rPr>
        <w:fldChar w:fldCharType="separate"/>
      </w:r>
      <w:r>
        <w:rPr>
          <w:noProof/>
        </w:rPr>
        <w:t>297</w:t>
      </w:r>
      <w:r>
        <w:rPr>
          <w:noProof/>
        </w:rPr>
        <w:fldChar w:fldCharType="end"/>
      </w:r>
    </w:p>
    <w:p w:rsidR="007D56C6" w:rsidRPr="00DD140B" w:rsidRDefault="007D56C6">
      <w:pPr>
        <w:pStyle w:val="TOC5"/>
        <w:rPr>
          <w:rFonts w:ascii="Calibri" w:eastAsia="Malgun Gothic" w:hAnsi="Calibri"/>
          <w:noProof/>
          <w:sz w:val="22"/>
          <w:szCs w:val="22"/>
          <w:lang w:eastAsia="ko-KR"/>
        </w:rPr>
      </w:pPr>
      <w:r w:rsidRPr="00677085">
        <w:rPr>
          <w:noProof/>
          <w:lang w:val="fr-FR"/>
        </w:rPr>
        <w:t>5.11.3A.2.1</w:t>
      </w:r>
      <w:r w:rsidRPr="00DD140B">
        <w:rPr>
          <w:rFonts w:ascii="Calibri" w:eastAsia="Malgun Gothic" w:hAnsi="Calibri"/>
          <w:noProof/>
          <w:sz w:val="22"/>
          <w:szCs w:val="22"/>
          <w:lang w:eastAsia="ko-KR"/>
        </w:rPr>
        <w:tab/>
      </w:r>
      <w:r w:rsidRPr="00677085">
        <w:rPr>
          <w:noProof/>
          <w:lang w:val="fr-FR"/>
        </w:rPr>
        <w:t>Description</w:t>
      </w:r>
      <w:r>
        <w:rPr>
          <w:noProof/>
        </w:rPr>
        <w:tab/>
      </w:r>
      <w:r>
        <w:rPr>
          <w:noProof/>
        </w:rPr>
        <w:fldChar w:fldCharType="begin" w:fldLock="1"/>
      </w:r>
      <w:r>
        <w:rPr>
          <w:noProof/>
        </w:rPr>
        <w:instrText xml:space="preserve"> PAGEREF _Toc153625786 \h </w:instrText>
      </w:r>
      <w:r>
        <w:rPr>
          <w:noProof/>
        </w:rPr>
      </w:r>
      <w:r>
        <w:rPr>
          <w:noProof/>
        </w:rPr>
        <w:fldChar w:fldCharType="separate"/>
      </w:r>
      <w:r>
        <w:rPr>
          <w:noProof/>
        </w:rPr>
        <w:t>297</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5.11.3A.2.2</w:t>
      </w:r>
      <w:r w:rsidRPr="00DD140B">
        <w:rPr>
          <w:rFonts w:ascii="Calibri" w:eastAsia="Malgun Gothic" w:hAnsi="Calibri"/>
          <w:noProof/>
          <w:sz w:val="22"/>
          <w:szCs w:val="22"/>
          <w:lang w:eastAsia="ko-KR"/>
        </w:rPr>
        <w:tab/>
      </w:r>
      <w:r>
        <w:rPr>
          <w:noProof/>
        </w:rPr>
        <w:t>Target URI</w:t>
      </w:r>
      <w:r>
        <w:rPr>
          <w:noProof/>
        </w:rPr>
        <w:tab/>
      </w:r>
      <w:r>
        <w:rPr>
          <w:noProof/>
        </w:rPr>
        <w:fldChar w:fldCharType="begin" w:fldLock="1"/>
      </w:r>
      <w:r>
        <w:rPr>
          <w:noProof/>
        </w:rPr>
        <w:instrText xml:space="preserve"> PAGEREF _Toc153625787 \h </w:instrText>
      </w:r>
      <w:r>
        <w:rPr>
          <w:noProof/>
        </w:rPr>
      </w:r>
      <w:r>
        <w:rPr>
          <w:noProof/>
        </w:rPr>
        <w:fldChar w:fldCharType="separate"/>
      </w:r>
      <w:r>
        <w:rPr>
          <w:noProof/>
        </w:rPr>
        <w:t>297</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5.11.3A.2.3</w:t>
      </w:r>
      <w:r w:rsidRPr="00DD140B">
        <w:rPr>
          <w:rFonts w:ascii="Calibri" w:eastAsia="Malgun Gothic" w:hAnsi="Calibri"/>
          <w:noProof/>
          <w:sz w:val="22"/>
          <w:szCs w:val="22"/>
          <w:lang w:eastAsia="ko-KR"/>
        </w:rPr>
        <w:tab/>
      </w:r>
      <w:r>
        <w:rPr>
          <w:noProof/>
        </w:rPr>
        <w:t>Standard Methods</w:t>
      </w:r>
      <w:r>
        <w:rPr>
          <w:noProof/>
        </w:rPr>
        <w:tab/>
      </w:r>
      <w:r>
        <w:rPr>
          <w:noProof/>
        </w:rPr>
        <w:fldChar w:fldCharType="begin" w:fldLock="1"/>
      </w:r>
      <w:r>
        <w:rPr>
          <w:noProof/>
        </w:rPr>
        <w:instrText xml:space="preserve"> PAGEREF _Toc153625788 \h </w:instrText>
      </w:r>
      <w:r>
        <w:rPr>
          <w:noProof/>
        </w:rPr>
      </w:r>
      <w:r>
        <w:rPr>
          <w:noProof/>
        </w:rPr>
        <w:fldChar w:fldCharType="separate"/>
      </w:r>
      <w:r>
        <w:rPr>
          <w:noProof/>
        </w:rPr>
        <w:t>297</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5.11.3A.2.3.1</w:t>
      </w:r>
      <w:r w:rsidRPr="00DD140B">
        <w:rPr>
          <w:rFonts w:ascii="Calibri" w:eastAsia="Malgun Gothic" w:hAnsi="Calibri"/>
          <w:noProof/>
          <w:sz w:val="22"/>
          <w:szCs w:val="22"/>
          <w:lang w:eastAsia="ko-KR"/>
        </w:rPr>
        <w:tab/>
      </w:r>
      <w:r>
        <w:rPr>
          <w:noProof/>
        </w:rPr>
        <w:t>Notification via POST</w:t>
      </w:r>
      <w:r>
        <w:rPr>
          <w:noProof/>
        </w:rPr>
        <w:tab/>
      </w:r>
      <w:r>
        <w:rPr>
          <w:noProof/>
        </w:rPr>
        <w:fldChar w:fldCharType="begin" w:fldLock="1"/>
      </w:r>
      <w:r>
        <w:rPr>
          <w:noProof/>
        </w:rPr>
        <w:instrText xml:space="preserve"> PAGEREF _Toc153625789 \h </w:instrText>
      </w:r>
      <w:r>
        <w:rPr>
          <w:noProof/>
        </w:rPr>
      </w:r>
      <w:r>
        <w:rPr>
          <w:noProof/>
        </w:rPr>
        <w:fldChar w:fldCharType="separate"/>
      </w:r>
      <w:r>
        <w:rPr>
          <w:noProof/>
        </w:rPr>
        <w:t>297</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5.11.3A.2.3.2</w:t>
      </w:r>
      <w:r w:rsidRPr="00DD140B">
        <w:rPr>
          <w:rFonts w:ascii="Calibri" w:eastAsia="Malgun Gothic" w:hAnsi="Calibri"/>
          <w:noProof/>
          <w:sz w:val="22"/>
          <w:szCs w:val="22"/>
          <w:lang w:eastAsia="ko-KR"/>
        </w:rPr>
        <w:tab/>
      </w:r>
      <w:r>
        <w:rPr>
          <w:noProof/>
        </w:rPr>
        <w:t>Notification via Websocket</w:t>
      </w:r>
      <w:r>
        <w:rPr>
          <w:noProof/>
        </w:rPr>
        <w:tab/>
      </w:r>
      <w:r>
        <w:rPr>
          <w:noProof/>
        </w:rPr>
        <w:fldChar w:fldCharType="begin" w:fldLock="1"/>
      </w:r>
      <w:r>
        <w:rPr>
          <w:noProof/>
        </w:rPr>
        <w:instrText xml:space="preserve"> PAGEREF _Toc153625790 \h </w:instrText>
      </w:r>
      <w:r>
        <w:rPr>
          <w:noProof/>
        </w:rPr>
      </w:r>
      <w:r>
        <w:rPr>
          <w:noProof/>
        </w:rPr>
        <w:fldChar w:fldCharType="separate"/>
      </w:r>
      <w:r>
        <w:rPr>
          <w:noProof/>
        </w:rPr>
        <w:t>298</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5.11.4</w:t>
      </w:r>
      <w:r w:rsidRPr="00DD140B">
        <w:rPr>
          <w:rFonts w:ascii="Calibri" w:eastAsia="Malgun Gothic" w:hAnsi="Calibri"/>
          <w:noProof/>
          <w:sz w:val="22"/>
          <w:szCs w:val="22"/>
          <w:lang w:eastAsia="ko-KR"/>
        </w:rPr>
        <w:tab/>
      </w:r>
      <w:r>
        <w:rPr>
          <w:noProof/>
        </w:rPr>
        <w:t>Used Features</w:t>
      </w:r>
      <w:r>
        <w:rPr>
          <w:noProof/>
        </w:rPr>
        <w:tab/>
      </w:r>
      <w:r>
        <w:rPr>
          <w:noProof/>
        </w:rPr>
        <w:fldChar w:fldCharType="begin" w:fldLock="1"/>
      </w:r>
      <w:r>
        <w:rPr>
          <w:noProof/>
        </w:rPr>
        <w:instrText xml:space="preserve"> PAGEREF _Toc153625791 \h </w:instrText>
      </w:r>
      <w:r>
        <w:rPr>
          <w:noProof/>
        </w:rPr>
      </w:r>
      <w:r>
        <w:rPr>
          <w:noProof/>
        </w:rPr>
        <w:fldChar w:fldCharType="separate"/>
      </w:r>
      <w:r>
        <w:rPr>
          <w:noProof/>
        </w:rPr>
        <w:t>298</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5.11.5</w:t>
      </w:r>
      <w:r w:rsidRPr="00DD140B">
        <w:rPr>
          <w:rFonts w:ascii="Calibri" w:eastAsia="Malgun Gothic" w:hAnsi="Calibri"/>
          <w:noProof/>
          <w:sz w:val="22"/>
          <w:szCs w:val="22"/>
          <w:lang w:eastAsia="ko-KR"/>
        </w:rPr>
        <w:tab/>
      </w:r>
      <w:r>
        <w:rPr>
          <w:noProof/>
        </w:rPr>
        <w:t>Error handling</w:t>
      </w:r>
      <w:r>
        <w:rPr>
          <w:noProof/>
        </w:rPr>
        <w:tab/>
      </w:r>
      <w:r>
        <w:rPr>
          <w:noProof/>
        </w:rPr>
        <w:fldChar w:fldCharType="begin" w:fldLock="1"/>
      </w:r>
      <w:r>
        <w:rPr>
          <w:noProof/>
        </w:rPr>
        <w:instrText xml:space="preserve"> PAGEREF _Toc153625792 \h </w:instrText>
      </w:r>
      <w:r>
        <w:rPr>
          <w:noProof/>
        </w:rPr>
      </w:r>
      <w:r>
        <w:rPr>
          <w:noProof/>
        </w:rPr>
        <w:fldChar w:fldCharType="separate"/>
      </w:r>
      <w:r>
        <w:rPr>
          <w:noProof/>
        </w:rPr>
        <w:t>298</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5.11.5.1</w:t>
      </w:r>
      <w:r w:rsidRPr="00DD140B">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_Toc153625793 \h </w:instrText>
      </w:r>
      <w:r>
        <w:rPr>
          <w:noProof/>
        </w:rPr>
      </w:r>
      <w:r>
        <w:rPr>
          <w:noProof/>
        </w:rPr>
        <w:fldChar w:fldCharType="separate"/>
      </w:r>
      <w:r>
        <w:rPr>
          <w:noProof/>
        </w:rPr>
        <w:t>298</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5.11.5.2</w:t>
      </w:r>
      <w:r w:rsidRPr="00DD140B">
        <w:rPr>
          <w:rFonts w:ascii="Calibri" w:eastAsia="Malgun Gothic" w:hAnsi="Calibri"/>
          <w:noProof/>
          <w:sz w:val="22"/>
          <w:szCs w:val="22"/>
          <w:lang w:eastAsia="ko-KR"/>
        </w:rPr>
        <w:tab/>
      </w:r>
      <w:r>
        <w:rPr>
          <w:noProof/>
        </w:rPr>
        <w:t>Protocol Errors</w:t>
      </w:r>
      <w:r>
        <w:rPr>
          <w:noProof/>
        </w:rPr>
        <w:tab/>
      </w:r>
      <w:r>
        <w:rPr>
          <w:noProof/>
        </w:rPr>
        <w:fldChar w:fldCharType="begin" w:fldLock="1"/>
      </w:r>
      <w:r>
        <w:rPr>
          <w:noProof/>
        </w:rPr>
        <w:instrText xml:space="preserve"> PAGEREF _Toc153625794 \h </w:instrText>
      </w:r>
      <w:r>
        <w:rPr>
          <w:noProof/>
        </w:rPr>
      </w:r>
      <w:r>
        <w:rPr>
          <w:noProof/>
        </w:rPr>
        <w:fldChar w:fldCharType="separate"/>
      </w:r>
      <w:r>
        <w:rPr>
          <w:noProof/>
        </w:rPr>
        <w:t>298</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5.11.5.3</w:t>
      </w:r>
      <w:r w:rsidRPr="00DD140B">
        <w:rPr>
          <w:rFonts w:ascii="Calibri" w:eastAsia="Malgun Gothic" w:hAnsi="Calibri"/>
          <w:noProof/>
          <w:sz w:val="22"/>
          <w:szCs w:val="22"/>
          <w:lang w:eastAsia="ko-KR"/>
        </w:rPr>
        <w:tab/>
      </w:r>
      <w:r>
        <w:rPr>
          <w:noProof/>
        </w:rPr>
        <w:t>Application Errors</w:t>
      </w:r>
      <w:r>
        <w:rPr>
          <w:noProof/>
        </w:rPr>
        <w:tab/>
      </w:r>
      <w:r>
        <w:rPr>
          <w:noProof/>
        </w:rPr>
        <w:fldChar w:fldCharType="begin" w:fldLock="1"/>
      </w:r>
      <w:r>
        <w:rPr>
          <w:noProof/>
        </w:rPr>
        <w:instrText xml:space="preserve"> PAGEREF _Toc153625795 \h </w:instrText>
      </w:r>
      <w:r>
        <w:rPr>
          <w:noProof/>
        </w:rPr>
      </w:r>
      <w:r>
        <w:rPr>
          <w:noProof/>
        </w:rPr>
        <w:fldChar w:fldCharType="separate"/>
      </w:r>
      <w:r>
        <w:rPr>
          <w:noProof/>
        </w:rPr>
        <w:t>298</w:t>
      </w:r>
      <w:r>
        <w:rPr>
          <w:noProof/>
        </w:rPr>
        <w:fldChar w:fldCharType="end"/>
      </w:r>
    </w:p>
    <w:p w:rsidR="007D56C6" w:rsidRPr="00DD140B" w:rsidRDefault="007D56C6">
      <w:pPr>
        <w:pStyle w:val="TOC2"/>
        <w:rPr>
          <w:rFonts w:ascii="Calibri" w:eastAsia="Malgun Gothic" w:hAnsi="Calibri"/>
          <w:noProof/>
          <w:sz w:val="22"/>
          <w:szCs w:val="22"/>
          <w:lang w:eastAsia="ko-KR"/>
        </w:rPr>
      </w:pPr>
      <w:r>
        <w:rPr>
          <w:noProof/>
        </w:rPr>
        <w:t>5.12</w:t>
      </w:r>
      <w:r w:rsidRPr="00DD140B">
        <w:rPr>
          <w:rFonts w:ascii="Calibri" w:eastAsia="Malgun Gothic" w:hAnsi="Calibri"/>
          <w:noProof/>
          <w:sz w:val="22"/>
          <w:szCs w:val="22"/>
          <w:lang w:eastAsia="ko-KR"/>
        </w:rPr>
        <w:tab/>
      </w:r>
      <w:r>
        <w:rPr>
          <w:noProof/>
        </w:rPr>
        <w:t>ECRControl API</w:t>
      </w:r>
      <w:r>
        <w:rPr>
          <w:noProof/>
        </w:rPr>
        <w:tab/>
      </w:r>
      <w:r>
        <w:rPr>
          <w:noProof/>
        </w:rPr>
        <w:fldChar w:fldCharType="begin" w:fldLock="1"/>
      </w:r>
      <w:r>
        <w:rPr>
          <w:noProof/>
        </w:rPr>
        <w:instrText xml:space="preserve"> PAGEREF _Toc153625796 \h </w:instrText>
      </w:r>
      <w:r>
        <w:rPr>
          <w:noProof/>
        </w:rPr>
      </w:r>
      <w:r>
        <w:rPr>
          <w:noProof/>
        </w:rPr>
        <w:fldChar w:fldCharType="separate"/>
      </w:r>
      <w:r>
        <w:rPr>
          <w:noProof/>
        </w:rPr>
        <w:t>299</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5.12.1</w:t>
      </w:r>
      <w:r w:rsidRPr="00DD140B">
        <w:rPr>
          <w:rFonts w:ascii="Calibri" w:eastAsia="Malgun Gothic" w:hAnsi="Calibri"/>
          <w:noProof/>
          <w:sz w:val="22"/>
          <w:szCs w:val="22"/>
          <w:lang w:eastAsia="ko-KR"/>
        </w:rPr>
        <w:tab/>
      </w:r>
      <w:r>
        <w:rPr>
          <w:noProof/>
        </w:rPr>
        <w:t>Overview</w:t>
      </w:r>
      <w:r>
        <w:rPr>
          <w:noProof/>
        </w:rPr>
        <w:tab/>
      </w:r>
      <w:r>
        <w:rPr>
          <w:noProof/>
        </w:rPr>
        <w:fldChar w:fldCharType="begin" w:fldLock="1"/>
      </w:r>
      <w:r>
        <w:rPr>
          <w:noProof/>
        </w:rPr>
        <w:instrText xml:space="preserve"> PAGEREF _Toc153625797 \h </w:instrText>
      </w:r>
      <w:r>
        <w:rPr>
          <w:noProof/>
        </w:rPr>
      </w:r>
      <w:r>
        <w:rPr>
          <w:noProof/>
        </w:rPr>
        <w:fldChar w:fldCharType="separate"/>
      </w:r>
      <w:r>
        <w:rPr>
          <w:noProof/>
        </w:rPr>
        <w:t>299</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5.12.2</w:t>
      </w:r>
      <w:r w:rsidRPr="00DD140B">
        <w:rPr>
          <w:rFonts w:ascii="Calibri" w:eastAsia="Malgun Gothic" w:hAnsi="Calibri"/>
          <w:noProof/>
          <w:sz w:val="22"/>
          <w:szCs w:val="22"/>
          <w:lang w:eastAsia="ko-KR"/>
        </w:rPr>
        <w:tab/>
      </w:r>
      <w:r>
        <w:rPr>
          <w:noProof/>
        </w:rPr>
        <w:t>Data model</w:t>
      </w:r>
      <w:r>
        <w:rPr>
          <w:noProof/>
        </w:rPr>
        <w:tab/>
      </w:r>
      <w:r>
        <w:rPr>
          <w:noProof/>
        </w:rPr>
        <w:fldChar w:fldCharType="begin" w:fldLock="1"/>
      </w:r>
      <w:r>
        <w:rPr>
          <w:noProof/>
        </w:rPr>
        <w:instrText xml:space="preserve"> PAGEREF _Toc153625798 \h </w:instrText>
      </w:r>
      <w:r>
        <w:rPr>
          <w:noProof/>
        </w:rPr>
      </w:r>
      <w:r>
        <w:rPr>
          <w:noProof/>
        </w:rPr>
        <w:fldChar w:fldCharType="separate"/>
      </w:r>
      <w:r>
        <w:rPr>
          <w:noProof/>
        </w:rPr>
        <w:t>299</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5.12.2.1</w:t>
      </w:r>
      <w:r w:rsidRPr="00DD140B">
        <w:rPr>
          <w:rFonts w:ascii="Calibri" w:eastAsia="Malgun Gothic" w:hAnsi="Calibri"/>
          <w:noProof/>
          <w:sz w:val="22"/>
          <w:szCs w:val="22"/>
          <w:lang w:eastAsia="ko-KR"/>
        </w:rPr>
        <w:tab/>
      </w:r>
      <w:r>
        <w:rPr>
          <w:noProof/>
        </w:rPr>
        <w:t>Data types</w:t>
      </w:r>
      <w:r>
        <w:rPr>
          <w:noProof/>
        </w:rPr>
        <w:tab/>
      </w:r>
      <w:r>
        <w:rPr>
          <w:noProof/>
        </w:rPr>
        <w:fldChar w:fldCharType="begin" w:fldLock="1"/>
      </w:r>
      <w:r>
        <w:rPr>
          <w:noProof/>
        </w:rPr>
        <w:instrText xml:space="preserve"> PAGEREF _Toc153625799 \h </w:instrText>
      </w:r>
      <w:r>
        <w:rPr>
          <w:noProof/>
        </w:rPr>
      </w:r>
      <w:r>
        <w:rPr>
          <w:noProof/>
        </w:rPr>
        <w:fldChar w:fldCharType="separate"/>
      </w:r>
      <w:r>
        <w:rPr>
          <w:noProof/>
        </w:rPr>
        <w:t>299</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5.12.2.1.1</w:t>
      </w:r>
      <w:r w:rsidRPr="00DD140B">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_Toc153625800 \h </w:instrText>
      </w:r>
      <w:r>
        <w:rPr>
          <w:noProof/>
        </w:rPr>
      </w:r>
      <w:r>
        <w:rPr>
          <w:noProof/>
        </w:rPr>
        <w:fldChar w:fldCharType="separate"/>
      </w:r>
      <w:r>
        <w:rPr>
          <w:noProof/>
        </w:rPr>
        <w:t>299</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5.12.2.1.2</w:t>
      </w:r>
      <w:r w:rsidRPr="00DD140B">
        <w:rPr>
          <w:rFonts w:ascii="Calibri" w:eastAsia="Malgun Gothic" w:hAnsi="Calibri"/>
          <w:noProof/>
          <w:sz w:val="22"/>
          <w:szCs w:val="22"/>
          <w:lang w:eastAsia="ko-KR"/>
        </w:rPr>
        <w:tab/>
      </w:r>
      <w:r>
        <w:rPr>
          <w:noProof/>
        </w:rPr>
        <w:t>Type: ECRControl</w:t>
      </w:r>
      <w:r>
        <w:rPr>
          <w:noProof/>
        </w:rPr>
        <w:tab/>
      </w:r>
      <w:r>
        <w:rPr>
          <w:noProof/>
        </w:rPr>
        <w:fldChar w:fldCharType="begin" w:fldLock="1"/>
      </w:r>
      <w:r>
        <w:rPr>
          <w:noProof/>
        </w:rPr>
        <w:instrText xml:space="preserve"> PAGEREF _Toc153625801 \h </w:instrText>
      </w:r>
      <w:r>
        <w:rPr>
          <w:noProof/>
        </w:rPr>
      </w:r>
      <w:r>
        <w:rPr>
          <w:noProof/>
        </w:rPr>
        <w:fldChar w:fldCharType="separate"/>
      </w:r>
      <w:r>
        <w:rPr>
          <w:noProof/>
        </w:rPr>
        <w:t>299</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5.12.2.1.3</w:t>
      </w:r>
      <w:r w:rsidRPr="00DD140B">
        <w:rPr>
          <w:rFonts w:ascii="Calibri" w:eastAsia="Malgun Gothic" w:hAnsi="Calibri"/>
          <w:noProof/>
          <w:sz w:val="22"/>
          <w:szCs w:val="22"/>
          <w:lang w:eastAsia="ko-KR"/>
        </w:rPr>
        <w:tab/>
      </w:r>
      <w:r>
        <w:rPr>
          <w:noProof/>
        </w:rPr>
        <w:t>Type: ECRData</w:t>
      </w:r>
      <w:r>
        <w:rPr>
          <w:noProof/>
        </w:rPr>
        <w:tab/>
      </w:r>
      <w:r>
        <w:rPr>
          <w:noProof/>
        </w:rPr>
        <w:fldChar w:fldCharType="begin" w:fldLock="1"/>
      </w:r>
      <w:r>
        <w:rPr>
          <w:noProof/>
        </w:rPr>
        <w:instrText xml:space="preserve"> PAGEREF _Toc153625802 \h </w:instrText>
      </w:r>
      <w:r>
        <w:rPr>
          <w:noProof/>
        </w:rPr>
      </w:r>
      <w:r>
        <w:rPr>
          <w:noProof/>
        </w:rPr>
        <w:fldChar w:fldCharType="separate"/>
      </w:r>
      <w:r>
        <w:rPr>
          <w:noProof/>
        </w:rPr>
        <w:t>300</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5.12.2.1.4</w:t>
      </w:r>
      <w:r w:rsidRPr="00DD140B">
        <w:rPr>
          <w:rFonts w:ascii="Calibri" w:eastAsia="Malgun Gothic" w:hAnsi="Calibri"/>
          <w:noProof/>
          <w:sz w:val="22"/>
          <w:szCs w:val="22"/>
          <w:lang w:eastAsia="ko-KR"/>
        </w:rPr>
        <w:tab/>
      </w:r>
      <w:r>
        <w:rPr>
          <w:noProof/>
        </w:rPr>
        <w:t xml:space="preserve">Type: </w:t>
      </w:r>
      <w:r>
        <w:rPr>
          <w:noProof/>
          <w:lang w:eastAsia="zh-CN"/>
        </w:rPr>
        <w:t>PlmnEcRestrictionDataWb</w:t>
      </w:r>
      <w:r>
        <w:rPr>
          <w:noProof/>
        </w:rPr>
        <w:tab/>
      </w:r>
      <w:r>
        <w:rPr>
          <w:noProof/>
        </w:rPr>
        <w:fldChar w:fldCharType="begin" w:fldLock="1"/>
      </w:r>
      <w:r>
        <w:rPr>
          <w:noProof/>
        </w:rPr>
        <w:instrText xml:space="preserve"> PAGEREF _Toc153625803 \h </w:instrText>
      </w:r>
      <w:r>
        <w:rPr>
          <w:noProof/>
        </w:rPr>
      </w:r>
      <w:r>
        <w:rPr>
          <w:noProof/>
        </w:rPr>
        <w:fldChar w:fldCharType="separate"/>
      </w:r>
      <w:r>
        <w:rPr>
          <w:noProof/>
        </w:rPr>
        <w:t>301</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5.12.3</w:t>
      </w:r>
      <w:r w:rsidRPr="00DD140B">
        <w:rPr>
          <w:rFonts w:ascii="Calibri" w:eastAsia="Malgun Gothic" w:hAnsi="Calibri"/>
          <w:noProof/>
          <w:sz w:val="22"/>
          <w:szCs w:val="22"/>
          <w:lang w:eastAsia="ko-KR"/>
        </w:rPr>
        <w:tab/>
      </w:r>
      <w:r>
        <w:rPr>
          <w:noProof/>
        </w:rPr>
        <w:t>Custom Operations without associated resources</w:t>
      </w:r>
      <w:r>
        <w:rPr>
          <w:noProof/>
        </w:rPr>
        <w:tab/>
      </w:r>
      <w:r>
        <w:rPr>
          <w:noProof/>
        </w:rPr>
        <w:fldChar w:fldCharType="begin" w:fldLock="1"/>
      </w:r>
      <w:r>
        <w:rPr>
          <w:noProof/>
        </w:rPr>
        <w:instrText xml:space="preserve"> PAGEREF _Toc153625804 \h </w:instrText>
      </w:r>
      <w:r>
        <w:rPr>
          <w:noProof/>
        </w:rPr>
      </w:r>
      <w:r>
        <w:rPr>
          <w:noProof/>
        </w:rPr>
        <w:fldChar w:fldCharType="separate"/>
      </w:r>
      <w:r>
        <w:rPr>
          <w:noProof/>
        </w:rPr>
        <w:t>301</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5.12.3.1</w:t>
      </w:r>
      <w:r w:rsidRPr="00DD140B">
        <w:rPr>
          <w:rFonts w:ascii="Calibri" w:eastAsia="Malgun Gothic" w:hAnsi="Calibri"/>
          <w:noProof/>
          <w:sz w:val="22"/>
          <w:szCs w:val="22"/>
          <w:lang w:eastAsia="ko-KR"/>
        </w:rPr>
        <w:tab/>
      </w:r>
      <w:r>
        <w:rPr>
          <w:noProof/>
        </w:rPr>
        <w:t>Overview</w:t>
      </w:r>
      <w:r>
        <w:rPr>
          <w:noProof/>
        </w:rPr>
        <w:tab/>
      </w:r>
      <w:r>
        <w:rPr>
          <w:noProof/>
        </w:rPr>
        <w:fldChar w:fldCharType="begin" w:fldLock="1"/>
      </w:r>
      <w:r>
        <w:rPr>
          <w:noProof/>
        </w:rPr>
        <w:instrText xml:space="preserve"> PAGEREF _Toc153625805 \h </w:instrText>
      </w:r>
      <w:r>
        <w:rPr>
          <w:noProof/>
        </w:rPr>
      </w:r>
      <w:r>
        <w:rPr>
          <w:noProof/>
        </w:rPr>
        <w:fldChar w:fldCharType="separate"/>
      </w:r>
      <w:r>
        <w:rPr>
          <w:noProof/>
        </w:rPr>
        <w:t>301</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5.12.3.2</w:t>
      </w:r>
      <w:r w:rsidRPr="00DD140B">
        <w:rPr>
          <w:rFonts w:ascii="Calibri" w:eastAsia="Malgun Gothic" w:hAnsi="Calibri"/>
          <w:noProof/>
          <w:sz w:val="22"/>
          <w:szCs w:val="22"/>
          <w:lang w:eastAsia="ko-KR"/>
        </w:rPr>
        <w:tab/>
      </w:r>
      <w:r>
        <w:rPr>
          <w:noProof/>
        </w:rPr>
        <w:t>Operation: query</w:t>
      </w:r>
      <w:r>
        <w:rPr>
          <w:noProof/>
        </w:rPr>
        <w:tab/>
      </w:r>
      <w:r>
        <w:rPr>
          <w:noProof/>
        </w:rPr>
        <w:fldChar w:fldCharType="begin" w:fldLock="1"/>
      </w:r>
      <w:r>
        <w:rPr>
          <w:noProof/>
        </w:rPr>
        <w:instrText xml:space="preserve"> PAGEREF _Toc153625806 \h </w:instrText>
      </w:r>
      <w:r>
        <w:rPr>
          <w:noProof/>
        </w:rPr>
      </w:r>
      <w:r>
        <w:rPr>
          <w:noProof/>
        </w:rPr>
        <w:fldChar w:fldCharType="separate"/>
      </w:r>
      <w:r>
        <w:rPr>
          <w:noProof/>
        </w:rPr>
        <w:t>301</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5.12.3.2.1</w:t>
      </w:r>
      <w:r w:rsidRPr="00DD140B">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_Toc153625807 \h </w:instrText>
      </w:r>
      <w:r>
        <w:rPr>
          <w:noProof/>
        </w:rPr>
      </w:r>
      <w:r>
        <w:rPr>
          <w:noProof/>
        </w:rPr>
        <w:fldChar w:fldCharType="separate"/>
      </w:r>
      <w:r>
        <w:rPr>
          <w:noProof/>
        </w:rPr>
        <w:t>301</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5.12.3.2.2</w:t>
      </w:r>
      <w:r w:rsidRPr="00DD140B">
        <w:rPr>
          <w:rFonts w:ascii="Calibri" w:eastAsia="Malgun Gothic" w:hAnsi="Calibri"/>
          <w:noProof/>
          <w:sz w:val="22"/>
          <w:szCs w:val="22"/>
          <w:lang w:eastAsia="ko-KR"/>
        </w:rPr>
        <w:tab/>
      </w:r>
      <w:r>
        <w:rPr>
          <w:noProof/>
        </w:rPr>
        <w:t>Operation Definition</w:t>
      </w:r>
      <w:r>
        <w:rPr>
          <w:noProof/>
        </w:rPr>
        <w:tab/>
      </w:r>
      <w:r>
        <w:rPr>
          <w:noProof/>
        </w:rPr>
        <w:fldChar w:fldCharType="begin" w:fldLock="1"/>
      </w:r>
      <w:r>
        <w:rPr>
          <w:noProof/>
        </w:rPr>
        <w:instrText xml:space="preserve"> PAGEREF _Toc153625808 \h </w:instrText>
      </w:r>
      <w:r>
        <w:rPr>
          <w:noProof/>
        </w:rPr>
      </w:r>
      <w:r>
        <w:rPr>
          <w:noProof/>
        </w:rPr>
        <w:fldChar w:fldCharType="separate"/>
      </w:r>
      <w:r>
        <w:rPr>
          <w:noProof/>
        </w:rPr>
        <w:t>301</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5.12.3.3</w:t>
      </w:r>
      <w:r w:rsidRPr="00DD140B">
        <w:rPr>
          <w:rFonts w:ascii="Calibri" w:eastAsia="Malgun Gothic" w:hAnsi="Calibri"/>
          <w:noProof/>
          <w:sz w:val="22"/>
          <w:szCs w:val="22"/>
          <w:lang w:eastAsia="ko-KR"/>
        </w:rPr>
        <w:tab/>
      </w:r>
      <w:r>
        <w:rPr>
          <w:noProof/>
        </w:rPr>
        <w:t>Operation: configure</w:t>
      </w:r>
      <w:r>
        <w:rPr>
          <w:noProof/>
        </w:rPr>
        <w:tab/>
      </w:r>
      <w:r>
        <w:rPr>
          <w:noProof/>
        </w:rPr>
        <w:fldChar w:fldCharType="begin" w:fldLock="1"/>
      </w:r>
      <w:r>
        <w:rPr>
          <w:noProof/>
        </w:rPr>
        <w:instrText xml:space="preserve"> PAGEREF _Toc153625809 \h </w:instrText>
      </w:r>
      <w:r>
        <w:rPr>
          <w:noProof/>
        </w:rPr>
      </w:r>
      <w:r>
        <w:rPr>
          <w:noProof/>
        </w:rPr>
        <w:fldChar w:fldCharType="separate"/>
      </w:r>
      <w:r>
        <w:rPr>
          <w:noProof/>
        </w:rPr>
        <w:t>302</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5.12.3.3.1</w:t>
      </w:r>
      <w:r w:rsidRPr="00DD140B">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_Toc153625810 \h </w:instrText>
      </w:r>
      <w:r>
        <w:rPr>
          <w:noProof/>
        </w:rPr>
      </w:r>
      <w:r>
        <w:rPr>
          <w:noProof/>
        </w:rPr>
        <w:fldChar w:fldCharType="separate"/>
      </w:r>
      <w:r>
        <w:rPr>
          <w:noProof/>
        </w:rPr>
        <w:t>302</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5.12.3.3.2</w:t>
      </w:r>
      <w:r w:rsidRPr="00DD140B">
        <w:rPr>
          <w:rFonts w:ascii="Calibri" w:eastAsia="Malgun Gothic" w:hAnsi="Calibri"/>
          <w:noProof/>
          <w:sz w:val="22"/>
          <w:szCs w:val="22"/>
          <w:lang w:eastAsia="ko-KR"/>
        </w:rPr>
        <w:tab/>
      </w:r>
      <w:r>
        <w:rPr>
          <w:noProof/>
        </w:rPr>
        <w:t>Operation Definition</w:t>
      </w:r>
      <w:r>
        <w:rPr>
          <w:noProof/>
        </w:rPr>
        <w:tab/>
      </w:r>
      <w:r>
        <w:rPr>
          <w:noProof/>
        </w:rPr>
        <w:fldChar w:fldCharType="begin" w:fldLock="1"/>
      </w:r>
      <w:r>
        <w:rPr>
          <w:noProof/>
        </w:rPr>
        <w:instrText xml:space="preserve"> PAGEREF _Toc153625811 \h </w:instrText>
      </w:r>
      <w:r>
        <w:rPr>
          <w:noProof/>
        </w:rPr>
      </w:r>
      <w:r>
        <w:rPr>
          <w:noProof/>
        </w:rPr>
        <w:fldChar w:fldCharType="separate"/>
      </w:r>
      <w:r>
        <w:rPr>
          <w:noProof/>
        </w:rPr>
        <w:t>303</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5.12.4</w:t>
      </w:r>
      <w:r w:rsidRPr="00DD140B">
        <w:rPr>
          <w:rFonts w:ascii="Calibri" w:eastAsia="Malgun Gothic" w:hAnsi="Calibri"/>
          <w:noProof/>
          <w:sz w:val="22"/>
          <w:szCs w:val="22"/>
          <w:lang w:eastAsia="ko-KR"/>
        </w:rPr>
        <w:tab/>
      </w:r>
      <w:r>
        <w:rPr>
          <w:noProof/>
        </w:rPr>
        <w:t>Used Features</w:t>
      </w:r>
      <w:r>
        <w:rPr>
          <w:noProof/>
        </w:rPr>
        <w:tab/>
      </w:r>
      <w:r>
        <w:rPr>
          <w:noProof/>
        </w:rPr>
        <w:fldChar w:fldCharType="begin" w:fldLock="1"/>
      </w:r>
      <w:r>
        <w:rPr>
          <w:noProof/>
        </w:rPr>
        <w:instrText xml:space="preserve"> PAGEREF _Toc153625812 \h </w:instrText>
      </w:r>
      <w:r>
        <w:rPr>
          <w:noProof/>
        </w:rPr>
      </w:r>
      <w:r>
        <w:rPr>
          <w:noProof/>
        </w:rPr>
        <w:fldChar w:fldCharType="separate"/>
      </w:r>
      <w:r>
        <w:rPr>
          <w:noProof/>
        </w:rPr>
        <w:t>303</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5.12.5</w:t>
      </w:r>
      <w:r w:rsidRPr="00DD140B">
        <w:rPr>
          <w:rFonts w:ascii="Calibri" w:eastAsia="Malgun Gothic" w:hAnsi="Calibri"/>
          <w:noProof/>
          <w:sz w:val="22"/>
          <w:szCs w:val="22"/>
          <w:lang w:eastAsia="ko-KR"/>
        </w:rPr>
        <w:tab/>
      </w:r>
      <w:r>
        <w:rPr>
          <w:noProof/>
        </w:rPr>
        <w:t>Error handling</w:t>
      </w:r>
      <w:r>
        <w:rPr>
          <w:noProof/>
        </w:rPr>
        <w:tab/>
      </w:r>
      <w:r>
        <w:rPr>
          <w:noProof/>
        </w:rPr>
        <w:fldChar w:fldCharType="begin" w:fldLock="1"/>
      </w:r>
      <w:r>
        <w:rPr>
          <w:noProof/>
        </w:rPr>
        <w:instrText xml:space="preserve"> PAGEREF _Toc153625813 \h </w:instrText>
      </w:r>
      <w:r>
        <w:rPr>
          <w:noProof/>
        </w:rPr>
      </w:r>
      <w:r>
        <w:rPr>
          <w:noProof/>
        </w:rPr>
        <w:fldChar w:fldCharType="separate"/>
      </w:r>
      <w:r>
        <w:rPr>
          <w:noProof/>
        </w:rPr>
        <w:t>304</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5.12.5.1</w:t>
      </w:r>
      <w:r w:rsidRPr="00DD140B">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_Toc153625814 \h </w:instrText>
      </w:r>
      <w:r>
        <w:rPr>
          <w:noProof/>
        </w:rPr>
      </w:r>
      <w:r>
        <w:rPr>
          <w:noProof/>
        </w:rPr>
        <w:fldChar w:fldCharType="separate"/>
      </w:r>
      <w:r>
        <w:rPr>
          <w:noProof/>
        </w:rPr>
        <w:t>304</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5.12.5.2</w:t>
      </w:r>
      <w:r w:rsidRPr="00DD140B">
        <w:rPr>
          <w:rFonts w:ascii="Calibri" w:eastAsia="Malgun Gothic" w:hAnsi="Calibri"/>
          <w:noProof/>
          <w:sz w:val="22"/>
          <w:szCs w:val="22"/>
          <w:lang w:eastAsia="ko-KR"/>
        </w:rPr>
        <w:tab/>
      </w:r>
      <w:r>
        <w:rPr>
          <w:noProof/>
        </w:rPr>
        <w:t>Protocol Errors</w:t>
      </w:r>
      <w:r>
        <w:rPr>
          <w:noProof/>
        </w:rPr>
        <w:tab/>
      </w:r>
      <w:r>
        <w:rPr>
          <w:noProof/>
        </w:rPr>
        <w:fldChar w:fldCharType="begin" w:fldLock="1"/>
      </w:r>
      <w:r>
        <w:rPr>
          <w:noProof/>
        </w:rPr>
        <w:instrText xml:space="preserve"> PAGEREF _Toc153625815 \h </w:instrText>
      </w:r>
      <w:r>
        <w:rPr>
          <w:noProof/>
        </w:rPr>
      </w:r>
      <w:r>
        <w:rPr>
          <w:noProof/>
        </w:rPr>
        <w:fldChar w:fldCharType="separate"/>
      </w:r>
      <w:r>
        <w:rPr>
          <w:noProof/>
        </w:rPr>
        <w:t>304</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5.12.5.3</w:t>
      </w:r>
      <w:r w:rsidRPr="00DD140B">
        <w:rPr>
          <w:rFonts w:ascii="Calibri" w:eastAsia="Malgun Gothic" w:hAnsi="Calibri"/>
          <w:noProof/>
          <w:sz w:val="22"/>
          <w:szCs w:val="22"/>
          <w:lang w:eastAsia="ko-KR"/>
        </w:rPr>
        <w:tab/>
      </w:r>
      <w:r>
        <w:rPr>
          <w:noProof/>
        </w:rPr>
        <w:t>Application Errors</w:t>
      </w:r>
      <w:r>
        <w:rPr>
          <w:noProof/>
        </w:rPr>
        <w:tab/>
      </w:r>
      <w:r>
        <w:rPr>
          <w:noProof/>
        </w:rPr>
        <w:fldChar w:fldCharType="begin" w:fldLock="1"/>
      </w:r>
      <w:r>
        <w:rPr>
          <w:noProof/>
        </w:rPr>
        <w:instrText xml:space="preserve"> PAGEREF _Toc153625816 \h </w:instrText>
      </w:r>
      <w:r>
        <w:rPr>
          <w:noProof/>
        </w:rPr>
      </w:r>
      <w:r>
        <w:rPr>
          <w:noProof/>
        </w:rPr>
        <w:fldChar w:fldCharType="separate"/>
      </w:r>
      <w:r>
        <w:rPr>
          <w:noProof/>
        </w:rPr>
        <w:t>304</w:t>
      </w:r>
      <w:r>
        <w:rPr>
          <w:noProof/>
        </w:rPr>
        <w:fldChar w:fldCharType="end"/>
      </w:r>
    </w:p>
    <w:p w:rsidR="007D56C6" w:rsidRPr="00DD140B" w:rsidRDefault="007D56C6">
      <w:pPr>
        <w:pStyle w:val="TOC2"/>
        <w:rPr>
          <w:rFonts w:ascii="Calibri" w:eastAsia="Malgun Gothic" w:hAnsi="Calibri"/>
          <w:noProof/>
          <w:sz w:val="22"/>
          <w:szCs w:val="22"/>
          <w:lang w:eastAsia="ko-KR"/>
        </w:rPr>
      </w:pPr>
      <w:r>
        <w:rPr>
          <w:noProof/>
        </w:rPr>
        <w:t>5.13</w:t>
      </w:r>
      <w:r w:rsidRPr="00DD140B">
        <w:rPr>
          <w:rFonts w:ascii="Calibri" w:eastAsia="Malgun Gothic" w:hAnsi="Calibri"/>
          <w:noProof/>
          <w:sz w:val="22"/>
          <w:szCs w:val="22"/>
          <w:lang w:eastAsia="ko-KR"/>
        </w:rPr>
        <w:tab/>
      </w:r>
      <w:r>
        <w:rPr>
          <w:noProof/>
        </w:rPr>
        <w:t>NpConfiguration API</w:t>
      </w:r>
      <w:r>
        <w:rPr>
          <w:noProof/>
        </w:rPr>
        <w:tab/>
      </w:r>
      <w:r>
        <w:rPr>
          <w:noProof/>
        </w:rPr>
        <w:fldChar w:fldCharType="begin" w:fldLock="1"/>
      </w:r>
      <w:r>
        <w:rPr>
          <w:noProof/>
        </w:rPr>
        <w:instrText xml:space="preserve"> PAGEREF _Toc153625817 \h </w:instrText>
      </w:r>
      <w:r>
        <w:rPr>
          <w:noProof/>
        </w:rPr>
      </w:r>
      <w:r>
        <w:rPr>
          <w:noProof/>
        </w:rPr>
        <w:fldChar w:fldCharType="separate"/>
      </w:r>
      <w:r>
        <w:rPr>
          <w:noProof/>
        </w:rPr>
        <w:t>304</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5.13.1</w:t>
      </w:r>
      <w:r w:rsidRPr="00DD140B">
        <w:rPr>
          <w:rFonts w:ascii="Calibri" w:eastAsia="Malgun Gothic" w:hAnsi="Calibri"/>
          <w:noProof/>
          <w:sz w:val="22"/>
          <w:szCs w:val="22"/>
          <w:lang w:eastAsia="ko-KR"/>
        </w:rPr>
        <w:tab/>
      </w:r>
      <w:r>
        <w:rPr>
          <w:noProof/>
        </w:rPr>
        <w:t>Overview</w:t>
      </w:r>
      <w:r>
        <w:rPr>
          <w:noProof/>
        </w:rPr>
        <w:tab/>
      </w:r>
      <w:r>
        <w:rPr>
          <w:noProof/>
        </w:rPr>
        <w:fldChar w:fldCharType="begin" w:fldLock="1"/>
      </w:r>
      <w:r>
        <w:rPr>
          <w:noProof/>
        </w:rPr>
        <w:instrText xml:space="preserve"> PAGEREF _Toc153625818 \h </w:instrText>
      </w:r>
      <w:r>
        <w:rPr>
          <w:noProof/>
        </w:rPr>
      </w:r>
      <w:r>
        <w:rPr>
          <w:noProof/>
        </w:rPr>
        <w:fldChar w:fldCharType="separate"/>
      </w:r>
      <w:r>
        <w:rPr>
          <w:noProof/>
        </w:rPr>
        <w:t>304</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5.13.2</w:t>
      </w:r>
      <w:r w:rsidRPr="00DD140B">
        <w:rPr>
          <w:rFonts w:ascii="Calibri" w:eastAsia="Malgun Gothic" w:hAnsi="Calibri"/>
          <w:noProof/>
          <w:sz w:val="22"/>
          <w:szCs w:val="22"/>
          <w:lang w:eastAsia="ko-KR"/>
        </w:rPr>
        <w:tab/>
      </w:r>
      <w:r>
        <w:rPr>
          <w:noProof/>
        </w:rPr>
        <w:t>Data model</w:t>
      </w:r>
      <w:r>
        <w:rPr>
          <w:noProof/>
        </w:rPr>
        <w:tab/>
      </w:r>
      <w:r>
        <w:rPr>
          <w:noProof/>
        </w:rPr>
        <w:fldChar w:fldCharType="begin" w:fldLock="1"/>
      </w:r>
      <w:r>
        <w:rPr>
          <w:noProof/>
        </w:rPr>
        <w:instrText xml:space="preserve"> PAGEREF _Toc153625819 \h </w:instrText>
      </w:r>
      <w:r>
        <w:rPr>
          <w:noProof/>
        </w:rPr>
      </w:r>
      <w:r>
        <w:rPr>
          <w:noProof/>
        </w:rPr>
        <w:fldChar w:fldCharType="separate"/>
      </w:r>
      <w:r>
        <w:rPr>
          <w:noProof/>
        </w:rPr>
        <w:t>304</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5.13.2.1</w:t>
      </w:r>
      <w:r w:rsidRPr="00DD140B">
        <w:rPr>
          <w:rFonts w:ascii="Calibri" w:eastAsia="Malgun Gothic" w:hAnsi="Calibri"/>
          <w:noProof/>
          <w:sz w:val="22"/>
          <w:szCs w:val="22"/>
          <w:lang w:eastAsia="ko-KR"/>
        </w:rPr>
        <w:tab/>
      </w:r>
      <w:r>
        <w:rPr>
          <w:noProof/>
        </w:rPr>
        <w:t>Resource data types</w:t>
      </w:r>
      <w:r>
        <w:rPr>
          <w:noProof/>
        </w:rPr>
        <w:tab/>
      </w:r>
      <w:r>
        <w:rPr>
          <w:noProof/>
        </w:rPr>
        <w:fldChar w:fldCharType="begin" w:fldLock="1"/>
      </w:r>
      <w:r>
        <w:rPr>
          <w:noProof/>
        </w:rPr>
        <w:instrText xml:space="preserve"> PAGEREF _Toc153625820 \h </w:instrText>
      </w:r>
      <w:r>
        <w:rPr>
          <w:noProof/>
        </w:rPr>
      </w:r>
      <w:r>
        <w:rPr>
          <w:noProof/>
        </w:rPr>
        <w:fldChar w:fldCharType="separate"/>
      </w:r>
      <w:r>
        <w:rPr>
          <w:noProof/>
        </w:rPr>
        <w:t>304</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5.13.2.1.1</w:t>
      </w:r>
      <w:r w:rsidRPr="00DD140B">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_Toc153625821 \h </w:instrText>
      </w:r>
      <w:r>
        <w:rPr>
          <w:noProof/>
        </w:rPr>
      </w:r>
      <w:r>
        <w:rPr>
          <w:noProof/>
        </w:rPr>
        <w:fldChar w:fldCharType="separate"/>
      </w:r>
      <w:r>
        <w:rPr>
          <w:noProof/>
        </w:rPr>
        <w:t>304</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5.13.2.1.2</w:t>
      </w:r>
      <w:r w:rsidRPr="00DD140B">
        <w:rPr>
          <w:rFonts w:ascii="Calibri" w:eastAsia="Malgun Gothic" w:hAnsi="Calibri"/>
          <w:noProof/>
          <w:sz w:val="22"/>
          <w:szCs w:val="22"/>
          <w:lang w:eastAsia="ko-KR"/>
        </w:rPr>
        <w:tab/>
      </w:r>
      <w:r>
        <w:rPr>
          <w:noProof/>
        </w:rPr>
        <w:t>Type: NpConfiguration</w:t>
      </w:r>
      <w:r>
        <w:rPr>
          <w:noProof/>
        </w:rPr>
        <w:tab/>
      </w:r>
      <w:r>
        <w:rPr>
          <w:noProof/>
        </w:rPr>
        <w:fldChar w:fldCharType="begin" w:fldLock="1"/>
      </w:r>
      <w:r>
        <w:rPr>
          <w:noProof/>
        </w:rPr>
        <w:instrText xml:space="preserve"> PAGEREF _Toc153625822 \h </w:instrText>
      </w:r>
      <w:r>
        <w:rPr>
          <w:noProof/>
        </w:rPr>
      </w:r>
      <w:r>
        <w:rPr>
          <w:noProof/>
        </w:rPr>
        <w:fldChar w:fldCharType="separate"/>
      </w:r>
      <w:r>
        <w:rPr>
          <w:noProof/>
        </w:rPr>
        <w:t>305</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5.13.2.1.3</w:t>
      </w:r>
      <w:r w:rsidRPr="00DD140B">
        <w:rPr>
          <w:rFonts w:ascii="Calibri" w:eastAsia="Malgun Gothic" w:hAnsi="Calibri"/>
          <w:noProof/>
          <w:sz w:val="22"/>
          <w:szCs w:val="22"/>
          <w:lang w:eastAsia="ko-KR"/>
        </w:rPr>
        <w:tab/>
      </w:r>
      <w:r>
        <w:rPr>
          <w:noProof/>
        </w:rPr>
        <w:t>Type: NpConfigurationPatch</w:t>
      </w:r>
      <w:r>
        <w:rPr>
          <w:noProof/>
        </w:rPr>
        <w:tab/>
      </w:r>
      <w:r>
        <w:rPr>
          <w:noProof/>
        </w:rPr>
        <w:fldChar w:fldCharType="begin" w:fldLock="1"/>
      </w:r>
      <w:r>
        <w:rPr>
          <w:noProof/>
        </w:rPr>
        <w:instrText xml:space="preserve"> PAGEREF _Toc153625823 \h </w:instrText>
      </w:r>
      <w:r>
        <w:rPr>
          <w:noProof/>
        </w:rPr>
      </w:r>
      <w:r>
        <w:rPr>
          <w:noProof/>
        </w:rPr>
        <w:fldChar w:fldCharType="separate"/>
      </w:r>
      <w:r>
        <w:rPr>
          <w:noProof/>
        </w:rPr>
        <w:t>307</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5.13.2.1.4</w:t>
      </w:r>
      <w:r w:rsidRPr="00DD140B">
        <w:rPr>
          <w:rFonts w:ascii="Calibri" w:eastAsia="Malgun Gothic" w:hAnsi="Calibri"/>
          <w:noProof/>
          <w:sz w:val="22"/>
          <w:szCs w:val="22"/>
          <w:lang w:eastAsia="ko-KR"/>
        </w:rPr>
        <w:tab/>
      </w:r>
      <w:r>
        <w:rPr>
          <w:noProof/>
        </w:rPr>
        <w:t>Type: ConfigurationNotification</w:t>
      </w:r>
      <w:r>
        <w:rPr>
          <w:noProof/>
        </w:rPr>
        <w:tab/>
      </w:r>
      <w:r>
        <w:rPr>
          <w:noProof/>
        </w:rPr>
        <w:fldChar w:fldCharType="begin" w:fldLock="1"/>
      </w:r>
      <w:r>
        <w:rPr>
          <w:noProof/>
        </w:rPr>
        <w:instrText xml:space="preserve"> PAGEREF _Toc153625824 \h </w:instrText>
      </w:r>
      <w:r>
        <w:rPr>
          <w:noProof/>
        </w:rPr>
      </w:r>
      <w:r>
        <w:rPr>
          <w:noProof/>
        </w:rPr>
        <w:fldChar w:fldCharType="separate"/>
      </w:r>
      <w:r>
        <w:rPr>
          <w:noProof/>
        </w:rPr>
        <w:t>307</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5.13.3</w:t>
      </w:r>
      <w:r w:rsidRPr="00DD140B">
        <w:rPr>
          <w:rFonts w:ascii="Calibri" w:eastAsia="Malgun Gothic" w:hAnsi="Calibri"/>
          <w:noProof/>
          <w:sz w:val="22"/>
          <w:szCs w:val="22"/>
          <w:lang w:eastAsia="ko-KR"/>
        </w:rPr>
        <w:tab/>
      </w:r>
      <w:r>
        <w:rPr>
          <w:noProof/>
        </w:rPr>
        <w:t>Resource structure</w:t>
      </w:r>
      <w:r>
        <w:rPr>
          <w:noProof/>
        </w:rPr>
        <w:tab/>
      </w:r>
      <w:r>
        <w:rPr>
          <w:noProof/>
        </w:rPr>
        <w:fldChar w:fldCharType="begin" w:fldLock="1"/>
      </w:r>
      <w:r>
        <w:rPr>
          <w:noProof/>
        </w:rPr>
        <w:instrText xml:space="preserve"> PAGEREF _Toc153625825 \h </w:instrText>
      </w:r>
      <w:r>
        <w:rPr>
          <w:noProof/>
        </w:rPr>
      </w:r>
      <w:r>
        <w:rPr>
          <w:noProof/>
        </w:rPr>
        <w:fldChar w:fldCharType="separate"/>
      </w:r>
      <w:r>
        <w:rPr>
          <w:noProof/>
        </w:rPr>
        <w:t>308</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5.13.3.1</w:t>
      </w:r>
      <w:r w:rsidRPr="00DD140B">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_Toc153625826 \h </w:instrText>
      </w:r>
      <w:r>
        <w:rPr>
          <w:noProof/>
        </w:rPr>
      </w:r>
      <w:r>
        <w:rPr>
          <w:noProof/>
        </w:rPr>
        <w:fldChar w:fldCharType="separate"/>
      </w:r>
      <w:r>
        <w:rPr>
          <w:noProof/>
        </w:rPr>
        <w:t>308</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5.13.3.2</w:t>
      </w:r>
      <w:r w:rsidRPr="00DD140B">
        <w:rPr>
          <w:rFonts w:ascii="Calibri" w:eastAsia="Malgun Gothic" w:hAnsi="Calibri"/>
          <w:noProof/>
          <w:sz w:val="22"/>
          <w:szCs w:val="22"/>
          <w:lang w:eastAsia="ko-KR"/>
        </w:rPr>
        <w:tab/>
      </w:r>
      <w:r>
        <w:rPr>
          <w:noProof/>
        </w:rPr>
        <w:t>Resource: NP Configurations</w:t>
      </w:r>
      <w:r>
        <w:rPr>
          <w:noProof/>
        </w:rPr>
        <w:tab/>
      </w:r>
      <w:r>
        <w:rPr>
          <w:noProof/>
        </w:rPr>
        <w:fldChar w:fldCharType="begin" w:fldLock="1"/>
      </w:r>
      <w:r>
        <w:rPr>
          <w:noProof/>
        </w:rPr>
        <w:instrText xml:space="preserve"> PAGEREF _Toc153625827 \h </w:instrText>
      </w:r>
      <w:r>
        <w:rPr>
          <w:noProof/>
        </w:rPr>
      </w:r>
      <w:r>
        <w:rPr>
          <w:noProof/>
        </w:rPr>
        <w:fldChar w:fldCharType="separate"/>
      </w:r>
      <w:r>
        <w:rPr>
          <w:noProof/>
        </w:rPr>
        <w:t>308</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5.13.3.2.1</w:t>
      </w:r>
      <w:r w:rsidRPr="00DD140B">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_Toc153625828 \h </w:instrText>
      </w:r>
      <w:r>
        <w:rPr>
          <w:noProof/>
        </w:rPr>
      </w:r>
      <w:r>
        <w:rPr>
          <w:noProof/>
        </w:rPr>
        <w:fldChar w:fldCharType="separate"/>
      </w:r>
      <w:r>
        <w:rPr>
          <w:noProof/>
        </w:rPr>
        <w:t>308</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5.13.3.2.2</w:t>
      </w:r>
      <w:r w:rsidRPr="00DD140B">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_Toc153625829 \h </w:instrText>
      </w:r>
      <w:r>
        <w:rPr>
          <w:noProof/>
        </w:rPr>
      </w:r>
      <w:r>
        <w:rPr>
          <w:noProof/>
        </w:rPr>
        <w:fldChar w:fldCharType="separate"/>
      </w:r>
      <w:r>
        <w:rPr>
          <w:noProof/>
        </w:rPr>
        <w:t>308</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5.13.3.2.3</w:t>
      </w:r>
      <w:r w:rsidRPr="00DD140B">
        <w:rPr>
          <w:rFonts w:ascii="Calibri" w:eastAsia="Malgun Gothic" w:hAnsi="Calibri"/>
          <w:noProof/>
          <w:sz w:val="22"/>
          <w:szCs w:val="22"/>
          <w:lang w:eastAsia="ko-KR"/>
        </w:rPr>
        <w:tab/>
      </w:r>
      <w:r>
        <w:rPr>
          <w:noProof/>
        </w:rPr>
        <w:t>Resource methods</w:t>
      </w:r>
      <w:r>
        <w:rPr>
          <w:noProof/>
        </w:rPr>
        <w:tab/>
      </w:r>
      <w:r>
        <w:rPr>
          <w:noProof/>
        </w:rPr>
        <w:fldChar w:fldCharType="begin" w:fldLock="1"/>
      </w:r>
      <w:r>
        <w:rPr>
          <w:noProof/>
        </w:rPr>
        <w:instrText xml:space="preserve"> PAGEREF _Toc153625830 \h </w:instrText>
      </w:r>
      <w:r>
        <w:rPr>
          <w:noProof/>
        </w:rPr>
      </w:r>
      <w:r>
        <w:rPr>
          <w:noProof/>
        </w:rPr>
        <w:fldChar w:fldCharType="separate"/>
      </w:r>
      <w:r>
        <w:rPr>
          <w:noProof/>
        </w:rPr>
        <w:t>308</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5.13.3.2.3.1</w:t>
      </w:r>
      <w:r w:rsidRPr="00DD140B">
        <w:rPr>
          <w:rFonts w:ascii="Calibri" w:eastAsia="Malgun Gothic" w:hAnsi="Calibri"/>
          <w:noProof/>
          <w:sz w:val="22"/>
          <w:szCs w:val="22"/>
          <w:lang w:eastAsia="ko-KR"/>
        </w:rPr>
        <w:tab/>
      </w:r>
      <w:r>
        <w:rPr>
          <w:noProof/>
        </w:rPr>
        <w:t>GET</w:t>
      </w:r>
      <w:r>
        <w:rPr>
          <w:noProof/>
        </w:rPr>
        <w:tab/>
      </w:r>
      <w:r>
        <w:rPr>
          <w:noProof/>
        </w:rPr>
        <w:fldChar w:fldCharType="begin" w:fldLock="1"/>
      </w:r>
      <w:r>
        <w:rPr>
          <w:noProof/>
        </w:rPr>
        <w:instrText xml:space="preserve"> PAGEREF _Toc153625831 \h </w:instrText>
      </w:r>
      <w:r>
        <w:rPr>
          <w:noProof/>
        </w:rPr>
      </w:r>
      <w:r>
        <w:rPr>
          <w:noProof/>
        </w:rPr>
        <w:fldChar w:fldCharType="separate"/>
      </w:r>
      <w:r>
        <w:rPr>
          <w:noProof/>
        </w:rPr>
        <w:t>308</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5.13.3.2.3.2</w:t>
      </w:r>
      <w:r w:rsidRPr="00DD140B">
        <w:rPr>
          <w:rFonts w:ascii="Calibri" w:eastAsia="Malgun Gothic" w:hAnsi="Calibri"/>
          <w:noProof/>
          <w:sz w:val="22"/>
          <w:szCs w:val="22"/>
          <w:lang w:eastAsia="ko-KR"/>
        </w:rPr>
        <w:tab/>
      </w:r>
      <w:r>
        <w:rPr>
          <w:noProof/>
        </w:rPr>
        <w:t>PUT</w:t>
      </w:r>
      <w:r>
        <w:rPr>
          <w:noProof/>
        </w:rPr>
        <w:tab/>
      </w:r>
      <w:r>
        <w:rPr>
          <w:noProof/>
        </w:rPr>
        <w:fldChar w:fldCharType="begin" w:fldLock="1"/>
      </w:r>
      <w:r>
        <w:rPr>
          <w:noProof/>
        </w:rPr>
        <w:instrText xml:space="preserve"> PAGEREF _Toc153625832 \h </w:instrText>
      </w:r>
      <w:r>
        <w:rPr>
          <w:noProof/>
        </w:rPr>
      </w:r>
      <w:r>
        <w:rPr>
          <w:noProof/>
        </w:rPr>
        <w:fldChar w:fldCharType="separate"/>
      </w:r>
      <w:r>
        <w:rPr>
          <w:noProof/>
        </w:rPr>
        <w:t>309</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5.13.3.2.3.3</w:t>
      </w:r>
      <w:r w:rsidRPr="00DD140B">
        <w:rPr>
          <w:rFonts w:ascii="Calibri" w:eastAsia="Malgun Gothic" w:hAnsi="Calibri"/>
          <w:noProof/>
          <w:sz w:val="22"/>
          <w:szCs w:val="22"/>
          <w:lang w:eastAsia="ko-KR"/>
        </w:rPr>
        <w:tab/>
      </w:r>
      <w:r>
        <w:rPr>
          <w:noProof/>
        </w:rPr>
        <w:t>PATCH</w:t>
      </w:r>
      <w:r>
        <w:rPr>
          <w:noProof/>
        </w:rPr>
        <w:tab/>
      </w:r>
      <w:r>
        <w:rPr>
          <w:noProof/>
        </w:rPr>
        <w:fldChar w:fldCharType="begin" w:fldLock="1"/>
      </w:r>
      <w:r>
        <w:rPr>
          <w:noProof/>
        </w:rPr>
        <w:instrText xml:space="preserve"> PAGEREF _Toc153625833 \h </w:instrText>
      </w:r>
      <w:r>
        <w:rPr>
          <w:noProof/>
        </w:rPr>
      </w:r>
      <w:r>
        <w:rPr>
          <w:noProof/>
        </w:rPr>
        <w:fldChar w:fldCharType="separate"/>
      </w:r>
      <w:r>
        <w:rPr>
          <w:noProof/>
        </w:rPr>
        <w:t>309</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5.13.3.2.3.4</w:t>
      </w:r>
      <w:r w:rsidRPr="00DD140B">
        <w:rPr>
          <w:rFonts w:ascii="Calibri" w:eastAsia="Malgun Gothic" w:hAnsi="Calibri"/>
          <w:noProof/>
          <w:sz w:val="22"/>
          <w:szCs w:val="22"/>
          <w:lang w:eastAsia="ko-KR"/>
        </w:rPr>
        <w:tab/>
      </w:r>
      <w:r>
        <w:rPr>
          <w:noProof/>
        </w:rPr>
        <w:t>POST</w:t>
      </w:r>
      <w:r>
        <w:rPr>
          <w:noProof/>
        </w:rPr>
        <w:tab/>
      </w:r>
      <w:r>
        <w:rPr>
          <w:noProof/>
        </w:rPr>
        <w:fldChar w:fldCharType="begin" w:fldLock="1"/>
      </w:r>
      <w:r>
        <w:rPr>
          <w:noProof/>
        </w:rPr>
        <w:instrText xml:space="preserve"> PAGEREF _Toc153625834 \h </w:instrText>
      </w:r>
      <w:r>
        <w:rPr>
          <w:noProof/>
        </w:rPr>
      </w:r>
      <w:r>
        <w:rPr>
          <w:noProof/>
        </w:rPr>
        <w:fldChar w:fldCharType="separate"/>
      </w:r>
      <w:r>
        <w:rPr>
          <w:noProof/>
        </w:rPr>
        <w:t>309</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5.13.3.2.3.5</w:t>
      </w:r>
      <w:r w:rsidRPr="00DD140B">
        <w:rPr>
          <w:rFonts w:ascii="Calibri" w:eastAsia="Malgun Gothic" w:hAnsi="Calibri"/>
          <w:noProof/>
          <w:sz w:val="22"/>
          <w:szCs w:val="22"/>
          <w:lang w:eastAsia="ko-KR"/>
        </w:rPr>
        <w:tab/>
      </w:r>
      <w:r>
        <w:rPr>
          <w:noProof/>
        </w:rPr>
        <w:t>DELETE</w:t>
      </w:r>
      <w:r>
        <w:rPr>
          <w:noProof/>
        </w:rPr>
        <w:tab/>
      </w:r>
      <w:r>
        <w:rPr>
          <w:noProof/>
        </w:rPr>
        <w:fldChar w:fldCharType="begin" w:fldLock="1"/>
      </w:r>
      <w:r>
        <w:rPr>
          <w:noProof/>
        </w:rPr>
        <w:instrText xml:space="preserve"> PAGEREF _Toc153625835 \h </w:instrText>
      </w:r>
      <w:r>
        <w:rPr>
          <w:noProof/>
        </w:rPr>
      </w:r>
      <w:r>
        <w:rPr>
          <w:noProof/>
        </w:rPr>
        <w:fldChar w:fldCharType="separate"/>
      </w:r>
      <w:r>
        <w:rPr>
          <w:noProof/>
        </w:rPr>
        <w:t>310</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5.13.3.3</w:t>
      </w:r>
      <w:r w:rsidRPr="00DD140B">
        <w:rPr>
          <w:rFonts w:ascii="Calibri" w:eastAsia="Malgun Gothic" w:hAnsi="Calibri"/>
          <w:noProof/>
          <w:sz w:val="22"/>
          <w:szCs w:val="22"/>
          <w:lang w:eastAsia="ko-KR"/>
        </w:rPr>
        <w:tab/>
      </w:r>
      <w:r>
        <w:rPr>
          <w:noProof/>
        </w:rPr>
        <w:t>Resource: Individual NP Configuration</w:t>
      </w:r>
      <w:r>
        <w:rPr>
          <w:noProof/>
        </w:rPr>
        <w:tab/>
      </w:r>
      <w:r>
        <w:rPr>
          <w:noProof/>
        </w:rPr>
        <w:fldChar w:fldCharType="begin" w:fldLock="1"/>
      </w:r>
      <w:r>
        <w:rPr>
          <w:noProof/>
        </w:rPr>
        <w:instrText xml:space="preserve"> PAGEREF _Toc153625836 \h </w:instrText>
      </w:r>
      <w:r>
        <w:rPr>
          <w:noProof/>
        </w:rPr>
      </w:r>
      <w:r>
        <w:rPr>
          <w:noProof/>
        </w:rPr>
        <w:fldChar w:fldCharType="separate"/>
      </w:r>
      <w:r>
        <w:rPr>
          <w:noProof/>
        </w:rPr>
        <w:t>310</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5.13.3.3.1</w:t>
      </w:r>
      <w:r w:rsidRPr="00DD140B">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_Toc153625837 \h </w:instrText>
      </w:r>
      <w:r>
        <w:rPr>
          <w:noProof/>
        </w:rPr>
      </w:r>
      <w:r>
        <w:rPr>
          <w:noProof/>
        </w:rPr>
        <w:fldChar w:fldCharType="separate"/>
      </w:r>
      <w:r>
        <w:rPr>
          <w:noProof/>
        </w:rPr>
        <w:t>310</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5.13.3.3.2</w:t>
      </w:r>
      <w:r w:rsidRPr="00DD140B">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_Toc153625838 \h </w:instrText>
      </w:r>
      <w:r>
        <w:rPr>
          <w:noProof/>
        </w:rPr>
      </w:r>
      <w:r>
        <w:rPr>
          <w:noProof/>
        </w:rPr>
        <w:fldChar w:fldCharType="separate"/>
      </w:r>
      <w:r>
        <w:rPr>
          <w:noProof/>
        </w:rPr>
        <w:t>310</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5.13.3.3.3</w:t>
      </w:r>
      <w:r w:rsidRPr="00DD140B">
        <w:rPr>
          <w:rFonts w:ascii="Calibri" w:eastAsia="Malgun Gothic" w:hAnsi="Calibri"/>
          <w:noProof/>
          <w:sz w:val="22"/>
          <w:szCs w:val="22"/>
          <w:lang w:eastAsia="ko-KR"/>
        </w:rPr>
        <w:tab/>
      </w:r>
      <w:r>
        <w:rPr>
          <w:noProof/>
        </w:rPr>
        <w:t>Resource methods</w:t>
      </w:r>
      <w:r>
        <w:rPr>
          <w:noProof/>
        </w:rPr>
        <w:tab/>
      </w:r>
      <w:r>
        <w:rPr>
          <w:noProof/>
        </w:rPr>
        <w:fldChar w:fldCharType="begin" w:fldLock="1"/>
      </w:r>
      <w:r>
        <w:rPr>
          <w:noProof/>
        </w:rPr>
        <w:instrText xml:space="preserve"> PAGEREF _Toc153625839 \h </w:instrText>
      </w:r>
      <w:r>
        <w:rPr>
          <w:noProof/>
        </w:rPr>
      </w:r>
      <w:r>
        <w:rPr>
          <w:noProof/>
        </w:rPr>
        <w:fldChar w:fldCharType="separate"/>
      </w:r>
      <w:r>
        <w:rPr>
          <w:noProof/>
        </w:rPr>
        <w:t>311</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5.13.3.3.3.1</w:t>
      </w:r>
      <w:r w:rsidRPr="00DD140B">
        <w:rPr>
          <w:rFonts w:ascii="Calibri" w:eastAsia="Malgun Gothic" w:hAnsi="Calibri"/>
          <w:noProof/>
          <w:sz w:val="22"/>
          <w:szCs w:val="22"/>
          <w:lang w:eastAsia="ko-KR"/>
        </w:rPr>
        <w:tab/>
      </w:r>
      <w:r>
        <w:rPr>
          <w:noProof/>
        </w:rPr>
        <w:t>GET</w:t>
      </w:r>
      <w:r>
        <w:rPr>
          <w:noProof/>
        </w:rPr>
        <w:tab/>
      </w:r>
      <w:r>
        <w:rPr>
          <w:noProof/>
        </w:rPr>
        <w:fldChar w:fldCharType="begin" w:fldLock="1"/>
      </w:r>
      <w:r>
        <w:rPr>
          <w:noProof/>
        </w:rPr>
        <w:instrText xml:space="preserve"> PAGEREF _Toc153625840 \h </w:instrText>
      </w:r>
      <w:r>
        <w:rPr>
          <w:noProof/>
        </w:rPr>
      </w:r>
      <w:r>
        <w:rPr>
          <w:noProof/>
        </w:rPr>
        <w:fldChar w:fldCharType="separate"/>
      </w:r>
      <w:r>
        <w:rPr>
          <w:noProof/>
        </w:rPr>
        <w:t>311</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5.13.3.3.3.2</w:t>
      </w:r>
      <w:r w:rsidRPr="00DD140B">
        <w:rPr>
          <w:rFonts w:ascii="Calibri" w:eastAsia="Malgun Gothic" w:hAnsi="Calibri"/>
          <w:noProof/>
          <w:sz w:val="22"/>
          <w:szCs w:val="22"/>
          <w:lang w:eastAsia="ko-KR"/>
        </w:rPr>
        <w:tab/>
      </w:r>
      <w:r>
        <w:rPr>
          <w:noProof/>
        </w:rPr>
        <w:t>PUT</w:t>
      </w:r>
      <w:r>
        <w:rPr>
          <w:noProof/>
        </w:rPr>
        <w:tab/>
      </w:r>
      <w:r>
        <w:rPr>
          <w:noProof/>
        </w:rPr>
        <w:fldChar w:fldCharType="begin" w:fldLock="1"/>
      </w:r>
      <w:r>
        <w:rPr>
          <w:noProof/>
        </w:rPr>
        <w:instrText xml:space="preserve"> PAGEREF _Toc153625841 \h </w:instrText>
      </w:r>
      <w:r>
        <w:rPr>
          <w:noProof/>
        </w:rPr>
      </w:r>
      <w:r>
        <w:rPr>
          <w:noProof/>
        </w:rPr>
        <w:fldChar w:fldCharType="separate"/>
      </w:r>
      <w:r>
        <w:rPr>
          <w:noProof/>
        </w:rPr>
        <w:t>311</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5.13.3.3.3.3</w:t>
      </w:r>
      <w:r w:rsidRPr="00DD140B">
        <w:rPr>
          <w:rFonts w:ascii="Calibri" w:eastAsia="Malgun Gothic" w:hAnsi="Calibri"/>
          <w:noProof/>
          <w:sz w:val="22"/>
          <w:szCs w:val="22"/>
          <w:lang w:eastAsia="ko-KR"/>
        </w:rPr>
        <w:tab/>
      </w:r>
      <w:r>
        <w:rPr>
          <w:noProof/>
        </w:rPr>
        <w:t>PATCH</w:t>
      </w:r>
      <w:r>
        <w:rPr>
          <w:noProof/>
        </w:rPr>
        <w:tab/>
      </w:r>
      <w:r>
        <w:rPr>
          <w:noProof/>
        </w:rPr>
        <w:fldChar w:fldCharType="begin" w:fldLock="1"/>
      </w:r>
      <w:r>
        <w:rPr>
          <w:noProof/>
        </w:rPr>
        <w:instrText xml:space="preserve"> PAGEREF _Toc153625842 \h </w:instrText>
      </w:r>
      <w:r>
        <w:rPr>
          <w:noProof/>
        </w:rPr>
      </w:r>
      <w:r>
        <w:rPr>
          <w:noProof/>
        </w:rPr>
        <w:fldChar w:fldCharType="separate"/>
      </w:r>
      <w:r>
        <w:rPr>
          <w:noProof/>
        </w:rPr>
        <w:t>312</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5.13.3.3.3.4</w:t>
      </w:r>
      <w:r w:rsidRPr="00DD140B">
        <w:rPr>
          <w:rFonts w:ascii="Calibri" w:eastAsia="Malgun Gothic" w:hAnsi="Calibri"/>
          <w:noProof/>
          <w:sz w:val="22"/>
          <w:szCs w:val="22"/>
          <w:lang w:eastAsia="ko-KR"/>
        </w:rPr>
        <w:tab/>
      </w:r>
      <w:r>
        <w:rPr>
          <w:noProof/>
        </w:rPr>
        <w:t>POST</w:t>
      </w:r>
      <w:r>
        <w:rPr>
          <w:noProof/>
        </w:rPr>
        <w:tab/>
      </w:r>
      <w:r>
        <w:rPr>
          <w:noProof/>
        </w:rPr>
        <w:fldChar w:fldCharType="begin" w:fldLock="1"/>
      </w:r>
      <w:r>
        <w:rPr>
          <w:noProof/>
        </w:rPr>
        <w:instrText xml:space="preserve"> PAGEREF _Toc153625843 \h </w:instrText>
      </w:r>
      <w:r>
        <w:rPr>
          <w:noProof/>
        </w:rPr>
      </w:r>
      <w:r>
        <w:rPr>
          <w:noProof/>
        </w:rPr>
        <w:fldChar w:fldCharType="separate"/>
      </w:r>
      <w:r>
        <w:rPr>
          <w:noProof/>
        </w:rPr>
        <w:t>313</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5.13.3.3.3.5</w:t>
      </w:r>
      <w:r w:rsidRPr="00DD140B">
        <w:rPr>
          <w:rFonts w:ascii="Calibri" w:eastAsia="Malgun Gothic" w:hAnsi="Calibri"/>
          <w:noProof/>
          <w:sz w:val="22"/>
          <w:szCs w:val="22"/>
          <w:lang w:eastAsia="ko-KR"/>
        </w:rPr>
        <w:tab/>
      </w:r>
      <w:r>
        <w:rPr>
          <w:noProof/>
        </w:rPr>
        <w:t>DELETE</w:t>
      </w:r>
      <w:r>
        <w:rPr>
          <w:noProof/>
        </w:rPr>
        <w:tab/>
      </w:r>
      <w:r>
        <w:rPr>
          <w:noProof/>
        </w:rPr>
        <w:fldChar w:fldCharType="begin" w:fldLock="1"/>
      </w:r>
      <w:r>
        <w:rPr>
          <w:noProof/>
        </w:rPr>
        <w:instrText xml:space="preserve"> PAGEREF _Toc153625844 \h </w:instrText>
      </w:r>
      <w:r>
        <w:rPr>
          <w:noProof/>
        </w:rPr>
      </w:r>
      <w:r>
        <w:rPr>
          <w:noProof/>
        </w:rPr>
        <w:fldChar w:fldCharType="separate"/>
      </w:r>
      <w:r>
        <w:rPr>
          <w:noProof/>
        </w:rPr>
        <w:t>313</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5.13.3.4</w:t>
      </w:r>
      <w:r w:rsidRPr="00DD140B">
        <w:rPr>
          <w:rFonts w:ascii="Calibri" w:eastAsia="Malgun Gothic" w:hAnsi="Calibri"/>
          <w:noProof/>
          <w:sz w:val="22"/>
          <w:szCs w:val="22"/>
          <w:lang w:eastAsia="ko-KR"/>
        </w:rPr>
        <w:tab/>
      </w:r>
      <w:r>
        <w:rPr>
          <w:noProof/>
        </w:rPr>
        <w:t>Void</w:t>
      </w:r>
      <w:r>
        <w:rPr>
          <w:noProof/>
        </w:rPr>
        <w:tab/>
      </w:r>
      <w:r>
        <w:rPr>
          <w:noProof/>
        </w:rPr>
        <w:fldChar w:fldCharType="begin" w:fldLock="1"/>
      </w:r>
      <w:r>
        <w:rPr>
          <w:noProof/>
        </w:rPr>
        <w:instrText xml:space="preserve"> PAGEREF _Toc153625845 \h </w:instrText>
      </w:r>
      <w:r>
        <w:rPr>
          <w:noProof/>
        </w:rPr>
      </w:r>
      <w:r>
        <w:rPr>
          <w:noProof/>
        </w:rPr>
        <w:fldChar w:fldCharType="separate"/>
      </w:r>
      <w:r>
        <w:rPr>
          <w:noProof/>
        </w:rPr>
        <w:t>314</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5.13.3A</w:t>
      </w:r>
      <w:r w:rsidRPr="00DD140B">
        <w:rPr>
          <w:rFonts w:ascii="Calibri" w:eastAsia="Malgun Gothic" w:hAnsi="Calibri"/>
          <w:noProof/>
          <w:sz w:val="22"/>
          <w:szCs w:val="22"/>
          <w:lang w:eastAsia="ko-KR"/>
        </w:rPr>
        <w:tab/>
      </w:r>
      <w:r>
        <w:rPr>
          <w:noProof/>
        </w:rPr>
        <w:t>Notifications</w:t>
      </w:r>
      <w:r>
        <w:rPr>
          <w:noProof/>
        </w:rPr>
        <w:tab/>
      </w:r>
      <w:r>
        <w:rPr>
          <w:noProof/>
        </w:rPr>
        <w:fldChar w:fldCharType="begin" w:fldLock="1"/>
      </w:r>
      <w:r>
        <w:rPr>
          <w:noProof/>
        </w:rPr>
        <w:instrText xml:space="preserve"> PAGEREF _Toc153625846 \h </w:instrText>
      </w:r>
      <w:r>
        <w:rPr>
          <w:noProof/>
        </w:rPr>
      </w:r>
      <w:r>
        <w:rPr>
          <w:noProof/>
        </w:rPr>
        <w:fldChar w:fldCharType="separate"/>
      </w:r>
      <w:r>
        <w:rPr>
          <w:noProof/>
        </w:rPr>
        <w:t>314</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5.13.3A.1</w:t>
      </w:r>
      <w:r w:rsidRPr="00DD140B">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_Toc153625847 \h </w:instrText>
      </w:r>
      <w:r>
        <w:rPr>
          <w:noProof/>
        </w:rPr>
      </w:r>
      <w:r>
        <w:rPr>
          <w:noProof/>
        </w:rPr>
        <w:fldChar w:fldCharType="separate"/>
      </w:r>
      <w:r>
        <w:rPr>
          <w:noProof/>
        </w:rPr>
        <w:t>314</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5.13.3A.2</w:t>
      </w:r>
      <w:r w:rsidRPr="00DD140B">
        <w:rPr>
          <w:rFonts w:ascii="Calibri" w:eastAsia="Malgun Gothic" w:hAnsi="Calibri"/>
          <w:noProof/>
          <w:sz w:val="22"/>
          <w:szCs w:val="22"/>
          <w:lang w:eastAsia="ko-KR"/>
        </w:rPr>
        <w:tab/>
      </w:r>
      <w:r>
        <w:rPr>
          <w:noProof/>
        </w:rPr>
        <w:t>Configuration Notification</w:t>
      </w:r>
      <w:r>
        <w:rPr>
          <w:noProof/>
        </w:rPr>
        <w:tab/>
      </w:r>
      <w:r>
        <w:rPr>
          <w:noProof/>
        </w:rPr>
        <w:fldChar w:fldCharType="begin" w:fldLock="1"/>
      </w:r>
      <w:r>
        <w:rPr>
          <w:noProof/>
        </w:rPr>
        <w:instrText xml:space="preserve"> PAGEREF _Toc153625848 \h </w:instrText>
      </w:r>
      <w:r>
        <w:rPr>
          <w:noProof/>
        </w:rPr>
      </w:r>
      <w:r>
        <w:rPr>
          <w:noProof/>
        </w:rPr>
        <w:fldChar w:fldCharType="separate"/>
      </w:r>
      <w:r>
        <w:rPr>
          <w:noProof/>
        </w:rPr>
        <w:t>315</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5.13.3A.2.1</w:t>
      </w:r>
      <w:r w:rsidRPr="00DD140B">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_Toc153625849 \h </w:instrText>
      </w:r>
      <w:r>
        <w:rPr>
          <w:noProof/>
        </w:rPr>
      </w:r>
      <w:r>
        <w:rPr>
          <w:noProof/>
        </w:rPr>
        <w:fldChar w:fldCharType="separate"/>
      </w:r>
      <w:r>
        <w:rPr>
          <w:noProof/>
        </w:rPr>
        <w:t>315</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5.13.3A.2.2</w:t>
      </w:r>
      <w:r w:rsidRPr="00DD140B">
        <w:rPr>
          <w:rFonts w:ascii="Calibri" w:eastAsia="Malgun Gothic" w:hAnsi="Calibri"/>
          <w:noProof/>
          <w:sz w:val="22"/>
          <w:szCs w:val="22"/>
          <w:lang w:eastAsia="ko-KR"/>
        </w:rPr>
        <w:tab/>
      </w:r>
      <w:r>
        <w:rPr>
          <w:noProof/>
        </w:rPr>
        <w:t>Target URI</w:t>
      </w:r>
      <w:r>
        <w:rPr>
          <w:noProof/>
        </w:rPr>
        <w:tab/>
      </w:r>
      <w:r>
        <w:rPr>
          <w:noProof/>
        </w:rPr>
        <w:fldChar w:fldCharType="begin" w:fldLock="1"/>
      </w:r>
      <w:r>
        <w:rPr>
          <w:noProof/>
        </w:rPr>
        <w:instrText xml:space="preserve"> PAGEREF _Toc153625850 \h </w:instrText>
      </w:r>
      <w:r>
        <w:rPr>
          <w:noProof/>
        </w:rPr>
      </w:r>
      <w:r>
        <w:rPr>
          <w:noProof/>
        </w:rPr>
        <w:fldChar w:fldCharType="separate"/>
      </w:r>
      <w:r>
        <w:rPr>
          <w:noProof/>
        </w:rPr>
        <w:t>315</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5.13.3A.2.3</w:t>
      </w:r>
      <w:r w:rsidRPr="00DD140B">
        <w:rPr>
          <w:rFonts w:ascii="Calibri" w:eastAsia="Malgun Gothic" w:hAnsi="Calibri"/>
          <w:noProof/>
          <w:sz w:val="22"/>
          <w:szCs w:val="22"/>
          <w:lang w:eastAsia="ko-KR"/>
        </w:rPr>
        <w:tab/>
      </w:r>
      <w:r>
        <w:rPr>
          <w:noProof/>
        </w:rPr>
        <w:t>Standard Methods</w:t>
      </w:r>
      <w:r>
        <w:rPr>
          <w:noProof/>
        </w:rPr>
        <w:tab/>
      </w:r>
      <w:r>
        <w:rPr>
          <w:noProof/>
        </w:rPr>
        <w:fldChar w:fldCharType="begin" w:fldLock="1"/>
      </w:r>
      <w:r>
        <w:rPr>
          <w:noProof/>
        </w:rPr>
        <w:instrText xml:space="preserve"> PAGEREF _Toc153625851 \h </w:instrText>
      </w:r>
      <w:r>
        <w:rPr>
          <w:noProof/>
        </w:rPr>
      </w:r>
      <w:r>
        <w:rPr>
          <w:noProof/>
        </w:rPr>
        <w:fldChar w:fldCharType="separate"/>
      </w:r>
      <w:r>
        <w:rPr>
          <w:noProof/>
        </w:rPr>
        <w:t>315</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5.13.3A.2.3.1</w:t>
      </w:r>
      <w:r w:rsidRPr="00DD140B">
        <w:rPr>
          <w:rFonts w:ascii="Calibri" w:eastAsia="Malgun Gothic" w:hAnsi="Calibri"/>
          <w:noProof/>
          <w:sz w:val="22"/>
          <w:szCs w:val="22"/>
          <w:lang w:eastAsia="ko-KR"/>
        </w:rPr>
        <w:tab/>
      </w:r>
      <w:r>
        <w:rPr>
          <w:noProof/>
        </w:rPr>
        <w:t>Notification via POST</w:t>
      </w:r>
      <w:r>
        <w:rPr>
          <w:noProof/>
        </w:rPr>
        <w:tab/>
      </w:r>
      <w:r>
        <w:rPr>
          <w:noProof/>
        </w:rPr>
        <w:fldChar w:fldCharType="begin" w:fldLock="1"/>
      </w:r>
      <w:r>
        <w:rPr>
          <w:noProof/>
        </w:rPr>
        <w:instrText xml:space="preserve"> PAGEREF _Toc153625852 \h </w:instrText>
      </w:r>
      <w:r>
        <w:rPr>
          <w:noProof/>
        </w:rPr>
      </w:r>
      <w:r>
        <w:rPr>
          <w:noProof/>
        </w:rPr>
        <w:fldChar w:fldCharType="separate"/>
      </w:r>
      <w:r>
        <w:rPr>
          <w:noProof/>
        </w:rPr>
        <w:t>315</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5.13.3a.2.3.2</w:t>
      </w:r>
      <w:r w:rsidRPr="00DD140B">
        <w:rPr>
          <w:rFonts w:ascii="Calibri" w:eastAsia="Malgun Gothic" w:hAnsi="Calibri"/>
          <w:noProof/>
          <w:sz w:val="22"/>
          <w:szCs w:val="22"/>
          <w:lang w:eastAsia="ko-KR"/>
        </w:rPr>
        <w:tab/>
      </w:r>
      <w:r>
        <w:rPr>
          <w:noProof/>
        </w:rPr>
        <w:t>Notification via Websocket</w:t>
      </w:r>
      <w:r>
        <w:rPr>
          <w:noProof/>
        </w:rPr>
        <w:tab/>
      </w:r>
      <w:r>
        <w:rPr>
          <w:noProof/>
        </w:rPr>
        <w:fldChar w:fldCharType="begin" w:fldLock="1"/>
      </w:r>
      <w:r>
        <w:rPr>
          <w:noProof/>
        </w:rPr>
        <w:instrText xml:space="preserve"> PAGEREF _Toc153625853 \h </w:instrText>
      </w:r>
      <w:r>
        <w:rPr>
          <w:noProof/>
        </w:rPr>
      </w:r>
      <w:r>
        <w:rPr>
          <w:noProof/>
        </w:rPr>
        <w:fldChar w:fldCharType="separate"/>
      </w:r>
      <w:r>
        <w:rPr>
          <w:noProof/>
        </w:rPr>
        <w:t>316</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5.13.4</w:t>
      </w:r>
      <w:r w:rsidRPr="00DD140B">
        <w:rPr>
          <w:rFonts w:ascii="Calibri" w:eastAsia="Malgun Gothic" w:hAnsi="Calibri"/>
          <w:noProof/>
          <w:sz w:val="22"/>
          <w:szCs w:val="22"/>
          <w:lang w:eastAsia="ko-KR"/>
        </w:rPr>
        <w:tab/>
      </w:r>
      <w:r>
        <w:rPr>
          <w:noProof/>
        </w:rPr>
        <w:t>Used Features</w:t>
      </w:r>
      <w:r>
        <w:rPr>
          <w:noProof/>
        </w:rPr>
        <w:tab/>
      </w:r>
      <w:r>
        <w:rPr>
          <w:noProof/>
        </w:rPr>
        <w:fldChar w:fldCharType="begin" w:fldLock="1"/>
      </w:r>
      <w:r>
        <w:rPr>
          <w:noProof/>
        </w:rPr>
        <w:instrText xml:space="preserve"> PAGEREF _Toc153625854 \h </w:instrText>
      </w:r>
      <w:r>
        <w:rPr>
          <w:noProof/>
        </w:rPr>
      </w:r>
      <w:r>
        <w:rPr>
          <w:noProof/>
        </w:rPr>
        <w:fldChar w:fldCharType="separate"/>
      </w:r>
      <w:r>
        <w:rPr>
          <w:noProof/>
        </w:rPr>
        <w:t>316</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5.13.5</w:t>
      </w:r>
      <w:r w:rsidRPr="00DD140B">
        <w:rPr>
          <w:rFonts w:ascii="Calibri" w:eastAsia="Malgun Gothic" w:hAnsi="Calibri"/>
          <w:noProof/>
          <w:sz w:val="22"/>
          <w:szCs w:val="22"/>
          <w:lang w:eastAsia="ko-KR"/>
        </w:rPr>
        <w:tab/>
      </w:r>
      <w:r>
        <w:rPr>
          <w:noProof/>
        </w:rPr>
        <w:t>Error handling</w:t>
      </w:r>
      <w:r>
        <w:rPr>
          <w:noProof/>
        </w:rPr>
        <w:tab/>
      </w:r>
      <w:r>
        <w:rPr>
          <w:noProof/>
        </w:rPr>
        <w:fldChar w:fldCharType="begin" w:fldLock="1"/>
      </w:r>
      <w:r>
        <w:rPr>
          <w:noProof/>
        </w:rPr>
        <w:instrText xml:space="preserve"> PAGEREF _Toc153625855 \h </w:instrText>
      </w:r>
      <w:r>
        <w:rPr>
          <w:noProof/>
        </w:rPr>
      </w:r>
      <w:r>
        <w:rPr>
          <w:noProof/>
        </w:rPr>
        <w:fldChar w:fldCharType="separate"/>
      </w:r>
      <w:r>
        <w:rPr>
          <w:noProof/>
        </w:rPr>
        <w:t>317</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5.13.5.1</w:t>
      </w:r>
      <w:r w:rsidRPr="00DD140B">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_Toc153625856 \h </w:instrText>
      </w:r>
      <w:r>
        <w:rPr>
          <w:noProof/>
        </w:rPr>
      </w:r>
      <w:r>
        <w:rPr>
          <w:noProof/>
        </w:rPr>
        <w:fldChar w:fldCharType="separate"/>
      </w:r>
      <w:r>
        <w:rPr>
          <w:noProof/>
        </w:rPr>
        <w:t>317</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5.13.5.2</w:t>
      </w:r>
      <w:r w:rsidRPr="00DD140B">
        <w:rPr>
          <w:rFonts w:ascii="Calibri" w:eastAsia="Malgun Gothic" w:hAnsi="Calibri"/>
          <w:noProof/>
          <w:sz w:val="22"/>
          <w:szCs w:val="22"/>
          <w:lang w:eastAsia="ko-KR"/>
        </w:rPr>
        <w:tab/>
      </w:r>
      <w:r>
        <w:rPr>
          <w:noProof/>
        </w:rPr>
        <w:t>Protocol Errors</w:t>
      </w:r>
      <w:r>
        <w:rPr>
          <w:noProof/>
        </w:rPr>
        <w:tab/>
      </w:r>
      <w:r>
        <w:rPr>
          <w:noProof/>
        </w:rPr>
        <w:fldChar w:fldCharType="begin" w:fldLock="1"/>
      </w:r>
      <w:r>
        <w:rPr>
          <w:noProof/>
        </w:rPr>
        <w:instrText xml:space="preserve"> PAGEREF _Toc153625857 \h </w:instrText>
      </w:r>
      <w:r>
        <w:rPr>
          <w:noProof/>
        </w:rPr>
      </w:r>
      <w:r>
        <w:rPr>
          <w:noProof/>
        </w:rPr>
        <w:fldChar w:fldCharType="separate"/>
      </w:r>
      <w:r>
        <w:rPr>
          <w:noProof/>
        </w:rPr>
        <w:t>317</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5.13.5.3</w:t>
      </w:r>
      <w:r w:rsidRPr="00DD140B">
        <w:rPr>
          <w:rFonts w:ascii="Calibri" w:eastAsia="Malgun Gothic" w:hAnsi="Calibri"/>
          <w:noProof/>
          <w:sz w:val="22"/>
          <w:szCs w:val="22"/>
          <w:lang w:eastAsia="ko-KR"/>
        </w:rPr>
        <w:tab/>
      </w:r>
      <w:r>
        <w:rPr>
          <w:noProof/>
        </w:rPr>
        <w:t>Application Errors</w:t>
      </w:r>
      <w:r>
        <w:rPr>
          <w:noProof/>
        </w:rPr>
        <w:tab/>
      </w:r>
      <w:r>
        <w:rPr>
          <w:noProof/>
        </w:rPr>
        <w:fldChar w:fldCharType="begin" w:fldLock="1"/>
      </w:r>
      <w:r>
        <w:rPr>
          <w:noProof/>
        </w:rPr>
        <w:instrText xml:space="preserve"> PAGEREF _Toc153625858 \h </w:instrText>
      </w:r>
      <w:r>
        <w:rPr>
          <w:noProof/>
        </w:rPr>
      </w:r>
      <w:r>
        <w:rPr>
          <w:noProof/>
        </w:rPr>
        <w:fldChar w:fldCharType="separate"/>
      </w:r>
      <w:r>
        <w:rPr>
          <w:noProof/>
        </w:rPr>
        <w:t>317</w:t>
      </w:r>
      <w:r>
        <w:rPr>
          <w:noProof/>
        </w:rPr>
        <w:fldChar w:fldCharType="end"/>
      </w:r>
    </w:p>
    <w:p w:rsidR="007D56C6" w:rsidRPr="00DD140B" w:rsidRDefault="007D56C6">
      <w:pPr>
        <w:pStyle w:val="TOC2"/>
        <w:rPr>
          <w:rFonts w:ascii="Calibri" w:eastAsia="Malgun Gothic" w:hAnsi="Calibri"/>
          <w:noProof/>
          <w:sz w:val="22"/>
          <w:szCs w:val="22"/>
          <w:lang w:eastAsia="ko-KR"/>
        </w:rPr>
      </w:pPr>
      <w:r>
        <w:rPr>
          <w:noProof/>
        </w:rPr>
        <w:t>5.14</w:t>
      </w:r>
      <w:r w:rsidRPr="00DD140B">
        <w:rPr>
          <w:rFonts w:ascii="Calibri" w:eastAsia="Malgun Gothic" w:hAnsi="Calibri"/>
          <w:noProof/>
          <w:sz w:val="22"/>
          <w:szCs w:val="22"/>
          <w:lang w:eastAsia="ko-KR"/>
        </w:rPr>
        <w:tab/>
      </w:r>
      <w:r>
        <w:rPr>
          <w:noProof/>
        </w:rPr>
        <w:t>AsSessionWithQoS API</w:t>
      </w:r>
      <w:r>
        <w:rPr>
          <w:noProof/>
        </w:rPr>
        <w:tab/>
      </w:r>
      <w:r>
        <w:rPr>
          <w:noProof/>
        </w:rPr>
        <w:fldChar w:fldCharType="begin" w:fldLock="1"/>
      </w:r>
      <w:r>
        <w:rPr>
          <w:noProof/>
        </w:rPr>
        <w:instrText xml:space="preserve"> PAGEREF _Toc153625859 \h </w:instrText>
      </w:r>
      <w:r>
        <w:rPr>
          <w:noProof/>
        </w:rPr>
      </w:r>
      <w:r>
        <w:rPr>
          <w:noProof/>
        </w:rPr>
        <w:fldChar w:fldCharType="separate"/>
      </w:r>
      <w:r>
        <w:rPr>
          <w:noProof/>
        </w:rPr>
        <w:t>317</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5.14.1</w:t>
      </w:r>
      <w:r w:rsidRPr="00DD140B">
        <w:rPr>
          <w:rFonts w:ascii="Calibri" w:eastAsia="Malgun Gothic" w:hAnsi="Calibri"/>
          <w:noProof/>
          <w:sz w:val="22"/>
          <w:szCs w:val="22"/>
          <w:lang w:eastAsia="ko-KR"/>
        </w:rPr>
        <w:tab/>
      </w:r>
      <w:r>
        <w:rPr>
          <w:noProof/>
        </w:rPr>
        <w:t>Overview</w:t>
      </w:r>
      <w:r>
        <w:rPr>
          <w:noProof/>
        </w:rPr>
        <w:tab/>
      </w:r>
      <w:r>
        <w:rPr>
          <w:noProof/>
        </w:rPr>
        <w:fldChar w:fldCharType="begin" w:fldLock="1"/>
      </w:r>
      <w:r>
        <w:rPr>
          <w:noProof/>
        </w:rPr>
        <w:instrText xml:space="preserve"> PAGEREF _Toc153625860 \h </w:instrText>
      </w:r>
      <w:r>
        <w:rPr>
          <w:noProof/>
        </w:rPr>
      </w:r>
      <w:r>
        <w:rPr>
          <w:noProof/>
        </w:rPr>
        <w:fldChar w:fldCharType="separate"/>
      </w:r>
      <w:r>
        <w:rPr>
          <w:noProof/>
        </w:rPr>
        <w:t>317</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5.14.2</w:t>
      </w:r>
      <w:r w:rsidRPr="00DD140B">
        <w:rPr>
          <w:rFonts w:ascii="Calibri" w:eastAsia="Malgun Gothic" w:hAnsi="Calibri"/>
          <w:noProof/>
          <w:sz w:val="22"/>
          <w:szCs w:val="22"/>
          <w:lang w:eastAsia="ko-KR"/>
        </w:rPr>
        <w:tab/>
      </w:r>
      <w:r>
        <w:rPr>
          <w:noProof/>
        </w:rPr>
        <w:t>Data model</w:t>
      </w:r>
      <w:r>
        <w:rPr>
          <w:noProof/>
        </w:rPr>
        <w:tab/>
      </w:r>
      <w:r>
        <w:rPr>
          <w:noProof/>
        </w:rPr>
        <w:fldChar w:fldCharType="begin" w:fldLock="1"/>
      </w:r>
      <w:r>
        <w:rPr>
          <w:noProof/>
        </w:rPr>
        <w:instrText xml:space="preserve"> PAGEREF _Toc153625861 \h </w:instrText>
      </w:r>
      <w:r>
        <w:rPr>
          <w:noProof/>
        </w:rPr>
      </w:r>
      <w:r>
        <w:rPr>
          <w:noProof/>
        </w:rPr>
        <w:fldChar w:fldCharType="separate"/>
      </w:r>
      <w:r>
        <w:rPr>
          <w:noProof/>
        </w:rPr>
        <w:t>317</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5.14.2.1</w:t>
      </w:r>
      <w:r w:rsidRPr="00DD140B">
        <w:rPr>
          <w:rFonts w:ascii="Calibri" w:eastAsia="Malgun Gothic" w:hAnsi="Calibri"/>
          <w:noProof/>
          <w:sz w:val="22"/>
          <w:szCs w:val="22"/>
          <w:lang w:eastAsia="ko-KR"/>
        </w:rPr>
        <w:tab/>
      </w:r>
      <w:r>
        <w:rPr>
          <w:noProof/>
        </w:rPr>
        <w:t>Resource data types</w:t>
      </w:r>
      <w:r>
        <w:rPr>
          <w:noProof/>
        </w:rPr>
        <w:tab/>
      </w:r>
      <w:r>
        <w:rPr>
          <w:noProof/>
        </w:rPr>
        <w:fldChar w:fldCharType="begin" w:fldLock="1"/>
      </w:r>
      <w:r>
        <w:rPr>
          <w:noProof/>
        </w:rPr>
        <w:instrText xml:space="preserve"> PAGEREF _Toc153625862 \h </w:instrText>
      </w:r>
      <w:r>
        <w:rPr>
          <w:noProof/>
        </w:rPr>
      </w:r>
      <w:r>
        <w:rPr>
          <w:noProof/>
        </w:rPr>
        <w:fldChar w:fldCharType="separate"/>
      </w:r>
      <w:r>
        <w:rPr>
          <w:noProof/>
        </w:rPr>
        <w:t>317</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5.14.2.1.1</w:t>
      </w:r>
      <w:r w:rsidRPr="00DD140B">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_Toc153625863 \h </w:instrText>
      </w:r>
      <w:r>
        <w:rPr>
          <w:noProof/>
        </w:rPr>
      </w:r>
      <w:r>
        <w:rPr>
          <w:noProof/>
        </w:rPr>
        <w:fldChar w:fldCharType="separate"/>
      </w:r>
      <w:r>
        <w:rPr>
          <w:noProof/>
        </w:rPr>
        <w:t>317</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5.14.2.1.2</w:t>
      </w:r>
      <w:r w:rsidRPr="00DD140B">
        <w:rPr>
          <w:rFonts w:ascii="Calibri" w:eastAsia="Malgun Gothic" w:hAnsi="Calibri"/>
          <w:noProof/>
          <w:sz w:val="22"/>
          <w:szCs w:val="22"/>
          <w:lang w:eastAsia="ko-KR"/>
        </w:rPr>
        <w:tab/>
      </w:r>
      <w:r>
        <w:rPr>
          <w:noProof/>
        </w:rPr>
        <w:t>Type: AsSessionWithQoSSubscription</w:t>
      </w:r>
      <w:r>
        <w:rPr>
          <w:noProof/>
        </w:rPr>
        <w:tab/>
      </w:r>
      <w:r>
        <w:rPr>
          <w:noProof/>
        </w:rPr>
        <w:fldChar w:fldCharType="begin" w:fldLock="1"/>
      </w:r>
      <w:r>
        <w:rPr>
          <w:noProof/>
        </w:rPr>
        <w:instrText xml:space="preserve"> PAGEREF _Toc153625864 \h </w:instrText>
      </w:r>
      <w:r>
        <w:rPr>
          <w:noProof/>
        </w:rPr>
      </w:r>
      <w:r>
        <w:rPr>
          <w:noProof/>
        </w:rPr>
        <w:fldChar w:fldCharType="separate"/>
      </w:r>
      <w:r>
        <w:rPr>
          <w:noProof/>
        </w:rPr>
        <w:t>320</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5.14.2.1.3</w:t>
      </w:r>
      <w:r w:rsidRPr="00DD140B">
        <w:rPr>
          <w:rFonts w:ascii="Calibri" w:eastAsia="Malgun Gothic" w:hAnsi="Calibri"/>
          <w:noProof/>
          <w:sz w:val="22"/>
          <w:szCs w:val="22"/>
          <w:lang w:eastAsia="ko-KR"/>
        </w:rPr>
        <w:tab/>
      </w:r>
      <w:r>
        <w:rPr>
          <w:noProof/>
        </w:rPr>
        <w:t>Type: AsSessionWithQoSSubscriptionPatch</w:t>
      </w:r>
      <w:r>
        <w:rPr>
          <w:noProof/>
        </w:rPr>
        <w:tab/>
      </w:r>
      <w:r>
        <w:rPr>
          <w:noProof/>
        </w:rPr>
        <w:fldChar w:fldCharType="begin" w:fldLock="1"/>
      </w:r>
      <w:r>
        <w:rPr>
          <w:noProof/>
        </w:rPr>
        <w:instrText xml:space="preserve"> PAGEREF _Toc153625865 \h </w:instrText>
      </w:r>
      <w:r>
        <w:rPr>
          <w:noProof/>
        </w:rPr>
      </w:r>
      <w:r>
        <w:rPr>
          <w:noProof/>
        </w:rPr>
        <w:fldChar w:fldCharType="separate"/>
      </w:r>
      <w:r>
        <w:rPr>
          <w:noProof/>
        </w:rPr>
        <w:t>324</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5.14.2.1.4</w:t>
      </w:r>
      <w:r w:rsidRPr="00DD140B">
        <w:rPr>
          <w:rFonts w:ascii="Calibri" w:eastAsia="Malgun Gothic" w:hAnsi="Calibri"/>
          <w:noProof/>
          <w:sz w:val="22"/>
          <w:szCs w:val="22"/>
          <w:lang w:eastAsia="ko-KR"/>
        </w:rPr>
        <w:tab/>
      </w:r>
      <w:r>
        <w:rPr>
          <w:noProof/>
        </w:rPr>
        <w:t>Type: UserPlaneNotificationData</w:t>
      </w:r>
      <w:r>
        <w:rPr>
          <w:noProof/>
        </w:rPr>
        <w:tab/>
      </w:r>
      <w:r>
        <w:rPr>
          <w:noProof/>
        </w:rPr>
        <w:fldChar w:fldCharType="begin" w:fldLock="1"/>
      </w:r>
      <w:r>
        <w:rPr>
          <w:noProof/>
        </w:rPr>
        <w:instrText xml:space="preserve"> PAGEREF _Toc153625866 \h </w:instrText>
      </w:r>
      <w:r>
        <w:rPr>
          <w:noProof/>
        </w:rPr>
      </w:r>
      <w:r>
        <w:rPr>
          <w:noProof/>
        </w:rPr>
        <w:fldChar w:fldCharType="separate"/>
      </w:r>
      <w:r>
        <w:rPr>
          <w:noProof/>
        </w:rPr>
        <w:t>327</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5.14.2.1.5</w:t>
      </w:r>
      <w:r w:rsidRPr="00DD140B">
        <w:rPr>
          <w:rFonts w:ascii="Calibri" w:eastAsia="Malgun Gothic" w:hAnsi="Calibri"/>
          <w:noProof/>
          <w:sz w:val="22"/>
          <w:szCs w:val="22"/>
          <w:lang w:eastAsia="ko-KR"/>
        </w:rPr>
        <w:tab/>
      </w:r>
      <w:r>
        <w:rPr>
          <w:noProof/>
        </w:rPr>
        <w:t>Type: UserPlaneEventReport</w:t>
      </w:r>
      <w:r>
        <w:rPr>
          <w:noProof/>
        </w:rPr>
        <w:tab/>
      </w:r>
      <w:r>
        <w:rPr>
          <w:noProof/>
        </w:rPr>
        <w:fldChar w:fldCharType="begin" w:fldLock="1"/>
      </w:r>
      <w:r>
        <w:rPr>
          <w:noProof/>
        </w:rPr>
        <w:instrText xml:space="preserve"> PAGEREF _Toc153625867 \h </w:instrText>
      </w:r>
      <w:r>
        <w:rPr>
          <w:noProof/>
        </w:rPr>
      </w:r>
      <w:r>
        <w:rPr>
          <w:noProof/>
        </w:rPr>
        <w:fldChar w:fldCharType="separate"/>
      </w:r>
      <w:r>
        <w:rPr>
          <w:noProof/>
        </w:rPr>
        <w:t>327</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5.14.2.1.6</w:t>
      </w:r>
      <w:r w:rsidRPr="00DD140B">
        <w:rPr>
          <w:rFonts w:ascii="Calibri" w:eastAsia="Malgun Gothic" w:hAnsi="Calibri"/>
          <w:noProof/>
          <w:sz w:val="22"/>
          <w:szCs w:val="22"/>
          <w:lang w:eastAsia="ko-KR"/>
        </w:rPr>
        <w:tab/>
      </w:r>
      <w:r>
        <w:rPr>
          <w:noProof/>
        </w:rPr>
        <w:t>Type: QosMonitoringInformation</w:t>
      </w:r>
      <w:r>
        <w:rPr>
          <w:noProof/>
        </w:rPr>
        <w:tab/>
      </w:r>
      <w:r>
        <w:rPr>
          <w:noProof/>
        </w:rPr>
        <w:fldChar w:fldCharType="begin" w:fldLock="1"/>
      </w:r>
      <w:r>
        <w:rPr>
          <w:noProof/>
        </w:rPr>
        <w:instrText xml:space="preserve"> PAGEREF _Toc153625868 \h </w:instrText>
      </w:r>
      <w:r>
        <w:rPr>
          <w:noProof/>
        </w:rPr>
      </w:r>
      <w:r>
        <w:rPr>
          <w:noProof/>
        </w:rPr>
        <w:fldChar w:fldCharType="separate"/>
      </w:r>
      <w:r>
        <w:rPr>
          <w:noProof/>
        </w:rPr>
        <w:t>330</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5.14.2.1.7</w:t>
      </w:r>
      <w:r w:rsidRPr="00DD140B">
        <w:rPr>
          <w:rFonts w:ascii="Calibri" w:eastAsia="Malgun Gothic" w:hAnsi="Calibri"/>
          <w:noProof/>
          <w:sz w:val="22"/>
          <w:szCs w:val="22"/>
          <w:lang w:eastAsia="ko-KR"/>
        </w:rPr>
        <w:tab/>
      </w:r>
      <w:r>
        <w:rPr>
          <w:noProof/>
        </w:rPr>
        <w:t>Type: QosMonitoringInformationRm</w:t>
      </w:r>
      <w:r>
        <w:rPr>
          <w:noProof/>
        </w:rPr>
        <w:tab/>
      </w:r>
      <w:r>
        <w:rPr>
          <w:noProof/>
        </w:rPr>
        <w:fldChar w:fldCharType="begin" w:fldLock="1"/>
      </w:r>
      <w:r>
        <w:rPr>
          <w:noProof/>
        </w:rPr>
        <w:instrText xml:space="preserve"> PAGEREF _Toc153625869 \h </w:instrText>
      </w:r>
      <w:r>
        <w:rPr>
          <w:noProof/>
        </w:rPr>
      </w:r>
      <w:r>
        <w:rPr>
          <w:noProof/>
        </w:rPr>
        <w:fldChar w:fldCharType="separate"/>
      </w:r>
      <w:r>
        <w:rPr>
          <w:noProof/>
        </w:rPr>
        <w:t>331</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5.14.2.1.8</w:t>
      </w:r>
      <w:r w:rsidRPr="00DD140B">
        <w:rPr>
          <w:rFonts w:ascii="Calibri" w:eastAsia="Malgun Gothic" w:hAnsi="Calibri"/>
          <w:noProof/>
          <w:sz w:val="22"/>
          <w:szCs w:val="22"/>
          <w:lang w:eastAsia="ko-KR"/>
        </w:rPr>
        <w:tab/>
      </w:r>
      <w:r>
        <w:rPr>
          <w:noProof/>
        </w:rPr>
        <w:t>Type: QosMonitoringReport</w:t>
      </w:r>
      <w:r>
        <w:rPr>
          <w:noProof/>
        </w:rPr>
        <w:tab/>
      </w:r>
      <w:r>
        <w:rPr>
          <w:noProof/>
        </w:rPr>
        <w:fldChar w:fldCharType="begin" w:fldLock="1"/>
      </w:r>
      <w:r>
        <w:rPr>
          <w:noProof/>
        </w:rPr>
        <w:instrText xml:space="preserve"> PAGEREF _Toc153625870 \h </w:instrText>
      </w:r>
      <w:r>
        <w:rPr>
          <w:noProof/>
        </w:rPr>
      </w:r>
      <w:r>
        <w:rPr>
          <w:noProof/>
        </w:rPr>
        <w:fldChar w:fldCharType="separate"/>
      </w:r>
      <w:r>
        <w:rPr>
          <w:noProof/>
        </w:rPr>
        <w:t>333</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5.14.2.1.9</w:t>
      </w:r>
      <w:r w:rsidRPr="00DD140B">
        <w:rPr>
          <w:rFonts w:ascii="Calibri" w:eastAsia="Malgun Gothic" w:hAnsi="Calibri"/>
          <w:noProof/>
          <w:sz w:val="22"/>
          <w:szCs w:val="22"/>
          <w:lang w:eastAsia="ko-KR"/>
        </w:rPr>
        <w:tab/>
      </w:r>
      <w:r>
        <w:rPr>
          <w:noProof/>
        </w:rPr>
        <w:t xml:space="preserve">Type: </w:t>
      </w:r>
      <w:r>
        <w:rPr>
          <w:noProof/>
          <w:lang w:eastAsia="zh-CN"/>
        </w:rPr>
        <w:t>TscQosRequirement</w:t>
      </w:r>
      <w:r>
        <w:rPr>
          <w:noProof/>
        </w:rPr>
        <w:tab/>
      </w:r>
      <w:r>
        <w:rPr>
          <w:noProof/>
        </w:rPr>
        <w:fldChar w:fldCharType="begin" w:fldLock="1"/>
      </w:r>
      <w:r>
        <w:rPr>
          <w:noProof/>
        </w:rPr>
        <w:instrText xml:space="preserve"> PAGEREF _Toc153625871 \h </w:instrText>
      </w:r>
      <w:r>
        <w:rPr>
          <w:noProof/>
        </w:rPr>
      </w:r>
      <w:r>
        <w:rPr>
          <w:noProof/>
        </w:rPr>
        <w:fldChar w:fldCharType="separate"/>
      </w:r>
      <w:r>
        <w:rPr>
          <w:noProof/>
        </w:rPr>
        <w:t>334</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5.14.2.1.10</w:t>
      </w:r>
      <w:r w:rsidRPr="00DD140B">
        <w:rPr>
          <w:rFonts w:ascii="Calibri" w:eastAsia="Malgun Gothic" w:hAnsi="Calibri"/>
          <w:noProof/>
          <w:sz w:val="22"/>
          <w:szCs w:val="22"/>
          <w:lang w:eastAsia="ko-KR"/>
        </w:rPr>
        <w:tab/>
      </w:r>
      <w:r>
        <w:rPr>
          <w:noProof/>
        </w:rPr>
        <w:t xml:space="preserve">Type: </w:t>
      </w:r>
      <w:r>
        <w:rPr>
          <w:noProof/>
          <w:lang w:eastAsia="zh-CN"/>
        </w:rPr>
        <w:t>TscQosRequirementRm</w:t>
      </w:r>
      <w:r>
        <w:rPr>
          <w:noProof/>
        </w:rPr>
        <w:tab/>
      </w:r>
      <w:r>
        <w:rPr>
          <w:noProof/>
        </w:rPr>
        <w:fldChar w:fldCharType="begin" w:fldLock="1"/>
      </w:r>
      <w:r>
        <w:rPr>
          <w:noProof/>
        </w:rPr>
        <w:instrText xml:space="preserve"> PAGEREF _Toc153625872 \h </w:instrText>
      </w:r>
      <w:r>
        <w:rPr>
          <w:noProof/>
        </w:rPr>
      </w:r>
      <w:r>
        <w:rPr>
          <w:noProof/>
        </w:rPr>
        <w:fldChar w:fldCharType="separate"/>
      </w:r>
      <w:r>
        <w:rPr>
          <w:noProof/>
        </w:rPr>
        <w:t>334</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5.14.2.1.11</w:t>
      </w:r>
      <w:r w:rsidRPr="00DD140B">
        <w:rPr>
          <w:rFonts w:ascii="Calibri" w:eastAsia="Malgun Gothic" w:hAnsi="Calibri"/>
          <w:noProof/>
          <w:sz w:val="22"/>
          <w:szCs w:val="22"/>
          <w:lang w:eastAsia="ko-KR"/>
        </w:rPr>
        <w:tab/>
      </w:r>
      <w:r>
        <w:rPr>
          <w:noProof/>
        </w:rPr>
        <w:t>Type AdditionalInfoAsSessionWithQos</w:t>
      </w:r>
      <w:r>
        <w:rPr>
          <w:noProof/>
        </w:rPr>
        <w:tab/>
      </w:r>
      <w:r>
        <w:rPr>
          <w:noProof/>
        </w:rPr>
        <w:fldChar w:fldCharType="begin" w:fldLock="1"/>
      </w:r>
      <w:r>
        <w:rPr>
          <w:noProof/>
        </w:rPr>
        <w:instrText xml:space="preserve"> PAGEREF _Toc153625873 \h </w:instrText>
      </w:r>
      <w:r>
        <w:rPr>
          <w:noProof/>
        </w:rPr>
      </w:r>
      <w:r>
        <w:rPr>
          <w:noProof/>
        </w:rPr>
        <w:fldChar w:fldCharType="separate"/>
      </w:r>
      <w:r>
        <w:rPr>
          <w:noProof/>
        </w:rPr>
        <w:t>335</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5.14.2.1.12</w:t>
      </w:r>
      <w:r w:rsidRPr="00DD140B">
        <w:rPr>
          <w:rFonts w:ascii="Calibri" w:eastAsia="Malgun Gothic" w:hAnsi="Calibri"/>
          <w:noProof/>
          <w:sz w:val="22"/>
          <w:szCs w:val="22"/>
          <w:lang w:eastAsia="ko-KR"/>
        </w:rPr>
        <w:tab/>
      </w:r>
      <w:r>
        <w:rPr>
          <w:noProof/>
        </w:rPr>
        <w:t>Type: ProblemDetailsAsSessionWithQos</w:t>
      </w:r>
      <w:r>
        <w:rPr>
          <w:noProof/>
        </w:rPr>
        <w:tab/>
      </w:r>
      <w:r>
        <w:rPr>
          <w:noProof/>
        </w:rPr>
        <w:fldChar w:fldCharType="begin" w:fldLock="1"/>
      </w:r>
      <w:r>
        <w:rPr>
          <w:noProof/>
        </w:rPr>
        <w:instrText xml:space="preserve"> PAGEREF _Toc153625874 \h </w:instrText>
      </w:r>
      <w:r>
        <w:rPr>
          <w:noProof/>
        </w:rPr>
      </w:r>
      <w:r>
        <w:rPr>
          <w:noProof/>
        </w:rPr>
        <w:fldChar w:fldCharType="separate"/>
      </w:r>
      <w:r>
        <w:rPr>
          <w:noProof/>
        </w:rPr>
        <w:t>335</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5.14.2.1.13</w:t>
      </w:r>
      <w:r w:rsidRPr="00DD140B">
        <w:rPr>
          <w:rFonts w:ascii="Calibri" w:eastAsia="Malgun Gothic" w:hAnsi="Calibri"/>
          <w:noProof/>
          <w:sz w:val="22"/>
          <w:szCs w:val="22"/>
          <w:lang w:eastAsia="ko-KR"/>
        </w:rPr>
        <w:tab/>
      </w:r>
      <w:r>
        <w:rPr>
          <w:noProof/>
        </w:rPr>
        <w:t>Type AsSessionMediaComponent</w:t>
      </w:r>
      <w:r>
        <w:rPr>
          <w:noProof/>
        </w:rPr>
        <w:tab/>
      </w:r>
      <w:r>
        <w:rPr>
          <w:noProof/>
        </w:rPr>
        <w:fldChar w:fldCharType="begin" w:fldLock="1"/>
      </w:r>
      <w:r>
        <w:rPr>
          <w:noProof/>
        </w:rPr>
        <w:instrText xml:space="preserve"> PAGEREF _Toc153625875 \h </w:instrText>
      </w:r>
      <w:r>
        <w:rPr>
          <w:noProof/>
        </w:rPr>
      </w:r>
      <w:r>
        <w:rPr>
          <w:noProof/>
        </w:rPr>
        <w:fldChar w:fldCharType="separate"/>
      </w:r>
      <w:r>
        <w:rPr>
          <w:noProof/>
        </w:rPr>
        <w:t>335</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5.14.2.1.14</w:t>
      </w:r>
      <w:r w:rsidRPr="00DD140B">
        <w:rPr>
          <w:rFonts w:ascii="Calibri" w:eastAsia="Malgun Gothic" w:hAnsi="Calibri"/>
          <w:noProof/>
          <w:sz w:val="22"/>
          <w:szCs w:val="22"/>
          <w:lang w:eastAsia="ko-KR"/>
        </w:rPr>
        <w:tab/>
      </w:r>
      <w:r>
        <w:rPr>
          <w:noProof/>
        </w:rPr>
        <w:t>Type AsSessionMediaComponentRm</w:t>
      </w:r>
      <w:r>
        <w:rPr>
          <w:noProof/>
        </w:rPr>
        <w:tab/>
      </w:r>
      <w:r>
        <w:rPr>
          <w:noProof/>
        </w:rPr>
        <w:fldChar w:fldCharType="begin" w:fldLock="1"/>
      </w:r>
      <w:r>
        <w:rPr>
          <w:noProof/>
        </w:rPr>
        <w:instrText xml:space="preserve"> PAGEREF _Toc153625876 \h </w:instrText>
      </w:r>
      <w:r>
        <w:rPr>
          <w:noProof/>
        </w:rPr>
      </w:r>
      <w:r>
        <w:rPr>
          <w:noProof/>
        </w:rPr>
        <w:fldChar w:fldCharType="separate"/>
      </w:r>
      <w:r>
        <w:rPr>
          <w:noProof/>
        </w:rPr>
        <w:t>337</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5.14.2.1.15</w:t>
      </w:r>
      <w:r w:rsidRPr="00DD140B">
        <w:rPr>
          <w:rFonts w:ascii="Calibri" w:eastAsia="Malgun Gothic" w:hAnsi="Calibri"/>
          <w:noProof/>
          <w:sz w:val="22"/>
          <w:szCs w:val="22"/>
          <w:lang w:eastAsia="ko-KR"/>
        </w:rPr>
        <w:tab/>
      </w:r>
      <w:r>
        <w:rPr>
          <w:noProof/>
        </w:rPr>
        <w:t>Type: MultiModalFlows</w:t>
      </w:r>
      <w:r>
        <w:rPr>
          <w:noProof/>
        </w:rPr>
        <w:tab/>
      </w:r>
      <w:r>
        <w:rPr>
          <w:noProof/>
        </w:rPr>
        <w:fldChar w:fldCharType="begin" w:fldLock="1"/>
      </w:r>
      <w:r>
        <w:rPr>
          <w:noProof/>
        </w:rPr>
        <w:instrText xml:space="preserve"> PAGEREF _Toc153625877 \h </w:instrText>
      </w:r>
      <w:r>
        <w:rPr>
          <w:noProof/>
        </w:rPr>
      </w:r>
      <w:r>
        <w:rPr>
          <w:noProof/>
        </w:rPr>
        <w:fldChar w:fldCharType="separate"/>
      </w:r>
      <w:r>
        <w:rPr>
          <w:noProof/>
        </w:rPr>
        <w:t>339</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5.14.2.1.16</w:t>
      </w:r>
      <w:r w:rsidRPr="00DD140B">
        <w:rPr>
          <w:rFonts w:ascii="Calibri" w:eastAsia="Malgun Gothic" w:hAnsi="Calibri"/>
          <w:noProof/>
          <w:sz w:val="22"/>
          <w:szCs w:val="22"/>
          <w:lang w:eastAsia="ko-KR"/>
        </w:rPr>
        <w:tab/>
      </w:r>
      <w:r>
        <w:rPr>
          <w:noProof/>
        </w:rPr>
        <w:t>Type: UeAddInfo</w:t>
      </w:r>
      <w:r>
        <w:rPr>
          <w:noProof/>
        </w:rPr>
        <w:tab/>
      </w:r>
      <w:r>
        <w:rPr>
          <w:noProof/>
        </w:rPr>
        <w:fldChar w:fldCharType="begin" w:fldLock="1"/>
      </w:r>
      <w:r>
        <w:rPr>
          <w:noProof/>
        </w:rPr>
        <w:instrText xml:space="preserve"> PAGEREF _Toc153625878 \h </w:instrText>
      </w:r>
      <w:r>
        <w:rPr>
          <w:noProof/>
        </w:rPr>
      </w:r>
      <w:r>
        <w:rPr>
          <w:noProof/>
        </w:rPr>
        <w:fldChar w:fldCharType="separate"/>
      </w:r>
      <w:r>
        <w:rPr>
          <w:noProof/>
        </w:rPr>
        <w:t>339</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5.1</w:t>
      </w:r>
      <w:r>
        <w:rPr>
          <w:noProof/>
          <w:lang w:eastAsia="zh-CN"/>
        </w:rPr>
        <w:t>4</w:t>
      </w:r>
      <w:r>
        <w:rPr>
          <w:noProof/>
        </w:rPr>
        <w:t>.2.2</w:t>
      </w:r>
      <w:r w:rsidRPr="00DD140B">
        <w:rPr>
          <w:rFonts w:ascii="Calibri" w:eastAsia="Malgun Gothic" w:hAnsi="Calibri"/>
          <w:noProof/>
          <w:sz w:val="22"/>
          <w:szCs w:val="22"/>
          <w:lang w:eastAsia="ko-KR"/>
        </w:rPr>
        <w:tab/>
      </w:r>
      <w:r>
        <w:rPr>
          <w:noProof/>
        </w:rPr>
        <w:t>Referenced simple data types and enumerations</w:t>
      </w:r>
      <w:r>
        <w:rPr>
          <w:noProof/>
        </w:rPr>
        <w:tab/>
      </w:r>
      <w:r>
        <w:rPr>
          <w:noProof/>
        </w:rPr>
        <w:fldChar w:fldCharType="begin" w:fldLock="1"/>
      </w:r>
      <w:r>
        <w:rPr>
          <w:noProof/>
        </w:rPr>
        <w:instrText xml:space="preserve"> PAGEREF _Toc153625879 \h </w:instrText>
      </w:r>
      <w:r>
        <w:rPr>
          <w:noProof/>
        </w:rPr>
      </w:r>
      <w:r>
        <w:rPr>
          <w:noProof/>
        </w:rPr>
        <w:fldChar w:fldCharType="separate"/>
      </w:r>
      <w:r>
        <w:rPr>
          <w:noProof/>
        </w:rPr>
        <w:t>339</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w:t>
      </w:r>
      <w:r>
        <w:rPr>
          <w:noProof/>
          <w:lang w:eastAsia="zh-CN"/>
        </w:rPr>
        <w:t>4</w:t>
      </w:r>
      <w:r>
        <w:rPr>
          <w:noProof/>
        </w:rPr>
        <w:t>.2.2.1</w:t>
      </w:r>
      <w:r w:rsidRPr="00DD140B">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_Toc153625880 \h </w:instrText>
      </w:r>
      <w:r>
        <w:rPr>
          <w:noProof/>
        </w:rPr>
      </w:r>
      <w:r>
        <w:rPr>
          <w:noProof/>
        </w:rPr>
        <w:fldChar w:fldCharType="separate"/>
      </w:r>
      <w:r>
        <w:rPr>
          <w:noProof/>
        </w:rPr>
        <w:t>339</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w:t>
      </w:r>
      <w:r>
        <w:rPr>
          <w:noProof/>
          <w:lang w:eastAsia="zh-CN"/>
        </w:rPr>
        <w:t>4</w:t>
      </w:r>
      <w:r>
        <w:rPr>
          <w:noProof/>
        </w:rPr>
        <w:t>.2.2.2</w:t>
      </w:r>
      <w:r w:rsidRPr="00DD140B">
        <w:rPr>
          <w:rFonts w:ascii="Calibri" w:eastAsia="Malgun Gothic" w:hAnsi="Calibri"/>
          <w:noProof/>
          <w:sz w:val="22"/>
          <w:szCs w:val="22"/>
          <w:lang w:eastAsia="ko-KR"/>
        </w:rPr>
        <w:tab/>
      </w:r>
      <w:r>
        <w:rPr>
          <w:noProof/>
        </w:rPr>
        <w:t>Simple data types</w:t>
      </w:r>
      <w:r>
        <w:rPr>
          <w:noProof/>
        </w:rPr>
        <w:tab/>
      </w:r>
      <w:r>
        <w:rPr>
          <w:noProof/>
        </w:rPr>
        <w:fldChar w:fldCharType="begin" w:fldLock="1"/>
      </w:r>
      <w:r>
        <w:rPr>
          <w:noProof/>
        </w:rPr>
        <w:instrText xml:space="preserve"> PAGEREF _Toc153625881 \h </w:instrText>
      </w:r>
      <w:r>
        <w:rPr>
          <w:noProof/>
        </w:rPr>
      </w:r>
      <w:r>
        <w:rPr>
          <w:noProof/>
        </w:rPr>
        <w:fldChar w:fldCharType="separate"/>
      </w:r>
      <w:r>
        <w:rPr>
          <w:noProof/>
        </w:rPr>
        <w:t>339</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w:t>
      </w:r>
      <w:r>
        <w:rPr>
          <w:noProof/>
          <w:lang w:eastAsia="zh-CN"/>
        </w:rPr>
        <w:t>4</w:t>
      </w:r>
      <w:r>
        <w:rPr>
          <w:noProof/>
        </w:rPr>
        <w:t>.2.2.3</w:t>
      </w:r>
      <w:r w:rsidRPr="00DD140B">
        <w:rPr>
          <w:rFonts w:ascii="Calibri" w:eastAsia="Malgun Gothic" w:hAnsi="Calibri"/>
          <w:noProof/>
          <w:sz w:val="22"/>
          <w:szCs w:val="22"/>
          <w:lang w:eastAsia="ko-KR"/>
        </w:rPr>
        <w:tab/>
      </w:r>
      <w:r>
        <w:rPr>
          <w:noProof/>
        </w:rPr>
        <w:t>Enumeration: UserPlane</w:t>
      </w:r>
      <w:r>
        <w:rPr>
          <w:noProof/>
          <w:lang w:eastAsia="zh-CN"/>
        </w:rPr>
        <w:t>Event</w:t>
      </w:r>
      <w:r>
        <w:rPr>
          <w:noProof/>
        </w:rPr>
        <w:tab/>
      </w:r>
      <w:r>
        <w:rPr>
          <w:noProof/>
        </w:rPr>
        <w:fldChar w:fldCharType="begin" w:fldLock="1"/>
      </w:r>
      <w:r>
        <w:rPr>
          <w:noProof/>
        </w:rPr>
        <w:instrText xml:space="preserve"> PAGEREF _Toc153625882 \h </w:instrText>
      </w:r>
      <w:r>
        <w:rPr>
          <w:noProof/>
        </w:rPr>
      </w:r>
      <w:r>
        <w:rPr>
          <w:noProof/>
        </w:rPr>
        <w:fldChar w:fldCharType="separate"/>
      </w:r>
      <w:r>
        <w:rPr>
          <w:noProof/>
        </w:rPr>
        <w:t>339</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5.14.3</w:t>
      </w:r>
      <w:r w:rsidRPr="00DD140B">
        <w:rPr>
          <w:rFonts w:ascii="Calibri" w:eastAsia="Malgun Gothic" w:hAnsi="Calibri"/>
          <w:noProof/>
          <w:sz w:val="22"/>
          <w:szCs w:val="22"/>
          <w:lang w:eastAsia="ko-KR"/>
        </w:rPr>
        <w:tab/>
      </w:r>
      <w:r>
        <w:rPr>
          <w:noProof/>
        </w:rPr>
        <w:t>Resource structure</w:t>
      </w:r>
      <w:r>
        <w:rPr>
          <w:noProof/>
        </w:rPr>
        <w:tab/>
      </w:r>
      <w:r>
        <w:rPr>
          <w:noProof/>
        </w:rPr>
        <w:fldChar w:fldCharType="begin" w:fldLock="1"/>
      </w:r>
      <w:r>
        <w:rPr>
          <w:noProof/>
        </w:rPr>
        <w:instrText xml:space="preserve"> PAGEREF _Toc153625883 \h </w:instrText>
      </w:r>
      <w:r>
        <w:rPr>
          <w:noProof/>
        </w:rPr>
      </w:r>
      <w:r>
        <w:rPr>
          <w:noProof/>
        </w:rPr>
        <w:fldChar w:fldCharType="separate"/>
      </w:r>
      <w:r>
        <w:rPr>
          <w:noProof/>
        </w:rPr>
        <w:t>340</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5.14.3.1</w:t>
      </w:r>
      <w:r w:rsidRPr="00DD140B">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_Toc153625884 \h </w:instrText>
      </w:r>
      <w:r>
        <w:rPr>
          <w:noProof/>
        </w:rPr>
      </w:r>
      <w:r>
        <w:rPr>
          <w:noProof/>
        </w:rPr>
        <w:fldChar w:fldCharType="separate"/>
      </w:r>
      <w:r>
        <w:rPr>
          <w:noProof/>
        </w:rPr>
        <w:t>340</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5.14.3.2</w:t>
      </w:r>
      <w:r w:rsidRPr="00DD140B">
        <w:rPr>
          <w:rFonts w:ascii="Calibri" w:eastAsia="Malgun Gothic" w:hAnsi="Calibri"/>
          <w:noProof/>
          <w:sz w:val="22"/>
          <w:szCs w:val="22"/>
          <w:lang w:eastAsia="ko-KR"/>
        </w:rPr>
        <w:tab/>
      </w:r>
      <w:r>
        <w:rPr>
          <w:noProof/>
        </w:rPr>
        <w:t>Resource: AS Session with Required QoS subscriptions</w:t>
      </w:r>
      <w:r>
        <w:rPr>
          <w:noProof/>
        </w:rPr>
        <w:tab/>
      </w:r>
      <w:r>
        <w:rPr>
          <w:noProof/>
        </w:rPr>
        <w:fldChar w:fldCharType="begin" w:fldLock="1"/>
      </w:r>
      <w:r>
        <w:rPr>
          <w:noProof/>
        </w:rPr>
        <w:instrText xml:space="preserve"> PAGEREF _Toc153625885 \h </w:instrText>
      </w:r>
      <w:r>
        <w:rPr>
          <w:noProof/>
        </w:rPr>
      </w:r>
      <w:r>
        <w:rPr>
          <w:noProof/>
        </w:rPr>
        <w:fldChar w:fldCharType="separate"/>
      </w:r>
      <w:r>
        <w:rPr>
          <w:noProof/>
        </w:rPr>
        <w:t>341</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5.14.3.2.1</w:t>
      </w:r>
      <w:r w:rsidRPr="00DD140B">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_Toc153625886 \h </w:instrText>
      </w:r>
      <w:r>
        <w:rPr>
          <w:noProof/>
        </w:rPr>
      </w:r>
      <w:r>
        <w:rPr>
          <w:noProof/>
        </w:rPr>
        <w:fldChar w:fldCharType="separate"/>
      </w:r>
      <w:r>
        <w:rPr>
          <w:noProof/>
        </w:rPr>
        <w:t>341</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5.14.3.2.2</w:t>
      </w:r>
      <w:r w:rsidRPr="00DD140B">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_Toc153625887 \h </w:instrText>
      </w:r>
      <w:r>
        <w:rPr>
          <w:noProof/>
        </w:rPr>
      </w:r>
      <w:r>
        <w:rPr>
          <w:noProof/>
        </w:rPr>
        <w:fldChar w:fldCharType="separate"/>
      </w:r>
      <w:r>
        <w:rPr>
          <w:noProof/>
        </w:rPr>
        <w:t>341</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5.14.3.2.3</w:t>
      </w:r>
      <w:r w:rsidRPr="00DD140B">
        <w:rPr>
          <w:rFonts w:ascii="Calibri" w:eastAsia="Malgun Gothic" w:hAnsi="Calibri"/>
          <w:noProof/>
          <w:sz w:val="22"/>
          <w:szCs w:val="22"/>
          <w:lang w:eastAsia="ko-KR"/>
        </w:rPr>
        <w:tab/>
      </w:r>
      <w:r>
        <w:rPr>
          <w:noProof/>
        </w:rPr>
        <w:t>Resource methods</w:t>
      </w:r>
      <w:r>
        <w:rPr>
          <w:noProof/>
        </w:rPr>
        <w:tab/>
      </w:r>
      <w:r>
        <w:rPr>
          <w:noProof/>
        </w:rPr>
        <w:fldChar w:fldCharType="begin" w:fldLock="1"/>
      </w:r>
      <w:r>
        <w:rPr>
          <w:noProof/>
        </w:rPr>
        <w:instrText xml:space="preserve"> PAGEREF _Toc153625888 \h </w:instrText>
      </w:r>
      <w:r>
        <w:rPr>
          <w:noProof/>
        </w:rPr>
      </w:r>
      <w:r>
        <w:rPr>
          <w:noProof/>
        </w:rPr>
        <w:fldChar w:fldCharType="separate"/>
      </w:r>
      <w:r>
        <w:rPr>
          <w:noProof/>
        </w:rPr>
        <w:t>341</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5.14.3.2.3.1</w:t>
      </w:r>
      <w:r w:rsidRPr="00DD140B">
        <w:rPr>
          <w:rFonts w:ascii="Calibri" w:eastAsia="Malgun Gothic" w:hAnsi="Calibri"/>
          <w:noProof/>
          <w:sz w:val="22"/>
          <w:szCs w:val="22"/>
          <w:lang w:eastAsia="ko-KR"/>
        </w:rPr>
        <w:tab/>
      </w:r>
      <w:r>
        <w:rPr>
          <w:noProof/>
        </w:rPr>
        <w:t>GET</w:t>
      </w:r>
      <w:r>
        <w:rPr>
          <w:noProof/>
        </w:rPr>
        <w:tab/>
      </w:r>
      <w:r>
        <w:rPr>
          <w:noProof/>
        </w:rPr>
        <w:fldChar w:fldCharType="begin" w:fldLock="1"/>
      </w:r>
      <w:r>
        <w:rPr>
          <w:noProof/>
        </w:rPr>
        <w:instrText xml:space="preserve"> PAGEREF _Toc153625889 \h </w:instrText>
      </w:r>
      <w:r>
        <w:rPr>
          <w:noProof/>
        </w:rPr>
      </w:r>
      <w:r>
        <w:rPr>
          <w:noProof/>
        </w:rPr>
        <w:fldChar w:fldCharType="separate"/>
      </w:r>
      <w:r>
        <w:rPr>
          <w:noProof/>
        </w:rPr>
        <w:t>341</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5.14.3.2.3.2</w:t>
      </w:r>
      <w:r w:rsidRPr="00DD140B">
        <w:rPr>
          <w:rFonts w:ascii="Calibri" w:eastAsia="Malgun Gothic" w:hAnsi="Calibri"/>
          <w:noProof/>
          <w:sz w:val="22"/>
          <w:szCs w:val="22"/>
          <w:lang w:eastAsia="ko-KR"/>
        </w:rPr>
        <w:tab/>
      </w:r>
      <w:r>
        <w:rPr>
          <w:noProof/>
        </w:rPr>
        <w:t>PUT</w:t>
      </w:r>
      <w:r>
        <w:rPr>
          <w:noProof/>
        </w:rPr>
        <w:tab/>
      </w:r>
      <w:r>
        <w:rPr>
          <w:noProof/>
        </w:rPr>
        <w:fldChar w:fldCharType="begin" w:fldLock="1"/>
      </w:r>
      <w:r>
        <w:rPr>
          <w:noProof/>
        </w:rPr>
        <w:instrText xml:space="preserve"> PAGEREF _Toc153625890 \h </w:instrText>
      </w:r>
      <w:r>
        <w:rPr>
          <w:noProof/>
        </w:rPr>
      </w:r>
      <w:r>
        <w:rPr>
          <w:noProof/>
        </w:rPr>
        <w:fldChar w:fldCharType="separate"/>
      </w:r>
      <w:r>
        <w:rPr>
          <w:noProof/>
        </w:rPr>
        <w:t>342</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5.14.3.2.3.3</w:t>
      </w:r>
      <w:r w:rsidRPr="00DD140B">
        <w:rPr>
          <w:rFonts w:ascii="Calibri" w:eastAsia="Malgun Gothic" w:hAnsi="Calibri"/>
          <w:noProof/>
          <w:sz w:val="22"/>
          <w:szCs w:val="22"/>
          <w:lang w:eastAsia="ko-KR"/>
        </w:rPr>
        <w:tab/>
      </w:r>
      <w:r>
        <w:rPr>
          <w:noProof/>
        </w:rPr>
        <w:t>PATCH</w:t>
      </w:r>
      <w:r>
        <w:rPr>
          <w:noProof/>
        </w:rPr>
        <w:tab/>
      </w:r>
      <w:r>
        <w:rPr>
          <w:noProof/>
        </w:rPr>
        <w:fldChar w:fldCharType="begin" w:fldLock="1"/>
      </w:r>
      <w:r>
        <w:rPr>
          <w:noProof/>
        </w:rPr>
        <w:instrText xml:space="preserve"> PAGEREF _Toc153625891 \h </w:instrText>
      </w:r>
      <w:r>
        <w:rPr>
          <w:noProof/>
        </w:rPr>
      </w:r>
      <w:r>
        <w:rPr>
          <w:noProof/>
        </w:rPr>
        <w:fldChar w:fldCharType="separate"/>
      </w:r>
      <w:r>
        <w:rPr>
          <w:noProof/>
        </w:rPr>
        <w:t>342</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5.14.3.2.3.4</w:t>
      </w:r>
      <w:r w:rsidRPr="00DD140B">
        <w:rPr>
          <w:rFonts w:ascii="Calibri" w:eastAsia="Malgun Gothic" w:hAnsi="Calibri"/>
          <w:noProof/>
          <w:sz w:val="22"/>
          <w:szCs w:val="22"/>
          <w:lang w:eastAsia="ko-KR"/>
        </w:rPr>
        <w:tab/>
      </w:r>
      <w:r>
        <w:rPr>
          <w:noProof/>
        </w:rPr>
        <w:t>POST</w:t>
      </w:r>
      <w:r>
        <w:rPr>
          <w:noProof/>
        </w:rPr>
        <w:tab/>
      </w:r>
      <w:r>
        <w:rPr>
          <w:noProof/>
        </w:rPr>
        <w:fldChar w:fldCharType="begin" w:fldLock="1"/>
      </w:r>
      <w:r>
        <w:rPr>
          <w:noProof/>
        </w:rPr>
        <w:instrText xml:space="preserve"> PAGEREF _Toc153625892 \h </w:instrText>
      </w:r>
      <w:r>
        <w:rPr>
          <w:noProof/>
        </w:rPr>
      </w:r>
      <w:r>
        <w:rPr>
          <w:noProof/>
        </w:rPr>
        <w:fldChar w:fldCharType="separate"/>
      </w:r>
      <w:r>
        <w:rPr>
          <w:noProof/>
        </w:rPr>
        <w:t>342</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5.14.3.2.3.5</w:t>
      </w:r>
      <w:r w:rsidRPr="00DD140B">
        <w:rPr>
          <w:rFonts w:ascii="Calibri" w:eastAsia="Malgun Gothic" w:hAnsi="Calibri"/>
          <w:noProof/>
          <w:sz w:val="22"/>
          <w:szCs w:val="22"/>
          <w:lang w:eastAsia="ko-KR"/>
        </w:rPr>
        <w:tab/>
      </w:r>
      <w:r>
        <w:rPr>
          <w:noProof/>
        </w:rPr>
        <w:t>DELETE</w:t>
      </w:r>
      <w:r>
        <w:rPr>
          <w:noProof/>
        </w:rPr>
        <w:tab/>
      </w:r>
      <w:r>
        <w:rPr>
          <w:noProof/>
        </w:rPr>
        <w:fldChar w:fldCharType="begin" w:fldLock="1"/>
      </w:r>
      <w:r>
        <w:rPr>
          <w:noProof/>
        </w:rPr>
        <w:instrText xml:space="preserve"> PAGEREF _Toc153625893 \h </w:instrText>
      </w:r>
      <w:r>
        <w:rPr>
          <w:noProof/>
        </w:rPr>
      </w:r>
      <w:r>
        <w:rPr>
          <w:noProof/>
        </w:rPr>
        <w:fldChar w:fldCharType="separate"/>
      </w:r>
      <w:r>
        <w:rPr>
          <w:noProof/>
        </w:rPr>
        <w:t>343</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5.14.3.3</w:t>
      </w:r>
      <w:r w:rsidRPr="00DD140B">
        <w:rPr>
          <w:rFonts w:ascii="Calibri" w:eastAsia="Malgun Gothic" w:hAnsi="Calibri"/>
          <w:noProof/>
          <w:sz w:val="22"/>
          <w:szCs w:val="22"/>
          <w:lang w:eastAsia="ko-KR"/>
        </w:rPr>
        <w:tab/>
      </w:r>
      <w:r>
        <w:rPr>
          <w:noProof/>
        </w:rPr>
        <w:t>Resource: Individual AS Session with Required QoS Subscription</w:t>
      </w:r>
      <w:r>
        <w:rPr>
          <w:noProof/>
        </w:rPr>
        <w:tab/>
      </w:r>
      <w:r>
        <w:rPr>
          <w:noProof/>
        </w:rPr>
        <w:fldChar w:fldCharType="begin" w:fldLock="1"/>
      </w:r>
      <w:r>
        <w:rPr>
          <w:noProof/>
        </w:rPr>
        <w:instrText xml:space="preserve"> PAGEREF _Toc153625894 \h </w:instrText>
      </w:r>
      <w:r>
        <w:rPr>
          <w:noProof/>
        </w:rPr>
      </w:r>
      <w:r>
        <w:rPr>
          <w:noProof/>
        </w:rPr>
        <w:fldChar w:fldCharType="separate"/>
      </w:r>
      <w:r>
        <w:rPr>
          <w:noProof/>
        </w:rPr>
        <w:t>343</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5.14.3.3.1</w:t>
      </w:r>
      <w:r w:rsidRPr="00DD140B">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_Toc153625895 \h </w:instrText>
      </w:r>
      <w:r>
        <w:rPr>
          <w:noProof/>
        </w:rPr>
      </w:r>
      <w:r>
        <w:rPr>
          <w:noProof/>
        </w:rPr>
        <w:fldChar w:fldCharType="separate"/>
      </w:r>
      <w:r>
        <w:rPr>
          <w:noProof/>
        </w:rPr>
        <w:t>343</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5.14.3.3.2</w:t>
      </w:r>
      <w:r w:rsidRPr="00DD140B">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_Toc153625896 \h </w:instrText>
      </w:r>
      <w:r>
        <w:rPr>
          <w:noProof/>
        </w:rPr>
      </w:r>
      <w:r>
        <w:rPr>
          <w:noProof/>
        </w:rPr>
        <w:fldChar w:fldCharType="separate"/>
      </w:r>
      <w:r>
        <w:rPr>
          <w:noProof/>
        </w:rPr>
        <w:t>343</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5.14.3.3.3</w:t>
      </w:r>
      <w:r w:rsidRPr="00DD140B">
        <w:rPr>
          <w:rFonts w:ascii="Calibri" w:eastAsia="Malgun Gothic" w:hAnsi="Calibri"/>
          <w:noProof/>
          <w:sz w:val="22"/>
          <w:szCs w:val="22"/>
          <w:lang w:eastAsia="ko-KR"/>
        </w:rPr>
        <w:tab/>
      </w:r>
      <w:r>
        <w:rPr>
          <w:noProof/>
        </w:rPr>
        <w:t>Resource methods</w:t>
      </w:r>
      <w:r>
        <w:rPr>
          <w:noProof/>
        </w:rPr>
        <w:tab/>
      </w:r>
      <w:r>
        <w:rPr>
          <w:noProof/>
        </w:rPr>
        <w:fldChar w:fldCharType="begin" w:fldLock="1"/>
      </w:r>
      <w:r>
        <w:rPr>
          <w:noProof/>
        </w:rPr>
        <w:instrText xml:space="preserve"> PAGEREF _Toc153625897 \h </w:instrText>
      </w:r>
      <w:r>
        <w:rPr>
          <w:noProof/>
        </w:rPr>
      </w:r>
      <w:r>
        <w:rPr>
          <w:noProof/>
        </w:rPr>
        <w:fldChar w:fldCharType="separate"/>
      </w:r>
      <w:r>
        <w:rPr>
          <w:noProof/>
        </w:rPr>
        <w:t>344</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5.14.3.3.3.1</w:t>
      </w:r>
      <w:r w:rsidRPr="00DD140B">
        <w:rPr>
          <w:rFonts w:ascii="Calibri" w:eastAsia="Malgun Gothic" w:hAnsi="Calibri"/>
          <w:noProof/>
          <w:sz w:val="22"/>
          <w:szCs w:val="22"/>
          <w:lang w:eastAsia="ko-KR"/>
        </w:rPr>
        <w:tab/>
      </w:r>
      <w:r>
        <w:rPr>
          <w:noProof/>
        </w:rPr>
        <w:t>GET</w:t>
      </w:r>
      <w:r>
        <w:rPr>
          <w:noProof/>
        </w:rPr>
        <w:tab/>
      </w:r>
      <w:r>
        <w:rPr>
          <w:noProof/>
        </w:rPr>
        <w:fldChar w:fldCharType="begin" w:fldLock="1"/>
      </w:r>
      <w:r>
        <w:rPr>
          <w:noProof/>
        </w:rPr>
        <w:instrText xml:space="preserve"> PAGEREF _Toc153625898 \h </w:instrText>
      </w:r>
      <w:r>
        <w:rPr>
          <w:noProof/>
        </w:rPr>
      </w:r>
      <w:r>
        <w:rPr>
          <w:noProof/>
        </w:rPr>
        <w:fldChar w:fldCharType="separate"/>
      </w:r>
      <w:r>
        <w:rPr>
          <w:noProof/>
        </w:rPr>
        <w:t>344</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5.14.3.3.3.2</w:t>
      </w:r>
      <w:r w:rsidRPr="00DD140B">
        <w:rPr>
          <w:rFonts w:ascii="Calibri" w:eastAsia="Malgun Gothic" w:hAnsi="Calibri"/>
          <w:noProof/>
          <w:sz w:val="22"/>
          <w:szCs w:val="22"/>
          <w:lang w:eastAsia="ko-KR"/>
        </w:rPr>
        <w:tab/>
      </w:r>
      <w:r>
        <w:rPr>
          <w:noProof/>
        </w:rPr>
        <w:t>PUT</w:t>
      </w:r>
      <w:r>
        <w:rPr>
          <w:noProof/>
        </w:rPr>
        <w:tab/>
      </w:r>
      <w:r>
        <w:rPr>
          <w:noProof/>
        </w:rPr>
        <w:fldChar w:fldCharType="begin" w:fldLock="1"/>
      </w:r>
      <w:r>
        <w:rPr>
          <w:noProof/>
        </w:rPr>
        <w:instrText xml:space="preserve"> PAGEREF _Toc153625899 \h </w:instrText>
      </w:r>
      <w:r>
        <w:rPr>
          <w:noProof/>
        </w:rPr>
      </w:r>
      <w:r>
        <w:rPr>
          <w:noProof/>
        </w:rPr>
        <w:fldChar w:fldCharType="separate"/>
      </w:r>
      <w:r>
        <w:rPr>
          <w:noProof/>
        </w:rPr>
        <w:t>345</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5.14.3.3.3.3</w:t>
      </w:r>
      <w:r w:rsidRPr="00DD140B">
        <w:rPr>
          <w:rFonts w:ascii="Calibri" w:eastAsia="Malgun Gothic" w:hAnsi="Calibri"/>
          <w:noProof/>
          <w:sz w:val="22"/>
          <w:szCs w:val="22"/>
          <w:lang w:eastAsia="ko-KR"/>
        </w:rPr>
        <w:tab/>
      </w:r>
      <w:r>
        <w:rPr>
          <w:noProof/>
        </w:rPr>
        <w:t>PATCH</w:t>
      </w:r>
      <w:r>
        <w:rPr>
          <w:noProof/>
        </w:rPr>
        <w:tab/>
      </w:r>
      <w:r>
        <w:rPr>
          <w:noProof/>
        </w:rPr>
        <w:fldChar w:fldCharType="begin" w:fldLock="1"/>
      </w:r>
      <w:r>
        <w:rPr>
          <w:noProof/>
        </w:rPr>
        <w:instrText xml:space="preserve"> PAGEREF _Toc153625900 \h </w:instrText>
      </w:r>
      <w:r>
        <w:rPr>
          <w:noProof/>
        </w:rPr>
      </w:r>
      <w:r>
        <w:rPr>
          <w:noProof/>
        </w:rPr>
        <w:fldChar w:fldCharType="separate"/>
      </w:r>
      <w:r>
        <w:rPr>
          <w:noProof/>
        </w:rPr>
        <w:t>346</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5.14.3.3.3.4</w:t>
      </w:r>
      <w:r w:rsidRPr="00DD140B">
        <w:rPr>
          <w:rFonts w:ascii="Calibri" w:eastAsia="Malgun Gothic" w:hAnsi="Calibri"/>
          <w:noProof/>
          <w:sz w:val="22"/>
          <w:szCs w:val="22"/>
          <w:lang w:eastAsia="ko-KR"/>
        </w:rPr>
        <w:tab/>
      </w:r>
      <w:r>
        <w:rPr>
          <w:noProof/>
        </w:rPr>
        <w:t>POST</w:t>
      </w:r>
      <w:r>
        <w:rPr>
          <w:noProof/>
        </w:rPr>
        <w:tab/>
      </w:r>
      <w:r>
        <w:rPr>
          <w:noProof/>
        </w:rPr>
        <w:fldChar w:fldCharType="begin" w:fldLock="1"/>
      </w:r>
      <w:r>
        <w:rPr>
          <w:noProof/>
        </w:rPr>
        <w:instrText xml:space="preserve"> PAGEREF _Toc153625901 \h </w:instrText>
      </w:r>
      <w:r>
        <w:rPr>
          <w:noProof/>
        </w:rPr>
      </w:r>
      <w:r>
        <w:rPr>
          <w:noProof/>
        </w:rPr>
        <w:fldChar w:fldCharType="separate"/>
      </w:r>
      <w:r>
        <w:rPr>
          <w:noProof/>
        </w:rPr>
        <w:t>347</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5.14.3.3.3.5</w:t>
      </w:r>
      <w:r w:rsidRPr="00DD140B">
        <w:rPr>
          <w:rFonts w:ascii="Calibri" w:eastAsia="Malgun Gothic" w:hAnsi="Calibri"/>
          <w:noProof/>
          <w:sz w:val="22"/>
          <w:szCs w:val="22"/>
          <w:lang w:eastAsia="ko-KR"/>
        </w:rPr>
        <w:tab/>
      </w:r>
      <w:r>
        <w:rPr>
          <w:noProof/>
        </w:rPr>
        <w:t>DELETE</w:t>
      </w:r>
      <w:r>
        <w:rPr>
          <w:noProof/>
        </w:rPr>
        <w:tab/>
      </w:r>
      <w:r>
        <w:rPr>
          <w:noProof/>
        </w:rPr>
        <w:fldChar w:fldCharType="begin" w:fldLock="1"/>
      </w:r>
      <w:r>
        <w:rPr>
          <w:noProof/>
        </w:rPr>
        <w:instrText xml:space="preserve"> PAGEREF _Toc153625902 \h </w:instrText>
      </w:r>
      <w:r>
        <w:rPr>
          <w:noProof/>
        </w:rPr>
      </w:r>
      <w:r>
        <w:rPr>
          <w:noProof/>
        </w:rPr>
        <w:fldChar w:fldCharType="separate"/>
      </w:r>
      <w:r>
        <w:rPr>
          <w:noProof/>
        </w:rPr>
        <w:t>347</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5.14.3.4</w:t>
      </w:r>
      <w:r w:rsidRPr="00DD140B">
        <w:rPr>
          <w:rFonts w:ascii="Calibri" w:eastAsia="Malgun Gothic" w:hAnsi="Calibri"/>
          <w:noProof/>
          <w:sz w:val="22"/>
          <w:szCs w:val="22"/>
          <w:lang w:eastAsia="ko-KR"/>
        </w:rPr>
        <w:tab/>
      </w:r>
      <w:r>
        <w:rPr>
          <w:noProof/>
        </w:rPr>
        <w:t>Void</w:t>
      </w:r>
      <w:r>
        <w:rPr>
          <w:noProof/>
        </w:rPr>
        <w:tab/>
      </w:r>
      <w:r>
        <w:rPr>
          <w:noProof/>
        </w:rPr>
        <w:fldChar w:fldCharType="begin" w:fldLock="1"/>
      </w:r>
      <w:r>
        <w:rPr>
          <w:noProof/>
        </w:rPr>
        <w:instrText xml:space="preserve"> PAGEREF _Toc153625903 \h </w:instrText>
      </w:r>
      <w:r>
        <w:rPr>
          <w:noProof/>
        </w:rPr>
      </w:r>
      <w:r>
        <w:rPr>
          <w:noProof/>
        </w:rPr>
        <w:fldChar w:fldCharType="separate"/>
      </w:r>
      <w:r>
        <w:rPr>
          <w:noProof/>
        </w:rPr>
        <w:t>348</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5.14.3A</w:t>
      </w:r>
      <w:r w:rsidRPr="00DD140B">
        <w:rPr>
          <w:rFonts w:ascii="Calibri" w:eastAsia="Malgun Gothic" w:hAnsi="Calibri"/>
          <w:noProof/>
          <w:sz w:val="22"/>
          <w:szCs w:val="22"/>
          <w:lang w:eastAsia="ko-KR"/>
        </w:rPr>
        <w:tab/>
      </w:r>
      <w:r>
        <w:rPr>
          <w:noProof/>
        </w:rPr>
        <w:t>Notifications</w:t>
      </w:r>
      <w:r>
        <w:rPr>
          <w:noProof/>
        </w:rPr>
        <w:tab/>
      </w:r>
      <w:r>
        <w:rPr>
          <w:noProof/>
        </w:rPr>
        <w:fldChar w:fldCharType="begin" w:fldLock="1"/>
      </w:r>
      <w:r>
        <w:rPr>
          <w:noProof/>
        </w:rPr>
        <w:instrText xml:space="preserve"> PAGEREF _Toc153625904 \h </w:instrText>
      </w:r>
      <w:r>
        <w:rPr>
          <w:noProof/>
        </w:rPr>
      </w:r>
      <w:r>
        <w:rPr>
          <w:noProof/>
        </w:rPr>
        <w:fldChar w:fldCharType="separate"/>
      </w:r>
      <w:r>
        <w:rPr>
          <w:noProof/>
        </w:rPr>
        <w:t>348</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5.14.3A.1</w:t>
      </w:r>
      <w:r w:rsidRPr="00DD140B">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_Toc153625905 \h </w:instrText>
      </w:r>
      <w:r>
        <w:rPr>
          <w:noProof/>
        </w:rPr>
      </w:r>
      <w:r>
        <w:rPr>
          <w:noProof/>
        </w:rPr>
        <w:fldChar w:fldCharType="separate"/>
      </w:r>
      <w:r>
        <w:rPr>
          <w:noProof/>
        </w:rPr>
        <w:t>348</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5.14.3A.2</w:t>
      </w:r>
      <w:r w:rsidRPr="00DD140B">
        <w:rPr>
          <w:rFonts w:ascii="Calibri" w:eastAsia="Malgun Gothic" w:hAnsi="Calibri"/>
          <w:noProof/>
          <w:sz w:val="22"/>
          <w:szCs w:val="22"/>
          <w:lang w:eastAsia="ko-KR"/>
        </w:rPr>
        <w:tab/>
      </w:r>
      <w:r>
        <w:rPr>
          <w:noProof/>
        </w:rPr>
        <w:t>Event Notification</w:t>
      </w:r>
      <w:r>
        <w:rPr>
          <w:noProof/>
        </w:rPr>
        <w:tab/>
      </w:r>
      <w:r>
        <w:rPr>
          <w:noProof/>
        </w:rPr>
        <w:fldChar w:fldCharType="begin" w:fldLock="1"/>
      </w:r>
      <w:r>
        <w:rPr>
          <w:noProof/>
        </w:rPr>
        <w:instrText xml:space="preserve"> PAGEREF _Toc153625906 \h </w:instrText>
      </w:r>
      <w:r>
        <w:rPr>
          <w:noProof/>
        </w:rPr>
      </w:r>
      <w:r>
        <w:rPr>
          <w:noProof/>
        </w:rPr>
        <w:fldChar w:fldCharType="separate"/>
      </w:r>
      <w:r>
        <w:rPr>
          <w:noProof/>
        </w:rPr>
        <w:t>348</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5.14.3A.2.1</w:t>
      </w:r>
      <w:r w:rsidRPr="00DD140B">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_Toc153625907 \h </w:instrText>
      </w:r>
      <w:r>
        <w:rPr>
          <w:noProof/>
        </w:rPr>
      </w:r>
      <w:r>
        <w:rPr>
          <w:noProof/>
        </w:rPr>
        <w:fldChar w:fldCharType="separate"/>
      </w:r>
      <w:r>
        <w:rPr>
          <w:noProof/>
        </w:rPr>
        <w:t>348</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5.14.3A.2.2</w:t>
      </w:r>
      <w:r w:rsidRPr="00DD140B">
        <w:rPr>
          <w:rFonts w:ascii="Calibri" w:eastAsia="Malgun Gothic" w:hAnsi="Calibri"/>
          <w:noProof/>
          <w:sz w:val="22"/>
          <w:szCs w:val="22"/>
          <w:lang w:eastAsia="ko-KR"/>
        </w:rPr>
        <w:tab/>
      </w:r>
      <w:r>
        <w:rPr>
          <w:noProof/>
        </w:rPr>
        <w:t>Target URI</w:t>
      </w:r>
      <w:r>
        <w:rPr>
          <w:noProof/>
        </w:rPr>
        <w:tab/>
      </w:r>
      <w:r>
        <w:rPr>
          <w:noProof/>
        </w:rPr>
        <w:fldChar w:fldCharType="begin" w:fldLock="1"/>
      </w:r>
      <w:r>
        <w:rPr>
          <w:noProof/>
        </w:rPr>
        <w:instrText xml:space="preserve"> PAGEREF _Toc153625908 \h </w:instrText>
      </w:r>
      <w:r>
        <w:rPr>
          <w:noProof/>
        </w:rPr>
      </w:r>
      <w:r>
        <w:rPr>
          <w:noProof/>
        </w:rPr>
        <w:fldChar w:fldCharType="separate"/>
      </w:r>
      <w:r>
        <w:rPr>
          <w:noProof/>
        </w:rPr>
        <w:t>348</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5.14.3A.2.3</w:t>
      </w:r>
      <w:r w:rsidRPr="00DD140B">
        <w:rPr>
          <w:rFonts w:ascii="Calibri" w:eastAsia="Malgun Gothic" w:hAnsi="Calibri"/>
          <w:noProof/>
          <w:sz w:val="22"/>
          <w:szCs w:val="22"/>
          <w:lang w:eastAsia="ko-KR"/>
        </w:rPr>
        <w:tab/>
      </w:r>
      <w:r>
        <w:rPr>
          <w:noProof/>
        </w:rPr>
        <w:t>Standard Methods</w:t>
      </w:r>
      <w:r>
        <w:rPr>
          <w:noProof/>
        </w:rPr>
        <w:tab/>
      </w:r>
      <w:r>
        <w:rPr>
          <w:noProof/>
        </w:rPr>
        <w:fldChar w:fldCharType="begin" w:fldLock="1"/>
      </w:r>
      <w:r>
        <w:rPr>
          <w:noProof/>
        </w:rPr>
        <w:instrText xml:space="preserve"> PAGEREF _Toc153625909 \h </w:instrText>
      </w:r>
      <w:r>
        <w:rPr>
          <w:noProof/>
        </w:rPr>
      </w:r>
      <w:r>
        <w:rPr>
          <w:noProof/>
        </w:rPr>
        <w:fldChar w:fldCharType="separate"/>
      </w:r>
      <w:r>
        <w:rPr>
          <w:noProof/>
        </w:rPr>
        <w:t>348</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5.14.3A.2.3.1</w:t>
      </w:r>
      <w:r w:rsidRPr="00DD140B">
        <w:rPr>
          <w:rFonts w:ascii="Calibri" w:eastAsia="Malgun Gothic" w:hAnsi="Calibri"/>
          <w:noProof/>
          <w:sz w:val="22"/>
          <w:szCs w:val="22"/>
          <w:lang w:eastAsia="ko-KR"/>
        </w:rPr>
        <w:tab/>
      </w:r>
      <w:r>
        <w:rPr>
          <w:noProof/>
        </w:rPr>
        <w:t>Notification via POST</w:t>
      </w:r>
      <w:r>
        <w:rPr>
          <w:noProof/>
        </w:rPr>
        <w:tab/>
      </w:r>
      <w:r>
        <w:rPr>
          <w:noProof/>
        </w:rPr>
        <w:fldChar w:fldCharType="begin" w:fldLock="1"/>
      </w:r>
      <w:r>
        <w:rPr>
          <w:noProof/>
        </w:rPr>
        <w:instrText xml:space="preserve"> PAGEREF _Toc153625910 \h </w:instrText>
      </w:r>
      <w:r>
        <w:rPr>
          <w:noProof/>
        </w:rPr>
      </w:r>
      <w:r>
        <w:rPr>
          <w:noProof/>
        </w:rPr>
        <w:fldChar w:fldCharType="separate"/>
      </w:r>
      <w:r>
        <w:rPr>
          <w:noProof/>
        </w:rPr>
        <w:t>348</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5.14.3A.2.3.2</w:t>
      </w:r>
      <w:r w:rsidRPr="00DD140B">
        <w:rPr>
          <w:rFonts w:ascii="Calibri" w:eastAsia="Malgun Gothic" w:hAnsi="Calibri"/>
          <w:noProof/>
          <w:sz w:val="22"/>
          <w:szCs w:val="22"/>
          <w:lang w:eastAsia="ko-KR"/>
        </w:rPr>
        <w:tab/>
      </w:r>
      <w:r>
        <w:rPr>
          <w:noProof/>
        </w:rPr>
        <w:t>Notification via Websocket</w:t>
      </w:r>
      <w:r>
        <w:rPr>
          <w:noProof/>
        </w:rPr>
        <w:tab/>
      </w:r>
      <w:r>
        <w:rPr>
          <w:noProof/>
        </w:rPr>
        <w:fldChar w:fldCharType="begin" w:fldLock="1"/>
      </w:r>
      <w:r>
        <w:rPr>
          <w:noProof/>
        </w:rPr>
        <w:instrText xml:space="preserve"> PAGEREF _Toc153625911 \h </w:instrText>
      </w:r>
      <w:r>
        <w:rPr>
          <w:noProof/>
        </w:rPr>
      </w:r>
      <w:r>
        <w:rPr>
          <w:noProof/>
        </w:rPr>
        <w:fldChar w:fldCharType="separate"/>
      </w:r>
      <w:r>
        <w:rPr>
          <w:noProof/>
        </w:rPr>
        <w:t>349</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5.14.4</w:t>
      </w:r>
      <w:r w:rsidRPr="00DD140B">
        <w:rPr>
          <w:rFonts w:ascii="Calibri" w:eastAsia="Malgun Gothic" w:hAnsi="Calibri"/>
          <w:noProof/>
          <w:sz w:val="22"/>
          <w:szCs w:val="22"/>
          <w:lang w:eastAsia="ko-KR"/>
        </w:rPr>
        <w:tab/>
      </w:r>
      <w:r>
        <w:rPr>
          <w:noProof/>
        </w:rPr>
        <w:t>Used Features</w:t>
      </w:r>
      <w:r>
        <w:rPr>
          <w:noProof/>
        </w:rPr>
        <w:tab/>
      </w:r>
      <w:r>
        <w:rPr>
          <w:noProof/>
        </w:rPr>
        <w:fldChar w:fldCharType="begin" w:fldLock="1"/>
      </w:r>
      <w:r>
        <w:rPr>
          <w:noProof/>
        </w:rPr>
        <w:instrText xml:space="preserve"> PAGEREF _Toc153625912 \h </w:instrText>
      </w:r>
      <w:r>
        <w:rPr>
          <w:noProof/>
        </w:rPr>
      </w:r>
      <w:r>
        <w:rPr>
          <w:noProof/>
        </w:rPr>
        <w:fldChar w:fldCharType="separate"/>
      </w:r>
      <w:r>
        <w:rPr>
          <w:noProof/>
        </w:rPr>
        <w:t>349</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5.14.5</w:t>
      </w:r>
      <w:r w:rsidRPr="00DD140B">
        <w:rPr>
          <w:rFonts w:ascii="Calibri" w:eastAsia="Malgun Gothic" w:hAnsi="Calibri"/>
          <w:noProof/>
          <w:sz w:val="22"/>
          <w:szCs w:val="22"/>
          <w:lang w:eastAsia="ko-KR"/>
        </w:rPr>
        <w:tab/>
      </w:r>
      <w:r>
        <w:rPr>
          <w:noProof/>
        </w:rPr>
        <w:t>Error handling</w:t>
      </w:r>
      <w:r>
        <w:rPr>
          <w:noProof/>
        </w:rPr>
        <w:tab/>
      </w:r>
      <w:r>
        <w:rPr>
          <w:noProof/>
        </w:rPr>
        <w:fldChar w:fldCharType="begin" w:fldLock="1"/>
      </w:r>
      <w:r>
        <w:rPr>
          <w:noProof/>
        </w:rPr>
        <w:instrText xml:space="preserve"> PAGEREF _Toc153625913 \h </w:instrText>
      </w:r>
      <w:r>
        <w:rPr>
          <w:noProof/>
        </w:rPr>
      </w:r>
      <w:r>
        <w:rPr>
          <w:noProof/>
        </w:rPr>
        <w:fldChar w:fldCharType="separate"/>
      </w:r>
      <w:r>
        <w:rPr>
          <w:noProof/>
        </w:rPr>
        <w:t>351</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5.14.5.1</w:t>
      </w:r>
      <w:r w:rsidRPr="00DD140B">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_Toc153625914 \h </w:instrText>
      </w:r>
      <w:r>
        <w:rPr>
          <w:noProof/>
        </w:rPr>
      </w:r>
      <w:r>
        <w:rPr>
          <w:noProof/>
        </w:rPr>
        <w:fldChar w:fldCharType="separate"/>
      </w:r>
      <w:r>
        <w:rPr>
          <w:noProof/>
        </w:rPr>
        <w:t>351</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5.14.5.2</w:t>
      </w:r>
      <w:r w:rsidRPr="00DD140B">
        <w:rPr>
          <w:rFonts w:ascii="Calibri" w:eastAsia="Malgun Gothic" w:hAnsi="Calibri"/>
          <w:noProof/>
          <w:sz w:val="22"/>
          <w:szCs w:val="22"/>
          <w:lang w:eastAsia="ko-KR"/>
        </w:rPr>
        <w:tab/>
      </w:r>
      <w:r>
        <w:rPr>
          <w:noProof/>
        </w:rPr>
        <w:t>Protocol Errors</w:t>
      </w:r>
      <w:r>
        <w:rPr>
          <w:noProof/>
        </w:rPr>
        <w:tab/>
      </w:r>
      <w:r>
        <w:rPr>
          <w:noProof/>
        </w:rPr>
        <w:fldChar w:fldCharType="begin" w:fldLock="1"/>
      </w:r>
      <w:r>
        <w:rPr>
          <w:noProof/>
        </w:rPr>
        <w:instrText xml:space="preserve"> PAGEREF _Toc153625915 \h </w:instrText>
      </w:r>
      <w:r>
        <w:rPr>
          <w:noProof/>
        </w:rPr>
      </w:r>
      <w:r>
        <w:rPr>
          <w:noProof/>
        </w:rPr>
        <w:fldChar w:fldCharType="separate"/>
      </w:r>
      <w:r>
        <w:rPr>
          <w:noProof/>
        </w:rPr>
        <w:t>351</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5.14.5.3</w:t>
      </w:r>
      <w:r w:rsidRPr="00DD140B">
        <w:rPr>
          <w:rFonts w:ascii="Calibri" w:eastAsia="Malgun Gothic" w:hAnsi="Calibri"/>
          <w:noProof/>
          <w:sz w:val="22"/>
          <w:szCs w:val="22"/>
          <w:lang w:eastAsia="ko-KR"/>
        </w:rPr>
        <w:tab/>
      </w:r>
      <w:r>
        <w:rPr>
          <w:noProof/>
        </w:rPr>
        <w:t>Application Errors</w:t>
      </w:r>
      <w:r>
        <w:rPr>
          <w:noProof/>
        </w:rPr>
        <w:tab/>
      </w:r>
      <w:r>
        <w:rPr>
          <w:noProof/>
        </w:rPr>
        <w:fldChar w:fldCharType="begin" w:fldLock="1"/>
      </w:r>
      <w:r>
        <w:rPr>
          <w:noProof/>
        </w:rPr>
        <w:instrText xml:space="preserve"> PAGEREF _Toc153625916 \h </w:instrText>
      </w:r>
      <w:r>
        <w:rPr>
          <w:noProof/>
        </w:rPr>
      </w:r>
      <w:r>
        <w:rPr>
          <w:noProof/>
        </w:rPr>
        <w:fldChar w:fldCharType="separate"/>
      </w:r>
      <w:r>
        <w:rPr>
          <w:noProof/>
        </w:rPr>
        <w:t>351</w:t>
      </w:r>
      <w:r>
        <w:rPr>
          <w:noProof/>
        </w:rPr>
        <w:fldChar w:fldCharType="end"/>
      </w:r>
    </w:p>
    <w:p w:rsidR="007D56C6" w:rsidRPr="00DD140B" w:rsidRDefault="007D56C6">
      <w:pPr>
        <w:pStyle w:val="TOC2"/>
        <w:rPr>
          <w:rFonts w:ascii="Calibri" w:eastAsia="Malgun Gothic" w:hAnsi="Calibri"/>
          <w:noProof/>
          <w:sz w:val="22"/>
          <w:szCs w:val="22"/>
          <w:lang w:eastAsia="ko-KR"/>
        </w:rPr>
      </w:pPr>
      <w:r>
        <w:rPr>
          <w:noProof/>
        </w:rPr>
        <w:t>5.15</w:t>
      </w:r>
      <w:r w:rsidRPr="00DD140B">
        <w:rPr>
          <w:rFonts w:ascii="Calibri" w:eastAsia="Malgun Gothic" w:hAnsi="Calibri"/>
          <w:noProof/>
          <w:sz w:val="22"/>
          <w:szCs w:val="22"/>
          <w:lang w:eastAsia="ko-KR"/>
        </w:rPr>
        <w:tab/>
      </w:r>
      <w:r>
        <w:rPr>
          <w:noProof/>
        </w:rPr>
        <w:t>MsisdnLessMoSms API</w:t>
      </w:r>
      <w:r>
        <w:rPr>
          <w:noProof/>
        </w:rPr>
        <w:tab/>
      </w:r>
      <w:r>
        <w:rPr>
          <w:noProof/>
        </w:rPr>
        <w:fldChar w:fldCharType="begin" w:fldLock="1"/>
      </w:r>
      <w:r>
        <w:rPr>
          <w:noProof/>
        </w:rPr>
        <w:instrText xml:space="preserve"> PAGEREF _Toc153625917 \h </w:instrText>
      </w:r>
      <w:r>
        <w:rPr>
          <w:noProof/>
        </w:rPr>
      </w:r>
      <w:r>
        <w:rPr>
          <w:noProof/>
        </w:rPr>
        <w:fldChar w:fldCharType="separate"/>
      </w:r>
      <w:r>
        <w:rPr>
          <w:noProof/>
        </w:rPr>
        <w:t>352</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5.15.1</w:t>
      </w:r>
      <w:r w:rsidRPr="00DD140B">
        <w:rPr>
          <w:rFonts w:ascii="Calibri" w:eastAsia="Malgun Gothic" w:hAnsi="Calibri"/>
          <w:noProof/>
          <w:sz w:val="22"/>
          <w:szCs w:val="22"/>
          <w:lang w:eastAsia="ko-KR"/>
        </w:rPr>
        <w:tab/>
      </w:r>
      <w:r>
        <w:rPr>
          <w:noProof/>
        </w:rPr>
        <w:t>Overview</w:t>
      </w:r>
      <w:r>
        <w:rPr>
          <w:noProof/>
        </w:rPr>
        <w:tab/>
      </w:r>
      <w:r>
        <w:rPr>
          <w:noProof/>
        </w:rPr>
        <w:fldChar w:fldCharType="begin" w:fldLock="1"/>
      </w:r>
      <w:r>
        <w:rPr>
          <w:noProof/>
        </w:rPr>
        <w:instrText xml:space="preserve"> PAGEREF _Toc153625918 \h </w:instrText>
      </w:r>
      <w:r>
        <w:rPr>
          <w:noProof/>
        </w:rPr>
      </w:r>
      <w:r>
        <w:rPr>
          <w:noProof/>
        </w:rPr>
        <w:fldChar w:fldCharType="separate"/>
      </w:r>
      <w:r>
        <w:rPr>
          <w:noProof/>
        </w:rPr>
        <w:t>352</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5.15.2</w:t>
      </w:r>
      <w:r w:rsidRPr="00DD140B">
        <w:rPr>
          <w:rFonts w:ascii="Calibri" w:eastAsia="Malgun Gothic" w:hAnsi="Calibri"/>
          <w:noProof/>
          <w:sz w:val="22"/>
          <w:szCs w:val="22"/>
          <w:lang w:eastAsia="ko-KR"/>
        </w:rPr>
        <w:tab/>
      </w:r>
      <w:r>
        <w:rPr>
          <w:noProof/>
        </w:rPr>
        <w:t>Data model</w:t>
      </w:r>
      <w:r>
        <w:rPr>
          <w:noProof/>
        </w:rPr>
        <w:tab/>
      </w:r>
      <w:r>
        <w:rPr>
          <w:noProof/>
        </w:rPr>
        <w:fldChar w:fldCharType="begin" w:fldLock="1"/>
      </w:r>
      <w:r>
        <w:rPr>
          <w:noProof/>
        </w:rPr>
        <w:instrText xml:space="preserve"> PAGEREF _Toc153625919 \h </w:instrText>
      </w:r>
      <w:r>
        <w:rPr>
          <w:noProof/>
        </w:rPr>
      </w:r>
      <w:r>
        <w:rPr>
          <w:noProof/>
        </w:rPr>
        <w:fldChar w:fldCharType="separate"/>
      </w:r>
      <w:r>
        <w:rPr>
          <w:noProof/>
        </w:rPr>
        <w:t>352</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5.15.2.1</w:t>
      </w:r>
      <w:r w:rsidRPr="00DD140B">
        <w:rPr>
          <w:rFonts w:ascii="Calibri" w:eastAsia="Malgun Gothic" w:hAnsi="Calibri"/>
          <w:noProof/>
          <w:sz w:val="22"/>
          <w:szCs w:val="22"/>
          <w:lang w:eastAsia="ko-KR"/>
        </w:rPr>
        <w:tab/>
      </w:r>
      <w:r>
        <w:rPr>
          <w:noProof/>
        </w:rPr>
        <w:t>Notification data types</w:t>
      </w:r>
      <w:r>
        <w:rPr>
          <w:noProof/>
        </w:rPr>
        <w:tab/>
      </w:r>
      <w:r>
        <w:rPr>
          <w:noProof/>
        </w:rPr>
        <w:fldChar w:fldCharType="begin" w:fldLock="1"/>
      </w:r>
      <w:r>
        <w:rPr>
          <w:noProof/>
        </w:rPr>
        <w:instrText xml:space="preserve"> PAGEREF _Toc153625920 \h </w:instrText>
      </w:r>
      <w:r>
        <w:rPr>
          <w:noProof/>
        </w:rPr>
      </w:r>
      <w:r>
        <w:rPr>
          <w:noProof/>
        </w:rPr>
        <w:fldChar w:fldCharType="separate"/>
      </w:r>
      <w:r>
        <w:rPr>
          <w:noProof/>
        </w:rPr>
        <w:t>352</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5.15.2.1.1</w:t>
      </w:r>
      <w:r w:rsidRPr="00DD140B">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_Toc153625921 \h </w:instrText>
      </w:r>
      <w:r>
        <w:rPr>
          <w:noProof/>
        </w:rPr>
      </w:r>
      <w:r>
        <w:rPr>
          <w:noProof/>
        </w:rPr>
        <w:fldChar w:fldCharType="separate"/>
      </w:r>
      <w:r>
        <w:rPr>
          <w:noProof/>
        </w:rPr>
        <w:t>352</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5.15.2.1.2</w:t>
      </w:r>
      <w:r w:rsidRPr="00DD140B">
        <w:rPr>
          <w:rFonts w:ascii="Calibri" w:eastAsia="Malgun Gothic" w:hAnsi="Calibri"/>
          <w:noProof/>
          <w:sz w:val="22"/>
          <w:szCs w:val="22"/>
          <w:lang w:eastAsia="ko-KR"/>
        </w:rPr>
        <w:tab/>
      </w:r>
      <w:r>
        <w:rPr>
          <w:noProof/>
        </w:rPr>
        <w:t>Type: MsisdnLessMoSmsNotification</w:t>
      </w:r>
      <w:r>
        <w:rPr>
          <w:noProof/>
        </w:rPr>
        <w:tab/>
      </w:r>
      <w:r>
        <w:rPr>
          <w:noProof/>
        </w:rPr>
        <w:fldChar w:fldCharType="begin" w:fldLock="1"/>
      </w:r>
      <w:r>
        <w:rPr>
          <w:noProof/>
        </w:rPr>
        <w:instrText xml:space="preserve"> PAGEREF _Toc153625922 \h </w:instrText>
      </w:r>
      <w:r>
        <w:rPr>
          <w:noProof/>
        </w:rPr>
      </w:r>
      <w:r>
        <w:rPr>
          <w:noProof/>
        </w:rPr>
        <w:fldChar w:fldCharType="separate"/>
      </w:r>
      <w:r>
        <w:rPr>
          <w:noProof/>
        </w:rPr>
        <w:t>352</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5.15.2.1.3</w:t>
      </w:r>
      <w:r w:rsidRPr="00DD140B">
        <w:rPr>
          <w:rFonts w:ascii="Calibri" w:eastAsia="Malgun Gothic" w:hAnsi="Calibri"/>
          <w:noProof/>
          <w:sz w:val="22"/>
          <w:szCs w:val="22"/>
          <w:lang w:eastAsia="ko-KR"/>
        </w:rPr>
        <w:tab/>
      </w:r>
      <w:r>
        <w:rPr>
          <w:noProof/>
        </w:rPr>
        <w:t>Type: MsisdnLessMoSmsNotificationReply</w:t>
      </w:r>
      <w:r>
        <w:rPr>
          <w:noProof/>
        </w:rPr>
        <w:tab/>
      </w:r>
      <w:r>
        <w:rPr>
          <w:noProof/>
        </w:rPr>
        <w:fldChar w:fldCharType="begin" w:fldLock="1"/>
      </w:r>
      <w:r>
        <w:rPr>
          <w:noProof/>
        </w:rPr>
        <w:instrText xml:space="preserve"> PAGEREF _Toc153625923 \h </w:instrText>
      </w:r>
      <w:r>
        <w:rPr>
          <w:noProof/>
        </w:rPr>
      </w:r>
      <w:r>
        <w:rPr>
          <w:noProof/>
        </w:rPr>
        <w:fldChar w:fldCharType="separate"/>
      </w:r>
      <w:r>
        <w:rPr>
          <w:noProof/>
        </w:rPr>
        <w:t>353</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5.15.3</w:t>
      </w:r>
      <w:r w:rsidRPr="00DD140B">
        <w:rPr>
          <w:rFonts w:ascii="Calibri" w:eastAsia="Malgun Gothic" w:hAnsi="Calibri"/>
          <w:noProof/>
          <w:sz w:val="22"/>
          <w:szCs w:val="22"/>
          <w:lang w:eastAsia="ko-KR"/>
        </w:rPr>
        <w:tab/>
      </w:r>
      <w:r>
        <w:rPr>
          <w:noProof/>
        </w:rPr>
        <w:t>Resource structure</w:t>
      </w:r>
      <w:r>
        <w:rPr>
          <w:noProof/>
        </w:rPr>
        <w:tab/>
      </w:r>
      <w:r>
        <w:rPr>
          <w:noProof/>
        </w:rPr>
        <w:fldChar w:fldCharType="begin" w:fldLock="1"/>
      </w:r>
      <w:r>
        <w:rPr>
          <w:noProof/>
        </w:rPr>
        <w:instrText xml:space="preserve"> PAGEREF _Toc153625924 \h </w:instrText>
      </w:r>
      <w:r>
        <w:rPr>
          <w:noProof/>
        </w:rPr>
      </w:r>
      <w:r>
        <w:rPr>
          <w:noProof/>
        </w:rPr>
        <w:fldChar w:fldCharType="separate"/>
      </w:r>
      <w:r>
        <w:rPr>
          <w:noProof/>
        </w:rPr>
        <w:t>353</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5.15.3.1</w:t>
      </w:r>
      <w:r w:rsidRPr="00DD140B">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_Toc153625925 \h </w:instrText>
      </w:r>
      <w:r>
        <w:rPr>
          <w:noProof/>
        </w:rPr>
      </w:r>
      <w:r>
        <w:rPr>
          <w:noProof/>
        </w:rPr>
        <w:fldChar w:fldCharType="separate"/>
      </w:r>
      <w:r>
        <w:rPr>
          <w:noProof/>
        </w:rPr>
        <w:t>353</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5.15.3.2</w:t>
      </w:r>
      <w:r w:rsidRPr="00DD140B">
        <w:rPr>
          <w:rFonts w:ascii="Calibri" w:eastAsia="Malgun Gothic" w:hAnsi="Calibri"/>
          <w:noProof/>
          <w:sz w:val="22"/>
          <w:szCs w:val="22"/>
          <w:lang w:eastAsia="ko-KR"/>
        </w:rPr>
        <w:tab/>
      </w:r>
      <w:r>
        <w:rPr>
          <w:noProof/>
        </w:rPr>
        <w:t>MSISDN-less MO SMS Notification</w:t>
      </w:r>
      <w:r>
        <w:rPr>
          <w:noProof/>
        </w:rPr>
        <w:tab/>
      </w:r>
      <w:r>
        <w:rPr>
          <w:noProof/>
        </w:rPr>
        <w:fldChar w:fldCharType="begin" w:fldLock="1"/>
      </w:r>
      <w:r>
        <w:rPr>
          <w:noProof/>
        </w:rPr>
        <w:instrText xml:space="preserve"> PAGEREF _Toc153625926 \h </w:instrText>
      </w:r>
      <w:r>
        <w:rPr>
          <w:noProof/>
        </w:rPr>
      </w:r>
      <w:r>
        <w:rPr>
          <w:noProof/>
        </w:rPr>
        <w:fldChar w:fldCharType="separate"/>
      </w:r>
      <w:r>
        <w:rPr>
          <w:noProof/>
        </w:rPr>
        <w:t>353</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5.15.3.2.1</w:t>
      </w:r>
      <w:r w:rsidRPr="00DD140B">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_Toc153625927 \h </w:instrText>
      </w:r>
      <w:r>
        <w:rPr>
          <w:noProof/>
        </w:rPr>
      </w:r>
      <w:r>
        <w:rPr>
          <w:noProof/>
        </w:rPr>
        <w:fldChar w:fldCharType="separate"/>
      </w:r>
      <w:r>
        <w:rPr>
          <w:noProof/>
        </w:rPr>
        <w:t>353</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5.15.3.2.2</w:t>
      </w:r>
      <w:r w:rsidRPr="00DD140B">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_Toc153625928 \h </w:instrText>
      </w:r>
      <w:r>
        <w:rPr>
          <w:noProof/>
        </w:rPr>
      </w:r>
      <w:r>
        <w:rPr>
          <w:noProof/>
        </w:rPr>
        <w:fldChar w:fldCharType="separate"/>
      </w:r>
      <w:r>
        <w:rPr>
          <w:noProof/>
        </w:rPr>
        <w:t>354</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5.15.3.2.3</w:t>
      </w:r>
      <w:r w:rsidRPr="00DD140B">
        <w:rPr>
          <w:rFonts w:ascii="Calibri" w:eastAsia="Malgun Gothic" w:hAnsi="Calibri"/>
          <w:noProof/>
          <w:sz w:val="22"/>
          <w:szCs w:val="22"/>
          <w:lang w:eastAsia="ko-KR"/>
        </w:rPr>
        <w:tab/>
      </w:r>
      <w:r>
        <w:rPr>
          <w:noProof/>
        </w:rPr>
        <w:t>Standard methods</w:t>
      </w:r>
      <w:r>
        <w:rPr>
          <w:noProof/>
        </w:rPr>
        <w:tab/>
      </w:r>
      <w:r>
        <w:rPr>
          <w:noProof/>
        </w:rPr>
        <w:fldChar w:fldCharType="begin" w:fldLock="1"/>
      </w:r>
      <w:r>
        <w:rPr>
          <w:noProof/>
        </w:rPr>
        <w:instrText xml:space="preserve"> PAGEREF _Toc153625929 \h </w:instrText>
      </w:r>
      <w:r>
        <w:rPr>
          <w:noProof/>
        </w:rPr>
      </w:r>
      <w:r>
        <w:rPr>
          <w:noProof/>
        </w:rPr>
        <w:fldChar w:fldCharType="separate"/>
      </w:r>
      <w:r>
        <w:rPr>
          <w:noProof/>
        </w:rPr>
        <w:t>354</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5.15.3.2.3.1</w:t>
      </w:r>
      <w:r w:rsidRPr="00DD140B">
        <w:rPr>
          <w:rFonts w:ascii="Calibri" w:eastAsia="Malgun Gothic" w:hAnsi="Calibri"/>
          <w:noProof/>
          <w:sz w:val="22"/>
          <w:szCs w:val="22"/>
          <w:lang w:eastAsia="ko-KR"/>
        </w:rPr>
        <w:tab/>
      </w:r>
      <w:r>
        <w:rPr>
          <w:noProof/>
        </w:rPr>
        <w:t>Notification via POST</w:t>
      </w:r>
      <w:r>
        <w:rPr>
          <w:noProof/>
        </w:rPr>
        <w:tab/>
      </w:r>
      <w:r>
        <w:rPr>
          <w:noProof/>
        </w:rPr>
        <w:fldChar w:fldCharType="begin" w:fldLock="1"/>
      </w:r>
      <w:r>
        <w:rPr>
          <w:noProof/>
        </w:rPr>
        <w:instrText xml:space="preserve"> PAGEREF _Toc153625930 \h </w:instrText>
      </w:r>
      <w:r>
        <w:rPr>
          <w:noProof/>
        </w:rPr>
      </w:r>
      <w:r>
        <w:rPr>
          <w:noProof/>
        </w:rPr>
        <w:fldChar w:fldCharType="separate"/>
      </w:r>
      <w:r>
        <w:rPr>
          <w:noProof/>
        </w:rPr>
        <w:t>354</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5.15.4</w:t>
      </w:r>
      <w:r w:rsidRPr="00DD140B">
        <w:rPr>
          <w:rFonts w:ascii="Calibri" w:eastAsia="Malgun Gothic" w:hAnsi="Calibri"/>
          <w:noProof/>
          <w:sz w:val="22"/>
          <w:szCs w:val="22"/>
          <w:lang w:eastAsia="ko-KR"/>
        </w:rPr>
        <w:tab/>
      </w:r>
      <w:r>
        <w:rPr>
          <w:noProof/>
        </w:rPr>
        <w:t>Used Features</w:t>
      </w:r>
      <w:r>
        <w:rPr>
          <w:noProof/>
        </w:rPr>
        <w:tab/>
      </w:r>
      <w:r>
        <w:rPr>
          <w:noProof/>
        </w:rPr>
        <w:fldChar w:fldCharType="begin" w:fldLock="1"/>
      </w:r>
      <w:r>
        <w:rPr>
          <w:noProof/>
        </w:rPr>
        <w:instrText xml:space="preserve"> PAGEREF _Toc153625931 \h </w:instrText>
      </w:r>
      <w:r>
        <w:rPr>
          <w:noProof/>
        </w:rPr>
      </w:r>
      <w:r>
        <w:rPr>
          <w:noProof/>
        </w:rPr>
        <w:fldChar w:fldCharType="separate"/>
      </w:r>
      <w:r>
        <w:rPr>
          <w:noProof/>
        </w:rPr>
        <w:t>355</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5.15.5</w:t>
      </w:r>
      <w:r w:rsidRPr="00DD140B">
        <w:rPr>
          <w:rFonts w:ascii="Calibri" w:eastAsia="Malgun Gothic" w:hAnsi="Calibri"/>
          <w:noProof/>
          <w:sz w:val="22"/>
          <w:szCs w:val="22"/>
          <w:lang w:eastAsia="ko-KR"/>
        </w:rPr>
        <w:tab/>
      </w:r>
      <w:r>
        <w:rPr>
          <w:noProof/>
        </w:rPr>
        <w:t>Error handling</w:t>
      </w:r>
      <w:r>
        <w:rPr>
          <w:noProof/>
        </w:rPr>
        <w:tab/>
      </w:r>
      <w:r>
        <w:rPr>
          <w:noProof/>
        </w:rPr>
        <w:fldChar w:fldCharType="begin" w:fldLock="1"/>
      </w:r>
      <w:r>
        <w:rPr>
          <w:noProof/>
        </w:rPr>
        <w:instrText xml:space="preserve"> PAGEREF _Toc153625932 \h </w:instrText>
      </w:r>
      <w:r>
        <w:rPr>
          <w:noProof/>
        </w:rPr>
      </w:r>
      <w:r>
        <w:rPr>
          <w:noProof/>
        </w:rPr>
        <w:fldChar w:fldCharType="separate"/>
      </w:r>
      <w:r>
        <w:rPr>
          <w:noProof/>
        </w:rPr>
        <w:t>355</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5.15.5.1</w:t>
      </w:r>
      <w:r w:rsidRPr="00DD140B">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_Toc153625933 \h </w:instrText>
      </w:r>
      <w:r>
        <w:rPr>
          <w:noProof/>
        </w:rPr>
      </w:r>
      <w:r>
        <w:rPr>
          <w:noProof/>
        </w:rPr>
        <w:fldChar w:fldCharType="separate"/>
      </w:r>
      <w:r>
        <w:rPr>
          <w:noProof/>
        </w:rPr>
        <w:t>355</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5.15.5.2</w:t>
      </w:r>
      <w:r w:rsidRPr="00DD140B">
        <w:rPr>
          <w:rFonts w:ascii="Calibri" w:eastAsia="Malgun Gothic" w:hAnsi="Calibri"/>
          <w:noProof/>
          <w:sz w:val="22"/>
          <w:szCs w:val="22"/>
          <w:lang w:eastAsia="ko-KR"/>
        </w:rPr>
        <w:tab/>
      </w:r>
      <w:r>
        <w:rPr>
          <w:noProof/>
        </w:rPr>
        <w:t>Protocol Errors</w:t>
      </w:r>
      <w:r>
        <w:rPr>
          <w:noProof/>
        </w:rPr>
        <w:tab/>
      </w:r>
      <w:r>
        <w:rPr>
          <w:noProof/>
        </w:rPr>
        <w:fldChar w:fldCharType="begin" w:fldLock="1"/>
      </w:r>
      <w:r>
        <w:rPr>
          <w:noProof/>
        </w:rPr>
        <w:instrText xml:space="preserve"> PAGEREF _Toc153625934 \h </w:instrText>
      </w:r>
      <w:r>
        <w:rPr>
          <w:noProof/>
        </w:rPr>
      </w:r>
      <w:r>
        <w:rPr>
          <w:noProof/>
        </w:rPr>
        <w:fldChar w:fldCharType="separate"/>
      </w:r>
      <w:r>
        <w:rPr>
          <w:noProof/>
        </w:rPr>
        <w:t>355</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5.15.5.3</w:t>
      </w:r>
      <w:r w:rsidRPr="00DD140B">
        <w:rPr>
          <w:rFonts w:ascii="Calibri" w:eastAsia="Malgun Gothic" w:hAnsi="Calibri"/>
          <w:noProof/>
          <w:sz w:val="22"/>
          <w:szCs w:val="22"/>
          <w:lang w:eastAsia="ko-KR"/>
        </w:rPr>
        <w:tab/>
      </w:r>
      <w:r>
        <w:rPr>
          <w:noProof/>
        </w:rPr>
        <w:t>Application Errors</w:t>
      </w:r>
      <w:r>
        <w:rPr>
          <w:noProof/>
        </w:rPr>
        <w:tab/>
      </w:r>
      <w:r>
        <w:rPr>
          <w:noProof/>
        </w:rPr>
        <w:fldChar w:fldCharType="begin" w:fldLock="1"/>
      </w:r>
      <w:r>
        <w:rPr>
          <w:noProof/>
        </w:rPr>
        <w:instrText xml:space="preserve"> PAGEREF _Toc153625935 \h </w:instrText>
      </w:r>
      <w:r>
        <w:rPr>
          <w:noProof/>
        </w:rPr>
      </w:r>
      <w:r>
        <w:rPr>
          <w:noProof/>
        </w:rPr>
        <w:fldChar w:fldCharType="separate"/>
      </w:r>
      <w:r>
        <w:rPr>
          <w:noProof/>
        </w:rPr>
        <w:t>355</w:t>
      </w:r>
      <w:r>
        <w:rPr>
          <w:noProof/>
        </w:rPr>
        <w:fldChar w:fldCharType="end"/>
      </w:r>
    </w:p>
    <w:p w:rsidR="007D56C6" w:rsidRPr="00DD140B" w:rsidRDefault="007D56C6">
      <w:pPr>
        <w:pStyle w:val="TOC2"/>
        <w:rPr>
          <w:rFonts w:ascii="Calibri" w:eastAsia="Malgun Gothic" w:hAnsi="Calibri"/>
          <w:noProof/>
          <w:sz w:val="22"/>
          <w:szCs w:val="22"/>
          <w:lang w:eastAsia="ko-KR"/>
        </w:rPr>
      </w:pPr>
      <w:r>
        <w:rPr>
          <w:noProof/>
        </w:rPr>
        <w:t>5.16</w:t>
      </w:r>
      <w:r w:rsidRPr="00DD140B">
        <w:rPr>
          <w:rFonts w:ascii="Calibri" w:eastAsia="Malgun Gothic" w:hAnsi="Calibri"/>
          <w:noProof/>
          <w:sz w:val="22"/>
          <w:szCs w:val="22"/>
          <w:lang w:eastAsia="ko-KR"/>
        </w:rPr>
        <w:tab/>
      </w:r>
      <w:r>
        <w:rPr>
          <w:noProof/>
        </w:rPr>
        <w:t>RacsParameterProvisioning API</w:t>
      </w:r>
      <w:r>
        <w:rPr>
          <w:noProof/>
        </w:rPr>
        <w:tab/>
      </w:r>
      <w:r>
        <w:rPr>
          <w:noProof/>
        </w:rPr>
        <w:fldChar w:fldCharType="begin" w:fldLock="1"/>
      </w:r>
      <w:r>
        <w:rPr>
          <w:noProof/>
        </w:rPr>
        <w:instrText xml:space="preserve"> PAGEREF _Toc153625936 \h </w:instrText>
      </w:r>
      <w:r>
        <w:rPr>
          <w:noProof/>
        </w:rPr>
      </w:r>
      <w:r>
        <w:rPr>
          <w:noProof/>
        </w:rPr>
        <w:fldChar w:fldCharType="separate"/>
      </w:r>
      <w:r>
        <w:rPr>
          <w:noProof/>
        </w:rPr>
        <w:t>355</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5.16.1</w:t>
      </w:r>
      <w:r w:rsidRPr="00DD140B">
        <w:rPr>
          <w:rFonts w:ascii="Calibri" w:eastAsia="Malgun Gothic" w:hAnsi="Calibri"/>
          <w:noProof/>
          <w:sz w:val="22"/>
          <w:szCs w:val="22"/>
          <w:lang w:eastAsia="ko-KR"/>
        </w:rPr>
        <w:tab/>
      </w:r>
      <w:r>
        <w:rPr>
          <w:noProof/>
        </w:rPr>
        <w:t>Overview</w:t>
      </w:r>
      <w:r>
        <w:rPr>
          <w:noProof/>
        </w:rPr>
        <w:tab/>
      </w:r>
      <w:r>
        <w:rPr>
          <w:noProof/>
        </w:rPr>
        <w:fldChar w:fldCharType="begin" w:fldLock="1"/>
      </w:r>
      <w:r>
        <w:rPr>
          <w:noProof/>
        </w:rPr>
        <w:instrText xml:space="preserve"> PAGEREF _Toc153625937 \h </w:instrText>
      </w:r>
      <w:r>
        <w:rPr>
          <w:noProof/>
        </w:rPr>
      </w:r>
      <w:r>
        <w:rPr>
          <w:noProof/>
        </w:rPr>
        <w:fldChar w:fldCharType="separate"/>
      </w:r>
      <w:r>
        <w:rPr>
          <w:noProof/>
        </w:rPr>
        <w:t>355</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5.16.2</w:t>
      </w:r>
      <w:r w:rsidRPr="00DD140B">
        <w:rPr>
          <w:rFonts w:ascii="Calibri" w:eastAsia="Malgun Gothic" w:hAnsi="Calibri"/>
          <w:noProof/>
          <w:sz w:val="22"/>
          <w:szCs w:val="22"/>
          <w:lang w:eastAsia="ko-KR"/>
        </w:rPr>
        <w:tab/>
      </w:r>
      <w:r>
        <w:rPr>
          <w:noProof/>
        </w:rPr>
        <w:t>Data model</w:t>
      </w:r>
      <w:r>
        <w:rPr>
          <w:noProof/>
        </w:rPr>
        <w:tab/>
      </w:r>
      <w:r>
        <w:rPr>
          <w:noProof/>
        </w:rPr>
        <w:fldChar w:fldCharType="begin" w:fldLock="1"/>
      </w:r>
      <w:r>
        <w:rPr>
          <w:noProof/>
        </w:rPr>
        <w:instrText xml:space="preserve"> PAGEREF _Toc153625938 \h </w:instrText>
      </w:r>
      <w:r>
        <w:rPr>
          <w:noProof/>
        </w:rPr>
      </w:r>
      <w:r>
        <w:rPr>
          <w:noProof/>
        </w:rPr>
        <w:fldChar w:fldCharType="separate"/>
      </w:r>
      <w:r>
        <w:rPr>
          <w:noProof/>
        </w:rPr>
        <w:t>356</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5.16.2.1</w:t>
      </w:r>
      <w:r w:rsidRPr="00DD140B">
        <w:rPr>
          <w:rFonts w:ascii="Calibri" w:eastAsia="Malgun Gothic" w:hAnsi="Calibri"/>
          <w:noProof/>
          <w:sz w:val="22"/>
          <w:szCs w:val="22"/>
          <w:lang w:eastAsia="ko-KR"/>
        </w:rPr>
        <w:tab/>
      </w:r>
      <w:r>
        <w:rPr>
          <w:noProof/>
        </w:rPr>
        <w:t>Resource data types</w:t>
      </w:r>
      <w:r>
        <w:rPr>
          <w:noProof/>
        </w:rPr>
        <w:tab/>
      </w:r>
      <w:r>
        <w:rPr>
          <w:noProof/>
        </w:rPr>
        <w:fldChar w:fldCharType="begin" w:fldLock="1"/>
      </w:r>
      <w:r>
        <w:rPr>
          <w:noProof/>
        </w:rPr>
        <w:instrText xml:space="preserve"> PAGEREF _Toc153625939 \h </w:instrText>
      </w:r>
      <w:r>
        <w:rPr>
          <w:noProof/>
        </w:rPr>
      </w:r>
      <w:r>
        <w:rPr>
          <w:noProof/>
        </w:rPr>
        <w:fldChar w:fldCharType="separate"/>
      </w:r>
      <w:r>
        <w:rPr>
          <w:noProof/>
        </w:rPr>
        <w:t>356</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5.16.2.1.1</w:t>
      </w:r>
      <w:r w:rsidRPr="00DD140B">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_Toc153625940 \h </w:instrText>
      </w:r>
      <w:r>
        <w:rPr>
          <w:noProof/>
        </w:rPr>
      </w:r>
      <w:r>
        <w:rPr>
          <w:noProof/>
        </w:rPr>
        <w:fldChar w:fldCharType="separate"/>
      </w:r>
      <w:r>
        <w:rPr>
          <w:noProof/>
        </w:rPr>
        <w:t>356</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5.16.2.1.2</w:t>
      </w:r>
      <w:r w:rsidRPr="00DD140B">
        <w:rPr>
          <w:rFonts w:ascii="Calibri" w:eastAsia="Malgun Gothic" w:hAnsi="Calibri"/>
          <w:noProof/>
          <w:sz w:val="22"/>
          <w:szCs w:val="22"/>
          <w:lang w:eastAsia="ko-KR"/>
        </w:rPr>
        <w:tab/>
      </w:r>
      <w:r>
        <w:rPr>
          <w:noProof/>
        </w:rPr>
        <w:t>Type: RacsProvisioningData</w:t>
      </w:r>
      <w:r>
        <w:rPr>
          <w:noProof/>
        </w:rPr>
        <w:tab/>
      </w:r>
      <w:r>
        <w:rPr>
          <w:noProof/>
        </w:rPr>
        <w:fldChar w:fldCharType="begin" w:fldLock="1"/>
      </w:r>
      <w:r>
        <w:rPr>
          <w:noProof/>
        </w:rPr>
        <w:instrText xml:space="preserve"> PAGEREF _Toc153625941 \h </w:instrText>
      </w:r>
      <w:r>
        <w:rPr>
          <w:noProof/>
        </w:rPr>
      </w:r>
      <w:r>
        <w:rPr>
          <w:noProof/>
        </w:rPr>
        <w:fldChar w:fldCharType="separate"/>
      </w:r>
      <w:r>
        <w:rPr>
          <w:noProof/>
        </w:rPr>
        <w:t>356</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5.16.2.1.3</w:t>
      </w:r>
      <w:r w:rsidRPr="00DD140B">
        <w:rPr>
          <w:rFonts w:ascii="Calibri" w:eastAsia="Malgun Gothic" w:hAnsi="Calibri"/>
          <w:noProof/>
          <w:sz w:val="22"/>
          <w:szCs w:val="22"/>
          <w:lang w:eastAsia="ko-KR"/>
        </w:rPr>
        <w:tab/>
      </w:r>
      <w:r>
        <w:rPr>
          <w:noProof/>
        </w:rPr>
        <w:t>Type: RacsFailureReport</w:t>
      </w:r>
      <w:r>
        <w:rPr>
          <w:noProof/>
        </w:rPr>
        <w:tab/>
      </w:r>
      <w:r>
        <w:rPr>
          <w:noProof/>
        </w:rPr>
        <w:fldChar w:fldCharType="begin" w:fldLock="1"/>
      </w:r>
      <w:r>
        <w:rPr>
          <w:noProof/>
        </w:rPr>
        <w:instrText xml:space="preserve"> PAGEREF _Toc153625942 \h </w:instrText>
      </w:r>
      <w:r>
        <w:rPr>
          <w:noProof/>
        </w:rPr>
      </w:r>
      <w:r>
        <w:rPr>
          <w:noProof/>
        </w:rPr>
        <w:fldChar w:fldCharType="separate"/>
      </w:r>
      <w:r>
        <w:rPr>
          <w:noProof/>
        </w:rPr>
        <w:t>357</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5.16.2.1.4</w:t>
      </w:r>
      <w:r w:rsidRPr="00DD140B">
        <w:rPr>
          <w:rFonts w:ascii="Calibri" w:eastAsia="Malgun Gothic" w:hAnsi="Calibri"/>
          <w:noProof/>
          <w:sz w:val="22"/>
          <w:szCs w:val="22"/>
          <w:lang w:eastAsia="ko-KR"/>
        </w:rPr>
        <w:tab/>
      </w:r>
      <w:r>
        <w:rPr>
          <w:noProof/>
        </w:rPr>
        <w:t>Type: RacsConfiguration</w:t>
      </w:r>
      <w:r>
        <w:rPr>
          <w:noProof/>
        </w:rPr>
        <w:tab/>
      </w:r>
      <w:r>
        <w:rPr>
          <w:noProof/>
        </w:rPr>
        <w:fldChar w:fldCharType="begin" w:fldLock="1"/>
      </w:r>
      <w:r>
        <w:rPr>
          <w:noProof/>
        </w:rPr>
        <w:instrText xml:space="preserve"> PAGEREF _Toc153625943 \h </w:instrText>
      </w:r>
      <w:r>
        <w:rPr>
          <w:noProof/>
        </w:rPr>
      </w:r>
      <w:r>
        <w:rPr>
          <w:noProof/>
        </w:rPr>
        <w:fldChar w:fldCharType="separate"/>
      </w:r>
      <w:r>
        <w:rPr>
          <w:noProof/>
        </w:rPr>
        <w:t>357</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5.16.2.1.5</w:t>
      </w:r>
      <w:r w:rsidRPr="00DD140B">
        <w:rPr>
          <w:rFonts w:ascii="Calibri" w:eastAsia="Malgun Gothic" w:hAnsi="Calibri"/>
          <w:noProof/>
          <w:sz w:val="22"/>
          <w:szCs w:val="22"/>
          <w:lang w:eastAsia="ko-KR"/>
        </w:rPr>
        <w:tab/>
      </w:r>
      <w:r>
        <w:rPr>
          <w:noProof/>
        </w:rPr>
        <w:t>Type: RacsProvisioningDataPatch</w:t>
      </w:r>
      <w:r>
        <w:rPr>
          <w:noProof/>
        </w:rPr>
        <w:tab/>
      </w:r>
      <w:r>
        <w:rPr>
          <w:noProof/>
        </w:rPr>
        <w:fldChar w:fldCharType="begin" w:fldLock="1"/>
      </w:r>
      <w:r>
        <w:rPr>
          <w:noProof/>
        </w:rPr>
        <w:instrText xml:space="preserve"> PAGEREF _Toc153625944 \h </w:instrText>
      </w:r>
      <w:r>
        <w:rPr>
          <w:noProof/>
        </w:rPr>
      </w:r>
      <w:r>
        <w:rPr>
          <w:noProof/>
        </w:rPr>
        <w:fldChar w:fldCharType="separate"/>
      </w:r>
      <w:r>
        <w:rPr>
          <w:noProof/>
        </w:rPr>
        <w:t>358</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5.16.2.1.6</w:t>
      </w:r>
      <w:r w:rsidRPr="00DD140B">
        <w:rPr>
          <w:rFonts w:ascii="Calibri" w:eastAsia="Malgun Gothic" w:hAnsi="Calibri"/>
          <w:noProof/>
          <w:sz w:val="22"/>
          <w:szCs w:val="22"/>
          <w:lang w:eastAsia="ko-KR"/>
        </w:rPr>
        <w:tab/>
      </w:r>
      <w:r>
        <w:rPr>
          <w:noProof/>
        </w:rPr>
        <w:t>Type: RacsConfigurationRm</w:t>
      </w:r>
      <w:r>
        <w:rPr>
          <w:noProof/>
        </w:rPr>
        <w:tab/>
      </w:r>
      <w:r>
        <w:rPr>
          <w:noProof/>
        </w:rPr>
        <w:fldChar w:fldCharType="begin" w:fldLock="1"/>
      </w:r>
      <w:r>
        <w:rPr>
          <w:noProof/>
        </w:rPr>
        <w:instrText xml:space="preserve"> PAGEREF _Toc153625945 \h </w:instrText>
      </w:r>
      <w:r>
        <w:rPr>
          <w:noProof/>
        </w:rPr>
      </w:r>
      <w:r>
        <w:rPr>
          <w:noProof/>
        </w:rPr>
        <w:fldChar w:fldCharType="separate"/>
      </w:r>
      <w:r>
        <w:rPr>
          <w:noProof/>
        </w:rPr>
        <w:t>358</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5.16.2.2</w:t>
      </w:r>
      <w:r w:rsidRPr="00DD140B">
        <w:rPr>
          <w:rFonts w:ascii="Calibri" w:eastAsia="Malgun Gothic" w:hAnsi="Calibri"/>
          <w:noProof/>
          <w:sz w:val="22"/>
          <w:szCs w:val="22"/>
          <w:lang w:eastAsia="ko-KR"/>
        </w:rPr>
        <w:tab/>
      </w:r>
      <w:r>
        <w:rPr>
          <w:noProof/>
        </w:rPr>
        <w:t>Referenced simple data types and enumerations</w:t>
      </w:r>
      <w:r>
        <w:rPr>
          <w:noProof/>
        </w:rPr>
        <w:tab/>
      </w:r>
      <w:r>
        <w:rPr>
          <w:noProof/>
        </w:rPr>
        <w:fldChar w:fldCharType="begin" w:fldLock="1"/>
      </w:r>
      <w:r>
        <w:rPr>
          <w:noProof/>
        </w:rPr>
        <w:instrText xml:space="preserve"> PAGEREF _Toc153625946 \h </w:instrText>
      </w:r>
      <w:r>
        <w:rPr>
          <w:noProof/>
        </w:rPr>
      </w:r>
      <w:r>
        <w:rPr>
          <w:noProof/>
        </w:rPr>
        <w:fldChar w:fldCharType="separate"/>
      </w:r>
      <w:r>
        <w:rPr>
          <w:noProof/>
        </w:rPr>
        <w:t>359</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5.16.2.2.1</w:t>
      </w:r>
      <w:r w:rsidRPr="00DD140B">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_Toc153625947 \h </w:instrText>
      </w:r>
      <w:r>
        <w:rPr>
          <w:noProof/>
        </w:rPr>
      </w:r>
      <w:r>
        <w:rPr>
          <w:noProof/>
        </w:rPr>
        <w:fldChar w:fldCharType="separate"/>
      </w:r>
      <w:r>
        <w:rPr>
          <w:noProof/>
        </w:rPr>
        <w:t>359</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5.16.2.2.2</w:t>
      </w:r>
      <w:r w:rsidRPr="00DD140B">
        <w:rPr>
          <w:rFonts w:ascii="Calibri" w:eastAsia="Malgun Gothic" w:hAnsi="Calibri"/>
          <w:noProof/>
          <w:sz w:val="22"/>
          <w:szCs w:val="22"/>
          <w:lang w:eastAsia="ko-KR"/>
        </w:rPr>
        <w:tab/>
      </w:r>
      <w:r>
        <w:rPr>
          <w:noProof/>
        </w:rPr>
        <w:t>Simple data types</w:t>
      </w:r>
      <w:r>
        <w:rPr>
          <w:noProof/>
        </w:rPr>
        <w:tab/>
      </w:r>
      <w:r>
        <w:rPr>
          <w:noProof/>
        </w:rPr>
        <w:fldChar w:fldCharType="begin" w:fldLock="1"/>
      </w:r>
      <w:r>
        <w:rPr>
          <w:noProof/>
        </w:rPr>
        <w:instrText xml:space="preserve"> PAGEREF _Toc153625948 \h </w:instrText>
      </w:r>
      <w:r>
        <w:rPr>
          <w:noProof/>
        </w:rPr>
      </w:r>
      <w:r>
        <w:rPr>
          <w:noProof/>
        </w:rPr>
        <w:fldChar w:fldCharType="separate"/>
      </w:r>
      <w:r>
        <w:rPr>
          <w:noProof/>
        </w:rPr>
        <w:t>359</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5.16.2.2.3</w:t>
      </w:r>
      <w:r w:rsidRPr="00DD140B">
        <w:rPr>
          <w:rFonts w:ascii="Calibri" w:eastAsia="Malgun Gothic" w:hAnsi="Calibri"/>
          <w:noProof/>
          <w:sz w:val="22"/>
          <w:szCs w:val="22"/>
          <w:lang w:eastAsia="ko-KR"/>
        </w:rPr>
        <w:tab/>
      </w:r>
      <w:r>
        <w:rPr>
          <w:noProof/>
        </w:rPr>
        <w:t>Enumeration: RacsFailureCode</w:t>
      </w:r>
      <w:r>
        <w:rPr>
          <w:noProof/>
        </w:rPr>
        <w:tab/>
      </w:r>
      <w:r>
        <w:rPr>
          <w:noProof/>
        </w:rPr>
        <w:fldChar w:fldCharType="begin" w:fldLock="1"/>
      </w:r>
      <w:r>
        <w:rPr>
          <w:noProof/>
        </w:rPr>
        <w:instrText xml:space="preserve"> PAGEREF _Toc153625949 \h </w:instrText>
      </w:r>
      <w:r>
        <w:rPr>
          <w:noProof/>
        </w:rPr>
      </w:r>
      <w:r>
        <w:rPr>
          <w:noProof/>
        </w:rPr>
        <w:fldChar w:fldCharType="separate"/>
      </w:r>
      <w:r>
        <w:rPr>
          <w:noProof/>
        </w:rPr>
        <w:t>359</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5.16.3</w:t>
      </w:r>
      <w:r w:rsidRPr="00DD140B">
        <w:rPr>
          <w:rFonts w:ascii="Calibri" w:eastAsia="Malgun Gothic" w:hAnsi="Calibri"/>
          <w:noProof/>
          <w:sz w:val="22"/>
          <w:szCs w:val="22"/>
          <w:lang w:eastAsia="ko-KR"/>
        </w:rPr>
        <w:tab/>
      </w:r>
      <w:r>
        <w:rPr>
          <w:noProof/>
        </w:rPr>
        <w:t>Resource structure</w:t>
      </w:r>
      <w:r>
        <w:rPr>
          <w:noProof/>
        </w:rPr>
        <w:tab/>
      </w:r>
      <w:r>
        <w:rPr>
          <w:noProof/>
        </w:rPr>
        <w:fldChar w:fldCharType="begin" w:fldLock="1"/>
      </w:r>
      <w:r>
        <w:rPr>
          <w:noProof/>
        </w:rPr>
        <w:instrText xml:space="preserve"> PAGEREF _Toc153625950 \h </w:instrText>
      </w:r>
      <w:r>
        <w:rPr>
          <w:noProof/>
        </w:rPr>
      </w:r>
      <w:r>
        <w:rPr>
          <w:noProof/>
        </w:rPr>
        <w:fldChar w:fldCharType="separate"/>
      </w:r>
      <w:r>
        <w:rPr>
          <w:noProof/>
        </w:rPr>
        <w:t>359</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5.16.3.1</w:t>
      </w:r>
      <w:r w:rsidRPr="00DD140B">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_Toc153625951 \h </w:instrText>
      </w:r>
      <w:r>
        <w:rPr>
          <w:noProof/>
        </w:rPr>
      </w:r>
      <w:r>
        <w:rPr>
          <w:noProof/>
        </w:rPr>
        <w:fldChar w:fldCharType="separate"/>
      </w:r>
      <w:r>
        <w:rPr>
          <w:noProof/>
        </w:rPr>
        <w:t>359</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5.16.3.2</w:t>
      </w:r>
      <w:r w:rsidRPr="00DD140B">
        <w:rPr>
          <w:rFonts w:ascii="Calibri" w:eastAsia="Malgun Gothic" w:hAnsi="Calibri"/>
          <w:noProof/>
          <w:sz w:val="22"/>
          <w:szCs w:val="22"/>
          <w:lang w:eastAsia="ko-KR"/>
        </w:rPr>
        <w:tab/>
      </w:r>
      <w:r>
        <w:rPr>
          <w:noProof/>
        </w:rPr>
        <w:t>Resource: RACS Parameter Provisionings</w:t>
      </w:r>
      <w:r>
        <w:rPr>
          <w:noProof/>
        </w:rPr>
        <w:tab/>
      </w:r>
      <w:r>
        <w:rPr>
          <w:noProof/>
        </w:rPr>
        <w:fldChar w:fldCharType="begin" w:fldLock="1"/>
      </w:r>
      <w:r>
        <w:rPr>
          <w:noProof/>
        </w:rPr>
        <w:instrText xml:space="preserve"> PAGEREF _Toc153625952 \h </w:instrText>
      </w:r>
      <w:r>
        <w:rPr>
          <w:noProof/>
        </w:rPr>
      </w:r>
      <w:r>
        <w:rPr>
          <w:noProof/>
        </w:rPr>
        <w:fldChar w:fldCharType="separate"/>
      </w:r>
      <w:r>
        <w:rPr>
          <w:noProof/>
        </w:rPr>
        <w:t>360</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5.16.3.2.1</w:t>
      </w:r>
      <w:r w:rsidRPr="00DD140B">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_Toc153625953 \h </w:instrText>
      </w:r>
      <w:r>
        <w:rPr>
          <w:noProof/>
        </w:rPr>
      </w:r>
      <w:r>
        <w:rPr>
          <w:noProof/>
        </w:rPr>
        <w:fldChar w:fldCharType="separate"/>
      </w:r>
      <w:r>
        <w:rPr>
          <w:noProof/>
        </w:rPr>
        <w:t>360</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5.16.3.2.2</w:t>
      </w:r>
      <w:r w:rsidRPr="00DD140B">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_Toc153625954 \h </w:instrText>
      </w:r>
      <w:r>
        <w:rPr>
          <w:noProof/>
        </w:rPr>
      </w:r>
      <w:r>
        <w:rPr>
          <w:noProof/>
        </w:rPr>
        <w:fldChar w:fldCharType="separate"/>
      </w:r>
      <w:r>
        <w:rPr>
          <w:noProof/>
        </w:rPr>
        <w:t>360</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5.16.3.2.3</w:t>
      </w:r>
      <w:r w:rsidRPr="00DD140B">
        <w:rPr>
          <w:rFonts w:ascii="Calibri" w:eastAsia="Malgun Gothic" w:hAnsi="Calibri"/>
          <w:noProof/>
          <w:sz w:val="22"/>
          <w:szCs w:val="22"/>
          <w:lang w:eastAsia="ko-KR"/>
        </w:rPr>
        <w:tab/>
      </w:r>
      <w:r>
        <w:rPr>
          <w:noProof/>
        </w:rPr>
        <w:t>Resource methods</w:t>
      </w:r>
      <w:r>
        <w:rPr>
          <w:noProof/>
        </w:rPr>
        <w:tab/>
      </w:r>
      <w:r>
        <w:rPr>
          <w:noProof/>
        </w:rPr>
        <w:fldChar w:fldCharType="begin" w:fldLock="1"/>
      </w:r>
      <w:r>
        <w:rPr>
          <w:noProof/>
        </w:rPr>
        <w:instrText xml:space="preserve"> PAGEREF _Toc153625955 \h </w:instrText>
      </w:r>
      <w:r>
        <w:rPr>
          <w:noProof/>
        </w:rPr>
      </w:r>
      <w:r>
        <w:rPr>
          <w:noProof/>
        </w:rPr>
        <w:fldChar w:fldCharType="separate"/>
      </w:r>
      <w:r>
        <w:rPr>
          <w:noProof/>
        </w:rPr>
        <w:t>360</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5.16.3.2.3.1</w:t>
      </w:r>
      <w:r w:rsidRPr="00DD140B">
        <w:rPr>
          <w:rFonts w:ascii="Calibri" w:eastAsia="Malgun Gothic" w:hAnsi="Calibri"/>
          <w:noProof/>
          <w:sz w:val="22"/>
          <w:szCs w:val="22"/>
          <w:lang w:eastAsia="ko-KR"/>
        </w:rPr>
        <w:tab/>
      </w:r>
      <w:r>
        <w:rPr>
          <w:noProof/>
        </w:rPr>
        <w:t>GET</w:t>
      </w:r>
      <w:r>
        <w:rPr>
          <w:noProof/>
        </w:rPr>
        <w:tab/>
      </w:r>
      <w:r>
        <w:rPr>
          <w:noProof/>
        </w:rPr>
        <w:fldChar w:fldCharType="begin" w:fldLock="1"/>
      </w:r>
      <w:r>
        <w:rPr>
          <w:noProof/>
        </w:rPr>
        <w:instrText xml:space="preserve"> PAGEREF _Toc153625956 \h </w:instrText>
      </w:r>
      <w:r>
        <w:rPr>
          <w:noProof/>
        </w:rPr>
      </w:r>
      <w:r>
        <w:rPr>
          <w:noProof/>
        </w:rPr>
        <w:fldChar w:fldCharType="separate"/>
      </w:r>
      <w:r>
        <w:rPr>
          <w:noProof/>
        </w:rPr>
        <w:t>360</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5.16.3.2.3.2</w:t>
      </w:r>
      <w:r w:rsidRPr="00DD140B">
        <w:rPr>
          <w:rFonts w:ascii="Calibri" w:eastAsia="Malgun Gothic" w:hAnsi="Calibri"/>
          <w:noProof/>
          <w:sz w:val="22"/>
          <w:szCs w:val="22"/>
          <w:lang w:eastAsia="ko-KR"/>
        </w:rPr>
        <w:tab/>
      </w:r>
      <w:r>
        <w:rPr>
          <w:noProof/>
        </w:rPr>
        <w:t>PUT</w:t>
      </w:r>
      <w:r>
        <w:rPr>
          <w:noProof/>
        </w:rPr>
        <w:tab/>
      </w:r>
      <w:r>
        <w:rPr>
          <w:noProof/>
        </w:rPr>
        <w:fldChar w:fldCharType="begin" w:fldLock="1"/>
      </w:r>
      <w:r>
        <w:rPr>
          <w:noProof/>
        </w:rPr>
        <w:instrText xml:space="preserve"> PAGEREF _Toc153625957 \h </w:instrText>
      </w:r>
      <w:r>
        <w:rPr>
          <w:noProof/>
        </w:rPr>
      </w:r>
      <w:r>
        <w:rPr>
          <w:noProof/>
        </w:rPr>
        <w:fldChar w:fldCharType="separate"/>
      </w:r>
      <w:r>
        <w:rPr>
          <w:noProof/>
        </w:rPr>
        <w:t>361</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5.16.3.2.3.3</w:t>
      </w:r>
      <w:r w:rsidRPr="00DD140B">
        <w:rPr>
          <w:rFonts w:ascii="Calibri" w:eastAsia="Malgun Gothic" w:hAnsi="Calibri"/>
          <w:noProof/>
          <w:sz w:val="22"/>
          <w:szCs w:val="22"/>
          <w:lang w:eastAsia="ko-KR"/>
        </w:rPr>
        <w:tab/>
      </w:r>
      <w:r>
        <w:rPr>
          <w:noProof/>
        </w:rPr>
        <w:t>PATCH</w:t>
      </w:r>
      <w:r>
        <w:rPr>
          <w:noProof/>
        </w:rPr>
        <w:tab/>
      </w:r>
      <w:r>
        <w:rPr>
          <w:noProof/>
        </w:rPr>
        <w:fldChar w:fldCharType="begin" w:fldLock="1"/>
      </w:r>
      <w:r>
        <w:rPr>
          <w:noProof/>
        </w:rPr>
        <w:instrText xml:space="preserve"> PAGEREF _Toc153625958 \h </w:instrText>
      </w:r>
      <w:r>
        <w:rPr>
          <w:noProof/>
        </w:rPr>
      </w:r>
      <w:r>
        <w:rPr>
          <w:noProof/>
        </w:rPr>
        <w:fldChar w:fldCharType="separate"/>
      </w:r>
      <w:r>
        <w:rPr>
          <w:noProof/>
        </w:rPr>
        <w:t>361</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5.16.3.2.3.4</w:t>
      </w:r>
      <w:r w:rsidRPr="00DD140B">
        <w:rPr>
          <w:rFonts w:ascii="Calibri" w:eastAsia="Malgun Gothic" w:hAnsi="Calibri"/>
          <w:noProof/>
          <w:sz w:val="22"/>
          <w:szCs w:val="22"/>
          <w:lang w:eastAsia="ko-KR"/>
        </w:rPr>
        <w:tab/>
      </w:r>
      <w:r>
        <w:rPr>
          <w:noProof/>
        </w:rPr>
        <w:t>POST</w:t>
      </w:r>
      <w:r>
        <w:rPr>
          <w:noProof/>
        </w:rPr>
        <w:tab/>
      </w:r>
      <w:r>
        <w:rPr>
          <w:noProof/>
        </w:rPr>
        <w:fldChar w:fldCharType="begin" w:fldLock="1"/>
      </w:r>
      <w:r>
        <w:rPr>
          <w:noProof/>
        </w:rPr>
        <w:instrText xml:space="preserve"> PAGEREF _Toc153625959 \h </w:instrText>
      </w:r>
      <w:r>
        <w:rPr>
          <w:noProof/>
        </w:rPr>
      </w:r>
      <w:r>
        <w:rPr>
          <w:noProof/>
        </w:rPr>
        <w:fldChar w:fldCharType="separate"/>
      </w:r>
      <w:r>
        <w:rPr>
          <w:noProof/>
        </w:rPr>
        <w:t>361</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5.16.3.2.3.5</w:t>
      </w:r>
      <w:r w:rsidRPr="00DD140B">
        <w:rPr>
          <w:rFonts w:ascii="Calibri" w:eastAsia="Malgun Gothic" w:hAnsi="Calibri"/>
          <w:noProof/>
          <w:sz w:val="22"/>
          <w:szCs w:val="22"/>
          <w:lang w:eastAsia="ko-KR"/>
        </w:rPr>
        <w:tab/>
      </w:r>
      <w:r>
        <w:rPr>
          <w:noProof/>
        </w:rPr>
        <w:t>DELETE</w:t>
      </w:r>
      <w:r>
        <w:rPr>
          <w:noProof/>
        </w:rPr>
        <w:tab/>
      </w:r>
      <w:r>
        <w:rPr>
          <w:noProof/>
        </w:rPr>
        <w:fldChar w:fldCharType="begin" w:fldLock="1"/>
      </w:r>
      <w:r>
        <w:rPr>
          <w:noProof/>
        </w:rPr>
        <w:instrText xml:space="preserve"> PAGEREF _Toc153625960 \h </w:instrText>
      </w:r>
      <w:r>
        <w:rPr>
          <w:noProof/>
        </w:rPr>
      </w:r>
      <w:r>
        <w:rPr>
          <w:noProof/>
        </w:rPr>
        <w:fldChar w:fldCharType="separate"/>
      </w:r>
      <w:r>
        <w:rPr>
          <w:noProof/>
        </w:rPr>
        <w:t>362</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5.16.3.3</w:t>
      </w:r>
      <w:r w:rsidRPr="00DD140B">
        <w:rPr>
          <w:rFonts w:ascii="Calibri" w:eastAsia="Malgun Gothic" w:hAnsi="Calibri"/>
          <w:noProof/>
          <w:sz w:val="22"/>
          <w:szCs w:val="22"/>
          <w:lang w:eastAsia="ko-KR"/>
        </w:rPr>
        <w:tab/>
      </w:r>
      <w:r>
        <w:rPr>
          <w:noProof/>
        </w:rPr>
        <w:t>Resource: Individual RACS Parameter Provisioning</w:t>
      </w:r>
      <w:r>
        <w:rPr>
          <w:noProof/>
        </w:rPr>
        <w:tab/>
      </w:r>
      <w:r>
        <w:rPr>
          <w:noProof/>
        </w:rPr>
        <w:fldChar w:fldCharType="begin" w:fldLock="1"/>
      </w:r>
      <w:r>
        <w:rPr>
          <w:noProof/>
        </w:rPr>
        <w:instrText xml:space="preserve"> PAGEREF _Toc153625961 \h </w:instrText>
      </w:r>
      <w:r>
        <w:rPr>
          <w:noProof/>
        </w:rPr>
      </w:r>
      <w:r>
        <w:rPr>
          <w:noProof/>
        </w:rPr>
        <w:fldChar w:fldCharType="separate"/>
      </w:r>
      <w:r>
        <w:rPr>
          <w:noProof/>
        </w:rPr>
        <w:t>362</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5.16.3.3.1</w:t>
      </w:r>
      <w:r w:rsidRPr="00DD140B">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_Toc153625962 \h </w:instrText>
      </w:r>
      <w:r>
        <w:rPr>
          <w:noProof/>
        </w:rPr>
      </w:r>
      <w:r>
        <w:rPr>
          <w:noProof/>
        </w:rPr>
        <w:fldChar w:fldCharType="separate"/>
      </w:r>
      <w:r>
        <w:rPr>
          <w:noProof/>
        </w:rPr>
        <w:t>362</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5.16.3.3.2</w:t>
      </w:r>
      <w:r w:rsidRPr="00DD140B">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_Toc153625963 \h </w:instrText>
      </w:r>
      <w:r>
        <w:rPr>
          <w:noProof/>
        </w:rPr>
      </w:r>
      <w:r>
        <w:rPr>
          <w:noProof/>
        </w:rPr>
        <w:fldChar w:fldCharType="separate"/>
      </w:r>
      <w:r>
        <w:rPr>
          <w:noProof/>
        </w:rPr>
        <w:t>362</w:t>
      </w:r>
      <w:r>
        <w:rPr>
          <w:noProof/>
        </w:rPr>
        <w:fldChar w:fldCharType="end"/>
      </w:r>
    </w:p>
    <w:p w:rsidR="007D56C6" w:rsidRPr="00DD140B" w:rsidRDefault="007D56C6">
      <w:pPr>
        <w:pStyle w:val="TOC5"/>
        <w:rPr>
          <w:rFonts w:ascii="Calibri" w:eastAsia="Malgun Gothic" w:hAnsi="Calibri"/>
          <w:noProof/>
          <w:sz w:val="22"/>
          <w:szCs w:val="22"/>
          <w:lang w:eastAsia="ko-KR"/>
        </w:rPr>
      </w:pPr>
      <w:r>
        <w:rPr>
          <w:noProof/>
        </w:rPr>
        <w:t>5.16.3.3.3</w:t>
      </w:r>
      <w:r w:rsidRPr="00DD140B">
        <w:rPr>
          <w:rFonts w:ascii="Calibri" w:eastAsia="Malgun Gothic" w:hAnsi="Calibri"/>
          <w:noProof/>
          <w:sz w:val="22"/>
          <w:szCs w:val="22"/>
          <w:lang w:eastAsia="ko-KR"/>
        </w:rPr>
        <w:tab/>
      </w:r>
      <w:r>
        <w:rPr>
          <w:noProof/>
        </w:rPr>
        <w:t>Resource methods</w:t>
      </w:r>
      <w:r>
        <w:rPr>
          <w:noProof/>
        </w:rPr>
        <w:tab/>
      </w:r>
      <w:r>
        <w:rPr>
          <w:noProof/>
        </w:rPr>
        <w:fldChar w:fldCharType="begin" w:fldLock="1"/>
      </w:r>
      <w:r>
        <w:rPr>
          <w:noProof/>
        </w:rPr>
        <w:instrText xml:space="preserve"> PAGEREF _Toc153625964 \h </w:instrText>
      </w:r>
      <w:r>
        <w:rPr>
          <w:noProof/>
        </w:rPr>
      </w:r>
      <w:r>
        <w:rPr>
          <w:noProof/>
        </w:rPr>
        <w:fldChar w:fldCharType="separate"/>
      </w:r>
      <w:r>
        <w:rPr>
          <w:noProof/>
        </w:rPr>
        <w:t>362</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5.16.3.3.3.1</w:t>
      </w:r>
      <w:r w:rsidRPr="00DD140B">
        <w:rPr>
          <w:rFonts w:ascii="Calibri" w:eastAsia="Malgun Gothic" w:hAnsi="Calibri"/>
          <w:noProof/>
          <w:sz w:val="22"/>
          <w:szCs w:val="22"/>
          <w:lang w:eastAsia="ko-KR"/>
        </w:rPr>
        <w:tab/>
      </w:r>
      <w:r>
        <w:rPr>
          <w:noProof/>
        </w:rPr>
        <w:t>GET</w:t>
      </w:r>
      <w:r>
        <w:rPr>
          <w:noProof/>
        </w:rPr>
        <w:tab/>
      </w:r>
      <w:r>
        <w:rPr>
          <w:noProof/>
        </w:rPr>
        <w:fldChar w:fldCharType="begin" w:fldLock="1"/>
      </w:r>
      <w:r>
        <w:rPr>
          <w:noProof/>
        </w:rPr>
        <w:instrText xml:space="preserve"> PAGEREF _Toc153625965 \h </w:instrText>
      </w:r>
      <w:r>
        <w:rPr>
          <w:noProof/>
        </w:rPr>
      </w:r>
      <w:r>
        <w:rPr>
          <w:noProof/>
        </w:rPr>
        <w:fldChar w:fldCharType="separate"/>
      </w:r>
      <w:r>
        <w:rPr>
          <w:noProof/>
        </w:rPr>
        <w:t>362</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5.16.3.3.3.2</w:t>
      </w:r>
      <w:r w:rsidRPr="00DD140B">
        <w:rPr>
          <w:rFonts w:ascii="Calibri" w:eastAsia="Malgun Gothic" w:hAnsi="Calibri"/>
          <w:noProof/>
          <w:sz w:val="22"/>
          <w:szCs w:val="22"/>
          <w:lang w:eastAsia="ko-KR"/>
        </w:rPr>
        <w:tab/>
      </w:r>
      <w:r>
        <w:rPr>
          <w:noProof/>
        </w:rPr>
        <w:t>PATCH</w:t>
      </w:r>
      <w:r>
        <w:rPr>
          <w:noProof/>
        </w:rPr>
        <w:tab/>
      </w:r>
      <w:r>
        <w:rPr>
          <w:noProof/>
        </w:rPr>
        <w:fldChar w:fldCharType="begin" w:fldLock="1"/>
      </w:r>
      <w:r>
        <w:rPr>
          <w:noProof/>
        </w:rPr>
        <w:instrText xml:space="preserve"> PAGEREF _Toc153625966 \h </w:instrText>
      </w:r>
      <w:r>
        <w:rPr>
          <w:noProof/>
        </w:rPr>
      </w:r>
      <w:r>
        <w:rPr>
          <w:noProof/>
        </w:rPr>
        <w:fldChar w:fldCharType="separate"/>
      </w:r>
      <w:r>
        <w:rPr>
          <w:noProof/>
        </w:rPr>
        <w:t>363</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5.16.3.3.3.3</w:t>
      </w:r>
      <w:r w:rsidRPr="00DD140B">
        <w:rPr>
          <w:rFonts w:ascii="Calibri" w:eastAsia="Malgun Gothic" w:hAnsi="Calibri"/>
          <w:noProof/>
          <w:sz w:val="22"/>
          <w:szCs w:val="22"/>
          <w:lang w:eastAsia="ko-KR"/>
        </w:rPr>
        <w:tab/>
      </w:r>
      <w:r>
        <w:rPr>
          <w:noProof/>
        </w:rPr>
        <w:t>PUT</w:t>
      </w:r>
      <w:r>
        <w:rPr>
          <w:noProof/>
        </w:rPr>
        <w:tab/>
      </w:r>
      <w:r>
        <w:rPr>
          <w:noProof/>
        </w:rPr>
        <w:fldChar w:fldCharType="begin" w:fldLock="1"/>
      </w:r>
      <w:r>
        <w:rPr>
          <w:noProof/>
        </w:rPr>
        <w:instrText xml:space="preserve"> PAGEREF _Toc153625967 \h </w:instrText>
      </w:r>
      <w:r>
        <w:rPr>
          <w:noProof/>
        </w:rPr>
      </w:r>
      <w:r>
        <w:rPr>
          <w:noProof/>
        </w:rPr>
        <w:fldChar w:fldCharType="separate"/>
      </w:r>
      <w:r>
        <w:rPr>
          <w:noProof/>
        </w:rPr>
        <w:t>364</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5.16.3.3.3.4</w:t>
      </w:r>
      <w:r w:rsidRPr="00DD140B">
        <w:rPr>
          <w:rFonts w:ascii="Calibri" w:eastAsia="Malgun Gothic" w:hAnsi="Calibri"/>
          <w:noProof/>
          <w:sz w:val="22"/>
          <w:szCs w:val="22"/>
          <w:lang w:eastAsia="ko-KR"/>
        </w:rPr>
        <w:tab/>
      </w:r>
      <w:r>
        <w:rPr>
          <w:noProof/>
        </w:rPr>
        <w:t>POST</w:t>
      </w:r>
      <w:r>
        <w:rPr>
          <w:noProof/>
        </w:rPr>
        <w:tab/>
      </w:r>
      <w:r>
        <w:rPr>
          <w:noProof/>
        </w:rPr>
        <w:fldChar w:fldCharType="begin" w:fldLock="1"/>
      </w:r>
      <w:r>
        <w:rPr>
          <w:noProof/>
        </w:rPr>
        <w:instrText xml:space="preserve"> PAGEREF _Toc153625968 \h </w:instrText>
      </w:r>
      <w:r>
        <w:rPr>
          <w:noProof/>
        </w:rPr>
      </w:r>
      <w:r>
        <w:rPr>
          <w:noProof/>
        </w:rPr>
        <w:fldChar w:fldCharType="separate"/>
      </w:r>
      <w:r>
        <w:rPr>
          <w:noProof/>
        </w:rPr>
        <w:t>365</w:t>
      </w:r>
      <w:r>
        <w:rPr>
          <w:noProof/>
        </w:rPr>
        <w:fldChar w:fldCharType="end"/>
      </w:r>
    </w:p>
    <w:p w:rsidR="007D56C6" w:rsidRPr="00DD140B" w:rsidRDefault="007D56C6">
      <w:pPr>
        <w:pStyle w:val="TOC6"/>
        <w:rPr>
          <w:rFonts w:ascii="Calibri" w:eastAsia="Malgun Gothic" w:hAnsi="Calibri"/>
          <w:noProof/>
          <w:sz w:val="22"/>
          <w:szCs w:val="22"/>
          <w:lang w:eastAsia="ko-KR"/>
        </w:rPr>
      </w:pPr>
      <w:r>
        <w:rPr>
          <w:noProof/>
        </w:rPr>
        <w:t>5.16.3.3.3.5</w:t>
      </w:r>
      <w:r w:rsidRPr="00DD140B">
        <w:rPr>
          <w:rFonts w:ascii="Calibri" w:eastAsia="Malgun Gothic" w:hAnsi="Calibri"/>
          <w:noProof/>
          <w:sz w:val="22"/>
          <w:szCs w:val="22"/>
          <w:lang w:eastAsia="ko-KR"/>
        </w:rPr>
        <w:tab/>
      </w:r>
      <w:r>
        <w:rPr>
          <w:noProof/>
        </w:rPr>
        <w:t>DELETE</w:t>
      </w:r>
      <w:r>
        <w:rPr>
          <w:noProof/>
        </w:rPr>
        <w:tab/>
      </w:r>
      <w:r>
        <w:rPr>
          <w:noProof/>
        </w:rPr>
        <w:fldChar w:fldCharType="begin" w:fldLock="1"/>
      </w:r>
      <w:r>
        <w:rPr>
          <w:noProof/>
        </w:rPr>
        <w:instrText xml:space="preserve"> PAGEREF _Toc153625969 \h </w:instrText>
      </w:r>
      <w:r>
        <w:rPr>
          <w:noProof/>
        </w:rPr>
      </w:r>
      <w:r>
        <w:rPr>
          <w:noProof/>
        </w:rPr>
        <w:fldChar w:fldCharType="separate"/>
      </w:r>
      <w:r>
        <w:rPr>
          <w:noProof/>
        </w:rPr>
        <w:t>365</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5.16.4</w:t>
      </w:r>
      <w:r w:rsidRPr="00DD140B">
        <w:rPr>
          <w:rFonts w:ascii="Calibri" w:eastAsia="Malgun Gothic" w:hAnsi="Calibri"/>
          <w:noProof/>
          <w:sz w:val="22"/>
          <w:szCs w:val="22"/>
          <w:lang w:eastAsia="ko-KR"/>
        </w:rPr>
        <w:tab/>
      </w:r>
      <w:r>
        <w:rPr>
          <w:noProof/>
        </w:rPr>
        <w:t>Used Features</w:t>
      </w:r>
      <w:r>
        <w:rPr>
          <w:noProof/>
        </w:rPr>
        <w:tab/>
      </w:r>
      <w:r>
        <w:rPr>
          <w:noProof/>
        </w:rPr>
        <w:fldChar w:fldCharType="begin" w:fldLock="1"/>
      </w:r>
      <w:r>
        <w:rPr>
          <w:noProof/>
        </w:rPr>
        <w:instrText xml:space="preserve"> PAGEREF _Toc153625970 \h </w:instrText>
      </w:r>
      <w:r>
        <w:rPr>
          <w:noProof/>
        </w:rPr>
      </w:r>
      <w:r>
        <w:rPr>
          <w:noProof/>
        </w:rPr>
        <w:fldChar w:fldCharType="separate"/>
      </w:r>
      <w:r>
        <w:rPr>
          <w:noProof/>
        </w:rPr>
        <w:t>366</w:t>
      </w:r>
      <w:r>
        <w:rPr>
          <w:noProof/>
        </w:rPr>
        <w:fldChar w:fldCharType="end"/>
      </w:r>
    </w:p>
    <w:p w:rsidR="007D56C6" w:rsidRPr="00DD140B" w:rsidRDefault="007D56C6">
      <w:pPr>
        <w:pStyle w:val="TOC3"/>
        <w:rPr>
          <w:rFonts w:ascii="Calibri" w:eastAsia="Malgun Gothic" w:hAnsi="Calibri"/>
          <w:noProof/>
          <w:sz w:val="22"/>
          <w:szCs w:val="22"/>
          <w:lang w:eastAsia="ko-KR"/>
        </w:rPr>
      </w:pPr>
      <w:r>
        <w:rPr>
          <w:noProof/>
        </w:rPr>
        <w:t>5.16.5</w:t>
      </w:r>
      <w:r w:rsidRPr="00DD140B">
        <w:rPr>
          <w:rFonts w:ascii="Calibri" w:eastAsia="Malgun Gothic" w:hAnsi="Calibri"/>
          <w:noProof/>
          <w:sz w:val="22"/>
          <w:szCs w:val="22"/>
          <w:lang w:eastAsia="ko-KR"/>
        </w:rPr>
        <w:tab/>
      </w:r>
      <w:r>
        <w:rPr>
          <w:noProof/>
        </w:rPr>
        <w:t>Error handling</w:t>
      </w:r>
      <w:r>
        <w:rPr>
          <w:noProof/>
        </w:rPr>
        <w:tab/>
      </w:r>
      <w:r>
        <w:rPr>
          <w:noProof/>
        </w:rPr>
        <w:fldChar w:fldCharType="begin" w:fldLock="1"/>
      </w:r>
      <w:r>
        <w:rPr>
          <w:noProof/>
        </w:rPr>
        <w:instrText xml:space="preserve"> PAGEREF _Toc153625971 \h </w:instrText>
      </w:r>
      <w:r>
        <w:rPr>
          <w:noProof/>
        </w:rPr>
      </w:r>
      <w:r>
        <w:rPr>
          <w:noProof/>
        </w:rPr>
        <w:fldChar w:fldCharType="separate"/>
      </w:r>
      <w:r>
        <w:rPr>
          <w:noProof/>
        </w:rPr>
        <w:t>366</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5.16.5.1</w:t>
      </w:r>
      <w:r w:rsidRPr="00DD140B">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_Toc153625972 \h </w:instrText>
      </w:r>
      <w:r>
        <w:rPr>
          <w:noProof/>
        </w:rPr>
      </w:r>
      <w:r>
        <w:rPr>
          <w:noProof/>
        </w:rPr>
        <w:fldChar w:fldCharType="separate"/>
      </w:r>
      <w:r>
        <w:rPr>
          <w:noProof/>
        </w:rPr>
        <w:t>366</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5.16.5.2</w:t>
      </w:r>
      <w:r w:rsidRPr="00DD140B">
        <w:rPr>
          <w:rFonts w:ascii="Calibri" w:eastAsia="Malgun Gothic" w:hAnsi="Calibri"/>
          <w:noProof/>
          <w:sz w:val="22"/>
          <w:szCs w:val="22"/>
          <w:lang w:eastAsia="ko-KR"/>
        </w:rPr>
        <w:tab/>
      </w:r>
      <w:r>
        <w:rPr>
          <w:noProof/>
        </w:rPr>
        <w:t>Protocol Errors</w:t>
      </w:r>
      <w:r>
        <w:rPr>
          <w:noProof/>
        </w:rPr>
        <w:tab/>
      </w:r>
      <w:r>
        <w:rPr>
          <w:noProof/>
        </w:rPr>
        <w:fldChar w:fldCharType="begin" w:fldLock="1"/>
      </w:r>
      <w:r>
        <w:rPr>
          <w:noProof/>
        </w:rPr>
        <w:instrText xml:space="preserve"> PAGEREF _Toc153625973 \h </w:instrText>
      </w:r>
      <w:r>
        <w:rPr>
          <w:noProof/>
        </w:rPr>
      </w:r>
      <w:r>
        <w:rPr>
          <w:noProof/>
        </w:rPr>
        <w:fldChar w:fldCharType="separate"/>
      </w:r>
      <w:r>
        <w:rPr>
          <w:noProof/>
        </w:rPr>
        <w:t>366</w:t>
      </w:r>
      <w:r>
        <w:rPr>
          <w:noProof/>
        </w:rPr>
        <w:fldChar w:fldCharType="end"/>
      </w:r>
    </w:p>
    <w:p w:rsidR="007D56C6" w:rsidRPr="00DD140B" w:rsidRDefault="007D56C6">
      <w:pPr>
        <w:pStyle w:val="TOC4"/>
        <w:rPr>
          <w:rFonts w:ascii="Calibri" w:eastAsia="Malgun Gothic" w:hAnsi="Calibri"/>
          <w:noProof/>
          <w:sz w:val="22"/>
          <w:szCs w:val="22"/>
          <w:lang w:eastAsia="ko-KR"/>
        </w:rPr>
      </w:pPr>
      <w:r>
        <w:rPr>
          <w:noProof/>
        </w:rPr>
        <w:t>5.16.5.3</w:t>
      </w:r>
      <w:r w:rsidRPr="00DD140B">
        <w:rPr>
          <w:rFonts w:ascii="Calibri" w:eastAsia="Malgun Gothic" w:hAnsi="Calibri"/>
          <w:noProof/>
          <w:sz w:val="22"/>
          <w:szCs w:val="22"/>
          <w:lang w:eastAsia="ko-KR"/>
        </w:rPr>
        <w:tab/>
      </w:r>
      <w:r>
        <w:rPr>
          <w:noProof/>
        </w:rPr>
        <w:t>Application Errors</w:t>
      </w:r>
      <w:r>
        <w:rPr>
          <w:noProof/>
        </w:rPr>
        <w:tab/>
      </w:r>
      <w:r>
        <w:rPr>
          <w:noProof/>
        </w:rPr>
        <w:fldChar w:fldCharType="begin" w:fldLock="1"/>
      </w:r>
      <w:r>
        <w:rPr>
          <w:noProof/>
        </w:rPr>
        <w:instrText xml:space="preserve"> PAGEREF _Toc153625974 \h </w:instrText>
      </w:r>
      <w:r>
        <w:rPr>
          <w:noProof/>
        </w:rPr>
      </w:r>
      <w:r>
        <w:rPr>
          <w:noProof/>
        </w:rPr>
        <w:fldChar w:fldCharType="separate"/>
      </w:r>
      <w:r>
        <w:rPr>
          <w:noProof/>
        </w:rPr>
        <w:t>366</w:t>
      </w:r>
      <w:r>
        <w:rPr>
          <w:noProof/>
        </w:rPr>
        <w:fldChar w:fldCharType="end"/>
      </w:r>
    </w:p>
    <w:p w:rsidR="007D56C6" w:rsidRPr="00DD140B" w:rsidRDefault="007D56C6">
      <w:pPr>
        <w:pStyle w:val="TOC1"/>
        <w:rPr>
          <w:rFonts w:ascii="Calibri" w:eastAsia="Malgun Gothic" w:hAnsi="Calibri"/>
          <w:noProof/>
          <w:szCs w:val="22"/>
          <w:lang w:eastAsia="ko-KR"/>
        </w:rPr>
      </w:pPr>
      <w:r>
        <w:rPr>
          <w:noProof/>
          <w:lang w:eastAsia="zh-CN"/>
        </w:rPr>
        <w:t>6</w:t>
      </w:r>
      <w:r w:rsidRPr="00DD140B">
        <w:rPr>
          <w:rFonts w:ascii="Calibri" w:eastAsia="Malgun Gothic" w:hAnsi="Calibri"/>
          <w:noProof/>
          <w:szCs w:val="22"/>
          <w:lang w:eastAsia="ko-KR"/>
        </w:rPr>
        <w:tab/>
      </w:r>
      <w:r>
        <w:rPr>
          <w:noProof/>
          <w:lang w:eastAsia="zh-CN"/>
        </w:rPr>
        <w:t>Security</w:t>
      </w:r>
      <w:r>
        <w:rPr>
          <w:noProof/>
        </w:rPr>
        <w:tab/>
      </w:r>
      <w:r>
        <w:rPr>
          <w:noProof/>
        </w:rPr>
        <w:fldChar w:fldCharType="begin" w:fldLock="1"/>
      </w:r>
      <w:r>
        <w:rPr>
          <w:noProof/>
        </w:rPr>
        <w:instrText xml:space="preserve"> PAGEREF _Toc153625975 \h </w:instrText>
      </w:r>
      <w:r>
        <w:rPr>
          <w:noProof/>
        </w:rPr>
      </w:r>
      <w:r>
        <w:rPr>
          <w:noProof/>
        </w:rPr>
        <w:fldChar w:fldCharType="separate"/>
      </w:r>
      <w:r>
        <w:rPr>
          <w:noProof/>
        </w:rPr>
        <w:t>367</w:t>
      </w:r>
      <w:r>
        <w:rPr>
          <w:noProof/>
        </w:rPr>
        <w:fldChar w:fldCharType="end"/>
      </w:r>
    </w:p>
    <w:p w:rsidR="007D56C6" w:rsidRPr="00DD140B" w:rsidRDefault="007D56C6">
      <w:pPr>
        <w:pStyle w:val="TOC1"/>
        <w:rPr>
          <w:rFonts w:ascii="Calibri" w:eastAsia="Malgun Gothic" w:hAnsi="Calibri"/>
          <w:noProof/>
          <w:szCs w:val="22"/>
          <w:lang w:eastAsia="ko-KR"/>
        </w:rPr>
      </w:pPr>
      <w:r>
        <w:rPr>
          <w:noProof/>
        </w:rPr>
        <w:t>7</w:t>
      </w:r>
      <w:r w:rsidRPr="00DD140B">
        <w:rPr>
          <w:rFonts w:ascii="Calibri" w:eastAsia="Malgun Gothic" w:hAnsi="Calibri"/>
          <w:noProof/>
          <w:szCs w:val="22"/>
          <w:lang w:eastAsia="ko-KR"/>
        </w:rPr>
        <w:tab/>
      </w:r>
      <w:r>
        <w:rPr>
          <w:noProof/>
        </w:rPr>
        <w:t>Using Common API Framework</w:t>
      </w:r>
      <w:r>
        <w:rPr>
          <w:noProof/>
        </w:rPr>
        <w:tab/>
      </w:r>
      <w:r>
        <w:rPr>
          <w:noProof/>
        </w:rPr>
        <w:fldChar w:fldCharType="begin" w:fldLock="1"/>
      </w:r>
      <w:r>
        <w:rPr>
          <w:noProof/>
        </w:rPr>
        <w:instrText xml:space="preserve"> PAGEREF _Toc153625976 \h </w:instrText>
      </w:r>
      <w:r>
        <w:rPr>
          <w:noProof/>
        </w:rPr>
      </w:r>
      <w:r>
        <w:rPr>
          <w:noProof/>
        </w:rPr>
        <w:fldChar w:fldCharType="separate"/>
      </w:r>
      <w:r>
        <w:rPr>
          <w:noProof/>
        </w:rPr>
        <w:t>367</w:t>
      </w:r>
      <w:r>
        <w:rPr>
          <w:noProof/>
        </w:rPr>
        <w:fldChar w:fldCharType="end"/>
      </w:r>
    </w:p>
    <w:p w:rsidR="007D56C6" w:rsidRPr="00DD140B" w:rsidRDefault="007D56C6">
      <w:pPr>
        <w:pStyle w:val="TOC2"/>
        <w:rPr>
          <w:rFonts w:ascii="Calibri" w:eastAsia="Malgun Gothic" w:hAnsi="Calibri"/>
          <w:noProof/>
          <w:sz w:val="22"/>
          <w:szCs w:val="22"/>
          <w:lang w:eastAsia="ko-KR"/>
        </w:rPr>
      </w:pPr>
      <w:r>
        <w:rPr>
          <w:noProof/>
        </w:rPr>
        <w:t>7.1</w:t>
      </w:r>
      <w:r w:rsidRPr="00DD140B">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_Toc153625977 \h </w:instrText>
      </w:r>
      <w:r>
        <w:rPr>
          <w:noProof/>
        </w:rPr>
      </w:r>
      <w:r>
        <w:rPr>
          <w:noProof/>
        </w:rPr>
        <w:fldChar w:fldCharType="separate"/>
      </w:r>
      <w:r>
        <w:rPr>
          <w:noProof/>
        </w:rPr>
        <w:t>367</w:t>
      </w:r>
      <w:r>
        <w:rPr>
          <w:noProof/>
        </w:rPr>
        <w:fldChar w:fldCharType="end"/>
      </w:r>
    </w:p>
    <w:p w:rsidR="007D56C6" w:rsidRPr="00DD140B" w:rsidRDefault="007D56C6">
      <w:pPr>
        <w:pStyle w:val="TOC2"/>
        <w:rPr>
          <w:rFonts w:ascii="Calibri" w:eastAsia="Malgun Gothic" w:hAnsi="Calibri"/>
          <w:noProof/>
          <w:sz w:val="22"/>
          <w:szCs w:val="22"/>
          <w:lang w:eastAsia="ko-KR"/>
        </w:rPr>
      </w:pPr>
      <w:r>
        <w:rPr>
          <w:noProof/>
        </w:rPr>
        <w:t>7.2</w:t>
      </w:r>
      <w:r w:rsidRPr="00DD140B">
        <w:rPr>
          <w:rFonts w:ascii="Calibri" w:eastAsia="Malgun Gothic" w:hAnsi="Calibri"/>
          <w:noProof/>
          <w:sz w:val="22"/>
          <w:szCs w:val="22"/>
          <w:lang w:eastAsia="ko-KR"/>
        </w:rPr>
        <w:tab/>
      </w:r>
      <w:r>
        <w:rPr>
          <w:noProof/>
        </w:rPr>
        <w:t>Security</w:t>
      </w:r>
      <w:r>
        <w:rPr>
          <w:noProof/>
        </w:rPr>
        <w:tab/>
      </w:r>
      <w:r>
        <w:rPr>
          <w:noProof/>
        </w:rPr>
        <w:fldChar w:fldCharType="begin" w:fldLock="1"/>
      </w:r>
      <w:r>
        <w:rPr>
          <w:noProof/>
        </w:rPr>
        <w:instrText xml:space="preserve"> PAGEREF _Toc153625978 \h </w:instrText>
      </w:r>
      <w:r>
        <w:rPr>
          <w:noProof/>
        </w:rPr>
      </w:r>
      <w:r>
        <w:rPr>
          <w:noProof/>
        </w:rPr>
        <w:fldChar w:fldCharType="separate"/>
      </w:r>
      <w:r>
        <w:rPr>
          <w:noProof/>
        </w:rPr>
        <w:t>367</w:t>
      </w:r>
      <w:r>
        <w:rPr>
          <w:noProof/>
        </w:rPr>
        <w:fldChar w:fldCharType="end"/>
      </w:r>
    </w:p>
    <w:p w:rsidR="007D56C6" w:rsidRPr="00DD140B" w:rsidRDefault="007D56C6">
      <w:pPr>
        <w:pStyle w:val="TOC8"/>
        <w:rPr>
          <w:rFonts w:ascii="Calibri" w:eastAsia="Malgun Gothic" w:hAnsi="Calibri"/>
          <w:b w:val="0"/>
          <w:noProof/>
          <w:szCs w:val="22"/>
          <w:lang w:eastAsia="ko-KR"/>
        </w:rPr>
      </w:pPr>
      <w:r>
        <w:rPr>
          <w:noProof/>
        </w:rPr>
        <w:t>Annex A (normative):</w:t>
      </w:r>
      <w:r>
        <w:rPr>
          <w:noProof/>
          <w:lang w:eastAsia="zh-CN"/>
        </w:rPr>
        <w:t xml:space="preserve"> </w:t>
      </w:r>
      <w:r>
        <w:rPr>
          <w:noProof/>
        </w:rPr>
        <w:t>OpenAPI representation for the APIs defined in the present document</w:t>
      </w:r>
      <w:r>
        <w:rPr>
          <w:noProof/>
        </w:rPr>
        <w:tab/>
      </w:r>
      <w:r>
        <w:rPr>
          <w:noProof/>
        </w:rPr>
        <w:fldChar w:fldCharType="begin" w:fldLock="1"/>
      </w:r>
      <w:r>
        <w:rPr>
          <w:noProof/>
        </w:rPr>
        <w:instrText xml:space="preserve"> PAGEREF _Toc153625979 \h </w:instrText>
      </w:r>
      <w:r>
        <w:rPr>
          <w:noProof/>
        </w:rPr>
      </w:r>
      <w:r>
        <w:rPr>
          <w:noProof/>
        </w:rPr>
        <w:fldChar w:fldCharType="separate"/>
      </w:r>
      <w:r>
        <w:rPr>
          <w:noProof/>
        </w:rPr>
        <w:t>369</w:t>
      </w:r>
      <w:r>
        <w:rPr>
          <w:noProof/>
        </w:rPr>
        <w:fldChar w:fldCharType="end"/>
      </w:r>
    </w:p>
    <w:p w:rsidR="007D56C6" w:rsidRPr="00DD140B" w:rsidRDefault="007D56C6">
      <w:pPr>
        <w:pStyle w:val="TOC1"/>
        <w:rPr>
          <w:rFonts w:ascii="Calibri" w:eastAsia="Malgun Gothic" w:hAnsi="Calibri"/>
          <w:noProof/>
          <w:szCs w:val="22"/>
          <w:lang w:eastAsia="ko-KR"/>
        </w:rPr>
      </w:pPr>
      <w:r>
        <w:rPr>
          <w:noProof/>
        </w:rPr>
        <w:t>A.1</w:t>
      </w:r>
      <w:r w:rsidRPr="00DD140B">
        <w:rPr>
          <w:rFonts w:ascii="Calibri" w:eastAsia="Malgun Gothic" w:hAnsi="Calibri"/>
          <w:noProof/>
          <w:szCs w:val="22"/>
          <w:lang w:eastAsia="ko-KR"/>
        </w:rPr>
        <w:tab/>
      </w:r>
      <w:r>
        <w:rPr>
          <w:noProof/>
        </w:rPr>
        <w:t>General</w:t>
      </w:r>
      <w:r>
        <w:rPr>
          <w:noProof/>
        </w:rPr>
        <w:tab/>
      </w:r>
      <w:r>
        <w:rPr>
          <w:noProof/>
        </w:rPr>
        <w:fldChar w:fldCharType="begin" w:fldLock="1"/>
      </w:r>
      <w:r>
        <w:rPr>
          <w:noProof/>
        </w:rPr>
        <w:instrText xml:space="preserve"> PAGEREF _Toc153625980 \h </w:instrText>
      </w:r>
      <w:r>
        <w:rPr>
          <w:noProof/>
        </w:rPr>
      </w:r>
      <w:r>
        <w:rPr>
          <w:noProof/>
        </w:rPr>
        <w:fldChar w:fldCharType="separate"/>
      </w:r>
      <w:r>
        <w:rPr>
          <w:noProof/>
        </w:rPr>
        <w:t>369</w:t>
      </w:r>
      <w:r>
        <w:rPr>
          <w:noProof/>
        </w:rPr>
        <w:fldChar w:fldCharType="end"/>
      </w:r>
    </w:p>
    <w:p w:rsidR="007D56C6" w:rsidRPr="00DD140B" w:rsidRDefault="007D56C6">
      <w:pPr>
        <w:pStyle w:val="TOC1"/>
        <w:rPr>
          <w:rFonts w:ascii="Calibri" w:eastAsia="Malgun Gothic" w:hAnsi="Calibri"/>
          <w:noProof/>
          <w:szCs w:val="22"/>
          <w:lang w:eastAsia="ko-KR"/>
        </w:rPr>
      </w:pPr>
      <w:r>
        <w:rPr>
          <w:noProof/>
        </w:rPr>
        <w:t>A.2</w:t>
      </w:r>
      <w:r w:rsidRPr="00DD140B">
        <w:rPr>
          <w:rFonts w:ascii="Calibri" w:eastAsia="Malgun Gothic" w:hAnsi="Calibri"/>
          <w:noProof/>
          <w:szCs w:val="22"/>
          <w:lang w:eastAsia="ko-KR"/>
        </w:rPr>
        <w:tab/>
      </w:r>
      <w:r>
        <w:rPr>
          <w:noProof/>
        </w:rPr>
        <w:t>Data Types applicable to several APIs</w:t>
      </w:r>
      <w:r>
        <w:rPr>
          <w:noProof/>
        </w:rPr>
        <w:tab/>
      </w:r>
      <w:r>
        <w:rPr>
          <w:noProof/>
        </w:rPr>
        <w:fldChar w:fldCharType="begin" w:fldLock="1"/>
      </w:r>
      <w:r>
        <w:rPr>
          <w:noProof/>
        </w:rPr>
        <w:instrText xml:space="preserve"> PAGEREF _Toc153625981 \h </w:instrText>
      </w:r>
      <w:r>
        <w:rPr>
          <w:noProof/>
        </w:rPr>
      </w:r>
      <w:r>
        <w:rPr>
          <w:noProof/>
        </w:rPr>
        <w:fldChar w:fldCharType="separate"/>
      </w:r>
      <w:r>
        <w:rPr>
          <w:noProof/>
        </w:rPr>
        <w:t>369</w:t>
      </w:r>
      <w:r>
        <w:rPr>
          <w:noProof/>
        </w:rPr>
        <w:fldChar w:fldCharType="end"/>
      </w:r>
    </w:p>
    <w:p w:rsidR="007D56C6" w:rsidRPr="00DD140B" w:rsidRDefault="007D56C6">
      <w:pPr>
        <w:pStyle w:val="TOC1"/>
        <w:rPr>
          <w:rFonts w:ascii="Calibri" w:eastAsia="Malgun Gothic" w:hAnsi="Calibri"/>
          <w:noProof/>
          <w:szCs w:val="22"/>
          <w:lang w:eastAsia="ko-KR"/>
        </w:rPr>
      </w:pPr>
      <w:r>
        <w:rPr>
          <w:noProof/>
        </w:rPr>
        <w:t>A.3</w:t>
      </w:r>
      <w:r w:rsidRPr="00DD140B">
        <w:rPr>
          <w:rFonts w:ascii="Calibri" w:eastAsia="Malgun Gothic" w:hAnsi="Calibri"/>
          <w:noProof/>
          <w:szCs w:val="22"/>
          <w:lang w:eastAsia="ko-KR"/>
        </w:rPr>
        <w:tab/>
      </w:r>
      <w:r>
        <w:rPr>
          <w:noProof/>
        </w:rPr>
        <w:t>MonitoringEvent API</w:t>
      </w:r>
      <w:r>
        <w:rPr>
          <w:noProof/>
        </w:rPr>
        <w:tab/>
      </w:r>
      <w:r>
        <w:rPr>
          <w:noProof/>
        </w:rPr>
        <w:fldChar w:fldCharType="begin" w:fldLock="1"/>
      </w:r>
      <w:r>
        <w:rPr>
          <w:noProof/>
        </w:rPr>
        <w:instrText xml:space="preserve"> PAGEREF _Toc153625982 \h </w:instrText>
      </w:r>
      <w:r>
        <w:rPr>
          <w:noProof/>
        </w:rPr>
      </w:r>
      <w:r>
        <w:rPr>
          <w:noProof/>
        </w:rPr>
        <w:fldChar w:fldCharType="separate"/>
      </w:r>
      <w:r>
        <w:rPr>
          <w:noProof/>
        </w:rPr>
        <w:t>378</w:t>
      </w:r>
      <w:r>
        <w:rPr>
          <w:noProof/>
        </w:rPr>
        <w:fldChar w:fldCharType="end"/>
      </w:r>
    </w:p>
    <w:p w:rsidR="007D56C6" w:rsidRPr="00DD140B" w:rsidRDefault="007D56C6">
      <w:pPr>
        <w:pStyle w:val="TOC1"/>
        <w:rPr>
          <w:rFonts w:ascii="Calibri" w:eastAsia="Malgun Gothic" w:hAnsi="Calibri"/>
          <w:noProof/>
          <w:szCs w:val="22"/>
          <w:lang w:eastAsia="ko-KR"/>
        </w:rPr>
      </w:pPr>
      <w:r>
        <w:rPr>
          <w:noProof/>
        </w:rPr>
        <w:t>A.4</w:t>
      </w:r>
      <w:r w:rsidRPr="00DD140B">
        <w:rPr>
          <w:rFonts w:ascii="Calibri" w:eastAsia="Malgun Gothic" w:hAnsi="Calibri"/>
          <w:noProof/>
          <w:szCs w:val="22"/>
          <w:lang w:eastAsia="ko-KR"/>
        </w:rPr>
        <w:tab/>
      </w:r>
      <w:r>
        <w:rPr>
          <w:noProof/>
        </w:rPr>
        <w:t>ResourceManagementOfBdt API</w:t>
      </w:r>
      <w:r>
        <w:rPr>
          <w:noProof/>
        </w:rPr>
        <w:tab/>
      </w:r>
      <w:r>
        <w:rPr>
          <w:noProof/>
        </w:rPr>
        <w:fldChar w:fldCharType="begin" w:fldLock="1"/>
      </w:r>
      <w:r>
        <w:rPr>
          <w:noProof/>
        </w:rPr>
        <w:instrText xml:space="preserve"> PAGEREF _Toc153625983 \h </w:instrText>
      </w:r>
      <w:r>
        <w:rPr>
          <w:noProof/>
        </w:rPr>
      </w:r>
      <w:r>
        <w:rPr>
          <w:noProof/>
        </w:rPr>
        <w:fldChar w:fldCharType="separate"/>
      </w:r>
      <w:r>
        <w:rPr>
          <w:noProof/>
        </w:rPr>
        <w:t>397</w:t>
      </w:r>
      <w:r>
        <w:rPr>
          <w:noProof/>
        </w:rPr>
        <w:fldChar w:fldCharType="end"/>
      </w:r>
    </w:p>
    <w:p w:rsidR="007D56C6" w:rsidRPr="00DD140B" w:rsidRDefault="007D56C6">
      <w:pPr>
        <w:pStyle w:val="TOC1"/>
        <w:rPr>
          <w:rFonts w:ascii="Calibri" w:eastAsia="Malgun Gothic" w:hAnsi="Calibri"/>
          <w:noProof/>
          <w:szCs w:val="22"/>
          <w:lang w:eastAsia="ko-KR"/>
        </w:rPr>
      </w:pPr>
      <w:r>
        <w:rPr>
          <w:noProof/>
        </w:rPr>
        <w:t>A.5</w:t>
      </w:r>
      <w:r w:rsidRPr="00DD140B">
        <w:rPr>
          <w:rFonts w:ascii="Calibri" w:eastAsia="Malgun Gothic" w:hAnsi="Calibri"/>
          <w:noProof/>
          <w:szCs w:val="22"/>
          <w:lang w:eastAsia="ko-KR"/>
        </w:rPr>
        <w:tab/>
      </w:r>
      <w:r>
        <w:rPr>
          <w:noProof/>
        </w:rPr>
        <w:t>ChargeableParty API</w:t>
      </w:r>
      <w:r>
        <w:rPr>
          <w:noProof/>
        </w:rPr>
        <w:tab/>
      </w:r>
      <w:r>
        <w:rPr>
          <w:noProof/>
        </w:rPr>
        <w:fldChar w:fldCharType="begin" w:fldLock="1"/>
      </w:r>
      <w:r>
        <w:rPr>
          <w:noProof/>
        </w:rPr>
        <w:instrText xml:space="preserve"> PAGEREF _Toc153625984 \h </w:instrText>
      </w:r>
      <w:r>
        <w:rPr>
          <w:noProof/>
        </w:rPr>
      </w:r>
      <w:r>
        <w:rPr>
          <w:noProof/>
        </w:rPr>
        <w:fldChar w:fldCharType="separate"/>
      </w:r>
      <w:r>
        <w:rPr>
          <w:noProof/>
        </w:rPr>
        <w:t>403</w:t>
      </w:r>
      <w:r>
        <w:rPr>
          <w:noProof/>
        </w:rPr>
        <w:fldChar w:fldCharType="end"/>
      </w:r>
    </w:p>
    <w:p w:rsidR="007D56C6" w:rsidRPr="00DD140B" w:rsidRDefault="007D56C6">
      <w:pPr>
        <w:pStyle w:val="TOC1"/>
        <w:rPr>
          <w:rFonts w:ascii="Calibri" w:eastAsia="Malgun Gothic" w:hAnsi="Calibri"/>
          <w:noProof/>
          <w:szCs w:val="22"/>
          <w:lang w:eastAsia="ko-KR"/>
        </w:rPr>
      </w:pPr>
      <w:r>
        <w:rPr>
          <w:noProof/>
        </w:rPr>
        <w:t>A.6</w:t>
      </w:r>
      <w:r w:rsidRPr="00DD140B">
        <w:rPr>
          <w:rFonts w:ascii="Calibri" w:eastAsia="Malgun Gothic" w:hAnsi="Calibri"/>
          <w:noProof/>
          <w:szCs w:val="22"/>
          <w:lang w:eastAsia="ko-KR"/>
        </w:rPr>
        <w:tab/>
      </w:r>
      <w:r>
        <w:rPr>
          <w:noProof/>
        </w:rPr>
        <w:t>NIDD API</w:t>
      </w:r>
      <w:r>
        <w:rPr>
          <w:noProof/>
        </w:rPr>
        <w:tab/>
      </w:r>
      <w:r>
        <w:rPr>
          <w:noProof/>
        </w:rPr>
        <w:fldChar w:fldCharType="begin" w:fldLock="1"/>
      </w:r>
      <w:r>
        <w:rPr>
          <w:noProof/>
        </w:rPr>
        <w:instrText xml:space="preserve"> PAGEREF _Toc153625985 \h </w:instrText>
      </w:r>
      <w:r>
        <w:rPr>
          <w:noProof/>
        </w:rPr>
      </w:r>
      <w:r>
        <w:rPr>
          <w:noProof/>
        </w:rPr>
        <w:fldChar w:fldCharType="separate"/>
      </w:r>
      <w:r>
        <w:rPr>
          <w:noProof/>
        </w:rPr>
        <w:t>408</w:t>
      </w:r>
      <w:r>
        <w:rPr>
          <w:noProof/>
        </w:rPr>
        <w:fldChar w:fldCharType="end"/>
      </w:r>
    </w:p>
    <w:p w:rsidR="007D56C6" w:rsidRPr="00DD140B" w:rsidRDefault="007D56C6">
      <w:pPr>
        <w:pStyle w:val="TOC1"/>
        <w:rPr>
          <w:rFonts w:ascii="Calibri" w:eastAsia="Malgun Gothic" w:hAnsi="Calibri"/>
          <w:noProof/>
          <w:szCs w:val="22"/>
          <w:lang w:eastAsia="ko-KR"/>
        </w:rPr>
      </w:pPr>
      <w:r>
        <w:rPr>
          <w:noProof/>
        </w:rPr>
        <w:t>A.7</w:t>
      </w:r>
      <w:r w:rsidRPr="00DD140B">
        <w:rPr>
          <w:rFonts w:ascii="Calibri" w:eastAsia="Malgun Gothic" w:hAnsi="Calibri"/>
          <w:noProof/>
          <w:szCs w:val="22"/>
          <w:lang w:eastAsia="ko-KR"/>
        </w:rPr>
        <w:tab/>
      </w:r>
      <w:r>
        <w:rPr>
          <w:noProof/>
        </w:rPr>
        <w:t>DeviceTriggering API</w:t>
      </w:r>
      <w:r>
        <w:rPr>
          <w:noProof/>
        </w:rPr>
        <w:tab/>
      </w:r>
      <w:r>
        <w:rPr>
          <w:noProof/>
        </w:rPr>
        <w:fldChar w:fldCharType="begin" w:fldLock="1"/>
      </w:r>
      <w:r>
        <w:rPr>
          <w:noProof/>
        </w:rPr>
        <w:instrText xml:space="preserve"> PAGEREF _Toc153625986 \h </w:instrText>
      </w:r>
      <w:r>
        <w:rPr>
          <w:noProof/>
        </w:rPr>
      </w:r>
      <w:r>
        <w:rPr>
          <w:noProof/>
        </w:rPr>
        <w:fldChar w:fldCharType="separate"/>
      </w:r>
      <w:r>
        <w:rPr>
          <w:noProof/>
        </w:rPr>
        <w:t>425</w:t>
      </w:r>
      <w:r>
        <w:rPr>
          <w:noProof/>
        </w:rPr>
        <w:fldChar w:fldCharType="end"/>
      </w:r>
    </w:p>
    <w:p w:rsidR="007D56C6" w:rsidRPr="00DD140B" w:rsidRDefault="007D56C6">
      <w:pPr>
        <w:pStyle w:val="TOC1"/>
        <w:rPr>
          <w:rFonts w:ascii="Calibri" w:eastAsia="Malgun Gothic" w:hAnsi="Calibri"/>
          <w:noProof/>
          <w:szCs w:val="22"/>
          <w:lang w:eastAsia="ko-KR"/>
        </w:rPr>
      </w:pPr>
      <w:r>
        <w:rPr>
          <w:noProof/>
        </w:rPr>
        <w:t>A.8</w:t>
      </w:r>
      <w:r w:rsidRPr="00DD140B">
        <w:rPr>
          <w:rFonts w:ascii="Calibri" w:eastAsia="Malgun Gothic" w:hAnsi="Calibri"/>
          <w:noProof/>
          <w:szCs w:val="22"/>
          <w:lang w:eastAsia="ko-KR"/>
        </w:rPr>
        <w:tab/>
      </w:r>
      <w:r>
        <w:rPr>
          <w:noProof/>
        </w:rPr>
        <w:t>GMDViaMBMS APIs</w:t>
      </w:r>
      <w:r>
        <w:rPr>
          <w:noProof/>
        </w:rPr>
        <w:tab/>
      </w:r>
      <w:r>
        <w:rPr>
          <w:noProof/>
        </w:rPr>
        <w:fldChar w:fldCharType="begin" w:fldLock="1"/>
      </w:r>
      <w:r>
        <w:rPr>
          <w:noProof/>
        </w:rPr>
        <w:instrText xml:space="preserve"> PAGEREF _Toc153625987 \h </w:instrText>
      </w:r>
      <w:r>
        <w:rPr>
          <w:noProof/>
        </w:rPr>
      </w:r>
      <w:r>
        <w:rPr>
          <w:noProof/>
        </w:rPr>
        <w:fldChar w:fldCharType="separate"/>
      </w:r>
      <w:r>
        <w:rPr>
          <w:noProof/>
        </w:rPr>
        <w:t>432</w:t>
      </w:r>
      <w:r>
        <w:rPr>
          <w:noProof/>
        </w:rPr>
        <w:fldChar w:fldCharType="end"/>
      </w:r>
    </w:p>
    <w:p w:rsidR="007D56C6" w:rsidRPr="00DD140B" w:rsidRDefault="007D56C6">
      <w:pPr>
        <w:pStyle w:val="TOC2"/>
        <w:rPr>
          <w:rFonts w:ascii="Calibri" w:eastAsia="Malgun Gothic" w:hAnsi="Calibri"/>
          <w:noProof/>
          <w:sz w:val="22"/>
          <w:szCs w:val="22"/>
          <w:lang w:eastAsia="ko-KR"/>
        </w:rPr>
      </w:pPr>
      <w:r>
        <w:rPr>
          <w:noProof/>
        </w:rPr>
        <w:t>A.8.1</w:t>
      </w:r>
      <w:r w:rsidRPr="00DD140B">
        <w:rPr>
          <w:rFonts w:ascii="Calibri" w:eastAsia="Malgun Gothic" w:hAnsi="Calibri"/>
          <w:noProof/>
          <w:sz w:val="22"/>
          <w:szCs w:val="22"/>
          <w:lang w:eastAsia="ko-KR"/>
        </w:rPr>
        <w:tab/>
      </w:r>
      <w:r>
        <w:rPr>
          <w:noProof/>
        </w:rPr>
        <w:t>GMDviaMBMSbyMB2 API</w:t>
      </w:r>
      <w:r>
        <w:rPr>
          <w:noProof/>
        </w:rPr>
        <w:tab/>
      </w:r>
      <w:r>
        <w:rPr>
          <w:noProof/>
        </w:rPr>
        <w:fldChar w:fldCharType="begin" w:fldLock="1"/>
      </w:r>
      <w:r>
        <w:rPr>
          <w:noProof/>
        </w:rPr>
        <w:instrText xml:space="preserve"> PAGEREF _Toc153625988 \h </w:instrText>
      </w:r>
      <w:r>
        <w:rPr>
          <w:noProof/>
        </w:rPr>
      </w:r>
      <w:r>
        <w:rPr>
          <w:noProof/>
        </w:rPr>
        <w:fldChar w:fldCharType="separate"/>
      </w:r>
      <w:r>
        <w:rPr>
          <w:noProof/>
        </w:rPr>
        <w:t>432</w:t>
      </w:r>
      <w:r>
        <w:rPr>
          <w:noProof/>
        </w:rPr>
        <w:fldChar w:fldCharType="end"/>
      </w:r>
    </w:p>
    <w:p w:rsidR="007D56C6" w:rsidRPr="00DD140B" w:rsidRDefault="007D56C6">
      <w:pPr>
        <w:pStyle w:val="TOC2"/>
        <w:rPr>
          <w:rFonts w:ascii="Calibri" w:eastAsia="Malgun Gothic" w:hAnsi="Calibri"/>
          <w:noProof/>
          <w:sz w:val="22"/>
          <w:szCs w:val="22"/>
          <w:lang w:eastAsia="ko-KR"/>
        </w:rPr>
      </w:pPr>
      <w:r>
        <w:rPr>
          <w:noProof/>
        </w:rPr>
        <w:t>A.8.2</w:t>
      </w:r>
      <w:r w:rsidRPr="00DD140B">
        <w:rPr>
          <w:rFonts w:ascii="Calibri" w:eastAsia="Malgun Gothic" w:hAnsi="Calibri"/>
          <w:noProof/>
          <w:sz w:val="22"/>
          <w:szCs w:val="22"/>
          <w:lang w:eastAsia="ko-KR"/>
        </w:rPr>
        <w:tab/>
      </w:r>
      <w:r>
        <w:rPr>
          <w:noProof/>
        </w:rPr>
        <w:t>GMDviaMBMSbyxMB API</w:t>
      </w:r>
      <w:r>
        <w:rPr>
          <w:noProof/>
        </w:rPr>
        <w:tab/>
      </w:r>
      <w:r>
        <w:rPr>
          <w:noProof/>
        </w:rPr>
        <w:fldChar w:fldCharType="begin" w:fldLock="1"/>
      </w:r>
      <w:r>
        <w:rPr>
          <w:noProof/>
        </w:rPr>
        <w:instrText xml:space="preserve"> PAGEREF _Toc153625989 \h </w:instrText>
      </w:r>
      <w:r>
        <w:rPr>
          <w:noProof/>
        </w:rPr>
      </w:r>
      <w:r>
        <w:rPr>
          <w:noProof/>
        </w:rPr>
        <w:fldChar w:fldCharType="separate"/>
      </w:r>
      <w:r>
        <w:rPr>
          <w:noProof/>
        </w:rPr>
        <w:t>444</w:t>
      </w:r>
      <w:r>
        <w:rPr>
          <w:noProof/>
        </w:rPr>
        <w:fldChar w:fldCharType="end"/>
      </w:r>
    </w:p>
    <w:p w:rsidR="007D56C6" w:rsidRPr="00DD140B" w:rsidRDefault="007D56C6">
      <w:pPr>
        <w:pStyle w:val="TOC1"/>
        <w:rPr>
          <w:rFonts w:ascii="Calibri" w:eastAsia="Malgun Gothic" w:hAnsi="Calibri"/>
          <w:noProof/>
          <w:szCs w:val="22"/>
          <w:lang w:eastAsia="ko-KR"/>
        </w:rPr>
      </w:pPr>
      <w:r>
        <w:rPr>
          <w:noProof/>
        </w:rPr>
        <w:t>A.9</w:t>
      </w:r>
      <w:r w:rsidRPr="00DD140B">
        <w:rPr>
          <w:rFonts w:ascii="Calibri" w:eastAsia="Malgun Gothic" w:hAnsi="Calibri"/>
          <w:noProof/>
          <w:szCs w:val="22"/>
          <w:lang w:eastAsia="ko-KR"/>
        </w:rPr>
        <w:tab/>
      </w:r>
      <w:r>
        <w:rPr>
          <w:noProof/>
        </w:rPr>
        <w:t>ReportingNetworkStatus API</w:t>
      </w:r>
      <w:r>
        <w:rPr>
          <w:noProof/>
        </w:rPr>
        <w:tab/>
      </w:r>
      <w:r>
        <w:rPr>
          <w:noProof/>
        </w:rPr>
        <w:fldChar w:fldCharType="begin" w:fldLock="1"/>
      </w:r>
      <w:r>
        <w:rPr>
          <w:noProof/>
        </w:rPr>
        <w:instrText xml:space="preserve"> PAGEREF _Toc153625990 \h </w:instrText>
      </w:r>
      <w:r>
        <w:rPr>
          <w:noProof/>
        </w:rPr>
      </w:r>
      <w:r>
        <w:rPr>
          <w:noProof/>
        </w:rPr>
        <w:fldChar w:fldCharType="separate"/>
      </w:r>
      <w:r>
        <w:rPr>
          <w:noProof/>
        </w:rPr>
        <w:t>454</w:t>
      </w:r>
      <w:r>
        <w:rPr>
          <w:noProof/>
        </w:rPr>
        <w:fldChar w:fldCharType="end"/>
      </w:r>
    </w:p>
    <w:p w:rsidR="007D56C6" w:rsidRPr="00DD140B" w:rsidRDefault="007D56C6">
      <w:pPr>
        <w:pStyle w:val="TOC1"/>
        <w:rPr>
          <w:rFonts w:ascii="Calibri" w:eastAsia="Malgun Gothic" w:hAnsi="Calibri"/>
          <w:noProof/>
          <w:szCs w:val="22"/>
          <w:lang w:eastAsia="ko-KR"/>
        </w:rPr>
      </w:pPr>
      <w:r>
        <w:rPr>
          <w:noProof/>
        </w:rPr>
        <w:t>A.10</w:t>
      </w:r>
      <w:r w:rsidRPr="00DD140B">
        <w:rPr>
          <w:rFonts w:ascii="Calibri" w:eastAsia="Malgun Gothic" w:hAnsi="Calibri"/>
          <w:noProof/>
          <w:szCs w:val="22"/>
          <w:lang w:eastAsia="ko-KR"/>
        </w:rPr>
        <w:tab/>
      </w:r>
      <w:r>
        <w:rPr>
          <w:noProof/>
        </w:rPr>
        <w:t>CpProvisioning API</w:t>
      </w:r>
      <w:r>
        <w:rPr>
          <w:noProof/>
        </w:rPr>
        <w:tab/>
      </w:r>
      <w:r>
        <w:rPr>
          <w:noProof/>
        </w:rPr>
        <w:fldChar w:fldCharType="begin" w:fldLock="1"/>
      </w:r>
      <w:r>
        <w:rPr>
          <w:noProof/>
        </w:rPr>
        <w:instrText xml:space="preserve"> PAGEREF _Toc153625991 \h </w:instrText>
      </w:r>
      <w:r>
        <w:rPr>
          <w:noProof/>
        </w:rPr>
      </w:r>
      <w:r>
        <w:rPr>
          <w:noProof/>
        </w:rPr>
        <w:fldChar w:fldCharType="separate"/>
      </w:r>
      <w:r>
        <w:rPr>
          <w:noProof/>
        </w:rPr>
        <w:t>460</w:t>
      </w:r>
      <w:r>
        <w:rPr>
          <w:noProof/>
        </w:rPr>
        <w:fldChar w:fldCharType="end"/>
      </w:r>
    </w:p>
    <w:p w:rsidR="007D56C6" w:rsidRPr="00DD140B" w:rsidRDefault="007D56C6">
      <w:pPr>
        <w:pStyle w:val="TOC1"/>
        <w:rPr>
          <w:rFonts w:ascii="Calibri" w:eastAsia="Malgun Gothic" w:hAnsi="Calibri"/>
          <w:noProof/>
          <w:szCs w:val="22"/>
          <w:lang w:eastAsia="ko-KR"/>
        </w:rPr>
      </w:pPr>
      <w:r>
        <w:rPr>
          <w:noProof/>
        </w:rPr>
        <w:t>A.11</w:t>
      </w:r>
      <w:r w:rsidRPr="00DD140B">
        <w:rPr>
          <w:rFonts w:ascii="Calibri" w:eastAsia="Malgun Gothic" w:hAnsi="Calibri"/>
          <w:noProof/>
          <w:szCs w:val="22"/>
          <w:lang w:eastAsia="ko-KR"/>
        </w:rPr>
        <w:tab/>
      </w:r>
      <w:r>
        <w:rPr>
          <w:noProof/>
        </w:rPr>
        <w:t>PfdManagement API</w:t>
      </w:r>
      <w:r>
        <w:rPr>
          <w:noProof/>
        </w:rPr>
        <w:tab/>
      </w:r>
      <w:r>
        <w:rPr>
          <w:noProof/>
        </w:rPr>
        <w:fldChar w:fldCharType="begin" w:fldLock="1"/>
      </w:r>
      <w:r>
        <w:rPr>
          <w:noProof/>
        </w:rPr>
        <w:instrText xml:space="preserve"> PAGEREF _Toc153625992 \h </w:instrText>
      </w:r>
      <w:r>
        <w:rPr>
          <w:noProof/>
        </w:rPr>
      </w:r>
      <w:r>
        <w:rPr>
          <w:noProof/>
        </w:rPr>
        <w:fldChar w:fldCharType="separate"/>
      </w:r>
      <w:r>
        <w:rPr>
          <w:noProof/>
        </w:rPr>
        <w:t>470</w:t>
      </w:r>
      <w:r>
        <w:rPr>
          <w:noProof/>
        </w:rPr>
        <w:fldChar w:fldCharType="end"/>
      </w:r>
    </w:p>
    <w:p w:rsidR="007D56C6" w:rsidRPr="00DD140B" w:rsidRDefault="007D56C6">
      <w:pPr>
        <w:pStyle w:val="TOC1"/>
        <w:rPr>
          <w:rFonts w:ascii="Calibri" w:eastAsia="Malgun Gothic" w:hAnsi="Calibri"/>
          <w:noProof/>
          <w:szCs w:val="22"/>
          <w:lang w:eastAsia="ko-KR"/>
        </w:rPr>
      </w:pPr>
      <w:r>
        <w:rPr>
          <w:noProof/>
        </w:rPr>
        <w:t>A.12</w:t>
      </w:r>
      <w:r w:rsidRPr="00DD140B">
        <w:rPr>
          <w:rFonts w:ascii="Calibri" w:eastAsia="Malgun Gothic" w:hAnsi="Calibri"/>
          <w:noProof/>
          <w:szCs w:val="22"/>
          <w:lang w:eastAsia="ko-KR"/>
        </w:rPr>
        <w:tab/>
      </w:r>
      <w:r>
        <w:rPr>
          <w:noProof/>
        </w:rPr>
        <w:t>ECRControl API</w:t>
      </w:r>
      <w:r>
        <w:rPr>
          <w:noProof/>
        </w:rPr>
        <w:tab/>
      </w:r>
      <w:r>
        <w:rPr>
          <w:noProof/>
        </w:rPr>
        <w:fldChar w:fldCharType="begin" w:fldLock="1"/>
      </w:r>
      <w:r>
        <w:rPr>
          <w:noProof/>
        </w:rPr>
        <w:instrText xml:space="preserve"> PAGEREF _Toc153625993 \h </w:instrText>
      </w:r>
      <w:r>
        <w:rPr>
          <w:noProof/>
        </w:rPr>
      </w:r>
      <w:r>
        <w:rPr>
          <w:noProof/>
        </w:rPr>
        <w:fldChar w:fldCharType="separate"/>
      </w:r>
      <w:r>
        <w:rPr>
          <w:noProof/>
        </w:rPr>
        <w:t>481</w:t>
      </w:r>
      <w:r>
        <w:rPr>
          <w:noProof/>
        </w:rPr>
        <w:fldChar w:fldCharType="end"/>
      </w:r>
    </w:p>
    <w:p w:rsidR="007D56C6" w:rsidRPr="00DD140B" w:rsidRDefault="007D56C6">
      <w:pPr>
        <w:pStyle w:val="TOC1"/>
        <w:rPr>
          <w:rFonts w:ascii="Calibri" w:eastAsia="Malgun Gothic" w:hAnsi="Calibri"/>
          <w:noProof/>
          <w:szCs w:val="22"/>
          <w:lang w:eastAsia="ko-KR"/>
        </w:rPr>
      </w:pPr>
      <w:r>
        <w:rPr>
          <w:noProof/>
        </w:rPr>
        <w:t>A.13</w:t>
      </w:r>
      <w:r w:rsidRPr="00DD140B">
        <w:rPr>
          <w:rFonts w:ascii="Calibri" w:eastAsia="Malgun Gothic" w:hAnsi="Calibri"/>
          <w:noProof/>
          <w:szCs w:val="22"/>
          <w:lang w:eastAsia="ko-KR"/>
        </w:rPr>
        <w:tab/>
      </w:r>
      <w:r>
        <w:rPr>
          <w:noProof/>
        </w:rPr>
        <w:t>NpConfiguration API</w:t>
      </w:r>
      <w:r>
        <w:rPr>
          <w:noProof/>
        </w:rPr>
        <w:tab/>
      </w:r>
      <w:r>
        <w:rPr>
          <w:noProof/>
        </w:rPr>
        <w:fldChar w:fldCharType="begin" w:fldLock="1"/>
      </w:r>
      <w:r>
        <w:rPr>
          <w:noProof/>
        </w:rPr>
        <w:instrText xml:space="preserve"> PAGEREF _Toc153625994 \h </w:instrText>
      </w:r>
      <w:r>
        <w:rPr>
          <w:noProof/>
        </w:rPr>
      </w:r>
      <w:r>
        <w:rPr>
          <w:noProof/>
        </w:rPr>
        <w:fldChar w:fldCharType="separate"/>
      </w:r>
      <w:r>
        <w:rPr>
          <w:noProof/>
        </w:rPr>
        <w:t>484</w:t>
      </w:r>
      <w:r>
        <w:rPr>
          <w:noProof/>
        </w:rPr>
        <w:fldChar w:fldCharType="end"/>
      </w:r>
    </w:p>
    <w:p w:rsidR="007D56C6" w:rsidRPr="00DD140B" w:rsidRDefault="007D56C6">
      <w:pPr>
        <w:pStyle w:val="TOC1"/>
        <w:rPr>
          <w:rFonts w:ascii="Calibri" w:eastAsia="Malgun Gothic" w:hAnsi="Calibri"/>
          <w:noProof/>
          <w:szCs w:val="22"/>
          <w:lang w:eastAsia="ko-KR"/>
        </w:rPr>
      </w:pPr>
      <w:r>
        <w:rPr>
          <w:noProof/>
        </w:rPr>
        <w:t>A.14</w:t>
      </w:r>
      <w:r w:rsidRPr="00DD140B">
        <w:rPr>
          <w:rFonts w:ascii="Calibri" w:eastAsia="Malgun Gothic" w:hAnsi="Calibri"/>
          <w:noProof/>
          <w:szCs w:val="22"/>
          <w:lang w:eastAsia="ko-KR"/>
        </w:rPr>
        <w:tab/>
      </w:r>
      <w:r>
        <w:rPr>
          <w:noProof/>
        </w:rPr>
        <w:t>AsSessionWithQoS API</w:t>
      </w:r>
      <w:r>
        <w:rPr>
          <w:noProof/>
        </w:rPr>
        <w:tab/>
      </w:r>
      <w:r>
        <w:rPr>
          <w:noProof/>
        </w:rPr>
        <w:fldChar w:fldCharType="begin" w:fldLock="1"/>
      </w:r>
      <w:r>
        <w:rPr>
          <w:noProof/>
        </w:rPr>
        <w:instrText xml:space="preserve"> PAGEREF _Toc153625995 \h </w:instrText>
      </w:r>
      <w:r>
        <w:rPr>
          <w:noProof/>
        </w:rPr>
      </w:r>
      <w:r>
        <w:rPr>
          <w:noProof/>
        </w:rPr>
        <w:fldChar w:fldCharType="separate"/>
      </w:r>
      <w:r>
        <w:rPr>
          <w:noProof/>
        </w:rPr>
        <w:t>490</w:t>
      </w:r>
      <w:r>
        <w:rPr>
          <w:noProof/>
        </w:rPr>
        <w:fldChar w:fldCharType="end"/>
      </w:r>
    </w:p>
    <w:p w:rsidR="007D56C6" w:rsidRPr="00DD140B" w:rsidRDefault="007D56C6">
      <w:pPr>
        <w:pStyle w:val="TOC1"/>
        <w:rPr>
          <w:rFonts w:ascii="Calibri" w:eastAsia="Malgun Gothic" w:hAnsi="Calibri"/>
          <w:noProof/>
          <w:szCs w:val="22"/>
          <w:lang w:eastAsia="ko-KR"/>
        </w:rPr>
      </w:pPr>
      <w:r>
        <w:rPr>
          <w:noProof/>
        </w:rPr>
        <w:t>A.15</w:t>
      </w:r>
      <w:r w:rsidRPr="00DD140B">
        <w:rPr>
          <w:rFonts w:ascii="Calibri" w:eastAsia="Malgun Gothic" w:hAnsi="Calibri"/>
          <w:noProof/>
          <w:szCs w:val="22"/>
          <w:lang w:eastAsia="ko-KR"/>
        </w:rPr>
        <w:tab/>
      </w:r>
      <w:r>
        <w:rPr>
          <w:noProof/>
        </w:rPr>
        <w:t>MsisdnLessMoSms API</w:t>
      </w:r>
      <w:r>
        <w:rPr>
          <w:noProof/>
        </w:rPr>
        <w:tab/>
      </w:r>
      <w:r>
        <w:rPr>
          <w:noProof/>
        </w:rPr>
        <w:fldChar w:fldCharType="begin" w:fldLock="1"/>
      </w:r>
      <w:r>
        <w:rPr>
          <w:noProof/>
        </w:rPr>
        <w:instrText xml:space="preserve"> PAGEREF _Toc153625996 \h </w:instrText>
      </w:r>
      <w:r>
        <w:rPr>
          <w:noProof/>
        </w:rPr>
      </w:r>
      <w:r>
        <w:rPr>
          <w:noProof/>
        </w:rPr>
        <w:fldChar w:fldCharType="separate"/>
      </w:r>
      <w:r>
        <w:rPr>
          <w:noProof/>
        </w:rPr>
        <w:t>506</w:t>
      </w:r>
      <w:r>
        <w:rPr>
          <w:noProof/>
        </w:rPr>
        <w:fldChar w:fldCharType="end"/>
      </w:r>
    </w:p>
    <w:p w:rsidR="007D56C6" w:rsidRPr="00DD140B" w:rsidRDefault="007D56C6">
      <w:pPr>
        <w:pStyle w:val="TOC1"/>
        <w:rPr>
          <w:rFonts w:ascii="Calibri" w:eastAsia="Malgun Gothic" w:hAnsi="Calibri"/>
          <w:noProof/>
          <w:szCs w:val="22"/>
          <w:lang w:eastAsia="ko-KR"/>
        </w:rPr>
      </w:pPr>
      <w:r>
        <w:rPr>
          <w:noProof/>
        </w:rPr>
        <w:t>A.16</w:t>
      </w:r>
      <w:r w:rsidRPr="00DD140B">
        <w:rPr>
          <w:rFonts w:ascii="Calibri" w:eastAsia="Malgun Gothic" w:hAnsi="Calibri"/>
          <w:noProof/>
          <w:szCs w:val="22"/>
          <w:lang w:eastAsia="ko-KR"/>
        </w:rPr>
        <w:tab/>
      </w:r>
      <w:r>
        <w:rPr>
          <w:noProof/>
        </w:rPr>
        <w:t>RacsParameterProvisioning API</w:t>
      </w:r>
      <w:r>
        <w:rPr>
          <w:noProof/>
        </w:rPr>
        <w:tab/>
      </w:r>
      <w:r>
        <w:rPr>
          <w:noProof/>
        </w:rPr>
        <w:fldChar w:fldCharType="begin" w:fldLock="1"/>
      </w:r>
      <w:r>
        <w:rPr>
          <w:noProof/>
        </w:rPr>
        <w:instrText xml:space="preserve"> PAGEREF _Toc153625997 \h </w:instrText>
      </w:r>
      <w:r>
        <w:rPr>
          <w:noProof/>
        </w:rPr>
      </w:r>
      <w:r>
        <w:rPr>
          <w:noProof/>
        </w:rPr>
        <w:fldChar w:fldCharType="separate"/>
      </w:r>
      <w:r>
        <w:rPr>
          <w:noProof/>
        </w:rPr>
        <w:t>507</w:t>
      </w:r>
      <w:r>
        <w:rPr>
          <w:noProof/>
        </w:rPr>
        <w:fldChar w:fldCharType="end"/>
      </w:r>
    </w:p>
    <w:p w:rsidR="007D56C6" w:rsidRPr="00DD140B" w:rsidRDefault="007D56C6">
      <w:pPr>
        <w:pStyle w:val="TOC8"/>
        <w:rPr>
          <w:rFonts w:ascii="Calibri" w:eastAsia="Malgun Gothic" w:hAnsi="Calibri"/>
          <w:b w:val="0"/>
          <w:noProof/>
          <w:szCs w:val="22"/>
          <w:lang w:eastAsia="ko-KR"/>
        </w:rPr>
      </w:pPr>
      <w:r>
        <w:rPr>
          <w:noProof/>
        </w:rPr>
        <w:t>Annex B (informative): TS Skeleton Template</w:t>
      </w:r>
      <w:r>
        <w:rPr>
          <w:noProof/>
        </w:rPr>
        <w:tab/>
      </w:r>
      <w:r>
        <w:rPr>
          <w:noProof/>
        </w:rPr>
        <w:fldChar w:fldCharType="begin" w:fldLock="1"/>
      </w:r>
      <w:r>
        <w:rPr>
          <w:noProof/>
        </w:rPr>
        <w:instrText xml:space="preserve"> PAGEREF _Toc153625998 \h </w:instrText>
      </w:r>
      <w:r>
        <w:rPr>
          <w:noProof/>
        </w:rPr>
      </w:r>
      <w:r>
        <w:rPr>
          <w:noProof/>
        </w:rPr>
        <w:fldChar w:fldCharType="separate"/>
      </w:r>
      <w:r>
        <w:rPr>
          <w:noProof/>
        </w:rPr>
        <w:t>514</w:t>
      </w:r>
      <w:r>
        <w:rPr>
          <w:noProof/>
        </w:rPr>
        <w:fldChar w:fldCharType="end"/>
      </w:r>
    </w:p>
    <w:p w:rsidR="007D56C6" w:rsidRPr="00DD140B" w:rsidRDefault="007D56C6">
      <w:pPr>
        <w:pStyle w:val="TOC8"/>
        <w:rPr>
          <w:rFonts w:ascii="Calibri" w:eastAsia="Malgun Gothic" w:hAnsi="Calibri"/>
          <w:b w:val="0"/>
          <w:noProof/>
          <w:szCs w:val="22"/>
          <w:lang w:eastAsia="ko-KR"/>
        </w:rPr>
      </w:pPr>
      <w:r>
        <w:rPr>
          <w:noProof/>
        </w:rPr>
        <w:t xml:space="preserve">Annex </w:t>
      </w:r>
      <w:r>
        <w:rPr>
          <w:noProof/>
          <w:lang w:eastAsia="zh-CN"/>
        </w:rPr>
        <w:t>C</w:t>
      </w:r>
      <w:r>
        <w:rPr>
          <w:noProof/>
        </w:rPr>
        <w:t xml:space="preserve"> (informative):</w:t>
      </w:r>
      <w:r>
        <w:rPr>
          <w:noProof/>
          <w:lang w:eastAsia="zh-CN"/>
        </w:rPr>
        <w:t xml:space="preserve"> </w:t>
      </w:r>
      <w:r>
        <w:rPr>
          <w:noProof/>
        </w:rPr>
        <w:t>Change history</w:t>
      </w:r>
      <w:r>
        <w:rPr>
          <w:noProof/>
        </w:rPr>
        <w:tab/>
      </w:r>
      <w:r>
        <w:rPr>
          <w:noProof/>
        </w:rPr>
        <w:fldChar w:fldCharType="begin" w:fldLock="1"/>
      </w:r>
      <w:r>
        <w:rPr>
          <w:noProof/>
        </w:rPr>
        <w:instrText xml:space="preserve"> PAGEREF _Toc153625999 \h </w:instrText>
      </w:r>
      <w:r>
        <w:rPr>
          <w:noProof/>
        </w:rPr>
      </w:r>
      <w:r>
        <w:rPr>
          <w:noProof/>
        </w:rPr>
        <w:fldChar w:fldCharType="separate"/>
      </w:r>
      <w:r>
        <w:rPr>
          <w:noProof/>
        </w:rPr>
        <w:t>515</w:t>
      </w:r>
      <w:r>
        <w:rPr>
          <w:noProof/>
        </w:rPr>
        <w:fldChar w:fldCharType="end"/>
      </w:r>
    </w:p>
    <w:p w:rsidR="00765F4D" w:rsidRPr="000A0A5F" w:rsidRDefault="00765F4D" w:rsidP="00765F4D">
      <w:r w:rsidRPr="000A0A5F">
        <w:rPr>
          <w:sz w:val="22"/>
        </w:rPr>
        <w:fldChar w:fldCharType="end"/>
      </w:r>
    </w:p>
    <w:p w:rsidR="00CB0DD7" w:rsidRPr="000A0A5F" w:rsidRDefault="00CB0DD7">
      <w:pPr>
        <w:pStyle w:val="Heading1"/>
        <w:ind w:left="0" w:firstLine="0"/>
      </w:pPr>
      <w:r w:rsidRPr="000A0A5F">
        <w:br w:type="page"/>
      </w:r>
      <w:bookmarkStart w:id="15" w:name="_Toc11247174"/>
      <w:bookmarkStart w:id="16" w:name="_Toc27044290"/>
      <w:bookmarkStart w:id="17" w:name="_Toc36033332"/>
      <w:bookmarkStart w:id="18" w:name="_Toc45131462"/>
      <w:bookmarkStart w:id="19" w:name="_Toc49775747"/>
      <w:bookmarkStart w:id="20" w:name="_Toc51746667"/>
      <w:bookmarkStart w:id="21" w:name="_Toc66360209"/>
      <w:bookmarkStart w:id="22" w:name="_Toc68104714"/>
      <w:bookmarkStart w:id="23" w:name="_Toc74755343"/>
      <w:bookmarkStart w:id="24" w:name="_Toc105674198"/>
      <w:bookmarkStart w:id="25" w:name="_Toc130502231"/>
      <w:bookmarkStart w:id="26" w:name="_Toc153625010"/>
      <w:r w:rsidRPr="000A0A5F">
        <w:t>Foreword</w:t>
      </w:r>
      <w:bookmarkEnd w:id="15"/>
      <w:bookmarkEnd w:id="16"/>
      <w:bookmarkEnd w:id="17"/>
      <w:bookmarkEnd w:id="18"/>
      <w:bookmarkEnd w:id="19"/>
      <w:bookmarkEnd w:id="20"/>
      <w:bookmarkEnd w:id="21"/>
      <w:bookmarkEnd w:id="22"/>
      <w:bookmarkEnd w:id="23"/>
      <w:bookmarkEnd w:id="24"/>
      <w:bookmarkEnd w:id="25"/>
      <w:bookmarkEnd w:id="26"/>
    </w:p>
    <w:p w:rsidR="00CB0DD7" w:rsidRPr="000A0A5F" w:rsidRDefault="00CB0DD7">
      <w:r w:rsidRPr="000A0A5F">
        <w:t>This Technical Specification has been produced by the 3</w:t>
      </w:r>
      <w:r w:rsidRPr="000A0A5F">
        <w:rPr>
          <w:vertAlign w:val="superscript"/>
        </w:rPr>
        <w:t>rd</w:t>
      </w:r>
      <w:r w:rsidRPr="000A0A5F">
        <w:t xml:space="preserve"> Generation Partnership Project (3GPP).</w:t>
      </w:r>
    </w:p>
    <w:p w:rsidR="00CB0DD7" w:rsidRPr="000A0A5F" w:rsidRDefault="00CB0DD7">
      <w:r w:rsidRPr="000A0A5F">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CB0DD7" w:rsidRPr="000A0A5F" w:rsidRDefault="00CB0DD7">
      <w:pPr>
        <w:pStyle w:val="B10"/>
        <w:rPr>
          <w:lang w:val="en-US"/>
        </w:rPr>
      </w:pPr>
      <w:r w:rsidRPr="000A0A5F">
        <w:rPr>
          <w:lang w:val="en-US"/>
        </w:rPr>
        <w:t>Version x.y.z</w:t>
      </w:r>
    </w:p>
    <w:p w:rsidR="00CB0DD7" w:rsidRPr="000A0A5F" w:rsidRDefault="00CB0DD7">
      <w:pPr>
        <w:pStyle w:val="B10"/>
      </w:pPr>
      <w:r w:rsidRPr="000A0A5F">
        <w:t>where:</w:t>
      </w:r>
    </w:p>
    <w:p w:rsidR="00CB0DD7" w:rsidRPr="000A0A5F" w:rsidRDefault="00CB0DD7">
      <w:pPr>
        <w:pStyle w:val="B2"/>
      </w:pPr>
      <w:r w:rsidRPr="000A0A5F">
        <w:t>x</w:t>
      </w:r>
      <w:r w:rsidRPr="000A0A5F">
        <w:tab/>
        <w:t>the first digit:</w:t>
      </w:r>
    </w:p>
    <w:p w:rsidR="00CB0DD7" w:rsidRPr="000A0A5F" w:rsidRDefault="00CB0DD7">
      <w:pPr>
        <w:pStyle w:val="B3"/>
      </w:pPr>
      <w:r w:rsidRPr="000A0A5F">
        <w:t>1</w:t>
      </w:r>
      <w:r w:rsidRPr="000A0A5F">
        <w:tab/>
        <w:t>presented to TSG for information;</w:t>
      </w:r>
    </w:p>
    <w:p w:rsidR="00CB0DD7" w:rsidRPr="000A0A5F" w:rsidRDefault="00CB0DD7">
      <w:pPr>
        <w:pStyle w:val="B3"/>
      </w:pPr>
      <w:r w:rsidRPr="000A0A5F">
        <w:t>2</w:t>
      </w:r>
      <w:r w:rsidRPr="000A0A5F">
        <w:tab/>
        <w:t>presented to TSG for approval;</w:t>
      </w:r>
    </w:p>
    <w:p w:rsidR="00CB0DD7" w:rsidRPr="000A0A5F" w:rsidRDefault="00CB0DD7">
      <w:pPr>
        <w:pStyle w:val="B3"/>
      </w:pPr>
      <w:r w:rsidRPr="000A0A5F">
        <w:t>3</w:t>
      </w:r>
      <w:r w:rsidRPr="000A0A5F">
        <w:tab/>
        <w:t>or greater indicates TSG approved document under change control.</w:t>
      </w:r>
    </w:p>
    <w:p w:rsidR="00CB0DD7" w:rsidRPr="000A0A5F" w:rsidRDefault="00CB0DD7">
      <w:pPr>
        <w:pStyle w:val="B2"/>
      </w:pPr>
      <w:r w:rsidRPr="000A0A5F">
        <w:t>Y</w:t>
      </w:r>
      <w:r w:rsidRPr="000A0A5F">
        <w:tab/>
        <w:t>the second digit is incremented for all changes of substance, i.e. technical enhancements, corrections, updates, etc.</w:t>
      </w:r>
    </w:p>
    <w:p w:rsidR="00CB0DD7" w:rsidRPr="000A0A5F" w:rsidRDefault="00CB0DD7">
      <w:pPr>
        <w:pStyle w:val="B2"/>
        <w:rPr>
          <w:rFonts w:hint="eastAsia"/>
          <w:lang w:eastAsia="zh-CN"/>
        </w:rPr>
      </w:pPr>
      <w:r w:rsidRPr="000A0A5F">
        <w:t>z</w:t>
      </w:r>
      <w:r w:rsidRPr="000A0A5F">
        <w:tab/>
        <w:t>the third digit is incremented when editorial only changes have been incorporated in the document.</w:t>
      </w:r>
    </w:p>
    <w:p w:rsidR="00CB0DD7" w:rsidRPr="000A0A5F" w:rsidRDefault="00CB0DD7">
      <w:pPr>
        <w:pStyle w:val="Heading1"/>
      </w:pPr>
      <w:r w:rsidRPr="000A0A5F">
        <w:br w:type="page"/>
      </w:r>
      <w:bookmarkStart w:id="27" w:name="_Toc11247175"/>
      <w:bookmarkStart w:id="28" w:name="_Toc27044291"/>
      <w:bookmarkStart w:id="29" w:name="_Toc36033333"/>
      <w:bookmarkStart w:id="30" w:name="_Toc45131463"/>
      <w:bookmarkStart w:id="31" w:name="_Toc49775748"/>
      <w:bookmarkStart w:id="32" w:name="_Toc51746668"/>
      <w:bookmarkStart w:id="33" w:name="_Toc66360210"/>
      <w:bookmarkStart w:id="34" w:name="_Toc68104715"/>
      <w:bookmarkStart w:id="35" w:name="_Toc74755344"/>
      <w:bookmarkStart w:id="36" w:name="_Toc105674199"/>
      <w:bookmarkStart w:id="37" w:name="_Toc130502232"/>
      <w:bookmarkStart w:id="38" w:name="_Toc153625011"/>
      <w:r w:rsidRPr="000A0A5F">
        <w:t>1</w:t>
      </w:r>
      <w:r w:rsidRPr="000A0A5F">
        <w:tab/>
        <w:t>Scope</w:t>
      </w:r>
      <w:bookmarkEnd w:id="27"/>
      <w:bookmarkEnd w:id="28"/>
      <w:bookmarkEnd w:id="29"/>
      <w:bookmarkEnd w:id="30"/>
      <w:bookmarkEnd w:id="31"/>
      <w:bookmarkEnd w:id="32"/>
      <w:bookmarkEnd w:id="33"/>
      <w:bookmarkEnd w:id="34"/>
      <w:bookmarkEnd w:id="35"/>
      <w:bookmarkEnd w:id="36"/>
      <w:bookmarkEnd w:id="37"/>
      <w:bookmarkEnd w:id="38"/>
    </w:p>
    <w:p w:rsidR="00CB0DD7" w:rsidRPr="000A0A5F" w:rsidRDefault="00CB0DD7">
      <w:pPr>
        <w:rPr>
          <w:rFonts w:hint="eastAsia"/>
        </w:rPr>
      </w:pPr>
      <w:r w:rsidRPr="000A0A5F">
        <w:rPr>
          <w:rFonts w:hint="eastAsia"/>
        </w:rPr>
        <w:t xml:space="preserve">The present </w:t>
      </w:r>
      <w:r w:rsidRPr="000A0A5F">
        <w:t>specification</w:t>
      </w:r>
      <w:r w:rsidRPr="000A0A5F">
        <w:rPr>
          <w:rFonts w:hint="eastAsia"/>
        </w:rPr>
        <w:t xml:space="preserve"> describes</w:t>
      </w:r>
      <w:r w:rsidRPr="000A0A5F">
        <w:t xml:space="preserve"> the protocol for the T8 reference point between the SCEF and the SCS/AS. The T8 reference point and the related stage 2 functional requirements are defined in 3GPP TS 23.682 [2].</w:t>
      </w:r>
    </w:p>
    <w:p w:rsidR="00CB0DD7" w:rsidRPr="000A0A5F" w:rsidRDefault="00CB0DD7">
      <w:pPr>
        <w:pStyle w:val="Heading1"/>
      </w:pPr>
      <w:bookmarkStart w:id="39" w:name="_Toc11247176"/>
      <w:bookmarkStart w:id="40" w:name="_Toc27044292"/>
      <w:bookmarkStart w:id="41" w:name="_Toc36033334"/>
      <w:bookmarkStart w:id="42" w:name="_Toc45131464"/>
      <w:bookmarkStart w:id="43" w:name="_Toc49775749"/>
      <w:bookmarkStart w:id="44" w:name="_Toc51746669"/>
      <w:bookmarkStart w:id="45" w:name="_Toc66360211"/>
      <w:bookmarkStart w:id="46" w:name="_Toc68104716"/>
      <w:bookmarkStart w:id="47" w:name="_Toc74755345"/>
      <w:bookmarkStart w:id="48" w:name="_Toc105674200"/>
      <w:bookmarkStart w:id="49" w:name="_Toc130502233"/>
      <w:bookmarkStart w:id="50" w:name="_Toc153625012"/>
      <w:r w:rsidRPr="000A0A5F">
        <w:t>2</w:t>
      </w:r>
      <w:r w:rsidRPr="000A0A5F">
        <w:tab/>
        <w:t>References</w:t>
      </w:r>
      <w:bookmarkEnd w:id="39"/>
      <w:bookmarkEnd w:id="40"/>
      <w:bookmarkEnd w:id="41"/>
      <w:bookmarkEnd w:id="42"/>
      <w:bookmarkEnd w:id="43"/>
      <w:bookmarkEnd w:id="44"/>
      <w:bookmarkEnd w:id="45"/>
      <w:bookmarkEnd w:id="46"/>
      <w:bookmarkEnd w:id="47"/>
      <w:bookmarkEnd w:id="48"/>
      <w:bookmarkEnd w:id="49"/>
      <w:bookmarkEnd w:id="50"/>
    </w:p>
    <w:p w:rsidR="00CB0DD7" w:rsidRPr="000A0A5F" w:rsidRDefault="00CB0DD7">
      <w:r w:rsidRPr="000A0A5F">
        <w:t>The following documents contain provisions which, through reference in this text, constitute provisions of the present document.</w:t>
      </w:r>
    </w:p>
    <w:p w:rsidR="00CB0DD7" w:rsidRPr="000A0A5F" w:rsidRDefault="00CB0DD7">
      <w:pPr>
        <w:pStyle w:val="B10"/>
      </w:pPr>
      <w:r w:rsidRPr="000A0A5F">
        <w:t>-</w:t>
      </w:r>
      <w:r w:rsidRPr="000A0A5F">
        <w:tab/>
        <w:t>References are either specific (identified by date of publication, edition number, version number, etc.) or non</w:t>
      </w:r>
      <w:r w:rsidRPr="000A0A5F">
        <w:noBreakHyphen/>
        <w:t>specific.</w:t>
      </w:r>
    </w:p>
    <w:p w:rsidR="00CB0DD7" w:rsidRPr="000A0A5F" w:rsidRDefault="00CB0DD7">
      <w:pPr>
        <w:pStyle w:val="B10"/>
      </w:pPr>
      <w:r w:rsidRPr="000A0A5F">
        <w:t>-</w:t>
      </w:r>
      <w:r w:rsidRPr="000A0A5F">
        <w:tab/>
        <w:t>For a specific reference, subsequent revisions do not apply.</w:t>
      </w:r>
    </w:p>
    <w:p w:rsidR="00CB0DD7" w:rsidRPr="000A0A5F" w:rsidRDefault="00CB0DD7">
      <w:pPr>
        <w:pStyle w:val="B10"/>
      </w:pPr>
      <w:r w:rsidRPr="000A0A5F">
        <w:t>-</w:t>
      </w:r>
      <w:r w:rsidRPr="000A0A5F">
        <w:tab/>
        <w:t>For a non-specific reference, the latest version applies. In the case of a reference to a 3GPP document (including a GSM document), a non-specific reference implicitly refers to the latest version of that document</w:t>
      </w:r>
      <w:r w:rsidRPr="000A0A5F">
        <w:rPr>
          <w:i/>
        </w:rPr>
        <w:t xml:space="preserve"> in the same Release as the present document</w:t>
      </w:r>
      <w:r w:rsidRPr="000A0A5F">
        <w:t>.</w:t>
      </w:r>
    </w:p>
    <w:p w:rsidR="00CB0DD7" w:rsidRPr="000A0A5F" w:rsidRDefault="00CB0DD7">
      <w:pPr>
        <w:pStyle w:val="EX"/>
        <w:rPr>
          <w:rFonts w:hint="eastAsia"/>
          <w:lang w:eastAsia="zh-CN"/>
        </w:rPr>
      </w:pPr>
      <w:r w:rsidRPr="000A0A5F">
        <w:t>[1]</w:t>
      </w:r>
      <w:r w:rsidRPr="000A0A5F">
        <w:tab/>
        <w:t>3GPP TR 21.905: "Vocabulary for 3GPP Specifications".</w:t>
      </w:r>
    </w:p>
    <w:p w:rsidR="00CB0DD7" w:rsidRPr="000A0A5F" w:rsidRDefault="00CB0DD7">
      <w:pPr>
        <w:pStyle w:val="EX"/>
        <w:rPr>
          <w:lang w:eastAsia="en-GB"/>
        </w:rPr>
      </w:pPr>
      <w:r w:rsidRPr="000A0A5F">
        <w:rPr>
          <w:rFonts w:hint="eastAsia"/>
          <w:lang w:eastAsia="zh-CN"/>
        </w:rPr>
        <w:t>[2]</w:t>
      </w:r>
      <w:r w:rsidRPr="000A0A5F">
        <w:rPr>
          <w:rFonts w:hint="eastAsia"/>
          <w:lang w:eastAsia="zh-CN"/>
        </w:rPr>
        <w:tab/>
      </w:r>
      <w:r w:rsidRPr="000A0A5F">
        <w:rPr>
          <w:lang w:eastAsia="en-GB"/>
        </w:rPr>
        <w:t>3GPP TS 23.682: "Architecture enhancements to facilitate communications with packet data networks and applications".</w:t>
      </w:r>
    </w:p>
    <w:p w:rsidR="00CB0DD7" w:rsidRPr="000A0A5F" w:rsidRDefault="00CB0DD7">
      <w:pPr>
        <w:pStyle w:val="EX"/>
        <w:rPr>
          <w:lang w:val="en-US"/>
        </w:rPr>
      </w:pPr>
      <w:r w:rsidRPr="000A0A5F">
        <w:rPr>
          <w:rFonts w:hint="eastAsia"/>
          <w:lang w:eastAsia="zh-CN"/>
        </w:rPr>
        <w:t>[</w:t>
      </w:r>
      <w:r w:rsidRPr="000A0A5F">
        <w:rPr>
          <w:lang w:eastAsia="zh-CN"/>
        </w:rPr>
        <w:t>3</w:t>
      </w:r>
      <w:r w:rsidRPr="000A0A5F">
        <w:rPr>
          <w:rFonts w:hint="eastAsia"/>
          <w:lang w:eastAsia="zh-CN"/>
        </w:rPr>
        <w:t>]</w:t>
      </w:r>
      <w:r w:rsidRPr="000A0A5F">
        <w:rPr>
          <w:rFonts w:hint="eastAsia"/>
          <w:lang w:eastAsia="zh-CN"/>
        </w:rPr>
        <w:tab/>
      </w:r>
      <w:r w:rsidRPr="000A0A5F">
        <w:rPr>
          <w:lang w:eastAsia="en-GB"/>
        </w:rPr>
        <w:t>3GPP TS 23.03</w:t>
      </w:r>
      <w:r w:rsidRPr="000A0A5F">
        <w:rPr>
          <w:rFonts w:hint="eastAsia"/>
          <w:lang w:eastAsia="zh-CN"/>
        </w:rPr>
        <w:t>2</w:t>
      </w:r>
      <w:r w:rsidRPr="000A0A5F">
        <w:rPr>
          <w:lang w:eastAsia="en-GB"/>
        </w:rPr>
        <w:t>: "</w:t>
      </w:r>
      <w:r w:rsidRPr="000A0A5F">
        <w:t>Universal Geographical Area Description (GAD)</w:t>
      </w:r>
      <w:r w:rsidRPr="000A0A5F">
        <w:rPr>
          <w:lang w:eastAsia="en-GB"/>
        </w:rPr>
        <w:t>".</w:t>
      </w:r>
    </w:p>
    <w:p w:rsidR="00CB0DD7" w:rsidRPr="000A0A5F" w:rsidRDefault="00CB0DD7">
      <w:pPr>
        <w:pStyle w:val="EX"/>
      </w:pPr>
      <w:r w:rsidRPr="000A0A5F">
        <w:t>[4]</w:t>
      </w:r>
      <w:r w:rsidRPr="000A0A5F">
        <w:tab/>
      </w:r>
      <w:r w:rsidR="00414CAC" w:rsidRPr="000A0A5F">
        <w:t>Void.</w:t>
      </w:r>
    </w:p>
    <w:p w:rsidR="00CB0DD7" w:rsidRPr="000A0A5F" w:rsidRDefault="00CB0DD7">
      <w:pPr>
        <w:pStyle w:val="EX"/>
      </w:pPr>
      <w:r w:rsidRPr="000A0A5F">
        <w:t>[5]</w:t>
      </w:r>
      <w:r w:rsidRPr="000A0A5F">
        <w:tab/>
        <w:t>IETF RFC 8259: "The JavaScript Object Notation (JSON) Data Interchange Format".</w:t>
      </w:r>
    </w:p>
    <w:p w:rsidR="00CB0DD7" w:rsidRPr="000A0A5F" w:rsidRDefault="00CB0DD7">
      <w:pPr>
        <w:pStyle w:val="EX"/>
        <w:rPr>
          <w:rStyle w:val="Hyperlink"/>
        </w:rPr>
      </w:pPr>
      <w:r w:rsidRPr="000A0A5F">
        <w:t>[6]</w:t>
      </w:r>
      <w:r w:rsidRPr="000A0A5F">
        <w:tab/>
        <w:t xml:space="preserve">Hypertext Transfer Protocol (HTTP) Status Code Registry at IANA, </w:t>
      </w:r>
      <w:hyperlink r:id="rId11" w:history="1">
        <w:r w:rsidRPr="000A0A5F">
          <w:rPr>
            <w:rStyle w:val="Hyperlink"/>
          </w:rPr>
          <w:t>http://www.iana.org/assignments/http-status-codes</w:t>
        </w:r>
      </w:hyperlink>
      <w:r w:rsidRPr="000A0A5F">
        <w:rPr>
          <w:rStyle w:val="Hyperlink"/>
        </w:rPr>
        <w:t>.</w:t>
      </w:r>
    </w:p>
    <w:p w:rsidR="00CB0DD7" w:rsidRPr="000A0A5F" w:rsidRDefault="00CB0DD7">
      <w:pPr>
        <w:pStyle w:val="EX"/>
      </w:pPr>
      <w:r w:rsidRPr="000A0A5F">
        <w:t>[7]</w:t>
      </w:r>
      <w:r w:rsidRPr="000A0A5F">
        <w:tab/>
        <w:t>IETF RFC 3986: "Uniform Resource Identifier (URI): Generic Syntax".</w:t>
      </w:r>
    </w:p>
    <w:p w:rsidR="00CB0DD7" w:rsidRPr="000A0A5F" w:rsidRDefault="00CB0DD7">
      <w:pPr>
        <w:pStyle w:val="EX"/>
      </w:pPr>
      <w:r w:rsidRPr="000A0A5F">
        <w:t>[8]</w:t>
      </w:r>
      <w:r w:rsidRPr="000A0A5F">
        <w:tab/>
      </w:r>
      <w:r w:rsidR="00C520FB" w:rsidRPr="000A0A5F">
        <w:t>IETF RFC 9457: "Problem Details for HTTP APIs".</w:t>
      </w:r>
    </w:p>
    <w:p w:rsidR="00CB0DD7" w:rsidRPr="000A0A5F" w:rsidRDefault="00CB0DD7">
      <w:pPr>
        <w:pStyle w:val="EX"/>
        <w:rPr>
          <w:rFonts w:hint="eastAsia"/>
          <w:lang w:eastAsia="zh-CN"/>
        </w:rPr>
      </w:pPr>
      <w:r w:rsidRPr="000A0A5F">
        <w:rPr>
          <w:rFonts w:hint="eastAsia"/>
          <w:lang w:eastAsia="zh-CN"/>
        </w:rPr>
        <w:t>[</w:t>
      </w:r>
      <w:r w:rsidRPr="000A0A5F">
        <w:rPr>
          <w:lang w:val="en-US" w:eastAsia="zh-CN"/>
        </w:rPr>
        <w:t>9</w:t>
      </w:r>
      <w:r w:rsidRPr="000A0A5F">
        <w:rPr>
          <w:rFonts w:hint="eastAsia"/>
          <w:lang w:eastAsia="zh-CN"/>
        </w:rPr>
        <w:t>]</w:t>
      </w:r>
      <w:r w:rsidRPr="000A0A5F">
        <w:rPr>
          <w:rFonts w:hint="eastAsia"/>
          <w:lang w:eastAsia="zh-CN"/>
        </w:rPr>
        <w:tab/>
      </w:r>
      <w:r w:rsidRPr="000A0A5F">
        <w:rPr>
          <w:lang w:eastAsia="zh-CN"/>
        </w:rPr>
        <w:t>3GPP TS 2</w:t>
      </w:r>
      <w:r w:rsidRPr="000A0A5F">
        <w:rPr>
          <w:rFonts w:hint="eastAsia"/>
          <w:lang w:eastAsia="zh-CN"/>
        </w:rPr>
        <w:t>9</w:t>
      </w:r>
      <w:r w:rsidRPr="000A0A5F">
        <w:rPr>
          <w:lang w:eastAsia="zh-CN"/>
        </w:rPr>
        <w:t>.</w:t>
      </w:r>
      <w:r w:rsidRPr="000A0A5F">
        <w:rPr>
          <w:rFonts w:hint="eastAsia"/>
          <w:lang w:eastAsia="zh-CN"/>
        </w:rPr>
        <w:t>154</w:t>
      </w:r>
      <w:r w:rsidRPr="000A0A5F">
        <w:rPr>
          <w:lang w:eastAsia="zh-CN"/>
        </w:rPr>
        <w:t>: "</w:t>
      </w:r>
      <w:r w:rsidRPr="000A0A5F">
        <w:rPr>
          <w:rFonts w:hint="eastAsia"/>
          <w:lang w:eastAsia="zh-CN"/>
        </w:rPr>
        <w:t>Service capability exposure functionality over Nt reference point</w:t>
      </w:r>
      <w:r w:rsidRPr="000A0A5F">
        <w:rPr>
          <w:lang w:eastAsia="zh-CN"/>
        </w:rPr>
        <w:t>".</w:t>
      </w:r>
    </w:p>
    <w:p w:rsidR="00CB0DD7" w:rsidRPr="000A0A5F" w:rsidRDefault="00CB0DD7">
      <w:pPr>
        <w:pStyle w:val="EX"/>
      </w:pPr>
      <w:r w:rsidRPr="000A0A5F">
        <w:rPr>
          <w:rFonts w:hint="eastAsia"/>
          <w:lang w:eastAsia="zh-CN"/>
        </w:rPr>
        <w:t>[</w:t>
      </w:r>
      <w:r w:rsidRPr="000A0A5F">
        <w:rPr>
          <w:lang w:eastAsia="zh-CN"/>
        </w:rPr>
        <w:t>10</w:t>
      </w:r>
      <w:r w:rsidRPr="000A0A5F">
        <w:rPr>
          <w:rFonts w:hint="eastAsia"/>
          <w:lang w:eastAsia="zh-CN"/>
        </w:rPr>
        <w:t>]</w:t>
      </w:r>
      <w:r w:rsidRPr="000A0A5F">
        <w:rPr>
          <w:rFonts w:hint="eastAsia"/>
          <w:lang w:eastAsia="zh-CN"/>
        </w:rPr>
        <w:tab/>
      </w:r>
      <w:r w:rsidRPr="000A0A5F">
        <w:t>3GPP TS 29.214: "Policy and Charging Control over Rx reference point".</w:t>
      </w:r>
    </w:p>
    <w:p w:rsidR="00CB0DD7" w:rsidRPr="000A0A5F" w:rsidRDefault="00CB0DD7">
      <w:pPr>
        <w:pStyle w:val="EX"/>
        <w:rPr>
          <w:lang w:eastAsia="en-GB"/>
        </w:rPr>
      </w:pPr>
      <w:r w:rsidRPr="000A0A5F">
        <w:rPr>
          <w:rFonts w:hint="eastAsia"/>
          <w:lang w:eastAsia="zh-CN"/>
        </w:rPr>
        <w:t>[</w:t>
      </w:r>
      <w:r w:rsidRPr="000A0A5F">
        <w:rPr>
          <w:lang w:eastAsia="zh-CN"/>
        </w:rPr>
        <w:t>11</w:t>
      </w:r>
      <w:r w:rsidRPr="000A0A5F">
        <w:rPr>
          <w:rFonts w:hint="eastAsia"/>
          <w:lang w:eastAsia="zh-CN"/>
        </w:rPr>
        <w:t>]</w:t>
      </w:r>
      <w:r w:rsidRPr="000A0A5F">
        <w:rPr>
          <w:rFonts w:hint="eastAsia"/>
          <w:lang w:eastAsia="zh-CN"/>
        </w:rPr>
        <w:tab/>
      </w:r>
      <w:r w:rsidRPr="000A0A5F">
        <w:t>3GPP TS 29.336: "Home Subscriber Server (HSS) diameter interfaces for interworking with packet data networks and applications".</w:t>
      </w:r>
    </w:p>
    <w:p w:rsidR="00CB0DD7" w:rsidRPr="000A0A5F" w:rsidRDefault="00CB0DD7">
      <w:pPr>
        <w:pStyle w:val="EX"/>
        <w:rPr>
          <w:lang w:eastAsia="en-GB"/>
        </w:rPr>
      </w:pPr>
      <w:r w:rsidRPr="000A0A5F">
        <w:rPr>
          <w:rFonts w:hint="eastAsia"/>
          <w:lang w:eastAsia="zh-CN"/>
        </w:rPr>
        <w:t>[</w:t>
      </w:r>
      <w:r w:rsidRPr="000A0A5F">
        <w:rPr>
          <w:lang w:eastAsia="zh-CN"/>
        </w:rPr>
        <w:t>12</w:t>
      </w:r>
      <w:r w:rsidRPr="000A0A5F">
        <w:rPr>
          <w:rFonts w:hint="eastAsia"/>
          <w:lang w:eastAsia="zh-CN"/>
        </w:rPr>
        <w:t>]</w:t>
      </w:r>
      <w:r w:rsidRPr="000A0A5F">
        <w:rPr>
          <w:rFonts w:hint="eastAsia"/>
          <w:lang w:eastAsia="zh-CN"/>
        </w:rPr>
        <w:tab/>
      </w:r>
      <w:r w:rsidRPr="000A0A5F">
        <w:t>3GPP TS 29.128: "Mobility Management Entity (MME) and Serving GPRS Support Node (SGSN) interfaces for interworking with packet data networks and applications".</w:t>
      </w:r>
    </w:p>
    <w:p w:rsidR="00CB0DD7" w:rsidRPr="000A0A5F" w:rsidRDefault="00CB0DD7">
      <w:pPr>
        <w:pStyle w:val="EX"/>
        <w:rPr>
          <w:lang w:eastAsia="ko-KR"/>
        </w:rPr>
      </w:pPr>
      <w:r w:rsidRPr="000A0A5F">
        <w:rPr>
          <w:lang w:eastAsia="ko-KR"/>
        </w:rPr>
        <w:t>[13]</w:t>
      </w:r>
      <w:r w:rsidRPr="000A0A5F">
        <w:rPr>
          <w:lang w:eastAsia="ko-KR"/>
        </w:rPr>
        <w:tab/>
        <w:t>3GPP TS 29.201: "Representational State Transfer (REST) reference point between Application Function (AF) and Protocol Converter (PC)".</w:t>
      </w:r>
    </w:p>
    <w:p w:rsidR="00CB0DD7" w:rsidRPr="000A0A5F" w:rsidRDefault="00CB0DD7">
      <w:pPr>
        <w:pStyle w:val="EX"/>
      </w:pPr>
      <w:r w:rsidRPr="000A0A5F">
        <w:t>[14]</w:t>
      </w:r>
      <w:r w:rsidRPr="000A0A5F">
        <w:tab/>
        <w:t>3GPP TS 23.003: "Numbering, addressing and identification".</w:t>
      </w:r>
    </w:p>
    <w:p w:rsidR="00CB0DD7" w:rsidRPr="000A0A5F" w:rsidRDefault="00CB0DD7">
      <w:pPr>
        <w:pStyle w:val="EX"/>
      </w:pPr>
      <w:r w:rsidRPr="000A0A5F">
        <w:t>[15]</w:t>
      </w:r>
      <w:r w:rsidRPr="000A0A5F">
        <w:tab/>
        <w:t>IETF RFC 3339: "Date and Time on the Internet: Timestamps".</w:t>
      </w:r>
    </w:p>
    <w:p w:rsidR="009805D1" w:rsidRPr="000A0A5F" w:rsidRDefault="009805D1" w:rsidP="009805D1">
      <w:pPr>
        <w:pStyle w:val="EX"/>
        <w:rPr>
          <w:lang w:val="en-US"/>
        </w:rPr>
      </w:pPr>
      <w:r w:rsidRPr="000A0A5F">
        <w:rPr>
          <w:lang w:val="en-US"/>
        </w:rPr>
        <w:t>[16]</w:t>
      </w:r>
      <w:r w:rsidRPr="000A0A5F">
        <w:rPr>
          <w:lang w:val="en-US"/>
        </w:rPr>
        <w:tab/>
        <w:t>IETF RFC 9112: "HTTP/1.1".</w:t>
      </w:r>
    </w:p>
    <w:p w:rsidR="009805D1" w:rsidRPr="000A0A5F" w:rsidRDefault="009805D1" w:rsidP="009805D1">
      <w:pPr>
        <w:pStyle w:val="EX"/>
        <w:rPr>
          <w:lang w:val="en-US"/>
        </w:rPr>
      </w:pPr>
      <w:r w:rsidRPr="000A0A5F">
        <w:rPr>
          <w:lang w:val="en-US"/>
        </w:rPr>
        <w:t>[17]</w:t>
      </w:r>
      <w:r w:rsidRPr="000A0A5F">
        <w:rPr>
          <w:lang w:val="en-US"/>
        </w:rPr>
        <w:tab/>
        <w:t>IETF RFC 9110: "HTTP Semantics".</w:t>
      </w:r>
    </w:p>
    <w:p w:rsidR="009805D1" w:rsidRPr="000A0A5F" w:rsidRDefault="009805D1" w:rsidP="009805D1">
      <w:pPr>
        <w:pStyle w:val="EX"/>
        <w:rPr>
          <w:lang w:val="en-US"/>
        </w:rPr>
      </w:pPr>
      <w:r w:rsidRPr="000A0A5F">
        <w:rPr>
          <w:lang w:val="en-US"/>
        </w:rPr>
        <w:t>[18]</w:t>
      </w:r>
      <w:r w:rsidRPr="000A0A5F">
        <w:rPr>
          <w:lang w:val="en-US"/>
        </w:rPr>
        <w:tab/>
        <w:t>V</w:t>
      </w:r>
      <w:r w:rsidRPr="000A0A5F">
        <w:rPr>
          <w:rFonts w:hint="eastAsia"/>
          <w:lang w:val="en-US" w:eastAsia="zh-CN"/>
        </w:rPr>
        <w:t>oid</w:t>
      </w:r>
      <w:r w:rsidRPr="000A0A5F">
        <w:rPr>
          <w:lang w:val="en-US"/>
        </w:rPr>
        <w:t>.</w:t>
      </w:r>
    </w:p>
    <w:p w:rsidR="009805D1" w:rsidRPr="000A0A5F" w:rsidRDefault="009805D1" w:rsidP="009805D1">
      <w:pPr>
        <w:pStyle w:val="EX"/>
        <w:rPr>
          <w:lang w:val="en-US"/>
        </w:rPr>
      </w:pPr>
      <w:r w:rsidRPr="000A0A5F">
        <w:rPr>
          <w:lang w:val="en-US"/>
        </w:rPr>
        <w:t>[19]</w:t>
      </w:r>
      <w:r w:rsidRPr="000A0A5F">
        <w:rPr>
          <w:lang w:val="en-US"/>
        </w:rPr>
        <w:tab/>
        <w:t>V</w:t>
      </w:r>
      <w:r w:rsidRPr="000A0A5F">
        <w:rPr>
          <w:rFonts w:hint="eastAsia"/>
          <w:lang w:val="en-US" w:eastAsia="zh-CN"/>
        </w:rPr>
        <w:t>oid</w:t>
      </w:r>
      <w:r w:rsidRPr="000A0A5F">
        <w:rPr>
          <w:lang w:val="en-US"/>
        </w:rPr>
        <w:t>.</w:t>
      </w:r>
    </w:p>
    <w:p w:rsidR="009805D1" w:rsidRPr="000A0A5F" w:rsidRDefault="009805D1" w:rsidP="009805D1">
      <w:pPr>
        <w:pStyle w:val="EX"/>
        <w:rPr>
          <w:lang w:val="en-US"/>
        </w:rPr>
      </w:pPr>
      <w:r w:rsidRPr="000A0A5F">
        <w:rPr>
          <w:lang w:val="en-US"/>
        </w:rPr>
        <w:t>[20]</w:t>
      </w:r>
      <w:r w:rsidRPr="000A0A5F">
        <w:rPr>
          <w:lang w:val="en-US"/>
        </w:rPr>
        <w:tab/>
        <w:t>IETF RFC 9111: "HTTP Caching".</w:t>
      </w:r>
    </w:p>
    <w:p w:rsidR="009805D1" w:rsidRPr="000A0A5F" w:rsidRDefault="009805D1" w:rsidP="009805D1">
      <w:pPr>
        <w:pStyle w:val="EX"/>
        <w:rPr>
          <w:lang w:val="en-US"/>
        </w:rPr>
      </w:pPr>
      <w:r w:rsidRPr="000A0A5F">
        <w:rPr>
          <w:lang w:val="en-US"/>
        </w:rPr>
        <w:t>[21]</w:t>
      </w:r>
      <w:r w:rsidRPr="000A0A5F">
        <w:rPr>
          <w:lang w:val="en-US"/>
        </w:rPr>
        <w:tab/>
        <w:t>V</w:t>
      </w:r>
      <w:r w:rsidRPr="000A0A5F">
        <w:rPr>
          <w:rFonts w:hint="eastAsia"/>
          <w:lang w:val="en-US" w:eastAsia="zh-CN"/>
        </w:rPr>
        <w:t>oid</w:t>
      </w:r>
      <w:r w:rsidRPr="000A0A5F">
        <w:rPr>
          <w:lang w:val="en-US"/>
        </w:rPr>
        <w:t>.</w:t>
      </w:r>
    </w:p>
    <w:p w:rsidR="009805D1" w:rsidRPr="000A0A5F" w:rsidRDefault="009805D1" w:rsidP="009805D1">
      <w:pPr>
        <w:pStyle w:val="EX"/>
        <w:rPr>
          <w:lang w:val="en-US" w:eastAsia="zh-CN"/>
        </w:rPr>
      </w:pPr>
      <w:r w:rsidRPr="000A0A5F">
        <w:rPr>
          <w:lang w:val="en-US"/>
        </w:rPr>
        <w:t>[</w:t>
      </w:r>
      <w:r w:rsidRPr="000A0A5F">
        <w:rPr>
          <w:lang w:val="en-US" w:eastAsia="zh-CN"/>
        </w:rPr>
        <w:t>22</w:t>
      </w:r>
      <w:r w:rsidRPr="000A0A5F">
        <w:rPr>
          <w:lang w:val="en-US"/>
        </w:rPr>
        <w:t>]</w:t>
      </w:r>
      <w:r w:rsidRPr="000A0A5F">
        <w:rPr>
          <w:lang w:val="en-US"/>
        </w:rPr>
        <w:tab/>
        <w:t>IETF RFC 9113: "HTTP/2".</w:t>
      </w:r>
    </w:p>
    <w:p w:rsidR="00CB0DD7" w:rsidRPr="000A0A5F" w:rsidRDefault="00CB0DD7" w:rsidP="009805D1">
      <w:pPr>
        <w:pStyle w:val="EX"/>
        <w:rPr>
          <w:snapToGrid w:val="0"/>
        </w:rPr>
      </w:pPr>
      <w:r w:rsidRPr="000A0A5F">
        <w:rPr>
          <w:snapToGrid w:val="0"/>
        </w:rPr>
        <w:t>[23]</w:t>
      </w:r>
      <w:r w:rsidRPr="000A0A5F">
        <w:rPr>
          <w:snapToGrid w:val="0"/>
        </w:rPr>
        <w:tab/>
        <w:t>3GPP TS 29.155: "Traffic steering control; Representational state transfer (REST) over St reference point".</w:t>
      </w:r>
    </w:p>
    <w:p w:rsidR="00CB0DD7" w:rsidRPr="000A0A5F" w:rsidRDefault="00CB0DD7">
      <w:pPr>
        <w:pStyle w:val="EX"/>
        <w:rPr>
          <w:lang w:eastAsia="en-GB"/>
        </w:rPr>
      </w:pPr>
      <w:r w:rsidRPr="000A0A5F">
        <w:rPr>
          <w:rFonts w:hint="eastAsia"/>
          <w:lang w:eastAsia="zh-CN"/>
        </w:rPr>
        <w:t>[</w:t>
      </w:r>
      <w:r w:rsidRPr="000A0A5F">
        <w:rPr>
          <w:lang w:eastAsia="zh-CN"/>
        </w:rPr>
        <w:t>24</w:t>
      </w:r>
      <w:r w:rsidRPr="000A0A5F">
        <w:rPr>
          <w:rFonts w:hint="eastAsia"/>
          <w:lang w:eastAsia="zh-CN"/>
        </w:rPr>
        <w:t>]</w:t>
      </w:r>
      <w:r w:rsidRPr="000A0A5F">
        <w:rPr>
          <w:rFonts w:hint="eastAsia"/>
          <w:lang w:eastAsia="zh-CN"/>
        </w:rPr>
        <w:tab/>
      </w:r>
      <w:r w:rsidRPr="000A0A5F">
        <w:rPr>
          <w:lang w:eastAsia="en-GB"/>
        </w:rPr>
        <w:t>3GPP TS 2</w:t>
      </w:r>
      <w:r w:rsidRPr="000A0A5F">
        <w:rPr>
          <w:rFonts w:hint="eastAsia"/>
          <w:lang w:eastAsia="zh-CN"/>
        </w:rPr>
        <w:t>9</w:t>
      </w:r>
      <w:r w:rsidRPr="000A0A5F">
        <w:rPr>
          <w:lang w:eastAsia="en-GB"/>
        </w:rPr>
        <w:t>.</w:t>
      </w:r>
      <w:r w:rsidRPr="000A0A5F">
        <w:rPr>
          <w:rFonts w:hint="eastAsia"/>
          <w:lang w:eastAsia="zh-CN"/>
        </w:rPr>
        <w:t>368</w:t>
      </w:r>
      <w:r w:rsidRPr="000A0A5F">
        <w:rPr>
          <w:lang w:eastAsia="en-GB"/>
        </w:rPr>
        <w:t>: "Tsp interface protocol between the MTC Interworking Function (MTC-IWF) and Service Capability Server (SCS)".</w:t>
      </w:r>
    </w:p>
    <w:p w:rsidR="00CB0DD7" w:rsidRPr="000A0A5F" w:rsidRDefault="00CB0DD7">
      <w:pPr>
        <w:pStyle w:val="EX"/>
        <w:rPr>
          <w:lang w:eastAsia="en-GB"/>
        </w:rPr>
      </w:pPr>
      <w:r w:rsidRPr="000A0A5F">
        <w:rPr>
          <w:rFonts w:hint="eastAsia"/>
          <w:lang w:eastAsia="zh-CN"/>
        </w:rPr>
        <w:t>[</w:t>
      </w:r>
      <w:r w:rsidRPr="000A0A5F">
        <w:rPr>
          <w:lang w:eastAsia="zh-CN"/>
        </w:rPr>
        <w:t>25</w:t>
      </w:r>
      <w:r w:rsidRPr="000A0A5F">
        <w:rPr>
          <w:rFonts w:hint="eastAsia"/>
          <w:lang w:eastAsia="zh-CN"/>
        </w:rPr>
        <w:t>]</w:t>
      </w:r>
      <w:r w:rsidRPr="000A0A5F">
        <w:rPr>
          <w:rFonts w:hint="eastAsia"/>
          <w:lang w:eastAsia="zh-CN"/>
        </w:rPr>
        <w:tab/>
      </w:r>
      <w:r w:rsidRPr="000A0A5F">
        <w:rPr>
          <w:lang w:eastAsia="en-GB"/>
        </w:rPr>
        <w:t>3GPP TS 2</w:t>
      </w:r>
      <w:r w:rsidRPr="000A0A5F">
        <w:rPr>
          <w:rFonts w:hint="eastAsia"/>
          <w:lang w:eastAsia="zh-CN"/>
        </w:rPr>
        <w:t>9</w:t>
      </w:r>
      <w:r w:rsidRPr="000A0A5F">
        <w:rPr>
          <w:lang w:eastAsia="en-GB"/>
        </w:rPr>
        <w:t>.</w:t>
      </w:r>
      <w:r w:rsidRPr="000A0A5F">
        <w:rPr>
          <w:rFonts w:hint="eastAsia"/>
          <w:lang w:eastAsia="zh-CN"/>
        </w:rPr>
        <w:t>337</w:t>
      </w:r>
      <w:r w:rsidRPr="000A0A5F">
        <w:rPr>
          <w:lang w:eastAsia="en-GB"/>
        </w:rPr>
        <w:t>: "Diameter-based T4 interface for communications with packet data networks and applications".</w:t>
      </w:r>
    </w:p>
    <w:p w:rsidR="00CB0DD7" w:rsidRPr="000A0A5F" w:rsidRDefault="00CB0DD7">
      <w:pPr>
        <w:pStyle w:val="EX"/>
        <w:rPr>
          <w:lang w:eastAsia="en-GB"/>
        </w:rPr>
      </w:pPr>
      <w:r w:rsidRPr="000A0A5F">
        <w:rPr>
          <w:rFonts w:hint="eastAsia"/>
          <w:lang w:eastAsia="zh-CN"/>
        </w:rPr>
        <w:t>[</w:t>
      </w:r>
      <w:r w:rsidRPr="000A0A5F">
        <w:rPr>
          <w:lang w:eastAsia="zh-CN"/>
        </w:rPr>
        <w:t>26</w:t>
      </w:r>
      <w:r w:rsidRPr="000A0A5F">
        <w:rPr>
          <w:rFonts w:hint="eastAsia"/>
          <w:lang w:eastAsia="zh-CN"/>
        </w:rPr>
        <w:t>]</w:t>
      </w:r>
      <w:r w:rsidRPr="000A0A5F">
        <w:rPr>
          <w:rFonts w:hint="eastAsia"/>
          <w:lang w:eastAsia="zh-CN"/>
        </w:rPr>
        <w:tab/>
      </w:r>
      <w:r w:rsidRPr="000A0A5F">
        <w:rPr>
          <w:lang w:eastAsia="en-GB"/>
        </w:rPr>
        <w:t>3GPP TS 2</w:t>
      </w:r>
      <w:r w:rsidRPr="000A0A5F">
        <w:rPr>
          <w:rFonts w:hint="eastAsia"/>
          <w:lang w:eastAsia="zh-CN"/>
        </w:rPr>
        <w:t>9</w:t>
      </w:r>
      <w:r w:rsidRPr="000A0A5F">
        <w:rPr>
          <w:lang w:eastAsia="en-GB"/>
        </w:rPr>
        <w:t>.</w:t>
      </w:r>
      <w:r w:rsidRPr="000A0A5F">
        <w:rPr>
          <w:rFonts w:hint="eastAsia"/>
          <w:lang w:eastAsia="zh-CN"/>
        </w:rPr>
        <w:t>250</w:t>
      </w:r>
      <w:r w:rsidRPr="000A0A5F">
        <w:rPr>
          <w:lang w:eastAsia="en-GB"/>
        </w:rPr>
        <w:t>: "Nu reference point between SCEF and PFDF for sponsored data connectivity".</w:t>
      </w:r>
    </w:p>
    <w:p w:rsidR="00CB0DD7" w:rsidRPr="000A0A5F" w:rsidRDefault="00CB0DD7">
      <w:pPr>
        <w:pStyle w:val="EX"/>
        <w:rPr>
          <w:lang w:val="en-US"/>
        </w:rPr>
      </w:pPr>
      <w:r w:rsidRPr="000A0A5F">
        <w:rPr>
          <w:lang w:val="en-US"/>
        </w:rPr>
        <w:t>[27]</w:t>
      </w:r>
      <w:r w:rsidRPr="000A0A5F">
        <w:rPr>
          <w:lang w:val="en-US"/>
        </w:rPr>
        <w:tab/>
        <w:t xml:space="preserve">Open API: </w:t>
      </w:r>
      <w:r w:rsidRPr="000A0A5F">
        <w:t>"</w:t>
      </w:r>
      <w:r w:rsidRPr="000A0A5F">
        <w:rPr>
          <w:lang w:val="en-US"/>
        </w:rPr>
        <w:t>OpenAPI Specification Version 3.0.0</w:t>
      </w:r>
      <w:r w:rsidRPr="000A0A5F">
        <w:t>"</w:t>
      </w:r>
      <w:r w:rsidRPr="000A0A5F">
        <w:rPr>
          <w:lang w:val="en-US"/>
        </w:rPr>
        <w:t xml:space="preserve">, </w:t>
      </w:r>
      <w:bookmarkStart w:id="51" w:name="_Hlk61538439"/>
      <w:r w:rsidRPr="000A0A5F">
        <w:rPr>
          <w:lang w:val="en-US"/>
        </w:rPr>
        <w:fldChar w:fldCharType="begin"/>
      </w:r>
      <w:r w:rsidRPr="000A0A5F">
        <w:rPr>
          <w:lang w:val="en-US"/>
        </w:rPr>
        <w:instrText xml:space="preserve"> HYPERLINK "https://spec.openapis.org/oas/v3.0.0" </w:instrText>
      </w:r>
      <w:r w:rsidRPr="000A0A5F">
        <w:rPr>
          <w:lang w:val="en-US"/>
        </w:rPr>
        <w:fldChar w:fldCharType="separate"/>
      </w:r>
      <w:r w:rsidRPr="000A0A5F">
        <w:rPr>
          <w:rStyle w:val="Hyperlink"/>
          <w:lang w:val="en-US"/>
        </w:rPr>
        <w:t>https://spec.openapis.org/oas/v3.0.0</w:t>
      </w:r>
      <w:r w:rsidRPr="000A0A5F">
        <w:rPr>
          <w:lang w:val="en-US"/>
        </w:rPr>
        <w:fldChar w:fldCharType="end"/>
      </w:r>
      <w:r w:rsidRPr="000A0A5F">
        <w:rPr>
          <w:lang w:val="en-US"/>
        </w:rPr>
        <w:t>.</w:t>
      </w:r>
      <w:bookmarkEnd w:id="51"/>
    </w:p>
    <w:p w:rsidR="00CB0DD7" w:rsidRPr="000A0A5F" w:rsidRDefault="00CB0DD7">
      <w:pPr>
        <w:pStyle w:val="EX"/>
        <w:rPr>
          <w:lang w:val="en-US"/>
        </w:rPr>
      </w:pPr>
      <w:r w:rsidRPr="000A0A5F">
        <w:rPr>
          <w:lang w:val="en-US"/>
        </w:rPr>
        <w:t>[28]</w:t>
      </w:r>
      <w:r w:rsidRPr="000A0A5F">
        <w:rPr>
          <w:lang w:val="en-US"/>
        </w:rPr>
        <w:tab/>
        <w:t>IETF RFC 1166: "</w:t>
      </w:r>
      <w:r w:rsidRPr="000A0A5F">
        <w:t>Internet Numbers</w:t>
      </w:r>
      <w:r w:rsidRPr="000A0A5F">
        <w:rPr>
          <w:lang w:val="en-US"/>
        </w:rPr>
        <w:t>".</w:t>
      </w:r>
    </w:p>
    <w:p w:rsidR="00CB0DD7" w:rsidRPr="000A0A5F" w:rsidRDefault="00CB0DD7">
      <w:pPr>
        <w:pStyle w:val="EX"/>
        <w:rPr>
          <w:lang w:val="en-US"/>
        </w:rPr>
      </w:pPr>
      <w:r w:rsidRPr="000A0A5F">
        <w:rPr>
          <w:lang w:val="en-US"/>
        </w:rPr>
        <w:t>[29]</w:t>
      </w:r>
      <w:r w:rsidRPr="000A0A5F">
        <w:rPr>
          <w:lang w:val="en-US"/>
        </w:rPr>
        <w:tab/>
        <w:t>IETF RFC 5952: "A recommendation for Ipv6 address text representation".</w:t>
      </w:r>
    </w:p>
    <w:p w:rsidR="00CB0DD7" w:rsidRPr="000A0A5F" w:rsidRDefault="00CB0DD7">
      <w:pPr>
        <w:pStyle w:val="EX"/>
        <w:rPr>
          <w:snapToGrid w:val="0"/>
        </w:rPr>
      </w:pPr>
      <w:r w:rsidRPr="000A0A5F">
        <w:rPr>
          <w:lang w:val="en-US"/>
        </w:rPr>
        <w:t>[30]</w:t>
      </w:r>
      <w:r w:rsidRPr="000A0A5F">
        <w:rPr>
          <w:lang w:val="en-US"/>
        </w:rPr>
        <w:tab/>
      </w:r>
      <w:r w:rsidRPr="000A0A5F">
        <w:rPr>
          <w:snapToGrid w:val="0"/>
        </w:rPr>
        <w:t>3GPP TS 29.153: "Service capability exposure functionality over Ns reference point".</w:t>
      </w:r>
    </w:p>
    <w:p w:rsidR="00CB0DD7" w:rsidRPr="000A0A5F" w:rsidRDefault="00CB0DD7">
      <w:pPr>
        <w:pStyle w:val="EX"/>
        <w:rPr>
          <w:snapToGrid w:val="0"/>
        </w:rPr>
      </w:pPr>
      <w:r w:rsidRPr="000A0A5F">
        <w:rPr>
          <w:lang w:val="en-US"/>
        </w:rPr>
        <w:t>[31]</w:t>
      </w:r>
      <w:r w:rsidRPr="000A0A5F">
        <w:rPr>
          <w:lang w:val="en-US"/>
        </w:rPr>
        <w:tab/>
      </w:r>
      <w:r w:rsidRPr="000A0A5F">
        <w:rPr>
          <w:snapToGrid w:val="0"/>
        </w:rPr>
        <w:t>3GPP TS 24.250: "</w:t>
      </w:r>
      <w:r w:rsidRPr="000A0A5F">
        <w:t>Protocol for Reliable Data Service; Stage 3</w:t>
      </w:r>
      <w:r w:rsidRPr="000A0A5F">
        <w:rPr>
          <w:snapToGrid w:val="0"/>
        </w:rPr>
        <w:t>".</w:t>
      </w:r>
    </w:p>
    <w:p w:rsidR="00CB0DD7" w:rsidRPr="000A0A5F" w:rsidRDefault="00CB0DD7">
      <w:pPr>
        <w:pStyle w:val="EX"/>
        <w:rPr>
          <w:snapToGrid w:val="0"/>
          <w:lang w:val="de-DE"/>
        </w:rPr>
      </w:pPr>
      <w:r w:rsidRPr="000A0A5F">
        <w:t>[32]</w:t>
      </w:r>
      <w:r w:rsidRPr="000A0A5F">
        <w:tab/>
        <w:t>IETF RFC 6455: "The Websocket Protocol"</w:t>
      </w:r>
      <w:r w:rsidRPr="000A0A5F">
        <w:rPr>
          <w:snapToGrid w:val="0"/>
        </w:rPr>
        <w:t>.</w:t>
      </w:r>
    </w:p>
    <w:p w:rsidR="00CB0DD7" w:rsidRPr="000A0A5F" w:rsidRDefault="00CB0DD7">
      <w:pPr>
        <w:pStyle w:val="EX"/>
      </w:pPr>
      <w:r w:rsidRPr="000A0A5F">
        <w:rPr>
          <w:rFonts w:hint="eastAsia"/>
          <w:lang w:eastAsia="zh-CN"/>
        </w:rPr>
        <w:t>[</w:t>
      </w:r>
      <w:r w:rsidRPr="000A0A5F">
        <w:rPr>
          <w:lang w:eastAsia="zh-CN"/>
        </w:rPr>
        <w:t>33</w:t>
      </w:r>
      <w:r w:rsidRPr="000A0A5F">
        <w:rPr>
          <w:rFonts w:hint="eastAsia"/>
          <w:lang w:eastAsia="zh-CN"/>
        </w:rPr>
        <w:t>]</w:t>
      </w:r>
      <w:r w:rsidRPr="000A0A5F">
        <w:rPr>
          <w:rFonts w:hint="eastAsia"/>
          <w:lang w:eastAsia="zh-CN"/>
        </w:rPr>
        <w:tab/>
      </w:r>
      <w:r w:rsidRPr="000A0A5F">
        <w:rPr>
          <w:lang w:eastAsia="en-GB"/>
        </w:rPr>
        <w:t xml:space="preserve">3GPP TS 29.272: </w:t>
      </w:r>
      <w:r w:rsidRPr="000A0A5F">
        <w:t>"Mobility Management Entity (MME) and Serving GPRS Support Node (SGSN) related interfaces based on Diameter protocol".</w:t>
      </w:r>
    </w:p>
    <w:p w:rsidR="00CB0DD7" w:rsidRPr="000A0A5F" w:rsidRDefault="00CB0DD7">
      <w:pPr>
        <w:pStyle w:val="EX"/>
      </w:pPr>
      <w:r w:rsidRPr="000A0A5F">
        <w:rPr>
          <w:rFonts w:hint="eastAsia"/>
          <w:lang w:eastAsia="zh-CN"/>
        </w:rPr>
        <w:t>[</w:t>
      </w:r>
      <w:r w:rsidRPr="000A0A5F">
        <w:rPr>
          <w:lang w:eastAsia="zh-CN"/>
        </w:rPr>
        <w:t>34</w:t>
      </w:r>
      <w:r w:rsidRPr="000A0A5F">
        <w:rPr>
          <w:rFonts w:hint="eastAsia"/>
          <w:lang w:eastAsia="zh-CN"/>
        </w:rPr>
        <w:t>]</w:t>
      </w:r>
      <w:r w:rsidRPr="000A0A5F">
        <w:rPr>
          <w:rFonts w:hint="eastAsia"/>
          <w:lang w:eastAsia="zh-CN"/>
        </w:rPr>
        <w:tab/>
      </w:r>
      <w:r w:rsidRPr="000A0A5F">
        <w:rPr>
          <w:lang w:eastAsia="en-GB"/>
        </w:rPr>
        <w:t xml:space="preserve">3GPP TS 29.338: </w:t>
      </w:r>
      <w:r w:rsidRPr="000A0A5F">
        <w:t>"Diameter based protocols to support Short Message Service (SMS) capable Mobile Management Entities (MMEs)".</w:t>
      </w:r>
    </w:p>
    <w:p w:rsidR="00CB0DD7" w:rsidRPr="000A0A5F" w:rsidRDefault="00CB0DD7">
      <w:pPr>
        <w:pStyle w:val="EX"/>
        <w:rPr>
          <w:snapToGrid w:val="0"/>
        </w:rPr>
      </w:pPr>
      <w:r w:rsidRPr="000A0A5F">
        <w:t>[35]</w:t>
      </w:r>
      <w:r w:rsidRPr="000A0A5F">
        <w:tab/>
      </w:r>
      <w:r w:rsidRPr="000A0A5F">
        <w:rPr>
          <w:snapToGrid w:val="0"/>
        </w:rPr>
        <w:t>3GPP TS 33.187: "Security aspects of Machine-Type Communications (MTC) and other mobile data applications communications enhancements".</w:t>
      </w:r>
    </w:p>
    <w:p w:rsidR="00CB0DD7" w:rsidRPr="000A0A5F" w:rsidRDefault="00CB0DD7">
      <w:pPr>
        <w:pStyle w:val="EX"/>
        <w:rPr>
          <w:lang w:val="en-US"/>
        </w:rPr>
      </w:pPr>
      <w:r w:rsidRPr="000A0A5F">
        <w:rPr>
          <w:lang w:val="en-US"/>
        </w:rPr>
        <w:t>[36]</w:t>
      </w:r>
      <w:r w:rsidRPr="000A0A5F">
        <w:rPr>
          <w:lang w:val="en-US"/>
        </w:rPr>
        <w:tab/>
        <w:t>3GPP TS 29.468: "Group Communication System Enablers for LTE (GCSE_LTE);MB2 Reference Point;Stage 3".</w:t>
      </w:r>
    </w:p>
    <w:p w:rsidR="00CB0DD7" w:rsidRPr="000A0A5F" w:rsidRDefault="00CB0DD7">
      <w:pPr>
        <w:pStyle w:val="EX"/>
        <w:rPr>
          <w:lang w:val="en-US"/>
        </w:rPr>
      </w:pPr>
      <w:r w:rsidRPr="000A0A5F">
        <w:rPr>
          <w:lang w:val="en-US"/>
        </w:rPr>
        <w:t>[37]</w:t>
      </w:r>
      <w:r w:rsidRPr="000A0A5F">
        <w:rPr>
          <w:lang w:val="en-US"/>
        </w:rPr>
        <w:tab/>
        <w:t>3GPP TS 29.116: "Presentational state transfer over xMB reference point between Content Provider and BM-SC".</w:t>
      </w:r>
    </w:p>
    <w:p w:rsidR="00CB0DD7" w:rsidRPr="000A0A5F" w:rsidRDefault="00CB0DD7">
      <w:pPr>
        <w:pStyle w:val="EX"/>
      </w:pPr>
      <w:r w:rsidRPr="000A0A5F">
        <w:t>[38]</w:t>
      </w:r>
      <w:r w:rsidRPr="000A0A5F">
        <w:tab/>
        <w:t>IETF RFC 5789: "PATCH method for HTTP".</w:t>
      </w:r>
    </w:p>
    <w:p w:rsidR="00CB0DD7" w:rsidRPr="000A0A5F" w:rsidRDefault="00CB0DD7">
      <w:pPr>
        <w:pStyle w:val="EX"/>
      </w:pPr>
      <w:r w:rsidRPr="000A0A5F">
        <w:t>[39]</w:t>
      </w:r>
      <w:r w:rsidRPr="000A0A5F">
        <w:tab/>
        <w:t>IETF RFC 7396: "JSON Merge Patch".</w:t>
      </w:r>
    </w:p>
    <w:p w:rsidR="00CB0DD7" w:rsidRPr="000A0A5F" w:rsidRDefault="00CB0DD7">
      <w:pPr>
        <w:pStyle w:val="EX"/>
        <w:rPr>
          <w:lang w:eastAsia="zh-CN"/>
        </w:rPr>
      </w:pPr>
      <w:r w:rsidRPr="000A0A5F">
        <w:rPr>
          <w:lang w:eastAsia="zh-CN"/>
        </w:rPr>
        <w:t>[40]</w:t>
      </w:r>
      <w:r w:rsidRPr="000A0A5F">
        <w:rPr>
          <w:lang w:eastAsia="zh-CN"/>
        </w:rPr>
        <w:tab/>
        <w:t>IETF RFC 8259: "The JavaScript Object Notation (JSON) Data Interchange Format".</w:t>
      </w:r>
    </w:p>
    <w:p w:rsidR="00CB0DD7" w:rsidRPr="000A0A5F" w:rsidRDefault="00CB0DD7">
      <w:pPr>
        <w:pStyle w:val="EX"/>
      </w:pPr>
      <w:r w:rsidRPr="000A0A5F">
        <w:t>[41]</w:t>
      </w:r>
      <w:r w:rsidRPr="000A0A5F">
        <w:tab/>
        <w:t xml:space="preserve">YAML (10/2009): "YAML Ain't Markup Language (YAML™) Version 1.2", </w:t>
      </w:r>
      <w:hyperlink r:id="rId12" w:history="1">
        <w:r w:rsidRPr="000A0A5F">
          <w:rPr>
            <w:rStyle w:val="Hyperlink"/>
          </w:rPr>
          <w:t>http://www.yaml.org/spec/1.2/spec.html</w:t>
        </w:r>
      </w:hyperlink>
      <w:r w:rsidRPr="000A0A5F">
        <w:t>.</w:t>
      </w:r>
    </w:p>
    <w:p w:rsidR="00CB0DD7" w:rsidRPr="000A0A5F" w:rsidRDefault="00CB0DD7">
      <w:pPr>
        <w:pStyle w:val="EX"/>
        <w:rPr>
          <w:lang w:val="en-US"/>
        </w:rPr>
      </w:pPr>
      <w:r w:rsidRPr="000A0A5F">
        <w:rPr>
          <w:lang w:val="en-US"/>
        </w:rPr>
        <w:t>[42]</w:t>
      </w:r>
      <w:r w:rsidRPr="000A0A5F">
        <w:rPr>
          <w:lang w:val="en-US"/>
        </w:rPr>
        <w:tab/>
        <w:t>3GPP TS 29.572: "</w:t>
      </w:r>
      <w:r w:rsidRPr="000A0A5F">
        <w:t>5G System; Location Management Services; Stage 3</w:t>
      </w:r>
      <w:r w:rsidRPr="000A0A5F">
        <w:rPr>
          <w:lang w:val="en-US"/>
        </w:rPr>
        <w:t>".</w:t>
      </w:r>
    </w:p>
    <w:p w:rsidR="00CB0DD7" w:rsidRPr="000A0A5F" w:rsidRDefault="00CB0DD7">
      <w:pPr>
        <w:pStyle w:val="EX"/>
        <w:rPr>
          <w:lang w:eastAsia="en-GB"/>
        </w:rPr>
      </w:pPr>
      <w:r w:rsidRPr="000A0A5F">
        <w:rPr>
          <w:lang w:eastAsia="en-GB"/>
        </w:rPr>
        <w:t>[</w:t>
      </w:r>
      <w:r w:rsidRPr="000A0A5F">
        <w:t>43</w:t>
      </w:r>
      <w:r w:rsidRPr="000A0A5F">
        <w:rPr>
          <w:lang w:eastAsia="en-GB"/>
        </w:rPr>
        <w:t>]</w:t>
      </w:r>
      <w:r w:rsidRPr="000A0A5F">
        <w:rPr>
          <w:lang w:eastAsia="en-GB"/>
        </w:rPr>
        <w:tab/>
        <w:t>3GPP TS 23.040: "Technical realization of the Short Message Service (SMS)".</w:t>
      </w:r>
    </w:p>
    <w:p w:rsidR="00CB0DD7" w:rsidRPr="000A0A5F" w:rsidRDefault="00CB0DD7">
      <w:pPr>
        <w:pStyle w:val="EX"/>
      </w:pPr>
      <w:r w:rsidRPr="000A0A5F">
        <w:t>[44]</w:t>
      </w:r>
      <w:r w:rsidRPr="000A0A5F">
        <w:tab/>
        <w:t>3GPP TS 29.500: "5G System; Technical Realization of Service Based Architecture; Stage 3".</w:t>
      </w:r>
    </w:p>
    <w:p w:rsidR="00CB0DD7" w:rsidRPr="000A0A5F" w:rsidRDefault="00CB0DD7">
      <w:pPr>
        <w:pStyle w:val="EX"/>
        <w:rPr>
          <w:lang w:eastAsia="zh-CN"/>
        </w:rPr>
      </w:pPr>
      <w:r w:rsidRPr="000A0A5F">
        <w:rPr>
          <w:lang w:eastAsia="zh-CN"/>
        </w:rPr>
        <w:t>[45]</w:t>
      </w:r>
      <w:r w:rsidRPr="000A0A5F">
        <w:rPr>
          <w:lang w:eastAsia="zh-CN"/>
        </w:rPr>
        <w:tab/>
        <w:t>3GPP TS 29.571: "5G System; Common Data Types for Service Based Interfaces Stage 3".</w:t>
      </w:r>
    </w:p>
    <w:p w:rsidR="00CB0DD7" w:rsidRPr="000A0A5F" w:rsidRDefault="00CB0DD7">
      <w:pPr>
        <w:pStyle w:val="EX"/>
        <w:rPr>
          <w:lang w:eastAsia="zh-CN"/>
        </w:rPr>
      </w:pPr>
      <w:r w:rsidRPr="000A0A5F">
        <w:rPr>
          <w:lang w:eastAsia="zh-CN"/>
        </w:rPr>
        <w:t>[46]</w:t>
      </w:r>
      <w:r w:rsidRPr="000A0A5F">
        <w:rPr>
          <w:lang w:eastAsia="zh-CN"/>
        </w:rPr>
        <w:tab/>
        <w:t>IETF </w:t>
      </w:r>
      <w:r w:rsidRPr="000A0A5F">
        <w:rPr>
          <w:rFonts w:hint="eastAsia"/>
          <w:lang w:eastAsia="zh-CN"/>
        </w:rPr>
        <w:t>RFC</w:t>
      </w:r>
      <w:r w:rsidRPr="000A0A5F">
        <w:rPr>
          <w:lang w:eastAsia="zh-CN"/>
        </w:rPr>
        <w:t> </w:t>
      </w:r>
      <w:r w:rsidRPr="000A0A5F">
        <w:rPr>
          <w:rFonts w:hint="eastAsia"/>
          <w:lang w:eastAsia="zh-CN"/>
        </w:rPr>
        <w:t>6733</w:t>
      </w:r>
      <w:r w:rsidRPr="000A0A5F">
        <w:rPr>
          <w:lang w:eastAsia="zh-CN"/>
        </w:rPr>
        <w:t>:</w:t>
      </w:r>
      <w:r w:rsidRPr="000A0A5F">
        <w:rPr>
          <w:rFonts w:hint="eastAsia"/>
          <w:lang w:eastAsia="zh-CN"/>
        </w:rPr>
        <w:t xml:space="preserve"> </w:t>
      </w:r>
      <w:r w:rsidRPr="000A0A5F">
        <w:rPr>
          <w:lang w:eastAsia="zh-CN"/>
        </w:rPr>
        <w:t>"Diameter Base Protocol".</w:t>
      </w:r>
    </w:p>
    <w:p w:rsidR="00CB0DD7" w:rsidRPr="000A0A5F" w:rsidRDefault="00CB0DD7">
      <w:pPr>
        <w:pStyle w:val="EX"/>
        <w:rPr>
          <w:lang w:eastAsia="en-GB"/>
        </w:rPr>
      </w:pPr>
      <w:r w:rsidRPr="000A0A5F">
        <w:rPr>
          <w:lang w:eastAsia="en-GB"/>
        </w:rPr>
        <w:t>[47]</w:t>
      </w:r>
      <w:r w:rsidRPr="000A0A5F">
        <w:rPr>
          <w:lang w:eastAsia="en-GB"/>
        </w:rPr>
        <w:tab/>
        <w:t>3GPP TS 23.222: "</w:t>
      </w:r>
      <w:r w:rsidRPr="000A0A5F">
        <w:t>Common API Framework for 3GPP Northbound APIs; Stage 2</w:t>
      </w:r>
      <w:r w:rsidRPr="000A0A5F">
        <w:rPr>
          <w:lang w:eastAsia="en-GB"/>
        </w:rPr>
        <w:t>".</w:t>
      </w:r>
    </w:p>
    <w:p w:rsidR="00CB0DD7" w:rsidRPr="000A0A5F" w:rsidRDefault="00CB0DD7">
      <w:pPr>
        <w:pStyle w:val="EX"/>
        <w:rPr>
          <w:lang w:eastAsia="en-GB"/>
        </w:rPr>
      </w:pPr>
      <w:r w:rsidRPr="000A0A5F">
        <w:rPr>
          <w:lang w:eastAsia="en-GB"/>
        </w:rPr>
        <w:t>[48]</w:t>
      </w:r>
      <w:r w:rsidRPr="000A0A5F">
        <w:rPr>
          <w:lang w:eastAsia="en-GB"/>
        </w:rPr>
        <w:tab/>
        <w:t>3GPP TS 29.222: "</w:t>
      </w:r>
      <w:bookmarkStart w:id="52" w:name="_Hlk506360308"/>
      <w:r w:rsidRPr="000A0A5F">
        <w:t>Common API Framework for 3GPP Northbound APIs</w:t>
      </w:r>
      <w:bookmarkEnd w:id="52"/>
      <w:r w:rsidRPr="000A0A5F">
        <w:t>; Stage 3</w:t>
      </w:r>
      <w:r w:rsidRPr="000A0A5F">
        <w:rPr>
          <w:lang w:eastAsia="en-GB"/>
        </w:rPr>
        <w:t>".</w:t>
      </w:r>
    </w:p>
    <w:p w:rsidR="00CB0DD7" w:rsidRPr="000A0A5F" w:rsidRDefault="00CB0DD7">
      <w:pPr>
        <w:pStyle w:val="EX"/>
        <w:rPr>
          <w:lang w:eastAsia="zh-CN"/>
        </w:rPr>
      </w:pPr>
      <w:r w:rsidRPr="000A0A5F">
        <w:rPr>
          <w:rFonts w:hint="eastAsia"/>
          <w:lang w:eastAsia="zh-CN"/>
        </w:rPr>
        <w:t>[</w:t>
      </w:r>
      <w:r w:rsidRPr="000A0A5F">
        <w:rPr>
          <w:lang w:eastAsia="zh-CN"/>
        </w:rPr>
        <w:t>49</w:t>
      </w:r>
      <w:r w:rsidRPr="000A0A5F">
        <w:rPr>
          <w:rFonts w:hint="eastAsia"/>
          <w:lang w:eastAsia="zh-CN"/>
        </w:rPr>
        <w:t>]</w:t>
      </w:r>
      <w:r w:rsidRPr="000A0A5F">
        <w:rPr>
          <w:rFonts w:hint="eastAsia"/>
          <w:lang w:eastAsia="zh-CN"/>
        </w:rPr>
        <w:tab/>
      </w:r>
      <w:r w:rsidRPr="000A0A5F">
        <w:t>3GPP TS 29.501: "5G System; Principles and Guidelines for Services Definition; Stage 3"</w:t>
      </w:r>
      <w:r w:rsidRPr="000A0A5F">
        <w:rPr>
          <w:rFonts w:hint="eastAsia"/>
          <w:lang w:eastAsia="zh-CN"/>
        </w:rPr>
        <w:t>.</w:t>
      </w:r>
    </w:p>
    <w:p w:rsidR="00CB0DD7" w:rsidRPr="000A0A5F" w:rsidRDefault="00CB0DD7">
      <w:pPr>
        <w:pStyle w:val="EX"/>
      </w:pPr>
      <w:r w:rsidRPr="000A0A5F">
        <w:rPr>
          <w:lang w:val="en-US"/>
        </w:rPr>
        <w:t>[50]</w:t>
      </w:r>
      <w:r w:rsidRPr="000A0A5F">
        <w:rPr>
          <w:lang w:val="en-US"/>
        </w:rPr>
        <w:tab/>
      </w:r>
      <w:r w:rsidRPr="000A0A5F">
        <w:t xml:space="preserve">3GPP TS 29.554: </w:t>
      </w:r>
      <w:r w:rsidRPr="000A0A5F">
        <w:rPr>
          <w:lang w:eastAsia="zh-CN"/>
        </w:rPr>
        <w:t xml:space="preserve">"5G System; </w:t>
      </w:r>
      <w:r w:rsidRPr="000A0A5F">
        <w:t>Background Data Transfer Policy Control</w:t>
      </w:r>
      <w:r w:rsidRPr="000A0A5F">
        <w:rPr>
          <w:lang w:eastAsia="zh-CN"/>
        </w:rPr>
        <w:t xml:space="preserve"> Service; Stage 3"</w:t>
      </w:r>
      <w:r w:rsidRPr="000A0A5F">
        <w:t>.</w:t>
      </w:r>
    </w:p>
    <w:p w:rsidR="00CB0DD7" w:rsidRPr="000A0A5F" w:rsidRDefault="00CB0DD7">
      <w:pPr>
        <w:pStyle w:val="EX"/>
        <w:rPr>
          <w:lang w:val="en-US"/>
        </w:rPr>
      </w:pPr>
      <w:r w:rsidRPr="000A0A5F">
        <w:rPr>
          <w:lang w:eastAsia="zh-CN"/>
        </w:rPr>
        <w:t>[51]</w:t>
      </w:r>
      <w:r w:rsidRPr="000A0A5F">
        <w:rPr>
          <w:lang w:eastAsia="zh-CN"/>
        </w:rPr>
        <w:tab/>
      </w:r>
      <w:r w:rsidRPr="000A0A5F">
        <w:rPr>
          <w:lang w:val="en-US"/>
        </w:rPr>
        <w:t>IETF RFC 6749: "The OAuth 2.0 Authorization Framework".</w:t>
      </w:r>
    </w:p>
    <w:p w:rsidR="00CB0DD7" w:rsidRPr="000A0A5F" w:rsidRDefault="00CB0DD7">
      <w:pPr>
        <w:pStyle w:val="EX"/>
      </w:pPr>
      <w:r w:rsidRPr="000A0A5F">
        <w:t>[52]</w:t>
      </w:r>
      <w:r w:rsidRPr="000A0A5F">
        <w:tab/>
        <w:t>3GPP TS 29.514: "5G System; Policy Authorization Service; Stage 3".</w:t>
      </w:r>
    </w:p>
    <w:p w:rsidR="00CB0DD7" w:rsidRPr="000A0A5F" w:rsidRDefault="00CB0DD7">
      <w:pPr>
        <w:pStyle w:val="EX"/>
        <w:rPr>
          <w:lang w:eastAsia="en-GB"/>
        </w:rPr>
      </w:pPr>
      <w:r w:rsidRPr="000A0A5F">
        <w:rPr>
          <w:lang w:eastAsia="en-GB"/>
        </w:rPr>
        <w:t>[53]</w:t>
      </w:r>
      <w:r w:rsidRPr="000A0A5F">
        <w:rPr>
          <w:lang w:eastAsia="en-GB"/>
        </w:rPr>
        <w:tab/>
        <w:t>3GPP TS 33.122: "Security Aspects of Common API Framework for 3GPP Northbound APIs".</w:t>
      </w:r>
    </w:p>
    <w:p w:rsidR="00CB0DD7" w:rsidRPr="000A0A5F" w:rsidRDefault="00CB0DD7">
      <w:pPr>
        <w:pStyle w:val="EX"/>
        <w:rPr>
          <w:snapToGrid w:val="0"/>
        </w:rPr>
      </w:pPr>
      <w:r w:rsidRPr="000A0A5F">
        <w:t>[54]</w:t>
      </w:r>
      <w:r w:rsidRPr="000A0A5F">
        <w:tab/>
      </w:r>
      <w:r w:rsidRPr="000A0A5F">
        <w:rPr>
          <w:snapToGrid w:val="0"/>
        </w:rPr>
        <w:t>3GPP TS 38.413: "NG-RAN; NG Application Protocol (NGAP)".</w:t>
      </w:r>
    </w:p>
    <w:p w:rsidR="00CB0DD7" w:rsidRPr="000A0A5F" w:rsidRDefault="00CB0DD7">
      <w:pPr>
        <w:pStyle w:val="EX"/>
      </w:pPr>
      <w:r w:rsidRPr="000A0A5F">
        <w:t>[55]</w:t>
      </w:r>
      <w:r w:rsidRPr="000A0A5F">
        <w:tab/>
        <w:t>3GPP TS 23.468: "Group Communication System Enablers for LTE (GCSE_LTE); stage 2".</w:t>
      </w:r>
    </w:p>
    <w:p w:rsidR="00CB0DD7" w:rsidRPr="000A0A5F" w:rsidRDefault="00CB0DD7">
      <w:pPr>
        <w:pStyle w:val="EX"/>
      </w:pPr>
      <w:r w:rsidRPr="000A0A5F">
        <w:t>[56]</w:t>
      </w:r>
      <w:r w:rsidRPr="000A0A5F">
        <w:tab/>
        <w:t>3GPP TS 26.348, "Northbound Application Programming Interface (API) for Multimedia Broadcast/Multicast Service (MBMS) at the xMB reference point".</w:t>
      </w:r>
    </w:p>
    <w:p w:rsidR="00CB0DD7" w:rsidRPr="000A0A5F" w:rsidRDefault="00CB0DD7">
      <w:pPr>
        <w:pStyle w:val="EX"/>
      </w:pPr>
      <w:r w:rsidRPr="000A0A5F">
        <w:t>[57]</w:t>
      </w:r>
      <w:r w:rsidRPr="000A0A5F">
        <w:tab/>
        <w:t>3GPP TS 29.508: "5G System; Session Management Event Exposure Service; Stage 3".</w:t>
      </w:r>
    </w:p>
    <w:p w:rsidR="00CB0DD7" w:rsidRPr="000A0A5F" w:rsidRDefault="00CB0DD7">
      <w:pPr>
        <w:pStyle w:val="EX"/>
      </w:pPr>
      <w:r w:rsidRPr="000A0A5F">
        <w:t>[58]</w:t>
      </w:r>
      <w:r w:rsidRPr="000A0A5F">
        <w:tab/>
        <w:t>3GPP TR 21.900: "Technical Specification Group working methods".</w:t>
      </w:r>
    </w:p>
    <w:p w:rsidR="00CB0DD7" w:rsidRPr="000A0A5F" w:rsidRDefault="00CB0DD7">
      <w:pPr>
        <w:pStyle w:val="EX"/>
      </w:pPr>
      <w:r w:rsidRPr="000A0A5F">
        <w:t>[59]</w:t>
      </w:r>
      <w:r w:rsidRPr="000A0A5F">
        <w:tab/>
        <w:t>3GPP TS 36.331: "Evolved Universal Terrestrial Radio Access (E-UTRA) Radio Resource Control (RRC); Protocol Specification".</w:t>
      </w:r>
    </w:p>
    <w:p w:rsidR="00CB0DD7" w:rsidRPr="000A0A5F" w:rsidRDefault="00CB0DD7">
      <w:pPr>
        <w:pStyle w:val="EX"/>
      </w:pPr>
      <w:r w:rsidRPr="000A0A5F">
        <w:t>[60]</w:t>
      </w:r>
      <w:r w:rsidRPr="000A0A5F">
        <w:tab/>
        <w:t>3GPP TS 38.331: "NR; Radio Resource Control (RRC) protocol specification".</w:t>
      </w:r>
    </w:p>
    <w:p w:rsidR="00CB0DD7" w:rsidRPr="000A0A5F" w:rsidRDefault="00CB0DD7">
      <w:pPr>
        <w:pStyle w:val="EX"/>
      </w:pPr>
      <w:r w:rsidRPr="000A0A5F">
        <w:t>[61]</w:t>
      </w:r>
      <w:r w:rsidRPr="000A0A5F">
        <w:tab/>
        <w:t>3GPP TS 29.675: "User Equipment (UE) radio capability provisioning service; Stage 3".</w:t>
      </w:r>
    </w:p>
    <w:p w:rsidR="00CB0DD7" w:rsidRPr="000A0A5F" w:rsidRDefault="00CB0DD7">
      <w:pPr>
        <w:pStyle w:val="EX"/>
        <w:rPr>
          <w:lang w:eastAsia="en-GB"/>
        </w:rPr>
      </w:pPr>
      <w:r w:rsidRPr="000A0A5F">
        <w:rPr>
          <w:lang w:eastAsia="en-GB"/>
        </w:rPr>
        <w:t>[62]</w:t>
      </w:r>
      <w:r w:rsidRPr="000A0A5F">
        <w:rPr>
          <w:lang w:eastAsia="en-GB"/>
        </w:rPr>
        <w:tab/>
        <w:t>3GPP TS 29.522: "</w:t>
      </w:r>
      <w:r w:rsidRPr="000A0A5F">
        <w:t>5G System; Network Exposure Function Northbound APIs; Stage 3</w:t>
      </w:r>
      <w:r w:rsidRPr="000A0A5F">
        <w:rPr>
          <w:lang w:eastAsia="en-GB"/>
        </w:rPr>
        <w:t>".</w:t>
      </w:r>
    </w:p>
    <w:p w:rsidR="00CB0DD7" w:rsidRPr="000A0A5F" w:rsidRDefault="00CB0DD7">
      <w:pPr>
        <w:pStyle w:val="EX"/>
      </w:pPr>
      <w:r w:rsidRPr="000A0A5F">
        <w:rPr>
          <w:lang w:eastAsia="zh-CN"/>
        </w:rPr>
        <w:t>[63</w:t>
      </w:r>
      <w:r w:rsidRPr="000A0A5F">
        <w:rPr>
          <w:rFonts w:hint="eastAsia"/>
          <w:lang w:eastAsia="zh-CN"/>
        </w:rPr>
        <w:t>]</w:t>
      </w:r>
      <w:r w:rsidRPr="000A0A5F">
        <w:rPr>
          <w:rFonts w:hint="eastAsia"/>
          <w:lang w:eastAsia="zh-CN"/>
        </w:rPr>
        <w:tab/>
      </w:r>
      <w:r w:rsidRPr="000A0A5F">
        <w:t>3GPP TS 29.503: "5G System; Unified Data Management Services; Stage 3"</w:t>
      </w:r>
      <w:r w:rsidRPr="000A0A5F">
        <w:rPr>
          <w:rFonts w:hint="eastAsia"/>
          <w:lang w:eastAsia="zh-CN"/>
        </w:rPr>
        <w:t>.</w:t>
      </w:r>
    </w:p>
    <w:p w:rsidR="00CB0DD7" w:rsidRPr="000A0A5F" w:rsidRDefault="00CB0DD7">
      <w:pPr>
        <w:pStyle w:val="EX"/>
        <w:rPr>
          <w:lang w:eastAsia="zh-CN"/>
        </w:rPr>
      </w:pPr>
      <w:r w:rsidRPr="000A0A5F">
        <w:t>[64]</w:t>
      </w:r>
      <w:r w:rsidRPr="000A0A5F">
        <w:tab/>
        <w:t>3GPP TS 24.526: "User Equipment (UE) policies for 5G System (5GS); Stage 3".</w:t>
      </w:r>
    </w:p>
    <w:p w:rsidR="00CB0DD7" w:rsidRPr="000A0A5F" w:rsidRDefault="00CB0DD7">
      <w:pPr>
        <w:pStyle w:val="EX"/>
        <w:rPr>
          <w:rFonts w:hint="eastAsia"/>
          <w:lang w:eastAsia="zh-CN"/>
        </w:rPr>
      </w:pPr>
      <w:r w:rsidRPr="000A0A5F">
        <w:rPr>
          <w:rFonts w:hint="eastAsia"/>
          <w:lang w:eastAsia="zh-CN"/>
        </w:rPr>
        <w:t>[</w:t>
      </w:r>
      <w:r w:rsidRPr="000A0A5F">
        <w:rPr>
          <w:lang w:eastAsia="zh-CN"/>
        </w:rPr>
        <w:t>65</w:t>
      </w:r>
      <w:r w:rsidRPr="000A0A5F">
        <w:rPr>
          <w:rFonts w:hint="eastAsia"/>
          <w:lang w:eastAsia="zh-CN"/>
        </w:rPr>
        <w:t>]</w:t>
      </w:r>
      <w:r w:rsidRPr="000A0A5F">
        <w:rPr>
          <w:rFonts w:hint="eastAsia"/>
          <w:lang w:eastAsia="zh-CN"/>
        </w:rPr>
        <w:tab/>
      </w:r>
      <w:r w:rsidRPr="000A0A5F">
        <w:t>3GPP TS 29.515: "5G System; Gateway Mobile Location Services; Stage 3"</w:t>
      </w:r>
      <w:r w:rsidRPr="000A0A5F">
        <w:rPr>
          <w:rFonts w:hint="eastAsia"/>
          <w:lang w:eastAsia="zh-CN"/>
        </w:rPr>
        <w:t>.</w:t>
      </w:r>
    </w:p>
    <w:p w:rsidR="00C03825" w:rsidRPr="000A0A5F" w:rsidRDefault="00C03825" w:rsidP="00C03825">
      <w:pPr>
        <w:pStyle w:val="EX"/>
        <w:rPr>
          <w:lang w:val="fr-FR"/>
        </w:rPr>
      </w:pPr>
      <w:bookmarkStart w:id="53" w:name="_Toc11247177"/>
      <w:bookmarkStart w:id="54" w:name="_Toc27044293"/>
      <w:bookmarkStart w:id="55" w:name="_Toc36033335"/>
      <w:bookmarkStart w:id="56" w:name="_Toc45131465"/>
      <w:bookmarkStart w:id="57" w:name="_Toc49775750"/>
      <w:bookmarkStart w:id="58" w:name="_Toc51746670"/>
      <w:bookmarkStart w:id="59" w:name="_Toc66360212"/>
      <w:bookmarkStart w:id="60" w:name="_Toc68104717"/>
      <w:bookmarkStart w:id="61" w:name="_Toc74755346"/>
      <w:r w:rsidRPr="000A0A5F">
        <w:rPr>
          <w:lang w:val="fr-FR"/>
        </w:rPr>
        <w:t>[66]</w:t>
      </w:r>
      <w:r w:rsidRPr="000A0A5F">
        <w:rPr>
          <w:lang w:val="fr-FR"/>
        </w:rPr>
        <w:tab/>
        <w:t>IETF RFC 5322: "Internet Message Format".</w:t>
      </w:r>
    </w:p>
    <w:p w:rsidR="005B3BD0" w:rsidRPr="000A0A5F" w:rsidRDefault="005B3BD0" w:rsidP="005B3BD0">
      <w:pPr>
        <w:pStyle w:val="EX"/>
        <w:rPr>
          <w:lang w:eastAsia="zh-CN"/>
        </w:rPr>
      </w:pPr>
      <w:r w:rsidRPr="000A0A5F">
        <w:rPr>
          <w:lang w:eastAsia="zh-CN"/>
        </w:rPr>
        <w:t>[67]</w:t>
      </w:r>
      <w:r w:rsidRPr="000A0A5F">
        <w:rPr>
          <w:lang w:eastAsia="zh-CN"/>
        </w:rPr>
        <w:tab/>
        <w:t>IETF RFC 6902: "JavaScript Object Notation (JSON) Patch".</w:t>
      </w:r>
    </w:p>
    <w:p w:rsidR="00E37664" w:rsidRPr="000A0A5F" w:rsidRDefault="00E37664" w:rsidP="00E37664">
      <w:pPr>
        <w:pStyle w:val="EX"/>
        <w:rPr>
          <w:snapToGrid w:val="0"/>
        </w:rPr>
      </w:pPr>
      <w:r w:rsidRPr="000A0A5F">
        <w:t>[</w:t>
      </w:r>
      <w:r w:rsidR="00AC79C0" w:rsidRPr="000A0A5F">
        <w:t>68</w:t>
      </w:r>
      <w:r w:rsidRPr="000A0A5F">
        <w:t>]</w:t>
      </w:r>
      <w:r w:rsidRPr="000A0A5F">
        <w:tab/>
      </w:r>
      <w:r w:rsidRPr="000A0A5F">
        <w:rPr>
          <w:snapToGrid w:val="0"/>
        </w:rPr>
        <w:t>3GPP TS 33.558: "</w:t>
      </w:r>
      <w:r w:rsidRPr="000A0A5F">
        <w:t>Security aspects of enhancement of support for enabling edge</w:t>
      </w:r>
      <w:r w:rsidRPr="000A0A5F">
        <w:rPr>
          <w:snapToGrid w:val="0"/>
        </w:rPr>
        <w:t xml:space="preserve"> applications; Stage 2".</w:t>
      </w:r>
    </w:p>
    <w:p w:rsidR="004418EE" w:rsidRPr="000A0A5F" w:rsidRDefault="004418EE" w:rsidP="004418EE">
      <w:pPr>
        <w:pStyle w:val="EX"/>
      </w:pPr>
      <w:r w:rsidRPr="000A0A5F">
        <w:t>[69]</w:t>
      </w:r>
      <w:r w:rsidRPr="000A0A5F">
        <w:tab/>
        <w:t>IETF RFC 5234: "Augmented BNF for Syntax Specifications: ABNF".</w:t>
      </w:r>
    </w:p>
    <w:p w:rsidR="00207CE7" w:rsidRPr="000A0A5F" w:rsidRDefault="00207CE7" w:rsidP="00207CE7">
      <w:pPr>
        <w:pStyle w:val="EX"/>
        <w:rPr>
          <w:lang w:eastAsia="zh-CN"/>
        </w:rPr>
      </w:pPr>
      <w:bookmarkStart w:id="62" w:name="_Toc105674201"/>
      <w:bookmarkStart w:id="63" w:name="_Toc130502234"/>
      <w:r w:rsidRPr="000A0A5F">
        <w:rPr>
          <w:lang w:eastAsia="zh-CN"/>
        </w:rPr>
        <w:t>[70]</w:t>
      </w:r>
      <w:r w:rsidRPr="000A0A5F">
        <w:rPr>
          <w:lang w:eastAsia="zh-CN"/>
        </w:rPr>
        <w:tab/>
      </w:r>
      <w:r w:rsidRPr="000A0A5F">
        <w:t>3GPP TS 29.523: "5G System; Policy Control Event Exposure Service; Stage 3"</w:t>
      </w:r>
      <w:r w:rsidRPr="000A0A5F">
        <w:rPr>
          <w:lang w:eastAsia="zh-CN"/>
        </w:rPr>
        <w:t>.</w:t>
      </w:r>
    </w:p>
    <w:p w:rsidR="00207CE7" w:rsidRPr="000A0A5F" w:rsidRDefault="00207CE7" w:rsidP="00207CE7">
      <w:pPr>
        <w:pStyle w:val="EX"/>
      </w:pPr>
      <w:r w:rsidRPr="000A0A5F">
        <w:t>[71]</w:t>
      </w:r>
      <w:r w:rsidRPr="000A0A5F">
        <w:tab/>
        <w:t>IETF RFC 6901: "JavaScript Object Notation (JSON) Pointer".</w:t>
      </w:r>
    </w:p>
    <w:p w:rsidR="00CB0DD7" w:rsidRPr="000A0A5F" w:rsidRDefault="00CB0DD7">
      <w:pPr>
        <w:pStyle w:val="Heading1"/>
      </w:pPr>
      <w:bookmarkStart w:id="64" w:name="_Toc153625013"/>
      <w:r w:rsidRPr="000A0A5F">
        <w:t>3</w:t>
      </w:r>
      <w:r w:rsidRPr="000A0A5F">
        <w:tab/>
        <w:t>Definitions</w:t>
      </w:r>
      <w:r w:rsidRPr="000A0A5F">
        <w:rPr>
          <w:rFonts w:hint="eastAsia"/>
          <w:lang w:eastAsia="zh-CN"/>
        </w:rPr>
        <w:t xml:space="preserve"> </w:t>
      </w:r>
      <w:r w:rsidRPr="000A0A5F">
        <w:t>and abbreviations</w:t>
      </w:r>
      <w:bookmarkEnd w:id="53"/>
      <w:bookmarkEnd w:id="54"/>
      <w:bookmarkEnd w:id="55"/>
      <w:bookmarkEnd w:id="56"/>
      <w:bookmarkEnd w:id="57"/>
      <w:bookmarkEnd w:id="58"/>
      <w:bookmarkEnd w:id="59"/>
      <w:bookmarkEnd w:id="60"/>
      <w:bookmarkEnd w:id="61"/>
      <w:bookmarkEnd w:id="62"/>
      <w:bookmarkEnd w:id="63"/>
      <w:bookmarkEnd w:id="64"/>
    </w:p>
    <w:p w:rsidR="00CB0DD7" w:rsidRPr="000A0A5F" w:rsidRDefault="00CB0DD7">
      <w:pPr>
        <w:pStyle w:val="Heading2"/>
      </w:pPr>
      <w:bookmarkStart w:id="65" w:name="_Toc11247178"/>
      <w:bookmarkStart w:id="66" w:name="_Toc27044294"/>
      <w:bookmarkStart w:id="67" w:name="_Toc36033336"/>
      <w:bookmarkStart w:id="68" w:name="_Toc45131466"/>
      <w:bookmarkStart w:id="69" w:name="_Toc49775751"/>
      <w:bookmarkStart w:id="70" w:name="_Toc51746671"/>
      <w:bookmarkStart w:id="71" w:name="_Toc66360213"/>
      <w:bookmarkStart w:id="72" w:name="_Toc68104718"/>
      <w:bookmarkStart w:id="73" w:name="_Toc74755347"/>
      <w:bookmarkStart w:id="74" w:name="_Toc105674202"/>
      <w:bookmarkStart w:id="75" w:name="_Toc130502235"/>
      <w:bookmarkStart w:id="76" w:name="_Toc153625014"/>
      <w:r w:rsidRPr="000A0A5F">
        <w:t>3.1</w:t>
      </w:r>
      <w:r w:rsidRPr="000A0A5F">
        <w:tab/>
        <w:t>Definitions</w:t>
      </w:r>
      <w:bookmarkEnd w:id="65"/>
      <w:bookmarkEnd w:id="66"/>
      <w:bookmarkEnd w:id="67"/>
      <w:bookmarkEnd w:id="68"/>
      <w:bookmarkEnd w:id="69"/>
      <w:bookmarkEnd w:id="70"/>
      <w:bookmarkEnd w:id="71"/>
      <w:bookmarkEnd w:id="72"/>
      <w:bookmarkEnd w:id="73"/>
      <w:bookmarkEnd w:id="74"/>
      <w:bookmarkEnd w:id="75"/>
      <w:bookmarkEnd w:id="76"/>
    </w:p>
    <w:p w:rsidR="00CB0DD7" w:rsidRPr="000A0A5F" w:rsidRDefault="00CB0DD7">
      <w:r w:rsidRPr="000A0A5F">
        <w:t>For the purposes of the present document, the terms and definitions given in 3GPP TR 21.905 [1] and the following apply. A term defined in the present document takes precedence over the definition of the same term, if any, in 3GPP TR 21.905 [1].</w:t>
      </w:r>
    </w:p>
    <w:p w:rsidR="00CB0DD7" w:rsidRPr="000A0A5F" w:rsidRDefault="00CB0DD7">
      <w:pPr>
        <w:pStyle w:val="Heading2"/>
      </w:pPr>
      <w:bookmarkStart w:id="77" w:name="_Toc11247179"/>
      <w:bookmarkStart w:id="78" w:name="_Toc27044295"/>
      <w:bookmarkStart w:id="79" w:name="_Toc36033337"/>
      <w:bookmarkStart w:id="80" w:name="_Toc45131467"/>
      <w:bookmarkStart w:id="81" w:name="_Toc49775752"/>
      <w:bookmarkStart w:id="82" w:name="_Toc51746672"/>
      <w:bookmarkStart w:id="83" w:name="_Toc66360214"/>
      <w:bookmarkStart w:id="84" w:name="_Toc68104719"/>
      <w:bookmarkStart w:id="85" w:name="_Toc74755348"/>
      <w:bookmarkStart w:id="86" w:name="_Toc105674203"/>
      <w:bookmarkStart w:id="87" w:name="_Toc130502236"/>
      <w:bookmarkStart w:id="88" w:name="_Toc153625015"/>
      <w:r w:rsidRPr="000A0A5F">
        <w:t>3.2</w:t>
      </w:r>
      <w:r w:rsidRPr="000A0A5F">
        <w:tab/>
        <w:t>Abbreviations</w:t>
      </w:r>
      <w:bookmarkEnd w:id="77"/>
      <w:bookmarkEnd w:id="78"/>
      <w:bookmarkEnd w:id="79"/>
      <w:bookmarkEnd w:id="80"/>
      <w:bookmarkEnd w:id="81"/>
      <w:bookmarkEnd w:id="82"/>
      <w:bookmarkEnd w:id="83"/>
      <w:bookmarkEnd w:id="84"/>
      <w:bookmarkEnd w:id="85"/>
      <w:bookmarkEnd w:id="86"/>
      <w:bookmarkEnd w:id="87"/>
      <w:bookmarkEnd w:id="88"/>
    </w:p>
    <w:p w:rsidR="00CB0DD7" w:rsidRPr="000A0A5F" w:rsidRDefault="00CB0DD7">
      <w:pPr>
        <w:keepNext/>
      </w:pPr>
      <w:r w:rsidRPr="000A0A5F">
        <w:t>For the purposes of the present document, the abbreviations given in 3GPP TR 21.905 [1] and the following apply. An abbreviation defined in the present document takes precedence over the definition of the same abbreviation, if any, in 3GPP TR 21.905 [1].</w:t>
      </w:r>
    </w:p>
    <w:p w:rsidR="00BA7108" w:rsidRPr="000A0A5F" w:rsidRDefault="00BA7108" w:rsidP="00BA7108">
      <w:pPr>
        <w:pStyle w:val="EW"/>
        <w:overflowPunct w:val="0"/>
        <w:autoSpaceDE w:val="0"/>
        <w:autoSpaceDN w:val="0"/>
        <w:adjustRightInd w:val="0"/>
        <w:textAlignment w:val="baseline"/>
        <w:rPr>
          <w:lang w:eastAsia="zh-CN"/>
        </w:rPr>
      </w:pPr>
      <w:r w:rsidRPr="000A0A5F">
        <w:rPr>
          <w:rFonts w:hint="eastAsia"/>
          <w:lang w:eastAsia="zh-CN"/>
        </w:rPr>
        <w:t>AF</w:t>
      </w:r>
      <w:r w:rsidRPr="000A0A5F">
        <w:rPr>
          <w:rFonts w:hint="eastAsia"/>
          <w:lang w:eastAsia="zh-CN"/>
        </w:rPr>
        <w:tab/>
      </w:r>
      <w:r w:rsidRPr="000A0A5F">
        <w:rPr>
          <w:lang w:eastAsia="zh-CN"/>
        </w:rPr>
        <w:t>Application Function</w:t>
      </w:r>
    </w:p>
    <w:p w:rsidR="00BA7108" w:rsidRPr="000A0A5F" w:rsidRDefault="00BA7108" w:rsidP="00BA7108">
      <w:pPr>
        <w:pStyle w:val="EW"/>
        <w:overflowPunct w:val="0"/>
        <w:autoSpaceDE w:val="0"/>
        <w:autoSpaceDN w:val="0"/>
        <w:adjustRightInd w:val="0"/>
        <w:textAlignment w:val="baseline"/>
        <w:rPr>
          <w:lang w:eastAsia="zh-CN"/>
        </w:rPr>
      </w:pPr>
      <w:r w:rsidRPr="000A0A5F">
        <w:t>AI/ML</w:t>
      </w:r>
      <w:r w:rsidRPr="000A0A5F">
        <w:tab/>
        <w:t>Artificial Intelligence/Machine Learning</w:t>
      </w:r>
    </w:p>
    <w:p w:rsidR="00CB0DD7" w:rsidRPr="000A0A5F" w:rsidRDefault="00CB0DD7">
      <w:pPr>
        <w:pStyle w:val="EW"/>
        <w:overflowPunct w:val="0"/>
        <w:autoSpaceDE w:val="0"/>
        <w:autoSpaceDN w:val="0"/>
        <w:adjustRightInd w:val="0"/>
        <w:textAlignment w:val="baseline"/>
        <w:rPr>
          <w:lang w:eastAsia="zh-CN"/>
        </w:rPr>
      </w:pPr>
      <w:r w:rsidRPr="000A0A5F">
        <w:rPr>
          <w:rFonts w:hint="eastAsia"/>
          <w:lang w:eastAsia="zh-CN"/>
        </w:rPr>
        <w:t>AS</w:t>
      </w:r>
      <w:r w:rsidRPr="000A0A5F">
        <w:rPr>
          <w:rFonts w:hint="eastAsia"/>
          <w:lang w:eastAsia="zh-CN"/>
        </w:rPr>
        <w:tab/>
        <w:t>Application Server</w:t>
      </w:r>
    </w:p>
    <w:p w:rsidR="00CB0DD7" w:rsidRPr="000A0A5F" w:rsidRDefault="00CB0DD7">
      <w:pPr>
        <w:pStyle w:val="EW"/>
        <w:overflowPunct w:val="0"/>
        <w:autoSpaceDE w:val="0"/>
        <w:autoSpaceDN w:val="0"/>
        <w:adjustRightInd w:val="0"/>
        <w:textAlignment w:val="baseline"/>
        <w:rPr>
          <w:rFonts w:hint="eastAsia"/>
          <w:lang w:eastAsia="zh-CN"/>
        </w:rPr>
      </w:pPr>
      <w:r w:rsidRPr="000A0A5F">
        <w:rPr>
          <w:lang w:eastAsia="zh-CN"/>
        </w:rPr>
        <w:t>ASP</w:t>
      </w:r>
      <w:r w:rsidRPr="000A0A5F">
        <w:rPr>
          <w:lang w:eastAsia="zh-CN"/>
        </w:rPr>
        <w:tab/>
      </w:r>
      <w:r w:rsidRPr="000A0A5F">
        <w:t>Application Service Provider</w:t>
      </w:r>
    </w:p>
    <w:p w:rsidR="00F7106A" w:rsidRPr="000A0A5F" w:rsidRDefault="00F7106A" w:rsidP="00F7106A">
      <w:pPr>
        <w:keepLines/>
        <w:spacing w:after="0"/>
        <w:ind w:left="1702" w:hanging="1418"/>
        <w:rPr>
          <w:rFonts w:eastAsia="DengXian"/>
          <w:lang w:eastAsia="zh-CN"/>
        </w:rPr>
      </w:pPr>
      <w:r w:rsidRPr="000A0A5F">
        <w:rPr>
          <w:rFonts w:eastAsia="DengXian"/>
          <w:lang w:eastAsia="zh-CN"/>
        </w:rPr>
        <w:t>BAT</w:t>
      </w:r>
      <w:r w:rsidRPr="000A0A5F">
        <w:rPr>
          <w:rFonts w:eastAsia="DengXian"/>
          <w:lang w:eastAsia="zh-CN"/>
        </w:rPr>
        <w:tab/>
      </w:r>
      <w:r w:rsidRPr="000A0A5F">
        <w:t>Burst Arrival Time</w:t>
      </w:r>
    </w:p>
    <w:p w:rsidR="00CB0DD7" w:rsidRPr="000A0A5F" w:rsidRDefault="00CB0DD7">
      <w:pPr>
        <w:pStyle w:val="EW"/>
        <w:overflowPunct w:val="0"/>
        <w:autoSpaceDE w:val="0"/>
        <w:autoSpaceDN w:val="0"/>
        <w:adjustRightInd w:val="0"/>
        <w:textAlignment w:val="baseline"/>
        <w:rPr>
          <w:lang w:eastAsia="zh-CN"/>
        </w:rPr>
      </w:pPr>
      <w:r w:rsidRPr="000A0A5F">
        <w:rPr>
          <w:lang w:eastAsia="zh-CN"/>
        </w:rPr>
        <w:t>BDT</w:t>
      </w:r>
      <w:r w:rsidRPr="000A0A5F">
        <w:rPr>
          <w:lang w:eastAsia="zh-CN"/>
        </w:rPr>
        <w:tab/>
        <w:t>B</w:t>
      </w:r>
      <w:r w:rsidRPr="000A0A5F">
        <w:rPr>
          <w:rFonts w:hint="eastAsia"/>
          <w:lang w:eastAsia="zh-CN"/>
        </w:rPr>
        <w:t xml:space="preserve">ackground </w:t>
      </w:r>
      <w:r w:rsidRPr="000A0A5F">
        <w:rPr>
          <w:lang w:eastAsia="zh-CN"/>
        </w:rPr>
        <w:t>D</w:t>
      </w:r>
      <w:r w:rsidRPr="000A0A5F">
        <w:rPr>
          <w:rFonts w:hint="eastAsia"/>
          <w:lang w:eastAsia="zh-CN"/>
        </w:rPr>
        <w:t xml:space="preserve">ata </w:t>
      </w:r>
      <w:r w:rsidRPr="000A0A5F">
        <w:rPr>
          <w:lang w:eastAsia="zh-CN"/>
        </w:rPr>
        <w:t>T</w:t>
      </w:r>
      <w:r w:rsidRPr="000A0A5F">
        <w:rPr>
          <w:rFonts w:hint="eastAsia"/>
          <w:lang w:eastAsia="zh-CN"/>
        </w:rPr>
        <w:t>ransfer</w:t>
      </w:r>
    </w:p>
    <w:p w:rsidR="00CB0DD7" w:rsidRPr="000A0A5F" w:rsidRDefault="00CB0DD7">
      <w:pPr>
        <w:pStyle w:val="EW"/>
        <w:overflowPunct w:val="0"/>
        <w:autoSpaceDE w:val="0"/>
        <w:autoSpaceDN w:val="0"/>
        <w:adjustRightInd w:val="0"/>
        <w:textAlignment w:val="baseline"/>
        <w:rPr>
          <w:rFonts w:hint="eastAsia"/>
          <w:lang w:eastAsia="zh-CN"/>
        </w:rPr>
      </w:pPr>
      <w:r w:rsidRPr="000A0A5F">
        <w:rPr>
          <w:lang w:eastAsia="zh-CN"/>
        </w:rPr>
        <w:t>CAPIF</w:t>
      </w:r>
      <w:r w:rsidRPr="000A0A5F">
        <w:rPr>
          <w:lang w:eastAsia="zh-CN"/>
        </w:rPr>
        <w:tab/>
        <w:t>Common API Framework</w:t>
      </w:r>
    </w:p>
    <w:p w:rsidR="00CB0DD7" w:rsidRPr="000A0A5F" w:rsidRDefault="00CB0DD7">
      <w:pPr>
        <w:pStyle w:val="EW"/>
        <w:overflowPunct w:val="0"/>
        <w:autoSpaceDE w:val="0"/>
        <w:autoSpaceDN w:val="0"/>
        <w:adjustRightInd w:val="0"/>
        <w:textAlignment w:val="baseline"/>
        <w:rPr>
          <w:lang w:eastAsia="zh-CN"/>
        </w:rPr>
      </w:pPr>
      <w:r w:rsidRPr="000A0A5F">
        <w:rPr>
          <w:lang w:eastAsia="zh-CN"/>
        </w:rPr>
        <w:t>CP</w:t>
      </w:r>
      <w:r w:rsidRPr="000A0A5F">
        <w:rPr>
          <w:lang w:eastAsia="zh-CN"/>
        </w:rPr>
        <w:tab/>
        <w:t>Communication Pattern</w:t>
      </w:r>
    </w:p>
    <w:p w:rsidR="00CB0DD7" w:rsidRPr="000A0A5F" w:rsidRDefault="00CB0DD7">
      <w:pPr>
        <w:pStyle w:val="EW"/>
        <w:overflowPunct w:val="0"/>
        <w:autoSpaceDE w:val="0"/>
        <w:autoSpaceDN w:val="0"/>
        <w:adjustRightInd w:val="0"/>
        <w:textAlignment w:val="baseline"/>
        <w:rPr>
          <w:lang w:eastAsia="zh-CN"/>
        </w:rPr>
      </w:pPr>
      <w:r w:rsidRPr="000A0A5F">
        <w:rPr>
          <w:lang w:eastAsia="zh-CN"/>
        </w:rPr>
        <w:t>DDN</w:t>
      </w:r>
      <w:r w:rsidRPr="000A0A5F">
        <w:rPr>
          <w:lang w:eastAsia="zh-CN"/>
        </w:rPr>
        <w:tab/>
      </w:r>
      <w:r w:rsidRPr="000A0A5F">
        <w:t>Downlink Data Notification</w:t>
      </w:r>
    </w:p>
    <w:p w:rsidR="00CB0DD7" w:rsidRPr="000A0A5F" w:rsidRDefault="00CB0DD7">
      <w:pPr>
        <w:pStyle w:val="EW"/>
        <w:overflowPunct w:val="0"/>
        <w:autoSpaceDE w:val="0"/>
        <w:autoSpaceDN w:val="0"/>
        <w:adjustRightInd w:val="0"/>
        <w:textAlignment w:val="baseline"/>
        <w:rPr>
          <w:lang w:eastAsia="zh-CN"/>
        </w:rPr>
      </w:pPr>
      <w:r w:rsidRPr="000A0A5F">
        <w:t>DNN</w:t>
      </w:r>
      <w:r w:rsidRPr="000A0A5F">
        <w:tab/>
        <w:t>Data Network Name</w:t>
      </w:r>
    </w:p>
    <w:p w:rsidR="00CB0DD7" w:rsidRPr="000A0A5F" w:rsidRDefault="00CB0DD7">
      <w:pPr>
        <w:pStyle w:val="EW"/>
        <w:overflowPunct w:val="0"/>
        <w:autoSpaceDE w:val="0"/>
        <w:autoSpaceDN w:val="0"/>
        <w:adjustRightInd w:val="0"/>
        <w:textAlignment w:val="baseline"/>
        <w:rPr>
          <w:lang w:eastAsia="zh-CN"/>
        </w:rPr>
      </w:pPr>
      <w:r w:rsidRPr="000A0A5F">
        <w:rPr>
          <w:lang w:eastAsia="zh-CN"/>
        </w:rPr>
        <w:t>DL</w:t>
      </w:r>
      <w:r w:rsidRPr="000A0A5F">
        <w:rPr>
          <w:lang w:eastAsia="zh-CN"/>
        </w:rPr>
        <w:tab/>
        <w:t>Downlink</w:t>
      </w:r>
    </w:p>
    <w:p w:rsidR="00CB0DD7" w:rsidRPr="000A0A5F" w:rsidRDefault="00CB0DD7">
      <w:pPr>
        <w:pStyle w:val="EW"/>
      </w:pPr>
      <w:r w:rsidRPr="000A0A5F">
        <w:t>eNB</w:t>
      </w:r>
      <w:r w:rsidRPr="000A0A5F">
        <w:tab/>
        <w:t>Evolved Node B</w:t>
      </w:r>
    </w:p>
    <w:p w:rsidR="00CB0DD7" w:rsidRPr="000A0A5F" w:rsidRDefault="00CB0DD7">
      <w:pPr>
        <w:pStyle w:val="EW"/>
        <w:overflowPunct w:val="0"/>
        <w:autoSpaceDE w:val="0"/>
        <w:autoSpaceDN w:val="0"/>
        <w:adjustRightInd w:val="0"/>
        <w:textAlignment w:val="baseline"/>
      </w:pPr>
      <w:r w:rsidRPr="000A0A5F">
        <w:rPr>
          <w:lang w:eastAsia="zh-CN"/>
        </w:rPr>
        <w:t>GMD</w:t>
      </w:r>
      <w:r w:rsidRPr="000A0A5F">
        <w:rPr>
          <w:lang w:eastAsia="zh-CN"/>
        </w:rPr>
        <w:tab/>
      </w:r>
      <w:r w:rsidRPr="000A0A5F">
        <w:t>Group Message Delivery</w:t>
      </w:r>
    </w:p>
    <w:p w:rsidR="00CB0DD7" w:rsidRPr="000A0A5F" w:rsidRDefault="00CB0DD7">
      <w:pPr>
        <w:pStyle w:val="EW"/>
        <w:rPr>
          <w:rFonts w:hint="eastAsia"/>
        </w:rPr>
      </w:pPr>
      <w:bookmarkStart w:id="89" w:name="_Hlk37434481"/>
      <w:r w:rsidRPr="000A0A5F">
        <w:t>IMEI-TAC</w:t>
      </w:r>
      <w:r w:rsidRPr="000A0A5F">
        <w:tab/>
        <w:t>Type Allocation Code part of an IMEI</w:t>
      </w:r>
      <w:bookmarkEnd w:id="89"/>
    </w:p>
    <w:p w:rsidR="00CB0DD7" w:rsidRPr="000A0A5F" w:rsidRDefault="00CB0DD7">
      <w:pPr>
        <w:pStyle w:val="EW"/>
        <w:overflowPunct w:val="0"/>
        <w:autoSpaceDE w:val="0"/>
        <w:autoSpaceDN w:val="0"/>
        <w:adjustRightInd w:val="0"/>
        <w:textAlignment w:val="baseline"/>
      </w:pPr>
      <w:r w:rsidRPr="000A0A5F">
        <w:rPr>
          <w:lang w:eastAsia="zh-CN"/>
        </w:rPr>
        <w:t>IWK-SCEF</w:t>
      </w:r>
      <w:r w:rsidRPr="000A0A5F">
        <w:rPr>
          <w:lang w:eastAsia="zh-CN"/>
        </w:rPr>
        <w:tab/>
      </w:r>
      <w:r w:rsidRPr="000A0A5F">
        <w:t>Interworking SCEF</w:t>
      </w:r>
    </w:p>
    <w:p w:rsidR="00CB0DD7" w:rsidRPr="000A0A5F" w:rsidRDefault="00CB0DD7">
      <w:pPr>
        <w:pStyle w:val="EW"/>
        <w:overflowPunct w:val="0"/>
        <w:autoSpaceDE w:val="0"/>
        <w:autoSpaceDN w:val="0"/>
        <w:adjustRightInd w:val="0"/>
        <w:textAlignment w:val="baseline"/>
        <w:rPr>
          <w:rFonts w:eastAsia="Batang" w:hint="eastAsia"/>
          <w:lang w:val="en-US"/>
        </w:rPr>
      </w:pPr>
      <w:r w:rsidRPr="000A0A5F">
        <w:rPr>
          <w:lang w:val="en-US" w:eastAsia="zh-CN"/>
        </w:rPr>
        <w:t>JSON</w:t>
      </w:r>
      <w:r w:rsidRPr="000A0A5F">
        <w:rPr>
          <w:lang w:val="en-US" w:eastAsia="zh-CN"/>
        </w:rPr>
        <w:tab/>
      </w:r>
      <w:r w:rsidRPr="000A0A5F">
        <w:rPr>
          <w:lang w:val="en-US"/>
        </w:rPr>
        <w:t>JavaScript Object Notation</w:t>
      </w:r>
    </w:p>
    <w:p w:rsidR="00C03825" w:rsidRPr="000A0A5F" w:rsidRDefault="00C03825" w:rsidP="00C03825">
      <w:pPr>
        <w:pStyle w:val="EW"/>
        <w:overflowPunct w:val="0"/>
        <w:autoSpaceDE w:val="0"/>
        <w:autoSpaceDN w:val="0"/>
        <w:adjustRightInd w:val="0"/>
        <w:textAlignment w:val="baseline"/>
        <w:rPr>
          <w:lang w:val="en-US" w:eastAsia="zh-CN"/>
        </w:rPr>
      </w:pPr>
      <w:r w:rsidRPr="000A0A5F">
        <w:rPr>
          <w:lang w:val="en-US" w:eastAsia="zh-CN"/>
        </w:rPr>
        <w:t>LC</w:t>
      </w:r>
      <w:r w:rsidRPr="000A0A5F">
        <w:rPr>
          <w:lang w:val="en-US" w:eastAsia="zh-CN"/>
        </w:rPr>
        <w:tab/>
      </w:r>
      <w:r w:rsidRPr="000A0A5F">
        <w:rPr>
          <w:lang w:val="en-US"/>
        </w:rPr>
        <w:t>Load Control</w:t>
      </w:r>
    </w:p>
    <w:p w:rsidR="00C03825" w:rsidRPr="000A0A5F" w:rsidRDefault="00C03825" w:rsidP="00C03825">
      <w:pPr>
        <w:pStyle w:val="EW"/>
        <w:overflowPunct w:val="0"/>
        <w:autoSpaceDE w:val="0"/>
        <w:autoSpaceDN w:val="0"/>
        <w:adjustRightInd w:val="0"/>
        <w:textAlignment w:val="baseline"/>
        <w:rPr>
          <w:lang w:val="en-US" w:eastAsia="zh-CN"/>
        </w:rPr>
      </w:pPr>
      <w:r w:rsidRPr="000A0A5F">
        <w:rPr>
          <w:lang w:val="en-US" w:eastAsia="zh-CN"/>
        </w:rPr>
        <w:t>LCI</w:t>
      </w:r>
      <w:r w:rsidRPr="000A0A5F">
        <w:rPr>
          <w:lang w:val="en-US" w:eastAsia="zh-CN"/>
        </w:rPr>
        <w:tab/>
      </w:r>
      <w:r w:rsidRPr="000A0A5F">
        <w:rPr>
          <w:lang w:val="en-US"/>
        </w:rPr>
        <w:t>Load Control Information</w:t>
      </w:r>
    </w:p>
    <w:p w:rsidR="00CB0DD7" w:rsidRPr="000A0A5F" w:rsidRDefault="00CB0DD7">
      <w:pPr>
        <w:pStyle w:val="EW"/>
        <w:overflowPunct w:val="0"/>
        <w:autoSpaceDE w:val="0"/>
        <w:autoSpaceDN w:val="0"/>
        <w:adjustRightInd w:val="0"/>
        <w:textAlignment w:val="baseline"/>
        <w:rPr>
          <w:rFonts w:hint="eastAsia"/>
          <w:lang w:val="en-US" w:eastAsia="zh-CN"/>
        </w:rPr>
      </w:pPr>
      <w:r w:rsidRPr="000A0A5F">
        <w:rPr>
          <w:lang w:val="en-US" w:eastAsia="zh-CN"/>
        </w:rPr>
        <w:t>MIME</w:t>
      </w:r>
      <w:r w:rsidRPr="000A0A5F">
        <w:rPr>
          <w:lang w:val="en-US" w:eastAsia="zh-CN"/>
        </w:rPr>
        <w:tab/>
      </w:r>
      <w:r w:rsidRPr="000A0A5F">
        <w:rPr>
          <w:lang w:val="en-US"/>
        </w:rPr>
        <w:t>Multipurpose Internet Mail Extensions</w:t>
      </w:r>
    </w:p>
    <w:p w:rsidR="00CB0DD7" w:rsidRPr="000A0A5F" w:rsidRDefault="00CB0DD7">
      <w:pPr>
        <w:pStyle w:val="EW"/>
        <w:overflowPunct w:val="0"/>
        <w:autoSpaceDE w:val="0"/>
        <w:autoSpaceDN w:val="0"/>
        <w:adjustRightInd w:val="0"/>
        <w:textAlignment w:val="baseline"/>
        <w:rPr>
          <w:lang w:val="en-US" w:eastAsia="zh-CN"/>
        </w:rPr>
      </w:pPr>
      <w:r w:rsidRPr="000A0A5F">
        <w:rPr>
          <w:lang w:val="en-US" w:eastAsia="zh-CN"/>
        </w:rPr>
        <w:t>MT</w:t>
      </w:r>
      <w:r w:rsidRPr="000A0A5F">
        <w:rPr>
          <w:lang w:val="en-US" w:eastAsia="zh-CN"/>
        </w:rPr>
        <w:tab/>
        <w:t>Mobile Terminated</w:t>
      </w:r>
    </w:p>
    <w:p w:rsidR="00CB0DD7" w:rsidRPr="000A0A5F" w:rsidRDefault="00CB0DD7">
      <w:pPr>
        <w:pStyle w:val="EW"/>
        <w:overflowPunct w:val="0"/>
        <w:autoSpaceDE w:val="0"/>
        <w:autoSpaceDN w:val="0"/>
        <w:adjustRightInd w:val="0"/>
        <w:textAlignment w:val="baseline"/>
        <w:rPr>
          <w:lang w:val="en-US" w:eastAsia="zh-CN"/>
        </w:rPr>
      </w:pPr>
      <w:r w:rsidRPr="000A0A5F">
        <w:rPr>
          <w:lang w:val="en-US" w:eastAsia="zh-CN"/>
        </w:rPr>
        <w:t>MTC</w:t>
      </w:r>
      <w:r w:rsidRPr="000A0A5F">
        <w:rPr>
          <w:lang w:val="en-US" w:eastAsia="zh-CN"/>
        </w:rPr>
        <w:tab/>
      </w:r>
      <w:r w:rsidRPr="000A0A5F">
        <w:rPr>
          <w:lang w:val="en-US"/>
        </w:rPr>
        <w:t>Machine Type Communications</w:t>
      </w:r>
      <w:r w:rsidRPr="000A0A5F">
        <w:rPr>
          <w:lang w:val="en-US" w:eastAsia="zh-CN"/>
        </w:rPr>
        <w:t xml:space="preserve"> </w:t>
      </w:r>
    </w:p>
    <w:p w:rsidR="00CB0DD7" w:rsidRPr="000A0A5F" w:rsidRDefault="00CB0DD7">
      <w:pPr>
        <w:pStyle w:val="EW"/>
        <w:overflowPunct w:val="0"/>
        <w:autoSpaceDE w:val="0"/>
        <w:autoSpaceDN w:val="0"/>
        <w:adjustRightInd w:val="0"/>
        <w:textAlignment w:val="baseline"/>
        <w:rPr>
          <w:rFonts w:hint="eastAsia"/>
          <w:lang w:val="en-US" w:eastAsia="zh-CN"/>
        </w:rPr>
      </w:pPr>
      <w:r w:rsidRPr="000A0A5F">
        <w:rPr>
          <w:rFonts w:hint="eastAsia"/>
          <w:lang w:val="en-US" w:eastAsia="zh-CN"/>
        </w:rPr>
        <w:t>MT-LR</w:t>
      </w:r>
      <w:r w:rsidRPr="000A0A5F">
        <w:rPr>
          <w:rFonts w:hint="eastAsia"/>
          <w:lang w:val="en-US" w:eastAsia="zh-CN"/>
        </w:rPr>
        <w:tab/>
        <w:t>Mobile Terminated Location Request</w:t>
      </w:r>
    </w:p>
    <w:p w:rsidR="00CB0DD7" w:rsidRPr="000A0A5F" w:rsidRDefault="00CB0DD7">
      <w:pPr>
        <w:pStyle w:val="EW"/>
        <w:overflowPunct w:val="0"/>
        <w:autoSpaceDE w:val="0"/>
        <w:autoSpaceDN w:val="0"/>
        <w:adjustRightInd w:val="0"/>
        <w:textAlignment w:val="baseline"/>
        <w:rPr>
          <w:rFonts w:hint="eastAsia"/>
          <w:lang w:val="en-US" w:eastAsia="zh-CN"/>
        </w:rPr>
      </w:pPr>
      <w:r w:rsidRPr="000A0A5F">
        <w:rPr>
          <w:lang w:val="en-US"/>
        </w:rPr>
        <w:t>NEF</w:t>
      </w:r>
      <w:r w:rsidRPr="000A0A5F">
        <w:rPr>
          <w:lang w:val="en-US"/>
        </w:rPr>
        <w:tab/>
        <w:t>Network Exposure Function</w:t>
      </w:r>
    </w:p>
    <w:p w:rsidR="00CB0DD7" w:rsidRPr="000A0A5F" w:rsidRDefault="00CB0DD7">
      <w:pPr>
        <w:pStyle w:val="EW"/>
        <w:overflowPunct w:val="0"/>
        <w:autoSpaceDE w:val="0"/>
        <w:autoSpaceDN w:val="0"/>
        <w:adjustRightInd w:val="0"/>
        <w:textAlignment w:val="baseline"/>
        <w:rPr>
          <w:lang w:val="en-US"/>
        </w:rPr>
      </w:pPr>
      <w:r w:rsidRPr="000A0A5F">
        <w:rPr>
          <w:lang w:val="en-US" w:eastAsia="zh-CN"/>
        </w:rPr>
        <w:t>NIDD</w:t>
      </w:r>
      <w:r w:rsidRPr="000A0A5F">
        <w:rPr>
          <w:lang w:val="en-US" w:eastAsia="zh-CN"/>
        </w:rPr>
        <w:tab/>
      </w:r>
      <w:r w:rsidRPr="000A0A5F">
        <w:rPr>
          <w:lang w:val="en-US"/>
        </w:rPr>
        <w:t>Non-IP Data Delivery</w:t>
      </w:r>
    </w:p>
    <w:p w:rsidR="00CB0DD7" w:rsidRPr="000A0A5F" w:rsidRDefault="00CB0DD7">
      <w:pPr>
        <w:pStyle w:val="EW"/>
        <w:overflowPunct w:val="0"/>
        <w:autoSpaceDE w:val="0"/>
        <w:autoSpaceDN w:val="0"/>
        <w:adjustRightInd w:val="0"/>
        <w:textAlignment w:val="baseline"/>
      </w:pPr>
      <w:r w:rsidRPr="000A0A5F">
        <w:rPr>
          <w:lang w:eastAsia="zh-CN"/>
        </w:rPr>
        <w:t>NP</w:t>
      </w:r>
      <w:r w:rsidRPr="000A0A5F">
        <w:rPr>
          <w:lang w:eastAsia="zh-CN"/>
        </w:rPr>
        <w:tab/>
      </w:r>
      <w:r w:rsidRPr="000A0A5F">
        <w:t>Network Parameter</w:t>
      </w:r>
    </w:p>
    <w:p w:rsidR="00CB0DD7" w:rsidRPr="000A0A5F" w:rsidRDefault="00CB0DD7">
      <w:pPr>
        <w:pStyle w:val="EW"/>
        <w:overflowPunct w:val="0"/>
        <w:autoSpaceDE w:val="0"/>
        <w:autoSpaceDN w:val="0"/>
        <w:adjustRightInd w:val="0"/>
        <w:textAlignment w:val="baseline"/>
      </w:pPr>
      <w:r w:rsidRPr="000A0A5F">
        <w:rPr>
          <w:lang w:eastAsia="zh-CN"/>
        </w:rPr>
        <w:t>NSAC</w:t>
      </w:r>
      <w:r w:rsidRPr="000A0A5F">
        <w:rPr>
          <w:lang w:eastAsia="zh-CN"/>
        </w:rPr>
        <w:tab/>
      </w:r>
      <w:r w:rsidRPr="000A0A5F">
        <w:t>Network Slice Admission Control</w:t>
      </w:r>
    </w:p>
    <w:p w:rsidR="00C03825" w:rsidRPr="000A0A5F" w:rsidRDefault="00C03825" w:rsidP="00C03825">
      <w:pPr>
        <w:pStyle w:val="EW"/>
        <w:overflowPunct w:val="0"/>
        <w:autoSpaceDE w:val="0"/>
        <w:autoSpaceDN w:val="0"/>
        <w:adjustRightInd w:val="0"/>
        <w:textAlignment w:val="baseline"/>
      </w:pPr>
      <w:r w:rsidRPr="000A0A5F">
        <w:t>OCI</w:t>
      </w:r>
      <w:r w:rsidRPr="000A0A5F">
        <w:tab/>
        <w:t>Overload Control Information</w:t>
      </w:r>
    </w:p>
    <w:p w:rsidR="00C03825" w:rsidRPr="000A0A5F" w:rsidRDefault="00C03825" w:rsidP="00C03825">
      <w:pPr>
        <w:pStyle w:val="EW"/>
        <w:overflowPunct w:val="0"/>
        <w:autoSpaceDE w:val="0"/>
        <w:autoSpaceDN w:val="0"/>
        <w:adjustRightInd w:val="0"/>
        <w:textAlignment w:val="baseline"/>
      </w:pPr>
      <w:r w:rsidRPr="000A0A5F">
        <w:t>OLC</w:t>
      </w:r>
      <w:r w:rsidRPr="000A0A5F">
        <w:tab/>
        <w:t>OverLoad Control</w:t>
      </w:r>
    </w:p>
    <w:p w:rsidR="00CB0DD7" w:rsidRPr="000A0A5F" w:rsidRDefault="00CB0DD7">
      <w:pPr>
        <w:pStyle w:val="EW"/>
        <w:overflowPunct w:val="0"/>
        <w:autoSpaceDE w:val="0"/>
        <w:autoSpaceDN w:val="0"/>
        <w:adjustRightInd w:val="0"/>
        <w:textAlignment w:val="baseline"/>
      </w:pPr>
      <w:r w:rsidRPr="000A0A5F">
        <w:t>PCRF</w:t>
      </w:r>
      <w:r w:rsidRPr="000A0A5F">
        <w:tab/>
        <w:t>Policy and Charging Rule Function</w:t>
      </w:r>
    </w:p>
    <w:p w:rsidR="00CB0DD7" w:rsidRPr="000A0A5F" w:rsidRDefault="00CB0DD7">
      <w:pPr>
        <w:pStyle w:val="EW"/>
        <w:overflowPunct w:val="0"/>
        <w:autoSpaceDE w:val="0"/>
        <w:autoSpaceDN w:val="0"/>
        <w:adjustRightInd w:val="0"/>
        <w:textAlignment w:val="baseline"/>
      </w:pPr>
      <w:r w:rsidRPr="000A0A5F">
        <w:t>PDN</w:t>
      </w:r>
      <w:r w:rsidRPr="000A0A5F">
        <w:tab/>
        <w:t>Packet Data Network</w:t>
      </w:r>
    </w:p>
    <w:p w:rsidR="007B493E" w:rsidRPr="000A0A5F" w:rsidRDefault="007B493E" w:rsidP="007B493E">
      <w:pPr>
        <w:pStyle w:val="EW"/>
        <w:rPr>
          <w:lang w:eastAsia="zh-CN"/>
        </w:rPr>
      </w:pPr>
      <w:r w:rsidRPr="000A0A5F">
        <w:rPr>
          <w:rFonts w:hint="eastAsia"/>
          <w:lang w:eastAsia="zh-CN"/>
        </w:rPr>
        <w:t>P</w:t>
      </w:r>
      <w:r w:rsidRPr="000A0A5F">
        <w:rPr>
          <w:lang w:eastAsia="zh-CN"/>
        </w:rPr>
        <w:t>DV</w:t>
      </w:r>
      <w:r w:rsidRPr="000A0A5F">
        <w:rPr>
          <w:lang w:eastAsia="zh-CN"/>
        </w:rPr>
        <w:tab/>
        <w:t>Packet Delay Variation</w:t>
      </w:r>
    </w:p>
    <w:p w:rsidR="00CB0DD7" w:rsidRPr="000A0A5F" w:rsidRDefault="00CB0DD7">
      <w:pPr>
        <w:pStyle w:val="EW"/>
        <w:overflowPunct w:val="0"/>
        <w:autoSpaceDE w:val="0"/>
        <w:autoSpaceDN w:val="0"/>
        <w:adjustRightInd w:val="0"/>
        <w:textAlignment w:val="baseline"/>
      </w:pPr>
      <w:r w:rsidRPr="000A0A5F">
        <w:t>PFD</w:t>
      </w:r>
      <w:r w:rsidRPr="000A0A5F">
        <w:tab/>
        <w:t>Packet Flow Description</w:t>
      </w:r>
    </w:p>
    <w:p w:rsidR="00CB0DD7" w:rsidRPr="000A0A5F" w:rsidRDefault="00CB0DD7">
      <w:pPr>
        <w:pStyle w:val="EW"/>
        <w:overflowPunct w:val="0"/>
        <w:autoSpaceDE w:val="0"/>
        <w:autoSpaceDN w:val="0"/>
        <w:adjustRightInd w:val="0"/>
        <w:textAlignment w:val="baseline"/>
      </w:pPr>
      <w:r w:rsidRPr="000A0A5F">
        <w:t>PFDF</w:t>
      </w:r>
      <w:r w:rsidRPr="000A0A5F">
        <w:tab/>
        <w:t>Packet Flow Description Function</w:t>
      </w:r>
    </w:p>
    <w:p w:rsidR="00CB0DD7" w:rsidRPr="000A0A5F" w:rsidRDefault="00CB0DD7">
      <w:pPr>
        <w:pStyle w:val="EW"/>
        <w:overflowPunct w:val="0"/>
        <w:autoSpaceDE w:val="0"/>
        <w:autoSpaceDN w:val="0"/>
        <w:adjustRightInd w:val="0"/>
        <w:textAlignment w:val="baseline"/>
        <w:rPr>
          <w:rFonts w:hint="eastAsia"/>
          <w:lang w:eastAsia="zh-CN"/>
        </w:rPr>
      </w:pPr>
      <w:r w:rsidRPr="000A0A5F">
        <w:rPr>
          <w:rFonts w:hint="eastAsia"/>
          <w:lang w:eastAsia="zh-CN"/>
        </w:rPr>
        <w:t>RCAF</w:t>
      </w:r>
      <w:r w:rsidRPr="000A0A5F">
        <w:rPr>
          <w:rFonts w:hint="eastAsia"/>
          <w:lang w:eastAsia="zh-CN"/>
        </w:rPr>
        <w:tab/>
        <w:t>RAN Congestion Awareness Function</w:t>
      </w:r>
    </w:p>
    <w:p w:rsidR="00CB0DD7" w:rsidRPr="000A0A5F" w:rsidRDefault="00CB0DD7">
      <w:pPr>
        <w:pStyle w:val="EW"/>
        <w:overflowPunct w:val="0"/>
        <w:autoSpaceDE w:val="0"/>
        <w:autoSpaceDN w:val="0"/>
        <w:adjustRightInd w:val="0"/>
        <w:textAlignment w:val="baseline"/>
      </w:pPr>
      <w:r w:rsidRPr="000A0A5F">
        <w:t>REST</w:t>
      </w:r>
      <w:r w:rsidRPr="000A0A5F">
        <w:tab/>
        <w:t>Representational State Transfer</w:t>
      </w:r>
    </w:p>
    <w:p w:rsidR="00CB0DD7" w:rsidRPr="000A0A5F" w:rsidRDefault="00CB0DD7">
      <w:pPr>
        <w:pStyle w:val="EW"/>
      </w:pPr>
      <w:r w:rsidRPr="000A0A5F">
        <w:t>SACH</w:t>
      </w:r>
      <w:r w:rsidRPr="000A0A5F">
        <w:tab/>
        <w:t>Service Announcement Channel</w:t>
      </w:r>
    </w:p>
    <w:p w:rsidR="00CB0DD7" w:rsidRPr="000A0A5F" w:rsidRDefault="00CB0DD7">
      <w:pPr>
        <w:pStyle w:val="EW"/>
        <w:overflowPunct w:val="0"/>
        <w:autoSpaceDE w:val="0"/>
        <w:autoSpaceDN w:val="0"/>
        <w:adjustRightInd w:val="0"/>
        <w:textAlignment w:val="baseline"/>
        <w:rPr>
          <w:lang w:eastAsia="zh-CN"/>
        </w:rPr>
      </w:pPr>
      <w:r w:rsidRPr="000A0A5F">
        <w:rPr>
          <w:rFonts w:hint="eastAsia"/>
          <w:lang w:eastAsia="zh-CN"/>
        </w:rPr>
        <w:t>SCEF</w:t>
      </w:r>
      <w:r w:rsidRPr="000A0A5F">
        <w:rPr>
          <w:rFonts w:hint="eastAsia"/>
          <w:lang w:eastAsia="zh-CN"/>
        </w:rPr>
        <w:tab/>
        <w:t>Service Capability Exposure Function</w:t>
      </w:r>
    </w:p>
    <w:p w:rsidR="00CB0DD7" w:rsidRPr="000A0A5F" w:rsidRDefault="00CB0DD7">
      <w:pPr>
        <w:pStyle w:val="EW"/>
        <w:overflowPunct w:val="0"/>
        <w:autoSpaceDE w:val="0"/>
        <w:autoSpaceDN w:val="0"/>
        <w:adjustRightInd w:val="0"/>
        <w:textAlignment w:val="baseline"/>
      </w:pPr>
      <w:r w:rsidRPr="000A0A5F">
        <w:rPr>
          <w:rFonts w:hint="eastAsia"/>
          <w:lang w:eastAsia="zh-CN"/>
        </w:rPr>
        <w:t>SCS</w:t>
      </w:r>
      <w:r w:rsidRPr="000A0A5F">
        <w:rPr>
          <w:rFonts w:hint="eastAsia"/>
          <w:lang w:eastAsia="zh-CN"/>
        </w:rPr>
        <w:tab/>
      </w:r>
      <w:r w:rsidRPr="000A0A5F">
        <w:t>Services Capability Server</w:t>
      </w:r>
    </w:p>
    <w:p w:rsidR="00CB0DD7" w:rsidRPr="000A0A5F" w:rsidRDefault="00CB0DD7">
      <w:pPr>
        <w:pStyle w:val="EW"/>
        <w:rPr>
          <w:lang w:val="en-US"/>
        </w:rPr>
      </w:pPr>
      <w:r w:rsidRPr="000A0A5F">
        <w:t>S-NSSAI</w:t>
      </w:r>
      <w:r w:rsidRPr="000A0A5F">
        <w:tab/>
        <w:t>Single Network Slice Selection Assistance</w:t>
      </w:r>
      <w:r w:rsidRPr="000A0A5F">
        <w:rPr>
          <w:lang w:val="en-US"/>
        </w:rPr>
        <w:t xml:space="preserve"> Information</w:t>
      </w:r>
    </w:p>
    <w:p w:rsidR="00CB0DD7" w:rsidRPr="000A0A5F" w:rsidRDefault="00CB0DD7">
      <w:pPr>
        <w:pStyle w:val="EW"/>
        <w:overflowPunct w:val="0"/>
        <w:autoSpaceDE w:val="0"/>
        <w:autoSpaceDN w:val="0"/>
        <w:adjustRightInd w:val="0"/>
        <w:textAlignment w:val="baseline"/>
        <w:rPr>
          <w:rFonts w:hint="eastAsia"/>
          <w:lang w:eastAsia="zh-CN"/>
        </w:rPr>
      </w:pPr>
      <w:r w:rsidRPr="000A0A5F">
        <w:t>TAI</w:t>
      </w:r>
      <w:r w:rsidRPr="000A0A5F">
        <w:tab/>
        <w:t>Tracking Area Identity</w:t>
      </w:r>
    </w:p>
    <w:p w:rsidR="00CB0DD7" w:rsidRPr="000A0A5F" w:rsidRDefault="00CB0DD7">
      <w:pPr>
        <w:pStyle w:val="EW"/>
        <w:overflowPunct w:val="0"/>
        <w:autoSpaceDE w:val="0"/>
        <w:autoSpaceDN w:val="0"/>
        <w:adjustRightInd w:val="0"/>
        <w:textAlignment w:val="baseline"/>
      </w:pPr>
      <w:r w:rsidRPr="000A0A5F">
        <w:t>TLTRI</w:t>
      </w:r>
      <w:r w:rsidRPr="000A0A5F">
        <w:tab/>
        <w:t>T8 Long Term Transaction Reference ID</w:t>
      </w:r>
    </w:p>
    <w:p w:rsidR="00CB0DD7" w:rsidRPr="000A0A5F" w:rsidRDefault="00CB0DD7">
      <w:pPr>
        <w:pStyle w:val="EW"/>
      </w:pPr>
      <w:r w:rsidRPr="000A0A5F">
        <w:t>TSC</w:t>
      </w:r>
      <w:r w:rsidRPr="000A0A5F">
        <w:tab/>
        <w:t>Time Sensitive Communication</w:t>
      </w:r>
    </w:p>
    <w:p w:rsidR="00CB0DD7" w:rsidRPr="000A0A5F" w:rsidRDefault="00CB0DD7">
      <w:pPr>
        <w:pStyle w:val="EW"/>
      </w:pPr>
      <w:r w:rsidRPr="000A0A5F">
        <w:t>TSCAI</w:t>
      </w:r>
      <w:r w:rsidRPr="000A0A5F">
        <w:tab/>
        <w:t>Time Sensitive Communication Assistance Information</w:t>
      </w:r>
    </w:p>
    <w:p w:rsidR="00CB0DD7" w:rsidRPr="000A0A5F" w:rsidRDefault="00CB0DD7">
      <w:pPr>
        <w:pStyle w:val="EW"/>
        <w:overflowPunct w:val="0"/>
        <w:autoSpaceDE w:val="0"/>
        <w:autoSpaceDN w:val="0"/>
        <w:adjustRightInd w:val="0"/>
        <w:textAlignment w:val="baseline"/>
      </w:pPr>
      <w:r w:rsidRPr="000A0A5F">
        <w:t>WB</w:t>
      </w:r>
      <w:r w:rsidRPr="000A0A5F">
        <w:tab/>
        <w:t>Wide Band</w:t>
      </w:r>
    </w:p>
    <w:p w:rsidR="00CB0DD7" w:rsidRPr="000A0A5F" w:rsidRDefault="00CB0DD7">
      <w:pPr>
        <w:pStyle w:val="EW"/>
        <w:rPr>
          <w:rFonts w:hint="eastAsia"/>
        </w:rPr>
      </w:pPr>
      <w:r w:rsidRPr="000A0A5F">
        <w:t>YAML</w:t>
      </w:r>
      <w:r w:rsidRPr="000A0A5F">
        <w:tab/>
        <w:t>YAML Ain't Markup Language</w:t>
      </w:r>
    </w:p>
    <w:p w:rsidR="00CB0DD7" w:rsidRPr="000A0A5F" w:rsidRDefault="00CB0DD7">
      <w:pPr>
        <w:pStyle w:val="Heading1"/>
        <w:rPr>
          <w:rFonts w:eastAsia="Times New Roman" w:hint="eastAsia"/>
        </w:rPr>
      </w:pPr>
      <w:bookmarkStart w:id="90" w:name="_Toc11247180"/>
      <w:bookmarkStart w:id="91" w:name="_Toc27044296"/>
      <w:bookmarkStart w:id="92" w:name="_Toc36033338"/>
      <w:bookmarkStart w:id="93" w:name="_Toc45131468"/>
      <w:bookmarkStart w:id="94" w:name="_Toc49775753"/>
      <w:bookmarkStart w:id="95" w:name="_Toc51746673"/>
      <w:bookmarkStart w:id="96" w:name="_Toc66360215"/>
      <w:bookmarkStart w:id="97" w:name="_Toc68104720"/>
      <w:bookmarkStart w:id="98" w:name="_Toc74755349"/>
      <w:bookmarkStart w:id="99" w:name="_Toc105674204"/>
      <w:bookmarkStart w:id="100" w:name="_Toc130502237"/>
      <w:bookmarkStart w:id="101" w:name="_Toc153625016"/>
      <w:r w:rsidRPr="000A0A5F">
        <w:rPr>
          <w:rFonts w:eastAsia="Times New Roman"/>
        </w:rPr>
        <w:t>4</w:t>
      </w:r>
      <w:r w:rsidRPr="000A0A5F">
        <w:rPr>
          <w:rFonts w:eastAsia="Times New Roman"/>
        </w:rPr>
        <w:tab/>
        <w:t>T8</w:t>
      </w:r>
      <w:r w:rsidRPr="000A0A5F">
        <w:rPr>
          <w:rFonts w:eastAsia="Times New Roman" w:hint="eastAsia"/>
        </w:rPr>
        <w:t xml:space="preserve"> reference point</w:t>
      </w:r>
      <w:bookmarkEnd w:id="90"/>
      <w:bookmarkEnd w:id="91"/>
      <w:bookmarkEnd w:id="92"/>
      <w:bookmarkEnd w:id="93"/>
      <w:bookmarkEnd w:id="94"/>
      <w:bookmarkEnd w:id="95"/>
      <w:bookmarkEnd w:id="96"/>
      <w:bookmarkEnd w:id="97"/>
      <w:bookmarkEnd w:id="98"/>
      <w:bookmarkEnd w:id="99"/>
      <w:bookmarkEnd w:id="100"/>
      <w:bookmarkEnd w:id="101"/>
    </w:p>
    <w:p w:rsidR="00CB0DD7" w:rsidRPr="000A0A5F" w:rsidRDefault="00CB0DD7">
      <w:pPr>
        <w:pStyle w:val="Heading2"/>
        <w:rPr>
          <w:rFonts w:hint="eastAsia"/>
          <w:lang w:eastAsia="zh-CN"/>
        </w:rPr>
      </w:pPr>
      <w:bookmarkStart w:id="102" w:name="_Toc11247181"/>
      <w:bookmarkStart w:id="103" w:name="_Toc27044297"/>
      <w:bookmarkStart w:id="104" w:name="_Toc36033339"/>
      <w:bookmarkStart w:id="105" w:name="_Toc45131469"/>
      <w:bookmarkStart w:id="106" w:name="_Toc49775754"/>
      <w:bookmarkStart w:id="107" w:name="_Toc51746674"/>
      <w:bookmarkStart w:id="108" w:name="_Toc66360216"/>
      <w:bookmarkStart w:id="109" w:name="_Toc68104721"/>
      <w:bookmarkStart w:id="110" w:name="_Toc74755350"/>
      <w:bookmarkStart w:id="111" w:name="_Toc105674205"/>
      <w:bookmarkStart w:id="112" w:name="_Toc130502238"/>
      <w:bookmarkStart w:id="113" w:name="_Toc153625017"/>
      <w:r w:rsidRPr="000A0A5F">
        <w:t>4.</w:t>
      </w:r>
      <w:r w:rsidRPr="000A0A5F">
        <w:rPr>
          <w:rFonts w:hint="eastAsia"/>
          <w:lang w:eastAsia="zh-CN"/>
        </w:rPr>
        <w:t>1</w:t>
      </w:r>
      <w:r w:rsidRPr="000A0A5F">
        <w:tab/>
      </w:r>
      <w:r w:rsidRPr="000A0A5F">
        <w:rPr>
          <w:rFonts w:hint="eastAsia"/>
          <w:lang w:eastAsia="zh-CN"/>
        </w:rPr>
        <w:t>Overview</w:t>
      </w:r>
      <w:bookmarkEnd w:id="102"/>
      <w:bookmarkEnd w:id="103"/>
      <w:bookmarkEnd w:id="104"/>
      <w:bookmarkEnd w:id="105"/>
      <w:bookmarkEnd w:id="106"/>
      <w:bookmarkEnd w:id="107"/>
      <w:bookmarkEnd w:id="108"/>
      <w:bookmarkEnd w:id="109"/>
      <w:bookmarkEnd w:id="110"/>
      <w:bookmarkEnd w:id="111"/>
      <w:bookmarkEnd w:id="112"/>
      <w:bookmarkEnd w:id="113"/>
    </w:p>
    <w:p w:rsidR="00CB0DD7" w:rsidRPr="000A0A5F" w:rsidRDefault="00CB0DD7">
      <w:pPr>
        <w:rPr>
          <w:lang w:val="en-US" w:eastAsia="zh-CN"/>
        </w:rPr>
      </w:pPr>
      <w:r w:rsidRPr="000A0A5F">
        <w:rPr>
          <w:rFonts w:hint="eastAsia"/>
          <w:lang w:val="en-US" w:eastAsia="zh-CN"/>
        </w:rPr>
        <w:t>The</w:t>
      </w:r>
      <w:r w:rsidRPr="000A0A5F">
        <w:rPr>
          <w:lang w:val="en-US" w:eastAsia="zh-CN"/>
        </w:rPr>
        <w:t xml:space="preserve"> T8 reference point is between the SCS/AS and the SCEF. It specifies APIs that </w:t>
      </w:r>
      <w:r w:rsidRPr="000A0A5F">
        <w:rPr>
          <w:rFonts w:hint="eastAsia"/>
          <w:lang w:val="en-US" w:eastAsia="zh-CN"/>
        </w:rPr>
        <w:t xml:space="preserve">allow the </w:t>
      </w:r>
      <w:r w:rsidRPr="000A0A5F">
        <w:rPr>
          <w:lang w:val="en-US" w:eastAsia="zh-CN"/>
        </w:rPr>
        <w:t>SCS/AS to access the services and capabilities provided by 3GPP network entities and securely exposed by the SCEF.</w:t>
      </w:r>
    </w:p>
    <w:p w:rsidR="00CB0DD7" w:rsidRPr="000A0A5F" w:rsidRDefault="00CB0DD7">
      <w:pPr>
        <w:spacing w:before="100" w:beforeAutospacing="1" w:after="100" w:afterAutospacing="1"/>
        <w:rPr>
          <w:lang w:val="en-US" w:eastAsia="zh-CN"/>
        </w:rPr>
      </w:pPr>
      <w:r w:rsidRPr="000A0A5F">
        <w:rPr>
          <w:rFonts w:hint="eastAsia"/>
          <w:lang w:val="en-US" w:eastAsia="zh-CN"/>
        </w:rPr>
        <w:t>This document also specifies the procedures triggered at the SCEF by API requests from the SCS/AS and by event notifications received from 3GPP network entities.</w:t>
      </w:r>
    </w:p>
    <w:p w:rsidR="00CB0DD7" w:rsidRPr="000A0A5F" w:rsidRDefault="00CB0DD7">
      <w:r w:rsidRPr="000A0A5F">
        <w:t>The stage 2 level requirements and signalling flows for the T8 reference point are defined in 3GPP TS 23.682 [2].</w:t>
      </w:r>
    </w:p>
    <w:p w:rsidR="00CB0DD7" w:rsidRPr="000A0A5F" w:rsidRDefault="00CB0DD7">
      <w:r w:rsidRPr="000A0A5F">
        <w:t>The T8 reference point supports the following procedures:</w:t>
      </w:r>
    </w:p>
    <w:p w:rsidR="00CB0DD7" w:rsidRPr="000A0A5F" w:rsidRDefault="00CB0DD7">
      <w:pPr>
        <w:pStyle w:val="B10"/>
      </w:pPr>
      <w:r w:rsidRPr="000A0A5F">
        <w:t>-</w:t>
      </w:r>
      <w:r w:rsidRPr="000A0A5F">
        <w:tab/>
        <w:t>Monitoring Procedures</w:t>
      </w:r>
    </w:p>
    <w:p w:rsidR="00CB0DD7" w:rsidRPr="000A0A5F" w:rsidRDefault="00CB0DD7">
      <w:pPr>
        <w:pStyle w:val="B10"/>
        <w:rPr>
          <w:lang w:eastAsia="zh-CN"/>
        </w:rPr>
      </w:pPr>
      <w:r w:rsidRPr="000A0A5F">
        <w:rPr>
          <w:lang w:eastAsia="zh-CN"/>
        </w:rPr>
        <w:t>-</w:t>
      </w:r>
      <w:r w:rsidRPr="000A0A5F">
        <w:rPr>
          <w:lang w:eastAsia="zh-CN"/>
        </w:rPr>
        <w:tab/>
      </w:r>
      <w:r w:rsidRPr="000A0A5F">
        <w:rPr>
          <w:rFonts w:hint="eastAsia"/>
          <w:lang w:eastAsia="zh-CN"/>
        </w:rPr>
        <w:t xml:space="preserve">Procedures for resource management of </w:t>
      </w:r>
      <w:r w:rsidRPr="000A0A5F">
        <w:rPr>
          <w:lang w:eastAsia="zh-CN"/>
        </w:rPr>
        <w:t>B</w:t>
      </w:r>
      <w:r w:rsidRPr="000A0A5F">
        <w:rPr>
          <w:rFonts w:hint="eastAsia"/>
          <w:lang w:eastAsia="zh-CN"/>
        </w:rPr>
        <w:t xml:space="preserve">ackground </w:t>
      </w:r>
      <w:r w:rsidRPr="000A0A5F">
        <w:rPr>
          <w:lang w:eastAsia="zh-CN"/>
        </w:rPr>
        <w:t>D</w:t>
      </w:r>
      <w:r w:rsidRPr="000A0A5F">
        <w:rPr>
          <w:rFonts w:hint="eastAsia"/>
          <w:lang w:eastAsia="zh-CN"/>
        </w:rPr>
        <w:t xml:space="preserve">ata </w:t>
      </w:r>
      <w:r w:rsidRPr="000A0A5F">
        <w:rPr>
          <w:lang w:eastAsia="zh-CN"/>
        </w:rPr>
        <w:t>T</w:t>
      </w:r>
      <w:r w:rsidRPr="000A0A5F">
        <w:rPr>
          <w:rFonts w:hint="eastAsia"/>
          <w:lang w:eastAsia="zh-CN"/>
        </w:rPr>
        <w:t>ransfer</w:t>
      </w:r>
    </w:p>
    <w:p w:rsidR="00CB0DD7" w:rsidRPr="000A0A5F" w:rsidRDefault="00CB0DD7">
      <w:pPr>
        <w:pStyle w:val="B10"/>
        <w:rPr>
          <w:lang w:eastAsia="zh-CN"/>
        </w:rPr>
      </w:pPr>
      <w:r w:rsidRPr="000A0A5F">
        <w:rPr>
          <w:lang w:eastAsia="zh-CN"/>
        </w:rPr>
        <w:t>-</w:t>
      </w:r>
      <w:r w:rsidRPr="000A0A5F">
        <w:rPr>
          <w:lang w:eastAsia="zh-CN"/>
        </w:rPr>
        <w:tab/>
      </w:r>
      <w:r w:rsidRPr="000A0A5F">
        <w:rPr>
          <w:rFonts w:hint="eastAsia"/>
          <w:lang w:eastAsia="zh-CN"/>
        </w:rPr>
        <w:t>Procedures for changing the chargeable party</w:t>
      </w:r>
    </w:p>
    <w:p w:rsidR="00CB0DD7" w:rsidRPr="000A0A5F" w:rsidRDefault="00CB0DD7">
      <w:pPr>
        <w:pStyle w:val="B10"/>
      </w:pPr>
      <w:r w:rsidRPr="000A0A5F">
        <w:t>-</w:t>
      </w:r>
      <w:r w:rsidRPr="000A0A5F">
        <w:tab/>
        <w:t>Procedures for Non-IP Data Delivery</w:t>
      </w:r>
    </w:p>
    <w:p w:rsidR="00CB0DD7" w:rsidRPr="000A0A5F" w:rsidRDefault="00CB0DD7">
      <w:pPr>
        <w:pStyle w:val="B10"/>
      </w:pPr>
      <w:r w:rsidRPr="000A0A5F">
        <w:t>-</w:t>
      </w:r>
      <w:r w:rsidRPr="000A0A5F">
        <w:tab/>
        <w:t>Procedures for Device Triggering</w:t>
      </w:r>
    </w:p>
    <w:p w:rsidR="00CB0DD7" w:rsidRPr="000A0A5F" w:rsidRDefault="00CB0DD7">
      <w:pPr>
        <w:pStyle w:val="B10"/>
      </w:pPr>
      <w:r w:rsidRPr="000A0A5F">
        <w:t>-</w:t>
      </w:r>
      <w:r w:rsidRPr="000A0A5F">
        <w:tab/>
        <w:t xml:space="preserve">Procedures for Group Message Delivery </w:t>
      </w:r>
    </w:p>
    <w:p w:rsidR="00CB0DD7" w:rsidRPr="000A0A5F" w:rsidRDefault="00CB0DD7">
      <w:pPr>
        <w:pStyle w:val="B10"/>
      </w:pPr>
      <w:r w:rsidRPr="000A0A5F">
        <w:t>-</w:t>
      </w:r>
      <w:r w:rsidRPr="000A0A5F">
        <w:tab/>
        <w:t>Procedures for Reporting of Network Status</w:t>
      </w:r>
    </w:p>
    <w:p w:rsidR="00CB0DD7" w:rsidRPr="000A0A5F" w:rsidRDefault="00CB0DD7">
      <w:pPr>
        <w:pStyle w:val="B10"/>
      </w:pPr>
      <w:r w:rsidRPr="000A0A5F">
        <w:t>-</w:t>
      </w:r>
      <w:r w:rsidRPr="000A0A5F">
        <w:tab/>
        <w:t>Procedures for Communication Pattern Parameters Provisioning</w:t>
      </w:r>
    </w:p>
    <w:p w:rsidR="00CB0DD7" w:rsidRPr="000A0A5F" w:rsidRDefault="00CB0DD7">
      <w:pPr>
        <w:pStyle w:val="B10"/>
      </w:pPr>
      <w:r w:rsidRPr="000A0A5F">
        <w:t>-</w:t>
      </w:r>
      <w:r w:rsidRPr="000A0A5F">
        <w:tab/>
        <w:t>Procedures for PFD Management</w:t>
      </w:r>
    </w:p>
    <w:p w:rsidR="00CB0DD7" w:rsidRPr="000A0A5F" w:rsidRDefault="00CB0DD7">
      <w:pPr>
        <w:pStyle w:val="B10"/>
      </w:pPr>
      <w:r w:rsidRPr="000A0A5F">
        <w:t>-</w:t>
      </w:r>
      <w:r w:rsidRPr="000A0A5F">
        <w:tab/>
        <w:t>Procedures for Enhanced Coverage Restriction Control</w:t>
      </w:r>
    </w:p>
    <w:p w:rsidR="00CB0DD7" w:rsidRPr="000A0A5F" w:rsidRDefault="00CB0DD7">
      <w:pPr>
        <w:pStyle w:val="B10"/>
      </w:pPr>
      <w:r w:rsidRPr="000A0A5F">
        <w:t>-</w:t>
      </w:r>
      <w:r w:rsidRPr="000A0A5F">
        <w:tab/>
        <w:t>Procedures for Network Parameter Configuration</w:t>
      </w:r>
    </w:p>
    <w:p w:rsidR="00CB0DD7" w:rsidRPr="000A0A5F" w:rsidRDefault="00CB0DD7">
      <w:pPr>
        <w:pStyle w:val="B10"/>
      </w:pPr>
      <w:r w:rsidRPr="000A0A5F">
        <w:t>-</w:t>
      </w:r>
      <w:r w:rsidRPr="000A0A5F">
        <w:tab/>
        <w:t>Procedures for setting up an AS session with required QoS</w:t>
      </w:r>
    </w:p>
    <w:p w:rsidR="00CB0DD7" w:rsidRPr="000A0A5F" w:rsidRDefault="00CB0DD7">
      <w:pPr>
        <w:pStyle w:val="B10"/>
      </w:pPr>
      <w:r w:rsidRPr="000A0A5F">
        <w:t>-</w:t>
      </w:r>
      <w:r w:rsidRPr="000A0A5F">
        <w:tab/>
        <w:t>Procedures for MSISDN-less Mobile Originated SMS</w:t>
      </w:r>
    </w:p>
    <w:p w:rsidR="00CB0DD7" w:rsidRPr="000A0A5F" w:rsidRDefault="00CB0DD7">
      <w:pPr>
        <w:pStyle w:val="B10"/>
        <w:rPr>
          <w:rFonts w:hint="eastAsia"/>
        </w:rPr>
      </w:pPr>
      <w:r w:rsidRPr="000A0A5F">
        <w:t>-</w:t>
      </w:r>
      <w:r w:rsidRPr="000A0A5F">
        <w:tab/>
      </w:r>
      <w:r w:rsidRPr="000A0A5F">
        <w:rPr>
          <w:lang w:eastAsia="zh-CN"/>
        </w:rPr>
        <w:t xml:space="preserve">Procedures for RACS </w:t>
      </w:r>
      <w:r w:rsidRPr="000A0A5F">
        <w:t>Parameter Provisioning</w:t>
      </w:r>
    </w:p>
    <w:p w:rsidR="00CB0DD7" w:rsidRPr="000A0A5F" w:rsidRDefault="00CB0DD7">
      <w:pPr>
        <w:pStyle w:val="Heading2"/>
      </w:pPr>
      <w:bookmarkStart w:id="114" w:name="_Toc11247182"/>
      <w:bookmarkStart w:id="115" w:name="_Toc27044298"/>
      <w:bookmarkStart w:id="116" w:name="_Toc36033340"/>
      <w:bookmarkStart w:id="117" w:name="_Toc45131470"/>
      <w:bookmarkStart w:id="118" w:name="_Toc49775755"/>
      <w:bookmarkStart w:id="119" w:name="_Toc51746675"/>
      <w:bookmarkStart w:id="120" w:name="_Toc66360217"/>
      <w:bookmarkStart w:id="121" w:name="_Toc68104722"/>
      <w:bookmarkStart w:id="122" w:name="_Toc74755351"/>
      <w:bookmarkStart w:id="123" w:name="_Toc105674206"/>
      <w:bookmarkStart w:id="124" w:name="_Toc130502239"/>
      <w:bookmarkStart w:id="125" w:name="_Toc153625018"/>
      <w:r w:rsidRPr="000A0A5F">
        <w:rPr>
          <w:rFonts w:hint="eastAsia"/>
        </w:rPr>
        <w:t>4.2</w:t>
      </w:r>
      <w:r w:rsidRPr="000A0A5F">
        <w:rPr>
          <w:rFonts w:hint="eastAsia"/>
        </w:rPr>
        <w:tab/>
      </w:r>
      <w:r w:rsidRPr="000A0A5F">
        <w:t>Reference model</w:t>
      </w:r>
      <w:bookmarkEnd w:id="114"/>
      <w:bookmarkEnd w:id="115"/>
      <w:bookmarkEnd w:id="116"/>
      <w:bookmarkEnd w:id="117"/>
      <w:bookmarkEnd w:id="118"/>
      <w:bookmarkEnd w:id="119"/>
      <w:bookmarkEnd w:id="120"/>
      <w:bookmarkEnd w:id="121"/>
      <w:bookmarkEnd w:id="122"/>
      <w:bookmarkEnd w:id="123"/>
      <w:bookmarkEnd w:id="124"/>
      <w:bookmarkEnd w:id="125"/>
    </w:p>
    <w:p w:rsidR="00CB0DD7" w:rsidRPr="000A0A5F" w:rsidRDefault="00CB0DD7">
      <w:pPr>
        <w:rPr>
          <w:rFonts w:hint="eastAsia"/>
          <w:lang w:eastAsia="ko-KR"/>
        </w:rPr>
      </w:pPr>
      <w:r w:rsidRPr="000A0A5F">
        <w:t xml:space="preserve">The T8 reference point resides between the SCEF and the SCS/AS as depicted in figure 4.2.1. The overall SCEF architecture is depicted in clause 4.2 of 3GPP TS 23.682 [2]. </w:t>
      </w:r>
    </w:p>
    <w:p w:rsidR="00CB0DD7" w:rsidRPr="000A0A5F" w:rsidRDefault="00CB0DD7">
      <w:pPr>
        <w:pStyle w:val="NO"/>
      </w:pPr>
      <w:r w:rsidRPr="000A0A5F">
        <w:t>NOTE:</w:t>
      </w:r>
      <w:r w:rsidRPr="000A0A5F">
        <w:tab/>
      </w:r>
      <w:r w:rsidRPr="000A0A5F">
        <w:rPr>
          <w:noProof/>
        </w:rPr>
        <w:t>The SCS/AS can be provided by a third party.</w:t>
      </w:r>
    </w:p>
    <w:bookmarkStart w:id="126" w:name="_MON_1530365964"/>
    <w:bookmarkEnd w:id="126"/>
    <w:p w:rsidR="00CB0DD7" w:rsidRPr="000A0A5F" w:rsidRDefault="00CB0DD7">
      <w:pPr>
        <w:pStyle w:val="TH"/>
        <w:rPr>
          <w:rFonts w:hint="eastAsia"/>
          <w:lang w:eastAsia="zh-CN"/>
        </w:rPr>
      </w:pPr>
      <w:r w:rsidRPr="000A0A5F">
        <w:object w:dxaOrig="3261" w:dyaOrig="3116">
          <v:shape id="_x0000_i1027" type="#_x0000_t75" style="width:163.4pt;height:155.9pt" o:ole="">
            <v:imagedata r:id="rId13" o:title=""/>
          </v:shape>
          <o:OLEObject Type="Embed" ProgID="Word.Picture.8" ShapeID="_x0000_i1027" DrawAspect="Content" ObjectID="_1771924961" r:id="rId14"/>
        </w:object>
      </w:r>
    </w:p>
    <w:p w:rsidR="00CB0DD7" w:rsidRPr="000A0A5F" w:rsidRDefault="00CB0DD7">
      <w:pPr>
        <w:pStyle w:val="TF"/>
        <w:rPr>
          <w:lang w:eastAsia="zh-CN"/>
        </w:rPr>
      </w:pPr>
      <w:r w:rsidRPr="000A0A5F">
        <w:t>Figure 4.</w:t>
      </w:r>
      <w:r w:rsidRPr="000A0A5F">
        <w:rPr>
          <w:rFonts w:hint="eastAsia"/>
          <w:lang w:eastAsia="ko-KR"/>
        </w:rPr>
        <w:t>2.</w:t>
      </w:r>
      <w:r w:rsidRPr="000A0A5F">
        <w:t xml:space="preserve">1: T8 reference </w:t>
      </w:r>
      <w:r w:rsidRPr="000A0A5F">
        <w:rPr>
          <w:rFonts w:hint="eastAsia"/>
          <w:lang w:eastAsia="zh-CN"/>
        </w:rPr>
        <w:t>model</w:t>
      </w:r>
    </w:p>
    <w:p w:rsidR="00CB0DD7" w:rsidRPr="000A0A5F" w:rsidRDefault="00CB0DD7">
      <w:pPr>
        <w:pStyle w:val="Heading2"/>
        <w:rPr>
          <w:lang w:val="en-US"/>
        </w:rPr>
      </w:pPr>
      <w:bookmarkStart w:id="127" w:name="_Toc11247183"/>
      <w:bookmarkStart w:id="128" w:name="_Toc27044299"/>
      <w:bookmarkStart w:id="129" w:name="_Toc36033341"/>
      <w:bookmarkStart w:id="130" w:name="_Toc45131471"/>
      <w:bookmarkStart w:id="131" w:name="_Toc49775756"/>
      <w:bookmarkStart w:id="132" w:name="_Toc51746676"/>
      <w:bookmarkStart w:id="133" w:name="_Toc66360218"/>
      <w:bookmarkStart w:id="134" w:name="_Toc68104723"/>
      <w:bookmarkStart w:id="135" w:name="_Toc74755352"/>
      <w:bookmarkStart w:id="136" w:name="_Toc105674207"/>
      <w:bookmarkStart w:id="137" w:name="_Toc130502240"/>
      <w:bookmarkStart w:id="138" w:name="_Toc153625019"/>
      <w:r w:rsidRPr="000A0A5F">
        <w:rPr>
          <w:lang w:val="en-US"/>
        </w:rPr>
        <w:t>4.</w:t>
      </w:r>
      <w:r w:rsidRPr="000A0A5F">
        <w:rPr>
          <w:rFonts w:hint="eastAsia"/>
          <w:lang w:val="en-US" w:eastAsia="zh-CN"/>
        </w:rPr>
        <w:t>3</w:t>
      </w:r>
      <w:r w:rsidRPr="000A0A5F">
        <w:rPr>
          <w:lang w:val="en-US"/>
        </w:rPr>
        <w:tab/>
        <w:t>Functional elements</w:t>
      </w:r>
      <w:bookmarkEnd w:id="127"/>
      <w:bookmarkEnd w:id="128"/>
      <w:bookmarkEnd w:id="129"/>
      <w:bookmarkEnd w:id="130"/>
      <w:bookmarkEnd w:id="131"/>
      <w:bookmarkEnd w:id="132"/>
      <w:bookmarkEnd w:id="133"/>
      <w:bookmarkEnd w:id="134"/>
      <w:bookmarkEnd w:id="135"/>
      <w:bookmarkEnd w:id="136"/>
      <w:bookmarkEnd w:id="137"/>
      <w:bookmarkEnd w:id="138"/>
    </w:p>
    <w:p w:rsidR="00CB0DD7" w:rsidRPr="000A0A5F" w:rsidRDefault="00CB0DD7">
      <w:pPr>
        <w:pStyle w:val="Heading3"/>
        <w:rPr>
          <w:lang w:eastAsia="zh-CN"/>
        </w:rPr>
      </w:pPr>
      <w:bookmarkStart w:id="139" w:name="historyclause"/>
      <w:bookmarkStart w:id="140" w:name="_Toc11247184"/>
      <w:bookmarkStart w:id="141" w:name="_Toc27044300"/>
      <w:bookmarkStart w:id="142" w:name="_Toc36033342"/>
      <w:bookmarkStart w:id="143" w:name="_Toc45131472"/>
      <w:bookmarkStart w:id="144" w:name="_Toc49775757"/>
      <w:bookmarkStart w:id="145" w:name="_Toc51746677"/>
      <w:bookmarkStart w:id="146" w:name="_Toc66360219"/>
      <w:bookmarkStart w:id="147" w:name="_Toc68104724"/>
      <w:bookmarkStart w:id="148" w:name="_Toc74755353"/>
      <w:bookmarkStart w:id="149" w:name="_Toc105674208"/>
      <w:bookmarkStart w:id="150" w:name="_Toc130502241"/>
      <w:bookmarkStart w:id="151" w:name="_Toc153625020"/>
      <w:r w:rsidRPr="000A0A5F">
        <w:t>4.</w:t>
      </w:r>
      <w:r w:rsidRPr="000A0A5F">
        <w:rPr>
          <w:rFonts w:hint="eastAsia"/>
          <w:lang w:eastAsia="zh-CN"/>
        </w:rPr>
        <w:t>3</w:t>
      </w:r>
      <w:r w:rsidRPr="000A0A5F">
        <w:t>.1</w:t>
      </w:r>
      <w:r w:rsidRPr="000A0A5F">
        <w:tab/>
      </w:r>
      <w:r w:rsidRPr="000A0A5F">
        <w:rPr>
          <w:lang w:eastAsia="zh-CN"/>
        </w:rPr>
        <w:t>SCEF</w:t>
      </w:r>
      <w:bookmarkEnd w:id="140"/>
      <w:bookmarkEnd w:id="141"/>
      <w:bookmarkEnd w:id="142"/>
      <w:bookmarkEnd w:id="143"/>
      <w:bookmarkEnd w:id="144"/>
      <w:bookmarkEnd w:id="145"/>
      <w:bookmarkEnd w:id="146"/>
      <w:bookmarkEnd w:id="147"/>
      <w:bookmarkEnd w:id="148"/>
      <w:bookmarkEnd w:id="149"/>
      <w:bookmarkEnd w:id="150"/>
      <w:bookmarkEnd w:id="151"/>
    </w:p>
    <w:p w:rsidR="00CB0DD7" w:rsidRPr="000A0A5F" w:rsidRDefault="00CB0DD7">
      <w:pPr>
        <w:rPr>
          <w:lang w:eastAsia="zh-CN"/>
        </w:rPr>
      </w:pPr>
      <w:r w:rsidRPr="000A0A5F">
        <w:rPr>
          <w:rFonts w:hint="eastAsia"/>
          <w:lang w:eastAsia="zh-CN"/>
        </w:rPr>
        <w:t xml:space="preserve">The SCEF is a functional </w:t>
      </w:r>
      <w:r w:rsidRPr="000A0A5F">
        <w:rPr>
          <w:lang w:eastAsia="zh-CN"/>
        </w:rPr>
        <w:t>element which</w:t>
      </w:r>
      <w:r w:rsidRPr="000A0A5F">
        <w:rPr>
          <w:rFonts w:hint="eastAsia"/>
          <w:lang w:eastAsia="zh-CN"/>
        </w:rPr>
        <w:t xml:space="preserve"> provides means to securely expose the services and capabilities provided by 3GPP network interfaces.</w:t>
      </w:r>
      <w:r w:rsidRPr="000A0A5F">
        <w:rPr>
          <w:lang w:eastAsia="zh-CN"/>
        </w:rPr>
        <w:t xml:space="preserve"> The SCEF provides access to network capabilities through homogenous application programming interfaces.</w:t>
      </w:r>
    </w:p>
    <w:p w:rsidR="00CB0DD7" w:rsidRPr="000A0A5F" w:rsidRDefault="00CB0DD7">
      <w:pPr>
        <w:rPr>
          <w:rFonts w:hint="eastAsia"/>
          <w:lang w:eastAsia="zh-CN"/>
        </w:rPr>
      </w:pPr>
      <w:r w:rsidRPr="000A0A5F">
        <w:t>Individual instances of SCEF may vary depending on what service capabilities are exposed and what API features are supported.</w:t>
      </w:r>
    </w:p>
    <w:p w:rsidR="00CB0DD7" w:rsidRPr="000A0A5F" w:rsidRDefault="00CB0DD7">
      <w:r w:rsidRPr="000A0A5F">
        <w:t>The SCEF shall protect the other PLMN entities (e.g. HSS, MME) from requests exceeding the permission arranged in the SLA with the third-party service provider.</w:t>
      </w:r>
    </w:p>
    <w:p w:rsidR="00CB0DD7" w:rsidRPr="000A0A5F" w:rsidRDefault="00CB0DD7">
      <w:pPr>
        <w:rPr>
          <w:rFonts w:hint="eastAsia"/>
          <w:lang w:eastAsia="zh-CN"/>
        </w:rPr>
      </w:pPr>
      <w:r w:rsidRPr="000A0A5F">
        <w:t>When needed, the SCEF supports mapping between information exchanged with SCS/AS (e.g. geographical identifiers) and information exchanged with internal PLMN functions (e.g. cell-Id, eNB-Id, TAI, MBMS SAI, etc.). This mapping is assumed to be provided by the SCEF based on local configuration data.</w:t>
      </w:r>
    </w:p>
    <w:p w:rsidR="00CB0DD7" w:rsidRPr="000A0A5F" w:rsidRDefault="00CB0DD7">
      <w:pPr>
        <w:pStyle w:val="Heading3"/>
        <w:rPr>
          <w:lang w:eastAsia="zh-CN"/>
        </w:rPr>
      </w:pPr>
      <w:bookmarkStart w:id="152" w:name="_Toc11247185"/>
      <w:bookmarkStart w:id="153" w:name="_Toc27044301"/>
      <w:bookmarkStart w:id="154" w:name="_Toc36033343"/>
      <w:bookmarkStart w:id="155" w:name="_Toc45131473"/>
      <w:bookmarkStart w:id="156" w:name="_Toc49775758"/>
      <w:bookmarkStart w:id="157" w:name="_Toc51746678"/>
      <w:bookmarkStart w:id="158" w:name="_Toc66360220"/>
      <w:bookmarkStart w:id="159" w:name="_Toc68104725"/>
      <w:bookmarkStart w:id="160" w:name="_Toc74755354"/>
      <w:bookmarkStart w:id="161" w:name="_Toc105674209"/>
      <w:bookmarkStart w:id="162" w:name="_Toc130502242"/>
      <w:bookmarkStart w:id="163" w:name="_Toc153625021"/>
      <w:r w:rsidRPr="000A0A5F">
        <w:t>4.</w:t>
      </w:r>
      <w:r w:rsidRPr="000A0A5F">
        <w:rPr>
          <w:rFonts w:hint="eastAsia"/>
          <w:lang w:eastAsia="zh-CN"/>
        </w:rPr>
        <w:t>3</w:t>
      </w:r>
      <w:r w:rsidRPr="000A0A5F">
        <w:t>.2</w:t>
      </w:r>
      <w:r w:rsidRPr="000A0A5F">
        <w:tab/>
      </w:r>
      <w:r w:rsidRPr="000A0A5F">
        <w:rPr>
          <w:rFonts w:hint="eastAsia"/>
          <w:lang w:eastAsia="zh-CN"/>
        </w:rPr>
        <w:t>SCS/AS</w:t>
      </w:r>
      <w:bookmarkEnd w:id="152"/>
      <w:bookmarkEnd w:id="153"/>
      <w:bookmarkEnd w:id="154"/>
      <w:bookmarkEnd w:id="155"/>
      <w:bookmarkEnd w:id="156"/>
      <w:bookmarkEnd w:id="157"/>
      <w:bookmarkEnd w:id="158"/>
      <w:bookmarkEnd w:id="159"/>
      <w:bookmarkEnd w:id="160"/>
      <w:bookmarkEnd w:id="161"/>
      <w:bookmarkEnd w:id="162"/>
      <w:bookmarkEnd w:id="163"/>
    </w:p>
    <w:p w:rsidR="00CB0DD7" w:rsidRPr="000A0A5F" w:rsidRDefault="00CB0DD7">
      <w:pPr>
        <w:rPr>
          <w:lang w:eastAsia="ko-KR"/>
        </w:rPr>
      </w:pPr>
      <w:r w:rsidRPr="000A0A5F">
        <w:rPr>
          <w:lang w:eastAsia="ko-KR"/>
        </w:rPr>
        <w:t>The SCS is the entity which connects MTC application servers to the 3GPP network to enable them to communicate through specific 3GPP defined services with UEs used for MTC and with the SCEF in the HPLMN. The SCS offers capabilities for use by one or multiple MTC application servers. The MTC applications in the external network are hosted on one or more ASs.</w:t>
      </w:r>
    </w:p>
    <w:p w:rsidR="00CB0DD7" w:rsidRPr="000A0A5F" w:rsidRDefault="00CB0DD7">
      <w:pPr>
        <w:rPr>
          <w:lang w:eastAsia="ko-KR"/>
        </w:rPr>
      </w:pPr>
      <w:r w:rsidRPr="000A0A5F">
        <w:rPr>
          <w:lang w:eastAsia="zh-CN"/>
        </w:rPr>
        <w:t>An SCS/AS can get services from multiple SCEFs, and an SCEF can provide services to multiple SCS/ASs.</w:t>
      </w:r>
    </w:p>
    <w:p w:rsidR="00CB0DD7" w:rsidRPr="000A0A5F" w:rsidRDefault="00CB0DD7">
      <w:r w:rsidRPr="000A0A5F">
        <w:t>The SCS is controlled by the operator of the HPLMN or by a MTC Service Provider.</w:t>
      </w:r>
    </w:p>
    <w:p w:rsidR="00CB0DD7" w:rsidRPr="000A0A5F" w:rsidRDefault="00CB0DD7">
      <w:pPr>
        <w:rPr>
          <w:rFonts w:hint="eastAsia"/>
        </w:rPr>
      </w:pPr>
      <w:r w:rsidRPr="000A0A5F">
        <w:t xml:space="preserve">The AS </w:t>
      </w:r>
      <w:r w:rsidRPr="000A0A5F">
        <w:rPr>
          <w:rFonts w:hint="eastAsia"/>
          <w:lang w:eastAsia="zh-CN"/>
        </w:rPr>
        <w:t>can be</w:t>
      </w:r>
      <w:r w:rsidRPr="000A0A5F">
        <w:t xml:space="preserve"> controlled by a 3</w:t>
      </w:r>
      <w:r w:rsidRPr="000A0A5F">
        <w:rPr>
          <w:vertAlign w:val="superscript"/>
        </w:rPr>
        <w:t>rd</w:t>
      </w:r>
      <w:r w:rsidRPr="000A0A5F">
        <w:t xml:space="preserve"> party.</w:t>
      </w:r>
    </w:p>
    <w:p w:rsidR="00CB0DD7" w:rsidRPr="000A0A5F" w:rsidRDefault="00CB0DD7">
      <w:pPr>
        <w:pStyle w:val="Heading2"/>
        <w:rPr>
          <w:lang w:val="en-US" w:eastAsia="zh-CN"/>
        </w:rPr>
      </w:pPr>
      <w:bookmarkStart w:id="164" w:name="_Toc11247186"/>
      <w:bookmarkStart w:id="165" w:name="_Toc27044302"/>
      <w:bookmarkStart w:id="166" w:name="_Toc36033344"/>
      <w:bookmarkStart w:id="167" w:name="_Toc45131474"/>
      <w:bookmarkStart w:id="168" w:name="_Toc49775759"/>
      <w:bookmarkStart w:id="169" w:name="_Toc51746679"/>
      <w:bookmarkStart w:id="170" w:name="_Toc66360221"/>
      <w:bookmarkStart w:id="171" w:name="_Toc68104726"/>
      <w:bookmarkStart w:id="172" w:name="_Toc74755355"/>
      <w:bookmarkStart w:id="173" w:name="_Toc105674210"/>
      <w:bookmarkStart w:id="174" w:name="_Toc130502243"/>
      <w:bookmarkStart w:id="175" w:name="_Toc153625022"/>
      <w:r w:rsidRPr="000A0A5F">
        <w:rPr>
          <w:lang w:val="en-US"/>
        </w:rPr>
        <w:t>4.</w:t>
      </w:r>
      <w:r w:rsidRPr="000A0A5F">
        <w:rPr>
          <w:lang w:val="en-US" w:eastAsia="zh-CN"/>
        </w:rPr>
        <w:t>4</w:t>
      </w:r>
      <w:r w:rsidRPr="000A0A5F">
        <w:rPr>
          <w:lang w:val="en-US"/>
        </w:rPr>
        <w:tab/>
      </w:r>
      <w:r w:rsidRPr="000A0A5F">
        <w:rPr>
          <w:rFonts w:hint="eastAsia"/>
          <w:lang w:val="en-US" w:eastAsia="zh-CN"/>
        </w:rPr>
        <w:t xml:space="preserve">Procedures over </w:t>
      </w:r>
      <w:r w:rsidRPr="000A0A5F">
        <w:rPr>
          <w:lang w:val="en-US" w:eastAsia="zh-CN"/>
        </w:rPr>
        <w:t>T8</w:t>
      </w:r>
      <w:r w:rsidRPr="000A0A5F">
        <w:rPr>
          <w:rFonts w:hint="eastAsia"/>
          <w:lang w:val="en-US" w:eastAsia="zh-CN"/>
        </w:rPr>
        <w:t xml:space="preserve"> reference point</w:t>
      </w:r>
      <w:bookmarkEnd w:id="164"/>
      <w:bookmarkEnd w:id="165"/>
      <w:bookmarkEnd w:id="166"/>
      <w:bookmarkEnd w:id="167"/>
      <w:bookmarkEnd w:id="168"/>
      <w:bookmarkEnd w:id="169"/>
      <w:bookmarkEnd w:id="170"/>
      <w:bookmarkEnd w:id="171"/>
      <w:bookmarkEnd w:id="172"/>
      <w:bookmarkEnd w:id="173"/>
      <w:bookmarkEnd w:id="174"/>
      <w:bookmarkEnd w:id="175"/>
    </w:p>
    <w:p w:rsidR="00CB0DD7" w:rsidRPr="000A0A5F" w:rsidRDefault="00CB0DD7">
      <w:pPr>
        <w:pStyle w:val="Heading3"/>
        <w:rPr>
          <w:lang w:eastAsia="zh-CN"/>
        </w:rPr>
      </w:pPr>
      <w:bookmarkStart w:id="176" w:name="_Toc11247187"/>
      <w:bookmarkStart w:id="177" w:name="_Toc27044303"/>
      <w:bookmarkStart w:id="178" w:name="_Toc36033345"/>
      <w:bookmarkStart w:id="179" w:name="_Toc45131475"/>
      <w:bookmarkStart w:id="180" w:name="_Toc49775760"/>
      <w:bookmarkStart w:id="181" w:name="_Toc51746680"/>
      <w:bookmarkStart w:id="182" w:name="_Toc66360222"/>
      <w:bookmarkStart w:id="183" w:name="_Toc68104727"/>
      <w:bookmarkStart w:id="184" w:name="_Toc74755356"/>
      <w:bookmarkStart w:id="185" w:name="_Toc105674211"/>
      <w:bookmarkStart w:id="186" w:name="_Toc130502244"/>
      <w:bookmarkStart w:id="187" w:name="_Toc153625023"/>
      <w:r w:rsidRPr="000A0A5F">
        <w:t>4.</w:t>
      </w:r>
      <w:r w:rsidRPr="000A0A5F">
        <w:rPr>
          <w:lang w:eastAsia="zh-CN"/>
        </w:rPr>
        <w:t>4</w:t>
      </w:r>
      <w:r w:rsidRPr="000A0A5F">
        <w:t>.1</w:t>
      </w:r>
      <w:r w:rsidRPr="000A0A5F">
        <w:tab/>
        <w:t>Introduction</w:t>
      </w:r>
      <w:bookmarkEnd w:id="176"/>
      <w:bookmarkEnd w:id="177"/>
      <w:bookmarkEnd w:id="178"/>
      <w:bookmarkEnd w:id="179"/>
      <w:bookmarkEnd w:id="180"/>
      <w:bookmarkEnd w:id="181"/>
      <w:bookmarkEnd w:id="182"/>
      <w:bookmarkEnd w:id="183"/>
      <w:bookmarkEnd w:id="184"/>
      <w:bookmarkEnd w:id="185"/>
      <w:bookmarkEnd w:id="186"/>
      <w:bookmarkEnd w:id="187"/>
    </w:p>
    <w:p w:rsidR="00CB0DD7" w:rsidRPr="000A0A5F" w:rsidRDefault="00CB0DD7">
      <w:pPr>
        <w:rPr>
          <w:rFonts w:hint="eastAsia"/>
          <w:noProof/>
          <w:lang w:eastAsia="zh-CN"/>
        </w:rPr>
      </w:pPr>
      <w:r w:rsidRPr="000A0A5F">
        <w:rPr>
          <w:rFonts w:hint="eastAsia"/>
          <w:noProof/>
          <w:lang w:eastAsia="zh-CN"/>
        </w:rPr>
        <w:t xml:space="preserve">All procedures that operate across the T8 reference point, as specified in </w:t>
      </w:r>
      <w:r w:rsidRPr="000A0A5F">
        <w:rPr>
          <w:noProof/>
          <w:lang w:eastAsia="zh-CN"/>
        </w:rPr>
        <w:t>3GPP TS 23.682 [2], are specified in the following clauses.</w:t>
      </w:r>
    </w:p>
    <w:p w:rsidR="00CB0DD7" w:rsidRPr="000A0A5F" w:rsidRDefault="00CB0DD7">
      <w:pPr>
        <w:pStyle w:val="Heading3"/>
      </w:pPr>
      <w:bookmarkStart w:id="188" w:name="_Toc11247188"/>
      <w:bookmarkStart w:id="189" w:name="_Toc27044304"/>
      <w:bookmarkStart w:id="190" w:name="_Toc36033346"/>
      <w:bookmarkStart w:id="191" w:name="_Toc45131476"/>
      <w:bookmarkStart w:id="192" w:name="_Toc49775761"/>
      <w:bookmarkStart w:id="193" w:name="_Toc51746681"/>
      <w:bookmarkStart w:id="194" w:name="_Toc66360223"/>
      <w:bookmarkStart w:id="195" w:name="_Toc68104728"/>
      <w:bookmarkStart w:id="196" w:name="_Toc74755357"/>
      <w:bookmarkStart w:id="197" w:name="_Toc105674212"/>
      <w:bookmarkStart w:id="198" w:name="_Toc130502245"/>
      <w:bookmarkStart w:id="199" w:name="_Toc153625024"/>
      <w:r w:rsidRPr="000A0A5F">
        <w:t>4.</w:t>
      </w:r>
      <w:r w:rsidRPr="000A0A5F">
        <w:rPr>
          <w:lang w:eastAsia="zh-CN"/>
        </w:rPr>
        <w:t>4</w:t>
      </w:r>
      <w:r w:rsidRPr="000A0A5F">
        <w:t>.2</w:t>
      </w:r>
      <w:r w:rsidRPr="000A0A5F">
        <w:tab/>
        <w:t>Monitoring Procedures</w:t>
      </w:r>
      <w:bookmarkEnd w:id="188"/>
      <w:bookmarkEnd w:id="189"/>
      <w:bookmarkEnd w:id="190"/>
      <w:bookmarkEnd w:id="191"/>
      <w:bookmarkEnd w:id="192"/>
      <w:bookmarkEnd w:id="193"/>
      <w:bookmarkEnd w:id="194"/>
      <w:bookmarkEnd w:id="195"/>
      <w:bookmarkEnd w:id="196"/>
      <w:bookmarkEnd w:id="197"/>
      <w:bookmarkEnd w:id="198"/>
      <w:bookmarkEnd w:id="199"/>
    </w:p>
    <w:p w:rsidR="00CB0DD7" w:rsidRPr="000A0A5F" w:rsidRDefault="00CB0DD7">
      <w:pPr>
        <w:pStyle w:val="Heading4"/>
      </w:pPr>
      <w:bookmarkStart w:id="200" w:name="_Toc11247189"/>
      <w:bookmarkStart w:id="201" w:name="_Toc27044305"/>
      <w:bookmarkStart w:id="202" w:name="_Toc36033347"/>
      <w:bookmarkStart w:id="203" w:name="_Toc45131477"/>
      <w:bookmarkStart w:id="204" w:name="_Toc49775762"/>
      <w:bookmarkStart w:id="205" w:name="_Toc51746682"/>
      <w:bookmarkStart w:id="206" w:name="_Toc66360224"/>
      <w:bookmarkStart w:id="207" w:name="_Toc68104729"/>
      <w:bookmarkStart w:id="208" w:name="_Toc74755358"/>
      <w:bookmarkStart w:id="209" w:name="_Toc105674213"/>
      <w:bookmarkStart w:id="210" w:name="_Toc130502246"/>
      <w:bookmarkStart w:id="211" w:name="_Toc153625025"/>
      <w:r w:rsidRPr="000A0A5F">
        <w:t>4.4.2.1</w:t>
      </w:r>
      <w:r w:rsidRPr="000A0A5F">
        <w:tab/>
        <w:t>General</w:t>
      </w:r>
      <w:bookmarkEnd w:id="200"/>
      <w:bookmarkEnd w:id="201"/>
      <w:bookmarkEnd w:id="202"/>
      <w:bookmarkEnd w:id="203"/>
      <w:bookmarkEnd w:id="204"/>
      <w:bookmarkEnd w:id="205"/>
      <w:bookmarkEnd w:id="206"/>
      <w:bookmarkEnd w:id="207"/>
      <w:bookmarkEnd w:id="208"/>
      <w:bookmarkEnd w:id="209"/>
      <w:bookmarkEnd w:id="210"/>
      <w:bookmarkEnd w:id="211"/>
    </w:p>
    <w:p w:rsidR="00CB0DD7" w:rsidRPr="000A0A5F" w:rsidRDefault="00CB0DD7">
      <w:pPr>
        <w:rPr>
          <w:noProof/>
          <w:lang w:eastAsia="zh-CN"/>
        </w:rPr>
      </w:pPr>
      <w:r w:rsidRPr="000A0A5F">
        <w:rPr>
          <w:noProof/>
          <w:lang w:eastAsia="zh-CN"/>
        </w:rPr>
        <w:t>These procedures are used to perform event monitoring functions via the T8 interface, which include:</w:t>
      </w:r>
    </w:p>
    <w:p w:rsidR="00CB0DD7" w:rsidRPr="000A0A5F" w:rsidRDefault="00CB0DD7">
      <w:pPr>
        <w:pStyle w:val="B10"/>
        <w:rPr>
          <w:noProof/>
          <w:lang w:eastAsia="zh-CN"/>
        </w:rPr>
      </w:pPr>
      <w:r w:rsidRPr="000A0A5F">
        <w:rPr>
          <w:noProof/>
          <w:lang w:eastAsia="zh-CN"/>
        </w:rPr>
        <w:t>-</w:t>
      </w:r>
      <w:r w:rsidRPr="000A0A5F">
        <w:rPr>
          <w:noProof/>
          <w:lang w:eastAsia="zh-CN"/>
        </w:rPr>
        <w:tab/>
        <w:t>Monitoring event configuration as specified in clause</w:t>
      </w:r>
      <w:r w:rsidR="00C97A09" w:rsidRPr="000A0A5F">
        <w:rPr>
          <w:noProof/>
          <w:lang w:eastAsia="zh-CN"/>
        </w:rPr>
        <w:t> </w:t>
      </w:r>
      <w:r w:rsidRPr="000A0A5F">
        <w:rPr>
          <w:noProof/>
          <w:lang w:eastAsia="zh-CN"/>
        </w:rPr>
        <w:t>4.4.2.2;</w:t>
      </w:r>
    </w:p>
    <w:p w:rsidR="00CB0DD7" w:rsidRPr="000A0A5F" w:rsidRDefault="00CB0DD7">
      <w:pPr>
        <w:pStyle w:val="B10"/>
        <w:rPr>
          <w:noProof/>
          <w:lang w:eastAsia="zh-CN"/>
        </w:rPr>
      </w:pPr>
      <w:r w:rsidRPr="000A0A5F">
        <w:rPr>
          <w:noProof/>
          <w:lang w:eastAsia="zh-CN"/>
        </w:rPr>
        <w:t>-</w:t>
      </w:r>
      <w:r w:rsidRPr="000A0A5F">
        <w:rPr>
          <w:noProof/>
          <w:lang w:eastAsia="zh-CN"/>
        </w:rPr>
        <w:tab/>
        <w:t xml:space="preserve">Reporting of monitoring event as specified in </w:t>
      </w:r>
      <w:r w:rsidR="00C97A09" w:rsidRPr="000A0A5F">
        <w:rPr>
          <w:noProof/>
          <w:lang w:eastAsia="zh-CN"/>
        </w:rPr>
        <w:t>clause </w:t>
      </w:r>
      <w:r w:rsidRPr="000A0A5F">
        <w:rPr>
          <w:noProof/>
          <w:lang w:eastAsia="zh-CN"/>
        </w:rPr>
        <w:t xml:space="preserve">4.4.2.3; </w:t>
      </w:r>
    </w:p>
    <w:p w:rsidR="00CB0DD7" w:rsidRPr="000A0A5F" w:rsidRDefault="00CB0DD7">
      <w:pPr>
        <w:pStyle w:val="B10"/>
        <w:rPr>
          <w:noProof/>
          <w:lang w:eastAsia="zh-CN"/>
        </w:rPr>
      </w:pPr>
      <w:r w:rsidRPr="000A0A5F">
        <w:rPr>
          <w:noProof/>
          <w:lang w:eastAsia="zh-CN"/>
        </w:rPr>
        <w:t>-</w:t>
      </w:r>
      <w:r w:rsidRPr="000A0A5F">
        <w:rPr>
          <w:noProof/>
          <w:lang w:eastAsia="zh-CN"/>
        </w:rPr>
        <w:tab/>
        <w:t>Network initiated notifications of monitoring event cancellation, as specified in clause</w:t>
      </w:r>
      <w:r w:rsidR="00C97A09" w:rsidRPr="000A0A5F">
        <w:rPr>
          <w:noProof/>
          <w:lang w:eastAsia="zh-CN"/>
        </w:rPr>
        <w:t> </w:t>
      </w:r>
      <w:r w:rsidRPr="000A0A5F">
        <w:rPr>
          <w:noProof/>
          <w:lang w:eastAsia="zh-CN"/>
        </w:rPr>
        <w:t>4.4.2.4 ; and</w:t>
      </w:r>
    </w:p>
    <w:p w:rsidR="00CB0DD7" w:rsidRPr="000A0A5F" w:rsidRDefault="00CB0DD7">
      <w:pPr>
        <w:pStyle w:val="B10"/>
        <w:rPr>
          <w:noProof/>
          <w:lang w:eastAsia="zh-CN"/>
        </w:rPr>
      </w:pPr>
      <w:r w:rsidRPr="000A0A5F">
        <w:rPr>
          <w:noProof/>
          <w:lang w:eastAsia="zh-CN"/>
        </w:rPr>
        <w:t>-</w:t>
      </w:r>
      <w:r w:rsidRPr="000A0A5F">
        <w:rPr>
          <w:noProof/>
          <w:lang w:eastAsia="zh-CN"/>
        </w:rPr>
        <w:tab/>
        <w:t>Network initiated notifications of applied parameter configuration, as specified in clause 4.4.2.5.</w:t>
      </w:r>
    </w:p>
    <w:p w:rsidR="00CB0DD7" w:rsidRPr="000A0A5F" w:rsidRDefault="00CB0DD7">
      <w:pPr>
        <w:pStyle w:val="Heading4"/>
      </w:pPr>
      <w:bookmarkStart w:id="212" w:name="_Toc11247190"/>
      <w:bookmarkStart w:id="213" w:name="_Toc27044306"/>
      <w:bookmarkStart w:id="214" w:name="_Toc36033348"/>
      <w:bookmarkStart w:id="215" w:name="_Toc45131478"/>
      <w:bookmarkStart w:id="216" w:name="_Toc49775763"/>
      <w:bookmarkStart w:id="217" w:name="_Toc51746683"/>
      <w:bookmarkStart w:id="218" w:name="_Toc66360225"/>
      <w:bookmarkStart w:id="219" w:name="_Toc68104730"/>
      <w:bookmarkStart w:id="220" w:name="_Toc74755359"/>
      <w:bookmarkStart w:id="221" w:name="_Toc105674214"/>
      <w:bookmarkStart w:id="222" w:name="_Toc130502247"/>
      <w:bookmarkStart w:id="223" w:name="_Toc153625026"/>
      <w:r w:rsidRPr="000A0A5F">
        <w:t>4.4.2.2</w:t>
      </w:r>
      <w:r w:rsidRPr="000A0A5F">
        <w:tab/>
        <w:t>Monitoring Events Configuration</w:t>
      </w:r>
      <w:bookmarkEnd w:id="212"/>
      <w:bookmarkEnd w:id="213"/>
      <w:bookmarkEnd w:id="214"/>
      <w:bookmarkEnd w:id="215"/>
      <w:bookmarkEnd w:id="216"/>
      <w:bookmarkEnd w:id="217"/>
      <w:bookmarkEnd w:id="218"/>
      <w:bookmarkEnd w:id="219"/>
      <w:bookmarkEnd w:id="220"/>
      <w:bookmarkEnd w:id="221"/>
      <w:bookmarkEnd w:id="222"/>
      <w:bookmarkEnd w:id="223"/>
    </w:p>
    <w:p w:rsidR="00CB0DD7" w:rsidRPr="000A0A5F" w:rsidRDefault="00CB0DD7">
      <w:pPr>
        <w:pStyle w:val="Heading5"/>
        <w:rPr>
          <w:rFonts w:hint="eastAsia"/>
        </w:rPr>
      </w:pPr>
      <w:bookmarkStart w:id="224" w:name="_Toc11247191"/>
      <w:bookmarkStart w:id="225" w:name="_Toc27044307"/>
      <w:bookmarkStart w:id="226" w:name="_Toc36033349"/>
      <w:bookmarkStart w:id="227" w:name="_Toc45131479"/>
      <w:bookmarkStart w:id="228" w:name="_Toc49775764"/>
      <w:bookmarkStart w:id="229" w:name="_Toc51746684"/>
      <w:bookmarkStart w:id="230" w:name="_Toc66360226"/>
      <w:bookmarkStart w:id="231" w:name="_Toc68104731"/>
      <w:bookmarkStart w:id="232" w:name="_Toc74755360"/>
      <w:bookmarkStart w:id="233" w:name="_Toc105674215"/>
      <w:bookmarkStart w:id="234" w:name="_Toc130502248"/>
      <w:bookmarkStart w:id="235" w:name="_Toc153625027"/>
      <w:r w:rsidRPr="000A0A5F">
        <w:t>4.4.2.2.1</w:t>
      </w:r>
      <w:r w:rsidRPr="000A0A5F">
        <w:tab/>
        <w:t>General</w:t>
      </w:r>
      <w:bookmarkEnd w:id="224"/>
      <w:bookmarkEnd w:id="225"/>
      <w:bookmarkEnd w:id="226"/>
      <w:bookmarkEnd w:id="227"/>
      <w:bookmarkEnd w:id="228"/>
      <w:bookmarkEnd w:id="229"/>
      <w:bookmarkEnd w:id="230"/>
      <w:bookmarkEnd w:id="231"/>
      <w:bookmarkEnd w:id="232"/>
      <w:bookmarkEnd w:id="233"/>
      <w:bookmarkEnd w:id="234"/>
      <w:bookmarkEnd w:id="235"/>
    </w:p>
    <w:p w:rsidR="00EF4A16" w:rsidRPr="000A0A5F" w:rsidRDefault="00EF4A16" w:rsidP="00EF4A16">
      <w:pPr>
        <w:rPr>
          <w:noProof/>
          <w:lang w:eastAsia="zh-CN"/>
        </w:rPr>
      </w:pPr>
      <w:r w:rsidRPr="000A0A5F">
        <w:rPr>
          <w:noProof/>
          <w:lang w:eastAsia="zh-CN"/>
        </w:rPr>
        <w:t xml:space="preserve">In order to subscribe to a new monitoring event configuration, the SCS/AS shall send an HTTP POST request message to the SCEF targeting the </w:t>
      </w:r>
      <w:r w:rsidRPr="000A0A5F">
        <w:t>"Monitoring Event Subscriptions"</w:t>
      </w:r>
      <w:r w:rsidRPr="000A0A5F">
        <w:rPr>
          <w:noProof/>
          <w:lang w:eastAsia="zh-CN"/>
        </w:rPr>
        <w:t xml:space="preserve"> resource. The body of the HTTP POST request message shall include:</w:t>
      </w:r>
    </w:p>
    <w:p w:rsidR="00EF4A16" w:rsidRPr="000A0A5F" w:rsidRDefault="00EF4A16" w:rsidP="00EF4A16">
      <w:pPr>
        <w:pStyle w:val="B10"/>
        <w:rPr>
          <w:noProof/>
          <w:lang w:eastAsia="zh-CN"/>
        </w:rPr>
      </w:pPr>
      <w:r w:rsidRPr="000A0A5F">
        <w:rPr>
          <w:noProof/>
          <w:lang w:eastAsia="zh-CN"/>
        </w:rPr>
        <w:t>-</w:t>
      </w:r>
      <w:r w:rsidRPr="000A0A5F">
        <w:rPr>
          <w:noProof/>
          <w:lang w:eastAsia="zh-CN"/>
        </w:rPr>
        <w:tab/>
        <w:t>the SCS/AS Identifier;</w:t>
      </w:r>
    </w:p>
    <w:p w:rsidR="00EF4A16" w:rsidRPr="000A0A5F" w:rsidRDefault="00EF4A16" w:rsidP="00EF4A16">
      <w:pPr>
        <w:pStyle w:val="B10"/>
        <w:rPr>
          <w:noProof/>
          <w:lang w:eastAsia="zh-CN"/>
        </w:rPr>
      </w:pPr>
      <w:r w:rsidRPr="000A0A5F">
        <w:rPr>
          <w:noProof/>
          <w:lang w:eastAsia="zh-CN"/>
        </w:rPr>
        <w:t>-</w:t>
      </w:r>
      <w:r w:rsidRPr="000A0A5F">
        <w:rPr>
          <w:noProof/>
          <w:lang w:eastAsia="zh-CN"/>
        </w:rPr>
        <w:tab/>
        <w:t>the Monitoring Type</w:t>
      </w:r>
      <w:r w:rsidRPr="000A0A5F">
        <w:t>;</w:t>
      </w:r>
    </w:p>
    <w:p w:rsidR="00EF4A16" w:rsidRPr="000A0A5F" w:rsidRDefault="00EF4A16" w:rsidP="00EF4A16">
      <w:pPr>
        <w:pStyle w:val="B10"/>
        <w:rPr>
          <w:noProof/>
          <w:lang w:eastAsia="zh-CN"/>
        </w:rPr>
      </w:pPr>
      <w:r w:rsidRPr="000A0A5F">
        <w:rPr>
          <w:noProof/>
          <w:lang w:eastAsia="zh-CN"/>
        </w:rPr>
        <w:t>-</w:t>
      </w:r>
      <w:r w:rsidRPr="000A0A5F">
        <w:rPr>
          <w:noProof/>
          <w:lang w:eastAsia="zh-CN"/>
        </w:rPr>
        <w:tab/>
        <w:t xml:space="preserve">the </w:t>
      </w:r>
      <w:r w:rsidRPr="000A0A5F">
        <w:t>Notification Destination Address;</w:t>
      </w:r>
      <w:r w:rsidRPr="000A0A5F">
        <w:rPr>
          <w:noProof/>
          <w:lang w:eastAsia="zh-CN"/>
        </w:rPr>
        <w:t xml:space="preserve"> and</w:t>
      </w:r>
    </w:p>
    <w:p w:rsidR="00EF4A16" w:rsidRPr="000A0A5F" w:rsidRDefault="00EF4A16" w:rsidP="00EF4A16">
      <w:pPr>
        <w:pStyle w:val="B10"/>
        <w:rPr>
          <w:noProof/>
          <w:lang w:eastAsia="zh-CN"/>
        </w:rPr>
      </w:pPr>
      <w:r w:rsidRPr="000A0A5F">
        <w:rPr>
          <w:noProof/>
          <w:lang w:eastAsia="zh-CN"/>
        </w:rPr>
        <w:t>-</w:t>
      </w:r>
      <w:r w:rsidRPr="000A0A5F">
        <w:rPr>
          <w:noProof/>
          <w:lang w:eastAsia="zh-CN"/>
        </w:rPr>
        <w:tab/>
        <w:t xml:space="preserve">the identifier(s) of the targeted UE(s), i.e. one of External Identifier, MSISDN or External Group Identifier. </w:t>
      </w:r>
      <w:r w:rsidRPr="000A0A5F">
        <w:t>The External Identifier or the MSISDN identifies the subscription of an individual UE and the External Group Identifier points to a group of UEs.</w:t>
      </w:r>
    </w:p>
    <w:p w:rsidR="00EF4A16" w:rsidRPr="000A0A5F" w:rsidRDefault="00EF4A16" w:rsidP="00EF4A16">
      <w:pPr>
        <w:pStyle w:val="B10"/>
        <w:rPr>
          <w:noProof/>
          <w:lang w:eastAsia="zh-CN"/>
        </w:rPr>
      </w:pPr>
      <w:r w:rsidRPr="000A0A5F">
        <w:rPr>
          <w:noProof/>
          <w:lang w:eastAsia="zh-CN"/>
        </w:rPr>
        <w:t>and may include:</w:t>
      </w:r>
    </w:p>
    <w:p w:rsidR="00EF4A16" w:rsidRPr="000A0A5F" w:rsidRDefault="00EF4A16" w:rsidP="00EF4A16">
      <w:pPr>
        <w:pStyle w:val="B2"/>
        <w:rPr>
          <w:noProof/>
          <w:lang w:eastAsia="zh-CN"/>
        </w:rPr>
      </w:pPr>
      <w:r w:rsidRPr="000A0A5F">
        <w:rPr>
          <w:noProof/>
          <w:lang w:eastAsia="zh-CN"/>
        </w:rPr>
        <w:t>-</w:t>
      </w:r>
      <w:r w:rsidRPr="000A0A5F">
        <w:rPr>
          <w:noProof/>
          <w:lang w:eastAsia="zh-CN"/>
        </w:rPr>
        <w:tab/>
        <w:t>the Maximum Number of Reports;</w:t>
      </w:r>
    </w:p>
    <w:p w:rsidR="00EF4A16" w:rsidRPr="000A0A5F" w:rsidRDefault="00EF4A16" w:rsidP="00EF4A16">
      <w:pPr>
        <w:pStyle w:val="B2"/>
        <w:rPr>
          <w:noProof/>
          <w:lang w:eastAsia="zh-CN"/>
        </w:rPr>
      </w:pPr>
      <w:r w:rsidRPr="000A0A5F">
        <w:rPr>
          <w:noProof/>
          <w:lang w:eastAsia="zh-CN"/>
        </w:rPr>
        <w:t>-</w:t>
      </w:r>
      <w:r w:rsidRPr="000A0A5F">
        <w:rPr>
          <w:noProof/>
          <w:lang w:eastAsia="zh-CN"/>
        </w:rPr>
        <w:tab/>
        <w:t xml:space="preserve">the </w:t>
      </w:r>
      <w:r w:rsidRPr="000A0A5F">
        <w:t>Monitoring Duration</w:t>
      </w:r>
      <w:r w:rsidRPr="000A0A5F">
        <w:rPr>
          <w:lang w:eastAsia="zh-CN"/>
        </w:rPr>
        <w:t xml:space="preserve"> indicated by the </w:t>
      </w:r>
      <w:r w:rsidRPr="000A0A5F">
        <w:rPr>
          <w:noProof/>
          <w:lang w:eastAsia="zh-CN"/>
        </w:rPr>
        <w:t>propert</w:t>
      </w:r>
      <w:r w:rsidRPr="000A0A5F">
        <w:rPr>
          <w:lang w:eastAsia="zh-CN"/>
        </w:rPr>
        <w:t>y "</w:t>
      </w:r>
      <w:r w:rsidRPr="000A0A5F">
        <w:rPr>
          <w:rFonts w:cs="Arial" w:hint="eastAsia"/>
          <w:szCs w:val="18"/>
          <w:lang w:eastAsia="zh-CN"/>
        </w:rPr>
        <w:t>monitor</w:t>
      </w:r>
      <w:r w:rsidRPr="000A0A5F">
        <w:rPr>
          <w:rFonts w:cs="Arial"/>
          <w:szCs w:val="18"/>
          <w:lang w:eastAsia="zh-CN"/>
        </w:rPr>
        <w:t>ExpireTime</w:t>
      </w:r>
      <w:r w:rsidRPr="000A0A5F">
        <w:rPr>
          <w:lang w:eastAsia="zh-CN"/>
        </w:rPr>
        <w:t>";</w:t>
      </w:r>
    </w:p>
    <w:p w:rsidR="00EF4A16" w:rsidRPr="000A0A5F" w:rsidRDefault="00EF4A16" w:rsidP="00EF4A16">
      <w:pPr>
        <w:pStyle w:val="B2"/>
        <w:rPr>
          <w:noProof/>
          <w:lang w:eastAsia="zh-CN"/>
        </w:rPr>
      </w:pPr>
      <w:r w:rsidRPr="000A0A5F">
        <w:rPr>
          <w:noProof/>
          <w:lang w:eastAsia="zh-CN"/>
        </w:rPr>
        <w:t>-</w:t>
      </w:r>
      <w:r w:rsidRPr="000A0A5F">
        <w:rPr>
          <w:noProof/>
          <w:lang w:eastAsia="zh-CN"/>
        </w:rPr>
        <w:tab/>
        <w:t xml:space="preserve">the </w:t>
      </w:r>
      <w:r w:rsidRPr="000A0A5F">
        <w:t>Group Reporting Guard Time; and</w:t>
      </w:r>
    </w:p>
    <w:p w:rsidR="00EF4A16" w:rsidRPr="000A0A5F" w:rsidRDefault="00EF4A16" w:rsidP="00EF4A16">
      <w:pPr>
        <w:pStyle w:val="B2"/>
        <w:rPr>
          <w:noProof/>
          <w:lang w:eastAsia="zh-CN"/>
        </w:rPr>
      </w:pPr>
      <w:r w:rsidRPr="000A0A5F">
        <w:rPr>
          <w:noProof/>
          <w:lang w:eastAsia="zh-CN"/>
        </w:rPr>
        <w:t>-</w:t>
      </w:r>
      <w:r w:rsidRPr="000A0A5F">
        <w:rPr>
          <w:noProof/>
          <w:lang w:eastAsia="zh-CN"/>
        </w:rPr>
        <w:tab/>
      </w:r>
      <w:r w:rsidRPr="000A0A5F">
        <w:t>additional Monitoring Type(s), if the subscription request targets multiple event(s).</w:t>
      </w:r>
    </w:p>
    <w:p w:rsidR="00EF4A16" w:rsidRPr="000A0A5F" w:rsidRDefault="00EF4A16" w:rsidP="00EF4A16">
      <w:r w:rsidRPr="000A0A5F">
        <w:t xml:space="preserve">If the </w:t>
      </w:r>
      <w:r w:rsidRPr="000A0A5F">
        <w:rPr>
          <w:rFonts w:cs="Arial"/>
        </w:rPr>
        <w:t>Subscription_modification</w:t>
      </w:r>
      <w:r w:rsidRPr="000A0A5F">
        <w:t xml:space="preserve"> feature is supported, the SCS/AS may send an HTTP PUT message in order to update an existing </w:t>
      </w:r>
      <w:r w:rsidRPr="000A0A5F">
        <w:rPr>
          <w:noProof/>
          <w:lang w:eastAsia="zh-CN"/>
        </w:rPr>
        <w:t>monitoring event subscription.</w:t>
      </w:r>
      <w:r w:rsidRPr="000A0A5F">
        <w:t xml:space="preserve"> The HTTP PUT request targets the resource "Individual Monitoring Event Subscription" replacing all the properties in the existing configuration. The identifier(s) of the targeted UE(s) (i.e. "msisdn", "externalId" or "externalGroupId" attribute</w:t>
      </w:r>
      <w:r w:rsidRPr="000A0A5F">
        <w:rPr>
          <w:color w:val="1F497D"/>
        </w:rPr>
        <w:t>)</w:t>
      </w:r>
      <w:r w:rsidRPr="000A0A5F">
        <w:t>, the identifier of the MTC Provider (i.e. "mtcProviderId" attribute) and the supported features (i.e. "supportedFeatures" attribute) provided during the creation of the monitoring event subscription shall not be updated. Also, both the "requestTestNotification"and "websockNotifConfig" attributes shall not be updated, if previously provided.</w:t>
      </w:r>
    </w:p>
    <w:p w:rsidR="00F07F9F" w:rsidRPr="000A0A5F" w:rsidRDefault="00F07F9F" w:rsidP="00F07F9F">
      <w:r w:rsidRPr="000A0A5F">
        <w:t xml:space="preserve">For one-time monitoring type of requests, the SCS/AS shall include the </w:t>
      </w:r>
      <w:r w:rsidRPr="000A0A5F">
        <w:rPr>
          <w:noProof/>
          <w:lang w:eastAsia="zh-CN"/>
        </w:rPr>
        <w:t xml:space="preserve">Maximum Number of Reports with a value set to 1 and not include the </w:t>
      </w:r>
      <w:r w:rsidRPr="000A0A5F">
        <w:t>Monitoring Duration in the HTTP request message sent to the SCEF.</w:t>
      </w:r>
    </w:p>
    <w:p w:rsidR="00F07F9F" w:rsidRPr="000A0A5F" w:rsidRDefault="00F07F9F" w:rsidP="00F07F9F">
      <w:r w:rsidRPr="000A0A5F">
        <w:t>If the Subscription_Patch feature is supported, the SCS/AS may send an HTTP PATCH request to request the modification of an existing "Individual Monitoring Event Subscription" resource, with the request body including the modification instructions which may include any applicable attributes (e.g. "notificationDestination", "monitorExpireTime"), except the provided UE Identifier (e.g. "msisdn", "externalId" or "externalGroupId"</w:t>
      </w:r>
      <w:r w:rsidRPr="000A0A5F">
        <w:rPr>
          <w:color w:val="1F497D"/>
        </w:rPr>
        <w:t>)</w:t>
      </w:r>
      <w:r w:rsidRPr="000A0A5F">
        <w:t>, "mtcProviderId" and "supportedFeatures" attributes. Also, both the "requestTestNotification" and "websockNotifConfig" attributes shall not be modified, if previously provided.</w:t>
      </w:r>
    </w:p>
    <w:p w:rsidR="00F07F9F" w:rsidRPr="000A0A5F" w:rsidRDefault="00F07F9F" w:rsidP="00F07F9F">
      <w:pPr>
        <w:rPr>
          <w:noProof/>
          <w:lang w:eastAsia="zh-CN"/>
        </w:rPr>
      </w:pPr>
      <w:r w:rsidRPr="000A0A5F">
        <w:rPr>
          <w:noProof/>
          <w:lang w:eastAsia="zh-CN"/>
        </w:rPr>
        <w:t>For a group of UEs, if the Partial_group_modification feature is supported, the SCS/AS may send an HTTP PATCH request message in order to cancel or add certain UE(s) within an active group. The HTTP PATCH request targets the resource "Individual Monitoring Event Subscription" updates with the corresponding "excludedExternalIds" and/or "excludedMsisdns" attributes in the existing configuration for partial group cancellation, and/or updates with the corresponding "addedExternalIds" and/or "addedMsisdns" attributes in the existing configuration for partial group addition.</w:t>
      </w:r>
    </w:p>
    <w:p w:rsidR="00F07F9F" w:rsidRPr="000A0A5F" w:rsidRDefault="00F07F9F" w:rsidP="00F07F9F">
      <w:r w:rsidRPr="000A0A5F">
        <w:rPr>
          <w:noProof/>
          <w:lang w:eastAsia="zh-CN"/>
        </w:rPr>
        <w:t xml:space="preserve">Upon reception of the HTTP POST, PUT or PATCH request message, </w:t>
      </w:r>
      <w:r w:rsidRPr="000A0A5F">
        <w:t xml:space="preserve">if the SCS/AS is authorized to perform such request, the SCEF shall check whether the parameters (e.g. </w:t>
      </w:r>
      <w:r w:rsidRPr="000A0A5F">
        <w:rPr>
          <w:noProof/>
          <w:lang w:eastAsia="zh-CN"/>
        </w:rPr>
        <w:t xml:space="preserve">Maximum Number of Reports, </w:t>
      </w:r>
      <w:r w:rsidRPr="000A0A5F">
        <w:t xml:space="preserve">Monitoring Duration, Maximum Latency, Maximum Response Time, suggested number of downlink packets in the HTTP </w:t>
      </w:r>
      <w:r w:rsidRPr="000A0A5F">
        <w:rPr>
          <w:rFonts w:hint="eastAsia"/>
          <w:lang w:eastAsia="zh-CN"/>
        </w:rPr>
        <w:t>POST</w:t>
      </w:r>
      <w:r w:rsidRPr="000A0A5F">
        <w:t xml:space="preserve"> or PUT request message) in the HTTP request body are within the range defined by operator policies. If one or more of these parameters are not within the range, the SCEF</w:t>
      </w:r>
      <w:r w:rsidRPr="000A0A5F">
        <w:rPr>
          <w:rFonts w:hint="eastAsia"/>
          <w:lang w:eastAsia="zh-CN"/>
        </w:rPr>
        <w:t xml:space="preserve"> </w:t>
      </w:r>
      <w:r w:rsidRPr="000A0A5F">
        <w:t>shall either:</w:t>
      </w:r>
    </w:p>
    <w:p w:rsidR="00F07F9F" w:rsidRPr="000A0A5F" w:rsidRDefault="00F07F9F" w:rsidP="00F07F9F">
      <w:pPr>
        <w:pStyle w:val="B10"/>
      </w:pPr>
      <w:r w:rsidRPr="000A0A5F">
        <w:rPr>
          <w:rFonts w:hint="eastAsia"/>
          <w:noProof/>
          <w:lang w:eastAsia="zh-CN"/>
        </w:rPr>
        <w:t>-</w:t>
      </w:r>
      <w:r w:rsidRPr="000A0A5F">
        <w:rPr>
          <w:rFonts w:hint="eastAsia"/>
          <w:noProof/>
          <w:lang w:eastAsia="zh-CN"/>
        </w:rPr>
        <w:tab/>
      </w:r>
      <w:r w:rsidRPr="000A0A5F">
        <w:t>reject the request message by sending an HTTP response to the SCS/AS with a status code set to "403 Forbidden" and may include in the response body the "</w:t>
      </w:r>
      <w:r w:rsidRPr="000A0A5F">
        <w:rPr>
          <w:lang w:eastAsia="zh-CN"/>
        </w:rPr>
        <w:t>PARAMETER_OUT_OF_RANGE</w:t>
      </w:r>
      <w:r w:rsidRPr="000A0A5F">
        <w:t>" application error within the "cause" attribute of the ProblemDetails data structure and indicate which parameters are out of the range within the "invalidParams" attribute of the "ProblemDetails" data structure; or</w:t>
      </w:r>
    </w:p>
    <w:p w:rsidR="00F07F9F" w:rsidRPr="000A0A5F" w:rsidRDefault="00F07F9F" w:rsidP="00F07F9F">
      <w:pPr>
        <w:pStyle w:val="B10"/>
      </w:pPr>
      <w:r w:rsidRPr="000A0A5F">
        <w:rPr>
          <w:rFonts w:hint="eastAsia"/>
          <w:noProof/>
          <w:lang w:eastAsia="zh-CN"/>
        </w:rPr>
        <w:t>-</w:t>
      </w:r>
      <w:r w:rsidRPr="000A0A5F">
        <w:rPr>
          <w:rFonts w:hint="eastAsia"/>
          <w:noProof/>
          <w:lang w:eastAsia="zh-CN"/>
        </w:rPr>
        <w:tab/>
      </w:r>
      <w:r w:rsidRPr="000A0A5F">
        <w:t>modify the parameters which are not within the range by selecting different values which are within the range.</w:t>
      </w:r>
    </w:p>
    <w:p w:rsidR="00F07F9F" w:rsidRPr="000A0A5F" w:rsidRDefault="00F07F9F" w:rsidP="00F07F9F">
      <w:r w:rsidRPr="000A0A5F">
        <w:rPr>
          <w:noProof/>
          <w:lang w:eastAsia="zh-CN"/>
        </w:rPr>
        <w:t>For individual UE configuration requests, the SCEF shall also check whether the Idle Status Indication is included for the UE reachability event.</w:t>
      </w:r>
      <w:r w:rsidRPr="000A0A5F">
        <w:t xml:space="preserve"> If the Idle Status Indication is received in the request but not supported by the network, the SCEF may reject the request message by sending an HTTP response to the SCS/AS with a status code set to "403 Forbidden" and may include in the response body the "</w:t>
      </w:r>
      <w:r w:rsidRPr="000A0A5F">
        <w:rPr>
          <w:lang w:eastAsia="zh-CN"/>
        </w:rPr>
        <w:t>IDLE_STATUS_UNSUPPORTED</w:t>
      </w:r>
      <w:r w:rsidRPr="000A0A5F">
        <w:t>" error within the "cause" attribute of the "ProblemDetails" structure.</w:t>
      </w:r>
    </w:p>
    <w:p w:rsidR="00F07F9F" w:rsidRPr="000A0A5F" w:rsidRDefault="00F07F9F" w:rsidP="00F07F9F">
      <w:pPr>
        <w:rPr>
          <w:noProof/>
          <w:lang w:eastAsia="zh-CN"/>
        </w:rPr>
      </w:pPr>
      <w:r w:rsidRPr="000A0A5F">
        <w:t xml:space="preserve">If the SCEF receives an HTTP POST request to </w:t>
      </w:r>
      <w:r w:rsidRPr="000A0A5F">
        <w:rPr>
          <w:lang w:eastAsia="zh-CN"/>
        </w:rPr>
        <w:t xml:space="preserve">create a </w:t>
      </w:r>
      <w:r w:rsidRPr="000A0A5F">
        <w:t xml:space="preserve">subscription </w:t>
      </w:r>
      <w:r w:rsidRPr="000A0A5F">
        <w:rPr>
          <w:lang w:eastAsia="zh-CN"/>
        </w:rPr>
        <w:t xml:space="preserve">resource </w:t>
      </w:r>
      <w:r w:rsidRPr="000A0A5F">
        <w:t>for a monitoring event, but without an indication of the support for the feature corresponding to the requested monitoring event, the SCEF shall reject the request by sending an HTTP "</w:t>
      </w:r>
      <w:r w:rsidRPr="000A0A5F">
        <w:rPr>
          <w:noProof/>
          <w:lang w:eastAsia="zh-CN"/>
        </w:rPr>
        <w:t xml:space="preserve">400 Bad Request" HTTP error response including the </w:t>
      </w:r>
      <w:r w:rsidRPr="000A0A5F">
        <w:t>"</w:t>
      </w:r>
      <w:r w:rsidRPr="000A0A5F">
        <w:rPr>
          <w:noProof/>
          <w:lang w:eastAsia="zh-CN"/>
        </w:rPr>
        <w:t xml:space="preserve">EVENT_FEATURE_MISMATCH" application error within </w:t>
      </w:r>
      <w:r w:rsidRPr="000A0A5F">
        <w:t>the "cause" attribute of the "ProblemDetails" structure</w:t>
      </w:r>
      <w:r w:rsidRPr="000A0A5F">
        <w:rPr>
          <w:noProof/>
          <w:lang w:eastAsia="zh-CN"/>
        </w:rPr>
        <w:t>.</w:t>
      </w:r>
    </w:p>
    <w:p w:rsidR="00F07F9F" w:rsidRPr="000A0A5F" w:rsidRDefault="00F07F9F" w:rsidP="00F07F9F">
      <w:pPr>
        <w:rPr>
          <w:noProof/>
          <w:lang w:eastAsia="zh-CN"/>
        </w:rPr>
      </w:pPr>
      <w:r w:rsidRPr="000A0A5F">
        <w:t xml:space="preserve">If the SCEF receives an HTTP POST request to </w:t>
      </w:r>
      <w:r w:rsidRPr="000A0A5F">
        <w:rPr>
          <w:lang w:eastAsia="zh-CN"/>
        </w:rPr>
        <w:t xml:space="preserve">create a </w:t>
      </w:r>
      <w:r w:rsidRPr="000A0A5F">
        <w:t xml:space="preserve">subscription </w:t>
      </w:r>
      <w:r w:rsidRPr="000A0A5F">
        <w:rPr>
          <w:lang w:eastAsia="zh-CN"/>
        </w:rPr>
        <w:t xml:space="preserve">resource </w:t>
      </w:r>
      <w:r w:rsidRPr="000A0A5F">
        <w:t>for a monitoring event that it does not support, the SCEF shall reject the request by sending an HTTP "</w:t>
      </w:r>
      <w:r w:rsidRPr="000A0A5F">
        <w:rPr>
          <w:noProof/>
          <w:lang w:eastAsia="zh-CN"/>
        </w:rPr>
        <w:t xml:space="preserve">500 Internal Server Error" HTTP error response including the </w:t>
      </w:r>
      <w:r w:rsidRPr="000A0A5F">
        <w:t>"</w:t>
      </w:r>
      <w:r w:rsidRPr="000A0A5F">
        <w:rPr>
          <w:noProof/>
          <w:lang w:eastAsia="zh-CN"/>
        </w:rPr>
        <w:t>EVENT_UNSUPPORTED"</w:t>
      </w:r>
      <w:r w:rsidRPr="000A0A5F">
        <w:t xml:space="preserve"> </w:t>
      </w:r>
      <w:r w:rsidRPr="000A0A5F">
        <w:rPr>
          <w:noProof/>
          <w:lang w:eastAsia="zh-CN"/>
        </w:rPr>
        <w:t xml:space="preserve">application error within </w:t>
      </w:r>
      <w:r w:rsidRPr="000A0A5F">
        <w:t>the "cause" attribute of the "ProblemDetails" structure</w:t>
      </w:r>
      <w:r w:rsidRPr="000A0A5F">
        <w:rPr>
          <w:noProof/>
          <w:lang w:eastAsia="zh-CN"/>
        </w:rPr>
        <w:t>.</w:t>
      </w:r>
    </w:p>
    <w:p w:rsidR="00F07F9F" w:rsidRPr="000A0A5F" w:rsidRDefault="00F07F9F" w:rsidP="00F07F9F">
      <w:pPr>
        <w:rPr>
          <w:noProof/>
          <w:lang w:eastAsia="zh-CN"/>
        </w:rPr>
      </w:pPr>
      <w:r w:rsidRPr="000A0A5F">
        <w:rPr>
          <w:noProof/>
          <w:lang w:eastAsia="zh-CN"/>
        </w:rPr>
        <w:t>If the "enNB" feature is supported:</w:t>
      </w:r>
    </w:p>
    <w:p w:rsidR="00F07F9F" w:rsidRPr="000A0A5F" w:rsidRDefault="00F07F9F" w:rsidP="00F07F9F">
      <w:pPr>
        <w:pStyle w:val="B10"/>
      </w:pPr>
      <w:r w:rsidRPr="000A0A5F">
        <w:rPr>
          <w:noProof/>
          <w:lang w:eastAsia="zh-CN"/>
        </w:rPr>
        <w:t>-</w:t>
      </w:r>
      <w:r w:rsidRPr="000A0A5F">
        <w:rPr>
          <w:noProof/>
          <w:lang w:eastAsia="zh-CN"/>
        </w:rPr>
        <w:tab/>
        <w:t xml:space="preserve">if the SCEF receives </w:t>
      </w:r>
      <w:r w:rsidRPr="000A0A5F">
        <w:t xml:space="preserve">an HTTP POST request to </w:t>
      </w:r>
      <w:r w:rsidRPr="000A0A5F">
        <w:rPr>
          <w:lang w:eastAsia="zh-CN"/>
        </w:rPr>
        <w:t xml:space="preserve">create a </w:t>
      </w:r>
      <w:r w:rsidRPr="000A0A5F">
        <w:t xml:space="preserve">subscription </w:t>
      </w:r>
      <w:r w:rsidRPr="000A0A5F">
        <w:rPr>
          <w:lang w:eastAsia="zh-CN"/>
        </w:rPr>
        <w:t xml:space="preserve">resource </w:t>
      </w:r>
      <w:r w:rsidRPr="000A0A5F">
        <w:t>for a monitoring event and determines that no more subscriptions are allowed for this client, the SCEF shall reject the request by sending an HTTP "</w:t>
      </w:r>
      <w:r w:rsidRPr="000A0A5F">
        <w:rPr>
          <w:noProof/>
          <w:lang w:eastAsia="zh-CN"/>
        </w:rPr>
        <w:t xml:space="preserve">403 Forbidden" error response including the </w:t>
      </w:r>
      <w:r w:rsidRPr="000A0A5F">
        <w:t>"</w:t>
      </w:r>
      <w:r w:rsidRPr="000A0A5F">
        <w:rPr>
          <w:noProof/>
          <w:lang w:eastAsia="zh-CN"/>
        </w:rPr>
        <w:t xml:space="preserve">RESOURCES_EXCEEDED" application error within </w:t>
      </w:r>
      <w:r w:rsidRPr="000A0A5F">
        <w:t>the "cause" attribute of the "ProblemDetails" structure; and</w:t>
      </w:r>
    </w:p>
    <w:p w:rsidR="00F07F9F" w:rsidRPr="000A0A5F" w:rsidRDefault="00F07F9F" w:rsidP="00F07F9F">
      <w:pPr>
        <w:pStyle w:val="B10"/>
        <w:rPr>
          <w:noProof/>
          <w:lang w:eastAsia="zh-CN"/>
        </w:rPr>
      </w:pPr>
      <w:r w:rsidRPr="000A0A5F">
        <w:rPr>
          <w:noProof/>
          <w:lang w:eastAsia="zh-CN"/>
        </w:rPr>
        <w:t>-</w:t>
      </w:r>
      <w:r w:rsidRPr="000A0A5F">
        <w:rPr>
          <w:noProof/>
          <w:lang w:eastAsia="zh-CN"/>
        </w:rPr>
        <w:tab/>
        <w:t xml:space="preserve">if the SCEF receives </w:t>
      </w:r>
      <w:r w:rsidRPr="000A0A5F">
        <w:t xml:space="preserve">an HTTP POST request to </w:t>
      </w:r>
      <w:r w:rsidRPr="000A0A5F">
        <w:rPr>
          <w:lang w:eastAsia="zh-CN"/>
        </w:rPr>
        <w:t xml:space="preserve">create a </w:t>
      </w:r>
      <w:r w:rsidRPr="000A0A5F">
        <w:t xml:space="preserve">subscription </w:t>
      </w:r>
      <w:r w:rsidRPr="000A0A5F">
        <w:rPr>
          <w:lang w:eastAsia="zh-CN"/>
        </w:rPr>
        <w:t xml:space="preserve">resource </w:t>
      </w:r>
      <w:r w:rsidRPr="000A0A5F">
        <w:t>for a monitoring event and determines that a duplicate subscription already exists for this client, the SCEF shall reject the request by sending an HTTP "</w:t>
      </w:r>
      <w:r w:rsidRPr="000A0A5F">
        <w:rPr>
          <w:noProof/>
          <w:lang w:eastAsia="zh-CN"/>
        </w:rPr>
        <w:t xml:space="preserve">400 Bad Request" error response including the </w:t>
      </w:r>
      <w:r w:rsidRPr="000A0A5F">
        <w:t>"DUPLICATE_REQUEST</w:t>
      </w:r>
      <w:r w:rsidRPr="000A0A5F">
        <w:rPr>
          <w:noProof/>
          <w:lang w:eastAsia="zh-CN"/>
        </w:rPr>
        <w:t xml:space="preserve">" application error within </w:t>
      </w:r>
      <w:r w:rsidRPr="000A0A5F">
        <w:t>the "cause" attribute of the "ProblemDetails" structure.</w:t>
      </w:r>
    </w:p>
    <w:p w:rsidR="00F07F9F" w:rsidRPr="000A0A5F" w:rsidRDefault="00F07F9F" w:rsidP="00F07F9F">
      <w:r w:rsidRPr="000A0A5F">
        <w:t>After validation, the SCEF shall store the parameters and:</w:t>
      </w:r>
    </w:p>
    <w:p w:rsidR="00F07F9F" w:rsidRPr="000A0A5F" w:rsidRDefault="00F07F9F" w:rsidP="00F07F9F">
      <w:pPr>
        <w:pStyle w:val="B10"/>
        <w:rPr>
          <w:noProof/>
          <w:lang w:eastAsia="zh-CN"/>
        </w:rPr>
      </w:pPr>
      <w:r w:rsidRPr="000A0A5F">
        <w:rPr>
          <w:rFonts w:hint="eastAsia"/>
          <w:noProof/>
          <w:lang w:eastAsia="zh-CN"/>
        </w:rPr>
        <w:t>-</w:t>
      </w:r>
      <w:r w:rsidRPr="000A0A5F">
        <w:rPr>
          <w:rFonts w:hint="eastAsia"/>
          <w:noProof/>
          <w:lang w:eastAsia="zh-CN"/>
        </w:rPr>
        <w:tab/>
      </w:r>
      <w:r w:rsidRPr="000A0A5F">
        <w:rPr>
          <w:noProof/>
          <w:lang w:eastAsia="zh-CN"/>
        </w:rPr>
        <w:t>may assign a SCEF Reference ID related to the created monitoring event subscription resource</w:t>
      </w:r>
      <w:r w:rsidRPr="000A0A5F">
        <w:rPr>
          <w:rFonts w:hint="eastAsia"/>
          <w:noProof/>
          <w:lang w:eastAsia="zh-CN"/>
        </w:rPr>
        <w:t>;</w:t>
      </w:r>
      <w:r w:rsidRPr="000A0A5F">
        <w:rPr>
          <w:noProof/>
          <w:lang w:eastAsia="zh-CN"/>
        </w:rPr>
        <w:t xml:space="preserve"> and</w:t>
      </w:r>
    </w:p>
    <w:p w:rsidR="00F07F9F" w:rsidRPr="000A0A5F" w:rsidRDefault="00F07F9F" w:rsidP="00F07F9F">
      <w:pPr>
        <w:pStyle w:val="B10"/>
      </w:pPr>
      <w:r w:rsidRPr="000A0A5F">
        <w:rPr>
          <w:noProof/>
          <w:lang w:eastAsia="zh-CN"/>
        </w:rPr>
        <w:t>-</w:t>
      </w:r>
      <w:r w:rsidRPr="000A0A5F">
        <w:rPr>
          <w:noProof/>
          <w:lang w:eastAsia="zh-CN"/>
        </w:rPr>
        <w:tab/>
      </w:r>
      <w:r w:rsidRPr="000A0A5F">
        <w:t>based on operator policies, shall:</w:t>
      </w:r>
    </w:p>
    <w:p w:rsidR="00F07F9F" w:rsidRPr="000A0A5F" w:rsidRDefault="00F07F9F" w:rsidP="00F07F9F">
      <w:pPr>
        <w:pStyle w:val="B2"/>
        <w:rPr>
          <w:noProof/>
          <w:lang w:eastAsia="zh-CN"/>
        </w:rPr>
      </w:pPr>
      <w:r w:rsidRPr="000A0A5F">
        <w:rPr>
          <w:rFonts w:hint="eastAsia"/>
          <w:noProof/>
          <w:lang w:eastAsia="zh-CN"/>
        </w:rPr>
        <w:t>-</w:t>
      </w:r>
      <w:r w:rsidRPr="000A0A5F">
        <w:rPr>
          <w:rFonts w:hint="eastAsia"/>
          <w:noProof/>
          <w:lang w:eastAsia="zh-CN"/>
        </w:rPr>
        <w:tab/>
      </w:r>
      <w:r w:rsidRPr="000A0A5F">
        <w:rPr>
          <w:noProof/>
          <w:lang w:eastAsia="zh-CN"/>
        </w:rPr>
        <w:t xml:space="preserve">map the accuracy into </w:t>
      </w:r>
      <w:r w:rsidRPr="000A0A5F">
        <w:t>permissible granularity for the location reporting event</w:t>
      </w:r>
      <w:r w:rsidRPr="000A0A5F">
        <w:rPr>
          <w:noProof/>
          <w:lang w:eastAsia="zh-CN"/>
        </w:rPr>
        <w:t>; and</w:t>
      </w:r>
    </w:p>
    <w:p w:rsidR="00F07F9F" w:rsidRPr="000A0A5F" w:rsidRDefault="00F07F9F" w:rsidP="00F07F9F">
      <w:pPr>
        <w:pStyle w:val="B2"/>
        <w:rPr>
          <w:noProof/>
          <w:lang w:eastAsia="zh-CN"/>
        </w:rPr>
      </w:pPr>
      <w:r w:rsidRPr="000A0A5F">
        <w:rPr>
          <w:rFonts w:hint="eastAsia"/>
          <w:noProof/>
          <w:lang w:eastAsia="zh-CN"/>
        </w:rPr>
        <w:t>-</w:t>
      </w:r>
      <w:r w:rsidRPr="000A0A5F">
        <w:rPr>
          <w:rFonts w:hint="eastAsia"/>
          <w:noProof/>
          <w:lang w:eastAsia="zh-CN"/>
        </w:rPr>
        <w:tab/>
      </w:r>
      <w:r w:rsidRPr="000A0A5F">
        <w:rPr>
          <w:noProof/>
          <w:lang w:eastAsia="zh-CN"/>
        </w:rPr>
        <w:t xml:space="preserve">map the location area into </w:t>
      </w:r>
      <w:r w:rsidRPr="000A0A5F">
        <w:t>a list of cells, eNodeB(s) and/or RAI(s)/TAI(s) and derive the corresponding MME(s)/SGSN(s), for number of UEs present in a geographic area event</w:t>
      </w:r>
      <w:r w:rsidRPr="000A0A5F">
        <w:rPr>
          <w:noProof/>
          <w:lang w:eastAsia="zh-CN"/>
        </w:rPr>
        <w:t>.</w:t>
      </w:r>
    </w:p>
    <w:p w:rsidR="00EF4A16" w:rsidRPr="000A0A5F" w:rsidRDefault="00F07F9F">
      <w:pPr>
        <w:rPr>
          <w:noProof/>
          <w:lang w:eastAsia="zh-CN"/>
        </w:rPr>
      </w:pPr>
      <w:r w:rsidRPr="000A0A5F">
        <w:rPr>
          <w:noProof/>
          <w:lang w:eastAsia="zh-CN"/>
        </w:rPr>
        <w:t xml:space="preserve">In order to delete a previously active configured monitoring event subscription at the SCEF, the SCS/AS shall send an HTTP DELETE request message to the SCEF targeting the </w:t>
      </w:r>
      <w:r w:rsidRPr="000A0A5F">
        <w:t>"Individual Monitoring Event Subscription" resource using the corresponding resource URI</w:t>
      </w:r>
      <w:r w:rsidRPr="000A0A5F">
        <w:rPr>
          <w:lang w:eastAsia="zh-CN"/>
        </w:rPr>
        <w:t xml:space="preserve"> previously received in the response to the request that has created the monitoring events subscription resource</w:t>
      </w:r>
      <w:r w:rsidRPr="000A0A5F">
        <w:rPr>
          <w:rFonts w:hint="eastAsia"/>
          <w:lang w:eastAsia="zh-CN"/>
        </w:rPr>
        <w:t>.</w:t>
      </w:r>
      <w:r w:rsidRPr="000A0A5F">
        <w:rPr>
          <w:noProof/>
          <w:lang w:eastAsia="zh-CN"/>
        </w:rPr>
        <w:t xml:space="preserve"> The SCEF shall then detemine the SCEF Reference ID related to the active monitoring subscription resource, and </w:t>
      </w:r>
      <w:r w:rsidRPr="000A0A5F">
        <w:t>if the SCS/AS is authorized to perform such request, the SCEF shall delete the targeted resource</w:t>
      </w:r>
      <w:r w:rsidRPr="000A0A5F">
        <w:rPr>
          <w:noProof/>
          <w:lang w:eastAsia="zh-CN"/>
        </w:rPr>
        <w:t>.</w:t>
      </w:r>
    </w:p>
    <w:p w:rsidR="00CB0DD7" w:rsidRPr="000A0A5F" w:rsidRDefault="00CB0DD7">
      <w:pPr>
        <w:pStyle w:val="Heading5"/>
      </w:pPr>
      <w:bookmarkStart w:id="236" w:name="_Toc11247192"/>
      <w:bookmarkStart w:id="237" w:name="_Toc27044308"/>
      <w:bookmarkStart w:id="238" w:name="_Toc36033350"/>
      <w:bookmarkStart w:id="239" w:name="_Toc45131480"/>
      <w:bookmarkStart w:id="240" w:name="_Toc49775765"/>
      <w:bookmarkStart w:id="241" w:name="_Toc51746685"/>
      <w:bookmarkStart w:id="242" w:name="_Toc66360227"/>
      <w:bookmarkStart w:id="243" w:name="_Toc68104732"/>
      <w:bookmarkStart w:id="244" w:name="_Toc74755361"/>
      <w:bookmarkStart w:id="245" w:name="_Toc105674216"/>
      <w:bookmarkStart w:id="246" w:name="_Toc130502249"/>
      <w:bookmarkStart w:id="247" w:name="_Toc153625028"/>
      <w:r w:rsidRPr="000A0A5F">
        <w:t>4.4.2.2.2</w:t>
      </w:r>
      <w:r w:rsidRPr="000A0A5F">
        <w:tab/>
        <w:t>Monitoring Events Configuration via HSS</w:t>
      </w:r>
      <w:bookmarkEnd w:id="236"/>
      <w:bookmarkEnd w:id="237"/>
      <w:bookmarkEnd w:id="238"/>
      <w:bookmarkEnd w:id="239"/>
      <w:bookmarkEnd w:id="240"/>
      <w:bookmarkEnd w:id="241"/>
      <w:bookmarkEnd w:id="242"/>
      <w:bookmarkEnd w:id="243"/>
      <w:bookmarkEnd w:id="244"/>
      <w:bookmarkEnd w:id="245"/>
      <w:bookmarkEnd w:id="246"/>
      <w:bookmarkEnd w:id="247"/>
    </w:p>
    <w:p w:rsidR="00CB0DD7" w:rsidRPr="000A0A5F" w:rsidRDefault="00CB0DD7">
      <w:pPr>
        <w:pStyle w:val="Heading6"/>
      </w:pPr>
      <w:bookmarkStart w:id="248" w:name="_Toc11247193"/>
      <w:bookmarkStart w:id="249" w:name="_Toc27044309"/>
      <w:bookmarkStart w:id="250" w:name="_Toc36033351"/>
      <w:bookmarkStart w:id="251" w:name="_Toc45131481"/>
      <w:bookmarkStart w:id="252" w:name="_Toc49775766"/>
      <w:bookmarkStart w:id="253" w:name="_Toc51746686"/>
      <w:bookmarkStart w:id="254" w:name="_Toc66360228"/>
      <w:bookmarkStart w:id="255" w:name="_Toc68104733"/>
      <w:bookmarkStart w:id="256" w:name="_Toc74755362"/>
      <w:bookmarkStart w:id="257" w:name="_Toc105674217"/>
      <w:bookmarkStart w:id="258" w:name="_Toc130502250"/>
      <w:bookmarkStart w:id="259" w:name="_Toc153625029"/>
      <w:r w:rsidRPr="000A0A5F">
        <w:t>4.4.2.2.2.1</w:t>
      </w:r>
      <w:r w:rsidRPr="000A0A5F">
        <w:tab/>
        <w:t>General</w:t>
      </w:r>
      <w:bookmarkEnd w:id="248"/>
      <w:bookmarkEnd w:id="249"/>
      <w:bookmarkEnd w:id="250"/>
      <w:bookmarkEnd w:id="251"/>
      <w:bookmarkEnd w:id="252"/>
      <w:bookmarkEnd w:id="253"/>
      <w:bookmarkEnd w:id="254"/>
      <w:bookmarkEnd w:id="255"/>
      <w:bookmarkEnd w:id="256"/>
      <w:bookmarkEnd w:id="257"/>
      <w:bookmarkEnd w:id="258"/>
      <w:bookmarkEnd w:id="259"/>
    </w:p>
    <w:p w:rsidR="00CB0DD7" w:rsidRPr="000A0A5F" w:rsidRDefault="00CB0DD7">
      <w:r w:rsidRPr="000A0A5F">
        <w:t>The following monitoring events are applicable for the monitoring event configuration via HSS for an individual UE or a group of UEs:</w:t>
      </w:r>
    </w:p>
    <w:p w:rsidR="00CB0DD7" w:rsidRPr="000A0A5F" w:rsidRDefault="00CB0DD7">
      <w:pPr>
        <w:pStyle w:val="B10"/>
      </w:pPr>
      <w:r w:rsidRPr="000A0A5F">
        <w:t>-</w:t>
      </w:r>
      <w:r w:rsidRPr="000A0A5F">
        <w:tab/>
        <w:t>Loss of connectivity;</w:t>
      </w:r>
    </w:p>
    <w:p w:rsidR="00CB0DD7" w:rsidRPr="000A0A5F" w:rsidRDefault="00CB0DD7">
      <w:pPr>
        <w:pStyle w:val="B10"/>
      </w:pPr>
      <w:r w:rsidRPr="000A0A5F">
        <w:t>-</w:t>
      </w:r>
      <w:r w:rsidRPr="000A0A5F">
        <w:tab/>
        <w:t>UE reachability;</w:t>
      </w:r>
    </w:p>
    <w:p w:rsidR="00CB0DD7" w:rsidRPr="000A0A5F" w:rsidRDefault="00CB0DD7">
      <w:pPr>
        <w:pStyle w:val="B10"/>
      </w:pPr>
      <w:r w:rsidRPr="000A0A5F">
        <w:t>-</w:t>
      </w:r>
      <w:r w:rsidRPr="000A0A5F">
        <w:tab/>
        <w:t>Location Reporting;</w:t>
      </w:r>
    </w:p>
    <w:p w:rsidR="00CB0DD7" w:rsidRPr="000A0A5F" w:rsidRDefault="00CB0DD7">
      <w:pPr>
        <w:pStyle w:val="B10"/>
      </w:pPr>
      <w:r w:rsidRPr="000A0A5F">
        <w:t>-</w:t>
      </w:r>
      <w:r w:rsidRPr="000A0A5F">
        <w:tab/>
        <w:t>Change of IMSI-IMEI(SV) Association;</w:t>
      </w:r>
    </w:p>
    <w:p w:rsidR="00CB0DD7" w:rsidRPr="000A0A5F" w:rsidRDefault="00CB0DD7">
      <w:pPr>
        <w:pStyle w:val="B10"/>
      </w:pPr>
      <w:r w:rsidRPr="000A0A5F">
        <w:t>-</w:t>
      </w:r>
      <w:r w:rsidRPr="000A0A5F">
        <w:tab/>
        <w:t>Roaming Status;</w:t>
      </w:r>
    </w:p>
    <w:p w:rsidR="00CB0DD7" w:rsidRPr="000A0A5F" w:rsidRDefault="00CB0DD7">
      <w:pPr>
        <w:pStyle w:val="B10"/>
      </w:pPr>
      <w:r w:rsidRPr="000A0A5F">
        <w:t>-</w:t>
      </w:r>
      <w:r w:rsidRPr="000A0A5F">
        <w:tab/>
        <w:t xml:space="preserve">Communication Failure; </w:t>
      </w:r>
    </w:p>
    <w:p w:rsidR="00CB0DD7" w:rsidRPr="000A0A5F" w:rsidRDefault="00CB0DD7">
      <w:pPr>
        <w:pStyle w:val="B10"/>
      </w:pPr>
      <w:r w:rsidRPr="000A0A5F">
        <w:t>-</w:t>
      </w:r>
      <w:r w:rsidRPr="000A0A5F">
        <w:tab/>
        <w:t>PDN connectivity status;</w:t>
      </w:r>
    </w:p>
    <w:p w:rsidR="00CB0DD7" w:rsidRPr="000A0A5F" w:rsidRDefault="00CB0DD7">
      <w:pPr>
        <w:pStyle w:val="B10"/>
      </w:pPr>
      <w:r w:rsidRPr="000A0A5F">
        <w:t>-</w:t>
      </w:r>
      <w:r w:rsidRPr="000A0A5F">
        <w:tab/>
        <w:t>Availability after DDN Failure; and</w:t>
      </w:r>
    </w:p>
    <w:p w:rsidR="00CB0DD7" w:rsidRPr="000A0A5F" w:rsidRDefault="00CB0DD7">
      <w:pPr>
        <w:pStyle w:val="B10"/>
      </w:pPr>
      <w:r w:rsidRPr="000A0A5F">
        <w:t>-</w:t>
      </w:r>
      <w:r w:rsidRPr="000A0A5F">
        <w:tab/>
        <w:t>API support capability.</w:t>
      </w:r>
    </w:p>
    <w:p w:rsidR="00CB0DD7" w:rsidRPr="000A0A5F" w:rsidRDefault="00CB0DD7">
      <w:pPr>
        <w:rPr>
          <w:rFonts w:hint="eastAsia"/>
          <w:noProof/>
          <w:lang w:eastAsia="zh-CN"/>
        </w:rPr>
      </w:pPr>
      <w:r w:rsidRPr="000A0A5F">
        <w:rPr>
          <w:rFonts w:hint="eastAsia"/>
          <w:noProof/>
          <w:lang w:eastAsia="zh-CN"/>
        </w:rPr>
        <w:t>O</w:t>
      </w:r>
      <w:r w:rsidRPr="000A0A5F">
        <w:rPr>
          <w:noProof/>
          <w:lang w:eastAsia="zh-CN"/>
        </w:rPr>
        <w:t xml:space="preserve">nly </w:t>
      </w:r>
      <w:r w:rsidRPr="000A0A5F">
        <w:t>one-time reporting is supported</w:t>
      </w:r>
      <w:r w:rsidRPr="000A0A5F">
        <w:rPr>
          <w:noProof/>
          <w:lang w:eastAsia="zh-CN"/>
        </w:rPr>
        <w:t xml:space="preserve"> if the </w:t>
      </w:r>
      <w:r w:rsidRPr="000A0A5F">
        <w:t xml:space="preserve">"reachabilityType" </w:t>
      </w:r>
      <w:r w:rsidRPr="000A0A5F">
        <w:rPr>
          <w:lang w:val="en-US"/>
        </w:rPr>
        <w:t xml:space="preserve">attribute sets to </w:t>
      </w:r>
      <w:r w:rsidRPr="000A0A5F">
        <w:t>"</w:t>
      </w:r>
      <w:r w:rsidRPr="000A0A5F">
        <w:rPr>
          <w:rFonts w:cs="Arial"/>
          <w:szCs w:val="18"/>
        </w:rPr>
        <w:t>SMS</w:t>
      </w:r>
      <w:r w:rsidRPr="000A0A5F">
        <w:t xml:space="preserve">" </w:t>
      </w:r>
      <w:r w:rsidRPr="000A0A5F">
        <w:rPr>
          <w:noProof/>
          <w:lang w:eastAsia="zh-CN"/>
        </w:rPr>
        <w:t xml:space="preserve">for the event "UE reachability" or if the </w:t>
      </w:r>
      <w:r w:rsidRPr="000A0A5F">
        <w:t xml:space="preserve">"locationType" </w:t>
      </w:r>
      <w:r w:rsidRPr="000A0A5F">
        <w:rPr>
          <w:lang w:val="en-US"/>
        </w:rPr>
        <w:t xml:space="preserve">attribute sets to </w:t>
      </w:r>
      <w:r w:rsidRPr="000A0A5F">
        <w:t>"</w:t>
      </w:r>
      <w:r w:rsidRPr="000A0A5F">
        <w:rPr>
          <w:rFonts w:eastAsia="Times New Roman" w:cs="Arial"/>
          <w:szCs w:val="18"/>
        </w:rPr>
        <w:t>LAST_KNOWN_LOCATION</w:t>
      </w:r>
      <w:r w:rsidRPr="000A0A5F">
        <w:t xml:space="preserve">" for the event "Location Reporting" in the monitoring event request. </w:t>
      </w:r>
    </w:p>
    <w:p w:rsidR="00CB0DD7" w:rsidRPr="000A0A5F" w:rsidRDefault="00CB0DD7">
      <w:pPr>
        <w:pStyle w:val="Heading6"/>
        <w:rPr>
          <w:lang w:eastAsia="zh-CN"/>
        </w:rPr>
      </w:pPr>
      <w:bookmarkStart w:id="260" w:name="_Toc11247194"/>
      <w:bookmarkStart w:id="261" w:name="_Toc27044310"/>
      <w:bookmarkStart w:id="262" w:name="_Toc36033352"/>
      <w:bookmarkStart w:id="263" w:name="_Toc45131482"/>
      <w:bookmarkStart w:id="264" w:name="_Toc49775767"/>
      <w:bookmarkStart w:id="265" w:name="_Toc51746687"/>
      <w:bookmarkStart w:id="266" w:name="_Toc66360229"/>
      <w:bookmarkStart w:id="267" w:name="_Toc68104734"/>
      <w:bookmarkStart w:id="268" w:name="_Toc74755363"/>
      <w:bookmarkStart w:id="269" w:name="_Toc105674218"/>
      <w:bookmarkStart w:id="270" w:name="_Toc130502251"/>
      <w:bookmarkStart w:id="271" w:name="_Toc153625030"/>
      <w:r w:rsidRPr="000A0A5F">
        <w:t>4.</w:t>
      </w:r>
      <w:r w:rsidRPr="000A0A5F">
        <w:rPr>
          <w:lang w:eastAsia="zh-CN"/>
        </w:rPr>
        <w:t>4</w:t>
      </w:r>
      <w:r w:rsidRPr="000A0A5F">
        <w:t>.2.2.2.2</w:t>
      </w:r>
      <w:r w:rsidRPr="000A0A5F">
        <w:tab/>
        <w:t>Configuration Request for an individual UE</w:t>
      </w:r>
      <w:bookmarkEnd w:id="260"/>
      <w:bookmarkEnd w:id="261"/>
      <w:bookmarkEnd w:id="262"/>
      <w:bookmarkEnd w:id="263"/>
      <w:bookmarkEnd w:id="264"/>
      <w:bookmarkEnd w:id="265"/>
      <w:bookmarkEnd w:id="266"/>
      <w:bookmarkEnd w:id="267"/>
      <w:bookmarkEnd w:id="268"/>
      <w:bookmarkEnd w:id="269"/>
      <w:bookmarkEnd w:id="270"/>
      <w:bookmarkEnd w:id="271"/>
    </w:p>
    <w:p w:rsidR="00CB0DD7" w:rsidRPr="000A0A5F" w:rsidRDefault="00CB0DD7">
      <w:pPr>
        <w:rPr>
          <w:lang w:eastAsia="zh-CN"/>
        </w:rPr>
      </w:pPr>
      <w:r w:rsidRPr="000A0A5F">
        <w:rPr>
          <w:rFonts w:hint="eastAsia"/>
          <w:lang w:eastAsia="zh-CN"/>
        </w:rPr>
        <w:t xml:space="preserve">Upon receipt </w:t>
      </w:r>
      <w:r w:rsidRPr="000A0A5F">
        <w:rPr>
          <w:lang w:eastAsia="zh-CN"/>
        </w:rPr>
        <w:t>of a configuration request from the SCS/AS</w:t>
      </w:r>
      <w:r w:rsidRPr="000A0A5F">
        <w:rPr>
          <w:noProof/>
          <w:lang w:val="en-US" w:eastAsia="zh-CN"/>
        </w:rPr>
        <w:t xml:space="preserve"> for an individual UE</w:t>
      </w:r>
      <w:r w:rsidRPr="000A0A5F">
        <w:rPr>
          <w:lang w:eastAsia="zh-CN"/>
        </w:rPr>
        <w:t xml:space="preserve">, the SCEF shall interact with the HSS </w:t>
      </w:r>
      <w:r w:rsidRPr="000A0A5F">
        <w:rPr>
          <w:noProof/>
          <w:lang w:eastAsia="zh-CN"/>
        </w:rPr>
        <w:t>via S6t, as specified in 3GPP TS 29.336 [11]</w:t>
      </w:r>
      <w:r w:rsidRPr="000A0A5F">
        <w:rPr>
          <w:lang w:eastAsia="zh-CN"/>
        </w:rPr>
        <w:t xml:space="preserve">. </w:t>
      </w:r>
    </w:p>
    <w:p w:rsidR="00CB0DD7" w:rsidRPr="000A0A5F" w:rsidRDefault="00CB0DD7">
      <w:pPr>
        <w:rPr>
          <w:rFonts w:hint="eastAsia"/>
          <w:lang w:eastAsia="zh-CN"/>
        </w:rPr>
      </w:pPr>
      <w:r w:rsidRPr="000A0A5F">
        <w:rPr>
          <w:lang w:eastAsia="zh-CN"/>
        </w:rPr>
        <w:t>Upon receipt of a successful response from the HSS</w:t>
      </w:r>
      <w:r w:rsidRPr="000A0A5F">
        <w:rPr>
          <w:rFonts w:hint="eastAsia"/>
          <w:lang w:eastAsia="zh-CN"/>
        </w:rPr>
        <w:t>,</w:t>
      </w:r>
    </w:p>
    <w:p w:rsidR="00CB0DD7" w:rsidRPr="000A0A5F" w:rsidRDefault="00CB0DD7">
      <w:pPr>
        <w:pStyle w:val="B10"/>
        <w:rPr>
          <w:lang w:eastAsia="zh-CN"/>
        </w:rPr>
      </w:pPr>
      <w:r w:rsidRPr="000A0A5F">
        <w:rPr>
          <w:rFonts w:hint="eastAsia"/>
          <w:noProof/>
          <w:lang w:eastAsia="zh-CN"/>
        </w:rPr>
        <w:t>-</w:t>
      </w:r>
      <w:r w:rsidRPr="000A0A5F">
        <w:rPr>
          <w:rFonts w:hint="eastAsia"/>
          <w:noProof/>
          <w:lang w:eastAsia="zh-CN"/>
        </w:rPr>
        <w:tab/>
      </w:r>
      <w:r w:rsidRPr="000A0A5F">
        <w:rPr>
          <w:lang w:eastAsia="zh-CN"/>
        </w:rPr>
        <w:t xml:space="preserve">if it is a one-time monitoring request and the monitoring event report is received, the SCEF shall delete the associated configuration, send an HTTP response message to the SCS/AS with a </w:t>
      </w:r>
      <w:r w:rsidRPr="000A0A5F">
        <w:t>"</w:t>
      </w:r>
      <w:r w:rsidRPr="000A0A5F">
        <w:rPr>
          <w:lang w:eastAsia="zh-CN"/>
        </w:rPr>
        <w:t>200 OK</w:t>
      </w:r>
      <w:r w:rsidRPr="000A0A5F">
        <w:t xml:space="preserve">" </w:t>
      </w:r>
      <w:r w:rsidRPr="000A0A5F">
        <w:rPr>
          <w:lang w:eastAsia="zh-CN"/>
        </w:rPr>
        <w:t>status code and including the received monitoring event report</w:t>
      </w:r>
      <w:r w:rsidR="00080029" w:rsidRPr="000A0A5F">
        <w:rPr>
          <w:lang w:eastAsia="zh-CN"/>
        </w:rPr>
        <w:t>(s) (more than one report may be provided if the "enNB" is supported)</w:t>
      </w:r>
      <w:r w:rsidRPr="000A0A5F">
        <w:rPr>
          <w:lang w:eastAsia="zh-CN"/>
        </w:rPr>
        <w:t>.</w:t>
      </w:r>
    </w:p>
    <w:p w:rsidR="00CB0DD7" w:rsidRPr="000A0A5F" w:rsidRDefault="00CB0DD7">
      <w:pPr>
        <w:pStyle w:val="B10"/>
        <w:rPr>
          <w:rFonts w:hint="eastAsia"/>
          <w:lang w:eastAsia="zh-CN"/>
        </w:rPr>
      </w:pPr>
      <w:r w:rsidRPr="000A0A5F">
        <w:rPr>
          <w:rFonts w:hint="eastAsia"/>
          <w:noProof/>
          <w:lang w:eastAsia="zh-CN"/>
        </w:rPr>
        <w:t>-</w:t>
      </w:r>
      <w:r w:rsidRPr="000A0A5F">
        <w:rPr>
          <w:rFonts w:hint="eastAsia"/>
          <w:noProof/>
          <w:lang w:eastAsia="zh-CN"/>
        </w:rPr>
        <w:tab/>
      </w:r>
      <w:r w:rsidRPr="000A0A5F">
        <w:rPr>
          <w:lang w:eastAsia="zh-CN"/>
        </w:rPr>
        <w:t>otherwise, the SCEF shall,</w:t>
      </w:r>
    </w:p>
    <w:p w:rsidR="00CB0DD7" w:rsidRPr="000A0A5F" w:rsidRDefault="00CB0DD7">
      <w:pPr>
        <w:pStyle w:val="B2"/>
        <w:rPr>
          <w:lang w:eastAsia="zh-CN"/>
        </w:rPr>
      </w:pPr>
      <w:r w:rsidRPr="000A0A5F">
        <w:rPr>
          <w:rFonts w:hint="eastAsia"/>
          <w:noProof/>
          <w:lang w:eastAsia="zh-CN"/>
        </w:rPr>
        <w:t>-</w:t>
      </w:r>
      <w:r w:rsidRPr="000A0A5F">
        <w:rPr>
          <w:rFonts w:hint="eastAsia"/>
          <w:noProof/>
          <w:lang w:eastAsia="zh-CN"/>
        </w:rPr>
        <w:tab/>
      </w:r>
      <w:r w:rsidRPr="000A0A5F">
        <w:rPr>
          <w:lang w:eastAsia="zh-CN"/>
        </w:rPr>
        <w:t xml:space="preserve">for an HTTP POST request, create a new </w:t>
      </w:r>
      <w:r w:rsidRPr="000A0A5F">
        <w:t>"Individual Monitoring Event Subscription"</w:t>
      </w:r>
      <w:r w:rsidRPr="000A0A5F">
        <w:rPr>
          <w:lang w:eastAsia="zh-CN"/>
        </w:rPr>
        <w:t xml:space="preserve"> resource addressed by the URI that contains the SCS/AS identifier and an SCEF-created subscription identifier, and send an HTTP response to the SCS/AS with a </w:t>
      </w:r>
      <w:r w:rsidRPr="000A0A5F">
        <w:t>"</w:t>
      </w:r>
      <w:r w:rsidRPr="000A0A5F">
        <w:rPr>
          <w:lang w:eastAsia="zh-CN"/>
        </w:rPr>
        <w:t>201 Created</w:t>
      </w:r>
      <w:r w:rsidRPr="000A0A5F">
        <w:t xml:space="preserve">" </w:t>
      </w:r>
      <w:r w:rsidRPr="000A0A5F">
        <w:rPr>
          <w:lang w:eastAsia="zh-CN"/>
        </w:rPr>
        <w:t>status code, containing the final suggested configuration parameter(s) (if modified), indication(s) of the discarded parameter(s) (if discarded), the monitoring event report</w:t>
      </w:r>
      <w:r w:rsidR="00080029" w:rsidRPr="000A0A5F">
        <w:rPr>
          <w:lang w:eastAsia="zh-CN"/>
        </w:rPr>
        <w:t>(s) (more than one report may be provided if the "enNB" is supported)</w:t>
      </w:r>
      <w:r w:rsidRPr="000A0A5F">
        <w:rPr>
          <w:lang w:eastAsia="zh-CN"/>
        </w:rPr>
        <w:t>, if received, and a location header field containing the URI of the created resource.</w:t>
      </w:r>
    </w:p>
    <w:p w:rsidR="00CB0DD7" w:rsidRPr="000A0A5F" w:rsidRDefault="00CB0DD7">
      <w:pPr>
        <w:pStyle w:val="B2"/>
        <w:rPr>
          <w:lang w:eastAsia="zh-CN"/>
        </w:rPr>
      </w:pPr>
      <w:r w:rsidRPr="000A0A5F">
        <w:rPr>
          <w:rFonts w:hint="eastAsia"/>
          <w:noProof/>
          <w:lang w:eastAsia="zh-CN"/>
        </w:rPr>
        <w:t>-</w:t>
      </w:r>
      <w:r w:rsidRPr="000A0A5F">
        <w:rPr>
          <w:rFonts w:hint="eastAsia"/>
          <w:noProof/>
          <w:lang w:eastAsia="zh-CN"/>
        </w:rPr>
        <w:tab/>
      </w:r>
      <w:r w:rsidRPr="000A0A5F">
        <w:rPr>
          <w:lang w:eastAsia="zh-CN"/>
        </w:rPr>
        <w:t xml:space="preserve">for an HTTP PUT request, update the active </w:t>
      </w:r>
      <w:r w:rsidRPr="000A0A5F">
        <w:t xml:space="preserve">"Individual Monitoring Event Subscription" </w:t>
      </w:r>
      <w:r w:rsidRPr="000A0A5F">
        <w:rPr>
          <w:lang w:eastAsia="zh-CN"/>
        </w:rPr>
        <w:t xml:space="preserve">resource addressed by the request URI and send an HTTP response to the SCS/AS with a </w:t>
      </w:r>
      <w:r w:rsidRPr="000A0A5F">
        <w:t>"</w:t>
      </w:r>
      <w:r w:rsidRPr="000A0A5F">
        <w:rPr>
          <w:lang w:eastAsia="zh-CN"/>
        </w:rPr>
        <w:t>200 OK</w:t>
      </w:r>
      <w:r w:rsidRPr="000A0A5F">
        <w:t xml:space="preserve">" </w:t>
      </w:r>
      <w:r w:rsidRPr="000A0A5F">
        <w:rPr>
          <w:lang w:eastAsia="zh-CN"/>
        </w:rPr>
        <w:t>status code, containing the final suggested configuration parameter(s) (if modified), indication(s) of the discarded parameter(s) (if discarded) and the monitoring event report</w:t>
      </w:r>
      <w:r w:rsidR="00080029" w:rsidRPr="000A0A5F">
        <w:rPr>
          <w:lang w:eastAsia="zh-CN"/>
        </w:rPr>
        <w:t>(s) (more than one report may be provided if the "enNB" is supported)</w:t>
      </w:r>
      <w:r w:rsidRPr="000A0A5F">
        <w:rPr>
          <w:lang w:eastAsia="zh-CN"/>
        </w:rPr>
        <w:t xml:space="preserve">, if received, or a </w:t>
      </w:r>
      <w:r w:rsidRPr="000A0A5F">
        <w:t>"</w:t>
      </w:r>
      <w:r w:rsidRPr="000A0A5F">
        <w:rPr>
          <w:lang w:eastAsia="zh-CN"/>
        </w:rPr>
        <w:t>204 No Content</w:t>
      </w:r>
      <w:r w:rsidRPr="000A0A5F">
        <w:t xml:space="preserve">" </w:t>
      </w:r>
      <w:r w:rsidRPr="000A0A5F">
        <w:rPr>
          <w:lang w:eastAsia="zh-CN"/>
        </w:rPr>
        <w:t>status code.</w:t>
      </w:r>
    </w:p>
    <w:p w:rsidR="00CB0DD7" w:rsidRPr="000A0A5F" w:rsidRDefault="00CB0DD7">
      <w:pPr>
        <w:pStyle w:val="B2"/>
        <w:rPr>
          <w:lang w:eastAsia="zh-CN"/>
        </w:rPr>
      </w:pPr>
      <w:r w:rsidRPr="000A0A5F">
        <w:rPr>
          <w:rFonts w:hint="eastAsia"/>
          <w:noProof/>
          <w:lang w:eastAsia="zh-CN"/>
        </w:rPr>
        <w:t>-</w:t>
      </w:r>
      <w:r w:rsidRPr="000A0A5F">
        <w:rPr>
          <w:rFonts w:hint="eastAsia"/>
          <w:noProof/>
          <w:lang w:eastAsia="zh-CN"/>
        </w:rPr>
        <w:tab/>
      </w:r>
      <w:r w:rsidRPr="000A0A5F">
        <w:rPr>
          <w:lang w:eastAsia="zh-CN"/>
        </w:rPr>
        <w:t>for an HTTP DELETE request, d</w:t>
      </w:r>
      <w:r w:rsidRPr="000A0A5F">
        <w:rPr>
          <w:rFonts w:hint="eastAsia"/>
          <w:lang w:eastAsia="zh-CN"/>
        </w:rPr>
        <w:t xml:space="preserve">elete </w:t>
      </w:r>
      <w:r w:rsidRPr="000A0A5F">
        <w:rPr>
          <w:lang w:eastAsia="zh-CN"/>
        </w:rPr>
        <w:t xml:space="preserve">the active </w:t>
      </w:r>
      <w:r w:rsidRPr="000A0A5F">
        <w:t xml:space="preserve">"Individual Monitoring Event Subscription" </w:t>
      </w:r>
      <w:r w:rsidRPr="000A0A5F">
        <w:rPr>
          <w:lang w:eastAsia="zh-CN"/>
        </w:rPr>
        <w:t xml:space="preserve">resource </w:t>
      </w:r>
      <w:r w:rsidRPr="000A0A5F">
        <w:t>addressed by the request URI and send an HTTP response to the SCS/AS with a "</w:t>
      </w:r>
      <w:r w:rsidRPr="000A0A5F">
        <w:rPr>
          <w:lang w:eastAsia="zh-CN"/>
        </w:rPr>
        <w:t>204 No Content</w:t>
      </w:r>
      <w:r w:rsidRPr="000A0A5F">
        <w:t xml:space="preserve">" status code, or </w:t>
      </w:r>
      <w:r w:rsidRPr="000A0A5F">
        <w:rPr>
          <w:lang w:eastAsia="zh-CN"/>
        </w:rPr>
        <w:t xml:space="preserve">a </w:t>
      </w:r>
      <w:r w:rsidRPr="000A0A5F">
        <w:t>"</w:t>
      </w:r>
      <w:r w:rsidRPr="000A0A5F">
        <w:rPr>
          <w:lang w:eastAsia="zh-CN"/>
        </w:rPr>
        <w:t>200 OK</w:t>
      </w:r>
      <w:r w:rsidRPr="000A0A5F">
        <w:t xml:space="preserve">" </w:t>
      </w:r>
      <w:r w:rsidRPr="000A0A5F">
        <w:rPr>
          <w:lang w:eastAsia="zh-CN"/>
        </w:rPr>
        <w:t>status code and including the monitoring event report</w:t>
      </w:r>
      <w:r w:rsidR="00080029" w:rsidRPr="000A0A5F">
        <w:rPr>
          <w:lang w:eastAsia="zh-CN"/>
        </w:rPr>
        <w:t>(s) (more than one report may be provided if the "enNB" is supported)</w:t>
      </w:r>
      <w:r w:rsidRPr="000A0A5F">
        <w:rPr>
          <w:lang w:eastAsia="zh-CN"/>
        </w:rPr>
        <w:t>, if received</w:t>
      </w:r>
      <w:r w:rsidRPr="000A0A5F">
        <w:t>.</w:t>
      </w:r>
    </w:p>
    <w:p w:rsidR="00CB0DD7" w:rsidRPr="000A0A5F" w:rsidRDefault="00CB0DD7">
      <w:r w:rsidRPr="000A0A5F">
        <w:t>If the SCEF receives a response with an error code from the HSS, the SCEF shall not create, update nor delete the concerned resource and respond to the SCS/AS with a corresponding failure code as described in clause 5.2.6.</w:t>
      </w:r>
    </w:p>
    <w:p w:rsidR="00CB0DD7" w:rsidRPr="000A0A5F" w:rsidRDefault="00CB0DD7">
      <w:pPr>
        <w:pStyle w:val="Heading6"/>
        <w:rPr>
          <w:lang w:eastAsia="zh-CN"/>
        </w:rPr>
      </w:pPr>
      <w:bookmarkStart w:id="272" w:name="_Toc11247195"/>
      <w:bookmarkStart w:id="273" w:name="_Toc27044311"/>
      <w:bookmarkStart w:id="274" w:name="_Toc36033353"/>
      <w:bookmarkStart w:id="275" w:name="_Toc45131483"/>
      <w:bookmarkStart w:id="276" w:name="_Toc49775768"/>
      <w:bookmarkStart w:id="277" w:name="_Toc51746688"/>
      <w:bookmarkStart w:id="278" w:name="_Toc66360230"/>
      <w:bookmarkStart w:id="279" w:name="_Toc68104735"/>
      <w:bookmarkStart w:id="280" w:name="_Toc74755364"/>
      <w:bookmarkStart w:id="281" w:name="_Toc105674219"/>
      <w:bookmarkStart w:id="282" w:name="_Toc130502252"/>
      <w:bookmarkStart w:id="283" w:name="_Toc153625031"/>
      <w:r w:rsidRPr="000A0A5F">
        <w:t>4.</w:t>
      </w:r>
      <w:r w:rsidRPr="000A0A5F">
        <w:rPr>
          <w:lang w:eastAsia="zh-CN"/>
        </w:rPr>
        <w:t>4</w:t>
      </w:r>
      <w:r w:rsidRPr="000A0A5F">
        <w:t>.2.2.2.3</w:t>
      </w:r>
      <w:r w:rsidRPr="000A0A5F">
        <w:tab/>
        <w:t>Configuration Request for a group of UEs</w:t>
      </w:r>
      <w:bookmarkEnd w:id="272"/>
      <w:bookmarkEnd w:id="273"/>
      <w:bookmarkEnd w:id="274"/>
      <w:bookmarkEnd w:id="275"/>
      <w:bookmarkEnd w:id="276"/>
      <w:bookmarkEnd w:id="277"/>
      <w:bookmarkEnd w:id="278"/>
      <w:bookmarkEnd w:id="279"/>
      <w:bookmarkEnd w:id="280"/>
      <w:bookmarkEnd w:id="281"/>
      <w:bookmarkEnd w:id="282"/>
      <w:bookmarkEnd w:id="283"/>
    </w:p>
    <w:p w:rsidR="00CB0DD7" w:rsidRPr="000A0A5F" w:rsidRDefault="00CB0DD7">
      <w:pPr>
        <w:rPr>
          <w:lang w:eastAsia="zh-CN"/>
        </w:rPr>
      </w:pPr>
      <w:r w:rsidRPr="000A0A5F">
        <w:rPr>
          <w:rFonts w:hint="eastAsia"/>
          <w:lang w:eastAsia="zh-CN"/>
        </w:rPr>
        <w:t xml:space="preserve">Upon receipt </w:t>
      </w:r>
      <w:r w:rsidRPr="000A0A5F">
        <w:rPr>
          <w:lang w:eastAsia="zh-CN"/>
        </w:rPr>
        <w:t>of a request from the SCS/AS including an External Group Identifier</w:t>
      </w:r>
      <w:r w:rsidRPr="000A0A5F">
        <w:rPr>
          <w:noProof/>
          <w:lang w:val="en-US" w:eastAsia="zh-CN"/>
        </w:rPr>
        <w:t>, then the monitoring configuration is for a group of UEs</w:t>
      </w:r>
      <w:r w:rsidRPr="000A0A5F">
        <w:rPr>
          <w:lang w:eastAsia="zh-CN"/>
        </w:rPr>
        <w:t xml:space="preserve">. The SCEF shall interact with the HSS </w:t>
      </w:r>
      <w:r w:rsidRPr="000A0A5F">
        <w:rPr>
          <w:noProof/>
          <w:lang w:eastAsia="zh-CN"/>
        </w:rPr>
        <w:t>via S6t as specified in 3GPP TS 29.336 [11]</w:t>
      </w:r>
      <w:r w:rsidRPr="000A0A5F">
        <w:rPr>
          <w:lang w:eastAsia="zh-CN"/>
        </w:rPr>
        <w:t xml:space="preserve">. </w:t>
      </w:r>
    </w:p>
    <w:p w:rsidR="00CB0DD7" w:rsidRPr="000A0A5F" w:rsidRDefault="00CB0DD7">
      <w:r w:rsidRPr="000A0A5F">
        <w:rPr>
          <w:lang w:eastAsia="zh-CN"/>
        </w:rPr>
        <w:t>Upon receipt of a successful response from the HSS</w:t>
      </w:r>
      <w:r w:rsidRPr="000A0A5F">
        <w:t xml:space="preserve"> indicating that group processing is in progress</w:t>
      </w:r>
      <w:r w:rsidRPr="000A0A5F">
        <w:rPr>
          <w:lang w:eastAsia="zh-CN"/>
        </w:rPr>
        <w:t xml:space="preserve"> and</w:t>
      </w:r>
      <w:r w:rsidRPr="000A0A5F">
        <w:t xml:space="preserve"> before beginning the processing of individual UEs</w:t>
      </w:r>
      <w:r w:rsidRPr="000A0A5F">
        <w:rPr>
          <w:lang w:eastAsia="zh-CN"/>
        </w:rPr>
        <w:t xml:space="preserve">, </w:t>
      </w:r>
      <w:r w:rsidRPr="000A0A5F">
        <w:t>the SCEF shall,</w:t>
      </w:r>
    </w:p>
    <w:p w:rsidR="00CB0DD7" w:rsidRPr="000A0A5F" w:rsidRDefault="00CB0DD7">
      <w:pPr>
        <w:pStyle w:val="B10"/>
      </w:pPr>
      <w:r w:rsidRPr="000A0A5F">
        <w:rPr>
          <w:rFonts w:hint="eastAsia"/>
          <w:noProof/>
          <w:lang w:eastAsia="zh-CN"/>
        </w:rPr>
        <w:t>-</w:t>
      </w:r>
      <w:r w:rsidRPr="000A0A5F">
        <w:rPr>
          <w:rFonts w:hint="eastAsia"/>
          <w:noProof/>
          <w:lang w:eastAsia="zh-CN"/>
        </w:rPr>
        <w:tab/>
      </w:r>
      <w:r w:rsidRPr="000A0A5F">
        <w:t xml:space="preserve">for an HTTP POST request, </w:t>
      </w:r>
      <w:r w:rsidRPr="000A0A5F">
        <w:rPr>
          <w:lang w:eastAsia="zh-CN"/>
        </w:rPr>
        <w:t xml:space="preserve">create a new </w:t>
      </w:r>
      <w:r w:rsidRPr="000A0A5F">
        <w:t>"Individual Monitoring Event Subscription"</w:t>
      </w:r>
      <w:r w:rsidRPr="000A0A5F">
        <w:rPr>
          <w:lang w:eastAsia="zh-CN"/>
        </w:rPr>
        <w:t xml:space="preserve"> resource addressed by a URI that contains the SCS/AS identity and an SCEF-created subscription identifier, store the number of UEs received in the response message from the HSS within the resource and send an HTTP response to the SCS/AS with </w:t>
      </w:r>
      <w:r w:rsidRPr="000A0A5F">
        <w:t>"</w:t>
      </w:r>
      <w:r w:rsidRPr="000A0A5F">
        <w:rPr>
          <w:lang w:eastAsia="zh-CN"/>
        </w:rPr>
        <w:t>201 Created</w:t>
      </w:r>
      <w:r w:rsidRPr="000A0A5F">
        <w:t>"</w:t>
      </w:r>
      <w:r w:rsidRPr="000A0A5F">
        <w:rPr>
          <w:lang w:eastAsia="zh-CN"/>
        </w:rPr>
        <w:t xml:space="preserve"> status code and a location header field containing the URI of the created resource, in order to </w:t>
      </w:r>
      <w:r w:rsidRPr="000A0A5F">
        <w:t>acknowledge the SCS/AS of the successful group processing request.</w:t>
      </w:r>
    </w:p>
    <w:p w:rsidR="00CB0DD7" w:rsidRPr="000A0A5F" w:rsidRDefault="00CB0DD7">
      <w:pPr>
        <w:pStyle w:val="B10"/>
      </w:pPr>
      <w:r w:rsidRPr="000A0A5F">
        <w:rPr>
          <w:rFonts w:hint="eastAsia"/>
          <w:noProof/>
          <w:lang w:eastAsia="zh-CN"/>
        </w:rPr>
        <w:t>-</w:t>
      </w:r>
      <w:r w:rsidRPr="000A0A5F">
        <w:rPr>
          <w:rFonts w:hint="eastAsia"/>
          <w:noProof/>
          <w:lang w:eastAsia="zh-CN"/>
        </w:rPr>
        <w:tab/>
      </w:r>
      <w:r w:rsidRPr="000A0A5F">
        <w:t>for an HTTP PUT request,</w:t>
      </w:r>
      <w:r w:rsidRPr="000A0A5F">
        <w:rPr>
          <w:lang w:eastAsia="zh-CN"/>
        </w:rPr>
        <w:t xml:space="preserve"> update the active </w:t>
      </w:r>
      <w:r w:rsidRPr="000A0A5F">
        <w:t xml:space="preserve">"Individual Monitoring Event Subscription" </w:t>
      </w:r>
      <w:r w:rsidRPr="000A0A5F">
        <w:rPr>
          <w:lang w:eastAsia="zh-CN"/>
        </w:rPr>
        <w:t xml:space="preserve">resource addressed by the request URL and </w:t>
      </w:r>
      <w:r w:rsidRPr="000A0A5F">
        <w:t>send an HTTP response with "</w:t>
      </w:r>
      <w:r w:rsidRPr="000A0A5F">
        <w:rPr>
          <w:lang w:eastAsia="zh-CN"/>
        </w:rPr>
        <w:t>200 OK</w:t>
      </w:r>
      <w:r w:rsidRPr="000A0A5F">
        <w:t>" status code to acknowledge the SCS/AS of the successful group processing request</w:t>
      </w:r>
      <w:r w:rsidRPr="000A0A5F">
        <w:rPr>
          <w:lang w:eastAsia="zh-CN"/>
        </w:rPr>
        <w:t xml:space="preserve">, or a </w:t>
      </w:r>
      <w:r w:rsidRPr="000A0A5F">
        <w:t>"</w:t>
      </w:r>
      <w:r w:rsidRPr="000A0A5F">
        <w:rPr>
          <w:lang w:eastAsia="zh-CN"/>
        </w:rPr>
        <w:t>204 No Content</w:t>
      </w:r>
      <w:r w:rsidRPr="000A0A5F">
        <w:t xml:space="preserve">" </w:t>
      </w:r>
      <w:r w:rsidRPr="000A0A5F">
        <w:rPr>
          <w:lang w:eastAsia="zh-CN"/>
        </w:rPr>
        <w:t>status code</w:t>
      </w:r>
      <w:r w:rsidRPr="000A0A5F">
        <w:rPr>
          <w:rFonts w:hint="eastAsia"/>
          <w:lang w:eastAsia="zh-CN"/>
        </w:rPr>
        <w:t>.</w:t>
      </w:r>
    </w:p>
    <w:p w:rsidR="00CB0DD7" w:rsidRPr="000A0A5F" w:rsidRDefault="00CB0DD7">
      <w:pPr>
        <w:pStyle w:val="B10"/>
      </w:pPr>
      <w:r w:rsidRPr="000A0A5F">
        <w:rPr>
          <w:rFonts w:hint="eastAsia"/>
          <w:noProof/>
          <w:lang w:eastAsia="zh-CN"/>
        </w:rPr>
        <w:t>-</w:t>
      </w:r>
      <w:r w:rsidRPr="000A0A5F">
        <w:rPr>
          <w:rFonts w:hint="eastAsia"/>
          <w:noProof/>
          <w:lang w:eastAsia="zh-CN"/>
        </w:rPr>
        <w:tab/>
      </w:r>
      <w:r w:rsidRPr="000A0A5F">
        <w:t xml:space="preserve">for an HTTP DELETE request, </w:t>
      </w:r>
      <w:r w:rsidRPr="000A0A5F">
        <w:rPr>
          <w:lang w:eastAsia="zh-CN"/>
        </w:rPr>
        <w:t>d</w:t>
      </w:r>
      <w:r w:rsidRPr="000A0A5F">
        <w:rPr>
          <w:rFonts w:hint="eastAsia"/>
          <w:lang w:eastAsia="zh-CN"/>
        </w:rPr>
        <w:t xml:space="preserve">elete </w:t>
      </w:r>
      <w:r w:rsidRPr="000A0A5F">
        <w:rPr>
          <w:lang w:eastAsia="zh-CN"/>
        </w:rPr>
        <w:t xml:space="preserve">the active </w:t>
      </w:r>
      <w:r w:rsidRPr="000A0A5F">
        <w:t>"Individual Monitoring Event Subscription"</w:t>
      </w:r>
      <w:r w:rsidRPr="000A0A5F">
        <w:rPr>
          <w:lang w:eastAsia="zh-CN"/>
        </w:rPr>
        <w:t xml:space="preserve"> resource</w:t>
      </w:r>
      <w:r w:rsidRPr="000A0A5F">
        <w:t xml:space="preserve"> addressed by the request URI and send an HTTP response to the SCS/AS with "</w:t>
      </w:r>
      <w:r w:rsidRPr="000A0A5F">
        <w:rPr>
          <w:lang w:eastAsia="zh-CN"/>
        </w:rPr>
        <w:t>204 No Content</w:t>
      </w:r>
      <w:r w:rsidRPr="000A0A5F">
        <w:t>" status code.</w:t>
      </w:r>
    </w:p>
    <w:p w:rsidR="00CB0DD7" w:rsidRPr="000A0A5F" w:rsidRDefault="00CB0DD7">
      <w:r w:rsidRPr="000A0A5F">
        <w:t>If the SCEF receives a response with an error code from the HSS, the SCEF shall not create, update nor delete the concerned resource and respond to the SCS/AS with a corresponding failure code as described in clause 5.2.6.</w:t>
      </w:r>
    </w:p>
    <w:p w:rsidR="00CB0DD7" w:rsidRPr="000A0A5F" w:rsidRDefault="00CB0DD7">
      <w:pPr>
        <w:rPr>
          <w:noProof/>
          <w:lang w:eastAsia="zh-CN"/>
        </w:rPr>
      </w:pPr>
      <w:r w:rsidRPr="000A0A5F">
        <w:rPr>
          <w:noProof/>
          <w:lang w:eastAsia="zh-CN"/>
        </w:rPr>
        <w:t>Upon receipt of the processing result of the individual UEs from the HSS, the SCEF shall behave as follows:</w:t>
      </w:r>
    </w:p>
    <w:p w:rsidR="00CB0DD7" w:rsidRPr="000A0A5F" w:rsidRDefault="00CB0DD7">
      <w:pPr>
        <w:pStyle w:val="B10"/>
        <w:rPr>
          <w:rFonts w:hint="eastAsia"/>
          <w:noProof/>
          <w:lang w:eastAsia="zh-CN"/>
        </w:rPr>
      </w:pPr>
      <w:r w:rsidRPr="000A0A5F">
        <w:rPr>
          <w:rFonts w:hint="eastAsia"/>
          <w:noProof/>
          <w:lang w:eastAsia="zh-CN"/>
        </w:rPr>
        <w:t>-</w:t>
      </w:r>
      <w:r w:rsidRPr="000A0A5F">
        <w:rPr>
          <w:rFonts w:hint="eastAsia"/>
          <w:noProof/>
          <w:lang w:eastAsia="zh-CN"/>
        </w:rPr>
        <w:tab/>
      </w:r>
      <w:r w:rsidRPr="000A0A5F">
        <w:rPr>
          <w:noProof/>
          <w:lang w:eastAsia="zh-CN"/>
        </w:rPr>
        <w:t xml:space="preserve">if no Group Reporting Guard Time is received, the SCEF shall send an HTTP POST request message to the SCS/AS including a reference to the related </w:t>
      </w:r>
      <w:r w:rsidRPr="000A0A5F">
        <w:rPr>
          <w:lang w:eastAsia="zh-CN"/>
        </w:rPr>
        <w:t>monitoring subscription</w:t>
      </w:r>
      <w:r w:rsidRPr="000A0A5F">
        <w:rPr>
          <w:noProof/>
          <w:lang w:eastAsia="zh-CN"/>
        </w:rPr>
        <w:t>, a list of configuration failure result if received for the group members, and the "</w:t>
      </w:r>
      <w:r w:rsidRPr="000A0A5F">
        <w:rPr>
          <w:rFonts w:hint="eastAsia"/>
          <w:lang w:eastAsia="zh-CN"/>
        </w:rPr>
        <w:t>monitoringEventReports</w:t>
      </w:r>
      <w:r w:rsidRPr="000A0A5F">
        <w:rPr>
          <w:noProof/>
          <w:lang w:eastAsia="zh-CN"/>
        </w:rPr>
        <w:t>" attribute including a list of monitoring event reports if received for the group members</w:t>
      </w:r>
      <w:r w:rsidRPr="000A0A5F">
        <w:rPr>
          <w:rFonts w:hint="eastAsia"/>
          <w:noProof/>
          <w:lang w:eastAsia="zh-CN"/>
        </w:rPr>
        <w:t xml:space="preserve">; </w:t>
      </w:r>
    </w:p>
    <w:p w:rsidR="00CB0DD7" w:rsidRPr="000A0A5F" w:rsidRDefault="00CB0DD7">
      <w:pPr>
        <w:pStyle w:val="B10"/>
        <w:rPr>
          <w:noProof/>
          <w:lang w:eastAsia="zh-CN"/>
        </w:rPr>
      </w:pPr>
      <w:r w:rsidRPr="000A0A5F">
        <w:rPr>
          <w:rFonts w:hint="eastAsia"/>
          <w:noProof/>
          <w:lang w:eastAsia="zh-CN"/>
        </w:rPr>
        <w:t>-</w:t>
      </w:r>
      <w:r w:rsidRPr="000A0A5F">
        <w:rPr>
          <w:rFonts w:hint="eastAsia"/>
          <w:noProof/>
          <w:lang w:eastAsia="zh-CN"/>
        </w:rPr>
        <w:tab/>
      </w:r>
      <w:r w:rsidRPr="000A0A5F">
        <w:rPr>
          <w:noProof/>
          <w:lang w:eastAsia="zh-CN"/>
        </w:rPr>
        <w:t xml:space="preserve">otherwise, the SCEF shall accumulate all of the configuration results and/or monitoring event reports received from the HSS for the group members until the Group Reporting Guard Time expires. Then the SCEF shall send an HTTP POST request message to the SCS/AS including a reference to the related </w:t>
      </w:r>
      <w:r w:rsidRPr="000A0A5F">
        <w:rPr>
          <w:lang w:eastAsia="zh-CN"/>
        </w:rPr>
        <w:t>monitoring subscription,</w:t>
      </w:r>
      <w:r w:rsidRPr="000A0A5F">
        <w:rPr>
          <w:noProof/>
          <w:lang w:eastAsia="zh-CN"/>
        </w:rPr>
        <w:t xml:space="preserve"> and a list of configuration failure result if received for the group members, and the "</w:t>
      </w:r>
      <w:r w:rsidRPr="000A0A5F">
        <w:rPr>
          <w:rFonts w:hint="eastAsia"/>
          <w:lang w:eastAsia="zh-CN"/>
        </w:rPr>
        <w:t>monitoringEventReports</w:t>
      </w:r>
      <w:r w:rsidRPr="000A0A5F">
        <w:rPr>
          <w:noProof/>
          <w:lang w:eastAsia="zh-CN"/>
        </w:rPr>
        <w:t xml:space="preserve">" </w:t>
      </w:r>
      <w:r w:rsidR="008754D8">
        <w:rPr>
          <w:noProof/>
          <w:lang w:eastAsia="zh-CN"/>
        </w:rPr>
        <w:t>attribute including a list of monitoring event reports received before the Group Reporting Guard Time</w:t>
      </w:r>
      <w:r w:rsidRPr="000A0A5F">
        <w:rPr>
          <w:noProof/>
          <w:lang w:eastAsia="zh-CN"/>
        </w:rPr>
        <w:t>.</w:t>
      </w:r>
    </w:p>
    <w:p w:rsidR="00404E91" w:rsidRPr="000A0A5F" w:rsidRDefault="002651F3" w:rsidP="00404E91">
      <w:pPr>
        <w:pStyle w:val="B10"/>
        <w:rPr>
          <w:noProof/>
          <w:lang w:eastAsia="zh-CN"/>
        </w:rPr>
      </w:pPr>
      <w:r w:rsidRPr="000A0A5F">
        <w:rPr>
          <w:noProof/>
          <w:lang w:eastAsia="zh-CN"/>
        </w:rPr>
        <w:t>-</w:t>
      </w:r>
      <w:r w:rsidRPr="000A0A5F">
        <w:rPr>
          <w:noProof/>
          <w:lang w:eastAsia="zh-CN"/>
        </w:rPr>
        <w:tab/>
        <w:t>If the Partial_group_</w:t>
      </w:r>
      <w:r w:rsidR="00BC6E27" w:rsidRPr="000A0A5F">
        <w:rPr>
          <w:noProof/>
          <w:lang w:eastAsia="zh-CN"/>
        </w:rPr>
        <w:t>modification</w:t>
      </w:r>
      <w:r w:rsidRPr="000A0A5F">
        <w:rPr>
          <w:noProof/>
          <w:lang w:eastAsia="zh-CN"/>
        </w:rPr>
        <w:t xml:space="preserve"> feature is supported,</w:t>
      </w:r>
    </w:p>
    <w:p w:rsidR="002651F3" w:rsidRPr="000A0A5F" w:rsidRDefault="00404E91" w:rsidP="00590561">
      <w:pPr>
        <w:pStyle w:val="B2"/>
        <w:rPr>
          <w:noProof/>
          <w:lang w:eastAsia="zh-CN"/>
        </w:rPr>
      </w:pPr>
      <w:r w:rsidRPr="000A0A5F">
        <w:rPr>
          <w:noProof/>
          <w:lang w:eastAsia="zh-CN"/>
        </w:rPr>
        <w:t>-</w:t>
      </w:r>
      <w:r w:rsidRPr="000A0A5F">
        <w:rPr>
          <w:noProof/>
          <w:lang w:eastAsia="zh-CN"/>
        </w:rPr>
        <w:tab/>
      </w:r>
      <w:r w:rsidR="002651F3" w:rsidRPr="000A0A5F">
        <w:rPr>
          <w:noProof/>
          <w:lang w:eastAsia="zh-CN"/>
        </w:rPr>
        <w:t>upon the cancellation of UE(s) within the active group identified by the "excludedExternalIds" and/or "excludedMsisdns" attributes is successful, the SCEF shall,</w:t>
      </w:r>
    </w:p>
    <w:p w:rsidR="002651F3" w:rsidRPr="000A0A5F" w:rsidRDefault="002651F3" w:rsidP="00590561">
      <w:pPr>
        <w:pStyle w:val="B3"/>
        <w:rPr>
          <w:noProof/>
          <w:lang w:eastAsia="zh-CN"/>
        </w:rPr>
      </w:pPr>
      <w:r w:rsidRPr="000A0A5F">
        <w:rPr>
          <w:noProof/>
          <w:lang w:eastAsia="zh-CN"/>
        </w:rPr>
        <w:t>-</w:t>
      </w:r>
      <w:r w:rsidRPr="000A0A5F">
        <w:rPr>
          <w:noProof/>
          <w:lang w:eastAsia="zh-CN"/>
        </w:rPr>
        <w:tab/>
        <w:t>if the maximum number of reports applies to the monitoring event configuration of the cancelled UE(s), set the stored number of reports of the indicated UE(s) to the maximum number of reports;</w:t>
      </w:r>
    </w:p>
    <w:p w:rsidR="002651F3" w:rsidRPr="000A0A5F" w:rsidRDefault="002651F3" w:rsidP="00590561">
      <w:pPr>
        <w:pStyle w:val="B3"/>
        <w:rPr>
          <w:noProof/>
          <w:lang w:eastAsia="zh-CN"/>
        </w:rPr>
      </w:pPr>
      <w:r w:rsidRPr="000A0A5F">
        <w:rPr>
          <w:noProof/>
          <w:lang w:eastAsia="zh-CN"/>
        </w:rPr>
        <w:t>-</w:t>
      </w:r>
      <w:r w:rsidRPr="000A0A5F">
        <w:rPr>
          <w:noProof/>
          <w:lang w:eastAsia="zh-CN"/>
        </w:rPr>
        <w:tab/>
        <w:t>still consider the rest of UE(s) as applicable within the active group based monitoring subscription to the group based Monitoring Event Report identified by the External Group Identifier;</w:t>
      </w:r>
    </w:p>
    <w:p w:rsidR="00404E91" w:rsidRPr="000A0A5F" w:rsidRDefault="002651F3" w:rsidP="00404E91">
      <w:pPr>
        <w:pStyle w:val="B3"/>
        <w:rPr>
          <w:noProof/>
          <w:lang w:eastAsia="zh-CN"/>
        </w:rPr>
      </w:pPr>
      <w:r w:rsidRPr="000A0A5F">
        <w:rPr>
          <w:noProof/>
          <w:lang w:eastAsia="zh-CN"/>
        </w:rPr>
        <w:t>-</w:t>
      </w:r>
      <w:r w:rsidRPr="000A0A5F">
        <w:rPr>
          <w:noProof/>
          <w:lang w:eastAsia="zh-CN"/>
        </w:rPr>
        <w:tab/>
        <w:t>determine whether the reporting for the group based event subscription is completed or not. If completed, the SCEF shall delete the corresponding "Individual Monitoring Event Subscription" resource with procedures as described in clause 4.4.2.3.</w:t>
      </w:r>
    </w:p>
    <w:p w:rsidR="002651F3" w:rsidRPr="000A0A5F" w:rsidRDefault="00404E91" w:rsidP="00404E91">
      <w:pPr>
        <w:pStyle w:val="B2"/>
        <w:rPr>
          <w:noProof/>
          <w:lang w:eastAsia="zh-CN"/>
        </w:rPr>
      </w:pPr>
      <w:r w:rsidRPr="000A0A5F">
        <w:rPr>
          <w:noProof/>
          <w:lang w:eastAsia="zh-CN"/>
        </w:rPr>
        <w:t>-</w:t>
      </w:r>
      <w:r w:rsidRPr="000A0A5F">
        <w:rPr>
          <w:noProof/>
          <w:lang w:eastAsia="zh-CN"/>
        </w:rPr>
        <w:tab/>
        <w:t>If the cancellation of UE(s) within the active group is unsuccessful, the SCEF shall respond with proper error code indicating the error and should return the appropriate additional error information in the POST response body.</w:t>
      </w:r>
    </w:p>
    <w:p w:rsidR="00BC6E27" w:rsidRPr="000A0A5F" w:rsidRDefault="00BC6E27" w:rsidP="00BC6E27">
      <w:pPr>
        <w:pStyle w:val="B2"/>
        <w:rPr>
          <w:noProof/>
          <w:lang w:eastAsia="zh-CN"/>
        </w:rPr>
      </w:pPr>
      <w:r w:rsidRPr="000A0A5F">
        <w:rPr>
          <w:noProof/>
          <w:lang w:eastAsia="zh-CN"/>
        </w:rPr>
        <w:t>-</w:t>
      </w:r>
      <w:r w:rsidRPr="000A0A5F">
        <w:rPr>
          <w:noProof/>
          <w:lang w:eastAsia="zh-CN"/>
        </w:rPr>
        <w:tab/>
        <w:t>upon the addition of UE(s) within the active group identified by the "addedExternalIds" and/or "addedMsisdns" attributes is successful, the SCEF shall,</w:t>
      </w:r>
    </w:p>
    <w:p w:rsidR="00BC6E27" w:rsidRPr="000A0A5F" w:rsidRDefault="00BC6E27" w:rsidP="00BC6E27">
      <w:pPr>
        <w:pStyle w:val="B3"/>
        <w:rPr>
          <w:noProof/>
          <w:lang w:eastAsia="zh-CN"/>
        </w:rPr>
      </w:pPr>
      <w:r w:rsidRPr="000A0A5F">
        <w:rPr>
          <w:noProof/>
          <w:lang w:eastAsia="zh-CN"/>
        </w:rPr>
        <w:t>-</w:t>
      </w:r>
      <w:r w:rsidRPr="000A0A5F">
        <w:rPr>
          <w:noProof/>
          <w:lang w:eastAsia="zh-CN"/>
        </w:rPr>
        <w:tab/>
        <w:t>still consider the existing of UE(s) as applicable within the active group based monitoring subscription to the group based Monitoring Event Report identified by the External Group Identifier;</w:t>
      </w:r>
    </w:p>
    <w:p w:rsidR="00BC6E27" w:rsidRPr="000A0A5F" w:rsidRDefault="00BC6E27" w:rsidP="00BC6E27">
      <w:pPr>
        <w:pStyle w:val="B3"/>
        <w:rPr>
          <w:noProof/>
          <w:lang w:eastAsia="zh-CN"/>
        </w:rPr>
      </w:pPr>
      <w:r w:rsidRPr="000A0A5F">
        <w:rPr>
          <w:noProof/>
          <w:lang w:eastAsia="zh-CN"/>
        </w:rPr>
        <w:t>-</w:t>
      </w:r>
      <w:r w:rsidRPr="000A0A5F">
        <w:rPr>
          <w:noProof/>
          <w:lang w:eastAsia="zh-CN"/>
        </w:rPr>
        <w:tab/>
        <w:t>subsequently apply monitoring event subscription to the new group member UEs.</w:t>
      </w:r>
    </w:p>
    <w:p w:rsidR="00BC6E27" w:rsidRPr="000A0A5F" w:rsidRDefault="00BC6E27" w:rsidP="00BC6E27">
      <w:pPr>
        <w:pStyle w:val="B2"/>
        <w:rPr>
          <w:noProof/>
          <w:lang w:eastAsia="zh-CN"/>
        </w:rPr>
      </w:pPr>
      <w:r w:rsidRPr="000A0A5F">
        <w:rPr>
          <w:noProof/>
          <w:lang w:eastAsia="zh-CN"/>
        </w:rPr>
        <w:t>-</w:t>
      </w:r>
      <w:r w:rsidRPr="000A0A5F">
        <w:rPr>
          <w:noProof/>
          <w:lang w:eastAsia="zh-CN"/>
        </w:rPr>
        <w:tab/>
        <w:t>If the addition of UE(s) within the active group is unsuccessful, the SCEF shall respond with proper error code indicating the error and should return the appropriate additional error information in the POST response body.</w:t>
      </w:r>
    </w:p>
    <w:p w:rsidR="00CB0DD7" w:rsidRPr="000A0A5F" w:rsidRDefault="00CB0DD7">
      <w:pPr>
        <w:rPr>
          <w:noProof/>
          <w:lang w:eastAsia="zh-CN"/>
        </w:rPr>
      </w:pPr>
      <w:r w:rsidRPr="000A0A5F">
        <w:rPr>
          <w:rFonts w:hint="eastAsia"/>
          <w:noProof/>
          <w:lang w:eastAsia="zh-CN"/>
        </w:rPr>
        <w:t>T</w:t>
      </w:r>
      <w:r w:rsidRPr="000A0A5F">
        <w:rPr>
          <w:noProof/>
          <w:lang w:eastAsia="zh-CN"/>
        </w:rPr>
        <w:t>he SCS/AS shall send an HTTP response to acknowledge the SCEF about the handling result of the received HTTP POST request.</w:t>
      </w:r>
    </w:p>
    <w:p w:rsidR="00CB0DD7" w:rsidRPr="000A0A5F" w:rsidRDefault="00CB0DD7">
      <w:pPr>
        <w:pStyle w:val="Heading5"/>
      </w:pPr>
      <w:bookmarkStart w:id="284" w:name="_Toc11247196"/>
      <w:bookmarkStart w:id="285" w:name="_Toc27044312"/>
      <w:bookmarkStart w:id="286" w:name="_Toc36033354"/>
      <w:bookmarkStart w:id="287" w:name="_Toc45131484"/>
      <w:bookmarkStart w:id="288" w:name="_Toc49775769"/>
      <w:bookmarkStart w:id="289" w:name="_Toc51746689"/>
      <w:bookmarkStart w:id="290" w:name="_Toc66360231"/>
      <w:bookmarkStart w:id="291" w:name="_Toc68104736"/>
      <w:bookmarkStart w:id="292" w:name="_Toc74755365"/>
      <w:bookmarkStart w:id="293" w:name="_Toc105674220"/>
      <w:bookmarkStart w:id="294" w:name="_Toc130502253"/>
      <w:bookmarkStart w:id="295" w:name="_Toc153625032"/>
      <w:r w:rsidRPr="000A0A5F">
        <w:t>4.4.2.2.3</w:t>
      </w:r>
      <w:r w:rsidRPr="000A0A5F">
        <w:tab/>
        <w:t>Monitoring Events Configuration directly via MME/SGSN</w:t>
      </w:r>
      <w:bookmarkEnd w:id="284"/>
      <w:bookmarkEnd w:id="285"/>
      <w:bookmarkEnd w:id="286"/>
      <w:bookmarkEnd w:id="287"/>
      <w:bookmarkEnd w:id="288"/>
      <w:bookmarkEnd w:id="289"/>
      <w:bookmarkEnd w:id="290"/>
      <w:bookmarkEnd w:id="291"/>
      <w:bookmarkEnd w:id="292"/>
      <w:bookmarkEnd w:id="293"/>
      <w:bookmarkEnd w:id="294"/>
      <w:bookmarkEnd w:id="295"/>
    </w:p>
    <w:p w:rsidR="00CB0DD7" w:rsidRPr="000A0A5F" w:rsidRDefault="00CB0DD7">
      <w:pPr>
        <w:rPr>
          <w:rFonts w:cs="Arial"/>
          <w:noProof/>
          <w:lang w:val="en-US" w:eastAsia="zh-CN"/>
        </w:rPr>
      </w:pPr>
      <w:r w:rsidRPr="000A0A5F">
        <w:t xml:space="preserve">The monitoring event "Number of UEs in a geographic area" is applicable for the monitoring event configuration via MME/SGSN. Only one-time reporting is supported for this event with the value of </w:t>
      </w:r>
      <w:r w:rsidRPr="000A0A5F">
        <w:rPr>
          <w:rFonts w:cs="Arial"/>
          <w:noProof/>
          <w:lang w:val="en-US" w:eastAsia="zh-CN"/>
        </w:rPr>
        <w:t>Maximum Number of Reports indicated by "</w:t>
      </w:r>
      <w:r w:rsidRPr="000A0A5F">
        <w:rPr>
          <w:rFonts w:cs="Arial" w:hint="eastAsia"/>
          <w:szCs w:val="18"/>
          <w:lang w:eastAsia="zh-CN"/>
        </w:rPr>
        <w:t>maximumNumberOfReports</w:t>
      </w:r>
      <w:r w:rsidRPr="000A0A5F">
        <w:rPr>
          <w:rFonts w:cs="Arial"/>
          <w:noProof/>
          <w:lang w:val="en-US" w:eastAsia="zh-CN"/>
        </w:rPr>
        <w:t>" set to 1.</w:t>
      </w:r>
    </w:p>
    <w:p w:rsidR="00CB0DD7" w:rsidRPr="000A0A5F" w:rsidRDefault="00CB0DD7">
      <w:pPr>
        <w:rPr>
          <w:lang w:eastAsia="zh-CN"/>
        </w:rPr>
      </w:pPr>
      <w:r w:rsidRPr="000A0A5F">
        <w:rPr>
          <w:rFonts w:hint="eastAsia"/>
          <w:lang w:eastAsia="zh-CN"/>
        </w:rPr>
        <w:t xml:space="preserve">Upon receipt </w:t>
      </w:r>
      <w:r w:rsidRPr="000A0A5F">
        <w:rPr>
          <w:lang w:eastAsia="zh-CN"/>
        </w:rPr>
        <w:t>of an HTTP POST request from the SCS/AS, the SCEF shall</w:t>
      </w:r>
    </w:p>
    <w:p w:rsidR="00CB0DD7" w:rsidRPr="000A0A5F" w:rsidRDefault="00CB0DD7">
      <w:pPr>
        <w:pStyle w:val="B10"/>
        <w:rPr>
          <w:lang w:eastAsia="zh-CN"/>
        </w:rPr>
      </w:pPr>
      <w:r w:rsidRPr="000A0A5F">
        <w:rPr>
          <w:lang w:eastAsia="zh-CN"/>
        </w:rPr>
        <w:t>-</w:t>
      </w:r>
      <w:r w:rsidRPr="000A0A5F">
        <w:rPr>
          <w:lang w:eastAsia="zh-CN"/>
        </w:rPr>
        <w:tab/>
        <w:t>resolve the location area to the involved SGSN(s)/MME(s) by local configuration;</w:t>
      </w:r>
    </w:p>
    <w:p w:rsidR="00CB0DD7" w:rsidRPr="000A0A5F" w:rsidRDefault="00CB0DD7">
      <w:pPr>
        <w:pStyle w:val="B10"/>
        <w:rPr>
          <w:lang w:eastAsia="zh-CN"/>
        </w:rPr>
      </w:pPr>
      <w:r w:rsidRPr="000A0A5F">
        <w:rPr>
          <w:lang w:eastAsia="zh-CN"/>
        </w:rPr>
        <w:t>-</w:t>
      </w:r>
      <w:r w:rsidRPr="000A0A5F">
        <w:rPr>
          <w:lang w:eastAsia="zh-CN"/>
        </w:rPr>
        <w:tab/>
        <w:t>interact with the HSS via the S6t interface as specified in 3GPP</w:t>
      </w:r>
      <w:r w:rsidRPr="000A0A5F">
        <w:rPr>
          <w:lang w:val="en-US" w:eastAsia="zh-CN"/>
        </w:rPr>
        <w:t> </w:t>
      </w:r>
      <w:r w:rsidRPr="000A0A5F">
        <w:rPr>
          <w:lang w:eastAsia="zh-CN"/>
        </w:rPr>
        <w:t>TS 29.336 [11] if the External Group ID(s) is included; and</w:t>
      </w:r>
    </w:p>
    <w:p w:rsidR="00CB0DD7" w:rsidRPr="000A0A5F" w:rsidRDefault="00CB0DD7">
      <w:pPr>
        <w:pStyle w:val="B10"/>
        <w:rPr>
          <w:lang w:eastAsia="zh-CN"/>
        </w:rPr>
      </w:pPr>
      <w:r w:rsidRPr="000A0A5F">
        <w:rPr>
          <w:lang w:eastAsia="zh-CN"/>
        </w:rPr>
        <w:t>-</w:t>
      </w:r>
      <w:r w:rsidRPr="000A0A5F">
        <w:rPr>
          <w:lang w:eastAsia="zh-CN"/>
        </w:rPr>
        <w:tab/>
        <w:t>interact with the SGSN(s)/MME(s) via the T6a/b inteface as specified in 3GPP TS 29.128 [12].</w:t>
      </w:r>
    </w:p>
    <w:p w:rsidR="00CB0DD7" w:rsidRPr="000A0A5F" w:rsidRDefault="00CB0DD7">
      <w:pPr>
        <w:pStyle w:val="NO"/>
        <w:rPr>
          <w:noProof/>
          <w:lang w:eastAsia="zh-CN"/>
        </w:rPr>
      </w:pPr>
      <w:r w:rsidRPr="000A0A5F">
        <w:t>NOTE:</w:t>
      </w:r>
      <w:r w:rsidRPr="000A0A5F">
        <w:rPr>
          <w:lang w:val="en-US"/>
        </w:rPr>
        <w:tab/>
        <w:t>The SCEF uses local configuration to resolve the involved SGSN(s)/MME(s) if the location area is not received.</w:t>
      </w:r>
    </w:p>
    <w:p w:rsidR="00CB0DD7" w:rsidRPr="000A0A5F" w:rsidRDefault="00CB0DD7">
      <w:r w:rsidRPr="000A0A5F">
        <w:rPr>
          <w:lang w:eastAsia="zh-CN"/>
        </w:rPr>
        <w:t xml:space="preserve">After collecting responses from the SGSN(s)/MME(s), </w:t>
      </w:r>
      <w:r w:rsidRPr="000A0A5F">
        <w:t xml:space="preserve">if the SCEF does not receive any successful response from the involved SGSN(s)/MME(s), the SCEF shall respond to the SCS/AS with a corresponding failure code as described in clause 5.2.6; otherwise </w:t>
      </w:r>
      <w:r w:rsidRPr="000A0A5F">
        <w:rPr>
          <w:lang w:eastAsia="zh-CN"/>
        </w:rPr>
        <w:t>the SCEF should send a response with 200 OK status code to acknowledge the SCS/AS with one aggregated report in the requested area</w:t>
      </w:r>
      <w:r w:rsidRPr="000A0A5F">
        <w:t xml:space="preserve"> by including </w:t>
      </w:r>
      <w:r w:rsidRPr="000A0A5F">
        <w:rPr>
          <w:lang w:val="en-US"/>
        </w:rPr>
        <w:t xml:space="preserve">the total count of the number of UEs in the </w:t>
      </w:r>
      <w:r w:rsidRPr="000A0A5F">
        <w:t>"</w:t>
      </w:r>
      <w:r w:rsidRPr="000A0A5F">
        <w:rPr>
          <w:lang w:eastAsia="zh-CN"/>
        </w:rPr>
        <w:t>ueCount</w:t>
      </w:r>
      <w:r w:rsidRPr="000A0A5F">
        <w:t xml:space="preserve">" </w:t>
      </w:r>
      <w:r w:rsidRPr="000A0A5F">
        <w:rPr>
          <w:lang w:val="en-US"/>
        </w:rPr>
        <w:t>attribute and the External Identifier(s) (if available) or the MSISDN(s) (if available) associated with the External Group ID</w:t>
      </w:r>
      <w:r w:rsidRPr="000A0A5F">
        <w:rPr>
          <w:lang w:eastAsia="zh-CN"/>
        </w:rPr>
        <w:t>.</w:t>
      </w:r>
    </w:p>
    <w:p w:rsidR="00CB0DD7" w:rsidRPr="000A0A5F" w:rsidRDefault="00CB0DD7">
      <w:pPr>
        <w:pStyle w:val="NO"/>
        <w:rPr>
          <w:rFonts w:hint="eastAsia"/>
          <w:noProof/>
          <w:lang w:eastAsia="zh-CN"/>
        </w:rPr>
      </w:pPr>
      <w:r w:rsidRPr="000A0A5F">
        <w:t>NOTE:</w:t>
      </w:r>
      <w:r w:rsidRPr="000A0A5F">
        <w:rPr>
          <w:lang w:val="en-US"/>
        </w:rPr>
        <w:tab/>
        <w:t xml:space="preserve">It is possible that the number of UEs does not reflect the actual number of UEs in the designated area (e.g. some SGSN(s)/MME(s) do not respond successfully). </w:t>
      </w:r>
      <w:r w:rsidRPr="000A0A5F">
        <w:rPr>
          <w:noProof/>
          <w:lang w:eastAsia="zh-CN"/>
        </w:rPr>
        <w:t xml:space="preserve">The SCEF still provides the result to the SCS/AS if at least one SGSN/MME returns a </w:t>
      </w:r>
      <w:r w:rsidRPr="000A0A5F">
        <w:t>successful response.</w:t>
      </w:r>
    </w:p>
    <w:p w:rsidR="00CB0DD7" w:rsidRPr="000A0A5F" w:rsidRDefault="00CB0DD7">
      <w:pPr>
        <w:pStyle w:val="Heading5"/>
      </w:pPr>
      <w:bookmarkStart w:id="296" w:name="_Toc11247197"/>
      <w:bookmarkStart w:id="297" w:name="_Toc27044313"/>
      <w:bookmarkStart w:id="298" w:name="_Toc36033355"/>
      <w:bookmarkStart w:id="299" w:name="_Toc45131485"/>
      <w:bookmarkStart w:id="300" w:name="_Toc49775770"/>
      <w:bookmarkStart w:id="301" w:name="_Toc51746690"/>
      <w:bookmarkStart w:id="302" w:name="_Toc66360232"/>
      <w:bookmarkStart w:id="303" w:name="_Toc68104737"/>
      <w:bookmarkStart w:id="304" w:name="_Toc74755366"/>
      <w:bookmarkStart w:id="305" w:name="_Toc105674221"/>
      <w:bookmarkStart w:id="306" w:name="_Toc130502254"/>
      <w:bookmarkStart w:id="307" w:name="_Toc153625033"/>
      <w:r w:rsidRPr="000A0A5F">
        <w:t>4.4.2.2.4</w:t>
      </w:r>
      <w:r w:rsidRPr="000A0A5F">
        <w:tab/>
        <w:t>Monitoring Events Configuration via PCRF</w:t>
      </w:r>
      <w:bookmarkEnd w:id="296"/>
      <w:bookmarkEnd w:id="297"/>
      <w:bookmarkEnd w:id="298"/>
      <w:bookmarkEnd w:id="299"/>
      <w:bookmarkEnd w:id="300"/>
      <w:bookmarkEnd w:id="301"/>
      <w:bookmarkEnd w:id="302"/>
      <w:bookmarkEnd w:id="303"/>
      <w:bookmarkEnd w:id="304"/>
      <w:bookmarkEnd w:id="305"/>
      <w:bookmarkEnd w:id="306"/>
      <w:bookmarkEnd w:id="307"/>
    </w:p>
    <w:p w:rsidR="00CB0DD7" w:rsidRPr="000A0A5F" w:rsidRDefault="00CB0DD7">
      <w:pPr>
        <w:pStyle w:val="Heading6"/>
      </w:pPr>
      <w:bookmarkStart w:id="308" w:name="_Toc11247198"/>
      <w:bookmarkStart w:id="309" w:name="_Toc27044314"/>
      <w:bookmarkStart w:id="310" w:name="_Toc36033356"/>
      <w:bookmarkStart w:id="311" w:name="_Toc45131486"/>
      <w:bookmarkStart w:id="312" w:name="_Toc49775771"/>
      <w:bookmarkStart w:id="313" w:name="_Toc51746691"/>
      <w:bookmarkStart w:id="314" w:name="_Toc66360233"/>
      <w:bookmarkStart w:id="315" w:name="_Toc68104738"/>
      <w:bookmarkStart w:id="316" w:name="_Toc74755367"/>
      <w:bookmarkStart w:id="317" w:name="_Toc105674222"/>
      <w:bookmarkStart w:id="318" w:name="_Toc130502255"/>
      <w:bookmarkStart w:id="319" w:name="_Toc153625034"/>
      <w:r w:rsidRPr="000A0A5F">
        <w:t>4.</w:t>
      </w:r>
      <w:r w:rsidRPr="000A0A5F">
        <w:rPr>
          <w:lang w:eastAsia="zh-CN"/>
        </w:rPr>
        <w:t>4</w:t>
      </w:r>
      <w:r w:rsidRPr="000A0A5F">
        <w:t>.2.2.4.1</w:t>
      </w:r>
      <w:r w:rsidRPr="000A0A5F">
        <w:tab/>
        <w:t>General</w:t>
      </w:r>
      <w:bookmarkEnd w:id="308"/>
      <w:bookmarkEnd w:id="309"/>
      <w:bookmarkEnd w:id="310"/>
      <w:bookmarkEnd w:id="311"/>
      <w:bookmarkEnd w:id="312"/>
      <w:bookmarkEnd w:id="313"/>
      <w:bookmarkEnd w:id="314"/>
      <w:bookmarkEnd w:id="315"/>
      <w:bookmarkEnd w:id="316"/>
      <w:bookmarkEnd w:id="317"/>
      <w:bookmarkEnd w:id="318"/>
      <w:bookmarkEnd w:id="319"/>
    </w:p>
    <w:p w:rsidR="00CB0DD7" w:rsidRPr="000A0A5F" w:rsidRDefault="00CB0DD7">
      <w:pPr>
        <w:rPr>
          <w:lang w:eastAsia="zh-CN"/>
        </w:rPr>
      </w:pPr>
      <w:r w:rsidRPr="000A0A5F">
        <w:t xml:space="preserve">The following monitoring events: </w:t>
      </w:r>
      <w:r w:rsidRPr="000A0A5F">
        <w:rPr>
          <w:lang w:eastAsia="zh-CN"/>
        </w:rPr>
        <w:t xml:space="preserve">the location reporting event </w:t>
      </w:r>
      <w:r w:rsidRPr="000A0A5F">
        <w:t>and communication failure event are applicable for the monitoring event configuration via PCRF for an individual UE</w:t>
      </w:r>
      <w:r w:rsidRPr="000A0A5F">
        <w:rPr>
          <w:rFonts w:hint="eastAsia"/>
          <w:lang w:eastAsia="zh-CN"/>
        </w:rPr>
        <w:t xml:space="preserve">. </w:t>
      </w:r>
    </w:p>
    <w:p w:rsidR="008754D8" w:rsidRDefault="008754D8" w:rsidP="00750386">
      <w:pPr>
        <w:pStyle w:val="NO"/>
        <w:rPr>
          <w:lang w:eastAsia="zh-CN"/>
        </w:rPr>
      </w:pPr>
      <w:r>
        <w:t>NOTE:</w:t>
      </w:r>
      <w:r>
        <w:tab/>
      </w:r>
      <w:r>
        <w:rPr>
          <w:lang w:eastAsia="zh-CN"/>
        </w:rPr>
        <w:t xml:space="preserve">If monitoring event configuration via PCRF is used for a subscription resource, the </w:t>
      </w:r>
      <w:r>
        <w:rPr>
          <w:rFonts w:cs="Arial"/>
        </w:rPr>
        <w:t>Subscription_modification feature cannot be supported.</w:t>
      </w:r>
    </w:p>
    <w:p w:rsidR="00CB0DD7" w:rsidRPr="000A0A5F" w:rsidRDefault="00CB0DD7">
      <w:pPr>
        <w:rPr>
          <w:lang w:eastAsia="zh-CN"/>
        </w:rPr>
      </w:pPr>
      <w:r w:rsidRPr="000A0A5F">
        <w:t xml:space="preserve">Only </w:t>
      </w:r>
      <w:r w:rsidRPr="000A0A5F">
        <w:rPr>
          <w:lang w:eastAsia="zh-CN"/>
        </w:rPr>
        <w:t xml:space="preserve">the location reporting event </w:t>
      </w:r>
      <w:r w:rsidRPr="000A0A5F">
        <w:t>is applicabe for the monitoring event configuration via PCRF for a group of UEs</w:t>
      </w:r>
      <w:r w:rsidRPr="000A0A5F">
        <w:rPr>
          <w:rFonts w:hint="eastAsia"/>
          <w:lang w:eastAsia="zh-CN"/>
        </w:rPr>
        <w:t>.</w:t>
      </w:r>
    </w:p>
    <w:p w:rsidR="00CB0DD7" w:rsidRPr="000A0A5F" w:rsidRDefault="00CB0DD7">
      <w:r w:rsidRPr="000A0A5F">
        <w:t>Only one-time reporting is supported for the monitoring event configuration via PCRF.</w:t>
      </w:r>
    </w:p>
    <w:p w:rsidR="00CB0DD7" w:rsidRPr="000A0A5F" w:rsidRDefault="00CB0DD7">
      <w:pPr>
        <w:rPr>
          <w:lang w:eastAsia="zh-CN"/>
        </w:rPr>
      </w:pPr>
      <w:r w:rsidRPr="000A0A5F">
        <w:rPr>
          <w:lang w:eastAsia="zh-CN"/>
        </w:rPr>
        <w:t xml:space="preserve">HTTP PUT is not supported for the monitoring event configuration via PCRF. If it is received, the SCEF shall reject the HTTP PUT message with 403 Forbidden during monitoring and may </w:t>
      </w:r>
      <w:r w:rsidRPr="000A0A5F">
        <w:t>indicate the "OPERATION</w:t>
      </w:r>
      <w:r w:rsidRPr="000A0A5F">
        <w:rPr>
          <w:noProof/>
          <w:lang w:eastAsia="zh-CN"/>
        </w:rPr>
        <w:t>_PROHIBITED</w:t>
      </w:r>
      <w:r w:rsidRPr="000A0A5F">
        <w:t>" error in the "cause" attribute of the "ProblemDetails" structure</w:t>
      </w:r>
      <w:r w:rsidRPr="000A0A5F">
        <w:rPr>
          <w:lang w:eastAsia="zh-CN"/>
        </w:rPr>
        <w:t>.</w:t>
      </w:r>
    </w:p>
    <w:p w:rsidR="00CB0DD7" w:rsidRPr="000A0A5F" w:rsidRDefault="00CB0DD7">
      <w:pPr>
        <w:pStyle w:val="Heading6"/>
        <w:rPr>
          <w:lang w:eastAsia="zh-CN"/>
        </w:rPr>
      </w:pPr>
      <w:bookmarkStart w:id="320" w:name="_Toc11247199"/>
      <w:bookmarkStart w:id="321" w:name="_Toc27044315"/>
      <w:bookmarkStart w:id="322" w:name="_Toc36033357"/>
      <w:bookmarkStart w:id="323" w:name="_Toc45131487"/>
      <w:bookmarkStart w:id="324" w:name="_Toc49775772"/>
      <w:bookmarkStart w:id="325" w:name="_Toc51746692"/>
      <w:bookmarkStart w:id="326" w:name="_Toc66360234"/>
      <w:bookmarkStart w:id="327" w:name="_Toc68104739"/>
      <w:bookmarkStart w:id="328" w:name="_Toc74755368"/>
      <w:bookmarkStart w:id="329" w:name="_Toc105674223"/>
      <w:bookmarkStart w:id="330" w:name="_Toc130502256"/>
      <w:bookmarkStart w:id="331" w:name="_Toc153625035"/>
      <w:r w:rsidRPr="000A0A5F">
        <w:t>4.</w:t>
      </w:r>
      <w:r w:rsidRPr="000A0A5F">
        <w:rPr>
          <w:lang w:eastAsia="zh-CN"/>
        </w:rPr>
        <w:t>4</w:t>
      </w:r>
      <w:r w:rsidRPr="000A0A5F">
        <w:t>.2.2.4.2</w:t>
      </w:r>
      <w:r w:rsidRPr="000A0A5F">
        <w:tab/>
        <w:t>Configuration Request for an individual UE</w:t>
      </w:r>
      <w:bookmarkEnd w:id="320"/>
      <w:bookmarkEnd w:id="321"/>
      <w:bookmarkEnd w:id="322"/>
      <w:bookmarkEnd w:id="323"/>
      <w:bookmarkEnd w:id="324"/>
      <w:bookmarkEnd w:id="325"/>
      <w:bookmarkEnd w:id="326"/>
      <w:bookmarkEnd w:id="327"/>
      <w:bookmarkEnd w:id="328"/>
      <w:bookmarkEnd w:id="329"/>
      <w:bookmarkEnd w:id="330"/>
      <w:bookmarkEnd w:id="331"/>
    </w:p>
    <w:p w:rsidR="00CB0DD7" w:rsidRPr="000A0A5F" w:rsidRDefault="00CB0DD7">
      <w:pPr>
        <w:rPr>
          <w:lang w:eastAsia="zh-CN"/>
        </w:rPr>
      </w:pPr>
      <w:r w:rsidRPr="000A0A5F">
        <w:rPr>
          <w:rFonts w:hint="eastAsia"/>
          <w:lang w:eastAsia="zh-CN"/>
        </w:rPr>
        <w:t xml:space="preserve">Upon receipt </w:t>
      </w:r>
      <w:r w:rsidRPr="000A0A5F">
        <w:rPr>
          <w:lang w:eastAsia="zh-CN"/>
        </w:rPr>
        <w:t>of an HTTP POST request from the SCS/AS</w:t>
      </w:r>
      <w:r w:rsidRPr="000A0A5F">
        <w:rPr>
          <w:noProof/>
          <w:lang w:val="en-US" w:eastAsia="zh-CN"/>
        </w:rPr>
        <w:t xml:space="preserve"> for an individual UE</w:t>
      </w:r>
      <w:r w:rsidRPr="000A0A5F">
        <w:rPr>
          <w:lang w:eastAsia="zh-CN"/>
        </w:rPr>
        <w:t>, the SCEF shall:</w:t>
      </w:r>
    </w:p>
    <w:p w:rsidR="00CB0DD7" w:rsidRPr="000A0A5F" w:rsidRDefault="00CB0DD7">
      <w:pPr>
        <w:pStyle w:val="B10"/>
        <w:rPr>
          <w:lang w:eastAsia="zh-CN"/>
        </w:rPr>
      </w:pPr>
      <w:r w:rsidRPr="000A0A5F">
        <w:rPr>
          <w:lang w:eastAsia="zh-CN"/>
        </w:rPr>
        <w:t>-</w:t>
      </w:r>
      <w:r w:rsidRPr="000A0A5F">
        <w:rPr>
          <w:lang w:eastAsia="zh-CN"/>
        </w:rPr>
        <w:tab/>
        <w:t>interact with the PCRF via the Rx inteface by using an existing AF session or establishing a new AF session as specified in 3GPP</w:t>
      </w:r>
      <w:r w:rsidRPr="000A0A5F">
        <w:rPr>
          <w:lang w:val="en-US" w:eastAsia="zh-CN"/>
        </w:rPr>
        <w:t> </w:t>
      </w:r>
      <w:r w:rsidRPr="000A0A5F">
        <w:rPr>
          <w:lang w:eastAsia="zh-CN"/>
        </w:rPr>
        <w:t>TS</w:t>
      </w:r>
      <w:r w:rsidRPr="000A0A5F">
        <w:rPr>
          <w:lang w:val="en-US" w:eastAsia="zh-CN"/>
        </w:rPr>
        <w:t> </w:t>
      </w:r>
      <w:r w:rsidRPr="000A0A5F">
        <w:rPr>
          <w:lang w:eastAsia="zh-CN"/>
        </w:rPr>
        <w:t>29.214</w:t>
      </w:r>
      <w:r w:rsidRPr="000A0A5F">
        <w:rPr>
          <w:lang w:val="en-US" w:eastAsia="zh-CN"/>
        </w:rPr>
        <w:t> </w:t>
      </w:r>
      <w:r w:rsidRPr="000A0A5F">
        <w:rPr>
          <w:lang w:eastAsia="zh-CN"/>
        </w:rPr>
        <w:t>[10];</w:t>
      </w:r>
    </w:p>
    <w:p w:rsidR="00CB0DD7" w:rsidRPr="000A0A5F" w:rsidRDefault="00CB0DD7">
      <w:pPr>
        <w:pStyle w:val="NO"/>
        <w:rPr>
          <w:noProof/>
        </w:rPr>
      </w:pPr>
      <w:r w:rsidRPr="000A0A5F">
        <w:rPr>
          <w:noProof/>
        </w:rPr>
        <w:t>NOTE 1:</w:t>
      </w:r>
      <w:r w:rsidRPr="000A0A5F">
        <w:rPr>
          <w:noProof/>
        </w:rPr>
        <w:tab/>
        <w:t>The SCEF can derive the service information over the Rx interface based on SCS/AS ID for communication failure event.</w:t>
      </w:r>
    </w:p>
    <w:p w:rsidR="00CB0DD7" w:rsidRPr="000A0A5F" w:rsidRDefault="00CB0DD7">
      <w:pPr>
        <w:pStyle w:val="B10"/>
        <w:rPr>
          <w:lang w:eastAsia="zh-CN"/>
        </w:rPr>
      </w:pPr>
      <w:r w:rsidRPr="000A0A5F">
        <w:rPr>
          <w:lang w:eastAsia="zh-CN"/>
        </w:rPr>
        <w:t>-</w:t>
      </w:r>
      <w:r w:rsidRPr="000A0A5F">
        <w:rPr>
          <w:lang w:eastAsia="zh-CN"/>
        </w:rPr>
        <w:tab/>
        <w:t>after receiving the AAA message from the PCRF, create a resource which represents the monitoring event configuration addressed by a URI that contains the SCS/AS identifier and an SCEF-created subscription identifier; and</w:t>
      </w:r>
    </w:p>
    <w:p w:rsidR="00CB0DD7" w:rsidRPr="000A0A5F" w:rsidRDefault="00CB0DD7">
      <w:pPr>
        <w:pStyle w:val="B10"/>
        <w:rPr>
          <w:lang w:eastAsia="zh-CN"/>
        </w:rPr>
      </w:pPr>
      <w:r w:rsidRPr="000A0A5F">
        <w:rPr>
          <w:lang w:eastAsia="zh-CN"/>
        </w:rPr>
        <w:t>-</w:t>
      </w:r>
      <w:r w:rsidRPr="000A0A5F">
        <w:rPr>
          <w:lang w:eastAsia="zh-CN"/>
        </w:rPr>
        <w:tab/>
        <w:t>send a corresponding status code to acknowledge the SCS/AS of the successful processing of the request in the HTTP response message.</w:t>
      </w:r>
    </w:p>
    <w:p w:rsidR="00CB0DD7" w:rsidRPr="000A0A5F" w:rsidRDefault="00CB0DD7">
      <w:pPr>
        <w:rPr>
          <w:lang w:eastAsia="zh-CN"/>
        </w:rPr>
      </w:pPr>
      <w:r w:rsidRPr="000A0A5F">
        <w:rPr>
          <w:lang w:eastAsia="zh-CN"/>
        </w:rPr>
        <w:t>Then the SCEF shall wait for the reporting from the PCRF as specified in 3GPP</w:t>
      </w:r>
      <w:r w:rsidRPr="000A0A5F">
        <w:rPr>
          <w:lang w:val="en-US" w:eastAsia="zh-CN"/>
        </w:rPr>
        <w:t> </w:t>
      </w:r>
      <w:r w:rsidRPr="000A0A5F">
        <w:rPr>
          <w:lang w:eastAsia="zh-CN"/>
        </w:rPr>
        <w:t>TS</w:t>
      </w:r>
      <w:r w:rsidRPr="000A0A5F">
        <w:rPr>
          <w:lang w:val="en-US" w:eastAsia="zh-CN"/>
        </w:rPr>
        <w:t> </w:t>
      </w:r>
      <w:r w:rsidRPr="000A0A5F">
        <w:rPr>
          <w:lang w:eastAsia="zh-CN"/>
        </w:rPr>
        <w:t>29.214</w:t>
      </w:r>
      <w:r w:rsidRPr="000A0A5F">
        <w:rPr>
          <w:lang w:val="en-US" w:eastAsia="zh-CN"/>
        </w:rPr>
        <w:t> </w:t>
      </w:r>
      <w:r w:rsidRPr="000A0A5F">
        <w:rPr>
          <w:lang w:eastAsia="zh-CN"/>
        </w:rPr>
        <w:t>[10].</w:t>
      </w:r>
    </w:p>
    <w:p w:rsidR="00CB0DD7" w:rsidRPr="000A0A5F" w:rsidRDefault="00CB0DD7">
      <w:pPr>
        <w:pStyle w:val="NO"/>
        <w:rPr>
          <w:noProof/>
        </w:rPr>
      </w:pPr>
      <w:r w:rsidRPr="000A0A5F">
        <w:rPr>
          <w:noProof/>
        </w:rPr>
        <w:t>NOTE 2:</w:t>
      </w:r>
      <w:r w:rsidRPr="000A0A5F">
        <w:rPr>
          <w:noProof/>
        </w:rPr>
        <w:tab/>
        <w:t xml:space="preserve">Different events can be reported in different messages according to </w:t>
      </w:r>
      <w:r w:rsidRPr="000A0A5F">
        <w:rPr>
          <w:lang w:eastAsia="zh-CN"/>
        </w:rPr>
        <w:t>3GPP</w:t>
      </w:r>
      <w:r w:rsidRPr="000A0A5F">
        <w:rPr>
          <w:lang w:val="en-US" w:eastAsia="zh-CN"/>
        </w:rPr>
        <w:t> </w:t>
      </w:r>
      <w:r w:rsidRPr="000A0A5F">
        <w:rPr>
          <w:lang w:eastAsia="zh-CN"/>
        </w:rPr>
        <w:t>TS</w:t>
      </w:r>
      <w:r w:rsidRPr="000A0A5F">
        <w:rPr>
          <w:lang w:val="en-US" w:eastAsia="zh-CN"/>
        </w:rPr>
        <w:t> </w:t>
      </w:r>
      <w:r w:rsidRPr="000A0A5F">
        <w:rPr>
          <w:lang w:eastAsia="zh-CN"/>
        </w:rPr>
        <w:t>29.214</w:t>
      </w:r>
      <w:r w:rsidRPr="000A0A5F">
        <w:rPr>
          <w:lang w:val="en-US" w:eastAsia="zh-CN"/>
        </w:rPr>
        <w:t> </w:t>
      </w:r>
      <w:r w:rsidRPr="000A0A5F">
        <w:rPr>
          <w:lang w:eastAsia="zh-CN"/>
        </w:rPr>
        <w:t>[10]</w:t>
      </w:r>
      <w:r w:rsidRPr="000A0A5F">
        <w:rPr>
          <w:noProof/>
        </w:rPr>
        <w:t>, e.g. STR/RAR for communication failure.</w:t>
      </w:r>
    </w:p>
    <w:p w:rsidR="00CB0DD7" w:rsidRPr="000A0A5F" w:rsidRDefault="00CB0DD7">
      <w:pPr>
        <w:rPr>
          <w:noProof/>
          <w:lang w:eastAsia="zh-CN"/>
        </w:rPr>
      </w:pPr>
      <w:r w:rsidRPr="000A0A5F">
        <w:rPr>
          <w:noProof/>
          <w:lang w:eastAsia="zh-CN"/>
        </w:rPr>
        <w:t>During configuration resource deletion, the SCEF shall also terminate the AF session if it was established and used only for event monitoring.</w:t>
      </w:r>
    </w:p>
    <w:p w:rsidR="00CB0DD7" w:rsidRPr="000A0A5F" w:rsidRDefault="00CB0DD7">
      <w:pPr>
        <w:pStyle w:val="Heading6"/>
        <w:rPr>
          <w:lang w:eastAsia="zh-CN"/>
        </w:rPr>
      </w:pPr>
      <w:bookmarkStart w:id="332" w:name="_Toc11247200"/>
      <w:bookmarkStart w:id="333" w:name="_Toc27044316"/>
      <w:bookmarkStart w:id="334" w:name="_Toc36033358"/>
      <w:bookmarkStart w:id="335" w:name="_Toc45131488"/>
      <w:bookmarkStart w:id="336" w:name="_Toc49775773"/>
      <w:bookmarkStart w:id="337" w:name="_Toc51746693"/>
      <w:bookmarkStart w:id="338" w:name="_Toc66360235"/>
      <w:bookmarkStart w:id="339" w:name="_Toc68104740"/>
      <w:bookmarkStart w:id="340" w:name="_Toc74755369"/>
      <w:bookmarkStart w:id="341" w:name="_Toc105674224"/>
      <w:bookmarkStart w:id="342" w:name="_Toc130502257"/>
      <w:bookmarkStart w:id="343" w:name="_Toc153625036"/>
      <w:r w:rsidRPr="000A0A5F">
        <w:t>4.</w:t>
      </w:r>
      <w:r w:rsidRPr="000A0A5F">
        <w:rPr>
          <w:lang w:eastAsia="zh-CN"/>
        </w:rPr>
        <w:t>4</w:t>
      </w:r>
      <w:r w:rsidRPr="000A0A5F">
        <w:t>.2.2.4.3</w:t>
      </w:r>
      <w:r w:rsidRPr="000A0A5F">
        <w:tab/>
        <w:t>Configuration Request for a group of UEs</w:t>
      </w:r>
      <w:bookmarkEnd w:id="332"/>
      <w:bookmarkEnd w:id="333"/>
      <w:bookmarkEnd w:id="334"/>
      <w:bookmarkEnd w:id="335"/>
      <w:bookmarkEnd w:id="336"/>
      <w:bookmarkEnd w:id="337"/>
      <w:bookmarkEnd w:id="338"/>
      <w:bookmarkEnd w:id="339"/>
      <w:bookmarkEnd w:id="340"/>
      <w:bookmarkEnd w:id="341"/>
      <w:bookmarkEnd w:id="342"/>
      <w:bookmarkEnd w:id="343"/>
    </w:p>
    <w:p w:rsidR="00CB0DD7" w:rsidRPr="000A0A5F" w:rsidRDefault="00CB0DD7">
      <w:pPr>
        <w:rPr>
          <w:lang w:eastAsia="zh-CN"/>
        </w:rPr>
      </w:pPr>
      <w:r w:rsidRPr="000A0A5F">
        <w:rPr>
          <w:rFonts w:hint="eastAsia"/>
          <w:lang w:eastAsia="zh-CN"/>
        </w:rPr>
        <w:t xml:space="preserve">Upon receipt </w:t>
      </w:r>
      <w:r w:rsidRPr="000A0A5F">
        <w:rPr>
          <w:lang w:eastAsia="zh-CN"/>
        </w:rPr>
        <w:t>of an HTTP POST request from the SCS/AS</w:t>
      </w:r>
      <w:r w:rsidRPr="000A0A5F">
        <w:rPr>
          <w:noProof/>
          <w:lang w:val="en-US" w:eastAsia="zh-CN"/>
        </w:rPr>
        <w:t xml:space="preserve"> for a group of UEs</w:t>
      </w:r>
      <w:r w:rsidRPr="000A0A5F">
        <w:rPr>
          <w:lang w:eastAsia="zh-CN"/>
        </w:rPr>
        <w:t>, the SCEF shall:</w:t>
      </w:r>
    </w:p>
    <w:p w:rsidR="00CB0DD7" w:rsidRPr="000A0A5F" w:rsidRDefault="00CB0DD7">
      <w:pPr>
        <w:pStyle w:val="B10"/>
        <w:rPr>
          <w:lang w:eastAsia="zh-CN"/>
        </w:rPr>
      </w:pPr>
      <w:r w:rsidRPr="000A0A5F">
        <w:rPr>
          <w:lang w:eastAsia="zh-CN"/>
        </w:rPr>
        <w:t>-</w:t>
      </w:r>
      <w:r w:rsidRPr="000A0A5F">
        <w:rPr>
          <w:lang w:eastAsia="zh-CN"/>
        </w:rPr>
        <w:tab/>
        <w:t>interact with all PCRFs in the same PLMN via Nta application of Nt interface as specified in 3GPP</w:t>
      </w:r>
      <w:r w:rsidRPr="000A0A5F">
        <w:rPr>
          <w:lang w:val="en-US" w:eastAsia="zh-CN"/>
        </w:rPr>
        <w:t> </w:t>
      </w:r>
      <w:r w:rsidRPr="000A0A5F">
        <w:rPr>
          <w:lang w:eastAsia="zh-CN"/>
        </w:rPr>
        <w:t>TS</w:t>
      </w:r>
      <w:r w:rsidRPr="000A0A5F">
        <w:rPr>
          <w:lang w:val="en-US" w:eastAsia="zh-CN"/>
        </w:rPr>
        <w:t> </w:t>
      </w:r>
      <w:r w:rsidRPr="000A0A5F">
        <w:rPr>
          <w:lang w:eastAsia="zh-CN"/>
        </w:rPr>
        <w:t>29.154</w:t>
      </w:r>
      <w:r w:rsidRPr="000A0A5F">
        <w:rPr>
          <w:lang w:val="en-US" w:eastAsia="zh-CN"/>
        </w:rPr>
        <w:t> </w:t>
      </w:r>
      <w:r w:rsidRPr="000A0A5F">
        <w:rPr>
          <w:lang w:eastAsia="zh-CN"/>
        </w:rPr>
        <w:t xml:space="preserve">[9]; </w:t>
      </w:r>
    </w:p>
    <w:p w:rsidR="00CB0DD7" w:rsidRPr="000A0A5F" w:rsidRDefault="00CB0DD7">
      <w:pPr>
        <w:pStyle w:val="B10"/>
        <w:rPr>
          <w:lang w:eastAsia="zh-CN"/>
        </w:rPr>
      </w:pPr>
      <w:r w:rsidRPr="000A0A5F">
        <w:rPr>
          <w:lang w:eastAsia="zh-CN"/>
        </w:rPr>
        <w:t>-</w:t>
      </w:r>
      <w:r w:rsidRPr="000A0A5F">
        <w:rPr>
          <w:lang w:eastAsia="zh-CN"/>
        </w:rPr>
        <w:tab/>
        <w:t>after collecting ECA message from all PCRFs, create a resource which represents the monitoring event configuration addressed by a URI that contains the SCS/AS identifier and an SCEF-created subscription identifier; and</w:t>
      </w:r>
    </w:p>
    <w:p w:rsidR="00CB0DD7" w:rsidRPr="000A0A5F" w:rsidRDefault="00CB0DD7">
      <w:pPr>
        <w:pStyle w:val="B10"/>
        <w:rPr>
          <w:lang w:eastAsia="zh-CN"/>
        </w:rPr>
      </w:pPr>
      <w:r w:rsidRPr="000A0A5F">
        <w:rPr>
          <w:lang w:eastAsia="zh-CN"/>
        </w:rPr>
        <w:t>-</w:t>
      </w:r>
      <w:r w:rsidRPr="000A0A5F">
        <w:rPr>
          <w:lang w:eastAsia="zh-CN"/>
        </w:rPr>
        <w:tab/>
        <w:t>send a corresponding status code to acknowledge the SCS/AS of the successful processing of the request in the HTTP response message.</w:t>
      </w:r>
    </w:p>
    <w:p w:rsidR="00CB0DD7" w:rsidRPr="000A0A5F" w:rsidRDefault="00CB0DD7">
      <w:pPr>
        <w:rPr>
          <w:rFonts w:hint="eastAsia"/>
          <w:lang w:eastAsia="zh-CN"/>
        </w:rPr>
      </w:pPr>
      <w:r w:rsidRPr="000A0A5F">
        <w:rPr>
          <w:lang w:eastAsia="zh-CN"/>
        </w:rPr>
        <w:t>Then the SCEF shall wait for the reporting from the PCRF(s) as specified in 3GPP</w:t>
      </w:r>
      <w:r w:rsidRPr="000A0A5F">
        <w:rPr>
          <w:lang w:val="en-US" w:eastAsia="zh-CN"/>
        </w:rPr>
        <w:t> </w:t>
      </w:r>
      <w:r w:rsidRPr="000A0A5F">
        <w:rPr>
          <w:lang w:eastAsia="zh-CN"/>
        </w:rPr>
        <w:t>TS</w:t>
      </w:r>
      <w:r w:rsidRPr="000A0A5F">
        <w:rPr>
          <w:lang w:val="en-US" w:eastAsia="zh-CN"/>
        </w:rPr>
        <w:t> </w:t>
      </w:r>
      <w:r w:rsidRPr="000A0A5F">
        <w:rPr>
          <w:lang w:eastAsia="zh-CN"/>
        </w:rPr>
        <w:t>29.154</w:t>
      </w:r>
      <w:r w:rsidRPr="000A0A5F">
        <w:rPr>
          <w:lang w:val="en-US" w:eastAsia="zh-CN"/>
        </w:rPr>
        <w:t> </w:t>
      </w:r>
      <w:r w:rsidRPr="000A0A5F">
        <w:rPr>
          <w:lang w:eastAsia="zh-CN"/>
        </w:rPr>
        <w:t>[9].</w:t>
      </w:r>
    </w:p>
    <w:p w:rsidR="00CB0DD7" w:rsidRPr="000A0A5F" w:rsidRDefault="00CB0DD7">
      <w:pPr>
        <w:pStyle w:val="Heading4"/>
        <w:rPr>
          <w:rFonts w:hint="eastAsia"/>
        </w:rPr>
      </w:pPr>
      <w:bookmarkStart w:id="344" w:name="_Toc11247201"/>
      <w:bookmarkStart w:id="345" w:name="_Toc27044317"/>
      <w:bookmarkStart w:id="346" w:name="_Toc36033359"/>
      <w:bookmarkStart w:id="347" w:name="_Toc45131489"/>
      <w:bookmarkStart w:id="348" w:name="_Toc49775774"/>
      <w:bookmarkStart w:id="349" w:name="_Toc51746694"/>
      <w:bookmarkStart w:id="350" w:name="_Toc66360236"/>
      <w:bookmarkStart w:id="351" w:name="_Toc68104741"/>
      <w:bookmarkStart w:id="352" w:name="_Toc74755370"/>
      <w:bookmarkStart w:id="353" w:name="_Toc105674225"/>
      <w:bookmarkStart w:id="354" w:name="_Toc130502258"/>
      <w:bookmarkStart w:id="355" w:name="_Toc153625037"/>
      <w:r w:rsidRPr="000A0A5F">
        <w:t>4.4.2.3</w:t>
      </w:r>
      <w:r w:rsidRPr="000A0A5F">
        <w:tab/>
        <w:t>Reporting of Monitoring Event Procedure</w:t>
      </w:r>
      <w:bookmarkEnd w:id="344"/>
      <w:bookmarkEnd w:id="345"/>
      <w:bookmarkEnd w:id="346"/>
      <w:bookmarkEnd w:id="347"/>
      <w:bookmarkEnd w:id="348"/>
      <w:bookmarkEnd w:id="349"/>
      <w:bookmarkEnd w:id="350"/>
      <w:bookmarkEnd w:id="351"/>
      <w:bookmarkEnd w:id="352"/>
      <w:bookmarkEnd w:id="353"/>
      <w:bookmarkEnd w:id="354"/>
      <w:bookmarkEnd w:id="355"/>
    </w:p>
    <w:p w:rsidR="00CB0DD7" w:rsidRPr="000A0A5F" w:rsidRDefault="00CB0DD7">
      <w:pPr>
        <w:rPr>
          <w:noProof/>
          <w:lang w:eastAsia="zh-CN"/>
        </w:rPr>
      </w:pPr>
      <w:r w:rsidRPr="000A0A5F">
        <w:rPr>
          <w:noProof/>
          <w:lang w:eastAsia="zh-CN"/>
        </w:rPr>
        <w:t>Upon receipt of a Monitoring Event Report from the HSS or the MME/SGSN as defined in clause 5.6.3 or clause </w:t>
      </w:r>
      <w:r w:rsidRPr="000A0A5F">
        <w:rPr>
          <w:noProof/>
          <w:lang w:val="en-US" w:eastAsia="zh-CN"/>
        </w:rPr>
        <w:t xml:space="preserve">5.6.8 of </w:t>
      </w:r>
      <w:r w:rsidRPr="000A0A5F">
        <w:rPr>
          <w:noProof/>
          <w:lang w:eastAsia="zh-CN"/>
        </w:rPr>
        <w:t>3GPP TS 23.682 [2]</w:t>
      </w:r>
      <w:r w:rsidRPr="000A0A5F">
        <w:rPr>
          <w:noProof/>
          <w:lang w:val="en-US" w:eastAsia="zh-CN"/>
        </w:rPr>
        <w:t xml:space="preserve">, from the PCRF as defined in clause 5.6.5 or from </w:t>
      </w:r>
      <w:r w:rsidRPr="000A0A5F">
        <w:rPr>
          <w:noProof/>
          <w:lang w:eastAsia="zh-CN"/>
        </w:rPr>
        <w:t xml:space="preserve">the IWK-SCEF as defined in clause 5.6.8 of 3GPP TS 23.682 [2], the </w:t>
      </w:r>
      <w:r w:rsidRPr="000A0A5F">
        <w:rPr>
          <w:noProof/>
          <w:lang w:val="en-US" w:eastAsia="zh-CN"/>
        </w:rPr>
        <w:t xml:space="preserve">SCEF </w:t>
      </w:r>
      <w:r w:rsidRPr="000A0A5F">
        <w:rPr>
          <w:noProof/>
          <w:lang w:eastAsia="zh-CN"/>
        </w:rPr>
        <w:t xml:space="preserve">shall determine the monitoring event subscription associated with the corresponding Monitoring Event Report. </w:t>
      </w:r>
    </w:p>
    <w:p w:rsidR="00CB0DD7" w:rsidRPr="000A0A5F" w:rsidRDefault="00CB0DD7">
      <w:r w:rsidRPr="000A0A5F">
        <w:t xml:space="preserve">If the </w:t>
      </w:r>
      <w:r w:rsidRPr="000A0A5F">
        <w:rPr>
          <w:noProof/>
          <w:lang w:eastAsia="zh-CN"/>
        </w:rPr>
        <w:t>monitoring event subscription</w:t>
      </w:r>
      <w:r w:rsidRPr="000A0A5F">
        <w:t xml:space="preserve"> refers to a Monitoring Event Configuration for a single UE or to a group-based Monitoring Event configuration, and no Group Reporting Guard Time was set, then the SCEF shall send an HTTP POST message including a link to the SCEF-created subscription resource and the received Monitoring Event Report to the identified destination. If the </w:t>
      </w:r>
      <w:r w:rsidRPr="000A0A5F">
        <w:rPr>
          <w:noProof/>
          <w:lang w:eastAsia="zh-CN"/>
        </w:rPr>
        <w:t>monitoring event subscription</w:t>
      </w:r>
      <w:r w:rsidRPr="000A0A5F">
        <w:t xml:space="preserve"> refers to a group-based Monitoring Event Configuration and Group Reporting Guard Time was provided during the Monitoring Event configuration procedure, then the SCEF shall accumulate all of the received Monitoring Event reports for the group of UEs until the Group Reporting Guard Time expires or the monitoring duration indicated by the property </w:t>
      </w:r>
      <w:r w:rsidRPr="000A0A5F">
        <w:rPr>
          <w:lang w:eastAsia="zh-CN"/>
        </w:rPr>
        <w:t>"</w:t>
      </w:r>
      <w:r w:rsidRPr="000A0A5F">
        <w:rPr>
          <w:rFonts w:cs="Arial" w:hint="eastAsia"/>
          <w:szCs w:val="18"/>
          <w:lang w:eastAsia="zh-CN"/>
        </w:rPr>
        <w:t>monitor</w:t>
      </w:r>
      <w:r w:rsidRPr="000A0A5F">
        <w:rPr>
          <w:rFonts w:cs="Arial"/>
          <w:szCs w:val="18"/>
          <w:lang w:eastAsia="zh-CN"/>
        </w:rPr>
        <w:t>ExpireTime"</w:t>
      </w:r>
      <w:r w:rsidRPr="000A0A5F">
        <w:t xml:space="preserve"> is reached. </w:t>
      </w:r>
    </w:p>
    <w:p w:rsidR="00CB0DD7" w:rsidRPr="000A0A5F" w:rsidRDefault="00CB0DD7">
      <w:r w:rsidRPr="000A0A5F">
        <w:t>Upon expiration of Group Reporting Guard Time or expiration of the monitoring duration, the SCEF shall send an HTTP POST message to the identified destination including a link to the SCEF-created subscription resource and the list of accumulated Monitoring Event Reports for each UE identified by either its External Identifier or MSISDN. The destination URL of the HTTP POST message is provided by the SCS/AS during the Monitoring Event Configuration procedure.</w:t>
      </w:r>
    </w:p>
    <w:p w:rsidR="00CB0DD7" w:rsidRPr="000A0A5F" w:rsidRDefault="00CB0DD7">
      <w:r w:rsidRPr="000A0A5F">
        <w:t xml:space="preserve">If the </w:t>
      </w:r>
      <w:r w:rsidRPr="000A0A5F">
        <w:rPr>
          <w:noProof/>
          <w:lang w:eastAsia="zh-CN"/>
        </w:rPr>
        <w:t>monitoring event subscription</w:t>
      </w:r>
      <w:r w:rsidRPr="000A0A5F">
        <w:t xml:space="preserve"> refers to a one-time monitoring request or a continuous monitoring request, but the maximum number of reports is reached, the SCEF shall consider the reporting as completed, delete the corresponding "Individual Monitoring Event Subscription" resource and </w:t>
      </w:r>
      <w:r w:rsidRPr="000A0A5F">
        <w:rPr>
          <w:rFonts w:hint="eastAsia"/>
          <w:lang w:eastAsia="zh-CN"/>
        </w:rPr>
        <w:t xml:space="preserve">send an HTTP POST message including </w:t>
      </w:r>
      <w:r w:rsidRPr="000A0A5F">
        <w:t>the subscription identifier and a cancellation indication</w:t>
      </w:r>
      <w:r w:rsidRPr="000A0A5F">
        <w:rPr>
          <w:lang w:eastAsia="zh-CN"/>
        </w:rPr>
        <w:t xml:space="preserve"> to the </w:t>
      </w:r>
      <w:r w:rsidRPr="000A0A5F">
        <w:t>identified destination</w:t>
      </w:r>
      <w:r w:rsidRPr="000A0A5F">
        <w:rPr>
          <w:lang w:eastAsia="zh-CN"/>
        </w:rPr>
        <w:t xml:space="preserve">. The cancellation indication shall set to </w:t>
      </w:r>
      <w:r w:rsidRPr="000A0A5F">
        <w:rPr>
          <w:lang w:val="en-US"/>
        </w:rPr>
        <w:t xml:space="preserve">"true" </w:t>
      </w:r>
      <w:r w:rsidRPr="000A0A5F">
        <w:rPr>
          <w:lang w:eastAsia="zh-CN"/>
        </w:rPr>
        <w:t>indicating to cancel the configured monitoring subscription</w:t>
      </w:r>
      <w:r w:rsidRPr="000A0A5F">
        <w:t>. The destination URL of the HTTP POST is provided by the SCS/AS during the Monitoring Event Configuration procedure. In addition, the SCEF shall interact with the HSS to delete the event configuration if the latter was performed via the HSS whereas event reports were performed via the SGSN/MME. The SCEF determines that the reporting for a group is completed by comparing the total number of received reports with the number of UEs of the group (received from the HSS during event configuration for a group of UEs) multiplied by the maximum number of reports.</w:t>
      </w:r>
    </w:p>
    <w:p w:rsidR="00CB0DD7" w:rsidRPr="000A0A5F" w:rsidRDefault="00CB0DD7">
      <w:r w:rsidRPr="000A0A5F">
        <w:t>If the Partial_group_</w:t>
      </w:r>
      <w:r w:rsidR="00BC6E27" w:rsidRPr="000A0A5F">
        <w:t>modification</w:t>
      </w:r>
      <w:r w:rsidRPr="000A0A5F">
        <w:t xml:space="preserve"> feature is supported and one or more MSISDN(s) or External Identifier(s) within the active group based monitor subscription ha</w:t>
      </w:r>
      <w:r w:rsidR="00BC6E27" w:rsidRPr="000A0A5F">
        <w:t>ve</w:t>
      </w:r>
      <w:r w:rsidRPr="000A0A5F">
        <w:t xml:space="preserve"> been cancelled</w:t>
      </w:r>
      <w:r w:rsidR="00BC6E27" w:rsidRPr="000A0A5F">
        <w:t xml:space="preserve"> or added</w:t>
      </w:r>
      <w:r w:rsidRPr="000A0A5F">
        <w:t xml:space="preserve">, the </w:t>
      </w:r>
      <w:r w:rsidR="00BC6E27" w:rsidRPr="000A0A5F">
        <w:t>existing</w:t>
      </w:r>
      <w:r w:rsidRPr="000A0A5F">
        <w:t xml:space="preserve"> UE(s) within the active group based monitoring subscription are still applicable to the group based Monitoring Event Report identified by the External Group Identifier</w:t>
      </w:r>
      <w:r w:rsidR="00BC6E27" w:rsidRPr="000A0A5F">
        <w:t>, the added group member(s) shall be subsequently applied with the monitoring event subscription</w:t>
      </w:r>
      <w:r w:rsidRPr="000A0A5F">
        <w:t>.</w:t>
      </w:r>
    </w:p>
    <w:p w:rsidR="00CB0DD7" w:rsidRPr="000A0A5F" w:rsidRDefault="00CB0DD7">
      <w:pPr>
        <w:rPr>
          <w:rFonts w:cs="Arial"/>
          <w:szCs w:val="18"/>
          <w:lang w:eastAsia="zh-CN"/>
        </w:rPr>
      </w:pPr>
      <w:r w:rsidRPr="000A0A5F">
        <w:t xml:space="preserve">When the monitoring duration indicated by the property </w:t>
      </w:r>
      <w:r w:rsidRPr="000A0A5F">
        <w:rPr>
          <w:lang w:eastAsia="zh-CN"/>
        </w:rPr>
        <w:t>"</w:t>
      </w:r>
      <w:r w:rsidRPr="000A0A5F">
        <w:rPr>
          <w:rFonts w:cs="Arial" w:hint="eastAsia"/>
          <w:szCs w:val="18"/>
          <w:lang w:eastAsia="zh-CN"/>
        </w:rPr>
        <w:t>monitor</w:t>
      </w:r>
      <w:r w:rsidRPr="000A0A5F">
        <w:rPr>
          <w:rFonts w:cs="Arial"/>
          <w:szCs w:val="18"/>
          <w:lang w:eastAsia="zh-CN"/>
        </w:rPr>
        <w:t xml:space="preserve">ExpireTime" is reached, the SCEF shall delete the related event subscription and event configuration locally. The SCS/AS shall no longer address the corresponding </w:t>
      </w:r>
      <w:r w:rsidRPr="000A0A5F">
        <w:t>"Individual Monitoring Event Subscription"</w:t>
      </w:r>
      <w:r w:rsidRPr="000A0A5F">
        <w:rPr>
          <w:rFonts w:cs="Arial"/>
          <w:szCs w:val="18"/>
          <w:lang w:eastAsia="zh-CN"/>
        </w:rPr>
        <w:t xml:space="preserve"> resource</w:t>
      </w:r>
      <w:r w:rsidRPr="000A0A5F">
        <w:t>.</w:t>
      </w:r>
    </w:p>
    <w:p w:rsidR="00CB0DD7" w:rsidRPr="000A0A5F" w:rsidRDefault="00CB0DD7">
      <w:pPr>
        <w:pStyle w:val="Heading4"/>
        <w:rPr>
          <w:rFonts w:hint="eastAsia"/>
        </w:rPr>
      </w:pPr>
      <w:bookmarkStart w:id="356" w:name="_Toc11247202"/>
      <w:bookmarkStart w:id="357" w:name="_Toc27044318"/>
      <w:bookmarkStart w:id="358" w:name="_Toc36033360"/>
      <w:bookmarkStart w:id="359" w:name="_Toc45131490"/>
      <w:bookmarkStart w:id="360" w:name="_Toc49775775"/>
      <w:bookmarkStart w:id="361" w:name="_Toc51746695"/>
      <w:bookmarkStart w:id="362" w:name="_Toc66360237"/>
      <w:bookmarkStart w:id="363" w:name="_Toc68104742"/>
      <w:bookmarkStart w:id="364" w:name="_Toc74755371"/>
      <w:bookmarkStart w:id="365" w:name="_Toc105674226"/>
      <w:bookmarkStart w:id="366" w:name="_Toc130502259"/>
      <w:bookmarkStart w:id="367" w:name="_Toc153625038"/>
      <w:r w:rsidRPr="000A0A5F">
        <w:t>4.4.2.4</w:t>
      </w:r>
      <w:r w:rsidRPr="000A0A5F">
        <w:tab/>
        <w:t>Network-initiated Explicit Monitoring Event Deletion Procedure</w:t>
      </w:r>
      <w:bookmarkEnd w:id="356"/>
      <w:bookmarkEnd w:id="357"/>
      <w:bookmarkEnd w:id="358"/>
      <w:bookmarkEnd w:id="359"/>
      <w:bookmarkEnd w:id="360"/>
      <w:bookmarkEnd w:id="361"/>
      <w:bookmarkEnd w:id="362"/>
      <w:bookmarkEnd w:id="363"/>
      <w:bookmarkEnd w:id="364"/>
      <w:bookmarkEnd w:id="365"/>
      <w:bookmarkEnd w:id="366"/>
      <w:bookmarkEnd w:id="367"/>
    </w:p>
    <w:p w:rsidR="00CB0DD7" w:rsidRPr="000A0A5F" w:rsidRDefault="00CB0DD7">
      <w:r w:rsidRPr="000A0A5F">
        <w:rPr>
          <w:noProof/>
          <w:lang w:eastAsia="zh-CN"/>
        </w:rPr>
        <w:t xml:space="preserve">Upon receipt of an SCEF Reference ID for the event to be deleted from the HSS as defined in 3GPP TS 29.336 [11], the </w:t>
      </w:r>
      <w:r w:rsidRPr="000A0A5F">
        <w:rPr>
          <w:noProof/>
          <w:lang w:val="en-US" w:eastAsia="zh-CN"/>
        </w:rPr>
        <w:t xml:space="preserve">SCEF </w:t>
      </w:r>
      <w:r w:rsidRPr="000A0A5F">
        <w:rPr>
          <w:noProof/>
          <w:lang w:eastAsia="zh-CN"/>
        </w:rPr>
        <w:t xml:space="preserve">shall determine the </w:t>
      </w:r>
      <w:r w:rsidRPr="000A0A5F">
        <w:t>subscription identifier</w:t>
      </w:r>
      <w:r w:rsidRPr="000A0A5F">
        <w:rPr>
          <w:noProof/>
          <w:lang w:eastAsia="zh-CN"/>
        </w:rPr>
        <w:t xml:space="preserve"> associated with the indicated active monitoring subscription. Then the SCEF</w:t>
      </w:r>
      <w:r w:rsidRPr="000A0A5F">
        <w:rPr>
          <w:rFonts w:hint="eastAsia"/>
          <w:lang w:eastAsia="zh-CN"/>
        </w:rPr>
        <w:t xml:space="preserve"> shall </w:t>
      </w:r>
      <w:r w:rsidRPr="000A0A5F">
        <w:rPr>
          <w:lang w:eastAsia="zh-CN"/>
        </w:rPr>
        <w:t>delete the related resource "</w:t>
      </w:r>
      <w:r w:rsidRPr="000A0A5F">
        <w:t>Individual Monitoring Event Subscription"</w:t>
      </w:r>
      <w:r w:rsidRPr="000A0A5F">
        <w:rPr>
          <w:lang w:eastAsia="zh-CN"/>
        </w:rPr>
        <w:t xml:space="preserve">, </w:t>
      </w:r>
      <w:r w:rsidRPr="000A0A5F">
        <w:rPr>
          <w:rFonts w:hint="eastAsia"/>
          <w:lang w:eastAsia="zh-CN"/>
        </w:rPr>
        <w:t xml:space="preserve">send an HTTP POST message including </w:t>
      </w:r>
      <w:r w:rsidRPr="000A0A5F">
        <w:t>the subscription identifier and a cancellation indication</w:t>
      </w:r>
      <w:r w:rsidRPr="000A0A5F">
        <w:rPr>
          <w:lang w:eastAsia="zh-CN"/>
        </w:rPr>
        <w:t xml:space="preserve"> to the </w:t>
      </w:r>
      <w:r w:rsidRPr="000A0A5F">
        <w:t>identified destination</w:t>
      </w:r>
      <w:r w:rsidRPr="000A0A5F">
        <w:rPr>
          <w:lang w:eastAsia="zh-CN"/>
        </w:rPr>
        <w:t xml:space="preserve">. The cancellation indication shall set to </w:t>
      </w:r>
      <w:r w:rsidRPr="000A0A5F">
        <w:rPr>
          <w:lang w:val="en-US"/>
        </w:rPr>
        <w:t xml:space="preserve">"true" </w:t>
      </w:r>
      <w:r w:rsidRPr="000A0A5F">
        <w:rPr>
          <w:lang w:eastAsia="zh-CN"/>
        </w:rPr>
        <w:t>indicating to cancel the configured monitoring subscription</w:t>
      </w:r>
      <w:r w:rsidRPr="000A0A5F">
        <w:t>. The destination URL of the HTTP POST is provided by the SCS/AS during the Monitoring Event Configuration procedure.</w:t>
      </w:r>
    </w:p>
    <w:p w:rsidR="00CB0DD7" w:rsidRPr="000A0A5F" w:rsidRDefault="00CB0DD7">
      <w:pPr>
        <w:rPr>
          <w:lang w:eastAsia="zh-CN"/>
        </w:rPr>
      </w:pPr>
      <w:r w:rsidRPr="000A0A5F">
        <w:t>If the Partial_group_cancellation feature is supported, upon receipt of one or more MSISDN(s) or External Identifier(s) for the group member(s) to be cancelled within the active group based event subscription from the HSS</w:t>
      </w:r>
      <w:r w:rsidRPr="000A0A5F">
        <w:rPr>
          <w:noProof/>
          <w:lang w:eastAsia="zh-CN"/>
        </w:rPr>
        <w:t xml:space="preserve"> as defined in 3GPP TS 29.336 [11]</w:t>
      </w:r>
      <w:r w:rsidRPr="000A0A5F">
        <w:t>, the SCEF shall</w:t>
      </w:r>
      <w:r w:rsidRPr="000A0A5F">
        <w:rPr>
          <w:rFonts w:hint="eastAsia"/>
          <w:lang w:eastAsia="zh-CN"/>
        </w:rPr>
        <w:t>,</w:t>
      </w:r>
    </w:p>
    <w:p w:rsidR="00CB0DD7" w:rsidRPr="000A0A5F" w:rsidRDefault="00C97A09" w:rsidP="00C97A09">
      <w:pPr>
        <w:pStyle w:val="B10"/>
      </w:pPr>
      <w:r w:rsidRPr="000A0A5F">
        <w:t>-</w:t>
      </w:r>
      <w:r w:rsidRPr="000A0A5F">
        <w:tab/>
      </w:r>
      <w:r w:rsidR="00CB0DD7" w:rsidRPr="000A0A5F">
        <w:t xml:space="preserve">if the maximum number of reports applies to the monitoring event configuration, set the stored number of reports of the indicated UE(s) to </w:t>
      </w:r>
      <w:r w:rsidR="002651F3" w:rsidRPr="000A0A5F">
        <w:t xml:space="preserve">the </w:t>
      </w:r>
      <w:r w:rsidR="00CB0DD7" w:rsidRPr="000A0A5F">
        <w:t>maximum number of reports;</w:t>
      </w:r>
    </w:p>
    <w:p w:rsidR="00CB0DD7" w:rsidRPr="000A0A5F" w:rsidRDefault="00C97A09" w:rsidP="00C97A09">
      <w:pPr>
        <w:pStyle w:val="B10"/>
      </w:pPr>
      <w:bookmarkStart w:id="368" w:name="_Hlk72412647"/>
      <w:r w:rsidRPr="000A0A5F">
        <w:t>-</w:t>
      </w:r>
      <w:r w:rsidRPr="000A0A5F">
        <w:tab/>
      </w:r>
      <w:r w:rsidR="00CB0DD7" w:rsidRPr="000A0A5F">
        <w:t>include the MSISDN(s) or External Identifier(s)</w:t>
      </w:r>
      <w:bookmarkEnd w:id="368"/>
      <w:r w:rsidR="00CB0DD7" w:rsidRPr="000A0A5F">
        <w:t xml:space="preserve"> to be cancelled in the MonitoringNotification Request to the destination URL provided by the SCS/AS during the Monitoring Event Configuration procedure; and</w:t>
      </w:r>
    </w:p>
    <w:p w:rsidR="00CB0DD7" w:rsidRPr="000A0A5F" w:rsidRDefault="00C97A09" w:rsidP="00C97A09">
      <w:pPr>
        <w:pStyle w:val="B10"/>
      </w:pPr>
      <w:r w:rsidRPr="000A0A5F">
        <w:t>-</w:t>
      </w:r>
      <w:r w:rsidRPr="000A0A5F">
        <w:tab/>
      </w:r>
      <w:r w:rsidR="00CB0DD7" w:rsidRPr="000A0A5F">
        <w:t>determine whether the reporting for the group based event subscription is complete</w:t>
      </w:r>
      <w:r w:rsidR="002651F3" w:rsidRPr="000A0A5F">
        <w:t>d</w:t>
      </w:r>
      <w:r w:rsidR="00CB0DD7" w:rsidRPr="000A0A5F">
        <w:t xml:space="preserve"> or not. If completed, the </w:t>
      </w:r>
      <w:bookmarkStart w:id="369" w:name="_Hlk72412778"/>
      <w:r w:rsidR="00CB0DD7" w:rsidRPr="000A0A5F">
        <w:t>SCEF shall delete the corresponding "Individual Monitoring Event Subscription</w:t>
      </w:r>
      <w:bookmarkStart w:id="370" w:name="_Hlk72412934"/>
      <w:r w:rsidR="00CB0DD7" w:rsidRPr="000A0A5F">
        <w:t>" resource</w:t>
      </w:r>
      <w:r w:rsidR="002651F3" w:rsidRPr="000A0A5F">
        <w:t xml:space="preserve"> with procedures</w:t>
      </w:r>
      <w:bookmarkEnd w:id="369"/>
      <w:r w:rsidR="00CB0DD7" w:rsidRPr="000A0A5F">
        <w:t xml:space="preserve"> </w:t>
      </w:r>
      <w:bookmarkEnd w:id="370"/>
      <w:r w:rsidR="00CB0DD7" w:rsidRPr="000A0A5F">
        <w:t>as described in clause 4.4.2.3.</w:t>
      </w:r>
    </w:p>
    <w:p w:rsidR="00CB0DD7" w:rsidRPr="000A0A5F" w:rsidRDefault="00CB0DD7">
      <w:pPr>
        <w:pStyle w:val="NO"/>
        <w:rPr>
          <w:noProof/>
        </w:rPr>
      </w:pPr>
      <w:r w:rsidRPr="000A0A5F">
        <w:t>NOTE:</w:t>
      </w:r>
      <w:r w:rsidRPr="000A0A5F">
        <w:tab/>
        <w:t>The above procedure can be triggered from the HSS due to parameter overwritten by Network Parameter Configuration</w:t>
      </w:r>
      <w:r w:rsidRPr="000A0A5F">
        <w:rPr>
          <w:noProof/>
        </w:rPr>
        <w:t>.</w:t>
      </w:r>
    </w:p>
    <w:p w:rsidR="00CB0DD7" w:rsidRPr="000A0A5F" w:rsidRDefault="00CB0DD7">
      <w:pPr>
        <w:pStyle w:val="Heading4"/>
        <w:rPr>
          <w:lang w:eastAsia="zh-CN"/>
        </w:rPr>
      </w:pPr>
      <w:bookmarkStart w:id="371" w:name="_Toc27044319"/>
      <w:bookmarkStart w:id="372" w:name="_Toc36033361"/>
      <w:bookmarkStart w:id="373" w:name="_Toc45131491"/>
      <w:bookmarkStart w:id="374" w:name="_Toc49775776"/>
      <w:bookmarkStart w:id="375" w:name="_Toc51746696"/>
      <w:bookmarkStart w:id="376" w:name="_Toc66360238"/>
      <w:bookmarkStart w:id="377" w:name="_Toc68104743"/>
      <w:bookmarkStart w:id="378" w:name="_Toc74755372"/>
      <w:bookmarkStart w:id="379" w:name="_Toc105674227"/>
      <w:bookmarkStart w:id="380" w:name="_Toc130502260"/>
      <w:bookmarkStart w:id="381" w:name="_Toc153625039"/>
      <w:r w:rsidRPr="000A0A5F">
        <w:t>4.</w:t>
      </w:r>
      <w:r w:rsidRPr="000A0A5F">
        <w:rPr>
          <w:lang w:eastAsia="zh-CN"/>
        </w:rPr>
        <w:t>4</w:t>
      </w:r>
      <w:r w:rsidRPr="000A0A5F">
        <w:t>.2.5</w:t>
      </w:r>
      <w:r w:rsidRPr="000A0A5F">
        <w:tab/>
        <w:t>Network initiated notification of applied parameter configuration</w:t>
      </w:r>
      <w:bookmarkEnd w:id="371"/>
      <w:bookmarkEnd w:id="372"/>
      <w:bookmarkEnd w:id="373"/>
      <w:bookmarkEnd w:id="374"/>
      <w:bookmarkEnd w:id="375"/>
      <w:bookmarkEnd w:id="376"/>
      <w:bookmarkEnd w:id="377"/>
      <w:bookmarkEnd w:id="378"/>
      <w:bookmarkEnd w:id="379"/>
      <w:bookmarkEnd w:id="380"/>
      <w:bookmarkEnd w:id="381"/>
    </w:p>
    <w:p w:rsidR="00CB0DD7" w:rsidRPr="000A0A5F" w:rsidRDefault="00CB0DD7">
      <w:pPr>
        <w:rPr>
          <w:rFonts w:eastAsia="Times New Roman" w:cs="Arial" w:hint="eastAsia"/>
          <w:szCs w:val="18"/>
        </w:rPr>
      </w:pPr>
      <w:r w:rsidRPr="000A0A5F">
        <w:t xml:space="preserve">For </w:t>
      </w:r>
      <w:r w:rsidRPr="000A0A5F">
        <w:rPr>
          <w:noProof/>
          <w:lang w:eastAsia="zh-CN"/>
        </w:rPr>
        <w:t>"</w:t>
      </w:r>
      <w:r w:rsidRPr="000A0A5F">
        <w:rPr>
          <w:rFonts w:cs="Arial"/>
          <w:szCs w:val="18"/>
        </w:rPr>
        <w:t>LOSS_OF_CONNECTIVITY</w:t>
      </w:r>
      <w:r w:rsidRPr="000A0A5F">
        <w:rPr>
          <w:noProof/>
          <w:lang w:eastAsia="zh-CN"/>
        </w:rPr>
        <w:t>"</w:t>
      </w:r>
      <w:r w:rsidRPr="000A0A5F">
        <w:t xml:space="preserve"> and </w:t>
      </w:r>
      <w:r w:rsidRPr="000A0A5F">
        <w:rPr>
          <w:noProof/>
          <w:lang w:eastAsia="zh-CN"/>
        </w:rPr>
        <w:t>"</w:t>
      </w:r>
      <w:r w:rsidRPr="000A0A5F">
        <w:rPr>
          <w:rFonts w:cs="Arial"/>
          <w:szCs w:val="18"/>
        </w:rPr>
        <w:t>UE_REACHABILITY</w:t>
      </w:r>
      <w:r w:rsidRPr="000A0A5F">
        <w:rPr>
          <w:noProof/>
          <w:lang w:eastAsia="zh-CN"/>
        </w:rPr>
        <w:t>" events</w:t>
      </w:r>
      <w:r w:rsidRPr="000A0A5F">
        <w:rPr>
          <w:rFonts w:cs="Arial"/>
          <w:szCs w:val="18"/>
        </w:rPr>
        <w:t>,</w:t>
      </w:r>
      <w:r w:rsidRPr="000A0A5F">
        <w:t xml:space="preserve"> if the </w:t>
      </w:r>
      <w:r w:rsidRPr="000A0A5F">
        <w:rPr>
          <w:noProof/>
          <w:lang w:eastAsia="zh-CN"/>
        </w:rPr>
        <w:t>"</w:t>
      </w:r>
      <w:r w:rsidRPr="000A0A5F">
        <w:rPr>
          <w:lang w:eastAsia="zh-CN"/>
        </w:rPr>
        <w:t>Enhanced_param_config</w:t>
      </w:r>
      <w:r w:rsidRPr="000A0A5F">
        <w:rPr>
          <w:noProof/>
          <w:lang w:eastAsia="zh-CN"/>
        </w:rPr>
        <w:t>"</w:t>
      </w:r>
      <w:r w:rsidRPr="000A0A5F">
        <w:t xml:space="preserve"> feature is supported and the SCEF receives the currently applied parameter configuration from the HSS, the SCEF shall notify the SCS/AS via an HTTP POST message including the parameter changes in the </w:t>
      </w:r>
      <w:r w:rsidRPr="000A0A5F">
        <w:rPr>
          <w:noProof/>
          <w:lang w:eastAsia="zh-CN"/>
        </w:rPr>
        <w:t>"</w:t>
      </w:r>
      <w:r w:rsidRPr="000A0A5F">
        <w:rPr>
          <w:lang w:eastAsia="zh-CN"/>
        </w:rPr>
        <w:t>appliedParam</w:t>
      </w:r>
      <w:r w:rsidRPr="000A0A5F">
        <w:rPr>
          <w:noProof/>
          <w:lang w:eastAsia="zh-CN"/>
        </w:rPr>
        <w:t xml:space="preserve">" </w:t>
      </w:r>
      <w:r w:rsidRPr="000A0A5F">
        <w:t>attribute.</w:t>
      </w:r>
    </w:p>
    <w:p w:rsidR="00CB0DD7" w:rsidRPr="000A0A5F" w:rsidRDefault="00CB0DD7">
      <w:pPr>
        <w:pStyle w:val="Heading3"/>
        <w:rPr>
          <w:lang w:eastAsia="zh-CN"/>
        </w:rPr>
      </w:pPr>
      <w:bookmarkStart w:id="382" w:name="_Toc11247203"/>
      <w:bookmarkStart w:id="383" w:name="_Toc27044320"/>
      <w:bookmarkStart w:id="384" w:name="_Toc36033362"/>
      <w:bookmarkStart w:id="385" w:name="_Toc45131492"/>
      <w:bookmarkStart w:id="386" w:name="_Toc49775777"/>
      <w:bookmarkStart w:id="387" w:name="_Toc51746697"/>
      <w:bookmarkStart w:id="388" w:name="_Toc66360239"/>
      <w:bookmarkStart w:id="389" w:name="_Toc68104744"/>
      <w:bookmarkStart w:id="390" w:name="_Toc74755373"/>
      <w:bookmarkStart w:id="391" w:name="_Toc105674228"/>
      <w:bookmarkStart w:id="392" w:name="_Toc130502261"/>
      <w:bookmarkStart w:id="393" w:name="_Toc153625040"/>
      <w:r w:rsidRPr="000A0A5F">
        <w:t>4.</w:t>
      </w:r>
      <w:r w:rsidRPr="000A0A5F">
        <w:rPr>
          <w:lang w:eastAsia="zh-CN"/>
        </w:rPr>
        <w:t>4</w:t>
      </w:r>
      <w:r w:rsidRPr="000A0A5F">
        <w:t>.</w:t>
      </w:r>
      <w:r w:rsidRPr="000A0A5F">
        <w:rPr>
          <w:lang w:eastAsia="zh-CN"/>
        </w:rPr>
        <w:t>3</w:t>
      </w:r>
      <w:r w:rsidRPr="000A0A5F">
        <w:tab/>
      </w:r>
      <w:r w:rsidRPr="000A0A5F">
        <w:rPr>
          <w:rFonts w:hint="eastAsia"/>
          <w:lang w:eastAsia="zh-CN"/>
        </w:rPr>
        <w:t xml:space="preserve">Procedures for resource management of </w:t>
      </w:r>
      <w:r w:rsidRPr="000A0A5F">
        <w:rPr>
          <w:lang w:eastAsia="zh-CN"/>
        </w:rPr>
        <w:t>B</w:t>
      </w:r>
      <w:r w:rsidRPr="000A0A5F">
        <w:rPr>
          <w:rFonts w:hint="eastAsia"/>
          <w:lang w:eastAsia="zh-CN"/>
        </w:rPr>
        <w:t xml:space="preserve">ackground </w:t>
      </w:r>
      <w:r w:rsidRPr="000A0A5F">
        <w:rPr>
          <w:lang w:eastAsia="zh-CN"/>
        </w:rPr>
        <w:t>D</w:t>
      </w:r>
      <w:r w:rsidRPr="000A0A5F">
        <w:rPr>
          <w:rFonts w:hint="eastAsia"/>
          <w:lang w:eastAsia="zh-CN"/>
        </w:rPr>
        <w:t xml:space="preserve">ata </w:t>
      </w:r>
      <w:r w:rsidRPr="000A0A5F">
        <w:rPr>
          <w:lang w:eastAsia="zh-CN"/>
        </w:rPr>
        <w:t>T</w:t>
      </w:r>
      <w:r w:rsidRPr="000A0A5F">
        <w:rPr>
          <w:rFonts w:hint="eastAsia"/>
          <w:lang w:eastAsia="zh-CN"/>
        </w:rPr>
        <w:t>ransfer</w:t>
      </w:r>
      <w:bookmarkEnd w:id="382"/>
      <w:bookmarkEnd w:id="383"/>
      <w:bookmarkEnd w:id="384"/>
      <w:bookmarkEnd w:id="385"/>
      <w:bookmarkEnd w:id="386"/>
      <w:bookmarkEnd w:id="387"/>
      <w:bookmarkEnd w:id="388"/>
      <w:bookmarkEnd w:id="389"/>
      <w:bookmarkEnd w:id="390"/>
      <w:bookmarkEnd w:id="391"/>
      <w:bookmarkEnd w:id="392"/>
      <w:bookmarkEnd w:id="393"/>
    </w:p>
    <w:p w:rsidR="00CB0DD7" w:rsidRPr="000A0A5F" w:rsidRDefault="00CB0DD7">
      <w:r w:rsidRPr="000A0A5F">
        <w:t xml:space="preserve">These </w:t>
      </w:r>
      <w:r w:rsidRPr="000A0A5F">
        <w:rPr>
          <w:rFonts w:hint="eastAsia"/>
          <w:lang w:eastAsia="zh-CN"/>
        </w:rPr>
        <w:t>procedure</w:t>
      </w:r>
      <w:r w:rsidRPr="000A0A5F">
        <w:rPr>
          <w:lang w:eastAsia="zh-CN"/>
        </w:rPr>
        <w:t>s</w:t>
      </w:r>
      <w:r w:rsidRPr="000A0A5F">
        <w:rPr>
          <w:rFonts w:hint="eastAsia"/>
          <w:lang w:eastAsia="zh-CN"/>
        </w:rPr>
        <w:t xml:space="preserve"> </w:t>
      </w:r>
      <w:r w:rsidRPr="000A0A5F">
        <w:rPr>
          <w:lang w:eastAsia="zh-CN"/>
        </w:rPr>
        <w:t>are</w:t>
      </w:r>
      <w:r w:rsidRPr="000A0A5F">
        <w:rPr>
          <w:rFonts w:hint="eastAsia"/>
          <w:lang w:eastAsia="zh-CN"/>
        </w:rPr>
        <w:t xml:space="preserve"> used by an SCS/AS to perform the </w:t>
      </w:r>
      <w:r w:rsidRPr="000A0A5F">
        <w:t xml:space="preserve">resource management of background data transfer (BDT) to a set of UEs, i.e. </w:t>
      </w:r>
      <w:r w:rsidRPr="000A0A5F">
        <w:rPr>
          <w:rFonts w:hint="eastAsia"/>
          <w:lang w:eastAsia="zh-CN"/>
        </w:rPr>
        <w:t>the</w:t>
      </w:r>
      <w:r w:rsidRPr="000A0A5F">
        <w:t xml:space="preserve"> SCS/AS request</w:t>
      </w:r>
      <w:r w:rsidRPr="000A0A5F">
        <w:rPr>
          <w:rFonts w:hint="eastAsia"/>
          <w:lang w:eastAsia="zh-CN"/>
        </w:rPr>
        <w:t>s</w:t>
      </w:r>
      <w:r w:rsidRPr="000A0A5F">
        <w:t xml:space="preserve"> a time window and related conditions from the SCEF via the </w:t>
      </w:r>
      <w:r w:rsidRPr="000A0A5F">
        <w:rPr>
          <w:rFonts w:hint="eastAsia"/>
          <w:lang w:eastAsia="zh-CN"/>
        </w:rPr>
        <w:t>T8</w:t>
      </w:r>
      <w:r w:rsidRPr="000A0A5F">
        <w:t xml:space="preserve"> interface.</w:t>
      </w:r>
    </w:p>
    <w:p w:rsidR="00CB0DD7" w:rsidRPr="000A0A5F" w:rsidRDefault="00CB0DD7">
      <w:pPr>
        <w:rPr>
          <w:lang w:eastAsia="zh-CN"/>
        </w:rPr>
      </w:pPr>
      <w:r w:rsidRPr="000A0A5F">
        <w:rPr>
          <w:lang w:eastAsia="zh-CN"/>
        </w:rPr>
        <w:t>In order to create a resource for the background data transfer policy, t</w:t>
      </w:r>
      <w:r w:rsidRPr="000A0A5F">
        <w:rPr>
          <w:rFonts w:hint="eastAsia"/>
          <w:lang w:eastAsia="zh-CN"/>
        </w:rPr>
        <w:t xml:space="preserve">he SCS/AS shall send an HTTP POST message to the SCEF </w:t>
      </w:r>
      <w:r w:rsidRPr="000A0A5F">
        <w:rPr>
          <w:lang w:eastAsia="zh-CN"/>
        </w:rPr>
        <w:t>for the "</w:t>
      </w:r>
      <w:r w:rsidRPr="000A0A5F">
        <w:t>BDT Subscriptions</w:t>
      </w:r>
      <w:r w:rsidRPr="000A0A5F">
        <w:rPr>
          <w:lang w:eastAsia="zh-CN"/>
        </w:rPr>
        <w:t xml:space="preserve">" resource </w:t>
      </w:r>
      <w:r w:rsidRPr="000A0A5F">
        <w:rPr>
          <w:rFonts w:hint="eastAsia"/>
          <w:lang w:eastAsia="zh-CN"/>
        </w:rPr>
        <w:t xml:space="preserve">to negotiate the </w:t>
      </w:r>
      <w:r w:rsidRPr="000A0A5F">
        <w:rPr>
          <w:lang w:eastAsia="zh-CN"/>
        </w:rPr>
        <w:t>transfer</w:t>
      </w:r>
      <w:r w:rsidRPr="000A0A5F">
        <w:rPr>
          <w:rFonts w:hint="eastAsia"/>
          <w:lang w:eastAsia="zh-CN"/>
        </w:rPr>
        <w:t xml:space="preserve"> policy. </w:t>
      </w:r>
      <w:r w:rsidRPr="000A0A5F">
        <w:rPr>
          <w:lang w:eastAsia="zh-CN"/>
        </w:rPr>
        <w:t>The body of the HTTP POST message shall include SCS/AS Identifier, Volume per UE (total volume for both DL and UL or separate volume for DL and/or UL), Number of UEs, Desired Time Window and optionally a location area information.</w:t>
      </w:r>
    </w:p>
    <w:p w:rsidR="00CB0DD7" w:rsidRPr="000A0A5F" w:rsidRDefault="00CB0DD7">
      <w:pPr>
        <w:rPr>
          <w:rFonts w:hint="eastAsia"/>
          <w:lang w:eastAsia="zh-CN"/>
        </w:rPr>
      </w:pPr>
      <w:r w:rsidRPr="000A0A5F">
        <w:rPr>
          <w:lang w:eastAsia="zh-CN"/>
        </w:rPr>
        <w:t>After receiv</w:t>
      </w:r>
      <w:r w:rsidRPr="000A0A5F">
        <w:rPr>
          <w:rFonts w:hint="eastAsia"/>
          <w:lang w:eastAsia="zh-CN"/>
        </w:rPr>
        <w:t xml:space="preserve">ing the HTTP POST message, </w:t>
      </w:r>
      <w:r w:rsidRPr="000A0A5F">
        <w:rPr>
          <w:lang w:eastAsia="zh-CN"/>
        </w:rPr>
        <w:t xml:space="preserve">if the SCS/AS is authorized, </w:t>
      </w:r>
      <w:r w:rsidRPr="000A0A5F">
        <w:rPr>
          <w:rFonts w:hint="eastAsia"/>
          <w:lang w:eastAsia="zh-CN"/>
        </w:rPr>
        <w:t xml:space="preserve">the SCEF shall </w:t>
      </w:r>
      <w:r w:rsidRPr="000A0A5F">
        <w:rPr>
          <w:lang w:eastAsia="zh-CN"/>
        </w:rPr>
        <w:t xml:space="preserve">map the SCS/AS Identifier to ASP Identifier and </w:t>
      </w:r>
      <w:r w:rsidRPr="000A0A5F">
        <w:rPr>
          <w:rFonts w:hint="eastAsia"/>
          <w:lang w:eastAsia="zh-CN"/>
        </w:rPr>
        <w:t>negotiate the transfer policy with the PCRF as defined in 3GPP TS 29.154</w:t>
      </w:r>
      <w:r w:rsidRPr="000A0A5F">
        <w:rPr>
          <w:lang w:val="en-US" w:eastAsia="zh-CN"/>
        </w:rPr>
        <w:t> </w:t>
      </w:r>
      <w:r w:rsidRPr="000A0A5F">
        <w:rPr>
          <w:rFonts w:hint="eastAsia"/>
          <w:lang w:val="en-US" w:eastAsia="zh-CN"/>
        </w:rPr>
        <w:t>[</w:t>
      </w:r>
      <w:r w:rsidRPr="000A0A5F">
        <w:rPr>
          <w:lang w:val="en-US" w:eastAsia="zh-CN"/>
        </w:rPr>
        <w:t>9</w:t>
      </w:r>
      <w:r w:rsidRPr="000A0A5F">
        <w:rPr>
          <w:rFonts w:hint="eastAsia"/>
          <w:lang w:val="en-US" w:eastAsia="zh-CN"/>
        </w:rPr>
        <w:t>]</w:t>
      </w:r>
      <w:r w:rsidRPr="000A0A5F">
        <w:rPr>
          <w:rFonts w:hint="eastAsia"/>
          <w:lang w:eastAsia="zh-CN"/>
        </w:rPr>
        <w:t xml:space="preserve">. </w:t>
      </w:r>
      <w:r w:rsidRPr="000A0A5F">
        <w:rPr>
          <w:lang w:eastAsia="zh-CN"/>
        </w:rPr>
        <w:t xml:space="preserve">After </w:t>
      </w:r>
      <w:r w:rsidRPr="000A0A5F">
        <w:rPr>
          <w:rFonts w:hint="eastAsia"/>
          <w:lang w:eastAsia="zh-CN"/>
        </w:rPr>
        <w:t>receiving the response including the determined transfer polic</w:t>
      </w:r>
      <w:r w:rsidRPr="000A0A5F">
        <w:rPr>
          <w:lang w:eastAsia="zh-CN"/>
        </w:rPr>
        <w:t>ies</w:t>
      </w:r>
      <w:r w:rsidRPr="000A0A5F">
        <w:rPr>
          <w:rFonts w:hint="eastAsia"/>
          <w:lang w:eastAsia="zh-CN"/>
        </w:rPr>
        <w:t xml:space="preserve"> </w:t>
      </w:r>
      <w:r w:rsidRPr="000A0A5F">
        <w:rPr>
          <w:lang w:eastAsia="zh-CN"/>
        </w:rPr>
        <w:t>from the</w:t>
      </w:r>
      <w:r w:rsidRPr="000A0A5F">
        <w:rPr>
          <w:rFonts w:hint="eastAsia"/>
          <w:lang w:eastAsia="zh-CN"/>
        </w:rPr>
        <w:t xml:space="preserve"> PCRF, the SCEF shall </w:t>
      </w:r>
      <w:r w:rsidRPr="000A0A5F">
        <w:rPr>
          <w:lang w:eastAsia="zh-CN"/>
        </w:rPr>
        <w:t>create a resource "</w:t>
      </w:r>
      <w:r w:rsidRPr="000A0A5F">
        <w:t>Individual BDT Subscription</w:t>
      </w:r>
      <w:r w:rsidRPr="000A0A5F">
        <w:rPr>
          <w:lang w:eastAsia="zh-CN"/>
        </w:rPr>
        <w:t xml:space="preserve">" which represents the BDT subscription, addressed by a URI that contains the SCS/AS identifier and an SCEF-created subscription identifier, and shall respond to the SCS/AS </w:t>
      </w:r>
      <w:r w:rsidRPr="000A0A5F">
        <w:t xml:space="preserve">with a 201 </w:t>
      </w:r>
      <w:r w:rsidRPr="000A0A5F">
        <w:rPr>
          <w:rFonts w:hint="eastAsia"/>
          <w:lang w:eastAsia="zh-CN"/>
        </w:rPr>
        <w:t>Created</w:t>
      </w:r>
      <w:r w:rsidRPr="000A0A5F">
        <w:t xml:space="preserve"> message</w:t>
      </w:r>
      <w:r w:rsidRPr="000A0A5F">
        <w:rPr>
          <w:rFonts w:hint="eastAsia"/>
          <w:lang w:eastAsia="zh-CN"/>
        </w:rPr>
        <w:t xml:space="preserve">, </w:t>
      </w:r>
      <w:r w:rsidRPr="000A0A5F">
        <w:t>including</w:t>
      </w:r>
      <w:r w:rsidRPr="000A0A5F">
        <w:rPr>
          <w:rFonts w:hint="eastAsia"/>
          <w:lang w:eastAsia="zh-CN"/>
        </w:rPr>
        <w:t xml:space="preserve"> </w:t>
      </w:r>
      <w:r w:rsidRPr="000A0A5F">
        <w:t>a Location header field containing the URI for the created resource</w:t>
      </w:r>
      <w:r w:rsidRPr="000A0A5F">
        <w:rPr>
          <w:rFonts w:hint="eastAsia"/>
          <w:lang w:eastAsia="zh-CN"/>
        </w:rPr>
        <w:t xml:space="preserve"> </w:t>
      </w:r>
      <w:r w:rsidRPr="000A0A5F">
        <w:rPr>
          <w:lang w:eastAsia="zh-CN"/>
        </w:rPr>
        <w:t>and a message body, which</w:t>
      </w:r>
      <w:r w:rsidRPr="000A0A5F">
        <w:rPr>
          <w:rFonts w:hint="eastAsia"/>
          <w:lang w:eastAsia="zh-CN"/>
        </w:rPr>
        <w:t xml:space="preserve"> </w:t>
      </w:r>
      <w:r w:rsidRPr="000A0A5F">
        <w:rPr>
          <w:lang w:eastAsia="zh-CN"/>
        </w:rPr>
        <w:t>may also include Reference ID and a set of transfer policies</w:t>
      </w:r>
      <w:r w:rsidRPr="000A0A5F">
        <w:rPr>
          <w:rFonts w:hint="eastAsia"/>
          <w:lang w:eastAsia="zh-CN"/>
        </w:rPr>
        <w:t>.</w:t>
      </w:r>
      <w:r w:rsidRPr="000A0A5F">
        <w:rPr>
          <w:lang w:eastAsia="zh-CN"/>
        </w:rPr>
        <w:t xml:space="preserve"> </w:t>
      </w:r>
      <w:r w:rsidRPr="000A0A5F">
        <w:t xml:space="preserve">The </w:t>
      </w:r>
      <w:r w:rsidRPr="000A0A5F">
        <w:rPr>
          <w:rFonts w:hint="eastAsia"/>
          <w:lang w:eastAsia="zh-CN"/>
        </w:rPr>
        <w:t>SCS/AS</w:t>
      </w:r>
      <w:r w:rsidRPr="000A0A5F">
        <w:t xml:space="preserve"> shall use the </w:t>
      </w:r>
      <w:r w:rsidRPr="000A0A5F">
        <w:rPr>
          <w:rFonts w:hint="eastAsia"/>
          <w:lang w:eastAsia="zh-CN"/>
        </w:rPr>
        <w:t>URI</w:t>
      </w:r>
      <w:r w:rsidRPr="000A0A5F">
        <w:t xml:space="preserve"> received </w:t>
      </w:r>
      <w:r w:rsidRPr="000A0A5F">
        <w:rPr>
          <w:rFonts w:hint="eastAsia"/>
          <w:lang w:eastAsia="zh-CN"/>
        </w:rPr>
        <w:t>in the Location header</w:t>
      </w:r>
      <w:r w:rsidRPr="000A0A5F">
        <w:t xml:space="preserve"> in subsequent requests to the </w:t>
      </w:r>
      <w:r w:rsidRPr="000A0A5F">
        <w:rPr>
          <w:rFonts w:hint="eastAsia"/>
          <w:lang w:eastAsia="zh-CN"/>
        </w:rPr>
        <w:t xml:space="preserve">SCEF </w:t>
      </w:r>
      <w:r w:rsidRPr="000A0A5F">
        <w:t>to refer to this</w:t>
      </w:r>
      <w:r w:rsidRPr="000A0A5F">
        <w:rPr>
          <w:rFonts w:hint="eastAsia"/>
          <w:lang w:eastAsia="zh-CN"/>
        </w:rPr>
        <w:t xml:space="preserve"> </w:t>
      </w:r>
      <w:r w:rsidRPr="000A0A5F">
        <w:rPr>
          <w:lang w:eastAsia="zh-CN"/>
        </w:rPr>
        <w:t>background data transfer subscription</w:t>
      </w:r>
      <w:r w:rsidRPr="000A0A5F">
        <w:t>. If the SCEF receives a response with an error code from the PCRF, the SCEF shall not create the resource and shall respond to the SCS/AS with a corresponding failure code as described in clause 5.2.6.</w:t>
      </w:r>
    </w:p>
    <w:p w:rsidR="00CB0DD7" w:rsidRPr="000A0A5F" w:rsidRDefault="00CB0DD7">
      <w:r w:rsidRPr="000A0A5F">
        <w:rPr>
          <w:noProof/>
          <w:lang w:eastAsia="zh-CN"/>
        </w:rPr>
        <w:t xml:space="preserve">The SCS/AS may also send an HTTP PUT message to the SCEF for the </w:t>
      </w:r>
      <w:r w:rsidRPr="000A0A5F">
        <w:rPr>
          <w:lang w:eastAsia="zh-CN"/>
        </w:rPr>
        <w:t>"</w:t>
      </w:r>
      <w:r w:rsidRPr="000A0A5F">
        <w:t>Individual BDT Subscription</w:t>
      </w:r>
      <w:r w:rsidRPr="000A0A5F">
        <w:rPr>
          <w:lang w:eastAsia="zh-CN"/>
        </w:rPr>
        <w:t>"</w:t>
      </w:r>
      <w:r w:rsidRPr="000A0A5F">
        <w:rPr>
          <w:noProof/>
          <w:lang w:eastAsia="zh-CN"/>
        </w:rPr>
        <w:t xml:space="preserve"> </w:t>
      </w:r>
      <w:r w:rsidRPr="000A0A5F">
        <w:rPr>
          <w:lang w:eastAsia="zh-CN"/>
        </w:rPr>
        <w:t>resource</w:t>
      </w:r>
      <w:r w:rsidRPr="000A0A5F">
        <w:rPr>
          <w:noProof/>
          <w:lang w:eastAsia="zh-CN"/>
        </w:rPr>
        <w:t xml:space="preserve"> to request starting an update for negotiation of background data transfer policy. </w:t>
      </w:r>
      <w:r w:rsidRPr="000A0A5F">
        <w:rPr>
          <w:lang w:eastAsia="zh-CN"/>
        </w:rPr>
        <w:t xml:space="preserve">The body of the HTTP PUT message shall include data as described in the POST message. The external group identifier shall </w:t>
      </w:r>
      <w:r w:rsidRPr="000A0A5F">
        <w:t>remain unchanged from previously provided value</w:t>
      </w:r>
      <w:r w:rsidRPr="000A0A5F">
        <w:rPr>
          <w:lang w:eastAsia="zh-CN"/>
        </w:rPr>
        <w:t>. After receiv</w:t>
      </w:r>
      <w:r w:rsidRPr="000A0A5F">
        <w:rPr>
          <w:rFonts w:hint="eastAsia"/>
          <w:lang w:eastAsia="zh-CN"/>
        </w:rPr>
        <w:t xml:space="preserve">ing such request, </w:t>
      </w:r>
      <w:r w:rsidRPr="000A0A5F">
        <w:rPr>
          <w:lang w:eastAsia="zh-CN"/>
        </w:rPr>
        <w:t xml:space="preserve">if the SCS/AS is authorized, </w:t>
      </w:r>
      <w:r w:rsidRPr="000A0A5F">
        <w:rPr>
          <w:rFonts w:hint="eastAsia"/>
          <w:lang w:eastAsia="zh-CN"/>
        </w:rPr>
        <w:t>the SCEF shall negotiate the transfer policy with the PCRF as defined in 3GPP TS 29.154</w:t>
      </w:r>
      <w:r w:rsidRPr="000A0A5F">
        <w:rPr>
          <w:lang w:val="en-US" w:eastAsia="zh-CN"/>
        </w:rPr>
        <w:t> </w:t>
      </w:r>
      <w:r w:rsidRPr="000A0A5F">
        <w:rPr>
          <w:rFonts w:hint="eastAsia"/>
          <w:lang w:val="en-US" w:eastAsia="zh-CN"/>
        </w:rPr>
        <w:t>[</w:t>
      </w:r>
      <w:r w:rsidRPr="000A0A5F">
        <w:rPr>
          <w:lang w:val="en-US" w:eastAsia="zh-CN"/>
        </w:rPr>
        <w:t>9</w:t>
      </w:r>
      <w:r w:rsidRPr="000A0A5F">
        <w:rPr>
          <w:rFonts w:hint="eastAsia"/>
          <w:lang w:val="en-US" w:eastAsia="zh-CN"/>
        </w:rPr>
        <w:t>]</w:t>
      </w:r>
      <w:r w:rsidRPr="000A0A5F">
        <w:rPr>
          <w:rFonts w:hint="eastAsia"/>
          <w:lang w:eastAsia="zh-CN"/>
        </w:rPr>
        <w:t xml:space="preserve">. </w:t>
      </w:r>
      <w:r w:rsidRPr="000A0A5F">
        <w:rPr>
          <w:lang w:eastAsia="zh-CN"/>
        </w:rPr>
        <w:t xml:space="preserve">After </w:t>
      </w:r>
      <w:r w:rsidRPr="000A0A5F">
        <w:rPr>
          <w:rFonts w:hint="eastAsia"/>
          <w:lang w:eastAsia="zh-CN"/>
        </w:rPr>
        <w:t xml:space="preserve">receiving the response including the determined transfer policies </w:t>
      </w:r>
      <w:r w:rsidRPr="000A0A5F">
        <w:rPr>
          <w:lang w:eastAsia="zh-CN"/>
        </w:rPr>
        <w:t>from the</w:t>
      </w:r>
      <w:r w:rsidRPr="000A0A5F">
        <w:rPr>
          <w:rFonts w:hint="eastAsia"/>
          <w:lang w:eastAsia="zh-CN"/>
        </w:rPr>
        <w:t xml:space="preserve"> PCRF, the SCEF shall send an HTTP response to the SCS/AS</w:t>
      </w:r>
      <w:r w:rsidRPr="000A0A5F">
        <w:rPr>
          <w:lang w:eastAsia="zh-CN"/>
        </w:rPr>
        <w:t xml:space="preserve"> with a </w:t>
      </w:r>
      <w:r w:rsidR="00BD2AFC" w:rsidRPr="000A0A5F">
        <w:rPr>
          <w:lang w:eastAsia="zh-CN"/>
        </w:rPr>
        <w:t>"200 OK"</w:t>
      </w:r>
      <w:r w:rsidRPr="000A0A5F">
        <w:rPr>
          <w:lang w:eastAsia="zh-CN"/>
        </w:rPr>
        <w:t xml:space="preserve"> status code and </w:t>
      </w:r>
      <w:r w:rsidR="00BD2AFC" w:rsidRPr="000A0A5F">
        <w:rPr>
          <w:lang w:eastAsia="zh-CN"/>
        </w:rPr>
        <w:t>shall</w:t>
      </w:r>
      <w:r w:rsidRPr="000A0A5F">
        <w:rPr>
          <w:lang w:eastAsia="zh-CN"/>
        </w:rPr>
        <w:t xml:space="preserve"> include </w:t>
      </w:r>
      <w:r w:rsidR="00BD2AFC" w:rsidRPr="000A0A5F">
        <w:rPr>
          <w:lang w:eastAsia="zh-CN"/>
        </w:rPr>
        <w:t>the Bdt data type</w:t>
      </w:r>
      <w:r w:rsidRPr="000A0A5F">
        <w:rPr>
          <w:lang w:eastAsia="zh-CN"/>
        </w:rPr>
        <w:t xml:space="preserve"> </w:t>
      </w:r>
      <w:r w:rsidR="00BD2AFC" w:rsidRPr="000A0A5F">
        <w:rPr>
          <w:lang w:eastAsia="zh-CN"/>
        </w:rPr>
        <w:t>in the response body, or with a "204 No Content" status code</w:t>
      </w:r>
      <w:r w:rsidRPr="000A0A5F">
        <w:rPr>
          <w:rFonts w:hint="eastAsia"/>
          <w:lang w:eastAsia="zh-CN"/>
        </w:rPr>
        <w:t>.</w:t>
      </w:r>
      <w:r w:rsidRPr="000A0A5F">
        <w:rPr>
          <w:lang w:eastAsia="zh-CN"/>
        </w:rPr>
        <w:t xml:space="preserve"> </w:t>
      </w:r>
      <w:r w:rsidRPr="000A0A5F">
        <w:t>If the SCEF receives a response with an error code from the PCRF, the SCEF shall not update the resource and shall respond to the SCS/AS with a corresponding failure code as described in clause 5.2.6.</w:t>
      </w:r>
    </w:p>
    <w:p w:rsidR="00CB0DD7" w:rsidRPr="000A0A5F" w:rsidRDefault="00CB0DD7">
      <w:pPr>
        <w:pStyle w:val="NO"/>
        <w:rPr>
          <w:rFonts w:hint="eastAsia"/>
          <w:lang w:eastAsia="zh-CN"/>
        </w:rPr>
      </w:pPr>
      <w:r w:rsidRPr="000A0A5F">
        <w:rPr>
          <w:noProof/>
          <w:lang w:eastAsia="zh-CN"/>
        </w:rPr>
        <w:t>NOTE</w:t>
      </w:r>
      <w:r w:rsidRPr="000A0A5F">
        <w:rPr>
          <w:noProof/>
          <w:lang w:val="en-US" w:eastAsia="zh-CN"/>
        </w:rPr>
        <w:t> 1</w:t>
      </w:r>
      <w:r w:rsidRPr="000A0A5F">
        <w:rPr>
          <w:noProof/>
          <w:lang w:eastAsia="zh-CN"/>
        </w:rPr>
        <w:t>:</w:t>
      </w:r>
      <w:r w:rsidRPr="000A0A5F">
        <w:rPr>
          <w:noProof/>
          <w:lang w:eastAsia="zh-CN"/>
        </w:rPr>
        <w:tab/>
        <w:t>The SCEF starts a new BDT policy negotiation in the Nt interface by sending the request to the PCRF  without the previously associated BDT Reference ID.</w:t>
      </w:r>
    </w:p>
    <w:p w:rsidR="00CB0DD7" w:rsidRPr="000A0A5F" w:rsidRDefault="00CB0DD7">
      <w:pPr>
        <w:rPr>
          <w:rFonts w:hint="eastAsia"/>
          <w:lang w:eastAsia="zh-CN"/>
        </w:rPr>
      </w:pPr>
      <w:r w:rsidRPr="000A0A5F">
        <w:rPr>
          <w:rFonts w:hint="eastAsia"/>
          <w:noProof/>
          <w:lang w:eastAsia="zh-CN"/>
        </w:rPr>
        <w:t>If more than one polic</w:t>
      </w:r>
      <w:r w:rsidRPr="000A0A5F">
        <w:rPr>
          <w:noProof/>
          <w:lang w:eastAsia="zh-CN"/>
        </w:rPr>
        <w:t>y is</w:t>
      </w:r>
      <w:r w:rsidRPr="000A0A5F">
        <w:rPr>
          <w:rFonts w:hint="eastAsia"/>
          <w:noProof/>
          <w:lang w:eastAsia="zh-CN"/>
        </w:rPr>
        <w:t xml:space="preserve"> included in the</w:t>
      </w:r>
      <w:r w:rsidRPr="000A0A5F">
        <w:rPr>
          <w:noProof/>
          <w:lang w:eastAsia="zh-CN"/>
        </w:rPr>
        <w:t xml:space="preserve"> HTTP</w:t>
      </w:r>
      <w:r w:rsidRPr="000A0A5F">
        <w:rPr>
          <w:rFonts w:hint="eastAsia"/>
          <w:noProof/>
          <w:lang w:eastAsia="zh-CN"/>
        </w:rPr>
        <w:t xml:space="preserve"> response, the SCS/AS shall send an HTTP </w:t>
      </w:r>
      <w:r w:rsidRPr="000A0A5F">
        <w:rPr>
          <w:noProof/>
          <w:lang w:eastAsia="zh-CN"/>
        </w:rPr>
        <w:t xml:space="preserve">PATCH </w:t>
      </w:r>
      <w:r w:rsidRPr="000A0A5F">
        <w:rPr>
          <w:rFonts w:hint="eastAsia"/>
          <w:noProof/>
          <w:lang w:eastAsia="zh-CN"/>
        </w:rPr>
        <w:t xml:space="preserve"> message to </w:t>
      </w:r>
      <w:r w:rsidRPr="000A0A5F">
        <w:rPr>
          <w:noProof/>
          <w:lang w:eastAsia="zh-CN"/>
        </w:rPr>
        <w:t>inform</w:t>
      </w:r>
      <w:r w:rsidRPr="000A0A5F">
        <w:rPr>
          <w:rFonts w:hint="eastAsia"/>
          <w:noProof/>
          <w:lang w:eastAsia="zh-CN"/>
        </w:rPr>
        <w:t xml:space="preserve"> the SCEF </w:t>
      </w:r>
      <w:r w:rsidRPr="000A0A5F">
        <w:rPr>
          <w:noProof/>
          <w:lang w:eastAsia="zh-CN"/>
        </w:rPr>
        <w:t>for the</w:t>
      </w:r>
      <w:r w:rsidRPr="000A0A5F">
        <w:rPr>
          <w:lang w:eastAsia="zh-CN"/>
        </w:rPr>
        <w:t xml:space="preserve"> "</w:t>
      </w:r>
      <w:r w:rsidRPr="000A0A5F">
        <w:t>Individual BDT Subscription</w:t>
      </w:r>
      <w:r w:rsidRPr="000A0A5F">
        <w:rPr>
          <w:lang w:eastAsia="zh-CN"/>
        </w:rPr>
        <w:t>" resource of</w:t>
      </w:r>
      <w:r w:rsidRPr="000A0A5F">
        <w:rPr>
          <w:rFonts w:hint="eastAsia"/>
          <w:noProof/>
          <w:lang w:eastAsia="zh-CN"/>
        </w:rPr>
        <w:t xml:space="preserve"> the transfer policy selected by the SCS/AS. </w:t>
      </w:r>
      <w:r w:rsidRPr="000A0A5F">
        <w:rPr>
          <w:noProof/>
          <w:lang w:eastAsia="zh-CN"/>
        </w:rPr>
        <w:t>After</w:t>
      </w:r>
      <w:r w:rsidRPr="000A0A5F">
        <w:rPr>
          <w:rFonts w:hint="eastAsia"/>
          <w:lang w:eastAsia="zh-CN"/>
        </w:rPr>
        <w:t xml:space="preserve"> </w:t>
      </w:r>
      <w:r w:rsidRPr="000A0A5F">
        <w:rPr>
          <w:lang w:eastAsia="zh-CN"/>
        </w:rPr>
        <w:t>receiv</w:t>
      </w:r>
      <w:r w:rsidRPr="000A0A5F">
        <w:rPr>
          <w:rFonts w:hint="eastAsia"/>
          <w:lang w:eastAsia="zh-CN"/>
        </w:rPr>
        <w:t xml:space="preserve">ing the HTTP </w:t>
      </w:r>
      <w:r w:rsidRPr="000A0A5F">
        <w:rPr>
          <w:lang w:eastAsia="zh-CN"/>
        </w:rPr>
        <w:t>PATCH</w:t>
      </w:r>
      <w:r w:rsidRPr="000A0A5F">
        <w:rPr>
          <w:rFonts w:hint="eastAsia"/>
          <w:lang w:eastAsia="zh-CN"/>
        </w:rPr>
        <w:t xml:space="preserve"> message, the SCEF shall send an HTTP response to the SCS/AS </w:t>
      </w:r>
      <w:r w:rsidRPr="000A0A5F">
        <w:rPr>
          <w:lang w:eastAsia="zh-CN"/>
        </w:rPr>
        <w:t xml:space="preserve">with a </w:t>
      </w:r>
      <w:r w:rsidR="00BD2AFC" w:rsidRPr="000A0A5F">
        <w:rPr>
          <w:lang w:eastAsia="zh-CN"/>
        </w:rPr>
        <w:t>"200 OK"</w:t>
      </w:r>
      <w:r w:rsidRPr="000A0A5F">
        <w:rPr>
          <w:lang w:eastAsia="zh-CN"/>
        </w:rPr>
        <w:t xml:space="preserve"> status code</w:t>
      </w:r>
      <w:r w:rsidRPr="000A0A5F">
        <w:rPr>
          <w:rFonts w:hint="eastAsia"/>
          <w:lang w:eastAsia="zh-CN"/>
        </w:rPr>
        <w:t xml:space="preserve"> </w:t>
      </w:r>
      <w:r w:rsidR="00BD2AFC" w:rsidRPr="000A0A5F">
        <w:rPr>
          <w:lang w:eastAsia="zh-CN"/>
        </w:rPr>
        <w:t>and shall include the Bdt data type in the response body, or with a "204 No Content" status code,</w:t>
      </w:r>
      <w:r w:rsidR="00BD2AFC" w:rsidRPr="000A0A5F">
        <w:rPr>
          <w:rFonts w:hint="eastAsia"/>
          <w:lang w:eastAsia="zh-CN"/>
        </w:rPr>
        <w:t xml:space="preserve"> </w:t>
      </w:r>
      <w:r w:rsidR="00BD2AFC" w:rsidRPr="000A0A5F">
        <w:rPr>
          <w:lang w:eastAsia="zh-CN"/>
        </w:rPr>
        <w:t>then the SCEF</w:t>
      </w:r>
      <w:r w:rsidRPr="000A0A5F">
        <w:rPr>
          <w:rFonts w:hint="eastAsia"/>
          <w:lang w:eastAsia="zh-CN"/>
        </w:rPr>
        <w:t xml:space="preserve"> </w:t>
      </w:r>
      <w:r w:rsidR="00BD2AFC" w:rsidRPr="000A0A5F">
        <w:rPr>
          <w:lang w:eastAsia="zh-CN"/>
        </w:rPr>
        <w:t xml:space="preserve">shall </w:t>
      </w:r>
      <w:r w:rsidRPr="000A0A5F">
        <w:rPr>
          <w:lang w:eastAsia="zh-CN"/>
        </w:rPr>
        <w:t>interact with</w:t>
      </w:r>
      <w:r w:rsidRPr="000A0A5F">
        <w:rPr>
          <w:rFonts w:hint="eastAsia"/>
          <w:lang w:eastAsia="zh-CN"/>
        </w:rPr>
        <w:t xml:space="preserve"> the PCRF as defined in 3GPP TS 29.154</w:t>
      </w:r>
      <w:r w:rsidRPr="000A0A5F">
        <w:rPr>
          <w:lang w:val="en-US" w:eastAsia="zh-CN"/>
        </w:rPr>
        <w:t> </w:t>
      </w:r>
      <w:r w:rsidRPr="000A0A5F">
        <w:rPr>
          <w:rFonts w:hint="eastAsia"/>
          <w:lang w:val="en-US" w:eastAsia="zh-CN"/>
        </w:rPr>
        <w:t>[</w:t>
      </w:r>
      <w:r w:rsidRPr="000A0A5F">
        <w:rPr>
          <w:lang w:val="en-US" w:eastAsia="zh-CN"/>
        </w:rPr>
        <w:t>9</w:t>
      </w:r>
      <w:r w:rsidRPr="000A0A5F">
        <w:rPr>
          <w:rFonts w:hint="eastAsia"/>
          <w:lang w:val="en-US" w:eastAsia="zh-CN"/>
        </w:rPr>
        <w:t>]</w:t>
      </w:r>
      <w:r w:rsidRPr="000A0A5F">
        <w:rPr>
          <w:rFonts w:hint="eastAsia"/>
          <w:lang w:eastAsia="zh-CN"/>
        </w:rPr>
        <w:t xml:space="preserve">. </w:t>
      </w:r>
      <w:r w:rsidRPr="000A0A5F">
        <w:t>If the SCEF identifies any error (e.g. selected policy is not within the set of transfer policies), the SCEF shall not update the resource and shall respond to the SCS/AS with a corresponding failure code as described in clause 5.2.6.</w:t>
      </w:r>
    </w:p>
    <w:p w:rsidR="00CB0DD7" w:rsidRPr="000A0A5F" w:rsidRDefault="00CB0DD7">
      <w:pPr>
        <w:rPr>
          <w:noProof/>
          <w:lang w:eastAsia="zh-CN"/>
        </w:rPr>
      </w:pPr>
      <w:bookmarkStart w:id="394" w:name="_Hlk491346764"/>
      <w:r w:rsidRPr="000A0A5F">
        <w:rPr>
          <w:noProof/>
          <w:lang w:eastAsia="zh-CN"/>
        </w:rPr>
        <w:t xml:space="preserve">The SCS/AS may also send an HTTP DELETE message to the SCEF for the </w:t>
      </w:r>
      <w:r w:rsidRPr="000A0A5F">
        <w:rPr>
          <w:lang w:eastAsia="zh-CN"/>
        </w:rPr>
        <w:t>"</w:t>
      </w:r>
      <w:r w:rsidRPr="000A0A5F">
        <w:t>Individual BDT Subscription</w:t>
      </w:r>
      <w:r w:rsidRPr="000A0A5F">
        <w:rPr>
          <w:lang w:eastAsia="zh-CN"/>
        </w:rPr>
        <w:t>" resource</w:t>
      </w:r>
      <w:r w:rsidRPr="000A0A5F">
        <w:rPr>
          <w:noProof/>
          <w:lang w:eastAsia="zh-CN"/>
        </w:rPr>
        <w:t xml:space="preserve"> requesting to remove an individual resource identified by </w:t>
      </w:r>
      <w:r w:rsidRPr="000A0A5F">
        <w:rPr>
          <w:lang w:eastAsia="zh-CN"/>
        </w:rPr>
        <w:t>the URI received in the response to the request that has created resource</w:t>
      </w:r>
      <w:r w:rsidRPr="000A0A5F">
        <w:rPr>
          <w:noProof/>
          <w:lang w:eastAsia="zh-CN"/>
        </w:rPr>
        <w:t xml:space="preserve"> a URI. After receiving such request, the SCEF shall delete the resource and </w:t>
      </w:r>
      <w:r w:rsidRPr="000A0A5F">
        <w:rPr>
          <w:rFonts w:hint="eastAsia"/>
          <w:lang w:eastAsia="zh-CN"/>
        </w:rPr>
        <w:t>send an HTTP response to the SCS/AS</w:t>
      </w:r>
      <w:r w:rsidRPr="000A0A5F">
        <w:rPr>
          <w:noProof/>
          <w:lang w:eastAsia="zh-CN"/>
        </w:rPr>
        <w:t xml:space="preserve"> with a </w:t>
      </w:r>
      <w:r w:rsidRPr="000A0A5F">
        <w:rPr>
          <w:rFonts w:hint="eastAsia"/>
          <w:lang w:eastAsia="zh-CN"/>
        </w:rPr>
        <w:t xml:space="preserve">corresponding </w:t>
      </w:r>
      <w:r w:rsidRPr="000A0A5F">
        <w:rPr>
          <w:lang w:eastAsia="zh-CN"/>
        </w:rPr>
        <w:t>s</w:t>
      </w:r>
      <w:r w:rsidRPr="000A0A5F">
        <w:rPr>
          <w:noProof/>
          <w:lang w:eastAsia="zh-CN"/>
        </w:rPr>
        <w:t>tatus code.</w:t>
      </w:r>
    </w:p>
    <w:p w:rsidR="00CB0DD7" w:rsidRPr="000A0A5F" w:rsidRDefault="00CB0DD7">
      <w:pPr>
        <w:pStyle w:val="NO"/>
        <w:rPr>
          <w:rFonts w:hint="eastAsia"/>
          <w:noProof/>
          <w:lang w:eastAsia="zh-CN"/>
        </w:rPr>
      </w:pPr>
      <w:r w:rsidRPr="000A0A5F">
        <w:rPr>
          <w:noProof/>
          <w:lang w:eastAsia="zh-CN"/>
        </w:rPr>
        <w:t>NOTE</w:t>
      </w:r>
      <w:r w:rsidRPr="000A0A5F">
        <w:rPr>
          <w:noProof/>
          <w:lang w:val="en-US" w:eastAsia="zh-CN"/>
        </w:rPr>
        <w:t> 2</w:t>
      </w:r>
      <w:r w:rsidRPr="000A0A5F">
        <w:rPr>
          <w:noProof/>
          <w:lang w:eastAsia="zh-CN"/>
        </w:rPr>
        <w:t>:</w:t>
      </w:r>
      <w:r w:rsidRPr="000A0A5F">
        <w:rPr>
          <w:noProof/>
          <w:lang w:eastAsia="zh-CN"/>
        </w:rPr>
        <w:tab/>
        <w:t xml:space="preserve">The SCEF can also remove the resource when the last window end time in transfer policies expires. </w:t>
      </w:r>
    </w:p>
    <w:p w:rsidR="00CB0DD7" w:rsidRPr="000A0A5F" w:rsidRDefault="00CB0DD7">
      <w:pPr>
        <w:pStyle w:val="Heading3"/>
        <w:rPr>
          <w:lang w:eastAsia="zh-CN"/>
        </w:rPr>
      </w:pPr>
      <w:bookmarkStart w:id="395" w:name="_Toc11247204"/>
      <w:bookmarkStart w:id="396" w:name="_Toc27044321"/>
      <w:bookmarkStart w:id="397" w:name="_Toc36033363"/>
      <w:bookmarkStart w:id="398" w:name="_Toc45131493"/>
      <w:bookmarkStart w:id="399" w:name="_Toc49775778"/>
      <w:bookmarkStart w:id="400" w:name="_Toc51746698"/>
      <w:bookmarkStart w:id="401" w:name="_Toc66360240"/>
      <w:bookmarkStart w:id="402" w:name="_Toc68104745"/>
      <w:bookmarkStart w:id="403" w:name="_Toc74755374"/>
      <w:bookmarkStart w:id="404" w:name="_Toc105674229"/>
      <w:bookmarkStart w:id="405" w:name="_Toc130502262"/>
      <w:bookmarkStart w:id="406" w:name="_Toc153625041"/>
      <w:bookmarkEnd w:id="394"/>
      <w:r w:rsidRPr="000A0A5F">
        <w:t>4.</w:t>
      </w:r>
      <w:r w:rsidRPr="000A0A5F">
        <w:rPr>
          <w:lang w:eastAsia="zh-CN"/>
        </w:rPr>
        <w:t>4</w:t>
      </w:r>
      <w:r w:rsidRPr="000A0A5F">
        <w:t>.</w:t>
      </w:r>
      <w:r w:rsidRPr="000A0A5F">
        <w:rPr>
          <w:lang w:eastAsia="zh-CN"/>
        </w:rPr>
        <w:t>4</w:t>
      </w:r>
      <w:r w:rsidRPr="000A0A5F">
        <w:tab/>
      </w:r>
      <w:r w:rsidRPr="000A0A5F">
        <w:rPr>
          <w:rFonts w:hint="eastAsia"/>
          <w:lang w:eastAsia="zh-CN"/>
        </w:rPr>
        <w:t>Procedures for changing the chargeable party at session set up or during the session</w:t>
      </w:r>
      <w:bookmarkEnd w:id="395"/>
      <w:bookmarkEnd w:id="396"/>
      <w:bookmarkEnd w:id="397"/>
      <w:bookmarkEnd w:id="398"/>
      <w:bookmarkEnd w:id="399"/>
      <w:bookmarkEnd w:id="400"/>
      <w:bookmarkEnd w:id="401"/>
      <w:bookmarkEnd w:id="402"/>
      <w:bookmarkEnd w:id="403"/>
      <w:bookmarkEnd w:id="404"/>
      <w:bookmarkEnd w:id="405"/>
      <w:bookmarkEnd w:id="406"/>
    </w:p>
    <w:p w:rsidR="00CB0DD7" w:rsidRPr="000A0A5F" w:rsidRDefault="00CB0DD7">
      <w:r w:rsidRPr="000A0A5F">
        <w:t xml:space="preserve">This </w:t>
      </w:r>
      <w:r w:rsidRPr="000A0A5F">
        <w:rPr>
          <w:rFonts w:hint="eastAsia"/>
          <w:lang w:eastAsia="zh-CN"/>
        </w:rPr>
        <w:t xml:space="preserve">procedure is used by an SCS/AS to </w:t>
      </w:r>
      <w:r w:rsidRPr="000A0A5F">
        <w:t xml:space="preserve">either request to sponsor the traffic from the beginning or </w:t>
      </w:r>
      <w:r w:rsidRPr="000A0A5F">
        <w:rPr>
          <w:rFonts w:hint="eastAsia"/>
          <w:lang w:eastAsia="zh-CN"/>
        </w:rPr>
        <w:t>to</w:t>
      </w:r>
      <w:r w:rsidRPr="000A0A5F">
        <w:t xml:space="preserve"> request becom</w:t>
      </w:r>
      <w:r w:rsidRPr="000A0A5F">
        <w:rPr>
          <w:rFonts w:hint="eastAsia"/>
          <w:lang w:eastAsia="zh-CN"/>
        </w:rPr>
        <w:t>ing</w:t>
      </w:r>
      <w:r w:rsidRPr="000A0A5F">
        <w:t xml:space="preserve"> the chargeable party at a later point in time via the </w:t>
      </w:r>
      <w:r w:rsidRPr="000A0A5F">
        <w:rPr>
          <w:rFonts w:hint="eastAsia"/>
          <w:lang w:eastAsia="zh-CN"/>
        </w:rPr>
        <w:t>T8</w:t>
      </w:r>
      <w:r w:rsidRPr="000A0A5F">
        <w:t xml:space="preserve"> interface.</w:t>
      </w:r>
    </w:p>
    <w:p w:rsidR="00CB0DD7" w:rsidRPr="000A0A5F" w:rsidRDefault="00CB0DD7">
      <w:pPr>
        <w:rPr>
          <w:rFonts w:hint="eastAsia"/>
          <w:lang w:eastAsia="zh-CN"/>
        </w:rPr>
      </w:pPr>
      <w:r w:rsidRPr="000A0A5F">
        <w:t>When setting up the connection between the AS and the UE via the SCEF, the SCS/AS shall send an HTTP POST request to the SCEF, targeting the "Chargeable Party Transactions" resource, to become the chargeable party for the session to be set up</w:t>
      </w:r>
      <w:r w:rsidRPr="000A0A5F">
        <w:rPr>
          <w:rFonts w:hint="eastAsia"/>
          <w:lang w:eastAsia="zh-CN"/>
        </w:rPr>
        <w:t xml:space="preserve">. </w:t>
      </w:r>
      <w:r w:rsidRPr="000A0A5F">
        <w:rPr>
          <w:lang w:eastAsia="zh-CN"/>
        </w:rPr>
        <w:t xml:space="preserve">The body of the HTTP POST message shall include the SCS/AS Identifier, UE IP address, IP Flow description, Sponsor ID, ASP ID, Sponsoring Status, notification destination URI identifying the recipient of notifications within the </w:t>
      </w:r>
      <w:r w:rsidRPr="000A0A5F">
        <w:rPr>
          <w:noProof/>
        </w:rPr>
        <w:t>"</w:t>
      </w:r>
      <w:r w:rsidRPr="000A0A5F">
        <w:t>notificationDestination</w:t>
      </w:r>
      <w:r w:rsidRPr="000A0A5F">
        <w:rPr>
          <w:noProof/>
        </w:rPr>
        <w:t>"</w:t>
      </w:r>
      <w:r w:rsidRPr="000A0A5F">
        <w:rPr>
          <w:rFonts w:hint="eastAsia"/>
        </w:rPr>
        <w:t xml:space="preserve"> </w:t>
      </w:r>
      <w:r w:rsidRPr="000A0A5F">
        <w:t>attribute</w:t>
      </w:r>
      <w:r w:rsidRPr="000A0A5F">
        <w:rPr>
          <w:lang w:eastAsia="zh-CN"/>
        </w:rPr>
        <w:t xml:space="preserve"> and may include the time period and/or traffic volume used for sponsoring. The SCS/AS may also request to activate a previously selected policy of background data transfer by including the associated Reference ID in the body of the HTTP POST message.</w:t>
      </w:r>
      <w:r w:rsidRPr="000A0A5F">
        <w:t xml:space="preserve"> </w:t>
      </w:r>
      <w:r w:rsidRPr="000A0A5F">
        <w:rPr>
          <w:lang w:eastAsia="zh-CN"/>
        </w:rPr>
        <w:t>If the feature AppId is supported, either the Flow description or an external Application Identifier shall be included.</w:t>
      </w:r>
    </w:p>
    <w:p w:rsidR="00CB0DD7" w:rsidRPr="000A0A5F" w:rsidRDefault="00CB0DD7">
      <w:r w:rsidRPr="000A0A5F">
        <w:rPr>
          <w:lang w:eastAsia="zh-CN"/>
        </w:rPr>
        <w:t>After receiv</w:t>
      </w:r>
      <w:r w:rsidRPr="000A0A5F">
        <w:rPr>
          <w:rFonts w:hint="eastAsia"/>
          <w:lang w:eastAsia="zh-CN"/>
        </w:rPr>
        <w:t xml:space="preserve">ing the HTTP POST </w:t>
      </w:r>
      <w:r w:rsidRPr="000A0A5F">
        <w:rPr>
          <w:lang w:eastAsia="zh-CN"/>
        </w:rPr>
        <w:t>request</w:t>
      </w:r>
      <w:r w:rsidRPr="000A0A5F">
        <w:rPr>
          <w:rFonts w:hint="eastAsia"/>
          <w:lang w:eastAsia="zh-CN"/>
        </w:rPr>
        <w:t xml:space="preserve">, </w:t>
      </w:r>
      <w:r w:rsidRPr="000A0A5F">
        <w:rPr>
          <w:lang w:eastAsia="zh-CN"/>
        </w:rPr>
        <w:t xml:space="preserve">if the authorization performed by the SCEF is successful, the SCEF shall act as an AF and </w:t>
      </w:r>
      <w:r w:rsidRPr="000A0A5F">
        <w:t xml:space="preserve">interact with the PCRF via the Rx interface, </w:t>
      </w:r>
      <w:r w:rsidRPr="000A0A5F">
        <w:rPr>
          <w:lang w:eastAsia="zh-CN"/>
        </w:rPr>
        <w:t xml:space="preserve">as defined in </w:t>
      </w:r>
      <w:r w:rsidRPr="000A0A5F">
        <w:rPr>
          <w:rFonts w:hint="eastAsia"/>
          <w:lang w:eastAsia="zh-CN"/>
        </w:rPr>
        <w:t>3GPP TS 29.</w:t>
      </w:r>
      <w:r w:rsidRPr="000A0A5F">
        <w:rPr>
          <w:lang w:eastAsia="zh-CN"/>
        </w:rPr>
        <w:t>214</w:t>
      </w:r>
      <w:r w:rsidRPr="000A0A5F">
        <w:rPr>
          <w:lang w:val="en-US" w:eastAsia="zh-CN"/>
        </w:rPr>
        <w:t> </w:t>
      </w:r>
      <w:r w:rsidRPr="000A0A5F">
        <w:rPr>
          <w:rFonts w:hint="eastAsia"/>
          <w:lang w:val="en-US" w:eastAsia="zh-CN"/>
        </w:rPr>
        <w:t>[10]</w:t>
      </w:r>
      <w:r w:rsidRPr="000A0A5F">
        <w:t xml:space="preserve"> </w:t>
      </w:r>
      <w:r w:rsidRPr="000A0A5F">
        <w:rPr>
          <w:lang w:val="en-US" w:eastAsia="zh-CN"/>
        </w:rPr>
        <w:t>or</w:t>
      </w:r>
      <w:r w:rsidRPr="000A0A5F">
        <w:t xml:space="preserve"> </w:t>
      </w:r>
      <w:r w:rsidRPr="000A0A5F">
        <w:rPr>
          <w:rFonts w:hint="eastAsia"/>
          <w:lang w:eastAsia="zh-CN"/>
        </w:rPr>
        <w:t>3GPP TS 29.</w:t>
      </w:r>
      <w:r w:rsidRPr="000A0A5F">
        <w:rPr>
          <w:lang w:eastAsia="zh-CN"/>
        </w:rPr>
        <w:t>201</w:t>
      </w:r>
      <w:r w:rsidRPr="000A0A5F">
        <w:rPr>
          <w:lang w:val="en-US" w:eastAsia="zh-CN"/>
        </w:rPr>
        <w:t> </w:t>
      </w:r>
      <w:r w:rsidRPr="000A0A5F">
        <w:rPr>
          <w:rFonts w:hint="eastAsia"/>
          <w:lang w:val="en-US" w:eastAsia="zh-CN"/>
        </w:rPr>
        <w:t>[</w:t>
      </w:r>
      <w:r w:rsidRPr="000A0A5F">
        <w:rPr>
          <w:lang w:val="en-US" w:eastAsia="zh-CN"/>
        </w:rPr>
        <w:t>13</w:t>
      </w:r>
      <w:r w:rsidRPr="000A0A5F">
        <w:rPr>
          <w:rFonts w:hint="eastAsia"/>
          <w:lang w:val="en-US" w:eastAsia="zh-CN"/>
        </w:rPr>
        <w:t>]</w:t>
      </w:r>
      <w:r w:rsidRPr="000A0A5F">
        <w:rPr>
          <w:lang w:val="en-US" w:eastAsia="zh-CN"/>
        </w:rPr>
        <w:t xml:space="preserve">, </w:t>
      </w:r>
      <w:r w:rsidRPr="000A0A5F">
        <w:t xml:space="preserve">to trigger a PCRF initiated IP-CAN Session Modification. The SCEF </w:t>
      </w:r>
      <w:r w:rsidRPr="000A0A5F">
        <w:rPr>
          <w:lang w:eastAsia="zh-CN"/>
        </w:rPr>
        <w:t>may map the SCS/AS Identifier to AF Application Identifier</w:t>
      </w:r>
      <w:r w:rsidRPr="000A0A5F">
        <w:t xml:space="preserve"> if the external Application Identifier is not provided and only one AF Application Identifier is mapped and may request to be notified about the traffic plane status</w:t>
      </w:r>
      <w:r w:rsidR="0022396D" w:rsidRPr="000A0A5F">
        <w:t xml:space="preserve"> based on local configuration</w:t>
      </w:r>
      <w:r w:rsidRPr="000A0A5F">
        <w:t>. If the time period and/or traffic volume are received from the SCS/AS, the SCEF should subscribe with the PCRF to the USAGE_REPORT event.</w:t>
      </w:r>
    </w:p>
    <w:p w:rsidR="0022396D" w:rsidRPr="000A0A5F" w:rsidRDefault="0022396D" w:rsidP="0022396D">
      <w:r w:rsidRPr="000A0A5F">
        <w:t>If the "enNB" feature is supported, the SCEF may explicitly receive a list of event</w:t>
      </w:r>
      <w:r w:rsidRPr="000A0A5F">
        <w:rPr>
          <w:rFonts w:hint="eastAsia"/>
          <w:lang w:val="en-US" w:eastAsia="zh-CN"/>
        </w:rPr>
        <w:t>(</w:t>
      </w:r>
      <w:r w:rsidRPr="000A0A5F">
        <w:t>s) that the SCS/AS requests to subscribe</w:t>
      </w:r>
      <w:r w:rsidR="00BD2AFC" w:rsidRPr="000A0A5F">
        <w:t xml:space="preserve"> to</w:t>
      </w:r>
      <w:r w:rsidRPr="000A0A5F">
        <w:t xml:space="preserve">. The SCEF shall subscribe to the corresponding PCRF event(s) (e.g. INDICATION_OF_SUCCESSFUL_RESOURCE_ALLOCATION) for the received event(s) (e.g. SUCCESSFUL_RESOURCES_ALLOCATION) except for </w:t>
      </w:r>
      <w:r w:rsidRPr="000A0A5F">
        <w:rPr>
          <w:rFonts w:hint="eastAsia"/>
          <w:lang w:eastAsia="zh-CN"/>
        </w:rPr>
        <w:t>SESSION_TERMINATION</w:t>
      </w:r>
      <w:r w:rsidRPr="000A0A5F">
        <w:t>.</w:t>
      </w:r>
    </w:p>
    <w:p w:rsidR="0022396D" w:rsidRPr="000A0A5F" w:rsidRDefault="0022396D" w:rsidP="0022396D">
      <w:pPr>
        <w:pStyle w:val="NO"/>
      </w:pPr>
      <w:r w:rsidRPr="000A0A5F">
        <w:t>NOTE 1:</w:t>
      </w:r>
      <w:r w:rsidRPr="000A0A5F">
        <w:tab/>
        <w:t>PCRF does not need explicit subscription in order to notify Rx session termination.</w:t>
      </w:r>
    </w:p>
    <w:p w:rsidR="00CB0DD7" w:rsidRPr="000A0A5F" w:rsidRDefault="00CB0DD7">
      <w:pPr>
        <w:rPr>
          <w:rFonts w:hint="eastAsia"/>
          <w:lang w:eastAsia="zh-CN"/>
        </w:rPr>
      </w:pPr>
      <w:r w:rsidRPr="000A0A5F">
        <w:rPr>
          <w:lang w:eastAsia="zh-CN"/>
        </w:rPr>
        <w:t xml:space="preserve">After </w:t>
      </w:r>
      <w:r w:rsidRPr="000A0A5F">
        <w:rPr>
          <w:rFonts w:hint="eastAsia"/>
          <w:lang w:eastAsia="zh-CN"/>
        </w:rPr>
        <w:t xml:space="preserve">receiving </w:t>
      </w:r>
      <w:r w:rsidRPr="000A0A5F">
        <w:rPr>
          <w:lang w:eastAsia="zh-CN"/>
        </w:rPr>
        <w:t>a successful</w:t>
      </w:r>
      <w:r w:rsidRPr="000A0A5F">
        <w:rPr>
          <w:rFonts w:hint="eastAsia"/>
          <w:lang w:eastAsia="zh-CN"/>
        </w:rPr>
        <w:t xml:space="preserve"> response </w:t>
      </w:r>
      <w:r w:rsidRPr="000A0A5F">
        <w:rPr>
          <w:lang w:eastAsia="zh-CN"/>
        </w:rPr>
        <w:t>from the</w:t>
      </w:r>
      <w:r w:rsidRPr="000A0A5F">
        <w:rPr>
          <w:rFonts w:hint="eastAsia"/>
          <w:lang w:eastAsia="zh-CN"/>
        </w:rPr>
        <w:t xml:space="preserve"> PCRF, the SCEF shall </w:t>
      </w:r>
      <w:r w:rsidRPr="000A0A5F">
        <w:rPr>
          <w:lang w:eastAsia="zh-CN"/>
        </w:rPr>
        <w:t xml:space="preserve">create a new </w:t>
      </w:r>
      <w:r w:rsidRPr="000A0A5F">
        <w:t>"Individual Chargeable Party Transaction"</w:t>
      </w:r>
      <w:r w:rsidRPr="000A0A5F">
        <w:rPr>
          <w:lang w:eastAsia="zh-CN"/>
        </w:rPr>
        <w:t xml:space="preserve"> resource, which represents the chargeable party transaction, addressed by a URI that contains the SCS/AS identity and an SCEF-created transaction identifier, and shall respond to the SCS/AS </w:t>
      </w:r>
      <w:r w:rsidRPr="000A0A5F">
        <w:t xml:space="preserve">with a 201 </w:t>
      </w:r>
      <w:r w:rsidRPr="000A0A5F">
        <w:rPr>
          <w:rFonts w:hint="eastAsia"/>
          <w:lang w:eastAsia="zh-CN"/>
        </w:rPr>
        <w:t>Created</w:t>
      </w:r>
      <w:r w:rsidRPr="000A0A5F">
        <w:t xml:space="preserve"> status code</w:t>
      </w:r>
      <w:r w:rsidRPr="000A0A5F">
        <w:rPr>
          <w:rFonts w:hint="eastAsia"/>
          <w:lang w:eastAsia="zh-CN"/>
        </w:rPr>
        <w:t xml:space="preserve">, </w:t>
      </w:r>
      <w:r w:rsidRPr="000A0A5F">
        <w:t>including</w:t>
      </w:r>
      <w:r w:rsidRPr="000A0A5F">
        <w:rPr>
          <w:rFonts w:hint="eastAsia"/>
          <w:lang w:eastAsia="zh-CN"/>
        </w:rPr>
        <w:t xml:space="preserve"> </w:t>
      </w:r>
      <w:r w:rsidRPr="000A0A5F">
        <w:t>a Location header field containing the URI of the created resource</w:t>
      </w:r>
      <w:r w:rsidRPr="000A0A5F">
        <w:rPr>
          <w:rFonts w:hint="eastAsia"/>
          <w:lang w:eastAsia="zh-CN"/>
        </w:rPr>
        <w:t>.</w:t>
      </w:r>
      <w:r w:rsidRPr="000A0A5F">
        <w:rPr>
          <w:lang w:eastAsia="zh-CN"/>
        </w:rPr>
        <w:t xml:space="preserve"> </w:t>
      </w:r>
      <w:r w:rsidRPr="000A0A5F">
        <w:t xml:space="preserve">The </w:t>
      </w:r>
      <w:r w:rsidRPr="000A0A5F">
        <w:rPr>
          <w:rFonts w:hint="eastAsia"/>
          <w:lang w:eastAsia="zh-CN"/>
        </w:rPr>
        <w:t>SCS/AS</w:t>
      </w:r>
      <w:r w:rsidRPr="000A0A5F">
        <w:t xml:space="preserve"> shall use the </w:t>
      </w:r>
      <w:r w:rsidRPr="000A0A5F">
        <w:rPr>
          <w:rFonts w:hint="eastAsia"/>
          <w:lang w:eastAsia="zh-CN"/>
        </w:rPr>
        <w:t>URI</w:t>
      </w:r>
      <w:r w:rsidRPr="000A0A5F">
        <w:t xml:space="preserve"> received </w:t>
      </w:r>
      <w:r w:rsidRPr="000A0A5F">
        <w:rPr>
          <w:rFonts w:hint="eastAsia"/>
          <w:lang w:eastAsia="zh-CN"/>
        </w:rPr>
        <w:t>in the Location header</w:t>
      </w:r>
      <w:r w:rsidRPr="000A0A5F">
        <w:t xml:space="preserve"> in subsequent requests to the </w:t>
      </w:r>
      <w:r w:rsidRPr="000A0A5F">
        <w:rPr>
          <w:rFonts w:hint="eastAsia"/>
          <w:lang w:eastAsia="zh-CN"/>
        </w:rPr>
        <w:t xml:space="preserve">SCEF </w:t>
      </w:r>
      <w:r w:rsidRPr="000A0A5F">
        <w:t>to refer to this</w:t>
      </w:r>
      <w:r w:rsidRPr="000A0A5F">
        <w:rPr>
          <w:rFonts w:hint="eastAsia"/>
          <w:lang w:eastAsia="zh-CN"/>
        </w:rPr>
        <w:t xml:space="preserve"> </w:t>
      </w:r>
      <w:r w:rsidRPr="000A0A5F">
        <w:rPr>
          <w:lang w:eastAsia="zh-CN"/>
        </w:rPr>
        <w:t>chargeable party transaction</w:t>
      </w:r>
      <w:r w:rsidRPr="000A0A5F">
        <w:t>. If the SCEF receives a response with an error code from the PCRF, the SCEF shall not create a resource and respond to the SCS/AS with a corresponding failure code as described in clause 5.2.6.</w:t>
      </w:r>
    </w:p>
    <w:p w:rsidR="00CB0DD7" w:rsidRPr="000A0A5F" w:rsidRDefault="00CB0DD7">
      <w:pPr>
        <w:tabs>
          <w:tab w:val="left" w:pos="3247"/>
        </w:tabs>
      </w:pPr>
      <w:r w:rsidRPr="000A0A5F">
        <w:rPr>
          <w:lang w:eastAsia="zh-CN"/>
        </w:rPr>
        <w:t>In order to update the sponsoring status of an established AS session, t</w:t>
      </w:r>
      <w:r w:rsidRPr="000A0A5F">
        <w:rPr>
          <w:rFonts w:hint="eastAsia"/>
          <w:lang w:eastAsia="zh-CN"/>
        </w:rPr>
        <w:t xml:space="preserve">he SCS/AS </w:t>
      </w:r>
      <w:r w:rsidRPr="000A0A5F">
        <w:rPr>
          <w:lang w:eastAsia="zh-CN"/>
        </w:rPr>
        <w:t>shall</w:t>
      </w:r>
      <w:r w:rsidRPr="000A0A5F">
        <w:rPr>
          <w:rFonts w:hint="eastAsia"/>
          <w:lang w:eastAsia="zh-CN"/>
        </w:rPr>
        <w:t xml:space="preserve"> send an HTTP PATCH </w:t>
      </w:r>
      <w:r w:rsidRPr="000A0A5F">
        <w:rPr>
          <w:lang w:eastAsia="zh-CN"/>
        </w:rPr>
        <w:t>message</w:t>
      </w:r>
      <w:r w:rsidRPr="000A0A5F">
        <w:rPr>
          <w:rFonts w:hint="eastAsia"/>
          <w:lang w:eastAsia="zh-CN"/>
        </w:rPr>
        <w:t xml:space="preserve"> to </w:t>
      </w:r>
      <w:r w:rsidRPr="000A0A5F">
        <w:rPr>
          <w:lang w:eastAsia="zh-CN"/>
        </w:rPr>
        <w:t xml:space="preserve">the SCEF targeting the associated </w:t>
      </w:r>
      <w:r w:rsidRPr="000A0A5F">
        <w:t>"Individual Chargeable Party Transaction" resource</w:t>
      </w:r>
      <w:r w:rsidRPr="000A0A5F">
        <w:rPr>
          <w:rFonts w:hint="eastAsia"/>
          <w:lang w:eastAsia="zh-CN"/>
        </w:rPr>
        <w:t xml:space="preserve"> request</w:t>
      </w:r>
      <w:r w:rsidRPr="000A0A5F">
        <w:rPr>
          <w:lang w:eastAsia="zh-CN"/>
        </w:rPr>
        <w:t>ing</w:t>
      </w:r>
      <w:r w:rsidRPr="000A0A5F">
        <w:rPr>
          <w:rFonts w:hint="eastAsia"/>
          <w:lang w:eastAsia="zh-CN"/>
        </w:rPr>
        <w:t xml:space="preserve"> to</w:t>
      </w:r>
      <w:r w:rsidRPr="000A0A5F">
        <w:rPr>
          <w:lang w:eastAsia="zh-CN"/>
        </w:rPr>
        <w:t xml:space="preserve"> partial update </w:t>
      </w:r>
      <w:r w:rsidRPr="000A0A5F">
        <w:t>a chargeable party transaction</w:t>
      </w:r>
      <w:r w:rsidRPr="000A0A5F">
        <w:rPr>
          <w:noProof/>
          <w:lang w:eastAsia="zh-CN"/>
        </w:rPr>
        <w:t xml:space="preserve"> resource</w:t>
      </w:r>
      <w:r w:rsidRPr="000A0A5F">
        <w:rPr>
          <w:lang w:eastAsia="zh-CN"/>
        </w:rPr>
        <w:t xml:space="preserve"> (e.g. change the Sponsoring Status</w:t>
      </w:r>
      <w:r w:rsidR="00BD2AFC" w:rsidRPr="000A0A5F">
        <w:rPr>
          <w:lang w:eastAsia="zh-CN"/>
        </w:rPr>
        <w:t xml:space="preserve">, update the list of event(s) if the </w:t>
      </w:r>
      <w:r w:rsidR="00BD2AFC" w:rsidRPr="000A0A5F">
        <w:t>"enNB" feature is supported</w:t>
      </w:r>
      <w:r w:rsidRPr="000A0A5F">
        <w:rPr>
          <w:lang w:eastAsia="zh-CN"/>
        </w:rPr>
        <w:t>)</w:t>
      </w:r>
      <w:r w:rsidRPr="000A0A5F">
        <w:rPr>
          <w:rFonts w:hint="eastAsia"/>
          <w:lang w:eastAsia="zh-CN"/>
        </w:rPr>
        <w:t xml:space="preserve">. When </w:t>
      </w:r>
      <w:r w:rsidRPr="000A0A5F">
        <w:rPr>
          <w:lang w:eastAsia="zh-CN"/>
        </w:rPr>
        <w:t>receiv</w:t>
      </w:r>
      <w:r w:rsidRPr="000A0A5F">
        <w:rPr>
          <w:rFonts w:hint="eastAsia"/>
          <w:lang w:eastAsia="zh-CN"/>
        </w:rPr>
        <w:t xml:space="preserve">ing the HTTP PATCH message, the SCEF shall make the change and interact with the PCRF </w:t>
      </w:r>
      <w:r w:rsidRPr="000A0A5F">
        <w:rPr>
          <w:lang w:eastAsia="zh-CN"/>
        </w:rPr>
        <w:t>to modify the Rx session</w:t>
      </w:r>
      <w:r w:rsidRPr="000A0A5F">
        <w:rPr>
          <w:rFonts w:hint="eastAsia"/>
          <w:lang w:eastAsia="zh-CN"/>
        </w:rPr>
        <w:t xml:space="preserve"> as defined in 3GPP TS 29.214</w:t>
      </w:r>
      <w:r w:rsidRPr="000A0A5F">
        <w:rPr>
          <w:lang w:val="en-US" w:eastAsia="zh-CN"/>
        </w:rPr>
        <w:t> </w:t>
      </w:r>
      <w:r w:rsidRPr="000A0A5F">
        <w:rPr>
          <w:rFonts w:hint="eastAsia"/>
          <w:lang w:val="en-US" w:eastAsia="zh-CN"/>
        </w:rPr>
        <w:t>[</w:t>
      </w:r>
      <w:r w:rsidRPr="000A0A5F">
        <w:rPr>
          <w:lang w:val="en-US" w:eastAsia="zh-CN"/>
        </w:rPr>
        <w:t>10</w:t>
      </w:r>
      <w:r w:rsidRPr="000A0A5F">
        <w:rPr>
          <w:rFonts w:hint="eastAsia"/>
          <w:lang w:val="en-US" w:eastAsia="zh-CN"/>
        </w:rPr>
        <w:t>]</w:t>
      </w:r>
      <w:r w:rsidRPr="000A0A5F">
        <w:rPr>
          <w:lang w:val="en-US" w:eastAsia="zh-CN"/>
        </w:rPr>
        <w:t xml:space="preserve"> or</w:t>
      </w:r>
      <w:r w:rsidRPr="000A0A5F">
        <w:t xml:space="preserve"> </w:t>
      </w:r>
      <w:r w:rsidRPr="000A0A5F">
        <w:rPr>
          <w:rFonts w:hint="eastAsia"/>
          <w:lang w:eastAsia="zh-CN"/>
        </w:rPr>
        <w:t>3GPP TS 29.</w:t>
      </w:r>
      <w:r w:rsidRPr="000A0A5F">
        <w:rPr>
          <w:lang w:eastAsia="zh-CN"/>
        </w:rPr>
        <w:t>201</w:t>
      </w:r>
      <w:r w:rsidRPr="000A0A5F">
        <w:rPr>
          <w:lang w:val="en-US" w:eastAsia="zh-CN"/>
        </w:rPr>
        <w:t> </w:t>
      </w:r>
      <w:r w:rsidRPr="000A0A5F">
        <w:rPr>
          <w:rFonts w:hint="eastAsia"/>
          <w:lang w:val="en-US" w:eastAsia="zh-CN"/>
        </w:rPr>
        <w:t>[</w:t>
      </w:r>
      <w:r w:rsidRPr="000A0A5F">
        <w:rPr>
          <w:lang w:val="en-US" w:eastAsia="zh-CN"/>
        </w:rPr>
        <w:t>13</w:t>
      </w:r>
      <w:r w:rsidRPr="000A0A5F">
        <w:rPr>
          <w:rFonts w:hint="eastAsia"/>
          <w:lang w:val="en-US" w:eastAsia="zh-CN"/>
        </w:rPr>
        <w:t xml:space="preserve">]. </w:t>
      </w:r>
      <w:r w:rsidRPr="000A0A5F">
        <w:rPr>
          <w:lang w:val="en-US" w:eastAsia="zh-CN"/>
        </w:rPr>
        <w:t>After</w:t>
      </w:r>
      <w:r w:rsidRPr="000A0A5F">
        <w:rPr>
          <w:rFonts w:hint="eastAsia"/>
          <w:lang w:eastAsia="zh-CN"/>
        </w:rPr>
        <w:t xml:space="preserve"> receiving </w:t>
      </w:r>
      <w:r w:rsidRPr="000A0A5F">
        <w:rPr>
          <w:lang w:eastAsia="zh-CN"/>
        </w:rPr>
        <w:t>a</w:t>
      </w:r>
      <w:r w:rsidRPr="000A0A5F">
        <w:rPr>
          <w:rFonts w:hint="eastAsia"/>
          <w:lang w:eastAsia="zh-CN"/>
        </w:rPr>
        <w:t xml:space="preserve"> response </w:t>
      </w:r>
      <w:r w:rsidRPr="000A0A5F">
        <w:rPr>
          <w:lang w:eastAsia="zh-CN"/>
        </w:rPr>
        <w:t>with successful result code from the</w:t>
      </w:r>
      <w:r w:rsidRPr="000A0A5F">
        <w:rPr>
          <w:rFonts w:hint="eastAsia"/>
          <w:lang w:eastAsia="zh-CN"/>
        </w:rPr>
        <w:t xml:space="preserve"> PCRF, the SCEF shall send an HTTP response to the SCS/AS </w:t>
      </w:r>
      <w:r w:rsidRPr="000A0A5F">
        <w:rPr>
          <w:noProof/>
          <w:lang w:eastAsia="zh-CN"/>
        </w:rPr>
        <w:t xml:space="preserve">with a "200 OK" status code and the result if any in the body of the HTTP response or a </w:t>
      </w:r>
      <w:r w:rsidRPr="000A0A5F">
        <w:t>"</w:t>
      </w:r>
      <w:r w:rsidRPr="000A0A5F">
        <w:rPr>
          <w:noProof/>
          <w:lang w:eastAsia="zh-CN"/>
        </w:rPr>
        <w:t>204 No Content</w:t>
      </w:r>
      <w:r w:rsidRPr="000A0A5F">
        <w:t>"</w:t>
      </w:r>
      <w:r w:rsidRPr="000A0A5F">
        <w:rPr>
          <w:noProof/>
          <w:lang w:eastAsia="zh-CN"/>
        </w:rPr>
        <w:t xml:space="preserve"> status code</w:t>
      </w:r>
      <w:r w:rsidRPr="000A0A5F">
        <w:rPr>
          <w:rFonts w:hint="eastAsia"/>
          <w:lang w:eastAsia="zh-CN"/>
        </w:rPr>
        <w:t>.</w:t>
      </w:r>
      <w:r w:rsidRPr="000A0A5F">
        <w:rPr>
          <w:lang w:eastAsia="zh-CN"/>
        </w:rPr>
        <w:t xml:space="preserve"> The accumulated usage received from the PCRF shall be included in the HTTP response with </w:t>
      </w:r>
      <w:r w:rsidRPr="000A0A5F">
        <w:rPr>
          <w:noProof/>
          <w:lang w:eastAsia="zh-CN"/>
        </w:rPr>
        <w:t xml:space="preserve">the </w:t>
      </w:r>
      <w:r w:rsidRPr="000A0A5F">
        <w:t>"</w:t>
      </w:r>
      <w:r w:rsidRPr="000A0A5F">
        <w:rPr>
          <w:noProof/>
          <w:lang w:eastAsia="zh-CN"/>
        </w:rPr>
        <w:t>200 OK</w:t>
      </w:r>
      <w:r w:rsidRPr="000A0A5F">
        <w:t>"</w:t>
      </w:r>
      <w:r w:rsidRPr="000A0A5F">
        <w:rPr>
          <w:noProof/>
          <w:lang w:eastAsia="zh-CN"/>
        </w:rPr>
        <w:t xml:space="preserve"> status code</w:t>
      </w:r>
      <w:r w:rsidRPr="000A0A5F">
        <w:rPr>
          <w:lang w:eastAsia="zh-CN"/>
        </w:rPr>
        <w:t xml:space="preserve"> if the SCS/AS requested to disable the sponsoring. </w:t>
      </w:r>
      <w:r w:rsidRPr="000A0A5F">
        <w:t>If the SCEF receives a response with an error code from the PCRF, the SCEF shall not update the resource and respond to the SCS/AS with a corresponding failure code as described in clause 5.2.6.</w:t>
      </w:r>
    </w:p>
    <w:p w:rsidR="00CB0DD7" w:rsidRPr="000A0A5F" w:rsidRDefault="00CB0DD7">
      <w:pPr>
        <w:pStyle w:val="NO"/>
        <w:rPr>
          <w:rFonts w:hint="eastAsia"/>
        </w:rPr>
      </w:pPr>
      <w:r w:rsidRPr="000A0A5F">
        <w:t>NOTE</w:t>
      </w:r>
      <w:r w:rsidR="0022396D" w:rsidRPr="000A0A5F">
        <w:t> 2</w:t>
      </w:r>
      <w:r w:rsidRPr="000A0A5F">
        <w:t>:</w:t>
      </w:r>
      <w:r w:rsidRPr="000A0A5F">
        <w:tab/>
        <w:t>The SCS/AS can assume a successful resource allocation upon receipt of the POST/PATCH response</w:t>
      </w:r>
      <w:r w:rsidRPr="000A0A5F">
        <w:rPr>
          <w:noProof/>
          <w:lang w:eastAsia="zh-CN"/>
        </w:rPr>
        <w:t xml:space="preserve"> until the </w:t>
      </w:r>
      <w:r w:rsidRPr="000A0A5F">
        <w:t>FAILED_RESOURCES_ALLOCATION</w:t>
      </w:r>
      <w:r w:rsidRPr="000A0A5F">
        <w:rPr>
          <w:noProof/>
          <w:lang w:eastAsia="zh-CN"/>
        </w:rPr>
        <w:t xml:space="preserve"> event is received.</w:t>
      </w:r>
    </w:p>
    <w:p w:rsidR="00BD2AFC" w:rsidRPr="000A0A5F" w:rsidRDefault="00BD2AFC" w:rsidP="00BD2AFC">
      <w:pPr>
        <w:pStyle w:val="NO"/>
        <w:rPr>
          <w:noProof/>
          <w:lang w:eastAsia="zh-CN"/>
        </w:rPr>
      </w:pPr>
      <w:r w:rsidRPr="000A0A5F">
        <w:t>NOTE 3:</w:t>
      </w:r>
      <w:r w:rsidRPr="000A0A5F">
        <w:tab/>
        <w:t>The SCS/AS can update the list of user plane event(s) only for one time specific events, i.e. INDICATION_OF_SUCCESSFUL_RESOURCES_ALLOCATION, INDICATION_OF_FAILED_RESOURCES_ALLOCATION and USAGE_REPORT events, as specified in clause 5.3.13 of 3GPP TS 29.214 [10]</w:t>
      </w:r>
      <w:r w:rsidRPr="000A0A5F">
        <w:rPr>
          <w:noProof/>
          <w:lang w:eastAsia="zh-CN"/>
        </w:rPr>
        <w:t>.</w:t>
      </w:r>
    </w:p>
    <w:p w:rsidR="00CB0DD7" w:rsidRPr="000A0A5F" w:rsidRDefault="00CB0DD7">
      <w:pPr>
        <w:tabs>
          <w:tab w:val="left" w:pos="3247"/>
        </w:tabs>
      </w:pPr>
      <w:r w:rsidRPr="000A0A5F">
        <w:rPr>
          <w:rFonts w:hint="eastAsia"/>
        </w:rPr>
        <w:t>If</w:t>
      </w:r>
      <w:r w:rsidRPr="000A0A5F">
        <w:t xml:space="preserve"> the </w:t>
      </w:r>
      <w:r w:rsidRPr="000A0A5F">
        <w:rPr>
          <w:rFonts w:hint="eastAsia"/>
          <w:lang w:eastAsia="zh-CN"/>
        </w:rPr>
        <w:t xml:space="preserve">SCEF receives </w:t>
      </w:r>
      <w:r w:rsidRPr="000A0A5F">
        <w:rPr>
          <w:lang w:eastAsia="zh-CN"/>
        </w:rPr>
        <w:t>a traffic plane notification</w:t>
      </w:r>
      <w:r w:rsidRPr="000A0A5F">
        <w:rPr>
          <w:rFonts w:hint="eastAsia"/>
          <w:lang w:eastAsia="zh-CN"/>
        </w:rPr>
        <w:t xml:space="preserve"> </w:t>
      </w:r>
      <w:r w:rsidRPr="000A0A5F">
        <w:rPr>
          <w:lang w:eastAsia="zh-CN"/>
        </w:rPr>
        <w:t xml:space="preserve">(e.g. </w:t>
      </w:r>
      <w:r w:rsidRPr="000A0A5F">
        <w:rPr>
          <w:rFonts w:hint="eastAsia"/>
          <w:lang w:eastAsia="zh-CN"/>
        </w:rPr>
        <w:t xml:space="preserve">the </w:t>
      </w:r>
      <w:r w:rsidRPr="000A0A5F">
        <w:t>usage threshold is reached or transmission resource lost) or  gets informed that the Rx session is terminated (e.g. due to the release of PDN connection), the SCEF shall send an HTTP POST message including the notified event (e.g. session terminated) and the accumulated usage to the SCS/AS identified by the notification destination URI received during session set up. The SCS/AS shall respond with an HTTP response to confirm the received notification.</w:t>
      </w:r>
    </w:p>
    <w:p w:rsidR="00CB0DD7" w:rsidRPr="000A0A5F" w:rsidRDefault="00CB0DD7">
      <w:pPr>
        <w:tabs>
          <w:tab w:val="left" w:pos="3247"/>
        </w:tabs>
        <w:rPr>
          <w:lang w:eastAsia="zh-CN"/>
        </w:rPr>
      </w:pPr>
      <w:r w:rsidRPr="000A0A5F">
        <w:rPr>
          <w:lang w:eastAsia="zh-CN"/>
        </w:rPr>
        <w:t>In order to remove an established AS session, t</w:t>
      </w:r>
      <w:r w:rsidRPr="000A0A5F">
        <w:rPr>
          <w:rFonts w:hint="eastAsia"/>
          <w:lang w:eastAsia="zh-CN"/>
        </w:rPr>
        <w:t xml:space="preserve">he SCS/AS </w:t>
      </w:r>
      <w:r w:rsidRPr="000A0A5F">
        <w:rPr>
          <w:lang w:eastAsia="zh-CN"/>
        </w:rPr>
        <w:t>shall</w:t>
      </w:r>
      <w:r w:rsidRPr="000A0A5F">
        <w:rPr>
          <w:rFonts w:hint="eastAsia"/>
          <w:lang w:eastAsia="zh-CN"/>
        </w:rPr>
        <w:t xml:space="preserve"> send an HTTP DELETE </w:t>
      </w:r>
      <w:r w:rsidRPr="000A0A5F">
        <w:rPr>
          <w:lang w:eastAsia="zh-CN"/>
        </w:rPr>
        <w:t>message</w:t>
      </w:r>
      <w:r w:rsidRPr="000A0A5F">
        <w:rPr>
          <w:rFonts w:hint="eastAsia"/>
          <w:lang w:eastAsia="zh-CN"/>
        </w:rPr>
        <w:t xml:space="preserve"> to</w:t>
      </w:r>
      <w:r w:rsidRPr="000A0A5F">
        <w:rPr>
          <w:lang w:eastAsia="zh-CN"/>
        </w:rPr>
        <w:t xml:space="preserve"> the SCEF targeting the associated </w:t>
      </w:r>
      <w:r w:rsidRPr="000A0A5F">
        <w:t xml:space="preserve">"Individual Chargeable Party Transaction" </w:t>
      </w:r>
      <w:r w:rsidRPr="000A0A5F">
        <w:rPr>
          <w:lang w:eastAsia="zh-CN"/>
        </w:rPr>
        <w:t>resource.</w:t>
      </w:r>
      <w:r w:rsidRPr="000A0A5F">
        <w:rPr>
          <w:rFonts w:hint="eastAsia"/>
          <w:lang w:eastAsia="zh-CN"/>
        </w:rPr>
        <w:t xml:space="preserve"> </w:t>
      </w:r>
      <w:r w:rsidRPr="000A0A5F">
        <w:rPr>
          <w:lang w:eastAsia="zh-CN"/>
        </w:rPr>
        <w:t>After</w:t>
      </w:r>
      <w:r w:rsidRPr="000A0A5F">
        <w:rPr>
          <w:rFonts w:hint="eastAsia"/>
          <w:lang w:eastAsia="zh-CN"/>
        </w:rPr>
        <w:t xml:space="preserve"> </w:t>
      </w:r>
      <w:r w:rsidRPr="000A0A5F">
        <w:rPr>
          <w:lang w:eastAsia="zh-CN"/>
        </w:rPr>
        <w:t>receiv</w:t>
      </w:r>
      <w:r w:rsidRPr="000A0A5F">
        <w:rPr>
          <w:rFonts w:hint="eastAsia"/>
          <w:lang w:eastAsia="zh-CN"/>
        </w:rPr>
        <w:t>ing the HTTP DELETE message, the SCEF shall remove all</w:t>
      </w:r>
      <w:r w:rsidRPr="000A0A5F">
        <w:rPr>
          <w:lang w:eastAsia="zh-CN"/>
        </w:rPr>
        <w:t xml:space="preserve"> properties</w:t>
      </w:r>
      <w:r w:rsidRPr="000A0A5F">
        <w:rPr>
          <w:rFonts w:hint="eastAsia"/>
          <w:lang w:eastAsia="zh-CN"/>
        </w:rPr>
        <w:t xml:space="preserve"> </w:t>
      </w:r>
      <w:r w:rsidRPr="000A0A5F">
        <w:rPr>
          <w:lang w:eastAsia="zh-CN"/>
        </w:rPr>
        <w:t xml:space="preserve">of the resource </w:t>
      </w:r>
      <w:r w:rsidRPr="000A0A5F">
        <w:rPr>
          <w:rFonts w:hint="eastAsia"/>
          <w:lang w:eastAsia="zh-CN"/>
        </w:rPr>
        <w:t xml:space="preserve">and interact with the PCRF </w:t>
      </w:r>
      <w:r w:rsidRPr="000A0A5F">
        <w:rPr>
          <w:lang w:eastAsia="zh-CN"/>
        </w:rPr>
        <w:t xml:space="preserve">to terminate the Rx session (as defined in </w:t>
      </w:r>
      <w:r w:rsidRPr="000A0A5F">
        <w:rPr>
          <w:rFonts w:hint="eastAsia"/>
          <w:lang w:eastAsia="zh-CN"/>
        </w:rPr>
        <w:t>3GPP TS 29.</w:t>
      </w:r>
      <w:r w:rsidRPr="000A0A5F">
        <w:rPr>
          <w:lang w:eastAsia="zh-CN"/>
        </w:rPr>
        <w:t>214</w:t>
      </w:r>
      <w:r w:rsidRPr="000A0A5F">
        <w:rPr>
          <w:lang w:val="en-US" w:eastAsia="zh-CN"/>
        </w:rPr>
        <w:t> </w:t>
      </w:r>
      <w:r w:rsidRPr="000A0A5F">
        <w:rPr>
          <w:rFonts w:hint="eastAsia"/>
          <w:lang w:val="en-US" w:eastAsia="zh-CN"/>
        </w:rPr>
        <w:t>[10]</w:t>
      </w:r>
      <w:r w:rsidRPr="000A0A5F">
        <w:rPr>
          <w:lang w:val="en-US" w:eastAsia="zh-CN"/>
        </w:rPr>
        <w:t xml:space="preserve"> or</w:t>
      </w:r>
      <w:r w:rsidRPr="000A0A5F">
        <w:t xml:space="preserve"> </w:t>
      </w:r>
      <w:r w:rsidRPr="000A0A5F">
        <w:rPr>
          <w:rFonts w:hint="eastAsia"/>
          <w:lang w:eastAsia="zh-CN"/>
        </w:rPr>
        <w:t>3GPP TS 29.</w:t>
      </w:r>
      <w:r w:rsidRPr="000A0A5F">
        <w:rPr>
          <w:lang w:eastAsia="zh-CN"/>
        </w:rPr>
        <w:t>201</w:t>
      </w:r>
      <w:r w:rsidRPr="000A0A5F">
        <w:rPr>
          <w:lang w:val="en-US" w:eastAsia="zh-CN"/>
        </w:rPr>
        <w:t> </w:t>
      </w:r>
      <w:r w:rsidRPr="000A0A5F">
        <w:rPr>
          <w:rFonts w:hint="eastAsia"/>
          <w:lang w:val="en-US" w:eastAsia="zh-CN"/>
        </w:rPr>
        <w:t>[</w:t>
      </w:r>
      <w:r w:rsidRPr="000A0A5F">
        <w:rPr>
          <w:lang w:val="en-US" w:eastAsia="zh-CN"/>
        </w:rPr>
        <w:t>13</w:t>
      </w:r>
      <w:r w:rsidRPr="000A0A5F">
        <w:rPr>
          <w:rFonts w:hint="eastAsia"/>
          <w:lang w:val="en-US" w:eastAsia="zh-CN"/>
        </w:rPr>
        <w:t>]</w:t>
      </w:r>
      <w:r w:rsidRPr="000A0A5F">
        <w:rPr>
          <w:lang w:eastAsia="zh-CN"/>
        </w:rPr>
        <w:t>)</w:t>
      </w:r>
      <w:r w:rsidRPr="000A0A5F">
        <w:rPr>
          <w:rFonts w:hint="eastAsia"/>
          <w:lang w:val="en-US" w:eastAsia="zh-CN"/>
        </w:rPr>
        <w:t xml:space="preserve">. </w:t>
      </w:r>
      <w:r w:rsidRPr="000A0A5F">
        <w:rPr>
          <w:lang w:eastAsia="zh-CN"/>
        </w:rPr>
        <w:t>After</w:t>
      </w:r>
      <w:r w:rsidRPr="000A0A5F">
        <w:rPr>
          <w:rFonts w:hint="eastAsia"/>
          <w:lang w:eastAsia="zh-CN"/>
        </w:rPr>
        <w:t xml:space="preserve"> receiving the</w:t>
      </w:r>
      <w:r w:rsidRPr="000A0A5F">
        <w:rPr>
          <w:lang w:eastAsia="zh-CN"/>
        </w:rPr>
        <w:t xml:space="preserve"> </w:t>
      </w:r>
      <w:r w:rsidRPr="000A0A5F">
        <w:rPr>
          <w:rFonts w:hint="eastAsia"/>
          <w:lang w:eastAsia="zh-CN"/>
        </w:rPr>
        <w:t xml:space="preserve">response </w:t>
      </w:r>
      <w:r w:rsidRPr="000A0A5F">
        <w:rPr>
          <w:lang w:eastAsia="zh-CN"/>
        </w:rPr>
        <w:t>from the</w:t>
      </w:r>
      <w:r w:rsidRPr="000A0A5F">
        <w:rPr>
          <w:rFonts w:hint="eastAsia"/>
          <w:lang w:eastAsia="zh-CN"/>
        </w:rPr>
        <w:t xml:space="preserve"> PCRF, the SCEF shall send an HTTP response to the SCS/AS</w:t>
      </w:r>
      <w:r w:rsidRPr="000A0A5F">
        <w:rPr>
          <w:noProof/>
          <w:lang w:eastAsia="zh-CN"/>
        </w:rPr>
        <w:t xml:space="preserve"> with a corresponding status code and the accumulated usage (if received from the PCRF)</w:t>
      </w:r>
      <w:r w:rsidRPr="000A0A5F">
        <w:rPr>
          <w:rFonts w:hint="eastAsia"/>
          <w:lang w:eastAsia="zh-CN"/>
        </w:rPr>
        <w:t>.</w:t>
      </w:r>
    </w:p>
    <w:p w:rsidR="00CB0DD7" w:rsidRPr="000A0A5F" w:rsidRDefault="00CB0DD7">
      <w:pPr>
        <w:pStyle w:val="Heading3"/>
      </w:pPr>
      <w:bookmarkStart w:id="407" w:name="_Toc11247205"/>
      <w:bookmarkStart w:id="408" w:name="_Toc27044322"/>
      <w:bookmarkStart w:id="409" w:name="_Toc36033364"/>
      <w:bookmarkStart w:id="410" w:name="_Toc45131494"/>
      <w:bookmarkStart w:id="411" w:name="_Toc49775779"/>
      <w:bookmarkStart w:id="412" w:name="_Toc51746699"/>
      <w:bookmarkStart w:id="413" w:name="_Toc66360241"/>
      <w:bookmarkStart w:id="414" w:name="_Toc68104746"/>
      <w:bookmarkStart w:id="415" w:name="_Toc74755375"/>
      <w:bookmarkStart w:id="416" w:name="_Toc105674230"/>
      <w:bookmarkStart w:id="417" w:name="_Toc130502263"/>
      <w:bookmarkStart w:id="418" w:name="_Toc153625042"/>
      <w:r w:rsidRPr="000A0A5F">
        <w:t>4.4.5</w:t>
      </w:r>
      <w:r w:rsidRPr="000A0A5F">
        <w:tab/>
        <w:t>Procedures for Non-IP Data Delivery</w:t>
      </w:r>
      <w:bookmarkEnd w:id="407"/>
      <w:bookmarkEnd w:id="408"/>
      <w:bookmarkEnd w:id="409"/>
      <w:bookmarkEnd w:id="410"/>
      <w:bookmarkEnd w:id="411"/>
      <w:bookmarkEnd w:id="412"/>
      <w:bookmarkEnd w:id="413"/>
      <w:bookmarkEnd w:id="414"/>
      <w:bookmarkEnd w:id="415"/>
      <w:bookmarkEnd w:id="416"/>
      <w:bookmarkEnd w:id="417"/>
      <w:bookmarkEnd w:id="418"/>
    </w:p>
    <w:p w:rsidR="00CB0DD7" w:rsidRPr="000A0A5F" w:rsidRDefault="00CB0DD7">
      <w:pPr>
        <w:pStyle w:val="Heading4"/>
        <w:rPr>
          <w:rFonts w:hint="eastAsia"/>
          <w:lang w:eastAsia="zh-CN"/>
        </w:rPr>
      </w:pPr>
      <w:bookmarkStart w:id="419" w:name="_Toc11247206"/>
      <w:bookmarkStart w:id="420" w:name="_Toc27044323"/>
      <w:bookmarkStart w:id="421" w:name="_Toc36033365"/>
      <w:bookmarkStart w:id="422" w:name="_Toc45131495"/>
      <w:bookmarkStart w:id="423" w:name="_Toc49775780"/>
      <w:bookmarkStart w:id="424" w:name="_Toc51746700"/>
      <w:bookmarkStart w:id="425" w:name="_Toc66360242"/>
      <w:bookmarkStart w:id="426" w:name="_Toc68104747"/>
      <w:bookmarkStart w:id="427" w:name="_Toc74755376"/>
      <w:bookmarkStart w:id="428" w:name="_Toc105674231"/>
      <w:bookmarkStart w:id="429" w:name="_Toc130502264"/>
      <w:bookmarkStart w:id="430" w:name="_Toc153625043"/>
      <w:r w:rsidRPr="000A0A5F">
        <w:t>4.4.</w:t>
      </w:r>
      <w:r w:rsidRPr="000A0A5F">
        <w:rPr>
          <w:rFonts w:hint="eastAsia"/>
          <w:lang w:eastAsia="zh-CN"/>
        </w:rPr>
        <w:t>5</w:t>
      </w:r>
      <w:r w:rsidRPr="000A0A5F">
        <w:t>.1</w:t>
      </w:r>
      <w:r w:rsidRPr="000A0A5F">
        <w:tab/>
        <w:t>General</w:t>
      </w:r>
      <w:bookmarkEnd w:id="419"/>
      <w:bookmarkEnd w:id="420"/>
      <w:bookmarkEnd w:id="421"/>
      <w:bookmarkEnd w:id="422"/>
      <w:bookmarkEnd w:id="423"/>
      <w:bookmarkEnd w:id="424"/>
      <w:bookmarkEnd w:id="425"/>
      <w:bookmarkEnd w:id="426"/>
      <w:bookmarkEnd w:id="427"/>
      <w:bookmarkEnd w:id="428"/>
      <w:bookmarkEnd w:id="429"/>
      <w:bookmarkEnd w:id="430"/>
    </w:p>
    <w:p w:rsidR="00CB0DD7" w:rsidRPr="000A0A5F" w:rsidRDefault="00CB0DD7">
      <w:pPr>
        <w:rPr>
          <w:rFonts w:hint="eastAsia"/>
          <w:lang w:eastAsia="zh-CN"/>
        </w:rPr>
      </w:pPr>
      <w:r w:rsidRPr="000A0A5F">
        <w:t xml:space="preserve">This </w:t>
      </w:r>
      <w:r w:rsidRPr="000A0A5F">
        <w:rPr>
          <w:rFonts w:hint="eastAsia"/>
          <w:lang w:eastAsia="zh-CN"/>
        </w:rPr>
        <w:t>procedure is used by an SCS/AS to support the Non-IP Data Delivery</w:t>
      </w:r>
      <w:r w:rsidRPr="000A0A5F">
        <w:rPr>
          <w:lang w:eastAsia="zh-CN"/>
        </w:rPr>
        <w:t xml:space="preserve"> </w:t>
      </w:r>
      <w:r w:rsidRPr="000A0A5F">
        <w:rPr>
          <w:rFonts w:hint="eastAsia"/>
          <w:lang w:eastAsia="zh-CN"/>
        </w:rPr>
        <w:t xml:space="preserve">(NIDD) via SCEF. It performs the NIDD configuration via the T8 interface. </w:t>
      </w:r>
      <w:r w:rsidRPr="000A0A5F">
        <w:rPr>
          <w:lang w:eastAsia="zh-CN"/>
        </w:rPr>
        <w:t>I</w:t>
      </w:r>
      <w:r w:rsidRPr="000A0A5F">
        <w:rPr>
          <w:rFonts w:hint="eastAsia"/>
          <w:lang w:eastAsia="zh-CN"/>
        </w:rPr>
        <w:t xml:space="preserve">t also includes the </w:t>
      </w:r>
      <w:r w:rsidRPr="000A0A5F">
        <w:t xml:space="preserve">mobile terminated (MT) </w:t>
      </w:r>
      <w:r w:rsidRPr="000A0A5F">
        <w:rPr>
          <w:rFonts w:hint="eastAsia"/>
          <w:lang w:eastAsia="zh-CN"/>
        </w:rPr>
        <w:t xml:space="preserve">and </w:t>
      </w:r>
      <w:r w:rsidRPr="000A0A5F">
        <w:t>mobile originated (MO)</w:t>
      </w:r>
      <w:r w:rsidRPr="000A0A5F">
        <w:rPr>
          <w:rFonts w:hint="eastAsia"/>
          <w:lang w:eastAsia="zh-CN"/>
        </w:rPr>
        <w:t xml:space="preserve"> </w:t>
      </w:r>
      <w:r w:rsidRPr="000A0A5F">
        <w:t>communication with UEs</w:t>
      </w:r>
      <w:r w:rsidRPr="000A0A5F">
        <w:rPr>
          <w:rFonts w:hint="eastAsia"/>
          <w:lang w:eastAsia="zh-CN"/>
        </w:rPr>
        <w:t xml:space="preserve"> via the T8 interface.</w:t>
      </w:r>
      <w:r w:rsidRPr="000A0A5F">
        <w:rPr>
          <w:lang w:eastAsia="zh-CN"/>
        </w:rPr>
        <w:t xml:space="preserve"> It also includes the group message delivery via MT NIDD via the T8 interface and management of port numbers on UE and SCEF and their dynamic association with different applications.</w:t>
      </w:r>
    </w:p>
    <w:p w:rsidR="00CB0DD7" w:rsidRPr="000A0A5F" w:rsidRDefault="00CB0DD7">
      <w:pPr>
        <w:rPr>
          <w:rFonts w:hint="eastAsia"/>
          <w:lang w:eastAsia="zh-CN"/>
        </w:rPr>
      </w:pPr>
      <w:r w:rsidRPr="000A0A5F">
        <w:rPr>
          <w:rFonts w:hint="eastAsia"/>
          <w:lang w:eastAsia="zh-CN"/>
        </w:rPr>
        <w:t>Error handling for the procedures in this clause shall be handled based on clause</w:t>
      </w:r>
      <w:r w:rsidRPr="000A0A5F">
        <w:rPr>
          <w:lang w:val="en-US" w:eastAsia="zh-CN"/>
        </w:rPr>
        <w:t> </w:t>
      </w:r>
      <w:r w:rsidRPr="000A0A5F">
        <w:rPr>
          <w:rFonts w:hint="eastAsia"/>
          <w:lang w:eastAsia="zh-CN"/>
        </w:rPr>
        <w:t>5.2.</w:t>
      </w:r>
      <w:r w:rsidRPr="000A0A5F">
        <w:rPr>
          <w:lang w:eastAsia="zh-CN"/>
        </w:rPr>
        <w:t>6</w:t>
      </w:r>
      <w:r w:rsidRPr="000A0A5F">
        <w:rPr>
          <w:rFonts w:hint="eastAsia"/>
          <w:lang w:eastAsia="zh-CN"/>
        </w:rPr>
        <w:t>.</w:t>
      </w:r>
    </w:p>
    <w:p w:rsidR="00CB0DD7" w:rsidRPr="000A0A5F" w:rsidRDefault="00CB0DD7">
      <w:pPr>
        <w:pStyle w:val="Heading4"/>
        <w:rPr>
          <w:lang w:eastAsia="zh-CN"/>
        </w:rPr>
      </w:pPr>
      <w:bookmarkStart w:id="431" w:name="_Toc11247207"/>
      <w:bookmarkStart w:id="432" w:name="_Toc27044324"/>
      <w:bookmarkStart w:id="433" w:name="_Toc36033366"/>
      <w:bookmarkStart w:id="434" w:name="_Toc45131496"/>
      <w:bookmarkStart w:id="435" w:name="_Toc49775781"/>
      <w:bookmarkStart w:id="436" w:name="_Toc51746701"/>
      <w:bookmarkStart w:id="437" w:name="_Toc66360243"/>
      <w:bookmarkStart w:id="438" w:name="_Toc68104748"/>
      <w:bookmarkStart w:id="439" w:name="_Toc74755377"/>
      <w:bookmarkStart w:id="440" w:name="_Toc105674232"/>
      <w:bookmarkStart w:id="441" w:name="_Toc130502265"/>
      <w:bookmarkStart w:id="442" w:name="_Toc153625044"/>
      <w:r w:rsidRPr="000A0A5F">
        <w:t>4.4.</w:t>
      </w:r>
      <w:r w:rsidRPr="000A0A5F">
        <w:rPr>
          <w:rFonts w:hint="eastAsia"/>
          <w:lang w:eastAsia="zh-CN"/>
        </w:rPr>
        <w:t>5</w:t>
      </w:r>
      <w:r w:rsidRPr="000A0A5F">
        <w:t>.2</w:t>
      </w:r>
      <w:r w:rsidRPr="000A0A5F">
        <w:tab/>
      </w:r>
      <w:r w:rsidRPr="000A0A5F">
        <w:rPr>
          <w:rFonts w:hint="eastAsia"/>
          <w:lang w:eastAsia="zh-CN"/>
        </w:rPr>
        <w:t>NIDD Configuration</w:t>
      </w:r>
      <w:bookmarkEnd w:id="431"/>
      <w:bookmarkEnd w:id="432"/>
      <w:bookmarkEnd w:id="433"/>
      <w:bookmarkEnd w:id="434"/>
      <w:bookmarkEnd w:id="435"/>
      <w:bookmarkEnd w:id="436"/>
      <w:bookmarkEnd w:id="437"/>
      <w:bookmarkEnd w:id="438"/>
      <w:bookmarkEnd w:id="439"/>
      <w:bookmarkEnd w:id="440"/>
      <w:bookmarkEnd w:id="441"/>
      <w:bookmarkEnd w:id="442"/>
    </w:p>
    <w:p w:rsidR="00CB0DD7" w:rsidRPr="000A0A5F" w:rsidRDefault="00CB0DD7">
      <w:pPr>
        <w:pStyle w:val="Heading5"/>
        <w:rPr>
          <w:rFonts w:hint="eastAsia"/>
        </w:rPr>
      </w:pPr>
      <w:bookmarkStart w:id="443" w:name="_Toc11247208"/>
      <w:bookmarkStart w:id="444" w:name="_Toc27044325"/>
      <w:bookmarkStart w:id="445" w:name="_Toc36033367"/>
      <w:bookmarkStart w:id="446" w:name="_Toc45131497"/>
      <w:bookmarkStart w:id="447" w:name="_Toc49775782"/>
      <w:bookmarkStart w:id="448" w:name="_Toc51746702"/>
      <w:bookmarkStart w:id="449" w:name="_Toc66360244"/>
      <w:bookmarkStart w:id="450" w:name="_Toc68104749"/>
      <w:bookmarkStart w:id="451" w:name="_Toc74755378"/>
      <w:bookmarkStart w:id="452" w:name="_Toc105674233"/>
      <w:bookmarkStart w:id="453" w:name="_Toc130502266"/>
      <w:bookmarkStart w:id="454" w:name="_Toc153625045"/>
      <w:r w:rsidRPr="000A0A5F">
        <w:rPr>
          <w:rFonts w:hint="eastAsia"/>
        </w:rPr>
        <w:t>4.4.5.</w:t>
      </w:r>
      <w:r w:rsidRPr="000A0A5F">
        <w:t>2.1</w:t>
      </w:r>
      <w:r w:rsidRPr="000A0A5F">
        <w:rPr>
          <w:rFonts w:hint="eastAsia"/>
        </w:rPr>
        <w:tab/>
      </w:r>
      <w:r w:rsidRPr="000A0A5F">
        <w:t>NIDD Configuration for a single UE</w:t>
      </w:r>
      <w:bookmarkEnd w:id="443"/>
      <w:bookmarkEnd w:id="444"/>
      <w:bookmarkEnd w:id="445"/>
      <w:bookmarkEnd w:id="446"/>
      <w:bookmarkEnd w:id="447"/>
      <w:bookmarkEnd w:id="448"/>
      <w:bookmarkEnd w:id="449"/>
      <w:bookmarkEnd w:id="450"/>
      <w:bookmarkEnd w:id="451"/>
      <w:bookmarkEnd w:id="452"/>
      <w:bookmarkEnd w:id="453"/>
      <w:bookmarkEnd w:id="454"/>
    </w:p>
    <w:p w:rsidR="00CB0DD7" w:rsidRPr="000A0A5F" w:rsidRDefault="00CB0DD7">
      <w:pPr>
        <w:rPr>
          <w:rFonts w:hint="eastAsia"/>
          <w:lang w:eastAsia="zh-CN"/>
        </w:rPr>
      </w:pPr>
      <w:r w:rsidRPr="000A0A5F">
        <w:rPr>
          <w:rFonts w:hint="eastAsia"/>
          <w:lang w:eastAsia="zh-CN"/>
        </w:rPr>
        <w:t>For a NIDD configuration creation, the SCS/AS shall send an HTTP POST message to the SCEF</w:t>
      </w:r>
      <w:r w:rsidRPr="000A0A5F">
        <w:rPr>
          <w:lang w:eastAsia="zh-CN"/>
        </w:rPr>
        <w:t xml:space="preserve"> for the </w:t>
      </w:r>
      <w:r w:rsidRPr="000A0A5F">
        <w:t xml:space="preserve">"NIDD </w:t>
      </w:r>
      <w:r w:rsidRPr="000A0A5F">
        <w:rPr>
          <w:rFonts w:hint="eastAsia"/>
          <w:lang w:eastAsia="zh-CN"/>
        </w:rPr>
        <w:t>configurations</w:t>
      </w:r>
      <w:r w:rsidRPr="000A0A5F">
        <w:t xml:space="preserve">" </w:t>
      </w:r>
      <w:r w:rsidRPr="000A0A5F">
        <w:rPr>
          <w:lang w:eastAsia="zh-CN"/>
        </w:rPr>
        <w:t>resource</w:t>
      </w:r>
      <w:r w:rsidRPr="000A0A5F">
        <w:rPr>
          <w:rFonts w:hint="eastAsia"/>
          <w:lang w:eastAsia="zh-CN"/>
        </w:rPr>
        <w:t>.</w:t>
      </w:r>
      <w:r w:rsidRPr="000A0A5F">
        <w:t xml:space="preserve"> </w:t>
      </w:r>
      <w:r w:rsidRPr="000A0A5F">
        <w:rPr>
          <w:noProof/>
          <w:lang w:eastAsia="zh-CN"/>
        </w:rPr>
        <w:t xml:space="preserve">The body of the HTTP POST message shall include </w:t>
      </w:r>
      <w:r w:rsidRPr="000A0A5F">
        <w:t>External Identifier or MSISDN, SCS/AS Identifier,</w:t>
      </w:r>
      <w:r w:rsidRPr="000A0A5F">
        <w:rPr>
          <w:lang w:eastAsia="zh-CN"/>
        </w:rPr>
        <w:t xml:space="preserve"> notification destination URI identifying the recipient of notification within the </w:t>
      </w:r>
      <w:r w:rsidRPr="000A0A5F">
        <w:rPr>
          <w:noProof/>
        </w:rPr>
        <w:t>"</w:t>
      </w:r>
      <w:r w:rsidRPr="000A0A5F">
        <w:t>notificationDestination</w:t>
      </w:r>
      <w:r w:rsidRPr="000A0A5F">
        <w:rPr>
          <w:noProof/>
        </w:rPr>
        <w:t>"</w:t>
      </w:r>
      <w:r w:rsidRPr="000A0A5F">
        <w:rPr>
          <w:rFonts w:hint="eastAsia"/>
        </w:rPr>
        <w:t xml:space="preserve"> </w:t>
      </w:r>
      <w:r w:rsidRPr="000A0A5F">
        <w:t>attribute</w:t>
      </w:r>
      <w:r w:rsidRPr="000A0A5F">
        <w:rPr>
          <w:lang w:eastAsia="zh-CN"/>
        </w:rPr>
        <w:t xml:space="preserve"> and may include </w:t>
      </w:r>
      <w:r w:rsidRPr="000A0A5F">
        <w:t xml:space="preserve">NIDD Duration, PDN Connection Establishment Option </w:t>
      </w:r>
      <w:r w:rsidRPr="000A0A5F">
        <w:rPr>
          <w:rFonts w:hint="eastAsia"/>
          <w:lang w:eastAsia="zh-CN"/>
        </w:rPr>
        <w:t xml:space="preserve">and </w:t>
      </w:r>
      <w:r w:rsidRPr="000A0A5F">
        <w:t>Reliable Data Service</w:t>
      </w:r>
      <w:r w:rsidRPr="000A0A5F">
        <w:rPr>
          <w:rFonts w:hint="eastAsia"/>
          <w:lang w:eastAsia="zh-CN"/>
        </w:rPr>
        <w:t xml:space="preserve"> Configuration.</w:t>
      </w:r>
      <w:r w:rsidRPr="000A0A5F">
        <w:rPr>
          <w:lang w:eastAsia="zh-CN"/>
        </w:rPr>
        <w:t xml:space="preserve"> In addition, the SCS/AS may send non-IP data and its associated parameters (e.g. Priority) as described in clause</w:t>
      </w:r>
      <w:r w:rsidRPr="000A0A5F">
        <w:rPr>
          <w:lang w:val="en-US" w:eastAsia="zh-CN"/>
        </w:rPr>
        <w:t xml:space="preserve"> 4.4.5.3.1 </w:t>
      </w:r>
      <w:r w:rsidRPr="000A0A5F">
        <w:rPr>
          <w:lang w:eastAsia="zh-CN"/>
        </w:rPr>
        <w:t>in the NIDD configuration creation request. The Reliable Data Service Configuration includes port numbers on UE and SCEF that are used to identify specific applications for data transfer between UE and SCS/AS and an indication if reliable data service acknowledgement is enabled or not.</w:t>
      </w:r>
    </w:p>
    <w:p w:rsidR="00CB0DD7" w:rsidRPr="000A0A5F" w:rsidRDefault="00CB0DD7">
      <w:r w:rsidRPr="000A0A5F">
        <w:t xml:space="preserve">Upon receipt of the HTTP POST request from the </w:t>
      </w:r>
      <w:r w:rsidRPr="000A0A5F">
        <w:rPr>
          <w:rFonts w:hint="eastAsia"/>
          <w:lang w:eastAsia="zh-CN"/>
        </w:rPr>
        <w:t xml:space="preserve">SCS/AS </w:t>
      </w:r>
      <w:r w:rsidRPr="000A0A5F">
        <w:t>to create a NIDD</w:t>
      </w:r>
      <w:r w:rsidRPr="000A0A5F">
        <w:rPr>
          <w:rFonts w:hint="eastAsia"/>
          <w:lang w:eastAsia="zh-CN"/>
        </w:rPr>
        <w:t xml:space="preserve"> configuration</w:t>
      </w:r>
      <w:r w:rsidRPr="000A0A5F">
        <w:t xml:space="preserve">, the </w:t>
      </w:r>
      <w:r w:rsidRPr="000A0A5F">
        <w:rPr>
          <w:rFonts w:hint="eastAsia"/>
          <w:lang w:eastAsia="zh-CN"/>
        </w:rPr>
        <w:t>SCEF</w:t>
      </w:r>
      <w:r w:rsidRPr="000A0A5F">
        <w:t xml:space="preserve"> shall </w:t>
      </w:r>
      <w:r w:rsidRPr="000A0A5F">
        <w:rPr>
          <w:rFonts w:hint="eastAsia"/>
          <w:lang w:eastAsia="zh-CN"/>
        </w:rPr>
        <w:t>check</w:t>
      </w:r>
      <w:r w:rsidRPr="000A0A5F">
        <w:t xml:space="preserve"> whether </w:t>
      </w:r>
      <w:r w:rsidRPr="000A0A5F">
        <w:rPr>
          <w:rFonts w:hint="eastAsia"/>
          <w:lang w:eastAsia="zh-CN"/>
        </w:rPr>
        <w:t>the SCS/AS</w:t>
      </w:r>
      <w:r w:rsidRPr="000A0A5F">
        <w:t xml:space="preserve"> is authenticated and authorized to create </w:t>
      </w:r>
      <w:r w:rsidRPr="000A0A5F">
        <w:rPr>
          <w:rFonts w:hint="eastAsia"/>
          <w:lang w:eastAsia="zh-CN"/>
        </w:rPr>
        <w:t>NIDD configuration, and also authorize the NIDD configuration</w:t>
      </w:r>
      <w:r w:rsidRPr="000A0A5F">
        <w:t xml:space="preserve">. If authorization is successful, the </w:t>
      </w:r>
      <w:r w:rsidRPr="000A0A5F">
        <w:rPr>
          <w:rFonts w:hint="eastAsia"/>
          <w:lang w:eastAsia="zh-CN"/>
        </w:rPr>
        <w:t>SCEF</w:t>
      </w:r>
      <w:r w:rsidRPr="000A0A5F">
        <w:t xml:space="preserve"> shall interact with the HSS </w:t>
      </w:r>
      <w:r w:rsidRPr="000A0A5F">
        <w:rPr>
          <w:noProof/>
          <w:lang w:eastAsia="zh-CN"/>
        </w:rPr>
        <w:t>via S6t as specified in 3GPP TS 29.336 [11]</w:t>
      </w:r>
      <w:r w:rsidRPr="000A0A5F">
        <w:rPr>
          <w:lang w:eastAsia="zh-CN"/>
        </w:rPr>
        <w:t>. Upon receipt of the successful response from the HSS</w:t>
      </w:r>
      <w:r w:rsidRPr="000A0A5F">
        <w:rPr>
          <w:rFonts w:hint="eastAsia"/>
          <w:lang w:eastAsia="zh-CN"/>
        </w:rPr>
        <w:t>,</w:t>
      </w:r>
      <w:r w:rsidRPr="000A0A5F">
        <w:rPr>
          <w:lang w:eastAsia="zh-CN"/>
        </w:rPr>
        <w:t xml:space="preserve"> the SCEF shall store the UE identity (IMSI and External Identifier or MSISDN) which is associated with the External Identifier or MSISDN and create a resource "</w:t>
      </w:r>
      <w:r w:rsidRPr="000A0A5F">
        <w:t>Individual</w:t>
      </w:r>
      <w:r w:rsidRPr="000A0A5F">
        <w:rPr>
          <w:rFonts w:hint="eastAsia"/>
          <w:lang w:eastAsia="zh-CN"/>
        </w:rPr>
        <w:t xml:space="preserve"> NIDD configuration</w:t>
      </w:r>
      <w:r w:rsidRPr="000A0A5F">
        <w:rPr>
          <w:lang w:eastAsia="zh-CN"/>
        </w:rPr>
        <w:t>", which represents the NIDD configuration, addressed by a URI that contains the SCS/AS identity and an SCEF-created NIDD configuration identifier, and shall</w:t>
      </w:r>
      <w:r w:rsidRPr="000A0A5F">
        <w:t xml:space="preserve"> respond to the </w:t>
      </w:r>
      <w:r w:rsidRPr="000A0A5F">
        <w:rPr>
          <w:rFonts w:hint="eastAsia"/>
          <w:lang w:eastAsia="zh-CN"/>
        </w:rPr>
        <w:t xml:space="preserve">SCS/AS </w:t>
      </w:r>
      <w:r w:rsidRPr="000A0A5F">
        <w:t xml:space="preserve">with a 201 </w:t>
      </w:r>
      <w:r w:rsidRPr="000A0A5F">
        <w:rPr>
          <w:rFonts w:hint="eastAsia"/>
          <w:lang w:eastAsia="zh-CN"/>
        </w:rPr>
        <w:t>Created</w:t>
      </w:r>
      <w:r w:rsidRPr="000A0A5F">
        <w:t xml:space="preserve"> message</w:t>
      </w:r>
      <w:r w:rsidRPr="000A0A5F">
        <w:rPr>
          <w:rFonts w:hint="eastAsia"/>
          <w:lang w:eastAsia="zh-CN"/>
        </w:rPr>
        <w:t xml:space="preserve">, </w:t>
      </w:r>
      <w:r w:rsidRPr="000A0A5F">
        <w:t>including</w:t>
      </w:r>
      <w:r w:rsidRPr="000A0A5F">
        <w:rPr>
          <w:rFonts w:hint="eastAsia"/>
          <w:lang w:eastAsia="zh-CN"/>
        </w:rPr>
        <w:t xml:space="preserve"> </w:t>
      </w:r>
      <w:r w:rsidRPr="000A0A5F">
        <w:t>a Location header field containing the URI for the created resource</w:t>
      </w:r>
      <w:r w:rsidRPr="000A0A5F">
        <w:rPr>
          <w:rFonts w:hint="eastAsia"/>
          <w:lang w:eastAsia="zh-CN"/>
        </w:rPr>
        <w:t>.</w:t>
      </w:r>
      <w:r w:rsidRPr="000A0A5F">
        <w:t xml:space="preserve"> The body of the response message shall include Maximum Packet Size and may include Reliable Data Service Indication. When the </w:t>
      </w:r>
      <w:r w:rsidRPr="000A0A5F">
        <w:rPr>
          <w:rFonts w:hint="eastAsia"/>
          <w:lang w:eastAsia="zh-CN"/>
        </w:rPr>
        <w:t xml:space="preserve">SCS/AS </w:t>
      </w:r>
      <w:r w:rsidRPr="000A0A5F">
        <w:t>receives the</w:t>
      </w:r>
      <w:r w:rsidRPr="000A0A5F">
        <w:rPr>
          <w:rFonts w:hint="eastAsia"/>
          <w:lang w:eastAsia="zh-CN"/>
        </w:rPr>
        <w:t xml:space="preserve"> URI in the Location header</w:t>
      </w:r>
      <w:r w:rsidRPr="000A0A5F">
        <w:t xml:space="preserve">, it shall use this </w:t>
      </w:r>
      <w:r w:rsidRPr="000A0A5F">
        <w:rPr>
          <w:rFonts w:hint="eastAsia"/>
          <w:lang w:eastAsia="zh-CN"/>
        </w:rPr>
        <w:t>URI</w:t>
      </w:r>
      <w:r w:rsidRPr="000A0A5F">
        <w:t xml:space="preserve"> in subsequent requests to the </w:t>
      </w:r>
      <w:r w:rsidRPr="000A0A5F">
        <w:rPr>
          <w:rFonts w:hint="eastAsia"/>
          <w:lang w:eastAsia="zh-CN"/>
        </w:rPr>
        <w:t xml:space="preserve">SCEF </w:t>
      </w:r>
      <w:r w:rsidRPr="000A0A5F">
        <w:t>to refer to this</w:t>
      </w:r>
      <w:r w:rsidRPr="000A0A5F">
        <w:rPr>
          <w:rFonts w:hint="eastAsia"/>
          <w:lang w:eastAsia="zh-CN"/>
        </w:rPr>
        <w:t xml:space="preserve"> NIDD configuration</w:t>
      </w:r>
      <w:r w:rsidRPr="000A0A5F">
        <w:t>.</w:t>
      </w:r>
    </w:p>
    <w:p w:rsidR="00CB0DD7" w:rsidRPr="000A0A5F" w:rsidRDefault="00CB0DD7">
      <w:r w:rsidRPr="000A0A5F">
        <w:rPr>
          <w:lang w:eastAsia="zh-CN"/>
        </w:rPr>
        <w:t>If the</w:t>
      </w:r>
      <w:r w:rsidRPr="000A0A5F">
        <w:rPr>
          <w:rFonts w:hint="eastAsia"/>
          <w:lang w:eastAsia="zh-CN"/>
        </w:rPr>
        <w:t xml:space="preserve"> SCS/AS include</w:t>
      </w:r>
      <w:r w:rsidRPr="000A0A5F">
        <w:rPr>
          <w:lang w:eastAsia="zh-CN"/>
        </w:rPr>
        <w:t>s</w:t>
      </w:r>
      <w:r w:rsidRPr="000A0A5F">
        <w:rPr>
          <w:rFonts w:hint="eastAsia"/>
          <w:lang w:eastAsia="zh-CN"/>
        </w:rPr>
        <w:t xml:space="preserve"> </w:t>
      </w:r>
      <w:r w:rsidRPr="000A0A5F">
        <w:rPr>
          <w:lang w:eastAsia="zh-CN"/>
        </w:rPr>
        <w:t xml:space="preserve">a </w:t>
      </w:r>
      <w:r w:rsidRPr="000A0A5F">
        <w:rPr>
          <w:rFonts w:hint="eastAsia"/>
          <w:lang w:eastAsia="zh-CN"/>
        </w:rPr>
        <w:t>downlink</w:t>
      </w:r>
      <w:r w:rsidRPr="000A0A5F">
        <w:t xml:space="preserve"> non-IP data </w:t>
      </w:r>
      <w:r w:rsidRPr="000A0A5F">
        <w:rPr>
          <w:rFonts w:hint="eastAsia"/>
          <w:lang w:eastAsia="zh-CN"/>
        </w:rPr>
        <w:t xml:space="preserve">together with the NIDD </w:t>
      </w:r>
      <w:r w:rsidRPr="000A0A5F">
        <w:rPr>
          <w:lang w:eastAsia="zh-CN"/>
        </w:rPr>
        <w:t>configuration</w:t>
      </w:r>
      <w:r w:rsidRPr="000A0A5F">
        <w:rPr>
          <w:rFonts w:hint="eastAsia"/>
          <w:lang w:eastAsia="zh-CN"/>
        </w:rPr>
        <w:t xml:space="preserve"> </w:t>
      </w:r>
      <w:r w:rsidRPr="000A0A5F">
        <w:rPr>
          <w:lang w:eastAsia="zh-CN"/>
        </w:rPr>
        <w:t xml:space="preserve">creation, the SCEF shall also create </w:t>
      </w:r>
      <w:r w:rsidR="00920668" w:rsidRPr="000A0A5F">
        <w:rPr>
          <w:lang w:eastAsia="zh-CN"/>
        </w:rPr>
        <w:t>the corresponding</w:t>
      </w:r>
      <w:r w:rsidRPr="000A0A5F">
        <w:rPr>
          <w:lang w:eastAsia="zh-CN"/>
        </w:rPr>
        <w:t xml:space="preserve"> </w:t>
      </w:r>
      <w:r w:rsidRPr="000A0A5F">
        <w:t>"Individual NIDD downlink data</w:t>
      </w:r>
      <w:r w:rsidRPr="000A0A5F">
        <w:rPr>
          <w:rFonts w:hint="eastAsia"/>
        </w:rPr>
        <w:t xml:space="preserve"> delivery</w:t>
      </w:r>
      <w:r w:rsidRPr="000A0A5F">
        <w:t>"</w:t>
      </w:r>
      <w:r w:rsidRPr="000A0A5F">
        <w:rPr>
          <w:lang w:eastAsia="zh-CN"/>
        </w:rPr>
        <w:t xml:space="preserve"> sub-resource</w:t>
      </w:r>
      <w:r w:rsidR="00920668" w:rsidRPr="000A0A5F">
        <w:rPr>
          <w:lang w:eastAsia="zh-CN"/>
        </w:rPr>
        <w:t>(s)</w:t>
      </w:r>
      <w:r w:rsidRPr="000A0A5F">
        <w:rPr>
          <w:lang w:eastAsia="zh-CN"/>
        </w:rPr>
        <w:t xml:space="preserve"> and send each of the sub-</w:t>
      </w:r>
      <w:r w:rsidR="00920668" w:rsidRPr="000A0A5F">
        <w:rPr>
          <w:lang w:eastAsia="zh-CN"/>
        </w:rPr>
        <w:t xml:space="preserve"> resource(s)</w:t>
      </w:r>
      <w:r w:rsidRPr="000A0A5F">
        <w:rPr>
          <w:lang w:eastAsia="zh-CN"/>
        </w:rPr>
        <w:t xml:space="preserve"> within </w:t>
      </w:r>
      <w:r w:rsidRPr="000A0A5F">
        <w:rPr>
          <w:noProof/>
        </w:rPr>
        <w:t>the "</w:t>
      </w:r>
      <w:r w:rsidRPr="000A0A5F">
        <w:t>self</w:t>
      </w:r>
      <w:r w:rsidRPr="000A0A5F">
        <w:rPr>
          <w:noProof/>
        </w:rPr>
        <w:t>" attribute in the "</w:t>
      </w:r>
      <w:r w:rsidRPr="000A0A5F">
        <w:rPr>
          <w:rFonts w:hint="eastAsia"/>
          <w:lang w:eastAsia="zh-CN"/>
        </w:rPr>
        <w:t>n</w:t>
      </w:r>
      <w:r w:rsidRPr="000A0A5F">
        <w:t>idd</w:t>
      </w:r>
      <w:r w:rsidRPr="000A0A5F">
        <w:rPr>
          <w:rFonts w:hint="eastAsia"/>
          <w:lang w:eastAsia="zh-CN"/>
        </w:rPr>
        <w:t>Downlink</w:t>
      </w:r>
      <w:r w:rsidRPr="000A0A5F">
        <w:t>DataTransfer</w:t>
      </w:r>
      <w:r w:rsidRPr="000A0A5F">
        <w:rPr>
          <w:rFonts w:hint="eastAsia"/>
          <w:lang w:eastAsia="zh-CN"/>
        </w:rPr>
        <w:t>s</w:t>
      </w:r>
      <w:r w:rsidRPr="000A0A5F">
        <w:rPr>
          <w:noProof/>
        </w:rPr>
        <w:t xml:space="preserve">" attribute together with the created resource </w:t>
      </w:r>
      <w:r w:rsidRPr="000A0A5F">
        <w:rPr>
          <w:lang w:eastAsia="zh-CN"/>
        </w:rPr>
        <w:t>"</w:t>
      </w:r>
      <w:r w:rsidRPr="000A0A5F">
        <w:t>Individual</w:t>
      </w:r>
      <w:r w:rsidRPr="000A0A5F">
        <w:rPr>
          <w:rFonts w:hint="eastAsia"/>
          <w:lang w:eastAsia="zh-CN"/>
        </w:rPr>
        <w:t xml:space="preserve"> NIDD configuration</w:t>
      </w:r>
      <w:r w:rsidRPr="000A0A5F">
        <w:rPr>
          <w:lang w:eastAsia="zh-CN"/>
        </w:rPr>
        <w:t xml:space="preserve">" which included in the Location header field in the HTTP POST response. </w:t>
      </w:r>
      <w:r w:rsidRPr="000A0A5F">
        <w:t xml:space="preserve">When the </w:t>
      </w:r>
      <w:r w:rsidRPr="000A0A5F">
        <w:rPr>
          <w:rFonts w:hint="eastAsia"/>
          <w:lang w:eastAsia="zh-CN"/>
        </w:rPr>
        <w:t xml:space="preserve">SCS/AS </w:t>
      </w:r>
      <w:r w:rsidRPr="000A0A5F">
        <w:t>receives the</w:t>
      </w:r>
      <w:r w:rsidRPr="000A0A5F">
        <w:rPr>
          <w:rFonts w:hint="eastAsia"/>
          <w:lang w:eastAsia="zh-CN"/>
        </w:rPr>
        <w:t xml:space="preserve"> URI </w:t>
      </w:r>
      <w:r w:rsidRPr="000A0A5F">
        <w:rPr>
          <w:noProof/>
        </w:rPr>
        <w:t>the "</w:t>
      </w:r>
      <w:r w:rsidRPr="000A0A5F">
        <w:t>self</w:t>
      </w:r>
      <w:r w:rsidRPr="000A0A5F">
        <w:rPr>
          <w:noProof/>
        </w:rPr>
        <w:t>" attribute in the "</w:t>
      </w:r>
      <w:r w:rsidRPr="000A0A5F">
        <w:rPr>
          <w:rFonts w:hint="eastAsia"/>
          <w:lang w:eastAsia="zh-CN"/>
        </w:rPr>
        <w:t>n</w:t>
      </w:r>
      <w:r w:rsidRPr="000A0A5F">
        <w:t>idd</w:t>
      </w:r>
      <w:r w:rsidRPr="000A0A5F">
        <w:rPr>
          <w:rFonts w:hint="eastAsia"/>
          <w:lang w:eastAsia="zh-CN"/>
        </w:rPr>
        <w:t>Downlink</w:t>
      </w:r>
      <w:r w:rsidRPr="000A0A5F">
        <w:t>DataTransfer</w:t>
      </w:r>
      <w:r w:rsidRPr="000A0A5F">
        <w:rPr>
          <w:rFonts w:hint="eastAsia"/>
          <w:lang w:eastAsia="zh-CN"/>
        </w:rPr>
        <w:t>s</w:t>
      </w:r>
      <w:r w:rsidRPr="000A0A5F">
        <w:rPr>
          <w:noProof/>
        </w:rPr>
        <w:t>" attribute</w:t>
      </w:r>
      <w:r w:rsidRPr="000A0A5F">
        <w:t xml:space="preserve">, it shall use this </w:t>
      </w:r>
      <w:r w:rsidRPr="000A0A5F">
        <w:rPr>
          <w:rFonts w:hint="eastAsia"/>
          <w:lang w:eastAsia="zh-CN"/>
        </w:rPr>
        <w:t>URI</w:t>
      </w:r>
      <w:r w:rsidRPr="000A0A5F">
        <w:t xml:space="preserve"> in subsequent requests to the </w:t>
      </w:r>
      <w:r w:rsidRPr="000A0A5F">
        <w:rPr>
          <w:rFonts w:hint="eastAsia"/>
          <w:lang w:eastAsia="zh-CN"/>
        </w:rPr>
        <w:t xml:space="preserve">SCEF </w:t>
      </w:r>
      <w:r w:rsidRPr="000A0A5F">
        <w:t>to refer to this</w:t>
      </w:r>
      <w:r w:rsidRPr="000A0A5F">
        <w:rPr>
          <w:rFonts w:hint="eastAsia"/>
          <w:lang w:eastAsia="zh-CN"/>
        </w:rPr>
        <w:t xml:space="preserve"> </w:t>
      </w:r>
      <w:r w:rsidRPr="000A0A5F">
        <w:rPr>
          <w:lang w:eastAsia="zh-CN"/>
        </w:rPr>
        <w:t>downlink data delivery transfer</w:t>
      </w:r>
      <w:r w:rsidRPr="000A0A5F">
        <w:t>.</w:t>
      </w:r>
    </w:p>
    <w:p w:rsidR="00CB0DD7" w:rsidRPr="000A0A5F" w:rsidRDefault="00CB0DD7">
      <w:r w:rsidRPr="000A0A5F">
        <w:rPr>
          <w:lang w:eastAsia="zh-CN"/>
        </w:rPr>
        <w:t>After sending the HTTP response to NIDD configuration request, the SCEF shall perform the procedure for individual MT NIDD as described in clause</w:t>
      </w:r>
      <w:r w:rsidRPr="000A0A5F">
        <w:rPr>
          <w:lang w:val="en-US" w:eastAsia="zh-CN"/>
        </w:rPr>
        <w:t> 4.4.5.3.1</w:t>
      </w:r>
      <w:r w:rsidRPr="000A0A5F">
        <w:t>.</w:t>
      </w:r>
    </w:p>
    <w:p w:rsidR="00CB0DD7" w:rsidRPr="000A0A5F" w:rsidRDefault="00CB0DD7">
      <w:pPr>
        <w:pStyle w:val="NO"/>
        <w:rPr>
          <w:rFonts w:hint="eastAsia"/>
        </w:rPr>
      </w:pPr>
      <w:r w:rsidRPr="000A0A5F">
        <w:t>NOTE:</w:t>
      </w:r>
      <w:r w:rsidRPr="000A0A5F">
        <w:tab/>
        <w:t>Any further interaction with the SCS/AS for the piggybacked individual MT NIDD is performed by the notification of NIDD downlink data delivery status.</w:t>
      </w:r>
    </w:p>
    <w:p w:rsidR="00CB0DD7" w:rsidRPr="000A0A5F" w:rsidRDefault="00CB0DD7">
      <w:pPr>
        <w:rPr>
          <w:rFonts w:hint="eastAsia"/>
          <w:lang w:eastAsia="zh-CN"/>
        </w:rPr>
      </w:pPr>
      <w:r w:rsidRPr="000A0A5F">
        <w:rPr>
          <w:rFonts w:hint="eastAsia"/>
          <w:lang w:eastAsia="zh-CN"/>
        </w:rPr>
        <w:t xml:space="preserve">For a NIDD configuration modification, the SCS/AS </w:t>
      </w:r>
      <w:r w:rsidRPr="000A0A5F">
        <w:rPr>
          <w:lang w:eastAsia="zh-CN"/>
        </w:rPr>
        <w:t>shall</w:t>
      </w:r>
      <w:r w:rsidRPr="000A0A5F">
        <w:rPr>
          <w:rFonts w:hint="eastAsia"/>
          <w:lang w:eastAsia="zh-CN"/>
        </w:rPr>
        <w:t xml:space="preserve"> send an HTTP PATCH message to the SCEF</w:t>
      </w:r>
      <w:r w:rsidRPr="000A0A5F">
        <w:rPr>
          <w:lang w:eastAsia="zh-CN"/>
        </w:rPr>
        <w:t xml:space="preserve"> for the "</w:t>
      </w:r>
      <w:r w:rsidRPr="000A0A5F">
        <w:t>Individual</w:t>
      </w:r>
      <w:r w:rsidRPr="000A0A5F">
        <w:rPr>
          <w:rFonts w:hint="eastAsia"/>
          <w:lang w:eastAsia="zh-CN"/>
        </w:rPr>
        <w:t xml:space="preserve"> NIDD configuration</w:t>
      </w:r>
      <w:r w:rsidRPr="000A0A5F">
        <w:rPr>
          <w:lang w:eastAsia="zh-CN"/>
        </w:rPr>
        <w:t>" resource, using the URI received in the response to the request that has created the NIDD configuration resource</w:t>
      </w:r>
      <w:r w:rsidRPr="000A0A5F">
        <w:rPr>
          <w:rFonts w:hint="eastAsia"/>
          <w:lang w:eastAsia="zh-CN"/>
        </w:rPr>
        <w:t xml:space="preserve">. </w:t>
      </w:r>
      <w:r w:rsidRPr="000A0A5F">
        <w:t xml:space="preserve">Upon receipt of the HTTP PATCH request from the </w:t>
      </w:r>
      <w:r w:rsidRPr="000A0A5F">
        <w:rPr>
          <w:rFonts w:hint="eastAsia"/>
          <w:lang w:eastAsia="zh-CN"/>
        </w:rPr>
        <w:t xml:space="preserve">SCS/AS </w:t>
      </w:r>
      <w:r w:rsidRPr="000A0A5F">
        <w:t xml:space="preserve">to update </w:t>
      </w:r>
      <w:r w:rsidRPr="000A0A5F">
        <w:rPr>
          <w:lang w:eastAsia="zh-CN"/>
        </w:rPr>
        <w:t>the</w:t>
      </w:r>
      <w:r w:rsidRPr="000A0A5F">
        <w:rPr>
          <w:rFonts w:hint="eastAsia"/>
          <w:lang w:eastAsia="zh-CN"/>
        </w:rPr>
        <w:t xml:space="preserve"> parameters of the NIDD configuration</w:t>
      </w:r>
      <w:r w:rsidRPr="000A0A5F">
        <w:t xml:space="preserve">, the </w:t>
      </w:r>
      <w:r w:rsidRPr="000A0A5F">
        <w:rPr>
          <w:rFonts w:hint="eastAsia"/>
          <w:lang w:eastAsia="zh-CN"/>
        </w:rPr>
        <w:t xml:space="preserve">SCEF </w:t>
      </w:r>
      <w:r w:rsidRPr="000A0A5F">
        <w:t xml:space="preserve">shall check whether the </w:t>
      </w:r>
      <w:r w:rsidRPr="000A0A5F">
        <w:rPr>
          <w:rFonts w:hint="eastAsia"/>
          <w:lang w:eastAsia="zh-CN"/>
        </w:rPr>
        <w:t xml:space="preserve">SCS/AS </w:t>
      </w:r>
      <w:r w:rsidRPr="000A0A5F">
        <w:t>is authenticated and authorized to update</w:t>
      </w:r>
      <w:r w:rsidRPr="000A0A5F">
        <w:rPr>
          <w:rFonts w:hint="eastAsia"/>
          <w:lang w:eastAsia="zh-CN"/>
        </w:rPr>
        <w:t xml:space="preserve"> NIDD </w:t>
      </w:r>
      <w:r w:rsidRPr="000A0A5F">
        <w:rPr>
          <w:lang w:eastAsia="zh-CN"/>
        </w:rPr>
        <w:t>configuration</w:t>
      </w:r>
      <w:r w:rsidRPr="000A0A5F">
        <w:t xml:space="preserve">. If the authorization is successful, the </w:t>
      </w:r>
      <w:r w:rsidRPr="000A0A5F">
        <w:rPr>
          <w:rFonts w:hint="eastAsia"/>
          <w:lang w:eastAsia="zh-CN"/>
        </w:rPr>
        <w:t>SCEF</w:t>
      </w:r>
      <w:r w:rsidRPr="000A0A5F">
        <w:t xml:space="preserve"> shall verify that the resource to be modified already exists as identified by the URI. If</w:t>
      </w:r>
      <w:r w:rsidRPr="000A0A5F">
        <w:rPr>
          <w:rFonts w:hint="eastAsia"/>
          <w:lang w:eastAsia="zh-CN"/>
        </w:rPr>
        <w:t xml:space="preserve"> the NIDD configuration</w:t>
      </w:r>
      <w:r w:rsidRPr="000A0A5F">
        <w:rPr>
          <w:lang w:eastAsia="zh-CN"/>
        </w:rPr>
        <w:t xml:space="preserve"> resource</w:t>
      </w:r>
      <w:r w:rsidRPr="000A0A5F">
        <w:rPr>
          <w:rFonts w:hint="eastAsia"/>
          <w:lang w:eastAsia="zh-CN"/>
        </w:rPr>
        <w:t xml:space="preserve"> is found</w:t>
      </w:r>
      <w:r w:rsidRPr="000A0A5F">
        <w:t xml:space="preserve">, </w:t>
      </w:r>
      <w:r w:rsidRPr="000A0A5F">
        <w:rPr>
          <w:rFonts w:hint="eastAsia"/>
          <w:lang w:eastAsia="zh-CN"/>
        </w:rPr>
        <w:t>the SCEF</w:t>
      </w:r>
      <w:r w:rsidRPr="000A0A5F">
        <w:t xml:space="preserve"> shall update the </w:t>
      </w:r>
      <w:r w:rsidRPr="000A0A5F">
        <w:rPr>
          <w:rFonts w:hint="eastAsia"/>
          <w:lang w:eastAsia="zh-CN"/>
        </w:rPr>
        <w:t>NIDD configuration</w:t>
      </w:r>
      <w:r w:rsidRPr="000A0A5F">
        <w:t xml:space="preserve"> as requested. Upon successful update of the requested </w:t>
      </w:r>
      <w:r w:rsidRPr="000A0A5F">
        <w:rPr>
          <w:rFonts w:hint="eastAsia"/>
          <w:lang w:eastAsia="zh-CN"/>
        </w:rPr>
        <w:t>NIDD configuration</w:t>
      </w:r>
      <w:r w:rsidRPr="000A0A5F">
        <w:rPr>
          <w:lang w:eastAsia="zh-CN"/>
        </w:rPr>
        <w:t xml:space="preserve"> including the interaction with the HSS</w:t>
      </w:r>
      <w:r w:rsidRPr="000A0A5F">
        <w:rPr>
          <w:noProof/>
          <w:lang w:eastAsia="zh-CN"/>
        </w:rPr>
        <w:t xml:space="preserve"> via S6t as specified in 3GPP TS 29.336 [11]</w:t>
      </w:r>
      <w:r w:rsidRPr="000A0A5F">
        <w:t xml:space="preserve">, the </w:t>
      </w:r>
      <w:r w:rsidRPr="000A0A5F">
        <w:rPr>
          <w:rFonts w:hint="eastAsia"/>
          <w:lang w:eastAsia="zh-CN"/>
        </w:rPr>
        <w:t>SCEF</w:t>
      </w:r>
      <w:r w:rsidRPr="000A0A5F">
        <w:t xml:space="preserve"> shall respond to the </w:t>
      </w:r>
      <w:r w:rsidRPr="000A0A5F">
        <w:rPr>
          <w:rFonts w:hint="eastAsia"/>
          <w:lang w:eastAsia="zh-CN"/>
        </w:rPr>
        <w:t>SCS/AS</w:t>
      </w:r>
      <w:r w:rsidRPr="000A0A5F">
        <w:t xml:space="preserve"> with a 200 OK success message indicating that the </w:t>
      </w:r>
      <w:r w:rsidRPr="000A0A5F">
        <w:rPr>
          <w:rFonts w:hint="eastAsia"/>
          <w:lang w:eastAsia="zh-CN"/>
        </w:rPr>
        <w:t>NIDD configuration</w:t>
      </w:r>
      <w:r w:rsidRPr="000A0A5F">
        <w:t xml:space="preserve"> resource was successfully updated, or with a 204 No Content success message if the NIDD configuration modification is successful updated with no content in the PATCH response message body</w:t>
      </w:r>
      <w:r w:rsidRPr="000A0A5F">
        <w:rPr>
          <w:rFonts w:hint="eastAsia"/>
          <w:lang w:eastAsia="zh-CN"/>
        </w:rPr>
        <w:t>.</w:t>
      </w:r>
    </w:p>
    <w:p w:rsidR="00CB0DD7" w:rsidRPr="000A0A5F" w:rsidRDefault="00CB0DD7">
      <w:r w:rsidRPr="000A0A5F">
        <w:rPr>
          <w:rFonts w:hint="eastAsia"/>
          <w:lang w:eastAsia="zh-CN"/>
        </w:rPr>
        <w:t>For a NIDD configuration cancel</w:t>
      </w:r>
      <w:r w:rsidRPr="000A0A5F">
        <w:rPr>
          <w:lang w:eastAsia="zh-CN"/>
        </w:rPr>
        <w:t>lation</w:t>
      </w:r>
      <w:r w:rsidRPr="000A0A5F">
        <w:rPr>
          <w:rFonts w:hint="eastAsia"/>
          <w:lang w:eastAsia="zh-CN"/>
        </w:rPr>
        <w:t>, the SCS/AS shall send an HTTP DELETE message to the SCEF</w:t>
      </w:r>
      <w:r w:rsidRPr="000A0A5F">
        <w:rPr>
          <w:lang w:eastAsia="zh-CN"/>
        </w:rPr>
        <w:t xml:space="preserve"> for the "</w:t>
      </w:r>
      <w:r w:rsidRPr="000A0A5F">
        <w:t>Individual</w:t>
      </w:r>
      <w:r w:rsidRPr="000A0A5F">
        <w:rPr>
          <w:rFonts w:hint="eastAsia"/>
          <w:lang w:eastAsia="zh-CN"/>
        </w:rPr>
        <w:t xml:space="preserve"> NIDD configuration</w:t>
      </w:r>
      <w:r w:rsidRPr="000A0A5F">
        <w:rPr>
          <w:lang w:eastAsia="zh-CN"/>
        </w:rPr>
        <w:t>" resource, using the URI received in the response to the request that has created the NIDD configuration resource</w:t>
      </w:r>
      <w:r w:rsidRPr="000A0A5F">
        <w:rPr>
          <w:rFonts w:hint="eastAsia"/>
          <w:lang w:eastAsia="zh-CN"/>
        </w:rPr>
        <w:t xml:space="preserve">. </w:t>
      </w:r>
      <w:r w:rsidRPr="000A0A5F">
        <w:rPr>
          <w:lang w:eastAsia="zh-CN"/>
        </w:rPr>
        <w:t xml:space="preserve">Upon receipt of the </w:t>
      </w:r>
      <w:r w:rsidRPr="000A0A5F">
        <w:rPr>
          <w:rFonts w:hint="eastAsia"/>
          <w:lang w:eastAsia="zh-CN"/>
        </w:rPr>
        <w:t>HTTP DELETE message</w:t>
      </w:r>
      <w:r w:rsidRPr="000A0A5F">
        <w:rPr>
          <w:lang w:eastAsia="zh-CN"/>
        </w:rPr>
        <w:t xml:space="preserve"> from the SCS/AS, </w:t>
      </w:r>
      <w:r w:rsidRPr="000A0A5F">
        <w:rPr>
          <w:rFonts w:hint="eastAsia"/>
          <w:lang w:eastAsia="zh-CN"/>
        </w:rPr>
        <w:t xml:space="preserve">the SCEF shall </w:t>
      </w:r>
      <w:r w:rsidRPr="000A0A5F">
        <w:t xml:space="preserve">check whether the </w:t>
      </w:r>
      <w:r w:rsidRPr="000A0A5F">
        <w:rPr>
          <w:rFonts w:hint="eastAsia"/>
          <w:lang w:eastAsia="zh-CN"/>
        </w:rPr>
        <w:t>SCS/AS</w:t>
      </w:r>
      <w:r w:rsidRPr="000A0A5F">
        <w:t xml:space="preserve"> is authenticated and authorized to delete </w:t>
      </w:r>
      <w:r w:rsidRPr="000A0A5F">
        <w:rPr>
          <w:rFonts w:hint="eastAsia"/>
          <w:lang w:eastAsia="zh-CN"/>
        </w:rPr>
        <w:t>NIDD configuration</w:t>
      </w:r>
      <w:r w:rsidRPr="000A0A5F">
        <w:t xml:space="preserve">. If the authorization is successful, the </w:t>
      </w:r>
      <w:r w:rsidRPr="000A0A5F">
        <w:rPr>
          <w:rFonts w:hint="eastAsia"/>
          <w:lang w:eastAsia="zh-CN"/>
        </w:rPr>
        <w:t xml:space="preserve">SCEF </w:t>
      </w:r>
      <w:r w:rsidRPr="000A0A5F">
        <w:t xml:space="preserve">shall verify that the </w:t>
      </w:r>
      <w:r w:rsidRPr="000A0A5F">
        <w:rPr>
          <w:rFonts w:hint="eastAsia"/>
          <w:lang w:eastAsia="zh-CN"/>
        </w:rPr>
        <w:t>NIDD configuration</w:t>
      </w:r>
      <w:r w:rsidRPr="000A0A5F">
        <w:t xml:space="preserve"> resource identified by the URI already exists</w:t>
      </w:r>
      <w:r w:rsidRPr="000A0A5F">
        <w:rPr>
          <w:rFonts w:hint="eastAsia"/>
          <w:lang w:eastAsia="zh-CN"/>
        </w:rPr>
        <w:t xml:space="preserve">. </w:t>
      </w:r>
      <w:r w:rsidRPr="000A0A5F">
        <w:t xml:space="preserve">If </w:t>
      </w:r>
      <w:r w:rsidRPr="000A0A5F">
        <w:rPr>
          <w:rFonts w:hint="eastAsia"/>
          <w:lang w:eastAsia="zh-CN"/>
        </w:rPr>
        <w:t>the configuration</w:t>
      </w:r>
      <w:r w:rsidRPr="000A0A5F">
        <w:rPr>
          <w:lang w:eastAsia="zh-CN"/>
        </w:rPr>
        <w:t xml:space="preserve"> resource</w:t>
      </w:r>
      <w:r w:rsidRPr="000A0A5F">
        <w:rPr>
          <w:rFonts w:hint="eastAsia"/>
          <w:lang w:eastAsia="zh-CN"/>
        </w:rPr>
        <w:t xml:space="preserve"> </w:t>
      </w:r>
      <w:r w:rsidRPr="000A0A5F">
        <w:t>exist</w:t>
      </w:r>
      <w:r w:rsidRPr="000A0A5F">
        <w:rPr>
          <w:rFonts w:hint="eastAsia"/>
          <w:lang w:eastAsia="zh-CN"/>
        </w:rPr>
        <w:t>s</w:t>
      </w:r>
      <w:r w:rsidRPr="000A0A5F">
        <w:t xml:space="preserve">, </w:t>
      </w:r>
      <w:r w:rsidRPr="000A0A5F">
        <w:rPr>
          <w:rFonts w:hint="eastAsia"/>
          <w:lang w:eastAsia="zh-CN"/>
        </w:rPr>
        <w:t xml:space="preserve">the SCEF </w:t>
      </w:r>
      <w:r w:rsidRPr="000A0A5F">
        <w:t xml:space="preserve">shall delete the requested </w:t>
      </w:r>
      <w:r w:rsidRPr="000A0A5F">
        <w:rPr>
          <w:rFonts w:hint="eastAsia"/>
          <w:lang w:eastAsia="zh-CN"/>
        </w:rPr>
        <w:t>configuration, and perform related NIDD procedure to EPC network elements if applicable</w:t>
      </w:r>
      <w:r w:rsidRPr="000A0A5F">
        <w:t xml:space="preserve">. Upon successful deletion of requested </w:t>
      </w:r>
      <w:r w:rsidRPr="000A0A5F">
        <w:rPr>
          <w:rFonts w:hint="eastAsia"/>
          <w:lang w:eastAsia="zh-CN"/>
        </w:rPr>
        <w:t>NIDD configuration</w:t>
      </w:r>
      <w:r w:rsidRPr="000A0A5F">
        <w:t xml:space="preserve">, the </w:t>
      </w:r>
      <w:r w:rsidRPr="000A0A5F">
        <w:rPr>
          <w:rFonts w:hint="eastAsia"/>
          <w:lang w:eastAsia="zh-CN"/>
        </w:rPr>
        <w:t>SCEF</w:t>
      </w:r>
      <w:r w:rsidRPr="000A0A5F">
        <w:t xml:space="preserve"> shall respond to the </w:t>
      </w:r>
      <w:r w:rsidRPr="000A0A5F">
        <w:rPr>
          <w:rFonts w:hint="eastAsia"/>
          <w:lang w:eastAsia="zh-CN"/>
        </w:rPr>
        <w:t xml:space="preserve">SCS/AS </w:t>
      </w:r>
      <w:r w:rsidRPr="000A0A5F">
        <w:t xml:space="preserve">with a 200 OK success message indicating that the </w:t>
      </w:r>
      <w:r w:rsidRPr="000A0A5F">
        <w:rPr>
          <w:rFonts w:hint="eastAsia"/>
          <w:lang w:eastAsia="zh-CN"/>
        </w:rPr>
        <w:t xml:space="preserve">NIDD configuration </w:t>
      </w:r>
      <w:r w:rsidRPr="000A0A5F">
        <w:t xml:space="preserve">was successfully </w:t>
      </w:r>
      <w:r w:rsidRPr="000A0A5F">
        <w:rPr>
          <w:lang w:eastAsia="zh-CN"/>
        </w:rPr>
        <w:t>cancelled</w:t>
      </w:r>
      <w:r w:rsidRPr="000A0A5F">
        <w:t xml:space="preserve">. As an alternative to the 200 OK success message, </w:t>
      </w:r>
      <w:r w:rsidRPr="000A0A5F">
        <w:rPr>
          <w:rFonts w:hint="eastAsia"/>
          <w:lang w:eastAsia="zh-CN"/>
        </w:rPr>
        <w:t>the SCEF</w:t>
      </w:r>
      <w:r w:rsidRPr="000A0A5F">
        <w:t xml:space="preserve"> may send a 204 No Content success message without any message content to the </w:t>
      </w:r>
      <w:r w:rsidRPr="000A0A5F">
        <w:rPr>
          <w:rFonts w:hint="eastAsia"/>
          <w:lang w:eastAsia="zh-CN"/>
        </w:rPr>
        <w:t>SCS/AS</w:t>
      </w:r>
      <w:r w:rsidRPr="000A0A5F">
        <w:t xml:space="preserve">. </w:t>
      </w:r>
    </w:p>
    <w:p w:rsidR="00CB0DD7" w:rsidRPr="000A0A5F" w:rsidRDefault="00CB0DD7">
      <w:pPr>
        <w:rPr>
          <w:lang w:eastAsia="zh-CN"/>
        </w:rPr>
      </w:pPr>
      <w:r w:rsidRPr="000A0A5F">
        <w:rPr>
          <w:lang w:eastAsia="zh-CN"/>
        </w:rPr>
        <w:t>When the NIDD Duration expires, the SCEF may remove the associated NIDD configuration resource and all individual downlink data delivery resources under such NIDD configuration.</w:t>
      </w:r>
    </w:p>
    <w:p w:rsidR="00CB0DD7" w:rsidRPr="000A0A5F" w:rsidRDefault="00CB0DD7">
      <w:pPr>
        <w:pStyle w:val="Heading5"/>
        <w:rPr>
          <w:rFonts w:hint="eastAsia"/>
        </w:rPr>
      </w:pPr>
      <w:bookmarkStart w:id="455" w:name="_Toc11247209"/>
      <w:bookmarkStart w:id="456" w:name="_Toc27044326"/>
      <w:bookmarkStart w:id="457" w:name="_Toc36033368"/>
      <w:bookmarkStart w:id="458" w:name="_Toc45131498"/>
      <w:bookmarkStart w:id="459" w:name="_Toc49775783"/>
      <w:bookmarkStart w:id="460" w:name="_Toc51746703"/>
      <w:bookmarkStart w:id="461" w:name="_Toc66360245"/>
      <w:bookmarkStart w:id="462" w:name="_Toc68104750"/>
      <w:bookmarkStart w:id="463" w:name="_Toc74755379"/>
      <w:bookmarkStart w:id="464" w:name="_Toc105674234"/>
      <w:bookmarkStart w:id="465" w:name="_Toc130502267"/>
      <w:bookmarkStart w:id="466" w:name="_Toc153625046"/>
      <w:r w:rsidRPr="000A0A5F">
        <w:rPr>
          <w:rFonts w:hint="eastAsia"/>
        </w:rPr>
        <w:t>4.4.5.</w:t>
      </w:r>
      <w:r w:rsidRPr="000A0A5F">
        <w:t>2.2</w:t>
      </w:r>
      <w:r w:rsidRPr="000A0A5F">
        <w:rPr>
          <w:rFonts w:hint="eastAsia"/>
        </w:rPr>
        <w:tab/>
      </w:r>
      <w:r w:rsidRPr="000A0A5F">
        <w:t>NIDD Configuration for a group of UEs</w:t>
      </w:r>
      <w:bookmarkEnd w:id="455"/>
      <w:bookmarkEnd w:id="456"/>
      <w:bookmarkEnd w:id="457"/>
      <w:bookmarkEnd w:id="458"/>
      <w:bookmarkEnd w:id="459"/>
      <w:bookmarkEnd w:id="460"/>
      <w:bookmarkEnd w:id="461"/>
      <w:bookmarkEnd w:id="462"/>
      <w:bookmarkEnd w:id="463"/>
      <w:bookmarkEnd w:id="464"/>
      <w:bookmarkEnd w:id="465"/>
      <w:bookmarkEnd w:id="466"/>
    </w:p>
    <w:p w:rsidR="00CB0DD7" w:rsidRPr="000A0A5F" w:rsidRDefault="00CB0DD7">
      <w:r w:rsidRPr="000A0A5F">
        <w:t>The NIDD configuration procedure for a single UE as described in clause 4.4.5.2.1 shall be applicable for a group of UEs with the following differences:</w:t>
      </w:r>
    </w:p>
    <w:p w:rsidR="00CB0DD7" w:rsidRPr="000A0A5F" w:rsidRDefault="00CB0DD7">
      <w:pPr>
        <w:pStyle w:val="B10"/>
      </w:pPr>
      <w:r w:rsidRPr="000A0A5F">
        <w:t>-</w:t>
      </w:r>
      <w:r w:rsidRPr="000A0A5F">
        <w:tab/>
        <w:t>The External Group Identifier shall be included in the POST request instead of MSISDN or External Identifier.</w:t>
      </w:r>
    </w:p>
    <w:p w:rsidR="00CB0DD7" w:rsidRPr="000A0A5F" w:rsidRDefault="00CB0DD7">
      <w:pPr>
        <w:pStyle w:val="B10"/>
      </w:pPr>
      <w:r w:rsidRPr="000A0A5F">
        <w:t>-</w:t>
      </w:r>
      <w:r w:rsidRPr="000A0A5F">
        <w:tab/>
        <w:t>After receiving the response message from the HSS, the SCEF shall store the list of UE identifiers (IMSI and External Identifier or MSISDN) which are associated with the External Group Identifier.</w:t>
      </w:r>
    </w:p>
    <w:p w:rsidR="00CB0DD7" w:rsidRPr="000A0A5F" w:rsidRDefault="00CB0DD7">
      <w:pPr>
        <w:pStyle w:val="B10"/>
        <w:rPr>
          <w:rFonts w:hint="eastAsia"/>
        </w:rPr>
      </w:pPr>
      <w:r w:rsidRPr="000A0A5F">
        <w:t>-</w:t>
      </w:r>
      <w:r w:rsidRPr="000A0A5F">
        <w:tab/>
        <w:t xml:space="preserve">The </w:t>
      </w:r>
      <w:r w:rsidRPr="000A0A5F">
        <w:rPr>
          <w:rFonts w:hint="eastAsia"/>
          <w:lang w:eastAsia="zh-CN"/>
        </w:rPr>
        <w:t>downlink</w:t>
      </w:r>
      <w:r w:rsidRPr="000A0A5F">
        <w:t xml:space="preserve"> non-IP data </w:t>
      </w:r>
      <w:r w:rsidRPr="000A0A5F">
        <w:rPr>
          <w:lang w:eastAsia="zh-CN"/>
        </w:rPr>
        <w:t>is not supported to be handled together with the NIDD configuration.</w:t>
      </w:r>
    </w:p>
    <w:p w:rsidR="00CB0DD7" w:rsidRPr="000A0A5F" w:rsidRDefault="00CB0DD7">
      <w:pPr>
        <w:pStyle w:val="Heading4"/>
      </w:pPr>
      <w:bookmarkStart w:id="467" w:name="_Toc11247210"/>
      <w:bookmarkStart w:id="468" w:name="_Toc27044327"/>
      <w:bookmarkStart w:id="469" w:name="_Toc36033369"/>
      <w:bookmarkStart w:id="470" w:name="_Toc45131499"/>
      <w:bookmarkStart w:id="471" w:name="_Toc49775784"/>
      <w:bookmarkStart w:id="472" w:name="_Toc51746704"/>
      <w:bookmarkStart w:id="473" w:name="_Toc66360246"/>
      <w:bookmarkStart w:id="474" w:name="_Toc68104751"/>
      <w:bookmarkStart w:id="475" w:name="_Toc74755380"/>
      <w:bookmarkStart w:id="476" w:name="_Toc105674235"/>
      <w:bookmarkStart w:id="477" w:name="_Toc130502268"/>
      <w:bookmarkStart w:id="478" w:name="_Toc153625047"/>
      <w:r w:rsidRPr="000A0A5F">
        <w:t>4.4.</w:t>
      </w:r>
      <w:r w:rsidRPr="000A0A5F">
        <w:rPr>
          <w:rFonts w:hint="eastAsia"/>
          <w:lang w:eastAsia="zh-CN"/>
        </w:rPr>
        <w:t>5</w:t>
      </w:r>
      <w:r w:rsidRPr="000A0A5F">
        <w:t>.</w:t>
      </w:r>
      <w:r w:rsidRPr="000A0A5F">
        <w:rPr>
          <w:rFonts w:hint="eastAsia"/>
          <w:lang w:eastAsia="zh-CN"/>
        </w:rPr>
        <w:t>3</w:t>
      </w:r>
      <w:r w:rsidRPr="000A0A5F">
        <w:tab/>
        <w:t>Mobile Terminated NIDD procedure</w:t>
      </w:r>
      <w:bookmarkEnd w:id="467"/>
      <w:bookmarkEnd w:id="468"/>
      <w:bookmarkEnd w:id="469"/>
      <w:bookmarkEnd w:id="470"/>
      <w:bookmarkEnd w:id="471"/>
      <w:bookmarkEnd w:id="472"/>
      <w:bookmarkEnd w:id="473"/>
      <w:bookmarkEnd w:id="474"/>
      <w:bookmarkEnd w:id="475"/>
      <w:bookmarkEnd w:id="476"/>
      <w:bookmarkEnd w:id="477"/>
      <w:bookmarkEnd w:id="478"/>
    </w:p>
    <w:p w:rsidR="00CB0DD7" w:rsidRPr="000A0A5F" w:rsidRDefault="00CB0DD7">
      <w:pPr>
        <w:pStyle w:val="Heading5"/>
        <w:rPr>
          <w:rFonts w:hint="eastAsia"/>
        </w:rPr>
      </w:pPr>
      <w:bookmarkStart w:id="479" w:name="_Toc11247211"/>
      <w:bookmarkStart w:id="480" w:name="_Toc27044328"/>
      <w:bookmarkStart w:id="481" w:name="_Toc36033370"/>
      <w:bookmarkStart w:id="482" w:name="_Toc45131500"/>
      <w:bookmarkStart w:id="483" w:name="_Toc49775785"/>
      <w:bookmarkStart w:id="484" w:name="_Toc51746705"/>
      <w:bookmarkStart w:id="485" w:name="_Toc66360247"/>
      <w:bookmarkStart w:id="486" w:name="_Toc68104752"/>
      <w:bookmarkStart w:id="487" w:name="_Toc74755381"/>
      <w:bookmarkStart w:id="488" w:name="_Toc105674236"/>
      <w:bookmarkStart w:id="489" w:name="_Toc130502269"/>
      <w:bookmarkStart w:id="490" w:name="_Toc153625048"/>
      <w:r w:rsidRPr="000A0A5F">
        <w:rPr>
          <w:rFonts w:hint="eastAsia"/>
        </w:rPr>
        <w:t>4.4.5.3</w:t>
      </w:r>
      <w:r w:rsidRPr="000A0A5F">
        <w:t>.1</w:t>
      </w:r>
      <w:r w:rsidRPr="000A0A5F">
        <w:rPr>
          <w:rFonts w:hint="eastAsia"/>
        </w:rPr>
        <w:tab/>
      </w:r>
      <w:r w:rsidRPr="000A0A5F">
        <w:t>Mobile Terminated NIDD for a single UE</w:t>
      </w:r>
      <w:bookmarkEnd w:id="479"/>
      <w:bookmarkEnd w:id="480"/>
      <w:bookmarkEnd w:id="481"/>
      <w:bookmarkEnd w:id="482"/>
      <w:bookmarkEnd w:id="483"/>
      <w:bookmarkEnd w:id="484"/>
      <w:bookmarkEnd w:id="485"/>
      <w:bookmarkEnd w:id="486"/>
      <w:bookmarkEnd w:id="487"/>
      <w:bookmarkEnd w:id="488"/>
      <w:bookmarkEnd w:id="489"/>
      <w:bookmarkEnd w:id="490"/>
    </w:p>
    <w:p w:rsidR="00CB0DD7" w:rsidRPr="000A0A5F" w:rsidRDefault="00CB0DD7">
      <w:pPr>
        <w:rPr>
          <w:rFonts w:hint="eastAsia"/>
          <w:lang w:eastAsia="zh-CN"/>
        </w:rPr>
      </w:pPr>
      <w:r w:rsidRPr="000A0A5F">
        <w:rPr>
          <w:rFonts w:hint="eastAsia"/>
          <w:lang w:eastAsia="zh-CN"/>
        </w:rPr>
        <w:t xml:space="preserve">If the SCS/AS </w:t>
      </w:r>
      <w:r w:rsidRPr="000A0A5F">
        <w:rPr>
          <w:lang w:eastAsia="zh-CN"/>
        </w:rPr>
        <w:t>needs</w:t>
      </w:r>
      <w:r w:rsidRPr="000A0A5F">
        <w:rPr>
          <w:rFonts w:hint="eastAsia"/>
          <w:lang w:eastAsia="zh-CN"/>
        </w:rPr>
        <w:t xml:space="preserve"> to perform a downlink non-IP data delivery</w:t>
      </w:r>
      <w:r w:rsidRPr="000A0A5F">
        <w:rPr>
          <w:lang w:eastAsia="zh-CN"/>
        </w:rPr>
        <w:t xml:space="preserve"> for a single UE</w:t>
      </w:r>
      <w:r w:rsidRPr="000A0A5F">
        <w:rPr>
          <w:rFonts w:hint="eastAsia"/>
          <w:lang w:eastAsia="zh-CN"/>
        </w:rPr>
        <w:t>, the SCS/AS shall send an HTTP POST message to the SCEF</w:t>
      </w:r>
      <w:r w:rsidRPr="000A0A5F">
        <w:rPr>
          <w:lang w:eastAsia="zh-CN"/>
        </w:rPr>
        <w:t xml:space="preserve"> </w:t>
      </w:r>
      <w:r w:rsidRPr="000A0A5F">
        <w:t>for the "NIDD downlink data</w:t>
      </w:r>
      <w:r w:rsidRPr="000A0A5F">
        <w:rPr>
          <w:rFonts w:hint="eastAsia"/>
        </w:rPr>
        <w:t xml:space="preserve"> deliveries</w:t>
      </w:r>
      <w:r w:rsidRPr="000A0A5F">
        <w:t>" resource,</w:t>
      </w:r>
      <w:r w:rsidRPr="000A0A5F">
        <w:rPr>
          <w:lang w:eastAsia="zh-CN"/>
        </w:rPr>
        <w:t xml:space="preserve"> identifying an existing NIDD configuration resource as parent resource</w:t>
      </w:r>
      <w:r w:rsidRPr="000A0A5F">
        <w:rPr>
          <w:rFonts w:hint="eastAsia"/>
          <w:lang w:eastAsia="zh-CN"/>
        </w:rPr>
        <w:t xml:space="preserve">. </w:t>
      </w:r>
      <w:r w:rsidRPr="000A0A5F">
        <w:rPr>
          <w:noProof/>
          <w:lang w:eastAsia="zh-CN"/>
        </w:rPr>
        <w:t xml:space="preserve">The body of the HTTP POST message shall include </w:t>
      </w:r>
      <w:r w:rsidRPr="000A0A5F">
        <w:t>External Identifier or MSISDN and non-IP data</w:t>
      </w:r>
      <w:r w:rsidRPr="000A0A5F">
        <w:rPr>
          <w:lang w:eastAsia="zh-CN"/>
        </w:rPr>
        <w:t xml:space="preserve"> and may include </w:t>
      </w:r>
      <w:r w:rsidRPr="000A0A5F">
        <w:t>PDN Connection Establishment Optio</w:t>
      </w:r>
      <w:r w:rsidRPr="000A0A5F">
        <w:rPr>
          <w:rFonts w:hint="eastAsia"/>
          <w:lang w:eastAsia="zh-CN"/>
        </w:rPr>
        <w:t>n</w:t>
      </w:r>
      <w:r w:rsidRPr="000A0A5F">
        <w:rPr>
          <w:lang w:eastAsia="zh-CN"/>
        </w:rPr>
        <w:t xml:space="preserve">, </w:t>
      </w:r>
      <w:r w:rsidRPr="000A0A5F">
        <w:t>Reliable Data Service Configuration, Maximum Latency and Priority</w:t>
      </w:r>
      <w:r w:rsidRPr="000A0A5F">
        <w:rPr>
          <w:rFonts w:hint="eastAsia"/>
          <w:lang w:eastAsia="zh-CN"/>
        </w:rPr>
        <w:t>.</w:t>
      </w:r>
      <w:r w:rsidRPr="000A0A5F">
        <w:rPr>
          <w:lang w:eastAsia="zh-CN"/>
        </w:rPr>
        <w:t xml:space="preserve"> The Reliable Data Service Configuration includes port numbers on UE and SCEF that are used to identify a specific application for data transfer between UE and SCS/AS and an indication if reliable data service acknowledgement is enabled or not.</w:t>
      </w:r>
    </w:p>
    <w:p w:rsidR="00CB0DD7" w:rsidRPr="000A0A5F" w:rsidRDefault="00CB0DD7">
      <w:pPr>
        <w:rPr>
          <w:lang w:eastAsia="zh-CN"/>
        </w:rPr>
      </w:pPr>
      <w:r w:rsidRPr="000A0A5F">
        <w:t xml:space="preserve">Upon receipt of a HTTP </w:t>
      </w:r>
      <w:r w:rsidRPr="000A0A5F">
        <w:rPr>
          <w:rFonts w:hint="eastAsia"/>
          <w:lang w:eastAsia="zh-CN"/>
        </w:rPr>
        <w:t>POST</w:t>
      </w:r>
      <w:r w:rsidRPr="000A0A5F">
        <w:t xml:space="preserve"> request from the </w:t>
      </w:r>
      <w:r w:rsidRPr="000A0A5F">
        <w:rPr>
          <w:rFonts w:hint="eastAsia"/>
          <w:lang w:eastAsia="zh-CN"/>
        </w:rPr>
        <w:t xml:space="preserve">SCS/AS </w:t>
      </w:r>
      <w:r w:rsidRPr="000A0A5F">
        <w:t xml:space="preserve">for a </w:t>
      </w:r>
      <w:r w:rsidRPr="000A0A5F">
        <w:rPr>
          <w:rFonts w:hint="eastAsia"/>
          <w:lang w:eastAsia="zh-CN"/>
        </w:rPr>
        <w:t>downlink data delivery</w:t>
      </w:r>
      <w:r w:rsidRPr="000A0A5F">
        <w:rPr>
          <w:lang w:eastAsia="zh-CN"/>
        </w:rPr>
        <w:t xml:space="preserve"> for a single UE</w:t>
      </w:r>
      <w:r w:rsidRPr="000A0A5F">
        <w:t xml:space="preserve">, the SCEF </w:t>
      </w:r>
      <w:r w:rsidRPr="000A0A5F">
        <w:rPr>
          <w:rFonts w:hint="eastAsia"/>
          <w:lang w:eastAsia="zh-CN"/>
        </w:rPr>
        <w:t>shall</w:t>
      </w:r>
      <w:r w:rsidRPr="000A0A5F">
        <w:rPr>
          <w:lang w:eastAsia="zh-CN"/>
        </w:rPr>
        <w:t>:</w:t>
      </w:r>
    </w:p>
    <w:p w:rsidR="00CB0DD7" w:rsidRPr="000A0A5F" w:rsidRDefault="00CB0DD7">
      <w:pPr>
        <w:ind w:left="567" w:hanging="283"/>
        <w:rPr>
          <w:lang w:eastAsia="zh-CN"/>
        </w:rPr>
      </w:pPr>
      <w:r w:rsidRPr="000A0A5F">
        <w:rPr>
          <w:lang w:eastAsia="zh-CN"/>
        </w:rPr>
        <w:t>-</w:t>
      </w:r>
      <w:r w:rsidRPr="000A0A5F">
        <w:rPr>
          <w:lang w:eastAsia="zh-CN"/>
        </w:rPr>
        <w:tab/>
      </w:r>
      <w:r w:rsidRPr="000A0A5F">
        <w:t xml:space="preserve">verify the </w:t>
      </w:r>
      <w:r w:rsidRPr="000A0A5F">
        <w:rPr>
          <w:rFonts w:hint="eastAsia"/>
          <w:lang w:eastAsia="zh-CN"/>
        </w:rPr>
        <w:t>NIDD configuration</w:t>
      </w:r>
      <w:r w:rsidRPr="000A0A5F">
        <w:t xml:space="preserve"> resource </w:t>
      </w:r>
      <w:r w:rsidRPr="000A0A5F">
        <w:rPr>
          <w:rFonts w:hint="eastAsia"/>
          <w:lang w:eastAsia="zh-CN"/>
        </w:rPr>
        <w:t>already</w:t>
      </w:r>
      <w:r w:rsidRPr="000A0A5F">
        <w:t xml:space="preserve"> exists based on the URI passed</w:t>
      </w:r>
      <w:r w:rsidRPr="000A0A5F">
        <w:rPr>
          <w:rFonts w:hint="eastAsia"/>
          <w:lang w:eastAsia="zh-CN"/>
        </w:rPr>
        <w:t xml:space="preserve">, </w:t>
      </w:r>
      <w:r w:rsidRPr="000A0A5F">
        <w:rPr>
          <w:lang w:eastAsia="zh-CN"/>
        </w:rPr>
        <w:t xml:space="preserve">if the configuration resource does not exist, the SCEF shall respond </w:t>
      </w:r>
      <w:r w:rsidR="00D34F4A" w:rsidRPr="000A0A5F">
        <w:rPr>
          <w:lang w:eastAsia="zh-CN"/>
        </w:rPr>
        <w:t xml:space="preserve">with </w:t>
      </w:r>
      <w:r w:rsidRPr="000A0A5F">
        <w:rPr>
          <w:lang w:eastAsia="zh-CN"/>
        </w:rPr>
        <w:t xml:space="preserve">a </w:t>
      </w:r>
      <w:r w:rsidRPr="000A0A5F">
        <w:t>404 Not Found response to reject the downlink data delivery, and</w:t>
      </w:r>
    </w:p>
    <w:p w:rsidR="00CB0DD7" w:rsidRPr="000A0A5F" w:rsidRDefault="00CB0DD7">
      <w:pPr>
        <w:ind w:left="567" w:hanging="283"/>
        <w:rPr>
          <w:lang w:eastAsia="zh-CN"/>
        </w:rPr>
      </w:pPr>
      <w:r w:rsidRPr="000A0A5F">
        <w:rPr>
          <w:lang w:eastAsia="zh-CN"/>
        </w:rPr>
        <w:t>-</w:t>
      </w:r>
      <w:r w:rsidRPr="000A0A5F">
        <w:rPr>
          <w:lang w:eastAsia="zh-CN"/>
        </w:rPr>
        <w:tab/>
      </w:r>
      <w:r w:rsidRPr="000A0A5F">
        <w:rPr>
          <w:rFonts w:hint="eastAsia"/>
          <w:lang w:eastAsia="zh-CN"/>
        </w:rPr>
        <w:t xml:space="preserve">check </w:t>
      </w:r>
      <w:r w:rsidRPr="000A0A5F">
        <w:t xml:space="preserve">whether the SCS/AS is authorised to send NIDD requests, if not authorized, the SCEF shall respond </w:t>
      </w:r>
      <w:r w:rsidR="00D34F4A" w:rsidRPr="000A0A5F">
        <w:t xml:space="preserve">with </w:t>
      </w:r>
      <w:r w:rsidRPr="000A0A5F">
        <w:t>a 401 Unauthorized response to reject the downlink data delivery,</w:t>
      </w:r>
      <w:r w:rsidRPr="000A0A5F">
        <w:rPr>
          <w:lang w:eastAsia="zh-CN"/>
        </w:rPr>
        <w:t xml:space="preserve"> and </w:t>
      </w:r>
    </w:p>
    <w:p w:rsidR="00CB0DD7" w:rsidRPr="000A0A5F" w:rsidRDefault="00CB0DD7">
      <w:pPr>
        <w:ind w:left="567" w:hanging="283"/>
        <w:rPr>
          <w:lang w:eastAsia="zh-CN"/>
        </w:rPr>
      </w:pPr>
      <w:r w:rsidRPr="000A0A5F">
        <w:rPr>
          <w:lang w:eastAsia="zh-CN"/>
        </w:rPr>
        <w:t>-</w:t>
      </w:r>
      <w:r w:rsidRPr="000A0A5F">
        <w:rPr>
          <w:lang w:eastAsia="zh-CN"/>
        </w:rPr>
        <w:tab/>
        <w:t>check whether</w:t>
      </w:r>
      <w:r w:rsidRPr="000A0A5F">
        <w:t xml:space="preserve"> the non-IP packet size is larger than the Maximum Packet Size that was provided to the SCS/AS during NIDD Configuration</w:t>
      </w:r>
      <w:r w:rsidRPr="000A0A5F">
        <w:rPr>
          <w:rFonts w:hint="eastAsia"/>
          <w:lang w:eastAsia="zh-CN"/>
        </w:rPr>
        <w:t xml:space="preserve">. </w:t>
      </w:r>
      <w:r w:rsidRPr="000A0A5F">
        <w:t>If the packet is oversized, the SCEF shall respond</w:t>
      </w:r>
      <w:r w:rsidR="00D34F4A" w:rsidRPr="000A0A5F">
        <w:t xml:space="preserve"> with</w:t>
      </w:r>
      <w:r w:rsidRPr="000A0A5F">
        <w:t xml:space="preserve"> a 403 Forbidden response with a cause value "DATA_TOO_LARGE" in the "cause" attribute of the "ProblemDetails" </w:t>
      </w:r>
      <w:r w:rsidR="00D34F4A" w:rsidRPr="000A0A5F">
        <w:t xml:space="preserve">data </w:t>
      </w:r>
      <w:r w:rsidRPr="000A0A5F">
        <w:t>structure indicating received non-IP packet size is larger than "</w:t>
      </w:r>
      <w:r w:rsidRPr="000A0A5F">
        <w:rPr>
          <w:rFonts w:eastAsia="Times New Roman"/>
        </w:rPr>
        <w:t>maximumPacketSize</w:t>
      </w:r>
      <w:r w:rsidRPr="000A0A5F">
        <w:t>"</w:t>
      </w:r>
      <w:r w:rsidRPr="000A0A5F">
        <w:rPr>
          <w:rFonts w:eastAsia="Times New Roman"/>
        </w:rPr>
        <w:t xml:space="preserve"> of the NIDD configuration</w:t>
      </w:r>
      <w:r w:rsidRPr="000A0A5F">
        <w:t>.</w:t>
      </w:r>
      <w:r w:rsidRPr="000A0A5F">
        <w:rPr>
          <w:lang w:eastAsia="zh-CN"/>
        </w:rPr>
        <w:t xml:space="preserve"> </w:t>
      </w:r>
    </w:p>
    <w:p w:rsidR="00CB0DD7" w:rsidRPr="000A0A5F" w:rsidRDefault="00CB0DD7">
      <w:pPr>
        <w:ind w:left="567" w:hanging="283"/>
        <w:rPr>
          <w:lang w:eastAsia="zh-CN"/>
        </w:rPr>
      </w:pPr>
      <w:r w:rsidRPr="000A0A5F">
        <w:rPr>
          <w:lang w:eastAsia="zh-CN"/>
        </w:rPr>
        <w:t>-</w:t>
      </w:r>
      <w:r w:rsidRPr="000A0A5F">
        <w:rPr>
          <w:lang w:eastAsia="zh-CN"/>
        </w:rPr>
        <w:tab/>
        <w:t>if the Rds_port_verification feature is supported, check whether the RDS port numbers are within the configured RDS port list. If the RDS port numbers are unknown in the SCEF, the SCEF shall respond</w:t>
      </w:r>
      <w:r w:rsidRPr="000A0A5F">
        <w:t xml:space="preserve"> </w:t>
      </w:r>
      <w:r w:rsidR="00D34F4A" w:rsidRPr="000A0A5F">
        <w:t xml:space="preserve">with </w:t>
      </w:r>
      <w:r w:rsidRPr="000A0A5F">
        <w:t xml:space="preserve">a 403 Forbidden response with a cause value "RDS_PORT_UNKNOWN" in the "cause" attribute of the "ProblemDetails" </w:t>
      </w:r>
      <w:r w:rsidR="00D34F4A" w:rsidRPr="000A0A5F">
        <w:t xml:space="preserve">data </w:t>
      </w:r>
      <w:r w:rsidRPr="000A0A5F">
        <w:t>structure.</w:t>
      </w:r>
    </w:p>
    <w:p w:rsidR="00CB0DD7" w:rsidRPr="000A0A5F" w:rsidRDefault="00CB0DD7">
      <w:pPr>
        <w:rPr>
          <w:lang w:eastAsia="zh-CN"/>
        </w:rPr>
      </w:pPr>
      <w:r w:rsidRPr="000A0A5F">
        <w:rPr>
          <w:rFonts w:hint="eastAsia"/>
          <w:lang w:eastAsia="zh-CN"/>
        </w:rPr>
        <w:t xml:space="preserve">If </w:t>
      </w:r>
      <w:r w:rsidRPr="000A0A5F">
        <w:rPr>
          <w:lang w:eastAsia="zh-CN"/>
        </w:rPr>
        <w:t xml:space="preserve">all above checks are successful, </w:t>
      </w:r>
      <w:r w:rsidRPr="000A0A5F">
        <w:rPr>
          <w:rFonts w:hint="eastAsia"/>
          <w:lang w:eastAsia="zh-CN"/>
        </w:rPr>
        <w:t xml:space="preserve">the SCEF shall </w:t>
      </w:r>
      <w:r w:rsidRPr="000A0A5F">
        <w:t>determine the EPS Bearer Context based on the APN associated with the NIDD configuration and the User Identity</w:t>
      </w:r>
      <w:r w:rsidRPr="000A0A5F">
        <w:rPr>
          <w:rFonts w:hint="eastAsia"/>
          <w:lang w:eastAsia="zh-CN"/>
        </w:rPr>
        <w:t xml:space="preserve">. </w:t>
      </w:r>
      <w:r w:rsidRPr="000A0A5F">
        <w:t xml:space="preserve">If </w:t>
      </w:r>
      <w:r w:rsidRPr="000A0A5F">
        <w:rPr>
          <w:rFonts w:hint="eastAsia"/>
          <w:lang w:eastAsia="zh-CN"/>
        </w:rPr>
        <w:t>the</w:t>
      </w:r>
      <w:r w:rsidRPr="000A0A5F">
        <w:t xml:space="preserve"> SCEF EPS bearer context </w:t>
      </w:r>
      <w:r w:rsidRPr="000A0A5F">
        <w:rPr>
          <w:rFonts w:hint="eastAsia"/>
          <w:lang w:eastAsia="zh-CN"/>
        </w:rPr>
        <w:t xml:space="preserve">is not found in the SCEF, </w:t>
      </w:r>
      <w:r w:rsidRPr="000A0A5F">
        <w:t>depending on PDN Connection Establishment Option received in the POST request or from NIDD configuration</w:t>
      </w:r>
      <w:r w:rsidRPr="000A0A5F">
        <w:rPr>
          <w:rFonts w:hint="eastAsia"/>
          <w:lang w:eastAsia="zh-CN"/>
        </w:rPr>
        <w:t>, the SCEF may</w:t>
      </w:r>
      <w:r w:rsidRPr="000A0A5F">
        <w:rPr>
          <w:lang w:eastAsia="zh-CN"/>
        </w:rPr>
        <w:t>:</w:t>
      </w:r>
      <w:r w:rsidRPr="000A0A5F">
        <w:rPr>
          <w:rFonts w:hint="eastAsia"/>
          <w:lang w:eastAsia="zh-CN"/>
        </w:rPr>
        <w:t xml:space="preserve"> </w:t>
      </w:r>
    </w:p>
    <w:p w:rsidR="00CB0DD7" w:rsidRPr="000A0A5F" w:rsidRDefault="00CB0DD7">
      <w:pPr>
        <w:pStyle w:val="B10"/>
        <w:rPr>
          <w:lang w:val="en-US" w:eastAsia="zh-CN"/>
        </w:rPr>
      </w:pPr>
      <w:r w:rsidRPr="000A0A5F">
        <w:t>-</w:t>
      </w:r>
      <w:r w:rsidRPr="000A0A5F">
        <w:tab/>
      </w:r>
      <w:r w:rsidRPr="000A0A5F">
        <w:rPr>
          <w:rFonts w:hint="eastAsia"/>
          <w:lang w:eastAsia="zh-CN"/>
        </w:rPr>
        <w:t>reject the request with an error message to the SCS/AS</w:t>
      </w:r>
      <w:r w:rsidRPr="000A0A5F">
        <w:rPr>
          <w:lang w:eastAsia="zh-CN"/>
        </w:rPr>
        <w:t>;</w:t>
      </w:r>
    </w:p>
    <w:p w:rsidR="00CB0DD7" w:rsidRPr="000A0A5F" w:rsidRDefault="00CB0DD7">
      <w:pPr>
        <w:pStyle w:val="B10"/>
        <w:rPr>
          <w:lang w:val="en-US" w:eastAsia="zh-CN"/>
        </w:rPr>
      </w:pPr>
      <w:r w:rsidRPr="000A0A5F">
        <w:t>-</w:t>
      </w:r>
      <w:r w:rsidRPr="000A0A5F">
        <w:tab/>
      </w:r>
      <w:r w:rsidRPr="000A0A5F">
        <w:rPr>
          <w:lang w:eastAsia="zh-CN"/>
        </w:rPr>
        <w:t>send a Device Trigger to the UE as described in clause</w:t>
      </w:r>
      <w:r w:rsidRPr="000A0A5F">
        <w:rPr>
          <w:lang w:val="en-US" w:eastAsia="zh-CN"/>
        </w:rPr>
        <w:t> 4.4.6 without buffering the non-IP data and respond the SCS/AS with a 500 Internal Server Error response</w:t>
      </w:r>
      <w:r w:rsidR="00667DF2" w:rsidRPr="000A0A5F">
        <w:t xml:space="preserve"> and a cause value "TRIGGERED" in the "cause" attribute of the "ProblemDetails" data structure</w:t>
      </w:r>
      <w:r w:rsidRPr="000A0A5F">
        <w:rPr>
          <w:lang w:val="en-US" w:eastAsia="zh-CN"/>
        </w:rPr>
        <w:t>; or</w:t>
      </w:r>
      <w:r w:rsidRPr="000A0A5F">
        <w:rPr>
          <w:lang w:eastAsia="zh-CN"/>
        </w:rPr>
        <w:t xml:space="preserve"> </w:t>
      </w:r>
    </w:p>
    <w:p w:rsidR="00CB0DD7" w:rsidRPr="000A0A5F" w:rsidRDefault="00CB0DD7">
      <w:pPr>
        <w:pStyle w:val="B10"/>
        <w:rPr>
          <w:lang w:eastAsia="zh-CN"/>
        </w:rPr>
      </w:pPr>
      <w:r w:rsidRPr="000A0A5F">
        <w:t>-</w:t>
      </w:r>
      <w:r w:rsidRPr="000A0A5F">
        <w:tab/>
      </w:r>
      <w:r w:rsidRPr="000A0A5F">
        <w:rPr>
          <w:lang w:eastAsia="zh-CN"/>
        </w:rPr>
        <w:t xml:space="preserve">buffer the non-IP data and create the </w:t>
      </w:r>
      <w:r w:rsidRPr="000A0A5F">
        <w:t>"Individual NIDD downlink data</w:t>
      </w:r>
      <w:r w:rsidRPr="000A0A5F">
        <w:rPr>
          <w:rFonts w:hint="eastAsia"/>
        </w:rPr>
        <w:t xml:space="preserve"> delivery</w:t>
      </w:r>
      <w:r w:rsidRPr="000A0A5F">
        <w:t>"</w:t>
      </w:r>
      <w:r w:rsidRPr="000A0A5F">
        <w:rPr>
          <w:lang w:eastAsia="zh-CN"/>
        </w:rPr>
        <w:t xml:space="preserve"> sub-resource, then</w:t>
      </w:r>
      <w:r w:rsidRPr="000A0A5F">
        <w:rPr>
          <w:rFonts w:hint="eastAsia"/>
          <w:lang w:eastAsia="zh-CN"/>
        </w:rPr>
        <w:t xml:space="preserve"> send a </w:t>
      </w:r>
      <w:r w:rsidRPr="000A0A5F">
        <w:rPr>
          <w:lang w:eastAsia="zh-CN"/>
        </w:rPr>
        <w:t>201 Created response to the SCS/AS.</w:t>
      </w:r>
      <w:r w:rsidRPr="000A0A5F">
        <w:rPr>
          <w:rFonts w:hint="eastAsia"/>
          <w:lang w:eastAsia="zh-CN"/>
        </w:rPr>
        <w:t xml:space="preserve"> </w:t>
      </w:r>
      <w:r w:rsidRPr="000A0A5F">
        <w:rPr>
          <w:lang w:eastAsia="zh-CN"/>
        </w:rPr>
        <w:t>The response message also includes an indication of whether the Device Trigger procedure (as described in clause</w:t>
      </w:r>
      <w:r w:rsidRPr="000A0A5F">
        <w:rPr>
          <w:lang w:val="en-US" w:eastAsia="zh-CN"/>
        </w:rPr>
        <w:t> 4.4.6</w:t>
      </w:r>
      <w:r w:rsidRPr="000A0A5F">
        <w:rPr>
          <w:lang w:eastAsia="zh-CN"/>
        </w:rPr>
        <w:t xml:space="preserve">) was performed by the SCEF. A Location header shall be included in the response message that provides the URI of the resource identifying this individual downlink data delivery. </w:t>
      </w:r>
      <w:r w:rsidRPr="000A0A5F">
        <w:t xml:space="preserve">The </w:t>
      </w:r>
      <w:r w:rsidRPr="000A0A5F">
        <w:rPr>
          <w:rFonts w:hint="eastAsia"/>
          <w:lang w:eastAsia="zh-CN"/>
        </w:rPr>
        <w:t>SCS/AS</w:t>
      </w:r>
      <w:r w:rsidRPr="000A0A5F">
        <w:t xml:space="preserve"> shall use the </w:t>
      </w:r>
      <w:r w:rsidRPr="000A0A5F">
        <w:rPr>
          <w:rFonts w:hint="eastAsia"/>
          <w:lang w:eastAsia="zh-CN"/>
        </w:rPr>
        <w:t>URI</w:t>
      </w:r>
      <w:r w:rsidRPr="000A0A5F">
        <w:t xml:space="preserve"> received </w:t>
      </w:r>
      <w:r w:rsidRPr="000A0A5F">
        <w:rPr>
          <w:rFonts w:hint="eastAsia"/>
          <w:lang w:eastAsia="zh-CN"/>
        </w:rPr>
        <w:t>in the Location header</w:t>
      </w:r>
      <w:r w:rsidRPr="000A0A5F">
        <w:t xml:space="preserve"> in subsequent requests to the </w:t>
      </w:r>
      <w:r w:rsidRPr="000A0A5F">
        <w:rPr>
          <w:rFonts w:hint="eastAsia"/>
          <w:lang w:eastAsia="zh-CN"/>
        </w:rPr>
        <w:t xml:space="preserve">SCEF </w:t>
      </w:r>
      <w:r w:rsidRPr="000A0A5F">
        <w:t>to refer to this</w:t>
      </w:r>
      <w:r w:rsidRPr="000A0A5F">
        <w:rPr>
          <w:rFonts w:hint="eastAsia"/>
          <w:lang w:eastAsia="zh-CN"/>
        </w:rPr>
        <w:t xml:space="preserve"> </w:t>
      </w:r>
      <w:r w:rsidRPr="000A0A5F">
        <w:rPr>
          <w:lang w:eastAsia="zh-CN"/>
        </w:rPr>
        <w:t>individual downlink data delivery for possible replacement or cancellation</w:t>
      </w:r>
      <w:r w:rsidRPr="000A0A5F">
        <w:t>.</w:t>
      </w:r>
      <w:r w:rsidRPr="000A0A5F">
        <w:rPr>
          <w:lang w:eastAsia="zh-CN"/>
        </w:rPr>
        <w:t xml:space="preserve"> T</w:t>
      </w:r>
      <w:r w:rsidRPr="000A0A5F">
        <w:rPr>
          <w:rFonts w:hint="eastAsia"/>
          <w:lang w:eastAsia="zh-CN"/>
        </w:rPr>
        <w:t xml:space="preserve">he non-IP data </w:t>
      </w:r>
      <w:r w:rsidRPr="000A0A5F">
        <w:rPr>
          <w:lang w:eastAsia="zh-CN"/>
        </w:rPr>
        <w:t>shall be delivered when the non-IP PDN connection is established</w:t>
      </w:r>
      <w:r w:rsidRPr="000A0A5F">
        <w:rPr>
          <w:rFonts w:hint="eastAsia"/>
          <w:lang w:eastAsia="zh-CN"/>
        </w:rPr>
        <w:t>.</w:t>
      </w:r>
    </w:p>
    <w:p w:rsidR="00CB0DD7" w:rsidRPr="000A0A5F" w:rsidRDefault="00CB0DD7">
      <w:r w:rsidRPr="000A0A5F">
        <w:rPr>
          <w:rFonts w:hint="eastAsia"/>
          <w:lang w:eastAsia="zh-CN"/>
        </w:rPr>
        <w:t xml:space="preserve">If the SCEF EPS bearer context is found in the SCEF, </w:t>
      </w:r>
      <w:r w:rsidRPr="000A0A5F">
        <w:rPr>
          <w:lang w:eastAsia="zh-CN"/>
        </w:rPr>
        <w:t xml:space="preserve">the SCEF shall check </w:t>
      </w:r>
      <w:r w:rsidRPr="000A0A5F">
        <w:t xml:space="preserve">if the SCS/AS has exceeded the quota or rate of data submission considering the number of existing buffered non-IP data and restriction in APN and serving PLMN rate control. If quota is reached, the SCEF shall respond the SCS/AS with a 403 Forbidden response and a cause value "QUOTA_EXCEEDED" in the "cause" attribute of the "ProblemDetails" </w:t>
      </w:r>
      <w:r w:rsidR="00667DF2" w:rsidRPr="000A0A5F">
        <w:t xml:space="preserve">data </w:t>
      </w:r>
      <w:r w:rsidRPr="000A0A5F">
        <w:t xml:space="preserve">structure indicating the reason for the failure condition. If rate limit is reached, the SCEF shall respond the SCS/AS with </w:t>
      </w:r>
      <w:r w:rsidR="00667DF2" w:rsidRPr="000A0A5F">
        <w:t xml:space="preserve">a </w:t>
      </w:r>
      <w:r w:rsidRPr="000A0A5F">
        <w:t>429 Too Many Requests</w:t>
      </w:r>
      <w:r w:rsidR="00667DF2" w:rsidRPr="000A0A5F">
        <w:t xml:space="preserve"> response</w:t>
      </w:r>
      <w:r w:rsidRPr="000A0A5F">
        <w:t>.</w:t>
      </w:r>
    </w:p>
    <w:p w:rsidR="00CB0DD7" w:rsidRPr="000A0A5F" w:rsidRDefault="00CB0DD7">
      <w:pPr>
        <w:rPr>
          <w:rFonts w:hint="eastAsia"/>
          <w:lang w:val="en-US" w:eastAsia="zh-CN"/>
        </w:rPr>
      </w:pPr>
      <w:r w:rsidRPr="000A0A5F">
        <w:t xml:space="preserve">If the check is passed, </w:t>
      </w:r>
      <w:r w:rsidRPr="000A0A5F">
        <w:rPr>
          <w:rFonts w:hint="eastAsia"/>
          <w:lang w:eastAsia="zh-CN"/>
        </w:rPr>
        <w:t>the SCEF shall continue the downlink non-IP data delivery procedure as the defined 3GPP TS 29.128</w:t>
      </w:r>
      <w:r w:rsidRPr="000A0A5F">
        <w:rPr>
          <w:lang w:val="en-US" w:eastAsia="zh-CN"/>
        </w:rPr>
        <w:t> </w:t>
      </w:r>
      <w:r w:rsidRPr="000A0A5F">
        <w:rPr>
          <w:rFonts w:hint="eastAsia"/>
          <w:lang w:val="en-US" w:eastAsia="zh-CN"/>
        </w:rPr>
        <w:t>[</w:t>
      </w:r>
      <w:r w:rsidRPr="000A0A5F">
        <w:rPr>
          <w:lang w:val="en-US" w:eastAsia="zh-CN"/>
        </w:rPr>
        <w:t>12</w:t>
      </w:r>
      <w:r w:rsidRPr="000A0A5F">
        <w:rPr>
          <w:rFonts w:hint="eastAsia"/>
          <w:lang w:val="en-US" w:eastAsia="zh-CN"/>
        </w:rPr>
        <w:t>].</w:t>
      </w:r>
    </w:p>
    <w:p w:rsidR="00CB0DD7" w:rsidRPr="000A0A5F" w:rsidRDefault="00CB0DD7">
      <w:pPr>
        <w:rPr>
          <w:lang w:eastAsia="zh-CN"/>
        </w:rPr>
      </w:pPr>
      <w:r w:rsidRPr="000A0A5F">
        <w:rPr>
          <w:lang w:val="en-US" w:eastAsia="zh-CN"/>
        </w:rPr>
        <w:t xml:space="preserve">If the non-IP data delivery was successful, the SCEF shall </w:t>
      </w:r>
      <w:r w:rsidRPr="000A0A5F">
        <w:rPr>
          <w:rFonts w:hint="eastAsia"/>
          <w:lang w:val="en-US" w:eastAsia="zh-CN"/>
        </w:rPr>
        <w:t xml:space="preserve">send a 200 OK </w:t>
      </w:r>
      <w:r w:rsidRPr="000A0A5F">
        <w:rPr>
          <w:lang w:val="en-US" w:eastAsia="zh-CN"/>
        </w:rPr>
        <w:t>response to the HTTP POST request</w:t>
      </w:r>
      <w:r w:rsidRPr="000A0A5F">
        <w:rPr>
          <w:rFonts w:hint="eastAsia"/>
          <w:lang w:val="en-US" w:eastAsia="zh-CN"/>
        </w:rPr>
        <w:t xml:space="preserve"> indicating the downlink non-IP data delivery is successful </w:t>
      </w:r>
      <w:r w:rsidRPr="000A0A5F">
        <w:t>along with</w:t>
      </w:r>
      <w:r w:rsidRPr="000A0A5F">
        <w:rPr>
          <w:rFonts w:hint="eastAsia"/>
          <w:lang w:eastAsia="zh-CN"/>
        </w:rPr>
        <w:t xml:space="preserve"> the acknowledge information</w:t>
      </w:r>
      <w:r w:rsidRPr="000A0A5F">
        <w:rPr>
          <w:lang w:eastAsia="zh-CN"/>
        </w:rPr>
        <w:t>;</w:t>
      </w:r>
      <w:r w:rsidRPr="000A0A5F">
        <w:rPr>
          <w:rFonts w:hint="eastAsia"/>
          <w:lang w:eastAsia="zh-CN"/>
        </w:rPr>
        <w:t xml:space="preserve"> </w:t>
      </w:r>
      <w:r w:rsidRPr="000A0A5F">
        <w:rPr>
          <w:lang w:eastAsia="zh-CN"/>
        </w:rPr>
        <w:t>otherwise the SCEF may:</w:t>
      </w:r>
    </w:p>
    <w:p w:rsidR="00501807" w:rsidRPr="000A0A5F" w:rsidRDefault="00CB0DD7">
      <w:pPr>
        <w:pStyle w:val="B10"/>
        <w:rPr>
          <w:lang w:eastAsia="zh-CN"/>
        </w:rPr>
      </w:pPr>
      <w:r w:rsidRPr="000A0A5F">
        <w:t>-</w:t>
      </w:r>
      <w:r w:rsidRPr="000A0A5F">
        <w:tab/>
      </w:r>
      <w:r w:rsidRPr="000A0A5F">
        <w:rPr>
          <w:rFonts w:hint="eastAsia"/>
          <w:lang w:eastAsia="zh-CN"/>
        </w:rPr>
        <w:t xml:space="preserve">send a </w:t>
      </w:r>
      <w:r w:rsidRPr="000A0A5F">
        <w:rPr>
          <w:lang w:eastAsia="zh-CN"/>
        </w:rPr>
        <w:t xml:space="preserve">500 Internal Server Error </w:t>
      </w:r>
      <w:r w:rsidR="00501807" w:rsidRPr="000A0A5F">
        <w:rPr>
          <w:lang w:eastAsia="zh-CN"/>
        </w:rPr>
        <w:t xml:space="preserve">response </w:t>
      </w:r>
      <w:r w:rsidRPr="000A0A5F">
        <w:rPr>
          <w:lang w:eastAsia="zh-CN"/>
        </w:rPr>
        <w:t>and a cause value indicating the reason</w:t>
      </w:r>
      <w:r w:rsidRPr="000A0A5F">
        <w:rPr>
          <w:rFonts w:hint="eastAsia"/>
          <w:lang w:eastAsia="zh-CN"/>
        </w:rPr>
        <w:t xml:space="preserve"> for the delivery failure</w:t>
      </w:r>
      <w:r w:rsidR="00501807" w:rsidRPr="000A0A5F">
        <w:rPr>
          <w:lang w:eastAsia="zh-CN"/>
        </w:rPr>
        <w:t xml:space="preserve"> within </w:t>
      </w:r>
      <w:r w:rsidR="00501807" w:rsidRPr="000A0A5F">
        <w:t>the "cause" attribute of the "ProblemDetails" data structure, i.e.</w:t>
      </w:r>
      <w:r w:rsidR="00501807" w:rsidRPr="000A0A5F">
        <w:rPr>
          <w:lang w:eastAsia="zh-CN"/>
        </w:rPr>
        <w:t>:</w:t>
      </w:r>
    </w:p>
    <w:p w:rsidR="00501807" w:rsidRPr="000A0A5F" w:rsidRDefault="00501807" w:rsidP="00501807">
      <w:pPr>
        <w:pStyle w:val="B2"/>
        <w:rPr>
          <w:lang w:eastAsia="zh-CN"/>
        </w:rPr>
      </w:pPr>
      <w:r w:rsidRPr="000A0A5F">
        <w:rPr>
          <w:lang w:eastAsia="zh-CN"/>
        </w:rPr>
        <w:t>1.</w:t>
      </w:r>
      <w:r w:rsidRPr="000A0A5F">
        <w:rPr>
          <w:lang w:eastAsia="zh-CN"/>
        </w:rPr>
        <w:tab/>
        <w:t>if delivery was unsuccessful due to timeout, the cause value "TIMEOUT"; or</w:t>
      </w:r>
    </w:p>
    <w:p w:rsidR="00CB0DD7" w:rsidRPr="000A0A5F" w:rsidRDefault="00501807" w:rsidP="00501807">
      <w:pPr>
        <w:pStyle w:val="B2"/>
        <w:rPr>
          <w:lang w:eastAsia="zh-CN"/>
        </w:rPr>
      </w:pPr>
      <w:r w:rsidRPr="000A0A5F">
        <w:rPr>
          <w:lang w:eastAsia="zh-CN"/>
        </w:rPr>
        <w:t>2.</w:t>
      </w:r>
      <w:r w:rsidRPr="000A0A5F">
        <w:rPr>
          <w:lang w:eastAsia="zh-CN"/>
        </w:rPr>
        <w:tab/>
        <w:t>if delivery to the next hop was unsuccessful with the cause value "NEXT_HOP"</w:t>
      </w:r>
      <w:r w:rsidR="00CB0DD7" w:rsidRPr="000A0A5F">
        <w:rPr>
          <w:lang w:eastAsia="zh-CN"/>
        </w:rPr>
        <w:t>; or</w:t>
      </w:r>
    </w:p>
    <w:p w:rsidR="00CB0DD7" w:rsidRPr="000A0A5F" w:rsidRDefault="00CB0DD7">
      <w:pPr>
        <w:pStyle w:val="B10"/>
        <w:rPr>
          <w:lang w:eastAsia="zh-CN"/>
        </w:rPr>
      </w:pPr>
      <w:r w:rsidRPr="000A0A5F">
        <w:t>-</w:t>
      </w:r>
      <w:r w:rsidRPr="000A0A5F">
        <w:tab/>
      </w:r>
      <w:r w:rsidRPr="000A0A5F">
        <w:rPr>
          <w:lang w:eastAsia="zh-CN"/>
        </w:rPr>
        <w:t>if the MME/SGSN indicates UE is temporary not reachable, either:</w:t>
      </w:r>
    </w:p>
    <w:p w:rsidR="00CB0DD7" w:rsidRPr="000A0A5F" w:rsidRDefault="00CB0DD7">
      <w:pPr>
        <w:pStyle w:val="B2"/>
      </w:pPr>
      <w:r w:rsidRPr="000A0A5F">
        <w:rPr>
          <w:lang w:eastAsia="zh-CN"/>
        </w:rPr>
        <w:t>1.</w:t>
      </w:r>
      <w:r w:rsidRPr="000A0A5F">
        <w:rPr>
          <w:lang w:eastAsia="zh-CN"/>
        </w:rPr>
        <w:tab/>
        <w:t xml:space="preserve">buffer the non-IP data and create the </w:t>
      </w:r>
      <w:r w:rsidRPr="000A0A5F">
        <w:t>"Individual NIDD downlink data</w:t>
      </w:r>
      <w:r w:rsidRPr="000A0A5F">
        <w:rPr>
          <w:rFonts w:hint="eastAsia"/>
        </w:rPr>
        <w:t xml:space="preserve"> delivery</w:t>
      </w:r>
      <w:r w:rsidRPr="000A0A5F">
        <w:t>"</w:t>
      </w:r>
      <w:r w:rsidRPr="000A0A5F">
        <w:rPr>
          <w:lang w:eastAsia="zh-CN"/>
        </w:rPr>
        <w:t xml:space="preserve"> sub-resource, then send a 201 Created response to the SCS/AS.</w:t>
      </w:r>
      <w:r w:rsidRPr="000A0A5F">
        <w:rPr>
          <w:lang w:val="en-US" w:eastAsia="zh-CN"/>
        </w:rPr>
        <w:t xml:space="preserve"> The response may</w:t>
      </w:r>
      <w:r w:rsidRPr="000A0A5F">
        <w:t xml:space="preserve"> include a Requested Re-Transmission time to indicate the SCS/AS when the UE is expected to be reachable so that the SCEF re-transmits the buffered non-IP data; or</w:t>
      </w:r>
    </w:p>
    <w:p w:rsidR="00CB0DD7" w:rsidRPr="000A0A5F" w:rsidRDefault="00CB0DD7">
      <w:pPr>
        <w:pStyle w:val="B2"/>
      </w:pPr>
      <w:r w:rsidRPr="000A0A5F">
        <w:t>2.</w:t>
      </w:r>
      <w:r w:rsidRPr="000A0A5F">
        <w:tab/>
      </w:r>
      <w:r w:rsidRPr="000A0A5F">
        <w:rPr>
          <w:lang w:eastAsia="zh-CN"/>
        </w:rPr>
        <w:t xml:space="preserve">send a </w:t>
      </w:r>
      <w:r w:rsidRPr="000A0A5F">
        <w:rPr>
          <w:lang w:val="en-US" w:eastAsia="zh-CN"/>
        </w:rPr>
        <w:t>500 Internal Server Error</w:t>
      </w:r>
      <w:r w:rsidRPr="000A0A5F">
        <w:rPr>
          <w:rFonts w:hint="eastAsia"/>
          <w:lang w:val="en-US" w:eastAsia="zh-CN"/>
        </w:rPr>
        <w:t xml:space="preserve"> </w:t>
      </w:r>
      <w:r w:rsidRPr="000A0A5F">
        <w:rPr>
          <w:lang w:val="en-US" w:eastAsia="zh-CN"/>
        </w:rPr>
        <w:t xml:space="preserve">response without buffering the non-IP data, and include a cause value </w:t>
      </w:r>
      <w:r w:rsidRPr="000A0A5F">
        <w:t xml:space="preserve">"TEMPORARILY_NOT_REACHABLE" in the "cause" attribute of the "ProblemDetails" </w:t>
      </w:r>
      <w:r w:rsidR="00687C0F" w:rsidRPr="000A0A5F">
        <w:t xml:space="preserve">data </w:t>
      </w:r>
      <w:r w:rsidRPr="000A0A5F">
        <w:t xml:space="preserve">structure </w:t>
      </w:r>
      <w:r w:rsidRPr="000A0A5F">
        <w:rPr>
          <w:rFonts w:hint="eastAsia"/>
          <w:lang w:val="en-US" w:eastAsia="zh-CN"/>
        </w:rPr>
        <w:t xml:space="preserve">indicating the downlink non-IP data delivery </w:t>
      </w:r>
      <w:r w:rsidRPr="000A0A5F">
        <w:rPr>
          <w:lang w:val="en-US" w:eastAsia="zh-CN"/>
        </w:rPr>
        <w:t xml:space="preserve">is </w:t>
      </w:r>
      <w:r w:rsidR="008B3260" w:rsidRPr="000A0A5F">
        <w:rPr>
          <w:lang w:val="en-US" w:eastAsia="zh-CN"/>
        </w:rPr>
        <w:t>performed</w:t>
      </w:r>
      <w:r w:rsidRPr="000A0A5F">
        <w:rPr>
          <w:lang w:val="en-US" w:eastAsia="zh-CN"/>
        </w:rPr>
        <w:t>but stopped since UE is temporarily unreachable. The response may</w:t>
      </w:r>
      <w:r w:rsidRPr="000A0A5F">
        <w:t xml:space="preserve"> include a Requested Re-Transmission time to indicate the SCS/AS when the UE is expected to be reachable so that the SCS/AS may prepare any re-transmission</w:t>
      </w:r>
      <w:r w:rsidR="008B3260" w:rsidRPr="000A0A5F">
        <w:t>.</w:t>
      </w:r>
    </w:p>
    <w:p w:rsidR="00CB0DD7" w:rsidRPr="000A0A5F" w:rsidRDefault="00CB0DD7">
      <w:pPr>
        <w:rPr>
          <w:lang w:eastAsia="zh-CN"/>
        </w:rPr>
      </w:pPr>
      <w:r w:rsidRPr="000A0A5F">
        <w:t xml:space="preserve">If the </w:t>
      </w:r>
      <w:r w:rsidRPr="000A0A5F">
        <w:rPr>
          <w:rFonts w:cs="Arial"/>
        </w:rPr>
        <w:t>MT_NIDD_modification_cancellation</w:t>
      </w:r>
      <w:r w:rsidRPr="000A0A5F">
        <w:t xml:space="preserve"> feature is supported and</w:t>
      </w:r>
      <w:r w:rsidRPr="000A0A5F">
        <w:rPr>
          <w:rFonts w:hint="eastAsia"/>
          <w:lang w:eastAsia="zh-CN"/>
        </w:rPr>
        <w:t xml:space="preserve"> the SCS/AS decides to replace the pending downlink data delivery in </w:t>
      </w:r>
      <w:r w:rsidRPr="000A0A5F">
        <w:rPr>
          <w:lang w:eastAsia="zh-CN"/>
        </w:rPr>
        <w:t xml:space="preserve">the </w:t>
      </w:r>
      <w:r w:rsidRPr="000A0A5F">
        <w:rPr>
          <w:rFonts w:hint="eastAsia"/>
          <w:lang w:eastAsia="zh-CN"/>
        </w:rPr>
        <w:t xml:space="preserve">SCEF, the SCS/AS shall send an HTTP PUT message to </w:t>
      </w:r>
      <w:r w:rsidRPr="000A0A5F">
        <w:rPr>
          <w:lang w:eastAsia="zh-CN"/>
        </w:rPr>
        <w:t>the</w:t>
      </w:r>
      <w:r w:rsidRPr="000A0A5F">
        <w:rPr>
          <w:rFonts w:hint="eastAsia"/>
          <w:lang w:eastAsia="zh-CN"/>
        </w:rPr>
        <w:t xml:space="preserve"> SCEF</w:t>
      </w:r>
      <w:r w:rsidRPr="000A0A5F">
        <w:rPr>
          <w:lang w:eastAsia="zh-CN"/>
        </w:rPr>
        <w:t>, using the URI received in the response to the request that has created the individual downlink data delivery resource</w:t>
      </w:r>
      <w:r w:rsidRPr="000A0A5F">
        <w:rPr>
          <w:rFonts w:hint="eastAsia"/>
          <w:lang w:eastAsia="zh-CN"/>
        </w:rPr>
        <w:t xml:space="preserve">. </w:t>
      </w:r>
      <w:r w:rsidRPr="000A0A5F">
        <w:t xml:space="preserve">The </w:t>
      </w:r>
      <w:r w:rsidRPr="000A0A5F">
        <w:rPr>
          <w:noProof/>
          <w:lang w:eastAsia="zh-CN"/>
        </w:rPr>
        <w:t>External Identifier or MSISDN</w:t>
      </w:r>
      <w:r w:rsidRPr="000A0A5F">
        <w:t xml:space="preserve"> shall remain unchanged from previous values.</w:t>
      </w:r>
      <w:r w:rsidRPr="000A0A5F">
        <w:rPr>
          <w:rFonts w:hint="eastAsia"/>
          <w:lang w:eastAsia="zh-CN"/>
        </w:rPr>
        <w:t xml:space="preserve"> Upon receipt of </w:t>
      </w:r>
      <w:r w:rsidRPr="000A0A5F">
        <w:rPr>
          <w:lang w:eastAsia="zh-CN"/>
        </w:rPr>
        <w:t>the</w:t>
      </w:r>
      <w:r w:rsidRPr="000A0A5F">
        <w:rPr>
          <w:rFonts w:hint="eastAsia"/>
          <w:lang w:eastAsia="zh-CN"/>
        </w:rPr>
        <w:t xml:space="preserve"> HTTP PUT request from the SCS/AS, the SCEF shall check whether a pending </w:t>
      </w:r>
      <w:r w:rsidRPr="000A0A5F">
        <w:rPr>
          <w:lang w:eastAsia="zh-CN"/>
        </w:rPr>
        <w:t xml:space="preserve">non-IP data </w:t>
      </w:r>
      <w:r w:rsidRPr="000A0A5F">
        <w:rPr>
          <w:rFonts w:hint="eastAsia"/>
          <w:lang w:eastAsia="zh-CN"/>
        </w:rPr>
        <w:t>exists with the</w:t>
      </w:r>
      <w:r w:rsidRPr="000A0A5F">
        <w:rPr>
          <w:lang w:eastAsia="zh-CN"/>
        </w:rPr>
        <w:t xml:space="preserve"> same URI (i.e. resource exists)</w:t>
      </w:r>
      <w:r w:rsidRPr="000A0A5F">
        <w:rPr>
          <w:rFonts w:hint="eastAsia"/>
          <w:lang w:eastAsia="zh-CN"/>
        </w:rPr>
        <w:t xml:space="preserve">. </w:t>
      </w:r>
      <w:r w:rsidRPr="000A0A5F">
        <w:rPr>
          <w:lang w:eastAsia="zh-CN"/>
        </w:rPr>
        <w:t xml:space="preserve">If it is found, </w:t>
      </w:r>
      <w:r w:rsidRPr="000A0A5F">
        <w:rPr>
          <w:rFonts w:hint="eastAsia"/>
          <w:lang w:eastAsia="zh-CN"/>
        </w:rPr>
        <w:t xml:space="preserve">the SCEF shall </w:t>
      </w:r>
      <w:r w:rsidRPr="000A0A5F">
        <w:rPr>
          <w:lang w:eastAsia="zh-CN"/>
        </w:rPr>
        <w:t xml:space="preserve">replace it </w:t>
      </w:r>
      <w:r w:rsidRPr="000A0A5F">
        <w:rPr>
          <w:rFonts w:hint="eastAsia"/>
          <w:lang w:eastAsia="zh-CN"/>
        </w:rPr>
        <w:t xml:space="preserve">with the new non-IP data and </w:t>
      </w:r>
      <w:r w:rsidRPr="000A0A5F">
        <w:rPr>
          <w:lang w:eastAsia="zh-CN"/>
        </w:rPr>
        <w:t xml:space="preserve">continue waiting for any message from the MME/SGSN for the UE </w:t>
      </w:r>
      <w:r w:rsidRPr="000A0A5F">
        <w:t>indicating either the non-IP PDN connection is being established or the UE is reachable (such message may be an MO NIDD)</w:t>
      </w:r>
      <w:r w:rsidRPr="000A0A5F">
        <w:rPr>
          <w:lang w:eastAsia="zh-CN"/>
        </w:rPr>
        <w:t xml:space="preserve">; otherwise the SCEF shall respond </w:t>
      </w:r>
      <w:r w:rsidR="008B3260" w:rsidRPr="000A0A5F">
        <w:rPr>
          <w:lang w:eastAsia="zh-CN"/>
        </w:rPr>
        <w:t xml:space="preserve">with a </w:t>
      </w:r>
      <w:r w:rsidRPr="000A0A5F">
        <w:rPr>
          <w:lang w:eastAsia="zh-CN"/>
        </w:rPr>
        <w:t>409 Conflict</w:t>
      </w:r>
      <w:r w:rsidR="008B3260" w:rsidRPr="000A0A5F">
        <w:rPr>
          <w:lang w:eastAsia="zh-CN"/>
        </w:rPr>
        <w:t xml:space="preserve"> response</w:t>
      </w:r>
      <w:r w:rsidRPr="000A0A5F">
        <w:rPr>
          <w:lang w:eastAsia="zh-CN"/>
        </w:rPr>
        <w:t xml:space="preserve"> with a cause value </w:t>
      </w:r>
      <w:r w:rsidRPr="000A0A5F">
        <w:t xml:space="preserve">"SENDING" in the "cause" attribute of the "ProblemDetails" </w:t>
      </w:r>
      <w:r w:rsidR="008B3260" w:rsidRPr="000A0A5F">
        <w:t xml:space="preserve">data </w:t>
      </w:r>
      <w:r w:rsidRPr="000A0A5F">
        <w:t xml:space="preserve">structure </w:t>
      </w:r>
      <w:r w:rsidRPr="000A0A5F">
        <w:rPr>
          <w:lang w:eastAsia="zh-CN"/>
        </w:rPr>
        <w:t>indicating replacement failure</w:t>
      </w:r>
      <w:r w:rsidRPr="000A0A5F">
        <w:rPr>
          <w:rFonts w:hint="eastAsia"/>
          <w:lang w:eastAsia="zh-CN"/>
        </w:rPr>
        <w:t xml:space="preserve">. </w:t>
      </w:r>
      <w:r w:rsidRPr="000A0A5F">
        <w:rPr>
          <w:lang w:eastAsia="zh-CN"/>
        </w:rPr>
        <w:t xml:space="preserve">If the buffered data is already delivered, the SCEF shall respond with </w:t>
      </w:r>
      <w:r w:rsidR="008B3260" w:rsidRPr="000A0A5F">
        <w:rPr>
          <w:lang w:eastAsia="zh-CN"/>
        </w:rPr>
        <w:t xml:space="preserve">a </w:t>
      </w:r>
      <w:r w:rsidRPr="000A0A5F">
        <w:rPr>
          <w:lang w:eastAsia="zh-CN"/>
        </w:rPr>
        <w:t>404 Not Found</w:t>
      </w:r>
      <w:r w:rsidR="008B3260" w:rsidRPr="000A0A5F">
        <w:rPr>
          <w:lang w:eastAsia="zh-CN"/>
        </w:rPr>
        <w:t xml:space="preserve"> response</w:t>
      </w:r>
      <w:r w:rsidRPr="000A0A5F">
        <w:rPr>
          <w:lang w:eastAsia="zh-CN"/>
        </w:rPr>
        <w:t xml:space="preserve"> and include a cause value </w:t>
      </w:r>
      <w:r w:rsidRPr="000A0A5F">
        <w:t xml:space="preserve">"ALREADY_DELIVERED" in the "cause" attribute of the "ProblemDetails" </w:t>
      </w:r>
      <w:r w:rsidR="008B3260" w:rsidRPr="000A0A5F">
        <w:t xml:space="preserve">data </w:t>
      </w:r>
      <w:r w:rsidRPr="000A0A5F">
        <w:t xml:space="preserve">structure </w:t>
      </w:r>
      <w:r w:rsidRPr="000A0A5F">
        <w:rPr>
          <w:lang w:eastAsia="zh-CN"/>
        </w:rPr>
        <w:t>indicating replacement failure</w:t>
      </w:r>
      <w:r w:rsidR="008B3260" w:rsidRPr="000A0A5F">
        <w:rPr>
          <w:lang w:eastAsia="zh-CN"/>
        </w:rPr>
        <w:t>.</w:t>
      </w:r>
      <w:r w:rsidR="008B3260" w:rsidRPr="000A0A5F">
        <w:t xml:space="preserve"> If delivery was unsuccessful due to timeout, </w:t>
      </w:r>
      <w:r w:rsidR="008B3260" w:rsidRPr="000A0A5F">
        <w:rPr>
          <w:lang w:eastAsia="zh-CN"/>
        </w:rPr>
        <w:t xml:space="preserve">the SCEF shall respond with a 500 Internal Server Error </w:t>
      </w:r>
      <w:r w:rsidR="008B3260" w:rsidRPr="000A0A5F">
        <w:t>response</w:t>
      </w:r>
      <w:r w:rsidR="008B3260" w:rsidRPr="000A0A5F">
        <w:rPr>
          <w:lang w:eastAsia="zh-CN"/>
        </w:rPr>
        <w:t xml:space="preserve"> </w:t>
      </w:r>
      <w:r w:rsidR="008B3260" w:rsidRPr="000A0A5F">
        <w:t xml:space="preserve">with a cause value "TIMEOUT" in the "cause" attribute of the "ProblemDetails" data structure. If delivery to the next hop was unsuccessful, </w:t>
      </w:r>
      <w:r w:rsidR="008B3260" w:rsidRPr="000A0A5F">
        <w:rPr>
          <w:lang w:eastAsia="zh-CN"/>
        </w:rPr>
        <w:t xml:space="preserve">the SCEF shall respond with a 500 Internal Server Error </w:t>
      </w:r>
      <w:r w:rsidR="008B3260" w:rsidRPr="000A0A5F">
        <w:t>response</w:t>
      </w:r>
      <w:r w:rsidR="008B3260" w:rsidRPr="000A0A5F">
        <w:rPr>
          <w:lang w:eastAsia="zh-CN"/>
        </w:rPr>
        <w:t xml:space="preserve"> </w:t>
      </w:r>
      <w:r w:rsidR="008B3260" w:rsidRPr="000A0A5F">
        <w:t>with a cause value "NEXT_HOP" in the "cause" attribute of the "ProblemDetails" data structure.</w:t>
      </w:r>
    </w:p>
    <w:p w:rsidR="00136C72" w:rsidRPr="000A0A5F" w:rsidRDefault="00136C72" w:rsidP="00136C72">
      <w:pPr>
        <w:rPr>
          <w:lang w:eastAsia="zh-CN"/>
        </w:rPr>
      </w:pPr>
      <w:r w:rsidRPr="000A0A5F">
        <w:t>If the "PatchUpdate" feature defined in clause 5.6.4 is supported and</w:t>
      </w:r>
      <w:r w:rsidRPr="000A0A5F">
        <w:rPr>
          <w:rFonts w:hint="eastAsia"/>
          <w:lang w:eastAsia="zh-CN"/>
        </w:rPr>
        <w:t xml:space="preserve"> the SCS/AS decides to </w:t>
      </w:r>
      <w:r w:rsidRPr="000A0A5F">
        <w:rPr>
          <w:lang w:eastAsia="zh-CN"/>
        </w:rPr>
        <w:t>partially modify</w:t>
      </w:r>
      <w:r w:rsidRPr="000A0A5F">
        <w:rPr>
          <w:rFonts w:hint="eastAsia"/>
          <w:lang w:eastAsia="zh-CN"/>
        </w:rPr>
        <w:t xml:space="preserve"> the pending downlink data delivery in </w:t>
      </w:r>
      <w:r w:rsidRPr="000A0A5F">
        <w:rPr>
          <w:lang w:eastAsia="zh-CN"/>
        </w:rPr>
        <w:t xml:space="preserve">the </w:t>
      </w:r>
      <w:r w:rsidRPr="000A0A5F">
        <w:rPr>
          <w:rFonts w:hint="eastAsia"/>
          <w:lang w:eastAsia="zh-CN"/>
        </w:rPr>
        <w:t xml:space="preserve">SCEF, the SCS/AS shall send an HTTP </w:t>
      </w:r>
      <w:r w:rsidRPr="000A0A5F">
        <w:rPr>
          <w:lang w:eastAsia="zh-CN"/>
        </w:rPr>
        <w:t>PATCH</w:t>
      </w:r>
      <w:r w:rsidRPr="000A0A5F">
        <w:rPr>
          <w:rFonts w:hint="eastAsia"/>
          <w:lang w:eastAsia="zh-CN"/>
        </w:rPr>
        <w:t xml:space="preserve"> message to </w:t>
      </w:r>
      <w:r w:rsidRPr="000A0A5F">
        <w:rPr>
          <w:lang w:eastAsia="zh-CN"/>
        </w:rPr>
        <w:t>the</w:t>
      </w:r>
      <w:r w:rsidRPr="000A0A5F">
        <w:rPr>
          <w:rFonts w:hint="eastAsia"/>
          <w:lang w:eastAsia="zh-CN"/>
        </w:rPr>
        <w:t xml:space="preserve"> SCEF</w:t>
      </w:r>
      <w:r w:rsidRPr="000A0A5F">
        <w:rPr>
          <w:lang w:eastAsia="zh-CN"/>
        </w:rPr>
        <w:t xml:space="preserve"> to the URI received in the response to the request that has created the concerned individual downlink data delivery resource</w:t>
      </w:r>
      <w:r w:rsidRPr="000A0A5F">
        <w:t>.</w:t>
      </w:r>
      <w:r w:rsidRPr="000A0A5F">
        <w:rPr>
          <w:rFonts w:hint="eastAsia"/>
          <w:lang w:eastAsia="zh-CN"/>
        </w:rPr>
        <w:t xml:space="preserve"> </w:t>
      </w:r>
      <w:r w:rsidRPr="000A0A5F">
        <w:rPr>
          <w:lang w:eastAsia="zh-CN"/>
        </w:rPr>
        <w:t xml:space="preserve">The request body shall contain the </w:t>
      </w:r>
      <w:r w:rsidRPr="000A0A5F">
        <w:t>NiddDownlinkDataTransferPatch</w:t>
      </w:r>
      <w:r w:rsidRPr="000A0A5F">
        <w:rPr>
          <w:lang w:eastAsia="zh-CN"/>
        </w:rPr>
        <w:t xml:space="preserve"> data structure including only the attributes that shall be updated. </w:t>
      </w:r>
      <w:r w:rsidRPr="000A0A5F">
        <w:rPr>
          <w:rFonts w:hint="eastAsia"/>
          <w:lang w:eastAsia="zh-CN"/>
        </w:rPr>
        <w:t xml:space="preserve">Upon </w:t>
      </w:r>
      <w:r w:rsidRPr="000A0A5F">
        <w:rPr>
          <w:lang w:eastAsia="zh-CN"/>
        </w:rPr>
        <w:t>reception</w:t>
      </w:r>
      <w:r w:rsidRPr="000A0A5F">
        <w:rPr>
          <w:rFonts w:hint="eastAsia"/>
          <w:lang w:eastAsia="zh-CN"/>
        </w:rPr>
        <w:t xml:space="preserve"> of </w:t>
      </w:r>
      <w:r w:rsidRPr="000A0A5F">
        <w:rPr>
          <w:lang w:eastAsia="zh-CN"/>
        </w:rPr>
        <w:t>this</w:t>
      </w:r>
      <w:r w:rsidRPr="000A0A5F">
        <w:rPr>
          <w:rFonts w:hint="eastAsia"/>
          <w:lang w:eastAsia="zh-CN"/>
        </w:rPr>
        <w:t xml:space="preserve"> HTTP </w:t>
      </w:r>
      <w:r w:rsidRPr="000A0A5F">
        <w:rPr>
          <w:lang w:eastAsia="zh-CN"/>
        </w:rPr>
        <w:t>PATCH</w:t>
      </w:r>
      <w:r w:rsidRPr="000A0A5F">
        <w:rPr>
          <w:rFonts w:hint="eastAsia"/>
          <w:lang w:eastAsia="zh-CN"/>
        </w:rPr>
        <w:t xml:space="preserve"> request from the SCS/AS, the SCEF shall check whether a pending </w:t>
      </w:r>
      <w:r w:rsidRPr="000A0A5F">
        <w:rPr>
          <w:lang w:eastAsia="zh-CN"/>
        </w:rPr>
        <w:t xml:space="preserve">non-IP data </w:t>
      </w:r>
      <w:r w:rsidRPr="000A0A5F">
        <w:rPr>
          <w:rFonts w:hint="eastAsia"/>
          <w:lang w:eastAsia="zh-CN"/>
        </w:rPr>
        <w:t>with the</w:t>
      </w:r>
      <w:r w:rsidRPr="000A0A5F">
        <w:rPr>
          <w:lang w:eastAsia="zh-CN"/>
        </w:rPr>
        <w:t xml:space="preserve"> received URI </w:t>
      </w:r>
      <w:r w:rsidRPr="000A0A5F">
        <w:rPr>
          <w:rFonts w:hint="eastAsia"/>
          <w:lang w:eastAsia="zh-CN"/>
        </w:rPr>
        <w:t xml:space="preserve">exists </w:t>
      </w:r>
      <w:r w:rsidRPr="000A0A5F">
        <w:rPr>
          <w:lang w:eastAsia="zh-CN"/>
        </w:rPr>
        <w:t>(i.e. the resource exists)</w:t>
      </w:r>
      <w:r w:rsidRPr="000A0A5F">
        <w:rPr>
          <w:rFonts w:hint="eastAsia"/>
          <w:lang w:eastAsia="zh-CN"/>
        </w:rPr>
        <w:t xml:space="preserve">. </w:t>
      </w:r>
      <w:r w:rsidRPr="000A0A5F">
        <w:rPr>
          <w:lang w:eastAsia="zh-CN"/>
        </w:rPr>
        <w:t xml:space="preserve">If it is found, </w:t>
      </w:r>
      <w:r w:rsidRPr="000A0A5F">
        <w:rPr>
          <w:rFonts w:hint="eastAsia"/>
          <w:lang w:eastAsia="zh-CN"/>
        </w:rPr>
        <w:t xml:space="preserve">the SCEF shall </w:t>
      </w:r>
      <w:r w:rsidRPr="000A0A5F">
        <w:rPr>
          <w:lang w:eastAsia="zh-CN"/>
        </w:rPr>
        <w:t xml:space="preserve">apply the requested modifications </w:t>
      </w:r>
      <w:r w:rsidRPr="000A0A5F">
        <w:rPr>
          <w:rFonts w:hint="eastAsia"/>
          <w:lang w:eastAsia="zh-CN"/>
        </w:rPr>
        <w:t xml:space="preserve">and </w:t>
      </w:r>
      <w:r w:rsidRPr="000A0A5F">
        <w:rPr>
          <w:lang w:eastAsia="zh-CN"/>
        </w:rPr>
        <w:t xml:space="preserve">continue waiting for any message from the MME/SGSN for the UE </w:t>
      </w:r>
      <w:r w:rsidRPr="000A0A5F">
        <w:t>indicating either the non-IP PDN connection is being established or the UE is reachable (such message may be an MO NIDD)</w:t>
      </w:r>
      <w:r w:rsidRPr="000A0A5F">
        <w:rPr>
          <w:lang w:eastAsia="zh-CN"/>
        </w:rPr>
        <w:t xml:space="preserve">; otherwise the SCEF shall respond with </w:t>
      </w:r>
      <w:r w:rsidR="008B3260" w:rsidRPr="000A0A5F">
        <w:rPr>
          <w:lang w:eastAsia="zh-CN"/>
        </w:rPr>
        <w:t xml:space="preserve">a </w:t>
      </w:r>
      <w:r w:rsidRPr="000A0A5F">
        <w:rPr>
          <w:lang w:eastAsia="zh-CN"/>
        </w:rPr>
        <w:t xml:space="preserve">"409 Conflict" status code including a cause value </w:t>
      </w:r>
      <w:r w:rsidRPr="000A0A5F">
        <w:t xml:space="preserve">"SENDING" within the "cause" attribute of the "ProblemDetails" data structure to </w:t>
      </w:r>
      <w:r w:rsidRPr="000A0A5F">
        <w:rPr>
          <w:lang w:eastAsia="zh-CN"/>
        </w:rPr>
        <w:t>indicate modification failure</w:t>
      </w:r>
      <w:r w:rsidRPr="000A0A5F">
        <w:rPr>
          <w:rFonts w:hint="eastAsia"/>
          <w:lang w:eastAsia="zh-CN"/>
        </w:rPr>
        <w:t xml:space="preserve">. </w:t>
      </w:r>
      <w:r w:rsidRPr="000A0A5F">
        <w:rPr>
          <w:lang w:eastAsia="zh-CN"/>
        </w:rPr>
        <w:t xml:space="preserve">If the buffered data is already delivered, the SCEF shall respond with a "404 Not Found" status code including a cause value </w:t>
      </w:r>
      <w:r w:rsidRPr="000A0A5F">
        <w:t xml:space="preserve">"ALREADY_DELIVERED" within the "cause" attribute of the "ProblemDetails" data structure to </w:t>
      </w:r>
      <w:r w:rsidRPr="000A0A5F">
        <w:rPr>
          <w:lang w:eastAsia="zh-CN"/>
        </w:rPr>
        <w:t>indicate modification failure.</w:t>
      </w:r>
      <w:r w:rsidR="008B3260" w:rsidRPr="000A0A5F">
        <w:t xml:space="preserve"> If delivery was unsuccessful due to timeout, </w:t>
      </w:r>
      <w:r w:rsidR="008B3260" w:rsidRPr="000A0A5F">
        <w:rPr>
          <w:lang w:eastAsia="zh-CN"/>
        </w:rPr>
        <w:t xml:space="preserve">the SCEF shall respond with a 500 Internal Server Error status code </w:t>
      </w:r>
      <w:r w:rsidR="008B3260" w:rsidRPr="000A0A5F">
        <w:t xml:space="preserve">with a cause value "TIMEOUT" in the "cause" attribute of the "ProblemDetails" data structure. If delivery to the next hop was unsuccessful, </w:t>
      </w:r>
      <w:r w:rsidR="008B3260" w:rsidRPr="000A0A5F">
        <w:rPr>
          <w:lang w:eastAsia="zh-CN"/>
        </w:rPr>
        <w:t xml:space="preserve">the SCEF shall respond with a 500 Internal Server Error status code </w:t>
      </w:r>
      <w:r w:rsidR="008B3260" w:rsidRPr="000A0A5F">
        <w:t>with a cause value "NEXT_HOP" in the "cause" attribute of the "ProblemDetails" data structure.</w:t>
      </w:r>
    </w:p>
    <w:p w:rsidR="00CB0DD7" w:rsidRPr="000A0A5F" w:rsidRDefault="00CB0DD7">
      <w:pPr>
        <w:rPr>
          <w:rFonts w:hint="eastAsia"/>
          <w:lang w:eastAsia="zh-CN"/>
        </w:rPr>
      </w:pPr>
      <w:r w:rsidRPr="000A0A5F">
        <w:t xml:space="preserve">If the </w:t>
      </w:r>
      <w:r w:rsidRPr="000A0A5F">
        <w:rPr>
          <w:rFonts w:cs="Arial"/>
        </w:rPr>
        <w:t>MT_NIDD_modification_cancellation</w:t>
      </w:r>
      <w:r w:rsidRPr="000A0A5F">
        <w:t xml:space="preserve"> feature is supported and</w:t>
      </w:r>
      <w:r w:rsidRPr="000A0A5F">
        <w:rPr>
          <w:rFonts w:hint="eastAsia"/>
          <w:lang w:eastAsia="zh-CN"/>
        </w:rPr>
        <w:t xml:space="preserve"> the SCS/AS decides to </w:t>
      </w:r>
      <w:r w:rsidRPr="000A0A5F">
        <w:rPr>
          <w:lang w:eastAsia="zh-CN"/>
        </w:rPr>
        <w:t>cancel</w:t>
      </w:r>
      <w:r w:rsidRPr="000A0A5F">
        <w:rPr>
          <w:rFonts w:hint="eastAsia"/>
          <w:lang w:eastAsia="zh-CN"/>
        </w:rPr>
        <w:t xml:space="preserve"> the pending downlink data delivery in </w:t>
      </w:r>
      <w:r w:rsidRPr="000A0A5F">
        <w:rPr>
          <w:lang w:eastAsia="zh-CN"/>
        </w:rPr>
        <w:t xml:space="preserve">the </w:t>
      </w:r>
      <w:r w:rsidRPr="000A0A5F">
        <w:rPr>
          <w:rFonts w:hint="eastAsia"/>
          <w:lang w:eastAsia="zh-CN"/>
        </w:rPr>
        <w:t xml:space="preserve">SCEF, the SCS/AS shall send an HTTP </w:t>
      </w:r>
      <w:r w:rsidRPr="000A0A5F">
        <w:rPr>
          <w:lang w:eastAsia="zh-CN"/>
        </w:rPr>
        <w:t>DELETE</w:t>
      </w:r>
      <w:r w:rsidRPr="000A0A5F">
        <w:rPr>
          <w:rFonts w:hint="eastAsia"/>
          <w:lang w:eastAsia="zh-CN"/>
        </w:rPr>
        <w:t xml:space="preserve"> message to </w:t>
      </w:r>
      <w:r w:rsidRPr="000A0A5F">
        <w:rPr>
          <w:lang w:eastAsia="zh-CN"/>
        </w:rPr>
        <w:t>the</w:t>
      </w:r>
      <w:r w:rsidRPr="000A0A5F">
        <w:rPr>
          <w:rFonts w:hint="eastAsia"/>
          <w:lang w:eastAsia="zh-CN"/>
        </w:rPr>
        <w:t xml:space="preserve"> SCEF</w:t>
      </w:r>
      <w:r w:rsidRPr="000A0A5F">
        <w:rPr>
          <w:lang w:eastAsia="zh-CN"/>
        </w:rPr>
        <w:t>, using the URI received in the response to the request that has created the individual downlink data delivery resource</w:t>
      </w:r>
      <w:r w:rsidRPr="000A0A5F">
        <w:rPr>
          <w:rFonts w:hint="eastAsia"/>
          <w:lang w:eastAsia="zh-CN"/>
        </w:rPr>
        <w:t xml:space="preserve">. Upon receipt of </w:t>
      </w:r>
      <w:r w:rsidRPr="000A0A5F">
        <w:rPr>
          <w:lang w:eastAsia="zh-CN"/>
        </w:rPr>
        <w:t>the</w:t>
      </w:r>
      <w:r w:rsidRPr="000A0A5F">
        <w:rPr>
          <w:rFonts w:hint="eastAsia"/>
          <w:lang w:eastAsia="zh-CN"/>
        </w:rPr>
        <w:t xml:space="preserve"> HTTP </w:t>
      </w:r>
      <w:r w:rsidRPr="000A0A5F">
        <w:rPr>
          <w:lang w:eastAsia="zh-CN"/>
        </w:rPr>
        <w:t>DELETE</w:t>
      </w:r>
      <w:r w:rsidRPr="000A0A5F">
        <w:rPr>
          <w:rFonts w:hint="eastAsia"/>
          <w:lang w:eastAsia="zh-CN"/>
        </w:rPr>
        <w:t xml:space="preserve"> request from the SCS/AS, the SCEF shall check whether a pending request exists with the</w:t>
      </w:r>
      <w:r w:rsidRPr="000A0A5F">
        <w:rPr>
          <w:lang w:eastAsia="zh-CN"/>
        </w:rPr>
        <w:t xml:space="preserve"> same URI</w:t>
      </w:r>
      <w:r w:rsidRPr="000A0A5F">
        <w:rPr>
          <w:rFonts w:hint="eastAsia"/>
          <w:lang w:eastAsia="zh-CN"/>
        </w:rPr>
        <w:t xml:space="preserve">. </w:t>
      </w:r>
      <w:r w:rsidRPr="000A0A5F">
        <w:t xml:space="preserve">If such non-IP data has not been </w:t>
      </w:r>
      <w:r w:rsidRPr="000A0A5F">
        <w:rPr>
          <w:lang w:eastAsia="zh-CN"/>
        </w:rPr>
        <w:t>delivered,</w:t>
      </w:r>
      <w:r w:rsidRPr="000A0A5F">
        <w:rPr>
          <w:rFonts w:hint="eastAsia"/>
          <w:lang w:eastAsia="zh-CN"/>
        </w:rPr>
        <w:t xml:space="preserve"> the SCEF shall </w:t>
      </w:r>
      <w:r w:rsidRPr="000A0A5F">
        <w:rPr>
          <w:lang w:eastAsia="zh-CN"/>
        </w:rPr>
        <w:t>remove the individual downlink data delivery resource</w:t>
      </w:r>
      <w:r w:rsidRPr="000A0A5F">
        <w:rPr>
          <w:rFonts w:hint="eastAsia"/>
          <w:lang w:eastAsia="zh-CN"/>
        </w:rPr>
        <w:t xml:space="preserve"> and</w:t>
      </w:r>
      <w:r w:rsidRPr="000A0A5F">
        <w:rPr>
          <w:lang w:eastAsia="zh-CN"/>
        </w:rPr>
        <w:t xml:space="preserve"> respond with an HTTP 204 No Content response; otherwise the SCEF shall respond with </w:t>
      </w:r>
      <w:r w:rsidR="008B3260" w:rsidRPr="000A0A5F">
        <w:rPr>
          <w:lang w:eastAsia="zh-CN"/>
        </w:rPr>
        <w:t xml:space="preserve">a </w:t>
      </w:r>
      <w:r w:rsidRPr="000A0A5F">
        <w:rPr>
          <w:lang w:eastAsia="zh-CN"/>
        </w:rPr>
        <w:t xml:space="preserve">404 Not Found </w:t>
      </w:r>
      <w:r w:rsidR="008B3260" w:rsidRPr="000A0A5F">
        <w:rPr>
          <w:lang w:eastAsia="zh-CN"/>
        </w:rPr>
        <w:t xml:space="preserve">response </w:t>
      </w:r>
      <w:r w:rsidRPr="000A0A5F">
        <w:rPr>
          <w:lang w:eastAsia="zh-CN"/>
        </w:rPr>
        <w:t xml:space="preserve">(i.e. data already delivered) with a cause value </w:t>
      </w:r>
      <w:r w:rsidRPr="000A0A5F">
        <w:t xml:space="preserve">"ALREADY_DELIVERED" in the "cause" attribute of the "ProblemDetails" </w:t>
      </w:r>
      <w:r w:rsidR="008B3260" w:rsidRPr="000A0A5F">
        <w:t xml:space="preserve">data </w:t>
      </w:r>
      <w:r w:rsidRPr="000A0A5F">
        <w:t>structure</w:t>
      </w:r>
      <w:r w:rsidRPr="000A0A5F">
        <w:rPr>
          <w:lang w:eastAsia="zh-CN"/>
        </w:rPr>
        <w:t xml:space="preserve"> or 409 Conflict (i.e. data delivery ongoing) response with a cause value </w:t>
      </w:r>
      <w:r w:rsidRPr="000A0A5F">
        <w:t xml:space="preserve">"SENDING" in the "cause" attribute of the "ProblemDetails" </w:t>
      </w:r>
      <w:r w:rsidR="008B3260" w:rsidRPr="000A0A5F">
        <w:t xml:space="preserve">data </w:t>
      </w:r>
      <w:r w:rsidRPr="000A0A5F">
        <w:t>structure</w:t>
      </w:r>
      <w:r w:rsidRPr="000A0A5F">
        <w:rPr>
          <w:lang w:eastAsia="zh-CN"/>
        </w:rPr>
        <w:t>, and include a cause value indicating cancellation failure.</w:t>
      </w:r>
    </w:p>
    <w:p w:rsidR="00CB0DD7" w:rsidRPr="000A0A5F" w:rsidRDefault="00CB0DD7">
      <w:pPr>
        <w:rPr>
          <w:lang w:val="en-US" w:eastAsia="zh-CN"/>
        </w:rPr>
      </w:pPr>
      <w:r w:rsidRPr="000A0A5F">
        <w:rPr>
          <w:lang w:eastAsia="zh-CN"/>
        </w:rPr>
        <w:t>If</w:t>
      </w:r>
      <w:r w:rsidRPr="000A0A5F">
        <w:rPr>
          <w:rFonts w:hint="eastAsia"/>
          <w:lang w:eastAsia="zh-CN"/>
        </w:rPr>
        <w:t xml:space="preserve"> a pending </w:t>
      </w:r>
      <w:r w:rsidRPr="000A0A5F">
        <w:rPr>
          <w:lang w:eastAsia="zh-CN"/>
        </w:rPr>
        <w:t>non-IP data</w:t>
      </w:r>
      <w:r w:rsidRPr="000A0A5F">
        <w:rPr>
          <w:rFonts w:hint="eastAsia"/>
          <w:lang w:eastAsia="zh-CN"/>
        </w:rPr>
        <w:t xml:space="preserve"> is delivered by the SCEF</w:t>
      </w:r>
      <w:r w:rsidRPr="000A0A5F">
        <w:rPr>
          <w:lang w:eastAsia="zh-CN"/>
        </w:rPr>
        <w:t xml:space="preserve"> (e.g. due to non-IP PDN connection establishment)</w:t>
      </w:r>
      <w:r w:rsidRPr="000A0A5F">
        <w:rPr>
          <w:rFonts w:hint="eastAsia"/>
          <w:lang w:eastAsia="zh-CN"/>
        </w:rPr>
        <w:t>, and the SCEF gets the delivery result from the MME/</w:t>
      </w:r>
      <w:r w:rsidRPr="000A0A5F">
        <w:rPr>
          <w:lang w:eastAsia="zh-CN"/>
        </w:rPr>
        <w:t>S</w:t>
      </w:r>
      <w:r w:rsidRPr="000A0A5F">
        <w:rPr>
          <w:rFonts w:hint="eastAsia"/>
          <w:lang w:eastAsia="zh-CN"/>
        </w:rPr>
        <w:t xml:space="preserve">GSN, the SCEF shall </w:t>
      </w:r>
      <w:r w:rsidRPr="000A0A5F">
        <w:rPr>
          <w:lang w:val="en-US" w:eastAsia="zh-CN"/>
        </w:rPr>
        <w:t xml:space="preserve">remove the </w:t>
      </w:r>
      <w:r w:rsidRPr="000A0A5F">
        <w:t>"Individual NIDD downlink data</w:t>
      </w:r>
      <w:r w:rsidRPr="000A0A5F">
        <w:rPr>
          <w:rFonts w:hint="eastAsia"/>
        </w:rPr>
        <w:t xml:space="preserve"> delivery</w:t>
      </w:r>
      <w:r w:rsidRPr="000A0A5F">
        <w:t>"</w:t>
      </w:r>
      <w:r w:rsidRPr="000A0A5F">
        <w:rPr>
          <w:lang w:eastAsia="zh-CN"/>
        </w:rPr>
        <w:t xml:space="preserve"> sub-resource and</w:t>
      </w:r>
      <w:r w:rsidRPr="000A0A5F">
        <w:rPr>
          <w:rFonts w:hint="eastAsia"/>
          <w:lang w:eastAsia="zh-CN"/>
        </w:rPr>
        <w:t xml:space="preserve"> send an HTTP POST message to </w:t>
      </w:r>
      <w:r w:rsidRPr="000A0A5F">
        <w:rPr>
          <w:lang w:eastAsia="zh-CN"/>
        </w:rPr>
        <w:t xml:space="preserve">the SCS/AS, identified by the notification destination URI received during the NIDD configuration, to </w:t>
      </w:r>
      <w:r w:rsidRPr="000A0A5F">
        <w:rPr>
          <w:rFonts w:hint="eastAsia"/>
          <w:lang w:eastAsia="zh-CN"/>
        </w:rPr>
        <w:t xml:space="preserve">notify the delivery result for the pending </w:t>
      </w:r>
      <w:r w:rsidRPr="000A0A5F">
        <w:rPr>
          <w:lang w:eastAsia="zh-CN"/>
        </w:rPr>
        <w:t>non-IP data</w:t>
      </w:r>
      <w:r w:rsidRPr="000A0A5F">
        <w:rPr>
          <w:rFonts w:hint="eastAsia"/>
          <w:lang w:eastAsia="zh-CN"/>
        </w:rPr>
        <w:t xml:space="preserve">. </w:t>
      </w:r>
      <w:r w:rsidRPr="000A0A5F">
        <w:rPr>
          <w:rFonts w:hint="eastAsia"/>
          <w:lang w:val="en-US" w:eastAsia="zh-CN"/>
        </w:rPr>
        <w:t xml:space="preserve">Upon receipt of the request, the SCS/AS shall acknowledge the notification with </w:t>
      </w:r>
      <w:r w:rsidRPr="000A0A5F">
        <w:rPr>
          <w:lang w:val="en-US" w:eastAsia="zh-CN"/>
        </w:rPr>
        <w:t>an</w:t>
      </w:r>
      <w:r w:rsidRPr="000A0A5F">
        <w:rPr>
          <w:rFonts w:hint="eastAsia"/>
          <w:lang w:val="en-US" w:eastAsia="zh-CN"/>
        </w:rPr>
        <w:t xml:space="preserve"> HTTP</w:t>
      </w:r>
      <w:r w:rsidRPr="000A0A5F">
        <w:rPr>
          <w:lang w:val="en-US" w:eastAsia="zh-CN"/>
        </w:rPr>
        <w:t xml:space="preserve"> 200 OK or 204 No Content</w:t>
      </w:r>
      <w:r w:rsidRPr="000A0A5F">
        <w:rPr>
          <w:rFonts w:hint="eastAsia"/>
          <w:lang w:val="en-US" w:eastAsia="zh-CN"/>
        </w:rPr>
        <w:t xml:space="preserve"> response.</w:t>
      </w:r>
    </w:p>
    <w:p w:rsidR="00CB0DD7" w:rsidRPr="000A0A5F" w:rsidRDefault="00CB0DD7">
      <w:pPr>
        <w:rPr>
          <w:lang w:val="en-US" w:eastAsia="zh-CN"/>
        </w:rPr>
      </w:pPr>
      <w:r w:rsidRPr="000A0A5F">
        <w:rPr>
          <w:lang w:val="en-US" w:eastAsia="zh-CN"/>
        </w:rPr>
        <w:t xml:space="preserve">During MT NIDD delivery, if the UE indicates no support for RDS and the SCEF previously indicated RDS is enabled to the SCS/AS, the SCEF shall stop sending the non-IP data and send MT NIDD delivery notification with </w:t>
      </w:r>
      <w:r w:rsidRPr="000A0A5F">
        <w:t>"</w:t>
      </w:r>
      <w:r w:rsidRPr="000A0A5F">
        <w:rPr>
          <w:lang w:val="en-US" w:eastAsia="zh-CN"/>
        </w:rPr>
        <w:t>FAILURE_RDS_DISABLED</w:t>
      </w:r>
      <w:r w:rsidRPr="000A0A5F">
        <w:t>"</w:t>
      </w:r>
      <w:r w:rsidRPr="000A0A5F">
        <w:rPr>
          <w:lang w:val="en-US" w:eastAsia="zh-CN"/>
        </w:rPr>
        <w:t xml:space="preserve"> delivery status</w:t>
      </w:r>
      <w:r w:rsidRPr="000A0A5F">
        <w:rPr>
          <w:lang w:eastAsia="zh-CN"/>
        </w:rPr>
        <w:t>.</w:t>
      </w:r>
    </w:p>
    <w:p w:rsidR="00CB0DD7" w:rsidRPr="000A0A5F" w:rsidRDefault="00CB0DD7">
      <w:pPr>
        <w:pStyle w:val="Heading5"/>
        <w:rPr>
          <w:rFonts w:hint="eastAsia"/>
        </w:rPr>
      </w:pPr>
      <w:bookmarkStart w:id="491" w:name="_Toc11247212"/>
      <w:bookmarkStart w:id="492" w:name="_Toc27044329"/>
      <w:bookmarkStart w:id="493" w:name="_Toc36033371"/>
      <w:bookmarkStart w:id="494" w:name="_Toc45131501"/>
      <w:bookmarkStart w:id="495" w:name="_Toc49775786"/>
      <w:bookmarkStart w:id="496" w:name="_Toc51746706"/>
      <w:bookmarkStart w:id="497" w:name="_Toc66360248"/>
      <w:bookmarkStart w:id="498" w:name="_Toc68104753"/>
      <w:bookmarkStart w:id="499" w:name="_Toc74755382"/>
      <w:bookmarkStart w:id="500" w:name="_Toc105674237"/>
      <w:bookmarkStart w:id="501" w:name="_Toc130502270"/>
      <w:bookmarkStart w:id="502" w:name="_Toc153625049"/>
      <w:r w:rsidRPr="000A0A5F">
        <w:rPr>
          <w:rFonts w:hint="eastAsia"/>
        </w:rPr>
        <w:t>4.4.5.3</w:t>
      </w:r>
      <w:r w:rsidRPr="000A0A5F">
        <w:t>.2</w:t>
      </w:r>
      <w:r w:rsidRPr="000A0A5F">
        <w:rPr>
          <w:rFonts w:hint="eastAsia"/>
        </w:rPr>
        <w:tab/>
      </w:r>
      <w:r w:rsidRPr="000A0A5F">
        <w:t>Mobile Terminated NIDD for a group of UEs</w:t>
      </w:r>
      <w:bookmarkEnd w:id="491"/>
      <w:bookmarkEnd w:id="492"/>
      <w:bookmarkEnd w:id="493"/>
      <w:bookmarkEnd w:id="494"/>
      <w:bookmarkEnd w:id="495"/>
      <w:bookmarkEnd w:id="496"/>
      <w:bookmarkEnd w:id="497"/>
      <w:bookmarkEnd w:id="498"/>
      <w:bookmarkEnd w:id="499"/>
      <w:bookmarkEnd w:id="500"/>
      <w:bookmarkEnd w:id="501"/>
      <w:bookmarkEnd w:id="502"/>
    </w:p>
    <w:p w:rsidR="00CB0DD7" w:rsidRPr="000A0A5F" w:rsidRDefault="00CB0DD7">
      <w:pPr>
        <w:rPr>
          <w:rFonts w:hint="eastAsia"/>
          <w:lang w:eastAsia="zh-CN"/>
        </w:rPr>
      </w:pPr>
      <w:r w:rsidRPr="000A0A5F">
        <w:t>If the SCS/AS needs to perform a downlink non-IP data delivery to a group of UEs and if both the SCS/AS and the SCEF support GroupMesageDelivery feature as defined in</w:t>
      </w:r>
      <w:r w:rsidR="009A56FF" w:rsidRPr="000A0A5F">
        <w:t>clause</w:t>
      </w:r>
      <w:r w:rsidRPr="000A0A5F">
        <w:t> 5.6.4, the SCS/AS shall send an HTTP POST request message to the SCEF for the "NIDD downlink data</w:t>
      </w:r>
      <w:r w:rsidRPr="000A0A5F">
        <w:rPr>
          <w:rFonts w:hint="eastAsia"/>
          <w:lang w:eastAsia="zh-CN"/>
        </w:rPr>
        <w:t xml:space="preserve"> deliveries</w:t>
      </w:r>
      <w:r w:rsidRPr="000A0A5F">
        <w:t>" resource,</w:t>
      </w:r>
      <w:r w:rsidRPr="000A0A5F">
        <w:rPr>
          <w:lang w:eastAsia="zh-CN"/>
        </w:rPr>
        <w:t xml:space="preserve"> identifying an existing NIDD configuration resource as parent resource</w:t>
      </w:r>
      <w:r w:rsidRPr="000A0A5F">
        <w:t xml:space="preserve">. </w:t>
      </w:r>
      <w:r w:rsidRPr="000A0A5F">
        <w:rPr>
          <w:rFonts w:hint="eastAsia"/>
          <w:lang w:eastAsia="zh-CN"/>
        </w:rPr>
        <w:t>T</w:t>
      </w:r>
      <w:r w:rsidRPr="000A0A5F">
        <w:rPr>
          <w:lang w:eastAsia="zh-CN"/>
        </w:rPr>
        <w:t>he body of the HTTP POST request message shall include</w:t>
      </w:r>
      <w:r w:rsidRPr="000A0A5F">
        <w:t xml:space="preserve"> the External Group Identifier and the non-IP data, and may include Reliable Data Service Configuration, PDN Connection Establishment Optio</w:t>
      </w:r>
      <w:r w:rsidRPr="000A0A5F">
        <w:rPr>
          <w:rFonts w:hint="eastAsia"/>
          <w:lang w:eastAsia="zh-CN"/>
        </w:rPr>
        <w:t>n</w:t>
      </w:r>
      <w:r w:rsidRPr="000A0A5F">
        <w:rPr>
          <w:lang w:eastAsia="zh-CN"/>
        </w:rPr>
        <w:t xml:space="preserve"> and </w:t>
      </w:r>
      <w:r w:rsidRPr="000A0A5F">
        <w:t>Maximum Latency.</w:t>
      </w:r>
    </w:p>
    <w:p w:rsidR="00CB0DD7" w:rsidRPr="000A0A5F" w:rsidRDefault="00CB0DD7">
      <w:r w:rsidRPr="000A0A5F">
        <w:t xml:space="preserve">Upon receipt of such an HTTP POST request from the </w:t>
      </w:r>
      <w:r w:rsidRPr="000A0A5F">
        <w:rPr>
          <w:rFonts w:hint="eastAsia"/>
          <w:lang w:eastAsia="zh-CN"/>
        </w:rPr>
        <w:t xml:space="preserve">SCS/AS </w:t>
      </w:r>
      <w:r w:rsidRPr="000A0A5F">
        <w:t xml:space="preserve">requesting the group message delivery, the SCEF checks whether the SCS/AS is authorised to send NIDD requests, whether the non-IP packet size is larger than the Maximum Packet Size that was provided to the SCS/AS during NIDD Configuration and if </w:t>
      </w:r>
      <w:r w:rsidRPr="000A0A5F">
        <w:rPr>
          <w:lang w:eastAsia="zh-CN"/>
        </w:rPr>
        <w:t>the Rds_port_verification feature is supported</w:t>
      </w:r>
      <w:r w:rsidRPr="000A0A5F">
        <w:t xml:space="preserve"> whether the RDS port numbers are recognized. If any of those checks fails, the SCEF shall respond </w:t>
      </w:r>
      <w:r w:rsidR="009A56FF" w:rsidRPr="000A0A5F">
        <w:t xml:space="preserve">with </w:t>
      </w:r>
      <w:r w:rsidRPr="000A0A5F">
        <w:t>a HTTP response with a cause value indicating the reason for the failure condition.</w:t>
      </w:r>
      <w:r w:rsidRPr="000A0A5F">
        <w:rPr>
          <w:lang w:eastAsia="zh-CN"/>
        </w:rPr>
        <w:t xml:space="preserve"> </w:t>
      </w:r>
      <w:r w:rsidRPr="000A0A5F">
        <w:rPr>
          <w:rFonts w:hint="eastAsia"/>
          <w:lang w:eastAsia="zh-CN"/>
        </w:rPr>
        <w:t xml:space="preserve">If </w:t>
      </w:r>
      <w:r w:rsidRPr="000A0A5F">
        <w:rPr>
          <w:lang w:eastAsia="zh-CN"/>
        </w:rPr>
        <w:t>all checks are successful,</w:t>
      </w:r>
      <w:r w:rsidRPr="000A0A5F">
        <w:t xml:space="preserve"> the SCEF shall create an "Individual NIDD downlink data</w:t>
      </w:r>
      <w:r w:rsidRPr="000A0A5F">
        <w:rPr>
          <w:rFonts w:hint="eastAsia"/>
          <w:lang w:eastAsia="zh-CN"/>
        </w:rPr>
        <w:t xml:space="preserve"> delivery</w:t>
      </w:r>
      <w:r w:rsidRPr="000A0A5F">
        <w:t>" resource and sends a 201 Created response to the SCS/AS to acknowledge acceptance of the HTTP POST request.</w:t>
      </w:r>
    </w:p>
    <w:p w:rsidR="00CB0DD7" w:rsidRPr="000A0A5F" w:rsidRDefault="00CB0DD7">
      <w:r w:rsidRPr="000A0A5F">
        <w:t>Then for each authorized External Identifier associated to the External Group Identifier which is retrieved from the HSS during preceding NIDD configuration procedure (as specified in clause 4.4.5.2.2), the SCEF shall</w:t>
      </w:r>
      <w:r w:rsidRPr="000A0A5F">
        <w:rPr>
          <w:rFonts w:hint="eastAsia"/>
          <w:lang w:eastAsia="zh-CN"/>
        </w:rPr>
        <w:t xml:space="preserve"> </w:t>
      </w:r>
      <w:r w:rsidRPr="000A0A5F">
        <w:t>determine the EPS Bearer Context based on the APN associated with the NIDD configuration and the User Identity and continue the procedure as described for MT NIDD for a single UE in clause 4.4.5.3.1 without sending downlink data delivery status notification for any individual UE to the SCS/AS.</w:t>
      </w:r>
    </w:p>
    <w:p w:rsidR="00CB0DD7" w:rsidRPr="000A0A5F" w:rsidRDefault="00CB0DD7">
      <w:pPr>
        <w:rPr>
          <w:lang w:val="en-US" w:eastAsia="zh-CN"/>
        </w:rPr>
      </w:pPr>
      <w:r w:rsidRPr="000A0A5F">
        <w:t xml:space="preserve">At the end of buffering (duration determined by the Maximum Latency or local policy) or after processing data delivery for all UEs in the group, the SCEF shall send an HTTP POST message to SCS/AS to indicate the aggregated result of data delivery of each UE. </w:t>
      </w:r>
      <w:r w:rsidRPr="000A0A5F">
        <w:rPr>
          <w:rFonts w:hint="eastAsia"/>
          <w:lang w:eastAsia="zh-CN"/>
        </w:rPr>
        <w:t>T</w:t>
      </w:r>
      <w:r w:rsidRPr="000A0A5F">
        <w:rPr>
          <w:lang w:eastAsia="zh-CN"/>
        </w:rPr>
        <w:t>he body of the HTTP POST request message shall</w:t>
      </w:r>
      <w:r w:rsidRPr="000A0A5F">
        <w:t xml:space="preserve"> include MSISDN or External Identifier, Retransmission Time (optional) and delivery result for each UE.</w:t>
      </w:r>
      <w:r w:rsidRPr="000A0A5F">
        <w:rPr>
          <w:rFonts w:hint="eastAsia"/>
          <w:lang w:val="en-US" w:eastAsia="zh-CN"/>
        </w:rPr>
        <w:t xml:space="preserve"> Upon receipt of the request, </w:t>
      </w:r>
      <w:r w:rsidRPr="000A0A5F">
        <w:rPr>
          <w:lang w:val="en-US" w:eastAsia="zh-CN"/>
        </w:rPr>
        <w:t xml:space="preserve">the SCS/AS </w:t>
      </w:r>
      <w:r w:rsidRPr="000A0A5F">
        <w:rPr>
          <w:rFonts w:hint="eastAsia"/>
          <w:lang w:val="en-US" w:eastAsia="zh-CN"/>
        </w:rPr>
        <w:t xml:space="preserve">shall acknowledge the request with </w:t>
      </w:r>
      <w:r w:rsidRPr="000A0A5F">
        <w:rPr>
          <w:lang w:val="en-US" w:eastAsia="zh-CN"/>
        </w:rPr>
        <w:t>an</w:t>
      </w:r>
      <w:r w:rsidRPr="000A0A5F">
        <w:rPr>
          <w:rFonts w:hint="eastAsia"/>
          <w:lang w:val="en-US" w:eastAsia="zh-CN"/>
        </w:rPr>
        <w:t xml:space="preserve"> HTTP</w:t>
      </w:r>
      <w:r w:rsidRPr="000A0A5F">
        <w:rPr>
          <w:lang w:val="en-US" w:eastAsia="zh-CN"/>
        </w:rPr>
        <w:t xml:space="preserve"> 200 OK</w:t>
      </w:r>
      <w:r w:rsidRPr="000A0A5F">
        <w:rPr>
          <w:rFonts w:hint="eastAsia"/>
          <w:lang w:val="en-US" w:eastAsia="zh-CN"/>
        </w:rPr>
        <w:t xml:space="preserve"> </w:t>
      </w:r>
      <w:r w:rsidRPr="000A0A5F">
        <w:rPr>
          <w:lang w:val="en-US" w:eastAsia="zh-CN"/>
        </w:rPr>
        <w:t xml:space="preserve">or 204 No Content </w:t>
      </w:r>
      <w:r w:rsidRPr="000A0A5F">
        <w:rPr>
          <w:rFonts w:hint="eastAsia"/>
          <w:lang w:val="en-US" w:eastAsia="zh-CN"/>
        </w:rPr>
        <w:t>response</w:t>
      </w:r>
      <w:r w:rsidRPr="000A0A5F">
        <w:rPr>
          <w:lang w:val="en-US" w:eastAsia="zh-CN"/>
        </w:rPr>
        <w:t>.</w:t>
      </w:r>
    </w:p>
    <w:p w:rsidR="00CB0DD7" w:rsidRPr="000A0A5F" w:rsidRDefault="00CB0DD7">
      <w:pPr>
        <w:rPr>
          <w:lang w:eastAsia="zh-CN"/>
        </w:rPr>
      </w:pPr>
      <w:r w:rsidRPr="000A0A5F">
        <w:rPr>
          <w:lang w:eastAsia="zh-CN"/>
        </w:rPr>
        <w:t>The MT_NIDD</w:t>
      </w:r>
      <w:r w:rsidRPr="000A0A5F">
        <w:rPr>
          <w:rFonts w:cs="Arial"/>
        </w:rPr>
        <w:t xml:space="preserve">_modification_cancellation feature is not supported for the group message delivery via NIDD. If a PUT or DELETE request is received for the </w:t>
      </w:r>
      <w:r w:rsidRPr="000A0A5F">
        <w:t>"Individual NIDD downlink data</w:t>
      </w:r>
      <w:r w:rsidRPr="000A0A5F">
        <w:rPr>
          <w:rFonts w:hint="eastAsia"/>
          <w:lang w:eastAsia="zh-CN"/>
        </w:rPr>
        <w:t xml:space="preserve"> delivery</w:t>
      </w:r>
      <w:r w:rsidRPr="000A0A5F">
        <w:t>"</w:t>
      </w:r>
      <w:r w:rsidRPr="000A0A5F">
        <w:rPr>
          <w:lang w:eastAsia="zh-CN"/>
        </w:rPr>
        <w:t xml:space="preserve"> resource which was created for a group of UEs, the SCEF shall reject the message with </w:t>
      </w:r>
      <w:r w:rsidR="009A56FF" w:rsidRPr="000A0A5F">
        <w:rPr>
          <w:lang w:eastAsia="zh-CN"/>
        </w:rPr>
        <w:t xml:space="preserve">a </w:t>
      </w:r>
      <w:r w:rsidRPr="000A0A5F">
        <w:rPr>
          <w:lang w:eastAsia="zh-CN"/>
        </w:rPr>
        <w:t xml:space="preserve">403 Forbidden response </w:t>
      </w:r>
      <w:r w:rsidRPr="000A0A5F">
        <w:t xml:space="preserve">with a cause value "OPERATION_PROHIBITED" in the "cause" attribute of the "ProblemDetails" </w:t>
      </w:r>
      <w:r w:rsidR="009A56FF" w:rsidRPr="000A0A5F">
        <w:t xml:space="preserve">data </w:t>
      </w:r>
      <w:r w:rsidRPr="000A0A5F">
        <w:t>structure</w:t>
      </w:r>
      <w:r w:rsidRPr="000A0A5F">
        <w:rPr>
          <w:lang w:eastAsia="zh-CN"/>
        </w:rPr>
        <w:t>.</w:t>
      </w:r>
    </w:p>
    <w:p w:rsidR="00CB0DD7" w:rsidRPr="000A0A5F" w:rsidRDefault="00CB0DD7">
      <w:pPr>
        <w:rPr>
          <w:lang w:val="en-US" w:eastAsia="zh-CN"/>
        </w:rPr>
      </w:pPr>
      <w:r w:rsidRPr="000A0A5F">
        <w:rPr>
          <w:lang w:val="en-US" w:eastAsia="zh-CN"/>
        </w:rPr>
        <w:t xml:space="preserve">During MT NIDD delivery, if the UE indicates no support for RDS and the SCEF previously indicated RDS is enabled to the SCS/AS, the SCEF shall stop sending the non-IP data for the indicated UE. In the aggregated MT NIDD delivery notification, the SCEF shall send </w:t>
      </w:r>
      <w:r w:rsidRPr="000A0A5F">
        <w:t>"</w:t>
      </w:r>
      <w:r w:rsidRPr="000A0A5F">
        <w:rPr>
          <w:lang w:val="en-US" w:eastAsia="zh-CN"/>
        </w:rPr>
        <w:t>FAILURE_RDS_DISABLED</w:t>
      </w:r>
      <w:r w:rsidRPr="000A0A5F">
        <w:t>"</w:t>
      </w:r>
      <w:r w:rsidRPr="000A0A5F">
        <w:rPr>
          <w:lang w:val="en-US" w:eastAsia="zh-CN"/>
        </w:rPr>
        <w:t xml:space="preserve"> delivery status </w:t>
      </w:r>
      <w:r w:rsidRPr="000A0A5F">
        <w:rPr>
          <w:lang w:eastAsia="zh-CN"/>
        </w:rPr>
        <w:t>for each failed UE.</w:t>
      </w:r>
    </w:p>
    <w:p w:rsidR="00CB0DD7" w:rsidRPr="000A0A5F" w:rsidRDefault="00CB0DD7">
      <w:pPr>
        <w:pStyle w:val="Heading4"/>
        <w:rPr>
          <w:rFonts w:hint="eastAsia"/>
          <w:lang w:eastAsia="zh-CN"/>
        </w:rPr>
      </w:pPr>
      <w:bookmarkStart w:id="503" w:name="_Toc11247213"/>
      <w:bookmarkStart w:id="504" w:name="_Toc27044330"/>
      <w:bookmarkStart w:id="505" w:name="_Toc36033372"/>
      <w:bookmarkStart w:id="506" w:name="_Toc45131502"/>
      <w:bookmarkStart w:id="507" w:name="_Toc49775787"/>
      <w:bookmarkStart w:id="508" w:name="_Toc51746707"/>
      <w:bookmarkStart w:id="509" w:name="_Toc66360249"/>
      <w:bookmarkStart w:id="510" w:name="_Toc68104754"/>
      <w:bookmarkStart w:id="511" w:name="_Toc74755383"/>
      <w:bookmarkStart w:id="512" w:name="_Toc105674238"/>
      <w:bookmarkStart w:id="513" w:name="_Toc130502271"/>
      <w:bookmarkStart w:id="514" w:name="_Toc153625050"/>
      <w:r w:rsidRPr="000A0A5F">
        <w:t>4.4.</w:t>
      </w:r>
      <w:r w:rsidRPr="000A0A5F">
        <w:rPr>
          <w:rFonts w:hint="eastAsia"/>
          <w:lang w:eastAsia="zh-CN"/>
        </w:rPr>
        <w:t>5</w:t>
      </w:r>
      <w:r w:rsidRPr="000A0A5F">
        <w:t>.</w:t>
      </w:r>
      <w:r w:rsidRPr="000A0A5F">
        <w:rPr>
          <w:rFonts w:hint="eastAsia"/>
          <w:lang w:eastAsia="zh-CN"/>
        </w:rPr>
        <w:t>4</w:t>
      </w:r>
      <w:r w:rsidRPr="000A0A5F">
        <w:tab/>
        <w:t>Mobile Originated NIDD procedure</w:t>
      </w:r>
      <w:bookmarkEnd w:id="503"/>
      <w:bookmarkEnd w:id="504"/>
      <w:bookmarkEnd w:id="505"/>
      <w:bookmarkEnd w:id="506"/>
      <w:bookmarkEnd w:id="507"/>
      <w:bookmarkEnd w:id="508"/>
      <w:bookmarkEnd w:id="509"/>
      <w:bookmarkEnd w:id="510"/>
      <w:bookmarkEnd w:id="511"/>
      <w:bookmarkEnd w:id="512"/>
      <w:bookmarkEnd w:id="513"/>
      <w:bookmarkEnd w:id="514"/>
    </w:p>
    <w:p w:rsidR="00CB0DD7" w:rsidRPr="000A0A5F" w:rsidRDefault="00CB0DD7">
      <w:pPr>
        <w:rPr>
          <w:rFonts w:hint="eastAsia"/>
          <w:lang w:val="en-US" w:eastAsia="zh-CN"/>
        </w:rPr>
      </w:pPr>
      <w:r w:rsidRPr="000A0A5F">
        <w:t xml:space="preserve">When the SCEF receives the non-IP data </w:t>
      </w:r>
      <w:r w:rsidRPr="000A0A5F">
        <w:rPr>
          <w:rFonts w:hint="eastAsia"/>
          <w:lang w:eastAsia="zh-CN"/>
        </w:rPr>
        <w:t>from MME/</w:t>
      </w:r>
      <w:r w:rsidRPr="000A0A5F">
        <w:rPr>
          <w:lang w:eastAsia="zh-CN"/>
        </w:rPr>
        <w:t>S</w:t>
      </w:r>
      <w:r w:rsidRPr="000A0A5F">
        <w:rPr>
          <w:rFonts w:hint="eastAsia"/>
          <w:lang w:eastAsia="zh-CN"/>
        </w:rPr>
        <w:t>GSN</w:t>
      </w:r>
      <w:r w:rsidRPr="000A0A5F">
        <w:rPr>
          <w:lang w:eastAsia="zh-CN"/>
        </w:rPr>
        <w:t xml:space="preserve"> </w:t>
      </w:r>
      <w:r w:rsidRPr="000A0A5F">
        <w:rPr>
          <w:rFonts w:hint="eastAsia"/>
          <w:lang w:eastAsia="zh-CN"/>
        </w:rPr>
        <w:t>(or IWK-SCEF) as defined in 3GPP TS 29.128</w:t>
      </w:r>
      <w:r w:rsidRPr="000A0A5F">
        <w:rPr>
          <w:lang w:val="en-US" w:eastAsia="zh-CN"/>
        </w:rPr>
        <w:t> </w:t>
      </w:r>
      <w:r w:rsidRPr="000A0A5F">
        <w:rPr>
          <w:rFonts w:hint="eastAsia"/>
          <w:lang w:val="en-US" w:eastAsia="zh-CN"/>
        </w:rPr>
        <w:t>[</w:t>
      </w:r>
      <w:r w:rsidRPr="000A0A5F">
        <w:rPr>
          <w:lang w:val="en-US" w:eastAsia="zh-CN"/>
        </w:rPr>
        <w:t>12</w:t>
      </w:r>
      <w:r w:rsidRPr="000A0A5F">
        <w:rPr>
          <w:rFonts w:hint="eastAsia"/>
          <w:lang w:val="en-US" w:eastAsia="zh-CN"/>
        </w:rPr>
        <w:t>]</w:t>
      </w:r>
      <w:r w:rsidRPr="000A0A5F">
        <w:t>, and finds an SCEF EPS bearer context</w:t>
      </w:r>
      <w:r w:rsidRPr="000A0A5F">
        <w:rPr>
          <w:lang w:eastAsia="zh-CN"/>
        </w:rPr>
        <w:t xml:space="preserve"> </w:t>
      </w:r>
      <w:r w:rsidRPr="000A0A5F">
        <w:rPr>
          <w:rFonts w:hint="eastAsia"/>
          <w:lang w:eastAsia="zh-CN"/>
        </w:rPr>
        <w:t>and the associated NIDD configuration</w:t>
      </w:r>
      <w:r w:rsidRPr="000A0A5F">
        <w:rPr>
          <w:lang w:eastAsia="zh-CN"/>
        </w:rPr>
        <w:t>,</w:t>
      </w:r>
      <w:r w:rsidRPr="000A0A5F">
        <w:rPr>
          <w:rFonts w:hint="eastAsia"/>
          <w:lang w:eastAsia="zh-CN"/>
        </w:rPr>
        <w:t xml:space="preserve"> </w:t>
      </w:r>
      <w:r w:rsidRPr="000A0A5F">
        <w:rPr>
          <w:lang w:val="en-US" w:eastAsia="zh-CN"/>
        </w:rPr>
        <w:t>t</w:t>
      </w:r>
      <w:r w:rsidRPr="000A0A5F">
        <w:rPr>
          <w:rFonts w:hint="eastAsia"/>
          <w:lang w:val="en-US" w:eastAsia="zh-CN"/>
        </w:rPr>
        <w:t xml:space="preserve">he SCEF shall determine the SCS/AS by the corresponding NIDD </w:t>
      </w:r>
      <w:r w:rsidRPr="000A0A5F">
        <w:rPr>
          <w:lang w:val="en-US" w:eastAsia="zh-CN"/>
        </w:rPr>
        <w:t>configuration</w:t>
      </w:r>
      <w:r w:rsidRPr="000A0A5F">
        <w:rPr>
          <w:rFonts w:hint="eastAsia"/>
          <w:lang w:val="en-US" w:eastAsia="zh-CN"/>
        </w:rPr>
        <w:t xml:space="preserve">, and send an HTTP POST request to the SCS/AS </w:t>
      </w:r>
      <w:r w:rsidRPr="000A0A5F">
        <w:t>identified by the Notification Destination Address received in the NIDD configuration</w:t>
      </w:r>
      <w:r w:rsidRPr="000A0A5F">
        <w:rPr>
          <w:rFonts w:hint="eastAsia"/>
          <w:lang w:val="en-US" w:eastAsia="zh-CN"/>
        </w:rPr>
        <w:t xml:space="preserve"> to notify the uplink non-IP data.</w:t>
      </w:r>
      <w:r w:rsidRPr="000A0A5F">
        <w:rPr>
          <w:rFonts w:hint="eastAsia"/>
          <w:lang w:eastAsia="zh-CN"/>
        </w:rPr>
        <w:t xml:space="preserve"> </w:t>
      </w:r>
      <w:r w:rsidRPr="000A0A5F">
        <w:rPr>
          <w:noProof/>
          <w:lang w:eastAsia="zh-CN"/>
        </w:rPr>
        <w:t xml:space="preserve">The body of the HTTP POST message shall include </w:t>
      </w:r>
      <w:r w:rsidRPr="000A0A5F">
        <w:t>External Identifier or MSISDN, non-IP data, NIDD configuration identifier, Reliable Data Service Configuration (if available)</w:t>
      </w:r>
      <w:r w:rsidRPr="000A0A5F">
        <w:rPr>
          <w:rFonts w:hint="eastAsia"/>
          <w:lang w:eastAsia="zh-CN"/>
        </w:rPr>
        <w:t>.</w:t>
      </w:r>
      <w:r w:rsidRPr="000A0A5F">
        <w:rPr>
          <w:lang w:eastAsia="zh-CN"/>
        </w:rPr>
        <w:t xml:space="preserve"> The Reliable Data Service Configuration includes port numbers on UE and SCEF that are used to identify a specific application for data transfer between UE and SCS/AS and an indication if reliable data service acknowledgement is enabled or not.</w:t>
      </w:r>
    </w:p>
    <w:p w:rsidR="00CB0DD7" w:rsidRPr="000A0A5F" w:rsidRDefault="00CB0DD7">
      <w:pPr>
        <w:rPr>
          <w:rFonts w:hint="eastAsia"/>
          <w:lang w:eastAsia="zh-CN"/>
        </w:rPr>
      </w:pPr>
      <w:r w:rsidRPr="000A0A5F">
        <w:rPr>
          <w:rFonts w:hint="eastAsia"/>
          <w:lang w:val="en-US" w:eastAsia="zh-CN"/>
        </w:rPr>
        <w:t xml:space="preserve">Upon receipt of the request, </w:t>
      </w:r>
      <w:r w:rsidRPr="000A0A5F">
        <w:rPr>
          <w:rFonts w:hint="eastAsia"/>
          <w:lang w:eastAsia="zh-CN"/>
        </w:rPr>
        <w:t xml:space="preserve">if the SCS/AS knows the NIDD configuration identified by </w:t>
      </w:r>
      <w:r w:rsidRPr="000A0A5F">
        <w:t>the NIDD configuration identifier</w:t>
      </w:r>
      <w:r w:rsidRPr="000A0A5F">
        <w:rPr>
          <w:rFonts w:hint="eastAsia"/>
          <w:lang w:eastAsia="zh-CN"/>
        </w:rPr>
        <w:t>, the SCS/AS</w:t>
      </w:r>
      <w:r w:rsidRPr="000A0A5F">
        <w:t xml:space="preserve"> </w:t>
      </w:r>
      <w:r w:rsidRPr="000A0A5F">
        <w:rPr>
          <w:rFonts w:hint="eastAsia"/>
          <w:lang w:eastAsia="zh-CN"/>
        </w:rPr>
        <w:t xml:space="preserve">shall acknowledge a 200 </w:t>
      </w:r>
      <w:r w:rsidRPr="000A0A5F">
        <w:rPr>
          <w:lang w:eastAsia="zh-CN"/>
        </w:rPr>
        <w:t xml:space="preserve">OK or 204 No Content </w:t>
      </w:r>
      <w:r w:rsidRPr="000A0A5F">
        <w:rPr>
          <w:rFonts w:hint="eastAsia"/>
          <w:lang w:eastAsia="zh-CN"/>
        </w:rPr>
        <w:t>message to the SCEF.</w:t>
      </w:r>
    </w:p>
    <w:p w:rsidR="00CB0DD7" w:rsidRPr="000A0A5F" w:rsidRDefault="00CB0DD7">
      <w:pPr>
        <w:pStyle w:val="Heading4"/>
        <w:rPr>
          <w:rFonts w:hint="eastAsia"/>
          <w:lang w:eastAsia="zh-CN"/>
        </w:rPr>
      </w:pPr>
      <w:bookmarkStart w:id="515" w:name="_Toc11247214"/>
      <w:bookmarkStart w:id="516" w:name="_Toc27044331"/>
      <w:bookmarkStart w:id="517" w:name="_Toc36033373"/>
      <w:bookmarkStart w:id="518" w:name="_Toc45131503"/>
      <w:bookmarkStart w:id="519" w:name="_Toc49775788"/>
      <w:bookmarkStart w:id="520" w:name="_Toc51746708"/>
      <w:bookmarkStart w:id="521" w:name="_Toc66360250"/>
      <w:bookmarkStart w:id="522" w:name="_Toc68104755"/>
      <w:bookmarkStart w:id="523" w:name="_Toc74755384"/>
      <w:bookmarkStart w:id="524" w:name="_Toc105674239"/>
      <w:bookmarkStart w:id="525" w:name="_Toc130502272"/>
      <w:bookmarkStart w:id="526" w:name="_Toc153625051"/>
      <w:r w:rsidRPr="000A0A5F">
        <w:t>4.4.</w:t>
      </w:r>
      <w:r w:rsidRPr="000A0A5F">
        <w:rPr>
          <w:rFonts w:hint="eastAsia"/>
          <w:lang w:eastAsia="zh-CN"/>
        </w:rPr>
        <w:t>5</w:t>
      </w:r>
      <w:r w:rsidRPr="000A0A5F">
        <w:t>.</w:t>
      </w:r>
      <w:r w:rsidRPr="000A0A5F">
        <w:rPr>
          <w:rFonts w:hint="eastAsia"/>
          <w:lang w:eastAsia="zh-CN"/>
        </w:rPr>
        <w:t>5</w:t>
      </w:r>
      <w:r w:rsidRPr="000A0A5F">
        <w:tab/>
        <w:t>NIDD Authorisation Update procedure</w:t>
      </w:r>
      <w:bookmarkEnd w:id="515"/>
      <w:bookmarkEnd w:id="516"/>
      <w:bookmarkEnd w:id="517"/>
      <w:bookmarkEnd w:id="518"/>
      <w:bookmarkEnd w:id="519"/>
      <w:bookmarkEnd w:id="520"/>
      <w:bookmarkEnd w:id="521"/>
      <w:bookmarkEnd w:id="522"/>
      <w:bookmarkEnd w:id="523"/>
      <w:bookmarkEnd w:id="524"/>
      <w:bookmarkEnd w:id="525"/>
      <w:bookmarkEnd w:id="526"/>
    </w:p>
    <w:p w:rsidR="00CB0DD7" w:rsidRPr="000A0A5F" w:rsidRDefault="00CB0DD7">
      <w:pPr>
        <w:rPr>
          <w:lang w:eastAsia="zh-CN"/>
        </w:rPr>
      </w:pPr>
      <w:r w:rsidRPr="000A0A5F">
        <w:rPr>
          <w:rFonts w:hint="eastAsia"/>
          <w:lang w:eastAsia="zh-CN"/>
        </w:rPr>
        <w:t>When the SCEF receives</w:t>
      </w:r>
      <w:r w:rsidRPr="000A0A5F">
        <w:t xml:space="preserve"> a NIDD Authorisation Update Request message </w:t>
      </w:r>
      <w:r w:rsidRPr="000A0A5F">
        <w:rPr>
          <w:rFonts w:hint="eastAsia"/>
          <w:lang w:eastAsia="zh-CN"/>
        </w:rPr>
        <w:t xml:space="preserve">from HSS </w:t>
      </w:r>
      <w:r w:rsidRPr="000A0A5F">
        <w:t>to update a user's NIDD authorisation</w:t>
      </w:r>
      <w:r w:rsidRPr="000A0A5F">
        <w:rPr>
          <w:rFonts w:hint="eastAsia"/>
          <w:lang w:eastAsia="zh-CN"/>
        </w:rPr>
        <w:t xml:space="preserve"> as defined in 3GPP TS 29.336</w:t>
      </w:r>
      <w:r w:rsidRPr="000A0A5F">
        <w:rPr>
          <w:lang w:val="en-US" w:eastAsia="zh-CN"/>
        </w:rPr>
        <w:t> </w:t>
      </w:r>
      <w:r w:rsidRPr="000A0A5F">
        <w:rPr>
          <w:rFonts w:hint="eastAsia"/>
          <w:lang w:val="en-US" w:eastAsia="zh-CN"/>
        </w:rPr>
        <w:t>[</w:t>
      </w:r>
      <w:r w:rsidRPr="000A0A5F">
        <w:rPr>
          <w:lang w:val="en-US" w:eastAsia="zh-CN"/>
        </w:rPr>
        <w:t>11</w:t>
      </w:r>
      <w:r w:rsidRPr="000A0A5F">
        <w:rPr>
          <w:rFonts w:hint="eastAsia"/>
          <w:lang w:val="en-US" w:eastAsia="zh-CN"/>
        </w:rPr>
        <w:t>]</w:t>
      </w:r>
      <w:r w:rsidRPr="000A0A5F">
        <w:rPr>
          <w:rFonts w:hint="eastAsia"/>
          <w:lang w:eastAsia="zh-CN"/>
        </w:rPr>
        <w:t xml:space="preserve">, the SCEF shall determine the SCS/AS with the corresponding NIDD Configuration, and send an HTTP POST message to the SCS/AS to notify </w:t>
      </w:r>
      <w:r w:rsidRPr="000A0A5F">
        <w:rPr>
          <w:lang w:eastAsia="zh-CN"/>
        </w:rPr>
        <w:t xml:space="preserve">it of </w:t>
      </w:r>
      <w:r w:rsidRPr="000A0A5F">
        <w:rPr>
          <w:rFonts w:hint="eastAsia"/>
          <w:lang w:eastAsia="zh-CN"/>
        </w:rPr>
        <w:t xml:space="preserve">the NIDD Authorisation Update. The body of the HTTP POST message shall include </w:t>
      </w:r>
      <w:r w:rsidRPr="000A0A5F">
        <w:t xml:space="preserve">External Identifier or MSISDN, NIDD configuration identifier and the </w:t>
      </w:r>
      <w:r w:rsidRPr="000A0A5F">
        <w:rPr>
          <w:rFonts w:hint="eastAsia"/>
          <w:lang w:eastAsia="zh-CN"/>
        </w:rPr>
        <w:t>NIDD configuration status.</w:t>
      </w:r>
    </w:p>
    <w:p w:rsidR="00CB0DD7" w:rsidRPr="000A0A5F" w:rsidRDefault="00CB0DD7">
      <w:pPr>
        <w:rPr>
          <w:lang w:val="en-US" w:eastAsia="zh-CN"/>
        </w:rPr>
      </w:pPr>
      <w:r w:rsidRPr="000A0A5F">
        <w:rPr>
          <w:rFonts w:hint="eastAsia"/>
          <w:lang w:val="en-US" w:eastAsia="zh-CN"/>
        </w:rPr>
        <w:t xml:space="preserve">Upon receipt of the request, </w:t>
      </w:r>
      <w:r w:rsidRPr="000A0A5F">
        <w:rPr>
          <w:lang w:val="en-US" w:eastAsia="zh-CN"/>
        </w:rPr>
        <w:t xml:space="preserve">if </w:t>
      </w:r>
      <w:r w:rsidRPr="000A0A5F">
        <w:rPr>
          <w:rFonts w:hint="eastAsia"/>
          <w:lang w:val="en-US" w:eastAsia="zh-CN"/>
        </w:rPr>
        <w:t xml:space="preserve">the SCS/AS </w:t>
      </w:r>
      <w:r w:rsidRPr="000A0A5F">
        <w:rPr>
          <w:lang w:val="en-US" w:eastAsia="zh-CN"/>
        </w:rPr>
        <w:t xml:space="preserve">knows the corresponding NIDD configuration, then the SCS/AS </w:t>
      </w:r>
      <w:r w:rsidRPr="000A0A5F">
        <w:rPr>
          <w:rFonts w:hint="eastAsia"/>
          <w:lang w:val="en-US" w:eastAsia="zh-CN"/>
        </w:rPr>
        <w:t xml:space="preserve">shall acknowledge the request with </w:t>
      </w:r>
      <w:r w:rsidRPr="000A0A5F">
        <w:rPr>
          <w:lang w:val="en-US" w:eastAsia="zh-CN"/>
        </w:rPr>
        <w:t>an</w:t>
      </w:r>
      <w:r w:rsidRPr="000A0A5F">
        <w:rPr>
          <w:rFonts w:hint="eastAsia"/>
          <w:lang w:val="en-US" w:eastAsia="zh-CN"/>
        </w:rPr>
        <w:t xml:space="preserve"> HTTP</w:t>
      </w:r>
      <w:r w:rsidRPr="000A0A5F">
        <w:rPr>
          <w:lang w:val="en-US" w:eastAsia="zh-CN"/>
        </w:rPr>
        <w:t xml:space="preserve"> 200 OK</w:t>
      </w:r>
      <w:r w:rsidRPr="000A0A5F">
        <w:rPr>
          <w:rFonts w:hint="eastAsia"/>
          <w:lang w:val="en-US" w:eastAsia="zh-CN"/>
        </w:rPr>
        <w:t xml:space="preserve"> </w:t>
      </w:r>
      <w:r w:rsidRPr="000A0A5F">
        <w:rPr>
          <w:lang w:val="en-US" w:eastAsia="zh-CN"/>
        </w:rPr>
        <w:t xml:space="preserve">or 204 No Content </w:t>
      </w:r>
      <w:r w:rsidRPr="000A0A5F">
        <w:rPr>
          <w:rFonts w:hint="eastAsia"/>
          <w:lang w:val="en-US" w:eastAsia="zh-CN"/>
        </w:rPr>
        <w:t>response</w:t>
      </w:r>
      <w:r w:rsidRPr="000A0A5F">
        <w:rPr>
          <w:lang w:val="en-US" w:eastAsia="zh-CN"/>
        </w:rPr>
        <w:t>.</w:t>
      </w:r>
    </w:p>
    <w:p w:rsidR="00CB0DD7" w:rsidRPr="000A0A5F" w:rsidRDefault="00CB0DD7">
      <w:pPr>
        <w:rPr>
          <w:rFonts w:eastAsia="DengXian"/>
          <w:lang w:eastAsia="zh-CN"/>
        </w:rPr>
      </w:pPr>
      <w:r w:rsidRPr="000A0A5F">
        <w:rPr>
          <w:rFonts w:eastAsia="DengXian"/>
          <w:lang w:eastAsia="zh-CN"/>
        </w:rPr>
        <w:t>If the NIDD configuration is revoked by the HSS within the received NIDD Authorisation Update Request, the SCEF</w:t>
      </w:r>
      <w:r w:rsidRPr="000A0A5F">
        <w:rPr>
          <w:rFonts w:eastAsia="DengXian" w:hint="eastAsia"/>
          <w:lang w:eastAsia="zh-CN"/>
        </w:rPr>
        <w:t xml:space="preserve"> </w:t>
      </w:r>
      <w:r w:rsidRPr="000A0A5F">
        <w:rPr>
          <w:rFonts w:eastAsia="DengXian"/>
          <w:lang w:eastAsia="zh-CN"/>
        </w:rPr>
        <w:t xml:space="preserve">shall release the corresponding T6a/b PDN connection as specified in </w:t>
      </w:r>
      <w:r w:rsidRPr="000A0A5F">
        <w:rPr>
          <w:rFonts w:hint="eastAsia"/>
          <w:lang w:eastAsia="zh-CN"/>
        </w:rPr>
        <w:t>3GPP TS 29.128</w:t>
      </w:r>
      <w:r w:rsidRPr="000A0A5F">
        <w:rPr>
          <w:lang w:val="en-US" w:eastAsia="zh-CN"/>
        </w:rPr>
        <w:t> </w:t>
      </w:r>
      <w:r w:rsidRPr="000A0A5F">
        <w:rPr>
          <w:rFonts w:hint="eastAsia"/>
          <w:lang w:val="en-US" w:eastAsia="zh-CN"/>
        </w:rPr>
        <w:t>[</w:t>
      </w:r>
      <w:r w:rsidRPr="000A0A5F">
        <w:rPr>
          <w:lang w:val="en-US" w:eastAsia="zh-CN"/>
        </w:rPr>
        <w:t>12</w:t>
      </w:r>
      <w:r w:rsidRPr="000A0A5F">
        <w:rPr>
          <w:rFonts w:hint="eastAsia"/>
          <w:lang w:val="en-US" w:eastAsia="zh-CN"/>
        </w:rPr>
        <w:t>]</w:t>
      </w:r>
      <w:r w:rsidRPr="000A0A5F">
        <w:rPr>
          <w:rFonts w:eastAsia="DengXian"/>
          <w:lang w:eastAsia="zh-CN"/>
        </w:rPr>
        <w:t xml:space="preserve">. In this case, the SCEF shall reject any subsequent MT NIDD deliveries with a 403 </w:t>
      </w:r>
      <w:r w:rsidRPr="000A0A5F">
        <w:t>Forbidden response</w:t>
      </w:r>
      <w:r w:rsidRPr="000A0A5F">
        <w:rPr>
          <w:rFonts w:eastAsia="DengXian"/>
          <w:lang w:eastAsia="zh-CN"/>
        </w:rPr>
        <w:t>. Or 404 Not Found is returned, if the SCEF locally removed the associated NIDD configuration resource when the configuration was revoked.</w:t>
      </w:r>
    </w:p>
    <w:p w:rsidR="00CB0DD7" w:rsidRPr="000A0A5F" w:rsidRDefault="00CB0DD7">
      <w:pPr>
        <w:rPr>
          <w:lang w:val="en-US" w:eastAsia="zh-CN"/>
        </w:rPr>
      </w:pPr>
      <w:r w:rsidRPr="000A0A5F">
        <w:rPr>
          <w:lang w:val="en-US" w:eastAsia="zh-CN"/>
        </w:rPr>
        <w:t xml:space="preserve">If the RDS capability is changed, e.g. when the T6a/b PDN connection is </w:t>
      </w:r>
      <w:r w:rsidR="004B38F0" w:rsidRPr="000A0A5F">
        <w:rPr>
          <w:lang w:eastAsia="zh-CN"/>
        </w:rPr>
        <w:t>established</w:t>
      </w:r>
      <w:r w:rsidRPr="000A0A5F">
        <w:rPr>
          <w:lang w:val="en-US" w:eastAsia="zh-CN"/>
        </w:rPr>
        <w:t xml:space="preserve">, the UE indicates no support for RDS but the SCEF previously indicated RDS is supported to the SCS/AS in the NIDD configuration procedure, the SCEF shall send an </w:t>
      </w:r>
      <w:r w:rsidRPr="000A0A5F">
        <w:rPr>
          <w:rFonts w:hint="eastAsia"/>
          <w:lang w:eastAsia="zh-CN"/>
        </w:rPr>
        <w:t>HTTP POST message to</w:t>
      </w:r>
      <w:r w:rsidRPr="000A0A5F">
        <w:rPr>
          <w:lang w:eastAsia="zh-CN"/>
        </w:rPr>
        <w:t xml:space="preserve"> notify</w:t>
      </w:r>
      <w:r w:rsidRPr="000A0A5F">
        <w:rPr>
          <w:rFonts w:hint="eastAsia"/>
          <w:lang w:eastAsia="zh-CN"/>
        </w:rPr>
        <w:t xml:space="preserve"> the SCS/AS</w:t>
      </w:r>
      <w:r w:rsidRPr="000A0A5F">
        <w:rPr>
          <w:lang w:eastAsia="zh-CN"/>
        </w:rPr>
        <w:t xml:space="preserve"> that the NIDD status is active and RDS capability indication</w:t>
      </w:r>
      <w:r w:rsidRPr="000A0A5F">
        <w:rPr>
          <w:rFonts w:hint="eastAsia"/>
          <w:lang w:eastAsia="zh-CN"/>
        </w:rPr>
        <w:t>.</w:t>
      </w:r>
      <w:r w:rsidRPr="000A0A5F">
        <w:rPr>
          <w:lang w:val="en-US" w:eastAsia="zh-CN"/>
        </w:rPr>
        <w:t xml:space="preserve"> The SCS/AS </w:t>
      </w:r>
      <w:r w:rsidRPr="000A0A5F">
        <w:rPr>
          <w:rFonts w:hint="eastAsia"/>
          <w:lang w:val="en-US" w:eastAsia="zh-CN"/>
        </w:rPr>
        <w:t xml:space="preserve">shall acknowledge the request with </w:t>
      </w:r>
      <w:r w:rsidRPr="000A0A5F">
        <w:rPr>
          <w:lang w:val="en-US" w:eastAsia="zh-CN"/>
        </w:rPr>
        <w:t>an</w:t>
      </w:r>
      <w:r w:rsidRPr="000A0A5F">
        <w:rPr>
          <w:rFonts w:hint="eastAsia"/>
          <w:lang w:val="en-US" w:eastAsia="zh-CN"/>
        </w:rPr>
        <w:t xml:space="preserve"> HTTP</w:t>
      </w:r>
      <w:r w:rsidRPr="000A0A5F">
        <w:rPr>
          <w:lang w:val="en-US" w:eastAsia="zh-CN"/>
        </w:rPr>
        <w:t xml:space="preserve"> 200 OK</w:t>
      </w:r>
      <w:r w:rsidRPr="000A0A5F">
        <w:rPr>
          <w:rFonts w:hint="eastAsia"/>
          <w:lang w:val="en-US" w:eastAsia="zh-CN"/>
        </w:rPr>
        <w:t xml:space="preserve"> </w:t>
      </w:r>
      <w:r w:rsidRPr="000A0A5F">
        <w:rPr>
          <w:lang w:val="en-US" w:eastAsia="zh-CN"/>
        </w:rPr>
        <w:t xml:space="preserve">or 204 No Content </w:t>
      </w:r>
      <w:r w:rsidRPr="000A0A5F">
        <w:rPr>
          <w:rFonts w:hint="eastAsia"/>
          <w:lang w:val="en-US" w:eastAsia="zh-CN"/>
        </w:rPr>
        <w:t>response</w:t>
      </w:r>
      <w:r w:rsidRPr="000A0A5F">
        <w:rPr>
          <w:lang w:val="en-US" w:eastAsia="zh-CN"/>
        </w:rPr>
        <w:t>.</w:t>
      </w:r>
    </w:p>
    <w:p w:rsidR="00CB0DD7" w:rsidRPr="000A0A5F" w:rsidRDefault="00CB0DD7">
      <w:pPr>
        <w:rPr>
          <w:lang w:val="en-US" w:eastAsia="zh-CN"/>
        </w:rPr>
      </w:pPr>
      <w:r w:rsidRPr="000A0A5F">
        <w:rPr>
          <w:lang w:eastAsia="zh-CN"/>
        </w:rPr>
        <w:t>If the Rds_port_verification feature is supported, before sending the MO NIDD to the SCS/AS as specified in clause</w:t>
      </w:r>
      <w:r w:rsidRPr="000A0A5F">
        <w:rPr>
          <w:lang w:val="en-US" w:eastAsia="zh-CN"/>
        </w:rPr>
        <w:t> 4.4.5.4</w:t>
      </w:r>
      <w:r w:rsidRPr="000A0A5F">
        <w:rPr>
          <w:lang w:eastAsia="zh-CN"/>
        </w:rPr>
        <w:t xml:space="preserve">, the SCEF shall check RDS port numbers (decoded from the uplink non-IP data according to 3GPP TS 24.250 [31]). If the RDS port numbers are not within the configured RDS port list, the SCEF shall notify the SCS/AS with NIDD status set to </w:t>
      </w:r>
      <w:r w:rsidRPr="000A0A5F">
        <w:t>"RDS_PORT_UNKNOWN" and the unknown RDS port numbers</w:t>
      </w:r>
      <w:r w:rsidRPr="000A0A5F">
        <w:rPr>
          <w:lang w:eastAsia="zh-CN"/>
        </w:rPr>
        <w:t>.</w:t>
      </w:r>
      <w:r w:rsidRPr="000A0A5F">
        <w:rPr>
          <w:lang w:val="en-US" w:eastAsia="zh-CN"/>
        </w:rPr>
        <w:t xml:space="preserve"> The SCS/AS </w:t>
      </w:r>
      <w:r w:rsidRPr="000A0A5F">
        <w:rPr>
          <w:rFonts w:hint="eastAsia"/>
          <w:lang w:val="en-US" w:eastAsia="zh-CN"/>
        </w:rPr>
        <w:t xml:space="preserve">shall acknowledge the request with </w:t>
      </w:r>
      <w:r w:rsidRPr="000A0A5F">
        <w:rPr>
          <w:lang w:val="en-US" w:eastAsia="zh-CN"/>
        </w:rPr>
        <w:t>an</w:t>
      </w:r>
      <w:r w:rsidRPr="000A0A5F">
        <w:rPr>
          <w:rFonts w:hint="eastAsia"/>
          <w:lang w:val="en-US" w:eastAsia="zh-CN"/>
        </w:rPr>
        <w:t xml:space="preserve"> HTTP</w:t>
      </w:r>
      <w:r w:rsidRPr="000A0A5F">
        <w:rPr>
          <w:lang w:val="en-US" w:eastAsia="zh-CN"/>
        </w:rPr>
        <w:t xml:space="preserve"> 200 OK</w:t>
      </w:r>
      <w:r w:rsidRPr="000A0A5F">
        <w:rPr>
          <w:rFonts w:hint="eastAsia"/>
          <w:lang w:val="en-US" w:eastAsia="zh-CN"/>
        </w:rPr>
        <w:t xml:space="preserve"> </w:t>
      </w:r>
      <w:r w:rsidRPr="000A0A5F">
        <w:rPr>
          <w:lang w:val="en-US" w:eastAsia="zh-CN"/>
        </w:rPr>
        <w:t xml:space="preserve">or 204 No Content </w:t>
      </w:r>
      <w:r w:rsidRPr="000A0A5F">
        <w:rPr>
          <w:rFonts w:hint="eastAsia"/>
          <w:lang w:val="en-US" w:eastAsia="zh-CN"/>
        </w:rPr>
        <w:t>response</w:t>
      </w:r>
      <w:r w:rsidRPr="000A0A5F">
        <w:rPr>
          <w:lang w:val="en-US" w:eastAsia="zh-CN"/>
        </w:rPr>
        <w:t>.</w:t>
      </w:r>
    </w:p>
    <w:p w:rsidR="00CB0DD7" w:rsidRPr="000A0A5F" w:rsidRDefault="00CB0DD7">
      <w:pPr>
        <w:pStyle w:val="Heading4"/>
        <w:rPr>
          <w:lang w:eastAsia="zh-CN"/>
        </w:rPr>
      </w:pPr>
      <w:bookmarkStart w:id="527" w:name="_Toc27044332"/>
      <w:bookmarkStart w:id="528" w:name="_Toc36033374"/>
      <w:bookmarkStart w:id="529" w:name="_Toc45131504"/>
      <w:bookmarkStart w:id="530" w:name="_Toc49775789"/>
      <w:bookmarkStart w:id="531" w:name="_Toc51746709"/>
      <w:bookmarkStart w:id="532" w:name="_Toc66360251"/>
      <w:bookmarkStart w:id="533" w:name="_Toc68104756"/>
      <w:bookmarkStart w:id="534" w:name="_Toc74755385"/>
      <w:bookmarkStart w:id="535" w:name="_Toc105674240"/>
      <w:bookmarkStart w:id="536" w:name="_Toc130502273"/>
      <w:bookmarkStart w:id="537" w:name="_Toc153625052"/>
      <w:r w:rsidRPr="000A0A5F">
        <w:t>4.4.</w:t>
      </w:r>
      <w:r w:rsidRPr="000A0A5F">
        <w:rPr>
          <w:rFonts w:hint="eastAsia"/>
          <w:lang w:eastAsia="zh-CN"/>
        </w:rPr>
        <w:t>5</w:t>
      </w:r>
      <w:r w:rsidRPr="000A0A5F">
        <w:t>.6</w:t>
      </w:r>
      <w:r w:rsidRPr="000A0A5F">
        <w:tab/>
      </w:r>
      <w:r w:rsidRPr="000A0A5F">
        <w:rPr>
          <w:lang w:eastAsia="zh-CN"/>
        </w:rPr>
        <w:t>Port</w:t>
      </w:r>
      <w:r w:rsidRPr="000A0A5F">
        <w:rPr>
          <w:rFonts w:hint="eastAsia"/>
          <w:lang w:eastAsia="zh-CN"/>
        </w:rPr>
        <w:t xml:space="preserve"> </w:t>
      </w:r>
      <w:r w:rsidRPr="000A0A5F">
        <w:rPr>
          <w:lang w:eastAsia="zh-CN"/>
        </w:rPr>
        <w:t xml:space="preserve">Management </w:t>
      </w:r>
      <w:r w:rsidRPr="000A0A5F">
        <w:rPr>
          <w:rFonts w:hint="eastAsia"/>
          <w:lang w:eastAsia="zh-CN"/>
        </w:rPr>
        <w:t>Configuration</w:t>
      </w:r>
      <w:bookmarkEnd w:id="527"/>
      <w:bookmarkEnd w:id="528"/>
      <w:bookmarkEnd w:id="529"/>
      <w:bookmarkEnd w:id="530"/>
      <w:bookmarkEnd w:id="531"/>
      <w:bookmarkEnd w:id="532"/>
      <w:bookmarkEnd w:id="533"/>
      <w:bookmarkEnd w:id="534"/>
      <w:bookmarkEnd w:id="535"/>
      <w:bookmarkEnd w:id="536"/>
      <w:bookmarkEnd w:id="537"/>
    </w:p>
    <w:p w:rsidR="00CB0DD7" w:rsidRPr="000A0A5F" w:rsidRDefault="00CB0DD7">
      <w:pPr>
        <w:pStyle w:val="Heading5"/>
        <w:rPr>
          <w:lang w:eastAsia="zh-CN"/>
        </w:rPr>
      </w:pPr>
      <w:bookmarkStart w:id="538" w:name="_Toc45131505"/>
      <w:bookmarkStart w:id="539" w:name="_Toc49775790"/>
      <w:bookmarkStart w:id="540" w:name="_Toc51746710"/>
      <w:bookmarkStart w:id="541" w:name="_Toc66360252"/>
      <w:bookmarkStart w:id="542" w:name="_Toc68104757"/>
      <w:bookmarkStart w:id="543" w:name="_Toc74755386"/>
      <w:bookmarkStart w:id="544" w:name="_Toc105674241"/>
      <w:bookmarkStart w:id="545" w:name="_Toc130502274"/>
      <w:bookmarkStart w:id="546" w:name="_Toc153625053"/>
      <w:r w:rsidRPr="000A0A5F">
        <w:rPr>
          <w:lang w:eastAsia="zh-CN"/>
        </w:rPr>
        <w:t>4.4.5.6.1</w:t>
      </w:r>
      <w:r w:rsidRPr="000A0A5F">
        <w:rPr>
          <w:lang w:eastAsia="zh-CN"/>
        </w:rPr>
        <w:tab/>
        <w:t>Port Reservation and Release</w:t>
      </w:r>
      <w:bookmarkEnd w:id="538"/>
      <w:bookmarkEnd w:id="539"/>
      <w:bookmarkEnd w:id="540"/>
      <w:bookmarkEnd w:id="541"/>
      <w:bookmarkEnd w:id="542"/>
      <w:bookmarkEnd w:id="543"/>
      <w:bookmarkEnd w:id="544"/>
      <w:bookmarkEnd w:id="545"/>
      <w:bookmarkEnd w:id="546"/>
    </w:p>
    <w:p w:rsidR="00CB0DD7" w:rsidRPr="000A0A5F" w:rsidRDefault="00CB0DD7">
      <w:pPr>
        <w:rPr>
          <w:lang w:eastAsia="zh-CN"/>
        </w:rPr>
      </w:pPr>
      <w:r w:rsidRPr="000A0A5F">
        <w:rPr>
          <w:lang w:eastAsia="zh-CN"/>
        </w:rPr>
        <w:t xml:space="preserve">As part of the Port Management configuration, operations to reserve a combination of port numbers, release a combination of port numbers, query the list of port numbers that are reserved and notification of reservation of a port number may be performed, if the Rds_dynamic_port feature is supported. </w:t>
      </w:r>
    </w:p>
    <w:p w:rsidR="00CB0DD7" w:rsidRPr="000A0A5F" w:rsidRDefault="00CB0DD7">
      <w:pPr>
        <w:rPr>
          <w:rFonts w:hint="eastAsia"/>
          <w:lang w:eastAsia="zh-CN"/>
        </w:rPr>
      </w:pPr>
      <w:r w:rsidRPr="000A0A5F">
        <w:rPr>
          <w:lang w:eastAsia="zh-CN"/>
        </w:rPr>
        <w:t xml:space="preserve">Indication of the supported </w:t>
      </w:r>
      <w:r w:rsidR="001476A9" w:rsidRPr="000A0A5F">
        <w:rPr>
          <w:lang w:eastAsia="zh-CN"/>
        </w:rPr>
        <w:t>serialization</w:t>
      </w:r>
      <w:r w:rsidRPr="000A0A5F">
        <w:rPr>
          <w:lang w:eastAsia="zh-CN"/>
        </w:rPr>
        <w:t xml:space="preserve"> formats by the SCS/AS, query of the supported and configured </w:t>
      </w:r>
      <w:r w:rsidR="001476A9" w:rsidRPr="000A0A5F">
        <w:rPr>
          <w:lang w:eastAsia="zh-CN"/>
        </w:rPr>
        <w:t>serialization</w:t>
      </w:r>
      <w:r w:rsidRPr="000A0A5F">
        <w:rPr>
          <w:lang w:eastAsia="zh-CN"/>
        </w:rPr>
        <w:t xml:space="preserve"> formats by the SCS/AS, and notification of the supported and configured </w:t>
      </w:r>
      <w:r w:rsidR="001476A9" w:rsidRPr="000A0A5F">
        <w:rPr>
          <w:lang w:eastAsia="zh-CN"/>
        </w:rPr>
        <w:t>serialization</w:t>
      </w:r>
      <w:r w:rsidRPr="000A0A5F">
        <w:rPr>
          <w:lang w:eastAsia="zh-CN"/>
        </w:rPr>
        <w:t xml:space="preserve"> formats by the SCS/AS may be performed if the </w:t>
      </w:r>
      <w:bookmarkStart w:id="547" w:name="_Hlk55450020"/>
      <w:r w:rsidRPr="000A0A5F">
        <w:rPr>
          <w:lang w:eastAsia="zh-CN"/>
        </w:rPr>
        <w:t xml:space="preserve">Rds_serialization_format </w:t>
      </w:r>
      <w:bookmarkEnd w:id="547"/>
      <w:r w:rsidRPr="000A0A5F">
        <w:rPr>
          <w:lang w:eastAsia="zh-CN"/>
        </w:rPr>
        <w:t xml:space="preserve">feature is supported. </w:t>
      </w:r>
    </w:p>
    <w:p w:rsidR="00CB0DD7" w:rsidRPr="000A0A5F" w:rsidRDefault="00CB0DD7">
      <w:r w:rsidRPr="000A0A5F">
        <w:t>If the SCS/AS needs to reserve port numbers and associate them with an application</w:t>
      </w:r>
      <w:r w:rsidRPr="000A0A5F">
        <w:rPr>
          <w:rFonts w:hint="eastAsia"/>
          <w:lang w:eastAsia="zh-CN"/>
        </w:rPr>
        <w:t xml:space="preserve">, the SCS/AS shall send an HTTP PUT message to </w:t>
      </w:r>
      <w:r w:rsidRPr="000A0A5F">
        <w:rPr>
          <w:lang w:eastAsia="zh-CN"/>
        </w:rPr>
        <w:t>the</w:t>
      </w:r>
      <w:r w:rsidRPr="000A0A5F">
        <w:rPr>
          <w:rFonts w:hint="eastAsia"/>
          <w:lang w:eastAsia="zh-CN"/>
        </w:rPr>
        <w:t xml:space="preserve"> SCEF</w:t>
      </w:r>
      <w:r w:rsidRPr="000A0A5F">
        <w:rPr>
          <w:lang w:eastAsia="zh-CN"/>
        </w:rPr>
        <w:t xml:space="preserve">, using the URI received in the response to the request that has created the NIDD configuration resource and the specific part of </w:t>
      </w:r>
      <w:r w:rsidRPr="000A0A5F">
        <w:t>"</w:t>
      </w:r>
      <w:r w:rsidRPr="000A0A5F">
        <w:rPr>
          <w:lang w:eastAsia="zh-CN"/>
        </w:rPr>
        <w:t>/rds-ports/{portId}</w:t>
      </w:r>
      <w:r w:rsidRPr="000A0A5F">
        <w:t>" as described in clause 5.6.3.9.2</w:t>
      </w:r>
      <w:r w:rsidRPr="000A0A5F">
        <w:rPr>
          <w:lang w:eastAsia="zh-CN"/>
        </w:rPr>
        <w:t xml:space="preserve">. The SCS/AS may use this operation to reserve port numbers on the UE and SCEF and associate them with an application. The SCS/AS may also use this operation to indicate the serialization formats that are supported by the SCS/AS on the port. Upon receipt of the HTTP PUT request from the SCS/AS, </w:t>
      </w:r>
    </w:p>
    <w:p w:rsidR="00CB0DD7" w:rsidRPr="000A0A5F" w:rsidRDefault="00CB0DD7">
      <w:pPr>
        <w:pStyle w:val="B10"/>
      </w:pPr>
      <w:r w:rsidRPr="000A0A5F">
        <w:rPr>
          <w:lang w:eastAsia="zh-CN"/>
        </w:rPr>
        <w:t>-</w:t>
      </w:r>
      <w:r w:rsidRPr="000A0A5F">
        <w:rPr>
          <w:lang w:eastAsia="zh-CN"/>
        </w:rPr>
        <w:tab/>
        <w:t xml:space="preserve">if the </w:t>
      </w:r>
      <w:r w:rsidRPr="000A0A5F">
        <w:t>"skipUeInquiry" is set to "false" and i</w:t>
      </w:r>
      <w:r w:rsidRPr="000A0A5F">
        <w:rPr>
          <w:lang w:eastAsia="zh-CN"/>
        </w:rPr>
        <w:t xml:space="preserve">f the </w:t>
      </w:r>
      <w:r w:rsidRPr="000A0A5F">
        <w:t>"</w:t>
      </w:r>
      <w:r w:rsidRPr="000A0A5F">
        <w:rPr>
          <w:lang w:eastAsia="zh-CN"/>
        </w:rPr>
        <w:t>individual ManagePort Configuration</w:t>
      </w:r>
      <w:r w:rsidRPr="000A0A5F">
        <w:t>"</w:t>
      </w:r>
      <w:r w:rsidRPr="000A0A5F">
        <w:rPr>
          <w:lang w:eastAsia="zh-CN"/>
        </w:rPr>
        <w:t xml:space="preserve"> resource already exists in the same NIDD configuration</w:t>
      </w:r>
      <w:r w:rsidRPr="000A0A5F">
        <w:t>,</w:t>
      </w:r>
      <w:r w:rsidRPr="000A0A5F">
        <w:rPr>
          <w:lang w:eastAsia="zh-CN"/>
        </w:rPr>
        <w:t xml:space="preserve"> the SCEF shall respond with </w:t>
      </w:r>
      <w:r w:rsidR="001476A9" w:rsidRPr="000A0A5F">
        <w:rPr>
          <w:lang w:eastAsia="zh-CN"/>
        </w:rPr>
        <w:t xml:space="preserve">a </w:t>
      </w:r>
      <w:r w:rsidRPr="000A0A5F">
        <w:rPr>
          <w:lang w:eastAsia="zh-CN"/>
        </w:rPr>
        <w:t xml:space="preserve">403 Forbidden response </w:t>
      </w:r>
      <w:r w:rsidRPr="000A0A5F">
        <w:t xml:space="preserve">with a cause value "PORT_NOT_FREE" in the "cause" attribute of the "ProblemDetails" </w:t>
      </w:r>
      <w:r w:rsidR="001476A9" w:rsidRPr="000A0A5F">
        <w:t xml:space="preserve">data </w:t>
      </w:r>
      <w:r w:rsidRPr="000A0A5F">
        <w:t xml:space="preserve">structure; otherwise, </w:t>
      </w:r>
      <w:r w:rsidRPr="000A0A5F">
        <w:rPr>
          <w:lang w:eastAsia="zh-CN"/>
        </w:rPr>
        <w:t xml:space="preserve">the SCEF shall </w:t>
      </w:r>
      <w:r w:rsidRPr="000A0A5F">
        <w:t>interact with the UE via the SGSN/MME to reserve the port and optionally configure the serialization format by using RDS protocol as specified in 3GPP TS 24.250 [31]</w:t>
      </w:r>
      <w:r w:rsidRPr="000A0A5F">
        <w:rPr>
          <w:lang w:eastAsia="zh-CN"/>
        </w:rPr>
        <w:t xml:space="preserve"> and return </w:t>
      </w:r>
      <w:r w:rsidR="001476A9" w:rsidRPr="000A0A5F">
        <w:rPr>
          <w:lang w:eastAsia="zh-CN"/>
        </w:rPr>
        <w:t xml:space="preserve">a </w:t>
      </w:r>
      <w:r w:rsidRPr="000A0A5F">
        <w:rPr>
          <w:lang w:eastAsia="zh-CN"/>
        </w:rPr>
        <w:t xml:space="preserve">202 Accept </w:t>
      </w:r>
      <w:r w:rsidR="001476A9" w:rsidRPr="000A0A5F">
        <w:rPr>
          <w:lang w:eastAsia="zh-CN"/>
        </w:rPr>
        <w:t xml:space="preserve">response </w:t>
      </w:r>
      <w:r w:rsidRPr="000A0A5F">
        <w:rPr>
          <w:lang w:eastAsia="zh-CN"/>
        </w:rPr>
        <w:t>to the SCS/AS if successful response is received from the SGSN/MME</w:t>
      </w:r>
      <w:r w:rsidRPr="000A0A5F">
        <w:t>. Then if the SCEF receives successful UE response, the SCEF shall create the "individual ManagePort Configuration" resource and notify the SCS/AS with the reserved port and configured serialization format as specified in clause 4.4.5.6.2, the SCEF shall also mark the resource is created by the SCS/AS; otherwise, the SCEF shall notify the SCS/AS about the currently reserved ports as specified in clause 4.4.5.6.2.</w:t>
      </w:r>
    </w:p>
    <w:p w:rsidR="00CB0DD7" w:rsidRPr="000A0A5F" w:rsidRDefault="00CB0DD7">
      <w:pPr>
        <w:pStyle w:val="B10"/>
      </w:pPr>
      <w:r w:rsidRPr="000A0A5F">
        <w:rPr>
          <w:lang w:eastAsia="zh-CN"/>
        </w:rPr>
        <w:t>-</w:t>
      </w:r>
      <w:r w:rsidRPr="000A0A5F">
        <w:rPr>
          <w:lang w:eastAsia="zh-CN"/>
        </w:rPr>
        <w:tab/>
        <w:t xml:space="preserve">if the </w:t>
      </w:r>
      <w:r w:rsidRPr="000A0A5F">
        <w:t xml:space="preserve">"skipUeInquiry" is set to "true" and </w:t>
      </w:r>
      <w:r w:rsidRPr="000A0A5F">
        <w:rPr>
          <w:lang w:eastAsia="zh-CN"/>
        </w:rPr>
        <w:t xml:space="preserve">if </w:t>
      </w:r>
      <w:r w:rsidRPr="000A0A5F">
        <w:t xml:space="preserve">the </w:t>
      </w:r>
      <w:r w:rsidRPr="000A0A5F">
        <w:rPr>
          <w:lang w:eastAsia="zh-CN"/>
        </w:rPr>
        <w:t xml:space="preserve">requested </w:t>
      </w:r>
      <w:r w:rsidRPr="000A0A5F">
        <w:t xml:space="preserve">SCEF port </w:t>
      </w:r>
      <w:r w:rsidRPr="000A0A5F">
        <w:rPr>
          <w:lang w:eastAsia="zh-CN"/>
        </w:rPr>
        <w:t xml:space="preserve">already exists in an NIDD configuration within the same APN, the SCEF shall respond with </w:t>
      </w:r>
      <w:r w:rsidR="001476A9" w:rsidRPr="000A0A5F">
        <w:rPr>
          <w:lang w:eastAsia="zh-CN"/>
        </w:rPr>
        <w:t xml:space="preserve">a </w:t>
      </w:r>
      <w:r w:rsidRPr="000A0A5F">
        <w:rPr>
          <w:lang w:eastAsia="zh-CN"/>
        </w:rPr>
        <w:t xml:space="preserve">403 Forbidden response </w:t>
      </w:r>
      <w:r w:rsidRPr="000A0A5F">
        <w:t xml:space="preserve">with a cause value "PORT_NOT_FREE" in the "cause" attribute of the "ProblemDetails" </w:t>
      </w:r>
      <w:r w:rsidR="001476A9" w:rsidRPr="000A0A5F">
        <w:t xml:space="preserve">data </w:t>
      </w:r>
      <w:r w:rsidRPr="000A0A5F">
        <w:t>structure; otherwise, the SCEF shall create the "individual ManagePort Configuration" resource and send an HTTP 201 Created response to the SCS/AS, the SCEF shall also mark the resource is created by the SCS/AS and notify the UE by using RDS protocol as specified in 3GPP TS 24.250 [31].</w:t>
      </w:r>
    </w:p>
    <w:p w:rsidR="001476A9" w:rsidRPr="000A0A5F" w:rsidRDefault="001476A9">
      <w:r w:rsidRPr="000A0A5F">
        <w:rPr>
          <w:lang w:eastAsia="zh-CN"/>
        </w:rPr>
        <w:t xml:space="preserve">If </w:t>
      </w:r>
      <w:r w:rsidRPr="000A0A5F">
        <w:t>the SCEF is not able to configure a serialization format for the port</w:t>
      </w:r>
      <w:r w:rsidRPr="000A0A5F">
        <w:rPr>
          <w:lang w:eastAsia="zh-CN"/>
        </w:rPr>
        <w:t xml:space="preserve"> and if the Rds_serialization_format feature is supported, the SCEF shall respond with a 500 Internal Server Error response </w:t>
      </w:r>
      <w:r w:rsidRPr="000A0A5F">
        <w:t>with a cause value "SERIALIZATION_FORMAT_NOT_SUPPORTED" in the "cause" attribute of the "ProblemDetails" data structure</w:t>
      </w:r>
      <w:r w:rsidRPr="000A0A5F">
        <w:rPr>
          <w:lang w:eastAsia="zh-CN"/>
        </w:rPr>
        <w:t>.</w:t>
      </w:r>
    </w:p>
    <w:p w:rsidR="00CB0DD7" w:rsidRPr="000A0A5F" w:rsidRDefault="00CB0DD7">
      <w:pPr>
        <w:rPr>
          <w:lang w:eastAsia="zh-CN"/>
        </w:rPr>
      </w:pPr>
      <w:r w:rsidRPr="000A0A5F">
        <w:t>If the SCS/AS needs to release port numbers associated with an application</w:t>
      </w:r>
      <w:r w:rsidRPr="000A0A5F">
        <w:rPr>
          <w:rFonts w:hint="eastAsia"/>
          <w:lang w:eastAsia="zh-CN"/>
        </w:rPr>
        <w:t xml:space="preserve">, the SCS/AS shall send an HTTP </w:t>
      </w:r>
      <w:r w:rsidRPr="000A0A5F">
        <w:rPr>
          <w:lang w:eastAsia="zh-CN"/>
        </w:rPr>
        <w:t>DELETE</w:t>
      </w:r>
      <w:r w:rsidRPr="000A0A5F">
        <w:rPr>
          <w:rFonts w:hint="eastAsia"/>
          <w:lang w:eastAsia="zh-CN"/>
        </w:rPr>
        <w:t xml:space="preserve"> message to </w:t>
      </w:r>
      <w:r w:rsidRPr="000A0A5F">
        <w:rPr>
          <w:lang w:eastAsia="zh-CN"/>
        </w:rPr>
        <w:t>the</w:t>
      </w:r>
      <w:r w:rsidRPr="000A0A5F">
        <w:rPr>
          <w:rFonts w:hint="eastAsia"/>
          <w:lang w:eastAsia="zh-CN"/>
        </w:rPr>
        <w:t xml:space="preserve"> SCEF</w:t>
      </w:r>
      <w:r w:rsidRPr="000A0A5F">
        <w:rPr>
          <w:lang w:eastAsia="zh-CN"/>
        </w:rPr>
        <w:t xml:space="preserve">, using the URI received in the response to the request that has created the </w:t>
      </w:r>
      <w:r w:rsidRPr="000A0A5F">
        <w:t>"</w:t>
      </w:r>
      <w:r w:rsidRPr="000A0A5F">
        <w:rPr>
          <w:lang w:eastAsia="zh-CN"/>
        </w:rPr>
        <w:t>individual ManagePort  Configuration</w:t>
      </w:r>
      <w:r w:rsidRPr="000A0A5F">
        <w:t>"</w:t>
      </w:r>
      <w:r w:rsidRPr="000A0A5F">
        <w:rPr>
          <w:lang w:eastAsia="zh-CN"/>
        </w:rPr>
        <w:t xml:space="preserve"> resource. Upon receipt of the HTTP DELETE request from the SCS/AS, </w:t>
      </w:r>
      <w:r w:rsidRPr="000A0A5F">
        <w:t>if the "</w:t>
      </w:r>
      <w:r w:rsidRPr="000A0A5F">
        <w:rPr>
          <w:lang w:eastAsia="zh-CN"/>
        </w:rPr>
        <w:t>individual ManagePort Configuration</w:t>
      </w:r>
      <w:r w:rsidRPr="000A0A5F">
        <w:t>"</w:t>
      </w:r>
      <w:r w:rsidRPr="000A0A5F">
        <w:rPr>
          <w:lang w:eastAsia="zh-CN"/>
        </w:rPr>
        <w:t xml:space="preserve"> resource does not exist in the same NIDD configuration, the SCEF shall respond with </w:t>
      </w:r>
      <w:r w:rsidR="00527CCF" w:rsidRPr="000A0A5F">
        <w:rPr>
          <w:lang w:eastAsia="zh-CN"/>
        </w:rPr>
        <w:t xml:space="preserve">a </w:t>
      </w:r>
      <w:r w:rsidRPr="000A0A5F">
        <w:rPr>
          <w:lang w:eastAsia="zh-CN"/>
        </w:rPr>
        <w:t>404 Not Found</w:t>
      </w:r>
      <w:r w:rsidR="00527CCF" w:rsidRPr="000A0A5F">
        <w:rPr>
          <w:lang w:eastAsia="zh-CN"/>
        </w:rPr>
        <w:t xml:space="preserve"> response</w:t>
      </w:r>
      <w:r w:rsidRPr="000A0A5F">
        <w:t xml:space="preserve"> with a cause value "PORT_NOT_ASSOC_WITH_APP" in the "cause" attribute of the "ProblemDetails" </w:t>
      </w:r>
      <w:r w:rsidR="00527CCF" w:rsidRPr="000A0A5F">
        <w:t xml:space="preserve">data </w:t>
      </w:r>
      <w:r w:rsidRPr="000A0A5F">
        <w:t>structure</w:t>
      </w:r>
      <w:r w:rsidRPr="000A0A5F">
        <w:rPr>
          <w:lang w:eastAsia="zh-CN"/>
        </w:rPr>
        <w:t xml:space="preserve">; otherwise if the </w:t>
      </w:r>
      <w:r w:rsidRPr="000A0A5F">
        <w:t>"</w:t>
      </w:r>
      <w:r w:rsidRPr="000A0A5F">
        <w:rPr>
          <w:lang w:eastAsia="zh-CN"/>
        </w:rPr>
        <w:t>individual ManagePort Configuration</w:t>
      </w:r>
      <w:r w:rsidRPr="000A0A5F">
        <w:t>"</w:t>
      </w:r>
      <w:r w:rsidRPr="000A0A5F">
        <w:rPr>
          <w:lang w:eastAsia="zh-CN"/>
        </w:rPr>
        <w:t xml:space="preserve"> resource was created by the SCS/AS and </w:t>
      </w:r>
    </w:p>
    <w:p w:rsidR="00CB0DD7" w:rsidRPr="000A0A5F" w:rsidRDefault="00CB0DD7">
      <w:pPr>
        <w:pStyle w:val="B10"/>
        <w:rPr>
          <w:lang w:eastAsia="zh-CN"/>
        </w:rPr>
      </w:pPr>
      <w:r w:rsidRPr="000A0A5F">
        <w:rPr>
          <w:lang w:eastAsia="zh-CN"/>
        </w:rPr>
        <w:t>-</w:t>
      </w:r>
      <w:r w:rsidRPr="000A0A5F">
        <w:rPr>
          <w:lang w:eastAsia="zh-CN"/>
        </w:rPr>
        <w:tab/>
        <w:t xml:space="preserve">if the </w:t>
      </w:r>
      <w:r w:rsidRPr="000A0A5F">
        <w:t>"skipUeInquiry" is set to "false"</w:t>
      </w:r>
      <w:r w:rsidRPr="000A0A5F">
        <w:rPr>
          <w:lang w:eastAsia="zh-CN"/>
        </w:rPr>
        <w:t xml:space="preserve">, the SCEF shall </w:t>
      </w:r>
      <w:r w:rsidRPr="000A0A5F">
        <w:t xml:space="preserve">interact with the UE via the SGSN/MME to release the port by using RDS protocol as specified in 3GPP TS 24.250 [31] and </w:t>
      </w:r>
      <w:r w:rsidRPr="000A0A5F">
        <w:rPr>
          <w:lang w:eastAsia="zh-CN"/>
        </w:rPr>
        <w:t>return 202 Accept to the SCS/AS if successful response is received from the SGSN/MME</w:t>
      </w:r>
      <w:r w:rsidRPr="000A0A5F">
        <w:t>. Then upon receipt of the UE response, the SCEF shall notify the SCS/AS with the currently reserved ports as specified in clause 4.4.5.6.2</w:t>
      </w:r>
      <w:r w:rsidRPr="000A0A5F">
        <w:rPr>
          <w:lang w:eastAsia="zh-CN"/>
        </w:rPr>
        <w:t>.</w:t>
      </w:r>
    </w:p>
    <w:p w:rsidR="00CB0DD7" w:rsidRPr="000A0A5F" w:rsidRDefault="00CB0DD7">
      <w:pPr>
        <w:pStyle w:val="B10"/>
        <w:rPr>
          <w:lang w:eastAsia="zh-CN"/>
        </w:rPr>
      </w:pPr>
      <w:r w:rsidRPr="000A0A5F">
        <w:rPr>
          <w:lang w:eastAsia="zh-CN"/>
        </w:rPr>
        <w:t>-</w:t>
      </w:r>
      <w:r w:rsidRPr="000A0A5F">
        <w:rPr>
          <w:lang w:eastAsia="zh-CN"/>
        </w:rPr>
        <w:tab/>
        <w:t xml:space="preserve">if the </w:t>
      </w:r>
      <w:r w:rsidRPr="000A0A5F">
        <w:t xml:space="preserve">"skipUeInquiry" is set to "true", </w:t>
      </w:r>
      <w:r w:rsidRPr="000A0A5F">
        <w:rPr>
          <w:lang w:eastAsia="zh-CN"/>
        </w:rPr>
        <w:t xml:space="preserve">the SCEF shall </w:t>
      </w:r>
      <w:r w:rsidRPr="000A0A5F">
        <w:t>delete the individual ManagePort Configuration resource</w:t>
      </w:r>
      <w:r w:rsidRPr="000A0A5F">
        <w:rPr>
          <w:lang w:eastAsia="zh-CN"/>
        </w:rPr>
        <w:t xml:space="preserve"> and respond with an HTTP 204 No Content response to the SCS/AS. </w:t>
      </w:r>
      <w:r w:rsidRPr="000A0A5F">
        <w:t xml:space="preserve">The SCEF shall also notify the UE by using RDS protocol as specified in 3GPP TS 24.250 [31]. </w:t>
      </w:r>
    </w:p>
    <w:p w:rsidR="00CB0DD7" w:rsidRPr="000A0A5F" w:rsidRDefault="00CB0DD7">
      <w:r w:rsidRPr="000A0A5F">
        <w:rPr>
          <w:rFonts w:cs="Arial"/>
        </w:rPr>
        <w:t xml:space="preserve">If the HTTP DELETE request is received for the </w:t>
      </w:r>
      <w:r w:rsidRPr="000A0A5F">
        <w:t>"Individual ManagePort Configuration"</w:t>
      </w:r>
      <w:r w:rsidRPr="000A0A5F">
        <w:rPr>
          <w:lang w:eastAsia="zh-CN"/>
        </w:rPr>
        <w:t xml:space="preserve"> resource which was created by the UE, the SCEF shall reject the message with </w:t>
      </w:r>
      <w:r w:rsidR="00527CCF" w:rsidRPr="000A0A5F">
        <w:rPr>
          <w:lang w:eastAsia="zh-CN"/>
        </w:rPr>
        <w:t xml:space="preserve">a </w:t>
      </w:r>
      <w:r w:rsidRPr="000A0A5F">
        <w:rPr>
          <w:lang w:eastAsia="zh-CN"/>
        </w:rPr>
        <w:t xml:space="preserve">403 Forbidden response </w:t>
      </w:r>
      <w:r w:rsidRPr="000A0A5F">
        <w:t xml:space="preserve">with a cause value "OPERATION_PROHIBITED" in the "cause" attribute of the "ProblemDetails" </w:t>
      </w:r>
      <w:r w:rsidR="00527CCF" w:rsidRPr="000A0A5F">
        <w:t xml:space="preserve">data </w:t>
      </w:r>
      <w:r w:rsidRPr="000A0A5F">
        <w:t>structure</w:t>
      </w:r>
      <w:r w:rsidRPr="000A0A5F">
        <w:rPr>
          <w:lang w:eastAsia="zh-CN"/>
        </w:rPr>
        <w:t>.</w:t>
      </w:r>
    </w:p>
    <w:p w:rsidR="00CB0DD7" w:rsidRPr="000A0A5F" w:rsidRDefault="00CB0DD7">
      <w:pPr>
        <w:rPr>
          <w:lang w:eastAsia="zh-CN"/>
        </w:rPr>
      </w:pPr>
      <w:r w:rsidRPr="000A0A5F">
        <w:rPr>
          <w:lang w:eastAsia="zh-CN"/>
        </w:rPr>
        <w:t xml:space="preserve">If the </w:t>
      </w:r>
      <w:r w:rsidRPr="000A0A5F">
        <w:t xml:space="preserve">"skipUeInquiry" is set to "false" and </w:t>
      </w:r>
      <w:r w:rsidRPr="000A0A5F">
        <w:rPr>
          <w:lang w:eastAsia="zh-CN"/>
        </w:rPr>
        <w:t>the SCEF is not able to interact with the UE because:</w:t>
      </w:r>
    </w:p>
    <w:p w:rsidR="00CB0DD7" w:rsidRPr="000A0A5F" w:rsidRDefault="00CB0DD7">
      <w:pPr>
        <w:pStyle w:val="B10"/>
        <w:rPr>
          <w:rFonts w:hint="eastAsia"/>
        </w:rPr>
      </w:pPr>
      <w:r w:rsidRPr="000A0A5F">
        <w:rPr>
          <w:lang w:eastAsia="zh-CN"/>
        </w:rPr>
        <w:t>-</w:t>
      </w:r>
      <w:r w:rsidRPr="000A0A5F">
        <w:rPr>
          <w:lang w:eastAsia="zh-CN"/>
        </w:rPr>
        <w:tab/>
        <w:t xml:space="preserve">PDN connection is not established, the SCEF shall reject the HTTP PUT/DELETE request with a </w:t>
      </w:r>
      <w:r w:rsidRPr="000A0A5F">
        <w:rPr>
          <w:lang w:val="en-US" w:eastAsia="zh-CN"/>
        </w:rPr>
        <w:t>500 Internal Server Error</w:t>
      </w:r>
      <w:r w:rsidRPr="000A0A5F">
        <w:rPr>
          <w:rFonts w:hint="eastAsia"/>
          <w:lang w:val="en-US" w:eastAsia="zh-CN"/>
        </w:rPr>
        <w:t xml:space="preserve"> </w:t>
      </w:r>
      <w:r w:rsidRPr="000A0A5F">
        <w:rPr>
          <w:lang w:val="en-US" w:eastAsia="zh-CN"/>
        </w:rPr>
        <w:t xml:space="preserve">response with a cause value </w:t>
      </w:r>
      <w:r w:rsidRPr="000A0A5F">
        <w:t>"NO_PDN_CONNECTION";</w:t>
      </w:r>
    </w:p>
    <w:p w:rsidR="00CB0DD7" w:rsidRPr="000A0A5F" w:rsidRDefault="00CB0DD7">
      <w:pPr>
        <w:pStyle w:val="B10"/>
      </w:pPr>
      <w:r w:rsidRPr="000A0A5F">
        <w:t>-</w:t>
      </w:r>
      <w:r w:rsidRPr="000A0A5F">
        <w:tab/>
      </w:r>
      <w:r w:rsidRPr="000A0A5F">
        <w:rPr>
          <w:lang w:eastAsia="zh-CN"/>
        </w:rPr>
        <w:t xml:space="preserve">UE is not reachable, the SCEF shall reject the HTTP PUT/DELETE request with a </w:t>
      </w:r>
      <w:r w:rsidRPr="000A0A5F">
        <w:rPr>
          <w:lang w:val="en-US" w:eastAsia="zh-CN"/>
        </w:rPr>
        <w:t>500 Internal Server Error</w:t>
      </w:r>
      <w:r w:rsidRPr="000A0A5F">
        <w:rPr>
          <w:rFonts w:hint="eastAsia"/>
          <w:lang w:val="en-US" w:eastAsia="zh-CN"/>
        </w:rPr>
        <w:t xml:space="preserve"> </w:t>
      </w:r>
      <w:r w:rsidRPr="000A0A5F">
        <w:rPr>
          <w:lang w:val="en-US" w:eastAsia="zh-CN"/>
        </w:rPr>
        <w:t xml:space="preserve">response with a cause value </w:t>
      </w:r>
      <w:r w:rsidRPr="000A0A5F">
        <w:t>"TEMPORARILY_NOT_REACHABLE"</w:t>
      </w:r>
      <w:r w:rsidRPr="000A0A5F">
        <w:rPr>
          <w:lang w:val="en-US" w:eastAsia="zh-CN"/>
        </w:rPr>
        <w:t>. The response may</w:t>
      </w:r>
      <w:r w:rsidRPr="000A0A5F">
        <w:t xml:space="preserve"> include a Requested Re-Transmission time to indicate the SCS/AS when the UE is expected to be reachable so that the SCS/AS may prepare any re-configuration for the RDS port; or</w:t>
      </w:r>
    </w:p>
    <w:p w:rsidR="00CB0DD7" w:rsidRPr="000A0A5F" w:rsidRDefault="00CB0DD7">
      <w:pPr>
        <w:pStyle w:val="B10"/>
      </w:pPr>
      <w:r w:rsidRPr="000A0A5F">
        <w:rPr>
          <w:lang w:eastAsia="zh-CN"/>
        </w:rPr>
        <w:t>-</w:t>
      </w:r>
      <w:r w:rsidRPr="000A0A5F">
        <w:rPr>
          <w:lang w:eastAsia="zh-CN"/>
        </w:rPr>
        <w:tab/>
        <w:t xml:space="preserve">the interaction with the SGSN/MME is not successful, the SCEF shall reject the HTTP PUT/DELETE request with a </w:t>
      </w:r>
      <w:r w:rsidRPr="000A0A5F">
        <w:rPr>
          <w:lang w:val="en-US" w:eastAsia="zh-CN"/>
        </w:rPr>
        <w:t xml:space="preserve">500 Internal Server Error </w:t>
      </w:r>
      <w:r w:rsidRPr="000A0A5F">
        <w:rPr>
          <w:lang w:eastAsia="zh-CN"/>
        </w:rPr>
        <w:t>and a proper cause value indicating the reason</w:t>
      </w:r>
      <w:r w:rsidRPr="000A0A5F">
        <w:rPr>
          <w:rFonts w:hint="eastAsia"/>
          <w:lang w:eastAsia="zh-CN"/>
        </w:rPr>
        <w:t xml:space="preserve"> for the delivery failure</w:t>
      </w:r>
      <w:r w:rsidRPr="000A0A5F">
        <w:t>.</w:t>
      </w:r>
    </w:p>
    <w:p w:rsidR="00CB0DD7" w:rsidRPr="000A0A5F" w:rsidRDefault="00CB0DD7">
      <w:pPr>
        <w:rPr>
          <w:lang w:eastAsia="zh-CN"/>
        </w:rPr>
      </w:pPr>
      <w:r w:rsidRPr="000A0A5F">
        <w:t xml:space="preserve">If the SCS/AS needs to read the port numbers and serialization formats that are </w:t>
      </w:r>
      <w:r w:rsidR="00527CCF" w:rsidRPr="000A0A5F">
        <w:t>associated</w:t>
      </w:r>
      <w:r w:rsidRPr="000A0A5F">
        <w:t xml:space="preserve"> with an application</w:t>
      </w:r>
      <w:r w:rsidRPr="000A0A5F">
        <w:rPr>
          <w:lang w:eastAsia="zh-CN"/>
        </w:rPr>
        <w:t xml:space="preserve">, the SCS/AS shall send an HTTP GET message to the SCEF, using the URI received in the response to the request that has created the NIDD configuration resource and the specific part of </w:t>
      </w:r>
      <w:r w:rsidRPr="000A0A5F">
        <w:t>"</w:t>
      </w:r>
      <w:r w:rsidRPr="000A0A5F">
        <w:rPr>
          <w:lang w:eastAsia="zh-CN"/>
        </w:rPr>
        <w:t>/rds-ports/{portId}</w:t>
      </w:r>
      <w:r w:rsidRPr="000A0A5F">
        <w:t>" as described in clause 5.6.3.9.2</w:t>
      </w:r>
      <w:r w:rsidRPr="000A0A5F">
        <w:rPr>
          <w:lang w:eastAsia="zh-CN"/>
        </w:rPr>
        <w:t>.</w:t>
      </w:r>
    </w:p>
    <w:p w:rsidR="00CB0DD7" w:rsidRPr="000A0A5F" w:rsidRDefault="00CB0DD7">
      <w:pPr>
        <w:pStyle w:val="Heading5"/>
        <w:rPr>
          <w:rFonts w:hint="eastAsia"/>
          <w:lang w:eastAsia="zh-CN"/>
        </w:rPr>
      </w:pPr>
      <w:bookmarkStart w:id="548" w:name="_Toc45131506"/>
      <w:bookmarkStart w:id="549" w:name="_Toc49775791"/>
      <w:bookmarkStart w:id="550" w:name="_Toc51746711"/>
      <w:bookmarkStart w:id="551" w:name="_Toc66360253"/>
      <w:bookmarkStart w:id="552" w:name="_Toc68104758"/>
      <w:bookmarkStart w:id="553" w:name="_Toc74755387"/>
      <w:bookmarkStart w:id="554" w:name="_Toc105674242"/>
      <w:bookmarkStart w:id="555" w:name="_Toc130502275"/>
      <w:bookmarkStart w:id="556" w:name="_Toc153625054"/>
      <w:r w:rsidRPr="000A0A5F">
        <w:rPr>
          <w:lang w:eastAsia="zh-CN"/>
        </w:rPr>
        <w:t>4.4.5.6.2</w:t>
      </w:r>
      <w:r w:rsidRPr="000A0A5F">
        <w:rPr>
          <w:lang w:eastAsia="zh-CN"/>
        </w:rPr>
        <w:tab/>
        <w:t>Port Notification</w:t>
      </w:r>
      <w:bookmarkEnd w:id="548"/>
      <w:bookmarkEnd w:id="549"/>
      <w:bookmarkEnd w:id="550"/>
      <w:bookmarkEnd w:id="551"/>
      <w:bookmarkEnd w:id="552"/>
      <w:bookmarkEnd w:id="553"/>
      <w:bookmarkEnd w:id="554"/>
      <w:bookmarkEnd w:id="555"/>
      <w:bookmarkEnd w:id="556"/>
    </w:p>
    <w:p w:rsidR="00CB0DD7" w:rsidRPr="000A0A5F" w:rsidRDefault="00CB0DD7">
      <w:pPr>
        <w:rPr>
          <w:rFonts w:hint="eastAsia"/>
        </w:rPr>
      </w:pPr>
      <w:r w:rsidRPr="000A0A5F">
        <w:t xml:space="preserve">If the SCEF needs to </w:t>
      </w:r>
      <w:r w:rsidRPr="000A0A5F">
        <w:rPr>
          <w:rFonts w:hint="eastAsia"/>
          <w:lang w:eastAsia="zh-CN"/>
        </w:rPr>
        <w:t xml:space="preserve">send the </w:t>
      </w:r>
      <w:r w:rsidRPr="000A0A5F">
        <w:rPr>
          <w:lang w:eastAsia="zh-CN"/>
        </w:rPr>
        <w:t>information about reserved ports and their configuration</w:t>
      </w:r>
      <w:r w:rsidRPr="000A0A5F">
        <w:rPr>
          <w:rFonts w:hint="eastAsia"/>
          <w:lang w:eastAsia="zh-CN"/>
        </w:rPr>
        <w:t xml:space="preserve"> to the SCS/AS</w:t>
      </w:r>
      <w:r w:rsidRPr="000A0A5F">
        <w:rPr>
          <w:lang w:eastAsia="zh-CN"/>
        </w:rPr>
        <w:t xml:space="preserve"> (e.g. due to 3GPP network created or released </w:t>
      </w:r>
      <w:r w:rsidRPr="000A0A5F">
        <w:t>"</w:t>
      </w:r>
      <w:r w:rsidRPr="000A0A5F">
        <w:rPr>
          <w:lang w:eastAsia="zh-CN"/>
        </w:rPr>
        <w:t>individual ManagePort Configuration</w:t>
      </w:r>
      <w:r w:rsidRPr="000A0A5F">
        <w:t>"</w:t>
      </w:r>
      <w:r w:rsidRPr="000A0A5F">
        <w:rPr>
          <w:lang w:eastAsia="zh-CN"/>
        </w:rPr>
        <w:t xml:space="preserve"> resource upon UE triggered RDS port management procedures </w:t>
      </w:r>
      <w:r w:rsidRPr="000A0A5F">
        <w:t>as specified in 3GPP TS 24.250 [31]</w:t>
      </w:r>
      <w:r w:rsidRPr="000A0A5F">
        <w:rPr>
          <w:lang w:eastAsia="zh-CN"/>
        </w:rPr>
        <w:t>)</w:t>
      </w:r>
      <w:r w:rsidRPr="000A0A5F">
        <w:t xml:space="preserve">, the </w:t>
      </w:r>
      <w:r w:rsidRPr="000A0A5F">
        <w:rPr>
          <w:rFonts w:hint="eastAsia"/>
          <w:lang w:eastAsia="zh-CN"/>
        </w:rPr>
        <w:t xml:space="preserve">SCEF </w:t>
      </w:r>
      <w:r w:rsidRPr="000A0A5F">
        <w:t xml:space="preserve">shall send an HTTP POST message to the SCS/AS, using the URI received </w:t>
      </w:r>
      <w:r w:rsidRPr="000A0A5F">
        <w:rPr>
          <w:rFonts w:cs="Arial"/>
          <w:szCs w:val="18"/>
          <w:lang w:eastAsia="zh-CN"/>
        </w:rPr>
        <w:t>within the "notificationDestination" attribute in the NiddConfiguration resource. T</w:t>
      </w:r>
      <w:r w:rsidRPr="000A0A5F">
        <w:t>he body of the message is encoded in JSON format</w:t>
      </w:r>
      <w:r w:rsidRPr="000A0A5F">
        <w:rPr>
          <w:rFonts w:hint="eastAsia"/>
          <w:lang w:eastAsia="zh-CN"/>
        </w:rPr>
        <w:t xml:space="preserve"> with the data structure defined in table</w:t>
      </w:r>
      <w:r w:rsidRPr="000A0A5F">
        <w:rPr>
          <w:lang w:val="en-US" w:eastAsia="zh-CN"/>
        </w:rPr>
        <w:t> </w:t>
      </w:r>
      <w:r w:rsidRPr="000A0A5F">
        <w:rPr>
          <w:rFonts w:hint="eastAsia"/>
          <w:lang w:eastAsia="zh-CN"/>
        </w:rPr>
        <w:t>5.6.2.1.</w:t>
      </w:r>
      <w:r w:rsidRPr="000A0A5F">
        <w:rPr>
          <w:lang w:eastAsia="zh-CN"/>
        </w:rPr>
        <w:t>9</w:t>
      </w:r>
      <w:r w:rsidRPr="000A0A5F">
        <w:rPr>
          <w:rFonts w:hint="eastAsia"/>
          <w:lang w:eastAsia="zh-CN"/>
        </w:rPr>
        <w:t>-1</w:t>
      </w:r>
      <w:r w:rsidRPr="000A0A5F">
        <w:rPr>
          <w:lang w:eastAsia="zh-CN"/>
        </w:rPr>
        <w:t xml:space="preserve">. </w:t>
      </w:r>
      <w:r w:rsidRPr="000A0A5F">
        <w:rPr>
          <w:lang w:val="en-US" w:eastAsia="zh-CN"/>
        </w:rPr>
        <w:t xml:space="preserve">The SCS/AS </w:t>
      </w:r>
      <w:r w:rsidRPr="000A0A5F">
        <w:rPr>
          <w:rFonts w:hint="eastAsia"/>
          <w:lang w:val="en-US" w:eastAsia="zh-CN"/>
        </w:rPr>
        <w:t>shall acknowledge the</w:t>
      </w:r>
      <w:r w:rsidRPr="000A0A5F">
        <w:rPr>
          <w:lang w:val="en-US" w:eastAsia="zh-CN"/>
        </w:rPr>
        <w:t xml:space="preserve"> HTTP</w:t>
      </w:r>
      <w:r w:rsidRPr="000A0A5F">
        <w:rPr>
          <w:rFonts w:hint="eastAsia"/>
          <w:lang w:val="en-US" w:eastAsia="zh-CN"/>
        </w:rPr>
        <w:t xml:space="preserve"> </w:t>
      </w:r>
      <w:r w:rsidRPr="000A0A5F">
        <w:rPr>
          <w:lang w:val="en-US" w:eastAsia="zh-CN"/>
        </w:rPr>
        <w:t xml:space="preserve">POST </w:t>
      </w:r>
      <w:r w:rsidRPr="000A0A5F">
        <w:rPr>
          <w:rFonts w:hint="eastAsia"/>
          <w:lang w:val="en-US" w:eastAsia="zh-CN"/>
        </w:rPr>
        <w:t xml:space="preserve">request with </w:t>
      </w:r>
      <w:r w:rsidRPr="000A0A5F">
        <w:rPr>
          <w:lang w:val="en-US" w:eastAsia="zh-CN"/>
        </w:rPr>
        <w:t>an</w:t>
      </w:r>
      <w:r w:rsidRPr="000A0A5F">
        <w:rPr>
          <w:rFonts w:hint="eastAsia"/>
          <w:lang w:val="en-US" w:eastAsia="zh-CN"/>
        </w:rPr>
        <w:t xml:space="preserve"> HTTP</w:t>
      </w:r>
      <w:r w:rsidRPr="000A0A5F">
        <w:rPr>
          <w:lang w:val="en-US" w:eastAsia="zh-CN"/>
        </w:rPr>
        <w:t xml:space="preserve"> 200 OK</w:t>
      </w:r>
      <w:r w:rsidRPr="000A0A5F">
        <w:rPr>
          <w:rFonts w:hint="eastAsia"/>
          <w:lang w:val="en-US" w:eastAsia="zh-CN"/>
        </w:rPr>
        <w:t xml:space="preserve"> </w:t>
      </w:r>
      <w:r w:rsidRPr="000A0A5F">
        <w:rPr>
          <w:lang w:val="en-US" w:eastAsia="zh-CN"/>
        </w:rPr>
        <w:t xml:space="preserve">or 204 No Content </w:t>
      </w:r>
      <w:r w:rsidRPr="000A0A5F">
        <w:rPr>
          <w:rFonts w:hint="eastAsia"/>
          <w:lang w:val="en-US" w:eastAsia="zh-CN"/>
        </w:rPr>
        <w:t>response</w:t>
      </w:r>
      <w:r w:rsidRPr="000A0A5F">
        <w:rPr>
          <w:lang w:val="en-US" w:eastAsia="zh-CN"/>
        </w:rPr>
        <w:t>.</w:t>
      </w:r>
    </w:p>
    <w:p w:rsidR="00CB0DD7" w:rsidRPr="000A0A5F" w:rsidRDefault="00CB0DD7">
      <w:pPr>
        <w:pStyle w:val="Heading3"/>
        <w:rPr>
          <w:lang w:eastAsia="zh-CN"/>
        </w:rPr>
      </w:pPr>
      <w:bookmarkStart w:id="557" w:name="_Toc11247215"/>
      <w:bookmarkStart w:id="558" w:name="_Toc27044333"/>
      <w:bookmarkStart w:id="559" w:name="_Toc36033375"/>
      <w:bookmarkStart w:id="560" w:name="_Toc45131507"/>
      <w:bookmarkStart w:id="561" w:name="_Toc49775792"/>
      <w:bookmarkStart w:id="562" w:name="_Toc51746712"/>
      <w:bookmarkStart w:id="563" w:name="_Toc66360254"/>
      <w:bookmarkStart w:id="564" w:name="_Toc68104759"/>
      <w:bookmarkStart w:id="565" w:name="_Toc74755388"/>
      <w:bookmarkStart w:id="566" w:name="_Toc105674243"/>
      <w:bookmarkStart w:id="567" w:name="_Toc130502276"/>
      <w:bookmarkStart w:id="568" w:name="_Toc153625055"/>
      <w:r w:rsidRPr="000A0A5F">
        <w:t>4.</w:t>
      </w:r>
      <w:r w:rsidRPr="000A0A5F">
        <w:rPr>
          <w:lang w:eastAsia="zh-CN"/>
        </w:rPr>
        <w:t>4</w:t>
      </w:r>
      <w:r w:rsidRPr="000A0A5F">
        <w:t>.6</w:t>
      </w:r>
      <w:r w:rsidRPr="000A0A5F">
        <w:tab/>
      </w:r>
      <w:r w:rsidRPr="000A0A5F">
        <w:rPr>
          <w:rFonts w:hint="eastAsia"/>
          <w:lang w:eastAsia="zh-CN"/>
        </w:rPr>
        <w:t xml:space="preserve">Procedures for </w:t>
      </w:r>
      <w:r w:rsidRPr="000A0A5F">
        <w:rPr>
          <w:lang w:eastAsia="zh-CN"/>
        </w:rPr>
        <w:t>Device Triggering</w:t>
      </w:r>
      <w:bookmarkEnd w:id="557"/>
      <w:bookmarkEnd w:id="558"/>
      <w:bookmarkEnd w:id="559"/>
      <w:bookmarkEnd w:id="560"/>
      <w:bookmarkEnd w:id="561"/>
      <w:bookmarkEnd w:id="562"/>
      <w:bookmarkEnd w:id="563"/>
      <w:bookmarkEnd w:id="564"/>
      <w:bookmarkEnd w:id="565"/>
      <w:bookmarkEnd w:id="566"/>
      <w:bookmarkEnd w:id="567"/>
      <w:bookmarkEnd w:id="568"/>
    </w:p>
    <w:p w:rsidR="00CB0DD7" w:rsidRPr="000A0A5F" w:rsidRDefault="00CB0DD7">
      <w:r w:rsidRPr="000A0A5F">
        <w:t>Th</w:t>
      </w:r>
      <w:r w:rsidRPr="000A0A5F">
        <w:rPr>
          <w:rFonts w:hint="eastAsia"/>
          <w:lang w:eastAsia="zh-CN"/>
        </w:rPr>
        <w:t>e</w:t>
      </w:r>
      <w:r w:rsidRPr="000A0A5F">
        <w:t xml:space="preserve"> </w:t>
      </w:r>
      <w:r w:rsidRPr="000A0A5F">
        <w:rPr>
          <w:rFonts w:hint="eastAsia"/>
          <w:lang w:eastAsia="zh-CN"/>
        </w:rPr>
        <w:t xml:space="preserve">procedures </w:t>
      </w:r>
      <w:r w:rsidRPr="000A0A5F">
        <w:rPr>
          <w:lang w:eastAsia="zh-CN"/>
        </w:rPr>
        <w:t xml:space="preserve">are used by </w:t>
      </w:r>
      <w:r w:rsidRPr="000A0A5F">
        <w:rPr>
          <w:rFonts w:hint="eastAsia"/>
          <w:lang w:eastAsia="zh-CN"/>
        </w:rPr>
        <w:t>the SCS/AS to deliver the device trigger via T8 interface.</w:t>
      </w:r>
    </w:p>
    <w:p w:rsidR="00CB0DD7" w:rsidRPr="000A0A5F" w:rsidRDefault="00CB0DD7">
      <w:pPr>
        <w:rPr>
          <w:lang w:eastAsia="zh-CN"/>
        </w:rPr>
      </w:pPr>
      <w:r w:rsidRPr="000A0A5F">
        <w:rPr>
          <w:rFonts w:hint="eastAsia"/>
          <w:lang w:eastAsia="zh-CN"/>
        </w:rPr>
        <w:t>In order to create a new device trigger, the SCS/AS shall send an HTTP POST message to the SCEF</w:t>
      </w:r>
      <w:r w:rsidRPr="000A0A5F">
        <w:rPr>
          <w:lang w:eastAsia="zh-CN"/>
        </w:rPr>
        <w:t xml:space="preserve"> for the "</w:t>
      </w:r>
      <w:r w:rsidRPr="000A0A5F">
        <w:t>Device Triggering Transactions</w:t>
      </w:r>
      <w:r w:rsidRPr="000A0A5F">
        <w:rPr>
          <w:lang w:eastAsia="zh-CN"/>
        </w:rPr>
        <w:t>" resource</w:t>
      </w:r>
      <w:r w:rsidRPr="000A0A5F">
        <w:rPr>
          <w:rFonts w:hint="eastAsia"/>
          <w:lang w:eastAsia="zh-CN"/>
        </w:rPr>
        <w:t xml:space="preserve">. </w:t>
      </w:r>
      <w:r w:rsidRPr="000A0A5F">
        <w:rPr>
          <w:noProof/>
          <w:lang w:eastAsia="zh-CN"/>
        </w:rPr>
        <w:t xml:space="preserve">The body of the HTTP POST message shall include the </w:t>
      </w:r>
      <w:r w:rsidRPr="000A0A5F">
        <w:t>External Identifier or MSISDN, validity period, priority, Application Port ID and trigger payload</w:t>
      </w:r>
      <w:r w:rsidRPr="000A0A5F">
        <w:rPr>
          <w:lang w:eastAsia="zh-CN"/>
        </w:rPr>
        <w:t>.</w:t>
      </w:r>
    </w:p>
    <w:p w:rsidR="00CB0DD7" w:rsidRPr="000A0A5F" w:rsidRDefault="00CB0DD7">
      <w:pPr>
        <w:rPr>
          <w:rFonts w:hint="eastAsia"/>
          <w:lang w:eastAsia="zh-CN"/>
        </w:rPr>
      </w:pPr>
      <w:r w:rsidRPr="000A0A5F">
        <w:rPr>
          <w:lang w:eastAsia="zh-CN"/>
        </w:rPr>
        <w:t>Upon receipt of the</w:t>
      </w:r>
      <w:r w:rsidRPr="000A0A5F">
        <w:rPr>
          <w:rFonts w:hint="eastAsia"/>
          <w:lang w:eastAsia="zh-CN"/>
        </w:rPr>
        <w:t xml:space="preserve"> </w:t>
      </w:r>
      <w:r w:rsidRPr="000A0A5F">
        <w:rPr>
          <w:lang w:eastAsia="zh-CN"/>
        </w:rPr>
        <w:t xml:space="preserve">corresponding </w:t>
      </w:r>
      <w:r w:rsidRPr="000A0A5F">
        <w:rPr>
          <w:rFonts w:hint="eastAsia"/>
          <w:lang w:eastAsia="zh-CN"/>
        </w:rPr>
        <w:t xml:space="preserve">HTTP POST message, </w:t>
      </w:r>
      <w:r w:rsidRPr="000A0A5F">
        <w:t xml:space="preserve">the SCEF </w:t>
      </w:r>
      <w:r w:rsidRPr="000A0A5F">
        <w:rPr>
          <w:lang w:eastAsia="zh-CN"/>
        </w:rPr>
        <w:t xml:space="preserve">shall </w:t>
      </w:r>
      <w:r w:rsidRPr="000A0A5F">
        <w:t xml:space="preserve">check if the SCS/AS is authorised to send a trigger request and if the SCS/AS has exceeded its quota or rate of trigger submission. The SCEF shall also resolve the External Identifier or MSISDN to IMSI and retrieve the "Routing Information" from HSS for the triggering delivery. If the authorisation check fails, or if the quota or rate of trigger submission was exceeded, or if there is no valid subscription information or if the "Routing Information" cannot be found, then the SCEF shall reject the request with an error message to the SCS/AS. Otherwise, </w:t>
      </w:r>
      <w:r w:rsidRPr="000A0A5F">
        <w:rPr>
          <w:rFonts w:hint="eastAsia"/>
          <w:lang w:eastAsia="zh-CN"/>
        </w:rPr>
        <w:t xml:space="preserve">the SCEF shall </w:t>
      </w:r>
      <w:r w:rsidRPr="000A0A5F">
        <w:rPr>
          <w:lang w:eastAsia="zh-CN"/>
        </w:rPr>
        <w:t>perform</w:t>
      </w:r>
      <w:r w:rsidRPr="000A0A5F">
        <w:rPr>
          <w:rFonts w:hint="eastAsia"/>
          <w:lang w:eastAsia="zh-CN"/>
        </w:rPr>
        <w:t xml:space="preserve"> the device trigger </w:t>
      </w:r>
      <w:r w:rsidRPr="000A0A5F">
        <w:rPr>
          <w:lang w:eastAsia="zh-CN"/>
        </w:rPr>
        <w:t>procedure</w:t>
      </w:r>
      <w:r w:rsidRPr="000A0A5F">
        <w:rPr>
          <w:rFonts w:hint="eastAsia"/>
          <w:lang w:eastAsia="zh-CN"/>
        </w:rPr>
        <w:t xml:space="preserve"> over Tsp </w:t>
      </w:r>
      <w:r w:rsidRPr="000A0A5F">
        <w:rPr>
          <w:lang w:eastAsia="zh-CN"/>
        </w:rPr>
        <w:t>as</w:t>
      </w:r>
      <w:r w:rsidRPr="000A0A5F">
        <w:rPr>
          <w:rFonts w:hint="eastAsia"/>
          <w:lang w:eastAsia="zh-CN"/>
        </w:rPr>
        <w:t xml:space="preserve"> defined in 3GPP TS 29.368</w:t>
      </w:r>
      <w:r w:rsidRPr="000A0A5F">
        <w:rPr>
          <w:lang w:val="en-US" w:eastAsia="zh-CN"/>
        </w:rPr>
        <w:t> </w:t>
      </w:r>
      <w:r w:rsidRPr="000A0A5F">
        <w:rPr>
          <w:rFonts w:hint="eastAsia"/>
          <w:lang w:val="en-US" w:eastAsia="zh-CN"/>
        </w:rPr>
        <w:t>[</w:t>
      </w:r>
      <w:r w:rsidRPr="000A0A5F">
        <w:rPr>
          <w:lang w:val="en-US" w:eastAsia="zh-CN"/>
        </w:rPr>
        <w:t>24</w:t>
      </w:r>
      <w:r w:rsidRPr="000A0A5F">
        <w:rPr>
          <w:rFonts w:hint="eastAsia"/>
          <w:lang w:val="en-US" w:eastAsia="zh-CN"/>
        </w:rPr>
        <w:t xml:space="preserve">] </w:t>
      </w:r>
      <w:r w:rsidRPr="000A0A5F">
        <w:rPr>
          <w:rFonts w:hint="eastAsia"/>
          <w:lang w:eastAsia="zh-CN"/>
        </w:rPr>
        <w:t>and T4</w:t>
      </w:r>
      <w:r w:rsidRPr="000A0A5F">
        <w:rPr>
          <w:lang w:eastAsia="zh-CN"/>
        </w:rPr>
        <w:t xml:space="preserve"> as</w:t>
      </w:r>
      <w:r w:rsidRPr="000A0A5F">
        <w:rPr>
          <w:rFonts w:hint="eastAsia"/>
          <w:lang w:eastAsia="zh-CN"/>
        </w:rPr>
        <w:t xml:space="preserve"> defined in 3GPP TS 29.337</w:t>
      </w:r>
      <w:r w:rsidRPr="000A0A5F">
        <w:rPr>
          <w:lang w:val="en-US" w:eastAsia="zh-CN"/>
        </w:rPr>
        <w:t> </w:t>
      </w:r>
      <w:r w:rsidRPr="000A0A5F">
        <w:rPr>
          <w:rFonts w:hint="eastAsia"/>
          <w:lang w:val="en-US" w:eastAsia="zh-CN"/>
        </w:rPr>
        <w:t>[</w:t>
      </w:r>
      <w:r w:rsidRPr="000A0A5F">
        <w:rPr>
          <w:lang w:val="en-US" w:eastAsia="zh-CN"/>
        </w:rPr>
        <w:t>25</w:t>
      </w:r>
      <w:r w:rsidRPr="000A0A5F">
        <w:rPr>
          <w:rFonts w:hint="eastAsia"/>
          <w:lang w:val="en-US" w:eastAsia="zh-CN"/>
        </w:rPr>
        <w:t xml:space="preserve">]. </w:t>
      </w:r>
      <w:r w:rsidRPr="000A0A5F">
        <w:rPr>
          <w:lang w:val="en-US" w:eastAsia="zh-CN"/>
        </w:rPr>
        <w:t>Upon completion of this procedure, t</w:t>
      </w:r>
      <w:r w:rsidRPr="000A0A5F">
        <w:rPr>
          <w:rFonts w:hint="eastAsia"/>
          <w:lang w:val="en-US" w:eastAsia="zh-CN"/>
        </w:rPr>
        <w:t>he SCEF shall</w:t>
      </w:r>
      <w:r w:rsidRPr="000A0A5F">
        <w:rPr>
          <w:rFonts w:hint="eastAsia"/>
          <w:lang w:eastAsia="zh-CN"/>
        </w:rPr>
        <w:t xml:space="preserve"> </w:t>
      </w:r>
      <w:r w:rsidRPr="000A0A5F">
        <w:rPr>
          <w:lang w:eastAsia="zh-CN"/>
        </w:rPr>
        <w:t>create a resource "</w:t>
      </w:r>
      <w:r w:rsidRPr="000A0A5F">
        <w:t>Individual Device Triggering Transaction</w:t>
      </w:r>
      <w:r w:rsidRPr="000A0A5F">
        <w:rPr>
          <w:lang w:eastAsia="zh-CN"/>
        </w:rPr>
        <w:t xml:space="preserve">" which represents the triggering transaction, addressed by a URI that contains the SCS/AS identity and an SCEF-created transaction identifier, and shall respond to the SCS/AS </w:t>
      </w:r>
      <w:r w:rsidRPr="000A0A5F">
        <w:t xml:space="preserve">with a 201 </w:t>
      </w:r>
      <w:r w:rsidRPr="000A0A5F">
        <w:rPr>
          <w:rFonts w:hint="eastAsia"/>
          <w:lang w:eastAsia="zh-CN"/>
        </w:rPr>
        <w:t>Created</w:t>
      </w:r>
      <w:r w:rsidRPr="000A0A5F">
        <w:t xml:space="preserve"> message</w:t>
      </w:r>
      <w:r w:rsidRPr="000A0A5F">
        <w:rPr>
          <w:rFonts w:hint="eastAsia"/>
          <w:lang w:eastAsia="zh-CN"/>
        </w:rPr>
        <w:t xml:space="preserve">, </w:t>
      </w:r>
      <w:r w:rsidRPr="000A0A5F">
        <w:t>including</w:t>
      </w:r>
      <w:r w:rsidRPr="000A0A5F">
        <w:rPr>
          <w:rFonts w:hint="eastAsia"/>
          <w:lang w:eastAsia="zh-CN"/>
        </w:rPr>
        <w:t xml:space="preserve"> the trigger </w:t>
      </w:r>
      <w:r w:rsidRPr="000A0A5F">
        <w:rPr>
          <w:lang w:eastAsia="zh-CN"/>
        </w:rPr>
        <w:t xml:space="preserve">and </w:t>
      </w:r>
      <w:r w:rsidRPr="000A0A5F">
        <w:t>a Location header field containing the URI for the created resource</w:t>
      </w:r>
      <w:r w:rsidRPr="000A0A5F">
        <w:rPr>
          <w:rFonts w:hint="eastAsia"/>
          <w:lang w:eastAsia="zh-CN"/>
        </w:rPr>
        <w:t>.</w:t>
      </w:r>
      <w:r w:rsidRPr="000A0A5F">
        <w:rPr>
          <w:lang w:eastAsia="zh-CN"/>
        </w:rPr>
        <w:t xml:space="preserve"> </w:t>
      </w:r>
      <w:r w:rsidRPr="000A0A5F">
        <w:t xml:space="preserve">The </w:t>
      </w:r>
      <w:r w:rsidRPr="000A0A5F">
        <w:rPr>
          <w:rFonts w:hint="eastAsia"/>
          <w:lang w:eastAsia="zh-CN"/>
        </w:rPr>
        <w:t>SCS/AS</w:t>
      </w:r>
      <w:r w:rsidRPr="000A0A5F">
        <w:t xml:space="preserve"> shall use the </w:t>
      </w:r>
      <w:r w:rsidRPr="000A0A5F">
        <w:rPr>
          <w:rFonts w:hint="eastAsia"/>
          <w:lang w:eastAsia="zh-CN"/>
        </w:rPr>
        <w:t>URI</w:t>
      </w:r>
      <w:r w:rsidRPr="000A0A5F">
        <w:t xml:space="preserve"> received </w:t>
      </w:r>
      <w:r w:rsidRPr="000A0A5F">
        <w:rPr>
          <w:rFonts w:hint="eastAsia"/>
          <w:lang w:eastAsia="zh-CN"/>
        </w:rPr>
        <w:t>in the Location header</w:t>
      </w:r>
      <w:r w:rsidRPr="000A0A5F">
        <w:t xml:space="preserve"> in subsequent requests to the </w:t>
      </w:r>
      <w:r w:rsidRPr="000A0A5F">
        <w:rPr>
          <w:rFonts w:hint="eastAsia"/>
          <w:lang w:eastAsia="zh-CN"/>
        </w:rPr>
        <w:t xml:space="preserve">SCEF </w:t>
      </w:r>
      <w:r w:rsidRPr="000A0A5F">
        <w:t>to refer to this</w:t>
      </w:r>
      <w:r w:rsidRPr="000A0A5F">
        <w:rPr>
          <w:rFonts w:hint="eastAsia"/>
          <w:lang w:eastAsia="zh-CN"/>
        </w:rPr>
        <w:t xml:space="preserve"> </w:t>
      </w:r>
      <w:r w:rsidRPr="000A0A5F">
        <w:rPr>
          <w:lang w:eastAsia="zh-CN"/>
        </w:rPr>
        <w:t>device triggering transaction</w:t>
      </w:r>
      <w:r w:rsidRPr="000A0A5F">
        <w:t>.</w:t>
      </w:r>
    </w:p>
    <w:p w:rsidR="00CB0DD7" w:rsidRPr="000A0A5F" w:rsidRDefault="00CB0DD7">
      <w:pPr>
        <w:rPr>
          <w:lang w:eastAsia="zh-CN"/>
        </w:rPr>
      </w:pPr>
      <w:r w:rsidRPr="000A0A5F">
        <w:rPr>
          <w:rFonts w:hint="eastAsia"/>
          <w:lang w:eastAsia="zh-CN"/>
        </w:rPr>
        <w:t>In order to replace an existing device trigger, the SCS/AS shall send an HTTP PUT message to the SCEF</w:t>
      </w:r>
      <w:bookmarkStart w:id="569" w:name="_Hlk503879498"/>
      <w:r w:rsidRPr="000A0A5F">
        <w:rPr>
          <w:lang w:eastAsia="zh-CN"/>
        </w:rPr>
        <w:t xml:space="preserve"> for the "</w:t>
      </w:r>
      <w:r w:rsidRPr="000A0A5F">
        <w:t>Individual Device Triggering Transaction</w:t>
      </w:r>
      <w:r w:rsidRPr="000A0A5F">
        <w:rPr>
          <w:lang w:eastAsia="zh-CN"/>
        </w:rPr>
        <w:t>" resource, using the URI received in the response to the request that has created the device triggering transaction resource</w:t>
      </w:r>
      <w:bookmarkEnd w:id="569"/>
      <w:r w:rsidRPr="000A0A5F">
        <w:rPr>
          <w:rFonts w:hint="eastAsia"/>
          <w:lang w:eastAsia="zh-CN"/>
        </w:rPr>
        <w:t xml:space="preserve">. </w:t>
      </w:r>
      <w:r w:rsidRPr="000A0A5F">
        <w:rPr>
          <w:noProof/>
          <w:lang w:eastAsia="zh-CN"/>
        </w:rPr>
        <w:t>The body of the HTTP PUT message shall include</w:t>
      </w:r>
      <w:r w:rsidRPr="000A0A5F">
        <w:t xml:space="preserve"> </w:t>
      </w:r>
      <w:r w:rsidR="00B97EBD" w:rsidRPr="000A0A5F">
        <w:t>the DeviceTriggering data structure containing the requested updates</w:t>
      </w:r>
      <w:r w:rsidRPr="000A0A5F">
        <w:rPr>
          <w:lang w:eastAsia="zh-CN"/>
        </w:rPr>
        <w:t>.</w:t>
      </w:r>
      <w:r w:rsidR="00B97EBD" w:rsidRPr="000A0A5F">
        <w:rPr>
          <w:lang w:eastAsia="zh-CN"/>
        </w:rPr>
        <w:t xml:space="preserve"> </w:t>
      </w:r>
      <w:r w:rsidR="00B97EBD" w:rsidRPr="000A0A5F">
        <w:t>The properties "msisdn" or "externalId" shall remain unchanged from the previously provided value</w:t>
      </w:r>
      <w:r w:rsidR="00B97EBD" w:rsidRPr="000A0A5F">
        <w:rPr>
          <w:noProof/>
          <w:lang w:eastAsia="zh-CN"/>
        </w:rPr>
        <w:t>.</w:t>
      </w:r>
    </w:p>
    <w:p w:rsidR="00B97EBD" w:rsidRPr="000A0A5F" w:rsidRDefault="00B97EBD" w:rsidP="00B97EBD">
      <w:pPr>
        <w:rPr>
          <w:lang w:eastAsia="zh-CN"/>
        </w:rPr>
      </w:pPr>
      <w:r w:rsidRPr="000A0A5F">
        <w:t xml:space="preserve">If the "PatchUpdate" feature defined in clause 5.7.4 is supported, </w:t>
      </w:r>
      <w:r w:rsidRPr="000A0A5F">
        <w:rPr>
          <w:lang w:eastAsia="zh-CN"/>
        </w:rPr>
        <w:t>i</w:t>
      </w:r>
      <w:r w:rsidRPr="000A0A5F">
        <w:rPr>
          <w:rFonts w:hint="eastAsia"/>
          <w:lang w:eastAsia="zh-CN"/>
        </w:rPr>
        <w:t xml:space="preserve">n order to </w:t>
      </w:r>
      <w:r w:rsidRPr="000A0A5F">
        <w:rPr>
          <w:lang w:eastAsia="zh-CN"/>
        </w:rPr>
        <w:t>partially modify</w:t>
      </w:r>
      <w:r w:rsidRPr="000A0A5F">
        <w:rPr>
          <w:rFonts w:hint="eastAsia"/>
          <w:lang w:eastAsia="zh-CN"/>
        </w:rPr>
        <w:t xml:space="preserve"> an existing </w:t>
      </w:r>
      <w:r w:rsidRPr="000A0A5F">
        <w:t>Individual Device Triggering Transaction resource</w:t>
      </w:r>
      <w:r w:rsidRPr="000A0A5F">
        <w:rPr>
          <w:rFonts w:hint="eastAsia"/>
          <w:lang w:eastAsia="zh-CN"/>
        </w:rPr>
        <w:t xml:space="preserve">, the SCS/AS shall send an HTTP </w:t>
      </w:r>
      <w:r w:rsidRPr="000A0A5F">
        <w:rPr>
          <w:lang w:eastAsia="zh-CN"/>
        </w:rPr>
        <w:t>PATCH</w:t>
      </w:r>
      <w:r w:rsidRPr="000A0A5F">
        <w:rPr>
          <w:rFonts w:hint="eastAsia"/>
          <w:lang w:eastAsia="zh-CN"/>
        </w:rPr>
        <w:t xml:space="preserve"> message to the SCEF</w:t>
      </w:r>
      <w:r w:rsidRPr="000A0A5F">
        <w:rPr>
          <w:lang w:eastAsia="zh-CN"/>
        </w:rPr>
        <w:t xml:space="preserve"> targeting the concerned "</w:t>
      </w:r>
      <w:r w:rsidRPr="000A0A5F">
        <w:t>Individual Device Triggering Transaction</w:t>
      </w:r>
      <w:r w:rsidRPr="000A0A5F">
        <w:rPr>
          <w:lang w:eastAsia="zh-CN"/>
        </w:rPr>
        <w:t xml:space="preserve">" resource, using the URI received in the response to the request that has created the concerned </w:t>
      </w:r>
      <w:r w:rsidRPr="000A0A5F">
        <w:t>Individual Device Triggering Transaction resource</w:t>
      </w:r>
      <w:r w:rsidRPr="000A0A5F">
        <w:rPr>
          <w:rFonts w:hint="eastAsia"/>
          <w:lang w:eastAsia="zh-CN"/>
        </w:rPr>
        <w:t xml:space="preserve">. </w:t>
      </w:r>
      <w:r w:rsidRPr="000A0A5F">
        <w:rPr>
          <w:noProof/>
          <w:lang w:eastAsia="zh-CN"/>
        </w:rPr>
        <w:t>The body of the HTTP PATCH message shall include</w:t>
      </w:r>
      <w:r w:rsidRPr="000A0A5F">
        <w:t xml:space="preserve"> the DeviceTriggeringPatch data structure containing the requested modifications</w:t>
      </w:r>
      <w:r w:rsidRPr="000A0A5F">
        <w:rPr>
          <w:lang w:eastAsia="zh-CN"/>
        </w:rPr>
        <w:t>.</w:t>
      </w:r>
    </w:p>
    <w:p w:rsidR="00CB0DD7" w:rsidRPr="000A0A5F" w:rsidRDefault="00CB0DD7">
      <w:pPr>
        <w:rPr>
          <w:rFonts w:hint="eastAsia"/>
          <w:lang w:eastAsia="zh-CN"/>
        </w:rPr>
      </w:pPr>
      <w:r w:rsidRPr="000A0A5F">
        <w:rPr>
          <w:rFonts w:hint="eastAsia"/>
          <w:lang w:eastAsia="zh-CN"/>
        </w:rPr>
        <w:t xml:space="preserve">After receiving the </w:t>
      </w:r>
      <w:r w:rsidRPr="000A0A5F">
        <w:rPr>
          <w:lang w:eastAsia="zh-CN"/>
        </w:rPr>
        <w:t xml:space="preserve">corresponding HTTP PUT </w:t>
      </w:r>
      <w:r w:rsidR="00B97EBD" w:rsidRPr="000A0A5F">
        <w:rPr>
          <w:lang w:eastAsia="zh-CN"/>
        </w:rPr>
        <w:t xml:space="preserve">/ HTTP PATCH </w:t>
      </w:r>
      <w:r w:rsidRPr="000A0A5F">
        <w:rPr>
          <w:lang w:eastAsia="zh-CN"/>
        </w:rPr>
        <w:t>message from the SCS/AS</w:t>
      </w:r>
      <w:r w:rsidRPr="000A0A5F">
        <w:rPr>
          <w:rFonts w:hint="eastAsia"/>
          <w:lang w:eastAsia="zh-CN"/>
        </w:rPr>
        <w:t xml:space="preserve">, the SCEF shall </w:t>
      </w:r>
      <w:r w:rsidRPr="000A0A5F">
        <w:rPr>
          <w:lang w:eastAsia="zh-CN"/>
        </w:rPr>
        <w:t>check if the SCS/AS is authorised to replace</w:t>
      </w:r>
      <w:r w:rsidR="00B97EBD" w:rsidRPr="000A0A5F">
        <w:rPr>
          <w:lang w:eastAsia="zh-CN"/>
        </w:rPr>
        <w:t>/modify</w:t>
      </w:r>
      <w:r w:rsidRPr="000A0A5F">
        <w:rPr>
          <w:lang w:eastAsia="zh-CN"/>
        </w:rPr>
        <w:t xml:space="preserve"> an existing device trigger and if the SCS/AS has not exceeded its quota or rate of trigger submission. If any of these checks fail, then the SCEF shall reject the message with </w:t>
      </w:r>
      <w:r w:rsidR="003D43FE" w:rsidRPr="000A0A5F">
        <w:rPr>
          <w:lang w:eastAsia="zh-CN"/>
        </w:rPr>
        <w:t>a corresponding failure code as described in clause 5.2.6</w:t>
      </w:r>
      <w:r w:rsidR="00B97EBD" w:rsidRPr="000A0A5F">
        <w:rPr>
          <w:lang w:eastAsia="zh-CN"/>
        </w:rPr>
        <w:t>.</w:t>
      </w:r>
      <w:r w:rsidRPr="000A0A5F">
        <w:rPr>
          <w:lang w:eastAsia="zh-CN"/>
        </w:rPr>
        <w:t xml:space="preserve"> Otherwise, </w:t>
      </w:r>
      <w:r w:rsidRPr="000A0A5F">
        <w:t xml:space="preserve">the SCEF shall replace the device triggering with the SMS-SC by </w:t>
      </w:r>
      <w:r w:rsidRPr="000A0A5F">
        <w:rPr>
          <w:rFonts w:hint="eastAsia"/>
          <w:lang w:eastAsia="zh-CN"/>
        </w:rPr>
        <w:t>perform</w:t>
      </w:r>
      <w:r w:rsidRPr="000A0A5F">
        <w:rPr>
          <w:lang w:eastAsia="zh-CN"/>
        </w:rPr>
        <w:t>ing</w:t>
      </w:r>
      <w:r w:rsidRPr="000A0A5F">
        <w:rPr>
          <w:rFonts w:hint="eastAsia"/>
          <w:lang w:eastAsia="zh-CN"/>
        </w:rPr>
        <w:t xml:space="preserve"> the device trigger replace procedure over Tsp </w:t>
      </w:r>
      <w:r w:rsidRPr="000A0A5F">
        <w:rPr>
          <w:lang w:eastAsia="zh-CN"/>
        </w:rPr>
        <w:t>as</w:t>
      </w:r>
      <w:r w:rsidRPr="000A0A5F">
        <w:rPr>
          <w:rFonts w:hint="eastAsia"/>
          <w:lang w:eastAsia="zh-CN"/>
        </w:rPr>
        <w:t xml:space="preserve"> defined in 3GPP TS 29.368</w:t>
      </w:r>
      <w:r w:rsidRPr="000A0A5F">
        <w:rPr>
          <w:lang w:val="en-US" w:eastAsia="zh-CN"/>
        </w:rPr>
        <w:t> </w:t>
      </w:r>
      <w:r w:rsidRPr="000A0A5F">
        <w:rPr>
          <w:rFonts w:hint="eastAsia"/>
          <w:lang w:val="en-US" w:eastAsia="zh-CN"/>
        </w:rPr>
        <w:t>[</w:t>
      </w:r>
      <w:r w:rsidRPr="000A0A5F">
        <w:rPr>
          <w:lang w:val="en-US" w:eastAsia="zh-CN"/>
        </w:rPr>
        <w:t>24</w:t>
      </w:r>
      <w:r w:rsidRPr="000A0A5F">
        <w:rPr>
          <w:rFonts w:hint="eastAsia"/>
          <w:lang w:val="en-US" w:eastAsia="zh-CN"/>
        </w:rPr>
        <w:t xml:space="preserve">] </w:t>
      </w:r>
      <w:r w:rsidRPr="000A0A5F">
        <w:rPr>
          <w:rFonts w:hint="eastAsia"/>
          <w:lang w:eastAsia="zh-CN"/>
        </w:rPr>
        <w:t>and T4</w:t>
      </w:r>
      <w:r w:rsidRPr="000A0A5F">
        <w:rPr>
          <w:lang w:eastAsia="zh-CN"/>
        </w:rPr>
        <w:t xml:space="preserve"> as</w:t>
      </w:r>
      <w:r w:rsidRPr="000A0A5F">
        <w:rPr>
          <w:rFonts w:hint="eastAsia"/>
          <w:lang w:eastAsia="zh-CN"/>
        </w:rPr>
        <w:t xml:space="preserve"> defined in 3GPP TS 29.337</w:t>
      </w:r>
      <w:r w:rsidRPr="000A0A5F">
        <w:rPr>
          <w:lang w:val="en-US" w:eastAsia="zh-CN"/>
        </w:rPr>
        <w:t> </w:t>
      </w:r>
      <w:r w:rsidRPr="000A0A5F">
        <w:rPr>
          <w:rFonts w:hint="eastAsia"/>
          <w:lang w:val="en-US" w:eastAsia="zh-CN"/>
        </w:rPr>
        <w:t>[</w:t>
      </w:r>
      <w:r w:rsidRPr="000A0A5F">
        <w:rPr>
          <w:lang w:val="en-US" w:eastAsia="zh-CN"/>
        </w:rPr>
        <w:t>25</w:t>
      </w:r>
      <w:r w:rsidRPr="000A0A5F">
        <w:rPr>
          <w:rFonts w:hint="eastAsia"/>
          <w:lang w:val="en-US" w:eastAsia="zh-CN"/>
        </w:rPr>
        <w:t xml:space="preserve">]. </w:t>
      </w:r>
      <w:r w:rsidRPr="000A0A5F">
        <w:rPr>
          <w:lang w:val="en-US" w:eastAsia="zh-CN"/>
        </w:rPr>
        <w:t>Upon completion of this procedure, t</w:t>
      </w:r>
      <w:r w:rsidRPr="000A0A5F">
        <w:rPr>
          <w:rFonts w:hint="eastAsia"/>
          <w:lang w:val="en-US" w:eastAsia="zh-CN"/>
        </w:rPr>
        <w:t xml:space="preserve">he SCEF shall send an HTTP response to the SCS/AS </w:t>
      </w:r>
      <w:r w:rsidR="003D43FE" w:rsidRPr="000A0A5F">
        <w:rPr>
          <w:lang w:val="en-US" w:eastAsia="zh-CN"/>
        </w:rPr>
        <w:t xml:space="preserve">with a </w:t>
      </w:r>
      <w:r w:rsidR="003D43FE" w:rsidRPr="000A0A5F">
        <w:rPr>
          <w:noProof/>
          <w:lang w:eastAsia="zh-CN"/>
        </w:rPr>
        <w:t>"</w:t>
      </w:r>
      <w:r w:rsidR="003D43FE" w:rsidRPr="000A0A5F">
        <w:rPr>
          <w:lang w:eastAsia="zh-CN"/>
        </w:rPr>
        <w:t>200 OK</w:t>
      </w:r>
      <w:r w:rsidR="003D43FE" w:rsidRPr="000A0A5F">
        <w:rPr>
          <w:noProof/>
          <w:lang w:eastAsia="zh-CN"/>
        </w:rPr>
        <w:t>"</w:t>
      </w:r>
      <w:r w:rsidR="003D43FE" w:rsidRPr="000A0A5F">
        <w:rPr>
          <w:lang w:eastAsia="zh-CN"/>
        </w:rPr>
        <w:t xml:space="preserve">status code and include the result in the body of the HTTP response or a </w:t>
      </w:r>
      <w:r w:rsidR="003D43FE" w:rsidRPr="000A0A5F">
        <w:rPr>
          <w:noProof/>
          <w:lang w:eastAsia="zh-CN"/>
        </w:rPr>
        <w:t>"</w:t>
      </w:r>
      <w:r w:rsidR="003D43FE" w:rsidRPr="000A0A5F">
        <w:rPr>
          <w:lang w:eastAsia="zh-CN"/>
        </w:rPr>
        <w:t>204 No Content</w:t>
      </w:r>
      <w:r w:rsidR="003D43FE" w:rsidRPr="000A0A5F">
        <w:rPr>
          <w:noProof/>
          <w:lang w:eastAsia="zh-CN"/>
        </w:rPr>
        <w:t>"</w:t>
      </w:r>
      <w:r w:rsidR="003D43FE" w:rsidRPr="000A0A5F">
        <w:rPr>
          <w:lang w:eastAsia="zh-CN"/>
        </w:rPr>
        <w:t xml:space="preserve"> status code </w:t>
      </w:r>
      <w:r w:rsidRPr="000A0A5F">
        <w:rPr>
          <w:rFonts w:hint="eastAsia"/>
          <w:lang w:val="en-US" w:eastAsia="zh-CN"/>
        </w:rPr>
        <w:t xml:space="preserve">to indicate </w:t>
      </w:r>
      <w:r w:rsidR="003D43FE" w:rsidRPr="000A0A5F">
        <w:rPr>
          <w:lang w:val="en-US" w:eastAsia="zh-CN"/>
        </w:rPr>
        <w:t xml:space="preserve">a successful </w:t>
      </w:r>
      <w:r w:rsidRPr="000A0A5F">
        <w:t xml:space="preserve">trigger </w:t>
      </w:r>
      <w:r w:rsidRPr="000A0A5F">
        <w:rPr>
          <w:rFonts w:hint="eastAsia"/>
          <w:lang w:eastAsia="zh-CN"/>
        </w:rPr>
        <w:t>replace</w:t>
      </w:r>
      <w:r w:rsidR="003D43FE" w:rsidRPr="000A0A5F">
        <w:rPr>
          <w:lang w:eastAsia="zh-CN"/>
        </w:rPr>
        <w:t>ment</w:t>
      </w:r>
      <w:r w:rsidR="00B97EBD" w:rsidRPr="000A0A5F">
        <w:rPr>
          <w:lang w:eastAsia="zh-CN"/>
        </w:rPr>
        <w:t>/modification</w:t>
      </w:r>
      <w:r w:rsidR="003D43FE" w:rsidRPr="000A0A5F">
        <w:t>;</w:t>
      </w:r>
      <w:r w:rsidRPr="000A0A5F">
        <w:t xml:space="preserve"> </w:t>
      </w:r>
      <w:r w:rsidR="003D43FE" w:rsidRPr="000A0A5F">
        <w:t>otherwise, the SCEF shall send a corresponding failure code as described in clause 5.2.6</w:t>
      </w:r>
      <w:r w:rsidRPr="000A0A5F">
        <w:rPr>
          <w:rFonts w:hint="eastAsia"/>
          <w:lang w:eastAsia="zh-CN"/>
        </w:rPr>
        <w:t>.</w:t>
      </w:r>
    </w:p>
    <w:p w:rsidR="00CB0DD7" w:rsidRPr="000A0A5F" w:rsidRDefault="00CB0DD7">
      <w:pPr>
        <w:rPr>
          <w:lang w:eastAsia="zh-CN"/>
        </w:rPr>
      </w:pPr>
      <w:r w:rsidRPr="000A0A5F">
        <w:rPr>
          <w:rFonts w:hint="eastAsia"/>
          <w:lang w:eastAsia="zh-CN"/>
        </w:rPr>
        <w:t>In order to recall an existing device trigger, the SCS/AS shall send an HTTP DELETE message to the SCEF</w:t>
      </w:r>
      <w:r w:rsidRPr="000A0A5F">
        <w:rPr>
          <w:lang w:eastAsia="zh-CN"/>
        </w:rPr>
        <w:t xml:space="preserve"> for the "</w:t>
      </w:r>
      <w:r w:rsidRPr="000A0A5F">
        <w:t>Individual Device Triggering Transaction</w:t>
      </w:r>
      <w:r w:rsidRPr="000A0A5F">
        <w:rPr>
          <w:lang w:eastAsia="zh-CN"/>
        </w:rPr>
        <w:t>" resource, using the URI received in the response to the request that has created the device triggering transaction resource</w:t>
      </w:r>
      <w:r w:rsidRPr="000A0A5F">
        <w:rPr>
          <w:rFonts w:hint="eastAsia"/>
          <w:lang w:eastAsia="zh-CN"/>
        </w:rPr>
        <w:t>.</w:t>
      </w:r>
    </w:p>
    <w:p w:rsidR="00CB0DD7" w:rsidRPr="000A0A5F" w:rsidRDefault="00CB0DD7">
      <w:pPr>
        <w:rPr>
          <w:rFonts w:hint="eastAsia"/>
          <w:lang w:eastAsia="zh-CN"/>
        </w:rPr>
      </w:pPr>
      <w:r w:rsidRPr="000A0A5F">
        <w:rPr>
          <w:rFonts w:hint="eastAsia"/>
          <w:lang w:eastAsia="zh-CN"/>
        </w:rPr>
        <w:t xml:space="preserve">After receiving the </w:t>
      </w:r>
      <w:r w:rsidRPr="000A0A5F">
        <w:rPr>
          <w:lang w:eastAsia="zh-CN"/>
        </w:rPr>
        <w:t>corresponding HTTP DELETE message from the SCS/AS</w:t>
      </w:r>
      <w:r w:rsidRPr="000A0A5F">
        <w:rPr>
          <w:rFonts w:hint="eastAsia"/>
          <w:lang w:eastAsia="zh-CN"/>
        </w:rPr>
        <w:t xml:space="preserve">, the SCEF shall </w:t>
      </w:r>
      <w:r w:rsidRPr="000A0A5F">
        <w:rPr>
          <w:lang w:eastAsia="zh-CN"/>
        </w:rPr>
        <w:t xml:space="preserve">check if the SCS/AS is authorised to send a recall trigger request and if the SCS/AS has not exceeded its quota or rate of trigger submission. The SCEF shall also check if the device triggering transaction resource referenced by the URI exists. If any of these checks fail, then the SCEF shall reject the message with an error. Otherwise, </w:t>
      </w:r>
      <w:r w:rsidRPr="000A0A5F">
        <w:t xml:space="preserve">the SCEF shall recall the device triggering with the SMS-SC by </w:t>
      </w:r>
      <w:r w:rsidRPr="000A0A5F">
        <w:rPr>
          <w:rFonts w:hint="eastAsia"/>
          <w:lang w:eastAsia="zh-CN"/>
        </w:rPr>
        <w:t>perform</w:t>
      </w:r>
      <w:r w:rsidRPr="000A0A5F">
        <w:rPr>
          <w:lang w:eastAsia="zh-CN"/>
        </w:rPr>
        <w:t>ing</w:t>
      </w:r>
      <w:r w:rsidRPr="000A0A5F">
        <w:rPr>
          <w:rFonts w:hint="eastAsia"/>
          <w:lang w:eastAsia="zh-CN"/>
        </w:rPr>
        <w:t xml:space="preserve"> the device trigger re</w:t>
      </w:r>
      <w:r w:rsidRPr="000A0A5F">
        <w:rPr>
          <w:lang w:eastAsia="zh-CN"/>
        </w:rPr>
        <w:t>call</w:t>
      </w:r>
      <w:r w:rsidRPr="000A0A5F">
        <w:rPr>
          <w:rFonts w:hint="eastAsia"/>
          <w:lang w:eastAsia="zh-CN"/>
        </w:rPr>
        <w:t xml:space="preserve"> procedure over Tsp </w:t>
      </w:r>
      <w:r w:rsidRPr="000A0A5F">
        <w:rPr>
          <w:lang w:eastAsia="zh-CN"/>
        </w:rPr>
        <w:t>as</w:t>
      </w:r>
      <w:r w:rsidRPr="000A0A5F">
        <w:rPr>
          <w:rFonts w:hint="eastAsia"/>
          <w:lang w:eastAsia="zh-CN"/>
        </w:rPr>
        <w:t xml:space="preserve"> defined in 3GPP TS 29.368</w:t>
      </w:r>
      <w:r w:rsidRPr="000A0A5F">
        <w:rPr>
          <w:lang w:val="en-US" w:eastAsia="zh-CN"/>
        </w:rPr>
        <w:t> </w:t>
      </w:r>
      <w:r w:rsidRPr="000A0A5F">
        <w:rPr>
          <w:rFonts w:hint="eastAsia"/>
          <w:lang w:val="en-US" w:eastAsia="zh-CN"/>
        </w:rPr>
        <w:t>[</w:t>
      </w:r>
      <w:r w:rsidRPr="000A0A5F">
        <w:rPr>
          <w:lang w:val="en-US" w:eastAsia="zh-CN"/>
        </w:rPr>
        <w:t>24</w:t>
      </w:r>
      <w:r w:rsidRPr="000A0A5F">
        <w:rPr>
          <w:rFonts w:hint="eastAsia"/>
          <w:lang w:val="en-US" w:eastAsia="zh-CN"/>
        </w:rPr>
        <w:t xml:space="preserve">] </w:t>
      </w:r>
      <w:r w:rsidRPr="000A0A5F">
        <w:rPr>
          <w:rFonts w:hint="eastAsia"/>
          <w:lang w:eastAsia="zh-CN"/>
        </w:rPr>
        <w:t>and T4</w:t>
      </w:r>
      <w:r w:rsidRPr="000A0A5F">
        <w:rPr>
          <w:lang w:eastAsia="zh-CN"/>
        </w:rPr>
        <w:t xml:space="preserve"> as</w:t>
      </w:r>
      <w:r w:rsidRPr="000A0A5F">
        <w:rPr>
          <w:rFonts w:hint="eastAsia"/>
          <w:lang w:eastAsia="zh-CN"/>
        </w:rPr>
        <w:t xml:space="preserve"> defined in 3GPP TS 29.337</w:t>
      </w:r>
      <w:r w:rsidRPr="000A0A5F">
        <w:rPr>
          <w:lang w:val="en-US" w:eastAsia="zh-CN"/>
        </w:rPr>
        <w:t> </w:t>
      </w:r>
      <w:r w:rsidRPr="000A0A5F">
        <w:rPr>
          <w:rFonts w:hint="eastAsia"/>
          <w:lang w:val="en-US" w:eastAsia="zh-CN"/>
        </w:rPr>
        <w:t>[</w:t>
      </w:r>
      <w:r w:rsidRPr="000A0A5F">
        <w:rPr>
          <w:lang w:val="en-US" w:eastAsia="zh-CN"/>
        </w:rPr>
        <w:t>25</w:t>
      </w:r>
      <w:r w:rsidRPr="000A0A5F">
        <w:rPr>
          <w:rFonts w:hint="eastAsia"/>
          <w:lang w:val="en-US" w:eastAsia="zh-CN"/>
        </w:rPr>
        <w:t xml:space="preserve">]. </w:t>
      </w:r>
      <w:r w:rsidRPr="000A0A5F">
        <w:rPr>
          <w:lang w:val="en-US" w:eastAsia="zh-CN"/>
        </w:rPr>
        <w:t>Upon completion of this procedure, t</w:t>
      </w:r>
      <w:r w:rsidRPr="000A0A5F">
        <w:rPr>
          <w:rFonts w:hint="eastAsia"/>
          <w:lang w:val="en-US" w:eastAsia="zh-CN"/>
        </w:rPr>
        <w:t xml:space="preserve">he SCEF shall send an HTTP response to the SCS/AS to indicate </w:t>
      </w:r>
      <w:r w:rsidRPr="000A0A5F">
        <w:t xml:space="preserve">trigger </w:t>
      </w:r>
      <w:r w:rsidRPr="000A0A5F">
        <w:rPr>
          <w:rFonts w:hint="eastAsia"/>
          <w:lang w:eastAsia="zh-CN"/>
        </w:rPr>
        <w:t>recall</w:t>
      </w:r>
      <w:r w:rsidRPr="000A0A5F">
        <w:t xml:space="preserve"> success or failure</w:t>
      </w:r>
      <w:r w:rsidRPr="000A0A5F">
        <w:rPr>
          <w:rFonts w:hint="eastAsia"/>
          <w:lang w:eastAsia="zh-CN"/>
        </w:rPr>
        <w:t>.</w:t>
      </w:r>
    </w:p>
    <w:p w:rsidR="00CB0DD7" w:rsidRPr="000A0A5F" w:rsidRDefault="00CB0DD7">
      <w:pPr>
        <w:rPr>
          <w:rFonts w:hint="eastAsia"/>
          <w:lang w:eastAsia="zh-CN"/>
        </w:rPr>
      </w:pPr>
      <w:r w:rsidRPr="000A0A5F">
        <w:rPr>
          <w:rFonts w:hint="eastAsia"/>
          <w:lang w:eastAsia="zh-CN"/>
        </w:rPr>
        <w:t xml:space="preserve">When it receives </w:t>
      </w:r>
      <w:r w:rsidRPr="000A0A5F">
        <w:t>the Message Delivery Report from the SMS/SC</w:t>
      </w:r>
      <w:r w:rsidRPr="000A0A5F">
        <w:rPr>
          <w:rFonts w:hint="eastAsia"/>
          <w:lang w:eastAsia="zh-CN"/>
        </w:rPr>
        <w:t>, the SCEF shall send an HTTP POST message to the SCS/AS to report the trigger delivery result</w:t>
      </w:r>
      <w:r w:rsidRPr="000A0A5F">
        <w:rPr>
          <w:lang w:eastAsia="zh-CN"/>
        </w:rPr>
        <w:t>.</w:t>
      </w:r>
      <w:r w:rsidRPr="000A0A5F">
        <w:rPr>
          <w:rFonts w:hint="eastAsia"/>
          <w:lang w:eastAsia="zh-CN"/>
        </w:rPr>
        <w:t xml:space="preserve"> </w:t>
      </w:r>
      <w:r w:rsidRPr="000A0A5F">
        <w:rPr>
          <w:noProof/>
          <w:lang w:eastAsia="zh-CN"/>
        </w:rPr>
        <w:t>The body of the HTTP POST message shall include the identifier if the transaction</w:t>
      </w:r>
      <w:r w:rsidRPr="000A0A5F">
        <w:t xml:space="preserve"> and cause</w:t>
      </w:r>
      <w:r w:rsidRPr="000A0A5F">
        <w:rPr>
          <w:lang w:eastAsia="zh-CN"/>
        </w:rPr>
        <w:t>.</w:t>
      </w:r>
      <w:r w:rsidRPr="000A0A5F">
        <w:rPr>
          <w:rFonts w:eastAsia="DengXian" w:hint="eastAsia"/>
          <w:lang w:eastAsia="zh-CN"/>
        </w:rPr>
        <w:t xml:space="preserve"> </w:t>
      </w:r>
      <w:r w:rsidRPr="000A0A5F">
        <w:rPr>
          <w:rFonts w:hint="eastAsia"/>
          <w:lang w:eastAsia="zh-CN"/>
        </w:rPr>
        <w:t>The SCS/AS shall respon</w:t>
      </w:r>
      <w:r w:rsidRPr="000A0A5F">
        <w:rPr>
          <w:lang w:eastAsia="zh-CN"/>
        </w:rPr>
        <w:t>d</w:t>
      </w:r>
      <w:r w:rsidRPr="000A0A5F">
        <w:rPr>
          <w:rFonts w:hint="eastAsia"/>
          <w:lang w:eastAsia="zh-CN"/>
        </w:rPr>
        <w:t xml:space="preserve"> </w:t>
      </w:r>
      <w:r w:rsidRPr="000A0A5F">
        <w:rPr>
          <w:lang w:eastAsia="zh-CN"/>
        </w:rPr>
        <w:t xml:space="preserve">with </w:t>
      </w:r>
      <w:r w:rsidRPr="000A0A5F">
        <w:rPr>
          <w:rFonts w:hint="eastAsia"/>
          <w:lang w:eastAsia="zh-CN"/>
        </w:rPr>
        <w:t>an</w:t>
      </w:r>
      <w:r w:rsidRPr="000A0A5F">
        <w:rPr>
          <w:lang w:eastAsia="zh-CN"/>
        </w:rPr>
        <w:t xml:space="preserve"> HTTP 200 OK or 204 No Content</w:t>
      </w:r>
      <w:r w:rsidRPr="000A0A5F">
        <w:rPr>
          <w:rFonts w:hint="eastAsia"/>
          <w:lang w:eastAsia="zh-CN"/>
        </w:rPr>
        <w:t xml:space="preserve"> response.</w:t>
      </w:r>
    </w:p>
    <w:p w:rsidR="00CB0DD7" w:rsidRPr="000A0A5F" w:rsidRDefault="00CB0DD7">
      <w:pPr>
        <w:pStyle w:val="Heading3"/>
        <w:rPr>
          <w:lang w:eastAsia="zh-CN"/>
        </w:rPr>
      </w:pPr>
      <w:bookmarkStart w:id="570" w:name="_Toc11247216"/>
      <w:bookmarkStart w:id="571" w:name="_Toc27044334"/>
      <w:bookmarkStart w:id="572" w:name="_Toc36033376"/>
      <w:bookmarkStart w:id="573" w:name="_Toc45131508"/>
      <w:bookmarkStart w:id="574" w:name="_Toc49775793"/>
      <w:bookmarkStart w:id="575" w:name="_Toc51746713"/>
      <w:bookmarkStart w:id="576" w:name="_Toc66360255"/>
      <w:bookmarkStart w:id="577" w:name="_Toc68104760"/>
      <w:bookmarkStart w:id="578" w:name="_Toc74755389"/>
      <w:bookmarkStart w:id="579" w:name="_Toc105674244"/>
      <w:bookmarkStart w:id="580" w:name="_Toc130502277"/>
      <w:bookmarkStart w:id="581" w:name="_Toc153625056"/>
      <w:r w:rsidRPr="000A0A5F">
        <w:t>4.</w:t>
      </w:r>
      <w:r w:rsidRPr="000A0A5F">
        <w:rPr>
          <w:lang w:eastAsia="zh-CN"/>
        </w:rPr>
        <w:t>4</w:t>
      </w:r>
      <w:r w:rsidRPr="000A0A5F">
        <w:t>.7</w:t>
      </w:r>
      <w:r w:rsidRPr="000A0A5F">
        <w:tab/>
      </w:r>
      <w:r w:rsidRPr="000A0A5F">
        <w:rPr>
          <w:rFonts w:hint="eastAsia"/>
          <w:lang w:eastAsia="zh-CN"/>
        </w:rPr>
        <w:t xml:space="preserve">Procedures for </w:t>
      </w:r>
      <w:r w:rsidRPr="000A0A5F">
        <w:rPr>
          <w:lang w:eastAsia="zh-CN"/>
        </w:rPr>
        <w:t>Group Message Delivery</w:t>
      </w:r>
      <w:bookmarkEnd w:id="570"/>
      <w:bookmarkEnd w:id="571"/>
      <w:bookmarkEnd w:id="572"/>
      <w:bookmarkEnd w:id="573"/>
      <w:bookmarkEnd w:id="574"/>
      <w:bookmarkEnd w:id="575"/>
      <w:bookmarkEnd w:id="576"/>
      <w:bookmarkEnd w:id="577"/>
      <w:bookmarkEnd w:id="578"/>
      <w:bookmarkEnd w:id="579"/>
      <w:bookmarkEnd w:id="580"/>
      <w:bookmarkEnd w:id="581"/>
      <w:r w:rsidRPr="000A0A5F">
        <w:rPr>
          <w:lang w:eastAsia="zh-CN"/>
        </w:rPr>
        <w:t xml:space="preserve"> </w:t>
      </w:r>
    </w:p>
    <w:p w:rsidR="00CB0DD7" w:rsidRPr="000A0A5F" w:rsidRDefault="00CB0DD7">
      <w:pPr>
        <w:pStyle w:val="Heading4"/>
        <w:rPr>
          <w:rFonts w:hint="eastAsia"/>
          <w:lang w:eastAsia="zh-CN"/>
        </w:rPr>
      </w:pPr>
      <w:bookmarkStart w:id="582" w:name="_Toc11247217"/>
      <w:bookmarkStart w:id="583" w:name="_Toc27044335"/>
      <w:bookmarkStart w:id="584" w:name="_Toc36033377"/>
      <w:bookmarkStart w:id="585" w:name="_Toc45131509"/>
      <w:bookmarkStart w:id="586" w:name="_Toc49775794"/>
      <w:bookmarkStart w:id="587" w:name="_Toc51746714"/>
      <w:bookmarkStart w:id="588" w:name="_Toc66360256"/>
      <w:bookmarkStart w:id="589" w:name="_Toc68104761"/>
      <w:bookmarkStart w:id="590" w:name="_Toc74755390"/>
      <w:bookmarkStart w:id="591" w:name="_Toc105674245"/>
      <w:bookmarkStart w:id="592" w:name="_Toc130502278"/>
      <w:bookmarkStart w:id="593" w:name="_Toc153625057"/>
      <w:r w:rsidRPr="000A0A5F">
        <w:t>4.4.7.1</w:t>
      </w:r>
      <w:r w:rsidRPr="000A0A5F">
        <w:tab/>
        <w:t>General</w:t>
      </w:r>
      <w:bookmarkEnd w:id="582"/>
      <w:bookmarkEnd w:id="583"/>
      <w:bookmarkEnd w:id="584"/>
      <w:bookmarkEnd w:id="585"/>
      <w:bookmarkEnd w:id="586"/>
      <w:bookmarkEnd w:id="587"/>
      <w:bookmarkEnd w:id="588"/>
      <w:bookmarkEnd w:id="589"/>
      <w:bookmarkEnd w:id="590"/>
      <w:bookmarkEnd w:id="591"/>
      <w:bookmarkEnd w:id="592"/>
      <w:bookmarkEnd w:id="593"/>
    </w:p>
    <w:p w:rsidR="00CB0DD7" w:rsidRPr="000A0A5F" w:rsidRDefault="00CB0DD7">
      <w:pPr>
        <w:rPr>
          <w:lang w:eastAsia="zh-CN"/>
        </w:rPr>
      </w:pPr>
      <w:r w:rsidRPr="000A0A5F">
        <w:t xml:space="preserve">This </w:t>
      </w:r>
      <w:r w:rsidRPr="000A0A5F">
        <w:rPr>
          <w:rFonts w:hint="eastAsia"/>
          <w:lang w:eastAsia="zh-CN"/>
        </w:rPr>
        <w:t xml:space="preserve">procedure is used by an SCS/AS to </w:t>
      </w:r>
      <w:r w:rsidRPr="000A0A5F">
        <w:rPr>
          <w:lang w:eastAsia="zh-CN"/>
        </w:rPr>
        <w:t>deliver a payload to a group of UEs. Two methods of Group Message Delivery via the T8 are specified:</w:t>
      </w:r>
    </w:p>
    <w:p w:rsidR="00CB0DD7" w:rsidRPr="000A0A5F" w:rsidRDefault="00CB0DD7">
      <w:pPr>
        <w:pStyle w:val="B10"/>
        <w:rPr>
          <w:lang w:eastAsia="zh-CN"/>
        </w:rPr>
      </w:pPr>
      <w:r w:rsidRPr="000A0A5F">
        <w:t>-</w:t>
      </w:r>
      <w:r w:rsidRPr="000A0A5F">
        <w:tab/>
        <w:t>Group Message Delivery via MBMS which is intended to efficiently distribute the same content to the members of a group that are located in a particular geographical area when MBMS is used</w:t>
      </w:r>
      <w:r w:rsidRPr="000A0A5F">
        <w:rPr>
          <w:rFonts w:hint="eastAsia"/>
          <w:lang w:eastAsia="zh-CN"/>
        </w:rPr>
        <w:t>.</w:t>
      </w:r>
      <w:r w:rsidRPr="000A0A5F">
        <w:rPr>
          <w:lang w:eastAsia="zh-CN"/>
        </w:rPr>
        <w:t xml:space="preserve"> This method further includes two varieties: </w:t>
      </w:r>
    </w:p>
    <w:p w:rsidR="00CB0DD7" w:rsidRPr="000A0A5F" w:rsidRDefault="00CB0DD7">
      <w:pPr>
        <w:pStyle w:val="B2"/>
      </w:pPr>
      <w:r w:rsidRPr="000A0A5F">
        <w:rPr>
          <w:lang w:eastAsia="zh-CN"/>
        </w:rPr>
        <w:t>-</w:t>
      </w:r>
      <w:r w:rsidRPr="000A0A5F">
        <w:rPr>
          <w:lang w:eastAsia="zh-CN"/>
        </w:rPr>
        <w:tab/>
        <w:t>the MB2 interface (see stage 2 in 3GPP TS 23.468 [55] and stage 3 in 3GPP TS 29.468 [36]) is used as southbound interface</w:t>
      </w:r>
      <w:r w:rsidRPr="000A0A5F">
        <w:t>;</w:t>
      </w:r>
    </w:p>
    <w:p w:rsidR="00CB0DD7" w:rsidRPr="000A0A5F" w:rsidRDefault="00CB0DD7">
      <w:pPr>
        <w:pStyle w:val="B2"/>
      </w:pPr>
      <w:r w:rsidRPr="000A0A5F">
        <w:rPr>
          <w:rFonts w:eastAsia="Batang"/>
        </w:rPr>
        <w:t>-</w:t>
      </w:r>
      <w:r w:rsidRPr="000A0A5F">
        <w:tab/>
        <w:t>the xMB interface (</w:t>
      </w:r>
      <w:r w:rsidRPr="000A0A5F">
        <w:rPr>
          <w:lang w:eastAsia="zh-CN"/>
        </w:rPr>
        <w:t>see stage 2 in 3GPP TS 26.348 [56] and stage 3 in 3GPP TS 29.116 [37]</w:t>
      </w:r>
      <w:r w:rsidRPr="000A0A5F">
        <w:t>) is used as southbound interface.</w:t>
      </w:r>
    </w:p>
    <w:p w:rsidR="00CB0DD7" w:rsidRPr="000A0A5F" w:rsidRDefault="00CB0DD7">
      <w:pPr>
        <w:pStyle w:val="B10"/>
      </w:pPr>
      <w:r w:rsidRPr="000A0A5F">
        <w:t>-</w:t>
      </w:r>
      <w:r w:rsidRPr="000A0A5F">
        <w:tab/>
        <w:t>Group Message Delivery via unicast MT NIDD for UEs which are part of the same External Group Identifier.</w:t>
      </w:r>
    </w:p>
    <w:p w:rsidR="00CB0DD7" w:rsidRPr="000A0A5F" w:rsidRDefault="00CB0DD7">
      <w:pPr>
        <w:pStyle w:val="NO"/>
        <w:rPr>
          <w:lang w:val="en-US"/>
        </w:rPr>
      </w:pPr>
      <w:r w:rsidRPr="000A0A5F">
        <w:rPr>
          <w:lang w:val="en-US"/>
        </w:rPr>
        <w:t>NOTE:</w:t>
      </w:r>
      <w:r w:rsidRPr="000A0A5F">
        <w:rPr>
          <w:lang w:val="en-US"/>
        </w:rPr>
        <w:tab/>
        <w:t>Group Message Delivery via MT NIDD is defined in clause </w:t>
      </w:r>
      <w:r w:rsidRPr="000A0A5F">
        <w:rPr>
          <w:noProof/>
          <w:lang w:eastAsia="zh-CN"/>
        </w:rPr>
        <w:t>4.4.5.3.2</w:t>
      </w:r>
      <w:r w:rsidRPr="000A0A5F">
        <w:rPr>
          <w:lang w:val="en-US"/>
        </w:rPr>
        <w:t>.</w:t>
      </w:r>
    </w:p>
    <w:p w:rsidR="00CB0DD7" w:rsidRPr="000A0A5F" w:rsidRDefault="00CB0DD7">
      <w:pPr>
        <w:rPr>
          <w:lang w:eastAsia="zh-CN"/>
        </w:rPr>
      </w:pPr>
      <w:r w:rsidRPr="000A0A5F">
        <w:rPr>
          <w:rFonts w:hint="eastAsia"/>
          <w:lang w:eastAsia="zh-CN"/>
        </w:rPr>
        <w:t>Error handling for the procedures in th</w:t>
      </w:r>
      <w:r w:rsidRPr="000A0A5F">
        <w:rPr>
          <w:lang w:eastAsia="zh-CN"/>
        </w:rPr>
        <w:t>e</w:t>
      </w:r>
      <w:r w:rsidRPr="000A0A5F">
        <w:rPr>
          <w:rFonts w:hint="eastAsia"/>
          <w:lang w:eastAsia="zh-CN"/>
        </w:rPr>
        <w:t xml:space="preserve"> </w:t>
      </w:r>
      <w:r w:rsidRPr="000A0A5F">
        <w:rPr>
          <w:lang w:eastAsia="zh-CN"/>
        </w:rPr>
        <w:t xml:space="preserve">subsequent </w:t>
      </w:r>
      <w:r w:rsidRPr="000A0A5F">
        <w:rPr>
          <w:rFonts w:hint="eastAsia"/>
          <w:lang w:eastAsia="zh-CN"/>
        </w:rPr>
        <w:t>clause</w:t>
      </w:r>
      <w:r w:rsidRPr="000A0A5F">
        <w:rPr>
          <w:lang w:eastAsia="zh-CN"/>
        </w:rPr>
        <w:t>s</w:t>
      </w:r>
      <w:r w:rsidRPr="000A0A5F">
        <w:rPr>
          <w:rFonts w:hint="eastAsia"/>
          <w:lang w:eastAsia="zh-CN"/>
        </w:rPr>
        <w:t xml:space="preserve"> shall be handled based on clause</w:t>
      </w:r>
      <w:r w:rsidRPr="000A0A5F">
        <w:rPr>
          <w:lang w:val="en-US" w:eastAsia="zh-CN"/>
        </w:rPr>
        <w:t> </w:t>
      </w:r>
      <w:r w:rsidRPr="000A0A5F">
        <w:rPr>
          <w:rFonts w:hint="eastAsia"/>
          <w:lang w:eastAsia="zh-CN"/>
        </w:rPr>
        <w:t>5.2.</w:t>
      </w:r>
      <w:r w:rsidRPr="000A0A5F">
        <w:rPr>
          <w:lang w:eastAsia="zh-CN"/>
        </w:rPr>
        <w:t>6</w:t>
      </w:r>
      <w:r w:rsidRPr="000A0A5F">
        <w:rPr>
          <w:rFonts w:hint="eastAsia"/>
          <w:lang w:eastAsia="zh-CN"/>
        </w:rPr>
        <w:t>.</w:t>
      </w:r>
    </w:p>
    <w:p w:rsidR="00CB0DD7" w:rsidRPr="000A0A5F" w:rsidRDefault="00CB0DD7">
      <w:pPr>
        <w:pStyle w:val="Heading4"/>
      </w:pPr>
      <w:bookmarkStart w:id="594" w:name="_Toc11247218"/>
      <w:bookmarkStart w:id="595" w:name="_Toc27044336"/>
      <w:bookmarkStart w:id="596" w:name="_Toc36033378"/>
      <w:bookmarkStart w:id="597" w:name="_Toc45131510"/>
      <w:bookmarkStart w:id="598" w:name="_Toc49775795"/>
      <w:bookmarkStart w:id="599" w:name="_Toc51746715"/>
      <w:bookmarkStart w:id="600" w:name="_Toc66360257"/>
      <w:bookmarkStart w:id="601" w:name="_Toc68104762"/>
      <w:bookmarkStart w:id="602" w:name="_Toc74755391"/>
      <w:bookmarkStart w:id="603" w:name="_Toc105674246"/>
      <w:bookmarkStart w:id="604" w:name="_Toc130502279"/>
      <w:bookmarkStart w:id="605" w:name="_Toc153625058"/>
      <w:r w:rsidRPr="000A0A5F">
        <w:t>4.4.</w:t>
      </w:r>
      <w:r w:rsidRPr="000A0A5F">
        <w:rPr>
          <w:lang w:eastAsia="zh-CN"/>
        </w:rPr>
        <w:t>7</w:t>
      </w:r>
      <w:r w:rsidRPr="000A0A5F">
        <w:t>.2</w:t>
      </w:r>
      <w:r w:rsidRPr="000A0A5F">
        <w:tab/>
        <w:t>Group Message Delivery via MBMS</w:t>
      </w:r>
      <w:bookmarkEnd w:id="594"/>
      <w:bookmarkEnd w:id="595"/>
      <w:bookmarkEnd w:id="596"/>
      <w:bookmarkEnd w:id="597"/>
      <w:bookmarkEnd w:id="598"/>
      <w:bookmarkEnd w:id="599"/>
      <w:bookmarkEnd w:id="600"/>
      <w:bookmarkEnd w:id="601"/>
      <w:bookmarkEnd w:id="602"/>
      <w:bookmarkEnd w:id="603"/>
      <w:bookmarkEnd w:id="604"/>
      <w:bookmarkEnd w:id="605"/>
    </w:p>
    <w:p w:rsidR="00CB0DD7" w:rsidRPr="000A0A5F" w:rsidRDefault="00CB0DD7">
      <w:pPr>
        <w:pStyle w:val="Heading5"/>
        <w:rPr>
          <w:rFonts w:hint="eastAsia"/>
        </w:rPr>
      </w:pPr>
      <w:bookmarkStart w:id="606" w:name="_Toc11247219"/>
      <w:bookmarkStart w:id="607" w:name="_Toc27044337"/>
      <w:bookmarkStart w:id="608" w:name="_Toc36033379"/>
      <w:bookmarkStart w:id="609" w:name="_Toc45131511"/>
      <w:bookmarkStart w:id="610" w:name="_Toc49775796"/>
      <w:bookmarkStart w:id="611" w:name="_Toc51746716"/>
      <w:bookmarkStart w:id="612" w:name="_Toc66360258"/>
      <w:bookmarkStart w:id="613" w:name="_Toc68104763"/>
      <w:bookmarkStart w:id="614" w:name="_Toc74755392"/>
      <w:bookmarkStart w:id="615" w:name="_Toc105674247"/>
      <w:bookmarkStart w:id="616" w:name="_Toc130502280"/>
      <w:bookmarkStart w:id="617" w:name="_Toc153625059"/>
      <w:r w:rsidRPr="000A0A5F">
        <w:t>4.4.7.2.1</w:t>
      </w:r>
      <w:r w:rsidRPr="000A0A5F">
        <w:tab/>
        <w:t>General</w:t>
      </w:r>
      <w:bookmarkEnd w:id="606"/>
      <w:bookmarkEnd w:id="607"/>
      <w:bookmarkEnd w:id="608"/>
      <w:bookmarkEnd w:id="609"/>
      <w:bookmarkEnd w:id="610"/>
      <w:bookmarkEnd w:id="611"/>
      <w:bookmarkEnd w:id="612"/>
      <w:bookmarkEnd w:id="613"/>
      <w:bookmarkEnd w:id="614"/>
      <w:bookmarkEnd w:id="615"/>
      <w:bookmarkEnd w:id="616"/>
      <w:bookmarkEnd w:id="617"/>
    </w:p>
    <w:p w:rsidR="00CB0DD7" w:rsidRPr="000A0A5F" w:rsidRDefault="00CB0DD7">
      <w:r w:rsidRPr="000A0A5F">
        <w:t xml:space="preserve">This </w:t>
      </w:r>
      <w:r w:rsidRPr="000A0A5F">
        <w:rPr>
          <w:rFonts w:hint="eastAsia"/>
          <w:lang w:eastAsia="zh-CN"/>
        </w:rPr>
        <w:t xml:space="preserve">procedure is used by an SCS/AS to </w:t>
      </w:r>
      <w:r w:rsidRPr="000A0A5F">
        <w:rPr>
          <w:lang w:eastAsia="zh-CN"/>
        </w:rPr>
        <w:t>deliver a payload to a group of UEs via the T8 interface. The SCEF use the G</w:t>
      </w:r>
      <w:r w:rsidRPr="000A0A5F">
        <w:t>roup Message Delivery via MBMS to efficiently distribute the same content to the members of a group that are located in a particular geographical area when MBMS is used.</w:t>
      </w:r>
    </w:p>
    <w:p w:rsidR="00CB0DD7" w:rsidRPr="000A0A5F" w:rsidRDefault="00CB0DD7">
      <w:pPr>
        <w:rPr>
          <w:rFonts w:hint="eastAsia"/>
          <w:lang w:eastAsia="zh-CN"/>
        </w:rPr>
      </w:pPr>
      <w:r w:rsidRPr="000A0A5F">
        <w:rPr>
          <w:lang w:eastAsia="zh-CN"/>
        </w:rPr>
        <w:t>The procedure of Group message Delivery via MBMS and MB2 used as southbound interface is described in caluse 4.4.7.2.2 and the procedure of Group message Delivery via MBMS and xMB used as southbound interface is described in caluse 4.4.7.2.3.</w:t>
      </w:r>
    </w:p>
    <w:p w:rsidR="00CB0DD7" w:rsidRPr="000A0A5F" w:rsidRDefault="00CB0DD7">
      <w:pPr>
        <w:pStyle w:val="Heading5"/>
        <w:rPr>
          <w:rFonts w:cs="Arial"/>
        </w:rPr>
      </w:pPr>
      <w:bookmarkStart w:id="618" w:name="_Toc11247220"/>
      <w:bookmarkStart w:id="619" w:name="_Toc27044338"/>
      <w:bookmarkStart w:id="620" w:name="_Toc36033380"/>
      <w:bookmarkStart w:id="621" w:name="_Toc45131512"/>
      <w:bookmarkStart w:id="622" w:name="_Toc49775797"/>
      <w:bookmarkStart w:id="623" w:name="_Toc51746717"/>
      <w:bookmarkStart w:id="624" w:name="_Toc66360259"/>
      <w:bookmarkStart w:id="625" w:name="_Toc68104764"/>
      <w:bookmarkStart w:id="626" w:name="_Toc74755393"/>
      <w:bookmarkStart w:id="627" w:name="_Toc105674248"/>
      <w:bookmarkStart w:id="628" w:name="_Toc130502281"/>
      <w:bookmarkStart w:id="629" w:name="_Toc153625060"/>
      <w:r w:rsidRPr="000A0A5F">
        <w:rPr>
          <w:rFonts w:hint="eastAsia"/>
        </w:rPr>
        <w:t>4.4.7.2.</w:t>
      </w:r>
      <w:r w:rsidRPr="000A0A5F">
        <w:t>2</w:t>
      </w:r>
      <w:r w:rsidRPr="000A0A5F">
        <w:tab/>
      </w:r>
      <w:r w:rsidRPr="000A0A5F">
        <w:rPr>
          <w:lang w:eastAsia="zh-CN"/>
        </w:rPr>
        <w:t>Group Message Delivery via MBMS by MB2</w:t>
      </w:r>
      <w:bookmarkEnd w:id="618"/>
      <w:bookmarkEnd w:id="619"/>
      <w:bookmarkEnd w:id="620"/>
      <w:bookmarkEnd w:id="621"/>
      <w:bookmarkEnd w:id="622"/>
      <w:bookmarkEnd w:id="623"/>
      <w:bookmarkEnd w:id="624"/>
      <w:bookmarkEnd w:id="625"/>
      <w:bookmarkEnd w:id="626"/>
      <w:bookmarkEnd w:id="627"/>
      <w:bookmarkEnd w:id="628"/>
      <w:bookmarkEnd w:id="629"/>
    </w:p>
    <w:p w:rsidR="00CB0DD7" w:rsidRPr="000A0A5F" w:rsidRDefault="00CB0DD7">
      <w:pPr>
        <w:pStyle w:val="Heading6"/>
        <w:rPr>
          <w:rFonts w:hint="eastAsia"/>
        </w:rPr>
      </w:pPr>
      <w:bookmarkStart w:id="630" w:name="_Toc11247221"/>
      <w:bookmarkStart w:id="631" w:name="_Toc27044339"/>
      <w:bookmarkStart w:id="632" w:name="_Toc36033381"/>
      <w:bookmarkStart w:id="633" w:name="_Toc45131513"/>
      <w:bookmarkStart w:id="634" w:name="_Toc49775798"/>
      <w:bookmarkStart w:id="635" w:name="_Toc51746718"/>
      <w:bookmarkStart w:id="636" w:name="_Toc66360260"/>
      <w:bookmarkStart w:id="637" w:name="_Toc68104765"/>
      <w:bookmarkStart w:id="638" w:name="_Toc74755394"/>
      <w:bookmarkStart w:id="639" w:name="_Toc105674249"/>
      <w:bookmarkStart w:id="640" w:name="_Toc130502282"/>
      <w:bookmarkStart w:id="641" w:name="_Toc153625061"/>
      <w:r w:rsidRPr="000A0A5F">
        <w:rPr>
          <w:rFonts w:hint="eastAsia"/>
        </w:rPr>
        <w:t>4.4.7.2.2.1</w:t>
      </w:r>
      <w:r w:rsidRPr="000A0A5F">
        <w:tab/>
        <w:t>TMGI Allocation</w:t>
      </w:r>
      <w:bookmarkEnd w:id="630"/>
      <w:bookmarkEnd w:id="631"/>
      <w:bookmarkEnd w:id="632"/>
      <w:bookmarkEnd w:id="633"/>
      <w:bookmarkEnd w:id="634"/>
      <w:bookmarkEnd w:id="635"/>
      <w:bookmarkEnd w:id="636"/>
      <w:bookmarkEnd w:id="637"/>
      <w:bookmarkEnd w:id="638"/>
      <w:bookmarkEnd w:id="639"/>
      <w:bookmarkEnd w:id="640"/>
      <w:bookmarkEnd w:id="641"/>
    </w:p>
    <w:p w:rsidR="00CB0DD7" w:rsidRPr="000A0A5F" w:rsidRDefault="00CB0DD7">
      <w:r w:rsidRPr="000A0A5F">
        <w:rPr>
          <w:rFonts w:hint="eastAsia"/>
          <w:lang w:eastAsia="zh-CN"/>
        </w:rPr>
        <w:t xml:space="preserve">If </w:t>
      </w:r>
      <w:r w:rsidRPr="000A0A5F">
        <w:t>the SCS/AS acts as a GCS AS in the application level</w:t>
      </w:r>
      <w:r w:rsidRPr="000A0A5F">
        <w:rPr>
          <w:rFonts w:hint="eastAsia"/>
          <w:lang w:eastAsia="zh-CN"/>
        </w:rPr>
        <w:t xml:space="preserve"> </w:t>
      </w:r>
      <w:r w:rsidRPr="000A0A5F">
        <w:rPr>
          <w:lang w:eastAsia="zh-CN"/>
        </w:rPr>
        <w:t>and</w:t>
      </w:r>
      <w:r w:rsidRPr="000A0A5F">
        <w:rPr>
          <w:rFonts w:hint="eastAsia"/>
          <w:lang w:eastAsia="zh-CN"/>
        </w:rPr>
        <w:t xml:space="preserve"> </w:t>
      </w:r>
      <w:r w:rsidRPr="000A0A5F">
        <w:rPr>
          <w:lang w:eastAsia="zh-CN"/>
        </w:rPr>
        <w:t xml:space="preserve">if </w:t>
      </w:r>
      <w:r w:rsidRPr="000A0A5F">
        <w:rPr>
          <w:rFonts w:hint="eastAsia"/>
          <w:lang w:eastAsia="zh-CN"/>
        </w:rPr>
        <w:t>there is no assigned TMGI for an External Group Id</w:t>
      </w:r>
      <w:r w:rsidRPr="000A0A5F">
        <w:rPr>
          <w:lang w:eastAsia="zh-CN"/>
        </w:rPr>
        <w:t>entifier</w:t>
      </w:r>
      <w:r w:rsidRPr="000A0A5F">
        <w:rPr>
          <w:rFonts w:hint="eastAsia"/>
          <w:lang w:eastAsia="zh-CN"/>
        </w:rPr>
        <w:t xml:space="preserve">, the </w:t>
      </w:r>
      <w:r w:rsidRPr="000A0A5F">
        <w:rPr>
          <w:lang w:eastAsia="zh-CN"/>
        </w:rPr>
        <w:t xml:space="preserve">SCS/AS shall send an HTTP message to the SCEF </w:t>
      </w:r>
      <w:r w:rsidRPr="000A0A5F">
        <w:t>to the resource "</w:t>
      </w:r>
      <w:r w:rsidRPr="000A0A5F">
        <w:rPr>
          <w:rFonts w:hint="eastAsia"/>
        </w:rPr>
        <w:t>T</w:t>
      </w:r>
      <w:r w:rsidRPr="000A0A5F">
        <w:t>MGI Allocation"</w:t>
      </w:r>
      <w:r w:rsidRPr="000A0A5F">
        <w:rPr>
          <w:lang w:eastAsia="zh-CN"/>
        </w:rPr>
        <w:t xml:space="preserve">. The body of the HTTP POST request message shall include the </w:t>
      </w:r>
      <w:r w:rsidRPr="000A0A5F">
        <w:t xml:space="preserve">External Group Identifier. </w:t>
      </w:r>
      <w:r w:rsidRPr="000A0A5F">
        <w:rPr>
          <w:rFonts w:hint="eastAsia"/>
          <w:lang w:eastAsia="zh-CN"/>
        </w:rPr>
        <w:t>T</w:t>
      </w:r>
      <w:r w:rsidRPr="000A0A5F">
        <w:rPr>
          <w:lang w:eastAsia="zh-CN"/>
        </w:rPr>
        <w:t>he SCS/AS may also include the location information</w:t>
      </w:r>
      <w:r w:rsidRPr="000A0A5F">
        <w:t xml:space="preserve"> in the body.</w:t>
      </w:r>
    </w:p>
    <w:p w:rsidR="00CB0DD7" w:rsidRPr="000A0A5F" w:rsidRDefault="00CB0DD7">
      <w:r w:rsidRPr="000A0A5F">
        <w:t xml:space="preserve">Upon receipt of the HTTP POST request from the </w:t>
      </w:r>
      <w:r w:rsidRPr="000A0A5F">
        <w:rPr>
          <w:rFonts w:hint="eastAsia"/>
          <w:lang w:eastAsia="zh-CN"/>
        </w:rPr>
        <w:t xml:space="preserve">SCS/AS </w:t>
      </w:r>
      <w:r w:rsidRPr="000A0A5F">
        <w:t xml:space="preserve">to allocate a TMGI, the </w:t>
      </w:r>
      <w:r w:rsidRPr="000A0A5F">
        <w:rPr>
          <w:rFonts w:hint="eastAsia"/>
          <w:lang w:eastAsia="zh-CN"/>
        </w:rPr>
        <w:t>SCEF</w:t>
      </w:r>
      <w:r w:rsidRPr="000A0A5F">
        <w:t xml:space="preserve"> shall </w:t>
      </w:r>
      <w:r w:rsidRPr="000A0A5F">
        <w:rPr>
          <w:rFonts w:hint="eastAsia"/>
          <w:lang w:eastAsia="zh-CN"/>
        </w:rPr>
        <w:t>check</w:t>
      </w:r>
      <w:r w:rsidRPr="000A0A5F">
        <w:t xml:space="preserve"> whether </w:t>
      </w:r>
      <w:r w:rsidRPr="000A0A5F">
        <w:rPr>
          <w:rFonts w:hint="eastAsia"/>
          <w:lang w:eastAsia="zh-CN"/>
        </w:rPr>
        <w:t>the SCS/AS</w:t>
      </w:r>
      <w:r w:rsidRPr="000A0A5F">
        <w:t xml:space="preserve"> is authorized to request TMGI allocation. If authorization is successful, the </w:t>
      </w:r>
      <w:r w:rsidRPr="000A0A5F">
        <w:rPr>
          <w:rFonts w:hint="eastAsia"/>
          <w:lang w:eastAsia="zh-CN"/>
        </w:rPr>
        <w:t>SCEF</w:t>
      </w:r>
      <w:r w:rsidRPr="000A0A5F">
        <w:t xml:space="preserve"> shall initiate TMGI allocation by the BM-SC </w:t>
      </w:r>
      <w:r w:rsidRPr="000A0A5F">
        <w:rPr>
          <w:rFonts w:hint="eastAsia"/>
          <w:lang w:eastAsia="zh-CN"/>
        </w:rPr>
        <w:t xml:space="preserve">as defined in </w:t>
      </w:r>
      <w:r w:rsidRPr="000A0A5F">
        <w:rPr>
          <w:lang w:eastAsia="zh-CN"/>
        </w:rPr>
        <w:t>clause 5.2.1 o</w:t>
      </w:r>
      <w:r w:rsidRPr="000A0A5F">
        <w:rPr>
          <w:lang w:val="en-US" w:eastAsia="zh-CN"/>
        </w:rPr>
        <w:t xml:space="preserve">f </w:t>
      </w:r>
      <w:r w:rsidRPr="000A0A5F">
        <w:rPr>
          <w:rFonts w:hint="eastAsia"/>
          <w:lang w:eastAsia="zh-CN"/>
        </w:rPr>
        <w:t>3G</w:t>
      </w:r>
      <w:r w:rsidRPr="000A0A5F">
        <w:rPr>
          <w:lang w:eastAsia="zh-CN"/>
        </w:rPr>
        <w:t>PP TS 29.</w:t>
      </w:r>
      <w:r w:rsidRPr="000A0A5F">
        <w:rPr>
          <w:lang w:val="en-US" w:eastAsia="zh-CN"/>
        </w:rPr>
        <w:t>468 [36]</w:t>
      </w:r>
      <w:r w:rsidRPr="000A0A5F">
        <w:t xml:space="preserve">. Upon successful allocation of a TMGI, the </w:t>
      </w:r>
      <w:r w:rsidRPr="000A0A5F">
        <w:rPr>
          <w:rFonts w:hint="eastAsia"/>
          <w:lang w:eastAsia="zh-CN"/>
        </w:rPr>
        <w:t>SCEF</w:t>
      </w:r>
      <w:r w:rsidRPr="000A0A5F">
        <w:t xml:space="preserve"> shall create the resource </w:t>
      </w:r>
      <w:r w:rsidRPr="000A0A5F">
        <w:rPr>
          <w:lang w:eastAsia="zh-CN"/>
        </w:rPr>
        <w:t xml:space="preserve">which represents the TMGI allocation, addressed by a URI that contains the SCS identity and TMGI, and shall respond to the SCS/AS </w:t>
      </w:r>
      <w:r w:rsidRPr="000A0A5F">
        <w:t xml:space="preserve">with a 201 </w:t>
      </w:r>
      <w:r w:rsidRPr="000A0A5F">
        <w:rPr>
          <w:rFonts w:hint="eastAsia"/>
          <w:lang w:eastAsia="zh-CN"/>
        </w:rPr>
        <w:t>Created</w:t>
      </w:r>
      <w:r w:rsidRPr="000A0A5F">
        <w:t xml:space="preserve"> message including the TMGI and the TMGI expiration time</w:t>
      </w:r>
      <w:r w:rsidRPr="000A0A5F">
        <w:rPr>
          <w:lang w:eastAsia="zh-CN"/>
        </w:rPr>
        <w:t>.</w:t>
      </w:r>
    </w:p>
    <w:p w:rsidR="00CB0DD7" w:rsidRPr="000A0A5F" w:rsidRDefault="00CB0DD7">
      <w:pPr>
        <w:rPr>
          <w:lang w:eastAsia="zh-CN"/>
        </w:rPr>
      </w:pPr>
      <w:r w:rsidRPr="000A0A5F">
        <w:rPr>
          <w:rFonts w:hint="eastAsia"/>
          <w:lang w:eastAsia="zh-CN"/>
        </w:rPr>
        <w:t>In order to renew the TMGI</w:t>
      </w:r>
      <w:r w:rsidRPr="000A0A5F">
        <w:rPr>
          <w:lang w:eastAsia="zh-CN"/>
        </w:rPr>
        <w:t xml:space="preserve"> expiration time</w:t>
      </w:r>
      <w:r w:rsidRPr="000A0A5F">
        <w:rPr>
          <w:rFonts w:hint="eastAsia"/>
          <w:lang w:eastAsia="zh-CN"/>
        </w:rPr>
        <w:t>, the SC</w:t>
      </w:r>
      <w:r w:rsidRPr="000A0A5F">
        <w:rPr>
          <w:lang w:eastAsia="zh-CN"/>
        </w:rPr>
        <w:t>S</w:t>
      </w:r>
      <w:r w:rsidRPr="000A0A5F">
        <w:rPr>
          <w:rFonts w:hint="eastAsia"/>
          <w:lang w:eastAsia="zh-CN"/>
        </w:rPr>
        <w:t>/AS shall send</w:t>
      </w:r>
      <w:r w:rsidRPr="000A0A5F">
        <w:rPr>
          <w:lang w:eastAsia="zh-CN"/>
        </w:rPr>
        <w:t xml:space="preserve"> an HTTP PUT or PATCH message to the SCEF to the resource </w:t>
      </w:r>
      <w:r w:rsidRPr="000A0A5F">
        <w:t xml:space="preserve">"Individual </w:t>
      </w:r>
      <w:r w:rsidRPr="000A0A5F">
        <w:rPr>
          <w:rFonts w:hint="eastAsia"/>
        </w:rPr>
        <w:t>T</w:t>
      </w:r>
      <w:r w:rsidRPr="000A0A5F">
        <w:t>MGI Allocation"</w:t>
      </w:r>
      <w:r w:rsidRPr="000A0A5F">
        <w:rPr>
          <w:lang w:eastAsia="zh-CN"/>
        </w:rPr>
        <w:t>.</w:t>
      </w:r>
      <w:r w:rsidRPr="000A0A5F">
        <w:t xml:space="preserve"> Upon receipt of the HTTP PUT or PATCH request from the </w:t>
      </w:r>
      <w:r w:rsidRPr="000A0A5F">
        <w:rPr>
          <w:rFonts w:hint="eastAsia"/>
          <w:lang w:eastAsia="zh-CN"/>
        </w:rPr>
        <w:t xml:space="preserve">SCS/AS </w:t>
      </w:r>
      <w:r w:rsidRPr="000A0A5F">
        <w:t xml:space="preserve">to renew TMGI </w:t>
      </w:r>
      <w:r w:rsidRPr="000A0A5F">
        <w:rPr>
          <w:lang w:eastAsia="zh-CN"/>
        </w:rPr>
        <w:t>expiration time</w:t>
      </w:r>
      <w:r w:rsidRPr="000A0A5F">
        <w:t xml:space="preserve">, the </w:t>
      </w:r>
      <w:r w:rsidRPr="000A0A5F">
        <w:rPr>
          <w:rFonts w:hint="eastAsia"/>
          <w:lang w:eastAsia="zh-CN"/>
        </w:rPr>
        <w:t>SCEF</w:t>
      </w:r>
      <w:r w:rsidRPr="000A0A5F">
        <w:t xml:space="preserve"> shall initiate TMGI </w:t>
      </w:r>
      <w:r w:rsidRPr="000A0A5F">
        <w:rPr>
          <w:lang w:eastAsia="zh-CN"/>
        </w:rPr>
        <w:t>expiration time</w:t>
      </w:r>
      <w:r w:rsidRPr="000A0A5F">
        <w:t xml:space="preserve"> renewal to the BM-SC </w:t>
      </w:r>
      <w:r w:rsidRPr="000A0A5F">
        <w:rPr>
          <w:rFonts w:hint="eastAsia"/>
          <w:lang w:eastAsia="zh-CN"/>
        </w:rPr>
        <w:t xml:space="preserve">as defined in </w:t>
      </w:r>
      <w:r w:rsidRPr="000A0A5F">
        <w:rPr>
          <w:lang w:eastAsia="zh-CN"/>
        </w:rPr>
        <w:t>clause 5.2.1 o</w:t>
      </w:r>
      <w:r w:rsidRPr="000A0A5F">
        <w:rPr>
          <w:lang w:val="en-US" w:eastAsia="zh-CN"/>
        </w:rPr>
        <w:t xml:space="preserve">f </w:t>
      </w:r>
      <w:r w:rsidRPr="000A0A5F">
        <w:rPr>
          <w:rFonts w:hint="eastAsia"/>
          <w:lang w:eastAsia="zh-CN"/>
        </w:rPr>
        <w:t>3G</w:t>
      </w:r>
      <w:r w:rsidRPr="000A0A5F">
        <w:rPr>
          <w:lang w:eastAsia="zh-CN"/>
        </w:rPr>
        <w:t>PP TS 29.</w:t>
      </w:r>
      <w:r w:rsidRPr="000A0A5F">
        <w:rPr>
          <w:lang w:val="en-US" w:eastAsia="zh-CN"/>
        </w:rPr>
        <w:t>468 [36]</w:t>
      </w:r>
      <w:r w:rsidRPr="000A0A5F">
        <w:t xml:space="preserve">. Upon successful result, the </w:t>
      </w:r>
      <w:r w:rsidRPr="000A0A5F">
        <w:rPr>
          <w:rFonts w:hint="eastAsia"/>
          <w:lang w:eastAsia="zh-CN"/>
        </w:rPr>
        <w:t>SCEF</w:t>
      </w:r>
      <w:r w:rsidRPr="000A0A5F">
        <w:t xml:space="preserve"> shall update the resource and respond to the </w:t>
      </w:r>
      <w:r w:rsidRPr="000A0A5F">
        <w:rPr>
          <w:rFonts w:hint="eastAsia"/>
          <w:lang w:eastAsia="zh-CN"/>
        </w:rPr>
        <w:t xml:space="preserve">SCS/AS </w:t>
      </w:r>
      <w:r w:rsidRPr="000A0A5F">
        <w:rPr>
          <w:lang w:eastAsia="zh-CN"/>
        </w:rPr>
        <w:t xml:space="preserve">by sending an HTTP response with </w:t>
      </w:r>
      <w:r w:rsidRPr="000A0A5F">
        <w:rPr>
          <w:rFonts w:hint="eastAsia"/>
          <w:lang w:eastAsia="zh-CN"/>
        </w:rPr>
        <w:t xml:space="preserve">200 </w:t>
      </w:r>
      <w:r w:rsidRPr="000A0A5F">
        <w:rPr>
          <w:lang w:eastAsia="zh-CN"/>
        </w:rPr>
        <w:t xml:space="preserve">OK including </w:t>
      </w:r>
      <w:r w:rsidRPr="000A0A5F">
        <w:t>the new TMGI expiration time</w:t>
      </w:r>
      <w:r w:rsidR="00B34053" w:rsidRPr="000A0A5F">
        <w:t xml:space="preserve"> or 204 No Content if the required TMGI expiration time renewal is successful with no content in the HTTP PUT or PATCH response message body</w:t>
      </w:r>
      <w:r w:rsidRPr="000A0A5F">
        <w:rPr>
          <w:lang w:eastAsia="zh-CN"/>
        </w:rPr>
        <w:t>.</w:t>
      </w:r>
    </w:p>
    <w:p w:rsidR="00CB0DD7" w:rsidRPr="000A0A5F" w:rsidRDefault="00CB0DD7">
      <w:pPr>
        <w:rPr>
          <w:rFonts w:hint="eastAsia"/>
          <w:lang w:eastAsia="zh-CN"/>
        </w:rPr>
      </w:pPr>
      <w:r w:rsidRPr="000A0A5F">
        <w:rPr>
          <w:lang w:eastAsia="zh-CN"/>
        </w:rPr>
        <w:t>If the SCEF receives the response with an error code from the BM-SC for the allocation of TMGI or renewal of expiration time for the existing TMGI, the SCEF</w:t>
      </w:r>
      <w:r w:rsidRPr="000A0A5F">
        <w:rPr>
          <w:rFonts w:hint="eastAsia"/>
          <w:lang w:eastAsia="zh-CN"/>
        </w:rPr>
        <w:t xml:space="preserve"> shall not create or update the resource and </w:t>
      </w:r>
      <w:r w:rsidRPr="000A0A5F">
        <w:rPr>
          <w:lang w:eastAsia="zh-CN"/>
        </w:rPr>
        <w:t xml:space="preserve">shall </w:t>
      </w:r>
      <w:r w:rsidRPr="000A0A5F">
        <w:t>respond to the SCS/AS with a corresponding failure code as described in clause 5.2.6.</w:t>
      </w:r>
    </w:p>
    <w:p w:rsidR="00CB0DD7" w:rsidRPr="000A0A5F" w:rsidRDefault="00CB0DD7">
      <w:pPr>
        <w:rPr>
          <w:lang w:eastAsia="zh-CN"/>
        </w:rPr>
      </w:pPr>
      <w:r w:rsidRPr="000A0A5F">
        <w:rPr>
          <w:lang w:eastAsia="zh-CN"/>
        </w:rPr>
        <w:t>Upon the TMGI expiration, the SCEF may delete the resource of the TMGI locally.</w:t>
      </w:r>
    </w:p>
    <w:p w:rsidR="00CB0DD7" w:rsidRPr="000A0A5F" w:rsidRDefault="00CB0DD7">
      <w:pPr>
        <w:rPr>
          <w:rFonts w:hint="eastAsia"/>
          <w:lang w:eastAsia="zh-CN"/>
        </w:rPr>
      </w:pPr>
      <w:r w:rsidRPr="000A0A5F">
        <w:rPr>
          <w:lang w:eastAsia="zh-CN"/>
        </w:rPr>
        <w:t>Upon receipt of the notification of TMGI expiration by the BM-SC as defined in clause 5.2.3 o</w:t>
      </w:r>
      <w:r w:rsidRPr="000A0A5F">
        <w:rPr>
          <w:lang w:val="en-US" w:eastAsia="zh-CN"/>
        </w:rPr>
        <w:t xml:space="preserve">f </w:t>
      </w:r>
      <w:r w:rsidRPr="000A0A5F">
        <w:rPr>
          <w:rFonts w:hint="eastAsia"/>
          <w:lang w:eastAsia="zh-CN"/>
        </w:rPr>
        <w:t>3G</w:t>
      </w:r>
      <w:r w:rsidRPr="000A0A5F">
        <w:rPr>
          <w:lang w:eastAsia="zh-CN"/>
        </w:rPr>
        <w:t>PP TS 29.</w:t>
      </w:r>
      <w:r w:rsidRPr="000A0A5F">
        <w:rPr>
          <w:lang w:val="en-US" w:eastAsia="zh-CN"/>
        </w:rPr>
        <w:t>468 [36], the SCEF shall delete the resource if not yet deleted.</w:t>
      </w:r>
    </w:p>
    <w:p w:rsidR="00CB0DD7" w:rsidRPr="000A0A5F" w:rsidRDefault="00CB0DD7">
      <w:pPr>
        <w:pStyle w:val="Heading6"/>
      </w:pPr>
      <w:bookmarkStart w:id="642" w:name="_Toc11247222"/>
      <w:bookmarkStart w:id="643" w:name="_Toc27044340"/>
      <w:bookmarkStart w:id="644" w:name="_Toc36033382"/>
      <w:bookmarkStart w:id="645" w:name="_Toc45131514"/>
      <w:bookmarkStart w:id="646" w:name="_Toc49775799"/>
      <w:bookmarkStart w:id="647" w:name="_Toc51746719"/>
      <w:bookmarkStart w:id="648" w:name="_Toc66360261"/>
      <w:bookmarkStart w:id="649" w:name="_Toc68104766"/>
      <w:bookmarkStart w:id="650" w:name="_Toc74755395"/>
      <w:bookmarkStart w:id="651" w:name="_Toc105674250"/>
      <w:bookmarkStart w:id="652" w:name="_Toc130502283"/>
      <w:bookmarkStart w:id="653" w:name="_Toc153625062"/>
      <w:r w:rsidRPr="000A0A5F">
        <w:rPr>
          <w:rFonts w:hint="eastAsia"/>
        </w:rPr>
        <w:t>4.4.7.2.2.2</w:t>
      </w:r>
      <w:r w:rsidRPr="000A0A5F">
        <w:tab/>
        <w:t>TMGI Deallocation</w:t>
      </w:r>
      <w:bookmarkEnd w:id="642"/>
      <w:bookmarkEnd w:id="643"/>
      <w:bookmarkEnd w:id="644"/>
      <w:bookmarkEnd w:id="645"/>
      <w:bookmarkEnd w:id="646"/>
      <w:bookmarkEnd w:id="647"/>
      <w:bookmarkEnd w:id="648"/>
      <w:bookmarkEnd w:id="649"/>
      <w:bookmarkEnd w:id="650"/>
      <w:bookmarkEnd w:id="651"/>
      <w:bookmarkEnd w:id="652"/>
      <w:bookmarkEnd w:id="653"/>
    </w:p>
    <w:p w:rsidR="00CB0DD7" w:rsidRPr="000A0A5F" w:rsidRDefault="00CB0DD7">
      <w:r w:rsidRPr="000A0A5F">
        <w:rPr>
          <w:rFonts w:hint="eastAsia"/>
          <w:lang w:eastAsia="zh-CN"/>
        </w:rPr>
        <w:t xml:space="preserve">In order to </w:t>
      </w:r>
      <w:r w:rsidRPr="000A0A5F">
        <w:rPr>
          <w:lang w:eastAsia="zh-CN"/>
        </w:rPr>
        <w:t>deallocate</w:t>
      </w:r>
      <w:r w:rsidRPr="000A0A5F">
        <w:rPr>
          <w:rFonts w:hint="eastAsia"/>
          <w:lang w:eastAsia="zh-CN"/>
        </w:rPr>
        <w:t xml:space="preserve"> the TMGI, the SC</w:t>
      </w:r>
      <w:r w:rsidRPr="000A0A5F">
        <w:rPr>
          <w:lang w:eastAsia="zh-CN"/>
        </w:rPr>
        <w:t>S</w:t>
      </w:r>
      <w:r w:rsidRPr="000A0A5F">
        <w:rPr>
          <w:rFonts w:hint="eastAsia"/>
          <w:lang w:eastAsia="zh-CN"/>
        </w:rPr>
        <w:t>/AS shall send</w:t>
      </w:r>
      <w:r w:rsidRPr="000A0A5F">
        <w:rPr>
          <w:lang w:eastAsia="zh-CN"/>
        </w:rPr>
        <w:t xml:space="preserve"> an HTTP DELETE message to the SCEF to the resource </w:t>
      </w:r>
      <w:r w:rsidRPr="000A0A5F">
        <w:t xml:space="preserve">"Individual </w:t>
      </w:r>
      <w:r w:rsidRPr="000A0A5F">
        <w:rPr>
          <w:rFonts w:hint="eastAsia"/>
          <w:lang w:eastAsia="zh-CN"/>
        </w:rPr>
        <w:t>T</w:t>
      </w:r>
      <w:r w:rsidRPr="000A0A5F">
        <w:rPr>
          <w:lang w:eastAsia="zh-CN"/>
        </w:rPr>
        <w:t>MGI Allocation</w:t>
      </w:r>
      <w:r w:rsidRPr="000A0A5F">
        <w:t>"</w:t>
      </w:r>
      <w:r w:rsidRPr="000A0A5F">
        <w:rPr>
          <w:lang w:eastAsia="zh-CN"/>
        </w:rPr>
        <w:t>.</w:t>
      </w:r>
      <w:r w:rsidRPr="000A0A5F">
        <w:t xml:space="preserve"> Upon receipt of the HTTP DELETE request from the </w:t>
      </w:r>
      <w:r w:rsidRPr="000A0A5F">
        <w:rPr>
          <w:rFonts w:hint="eastAsia"/>
          <w:lang w:eastAsia="zh-CN"/>
        </w:rPr>
        <w:t xml:space="preserve">SCS/AS </w:t>
      </w:r>
      <w:r w:rsidRPr="000A0A5F">
        <w:t xml:space="preserve">to deallocate the TMGI, the </w:t>
      </w:r>
      <w:r w:rsidRPr="000A0A5F">
        <w:rPr>
          <w:rFonts w:hint="eastAsia"/>
          <w:lang w:eastAsia="zh-CN"/>
        </w:rPr>
        <w:t>SCEF</w:t>
      </w:r>
      <w:r w:rsidRPr="000A0A5F">
        <w:t xml:space="preserve"> shall initiate TMGI deallocation by the BM-SC </w:t>
      </w:r>
      <w:r w:rsidRPr="000A0A5F">
        <w:rPr>
          <w:rFonts w:hint="eastAsia"/>
          <w:lang w:eastAsia="zh-CN"/>
        </w:rPr>
        <w:t xml:space="preserve">as defined in </w:t>
      </w:r>
      <w:r w:rsidRPr="000A0A5F">
        <w:rPr>
          <w:lang w:eastAsia="zh-CN"/>
        </w:rPr>
        <w:t>clause 5.2.2 o</w:t>
      </w:r>
      <w:r w:rsidRPr="000A0A5F">
        <w:rPr>
          <w:lang w:val="en-US" w:eastAsia="zh-CN"/>
        </w:rPr>
        <w:t xml:space="preserve">f </w:t>
      </w:r>
      <w:r w:rsidRPr="000A0A5F">
        <w:rPr>
          <w:rFonts w:hint="eastAsia"/>
          <w:lang w:eastAsia="zh-CN"/>
        </w:rPr>
        <w:t>3G</w:t>
      </w:r>
      <w:r w:rsidRPr="000A0A5F">
        <w:rPr>
          <w:lang w:eastAsia="zh-CN"/>
        </w:rPr>
        <w:t>PP TS 29.</w:t>
      </w:r>
      <w:r w:rsidRPr="000A0A5F">
        <w:rPr>
          <w:lang w:val="en-US" w:eastAsia="zh-CN"/>
        </w:rPr>
        <w:t>468 [36]</w:t>
      </w:r>
      <w:r w:rsidRPr="000A0A5F">
        <w:t xml:space="preserve">. Upon successful deallocation of a TMGI, the </w:t>
      </w:r>
      <w:r w:rsidRPr="000A0A5F">
        <w:rPr>
          <w:rFonts w:hint="eastAsia"/>
          <w:lang w:eastAsia="zh-CN"/>
        </w:rPr>
        <w:t>SCEF</w:t>
      </w:r>
      <w:r w:rsidRPr="000A0A5F">
        <w:t xml:space="preserve"> shall delete the resource "Individual </w:t>
      </w:r>
      <w:r w:rsidRPr="000A0A5F">
        <w:rPr>
          <w:rFonts w:hint="eastAsia"/>
          <w:lang w:eastAsia="zh-CN"/>
        </w:rPr>
        <w:t>T</w:t>
      </w:r>
      <w:r w:rsidRPr="000A0A5F">
        <w:rPr>
          <w:lang w:eastAsia="zh-CN"/>
        </w:rPr>
        <w:t>MGI Allocation</w:t>
      </w:r>
      <w:r w:rsidRPr="000A0A5F">
        <w:t>" together with all sub-resouces "</w:t>
      </w:r>
      <w:r w:rsidRPr="000A0A5F">
        <w:rPr>
          <w:rFonts w:hint="eastAsia"/>
          <w:lang w:eastAsia="zh-CN"/>
        </w:rPr>
        <w:t>GMD vi</w:t>
      </w:r>
      <w:r w:rsidRPr="000A0A5F">
        <w:rPr>
          <w:lang w:eastAsia="zh-CN"/>
        </w:rPr>
        <w:t>a</w:t>
      </w:r>
      <w:r w:rsidRPr="000A0A5F">
        <w:rPr>
          <w:rFonts w:hint="eastAsia"/>
          <w:lang w:eastAsia="zh-CN"/>
        </w:rPr>
        <w:t xml:space="preserve"> MBMS</w:t>
      </w:r>
      <w:r w:rsidRPr="000A0A5F">
        <w:rPr>
          <w:lang w:eastAsia="zh-CN"/>
        </w:rPr>
        <w:t xml:space="preserve"> by MB2</w:t>
      </w:r>
      <w:r w:rsidRPr="000A0A5F">
        <w:t xml:space="preserve">" if available,and shall respond to the </w:t>
      </w:r>
      <w:r w:rsidRPr="000A0A5F">
        <w:rPr>
          <w:rFonts w:hint="eastAsia"/>
          <w:lang w:eastAsia="zh-CN"/>
        </w:rPr>
        <w:t xml:space="preserve">SCS/AS </w:t>
      </w:r>
      <w:r w:rsidRPr="000A0A5F">
        <w:rPr>
          <w:lang w:eastAsia="zh-CN"/>
        </w:rPr>
        <w:t>by sending an HTTP response w</w:t>
      </w:r>
      <w:r w:rsidRPr="000A0A5F">
        <w:t xml:space="preserve">ith </w:t>
      </w:r>
      <w:r w:rsidRPr="000A0A5F">
        <w:rPr>
          <w:rFonts w:hint="eastAsia"/>
        </w:rPr>
        <w:t>20</w:t>
      </w:r>
      <w:r w:rsidRPr="000A0A5F">
        <w:t xml:space="preserve">4 No Content. </w:t>
      </w:r>
    </w:p>
    <w:p w:rsidR="00CB0DD7" w:rsidRPr="000A0A5F" w:rsidRDefault="00CB0DD7">
      <w:pPr>
        <w:pStyle w:val="Heading6"/>
      </w:pPr>
      <w:bookmarkStart w:id="654" w:name="_Toc11247223"/>
      <w:bookmarkStart w:id="655" w:name="_Toc27044341"/>
      <w:bookmarkStart w:id="656" w:name="_Toc36033383"/>
      <w:bookmarkStart w:id="657" w:name="_Toc45131515"/>
      <w:bookmarkStart w:id="658" w:name="_Toc49775800"/>
      <w:bookmarkStart w:id="659" w:name="_Toc51746720"/>
      <w:bookmarkStart w:id="660" w:name="_Toc66360262"/>
      <w:bookmarkStart w:id="661" w:name="_Toc68104767"/>
      <w:bookmarkStart w:id="662" w:name="_Toc74755396"/>
      <w:bookmarkStart w:id="663" w:name="_Toc105674251"/>
      <w:bookmarkStart w:id="664" w:name="_Toc130502284"/>
      <w:bookmarkStart w:id="665" w:name="_Toc153625063"/>
      <w:r w:rsidRPr="000A0A5F">
        <w:rPr>
          <w:rFonts w:hint="eastAsia"/>
        </w:rPr>
        <w:t>4.4.7.2.2.3</w:t>
      </w:r>
      <w:r w:rsidRPr="000A0A5F">
        <w:tab/>
        <w:t>Creation of group message delivery</w:t>
      </w:r>
      <w:bookmarkEnd w:id="654"/>
      <w:bookmarkEnd w:id="655"/>
      <w:bookmarkEnd w:id="656"/>
      <w:bookmarkEnd w:id="657"/>
      <w:bookmarkEnd w:id="658"/>
      <w:bookmarkEnd w:id="659"/>
      <w:bookmarkEnd w:id="660"/>
      <w:bookmarkEnd w:id="661"/>
      <w:bookmarkEnd w:id="662"/>
      <w:bookmarkEnd w:id="663"/>
      <w:bookmarkEnd w:id="664"/>
      <w:bookmarkEnd w:id="665"/>
    </w:p>
    <w:p w:rsidR="00CB0DD7" w:rsidRPr="000A0A5F" w:rsidRDefault="00CB0DD7">
      <w:r w:rsidRPr="000A0A5F">
        <w:t xml:space="preserve">If the SCS/AS acts as a GCS AS in the application level and if the SCS/AS has an assigned TMGI for the External Group Identifier, </w:t>
      </w:r>
      <w:r w:rsidRPr="000A0A5F">
        <w:rPr>
          <w:lang w:eastAsia="zh-CN"/>
        </w:rPr>
        <w:t xml:space="preserve">in order to perform the group message delivery, </w:t>
      </w:r>
      <w:r w:rsidRPr="000A0A5F">
        <w:rPr>
          <w:rFonts w:hint="eastAsia"/>
          <w:lang w:eastAsia="zh-CN"/>
        </w:rPr>
        <w:t xml:space="preserve">the </w:t>
      </w:r>
      <w:r w:rsidRPr="000A0A5F">
        <w:rPr>
          <w:lang w:eastAsia="zh-CN"/>
        </w:rPr>
        <w:t xml:space="preserve">SCS/AS shall </w:t>
      </w:r>
      <w:r w:rsidRPr="000A0A5F">
        <w:t>sends an HTTP POST request message to the SCEF to the resource "</w:t>
      </w:r>
      <w:r w:rsidRPr="000A0A5F">
        <w:rPr>
          <w:rFonts w:hint="eastAsia"/>
          <w:lang w:eastAsia="zh-CN"/>
        </w:rPr>
        <w:t>GMD vi</w:t>
      </w:r>
      <w:r w:rsidRPr="000A0A5F">
        <w:rPr>
          <w:lang w:eastAsia="zh-CN"/>
        </w:rPr>
        <w:t>a</w:t>
      </w:r>
      <w:r w:rsidRPr="000A0A5F">
        <w:rPr>
          <w:rFonts w:hint="eastAsia"/>
          <w:lang w:eastAsia="zh-CN"/>
        </w:rPr>
        <w:t xml:space="preserve"> MBMS</w:t>
      </w:r>
      <w:r w:rsidRPr="000A0A5F">
        <w:rPr>
          <w:lang w:eastAsia="zh-CN"/>
        </w:rPr>
        <w:t xml:space="preserve"> by MB2"</w:t>
      </w:r>
      <w:r w:rsidRPr="000A0A5F">
        <w:t>. The body of the HTTP POST request message shall include the External Group Identifier</w:t>
      </w:r>
      <w:r w:rsidRPr="000A0A5F">
        <w:rPr>
          <w:lang w:eastAsia="zh-CN"/>
        </w:rPr>
        <w:t xml:space="preserve"> and notification destination URI identifying the recipient of notification within the </w:t>
      </w:r>
      <w:r w:rsidRPr="000A0A5F">
        <w:rPr>
          <w:noProof/>
        </w:rPr>
        <w:t>"</w:t>
      </w:r>
      <w:r w:rsidRPr="000A0A5F">
        <w:t>notification</w:t>
      </w:r>
      <w:r w:rsidRPr="000A0A5F">
        <w:rPr>
          <w:noProof/>
          <w:lang w:eastAsia="zh-CN"/>
        </w:rPr>
        <w:t>Destination</w:t>
      </w:r>
      <w:r w:rsidRPr="000A0A5F">
        <w:rPr>
          <w:noProof/>
        </w:rPr>
        <w:t>"</w:t>
      </w:r>
      <w:r w:rsidRPr="000A0A5F">
        <w:rPr>
          <w:rFonts w:hint="eastAsia"/>
        </w:rPr>
        <w:t xml:space="preserve"> </w:t>
      </w:r>
      <w:r w:rsidRPr="000A0A5F">
        <w:t xml:space="preserve">attribute. The SCS/AS may also include the Group Message Payload, the location information and a Message Delivery Start Time in the body. </w:t>
      </w:r>
    </w:p>
    <w:p w:rsidR="00CB0DD7" w:rsidRPr="000A0A5F" w:rsidRDefault="00CB0DD7">
      <w:pPr>
        <w:rPr>
          <w:lang w:eastAsia="zh-CN"/>
        </w:rPr>
      </w:pPr>
      <w:r w:rsidRPr="000A0A5F">
        <w:rPr>
          <w:rFonts w:hint="eastAsia"/>
          <w:lang w:eastAsia="zh-CN"/>
        </w:rPr>
        <w:t>The SCS/AS may also send an HTTP POST message to the SCEF directly to the resource</w:t>
      </w:r>
      <w:r w:rsidRPr="000A0A5F">
        <w:rPr>
          <w:lang w:eastAsia="zh-CN"/>
        </w:rPr>
        <w:t xml:space="preserve"> </w:t>
      </w:r>
      <w:r w:rsidRPr="000A0A5F">
        <w:t>"</w:t>
      </w:r>
      <w:r w:rsidRPr="000A0A5F">
        <w:rPr>
          <w:rFonts w:hint="eastAsia"/>
          <w:lang w:eastAsia="zh-CN"/>
        </w:rPr>
        <w:t>T</w:t>
      </w:r>
      <w:r w:rsidRPr="000A0A5F">
        <w:rPr>
          <w:lang w:eastAsia="zh-CN"/>
        </w:rPr>
        <w:t>MGI Allocation</w:t>
      </w:r>
      <w:r w:rsidRPr="000A0A5F">
        <w:t>"</w:t>
      </w:r>
      <w:r w:rsidRPr="000A0A5F">
        <w:rPr>
          <w:lang w:eastAsia="zh-CN"/>
        </w:rPr>
        <w:t xml:space="preserve"> without previously requesting TMGI allocation as defined in clause 4.4.7.</w:t>
      </w:r>
      <w:r w:rsidRPr="000A0A5F">
        <w:rPr>
          <w:lang w:val="en-US" w:eastAsia="zh-CN"/>
        </w:rPr>
        <w:t>2.2.</w:t>
      </w:r>
      <w:r w:rsidRPr="000A0A5F">
        <w:rPr>
          <w:lang w:eastAsia="zh-CN"/>
        </w:rPr>
        <w:t xml:space="preserve"> The SCEF shall create the resource </w:t>
      </w:r>
      <w:r w:rsidRPr="000A0A5F">
        <w:t xml:space="preserve">"Individual </w:t>
      </w:r>
      <w:r w:rsidRPr="000A0A5F">
        <w:rPr>
          <w:rFonts w:hint="eastAsia"/>
          <w:lang w:eastAsia="zh-CN"/>
        </w:rPr>
        <w:t>T</w:t>
      </w:r>
      <w:r w:rsidRPr="000A0A5F">
        <w:rPr>
          <w:lang w:eastAsia="zh-CN"/>
        </w:rPr>
        <w:t>MGI Allocation</w:t>
      </w:r>
      <w:r w:rsidRPr="000A0A5F">
        <w:t>"</w:t>
      </w:r>
      <w:r w:rsidRPr="000A0A5F">
        <w:rPr>
          <w:lang w:eastAsia="zh-CN"/>
        </w:rPr>
        <w:t xml:space="preserve"> and perform the procedure as define in clause 4.4.7.2.2, and shall also create resource </w:t>
      </w:r>
      <w:r w:rsidRPr="000A0A5F">
        <w:t>"</w:t>
      </w:r>
      <w:r w:rsidRPr="000A0A5F">
        <w:rPr>
          <w:rFonts w:hint="eastAsia"/>
          <w:lang w:eastAsia="zh-CN"/>
        </w:rPr>
        <w:t>GMD vi</w:t>
      </w:r>
      <w:r w:rsidRPr="000A0A5F">
        <w:rPr>
          <w:lang w:eastAsia="zh-CN"/>
        </w:rPr>
        <w:t>a</w:t>
      </w:r>
      <w:r w:rsidRPr="000A0A5F">
        <w:rPr>
          <w:rFonts w:hint="eastAsia"/>
          <w:lang w:eastAsia="zh-CN"/>
        </w:rPr>
        <w:t xml:space="preserve"> MBMS</w:t>
      </w:r>
      <w:r w:rsidRPr="000A0A5F">
        <w:rPr>
          <w:lang w:eastAsia="zh-CN"/>
        </w:rPr>
        <w:t xml:space="preserve"> by MB2</w:t>
      </w:r>
      <w:r w:rsidRPr="000A0A5F">
        <w:t>"</w:t>
      </w:r>
      <w:r w:rsidRPr="000A0A5F">
        <w:rPr>
          <w:lang w:eastAsia="zh-CN"/>
        </w:rPr>
        <w:t xml:space="preserve"> and perform the procedure as mentioned in this subcaluse for MBMS bearer creation.</w:t>
      </w:r>
    </w:p>
    <w:p w:rsidR="00CB0DD7" w:rsidRPr="000A0A5F" w:rsidRDefault="00CB0DD7">
      <w:r w:rsidRPr="000A0A5F">
        <w:t xml:space="preserve">Upon receipt of the HTTP POST request from the </w:t>
      </w:r>
      <w:r w:rsidRPr="000A0A5F">
        <w:rPr>
          <w:rFonts w:hint="eastAsia"/>
          <w:lang w:eastAsia="zh-CN"/>
        </w:rPr>
        <w:t xml:space="preserve">SCS/AS </w:t>
      </w:r>
      <w:r w:rsidRPr="000A0A5F">
        <w:t xml:space="preserve">to deliver the group message, the </w:t>
      </w:r>
      <w:r w:rsidRPr="000A0A5F">
        <w:rPr>
          <w:rFonts w:hint="eastAsia"/>
          <w:lang w:eastAsia="zh-CN"/>
        </w:rPr>
        <w:t>SCEF</w:t>
      </w:r>
      <w:r w:rsidRPr="000A0A5F">
        <w:t xml:space="preserve"> shall </w:t>
      </w:r>
      <w:r w:rsidRPr="000A0A5F">
        <w:rPr>
          <w:rFonts w:hint="eastAsia"/>
          <w:lang w:eastAsia="zh-CN"/>
        </w:rPr>
        <w:t>check</w:t>
      </w:r>
      <w:r w:rsidRPr="000A0A5F">
        <w:t xml:space="preserve"> whether </w:t>
      </w:r>
      <w:r w:rsidRPr="000A0A5F">
        <w:rPr>
          <w:rFonts w:hint="eastAsia"/>
          <w:lang w:eastAsia="zh-CN"/>
        </w:rPr>
        <w:t>the SCS/AS</w:t>
      </w:r>
      <w:r w:rsidRPr="000A0A5F">
        <w:t xml:space="preserve"> is authorized to send a group message request. It also checks to see if the Message Delivery Start Time does not start after the TMGI expiration. If authorization is successful, the </w:t>
      </w:r>
      <w:r w:rsidRPr="000A0A5F">
        <w:rPr>
          <w:rFonts w:hint="eastAsia"/>
          <w:lang w:eastAsia="zh-CN"/>
        </w:rPr>
        <w:t>SCEF</w:t>
      </w:r>
      <w:r w:rsidRPr="000A0A5F">
        <w:t xml:space="preserve"> shall initiate the Active MBMS Bearer procedure </w:t>
      </w:r>
      <w:r w:rsidRPr="000A0A5F">
        <w:rPr>
          <w:rFonts w:hint="eastAsia"/>
          <w:lang w:eastAsia="zh-CN"/>
        </w:rPr>
        <w:t xml:space="preserve">as defined in </w:t>
      </w:r>
      <w:r w:rsidRPr="000A0A5F">
        <w:t>clause 5.3.2</w:t>
      </w:r>
      <w:r w:rsidRPr="000A0A5F">
        <w:rPr>
          <w:lang w:eastAsia="zh-CN"/>
        </w:rPr>
        <w:t xml:space="preserve"> of 3</w:t>
      </w:r>
      <w:r w:rsidRPr="000A0A5F">
        <w:rPr>
          <w:rFonts w:hint="eastAsia"/>
          <w:lang w:eastAsia="zh-CN"/>
        </w:rPr>
        <w:t>G</w:t>
      </w:r>
      <w:r w:rsidRPr="000A0A5F">
        <w:rPr>
          <w:lang w:eastAsia="zh-CN"/>
        </w:rPr>
        <w:t>PP TS 29.</w:t>
      </w:r>
      <w:r w:rsidRPr="000A0A5F">
        <w:rPr>
          <w:lang w:val="en-US" w:eastAsia="zh-CN"/>
        </w:rPr>
        <w:t xml:space="preserve">468 [36] with the difference that </w:t>
      </w:r>
      <w:r w:rsidRPr="000A0A5F">
        <w:t>the SCEF acts as a GCS AS. The SCEF shall include the location information based on the local configuration if the location information is not provided in the HTTP POST request message.</w:t>
      </w:r>
    </w:p>
    <w:p w:rsidR="00CB0DD7" w:rsidRPr="000A0A5F" w:rsidRDefault="00CB0DD7">
      <w:r w:rsidRPr="000A0A5F">
        <w:rPr>
          <w:lang w:eastAsia="zh-CN"/>
        </w:rPr>
        <w:t xml:space="preserve">Upon successful activation of MBMS bearer, </w:t>
      </w:r>
      <w:r w:rsidRPr="000A0A5F">
        <w:t xml:space="preserve">the </w:t>
      </w:r>
      <w:r w:rsidRPr="000A0A5F">
        <w:rPr>
          <w:rFonts w:hint="eastAsia"/>
          <w:lang w:eastAsia="zh-CN"/>
        </w:rPr>
        <w:t>SCEF</w:t>
      </w:r>
      <w:r w:rsidRPr="000A0A5F">
        <w:t xml:space="preserve"> shall create resource </w:t>
      </w:r>
      <w:r w:rsidRPr="000A0A5F">
        <w:rPr>
          <w:lang w:eastAsia="zh-CN"/>
        </w:rPr>
        <w:t xml:space="preserve">which represents "Individual </w:t>
      </w:r>
      <w:r w:rsidRPr="000A0A5F">
        <w:rPr>
          <w:rFonts w:hint="eastAsia"/>
          <w:lang w:eastAsia="zh-CN"/>
        </w:rPr>
        <w:t>GMD</w:t>
      </w:r>
      <w:r w:rsidRPr="000A0A5F">
        <w:rPr>
          <w:lang w:eastAsia="zh-CN"/>
        </w:rPr>
        <w:t xml:space="preserve"> </w:t>
      </w:r>
      <w:r w:rsidRPr="000A0A5F">
        <w:rPr>
          <w:rFonts w:hint="eastAsia"/>
          <w:lang w:eastAsia="zh-CN"/>
        </w:rPr>
        <w:t>via MBMS</w:t>
      </w:r>
      <w:r w:rsidRPr="000A0A5F">
        <w:rPr>
          <w:lang w:eastAsia="zh-CN"/>
        </w:rPr>
        <w:t xml:space="preserve"> by MB2", addressed by a URI that contains Transaction Id allocated by the SCEF and </w:t>
      </w:r>
      <w:r w:rsidRPr="000A0A5F">
        <w:t xml:space="preserve">respond to the </w:t>
      </w:r>
      <w:r w:rsidRPr="000A0A5F">
        <w:rPr>
          <w:rFonts w:hint="eastAsia"/>
          <w:lang w:eastAsia="zh-CN"/>
        </w:rPr>
        <w:t>SCS/AS</w:t>
      </w:r>
      <w:r w:rsidRPr="000A0A5F">
        <w:rPr>
          <w:lang w:eastAsia="zh-CN"/>
        </w:rPr>
        <w:t xml:space="preserve"> by sending an HTTP response</w:t>
      </w:r>
      <w:r w:rsidRPr="000A0A5F">
        <w:rPr>
          <w:rFonts w:hint="eastAsia"/>
          <w:lang w:eastAsia="zh-CN"/>
        </w:rPr>
        <w:t xml:space="preserve"> </w:t>
      </w:r>
      <w:r w:rsidRPr="000A0A5F">
        <w:t xml:space="preserve">with a 201 </w:t>
      </w:r>
      <w:r w:rsidRPr="000A0A5F">
        <w:rPr>
          <w:rFonts w:hint="eastAsia"/>
          <w:lang w:eastAsia="zh-CN"/>
        </w:rPr>
        <w:t>Created</w:t>
      </w:r>
      <w:r w:rsidRPr="000A0A5F">
        <w:t xml:space="preserve"> status code</w:t>
      </w:r>
      <w:r w:rsidRPr="000A0A5F">
        <w:rPr>
          <w:rFonts w:hint="eastAsia"/>
          <w:lang w:eastAsia="zh-CN"/>
        </w:rPr>
        <w:t xml:space="preserve">, </w:t>
      </w:r>
      <w:r w:rsidRPr="000A0A5F">
        <w:t>including</w:t>
      </w:r>
      <w:r w:rsidRPr="000A0A5F">
        <w:rPr>
          <w:rFonts w:hint="eastAsia"/>
          <w:lang w:eastAsia="zh-CN"/>
        </w:rPr>
        <w:t xml:space="preserve"> </w:t>
      </w:r>
      <w:r w:rsidRPr="000A0A5F">
        <w:t>a Location header field containing the URI for the created resource</w:t>
      </w:r>
      <w:r w:rsidRPr="000A0A5F">
        <w:rPr>
          <w:rFonts w:hint="eastAsia"/>
          <w:lang w:eastAsia="zh-CN"/>
        </w:rPr>
        <w:t>.</w:t>
      </w:r>
      <w:r w:rsidRPr="000A0A5F">
        <w:t xml:space="preserve"> When the </w:t>
      </w:r>
      <w:r w:rsidRPr="000A0A5F">
        <w:rPr>
          <w:rFonts w:hint="eastAsia"/>
          <w:lang w:eastAsia="zh-CN"/>
        </w:rPr>
        <w:t xml:space="preserve">SCS/AS </w:t>
      </w:r>
      <w:r w:rsidRPr="000A0A5F">
        <w:t>receives the</w:t>
      </w:r>
      <w:r w:rsidRPr="000A0A5F">
        <w:rPr>
          <w:rFonts w:hint="eastAsia"/>
          <w:lang w:eastAsia="zh-CN"/>
        </w:rPr>
        <w:t xml:space="preserve"> URI in the Location header</w:t>
      </w:r>
      <w:r w:rsidRPr="000A0A5F">
        <w:t xml:space="preserve">, it shall use this </w:t>
      </w:r>
      <w:r w:rsidRPr="000A0A5F">
        <w:rPr>
          <w:rFonts w:hint="eastAsia"/>
          <w:lang w:eastAsia="zh-CN"/>
        </w:rPr>
        <w:t>URI</w:t>
      </w:r>
      <w:r w:rsidRPr="000A0A5F">
        <w:t xml:space="preserve"> in subsequent requests to the </w:t>
      </w:r>
      <w:r w:rsidRPr="000A0A5F">
        <w:rPr>
          <w:rFonts w:hint="eastAsia"/>
          <w:lang w:eastAsia="zh-CN"/>
        </w:rPr>
        <w:t xml:space="preserve">SCEF </w:t>
      </w:r>
      <w:r w:rsidRPr="000A0A5F">
        <w:t>to refer to this active MBMS bearer. If the Group Message Payload was not include in the HTTP POST above, the HTTP response sent from the SCEF shall also include the SCEF message delivery Ipv4 address or Ipv6 address and port number.</w:t>
      </w:r>
    </w:p>
    <w:p w:rsidR="00CB0DD7" w:rsidRPr="000A0A5F" w:rsidRDefault="00CB0DD7">
      <w:r w:rsidRPr="000A0A5F">
        <w:rPr>
          <w:lang w:eastAsia="zh-CN"/>
        </w:rPr>
        <w:t>If the SCEF receives the response with an error code from the BM-SC for the activation of MBMS bearer, the SCEF</w:t>
      </w:r>
      <w:r w:rsidRPr="000A0A5F">
        <w:rPr>
          <w:rFonts w:hint="eastAsia"/>
          <w:lang w:eastAsia="zh-CN"/>
        </w:rPr>
        <w:t xml:space="preserve"> shall not create</w:t>
      </w:r>
      <w:r w:rsidRPr="000A0A5F">
        <w:rPr>
          <w:lang w:eastAsia="zh-CN"/>
        </w:rPr>
        <w:t xml:space="preserve"> </w:t>
      </w:r>
      <w:r w:rsidRPr="000A0A5F">
        <w:rPr>
          <w:rFonts w:hint="eastAsia"/>
          <w:lang w:eastAsia="zh-CN"/>
        </w:rPr>
        <w:t xml:space="preserve">the resource and </w:t>
      </w:r>
      <w:r w:rsidRPr="000A0A5F">
        <w:rPr>
          <w:lang w:eastAsia="zh-CN"/>
        </w:rPr>
        <w:t xml:space="preserve">shall </w:t>
      </w:r>
      <w:r w:rsidRPr="000A0A5F">
        <w:t>respond to the SCS/AS with a corresponding failure code as described in clause 5.2.6.</w:t>
      </w:r>
    </w:p>
    <w:p w:rsidR="00CB0DD7" w:rsidRPr="000A0A5F" w:rsidRDefault="00CB0DD7">
      <w:pPr>
        <w:rPr>
          <w:lang w:eastAsia="zh-CN"/>
        </w:rPr>
      </w:pPr>
      <w:r w:rsidRPr="000A0A5F">
        <w:t xml:space="preserve">If the Group Message Payload was included the HTTP POST above, the SCEF shall deliver to BM-SC the Group Message Payload(s) as defined in </w:t>
      </w:r>
      <w:r w:rsidRPr="000A0A5F">
        <w:rPr>
          <w:lang w:eastAsia="zh-CN"/>
        </w:rPr>
        <w:t>3</w:t>
      </w:r>
      <w:r w:rsidRPr="000A0A5F">
        <w:rPr>
          <w:rFonts w:hint="eastAsia"/>
          <w:lang w:eastAsia="zh-CN"/>
        </w:rPr>
        <w:t>G</w:t>
      </w:r>
      <w:r w:rsidRPr="000A0A5F">
        <w:rPr>
          <w:lang w:eastAsia="zh-CN"/>
        </w:rPr>
        <w:t>PP TS 29.</w:t>
      </w:r>
      <w:r w:rsidRPr="000A0A5F">
        <w:rPr>
          <w:lang w:val="en-US" w:eastAsia="zh-CN"/>
        </w:rPr>
        <w:t>468 [36] at Message Delivery Start Time.</w:t>
      </w:r>
    </w:p>
    <w:p w:rsidR="00CB0DD7" w:rsidRPr="000A0A5F" w:rsidRDefault="00CB0DD7">
      <w:pPr>
        <w:rPr>
          <w:rFonts w:hint="eastAsia"/>
          <w:lang w:eastAsia="zh-CN"/>
        </w:rPr>
      </w:pPr>
      <w:r w:rsidRPr="000A0A5F">
        <w:t xml:space="preserve">If the Group Message Payload was not include in the HTTP POST above, the SCEF shall transfer the contents received from the SCS/AS to the BM-CS at or after the requested Group Message Start Time, but before the TMGI Expiration time. In this case, when the SCEF detects the group message delivery was triggered successful, the SCEF shall send an HTTP POST request message to the SCS/AS. </w:t>
      </w:r>
    </w:p>
    <w:p w:rsidR="00CB0DD7" w:rsidRPr="000A0A5F" w:rsidRDefault="00CB0DD7">
      <w:pPr>
        <w:pStyle w:val="NO"/>
        <w:rPr>
          <w:lang w:val="en-US"/>
        </w:rPr>
      </w:pPr>
      <w:r w:rsidRPr="000A0A5F">
        <w:rPr>
          <w:lang w:val="en-US"/>
        </w:rPr>
        <w:t>NOTE:</w:t>
      </w:r>
      <w:r w:rsidRPr="000A0A5F">
        <w:rPr>
          <w:lang w:val="en-US"/>
        </w:rPr>
        <w:tab/>
        <w:t>If Group Message Payload was included, then at Message Delivery Start Time, the SCEF delivers to BM-SC the Group Message Payload(s) to corresponding to MB2-U IP address and port number associated with respective TMGI.</w:t>
      </w:r>
    </w:p>
    <w:p w:rsidR="00CB0DD7" w:rsidRPr="000A0A5F" w:rsidRDefault="00CB0DD7">
      <w:pPr>
        <w:pStyle w:val="Heading6"/>
        <w:rPr>
          <w:rFonts w:eastAsia="Batang"/>
        </w:rPr>
      </w:pPr>
      <w:bookmarkStart w:id="666" w:name="_Toc11247224"/>
      <w:bookmarkStart w:id="667" w:name="_Toc27044342"/>
      <w:bookmarkStart w:id="668" w:name="_Toc36033384"/>
      <w:bookmarkStart w:id="669" w:name="_Toc45131516"/>
      <w:bookmarkStart w:id="670" w:name="_Toc49775801"/>
      <w:bookmarkStart w:id="671" w:name="_Toc51746721"/>
      <w:bookmarkStart w:id="672" w:name="_Toc66360263"/>
      <w:bookmarkStart w:id="673" w:name="_Toc68104768"/>
      <w:bookmarkStart w:id="674" w:name="_Toc74755397"/>
      <w:bookmarkStart w:id="675" w:name="_Toc105674252"/>
      <w:bookmarkStart w:id="676" w:name="_Toc130502285"/>
      <w:bookmarkStart w:id="677" w:name="_Toc153625064"/>
      <w:r w:rsidRPr="000A0A5F">
        <w:rPr>
          <w:rFonts w:hint="eastAsia"/>
        </w:rPr>
        <w:t>4.4.7.2.2.4</w:t>
      </w:r>
      <w:r w:rsidRPr="000A0A5F">
        <w:rPr>
          <w:rFonts w:eastAsia="Batang"/>
        </w:rPr>
        <w:tab/>
      </w:r>
      <w:r w:rsidRPr="000A0A5F">
        <w:t>Modification of previous submitted group message delivery</w:t>
      </w:r>
      <w:bookmarkEnd w:id="666"/>
      <w:bookmarkEnd w:id="667"/>
      <w:bookmarkEnd w:id="668"/>
      <w:bookmarkEnd w:id="669"/>
      <w:bookmarkEnd w:id="670"/>
      <w:bookmarkEnd w:id="671"/>
      <w:bookmarkEnd w:id="672"/>
      <w:bookmarkEnd w:id="673"/>
      <w:bookmarkEnd w:id="674"/>
      <w:bookmarkEnd w:id="675"/>
      <w:bookmarkEnd w:id="676"/>
      <w:bookmarkEnd w:id="677"/>
    </w:p>
    <w:p w:rsidR="00CB0DD7" w:rsidRPr="000A0A5F" w:rsidRDefault="00CB0DD7">
      <w:pPr>
        <w:rPr>
          <w:rFonts w:hint="eastAsia"/>
          <w:lang w:eastAsia="zh-CN"/>
        </w:rPr>
      </w:pPr>
      <w:r w:rsidRPr="000A0A5F">
        <w:rPr>
          <w:rFonts w:hint="eastAsia"/>
        </w:rPr>
        <w:t>If the SCS/AS</w:t>
      </w:r>
      <w:r w:rsidRPr="000A0A5F">
        <w:t xml:space="preserve"> determines that modification of previous accepted Group Message Delivery Request is required, the SCS/AS shall send an HTTP PATCH or HTTP PUT request message to the SCEF to the resource </w:t>
      </w:r>
      <w:r w:rsidRPr="000A0A5F">
        <w:rPr>
          <w:lang w:eastAsia="zh-CN"/>
        </w:rPr>
        <w:t xml:space="preserve">"Individual </w:t>
      </w:r>
      <w:r w:rsidRPr="000A0A5F">
        <w:rPr>
          <w:rFonts w:hint="eastAsia"/>
          <w:lang w:eastAsia="zh-CN"/>
        </w:rPr>
        <w:t>GMD</w:t>
      </w:r>
      <w:r w:rsidRPr="000A0A5F">
        <w:rPr>
          <w:lang w:eastAsia="zh-CN"/>
        </w:rPr>
        <w:t xml:space="preserve"> </w:t>
      </w:r>
      <w:r w:rsidRPr="000A0A5F">
        <w:rPr>
          <w:rFonts w:hint="eastAsia"/>
          <w:lang w:eastAsia="zh-CN"/>
        </w:rPr>
        <w:t>via MBMS</w:t>
      </w:r>
      <w:r w:rsidRPr="000A0A5F">
        <w:rPr>
          <w:lang w:eastAsia="zh-CN"/>
        </w:rPr>
        <w:t xml:space="preserve"> by MB2"</w:t>
      </w:r>
      <w:r w:rsidRPr="000A0A5F">
        <w:t xml:space="preserve">. </w:t>
      </w:r>
      <w:r w:rsidRPr="000A0A5F">
        <w:rPr>
          <w:rFonts w:hint="eastAsia"/>
          <w:lang w:eastAsia="zh-CN"/>
        </w:rPr>
        <w:t>T</w:t>
      </w:r>
      <w:r w:rsidRPr="000A0A5F">
        <w:rPr>
          <w:lang w:eastAsia="zh-CN"/>
        </w:rPr>
        <w:t xml:space="preserve">he body of the HTTP PATCH request message shall include the Message </w:t>
      </w:r>
      <w:r w:rsidRPr="000A0A5F">
        <w:rPr>
          <w:rFonts w:hint="eastAsia"/>
          <w:lang w:eastAsia="zh-CN"/>
        </w:rPr>
        <w:t xml:space="preserve">Delivery </w:t>
      </w:r>
      <w:r w:rsidRPr="000A0A5F">
        <w:rPr>
          <w:lang w:eastAsia="zh-CN"/>
        </w:rPr>
        <w:t>Start Time</w:t>
      </w:r>
      <w:r w:rsidRPr="000A0A5F">
        <w:rPr>
          <w:rFonts w:hint="eastAsia"/>
          <w:lang w:eastAsia="zh-CN"/>
        </w:rPr>
        <w:t>.</w:t>
      </w:r>
      <w:r w:rsidRPr="000A0A5F">
        <w:rPr>
          <w:lang w:eastAsia="zh-CN"/>
        </w:rPr>
        <w:t xml:space="preserve"> The SCS/AS may also include the </w:t>
      </w:r>
      <w:r w:rsidRPr="000A0A5F">
        <w:t>External Group Identifier, the Group Message Payload and the location information</w:t>
      </w:r>
      <w:r w:rsidRPr="000A0A5F">
        <w:rPr>
          <w:lang w:eastAsia="zh-CN"/>
        </w:rPr>
        <w:t xml:space="preserve"> in the body. </w:t>
      </w:r>
      <w:r w:rsidRPr="000A0A5F">
        <w:rPr>
          <w:rFonts w:hint="eastAsia"/>
          <w:lang w:eastAsia="zh-CN"/>
        </w:rPr>
        <w:t>T</w:t>
      </w:r>
      <w:r w:rsidRPr="000A0A5F">
        <w:rPr>
          <w:lang w:eastAsia="zh-CN"/>
        </w:rPr>
        <w:t>he body of the HTTP PUT request message shall include the information as the information provided in the HTTP POST in clause</w:t>
      </w:r>
      <w:r w:rsidRPr="000A0A5F">
        <w:rPr>
          <w:lang w:val="en-US" w:eastAsia="zh-CN"/>
        </w:rPr>
        <w:t> </w:t>
      </w:r>
      <w:r w:rsidRPr="000A0A5F">
        <w:rPr>
          <w:lang w:eastAsia="zh-CN"/>
        </w:rPr>
        <w:t xml:space="preserve">4.4.7.2.2.2.3. </w:t>
      </w:r>
      <w:r w:rsidRPr="000A0A5F">
        <w:rPr>
          <w:rFonts w:hint="eastAsia"/>
          <w:lang w:eastAsia="zh-CN"/>
        </w:rPr>
        <w:t>T</w:t>
      </w:r>
      <w:r w:rsidRPr="000A0A5F">
        <w:rPr>
          <w:lang w:eastAsia="zh-CN"/>
        </w:rPr>
        <w:t xml:space="preserve">he body of the HTTP PATCH request message shall include the information defined in </w:t>
      </w:r>
      <w:r w:rsidRPr="000A0A5F">
        <w:rPr>
          <w:lang w:val="en-US" w:eastAsia="zh-CN"/>
        </w:rPr>
        <w:t xml:space="preserve">the </w:t>
      </w:r>
      <w:r w:rsidRPr="000A0A5F">
        <w:rPr>
          <w:lang w:eastAsia="zh-CN"/>
        </w:rPr>
        <w:t xml:space="preserve">data type of </w:t>
      </w:r>
      <w:r w:rsidRPr="000A0A5F">
        <w:t>GMDViaMBMSByMb2Patch as defined in clause 5.8.2.1.1.6.</w:t>
      </w:r>
    </w:p>
    <w:p w:rsidR="00CB0DD7" w:rsidRPr="000A0A5F" w:rsidRDefault="00CB0DD7">
      <w:r w:rsidRPr="000A0A5F">
        <w:t xml:space="preserve">Upon receipt of the HTTP PATCH or HTTP PUT request from the </w:t>
      </w:r>
      <w:r w:rsidRPr="000A0A5F">
        <w:rPr>
          <w:rFonts w:hint="eastAsia"/>
          <w:lang w:eastAsia="zh-CN"/>
        </w:rPr>
        <w:t xml:space="preserve">SCS/AS </w:t>
      </w:r>
      <w:r w:rsidRPr="000A0A5F">
        <w:t xml:space="preserve">to modify the previous group message delivery subscription, the </w:t>
      </w:r>
      <w:r w:rsidRPr="000A0A5F">
        <w:rPr>
          <w:rFonts w:hint="eastAsia"/>
          <w:lang w:eastAsia="zh-CN"/>
        </w:rPr>
        <w:t xml:space="preserve">SCEF shall </w:t>
      </w:r>
      <w:r w:rsidRPr="000A0A5F">
        <w:t xml:space="preserve">check whether the </w:t>
      </w:r>
      <w:r w:rsidRPr="000A0A5F">
        <w:rPr>
          <w:rFonts w:hint="eastAsia"/>
          <w:lang w:eastAsia="zh-CN"/>
        </w:rPr>
        <w:t>SCS/AS</w:t>
      </w:r>
      <w:r w:rsidRPr="000A0A5F">
        <w:t xml:space="preserve"> is authenticated and authorized to modify the submitted group message delivery. If the authorization is successful, the SCEF shall initiate the Modify MBMS Bearer procedure </w:t>
      </w:r>
      <w:r w:rsidRPr="000A0A5F">
        <w:rPr>
          <w:rFonts w:hint="eastAsia"/>
          <w:lang w:eastAsia="zh-CN"/>
        </w:rPr>
        <w:t xml:space="preserve">as defined in </w:t>
      </w:r>
      <w:r w:rsidRPr="000A0A5F">
        <w:t>clause 5.3.4</w:t>
      </w:r>
      <w:r w:rsidRPr="000A0A5F">
        <w:rPr>
          <w:lang w:eastAsia="zh-CN"/>
        </w:rPr>
        <w:t xml:space="preserve"> of 3</w:t>
      </w:r>
      <w:r w:rsidRPr="000A0A5F">
        <w:rPr>
          <w:rFonts w:hint="eastAsia"/>
          <w:lang w:eastAsia="zh-CN"/>
        </w:rPr>
        <w:t>G</w:t>
      </w:r>
      <w:r w:rsidRPr="000A0A5F">
        <w:rPr>
          <w:lang w:eastAsia="zh-CN"/>
        </w:rPr>
        <w:t>PP TS 29.</w:t>
      </w:r>
      <w:r w:rsidRPr="000A0A5F">
        <w:rPr>
          <w:lang w:val="en-US" w:eastAsia="zh-CN"/>
        </w:rPr>
        <w:t xml:space="preserve">468 [36] with the difference that </w:t>
      </w:r>
      <w:r w:rsidRPr="000A0A5F">
        <w:t>the SCEF acts as a GCS AS. The SCEF shall include the location information based on the local configuration if the location information is not provided in the HTTP PATCH or HTTP PUT request message.</w:t>
      </w:r>
    </w:p>
    <w:p w:rsidR="00CB0DD7" w:rsidRPr="000A0A5F" w:rsidRDefault="00CB0DD7">
      <w:pPr>
        <w:rPr>
          <w:lang w:eastAsia="zh-CN"/>
        </w:rPr>
      </w:pPr>
      <w:r w:rsidRPr="000A0A5F">
        <w:rPr>
          <w:rFonts w:eastAsia="Batang"/>
        </w:rPr>
        <w:t xml:space="preserve">Upon successful </w:t>
      </w:r>
      <w:r w:rsidRPr="000A0A5F">
        <w:t xml:space="preserve">modification </w:t>
      </w:r>
      <w:r w:rsidRPr="000A0A5F">
        <w:rPr>
          <w:rFonts w:eastAsia="Batang"/>
        </w:rPr>
        <w:t xml:space="preserve">of MBMS bearer, </w:t>
      </w:r>
      <w:r w:rsidRPr="000A0A5F">
        <w:t xml:space="preserve">the </w:t>
      </w:r>
      <w:r w:rsidRPr="000A0A5F">
        <w:rPr>
          <w:rFonts w:hint="eastAsia"/>
        </w:rPr>
        <w:t>SCEF</w:t>
      </w:r>
      <w:r w:rsidRPr="000A0A5F">
        <w:t xml:space="preserve"> shall update the resource and respond to the </w:t>
      </w:r>
      <w:r w:rsidRPr="000A0A5F">
        <w:rPr>
          <w:rFonts w:hint="eastAsia"/>
        </w:rPr>
        <w:t xml:space="preserve">SCS/AS </w:t>
      </w:r>
      <w:r w:rsidRPr="000A0A5F">
        <w:t>with a 200 OK success message indicating that previous group message delivery subscription is successfully updated</w:t>
      </w:r>
      <w:r w:rsidR="00B34053" w:rsidRPr="000A0A5F">
        <w:t>, or 204 No Content if the updates or replacement is successful with no content in the HTTP PATCH or HTTP PUT response message body</w:t>
      </w:r>
      <w:r w:rsidRPr="000A0A5F">
        <w:rPr>
          <w:rFonts w:hint="eastAsia"/>
          <w:lang w:eastAsia="zh-CN"/>
        </w:rPr>
        <w:t>.</w:t>
      </w:r>
    </w:p>
    <w:p w:rsidR="00CB0DD7" w:rsidRPr="000A0A5F" w:rsidRDefault="00CB0DD7">
      <w:pPr>
        <w:rPr>
          <w:rFonts w:hint="eastAsia"/>
        </w:rPr>
      </w:pPr>
      <w:r w:rsidRPr="000A0A5F">
        <w:rPr>
          <w:lang w:eastAsia="zh-CN"/>
        </w:rPr>
        <w:t>If the SCEF receives the response with an error code from the BM-SC for the modification of MBMS bearer, the SCEF</w:t>
      </w:r>
      <w:r w:rsidRPr="000A0A5F">
        <w:rPr>
          <w:rFonts w:hint="eastAsia"/>
          <w:lang w:eastAsia="zh-CN"/>
        </w:rPr>
        <w:t xml:space="preserve"> shall not </w:t>
      </w:r>
      <w:r w:rsidRPr="000A0A5F">
        <w:rPr>
          <w:lang w:eastAsia="zh-CN"/>
        </w:rPr>
        <w:t>update</w:t>
      </w:r>
      <w:r w:rsidRPr="000A0A5F">
        <w:rPr>
          <w:rFonts w:hint="eastAsia"/>
          <w:lang w:eastAsia="zh-CN"/>
        </w:rPr>
        <w:t xml:space="preserve"> the resource and </w:t>
      </w:r>
      <w:r w:rsidRPr="000A0A5F">
        <w:rPr>
          <w:lang w:eastAsia="zh-CN"/>
        </w:rPr>
        <w:t xml:space="preserve">shall </w:t>
      </w:r>
      <w:r w:rsidRPr="000A0A5F">
        <w:t>respond to the SCS/AS with a corresponding failure code as described in clause 5.2.6.</w:t>
      </w:r>
    </w:p>
    <w:p w:rsidR="00CB0DD7" w:rsidRPr="000A0A5F" w:rsidRDefault="00CB0DD7">
      <w:pPr>
        <w:pStyle w:val="Heading6"/>
        <w:rPr>
          <w:rFonts w:eastAsia="Batang"/>
        </w:rPr>
      </w:pPr>
      <w:bookmarkStart w:id="678" w:name="_Toc11247225"/>
      <w:bookmarkStart w:id="679" w:name="_Toc27044343"/>
      <w:bookmarkStart w:id="680" w:name="_Toc36033385"/>
      <w:bookmarkStart w:id="681" w:name="_Toc45131517"/>
      <w:bookmarkStart w:id="682" w:name="_Toc49775802"/>
      <w:bookmarkStart w:id="683" w:name="_Toc51746722"/>
      <w:bookmarkStart w:id="684" w:name="_Toc66360264"/>
      <w:bookmarkStart w:id="685" w:name="_Toc68104769"/>
      <w:bookmarkStart w:id="686" w:name="_Toc74755398"/>
      <w:bookmarkStart w:id="687" w:name="_Toc105674253"/>
      <w:bookmarkStart w:id="688" w:name="_Toc130502286"/>
      <w:bookmarkStart w:id="689" w:name="_Toc153625065"/>
      <w:r w:rsidRPr="000A0A5F">
        <w:rPr>
          <w:rFonts w:hint="eastAsia"/>
        </w:rPr>
        <w:t>4.4.7.2.2.5</w:t>
      </w:r>
      <w:r w:rsidRPr="000A0A5F">
        <w:rPr>
          <w:rFonts w:eastAsia="Batang"/>
        </w:rPr>
        <w:tab/>
      </w:r>
      <w:r w:rsidRPr="000A0A5F">
        <w:t xml:space="preserve">Cancellation of previous submitted </w:t>
      </w:r>
      <w:r w:rsidRPr="000A0A5F">
        <w:rPr>
          <w:rFonts w:eastAsia="Batang"/>
        </w:rPr>
        <w:t>g</w:t>
      </w:r>
      <w:r w:rsidRPr="000A0A5F">
        <w:t>roup message</w:t>
      </w:r>
      <w:r w:rsidRPr="000A0A5F">
        <w:rPr>
          <w:rFonts w:eastAsia="Batang"/>
        </w:rPr>
        <w:t xml:space="preserve"> delivery</w:t>
      </w:r>
      <w:bookmarkEnd w:id="678"/>
      <w:bookmarkEnd w:id="679"/>
      <w:bookmarkEnd w:id="680"/>
      <w:bookmarkEnd w:id="681"/>
      <w:bookmarkEnd w:id="682"/>
      <w:bookmarkEnd w:id="683"/>
      <w:bookmarkEnd w:id="684"/>
      <w:bookmarkEnd w:id="685"/>
      <w:bookmarkEnd w:id="686"/>
      <w:bookmarkEnd w:id="687"/>
      <w:bookmarkEnd w:id="688"/>
      <w:bookmarkEnd w:id="689"/>
    </w:p>
    <w:p w:rsidR="00CB0DD7" w:rsidRPr="000A0A5F" w:rsidRDefault="00CB0DD7">
      <w:pPr>
        <w:rPr>
          <w:rFonts w:hint="eastAsia"/>
          <w:lang w:eastAsia="zh-CN"/>
        </w:rPr>
      </w:pPr>
      <w:r w:rsidRPr="000A0A5F">
        <w:rPr>
          <w:rFonts w:hint="eastAsia"/>
        </w:rPr>
        <w:t>If the SCS/AS</w:t>
      </w:r>
      <w:r w:rsidRPr="000A0A5F">
        <w:t xml:space="preserve"> determines that deletion of previous accepted Group Message Delivery Request is required, the SCS/AS shall send an HTTP DELETE request message to the SCEF.</w:t>
      </w:r>
    </w:p>
    <w:p w:rsidR="00CB0DD7" w:rsidRPr="000A0A5F" w:rsidRDefault="00CB0DD7">
      <w:r w:rsidRPr="000A0A5F">
        <w:t xml:space="preserve">Upon receipt of the HTTP DELETE request from the </w:t>
      </w:r>
      <w:r w:rsidRPr="000A0A5F">
        <w:rPr>
          <w:rFonts w:hint="eastAsia"/>
          <w:lang w:eastAsia="zh-CN"/>
        </w:rPr>
        <w:t xml:space="preserve">SCS/AS </w:t>
      </w:r>
      <w:r w:rsidRPr="000A0A5F">
        <w:t xml:space="preserve">to delete the previous group message delivery, the </w:t>
      </w:r>
      <w:r w:rsidRPr="000A0A5F">
        <w:rPr>
          <w:rFonts w:hint="eastAsia"/>
          <w:lang w:eastAsia="zh-CN"/>
        </w:rPr>
        <w:t>SCEF</w:t>
      </w:r>
      <w:r w:rsidRPr="000A0A5F">
        <w:t xml:space="preserve"> </w:t>
      </w:r>
      <w:r w:rsidRPr="000A0A5F">
        <w:rPr>
          <w:rFonts w:hint="eastAsia"/>
          <w:lang w:eastAsia="zh-CN"/>
        </w:rPr>
        <w:t xml:space="preserve">shall </w:t>
      </w:r>
      <w:r w:rsidRPr="000A0A5F">
        <w:t xml:space="preserve">check whether the </w:t>
      </w:r>
      <w:r w:rsidRPr="000A0A5F">
        <w:rPr>
          <w:rFonts w:hint="eastAsia"/>
          <w:lang w:eastAsia="zh-CN"/>
        </w:rPr>
        <w:t>SCS/AS</w:t>
      </w:r>
      <w:r w:rsidRPr="000A0A5F">
        <w:t xml:space="preserve"> is authenticated and authorized to delete an existing group message delivery subscription. If the authorization is successful, the SCEF shall initiate the Delete MBMS Bearer procedure </w:t>
      </w:r>
      <w:r w:rsidRPr="000A0A5F">
        <w:rPr>
          <w:rFonts w:hint="eastAsia"/>
          <w:lang w:eastAsia="zh-CN"/>
        </w:rPr>
        <w:t xml:space="preserve">as defined in </w:t>
      </w:r>
      <w:r w:rsidRPr="000A0A5F">
        <w:t>clause 5.3.3</w:t>
      </w:r>
      <w:r w:rsidRPr="000A0A5F">
        <w:rPr>
          <w:lang w:eastAsia="zh-CN"/>
        </w:rPr>
        <w:t xml:space="preserve"> of 3</w:t>
      </w:r>
      <w:r w:rsidRPr="000A0A5F">
        <w:rPr>
          <w:rFonts w:hint="eastAsia"/>
          <w:lang w:eastAsia="zh-CN"/>
        </w:rPr>
        <w:t>G</w:t>
      </w:r>
      <w:r w:rsidRPr="000A0A5F">
        <w:rPr>
          <w:lang w:eastAsia="zh-CN"/>
        </w:rPr>
        <w:t>PP TS 29.</w:t>
      </w:r>
      <w:r w:rsidRPr="000A0A5F">
        <w:rPr>
          <w:lang w:val="en-US" w:eastAsia="zh-CN"/>
        </w:rPr>
        <w:t xml:space="preserve">468 [36] with the difference that </w:t>
      </w:r>
      <w:r w:rsidRPr="000A0A5F">
        <w:t>the SCEF acts as a GCS AS.</w:t>
      </w:r>
    </w:p>
    <w:p w:rsidR="00CB0DD7" w:rsidRPr="000A0A5F" w:rsidRDefault="00CB0DD7">
      <w:pPr>
        <w:rPr>
          <w:lang w:eastAsia="zh-CN"/>
        </w:rPr>
      </w:pPr>
      <w:r w:rsidRPr="000A0A5F">
        <w:t xml:space="preserve">Upon successful deletion of MBMS bearer, the </w:t>
      </w:r>
      <w:r w:rsidRPr="000A0A5F">
        <w:rPr>
          <w:rFonts w:hint="eastAsia"/>
        </w:rPr>
        <w:t>SCEF</w:t>
      </w:r>
      <w:r w:rsidRPr="000A0A5F">
        <w:t xml:space="preserve"> shall respond to the </w:t>
      </w:r>
      <w:r w:rsidRPr="000A0A5F">
        <w:rPr>
          <w:rFonts w:hint="eastAsia"/>
        </w:rPr>
        <w:t xml:space="preserve">SCS/AS </w:t>
      </w:r>
      <w:r w:rsidRPr="000A0A5F">
        <w:t>with a 204 No Content message indicating that submitted group message delivery is successfully deleted</w:t>
      </w:r>
      <w:r w:rsidRPr="000A0A5F">
        <w:rPr>
          <w:rFonts w:hint="eastAsia"/>
          <w:lang w:eastAsia="zh-CN"/>
        </w:rPr>
        <w:t>.</w:t>
      </w:r>
    </w:p>
    <w:p w:rsidR="00CB0DD7" w:rsidRPr="000A0A5F" w:rsidRDefault="00CB0DD7">
      <w:pPr>
        <w:pStyle w:val="Heading5"/>
      </w:pPr>
      <w:bookmarkStart w:id="690" w:name="_Toc11247226"/>
      <w:bookmarkStart w:id="691" w:name="_Toc27044344"/>
      <w:bookmarkStart w:id="692" w:name="_Toc36033386"/>
      <w:bookmarkStart w:id="693" w:name="_Toc45131518"/>
      <w:bookmarkStart w:id="694" w:name="_Toc49775803"/>
      <w:bookmarkStart w:id="695" w:name="_Toc51746723"/>
      <w:bookmarkStart w:id="696" w:name="_Toc66360265"/>
      <w:bookmarkStart w:id="697" w:name="_Toc68104770"/>
      <w:bookmarkStart w:id="698" w:name="_Toc74755399"/>
      <w:bookmarkStart w:id="699" w:name="_Toc105674254"/>
      <w:bookmarkStart w:id="700" w:name="_Toc130502287"/>
      <w:bookmarkStart w:id="701" w:name="_Toc153625066"/>
      <w:r w:rsidRPr="000A0A5F">
        <w:rPr>
          <w:rFonts w:hint="eastAsia"/>
        </w:rPr>
        <w:t>4.4.7.2.</w:t>
      </w:r>
      <w:r w:rsidRPr="000A0A5F">
        <w:t>3</w:t>
      </w:r>
      <w:r w:rsidRPr="000A0A5F">
        <w:tab/>
      </w:r>
      <w:r w:rsidRPr="000A0A5F">
        <w:rPr>
          <w:lang w:eastAsia="zh-CN"/>
        </w:rPr>
        <w:t>Group message Delivery via MBMS by xMB</w:t>
      </w:r>
      <w:bookmarkEnd w:id="690"/>
      <w:bookmarkEnd w:id="691"/>
      <w:bookmarkEnd w:id="692"/>
      <w:bookmarkEnd w:id="693"/>
      <w:bookmarkEnd w:id="694"/>
      <w:bookmarkEnd w:id="695"/>
      <w:bookmarkEnd w:id="696"/>
      <w:bookmarkEnd w:id="697"/>
      <w:bookmarkEnd w:id="698"/>
      <w:bookmarkEnd w:id="699"/>
      <w:bookmarkEnd w:id="700"/>
      <w:bookmarkEnd w:id="701"/>
    </w:p>
    <w:p w:rsidR="00CB0DD7" w:rsidRPr="000A0A5F" w:rsidRDefault="00CB0DD7">
      <w:pPr>
        <w:pStyle w:val="Heading6"/>
      </w:pPr>
      <w:bookmarkStart w:id="702" w:name="_Toc11247227"/>
      <w:bookmarkStart w:id="703" w:name="_Toc27044345"/>
      <w:bookmarkStart w:id="704" w:name="_Toc36033387"/>
      <w:bookmarkStart w:id="705" w:name="_Toc45131519"/>
      <w:bookmarkStart w:id="706" w:name="_Toc49775804"/>
      <w:bookmarkStart w:id="707" w:name="_Toc51746724"/>
      <w:bookmarkStart w:id="708" w:name="_Toc66360266"/>
      <w:bookmarkStart w:id="709" w:name="_Toc68104771"/>
      <w:bookmarkStart w:id="710" w:name="_Toc74755400"/>
      <w:bookmarkStart w:id="711" w:name="_Toc105674255"/>
      <w:bookmarkStart w:id="712" w:name="_Toc130502288"/>
      <w:bookmarkStart w:id="713" w:name="_Toc153625067"/>
      <w:r w:rsidRPr="000A0A5F">
        <w:rPr>
          <w:rFonts w:hint="eastAsia"/>
        </w:rPr>
        <w:t>4.4.7.2.</w:t>
      </w:r>
      <w:r w:rsidRPr="000A0A5F">
        <w:t>3</w:t>
      </w:r>
      <w:r w:rsidRPr="000A0A5F">
        <w:rPr>
          <w:rFonts w:hint="eastAsia"/>
        </w:rPr>
        <w:t>.1</w:t>
      </w:r>
      <w:r w:rsidRPr="000A0A5F">
        <w:tab/>
        <w:t>Service Creation</w:t>
      </w:r>
      <w:bookmarkEnd w:id="702"/>
      <w:bookmarkEnd w:id="703"/>
      <w:bookmarkEnd w:id="704"/>
      <w:bookmarkEnd w:id="705"/>
      <w:bookmarkEnd w:id="706"/>
      <w:bookmarkEnd w:id="707"/>
      <w:bookmarkEnd w:id="708"/>
      <w:bookmarkEnd w:id="709"/>
      <w:bookmarkEnd w:id="710"/>
      <w:bookmarkEnd w:id="711"/>
      <w:bookmarkEnd w:id="712"/>
      <w:bookmarkEnd w:id="713"/>
    </w:p>
    <w:p w:rsidR="00CB0DD7" w:rsidRPr="000A0A5F" w:rsidRDefault="00CB0DD7">
      <w:r w:rsidRPr="000A0A5F">
        <w:rPr>
          <w:rFonts w:hint="eastAsia"/>
          <w:lang w:eastAsia="zh-CN"/>
        </w:rPr>
        <w:t xml:space="preserve">If </w:t>
      </w:r>
      <w:r w:rsidRPr="000A0A5F">
        <w:t>the SCS/AS acts as a content provider in the application level</w:t>
      </w:r>
      <w:r w:rsidRPr="000A0A5F">
        <w:rPr>
          <w:rFonts w:hint="eastAsia"/>
          <w:lang w:eastAsia="zh-CN"/>
        </w:rPr>
        <w:t xml:space="preserve"> </w:t>
      </w:r>
      <w:r w:rsidRPr="000A0A5F">
        <w:rPr>
          <w:lang w:eastAsia="zh-CN"/>
        </w:rPr>
        <w:t>and</w:t>
      </w:r>
      <w:r w:rsidRPr="000A0A5F">
        <w:rPr>
          <w:rFonts w:hint="eastAsia"/>
          <w:lang w:eastAsia="zh-CN"/>
        </w:rPr>
        <w:t xml:space="preserve"> </w:t>
      </w:r>
      <w:r w:rsidRPr="000A0A5F">
        <w:rPr>
          <w:lang w:eastAsia="zh-CN"/>
        </w:rPr>
        <w:t xml:space="preserve">if </w:t>
      </w:r>
      <w:r w:rsidRPr="000A0A5F">
        <w:rPr>
          <w:rFonts w:hint="eastAsia"/>
          <w:lang w:eastAsia="zh-CN"/>
        </w:rPr>
        <w:t>there is no assigned Service ID for an External Group Id</w:t>
      </w:r>
      <w:r w:rsidRPr="000A0A5F">
        <w:rPr>
          <w:lang w:eastAsia="zh-CN"/>
        </w:rPr>
        <w:t>entifier</w:t>
      </w:r>
      <w:r w:rsidRPr="000A0A5F">
        <w:rPr>
          <w:rFonts w:hint="eastAsia"/>
          <w:lang w:eastAsia="zh-CN"/>
        </w:rPr>
        <w:t xml:space="preserve">, the </w:t>
      </w:r>
      <w:r w:rsidRPr="000A0A5F">
        <w:rPr>
          <w:lang w:eastAsia="zh-CN"/>
        </w:rPr>
        <w:t xml:space="preserve">SCS/AS shall send an HTTP POST message to the SCEF </w:t>
      </w:r>
      <w:r w:rsidRPr="000A0A5F">
        <w:t>to the resource "xMB Services"</w:t>
      </w:r>
      <w:r w:rsidRPr="000A0A5F">
        <w:rPr>
          <w:lang w:eastAsia="zh-CN"/>
        </w:rPr>
        <w:t xml:space="preserve">. The body of the HTTP POST request message shall include the </w:t>
      </w:r>
      <w:r w:rsidRPr="000A0A5F">
        <w:t xml:space="preserve">External Group Identifier. </w:t>
      </w:r>
    </w:p>
    <w:p w:rsidR="00CB0DD7" w:rsidRPr="000A0A5F" w:rsidRDefault="00CB0DD7">
      <w:r w:rsidRPr="000A0A5F">
        <w:t xml:space="preserve">Upon receipt of the HTTP POST request from the </w:t>
      </w:r>
      <w:r w:rsidRPr="000A0A5F">
        <w:rPr>
          <w:rFonts w:hint="eastAsia"/>
          <w:lang w:eastAsia="zh-CN"/>
        </w:rPr>
        <w:t xml:space="preserve">SCS/AS </w:t>
      </w:r>
      <w:r w:rsidRPr="000A0A5F">
        <w:t xml:space="preserve">to create a service, the </w:t>
      </w:r>
      <w:r w:rsidRPr="000A0A5F">
        <w:rPr>
          <w:rFonts w:hint="eastAsia"/>
          <w:lang w:eastAsia="zh-CN"/>
        </w:rPr>
        <w:t>SCEF</w:t>
      </w:r>
      <w:r w:rsidRPr="000A0A5F">
        <w:t xml:space="preserve"> shall </w:t>
      </w:r>
      <w:r w:rsidRPr="000A0A5F">
        <w:rPr>
          <w:rFonts w:hint="eastAsia"/>
          <w:lang w:eastAsia="zh-CN"/>
        </w:rPr>
        <w:t>check</w:t>
      </w:r>
      <w:r w:rsidRPr="000A0A5F">
        <w:t xml:space="preserve"> whether </w:t>
      </w:r>
      <w:r w:rsidRPr="000A0A5F">
        <w:rPr>
          <w:rFonts w:hint="eastAsia"/>
          <w:lang w:eastAsia="zh-CN"/>
        </w:rPr>
        <w:t>the SCS/AS</w:t>
      </w:r>
      <w:r w:rsidRPr="000A0A5F">
        <w:t xml:space="preserve"> is authorized to request service creation. If authorization is successful, the </w:t>
      </w:r>
      <w:r w:rsidRPr="000A0A5F">
        <w:rPr>
          <w:rFonts w:hint="eastAsia"/>
          <w:lang w:eastAsia="zh-CN"/>
        </w:rPr>
        <w:t>SCEF</w:t>
      </w:r>
      <w:r w:rsidRPr="000A0A5F">
        <w:t xml:space="preserve"> shall initiate service creation by the BM-SC </w:t>
      </w:r>
      <w:r w:rsidRPr="000A0A5F">
        <w:rPr>
          <w:rFonts w:hint="eastAsia"/>
          <w:lang w:eastAsia="zh-CN"/>
        </w:rPr>
        <w:t xml:space="preserve">as defined in </w:t>
      </w:r>
      <w:r w:rsidRPr="000A0A5F">
        <w:rPr>
          <w:lang w:eastAsia="zh-CN"/>
        </w:rPr>
        <w:t>clause 5.2.1.2.2 o</w:t>
      </w:r>
      <w:r w:rsidRPr="000A0A5F">
        <w:rPr>
          <w:lang w:val="en-US" w:eastAsia="zh-CN"/>
        </w:rPr>
        <w:t xml:space="preserve">f </w:t>
      </w:r>
      <w:r w:rsidRPr="000A0A5F">
        <w:rPr>
          <w:rFonts w:hint="eastAsia"/>
          <w:lang w:eastAsia="zh-CN"/>
        </w:rPr>
        <w:t>3G</w:t>
      </w:r>
      <w:r w:rsidRPr="000A0A5F">
        <w:rPr>
          <w:lang w:eastAsia="zh-CN"/>
        </w:rPr>
        <w:t>PP TS 29.116</w:t>
      </w:r>
      <w:r w:rsidRPr="000A0A5F">
        <w:rPr>
          <w:lang w:val="en-US" w:eastAsia="zh-CN"/>
        </w:rPr>
        <w:t> [37]</w:t>
      </w:r>
      <w:r w:rsidRPr="000A0A5F">
        <w:t xml:space="preserve">. Upon successful service creation, the </w:t>
      </w:r>
      <w:r w:rsidRPr="000A0A5F">
        <w:rPr>
          <w:rFonts w:hint="eastAsia"/>
          <w:lang w:eastAsia="zh-CN"/>
        </w:rPr>
        <w:t>SCEF</w:t>
      </w:r>
      <w:r w:rsidRPr="000A0A5F">
        <w:t xml:space="preserve"> shall create the resource </w:t>
      </w:r>
      <w:r w:rsidRPr="000A0A5F">
        <w:rPr>
          <w:lang w:eastAsia="zh-CN"/>
        </w:rPr>
        <w:t>which represents the service creation, addressed by a URI that contains the SCS identity and S</w:t>
      </w:r>
      <w:r w:rsidRPr="000A0A5F">
        <w:t>ervice Id</w:t>
      </w:r>
      <w:r w:rsidRPr="000A0A5F">
        <w:rPr>
          <w:lang w:eastAsia="zh-CN"/>
        </w:rPr>
        <w:t xml:space="preserve">, and shall respond to the SCS/AS </w:t>
      </w:r>
      <w:r w:rsidRPr="000A0A5F">
        <w:t xml:space="preserve">with a 201 </w:t>
      </w:r>
      <w:r w:rsidRPr="000A0A5F">
        <w:rPr>
          <w:rFonts w:hint="eastAsia"/>
          <w:lang w:eastAsia="zh-CN"/>
        </w:rPr>
        <w:t>Created</w:t>
      </w:r>
      <w:r w:rsidRPr="000A0A5F">
        <w:t xml:space="preserve"> message which may include the service announcement information</w:t>
      </w:r>
      <w:r w:rsidRPr="000A0A5F">
        <w:rPr>
          <w:lang w:eastAsia="zh-CN"/>
        </w:rPr>
        <w:t>.</w:t>
      </w:r>
    </w:p>
    <w:p w:rsidR="00CB0DD7" w:rsidRPr="000A0A5F" w:rsidRDefault="00CB0DD7">
      <w:pPr>
        <w:rPr>
          <w:rFonts w:hint="eastAsia"/>
          <w:lang w:eastAsia="zh-CN"/>
        </w:rPr>
      </w:pPr>
      <w:r w:rsidRPr="000A0A5F">
        <w:rPr>
          <w:lang w:eastAsia="zh-CN"/>
        </w:rPr>
        <w:t>If the SCEF receives the response with an error status code from the BM-SC for the service creation, the SCEF</w:t>
      </w:r>
      <w:r w:rsidRPr="000A0A5F">
        <w:rPr>
          <w:rFonts w:hint="eastAsia"/>
          <w:lang w:eastAsia="zh-CN"/>
        </w:rPr>
        <w:t xml:space="preserve"> shall not create or update the resource and </w:t>
      </w:r>
      <w:r w:rsidRPr="000A0A5F">
        <w:rPr>
          <w:lang w:eastAsia="zh-CN"/>
        </w:rPr>
        <w:t xml:space="preserve">shall </w:t>
      </w:r>
      <w:r w:rsidRPr="000A0A5F">
        <w:t>respond to the SCS/AS with a corresponding failure code as described in clause 5.2.6.</w:t>
      </w:r>
    </w:p>
    <w:p w:rsidR="00CB0DD7" w:rsidRPr="000A0A5F" w:rsidRDefault="00CB0DD7">
      <w:pPr>
        <w:pStyle w:val="Heading6"/>
      </w:pPr>
      <w:bookmarkStart w:id="714" w:name="_Toc11247228"/>
      <w:bookmarkStart w:id="715" w:name="_Toc27044346"/>
      <w:bookmarkStart w:id="716" w:name="_Toc36033388"/>
      <w:bookmarkStart w:id="717" w:name="_Toc45131520"/>
      <w:bookmarkStart w:id="718" w:name="_Toc49775805"/>
      <w:bookmarkStart w:id="719" w:name="_Toc51746725"/>
      <w:bookmarkStart w:id="720" w:name="_Toc66360267"/>
      <w:bookmarkStart w:id="721" w:name="_Toc68104772"/>
      <w:bookmarkStart w:id="722" w:name="_Toc74755401"/>
      <w:bookmarkStart w:id="723" w:name="_Toc105674256"/>
      <w:bookmarkStart w:id="724" w:name="_Toc130502289"/>
      <w:bookmarkStart w:id="725" w:name="_Toc153625068"/>
      <w:r w:rsidRPr="000A0A5F">
        <w:rPr>
          <w:rFonts w:hint="eastAsia"/>
        </w:rPr>
        <w:t>4.4.7.2.</w:t>
      </w:r>
      <w:r w:rsidRPr="000A0A5F">
        <w:t>3</w:t>
      </w:r>
      <w:r w:rsidRPr="000A0A5F">
        <w:rPr>
          <w:rFonts w:hint="eastAsia"/>
        </w:rPr>
        <w:t>.</w:t>
      </w:r>
      <w:r w:rsidRPr="000A0A5F">
        <w:t>2</w:t>
      </w:r>
      <w:r w:rsidRPr="000A0A5F">
        <w:tab/>
        <w:t>Service Deletion</w:t>
      </w:r>
      <w:bookmarkEnd w:id="714"/>
      <w:bookmarkEnd w:id="715"/>
      <w:bookmarkEnd w:id="716"/>
      <w:bookmarkEnd w:id="717"/>
      <w:bookmarkEnd w:id="718"/>
      <w:bookmarkEnd w:id="719"/>
      <w:bookmarkEnd w:id="720"/>
      <w:bookmarkEnd w:id="721"/>
      <w:bookmarkEnd w:id="722"/>
      <w:bookmarkEnd w:id="723"/>
      <w:bookmarkEnd w:id="724"/>
      <w:bookmarkEnd w:id="725"/>
    </w:p>
    <w:p w:rsidR="00CB0DD7" w:rsidRPr="000A0A5F" w:rsidRDefault="00CB0DD7">
      <w:r w:rsidRPr="000A0A5F">
        <w:rPr>
          <w:rFonts w:hint="eastAsia"/>
          <w:lang w:eastAsia="zh-CN"/>
        </w:rPr>
        <w:t xml:space="preserve">In order to </w:t>
      </w:r>
      <w:r w:rsidRPr="000A0A5F">
        <w:rPr>
          <w:lang w:eastAsia="zh-CN"/>
        </w:rPr>
        <w:t>delete the service</w:t>
      </w:r>
      <w:r w:rsidRPr="000A0A5F">
        <w:rPr>
          <w:rFonts w:hint="eastAsia"/>
          <w:lang w:eastAsia="zh-CN"/>
        </w:rPr>
        <w:t>, the SC</w:t>
      </w:r>
      <w:r w:rsidRPr="000A0A5F">
        <w:rPr>
          <w:lang w:eastAsia="zh-CN"/>
        </w:rPr>
        <w:t>S</w:t>
      </w:r>
      <w:r w:rsidRPr="000A0A5F">
        <w:rPr>
          <w:rFonts w:hint="eastAsia"/>
          <w:lang w:eastAsia="zh-CN"/>
        </w:rPr>
        <w:t>/AS shall send</w:t>
      </w:r>
      <w:r w:rsidRPr="000A0A5F">
        <w:rPr>
          <w:lang w:eastAsia="zh-CN"/>
        </w:rPr>
        <w:t xml:space="preserve"> an HTTP DELETE message to the SCEF to the resource </w:t>
      </w:r>
      <w:r w:rsidRPr="000A0A5F">
        <w:t xml:space="preserve">"Individual xMB </w:t>
      </w:r>
      <w:r w:rsidRPr="000A0A5F">
        <w:rPr>
          <w:lang w:eastAsia="zh-CN"/>
        </w:rPr>
        <w:t>Service</w:t>
      </w:r>
      <w:r w:rsidRPr="000A0A5F">
        <w:t>"</w:t>
      </w:r>
      <w:r w:rsidRPr="000A0A5F">
        <w:rPr>
          <w:lang w:eastAsia="zh-CN"/>
        </w:rPr>
        <w:t>.</w:t>
      </w:r>
      <w:r w:rsidRPr="000A0A5F">
        <w:t xml:space="preserve"> Upon receipt of the HTTP DELETE request from the </w:t>
      </w:r>
      <w:r w:rsidRPr="000A0A5F">
        <w:rPr>
          <w:rFonts w:hint="eastAsia"/>
          <w:lang w:eastAsia="zh-CN"/>
        </w:rPr>
        <w:t xml:space="preserve">SCS/AS </w:t>
      </w:r>
      <w:r w:rsidRPr="000A0A5F">
        <w:t xml:space="preserve">to delete the service, the </w:t>
      </w:r>
      <w:r w:rsidRPr="000A0A5F">
        <w:rPr>
          <w:rFonts w:hint="eastAsia"/>
          <w:lang w:eastAsia="zh-CN"/>
        </w:rPr>
        <w:t>SCEF</w:t>
      </w:r>
      <w:r w:rsidRPr="000A0A5F">
        <w:t xml:space="preserve"> shall initiate service deletion by the BM-SC </w:t>
      </w:r>
      <w:r w:rsidRPr="000A0A5F">
        <w:rPr>
          <w:rFonts w:hint="eastAsia"/>
          <w:lang w:eastAsia="zh-CN"/>
        </w:rPr>
        <w:t xml:space="preserve">as defined in </w:t>
      </w:r>
      <w:r w:rsidRPr="000A0A5F">
        <w:rPr>
          <w:lang w:eastAsia="zh-CN"/>
        </w:rPr>
        <w:t>clause 5.2.1.2.4 o</w:t>
      </w:r>
      <w:r w:rsidRPr="000A0A5F">
        <w:rPr>
          <w:lang w:val="en-US" w:eastAsia="zh-CN"/>
        </w:rPr>
        <w:t xml:space="preserve">f </w:t>
      </w:r>
      <w:r w:rsidRPr="000A0A5F">
        <w:rPr>
          <w:rFonts w:hint="eastAsia"/>
          <w:lang w:eastAsia="zh-CN"/>
        </w:rPr>
        <w:t>3G</w:t>
      </w:r>
      <w:r w:rsidRPr="000A0A5F">
        <w:rPr>
          <w:lang w:eastAsia="zh-CN"/>
        </w:rPr>
        <w:t>PP TS 29.116</w:t>
      </w:r>
      <w:r w:rsidRPr="000A0A5F">
        <w:rPr>
          <w:lang w:val="en-US" w:eastAsia="zh-CN"/>
        </w:rPr>
        <w:t> [37]</w:t>
      </w:r>
      <w:r w:rsidRPr="000A0A5F">
        <w:t xml:space="preserve">. Upon successful deletion of a service, the </w:t>
      </w:r>
      <w:r w:rsidRPr="000A0A5F">
        <w:rPr>
          <w:rFonts w:hint="eastAsia"/>
          <w:lang w:eastAsia="zh-CN"/>
        </w:rPr>
        <w:t>SCEF</w:t>
      </w:r>
      <w:r w:rsidRPr="000A0A5F">
        <w:t xml:space="preserve"> shall delete the resource "Individual xMB </w:t>
      </w:r>
      <w:r w:rsidRPr="000A0A5F">
        <w:rPr>
          <w:lang w:eastAsia="zh-CN"/>
        </w:rPr>
        <w:t>Service</w:t>
      </w:r>
      <w:r w:rsidRPr="000A0A5F">
        <w:t>" together with all sub-resouces "</w:t>
      </w:r>
      <w:r w:rsidRPr="000A0A5F">
        <w:rPr>
          <w:rFonts w:hint="eastAsia"/>
          <w:lang w:eastAsia="zh-CN"/>
        </w:rPr>
        <w:t>GMD vi</w:t>
      </w:r>
      <w:r w:rsidRPr="000A0A5F">
        <w:rPr>
          <w:lang w:eastAsia="zh-CN"/>
        </w:rPr>
        <w:t>a</w:t>
      </w:r>
      <w:r w:rsidRPr="000A0A5F">
        <w:rPr>
          <w:rFonts w:hint="eastAsia"/>
          <w:lang w:eastAsia="zh-CN"/>
        </w:rPr>
        <w:t xml:space="preserve"> MBMS</w:t>
      </w:r>
      <w:r w:rsidRPr="000A0A5F">
        <w:rPr>
          <w:lang w:eastAsia="zh-CN"/>
        </w:rPr>
        <w:t xml:space="preserve"> by xMB</w:t>
      </w:r>
      <w:r w:rsidRPr="000A0A5F">
        <w:t xml:space="preserve">" if available, and shall respond to the </w:t>
      </w:r>
      <w:r w:rsidRPr="000A0A5F">
        <w:rPr>
          <w:rFonts w:hint="eastAsia"/>
          <w:lang w:eastAsia="zh-CN"/>
        </w:rPr>
        <w:t xml:space="preserve">SCS/AS </w:t>
      </w:r>
      <w:r w:rsidRPr="000A0A5F">
        <w:rPr>
          <w:lang w:eastAsia="zh-CN"/>
        </w:rPr>
        <w:t>by sending an HTTP response w</w:t>
      </w:r>
      <w:r w:rsidRPr="000A0A5F">
        <w:t xml:space="preserve">ith </w:t>
      </w:r>
      <w:r w:rsidRPr="000A0A5F">
        <w:rPr>
          <w:rFonts w:hint="eastAsia"/>
        </w:rPr>
        <w:t>20</w:t>
      </w:r>
      <w:r w:rsidRPr="000A0A5F">
        <w:t>4 No Content.</w:t>
      </w:r>
    </w:p>
    <w:p w:rsidR="00CB0DD7" w:rsidRPr="000A0A5F" w:rsidRDefault="00CB0DD7">
      <w:pPr>
        <w:pStyle w:val="Heading6"/>
      </w:pPr>
      <w:bookmarkStart w:id="726" w:name="_Toc11247229"/>
      <w:bookmarkStart w:id="727" w:name="_Toc27044347"/>
      <w:bookmarkStart w:id="728" w:name="_Toc36033389"/>
      <w:bookmarkStart w:id="729" w:name="_Toc45131521"/>
      <w:bookmarkStart w:id="730" w:name="_Toc49775806"/>
      <w:bookmarkStart w:id="731" w:name="_Toc51746726"/>
      <w:bookmarkStart w:id="732" w:name="_Toc66360268"/>
      <w:bookmarkStart w:id="733" w:name="_Toc68104773"/>
      <w:bookmarkStart w:id="734" w:name="_Toc74755402"/>
      <w:bookmarkStart w:id="735" w:name="_Toc105674257"/>
      <w:bookmarkStart w:id="736" w:name="_Toc130502290"/>
      <w:bookmarkStart w:id="737" w:name="_Toc153625069"/>
      <w:r w:rsidRPr="000A0A5F">
        <w:rPr>
          <w:rFonts w:hint="eastAsia"/>
        </w:rPr>
        <w:t>4.4.7.2.</w:t>
      </w:r>
      <w:r w:rsidRPr="000A0A5F">
        <w:t>3</w:t>
      </w:r>
      <w:r w:rsidRPr="000A0A5F">
        <w:rPr>
          <w:rFonts w:hint="eastAsia"/>
        </w:rPr>
        <w:t>.</w:t>
      </w:r>
      <w:r w:rsidRPr="000A0A5F">
        <w:t>3</w:t>
      </w:r>
      <w:r w:rsidRPr="000A0A5F">
        <w:tab/>
        <w:t>Creation of group message delivery</w:t>
      </w:r>
      <w:bookmarkEnd w:id="726"/>
      <w:bookmarkEnd w:id="727"/>
      <w:bookmarkEnd w:id="728"/>
      <w:bookmarkEnd w:id="729"/>
      <w:bookmarkEnd w:id="730"/>
      <w:bookmarkEnd w:id="731"/>
      <w:bookmarkEnd w:id="732"/>
      <w:bookmarkEnd w:id="733"/>
      <w:bookmarkEnd w:id="734"/>
      <w:bookmarkEnd w:id="735"/>
      <w:bookmarkEnd w:id="736"/>
      <w:bookmarkEnd w:id="737"/>
    </w:p>
    <w:p w:rsidR="00CB0DD7" w:rsidRPr="000A0A5F" w:rsidRDefault="00CB0DD7">
      <w:r w:rsidRPr="000A0A5F">
        <w:t>If the SCS/AS acts as a content provider in the application level, the</w:t>
      </w:r>
      <w:r w:rsidRPr="000A0A5F">
        <w:rPr>
          <w:rFonts w:hint="eastAsia"/>
          <w:lang w:eastAsia="zh-CN"/>
        </w:rPr>
        <w:t xml:space="preserve"> </w:t>
      </w:r>
      <w:r w:rsidRPr="000A0A5F">
        <w:rPr>
          <w:lang w:eastAsia="zh-CN"/>
        </w:rPr>
        <w:t xml:space="preserve">SCS/AS may </w:t>
      </w:r>
      <w:r w:rsidRPr="000A0A5F">
        <w:t>sends an HTTP POST request message to the SCEF to the resource "</w:t>
      </w:r>
      <w:r w:rsidRPr="000A0A5F">
        <w:rPr>
          <w:rFonts w:hint="eastAsia"/>
          <w:lang w:eastAsia="zh-CN"/>
        </w:rPr>
        <w:t>GMD</w:t>
      </w:r>
      <w:r w:rsidRPr="000A0A5F">
        <w:rPr>
          <w:lang w:eastAsia="zh-CN"/>
        </w:rPr>
        <w:t xml:space="preserve"> </w:t>
      </w:r>
      <w:r w:rsidRPr="000A0A5F">
        <w:rPr>
          <w:rFonts w:hint="eastAsia"/>
          <w:lang w:eastAsia="zh-CN"/>
        </w:rPr>
        <w:t>via MBMS</w:t>
      </w:r>
      <w:r w:rsidRPr="000A0A5F">
        <w:rPr>
          <w:lang w:eastAsia="zh-CN"/>
        </w:rPr>
        <w:t xml:space="preserve"> by xMB".</w:t>
      </w:r>
      <w:r w:rsidRPr="000A0A5F">
        <w:t xml:space="preserve"> The body of the HTTP POST request message shall include the External Group Identifier</w:t>
      </w:r>
      <w:r w:rsidRPr="000A0A5F">
        <w:rPr>
          <w:lang w:eastAsia="zh-CN"/>
        </w:rPr>
        <w:t xml:space="preserve"> and notification destination URI identifying the recipient of notification within the </w:t>
      </w:r>
      <w:r w:rsidRPr="000A0A5F">
        <w:rPr>
          <w:noProof/>
        </w:rPr>
        <w:t>"</w:t>
      </w:r>
      <w:r w:rsidRPr="000A0A5F">
        <w:t>notificationDestination</w:t>
      </w:r>
      <w:r w:rsidRPr="000A0A5F">
        <w:rPr>
          <w:noProof/>
        </w:rPr>
        <w:t>"</w:t>
      </w:r>
      <w:r w:rsidRPr="000A0A5F">
        <w:rPr>
          <w:rFonts w:hint="eastAsia"/>
        </w:rPr>
        <w:t xml:space="preserve"> </w:t>
      </w:r>
      <w:r w:rsidRPr="000A0A5F">
        <w:t>attribute. The SCS/AS may also include the Group Message Payload, the location information, a Message Delivery Start Time and Message Delivery Stop Time in the body.</w:t>
      </w:r>
    </w:p>
    <w:p w:rsidR="00CB0DD7" w:rsidRPr="000A0A5F" w:rsidRDefault="00CB0DD7">
      <w:r w:rsidRPr="000A0A5F">
        <w:t xml:space="preserve">Upon receipt of the HTTP POST request from the </w:t>
      </w:r>
      <w:r w:rsidRPr="000A0A5F">
        <w:rPr>
          <w:rFonts w:hint="eastAsia"/>
          <w:lang w:eastAsia="zh-CN"/>
        </w:rPr>
        <w:t xml:space="preserve">SCS/AS </w:t>
      </w:r>
      <w:r w:rsidRPr="000A0A5F">
        <w:t xml:space="preserve">to deliver the group message, the </w:t>
      </w:r>
      <w:r w:rsidRPr="000A0A5F">
        <w:rPr>
          <w:rFonts w:hint="eastAsia"/>
          <w:lang w:eastAsia="zh-CN"/>
        </w:rPr>
        <w:t>SCEF</w:t>
      </w:r>
      <w:r w:rsidRPr="000A0A5F">
        <w:t xml:space="preserve"> shall </w:t>
      </w:r>
      <w:r w:rsidRPr="000A0A5F">
        <w:rPr>
          <w:rFonts w:hint="eastAsia"/>
          <w:lang w:eastAsia="zh-CN"/>
        </w:rPr>
        <w:t>check</w:t>
      </w:r>
      <w:r w:rsidRPr="000A0A5F">
        <w:t xml:space="preserve"> whether </w:t>
      </w:r>
      <w:r w:rsidRPr="000A0A5F">
        <w:rPr>
          <w:rFonts w:hint="eastAsia"/>
          <w:lang w:eastAsia="zh-CN"/>
        </w:rPr>
        <w:t>the SCS/AS</w:t>
      </w:r>
      <w:r w:rsidRPr="000A0A5F">
        <w:t xml:space="preserve"> is authorized to send a group message request. It also checks to see if the Message Delivery Start Time doesn't start after the Message Delivery Stop Time. If authorization is successful, the </w:t>
      </w:r>
      <w:r w:rsidRPr="000A0A5F">
        <w:rPr>
          <w:rFonts w:hint="eastAsia"/>
          <w:lang w:eastAsia="zh-CN"/>
        </w:rPr>
        <w:t>SCEF</w:t>
      </w:r>
      <w:r w:rsidRPr="000A0A5F">
        <w:t xml:space="preserve"> shall initiate the Create Session procedure as defined in clause 4.4.5.2 of 3GPP TS 29.116 [37] and the Update Session procedure as defined in clause 4.4.5.3 of 3GPP TS 29.116 [37] </w:t>
      </w:r>
      <w:r w:rsidRPr="000A0A5F">
        <w:rPr>
          <w:lang w:val="en-US" w:eastAsia="zh-CN"/>
        </w:rPr>
        <w:t xml:space="preserve">with the difference that </w:t>
      </w:r>
      <w:r w:rsidRPr="000A0A5F">
        <w:t>the SCEF acts as a Content Provider, Session Start is set accordiong to the Message Delivery Start Time and the Session Stop is set according to the Message Delivery Stop Time. The SCEF shall include the location information based on the local configuration if the location information is not provided and include the session type set to "Files" in the HTTP POST request message.</w:t>
      </w:r>
    </w:p>
    <w:p w:rsidR="00CB0DD7" w:rsidRPr="000A0A5F" w:rsidRDefault="00CB0DD7">
      <w:r w:rsidRPr="000A0A5F">
        <w:rPr>
          <w:lang w:eastAsia="zh-CN"/>
        </w:rPr>
        <w:t xml:space="preserve">Upon successful activation of MBMS bearer, </w:t>
      </w:r>
      <w:r w:rsidRPr="000A0A5F">
        <w:t xml:space="preserve">the </w:t>
      </w:r>
      <w:r w:rsidRPr="000A0A5F">
        <w:rPr>
          <w:rFonts w:hint="eastAsia"/>
          <w:lang w:eastAsia="zh-CN"/>
        </w:rPr>
        <w:t>SCEF</w:t>
      </w:r>
      <w:r w:rsidRPr="000A0A5F">
        <w:t xml:space="preserve"> shall create resource </w:t>
      </w:r>
      <w:r w:rsidRPr="000A0A5F">
        <w:rPr>
          <w:lang w:eastAsia="zh-CN"/>
        </w:rPr>
        <w:t xml:space="preserve">which represents "Individual </w:t>
      </w:r>
      <w:r w:rsidRPr="000A0A5F">
        <w:rPr>
          <w:rFonts w:hint="eastAsia"/>
          <w:lang w:eastAsia="zh-CN"/>
        </w:rPr>
        <w:t>GMD</w:t>
      </w:r>
      <w:r w:rsidRPr="000A0A5F">
        <w:rPr>
          <w:lang w:eastAsia="zh-CN"/>
        </w:rPr>
        <w:t xml:space="preserve"> </w:t>
      </w:r>
      <w:r w:rsidRPr="000A0A5F">
        <w:rPr>
          <w:rFonts w:hint="eastAsia"/>
          <w:lang w:eastAsia="zh-CN"/>
        </w:rPr>
        <w:t>via MBMS</w:t>
      </w:r>
      <w:r w:rsidRPr="000A0A5F">
        <w:rPr>
          <w:lang w:eastAsia="zh-CN"/>
        </w:rPr>
        <w:t xml:space="preserve"> by xMB</w:t>
      </w:r>
      <w:r w:rsidRPr="000A0A5F">
        <w:rPr>
          <w:rFonts w:hint="eastAsia"/>
          <w:lang w:eastAsia="zh-CN"/>
        </w:rPr>
        <w:t xml:space="preserve"> </w:t>
      </w:r>
      <w:r w:rsidRPr="000A0A5F">
        <w:rPr>
          <w:lang w:eastAsia="zh-CN"/>
        </w:rPr>
        <w:t>", addressed by a URI that contains Transaction Id allocated by the SCEF and</w:t>
      </w:r>
      <w:r w:rsidRPr="000A0A5F">
        <w:t xml:space="preserve"> respond to the </w:t>
      </w:r>
      <w:r w:rsidRPr="000A0A5F">
        <w:rPr>
          <w:rFonts w:hint="eastAsia"/>
          <w:lang w:eastAsia="zh-CN"/>
        </w:rPr>
        <w:t>SCS/AS</w:t>
      </w:r>
      <w:r w:rsidRPr="000A0A5F">
        <w:rPr>
          <w:lang w:eastAsia="zh-CN"/>
        </w:rPr>
        <w:t xml:space="preserve"> by sending an HTTP response</w:t>
      </w:r>
      <w:r w:rsidRPr="000A0A5F">
        <w:rPr>
          <w:rFonts w:hint="eastAsia"/>
          <w:lang w:eastAsia="zh-CN"/>
        </w:rPr>
        <w:t xml:space="preserve"> </w:t>
      </w:r>
      <w:r w:rsidRPr="000A0A5F">
        <w:t xml:space="preserve">with a 201 </w:t>
      </w:r>
      <w:r w:rsidRPr="000A0A5F">
        <w:rPr>
          <w:rFonts w:hint="eastAsia"/>
          <w:lang w:eastAsia="zh-CN"/>
        </w:rPr>
        <w:t>Created</w:t>
      </w:r>
      <w:r w:rsidRPr="000A0A5F">
        <w:t xml:space="preserve"> status code</w:t>
      </w:r>
      <w:r w:rsidRPr="000A0A5F">
        <w:rPr>
          <w:rFonts w:hint="eastAsia"/>
          <w:lang w:eastAsia="zh-CN"/>
        </w:rPr>
        <w:t xml:space="preserve">, </w:t>
      </w:r>
      <w:r w:rsidRPr="000A0A5F">
        <w:t>including</w:t>
      </w:r>
      <w:r w:rsidRPr="000A0A5F">
        <w:rPr>
          <w:rFonts w:hint="eastAsia"/>
          <w:lang w:eastAsia="zh-CN"/>
        </w:rPr>
        <w:t xml:space="preserve"> </w:t>
      </w:r>
      <w:r w:rsidRPr="000A0A5F">
        <w:t>a Location header field containing the URI for the created resource</w:t>
      </w:r>
      <w:r w:rsidRPr="000A0A5F">
        <w:rPr>
          <w:rFonts w:hint="eastAsia"/>
          <w:lang w:eastAsia="zh-CN"/>
        </w:rPr>
        <w:t>.</w:t>
      </w:r>
      <w:r w:rsidRPr="000A0A5F">
        <w:t xml:space="preserve"> When the </w:t>
      </w:r>
      <w:r w:rsidRPr="000A0A5F">
        <w:rPr>
          <w:rFonts w:hint="eastAsia"/>
          <w:lang w:eastAsia="zh-CN"/>
        </w:rPr>
        <w:t xml:space="preserve">SCS/AS </w:t>
      </w:r>
      <w:r w:rsidRPr="000A0A5F">
        <w:t>receives the</w:t>
      </w:r>
      <w:r w:rsidRPr="000A0A5F">
        <w:rPr>
          <w:rFonts w:hint="eastAsia"/>
          <w:lang w:eastAsia="zh-CN"/>
        </w:rPr>
        <w:t xml:space="preserve"> URI in the Location header</w:t>
      </w:r>
      <w:r w:rsidRPr="000A0A5F">
        <w:t xml:space="preserve">, it shall use this </w:t>
      </w:r>
      <w:r w:rsidRPr="000A0A5F">
        <w:rPr>
          <w:rFonts w:hint="eastAsia"/>
          <w:lang w:eastAsia="zh-CN"/>
        </w:rPr>
        <w:t>URI</w:t>
      </w:r>
      <w:r w:rsidRPr="000A0A5F">
        <w:t xml:space="preserve"> in subsequent requests to the </w:t>
      </w:r>
      <w:r w:rsidRPr="000A0A5F">
        <w:rPr>
          <w:rFonts w:hint="eastAsia"/>
          <w:lang w:eastAsia="zh-CN"/>
        </w:rPr>
        <w:t xml:space="preserve">SCEF </w:t>
      </w:r>
      <w:r w:rsidRPr="000A0A5F">
        <w:t>to refer to this active MBMS bearer. If the Group Message Payload was not included in the HTTP POST above, the HTTP response sent from the SCEF shall also include the SCEF message delivery Ipv4 address or Ipv6 address and port number.</w:t>
      </w:r>
    </w:p>
    <w:p w:rsidR="00CB0DD7" w:rsidRPr="000A0A5F" w:rsidRDefault="00CB0DD7">
      <w:r w:rsidRPr="000A0A5F">
        <w:rPr>
          <w:lang w:eastAsia="zh-CN"/>
        </w:rPr>
        <w:t>If the SCEF receives the response with an error code from the BM-SC for the activation of MBMS bearer, the SCEF</w:t>
      </w:r>
      <w:r w:rsidRPr="000A0A5F">
        <w:rPr>
          <w:rFonts w:hint="eastAsia"/>
          <w:lang w:eastAsia="zh-CN"/>
        </w:rPr>
        <w:t xml:space="preserve"> shall not create</w:t>
      </w:r>
      <w:r w:rsidRPr="000A0A5F">
        <w:rPr>
          <w:lang w:eastAsia="zh-CN"/>
        </w:rPr>
        <w:t xml:space="preserve"> </w:t>
      </w:r>
      <w:r w:rsidRPr="000A0A5F">
        <w:rPr>
          <w:rFonts w:hint="eastAsia"/>
          <w:lang w:eastAsia="zh-CN"/>
        </w:rPr>
        <w:t xml:space="preserve">the resource and </w:t>
      </w:r>
      <w:r w:rsidRPr="000A0A5F">
        <w:rPr>
          <w:lang w:eastAsia="zh-CN"/>
        </w:rPr>
        <w:t xml:space="preserve">shall </w:t>
      </w:r>
      <w:r w:rsidRPr="000A0A5F">
        <w:t>respond to the SCS/AS with a corresponding failure code as described in clause 5.2.6.</w:t>
      </w:r>
    </w:p>
    <w:p w:rsidR="00CB0DD7" w:rsidRPr="000A0A5F" w:rsidRDefault="00CB0DD7">
      <w:pPr>
        <w:rPr>
          <w:lang w:eastAsia="zh-CN"/>
        </w:rPr>
      </w:pPr>
      <w:r w:rsidRPr="000A0A5F">
        <w:t xml:space="preserve">If the Group Message Payload was included the HTTP POST above, the SCEF shall deliver to BM-SC the Group Message Payload(s) as defined in </w:t>
      </w:r>
      <w:r w:rsidRPr="000A0A5F">
        <w:rPr>
          <w:lang w:eastAsia="zh-CN"/>
        </w:rPr>
        <w:t>3</w:t>
      </w:r>
      <w:r w:rsidRPr="000A0A5F">
        <w:rPr>
          <w:rFonts w:hint="eastAsia"/>
          <w:lang w:eastAsia="zh-CN"/>
        </w:rPr>
        <w:t>G</w:t>
      </w:r>
      <w:r w:rsidRPr="000A0A5F">
        <w:rPr>
          <w:lang w:eastAsia="zh-CN"/>
        </w:rPr>
        <w:t>PP TS 29.</w:t>
      </w:r>
      <w:r w:rsidRPr="000A0A5F">
        <w:rPr>
          <w:lang w:val="en-US" w:eastAsia="zh-CN"/>
        </w:rPr>
        <w:t>468 [36] at Message Delivery Start Time.</w:t>
      </w:r>
    </w:p>
    <w:p w:rsidR="00CB0DD7" w:rsidRPr="000A0A5F" w:rsidRDefault="00CB0DD7">
      <w:pPr>
        <w:rPr>
          <w:rFonts w:hint="eastAsia"/>
          <w:lang w:eastAsia="zh-CN"/>
        </w:rPr>
      </w:pPr>
      <w:r w:rsidRPr="000A0A5F">
        <w:t xml:space="preserve">If the Group Message Payload was not included in the HTTP POST above, the SCEF shall transfer the contents received from the SCS/AS to the BM-CS at or after the requested Message Delivery Start Time, but before the Message Delivery Stop Time. In this case, when the SCEF detects the group message delivery was triggered successful, the SCEF shall send an HTTP POST request message to the SCS/AS. </w:t>
      </w:r>
    </w:p>
    <w:p w:rsidR="00CB0DD7" w:rsidRPr="000A0A5F" w:rsidRDefault="00CB0DD7">
      <w:pPr>
        <w:pStyle w:val="Heading6"/>
      </w:pPr>
      <w:bookmarkStart w:id="738" w:name="_Toc11247230"/>
      <w:bookmarkStart w:id="739" w:name="_Toc27044348"/>
      <w:bookmarkStart w:id="740" w:name="_Toc36033390"/>
      <w:bookmarkStart w:id="741" w:name="_Toc45131522"/>
      <w:bookmarkStart w:id="742" w:name="_Toc49775807"/>
      <w:bookmarkStart w:id="743" w:name="_Toc51746727"/>
      <w:bookmarkStart w:id="744" w:name="_Toc66360269"/>
      <w:bookmarkStart w:id="745" w:name="_Toc68104774"/>
      <w:bookmarkStart w:id="746" w:name="_Toc74755403"/>
      <w:bookmarkStart w:id="747" w:name="_Toc105674258"/>
      <w:bookmarkStart w:id="748" w:name="_Toc130502291"/>
      <w:bookmarkStart w:id="749" w:name="_Toc153625070"/>
      <w:r w:rsidRPr="000A0A5F">
        <w:rPr>
          <w:rFonts w:hint="eastAsia"/>
        </w:rPr>
        <w:t>4.4.7.2.</w:t>
      </w:r>
      <w:r w:rsidRPr="000A0A5F">
        <w:t>3</w:t>
      </w:r>
      <w:r w:rsidRPr="000A0A5F">
        <w:rPr>
          <w:rFonts w:hint="eastAsia"/>
        </w:rPr>
        <w:t>.</w:t>
      </w:r>
      <w:r w:rsidRPr="000A0A5F">
        <w:t>4</w:t>
      </w:r>
      <w:r w:rsidRPr="000A0A5F">
        <w:tab/>
        <w:t>Modification of previous submitted group message delivery</w:t>
      </w:r>
      <w:bookmarkEnd w:id="738"/>
      <w:bookmarkEnd w:id="739"/>
      <w:bookmarkEnd w:id="740"/>
      <w:bookmarkEnd w:id="741"/>
      <w:bookmarkEnd w:id="742"/>
      <w:bookmarkEnd w:id="743"/>
      <w:bookmarkEnd w:id="744"/>
      <w:bookmarkEnd w:id="745"/>
      <w:bookmarkEnd w:id="746"/>
      <w:bookmarkEnd w:id="747"/>
      <w:bookmarkEnd w:id="748"/>
      <w:bookmarkEnd w:id="749"/>
    </w:p>
    <w:p w:rsidR="00CB0DD7" w:rsidRPr="000A0A5F" w:rsidRDefault="00CB0DD7">
      <w:pPr>
        <w:rPr>
          <w:rFonts w:hint="eastAsia"/>
          <w:lang w:eastAsia="zh-CN"/>
        </w:rPr>
      </w:pPr>
      <w:r w:rsidRPr="000A0A5F">
        <w:rPr>
          <w:rFonts w:hint="eastAsia"/>
        </w:rPr>
        <w:t>If the SCS/AS</w:t>
      </w:r>
      <w:r w:rsidRPr="000A0A5F">
        <w:t xml:space="preserve"> determines that modification of previous accepted Group Message Delivery Request is required, the SCS/AS shall send an HTTP PATCH or HTTP PUT request message to the SCEF to the resource </w:t>
      </w:r>
      <w:r w:rsidRPr="000A0A5F">
        <w:rPr>
          <w:lang w:eastAsia="zh-CN"/>
        </w:rPr>
        <w:t xml:space="preserve">"Individual </w:t>
      </w:r>
      <w:r w:rsidRPr="000A0A5F">
        <w:rPr>
          <w:rFonts w:hint="eastAsia"/>
          <w:lang w:eastAsia="zh-CN"/>
        </w:rPr>
        <w:t>GMD</w:t>
      </w:r>
      <w:r w:rsidRPr="000A0A5F">
        <w:rPr>
          <w:lang w:eastAsia="zh-CN"/>
        </w:rPr>
        <w:t xml:space="preserve"> </w:t>
      </w:r>
      <w:r w:rsidRPr="000A0A5F">
        <w:rPr>
          <w:rFonts w:hint="eastAsia"/>
          <w:lang w:eastAsia="zh-CN"/>
        </w:rPr>
        <w:t>via MBMS</w:t>
      </w:r>
      <w:r w:rsidRPr="000A0A5F">
        <w:rPr>
          <w:lang w:eastAsia="zh-CN"/>
        </w:rPr>
        <w:t xml:space="preserve"> by xMB "</w:t>
      </w:r>
      <w:r w:rsidRPr="000A0A5F">
        <w:t xml:space="preserve">. </w:t>
      </w:r>
      <w:r w:rsidRPr="000A0A5F">
        <w:rPr>
          <w:rFonts w:hint="eastAsia"/>
          <w:lang w:eastAsia="zh-CN"/>
        </w:rPr>
        <w:t>T</w:t>
      </w:r>
      <w:r w:rsidRPr="000A0A5F">
        <w:rPr>
          <w:lang w:eastAsia="zh-CN"/>
        </w:rPr>
        <w:t xml:space="preserve">he body of the HTTP PATCH request message shall include the Message </w:t>
      </w:r>
      <w:r w:rsidRPr="000A0A5F">
        <w:rPr>
          <w:rFonts w:hint="eastAsia"/>
          <w:lang w:eastAsia="zh-CN"/>
        </w:rPr>
        <w:t xml:space="preserve">Delivery </w:t>
      </w:r>
      <w:r w:rsidRPr="000A0A5F">
        <w:rPr>
          <w:lang w:eastAsia="zh-CN"/>
        </w:rPr>
        <w:t xml:space="preserve">Start Time and Message </w:t>
      </w:r>
      <w:r w:rsidRPr="000A0A5F">
        <w:rPr>
          <w:rFonts w:hint="eastAsia"/>
          <w:lang w:eastAsia="zh-CN"/>
        </w:rPr>
        <w:t xml:space="preserve">Delivery </w:t>
      </w:r>
      <w:r w:rsidRPr="000A0A5F">
        <w:rPr>
          <w:lang w:eastAsia="zh-CN"/>
        </w:rPr>
        <w:t>Stop Time</w:t>
      </w:r>
      <w:r w:rsidRPr="000A0A5F">
        <w:rPr>
          <w:rFonts w:hint="eastAsia"/>
          <w:lang w:eastAsia="zh-CN"/>
        </w:rPr>
        <w:t>.</w:t>
      </w:r>
      <w:r w:rsidRPr="000A0A5F">
        <w:rPr>
          <w:lang w:eastAsia="zh-CN"/>
        </w:rPr>
        <w:t xml:space="preserve"> The SCS/AS may also include the </w:t>
      </w:r>
      <w:r w:rsidRPr="000A0A5F">
        <w:t>External Group Identifier, the Group Message Payload and the location information</w:t>
      </w:r>
      <w:r w:rsidRPr="000A0A5F">
        <w:rPr>
          <w:lang w:eastAsia="zh-CN"/>
        </w:rPr>
        <w:t xml:space="preserve"> in the body. </w:t>
      </w:r>
      <w:r w:rsidRPr="000A0A5F">
        <w:rPr>
          <w:rFonts w:hint="eastAsia"/>
          <w:lang w:eastAsia="zh-CN"/>
        </w:rPr>
        <w:t>T</w:t>
      </w:r>
      <w:r w:rsidRPr="000A0A5F">
        <w:rPr>
          <w:lang w:eastAsia="zh-CN"/>
        </w:rPr>
        <w:t>he body of the HTTP PUT request message shall include the information as the information provided in the HTTP POST in clause</w:t>
      </w:r>
      <w:r w:rsidRPr="000A0A5F">
        <w:rPr>
          <w:lang w:val="en-US" w:eastAsia="zh-CN"/>
        </w:rPr>
        <w:t> </w:t>
      </w:r>
      <w:r w:rsidRPr="000A0A5F">
        <w:rPr>
          <w:lang w:eastAsia="zh-CN"/>
        </w:rPr>
        <w:t xml:space="preserve">4.4.7.2.3.3. </w:t>
      </w:r>
      <w:r w:rsidRPr="000A0A5F">
        <w:rPr>
          <w:rFonts w:hint="eastAsia"/>
          <w:lang w:eastAsia="zh-CN"/>
        </w:rPr>
        <w:t>T</w:t>
      </w:r>
      <w:r w:rsidRPr="000A0A5F">
        <w:rPr>
          <w:lang w:eastAsia="zh-CN"/>
        </w:rPr>
        <w:t xml:space="preserve">he body of the HTTP PATCH request message shall include the information defined in </w:t>
      </w:r>
      <w:r w:rsidRPr="000A0A5F">
        <w:rPr>
          <w:lang w:val="en-US" w:eastAsia="zh-CN"/>
        </w:rPr>
        <w:t xml:space="preserve">the </w:t>
      </w:r>
      <w:r w:rsidRPr="000A0A5F">
        <w:rPr>
          <w:lang w:eastAsia="zh-CN"/>
        </w:rPr>
        <w:t xml:space="preserve">data type of </w:t>
      </w:r>
      <w:r w:rsidRPr="000A0A5F">
        <w:t>GMDViaMBMSByxMBPatch as defined in clause 5.8.3.1.1.4.</w:t>
      </w:r>
    </w:p>
    <w:p w:rsidR="00CB0DD7" w:rsidRPr="000A0A5F" w:rsidRDefault="00CB0DD7">
      <w:r w:rsidRPr="000A0A5F">
        <w:t xml:space="preserve">Upon receipt of the HTTP PATCH or HTTP PUT request from the </w:t>
      </w:r>
      <w:r w:rsidRPr="000A0A5F">
        <w:rPr>
          <w:rFonts w:hint="eastAsia"/>
          <w:lang w:eastAsia="zh-CN"/>
        </w:rPr>
        <w:t xml:space="preserve">SCS/AS </w:t>
      </w:r>
      <w:r w:rsidRPr="000A0A5F">
        <w:t xml:space="preserve">to modify the previous group message delivery subscription, the </w:t>
      </w:r>
      <w:r w:rsidRPr="000A0A5F">
        <w:rPr>
          <w:rFonts w:hint="eastAsia"/>
          <w:lang w:eastAsia="zh-CN"/>
        </w:rPr>
        <w:t xml:space="preserve">SCEF shall </w:t>
      </w:r>
      <w:r w:rsidRPr="000A0A5F">
        <w:t xml:space="preserve">check whether the </w:t>
      </w:r>
      <w:r w:rsidRPr="000A0A5F">
        <w:rPr>
          <w:rFonts w:hint="eastAsia"/>
          <w:lang w:eastAsia="zh-CN"/>
        </w:rPr>
        <w:t>SCS/AS</w:t>
      </w:r>
      <w:r w:rsidRPr="000A0A5F">
        <w:t xml:space="preserve"> is authenticated and authorized to modify the submitted group message delivery. If the authorization is successful, the SCEF shall initiate the Update Session procedure as defined in clause 4.4.5.3 of 3GPP TS 29.116 [37] </w:t>
      </w:r>
      <w:r w:rsidRPr="000A0A5F">
        <w:rPr>
          <w:lang w:val="en-US" w:eastAsia="zh-CN"/>
        </w:rPr>
        <w:t xml:space="preserve">with the difference that </w:t>
      </w:r>
      <w:r w:rsidRPr="000A0A5F">
        <w:t>the SCEF acts as a Content Provider, Session Start is set accordiong to the Message Delivery Start Time and the Session Stop is set according to the Message Delivery Stop Time. The SCEF shall include the location information based on the local configuration if the location information is not provided in the HTTP PATCH or HTTP PUT request message.</w:t>
      </w:r>
    </w:p>
    <w:p w:rsidR="00CB0DD7" w:rsidRPr="000A0A5F" w:rsidRDefault="00CB0DD7">
      <w:pPr>
        <w:rPr>
          <w:lang w:eastAsia="zh-CN"/>
        </w:rPr>
      </w:pPr>
      <w:r w:rsidRPr="000A0A5F">
        <w:t xml:space="preserve">Upon successful modification of MBMS bearer, the </w:t>
      </w:r>
      <w:r w:rsidRPr="000A0A5F">
        <w:rPr>
          <w:rFonts w:hint="eastAsia"/>
        </w:rPr>
        <w:t>SCEF</w:t>
      </w:r>
      <w:r w:rsidRPr="000A0A5F">
        <w:t xml:space="preserve"> shall respond to the </w:t>
      </w:r>
      <w:r w:rsidRPr="000A0A5F">
        <w:rPr>
          <w:rFonts w:hint="eastAsia"/>
        </w:rPr>
        <w:t xml:space="preserve">SCS/AS </w:t>
      </w:r>
      <w:r w:rsidRPr="000A0A5F">
        <w:t>with a 200 OK success message indicating that previous group message delivery subscription is successfully updated</w:t>
      </w:r>
      <w:r w:rsidR="003D6C1A" w:rsidRPr="000A0A5F">
        <w:t xml:space="preserve"> or with a 204 No Content success message if no content in the HTTP PUT or PATCH response message body</w:t>
      </w:r>
      <w:r w:rsidRPr="000A0A5F">
        <w:rPr>
          <w:rFonts w:hint="eastAsia"/>
          <w:lang w:eastAsia="zh-CN"/>
        </w:rPr>
        <w:t>.</w:t>
      </w:r>
    </w:p>
    <w:p w:rsidR="00CB0DD7" w:rsidRPr="000A0A5F" w:rsidRDefault="00CB0DD7">
      <w:pPr>
        <w:rPr>
          <w:rFonts w:hint="eastAsia"/>
          <w:lang w:eastAsia="zh-CN"/>
        </w:rPr>
      </w:pPr>
      <w:r w:rsidRPr="000A0A5F">
        <w:rPr>
          <w:lang w:eastAsia="zh-CN"/>
        </w:rPr>
        <w:t>If the SCEF receives the response with an error code from the BM-SC for the modification of MBMS bearer, the SCEF</w:t>
      </w:r>
      <w:r w:rsidRPr="000A0A5F">
        <w:rPr>
          <w:rFonts w:hint="eastAsia"/>
          <w:lang w:eastAsia="zh-CN"/>
        </w:rPr>
        <w:t xml:space="preserve"> shall not </w:t>
      </w:r>
      <w:r w:rsidRPr="000A0A5F">
        <w:rPr>
          <w:lang w:eastAsia="zh-CN"/>
        </w:rPr>
        <w:t xml:space="preserve">update </w:t>
      </w:r>
      <w:r w:rsidRPr="000A0A5F">
        <w:rPr>
          <w:rFonts w:hint="eastAsia"/>
          <w:lang w:eastAsia="zh-CN"/>
        </w:rPr>
        <w:t xml:space="preserve">the resource and </w:t>
      </w:r>
      <w:r w:rsidRPr="000A0A5F">
        <w:rPr>
          <w:lang w:eastAsia="zh-CN"/>
        </w:rPr>
        <w:t xml:space="preserve">shall </w:t>
      </w:r>
      <w:r w:rsidRPr="000A0A5F">
        <w:t>respond to the SCS/AS with a corresponding failure code as described in clause 5.2.6.</w:t>
      </w:r>
    </w:p>
    <w:p w:rsidR="00CB0DD7" w:rsidRPr="000A0A5F" w:rsidRDefault="00CB0DD7">
      <w:pPr>
        <w:pStyle w:val="Heading6"/>
      </w:pPr>
      <w:bookmarkStart w:id="750" w:name="_Toc11247231"/>
      <w:bookmarkStart w:id="751" w:name="_Toc27044349"/>
      <w:bookmarkStart w:id="752" w:name="_Toc36033391"/>
      <w:bookmarkStart w:id="753" w:name="_Toc45131523"/>
      <w:bookmarkStart w:id="754" w:name="_Toc49775808"/>
      <w:bookmarkStart w:id="755" w:name="_Toc51746728"/>
      <w:bookmarkStart w:id="756" w:name="_Toc66360270"/>
      <w:bookmarkStart w:id="757" w:name="_Toc68104775"/>
      <w:bookmarkStart w:id="758" w:name="_Toc74755404"/>
      <w:bookmarkStart w:id="759" w:name="_Toc105674259"/>
      <w:bookmarkStart w:id="760" w:name="_Toc130502292"/>
      <w:bookmarkStart w:id="761" w:name="_Toc153625071"/>
      <w:r w:rsidRPr="000A0A5F">
        <w:rPr>
          <w:rFonts w:hint="eastAsia"/>
        </w:rPr>
        <w:t>4.4.7</w:t>
      </w:r>
      <w:r w:rsidRPr="000A0A5F">
        <w:t>.2.3.5</w:t>
      </w:r>
      <w:r w:rsidRPr="000A0A5F">
        <w:tab/>
        <w:t>Cancellation of previous submitted group message delivery</w:t>
      </w:r>
      <w:bookmarkEnd w:id="750"/>
      <w:bookmarkEnd w:id="751"/>
      <w:bookmarkEnd w:id="752"/>
      <w:bookmarkEnd w:id="753"/>
      <w:bookmarkEnd w:id="754"/>
      <w:bookmarkEnd w:id="755"/>
      <w:bookmarkEnd w:id="756"/>
      <w:bookmarkEnd w:id="757"/>
      <w:bookmarkEnd w:id="758"/>
      <w:bookmarkEnd w:id="759"/>
      <w:bookmarkEnd w:id="760"/>
      <w:bookmarkEnd w:id="761"/>
    </w:p>
    <w:p w:rsidR="00CB0DD7" w:rsidRPr="000A0A5F" w:rsidRDefault="00CB0DD7">
      <w:pPr>
        <w:rPr>
          <w:rFonts w:hint="eastAsia"/>
          <w:lang w:eastAsia="zh-CN"/>
        </w:rPr>
      </w:pPr>
      <w:r w:rsidRPr="000A0A5F">
        <w:rPr>
          <w:rFonts w:hint="eastAsia"/>
        </w:rPr>
        <w:t>If the SCS/AS</w:t>
      </w:r>
      <w:r w:rsidRPr="000A0A5F">
        <w:t xml:space="preserve"> determines that deletion of previous accepted Group Message Delivery Request is required, the SCS/AS shall send an HTTP DELETE request message to the SCEF. </w:t>
      </w:r>
    </w:p>
    <w:p w:rsidR="00CB0DD7" w:rsidRPr="000A0A5F" w:rsidRDefault="00CB0DD7">
      <w:r w:rsidRPr="000A0A5F">
        <w:t xml:space="preserve">Upon receipt of the HTTP DELETE request from the </w:t>
      </w:r>
      <w:r w:rsidRPr="000A0A5F">
        <w:rPr>
          <w:rFonts w:hint="eastAsia"/>
          <w:lang w:eastAsia="zh-CN"/>
        </w:rPr>
        <w:t xml:space="preserve">SCS/AS </w:t>
      </w:r>
      <w:r w:rsidRPr="000A0A5F">
        <w:t xml:space="preserve">to delete the previous group message delivery, the </w:t>
      </w:r>
      <w:r w:rsidRPr="000A0A5F">
        <w:rPr>
          <w:rFonts w:hint="eastAsia"/>
          <w:lang w:eastAsia="zh-CN"/>
        </w:rPr>
        <w:t>SCEF</w:t>
      </w:r>
      <w:r w:rsidRPr="000A0A5F">
        <w:t xml:space="preserve"> </w:t>
      </w:r>
      <w:r w:rsidRPr="000A0A5F">
        <w:rPr>
          <w:rFonts w:hint="eastAsia"/>
          <w:lang w:eastAsia="zh-CN"/>
        </w:rPr>
        <w:t xml:space="preserve">shall </w:t>
      </w:r>
      <w:r w:rsidRPr="000A0A5F">
        <w:t xml:space="preserve">check whether the </w:t>
      </w:r>
      <w:r w:rsidRPr="000A0A5F">
        <w:rPr>
          <w:rFonts w:hint="eastAsia"/>
          <w:lang w:eastAsia="zh-CN"/>
        </w:rPr>
        <w:t>SCS/AS</w:t>
      </w:r>
      <w:r w:rsidRPr="000A0A5F">
        <w:t xml:space="preserve"> is authenticated and authorized to delete an existing group message delivery subscription. If the authorization is successful, the SCEF shall initiate the Delete Session procedure as defined in clause 4.4.5.4 of 3GPP TS 29.116 [37] </w:t>
      </w:r>
      <w:r w:rsidRPr="000A0A5F">
        <w:rPr>
          <w:lang w:val="en-US" w:eastAsia="zh-CN"/>
        </w:rPr>
        <w:t xml:space="preserve">with the difference that </w:t>
      </w:r>
      <w:r w:rsidRPr="000A0A5F">
        <w:t>the SCEF acts as a Content Provider.</w:t>
      </w:r>
    </w:p>
    <w:p w:rsidR="00CB0DD7" w:rsidRPr="000A0A5F" w:rsidRDefault="00CB0DD7">
      <w:pPr>
        <w:rPr>
          <w:rFonts w:hint="eastAsia"/>
        </w:rPr>
      </w:pPr>
      <w:r w:rsidRPr="000A0A5F">
        <w:t xml:space="preserve">Upon successful deletion of MBMS bearer, the </w:t>
      </w:r>
      <w:r w:rsidRPr="000A0A5F">
        <w:rPr>
          <w:rFonts w:hint="eastAsia"/>
        </w:rPr>
        <w:t>SCEF</w:t>
      </w:r>
      <w:r w:rsidRPr="000A0A5F">
        <w:t xml:space="preserve"> shall respond to the </w:t>
      </w:r>
      <w:r w:rsidRPr="000A0A5F">
        <w:rPr>
          <w:rFonts w:hint="eastAsia"/>
        </w:rPr>
        <w:t xml:space="preserve">SCS/AS </w:t>
      </w:r>
      <w:r w:rsidRPr="000A0A5F">
        <w:t>with a 204 No Content message indicating that submitted group message delivery is successfully deleted</w:t>
      </w:r>
      <w:r w:rsidRPr="000A0A5F">
        <w:rPr>
          <w:rFonts w:hint="eastAsia"/>
          <w:lang w:eastAsia="zh-CN"/>
        </w:rPr>
        <w:t>.</w:t>
      </w:r>
    </w:p>
    <w:p w:rsidR="00CB0DD7" w:rsidRPr="000A0A5F" w:rsidRDefault="00CB0DD7">
      <w:pPr>
        <w:pStyle w:val="Heading3"/>
      </w:pPr>
      <w:bookmarkStart w:id="762" w:name="_Toc11247232"/>
      <w:bookmarkStart w:id="763" w:name="_Toc27044350"/>
      <w:bookmarkStart w:id="764" w:name="_Toc36033392"/>
      <w:bookmarkStart w:id="765" w:name="_Toc45131524"/>
      <w:bookmarkStart w:id="766" w:name="_Toc49775809"/>
      <w:bookmarkStart w:id="767" w:name="_Toc51746729"/>
      <w:bookmarkStart w:id="768" w:name="_Toc66360271"/>
      <w:bookmarkStart w:id="769" w:name="_Toc68104776"/>
      <w:bookmarkStart w:id="770" w:name="_Toc74755405"/>
      <w:bookmarkStart w:id="771" w:name="_Toc105674260"/>
      <w:bookmarkStart w:id="772" w:name="_Toc130502293"/>
      <w:bookmarkStart w:id="773" w:name="_Toc153625072"/>
      <w:r w:rsidRPr="000A0A5F">
        <w:t>4.</w:t>
      </w:r>
      <w:r w:rsidRPr="000A0A5F">
        <w:rPr>
          <w:lang w:eastAsia="zh-CN"/>
        </w:rPr>
        <w:t>4</w:t>
      </w:r>
      <w:r w:rsidRPr="000A0A5F">
        <w:t>.8</w:t>
      </w:r>
      <w:r w:rsidRPr="000A0A5F">
        <w:tab/>
      </w:r>
      <w:r w:rsidRPr="000A0A5F">
        <w:rPr>
          <w:rFonts w:hint="eastAsia"/>
          <w:lang w:eastAsia="zh-CN"/>
        </w:rPr>
        <w:t xml:space="preserve">Procedures for </w:t>
      </w:r>
      <w:r w:rsidRPr="000A0A5F">
        <w:t>Reporting of Network Status</w:t>
      </w:r>
      <w:bookmarkEnd w:id="762"/>
      <w:bookmarkEnd w:id="763"/>
      <w:bookmarkEnd w:id="764"/>
      <w:bookmarkEnd w:id="765"/>
      <w:bookmarkEnd w:id="766"/>
      <w:bookmarkEnd w:id="767"/>
      <w:bookmarkEnd w:id="768"/>
      <w:bookmarkEnd w:id="769"/>
      <w:bookmarkEnd w:id="770"/>
      <w:bookmarkEnd w:id="771"/>
      <w:bookmarkEnd w:id="772"/>
      <w:bookmarkEnd w:id="773"/>
    </w:p>
    <w:p w:rsidR="00CB0DD7" w:rsidRPr="000A0A5F" w:rsidRDefault="00CB0DD7">
      <w:pPr>
        <w:pStyle w:val="Heading4"/>
      </w:pPr>
      <w:bookmarkStart w:id="774" w:name="_Toc11247233"/>
      <w:bookmarkStart w:id="775" w:name="_Toc27044351"/>
      <w:bookmarkStart w:id="776" w:name="_Toc36033393"/>
      <w:bookmarkStart w:id="777" w:name="_Toc45131525"/>
      <w:bookmarkStart w:id="778" w:name="_Toc49775810"/>
      <w:bookmarkStart w:id="779" w:name="_Toc51746730"/>
      <w:bookmarkStart w:id="780" w:name="_Toc66360272"/>
      <w:bookmarkStart w:id="781" w:name="_Toc68104777"/>
      <w:bookmarkStart w:id="782" w:name="_Toc74755406"/>
      <w:bookmarkStart w:id="783" w:name="_Toc105674261"/>
      <w:bookmarkStart w:id="784" w:name="_Toc130502294"/>
      <w:bookmarkStart w:id="785" w:name="_Toc153625073"/>
      <w:r w:rsidRPr="000A0A5F">
        <w:t>4.4.8.1</w:t>
      </w:r>
      <w:r w:rsidRPr="000A0A5F">
        <w:tab/>
        <w:t>General</w:t>
      </w:r>
      <w:bookmarkEnd w:id="774"/>
      <w:bookmarkEnd w:id="775"/>
      <w:bookmarkEnd w:id="776"/>
      <w:bookmarkEnd w:id="777"/>
      <w:bookmarkEnd w:id="778"/>
      <w:bookmarkEnd w:id="779"/>
      <w:bookmarkEnd w:id="780"/>
      <w:bookmarkEnd w:id="781"/>
      <w:bookmarkEnd w:id="782"/>
      <w:bookmarkEnd w:id="783"/>
      <w:bookmarkEnd w:id="784"/>
      <w:bookmarkEnd w:id="785"/>
    </w:p>
    <w:p w:rsidR="00CB0DD7" w:rsidRPr="000A0A5F" w:rsidRDefault="00CB0DD7">
      <w:pPr>
        <w:rPr>
          <w:noProof/>
          <w:lang w:eastAsia="zh-CN"/>
        </w:rPr>
      </w:pPr>
      <w:r w:rsidRPr="000A0A5F">
        <w:rPr>
          <w:noProof/>
          <w:lang w:eastAsia="zh-CN"/>
        </w:rPr>
        <w:t>These procedures are used by an SCS/AS to</w:t>
      </w:r>
      <w:r w:rsidRPr="000A0A5F">
        <w:rPr>
          <w:rFonts w:hint="eastAsia"/>
          <w:noProof/>
          <w:lang w:eastAsia="zh-CN"/>
        </w:rPr>
        <w:t xml:space="preserve"> </w:t>
      </w:r>
      <w:r w:rsidRPr="000A0A5F">
        <w:rPr>
          <w:noProof/>
          <w:lang w:eastAsia="zh-CN"/>
        </w:rPr>
        <w:t xml:space="preserve">perform </w:t>
      </w:r>
      <w:r w:rsidRPr="000A0A5F">
        <w:rPr>
          <w:rFonts w:hint="eastAsia"/>
          <w:noProof/>
          <w:lang w:eastAsia="zh-CN"/>
        </w:rPr>
        <w:t>reporting of network status</w:t>
      </w:r>
      <w:r w:rsidRPr="000A0A5F">
        <w:rPr>
          <w:noProof/>
          <w:lang w:eastAsia="zh-CN"/>
        </w:rPr>
        <w:t xml:space="preserve"> via the T8 interface in one time or continuous reporting cases</w:t>
      </w:r>
      <w:r w:rsidRPr="000A0A5F">
        <w:rPr>
          <w:rFonts w:hint="eastAsia"/>
          <w:noProof/>
          <w:lang w:eastAsia="zh-CN"/>
        </w:rPr>
        <w:t>.</w:t>
      </w:r>
      <w:r w:rsidRPr="000A0A5F">
        <w:rPr>
          <w:noProof/>
          <w:lang w:eastAsia="zh-CN"/>
        </w:rPr>
        <w:t xml:space="preserve"> </w:t>
      </w:r>
      <w:r w:rsidRPr="000A0A5F">
        <w:rPr>
          <w:rFonts w:hint="eastAsia"/>
          <w:noProof/>
          <w:lang w:eastAsia="zh-CN"/>
        </w:rPr>
        <w:t>The SCEF uses th</w:t>
      </w:r>
      <w:r w:rsidRPr="000A0A5F">
        <w:rPr>
          <w:noProof/>
          <w:lang w:eastAsia="zh-CN"/>
        </w:rPr>
        <w:t>e</w:t>
      </w:r>
      <w:r w:rsidRPr="000A0A5F">
        <w:rPr>
          <w:rFonts w:hint="eastAsia"/>
          <w:noProof/>
          <w:lang w:eastAsia="zh-CN"/>
        </w:rPr>
        <w:t xml:space="preserve"> </w:t>
      </w:r>
      <w:r w:rsidRPr="000A0A5F">
        <w:rPr>
          <w:noProof/>
          <w:lang w:eastAsia="zh-CN"/>
        </w:rPr>
        <w:t xml:space="preserve">reporting </w:t>
      </w:r>
      <w:r w:rsidRPr="000A0A5F">
        <w:rPr>
          <w:rFonts w:hint="eastAsia"/>
          <w:noProof/>
          <w:lang w:eastAsia="zh-CN"/>
        </w:rPr>
        <w:t>procedures based on the network status information from one or more RCAF(s)</w:t>
      </w:r>
      <w:r w:rsidRPr="000A0A5F">
        <w:rPr>
          <w:noProof/>
          <w:lang w:eastAsia="zh-CN"/>
        </w:rPr>
        <w:t>. These procedures can also be used by the SCS/AS to indicate the removal of a previously subscribed reporting request.</w:t>
      </w:r>
    </w:p>
    <w:p w:rsidR="00CB0DD7" w:rsidRPr="000A0A5F" w:rsidRDefault="00CB0DD7">
      <w:pPr>
        <w:pStyle w:val="Heading4"/>
        <w:rPr>
          <w:sz w:val="28"/>
          <w:lang w:eastAsia="zh-CN"/>
        </w:rPr>
      </w:pPr>
      <w:bookmarkStart w:id="786" w:name="_Toc11247234"/>
      <w:bookmarkStart w:id="787" w:name="_Toc27044352"/>
      <w:bookmarkStart w:id="788" w:name="_Toc36033394"/>
      <w:bookmarkStart w:id="789" w:name="_Toc45131526"/>
      <w:bookmarkStart w:id="790" w:name="_Toc49775811"/>
      <w:bookmarkStart w:id="791" w:name="_Toc51746731"/>
      <w:bookmarkStart w:id="792" w:name="_Toc66360273"/>
      <w:bookmarkStart w:id="793" w:name="_Toc68104778"/>
      <w:bookmarkStart w:id="794" w:name="_Toc74755407"/>
      <w:bookmarkStart w:id="795" w:name="_Toc105674262"/>
      <w:bookmarkStart w:id="796" w:name="_Toc130502295"/>
      <w:bookmarkStart w:id="797" w:name="_Toc153625074"/>
      <w:r w:rsidRPr="000A0A5F">
        <w:t>4.4.8.2</w:t>
      </w:r>
      <w:r w:rsidRPr="000A0A5F">
        <w:tab/>
        <w:t>Network Status Reporting Subscription</w:t>
      </w:r>
      <w:bookmarkEnd w:id="786"/>
      <w:bookmarkEnd w:id="787"/>
      <w:bookmarkEnd w:id="788"/>
      <w:bookmarkEnd w:id="789"/>
      <w:bookmarkEnd w:id="790"/>
      <w:bookmarkEnd w:id="791"/>
      <w:bookmarkEnd w:id="792"/>
      <w:bookmarkEnd w:id="793"/>
      <w:bookmarkEnd w:id="794"/>
      <w:bookmarkEnd w:id="795"/>
      <w:bookmarkEnd w:id="796"/>
      <w:bookmarkEnd w:id="797"/>
    </w:p>
    <w:p w:rsidR="00CB0DD7" w:rsidRPr="000A0A5F" w:rsidRDefault="00CB0DD7">
      <w:pPr>
        <w:rPr>
          <w:lang w:eastAsia="zh-CN"/>
        </w:rPr>
      </w:pPr>
      <w:r w:rsidRPr="000A0A5F">
        <w:rPr>
          <w:noProof/>
          <w:lang w:eastAsia="zh-CN"/>
        </w:rPr>
        <w:t>In order to create a new subscription to request for notification</w:t>
      </w:r>
      <w:r w:rsidR="00517DF6" w:rsidRPr="000A0A5F">
        <w:rPr>
          <w:noProof/>
          <w:lang w:eastAsia="zh-CN"/>
        </w:rPr>
        <w:t>s</w:t>
      </w:r>
      <w:r w:rsidRPr="000A0A5F">
        <w:rPr>
          <w:noProof/>
          <w:lang w:eastAsia="zh-CN"/>
        </w:rPr>
        <w:t xml:space="preserve"> </w:t>
      </w:r>
      <w:r w:rsidR="00517DF6" w:rsidRPr="000A0A5F">
        <w:rPr>
          <w:noProof/>
          <w:lang w:eastAsia="zh-CN"/>
        </w:rPr>
        <w:t>on</w:t>
      </w:r>
      <w:r w:rsidRPr="000A0A5F">
        <w:rPr>
          <w:noProof/>
          <w:lang w:eastAsia="zh-CN"/>
        </w:rPr>
        <w:t xml:space="preserve"> network status, the SCS/AS shall send an HTTP POST </w:t>
      </w:r>
      <w:r w:rsidR="00517DF6" w:rsidRPr="000A0A5F">
        <w:rPr>
          <w:noProof/>
          <w:lang w:eastAsia="zh-CN"/>
        </w:rPr>
        <w:t xml:space="preserve">request </w:t>
      </w:r>
      <w:r w:rsidRPr="000A0A5F">
        <w:rPr>
          <w:noProof/>
          <w:lang w:eastAsia="zh-CN"/>
        </w:rPr>
        <w:t xml:space="preserve">message to the SCEF </w:t>
      </w:r>
      <w:r w:rsidR="00517DF6" w:rsidRPr="000A0A5F">
        <w:rPr>
          <w:noProof/>
          <w:lang w:eastAsia="zh-CN"/>
        </w:rPr>
        <w:t xml:space="preserve">on </w:t>
      </w:r>
      <w:r w:rsidRPr="000A0A5F">
        <w:rPr>
          <w:noProof/>
          <w:lang w:eastAsia="zh-CN"/>
        </w:rPr>
        <w:t xml:space="preserve">the "Network Status Reporting Subscriptions" resource. The body of </w:t>
      </w:r>
      <w:r w:rsidR="00517DF6" w:rsidRPr="000A0A5F">
        <w:rPr>
          <w:noProof/>
          <w:lang w:eastAsia="zh-CN"/>
        </w:rPr>
        <w:t xml:space="preserve">the </w:t>
      </w:r>
      <w:r w:rsidRPr="000A0A5F">
        <w:rPr>
          <w:noProof/>
          <w:lang w:eastAsia="zh-CN"/>
        </w:rPr>
        <w:t xml:space="preserve">HTTP POST </w:t>
      </w:r>
      <w:r w:rsidR="00517DF6" w:rsidRPr="000A0A5F">
        <w:rPr>
          <w:noProof/>
          <w:lang w:eastAsia="zh-CN"/>
        </w:rPr>
        <w:t xml:space="preserve">request </w:t>
      </w:r>
      <w:r w:rsidRPr="000A0A5F">
        <w:rPr>
          <w:noProof/>
          <w:lang w:eastAsia="zh-CN"/>
        </w:rPr>
        <w:t xml:space="preserve">shall include </w:t>
      </w:r>
      <w:r w:rsidRPr="000A0A5F">
        <w:rPr>
          <w:rFonts w:hint="eastAsia"/>
          <w:noProof/>
          <w:lang w:eastAsia="ja-JP"/>
        </w:rPr>
        <w:t xml:space="preserve">a </w:t>
      </w:r>
      <w:r w:rsidRPr="000A0A5F">
        <w:rPr>
          <w:noProof/>
          <w:lang w:eastAsia="zh-CN"/>
        </w:rPr>
        <w:t>Notification destination address and</w:t>
      </w:r>
      <w:r w:rsidRPr="000A0A5F">
        <w:t xml:space="preserve"> Location area</w:t>
      </w:r>
      <w:r w:rsidR="00517DF6" w:rsidRPr="000A0A5F">
        <w:t xml:space="preserve"> information</w:t>
      </w:r>
      <w:r w:rsidRPr="000A0A5F">
        <w:t xml:space="preserve">, and may include </w:t>
      </w:r>
      <w:r w:rsidR="00517DF6" w:rsidRPr="000A0A5F">
        <w:t xml:space="preserve">the </w:t>
      </w:r>
      <w:r w:rsidRPr="000A0A5F">
        <w:t>time duration and threshold(s).</w:t>
      </w:r>
    </w:p>
    <w:p w:rsidR="00CB0DD7" w:rsidRPr="000A0A5F" w:rsidRDefault="00CB0DD7">
      <w:r w:rsidRPr="000A0A5F">
        <w:t xml:space="preserve">Upon receiving the HTTP POST </w:t>
      </w:r>
      <w:r w:rsidR="00517DF6" w:rsidRPr="000A0A5F">
        <w:t xml:space="preserve">request </w:t>
      </w:r>
      <w:r w:rsidRPr="000A0A5F">
        <w:t>message from the SCS/AS, the SCEF shall check:</w:t>
      </w:r>
    </w:p>
    <w:p w:rsidR="00CB0DD7" w:rsidRPr="000A0A5F" w:rsidRDefault="00CB0DD7">
      <w:pPr>
        <w:pStyle w:val="B10"/>
        <w:rPr>
          <w:lang w:eastAsia="zh-CN"/>
        </w:rPr>
      </w:pPr>
      <w:r w:rsidRPr="000A0A5F">
        <w:rPr>
          <w:noProof/>
          <w:lang w:eastAsia="zh-CN"/>
        </w:rPr>
        <w:t>-</w:t>
      </w:r>
      <w:r w:rsidRPr="000A0A5F">
        <w:rPr>
          <w:noProof/>
          <w:lang w:eastAsia="zh-CN"/>
        </w:rPr>
        <w:tab/>
        <w:t xml:space="preserve">if </w:t>
      </w:r>
      <w:r w:rsidRPr="000A0A5F">
        <w:t>the SCS/AS is authorized to perform the request. If not</w:t>
      </w:r>
      <w:r w:rsidR="00517DF6" w:rsidRPr="000A0A5F">
        <w:t>,</w:t>
      </w:r>
      <w:r w:rsidRPr="000A0A5F">
        <w:t xml:space="preserve"> the SCEF shall respond to the SCS/AS</w:t>
      </w:r>
      <w:r w:rsidRPr="000A0A5F">
        <w:rPr>
          <w:lang w:eastAsia="zh-CN"/>
        </w:rPr>
        <w:t xml:space="preserve"> with a</w:t>
      </w:r>
      <w:r w:rsidR="00517DF6" w:rsidRPr="000A0A5F">
        <w:rPr>
          <w:lang w:eastAsia="zh-CN"/>
        </w:rPr>
        <w:t>n HTTP "401 Unauthorized"</w:t>
      </w:r>
      <w:r w:rsidRPr="000A0A5F">
        <w:rPr>
          <w:lang w:eastAsia="zh-CN"/>
        </w:rPr>
        <w:t xml:space="preserve"> status code.</w:t>
      </w:r>
    </w:p>
    <w:p w:rsidR="00CB0DD7" w:rsidRPr="000A0A5F" w:rsidRDefault="00CB0DD7">
      <w:pPr>
        <w:pStyle w:val="B10"/>
        <w:rPr>
          <w:lang w:eastAsia="zh-CN"/>
        </w:rPr>
      </w:pPr>
      <w:r w:rsidRPr="000A0A5F">
        <w:rPr>
          <w:noProof/>
          <w:lang w:eastAsia="zh-CN"/>
        </w:rPr>
        <w:t>-</w:t>
      </w:r>
      <w:r w:rsidRPr="000A0A5F">
        <w:rPr>
          <w:noProof/>
          <w:lang w:eastAsia="zh-CN"/>
        </w:rPr>
        <w:tab/>
        <w:t xml:space="preserve">if the SCS/AS has exceeded its quota of submitting requests. If so </w:t>
      </w:r>
      <w:r w:rsidRPr="000A0A5F">
        <w:t>the SCEF shall respond to the SCS/AS</w:t>
      </w:r>
      <w:r w:rsidRPr="000A0A5F">
        <w:rPr>
          <w:lang w:eastAsia="zh-CN"/>
        </w:rPr>
        <w:t xml:space="preserve"> with a</w:t>
      </w:r>
      <w:r w:rsidR="00517DF6" w:rsidRPr="000A0A5F">
        <w:rPr>
          <w:lang w:eastAsia="zh-CN"/>
        </w:rPr>
        <w:t xml:space="preserve">n HTTP "403 </w:t>
      </w:r>
      <w:r w:rsidR="00517DF6" w:rsidRPr="000A0A5F">
        <w:t>Forbidden"</w:t>
      </w:r>
      <w:r w:rsidRPr="000A0A5F">
        <w:rPr>
          <w:lang w:eastAsia="zh-CN"/>
        </w:rPr>
        <w:t xml:space="preserve"> status code </w:t>
      </w:r>
      <w:r w:rsidRPr="000A0A5F">
        <w:t xml:space="preserve">and may indicate the failure reason "QUOTA_EXCEEDED" (i.e. the quota exceeded) within the "cause" attribute of the ProblemDetails </w:t>
      </w:r>
      <w:r w:rsidR="00517DF6" w:rsidRPr="000A0A5F">
        <w:t xml:space="preserve">data </w:t>
      </w:r>
      <w:r w:rsidRPr="000A0A5F">
        <w:t>structure in the HTTP POST response</w:t>
      </w:r>
      <w:r w:rsidRPr="000A0A5F">
        <w:rPr>
          <w:lang w:eastAsia="zh-CN"/>
        </w:rPr>
        <w:t>.</w:t>
      </w:r>
    </w:p>
    <w:p w:rsidR="00CB0DD7" w:rsidRPr="000A0A5F" w:rsidRDefault="00CB0DD7">
      <w:pPr>
        <w:pStyle w:val="B10"/>
        <w:rPr>
          <w:noProof/>
          <w:lang w:eastAsia="zh-CN"/>
        </w:rPr>
      </w:pPr>
      <w:r w:rsidRPr="000A0A5F">
        <w:rPr>
          <w:noProof/>
          <w:lang w:eastAsia="zh-CN"/>
        </w:rPr>
        <w:t>-</w:t>
      </w:r>
      <w:r w:rsidRPr="000A0A5F">
        <w:rPr>
          <w:noProof/>
          <w:lang w:eastAsia="zh-CN"/>
        </w:rPr>
        <w:tab/>
        <w:t xml:space="preserve">if the SCS/AS has exceeded its rate of submitting requests. If so </w:t>
      </w:r>
      <w:r w:rsidRPr="000A0A5F">
        <w:t>the SCEF shall respond to the SCS/AS</w:t>
      </w:r>
      <w:r w:rsidRPr="000A0A5F">
        <w:rPr>
          <w:lang w:eastAsia="zh-CN"/>
        </w:rPr>
        <w:t xml:space="preserve"> with a</w:t>
      </w:r>
      <w:r w:rsidR="00517DF6" w:rsidRPr="000A0A5F">
        <w:rPr>
          <w:lang w:eastAsia="zh-CN"/>
        </w:rPr>
        <w:t>n HTTP "429 Too Many Requests"</w:t>
      </w:r>
      <w:r w:rsidRPr="000A0A5F">
        <w:rPr>
          <w:lang w:eastAsia="zh-CN"/>
        </w:rPr>
        <w:t xml:space="preserve"> status code </w:t>
      </w:r>
      <w:r w:rsidRPr="000A0A5F">
        <w:t>in the HTTP POST response</w:t>
      </w:r>
      <w:r w:rsidRPr="000A0A5F">
        <w:rPr>
          <w:lang w:eastAsia="zh-CN"/>
        </w:rPr>
        <w:t>.</w:t>
      </w:r>
    </w:p>
    <w:p w:rsidR="00CB0DD7" w:rsidRPr="000A0A5F" w:rsidRDefault="00CB0DD7">
      <w:r w:rsidRPr="000A0A5F">
        <w:t xml:space="preserve">After the SCEF authorized the HTTP request message, the SCEF shall </w:t>
      </w:r>
      <w:r w:rsidRPr="000A0A5F">
        <w:rPr>
          <w:lang w:eastAsia="zh-CN"/>
        </w:rPr>
        <w:t>create a</w:t>
      </w:r>
      <w:r w:rsidR="00517DF6" w:rsidRPr="000A0A5F">
        <w:rPr>
          <w:lang w:eastAsia="zh-CN"/>
        </w:rPr>
        <w:t>n</w:t>
      </w:r>
      <w:r w:rsidRPr="000A0A5F">
        <w:rPr>
          <w:lang w:eastAsia="zh-CN"/>
        </w:rPr>
        <w:t xml:space="preserve"> </w:t>
      </w:r>
      <w:r w:rsidRPr="000A0A5F">
        <w:t xml:space="preserve">"Individual Network Status Reporting Subscription" </w:t>
      </w:r>
      <w:r w:rsidR="00517DF6" w:rsidRPr="000A0A5F">
        <w:rPr>
          <w:lang w:eastAsia="zh-CN"/>
        </w:rPr>
        <w:t xml:space="preserve">resource </w:t>
      </w:r>
      <w:r w:rsidRPr="000A0A5F">
        <w:rPr>
          <w:lang w:eastAsia="zh-CN"/>
        </w:rPr>
        <w:t xml:space="preserve">which represents the subscription, addressed by a URI that contains the SCS/AS identity and an SCEF-created subscription identifier, and shall respond to the SCS/AS </w:t>
      </w:r>
      <w:r w:rsidRPr="000A0A5F">
        <w:t>with a</w:t>
      </w:r>
      <w:r w:rsidR="00517DF6" w:rsidRPr="000A0A5F">
        <w:t>n HTTP</w:t>
      </w:r>
      <w:r w:rsidRPr="000A0A5F">
        <w:t xml:space="preserve"> </w:t>
      </w:r>
      <w:r w:rsidR="00517DF6" w:rsidRPr="000A0A5F">
        <w:t>"</w:t>
      </w:r>
      <w:r w:rsidRPr="000A0A5F">
        <w:t xml:space="preserve">201 </w:t>
      </w:r>
      <w:r w:rsidRPr="000A0A5F">
        <w:rPr>
          <w:rFonts w:hint="eastAsia"/>
          <w:lang w:eastAsia="zh-CN"/>
        </w:rPr>
        <w:t>Created</w:t>
      </w:r>
      <w:r w:rsidR="00517DF6" w:rsidRPr="000A0A5F">
        <w:rPr>
          <w:lang w:eastAsia="zh-CN"/>
        </w:rPr>
        <w:t>"</w:t>
      </w:r>
      <w:r w:rsidRPr="000A0A5F">
        <w:t xml:space="preserve"> </w:t>
      </w:r>
      <w:r w:rsidR="00517DF6" w:rsidRPr="000A0A5F">
        <w:t>status code</w:t>
      </w:r>
      <w:r w:rsidRPr="000A0A5F">
        <w:rPr>
          <w:rFonts w:hint="eastAsia"/>
          <w:lang w:eastAsia="zh-CN"/>
        </w:rPr>
        <w:t xml:space="preserve">, </w:t>
      </w:r>
      <w:r w:rsidRPr="000A0A5F">
        <w:t>including</w:t>
      </w:r>
      <w:r w:rsidRPr="000A0A5F">
        <w:rPr>
          <w:rFonts w:hint="eastAsia"/>
          <w:lang w:eastAsia="zh-CN"/>
        </w:rPr>
        <w:t xml:space="preserve"> </w:t>
      </w:r>
      <w:r w:rsidRPr="000A0A5F">
        <w:t>a Location header field containing the URI for the created resource</w:t>
      </w:r>
      <w:r w:rsidRPr="000A0A5F">
        <w:rPr>
          <w:lang w:eastAsia="zh-CN"/>
        </w:rPr>
        <w:t xml:space="preserve">, </w:t>
      </w:r>
      <w:r w:rsidRPr="000A0A5F">
        <w:t>to acknowledge to the SCS/AS the successful subscription</w:t>
      </w:r>
      <w:r w:rsidR="00517DF6" w:rsidRPr="000A0A5F">
        <w:t xml:space="preserve"> creation</w:t>
      </w:r>
      <w:r w:rsidRPr="000A0A5F">
        <w:t xml:space="preserve">. The </w:t>
      </w:r>
      <w:r w:rsidRPr="000A0A5F">
        <w:rPr>
          <w:rFonts w:hint="eastAsia"/>
          <w:lang w:eastAsia="zh-CN"/>
        </w:rPr>
        <w:t>SCS/AS</w:t>
      </w:r>
      <w:r w:rsidRPr="000A0A5F">
        <w:t xml:space="preserve"> shall use the </w:t>
      </w:r>
      <w:r w:rsidRPr="000A0A5F">
        <w:rPr>
          <w:rFonts w:hint="eastAsia"/>
          <w:lang w:eastAsia="zh-CN"/>
        </w:rPr>
        <w:t>URI</w:t>
      </w:r>
      <w:r w:rsidRPr="000A0A5F">
        <w:t xml:space="preserve"> received </w:t>
      </w:r>
      <w:r w:rsidRPr="000A0A5F">
        <w:rPr>
          <w:rFonts w:hint="eastAsia"/>
          <w:lang w:eastAsia="zh-CN"/>
        </w:rPr>
        <w:t>in the Location header</w:t>
      </w:r>
      <w:r w:rsidRPr="000A0A5F">
        <w:t xml:space="preserve"> in subsequent requests to the </w:t>
      </w:r>
      <w:r w:rsidRPr="000A0A5F">
        <w:rPr>
          <w:rFonts w:hint="eastAsia"/>
          <w:lang w:eastAsia="zh-CN"/>
        </w:rPr>
        <w:t xml:space="preserve">SCEF </w:t>
      </w:r>
      <w:r w:rsidRPr="000A0A5F">
        <w:t>to refer to this</w:t>
      </w:r>
      <w:r w:rsidRPr="000A0A5F">
        <w:rPr>
          <w:rFonts w:hint="eastAsia"/>
          <w:lang w:eastAsia="zh-CN"/>
        </w:rPr>
        <w:t xml:space="preserve"> </w:t>
      </w:r>
      <w:r w:rsidRPr="000A0A5F">
        <w:rPr>
          <w:lang w:eastAsia="zh-CN"/>
        </w:rPr>
        <w:t>network status reporting subscription</w:t>
      </w:r>
      <w:r w:rsidRPr="000A0A5F">
        <w:t xml:space="preserve">. Then, the SCEF shall </w:t>
      </w:r>
      <w:r w:rsidR="00517DF6" w:rsidRPr="000A0A5F">
        <w:t>trigger the</w:t>
      </w:r>
      <w:r w:rsidRPr="000A0A5F">
        <w:t xml:space="preserve"> network status reporting procedure with the RCAF over Ns interface as defined in 3GPP TS 29.153 [30]. </w:t>
      </w:r>
    </w:p>
    <w:p w:rsidR="00CB0DD7" w:rsidRPr="000A0A5F" w:rsidRDefault="00CB0DD7">
      <w:pPr>
        <w:tabs>
          <w:tab w:val="left" w:pos="3247"/>
        </w:tabs>
        <w:rPr>
          <w:lang w:val="en-US" w:eastAsia="zh-CN"/>
        </w:rPr>
      </w:pPr>
      <w:r w:rsidRPr="000A0A5F">
        <w:rPr>
          <w:lang w:eastAsia="zh-CN"/>
        </w:rPr>
        <w:t>In order to update an existing subscription of continuous network status reporting, t</w:t>
      </w:r>
      <w:r w:rsidRPr="000A0A5F">
        <w:rPr>
          <w:rFonts w:hint="eastAsia"/>
          <w:lang w:eastAsia="zh-CN"/>
        </w:rPr>
        <w:t xml:space="preserve">he SCS/AS shall send an HTTP </w:t>
      </w:r>
      <w:r w:rsidRPr="000A0A5F">
        <w:rPr>
          <w:lang w:eastAsia="zh-CN"/>
        </w:rPr>
        <w:t xml:space="preserve">PUT </w:t>
      </w:r>
      <w:r w:rsidR="00517DF6" w:rsidRPr="000A0A5F">
        <w:rPr>
          <w:lang w:eastAsia="zh-CN"/>
        </w:rPr>
        <w:t xml:space="preserve">request </w:t>
      </w:r>
      <w:r w:rsidRPr="000A0A5F">
        <w:rPr>
          <w:lang w:eastAsia="zh-CN"/>
        </w:rPr>
        <w:t xml:space="preserve">message to the SCEF </w:t>
      </w:r>
      <w:r w:rsidR="00517DF6" w:rsidRPr="000A0A5F">
        <w:rPr>
          <w:lang w:eastAsia="zh-CN"/>
        </w:rPr>
        <w:t xml:space="preserve">on </w:t>
      </w:r>
      <w:r w:rsidRPr="000A0A5F">
        <w:rPr>
          <w:lang w:eastAsia="zh-CN"/>
        </w:rPr>
        <w:t>the "Individual Network Status Reporting Subscription" resource, using the URI received in the response to the request that has created the network status reporting subscription resource.</w:t>
      </w:r>
      <w:r w:rsidRPr="000A0A5F">
        <w:rPr>
          <w:rFonts w:hint="eastAsia"/>
          <w:lang w:eastAsia="zh-CN"/>
        </w:rPr>
        <w:t xml:space="preserve"> </w:t>
      </w:r>
      <w:r w:rsidRPr="000A0A5F">
        <w:rPr>
          <w:lang w:eastAsia="zh-CN"/>
        </w:rPr>
        <w:t>After</w:t>
      </w:r>
      <w:r w:rsidRPr="000A0A5F">
        <w:rPr>
          <w:rFonts w:hint="eastAsia"/>
          <w:lang w:eastAsia="zh-CN"/>
        </w:rPr>
        <w:t xml:space="preserve"> </w:t>
      </w:r>
      <w:r w:rsidRPr="000A0A5F">
        <w:rPr>
          <w:lang w:eastAsia="zh-CN"/>
        </w:rPr>
        <w:t>receiv</w:t>
      </w:r>
      <w:r w:rsidRPr="000A0A5F">
        <w:rPr>
          <w:rFonts w:hint="eastAsia"/>
          <w:lang w:eastAsia="zh-CN"/>
        </w:rPr>
        <w:t>ing the HTTP P</w:t>
      </w:r>
      <w:r w:rsidRPr="000A0A5F">
        <w:rPr>
          <w:lang w:eastAsia="zh-CN"/>
        </w:rPr>
        <w:t>UT</w:t>
      </w:r>
      <w:r w:rsidRPr="000A0A5F">
        <w:rPr>
          <w:rFonts w:hint="eastAsia"/>
          <w:lang w:eastAsia="zh-CN"/>
        </w:rPr>
        <w:t xml:space="preserve"> </w:t>
      </w:r>
      <w:r w:rsidR="00517DF6" w:rsidRPr="000A0A5F">
        <w:rPr>
          <w:lang w:eastAsia="zh-CN"/>
        </w:rPr>
        <w:t xml:space="preserve">request </w:t>
      </w:r>
      <w:r w:rsidRPr="000A0A5F">
        <w:rPr>
          <w:rFonts w:hint="eastAsia"/>
          <w:lang w:eastAsia="zh-CN"/>
        </w:rPr>
        <w:t xml:space="preserve">message, the SCEF shall send an HTTP </w:t>
      </w:r>
      <w:r w:rsidR="00517DF6" w:rsidRPr="000A0A5F">
        <w:rPr>
          <w:lang w:eastAsia="zh-CN"/>
        </w:rPr>
        <w:t xml:space="preserve">PUT </w:t>
      </w:r>
      <w:r w:rsidRPr="000A0A5F">
        <w:rPr>
          <w:rFonts w:hint="eastAsia"/>
          <w:lang w:eastAsia="zh-CN"/>
        </w:rPr>
        <w:t>response to the SCS/AS</w:t>
      </w:r>
      <w:r w:rsidRPr="000A0A5F">
        <w:rPr>
          <w:noProof/>
          <w:lang w:eastAsia="zh-CN"/>
        </w:rPr>
        <w:t xml:space="preserve"> with a</w:t>
      </w:r>
      <w:r w:rsidR="00517DF6" w:rsidRPr="000A0A5F">
        <w:rPr>
          <w:noProof/>
          <w:lang w:eastAsia="zh-CN"/>
        </w:rPr>
        <w:t>n HTTP</w:t>
      </w:r>
      <w:r w:rsidRPr="000A0A5F">
        <w:rPr>
          <w:noProof/>
          <w:lang w:eastAsia="zh-CN"/>
        </w:rPr>
        <w:t xml:space="preserve"> </w:t>
      </w:r>
      <w:r w:rsidR="00517DF6" w:rsidRPr="000A0A5F">
        <w:rPr>
          <w:noProof/>
          <w:lang w:eastAsia="zh-CN"/>
        </w:rPr>
        <w:t>"</w:t>
      </w:r>
      <w:r w:rsidRPr="000A0A5F">
        <w:rPr>
          <w:noProof/>
          <w:lang w:eastAsia="zh-CN"/>
        </w:rPr>
        <w:t>200 OK</w:t>
      </w:r>
      <w:r w:rsidR="00517DF6" w:rsidRPr="000A0A5F">
        <w:rPr>
          <w:noProof/>
          <w:lang w:eastAsia="zh-CN"/>
        </w:rPr>
        <w:t>"</w:t>
      </w:r>
      <w:r w:rsidR="00903C01" w:rsidRPr="000A0A5F">
        <w:rPr>
          <w:noProof/>
          <w:lang w:eastAsia="zh-CN"/>
        </w:rPr>
        <w:t xml:space="preserve"> </w:t>
      </w:r>
      <w:r w:rsidRPr="000A0A5F">
        <w:rPr>
          <w:noProof/>
          <w:lang w:eastAsia="zh-CN"/>
        </w:rPr>
        <w:t>status code includ</w:t>
      </w:r>
      <w:r w:rsidR="00517DF6" w:rsidRPr="000A0A5F">
        <w:rPr>
          <w:noProof/>
          <w:lang w:eastAsia="zh-CN"/>
        </w:rPr>
        <w:t>ing</w:t>
      </w:r>
      <w:r w:rsidRPr="000A0A5F">
        <w:rPr>
          <w:noProof/>
          <w:lang w:eastAsia="zh-CN"/>
        </w:rPr>
        <w:t xml:space="preserve"> </w:t>
      </w:r>
      <w:r w:rsidR="00517DF6" w:rsidRPr="000A0A5F">
        <w:rPr>
          <w:noProof/>
          <w:lang w:eastAsia="zh-CN"/>
        </w:rPr>
        <w:t xml:space="preserve">a representation of the updated </w:t>
      </w:r>
      <w:r w:rsidR="00517DF6" w:rsidRPr="000A0A5F">
        <w:rPr>
          <w:lang w:eastAsia="zh-CN"/>
        </w:rPr>
        <w:t>"Individual Network Status Reporting Subscription" resource</w:t>
      </w:r>
      <w:r w:rsidR="00517DF6" w:rsidRPr="000A0A5F" w:rsidDel="00FF7A84">
        <w:rPr>
          <w:noProof/>
          <w:lang w:eastAsia="zh-CN"/>
        </w:rPr>
        <w:t xml:space="preserve"> </w:t>
      </w:r>
      <w:r w:rsidRPr="000A0A5F">
        <w:rPr>
          <w:noProof/>
          <w:lang w:eastAsia="zh-CN"/>
        </w:rPr>
        <w:t>in the response</w:t>
      </w:r>
      <w:r w:rsidR="00517DF6" w:rsidRPr="000A0A5F">
        <w:rPr>
          <w:noProof/>
          <w:lang w:eastAsia="zh-CN"/>
        </w:rPr>
        <w:t xml:space="preserve"> body</w:t>
      </w:r>
      <w:r w:rsidR="00903C01" w:rsidRPr="000A0A5F">
        <w:rPr>
          <w:noProof/>
          <w:lang w:eastAsia="zh-CN"/>
        </w:rPr>
        <w:t xml:space="preserve">, or a </w:t>
      </w:r>
      <w:r w:rsidR="00903C01" w:rsidRPr="000A0A5F">
        <w:t>"</w:t>
      </w:r>
      <w:r w:rsidR="00903C01" w:rsidRPr="000A0A5F">
        <w:rPr>
          <w:lang w:eastAsia="zh-CN"/>
        </w:rPr>
        <w:t>204 No Content</w:t>
      </w:r>
      <w:r w:rsidR="00903C01" w:rsidRPr="000A0A5F">
        <w:t>" status code</w:t>
      </w:r>
      <w:r w:rsidRPr="000A0A5F">
        <w:rPr>
          <w:rFonts w:hint="eastAsia"/>
          <w:lang w:eastAsia="zh-CN"/>
        </w:rPr>
        <w:t>.</w:t>
      </w:r>
      <w:r w:rsidRPr="000A0A5F">
        <w:rPr>
          <w:lang w:eastAsia="zh-CN"/>
        </w:rPr>
        <w:t xml:space="preserve"> Then, t</w:t>
      </w:r>
      <w:r w:rsidRPr="000A0A5F">
        <w:rPr>
          <w:rFonts w:hint="eastAsia"/>
          <w:lang w:eastAsia="zh-CN"/>
        </w:rPr>
        <w:t xml:space="preserve">he SCEF shall </w:t>
      </w:r>
      <w:r w:rsidR="00517DF6" w:rsidRPr="000A0A5F">
        <w:rPr>
          <w:lang w:eastAsia="zh-CN"/>
        </w:rPr>
        <w:t>apply</w:t>
      </w:r>
      <w:r w:rsidR="00517DF6" w:rsidRPr="000A0A5F">
        <w:rPr>
          <w:rFonts w:hint="eastAsia"/>
          <w:lang w:eastAsia="zh-CN"/>
        </w:rPr>
        <w:t xml:space="preserve"> </w:t>
      </w:r>
      <w:r w:rsidRPr="000A0A5F">
        <w:rPr>
          <w:rFonts w:hint="eastAsia"/>
          <w:lang w:eastAsia="zh-CN"/>
        </w:rPr>
        <w:t xml:space="preserve">the </w:t>
      </w:r>
      <w:r w:rsidR="00517DF6" w:rsidRPr="000A0A5F">
        <w:rPr>
          <w:lang w:eastAsia="zh-CN"/>
        </w:rPr>
        <w:t>requested updates</w:t>
      </w:r>
      <w:r w:rsidRPr="000A0A5F">
        <w:rPr>
          <w:rFonts w:hint="eastAsia"/>
          <w:lang w:eastAsia="zh-CN"/>
        </w:rPr>
        <w:t xml:space="preserve">and interact with the </w:t>
      </w:r>
      <w:r w:rsidRPr="000A0A5F">
        <w:rPr>
          <w:lang w:eastAsia="zh-CN"/>
        </w:rPr>
        <w:t>RCAF</w:t>
      </w:r>
      <w:r w:rsidRPr="000A0A5F">
        <w:rPr>
          <w:rFonts w:hint="eastAsia"/>
          <w:lang w:eastAsia="zh-CN"/>
        </w:rPr>
        <w:t xml:space="preserve"> </w:t>
      </w:r>
      <w:r w:rsidRPr="000A0A5F">
        <w:rPr>
          <w:lang w:eastAsia="zh-CN"/>
        </w:rPr>
        <w:t xml:space="preserve">as defined in </w:t>
      </w:r>
      <w:r w:rsidRPr="000A0A5F">
        <w:rPr>
          <w:rFonts w:hint="eastAsia"/>
          <w:lang w:eastAsia="zh-CN"/>
        </w:rPr>
        <w:t>3GPP TS 29.</w:t>
      </w:r>
      <w:r w:rsidRPr="000A0A5F">
        <w:rPr>
          <w:lang w:eastAsia="zh-CN"/>
        </w:rPr>
        <w:t>153</w:t>
      </w:r>
      <w:r w:rsidRPr="000A0A5F">
        <w:rPr>
          <w:lang w:val="en-US" w:eastAsia="zh-CN"/>
        </w:rPr>
        <w:t> </w:t>
      </w:r>
      <w:r w:rsidRPr="000A0A5F">
        <w:rPr>
          <w:rFonts w:hint="eastAsia"/>
          <w:lang w:val="en-US" w:eastAsia="zh-CN"/>
        </w:rPr>
        <w:t>[</w:t>
      </w:r>
      <w:r w:rsidRPr="000A0A5F">
        <w:t>30</w:t>
      </w:r>
      <w:r w:rsidRPr="000A0A5F">
        <w:rPr>
          <w:rFonts w:hint="eastAsia"/>
          <w:lang w:val="en-US" w:eastAsia="zh-CN"/>
        </w:rPr>
        <w:t>].</w:t>
      </w:r>
    </w:p>
    <w:p w:rsidR="00517DF6" w:rsidRPr="000A0A5F" w:rsidRDefault="00517DF6" w:rsidP="00517DF6">
      <w:pPr>
        <w:tabs>
          <w:tab w:val="left" w:pos="3247"/>
        </w:tabs>
        <w:rPr>
          <w:lang w:val="en-US" w:eastAsia="zh-CN"/>
        </w:rPr>
      </w:pPr>
      <w:r w:rsidRPr="000A0A5F">
        <w:rPr>
          <w:lang w:eastAsia="zh-CN"/>
        </w:rPr>
        <w:t>If the "PatchUpdate" feature defined in clause 5.9.4 is supported, in order to partially modify an existing subscription of continuous network status reporting, t</w:t>
      </w:r>
      <w:r w:rsidRPr="000A0A5F">
        <w:rPr>
          <w:rFonts w:hint="eastAsia"/>
          <w:lang w:eastAsia="zh-CN"/>
        </w:rPr>
        <w:t xml:space="preserve">he SCS/AS shall send an HTTP </w:t>
      </w:r>
      <w:r w:rsidRPr="000A0A5F">
        <w:rPr>
          <w:lang w:eastAsia="zh-CN"/>
        </w:rPr>
        <w:t>PATCH request message to the SCEF on the "Individual Network Status Reporting Subscription" resource, using the URI received in the response to the request that has created the network status reporting subscription resource.</w:t>
      </w:r>
      <w:r w:rsidRPr="000A0A5F">
        <w:rPr>
          <w:rFonts w:hint="eastAsia"/>
          <w:lang w:eastAsia="zh-CN"/>
        </w:rPr>
        <w:t xml:space="preserve"> </w:t>
      </w:r>
      <w:r w:rsidRPr="000A0A5F">
        <w:rPr>
          <w:lang w:eastAsia="zh-CN"/>
        </w:rPr>
        <w:t xml:space="preserve">The request body shall contain the </w:t>
      </w:r>
      <w:r w:rsidRPr="000A0A5F">
        <w:t>NetStatusRepSubsPatch</w:t>
      </w:r>
      <w:r w:rsidRPr="000A0A5F">
        <w:rPr>
          <w:lang w:eastAsia="zh-CN"/>
        </w:rPr>
        <w:t xml:space="preserve"> data structure including only the attributes that shall be updated. After</w:t>
      </w:r>
      <w:r w:rsidRPr="000A0A5F">
        <w:rPr>
          <w:rFonts w:hint="eastAsia"/>
          <w:lang w:eastAsia="zh-CN"/>
        </w:rPr>
        <w:t xml:space="preserve"> </w:t>
      </w:r>
      <w:r w:rsidRPr="000A0A5F">
        <w:rPr>
          <w:lang w:eastAsia="zh-CN"/>
        </w:rPr>
        <w:t>receiv</w:t>
      </w:r>
      <w:r w:rsidRPr="000A0A5F">
        <w:rPr>
          <w:rFonts w:hint="eastAsia"/>
          <w:lang w:eastAsia="zh-CN"/>
        </w:rPr>
        <w:t xml:space="preserve">ing the HTTP </w:t>
      </w:r>
      <w:r w:rsidRPr="000A0A5F">
        <w:rPr>
          <w:lang w:eastAsia="zh-CN"/>
        </w:rPr>
        <w:t>PATCH request</w:t>
      </w:r>
      <w:r w:rsidRPr="000A0A5F">
        <w:rPr>
          <w:rFonts w:hint="eastAsia"/>
          <w:lang w:eastAsia="zh-CN"/>
        </w:rPr>
        <w:t xml:space="preserve"> message, the SCEF shall send an HTTP response to the SCS/AS</w:t>
      </w:r>
      <w:r w:rsidRPr="000A0A5F">
        <w:rPr>
          <w:noProof/>
          <w:lang w:eastAsia="zh-CN"/>
        </w:rPr>
        <w:t xml:space="preserve"> with an HTTP "200 OK" status code including a representation of the modified </w:t>
      </w:r>
      <w:r w:rsidRPr="000A0A5F">
        <w:rPr>
          <w:lang w:eastAsia="zh-CN"/>
        </w:rPr>
        <w:t>"Individual Network Status Reporting Subscription" resource</w:t>
      </w:r>
      <w:r w:rsidRPr="000A0A5F">
        <w:rPr>
          <w:noProof/>
          <w:lang w:eastAsia="zh-CN"/>
        </w:rPr>
        <w:t xml:space="preserve"> in the response body, or a </w:t>
      </w:r>
      <w:r w:rsidRPr="000A0A5F">
        <w:t>"</w:t>
      </w:r>
      <w:r w:rsidRPr="000A0A5F">
        <w:rPr>
          <w:lang w:eastAsia="zh-CN"/>
        </w:rPr>
        <w:t>204 No Content</w:t>
      </w:r>
      <w:r w:rsidRPr="000A0A5F">
        <w:t>" status code</w:t>
      </w:r>
      <w:r w:rsidRPr="000A0A5F">
        <w:rPr>
          <w:rFonts w:hint="eastAsia"/>
          <w:lang w:eastAsia="zh-CN"/>
        </w:rPr>
        <w:t>.</w:t>
      </w:r>
      <w:r w:rsidRPr="000A0A5F">
        <w:rPr>
          <w:lang w:eastAsia="zh-CN"/>
        </w:rPr>
        <w:t xml:space="preserve"> Then, t</w:t>
      </w:r>
      <w:r w:rsidRPr="000A0A5F">
        <w:rPr>
          <w:rFonts w:hint="eastAsia"/>
          <w:lang w:eastAsia="zh-CN"/>
        </w:rPr>
        <w:t xml:space="preserve">he SCEF shall </w:t>
      </w:r>
      <w:r w:rsidRPr="000A0A5F">
        <w:rPr>
          <w:lang w:eastAsia="zh-CN"/>
        </w:rPr>
        <w:t>apply</w:t>
      </w:r>
      <w:r w:rsidRPr="000A0A5F">
        <w:rPr>
          <w:rFonts w:hint="eastAsia"/>
          <w:lang w:eastAsia="zh-CN"/>
        </w:rPr>
        <w:t xml:space="preserve"> the </w:t>
      </w:r>
      <w:r w:rsidRPr="000A0A5F">
        <w:rPr>
          <w:lang w:eastAsia="zh-CN"/>
        </w:rPr>
        <w:t xml:space="preserve">requested </w:t>
      </w:r>
      <w:r w:rsidRPr="000A0A5F">
        <w:rPr>
          <w:rFonts w:hint="eastAsia"/>
          <w:lang w:eastAsia="zh-CN"/>
        </w:rPr>
        <w:t>change</w:t>
      </w:r>
      <w:r w:rsidRPr="000A0A5F">
        <w:rPr>
          <w:lang w:eastAsia="zh-CN"/>
        </w:rPr>
        <w:t>s</w:t>
      </w:r>
      <w:r w:rsidRPr="000A0A5F">
        <w:rPr>
          <w:rFonts w:hint="eastAsia"/>
          <w:lang w:eastAsia="zh-CN"/>
        </w:rPr>
        <w:t xml:space="preserve"> and interact with the </w:t>
      </w:r>
      <w:r w:rsidRPr="000A0A5F">
        <w:rPr>
          <w:lang w:eastAsia="zh-CN"/>
        </w:rPr>
        <w:t>RCAF</w:t>
      </w:r>
      <w:r w:rsidRPr="000A0A5F">
        <w:rPr>
          <w:rFonts w:hint="eastAsia"/>
          <w:lang w:eastAsia="zh-CN"/>
        </w:rPr>
        <w:t xml:space="preserve"> </w:t>
      </w:r>
      <w:r w:rsidRPr="000A0A5F">
        <w:rPr>
          <w:lang w:eastAsia="zh-CN"/>
        </w:rPr>
        <w:t xml:space="preserve">as defined in </w:t>
      </w:r>
      <w:r w:rsidRPr="000A0A5F">
        <w:rPr>
          <w:rFonts w:hint="eastAsia"/>
          <w:lang w:eastAsia="zh-CN"/>
        </w:rPr>
        <w:t>3GPP TS 29.</w:t>
      </w:r>
      <w:r w:rsidRPr="000A0A5F">
        <w:rPr>
          <w:lang w:eastAsia="zh-CN"/>
        </w:rPr>
        <w:t>153</w:t>
      </w:r>
      <w:r w:rsidRPr="000A0A5F">
        <w:rPr>
          <w:lang w:val="en-US" w:eastAsia="zh-CN"/>
        </w:rPr>
        <w:t> </w:t>
      </w:r>
      <w:r w:rsidRPr="000A0A5F">
        <w:rPr>
          <w:rFonts w:hint="eastAsia"/>
          <w:lang w:val="en-US" w:eastAsia="zh-CN"/>
        </w:rPr>
        <w:t>[</w:t>
      </w:r>
      <w:r w:rsidRPr="000A0A5F">
        <w:t>30</w:t>
      </w:r>
      <w:r w:rsidRPr="000A0A5F">
        <w:rPr>
          <w:rFonts w:hint="eastAsia"/>
          <w:lang w:val="en-US" w:eastAsia="zh-CN"/>
        </w:rPr>
        <w:t>].</w:t>
      </w:r>
    </w:p>
    <w:p w:rsidR="00CB0DD7" w:rsidRPr="000A0A5F" w:rsidRDefault="00CB0DD7">
      <w:pPr>
        <w:pStyle w:val="NO"/>
        <w:rPr>
          <w:rFonts w:hint="eastAsia"/>
          <w:lang w:eastAsia="zh-CN"/>
        </w:rPr>
      </w:pPr>
      <w:r w:rsidRPr="000A0A5F">
        <w:rPr>
          <w:noProof/>
          <w:lang w:eastAsia="zh-CN"/>
        </w:rPr>
        <w:t>NOTE:</w:t>
      </w:r>
      <w:r w:rsidRPr="000A0A5F">
        <w:rPr>
          <w:noProof/>
          <w:lang w:eastAsia="zh-CN"/>
        </w:rPr>
        <w:tab/>
        <w:t>In order to update an existing subscription, the SCEF needs to send a cancellation to the previously associated RCAF(s) to remove the related SCEF instructions and then send a new request with updated parameters.</w:t>
      </w:r>
    </w:p>
    <w:p w:rsidR="00CB0DD7" w:rsidRPr="000A0A5F" w:rsidRDefault="00CB0DD7">
      <w:pPr>
        <w:tabs>
          <w:tab w:val="left" w:pos="3247"/>
        </w:tabs>
        <w:rPr>
          <w:lang w:val="en-US" w:eastAsia="zh-CN"/>
        </w:rPr>
      </w:pPr>
      <w:r w:rsidRPr="000A0A5F">
        <w:rPr>
          <w:lang w:eastAsia="zh-CN"/>
        </w:rPr>
        <w:t>In order to remove an existing subscription of continuous network status reporting, t</w:t>
      </w:r>
      <w:r w:rsidRPr="000A0A5F">
        <w:rPr>
          <w:rFonts w:hint="eastAsia"/>
          <w:lang w:eastAsia="zh-CN"/>
        </w:rPr>
        <w:t xml:space="preserve">he SCS/AS </w:t>
      </w:r>
      <w:r w:rsidRPr="000A0A5F">
        <w:rPr>
          <w:lang w:eastAsia="zh-CN"/>
        </w:rPr>
        <w:t>shall</w:t>
      </w:r>
      <w:r w:rsidRPr="000A0A5F">
        <w:rPr>
          <w:rFonts w:hint="eastAsia"/>
          <w:lang w:eastAsia="zh-CN"/>
        </w:rPr>
        <w:t xml:space="preserve"> send an HTTP DELETE </w:t>
      </w:r>
      <w:r w:rsidR="00517DF6" w:rsidRPr="000A0A5F">
        <w:rPr>
          <w:lang w:eastAsia="zh-CN"/>
        </w:rPr>
        <w:t xml:space="preserve">request </w:t>
      </w:r>
      <w:r w:rsidRPr="000A0A5F">
        <w:rPr>
          <w:lang w:eastAsia="zh-CN"/>
        </w:rPr>
        <w:t xml:space="preserve">message to the SCEF </w:t>
      </w:r>
      <w:r w:rsidR="00517DF6" w:rsidRPr="000A0A5F">
        <w:rPr>
          <w:lang w:eastAsia="zh-CN"/>
        </w:rPr>
        <w:t xml:space="preserve">on </w:t>
      </w:r>
      <w:r w:rsidRPr="000A0A5F">
        <w:rPr>
          <w:lang w:eastAsia="zh-CN"/>
        </w:rPr>
        <w:t xml:space="preserve">the </w:t>
      </w:r>
      <w:r w:rsidRPr="000A0A5F">
        <w:rPr>
          <w:noProof/>
          <w:lang w:eastAsia="zh-CN"/>
        </w:rPr>
        <w:t>"</w:t>
      </w:r>
      <w:r w:rsidRPr="000A0A5F">
        <w:rPr>
          <w:lang w:eastAsia="zh-CN"/>
        </w:rPr>
        <w:t>Individual Network Status Reporting Subscription" resource, using the URI received in the response to the request that has created the network status reporting subscription resource.</w:t>
      </w:r>
      <w:r w:rsidRPr="000A0A5F">
        <w:rPr>
          <w:rFonts w:hint="eastAsia"/>
          <w:lang w:eastAsia="zh-CN"/>
        </w:rPr>
        <w:t xml:space="preserve"> </w:t>
      </w:r>
      <w:r w:rsidRPr="000A0A5F">
        <w:rPr>
          <w:lang w:eastAsia="zh-CN"/>
        </w:rPr>
        <w:t>Upon</w:t>
      </w:r>
      <w:r w:rsidRPr="000A0A5F">
        <w:rPr>
          <w:rFonts w:hint="eastAsia"/>
          <w:lang w:eastAsia="zh-CN"/>
        </w:rPr>
        <w:t xml:space="preserve"> </w:t>
      </w:r>
      <w:r w:rsidRPr="000A0A5F">
        <w:rPr>
          <w:lang w:eastAsia="zh-CN"/>
        </w:rPr>
        <w:t>recept</w:t>
      </w:r>
      <w:r w:rsidR="00517DF6" w:rsidRPr="000A0A5F">
        <w:rPr>
          <w:lang w:eastAsia="zh-CN"/>
        </w:rPr>
        <w:t>ion</w:t>
      </w:r>
      <w:r w:rsidRPr="000A0A5F">
        <w:rPr>
          <w:lang w:eastAsia="zh-CN"/>
        </w:rPr>
        <w:t xml:space="preserve"> of </w:t>
      </w:r>
      <w:r w:rsidRPr="000A0A5F">
        <w:rPr>
          <w:rFonts w:hint="eastAsia"/>
          <w:lang w:eastAsia="zh-CN"/>
        </w:rPr>
        <w:t xml:space="preserve">the HTTP DELETE </w:t>
      </w:r>
      <w:r w:rsidR="00517DF6" w:rsidRPr="000A0A5F">
        <w:rPr>
          <w:lang w:eastAsia="zh-CN"/>
        </w:rPr>
        <w:t xml:space="preserve">request </w:t>
      </w:r>
      <w:r w:rsidRPr="000A0A5F">
        <w:rPr>
          <w:rFonts w:hint="eastAsia"/>
          <w:lang w:eastAsia="zh-CN"/>
        </w:rPr>
        <w:t xml:space="preserve">message, the SCEF shall send an HTTP </w:t>
      </w:r>
      <w:r w:rsidR="00517DF6" w:rsidRPr="000A0A5F">
        <w:rPr>
          <w:lang w:eastAsia="zh-CN"/>
        </w:rPr>
        <w:t xml:space="preserve">DELETE </w:t>
      </w:r>
      <w:r w:rsidRPr="000A0A5F">
        <w:rPr>
          <w:rFonts w:hint="eastAsia"/>
          <w:lang w:eastAsia="zh-CN"/>
        </w:rPr>
        <w:t>response to the SCS/AS</w:t>
      </w:r>
      <w:r w:rsidRPr="000A0A5F">
        <w:rPr>
          <w:noProof/>
          <w:lang w:eastAsia="zh-CN"/>
        </w:rPr>
        <w:t xml:space="preserve"> with a</w:t>
      </w:r>
      <w:r w:rsidR="00517DF6" w:rsidRPr="000A0A5F">
        <w:rPr>
          <w:noProof/>
          <w:lang w:eastAsia="zh-CN"/>
        </w:rPr>
        <w:t>n HTTP</w:t>
      </w:r>
      <w:r w:rsidRPr="000A0A5F">
        <w:rPr>
          <w:noProof/>
          <w:lang w:eastAsia="zh-CN"/>
        </w:rPr>
        <w:t xml:space="preserve"> </w:t>
      </w:r>
      <w:r w:rsidR="00517DF6" w:rsidRPr="000A0A5F">
        <w:rPr>
          <w:noProof/>
          <w:lang w:eastAsia="zh-CN"/>
        </w:rPr>
        <w:t>"</w:t>
      </w:r>
      <w:r w:rsidRPr="000A0A5F">
        <w:rPr>
          <w:noProof/>
          <w:lang w:eastAsia="zh-CN"/>
        </w:rPr>
        <w:t>204 No Content</w:t>
      </w:r>
      <w:r w:rsidR="00517DF6" w:rsidRPr="000A0A5F">
        <w:rPr>
          <w:noProof/>
          <w:lang w:eastAsia="zh-CN"/>
        </w:rPr>
        <w:t>"</w:t>
      </w:r>
      <w:r w:rsidRPr="000A0A5F">
        <w:rPr>
          <w:noProof/>
          <w:lang w:eastAsia="zh-CN"/>
        </w:rPr>
        <w:t xml:space="preserve"> status code</w:t>
      </w:r>
      <w:r w:rsidRPr="000A0A5F">
        <w:rPr>
          <w:rFonts w:hint="eastAsia"/>
          <w:lang w:eastAsia="zh-CN"/>
        </w:rPr>
        <w:t>.</w:t>
      </w:r>
      <w:r w:rsidRPr="000A0A5F">
        <w:rPr>
          <w:lang w:eastAsia="zh-CN"/>
        </w:rPr>
        <w:t xml:space="preserve"> Then, </w:t>
      </w:r>
      <w:r w:rsidRPr="000A0A5F">
        <w:rPr>
          <w:rFonts w:hint="eastAsia"/>
          <w:lang w:eastAsia="zh-CN"/>
        </w:rPr>
        <w:t xml:space="preserve">the SCEF shall interact with the RCAF </w:t>
      </w:r>
      <w:r w:rsidRPr="000A0A5F">
        <w:rPr>
          <w:lang w:eastAsia="zh-CN"/>
        </w:rPr>
        <w:t xml:space="preserve">to terminate the continuous reporting of network status as defined in </w:t>
      </w:r>
      <w:r w:rsidRPr="000A0A5F">
        <w:rPr>
          <w:rFonts w:hint="eastAsia"/>
          <w:lang w:eastAsia="zh-CN"/>
        </w:rPr>
        <w:t>3GPP TS 29.</w:t>
      </w:r>
      <w:r w:rsidRPr="000A0A5F">
        <w:rPr>
          <w:lang w:eastAsia="zh-CN"/>
        </w:rPr>
        <w:t>153</w:t>
      </w:r>
      <w:r w:rsidRPr="000A0A5F">
        <w:rPr>
          <w:lang w:val="en-US" w:eastAsia="zh-CN"/>
        </w:rPr>
        <w:t> </w:t>
      </w:r>
      <w:r w:rsidRPr="000A0A5F">
        <w:rPr>
          <w:rFonts w:hint="eastAsia"/>
          <w:lang w:val="en-US" w:eastAsia="zh-CN"/>
        </w:rPr>
        <w:t>[</w:t>
      </w:r>
      <w:r w:rsidRPr="000A0A5F">
        <w:t>30</w:t>
      </w:r>
      <w:r w:rsidRPr="000A0A5F">
        <w:rPr>
          <w:rFonts w:hint="eastAsia"/>
          <w:lang w:val="en-US" w:eastAsia="zh-CN"/>
        </w:rPr>
        <w:t>].</w:t>
      </w:r>
    </w:p>
    <w:p w:rsidR="00CB0DD7" w:rsidRPr="000A0A5F" w:rsidRDefault="00CB0DD7">
      <w:pPr>
        <w:pStyle w:val="Heading4"/>
        <w:rPr>
          <w:sz w:val="28"/>
          <w:lang w:eastAsia="zh-CN"/>
        </w:rPr>
      </w:pPr>
      <w:bookmarkStart w:id="798" w:name="_Toc11247235"/>
      <w:bookmarkStart w:id="799" w:name="_Toc27044353"/>
      <w:bookmarkStart w:id="800" w:name="_Toc36033395"/>
      <w:bookmarkStart w:id="801" w:name="_Toc45131527"/>
      <w:bookmarkStart w:id="802" w:name="_Toc49775812"/>
      <w:bookmarkStart w:id="803" w:name="_Toc51746732"/>
      <w:bookmarkStart w:id="804" w:name="_Toc66360274"/>
      <w:bookmarkStart w:id="805" w:name="_Toc68104779"/>
      <w:bookmarkStart w:id="806" w:name="_Toc74755408"/>
      <w:bookmarkStart w:id="807" w:name="_Toc105674263"/>
      <w:bookmarkStart w:id="808" w:name="_Toc130502296"/>
      <w:bookmarkStart w:id="809" w:name="_Toc153625075"/>
      <w:r w:rsidRPr="000A0A5F">
        <w:t>4.4.8.3</w:t>
      </w:r>
      <w:r w:rsidRPr="000A0A5F">
        <w:tab/>
        <w:t>Network Status Reporting Notification</w:t>
      </w:r>
      <w:bookmarkEnd w:id="798"/>
      <w:bookmarkEnd w:id="799"/>
      <w:bookmarkEnd w:id="800"/>
      <w:bookmarkEnd w:id="801"/>
      <w:bookmarkEnd w:id="802"/>
      <w:bookmarkEnd w:id="803"/>
      <w:bookmarkEnd w:id="804"/>
      <w:bookmarkEnd w:id="805"/>
      <w:bookmarkEnd w:id="806"/>
      <w:bookmarkEnd w:id="807"/>
      <w:bookmarkEnd w:id="808"/>
      <w:bookmarkEnd w:id="809"/>
    </w:p>
    <w:p w:rsidR="00CB0DD7" w:rsidRPr="000A0A5F" w:rsidRDefault="00CB0DD7">
      <w:pPr>
        <w:rPr>
          <w:rFonts w:hint="eastAsia"/>
          <w:lang w:eastAsia="zh-CN"/>
        </w:rPr>
      </w:pPr>
      <w:r w:rsidRPr="000A0A5F">
        <w:t xml:space="preserve">After receiving reports from all the involved RCAF(s) </w:t>
      </w:r>
      <w:r w:rsidRPr="000A0A5F">
        <w:rPr>
          <w:lang w:eastAsia="zh-CN"/>
        </w:rPr>
        <w:t xml:space="preserve">as defined in </w:t>
      </w:r>
      <w:r w:rsidRPr="000A0A5F">
        <w:rPr>
          <w:rFonts w:hint="eastAsia"/>
          <w:lang w:eastAsia="zh-CN"/>
        </w:rPr>
        <w:t>3GPP TS 29.</w:t>
      </w:r>
      <w:r w:rsidRPr="000A0A5F">
        <w:rPr>
          <w:lang w:eastAsia="zh-CN"/>
        </w:rPr>
        <w:t>153</w:t>
      </w:r>
      <w:r w:rsidRPr="000A0A5F">
        <w:rPr>
          <w:lang w:val="en-US" w:eastAsia="zh-CN"/>
        </w:rPr>
        <w:t> </w:t>
      </w:r>
      <w:r w:rsidRPr="000A0A5F">
        <w:rPr>
          <w:rFonts w:hint="eastAsia"/>
          <w:lang w:val="en-US" w:eastAsia="zh-CN"/>
        </w:rPr>
        <w:t>[</w:t>
      </w:r>
      <w:r w:rsidRPr="000A0A5F">
        <w:t>30</w:t>
      </w:r>
      <w:r w:rsidRPr="000A0A5F">
        <w:rPr>
          <w:rFonts w:hint="eastAsia"/>
          <w:lang w:val="en-US" w:eastAsia="zh-CN"/>
        </w:rPr>
        <w:t>]</w:t>
      </w:r>
      <w:r w:rsidRPr="000A0A5F">
        <w:t xml:space="preserve">, </w:t>
      </w:r>
      <w:r w:rsidRPr="000A0A5F">
        <w:rPr>
          <w:lang w:eastAsia="zh-CN"/>
        </w:rPr>
        <w:t xml:space="preserve">the SCEF shall </w:t>
      </w:r>
      <w:r w:rsidRPr="000A0A5F">
        <w:t xml:space="preserve">send an HTTP POST message to the SCS/AS using the identified destination URL, which is provided by the SCS/AS during the </w:t>
      </w:r>
      <w:r w:rsidRPr="000A0A5F">
        <w:rPr>
          <w:lang w:eastAsia="zh-CN"/>
        </w:rPr>
        <w:t>network status reporting subscription</w:t>
      </w:r>
      <w:r w:rsidRPr="000A0A5F">
        <w:t>. The body of HTTP POST message shall include the NSI.</w:t>
      </w:r>
    </w:p>
    <w:p w:rsidR="00CB0DD7" w:rsidRPr="000A0A5F" w:rsidRDefault="00CB0DD7">
      <w:pPr>
        <w:pStyle w:val="Heading3"/>
        <w:rPr>
          <w:lang w:eastAsia="zh-CN"/>
        </w:rPr>
      </w:pPr>
      <w:bookmarkStart w:id="810" w:name="_Toc11247236"/>
      <w:bookmarkStart w:id="811" w:name="_Toc27044354"/>
      <w:bookmarkStart w:id="812" w:name="_Toc36033396"/>
      <w:bookmarkStart w:id="813" w:name="_Toc45131528"/>
      <w:bookmarkStart w:id="814" w:name="_Toc49775813"/>
      <w:bookmarkStart w:id="815" w:name="_Toc51746733"/>
      <w:bookmarkStart w:id="816" w:name="_Toc66360275"/>
      <w:bookmarkStart w:id="817" w:name="_Toc68104780"/>
      <w:bookmarkStart w:id="818" w:name="_Toc74755409"/>
      <w:bookmarkStart w:id="819" w:name="_Toc105674264"/>
      <w:bookmarkStart w:id="820" w:name="_Toc130502297"/>
      <w:bookmarkStart w:id="821" w:name="_Toc153625076"/>
      <w:r w:rsidRPr="000A0A5F">
        <w:t>4.</w:t>
      </w:r>
      <w:r w:rsidRPr="000A0A5F">
        <w:rPr>
          <w:lang w:eastAsia="zh-CN"/>
        </w:rPr>
        <w:t>4</w:t>
      </w:r>
      <w:r w:rsidRPr="000A0A5F">
        <w:t>.9</w:t>
      </w:r>
      <w:r w:rsidRPr="000A0A5F">
        <w:tab/>
      </w:r>
      <w:r w:rsidRPr="000A0A5F">
        <w:rPr>
          <w:rFonts w:hint="eastAsia"/>
          <w:lang w:eastAsia="zh-CN"/>
        </w:rPr>
        <w:t xml:space="preserve">Procedures for </w:t>
      </w:r>
      <w:r w:rsidRPr="000A0A5F">
        <w:t>Communication Pattern Parameters Provisioning</w:t>
      </w:r>
      <w:bookmarkEnd w:id="810"/>
      <w:bookmarkEnd w:id="811"/>
      <w:bookmarkEnd w:id="812"/>
      <w:bookmarkEnd w:id="813"/>
      <w:bookmarkEnd w:id="814"/>
      <w:bookmarkEnd w:id="815"/>
      <w:bookmarkEnd w:id="816"/>
      <w:bookmarkEnd w:id="817"/>
      <w:bookmarkEnd w:id="818"/>
      <w:bookmarkEnd w:id="819"/>
      <w:bookmarkEnd w:id="820"/>
      <w:bookmarkEnd w:id="821"/>
    </w:p>
    <w:p w:rsidR="00CB0DD7" w:rsidRPr="000A0A5F" w:rsidRDefault="00CB0DD7">
      <w:pPr>
        <w:rPr>
          <w:rFonts w:hint="eastAsia"/>
          <w:lang w:eastAsia="zh-CN"/>
        </w:rPr>
      </w:pPr>
      <w:r w:rsidRPr="000A0A5F">
        <w:t>One or more set of CP parameters</w:t>
      </w:r>
      <w:r w:rsidRPr="000A0A5F">
        <w:rPr>
          <w:rFonts w:hint="eastAsia"/>
          <w:lang w:eastAsia="zh-CN"/>
        </w:rPr>
        <w:t xml:space="preserve"> may be </w:t>
      </w:r>
      <w:r w:rsidRPr="000A0A5F">
        <w:rPr>
          <w:lang w:eastAsia="zh-CN"/>
        </w:rPr>
        <w:t>provisioned</w:t>
      </w:r>
      <w:r w:rsidRPr="000A0A5F">
        <w:rPr>
          <w:rFonts w:hint="eastAsia"/>
          <w:lang w:eastAsia="zh-CN"/>
        </w:rPr>
        <w:t xml:space="preserve"> by the SCS/AS for a single UE</w:t>
      </w:r>
      <w:r w:rsidRPr="000A0A5F">
        <w:rPr>
          <w:lang w:eastAsia="zh-CN"/>
        </w:rPr>
        <w:t xml:space="preserve"> or a group of UEs</w:t>
      </w:r>
      <w:r w:rsidRPr="000A0A5F">
        <w:rPr>
          <w:rFonts w:hint="eastAsia"/>
          <w:lang w:eastAsia="zh-CN"/>
        </w:rPr>
        <w:t>.</w:t>
      </w:r>
    </w:p>
    <w:p w:rsidR="00CB0DD7" w:rsidRPr="000A0A5F" w:rsidRDefault="00CB0DD7">
      <w:r w:rsidRPr="000A0A5F">
        <w:rPr>
          <w:noProof/>
          <w:lang w:eastAsia="zh-CN"/>
        </w:rPr>
        <w:t xml:space="preserve">In order to create resources for one or more CP parameter set(s), the SCS/AS shall send an HTTP POST message to the SCEF for the </w:t>
      </w:r>
      <w:r w:rsidRPr="000A0A5F">
        <w:rPr>
          <w:noProof/>
        </w:rPr>
        <w:t>"</w:t>
      </w:r>
      <w:r w:rsidRPr="000A0A5F">
        <w:t xml:space="preserve">CP </w:t>
      </w:r>
      <w:r w:rsidR="008D34A0" w:rsidRPr="000A0A5F">
        <w:t xml:space="preserve">Provisioning </w:t>
      </w:r>
      <w:r w:rsidRPr="000A0A5F">
        <w:t>Subscription</w:t>
      </w:r>
      <w:r w:rsidR="008D34A0" w:rsidRPr="000A0A5F">
        <w:t>s</w:t>
      </w:r>
      <w:r w:rsidRPr="000A0A5F">
        <w:rPr>
          <w:noProof/>
        </w:rPr>
        <w:t>"</w:t>
      </w:r>
      <w:r w:rsidRPr="000A0A5F">
        <w:rPr>
          <w:noProof/>
          <w:lang w:eastAsia="zh-CN"/>
        </w:rPr>
        <w:t xml:space="preserve"> resource, including one or more new provisioned CP parameter set(s). The body of HTTP POST message shall include </w:t>
      </w:r>
      <w:r w:rsidRPr="000A0A5F">
        <w:rPr>
          <w:rFonts w:hint="eastAsia"/>
          <w:lang w:val="en-US" w:eastAsia="zh-CN"/>
        </w:rPr>
        <w:t>External Identifier or MSISDN</w:t>
      </w:r>
      <w:r w:rsidRPr="000A0A5F">
        <w:rPr>
          <w:lang w:val="en-US" w:eastAsia="zh-CN"/>
        </w:rPr>
        <w:t xml:space="preserve"> for a single UE or External Group ID for a group of UEs</w:t>
      </w:r>
      <w:r w:rsidRPr="000A0A5F">
        <w:rPr>
          <w:rFonts w:hint="eastAsia"/>
          <w:lang w:val="en-US" w:eastAsia="zh-CN"/>
        </w:rPr>
        <w:t>, SCS/AS Identifier</w:t>
      </w:r>
      <w:r w:rsidRPr="000A0A5F">
        <w:t xml:space="preserve"> and one or more set of CP information associated with CP parameter set Id(s).</w:t>
      </w:r>
    </w:p>
    <w:p w:rsidR="00CB0DD7" w:rsidRPr="000A0A5F" w:rsidRDefault="00CB0DD7">
      <w:pPr>
        <w:rPr>
          <w:rFonts w:hint="eastAsia"/>
          <w:lang w:eastAsia="zh-CN"/>
        </w:rPr>
      </w:pPr>
      <w:r w:rsidRPr="000A0A5F">
        <w:rPr>
          <w:lang w:val="en-US" w:eastAsia="zh-CN"/>
        </w:rPr>
        <w:t>After receiving the HTTP POST message, t</w:t>
      </w:r>
      <w:r w:rsidRPr="000A0A5F">
        <w:t>he SCEF shall check if the SCS/AS is authorised. The SCEF may also check if the number of CP parameter sets(s) reaches the limitation based on operator policy or configuration.</w:t>
      </w:r>
    </w:p>
    <w:p w:rsidR="00CB0DD7" w:rsidRPr="000A0A5F" w:rsidRDefault="00CB0DD7">
      <w:r w:rsidRPr="000A0A5F">
        <w:t xml:space="preserve">After validation, the SCEF shall </w:t>
      </w:r>
      <w:r w:rsidRPr="000A0A5F">
        <w:rPr>
          <w:lang w:eastAsia="zh-CN"/>
        </w:rPr>
        <w:t xml:space="preserve">for each received </w:t>
      </w:r>
      <w:r w:rsidRPr="000A0A5F">
        <w:t>CP parameter set</w:t>
      </w:r>
      <w:r w:rsidRPr="000A0A5F">
        <w:rPr>
          <w:lang w:eastAsia="zh-CN"/>
        </w:rPr>
        <w:t xml:space="preserve"> Id, </w:t>
      </w:r>
      <w:r w:rsidRPr="000A0A5F">
        <w:t xml:space="preserve">assign an SCEF Reference ID which may be derived from the CP parameter set Id, and send Update CP Parameter Request message to the HSS for delivering the CP parameter set(s) as specified in </w:t>
      </w:r>
      <w:r w:rsidRPr="000A0A5F">
        <w:rPr>
          <w:noProof/>
          <w:lang w:eastAsia="zh-CN"/>
        </w:rPr>
        <w:t>3GPP TS </w:t>
      </w:r>
      <w:r w:rsidRPr="000A0A5F">
        <w:rPr>
          <w:rFonts w:hint="eastAsia"/>
          <w:noProof/>
          <w:lang w:eastAsia="zh-CN"/>
        </w:rPr>
        <w:t>29.</w:t>
      </w:r>
      <w:r w:rsidRPr="000A0A5F">
        <w:rPr>
          <w:noProof/>
          <w:lang w:eastAsia="zh-CN"/>
        </w:rPr>
        <w:t>336</w:t>
      </w:r>
      <w:r w:rsidRPr="000A0A5F">
        <w:rPr>
          <w:noProof/>
          <w:lang w:val="en-US" w:eastAsia="zh-CN"/>
        </w:rPr>
        <w:t> </w:t>
      </w:r>
      <w:r w:rsidRPr="000A0A5F">
        <w:rPr>
          <w:rFonts w:hint="eastAsia"/>
          <w:noProof/>
          <w:lang w:eastAsia="zh-CN"/>
        </w:rPr>
        <w:t>[</w:t>
      </w:r>
      <w:r w:rsidRPr="000A0A5F">
        <w:rPr>
          <w:noProof/>
          <w:lang w:eastAsia="zh-CN"/>
        </w:rPr>
        <w:t>11]</w:t>
      </w:r>
      <w:r w:rsidRPr="000A0A5F">
        <w:t>.</w:t>
      </w:r>
    </w:p>
    <w:p w:rsidR="00CB0DD7" w:rsidRPr="000A0A5F" w:rsidRDefault="00CB0DD7">
      <w:pPr>
        <w:rPr>
          <w:rFonts w:hint="eastAsia"/>
          <w:noProof/>
          <w:lang w:eastAsia="zh-CN"/>
        </w:rPr>
      </w:pPr>
      <w:r w:rsidRPr="000A0A5F">
        <w:t>After receiving result from the HSS, if the result is successful,</w:t>
      </w:r>
      <w:r w:rsidRPr="000A0A5F">
        <w:rPr>
          <w:lang w:eastAsia="zh-CN"/>
        </w:rPr>
        <w:t xml:space="preserve"> the SCEF shall</w:t>
      </w:r>
      <w:r w:rsidRPr="000A0A5F">
        <w:rPr>
          <w:noProof/>
        </w:rPr>
        <w:t xml:space="preserve"> create </w:t>
      </w:r>
      <w:r w:rsidRPr="000A0A5F">
        <w:t xml:space="preserve">a resource </w:t>
      </w:r>
      <w:r w:rsidRPr="000A0A5F">
        <w:rPr>
          <w:noProof/>
        </w:rPr>
        <w:t>"</w:t>
      </w:r>
      <w:r w:rsidRPr="000A0A5F">
        <w:t>Individual CP Provisioning Subscription</w:t>
      </w:r>
      <w:r w:rsidRPr="000A0A5F">
        <w:rPr>
          <w:noProof/>
        </w:rPr>
        <w:t>" and the corresponding sub-resources "</w:t>
      </w:r>
      <w:r w:rsidRPr="000A0A5F">
        <w:t xml:space="preserve">Individual CP </w:t>
      </w:r>
      <w:r w:rsidR="008D34A0" w:rsidRPr="000A0A5F">
        <w:t xml:space="preserve">Set </w:t>
      </w:r>
      <w:r w:rsidRPr="000A0A5F">
        <w:t>Provisioning</w:t>
      </w:r>
      <w:r w:rsidRPr="000A0A5F">
        <w:rPr>
          <w:noProof/>
        </w:rPr>
        <w:t>"</w:t>
      </w:r>
      <w:r w:rsidRPr="000A0A5F">
        <w:t xml:space="preserve"> each represents a successfully provisioned CP parameter set indicated by the HSS </w:t>
      </w:r>
      <w:r w:rsidRPr="000A0A5F">
        <w:rPr>
          <w:lang w:eastAsia="zh-CN"/>
        </w:rPr>
        <w:t xml:space="preserve">and respond to the SCS/AS </w:t>
      </w:r>
      <w:r w:rsidRPr="000A0A5F">
        <w:t xml:space="preserve">with a </w:t>
      </w:r>
      <w:r w:rsidR="004A2E07" w:rsidRPr="000A0A5F">
        <w:t>"</w:t>
      </w:r>
      <w:r w:rsidRPr="000A0A5F">
        <w:t xml:space="preserve">201 </w:t>
      </w:r>
      <w:r w:rsidRPr="000A0A5F">
        <w:rPr>
          <w:rFonts w:hint="eastAsia"/>
          <w:lang w:eastAsia="zh-CN"/>
        </w:rPr>
        <w:t>Created</w:t>
      </w:r>
      <w:r w:rsidR="004A2E07" w:rsidRPr="000A0A5F">
        <w:rPr>
          <w:lang w:eastAsia="zh-CN"/>
        </w:rPr>
        <w:t>"</w:t>
      </w:r>
      <w:r w:rsidRPr="000A0A5F">
        <w:rPr>
          <w:rFonts w:hint="eastAsia"/>
          <w:lang w:eastAsia="zh-CN"/>
        </w:rPr>
        <w:t xml:space="preserve"> </w:t>
      </w:r>
      <w:r w:rsidRPr="000A0A5F">
        <w:t>including</w:t>
      </w:r>
      <w:r w:rsidRPr="000A0A5F">
        <w:rPr>
          <w:rFonts w:hint="eastAsia"/>
          <w:lang w:eastAsia="zh-CN"/>
        </w:rPr>
        <w:t xml:space="preserve"> </w:t>
      </w:r>
      <w:r w:rsidRPr="000A0A5F">
        <w:t xml:space="preserve">Location header field containing the URI for the created subscription resource </w:t>
      </w:r>
      <w:r w:rsidRPr="000A0A5F">
        <w:rPr>
          <w:noProof/>
        </w:rPr>
        <w:t>"</w:t>
      </w:r>
      <w:r w:rsidRPr="000A0A5F">
        <w:t>Individual CP Provisioning Subscription</w:t>
      </w:r>
      <w:r w:rsidRPr="000A0A5F">
        <w:rPr>
          <w:noProof/>
        </w:rPr>
        <w:t>"</w:t>
      </w:r>
      <w:r w:rsidRPr="000A0A5F">
        <w:rPr>
          <w:lang w:eastAsia="zh-CN"/>
        </w:rPr>
        <w:t xml:space="preserve"> and the sub-resource(s) </w:t>
      </w:r>
      <w:r w:rsidRPr="000A0A5F">
        <w:rPr>
          <w:noProof/>
        </w:rPr>
        <w:t>"</w:t>
      </w:r>
      <w:r w:rsidRPr="000A0A5F">
        <w:t xml:space="preserve">Individual CP </w:t>
      </w:r>
      <w:r w:rsidR="008D34A0" w:rsidRPr="000A0A5F">
        <w:t xml:space="preserve">Set </w:t>
      </w:r>
      <w:r w:rsidRPr="000A0A5F">
        <w:t>Provisioning</w:t>
      </w:r>
      <w:r w:rsidRPr="000A0A5F">
        <w:rPr>
          <w:noProof/>
        </w:rPr>
        <w:t>" corresponding to each successful CP parameter set within the "</w:t>
      </w:r>
      <w:r w:rsidRPr="000A0A5F">
        <w:t>self</w:t>
      </w:r>
      <w:r w:rsidRPr="000A0A5F">
        <w:rPr>
          <w:noProof/>
        </w:rPr>
        <w:t>" attribute in the "cpParameterSet" attribute</w:t>
      </w:r>
      <w:r w:rsidRPr="000A0A5F">
        <w:t>; otherwise, the SCEF shall not create any resource and shall respond to the SCS/AS with a corresponding failure code as described in clause 5.2.6.</w:t>
      </w:r>
      <w:r w:rsidRPr="000A0A5F">
        <w:rPr>
          <w:noProof/>
          <w:lang w:eastAsia="zh-CN"/>
        </w:rPr>
        <w:t xml:space="preserve"> If not all CP parameters sets are provisioned successfully (i.e. the HSS indicates failure for some or all CP parameter sets and/or the SCEF does not accept the CP parameter provisioning (e.g. </w:t>
      </w:r>
      <w:r w:rsidRPr="000A0A5F">
        <w:t>one or more CP Set Identifiers in the request are already present in existing subscriptions</w:t>
      </w:r>
      <w:r w:rsidRPr="000A0A5F">
        <w:rPr>
          <w:noProof/>
          <w:lang w:eastAsia="zh-CN"/>
        </w:rPr>
        <w:t xml:space="preserve">)), the SCEF shall also include CP report(s) within attribute </w:t>
      </w:r>
      <w:r w:rsidRPr="000A0A5F">
        <w:t xml:space="preserve">"cpReports" </w:t>
      </w:r>
      <w:r w:rsidRPr="000A0A5F">
        <w:rPr>
          <w:noProof/>
          <w:lang w:eastAsia="zh-CN"/>
        </w:rPr>
        <w:t>with a list of failed CP Set Identifier(s) and</w:t>
      </w:r>
      <w:r w:rsidRPr="000A0A5F">
        <w:t xml:space="preserve"> the corresponding failure code as specified in table 5.10.2.3.5-1</w:t>
      </w:r>
      <w:r w:rsidRPr="000A0A5F">
        <w:rPr>
          <w:noProof/>
          <w:lang w:eastAsia="zh-CN"/>
        </w:rPr>
        <w:t xml:space="preserve"> in the body of the HTTP response.</w:t>
      </w:r>
    </w:p>
    <w:p w:rsidR="00CB0DD7" w:rsidRPr="000A0A5F" w:rsidRDefault="00CB0DD7">
      <w:pPr>
        <w:tabs>
          <w:tab w:val="left" w:pos="3247"/>
        </w:tabs>
        <w:rPr>
          <w:rFonts w:hint="eastAsia"/>
          <w:noProof/>
          <w:lang w:eastAsia="zh-CN"/>
        </w:rPr>
      </w:pPr>
      <w:r w:rsidRPr="000A0A5F">
        <w:rPr>
          <w:lang w:eastAsia="zh-CN"/>
        </w:rPr>
        <w:t xml:space="preserve">In order to add new CP parameter set(s), update and/or remove the existing CP parameter set(s) for one or more </w:t>
      </w:r>
      <w:r w:rsidRPr="000A0A5F">
        <w:t>CP parameter set</w:t>
      </w:r>
      <w:r w:rsidRPr="000A0A5F">
        <w:rPr>
          <w:lang w:eastAsia="zh-CN"/>
        </w:rPr>
        <w:t xml:space="preserve"> Id(s), t</w:t>
      </w:r>
      <w:r w:rsidRPr="000A0A5F">
        <w:rPr>
          <w:rFonts w:hint="eastAsia"/>
          <w:lang w:eastAsia="zh-CN"/>
        </w:rPr>
        <w:t>he SCS/AS may send an HTTP P</w:t>
      </w:r>
      <w:r w:rsidRPr="000A0A5F">
        <w:rPr>
          <w:lang w:eastAsia="zh-CN"/>
        </w:rPr>
        <w:t>U</w:t>
      </w:r>
      <w:r w:rsidRPr="000A0A5F">
        <w:rPr>
          <w:rFonts w:hint="eastAsia"/>
          <w:lang w:eastAsia="zh-CN"/>
        </w:rPr>
        <w:t xml:space="preserve">T </w:t>
      </w:r>
      <w:r w:rsidRPr="000A0A5F">
        <w:rPr>
          <w:lang w:eastAsia="zh-CN"/>
        </w:rPr>
        <w:t>message</w:t>
      </w:r>
      <w:r w:rsidRPr="000A0A5F">
        <w:rPr>
          <w:rFonts w:hint="eastAsia"/>
          <w:lang w:eastAsia="zh-CN"/>
        </w:rPr>
        <w:t xml:space="preserve"> </w:t>
      </w:r>
      <w:r w:rsidRPr="000A0A5F">
        <w:rPr>
          <w:lang w:eastAsia="zh-CN"/>
        </w:rPr>
        <w:t>to the SCEF for the "</w:t>
      </w:r>
      <w:r w:rsidRPr="000A0A5F">
        <w:t xml:space="preserve">Individual CP Provisioning Subscription" </w:t>
      </w:r>
      <w:r w:rsidRPr="000A0A5F">
        <w:rPr>
          <w:lang w:eastAsia="zh-CN"/>
        </w:rPr>
        <w:t>resource</w:t>
      </w:r>
      <w:r w:rsidRPr="000A0A5F">
        <w:rPr>
          <w:rFonts w:hint="eastAsia"/>
          <w:lang w:eastAsia="zh-CN"/>
        </w:rPr>
        <w:t xml:space="preserve"> request</w:t>
      </w:r>
      <w:r w:rsidRPr="000A0A5F">
        <w:rPr>
          <w:lang w:eastAsia="zh-CN"/>
        </w:rPr>
        <w:t>ing</w:t>
      </w:r>
      <w:r w:rsidRPr="000A0A5F">
        <w:rPr>
          <w:rFonts w:hint="eastAsia"/>
          <w:lang w:eastAsia="zh-CN"/>
        </w:rPr>
        <w:t xml:space="preserve"> to </w:t>
      </w:r>
      <w:r w:rsidRPr="000A0A5F">
        <w:rPr>
          <w:lang w:eastAsia="zh-CN"/>
        </w:rPr>
        <w:t>add new CP parameter set(s) by creating new resource(s), change some created properties (e.g. Validity Time) of the existing resource(s), and/or remove some or entire properties of the existing resource(s).</w:t>
      </w:r>
      <w:r w:rsidRPr="000A0A5F">
        <w:rPr>
          <w:rFonts w:hint="eastAsia"/>
          <w:lang w:eastAsia="zh-CN"/>
        </w:rPr>
        <w:t xml:space="preserve"> </w:t>
      </w:r>
      <w:r w:rsidRPr="000A0A5F">
        <w:rPr>
          <w:lang w:eastAsia="zh-CN"/>
        </w:rPr>
        <w:t>After</w:t>
      </w:r>
      <w:r w:rsidRPr="000A0A5F">
        <w:rPr>
          <w:rFonts w:hint="eastAsia"/>
          <w:lang w:eastAsia="zh-CN"/>
        </w:rPr>
        <w:t xml:space="preserve"> </w:t>
      </w:r>
      <w:r w:rsidRPr="000A0A5F">
        <w:rPr>
          <w:lang w:eastAsia="zh-CN"/>
        </w:rPr>
        <w:t>receiv</w:t>
      </w:r>
      <w:r w:rsidRPr="000A0A5F">
        <w:rPr>
          <w:rFonts w:hint="eastAsia"/>
          <w:lang w:eastAsia="zh-CN"/>
        </w:rPr>
        <w:t>ing the HTTP P</w:t>
      </w:r>
      <w:r w:rsidRPr="000A0A5F">
        <w:rPr>
          <w:lang w:eastAsia="zh-CN"/>
        </w:rPr>
        <w:t>UT</w:t>
      </w:r>
      <w:r w:rsidRPr="000A0A5F">
        <w:rPr>
          <w:rFonts w:hint="eastAsia"/>
          <w:lang w:eastAsia="zh-CN"/>
        </w:rPr>
        <w:t xml:space="preserve"> message, the SCEF shall send the </w:t>
      </w:r>
      <w:r w:rsidRPr="000A0A5F">
        <w:rPr>
          <w:lang w:eastAsia="zh-CN"/>
        </w:rPr>
        <w:t xml:space="preserve">CP parameter </w:t>
      </w:r>
      <w:r w:rsidRPr="000A0A5F">
        <w:rPr>
          <w:rFonts w:hint="eastAsia"/>
          <w:lang w:eastAsia="zh-CN"/>
        </w:rPr>
        <w:t>change</w:t>
      </w:r>
      <w:r w:rsidRPr="000A0A5F">
        <w:rPr>
          <w:lang w:eastAsia="zh-CN"/>
        </w:rPr>
        <w:t>s</w:t>
      </w:r>
      <w:r w:rsidRPr="000A0A5F">
        <w:rPr>
          <w:rFonts w:hint="eastAsia"/>
          <w:lang w:eastAsia="zh-CN"/>
        </w:rPr>
        <w:t xml:space="preserve"> to the HSS </w:t>
      </w:r>
      <w:r w:rsidRPr="000A0A5F">
        <w:rPr>
          <w:lang w:eastAsia="zh-CN"/>
        </w:rPr>
        <w:t>as specified</w:t>
      </w:r>
      <w:r w:rsidRPr="000A0A5F">
        <w:rPr>
          <w:rFonts w:hint="eastAsia"/>
          <w:lang w:eastAsia="zh-CN"/>
        </w:rPr>
        <w:t xml:space="preserve"> in 3GPP TS 29.</w:t>
      </w:r>
      <w:r w:rsidRPr="000A0A5F">
        <w:rPr>
          <w:lang w:eastAsia="zh-CN"/>
        </w:rPr>
        <w:t>336</w:t>
      </w:r>
      <w:r w:rsidRPr="000A0A5F">
        <w:rPr>
          <w:lang w:val="en-US" w:eastAsia="zh-CN"/>
        </w:rPr>
        <w:t> </w:t>
      </w:r>
      <w:r w:rsidRPr="000A0A5F">
        <w:rPr>
          <w:rFonts w:hint="eastAsia"/>
          <w:lang w:val="en-US" w:eastAsia="zh-CN"/>
        </w:rPr>
        <w:t>[</w:t>
      </w:r>
      <w:r w:rsidRPr="000A0A5F">
        <w:rPr>
          <w:lang w:val="en-US" w:eastAsia="zh-CN"/>
        </w:rPr>
        <w:t>11]</w:t>
      </w:r>
      <w:r w:rsidRPr="000A0A5F">
        <w:rPr>
          <w:rFonts w:hint="eastAsia"/>
          <w:lang w:val="en-US" w:eastAsia="zh-CN"/>
        </w:rPr>
        <w:t xml:space="preserve">. </w:t>
      </w:r>
      <w:r w:rsidRPr="000A0A5F">
        <w:rPr>
          <w:lang w:val="en-US" w:eastAsia="zh-CN"/>
        </w:rPr>
        <w:t>After</w:t>
      </w:r>
      <w:r w:rsidRPr="000A0A5F">
        <w:rPr>
          <w:rFonts w:hint="eastAsia"/>
          <w:lang w:eastAsia="zh-CN"/>
        </w:rPr>
        <w:t xml:space="preserve"> receiving the response </w:t>
      </w:r>
      <w:r w:rsidRPr="000A0A5F">
        <w:rPr>
          <w:lang w:eastAsia="zh-CN"/>
        </w:rPr>
        <w:t>from the</w:t>
      </w:r>
      <w:r w:rsidRPr="000A0A5F">
        <w:rPr>
          <w:rFonts w:hint="eastAsia"/>
          <w:lang w:eastAsia="zh-CN"/>
        </w:rPr>
        <w:t xml:space="preserve"> HSS</w:t>
      </w:r>
      <w:r w:rsidRPr="000A0A5F">
        <w:rPr>
          <w:lang w:eastAsia="zh-CN"/>
        </w:rPr>
        <w:t xml:space="preserve"> with a successful code</w:t>
      </w:r>
      <w:r w:rsidRPr="000A0A5F">
        <w:rPr>
          <w:rFonts w:hint="eastAsia"/>
          <w:lang w:eastAsia="zh-CN"/>
        </w:rPr>
        <w:t xml:space="preserve">, </w:t>
      </w:r>
      <w:r w:rsidRPr="000A0A5F">
        <w:rPr>
          <w:lang w:eastAsia="zh-CN"/>
        </w:rPr>
        <w:t>if the HSS indicates all CP parameter sets or some CP parameter sets are provisioned successfully,</w:t>
      </w:r>
      <w:r w:rsidRPr="000A0A5F">
        <w:rPr>
          <w:rFonts w:hint="eastAsia"/>
          <w:lang w:eastAsia="zh-CN"/>
        </w:rPr>
        <w:t xml:space="preserve"> the SCEF shall </w:t>
      </w:r>
      <w:r w:rsidRPr="000A0A5F">
        <w:rPr>
          <w:lang w:eastAsia="zh-CN"/>
        </w:rPr>
        <w:t xml:space="preserve">create or update the corresponding sub-resource(s) </w:t>
      </w:r>
      <w:r w:rsidRPr="000A0A5F">
        <w:rPr>
          <w:noProof/>
        </w:rPr>
        <w:t>"</w:t>
      </w:r>
      <w:r w:rsidRPr="000A0A5F">
        <w:t xml:space="preserve">Individual CP </w:t>
      </w:r>
      <w:r w:rsidR="008D34A0" w:rsidRPr="000A0A5F">
        <w:t xml:space="preserve">Set </w:t>
      </w:r>
      <w:r w:rsidRPr="000A0A5F">
        <w:t>Provisioning</w:t>
      </w:r>
      <w:r w:rsidRPr="000A0A5F">
        <w:rPr>
          <w:noProof/>
        </w:rPr>
        <w:t>"</w:t>
      </w:r>
      <w:r w:rsidRPr="000A0A5F">
        <w:t xml:space="preserve"> each represents a successfully provisioned CP parameter set indicated by the HSS</w:t>
      </w:r>
      <w:r w:rsidRPr="000A0A5F">
        <w:rPr>
          <w:lang w:eastAsia="zh-CN"/>
        </w:rPr>
        <w:t xml:space="preserve"> and </w:t>
      </w:r>
      <w:r w:rsidRPr="000A0A5F">
        <w:rPr>
          <w:rFonts w:hint="eastAsia"/>
          <w:lang w:eastAsia="zh-CN"/>
        </w:rPr>
        <w:t>send an HTTP response to the SCS/AS</w:t>
      </w:r>
      <w:r w:rsidRPr="000A0A5F">
        <w:rPr>
          <w:noProof/>
          <w:lang w:eastAsia="zh-CN"/>
        </w:rPr>
        <w:t xml:space="preserve"> with a </w:t>
      </w:r>
      <w:r w:rsidR="004A2E07" w:rsidRPr="000A0A5F">
        <w:rPr>
          <w:noProof/>
          <w:lang w:eastAsia="zh-CN"/>
        </w:rPr>
        <w:t>"</w:t>
      </w:r>
      <w:r w:rsidRPr="000A0A5F">
        <w:rPr>
          <w:lang w:eastAsia="zh-CN"/>
        </w:rPr>
        <w:t>200 OK</w:t>
      </w:r>
      <w:r w:rsidR="004A2E07" w:rsidRPr="000A0A5F">
        <w:rPr>
          <w:lang w:eastAsia="zh-CN"/>
        </w:rPr>
        <w:t>"</w:t>
      </w:r>
      <w:r w:rsidRPr="000A0A5F">
        <w:rPr>
          <w:rFonts w:hint="eastAsia"/>
          <w:lang w:eastAsia="zh-CN"/>
        </w:rPr>
        <w:t xml:space="preserve"> </w:t>
      </w:r>
      <w:r w:rsidRPr="000A0A5F">
        <w:rPr>
          <w:lang w:eastAsia="zh-CN"/>
        </w:rPr>
        <w:t>s</w:t>
      </w:r>
      <w:r w:rsidRPr="000A0A5F">
        <w:rPr>
          <w:noProof/>
          <w:lang w:eastAsia="zh-CN"/>
        </w:rPr>
        <w:t>tatus code and include a list of successful</w:t>
      </w:r>
      <w:r w:rsidRPr="000A0A5F">
        <w:t xml:space="preserve"> CP parameter set</w:t>
      </w:r>
      <w:r w:rsidRPr="000A0A5F">
        <w:rPr>
          <w:noProof/>
          <w:lang w:eastAsia="zh-CN"/>
        </w:rPr>
        <w:t>(s) in the body of the HTTP response</w:t>
      </w:r>
      <w:r w:rsidR="004A2E07" w:rsidRPr="000A0A5F">
        <w:rPr>
          <w:lang w:eastAsia="zh-CN"/>
        </w:rPr>
        <w:t xml:space="preserve">, or a </w:t>
      </w:r>
      <w:r w:rsidR="004A2E07" w:rsidRPr="000A0A5F">
        <w:t>"</w:t>
      </w:r>
      <w:r w:rsidR="004A2E07" w:rsidRPr="000A0A5F">
        <w:rPr>
          <w:lang w:eastAsia="zh-CN"/>
        </w:rPr>
        <w:t>204 No Content</w:t>
      </w:r>
      <w:r w:rsidR="004A2E07" w:rsidRPr="000A0A5F">
        <w:t xml:space="preserve">" </w:t>
      </w:r>
      <w:r w:rsidR="004A2E07" w:rsidRPr="000A0A5F">
        <w:rPr>
          <w:lang w:eastAsia="zh-CN"/>
        </w:rPr>
        <w:t>status code.</w:t>
      </w:r>
      <w:r w:rsidRPr="000A0A5F">
        <w:rPr>
          <w:noProof/>
          <w:lang w:eastAsia="zh-CN"/>
        </w:rPr>
        <w:t xml:space="preserve"> Otherwise, the SCEF shall not </w:t>
      </w:r>
      <w:r w:rsidRPr="000A0A5F">
        <w:rPr>
          <w:lang w:eastAsia="zh-CN"/>
        </w:rPr>
        <w:t xml:space="preserve">create or </w:t>
      </w:r>
      <w:r w:rsidRPr="000A0A5F">
        <w:rPr>
          <w:noProof/>
          <w:lang w:eastAsia="zh-CN"/>
        </w:rPr>
        <w:t>update the resource(s) and</w:t>
      </w:r>
      <w:r w:rsidRPr="000A0A5F">
        <w:rPr>
          <w:lang w:eastAsia="zh-CN"/>
        </w:rPr>
        <w:t xml:space="preserve"> shall send an HTTP response to the SCS/AS</w:t>
      </w:r>
      <w:r w:rsidRPr="000A0A5F">
        <w:rPr>
          <w:noProof/>
          <w:lang w:eastAsia="zh-CN"/>
        </w:rPr>
        <w:t xml:space="preserve"> with </w:t>
      </w:r>
      <w:r w:rsidRPr="000A0A5F">
        <w:t>a corresponding failure code as described in clause 5.2.6</w:t>
      </w:r>
      <w:r w:rsidRPr="000A0A5F">
        <w:rPr>
          <w:noProof/>
          <w:lang w:eastAsia="zh-CN"/>
        </w:rPr>
        <w:t xml:space="preserve">. If not all CP parameters sets are provisioned successfully (i.e. the HSS indicates failure for some or all CP parameter sets and/or the SCEF does not accept the CP parameter provisioning (e.g. </w:t>
      </w:r>
      <w:r w:rsidRPr="000A0A5F">
        <w:t>one or more CP Set Identifiers in the request are already present in existing subscriptions</w:t>
      </w:r>
      <w:r w:rsidRPr="000A0A5F">
        <w:rPr>
          <w:noProof/>
          <w:lang w:eastAsia="zh-CN"/>
        </w:rPr>
        <w:t xml:space="preserve">)), the SCEF shall also include CP report(s) within attribute </w:t>
      </w:r>
      <w:r w:rsidRPr="000A0A5F">
        <w:t xml:space="preserve">"cpReports" </w:t>
      </w:r>
      <w:r w:rsidRPr="000A0A5F">
        <w:rPr>
          <w:noProof/>
          <w:lang w:eastAsia="zh-CN"/>
        </w:rPr>
        <w:t>with a list of failed CP Set Identifier(s) and</w:t>
      </w:r>
      <w:r w:rsidRPr="000A0A5F">
        <w:t xml:space="preserve"> the corresponding failure code as specified in table 5.10.2.3.5-1</w:t>
      </w:r>
      <w:r w:rsidRPr="000A0A5F">
        <w:rPr>
          <w:noProof/>
          <w:lang w:eastAsia="zh-CN"/>
        </w:rPr>
        <w:t xml:space="preserve"> in the body of the HTTP response.</w:t>
      </w:r>
    </w:p>
    <w:p w:rsidR="00CB0DD7" w:rsidRPr="000A0A5F" w:rsidRDefault="00CB0DD7">
      <w:pPr>
        <w:tabs>
          <w:tab w:val="left" w:pos="3247"/>
        </w:tabs>
        <w:rPr>
          <w:rFonts w:hint="eastAsia"/>
          <w:noProof/>
          <w:lang w:eastAsia="zh-CN"/>
        </w:rPr>
      </w:pPr>
      <w:r w:rsidRPr="000A0A5F">
        <w:rPr>
          <w:noProof/>
          <w:lang w:eastAsia="zh-CN"/>
        </w:rPr>
        <w:t>The SCS/AS may send a HTTP PUT message to the SCEF for the "</w:t>
      </w:r>
      <w:r w:rsidRPr="000A0A5F">
        <w:t xml:space="preserve">Individual CP </w:t>
      </w:r>
      <w:r w:rsidR="008D34A0" w:rsidRPr="000A0A5F">
        <w:t xml:space="preserve">Set </w:t>
      </w:r>
      <w:r w:rsidRPr="000A0A5F">
        <w:t xml:space="preserve">Provisioning" </w:t>
      </w:r>
      <w:r w:rsidRPr="000A0A5F">
        <w:rPr>
          <w:noProof/>
          <w:lang w:eastAsia="zh-CN"/>
        </w:rPr>
        <w:t xml:space="preserve">resource requesting to replace an individual resource identified by the </w:t>
      </w:r>
      <w:r w:rsidRPr="000A0A5F">
        <w:t>CP parameter set</w:t>
      </w:r>
      <w:r w:rsidRPr="000A0A5F">
        <w:rPr>
          <w:noProof/>
          <w:lang w:eastAsia="zh-CN"/>
        </w:rPr>
        <w:t xml:space="preserve"> Id. The body of the HTTP PUT message shall include </w:t>
      </w:r>
      <w:r w:rsidRPr="000A0A5F">
        <w:t>set of CP information</w:t>
      </w:r>
      <w:r w:rsidRPr="000A0A5F">
        <w:rPr>
          <w:lang w:eastAsia="zh-CN"/>
        </w:rPr>
        <w:t xml:space="preserve">. </w:t>
      </w:r>
      <w:r w:rsidRPr="000A0A5F">
        <w:rPr>
          <w:noProof/>
          <w:lang w:eastAsia="zh-CN"/>
        </w:rPr>
        <w:t xml:space="preserve">After receiving such request, the SCEF shall interact with </w:t>
      </w:r>
      <w:r w:rsidRPr="000A0A5F">
        <w:rPr>
          <w:lang w:eastAsia="zh-CN"/>
        </w:rPr>
        <w:t>the HSS as specified in 3GPP TS 29.336</w:t>
      </w:r>
      <w:r w:rsidRPr="000A0A5F">
        <w:rPr>
          <w:lang w:val="en-US" w:eastAsia="zh-CN"/>
        </w:rPr>
        <w:t xml:space="preserve"> [11]. </w:t>
      </w:r>
      <w:r w:rsidRPr="000A0A5F">
        <w:rPr>
          <w:lang w:eastAsia="zh-CN"/>
        </w:rPr>
        <w:t>After receiving the response from the HSS with a successful code, the SCEF shall update the resource and send an HTTP response to the SCS/AS</w:t>
      </w:r>
      <w:r w:rsidRPr="000A0A5F">
        <w:rPr>
          <w:noProof/>
          <w:lang w:eastAsia="zh-CN"/>
        </w:rPr>
        <w:t xml:space="preserve"> with a </w:t>
      </w:r>
      <w:r w:rsidR="004A2E07" w:rsidRPr="000A0A5F">
        <w:rPr>
          <w:noProof/>
          <w:lang w:eastAsia="zh-CN"/>
        </w:rPr>
        <w:t>"</w:t>
      </w:r>
      <w:r w:rsidRPr="000A0A5F">
        <w:rPr>
          <w:lang w:eastAsia="zh-CN"/>
        </w:rPr>
        <w:t>200 OK</w:t>
      </w:r>
      <w:r w:rsidR="004A2E07" w:rsidRPr="000A0A5F">
        <w:rPr>
          <w:lang w:eastAsia="zh-CN"/>
        </w:rPr>
        <w:t>"</w:t>
      </w:r>
      <w:r w:rsidRPr="000A0A5F">
        <w:rPr>
          <w:lang w:eastAsia="zh-CN"/>
        </w:rPr>
        <w:t xml:space="preserve"> s</w:t>
      </w:r>
      <w:r w:rsidRPr="000A0A5F">
        <w:rPr>
          <w:noProof/>
          <w:lang w:eastAsia="zh-CN"/>
        </w:rPr>
        <w:t>tatus code</w:t>
      </w:r>
      <w:r w:rsidR="004A2E07" w:rsidRPr="000A0A5F">
        <w:rPr>
          <w:lang w:eastAsia="zh-CN"/>
        </w:rPr>
        <w:t xml:space="preserve"> or a </w:t>
      </w:r>
      <w:r w:rsidR="004A2E07" w:rsidRPr="000A0A5F">
        <w:t>"</w:t>
      </w:r>
      <w:r w:rsidR="004A2E07" w:rsidRPr="000A0A5F">
        <w:rPr>
          <w:lang w:eastAsia="zh-CN"/>
        </w:rPr>
        <w:t>204 No Content</w:t>
      </w:r>
      <w:r w:rsidR="004A2E07" w:rsidRPr="000A0A5F">
        <w:t xml:space="preserve">" </w:t>
      </w:r>
      <w:r w:rsidR="004A2E07" w:rsidRPr="000A0A5F">
        <w:rPr>
          <w:lang w:eastAsia="zh-CN"/>
        </w:rPr>
        <w:t>status code;</w:t>
      </w:r>
      <w:r w:rsidRPr="000A0A5F">
        <w:rPr>
          <w:noProof/>
          <w:lang w:eastAsia="zh-CN"/>
        </w:rPr>
        <w:t xml:space="preserve"> otherwise, the SCEF shall not update the resource and</w:t>
      </w:r>
      <w:r w:rsidRPr="000A0A5F">
        <w:rPr>
          <w:lang w:eastAsia="zh-CN"/>
        </w:rPr>
        <w:t xml:space="preserve"> shall send an HTTP response to the SCS/AS</w:t>
      </w:r>
      <w:r w:rsidRPr="000A0A5F">
        <w:rPr>
          <w:noProof/>
          <w:lang w:eastAsia="zh-CN"/>
        </w:rPr>
        <w:t xml:space="preserve"> with </w:t>
      </w:r>
      <w:r w:rsidRPr="000A0A5F">
        <w:t>a corresponding failure code as described in clause 5.2.6</w:t>
      </w:r>
      <w:r w:rsidRPr="000A0A5F">
        <w:rPr>
          <w:noProof/>
          <w:lang w:eastAsia="zh-CN"/>
        </w:rPr>
        <w:t>.</w:t>
      </w:r>
      <w:r w:rsidRPr="000A0A5F">
        <w:t xml:space="preserve"> If the provisioning of the CP set fails (i.e. the HSS returns failure for the CP set or the SCEF does not accept the CP set provisioning), the SCEF shall reject the request with a corresponding status code, and include the attribute "cpReports" with the corresponding failure code as specified in table 5.10.2.3.5-1 and the CP Set Identifier for which the provisioning has failed.</w:t>
      </w:r>
    </w:p>
    <w:p w:rsidR="00CB0DD7" w:rsidRPr="000A0A5F" w:rsidRDefault="00CB0DD7">
      <w:pPr>
        <w:tabs>
          <w:tab w:val="left" w:pos="3247"/>
        </w:tabs>
        <w:rPr>
          <w:rFonts w:hint="eastAsia"/>
          <w:noProof/>
          <w:lang w:eastAsia="zh-CN"/>
        </w:rPr>
      </w:pPr>
      <w:r w:rsidRPr="000A0A5F">
        <w:rPr>
          <w:rFonts w:hint="eastAsia"/>
          <w:noProof/>
          <w:lang w:eastAsia="zh-CN"/>
        </w:rPr>
        <w:t>The SCS/AS</w:t>
      </w:r>
      <w:r w:rsidRPr="000A0A5F">
        <w:rPr>
          <w:noProof/>
          <w:lang w:eastAsia="zh-CN"/>
        </w:rPr>
        <w:t xml:space="preserve"> may send an HTTP DELETE message to the SCEF requesting to delete an individual CP set resource "</w:t>
      </w:r>
      <w:r w:rsidRPr="000A0A5F">
        <w:t xml:space="preserve">Individual CP </w:t>
      </w:r>
      <w:r w:rsidR="008D34A0" w:rsidRPr="000A0A5F">
        <w:t xml:space="preserve">Set </w:t>
      </w:r>
      <w:r w:rsidRPr="000A0A5F">
        <w:t>Provisioning"</w:t>
      </w:r>
      <w:r w:rsidRPr="000A0A5F">
        <w:rPr>
          <w:noProof/>
          <w:lang w:eastAsia="zh-CN"/>
        </w:rPr>
        <w:t xml:space="preserve">. After receiving such request, the SCEF shall determine the SCEF Reference ID for Deletion associated with the </w:t>
      </w:r>
      <w:r w:rsidRPr="000A0A5F">
        <w:t>CP parameter set</w:t>
      </w:r>
      <w:r w:rsidRPr="000A0A5F">
        <w:rPr>
          <w:noProof/>
          <w:lang w:eastAsia="zh-CN"/>
        </w:rPr>
        <w:t xml:space="preserve"> Id, and interact with </w:t>
      </w:r>
      <w:r w:rsidRPr="000A0A5F">
        <w:rPr>
          <w:rFonts w:hint="eastAsia"/>
          <w:lang w:eastAsia="zh-CN"/>
        </w:rPr>
        <w:t xml:space="preserve">the HSS </w:t>
      </w:r>
      <w:r w:rsidRPr="000A0A5F">
        <w:rPr>
          <w:lang w:eastAsia="zh-CN"/>
        </w:rPr>
        <w:t>as specified</w:t>
      </w:r>
      <w:r w:rsidRPr="000A0A5F">
        <w:rPr>
          <w:rFonts w:hint="eastAsia"/>
          <w:lang w:eastAsia="zh-CN"/>
        </w:rPr>
        <w:t xml:space="preserve"> in 3GPP TS 29.</w:t>
      </w:r>
      <w:r w:rsidRPr="000A0A5F">
        <w:rPr>
          <w:lang w:eastAsia="zh-CN"/>
        </w:rPr>
        <w:t>336</w:t>
      </w:r>
      <w:r w:rsidRPr="000A0A5F">
        <w:rPr>
          <w:lang w:val="en-US" w:eastAsia="zh-CN"/>
        </w:rPr>
        <w:t> </w:t>
      </w:r>
      <w:r w:rsidRPr="000A0A5F">
        <w:rPr>
          <w:rFonts w:hint="eastAsia"/>
          <w:lang w:val="en-US" w:eastAsia="zh-CN"/>
        </w:rPr>
        <w:t>[</w:t>
      </w:r>
      <w:r w:rsidRPr="000A0A5F">
        <w:rPr>
          <w:lang w:val="en-US" w:eastAsia="zh-CN"/>
        </w:rPr>
        <w:t>11]</w:t>
      </w:r>
      <w:r w:rsidRPr="000A0A5F">
        <w:rPr>
          <w:rFonts w:hint="eastAsia"/>
          <w:lang w:val="en-US" w:eastAsia="zh-CN"/>
        </w:rPr>
        <w:t xml:space="preserve">. </w:t>
      </w:r>
      <w:r w:rsidRPr="000A0A5F">
        <w:rPr>
          <w:lang w:eastAsia="zh-CN"/>
        </w:rPr>
        <w:t>After</w:t>
      </w:r>
      <w:r w:rsidRPr="000A0A5F">
        <w:rPr>
          <w:rFonts w:hint="eastAsia"/>
          <w:lang w:eastAsia="zh-CN"/>
        </w:rPr>
        <w:t xml:space="preserve"> receiving the response </w:t>
      </w:r>
      <w:r w:rsidRPr="000A0A5F">
        <w:rPr>
          <w:lang w:eastAsia="zh-CN"/>
        </w:rPr>
        <w:t>from the</w:t>
      </w:r>
      <w:r w:rsidRPr="000A0A5F">
        <w:rPr>
          <w:rFonts w:hint="eastAsia"/>
          <w:lang w:eastAsia="zh-CN"/>
        </w:rPr>
        <w:t xml:space="preserve"> HSS, the SCEF shall</w:t>
      </w:r>
      <w:r w:rsidRPr="000A0A5F">
        <w:rPr>
          <w:lang w:eastAsia="zh-CN"/>
        </w:rPr>
        <w:t xml:space="preserve"> delete the addressed resource and</w:t>
      </w:r>
      <w:r w:rsidRPr="000A0A5F">
        <w:rPr>
          <w:rFonts w:hint="eastAsia"/>
          <w:lang w:eastAsia="zh-CN"/>
        </w:rPr>
        <w:t xml:space="preserve"> send an HTTP response to the SCS/AS</w:t>
      </w:r>
      <w:r w:rsidRPr="000A0A5F">
        <w:rPr>
          <w:noProof/>
          <w:lang w:eastAsia="zh-CN"/>
        </w:rPr>
        <w:t xml:space="preserve"> with a </w:t>
      </w:r>
      <w:r w:rsidR="004A2E07" w:rsidRPr="000A0A5F">
        <w:rPr>
          <w:noProof/>
          <w:lang w:eastAsia="zh-CN"/>
        </w:rPr>
        <w:t>"</w:t>
      </w:r>
      <w:r w:rsidRPr="000A0A5F">
        <w:rPr>
          <w:rFonts w:hint="eastAsia"/>
          <w:lang w:eastAsia="zh-CN"/>
        </w:rPr>
        <w:t>204 No Content</w:t>
      </w:r>
      <w:r w:rsidR="004A2E07" w:rsidRPr="000A0A5F">
        <w:rPr>
          <w:lang w:eastAsia="zh-CN"/>
        </w:rPr>
        <w:t>"</w:t>
      </w:r>
      <w:r w:rsidRPr="000A0A5F">
        <w:rPr>
          <w:rFonts w:hint="eastAsia"/>
          <w:lang w:eastAsia="zh-CN"/>
        </w:rPr>
        <w:t xml:space="preserve"> </w:t>
      </w:r>
      <w:r w:rsidRPr="000A0A5F">
        <w:rPr>
          <w:lang w:eastAsia="zh-CN"/>
        </w:rPr>
        <w:t>s</w:t>
      </w:r>
      <w:r w:rsidRPr="000A0A5F">
        <w:rPr>
          <w:noProof/>
          <w:lang w:eastAsia="zh-CN"/>
        </w:rPr>
        <w:t>tatus code.</w:t>
      </w:r>
    </w:p>
    <w:p w:rsidR="00CB0DD7" w:rsidRPr="000A0A5F" w:rsidRDefault="00CB0DD7">
      <w:pPr>
        <w:tabs>
          <w:tab w:val="left" w:pos="3247"/>
        </w:tabs>
        <w:rPr>
          <w:rFonts w:hint="eastAsia"/>
          <w:lang w:eastAsia="zh-CN"/>
        </w:rPr>
      </w:pPr>
      <w:r w:rsidRPr="000A0A5F">
        <w:rPr>
          <w:noProof/>
          <w:lang w:eastAsia="zh-CN"/>
        </w:rPr>
        <w:t>The SCS/AS may send an HTTP DELETE message to the SCEF requesting to delete an individual subscription resource "</w:t>
      </w:r>
      <w:r w:rsidRPr="000A0A5F">
        <w:t>Individual CP Provisioning Subscription"</w:t>
      </w:r>
      <w:r w:rsidRPr="000A0A5F">
        <w:rPr>
          <w:noProof/>
          <w:lang w:eastAsia="zh-CN"/>
        </w:rPr>
        <w:t xml:space="preserve">. After receiving such request, the SCEF shall determine the SCEF Reference ID (s) for Deletion associated with the CP parameter set Id(s) and interact with </w:t>
      </w:r>
      <w:r w:rsidRPr="000A0A5F">
        <w:rPr>
          <w:rFonts w:hint="eastAsia"/>
          <w:lang w:eastAsia="zh-CN"/>
        </w:rPr>
        <w:t xml:space="preserve">the HSS </w:t>
      </w:r>
      <w:r w:rsidRPr="000A0A5F">
        <w:rPr>
          <w:lang w:eastAsia="zh-CN"/>
        </w:rPr>
        <w:t>as specified</w:t>
      </w:r>
      <w:r w:rsidRPr="000A0A5F">
        <w:rPr>
          <w:rFonts w:hint="eastAsia"/>
          <w:lang w:eastAsia="zh-CN"/>
        </w:rPr>
        <w:t xml:space="preserve"> in 3GPP TS 29.</w:t>
      </w:r>
      <w:r w:rsidRPr="000A0A5F">
        <w:rPr>
          <w:lang w:eastAsia="zh-CN"/>
        </w:rPr>
        <w:t>336</w:t>
      </w:r>
      <w:r w:rsidRPr="000A0A5F">
        <w:rPr>
          <w:lang w:val="en-US" w:eastAsia="zh-CN"/>
        </w:rPr>
        <w:t> </w:t>
      </w:r>
      <w:r w:rsidRPr="000A0A5F">
        <w:rPr>
          <w:rFonts w:hint="eastAsia"/>
          <w:lang w:val="en-US" w:eastAsia="zh-CN"/>
        </w:rPr>
        <w:t>[</w:t>
      </w:r>
      <w:r w:rsidRPr="000A0A5F">
        <w:rPr>
          <w:lang w:val="en-US" w:eastAsia="zh-CN"/>
        </w:rPr>
        <w:t>11]</w:t>
      </w:r>
      <w:r w:rsidRPr="000A0A5F">
        <w:rPr>
          <w:rFonts w:hint="eastAsia"/>
          <w:lang w:val="en-US" w:eastAsia="zh-CN"/>
        </w:rPr>
        <w:t xml:space="preserve">. </w:t>
      </w:r>
      <w:r w:rsidRPr="000A0A5F">
        <w:rPr>
          <w:lang w:eastAsia="zh-CN"/>
        </w:rPr>
        <w:t>After</w:t>
      </w:r>
      <w:r w:rsidRPr="000A0A5F">
        <w:rPr>
          <w:rFonts w:hint="eastAsia"/>
          <w:lang w:eastAsia="zh-CN"/>
        </w:rPr>
        <w:t xml:space="preserve"> receiving the response </w:t>
      </w:r>
      <w:r w:rsidRPr="000A0A5F">
        <w:rPr>
          <w:lang w:eastAsia="zh-CN"/>
        </w:rPr>
        <w:t>from the</w:t>
      </w:r>
      <w:r w:rsidRPr="000A0A5F">
        <w:rPr>
          <w:rFonts w:hint="eastAsia"/>
          <w:lang w:eastAsia="zh-CN"/>
        </w:rPr>
        <w:t xml:space="preserve"> HSS, the SCEF shall </w:t>
      </w:r>
      <w:r w:rsidRPr="000A0A5F">
        <w:rPr>
          <w:lang w:eastAsia="zh-CN"/>
        </w:rPr>
        <w:t xml:space="preserve">delete </w:t>
      </w:r>
      <w:r w:rsidRPr="000A0A5F">
        <w:rPr>
          <w:noProof/>
          <w:lang w:eastAsia="zh-CN"/>
        </w:rPr>
        <w:t>the addressed resource and its sub-resources addressed by "</w:t>
      </w:r>
      <w:r w:rsidRPr="000A0A5F">
        <w:t xml:space="preserve">Individual CP </w:t>
      </w:r>
      <w:r w:rsidR="008D34A0" w:rsidRPr="000A0A5F">
        <w:t xml:space="preserve">Set </w:t>
      </w:r>
      <w:r w:rsidRPr="000A0A5F">
        <w:t xml:space="preserve">Provisioning" and </w:t>
      </w:r>
      <w:r w:rsidRPr="000A0A5F">
        <w:rPr>
          <w:rFonts w:hint="eastAsia"/>
          <w:lang w:eastAsia="zh-CN"/>
        </w:rPr>
        <w:t>send an HTTP response to the SCS/AS</w:t>
      </w:r>
      <w:r w:rsidRPr="000A0A5F">
        <w:rPr>
          <w:noProof/>
          <w:lang w:eastAsia="zh-CN"/>
        </w:rPr>
        <w:t xml:space="preserve"> with a </w:t>
      </w:r>
      <w:r w:rsidR="004A2E07" w:rsidRPr="000A0A5F">
        <w:rPr>
          <w:noProof/>
          <w:lang w:eastAsia="zh-CN"/>
        </w:rPr>
        <w:t>"</w:t>
      </w:r>
      <w:r w:rsidRPr="000A0A5F">
        <w:rPr>
          <w:rFonts w:hint="eastAsia"/>
          <w:lang w:eastAsia="zh-CN"/>
        </w:rPr>
        <w:t>204 No Content</w:t>
      </w:r>
      <w:r w:rsidR="004A2E07" w:rsidRPr="000A0A5F">
        <w:rPr>
          <w:lang w:eastAsia="zh-CN"/>
        </w:rPr>
        <w:t>"</w:t>
      </w:r>
      <w:r w:rsidRPr="000A0A5F">
        <w:rPr>
          <w:rFonts w:hint="eastAsia"/>
          <w:lang w:eastAsia="zh-CN"/>
        </w:rPr>
        <w:t xml:space="preserve"> </w:t>
      </w:r>
      <w:r w:rsidRPr="000A0A5F">
        <w:rPr>
          <w:lang w:eastAsia="zh-CN"/>
        </w:rPr>
        <w:t>s</w:t>
      </w:r>
      <w:r w:rsidRPr="000A0A5F">
        <w:rPr>
          <w:noProof/>
          <w:lang w:eastAsia="zh-CN"/>
        </w:rPr>
        <w:t>tatus code.</w:t>
      </w:r>
    </w:p>
    <w:p w:rsidR="00CB0DD7" w:rsidRPr="000A0A5F" w:rsidRDefault="00CB0DD7">
      <w:pPr>
        <w:pStyle w:val="Heading3"/>
        <w:rPr>
          <w:lang w:eastAsia="zh-CN"/>
        </w:rPr>
      </w:pPr>
      <w:bookmarkStart w:id="822" w:name="_Toc11247237"/>
      <w:bookmarkStart w:id="823" w:name="_Toc27044355"/>
      <w:bookmarkStart w:id="824" w:name="_Toc36033397"/>
      <w:bookmarkStart w:id="825" w:name="_Toc45131529"/>
      <w:bookmarkStart w:id="826" w:name="_Toc49775814"/>
      <w:bookmarkStart w:id="827" w:name="_Toc51746734"/>
      <w:bookmarkStart w:id="828" w:name="_Toc66360276"/>
      <w:bookmarkStart w:id="829" w:name="_Toc68104781"/>
      <w:bookmarkStart w:id="830" w:name="_Toc74755410"/>
      <w:bookmarkStart w:id="831" w:name="_Toc105674265"/>
      <w:bookmarkStart w:id="832" w:name="_Toc130502298"/>
      <w:bookmarkStart w:id="833" w:name="_Toc153625077"/>
      <w:r w:rsidRPr="000A0A5F">
        <w:t>4.</w:t>
      </w:r>
      <w:r w:rsidRPr="000A0A5F">
        <w:rPr>
          <w:lang w:eastAsia="zh-CN"/>
        </w:rPr>
        <w:t>4</w:t>
      </w:r>
      <w:r w:rsidRPr="000A0A5F">
        <w:t>.10</w:t>
      </w:r>
      <w:r w:rsidRPr="000A0A5F">
        <w:tab/>
      </w:r>
      <w:r w:rsidRPr="000A0A5F">
        <w:rPr>
          <w:rFonts w:hint="eastAsia"/>
          <w:lang w:eastAsia="zh-CN"/>
        </w:rPr>
        <w:t xml:space="preserve">Procedures for </w:t>
      </w:r>
      <w:r w:rsidRPr="000A0A5F">
        <w:t>PFD Management</w:t>
      </w:r>
      <w:bookmarkEnd w:id="822"/>
      <w:bookmarkEnd w:id="823"/>
      <w:bookmarkEnd w:id="824"/>
      <w:bookmarkEnd w:id="825"/>
      <w:bookmarkEnd w:id="826"/>
      <w:bookmarkEnd w:id="827"/>
      <w:bookmarkEnd w:id="828"/>
      <w:bookmarkEnd w:id="829"/>
      <w:bookmarkEnd w:id="830"/>
      <w:bookmarkEnd w:id="831"/>
      <w:bookmarkEnd w:id="832"/>
      <w:bookmarkEnd w:id="833"/>
    </w:p>
    <w:p w:rsidR="00CB0DD7" w:rsidRPr="000A0A5F" w:rsidRDefault="00CB0DD7">
      <w:pPr>
        <w:rPr>
          <w:noProof/>
          <w:lang w:eastAsia="zh-CN"/>
        </w:rPr>
      </w:pPr>
      <w:r w:rsidRPr="000A0A5F">
        <w:rPr>
          <w:rFonts w:hint="eastAsia"/>
          <w:noProof/>
          <w:lang w:eastAsia="zh-CN"/>
        </w:rPr>
        <w:t xml:space="preserve">The PFDs </w:t>
      </w:r>
      <w:r w:rsidRPr="000A0A5F">
        <w:rPr>
          <w:noProof/>
          <w:lang w:eastAsia="zh-CN"/>
        </w:rPr>
        <w:t xml:space="preserve">associated with application identifier(s) </w:t>
      </w:r>
      <w:r w:rsidRPr="000A0A5F">
        <w:rPr>
          <w:rFonts w:hint="eastAsia"/>
          <w:noProof/>
          <w:lang w:eastAsia="zh-CN"/>
        </w:rPr>
        <w:t xml:space="preserve">may be created, updated or removed by the third party SCS/AS </w:t>
      </w:r>
      <w:r w:rsidRPr="000A0A5F">
        <w:rPr>
          <w:noProof/>
          <w:lang w:eastAsia="zh-CN"/>
        </w:rPr>
        <w:t>as defined in 3GPP TS </w:t>
      </w:r>
      <w:r w:rsidRPr="000A0A5F">
        <w:rPr>
          <w:rFonts w:hint="eastAsia"/>
          <w:noProof/>
          <w:lang w:eastAsia="zh-CN"/>
        </w:rPr>
        <w:t>23.682</w:t>
      </w:r>
      <w:r w:rsidRPr="000A0A5F">
        <w:rPr>
          <w:noProof/>
          <w:lang w:val="en-US" w:eastAsia="zh-CN"/>
        </w:rPr>
        <w:t> </w:t>
      </w:r>
      <w:r w:rsidRPr="000A0A5F">
        <w:rPr>
          <w:rFonts w:hint="eastAsia"/>
          <w:noProof/>
          <w:lang w:eastAsia="zh-CN"/>
        </w:rPr>
        <w:t xml:space="preserve">[2]. </w:t>
      </w:r>
    </w:p>
    <w:p w:rsidR="00CB0DD7" w:rsidRPr="000A0A5F" w:rsidRDefault="00CB0DD7">
      <w:r w:rsidRPr="000A0A5F">
        <w:rPr>
          <w:noProof/>
          <w:lang w:eastAsia="zh-CN"/>
        </w:rPr>
        <w:t>In order to create PFDs resources for one or more external Application Identifier(s), the SCS/AS shall send an HTTP POST message to the request URI of the resource</w:t>
      </w:r>
      <w:r w:rsidRPr="000A0A5F">
        <w:rPr>
          <w:lang w:eastAsia="zh-CN"/>
        </w:rPr>
        <w:t xml:space="preserve"> </w:t>
      </w:r>
      <w:r w:rsidRPr="000A0A5F">
        <w:t>"</w:t>
      </w:r>
      <w:r w:rsidRPr="000A0A5F">
        <w:rPr>
          <w:rFonts w:hint="eastAsia"/>
          <w:lang w:eastAsia="zh-CN"/>
        </w:rPr>
        <w:t xml:space="preserve">PFD Management </w:t>
      </w:r>
      <w:r w:rsidRPr="000A0A5F">
        <w:t>Transactions"</w:t>
      </w:r>
      <w:r w:rsidRPr="000A0A5F">
        <w:rPr>
          <w:noProof/>
          <w:lang w:eastAsia="zh-CN"/>
        </w:rPr>
        <w:t xml:space="preserve"> including one or more set of PFDs for external Application Identifier(s). The body of the HTTP POST message shall include</w:t>
      </w:r>
      <w:r w:rsidRPr="000A0A5F">
        <w:t xml:space="preserve"> external Application Identifier(s) and PFDs associated with its PFD Identifier(s), an Allowed Delay may be included for the external Application Identifier(s) as well.</w:t>
      </w:r>
    </w:p>
    <w:p w:rsidR="00CB0DD7" w:rsidRPr="000A0A5F" w:rsidRDefault="00CB0DD7">
      <w:pPr>
        <w:rPr>
          <w:noProof/>
          <w:lang w:eastAsia="zh-CN"/>
        </w:rPr>
      </w:pPr>
      <w:bookmarkStart w:id="834" w:name="_Hlk489951107"/>
      <w:r w:rsidRPr="000A0A5F">
        <w:rPr>
          <w:lang w:val="en-US" w:eastAsia="zh-CN"/>
        </w:rPr>
        <w:t xml:space="preserve">After receiving the HTTP POST message, </w:t>
      </w:r>
      <w:bookmarkEnd w:id="834"/>
      <w:r w:rsidRPr="000A0A5F">
        <w:rPr>
          <w:lang w:val="en-US" w:eastAsia="zh-CN"/>
        </w:rPr>
        <w:t>if the SCS/AS is authorized, t</w:t>
      </w:r>
      <w:r w:rsidRPr="000A0A5F">
        <w:rPr>
          <w:rFonts w:hint="eastAsia"/>
          <w:lang w:eastAsia="zh-CN"/>
        </w:rPr>
        <w:t xml:space="preserve">he SCEF shall </w:t>
      </w:r>
      <w:r w:rsidRPr="000A0A5F">
        <w:rPr>
          <w:lang w:eastAsia="zh-CN"/>
        </w:rPr>
        <w:t xml:space="preserve">provision </w:t>
      </w:r>
      <w:r w:rsidRPr="000A0A5F">
        <w:rPr>
          <w:rFonts w:hint="eastAsia"/>
          <w:lang w:eastAsia="zh-CN"/>
        </w:rPr>
        <w:t xml:space="preserve">the PFDs </w:t>
      </w:r>
      <w:r w:rsidRPr="000A0A5F">
        <w:rPr>
          <w:lang w:eastAsia="zh-CN"/>
        </w:rPr>
        <w:t xml:space="preserve">to the PFDF </w:t>
      </w:r>
      <w:r w:rsidRPr="000A0A5F">
        <w:rPr>
          <w:rFonts w:hint="eastAsia"/>
          <w:lang w:eastAsia="zh-CN"/>
        </w:rPr>
        <w:t>as defined in 3GPP TS 29.</w:t>
      </w:r>
      <w:r w:rsidRPr="000A0A5F">
        <w:rPr>
          <w:lang w:eastAsia="zh-CN"/>
        </w:rPr>
        <w:t>250</w:t>
      </w:r>
      <w:r w:rsidRPr="000A0A5F">
        <w:rPr>
          <w:lang w:val="en-US" w:eastAsia="zh-CN"/>
        </w:rPr>
        <w:t> </w:t>
      </w:r>
      <w:r w:rsidRPr="000A0A5F">
        <w:rPr>
          <w:rFonts w:hint="eastAsia"/>
          <w:lang w:val="en-US" w:eastAsia="zh-CN"/>
        </w:rPr>
        <w:t>[</w:t>
      </w:r>
      <w:r w:rsidRPr="000A0A5F">
        <w:rPr>
          <w:lang w:val="en-US" w:eastAsia="zh-CN"/>
        </w:rPr>
        <w:t>26</w:t>
      </w:r>
      <w:r w:rsidRPr="000A0A5F">
        <w:rPr>
          <w:rFonts w:hint="eastAsia"/>
          <w:lang w:val="en-US" w:eastAsia="zh-CN"/>
        </w:rPr>
        <w:t>]</w:t>
      </w:r>
      <w:r w:rsidRPr="000A0A5F">
        <w:rPr>
          <w:rFonts w:hint="eastAsia"/>
          <w:lang w:eastAsia="zh-CN"/>
        </w:rPr>
        <w:t xml:space="preserve">. When receiving the response </w:t>
      </w:r>
      <w:r w:rsidRPr="000A0A5F">
        <w:rPr>
          <w:lang w:eastAsia="zh-CN"/>
        </w:rPr>
        <w:t>from the</w:t>
      </w:r>
      <w:r w:rsidRPr="000A0A5F">
        <w:rPr>
          <w:rFonts w:hint="eastAsia"/>
          <w:lang w:eastAsia="zh-CN"/>
        </w:rPr>
        <w:t xml:space="preserve"> PFDF, the SCEF shall send an HTTP response to the SCS/AS with a corresponding </w:t>
      </w:r>
      <w:r w:rsidRPr="000A0A5F">
        <w:rPr>
          <w:lang w:eastAsia="zh-CN"/>
        </w:rPr>
        <w:t>s</w:t>
      </w:r>
      <w:r w:rsidRPr="000A0A5F">
        <w:rPr>
          <w:noProof/>
          <w:lang w:eastAsia="zh-CN"/>
        </w:rPr>
        <w:t xml:space="preserve">tatus code. If one or more external application identifiers are provisioned successfully, the SCEF shall </w:t>
      </w:r>
      <w:r w:rsidRPr="000A0A5F">
        <w:rPr>
          <w:lang w:eastAsia="zh-CN"/>
        </w:rPr>
        <w:t xml:space="preserve">create an </w:t>
      </w:r>
      <w:r w:rsidRPr="000A0A5F">
        <w:t>"</w:t>
      </w:r>
      <w:r w:rsidRPr="000A0A5F">
        <w:rPr>
          <w:lang w:eastAsia="zh-CN"/>
        </w:rPr>
        <w:t xml:space="preserve">Individual </w:t>
      </w:r>
      <w:r w:rsidRPr="000A0A5F">
        <w:rPr>
          <w:rFonts w:hint="eastAsia"/>
          <w:lang w:eastAsia="zh-CN"/>
        </w:rPr>
        <w:t xml:space="preserve">PFD Management </w:t>
      </w:r>
      <w:r w:rsidRPr="000A0A5F">
        <w:t>Transaction"</w:t>
      </w:r>
      <w:r w:rsidRPr="000A0A5F">
        <w:rPr>
          <w:lang w:eastAsia="zh-CN"/>
        </w:rPr>
        <w:t xml:space="preserve"> resource for the request and </w:t>
      </w:r>
      <w:r w:rsidRPr="000A0A5F">
        <w:rPr>
          <w:noProof/>
        </w:rPr>
        <w:t xml:space="preserve">he corresponding sub-resources </w:t>
      </w:r>
      <w:r w:rsidRPr="000A0A5F">
        <w:t xml:space="preserve">"Individual Application PFD Management" each represents a successfully provisioned external application identifier. </w:t>
      </w:r>
      <w:r w:rsidRPr="000A0A5F">
        <w:rPr>
          <w:noProof/>
          <w:lang w:eastAsia="zh-CN"/>
        </w:rPr>
        <w:t xml:space="preserve">The SCEF shall </w:t>
      </w:r>
      <w:r w:rsidRPr="000A0A5F">
        <w:rPr>
          <w:lang w:eastAsia="zh-CN"/>
        </w:rPr>
        <w:t xml:space="preserve">respond to the SCS/AS </w:t>
      </w:r>
      <w:r w:rsidRPr="000A0A5F">
        <w:t xml:space="preserve">with a 201 </w:t>
      </w:r>
      <w:r w:rsidRPr="000A0A5F">
        <w:rPr>
          <w:rFonts w:hint="eastAsia"/>
          <w:lang w:eastAsia="zh-CN"/>
        </w:rPr>
        <w:t xml:space="preserve">Created </w:t>
      </w:r>
      <w:r w:rsidRPr="000A0A5F">
        <w:t>including</w:t>
      </w:r>
      <w:r w:rsidRPr="000A0A5F">
        <w:rPr>
          <w:rFonts w:hint="eastAsia"/>
          <w:lang w:eastAsia="zh-CN"/>
        </w:rPr>
        <w:t xml:space="preserve"> </w:t>
      </w:r>
      <w:r w:rsidRPr="000A0A5F">
        <w:t>Location header field containing the URI for the created transaction resource "</w:t>
      </w:r>
      <w:r w:rsidRPr="000A0A5F">
        <w:rPr>
          <w:lang w:eastAsia="zh-CN"/>
        </w:rPr>
        <w:t xml:space="preserve">Individual </w:t>
      </w:r>
      <w:r w:rsidRPr="000A0A5F">
        <w:rPr>
          <w:rFonts w:hint="eastAsia"/>
          <w:lang w:eastAsia="zh-CN"/>
        </w:rPr>
        <w:t xml:space="preserve">PFD Management </w:t>
      </w:r>
      <w:r w:rsidRPr="000A0A5F">
        <w:t>Transaction"</w:t>
      </w:r>
      <w:r w:rsidRPr="000A0A5F">
        <w:rPr>
          <w:lang w:eastAsia="zh-CN"/>
        </w:rPr>
        <w:t xml:space="preserve"> and the sub-resource(s) </w:t>
      </w:r>
      <w:r w:rsidRPr="000A0A5F">
        <w:t>"Individual Application PFD Management"</w:t>
      </w:r>
      <w:r w:rsidRPr="000A0A5F">
        <w:rPr>
          <w:noProof/>
        </w:rPr>
        <w:t xml:space="preserve"> corresponding to each external application identifier within the "</w:t>
      </w:r>
      <w:r w:rsidRPr="000A0A5F">
        <w:t>self</w:t>
      </w:r>
      <w:r w:rsidRPr="000A0A5F">
        <w:rPr>
          <w:noProof/>
        </w:rPr>
        <w:t>" attribute in the "</w:t>
      </w:r>
      <w:r w:rsidRPr="000A0A5F">
        <w:t>PfdData</w:t>
      </w:r>
      <w:r w:rsidRPr="000A0A5F">
        <w:rPr>
          <w:noProof/>
        </w:rPr>
        <w:t>" data type</w:t>
      </w:r>
      <w:r w:rsidRPr="000A0A5F">
        <w:t xml:space="preserve">, the SCEF shall </w:t>
      </w:r>
      <w:r w:rsidRPr="000A0A5F">
        <w:rPr>
          <w:noProof/>
          <w:lang w:eastAsia="zh-CN"/>
        </w:rPr>
        <w:t xml:space="preserve">also include PFD report(s) with a list of external Application Identifier(s) and result(s) in the body of the HTTP response if some application(s) are not provisioned successfully (i.e. the PFDF returns failure and/or the SCEF does not accept the PFD provisioning (e.g. </w:t>
      </w:r>
      <w:r w:rsidRPr="000A0A5F">
        <w:t>one or more external Application Identifiers in the request are already present in existing transactions</w:t>
      </w:r>
      <w:r w:rsidRPr="000A0A5F">
        <w:rPr>
          <w:noProof/>
          <w:lang w:eastAsia="zh-CN"/>
        </w:rPr>
        <w:t>)).</w:t>
      </w:r>
    </w:p>
    <w:p w:rsidR="00CB0DD7" w:rsidRPr="000A0A5F" w:rsidRDefault="00CB0DD7">
      <w:pPr>
        <w:tabs>
          <w:tab w:val="left" w:pos="3247"/>
        </w:tabs>
        <w:rPr>
          <w:noProof/>
          <w:lang w:eastAsia="zh-CN"/>
        </w:rPr>
      </w:pPr>
      <w:r w:rsidRPr="000A0A5F">
        <w:rPr>
          <w:lang w:eastAsia="zh-CN"/>
        </w:rPr>
        <w:t>In order to update the PFDs for an existing individual transaction, t</w:t>
      </w:r>
      <w:r w:rsidRPr="000A0A5F">
        <w:rPr>
          <w:rFonts w:hint="eastAsia"/>
          <w:lang w:eastAsia="zh-CN"/>
        </w:rPr>
        <w:t xml:space="preserve">he SCS/AS </w:t>
      </w:r>
      <w:r w:rsidRPr="000A0A5F">
        <w:rPr>
          <w:lang w:eastAsia="zh-CN"/>
        </w:rPr>
        <w:t>shall</w:t>
      </w:r>
      <w:r w:rsidRPr="000A0A5F">
        <w:rPr>
          <w:rFonts w:hint="eastAsia"/>
          <w:lang w:eastAsia="zh-CN"/>
        </w:rPr>
        <w:t xml:space="preserve"> send an HTTP P</w:t>
      </w:r>
      <w:r w:rsidRPr="000A0A5F">
        <w:rPr>
          <w:lang w:eastAsia="zh-CN"/>
        </w:rPr>
        <w:t>U</w:t>
      </w:r>
      <w:r w:rsidRPr="000A0A5F">
        <w:rPr>
          <w:rFonts w:hint="eastAsia"/>
          <w:lang w:eastAsia="zh-CN"/>
        </w:rPr>
        <w:t xml:space="preserve">T </w:t>
      </w:r>
      <w:r w:rsidRPr="000A0A5F">
        <w:rPr>
          <w:lang w:eastAsia="zh-CN"/>
        </w:rPr>
        <w:t xml:space="preserve">message to URI of the resource </w:t>
      </w:r>
      <w:r w:rsidRPr="000A0A5F">
        <w:t xml:space="preserve">"Individual PFD Management Transaction" </w:t>
      </w:r>
      <w:r w:rsidRPr="000A0A5F">
        <w:rPr>
          <w:noProof/>
          <w:lang w:eastAsia="zh-CN"/>
        </w:rPr>
        <w:t>including one or more set of PFDs for external Application Identifier(s)</w:t>
      </w:r>
      <w:r w:rsidRPr="000A0A5F">
        <w:rPr>
          <w:lang w:eastAsia="zh-CN"/>
        </w:rPr>
        <w:t>.</w:t>
      </w:r>
      <w:r w:rsidRPr="000A0A5F">
        <w:rPr>
          <w:rFonts w:hint="eastAsia"/>
          <w:lang w:eastAsia="zh-CN"/>
        </w:rPr>
        <w:t xml:space="preserve"> </w:t>
      </w:r>
      <w:r w:rsidRPr="000A0A5F">
        <w:rPr>
          <w:lang w:eastAsia="zh-CN"/>
        </w:rPr>
        <w:t>After</w:t>
      </w:r>
      <w:r w:rsidRPr="000A0A5F">
        <w:rPr>
          <w:rFonts w:hint="eastAsia"/>
          <w:lang w:eastAsia="zh-CN"/>
        </w:rPr>
        <w:t xml:space="preserve"> </w:t>
      </w:r>
      <w:r w:rsidRPr="000A0A5F">
        <w:rPr>
          <w:lang w:eastAsia="zh-CN"/>
        </w:rPr>
        <w:t>receiv</w:t>
      </w:r>
      <w:r w:rsidRPr="000A0A5F">
        <w:rPr>
          <w:rFonts w:hint="eastAsia"/>
          <w:lang w:eastAsia="zh-CN"/>
        </w:rPr>
        <w:t>ing the HTTP P</w:t>
      </w:r>
      <w:r w:rsidRPr="000A0A5F">
        <w:rPr>
          <w:lang w:eastAsia="zh-CN"/>
        </w:rPr>
        <w:t>U</w:t>
      </w:r>
      <w:r w:rsidRPr="000A0A5F">
        <w:rPr>
          <w:rFonts w:hint="eastAsia"/>
          <w:lang w:eastAsia="zh-CN"/>
        </w:rPr>
        <w:t xml:space="preserve">T message, the SCEF shall make the change and send the change to the PFDF </w:t>
      </w:r>
      <w:r w:rsidRPr="000A0A5F">
        <w:rPr>
          <w:lang w:eastAsia="zh-CN"/>
        </w:rPr>
        <w:t>(</w:t>
      </w:r>
      <w:r w:rsidRPr="000A0A5F">
        <w:rPr>
          <w:rFonts w:hint="eastAsia"/>
          <w:lang w:eastAsia="zh-CN"/>
        </w:rPr>
        <w:t>i.e</w:t>
      </w:r>
      <w:r w:rsidRPr="000A0A5F">
        <w:rPr>
          <w:lang w:eastAsia="zh-CN"/>
        </w:rPr>
        <w:t>. add/update/remove PFDs)</w:t>
      </w:r>
      <w:r w:rsidRPr="000A0A5F">
        <w:rPr>
          <w:rFonts w:hint="eastAsia"/>
          <w:lang w:eastAsia="zh-CN"/>
        </w:rPr>
        <w:t xml:space="preserve"> as defined in 3GPP TS 29.</w:t>
      </w:r>
      <w:r w:rsidRPr="000A0A5F">
        <w:rPr>
          <w:lang w:eastAsia="zh-CN"/>
        </w:rPr>
        <w:t>250</w:t>
      </w:r>
      <w:r w:rsidRPr="000A0A5F">
        <w:rPr>
          <w:lang w:val="en-US" w:eastAsia="zh-CN"/>
        </w:rPr>
        <w:t> </w:t>
      </w:r>
      <w:r w:rsidRPr="000A0A5F">
        <w:rPr>
          <w:rFonts w:hint="eastAsia"/>
          <w:lang w:val="en-US" w:eastAsia="zh-CN"/>
        </w:rPr>
        <w:t>[</w:t>
      </w:r>
      <w:r w:rsidRPr="000A0A5F">
        <w:rPr>
          <w:lang w:val="en-US" w:eastAsia="zh-CN"/>
        </w:rPr>
        <w:t>26]</w:t>
      </w:r>
      <w:r w:rsidRPr="000A0A5F">
        <w:rPr>
          <w:rFonts w:hint="eastAsia"/>
          <w:lang w:val="en-US" w:eastAsia="zh-CN"/>
        </w:rPr>
        <w:t xml:space="preserve">. </w:t>
      </w:r>
      <w:r w:rsidRPr="000A0A5F">
        <w:rPr>
          <w:lang w:eastAsia="zh-CN"/>
        </w:rPr>
        <w:t>After</w:t>
      </w:r>
      <w:r w:rsidRPr="000A0A5F">
        <w:rPr>
          <w:rFonts w:hint="eastAsia"/>
          <w:lang w:eastAsia="zh-CN"/>
        </w:rPr>
        <w:t xml:space="preserve"> receiving the response </w:t>
      </w:r>
      <w:r w:rsidRPr="000A0A5F">
        <w:rPr>
          <w:lang w:eastAsia="zh-CN"/>
        </w:rPr>
        <w:t>from the</w:t>
      </w:r>
      <w:r w:rsidRPr="000A0A5F">
        <w:rPr>
          <w:rFonts w:hint="eastAsia"/>
          <w:lang w:eastAsia="zh-CN"/>
        </w:rPr>
        <w:t xml:space="preserve"> PF</w:t>
      </w:r>
      <w:r w:rsidRPr="000A0A5F">
        <w:rPr>
          <w:lang w:eastAsia="zh-CN"/>
        </w:rPr>
        <w:t>DF</w:t>
      </w:r>
      <w:r w:rsidRPr="000A0A5F">
        <w:rPr>
          <w:rFonts w:hint="eastAsia"/>
          <w:lang w:eastAsia="zh-CN"/>
        </w:rPr>
        <w:t>, the SCEF shall send an HTTP response to the SCS/AS</w:t>
      </w:r>
      <w:r w:rsidRPr="000A0A5F">
        <w:rPr>
          <w:noProof/>
          <w:lang w:eastAsia="zh-CN"/>
        </w:rPr>
        <w:t xml:space="preserve"> with a </w:t>
      </w:r>
      <w:r w:rsidRPr="000A0A5F">
        <w:rPr>
          <w:rFonts w:hint="eastAsia"/>
          <w:lang w:eastAsia="zh-CN"/>
        </w:rPr>
        <w:t xml:space="preserve">corresponding </w:t>
      </w:r>
      <w:r w:rsidRPr="000A0A5F">
        <w:rPr>
          <w:lang w:eastAsia="zh-CN"/>
        </w:rPr>
        <w:t>s</w:t>
      </w:r>
      <w:r w:rsidRPr="000A0A5F">
        <w:rPr>
          <w:noProof/>
          <w:lang w:eastAsia="zh-CN"/>
        </w:rPr>
        <w:t xml:space="preserve">tatus code. The SCEF shall create or update </w:t>
      </w:r>
      <w:r w:rsidRPr="000A0A5F">
        <w:rPr>
          <w:lang w:eastAsia="zh-CN"/>
        </w:rPr>
        <w:t xml:space="preserve">the corresponding sub-resource(s) </w:t>
      </w:r>
      <w:r w:rsidRPr="000A0A5F">
        <w:t>"Individual Application PFD Management"</w:t>
      </w:r>
      <w:r w:rsidRPr="000A0A5F">
        <w:rPr>
          <w:lang w:eastAsia="zh-CN"/>
        </w:rPr>
        <w:t xml:space="preserve"> </w:t>
      </w:r>
      <w:r w:rsidRPr="000A0A5F">
        <w:t>each represents a successfully provisioned</w:t>
      </w:r>
      <w:r w:rsidRPr="000A0A5F">
        <w:rPr>
          <w:noProof/>
          <w:lang w:eastAsia="zh-CN"/>
        </w:rPr>
        <w:t xml:space="preserve"> external application identifier, and also include PFD report(s) with a list of external Application Identifier(s) and result(s) in the body of the HTTP response if some application(s) are not provisioned successfully (i.e. the PFDF returns failure and/or the SCEF does not accept the PFD provisioning (e.g. </w:t>
      </w:r>
      <w:r w:rsidRPr="000A0A5F">
        <w:t>one or more external Application Identifiers in the request are already present in existing transactions</w:t>
      </w:r>
      <w:r w:rsidRPr="000A0A5F">
        <w:rPr>
          <w:noProof/>
          <w:lang w:eastAsia="zh-CN"/>
        </w:rPr>
        <w:t>)).</w:t>
      </w:r>
    </w:p>
    <w:p w:rsidR="00CB0DD7" w:rsidRPr="000A0A5F" w:rsidRDefault="00CB0DD7">
      <w:pPr>
        <w:pStyle w:val="NO"/>
        <w:rPr>
          <w:rFonts w:hint="eastAsia"/>
          <w:noProof/>
          <w:lang w:eastAsia="zh-CN"/>
        </w:rPr>
      </w:pPr>
      <w:r w:rsidRPr="000A0A5F">
        <w:rPr>
          <w:rFonts w:hint="eastAsia"/>
          <w:lang w:eastAsia="zh-CN"/>
        </w:rPr>
        <w:t>NOTE</w:t>
      </w:r>
      <w:r w:rsidRPr="000A0A5F">
        <w:rPr>
          <w:lang w:val="en-US" w:eastAsia="zh-CN"/>
        </w:rPr>
        <w:t> 1</w:t>
      </w:r>
      <w:r w:rsidRPr="000A0A5F">
        <w:rPr>
          <w:rFonts w:hint="eastAsia"/>
          <w:lang w:eastAsia="zh-CN"/>
        </w:rPr>
        <w:t>:</w:t>
      </w:r>
      <w:r w:rsidRPr="000A0A5F">
        <w:rPr>
          <w:lang w:eastAsia="zh-CN"/>
        </w:rPr>
        <w:tab/>
        <w:t>W</w:t>
      </w:r>
      <w:r w:rsidRPr="000A0A5F">
        <w:t>hen the PUT for "Individual PFD Management Transaction" is received in the SCEF, SCEF can use partial update or full update towards the PFDF.</w:t>
      </w:r>
    </w:p>
    <w:p w:rsidR="00491D21" w:rsidRPr="000A0A5F" w:rsidRDefault="00491D21" w:rsidP="00491D21">
      <w:pPr>
        <w:tabs>
          <w:tab w:val="left" w:pos="3247"/>
        </w:tabs>
        <w:rPr>
          <w:lang w:val="en-US" w:eastAsia="zh-CN"/>
        </w:rPr>
      </w:pPr>
      <w:r w:rsidRPr="000A0A5F">
        <w:rPr>
          <w:lang w:eastAsia="zh-CN"/>
        </w:rPr>
        <w:t xml:space="preserve">If the "PatchUpdate" feature defined in clause 5.11.4 is supported, in order to partially modify an existing </w:t>
      </w:r>
      <w:r w:rsidRPr="000A0A5F">
        <w:t>PFD Management Transaction</w:t>
      </w:r>
      <w:r w:rsidRPr="000A0A5F">
        <w:rPr>
          <w:lang w:eastAsia="zh-CN"/>
        </w:rPr>
        <w:t>, t</w:t>
      </w:r>
      <w:r w:rsidRPr="000A0A5F">
        <w:rPr>
          <w:rFonts w:hint="eastAsia"/>
          <w:lang w:eastAsia="zh-CN"/>
        </w:rPr>
        <w:t xml:space="preserve">he SCS/AS shall send an HTTP </w:t>
      </w:r>
      <w:r w:rsidRPr="000A0A5F">
        <w:rPr>
          <w:lang w:eastAsia="zh-CN"/>
        </w:rPr>
        <w:t>PATCH request message to the SCEF on the "</w:t>
      </w:r>
      <w:r w:rsidRPr="000A0A5F">
        <w:t>Individual PFD Management Transaction</w:t>
      </w:r>
      <w:r w:rsidRPr="000A0A5F">
        <w:rPr>
          <w:lang w:eastAsia="zh-CN"/>
        </w:rPr>
        <w:t xml:space="preserve">" resource, using the URI received in the response to the request that has created the concerned </w:t>
      </w:r>
      <w:r w:rsidRPr="000A0A5F">
        <w:t>PFD Management Transaction</w:t>
      </w:r>
      <w:r w:rsidRPr="000A0A5F">
        <w:rPr>
          <w:lang w:eastAsia="zh-CN"/>
        </w:rPr>
        <w:t xml:space="preserve"> resource.</w:t>
      </w:r>
      <w:r w:rsidRPr="000A0A5F">
        <w:rPr>
          <w:rFonts w:hint="eastAsia"/>
          <w:lang w:eastAsia="zh-CN"/>
        </w:rPr>
        <w:t xml:space="preserve"> </w:t>
      </w:r>
      <w:r w:rsidRPr="000A0A5F">
        <w:rPr>
          <w:lang w:eastAsia="zh-CN"/>
        </w:rPr>
        <w:t xml:space="preserve">The request body shall contain the </w:t>
      </w:r>
      <w:r w:rsidRPr="000A0A5F">
        <w:rPr>
          <w:rFonts w:hint="eastAsia"/>
          <w:lang w:eastAsia="zh-CN"/>
        </w:rPr>
        <w:t>PfdManagement</w:t>
      </w:r>
      <w:r w:rsidRPr="000A0A5F">
        <w:rPr>
          <w:lang w:eastAsia="zh-CN"/>
        </w:rPr>
        <w:t>Patch data structure including only the attributes that shall be updated. After</w:t>
      </w:r>
      <w:r w:rsidRPr="000A0A5F">
        <w:rPr>
          <w:rFonts w:hint="eastAsia"/>
          <w:lang w:eastAsia="zh-CN"/>
        </w:rPr>
        <w:t xml:space="preserve"> </w:t>
      </w:r>
      <w:r w:rsidRPr="000A0A5F">
        <w:rPr>
          <w:lang w:eastAsia="zh-CN"/>
        </w:rPr>
        <w:t>receiv</w:t>
      </w:r>
      <w:r w:rsidRPr="000A0A5F">
        <w:rPr>
          <w:rFonts w:hint="eastAsia"/>
          <w:lang w:eastAsia="zh-CN"/>
        </w:rPr>
        <w:t xml:space="preserve">ing the HTTP </w:t>
      </w:r>
      <w:r w:rsidRPr="000A0A5F">
        <w:rPr>
          <w:lang w:eastAsia="zh-CN"/>
        </w:rPr>
        <w:t>PATCH</w:t>
      </w:r>
      <w:r w:rsidRPr="000A0A5F">
        <w:rPr>
          <w:rFonts w:hint="eastAsia"/>
          <w:lang w:eastAsia="zh-CN"/>
        </w:rPr>
        <w:t xml:space="preserve"> </w:t>
      </w:r>
      <w:r w:rsidRPr="000A0A5F">
        <w:rPr>
          <w:lang w:eastAsia="zh-CN"/>
        </w:rPr>
        <w:t>request</w:t>
      </w:r>
      <w:r w:rsidRPr="000A0A5F">
        <w:rPr>
          <w:rFonts w:hint="eastAsia"/>
          <w:lang w:eastAsia="zh-CN"/>
        </w:rPr>
        <w:t xml:space="preserve">, the SCEF shall </w:t>
      </w:r>
      <w:r w:rsidRPr="000A0A5F">
        <w:rPr>
          <w:lang w:eastAsia="zh-CN"/>
        </w:rPr>
        <w:t>apply</w:t>
      </w:r>
      <w:r w:rsidRPr="000A0A5F">
        <w:rPr>
          <w:rFonts w:hint="eastAsia"/>
          <w:lang w:eastAsia="zh-CN"/>
        </w:rPr>
        <w:t xml:space="preserve"> the </w:t>
      </w:r>
      <w:r w:rsidRPr="000A0A5F">
        <w:rPr>
          <w:lang w:eastAsia="zh-CN"/>
        </w:rPr>
        <w:t>requested modifications</w:t>
      </w:r>
      <w:r w:rsidRPr="000A0A5F">
        <w:rPr>
          <w:rFonts w:hint="eastAsia"/>
          <w:lang w:eastAsia="zh-CN"/>
        </w:rPr>
        <w:t xml:space="preserve"> and </w:t>
      </w:r>
      <w:r w:rsidRPr="000A0A5F">
        <w:rPr>
          <w:lang w:eastAsia="zh-CN"/>
        </w:rPr>
        <w:t>interact with the concerned</w:t>
      </w:r>
      <w:r w:rsidRPr="000A0A5F">
        <w:rPr>
          <w:rFonts w:hint="eastAsia"/>
          <w:lang w:eastAsia="zh-CN"/>
        </w:rPr>
        <w:t xml:space="preserve"> PFDF </w:t>
      </w:r>
      <w:r w:rsidRPr="000A0A5F">
        <w:rPr>
          <w:lang w:eastAsia="zh-CN"/>
        </w:rPr>
        <w:t>to add/update/remove PFD(s)</w:t>
      </w:r>
      <w:r w:rsidRPr="000A0A5F">
        <w:rPr>
          <w:rFonts w:hint="eastAsia"/>
          <w:lang w:eastAsia="zh-CN"/>
        </w:rPr>
        <w:t xml:space="preserve"> as defined in 3GPP TS 29.</w:t>
      </w:r>
      <w:r w:rsidRPr="000A0A5F">
        <w:rPr>
          <w:lang w:eastAsia="zh-CN"/>
        </w:rPr>
        <w:t>250</w:t>
      </w:r>
      <w:r w:rsidRPr="000A0A5F">
        <w:rPr>
          <w:lang w:val="en-US" w:eastAsia="zh-CN"/>
        </w:rPr>
        <w:t> </w:t>
      </w:r>
      <w:r w:rsidRPr="000A0A5F">
        <w:rPr>
          <w:rFonts w:hint="eastAsia"/>
          <w:lang w:val="en-US" w:eastAsia="zh-CN"/>
        </w:rPr>
        <w:t>[</w:t>
      </w:r>
      <w:r w:rsidRPr="000A0A5F">
        <w:rPr>
          <w:lang w:val="en-US" w:eastAsia="zh-CN"/>
        </w:rPr>
        <w:t>26]</w:t>
      </w:r>
      <w:r w:rsidRPr="000A0A5F">
        <w:rPr>
          <w:rFonts w:hint="eastAsia"/>
          <w:lang w:val="en-US" w:eastAsia="zh-CN"/>
        </w:rPr>
        <w:t xml:space="preserve">. </w:t>
      </w:r>
      <w:r w:rsidRPr="000A0A5F">
        <w:rPr>
          <w:lang w:eastAsia="zh-CN"/>
        </w:rPr>
        <w:t>After</w:t>
      </w:r>
      <w:r w:rsidRPr="000A0A5F">
        <w:rPr>
          <w:rFonts w:hint="eastAsia"/>
          <w:lang w:eastAsia="zh-CN"/>
        </w:rPr>
        <w:t xml:space="preserve"> receiving the </w:t>
      </w:r>
      <w:r w:rsidRPr="000A0A5F">
        <w:rPr>
          <w:lang w:eastAsia="zh-CN"/>
        </w:rPr>
        <w:t>response</w:t>
      </w:r>
      <w:r w:rsidRPr="000A0A5F">
        <w:rPr>
          <w:rFonts w:hint="eastAsia"/>
          <w:lang w:eastAsia="zh-CN"/>
        </w:rPr>
        <w:t xml:space="preserve"> </w:t>
      </w:r>
      <w:r w:rsidRPr="000A0A5F">
        <w:rPr>
          <w:lang w:eastAsia="zh-CN"/>
        </w:rPr>
        <w:t>of the</w:t>
      </w:r>
      <w:r w:rsidRPr="000A0A5F">
        <w:rPr>
          <w:rFonts w:hint="eastAsia"/>
          <w:lang w:eastAsia="zh-CN"/>
        </w:rPr>
        <w:t xml:space="preserve"> PF</w:t>
      </w:r>
      <w:r w:rsidRPr="000A0A5F">
        <w:rPr>
          <w:lang w:eastAsia="zh-CN"/>
        </w:rPr>
        <w:t>DF</w:t>
      </w:r>
      <w:r w:rsidRPr="000A0A5F">
        <w:rPr>
          <w:rFonts w:hint="eastAsia"/>
          <w:lang w:eastAsia="zh-CN"/>
        </w:rPr>
        <w:t>, the SCEF shall send an HTTP response to the SCS/AS</w:t>
      </w:r>
      <w:r w:rsidRPr="000A0A5F">
        <w:rPr>
          <w:noProof/>
          <w:lang w:eastAsia="zh-CN"/>
        </w:rPr>
        <w:t xml:space="preserve"> with a </w:t>
      </w:r>
      <w:r w:rsidRPr="000A0A5F">
        <w:rPr>
          <w:rFonts w:hint="eastAsia"/>
          <w:lang w:eastAsia="zh-CN"/>
        </w:rPr>
        <w:t xml:space="preserve">corresponding </w:t>
      </w:r>
      <w:r w:rsidRPr="000A0A5F">
        <w:rPr>
          <w:lang w:eastAsia="zh-CN"/>
        </w:rPr>
        <w:t>s</w:t>
      </w:r>
      <w:r w:rsidRPr="000A0A5F">
        <w:rPr>
          <w:noProof/>
          <w:lang w:eastAsia="zh-CN"/>
        </w:rPr>
        <w:t xml:space="preserve">tatus code. The SCEF shall then create or update </w:t>
      </w:r>
      <w:r w:rsidRPr="000A0A5F">
        <w:rPr>
          <w:lang w:eastAsia="zh-CN"/>
        </w:rPr>
        <w:t xml:space="preserve">the corresponding </w:t>
      </w:r>
      <w:r w:rsidRPr="000A0A5F">
        <w:t>"Individual Application PFD Management"</w:t>
      </w:r>
      <w:r w:rsidRPr="000A0A5F">
        <w:rPr>
          <w:lang w:eastAsia="zh-CN"/>
        </w:rPr>
        <w:t xml:space="preserve"> sub-resource(s), with </w:t>
      </w:r>
      <w:r w:rsidRPr="000A0A5F">
        <w:t>each represents a successfully provisioned</w:t>
      </w:r>
      <w:r w:rsidRPr="000A0A5F">
        <w:rPr>
          <w:noProof/>
          <w:lang w:eastAsia="zh-CN"/>
        </w:rPr>
        <w:t xml:space="preserve"> external application identifier. If some application(s) are not provisioned successfully (i.e. the PFDF returns a failure and/or the SCEF does not accept the PFD provisioning (e.g. </w:t>
      </w:r>
      <w:r w:rsidRPr="000A0A5F">
        <w:t>one or more external Application Identifiers in the request are already present in existing transactions</w:t>
      </w:r>
      <w:r w:rsidRPr="000A0A5F">
        <w:rPr>
          <w:noProof/>
          <w:lang w:eastAsia="zh-CN"/>
        </w:rPr>
        <w:t>)), the SCEF shall also include PFD report(s) containing a list of external Application Identifier(s) and result(s) in the body of the HTTP response.</w:t>
      </w:r>
    </w:p>
    <w:p w:rsidR="00CB0DD7" w:rsidRPr="000A0A5F" w:rsidRDefault="00CB0DD7">
      <w:pPr>
        <w:tabs>
          <w:tab w:val="left" w:pos="3247"/>
        </w:tabs>
        <w:rPr>
          <w:noProof/>
          <w:lang w:eastAsia="zh-CN"/>
        </w:rPr>
      </w:pPr>
      <w:r w:rsidRPr="000A0A5F">
        <w:rPr>
          <w:lang w:eastAsia="zh-CN"/>
        </w:rPr>
        <w:t xml:space="preserve">In order to remove the PFDs for an existing individual transaction, </w:t>
      </w:r>
      <w:r w:rsidRPr="000A0A5F">
        <w:rPr>
          <w:noProof/>
          <w:lang w:eastAsia="zh-CN"/>
        </w:rPr>
        <w:t xml:space="preserve">the SCS/AS shall send an HTTP DELETE message </w:t>
      </w:r>
      <w:r w:rsidRPr="000A0A5F">
        <w:rPr>
          <w:lang w:eastAsia="zh-CN"/>
        </w:rPr>
        <w:t xml:space="preserve">to the URI of the resource </w:t>
      </w:r>
      <w:r w:rsidRPr="000A0A5F">
        <w:t>"Individual PFD Management Transaction"</w:t>
      </w:r>
      <w:r w:rsidRPr="000A0A5F">
        <w:rPr>
          <w:noProof/>
          <w:lang w:eastAsia="zh-CN"/>
        </w:rPr>
        <w:t xml:space="preserve">. After receiving such request, the SCEF shall delete the </w:t>
      </w:r>
      <w:r w:rsidRPr="000A0A5F">
        <w:t>"Individual PFD Management Transaction"</w:t>
      </w:r>
      <w:r w:rsidRPr="000A0A5F">
        <w:rPr>
          <w:noProof/>
          <w:lang w:eastAsia="zh-CN"/>
        </w:rPr>
        <w:t xml:space="preserve"> resource and its </w:t>
      </w:r>
      <w:r w:rsidRPr="000A0A5F">
        <w:t>"Individual Application PFD Management"</w:t>
      </w:r>
      <w:r w:rsidRPr="000A0A5F">
        <w:rPr>
          <w:lang w:eastAsia="zh-CN"/>
        </w:rPr>
        <w:t xml:space="preserve"> </w:t>
      </w:r>
      <w:r w:rsidRPr="000A0A5F">
        <w:rPr>
          <w:noProof/>
          <w:lang w:eastAsia="zh-CN"/>
        </w:rPr>
        <w:t xml:space="preserve">sub-resouce(s), and shall interact with </w:t>
      </w:r>
      <w:r w:rsidRPr="000A0A5F">
        <w:rPr>
          <w:rFonts w:hint="eastAsia"/>
          <w:lang w:eastAsia="zh-CN"/>
        </w:rPr>
        <w:t xml:space="preserve">the PFDF </w:t>
      </w:r>
      <w:r w:rsidRPr="000A0A5F">
        <w:rPr>
          <w:lang w:eastAsia="zh-CN"/>
        </w:rPr>
        <w:t>as defined</w:t>
      </w:r>
      <w:r w:rsidRPr="000A0A5F">
        <w:rPr>
          <w:rFonts w:hint="eastAsia"/>
          <w:lang w:eastAsia="zh-CN"/>
        </w:rPr>
        <w:t xml:space="preserve"> in 3GPP TS 29.</w:t>
      </w:r>
      <w:r w:rsidRPr="000A0A5F">
        <w:rPr>
          <w:lang w:eastAsia="zh-CN"/>
        </w:rPr>
        <w:t>250</w:t>
      </w:r>
      <w:r w:rsidRPr="000A0A5F">
        <w:rPr>
          <w:lang w:val="en-US" w:eastAsia="zh-CN"/>
        </w:rPr>
        <w:t> </w:t>
      </w:r>
      <w:r w:rsidRPr="000A0A5F">
        <w:rPr>
          <w:rFonts w:hint="eastAsia"/>
          <w:lang w:val="en-US" w:eastAsia="zh-CN"/>
        </w:rPr>
        <w:t>[</w:t>
      </w:r>
      <w:r w:rsidRPr="000A0A5F">
        <w:rPr>
          <w:lang w:val="en-US" w:eastAsia="zh-CN"/>
        </w:rPr>
        <w:t>26]</w:t>
      </w:r>
      <w:r w:rsidRPr="000A0A5F">
        <w:rPr>
          <w:rFonts w:hint="eastAsia"/>
          <w:lang w:val="en-US" w:eastAsia="zh-CN"/>
        </w:rPr>
        <w:t xml:space="preserve">. </w:t>
      </w:r>
      <w:r w:rsidRPr="000A0A5F">
        <w:rPr>
          <w:lang w:eastAsia="zh-CN"/>
        </w:rPr>
        <w:t>After</w:t>
      </w:r>
      <w:r w:rsidRPr="000A0A5F">
        <w:rPr>
          <w:rFonts w:hint="eastAsia"/>
          <w:lang w:eastAsia="zh-CN"/>
        </w:rPr>
        <w:t xml:space="preserve"> receiving the response </w:t>
      </w:r>
      <w:r w:rsidRPr="000A0A5F">
        <w:rPr>
          <w:lang w:eastAsia="zh-CN"/>
        </w:rPr>
        <w:t>from the</w:t>
      </w:r>
      <w:r w:rsidRPr="000A0A5F">
        <w:rPr>
          <w:rFonts w:hint="eastAsia"/>
          <w:lang w:eastAsia="zh-CN"/>
        </w:rPr>
        <w:t xml:space="preserve"> PFDF, the SCEF shall send an HTTP response to the SCS/AS</w:t>
      </w:r>
      <w:r w:rsidRPr="000A0A5F">
        <w:rPr>
          <w:noProof/>
          <w:lang w:eastAsia="zh-CN"/>
        </w:rPr>
        <w:t xml:space="preserve"> with a </w:t>
      </w:r>
      <w:r w:rsidRPr="000A0A5F">
        <w:rPr>
          <w:rFonts w:hint="eastAsia"/>
          <w:lang w:eastAsia="zh-CN"/>
        </w:rPr>
        <w:t xml:space="preserve">corresponding </w:t>
      </w:r>
      <w:r w:rsidRPr="000A0A5F">
        <w:rPr>
          <w:lang w:eastAsia="zh-CN"/>
        </w:rPr>
        <w:t>s</w:t>
      </w:r>
      <w:r w:rsidRPr="000A0A5F">
        <w:rPr>
          <w:noProof/>
          <w:lang w:eastAsia="zh-CN"/>
        </w:rPr>
        <w:t>tatus code.</w:t>
      </w:r>
    </w:p>
    <w:p w:rsidR="00CB0DD7" w:rsidRPr="000A0A5F" w:rsidRDefault="00CB0DD7">
      <w:pPr>
        <w:rPr>
          <w:rFonts w:hint="eastAsia"/>
        </w:rPr>
      </w:pPr>
      <w:r w:rsidRPr="000A0A5F">
        <w:t>For the POST message to the resource "</w:t>
      </w:r>
      <w:r w:rsidRPr="000A0A5F">
        <w:rPr>
          <w:rFonts w:hint="eastAsia"/>
          <w:lang w:eastAsia="zh-CN"/>
        </w:rPr>
        <w:t xml:space="preserve">PFD Management </w:t>
      </w:r>
      <w:r w:rsidRPr="000A0A5F">
        <w:t>Transactions" or the PUT message to the resource "</w:t>
      </w:r>
      <w:r w:rsidRPr="000A0A5F">
        <w:rPr>
          <w:lang w:eastAsia="zh-CN"/>
        </w:rPr>
        <w:t xml:space="preserve">Individual </w:t>
      </w:r>
      <w:r w:rsidRPr="000A0A5F">
        <w:rPr>
          <w:rFonts w:hint="eastAsia"/>
          <w:lang w:eastAsia="zh-CN"/>
        </w:rPr>
        <w:t xml:space="preserve">PFD Management </w:t>
      </w:r>
      <w:r w:rsidRPr="000A0A5F">
        <w:t>Transaction"</w:t>
      </w:r>
      <w:r w:rsidRPr="000A0A5F">
        <w:rPr>
          <w:lang w:eastAsia="zh-CN"/>
        </w:rPr>
        <w:t xml:space="preserve">, </w:t>
      </w:r>
      <w:r w:rsidRPr="000A0A5F">
        <w:t>if the provisioning of all application(s) fails (i.e. the PFDF returns failure and/or the SCEF does not accept the PFD provisioning), the SCEF shall respond with 500 Internal Server Error status code, and include the attribute "pfdReports" with the corresponding failure reason as specified in table 5.11.2.2.3-1 and the external Application Identifier(s) for which the provisioning has failed.</w:t>
      </w:r>
    </w:p>
    <w:p w:rsidR="00CB0DD7" w:rsidRPr="000A0A5F" w:rsidRDefault="00CB0DD7">
      <w:pPr>
        <w:tabs>
          <w:tab w:val="left" w:pos="3247"/>
        </w:tabs>
        <w:rPr>
          <w:noProof/>
          <w:lang w:eastAsia="zh-CN"/>
        </w:rPr>
      </w:pPr>
      <w:r w:rsidRPr="000A0A5F">
        <w:rPr>
          <w:lang w:eastAsia="zh-CN"/>
        </w:rPr>
        <w:t>In order to update the PFDs for an existing external Application Identifier, t</w:t>
      </w:r>
      <w:r w:rsidRPr="000A0A5F">
        <w:rPr>
          <w:rFonts w:hint="eastAsia"/>
          <w:lang w:eastAsia="zh-CN"/>
        </w:rPr>
        <w:t xml:space="preserve">he SCS/AS </w:t>
      </w:r>
      <w:r w:rsidRPr="000A0A5F">
        <w:rPr>
          <w:lang w:eastAsia="zh-CN"/>
        </w:rPr>
        <w:t>shall</w:t>
      </w:r>
      <w:r w:rsidRPr="000A0A5F">
        <w:rPr>
          <w:rFonts w:hint="eastAsia"/>
          <w:lang w:eastAsia="zh-CN"/>
        </w:rPr>
        <w:t xml:space="preserve"> send an HTTP P</w:t>
      </w:r>
      <w:r w:rsidRPr="000A0A5F">
        <w:rPr>
          <w:lang w:eastAsia="zh-CN"/>
        </w:rPr>
        <w:t>U</w:t>
      </w:r>
      <w:r w:rsidRPr="000A0A5F">
        <w:rPr>
          <w:rFonts w:hint="eastAsia"/>
          <w:lang w:eastAsia="zh-CN"/>
        </w:rPr>
        <w:t xml:space="preserve">T </w:t>
      </w:r>
      <w:r w:rsidRPr="000A0A5F">
        <w:rPr>
          <w:lang w:eastAsia="zh-CN"/>
        </w:rPr>
        <w:t xml:space="preserve">message to the resource </w:t>
      </w:r>
      <w:r w:rsidRPr="000A0A5F">
        <w:t xml:space="preserve">"Individual Application PFD Management" </w:t>
      </w:r>
      <w:r w:rsidRPr="000A0A5F">
        <w:rPr>
          <w:rFonts w:hint="eastAsia"/>
          <w:lang w:eastAsia="zh-CN"/>
        </w:rPr>
        <w:t>to</w:t>
      </w:r>
      <w:r w:rsidRPr="000A0A5F">
        <w:rPr>
          <w:lang w:eastAsia="zh-CN"/>
        </w:rPr>
        <w:t xml:space="preserve"> update the full set of PFDs of an existing resource.</w:t>
      </w:r>
      <w:r w:rsidRPr="000A0A5F">
        <w:rPr>
          <w:rFonts w:hint="eastAsia"/>
          <w:lang w:eastAsia="zh-CN"/>
        </w:rPr>
        <w:t xml:space="preserve"> </w:t>
      </w:r>
      <w:r w:rsidRPr="000A0A5F">
        <w:rPr>
          <w:lang w:eastAsia="zh-CN"/>
        </w:rPr>
        <w:t>After</w:t>
      </w:r>
      <w:r w:rsidRPr="000A0A5F">
        <w:rPr>
          <w:rFonts w:hint="eastAsia"/>
          <w:lang w:eastAsia="zh-CN"/>
        </w:rPr>
        <w:t xml:space="preserve"> </w:t>
      </w:r>
      <w:r w:rsidRPr="000A0A5F">
        <w:rPr>
          <w:lang w:eastAsia="zh-CN"/>
        </w:rPr>
        <w:t>receiv</w:t>
      </w:r>
      <w:r w:rsidRPr="000A0A5F">
        <w:rPr>
          <w:rFonts w:hint="eastAsia"/>
          <w:lang w:eastAsia="zh-CN"/>
        </w:rPr>
        <w:t>ing the HTTP P</w:t>
      </w:r>
      <w:r w:rsidRPr="000A0A5F">
        <w:rPr>
          <w:lang w:eastAsia="zh-CN"/>
        </w:rPr>
        <w:t>U</w:t>
      </w:r>
      <w:r w:rsidRPr="000A0A5F">
        <w:rPr>
          <w:rFonts w:hint="eastAsia"/>
          <w:lang w:eastAsia="zh-CN"/>
        </w:rPr>
        <w:t xml:space="preserve">T message, the SCEF shall make the change and send the change to the PFDF </w:t>
      </w:r>
      <w:r w:rsidRPr="000A0A5F">
        <w:rPr>
          <w:lang w:eastAsia="zh-CN"/>
        </w:rPr>
        <w:t>(</w:t>
      </w:r>
      <w:r w:rsidRPr="000A0A5F">
        <w:rPr>
          <w:rFonts w:hint="eastAsia"/>
          <w:lang w:eastAsia="zh-CN"/>
        </w:rPr>
        <w:t>i.e</w:t>
      </w:r>
      <w:r w:rsidRPr="000A0A5F">
        <w:rPr>
          <w:lang w:eastAsia="zh-CN"/>
        </w:rPr>
        <w:t>. add/update/remove PFDs)</w:t>
      </w:r>
      <w:r w:rsidRPr="000A0A5F">
        <w:rPr>
          <w:rFonts w:hint="eastAsia"/>
          <w:lang w:eastAsia="zh-CN"/>
        </w:rPr>
        <w:t xml:space="preserve"> as defined in 3GPP TS 29.</w:t>
      </w:r>
      <w:r w:rsidRPr="000A0A5F">
        <w:rPr>
          <w:lang w:eastAsia="zh-CN"/>
        </w:rPr>
        <w:t>250</w:t>
      </w:r>
      <w:r w:rsidRPr="000A0A5F">
        <w:rPr>
          <w:lang w:val="en-US" w:eastAsia="zh-CN"/>
        </w:rPr>
        <w:t> </w:t>
      </w:r>
      <w:r w:rsidRPr="000A0A5F">
        <w:rPr>
          <w:rFonts w:hint="eastAsia"/>
          <w:lang w:val="en-US" w:eastAsia="zh-CN"/>
        </w:rPr>
        <w:t>[</w:t>
      </w:r>
      <w:r w:rsidRPr="000A0A5F">
        <w:rPr>
          <w:lang w:val="en-US" w:eastAsia="zh-CN"/>
        </w:rPr>
        <w:t>26]</w:t>
      </w:r>
      <w:r w:rsidRPr="000A0A5F">
        <w:rPr>
          <w:rFonts w:hint="eastAsia"/>
          <w:lang w:val="en-US" w:eastAsia="zh-CN"/>
        </w:rPr>
        <w:t xml:space="preserve">. </w:t>
      </w:r>
      <w:r w:rsidRPr="000A0A5F">
        <w:rPr>
          <w:lang w:eastAsia="zh-CN"/>
        </w:rPr>
        <w:t>After</w:t>
      </w:r>
      <w:r w:rsidRPr="000A0A5F">
        <w:rPr>
          <w:rFonts w:hint="eastAsia"/>
          <w:lang w:eastAsia="zh-CN"/>
        </w:rPr>
        <w:t xml:space="preserve"> receiving the response </w:t>
      </w:r>
      <w:r w:rsidRPr="000A0A5F">
        <w:rPr>
          <w:lang w:eastAsia="zh-CN"/>
        </w:rPr>
        <w:t>from the</w:t>
      </w:r>
      <w:r w:rsidRPr="000A0A5F">
        <w:rPr>
          <w:rFonts w:hint="eastAsia"/>
          <w:lang w:eastAsia="zh-CN"/>
        </w:rPr>
        <w:t xml:space="preserve"> PF</w:t>
      </w:r>
      <w:r w:rsidRPr="000A0A5F">
        <w:rPr>
          <w:lang w:eastAsia="zh-CN"/>
        </w:rPr>
        <w:t>DF</w:t>
      </w:r>
      <w:r w:rsidRPr="000A0A5F">
        <w:rPr>
          <w:rFonts w:hint="eastAsia"/>
          <w:lang w:eastAsia="zh-CN"/>
        </w:rPr>
        <w:t>, the SCEF shall send an HTTP response to the SCS/AS</w:t>
      </w:r>
      <w:r w:rsidRPr="000A0A5F">
        <w:rPr>
          <w:noProof/>
          <w:lang w:eastAsia="zh-CN"/>
        </w:rPr>
        <w:t xml:space="preserve"> with a </w:t>
      </w:r>
      <w:r w:rsidRPr="000A0A5F">
        <w:rPr>
          <w:rFonts w:hint="eastAsia"/>
          <w:lang w:eastAsia="zh-CN"/>
        </w:rPr>
        <w:t xml:space="preserve">corresponding </w:t>
      </w:r>
      <w:r w:rsidRPr="000A0A5F">
        <w:rPr>
          <w:lang w:eastAsia="zh-CN"/>
        </w:rPr>
        <w:t>s</w:t>
      </w:r>
      <w:r w:rsidRPr="000A0A5F">
        <w:rPr>
          <w:noProof/>
          <w:lang w:eastAsia="zh-CN"/>
        </w:rPr>
        <w:t>tatus code.</w:t>
      </w:r>
    </w:p>
    <w:p w:rsidR="00CB0DD7" w:rsidRPr="000A0A5F" w:rsidRDefault="00CB0DD7">
      <w:pPr>
        <w:pStyle w:val="NO"/>
        <w:rPr>
          <w:rFonts w:hint="eastAsia"/>
          <w:noProof/>
          <w:lang w:eastAsia="zh-CN"/>
        </w:rPr>
      </w:pPr>
      <w:r w:rsidRPr="000A0A5F">
        <w:rPr>
          <w:rFonts w:hint="eastAsia"/>
          <w:lang w:eastAsia="zh-CN"/>
        </w:rPr>
        <w:t>NOTE</w:t>
      </w:r>
      <w:r w:rsidRPr="000A0A5F">
        <w:rPr>
          <w:lang w:val="en-US" w:eastAsia="zh-CN"/>
        </w:rPr>
        <w:t> 2</w:t>
      </w:r>
      <w:r w:rsidRPr="000A0A5F">
        <w:rPr>
          <w:rFonts w:hint="eastAsia"/>
          <w:lang w:eastAsia="zh-CN"/>
        </w:rPr>
        <w:t>:</w:t>
      </w:r>
      <w:r w:rsidRPr="000A0A5F">
        <w:rPr>
          <w:lang w:eastAsia="zh-CN"/>
        </w:rPr>
        <w:tab/>
        <w:t>W</w:t>
      </w:r>
      <w:r w:rsidRPr="000A0A5F">
        <w:t>hen the PUT for "Individual Application PFD Management" is received in the SCEF, SCEF can use partial update or full update towards the PFDF.</w:t>
      </w:r>
    </w:p>
    <w:p w:rsidR="00CB0DD7" w:rsidRPr="000A0A5F" w:rsidRDefault="00CB0DD7">
      <w:pPr>
        <w:tabs>
          <w:tab w:val="left" w:pos="3247"/>
        </w:tabs>
        <w:rPr>
          <w:rFonts w:hint="eastAsia"/>
          <w:noProof/>
          <w:lang w:eastAsia="zh-CN"/>
        </w:rPr>
      </w:pPr>
      <w:r w:rsidRPr="000A0A5F">
        <w:rPr>
          <w:lang w:eastAsia="zh-CN"/>
        </w:rPr>
        <w:t>In order to update the PFDs for an existing external Application Identifier, t</w:t>
      </w:r>
      <w:r w:rsidRPr="000A0A5F">
        <w:rPr>
          <w:rFonts w:hint="eastAsia"/>
          <w:lang w:eastAsia="zh-CN"/>
        </w:rPr>
        <w:t xml:space="preserve">he SCS/AS </w:t>
      </w:r>
      <w:r w:rsidRPr="000A0A5F">
        <w:rPr>
          <w:lang w:eastAsia="zh-CN"/>
        </w:rPr>
        <w:t>may also</w:t>
      </w:r>
      <w:r w:rsidRPr="000A0A5F">
        <w:rPr>
          <w:rFonts w:hint="eastAsia"/>
          <w:lang w:eastAsia="zh-CN"/>
        </w:rPr>
        <w:t xml:space="preserve"> send an HTTP P</w:t>
      </w:r>
      <w:r w:rsidRPr="000A0A5F">
        <w:rPr>
          <w:lang w:eastAsia="zh-CN"/>
        </w:rPr>
        <w:t>ATCH</w:t>
      </w:r>
      <w:r w:rsidRPr="000A0A5F">
        <w:rPr>
          <w:rFonts w:hint="eastAsia"/>
          <w:lang w:eastAsia="zh-CN"/>
        </w:rPr>
        <w:t xml:space="preserve"> </w:t>
      </w:r>
      <w:r w:rsidRPr="000A0A5F">
        <w:rPr>
          <w:lang w:eastAsia="zh-CN"/>
        </w:rPr>
        <w:t xml:space="preserve">message to URI of the resource </w:t>
      </w:r>
      <w:r w:rsidRPr="000A0A5F">
        <w:t xml:space="preserve">"Individual Application PFD Management" </w:t>
      </w:r>
      <w:r w:rsidRPr="000A0A5F">
        <w:rPr>
          <w:noProof/>
          <w:lang w:eastAsia="zh-CN"/>
        </w:rPr>
        <w:t>to partially update PFDs</w:t>
      </w:r>
      <w:r w:rsidRPr="000A0A5F">
        <w:rPr>
          <w:lang w:eastAsia="zh-CN"/>
        </w:rPr>
        <w:t>.</w:t>
      </w:r>
      <w:r w:rsidRPr="000A0A5F">
        <w:rPr>
          <w:rFonts w:hint="eastAsia"/>
          <w:lang w:eastAsia="zh-CN"/>
        </w:rPr>
        <w:t xml:space="preserve"> </w:t>
      </w:r>
      <w:r w:rsidRPr="000A0A5F">
        <w:rPr>
          <w:lang w:eastAsia="zh-CN"/>
        </w:rPr>
        <w:t>After</w:t>
      </w:r>
      <w:r w:rsidRPr="000A0A5F">
        <w:rPr>
          <w:rFonts w:hint="eastAsia"/>
          <w:lang w:eastAsia="zh-CN"/>
        </w:rPr>
        <w:t xml:space="preserve"> </w:t>
      </w:r>
      <w:r w:rsidRPr="000A0A5F">
        <w:rPr>
          <w:lang w:eastAsia="zh-CN"/>
        </w:rPr>
        <w:t>receiv</w:t>
      </w:r>
      <w:r w:rsidRPr="000A0A5F">
        <w:rPr>
          <w:rFonts w:hint="eastAsia"/>
          <w:lang w:eastAsia="zh-CN"/>
        </w:rPr>
        <w:t>ing the HTTP P</w:t>
      </w:r>
      <w:r w:rsidRPr="000A0A5F">
        <w:rPr>
          <w:lang w:eastAsia="zh-CN"/>
        </w:rPr>
        <w:t>ATCH</w:t>
      </w:r>
      <w:r w:rsidRPr="000A0A5F">
        <w:rPr>
          <w:rFonts w:hint="eastAsia"/>
          <w:lang w:eastAsia="zh-CN"/>
        </w:rPr>
        <w:t xml:space="preserve"> message,</w:t>
      </w:r>
      <w:r w:rsidRPr="000A0A5F">
        <w:rPr>
          <w:lang w:eastAsia="zh-CN"/>
        </w:rPr>
        <w:t xml:space="preserve"> </w:t>
      </w:r>
      <w:r w:rsidRPr="000A0A5F">
        <w:rPr>
          <w:rFonts w:hint="eastAsia"/>
          <w:lang w:eastAsia="zh-CN"/>
        </w:rPr>
        <w:t xml:space="preserve">the SCEF shall make the change and send the change to the PFDF </w:t>
      </w:r>
      <w:r w:rsidRPr="000A0A5F">
        <w:rPr>
          <w:lang w:eastAsia="zh-CN"/>
        </w:rPr>
        <w:t>(</w:t>
      </w:r>
      <w:r w:rsidRPr="000A0A5F">
        <w:rPr>
          <w:rFonts w:hint="eastAsia"/>
          <w:lang w:eastAsia="zh-CN"/>
        </w:rPr>
        <w:t>i.e</w:t>
      </w:r>
      <w:r w:rsidRPr="000A0A5F">
        <w:rPr>
          <w:lang w:eastAsia="zh-CN"/>
        </w:rPr>
        <w:t>. add/update/remove PFDs)</w:t>
      </w:r>
      <w:r w:rsidRPr="000A0A5F">
        <w:rPr>
          <w:rFonts w:hint="eastAsia"/>
          <w:lang w:eastAsia="zh-CN"/>
        </w:rPr>
        <w:t xml:space="preserve"> as defined in 3GPP TS 29.</w:t>
      </w:r>
      <w:r w:rsidRPr="000A0A5F">
        <w:rPr>
          <w:lang w:eastAsia="zh-CN"/>
        </w:rPr>
        <w:t>250</w:t>
      </w:r>
      <w:r w:rsidRPr="000A0A5F">
        <w:rPr>
          <w:lang w:val="en-US" w:eastAsia="zh-CN"/>
        </w:rPr>
        <w:t> </w:t>
      </w:r>
      <w:r w:rsidRPr="000A0A5F">
        <w:rPr>
          <w:rFonts w:hint="eastAsia"/>
          <w:lang w:val="en-US" w:eastAsia="zh-CN"/>
        </w:rPr>
        <w:t>[</w:t>
      </w:r>
      <w:r w:rsidRPr="000A0A5F">
        <w:rPr>
          <w:lang w:val="en-US" w:eastAsia="zh-CN"/>
        </w:rPr>
        <w:t>26]</w:t>
      </w:r>
      <w:r w:rsidRPr="000A0A5F">
        <w:rPr>
          <w:rFonts w:hint="eastAsia"/>
          <w:lang w:val="en-US" w:eastAsia="zh-CN"/>
        </w:rPr>
        <w:t xml:space="preserve">. </w:t>
      </w:r>
      <w:r w:rsidRPr="000A0A5F">
        <w:rPr>
          <w:lang w:eastAsia="zh-CN"/>
        </w:rPr>
        <w:t>After</w:t>
      </w:r>
      <w:r w:rsidRPr="000A0A5F">
        <w:rPr>
          <w:rFonts w:hint="eastAsia"/>
          <w:lang w:eastAsia="zh-CN"/>
        </w:rPr>
        <w:t xml:space="preserve"> receiving the response </w:t>
      </w:r>
      <w:r w:rsidRPr="000A0A5F">
        <w:rPr>
          <w:lang w:eastAsia="zh-CN"/>
        </w:rPr>
        <w:t>from the</w:t>
      </w:r>
      <w:r w:rsidRPr="000A0A5F">
        <w:rPr>
          <w:rFonts w:hint="eastAsia"/>
          <w:lang w:eastAsia="zh-CN"/>
        </w:rPr>
        <w:t xml:space="preserve"> PF</w:t>
      </w:r>
      <w:r w:rsidRPr="000A0A5F">
        <w:rPr>
          <w:lang w:eastAsia="zh-CN"/>
        </w:rPr>
        <w:t>DF</w:t>
      </w:r>
      <w:r w:rsidRPr="000A0A5F">
        <w:rPr>
          <w:rFonts w:hint="eastAsia"/>
          <w:lang w:eastAsia="zh-CN"/>
        </w:rPr>
        <w:t>, the SCEF shall send an HTTP response to the SCS/AS</w:t>
      </w:r>
      <w:r w:rsidRPr="000A0A5F">
        <w:rPr>
          <w:noProof/>
          <w:lang w:eastAsia="zh-CN"/>
        </w:rPr>
        <w:t xml:space="preserve"> with a </w:t>
      </w:r>
      <w:r w:rsidRPr="000A0A5F">
        <w:rPr>
          <w:rFonts w:hint="eastAsia"/>
          <w:lang w:eastAsia="zh-CN"/>
        </w:rPr>
        <w:t xml:space="preserve">corresponding </w:t>
      </w:r>
      <w:r w:rsidRPr="000A0A5F">
        <w:rPr>
          <w:lang w:eastAsia="zh-CN"/>
        </w:rPr>
        <w:t>s</w:t>
      </w:r>
      <w:r w:rsidRPr="000A0A5F">
        <w:rPr>
          <w:noProof/>
          <w:lang w:eastAsia="zh-CN"/>
        </w:rPr>
        <w:t>tatus code.</w:t>
      </w:r>
    </w:p>
    <w:p w:rsidR="00CB0DD7" w:rsidRPr="000A0A5F" w:rsidRDefault="00CB0DD7">
      <w:pPr>
        <w:tabs>
          <w:tab w:val="left" w:pos="3247"/>
        </w:tabs>
        <w:rPr>
          <w:noProof/>
          <w:lang w:eastAsia="zh-CN"/>
        </w:rPr>
      </w:pPr>
      <w:r w:rsidRPr="000A0A5F">
        <w:rPr>
          <w:lang w:eastAsia="zh-CN"/>
        </w:rPr>
        <w:t>In order to remove the PFDs for an existing individual application,</w:t>
      </w:r>
      <w:r w:rsidRPr="000A0A5F">
        <w:rPr>
          <w:noProof/>
          <w:lang w:eastAsia="zh-CN"/>
        </w:rPr>
        <w:t xml:space="preserve"> the SCS/AS shall send an HTTP DELETE message </w:t>
      </w:r>
      <w:r w:rsidRPr="000A0A5F">
        <w:rPr>
          <w:lang w:eastAsia="zh-CN"/>
        </w:rPr>
        <w:t xml:space="preserve">to the resource </w:t>
      </w:r>
      <w:r w:rsidRPr="000A0A5F">
        <w:t>"Individual Application PFD Management"</w:t>
      </w:r>
      <w:r w:rsidRPr="000A0A5F">
        <w:rPr>
          <w:noProof/>
          <w:lang w:eastAsia="zh-CN"/>
        </w:rPr>
        <w:t xml:space="preserve">. After receiving such request, the SCEF shall delete the resource and interact with </w:t>
      </w:r>
      <w:r w:rsidRPr="000A0A5F">
        <w:rPr>
          <w:rFonts w:hint="eastAsia"/>
          <w:lang w:eastAsia="zh-CN"/>
        </w:rPr>
        <w:t xml:space="preserve">the PFDF </w:t>
      </w:r>
      <w:r w:rsidRPr="000A0A5F">
        <w:rPr>
          <w:lang w:eastAsia="zh-CN"/>
        </w:rPr>
        <w:t>as defined</w:t>
      </w:r>
      <w:r w:rsidRPr="000A0A5F">
        <w:rPr>
          <w:rFonts w:hint="eastAsia"/>
          <w:lang w:eastAsia="zh-CN"/>
        </w:rPr>
        <w:t xml:space="preserve"> in 3GPP TS 29.</w:t>
      </w:r>
      <w:r w:rsidRPr="000A0A5F">
        <w:rPr>
          <w:lang w:eastAsia="zh-CN"/>
        </w:rPr>
        <w:t>250</w:t>
      </w:r>
      <w:r w:rsidRPr="000A0A5F">
        <w:rPr>
          <w:lang w:val="en-US" w:eastAsia="zh-CN"/>
        </w:rPr>
        <w:t> </w:t>
      </w:r>
      <w:r w:rsidRPr="000A0A5F">
        <w:rPr>
          <w:rFonts w:hint="eastAsia"/>
          <w:lang w:val="en-US" w:eastAsia="zh-CN"/>
        </w:rPr>
        <w:t>[</w:t>
      </w:r>
      <w:r w:rsidRPr="000A0A5F">
        <w:rPr>
          <w:lang w:val="en-US" w:eastAsia="zh-CN"/>
        </w:rPr>
        <w:t>26]</w:t>
      </w:r>
      <w:r w:rsidRPr="000A0A5F">
        <w:rPr>
          <w:rFonts w:hint="eastAsia"/>
          <w:lang w:val="en-US" w:eastAsia="zh-CN"/>
        </w:rPr>
        <w:t xml:space="preserve">. </w:t>
      </w:r>
      <w:r w:rsidRPr="000A0A5F">
        <w:rPr>
          <w:lang w:eastAsia="zh-CN"/>
        </w:rPr>
        <w:t>After</w:t>
      </w:r>
      <w:r w:rsidRPr="000A0A5F">
        <w:rPr>
          <w:rFonts w:hint="eastAsia"/>
          <w:lang w:eastAsia="zh-CN"/>
        </w:rPr>
        <w:t xml:space="preserve"> receiving the response </w:t>
      </w:r>
      <w:r w:rsidRPr="000A0A5F">
        <w:rPr>
          <w:lang w:eastAsia="zh-CN"/>
        </w:rPr>
        <w:t>from the</w:t>
      </w:r>
      <w:r w:rsidRPr="000A0A5F">
        <w:rPr>
          <w:rFonts w:hint="eastAsia"/>
          <w:lang w:eastAsia="zh-CN"/>
        </w:rPr>
        <w:t xml:space="preserve"> PFDF, the SCEF shall send an HTTP response to the SCS/AS</w:t>
      </w:r>
      <w:r w:rsidRPr="000A0A5F">
        <w:rPr>
          <w:noProof/>
          <w:lang w:eastAsia="zh-CN"/>
        </w:rPr>
        <w:t xml:space="preserve"> with a </w:t>
      </w:r>
      <w:r w:rsidRPr="000A0A5F">
        <w:rPr>
          <w:rFonts w:hint="eastAsia"/>
          <w:lang w:eastAsia="zh-CN"/>
        </w:rPr>
        <w:t xml:space="preserve">corresponding </w:t>
      </w:r>
      <w:r w:rsidRPr="000A0A5F">
        <w:rPr>
          <w:lang w:eastAsia="zh-CN"/>
        </w:rPr>
        <w:t>s</w:t>
      </w:r>
      <w:r w:rsidRPr="000A0A5F">
        <w:rPr>
          <w:noProof/>
          <w:lang w:eastAsia="zh-CN"/>
        </w:rPr>
        <w:t>tatus code.</w:t>
      </w:r>
    </w:p>
    <w:p w:rsidR="00CB0DD7" w:rsidRPr="000A0A5F" w:rsidRDefault="00CB0DD7">
      <w:r w:rsidRPr="000A0A5F">
        <w:t xml:space="preserve">For </w:t>
      </w:r>
      <w:r w:rsidRPr="000A0A5F">
        <w:rPr>
          <w:lang w:eastAsia="zh-CN"/>
        </w:rPr>
        <w:t>the</w:t>
      </w:r>
      <w:r w:rsidRPr="000A0A5F">
        <w:t xml:space="preserve"> PUT/PATCH message to the resource "Individual Application PFD Management", if the provisioning of the application fails (i.e. the PFDF returns failure or the SCEF does not accept the PFD provisioning), the SCEF shall reject the request with a corresponding status code, and include the attribute "pfdReports" with the corresponding failure code as specified in table 5.11.2.2.3-1 and the external Application Identifier for which the provisioning has failed.</w:t>
      </w:r>
    </w:p>
    <w:p w:rsidR="00CB0DD7" w:rsidRPr="000A0A5F" w:rsidRDefault="00CB0DD7">
      <w:r w:rsidRPr="000A0A5F">
        <w:t xml:space="preserve">If the SCEF receives PFD management notification </w:t>
      </w:r>
      <w:r w:rsidRPr="000A0A5F">
        <w:rPr>
          <w:lang w:val="en-US" w:eastAsia="zh-CN"/>
        </w:rPr>
        <w:t>including the PFD failure report</w:t>
      </w:r>
      <w:r w:rsidRPr="000A0A5F">
        <w:t xml:space="preserve"> from the PFDF (as </w:t>
      </w:r>
      <w:r w:rsidRPr="000A0A5F">
        <w:rPr>
          <w:lang w:eastAsia="zh-CN"/>
        </w:rPr>
        <w:t>defined</w:t>
      </w:r>
      <w:r w:rsidRPr="000A0A5F">
        <w:rPr>
          <w:rFonts w:hint="eastAsia"/>
          <w:lang w:eastAsia="zh-CN"/>
        </w:rPr>
        <w:t xml:space="preserve"> in 3GPP TS 29.</w:t>
      </w:r>
      <w:r w:rsidRPr="000A0A5F">
        <w:rPr>
          <w:lang w:eastAsia="zh-CN"/>
        </w:rPr>
        <w:t>250</w:t>
      </w:r>
      <w:r w:rsidRPr="000A0A5F">
        <w:rPr>
          <w:lang w:val="en-US" w:eastAsia="zh-CN"/>
        </w:rPr>
        <w:t> </w:t>
      </w:r>
      <w:r w:rsidRPr="000A0A5F">
        <w:rPr>
          <w:rFonts w:hint="eastAsia"/>
          <w:lang w:val="en-US" w:eastAsia="zh-CN"/>
        </w:rPr>
        <w:t>[</w:t>
      </w:r>
      <w:r w:rsidRPr="000A0A5F">
        <w:rPr>
          <w:lang w:val="en-US" w:eastAsia="zh-CN"/>
        </w:rPr>
        <w:t>26]) and if</w:t>
      </w:r>
      <w:r w:rsidRPr="000A0A5F">
        <w:t xml:space="preserve"> the feature </w:t>
      </w:r>
      <w:r w:rsidRPr="000A0A5F">
        <w:rPr>
          <w:lang w:eastAsia="zh-CN"/>
        </w:rPr>
        <w:t>PfdMgmtNotification</w:t>
      </w:r>
      <w:r w:rsidRPr="000A0A5F">
        <w:t xml:space="preserve"> is supported,</w:t>
      </w:r>
      <w:r w:rsidRPr="000A0A5F">
        <w:rPr>
          <w:lang w:eastAsia="zh-CN"/>
        </w:rPr>
        <w:t xml:space="preserve"> the SCEF shall notify the SCS/AS with an HTTP POST message, identified by the notification destination URI received during the PFD provisioning, to </w:t>
      </w:r>
      <w:r w:rsidRPr="000A0A5F">
        <w:rPr>
          <w:rFonts w:hint="eastAsia"/>
          <w:lang w:eastAsia="zh-CN"/>
        </w:rPr>
        <w:t xml:space="preserve">notify the </w:t>
      </w:r>
      <w:r w:rsidRPr="000A0A5F">
        <w:rPr>
          <w:lang w:eastAsia="zh-CN"/>
        </w:rPr>
        <w:t>failure</w:t>
      </w:r>
      <w:r w:rsidRPr="000A0A5F">
        <w:rPr>
          <w:rFonts w:hint="eastAsia"/>
          <w:lang w:eastAsia="zh-CN"/>
        </w:rPr>
        <w:t xml:space="preserve"> result for the </w:t>
      </w:r>
      <w:r w:rsidRPr="000A0A5F">
        <w:rPr>
          <w:lang w:eastAsia="zh-CN"/>
        </w:rPr>
        <w:t xml:space="preserve">PFD management </w:t>
      </w:r>
      <w:r w:rsidRPr="000A0A5F">
        <w:t>by including the PfdReport data type in the body of the message</w:t>
      </w:r>
      <w:r w:rsidRPr="000A0A5F">
        <w:rPr>
          <w:lang w:eastAsia="zh-CN"/>
        </w:rPr>
        <w:t xml:space="preserve">. </w:t>
      </w:r>
      <w:r w:rsidRPr="000A0A5F">
        <w:t>Within the PfdReport data type, the SCEF shall include the impacted application id(s) within the "</w:t>
      </w:r>
      <w:r w:rsidRPr="000A0A5F">
        <w:rPr>
          <w:lang w:eastAsia="zh-CN"/>
        </w:rPr>
        <w:t>e</w:t>
      </w:r>
      <w:r w:rsidRPr="000A0A5F">
        <w:rPr>
          <w:rFonts w:hint="eastAsia"/>
          <w:lang w:eastAsia="zh-CN"/>
        </w:rPr>
        <w:t>xterna</w:t>
      </w:r>
      <w:r w:rsidRPr="000A0A5F">
        <w:rPr>
          <w:lang w:eastAsia="zh-CN"/>
        </w:rPr>
        <w:t>l</w:t>
      </w:r>
      <w:r w:rsidRPr="000A0A5F">
        <w:rPr>
          <w:rFonts w:hint="eastAsia"/>
          <w:lang w:eastAsia="zh-CN"/>
        </w:rPr>
        <w:t>AppId</w:t>
      </w:r>
      <w:r w:rsidRPr="000A0A5F">
        <w:rPr>
          <w:lang w:eastAsia="zh-CN"/>
        </w:rPr>
        <w:t>s" attribute, the</w:t>
      </w:r>
      <w:r w:rsidRPr="000A0A5F">
        <w:t xml:space="preserve"> "failureCode" attribute set to "PARTIAL_FAILURE".</w:t>
      </w:r>
      <w:r w:rsidRPr="000A0A5F">
        <w:rPr>
          <w:noProof/>
          <w:lang w:eastAsia="zh-CN"/>
        </w:rPr>
        <w:t xml:space="preserve"> In addition, if the SCEF receives the location area(s) of </w:t>
      </w:r>
      <w:r w:rsidRPr="000A0A5F">
        <w:rPr>
          <w:rFonts w:eastAsia="Times New Roman" w:cs="Arial"/>
          <w:szCs w:val="18"/>
        </w:rPr>
        <w:t xml:space="preserve">PCEF/TDF(s) which are unable to enforce the PFD(s) from the PFDF, </w:t>
      </w:r>
      <w:r w:rsidRPr="000A0A5F">
        <w:rPr>
          <w:noProof/>
          <w:lang w:eastAsia="zh-CN"/>
        </w:rPr>
        <w:t xml:space="preserve">the SCEF shall include </w:t>
      </w:r>
      <w:r w:rsidRPr="000A0A5F">
        <w:t>the</w:t>
      </w:r>
      <w:r w:rsidRPr="000A0A5F">
        <w:rPr>
          <w:rFonts w:eastAsia="Times New Roman" w:cs="Arial"/>
          <w:szCs w:val="18"/>
        </w:rPr>
        <w:t xml:space="preserve"> location area(s) within the "locationArea" attribute of the PFD report(s). </w:t>
      </w:r>
      <w:r w:rsidRPr="000A0A5F">
        <w:rPr>
          <w:noProof/>
          <w:lang w:eastAsia="zh-CN"/>
        </w:rPr>
        <w:t>After receiving the HTTP POST message, t</w:t>
      </w:r>
      <w:r w:rsidRPr="000A0A5F">
        <w:rPr>
          <w:lang w:eastAsia="zh-CN"/>
        </w:rPr>
        <w:t>he SCS/AS shall send a HTTP response with</w:t>
      </w:r>
      <w:r w:rsidRPr="000A0A5F">
        <w:t xml:space="preserve"> "</w:t>
      </w:r>
      <w:r w:rsidRPr="000A0A5F">
        <w:rPr>
          <w:lang w:eastAsia="zh-CN"/>
        </w:rPr>
        <w:t>204 No Content</w:t>
      </w:r>
      <w:r w:rsidRPr="000A0A5F">
        <w:t>" status code.</w:t>
      </w:r>
    </w:p>
    <w:p w:rsidR="00CB0DD7" w:rsidRPr="000A0A5F" w:rsidRDefault="00CB0DD7">
      <w:pPr>
        <w:pStyle w:val="NO"/>
      </w:pPr>
      <w:r w:rsidRPr="000A0A5F">
        <w:rPr>
          <w:rFonts w:hint="eastAsia"/>
          <w:lang w:eastAsia="zh-CN"/>
        </w:rPr>
        <w:t>NOTE</w:t>
      </w:r>
      <w:r w:rsidRPr="000A0A5F">
        <w:rPr>
          <w:lang w:val="en-US" w:eastAsia="zh-CN"/>
        </w:rPr>
        <w:t> 3</w:t>
      </w:r>
      <w:r w:rsidRPr="000A0A5F">
        <w:rPr>
          <w:rFonts w:hint="eastAsia"/>
          <w:lang w:eastAsia="zh-CN"/>
        </w:rPr>
        <w:t>:</w:t>
      </w:r>
      <w:r w:rsidRPr="000A0A5F">
        <w:rPr>
          <w:lang w:eastAsia="zh-CN"/>
        </w:rPr>
        <w:tab/>
        <w:t>How the SCS/AS reacts to the failed PFD provisioning is left to implementation</w:t>
      </w:r>
      <w:r w:rsidRPr="000A0A5F">
        <w:t>.</w:t>
      </w:r>
    </w:p>
    <w:p w:rsidR="00CB0DD7" w:rsidRPr="000A0A5F" w:rsidRDefault="00CB0DD7">
      <w:pPr>
        <w:pStyle w:val="NO"/>
        <w:rPr>
          <w:rFonts w:hint="eastAsia"/>
          <w:lang w:eastAsia="zh-CN"/>
        </w:rPr>
      </w:pPr>
      <w:r w:rsidRPr="000A0A5F">
        <w:rPr>
          <w:lang w:eastAsia="zh-CN"/>
        </w:rPr>
        <w:t>NOTE 4:</w:t>
      </w:r>
      <w:r w:rsidRPr="000A0A5F">
        <w:rPr>
          <w:lang w:eastAsia="zh-CN"/>
        </w:rPr>
        <w:tab/>
        <w:t xml:space="preserve">The SCEF maps the 3GPP network area(s) to the </w:t>
      </w:r>
      <w:r w:rsidRPr="000A0A5F">
        <w:rPr>
          <w:rFonts w:hint="eastAsia"/>
          <w:lang w:eastAsia="zh-CN"/>
        </w:rPr>
        <w:t>geographic</w:t>
      </w:r>
      <w:r w:rsidRPr="000A0A5F">
        <w:rPr>
          <w:lang w:eastAsia="zh-CN"/>
        </w:rPr>
        <w:t xml:space="preserve"> a</w:t>
      </w:r>
      <w:r w:rsidRPr="000A0A5F">
        <w:rPr>
          <w:rFonts w:hint="eastAsia"/>
          <w:lang w:eastAsia="zh-CN"/>
        </w:rPr>
        <w:t>rea</w:t>
      </w:r>
      <w:r w:rsidRPr="000A0A5F">
        <w:rPr>
          <w:lang w:eastAsia="zh-CN"/>
        </w:rPr>
        <w:t>(s) or civic address(es) if the 3GPP network area(s) is not allowed to be exposed to the 3rd party according to the operator policy.</w:t>
      </w:r>
    </w:p>
    <w:p w:rsidR="00CB0DD7" w:rsidRPr="000A0A5F" w:rsidRDefault="00CB0DD7">
      <w:pPr>
        <w:pStyle w:val="Heading3"/>
        <w:rPr>
          <w:lang w:eastAsia="zh-CN"/>
        </w:rPr>
      </w:pPr>
      <w:bookmarkStart w:id="835" w:name="_Toc11247238"/>
      <w:bookmarkStart w:id="836" w:name="_Toc27044356"/>
      <w:bookmarkStart w:id="837" w:name="_Toc36033398"/>
      <w:bookmarkStart w:id="838" w:name="_Toc45131530"/>
      <w:bookmarkStart w:id="839" w:name="_Toc49775815"/>
      <w:bookmarkStart w:id="840" w:name="_Toc51746735"/>
      <w:bookmarkStart w:id="841" w:name="_Toc66360277"/>
      <w:bookmarkStart w:id="842" w:name="_Toc68104782"/>
      <w:bookmarkStart w:id="843" w:name="_Toc74755411"/>
      <w:bookmarkStart w:id="844" w:name="_Toc105674266"/>
      <w:bookmarkStart w:id="845" w:name="_Toc130502299"/>
      <w:bookmarkStart w:id="846" w:name="_Toc153625078"/>
      <w:r w:rsidRPr="000A0A5F">
        <w:t>4.</w:t>
      </w:r>
      <w:r w:rsidRPr="000A0A5F">
        <w:rPr>
          <w:lang w:eastAsia="zh-CN"/>
        </w:rPr>
        <w:t>4</w:t>
      </w:r>
      <w:r w:rsidRPr="000A0A5F">
        <w:t>.11</w:t>
      </w:r>
      <w:r w:rsidRPr="000A0A5F">
        <w:tab/>
      </w:r>
      <w:r w:rsidRPr="000A0A5F">
        <w:rPr>
          <w:rFonts w:hint="eastAsia"/>
          <w:lang w:eastAsia="zh-CN"/>
        </w:rPr>
        <w:t xml:space="preserve">Procedures for </w:t>
      </w:r>
      <w:r w:rsidRPr="000A0A5F">
        <w:t>Enhanced Coverage Restriction Control</w:t>
      </w:r>
      <w:bookmarkEnd w:id="835"/>
      <w:bookmarkEnd w:id="836"/>
      <w:bookmarkEnd w:id="837"/>
      <w:bookmarkEnd w:id="838"/>
      <w:bookmarkEnd w:id="839"/>
      <w:bookmarkEnd w:id="840"/>
      <w:bookmarkEnd w:id="841"/>
      <w:bookmarkEnd w:id="842"/>
      <w:bookmarkEnd w:id="843"/>
      <w:bookmarkEnd w:id="844"/>
      <w:bookmarkEnd w:id="845"/>
      <w:bookmarkEnd w:id="846"/>
    </w:p>
    <w:p w:rsidR="00CB0DD7" w:rsidRPr="000A0A5F" w:rsidRDefault="00CB0DD7">
      <w:pPr>
        <w:rPr>
          <w:lang w:eastAsia="zh-CN"/>
        </w:rPr>
      </w:pPr>
      <w:r w:rsidRPr="000A0A5F">
        <w:t xml:space="preserve">The procedures are used by an SCS/AS to query the status of, or to configure the enhanced coverage restriction for a UE via the T8 interface as </w:t>
      </w:r>
      <w:r w:rsidRPr="000A0A5F">
        <w:rPr>
          <w:noProof/>
          <w:lang w:eastAsia="zh-CN"/>
        </w:rPr>
        <w:t>defined in 3GPP TS </w:t>
      </w:r>
      <w:r w:rsidRPr="000A0A5F">
        <w:rPr>
          <w:rFonts w:hint="eastAsia"/>
          <w:noProof/>
          <w:lang w:eastAsia="zh-CN"/>
        </w:rPr>
        <w:t>23.682</w:t>
      </w:r>
      <w:r w:rsidRPr="000A0A5F">
        <w:rPr>
          <w:noProof/>
          <w:lang w:val="en-US" w:eastAsia="zh-CN"/>
        </w:rPr>
        <w:t> </w:t>
      </w:r>
      <w:r w:rsidRPr="000A0A5F">
        <w:rPr>
          <w:rFonts w:hint="eastAsia"/>
          <w:noProof/>
          <w:lang w:eastAsia="zh-CN"/>
        </w:rPr>
        <w:t>[2]</w:t>
      </w:r>
      <w:r w:rsidRPr="000A0A5F">
        <w:t>.</w:t>
      </w:r>
      <w:r w:rsidRPr="000A0A5F">
        <w:rPr>
          <w:rFonts w:hint="eastAsia"/>
          <w:lang w:eastAsia="zh-CN"/>
        </w:rPr>
        <w:t xml:space="preserve"> </w:t>
      </w:r>
    </w:p>
    <w:p w:rsidR="00CB0DD7" w:rsidRPr="000A0A5F" w:rsidRDefault="00CB0DD7">
      <w:pPr>
        <w:rPr>
          <w:noProof/>
          <w:lang w:eastAsia="zh-CN"/>
        </w:rPr>
      </w:pPr>
      <w:r w:rsidRPr="000A0A5F">
        <w:rPr>
          <w:lang w:eastAsia="zh-CN"/>
        </w:rPr>
        <w:t xml:space="preserve">In order to query the current status of enhanced coverage restriction, the SCS/AS shall send an HTTP POST message to the SCEF using the query custom operation as defined </w:t>
      </w:r>
      <w:r w:rsidRPr="000A0A5F">
        <w:rPr>
          <w:noProof/>
          <w:lang w:eastAsia="zh-CN"/>
        </w:rPr>
        <w:t>in clause</w:t>
      </w:r>
      <w:r w:rsidR="00C97A09" w:rsidRPr="000A0A5F">
        <w:rPr>
          <w:noProof/>
          <w:lang w:eastAsia="zh-CN"/>
        </w:rPr>
        <w:t> </w:t>
      </w:r>
      <w:r w:rsidRPr="000A0A5F">
        <w:rPr>
          <w:noProof/>
          <w:lang w:eastAsia="zh-CN"/>
        </w:rPr>
        <w:t>5.12.13.2</w:t>
      </w:r>
      <w:r w:rsidRPr="000A0A5F">
        <w:rPr>
          <w:lang w:eastAsia="zh-CN"/>
        </w:rPr>
        <w:t xml:space="preserve">. </w:t>
      </w:r>
      <w:r w:rsidRPr="000A0A5F">
        <w:rPr>
          <w:noProof/>
          <w:lang w:eastAsia="zh-CN"/>
        </w:rPr>
        <w:t>The body of the HTTP POST message shall include External Identifier or MSISDN.</w:t>
      </w:r>
    </w:p>
    <w:p w:rsidR="00CB0DD7" w:rsidRPr="000A0A5F" w:rsidRDefault="00CB0DD7">
      <w:pPr>
        <w:rPr>
          <w:rFonts w:hint="eastAsia"/>
          <w:noProof/>
          <w:lang w:eastAsia="zh-CN"/>
        </w:rPr>
      </w:pPr>
      <w:r w:rsidRPr="000A0A5F">
        <w:rPr>
          <w:lang w:eastAsia="zh-CN"/>
        </w:rPr>
        <w:t xml:space="preserve">In order to configure the enhanced coverage restriction, the SCS/AS shall send an HTTP POST message to the SCEF using the configure custom operation as defined </w:t>
      </w:r>
      <w:r w:rsidRPr="000A0A5F">
        <w:rPr>
          <w:noProof/>
          <w:lang w:eastAsia="zh-CN"/>
        </w:rPr>
        <w:t>in clause</w:t>
      </w:r>
      <w:r w:rsidR="00C97A09" w:rsidRPr="000A0A5F">
        <w:rPr>
          <w:noProof/>
          <w:lang w:eastAsia="zh-CN"/>
        </w:rPr>
        <w:t> </w:t>
      </w:r>
      <w:r w:rsidRPr="000A0A5F">
        <w:rPr>
          <w:noProof/>
          <w:lang w:eastAsia="zh-CN"/>
        </w:rPr>
        <w:t>5.12.13.3</w:t>
      </w:r>
      <w:r w:rsidRPr="000A0A5F">
        <w:rPr>
          <w:lang w:eastAsia="zh-CN"/>
        </w:rPr>
        <w:t xml:space="preserve">. </w:t>
      </w:r>
      <w:r w:rsidRPr="000A0A5F">
        <w:rPr>
          <w:noProof/>
          <w:lang w:eastAsia="zh-CN"/>
        </w:rPr>
        <w:t>The body of the HTTP POST message shall include External Identifier or MSISDN and the Enhanced Coverage Restriction setting (i.e. allowed-PLMN-List or restricted-PLMN-List).</w:t>
      </w:r>
    </w:p>
    <w:p w:rsidR="00CB0DD7" w:rsidRPr="000A0A5F" w:rsidRDefault="00CB0DD7">
      <w:r w:rsidRPr="000A0A5F">
        <w:t>Upon receiving the HTTP POST message from the SCS/AS, the SCEF shall check:</w:t>
      </w:r>
      <w:r w:rsidRPr="000A0A5F">
        <w:rPr>
          <w:noProof/>
          <w:lang w:eastAsia="zh-CN"/>
        </w:rPr>
        <w:t xml:space="preserve"> </w:t>
      </w:r>
    </w:p>
    <w:p w:rsidR="00CB0DD7" w:rsidRPr="000A0A5F" w:rsidRDefault="00CB0DD7">
      <w:pPr>
        <w:pStyle w:val="B10"/>
        <w:rPr>
          <w:lang w:eastAsia="zh-CN"/>
        </w:rPr>
      </w:pPr>
      <w:r w:rsidRPr="000A0A5F">
        <w:rPr>
          <w:noProof/>
          <w:lang w:eastAsia="zh-CN"/>
        </w:rPr>
        <w:t>-</w:t>
      </w:r>
      <w:r w:rsidRPr="000A0A5F">
        <w:rPr>
          <w:noProof/>
          <w:lang w:eastAsia="zh-CN"/>
        </w:rPr>
        <w:tab/>
        <w:t xml:space="preserve">if </w:t>
      </w:r>
      <w:r w:rsidRPr="000A0A5F">
        <w:t>the SCS/AS is authorized to perform the request. If not the SCEF shall respond to the SCS/AS</w:t>
      </w:r>
      <w:r w:rsidRPr="000A0A5F">
        <w:rPr>
          <w:lang w:eastAsia="zh-CN"/>
        </w:rPr>
        <w:t xml:space="preserve"> with a status code set to 401 Unauthorized.</w:t>
      </w:r>
    </w:p>
    <w:p w:rsidR="00CB0DD7" w:rsidRPr="000A0A5F" w:rsidRDefault="00CB0DD7">
      <w:pPr>
        <w:pStyle w:val="B10"/>
        <w:rPr>
          <w:noProof/>
          <w:lang w:eastAsia="zh-CN"/>
        </w:rPr>
      </w:pPr>
      <w:r w:rsidRPr="000A0A5F">
        <w:rPr>
          <w:noProof/>
          <w:lang w:eastAsia="zh-CN"/>
        </w:rPr>
        <w:t>-</w:t>
      </w:r>
      <w:r w:rsidRPr="000A0A5F">
        <w:rPr>
          <w:noProof/>
          <w:lang w:eastAsia="zh-CN"/>
        </w:rPr>
        <w:tab/>
        <w:t xml:space="preserve">if the request is malformed. </w:t>
      </w:r>
      <w:r w:rsidRPr="000A0A5F">
        <w:t>If it is malformed, the SCEF shall respond to the SCS/AS</w:t>
      </w:r>
      <w:r w:rsidRPr="000A0A5F">
        <w:rPr>
          <w:lang w:eastAsia="zh-CN"/>
        </w:rPr>
        <w:t xml:space="preserve"> with a status code set to 400 Bad Request.</w:t>
      </w:r>
    </w:p>
    <w:p w:rsidR="00CB0DD7" w:rsidRPr="000A0A5F" w:rsidRDefault="00CB0DD7">
      <w:pPr>
        <w:pStyle w:val="B10"/>
        <w:rPr>
          <w:lang w:eastAsia="zh-CN"/>
        </w:rPr>
      </w:pPr>
      <w:r w:rsidRPr="000A0A5F">
        <w:rPr>
          <w:noProof/>
          <w:lang w:eastAsia="zh-CN"/>
        </w:rPr>
        <w:t>-</w:t>
      </w:r>
      <w:r w:rsidRPr="000A0A5F">
        <w:rPr>
          <w:noProof/>
          <w:lang w:eastAsia="zh-CN"/>
        </w:rPr>
        <w:tab/>
        <w:t xml:space="preserve">if the SCS/AS has exceeded its quota of submitting requests. If so </w:t>
      </w:r>
      <w:r w:rsidRPr="000A0A5F">
        <w:t>the SCEF shall respond to the SCS/AS</w:t>
      </w:r>
      <w:r w:rsidRPr="000A0A5F">
        <w:rPr>
          <w:lang w:eastAsia="zh-CN"/>
        </w:rPr>
        <w:t xml:space="preserve"> with a status code set to 403 </w:t>
      </w:r>
      <w:r w:rsidRPr="000A0A5F">
        <w:t>Forbidden and may indicate the failure reason "QUOTA_EXCEEDED" (i.e. the quota exceeded) within the "cause" attribute of the "ProblemDetails" structure in the HTTP POST response</w:t>
      </w:r>
      <w:r w:rsidRPr="000A0A5F">
        <w:rPr>
          <w:lang w:eastAsia="zh-CN"/>
        </w:rPr>
        <w:t>.</w:t>
      </w:r>
    </w:p>
    <w:p w:rsidR="00CB0DD7" w:rsidRPr="000A0A5F" w:rsidRDefault="00CB0DD7">
      <w:pPr>
        <w:pStyle w:val="B10"/>
        <w:rPr>
          <w:noProof/>
          <w:lang w:eastAsia="zh-CN"/>
        </w:rPr>
      </w:pPr>
      <w:r w:rsidRPr="000A0A5F">
        <w:rPr>
          <w:lang w:eastAsia="zh-CN"/>
        </w:rPr>
        <w:t>-</w:t>
      </w:r>
      <w:r w:rsidRPr="000A0A5F">
        <w:rPr>
          <w:lang w:eastAsia="zh-CN"/>
        </w:rPr>
        <w:tab/>
      </w:r>
      <w:r w:rsidRPr="000A0A5F">
        <w:rPr>
          <w:noProof/>
          <w:lang w:eastAsia="zh-CN"/>
        </w:rPr>
        <w:t xml:space="preserve">if the SCS/AS has exceeded its rate of submitting requests. If so </w:t>
      </w:r>
      <w:r w:rsidRPr="000A0A5F">
        <w:t>the SCEF shall respond to the SCS/AS</w:t>
      </w:r>
      <w:r w:rsidRPr="000A0A5F">
        <w:rPr>
          <w:lang w:eastAsia="zh-CN"/>
        </w:rPr>
        <w:t xml:space="preserve"> with a status code set to 429 Too Many Requests</w:t>
      </w:r>
      <w:r w:rsidRPr="000A0A5F">
        <w:t xml:space="preserve"> in the HTTP POST response</w:t>
      </w:r>
      <w:r w:rsidRPr="000A0A5F">
        <w:rPr>
          <w:lang w:eastAsia="zh-CN"/>
        </w:rPr>
        <w:t>.</w:t>
      </w:r>
    </w:p>
    <w:p w:rsidR="00CB0DD7" w:rsidRPr="000A0A5F" w:rsidRDefault="00CB0DD7">
      <w:r w:rsidRPr="000A0A5F">
        <w:t xml:space="preserve">The SCEF shall send a Configuration Information Request to the HSS to query or configure the setting of Enhanced Coverage Restriction as defined in 3GPP TS 29.336 [11]. </w:t>
      </w:r>
    </w:p>
    <w:p w:rsidR="00CB0DD7" w:rsidRPr="000A0A5F" w:rsidRDefault="00CB0DD7">
      <w:pPr>
        <w:rPr>
          <w:lang w:eastAsia="zh-CN"/>
        </w:rPr>
      </w:pPr>
      <w:r w:rsidRPr="000A0A5F">
        <w:rPr>
          <w:rFonts w:hint="eastAsia"/>
          <w:lang w:eastAsia="zh-CN"/>
        </w:rPr>
        <w:t xml:space="preserve">Upon receipt of the </w:t>
      </w:r>
      <w:r w:rsidRPr="000A0A5F">
        <w:rPr>
          <w:lang w:eastAsia="zh-CN"/>
        </w:rPr>
        <w:t>response from the HSS, the SCEF shall send an HTTP response to the SCS/AS with a 200 OK message for query or configure custom operation and include t</w:t>
      </w:r>
      <w:r w:rsidRPr="000A0A5F">
        <w:rPr>
          <w:noProof/>
          <w:lang w:eastAsia="zh-CN"/>
        </w:rPr>
        <w:t xml:space="preserve">he </w:t>
      </w:r>
      <w:r w:rsidRPr="000A0A5F">
        <w:t>Enhanced Coverage Restriction Data</w:t>
      </w:r>
      <w:r w:rsidRPr="000A0A5F">
        <w:rPr>
          <w:noProof/>
          <w:lang w:eastAsia="zh-CN"/>
        </w:rPr>
        <w:t xml:space="preserve"> from HSS into the HTTP response.</w:t>
      </w:r>
    </w:p>
    <w:p w:rsidR="00CB0DD7" w:rsidRPr="000A0A5F" w:rsidRDefault="00CB0DD7">
      <w:pPr>
        <w:rPr>
          <w:lang w:eastAsia="zh-CN"/>
        </w:rPr>
      </w:pPr>
      <w:r w:rsidRPr="000A0A5F">
        <w:t>If the SCEF receives a response with an error code from the HSS, the SCEF shall respond to the SCS/AS with a corresponding failure code as described in clause 5.2.6.</w:t>
      </w:r>
    </w:p>
    <w:p w:rsidR="00CB0DD7" w:rsidRPr="000A0A5F" w:rsidRDefault="00CB0DD7">
      <w:pPr>
        <w:pStyle w:val="Heading3"/>
        <w:rPr>
          <w:lang w:eastAsia="zh-CN"/>
        </w:rPr>
      </w:pPr>
      <w:bookmarkStart w:id="847" w:name="_Toc11247239"/>
      <w:bookmarkStart w:id="848" w:name="_Toc27044357"/>
      <w:bookmarkStart w:id="849" w:name="_Toc36033399"/>
      <w:bookmarkStart w:id="850" w:name="_Toc45131531"/>
      <w:bookmarkStart w:id="851" w:name="_Toc49775816"/>
      <w:bookmarkStart w:id="852" w:name="_Toc51746736"/>
      <w:bookmarkStart w:id="853" w:name="_Toc66360278"/>
      <w:bookmarkStart w:id="854" w:name="_Toc68104783"/>
      <w:bookmarkStart w:id="855" w:name="_Toc74755412"/>
      <w:bookmarkStart w:id="856" w:name="_Toc105674267"/>
      <w:bookmarkStart w:id="857" w:name="_Toc130502300"/>
      <w:bookmarkStart w:id="858" w:name="_Toc153625079"/>
      <w:r w:rsidRPr="000A0A5F">
        <w:t>4.</w:t>
      </w:r>
      <w:r w:rsidRPr="000A0A5F">
        <w:rPr>
          <w:lang w:eastAsia="zh-CN"/>
        </w:rPr>
        <w:t>4</w:t>
      </w:r>
      <w:r w:rsidRPr="000A0A5F">
        <w:t>.12</w:t>
      </w:r>
      <w:r w:rsidRPr="000A0A5F">
        <w:tab/>
      </w:r>
      <w:r w:rsidRPr="000A0A5F">
        <w:rPr>
          <w:rFonts w:hint="eastAsia"/>
          <w:lang w:eastAsia="zh-CN"/>
        </w:rPr>
        <w:t xml:space="preserve">Procedures for </w:t>
      </w:r>
      <w:r w:rsidRPr="000A0A5F">
        <w:t>Network Parameter Configuration</w:t>
      </w:r>
      <w:bookmarkEnd w:id="847"/>
      <w:bookmarkEnd w:id="848"/>
      <w:bookmarkEnd w:id="849"/>
      <w:bookmarkEnd w:id="850"/>
      <w:bookmarkEnd w:id="851"/>
      <w:bookmarkEnd w:id="852"/>
      <w:bookmarkEnd w:id="853"/>
      <w:bookmarkEnd w:id="854"/>
      <w:bookmarkEnd w:id="855"/>
      <w:bookmarkEnd w:id="856"/>
      <w:bookmarkEnd w:id="857"/>
      <w:bookmarkEnd w:id="858"/>
    </w:p>
    <w:p w:rsidR="00CB0DD7" w:rsidRPr="000A0A5F" w:rsidRDefault="00CB0DD7">
      <w:pPr>
        <w:pStyle w:val="Heading4"/>
        <w:rPr>
          <w:rFonts w:hint="eastAsia"/>
          <w:lang w:eastAsia="zh-CN"/>
        </w:rPr>
      </w:pPr>
      <w:bookmarkStart w:id="859" w:name="_Toc11247240"/>
      <w:bookmarkStart w:id="860" w:name="_Toc27044358"/>
      <w:bookmarkStart w:id="861" w:name="_Toc36033400"/>
      <w:bookmarkStart w:id="862" w:name="_Toc45131532"/>
      <w:bookmarkStart w:id="863" w:name="_Toc49775817"/>
      <w:bookmarkStart w:id="864" w:name="_Toc51746737"/>
      <w:bookmarkStart w:id="865" w:name="_Toc66360279"/>
      <w:bookmarkStart w:id="866" w:name="_Toc68104784"/>
      <w:bookmarkStart w:id="867" w:name="_Toc74755413"/>
      <w:bookmarkStart w:id="868" w:name="_Toc105674268"/>
      <w:bookmarkStart w:id="869" w:name="_Toc130502301"/>
      <w:bookmarkStart w:id="870" w:name="_Toc153625080"/>
      <w:r w:rsidRPr="000A0A5F">
        <w:t>4.</w:t>
      </w:r>
      <w:r w:rsidRPr="000A0A5F">
        <w:rPr>
          <w:lang w:eastAsia="zh-CN"/>
        </w:rPr>
        <w:t>4</w:t>
      </w:r>
      <w:r w:rsidRPr="000A0A5F">
        <w:t>.12.1</w:t>
      </w:r>
      <w:r w:rsidRPr="000A0A5F">
        <w:tab/>
      </w:r>
      <w:r w:rsidRPr="000A0A5F">
        <w:rPr>
          <w:lang w:eastAsia="zh-CN"/>
        </w:rPr>
        <w:t>General</w:t>
      </w:r>
      <w:bookmarkEnd w:id="859"/>
      <w:bookmarkEnd w:id="860"/>
      <w:bookmarkEnd w:id="861"/>
      <w:bookmarkEnd w:id="862"/>
      <w:bookmarkEnd w:id="863"/>
      <w:bookmarkEnd w:id="864"/>
      <w:bookmarkEnd w:id="865"/>
      <w:bookmarkEnd w:id="866"/>
      <w:bookmarkEnd w:id="867"/>
      <w:bookmarkEnd w:id="868"/>
      <w:bookmarkEnd w:id="869"/>
      <w:bookmarkEnd w:id="870"/>
    </w:p>
    <w:p w:rsidR="00CB0DD7" w:rsidRPr="000A0A5F" w:rsidRDefault="00CB0DD7">
      <w:pPr>
        <w:rPr>
          <w:noProof/>
          <w:lang w:eastAsia="zh-CN"/>
        </w:rPr>
      </w:pPr>
      <w:r w:rsidRPr="000A0A5F">
        <w:rPr>
          <w:rFonts w:hint="eastAsia"/>
          <w:noProof/>
          <w:lang w:eastAsia="zh-CN"/>
        </w:rPr>
        <w:t>Th</w:t>
      </w:r>
      <w:r w:rsidRPr="000A0A5F">
        <w:rPr>
          <w:noProof/>
          <w:lang w:eastAsia="zh-CN"/>
        </w:rPr>
        <w:t xml:space="preserve">e procedures are used by an SCS/AS to request that the network consider setting the suggested network parameter values which can influence </w:t>
      </w:r>
      <w:r w:rsidRPr="000A0A5F">
        <w:t>certain aspects of UE/network behaviour. The procedures are applicable for an individual UE or a group of UEs.</w:t>
      </w:r>
      <w:r w:rsidRPr="000A0A5F">
        <w:rPr>
          <w:noProof/>
          <w:lang w:eastAsia="zh-CN"/>
        </w:rPr>
        <w:t xml:space="preserve"> </w:t>
      </w:r>
    </w:p>
    <w:p w:rsidR="00CB0DD7" w:rsidRPr="000A0A5F" w:rsidRDefault="00CB0DD7">
      <w:r w:rsidRPr="000A0A5F">
        <w:rPr>
          <w:noProof/>
          <w:lang w:eastAsia="zh-CN"/>
        </w:rPr>
        <w:t>In order to create a new network parameter configuration to configure suggested network parameters</w:t>
      </w:r>
      <w:r w:rsidRPr="000A0A5F">
        <w:t xml:space="preserve">, </w:t>
      </w:r>
      <w:r w:rsidRPr="000A0A5F">
        <w:rPr>
          <w:noProof/>
          <w:lang w:eastAsia="zh-CN"/>
        </w:rPr>
        <w:t>t</w:t>
      </w:r>
      <w:r w:rsidRPr="000A0A5F">
        <w:rPr>
          <w:rFonts w:hint="eastAsia"/>
          <w:noProof/>
          <w:lang w:eastAsia="zh-CN"/>
        </w:rPr>
        <w:t xml:space="preserve">he SCS/AS </w:t>
      </w:r>
      <w:r w:rsidRPr="000A0A5F">
        <w:rPr>
          <w:noProof/>
          <w:lang w:eastAsia="zh-CN"/>
        </w:rPr>
        <w:t xml:space="preserve">shall </w:t>
      </w:r>
      <w:r w:rsidRPr="000A0A5F">
        <w:rPr>
          <w:rFonts w:hint="eastAsia"/>
          <w:noProof/>
          <w:lang w:eastAsia="zh-CN"/>
        </w:rPr>
        <w:t xml:space="preserve">send an HTTP POST </w:t>
      </w:r>
      <w:r w:rsidRPr="000A0A5F">
        <w:rPr>
          <w:noProof/>
          <w:lang w:eastAsia="zh-CN"/>
        </w:rPr>
        <w:t xml:space="preserve">request </w:t>
      </w:r>
      <w:r w:rsidRPr="000A0A5F">
        <w:rPr>
          <w:rFonts w:hint="eastAsia"/>
          <w:noProof/>
          <w:lang w:eastAsia="zh-CN"/>
        </w:rPr>
        <w:t xml:space="preserve">message </w:t>
      </w:r>
      <w:r w:rsidRPr="000A0A5F">
        <w:t>to the SCEF</w:t>
      </w:r>
      <w:r w:rsidRPr="000A0A5F">
        <w:rPr>
          <w:noProof/>
          <w:lang w:eastAsia="zh-CN"/>
        </w:rPr>
        <w:t xml:space="preserve"> to the resource </w:t>
      </w:r>
      <w:r w:rsidRPr="000A0A5F">
        <w:t xml:space="preserve">"NP Configurations". </w:t>
      </w:r>
      <w:r w:rsidRPr="000A0A5F">
        <w:rPr>
          <w:noProof/>
          <w:lang w:eastAsia="zh-CN"/>
        </w:rPr>
        <w:t xml:space="preserve">The body of the HTTP request message shall include External Identifier or MSISDN or External Group Identifier, SCS/AS Identifier, </w:t>
      </w:r>
      <w:r w:rsidRPr="000A0A5F">
        <w:t xml:space="preserve">and may include Maximum Latency, Maximum Response Time and Suggested Number of Downlink Packets and Group Reporting Guard Time, wherein, the External Identifier or MSISDN indicates the configuration for an individual UE and the External Group Identifier indicates for a group of UEs. If the </w:t>
      </w:r>
      <w:r w:rsidRPr="000A0A5F">
        <w:rPr>
          <w:noProof/>
          <w:lang w:eastAsia="zh-CN"/>
        </w:rPr>
        <w:t>External Group Identifier</w:t>
      </w:r>
      <w:r w:rsidRPr="000A0A5F">
        <w:t xml:space="preserve"> is included, the SCS/AS shall provide the Notification Destination Address in the request.</w:t>
      </w:r>
    </w:p>
    <w:p w:rsidR="00CB0DD7" w:rsidRPr="000A0A5F" w:rsidRDefault="00CB0DD7">
      <w:pPr>
        <w:pStyle w:val="NO"/>
      </w:pPr>
      <w:r w:rsidRPr="000A0A5F">
        <w:t>NOTE:</w:t>
      </w:r>
      <w:r w:rsidRPr="000A0A5F">
        <w:tab/>
        <w:t>The Notification Delivery as described in clause 5.2.5 is not supported for individual UE configuration case.</w:t>
      </w:r>
    </w:p>
    <w:p w:rsidR="00CB0DD7" w:rsidRPr="000A0A5F" w:rsidRDefault="00CB0DD7">
      <w:r w:rsidRPr="000A0A5F">
        <w:t>In order to update an existing Network Parameter Configuration, the SCS/AS may send an HTTP PUT message to the resource "Individual NP Configuration" requesting the SCEF to replace all properties in the existing resource.</w:t>
      </w:r>
    </w:p>
    <w:p w:rsidR="00CB0DD7" w:rsidRPr="000A0A5F" w:rsidRDefault="00CB0DD7">
      <w:r w:rsidRPr="000A0A5F">
        <w:t>The SCS/AS may also use an HTTP PATCH message to request to change some properties in the existing resource.</w:t>
      </w:r>
    </w:p>
    <w:p w:rsidR="00CB0DD7" w:rsidRPr="000A0A5F" w:rsidRDefault="00CB0DD7">
      <w:r w:rsidRPr="000A0A5F">
        <w:t>Upon receipt of the HTTP POST, PUT or PATCH message, if the SCS/AS is authorized to perform the request, the SCEF shall check whether the Maximum Latency, Maximum Response Time and/or Suggested Number of Downlink Packets in the HTTP request body are within the range defined by operator policies, if one or more of these parameters are not within the range, the SCEF shall:</w:t>
      </w:r>
    </w:p>
    <w:p w:rsidR="00CB0DD7" w:rsidRPr="000A0A5F" w:rsidRDefault="00CB0DD7">
      <w:pPr>
        <w:pStyle w:val="B10"/>
      </w:pPr>
      <w:r w:rsidRPr="000A0A5F">
        <w:rPr>
          <w:rFonts w:hint="eastAsia"/>
          <w:noProof/>
          <w:lang w:eastAsia="zh-CN"/>
        </w:rPr>
        <w:t>-</w:t>
      </w:r>
      <w:r w:rsidRPr="000A0A5F">
        <w:rPr>
          <w:rFonts w:hint="eastAsia"/>
          <w:noProof/>
          <w:lang w:eastAsia="zh-CN"/>
        </w:rPr>
        <w:tab/>
      </w:r>
      <w:r w:rsidRPr="000A0A5F">
        <w:t xml:space="preserve">either reject the request message by sending an HTTP response to the SCS/AS with a status code set to "403 Forbidden" </w:t>
      </w:r>
      <w:r w:rsidR="00947F1D" w:rsidRPr="000A0A5F">
        <w:t>, in which it</w:t>
      </w:r>
      <w:r w:rsidRPr="000A0A5F">
        <w:t xml:space="preserve"> may indicate the "</w:t>
      </w:r>
      <w:r w:rsidRPr="000A0A5F">
        <w:rPr>
          <w:lang w:eastAsia="zh-CN"/>
        </w:rPr>
        <w:t>PARAMETER_OUT_OF_RANGE</w:t>
      </w:r>
      <w:r w:rsidRPr="000A0A5F">
        <w:t xml:space="preserve">" </w:t>
      </w:r>
      <w:r w:rsidR="00950287" w:rsidRPr="000A0A5F">
        <w:t xml:space="preserve">application </w:t>
      </w:r>
      <w:r w:rsidRPr="000A0A5F">
        <w:t xml:space="preserve">error in the "cause" attribute of the "ProblemDetails" </w:t>
      </w:r>
      <w:r w:rsidR="00950287" w:rsidRPr="000A0A5F">
        <w:t xml:space="preserve">data </w:t>
      </w:r>
      <w:r w:rsidRPr="000A0A5F">
        <w:t xml:space="preserve">structure and </w:t>
      </w:r>
      <w:r w:rsidR="00950287" w:rsidRPr="000A0A5F">
        <w:t xml:space="preserve">it may also </w:t>
      </w:r>
      <w:r w:rsidRPr="000A0A5F">
        <w:t>indicate which parameters are out of the range in the "invalidParams" attribute of the "ProblemDetails" structure</w:t>
      </w:r>
      <w:r w:rsidR="00950287" w:rsidRPr="000A0A5F">
        <w:t xml:space="preserve"> in the response body</w:t>
      </w:r>
      <w:r w:rsidRPr="000A0A5F">
        <w:t>; or</w:t>
      </w:r>
    </w:p>
    <w:p w:rsidR="00CB0DD7" w:rsidRPr="000A0A5F" w:rsidRDefault="00CB0DD7">
      <w:pPr>
        <w:pStyle w:val="B10"/>
      </w:pPr>
      <w:r w:rsidRPr="000A0A5F">
        <w:rPr>
          <w:rFonts w:hint="eastAsia"/>
          <w:noProof/>
          <w:lang w:eastAsia="zh-CN"/>
        </w:rPr>
        <w:t>-</w:t>
      </w:r>
      <w:r w:rsidRPr="000A0A5F">
        <w:rPr>
          <w:rFonts w:hint="eastAsia"/>
          <w:noProof/>
          <w:lang w:eastAsia="zh-CN"/>
        </w:rPr>
        <w:tab/>
      </w:r>
      <w:r w:rsidRPr="000A0A5F">
        <w:t>modify the parameters which are not within the range by selecting different values which are in the range.</w:t>
      </w:r>
    </w:p>
    <w:p w:rsidR="00CB0DD7" w:rsidRPr="000A0A5F" w:rsidRDefault="00CB0DD7">
      <w:r w:rsidRPr="000A0A5F">
        <w:t>After validation, the SCEF shall perform the Network Parameter Configuration as described in clause 4.4.12.2 for an individual UE or in clause 4.4.12.3 for a group of UEs.</w:t>
      </w:r>
    </w:p>
    <w:p w:rsidR="00CB0DD7" w:rsidRPr="000A0A5F" w:rsidRDefault="00CB0DD7">
      <w:r w:rsidRPr="000A0A5F">
        <w:t>In order to delete an existing Network Parameter Configuration at the SCEF, the SCS/AS shall send an HTTP DELETE message to the corresponding resource "Individual NP Configuration" at the SCEF</w:t>
      </w:r>
      <w:r w:rsidRPr="000A0A5F">
        <w:rPr>
          <w:rFonts w:hint="eastAsia"/>
          <w:lang w:eastAsia="zh-CN"/>
        </w:rPr>
        <w:t>.</w:t>
      </w:r>
      <w:r w:rsidRPr="000A0A5F">
        <w:rPr>
          <w:lang w:eastAsia="zh-CN"/>
        </w:rPr>
        <w:t xml:space="preserve"> The SCEF shall determine the SCEF Reference ID for deletion and </w:t>
      </w:r>
      <w:r w:rsidRPr="000A0A5F">
        <w:t xml:space="preserve">interact with the HSS via S6t as defined in 3GPP TS 29.336 [11]. Upon receipt of the response from the HSS, the SCEF shall delete </w:t>
      </w:r>
      <w:r w:rsidRPr="000A0A5F">
        <w:rPr>
          <w:lang w:eastAsia="zh-CN"/>
        </w:rPr>
        <w:t xml:space="preserve">active resource </w:t>
      </w:r>
      <w:r w:rsidRPr="000A0A5F">
        <w:t>"Individual NP Configuration" addressed by the URI and send an HTTP response to the SCS/AS with a "204 No Content" status code.</w:t>
      </w:r>
    </w:p>
    <w:p w:rsidR="00CB0DD7" w:rsidRPr="000A0A5F" w:rsidRDefault="00CB0DD7">
      <w:pPr>
        <w:pStyle w:val="Heading4"/>
        <w:rPr>
          <w:lang w:eastAsia="zh-CN"/>
        </w:rPr>
      </w:pPr>
      <w:bookmarkStart w:id="871" w:name="_Toc11247241"/>
      <w:bookmarkStart w:id="872" w:name="_Toc27044359"/>
      <w:bookmarkStart w:id="873" w:name="_Toc36033401"/>
      <w:bookmarkStart w:id="874" w:name="_Toc45131533"/>
      <w:bookmarkStart w:id="875" w:name="_Toc49775818"/>
      <w:bookmarkStart w:id="876" w:name="_Toc51746738"/>
      <w:bookmarkStart w:id="877" w:name="_Toc66360280"/>
      <w:bookmarkStart w:id="878" w:name="_Toc68104785"/>
      <w:bookmarkStart w:id="879" w:name="_Toc74755414"/>
      <w:bookmarkStart w:id="880" w:name="_Toc105674269"/>
      <w:bookmarkStart w:id="881" w:name="_Toc130502302"/>
      <w:bookmarkStart w:id="882" w:name="_Toc153625081"/>
      <w:r w:rsidRPr="000A0A5F">
        <w:t>4.</w:t>
      </w:r>
      <w:r w:rsidRPr="000A0A5F">
        <w:rPr>
          <w:lang w:eastAsia="zh-CN"/>
        </w:rPr>
        <w:t>4</w:t>
      </w:r>
      <w:r w:rsidRPr="000A0A5F">
        <w:t>.12.2</w:t>
      </w:r>
      <w:r w:rsidRPr="000A0A5F">
        <w:tab/>
        <w:t>Configuration Request for an individual UE</w:t>
      </w:r>
      <w:bookmarkEnd w:id="871"/>
      <w:bookmarkEnd w:id="872"/>
      <w:bookmarkEnd w:id="873"/>
      <w:bookmarkEnd w:id="874"/>
      <w:bookmarkEnd w:id="875"/>
      <w:bookmarkEnd w:id="876"/>
      <w:bookmarkEnd w:id="877"/>
      <w:bookmarkEnd w:id="878"/>
      <w:bookmarkEnd w:id="879"/>
      <w:bookmarkEnd w:id="880"/>
      <w:bookmarkEnd w:id="881"/>
      <w:bookmarkEnd w:id="882"/>
    </w:p>
    <w:p w:rsidR="00CB0DD7" w:rsidRPr="000A0A5F" w:rsidRDefault="00CB0DD7">
      <w:r w:rsidRPr="000A0A5F">
        <w:rPr>
          <w:rFonts w:hint="eastAsia"/>
          <w:lang w:eastAsia="zh-CN"/>
        </w:rPr>
        <w:t>If the configuration request from the SCS/AS is for an individual UE</w:t>
      </w:r>
      <w:r w:rsidRPr="000A0A5F">
        <w:rPr>
          <w:lang w:eastAsia="zh-CN"/>
        </w:rPr>
        <w:t xml:space="preserve">, the </w:t>
      </w:r>
      <w:r w:rsidRPr="000A0A5F">
        <w:t xml:space="preserve">SCEF shall send the </w:t>
      </w:r>
      <w:r w:rsidRPr="000A0A5F">
        <w:rPr>
          <w:lang w:val="en-US"/>
        </w:rPr>
        <w:t>Configuration Information Request</w:t>
      </w:r>
      <w:r w:rsidRPr="000A0A5F">
        <w:t xml:space="preserve"> command to the HSS via S6t as defined in 3GPP TS 29.336 [11]. </w:t>
      </w:r>
    </w:p>
    <w:p w:rsidR="00CB0DD7" w:rsidRPr="000A0A5F" w:rsidRDefault="00CB0DD7">
      <w:pPr>
        <w:rPr>
          <w:lang w:eastAsia="zh-CN"/>
        </w:rPr>
      </w:pPr>
      <w:r w:rsidRPr="000A0A5F">
        <w:rPr>
          <w:lang w:eastAsia="zh-CN"/>
        </w:rPr>
        <w:t>Upon receipt of the response from the HSS, the SCEF shall,</w:t>
      </w:r>
    </w:p>
    <w:p w:rsidR="00CB0DD7" w:rsidRPr="000A0A5F" w:rsidRDefault="00CB0DD7">
      <w:pPr>
        <w:pStyle w:val="B10"/>
        <w:rPr>
          <w:lang w:eastAsia="zh-CN"/>
        </w:rPr>
      </w:pPr>
      <w:r w:rsidRPr="000A0A5F">
        <w:rPr>
          <w:lang w:eastAsia="zh-CN"/>
        </w:rPr>
        <w:t>-</w:t>
      </w:r>
      <w:r w:rsidRPr="000A0A5F">
        <w:rPr>
          <w:lang w:eastAsia="zh-CN"/>
        </w:rPr>
        <w:tab/>
        <w:t xml:space="preserve">for the HTTP POST message, create a new resource </w:t>
      </w:r>
      <w:r w:rsidRPr="000A0A5F">
        <w:t>"Individual NP Configuration"</w:t>
      </w:r>
      <w:r w:rsidRPr="000A0A5F">
        <w:rPr>
          <w:lang w:eastAsia="zh-CN"/>
        </w:rPr>
        <w:t xml:space="preserve"> addressed by a URI that contains the SCS/AS identifier and an SCEF-created configuration identifier, and send an HTTP POST response to the SCS/AS with </w:t>
      </w:r>
      <w:r w:rsidRPr="000A0A5F">
        <w:t xml:space="preserve">"201 Created" </w:t>
      </w:r>
      <w:r w:rsidRPr="000A0A5F">
        <w:rPr>
          <w:lang w:eastAsia="zh-CN"/>
        </w:rPr>
        <w:t>status code, the final suggested configuration parameter(s) (if modified), the indication(s) for the discarded parameter(s) (if discarded), and a location header field containing the URI for the created resource.</w:t>
      </w:r>
    </w:p>
    <w:p w:rsidR="00CB0DD7" w:rsidRPr="000A0A5F" w:rsidRDefault="00CB0DD7">
      <w:pPr>
        <w:pStyle w:val="B10"/>
      </w:pPr>
      <w:r w:rsidRPr="000A0A5F">
        <w:rPr>
          <w:lang w:eastAsia="zh-CN"/>
        </w:rPr>
        <w:t>-</w:t>
      </w:r>
      <w:r w:rsidRPr="000A0A5F">
        <w:rPr>
          <w:lang w:eastAsia="zh-CN"/>
        </w:rPr>
        <w:tab/>
        <w:t xml:space="preserve">for the HTTP PUT or PATCH message, update the active resource </w:t>
      </w:r>
      <w:r w:rsidRPr="000A0A5F">
        <w:t>"Individual NP Configuration"</w:t>
      </w:r>
      <w:r w:rsidRPr="000A0A5F">
        <w:rPr>
          <w:lang w:eastAsia="zh-CN"/>
        </w:rPr>
        <w:t xml:space="preserve">, and send an HTTP response to the SCS/AS with </w:t>
      </w:r>
      <w:r w:rsidRPr="000A0A5F">
        <w:t>"200 OK"</w:t>
      </w:r>
      <w:r w:rsidRPr="000A0A5F">
        <w:rPr>
          <w:lang w:eastAsia="zh-CN"/>
        </w:rPr>
        <w:t xml:space="preserve"> status code, the final suggested network parameter(s) (if modified), the indication(s) for the discarded parameter(s) (if discarded), or a </w:t>
      </w:r>
      <w:r w:rsidRPr="000A0A5F">
        <w:t>"204 No Content" status code.</w:t>
      </w:r>
    </w:p>
    <w:p w:rsidR="00CB0DD7" w:rsidRPr="000A0A5F" w:rsidRDefault="00CB0DD7">
      <w:pPr>
        <w:rPr>
          <w:lang w:eastAsia="zh-CN"/>
        </w:rPr>
      </w:pPr>
      <w:r w:rsidRPr="000A0A5F">
        <w:t>If the SCEF receives a response with an error code from the HSS, the SCEF shall not create or update the resource and shall respond to the SCS/AS with a corresponding failure code as described in clause 5.2.6.</w:t>
      </w:r>
    </w:p>
    <w:p w:rsidR="00CB0DD7" w:rsidRPr="000A0A5F" w:rsidRDefault="00CB0DD7">
      <w:pPr>
        <w:pStyle w:val="Heading4"/>
        <w:rPr>
          <w:lang w:eastAsia="zh-CN"/>
        </w:rPr>
      </w:pPr>
      <w:bookmarkStart w:id="883" w:name="_Toc11247242"/>
      <w:bookmarkStart w:id="884" w:name="_Toc27044360"/>
      <w:bookmarkStart w:id="885" w:name="_Toc36033402"/>
      <w:bookmarkStart w:id="886" w:name="_Toc45131534"/>
      <w:bookmarkStart w:id="887" w:name="_Toc49775819"/>
      <w:bookmarkStart w:id="888" w:name="_Toc51746739"/>
      <w:bookmarkStart w:id="889" w:name="_Toc66360281"/>
      <w:bookmarkStart w:id="890" w:name="_Toc68104786"/>
      <w:bookmarkStart w:id="891" w:name="_Toc74755415"/>
      <w:bookmarkStart w:id="892" w:name="_Toc105674270"/>
      <w:bookmarkStart w:id="893" w:name="_Toc130502303"/>
      <w:bookmarkStart w:id="894" w:name="_Toc153625082"/>
      <w:r w:rsidRPr="000A0A5F">
        <w:t>4.</w:t>
      </w:r>
      <w:r w:rsidRPr="000A0A5F">
        <w:rPr>
          <w:lang w:eastAsia="zh-CN"/>
        </w:rPr>
        <w:t>4</w:t>
      </w:r>
      <w:r w:rsidRPr="000A0A5F">
        <w:t>.12.3</w:t>
      </w:r>
      <w:r w:rsidRPr="000A0A5F">
        <w:tab/>
        <w:t>Configuration Request for a group of UEs</w:t>
      </w:r>
      <w:bookmarkEnd w:id="883"/>
      <w:bookmarkEnd w:id="884"/>
      <w:bookmarkEnd w:id="885"/>
      <w:bookmarkEnd w:id="886"/>
      <w:bookmarkEnd w:id="887"/>
      <w:bookmarkEnd w:id="888"/>
      <w:bookmarkEnd w:id="889"/>
      <w:bookmarkEnd w:id="890"/>
      <w:bookmarkEnd w:id="891"/>
      <w:bookmarkEnd w:id="892"/>
      <w:bookmarkEnd w:id="893"/>
      <w:bookmarkEnd w:id="894"/>
    </w:p>
    <w:p w:rsidR="00CB0DD7" w:rsidRPr="000A0A5F" w:rsidRDefault="00CB0DD7">
      <w:r w:rsidRPr="000A0A5F">
        <w:t>If the configuration request from the SCS/AS is for a group of UEs</w:t>
      </w:r>
      <w:r w:rsidRPr="000A0A5F">
        <w:rPr>
          <w:lang w:eastAsia="zh-CN"/>
        </w:rPr>
        <w:t xml:space="preserve">, the SCS/AS shall provide the Notification Destination Address, the </w:t>
      </w:r>
      <w:r w:rsidRPr="000A0A5F">
        <w:t xml:space="preserve">SCEF shall send the </w:t>
      </w:r>
      <w:r w:rsidRPr="000A0A5F">
        <w:rPr>
          <w:lang w:val="en-US"/>
        </w:rPr>
        <w:t>Configuration Information Request</w:t>
      </w:r>
      <w:r w:rsidRPr="000A0A5F">
        <w:t xml:space="preserve"> command to the HSS via S6t as defined in 3GPP TS 29.336 [11]. </w:t>
      </w:r>
    </w:p>
    <w:p w:rsidR="00CB0DD7" w:rsidRPr="000A0A5F" w:rsidRDefault="00CB0DD7">
      <w:r w:rsidRPr="000A0A5F">
        <w:rPr>
          <w:lang w:eastAsia="zh-CN"/>
        </w:rPr>
        <w:t xml:space="preserve">Upon receipt of the successful response </w:t>
      </w:r>
      <w:r w:rsidRPr="000A0A5F">
        <w:t>indicating that group processing is in progress</w:t>
      </w:r>
      <w:r w:rsidRPr="000A0A5F">
        <w:rPr>
          <w:lang w:eastAsia="zh-CN"/>
        </w:rPr>
        <w:t xml:space="preserve"> from the HSS</w:t>
      </w:r>
      <w:r w:rsidRPr="000A0A5F">
        <w:t xml:space="preserve"> before beginning the processing of individual UEs</w:t>
      </w:r>
      <w:r w:rsidRPr="000A0A5F">
        <w:rPr>
          <w:lang w:eastAsia="zh-CN"/>
        </w:rPr>
        <w:t xml:space="preserve">, </w:t>
      </w:r>
      <w:r w:rsidRPr="000A0A5F">
        <w:t>the SCEF shall,</w:t>
      </w:r>
    </w:p>
    <w:p w:rsidR="00CB0DD7" w:rsidRPr="000A0A5F" w:rsidRDefault="00CB0DD7">
      <w:pPr>
        <w:pStyle w:val="B10"/>
      </w:pPr>
      <w:r w:rsidRPr="000A0A5F">
        <w:rPr>
          <w:rFonts w:hint="eastAsia"/>
          <w:noProof/>
          <w:lang w:eastAsia="zh-CN"/>
        </w:rPr>
        <w:t>-</w:t>
      </w:r>
      <w:r w:rsidRPr="000A0A5F">
        <w:rPr>
          <w:rFonts w:hint="eastAsia"/>
          <w:noProof/>
          <w:lang w:eastAsia="zh-CN"/>
        </w:rPr>
        <w:tab/>
      </w:r>
      <w:r w:rsidRPr="000A0A5F">
        <w:t xml:space="preserve">for </w:t>
      </w:r>
      <w:r w:rsidRPr="000A0A5F">
        <w:rPr>
          <w:lang w:eastAsia="zh-CN"/>
        </w:rPr>
        <w:t>the HTTP POST message,</w:t>
      </w:r>
      <w:r w:rsidRPr="000A0A5F">
        <w:t xml:space="preserve"> </w:t>
      </w:r>
      <w:r w:rsidRPr="000A0A5F">
        <w:rPr>
          <w:lang w:eastAsia="zh-CN"/>
        </w:rPr>
        <w:t xml:space="preserve">create a resource </w:t>
      </w:r>
      <w:r w:rsidRPr="000A0A5F">
        <w:t xml:space="preserve">"Individual NP Configuration" </w:t>
      </w:r>
      <w:r w:rsidRPr="000A0A5F">
        <w:rPr>
          <w:lang w:eastAsia="zh-CN"/>
        </w:rPr>
        <w:t xml:space="preserve">addressed by a URI that contains the SCS/AS identity and an SCEF-created configuration identifier. The SCEF shall send an HTTP POST response to the SCS/AS including a location header field containing the URI for the created resource and a </w:t>
      </w:r>
      <w:r w:rsidRPr="000A0A5F">
        <w:t>"</w:t>
      </w:r>
      <w:r w:rsidRPr="000A0A5F">
        <w:rPr>
          <w:lang w:eastAsia="zh-CN"/>
        </w:rPr>
        <w:t>201 Created</w:t>
      </w:r>
      <w:r w:rsidRPr="000A0A5F">
        <w:t>"</w:t>
      </w:r>
      <w:r w:rsidRPr="000A0A5F">
        <w:rPr>
          <w:lang w:eastAsia="zh-CN"/>
        </w:rPr>
        <w:t xml:space="preserve"> status code to </w:t>
      </w:r>
      <w:r w:rsidRPr="000A0A5F">
        <w:t>acknowledge the SCS/AS of the successful group processing request.</w:t>
      </w:r>
    </w:p>
    <w:p w:rsidR="00CB0DD7" w:rsidRPr="000A0A5F" w:rsidRDefault="00CB0DD7">
      <w:pPr>
        <w:pStyle w:val="B10"/>
      </w:pPr>
      <w:r w:rsidRPr="000A0A5F">
        <w:rPr>
          <w:rFonts w:hint="eastAsia"/>
          <w:noProof/>
          <w:lang w:eastAsia="zh-CN"/>
        </w:rPr>
        <w:t>-</w:t>
      </w:r>
      <w:r w:rsidRPr="000A0A5F">
        <w:rPr>
          <w:rFonts w:hint="eastAsia"/>
          <w:noProof/>
          <w:lang w:eastAsia="zh-CN"/>
        </w:rPr>
        <w:tab/>
      </w:r>
      <w:r w:rsidRPr="000A0A5F">
        <w:rPr>
          <w:lang w:eastAsia="zh-CN"/>
        </w:rPr>
        <w:t xml:space="preserve">for the HTTP PUT or PATCH message, update the resource </w:t>
      </w:r>
      <w:r w:rsidRPr="000A0A5F">
        <w:t xml:space="preserve">"Individual NP Configuration" </w:t>
      </w:r>
      <w:r w:rsidRPr="000A0A5F">
        <w:rPr>
          <w:lang w:eastAsia="zh-CN"/>
        </w:rPr>
        <w:t xml:space="preserve">addressed by the requested URL, and </w:t>
      </w:r>
      <w:r w:rsidRPr="000A0A5F">
        <w:t>shall send "</w:t>
      </w:r>
      <w:r w:rsidRPr="000A0A5F">
        <w:rPr>
          <w:lang w:eastAsia="zh-CN"/>
        </w:rPr>
        <w:t>200 OK</w:t>
      </w:r>
      <w:r w:rsidRPr="000A0A5F">
        <w:t>" status code or a "</w:t>
      </w:r>
      <w:r w:rsidRPr="000A0A5F">
        <w:rPr>
          <w:lang w:eastAsia="zh-CN"/>
        </w:rPr>
        <w:t>204 No Content</w:t>
      </w:r>
      <w:r w:rsidRPr="000A0A5F">
        <w:t xml:space="preserve">" status code to acknowledge the SCS/AS of the successful group processing request in the HTTP response message. </w:t>
      </w:r>
    </w:p>
    <w:p w:rsidR="00CB0DD7" w:rsidRPr="000A0A5F" w:rsidRDefault="00CB0DD7">
      <w:r w:rsidRPr="000A0A5F">
        <w:t>If the SCEF receives a response with an error code from the HSS, the SCEF shall not create or update the resource and shall respond to the SCS/AS with a corresponding failure code as described in clause 5.2.6.</w:t>
      </w:r>
    </w:p>
    <w:p w:rsidR="00CB0DD7" w:rsidRPr="000A0A5F" w:rsidRDefault="00CB0DD7">
      <w:pPr>
        <w:rPr>
          <w:noProof/>
          <w:lang w:eastAsia="zh-CN"/>
        </w:rPr>
      </w:pPr>
      <w:r w:rsidRPr="000A0A5F">
        <w:rPr>
          <w:noProof/>
          <w:lang w:eastAsia="zh-CN"/>
        </w:rPr>
        <w:t xml:space="preserve">Upon receipt of the processing result of the individual UEs from the HSS, the SCEF shall send an HTTP POST request message with a reference to the related </w:t>
      </w:r>
      <w:r w:rsidRPr="000A0A5F">
        <w:rPr>
          <w:lang w:eastAsia="zh-CN"/>
        </w:rPr>
        <w:t>network parameter configuration</w:t>
      </w:r>
      <w:r w:rsidRPr="000A0A5F">
        <w:rPr>
          <w:noProof/>
          <w:lang w:eastAsia="zh-CN"/>
        </w:rPr>
        <w:t xml:space="preserve"> and a list of processing result for the group members to the SCS/AS.</w:t>
      </w:r>
    </w:p>
    <w:p w:rsidR="00CB0DD7" w:rsidRPr="000A0A5F" w:rsidRDefault="00CB0DD7">
      <w:pPr>
        <w:rPr>
          <w:noProof/>
          <w:lang w:eastAsia="zh-CN"/>
        </w:rPr>
      </w:pPr>
      <w:r w:rsidRPr="000A0A5F">
        <w:rPr>
          <w:rFonts w:hint="eastAsia"/>
          <w:noProof/>
          <w:lang w:eastAsia="zh-CN"/>
        </w:rPr>
        <w:t>T</w:t>
      </w:r>
      <w:r w:rsidRPr="000A0A5F">
        <w:rPr>
          <w:noProof/>
          <w:lang w:eastAsia="zh-CN"/>
        </w:rPr>
        <w:t>he SCS/AS shall send an HTTP response to acknowledge the SCEF about the handling result of the received request.</w:t>
      </w:r>
    </w:p>
    <w:p w:rsidR="00CB0DD7" w:rsidRPr="000A0A5F" w:rsidRDefault="00CB0DD7">
      <w:pPr>
        <w:pStyle w:val="Heading4"/>
        <w:rPr>
          <w:lang w:eastAsia="zh-CN"/>
        </w:rPr>
      </w:pPr>
      <w:bookmarkStart w:id="895" w:name="_Toc27044361"/>
      <w:bookmarkStart w:id="896" w:name="_Toc36033403"/>
      <w:bookmarkStart w:id="897" w:name="_Toc45131535"/>
      <w:bookmarkStart w:id="898" w:name="_Toc49775820"/>
      <w:bookmarkStart w:id="899" w:name="_Toc51746740"/>
      <w:bookmarkStart w:id="900" w:name="_Toc66360282"/>
      <w:bookmarkStart w:id="901" w:name="_Toc68104787"/>
      <w:bookmarkStart w:id="902" w:name="_Toc74755416"/>
      <w:bookmarkStart w:id="903" w:name="_Toc105674271"/>
      <w:bookmarkStart w:id="904" w:name="_Toc130502304"/>
      <w:bookmarkStart w:id="905" w:name="_Toc153625083"/>
      <w:r w:rsidRPr="000A0A5F">
        <w:t>4.</w:t>
      </w:r>
      <w:r w:rsidRPr="000A0A5F">
        <w:rPr>
          <w:lang w:eastAsia="zh-CN"/>
        </w:rPr>
        <w:t>4</w:t>
      </w:r>
      <w:r w:rsidRPr="000A0A5F">
        <w:t>.12.4</w:t>
      </w:r>
      <w:r w:rsidRPr="000A0A5F">
        <w:tab/>
        <w:t>Notification of applied parameter configuration</w:t>
      </w:r>
      <w:bookmarkEnd w:id="895"/>
      <w:bookmarkEnd w:id="896"/>
      <w:bookmarkEnd w:id="897"/>
      <w:bookmarkEnd w:id="898"/>
      <w:bookmarkEnd w:id="899"/>
      <w:bookmarkEnd w:id="900"/>
      <w:bookmarkEnd w:id="901"/>
      <w:bookmarkEnd w:id="902"/>
      <w:bookmarkEnd w:id="903"/>
      <w:bookmarkEnd w:id="904"/>
      <w:bookmarkEnd w:id="905"/>
    </w:p>
    <w:p w:rsidR="00CB0DD7" w:rsidRPr="000A0A5F" w:rsidRDefault="00CB0DD7">
      <w:pPr>
        <w:rPr>
          <w:rFonts w:eastAsia="Times New Roman" w:cs="Arial" w:hint="eastAsia"/>
          <w:szCs w:val="18"/>
        </w:rPr>
      </w:pPr>
      <w:r w:rsidRPr="000A0A5F">
        <w:t xml:space="preserve">If the </w:t>
      </w:r>
      <w:r w:rsidRPr="000A0A5F">
        <w:rPr>
          <w:lang w:eastAsia="zh-CN"/>
        </w:rPr>
        <w:t>Enhanced_param_config</w:t>
      </w:r>
      <w:r w:rsidRPr="000A0A5F">
        <w:t xml:space="preserve"> feature is supported and the SCEF receives currently applied parameter configuration from the HSS, the SCEF shall notify the SCS/AS by the HTTP POST message including the parameter changes in the </w:t>
      </w:r>
      <w:r w:rsidRPr="000A0A5F">
        <w:rPr>
          <w:noProof/>
          <w:lang w:eastAsia="zh-CN"/>
        </w:rPr>
        <w:t>"</w:t>
      </w:r>
      <w:r w:rsidRPr="000A0A5F">
        <w:rPr>
          <w:lang w:eastAsia="zh-CN"/>
        </w:rPr>
        <w:t>appliedParam</w:t>
      </w:r>
      <w:r w:rsidRPr="000A0A5F">
        <w:rPr>
          <w:noProof/>
          <w:lang w:eastAsia="zh-CN"/>
        </w:rPr>
        <w:t xml:space="preserve">" </w:t>
      </w:r>
      <w:r w:rsidRPr="000A0A5F">
        <w:t>attribute.</w:t>
      </w:r>
    </w:p>
    <w:p w:rsidR="00CB0DD7" w:rsidRPr="000A0A5F" w:rsidRDefault="00CB0DD7">
      <w:pPr>
        <w:pStyle w:val="Heading3"/>
      </w:pPr>
      <w:bookmarkStart w:id="906" w:name="_Toc11247243"/>
      <w:bookmarkStart w:id="907" w:name="_Toc27044362"/>
      <w:bookmarkStart w:id="908" w:name="_Toc36033404"/>
      <w:bookmarkStart w:id="909" w:name="_Toc45131536"/>
      <w:bookmarkStart w:id="910" w:name="_Toc49775821"/>
      <w:bookmarkStart w:id="911" w:name="_Toc51746741"/>
      <w:bookmarkStart w:id="912" w:name="_Toc66360283"/>
      <w:bookmarkStart w:id="913" w:name="_Toc68104788"/>
      <w:bookmarkStart w:id="914" w:name="_Toc74755417"/>
      <w:bookmarkStart w:id="915" w:name="_Toc105674272"/>
      <w:bookmarkStart w:id="916" w:name="_Toc130502305"/>
      <w:bookmarkStart w:id="917" w:name="_Toc153625084"/>
      <w:r w:rsidRPr="000A0A5F">
        <w:t>4.4.13</w:t>
      </w:r>
      <w:r w:rsidRPr="000A0A5F">
        <w:tab/>
        <w:t>Procedures for setting up an AS session with required QoS</w:t>
      </w:r>
      <w:bookmarkEnd w:id="906"/>
      <w:bookmarkEnd w:id="907"/>
      <w:bookmarkEnd w:id="908"/>
      <w:bookmarkEnd w:id="909"/>
      <w:bookmarkEnd w:id="910"/>
      <w:bookmarkEnd w:id="911"/>
      <w:bookmarkEnd w:id="912"/>
      <w:bookmarkEnd w:id="913"/>
      <w:bookmarkEnd w:id="914"/>
      <w:bookmarkEnd w:id="915"/>
      <w:bookmarkEnd w:id="916"/>
      <w:bookmarkEnd w:id="917"/>
    </w:p>
    <w:p w:rsidR="00CB0DD7" w:rsidRPr="000A0A5F" w:rsidRDefault="00CB0DD7">
      <w:pPr>
        <w:rPr>
          <w:noProof/>
          <w:lang w:eastAsia="zh-CN"/>
        </w:rPr>
      </w:pPr>
      <w:r w:rsidRPr="000A0A5F">
        <w:rPr>
          <w:noProof/>
          <w:lang w:eastAsia="zh-CN"/>
        </w:rPr>
        <w:t xml:space="preserve">This procedure is used to set up an AS session </w:t>
      </w:r>
      <w:r w:rsidRPr="000A0A5F">
        <w:t xml:space="preserve">with required QoS for the service as </w:t>
      </w:r>
      <w:r w:rsidRPr="000A0A5F">
        <w:rPr>
          <w:noProof/>
          <w:lang w:eastAsia="zh-CN"/>
        </w:rPr>
        <w:t>defined in 3GPP TS </w:t>
      </w:r>
      <w:r w:rsidRPr="000A0A5F">
        <w:rPr>
          <w:rFonts w:hint="eastAsia"/>
          <w:noProof/>
          <w:lang w:eastAsia="zh-CN"/>
        </w:rPr>
        <w:t>23.682</w:t>
      </w:r>
      <w:r w:rsidRPr="000A0A5F">
        <w:rPr>
          <w:noProof/>
          <w:lang w:val="en-US" w:eastAsia="zh-CN"/>
        </w:rPr>
        <w:t> </w:t>
      </w:r>
      <w:r w:rsidRPr="000A0A5F">
        <w:rPr>
          <w:rFonts w:hint="eastAsia"/>
          <w:noProof/>
          <w:lang w:eastAsia="zh-CN"/>
        </w:rPr>
        <w:t xml:space="preserve">[2]. </w:t>
      </w:r>
    </w:p>
    <w:p w:rsidR="00CB0DD7" w:rsidRPr="000A0A5F" w:rsidRDefault="00CB0DD7">
      <w:r w:rsidRPr="000A0A5F">
        <w:rPr>
          <w:noProof/>
          <w:lang w:eastAsia="zh-CN"/>
        </w:rPr>
        <w:t>For initial AS session creation, the SCS/AS shall send an HTTP POST message to the SCEF for the "</w:t>
      </w:r>
      <w:r w:rsidRPr="000A0A5F">
        <w:t>AS Session with Required QoS Subscriptions</w:t>
      </w:r>
      <w:r w:rsidRPr="000A0A5F">
        <w:rPr>
          <w:noProof/>
          <w:lang w:eastAsia="zh-CN"/>
        </w:rPr>
        <w:t xml:space="preserve">" resource. The body of HTTP POST message shall include </w:t>
      </w:r>
      <w:r w:rsidRPr="000A0A5F">
        <w:t>SCS/AS Identifier, UE IP address, IP Flow description, QoS reference and notification destination address. And it may also include time period and/or traffic volume for sponsored data connectivity purpose. If the feature AppId is supported, either the Flow description or an external Application Identifier shall be included.</w:t>
      </w:r>
    </w:p>
    <w:p w:rsidR="00CB0DD7" w:rsidRPr="000A0A5F" w:rsidRDefault="00CB0DD7">
      <w:pPr>
        <w:rPr>
          <w:lang w:val="en-US" w:eastAsia="zh-CN"/>
        </w:rPr>
      </w:pPr>
      <w:r w:rsidRPr="000A0A5F">
        <w:rPr>
          <w:lang w:val="en-US" w:eastAsia="zh-CN"/>
        </w:rPr>
        <w:t>After receiving the HTTP POST message, t</w:t>
      </w:r>
      <w:r w:rsidRPr="000A0A5F">
        <w:rPr>
          <w:rFonts w:hint="eastAsia"/>
          <w:lang w:eastAsia="zh-CN"/>
        </w:rPr>
        <w:t xml:space="preserve">he SCEF shall </w:t>
      </w:r>
      <w:r w:rsidRPr="000A0A5F">
        <w:rPr>
          <w:lang w:eastAsia="zh-CN"/>
        </w:rPr>
        <w:t>authorize the request and may check if the total number of requested QoS reference has exceeded the limit for the SCS/AS. If the authorization is successful, the SCEF shall map the SCS/AS Identifier to AF Application Identifier</w:t>
      </w:r>
      <w:r w:rsidRPr="000A0A5F">
        <w:t xml:space="preserve"> if the external Application Identifier is not provided and only one AF Application Identifier is mapped</w:t>
      </w:r>
      <w:r w:rsidRPr="000A0A5F">
        <w:rPr>
          <w:lang w:eastAsia="zh-CN"/>
        </w:rPr>
        <w:t>, and if required, map the SCS/AS Identifier to ASP Identity and Sponsor Identity.</w:t>
      </w:r>
    </w:p>
    <w:p w:rsidR="00CB0DD7" w:rsidRPr="000A0A5F" w:rsidRDefault="00CB0DD7">
      <w:pPr>
        <w:pStyle w:val="NO"/>
      </w:pPr>
      <w:r w:rsidRPr="000A0A5F">
        <w:t>NOTE 1:</w:t>
      </w:r>
      <w:r w:rsidRPr="000A0A5F">
        <w:tab/>
        <w:t>Before the QoS reference is mapped to Rx parameters, the SCEF can perform a mapping from the name space of the 3rd party SCS/AS to the name space of the operator.</w:t>
      </w:r>
    </w:p>
    <w:p w:rsidR="00CB0DD7" w:rsidRPr="000A0A5F" w:rsidRDefault="00CB0DD7">
      <w:pPr>
        <w:pStyle w:val="NO"/>
      </w:pPr>
      <w:r w:rsidRPr="000A0A5F">
        <w:t>NOTE 2:</w:t>
      </w:r>
      <w:r w:rsidRPr="000A0A5F">
        <w:tab/>
      </w:r>
      <w:r w:rsidRPr="000A0A5F">
        <w:rPr>
          <w:noProof/>
          <w:lang w:eastAsia="zh-CN"/>
        </w:rPr>
        <w:t>The QoS reference referring to pre-defined QoS information in the SCEF can be mapped to media component descriptions (e.g. bandwidth, media type) according to SLA</w:t>
      </w:r>
      <w:r w:rsidRPr="000A0A5F">
        <w:t>.</w:t>
      </w:r>
    </w:p>
    <w:p w:rsidR="00CB0DD7" w:rsidRPr="000A0A5F" w:rsidRDefault="00CB0DD7">
      <w:r w:rsidRPr="000A0A5F">
        <w:rPr>
          <w:lang w:eastAsia="zh-CN"/>
        </w:rPr>
        <w:t xml:space="preserve">If the authorization performed by the SCEF is successful, then the SCEF shall act as an AF to </w:t>
      </w:r>
      <w:r w:rsidRPr="000A0A5F">
        <w:t xml:space="preserve">interact with the PCRF via the Rx interface </w:t>
      </w:r>
      <w:r w:rsidRPr="000A0A5F">
        <w:rPr>
          <w:lang w:eastAsia="zh-CN"/>
        </w:rPr>
        <w:t xml:space="preserve">as defined in </w:t>
      </w:r>
      <w:r w:rsidRPr="000A0A5F">
        <w:rPr>
          <w:rFonts w:hint="eastAsia"/>
          <w:lang w:eastAsia="zh-CN"/>
        </w:rPr>
        <w:t>3GPP TS 29.</w:t>
      </w:r>
      <w:r w:rsidRPr="000A0A5F">
        <w:rPr>
          <w:lang w:eastAsia="zh-CN"/>
        </w:rPr>
        <w:t>214</w:t>
      </w:r>
      <w:r w:rsidRPr="000A0A5F">
        <w:rPr>
          <w:lang w:val="en-US" w:eastAsia="zh-CN"/>
        </w:rPr>
        <w:t> </w:t>
      </w:r>
      <w:r w:rsidRPr="000A0A5F">
        <w:rPr>
          <w:rFonts w:hint="eastAsia"/>
          <w:lang w:val="en-US" w:eastAsia="zh-CN"/>
        </w:rPr>
        <w:t>[10]</w:t>
      </w:r>
      <w:r w:rsidRPr="000A0A5F">
        <w:t xml:space="preserve"> </w:t>
      </w:r>
      <w:r w:rsidRPr="000A0A5F">
        <w:rPr>
          <w:lang w:val="en-US" w:eastAsia="zh-CN"/>
        </w:rPr>
        <w:t>or</w:t>
      </w:r>
      <w:r w:rsidRPr="000A0A5F">
        <w:t xml:space="preserve"> </w:t>
      </w:r>
      <w:r w:rsidRPr="000A0A5F">
        <w:rPr>
          <w:rFonts w:hint="eastAsia"/>
          <w:lang w:eastAsia="zh-CN"/>
        </w:rPr>
        <w:t>3GPP TS 29.</w:t>
      </w:r>
      <w:r w:rsidRPr="000A0A5F">
        <w:rPr>
          <w:lang w:eastAsia="zh-CN"/>
        </w:rPr>
        <w:t>201</w:t>
      </w:r>
      <w:r w:rsidRPr="000A0A5F">
        <w:rPr>
          <w:lang w:val="en-US" w:eastAsia="zh-CN"/>
        </w:rPr>
        <w:t> </w:t>
      </w:r>
      <w:r w:rsidRPr="000A0A5F">
        <w:rPr>
          <w:rFonts w:hint="eastAsia"/>
          <w:lang w:val="en-US" w:eastAsia="zh-CN"/>
        </w:rPr>
        <w:t>[</w:t>
      </w:r>
      <w:r w:rsidRPr="000A0A5F">
        <w:rPr>
          <w:lang w:val="en-US" w:eastAsia="zh-CN"/>
        </w:rPr>
        <w:t>13</w:t>
      </w:r>
      <w:r w:rsidRPr="000A0A5F">
        <w:rPr>
          <w:rFonts w:hint="eastAsia"/>
          <w:lang w:val="en-US" w:eastAsia="zh-CN"/>
        </w:rPr>
        <w:t>]</w:t>
      </w:r>
      <w:r w:rsidRPr="000A0A5F">
        <w:rPr>
          <w:lang w:val="en-US" w:eastAsia="zh-CN"/>
        </w:rPr>
        <w:t xml:space="preserve"> </w:t>
      </w:r>
      <w:r w:rsidRPr="000A0A5F">
        <w:t xml:space="preserve">and trigger a PCRF initiated IP-CAN Session Modification. </w:t>
      </w:r>
      <w:r w:rsidR="00153C67" w:rsidRPr="000A0A5F">
        <w:t>Based on local configuration, t</w:t>
      </w:r>
      <w:r w:rsidRPr="000A0A5F">
        <w:t xml:space="preserve">he SCEF </w:t>
      </w:r>
      <w:r w:rsidR="00153C67" w:rsidRPr="000A0A5F">
        <w:t>may</w:t>
      </w:r>
      <w:r w:rsidRPr="000A0A5F">
        <w:t xml:space="preserve"> also request to be notified about the transmission resource status, i.e. INDICATION_OF_SUCCESSFUL_RESOURCES_ALLOCATION, INDICATION_OF_RELEASE_OF_BEARER, INDICATION_OF_FAILED_RESOURCES_ALLOCATION, and optionally INDICATION_OF_LOSS_OF_BEARER and INDICATION_OF_RECOVERY_OF_BEARER. If the time period and/or traffic volume are received from the AF, the SCEF should subscribe to the PCRF on the USAGE_REPORT event.</w:t>
      </w:r>
    </w:p>
    <w:p w:rsidR="00153C67" w:rsidRPr="000A0A5F" w:rsidRDefault="00153C67" w:rsidP="00153C67">
      <w:r w:rsidRPr="000A0A5F">
        <w:t>If the "enNB" feature is supported, the SCEF may explicitly receive a list of user plane event</w:t>
      </w:r>
      <w:r w:rsidRPr="000A0A5F">
        <w:rPr>
          <w:rFonts w:hint="eastAsia"/>
          <w:lang w:val="en-US" w:eastAsia="zh-CN"/>
        </w:rPr>
        <w:t>(</w:t>
      </w:r>
      <w:r w:rsidRPr="000A0A5F">
        <w:t xml:space="preserve">s) that the SCS/AS requests to subscribe to. The SCEF shall subscribe to the corresponding PCRF event(s) (e.g. INDICATION_OF_SUCCESSFUL_RESOURCE_ALLOCATION) for the received event(s) (e.g. SUCCESSFUL_RESOURCES_ALLOCATION), except for the </w:t>
      </w:r>
      <w:r w:rsidRPr="000A0A5F">
        <w:rPr>
          <w:rFonts w:hint="eastAsia"/>
          <w:lang w:eastAsia="zh-CN"/>
        </w:rPr>
        <w:t>SESSION_TERMINATION</w:t>
      </w:r>
      <w:r w:rsidRPr="000A0A5F">
        <w:rPr>
          <w:lang w:eastAsia="zh-CN"/>
        </w:rPr>
        <w:t xml:space="preserve"> event</w:t>
      </w:r>
      <w:r w:rsidRPr="000A0A5F">
        <w:t>.</w:t>
      </w:r>
    </w:p>
    <w:p w:rsidR="00153C67" w:rsidRPr="000A0A5F" w:rsidRDefault="00153C67" w:rsidP="00153C67">
      <w:pPr>
        <w:pStyle w:val="NO"/>
      </w:pPr>
      <w:r w:rsidRPr="000A0A5F">
        <w:t>NOTE 3:</w:t>
      </w:r>
      <w:r w:rsidRPr="000A0A5F">
        <w:tab/>
        <w:t>The PCRF does not need explicit subscription in order to notify Rx session termination.</w:t>
      </w:r>
    </w:p>
    <w:p w:rsidR="00CB0DD7" w:rsidRPr="000A0A5F" w:rsidRDefault="00CB0DD7">
      <w:pPr>
        <w:rPr>
          <w:noProof/>
          <w:lang w:eastAsia="zh-CN"/>
        </w:rPr>
      </w:pPr>
      <w:r w:rsidRPr="000A0A5F">
        <w:rPr>
          <w:noProof/>
          <w:lang w:eastAsia="zh-CN"/>
        </w:rPr>
        <w:t>The SCEF, after receiving the AAA message or HTTP 201 Created message over the Rx interface from the PCRF with successful result code,</w:t>
      </w:r>
      <w:r w:rsidRPr="000A0A5F">
        <w:t xml:space="preserve"> shall </w:t>
      </w:r>
      <w:r w:rsidRPr="000A0A5F">
        <w:rPr>
          <w:lang w:eastAsia="zh-CN"/>
        </w:rPr>
        <w:t xml:space="preserve">create a resource </w:t>
      </w:r>
      <w:r w:rsidRPr="000A0A5F">
        <w:rPr>
          <w:noProof/>
          <w:lang w:eastAsia="zh-CN"/>
        </w:rPr>
        <w:t>"</w:t>
      </w:r>
      <w:r w:rsidRPr="000A0A5F">
        <w:rPr>
          <w:rFonts w:hint="eastAsia"/>
          <w:lang w:eastAsia="zh-CN"/>
        </w:rPr>
        <w:t>Ind</w:t>
      </w:r>
      <w:r w:rsidRPr="000A0A5F">
        <w:rPr>
          <w:lang w:eastAsia="zh-CN"/>
        </w:rPr>
        <w:t>i</w:t>
      </w:r>
      <w:r w:rsidRPr="000A0A5F">
        <w:rPr>
          <w:rFonts w:hint="eastAsia"/>
          <w:lang w:eastAsia="zh-CN"/>
        </w:rPr>
        <w:t>vidual</w:t>
      </w:r>
      <w:r w:rsidRPr="000A0A5F">
        <w:t xml:space="preserve"> AS Session with Required QoS Subscription</w:t>
      </w:r>
      <w:r w:rsidRPr="000A0A5F">
        <w:rPr>
          <w:noProof/>
          <w:lang w:eastAsia="zh-CN"/>
        </w:rPr>
        <w:t xml:space="preserve">" </w:t>
      </w:r>
      <w:r w:rsidRPr="000A0A5F">
        <w:rPr>
          <w:lang w:eastAsia="zh-CN"/>
        </w:rPr>
        <w:t xml:space="preserve">which represents AS session, addressed by a URI that contains the SCS/AS identity and an SCEF-created AS session identifier, and shall respond to the SCS/AS </w:t>
      </w:r>
      <w:r w:rsidRPr="000A0A5F">
        <w:t xml:space="preserve">with a 201 </w:t>
      </w:r>
      <w:r w:rsidRPr="000A0A5F">
        <w:rPr>
          <w:rFonts w:hint="eastAsia"/>
          <w:lang w:eastAsia="zh-CN"/>
        </w:rPr>
        <w:t>Created</w:t>
      </w:r>
      <w:r w:rsidRPr="000A0A5F">
        <w:t xml:space="preserve"> message</w:t>
      </w:r>
      <w:r w:rsidRPr="000A0A5F">
        <w:rPr>
          <w:rFonts w:hint="eastAsia"/>
          <w:lang w:eastAsia="zh-CN"/>
        </w:rPr>
        <w:t xml:space="preserve">, </w:t>
      </w:r>
      <w:r w:rsidRPr="000A0A5F">
        <w:t>including</w:t>
      </w:r>
      <w:r w:rsidRPr="000A0A5F">
        <w:rPr>
          <w:rFonts w:hint="eastAsia"/>
          <w:lang w:eastAsia="zh-CN"/>
        </w:rPr>
        <w:t xml:space="preserve"> </w:t>
      </w:r>
      <w:r w:rsidRPr="000A0A5F">
        <w:rPr>
          <w:lang w:eastAsia="zh-CN"/>
        </w:rPr>
        <w:t xml:space="preserve">the result in the body of the HTTP response and </w:t>
      </w:r>
      <w:r w:rsidRPr="000A0A5F">
        <w:t>a Location header field containing the URI for the created resource</w:t>
      </w:r>
      <w:r w:rsidRPr="000A0A5F">
        <w:rPr>
          <w:rFonts w:hint="eastAsia"/>
          <w:lang w:eastAsia="zh-CN"/>
        </w:rPr>
        <w:t>.</w:t>
      </w:r>
      <w:r w:rsidRPr="000A0A5F">
        <w:rPr>
          <w:lang w:eastAsia="zh-CN"/>
        </w:rPr>
        <w:t xml:space="preserve"> </w:t>
      </w:r>
      <w:r w:rsidRPr="000A0A5F">
        <w:t xml:space="preserve">The </w:t>
      </w:r>
      <w:r w:rsidRPr="000A0A5F">
        <w:rPr>
          <w:rFonts w:hint="eastAsia"/>
          <w:lang w:eastAsia="zh-CN"/>
        </w:rPr>
        <w:t>SCS/AS</w:t>
      </w:r>
      <w:r w:rsidRPr="000A0A5F">
        <w:t xml:space="preserve"> shall use the </w:t>
      </w:r>
      <w:r w:rsidRPr="000A0A5F">
        <w:rPr>
          <w:rFonts w:hint="eastAsia"/>
          <w:lang w:eastAsia="zh-CN"/>
        </w:rPr>
        <w:t>URI</w:t>
      </w:r>
      <w:r w:rsidRPr="000A0A5F">
        <w:t xml:space="preserve"> received </w:t>
      </w:r>
      <w:r w:rsidRPr="000A0A5F">
        <w:rPr>
          <w:rFonts w:hint="eastAsia"/>
          <w:lang w:eastAsia="zh-CN"/>
        </w:rPr>
        <w:t>in the Location header</w:t>
      </w:r>
      <w:r w:rsidRPr="000A0A5F">
        <w:t xml:space="preserve"> in subsequent requests to the </w:t>
      </w:r>
      <w:r w:rsidRPr="000A0A5F">
        <w:rPr>
          <w:rFonts w:hint="eastAsia"/>
          <w:lang w:eastAsia="zh-CN"/>
        </w:rPr>
        <w:t xml:space="preserve">SCEF </w:t>
      </w:r>
      <w:r w:rsidRPr="000A0A5F">
        <w:t>to refer to this</w:t>
      </w:r>
      <w:r w:rsidRPr="000A0A5F">
        <w:rPr>
          <w:rFonts w:hint="eastAsia"/>
          <w:lang w:eastAsia="zh-CN"/>
        </w:rPr>
        <w:t xml:space="preserve"> </w:t>
      </w:r>
      <w:r w:rsidRPr="000A0A5F">
        <w:rPr>
          <w:lang w:eastAsia="zh-CN"/>
        </w:rPr>
        <w:t>AS session</w:t>
      </w:r>
      <w:r w:rsidRPr="000A0A5F">
        <w:t xml:space="preserve">. </w:t>
      </w:r>
      <w:r w:rsidRPr="000A0A5F">
        <w:rPr>
          <w:lang w:eastAsia="zh-CN"/>
        </w:rPr>
        <w:t xml:space="preserve">Otherwise, </w:t>
      </w:r>
      <w:r w:rsidRPr="000A0A5F">
        <w:t xml:space="preserve">the SCEF </w:t>
      </w:r>
      <w:r w:rsidRPr="000A0A5F">
        <w:rPr>
          <w:rFonts w:hint="eastAsia"/>
          <w:lang w:eastAsia="zh-CN"/>
        </w:rPr>
        <w:t xml:space="preserve">shall send an HTTP response to the SCS/AS </w:t>
      </w:r>
      <w:r w:rsidRPr="000A0A5F">
        <w:rPr>
          <w:noProof/>
          <w:lang w:eastAsia="zh-CN"/>
        </w:rPr>
        <w:t xml:space="preserve">with a corresponding status code and include the result in the body of the HTTP response. </w:t>
      </w:r>
      <w:r w:rsidRPr="000A0A5F">
        <w:t>If the SCEF receives a response with an error code from the PCRF, the SCEF shall not create the resource and respond to the SCS/AS with a corresponding failure code as described in clause 5.2.6.</w:t>
      </w:r>
    </w:p>
    <w:p w:rsidR="00CB0DD7" w:rsidRPr="000A0A5F" w:rsidRDefault="00CB0DD7">
      <w:pPr>
        <w:tabs>
          <w:tab w:val="left" w:pos="3247"/>
        </w:tabs>
        <w:rPr>
          <w:lang w:eastAsia="zh-CN"/>
        </w:rPr>
      </w:pPr>
      <w:r w:rsidRPr="000A0A5F">
        <w:rPr>
          <w:lang w:eastAsia="zh-CN"/>
        </w:rPr>
        <w:t>In order to update the established AS session, t</w:t>
      </w:r>
      <w:r w:rsidRPr="000A0A5F">
        <w:rPr>
          <w:rFonts w:hint="eastAsia"/>
          <w:lang w:eastAsia="zh-CN"/>
        </w:rPr>
        <w:t xml:space="preserve">he SCS/AS </w:t>
      </w:r>
      <w:r w:rsidRPr="000A0A5F">
        <w:rPr>
          <w:lang w:eastAsia="zh-CN"/>
        </w:rPr>
        <w:t xml:space="preserve">may </w:t>
      </w:r>
      <w:r w:rsidRPr="000A0A5F">
        <w:rPr>
          <w:rFonts w:hint="eastAsia"/>
          <w:lang w:eastAsia="zh-CN"/>
        </w:rPr>
        <w:t xml:space="preserve">send an HTTP PUT </w:t>
      </w:r>
      <w:r w:rsidRPr="000A0A5F">
        <w:rPr>
          <w:lang w:eastAsia="zh-CN"/>
        </w:rPr>
        <w:t>message</w:t>
      </w:r>
      <w:r w:rsidRPr="000A0A5F">
        <w:rPr>
          <w:rFonts w:hint="eastAsia"/>
          <w:lang w:eastAsia="zh-CN"/>
        </w:rPr>
        <w:t xml:space="preserve"> to </w:t>
      </w:r>
      <w:r w:rsidRPr="000A0A5F">
        <w:rPr>
          <w:lang w:eastAsia="zh-CN"/>
        </w:rPr>
        <w:t>the SCEF for the "</w:t>
      </w:r>
      <w:r w:rsidRPr="000A0A5F">
        <w:rPr>
          <w:rFonts w:hint="eastAsia"/>
          <w:lang w:eastAsia="zh-CN"/>
        </w:rPr>
        <w:t>Ind</w:t>
      </w:r>
      <w:r w:rsidRPr="000A0A5F">
        <w:rPr>
          <w:lang w:eastAsia="zh-CN"/>
        </w:rPr>
        <w:t>i</w:t>
      </w:r>
      <w:r w:rsidRPr="000A0A5F">
        <w:rPr>
          <w:rFonts w:hint="eastAsia"/>
          <w:lang w:eastAsia="zh-CN"/>
        </w:rPr>
        <w:t>vidual AS Session with Required QoS</w:t>
      </w:r>
      <w:r w:rsidRPr="000A0A5F">
        <w:rPr>
          <w:lang w:eastAsia="zh-CN"/>
        </w:rPr>
        <w:t xml:space="preserve"> </w:t>
      </w:r>
      <w:r w:rsidRPr="000A0A5F">
        <w:t>Subscription</w:t>
      </w:r>
      <w:r w:rsidRPr="000A0A5F">
        <w:rPr>
          <w:lang w:eastAsia="zh-CN"/>
        </w:rPr>
        <w:t xml:space="preserve">" resource </w:t>
      </w:r>
      <w:r w:rsidRPr="000A0A5F">
        <w:rPr>
          <w:rFonts w:hint="eastAsia"/>
          <w:lang w:eastAsia="zh-CN"/>
        </w:rPr>
        <w:t>request</w:t>
      </w:r>
      <w:r w:rsidRPr="000A0A5F">
        <w:rPr>
          <w:lang w:eastAsia="zh-CN"/>
        </w:rPr>
        <w:t>ing</w:t>
      </w:r>
      <w:r w:rsidRPr="000A0A5F">
        <w:rPr>
          <w:rFonts w:hint="eastAsia"/>
          <w:lang w:eastAsia="zh-CN"/>
        </w:rPr>
        <w:t xml:space="preserve"> to </w:t>
      </w:r>
      <w:r w:rsidRPr="000A0A5F">
        <w:rPr>
          <w:lang w:eastAsia="zh-CN"/>
        </w:rPr>
        <w:t>replace all properties (e.g. new usage threshold, Flow Description or external Application Identifier) in the existing resource, addressed by the URI received in the response to the request that has created the resource.</w:t>
      </w:r>
      <w:r w:rsidRPr="000A0A5F">
        <w:rPr>
          <w:rFonts w:hint="eastAsia"/>
          <w:lang w:eastAsia="zh-CN"/>
        </w:rPr>
        <w:t xml:space="preserve"> </w:t>
      </w:r>
      <w:r w:rsidRPr="000A0A5F">
        <w:rPr>
          <w:lang w:eastAsia="zh-CN"/>
        </w:rPr>
        <w:t>The UE IP or MAC address shall remain unchanged from previously provided values. After</w:t>
      </w:r>
      <w:r w:rsidRPr="000A0A5F">
        <w:rPr>
          <w:rFonts w:hint="eastAsia"/>
          <w:lang w:eastAsia="zh-CN"/>
        </w:rPr>
        <w:t xml:space="preserve"> </w:t>
      </w:r>
      <w:r w:rsidRPr="000A0A5F">
        <w:rPr>
          <w:lang w:eastAsia="zh-CN"/>
        </w:rPr>
        <w:t>receiv</w:t>
      </w:r>
      <w:r w:rsidRPr="000A0A5F">
        <w:rPr>
          <w:rFonts w:hint="eastAsia"/>
          <w:lang w:eastAsia="zh-CN"/>
        </w:rPr>
        <w:t xml:space="preserve">ing such message, the SCEF shall make the change </w:t>
      </w:r>
      <w:r w:rsidRPr="000A0A5F">
        <w:rPr>
          <w:lang w:eastAsia="zh-CN"/>
        </w:rPr>
        <w:t xml:space="preserve">(e.g. if the usage threshold within the "usageThreshold" attribute is included in the HTTP PUT request and the accumulated usage report for the previously provided usage threshold is not received yet, the SCEF shall completely replace the previously provided one), </w:t>
      </w:r>
      <w:r w:rsidRPr="000A0A5F">
        <w:rPr>
          <w:rFonts w:hint="eastAsia"/>
          <w:lang w:eastAsia="zh-CN"/>
        </w:rPr>
        <w:t xml:space="preserve">and interact with the PCRF </w:t>
      </w:r>
      <w:r w:rsidRPr="000A0A5F">
        <w:rPr>
          <w:lang w:eastAsia="zh-CN"/>
        </w:rPr>
        <w:t xml:space="preserve">to modify the Rx session (as defined in </w:t>
      </w:r>
      <w:r w:rsidRPr="000A0A5F">
        <w:rPr>
          <w:rFonts w:hint="eastAsia"/>
          <w:lang w:eastAsia="zh-CN"/>
        </w:rPr>
        <w:t>3GPP TS 29.</w:t>
      </w:r>
      <w:r w:rsidRPr="000A0A5F">
        <w:rPr>
          <w:lang w:eastAsia="zh-CN"/>
        </w:rPr>
        <w:t>214</w:t>
      </w:r>
      <w:r w:rsidRPr="000A0A5F">
        <w:rPr>
          <w:lang w:val="en-US" w:eastAsia="zh-CN"/>
        </w:rPr>
        <w:t> </w:t>
      </w:r>
      <w:r w:rsidRPr="000A0A5F">
        <w:rPr>
          <w:rFonts w:hint="eastAsia"/>
          <w:lang w:val="en-US" w:eastAsia="zh-CN"/>
        </w:rPr>
        <w:t>[10]</w:t>
      </w:r>
      <w:r w:rsidRPr="000A0A5F">
        <w:rPr>
          <w:lang w:val="en-US" w:eastAsia="zh-CN"/>
        </w:rPr>
        <w:t xml:space="preserve"> or</w:t>
      </w:r>
      <w:r w:rsidRPr="000A0A5F">
        <w:t xml:space="preserve"> </w:t>
      </w:r>
      <w:r w:rsidRPr="000A0A5F">
        <w:rPr>
          <w:rFonts w:hint="eastAsia"/>
          <w:lang w:eastAsia="zh-CN"/>
        </w:rPr>
        <w:t>3GPP TS 29.</w:t>
      </w:r>
      <w:r w:rsidRPr="000A0A5F">
        <w:rPr>
          <w:lang w:eastAsia="zh-CN"/>
        </w:rPr>
        <w:t>201</w:t>
      </w:r>
      <w:r w:rsidRPr="000A0A5F">
        <w:rPr>
          <w:lang w:val="en-US" w:eastAsia="zh-CN"/>
        </w:rPr>
        <w:t> </w:t>
      </w:r>
      <w:r w:rsidRPr="000A0A5F">
        <w:rPr>
          <w:rFonts w:hint="eastAsia"/>
          <w:lang w:val="en-US" w:eastAsia="zh-CN"/>
        </w:rPr>
        <w:t>[</w:t>
      </w:r>
      <w:r w:rsidRPr="000A0A5F">
        <w:rPr>
          <w:lang w:val="en-US" w:eastAsia="zh-CN"/>
        </w:rPr>
        <w:t>13</w:t>
      </w:r>
      <w:r w:rsidRPr="000A0A5F">
        <w:rPr>
          <w:rFonts w:hint="eastAsia"/>
          <w:lang w:val="en-US" w:eastAsia="zh-CN"/>
        </w:rPr>
        <w:t>]</w:t>
      </w:r>
      <w:r w:rsidRPr="000A0A5F">
        <w:rPr>
          <w:lang w:eastAsia="zh-CN"/>
        </w:rPr>
        <w:t>)</w:t>
      </w:r>
      <w:r w:rsidRPr="000A0A5F">
        <w:rPr>
          <w:rFonts w:hint="eastAsia"/>
          <w:lang w:val="en-US" w:eastAsia="zh-CN"/>
        </w:rPr>
        <w:t xml:space="preserve">. </w:t>
      </w:r>
      <w:r w:rsidRPr="000A0A5F">
        <w:rPr>
          <w:lang w:val="en-US" w:eastAsia="zh-CN"/>
        </w:rPr>
        <w:t>After</w:t>
      </w:r>
      <w:r w:rsidRPr="000A0A5F">
        <w:rPr>
          <w:rFonts w:hint="eastAsia"/>
          <w:lang w:eastAsia="zh-CN"/>
        </w:rPr>
        <w:t xml:space="preserve"> receiving the response </w:t>
      </w:r>
      <w:r w:rsidRPr="000A0A5F">
        <w:rPr>
          <w:lang w:eastAsia="zh-CN"/>
        </w:rPr>
        <w:t>with successful result code from the</w:t>
      </w:r>
      <w:r w:rsidRPr="000A0A5F">
        <w:rPr>
          <w:rFonts w:hint="eastAsia"/>
          <w:lang w:eastAsia="zh-CN"/>
        </w:rPr>
        <w:t xml:space="preserve"> PCRF, the SCEF shall </w:t>
      </w:r>
      <w:r w:rsidRPr="000A0A5F">
        <w:rPr>
          <w:lang w:eastAsia="zh-CN"/>
        </w:rPr>
        <w:t xml:space="preserve">replace all properties of the existing resource, send an HTTP response to the SCS/AS with a </w:t>
      </w:r>
      <w:r w:rsidRPr="000A0A5F">
        <w:rPr>
          <w:noProof/>
          <w:lang w:eastAsia="zh-CN"/>
        </w:rPr>
        <w:t>"</w:t>
      </w:r>
      <w:r w:rsidRPr="000A0A5F">
        <w:rPr>
          <w:lang w:eastAsia="zh-CN"/>
        </w:rPr>
        <w:t>200 OK</w:t>
      </w:r>
      <w:r w:rsidRPr="000A0A5F">
        <w:rPr>
          <w:noProof/>
          <w:lang w:eastAsia="zh-CN"/>
        </w:rPr>
        <w:t>"</w:t>
      </w:r>
      <w:r w:rsidRPr="000A0A5F">
        <w:rPr>
          <w:lang w:eastAsia="zh-CN"/>
        </w:rPr>
        <w:t>status code,</w:t>
      </w:r>
      <w:r w:rsidRPr="000A0A5F">
        <w:rPr>
          <w:noProof/>
          <w:lang w:eastAsia="zh-CN"/>
        </w:rPr>
        <w:t xml:space="preserve"> and include the result in the body of the HTTP response or a "</w:t>
      </w:r>
      <w:r w:rsidRPr="000A0A5F">
        <w:rPr>
          <w:lang w:eastAsia="zh-CN"/>
        </w:rPr>
        <w:t>204 No Content</w:t>
      </w:r>
      <w:r w:rsidRPr="000A0A5F">
        <w:rPr>
          <w:noProof/>
          <w:lang w:eastAsia="zh-CN"/>
        </w:rPr>
        <w:t>"</w:t>
      </w:r>
      <w:r w:rsidRPr="000A0A5F">
        <w:rPr>
          <w:lang w:eastAsia="zh-CN"/>
        </w:rPr>
        <w:t xml:space="preserve"> status code</w:t>
      </w:r>
      <w:r w:rsidRPr="000A0A5F">
        <w:rPr>
          <w:rFonts w:hint="eastAsia"/>
          <w:lang w:eastAsia="zh-CN"/>
        </w:rPr>
        <w:t>.</w:t>
      </w:r>
      <w:r w:rsidRPr="000A0A5F">
        <w:rPr>
          <w:lang w:eastAsia="zh-CN"/>
        </w:rPr>
        <w:t xml:space="preserve"> </w:t>
      </w:r>
      <w:r w:rsidRPr="000A0A5F">
        <w:t>If the SCEF receives a response with an error code from the PCRF, the SCEF shall not update the resource and respond to the SCS/AS with a corresponding failure code as described in clause 5.2.6.</w:t>
      </w:r>
    </w:p>
    <w:p w:rsidR="00CB0DD7" w:rsidRPr="000A0A5F" w:rsidRDefault="00CB0DD7">
      <w:pPr>
        <w:tabs>
          <w:tab w:val="left" w:pos="3247"/>
        </w:tabs>
        <w:rPr>
          <w:lang w:eastAsia="zh-CN"/>
        </w:rPr>
      </w:pPr>
      <w:r w:rsidRPr="000A0A5F">
        <w:rPr>
          <w:lang w:eastAsia="zh-CN"/>
        </w:rPr>
        <w:t>T</w:t>
      </w:r>
      <w:r w:rsidRPr="000A0A5F">
        <w:rPr>
          <w:rFonts w:hint="eastAsia"/>
          <w:lang w:eastAsia="zh-CN"/>
        </w:rPr>
        <w:t xml:space="preserve">he SCS/AS </w:t>
      </w:r>
      <w:r w:rsidRPr="000A0A5F">
        <w:rPr>
          <w:lang w:eastAsia="zh-CN"/>
        </w:rPr>
        <w:t>may also</w:t>
      </w:r>
      <w:r w:rsidRPr="000A0A5F">
        <w:rPr>
          <w:rFonts w:hint="eastAsia"/>
          <w:lang w:eastAsia="zh-CN"/>
        </w:rPr>
        <w:t xml:space="preserve"> send an HTTP PATCH </w:t>
      </w:r>
      <w:r w:rsidRPr="000A0A5F">
        <w:rPr>
          <w:lang w:eastAsia="zh-CN"/>
        </w:rPr>
        <w:t>message</w:t>
      </w:r>
      <w:r w:rsidRPr="000A0A5F">
        <w:rPr>
          <w:rFonts w:hint="eastAsia"/>
          <w:lang w:eastAsia="zh-CN"/>
        </w:rPr>
        <w:t xml:space="preserve"> to </w:t>
      </w:r>
      <w:r w:rsidRPr="000A0A5F">
        <w:rPr>
          <w:lang w:eastAsia="zh-CN"/>
        </w:rPr>
        <w:t>the SCEF for the "</w:t>
      </w:r>
      <w:r w:rsidRPr="000A0A5F">
        <w:rPr>
          <w:rFonts w:hint="eastAsia"/>
          <w:lang w:eastAsia="zh-CN"/>
        </w:rPr>
        <w:t>Ind</w:t>
      </w:r>
      <w:r w:rsidRPr="000A0A5F">
        <w:rPr>
          <w:lang w:eastAsia="zh-CN"/>
        </w:rPr>
        <w:t>i</w:t>
      </w:r>
      <w:r w:rsidRPr="000A0A5F">
        <w:rPr>
          <w:rFonts w:hint="eastAsia"/>
          <w:lang w:eastAsia="zh-CN"/>
        </w:rPr>
        <w:t>vidual AS Session with Required QoS</w:t>
      </w:r>
      <w:r w:rsidRPr="000A0A5F">
        <w:rPr>
          <w:lang w:eastAsia="zh-CN"/>
        </w:rPr>
        <w:t xml:space="preserve"> </w:t>
      </w:r>
      <w:r w:rsidRPr="000A0A5F">
        <w:t>Subscription</w:t>
      </w:r>
      <w:r w:rsidRPr="000A0A5F">
        <w:rPr>
          <w:lang w:eastAsia="zh-CN"/>
        </w:rPr>
        <w:t xml:space="preserve">" resource </w:t>
      </w:r>
      <w:r w:rsidRPr="000A0A5F">
        <w:rPr>
          <w:rFonts w:hint="eastAsia"/>
          <w:lang w:eastAsia="zh-CN"/>
        </w:rPr>
        <w:t>request</w:t>
      </w:r>
      <w:r w:rsidRPr="000A0A5F">
        <w:rPr>
          <w:lang w:eastAsia="zh-CN"/>
        </w:rPr>
        <w:t>ing</w:t>
      </w:r>
      <w:r w:rsidRPr="000A0A5F">
        <w:rPr>
          <w:rFonts w:hint="eastAsia"/>
          <w:lang w:eastAsia="zh-CN"/>
        </w:rPr>
        <w:t xml:space="preserve"> to </w:t>
      </w:r>
      <w:r w:rsidRPr="000A0A5F">
        <w:rPr>
          <w:lang w:eastAsia="zh-CN"/>
        </w:rPr>
        <w:t>change some created properties (e.g. new usage threshold, Flow Description or external Application Identifier</w:t>
      </w:r>
      <w:r w:rsidR="00153C67" w:rsidRPr="000A0A5F">
        <w:rPr>
          <w:lang w:eastAsia="zh-CN"/>
        </w:rPr>
        <w:t xml:space="preserve">, updated list of user plane event(s) if the </w:t>
      </w:r>
      <w:r w:rsidR="00153C67" w:rsidRPr="000A0A5F">
        <w:t>"enNB" feature is supported</w:t>
      </w:r>
      <w:r w:rsidRPr="000A0A5F">
        <w:rPr>
          <w:lang w:eastAsia="zh-CN"/>
        </w:rPr>
        <w:t>).</w:t>
      </w:r>
      <w:r w:rsidRPr="000A0A5F">
        <w:rPr>
          <w:rFonts w:hint="eastAsia"/>
          <w:lang w:eastAsia="zh-CN"/>
        </w:rPr>
        <w:t xml:space="preserve"> </w:t>
      </w:r>
      <w:r w:rsidRPr="000A0A5F">
        <w:rPr>
          <w:lang w:eastAsia="zh-CN"/>
        </w:rPr>
        <w:t>After</w:t>
      </w:r>
      <w:r w:rsidRPr="000A0A5F">
        <w:rPr>
          <w:rFonts w:hint="eastAsia"/>
          <w:lang w:eastAsia="zh-CN"/>
        </w:rPr>
        <w:t xml:space="preserve"> </w:t>
      </w:r>
      <w:r w:rsidRPr="000A0A5F">
        <w:rPr>
          <w:lang w:eastAsia="zh-CN"/>
        </w:rPr>
        <w:t>receiv</w:t>
      </w:r>
      <w:r w:rsidRPr="000A0A5F">
        <w:rPr>
          <w:rFonts w:hint="eastAsia"/>
          <w:lang w:eastAsia="zh-CN"/>
        </w:rPr>
        <w:t xml:space="preserve">ing the HTTP PATCH message, the SCEF shall make the change </w:t>
      </w:r>
      <w:r w:rsidRPr="000A0A5F">
        <w:rPr>
          <w:lang w:eastAsia="zh-CN"/>
        </w:rPr>
        <w:t>(e.g. if the usage threshold within the "</w:t>
      </w:r>
      <w:r w:rsidRPr="000A0A5F">
        <w:t>usageThreshold</w:t>
      </w:r>
      <w:r w:rsidRPr="000A0A5F">
        <w:rPr>
          <w:lang w:eastAsia="zh-CN"/>
        </w:rPr>
        <w:t>"</w:t>
      </w:r>
      <w:r w:rsidRPr="000A0A5F">
        <w:t xml:space="preserve"> attribute is included in the HTTP PATCH request and the accumulated usage report for the previously provided usage threshold is not received yet, the SCEF shall completely replace the previously provided one</w:t>
      </w:r>
      <w:r w:rsidRPr="000A0A5F">
        <w:rPr>
          <w:lang w:eastAsia="zh-CN"/>
        </w:rPr>
        <w:t xml:space="preserve">), </w:t>
      </w:r>
      <w:r w:rsidRPr="000A0A5F">
        <w:rPr>
          <w:rFonts w:hint="eastAsia"/>
          <w:lang w:eastAsia="zh-CN"/>
        </w:rPr>
        <w:t xml:space="preserve">and interact with the PCRF </w:t>
      </w:r>
      <w:r w:rsidRPr="000A0A5F">
        <w:rPr>
          <w:lang w:eastAsia="zh-CN"/>
        </w:rPr>
        <w:t xml:space="preserve">to modify the Rx session (as defined in </w:t>
      </w:r>
      <w:r w:rsidRPr="000A0A5F">
        <w:rPr>
          <w:rFonts w:hint="eastAsia"/>
          <w:lang w:eastAsia="zh-CN"/>
        </w:rPr>
        <w:t>3GPP TS 29.</w:t>
      </w:r>
      <w:r w:rsidRPr="000A0A5F">
        <w:rPr>
          <w:lang w:eastAsia="zh-CN"/>
        </w:rPr>
        <w:t>214</w:t>
      </w:r>
      <w:r w:rsidRPr="000A0A5F">
        <w:rPr>
          <w:lang w:val="en-US" w:eastAsia="zh-CN"/>
        </w:rPr>
        <w:t> </w:t>
      </w:r>
      <w:r w:rsidRPr="000A0A5F">
        <w:rPr>
          <w:rFonts w:hint="eastAsia"/>
          <w:lang w:val="en-US" w:eastAsia="zh-CN"/>
        </w:rPr>
        <w:t>[10]</w:t>
      </w:r>
      <w:r w:rsidRPr="000A0A5F">
        <w:rPr>
          <w:lang w:val="en-US" w:eastAsia="zh-CN"/>
        </w:rPr>
        <w:t xml:space="preserve"> or</w:t>
      </w:r>
      <w:r w:rsidRPr="000A0A5F">
        <w:t xml:space="preserve"> </w:t>
      </w:r>
      <w:r w:rsidRPr="000A0A5F">
        <w:rPr>
          <w:rFonts w:hint="eastAsia"/>
          <w:lang w:eastAsia="zh-CN"/>
        </w:rPr>
        <w:t>3GPP TS 29.</w:t>
      </w:r>
      <w:r w:rsidRPr="000A0A5F">
        <w:rPr>
          <w:lang w:eastAsia="zh-CN"/>
        </w:rPr>
        <w:t>201</w:t>
      </w:r>
      <w:r w:rsidRPr="000A0A5F">
        <w:rPr>
          <w:lang w:val="en-US" w:eastAsia="zh-CN"/>
        </w:rPr>
        <w:t> </w:t>
      </w:r>
      <w:r w:rsidRPr="000A0A5F">
        <w:rPr>
          <w:rFonts w:hint="eastAsia"/>
          <w:lang w:val="en-US" w:eastAsia="zh-CN"/>
        </w:rPr>
        <w:t>[</w:t>
      </w:r>
      <w:r w:rsidRPr="000A0A5F">
        <w:rPr>
          <w:lang w:val="en-US" w:eastAsia="zh-CN"/>
        </w:rPr>
        <w:t>13</w:t>
      </w:r>
      <w:r w:rsidRPr="000A0A5F">
        <w:rPr>
          <w:rFonts w:hint="eastAsia"/>
          <w:lang w:val="en-US" w:eastAsia="zh-CN"/>
        </w:rPr>
        <w:t>]</w:t>
      </w:r>
      <w:r w:rsidRPr="000A0A5F">
        <w:rPr>
          <w:lang w:eastAsia="zh-CN"/>
        </w:rPr>
        <w:t>)</w:t>
      </w:r>
      <w:r w:rsidRPr="000A0A5F">
        <w:rPr>
          <w:rFonts w:hint="eastAsia"/>
          <w:lang w:val="en-US" w:eastAsia="zh-CN"/>
        </w:rPr>
        <w:t xml:space="preserve">. </w:t>
      </w:r>
      <w:r w:rsidRPr="000A0A5F">
        <w:rPr>
          <w:lang w:val="en-US" w:eastAsia="zh-CN"/>
        </w:rPr>
        <w:t>After</w:t>
      </w:r>
      <w:r w:rsidRPr="000A0A5F">
        <w:rPr>
          <w:rFonts w:hint="eastAsia"/>
          <w:lang w:eastAsia="zh-CN"/>
        </w:rPr>
        <w:t xml:space="preserve"> receiving the response </w:t>
      </w:r>
      <w:r w:rsidRPr="000A0A5F">
        <w:rPr>
          <w:lang w:eastAsia="zh-CN"/>
        </w:rPr>
        <w:t>from the</w:t>
      </w:r>
      <w:r w:rsidRPr="000A0A5F">
        <w:rPr>
          <w:rFonts w:hint="eastAsia"/>
          <w:lang w:eastAsia="zh-CN"/>
        </w:rPr>
        <w:t xml:space="preserve"> PCRF, the SCEF shall send an HTTP response to the SCS/AS</w:t>
      </w:r>
      <w:r w:rsidRPr="000A0A5F">
        <w:rPr>
          <w:noProof/>
          <w:lang w:eastAsia="zh-CN"/>
        </w:rPr>
        <w:t xml:space="preserve"> with a "</w:t>
      </w:r>
      <w:r w:rsidRPr="000A0A5F">
        <w:rPr>
          <w:lang w:eastAsia="zh-CN"/>
        </w:rPr>
        <w:t>200 OK</w:t>
      </w:r>
      <w:r w:rsidRPr="000A0A5F">
        <w:rPr>
          <w:noProof/>
          <w:lang w:eastAsia="zh-CN"/>
        </w:rPr>
        <w:t>"status code and include the result in the body of the HTTP response, or a "</w:t>
      </w:r>
      <w:r w:rsidRPr="000A0A5F">
        <w:rPr>
          <w:lang w:eastAsia="zh-CN"/>
        </w:rPr>
        <w:t>204 No Content</w:t>
      </w:r>
      <w:r w:rsidRPr="000A0A5F">
        <w:rPr>
          <w:noProof/>
          <w:lang w:eastAsia="zh-CN"/>
        </w:rPr>
        <w:t>"</w:t>
      </w:r>
      <w:r w:rsidRPr="000A0A5F">
        <w:rPr>
          <w:lang w:eastAsia="zh-CN"/>
        </w:rPr>
        <w:t xml:space="preserve"> status code</w:t>
      </w:r>
      <w:r w:rsidRPr="000A0A5F">
        <w:rPr>
          <w:rFonts w:hint="eastAsia"/>
          <w:lang w:eastAsia="zh-CN"/>
        </w:rPr>
        <w:t>.</w:t>
      </w:r>
    </w:p>
    <w:p w:rsidR="00CB0DD7" w:rsidRPr="000A0A5F" w:rsidRDefault="00CB0DD7">
      <w:pPr>
        <w:pStyle w:val="NO"/>
        <w:rPr>
          <w:noProof/>
          <w:lang w:eastAsia="zh-CN"/>
        </w:rPr>
      </w:pPr>
      <w:r w:rsidRPr="000A0A5F">
        <w:t>NOTE </w:t>
      </w:r>
      <w:r w:rsidR="00153C67" w:rsidRPr="000A0A5F">
        <w:t>4</w:t>
      </w:r>
      <w:r w:rsidRPr="000A0A5F">
        <w:t>:</w:t>
      </w:r>
      <w:r w:rsidRPr="000A0A5F">
        <w:tab/>
        <w:t>The SCS/AS can assume a successful resource allocation upon receipt of the POST/PUT/PATCH response</w:t>
      </w:r>
      <w:r w:rsidRPr="000A0A5F">
        <w:rPr>
          <w:noProof/>
          <w:lang w:eastAsia="zh-CN"/>
        </w:rPr>
        <w:t xml:space="preserve">, until the </w:t>
      </w:r>
      <w:r w:rsidRPr="000A0A5F">
        <w:t>FAILED_RESOURCES_ALLOCATION</w:t>
      </w:r>
      <w:r w:rsidRPr="000A0A5F">
        <w:rPr>
          <w:noProof/>
          <w:lang w:eastAsia="zh-CN"/>
        </w:rPr>
        <w:t xml:space="preserve"> event is received.</w:t>
      </w:r>
    </w:p>
    <w:p w:rsidR="00153C67" w:rsidRPr="000A0A5F" w:rsidRDefault="00153C67" w:rsidP="00153C67">
      <w:pPr>
        <w:pStyle w:val="NO"/>
        <w:rPr>
          <w:noProof/>
          <w:lang w:eastAsia="zh-CN"/>
        </w:rPr>
      </w:pPr>
      <w:r w:rsidRPr="000A0A5F">
        <w:t>NOTE 5:</w:t>
      </w:r>
      <w:r w:rsidRPr="000A0A5F">
        <w:tab/>
        <w:t>The SCS/AS can update the list of user plane event(s) only for one time specific events, i.e. INDICATION_OF_SUCCESSFUL_RESOURCES_ALLOCATION, INDICATION_OF_FAILED_RESOURCES_ALLOCATION and USAGE_REPORT events, as specified in clause 5.3.13 of 3GPP TS 29.214 [10]</w:t>
      </w:r>
      <w:r w:rsidRPr="000A0A5F">
        <w:rPr>
          <w:noProof/>
          <w:lang w:eastAsia="zh-CN"/>
        </w:rPr>
        <w:t>.</w:t>
      </w:r>
    </w:p>
    <w:p w:rsidR="00CB0DD7" w:rsidRPr="000A0A5F" w:rsidRDefault="00CB0DD7">
      <w:pPr>
        <w:tabs>
          <w:tab w:val="left" w:pos="3247"/>
        </w:tabs>
        <w:rPr>
          <w:rFonts w:hint="eastAsia"/>
          <w:lang w:eastAsia="zh-CN"/>
        </w:rPr>
      </w:pPr>
      <w:r w:rsidRPr="000A0A5F">
        <w:rPr>
          <w:rFonts w:hint="eastAsia"/>
        </w:rPr>
        <w:t>If</w:t>
      </w:r>
      <w:r w:rsidRPr="000A0A5F">
        <w:t xml:space="preserve"> the </w:t>
      </w:r>
      <w:r w:rsidRPr="000A0A5F">
        <w:rPr>
          <w:rFonts w:hint="eastAsia"/>
          <w:lang w:eastAsia="zh-CN"/>
        </w:rPr>
        <w:t xml:space="preserve">SCEF receives </w:t>
      </w:r>
      <w:r w:rsidRPr="000A0A5F">
        <w:rPr>
          <w:lang w:eastAsia="zh-CN"/>
        </w:rPr>
        <w:t>a traffic plane notification</w:t>
      </w:r>
      <w:r w:rsidRPr="000A0A5F">
        <w:rPr>
          <w:rFonts w:hint="eastAsia"/>
          <w:lang w:eastAsia="zh-CN"/>
        </w:rPr>
        <w:t xml:space="preserve"> </w:t>
      </w:r>
      <w:r w:rsidRPr="000A0A5F">
        <w:rPr>
          <w:lang w:eastAsia="zh-CN"/>
        </w:rPr>
        <w:t xml:space="preserve">(e.g. </w:t>
      </w:r>
      <w:r w:rsidRPr="000A0A5F">
        <w:rPr>
          <w:rFonts w:hint="eastAsia"/>
          <w:lang w:eastAsia="zh-CN"/>
        </w:rPr>
        <w:t xml:space="preserve">the </w:t>
      </w:r>
      <w:r w:rsidRPr="000A0A5F">
        <w:t>usage threshold is reached or transmission resource lost), or if the SCEF gets informed that the Rx session is terminated (e.g. due to a release of PDN connection), the SCEF shall send an HTTP POST message including the notified event (e.g. session terminated) and the accumulated usage (if received from the PCRF) to the callback URI "notificationUri" provided by the SCS/AS during the creation of individual AS Session with Required QoS Subscription. The SCS/AS shall respond with an HTTP response to confirm the received notification.</w:t>
      </w:r>
    </w:p>
    <w:p w:rsidR="00CB0DD7" w:rsidRPr="000A0A5F" w:rsidRDefault="00CB0DD7">
      <w:pPr>
        <w:tabs>
          <w:tab w:val="left" w:pos="3247"/>
        </w:tabs>
        <w:rPr>
          <w:rFonts w:hint="eastAsia"/>
          <w:lang w:eastAsia="zh-CN"/>
        </w:rPr>
      </w:pPr>
      <w:r w:rsidRPr="000A0A5F">
        <w:rPr>
          <w:lang w:eastAsia="zh-CN"/>
        </w:rPr>
        <w:t>In order to remove the established AS session, t</w:t>
      </w:r>
      <w:r w:rsidRPr="000A0A5F">
        <w:rPr>
          <w:rFonts w:hint="eastAsia"/>
          <w:lang w:eastAsia="zh-CN"/>
        </w:rPr>
        <w:t xml:space="preserve">he SCS/AS </w:t>
      </w:r>
      <w:r w:rsidRPr="000A0A5F">
        <w:rPr>
          <w:lang w:eastAsia="zh-CN"/>
        </w:rPr>
        <w:t>shall</w:t>
      </w:r>
      <w:r w:rsidRPr="000A0A5F">
        <w:rPr>
          <w:rFonts w:hint="eastAsia"/>
          <w:lang w:eastAsia="zh-CN"/>
        </w:rPr>
        <w:t xml:space="preserve"> send an HTTP DELETE </w:t>
      </w:r>
      <w:r w:rsidRPr="000A0A5F">
        <w:rPr>
          <w:lang w:eastAsia="zh-CN"/>
        </w:rPr>
        <w:t>message to the SCEF for the "</w:t>
      </w:r>
      <w:r w:rsidRPr="000A0A5F">
        <w:rPr>
          <w:rFonts w:hint="eastAsia"/>
          <w:lang w:eastAsia="zh-CN"/>
        </w:rPr>
        <w:t>Ind</w:t>
      </w:r>
      <w:r w:rsidRPr="000A0A5F">
        <w:rPr>
          <w:lang w:eastAsia="zh-CN"/>
        </w:rPr>
        <w:t>i</w:t>
      </w:r>
      <w:r w:rsidRPr="000A0A5F">
        <w:rPr>
          <w:rFonts w:hint="eastAsia"/>
          <w:lang w:eastAsia="zh-CN"/>
        </w:rPr>
        <w:t>vidual AS Session with Required QoS</w:t>
      </w:r>
      <w:r w:rsidRPr="000A0A5F">
        <w:rPr>
          <w:lang w:eastAsia="zh-CN"/>
        </w:rPr>
        <w:t xml:space="preserve"> </w:t>
      </w:r>
      <w:r w:rsidRPr="000A0A5F">
        <w:t>Subscription</w:t>
      </w:r>
      <w:r w:rsidRPr="000A0A5F">
        <w:rPr>
          <w:lang w:eastAsia="zh-CN"/>
        </w:rPr>
        <w:t>" resource.</w:t>
      </w:r>
      <w:r w:rsidRPr="000A0A5F">
        <w:rPr>
          <w:rFonts w:hint="eastAsia"/>
          <w:lang w:eastAsia="zh-CN"/>
        </w:rPr>
        <w:t xml:space="preserve"> </w:t>
      </w:r>
      <w:r w:rsidRPr="000A0A5F">
        <w:rPr>
          <w:lang w:eastAsia="zh-CN"/>
        </w:rPr>
        <w:t>After</w:t>
      </w:r>
      <w:r w:rsidRPr="000A0A5F">
        <w:rPr>
          <w:rFonts w:hint="eastAsia"/>
          <w:lang w:eastAsia="zh-CN"/>
        </w:rPr>
        <w:t xml:space="preserve"> </w:t>
      </w:r>
      <w:r w:rsidRPr="000A0A5F">
        <w:rPr>
          <w:lang w:eastAsia="zh-CN"/>
        </w:rPr>
        <w:t>receiv</w:t>
      </w:r>
      <w:r w:rsidRPr="000A0A5F">
        <w:rPr>
          <w:rFonts w:hint="eastAsia"/>
          <w:lang w:eastAsia="zh-CN"/>
        </w:rPr>
        <w:t>ing the HTTP DELETE message, the SCEF shall remove all</w:t>
      </w:r>
      <w:r w:rsidRPr="000A0A5F">
        <w:rPr>
          <w:lang w:eastAsia="zh-CN"/>
        </w:rPr>
        <w:t xml:space="preserve"> properties</w:t>
      </w:r>
      <w:r w:rsidRPr="000A0A5F">
        <w:rPr>
          <w:rFonts w:hint="eastAsia"/>
          <w:lang w:eastAsia="zh-CN"/>
        </w:rPr>
        <w:t xml:space="preserve"> and interact with the PCRF </w:t>
      </w:r>
      <w:r w:rsidRPr="000A0A5F">
        <w:rPr>
          <w:lang w:eastAsia="zh-CN"/>
        </w:rPr>
        <w:t xml:space="preserve">to terminate the Rx session (as defined in </w:t>
      </w:r>
      <w:r w:rsidRPr="000A0A5F">
        <w:rPr>
          <w:rFonts w:hint="eastAsia"/>
          <w:lang w:eastAsia="zh-CN"/>
        </w:rPr>
        <w:t>3GPP TS 29.</w:t>
      </w:r>
      <w:r w:rsidRPr="000A0A5F">
        <w:rPr>
          <w:lang w:eastAsia="zh-CN"/>
        </w:rPr>
        <w:t>214</w:t>
      </w:r>
      <w:r w:rsidRPr="000A0A5F">
        <w:rPr>
          <w:lang w:val="en-US" w:eastAsia="zh-CN"/>
        </w:rPr>
        <w:t> </w:t>
      </w:r>
      <w:r w:rsidRPr="000A0A5F">
        <w:rPr>
          <w:rFonts w:hint="eastAsia"/>
          <w:lang w:val="en-US" w:eastAsia="zh-CN"/>
        </w:rPr>
        <w:t>[10]</w:t>
      </w:r>
      <w:r w:rsidRPr="000A0A5F">
        <w:rPr>
          <w:lang w:val="en-US" w:eastAsia="zh-CN"/>
        </w:rPr>
        <w:t xml:space="preserve"> or</w:t>
      </w:r>
      <w:r w:rsidRPr="000A0A5F">
        <w:t xml:space="preserve"> </w:t>
      </w:r>
      <w:r w:rsidRPr="000A0A5F">
        <w:rPr>
          <w:rFonts w:hint="eastAsia"/>
          <w:lang w:eastAsia="zh-CN"/>
        </w:rPr>
        <w:t>3GPP TS 29.</w:t>
      </w:r>
      <w:r w:rsidRPr="000A0A5F">
        <w:rPr>
          <w:lang w:eastAsia="zh-CN"/>
        </w:rPr>
        <w:t>201</w:t>
      </w:r>
      <w:r w:rsidRPr="000A0A5F">
        <w:rPr>
          <w:lang w:val="en-US" w:eastAsia="zh-CN"/>
        </w:rPr>
        <w:t> </w:t>
      </w:r>
      <w:r w:rsidRPr="000A0A5F">
        <w:rPr>
          <w:rFonts w:hint="eastAsia"/>
          <w:lang w:val="en-US" w:eastAsia="zh-CN"/>
        </w:rPr>
        <w:t>[</w:t>
      </w:r>
      <w:r w:rsidRPr="000A0A5F">
        <w:rPr>
          <w:lang w:val="en-US" w:eastAsia="zh-CN"/>
        </w:rPr>
        <w:t>13</w:t>
      </w:r>
      <w:r w:rsidRPr="000A0A5F">
        <w:rPr>
          <w:rFonts w:hint="eastAsia"/>
          <w:lang w:val="en-US" w:eastAsia="zh-CN"/>
        </w:rPr>
        <w:t>]</w:t>
      </w:r>
      <w:r w:rsidRPr="000A0A5F">
        <w:rPr>
          <w:lang w:eastAsia="zh-CN"/>
        </w:rPr>
        <w:t>)</w:t>
      </w:r>
      <w:r w:rsidRPr="000A0A5F">
        <w:rPr>
          <w:rFonts w:hint="eastAsia"/>
          <w:lang w:val="en-US" w:eastAsia="zh-CN"/>
        </w:rPr>
        <w:t xml:space="preserve">. </w:t>
      </w:r>
      <w:r w:rsidRPr="000A0A5F">
        <w:rPr>
          <w:lang w:eastAsia="zh-CN"/>
        </w:rPr>
        <w:t>After</w:t>
      </w:r>
      <w:r w:rsidRPr="000A0A5F">
        <w:rPr>
          <w:rFonts w:hint="eastAsia"/>
          <w:lang w:eastAsia="zh-CN"/>
        </w:rPr>
        <w:t xml:space="preserve"> receiving the</w:t>
      </w:r>
      <w:r w:rsidRPr="000A0A5F">
        <w:rPr>
          <w:lang w:eastAsia="zh-CN"/>
        </w:rPr>
        <w:t xml:space="preserve"> </w:t>
      </w:r>
      <w:r w:rsidRPr="000A0A5F">
        <w:rPr>
          <w:rFonts w:hint="eastAsia"/>
          <w:lang w:eastAsia="zh-CN"/>
        </w:rPr>
        <w:t xml:space="preserve">response </w:t>
      </w:r>
      <w:r w:rsidRPr="000A0A5F">
        <w:rPr>
          <w:lang w:eastAsia="zh-CN"/>
        </w:rPr>
        <w:t>from the</w:t>
      </w:r>
      <w:r w:rsidRPr="000A0A5F">
        <w:rPr>
          <w:rFonts w:hint="eastAsia"/>
          <w:lang w:eastAsia="zh-CN"/>
        </w:rPr>
        <w:t xml:space="preserve"> PCRF, the SCEF shall send an HTTP response to the SCS/AS</w:t>
      </w:r>
      <w:r w:rsidRPr="000A0A5F">
        <w:rPr>
          <w:noProof/>
          <w:lang w:eastAsia="zh-CN"/>
        </w:rPr>
        <w:t xml:space="preserve"> with a corresponding status code</w:t>
      </w:r>
      <w:r w:rsidRPr="000A0A5F">
        <w:rPr>
          <w:lang w:eastAsia="zh-CN"/>
        </w:rPr>
        <w:t xml:space="preserve"> </w:t>
      </w:r>
      <w:r w:rsidRPr="000A0A5F">
        <w:rPr>
          <w:noProof/>
          <w:lang w:eastAsia="zh-CN"/>
        </w:rPr>
        <w:t>and include the accumulated usage (if received from the PCRF).</w:t>
      </w:r>
    </w:p>
    <w:p w:rsidR="00CB0DD7" w:rsidRPr="000A0A5F" w:rsidRDefault="00CB0DD7">
      <w:pPr>
        <w:pStyle w:val="Heading3"/>
      </w:pPr>
      <w:bookmarkStart w:id="918" w:name="_Toc11247244"/>
      <w:bookmarkStart w:id="919" w:name="_Toc27044363"/>
      <w:bookmarkStart w:id="920" w:name="_Toc36033405"/>
      <w:bookmarkStart w:id="921" w:name="_Toc45131537"/>
      <w:bookmarkStart w:id="922" w:name="_Toc49775822"/>
      <w:bookmarkStart w:id="923" w:name="_Toc51746742"/>
      <w:bookmarkStart w:id="924" w:name="_Toc66360284"/>
      <w:bookmarkStart w:id="925" w:name="_Toc68104789"/>
      <w:bookmarkStart w:id="926" w:name="_Toc74755418"/>
      <w:bookmarkStart w:id="927" w:name="_Toc105674273"/>
      <w:bookmarkStart w:id="928" w:name="_Toc130502306"/>
      <w:bookmarkStart w:id="929" w:name="_Toc153625085"/>
      <w:r w:rsidRPr="000A0A5F">
        <w:t>4.4.14</w:t>
      </w:r>
      <w:r w:rsidRPr="000A0A5F">
        <w:tab/>
        <w:t>Procedures for MSISDN-less Mobile Originated SMS</w:t>
      </w:r>
      <w:bookmarkEnd w:id="918"/>
      <w:bookmarkEnd w:id="919"/>
      <w:bookmarkEnd w:id="920"/>
      <w:bookmarkEnd w:id="921"/>
      <w:bookmarkEnd w:id="922"/>
      <w:bookmarkEnd w:id="923"/>
      <w:bookmarkEnd w:id="924"/>
      <w:bookmarkEnd w:id="925"/>
      <w:bookmarkEnd w:id="926"/>
      <w:bookmarkEnd w:id="927"/>
      <w:bookmarkEnd w:id="928"/>
      <w:bookmarkEnd w:id="929"/>
    </w:p>
    <w:p w:rsidR="00CB0DD7" w:rsidRPr="000A0A5F" w:rsidRDefault="00CB0DD7">
      <w:pPr>
        <w:pStyle w:val="Heading4"/>
      </w:pPr>
      <w:bookmarkStart w:id="930" w:name="_Toc11247245"/>
      <w:bookmarkStart w:id="931" w:name="_Toc27044364"/>
      <w:bookmarkStart w:id="932" w:name="_Toc36033406"/>
      <w:bookmarkStart w:id="933" w:name="_Toc45131538"/>
      <w:bookmarkStart w:id="934" w:name="_Toc49775823"/>
      <w:bookmarkStart w:id="935" w:name="_Toc51746743"/>
      <w:bookmarkStart w:id="936" w:name="_Toc66360285"/>
      <w:bookmarkStart w:id="937" w:name="_Toc68104790"/>
      <w:bookmarkStart w:id="938" w:name="_Toc74755419"/>
      <w:bookmarkStart w:id="939" w:name="_Toc105674274"/>
      <w:bookmarkStart w:id="940" w:name="_Toc130502307"/>
      <w:bookmarkStart w:id="941" w:name="_Toc153625086"/>
      <w:r w:rsidRPr="000A0A5F">
        <w:t>4.4.14.1</w:t>
      </w:r>
      <w:r w:rsidRPr="000A0A5F">
        <w:tab/>
        <w:t>General</w:t>
      </w:r>
      <w:bookmarkEnd w:id="930"/>
      <w:bookmarkEnd w:id="931"/>
      <w:bookmarkEnd w:id="932"/>
      <w:bookmarkEnd w:id="933"/>
      <w:bookmarkEnd w:id="934"/>
      <w:bookmarkEnd w:id="935"/>
      <w:bookmarkEnd w:id="936"/>
      <w:bookmarkEnd w:id="937"/>
      <w:bookmarkEnd w:id="938"/>
      <w:bookmarkEnd w:id="939"/>
      <w:bookmarkEnd w:id="940"/>
      <w:bookmarkEnd w:id="941"/>
    </w:p>
    <w:p w:rsidR="00CB0DD7" w:rsidRPr="000A0A5F" w:rsidRDefault="00CB0DD7">
      <w:pPr>
        <w:rPr>
          <w:lang w:eastAsia="zh-CN"/>
        </w:rPr>
      </w:pPr>
      <w:r w:rsidRPr="000A0A5F">
        <w:t>Th</w:t>
      </w:r>
      <w:r w:rsidRPr="000A0A5F">
        <w:rPr>
          <w:rFonts w:hint="eastAsia"/>
          <w:lang w:eastAsia="zh-CN"/>
        </w:rPr>
        <w:t>e</w:t>
      </w:r>
      <w:r w:rsidRPr="000A0A5F">
        <w:t xml:space="preserve"> </w:t>
      </w:r>
      <w:r w:rsidRPr="000A0A5F">
        <w:rPr>
          <w:rFonts w:hint="eastAsia"/>
          <w:lang w:eastAsia="zh-CN"/>
        </w:rPr>
        <w:t xml:space="preserve">procedures </w:t>
      </w:r>
      <w:r w:rsidRPr="000A0A5F">
        <w:rPr>
          <w:lang w:eastAsia="zh-CN"/>
        </w:rPr>
        <w:t xml:space="preserve">are used by the SCEF </w:t>
      </w:r>
      <w:r w:rsidRPr="000A0A5F">
        <w:rPr>
          <w:rFonts w:hint="eastAsia"/>
          <w:lang w:eastAsia="zh-CN"/>
        </w:rPr>
        <w:t xml:space="preserve">to send the </w:t>
      </w:r>
      <w:r w:rsidRPr="000A0A5F">
        <w:t>MSISDN-less MO-SMS</w:t>
      </w:r>
      <w:r w:rsidRPr="000A0A5F">
        <w:rPr>
          <w:rFonts w:hint="eastAsia"/>
          <w:lang w:eastAsia="zh-CN"/>
        </w:rPr>
        <w:t xml:space="preserve"> to the SCS/AS </w:t>
      </w:r>
      <w:r w:rsidRPr="000A0A5F">
        <w:t>via T8</w:t>
      </w:r>
      <w:r w:rsidRPr="000A0A5F">
        <w:rPr>
          <w:rFonts w:hint="eastAsia"/>
          <w:lang w:eastAsia="zh-CN"/>
        </w:rPr>
        <w:t xml:space="preserve"> </w:t>
      </w:r>
      <w:r w:rsidRPr="000A0A5F">
        <w:rPr>
          <w:lang w:eastAsia="zh-CN"/>
        </w:rPr>
        <w:t>interface</w:t>
      </w:r>
      <w:r w:rsidRPr="000A0A5F">
        <w:rPr>
          <w:rFonts w:hint="eastAsia"/>
          <w:lang w:eastAsia="zh-CN"/>
        </w:rPr>
        <w:t>.</w:t>
      </w:r>
    </w:p>
    <w:p w:rsidR="00CB0DD7" w:rsidRPr="000A0A5F" w:rsidRDefault="00CB0DD7">
      <w:pPr>
        <w:pStyle w:val="Heading4"/>
        <w:rPr>
          <w:rFonts w:hint="eastAsia"/>
        </w:rPr>
      </w:pPr>
      <w:bookmarkStart w:id="942" w:name="_Toc11247246"/>
      <w:bookmarkStart w:id="943" w:name="_Toc27044365"/>
      <w:bookmarkStart w:id="944" w:name="_Toc36033407"/>
      <w:bookmarkStart w:id="945" w:name="_Toc45131539"/>
      <w:bookmarkStart w:id="946" w:name="_Toc49775824"/>
      <w:bookmarkStart w:id="947" w:name="_Toc51746744"/>
      <w:bookmarkStart w:id="948" w:name="_Toc66360286"/>
      <w:bookmarkStart w:id="949" w:name="_Toc68104791"/>
      <w:bookmarkStart w:id="950" w:name="_Toc74755420"/>
      <w:bookmarkStart w:id="951" w:name="_Toc105674275"/>
      <w:bookmarkStart w:id="952" w:name="_Toc130502308"/>
      <w:bookmarkStart w:id="953" w:name="_Toc153625087"/>
      <w:r w:rsidRPr="000A0A5F">
        <w:t>4.4.14.2</w:t>
      </w:r>
      <w:r w:rsidRPr="000A0A5F">
        <w:tab/>
        <w:t>Delivery of MSISDN-less MO SMS</w:t>
      </w:r>
      <w:bookmarkEnd w:id="942"/>
      <w:bookmarkEnd w:id="943"/>
      <w:bookmarkEnd w:id="944"/>
      <w:bookmarkEnd w:id="945"/>
      <w:bookmarkEnd w:id="946"/>
      <w:bookmarkEnd w:id="947"/>
      <w:bookmarkEnd w:id="948"/>
      <w:bookmarkEnd w:id="949"/>
      <w:bookmarkEnd w:id="950"/>
      <w:bookmarkEnd w:id="951"/>
      <w:bookmarkEnd w:id="952"/>
      <w:bookmarkEnd w:id="953"/>
    </w:p>
    <w:p w:rsidR="00CB0DD7" w:rsidRPr="000A0A5F" w:rsidRDefault="00CB0DD7">
      <w:r w:rsidRPr="000A0A5F">
        <w:t xml:space="preserve">If the SCEF receives an MSISDN-less MO-SMS via T4 including an destination SME address (long/short code of the SCS/AS), the SCEF will use the IMSI of the UE and application port ID received over T4 to query the HSS/HLR for an external ID, and the SCEF shall then </w:t>
      </w:r>
      <w:r w:rsidRPr="000A0A5F">
        <w:rPr>
          <w:noProof/>
          <w:lang w:eastAsia="zh-CN"/>
        </w:rPr>
        <w:t xml:space="preserve">determine </w:t>
      </w:r>
      <w:r w:rsidRPr="000A0A5F">
        <w:t>the notification destination URL of an SCS/AS based on configured information on the mapping of SME addresses to destination URLs. The SCEF shall send to the determined destination URL</w:t>
      </w:r>
      <w:r w:rsidRPr="000A0A5F">
        <w:rPr>
          <w:lang w:eastAsia="zh-CN"/>
        </w:rPr>
        <w:t xml:space="preserve"> </w:t>
      </w:r>
      <w:r w:rsidRPr="000A0A5F">
        <w:t xml:space="preserve">an HTTP POST request </w:t>
      </w:r>
      <w:r w:rsidRPr="000A0A5F">
        <w:rPr>
          <w:lang w:eastAsia="zh-CN"/>
        </w:rPr>
        <w:t xml:space="preserve">that shall include an </w:t>
      </w:r>
      <w:r w:rsidRPr="000A0A5F">
        <w:t>MsisdnLessMoSmsNotification data type with:</w:t>
      </w:r>
    </w:p>
    <w:p w:rsidR="00CB0DD7" w:rsidRPr="000A0A5F" w:rsidRDefault="00CB0DD7">
      <w:pPr>
        <w:pStyle w:val="B10"/>
      </w:pPr>
      <w:r w:rsidRPr="000A0A5F">
        <w:t>-</w:t>
      </w:r>
      <w:r w:rsidRPr="000A0A5F">
        <w:tab/>
      </w:r>
      <w:r w:rsidRPr="000A0A5F">
        <w:rPr>
          <w:rFonts w:cs="Arial"/>
        </w:rPr>
        <w:t xml:space="preserve">the </w:t>
      </w:r>
      <w:r w:rsidRPr="000A0A5F">
        <w:t>short message transfer protocol data unit as received on the T4 interface.</w:t>
      </w:r>
    </w:p>
    <w:p w:rsidR="00CB0DD7" w:rsidRPr="000A0A5F" w:rsidRDefault="00CB0DD7">
      <w:pPr>
        <w:pStyle w:val="B10"/>
      </w:pPr>
      <w:r w:rsidRPr="000A0A5F">
        <w:t>-</w:t>
      </w:r>
      <w:r w:rsidRPr="000A0A5F">
        <w:tab/>
        <w:t>the Application Port as received on the T4 interface, and</w:t>
      </w:r>
    </w:p>
    <w:p w:rsidR="00CB0DD7" w:rsidRPr="000A0A5F" w:rsidRDefault="00CB0DD7">
      <w:pPr>
        <w:pStyle w:val="B10"/>
      </w:pPr>
      <w:r w:rsidRPr="000A0A5F">
        <w:t>-</w:t>
      </w:r>
      <w:r w:rsidRPr="000A0A5F">
        <w:tab/>
        <w:t>the external identifier of the UE that send the SMS, as received from the HSS/HLR.</w:t>
      </w:r>
    </w:p>
    <w:p w:rsidR="00CB0DD7" w:rsidRPr="000A0A5F" w:rsidRDefault="00CB0DD7">
      <w:pPr>
        <w:pStyle w:val="NO"/>
      </w:pPr>
      <w:r w:rsidRPr="000A0A5F">
        <w:t>NOTE:</w:t>
      </w:r>
      <w:r w:rsidRPr="000A0A5F">
        <w:tab/>
        <w:t>The Notification Delivery using Websocket (see clause 5.2.5.4) and the Notification Test Event (see clause 5.2.5.3) are not supported for the present API.</w:t>
      </w:r>
    </w:p>
    <w:p w:rsidR="00CB0DD7" w:rsidRPr="000A0A5F" w:rsidRDefault="00CB0DD7">
      <w:pPr>
        <w:pStyle w:val="Heading3"/>
        <w:rPr>
          <w:lang w:eastAsia="zh-CN"/>
        </w:rPr>
      </w:pPr>
      <w:bookmarkStart w:id="954" w:name="_Toc9325533"/>
      <w:bookmarkStart w:id="955" w:name="_Toc27044366"/>
      <w:bookmarkStart w:id="956" w:name="_Toc36033408"/>
      <w:bookmarkStart w:id="957" w:name="_Toc45131540"/>
      <w:bookmarkStart w:id="958" w:name="_Toc49775825"/>
      <w:bookmarkStart w:id="959" w:name="_Toc51746745"/>
      <w:bookmarkStart w:id="960" w:name="_Toc66360287"/>
      <w:bookmarkStart w:id="961" w:name="_Toc68104792"/>
      <w:bookmarkStart w:id="962" w:name="_Toc74755421"/>
      <w:bookmarkStart w:id="963" w:name="_Toc105674276"/>
      <w:bookmarkStart w:id="964" w:name="_Toc130502309"/>
      <w:bookmarkStart w:id="965" w:name="_Toc153625088"/>
      <w:r w:rsidRPr="000A0A5F">
        <w:t>4.</w:t>
      </w:r>
      <w:r w:rsidRPr="000A0A5F">
        <w:rPr>
          <w:lang w:eastAsia="zh-CN"/>
        </w:rPr>
        <w:t>4</w:t>
      </w:r>
      <w:r w:rsidRPr="000A0A5F">
        <w:t>.15</w:t>
      </w:r>
      <w:r w:rsidRPr="000A0A5F">
        <w:tab/>
      </w:r>
      <w:r w:rsidRPr="000A0A5F">
        <w:rPr>
          <w:lang w:eastAsia="zh-CN"/>
        </w:rPr>
        <w:t xml:space="preserve">Procedures for RACS </w:t>
      </w:r>
      <w:r w:rsidRPr="000A0A5F">
        <w:t xml:space="preserve">Parameter </w:t>
      </w:r>
      <w:bookmarkEnd w:id="954"/>
      <w:r w:rsidRPr="000A0A5F">
        <w:t>Provisioning</w:t>
      </w:r>
      <w:bookmarkEnd w:id="955"/>
      <w:bookmarkEnd w:id="956"/>
      <w:bookmarkEnd w:id="957"/>
      <w:bookmarkEnd w:id="958"/>
      <w:bookmarkEnd w:id="959"/>
      <w:bookmarkEnd w:id="960"/>
      <w:bookmarkEnd w:id="961"/>
      <w:bookmarkEnd w:id="962"/>
      <w:bookmarkEnd w:id="963"/>
      <w:bookmarkEnd w:id="964"/>
      <w:bookmarkEnd w:id="965"/>
    </w:p>
    <w:p w:rsidR="00CB0DD7" w:rsidRPr="000A0A5F" w:rsidRDefault="00CB0DD7">
      <w:pPr>
        <w:rPr>
          <w:noProof/>
          <w:lang w:eastAsia="zh-CN"/>
        </w:rPr>
      </w:pPr>
      <w:r w:rsidRPr="000A0A5F">
        <w:rPr>
          <w:noProof/>
          <w:lang w:eastAsia="zh-CN"/>
        </w:rPr>
        <w:t>The procedures are used by an SCS/AS to request that the network to provision manufacturer specific UE radio capability information.</w:t>
      </w:r>
    </w:p>
    <w:p w:rsidR="00CB0DD7" w:rsidRPr="000A0A5F" w:rsidRDefault="00CB0DD7">
      <w:r w:rsidRPr="000A0A5F">
        <w:rPr>
          <w:noProof/>
          <w:lang w:eastAsia="zh-CN"/>
        </w:rPr>
        <w:t>In order to create a new parameter provisioning</w:t>
      </w:r>
      <w:r w:rsidRPr="000A0A5F">
        <w:t xml:space="preserve">, </w:t>
      </w:r>
      <w:r w:rsidRPr="000A0A5F">
        <w:rPr>
          <w:noProof/>
          <w:lang w:eastAsia="zh-CN"/>
        </w:rPr>
        <w:t xml:space="preserve">the SCS/AS shall send an HTTP POST request message </w:t>
      </w:r>
      <w:r w:rsidRPr="000A0A5F">
        <w:t>to the SCEF</w:t>
      </w:r>
      <w:r w:rsidRPr="000A0A5F">
        <w:rPr>
          <w:noProof/>
          <w:lang w:eastAsia="zh-CN"/>
        </w:rPr>
        <w:t xml:space="preserve"> to the resource </w:t>
      </w:r>
      <w:r w:rsidRPr="000A0A5F">
        <w:t xml:space="preserve">"RACS Parameter Provisionings". </w:t>
      </w:r>
      <w:r w:rsidRPr="000A0A5F">
        <w:rPr>
          <w:noProof/>
          <w:lang w:eastAsia="zh-CN"/>
        </w:rPr>
        <w:t xml:space="preserve">The body of the HTTP POST request message shall include a list of RACS IDs, and for each provided RACS ID, its radio capability parameters and the related UE model(s) </w:t>
      </w:r>
      <w:r w:rsidRPr="000A0A5F">
        <w:t>IMEI-</w:t>
      </w:r>
      <w:r w:rsidRPr="000A0A5F">
        <w:rPr>
          <w:noProof/>
          <w:lang w:eastAsia="zh-CN"/>
        </w:rPr>
        <w:t>TAC value(s).</w:t>
      </w:r>
    </w:p>
    <w:p w:rsidR="00CB0DD7" w:rsidRPr="000A0A5F" w:rsidRDefault="00CB0DD7">
      <w:pPr>
        <w:rPr>
          <w:noProof/>
          <w:lang w:eastAsia="zh-CN"/>
        </w:rPr>
      </w:pPr>
      <w:r w:rsidRPr="000A0A5F">
        <w:t>In order to fully replace an existing RACS Parameter Provisioning, the SCS/AS may send an HTTP PUT message to the resource "Individual RACS Parameter Provisioning" requesting the SCEF to change all properties in the existing resource.</w:t>
      </w:r>
      <w:r w:rsidRPr="000A0A5F">
        <w:rPr>
          <w:noProof/>
          <w:lang w:eastAsia="zh-CN"/>
        </w:rPr>
        <w:t xml:space="preserve"> The body of the HTTP PUT request message shall include a list of RACS IDs, and for each provided RACS ID,  its radio capability parameters and the related UE model(s) </w:t>
      </w:r>
      <w:r w:rsidRPr="000A0A5F">
        <w:t>IMEI-</w:t>
      </w:r>
      <w:r w:rsidRPr="000A0A5F">
        <w:rPr>
          <w:noProof/>
          <w:lang w:eastAsia="zh-CN"/>
        </w:rPr>
        <w:t xml:space="preserve">TAC value(s). </w:t>
      </w:r>
    </w:p>
    <w:p w:rsidR="00CB0DD7" w:rsidRPr="000A0A5F" w:rsidRDefault="00CB0DD7">
      <w:r w:rsidRPr="000A0A5F">
        <w:rPr>
          <w:noProof/>
          <w:lang w:eastAsia="zh-CN"/>
        </w:rPr>
        <w:t xml:space="preserve">In order to partial update an </w:t>
      </w:r>
      <w:r w:rsidRPr="000A0A5F">
        <w:t xml:space="preserve">existing RACS Parameter Provisioning, </w:t>
      </w:r>
      <w:r w:rsidRPr="000A0A5F">
        <w:rPr>
          <w:noProof/>
          <w:lang w:eastAsia="zh-CN"/>
        </w:rPr>
        <w:t xml:space="preserve">the SCS/AS may send an HTTP PATCH message to </w:t>
      </w:r>
      <w:r w:rsidRPr="000A0A5F">
        <w:t>the resource "Individual RACS Parameter Provisioning" requesting the SCEF to change some properties in the existing resource.</w:t>
      </w:r>
    </w:p>
    <w:p w:rsidR="00CB0DD7" w:rsidRPr="000A0A5F" w:rsidRDefault="00CB0DD7">
      <w:pPr>
        <w:rPr>
          <w:noProof/>
          <w:lang w:eastAsia="zh-CN"/>
        </w:rPr>
      </w:pPr>
      <w:r w:rsidRPr="000A0A5F">
        <w:t>Upon receipt of the HTTP POST, PUT or PATCH message, if the SCS/AS is authorized to perform the request, t</w:t>
      </w:r>
      <w:r w:rsidRPr="000A0A5F">
        <w:rPr>
          <w:noProof/>
          <w:lang w:eastAsia="zh-CN"/>
        </w:rPr>
        <w:t xml:space="preserve">he SCEF shall interact with the UCMF as described in 3GPP TS 29.675 [61]. After receiving the response from the UCMF, if at least one RACS ID is succesfully provisioned, the SCEF shall create or update the resource </w:t>
      </w:r>
      <w:r w:rsidRPr="000A0A5F">
        <w:t xml:space="preserve">"Individual RACS Parameter Provisioning" </w:t>
      </w:r>
      <w:r w:rsidRPr="000A0A5F">
        <w:rPr>
          <w:noProof/>
          <w:lang w:eastAsia="zh-CN"/>
        </w:rPr>
        <w:t xml:space="preserve">and respond with 201 Created or 200 OK to the SCS/AS respectively </w:t>
      </w:r>
      <w:r w:rsidRPr="000A0A5F">
        <w:t>with the successfully provisioned RACS information or 204 No Content if the updates or replacement is successful with no content in the PATCH or PUT response message body</w:t>
      </w:r>
      <w:r w:rsidRPr="000A0A5F">
        <w:rPr>
          <w:noProof/>
          <w:lang w:eastAsia="zh-CN"/>
        </w:rPr>
        <w:t xml:space="preserve">, the SCEF may include RACS report(s) within attribute </w:t>
      </w:r>
      <w:r w:rsidRPr="000A0A5F">
        <w:t xml:space="preserve">"racsReports" </w:t>
      </w:r>
      <w:r w:rsidRPr="000A0A5F">
        <w:rPr>
          <w:noProof/>
          <w:lang w:eastAsia="zh-CN"/>
        </w:rPr>
        <w:t>with a list of RACS ID(s) and</w:t>
      </w:r>
      <w:r w:rsidRPr="000A0A5F">
        <w:t xml:space="preserve"> the corresponding failure code for which the provisioning has failed as specified in table 5.16.2.2.3-1</w:t>
      </w:r>
      <w:r w:rsidRPr="000A0A5F">
        <w:rPr>
          <w:noProof/>
          <w:lang w:eastAsia="zh-CN"/>
        </w:rPr>
        <w:t xml:space="preserve"> in the body of the HTTP response. Otherwise, the SCEF </w:t>
      </w:r>
      <w:r w:rsidRPr="000A0A5F">
        <w:rPr>
          <w:lang w:eastAsia="zh-CN"/>
        </w:rPr>
        <w:t>shall send an HTTP response to the SCS/AS</w:t>
      </w:r>
      <w:r w:rsidRPr="000A0A5F">
        <w:rPr>
          <w:noProof/>
          <w:lang w:eastAsia="zh-CN"/>
        </w:rPr>
        <w:t xml:space="preserve"> with </w:t>
      </w:r>
      <w:r w:rsidRPr="000A0A5F">
        <w:t>a corresponding failure code as described in clause 5.16.5</w:t>
      </w:r>
      <w:r w:rsidRPr="000A0A5F">
        <w:rPr>
          <w:noProof/>
          <w:lang w:eastAsia="zh-CN"/>
        </w:rPr>
        <w:t>.</w:t>
      </w:r>
      <w:r w:rsidR="00BC17FB" w:rsidRPr="000A0A5F">
        <w:rPr>
          <w:noProof/>
          <w:lang w:eastAsia="zh-CN"/>
        </w:rPr>
        <w:t xml:space="preserve"> If all the RACS IDs failed to be provisioned succeessfully, the SCEF may send a "500 Internal Server Error" HTTP response and may include in the response body failure reports as specified in clause 5.16.3.</w:t>
      </w:r>
    </w:p>
    <w:p w:rsidR="00CB0DD7" w:rsidRPr="000A0A5F" w:rsidRDefault="00CB0DD7">
      <w:r w:rsidRPr="000A0A5F">
        <w:t>In order to delete an existing RACS Parameter Provisioning at the SCEF, the SCS/AS shall send an HTTP DELETE message to the corresponding resource "Individual RACS Parameter Provisioning" at the SCEF</w:t>
      </w:r>
      <w:r w:rsidRPr="000A0A5F">
        <w:rPr>
          <w:lang w:eastAsia="zh-CN"/>
        </w:rPr>
        <w:t xml:space="preserve">. Upon receipt of the DELETE request message, </w:t>
      </w:r>
      <w:r w:rsidRPr="000A0A5F">
        <w:rPr>
          <w:noProof/>
          <w:lang w:eastAsia="zh-CN"/>
        </w:rPr>
        <w:t>the SCEF shall interact with the UCMF as described in 3GPP TS 29.675 [61]. After receiving the response from the UCMF, the SCEF shall remove the resource and respond with 204 No Content to the SCS/AS.</w:t>
      </w:r>
    </w:p>
    <w:p w:rsidR="00CB0DD7" w:rsidRPr="000A0A5F" w:rsidRDefault="00CB0DD7">
      <w:pPr>
        <w:rPr>
          <w:rFonts w:hint="eastAsia"/>
        </w:rPr>
      </w:pPr>
    </w:p>
    <w:p w:rsidR="00CB0DD7" w:rsidRPr="000A0A5F" w:rsidRDefault="00CB0DD7">
      <w:pPr>
        <w:pStyle w:val="Heading1"/>
        <w:rPr>
          <w:lang w:eastAsia="zh-CN"/>
        </w:rPr>
      </w:pPr>
      <w:bookmarkStart w:id="966" w:name="_Toc11247247"/>
      <w:bookmarkStart w:id="967" w:name="_Toc27044367"/>
      <w:bookmarkStart w:id="968" w:name="_Toc36033409"/>
      <w:bookmarkStart w:id="969" w:name="_Toc45131541"/>
      <w:bookmarkStart w:id="970" w:name="_Toc49775826"/>
      <w:bookmarkStart w:id="971" w:name="_Toc51746746"/>
      <w:bookmarkStart w:id="972" w:name="_Toc66360288"/>
      <w:bookmarkStart w:id="973" w:name="_Toc68104793"/>
      <w:bookmarkStart w:id="974" w:name="_Toc74755422"/>
      <w:bookmarkStart w:id="975" w:name="_Toc105674277"/>
      <w:bookmarkStart w:id="976" w:name="_Toc130502310"/>
      <w:bookmarkStart w:id="977" w:name="_Toc153625089"/>
      <w:r w:rsidRPr="000A0A5F">
        <w:rPr>
          <w:rFonts w:hint="eastAsia"/>
          <w:lang w:eastAsia="zh-CN"/>
        </w:rPr>
        <w:t>5</w:t>
      </w:r>
      <w:r w:rsidRPr="000A0A5F">
        <w:tab/>
      </w:r>
      <w:r w:rsidRPr="000A0A5F">
        <w:rPr>
          <w:lang w:eastAsia="zh-CN"/>
        </w:rPr>
        <w:t>T8</w:t>
      </w:r>
      <w:r w:rsidRPr="000A0A5F">
        <w:rPr>
          <w:rFonts w:hint="eastAsia"/>
          <w:lang w:eastAsia="zh-CN"/>
        </w:rPr>
        <w:t xml:space="preserve"> </w:t>
      </w:r>
      <w:r w:rsidRPr="000A0A5F">
        <w:rPr>
          <w:lang w:eastAsia="zh-CN"/>
        </w:rPr>
        <w:t>APIs</w:t>
      </w:r>
      <w:bookmarkEnd w:id="966"/>
      <w:bookmarkEnd w:id="967"/>
      <w:bookmarkEnd w:id="968"/>
      <w:bookmarkEnd w:id="969"/>
      <w:bookmarkEnd w:id="970"/>
      <w:bookmarkEnd w:id="971"/>
      <w:bookmarkEnd w:id="972"/>
      <w:bookmarkEnd w:id="973"/>
      <w:bookmarkEnd w:id="974"/>
      <w:bookmarkEnd w:id="975"/>
      <w:bookmarkEnd w:id="976"/>
      <w:bookmarkEnd w:id="977"/>
    </w:p>
    <w:p w:rsidR="00CB0DD7" w:rsidRPr="000A0A5F" w:rsidRDefault="00CB0DD7">
      <w:pPr>
        <w:pStyle w:val="Heading2"/>
        <w:rPr>
          <w:rFonts w:hint="eastAsia"/>
          <w:lang w:eastAsia="zh-CN"/>
        </w:rPr>
      </w:pPr>
      <w:bookmarkStart w:id="978" w:name="_Toc11247248"/>
      <w:bookmarkStart w:id="979" w:name="_Toc27044368"/>
      <w:bookmarkStart w:id="980" w:name="_Toc36033410"/>
      <w:bookmarkStart w:id="981" w:name="_Toc45131542"/>
      <w:bookmarkStart w:id="982" w:name="_Toc49775827"/>
      <w:bookmarkStart w:id="983" w:name="_Toc51746747"/>
      <w:bookmarkStart w:id="984" w:name="_Toc66360289"/>
      <w:bookmarkStart w:id="985" w:name="_Toc68104794"/>
      <w:bookmarkStart w:id="986" w:name="_Toc74755423"/>
      <w:bookmarkStart w:id="987" w:name="_Toc105674278"/>
      <w:bookmarkStart w:id="988" w:name="_Toc130502311"/>
      <w:bookmarkStart w:id="989" w:name="_Toc153625090"/>
      <w:r w:rsidRPr="000A0A5F">
        <w:rPr>
          <w:rFonts w:hint="eastAsia"/>
          <w:lang w:eastAsia="zh-CN"/>
        </w:rPr>
        <w:t>5</w:t>
      </w:r>
      <w:r w:rsidRPr="000A0A5F">
        <w:t>.1</w:t>
      </w:r>
      <w:r w:rsidRPr="000A0A5F">
        <w:tab/>
        <w:t>Introduction</w:t>
      </w:r>
      <w:bookmarkEnd w:id="978"/>
      <w:bookmarkEnd w:id="979"/>
      <w:bookmarkEnd w:id="980"/>
      <w:bookmarkEnd w:id="981"/>
      <w:bookmarkEnd w:id="982"/>
      <w:bookmarkEnd w:id="983"/>
      <w:bookmarkEnd w:id="984"/>
      <w:bookmarkEnd w:id="985"/>
      <w:bookmarkEnd w:id="986"/>
      <w:bookmarkEnd w:id="987"/>
      <w:bookmarkEnd w:id="988"/>
      <w:bookmarkEnd w:id="989"/>
    </w:p>
    <w:p w:rsidR="00CB0DD7" w:rsidRPr="000A0A5F" w:rsidRDefault="00CB0DD7">
      <w:pPr>
        <w:rPr>
          <w:lang w:eastAsia="zh-CN"/>
        </w:rPr>
      </w:pPr>
      <w:r w:rsidRPr="000A0A5F">
        <w:rPr>
          <w:rFonts w:hint="eastAsia"/>
          <w:lang w:eastAsia="zh-CN"/>
        </w:rPr>
        <w:t>The T8 APIs are a set of APIs</w:t>
      </w:r>
      <w:r w:rsidRPr="000A0A5F">
        <w:rPr>
          <w:lang w:eastAsia="zh-CN"/>
        </w:rPr>
        <w:t xml:space="preserve"> defining the related procedures and resources for the interaction between the SCEF and the SCS/AS.</w:t>
      </w:r>
    </w:p>
    <w:p w:rsidR="000F2220" w:rsidRPr="000A0A5F" w:rsidRDefault="000F2220" w:rsidP="000F2220">
      <w:bookmarkStart w:id="990" w:name="_Toc11247249"/>
      <w:bookmarkStart w:id="991" w:name="_Toc27044369"/>
      <w:bookmarkStart w:id="992" w:name="_Toc36033411"/>
      <w:bookmarkStart w:id="993" w:name="_Toc45131543"/>
      <w:bookmarkStart w:id="994" w:name="_Toc49775828"/>
      <w:bookmarkStart w:id="995" w:name="_Toc51746748"/>
      <w:bookmarkStart w:id="996" w:name="_Toc66360290"/>
      <w:bookmarkStart w:id="997" w:name="_Toc68104795"/>
      <w:bookmarkStart w:id="998" w:name="_Toc74755424"/>
      <w:r w:rsidRPr="000A0A5F">
        <w:t>Tables 5.1-1 summarizes the APIs defined in this specification.</w:t>
      </w:r>
    </w:p>
    <w:p w:rsidR="000F2220" w:rsidRPr="000A0A5F" w:rsidRDefault="000F2220" w:rsidP="000F2220">
      <w:pPr>
        <w:pStyle w:val="TH"/>
      </w:pPr>
      <w:r w:rsidRPr="000A0A5F">
        <w:t>Table 5.1-1: API Descriptions</w:t>
      </w:r>
    </w:p>
    <w:tbl>
      <w:tblPr>
        <w:tblW w:w="963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838"/>
        <w:gridCol w:w="1134"/>
        <w:gridCol w:w="1843"/>
        <w:gridCol w:w="2268"/>
        <w:gridCol w:w="1734"/>
        <w:gridCol w:w="814"/>
      </w:tblGrid>
      <w:tr w:rsidR="000F2220" w:rsidRPr="000A0A5F" w:rsidTr="008B4EEE">
        <w:tc>
          <w:tcPr>
            <w:tcW w:w="1838" w:type="dxa"/>
            <w:shd w:val="clear" w:color="auto" w:fill="C0C0C0"/>
            <w:vAlign w:val="center"/>
          </w:tcPr>
          <w:p w:rsidR="000F2220" w:rsidRPr="000A0A5F" w:rsidRDefault="000F2220" w:rsidP="00AC0E52">
            <w:pPr>
              <w:pStyle w:val="TAH"/>
            </w:pPr>
            <w:r w:rsidRPr="000A0A5F">
              <w:t>Service Name</w:t>
            </w:r>
          </w:p>
        </w:tc>
        <w:tc>
          <w:tcPr>
            <w:tcW w:w="1134" w:type="dxa"/>
            <w:shd w:val="clear" w:color="auto" w:fill="C0C0C0"/>
            <w:vAlign w:val="center"/>
          </w:tcPr>
          <w:p w:rsidR="000F2220" w:rsidRPr="000A0A5F" w:rsidRDefault="008B4EEE" w:rsidP="00AC0E52">
            <w:pPr>
              <w:pStyle w:val="TAH"/>
            </w:pPr>
            <w:r w:rsidRPr="000A0A5F">
              <w:t xml:space="preserve">Clause </w:t>
            </w:r>
            <w:r w:rsidR="000F2220" w:rsidRPr="000A0A5F">
              <w:t>defined</w:t>
            </w:r>
          </w:p>
        </w:tc>
        <w:tc>
          <w:tcPr>
            <w:tcW w:w="1843" w:type="dxa"/>
            <w:shd w:val="clear" w:color="auto" w:fill="C0C0C0"/>
            <w:vAlign w:val="center"/>
          </w:tcPr>
          <w:p w:rsidR="000F2220" w:rsidRPr="000A0A5F" w:rsidRDefault="000F2220" w:rsidP="00AC0E52">
            <w:pPr>
              <w:pStyle w:val="TAH"/>
            </w:pPr>
            <w:r w:rsidRPr="000A0A5F">
              <w:t>Description</w:t>
            </w:r>
          </w:p>
        </w:tc>
        <w:tc>
          <w:tcPr>
            <w:tcW w:w="2268" w:type="dxa"/>
            <w:shd w:val="clear" w:color="auto" w:fill="C0C0C0"/>
            <w:vAlign w:val="center"/>
          </w:tcPr>
          <w:p w:rsidR="000F2220" w:rsidRPr="000A0A5F" w:rsidRDefault="000F2220" w:rsidP="00AC0E52">
            <w:pPr>
              <w:pStyle w:val="TAH"/>
            </w:pPr>
            <w:r w:rsidRPr="000A0A5F">
              <w:t>OpenAPI Specification File</w:t>
            </w:r>
          </w:p>
        </w:tc>
        <w:tc>
          <w:tcPr>
            <w:tcW w:w="1734" w:type="dxa"/>
            <w:shd w:val="clear" w:color="auto" w:fill="C0C0C0"/>
            <w:vAlign w:val="center"/>
          </w:tcPr>
          <w:p w:rsidR="000F2220" w:rsidRPr="000A0A5F" w:rsidRDefault="000F2220" w:rsidP="00AC0E52">
            <w:pPr>
              <w:pStyle w:val="TAH"/>
            </w:pPr>
            <w:r w:rsidRPr="000A0A5F">
              <w:t>API Name</w:t>
            </w:r>
          </w:p>
        </w:tc>
        <w:tc>
          <w:tcPr>
            <w:tcW w:w="814" w:type="dxa"/>
            <w:shd w:val="clear" w:color="auto" w:fill="C0C0C0"/>
            <w:vAlign w:val="center"/>
          </w:tcPr>
          <w:p w:rsidR="000F2220" w:rsidRPr="000A0A5F" w:rsidRDefault="000F2220" w:rsidP="00AC0E52">
            <w:pPr>
              <w:pStyle w:val="TAH"/>
            </w:pPr>
            <w:r w:rsidRPr="000A0A5F">
              <w:t>Annex</w:t>
            </w:r>
          </w:p>
        </w:tc>
      </w:tr>
      <w:tr w:rsidR="000F2220" w:rsidRPr="000A0A5F" w:rsidTr="008B4EEE">
        <w:tc>
          <w:tcPr>
            <w:tcW w:w="1838" w:type="dxa"/>
            <w:shd w:val="clear" w:color="auto" w:fill="auto"/>
            <w:vAlign w:val="center"/>
          </w:tcPr>
          <w:p w:rsidR="000F2220" w:rsidRPr="000A0A5F" w:rsidRDefault="000F2220" w:rsidP="00AC0E52">
            <w:pPr>
              <w:pStyle w:val="TAL"/>
            </w:pPr>
            <w:r w:rsidRPr="000A0A5F">
              <w:rPr>
                <w:noProof/>
              </w:rPr>
              <w:t>MonitoringEvent</w:t>
            </w:r>
          </w:p>
        </w:tc>
        <w:tc>
          <w:tcPr>
            <w:tcW w:w="1134" w:type="dxa"/>
            <w:shd w:val="clear" w:color="auto" w:fill="auto"/>
            <w:vAlign w:val="center"/>
          </w:tcPr>
          <w:p w:rsidR="000F2220" w:rsidRPr="000A0A5F" w:rsidRDefault="000F2220" w:rsidP="00AC0E52">
            <w:pPr>
              <w:pStyle w:val="TAC"/>
            </w:pPr>
            <w:r w:rsidRPr="000A0A5F">
              <w:t>5.3</w:t>
            </w:r>
          </w:p>
        </w:tc>
        <w:tc>
          <w:tcPr>
            <w:tcW w:w="1843" w:type="dxa"/>
            <w:shd w:val="clear" w:color="auto" w:fill="auto"/>
            <w:vAlign w:val="center"/>
          </w:tcPr>
          <w:p w:rsidR="000F2220" w:rsidRPr="000A0A5F" w:rsidRDefault="000F2220" w:rsidP="00AC0E52">
            <w:pPr>
              <w:pStyle w:val="TAL"/>
            </w:pPr>
            <w:r w:rsidRPr="000A0A5F">
              <w:t>Event Monitoring API</w:t>
            </w:r>
          </w:p>
        </w:tc>
        <w:tc>
          <w:tcPr>
            <w:tcW w:w="2268" w:type="dxa"/>
            <w:shd w:val="clear" w:color="auto" w:fill="auto"/>
            <w:vAlign w:val="center"/>
          </w:tcPr>
          <w:p w:rsidR="000F2220" w:rsidRPr="000A0A5F" w:rsidRDefault="000F2220" w:rsidP="00AC0E52">
            <w:pPr>
              <w:pStyle w:val="TAL"/>
            </w:pPr>
            <w:r w:rsidRPr="000A0A5F">
              <w:t>TS29122_MonitoringEvent.yaml</w:t>
            </w:r>
          </w:p>
        </w:tc>
        <w:tc>
          <w:tcPr>
            <w:tcW w:w="1734" w:type="dxa"/>
            <w:shd w:val="clear" w:color="auto" w:fill="auto"/>
            <w:vAlign w:val="center"/>
          </w:tcPr>
          <w:p w:rsidR="000F2220" w:rsidRPr="000A0A5F" w:rsidRDefault="000F2220" w:rsidP="00AC0E52">
            <w:pPr>
              <w:pStyle w:val="TAL"/>
            </w:pPr>
            <w:r w:rsidRPr="000A0A5F">
              <w:t>3gpp-monitoring-event</w:t>
            </w:r>
          </w:p>
        </w:tc>
        <w:tc>
          <w:tcPr>
            <w:tcW w:w="814" w:type="dxa"/>
            <w:shd w:val="clear" w:color="auto" w:fill="auto"/>
            <w:vAlign w:val="center"/>
          </w:tcPr>
          <w:p w:rsidR="000F2220" w:rsidRPr="000A0A5F" w:rsidRDefault="000F2220" w:rsidP="00AC0E52">
            <w:pPr>
              <w:pStyle w:val="TAC"/>
            </w:pPr>
            <w:r w:rsidRPr="000A0A5F">
              <w:t>A.3</w:t>
            </w:r>
          </w:p>
        </w:tc>
      </w:tr>
      <w:tr w:rsidR="000F2220" w:rsidRPr="000A0A5F" w:rsidTr="008B4EEE">
        <w:tc>
          <w:tcPr>
            <w:tcW w:w="1838" w:type="dxa"/>
            <w:shd w:val="clear" w:color="auto" w:fill="auto"/>
            <w:vAlign w:val="center"/>
          </w:tcPr>
          <w:p w:rsidR="000F2220" w:rsidRPr="000A0A5F" w:rsidRDefault="000F2220" w:rsidP="00AC0E52">
            <w:pPr>
              <w:pStyle w:val="TAL"/>
            </w:pPr>
            <w:r w:rsidRPr="000A0A5F">
              <w:t>ResourceManagementOfBdt</w:t>
            </w:r>
          </w:p>
        </w:tc>
        <w:tc>
          <w:tcPr>
            <w:tcW w:w="1134" w:type="dxa"/>
            <w:shd w:val="clear" w:color="auto" w:fill="auto"/>
            <w:vAlign w:val="center"/>
          </w:tcPr>
          <w:p w:rsidR="000F2220" w:rsidRPr="000A0A5F" w:rsidRDefault="000F2220" w:rsidP="00AC0E52">
            <w:pPr>
              <w:pStyle w:val="TAC"/>
            </w:pPr>
            <w:r w:rsidRPr="000A0A5F">
              <w:t>5.4</w:t>
            </w:r>
          </w:p>
        </w:tc>
        <w:tc>
          <w:tcPr>
            <w:tcW w:w="1843" w:type="dxa"/>
            <w:shd w:val="clear" w:color="auto" w:fill="auto"/>
            <w:vAlign w:val="center"/>
          </w:tcPr>
          <w:p w:rsidR="000F2220" w:rsidRPr="000A0A5F" w:rsidRDefault="000F2220" w:rsidP="00AC0E52">
            <w:pPr>
              <w:pStyle w:val="TAL"/>
            </w:pPr>
            <w:r w:rsidRPr="000A0A5F">
              <w:t>Resource Management of Background Data Transfer (BDT) API</w:t>
            </w:r>
          </w:p>
        </w:tc>
        <w:tc>
          <w:tcPr>
            <w:tcW w:w="2268" w:type="dxa"/>
            <w:shd w:val="clear" w:color="auto" w:fill="auto"/>
            <w:vAlign w:val="center"/>
          </w:tcPr>
          <w:p w:rsidR="000F2220" w:rsidRPr="000A0A5F" w:rsidRDefault="000F2220" w:rsidP="00AC0E52">
            <w:pPr>
              <w:pStyle w:val="TAL"/>
            </w:pPr>
            <w:r w:rsidRPr="000A0A5F">
              <w:t>TS29122_ResourceManagementOfBdt.yaml</w:t>
            </w:r>
          </w:p>
        </w:tc>
        <w:tc>
          <w:tcPr>
            <w:tcW w:w="1734" w:type="dxa"/>
            <w:shd w:val="clear" w:color="auto" w:fill="auto"/>
            <w:vAlign w:val="center"/>
          </w:tcPr>
          <w:p w:rsidR="000F2220" w:rsidRPr="000A0A5F" w:rsidRDefault="000F2220" w:rsidP="00AC0E52">
            <w:pPr>
              <w:pStyle w:val="TAL"/>
            </w:pPr>
            <w:r w:rsidRPr="000A0A5F">
              <w:t>3gpp-bdt</w:t>
            </w:r>
          </w:p>
        </w:tc>
        <w:tc>
          <w:tcPr>
            <w:tcW w:w="814" w:type="dxa"/>
            <w:shd w:val="clear" w:color="auto" w:fill="auto"/>
            <w:vAlign w:val="center"/>
          </w:tcPr>
          <w:p w:rsidR="000F2220" w:rsidRPr="000A0A5F" w:rsidRDefault="000F2220" w:rsidP="00AC0E52">
            <w:pPr>
              <w:pStyle w:val="TAC"/>
            </w:pPr>
            <w:r w:rsidRPr="000A0A5F">
              <w:t>A.4</w:t>
            </w:r>
          </w:p>
        </w:tc>
      </w:tr>
      <w:tr w:rsidR="000F2220" w:rsidRPr="000A0A5F" w:rsidTr="008B4EEE">
        <w:tc>
          <w:tcPr>
            <w:tcW w:w="1838" w:type="dxa"/>
            <w:shd w:val="clear" w:color="auto" w:fill="auto"/>
            <w:vAlign w:val="center"/>
          </w:tcPr>
          <w:p w:rsidR="000F2220" w:rsidRPr="000A0A5F" w:rsidRDefault="000F2220" w:rsidP="00AC0E52">
            <w:pPr>
              <w:pStyle w:val="TAL"/>
            </w:pPr>
            <w:r w:rsidRPr="000A0A5F">
              <w:t>ChargeableParty</w:t>
            </w:r>
          </w:p>
        </w:tc>
        <w:tc>
          <w:tcPr>
            <w:tcW w:w="1134" w:type="dxa"/>
            <w:shd w:val="clear" w:color="auto" w:fill="auto"/>
            <w:vAlign w:val="center"/>
          </w:tcPr>
          <w:p w:rsidR="000F2220" w:rsidRPr="000A0A5F" w:rsidRDefault="000F2220" w:rsidP="00AC0E52">
            <w:pPr>
              <w:pStyle w:val="TAC"/>
            </w:pPr>
            <w:r w:rsidRPr="000A0A5F">
              <w:t>5.5</w:t>
            </w:r>
          </w:p>
        </w:tc>
        <w:tc>
          <w:tcPr>
            <w:tcW w:w="1843" w:type="dxa"/>
            <w:shd w:val="clear" w:color="auto" w:fill="auto"/>
            <w:vAlign w:val="center"/>
          </w:tcPr>
          <w:p w:rsidR="000F2220" w:rsidRPr="000A0A5F" w:rsidRDefault="000F2220" w:rsidP="00AC0E52">
            <w:pPr>
              <w:pStyle w:val="TAL"/>
            </w:pPr>
            <w:r w:rsidRPr="000A0A5F">
              <w:t>Chargeable Party API</w:t>
            </w:r>
          </w:p>
        </w:tc>
        <w:tc>
          <w:tcPr>
            <w:tcW w:w="2268" w:type="dxa"/>
            <w:shd w:val="clear" w:color="auto" w:fill="auto"/>
            <w:vAlign w:val="center"/>
          </w:tcPr>
          <w:p w:rsidR="000F2220" w:rsidRPr="000A0A5F" w:rsidRDefault="000F2220" w:rsidP="00AC0E52">
            <w:pPr>
              <w:pStyle w:val="TAL"/>
            </w:pPr>
            <w:r w:rsidRPr="000A0A5F">
              <w:t>TS29122_ChargeableParty.yaml</w:t>
            </w:r>
          </w:p>
        </w:tc>
        <w:tc>
          <w:tcPr>
            <w:tcW w:w="1734" w:type="dxa"/>
            <w:shd w:val="clear" w:color="auto" w:fill="auto"/>
            <w:vAlign w:val="center"/>
          </w:tcPr>
          <w:p w:rsidR="000F2220" w:rsidRPr="000A0A5F" w:rsidRDefault="000F2220" w:rsidP="00AC0E52">
            <w:pPr>
              <w:pStyle w:val="TAL"/>
            </w:pPr>
            <w:r w:rsidRPr="000A0A5F">
              <w:t>3gpp-chargeable-party</w:t>
            </w:r>
          </w:p>
        </w:tc>
        <w:tc>
          <w:tcPr>
            <w:tcW w:w="814" w:type="dxa"/>
            <w:shd w:val="clear" w:color="auto" w:fill="auto"/>
            <w:vAlign w:val="center"/>
          </w:tcPr>
          <w:p w:rsidR="000F2220" w:rsidRPr="000A0A5F" w:rsidRDefault="000F2220" w:rsidP="00AC0E52">
            <w:pPr>
              <w:pStyle w:val="TAC"/>
            </w:pPr>
            <w:r w:rsidRPr="000A0A5F">
              <w:t>A.5</w:t>
            </w:r>
          </w:p>
        </w:tc>
      </w:tr>
      <w:tr w:rsidR="000F2220" w:rsidRPr="000A0A5F" w:rsidTr="008B4EEE">
        <w:tc>
          <w:tcPr>
            <w:tcW w:w="1838" w:type="dxa"/>
            <w:shd w:val="clear" w:color="auto" w:fill="auto"/>
            <w:vAlign w:val="center"/>
          </w:tcPr>
          <w:p w:rsidR="000F2220" w:rsidRPr="000A0A5F" w:rsidRDefault="000F2220" w:rsidP="00AC0E52">
            <w:pPr>
              <w:pStyle w:val="TAL"/>
            </w:pPr>
            <w:r w:rsidRPr="000A0A5F">
              <w:rPr>
                <w:noProof/>
              </w:rPr>
              <w:t>NIDD</w:t>
            </w:r>
          </w:p>
        </w:tc>
        <w:tc>
          <w:tcPr>
            <w:tcW w:w="1134" w:type="dxa"/>
            <w:shd w:val="clear" w:color="auto" w:fill="auto"/>
            <w:vAlign w:val="center"/>
          </w:tcPr>
          <w:p w:rsidR="000F2220" w:rsidRPr="000A0A5F" w:rsidRDefault="000F2220" w:rsidP="00AC0E52">
            <w:pPr>
              <w:pStyle w:val="TAC"/>
            </w:pPr>
            <w:r w:rsidRPr="000A0A5F">
              <w:t>5.6</w:t>
            </w:r>
          </w:p>
        </w:tc>
        <w:tc>
          <w:tcPr>
            <w:tcW w:w="1843" w:type="dxa"/>
            <w:shd w:val="clear" w:color="auto" w:fill="auto"/>
            <w:vAlign w:val="center"/>
          </w:tcPr>
          <w:p w:rsidR="000F2220" w:rsidRPr="000A0A5F" w:rsidRDefault="000F2220" w:rsidP="00AC0E52">
            <w:pPr>
              <w:pStyle w:val="TAL"/>
            </w:pPr>
            <w:r w:rsidRPr="000A0A5F">
              <w:t>Non-IP Data Delivery (NIDD) API</w:t>
            </w:r>
          </w:p>
        </w:tc>
        <w:tc>
          <w:tcPr>
            <w:tcW w:w="2268" w:type="dxa"/>
            <w:shd w:val="clear" w:color="auto" w:fill="auto"/>
            <w:vAlign w:val="center"/>
          </w:tcPr>
          <w:p w:rsidR="000F2220" w:rsidRPr="000A0A5F" w:rsidRDefault="000F2220" w:rsidP="00AC0E52">
            <w:pPr>
              <w:pStyle w:val="TAL"/>
            </w:pPr>
            <w:r w:rsidRPr="000A0A5F">
              <w:t>TS29122_</w:t>
            </w:r>
            <w:r w:rsidRPr="000A0A5F">
              <w:rPr>
                <w:noProof/>
              </w:rPr>
              <w:t>NIDD</w:t>
            </w:r>
            <w:r w:rsidRPr="000A0A5F">
              <w:t>.yaml</w:t>
            </w:r>
          </w:p>
        </w:tc>
        <w:tc>
          <w:tcPr>
            <w:tcW w:w="1734" w:type="dxa"/>
            <w:shd w:val="clear" w:color="auto" w:fill="auto"/>
            <w:vAlign w:val="center"/>
          </w:tcPr>
          <w:p w:rsidR="000F2220" w:rsidRPr="000A0A5F" w:rsidRDefault="000F2220" w:rsidP="00AC0E52">
            <w:pPr>
              <w:pStyle w:val="TAL"/>
            </w:pPr>
            <w:r w:rsidRPr="000A0A5F">
              <w:t>3gpp-nidd</w:t>
            </w:r>
          </w:p>
        </w:tc>
        <w:tc>
          <w:tcPr>
            <w:tcW w:w="814" w:type="dxa"/>
            <w:shd w:val="clear" w:color="auto" w:fill="auto"/>
            <w:vAlign w:val="center"/>
          </w:tcPr>
          <w:p w:rsidR="000F2220" w:rsidRPr="000A0A5F" w:rsidRDefault="000F2220" w:rsidP="00AC0E52">
            <w:pPr>
              <w:pStyle w:val="TAC"/>
            </w:pPr>
            <w:r w:rsidRPr="000A0A5F">
              <w:t>A.6</w:t>
            </w:r>
          </w:p>
        </w:tc>
      </w:tr>
      <w:tr w:rsidR="000F2220" w:rsidRPr="000A0A5F" w:rsidTr="008B4EEE">
        <w:tc>
          <w:tcPr>
            <w:tcW w:w="1838" w:type="dxa"/>
            <w:shd w:val="clear" w:color="auto" w:fill="auto"/>
            <w:vAlign w:val="center"/>
          </w:tcPr>
          <w:p w:rsidR="000F2220" w:rsidRPr="000A0A5F" w:rsidRDefault="000F2220" w:rsidP="00AC0E52">
            <w:pPr>
              <w:pStyle w:val="TAL"/>
            </w:pPr>
            <w:r w:rsidRPr="000A0A5F">
              <w:t>DeviceTriggering</w:t>
            </w:r>
          </w:p>
        </w:tc>
        <w:tc>
          <w:tcPr>
            <w:tcW w:w="1134" w:type="dxa"/>
            <w:shd w:val="clear" w:color="auto" w:fill="auto"/>
            <w:vAlign w:val="center"/>
          </w:tcPr>
          <w:p w:rsidR="000F2220" w:rsidRPr="000A0A5F" w:rsidRDefault="000F2220" w:rsidP="00AC0E52">
            <w:pPr>
              <w:pStyle w:val="TAC"/>
            </w:pPr>
            <w:r w:rsidRPr="000A0A5F">
              <w:t>5.7</w:t>
            </w:r>
          </w:p>
        </w:tc>
        <w:tc>
          <w:tcPr>
            <w:tcW w:w="1843" w:type="dxa"/>
            <w:shd w:val="clear" w:color="auto" w:fill="auto"/>
            <w:vAlign w:val="center"/>
          </w:tcPr>
          <w:p w:rsidR="000F2220" w:rsidRPr="000A0A5F" w:rsidRDefault="000F2220" w:rsidP="00AC0E52">
            <w:pPr>
              <w:pStyle w:val="TAL"/>
            </w:pPr>
            <w:r w:rsidRPr="000A0A5F">
              <w:t>Device Triggering API</w:t>
            </w:r>
          </w:p>
        </w:tc>
        <w:tc>
          <w:tcPr>
            <w:tcW w:w="2268" w:type="dxa"/>
            <w:shd w:val="clear" w:color="auto" w:fill="auto"/>
            <w:vAlign w:val="center"/>
          </w:tcPr>
          <w:p w:rsidR="000F2220" w:rsidRPr="000A0A5F" w:rsidRDefault="000F2220" w:rsidP="00AC0E52">
            <w:pPr>
              <w:pStyle w:val="TAL"/>
            </w:pPr>
            <w:r w:rsidRPr="000A0A5F">
              <w:t>TS29122_DeviceTriggering.yaml</w:t>
            </w:r>
          </w:p>
        </w:tc>
        <w:tc>
          <w:tcPr>
            <w:tcW w:w="1734" w:type="dxa"/>
            <w:shd w:val="clear" w:color="auto" w:fill="auto"/>
            <w:vAlign w:val="center"/>
          </w:tcPr>
          <w:p w:rsidR="000F2220" w:rsidRPr="000A0A5F" w:rsidRDefault="000F2220" w:rsidP="00AC0E52">
            <w:pPr>
              <w:pStyle w:val="TAL"/>
            </w:pPr>
            <w:r w:rsidRPr="000A0A5F">
              <w:t>3gpp-device-triggering</w:t>
            </w:r>
          </w:p>
        </w:tc>
        <w:tc>
          <w:tcPr>
            <w:tcW w:w="814" w:type="dxa"/>
            <w:shd w:val="clear" w:color="auto" w:fill="auto"/>
            <w:vAlign w:val="center"/>
          </w:tcPr>
          <w:p w:rsidR="000F2220" w:rsidRPr="000A0A5F" w:rsidRDefault="000F2220" w:rsidP="00AC0E52">
            <w:pPr>
              <w:pStyle w:val="TAC"/>
            </w:pPr>
            <w:r w:rsidRPr="000A0A5F">
              <w:t>A.7</w:t>
            </w:r>
          </w:p>
        </w:tc>
      </w:tr>
      <w:tr w:rsidR="000F2220" w:rsidRPr="000A0A5F" w:rsidTr="008B4EEE">
        <w:tc>
          <w:tcPr>
            <w:tcW w:w="1838" w:type="dxa"/>
            <w:shd w:val="clear" w:color="auto" w:fill="auto"/>
            <w:vAlign w:val="center"/>
          </w:tcPr>
          <w:p w:rsidR="000F2220" w:rsidRPr="000A0A5F" w:rsidRDefault="000F2220" w:rsidP="00AC0E52">
            <w:pPr>
              <w:pStyle w:val="TAL"/>
            </w:pPr>
            <w:r w:rsidRPr="000A0A5F">
              <w:t>GMDviaMBMSbyMB2</w:t>
            </w:r>
          </w:p>
        </w:tc>
        <w:tc>
          <w:tcPr>
            <w:tcW w:w="1134" w:type="dxa"/>
            <w:shd w:val="clear" w:color="auto" w:fill="auto"/>
            <w:vAlign w:val="center"/>
          </w:tcPr>
          <w:p w:rsidR="000F2220" w:rsidRPr="000A0A5F" w:rsidRDefault="000F2220" w:rsidP="00AC0E52">
            <w:pPr>
              <w:pStyle w:val="TAC"/>
            </w:pPr>
            <w:r w:rsidRPr="000A0A5F">
              <w:t>5.8.2</w:t>
            </w:r>
          </w:p>
        </w:tc>
        <w:tc>
          <w:tcPr>
            <w:tcW w:w="1843" w:type="dxa"/>
            <w:shd w:val="clear" w:color="auto" w:fill="auto"/>
            <w:vAlign w:val="center"/>
          </w:tcPr>
          <w:p w:rsidR="000F2220" w:rsidRPr="000A0A5F" w:rsidRDefault="000F2220" w:rsidP="00AC0E52">
            <w:pPr>
              <w:pStyle w:val="TAL"/>
            </w:pPr>
            <w:r w:rsidRPr="000A0A5F">
              <w:t>Group Message Delivery via MBMS by MB2 API</w:t>
            </w:r>
          </w:p>
        </w:tc>
        <w:tc>
          <w:tcPr>
            <w:tcW w:w="2268" w:type="dxa"/>
            <w:shd w:val="clear" w:color="auto" w:fill="auto"/>
            <w:vAlign w:val="center"/>
          </w:tcPr>
          <w:p w:rsidR="000F2220" w:rsidRPr="000A0A5F" w:rsidRDefault="000F2220" w:rsidP="00AC0E52">
            <w:pPr>
              <w:pStyle w:val="TAL"/>
            </w:pPr>
            <w:r w:rsidRPr="000A0A5F">
              <w:t>TS29122_GMDviaMBMSbyMB2.yaml</w:t>
            </w:r>
          </w:p>
        </w:tc>
        <w:tc>
          <w:tcPr>
            <w:tcW w:w="1734" w:type="dxa"/>
            <w:shd w:val="clear" w:color="auto" w:fill="auto"/>
            <w:vAlign w:val="center"/>
          </w:tcPr>
          <w:p w:rsidR="000F2220" w:rsidRPr="000A0A5F" w:rsidRDefault="000F2220" w:rsidP="00AC0E52">
            <w:pPr>
              <w:pStyle w:val="TAL"/>
            </w:pPr>
            <w:r w:rsidRPr="000A0A5F">
              <w:t>3gpp-group-message-delivery-mb2</w:t>
            </w:r>
          </w:p>
        </w:tc>
        <w:tc>
          <w:tcPr>
            <w:tcW w:w="814" w:type="dxa"/>
            <w:shd w:val="clear" w:color="auto" w:fill="auto"/>
            <w:vAlign w:val="center"/>
          </w:tcPr>
          <w:p w:rsidR="000F2220" w:rsidRPr="000A0A5F" w:rsidRDefault="000F2220" w:rsidP="00AC0E52">
            <w:pPr>
              <w:pStyle w:val="TAC"/>
            </w:pPr>
            <w:r w:rsidRPr="000A0A5F">
              <w:t>A.8.1</w:t>
            </w:r>
          </w:p>
        </w:tc>
      </w:tr>
      <w:tr w:rsidR="000F2220" w:rsidRPr="000A0A5F" w:rsidTr="008B4EEE">
        <w:tc>
          <w:tcPr>
            <w:tcW w:w="1838" w:type="dxa"/>
            <w:shd w:val="clear" w:color="auto" w:fill="auto"/>
            <w:vAlign w:val="center"/>
          </w:tcPr>
          <w:p w:rsidR="000F2220" w:rsidRPr="000A0A5F" w:rsidRDefault="000F2220" w:rsidP="00AC0E52">
            <w:pPr>
              <w:pStyle w:val="TAL"/>
            </w:pPr>
            <w:r w:rsidRPr="000A0A5F">
              <w:t>GMDviaMBMSbyxMB</w:t>
            </w:r>
          </w:p>
        </w:tc>
        <w:tc>
          <w:tcPr>
            <w:tcW w:w="1134" w:type="dxa"/>
            <w:shd w:val="clear" w:color="auto" w:fill="auto"/>
            <w:vAlign w:val="center"/>
          </w:tcPr>
          <w:p w:rsidR="000F2220" w:rsidRPr="000A0A5F" w:rsidRDefault="000F2220" w:rsidP="00AC0E52">
            <w:pPr>
              <w:pStyle w:val="TAC"/>
            </w:pPr>
            <w:r w:rsidRPr="000A0A5F">
              <w:t>5.8.3</w:t>
            </w:r>
          </w:p>
        </w:tc>
        <w:tc>
          <w:tcPr>
            <w:tcW w:w="1843" w:type="dxa"/>
            <w:shd w:val="clear" w:color="auto" w:fill="auto"/>
            <w:vAlign w:val="center"/>
          </w:tcPr>
          <w:p w:rsidR="000F2220" w:rsidRPr="000A0A5F" w:rsidRDefault="000F2220" w:rsidP="00AC0E52">
            <w:pPr>
              <w:pStyle w:val="TAL"/>
            </w:pPr>
            <w:r w:rsidRPr="000A0A5F">
              <w:t>Group Message Delivery via MBMS by xMB</w:t>
            </w:r>
          </w:p>
        </w:tc>
        <w:tc>
          <w:tcPr>
            <w:tcW w:w="2268" w:type="dxa"/>
            <w:shd w:val="clear" w:color="auto" w:fill="auto"/>
            <w:vAlign w:val="center"/>
          </w:tcPr>
          <w:p w:rsidR="000F2220" w:rsidRPr="000A0A5F" w:rsidRDefault="000F2220" w:rsidP="00AC0E52">
            <w:pPr>
              <w:pStyle w:val="TAL"/>
            </w:pPr>
            <w:r w:rsidRPr="000A0A5F">
              <w:t>TS29122_GMDviaMBMSbyxMB.yaml</w:t>
            </w:r>
          </w:p>
        </w:tc>
        <w:tc>
          <w:tcPr>
            <w:tcW w:w="1734" w:type="dxa"/>
            <w:shd w:val="clear" w:color="auto" w:fill="auto"/>
            <w:vAlign w:val="center"/>
          </w:tcPr>
          <w:p w:rsidR="000F2220" w:rsidRPr="000A0A5F" w:rsidRDefault="000F2220" w:rsidP="00AC0E52">
            <w:pPr>
              <w:pStyle w:val="TAL"/>
            </w:pPr>
            <w:r w:rsidRPr="000A0A5F">
              <w:t>3gpp-group-message-delivery-xmb</w:t>
            </w:r>
          </w:p>
        </w:tc>
        <w:tc>
          <w:tcPr>
            <w:tcW w:w="814" w:type="dxa"/>
            <w:shd w:val="clear" w:color="auto" w:fill="auto"/>
            <w:vAlign w:val="center"/>
          </w:tcPr>
          <w:p w:rsidR="000F2220" w:rsidRPr="000A0A5F" w:rsidRDefault="000F2220" w:rsidP="00AC0E52">
            <w:pPr>
              <w:pStyle w:val="TAC"/>
            </w:pPr>
            <w:r w:rsidRPr="000A0A5F">
              <w:t>A.8.2</w:t>
            </w:r>
          </w:p>
        </w:tc>
      </w:tr>
      <w:tr w:rsidR="000F2220" w:rsidRPr="000A0A5F" w:rsidTr="008B4EEE">
        <w:tc>
          <w:tcPr>
            <w:tcW w:w="1838" w:type="dxa"/>
            <w:shd w:val="clear" w:color="auto" w:fill="auto"/>
            <w:vAlign w:val="center"/>
          </w:tcPr>
          <w:p w:rsidR="000F2220" w:rsidRPr="000A0A5F" w:rsidRDefault="000F2220" w:rsidP="00AC0E52">
            <w:pPr>
              <w:pStyle w:val="TAL"/>
            </w:pPr>
            <w:r w:rsidRPr="000A0A5F">
              <w:t>ReportingNetworkStatus</w:t>
            </w:r>
          </w:p>
        </w:tc>
        <w:tc>
          <w:tcPr>
            <w:tcW w:w="1134" w:type="dxa"/>
            <w:shd w:val="clear" w:color="auto" w:fill="auto"/>
            <w:vAlign w:val="center"/>
          </w:tcPr>
          <w:p w:rsidR="000F2220" w:rsidRPr="000A0A5F" w:rsidRDefault="000F2220" w:rsidP="00AC0E52">
            <w:pPr>
              <w:pStyle w:val="TAC"/>
            </w:pPr>
            <w:r w:rsidRPr="000A0A5F">
              <w:t>5.9</w:t>
            </w:r>
          </w:p>
        </w:tc>
        <w:tc>
          <w:tcPr>
            <w:tcW w:w="1843" w:type="dxa"/>
            <w:shd w:val="clear" w:color="auto" w:fill="auto"/>
            <w:vAlign w:val="center"/>
          </w:tcPr>
          <w:p w:rsidR="000F2220" w:rsidRPr="000A0A5F" w:rsidRDefault="000F2220" w:rsidP="00AC0E52">
            <w:pPr>
              <w:pStyle w:val="TAL"/>
            </w:pPr>
            <w:r w:rsidRPr="000A0A5F">
              <w:t>Network Status Reporting API</w:t>
            </w:r>
          </w:p>
        </w:tc>
        <w:tc>
          <w:tcPr>
            <w:tcW w:w="2268" w:type="dxa"/>
            <w:shd w:val="clear" w:color="auto" w:fill="auto"/>
            <w:vAlign w:val="center"/>
          </w:tcPr>
          <w:p w:rsidR="000F2220" w:rsidRPr="000A0A5F" w:rsidRDefault="000F2220" w:rsidP="00AC0E52">
            <w:pPr>
              <w:pStyle w:val="TAL"/>
            </w:pPr>
            <w:r w:rsidRPr="000A0A5F">
              <w:t>TS29122_ReportingNetworkStatus.yaml</w:t>
            </w:r>
          </w:p>
        </w:tc>
        <w:tc>
          <w:tcPr>
            <w:tcW w:w="1734" w:type="dxa"/>
            <w:shd w:val="clear" w:color="auto" w:fill="auto"/>
            <w:vAlign w:val="center"/>
          </w:tcPr>
          <w:p w:rsidR="000F2220" w:rsidRPr="000A0A5F" w:rsidRDefault="000F2220" w:rsidP="00AC0E52">
            <w:pPr>
              <w:pStyle w:val="TAL"/>
            </w:pPr>
            <w:r w:rsidRPr="000A0A5F">
              <w:t>3gpp-network-status-reporting</w:t>
            </w:r>
          </w:p>
        </w:tc>
        <w:tc>
          <w:tcPr>
            <w:tcW w:w="814" w:type="dxa"/>
            <w:shd w:val="clear" w:color="auto" w:fill="auto"/>
            <w:vAlign w:val="center"/>
          </w:tcPr>
          <w:p w:rsidR="000F2220" w:rsidRPr="000A0A5F" w:rsidRDefault="000F2220" w:rsidP="00AC0E52">
            <w:pPr>
              <w:pStyle w:val="TAC"/>
            </w:pPr>
            <w:r w:rsidRPr="000A0A5F">
              <w:t>A.9</w:t>
            </w:r>
          </w:p>
        </w:tc>
      </w:tr>
      <w:tr w:rsidR="000F2220" w:rsidRPr="000A0A5F" w:rsidTr="008B4EEE">
        <w:tc>
          <w:tcPr>
            <w:tcW w:w="1838" w:type="dxa"/>
            <w:shd w:val="clear" w:color="auto" w:fill="auto"/>
            <w:vAlign w:val="center"/>
          </w:tcPr>
          <w:p w:rsidR="000F2220" w:rsidRPr="000A0A5F" w:rsidRDefault="000F2220" w:rsidP="00AC0E52">
            <w:pPr>
              <w:pStyle w:val="TAL"/>
            </w:pPr>
            <w:r w:rsidRPr="000A0A5F">
              <w:t>CpProvisioning</w:t>
            </w:r>
          </w:p>
        </w:tc>
        <w:tc>
          <w:tcPr>
            <w:tcW w:w="1134" w:type="dxa"/>
            <w:shd w:val="clear" w:color="auto" w:fill="auto"/>
            <w:vAlign w:val="center"/>
          </w:tcPr>
          <w:p w:rsidR="000F2220" w:rsidRPr="000A0A5F" w:rsidRDefault="000F2220" w:rsidP="00AC0E52">
            <w:pPr>
              <w:pStyle w:val="TAC"/>
            </w:pPr>
            <w:r w:rsidRPr="000A0A5F">
              <w:t>5.10</w:t>
            </w:r>
          </w:p>
        </w:tc>
        <w:tc>
          <w:tcPr>
            <w:tcW w:w="1843" w:type="dxa"/>
            <w:shd w:val="clear" w:color="auto" w:fill="auto"/>
            <w:vAlign w:val="center"/>
          </w:tcPr>
          <w:p w:rsidR="000F2220" w:rsidRPr="000A0A5F" w:rsidRDefault="000F2220" w:rsidP="00AC0E52">
            <w:pPr>
              <w:pStyle w:val="TAL"/>
            </w:pPr>
            <w:r w:rsidRPr="000A0A5F">
              <w:t>Communication Patterns (CP) Parameters Provisioning API</w:t>
            </w:r>
          </w:p>
        </w:tc>
        <w:tc>
          <w:tcPr>
            <w:tcW w:w="2268" w:type="dxa"/>
            <w:shd w:val="clear" w:color="auto" w:fill="auto"/>
            <w:vAlign w:val="center"/>
          </w:tcPr>
          <w:p w:rsidR="000F2220" w:rsidRPr="000A0A5F" w:rsidRDefault="000F2220" w:rsidP="00AC0E52">
            <w:pPr>
              <w:pStyle w:val="TAL"/>
            </w:pPr>
            <w:r w:rsidRPr="000A0A5F">
              <w:t>TS29122_CpProvisioning.yaml</w:t>
            </w:r>
          </w:p>
        </w:tc>
        <w:tc>
          <w:tcPr>
            <w:tcW w:w="1734" w:type="dxa"/>
            <w:shd w:val="clear" w:color="auto" w:fill="auto"/>
            <w:vAlign w:val="center"/>
          </w:tcPr>
          <w:p w:rsidR="000F2220" w:rsidRPr="000A0A5F" w:rsidRDefault="000F2220" w:rsidP="00AC0E52">
            <w:pPr>
              <w:pStyle w:val="TAL"/>
            </w:pPr>
            <w:r w:rsidRPr="000A0A5F">
              <w:t>3gpp-cp-parameter-provisioning</w:t>
            </w:r>
          </w:p>
        </w:tc>
        <w:tc>
          <w:tcPr>
            <w:tcW w:w="814" w:type="dxa"/>
            <w:shd w:val="clear" w:color="auto" w:fill="auto"/>
            <w:vAlign w:val="center"/>
          </w:tcPr>
          <w:p w:rsidR="000F2220" w:rsidRPr="000A0A5F" w:rsidRDefault="000F2220" w:rsidP="00AC0E52">
            <w:pPr>
              <w:pStyle w:val="TAC"/>
            </w:pPr>
            <w:r w:rsidRPr="000A0A5F">
              <w:t>A.10</w:t>
            </w:r>
          </w:p>
        </w:tc>
      </w:tr>
      <w:tr w:rsidR="000F2220" w:rsidRPr="000A0A5F" w:rsidTr="008B4EEE">
        <w:tc>
          <w:tcPr>
            <w:tcW w:w="1838" w:type="dxa"/>
            <w:shd w:val="clear" w:color="auto" w:fill="auto"/>
            <w:vAlign w:val="center"/>
          </w:tcPr>
          <w:p w:rsidR="000F2220" w:rsidRPr="000A0A5F" w:rsidRDefault="000F2220" w:rsidP="00AC0E52">
            <w:pPr>
              <w:pStyle w:val="TAL"/>
            </w:pPr>
            <w:r w:rsidRPr="000A0A5F">
              <w:t>PfdManagement</w:t>
            </w:r>
          </w:p>
        </w:tc>
        <w:tc>
          <w:tcPr>
            <w:tcW w:w="1134" w:type="dxa"/>
            <w:shd w:val="clear" w:color="auto" w:fill="auto"/>
            <w:vAlign w:val="center"/>
          </w:tcPr>
          <w:p w:rsidR="000F2220" w:rsidRPr="000A0A5F" w:rsidRDefault="000F2220" w:rsidP="00AC0E52">
            <w:pPr>
              <w:pStyle w:val="TAC"/>
            </w:pPr>
            <w:r w:rsidRPr="000A0A5F">
              <w:t>5.11</w:t>
            </w:r>
          </w:p>
        </w:tc>
        <w:tc>
          <w:tcPr>
            <w:tcW w:w="1843" w:type="dxa"/>
            <w:shd w:val="clear" w:color="auto" w:fill="auto"/>
            <w:vAlign w:val="center"/>
          </w:tcPr>
          <w:p w:rsidR="000F2220" w:rsidRPr="000A0A5F" w:rsidRDefault="000F2220" w:rsidP="00AC0E52">
            <w:pPr>
              <w:pStyle w:val="TAL"/>
            </w:pPr>
            <w:r w:rsidRPr="000A0A5F">
              <w:t>Packet Flow Description (PFD) Management API</w:t>
            </w:r>
          </w:p>
        </w:tc>
        <w:tc>
          <w:tcPr>
            <w:tcW w:w="2268" w:type="dxa"/>
            <w:shd w:val="clear" w:color="auto" w:fill="auto"/>
            <w:vAlign w:val="center"/>
          </w:tcPr>
          <w:p w:rsidR="000F2220" w:rsidRPr="000A0A5F" w:rsidRDefault="000F2220" w:rsidP="00AC0E52">
            <w:pPr>
              <w:pStyle w:val="TAL"/>
            </w:pPr>
            <w:r w:rsidRPr="000A0A5F">
              <w:t>TS29122_PfdManagement.yaml</w:t>
            </w:r>
          </w:p>
        </w:tc>
        <w:tc>
          <w:tcPr>
            <w:tcW w:w="1734" w:type="dxa"/>
            <w:shd w:val="clear" w:color="auto" w:fill="auto"/>
            <w:vAlign w:val="center"/>
          </w:tcPr>
          <w:p w:rsidR="000F2220" w:rsidRPr="000A0A5F" w:rsidRDefault="000F2220" w:rsidP="00AC0E52">
            <w:pPr>
              <w:pStyle w:val="TAL"/>
            </w:pPr>
            <w:r w:rsidRPr="000A0A5F">
              <w:t>3gpp-pfd-management</w:t>
            </w:r>
          </w:p>
        </w:tc>
        <w:tc>
          <w:tcPr>
            <w:tcW w:w="814" w:type="dxa"/>
            <w:shd w:val="clear" w:color="auto" w:fill="auto"/>
            <w:vAlign w:val="center"/>
          </w:tcPr>
          <w:p w:rsidR="000F2220" w:rsidRPr="000A0A5F" w:rsidRDefault="000F2220" w:rsidP="00AC0E52">
            <w:pPr>
              <w:pStyle w:val="TAC"/>
            </w:pPr>
            <w:r w:rsidRPr="000A0A5F">
              <w:t>A.11</w:t>
            </w:r>
          </w:p>
        </w:tc>
      </w:tr>
      <w:tr w:rsidR="000F2220" w:rsidRPr="000A0A5F" w:rsidTr="008B4EEE">
        <w:tc>
          <w:tcPr>
            <w:tcW w:w="1838" w:type="dxa"/>
            <w:shd w:val="clear" w:color="auto" w:fill="auto"/>
            <w:vAlign w:val="center"/>
          </w:tcPr>
          <w:p w:rsidR="000F2220" w:rsidRPr="000A0A5F" w:rsidRDefault="000F2220" w:rsidP="00AC0E52">
            <w:pPr>
              <w:pStyle w:val="TAL"/>
            </w:pPr>
            <w:r w:rsidRPr="000A0A5F">
              <w:t>ECRControl</w:t>
            </w:r>
          </w:p>
        </w:tc>
        <w:tc>
          <w:tcPr>
            <w:tcW w:w="1134" w:type="dxa"/>
            <w:shd w:val="clear" w:color="auto" w:fill="auto"/>
            <w:vAlign w:val="center"/>
          </w:tcPr>
          <w:p w:rsidR="000F2220" w:rsidRPr="000A0A5F" w:rsidRDefault="000F2220" w:rsidP="00AC0E52">
            <w:pPr>
              <w:pStyle w:val="TAC"/>
            </w:pPr>
            <w:r w:rsidRPr="000A0A5F">
              <w:t>5.12</w:t>
            </w:r>
          </w:p>
        </w:tc>
        <w:tc>
          <w:tcPr>
            <w:tcW w:w="1843" w:type="dxa"/>
            <w:shd w:val="clear" w:color="auto" w:fill="auto"/>
            <w:vAlign w:val="center"/>
          </w:tcPr>
          <w:p w:rsidR="000F2220" w:rsidRPr="000A0A5F" w:rsidRDefault="000F2220" w:rsidP="00AC0E52">
            <w:pPr>
              <w:pStyle w:val="TAL"/>
            </w:pPr>
            <w:r w:rsidRPr="000A0A5F">
              <w:t>Enhanced Coverage Restriction Control API</w:t>
            </w:r>
          </w:p>
        </w:tc>
        <w:tc>
          <w:tcPr>
            <w:tcW w:w="2268" w:type="dxa"/>
            <w:shd w:val="clear" w:color="auto" w:fill="auto"/>
            <w:vAlign w:val="center"/>
          </w:tcPr>
          <w:p w:rsidR="000F2220" w:rsidRPr="000A0A5F" w:rsidRDefault="000F2220" w:rsidP="00AC0E52">
            <w:pPr>
              <w:pStyle w:val="TAL"/>
            </w:pPr>
            <w:r w:rsidRPr="000A0A5F">
              <w:t>TS29122_ECRControl.yaml</w:t>
            </w:r>
          </w:p>
        </w:tc>
        <w:tc>
          <w:tcPr>
            <w:tcW w:w="1734" w:type="dxa"/>
            <w:shd w:val="clear" w:color="auto" w:fill="auto"/>
            <w:vAlign w:val="center"/>
          </w:tcPr>
          <w:p w:rsidR="000F2220" w:rsidRPr="000A0A5F" w:rsidRDefault="000F2220" w:rsidP="00AC0E52">
            <w:pPr>
              <w:pStyle w:val="TAL"/>
            </w:pPr>
            <w:r w:rsidRPr="000A0A5F">
              <w:t>3gpp-ecr-control</w:t>
            </w:r>
          </w:p>
        </w:tc>
        <w:tc>
          <w:tcPr>
            <w:tcW w:w="814" w:type="dxa"/>
            <w:shd w:val="clear" w:color="auto" w:fill="auto"/>
            <w:vAlign w:val="center"/>
          </w:tcPr>
          <w:p w:rsidR="000F2220" w:rsidRPr="000A0A5F" w:rsidRDefault="000F2220" w:rsidP="00AC0E52">
            <w:pPr>
              <w:pStyle w:val="TAC"/>
            </w:pPr>
            <w:r w:rsidRPr="000A0A5F">
              <w:t>A.12</w:t>
            </w:r>
          </w:p>
        </w:tc>
      </w:tr>
      <w:tr w:rsidR="000F2220" w:rsidRPr="000A0A5F" w:rsidTr="008B4EEE">
        <w:tc>
          <w:tcPr>
            <w:tcW w:w="1838" w:type="dxa"/>
            <w:shd w:val="clear" w:color="auto" w:fill="auto"/>
            <w:vAlign w:val="center"/>
          </w:tcPr>
          <w:p w:rsidR="000F2220" w:rsidRPr="000A0A5F" w:rsidRDefault="000F2220" w:rsidP="00AC0E52">
            <w:pPr>
              <w:pStyle w:val="TAL"/>
            </w:pPr>
            <w:r w:rsidRPr="000A0A5F">
              <w:t>NpConfiguration</w:t>
            </w:r>
          </w:p>
        </w:tc>
        <w:tc>
          <w:tcPr>
            <w:tcW w:w="1134" w:type="dxa"/>
            <w:shd w:val="clear" w:color="auto" w:fill="auto"/>
            <w:vAlign w:val="center"/>
          </w:tcPr>
          <w:p w:rsidR="000F2220" w:rsidRPr="000A0A5F" w:rsidRDefault="000F2220" w:rsidP="00AC0E52">
            <w:pPr>
              <w:pStyle w:val="TAC"/>
            </w:pPr>
            <w:r w:rsidRPr="000A0A5F">
              <w:t>5.13</w:t>
            </w:r>
          </w:p>
        </w:tc>
        <w:tc>
          <w:tcPr>
            <w:tcW w:w="1843" w:type="dxa"/>
            <w:shd w:val="clear" w:color="auto" w:fill="auto"/>
            <w:vAlign w:val="center"/>
          </w:tcPr>
          <w:p w:rsidR="000F2220" w:rsidRPr="000A0A5F" w:rsidRDefault="000F2220" w:rsidP="00AC0E52">
            <w:pPr>
              <w:pStyle w:val="TAL"/>
            </w:pPr>
            <w:r w:rsidRPr="000A0A5F">
              <w:t>Network Parameter Configuration API</w:t>
            </w:r>
          </w:p>
        </w:tc>
        <w:tc>
          <w:tcPr>
            <w:tcW w:w="2268" w:type="dxa"/>
            <w:shd w:val="clear" w:color="auto" w:fill="auto"/>
            <w:vAlign w:val="center"/>
          </w:tcPr>
          <w:p w:rsidR="000F2220" w:rsidRPr="000A0A5F" w:rsidRDefault="000F2220" w:rsidP="00AC0E52">
            <w:pPr>
              <w:pStyle w:val="TAL"/>
            </w:pPr>
            <w:r w:rsidRPr="000A0A5F">
              <w:t>TS29122_NpConfiguration.yaml</w:t>
            </w:r>
          </w:p>
        </w:tc>
        <w:tc>
          <w:tcPr>
            <w:tcW w:w="1734" w:type="dxa"/>
            <w:shd w:val="clear" w:color="auto" w:fill="auto"/>
            <w:vAlign w:val="center"/>
          </w:tcPr>
          <w:p w:rsidR="000F2220" w:rsidRPr="000A0A5F" w:rsidRDefault="000F2220" w:rsidP="00AC0E52">
            <w:pPr>
              <w:pStyle w:val="TAL"/>
            </w:pPr>
            <w:r w:rsidRPr="000A0A5F">
              <w:t>3gpp-network-parameter-configuration</w:t>
            </w:r>
          </w:p>
        </w:tc>
        <w:tc>
          <w:tcPr>
            <w:tcW w:w="814" w:type="dxa"/>
            <w:shd w:val="clear" w:color="auto" w:fill="auto"/>
            <w:vAlign w:val="center"/>
          </w:tcPr>
          <w:p w:rsidR="000F2220" w:rsidRPr="000A0A5F" w:rsidRDefault="000F2220" w:rsidP="00AC0E52">
            <w:pPr>
              <w:pStyle w:val="TAC"/>
            </w:pPr>
            <w:r w:rsidRPr="000A0A5F">
              <w:t>A.13</w:t>
            </w:r>
          </w:p>
        </w:tc>
      </w:tr>
      <w:tr w:rsidR="000F2220" w:rsidRPr="000A0A5F" w:rsidTr="008B4EEE">
        <w:tc>
          <w:tcPr>
            <w:tcW w:w="1838" w:type="dxa"/>
            <w:shd w:val="clear" w:color="auto" w:fill="auto"/>
            <w:vAlign w:val="center"/>
          </w:tcPr>
          <w:p w:rsidR="000F2220" w:rsidRPr="000A0A5F" w:rsidRDefault="000F2220" w:rsidP="00AC0E52">
            <w:pPr>
              <w:pStyle w:val="TAL"/>
            </w:pPr>
            <w:r w:rsidRPr="000A0A5F">
              <w:t>AsSessionWithQoS</w:t>
            </w:r>
          </w:p>
        </w:tc>
        <w:tc>
          <w:tcPr>
            <w:tcW w:w="1134" w:type="dxa"/>
            <w:shd w:val="clear" w:color="auto" w:fill="auto"/>
            <w:vAlign w:val="center"/>
          </w:tcPr>
          <w:p w:rsidR="000F2220" w:rsidRPr="000A0A5F" w:rsidRDefault="000F2220" w:rsidP="00AC0E52">
            <w:pPr>
              <w:pStyle w:val="TAC"/>
            </w:pPr>
            <w:r w:rsidRPr="000A0A5F">
              <w:t>5.14</w:t>
            </w:r>
          </w:p>
        </w:tc>
        <w:tc>
          <w:tcPr>
            <w:tcW w:w="1843" w:type="dxa"/>
            <w:shd w:val="clear" w:color="auto" w:fill="auto"/>
            <w:vAlign w:val="center"/>
          </w:tcPr>
          <w:p w:rsidR="000F2220" w:rsidRPr="000A0A5F" w:rsidRDefault="000F2220" w:rsidP="00AC0E52">
            <w:pPr>
              <w:pStyle w:val="TAL"/>
            </w:pPr>
            <w:r w:rsidRPr="000A0A5F">
              <w:t>Application Server (AS) Session with QoS API</w:t>
            </w:r>
          </w:p>
        </w:tc>
        <w:tc>
          <w:tcPr>
            <w:tcW w:w="2268" w:type="dxa"/>
            <w:shd w:val="clear" w:color="auto" w:fill="auto"/>
            <w:vAlign w:val="center"/>
          </w:tcPr>
          <w:p w:rsidR="000F2220" w:rsidRPr="000A0A5F" w:rsidRDefault="000F2220" w:rsidP="00AC0E52">
            <w:pPr>
              <w:pStyle w:val="TAL"/>
            </w:pPr>
            <w:r w:rsidRPr="000A0A5F">
              <w:t>TS29122_AsSessionWithQoS.yaml</w:t>
            </w:r>
          </w:p>
        </w:tc>
        <w:tc>
          <w:tcPr>
            <w:tcW w:w="1734" w:type="dxa"/>
            <w:shd w:val="clear" w:color="auto" w:fill="auto"/>
            <w:vAlign w:val="center"/>
          </w:tcPr>
          <w:p w:rsidR="000F2220" w:rsidRPr="000A0A5F" w:rsidRDefault="000F2220" w:rsidP="00AC0E52">
            <w:pPr>
              <w:pStyle w:val="TAL"/>
            </w:pPr>
            <w:r w:rsidRPr="000A0A5F">
              <w:t>3gpp-as-session-with-qos</w:t>
            </w:r>
          </w:p>
        </w:tc>
        <w:tc>
          <w:tcPr>
            <w:tcW w:w="814" w:type="dxa"/>
            <w:shd w:val="clear" w:color="auto" w:fill="auto"/>
            <w:vAlign w:val="center"/>
          </w:tcPr>
          <w:p w:rsidR="000F2220" w:rsidRPr="000A0A5F" w:rsidRDefault="000F2220" w:rsidP="00AC0E52">
            <w:pPr>
              <w:pStyle w:val="TAC"/>
            </w:pPr>
            <w:r w:rsidRPr="000A0A5F">
              <w:t>A.14</w:t>
            </w:r>
          </w:p>
        </w:tc>
      </w:tr>
      <w:tr w:rsidR="000F2220" w:rsidRPr="000A0A5F" w:rsidTr="008B4EEE">
        <w:tc>
          <w:tcPr>
            <w:tcW w:w="1838" w:type="dxa"/>
            <w:shd w:val="clear" w:color="auto" w:fill="auto"/>
            <w:vAlign w:val="center"/>
          </w:tcPr>
          <w:p w:rsidR="000F2220" w:rsidRPr="000A0A5F" w:rsidRDefault="000F2220" w:rsidP="00AC0E52">
            <w:pPr>
              <w:pStyle w:val="TAL"/>
            </w:pPr>
            <w:r w:rsidRPr="000A0A5F">
              <w:t>MsisdnLessMoSms</w:t>
            </w:r>
          </w:p>
        </w:tc>
        <w:tc>
          <w:tcPr>
            <w:tcW w:w="1134" w:type="dxa"/>
            <w:shd w:val="clear" w:color="auto" w:fill="auto"/>
            <w:vAlign w:val="center"/>
          </w:tcPr>
          <w:p w:rsidR="000F2220" w:rsidRPr="000A0A5F" w:rsidRDefault="000F2220" w:rsidP="00AC0E52">
            <w:pPr>
              <w:pStyle w:val="TAC"/>
            </w:pPr>
            <w:r w:rsidRPr="000A0A5F">
              <w:t>5.15</w:t>
            </w:r>
          </w:p>
        </w:tc>
        <w:tc>
          <w:tcPr>
            <w:tcW w:w="1843" w:type="dxa"/>
            <w:shd w:val="clear" w:color="auto" w:fill="auto"/>
            <w:vAlign w:val="center"/>
          </w:tcPr>
          <w:p w:rsidR="000F2220" w:rsidRPr="000A0A5F" w:rsidRDefault="000F2220" w:rsidP="00AC0E52">
            <w:pPr>
              <w:pStyle w:val="TAL"/>
            </w:pPr>
            <w:r w:rsidRPr="000A0A5F">
              <w:t>MSISDN-less Mobile-Originated SMS API</w:t>
            </w:r>
          </w:p>
        </w:tc>
        <w:tc>
          <w:tcPr>
            <w:tcW w:w="2268" w:type="dxa"/>
            <w:shd w:val="clear" w:color="auto" w:fill="auto"/>
            <w:vAlign w:val="center"/>
          </w:tcPr>
          <w:p w:rsidR="000F2220" w:rsidRPr="000A0A5F" w:rsidRDefault="000F2220" w:rsidP="00AC0E52">
            <w:pPr>
              <w:pStyle w:val="TAL"/>
            </w:pPr>
            <w:r w:rsidRPr="000A0A5F">
              <w:t>TS29122_MsisdnLessMoSms.yaml</w:t>
            </w:r>
          </w:p>
        </w:tc>
        <w:tc>
          <w:tcPr>
            <w:tcW w:w="1734" w:type="dxa"/>
            <w:shd w:val="clear" w:color="auto" w:fill="auto"/>
            <w:vAlign w:val="center"/>
          </w:tcPr>
          <w:p w:rsidR="000F2220" w:rsidRPr="000A0A5F" w:rsidRDefault="000F2220" w:rsidP="00AC0E52">
            <w:pPr>
              <w:pStyle w:val="TAL"/>
            </w:pPr>
            <w:r w:rsidRPr="000A0A5F">
              <w:t>3gpp-msisdn-less-mo-sms</w:t>
            </w:r>
          </w:p>
        </w:tc>
        <w:tc>
          <w:tcPr>
            <w:tcW w:w="814" w:type="dxa"/>
            <w:shd w:val="clear" w:color="auto" w:fill="auto"/>
            <w:vAlign w:val="center"/>
          </w:tcPr>
          <w:p w:rsidR="000F2220" w:rsidRPr="000A0A5F" w:rsidRDefault="000F2220" w:rsidP="00AC0E52">
            <w:pPr>
              <w:pStyle w:val="TAC"/>
            </w:pPr>
            <w:r w:rsidRPr="000A0A5F">
              <w:t>A.15</w:t>
            </w:r>
          </w:p>
        </w:tc>
      </w:tr>
      <w:tr w:rsidR="000F2220" w:rsidRPr="000A0A5F" w:rsidTr="008B4EEE">
        <w:tc>
          <w:tcPr>
            <w:tcW w:w="1838" w:type="dxa"/>
            <w:shd w:val="clear" w:color="auto" w:fill="auto"/>
            <w:vAlign w:val="center"/>
          </w:tcPr>
          <w:p w:rsidR="000F2220" w:rsidRPr="000A0A5F" w:rsidRDefault="000F2220" w:rsidP="00AC0E52">
            <w:pPr>
              <w:pStyle w:val="TAL"/>
            </w:pPr>
            <w:r w:rsidRPr="000A0A5F">
              <w:t>RacsParameterProvisioning</w:t>
            </w:r>
          </w:p>
        </w:tc>
        <w:tc>
          <w:tcPr>
            <w:tcW w:w="1134" w:type="dxa"/>
            <w:shd w:val="clear" w:color="auto" w:fill="auto"/>
            <w:vAlign w:val="center"/>
          </w:tcPr>
          <w:p w:rsidR="000F2220" w:rsidRPr="000A0A5F" w:rsidRDefault="000F2220" w:rsidP="00AC0E52">
            <w:pPr>
              <w:pStyle w:val="TAC"/>
            </w:pPr>
            <w:r w:rsidRPr="000A0A5F">
              <w:t>5.16</w:t>
            </w:r>
          </w:p>
        </w:tc>
        <w:tc>
          <w:tcPr>
            <w:tcW w:w="1843" w:type="dxa"/>
            <w:shd w:val="clear" w:color="auto" w:fill="auto"/>
            <w:vAlign w:val="center"/>
          </w:tcPr>
          <w:p w:rsidR="000F2220" w:rsidRPr="000A0A5F" w:rsidRDefault="000F2220" w:rsidP="00AC0E52">
            <w:pPr>
              <w:pStyle w:val="TAL"/>
            </w:pPr>
            <w:r w:rsidRPr="000A0A5F">
              <w:t>RACS (Radio Capability Signaling) Parameter Provisioning API</w:t>
            </w:r>
          </w:p>
        </w:tc>
        <w:tc>
          <w:tcPr>
            <w:tcW w:w="2268" w:type="dxa"/>
            <w:shd w:val="clear" w:color="auto" w:fill="auto"/>
            <w:vAlign w:val="center"/>
          </w:tcPr>
          <w:p w:rsidR="000F2220" w:rsidRPr="000A0A5F" w:rsidRDefault="000F2220" w:rsidP="00AC0E52">
            <w:pPr>
              <w:pStyle w:val="TAL"/>
            </w:pPr>
            <w:r w:rsidRPr="000A0A5F">
              <w:t>TS29122_RacsParameterProvisioning.yaml</w:t>
            </w:r>
          </w:p>
        </w:tc>
        <w:tc>
          <w:tcPr>
            <w:tcW w:w="1734" w:type="dxa"/>
            <w:shd w:val="clear" w:color="auto" w:fill="auto"/>
            <w:vAlign w:val="center"/>
          </w:tcPr>
          <w:p w:rsidR="000F2220" w:rsidRPr="000A0A5F" w:rsidRDefault="000F2220" w:rsidP="00AC0E52">
            <w:pPr>
              <w:pStyle w:val="TAL"/>
            </w:pPr>
            <w:r w:rsidRPr="000A0A5F">
              <w:t>3gpp-racs-parameter-provisioning</w:t>
            </w:r>
          </w:p>
        </w:tc>
        <w:tc>
          <w:tcPr>
            <w:tcW w:w="814" w:type="dxa"/>
            <w:shd w:val="clear" w:color="auto" w:fill="auto"/>
            <w:vAlign w:val="center"/>
          </w:tcPr>
          <w:p w:rsidR="000F2220" w:rsidRPr="000A0A5F" w:rsidRDefault="000F2220" w:rsidP="00AC0E52">
            <w:pPr>
              <w:pStyle w:val="TAC"/>
            </w:pPr>
            <w:r w:rsidRPr="000A0A5F">
              <w:t>A.16</w:t>
            </w:r>
          </w:p>
        </w:tc>
      </w:tr>
    </w:tbl>
    <w:p w:rsidR="000F2220" w:rsidRPr="000A0A5F" w:rsidRDefault="000F2220" w:rsidP="000F2220">
      <w:pPr>
        <w:rPr>
          <w:rFonts w:ascii="Arial" w:hAnsi="Arial" w:cs="Arial"/>
          <w:sz w:val="18"/>
          <w:szCs w:val="18"/>
        </w:rPr>
      </w:pPr>
    </w:p>
    <w:p w:rsidR="00CB0DD7" w:rsidRPr="000A0A5F" w:rsidRDefault="00CB0DD7">
      <w:pPr>
        <w:pStyle w:val="Heading2"/>
      </w:pPr>
      <w:bookmarkStart w:id="999" w:name="_Toc105674279"/>
      <w:bookmarkStart w:id="1000" w:name="_Toc130502312"/>
      <w:bookmarkStart w:id="1001" w:name="_Toc153625091"/>
      <w:r w:rsidRPr="000A0A5F">
        <w:rPr>
          <w:rFonts w:hint="eastAsia"/>
          <w:lang w:eastAsia="zh-CN"/>
        </w:rPr>
        <w:t>5</w:t>
      </w:r>
      <w:r w:rsidRPr="000A0A5F">
        <w:t>.2</w:t>
      </w:r>
      <w:r w:rsidRPr="000A0A5F">
        <w:tab/>
        <w:t>Information applicable to several APIs</w:t>
      </w:r>
      <w:bookmarkEnd w:id="990"/>
      <w:bookmarkEnd w:id="991"/>
      <w:bookmarkEnd w:id="992"/>
      <w:bookmarkEnd w:id="993"/>
      <w:bookmarkEnd w:id="994"/>
      <w:bookmarkEnd w:id="995"/>
      <w:bookmarkEnd w:id="996"/>
      <w:bookmarkEnd w:id="997"/>
      <w:bookmarkEnd w:id="998"/>
      <w:bookmarkEnd w:id="999"/>
      <w:bookmarkEnd w:id="1000"/>
      <w:bookmarkEnd w:id="1001"/>
    </w:p>
    <w:p w:rsidR="00CB0DD7" w:rsidRPr="000A0A5F" w:rsidRDefault="00CB0DD7">
      <w:pPr>
        <w:pStyle w:val="Heading3"/>
      </w:pPr>
      <w:bookmarkStart w:id="1002" w:name="_Toc11247250"/>
      <w:bookmarkStart w:id="1003" w:name="_Toc27044370"/>
      <w:bookmarkStart w:id="1004" w:name="_Toc36033412"/>
      <w:bookmarkStart w:id="1005" w:name="_Toc45131544"/>
      <w:bookmarkStart w:id="1006" w:name="_Toc49775829"/>
      <w:bookmarkStart w:id="1007" w:name="_Toc51746749"/>
      <w:bookmarkStart w:id="1008" w:name="_Toc66360291"/>
      <w:bookmarkStart w:id="1009" w:name="_Toc68104796"/>
      <w:bookmarkStart w:id="1010" w:name="_Toc74755425"/>
      <w:bookmarkStart w:id="1011" w:name="_Toc105674280"/>
      <w:bookmarkStart w:id="1012" w:name="_Toc130502313"/>
      <w:bookmarkStart w:id="1013" w:name="_Toc153625092"/>
      <w:r w:rsidRPr="000A0A5F">
        <w:t>5.2.1</w:t>
      </w:r>
      <w:r w:rsidRPr="000A0A5F">
        <w:tab/>
        <w:t>Data Types</w:t>
      </w:r>
      <w:bookmarkEnd w:id="1002"/>
      <w:bookmarkEnd w:id="1003"/>
      <w:bookmarkEnd w:id="1004"/>
      <w:bookmarkEnd w:id="1005"/>
      <w:bookmarkEnd w:id="1006"/>
      <w:bookmarkEnd w:id="1007"/>
      <w:bookmarkEnd w:id="1008"/>
      <w:bookmarkEnd w:id="1009"/>
      <w:bookmarkEnd w:id="1010"/>
      <w:bookmarkEnd w:id="1011"/>
      <w:bookmarkEnd w:id="1012"/>
      <w:bookmarkEnd w:id="1013"/>
    </w:p>
    <w:p w:rsidR="00CB0DD7" w:rsidRPr="000A0A5F" w:rsidRDefault="00CB0DD7">
      <w:pPr>
        <w:pStyle w:val="Heading4"/>
      </w:pPr>
      <w:bookmarkStart w:id="1014" w:name="_Toc11247251"/>
      <w:bookmarkStart w:id="1015" w:name="_Toc27044371"/>
      <w:bookmarkStart w:id="1016" w:name="_Toc36033413"/>
      <w:bookmarkStart w:id="1017" w:name="_Toc45131545"/>
      <w:bookmarkStart w:id="1018" w:name="_Toc49775830"/>
      <w:bookmarkStart w:id="1019" w:name="_Toc51746750"/>
      <w:bookmarkStart w:id="1020" w:name="_Toc66360292"/>
      <w:bookmarkStart w:id="1021" w:name="_Toc68104797"/>
      <w:bookmarkStart w:id="1022" w:name="_Toc74755426"/>
      <w:bookmarkStart w:id="1023" w:name="_Toc105674281"/>
      <w:bookmarkStart w:id="1024" w:name="_Toc130502314"/>
      <w:bookmarkStart w:id="1025" w:name="_Toc153625093"/>
      <w:r w:rsidRPr="000A0A5F">
        <w:t>5.2.1.1</w:t>
      </w:r>
      <w:r w:rsidRPr="000A0A5F">
        <w:tab/>
        <w:t>Introduction</w:t>
      </w:r>
      <w:bookmarkEnd w:id="1014"/>
      <w:bookmarkEnd w:id="1015"/>
      <w:bookmarkEnd w:id="1016"/>
      <w:bookmarkEnd w:id="1017"/>
      <w:bookmarkEnd w:id="1018"/>
      <w:bookmarkEnd w:id="1019"/>
      <w:bookmarkEnd w:id="1020"/>
      <w:bookmarkEnd w:id="1021"/>
      <w:bookmarkEnd w:id="1022"/>
      <w:bookmarkEnd w:id="1023"/>
      <w:bookmarkEnd w:id="1024"/>
      <w:bookmarkEnd w:id="1025"/>
    </w:p>
    <w:p w:rsidR="00CB0DD7" w:rsidRPr="000A0A5F" w:rsidRDefault="00CB0DD7">
      <w:r w:rsidRPr="000A0A5F">
        <w:t xml:space="preserve">This clause defines structured data types, simple data types and enumerations that are applicable to several APIs defined in the present specification and can be referenced from data structures defined in the subsequent clauses. In addition, data types that are defined in </w:t>
      </w:r>
      <w:r w:rsidRPr="000A0A5F">
        <w:rPr>
          <w:lang w:val="en-US"/>
        </w:rPr>
        <w:t xml:space="preserve">OpenAPI Specification [27] can also be </w:t>
      </w:r>
      <w:r w:rsidRPr="000A0A5F">
        <w:t>referenced from data structures defined in the subsequent clauses.</w:t>
      </w:r>
    </w:p>
    <w:p w:rsidR="00CB0DD7" w:rsidRPr="000A0A5F" w:rsidRDefault="00CB0DD7">
      <w:pPr>
        <w:pStyle w:val="NO"/>
      </w:pPr>
      <w:r w:rsidRPr="000A0A5F">
        <w:t>NOTE:</w:t>
      </w:r>
      <w:r w:rsidRPr="000A0A5F">
        <w:tab/>
        <w:t xml:space="preserve">As a convention, data types in the present specification are written with </w:t>
      </w:r>
      <w:bookmarkStart w:id="1026" w:name="_Hlk488929525"/>
      <w:r w:rsidRPr="000A0A5F">
        <w:t xml:space="preserve">an upper-case letter </w:t>
      </w:r>
      <w:bookmarkEnd w:id="1026"/>
      <w:r w:rsidRPr="000A0A5F">
        <w:t xml:space="preserve">in the beginning. Parameters are written with a lower-case letter in the beginning. As an exception, data types that are also defined in </w:t>
      </w:r>
      <w:r w:rsidRPr="000A0A5F">
        <w:rPr>
          <w:lang w:val="en-US"/>
        </w:rPr>
        <w:t>OpenAPI Specification</w:t>
      </w:r>
      <w:r w:rsidRPr="000A0A5F">
        <w:rPr>
          <w:rFonts w:ascii="Segoe UI Symbol" w:hAnsi="Segoe UI Symbol"/>
          <w:lang w:val="en-US"/>
        </w:rPr>
        <w:t> </w:t>
      </w:r>
      <w:r w:rsidRPr="000A0A5F">
        <w:rPr>
          <w:lang w:val="en-US"/>
        </w:rPr>
        <w:t xml:space="preserve">[27] can use a lower-case </w:t>
      </w:r>
      <w:r w:rsidRPr="000A0A5F">
        <w:t>case letter in the beginning for consistency.</w:t>
      </w:r>
    </w:p>
    <w:p w:rsidR="00B7088D" w:rsidRPr="000A0A5F" w:rsidRDefault="00B7088D" w:rsidP="00B7088D">
      <w:bookmarkStart w:id="1027" w:name="_Toc11247252"/>
      <w:bookmarkStart w:id="1028" w:name="_Toc27044372"/>
      <w:bookmarkStart w:id="1029" w:name="_Toc36033414"/>
      <w:bookmarkStart w:id="1030" w:name="_Toc45131546"/>
      <w:bookmarkStart w:id="1031" w:name="_Toc49775831"/>
      <w:bookmarkStart w:id="1032" w:name="_Toc51746751"/>
      <w:bookmarkStart w:id="1033" w:name="_Toc66360293"/>
      <w:bookmarkStart w:id="1034" w:name="_Toc68104798"/>
      <w:bookmarkStart w:id="1035" w:name="_Toc74755427"/>
      <w:r w:rsidRPr="000A0A5F">
        <w:t>Table 5.2.1.1-1 lists these common data types.</w:t>
      </w:r>
    </w:p>
    <w:p w:rsidR="003D7A14" w:rsidRPr="000A0A5F" w:rsidRDefault="003D7A14" w:rsidP="003D7A14">
      <w:pPr>
        <w:pStyle w:val="TH"/>
      </w:pPr>
      <w:r w:rsidRPr="000A0A5F">
        <w:t>Table 5.2.1.1-1: Common Data Types applicable to several T8 APIs</w:t>
      </w:r>
    </w:p>
    <w:tbl>
      <w:tblPr>
        <w:tblW w:w="964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555"/>
        <w:gridCol w:w="1559"/>
        <w:gridCol w:w="4146"/>
        <w:gridCol w:w="1387"/>
      </w:tblGrid>
      <w:tr w:rsidR="003D7A14" w:rsidRPr="000A0A5F" w:rsidTr="00D375AC">
        <w:trPr>
          <w:cantSplit/>
          <w:jc w:val="center"/>
        </w:trPr>
        <w:tc>
          <w:tcPr>
            <w:tcW w:w="2555" w:type="dxa"/>
            <w:shd w:val="clear" w:color="auto" w:fill="C0C0C0"/>
            <w:hideMark/>
          </w:tcPr>
          <w:p w:rsidR="003D7A14" w:rsidRPr="000A0A5F" w:rsidRDefault="003D7A14" w:rsidP="00D375AC">
            <w:pPr>
              <w:pStyle w:val="TAH"/>
            </w:pPr>
            <w:r w:rsidRPr="000A0A5F">
              <w:t>Data type</w:t>
            </w:r>
          </w:p>
        </w:tc>
        <w:tc>
          <w:tcPr>
            <w:tcW w:w="1559" w:type="dxa"/>
            <w:shd w:val="clear" w:color="auto" w:fill="C0C0C0"/>
            <w:hideMark/>
          </w:tcPr>
          <w:p w:rsidR="003D7A14" w:rsidRPr="000A0A5F" w:rsidRDefault="003D7A14" w:rsidP="00D375AC">
            <w:pPr>
              <w:pStyle w:val="TAH"/>
            </w:pPr>
            <w:r w:rsidRPr="000A0A5F">
              <w:t>Section defined</w:t>
            </w:r>
          </w:p>
        </w:tc>
        <w:tc>
          <w:tcPr>
            <w:tcW w:w="4146" w:type="dxa"/>
            <w:shd w:val="clear" w:color="auto" w:fill="C0C0C0"/>
            <w:hideMark/>
          </w:tcPr>
          <w:p w:rsidR="003D7A14" w:rsidRPr="000A0A5F" w:rsidRDefault="003D7A14" w:rsidP="00D375AC">
            <w:pPr>
              <w:pStyle w:val="TAH"/>
            </w:pPr>
            <w:r w:rsidRPr="000A0A5F">
              <w:t>Description</w:t>
            </w:r>
          </w:p>
        </w:tc>
        <w:tc>
          <w:tcPr>
            <w:tcW w:w="1387" w:type="dxa"/>
            <w:shd w:val="clear" w:color="auto" w:fill="C0C0C0"/>
          </w:tcPr>
          <w:p w:rsidR="003D7A14" w:rsidRPr="000A0A5F" w:rsidRDefault="003D7A14" w:rsidP="00D375AC">
            <w:pPr>
              <w:pStyle w:val="TAH"/>
            </w:pPr>
            <w:r w:rsidRPr="000A0A5F">
              <w:t>Applicability</w:t>
            </w:r>
          </w:p>
        </w:tc>
      </w:tr>
      <w:tr w:rsidR="003D7A14" w:rsidRPr="000A0A5F" w:rsidTr="00D375AC">
        <w:trPr>
          <w:cantSplit/>
          <w:jc w:val="center"/>
        </w:trPr>
        <w:tc>
          <w:tcPr>
            <w:tcW w:w="2555" w:type="dxa"/>
            <w:shd w:val="clear" w:color="auto" w:fill="auto"/>
          </w:tcPr>
          <w:p w:rsidR="003D7A14" w:rsidRPr="000A0A5F" w:rsidRDefault="003D7A14" w:rsidP="00D375AC">
            <w:pPr>
              <w:pStyle w:val="TAL"/>
            </w:pPr>
            <w:r w:rsidRPr="000A0A5F">
              <w:t>AccumulatedUsage</w:t>
            </w:r>
          </w:p>
        </w:tc>
        <w:tc>
          <w:tcPr>
            <w:tcW w:w="1559" w:type="dxa"/>
            <w:shd w:val="clear" w:color="auto" w:fill="auto"/>
          </w:tcPr>
          <w:p w:rsidR="003D7A14" w:rsidRPr="000A0A5F" w:rsidRDefault="003D7A14" w:rsidP="00D375AC">
            <w:pPr>
              <w:pStyle w:val="TAL"/>
            </w:pPr>
            <w:r w:rsidRPr="000A0A5F">
              <w:t>5.2.1.2.7</w:t>
            </w:r>
          </w:p>
        </w:tc>
        <w:tc>
          <w:tcPr>
            <w:tcW w:w="4146" w:type="dxa"/>
            <w:shd w:val="clear" w:color="auto" w:fill="auto"/>
          </w:tcPr>
          <w:p w:rsidR="003D7A14" w:rsidRPr="000A0A5F" w:rsidRDefault="003D7A14" w:rsidP="00D375AC">
            <w:pPr>
              <w:pStyle w:val="TAL"/>
            </w:pPr>
            <w:r w:rsidRPr="000A0A5F">
              <w:t>Represents an accumulated usage.</w:t>
            </w:r>
          </w:p>
        </w:tc>
        <w:tc>
          <w:tcPr>
            <w:tcW w:w="1387" w:type="dxa"/>
            <w:shd w:val="clear" w:color="auto" w:fill="auto"/>
          </w:tcPr>
          <w:p w:rsidR="003D7A14" w:rsidRPr="000A0A5F" w:rsidRDefault="003D7A14" w:rsidP="00D375AC">
            <w:pPr>
              <w:pStyle w:val="TAL"/>
            </w:pPr>
          </w:p>
        </w:tc>
      </w:tr>
      <w:tr w:rsidR="003D7A14" w:rsidRPr="000A0A5F" w:rsidTr="00D375AC">
        <w:trPr>
          <w:cantSplit/>
          <w:jc w:val="center"/>
        </w:trPr>
        <w:tc>
          <w:tcPr>
            <w:tcW w:w="2555" w:type="dxa"/>
            <w:shd w:val="clear" w:color="auto" w:fill="auto"/>
          </w:tcPr>
          <w:p w:rsidR="003D7A14" w:rsidRPr="000A0A5F" w:rsidRDefault="003D7A14" w:rsidP="00D375AC">
            <w:pPr>
              <w:pStyle w:val="TAL"/>
            </w:pPr>
            <w:r w:rsidRPr="000A0A5F">
              <w:t>Acknowledgement</w:t>
            </w:r>
          </w:p>
        </w:tc>
        <w:tc>
          <w:tcPr>
            <w:tcW w:w="1559" w:type="dxa"/>
            <w:shd w:val="clear" w:color="auto" w:fill="auto"/>
          </w:tcPr>
          <w:p w:rsidR="003D7A14" w:rsidRPr="000A0A5F" w:rsidRDefault="003D7A14" w:rsidP="00D375AC">
            <w:pPr>
              <w:pStyle w:val="TAL"/>
            </w:pPr>
            <w:r w:rsidRPr="000A0A5F">
              <w:t>5.2.1.2.4</w:t>
            </w:r>
          </w:p>
        </w:tc>
        <w:tc>
          <w:tcPr>
            <w:tcW w:w="4146" w:type="dxa"/>
            <w:shd w:val="clear" w:color="auto" w:fill="auto"/>
          </w:tcPr>
          <w:p w:rsidR="003D7A14" w:rsidRPr="000A0A5F" w:rsidRDefault="003D7A14" w:rsidP="00D375AC">
            <w:pPr>
              <w:pStyle w:val="TAL"/>
            </w:pPr>
            <w:r w:rsidRPr="000A0A5F">
              <w:t>Represents a successful acknowledgement of a notification.</w:t>
            </w:r>
          </w:p>
        </w:tc>
        <w:tc>
          <w:tcPr>
            <w:tcW w:w="1387" w:type="dxa"/>
            <w:shd w:val="clear" w:color="auto" w:fill="auto"/>
          </w:tcPr>
          <w:p w:rsidR="003D7A14" w:rsidRPr="000A0A5F" w:rsidRDefault="003D7A14" w:rsidP="00D375AC">
            <w:pPr>
              <w:pStyle w:val="TAL"/>
            </w:pPr>
          </w:p>
        </w:tc>
      </w:tr>
      <w:tr w:rsidR="003D7A14" w:rsidRPr="000A0A5F" w:rsidTr="00D375AC">
        <w:trPr>
          <w:cantSplit/>
          <w:jc w:val="center"/>
        </w:trPr>
        <w:tc>
          <w:tcPr>
            <w:tcW w:w="2555" w:type="dxa"/>
            <w:shd w:val="clear" w:color="auto" w:fill="auto"/>
          </w:tcPr>
          <w:p w:rsidR="003D7A14" w:rsidRPr="000A0A5F" w:rsidRDefault="003D7A14" w:rsidP="00D375AC">
            <w:pPr>
              <w:pStyle w:val="TAL"/>
            </w:pPr>
            <w:r w:rsidRPr="000A0A5F">
              <w:rPr>
                <w:rFonts w:hint="eastAsia"/>
              </w:rPr>
              <w:t>Bandwidth</w:t>
            </w:r>
          </w:p>
        </w:tc>
        <w:tc>
          <w:tcPr>
            <w:tcW w:w="1559" w:type="dxa"/>
            <w:shd w:val="clear" w:color="auto" w:fill="auto"/>
          </w:tcPr>
          <w:p w:rsidR="003D7A14" w:rsidRPr="000A0A5F" w:rsidRDefault="003D7A14" w:rsidP="00D375AC">
            <w:pPr>
              <w:pStyle w:val="TAL"/>
            </w:pPr>
            <w:r w:rsidRPr="000A0A5F">
              <w:t>5.2.1.3.2</w:t>
            </w:r>
          </w:p>
        </w:tc>
        <w:tc>
          <w:tcPr>
            <w:tcW w:w="4146" w:type="dxa"/>
            <w:shd w:val="clear" w:color="auto" w:fill="auto"/>
          </w:tcPr>
          <w:p w:rsidR="003D7A14" w:rsidRPr="000A0A5F" w:rsidRDefault="003D7A14" w:rsidP="00D375AC">
            <w:pPr>
              <w:pStyle w:val="TAL"/>
            </w:pPr>
            <w:r w:rsidRPr="000A0A5F">
              <w:t>Represents an integer indicating a bandwidth in bits per second.</w:t>
            </w:r>
          </w:p>
        </w:tc>
        <w:tc>
          <w:tcPr>
            <w:tcW w:w="1387" w:type="dxa"/>
            <w:shd w:val="clear" w:color="auto" w:fill="auto"/>
          </w:tcPr>
          <w:p w:rsidR="003D7A14" w:rsidRPr="000A0A5F" w:rsidRDefault="003D7A14" w:rsidP="00D375AC">
            <w:pPr>
              <w:pStyle w:val="TAL"/>
            </w:pPr>
          </w:p>
        </w:tc>
      </w:tr>
      <w:tr w:rsidR="003D7A14" w:rsidRPr="000A0A5F" w:rsidTr="00D375AC">
        <w:trPr>
          <w:cantSplit/>
          <w:jc w:val="center"/>
        </w:trPr>
        <w:tc>
          <w:tcPr>
            <w:tcW w:w="2555" w:type="dxa"/>
            <w:shd w:val="clear" w:color="auto" w:fill="auto"/>
          </w:tcPr>
          <w:p w:rsidR="003D7A14" w:rsidRPr="000A0A5F" w:rsidRDefault="003D7A14" w:rsidP="00D375AC">
            <w:pPr>
              <w:pStyle w:val="TAL"/>
            </w:pPr>
            <w:r w:rsidRPr="000A0A5F">
              <w:t>BdtReferenceId</w:t>
            </w:r>
          </w:p>
        </w:tc>
        <w:tc>
          <w:tcPr>
            <w:tcW w:w="1559" w:type="dxa"/>
            <w:shd w:val="clear" w:color="auto" w:fill="auto"/>
          </w:tcPr>
          <w:p w:rsidR="003D7A14" w:rsidRPr="000A0A5F" w:rsidRDefault="003D7A14" w:rsidP="00D375AC">
            <w:pPr>
              <w:pStyle w:val="TAL"/>
            </w:pPr>
            <w:r w:rsidRPr="000A0A5F">
              <w:t>5.2.1.3.2</w:t>
            </w:r>
          </w:p>
        </w:tc>
        <w:tc>
          <w:tcPr>
            <w:tcW w:w="4146" w:type="dxa"/>
            <w:shd w:val="clear" w:color="auto" w:fill="auto"/>
          </w:tcPr>
          <w:p w:rsidR="003D7A14" w:rsidRPr="000A0A5F" w:rsidRDefault="003D7A14" w:rsidP="00D375AC">
            <w:pPr>
              <w:pStyle w:val="TAL"/>
            </w:pPr>
            <w:r w:rsidRPr="000A0A5F">
              <w:t>Represents a BDT Reference ID.</w:t>
            </w:r>
          </w:p>
        </w:tc>
        <w:tc>
          <w:tcPr>
            <w:tcW w:w="1387" w:type="dxa"/>
            <w:shd w:val="clear" w:color="auto" w:fill="auto"/>
          </w:tcPr>
          <w:p w:rsidR="003D7A14" w:rsidRPr="000A0A5F" w:rsidRDefault="003D7A14" w:rsidP="00D375AC">
            <w:pPr>
              <w:pStyle w:val="TAL"/>
            </w:pPr>
          </w:p>
        </w:tc>
      </w:tr>
      <w:tr w:rsidR="003D7A14" w:rsidRPr="000A0A5F" w:rsidTr="00D375AC">
        <w:trPr>
          <w:cantSplit/>
          <w:jc w:val="center"/>
        </w:trPr>
        <w:tc>
          <w:tcPr>
            <w:tcW w:w="2555" w:type="dxa"/>
            <w:shd w:val="clear" w:color="auto" w:fill="auto"/>
          </w:tcPr>
          <w:p w:rsidR="003D7A14" w:rsidRPr="000A0A5F" w:rsidRDefault="003D7A14" w:rsidP="00D375AC">
            <w:pPr>
              <w:pStyle w:val="TAL"/>
            </w:pPr>
            <w:r w:rsidRPr="000A0A5F">
              <w:t>Binary</w:t>
            </w:r>
          </w:p>
        </w:tc>
        <w:tc>
          <w:tcPr>
            <w:tcW w:w="1559" w:type="dxa"/>
            <w:shd w:val="clear" w:color="auto" w:fill="auto"/>
          </w:tcPr>
          <w:p w:rsidR="003D7A14" w:rsidRPr="000A0A5F" w:rsidRDefault="003D7A14" w:rsidP="00D375AC">
            <w:pPr>
              <w:pStyle w:val="TAL"/>
            </w:pPr>
            <w:r w:rsidRPr="000A0A5F">
              <w:t>5.2.1.3.2</w:t>
            </w:r>
          </w:p>
        </w:tc>
        <w:tc>
          <w:tcPr>
            <w:tcW w:w="4146" w:type="dxa"/>
            <w:shd w:val="clear" w:color="auto" w:fill="auto"/>
          </w:tcPr>
          <w:p w:rsidR="003D7A14" w:rsidRPr="000A0A5F" w:rsidRDefault="003D7A14" w:rsidP="00D375AC">
            <w:pPr>
              <w:pStyle w:val="TAL"/>
            </w:pPr>
            <w:r w:rsidRPr="000A0A5F">
              <w:t>String with format "binary" as defined in the OpenAPI Specification.</w:t>
            </w:r>
          </w:p>
        </w:tc>
        <w:tc>
          <w:tcPr>
            <w:tcW w:w="1387" w:type="dxa"/>
            <w:shd w:val="clear" w:color="auto" w:fill="auto"/>
          </w:tcPr>
          <w:p w:rsidR="003D7A14" w:rsidRPr="000A0A5F" w:rsidRDefault="003D7A14" w:rsidP="00D375AC">
            <w:pPr>
              <w:pStyle w:val="TAL"/>
            </w:pPr>
          </w:p>
        </w:tc>
      </w:tr>
      <w:tr w:rsidR="003D7A14" w:rsidRPr="000A0A5F" w:rsidTr="00D375AC">
        <w:trPr>
          <w:cantSplit/>
          <w:jc w:val="center"/>
        </w:trPr>
        <w:tc>
          <w:tcPr>
            <w:tcW w:w="2555" w:type="dxa"/>
            <w:shd w:val="clear" w:color="auto" w:fill="auto"/>
          </w:tcPr>
          <w:p w:rsidR="003D7A14" w:rsidRPr="000A0A5F" w:rsidRDefault="003D7A14" w:rsidP="00D375AC">
            <w:pPr>
              <w:pStyle w:val="TAL"/>
            </w:pPr>
            <w:r w:rsidRPr="000A0A5F">
              <w:t>Bytes</w:t>
            </w:r>
          </w:p>
        </w:tc>
        <w:tc>
          <w:tcPr>
            <w:tcW w:w="1559" w:type="dxa"/>
            <w:shd w:val="clear" w:color="auto" w:fill="auto"/>
          </w:tcPr>
          <w:p w:rsidR="003D7A14" w:rsidRPr="000A0A5F" w:rsidRDefault="003D7A14" w:rsidP="00D375AC">
            <w:pPr>
              <w:pStyle w:val="TAL"/>
            </w:pPr>
            <w:r w:rsidRPr="000A0A5F">
              <w:t>5.2.1.3.2</w:t>
            </w:r>
          </w:p>
        </w:tc>
        <w:tc>
          <w:tcPr>
            <w:tcW w:w="4146" w:type="dxa"/>
            <w:shd w:val="clear" w:color="auto" w:fill="auto"/>
          </w:tcPr>
          <w:p w:rsidR="003D7A14" w:rsidRPr="000A0A5F" w:rsidRDefault="003D7A14" w:rsidP="00D375AC">
            <w:pPr>
              <w:pStyle w:val="TAL"/>
            </w:pPr>
            <w:r w:rsidRPr="000A0A5F">
              <w:t>String with format "byte" as defined in the OpenAPI Specification.</w:t>
            </w:r>
          </w:p>
        </w:tc>
        <w:tc>
          <w:tcPr>
            <w:tcW w:w="1387" w:type="dxa"/>
            <w:shd w:val="clear" w:color="auto" w:fill="auto"/>
          </w:tcPr>
          <w:p w:rsidR="003D7A14" w:rsidRPr="000A0A5F" w:rsidRDefault="003D7A14" w:rsidP="00D375AC">
            <w:pPr>
              <w:pStyle w:val="TAL"/>
            </w:pPr>
          </w:p>
        </w:tc>
      </w:tr>
      <w:tr w:rsidR="003D7A14" w:rsidRPr="000A0A5F" w:rsidTr="00D375AC">
        <w:trPr>
          <w:cantSplit/>
          <w:jc w:val="center"/>
        </w:trPr>
        <w:tc>
          <w:tcPr>
            <w:tcW w:w="2555" w:type="dxa"/>
            <w:shd w:val="clear" w:color="auto" w:fill="auto"/>
          </w:tcPr>
          <w:p w:rsidR="003D7A14" w:rsidRPr="000A0A5F" w:rsidRDefault="003D7A14" w:rsidP="00D375AC">
            <w:pPr>
              <w:pStyle w:val="TAL"/>
            </w:pPr>
            <w:r w:rsidRPr="000A0A5F">
              <w:t>ConfigResult</w:t>
            </w:r>
          </w:p>
        </w:tc>
        <w:tc>
          <w:tcPr>
            <w:tcW w:w="1559" w:type="dxa"/>
            <w:shd w:val="clear" w:color="auto" w:fill="auto"/>
          </w:tcPr>
          <w:p w:rsidR="003D7A14" w:rsidRPr="000A0A5F" w:rsidRDefault="003D7A14" w:rsidP="00D375AC">
            <w:pPr>
              <w:pStyle w:val="TAL"/>
            </w:pPr>
            <w:r w:rsidRPr="000A0A5F">
              <w:t>5.2.1.2.15</w:t>
            </w:r>
          </w:p>
        </w:tc>
        <w:tc>
          <w:tcPr>
            <w:tcW w:w="4146" w:type="dxa"/>
            <w:shd w:val="clear" w:color="auto" w:fill="auto"/>
          </w:tcPr>
          <w:p w:rsidR="003D7A14" w:rsidRPr="000A0A5F" w:rsidRDefault="003D7A14" w:rsidP="00D375AC">
            <w:pPr>
              <w:pStyle w:val="TAL"/>
            </w:pPr>
            <w:r w:rsidRPr="000A0A5F">
              <w:t>Represents one configuration processing result for a group's members.</w:t>
            </w:r>
          </w:p>
        </w:tc>
        <w:tc>
          <w:tcPr>
            <w:tcW w:w="1387" w:type="dxa"/>
            <w:shd w:val="clear" w:color="auto" w:fill="auto"/>
          </w:tcPr>
          <w:p w:rsidR="003D7A14" w:rsidRPr="000A0A5F" w:rsidRDefault="003D7A14" w:rsidP="00D375AC">
            <w:pPr>
              <w:pStyle w:val="TAL"/>
            </w:pPr>
          </w:p>
        </w:tc>
      </w:tr>
      <w:tr w:rsidR="003D7A14" w:rsidRPr="000A0A5F" w:rsidTr="00D375AC">
        <w:trPr>
          <w:cantSplit/>
          <w:jc w:val="center"/>
        </w:trPr>
        <w:tc>
          <w:tcPr>
            <w:tcW w:w="2555" w:type="dxa"/>
            <w:shd w:val="clear" w:color="auto" w:fill="auto"/>
          </w:tcPr>
          <w:p w:rsidR="003D7A14" w:rsidRPr="000A0A5F" w:rsidRDefault="003D7A14" w:rsidP="00D375AC">
            <w:pPr>
              <w:pStyle w:val="TAL"/>
            </w:pPr>
            <w:r w:rsidRPr="000A0A5F">
              <w:t>DateTime</w:t>
            </w:r>
          </w:p>
        </w:tc>
        <w:tc>
          <w:tcPr>
            <w:tcW w:w="1559" w:type="dxa"/>
            <w:shd w:val="clear" w:color="auto" w:fill="auto"/>
          </w:tcPr>
          <w:p w:rsidR="003D7A14" w:rsidRPr="000A0A5F" w:rsidRDefault="003D7A14" w:rsidP="00D375AC">
            <w:pPr>
              <w:pStyle w:val="TAL"/>
            </w:pPr>
            <w:r w:rsidRPr="000A0A5F">
              <w:t>5.2.1.3.2</w:t>
            </w:r>
          </w:p>
        </w:tc>
        <w:tc>
          <w:tcPr>
            <w:tcW w:w="4146" w:type="dxa"/>
            <w:shd w:val="clear" w:color="auto" w:fill="auto"/>
          </w:tcPr>
          <w:p w:rsidR="003D7A14" w:rsidRPr="000A0A5F" w:rsidRDefault="003D7A14" w:rsidP="00D375AC">
            <w:pPr>
              <w:pStyle w:val="TAL"/>
            </w:pPr>
            <w:r w:rsidRPr="000A0A5F">
              <w:t>String with format "date-time" as defined in OpenAPI Specification.</w:t>
            </w:r>
          </w:p>
        </w:tc>
        <w:tc>
          <w:tcPr>
            <w:tcW w:w="1387" w:type="dxa"/>
            <w:shd w:val="clear" w:color="auto" w:fill="auto"/>
          </w:tcPr>
          <w:p w:rsidR="003D7A14" w:rsidRPr="000A0A5F" w:rsidRDefault="003D7A14" w:rsidP="00D375AC">
            <w:pPr>
              <w:pStyle w:val="TAL"/>
            </w:pPr>
          </w:p>
        </w:tc>
      </w:tr>
      <w:tr w:rsidR="003D7A14" w:rsidRPr="000A0A5F" w:rsidTr="00D375AC">
        <w:trPr>
          <w:cantSplit/>
          <w:jc w:val="center"/>
        </w:trPr>
        <w:tc>
          <w:tcPr>
            <w:tcW w:w="2555" w:type="dxa"/>
            <w:shd w:val="clear" w:color="auto" w:fill="auto"/>
          </w:tcPr>
          <w:p w:rsidR="003D7A14" w:rsidRPr="000A0A5F" w:rsidRDefault="003D7A14" w:rsidP="00D375AC">
            <w:pPr>
              <w:pStyle w:val="TAL"/>
            </w:pPr>
            <w:r w:rsidRPr="000A0A5F">
              <w:t>DateTimeRm</w:t>
            </w:r>
          </w:p>
        </w:tc>
        <w:tc>
          <w:tcPr>
            <w:tcW w:w="1559" w:type="dxa"/>
            <w:shd w:val="clear" w:color="auto" w:fill="auto"/>
          </w:tcPr>
          <w:p w:rsidR="003D7A14" w:rsidRPr="000A0A5F" w:rsidRDefault="003D7A14" w:rsidP="00D375AC">
            <w:pPr>
              <w:pStyle w:val="TAL"/>
            </w:pPr>
            <w:r w:rsidRPr="000A0A5F">
              <w:t>5.2.1.3.2</w:t>
            </w:r>
          </w:p>
        </w:tc>
        <w:tc>
          <w:tcPr>
            <w:tcW w:w="4146" w:type="dxa"/>
            <w:shd w:val="clear" w:color="auto" w:fill="auto"/>
          </w:tcPr>
          <w:p w:rsidR="003D7A14" w:rsidRPr="000A0A5F" w:rsidRDefault="003D7A14" w:rsidP="00D375AC">
            <w:pPr>
              <w:pStyle w:val="TAL"/>
            </w:pPr>
            <w:r w:rsidRPr="000A0A5F">
              <w:t>Represents the same as the DateTime data type, but with the "nullable: true" property.</w:t>
            </w:r>
          </w:p>
        </w:tc>
        <w:tc>
          <w:tcPr>
            <w:tcW w:w="1387" w:type="dxa"/>
            <w:shd w:val="clear" w:color="auto" w:fill="auto"/>
          </w:tcPr>
          <w:p w:rsidR="003D7A14" w:rsidRPr="000A0A5F" w:rsidRDefault="003D7A14" w:rsidP="00D375AC">
            <w:pPr>
              <w:pStyle w:val="TAL"/>
            </w:pPr>
          </w:p>
        </w:tc>
      </w:tr>
      <w:tr w:rsidR="003D7A14" w:rsidRPr="000A0A5F" w:rsidTr="00D375AC">
        <w:trPr>
          <w:cantSplit/>
          <w:jc w:val="center"/>
        </w:trPr>
        <w:tc>
          <w:tcPr>
            <w:tcW w:w="2555" w:type="dxa"/>
            <w:shd w:val="clear" w:color="auto" w:fill="auto"/>
          </w:tcPr>
          <w:p w:rsidR="003D7A14" w:rsidRPr="000A0A5F" w:rsidRDefault="003D7A14" w:rsidP="00D375AC">
            <w:pPr>
              <w:pStyle w:val="TAL"/>
            </w:pPr>
            <w:r w:rsidRPr="000A0A5F">
              <w:t>DateTimeRo</w:t>
            </w:r>
          </w:p>
        </w:tc>
        <w:tc>
          <w:tcPr>
            <w:tcW w:w="1559" w:type="dxa"/>
            <w:shd w:val="clear" w:color="auto" w:fill="auto"/>
          </w:tcPr>
          <w:p w:rsidR="003D7A14" w:rsidRPr="000A0A5F" w:rsidRDefault="003D7A14" w:rsidP="00D375AC">
            <w:pPr>
              <w:pStyle w:val="TAL"/>
            </w:pPr>
            <w:r w:rsidRPr="000A0A5F">
              <w:t>5.2.1.3.2</w:t>
            </w:r>
          </w:p>
        </w:tc>
        <w:tc>
          <w:tcPr>
            <w:tcW w:w="4146" w:type="dxa"/>
            <w:shd w:val="clear" w:color="auto" w:fill="auto"/>
          </w:tcPr>
          <w:p w:rsidR="003D7A14" w:rsidRPr="000A0A5F" w:rsidRDefault="003D7A14" w:rsidP="00D375AC">
            <w:pPr>
              <w:pStyle w:val="TAL"/>
            </w:pPr>
            <w:r w:rsidRPr="000A0A5F">
              <w:t>Represents the same as the DateTime data type, but with the "readOnly=true" property.</w:t>
            </w:r>
          </w:p>
        </w:tc>
        <w:tc>
          <w:tcPr>
            <w:tcW w:w="1387" w:type="dxa"/>
            <w:shd w:val="clear" w:color="auto" w:fill="auto"/>
          </w:tcPr>
          <w:p w:rsidR="003D7A14" w:rsidRPr="000A0A5F" w:rsidRDefault="003D7A14" w:rsidP="00D375AC">
            <w:pPr>
              <w:pStyle w:val="TAL"/>
            </w:pPr>
          </w:p>
        </w:tc>
      </w:tr>
      <w:tr w:rsidR="003D7A14" w:rsidRPr="000A0A5F" w:rsidTr="00D375AC">
        <w:trPr>
          <w:cantSplit/>
          <w:jc w:val="center"/>
        </w:trPr>
        <w:tc>
          <w:tcPr>
            <w:tcW w:w="2555" w:type="dxa"/>
            <w:shd w:val="clear" w:color="auto" w:fill="auto"/>
          </w:tcPr>
          <w:p w:rsidR="003D7A14" w:rsidRPr="000A0A5F" w:rsidRDefault="003D7A14" w:rsidP="00D375AC">
            <w:pPr>
              <w:pStyle w:val="TAL"/>
            </w:pPr>
            <w:r w:rsidRPr="000A0A5F">
              <w:t>DayOfWeek</w:t>
            </w:r>
          </w:p>
        </w:tc>
        <w:tc>
          <w:tcPr>
            <w:tcW w:w="1559" w:type="dxa"/>
            <w:shd w:val="clear" w:color="auto" w:fill="auto"/>
          </w:tcPr>
          <w:p w:rsidR="003D7A14" w:rsidRPr="000A0A5F" w:rsidRDefault="003D7A14" w:rsidP="00D375AC">
            <w:pPr>
              <w:pStyle w:val="TAL"/>
            </w:pPr>
            <w:r w:rsidRPr="000A0A5F">
              <w:t>5.2.1.3.2</w:t>
            </w:r>
          </w:p>
        </w:tc>
        <w:tc>
          <w:tcPr>
            <w:tcW w:w="4146" w:type="dxa"/>
            <w:shd w:val="clear" w:color="auto" w:fill="auto"/>
          </w:tcPr>
          <w:p w:rsidR="003D7A14" w:rsidRPr="000A0A5F" w:rsidRDefault="003D7A14" w:rsidP="00D375AC">
            <w:pPr>
              <w:pStyle w:val="TAL"/>
            </w:pPr>
            <w:r w:rsidRPr="000A0A5F">
              <w:t>Integer between 1 and 7 denoting a weekday. 1 shall indicate Monday, and the subsequent weekdays shall be indicated with the next higher numbers. 7 shall indicate Sunday.</w:t>
            </w:r>
          </w:p>
        </w:tc>
        <w:tc>
          <w:tcPr>
            <w:tcW w:w="1387" w:type="dxa"/>
            <w:shd w:val="clear" w:color="auto" w:fill="auto"/>
          </w:tcPr>
          <w:p w:rsidR="003D7A14" w:rsidRPr="000A0A5F" w:rsidRDefault="003D7A14" w:rsidP="00D375AC">
            <w:pPr>
              <w:pStyle w:val="TAL"/>
            </w:pPr>
          </w:p>
        </w:tc>
      </w:tr>
      <w:tr w:rsidR="003D7A14" w:rsidRPr="000A0A5F" w:rsidTr="00D375AC">
        <w:trPr>
          <w:cantSplit/>
          <w:jc w:val="center"/>
        </w:trPr>
        <w:tc>
          <w:tcPr>
            <w:tcW w:w="2555" w:type="dxa"/>
            <w:shd w:val="clear" w:color="auto" w:fill="auto"/>
          </w:tcPr>
          <w:p w:rsidR="003D7A14" w:rsidRPr="000A0A5F" w:rsidRDefault="003D7A14" w:rsidP="00D375AC">
            <w:pPr>
              <w:pStyle w:val="TAL"/>
            </w:pPr>
            <w:r w:rsidRPr="000A0A5F">
              <w:rPr>
                <w:rFonts w:hint="eastAsia"/>
                <w:lang w:eastAsia="zh-CN"/>
              </w:rPr>
              <w:t>DurationMin</w:t>
            </w:r>
          </w:p>
        </w:tc>
        <w:tc>
          <w:tcPr>
            <w:tcW w:w="1559" w:type="dxa"/>
            <w:shd w:val="clear" w:color="auto" w:fill="auto"/>
          </w:tcPr>
          <w:p w:rsidR="003D7A14" w:rsidRPr="000A0A5F" w:rsidRDefault="003D7A14" w:rsidP="00D375AC">
            <w:pPr>
              <w:pStyle w:val="TAL"/>
            </w:pPr>
            <w:r w:rsidRPr="000A0A5F">
              <w:t>5.2.1.3.2</w:t>
            </w:r>
          </w:p>
        </w:tc>
        <w:tc>
          <w:tcPr>
            <w:tcW w:w="4146" w:type="dxa"/>
            <w:shd w:val="clear" w:color="auto" w:fill="auto"/>
          </w:tcPr>
          <w:p w:rsidR="003D7A14" w:rsidRPr="000A0A5F" w:rsidRDefault="003D7A14" w:rsidP="00D375AC">
            <w:pPr>
              <w:pStyle w:val="TAL"/>
            </w:pPr>
            <w:r w:rsidRPr="000A0A5F">
              <w:t>Unsigned integer identifying a period of time in units of minutes.</w:t>
            </w:r>
          </w:p>
        </w:tc>
        <w:tc>
          <w:tcPr>
            <w:tcW w:w="1387" w:type="dxa"/>
            <w:shd w:val="clear" w:color="auto" w:fill="auto"/>
          </w:tcPr>
          <w:p w:rsidR="003D7A14" w:rsidRPr="000A0A5F" w:rsidRDefault="003D7A14" w:rsidP="00D375AC">
            <w:pPr>
              <w:pStyle w:val="TAL"/>
            </w:pPr>
          </w:p>
        </w:tc>
      </w:tr>
      <w:tr w:rsidR="003D7A14" w:rsidRPr="000A0A5F" w:rsidTr="00D375AC">
        <w:trPr>
          <w:cantSplit/>
          <w:jc w:val="center"/>
        </w:trPr>
        <w:tc>
          <w:tcPr>
            <w:tcW w:w="2555" w:type="dxa"/>
            <w:shd w:val="clear" w:color="auto" w:fill="auto"/>
          </w:tcPr>
          <w:p w:rsidR="003D7A14" w:rsidRPr="000A0A5F" w:rsidRDefault="003D7A14" w:rsidP="00D375AC">
            <w:pPr>
              <w:pStyle w:val="TAL"/>
            </w:pPr>
            <w:r w:rsidRPr="000A0A5F">
              <w:rPr>
                <w:rFonts w:hint="eastAsia"/>
                <w:lang w:eastAsia="zh-CN"/>
              </w:rPr>
              <w:t>Duration</w:t>
            </w:r>
            <w:r w:rsidRPr="000A0A5F">
              <w:rPr>
                <w:lang w:eastAsia="zh-CN"/>
              </w:rPr>
              <w:t>Sec</w:t>
            </w:r>
          </w:p>
        </w:tc>
        <w:tc>
          <w:tcPr>
            <w:tcW w:w="1559" w:type="dxa"/>
            <w:shd w:val="clear" w:color="auto" w:fill="auto"/>
          </w:tcPr>
          <w:p w:rsidR="003D7A14" w:rsidRPr="000A0A5F" w:rsidRDefault="003D7A14" w:rsidP="00D375AC">
            <w:pPr>
              <w:pStyle w:val="TAL"/>
            </w:pPr>
            <w:r w:rsidRPr="000A0A5F">
              <w:t>5.2.1.3.2</w:t>
            </w:r>
          </w:p>
        </w:tc>
        <w:tc>
          <w:tcPr>
            <w:tcW w:w="4146" w:type="dxa"/>
            <w:shd w:val="clear" w:color="auto" w:fill="auto"/>
          </w:tcPr>
          <w:p w:rsidR="003D7A14" w:rsidRPr="000A0A5F" w:rsidRDefault="003D7A14" w:rsidP="00D375AC">
            <w:pPr>
              <w:pStyle w:val="TAL"/>
            </w:pPr>
            <w:r w:rsidRPr="000A0A5F">
              <w:t>Unsigned integer identifying a period of time in units of seconds.</w:t>
            </w:r>
          </w:p>
        </w:tc>
        <w:tc>
          <w:tcPr>
            <w:tcW w:w="1387" w:type="dxa"/>
            <w:shd w:val="clear" w:color="auto" w:fill="auto"/>
          </w:tcPr>
          <w:p w:rsidR="003D7A14" w:rsidRPr="000A0A5F" w:rsidRDefault="003D7A14" w:rsidP="00D375AC">
            <w:pPr>
              <w:pStyle w:val="TAL"/>
            </w:pPr>
          </w:p>
        </w:tc>
      </w:tr>
      <w:tr w:rsidR="003D7A14" w:rsidRPr="000A0A5F" w:rsidTr="00D375AC">
        <w:trPr>
          <w:cantSplit/>
          <w:jc w:val="center"/>
        </w:trPr>
        <w:tc>
          <w:tcPr>
            <w:tcW w:w="2555" w:type="dxa"/>
            <w:shd w:val="clear" w:color="auto" w:fill="auto"/>
          </w:tcPr>
          <w:p w:rsidR="003D7A14" w:rsidRPr="000A0A5F" w:rsidRDefault="003D7A14" w:rsidP="00D375AC">
            <w:pPr>
              <w:pStyle w:val="TAL"/>
            </w:pPr>
            <w:r w:rsidRPr="000A0A5F">
              <w:rPr>
                <w:rFonts w:hint="eastAsia"/>
                <w:lang w:eastAsia="zh-CN"/>
              </w:rPr>
              <w:t>Duration</w:t>
            </w:r>
            <w:r w:rsidRPr="000A0A5F">
              <w:rPr>
                <w:lang w:eastAsia="zh-CN"/>
              </w:rPr>
              <w:t>SecRm</w:t>
            </w:r>
          </w:p>
        </w:tc>
        <w:tc>
          <w:tcPr>
            <w:tcW w:w="1559" w:type="dxa"/>
            <w:shd w:val="clear" w:color="auto" w:fill="auto"/>
          </w:tcPr>
          <w:p w:rsidR="003D7A14" w:rsidRPr="000A0A5F" w:rsidRDefault="003D7A14" w:rsidP="00D375AC">
            <w:pPr>
              <w:pStyle w:val="TAL"/>
            </w:pPr>
            <w:r w:rsidRPr="000A0A5F">
              <w:t>5.2.1.3.2</w:t>
            </w:r>
          </w:p>
        </w:tc>
        <w:tc>
          <w:tcPr>
            <w:tcW w:w="4146" w:type="dxa"/>
            <w:shd w:val="clear" w:color="auto" w:fill="auto"/>
          </w:tcPr>
          <w:p w:rsidR="003D7A14" w:rsidRPr="000A0A5F" w:rsidRDefault="003D7A14" w:rsidP="00D375AC">
            <w:pPr>
              <w:pStyle w:val="TAL"/>
            </w:pPr>
            <w:r w:rsidRPr="000A0A5F">
              <w:t>Represents the same as the DurationSec data type, but with the "nullable: true" property.</w:t>
            </w:r>
          </w:p>
        </w:tc>
        <w:tc>
          <w:tcPr>
            <w:tcW w:w="1387" w:type="dxa"/>
            <w:shd w:val="clear" w:color="auto" w:fill="auto"/>
          </w:tcPr>
          <w:p w:rsidR="003D7A14" w:rsidRPr="000A0A5F" w:rsidRDefault="003D7A14" w:rsidP="00D375AC">
            <w:pPr>
              <w:pStyle w:val="TAL"/>
            </w:pPr>
          </w:p>
        </w:tc>
      </w:tr>
      <w:tr w:rsidR="003D7A14" w:rsidRPr="000A0A5F" w:rsidTr="00D375AC">
        <w:trPr>
          <w:cantSplit/>
          <w:jc w:val="center"/>
        </w:trPr>
        <w:tc>
          <w:tcPr>
            <w:tcW w:w="2555" w:type="dxa"/>
            <w:shd w:val="clear" w:color="auto" w:fill="auto"/>
          </w:tcPr>
          <w:p w:rsidR="003D7A14" w:rsidRPr="000A0A5F" w:rsidRDefault="003D7A14" w:rsidP="00D375AC">
            <w:pPr>
              <w:pStyle w:val="TAL"/>
            </w:pPr>
            <w:r w:rsidRPr="000A0A5F">
              <w:rPr>
                <w:rFonts w:hint="eastAsia"/>
                <w:lang w:eastAsia="zh-CN"/>
              </w:rPr>
              <w:t>Duration</w:t>
            </w:r>
            <w:r w:rsidRPr="000A0A5F">
              <w:rPr>
                <w:lang w:eastAsia="zh-CN"/>
              </w:rPr>
              <w:t>SecRo</w:t>
            </w:r>
          </w:p>
        </w:tc>
        <w:tc>
          <w:tcPr>
            <w:tcW w:w="1559" w:type="dxa"/>
            <w:shd w:val="clear" w:color="auto" w:fill="auto"/>
          </w:tcPr>
          <w:p w:rsidR="003D7A14" w:rsidRPr="000A0A5F" w:rsidRDefault="003D7A14" w:rsidP="00D375AC">
            <w:pPr>
              <w:pStyle w:val="TAL"/>
            </w:pPr>
            <w:r w:rsidRPr="000A0A5F">
              <w:t>5.2.1.3.2</w:t>
            </w:r>
          </w:p>
        </w:tc>
        <w:tc>
          <w:tcPr>
            <w:tcW w:w="4146" w:type="dxa"/>
            <w:shd w:val="clear" w:color="auto" w:fill="auto"/>
          </w:tcPr>
          <w:p w:rsidR="003D7A14" w:rsidRPr="000A0A5F" w:rsidRDefault="003D7A14" w:rsidP="00D375AC">
            <w:pPr>
              <w:pStyle w:val="TAL"/>
            </w:pPr>
            <w:r w:rsidRPr="000A0A5F">
              <w:t>Represents the same as the DurationSec data type, but with the "readOnly=true" property.</w:t>
            </w:r>
          </w:p>
        </w:tc>
        <w:tc>
          <w:tcPr>
            <w:tcW w:w="1387" w:type="dxa"/>
            <w:shd w:val="clear" w:color="auto" w:fill="auto"/>
          </w:tcPr>
          <w:p w:rsidR="003D7A14" w:rsidRPr="000A0A5F" w:rsidRDefault="003D7A14" w:rsidP="00D375AC">
            <w:pPr>
              <w:pStyle w:val="TAL"/>
            </w:pPr>
          </w:p>
        </w:tc>
      </w:tr>
      <w:tr w:rsidR="003D7A14" w:rsidRPr="000A0A5F" w:rsidTr="00D375AC">
        <w:trPr>
          <w:cantSplit/>
          <w:jc w:val="center"/>
        </w:trPr>
        <w:tc>
          <w:tcPr>
            <w:tcW w:w="2555" w:type="dxa"/>
            <w:shd w:val="clear" w:color="auto" w:fill="auto"/>
          </w:tcPr>
          <w:p w:rsidR="003D7A14" w:rsidRPr="000A0A5F" w:rsidRDefault="003D7A14" w:rsidP="00D375AC">
            <w:pPr>
              <w:pStyle w:val="TAL"/>
            </w:pPr>
            <w:r w:rsidRPr="000A0A5F">
              <w:t>Event</w:t>
            </w:r>
          </w:p>
        </w:tc>
        <w:tc>
          <w:tcPr>
            <w:tcW w:w="1559" w:type="dxa"/>
            <w:shd w:val="clear" w:color="auto" w:fill="auto"/>
          </w:tcPr>
          <w:p w:rsidR="003D7A14" w:rsidRPr="000A0A5F" w:rsidRDefault="003D7A14" w:rsidP="00D375AC">
            <w:pPr>
              <w:pStyle w:val="TAL"/>
            </w:pPr>
            <w:r w:rsidRPr="000A0A5F">
              <w:t>5.2.1.3.3</w:t>
            </w:r>
          </w:p>
        </w:tc>
        <w:tc>
          <w:tcPr>
            <w:tcW w:w="4146" w:type="dxa"/>
            <w:shd w:val="clear" w:color="auto" w:fill="auto"/>
          </w:tcPr>
          <w:p w:rsidR="003D7A14" w:rsidRPr="000A0A5F" w:rsidRDefault="003D7A14" w:rsidP="00D375AC">
            <w:pPr>
              <w:pStyle w:val="TAL"/>
            </w:pPr>
            <w:r w:rsidRPr="000A0A5F">
              <w:t>Represents a bearer event.</w:t>
            </w:r>
          </w:p>
        </w:tc>
        <w:tc>
          <w:tcPr>
            <w:tcW w:w="1387" w:type="dxa"/>
            <w:shd w:val="clear" w:color="auto" w:fill="auto"/>
          </w:tcPr>
          <w:p w:rsidR="003D7A14" w:rsidRPr="000A0A5F" w:rsidRDefault="003D7A14" w:rsidP="00D375AC">
            <w:pPr>
              <w:pStyle w:val="TAL"/>
            </w:pPr>
          </w:p>
        </w:tc>
      </w:tr>
      <w:tr w:rsidR="003D7A14" w:rsidRPr="000A0A5F" w:rsidTr="00D375AC">
        <w:trPr>
          <w:cantSplit/>
          <w:jc w:val="center"/>
        </w:trPr>
        <w:tc>
          <w:tcPr>
            <w:tcW w:w="2555" w:type="dxa"/>
            <w:shd w:val="clear" w:color="auto" w:fill="auto"/>
          </w:tcPr>
          <w:p w:rsidR="003D7A14" w:rsidRPr="000A0A5F" w:rsidRDefault="003D7A14" w:rsidP="00D375AC">
            <w:pPr>
              <w:pStyle w:val="TAL"/>
            </w:pPr>
            <w:r w:rsidRPr="000A0A5F">
              <w:t>EventReport</w:t>
            </w:r>
          </w:p>
        </w:tc>
        <w:tc>
          <w:tcPr>
            <w:tcW w:w="1559" w:type="dxa"/>
            <w:shd w:val="clear" w:color="auto" w:fill="auto"/>
          </w:tcPr>
          <w:p w:rsidR="003D7A14" w:rsidRPr="000A0A5F" w:rsidRDefault="003D7A14" w:rsidP="00D375AC">
            <w:pPr>
              <w:pStyle w:val="TAL"/>
            </w:pPr>
            <w:r w:rsidRPr="000A0A5F">
              <w:t>5.2.1.2.6</w:t>
            </w:r>
          </w:p>
        </w:tc>
        <w:tc>
          <w:tcPr>
            <w:tcW w:w="4146" w:type="dxa"/>
            <w:shd w:val="clear" w:color="auto" w:fill="auto"/>
          </w:tcPr>
          <w:p w:rsidR="003D7A14" w:rsidRPr="000A0A5F" w:rsidRDefault="003D7A14" w:rsidP="00D375AC">
            <w:pPr>
              <w:pStyle w:val="TAL"/>
            </w:pPr>
            <w:r w:rsidRPr="000A0A5F">
              <w:t>Represents an event report.</w:t>
            </w:r>
          </w:p>
        </w:tc>
        <w:tc>
          <w:tcPr>
            <w:tcW w:w="1387" w:type="dxa"/>
            <w:shd w:val="clear" w:color="auto" w:fill="auto"/>
          </w:tcPr>
          <w:p w:rsidR="003D7A14" w:rsidRPr="000A0A5F" w:rsidRDefault="003D7A14" w:rsidP="00D375AC">
            <w:pPr>
              <w:pStyle w:val="TAL"/>
            </w:pPr>
          </w:p>
        </w:tc>
      </w:tr>
      <w:tr w:rsidR="003D7A14" w:rsidRPr="000A0A5F" w:rsidTr="00D375AC">
        <w:trPr>
          <w:cantSplit/>
          <w:jc w:val="center"/>
        </w:trPr>
        <w:tc>
          <w:tcPr>
            <w:tcW w:w="2555" w:type="dxa"/>
            <w:shd w:val="clear" w:color="auto" w:fill="auto"/>
          </w:tcPr>
          <w:p w:rsidR="003D7A14" w:rsidRPr="000A0A5F" w:rsidRDefault="003D7A14" w:rsidP="00D375AC">
            <w:pPr>
              <w:pStyle w:val="TAL"/>
            </w:pPr>
            <w:r w:rsidRPr="000A0A5F">
              <w:rPr>
                <w:lang w:eastAsia="zh-CN"/>
              </w:rPr>
              <w:t>EthFlowInfo</w:t>
            </w:r>
          </w:p>
        </w:tc>
        <w:tc>
          <w:tcPr>
            <w:tcW w:w="1559" w:type="dxa"/>
            <w:shd w:val="clear" w:color="auto" w:fill="auto"/>
          </w:tcPr>
          <w:p w:rsidR="003D7A14" w:rsidRPr="000A0A5F" w:rsidRDefault="003D7A14" w:rsidP="00D375AC">
            <w:pPr>
              <w:pStyle w:val="TAL"/>
            </w:pPr>
            <w:r w:rsidRPr="000A0A5F">
              <w:t>5.2.1.2.18</w:t>
            </w:r>
          </w:p>
        </w:tc>
        <w:tc>
          <w:tcPr>
            <w:tcW w:w="4146" w:type="dxa"/>
            <w:shd w:val="clear" w:color="auto" w:fill="auto"/>
          </w:tcPr>
          <w:p w:rsidR="003D7A14" w:rsidRPr="000A0A5F" w:rsidRDefault="003D7A14" w:rsidP="00D375AC">
            <w:pPr>
              <w:pStyle w:val="TAL"/>
            </w:pPr>
            <w:r w:rsidRPr="000A0A5F">
              <w:t>Represents flow Ethernet flow information</w:t>
            </w:r>
          </w:p>
        </w:tc>
        <w:tc>
          <w:tcPr>
            <w:tcW w:w="1387" w:type="dxa"/>
            <w:shd w:val="clear" w:color="auto" w:fill="auto"/>
          </w:tcPr>
          <w:p w:rsidR="003D7A14" w:rsidRPr="000A0A5F" w:rsidRDefault="003D7A14" w:rsidP="00D375AC">
            <w:pPr>
              <w:pStyle w:val="TAL"/>
            </w:pPr>
          </w:p>
        </w:tc>
      </w:tr>
      <w:tr w:rsidR="003D7A14" w:rsidRPr="000A0A5F" w:rsidTr="00D375AC">
        <w:trPr>
          <w:cantSplit/>
          <w:jc w:val="center"/>
        </w:trPr>
        <w:tc>
          <w:tcPr>
            <w:tcW w:w="2555" w:type="dxa"/>
            <w:shd w:val="clear" w:color="auto" w:fill="auto"/>
          </w:tcPr>
          <w:p w:rsidR="003D7A14" w:rsidRPr="000A0A5F" w:rsidRDefault="003D7A14" w:rsidP="00D375AC">
            <w:pPr>
              <w:pStyle w:val="TAL"/>
            </w:pPr>
            <w:r w:rsidRPr="000A0A5F">
              <w:rPr>
                <w:lang w:eastAsia="zh-CN"/>
              </w:rPr>
              <w:t>E</w:t>
            </w:r>
            <w:r w:rsidRPr="000A0A5F">
              <w:rPr>
                <w:rFonts w:hint="eastAsia"/>
                <w:lang w:eastAsia="zh-CN"/>
              </w:rPr>
              <w:t>xternal</w:t>
            </w:r>
            <w:r w:rsidRPr="000A0A5F">
              <w:rPr>
                <w:lang w:eastAsia="zh-CN"/>
              </w:rPr>
              <w:t>GroupId</w:t>
            </w:r>
          </w:p>
        </w:tc>
        <w:tc>
          <w:tcPr>
            <w:tcW w:w="1559" w:type="dxa"/>
            <w:shd w:val="clear" w:color="auto" w:fill="auto"/>
          </w:tcPr>
          <w:p w:rsidR="003D7A14" w:rsidRPr="000A0A5F" w:rsidRDefault="003D7A14" w:rsidP="00D375AC">
            <w:pPr>
              <w:pStyle w:val="TAL"/>
            </w:pPr>
            <w:r w:rsidRPr="000A0A5F">
              <w:t>5.2.1.3.2</w:t>
            </w:r>
          </w:p>
        </w:tc>
        <w:tc>
          <w:tcPr>
            <w:tcW w:w="4146" w:type="dxa"/>
            <w:shd w:val="clear" w:color="auto" w:fill="auto"/>
          </w:tcPr>
          <w:p w:rsidR="003D7A14" w:rsidRPr="000A0A5F" w:rsidRDefault="003D7A14" w:rsidP="00D375AC">
            <w:pPr>
              <w:pStyle w:val="TAL"/>
            </w:pPr>
            <w:r w:rsidRPr="000A0A5F">
              <w:t>Represents an external group identifier.</w:t>
            </w:r>
          </w:p>
        </w:tc>
        <w:tc>
          <w:tcPr>
            <w:tcW w:w="1387" w:type="dxa"/>
            <w:shd w:val="clear" w:color="auto" w:fill="auto"/>
          </w:tcPr>
          <w:p w:rsidR="003D7A14" w:rsidRPr="000A0A5F" w:rsidRDefault="003D7A14" w:rsidP="00D375AC">
            <w:pPr>
              <w:pStyle w:val="TAL"/>
            </w:pPr>
          </w:p>
        </w:tc>
      </w:tr>
      <w:tr w:rsidR="003D7A14" w:rsidRPr="000A0A5F" w:rsidTr="00D375AC">
        <w:trPr>
          <w:cantSplit/>
          <w:jc w:val="center"/>
        </w:trPr>
        <w:tc>
          <w:tcPr>
            <w:tcW w:w="2555" w:type="dxa"/>
            <w:shd w:val="clear" w:color="auto" w:fill="auto"/>
          </w:tcPr>
          <w:p w:rsidR="003D7A14" w:rsidRPr="000A0A5F" w:rsidRDefault="003D7A14" w:rsidP="00D375AC">
            <w:pPr>
              <w:pStyle w:val="TAL"/>
            </w:pPr>
            <w:r w:rsidRPr="000A0A5F">
              <w:rPr>
                <w:lang w:eastAsia="zh-CN"/>
              </w:rPr>
              <w:t>E</w:t>
            </w:r>
            <w:r w:rsidRPr="000A0A5F">
              <w:rPr>
                <w:rFonts w:hint="eastAsia"/>
                <w:lang w:eastAsia="zh-CN"/>
              </w:rPr>
              <w:t>xternal</w:t>
            </w:r>
            <w:r w:rsidRPr="000A0A5F">
              <w:rPr>
                <w:lang w:eastAsia="zh-CN"/>
              </w:rPr>
              <w:t>Id</w:t>
            </w:r>
          </w:p>
        </w:tc>
        <w:tc>
          <w:tcPr>
            <w:tcW w:w="1559" w:type="dxa"/>
            <w:shd w:val="clear" w:color="auto" w:fill="auto"/>
          </w:tcPr>
          <w:p w:rsidR="003D7A14" w:rsidRPr="000A0A5F" w:rsidRDefault="003D7A14" w:rsidP="00D375AC">
            <w:pPr>
              <w:pStyle w:val="TAL"/>
            </w:pPr>
            <w:r w:rsidRPr="000A0A5F">
              <w:t>5.2.1.3.2</w:t>
            </w:r>
          </w:p>
        </w:tc>
        <w:tc>
          <w:tcPr>
            <w:tcW w:w="4146" w:type="dxa"/>
            <w:shd w:val="clear" w:color="auto" w:fill="auto"/>
          </w:tcPr>
          <w:p w:rsidR="003D7A14" w:rsidRPr="000A0A5F" w:rsidRDefault="003D7A14" w:rsidP="00D375AC">
            <w:pPr>
              <w:pStyle w:val="TAL"/>
            </w:pPr>
            <w:r w:rsidRPr="000A0A5F">
              <w:t>Represents an external identifier.</w:t>
            </w:r>
          </w:p>
        </w:tc>
        <w:tc>
          <w:tcPr>
            <w:tcW w:w="1387" w:type="dxa"/>
            <w:shd w:val="clear" w:color="auto" w:fill="auto"/>
          </w:tcPr>
          <w:p w:rsidR="003D7A14" w:rsidRPr="000A0A5F" w:rsidRDefault="003D7A14" w:rsidP="00D375AC">
            <w:pPr>
              <w:pStyle w:val="TAL"/>
            </w:pPr>
          </w:p>
        </w:tc>
      </w:tr>
      <w:tr w:rsidR="003D7A14" w:rsidRPr="000A0A5F" w:rsidTr="00D375AC">
        <w:trPr>
          <w:cantSplit/>
          <w:jc w:val="center"/>
        </w:trPr>
        <w:tc>
          <w:tcPr>
            <w:tcW w:w="2555" w:type="dxa"/>
            <w:shd w:val="clear" w:color="auto" w:fill="auto"/>
          </w:tcPr>
          <w:p w:rsidR="003D7A14" w:rsidRPr="000A0A5F" w:rsidRDefault="003D7A14" w:rsidP="00D375AC">
            <w:pPr>
              <w:pStyle w:val="TAL"/>
              <w:rPr>
                <w:lang w:eastAsia="zh-CN"/>
              </w:rPr>
            </w:pPr>
            <w:r w:rsidRPr="000A0A5F">
              <w:rPr>
                <w:lang w:eastAsia="zh-CN"/>
              </w:rPr>
              <w:t>FlowInfo</w:t>
            </w:r>
          </w:p>
        </w:tc>
        <w:tc>
          <w:tcPr>
            <w:tcW w:w="1559" w:type="dxa"/>
            <w:shd w:val="clear" w:color="auto" w:fill="auto"/>
          </w:tcPr>
          <w:p w:rsidR="003D7A14" w:rsidRPr="000A0A5F" w:rsidRDefault="003D7A14" w:rsidP="00D375AC">
            <w:pPr>
              <w:pStyle w:val="TAL"/>
            </w:pPr>
            <w:r w:rsidRPr="000A0A5F">
              <w:t>5.2.1.2.8</w:t>
            </w:r>
          </w:p>
        </w:tc>
        <w:tc>
          <w:tcPr>
            <w:tcW w:w="4146" w:type="dxa"/>
            <w:shd w:val="clear" w:color="auto" w:fill="auto"/>
          </w:tcPr>
          <w:p w:rsidR="003D7A14" w:rsidRPr="000A0A5F" w:rsidRDefault="003D7A14" w:rsidP="00D375AC">
            <w:pPr>
              <w:pStyle w:val="TAL"/>
            </w:pPr>
            <w:r w:rsidRPr="000A0A5F">
              <w:t>Represents IP flow information.</w:t>
            </w:r>
          </w:p>
        </w:tc>
        <w:tc>
          <w:tcPr>
            <w:tcW w:w="1387" w:type="dxa"/>
            <w:shd w:val="clear" w:color="auto" w:fill="auto"/>
          </w:tcPr>
          <w:p w:rsidR="003D7A14" w:rsidRPr="000A0A5F" w:rsidRDefault="003D7A14" w:rsidP="00D375AC">
            <w:pPr>
              <w:pStyle w:val="TAL"/>
              <w:rPr>
                <w:lang w:eastAsia="zh-CN"/>
              </w:rPr>
            </w:pPr>
          </w:p>
        </w:tc>
      </w:tr>
      <w:tr w:rsidR="003D7A14" w:rsidRPr="000A0A5F" w:rsidTr="00D375AC">
        <w:trPr>
          <w:cantSplit/>
          <w:jc w:val="center"/>
        </w:trPr>
        <w:tc>
          <w:tcPr>
            <w:tcW w:w="2555" w:type="dxa"/>
            <w:shd w:val="clear" w:color="auto" w:fill="auto"/>
          </w:tcPr>
          <w:p w:rsidR="003D7A14" w:rsidRPr="000A0A5F" w:rsidRDefault="003D7A14" w:rsidP="00D375AC">
            <w:pPr>
              <w:pStyle w:val="TAL"/>
            </w:pPr>
            <w:r w:rsidRPr="000A0A5F">
              <w:t>InvalidParam</w:t>
            </w:r>
          </w:p>
        </w:tc>
        <w:tc>
          <w:tcPr>
            <w:tcW w:w="1559" w:type="dxa"/>
            <w:shd w:val="clear" w:color="auto" w:fill="auto"/>
          </w:tcPr>
          <w:p w:rsidR="003D7A14" w:rsidRPr="000A0A5F" w:rsidRDefault="003D7A14" w:rsidP="00D375AC">
            <w:pPr>
              <w:pStyle w:val="TAL"/>
            </w:pPr>
            <w:r w:rsidRPr="000A0A5F">
              <w:t>5.2.1.2.13</w:t>
            </w:r>
          </w:p>
        </w:tc>
        <w:tc>
          <w:tcPr>
            <w:tcW w:w="4146" w:type="dxa"/>
            <w:shd w:val="clear" w:color="auto" w:fill="auto"/>
          </w:tcPr>
          <w:p w:rsidR="003D7A14" w:rsidRPr="000A0A5F" w:rsidRDefault="003D7A14" w:rsidP="00D375AC">
            <w:pPr>
              <w:pStyle w:val="TAL"/>
            </w:pPr>
            <w:r w:rsidRPr="000A0A5F">
              <w:t>Represents the description of invalid parameters, for a request rejected due to invalid parameters.</w:t>
            </w:r>
          </w:p>
        </w:tc>
        <w:tc>
          <w:tcPr>
            <w:tcW w:w="1387" w:type="dxa"/>
            <w:shd w:val="clear" w:color="auto" w:fill="auto"/>
          </w:tcPr>
          <w:p w:rsidR="003D7A14" w:rsidRPr="000A0A5F" w:rsidRDefault="003D7A14" w:rsidP="00D375AC">
            <w:pPr>
              <w:pStyle w:val="TAL"/>
            </w:pPr>
          </w:p>
        </w:tc>
      </w:tr>
      <w:tr w:rsidR="003D7A14" w:rsidRPr="000A0A5F" w:rsidTr="00D375AC">
        <w:trPr>
          <w:cantSplit/>
          <w:jc w:val="center"/>
        </w:trPr>
        <w:tc>
          <w:tcPr>
            <w:tcW w:w="2555" w:type="dxa"/>
            <w:shd w:val="clear" w:color="auto" w:fill="auto"/>
          </w:tcPr>
          <w:p w:rsidR="003D7A14" w:rsidRPr="000A0A5F" w:rsidRDefault="003D7A14" w:rsidP="00D375AC">
            <w:pPr>
              <w:pStyle w:val="TAL"/>
            </w:pPr>
            <w:r w:rsidRPr="000A0A5F">
              <w:rPr>
                <w:lang w:eastAsia="zh-CN"/>
              </w:rPr>
              <w:t>Ipv4Addr</w:t>
            </w:r>
          </w:p>
        </w:tc>
        <w:tc>
          <w:tcPr>
            <w:tcW w:w="1559" w:type="dxa"/>
            <w:shd w:val="clear" w:color="auto" w:fill="auto"/>
          </w:tcPr>
          <w:p w:rsidR="003D7A14" w:rsidRPr="000A0A5F" w:rsidRDefault="003D7A14" w:rsidP="00D375AC">
            <w:pPr>
              <w:pStyle w:val="TAL"/>
            </w:pPr>
            <w:r w:rsidRPr="000A0A5F">
              <w:t>5.2.1.3.2</w:t>
            </w:r>
          </w:p>
        </w:tc>
        <w:tc>
          <w:tcPr>
            <w:tcW w:w="4146" w:type="dxa"/>
            <w:shd w:val="clear" w:color="auto" w:fill="auto"/>
          </w:tcPr>
          <w:p w:rsidR="003D7A14" w:rsidRPr="000A0A5F" w:rsidRDefault="003D7A14" w:rsidP="00D375AC">
            <w:pPr>
              <w:pStyle w:val="TAL"/>
            </w:pPr>
            <w:r w:rsidRPr="000A0A5F">
              <w:t>Represents an IPv4 address.</w:t>
            </w:r>
          </w:p>
        </w:tc>
        <w:tc>
          <w:tcPr>
            <w:tcW w:w="1387" w:type="dxa"/>
            <w:shd w:val="clear" w:color="auto" w:fill="auto"/>
          </w:tcPr>
          <w:p w:rsidR="003D7A14" w:rsidRPr="000A0A5F" w:rsidRDefault="003D7A14" w:rsidP="00D375AC">
            <w:pPr>
              <w:pStyle w:val="TAL"/>
            </w:pPr>
          </w:p>
        </w:tc>
      </w:tr>
      <w:tr w:rsidR="003D7A14" w:rsidRPr="000A0A5F" w:rsidTr="00D375AC">
        <w:trPr>
          <w:cantSplit/>
          <w:jc w:val="center"/>
        </w:trPr>
        <w:tc>
          <w:tcPr>
            <w:tcW w:w="2555" w:type="dxa"/>
            <w:shd w:val="clear" w:color="auto" w:fill="auto"/>
          </w:tcPr>
          <w:p w:rsidR="003D7A14" w:rsidRPr="000A0A5F" w:rsidRDefault="003D7A14" w:rsidP="00D375AC">
            <w:pPr>
              <w:pStyle w:val="TAL"/>
            </w:pPr>
            <w:r w:rsidRPr="000A0A5F">
              <w:rPr>
                <w:lang w:eastAsia="zh-CN"/>
              </w:rPr>
              <w:t>Ipv4AddrRo</w:t>
            </w:r>
          </w:p>
        </w:tc>
        <w:tc>
          <w:tcPr>
            <w:tcW w:w="1559" w:type="dxa"/>
            <w:shd w:val="clear" w:color="auto" w:fill="auto"/>
          </w:tcPr>
          <w:p w:rsidR="003D7A14" w:rsidRPr="000A0A5F" w:rsidRDefault="003D7A14" w:rsidP="00D375AC">
            <w:pPr>
              <w:pStyle w:val="TAL"/>
            </w:pPr>
            <w:r w:rsidRPr="000A0A5F">
              <w:t>5.2.1.3.2</w:t>
            </w:r>
          </w:p>
        </w:tc>
        <w:tc>
          <w:tcPr>
            <w:tcW w:w="4146" w:type="dxa"/>
            <w:shd w:val="clear" w:color="auto" w:fill="auto"/>
          </w:tcPr>
          <w:p w:rsidR="003D7A14" w:rsidRPr="000A0A5F" w:rsidRDefault="003D7A14" w:rsidP="00D375AC">
            <w:pPr>
              <w:pStyle w:val="TAL"/>
            </w:pPr>
            <w:r w:rsidRPr="000A0A5F">
              <w:t xml:space="preserve">Represents the same as the </w:t>
            </w:r>
            <w:r w:rsidRPr="000A0A5F">
              <w:rPr>
                <w:lang w:eastAsia="zh-CN"/>
              </w:rPr>
              <w:t>Ipv4Addr</w:t>
            </w:r>
            <w:r w:rsidRPr="000A0A5F">
              <w:t xml:space="preserve"> data type, but with the "readOnly=true" property.</w:t>
            </w:r>
          </w:p>
        </w:tc>
        <w:tc>
          <w:tcPr>
            <w:tcW w:w="1387" w:type="dxa"/>
            <w:shd w:val="clear" w:color="auto" w:fill="auto"/>
          </w:tcPr>
          <w:p w:rsidR="003D7A14" w:rsidRPr="000A0A5F" w:rsidRDefault="003D7A14" w:rsidP="00D375AC">
            <w:pPr>
              <w:pStyle w:val="TAL"/>
            </w:pPr>
          </w:p>
        </w:tc>
      </w:tr>
      <w:tr w:rsidR="003D7A14" w:rsidRPr="000A0A5F" w:rsidTr="00D375AC">
        <w:trPr>
          <w:cantSplit/>
          <w:jc w:val="center"/>
        </w:trPr>
        <w:tc>
          <w:tcPr>
            <w:tcW w:w="2555" w:type="dxa"/>
            <w:shd w:val="clear" w:color="auto" w:fill="auto"/>
          </w:tcPr>
          <w:p w:rsidR="003D7A14" w:rsidRPr="000A0A5F" w:rsidRDefault="003D7A14" w:rsidP="00D375AC">
            <w:pPr>
              <w:pStyle w:val="TAL"/>
            </w:pPr>
            <w:r w:rsidRPr="000A0A5F">
              <w:rPr>
                <w:rFonts w:hint="eastAsia"/>
                <w:lang w:eastAsia="zh-CN"/>
              </w:rPr>
              <w:t>Ipv6Addr</w:t>
            </w:r>
          </w:p>
        </w:tc>
        <w:tc>
          <w:tcPr>
            <w:tcW w:w="1559" w:type="dxa"/>
            <w:shd w:val="clear" w:color="auto" w:fill="auto"/>
          </w:tcPr>
          <w:p w:rsidR="003D7A14" w:rsidRPr="000A0A5F" w:rsidRDefault="003D7A14" w:rsidP="00D375AC">
            <w:pPr>
              <w:pStyle w:val="TAL"/>
            </w:pPr>
            <w:r w:rsidRPr="000A0A5F">
              <w:t>5.2.1.3.2</w:t>
            </w:r>
          </w:p>
        </w:tc>
        <w:tc>
          <w:tcPr>
            <w:tcW w:w="4146" w:type="dxa"/>
            <w:shd w:val="clear" w:color="auto" w:fill="auto"/>
          </w:tcPr>
          <w:p w:rsidR="003D7A14" w:rsidRPr="000A0A5F" w:rsidRDefault="003D7A14" w:rsidP="00D375AC">
            <w:pPr>
              <w:pStyle w:val="TAL"/>
            </w:pPr>
            <w:r w:rsidRPr="000A0A5F">
              <w:t>Represents an IPv6 address.</w:t>
            </w:r>
          </w:p>
        </w:tc>
        <w:tc>
          <w:tcPr>
            <w:tcW w:w="1387" w:type="dxa"/>
            <w:shd w:val="clear" w:color="auto" w:fill="auto"/>
          </w:tcPr>
          <w:p w:rsidR="003D7A14" w:rsidRPr="000A0A5F" w:rsidRDefault="003D7A14" w:rsidP="00D375AC">
            <w:pPr>
              <w:pStyle w:val="TAL"/>
            </w:pPr>
          </w:p>
        </w:tc>
      </w:tr>
      <w:tr w:rsidR="003D7A14" w:rsidRPr="000A0A5F" w:rsidTr="00D375AC">
        <w:trPr>
          <w:cantSplit/>
          <w:jc w:val="center"/>
        </w:trPr>
        <w:tc>
          <w:tcPr>
            <w:tcW w:w="2555" w:type="dxa"/>
            <w:shd w:val="clear" w:color="auto" w:fill="auto"/>
          </w:tcPr>
          <w:p w:rsidR="003D7A14" w:rsidRPr="000A0A5F" w:rsidRDefault="003D7A14" w:rsidP="00D375AC">
            <w:pPr>
              <w:pStyle w:val="TAL"/>
            </w:pPr>
            <w:r w:rsidRPr="000A0A5F">
              <w:rPr>
                <w:rFonts w:hint="eastAsia"/>
                <w:lang w:eastAsia="zh-CN"/>
              </w:rPr>
              <w:t>Ipv6Addr</w:t>
            </w:r>
            <w:r w:rsidRPr="000A0A5F">
              <w:rPr>
                <w:lang w:eastAsia="zh-CN"/>
              </w:rPr>
              <w:t>Ro</w:t>
            </w:r>
          </w:p>
        </w:tc>
        <w:tc>
          <w:tcPr>
            <w:tcW w:w="1559" w:type="dxa"/>
            <w:shd w:val="clear" w:color="auto" w:fill="auto"/>
          </w:tcPr>
          <w:p w:rsidR="003D7A14" w:rsidRPr="000A0A5F" w:rsidRDefault="003D7A14" w:rsidP="00D375AC">
            <w:pPr>
              <w:pStyle w:val="TAL"/>
            </w:pPr>
            <w:r w:rsidRPr="000A0A5F">
              <w:t>5.2.1.3.2</w:t>
            </w:r>
          </w:p>
        </w:tc>
        <w:tc>
          <w:tcPr>
            <w:tcW w:w="4146" w:type="dxa"/>
            <w:shd w:val="clear" w:color="auto" w:fill="auto"/>
          </w:tcPr>
          <w:p w:rsidR="003D7A14" w:rsidRPr="000A0A5F" w:rsidRDefault="003D7A14" w:rsidP="00D375AC">
            <w:pPr>
              <w:pStyle w:val="TAL"/>
            </w:pPr>
            <w:r w:rsidRPr="000A0A5F">
              <w:t xml:space="preserve">Represents the same as the </w:t>
            </w:r>
            <w:r w:rsidRPr="000A0A5F">
              <w:rPr>
                <w:rFonts w:hint="eastAsia"/>
                <w:lang w:eastAsia="zh-CN"/>
              </w:rPr>
              <w:t>Ipv6Addr</w:t>
            </w:r>
            <w:r w:rsidRPr="000A0A5F">
              <w:t xml:space="preserve"> data type, but with the "readOnly=true" property.</w:t>
            </w:r>
          </w:p>
        </w:tc>
        <w:tc>
          <w:tcPr>
            <w:tcW w:w="1387" w:type="dxa"/>
            <w:shd w:val="clear" w:color="auto" w:fill="auto"/>
          </w:tcPr>
          <w:p w:rsidR="003D7A14" w:rsidRPr="000A0A5F" w:rsidRDefault="003D7A14" w:rsidP="00D375AC">
            <w:pPr>
              <w:pStyle w:val="TAL"/>
            </w:pPr>
          </w:p>
        </w:tc>
      </w:tr>
      <w:tr w:rsidR="003D7A14" w:rsidRPr="000A0A5F" w:rsidTr="00D375AC">
        <w:trPr>
          <w:cantSplit/>
          <w:jc w:val="center"/>
        </w:trPr>
        <w:tc>
          <w:tcPr>
            <w:tcW w:w="2555" w:type="dxa"/>
            <w:shd w:val="clear" w:color="auto" w:fill="auto"/>
          </w:tcPr>
          <w:p w:rsidR="003D7A14" w:rsidRPr="000A0A5F" w:rsidRDefault="003D7A14" w:rsidP="00D375AC">
            <w:pPr>
              <w:pStyle w:val="TAL"/>
            </w:pPr>
            <w:r w:rsidRPr="000A0A5F">
              <w:rPr>
                <w:lang w:eastAsia="zh-CN"/>
              </w:rPr>
              <w:t>Link</w:t>
            </w:r>
          </w:p>
        </w:tc>
        <w:tc>
          <w:tcPr>
            <w:tcW w:w="1559" w:type="dxa"/>
            <w:shd w:val="clear" w:color="auto" w:fill="auto"/>
          </w:tcPr>
          <w:p w:rsidR="003D7A14" w:rsidRPr="000A0A5F" w:rsidRDefault="003D7A14" w:rsidP="00D375AC">
            <w:pPr>
              <w:pStyle w:val="TAL"/>
            </w:pPr>
            <w:r w:rsidRPr="000A0A5F">
              <w:t>5.2.1.3.2</w:t>
            </w:r>
          </w:p>
        </w:tc>
        <w:tc>
          <w:tcPr>
            <w:tcW w:w="4146" w:type="dxa"/>
            <w:shd w:val="clear" w:color="auto" w:fill="auto"/>
          </w:tcPr>
          <w:p w:rsidR="003D7A14" w:rsidRPr="000A0A5F" w:rsidRDefault="003D7A14" w:rsidP="00D375AC">
            <w:pPr>
              <w:pStyle w:val="TAL"/>
            </w:pPr>
            <w:r w:rsidRPr="000A0A5F">
              <w:t>Represents a link towards a referenced resource.</w:t>
            </w:r>
          </w:p>
        </w:tc>
        <w:tc>
          <w:tcPr>
            <w:tcW w:w="1387" w:type="dxa"/>
            <w:shd w:val="clear" w:color="auto" w:fill="auto"/>
          </w:tcPr>
          <w:p w:rsidR="003D7A14" w:rsidRPr="000A0A5F" w:rsidRDefault="003D7A14" w:rsidP="00D375AC">
            <w:pPr>
              <w:pStyle w:val="TAL"/>
            </w:pPr>
          </w:p>
        </w:tc>
      </w:tr>
      <w:tr w:rsidR="003D7A14" w:rsidRPr="000A0A5F" w:rsidTr="00D375AC">
        <w:trPr>
          <w:cantSplit/>
          <w:jc w:val="center"/>
        </w:trPr>
        <w:tc>
          <w:tcPr>
            <w:tcW w:w="2555" w:type="dxa"/>
            <w:shd w:val="clear" w:color="auto" w:fill="auto"/>
          </w:tcPr>
          <w:p w:rsidR="003D7A14" w:rsidRPr="000A0A5F" w:rsidRDefault="003D7A14" w:rsidP="00D375AC">
            <w:pPr>
              <w:pStyle w:val="TAL"/>
              <w:rPr>
                <w:lang w:eastAsia="zh-CN"/>
              </w:rPr>
            </w:pPr>
            <w:r w:rsidRPr="000A0A5F">
              <w:rPr>
                <w:lang w:eastAsia="zh-CN"/>
              </w:rPr>
              <w:t>LinkRm</w:t>
            </w:r>
          </w:p>
        </w:tc>
        <w:tc>
          <w:tcPr>
            <w:tcW w:w="1559" w:type="dxa"/>
            <w:shd w:val="clear" w:color="auto" w:fill="auto"/>
          </w:tcPr>
          <w:p w:rsidR="003D7A14" w:rsidRPr="000A0A5F" w:rsidRDefault="003D7A14" w:rsidP="00D375AC">
            <w:pPr>
              <w:pStyle w:val="TAL"/>
            </w:pPr>
            <w:r w:rsidRPr="000A0A5F">
              <w:t>5.2.1.3.2</w:t>
            </w:r>
          </w:p>
        </w:tc>
        <w:tc>
          <w:tcPr>
            <w:tcW w:w="4146" w:type="dxa"/>
            <w:shd w:val="clear" w:color="auto" w:fill="auto"/>
          </w:tcPr>
          <w:p w:rsidR="003D7A14" w:rsidRPr="000A0A5F" w:rsidRDefault="003D7A14" w:rsidP="00D375AC">
            <w:pPr>
              <w:pStyle w:val="TAL"/>
            </w:pPr>
            <w:r w:rsidRPr="000A0A5F">
              <w:t xml:space="preserve">Represents the same as the </w:t>
            </w:r>
            <w:r w:rsidRPr="000A0A5F">
              <w:rPr>
                <w:lang w:eastAsia="zh-CN"/>
              </w:rPr>
              <w:t>Link</w:t>
            </w:r>
            <w:r w:rsidRPr="000A0A5F">
              <w:t xml:space="preserve"> data type, but with the "nullable: true" property.</w:t>
            </w:r>
          </w:p>
        </w:tc>
        <w:tc>
          <w:tcPr>
            <w:tcW w:w="1387" w:type="dxa"/>
            <w:shd w:val="clear" w:color="auto" w:fill="auto"/>
          </w:tcPr>
          <w:p w:rsidR="003D7A14" w:rsidRPr="000A0A5F" w:rsidRDefault="003D7A14" w:rsidP="00D375AC">
            <w:pPr>
              <w:pStyle w:val="TAL"/>
            </w:pPr>
          </w:p>
        </w:tc>
      </w:tr>
      <w:tr w:rsidR="003D7A14" w:rsidRPr="000A0A5F" w:rsidTr="00D375AC">
        <w:trPr>
          <w:cantSplit/>
          <w:jc w:val="center"/>
        </w:trPr>
        <w:tc>
          <w:tcPr>
            <w:tcW w:w="2555" w:type="dxa"/>
            <w:shd w:val="clear" w:color="auto" w:fill="auto"/>
          </w:tcPr>
          <w:p w:rsidR="003D7A14" w:rsidRPr="000A0A5F" w:rsidRDefault="003D7A14" w:rsidP="00D375AC">
            <w:pPr>
              <w:pStyle w:val="TAL"/>
            </w:pPr>
            <w:r w:rsidRPr="000A0A5F">
              <w:rPr>
                <w:lang w:eastAsia="zh-CN"/>
              </w:rPr>
              <w:t>LocationArea</w:t>
            </w:r>
          </w:p>
        </w:tc>
        <w:tc>
          <w:tcPr>
            <w:tcW w:w="1559" w:type="dxa"/>
            <w:shd w:val="clear" w:color="auto" w:fill="auto"/>
          </w:tcPr>
          <w:p w:rsidR="003D7A14" w:rsidRPr="000A0A5F" w:rsidRDefault="003D7A14" w:rsidP="00D375AC">
            <w:pPr>
              <w:pStyle w:val="TAL"/>
            </w:pPr>
            <w:r w:rsidRPr="000A0A5F">
              <w:t>5.2.1.2.11</w:t>
            </w:r>
          </w:p>
        </w:tc>
        <w:tc>
          <w:tcPr>
            <w:tcW w:w="4146" w:type="dxa"/>
            <w:shd w:val="clear" w:color="auto" w:fill="auto"/>
          </w:tcPr>
          <w:p w:rsidR="003D7A14" w:rsidRPr="000A0A5F" w:rsidRDefault="003D7A14" w:rsidP="00D375AC">
            <w:pPr>
              <w:pStyle w:val="TAL"/>
            </w:pPr>
            <w:r w:rsidRPr="000A0A5F">
              <w:t>Represents a user location area.</w:t>
            </w:r>
          </w:p>
        </w:tc>
        <w:tc>
          <w:tcPr>
            <w:tcW w:w="1387" w:type="dxa"/>
            <w:shd w:val="clear" w:color="auto" w:fill="auto"/>
          </w:tcPr>
          <w:p w:rsidR="003D7A14" w:rsidRPr="000A0A5F" w:rsidRDefault="003D7A14" w:rsidP="00D375AC">
            <w:pPr>
              <w:pStyle w:val="TAL"/>
            </w:pPr>
          </w:p>
        </w:tc>
      </w:tr>
      <w:tr w:rsidR="003D7A14" w:rsidRPr="000A0A5F" w:rsidTr="00D375AC">
        <w:trPr>
          <w:cantSplit/>
          <w:jc w:val="center"/>
        </w:trPr>
        <w:tc>
          <w:tcPr>
            <w:tcW w:w="2555" w:type="dxa"/>
            <w:shd w:val="clear" w:color="auto" w:fill="auto"/>
          </w:tcPr>
          <w:p w:rsidR="003D7A14" w:rsidRPr="000A0A5F" w:rsidRDefault="003D7A14" w:rsidP="00D375AC">
            <w:pPr>
              <w:pStyle w:val="TAL"/>
            </w:pPr>
            <w:r w:rsidRPr="000A0A5F">
              <w:rPr>
                <w:lang w:eastAsia="zh-CN"/>
              </w:rPr>
              <w:t>LocationArea5G</w:t>
            </w:r>
          </w:p>
        </w:tc>
        <w:tc>
          <w:tcPr>
            <w:tcW w:w="1559" w:type="dxa"/>
            <w:shd w:val="clear" w:color="auto" w:fill="auto"/>
          </w:tcPr>
          <w:p w:rsidR="003D7A14" w:rsidRPr="000A0A5F" w:rsidRDefault="003D7A14" w:rsidP="00D375AC">
            <w:pPr>
              <w:pStyle w:val="TAL"/>
            </w:pPr>
            <w:r w:rsidRPr="000A0A5F">
              <w:t>5.2.1.2.17</w:t>
            </w:r>
          </w:p>
        </w:tc>
        <w:tc>
          <w:tcPr>
            <w:tcW w:w="4146" w:type="dxa"/>
            <w:shd w:val="clear" w:color="auto" w:fill="auto"/>
          </w:tcPr>
          <w:p w:rsidR="003D7A14" w:rsidRPr="000A0A5F" w:rsidRDefault="003D7A14" w:rsidP="00D375AC">
            <w:pPr>
              <w:pStyle w:val="TAL"/>
            </w:pPr>
            <w:r w:rsidRPr="000A0A5F">
              <w:t>Represents a user location area when the UE is attached to 5G.</w:t>
            </w:r>
          </w:p>
        </w:tc>
        <w:tc>
          <w:tcPr>
            <w:tcW w:w="1387" w:type="dxa"/>
            <w:shd w:val="clear" w:color="auto" w:fill="auto"/>
          </w:tcPr>
          <w:p w:rsidR="003D7A14" w:rsidRPr="000A0A5F" w:rsidRDefault="003D7A14" w:rsidP="00D375AC">
            <w:pPr>
              <w:pStyle w:val="TAL"/>
            </w:pPr>
          </w:p>
        </w:tc>
      </w:tr>
      <w:tr w:rsidR="003D7A14" w:rsidRPr="000A0A5F" w:rsidTr="00D375AC">
        <w:trPr>
          <w:cantSplit/>
          <w:jc w:val="center"/>
        </w:trPr>
        <w:tc>
          <w:tcPr>
            <w:tcW w:w="2555" w:type="dxa"/>
            <w:shd w:val="clear" w:color="auto" w:fill="auto"/>
          </w:tcPr>
          <w:p w:rsidR="003D7A14" w:rsidRPr="000A0A5F" w:rsidRDefault="003D7A14" w:rsidP="00D375AC">
            <w:pPr>
              <w:pStyle w:val="TAL"/>
            </w:pPr>
            <w:r w:rsidRPr="000A0A5F">
              <w:t>Mcc</w:t>
            </w:r>
          </w:p>
        </w:tc>
        <w:tc>
          <w:tcPr>
            <w:tcW w:w="1559" w:type="dxa"/>
            <w:shd w:val="clear" w:color="auto" w:fill="auto"/>
          </w:tcPr>
          <w:p w:rsidR="003D7A14" w:rsidRPr="000A0A5F" w:rsidRDefault="003D7A14" w:rsidP="00D375AC">
            <w:pPr>
              <w:pStyle w:val="TAL"/>
            </w:pPr>
            <w:r w:rsidRPr="000A0A5F">
              <w:t>5.2.1.3.2</w:t>
            </w:r>
          </w:p>
        </w:tc>
        <w:tc>
          <w:tcPr>
            <w:tcW w:w="4146" w:type="dxa"/>
            <w:shd w:val="clear" w:color="auto" w:fill="auto"/>
          </w:tcPr>
          <w:p w:rsidR="003D7A14" w:rsidRPr="000A0A5F" w:rsidRDefault="003D7A14" w:rsidP="00D375AC">
            <w:pPr>
              <w:pStyle w:val="TAL"/>
            </w:pPr>
            <w:r w:rsidRPr="000A0A5F">
              <w:t>Represents a Mobile Country Code.</w:t>
            </w:r>
          </w:p>
        </w:tc>
        <w:tc>
          <w:tcPr>
            <w:tcW w:w="1387" w:type="dxa"/>
            <w:shd w:val="clear" w:color="auto" w:fill="auto"/>
          </w:tcPr>
          <w:p w:rsidR="003D7A14" w:rsidRPr="000A0A5F" w:rsidRDefault="003D7A14" w:rsidP="00D375AC">
            <w:pPr>
              <w:pStyle w:val="TAL"/>
            </w:pPr>
          </w:p>
        </w:tc>
      </w:tr>
      <w:tr w:rsidR="003D7A14" w:rsidRPr="000A0A5F" w:rsidTr="00D375AC">
        <w:trPr>
          <w:cantSplit/>
          <w:jc w:val="center"/>
        </w:trPr>
        <w:tc>
          <w:tcPr>
            <w:tcW w:w="2555" w:type="dxa"/>
            <w:shd w:val="clear" w:color="auto" w:fill="auto"/>
          </w:tcPr>
          <w:p w:rsidR="003D7A14" w:rsidRPr="000A0A5F" w:rsidRDefault="003D7A14" w:rsidP="00D375AC">
            <w:pPr>
              <w:pStyle w:val="TAL"/>
            </w:pPr>
            <w:r w:rsidRPr="000A0A5F">
              <w:t>Mnc</w:t>
            </w:r>
          </w:p>
        </w:tc>
        <w:tc>
          <w:tcPr>
            <w:tcW w:w="1559" w:type="dxa"/>
            <w:shd w:val="clear" w:color="auto" w:fill="auto"/>
          </w:tcPr>
          <w:p w:rsidR="003D7A14" w:rsidRPr="000A0A5F" w:rsidRDefault="003D7A14" w:rsidP="00D375AC">
            <w:pPr>
              <w:pStyle w:val="TAL"/>
            </w:pPr>
            <w:r w:rsidRPr="000A0A5F">
              <w:t>5.2.1.3.2</w:t>
            </w:r>
          </w:p>
        </w:tc>
        <w:tc>
          <w:tcPr>
            <w:tcW w:w="4146" w:type="dxa"/>
            <w:shd w:val="clear" w:color="auto" w:fill="auto"/>
          </w:tcPr>
          <w:p w:rsidR="003D7A14" w:rsidRPr="000A0A5F" w:rsidRDefault="003D7A14" w:rsidP="00D375AC">
            <w:pPr>
              <w:pStyle w:val="TAL"/>
            </w:pPr>
            <w:r w:rsidRPr="000A0A5F">
              <w:t>Represents a Mobile Network Code.</w:t>
            </w:r>
          </w:p>
        </w:tc>
        <w:tc>
          <w:tcPr>
            <w:tcW w:w="1387" w:type="dxa"/>
            <w:shd w:val="clear" w:color="auto" w:fill="auto"/>
          </w:tcPr>
          <w:p w:rsidR="003D7A14" w:rsidRPr="000A0A5F" w:rsidRDefault="003D7A14" w:rsidP="00D375AC">
            <w:pPr>
              <w:pStyle w:val="TAL"/>
            </w:pPr>
          </w:p>
        </w:tc>
      </w:tr>
      <w:tr w:rsidR="003D7A14" w:rsidRPr="000A0A5F" w:rsidTr="00D375AC">
        <w:trPr>
          <w:cantSplit/>
          <w:jc w:val="center"/>
        </w:trPr>
        <w:tc>
          <w:tcPr>
            <w:tcW w:w="2555" w:type="dxa"/>
            <w:shd w:val="clear" w:color="auto" w:fill="auto"/>
          </w:tcPr>
          <w:p w:rsidR="003D7A14" w:rsidRPr="000A0A5F" w:rsidRDefault="003D7A14" w:rsidP="00D375AC">
            <w:pPr>
              <w:pStyle w:val="TAL"/>
            </w:pPr>
            <w:r w:rsidRPr="000A0A5F">
              <w:rPr>
                <w:lang w:eastAsia="zh-CN"/>
              </w:rPr>
              <w:t>Msisdn</w:t>
            </w:r>
          </w:p>
        </w:tc>
        <w:tc>
          <w:tcPr>
            <w:tcW w:w="1559" w:type="dxa"/>
            <w:shd w:val="clear" w:color="auto" w:fill="auto"/>
          </w:tcPr>
          <w:p w:rsidR="003D7A14" w:rsidRPr="000A0A5F" w:rsidRDefault="003D7A14" w:rsidP="00D375AC">
            <w:pPr>
              <w:pStyle w:val="TAL"/>
            </w:pPr>
            <w:r w:rsidRPr="000A0A5F">
              <w:t>5.2.1.3.2</w:t>
            </w:r>
          </w:p>
        </w:tc>
        <w:tc>
          <w:tcPr>
            <w:tcW w:w="4146" w:type="dxa"/>
            <w:shd w:val="clear" w:color="auto" w:fill="auto"/>
          </w:tcPr>
          <w:p w:rsidR="003D7A14" w:rsidRPr="000A0A5F" w:rsidRDefault="003D7A14" w:rsidP="00D375AC">
            <w:pPr>
              <w:pStyle w:val="TAL"/>
            </w:pPr>
            <w:r w:rsidRPr="000A0A5F">
              <w:t>Represents an MSISDN.</w:t>
            </w:r>
          </w:p>
        </w:tc>
        <w:tc>
          <w:tcPr>
            <w:tcW w:w="1387" w:type="dxa"/>
            <w:shd w:val="clear" w:color="auto" w:fill="auto"/>
          </w:tcPr>
          <w:p w:rsidR="003D7A14" w:rsidRPr="000A0A5F" w:rsidRDefault="003D7A14" w:rsidP="00D375AC">
            <w:pPr>
              <w:pStyle w:val="TAL"/>
            </w:pPr>
          </w:p>
        </w:tc>
      </w:tr>
      <w:tr w:rsidR="003D7A14" w:rsidRPr="000A0A5F" w:rsidTr="00D375AC">
        <w:trPr>
          <w:cantSplit/>
          <w:jc w:val="center"/>
        </w:trPr>
        <w:tc>
          <w:tcPr>
            <w:tcW w:w="2555" w:type="dxa"/>
            <w:shd w:val="clear" w:color="auto" w:fill="auto"/>
          </w:tcPr>
          <w:p w:rsidR="003D7A14" w:rsidRPr="000A0A5F" w:rsidRDefault="003D7A14" w:rsidP="00D375AC">
            <w:pPr>
              <w:pStyle w:val="TAL"/>
            </w:pPr>
            <w:r w:rsidRPr="000A0A5F">
              <w:t>NotificationData</w:t>
            </w:r>
          </w:p>
        </w:tc>
        <w:tc>
          <w:tcPr>
            <w:tcW w:w="1559" w:type="dxa"/>
            <w:shd w:val="clear" w:color="auto" w:fill="auto"/>
          </w:tcPr>
          <w:p w:rsidR="003D7A14" w:rsidRPr="000A0A5F" w:rsidRDefault="003D7A14" w:rsidP="00D375AC">
            <w:pPr>
              <w:pStyle w:val="TAL"/>
            </w:pPr>
            <w:r w:rsidRPr="000A0A5F">
              <w:t>5.2.1.2.5</w:t>
            </w:r>
          </w:p>
        </w:tc>
        <w:tc>
          <w:tcPr>
            <w:tcW w:w="4146" w:type="dxa"/>
            <w:shd w:val="clear" w:color="auto" w:fill="auto"/>
          </w:tcPr>
          <w:p w:rsidR="003D7A14" w:rsidRPr="000A0A5F" w:rsidRDefault="003D7A14" w:rsidP="00D375AC">
            <w:pPr>
              <w:pStyle w:val="TAL"/>
            </w:pPr>
            <w:r w:rsidRPr="000A0A5F">
              <w:t>Represents the information to be conveyed in a bearer level event(s) notification.</w:t>
            </w:r>
          </w:p>
        </w:tc>
        <w:tc>
          <w:tcPr>
            <w:tcW w:w="1387" w:type="dxa"/>
            <w:shd w:val="clear" w:color="auto" w:fill="auto"/>
          </w:tcPr>
          <w:p w:rsidR="003D7A14" w:rsidRPr="000A0A5F" w:rsidRDefault="003D7A14" w:rsidP="00D375AC">
            <w:pPr>
              <w:pStyle w:val="TAL"/>
            </w:pPr>
          </w:p>
        </w:tc>
      </w:tr>
      <w:tr w:rsidR="003D7A14" w:rsidRPr="000A0A5F" w:rsidTr="00D375AC">
        <w:trPr>
          <w:cantSplit/>
          <w:jc w:val="center"/>
        </w:trPr>
        <w:tc>
          <w:tcPr>
            <w:tcW w:w="2555" w:type="dxa"/>
            <w:shd w:val="clear" w:color="auto" w:fill="auto"/>
          </w:tcPr>
          <w:p w:rsidR="003D7A14" w:rsidRPr="000A0A5F" w:rsidRDefault="003D7A14" w:rsidP="00D375AC">
            <w:pPr>
              <w:pStyle w:val="TAL"/>
            </w:pPr>
            <w:r w:rsidRPr="000A0A5F">
              <w:t>PlmnId</w:t>
            </w:r>
          </w:p>
        </w:tc>
        <w:tc>
          <w:tcPr>
            <w:tcW w:w="1559" w:type="dxa"/>
            <w:shd w:val="clear" w:color="auto" w:fill="auto"/>
          </w:tcPr>
          <w:p w:rsidR="003D7A14" w:rsidRPr="000A0A5F" w:rsidRDefault="003D7A14" w:rsidP="00D375AC">
            <w:pPr>
              <w:pStyle w:val="TAL"/>
            </w:pPr>
            <w:r w:rsidRPr="000A0A5F">
              <w:t>5.2.1.2.14</w:t>
            </w:r>
          </w:p>
        </w:tc>
        <w:tc>
          <w:tcPr>
            <w:tcW w:w="4146" w:type="dxa"/>
            <w:shd w:val="clear" w:color="auto" w:fill="auto"/>
          </w:tcPr>
          <w:p w:rsidR="003D7A14" w:rsidRPr="000A0A5F" w:rsidRDefault="003D7A14" w:rsidP="00D375AC">
            <w:pPr>
              <w:pStyle w:val="TAL"/>
            </w:pPr>
            <w:r w:rsidRPr="000A0A5F">
              <w:t>Represents the identifier of a PLMN.</w:t>
            </w:r>
          </w:p>
        </w:tc>
        <w:tc>
          <w:tcPr>
            <w:tcW w:w="1387" w:type="dxa"/>
            <w:shd w:val="clear" w:color="auto" w:fill="auto"/>
          </w:tcPr>
          <w:p w:rsidR="003D7A14" w:rsidRPr="000A0A5F" w:rsidRDefault="003D7A14" w:rsidP="00D375AC">
            <w:pPr>
              <w:pStyle w:val="TAL"/>
            </w:pPr>
          </w:p>
        </w:tc>
      </w:tr>
      <w:tr w:rsidR="003D7A14" w:rsidRPr="000A0A5F" w:rsidTr="00D375AC">
        <w:trPr>
          <w:cantSplit/>
          <w:jc w:val="center"/>
        </w:trPr>
        <w:tc>
          <w:tcPr>
            <w:tcW w:w="2555" w:type="dxa"/>
            <w:shd w:val="clear" w:color="auto" w:fill="auto"/>
          </w:tcPr>
          <w:p w:rsidR="003D7A14" w:rsidRPr="000A0A5F" w:rsidRDefault="003D7A14" w:rsidP="00D375AC">
            <w:pPr>
              <w:pStyle w:val="TAL"/>
            </w:pPr>
            <w:r w:rsidRPr="000A0A5F">
              <w:rPr>
                <w:lang w:eastAsia="zh-CN"/>
              </w:rPr>
              <w:t>Port</w:t>
            </w:r>
          </w:p>
        </w:tc>
        <w:tc>
          <w:tcPr>
            <w:tcW w:w="1559" w:type="dxa"/>
            <w:shd w:val="clear" w:color="auto" w:fill="auto"/>
          </w:tcPr>
          <w:p w:rsidR="003D7A14" w:rsidRPr="000A0A5F" w:rsidRDefault="003D7A14" w:rsidP="00D375AC">
            <w:pPr>
              <w:pStyle w:val="TAL"/>
            </w:pPr>
            <w:r w:rsidRPr="000A0A5F">
              <w:t>5.2.1.3.2</w:t>
            </w:r>
          </w:p>
        </w:tc>
        <w:tc>
          <w:tcPr>
            <w:tcW w:w="4146" w:type="dxa"/>
            <w:shd w:val="clear" w:color="auto" w:fill="auto"/>
          </w:tcPr>
          <w:p w:rsidR="003D7A14" w:rsidRPr="000A0A5F" w:rsidRDefault="003D7A14" w:rsidP="00D375AC">
            <w:pPr>
              <w:pStyle w:val="TAL"/>
            </w:pPr>
            <w:r w:rsidRPr="000A0A5F">
              <w:t>Unsigned integer with valid values between 0 and 65535 representing a port.</w:t>
            </w:r>
          </w:p>
        </w:tc>
        <w:tc>
          <w:tcPr>
            <w:tcW w:w="1387" w:type="dxa"/>
            <w:shd w:val="clear" w:color="auto" w:fill="auto"/>
          </w:tcPr>
          <w:p w:rsidR="003D7A14" w:rsidRPr="000A0A5F" w:rsidRDefault="003D7A14" w:rsidP="00D375AC">
            <w:pPr>
              <w:pStyle w:val="TAL"/>
            </w:pPr>
          </w:p>
        </w:tc>
      </w:tr>
      <w:tr w:rsidR="003D7A14" w:rsidRPr="000A0A5F" w:rsidTr="00D375AC">
        <w:trPr>
          <w:cantSplit/>
          <w:jc w:val="center"/>
        </w:trPr>
        <w:tc>
          <w:tcPr>
            <w:tcW w:w="2555" w:type="dxa"/>
            <w:shd w:val="clear" w:color="auto" w:fill="auto"/>
          </w:tcPr>
          <w:p w:rsidR="003D7A14" w:rsidRPr="000A0A5F" w:rsidRDefault="003D7A14" w:rsidP="00D375AC">
            <w:pPr>
              <w:pStyle w:val="TAL"/>
            </w:pPr>
            <w:r w:rsidRPr="000A0A5F">
              <w:rPr>
                <w:lang w:eastAsia="zh-CN"/>
              </w:rPr>
              <w:t>PortRo</w:t>
            </w:r>
          </w:p>
        </w:tc>
        <w:tc>
          <w:tcPr>
            <w:tcW w:w="1559" w:type="dxa"/>
            <w:shd w:val="clear" w:color="auto" w:fill="auto"/>
          </w:tcPr>
          <w:p w:rsidR="003D7A14" w:rsidRPr="000A0A5F" w:rsidRDefault="003D7A14" w:rsidP="00D375AC">
            <w:pPr>
              <w:pStyle w:val="TAL"/>
            </w:pPr>
            <w:r w:rsidRPr="000A0A5F">
              <w:t>5.2.1.3.2</w:t>
            </w:r>
          </w:p>
        </w:tc>
        <w:tc>
          <w:tcPr>
            <w:tcW w:w="4146" w:type="dxa"/>
            <w:shd w:val="clear" w:color="auto" w:fill="auto"/>
          </w:tcPr>
          <w:p w:rsidR="003D7A14" w:rsidRPr="000A0A5F" w:rsidRDefault="003D7A14" w:rsidP="00D375AC">
            <w:pPr>
              <w:pStyle w:val="TAL"/>
            </w:pPr>
            <w:r w:rsidRPr="000A0A5F">
              <w:t xml:space="preserve">Represents the same as the </w:t>
            </w:r>
            <w:r w:rsidRPr="000A0A5F">
              <w:rPr>
                <w:lang w:eastAsia="zh-CN"/>
              </w:rPr>
              <w:t>Port</w:t>
            </w:r>
            <w:r w:rsidRPr="000A0A5F">
              <w:t xml:space="preserve"> data type, but with the "readOnly=true" property.</w:t>
            </w:r>
          </w:p>
        </w:tc>
        <w:tc>
          <w:tcPr>
            <w:tcW w:w="1387" w:type="dxa"/>
            <w:shd w:val="clear" w:color="auto" w:fill="auto"/>
          </w:tcPr>
          <w:p w:rsidR="003D7A14" w:rsidRPr="000A0A5F" w:rsidRDefault="003D7A14" w:rsidP="00D375AC">
            <w:pPr>
              <w:pStyle w:val="TAL"/>
            </w:pPr>
          </w:p>
        </w:tc>
      </w:tr>
      <w:tr w:rsidR="003D7A14" w:rsidRPr="000A0A5F" w:rsidTr="00D375AC">
        <w:trPr>
          <w:cantSplit/>
          <w:jc w:val="center"/>
        </w:trPr>
        <w:tc>
          <w:tcPr>
            <w:tcW w:w="2555" w:type="dxa"/>
            <w:shd w:val="clear" w:color="auto" w:fill="auto"/>
          </w:tcPr>
          <w:p w:rsidR="003D7A14" w:rsidRPr="000A0A5F" w:rsidRDefault="003D7A14" w:rsidP="00D375AC">
            <w:pPr>
              <w:pStyle w:val="TAL"/>
            </w:pPr>
            <w:r w:rsidRPr="000A0A5F">
              <w:t>ProblemDetails</w:t>
            </w:r>
          </w:p>
        </w:tc>
        <w:tc>
          <w:tcPr>
            <w:tcW w:w="1559" w:type="dxa"/>
            <w:shd w:val="clear" w:color="auto" w:fill="auto"/>
          </w:tcPr>
          <w:p w:rsidR="003D7A14" w:rsidRPr="000A0A5F" w:rsidRDefault="003D7A14" w:rsidP="00D375AC">
            <w:pPr>
              <w:pStyle w:val="TAL"/>
            </w:pPr>
            <w:r w:rsidRPr="000A0A5F">
              <w:t>5.2.1.2.12</w:t>
            </w:r>
          </w:p>
        </w:tc>
        <w:tc>
          <w:tcPr>
            <w:tcW w:w="4146" w:type="dxa"/>
            <w:shd w:val="clear" w:color="auto" w:fill="auto"/>
          </w:tcPr>
          <w:p w:rsidR="003D7A14" w:rsidRPr="000A0A5F" w:rsidRDefault="003D7A14" w:rsidP="00D375AC">
            <w:pPr>
              <w:pStyle w:val="TAL"/>
            </w:pPr>
            <w:r w:rsidRPr="000A0A5F">
              <w:t>Represents additional information and details on an error response.</w:t>
            </w:r>
          </w:p>
        </w:tc>
        <w:tc>
          <w:tcPr>
            <w:tcW w:w="1387" w:type="dxa"/>
            <w:shd w:val="clear" w:color="auto" w:fill="auto"/>
          </w:tcPr>
          <w:p w:rsidR="003D7A14" w:rsidRPr="000A0A5F" w:rsidRDefault="003D7A14" w:rsidP="00D375AC">
            <w:pPr>
              <w:pStyle w:val="TAL"/>
            </w:pPr>
          </w:p>
        </w:tc>
      </w:tr>
      <w:tr w:rsidR="003D7A14" w:rsidRPr="000A0A5F" w:rsidTr="00D375AC">
        <w:trPr>
          <w:cantSplit/>
          <w:jc w:val="center"/>
        </w:trPr>
        <w:tc>
          <w:tcPr>
            <w:tcW w:w="2555" w:type="dxa"/>
            <w:shd w:val="clear" w:color="auto" w:fill="auto"/>
          </w:tcPr>
          <w:p w:rsidR="003D7A14" w:rsidRPr="000A0A5F" w:rsidRDefault="003D7A14" w:rsidP="00D375AC">
            <w:pPr>
              <w:pStyle w:val="TAL"/>
            </w:pPr>
            <w:r w:rsidRPr="000A0A5F">
              <w:t>ResourceId</w:t>
            </w:r>
          </w:p>
        </w:tc>
        <w:tc>
          <w:tcPr>
            <w:tcW w:w="1559" w:type="dxa"/>
            <w:shd w:val="clear" w:color="auto" w:fill="auto"/>
          </w:tcPr>
          <w:p w:rsidR="003D7A14" w:rsidRPr="000A0A5F" w:rsidRDefault="003D7A14" w:rsidP="00D375AC">
            <w:pPr>
              <w:pStyle w:val="TAL"/>
            </w:pPr>
            <w:r w:rsidRPr="000A0A5F">
              <w:t>5.2.1.3.2</w:t>
            </w:r>
          </w:p>
        </w:tc>
        <w:tc>
          <w:tcPr>
            <w:tcW w:w="4146" w:type="dxa"/>
            <w:shd w:val="clear" w:color="auto" w:fill="auto"/>
          </w:tcPr>
          <w:p w:rsidR="003D7A14" w:rsidRPr="000A0A5F" w:rsidRDefault="003D7A14" w:rsidP="00D375AC">
            <w:pPr>
              <w:pStyle w:val="TAL"/>
            </w:pPr>
            <w:r w:rsidRPr="000A0A5F">
              <w:t>Represents an identifier of a resource within a resource URI.</w:t>
            </w:r>
          </w:p>
        </w:tc>
        <w:tc>
          <w:tcPr>
            <w:tcW w:w="1387" w:type="dxa"/>
            <w:shd w:val="clear" w:color="auto" w:fill="auto"/>
          </w:tcPr>
          <w:p w:rsidR="003D7A14" w:rsidRPr="000A0A5F" w:rsidRDefault="003D7A14" w:rsidP="00D375AC">
            <w:pPr>
              <w:pStyle w:val="TAL"/>
            </w:pPr>
          </w:p>
        </w:tc>
      </w:tr>
      <w:tr w:rsidR="003D7A14" w:rsidRPr="000A0A5F" w:rsidTr="00D375AC">
        <w:trPr>
          <w:cantSplit/>
          <w:jc w:val="center"/>
        </w:trPr>
        <w:tc>
          <w:tcPr>
            <w:tcW w:w="2555" w:type="dxa"/>
            <w:shd w:val="clear" w:color="auto" w:fill="auto"/>
          </w:tcPr>
          <w:p w:rsidR="003D7A14" w:rsidRPr="000A0A5F" w:rsidRDefault="003D7A14" w:rsidP="00D375AC">
            <w:pPr>
              <w:pStyle w:val="TAL"/>
            </w:pPr>
            <w:r w:rsidRPr="000A0A5F">
              <w:t>ResultReason</w:t>
            </w:r>
          </w:p>
        </w:tc>
        <w:tc>
          <w:tcPr>
            <w:tcW w:w="1559" w:type="dxa"/>
            <w:shd w:val="clear" w:color="auto" w:fill="auto"/>
          </w:tcPr>
          <w:p w:rsidR="003D7A14" w:rsidRPr="000A0A5F" w:rsidRDefault="003D7A14" w:rsidP="00D375AC">
            <w:pPr>
              <w:pStyle w:val="TAL"/>
            </w:pPr>
            <w:r w:rsidRPr="000A0A5F">
              <w:t>5.2.1.3.4</w:t>
            </w:r>
          </w:p>
        </w:tc>
        <w:tc>
          <w:tcPr>
            <w:tcW w:w="4146" w:type="dxa"/>
            <w:shd w:val="clear" w:color="auto" w:fill="auto"/>
          </w:tcPr>
          <w:p w:rsidR="003D7A14" w:rsidRPr="000A0A5F" w:rsidRDefault="003D7A14" w:rsidP="00D375AC">
            <w:pPr>
              <w:pStyle w:val="TAL"/>
            </w:pPr>
            <w:r w:rsidRPr="000A0A5F">
              <w:t>Represents a failure result reason.</w:t>
            </w:r>
          </w:p>
        </w:tc>
        <w:tc>
          <w:tcPr>
            <w:tcW w:w="1387" w:type="dxa"/>
            <w:shd w:val="clear" w:color="auto" w:fill="auto"/>
          </w:tcPr>
          <w:p w:rsidR="003D7A14" w:rsidRPr="000A0A5F" w:rsidRDefault="003D7A14" w:rsidP="00D375AC">
            <w:pPr>
              <w:pStyle w:val="TAL"/>
            </w:pPr>
          </w:p>
        </w:tc>
      </w:tr>
      <w:tr w:rsidR="003D7A14" w:rsidRPr="000A0A5F" w:rsidTr="00D375AC">
        <w:trPr>
          <w:cantSplit/>
          <w:jc w:val="center"/>
        </w:trPr>
        <w:tc>
          <w:tcPr>
            <w:tcW w:w="2555" w:type="dxa"/>
            <w:shd w:val="clear" w:color="auto" w:fill="auto"/>
          </w:tcPr>
          <w:p w:rsidR="003D7A14" w:rsidRPr="000A0A5F" w:rsidRDefault="003D7A14" w:rsidP="00D375AC">
            <w:pPr>
              <w:pStyle w:val="TAL"/>
            </w:pPr>
            <w:r w:rsidRPr="000A0A5F">
              <w:rPr>
                <w:lang w:eastAsia="zh-CN"/>
              </w:rPr>
              <w:t>ScsAsId</w:t>
            </w:r>
          </w:p>
        </w:tc>
        <w:tc>
          <w:tcPr>
            <w:tcW w:w="1559" w:type="dxa"/>
            <w:shd w:val="clear" w:color="auto" w:fill="auto"/>
          </w:tcPr>
          <w:p w:rsidR="003D7A14" w:rsidRPr="000A0A5F" w:rsidRDefault="003D7A14" w:rsidP="00D375AC">
            <w:pPr>
              <w:pStyle w:val="TAL"/>
            </w:pPr>
            <w:r w:rsidRPr="000A0A5F">
              <w:t>5.2.1.3.2</w:t>
            </w:r>
          </w:p>
        </w:tc>
        <w:tc>
          <w:tcPr>
            <w:tcW w:w="4146" w:type="dxa"/>
            <w:shd w:val="clear" w:color="auto" w:fill="auto"/>
          </w:tcPr>
          <w:p w:rsidR="003D7A14" w:rsidRPr="000A0A5F" w:rsidRDefault="003D7A14" w:rsidP="00D375AC">
            <w:pPr>
              <w:pStyle w:val="TAL"/>
            </w:pPr>
            <w:r w:rsidRPr="000A0A5F">
              <w:t>Represents an SCS/AS identifier.</w:t>
            </w:r>
          </w:p>
        </w:tc>
        <w:tc>
          <w:tcPr>
            <w:tcW w:w="1387" w:type="dxa"/>
            <w:shd w:val="clear" w:color="auto" w:fill="auto"/>
          </w:tcPr>
          <w:p w:rsidR="003D7A14" w:rsidRPr="000A0A5F" w:rsidRDefault="003D7A14" w:rsidP="00D375AC">
            <w:pPr>
              <w:pStyle w:val="TAL"/>
            </w:pPr>
          </w:p>
        </w:tc>
      </w:tr>
      <w:tr w:rsidR="003D7A14" w:rsidRPr="000A0A5F" w:rsidTr="00D375AC">
        <w:trPr>
          <w:cantSplit/>
          <w:jc w:val="center"/>
        </w:trPr>
        <w:tc>
          <w:tcPr>
            <w:tcW w:w="2555" w:type="dxa"/>
            <w:shd w:val="clear" w:color="auto" w:fill="auto"/>
          </w:tcPr>
          <w:p w:rsidR="003D7A14" w:rsidRPr="000A0A5F" w:rsidRDefault="003D7A14" w:rsidP="00D375AC">
            <w:pPr>
              <w:pStyle w:val="TAL"/>
            </w:pPr>
            <w:r w:rsidRPr="000A0A5F">
              <w:t>SponsorInformation</w:t>
            </w:r>
          </w:p>
        </w:tc>
        <w:tc>
          <w:tcPr>
            <w:tcW w:w="1559" w:type="dxa"/>
            <w:shd w:val="clear" w:color="auto" w:fill="auto"/>
          </w:tcPr>
          <w:p w:rsidR="003D7A14" w:rsidRPr="000A0A5F" w:rsidRDefault="003D7A14" w:rsidP="00D375AC">
            <w:pPr>
              <w:pStyle w:val="TAL"/>
            </w:pPr>
            <w:r w:rsidRPr="000A0A5F">
              <w:t>5.2.1.2.1</w:t>
            </w:r>
          </w:p>
        </w:tc>
        <w:tc>
          <w:tcPr>
            <w:tcW w:w="4146" w:type="dxa"/>
            <w:shd w:val="clear" w:color="auto" w:fill="auto"/>
          </w:tcPr>
          <w:p w:rsidR="003D7A14" w:rsidRPr="000A0A5F" w:rsidRDefault="003D7A14" w:rsidP="00D375AC">
            <w:pPr>
              <w:pStyle w:val="TAL"/>
            </w:pPr>
            <w:r w:rsidRPr="000A0A5F">
              <w:t>Represents a sponsor information.</w:t>
            </w:r>
          </w:p>
        </w:tc>
        <w:tc>
          <w:tcPr>
            <w:tcW w:w="1387" w:type="dxa"/>
            <w:shd w:val="clear" w:color="auto" w:fill="auto"/>
          </w:tcPr>
          <w:p w:rsidR="003D7A14" w:rsidRPr="000A0A5F" w:rsidRDefault="003D7A14" w:rsidP="00D375AC">
            <w:pPr>
              <w:pStyle w:val="TAL"/>
            </w:pPr>
          </w:p>
        </w:tc>
      </w:tr>
      <w:tr w:rsidR="003D7A14" w:rsidRPr="000A0A5F" w:rsidTr="00D375AC">
        <w:trPr>
          <w:cantSplit/>
          <w:jc w:val="center"/>
        </w:trPr>
        <w:tc>
          <w:tcPr>
            <w:tcW w:w="2555" w:type="dxa"/>
            <w:shd w:val="clear" w:color="auto" w:fill="auto"/>
          </w:tcPr>
          <w:p w:rsidR="003D7A14" w:rsidRPr="000A0A5F" w:rsidRDefault="003D7A14" w:rsidP="00D375AC">
            <w:pPr>
              <w:pStyle w:val="TAL"/>
            </w:pPr>
            <w:r w:rsidRPr="000A0A5F">
              <w:t>TestNotification</w:t>
            </w:r>
          </w:p>
        </w:tc>
        <w:tc>
          <w:tcPr>
            <w:tcW w:w="1559" w:type="dxa"/>
            <w:shd w:val="clear" w:color="auto" w:fill="auto"/>
          </w:tcPr>
          <w:p w:rsidR="003D7A14" w:rsidRPr="000A0A5F" w:rsidRDefault="003D7A14" w:rsidP="00D375AC">
            <w:pPr>
              <w:pStyle w:val="TAL"/>
            </w:pPr>
            <w:r w:rsidRPr="000A0A5F">
              <w:t>5.2.1.2.9</w:t>
            </w:r>
          </w:p>
        </w:tc>
        <w:tc>
          <w:tcPr>
            <w:tcW w:w="4146" w:type="dxa"/>
            <w:shd w:val="clear" w:color="auto" w:fill="auto"/>
          </w:tcPr>
          <w:p w:rsidR="003D7A14" w:rsidRPr="000A0A5F" w:rsidRDefault="003D7A14" w:rsidP="00D375AC">
            <w:pPr>
              <w:pStyle w:val="TAL"/>
            </w:pPr>
            <w:r w:rsidRPr="000A0A5F">
              <w:t>Represents a notification that can be sent to test whether a chosen notification mechanism works.</w:t>
            </w:r>
          </w:p>
        </w:tc>
        <w:tc>
          <w:tcPr>
            <w:tcW w:w="1387" w:type="dxa"/>
            <w:shd w:val="clear" w:color="auto" w:fill="auto"/>
          </w:tcPr>
          <w:p w:rsidR="003D7A14" w:rsidRPr="000A0A5F" w:rsidRDefault="003D7A14" w:rsidP="00D375AC">
            <w:pPr>
              <w:pStyle w:val="TAL"/>
            </w:pPr>
          </w:p>
        </w:tc>
      </w:tr>
      <w:tr w:rsidR="003D7A14" w:rsidRPr="000A0A5F" w:rsidTr="00D375AC">
        <w:trPr>
          <w:cantSplit/>
          <w:jc w:val="center"/>
        </w:trPr>
        <w:tc>
          <w:tcPr>
            <w:tcW w:w="2555" w:type="dxa"/>
            <w:shd w:val="clear" w:color="auto" w:fill="auto"/>
          </w:tcPr>
          <w:p w:rsidR="003D7A14" w:rsidRPr="000A0A5F" w:rsidRDefault="003D7A14" w:rsidP="00D375AC">
            <w:pPr>
              <w:pStyle w:val="TAL"/>
            </w:pPr>
            <w:r w:rsidRPr="000A0A5F">
              <w:rPr>
                <w:lang w:eastAsia="zh-CN"/>
              </w:rPr>
              <w:t>TimeOfDay</w:t>
            </w:r>
          </w:p>
        </w:tc>
        <w:tc>
          <w:tcPr>
            <w:tcW w:w="1559" w:type="dxa"/>
            <w:shd w:val="clear" w:color="auto" w:fill="auto"/>
          </w:tcPr>
          <w:p w:rsidR="003D7A14" w:rsidRPr="000A0A5F" w:rsidRDefault="003D7A14" w:rsidP="00D375AC">
            <w:pPr>
              <w:pStyle w:val="TAL"/>
            </w:pPr>
            <w:r w:rsidRPr="000A0A5F">
              <w:t>5.2.1.3.2</w:t>
            </w:r>
          </w:p>
        </w:tc>
        <w:tc>
          <w:tcPr>
            <w:tcW w:w="4146" w:type="dxa"/>
            <w:shd w:val="clear" w:color="auto" w:fill="auto"/>
          </w:tcPr>
          <w:p w:rsidR="003D7A14" w:rsidRPr="000A0A5F" w:rsidRDefault="003D7A14" w:rsidP="00D375AC">
            <w:pPr>
              <w:pStyle w:val="TAL"/>
            </w:pPr>
            <w:r w:rsidRPr="000A0A5F">
              <w:t>Represents a time in a day.</w:t>
            </w:r>
          </w:p>
        </w:tc>
        <w:tc>
          <w:tcPr>
            <w:tcW w:w="1387" w:type="dxa"/>
            <w:shd w:val="clear" w:color="auto" w:fill="auto"/>
          </w:tcPr>
          <w:p w:rsidR="003D7A14" w:rsidRPr="000A0A5F" w:rsidRDefault="003D7A14" w:rsidP="00D375AC">
            <w:pPr>
              <w:pStyle w:val="TAL"/>
            </w:pPr>
          </w:p>
        </w:tc>
      </w:tr>
      <w:tr w:rsidR="003D7A14" w:rsidRPr="000A0A5F" w:rsidTr="00D375AC">
        <w:trPr>
          <w:cantSplit/>
          <w:jc w:val="center"/>
        </w:trPr>
        <w:tc>
          <w:tcPr>
            <w:tcW w:w="2555" w:type="dxa"/>
            <w:shd w:val="clear" w:color="auto" w:fill="auto"/>
          </w:tcPr>
          <w:p w:rsidR="003D7A14" w:rsidRPr="000A0A5F" w:rsidRDefault="003D7A14" w:rsidP="00D375AC">
            <w:pPr>
              <w:pStyle w:val="TAL"/>
            </w:pPr>
            <w:r w:rsidRPr="000A0A5F">
              <w:t>TimeWindow</w:t>
            </w:r>
          </w:p>
        </w:tc>
        <w:tc>
          <w:tcPr>
            <w:tcW w:w="1559" w:type="dxa"/>
            <w:shd w:val="clear" w:color="auto" w:fill="auto"/>
          </w:tcPr>
          <w:p w:rsidR="003D7A14" w:rsidRPr="000A0A5F" w:rsidRDefault="003D7A14" w:rsidP="00D375AC">
            <w:pPr>
              <w:pStyle w:val="TAL"/>
            </w:pPr>
            <w:r w:rsidRPr="000A0A5F">
              <w:t>5.2.1.2.3</w:t>
            </w:r>
          </w:p>
        </w:tc>
        <w:tc>
          <w:tcPr>
            <w:tcW w:w="4146" w:type="dxa"/>
            <w:shd w:val="clear" w:color="auto" w:fill="auto"/>
          </w:tcPr>
          <w:p w:rsidR="003D7A14" w:rsidRPr="000A0A5F" w:rsidRDefault="003D7A14" w:rsidP="00D375AC">
            <w:pPr>
              <w:pStyle w:val="TAL"/>
            </w:pPr>
            <w:r w:rsidRPr="000A0A5F">
              <w:t>Represents a time window identified by a start time and a stop time.</w:t>
            </w:r>
          </w:p>
        </w:tc>
        <w:tc>
          <w:tcPr>
            <w:tcW w:w="1387" w:type="dxa"/>
            <w:shd w:val="clear" w:color="auto" w:fill="auto"/>
          </w:tcPr>
          <w:p w:rsidR="003D7A14" w:rsidRPr="000A0A5F" w:rsidRDefault="003D7A14" w:rsidP="00D375AC">
            <w:pPr>
              <w:pStyle w:val="TAL"/>
            </w:pPr>
          </w:p>
        </w:tc>
      </w:tr>
      <w:tr w:rsidR="003D7A14" w:rsidRPr="000A0A5F" w:rsidTr="00D375AC">
        <w:trPr>
          <w:cantSplit/>
          <w:jc w:val="center"/>
        </w:trPr>
        <w:tc>
          <w:tcPr>
            <w:tcW w:w="2555" w:type="dxa"/>
            <w:shd w:val="clear" w:color="auto" w:fill="auto"/>
          </w:tcPr>
          <w:p w:rsidR="003D7A14" w:rsidRPr="000A0A5F" w:rsidRDefault="003D7A14" w:rsidP="00D375AC">
            <w:pPr>
              <w:pStyle w:val="TAL"/>
            </w:pPr>
            <w:r w:rsidRPr="000A0A5F">
              <w:t>Uri</w:t>
            </w:r>
          </w:p>
        </w:tc>
        <w:tc>
          <w:tcPr>
            <w:tcW w:w="1559" w:type="dxa"/>
            <w:shd w:val="clear" w:color="auto" w:fill="auto"/>
          </w:tcPr>
          <w:p w:rsidR="003D7A14" w:rsidRPr="000A0A5F" w:rsidRDefault="003D7A14" w:rsidP="00D375AC">
            <w:pPr>
              <w:pStyle w:val="TAL"/>
            </w:pPr>
            <w:r w:rsidRPr="000A0A5F">
              <w:t>5.2.1.3.2</w:t>
            </w:r>
          </w:p>
        </w:tc>
        <w:tc>
          <w:tcPr>
            <w:tcW w:w="4146" w:type="dxa"/>
            <w:shd w:val="clear" w:color="auto" w:fill="auto"/>
          </w:tcPr>
          <w:p w:rsidR="003D7A14" w:rsidRPr="000A0A5F" w:rsidRDefault="003D7A14" w:rsidP="00D375AC">
            <w:pPr>
              <w:pStyle w:val="TAL"/>
            </w:pPr>
            <w:r w:rsidRPr="000A0A5F">
              <w:t>Represents a URI.</w:t>
            </w:r>
          </w:p>
        </w:tc>
        <w:tc>
          <w:tcPr>
            <w:tcW w:w="1387" w:type="dxa"/>
            <w:shd w:val="clear" w:color="auto" w:fill="auto"/>
          </w:tcPr>
          <w:p w:rsidR="003D7A14" w:rsidRPr="000A0A5F" w:rsidRDefault="003D7A14" w:rsidP="00D375AC">
            <w:pPr>
              <w:pStyle w:val="TAL"/>
            </w:pPr>
          </w:p>
        </w:tc>
      </w:tr>
      <w:tr w:rsidR="003D7A14" w:rsidRPr="000A0A5F" w:rsidTr="00D375AC">
        <w:trPr>
          <w:cantSplit/>
          <w:jc w:val="center"/>
        </w:trPr>
        <w:tc>
          <w:tcPr>
            <w:tcW w:w="2555" w:type="dxa"/>
            <w:shd w:val="clear" w:color="auto" w:fill="auto"/>
          </w:tcPr>
          <w:p w:rsidR="003D7A14" w:rsidRPr="000A0A5F" w:rsidRDefault="003D7A14" w:rsidP="00D375AC">
            <w:pPr>
              <w:pStyle w:val="TAL"/>
            </w:pPr>
            <w:r w:rsidRPr="000A0A5F">
              <w:t>UsageThreshold</w:t>
            </w:r>
          </w:p>
        </w:tc>
        <w:tc>
          <w:tcPr>
            <w:tcW w:w="1559" w:type="dxa"/>
            <w:shd w:val="clear" w:color="auto" w:fill="auto"/>
          </w:tcPr>
          <w:p w:rsidR="003D7A14" w:rsidRPr="000A0A5F" w:rsidRDefault="003D7A14" w:rsidP="00D375AC">
            <w:pPr>
              <w:pStyle w:val="TAL"/>
            </w:pPr>
            <w:r w:rsidRPr="000A0A5F">
              <w:t>5.2.1.2.2</w:t>
            </w:r>
          </w:p>
        </w:tc>
        <w:tc>
          <w:tcPr>
            <w:tcW w:w="4146" w:type="dxa"/>
            <w:shd w:val="clear" w:color="auto" w:fill="auto"/>
          </w:tcPr>
          <w:p w:rsidR="003D7A14" w:rsidRPr="000A0A5F" w:rsidRDefault="003D7A14" w:rsidP="00D375AC">
            <w:pPr>
              <w:pStyle w:val="TAL"/>
            </w:pPr>
            <w:r w:rsidRPr="000A0A5F">
              <w:t>Represents a usage threshold.</w:t>
            </w:r>
          </w:p>
        </w:tc>
        <w:tc>
          <w:tcPr>
            <w:tcW w:w="1387" w:type="dxa"/>
            <w:shd w:val="clear" w:color="auto" w:fill="auto"/>
          </w:tcPr>
          <w:p w:rsidR="003D7A14" w:rsidRPr="000A0A5F" w:rsidRDefault="003D7A14" w:rsidP="00D375AC">
            <w:pPr>
              <w:pStyle w:val="TAL"/>
            </w:pPr>
          </w:p>
        </w:tc>
      </w:tr>
      <w:tr w:rsidR="003D7A14" w:rsidRPr="000A0A5F" w:rsidTr="00D375AC">
        <w:trPr>
          <w:cantSplit/>
          <w:jc w:val="center"/>
        </w:trPr>
        <w:tc>
          <w:tcPr>
            <w:tcW w:w="2555" w:type="dxa"/>
            <w:shd w:val="clear" w:color="auto" w:fill="auto"/>
          </w:tcPr>
          <w:p w:rsidR="003D7A14" w:rsidRPr="000A0A5F" w:rsidRDefault="003D7A14" w:rsidP="00D375AC">
            <w:pPr>
              <w:pStyle w:val="TAL"/>
            </w:pPr>
            <w:r w:rsidRPr="000A0A5F">
              <w:t>UsageThresholdRm</w:t>
            </w:r>
          </w:p>
        </w:tc>
        <w:tc>
          <w:tcPr>
            <w:tcW w:w="1559" w:type="dxa"/>
            <w:shd w:val="clear" w:color="auto" w:fill="auto"/>
          </w:tcPr>
          <w:p w:rsidR="003D7A14" w:rsidRPr="000A0A5F" w:rsidRDefault="003D7A14" w:rsidP="00D375AC">
            <w:pPr>
              <w:pStyle w:val="TAL"/>
            </w:pPr>
            <w:r w:rsidRPr="000A0A5F">
              <w:t>5.2.1.2.16</w:t>
            </w:r>
          </w:p>
        </w:tc>
        <w:tc>
          <w:tcPr>
            <w:tcW w:w="4146" w:type="dxa"/>
            <w:shd w:val="clear" w:color="auto" w:fill="auto"/>
          </w:tcPr>
          <w:p w:rsidR="003D7A14" w:rsidRPr="000A0A5F" w:rsidRDefault="003D7A14" w:rsidP="00D375AC">
            <w:pPr>
              <w:pStyle w:val="TAL"/>
            </w:pPr>
            <w:r w:rsidRPr="000A0A5F">
              <w:t>Represents the same as the UsageThreshold data type but with the "nullable: true" property.</w:t>
            </w:r>
          </w:p>
        </w:tc>
        <w:tc>
          <w:tcPr>
            <w:tcW w:w="1387" w:type="dxa"/>
            <w:shd w:val="clear" w:color="auto" w:fill="auto"/>
          </w:tcPr>
          <w:p w:rsidR="003D7A14" w:rsidRPr="000A0A5F" w:rsidRDefault="003D7A14" w:rsidP="00D375AC">
            <w:pPr>
              <w:pStyle w:val="TAL"/>
            </w:pPr>
          </w:p>
        </w:tc>
      </w:tr>
      <w:tr w:rsidR="003D7A14" w:rsidRPr="000A0A5F" w:rsidTr="00D375AC">
        <w:trPr>
          <w:cantSplit/>
          <w:jc w:val="center"/>
        </w:trPr>
        <w:tc>
          <w:tcPr>
            <w:tcW w:w="2555" w:type="dxa"/>
            <w:shd w:val="clear" w:color="auto" w:fill="auto"/>
          </w:tcPr>
          <w:p w:rsidR="003D7A14" w:rsidRPr="000A0A5F" w:rsidRDefault="003D7A14" w:rsidP="00D375AC">
            <w:pPr>
              <w:pStyle w:val="TAL"/>
            </w:pPr>
            <w:r w:rsidRPr="000A0A5F">
              <w:rPr>
                <w:rFonts w:hint="eastAsia"/>
                <w:lang w:eastAsia="zh-CN"/>
              </w:rPr>
              <w:t>Volume</w:t>
            </w:r>
          </w:p>
        </w:tc>
        <w:tc>
          <w:tcPr>
            <w:tcW w:w="1559" w:type="dxa"/>
            <w:shd w:val="clear" w:color="auto" w:fill="auto"/>
          </w:tcPr>
          <w:p w:rsidR="003D7A14" w:rsidRPr="000A0A5F" w:rsidRDefault="003D7A14" w:rsidP="00D375AC">
            <w:pPr>
              <w:pStyle w:val="TAL"/>
            </w:pPr>
            <w:r w:rsidRPr="000A0A5F">
              <w:t>5.2.1.3.2</w:t>
            </w:r>
          </w:p>
        </w:tc>
        <w:tc>
          <w:tcPr>
            <w:tcW w:w="4146" w:type="dxa"/>
            <w:shd w:val="clear" w:color="auto" w:fill="auto"/>
          </w:tcPr>
          <w:p w:rsidR="003D7A14" w:rsidRPr="000A0A5F" w:rsidRDefault="003D7A14" w:rsidP="00D375AC">
            <w:pPr>
              <w:pStyle w:val="TAL"/>
            </w:pPr>
            <w:r w:rsidRPr="000A0A5F">
              <w:rPr>
                <w:lang w:eastAsia="zh-CN"/>
              </w:rPr>
              <w:t>Unsigned i</w:t>
            </w:r>
            <w:r w:rsidRPr="000A0A5F">
              <w:rPr>
                <w:rFonts w:hint="eastAsia"/>
                <w:lang w:eastAsia="zh-CN"/>
              </w:rPr>
              <w:t xml:space="preserve">nteger </w:t>
            </w:r>
            <w:r w:rsidRPr="000A0A5F">
              <w:rPr>
                <w:lang w:eastAsia="zh-CN"/>
              </w:rPr>
              <w:t>identifying a volume in units of bytes.</w:t>
            </w:r>
          </w:p>
        </w:tc>
        <w:tc>
          <w:tcPr>
            <w:tcW w:w="1387" w:type="dxa"/>
            <w:shd w:val="clear" w:color="auto" w:fill="auto"/>
          </w:tcPr>
          <w:p w:rsidR="003D7A14" w:rsidRPr="000A0A5F" w:rsidRDefault="003D7A14" w:rsidP="00D375AC">
            <w:pPr>
              <w:pStyle w:val="TAL"/>
            </w:pPr>
          </w:p>
        </w:tc>
      </w:tr>
      <w:tr w:rsidR="003D7A14" w:rsidRPr="000A0A5F" w:rsidTr="00D375AC">
        <w:trPr>
          <w:cantSplit/>
          <w:jc w:val="center"/>
        </w:trPr>
        <w:tc>
          <w:tcPr>
            <w:tcW w:w="2555" w:type="dxa"/>
            <w:shd w:val="clear" w:color="auto" w:fill="auto"/>
          </w:tcPr>
          <w:p w:rsidR="003D7A14" w:rsidRPr="000A0A5F" w:rsidRDefault="003D7A14" w:rsidP="00D375AC">
            <w:pPr>
              <w:pStyle w:val="TAL"/>
            </w:pPr>
            <w:r w:rsidRPr="000A0A5F">
              <w:rPr>
                <w:lang w:eastAsia="zh-CN"/>
              </w:rPr>
              <w:t>VolumeRm</w:t>
            </w:r>
          </w:p>
        </w:tc>
        <w:tc>
          <w:tcPr>
            <w:tcW w:w="1559" w:type="dxa"/>
            <w:shd w:val="clear" w:color="auto" w:fill="auto"/>
          </w:tcPr>
          <w:p w:rsidR="003D7A14" w:rsidRPr="000A0A5F" w:rsidRDefault="003D7A14" w:rsidP="00D375AC">
            <w:pPr>
              <w:pStyle w:val="TAL"/>
            </w:pPr>
            <w:r w:rsidRPr="000A0A5F">
              <w:t>5.2.1.3.2</w:t>
            </w:r>
          </w:p>
        </w:tc>
        <w:tc>
          <w:tcPr>
            <w:tcW w:w="4146" w:type="dxa"/>
            <w:shd w:val="clear" w:color="auto" w:fill="auto"/>
          </w:tcPr>
          <w:p w:rsidR="003D7A14" w:rsidRPr="000A0A5F" w:rsidRDefault="003D7A14" w:rsidP="00D375AC">
            <w:pPr>
              <w:pStyle w:val="TAL"/>
            </w:pPr>
            <w:r w:rsidRPr="000A0A5F">
              <w:t>Represents the same as the Volume data type, but with the "nullable: true" property.</w:t>
            </w:r>
          </w:p>
        </w:tc>
        <w:tc>
          <w:tcPr>
            <w:tcW w:w="1387" w:type="dxa"/>
            <w:shd w:val="clear" w:color="auto" w:fill="auto"/>
          </w:tcPr>
          <w:p w:rsidR="003D7A14" w:rsidRPr="000A0A5F" w:rsidRDefault="003D7A14" w:rsidP="00D375AC">
            <w:pPr>
              <w:pStyle w:val="TAL"/>
            </w:pPr>
          </w:p>
        </w:tc>
      </w:tr>
      <w:tr w:rsidR="003D7A14" w:rsidRPr="000A0A5F" w:rsidTr="00D375AC">
        <w:trPr>
          <w:cantSplit/>
          <w:jc w:val="center"/>
        </w:trPr>
        <w:tc>
          <w:tcPr>
            <w:tcW w:w="2555" w:type="dxa"/>
            <w:shd w:val="clear" w:color="auto" w:fill="auto"/>
          </w:tcPr>
          <w:p w:rsidR="003D7A14" w:rsidRPr="000A0A5F" w:rsidRDefault="003D7A14" w:rsidP="00D375AC">
            <w:pPr>
              <w:pStyle w:val="TAL"/>
              <w:rPr>
                <w:lang w:eastAsia="zh-CN"/>
              </w:rPr>
            </w:pPr>
            <w:r w:rsidRPr="000A0A5F">
              <w:t>WebsockNotifConfig</w:t>
            </w:r>
          </w:p>
        </w:tc>
        <w:tc>
          <w:tcPr>
            <w:tcW w:w="1559" w:type="dxa"/>
            <w:shd w:val="clear" w:color="auto" w:fill="auto"/>
          </w:tcPr>
          <w:p w:rsidR="003D7A14" w:rsidRPr="000A0A5F" w:rsidRDefault="003D7A14" w:rsidP="00D375AC">
            <w:pPr>
              <w:pStyle w:val="TAL"/>
            </w:pPr>
            <w:r w:rsidRPr="000A0A5F">
              <w:t>5.2.1.2.10</w:t>
            </w:r>
          </w:p>
        </w:tc>
        <w:tc>
          <w:tcPr>
            <w:tcW w:w="4146" w:type="dxa"/>
            <w:shd w:val="clear" w:color="auto" w:fill="auto"/>
          </w:tcPr>
          <w:p w:rsidR="003D7A14" w:rsidRPr="000A0A5F" w:rsidRDefault="003D7A14" w:rsidP="00D375AC">
            <w:pPr>
              <w:pStyle w:val="TAL"/>
            </w:pPr>
            <w:r w:rsidRPr="000A0A5F">
              <w:t>Represents the configuration information for the delivery of notifications over Websockets.</w:t>
            </w:r>
          </w:p>
        </w:tc>
        <w:tc>
          <w:tcPr>
            <w:tcW w:w="1387" w:type="dxa"/>
            <w:shd w:val="clear" w:color="auto" w:fill="auto"/>
          </w:tcPr>
          <w:p w:rsidR="003D7A14" w:rsidRPr="000A0A5F" w:rsidRDefault="003D7A14" w:rsidP="00D375AC">
            <w:pPr>
              <w:pStyle w:val="TAL"/>
            </w:pPr>
          </w:p>
        </w:tc>
      </w:tr>
    </w:tbl>
    <w:p w:rsidR="00B7088D" w:rsidRPr="000A0A5F" w:rsidRDefault="00B7088D" w:rsidP="00B7088D"/>
    <w:p w:rsidR="00CB0DD7" w:rsidRPr="000A0A5F" w:rsidRDefault="00CB0DD7">
      <w:pPr>
        <w:pStyle w:val="Heading4"/>
      </w:pPr>
      <w:bookmarkStart w:id="1036" w:name="_Toc105674282"/>
      <w:bookmarkStart w:id="1037" w:name="_Toc130502315"/>
      <w:bookmarkStart w:id="1038" w:name="_Toc153625094"/>
      <w:r w:rsidRPr="000A0A5F">
        <w:t>5.2.1.2</w:t>
      </w:r>
      <w:r w:rsidRPr="000A0A5F">
        <w:tab/>
        <w:t>Referenced structured data types</w:t>
      </w:r>
      <w:bookmarkEnd w:id="1027"/>
      <w:bookmarkEnd w:id="1028"/>
      <w:bookmarkEnd w:id="1029"/>
      <w:bookmarkEnd w:id="1030"/>
      <w:bookmarkEnd w:id="1031"/>
      <w:bookmarkEnd w:id="1032"/>
      <w:bookmarkEnd w:id="1033"/>
      <w:bookmarkEnd w:id="1034"/>
      <w:bookmarkEnd w:id="1035"/>
      <w:bookmarkEnd w:id="1036"/>
      <w:bookmarkEnd w:id="1037"/>
      <w:bookmarkEnd w:id="1038"/>
    </w:p>
    <w:p w:rsidR="00CB0DD7" w:rsidRPr="000A0A5F" w:rsidRDefault="00CB0DD7">
      <w:pPr>
        <w:pStyle w:val="Heading5"/>
      </w:pPr>
      <w:bookmarkStart w:id="1039" w:name="_Toc11247253"/>
      <w:bookmarkStart w:id="1040" w:name="_Toc27044373"/>
      <w:bookmarkStart w:id="1041" w:name="_Toc36033415"/>
      <w:bookmarkStart w:id="1042" w:name="_Toc45131547"/>
      <w:bookmarkStart w:id="1043" w:name="_Toc49775832"/>
      <w:bookmarkStart w:id="1044" w:name="_Toc51746752"/>
      <w:bookmarkStart w:id="1045" w:name="_Toc66360294"/>
      <w:bookmarkStart w:id="1046" w:name="_Toc68104799"/>
      <w:bookmarkStart w:id="1047" w:name="_Toc74755428"/>
      <w:bookmarkStart w:id="1048" w:name="_Toc105674283"/>
      <w:bookmarkStart w:id="1049" w:name="_Toc130502316"/>
      <w:bookmarkStart w:id="1050" w:name="_Toc153625095"/>
      <w:r w:rsidRPr="000A0A5F">
        <w:t>5.2.1.2.1</w:t>
      </w:r>
      <w:r w:rsidRPr="000A0A5F">
        <w:tab/>
        <w:t>Type: SponsorInformation</w:t>
      </w:r>
      <w:bookmarkEnd w:id="1039"/>
      <w:bookmarkEnd w:id="1040"/>
      <w:bookmarkEnd w:id="1041"/>
      <w:bookmarkEnd w:id="1042"/>
      <w:bookmarkEnd w:id="1043"/>
      <w:bookmarkEnd w:id="1044"/>
      <w:bookmarkEnd w:id="1045"/>
      <w:bookmarkEnd w:id="1046"/>
      <w:bookmarkEnd w:id="1047"/>
      <w:bookmarkEnd w:id="1048"/>
      <w:bookmarkEnd w:id="1049"/>
      <w:bookmarkEnd w:id="1050"/>
    </w:p>
    <w:p w:rsidR="00CB0DD7" w:rsidRPr="000A0A5F" w:rsidRDefault="00CB0DD7">
      <w:r w:rsidRPr="000A0A5F">
        <w:t>This type represents a sponsor information. It shall comply with the provisions defined in table 5.2.1.2.1-1.</w:t>
      </w:r>
    </w:p>
    <w:p w:rsidR="00CB0DD7" w:rsidRPr="000A0A5F" w:rsidRDefault="00CB0DD7">
      <w:pPr>
        <w:pStyle w:val="TH"/>
      </w:pPr>
      <w:r w:rsidRPr="000A0A5F">
        <w:t>Table 5.2.1.2.1-1: Definition of the SponsorInformation data type</w:t>
      </w:r>
    </w:p>
    <w:tbl>
      <w:tblPr>
        <w:tblW w:w="5122"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870"/>
        <w:gridCol w:w="2068"/>
        <w:gridCol w:w="1323"/>
        <w:gridCol w:w="4837"/>
      </w:tblGrid>
      <w:tr w:rsidR="00CB0DD7" w:rsidRPr="000A0A5F" w:rsidTr="001B4357">
        <w:tc>
          <w:tcPr>
            <w:tcW w:w="926" w:type="pct"/>
            <w:shd w:val="clear" w:color="auto" w:fill="C0C0C0"/>
            <w:tcMar>
              <w:top w:w="0" w:type="dxa"/>
              <w:left w:w="108" w:type="dxa"/>
              <w:bottom w:w="0" w:type="dxa"/>
              <w:right w:w="108" w:type="dxa"/>
            </w:tcMar>
          </w:tcPr>
          <w:p w:rsidR="00CB0DD7" w:rsidRPr="000A0A5F" w:rsidRDefault="00CB0DD7">
            <w:pPr>
              <w:pStyle w:val="TAH"/>
            </w:pPr>
            <w:r w:rsidRPr="000A0A5F">
              <w:t>Attribute name</w:t>
            </w:r>
          </w:p>
        </w:tc>
        <w:tc>
          <w:tcPr>
            <w:tcW w:w="1024" w:type="pct"/>
            <w:shd w:val="clear" w:color="auto" w:fill="C0C0C0"/>
            <w:tcMar>
              <w:top w:w="0" w:type="dxa"/>
              <w:left w:w="108" w:type="dxa"/>
              <w:bottom w:w="0" w:type="dxa"/>
              <w:right w:w="108" w:type="dxa"/>
            </w:tcMar>
          </w:tcPr>
          <w:p w:rsidR="00CB0DD7" w:rsidRPr="000A0A5F" w:rsidRDefault="00CB0DD7">
            <w:pPr>
              <w:pStyle w:val="TAH"/>
            </w:pPr>
            <w:r w:rsidRPr="000A0A5F">
              <w:t>Data type</w:t>
            </w:r>
          </w:p>
        </w:tc>
        <w:tc>
          <w:tcPr>
            <w:tcW w:w="655" w:type="pct"/>
            <w:shd w:val="clear" w:color="auto" w:fill="C0C0C0"/>
            <w:tcMar>
              <w:top w:w="0" w:type="dxa"/>
              <w:left w:w="108" w:type="dxa"/>
              <w:bottom w:w="0" w:type="dxa"/>
              <w:right w:w="108" w:type="dxa"/>
            </w:tcMar>
          </w:tcPr>
          <w:p w:rsidR="00CB0DD7" w:rsidRPr="000A0A5F" w:rsidRDefault="00CB0DD7">
            <w:pPr>
              <w:pStyle w:val="TAH"/>
            </w:pPr>
            <w:r w:rsidRPr="000A0A5F">
              <w:t>Cardinality</w:t>
            </w:r>
          </w:p>
        </w:tc>
        <w:tc>
          <w:tcPr>
            <w:tcW w:w="2395" w:type="pct"/>
            <w:shd w:val="clear" w:color="auto" w:fill="C0C0C0"/>
            <w:tcMar>
              <w:top w:w="0" w:type="dxa"/>
              <w:left w:w="108" w:type="dxa"/>
              <w:bottom w:w="0" w:type="dxa"/>
              <w:right w:w="108" w:type="dxa"/>
            </w:tcMar>
          </w:tcPr>
          <w:p w:rsidR="00CB0DD7" w:rsidRPr="000A0A5F" w:rsidRDefault="00CB0DD7">
            <w:pPr>
              <w:pStyle w:val="TAH"/>
            </w:pPr>
            <w:r w:rsidRPr="000A0A5F">
              <w:t>Description</w:t>
            </w:r>
          </w:p>
        </w:tc>
      </w:tr>
      <w:tr w:rsidR="00CB0DD7" w:rsidRPr="000A0A5F" w:rsidTr="001B4357">
        <w:tc>
          <w:tcPr>
            <w:tcW w:w="926" w:type="pct"/>
            <w:shd w:val="clear" w:color="auto" w:fill="auto"/>
            <w:tcMar>
              <w:top w:w="0" w:type="dxa"/>
              <w:left w:w="108" w:type="dxa"/>
              <w:bottom w:w="0" w:type="dxa"/>
              <w:right w:w="108" w:type="dxa"/>
            </w:tcMar>
          </w:tcPr>
          <w:p w:rsidR="00CB0DD7" w:rsidRPr="000A0A5F" w:rsidRDefault="00CB0DD7">
            <w:pPr>
              <w:pStyle w:val="TAL"/>
            </w:pPr>
            <w:r w:rsidRPr="000A0A5F">
              <w:t>sponsorId</w:t>
            </w:r>
          </w:p>
        </w:tc>
        <w:tc>
          <w:tcPr>
            <w:tcW w:w="1024" w:type="pct"/>
            <w:shd w:val="clear" w:color="auto" w:fill="auto"/>
            <w:tcMar>
              <w:top w:w="0" w:type="dxa"/>
              <w:left w:w="108" w:type="dxa"/>
              <w:bottom w:w="0" w:type="dxa"/>
              <w:right w:w="108" w:type="dxa"/>
            </w:tcMar>
          </w:tcPr>
          <w:p w:rsidR="00CB0DD7" w:rsidRPr="000A0A5F" w:rsidRDefault="00CB0DD7">
            <w:pPr>
              <w:pStyle w:val="TAL"/>
            </w:pPr>
            <w:r w:rsidRPr="000A0A5F">
              <w:t>string</w:t>
            </w:r>
          </w:p>
        </w:tc>
        <w:tc>
          <w:tcPr>
            <w:tcW w:w="655" w:type="pct"/>
            <w:shd w:val="clear" w:color="auto" w:fill="auto"/>
            <w:tcMar>
              <w:top w:w="0" w:type="dxa"/>
              <w:left w:w="108" w:type="dxa"/>
              <w:bottom w:w="0" w:type="dxa"/>
              <w:right w:w="108" w:type="dxa"/>
            </w:tcMar>
          </w:tcPr>
          <w:p w:rsidR="00CB0DD7" w:rsidRPr="000A0A5F" w:rsidRDefault="00CB0DD7">
            <w:pPr>
              <w:pStyle w:val="TAL"/>
            </w:pPr>
            <w:r w:rsidRPr="000A0A5F">
              <w:t>1</w:t>
            </w:r>
          </w:p>
        </w:tc>
        <w:tc>
          <w:tcPr>
            <w:tcW w:w="2395" w:type="pct"/>
            <w:shd w:val="clear" w:color="auto" w:fill="auto"/>
            <w:tcMar>
              <w:top w:w="0" w:type="dxa"/>
              <w:left w:w="108" w:type="dxa"/>
              <w:bottom w:w="0" w:type="dxa"/>
              <w:right w:w="108" w:type="dxa"/>
            </w:tcMar>
          </w:tcPr>
          <w:p w:rsidR="00CB0DD7" w:rsidRPr="000A0A5F" w:rsidRDefault="00CB0DD7">
            <w:pPr>
              <w:pStyle w:val="TAL"/>
            </w:pPr>
            <w:r w:rsidRPr="000A0A5F">
              <w:t>It indicates Sponsor ID.</w:t>
            </w:r>
          </w:p>
        </w:tc>
      </w:tr>
      <w:tr w:rsidR="00CB0DD7" w:rsidRPr="000A0A5F" w:rsidTr="001B4357">
        <w:tc>
          <w:tcPr>
            <w:tcW w:w="926" w:type="pct"/>
            <w:shd w:val="clear" w:color="auto" w:fill="auto"/>
            <w:tcMar>
              <w:top w:w="0" w:type="dxa"/>
              <w:left w:w="108" w:type="dxa"/>
              <w:bottom w:w="0" w:type="dxa"/>
              <w:right w:w="108" w:type="dxa"/>
            </w:tcMar>
          </w:tcPr>
          <w:p w:rsidR="00CB0DD7" w:rsidRPr="000A0A5F" w:rsidRDefault="00CB0DD7">
            <w:pPr>
              <w:pStyle w:val="TAL"/>
            </w:pPr>
            <w:r w:rsidRPr="000A0A5F">
              <w:t>aspId</w:t>
            </w:r>
          </w:p>
        </w:tc>
        <w:tc>
          <w:tcPr>
            <w:tcW w:w="1024" w:type="pct"/>
            <w:shd w:val="clear" w:color="auto" w:fill="auto"/>
            <w:tcMar>
              <w:top w:w="0" w:type="dxa"/>
              <w:left w:w="108" w:type="dxa"/>
              <w:bottom w:w="0" w:type="dxa"/>
              <w:right w:w="108" w:type="dxa"/>
            </w:tcMar>
          </w:tcPr>
          <w:p w:rsidR="00CB0DD7" w:rsidRPr="000A0A5F" w:rsidRDefault="00CB0DD7">
            <w:pPr>
              <w:pStyle w:val="TAL"/>
            </w:pPr>
            <w:r w:rsidRPr="000A0A5F">
              <w:t>string</w:t>
            </w:r>
          </w:p>
        </w:tc>
        <w:tc>
          <w:tcPr>
            <w:tcW w:w="655" w:type="pct"/>
            <w:shd w:val="clear" w:color="auto" w:fill="auto"/>
            <w:tcMar>
              <w:top w:w="0" w:type="dxa"/>
              <w:left w:w="108" w:type="dxa"/>
              <w:bottom w:w="0" w:type="dxa"/>
              <w:right w:w="108" w:type="dxa"/>
            </w:tcMar>
          </w:tcPr>
          <w:p w:rsidR="00CB0DD7" w:rsidRPr="000A0A5F" w:rsidRDefault="00CB0DD7">
            <w:pPr>
              <w:pStyle w:val="TAL"/>
            </w:pPr>
            <w:r w:rsidRPr="000A0A5F">
              <w:t>1</w:t>
            </w:r>
          </w:p>
        </w:tc>
        <w:tc>
          <w:tcPr>
            <w:tcW w:w="2395" w:type="pct"/>
            <w:shd w:val="clear" w:color="auto" w:fill="auto"/>
            <w:tcMar>
              <w:top w:w="0" w:type="dxa"/>
              <w:left w:w="108" w:type="dxa"/>
              <w:bottom w:w="0" w:type="dxa"/>
              <w:right w:w="108" w:type="dxa"/>
            </w:tcMar>
          </w:tcPr>
          <w:p w:rsidR="00CB0DD7" w:rsidRPr="000A0A5F" w:rsidRDefault="00CB0DD7">
            <w:pPr>
              <w:pStyle w:val="TAL"/>
            </w:pPr>
            <w:r w:rsidRPr="000A0A5F">
              <w:t>It indicates Application Service Provider ID.</w:t>
            </w:r>
          </w:p>
        </w:tc>
      </w:tr>
    </w:tbl>
    <w:p w:rsidR="00CB0DD7" w:rsidRPr="000A0A5F" w:rsidRDefault="00CB0DD7"/>
    <w:p w:rsidR="00CB0DD7" w:rsidRPr="000A0A5F" w:rsidRDefault="00CB0DD7">
      <w:pPr>
        <w:pStyle w:val="Heading5"/>
      </w:pPr>
      <w:bookmarkStart w:id="1051" w:name="_Toc11247254"/>
      <w:bookmarkStart w:id="1052" w:name="_Toc27044374"/>
      <w:bookmarkStart w:id="1053" w:name="_Toc36033416"/>
      <w:bookmarkStart w:id="1054" w:name="_Toc45131548"/>
      <w:bookmarkStart w:id="1055" w:name="_Toc49775833"/>
      <w:bookmarkStart w:id="1056" w:name="_Toc51746753"/>
      <w:bookmarkStart w:id="1057" w:name="_Toc66360295"/>
      <w:bookmarkStart w:id="1058" w:name="_Toc68104800"/>
      <w:bookmarkStart w:id="1059" w:name="_Toc74755429"/>
      <w:bookmarkStart w:id="1060" w:name="_Toc105674284"/>
      <w:bookmarkStart w:id="1061" w:name="_Toc130502317"/>
      <w:bookmarkStart w:id="1062" w:name="_Toc153625096"/>
      <w:r w:rsidRPr="000A0A5F">
        <w:t>5.2.1.2.2</w:t>
      </w:r>
      <w:r w:rsidRPr="000A0A5F">
        <w:tab/>
        <w:t>Type: UsageThreshold</w:t>
      </w:r>
      <w:bookmarkEnd w:id="1051"/>
      <w:bookmarkEnd w:id="1052"/>
      <w:bookmarkEnd w:id="1053"/>
      <w:bookmarkEnd w:id="1054"/>
      <w:bookmarkEnd w:id="1055"/>
      <w:bookmarkEnd w:id="1056"/>
      <w:bookmarkEnd w:id="1057"/>
      <w:bookmarkEnd w:id="1058"/>
      <w:bookmarkEnd w:id="1059"/>
      <w:bookmarkEnd w:id="1060"/>
      <w:bookmarkEnd w:id="1061"/>
      <w:bookmarkEnd w:id="1062"/>
    </w:p>
    <w:p w:rsidR="00CB0DD7" w:rsidRPr="000A0A5F" w:rsidRDefault="00CB0DD7">
      <w:r w:rsidRPr="000A0A5F">
        <w:t>This type represents a usage threshold. It shall comply with the provisions defined in table 5.2.1.2.2-1.</w:t>
      </w:r>
    </w:p>
    <w:p w:rsidR="00CB0DD7" w:rsidRPr="000A0A5F" w:rsidRDefault="00CB0DD7">
      <w:r w:rsidRPr="000A0A5F">
        <w:t xml:space="preserve">Only one of DownlinkVolume, UplinkVolume and TotalVolume shall be provided. </w:t>
      </w:r>
      <w:r w:rsidRPr="000A0A5F">
        <w:rPr>
          <w:rFonts w:cs="Arial"/>
        </w:rPr>
        <w:t>If the server supports both duration and volume, then the first threshold that has been reached will apply.</w:t>
      </w:r>
    </w:p>
    <w:p w:rsidR="00CB0DD7" w:rsidRPr="000A0A5F" w:rsidRDefault="00CB0DD7">
      <w:pPr>
        <w:pStyle w:val="TH"/>
      </w:pPr>
      <w:r w:rsidRPr="000A0A5F">
        <w:t>Table 5.2.1.2.2-1: Definition of the UsageThreshold data type</w:t>
      </w:r>
    </w:p>
    <w:tbl>
      <w:tblPr>
        <w:tblW w:w="5122"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870"/>
        <w:gridCol w:w="2068"/>
        <w:gridCol w:w="1323"/>
        <w:gridCol w:w="4837"/>
      </w:tblGrid>
      <w:tr w:rsidR="00CB0DD7" w:rsidRPr="000A0A5F" w:rsidTr="001B4357">
        <w:tc>
          <w:tcPr>
            <w:tcW w:w="926" w:type="pct"/>
            <w:shd w:val="clear" w:color="auto" w:fill="C0C0C0"/>
            <w:tcMar>
              <w:top w:w="0" w:type="dxa"/>
              <w:left w:w="108" w:type="dxa"/>
              <w:bottom w:w="0" w:type="dxa"/>
              <w:right w:w="108" w:type="dxa"/>
            </w:tcMar>
          </w:tcPr>
          <w:p w:rsidR="00CB0DD7" w:rsidRPr="000A0A5F" w:rsidRDefault="00CB0DD7">
            <w:pPr>
              <w:pStyle w:val="TAH"/>
            </w:pPr>
            <w:r w:rsidRPr="000A0A5F">
              <w:t>Attribute name</w:t>
            </w:r>
          </w:p>
        </w:tc>
        <w:tc>
          <w:tcPr>
            <w:tcW w:w="1024" w:type="pct"/>
            <w:shd w:val="clear" w:color="auto" w:fill="C0C0C0"/>
            <w:tcMar>
              <w:top w:w="0" w:type="dxa"/>
              <w:left w:w="108" w:type="dxa"/>
              <w:bottom w:w="0" w:type="dxa"/>
              <w:right w:w="108" w:type="dxa"/>
            </w:tcMar>
          </w:tcPr>
          <w:p w:rsidR="00CB0DD7" w:rsidRPr="000A0A5F" w:rsidRDefault="00CB0DD7">
            <w:pPr>
              <w:pStyle w:val="TAH"/>
            </w:pPr>
            <w:r w:rsidRPr="000A0A5F">
              <w:t>Data type</w:t>
            </w:r>
          </w:p>
        </w:tc>
        <w:tc>
          <w:tcPr>
            <w:tcW w:w="655" w:type="pct"/>
            <w:shd w:val="clear" w:color="auto" w:fill="C0C0C0"/>
            <w:tcMar>
              <w:top w:w="0" w:type="dxa"/>
              <w:left w:w="108" w:type="dxa"/>
              <w:bottom w:w="0" w:type="dxa"/>
              <w:right w:w="108" w:type="dxa"/>
            </w:tcMar>
          </w:tcPr>
          <w:p w:rsidR="00CB0DD7" w:rsidRPr="000A0A5F" w:rsidRDefault="00CB0DD7">
            <w:pPr>
              <w:pStyle w:val="TAH"/>
            </w:pPr>
            <w:r w:rsidRPr="000A0A5F">
              <w:t>Cardinality</w:t>
            </w:r>
          </w:p>
        </w:tc>
        <w:tc>
          <w:tcPr>
            <w:tcW w:w="2395" w:type="pct"/>
            <w:shd w:val="clear" w:color="auto" w:fill="C0C0C0"/>
            <w:tcMar>
              <w:top w:w="0" w:type="dxa"/>
              <w:left w:w="108" w:type="dxa"/>
              <w:bottom w:w="0" w:type="dxa"/>
              <w:right w:w="108" w:type="dxa"/>
            </w:tcMar>
          </w:tcPr>
          <w:p w:rsidR="00CB0DD7" w:rsidRPr="000A0A5F" w:rsidRDefault="00CB0DD7">
            <w:pPr>
              <w:pStyle w:val="TAH"/>
            </w:pPr>
            <w:r w:rsidRPr="000A0A5F">
              <w:t>Description</w:t>
            </w:r>
          </w:p>
        </w:tc>
      </w:tr>
      <w:tr w:rsidR="00CB0DD7" w:rsidRPr="000A0A5F" w:rsidTr="001B4357">
        <w:tc>
          <w:tcPr>
            <w:tcW w:w="926" w:type="pct"/>
            <w:shd w:val="clear" w:color="auto" w:fill="auto"/>
            <w:tcMar>
              <w:top w:w="0" w:type="dxa"/>
              <w:left w:w="108" w:type="dxa"/>
              <w:bottom w:w="0" w:type="dxa"/>
              <w:right w:w="108" w:type="dxa"/>
            </w:tcMar>
          </w:tcPr>
          <w:p w:rsidR="00CB0DD7" w:rsidRPr="000A0A5F" w:rsidRDefault="00CB0DD7">
            <w:pPr>
              <w:pStyle w:val="TAL"/>
            </w:pPr>
            <w:r w:rsidRPr="000A0A5F">
              <w:t>duration</w:t>
            </w:r>
          </w:p>
        </w:tc>
        <w:tc>
          <w:tcPr>
            <w:tcW w:w="1024" w:type="pct"/>
            <w:shd w:val="clear" w:color="auto" w:fill="auto"/>
            <w:tcMar>
              <w:top w:w="0" w:type="dxa"/>
              <w:left w:w="108" w:type="dxa"/>
              <w:bottom w:w="0" w:type="dxa"/>
              <w:right w:w="108" w:type="dxa"/>
            </w:tcMar>
          </w:tcPr>
          <w:p w:rsidR="00CB0DD7" w:rsidRPr="000A0A5F" w:rsidRDefault="00CB0DD7">
            <w:pPr>
              <w:pStyle w:val="TAL"/>
            </w:pPr>
            <w:r w:rsidRPr="000A0A5F">
              <w:t>DurationSec</w:t>
            </w:r>
          </w:p>
        </w:tc>
        <w:tc>
          <w:tcPr>
            <w:tcW w:w="655" w:type="pct"/>
            <w:shd w:val="clear" w:color="auto" w:fill="auto"/>
            <w:tcMar>
              <w:top w:w="0" w:type="dxa"/>
              <w:left w:w="108" w:type="dxa"/>
              <w:bottom w:w="0" w:type="dxa"/>
              <w:right w:w="108" w:type="dxa"/>
            </w:tcMar>
          </w:tcPr>
          <w:p w:rsidR="00CB0DD7" w:rsidRPr="000A0A5F" w:rsidRDefault="00CB0DD7">
            <w:pPr>
              <w:pStyle w:val="TAL"/>
            </w:pPr>
            <w:r w:rsidRPr="000A0A5F">
              <w:t>0..1</w:t>
            </w:r>
          </w:p>
        </w:tc>
        <w:tc>
          <w:tcPr>
            <w:tcW w:w="2395" w:type="pct"/>
            <w:shd w:val="clear" w:color="auto" w:fill="auto"/>
            <w:tcMar>
              <w:top w:w="0" w:type="dxa"/>
              <w:left w:w="108" w:type="dxa"/>
              <w:bottom w:w="0" w:type="dxa"/>
              <w:right w:w="108" w:type="dxa"/>
            </w:tcMar>
          </w:tcPr>
          <w:p w:rsidR="00CB0DD7" w:rsidRPr="000A0A5F" w:rsidRDefault="00CB0DD7">
            <w:pPr>
              <w:pageBreakBefo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hAnsi="Arial"/>
                <w:sz w:val="18"/>
              </w:rPr>
            </w:pPr>
            <w:r w:rsidRPr="000A0A5F">
              <w:rPr>
                <w:rFonts w:ascii="Arial" w:hAnsi="Arial"/>
                <w:sz w:val="18"/>
              </w:rPr>
              <w:t>Indicates the length of time in seconds</w:t>
            </w:r>
          </w:p>
        </w:tc>
      </w:tr>
      <w:tr w:rsidR="00CB0DD7" w:rsidRPr="000A0A5F" w:rsidTr="001B4357">
        <w:tc>
          <w:tcPr>
            <w:tcW w:w="926" w:type="pct"/>
            <w:shd w:val="clear" w:color="auto" w:fill="auto"/>
            <w:tcMar>
              <w:top w:w="0" w:type="dxa"/>
              <w:left w:w="108" w:type="dxa"/>
              <w:bottom w:w="0" w:type="dxa"/>
              <w:right w:w="108" w:type="dxa"/>
            </w:tcMar>
          </w:tcPr>
          <w:p w:rsidR="00CB0DD7" w:rsidRPr="000A0A5F" w:rsidRDefault="00CB0DD7">
            <w:pPr>
              <w:pStyle w:val="TAL"/>
            </w:pPr>
            <w:r w:rsidRPr="000A0A5F">
              <w:t>totalVolume</w:t>
            </w:r>
          </w:p>
        </w:tc>
        <w:tc>
          <w:tcPr>
            <w:tcW w:w="1024" w:type="pct"/>
            <w:shd w:val="clear" w:color="auto" w:fill="auto"/>
            <w:tcMar>
              <w:top w:w="0" w:type="dxa"/>
              <w:left w:w="108" w:type="dxa"/>
              <w:bottom w:w="0" w:type="dxa"/>
              <w:right w:w="108" w:type="dxa"/>
            </w:tcMar>
          </w:tcPr>
          <w:p w:rsidR="00CB0DD7" w:rsidRPr="000A0A5F" w:rsidRDefault="00CB0DD7">
            <w:pPr>
              <w:pStyle w:val="TAL"/>
            </w:pPr>
            <w:r w:rsidRPr="000A0A5F">
              <w:t>Volume</w:t>
            </w:r>
          </w:p>
        </w:tc>
        <w:tc>
          <w:tcPr>
            <w:tcW w:w="655" w:type="pct"/>
            <w:shd w:val="clear" w:color="auto" w:fill="auto"/>
            <w:tcMar>
              <w:top w:w="0" w:type="dxa"/>
              <w:left w:w="108" w:type="dxa"/>
              <w:bottom w:w="0" w:type="dxa"/>
              <w:right w:w="108" w:type="dxa"/>
            </w:tcMar>
          </w:tcPr>
          <w:p w:rsidR="00CB0DD7" w:rsidRPr="000A0A5F" w:rsidRDefault="00CB0DD7">
            <w:pPr>
              <w:pStyle w:val="TAL"/>
            </w:pPr>
            <w:r w:rsidRPr="000A0A5F">
              <w:t>0..1</w:t>
            </w:r>
          </w:p>
        </w:tc>
        <w:tc>
          <w:tcPr>
            <w:tcW w:w="2395" w:type="pct"/>
            <w:shd w:val="clear" w:color="auto" w:fill="auto"/>
            <w:tcMar>
              <w:top w:w="0" w:type="dxa"/>
              <w:left w:w="108" w:type="dxa"/>
              <w:bottom w:w="0" w:type="dxa"/>
              <w:right w:w="108" w:type="dxa"/>
            </w:tcMar>
          </w:tcPr>
          <w:p w:rsidR="00CB0DD7" w:rsidRPr="000A0A5F" w:rsidRDefault="00CB0DD7">
            <w:pPr>
              <w:pStyle w:val="TAL"/>
            </w:pPr>
            <w:r w:rsidRPr="000A0A5F">
              <w:t>Total data octets for both downlink and uplink</w:t>
            </w:r>
          </w:p>
        </w:tc>
      </w:tr>
      <w:tr w:rsidR="00CB0DD7" w:rsidRPr="000A0A5F" w:rsidTr="001B4357">
        <w:tc>
          <w:tcPr>
            <w:tcW w:w="926" w:type="pct"/>
            <w:shd w:val="clear" w:color="auto" w:fill="auto"/>
            <w:tcMar>
              <w:top w:w="0" w:type="dxa"/>
              <w:left w:w="108" w:type="dxa"/>
              <w:bottom w:w="0" w:type="dxa"/>
              <w:right w:w="108" w:type="dxa"/>
            </w:tcMar>
          </w:tcPr>
          <w:p w:rsidR="00CB0DD7" w:rsidRPr="000A0A5F" w:rsidRDefault="00CB0DD7">
            <w:pPr>
              <w:pStyle w:val="TAL"/>
            </w:pPr>
            <w:r w:rsidRPr="000A0A5F">
              <w:t>downlinkVolume</w:t>
            </w:r>
          </w:p>
        </w:tc>
        <w:tc>
          <w:tcPr>
            <w:tcW w:w="1024" w:type="pct"/>
            <w:shd w:val="clear" w:color="auto" w:fill="auto"/>
            <w:tcMar>
              <w:top w:w="0" w:type="dxa"/>
              <w:left w:w="108" w:type="dxa"/>
              <w:bottom w:w="0" w:type="dxa"/>
              <w:right w:w="108" w:type="dxa"/>
            </w:tcMar>
          </w:tcPr>
          <w:p w:rsidR="00CB0DD7" w:rsidRPr="000A0A5F" w:rsidRDefault="00CB0DD7">
            <w:pPr>
              <w:pStyle w:val="TAL"/>
            </w:pPr>
            <w:r w:rsidRPr="000A0A5F">
              <w:t>Volume</w:t>
            </w:r>
          </w:p>
        </w:tc>
        <w:tc>
          <w:tcPr>
            <w:tcW w:w="655" w:type="pct"/>
            <w:shd w:val="clear" w:color="auto" w:fill="auto"/>
            <w:tcMar>
              <w:top w:w="0" w:type="dxa"/>
              <w:left w:w="108" w:type="dxa"/>
              <w:bottom w:w="0" w:type="dxa"/>
              <w:right w:w="108" w:type="dxa"/>
            </w:tcMar>
          </w:tcPr>
          <w:p w:rsidR="00CB0DD7" w:rsidRPr="000A0A5F" w:rsidRDefault="00CB0DD7">
            <w:pPr>
              <w:pStyle w:val="TAL"/>
            </w:pPr>
            <w:r w:rsidRPr="000A0A5F">
              <w:t>0..1</w:t>
            </w:r>
          </w:p>
        </w:tc>
        <w:tc>
          <w:tcPr>
            <w:tcW w:w="2395" w:type="pct"/>
            <w:shd w:val="clear" w:color="auto" w:fill="auto"/>
            <w:tcMar>
              <w:top w:w="0" w:type="dxa"/>
              <w:left w:w="108" w:type="dxa"/>
              <w:bottom w:w="0" w:type="dxa"/>
              <w:right w:w="108" w:type="dxa"/>
            </w:tcMar>
          </w:tcPr>
          <w:p w:rsidR="00CB0DD7" w:rsidRPr="000A0A5F" w:rsidRDefault="00CB0DD7">
            <w:pPr>
              <w:pStyle w:val="TAL"/>
            </w:pPr>
            <w:r w:rsidRPr="000A0A5F">
              <w:t>Downlink data octets</w:t>
            </w:r>
          </w:p>
        </w:tc>
      </w:tr>
      <w:tr w:rsidR="00CB0DD7" w:rsidRPr="000A0A5F" w:rsidTr="001B4357">
        <w:tc>
          <w:tcPr>
            <w:tcW w:w="926" w:type="pct"/>
            <w:shd w:val="clear" w:color="auto" w:fill="auto"/>
            <w:tcMar>
              <w:top w:w="0" w:type="dxa"/>
              <w:left w:w="108" w:type="dxa"/>
              <w:bottom w:w="0" w:type="dxa"/>
              <w:right w:w="108" w:type="dxa"/>
            </w:tcMar>
          </w:tcPr>
          <w:p w:rsidR="00CB0DD7" w:rsidRPr="000A0A5F" w:rsidRDefault="00CB0DD7">
            <w:pPr>
              <w:pStyle w:val="TAL"/>
            </w:pPr>
            <w:r w:rsidRPr="000A0A5F">
              <w:t>uplinkVolume</w:t>
            </w:r>
          </w:p>
        </w:tc>
        <w:tc>
          <w:tcPr>
            <w:tcW w:w="1024" w:type="pct"/>
            <w:shd w:val="clear" w:color="auto" w:fill="auto"/>
            <w:tcMar>
              <w:top w:w="0" w:type="dxa"/>
              <w:left w:w="108" w:type="dxa"/>
              <w:bottom w:w="0" w:type="dxa"/>
              <w:right w:w="108" w:type="dxa"/>
            </w:tcMar>
          </w:tcPr>
          <w:p w:rsidR="00CB0DD7" w:rsidRPr="000A0A5F" w:rsidRDefault="00CB0DD7">
            <w:pPr>
              <w:pStyle w:val="TAL"/>
            </w:pPr>
            <w:r w:rsidRPr="000A0A5F">
              <w:t>Volume</w:t>
            </w:r>
          </w:p>
        </w:tc>
        <w:tc>
          <w:tcPr>
            <w:tcW w:w="655" w:type="pct"/>
            <w:shd w:val="clear" w:color="auto" w:fill="auto"/>
            <w:tcMar>
              <w:top w:w="0" w:type="dxa"/>
              <w:left w:w="108" w:type="dxa"/>
              <w:bottom w:w="0" w:type="dxa"/>
              <w:right w:w="108" w:type="dxa"/>
            </w:tcMar>
          </w:tcPr>
          <w:p w:rsidR="00CB0DD7" w:rsidRPr="000A0A5F" w:rsidRDefault="00CB0DD7">
            <w:pPr>
              <w:pStyle w:val="TAL"/>
            </w:pPr>
            <w:r w:rsidRPr="000A0A5F">
              <w:t>0..1</w:t>
            </w:r>
          </w:p>
        </w:tc>
        <w:tc>
          <w:tcPr>
            <w:tcW w:w="2395" w:type="pct"/>
            <w:shd w:val="clear" w:color="auto" w:fill="auto"/>
            <w:tcMar>
              <w:top w:w="0" w:type="dxa"/>
              <w:left w:w="108" w:type="dxa"/>
              <w:bottom w:w="0" w:type="dxa"/>
              <w:right w:w="108" w:type="dxa"/>
            </w:tcMar>
          </w:tcPr>
          <w:p w:rsidR="00CB0DD7" w:rsidRPr="000A0A5F" w:rsidRDefault="00CB0DD7">
            <w:pPr>
              <w:pStyle w:val="TAL"/>
            </w:pPr>
            <w:r w:rsidRPr="000A0A5F">
              <w:t>Uplink data octets</w:t>
            </w:r>
          </w:p>
        </w:tc>
      </w:tr>
    </w:tbl>
    <w:p w:rsidR="00CB0DD7" w:rsidRPr="000A0A5F" w:rsidRDefault="00CB0DD7"/>
    <w:p w:rsidR="00CB0DD7" w:rsidRPr="000A0A5F" w:rsidRDefault="00CB0DD7">
      <w:pPr>
        <w:pStyle w:val="Heading5"/>
      </w:pPr>
      <w:bookmarkStart w:id="1063" w:name="_Toc11247255"/>
      <w:bookmarkStart w:id="1064" w:name="_Toc27044375"/>
      <w:bookmarkStart w:id="1065" w:name="_Toc36033417"/>
      <w:bookmarkStart w:id="1066" w:name="_Toc45131549"/>
      <w:bookmarkStart w:id="1067" w:name="_Toc49775834"/>
      <w:bookmarkStart w:id="1068" w:name="_Toc51746754"/>
      <w:bookmarkStart w:id="1069" w:name="_Toc66360296"/>
      <w:bookmarkStart w:id="1070" w:name="_Toc68104801"/>
      <w:bookmarkStart w:id="1071" w:name="_Toc74755430"/>
      <w:bookmarkStart w:id="1072" w:name="_Toc105674285"/>
      <w:bookmarkStart w:id="1073" w:name="_Toc130502318"/>
      <w:bookmarkStart w:id="1074" w:name="_Toc153625097"/>
      <w:r w:rsidRPr="000A0A5F">
        <w:t>5.2.1.2.3</w:t>
      </w:r>
      <w:r w:rsidRPr="000A0A5F">
        <w:tab/>
        <w:t xml:space="preserve">Type: </w:t>
      </w:r>
      <w:r w:rsidRPr="000A0A5F">
        <w:rPr>
          <w:rFonts w:eastAsia="Times New Roman"/>
        </w:rPr>
        <w:t>TimeWindow</w:t>
      </w:r>
      <w:bookmarkEnd w:id="1063"/>
      <w:bookmarkEnd w:id="1064"/>
      <w:bookmarkEnd w:id="1065"/>
      <w:bookmarkEnd w:id="1066"/>
      <w:bookmarkEnd w:id="1067"/>
      <w:bookmarkEnd w:id="1068"/>
      <w:bookmarkEnd w:id="1069"/>
      <w:bookmarkEnd w:id="1070"/>
      <w:bookmarkEnd w:id="1071"/>
      <w:bookmarkEnd w:id="1072"/>
      <w:bookmarkEnd w:id="1073"/>
      <w:bookmarkEnd w:id="1074"/>
    </w:p>
    <w:p w:rsidR="00CB0DD7" w:rsidRPr="000A0A5F" w:rsidRDefault="00CB0DD7">
      <w:r w:rsidRPr="000A0A5F">
        <w:t>This type represents a start time and a stop time of a time window. It shall comply with the provisions defined in table 5.2.1.2.3-1.</w:t>
      </w:r>
    </w:p>
    <w:p w:rsidR="00CB0DD7" w:rsidRPr="000A0A5F" w:rsidRDefault="00CB0DD7">
      <w:pPr>
        <w:pStyle w:val="TH"/>
      </w:pPr>
      <w:r w:rsidRPr="000A0A5F">
        <w:t>Table 5.2.1.2.3-1: Definition of the TimeWindow data type</w:t>
      </w:r>
    </w:p>
    <w:tbl>
      <w:tblPr>
        <w:tblW w:w="5122"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870"/>
        <w:gridCol w:w="2068"/>
        <w:gridCol w:w="1323"/>
        <w:gridCol w:w="4837"/>
      </w:tblGrid>
      <w:tr w:rsidR="00CB0DD7" w:rsidRPr="000A0A5F" w:rsidTr="001B4357">
        <w:tc>
          <w:tcPr>
            <w:tcW w:w="926" w:type="pct"/>
            <w:shd w:val="clear" w:color="auto" w:fill="C0C0C0"/>
            <w:tcMar>
              <w:top w:w="0" w:type="dxa"/>
              <w:left w:w="108" w:type="dxa"/>
              <w:bottom w:w="0" w:type="dxa"/>
              <w:right w:w="108" w:type="dxa"/>
            </w:tcMar>
          </w:tcPr>
          <w:p w:rsidR="00CB0DD7" w:rsidRPr="000A0A5F" w:rsidRDefault="00CB0DD7">
            <w:pPr>
              <w:pStyle w:val="TAH"/>
            </w:pPr>
            <w:r w:rsidRPr="000A0A5F">
              <w:t>Attribute name</w:t>
            </w:r>
          </w:p>
        </w:tc>
        <w:tc>
          <w:tcPr>
            <w:tcW w:w="1024" w:type="pct"/>
            <w:shd w:val="clear" w:color="auto" w:fill="C0C0C0"/>
            <w:tcMar>
              <w:top w:w="0" w:type="dxa"/>
              <w:left w:w="108" w:type="dxa"/>
              <w:bottom w:w="0" w:type="dxa"/>
              <w:right w:w="108" w:type="dxa"/>
            </w:tcMar>
          </w:tcPr>
          <w:p w:rsidR="00CB0DD7" w:rsidRPr="000A0A5F" w:rsidRDefault="00CB0DD7">
            <w:pPr>
              <w:pStyle w:val="TAH"/>
            </w:pPr>
            <w:r w:rsidRPr="000A0A5F">
              <w:t>Data type</w:t>
            </w:r>
          </w:p>
        </w:tc>
        <w:tc>
          <w:tcPr>
            <w:tcW w:w="655" w:type="pct"/>
            <w:shd w:val="clear" w:color="auto" w:fill="C0C0C0"/>
            <w:tcMar>
              <w:top w:w="0" w:type="dxa"/>
              <w:left w:w="108" w:type="dxa"/>
              <w:bottom w:w="0" w:type="dxa"/>
              <w:right w:w="108" w:type="dxa"/>
            </w:tcMar>
          </w:tcPr>
          <w:p w:rsidR="00CB0DD7" w:rsidRPr="000A0A5F" w:rsidRDefault="00CB0DD7">
            <w:pPr>
              <w:pStyle w:val="TAH"/>
            </w:pPr>
            <w:r w:rsidRPr="000A0A5F">
              <w:t>Cardinality</w:t>
            </w:r>
          </w:p>
        </w:tc>
        <w:tc>
          <w:tcPr>
            <w:tcW w:w="2395" w:type="pct"/>
            <w:shd w:val="clear" w:color="auto" w:fill="C0C0C0"/>
            <w:tcMar>
              <w:top w:w="0" w:type="dxa"/>
              <w:left w:w="108" w:type="dxa"/>
              <w:bottom w:w="0" w:type="dxa"/>
              <w:right w:w="108" w:type="dxa"/>
            </w:tcMar>
          </w:tcPr>
          <w:p w:rsidR="00CB0DD7" w:rsidRPr="000A0A5F" w:rsidRDefault="00CB0DD7">
            <w:pPr>
              <w:pStyle w:val="TAH"/>
            </w:pPr>
            <w:r w:rsidRPr="000A0A5F">
              <w:t>Description</w:t>
            </w:r>
          </w:p>
        </w:tc>
      </w:tr>
      <w:tr w:rsidR="00CB0DD7" w:rsidRPr="000A0A5F" w:rsidTr="001B4357">
        <w:tc>
          <w:tcPr>
            <w:tcW w:w="926" w:type="pct"/>
            <w:shd w:val="clear" w:color="auto" w:fill="auto"/>
            <w:tcMar>
              <w:top w:w="0" w:type="dxa"/>
              <w:left w:w="108" w:type="dxa"/>
              <w:bottom w:w="0" w:type="dxa"/>
              <w:right w:w="108" w:type="dxa"/>
            </w:tcMar>
          </w:tcPr>
          <w:p w:rsidR="00CB0DD7" w:rsidRPr="000A0A5F" w:rsidRDefault="00CB0DD7">
            <w:pPr>
              <w:pStyle w:val="TAL"/>
              <w:rPr>
                <w:rFonts w:eastAsia="Times New Roman"/>
              </w:rPr>
            </w:pPr>
            <w:r w:rsidRPr="000A0A5F">
              <w:rPr>
                <w:rFonts w:eastAsia="Times New Roman"/>
              </w:rPr>
              <w:t>startTime</w:t>
            </w:r>
          </w:p>
        </w:tc>
        <w:tc>
          <w:tcPr>
            <w:tcW w:w="1024" w:type="pct"/>
            <w:shd w:val="clear" w:color="auto" w:fill="auto"/>
            <w:tcMar>
              <w:top w:w="0" w:type="dxa"/>
              <w:left w:w="108" w:type="dxa"/>
              <w:bottom w:w="0" w:type="dxa"/>
              <w:right w:w="108" w:type="dxa"/>
            </w:tcMar>
          </w:tcPr>
          <w:p w:rsidR="00CB0DD7" w:rsidRPr="000A0A5F" w:rsidRDefault="00CB0DD7">
            <w:pPr>
              <w:pStyle w:val="TAL"/>
              <w:rPr>
                <w:rFonts w:eastAsia="Times New Roman"/>
              </w:rPr>
            </w:pPr>
            <w:r w:rsidRPr="000A0A5F">
              <w:t>DateTime</w:t>
            </w:r>
          </w:p>
        </w:tc>
        <w:tc>
          <w:tcPr>
            <w:tcW w:w="655" w:type="pct"/>
            <w:shd w:val="clear" w:color="auto" w:fill="auto"/>
            <w:tcMar>
              <w:top w:w="0" w:type="dxa"/>
              <w:left w:w="108" w:type="dxa"/>
              <w:bottom w:w="0" w:type="dxa"/>
              <w:right w:w="108" w:type="dxa"/>
            </w:tcMar>
          </w:tcPr>
          <w:p w:rsidR="00CB0DD7" w:rsidRPr="000A0A5F" w:rsidRDefault="00CB0DD7">
            <w:pPr>
              <w:pStyle w:val="TAL"/>
            </w:pPr>
            <w:r w:rsidRPr="000A0A5F">
              <w:t>1</w:t>
            </w:r>
          </w:p>
        </w:tc>
        <w:tc>
          <w:tcPr>
            <w:tcW w:w="2395" w:type="pct"/>
            <w:shd w:val="clear" w:color="auto" w:fill="auto"/>
            <w:tcMar>
              <w:top w:w="0" w:type="dxa"/>
              <w:left w:w="108" w:type="dxa"/>
              <w:bottom w:w="0" w:type="dxa"/>
              <w:right w:w="108" w:type="dxa"/>
            </w:tcMar>
          </w:tcPr>
          <w:p w:rsidR="00CB0DD7" w:rsidRPr="000A0A5F" w:rsidRDefault="00CB0DD7">
            <w:pPr>
              <w:pageBreakBefo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hAnsi="Arial"/>
                <w:sz w:val="18"/>
              </w:rPr>
            </w:pPr>
            <w:r w:rsidRPr="000A0A5F">
              <w:rPr>
                <w:rFonts w:ascii="Arial" w:hAnsi="Arial"/>
                <w:sz w:val="18"/>
              </w:rPr>
              <w:t>Indicates the absolute start time of the time window</w:t>
            </w:r>
          </w:p>
        </w:tc>
      </w:tr>
      <w:tr w:rsidR="00CB0DD7" w:rsidRPr="000A0A5F" w:rsidTr="001B4357">
        <w:tc>
          <w:tcPr>
            <w:tcW w:w="926" w:type="pct"/>
            <w:shd w:val="clear" w:color="auto" w:fill="auto"/>
            <w:tcMar>
              <w:top w:w="0" w:type="dxa"/>
              <w:left w:w="108" w:type="dxa"/>
              <w:bottom w:w="0" w:type="dxa"/>
              <w:right w:w="108" w:type="dxa"/>
            </w:tcMar>
          </w:tcPr>
          <w:p w:rsidR="00CB0DD7" w:rsidRPr="000A0A5F" w:rsidRDefault="00CB0DD7">
            <w:pPr>
              <w:pStyle w:val="TAL"/>
              <w:rPr>
                <w:rFonts w:eastAsia="Times New Roman"/>
              </w:rPr>
            </w:pPr>
            <w:r w:rsidRPr="000A0A5F">
              <w:rPr>
                <w:rFonts w:eastAsia="Times New Roman"/>
              </w:rPr>
              <w:t>stopTime</w:t>
            </w:r>
          </w:p>
        </w:tc>
        <w:tc>
          <w:tcPr>
            <w:tcW w:w="1024" w:type="pct"/>
            <w:shd w:val="clear" w:color="auto" w:fill="auto"/>
            <w:tcMar>
              <w:top w:w="0" w:type="dxa"/>
              <w:left w:w="108" w:type="dxa"/>
              <w:bottom w:w="0" w:type="dxa"/>
              <w:right w:w="108" w:type="dxa"/>
            </w:tcMar>
          </w:tcPr>
          <w:p w:rsidR="00CB0DD7" w:rsidRPr="000A0A5F" w:rsidRDefault="00CB0DD7">
            <w:pPr>
              <w:pStyle w:val="TAL"/>
              <w:rPr>
                <w:rFonts w:eastAsia="Times New Roman"/>
              </w:rPr>
            </w:pPr>
            <w:r w:rsidRPr="000A0A5F">
              <w:t>DateTime</w:t>
            </w:r>
          </w:p>
        </w:tc>
        <w:tc>
          <w:tcPr>
            <w:tcW w:w="655" w:type="pct"/>
            <w:shd w:val="clear" w:color="auto" w:fill="auto"/>
            <w:tcMar>
              <w:top w:w="0" w:type="dxa"/>
              <w:left w:w="108" w:type="dxa"/>
              <w:bottom w:w="0" w:type="dxa"/>
              <w:right w:w="108" w:type="dxa"/>
            </w:tcMar>
          </w:tcPr>
          <w:p w:rsidR="00CB0DD7" w:rsidRPr="000A0A5F" w:rsidRDefault="00CB0DD7">
            <w:pPr>
              <w:pStyle w:val="TAL"/>
            </w:pPr>
            <w:r w:rsidRPr="000A0A5F">
              <w:t>1</w:t>
            </w:r>
          </w:p>
        </w:tc>
        <w:tc>
          <w:tcPr>
            <w:tcW w:w="2395" w:type="pct"/>
            <w:shd w:val="clear" w:color="auto" w:fill="auto"/>
            <w:tcMar>
              <w:top w:w="0" w:type="dxa"/>
              <w:left w:w="108" w:type="dxa"/>
              <w:bottom w:w="0" w:type="dxa"/>
              <w:right w:w="108" w:type="dxa"/>
            </w:tcMar>
          </w:tcPr>
          <w:p w:rsidR="00CB0DD7" w:rsidRPr="000A0A5F" w:rsidRDefault="00CB0DD7">
            <w:pPr>
              <w:pStyle w:val="TAL"/>
            </w:pPr>
            <w:r w:rsidRPr="000A0A5F">
              <w:t>Indicates the absolute stop time of the time window</w:t>
            </w:r>
          </w:p>
        </w:tc>
      </w:tr>
    </w:tbl>
    <w:p w:rsidR="00CB0DD7" w:rsidRPr="000A0A5F" w:rsidRDefault="00CB0DD7"/>
    <w:p w:rsidR="00CB0DD7" w:rsidRPr="000A0A5F" w:rsidRDefault="00CB0DD7">
      <w:pPr>
        <w:pStyle w:val="Heading5"/>
      </w:pPr>
      <w:bookmarkStart w:id="1075" w:name="_Toc11247256"/>
      <w:bookmarkStart w:id="1076" w:name="_Toc27044376"/>
      <w:bookmarkStart w:id="1077" w:name="_Toc36033418"/>
      <w:bookmarkStart w:id="1078" w:name="_Toc45131550"/>
      <w:bookmarkStart w:id="1079" w:name="_Toc49775835"/>
      <w:bookmarkStart w:id="1080" w:name="_Toc51746755"/>
      <w:bookmarkStart w:id="1081" w:name="_Toc66360297"/>
      <w:bookmarkStart w:id="1082" w:name="_Toc68104802"/>
      <w:bookmarkStart w:id="1083" w:name="_Toc74755431"/>
      <w:bookmarkStart w:id="1084" w:name="_Toc105674286"/>
      <w:bookmarkStart w:id="1085" w:name="_Toc130502319"/>
      <w:bookmarkStart w:id="1086" w:name="_Toc153625098"/>
      <w:r w:rsidRPr="000A0A5F">
        <w:t>5.2.1.2.4</w:t>
      </w:r>
      <w:r w:rsidRPr="000A0A5F">
        <w:tab/>
        <w:t>Type: Acknowledgement</w:t>
      </w:r>
      <w:bookmarkEnd w:id="1075"/>
      <w:bookmarkEnd w:id="1076"/>
      <w:bookmarkEnd w:id="1077"/>
      <w:bookmarkEnd w:id="1078"/>
      <w:bookmarkEnd w:id="1079"/>
      <w:bookmarkEnd w:id="1080"/>
      <w:bookmarkEnd w:id="1081"/>
      <w:bookmarkEnd w:id="1082"/>
      <w:bookmarkEnd w:id="1083"/>
      <w:bookmarkEnd w:id="1084"/>
      <w:bookmarkEnd w:id="1085"/>
      <w:bookmarkEnd w:id="1086"/>
    </w:p>
    <w:p w:rsidR="00CB0DD7" w:rsidRPr="000A0A5F" w:rsidRDefault="00CB0DD7">
      <w:r w:rsidRPr="000A0A5F">
        <w:t>This type represents a successful acknowledgement for a notification.</w:t>
      </w:r>
    </w:p>
    <w:p w:rsidR="00CB0DD7" w:rsidRPr="000A0A5F" w:rsidRDefault="00CB0DD7">
      <w:pPr>
        <w:pStyle w:val="TH"/>
      </w:pPr>
      <w:r w:rsidRPr="000A0A5F">
        <w:t>Table 5.2.1.2.4-1: Definition of the Acknowledgement data type</w:t>
      </w:r>
    </w:p>
    <w:tbl>
      <w:tblPr>
        <w:tblW w:w="5122"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870"/>
        <w:gridCol w:w="2068"/>
        <w:gridCol w:w="1323"/>
        <w:gridCol w:w="4837"/>
      </w:tblGrid>
      <w:tr w:rsidR="00CB0DD7" w:rsidRPr="000A0A5F" w:rsidTr="001B4357">
        <w:tc>
          <w:tcPr>
            <w:tcW w:w="926" w:type="pct"/>
            <w:shd w:val="clear" w:color="auto" w:fill="C0C0C0"/>
            <w:tcMar>
              <w:top w:w="0" w:type="dxa"/>
              <w:left w:w="108" w:type="dxa"/>
              <w:bottom w:w="0" w:type="dxa"/>
              <w:right w:w="108" w:type="dxa"/>
            </w:tcMar>
          </w:tcPr>
          <w:p w:rsidR="00CB0DD7" w:rsidRPr="000A0A5F" w:rsidRDefault="00CB0DD7">
            <w:pPr>
              <w:pStyle w:val="TAH"/>
            </w:pPr>
            <w:r w:rsidRPr="000A0A5F">
              <w:t>Attribute name</w:t>
            </w:r>
          </w:p>
        </w:tc>
        <w:tc>
          <w:tcPr>
            <w:tcW w:w="1024" w:type="pct"/>
            <w:shd w:val="clear" w:color="auto" w:fill="C0C0C0"/>
            <w:tcMar>
              <w:top w:w="0" w:type="dxa"/>
              <w:left w:w="108" w:type="dxa"/>
              <w:bottom w:w="0" w:type="dxa"/>
              <w:right w:w="108" w:type="dxa"/>
            </w:tcMar>
          </w:tcPr>
          <w:p w:rsidR="00CB0DD7" w:rsidRPr="000A0A5F" w:rsidRDefault="00CB0DD7">
            <w:pPr>
              <w:pStyle w:val="TAH"/>
            </w:pPr>
            <w:r w:rsidRPr="000A0A5F">
              <w:t>Data type</w:t>
            </w:r>
          </w:p>
        </w:tc>
        <w:tc>
          <w:tcPr>
            <w:tcW w:w="655" w:type="pct"/>
            <w:shd w:val="clear" w:color="auto" w:fill="C0C0C0"/>
            <w:tcMar>
              <w:top w:w="0" w:type="dxa"/>
              <w:left w:w="108" w:type="dxa"/>
              <w:bottom w:w="0" w:type="dxa"/>
              <w:right w:w="108" w:type="dxa"/>
            </w:tcMar>
          </w:tcPr>
          <w:p w:rsidR="00CB0DD7" w:rsidRPr="000A0A5F" w:rsidRDefault="00CB0DD7">
            <w:pPr>
              <w:pStyle w:val="TAH"/>
            </w:pPr>
            <w:r w:rsidRPr="000A0A5F">
              <w:t>Cardinality</w:t>
            </w:r>
          </w:p>
        </w:tc>
        <w:tc>
          <w:tcPr>
            <w:tcW w:w="2395" w:type="pct"/>
            <w:shd w:val="clear" w:color="auto" w:fill="C0C0C0"/>
            <w:tcMar>
              <w:top w:w="0" w:type="dxa"/>
              <w:left w:w="108" w:type="dxa"/>
              <w:bottom w:w="0" w:type="dxa"/>
              <w:right w:w="108" w:type="dxa"/>
            </w:tcMar>
          </w:tcPr>
          <w:p w:rsidR="00CB0DD7" w:rsidRPr="000A0A5F" w:rsidRDefault="00CB0DD7">
            <w:pPr>
              <w:pStyle w:val="TAH"/>
            </w:pPr>
            <w:r w:rsidRPr="000A0A5F">
              <w:t>Description</w:t>
            </w:r>
          </w:p>
        </w:tc>
      </w:tr>
      <w:tr w:rsidR="00CB0DD7" w:rsidRPr="000A0A5F" w:rsidTr="001B4357">
        <w:tc>
          <w:tcPr>
            <w:tcW w:w="926" w:type="pct"/>
            <w:shd w:val="clear" w:color="auto" w:fill="auto"/>
            <w:tcMar>
              <w:top w:w="0" w:type="dxa"/>
              <w:left w:w="108" w:type="dxa"/>
              <w:bottom w:w="0" w:type="dxa"/>
              <w:right w:w="108" w:type="dxa"/>
            </w:tcMar>
          </w:tcPr>
          <w:p w:rsidR="00CB0DD7" w:rsidRPr="000A0A5F" w:rsidRDefault="00CB0DD7">
            <w:pPr>
              <w:pStyle w:val="TAL"/>
            </w:pPr>
            <w:r w:rsidRPr="000A0A5F">
              <w:t>details</w:t>
            </w:r>
          </w:p>
        </w:tc>
        <w:tc>
          <w:tcPr>
            <w:tcW w:w="1024" w:type="pct"/>
            <w:shd w:val="clear" w:color="auto" w:fill="auto"/>
            <w:tcMar>
              <w:top w:w="0" w:type="dxa"/>
              <w:left w:w="108" w:type="dxa"/>
              <w:bottom w:w="0" w:type="dxa"/>
              <w:right w:w="108" w:type="dxa"/>
            </w:tcMar>
          </w:tcPr>
          <w:p w:rsidR="00CB0DD7" w:rsidRPr="000A0A5F" w:rsidRDefault="00CB0DD7">
            <w:pPr>
              <w:pStyle w:val="TAL"/>
            </w:pPr>
            <w:r w:rsidRPr="000A0A5F">
              <w:t>string</w:t>
            </w:r>
          </w:p>
        </w:tc>
        <w:tc>
          <w:tcPr>
            <w:tcW w:w="655" w:type="pct"/>
            <w:shd w:val="clear" w:color="auto" w:fill="auto"/>
            <w:tcMar>
              <w:top w:w="0" w:type="dxa"/>
              <w:left w:w="108" w:type="dxa"/>
              <w:bottom w:w="0" w:type="dxa"/>
              <w:right w:w="108" w:type="dxa"/>
            </w:tcMar>
          </w:tcPr>
          <w:p w:rsidR="00CB0DD7" w:rsidRPr="000A0A5F" w:rsidRDefault="00CB0DD7">
            <w:pPr>
              <w:pStyle w:val="TAL"/>
            </w:pPr>
            <w:r w:rsidRPr="000A0A5F">
              <w:t>1</w:t>
            </w:r>
          </w:p>
        </w:tc>
        <w:tc>
          <w:tcPr>
            <w:tcW w:w="2395" w:type="pct"/>
            <w:shd w:val="clear" w:color="auto" w:fill="auto"/>
            <w:tcMar>
              <w:top w:w="0" w:type="dxa"/>
              <w:left w:w="108" w:type="dxa"/>
              <w:bottom w:w="0" w:type="dxa"/>
              <w:right w:w="108" w:type="dxa"/>
            </w:tcMar>
          </w:tcPr>
          <w:p w:rsidR="00CB0DD7" w:rsidRPr="000A0A5F" w:rsidRDefault="00CB0DD7">
            <w:pPr>
              <w:pageBreakBefo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hAnsi="Arial" w:hint="eastAsia"/>
                <w:sz w:val="18"/>
                <w:lang w:eastAsia="zh-CN"/>
              </w:rPr>
            </w:pPr>
            <w:r w:rsidRPr="000A0A5F">
              <w:rPr>
                <w:rFonts w:ascii="Arial" w:hAnsi="Arial"/>
                <w:sz w:val="18"/>
                <w:lang w:eastAsia="zh-CN"/>
              </w:rPr>
              <w:t>A human-readable explanation specific to this successful acknowledgement</w:t>
            </w:r>
          </w:p>
        </w:tc>
      </w:tr>
    </w:tbl>
    <w:p w:rsidR="00CB0DD7" w:rsidRPr="000A0A5F" w:rsidRDefault="00CB0DD7"/>
    <w:p w:rsidR="00CB0DD7" w:rsidRPr="000A0A5F" w:rsidRDefault="00CB0DD7">
      <w:pPr>
        <w:pStyle w:val="Heading5"/>
      </w:pPr>
      <w:bookmarkStart w:id="1087" w:name="_Toc11247257"/>
      <w:bookmarkStart w:id="1088" w:name="_Toc27044377"/>
      <w:bookmarkStart w:id="1089" w:name="_Toc36033419"/>
      <w:bookmarkStart w:id="1090" w:name="_Toc45131551"/>
      <w:bookmarkStart w:id="1091" w:name="_Toc49775836"/>
      <w:bookmarkStart w:id="1092" w:name="_Toc51746756"/>
      <w:bookmarkStart w:id="1093" w:name="_Toc66360298"/>
      <w:bookmarkStart w:id="1094" w:name="_Toc68104803"/>
      <w:bookmarkStart w:id="1095" w:name="_Toc74755432"/>
      <w:bookmarkStart w:id="1096" w:name="_Toc105674287"/>
      <w:bookmarkStart w:id="1097" w:name="_Toc130502320"/>
      <w:bookmarkStart w:id="1098" w:name="_Toc153625099"/>
      <w:r w:rsidRPr="000A0A5F">
        <w:t>5.2.1.2.5</w:t>
      </w:r>
      <w:r w:rsidRPr="000A0A5F">
        <w:tab/>
        <w:t>Type: NotificationData</w:t>
      </w:r>
      <w:bookmarkEnd w:id="1087"/>
      <w:bookmarkEnd w:id="1088"/>
      <w:bookmarkEnd w:id="1089"/>
      <w:bookmarkEnd w:id="1090"/>
      <w:bookmarkEnd w:id="1091"/>
      <w:bookmarkEnd w:id="1092"/>
      <w:bookmarkEnd w:id="1093"/>
      <w:bookmarkEnd w:id="1094"/>
      <w:bookmarkEnd w:id="1095"/>
      <w:bookmarkEnd w:id="1096"/>
      <w:bookmarkEnd w:id="1097"/>
      <w:bookmarkEnd w:id="1098"/>
    </w:p>
    <w:p w:rsidR="00CB0DD7" w:rsidRPr="000A0A5F" w:rsidRDefault="00CB0DD7">
      <w:r w:rsidRPr="000A0A5F">
        <w:t xml:space="preserve">This type represents the parameters which shall be notify the SCS/AS for bearer level event(s). </w:t>
      </w:r>
    </w:p>
    <w:p w:rsidR="00CB0DD7" w:rsidRPr="000A0A5F" w:rsidRDefault="00CB0DD7">
      <w:pPr>
        <w:pStyle w:val="TH"/>
      </w:pPr>
      <w:r w:rsidRPr="000A0A5F">
        <w:rPr>
          <w:noProof/>
        </w:rPr>
        <w:t>Table </w:t>
      </w:r>
      <w:r w:rsidRPr="000A0A5F">
        <w:t xml:space="preserve">5.2.1.2.5-1: </w:t>
      </w:r>
      <w:r w:rsidRPr="000A0A5F">
        <w:rPr>
          <w:noProof/>
        </w:rPr>
        <w:t>Definition of the NotificationData data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874"/>
        <w:gridCol w:w="1985"/>
        <w:gridCol w:w="1275"/>
        <w:gridCol w:w="4568"/>
        <w:tblGridChange w:id="1099">
          <w:tblGrid>
            <w:gridCol w:w="1874"/>
            <w:gridCol w:w="1985"/>
            <w:gridCol w:w="1275"/>
            <w:gridCol w:w="4568"/>
          </w:tblGrid>
        </w:tblGridChange>
      </w:tblGrid>
      <w:tr w:rsidR="00CB0DD7" w:rsidRPr="000A0A5F" w:rsidTr="001B4357">
        <w:trPr>
          <w:jc w:val="center"/>
        </w:trPr>
        <w:tc>
          <w:tcPr>
            <w:tcW w:w="1874" w:type="dxa"/>
            <w:shd w:val="clear" w:color="auto" w:fill="C0C0C0"/>
          </w:tcPr>
          <w:p w:rsidR="00CB0DD7" w:rsidRPr="000A0A5F" w:rsidRDefault="00CB0DD7">
            <w:pPr>
              <w:pStyle w:val="TAH"/>
              <w:rPr>
                <w:rFonts w:eastAsia="Times New Roman"/>
              </w:rPr>
            </w:pPr>
            <w:r w:rsidRPr="000A0A5F">
              <w:rPr>
                <w:rFonts w:eastAsia="Times New Roman"/>
              </w:rPr>
              <w:t>Attribute name</w:t>
            </w:r>
          </w:p>
        </w:tc>
        <w:tc>
          <w:tcPr>
            <w:tcW w:w="1985" w:type="dxa"/>
            <w:shd w:val="clear" w:color="auto" w:fill="C0C0C0"/>
          </w:tcPr>
          <w:p w:rsidR="00CB0DD7" w:rsidRPr="000A0A5F" w:rsidRDefault="00CB0DD7">
            <w:pPr>
              <w:pStyle w:val="TAH"/>
              <w:rPr>
                <w:rFonts w:eastAsia="Times New Roman"/>
              </w:rPr>
            </w:pPr>
            <w:r w:rsidRPr="000A0A5F">
              <w:rPr>
                <w:rFonts w:eastAsia="Times New Roman"/>
              </w:rPr>
              <w:t>Data type</w:t>
            </w:r>
          </w:p>
        </w:tc>
        <w:tc>
          <w:tcPr>
            <w:tcW w:w="1275" w:type="dxa"/>
            <w:shd w:val="clear" w:color="auto" w:fill="C0C0C0"/>
          </w:tcPr>
          <w:p w:rsidR="00CB0DD7" w:rsidRPr="000A0A5F" w:rsidRDefault="00CB0DD7">
            <w:pPr>
              <w:pStyle w:val="TAH"/>
              <w:jc w:val="left"/>
              <w:rPr>
                <w:rFonts w:eastAsia="Times New Roman"/>
              </w:rPr>
            </w:pPr>
            <w:r w:rsidRPr="000A0A5F">
              <w:rPr>
                <w:rFonts w:eastAsia="Times New Roman"/>
              </w:rPr>
              <w:t>Cardinality</w:t>
            </w:r>
          </w:p>
        </w:tc>
        <w:tc>
          <w:tcPr>
            <w:tcW w:w="4568"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Description</w:t>
            </w:r>
          </w:p>
        </w:tc>
      </w:tr>
      <w:tr w:rsidR="00CB0DD7" w:rsidRPr="000A0A5F" w:rsidTr="001B4357">
        <w:trPr>
          <w:jc w:val="center"/>
        </w:trPr>
        <w:tc>
          <w:tcPr>
            <w:tcW w:w="1874" w:type="dxa"/>
            <w:shd w:val="clear" w:color="auto" w:fill="auto"/>
          </w:tcPr>
          <w:p w:rsidR="00CB0DD7" w:rsidRPr="000A0A5F" w:rsidRDefault="00CB0DD7">
            <w:pPr>
              <w:pStyle w:val="TAH"/>
              <w:jc w:val="left"/>
              <w:rPr>
                <w:rFonts w:eastAsia="Times New Roman"/>
                <w:b w:val="0"/>
              </w:rPr>
            </w:pPr>
            <w:r w:rsidRPr="000A0A5F">
              <w:rPr>
                <w:b w:val="0"/>
              </w:rPr>
              <w:t>transaction</w:t>
            </w:r>
          </w:p>
        </w:tc>
        <w:tc>
          <w:tcPr>
            <w:tcW w:w="1985" w:type="dxa"/>
            <w:shd w:val="clear" w:color="auto" w:fill="auto"/>
          </w:tcPr>
          <w:p w:rsidR="00CB0DD7" w:rsidRPr="000A0A5F" w:rsidRDefault="00CB0DD7">
            <w:pPr>
              <w:pStyle w:val="TAH"/>
              <w:jc w:val="left"/>
              <w:rPr>
                <w:rFonts w:eastAsia="Times New Roman"/>
                <w:b w:val="0"/>
              </w:rPr>
            </w:pPr>
            <w:r w:rsidRPr="000A0A5F">
              <w:rPr>
                <w:b w:val="0"/>
              </w:rPr>
              <w:t>Link</w:t>
            </w:r>
          </w:p>
        </w:tc>
        <w:tc>
          <w:tcPr>
            <w:tcW w:w="1275" w:type="dxa"/>
            <w:shd w:val="clear" w:color="auto" w:fill="auto"/>
          </w:tcPr>
          <w:p w:rsidR="00CB0DD7" w:rsidRPr="000A0A5F" w:rsidRDefault="00CB0DD7">
            <w:pPr>
              <w:pStyle w:val="TAH"/>
              <w:jc w:val="left"/>
              <w:rPr>
                <w:rFonts w:eastAsia="Times New Roman"/>
                <w:b w:val="0"/>
              </w:rPr>
            </w:pPr>
            <w:r w:rsidRPr="000A0A5F">
              <w:rPr>
                <w:b w:val="0"/>
              </w:rPr>
              <w:t>1</w:t>
            </w:r>
          </w:p>
        </w:tc>
        <w:tc>
          <w:tcPr>
            <w:tcW w:w="4568" w:type="dxa"/>
            <w:shd w:val="clear" w:color="auto" w:fill="auto"/>
          </w:tcPr>
          <w:p w:rsidR="00CB0DD7" w:rsidRPr="000A0A5F" w:rsidRDefault="00CB0DD7">
            <w:pPr>
              <w:pStyle w:val="TAH"/>
              <w:jc w:val="left"/>
              <w:rPr>
                <w:rFonts w:eastAsia="Times New Roman"/>
                <w:b w:val="0"/>
              </w:rPr>
            </w:pPr>
            <w:r w:rsidRPr="000A0A5F">
              <w:rPr>
                <w:b w:val="0"/>
              </w:rPr>
              <w:t>Link to the transaction resource to which this notification is related.</w:t>
            </w:r>
          </w:p>
        </w:tc>
      </w:tr>
      <w:tr w:rsidR="00CB0DD7" w:rsidRPr="000A0A5F" w:rsidTr="001B4357">
        <w:trPr>
          <w:jc w:val="center"/>
        </w:trPr>
        <w:tc>
          <w:tcPr>
            <w:tcW w:w="1874" w:type="dxa"/>
            <w:shd w:val="clear" w:color="auto" w:fill="auto"/>
          </w:tcPr>
          <w:p w:rsidR="00CB0DD7" w:rsidRPr="000A0A5F" w:rsidRDefault="00CB0DD7">
            <w:pPr>
              <w:pStyle w:val="TAL"/>
              <w:rPr>
                <w:rFonts w:hint="eastAsia"/>
                <w:lang w:eastAsia="zh-CN"/>
              </w:rPr>
            </w:pPr>
            <w:r w:rsidRPr="000A0A5F">
              <w:rPr>
                <w:rFonts w:hint="eastAsia"/>
                <w:lang w:eastAsia="zh-CN"/>
              </w:rPr>
              <w:t>eventReport</w:t>
            </w:r>
            <w:r w:rsidRPr="000A0A5F">
              <w:rPr>
                <w:lang w:eastAsia="zh-CN"/>
              </w:rPr>
              <w:t>s</w:t>
            </w:r>
          </w:p>
        </w:tc>
        <w:tc>
          <w:tcPr>
            <w:tcW w:w="1985" w:type="dxa"/>
            <w:shd w:val="clear" w:color="auto" w:fill="auto"/>
          </w:tcPr>
          <w:p w:rsidR="00CB0DD7" w:rsidRPr="000A0A5F" w:rsidRDefault="00CB0DD7">
            <w:pPr>
              <w:pStyle w:val="TAL"/>
              <w:rPr>
                <w:rFonts w:hint="eastAsia"/>
                <w:lang w:eastAsia="zh-CN"/>
              </w:rPr>
            </w:pPr>
            <w:r w:rsidRPr="000A0A5F">
              <w:rPr>
                <w:lang w:eastAsia="zh-CN"/>
              </w:rPr>
              <w:t>array(</w:t>
            </w:r>
            <w:r w:rsidRPr="000A0A5F">
              <w:rPr>
                <w:rFonts w:hint="eastAsia"/>
                <w:lang w:eastAsia="zh-CN"/>
              </w:rPr>
              <w:t>EventReport</w:t>
            </w:r>
            <w:r w:rsidRPr="000A0A5F">
              <w:rPr>
                <w:lang w:eastAsia="zh-CN"/>
              </w:rPr>
              <w:t>)</w:t>
            </w:r>
          </w:p>
        </w:tc>
        <w:tc>
          <w:tcPr>
            <w:tcW w:w="1275" w:type="dxa"/>
            <w:shd w:val="clear" w:color="auto" w:fill="auto"/>
          </w:tcPr>
          <w:p w:rsidR="00CB0DD7" w:rsidRPr="000A0A5F" w:rsidRDefault="00CB0DD7">
            <w:pPr>
              <w:pStyle w:val="TAL"/>
              <w:rPr>
                <w:rFonts w:eastAsia="Times New Roman"/>
              </w:rPr>
            </w:pPr>
            <w:r w:rsidRPr="000A0A5F">
              <w:rPr>
                <w:rFonts w:eastAsia="Times New Roman"/>
              </w:rPr>
              <w:t>1..N</w:t>
            </w:r>
          </w:p>
        </w:tc>
        <w:tc>
          <w:tcPr>
            <w:tcW w:w="4568" w:type="dxa"/>
            <w:shd w:val="clear" w:color="auto" w:fill="auto"/>
          </w:tcPr>
          <w:p w:rsidR="00CB0DD7" w:rsidRPr="000A0A5F" w:rsidRDefault="00CB0DD7">
            <w:pPr>
              <w:pStyle w:val="TAL"/>
              <w:rPr>
                <w:rFonts w:eastAsia="Times New Roman" w:cs="Arial"/>
                <w:szCs w:val="18"/>
              </w:rPr>
            </w:pPr>
            <w:r w:rsidRPr="000A0A5F">
              <w:rPr>
                <w:rFonts w:eastAsia="Times New Roman" w:cs="Arial"/>
                <w:szCs w:val="18"/>
              </w:rPr>
              <w:t>Contains the reported event and applicable information</w:t>
            </w:r>
          </w:p>
        </w:tc>
      </w:tr>
    </w:tbl>
    <w:p w:rsidR="00CB0DD7" w:rsidRPr="000A0A5F" w:rsidRDefault="00CB0DD7"/>
    <w:p w:rsidR="00CB0DD7" w:rsidRPr="000A0A5F" w:rsidRDefault="00CB0DD7">
      <w:pPr>
        <w:pStyle w:val="Heading5"/>
      </w:pPr>
      <w:bookmarkStart w:id="1100" w:name="_Toc11247258"/>
      <w:bookmarkStart w:id="1101" w:name="_Toc27044378"/>
      <w:bookmarkStart w:id="1102" w:name="_Toc36033420"/>
      <w:bookmarkStart w:id="1103" w:name="_Toc45131552"/>
      <w:bookmarkStart w:id="1104" w:name="_Toc49775837"/>
      <w:bookmarkStart w:id="1105" w:name="_Toc51746757"/>
      <w:bookmarkStart w:id="1106" w:name="_Toc66360299"/>
      <w:bookmarkStart w:id="1107" w:name="_Toc68104804"/>
      <w:bookmarkStart w:id="1108" w:name="_Toc74755433"/>
      <w:bookmarkStart w:id="1109" w:name="_Toc105674288"/>
      <w:bookmarkStart w:id="1110" w:name="_Toc130502321"/>
      <w:bookmarkStart w:id="1111" w:name="_Toc153625100"/>
      <w:r w:rsidRPr="000A0A5F">
        <w:t>5.2.1.2.6</w:t>
      </w:r>
      <w:r w:rsidRPr="000A0A5F">
        <w:tab/>
        <w:t>Type: EventReport</w:t>
      </w:r>
      <w:bookmarkEnd w:id="1100"/>
      <w:bookmarkEnd w:id="1101"/>
      <w:bookmarkEnd w:id="1102"/>
      <w:bookmarkEnd w:id="1103"/>
      <w:bookmarkEnd w:id="1104"/>
      <w:bookmarkEnd w:id="1105"/>
      <w:bookmarkEnd w:id="1106"/>
      <w:bookmarkEnd w:id="1107"/>
      <w:bookmarkEnd w:id="1108"/>
      <w:bookmarkEnd w:id="1109"/>
      <w:bookmarkEnd w:id="1110"/>
      <w:bookmarkEnd w:id="1111"/>
    </w:p>
    <w:p w:rsidR="00CB0DD7" w:rsidRPr="000A0A5F" w:rsidRDefault="00CB0DD7">
      <w:r w:rsidRPr="000A0A5F">
        <w:t>This type represents an event report. It shall comply with the provisions defined in table 5.2.1.2.6-1.</w:t>
      </w:r>
    </w:p>
    <w:p w:rsidR="00CB0DD7" w:rsidRPr="000A0A5F" w:rsidRDefault="00CB0DD7">
      <w:pPr>
        <w:pStyle w:val="TH"/>
      </w:pPr>
      <w:r w:rsidRPr="000A0A5F">
        <w:t>Table 5.2.1.2.6-1: Definition of the EventReport data type</w:t>
      </w:r>
    </w:p>
    <w:tbl>
      <w:tblPr>
        <w:tblW w:w="5122"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870"/>
        <w:gridCol w:w="2068"/>
        <w:gridCol w:w="1323"/>
        <w:gridCol w:w="4837"/>
      </w:tblGrid>
      <w:tr w:rsidR="00CB0DD7" w:rsidRPr="000A0A5F" w:rsidTr="001B4357">
        <w:tc>
          <w:tcPr>
            <w:tcW w:w="926" w:type="pct"/>
            <w:shd w:val="clear" w:color="auto" w:fill="C0C0C0"/>
            <w:tcMar>
              <w:top w:w="0" w:type="dxa"/>
              <w:left w:w="108" w:type="dxa"/>
              <w:bottom w:w="0" w:type="dxa"/>
              <w:right w:w="108" w:type="dxa"/>
            </w:tcMar>
          </w:tcPr>
          <w:p w:rsidR="00CB0DD7" w:rsidRPr="000A0A5F" w:rsidRDefault="00CB0DD7">
            <w:pPr>
              <w:pStyle w:val="TAH"/>
            </w:pPr>
            <w:r w:rsidRPr="000A0A5F">
              <w:t>Attribute name</w:t>
            </w:r>
          </w:p>
        </w:tc>
        <w:tc>
          <w:tcPr>
            <w:tcW w:w="1024" w:type="pct"/>
            <w:shd w:val="clear" w:color="auto" w:fill="C0C0C0"/>
            <w:tcMar>
              <w:top w:w="0" w:type="dxa"/>
              <w:left w:w="108" w:type="dxa"/>
              <w:bottom w:w="0" w:type="dxa"/>
              <w:right w:w="108" w:type="dxa"/>
            </w:tcMar>
          </w:tcPr>
          <w:p w:rsidR="00CB0DD7" w:rsidRPr="000A0A5F" w:rsidRDefault="00CB0DD7">
            <w:pPr>
              <w:pStyle w:val="TAH"/>
            </w:pPr>
            <w:r w:rsidRPr="000A0A5F">
              <w:t>Data type</w:t>
            </w:r>
          </w:p>
        </w:tc>
        <w:tc>
          <w:tcPr>
            <w:tcW w:w="655" w:type="pct"/>
            <w:shd w:val="clear" w:color="auto" w:fill="C0C0C0"/>
            <w:tcMar>
              <w:top w:w="0" w:type="dxa"/>
              <w:left w:w="108" w:type="dxa"/>
              <w:bottom w:w="0" w:type="dxa"/>
              <w:right w:w="108" w:type="dxa"/>
            </w:tcMar>
          </w:tcPr>
          <w:p w:rsidR="00CB0DD7" w:rsidRPr="000A0A5F" w:rsidRDefault="00CB0DD7">
            <w:pPr>
              <w:pStyle w:val="TAH"/>
            </w:pPr>
            <w:r w:rsidRPr="000A0A5F">
              <w:t>Cardinality</w:t>
            </w:r>
          </w:p>
        </w:tc>
        <w:tc>
          <w:tcPr>
            <w:tcW w:w="2395" w:type="pct"/>
            <w:shd w:val="clear" w:color="auto" w:fill="C0C0C0"/>
            <w:tcMar>
              <w:top w:w="0" w:type="dxa"/>
              <w:left w:w="108" w:type="dxa"/>
              <w:bottom w:w="0" w:type="dxa"/>
              <w:right w:w="108" w:type="dxa"/>
            </w:tcMar>
          </w:tcPr>
          <w:p w:rsidR="00CB0DD7" w:rsidRPr="000A0A5F" w:rsidRDefault="00CB0DD7">
            <w:pPr>
              <w:pStyle w:val="TAH"/>
            </w:pPr>
            <w:r w:rsidRPr="000A0A5F">
              <w:t>Description</w:t>
            </w:r>
          </w:p>
        </w:tc>
      </w:tr>
      <w:tr w:rsidR="00CB0DD7" w:rsidRPr="000A0A5F" w:rsidTr="001B4357">
        <w:tc>
          <w:tcPr>
            <w:tcW w:w="926" w:type="pct"/>
            <w:shd w:val="clear" w:color="auto" w:fill="auto"/>
            <w:tcMar>
              <w:top w:w="0" w:type="dxa"/>
              <w:left w:w="108" w:type="dxa"/>
              <w:bottom w:w="0" w:type="dxa"/>
              <w:right w:w="108" w:type="dxa"/>
            </w:tcMar>
          </w:tcPr>
          <w:p w:rsidR="00CB0DD7" w:rsidRPr="000A0A5F" w:rsidRDefault="00CB0DD7">
            <w:pPr>
              <w:pStyle w:val="TAL"/>
              <w:rPr>
                <w:rFonts w:hint="eastAsia"/>
                <w:lang w:eastAsia="zh-CN"/>
              </w:rPr>
            </w:pPr>
            <w:r w:rsidRPr="000A0A5F">
              <w:rPr>
                <w:lang w:eastAsia="zh-CN"/>
              </w:rPr>
              <w:t>event</w:t>
            </w:r>
          </w:p>
        </w:tc>
        <w:tc>
          <w:tcPr>
            <w:tcW w:w="1024" w:type="pct"/>
            <w:shd w:val="clear" w:color="auto" w:fill="auto"/>
            <w:tcMar>
              <w:top w:w="0" w:type="dxa"/>
              <w:left w:w="108" w:type="dxa"/>
              <w:bottom w:w="0" w:type="dxa"/>
              <w:right w:w="108" w:type="dxa"/>
            </w:tcMar>
          </w:tcPr>
          <w:p w:rsidR="00CB0DD7" w:rsidRPr="000A0A5F" w:rsidRDefault="00CB0DD7">
            <w:pPr>
              <w:pStyle w:val="TAL"/>
              <w:rPr>
                <w:rFonts w:hint="eastAsia"/>
                <w:lang w:eastAsia="zh-CN"/>
              </w:rPr>
            </w:pPr>
            <w:r w:rsidRPr="000A0A5F">
              <w:rPr>
                <w:lang w:eastAsia="zh-CN"/>
              </w:rPr>
              <w:t>Event</w:t>
            </w:r>
          </w:p>
        </w:tc>
        <w:tc>
          <w:tcPr>
            <w:tcW w:w="655" w:type="pct"/>
            <w:shd w:val="clear" w:color="auto" w:fill="auto"/>
            <w:tcMar>
              <w:top w:w="0" w:type="dxa"/>
              <w:left w:w="108" w:type="dxa"/>
              <w:bottom w:w="0" w:type="dxa"/>
              <w:right w:w="108" w:type="dxa"/>
            </w:tcMar>
          </w:tcPr>
          <w:p w:rsidR="00CB0DD7" w:rsidRPr="000A0A5F" w:rsidRDefault="00CB0DD7">
            <w:pPr>
              <w:pStyle w:val="TAL"/>
              <w:rPr>
                <w:rFonts w:hint="eastAsia"/>
                <w:lang w:eastAsia="zh-CN"/>
              </w:rPr>
            </w:pPr>
            <w:r w:rsidRPr="000A0A5F">
              <w:rPr>
                <w:rFonts w:hint="eastAsia"/>
                <w:lang w:eastAsia="zh-CN"/>
              </w:rPr>
              <w:t>1</w:t>
            </w:r>
          </w:p>
        </w:tc>
        <w:tc>
          <w:tcPr>
            <w:tcW w:w="2395" w:type="pct"/>
            <w:shd w:val="clear" w:color="auto" w:fill="auto"/>
            <w:tcMar>
              <w:top w:w="0" w:type="dxa"/>
              <w:left w:w="108" w:type="dxa"/>
              <w:bottom w:w="0" w:type="dxa"/>
              <w:right w:w="108" w:type="dxa"/>
            </w:tcMar>
          </w:tcPr>
          <w:p w:rsidR="00CB0DD7" w:rsidRPr="000A0A5F" w:rsidRDefault="00CB0DD7">
            <w:pPr>
              <w:pageBreakBefo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hAnsi="Arial"/>
                <w:sz w:val="18"/>
              </w:rPr>
            </w:pPr>
            <w:r w:rsidRPr="000A0A5F">
              <w:rPr>
                <w:rFonts w:ascii="Arial" w:hAnsi="Arial"/>
                <w:sz w:val="18"/>
              </w:rPr>
              <w:t>Indicates the event reported by the SCEF.</w:t>
            </w:r>
          </w:p>
        </w:tc>
      </w:tr>
      <w:tr w:rsidR="00CB0DD7" w:rsidRPr="000A0A5F" w:rsidTr="001B4357">
        <w:tc>
          <w:tcPr>
            <w:tcW w:w="926" w:type="pct"/>
            <w:shd w:val="clear" w:color="auto" w:fill="auto"/>
            <w:tcMar>
              <w:top w:w="0" w:type="dxa"/>
              <w:left w:w="108" w:type="dxa"/>
              <w:bottom w:w="0" w:type="dxa"/>
              <w:right w:w="108" w:type="dxa"/>
            </w:tcMar>
          </w:tcPr>
          <w:p w:rsidR="00CB0DD7" w:rsidRPr="000A0A5F" w:rsidRDefault="00CB0DD7">
            <w:pPr>
              <w:pStyle w:val="TAL"/>
              <w:rPr>
                <w:rFonts w:hint="eastAsia"/>
                <w:lang w:eastAsia="zh-CN"/>
              </w:rPr>
            </w:pPr>
            <w:r w:rsidRPr="000A0A5F">
              <w:rPr>
                <w:rFonts w:hint="eastAsia"/>
                <w:lang w:eastAsia="zh-CN"/>
              </w:rPr>
              <w:t>accu</w:t>
            </w:r>
            <w:r w:rsidRPr="000A0A5F">
              <w:rPr>
                <w:lang w:eastAsia="zh-CN"/>
              </w:rPr>
              <w:t>mulatedUsage</w:t>
            </w:r>
          </w:p>
        </w:tc>
        <w:tc>
          <w:tcPr>
            <w:tcW w:w="1024" w:type="pct"/>
            <w:shd w:val="clear" w:color="auto" w:fill="auto"/>
            <w:tcMar>
              <w:top w:w="0" w:type="dxa"/>
              <w:left w:w="108" w:type="dxa"/>
              <w:bottom w:w="0" w:type="dxa"/>
              <w:right w:w="108" w:type="dxa"/>
            </w:tcMar>
          </w:tcPr>
          <w:p w:rsidR="00CB0DD7" w:rsidRPr="000A0A5F" w:rsidRDefault="00CB0DD7">
            <w:pPr>
              <w:pStyle w:val="TAL"/>
              <w:rPr>
                <w:rFonts w:hint="eastAsia"/>
                <w:lang w:eastAsia="zh-CN"/>
              </w:rPr>
            </w:pPr>
            <w:r w:rsidRPr="000A0A5F">
              <w:rPr>
                <w:rFonts w:hint="eastAsia"/>
                <w:lang w:eastAsia="zh-CN"/>
              </w:rPr>
              <w:t>AccumulatedUsage</w:t>
            </w:r>
          </w:p>
        </w:tc>
        <w:tc>
          <w:tcPr>
            <w:tcW w:w="655" w:type="pct"/>
            <w:shd w:val="clear" w:color="auto" w:fill="auto"/>
            <w:tcMar>
              <w:top w:w="0" w:type="dxa"/>
              <w:left w:w="108" w:type="dxa"/>
              <w:bottom w:w="0" w:type="dxa"/>
              <w:right w:w="108" w:type="dxa"/>
            </w:tcMar>
          </w:tcPr>
          <w:p w:rsidR="00CB0DD7" w:rsidRPr="000A0A5F" w:rsidRDefault="00CB0DD7">
            <w:pPr>
              <w:pStyle w:val="TAL"/>
              <w:rPr>
                <w:rFonts w:hint="eastAsia"/>
                <w:lang w:eastAsia="zh-CN"/>
              </w:rPr>
            </w:pPr>
            <w:r w:rsidRPr="000A0A5F">
              <w:rPr>
                <w:rFonts w:hint="eastAsia"/>
                <w:lang w:eastAsia="zh-CN"/>
              </w:rPr>
              <w:t>0.</w:t>
            </w:r>
            <w:r w:rsidRPr="000A0A5F">
              <w:rPr>
                <w:lang w:eastAsia="zh-CN"/>
              </w:rPr>
              <w:t>.1</w:t>
            </w:r>
          </w:p>
        </w:tc>
        <w:tc>
          <w:tcPr>
            <w:tcW w:w="2395" w:type="pct"/>
            <w:shd w:val="clear" w:color="auto" w:fill="auto"/>
            <w:tcMar>
              <w:top w:w="0" w:type="dxa"/>
              <w:left w:w="108" w:type="dxa"/>
              <w:bottom w:w="0" w:type="dxa"/>
              <w:right w:w="108" w:type="dxa"/>
            </w:tcMar>
          </w:tcPr>
          <w:p w:rsidR="00CB0DD7" w:rsidRPr="000A0A5F" w:rsidRDefault="00CB0DD7">
            <w:pPr>
              <w:pStyle w:val="TAL"/>
              <w:rPr>
                <w:rFonts w:hint="eastAsia"/>
                <w:lang w:eastAsia="zh-CN"/>
              </w:rPr>
            </w:pPr>
            <w:r w:rsidRPr="000A0A5F">
              <w:rPr>
                <w:lang w:eastAsia="zh-CN"/>
              </w:rPr>
              <w:t>Contains the applicable information corresponding to the event.</w:t>
            </w:r>
          </w:p>
        </w:tc>
      </w:tr>
      <w:tr w:rsidR="00CB0DD7" w:rsidRPr="000A0A5F" w:rsidTr="001B4357">
        <w:tc>
          <w:tcPr>
            <w:tcW w:w="926" w:type="pct"/>
            <w:shd w:val="clear" w:color="auto" w:fill="auto"/>
            <w:tcMar>
              <w:top w:w="0" w:type="dxa"/>
              <w:left w:w="108" w:type="dxa"/>
              <w:bottom w:w="0" w:type="dxa"/>
              <w:right w:w="108" w:type="dxa"/>
            </w:tcMar>
          </w:tcPr>
          <w:p w:rsidR="00CB0DD7" w:rsidRPr="000A0A5F" w:rsidRDefault="00CB0DD7">
            <w:pPr>
              <w:pStyle w:val="TAL"/>
              <w:rPr>
                <w:rFonts w:hint="eastAsia"/>
                <w:lang w:eastAsia="zh-CN"/>
              </w:rPr>
            </w:pPr>
            <w:r w:rsidRPr="000A0A5F">
              <w:rPr>
                <w:rFonts w:hint="eastAsia"/>
                <w:lang w:eastAsia="zh-CN"/>
              </w:rPr>
              <w:t>flow</w:t>
            </w:r>
            <w:r w:rsidRPr="000A0A5F">
              <w:rPr>
                <w:lang w:eastAsia="zh-CN"/>
              </w:rPr>
              <w:t>Ids</w:t>
            </w:r>
          </w:p>
        </w:tc>
        <w:tc>
          <w:tcPr>
            <w:tcW w:w="1024" w:type="pct"/>
            <w:shd w:val="clear" w:color="auto" w:fill="auto"/>
            <w:tcMar>
              <w:top w:w="0" w:type="dxa"/>
              <w:left w:w="108" w:type="dxa"/>
              <w:bottom w:w="0" w:type="dxa"/>
              <w:right w:w="108" w:type="dxa"/>
            </w:tcMar>
          </w:tcPr>
          <w:p w:rsidR="00CB0DD7" w:rsidRPr="000A0A5F" w:rsidRDefault="00CB0DD7">
            <w:pPr>
              <w:pStyle w:val="TAL"/>
              <w:rPr>
                <w:rFonts w:hint="eastAsia"/>
                <w:lang w:eastAsia="zh-CN"/>
              </w:rPr>
            </w:pPr>
            <w:r w:rsidRPr="000A0A5F">
              <w:rPr>
                <w:lang w:eastAsia="zh-CN"/>
              </w:rPr>
              <w:t>array(integer)</w:t>
            </w:r>
          </w:p>
        </w:tc>
        <w:tc>
          <w:tcPr>
            <w:tcW w:w="655" w:type="pct"/>
            <w:shd w:val="clear" w:color="auto" w:fill="auto"/>
            <w:tcMar>
              <w:top w:w="0" w:type="dxa"/>
              <w:left w:w="108" w:type="dxa"/>
              <w:bottom w:w="0" w:type="dxa"/>
              <w:right w:w="108" w:type="dxa"/>
            </w:tcMar>
          </w:tcPr>
          <w:p w:rsidR="00CB0DD7" w:rsidRPr="000A0A5F" w:rsidRDefault="00CB0DD7">
            <w:pPr>
              <w:pStyle w:val="TAL"/>
              <w:rPr>
                <w:rFonts w:hint="eastAsia"/>
                <w:lang w:eastAsia="zh-CN"/>
              </w:rPr>
            </w:pPr>
            <w:r w:rsidRPr="000A0A5F">
              <w:rPr>
                <w:rFonts w:hint="eastAsia"/>
                <w:lang w:eastAsia="zh-CN"/>
              </w:rPr>
              <w:t>0..N</w:t>
            </w:r>
          </w:p>
        </w:tc>
        <w:tc>
          <w:tcPr>
            <w:tcW w:w="2395" w:type="pct"/>
            <w:shd w:val="clear" w:color="auto" w:fill="auto"/>
            <w:tcMar>
              <w:top w:w="0" w:type="dxa"/>
              <w:left w:w="108" w:type="dxa"/>
              <w:bottom w:w="0" w:type="dxa"/>
              <w:right w:w="108" w:type="dxa"/>
            </w:tcMar>
          </w:tcPr>
          <w:p w:rsidR="00CB0DD7" w:rsidRPr="000A0A5F" w:rsidRDefault="00CB0DD7">
            <w:pPr>
              <w:pStyle w:val="TAL"/>
              <w:rPr>
                <w:rFonts w:hint="eastAsia"/>
                <w:lang w:eastAsia="zh-CN"/>
              </w:rPr>
            </w:pPr>
            <w:r w:rsidRPr="000A0A5F">
              <w:rPr>
                <w:lang w:eastAsia="zh-CN"/>
              </w:rPr>
              <w:t>Identifies the IP flows that were sent during event subscription</w:t>
            </w:r>
          </w:p>
        </w:tc>
      </w:tr>
    </w:tbl>
    <w:p w:rsidR="00CB0DD7" w:rsidRPr="000A0A5F" w:rsidRDefault="00CB0DD7"/>
    <w:p w:rsidR="00CB0DD7" w:rsidRPr="000A0A5F" w:rsidRDefault="00CB0DD7">
      <w:pPr>
        <w:pStyle w:val="Heading5"/>
      </w:pPr>
      <w:bookmarkStart w:id="1112" w:name="_Toc11247259"/>
      <w:bookmarkStart w:id="1113" w:name="_Toc27044379"/>
      <w:bookmarkStart w:id="1114" w:name="_Toc36033421"/>
      <w:bookmarkStart w:id="1115" w:name="_Toc45131553"/>
      <w:bookmarkStart w:id="1116" w:name="_Toc49775838"/>
      <w:bookmarkStart w:id="1117" w:name="_Toc51746758"/>
      <w:bookmarkStart w:id="1118" w:name="_Toc66360300"/>
      <w:bookmarkStart w:id="1119" w:name="_Toc68104805"/>
      <w:bookmarkStart w:id="1120" w:name="_Toc74755434"/>
      <w:bookmarkStart w:id="1121" w:name="_Toc105674289"/>
      <w:bookmarkStart w:id="1122" w:name="_Toc130502322"/>
      <w:bookmarkStart w:id="1123" w:name="_Toc153625101"/>
      <w:r w:rsidRPr="000A0A5F">
        <w:t>5.2.1.2.7</w:t>
      </w:r>
      <w:r w:rsidRPr="000A0A5F">
        <w:tab/>
        <w:t>Type: AccumulatedUsage</w:t>
      </w:r>
      <w:bookmarkEnd w:id="1112"/>
      <w:bookmarkEnd w:id="1113"/>
      <w:bookmarkEnd w:id="1114"/>
      <w:bookmarkEnd w:id="1115"/>
      <w:bookmarkEnd w:id="1116"/>
      <w:bookmarkEnd w:id="1117"/>
      <w:bookmarkEnd w:id="1118"/>
      <w:bookmarkEnd w:id="1119"/>
      <w:bookmarkEnd w:id="1120"/>
      <w:bookmarkEnd w:id="1121"/>
      <w:bookmarkEnd w:id="1122"/>
      <w:bookmarkEnd w:id="1123"/>
    </w:p>
    <w:p w:rsidR="00CB0DD7" w:rsidRPr="000A0A5F" w:rsidRDefault="00CB0DD7">
      <w:r w:rsidRPr="000A0A5F">
        <w:t>This type represents an accumulated usage. It shall comply with the provisions defined in table 5.2.1.2.7-1.</w:t>
      </w:r>
    </w:p>
    <w:p w:rsidR="00CB0DD7" w:rsidRPr="000A0A5F" w:rsidRDefault="00CB0DD7">
      <w:pPr>
        <w:pStyle w:val="TH"/>
      </w:pPr>
      <w:r w:rsidRPr="000A0A5F">
        <w:t>Table 5.2.1.2.7-1: Definition of the AccumulatedUsage data type</w:t>
      </w:r>
    </w:p>
    <w:tbl>
      <w:tblPr>
        <w:tblW w:w="5122"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870"/>
        <w:gridCol w:w="2068"/>
        <w:gridCol w:w="1323"/>
        <w:gridCol w:w="4837"/>
      </w:tblGrid>
      <w:tr w:rsidR="00CB0DD7" w:rsidRPr="000A0A5F" w:rsidTr="001B4357">
        <w:tc>
          <w:tcPr>
            <w:tcW w:w="926" w:type="pct"/>
            <w:shd w:val="clear" w:color="auto" w:fill="C0C0C0"/>
            <w:tcMar>
              <w:top w:w="0" w:type="dxa"/>
              <w:left w:w="108" w:type="dxa"/>
              <w:bottom w:w="0" w:type="dxa"/>
              <w:right w:w="108" w:type="dxa"/>
            </w:tcMar>
          </w:tcPr>
          <w:p w:rsidR="00CB0DD7" w:rsidRPr="000A0A5F" w:rsidRDefault="00CB0DD7">
            <w:pPr>
              <w:pStyle w:val="TAH"/>
            </w:pPr>
            <w:r w:rsidRPr="000A0A5F">
              <w:t>Attribute name</w:t>
            </w:r>
          </w:p>
        </w:tc>
        <w:tc>
          <w:tcPr>
            <w:tcW w:w="1024" w:type="pct"/>
            <w:shd w:val="clear" w:color="auto" w:fill="C0C0C0"/>
            <w:tcMar>
              <w:top w:w="0" w:type="dxa"/>
              <w:left w:w="108" w:type="dxa"/>
              <w:bottom w:w="0" w:type="dxa"/>
              <w:right w:w="108" w:type="dxa"/>
            </w:tcMar>
          </w:tcPr>
          <w:p w:rsidR="00CB0DD7" w:rsidRPr="000A0A5F" w:rsidRDefault="00CB0DD7">
            <w:pPr>
              <w:pStyle w:val="TAH"/>
            </w:pPr>
            <w:r w:rsidRPr="000A0A5F">
              <w:t>Data type</w:t>
            </w:r>
          </w:p>
        </w:tc>
        <w:tc>
          <w:tcPr>
            <w:tcW w:w="655" w:type="pct"/>
            <w:shd w:val="clear" w:color="auto" w:fill="C0C0C0"/>
            <w:tcMar>
              <w:top w:w="0" w:type="dxa"/>
              <w:left w:w="108" w:type="dxa"/>
              <w:bottom w:w="0" w:type="dxa"/>
              <w:right w:w="108" w:type="dxa"/>
            </w:tcMar>
          </w:tcPr>
          <w:p w:rsidR="00CB0DD7" w:rsidRPr="000A0A5F" w:rsidRDefault="00CB0DD7">
            <w:pPr>
              <w:pStyle w:val="TAH"/>
            </w:pPr>
            <w:r w:rsidRPr="000A0A5F">
              <w:t>Cardinality</w:t>
            </w:r>
          </w:p>
        </w:tc>
        <w:tc>
          <w:tcPr>
            <w:tcW w:w="2395" w:type="pct"/>
            <w:shd w:val="clear" w:color="auto" w:fill="C0C0C0"/>
            <w:tcMar>
              <w:top w:w="0" w:type="dxa"/>
              <w:left w:w="108" w:type="dxa"/>
              <w:bottom w:w="0" w:type="dxa"/>
              <w:right w:w="108" w:type="dxa"/>
            </w:tcMar>
          </w:tcPr>
          <w:p w:rsidR="00CB0DD7" w:rsidRPr="000A0A5F" w:rsidRDefault="00CB0DD7">
            <w:pPr>
              <w:pStyle w:val="TAH"/>
            </w:pPr>
            <w:r w:rsidRPr="000A0A5F">
              <w:t>Description</w:t>
            </w:r>
          </w:p>
        </w:tc>
      </w:tr>
      <w:tr w:rsidR="00CB0DD7" w:rsidRPr="000A0A5F" w:rsidTr="001B4357">
        <w:tc>
          <w:tcPr>
            <w:tcW w:w="926" w:type="pct"/>
            <w:shd w:val="clear" w:color="auto" w:fill="auto"/>
            <w:tcMar>
              <w:top w:w="0" w:type="dxa"/>
              <w:left w:w="108" w:type="dxa"/>
              <w:bottom w:w="0" w:type="dxa"/>
              <w:right w:w="108" w:type="dxa"/>
            </w:tcMar>
          </w:tcPr>
          <w:p w:rsidR="00CB0DD7" w:rsidRPr="000A0A5F" w:rsidRDefault="00CB0DD7">
            <w:pPr>
              <w:pStyle w:val="TAL"/>
            </w:pPr>
            <w:r w:rsidRPr="000A0A5F">
              <w:t>duration</w:t>
            </w:r>
          </w:p>
        </w:tc>
        <w:tc>
          <w:tcPr>
            <w:tcW w:w="1024" w:type="pct"/>
            <w:shd w:val="clear" w:color="auto" w:fill="auto"/>
            <w:tcMar>
              <w:top w:w="0" w:type="dxa"/>
              <w:left w:w="108" w:type="dxa"/>
              <w:bottom w:w="0" w:type="dxa"/>
              <w:right w:w="108" w:type="dxa"/>
            </w:tcMar>
          </w:tcPr>
          <w:p w:rsidR="00CB0DD7" w:rsidRPr="000A0A5F" w:rsidRDefault="00CB0DD7">
            <w:pPr>
              <w:pStyle w:val="TAL"/>
            </w:pPr>
            <w:r w:rsidRPr="000A0A5F">
              <w:t>DurationSec</w:t>
            </w:r>
          </w:p>
        </w:tc>
        <w:tc>
          <w:tcPr>
            <w:tcW w:w="655" w:type="pct"/>
            <w:shd w:val="clear" w:color="auto" w:fill="auto"/>
            <w:tcMar>
              <w:top w:w="0" w:type="dxa"/>
              <w:left w:w="108" w:type="dxa"/>
              <w:bottom w:w="0" w:type="dxa"/>
              <w:right w:w="108" w:type="dxa"/>
            </w:tcMar>
          </w:tcPr>
          <w:p w:rsidR="00CB0DD7" w:rsidRPr="000A0A5F" w:rsidRDefault="00CB0DD7">
            <w:pPr>
              <w:pStyle w:val="TAL"/>
            </w:pPr>
            <w:r w:rsidRPr="000A0A5F">
              <w:t>0..1</w:t>
            </w:r>
          </w:p>
        </w:tc>
        <w:tc>
          <w:tcPr>
            <w:tcW w:w="2395" w:type="pct"/>
            <w:shd w:val="clear" w:color="auto" w:fill="auto"/>
            <w:tcMar>
              <w:top w:w="0" w:type="dxa"/>
              <w:left w:w="108" w:type="dxa"/>
              <w:bottom w:w="0" w:type="dxa"/>
              <w:right w:w="108" w:type="dxa"/>
            </w:tcMar>
          </w:tcPr>
          <w:p w:rsidR="00CB0DD7" w:rsidRPr="000A0A5F" w:rsidRDefault="00CB0DD7">
            <w:pPr>
              <w:pageBreakBefo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hAnsi="Arial"/>
                <w:sz w:val="18"/>
              </w:rPr>
            </w:pPr>
            <w:r w:rsidRPr="000A0A5F">
              <w:rPr>
                <w:rFonts w:ascii="Arial" w:hAnsi="Arial"/>
                <w:sz w:val="18"/>
              </w:rPr>
              <w:t>Indicates the length of time in seconds</w:t>
            </w:r>
          </w:p>
        </w:tc>
      </w:tr>
      <w:tr w:rsidR="00CB0DD7" w:rsidRPr="000A0A5F" w:rsidTr="001B4357">
        <w:tc>
          <w:tcPr>
            <w:tcW w:w="926" w:type="pct"/>
            <w:shd w:val="clear" w:color="auto" w:fill="auto"/>
            <w:tcMar>
              <w:top w:w="0" w:type="dxa"/>
              <w:left w:w="108" w:type="dxa"/>
              <w:bottom w:w="0" w:type="dxa"/>
              <w:right w:w="108" w:type="dxa"/>
            </w:tcMar>
          </w:tcPr>
          <w:p w:rsidR="00CB0DD7" w:rsidRPr="000A0A5F" w:rsidRDefault="00CB0DD7">
            <w:pPr>
              <w:pStyle w:val="TAL"/>
            </w:pPr>
            <w:r w:rsidRPr="000A0A5F">
              <w:t>totalVolume</w:t>
            </w:r>
          </w:p>
        </w:tc>
        <w:tc>
          <w:tcPr>
            <w:tcW w:w="1024" w:type="pct"/>
            <w:shd w:val="clear" w:color="auto" w:fill="auto"/>
            <w:tcMar>
              <w:top w:w="0" w:type="dxa"/>
              <w:left w:w="108" w:type="dxa"/>
              <w:bottom w:w="0" w:type="dxa"/>
              <w:right w:w="108" w:type="dxa"/>
            </w:tcMar>
          </w:tcPr>
          <w:p w:rsidR="00CB0DD7" w:rsidRPr="000A0A5F" w:rsidRDefault="00CB0DD7">
            <w:pPr>
              <w:pStyle w:val="TAL"/>
            </w:pPr>
            <w:r w:rsidRPr="000A0A5F">
              <w:t>Volume</w:t>
            </w:r>
          </w:p>
        </w:tc>
        <w:tc>
          <w:tcPr>
            <w:tcW w:w="655" w:type="pct"/>
            <w:shd w:val="clear" w:color="auto" w:fill="auto"/>
            <w:tcMar>
              <w:top w:w="0" w:type="dxa"/>
              <w:left w:w="108" w:type="dxa"/>
              <w:bottom w:w="0" w:type="dxa"/>
              <w:right w:w="108" w:type="dxa"/>
            </w:tcMar>
          </w:tcPr>
          <w:p w:rsidR="00CB0DD7" w:rsidRPr="000A0A5F" w:rsidRDefault="00CB0DD7">
            <w:pPr>
              <w:pStyle w:val="TAL"/>
            </w:pPr>
            <w:r w:rsidRPr="000A0A5F">
              <w:t>0..1</w:t>
            </w:r>
          </w:p>
        </w:tc>
        <w:tc>
          <w:tcPr>
            <w:tcW w:w="2395" w:type="pct"/>
            <w:shd w:val="clear" w:color="auto" w:fill="auto"/>
            <w:tcMar>
              <w:top w:w="0" w:type="dxa"/>
              <w:left w:w="108" w:type="dxa"/>
              <w:bottom w:w="0" w:type="dxa"/>
              <w:right w:w="108" w:type="dxa"/>
            </w:tcMar>
          </w:tcPr>
          <w:p w:rsidR="00CB0DD7" w:rsidRPr="000A0A5F" w:rsidRDefault="00CB0DD7">
            <w:pPr>
              <w:pStyle w:val="TAL"/>
            </w:pPr>
            <w:r w:rsidRPr="000A0A5F">
              <w:t>Total data octets for both downlink and uplink</w:t>
            </w:r>
          </w:p>
        </w:tc>
      </w:tr>
      <w:tr w:rsidR="00CB0DD7" w:rsidRPr="000A0A5F" w:rsidTr="001B4357">
        <w:tc>
          <w:tcPr>
            <w:tcW w:w="926" w:type="pct"/>
            <w:shd w:val="clear" w:color="auto" w:fill="auto"/>
            <w:tcMar>
              <w:top w:w="0" w:type="dxa"/>
              <w:left w:w="108" w:type="dxa"/>
              <w:bottom w:w="0" w:type="dxa"/>
              <w:right w:w="108" w:type="dxa"/>
            </w:tcMar>
          </w:tcPr>
          <w:p w:rsidR="00CB0DD7" w:rsidRPr="000A0A5F" w:rsidRDefault="00CB0DD7">
            <w:pPr>
              <w:pStyle w:val="TAL"/>
            </w:pPr>
            <w:r w:rsidRPr="000A0A5F">
              <w:t>downlinkVolume</w:t>
            </w:r>
          </w:p>
        </w:tc>
        <w:tc>
          <w:tcPr>
            <w:tcW w:w="1024" w:type="pct"/>
            <w:shd w:val="clear" w:color="auto" w:fill="auto"/>
            <w:tcMar>
              <w:top w:w="0" w:type="dxa"/>
              <w:left w:w="108" w:type="dxa"/>
              <w:bottom w:w="0" w:type="dxa"/>
              <w:right w:w="108" w:type="dxa"/>
            </w:tcMar>
          </w:tcPr>
          <w:p w:rsidR="00CB0DD7" w:rsidRPr="000A0A5F" w:rsidRDefault="00CB0DD7">
            <w:pPr>
              <w:pStyle w:val="TAL"/>
            </w:pPr>
            <w:r w:rsidRPr="000A0A5F">
              <w:t>Volume</w:t>
            </w:r>
          </w:p>
        </w:tc>
        <w:tc>
          <w:tcPr>
            <w:tcW w:w="655" w:type="pct"/>
            <w:shd w:val="clear" w:color="auto" w:fill="auto"/>
            <w:tcMar>
              <w:top w:w="0" w:type="dxa"/>
              <w:left w:w="108" w:type="dxa"/>
              <w:bottom w:w="0" w:type="dxa"/>
              <w:right w:w="108" w:type="dxa"/>
            </w:tcMar>
          </w:tcPr>
          <w:p w:rsidR="00CB0DD7" w:rsidRPr="000A0A5F" w:rsidRDefault="00CB0DD7">
            <w:pPr>
              <w:pStyle w:val="TAL"/>
            </w:pPr>
            <w:r w:rsidRPr="000A0A5F">
              <w:t>0..1</w:t>
            </w:r>
          </w:p>
        </w:tc>
        <w:tc>
          <w:tcPr>
            <w:tcW w:w="2395" w:type="pct"/>
            <w:shd w:val="clear" w:color="auto" w:fill="auto"/>
            <w:tcMar>
              <w:top w:w="0" w:type="dxa"/>
              <w:left w:w="108" w:type="dxa"/>
              <w:bottom w:w="0" w:type="dxa"/>
              <w:right w:w="108" w:type="dxa"/>
            </w:tcMar>
          </w:tcPr>
          <w:p w:rsidR="00CB0DD7" w:rsidRPr="000A0A5F" w:rsidRDefault="00CB0DD7">
            <w:pPr>
              <w:pStyle w:val="TAL"/>
            </w:pPr>
            <w:r w:rsidRPr="000A0A5F">
              <w:t>Downlink data octets</w:t>
            </w:r>
          </w:p>
        </w:tc>
      </w:tr>
      <w:tr w:rsidR="00CB0DD7" w:rsidRPr="000A0A5F" w:rsidTr="001B4357">
        <w:tc>
          <w:tcPr>
            <w:tcW w:w="926" w:type="pct"/>
            <w:shd w:val="clear" w:color="auto" w:fill="auto"/>
            <w:tcMar>
              <w:top w:w="0" w:type="dxa"/>
              <w:left w:w="108" w:type="dxa"/>
              <w:bottom w:w="0" w:type="dxa"/>
              <w:right w:w="108" w:type="dxa"/>
            </w:tcMar>
          </w:tcPr>
          <w:p w:rsidR="00CB0DD7" w:rsidRPr="000A0A5F" w:rsidRDefault="00CB0DD7">
            <w:pPr>
              <w:pStyle w:val="TAL"/>
            </w:pPr>
            <w:r w:rsidRPr="000A0A5F">
              <w:t>uplinkVolume</w:t>
            </w:r>
          </w:p>
        </w:tc>
        <w:tc>
          <w:tcPr>
            <w:tcW w:w="1024" w:type="pct"/>
            <w:shd w:val="clear" w:color="auto" w:fill="auto"/>
            <w:tcMar>
              <w:top w:w="0" w:type="dxa"/>
              <w:left w:w="108" w:type="dxa"/>
              <w:bottom w:w="0" w:type="dxa"/>
              <w:right w:w="108" w:type="dxa"/>
            </w:tcMar>
          </w:tcPr>
          <w:p w:rsidR="00CB0DD7" w:rsidRPr="000A0A5F" w:rsidRDefault="00CB0DD7">
            <w:pPr>
              <w:pStyle w:val="TAL"/>
            </w:pPr>
            <w:r w:rsidRPr="000A0A5F">
              <w:t>Volume</w:t>
            </w:r>
          </w:p>
        </w:tc>
        <w:tc>
          <w:tcPr>
            <w:tcW w:w="655" w:type="pct"/>
            <w:shd w:val="clear" w:color="auto" w:fill="auto"/>
            <w:tcMar>
              <w:top w:w="0" w:type="dxa"/>
              <w:left w:w="108" w:type="dxa"/>
              <w:bottom w:w="0" w:type="dxa"/>
              <w:right w:w="108" w:type="dxa"/>
            </w:tcMar>
          </w:tcPr>
          <w:p w:rsidR="00CB0DD7" w:rsidRPr="000A0A5F" w:rsidRDefault="00CB0DD7">
            <w:pPr>
              <w:pStyle w:val="TAL"/>
            </w:pPr>
            <w:r w:rsidRPr="000A0A5F">
              <w:t>0..1</w:t>
            </w:r>
          </w:p>
        </w:tc>
        <w:tc>
          <w:tcPr>
            <w:tcW w:w="2395" w:type="pct"/>
            <w:shd w:val="clear" w:color="auto" w:fill="auto"/>
            <w:tcMar>
              <w:top w:w="0" w:type="dxa"/>
              <w:left w:w="108" w:type="dxa"/>
              <w:bottom w:w="0" w:type="dxa"/>
              <w:right w:w="108" w:type="dxa"/>
            </w:tcMar>
          </w:tcPr>
          <w:p w:rsidR="00CB0DD7" w:rsidRPr="000A0A5F" w:rsidRDefault="00CB0DD7">
            <w:pPr>
              <w:pStyle w:val="TAL"/>
            </w:pPr>
            <w:r w:rsidRPr="000A0A5F">
              <w:t>Uplink data octets</w:t>
            </w:r>
          </w:p>
        </w:tc>
      </w:tr>
    </w:tbl>
    <w:p w:rsidR="00CB0DD7" w:rsidRPr="000A0A5F" w:rsidRDefault="00CB0DD7"/>
    <w:p w:rsidR="00CB0DD7" w:rsidRPr="000A0A5F" w:rsidRDefault="00CB0DD7">
      <w:pPr>
        <w:pStyle w:val="Heading5"/>
      </w:pPr>
      <w:bookmarkStart w:id="1124" w:name="_Toc11247260"/>
      <w:bookmarkStart w:id="1125" w:name="_Toc27044380"/>
      <w:bookmarkStart w:id="1126" w:name="_Toc36033422"/>
      <w:bookmarkStart w:id="1127" w:name="_Toc45131554"/>
      <w:bookmarkStart w:id="1128" w:name="_Toc49775839"/>
      <w:bookmarkStart w:id="1129" w:name="_Toc51746759"/>
      <w:bookmarkStart w:id="1130" w:name="_Toc66360301"/>
      <w:bookmarkStart w:id="1131" w:name="_Toc68104806"/>
      <w:bookmarkStart w:id="1132" w:name="_Toc74755435"/>
      <w:bookmarkStart w:id="1133" w:name="_Toc105674290"/>
      <w:bookmarkStart w:id="1134" w:name="_Toc130502323"/>
      <w:bookmarkStart w:id="1135" w:name="_Toc153625102"/>
      <w:r w:rsidRPr="000A0A5F">
        <w:t>5.2.1.2.8</w:t>
      </w:r>
      <w:r w:rsidRPr="000A0A5F">
        <w:tab/>
        <w:t>Type: FlowInfo</w:t>
      </w:r>
      <w:bookmarkEnd w:id="1124"/>
      <w:bookmarkEnd w:id="1125"/>
      <w:bookmarkEnd w:id="1126"/>
      <w:bookmarkEnd w:id="1127"/>
      <w:bookmarkEnd w:id="1128"/>
      <w:bookmarkEnd w:id="1129"/>
      <w:bookmarkEnd w:id="1130"/>
      <w:bookmarkEnd w:id="1131"/>
      <w:bookmarkEnd w:id="1132"/>
      <w:bookmarkEnd w:id="1133"/>
      <w:bookmarkEnd w:id="1134"/>
      <w:bookmarkEnd w:id="1135"/>
    </w:p>
    <w:p w:rsidR="00CB0DD7" w:rsidRPr="000A0A5F" w:rsidRDefault="00CB0DD7">
      <w:r w:rsidRPr="000A0A5F">
        <w:t>This type represents flow information. It shall comply with the provisions defined in table 5.2.1.2.8-1.</w:t>
      </w:r>
    </w:p>
    <w:p w:rsidR="00CB0DD7" w:rsidRPr="000A0A5F" w:rsidRDefault="00CB0DD7">
      <w:pPr>
        <w:pStyle w:val="TH"/>
      </w:pPr>
      <w:r w:rsidRPr="000A0A5F">
        <w:t>Table 5.2.1.2.8-1: Definition of the FlowInfo data type</w:t>
      </w:r>
    </w:p>
    <w:tbl>
      <w:tblPr>
        <w:tblW w:w="4777"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388"/>
        <w:gridCol w:w="1416"/>
        <w:gridCol w:w="1273"/>
        <w:gridCol w:w="3686"/>
        <w:gridCol w:w="1559"/>
      </w:tblGrid>
      <w:tr w:rsidR="00824266" w:rsidRPr="000A0A5F" w:rsidTr="00824266">
        <w:tc>
          <w:tcPr>
            <w:tcW w:w="744" w:type="pct"/>
            <w:shd w:val="clear" w:color="auto" w:fill="C0C0C0"/>
            <w:tcMar>
              <w:top w:w="0" w:type="dxa"/>
              <w:left w:w="108" w:type="dxa"/>
              <w:bottom w:w="0" w:type="dxa"/>
              <w:right w:w="108" w:type="dxa"/>
            </w:tcMar>
          </w:tcPr>
          <w:p w:rsidR="00824266" w:rsidRPr="000A0A5F" w:rsidRDefault="00824266">
            <w:pPr>
              <w:pStyle w:val="TAH"/>
            </w:pPr>
            <w:r w:rsidRPr="000A0A5F">
              <w:t>Attribute name</w:t>
            </w:r>
          </w:p>
        </w:tc>
        <w:tc>
          <w:tcPr>
            <w:tcW w:w="759" w:type="pct"/>
            <w:shd w:val="clear" w:color="auto" w:fill="C0C0C0"/>
            <w:tcMar>
              <w:top w:w="0" w:type="dxa"/>
              <w:left w:w="108" w:type="dxa"/>
              <w:bottom w:w="0" w:type="dxa"/>
              <w:right w:w="108" w:type="dxa"/>
            </w:tcMar>
          </w:tcPr>
          <w:p w:rsidR="00824266" w:rsidRPr="000A0A5F" w:rsidRDefault="00824266">
            <w:pPr>
              <w:pStyle w:val="TAH"/>
            </w:pPr>
            <w:r w:rsidRPr="000A0A5F">
              <w:t>Data type</w:t>
            </w:r>
          </w:p>
        </w:tc>
        <w:tc>
          <w:tcPr>
            <w:tcW w:w="683" w:type="pct"/>
            <w:shd w:val="clear" w:color="auto" w:fill="C0C0C0"/>
            <w:tcMar>
              <w:top w:w="0" w:type="dxa"/>
              <w:left w:w="108" w:type="dxa"/>
              <w:bottom w:w="0" w:type="dxa"/>
              <w:right w:w="108" w:type="dxa"/>
            </w:tcMar>
          </w:tcPr>
          <w:p w:rsidR="00824266" w:rsidRPr="000A0A5F" w:rsidRDefault="00824266">
            <w:pPr>
              <w:pStyle w:val="TAH"/>
            </w:pPr>
            <w:r w:rsidRPr="000A0A5F">
              <w:t>Cardinality</w:t>
            </w:r>
          </w:p>
        </w:tc>
        <w:tc>
          <w:tcPr>
            <w:tcW w:w="1977" w:type="pct"/>
            <w:shd w:val="clear" w:color="auto" w:fill="C0C0C0"/>
            <w:tcMar>
              <w:top w:w="0" w:type="dxa"/>
              <w:left w:w="108" w:type="dxa"/>
              <w:bottom w:w="0" w:type="dxa"/>
              <w:right w:w="108" w:type="dxa"/>
            </w:tcMar>
          </w:tcPr>
          <w:p w:rsidR="00824266" w:rsidRPr="000A0A5F" w:rsidRDefault="00824266">
            <w:pPr>
              <w:pStyle w:val="TAH"/>
            </w:pPr>
            <w:r w:rsidRPr="000A0A5F">
              <w:t>Description</w:t>
            </w:r>
          </w:p>
        </w:tc>
        <w:tc>
          <w:tcPr>
            <w:tcW w:w="836" w:type="pct"/>
            <w:shd w:val="clear" w:color="auto" w:fill="C0C0C0"/>
          </w:tcPr>
          <w:p w:rsidR="00824266" w:rsidRPr="000A0A5F" w:rsidRDefault="00824266">
            <w:pPr>
              <w:pStyle w:val="TAH"/>
            </w:pPr>
            <w:r w:rsidRPr="000A0A5F">
              <w:t>Applicability</w:t>
            </w:r>
          </w:p>
        </w:tc>
      </w:tr>
      <w:tr w:rsidR="00824266" w:rsidRPr="000A0A5F" w:rsidTr="00824266">
        <w:tc>
          <w:tcPr>
            <w:tcW w:w="744" w:type="pct"/>
            <w:shd w:val="clear" w:color="auto" w:fill="auto"/>
            <w:tcMar>
              <w:top w:w="0" w:type="dxa"/>
              <w:left w:w="108" w:type="dxa"/>
              <w:bottom w:w="0" w:type="dxa"/>
              <w:right w:w="108" w:type="dxa"/>
            </w:tcMar>
          </w:tcPr>
          <w:p w:rsidR="00824266" w:rsidRPr="000A0A5F" w:rsidRDefault="00824266">
            <w:pPr>
              <w:pStyle w:val="TAL"/>
            </w:pPr>
            <w:r w:rsidRPr="000A0A5F">
              <w:rPr>
                <w:rFonts w:hint="eastAsia"/>
                <w:lang w:eastAsia="zh-CN"/>
              </w:rPr>
              <w:t>flow</w:t>
            </w:r>
            <w:r w:rsidRPr="000A0A5F">
              <w:rPr>
                <w:lang w:eastAsia="zh-CN"/>
              </w:rPr>
              <w:t>Id</w:t>
            </w:r>
          </w:p>
        </w:tc>
        <w:tc>
          <w:tcPr>
            <w:tcW w:w="759" w:type="pct"/>
            <w:shd w:val="clear" w:color="auto" w:fill="auto"/>
            <w:tcMar>
              <w:top w:w="0" w:type="dxa"/>
              <w:left w:w="108" w:type="dxa"/>
              <w:bottom w:w="0" w:type="dxa"/>
              <w:right w:w="108" w:type="dxa"/>
            </w:tcMar>
          </w:tcPr>
          <w:p w:rsidR="00824266" w:rsidRPr="000A0A5F" w:rsidRDefault="00824266">
            <w:pPr>
              <w:pStyle w:val="TAL"/>
            </w:pPr>
            <w:r w:rsidRPr="000A0A5F">
              <w:t>integer</w:t>
            </w:r>
          </w:p>
        </w:tc>
        <w:tc>
          <w:tcPr>
            <w:tcW w:w="683" w:type="pct"/>
            <w:shd w:val="clear" w:color="auto" w:fill="auto"/>
            <w:tcMar>
              <w:top w:w="0" w:type="dxa"/>
              <w:left w:w="108" w:type="dxa"/>
              <w:bottom w:w="0" w:type="dxa"/>
              <w:right w:w="108" w:type="dxa"/>
            </w:tcMar>
          </w:tcPr>
          <w:p w:rsidR="00824266" w:rsidRPr="000A0A5F" w:rsidRDefault="00824266">
            <w:pPr>
              <w:pStyle w:val="TAL"/>
            </w:pPr>
            <w:r w:rsidRPr="000A0A5F">
              <w:t>1</w:t>
            </w:r>
          </w:p>
        </w:tc>
        <w:tc>
          <w:tcPr>
            <w:tcW w:w="1977" w:type="pct"/>
            <w:shd w:val="clear" w:color="auto" w:fill="auto"/>
            <w:tcMar>
              <w:top w:w="0" w:type="dxa"/>
              <w:left w:w="108" w:type="dxa"/>
              <w:bottom w:w="0" w:type="dxa"/>
              <w:right w:w="108" w:type="dxa"/>
            </w:tcMar>
          </w:tcPr>
          <w:p w:rsidR="00824266" w:rsidRPr="000A0A5F" w:rsidRDefault="00824266">
            <w:pPr>
              <w:pStyle w:val="TAL"/>
              <w:spacing w:line="360" w:lineRule="auto"/>
              <w:rPr>
                <w:rFonts w:hint="eastAsia"/>
              </w:rPr>
            </w:pPr>
            <w:r w:rsidRPr="000A0A5F">
              <w:t>Indicates the IP flow.</w:t>
            </w:r>
          </w:p>
        </w:tc>
        <w:tc>
          <w:tcPr>
            <w:tcW w:w="836" w:type="pct"/>
          </w:tcPr>
          <w:p w:rsidR="00824266" w:rsidRPr="000A0A5F" w:rsidRDefault="00824266">
            <w:pPr>
              <w:pStyle w:val="TAL"/>
              <w:spacing w:line="360" w:lineRule="auto"/>
            </w:pPr>
          </w:p>
        </w:tc>
      </w:tr>
      <w:tr w:rsidR="00824266" w:rsidRPr="000A0A5F" w:rsidTr="00824266">
        <w:tc>
          <w:tcPr>
            <w:tcW w:w="744" w:type="pct"/>
            <w:shd w:val="clear" w:color="auto" w:fill="auto"/>
            <w:tcMar>
              <w:top w:w="0" w:type="dxa"/>
              <w:left w:w="108" w:type="dxa"/>
              <w:bottom w:w="0" w:type="dxa"/>
              <w:right w:w="108" w:type="dxa"/>
            </w:tcMar>
          </w:tcPr>
          <w:p w:rsidR="00824266" w:rsidRPr="000A0A5F" w:rsidRDefault="00824266">
            <w:pPr>
              <w:pStyle w:val="TAL"/>
              <w:rPr>
                <w:rFonts w:hint="eastAsia"/>
                <w:lang w:eastAsia="zh-CN"/>
              </w:rPr>
            </w:pPr>
            <w:r w:rsidRPr="000A0A5F">
              <w:rPr>
                <w:rFonts w:hint="eastAsia"/>
                <w:lang w:eastAsia="zh-CN"/>
              </w:rPr>
              <w:t>flowDescription</w:t>
            </w:r>
            <w:r w:rsidRPr="000A0A5F">
              <w:rPr>
                <w:lang w:eastAsia="zh-CN"/>
              </w:rPr>
              <w:t>s</w:t>
            </w:r>
          </w:p>
        </w:tc>
        <w:tc>
          <w:tcPr>
            <w:tcW w:w="759" w:type="pct"/>
            <w:shd w:val="clear" w:color="auto" w:fill="auto"/>
            <w:tcMar>
              <w:top w:w="0" w:type="dxa"/>
              <w:left w:w="108" w:type="dxa"/>
              <w:bottom w:w="0" w:type="dxa"/>
              <w:right w:w="108" w:type="dxa"/>
            </w:tcMar>
          </w:tcPr>
          <w:p w:rsidR="00824266" w:rsidRPr="000A0A5F" w:rsidRDefault="00824266">
            <w:pPr>
              <w:pStyle w:val="TAL"/>
            </w:pPr>
            <w:r w:rsidRPr="000A0A5F">
              <w:rPr>
                <w:lang w:eastAsia="zh-CN"/>
              </w:rPr>
              <w:t>array(string)</w:t>
            </w:r>
          </w:p>
        </w:tc>
        <w:tc>
          <w:tcPr>
            <w:tcW w:w="683" w:type="pct"/>
            <w:shd w:val="clear" w:color="auto" w:fill="auto"/>
            <w:tcMar>
              <w:top w:w="0" w:type="dxa"/>
              <w:left w:w="108" w:type="dxa"/>
              <w:bottom w:w="0" w:type="dxa"/>
              <w:right w:w="108" w:type="dxa"/>
            </w:tcMar>
          </w:tcPr>
          <w:p w:rsidR="00824266" w:rsidRPr="000A0A5F" w:rsidRDefault="00824266">
            <w:pPr>
              <w:pStyle w:val="TAL"/>
            </w:pPr>
            <w:r w:rsidRPr="000A0A5F">
              <w:rPr>
                <w:rFonts w:hint="eastAsia"/>
                <w:lang w:eastAsia="zh-CN"/>
              </w:rPr>
              <w:t>0..2</w:t>
            </w:r>
          </w:p>
        </w:tc>
        <w:tc>
          <w:tcPr>
            <w:tcW w:w="1977" w:type="pct"/>
            <w:shd w:val="clear" w:color="auto" w:fill="auto"/>
            <w:tcMar>
              <w:top w:w="0" w:type="dxa"/>
              <w:left w:w="108" w:type="dxa"/>
              <w:bottom w:w="0" w:type="dxa"/>
              <w:right w:w="108" w:type="dxa"/>
            </w:tcMar>
          </w:tcPr>
          <w:p w:rsidR="00824266" w:rsidRPr="000A0A5F" w:rsidRDefault="00824266">
            <w:pPr>
              <w:pStyle w:val="TAL"/>
              <w:spacing w:line="360" w:lineRule="auto"/>
              <w:rPr>
                <w:lang w:eastAsia="zh-CN"/>
              </w:rPr>
            </w:pPr>
            <w:r w:rsidRPr="000A0A5F">
              <w:rPr>
                <w:lang w:eastAsia="zh-CN"/>
              </w:rPr>
              <w:t>Indicates the packet filters of the IP flow.</w:t>
            </w:r>
          </w:p>
          <w:p w:rsidR="00824266" w:rsidRPr="000A0A5F" w:rsidRDefault="00824266">
            <w:pPr>
              <w:pStyle w:val="TAL"/>
            </w:pPr>
            <w:r w:rsidRPr="000A0A5F">
              <w:rPr>
                <w:lang w:eastAsia="zh-CN"/>
              </w:rPr>
              <w:t>Refer to clause</w:t>
            </w:r>
            <w:r w:rsidRPr="000A0A5F">
              <w:rPr>
                <w:lang w:val="en-US" w:eastAsia="zh-CN"/>
              </w:rPr>
              <w:t> 5.3.8 of 3GPP</w:t>
            </w:r>
            <w:r w:rsidRPr="000A0A5F">
              <w:rPr>
                <w:rFonts w:eastAsia="DengXian"/>
                <w:lang w:val="en-US" w:eastAsia="zh-CN"/>
              </w:rPr>
              <w:t> TS </w:t>
            </w:r>
            <w:r w:rsidRPr="000A0A5F">
              <w:rPr>
                <w:lang w:eastAsia="zh-CN"/>
              </w:rPr>
              <w:t>29.214</w:t>
            </w:r>
            <w:r w:rsidRPr="000A0A5F">
              <w:rPr>
                <w:lang w:val="en-US" w:eastAsia="zh-CN"/>
              </w:rPr>
              <w:t> [10] for encoding. It shall contain UL and/or DL IP flow description.</w:t>
            </w:r>
          </w:p>
        </w:tc>
        <w:tc>
          <w:tcPr>
            <w:tcW w:w="836" w:type="pct"/>
          </w:tcPr>
          <w:p w:rsidR="00824266" w:rsidRPr="000A0A5F" w:rsidRDefault="00824266">
            <w:pPr>
              <w:pStyle w:val="TAL"/>
              <w:spacing w:line="360" w:lineRule="auto"/>
              <w:rPr>
                <w:lang w:eastAsia="zh-CN"/>
              </w:rPr>
            </w:pPr>
          </w:p>
        </w:tc>
      </w:tr>
      <w:tr w:rsidR="00824266" w:rsidRPr="000A0A5F" w:rsidTr="00824266">
        <w:tc>
          <w:tcPr>
            <w:tcW w:w="744" w:type="pct"/>
            <w:shd w:val="clear" w:color="auto" w:fill="auto"/>
            <w:tcMar>
              <w:top w:w="0" w:type="dxa"/>
              <w:left w:w="108" w:type="dxa"/>
              <w:bottom w:w="0" w:type="dxa"/>
              <w:right w:w="108" w:type="dxa"/>
            </w:tcMar>
          </w:tcPr>
          <w:p w:rsidR="00824266" w:rsidRPr="000A0A5F" w:rsidRDefault="00824266" w:rsidP="00824266">
            <w:pPr>
              <w:pStyle w:val="TAL"/>
              <w:rPr>
                <w:rFonts w:hint="eastAsia"/>
                <w:lang w:eastAsia="zh-CN"/>
              </w:rPr>
            </w:pPr>
            <w:r w:rsidRPr="000A0A5F">
              <w:rPr>
                <w:lang w:eastAsia="zh-CN"/>
              </w:rPr>
              <w:t>tosTC</w:t>
            </w:r>
          </w:p>
        </w:tc>
        <w:tc>
          <w:tcPr>
            <w:tcW w:w="759" w:type="pct"/>
            <w:shd w:val="clear" w:color="auto" w:fill="auto"/>
            <w:tcMar>
              <w:top w:w="0" w:type="dxa"/>
              <w:left w:w="108" w:type="dxa"/>
              <w:bottom w:w="0" w:type="dxa"/>
              <w:right w:w="108" w:type="dxa"/>
            </w:tcMar>
          </w:tcPr>
          <w:p w:rsidR="00824266" w:rsidRPr="000A0A5F" w:rsidRDefault="00824266" w:rsidP="00824266">
            <w:pPr>
              <w:pStyle w:val="TAL"/>
              <w:rPr>
                <w:lang w:eastAsia="zh-CN"/>
              </w:rPr>
            </w:pPr>
            <w:r w:rsidRPr="000A0A5F">
              <w:rPr>
                <w:lang w:eastAsia="zh-CN"/>
              </w:rPr>
              <w:t>TosTrafficClass</w:t>
            </w:r>
          </w:p>
        </w:tc>
        <w:tc>
          <w:tcPr>
            <w:tcW w:w="683" w:type="pct"/>
            <w:shd w:val="clear" w:color="auto" w:fill="auto"/>
            <w:tcMar>
              <w:top w:w="0" w:type="dxa"/>
              <w:left w:w="108" w:type="dxa"/>
              <w:bottom w:w="0" w:type="dxa"/>
              <w:right w:w="108" w:type="dxa"/>
            </w:tcMar>
          </w:tcPr>
          <w:p w:rsidR="00824266" w:rsidRPr="000A0A5F" w:rsidRDefault="00824266" w:rsidP="00824266">
            <w:pPr>
              <w:pStyle w:val="TAL"/>
              <w:rPr>
                <w:rFonts w:hint="eastAsia"/>
                <w:lang w:eastAsia="zh-CN"/>
              </w:rPr>
            </w:pPr>
            <w:r w:rsidRPr="000A0A5F">
              <w:rPr>
                <w:lang w:eastAsia="zh-CN"/>
              </w:rPr>
              <w:t>0..1</w:t>
            </w:r>
          </w:p>
        </w:tc>
        <w:tc>
          <w:tcPr>
            <w:tcW w:w="1977" w:type="pct"/>
            <w:shd w:val="clear" w:color="auto" w:fill="auto"/>
            <w:tcMar>
              <w:top w:w="0" w:type="dxa"/>
              <w:left w:w="108" w:type="dxa"/>
              <w:bottom w:w="0" w:type="dxa"/>
              <w:right w:w="108" w:type="dxa"/>
            </w:tcMar>
          </w:tcPr>
          <w:p w:rsidR="00824266" w:rsidRPr="000A0A5F" w:rsidRDefault="00824266" w:rsidP="00824266">
            <w:pPr>
              <w:pStyle w:val="TAL"/>
              <w:spacing w:line="360" w:lineRule="auto"/>
              <w:rPr>
                <w:lang w:eastAsia="zh-CN"/>
              </w:rPr>
            </w:pPr>
            <w:r w:rsidRPr="000A0A5F">
              <w:rPr>
                <w:lang w:eastAsia="zh-CN"/>
              </w:rPr>
              <w:t>Type of service or Traffic Class.</w:t>
            </w:r>
          </w:p>
        </w:tc>
        <w:tc>
          <w:tcPr>
            <w:tcW w:w="836" w:type="pct"/>
          </w:tcPr>
          <w:p w:rsidR="00824266" w:rsidRPr="000A0A5F" w:rsidRDefault="00824266" w:rsidP="00824266">
            <w:pPr>
              <w:pStyle w:val="TAL"/>
              <w:spacing w:line="360" w:lineRule="auto"/>
              <w:rPr>
                <w:lang w:eastAsia="zh-CN"/>
              </w:rPr>
            </w:pPr>
          </w:p>
        </w:tc>
      </w:tr>
    </w:tbl>
    <w:p w:rsidR="00CB0DD7" w:rsidRPr="000A0A5F" w:rsidRDefault="00CB0DD7"/>
    <w:p w:rsidR="00B93494" w:rsidRPr="000A0A5F" w:rsidRDefault="00B93494" w:rsidP="00B93494">
      <w:pPr>
        <w:pStyle w:val="NO"/>
        <w:rPr>
          <w:lang w:val="en-US"/>
        </w:rPr>
      </w:pPr>
      <w:bookmarkStart w:id="1136" w:name="_Toc11247261"/>
      <w:bookmarkStart w:id="1137" w:name="_Toc27044381"/>
      <w:bookmarkStart w:id="1138" w:name="_Toc36033423"/>
      <w:bookmarkStart w:id="1139" w:name="_Toc45131555"/>
      <w:bookmarkStart w:id="1140" w:name="_Toc49775840"/>
      <w:bookmarkStart w:id="1141" w:name="_Toc51746760"/>
      <w:bookmarkStart w:id="1142" w:name="_Toc66360302"/>
      <w:bookmarkStart w:id="1143" w:name="_Toc68104807"/>
      <w:bookmarkStart w:id="1144" w:name="_Toc74755436"/>
      <w:r w:rsidRPr="000A0A5F">
        <w:rPr>
          <w:lang w:val="en-US"/>
        </w:rPr>
        <w:t xml:space="preserve">NOTE: </w:t>
      </w:r>
      <w:r w:rsidR="00926D64" w:rsidRPr="000A0A5F">
        <w:rPr>
          <w:lang w:val="en-US"/>
        </w:rPr>
        <w:tab/>
      </w:r>
      <w:r w:rsidRPr="000A0A5F">
        <w:t>Th</w:t>
      </w:r>
      <w:r w:rsidR="00824266" w:rsidRPr="000A0A5F">
        <w:t>e "tosTC" attribute can be included when another packet filter attribute is needed to differentiate between packet flows. For example, packet flows encapsulated and encrypted by a tunnelling protocol can be differentiated by the ToS/TC value of the outer header if appropriately set by the application. To use ToS/TC for service data flow detection, network configuration by the operator (and additionally by the 3rd party Service Provider when the transport network is not fully within the operator control) needs to ensure there is no ToS/TC re-marking applied along the path from the application to the PSA UPF and the specific ToS/TC values are managed properly to avoid potential collision with other usage (e.g., paging policy differentiation)</w:t>
      </w:r>
      <w:r w:rsidRPr="000A0A5F">
        <w:t>.</w:t>
      </w:r>
    </w:p>
    <w:p w:rsidR="00CB0DD7" w:rsidRPr="000A0A5F" w:rsidRDefault="00CB0DD7">
      <w:pPr>
        <w:pStyle w:val="Heading5"/>
      </w:pPr>
      <w:bookmarkStart w:id="1145" w:name="_Toc105674291"/>
      <w:bookmarkStart w:id="1146" w:name="_Toc130502324"/>
      <w:bookmarkStart w:id="1147" w:name="_Toc153625103"/>
      <w:r w:rsidRPr="000A0A5F">
        <w:t>5.2.1.2.9</w:t>
      </w:r>
      <w:r w:rsidRPr="000A0A5F">
        <w:tab/>
        <w:t>Type: TestNotification</w:t>
      </w:r>
      <w:bookmarkEnd w:id="1136"/>
      <w:bookmarkEnd w:id="1137"/>
      <w:bookmarkEnd w:id="1138"/>
      <w:bookmarkEnd w:id="1139"/>
      <w:bookmarkEnd w:id="1140"/>
      <w:bookmarkEnd w:id="1141"/>
      <w:bookmarkEnd w:id="1142"/>
      <w:bookmarkEnd w:id="1143"/>
      <w:bookmarkEnd w:id="1144"/>
      <w:bookmarkEnd w:id="1145"/>
      <w:bookmarkEnd w:id="1146"/>
      <w:bookmarkEnd w:id="1147"/>
    </w:p>
    <w:p w:rsidR="00CB0DD7" w:rsidRPr="000A0A5F" w:rsidRDefault="00CB0DD7">
      <w:r w:rsidRPr="000A0A5F">
        <w:t>This type represents a notification that can be sent to test whether a chosen notification mechanism works. It shall be supported if the feature "Notification_test_event", as defined for APIs that use notifications, is supported.</w:t>
      </w:r>
    </w:p>
    <w:p w:rsidR="00CB0DD7" w:rsidRPr="000A0A5F" w:rsidRDefault="00CB0DD7">
      <w:pPr>
        <w:pStyle w:val="TH"/>
      </w:pPr>
      <w:r w:rsidRPr="000A0A5F">
        <w:t>Table 5.2.1.2.9-1: Definition of the TestNotification data type</w:t>
      </w:r>
    </w:p>
    <w:tbl>
      <w:tblPr>
        <w:tblW w:w="5122"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870"/>
        <w:gridCol w:w="2068"/>
        <w:gridCol w:w="1323"/>
        <w:gridCol w:w="4837"/>
      </w:tblGrid>
      <w:tr w:rsidR="00CB0DD7" w:rsidRPr="000A0A5F" w:rsidTr="001B4357">
        <w:tc>
          <w:tcPr>
            <w:tcW w:w="926" w:type="pct"/>
            <w:shd w:val="clear" w:color="auto" w:fill="C0C0C0"/>
            <w:tcMar>
              <w:top w:w="0" w:type="dxa"/>
              <w:left w:w="108" w:type="dxa"/>
              <w:bottom w:w="0" w:type="dxa"/>
              <w:right w:w="108" w:type="dxa"/>
            </w:tcMar>
          </w:tcPr>
          <w:p w:rsidR="00CB0DD7" w:rsidRPr="000A0A5F" w:rsidRDefault="00CB0DD7">
            <w:pPr>
              <w:pStyle w:val="TAH"/>
            </w:pPr>
            <w:r w:rsidRPr="000A0A5F">
              <w:t>Attribute name</w:t>
            </w:r>
          </w:p>
        </w:tc>
        <w:tc>
          <w:tcPr>
            <w:tcW w:w="1024" w:type="pct"/>
            <w:shd w:val="clear" w:color="auto" w:fill="C0C0C0"/>
            <w:tcMar>
              <w:top w:w="0" w:type="dxa"/>
              <w:left w:w="108" w:type="dxa"/>
              <w:bottom w:w="0" w:type="dxa"/>
              <w:right w:w="108" w:type="dxa"/>
            </w:tcMar>
          </w:tcPr>
          <w:p w:rsidR="00CB0DD7" w:rsidRPr="000A0A5F" w:rsidRDefault="00CB0DD7">
            <w:pPr>
              <w:pStyle w:val="TAH"/>
            </w:pPr>
            <w:r w:rsidRPr="000A0A5F">
              <w:t>Data type</w:t>
            </w:r>
          </w:p>
        </w:tc>
        <w:tc>
          <w:tcPr>
            <w:tcW w:w="655" w:type="pct"/>
            <w:shd w:val="clear" w:color="auto" w:fill="C0C0C0"/>
            <w:tcMar>
              <w:top w:w="0" w:type="dxa"/>
              <w:left w:w="108" w:type="dxa"/>
              <w:bottom w:w="0" w:type="dxa"/>
              <w:right w:w="108" w:type="dxa"/>
            </w:tcMar>
          </w:tcPr>
          <w:p w:rsidR="00CB0DD7" w:rsidRPr="000A0A5F" w:rsidRDefault="00CB0DD7">
            <w:pPr>
              <w:pStyle w:val="TAH"/>
            </w:pPr>
            <w:r w:rsidRPr="000A0A5F">
              <w:t>Cardinality</w:t>
            </w:r>
          </w:p>
        </w:tc>
        <w:tc>
          <w:tcPr>
            <w:tcW w:w="2395" w:type="pct"/>
            <w:shd w:val="clear" w:color="auto" w:fill="C0C0C0"/>
            <w:tcMar>
              <w:top w:w="0" w:type="dxa"/>
              <w:left w:w="108" w:type="dxa"/>
              <w:bottom w:w="0" w:type="dxa"/>
              <w:right w:w="108" w:type="dxa"/>
            </w:tcMar>
          </w:tcPr>
          <w:p w:rsidR="00CB0DD7" w:rsidRPr="000A0A5F" w:rsidRDefault="00CB0DD7">
            <w:pPr>
              <w:pStyle w:val="TAH"/>
            </w:pPr>
            <w:r w:rsidRPr="000A0A5F">
              <w:t>Description</w:t>
            </w:r>
          </w:p>
        </w:tc>
      </w:tr>
      <w:tr w:rsidR="00CB0DD7" w:rsidRPr="000A0A5F" w:rsidTr="001B4357">
        <w:tc>
          <w:tcPr>
            <w:tcW w:w="926" w:type="pct"/>
            <w:shd w:val="clear" w:color="auto" w:fill="auto"/>
            <w:tcMar>
              <w:top w:w="0" w:type="dxa"/>
              <w:left w:w="108" w:type="dxa"/>
              <w:bottom w:w="0" w:type="dxa"/>
              <w:right w:w="108" w:type="dxa"/>
            </w:tcMar>
          </w:tcPr>
          <w:p w:rsidR="00CB0DD7" w:rsidRPr="000A0A5F" w:rsidRDefault="00CB0DD7">
            <w:pPr>
              <w:pStyle w:val="TAL"/>
            </w:pPr>
            <w:r w:rsidRPr="000A0A5F">
              <w:t>subscription</w:t>
            </w:r>
          </w:p>
        </w:tc>
        <w:tc>
          <w:tcPr>
            <w:tcW w:w="1024" w:type="pct"/>
            <w:shd w:val="clear" w:color="auto" w:fill="auto"/>
            <w:tcMar>
              <w:top w:w="0" w:type="dxa"/>
              <w:left w:w="108" w:type="dxa"/>
              <w:bottom w:w="0" w:type="dxa"/>
              <w:right w:w="108" w:type="dxa"/>
            </w:tcMar>
          </w:tcPr>
          <w:p w:rsidR="00CB0DD7" w:rsidRPr="000A0A5F" w:rsidRDefault="00CB0DD7">
            <w:pPr>
              <w:pStyle w:val="TAL"/>
            </w:pPr>
            <w:r w:rsidRPr="000A0A5F">
              <w:t>Link</w:t>
            </w:r>
          </w:p>
        </w:tc>
        <w:tc>
          <w:tcPr>
            <w:tcW w:w="655" w:type="pct"/>
            <w:shd w:val="clear" w:color="auto" w:fill="auto"/>
            <w:tcMar>
              <w:top w:w="0" w:type="dxa"/>
              <w:left w:w="108" w:type="dxa"/>
              <w:bottom w:w="0" w:type="dxa"/>
              <w:right w:w="108" w:type="dxa"/>
            </w:tcMar>
          </w:tcPr>
          <w:p w:rsidR="00CB0DD7" w:rsidRPr="000A0A5F" w:rsidRDefault="00CB0DD7">
            <w:pPr>
              <w:pStyle w:val="TAL"/>
            </w:pPr>
            <w:r w:rsidRPr="000A0A5F">
              <w:t>1</w:t>
            </w:r>
          </w:p>
        </w:tc>
        <w:tc>
          <w:tcPr>
            <w:tcW w:w="2395" w:type="pct"/>
            <w:shd w:val="clear" w:color="auto" w:fill="auto"/>
            <w:tcMar>
              <w:top w:w="0" w:type="dxa"/>
              <w:left w:w="108" w:type="dxa"/>
              <w:bottom w:w="0" w:type="dxa"/>
              <w:right w:w="108" w:type="dxa"/>
            </w:tcMar>
          </w:tcPr>
          <w:p w:rsidR="00CB0DD7" w:rsidRPr="000A0A5F" w:rsidRDefault="00CB0DD7">
            <w:pPr>
              <w:pageBreakBefo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hAnsi="Arial" w:hint="eastAsia"/>
                <w:sz w:val="18"/>
                <w:lang w:eastAsia="zh-CN"/>
              </w:rPr>
            </w:pPr>
            <w:r w:rsidRPr="000A0A5F">
              <w:rPr>
                <w:rFonts w:ascii="Arial" w:hAnsi="Arial"/>
                <w:sz w:val="18"/>
                <w:lang w:eastAsia="zh-CN"/>
              </w:rPr>
              <w:t>Link of the subscription resource to which the notification is related.</w:t>
            </w:r>
          </w:p>
        </w:tc>
      </w:tr>
    </w:tbl>
    <w:p w:rsidR="00CB0DD7" w:rsidRPr="000A0A5F" w:rsidRDefault="00CB0DD7"/>
    <w:p w:rsidR="00CB0DD7" w:rsidRPr="000A0A5F" w:rsidRDefault="00CB0DD7">
      <w:pPr>
        <w:pStyle w:val="Heading5"/>
      </w:pPr>
      <w:bookmarkStart w:id="1148" w:name="_Toc11247262"/>
      <w:bookmarkStart w:id="1149" w:name="_Toc27044382"/>
      <w:bookmarkStart w:id="1150" w:name="_Toc36033424"/>
      <w:bookmarkStart w:id="1151" w:name="_Toc45131556"/>
      <w:bookmarkStart w:id="1152" w:name="_Toc49775841"/>
      <w:bookmarkStart w:id="1153" w:name="_Toc51746761"/>
      <w:bookmarkStart w:id="1154" w:name="_Toc66360303"/>
      <w:bookmarkStart w:id="1155" w:name="_Toc68104808"/>
      <w:bookmarkStart w:id="1156" w:name="_Toc74755437"/>
      <w:bookmarkStart w:id="1157" w:name="_Toc105674292"/>
      <w:bookmarkStart w:id="1158" w:name="_Toc130502325"/>
      <w:bookmarkStart w:id="1159" w:name="_Toc153625104"/>
      <w:r w:rsidRPr="000A0A5F">
        <w:t>5.2.1.2.10</w:t>
      </w:r>
      <w:r w:rsidRPr="000A0A5F">
        <w:tab/>
        <w:t>Type: WebsockNotifConfig</w:t>
      </w:r>
      <w:bookmarkEnd w:id="1148"/>
      <w:bookmarkEnd w:id="1149"/>
      <w:bookmarkEnd w:id="1150"/>
      <w:bookmarkEnd w:id="1151"/>
      <w:bookmarkEnd w:id="1152"/>
      <w:bookmarkEnd w:id="1153"/>
      <w:bookmarkEnd w:id="1154"/>
      <w:bookmarkEnd w:id="1155"/>
      <w:bookmarkEnd w:id="1156"/>
      <w:bookmarkEnd w:id="1157"/>
      <w:bookmarkEnd w:id="1158"/>
      <w:bookmarkEnd w:id="1159"/>
    </w:p>
    <w:p w:rsidR="00CB0DD7" w:rsidRPr="000A0A5F" w:rsidRDefault="00CB0DD7">
      <w:r w:rsidRPr="000A0A5F">
        <w:t>This type represents configuration for the delivery of notifications over Websockets. It shall be supported if the feature "Notification_websocket", as defined for APIs that use notifications, is supported.</w:t>
      </w:r>
    </w:p>
    <w:p w:rsidR="00CB0DD7" w:rsidRPr="000A0A5F" w:rsidRDefault="00CB0DD7">
      <w:pPr>
        <w:pStyle w:val="TH"/>
      </w:pPr>
      <w:r w:rsidRPr="000A0A5F">
        <w:t>Table 5.2.1.2.10-1: Definition of the WebsockNotifConfig data type</w:t>
      </w:r>
    </w:p>
    <w:tbl>
      <w:tblPr>
        <w:tblW w:w="5122"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870"/>
        <w:gridCol w:w="2068"/>
        <w:gridCol w:w="1323"/>
        <w:gridCol w:w="4837"/>
      </w:tblGrid>
      <w:tr w:rsidR="00CB0DD7" w:rsidRPr="000A0A5F" w:rsidTr="00FF0AF8">
        <w:tc>
          <w:tcPr>
            <w:tcW w:w="926" w:type="pct"/>
            <w:shd w:val="clear" w:color="auto" w:fill="C0C0C0"/>
            <w:tcMar>
              <w:top w:w="0" w:type="dxa"/>
              <w:left w:w="108" w:type="dxa"/>
              <w:bottom w:w="0" w:type="dxa"/>
              <w:right w:w="108" w:type="dxa"/>
            </w:tcMar>
          </w:tcPr>
          <w:p w:rsidR="00CB0DD7" w:rsidRPr="000A0A5F" w:rsidRDefault="00CB0DD7">
            <w:pPr>
              <w:pStyle w:val="TAH"/>
            </w:pPr>
            <w:r w:rsidRPr="000A0A5F">
              <w:t>Attribute name</w:t>
            </w:r>
          </w:p>
        </w:tc>
        <w:tc>
          <w:tcPr>
            <w:tcW w:w="1024" w:type="pct"/>
            <w:shd w:val="clear" w:color="auto" w:fill="C0C0C0"/>
            <w:tcMar>
              <w:top w:w="0" w:type="dxa"/>
              <w:left w:w="108" w:type="dxa"/>
              <w:bottom w:w="0" w:type="dxa"/>
              <w:right w:w="108" w:type="dxa"/>
            </w:tcMar>
          </w:tcPr>
          <w:p w:rsidR="00CB0DD7" w:rsidRPr="000A0A5F" w:rsidRDefault="00CB0DD7">
            <w:pPr>
              <w:pStyle w:val="TAH"/>
            </w:pPr>
            <w:r w:rsidRPr="000A0A5F">
              <w:t>Data type</w:t>
            </w:r>
          </w:p>
        </w:tc>
        <w:tc>
          <w:tcPr>
            <w:tcW w:w="655" w:type="pct"/>
            <w:shd w:val="clear" w:color="auto" w:fill="C0C0C0"/>
            <w:tcMar>
              <w:top w:w="0" w:type="dxa"/>
              <w:left w:w="108" w:type="dxa"/>
              <w:bottom w:w="0" w:type="dxa"/>
              <w:right w:w="108" w:type="dxa"/>
            </w:tcMar>
          </w:tcPr>
          <w:p w:rsidR="00CB0DD7" w:rsidRPr="000A0A5F" w:rsidRDefault="00CB0DD7">
            <w:pPr>
              <w:pStyle w:val="TAH"/>
            </w:pPr>
            <w:r w:rsidRPr="000A0A5F">
              <w:t>Cardinality</w:t>
            </w:r>
          </w:p>
        </w:tc>
        <w:tc>
          <w:tcPr>
            <w:tcW w:w="2395" w:type="pct"/>
            <w:shd w:val="clear" w:color="auto" w:fill="C0C0C0"/>
            <w:tcMar>
              <w:top w:w="0" w:type="dxa"/>
              <w:left w:w="108" w:type="dxa"/>
              <w:bottom w:w="0" w:type="dxa"/>
              <w:right w:w="108" w:type="dxa"/>
            </w:tcMar>
          </w:tcPr>
          <w:p w:rsidR="00CB0DD7" w:rsidRPr="000A0A5F" w:rsidRDefault="00CB0DD7">
            <w:pPr>
              <w:pStyle w:val="TAH"/>
            </w:pPr>
            <w:r w:rsidRPr="000A0A5F">
              <w:t>Description</w:t>
            </w:r>
          </w:p>
        </w:tc>
      </w:tr>
      <w:tr w:rsidR="00CB0DD7" w:rsidRPr="000A0A5F" w:rsidTr="00FF0AF8">
        <w:tc>
          <w:tcPr>
            <w:tcW w:w="926" w:type="pct"/>
            <w:shd w:val="clear" w:color="auto" w:fill="auto"/>
            <w:tcMar>
              <w:top w:w="0" w:type="dxa"/>
              <w:left w:w="108" w:type="dxa"/>
              <w:bottom w:w="0" w:type="dxa"/>
              <w:right w:w="108" w:type="dxa"/>
            </w:tcMar>
          </w:tcPr>
          <w:p w:rsidR="00CB0DD7" w:rsidRPr="000A0A5F" w:rsidRDefault="00CB0DD7">
            <w:pPr>
              <w:pStyle w:val="TAL"/>
            </w:pPr>
            <w:r w:rsidRPr="000A0A5F">
              <w:t>websocketUri</w:t>
            </w:r>
          </w:p>
        </w:tc>
        <w:tc>
          <w:tcPr>
            <w:tcW w:w="1024" w:type="pct"/>
            <w:shd w:val="clear" w:color="auto" w:fill="auto"/>
            <w:tcMar>
              <w:top w:w="0" w:type="dxa"/>
              <w:left w:w="108" w:type="dxa"/>
              <w:bottom w:w="0" w:type="dxa"/>
              <w:right w:w="108" w:type="dxa"/>
            </w:tcMar>
          </w:tcPr>
          <w:p w:rsidR="00CB0DD7" w:rsidRPr="000A0A5F" w:rsidRDefault="00CB0DD7">
            <w:pPr>
              <w:pStyle w:val="TAL"/>
            </w:pPr>
            <w:r w:rsidRPr="000A0A5F">
              <w:t>Link</w:t>
            </w:r>
          </w:p>
        </w:tc>
        <w:tc>
          <w:tcPr>
            <w:tcW w:w="655" w:type="pct"/>
            <w:shd w:val="clear" w:color="auto" w:fill="auto"/>
            <w:tcMar>
              <w:top w:w="0" w:type="dxa"/>
              <w:left w:w="108" w:type="dxa"/>
              <w:bottom w:w="0" w:type="dxa"/>
              <w:right w:w="108" w:type="dxa"/>
            </w:tcMar>
          </w:tcPr>
          <w:p w:rsidR="00CB0DD7" w:rsidRPr="000A0A5F" w:rsidRDefault="00CB0DD7">
            <w:pPr>
              <w:pStyle w:val="TAL"/>
            </w:pPr>
            <w:r w:rsidRPr="000A0A5F">
              <w:t>0..1</w:t>
            </w:r>
          </w:p>
        </w:tc>
        <w:tc>
          <w:tcPr>
            <w:tcW w:w="2395" w:type="pct"/>
            <w:shd w:val="clear" w:color="auto" w:fill="auto"/>
            <w:tcMar>
              <w:top w:w="0" w:type="dxa"/>
              <w:left w:w="108" w:type="dxa"/>
              <w:bottom w:w="0" w:type="dxa"/>
              <w:right w:w="108" w:type="dxa"/>
            </w:tcMar>
          </w:tcPr>
          <w:p w:rsidR="00CB0DD7" w:rsidRPr="000A0A5F" w:rsidRDefault="00CB0DD7">
            <w:pPr>
              <w:pageBreakBefo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50" w:after="120"/>
              <w:rPr>
                <w:rFonts w:ascii="Arial" w:hAnsi="Arial"/>
                <w:sz w:val="18"/>
                <w:lang w:eastAsia="zh-CN"/>
              </w:rPr>
            </w:pPr>
            <w:r w:rsidRPr="000A0A5F">
              <w:rPr>
                <w:rFonts w:ascii="Arial" w:hAnsi="Arial"/>
                <w:sz w:val="18"/>
                <w:lang w:eastAsia="zh-CN"/>
              </w:rPr>
              <w:t>Set by the SCEF to indicate to the SCS/AS the Websocket URI to be used for delivering notifications.</w:t>
            </w:r>
          </w:p>
          <w:p w:rsidR="00CB0DD7" w:rsidRPr="000A0A5F" w:rsidRDefault="00CB0DD7">
            <w:pPr>
              <w:pageBreakBefo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hAnsi="Arial" w:hint="eastAsia"/>
                <w:sz w:val="18"/>
                <w:lang w:val="en-US" w:eastAsia="zh-CN"/>
              </w:rPr>
            </w:pPr>
            <w:r w:rsidRPr="000A0A5F">
              <w:rPr>
                <w:rFonts w:ascii="Arial" w:hAnsi="Arial"/>
                <w:sz w:val="18"/>
                <w:lang w:eastAsia="zh-CN"/>
              </w:rPr>
              <w:t>(NOTE</w:t>
            </w:r>
            <w:r w:rsidRPr="000A0A5F">
              <w:rPr>
                <w:rFonts w:ascii="Arial" w:hAnsi="Arial"/>
                <w:sz w:val="18"/>
                <w:lang w:val="en-US" w:eastAsia="zh-CN"/>
              </w:rPr>
              <w:t> </w:t>
            </w:r>
            <w:r w:rsidRPr="000A0A5F">
              <w:rPr>
                <w:rFonts w:ascii="Arial" w:hAnsi="Arial"/>
                <w:sz w:val="18"/>
                <w:lang w:eastAsia="zh-CN"/>
              </w:rPr>
              <w:t>1)</w:t>
            </w:r>
          </w:p>
        </w:tc>
      </w:tr>
      <w:tr w:rsidR="00CB0DD7" w:rsidRPr="000A0A5F" w:rsidTr="00FF0AF8">
        <w:tc>
          <w:tcPr>
            <w:tcW w:w="926" w:type="pct"/>
            <w:shd w:val="clear" w:color="auto" w:fill="auto"/>
            <w:tcMar>
              <w:top w:w="0" w:type="dxa"/>
              <w:left w:w="108" w:type="dxa"/>
              <w:bottom w:w="0" w:type="dxa"/>
              <w:right w:w="108" w:type="dxa"/>
            </w:tcMar>
          </w:tcPr>
          <w:p w:rsidR="00CB0DD7" w:rsidRPr="000A0A5F" w:rsidRDefault="00CB0DD7">
            <w:pPr>
              <w:pStyle w:val="TAL"/>
            </w:pPr>
            <w:r w:rsidRPr="000A0A5F">
              <w:t>requestWebsocketUri</w:t>
            </w:r>
          </w:p>
        </w:tc>
        <w:tc>
          <w:tcPr>
            <w:tcW w:w="1024" w:type="pct"/>
            <w:shd w:val="clear" w:color="auto" w:fill="auto"/>
            <w:tcMar>
              <w:top w:w="0" w:type="dxa"/>
              <w:left w:w="108" w:type="dxa"/>
              <w:bottom w:w="0" w:type="dxa"/>
              <w:right w:w="108" w:type="dxa"/>
            </w:tcMar>
          </w:tcPr>
          <w:p w:rsidR="00CB0DD7" w:rsidRPr="000A0A5F" w:rsidRDefault="00CB0DD7">
            <w:pPr>
              <w:pStyle w:val="TAL"/>
            </w:pPr>
            <w:r w:rsidRPr="000A0A5F">
              <w:t>boolean</w:t>
            </w:r>
          </w:p>
        </w:tc>
        <w:tc>
          <w:tcPr>
            <w:tcW w:w="655" w:type="pct"/>
            <w:shd w:val="clear" w:color="auto" w:fill="auto"/>
            <w:tcMar>
              <w:top w:w="0" w:type="dxa"/>
              <w:left w:w="108" w:type="dxa"/>
              <w:bottom w:w="0" w:type="dxa"/>
              <w:right w:w="108" w:type="dxa"/>
            </w:tcMar>
          </w:tcPr>
          <w:p w:rsidR="00CB0DD7" w:rsidRPr="000A0A5F" w:rsidRDefault="00CB0DD7">
            <w:pPr>
              <w:pStyle w:val="TAL"/>
            </w:pPr>
            <w:r w:rsidRPr="000A0A5F">
              <w:t>0..1</w:t>
            </w:r>
          </w:p>
        </w:tc>
        <w:tc>
          <w:tcPr>
            <w:tcW w:w="2395" w:type="pct"/>
            <w:shd w:val="clear" w:color="auto" w:fill="auto"/>
            <w:tcMar>
              <w:top w:w="0" w:type="dxa"/>
              <w:left w:w="108" w:type="dxa"/>
              <w:bottom w:w="0" w:type="dxa"/>
              <w:right w:w="108" w:type="dxa"/>
            </w:tcMar>
          </w:tcPr>
          <w:p w:rsidR="00CB0DD7" w:rsidRPr="000A0A5F" w:rsidRDefault="00CB0DD7">
            <w:pPr>
              <w:pageBreakBefo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50" w:after="120"/>
              <w:rPr>
                <w:rFonts w:ascii="Arial" w:hAnsi="Arial"/>
                <w:sz w:val="18"/>
                <w:lang w:eastAsia="zh-CN"/>
              </w:rPr>
            </w:pPr>
            <w:r w:rsidRPr="000A0A5F">
              <w:rPr>
                <w:rFonts w:ascii="Arial" w:hAnsi="Arial"/>
                <w:sz w:val="18"/>
                <w:lang w:eastAsia="zh-CN"/>
              </w:rPr>
              <w:t>Set by the SCS/AS to indicate that the Websocket delivery is requested.</w:t>
            </w:r>
          </w:p>
          <w:p w:rsidR="00CB0DD7" w:rsidRPr="000A0A5F" w:rsidRDefault="00CB0DD7">
            <w:pPr>
              <w:pageBreakBefo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hAnsi="Arial" w:hint="eastAsia"/>
                <w:sz w:val="18"/>
                <w:lang w:eastAsia="zh-CN"/>
              </w:rPr>
            </w:pPr>
            <w:r w:rsidRPr="000A0A5F">
              <w:rPr>
                <w:rFonts w:ascii="Arial" w:hAnsi="Arial"/>
                <w:sz w:val="18"/>
                <w:lang w:eastAsia="zh-CN"/>
              </w:rPr>
              <w:t>(NOTE</w:t>
            </w:r>
            <w:r w:rsidRPr="000A0A5F">
              <w:rPr>
                <w:rFonts w:ascii="Arial" w:hAnsi="Arial"/>
                <w:sz w:val="18"/>
                <w:lang w:val="en-US" w:eastAsia="zh-CN"/>
              </w:rPr>
              <w:t> </w:t>
            </w:r>
            <w:r w:rsidRPr="000A0A5F">
              <w:rPr>
                <w:rFonts w:ascii="Arial" w:hAnsi="Arial"/>
                <w:sz w:val="18"/>
                <w:lang w:eastAsia="zh-CN"/>
              </w:rPr>
              <w:t>2)</w:t>
            </w:r>
          </w:p>
        </w:tc>
      </w:tr>
      <w:tr w:rsidR="00CB0DD7" w:rsidRPr="000A0A5F" w:rsidTr="00FF0AF8">
        <w:tc>
          <w:tcPr>
            <w:tcW w:w="5000" w:type="pct"/>
            <w:gridSpan w:val="4"/>
            <w:shd w:val="clear" w:color="auto" w:fill="auto"/>
            <w:tcMar>
              <w:top w:w="0" w:type="dxa"/>
              <w:left w:w="108" w:type="dxa"/>
              <w:bottom w:w="0" w:type="dxa"/>
              <w:right w:w="108" w:type="dxa"/>
            </w:tcMar>
          </w:tcPr>
          <w:p w:rsidR="00CB0DD7" w:rsidRPr="000A0A5F" w:rsidRDefault="00CB0DD7">
            <w:pPr>
              <w:pStyle w:val="TAN"/>
              <w:rPr>
                <w:rFonts w:hint="eastAsia"/>
                <w:lang w:eastAsia="zh-CN"/>
              </w:rPr>
            </w:pPr>
            <w:r w:rsidRPr="000A0A5F">
              <w:rPr>
                <w:lang w:eastAsia="zh-CN"/>
              </w:rPr>
              <w:t>NOTE</w:t>
            </w:r>
            <w:r w:rsidRPr="000A0A5F">
              <w:rPr>
                <w:lang w:val="en-US" w:eastAsia="zh-CN"/>
              </w:rPr>
              <w:t> </w:t>
            </w:r>
            <w:r w:rsidRPr="000A0A5F">
              <w:rPr>
                <w:lang w:eastAsia="zh-CN"/>
              </w:rPr>
              <w:t>1:</w:t>
            </w:r>
            <w:r w:rsidRPr="000A0A5F">
              <w:rPr>
                <w:lang w:eastAsia="zh-CN"/>
              </w:rPr>
              <w:tab/>
              <w:t>A Websocket URI should use the scheme "wss" (Websocket Secure) for encrypted delivery and may use the scheme "ws" (Websocket) for unencrypted delivery. If the WebsockNotifConfig data type is used in an HTTP response, this attribute shall be present. If the WebsockNotifConfig data type is used in an HTTP request, this attribute shall not be set by the SCS/AS in a request to create a resource, and shall not be modified by the SCS/AS in a request to modify a resource.</w:t>
            </w:r>
          </w:p>
          <w:p w:rsidR="00CB0DD7" w:rsidRPr="000A0A5F" w:rsidRDefault="00CB0DD7">
            <w:pPr>
              <w:pStyle w:val="TAN"/>
              <w:rPr>
                <w:rFonts w:hint="eastAsia"/>
                <w:lang w:eastAsia="zh-CN"/>
              </w:rPr>
            </w:pPr>
            <w:r w:rsidRPr="000A0A5F">
              <w:rPr>
                <w:lang w:eastAsia="zh-CN"/>
              </w:rPr>
              <w:t>NOTE</w:t>
            </w:r>
            <w:r w:rsidRPr="000A0A5F">
              <w:rPr>
                <w:lang w:val="en-US" w:eastAsia="zh-CN"/>
              </w:rPr>
              <w:t> </w:t>
            </w:r>
            <w:r w:rsidRPr="000A0A5F">
              <w:rPr>
                <w:lang w:eastAsia="zh-CN"/>
              </w:rPr>
              <w:t>2:</w:t>
            </w:r>
            <w:r w:rsidRPr="000A0A5F">
              <w:rPr>
                <w:lang w:eastAsia="zh-CN"/>
              </w:rPr>
              <w:tab/>
              <w:t>In a request to create or update a resource, this attribute shall be set to true by the SCS/AS to request the SCEF to provide a Websocket URI for the delivery of notifications, and shall be absent otherwise. In any HTTP response, this attribute shall retain the value that was provided upon resource creation or update.</w:t>
            </w:r>
          </w:p>
        </w:tc>
      </w:tr>
    </w:tbl>
    <w:p w:rsidR="00CB0DD7" w:rsidRPr="000A0A5F" w:rsidRDefault="00CB0DD7"/>
    <w:p w:rsidR="00CB0DD7" w:rsidRPr="000A0A5F" w:rsidRDefault="00CB0DD7">
      <w:pPr>
        <w:pStyle w:val="Heading5"/>
      </w:pPr>
      <w:bookmarkStart w:id="1160" w:name="_Toc11247263"/>
      <w:bookmarkStart w:id="1161" w:name="_Toc27044383"/>
      <w:bookmarkStart w:id="1162" w:name="_Toc36033425"/>
      <w:bookmarkStart w:id="1163" w:name="_Toc45131557"/>
      <w:bookmarkStart w:id="1164" w:name="_Toc49775842"/>
      <w:bookmarkStart w:id="1165" w:name="_Toc51746762"/>
      <w:bookmarkStart w:id="1166" w:name="_Toc66360304"/>
      <w:bookmarkStart w:id="1167" w:name="_Toc68104809"/>
      <w:bookmarkStart w:id="1168" w:name="_Toc74755438"/>
      <w:bookmarkStart w:id="1169" w:name="_Toc105674293"/>
      <w:bookmarkStart w:id="1170" w:name="_Toc130502326"/>
      <w:bookmarkStart w:id="1171" w:name="_Toc153625105"/>
      <w:r w:rsidRPr="000A0A5F">
        <w:t>5.2.1.2.11</w:t>
      </w:r>
      <w:r w:rsidRPr="000A0A5F">
        <w:tab/>
        <w:t xml:space="preserve">Type: </w:t>
      </w:r>
      <w:r w:rsidRPr="000A0A5F">
        <w:rPr>
          <w:lang w:eastAsia="zh-CN"/>
        </w:rPr>
        <w:t>LocationArea</w:t>
      </w:r>
      <w:bookmarkEnd w:id="1160"/>
      <w:bookmarkEnd w:id="1161"/>
      <w:bookmarkEnd w:id="1162"/>
      <w:bookmarkEnd w:id="1163"/>
      <w:bookmarkEnd w:id="1164"/>
      <w:bookmarkEnd w:id="1165"/>
      <w:bookmarkEnd w:id="1166"/>
      <w:bookmarkEnd w:id="1167"/>
      <w:bookmarkEnd w:id="1168"/>
      <w:bookmarkEnd w:id="1169"/>
      <w:bookmarkEnd w:id="1170"/>
      <w:bookmarkEnd w:id="1171"/>
    </w:p>
    <w:p w:rsidR="00CB0DD7" w:rsidRPr="000A0A5F" w:rsidRDefault="00CB0DD7">
      <w:r w:rsidRPr="000A0A5F">
        <w:t>This data type represents the user location area which is sent from the SCS/AS to the SCEF.</w:t>
      </w:r>
    </w:p>
    <w:p w:rsidR="00CB0DD7" w:rsidRPr="000A0A5F" w:rsidRDefault="00CB0DD7">
      <w:pPr>
        <w:pStyle w:val="TH"/>
      </w:pPr>
      <w:r w:rsidRPr="000A0A5F">
        <w:t>Table 5.2.1.2.11-1: Definition of the LocationArea data Type</w:t>
      </w:r>
    </w:p>
    <w:tbl>
      <w:tblPr>
        <w:tblW w:w="4944"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669"/>
        <w:gridCol w:w="1417"/>
        <w:gridCol w:w="1277"/>
        <w:gridCol w:w="5384"/>
      </w:tblGrid>
      <w:tr w:rsidR="00CB0DD7" w:rsidRPr="000A0A5F" w:rsidTr="001B4357">
        <w:tc>
          <w:tcPr>
            <w:tcW w:w="856" w:type="pct"/>
            <w:shd w:val="clear" w:color="auto" w:fill="C0C0C0"/>
            <w:tcMar>
              <w:top w:w="0" w:type="dxa"/>
              <w:left w:w="108" w:type="dxa"/>
              <w:bottom w:w="0" w:type="dxa"/>
              <w:right w:w="108" w:type="dxa"/>
            </w:tcMar>
          </w:tcPr>
          <w:p w:rsidR="00CB0DD7" w:rsidRPr="000A0A5F" w:rsidRDefault="00CB0DD7">
            <w:pPr>
              <w:pStyle w:val="TAH"/>
            </w:pPr>
            <w:r w:rsidRPr="000A0A5F">
              <w:t>Attribute name</w:t>
            </w:r>
          </w:p>
        </w:tc>
        <w:tc>
          <w:tcPr>
            <w:tcW w:w="727" w:type="pct"/>
            <w:shd w:val="clear" w:color="auto" w:fill="C0C0C0"/>
            <w:tcMar>
              <w:top w:w="0" w:type="dxa"/>
              <w:left w:w="108" w:type="dxa"/>
              <w:bottom w:w="0" w:type="dxa"/>
              <w:right w:w="108" w:type="dxa"/>
            </w:tcMar>
          </w:tcPr>
          <w:p w:rsidR="00CB0DD7" w:rsidRPr="000A0A5F" w:rsidRDefault="00CB0DD7">
            <w:pPr>
              <w:pStyle w:val="TAH"/>
            </w:pPr>
            <w:r w:rsidRPr="000A0A5F">
              <w:t>Data type</w:t>
            </w:r>
          </w:p>
        </w:tc>
        <w:tc>
          <w:tcPr>
            <w:tcW w:w="655" w:type="pct"/>
            <w:shd w:val="clear" w:color="auto" w:fill="C0C0C0"/>
            <w:tcMar>
              <w:top w:w="0" w:type="dxa"/>
              <w:left w:w="108" w:type="dxa"/>
              <w:bottom w:w="0" w:type="dxa"/>
              <w:right w:w="108" w:type="dxa"/>
            </w:tcMar>
          </w:tcPr>
          <w:p w:rsidR="00CB0DD7" w:rsidRPr="000A0A5F" w:rsidRDefault="00CB0DD7">
            <w:pPr>
              <w:pStyle w:val="TAH"/>
            </w:pPr>
            <w:r w:rsidRPr="000A0A5F">
              <w:t>Cardinality</w:t>
            </w:r>
          </w:p>
        </w:tc>
        <w:tc>
          <w:tcPr>
            <w:tcW w:w="2763" w:type="pct"/>
            <w:shd w:val="clear" w:color="auto" w:fill="C0C0C0"/>
            <w:tcMar>
              <w:top w:w="0" w:type="dxa"/>
              <w:left w:w="108" w:type="dxa"/>
              <w:bottom w:w="0" w:type="dxa"/>
              <w:right w:w="108" w:type="dxa"/>
            </w:tcMar>
          </w:tcPr>
          <w:p w:rsidR="00CB0DD7" w:rsidRPr="000A0A5F" w:rsidRDefault="00CB0DD7">
            <w:pPr>
              <w:pStyle w:val="TAH"/>
            </w:pPr>
            <w:r w:rsidRPr="000A0A5F">
              <w:t>Description</w:t>
            </w:r>
          </w:p>
        </w:tc>
      </w:tr>
      <w:tr w:rsidR="00CB0DD7" w:rsidRPr="000A0A5F" w:rsidTr="001B4357">
        <w:tc>
          <w:tcPr>
            <w:tcW w:w="856" w:type="pct"/>
            <w:shd w:val="clear" w:color="auto" w:fill="auto"/>
            <w:tcMar>
              <w:top w:w="0" w:type="dxa"/>
              <w:left w:w="108" w:type="dxa"/>
              <w:bottom w:w="0" w:type="dxa"/>
              <w:right w:w="108" w:type="dxa"/>
            </w:tcMar>
            <w:vAlign w:val="center"/>
          </w:tcPr>
          <w:p w:rsidR="00CB0DD7" w:rsidRPr="000A0A5F" w:rsidRDefault="00CB0DD7">
            <w:pPr>
              <w:pStyle w:val="TAL"/>
              <w:rPr>
                <w:rFonts w:hint="eastAsia"/>
                <w:lang w:eastAsia="zh-CN"/>
              </w:rPr>
            </w:pPr>
            <w:r w:rsidRPr="000A0A5F">
              <w:rPr>
                <w:rFonts w:hint="eastAsia"/>
                <w:lang w:eastAsia="zh-CN"/>
              </w:rPr>
              <w:t>cellId</w:t>
            </w:r>
            <w:r w:rsidRPr="000A0A5F">
              <w:rPr>
                <w:lang w:eastAsia="zh-CN"/>
              </w:rPr>
              <w:t>s</w:t>
            </w:r>
          </w:p>
        </w:tc>
        <w:tc>
          <w:tcPr>
            <w:tcW w:w="727" w:type="pct"/>
            <w:shd w:val="clear" w:color="auto" w:fill="auto"/>
            <w:tcMar>
              <w:top w:w="0" w:type="dxa"/>
              <w:left w:w="108" w:type="dxa"/>
              <w:bottom w:w="0" w:type="dxa"/>
              <w:right w:w="108" w:type="dxa"/>
            </w:tcMar>
          </w:tcPr>
          <w:p w:rsidR="00CB0DD7" w:rsidRPr="000A0A5F" w:rsidRDefault="00CB0DD7">
            <w:pPr>
              <w:pStyle w:val="TAL"/>
              <w:rPr>
                <w:rFonts w:hint="eastAsia"/>
                <w:lang w:eastAsia="zh-CN"/>
              </w:rPr>
            </w:pPr>
            <w:r w:rsidRPr="000A0A5F">
              <w:rPr>
                <w:lang w:eastAsia="zh-CN"/>
              </w:rPr>
              <w:t>array(</w:t>
            </w:r>
            <w:r w:rsidRPr="000A0A5F">
              <w:rPr>
                <w:rFonts w:hint="eastAsia"/>
                <w:lang w:eastAsia="zh-CN"/>
              </w:rPr>
              <w:t>string</w:t>
            </w:r>
            <w:r w:rsidRPr="000A0A5F">
              <w:rPr>
                <w:lang w:eastAsia="zh-CN"/>
              </w:rPr>
              <w:t>)</w:t>
            </w:r>
          </w:p>
        </w:tc>
        <w:tc>
          <w:tcPr>
            <w:tcW w:w="655" w:type="pct"/>
            <w:shd w:val="clear" w:color="auto" w:fill="auto"/>
            <w:tcMar>
              <w:top w:w="0" w:type="dxa"/>
              <w:left w:w="108" w:type="dxa"/>
              <w:bottom w:w="0" w:type="dxa"/>
              <w:right w:w="108" w:type="dxa"/>
            </w:tcMar>
          </w:tcPr>
          <w:p w:rsidR="00CB0DD7" w:rsidRPr="000A0A5F" w:rsidRDefault="00CB0DD7">
            <w:pPr>
              <w:pStyle w:val="TAL"/>
              <w:rPr>
                <w:rFonts w:hint="eastAsia"/>
                <w:lang w:eastAsia="zh-CN"/>
              </w:rPr>
            </w:pPr>
            <w:r w:rsidRPr="000A0A5F">
              <w:rPr>
                <w:rFonts w:hint="eastAsia"/>
                <w:lang w:eastAsia="zh-CN"/>
              </w:rPr>
              <w:t>0..N</w:t>
            </w:r>
          </w:p>
        </w:tc>
        <w:tc>
          <w:tcPr>
            <w:tcW w:w="2763" w:type="pct"/>
            <w:shd w:val="clear" w:color="auto" w:fill="auto"/>
            <w:tcMar>
              <w:top w:w="0" w:type="dxa"/>
              <w:left w:w="108" w:type="dxa"/>
              <w:bottom w:w="0" w:type="dxa"/>
              <w:right w:w="108" w:type="dxa"/>
            </w:tcMar>
          </w:tcPr>
          <w:p w:rsidR="00CB0DD7" w:rsidRPr="000A0A5F" w:rsidRDefault="00CB0DD7">
            <w:pPr>
              <w:pStyle w:val="TAL"/>
              <w:rPr>
                <w:rFonts w:hint="eastAsia"/>
                <w:lang w:eastAsia="zh-CN"/>
              </w:rPr>
            </w:pPr>
            <w:r w:rsidRPr="000A0A5F">
              <w:rPr>
                <w:rFonts w:cs="Arial" w:hint="eastAsia"/>
                <w:szCs w:val="18"/>
                <w:lang w:eastAsia="zh-CN"/>
              </w:rPr>
              <w:t>Indicate</w:t>
            </w:r>
            <w:r w:rsidRPr="000A0A5F">
              <w:rPr>
                <w:rFonts w:cs="Arial"/>
                <w:szCs w:val="18"/>
                <w:lang w:eastAsia="zh-CN"/>
              </w:rPr>
              <w:t>s</w:t>
            </w:r>
            <w:r w:rsidRPr="000A0A5F">
              <w:rPr>
                <w:rFonts w:cs="Arial" w:hint="eastAsia"/>
                <w:szCs w:val="18"/>
                <w:lang w:eastAsia="zh-CN"/>
              </w:rPr>
              <w:t xml:space="preserve"> </w:t>
            </w:r>
            <w:r w:rsidRPr="000A0A5F">
              <w:rPr>
                <w:rFonts w:cs="Arial"/>
                <w:szCs w:val="18"/>
                <w:lang w:eastAsia="zh-CN"/>
              </w:rPr>
              <w:t xml:space="preserve">a list of </w:t>
            </w:r>
            <w:r w:rsidRPr="000A0A5F">
              <w:rPr>
                <w:rFonts w:cs="Arial" w:hint="eastAsia"/>
                <w:szCs w:val="18"/>
                <w:lang w:eastAsia="zh-CN"/>
              </w:rPr>
              <w:t>Cell Global Identi</w:t>
            </w:r>
            <w:r w:rsidRPr="000A0A5F">
              <w:rPr>
                <w:rFonts w:cs="Arial"/>
                <w:szCs w:val="18"/>
                <w:lang w:eastAsia="zh-CN"/>
              </w:rPr>
              <w:t>ties</w:t>
            </w:r>
            <w:r w:rsidRPr="000A0A5F">
              <w:rPr>
                <w:rFonts w:cs="Arial" w:hint="eastAsia"/>
                <w:szCs w:val="18"/>
                <w:lang w:eastAsia="zh-CN"/>
              </w:rPr>
              <w:t xml:space="preserve"> of the user which identifies the cell the UE is registered.</w:t>
            </w:r>
          </w:p>
        </w:tc>
      </w:tr>
      <w:tr w:rsidR="00CB0DD7" w:rsidRPr="000A0A5F" w:rsidTr="001B4357">
        <w:tc>
          <w:tcPr>
            <w:tcW w:w="856" w:type="pct"/>
            <w:shd w:val="clear" w:color="auto" w:fill="auto"/>
            <w:tcMar>
              <w:top w:w="0" w:type="dxa"/>
              <w:left w:w="108" w:type="dxa"/>
              <w:bottom w:w="0" w:type="dxa"/>
              <w:right w:w="108" w:type="dxa"/>
            </w:tcMar>
            <w:vAlign w:val="center"/>
          </w:tcPr>
          <w:p w:rsidR="00CB0DD7" w:rsidRPr="000A0A5F" w:rsidRDefault="00CB0DD7">
            <w:pPr>
              <w:pStyle w:val="TAL"/>
              <w:rPr>
                <w:rFonts w:hint="eastAsia"/>
                <w:lang w:eastAsia="zh-CN"/>
              </w:rPr>
            </w:pPr>
            <w:r w:rsidRPr="000A0A5F">
              <w:rPr>
                <w:rFonts w:hint="eastAsia"/>
                <w:lang w:eastAsia="zh-CN"/>
              </w:rPr>
              <w:t>e</w:t>
            </w:r>
            <w:r w:rsidRPr="000A0A5F">
              <w:rPr>
                <w:lang w:eastAsia="zh-CN"/>
              </w:rPr>
              <w:t>nodeBIds</w:t>
            </w:r>
          </w:p>
        </w:tc>
        <w:tc>
          <w:tcPr>
            <w:tcW w:w="727" w:type="pct"/>
            <w:shd w:val="clear" w:color="auto" w:fill="auto"/>
            <w:tcMar>
              <w:top w:w="0" w:type="dxa"/>
              <w:left w:w="108" w:type="dxa"/>
              <w:bottom w:w="0" w:type="dxa"/>
              <w:right w:w="108" w:type="dxa"/>
            </w:tcMar>
          </w:tcPr>
          <w:p w:rsidR="00CB0DD7" w:rsidRPr="000A0A5F" w:rsidRDefault="00CB0DD7">
            <w:pPr>
              <w:pStyle w:val="TAL"/>
              <w:rPr>
                <w:rFonts w:hint="eastAsia"/>
                <w:lang w:eastAsia="zh-CN"/>
              </w:rPr>
            </w:pPr>
            <w:r w:rsidRPr="000A0A5F">
              <w:rPr>
                <w:lang w:eastAsia="zh-CN"/>
              </w:rPr>
              <w:t>array(</w:t>
            </w:r>
            <w:r w:rsidRPr="000A0A5F">
              <w:rPr>
                <w:rFonts w:hint="eastAsia"/>
                <w:lang w:eastAsia="zh-CN"/>
              </w:rPr>
              <w:t>string</w:t>
            </w:r>
            <w:r w:rsidRPr="000A0A5F">
              <w:rPr>
                <w:lang w:eastAsia="zh-CN"/>
              </w:rPr>
              <w:t>)</w:t>
            </w:r>
          </w:p>
        </w:tc>
        <w:tc>
          <w:tcPr>
            <w:tcW w:w="655" w:type="pct"/>
            <w:shd w:val="clear" w:color="auto" w:fill="auto"/>
            <w:tcMar>
              <w:top w:w="0" w:type="dxa"/>
              <w:left w:w="108" w:type="dxa"/>
              <w:bottom w:w="0" w:type="dxa"/>
              <w:right w:w="108" w:type="dxa"/>
            </w:tcMar>
          </w:tcPr>
          <w:p w:rsidR="00CB0DD7" w:rsidRPr="000A0A5F" w:rsidRDefault="00CB0DD7">
            <w:pPr>
              <w:pStyle w:val="TAL"/>
              <w:rPr>
                <w:rFonts w:hint="eastAsia"/>
                <w:lang w:eastAsia="zh-CN"/>
              </w:rPr>
            </w:pPr>
            <w:r w:rsidRPr="000A0A5F">
              <w:rPr>
                <w:rFonts w:hint="eastAsia"/>
                <w:lang w:eastAsia="zh-CN"/>
              </w:rPr>
              <w:t>0..N</w:t>
            </w:r>
          </w:p>
        </w:tc>
        <w:tc>
          <w:tcPr>
            <w:tcW w:w="2763" w:type="pct"/>
            <w:shd w:val="clear" w:color="auto" w:fill="auto"/>
            <w:tcMar>
              <w:top w:w="0" w:type="dxa"/>
              <w:left w:w="108" w:type="dxa"/>
              <w:bottom w:w="0" w:type="dxa"/>
              <w:right w:w="108" w:type="dxa"/>
            </w:tcMar>
          </w:tcPr>
          <w:p w:rsidR="00CB0DD7" w:rsidRPr="000A0A5F" w:rsidRDefault="00CB0DD7">
            <w:pPr>
              <w:pStyle w:val="TAL"/>
            </w:pPr>
            <w:r w:rsidRPr="000A0A5F">
              <w:rPr>
                <w:rFonts w:cs="Arial" w:hint="eastAsia"/>
                <w:szCs w:val="18"/>
                <w:lang w:eastAsia="zh-CN"/>
              </w:rPr>
              <w:t xml:space="preserve">Indicates </w:t>
            </w:r>
            <w:r w:rsidRPr="000A0A5F">
              <w:rPr>
                <w:rFonts w:cs="Arial"/>
                <w:szCs w:val="18"/>
                <w:lang w:eastAsia="zh-CN"/>
              </w:rPr>
              <w:t>a</w:t>
            </w:r>
            <w:r w:rsidRPr="000A0A5F">
              <w:rPr>
                <w:rFonts w:cs="Arial" w:hint="eastAsia"/>
                <w:szCs w:val="18"/>
                <w:lang w:eastAsia="zh-CN"/>
              </w:rPr>
              <w:t xml:space="preserve"> </w:t>
            </w:r>
            <w:r w:rsidRPr="000A0A5F">
              <w:rPr>
                <w:rFonts w:cs="Arial"/>
                <w:szCs w:val="18"/>
                <w:lang w:eastAsia="zh-CN"/>
              </w:rPr>
              <w:t xml:space="preserve">list of </w:t>
            </w:r>
            <w:r w:rsidRPr="000A0A5F">
              <w:rPr>
                <w:rFonts w:cs="Arial" w:hint="eastAsia"/>
                <w:szCs w:val="18"/>
                <w:lang w:eastAsia="zh-CN"/>
              </w:rPr>
              <w:t xml:space="preserve">eNodeB </w:t>
            </w:r>
            <w:r w:rsidRPr="000A0A5F">
              <w:rPr>
                <w:rFonts w:cs="Arial"/>
                <w:szCs w:val="18"/>
                <w:lang w:eastAsia="zh-CN"/>
              </w:rPr>
              <w:t xml:space="preserve">identities </w:t>
            </w:r>
            <w:r w:rsidRPr="000A0A5F">
              <w:rPr>
                <w:rFonts w:cs="Arial" w:hint="eastAsia"/>
                <w:szCs w:val="18"/>
                <w:lang w:eastAsia="zh-CN"/>
              </w:rPr>
              <w:t>in which the UE is currently located.</w:t>
            </w:r>
          </w:p>
        </w:tc>
      </w:tr>
      <w:tr w:rsidR="00CB0DD7" w:rsidRPr="000A0A5F" w:rsidTr="001B4357">
        <w:tc>
          <w:tcPr>
            <w:tcW w:w="856" w:type="pct"/>
            <w:shd w:val="clear" w:color="auto" w:fill="auto"/>
            <w:tcMar>
              <w:top w:w="0" w:type="dxa"/>
              <w:left w:w="108" w:type="dxa"/>
              <w:bottom w:w="0" w:type="dxa"/>
              <w:right w:w="108" w:type="dxa"/>
            </w:tcMar>
            <w:vAlign w:val="center"/>
          </w:tcPr>
          <w:p w:rsidR="00CB0DD7" w:rsidRPr="000A0A5F" w:rsidRDefault="00CB0DD7">
            <w:pPr>
              <w:pStyle w:val="TAL"/>
              <w:rPr>
                <w:rFonts w:hint="eastAsia"/>
                <w:lang w:eastAsia="zh-CN"/>
              </w:rPr>
            </w:pPr>
            <w:r w:rsidRPr="000A0A5F">
              <w:rPr>
                <w:rFonts w:hint="eastAsia"/>
                <w:lang w:eastAsia="zh-CN"/>
              </w:rPr>
              <w:t>routingAreaId</w:t>
            </w:r>
            <w:r w:rsidRPr="000A0A5F">
              <w:rPr>
                <w:lang w:eastAsia="zh-CN"/>
              </w:rPr>
              <w:t>s</w:t>
            </w:r>
          </w:p>
        </w:tc>
        <w:tc>
          <w:tcPr>
            <w:tcW w:w="727" w:type="pct"/>
            <w:shd w:val="clear" w:color="auto" w:fill="auto"/>
            <w:tcMar>
              <w:top w:w="0" w:type="dxa"/>
              <w:left w:w="108" w:type="dxa"/>
              <w:bottom w:w="0" w:type="dxa"/>
              <w:right w:w="108" w:type="dxa"/>
            </w:tcMar>
          </w:tcPr>
          <w:p w:rsidR="00CB0DD7" w:rsidRPr="000A0A5F" w:rsidRDefault="00CB0DD7">
            <w:pPr>
              <w:pStyle w:val="TAL"/>
              <w:rPr>
                <w:rFonts w:hint="eastAsia"/>
                <w:lang w:eastAsia="zh-CN"/>
              </w:rPr>
            </w:pPr>
            <w:r w:rsidRPr="000A0A5F">
              <w:rPr>
                <w:lang w:eastAsia="zh-CN"/>
              </w:rPr>
              <w:t>array(</w:t>
            </w:r>
            <w:r w:rsidRPr="000A0A5F">
              <w:rPr>
                <w:rFonts w:hint="eastAsia"/>
                <w:lang w:eastAsia="zh-CN"/>
              </w:rPr>
              <w:t>string</w:t>
            </w:r>
            <w:r w:rsidRPr="000A0A5F">
              <w:rPr>
                <w:lang w:eastAsia="zh-CN"/>
              </w:rPr>
              <w:t>)</w:t>
            </w:r>
          </w:p>
        </w:tc>
        <w:tc>
          <w:tcPr>
            <w:tcW w:w="655" w:type="pct"/>
            <w:shd w:val="clear" w:color="auto" w:fill="auto"/>
            <w:tcMar>
              <w:top w:w="0" w:type="dxa"/>
              <w:left w:w="108" w:type="dxa"/>
              <w:bottom w:w="0" w:type="dxa"/>
              <w:right w:w="108" w:type="dxa"/>
            </w:tcMar>
          </w:tcPr>
          <w:p w:rsidR="00CB0DD7" w:rsidRPr="000A0A5F" w:rsidRDefault="00CB0DD7">
            <w:pPr>
              <w:pStyle w:val="TAL"/>
              <w:rPr>
                <w:rFonts w:hint="eastAsia"/>
                <w:lang w:eastAsia="zh-CN"/>
              </w:rPr>
            </w:pPr>
            <w:r w:rsidRPr="000A0A5F">
              <w:rPr>
                <w:rFonts w:hint="eastAsia"/>
                <w:lang w:eastAsia="zh-CN"/>
              </w:rPr>
              <w:t>0..N</w:t>
            </w:r>
          </w:p>
        </w:tc>
        <w:tc>
          <w:tcPr>
            <w:tcW w:w="2763" w:type="pct"/>
            <w:shd w:val="clear" w:color="auto" w:fill="auto"/>
            <w:tcMar>
              <w:top w:w="0" w:type="dxa"/>
              <w:left w:w="108" w:type="dxa"/>
              <w:bottom w:w="0" w:type="dxa"/>
              <w:right w:w="108" w:type="dxa"/>
            </w:tcMar>
          </w:tcPr>
          <w:p w:rsidR="00CB0DD7" w:rsidRPr="000A0A5F" w:rsidRDefault="00CB0DD7">
            <w:pPr>
              <w:pStyle w:val="TAL"/>
            </w:pPr>
            <w:r w:rsidRPr="000A0A5F">
              <w:rPr>
                <w:rFonts w:cs="Arial" w:hint="eastAsia"/>
                <w:szCs w:val="18"/>
                <w:lang w:eastAsia="zh-CN"/>
              </w:rPr>
              <w:t xml:space="preserve">Identifies </w:t>
            </w:r>
            <w:r w:rsidRPr="000A0A5F">
              <w:rPr>
                <w:rFonts w:cs="Arial"/>
                <w:szCs w:val="18"/>
                <w:lang w:eastAsia="zh-CN"/>
              </w:rPr>
              <w:t>a list of Routing Area Identities of the user where the UE is located.</w:t>
            </w:r>
          </w:p>
        </w:tc>
      </w:tr>
      <w:tr w:rsidR="00CB0DD7" w:rsidRPr="000A0A5F" w:rsidTr="001B4357">
        <w:tc>
          <w:tcPr>
            <w:tcW w:w="856" w:type="pct"/>
            <w:shd w:val="clear" w:color="auto" w:fill="auto"/>
            <w:tcMar>
              <w:top w:w="0" w:type="dxa"/>
              <w:left w:w="108" w:type="dxa"/>
              <w:bottom w:w="0" w:type="dxa"/>
              <w:right w:w="108" w:type="dxa"/>
            </w:tcMar>
            <w:vAlign w:val="center"/>
          </w:tcPr>
          <w:p w:rsidR="00CB0DD7" w:rsidRPr="000A0A5F" w:rsidRDefault="00CB0DD7">
            <w:pPr>
              <w:pStyle w:val="TAL"/>
              <w:rPr>
                <w:rFonts w:hint="eastAsia"/>
                <w:lang w:eastAsia="zh-CN"/>
              </w:rPr>
            </w:pPr>
            <w:r w:rsidRPr="000A0A5F">
              <w:rPr>
                <w:rFonts w:hint="eastAsia"/>
                <w:lang w:eastAsia="zh-CN"/>
              </w:rPr>
              <w:t>trackingAreaId</w:t>
            </w:r>
            <w:r w:rsidRPr="000A0A5F">
              <w:rPr>
                <w:lang w:eastAsia="zh-CN"/>
              </w:rPr>
              <w:t>s</w:t>
            </w:r>
          </w:p>
        </w:tc>
        <w:tc>
          <w:tcPr>
            <w:tcW w:w="727" w:type="pct"/>
            <w:shd w:val="clear" w:color="auto" w:fill="auto"/>
            <w:tcMar>
              <w:top w:w="0" w:type="dxa"/>
              <w:left w:w="108" w:type="dxa"/>
              <w:bottom w:w="0" w:type="dxa"/>
              <w:right w:w="108" w:type="dxa"/>
            </w:tcMar>
          </w:tcPr>
          <w:p w:rsidR="00CB0DD7" w:rsidRPr="000A0A5F" w:rsidRDefault="00CB0DD7">
            <w:pPr>
              <w:pStyle w:val="TAL"/>
              <w:rPr>
                <w:lang w:eastAsia="zh-CN"/>
              </w:rPr>
            </w:pPr>
            <w:r w:rsidRPr="000A0A5F">
              <w:rPr>
                <w:lang w:eastAsia="zh-CN"/>
              </w:rPr>
              <w:t>array(</w:t>
            </w:r>
            <w:r w:rsidRPr="000A0A5F">
              <w:rPr>
                <w:rFonts w:hint="eastAsia"/>
                <w:lang w:eastAsia="zh-CN"/>
              </w:rPr>
              <w:t>string</w:t>
            </w:r>
            <w:r w:rsidRPr="000A0A5F">
              <w:rPr>
                <w:lang w:eastAsia="zh-CN"/>
              </w:rPr>
              <w:t>)</w:t>
            </w:r>
          </w:p>
        </w:tc>
        <w:tc>
          <w:tcPr>
            <w:tcW w:w="655" w:type="pct"/>
            <w:shd w:val="clear" w:color="auto" w:fill="auto"/>
            <w:tcMar>
              <w:top w:w="0" w:type="dxa"/>
              <w:left w:w="108" w:type="dxa"/>
              <w:bottom w:w="0" w:type="dxa"/>
              <w:right w:w="108" w:type="dxa"/>
            </w:tcMar>
          </w:tcPr>
          <w:p w:rsidR="00CB0DD7" w:rsidRPr="000A0A5F" w:rsidRDefault="00CB0DD7">
            <w:pPr>
              <w:pStyle w:val="TAL"/>
              <w:rPr>
                <w:rFonts w:hint="eastAsia"/>
                <w:lang w:eastAsia="zh-CN"/>
              </w:rPr>
            </w:pPr>
            <w:r w:rsidRPr="000A0A5F">
              <w:rPr>
                <w:rFonts w:hint="eastAsia"/>
                <w:lang w:eastAsia="zh-CN"/>
              </w:rPr>
              <w:t>0..N</w:t>
            </w:r>
          </w:p>
        </w:tc>
        <w:tc>
          <w:tcPr>
            <w:tcW w:w="2763" w:type="pct"/>
            <w:shd w:val="clear" w:color="auto" w:fill="auto"/>
            <w:tcMar>
              <w:top w:w="0" w:type="dxa"/>
              <w:left w:w="108" w:type="dxa"/>
              <w:bottom w:w="0" w:type="dxa"/>
              <w:right w:w="108" w:type="dxa"/>
            </w:tcMar>
          </w:tcPr>
          <w:p w:rsidR="00CB0DD7" w:rsidRPr="000A0A5F" w:rsidRDefault="00CB0DD7">
            <w:pPr>
              <w:pStyle w:val="TAL"/>
            </w:pPr>
            <w:r w:rsidRPr="000A0A5F">
              <w:rPr>
                <w:rFonts w:cs="Arial" w:hint="eastAsia"/>
                <w:szCs w:val="18"/>
                <w:lang w:eastAsia="zh-CN"/>
              </w:rPr>
              <w:t xml:space="preserve">Identifies </w:t>
            </w:r>
            <w:r w:rsidRPr="000A0A5F">
              <w:rPr>
                <w:rFonts w:cs="Arial"/>
                <w:szCs w:val="18"/>
                <w:lang w:eastAsia="zh-CN"/>
              </w:rPr>
              <w:t>a list of Tracking Area Identities of the user where the UE is located.</w:t>
            </w:r>
          </w:p>
        </w:tc>
      </w:tr>
      <w:tr w:rsidR="00CB0DD7" w:rsidRPr="000A0A5F" w:rsidTr="001B4357">
        <w:tc>
          <w:tcPr>
            <w:tcW w:w="856" w:type="pct"/>
            <w:shd w:val="clear" w:color="auto" w:fill="auto"/>
            <w:tcMar>
              <w:top w:w="0" w:type="dxa"/>
              <w:left w:w="108" w:type="dxa"/>
              <w:bottom w:w="0" w:type="dxa"/>
              <w:right w:w="108" w:type="dxa"/>
            </w:tcMar>
            <w:vAlign w:val="center"/>
          </w:tcPr>
          <w:p w:rsidR="00CB0DD7" w:rsidRPr="000A0A5F" w:rsidRDefault="00CB0DD7">
            <w:pPr>
              <w:pStyle w:val="TAL"/>
              <w:rPr>
                <w:rFonts w:hint="eastAsia"/>
                <w:lang w:eastAsia="zh-CN"/>
              </w:rPr>
            </w:pPr>
            <w:r w:rsidRPr="000A0A5F">
              <w:rPr>
                <w:rFonts w:hint="eastAsia"/>
                <w:lang w:eastAsia="zh-CN"/>
              </w:rPr>
              <w:t>geographicArea</w:t>
            </w:r>
            <w:r w:rsidRPr="000A0A5F">
              <w:rPr>
                <w:lang w:eastAsia="zh-CN"/>
              </w:rPr>
              <w:t>s</w:t>
            </w:r>
          </w:p>
        </w:tc>
        <w:tc>
          <w:tcPr>
            <w:tcW w:w="727" w:type="pct"/>
            <w:shd w:val="clear" w:color="auto" w:fill="auto"/>
            <w:tcMar>
              <w:top w:w="0" w:type="dxa"/>
              <w:left w:w="108" w:type="dxa"/>
              <w:bottom w:w="0" w:type="dxa"/>
              <w:right w:w="108" w:type="dxa"/>
            </w:tcMar>
          </w:tcPr>
          <w:p w:rsidR="00CB0DD7" w:rsidRPr="000A0A5F" w:rsidRDefault="00CB0DD7">
            <w:pPr>
              <w:pStyle w:val="TAL"/>
              <w:rPr>
                <w:rFonts w:hint="eastAsia"/>
                <w:lang w:eastAsia="zh-CN"/>
              </w:rPr>
            </w:pPr>
            <w:r w:rsidRPr="000A0A5F">
              <w:rPr>
                <w:lang w:eastAsia="zh-CN"/>
              </w:rPr>
              <w:t>array(</w:t>
            </w:r>
            <w:r w:rsidRPr="000A0A5F">
              <w:rPr>
                <w:rFonts w:hint="eastAsia"/>
                <w:lang w:eastAsia="zh-CN"/>
              </w:rPr>
              <w:t>GeographicArea</w:t>
            </w:r>
            <w:r w:rsidRPr="000A0A5F">
              <w:rPr>
                <w:lang w:eastAsia="zh-CN"/>
              </w:rPr>
              <w:t>)</w:t>
            </w:r>
          </w:p>
        </w:tc>
        <w:tc>
          <w:tcPr>
            <w:tcW w:w="655" w:type="pct"/>
            <w:shd w:val="clear" w:color="auto" w:fill="auto"/>
            <w:tcMar>
              <w:top w:w="0" w:type="dxa"/>
              <w:left w:w="108" w:type="dxa"/>
              <w:bottom w:w="0" w:type="dxa"/>
              <w:right w:w="108" w:type="dxa"/>
            </w:tcMar>
          </w:tcPr>
          <w:p w:rsidR="00CB0DD7" w:rsidRPr="000A0A5F" w:rsidRDefault="00CB0DD7">
            <w:pPr>
              <w:pStyle w:val="TAL"/>
              <w:rPr>
                <w:rFonts w:hint="eastAsia"/>
                <w:lang w:eastAsia="zh-CN"/>
              </w:rPr>
            </w:pPr>
            <w:r w:rsidRPr="000A0A5F">
              <w:rPr>
                <w:rFonts w:hint="eastAsia"/>
                <w:lang w:eastAsia="zh-CN"/>
              </w:rPr>
              <w:t>0..N</w:t>
            </w:r>
          </w:p>
        </w:tc>
        <w:tc>
          <w:tcPr>
            <w:tcW w:w="2763" w:type="pct"/>
            <w:shd w:val="clear" w:color="auto" w:fill="auto"/>
            <w:tcMar>
              <w:top w:w="0" w:type="dxa"/>
              <w:left w:w="108" w:type="dxa"/>
              <w:bottom w:w="0" w:type="dxa"/>
              <w:right w:w="108" w:type="dxa"/>
            </w:tcMar>
          </w:tcPr>
          <w:p w:rsidR="00CB0DD7" w:rsidRPr="000A0A5F" w:rsidRDefault="00CB0DD7">
            <w:pPr>
              <w:pStyle w:val="TAL"/>
              <w:rPr>
                <w:rFonts w:cs="Arial" w:hint="eastAsia"/>
                <w:szCs w:val="18"/>
                <w:lang w:eastAsia="zh-CN"/>
              </w:rPr>
            </w:pPr>
            <w:r w:rsidRPr="000A0A5F">
              <w:rPr>
                <w:rFonts w:eastAsia="Times New Roman" w:cs="Arial"/>
                <w:szCs w:val="18"/>
              </w:rPr>
              <w:t>Identifies a list of geographic area of the user where the UE is located.</w:t>
            </w:r>
          </w:p>
        </w:tc>
      </w:tr>
      <w:tr w:rsidR="00CB0DD7" w:rsidRPr="000A0A5F" w:rsidTr="001B4357">
        <w:tc>
          <w:tcPr>
            <w:tcW w:w="856" w:type="pct"/>
            <w:shd w:val="clear" w:color="auto" w:fill="auto"/>
            <w:tcMar>
              <w:top w:w="0" w:type="dxa"/>
              <w:left w:w="108" w:type="dxa"/>
              <w:bottom w:w="0" w:type="dxa"/>
              <w:right w:w="108" w:type="dxa"/>
            </w:tcMar>
            <w:vAlign w:val="center"/>
          </w:tcPr>
          <w:p w:rsidR="00CB0DD7" w:rsidRPr="000A0A5F" w:rsidRDefault="00CB0DD7">
            <w:pPr>
              <w:pStyle w:val="TAL"/>
              <w:rPr>
                <w:rFonts w:hint="eastAsia"/>
                <w:lang w:eastAsia="zh-CN"/>
              </w:rPr>
            </w:pPr>
            <w:r w:rsidRPr="000A0A5F">
              <w:t>civicAddresses</w:t>
            </w:r>
          </w:p>
        </w:tc>
        <w:tc>
          <w:tcPr>
            <w:tcW w:w="727" w:type="pct"/>
            <w:shd w:val="clear" w:color="auto" w:fill="auto"/>
            <w:tcMar>
              <w:top w:w="0" w:type="dxa"/>
              <w:left w:w="108" w:type="dxa"/>
              <w:bottom w:w="0" w:type="dxa"/>
              <w:right w:w="108" w:type="dxa"/>
            </w:tcMar>
          </w:tcPr>
          <w:p w:rsidR="00CB0DD7" w:rsidRPr="000A0A5F" w:rsidRDefault="00CB0DD7">
            <w:pPr>
              <w:pStyle w:val="TAL"/>
              <w:rPr>
                <w:rFonts w:hint="eastAsia"/>
                <w:lang w:eastAsia="zh-CN"/>
              </w:rPr>
            </w:pPr>
            <w:r w:rsidRPr="000A0A5F">
              <w:rPr>
                <w:lang w:eastAsia="zh-CN"/>
              </w:rPr>
              <w:t>array(</w:t>
            </w:r>
            <w:r w:rsidRPr="000A0A5F">
              <w:t>CivicAddress)</w:t>
            </w:r>
          </w:p>
        </w:tc>
        <w:tc>
          <w:tcPr>
            <w:tcW w:w="655" w:type="pct"/>
            <w:shd w:val="clear" w:color="auto" w:fill="auto"/>
            <w:tcMar>
              <w:top w:w="0" w:type="dxa"/>
              <w:left w:w="108" w:type="dxa"/>
              <w:bottom w:w="0" w:type="dxa"/>
              <w:right w:w="108" w:type="dxa"/>
            </w:tcMar>
          </w:tcPr>
          <w:p w:rsidR="00CB0DD7" w:rsidRPr="000A0A5F" w:rsidRDefault="00CB0DD7">
            <w:pPr>
              <w:pStyle w:val="TAL"/>
              <w:rPr>
                <w:rFonts w:hint="eastAsia"/>
                <w:lang w:eastAsia="zh-CN"/>
              </w:rPr>
            </w:pPr>
            <w:r w:rsidRPr="000A0A5F">
              <w:rPr>
                <w:rFonts w:hint="eastAsia"/>
                <w:lang w:eastAsia="zh-CN"/>
              </w:rPr>
              <w:t>0..N</w:t>
            </w:r>
          </w:p>
        </w:tc>
        <w:tc>
          <w:tcPr>
            <w:tcW w:w="2763" w:type="pct"/>
            <w:shd w:val="clear" w:color="auto" w:fill="auto"/>
            <w:tcMar>
              <w:top w:w="0" w:type="dxa"/>
              <w:left w:w="108" w:type="dxa"/>
              <w:bottom w:w="0" w:type="dxa"/>
              <w:right w:w="108" w:type="dxa"/>
            </w:tcMar>
          </w:tcPr>
          <w:p w:rsidR="00CB0DD7" w:rsidRPr="000A0A5F" w:rsidRDefault="00CB0DD7">
            <w:pPr>
              <w:pStyle w:val="TAL"/>
              <w:rPr>
                <w:rFonts w:eastAsia="Times New Roman" w:cs="Arial"/>
                <w:szCs w:val="18"/>
              </w:rPr>
            </w:pPr>
            <w:r w:rsidRPr="000A0A5F">
              <w:rPr>
                <w:rFonts w:eastAsia="Times New Roman" w:cs="Arial"/>
                <w:szCs w:val="18"/>
              </w:rPr>
              <w:t>Identifies a list of civic addresses of the user where the UE is located.</w:t>
            </w:r>
          </w:p>
        </w:tc>
      </w:tr>
    </w:tbl>
    <w:p w:rsidR="00CB0DD7" w:rsidRPr="000A0A5F" w:rsidRDefault="00CB0DD7"/>
    <w:p w:rsidR="00CB0DD7" w:rsidRPr="000A0A5F" w:rsidRDefault="00CB0DD7">
      <w:pPr>
        <w:pStyle w:val="Heading5"/>
      </w:pPr>
      <w:bookmarkStart w:id="1172" w:name="_Toc11247264"/>
      <w:bookmarkStart w:id="1173" w:name="_Toc27044384"/>
      <w:bookmarkStart w:id="1174" w:name="_Toc36033426"/>
      <w:bookmarkStart w:id="1175" w:name="_Toc45131558"/>
      <w:bookmarkStart w:id="1176" w:name="_Toc49775843"/>
      <w:bookmarkStart w:id="1177" w:name="_Toc51746763"/>
      <w:bookmarkStart w:id="1178" w:name="_Toc66360305"/>
      <w:bookmarkStart w:id="1179" w:name="_Toc68104810"/>
      <w:bookmarkStart w:id="1180" w:name="_Toc74755439"/>
      <w:bookmarkStart w:id="1181" w:name="_Toc105674294"/>
      <w:bookmarkStart w:id="1182" w:name="_Toc130502327"/>
      <w:bookmarkStart w:id="1183" w:name="_Toc153625106"/>
      <w:r w:rsidRPr="000A0A5F">
        <w:t>5.2.1.2.12</w:t>
      </w:r>
      <w:r w:rsidRPr="000A0A5F">
        <w:tab/>
        <w:t>Type: ProblemDetails</w:t>
      </w:r>
      <w:bookmarkEnd w:id="1172"/>
      <w:bookmarkEnd w:id="1173"/>
      <w:bookmarkEnd w:id="1174"/>
      <w:bookmarkEnd w:id="1175"/>
      <w:bookmarkEnd w:id="1176"/>
      <w:bookmarkEnd w:id="1177"/>
      <w:bookmarkEnd w:id="1178"/>
      <w:bookmarkEnd w:id="1179"/>
      <w:bookmarkEnd w:id="1180"/>
      <w:bookmarkEnd w:id="1181"/>
      <w:bookmarkEnd w:id="1182"/>
      <w:bookmarkEnd w:id="1183"/>
    </w:p>
    <w:p w:rsidR="00CB0DD7" w:rsidRPr="000A0A5F" w:rsidRDefault="00CB0DD7">
      <w:pPr>
        <w:pStyle w:val="TH"/>
      </w:pPr>
      <w:r w:rsidRPr="000A0A5F">
        <w:rPr>
          <w:noProof/>
        </w:rPr>
        <w:t>Table </w:t>
      </w:r>
      <w:r w:rsidRPr="000A0A5F">
        <w:t xml:space="preserve">5.2.1.2.12-1: </w:t>
      </w:r>
      <w:r w:rsidRPr="000A0A5F">
        <w:rPr>
          <w:noProof/>
        </w:rPr>
        <w:t xml:space="preserve">Definition of the </w:t>
      </w:r>
      <w:r w:rsidRPr="000A0A5F">
        <w:t>ProblemDetails data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623"/>
        <w:gridCol w:w="1559"/>
        <w:gridCol w:w="1134"/>
        <w:gridCol w:w="4359"/>
      </w:tblGrid>
      <w:tr w:rsidR="00CB0DD7" w:rsidRPr="000A0A5F" w:rsidTr="00FF0AF8">
        <w:trPr>
          <w:jc w:val="center"/>
        </w:trPr>
        <w:tc>
          <w:tcPr>
            <w:tcW w:w="2623" w:type="dxa"/>
            <w:shd w:val="clear" w:color="auto" w:fill="C0C0C0"/>
            <w:hideMark/>
          </w:tcPr>
          <w:p w:rsidR="00CB0DD7" w:rsidRPr="000A0A5F" w:rsidRDefault="00CB0DD7">
            <w:pPr>
              <w:pStyle w:val="TAH"/>
            </w:pPr>
            <w:r w:rsidRPr="000A0A5F">
              <w:t>Attribute name</w:t>
            </w:r>
          </w:p>
        </w:tc>
        <w:tc>
          <w:tcPr>
            <w:tcW w:w="1559" w:type="dxa"/>
            <w:shd w:val="clear" w:color="auto" w:fill="C0C0C0"/>
            <w:hideMark/>
          </w:tcPr>
          <w:p w:rsidR="00CB0DD7" w:rsidRPr="000A0A5F" w:rsidRDefault="00CB0DD7">
            <w:pPr>
              <w:pStyle w:val="TAH"/>
            </w:pPr>
            <w:r w:rsidRPr="000A0A5F">
              <w:t>Data type</w:t>
            </w:r>
          </w:p>
        </w:tc>
        <w:tc>
          <w:tcPr>
            <w:tcW w:w="1134" w:type="dxa"/>
            <w:shd w:val="clear" w:color="auto" w:fill="C0C0C0"/>
          </w:tcPr>
          <w:p w:rsidR="00CB0DD7" w:rsidRPr="000A0A5F" w:rsidRDefault="00CB0DD7">
            <w:pPr>
              <w:pStyle w:val="TAH"/>
              <w:jc w:val="left"/>
            </w:pPr>
            <w:r w:rsidRPr="000A0A5F">
              <w:t>Cardinality</w:t>
            </w:r>
          </w:p>
        </w:tc>
        <w:tc>
          <w:tcPr>
            <w:tcW w:w="4359" w:type="dxa"/>
            <w:shd w:val="clear" w:color="auto" w:fill="C0C0C0"/>
            <w:hideMark/>
          </w:tcPr>
          <w:p w:rsidR="00CB0DD7" w:rsidRPr="000A0A5F" w:rsidRDefault="00CB0DD7">
            <w:pPr>
              <w:pStyle w:val="TAH"/>
              <w:rPr>
                <w:rFonts w:cs="Arial"/>
                <w:szCs w:val="18"/>
              </w:rPr>
            </w:pPr>
            <w:r w:rsidRPr="000A0A5F">
              <w:rPr>
                <w:rFonts w:cs="Arial"/>
                <w:szCs w:val="18"/>
              </w:rPr>
              <w:t>Description</w:t>
            </w:r>
          </w:p>
        </w:tc>
      </w:tr>
      <w:tr w:rsidR="00CB0DD7" w:rsidRPr="000A0A5F" w:rsidTr="00FF0AF8">
        <w:trPr>
          <w:jc w:val="center"/>
        </w:trPr>
        <w:tc>
          <w:tcPr>
            <w:tcW w:w="2623" w:type="dxa"/>
          </w:tcPr>
          <w:p w:rsidR="00CB0DD7" w:rsidRPr="000A0A5F" w:rsidRDefault="00CB0DD7">
            <w:pPr>
              <w:pStyle w:val="TAL"/>
            </w:pPr>
            <w:r w:rsidRPr="000A0A5F">
              <w:t>type</w:t>
            </w:r>
          </w:p>
        </w:tc>
        <w:tc>
          <w:tcPr>
            <w:tcW w:w="1559" w:type="dxa"/>
          </w:tcPr>
          <w:p w:rsidR="00CB0DD7" w:rsidRPr="000A0A5F" w:rsidRDefault="00CB0DD7">
            <w:pPr>
              <w:pStyle w:val="TAL"/>
            </w:pPr>
            <w:r w:rsidRPr="000A0A5F">
              <w:t>Uri</w:t>
            </w:r>
          </w:p>
        </w:tc>
        <w:tc>
          <w:tcPr>
            <w:tcW w:w="1134" w:type="dxa"/>
          </w:tcPr>
          <w:p w:rsidR="00CB0DD7" w:rsidRPr="000A0A5F" w:rsidRDefault="00CB0DD7">
            <w:pPr>
              <w:pStyle w:val="TAL"/>
            </w:pPr>
            <w:r w:rsidRPr="000A0A5F">
              <w:t>0..1</w:t>
            </w:r>
          </w:p>
        </w:tc>
        <w:tc>
          <w:tcPr>
            <w:tcW w:w="4359" w:type="dxa"/>
          </w:tcPr>
          <w:p w:rsidR="00CB0DD7" w:rsidRPr="000A0A5F" w:rsidRDefault="00CB0DD7">
            <w:pPr>
              <w:pStyle w:val="TAL"/>
              <w:rPr>
                <w:rFonts w:cs="Arial"/>
                <w:szCs w:val="18"/>
              </w:rPr>
            </w:pPr>
            <w:r w:rsidRPr="000A0A5F">
              <w:rPr>
                <w:rFonts w:cs="Arial"/>
                <w:szCs w:val="18"/>
              </w:rPr>
              <w:t>A URI reference according to IETF </w:t>
            </w:r>
            <w:r w:rsidR="00400CBC" w:rsidRPr="000A0A5F">
              <w:rPr>
                <w:rFonts w:cs="Arial"/>
                <w:szCs w:val="18"/>
              </w:rPr>
              <w:t>RFC </w:t>
            </w:r>
            <w:r w:rsidRPr="000A0A5F">
              <w:rPr>
                <w:rFonts w:cs="Arial"/>
                <w:szCs w:val="18"/>
              </w:rPr>
              <w:t xml:space="preserve">3986 [6] that identifies the problem type. </w:t>
            </w:r>
          </w:p>
        </w:tc>
      </w:tr>
      <w:tr w:rsidR="00CB0DD7" w:rsidRPr="000A0A5F" w:rsidTr="00FF0AF8">
        <w:trPr>
          <w:jc w:val="center"/>
        </w:trPr>
        <w:tc>
          <w:tcPr>
            <w:tcW w:w="2623" w:type="dxa"/>
          </w:tcPr>
          <w:p w:rsidR="00CB0DD7" w:rsidRPr="000A0A5F" w:rsidRDefault="00CB0DD7">
            <w:pPr>
              <w:pStyle w:val="TAL"/>
            </w:pPr>
            <w:r w:rsidRPr="000A0A5F">
              <w:t>title</w:t>
            </w:r>
          </w:p>
        </w:tc>
        <w:tc>
          <w:tcPr>
            <w:tcW w:w="1559" w:type="dxa"/>
          </w:tcPr>
          <w:p w:rsidR="00CB0DD7" w:rsidRPr="000A0A5F" w:rsidRDefault="00CB0DD7">
            <w:pPr>
              <w:pStyle w:val="TAL"/>
            </w:pPr>
            <w:r w:rsidRPr="000A0A5F">
              <w:t>string</w:t>
            </w:r>
          </w:p>
        </w:tc>
        <w:tc>
          <w:tcPr>
            <w:tcW w:w="1134" w:type="dxa"/>
          </w:tcPr>
          <w:p w:rsidR="00CB0DD7" w:rsidRPr="000A0A5F" w:rsidRDefault="00CB0DD7">
            <w:pPr>
              <w:pStyle w:val="TAL"/>
            </w:pPr>
            <w:r w:rsidRPr="000A0A5F">
              <w:t>0..1</w:t>
            </w:r>
          </w:p>
        </w:tc>
        <w:tc>
          <w:tcPr>
            <w:tcW w:w="4359" w:type="dxa"/>
          </w:tcPr>
          <w:p w:rsidR="00CB0DD7" w:rsidRPr="000A0A5F" w:rsidRDefault="00CB0DD7">
            <w:pPr>
              <w:pStyle w:val="TAL"/>
              <w:rPr>
                <w:rFonts w:cs="Arial"/>
                <w:szCs w:val="18"/>
              </w:rPr>
            </w:pPr>
            <w:r w:rsidRPr="000A0A5F">
              <w:rPr>
                <w:rFonts w:cs="Arial"/>
                <w:szCs w:val="18"/>
              </w:rPr>
              <w:t xml:space="preserve">A short, human-readable summary of the problem type. It should not change from occurrence to occurrence of the problem. </w:t>
            </w:r>
          </w:p>
        </w:tc>
      </w:tr>
      <w:tr w:rsidR="00CB0DD7" w:rsidRPr="000A0A5F" w:rsidTr="00FF0AF8">
        <w:trPr>
          <w:jc w:val="center"/>
        </w:trPr>
        <w:tc>
          <w:tcPr>
            <w:tcW w:w="2623" w:type="dxa"/>
          </w:tcPr>
          <w:p w:rsidR="00CB0DD7" w:rsidRPr="000A0A5F" w:rsidRDefault="00CB0DD7">
            <w:pPr>
              <w:pStyle w:val="TAL"/>
            </w:pPr>
            <w:r w:rsidRPr="000A0A5F">
              <w:t>status</w:t>
            </w:r>
          </w:p>
        </w:tc>
        <w:tc>
          <w:tcPr>
            <w:tcW w:w="1559" w:type="dxa"/>
          </w:tcPr>
          <w:p w:rsidR="00CB0DD7" w:rsidRPr="000A0A5F" w:rsidRDefault="00CB0DD7">
            <w:pPr>
              <w:pStyle w:val="TAL"/>
            </w:pPr>
            <w:r w:rsidRPr="000A0A5F">
              <w:t>integer</w:t>
            </w:r>
          </w:p>
        </w:tc>
        <w:tc>
          <w:tcPr>
            <w:tcW w:w="1134" w:type="dxa"/>
          </w:tcPr>
          <w:p w:rsidR="00CB0DD7" w:rsidRPr="000A0A5F" w:rsidRDefault="00CB0DD7">
            <w:pPr>
              <w:pStyle w:val="TAL"/>
            </w:pPr>
            <w:r w:rsidRPr="000A0A5F">
              <w:t>0..1</w:t>
            </w:r>
          </w:p>
        </w:tc>
        <w:tc>
          <w:tcPr>
            <w:tcW w:w="4359" w:type="dxa"/>
          </w:tcPr>
          <w:p w:rsidR="00CB0DD7" w:rsidRPr="000A0A5F" w:rsidRDefault="00CB0DD7">
            <w:pPr>
              <w:pStyle w:val="TAL"/>
              <w:rPr>
                <w:rFonts w:cs="Arial"/>
                <w:szCs w:val="18"/>
              </w:rPr>
            </w:pPr>
            <w:r w:rsidRPr="000A0A5F">
              <w:rPr>
                <w:rFonts w:cs="Arial"/>
                <w:szCs w:val="18"/>
              </w:rPr>
              <w:t>The HTTP status code for this occurrence of the problem.</w:t>
            </w:r>
          </w:p>
        </w:tc>
      </w:tr>
      <w:tr w:rsidR="00CB0DD7" w:rsidRPr="000A0A5F" w:rsidTr="00FF0AF8">
        <w:trPr>
          <w:jc w:val="center"/>
        </w:trPr>
        <w:tc>
          <w:tcPr>
            <w:tcW w:w="2623" w:type="dxa"/>
          </w:tcPr>
          <w:p w:rsidR="00CB0DD7" w:rsidRPr="000A0A5F" w:rsidRDefault="00CB0DD7">
            <w:pPr>
              <w:pStyle w:val="TAL"/>
            </w:pPr>
            <w:r w:rsidRPr="000A0A5F">
              <w:t>detail</w:t>
            </w:r>
          </w:p>
        </w:tc>
        <w:tc>
          <w:tcPr>
            <w:tcW w:w="1559" w:type="dxa"/>
          </w:tcPr>
          <w:p w:rsidR="00CB0DD7" w:rsidRPr="000A0A5F" w:rsidRDefault="00CB0DD7">
            <w:pPr>
              <w:pStyle w:val="TAL"/>
            </w:pPr>
            <w:r w:rsidRPr="000A0A5F">
              <w:t>string</w:t>
            </w:r>
          </w:p>
        </w:tc>
        <w:tc>
          <w:tcPr>
            <w:tcW w:w="1134" w:type="dxa"/>
          </w:tcPr>
          <w:p w:rsidR="00CB0DD7" w:rsidRPr="000A0A5F" w:rsidRDefault="00CB0DD7">
            <w:pPr>
              <w:pStyle w:val="TAL"/>
            </w:pPr>
            <w:r w:rsidRPr="000A0A5F">
              <w:t>0..1</w:t>
            </w:r>
          </w:p>
        </w:tc>
        <w:tc>
          <w:tcPr>
            <w:tcW w:w="4359" w:type="dxa"/>
          </w:tcPr>
          <w:p w:rsidR="00CB0DD7" w:rsidRPr="000A0A5F" w:rsidRDefault="00CB0DD7">
            <w:pPr>
              <w:pStyle w:val="TAL"/>
              <w:rPr>
                <w:rFonts w:cs="Arial"/>
                <w:szCs w:val="18"/>
              </w:rPr>
            </w:pPr>
            <w:r w:rsidRPr="000A0A5F">
              <w:rPr>
                <w:rFonts w:cs="Arial"/>
                <w:szCs w:val="18"/>
              </w:rPr>
              <w:t>A human-readable explanation specific to this occurrence of the problem.</w:t>
            </w:r>
          </w:p>
        </w:tc>
      </w:tr>
      <w:tr w:rsidR="00CB0DD7" w:rsidRPr="000A0A5F" w:rsidTr="00FF0AF8">
        <w:trPr>
          <w:jc w:val="center"/>
        </w:trPr>
        <w:tc>
          <w:tcPr>
            <w:tcW w:w="2623" w:type="dxa"/>
          </w:tcPr>
          <w:p w:rsidR="00CB0DD7" w:rsidRPr="000A0A5F" w:rsidRDefault="00CB0DD7">
            <w:pPr>
              <w:pStyle w:val="TAL"/>
            </w:pPr>
            <w:r w:rsidRPr="000A0A5F">
              <w:t>instance</w:t>
            </w:r>
          </w:p>
        </w:tc>
        <w:tc>
          <w:tcPr>
            <w:tcW w:w="1559" w:type="dxa"/>
          </w:tcPr>
          <w:p w:rsidR="00CB0DD7" w:rsidRPr="000A0A5F" w:rsidRDefault="00CB0DD7">
            <w:pPr>
              <w:pStyle w:val="TAL"/>
            </w:pPr>
            <w:r w:rsidRPr="000A0A5F">
              <w:t>Uri</w:t>
            </w:r>
          </w:p>
        </w:tc>
        <w:tc>
          <w:tcPr>
            <w:tcW w:w="1134" w:type="dxa"/>
          </w:tcPr>
          <w:p w:rsidR="00CB0DD7" w:rsidRPr="000A0A5F" w:rsidRDefault="00CB0DD7">
            <w:pPr>
              <w:pStyle w:val="TAL"/>
            </w:pPr>
            <w:r w:rsidRPr="000A0A5F">
              <w:t>0..1</w:t>
            </w:r>
          </w:p>
        </w:tc>
        <w:tc>
          <w:tcPr>
            <w:tcW w:w="4359" w:type="dxa"/>
          </w:tcPr>
          <w:p w:rsidR="00CB0DD7" w:rsidRPr="000A0A5F" w:rsidRDefault="00CB0DD7">
            <w:pPr>
              <w:pStyle w:val="TAL"/>
              <w:rPr>
                <w:rFonts w:cs="Arial"/>
                <w:szCs w:val="18"/>
              </w:rPr>
            </w:pPr>
            <w:r w:rsidRPr="000A0A5F">
              <w:rPr>
                <w:rFonts w:cs="Arial"/>
                <w:szCs w:val="18"/>
              </w:rPr>
              <w:t xml:space="preserve">A URI reference that identifies the specific occurrence of the problem. </w:t>
            </w:r>
          </w:p>
        </w:tc>
      </w:tr>
      <w:tr w:rsidR="00CB0DD7" w:rsidRPr="000A0A5F" w:rsidTr="00FF0AF8">
        <w:trPr>
          <w:jc w:val="center"/>
        </w:trPr>
        <w:tc>
          <w:tcPr>
            <w:tcW w:w="2623" w:type="dxa"/>
          </w:tcPr>
          <w:p w:rsidR="00CB0DD7" w:rsidRPr="000A0A5F" w:rsidRDefault="00CB0DD7">
            <w:pPr>
              <w:pStyle w:val="TAL"/>
            </w:pPr>
            <w:r w:rsidRPr="000A0A5F">
              <w:t>cause</w:t>
            </w:r>
          </w:p>
        </w:tc>
        <w:tc>
          <w:tcPr>
            <w:tcW w:w="1559" w:type="dxa"/>
          </w:tcPr>
          <w:p w:rsidR="00CB0DD7" w:rsidRPr="000A0A5F" w:rsidRDefault="00CB0DD7">
            <w:pPr>
              <w:pStyle w:val="TAL"/>
            </w:pPr>
            <w:r w:rsidRPr="000A0A5F">
              <w:t>string</w:t>
            </w:r>
          </w:p>
        </w:tc>
        <w:tc>
          <w:tcPr>
            <w:tcW w:w="1134" w:type="dxa"/>
          </w:tcPr>
          <w:p w:rsidR="00CB0DD7" w:rsidRPr="000A0A5F" w:rsidRDefault="00CB0DD7">
            <w:pPr>
              <w:pStyle w:val="TAL"/>
            </w:pPr>
            <w:r w:rsidRPr="000A0A5F">
              <w:t>0..1</w:t>
            </w:r>
          </w:p>
        </w:tc>
        <w:tc>
          <w:tcPr>
            <w:tcW w:w="4359" w:type="dxa"/>
          </w:tcPr>
          <w:p w:rsidR="00CB0DD7" w:rsidRPr="000A0A5F" w:rsidRDefault="00CB0DD7">
            <w:pPr>
              <w:pStyle w:val="TAL"/>
              <w:rPr>
                <w:rFonts w:cs="Arial"/>
                <w:szCs w:val="18"/>
              </w:rPr>
            </w:pPr>
            <w:r w:rsidRPr="000A0A5F">
              <w:t>A machine-readable application error cause specific to this occurrence of the problem</w:t>
            </w:r>
            <w:r w:rsidRPr="000A0A5F">
              <w:rPr>
                <w:rFonts w:cs="Arial"/>
                <w:szCs w:val="18"/>
              </w:rPr>
              <w:t xml:space="preserve"> </w:t>
            </w:r>
          </w:p>
          <w:p w:rsidR="00CB0DD7" w:rsidRPr="000A0A5F" w:rsidRDefault="00CB0DD7">
            <w:pPr>
              <w:pStyle w:val="TAL"/>
              <w:rPr>
                <w:rFonts w:cs="Arial"/>
                <w:szCs w:val="18"/>
              </w:rPr>
            </w:pPr>
            <w:r w:rsidRPr="000A0A5F">
              <w:rPr>
                <w:rFonts w:cs="Arial"/>
                <w:szCs w:val="18"/>
              </w:rPr>
              <w:t>This IE should be present and provide application-related error information, if available</w:t>
            </w:r>
            <w:r w:rsidRPr="000A0A5F">
              <w:rPr>
                <w:lang w:val="en-US" w:eastAsia="fr-FR"/>
              </w:rPr>
              <w:t>.</w:t>
            </w:r>
          </w:p>
        </w:tc>
      </w:tr>
      <w:tr w:rsidR="00CB0DD7" w:rsidRPr="000A0A5F" w:rsidTr="00FF0AF8">
        <w:trPr>
          <w:jc w:val="center"/>
        </w:trPr>
        <w:tc>
          <w:tcPr>
            <w:tcW w:w="2623" w:type="dxa"/>
          </w:tcPr>
          <w:p w:rsidR="00CB0DD7" w:rsidRPr="000A0A5F" w:rsidRDefault="00CB0DD7">
            <w:pPr>
              <w:pStyle w:val="TAL"/>
            </w:pPr>
            <w:r w:rsidRPr="000A0A5F">
              <w:t>invalidParams</w:t>
            </w:r>
          </w:p>
        </w:tc>
        <w:tc>
          <w:tcPr>
            <w:tcW w:w="1559" w:type="dxa"/>
          </w:tcPr>
          <w:p w:rsidR="00CB0DD7" w:rsidRPr="000A0A5F" w:rsidRDefault="00CB0DD7">
            <w:pPr>
              <w:pStyle w:val="TAL"/>
            </w:pPr>
            <w:r w:rsidRPr="000A0A5F">
              <w:t>array(InvalidParam)</w:t>
            </w:r>
          </w:p>
        </w:tc>
        <w:tc>
          <w:tcPr>
            <w:tcW w:w="1134" w:type="dxa"/>
          </w:tcPr>
          <w:p w:rsidR="00CB0DD7" w:rsidRPr="000A0A5F" w:rsidRDefault="00CB0DD7">
            <w:pPr>
              <w:pStyle w:val="TAL"/>
            </w:pPr>
            <w:r w:rsidRPr="000A0A5F">
              <w:t>0..N</w:t>
            </w:r>
          </w:p>
        </w:tc>
        <w:tc>
          <w:tcPr>
            <w:tcW w:w="4359" w:type="dxa"/>
          </w:tcPr>
          <w:p w:rsidR="00CB0DD7" w:rsidRPr="000A0A5F" w:rsidRDefault="00CB0DD7">
            <w:pPr>
              <w:pStyle w:val="TAL"/>
              <w:rPr>
                <w:rFonts w:cs="Arial"/>
                <w:szCs w:val="18"/>
              </w:rPr>
            </w:pPr>
            <w:r w:rsidRPr="000A0A5F">
              <w:rPr>
                <w:rFonts w:cs="Arial"/>
                <w:szCs w:val="18"/>
              </w:rPr>
              <w:t>Description of invalid parameters, for a request rejected due to invalid parameters.</w:t>
            </w:r>
          </w:p>
        </w:tc>
      </w:tr>
      <w:tr w:rsidR="00CB0DD7" w:rsidRPr="000A0A5F" w:rsidTr="00FF0AF8">
        <w:trPr>
          <w:jc w:val="center"/>
        </w:trPr>
        <w:tc>
          <w:tcPr>
            <w:tcW w:w="2623" w:type="dxa"/>
          </w:tcPr>
          <w:p w:rsidR="00CB0DD7" w:rsidRPr="000A0A5F" w:rsidRDefault="00CB0DD7">
            <w:pPr>
              <w:pStyle w:val="TAL"/>
            </w:pPr>
            <w:r w:rsidRPr="000A0A5F">
              <w:t>supportedFeatures</w:t>
            </w:r>
          </w:p>
        </w:tc>
        <w:tc>
          <w:tcPr>
            <w:tcW w:w="1559" w:type="dxa"/>
          </w:tcPr>
          <w:p w:rsidR="00CB0DD7" w:rsidRPr="000A0A5F" w:rsidRDefault="00CB0DD7">
            <w:pPr>
              <w:pStyle w:val="TAL"/>
            </w:pPr>
            <w:r w:rsidRPr="000A0A5F">
              <w:t>SupportedFeatures</w:t>
            </w:r>
          </w:p>
        </w:tc>
        <w:tc>
          <w:tcPr>
            <w:tcW w:w="1134" w:type="dxa"/>
          </w:tcPr>
          <w:p w:rsidR="00CB0DD7" w:rsidRPr="000A0A5F" w:rsidRDefault="00CB0DD7">
            <w:pPr>
              <w:pStyle w:val="TAL"/>
            </w:pPr>
            <w:r w:rsidRPr="000A0A5F">
              <w:t>0..1</w:t>
            </w:r>
          </w:p>
        </w:tc>
        <w:tc>
          <w:tcPr>
            <w:tcW w:w="4359" w:type="dxa"/>
          </w:tcPr>
          <w:p w:rsidR="00CB0DD7" w:rsidRPr="000A0A5F" w:rsidRDefault="00CB0DD7">
            <w:pPr>
              <w:pStyle w:val="TAL"/>
              <w:rPr>
                <w:rFonts w:cs="Arial"/>
                <w:szCs w:val="18"/>
              </w:rPr>
            </w:pPr>
            <w:r w:rsidRPr="000A0A5F">
              <w:rPr>
                <w:rFonts w:cs="Arial"/>
                <w:szCs w:val="18"/>
              </w:rPr>
              <w:t>Features supported by the server (SCEF or SCS/AS).</w:t>
            </w:r>
          </w:p>
          <w:p w:rsidR="00CB0DD7" w:rsidRPr="000A0A5F" w:rsidRDefault="00CB0DD7">
            <w:pPr>
              <w:pStyle w:val="TAL"/>
              <w:rPr>
                <w:lang w:eastAsia="zh-CN"/>
              </w:rPr>
            </w:pPr>
          </w:p>
          <w:p w:rsidR="00CB0DD7" w:rsidRPr="000A0A5F" w:rsidRDefault="00CB0DD7">
            <w:pPr>
              <w:pStyle w:val="TAL"/>
              <w:rPr>
                <w:rFonts w:cs="Arial"/>
                <w:szCs w:val="18"/>
              </w:rPr>
            </w:pPr>
            <w:r w:rsidRPr="000A0A5F">
              <w:rPr>
                <w:lang w:eastAsia="zh-CN"/>
              </w:rPr>
              <w:t xml:space="preserve">When present, this IE shall indicate the features supported by the server; if the server supports no features, this IE shall be set to the character "0". </w:t>
            </w:r>
          </w:p>
        </w:tc>
      </w:tr>
      <w:tr w:rsidR="00CB0DD7" w:rsidRPr="000A0A5F" w:rsidTr="00FF0AF8">
        <w:trPr>
          <w:jc w:val="center"/>
        </w:trPr>
        <w:tc>
          <w:tcPr>
            <w:tcW w:w="9675" w:type="dxa"/>
            <w:gridSpan w:val="4"/>
          </w:tcPr>
          <w:p w:rsidR="00CB0DD7" w:rsidRPr="000A0A5F" w:rsidRDefault="00CB0DD7">
            <w:pPr>
              <w:pStyle w:val="TAN"/>
            </w:pPr>
            <w:r w:rsidRPr="000A0A5F">
              <w:t>NOTE 1:</w:t>
            </w:r>
            <w:r w:rsidRPr="000A0A5F">
              <w:tab/>
            </w:r>
            <w:r w:rsidR="00C520FB" w:rsidRPr="000A0A5F">
              <w:t>See IETF RFC 9457 [8] for detailed information and guidance for each attribute.</w:t>
            </w:r>
          </w:p>
          <w:p w:rsidR="00CB0DD7" w:rsidRPr="000A0A5F" w:rsidRDefault="00CB0DD7">
            <w:pPr>
              <w:pStyle w:val="TAN"/>
              <w:rPr>
                <w:rFonts w:cs="Arial"/>
                <w:szCs w:val="18"/>
              </w:rPr>
            </w:pPr>
            <w:r w:rsidRPr="000A0A5F">
              <w:t>NOTE 2:</w:t>
            </w:r>
            <w:r w:rsidRPr="000A0A5F">
              <w:tab/>
              <w:t>Additional attributes may be defined per API.</w:t>
            </w:r>
          </w:p>
        </w:tc>
      </w:tr>
    </w:tbl>
    <w:p w:rsidR="00CB0DD7" w:rsidRPr="000A0A5F" w:rsidRDefault="00CB0DD7"/>
    <w:p w:rsidR="00CB0DD7" w:rsidRPr="000A0A5F" w:rsidRDefault="00CB0DD7">
      <w:pPr>
        <w:pStyle w:val="Heading5"/>
      </w:pPr>
      <w:bookmarkStart w:id="1184" w:name="_Toc11247265"/>
      <w:bookmarkStart w:id="1185" w:name="_Toc27044385"/>
      <w:bookmarkStart w:id="1186" w:name="_Toc36033427"/>
      <w:bookmarkStart w:id="1187" w:name="_Toc45131559"/>
      <w:bookmarkStart w:id="1188" w:name="_Toc49775844"/>
      <w:bookmarkStart w:id="1189" w:name="_Toc51746764"/>
      <w:bookmarkStart w:id="1190" w:name="_Toc66360306"/>
      <w:bookmarkStart w:id="1191" w:name="_Toc68104811"/>
      <w:bookmarkStart w:id="1192" w:name="_Toc74755440"/>
      <w:bookmarkStart w:id="1193" w:name="_Toc105674295"/>
      <w:bookmarkStart w:id="1194" w:name="_Toc130502328"/>
      <w:bookmarkStart w:id="1195" w:name="_Toc153625107"/>
      <w:r w:rsidRPr="000A0A5F">
        <w:t>5.2.1.2.13</w:t>
      </w:r>
      <w:r w:rsidRPr="000A0A5F">
        <w:tab/>
        <w:t>Type: InvalidParam</w:t>
      </w:r>
      <w:bookmarkEnd w:id="1184"/>
      <w:bookmarkEnd w:id="1185"/>
      <w:bookmarkEnd w:id="1186"/>
      <w:bookmarkEnd w:id="1187"/>
      <w:bookmarkEnd w:id="1188"/>
      <w:bookmarkEnd w:id="1189"/>
      <w:bookmarkEnd w:id="1190"/>
      <w:bookmarkEnd w:id="1191"/>
      <w:bookmarkEnd w:id="1192"/>
      <w:bookmarkEnd w:id="1193"/>
      <w:bookmarkEnd w:id="1194"/>
      <w:bookmarkEnd w:id="1195"/>
    </w:p>
    <w:p w:rsidR="00CB0DD7" w:rsidRPr="000A0A5F" w:rsidRDefault="00CB0DD7">
      <w:pPr>
        <w:pStyle w:val="TH"/>
      </w:pPr>
      <w:r w:rsidRPr="000A0A5F">
        <w:rPr>
          <w:noProof/>
        </w:rPr>
        <w:t>Table </w:t>
      </w:r>
      <w:r w:rsidRPr="000A0A5F">
        <w:t xml:space="preserve">5.2.1.2.13-1: </w:t>
      </w:r>
      <w:r w:rsidRPr="000A0A5F">
        <w:rPr>
          <w:noProof/>
        </w:rPr>
        <w:t xml:space="preserve">Definition of the </w:t>
      </w:r>
      <w:r w:rsidRPr="000A0A5F">
        <w:t>InvalidParam data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748"/>
        <w:gridCol w:w="1559"/>
        <w:gridCol w:w="1134"/>
        <w:gridCol w:w="4359"/>
      </w:tblGrid>
      <w:tr w:rsidR="00CB0DD7" w:rsidRPr="000A0A5F" w:rsidTr="001B4357">
        <w:trPr>
          <w:jc w:val="center"/>
        </w:trPr>
        <w:tc>
          <w:tcPr>
            <w:tcW w:w="2748" w:type="dxa"/>
            <w:shd w:val="clear" w:color="auto" w:fill="C0C0C0"/>
            <w:hideMark/>
          </w:tcPr>
          <w:p w:rsidR="00CB0DD7" w:rsidRPr="000A0A5F" w:rsidRDefault="00CB0DD7">
            <w:pPr>
              <w:pStyle w:val="TAH"/>
            </w:pPr>
            <w:r w:rsidRPr="000A0A5F">
              <w:t>Attribute name</w:t>
            </w:r>
          </w:p>
        </w:tc>
        <w:tc>
          <w:tcPr>
            <w:tcW w:w="1559" w:type="dxa"/>
            <w:shd w:val="clear" w:color="auto" w:fill="C0C0C0"/>
            <w:hideMark/>
          </w:tcPr>
          <w:p w:rsidR="00CB0DD7" w:rsidRPr="000A0A5F" w:rsidRDefault="00CB0DD7">
            <w:pPr>
              <w:pStyle w:val="TAH"/>
            </w:pPr>
            <w:r w:rsidRPr="000A0A5F">
              <w:t>Data type</w:t>
            </w:r>
          </w:p>
        </w:tc>
        <w:tc>
          <w:tcPr>
            <w:tcW w:w="1134" w:type="dxa"/>
            <w:shd w:val="clear" w:color="auto" w:fill="C0C0C0"/>
          </w:tcPr>
          <w:p w:rsidR="00CB0DD7" w:rsidRPr="000A0A5F" w:rsidRDefault="00CB0DD7">
            <w:pPr>
              <w:pStyle w:val="TAH"/>
              <w:jc w:val="left"/>
            </w:pPr>
            <w:r w:rsidRPr="000A0A5F">
              <w:t>Cardinality</w:t>
            </w:r>
          </w:p>
        </w:tc>
        <w:tc>
          <w:tcPr>
            <w:tcW w:w="4359" w:type="dxa"/>
            <w:shd w:val="clear" w:color="auto" w:fill="C0C0C0"/>
            <w:hideMark/>
          </w:tcPr>
          <w:p w:rsidR="00CB0DD7" w:rsidRPr="000A0A5F" w:rsidRDefault="00CB0DD7">
            <w:pPr>
              <w:pStyle w:val="TAH"/>
              <w:rPr>
                <w:rFonts w:cs="Arial"/>
                <w:szCs w:val="18"/>
              </w:rPr>
            </w:pPr>
            <w:r w:rsidRPr="000A0A5F">
              <w:rPr>
                <w:rFonts w:cs="Arial"/>
                <w:szCs w:val="18"/>
              </w:rPr>
              <w:t>Description</w:t>
            </w:r>
          </w:p>
        </w:tc>
      </w:tr>
      <w:tr w:rsidR="00CB0DD7" w:rsidRPr="000A0A5F" w:rsidTr="001B4357">
        <w:trPr>
          <w:jc w:val="center"/>
        </w:trPr>
        <w:tc>
          <w:tcPr>
            <w:tcW w:w="2748" w:type="dxa"/>
          </w:tcPr>
          <w:p w:rsidR="00CB0DD7" w:rsidRPr="000A0A5F" w:rsidRDefault="00CB0DD7">
            <w:pPr>
              <w:pStyle w:val="TAL"/>
            </w:pPr>
            <w:r w:rsidRPr="000A0A5F">
              <w:t>param</w:t>
            </w:r>
          </w:p>
        </w:tc>
        <w:tc>
          <w:tcPr>
            <w:tcW w:w="1559" w:type="dxa"/>
          </w:tcPr>
          <w:p w:rsidR="00CB0DD7" w:rsidRPr="000A0A5F" w:rsidRDefault="00CB0DD7">
            <w:pPr>
              <w:pStyle w:val="TAL"/>
            </w:pPr>
            <w:r w:rsidRPr="000A0A5F">
              <w:t>string</w:t>
            </w:r>
          </w:p>
        </w:tc>
        <w:tc>
          <w:tcPr>
            <w:tcW w:w="1134" w:type="dxa"/>
          </w:tcPr>
          <w:p w:rsidR="00CB0DD7" w:rsidRPr="000A0A5F" w:rsidRDefault="00CB0DD7">
            <w:pPr>
              <w:pStyle w:val="TAL"/>
            </w:pPr>
            <w:r w:rsidRPr="000A0A5F">
              <w:t>1</w:t>
            </w:r>
          </w:p>
        </w:tc>
        <w:tc>
          <w:tcPr>
            <w:tcW w:w="4359" w:type="dxa"/>
          </w:tcPr>
          <w:p w:rsidR="00CB0DD7" w:rsidRPr="000A0A5F" w:rsidRDefault="00CB0DD7">
            <w:pPr>
              <w:pStyle w:val="TAL"/>
              <w:rPr>
                <w:rFonts w:cs="Arial"/>
                <w:szCs w:val="18"/>
              </w:rPr>
            </w:pPr>
            <w:r w:rsidRPr="000A0A5F">
              <w:rPr>
                <w:rFonts w:cs="Arial"/>
                <w:szCs w:val="18"/>
              </w:rPr>
              <w:t>Attribute's name encoded as a JSON Pointer, or header's name.</w:t>
            </w:r>
          </w:p>
        </w:tc>
      </w:tr>
      <w:tr w:rsidR="00CB0DD7" w:rsidRPr="000A0A5F" w:rsidTr="001B4357">
        <w:trPr>
          <w:jc w:val="center"/>
        </w:trPr>
        <w:tc>
          <w:tcPr>
            <w:tcW w:w="2748" w:type="dxa"/>
          </w:tcPr>
          <w:p w:rsidR="00CB0DD7" w:rsidRPr="000A0A5F" w:rsidRDefault="00CB0DD7">
            <w:pPr>
              <w:pStyle w:val="TAL"/>
            </w:pPr>
            <w:r w:rsidRPr="000A0A5F">
              <w:t>reason</w:t>
            </w:r>
          </w:p>
        </w:tc>
        <w:tc>
          <w:tcPr>
            <w:tcW w:w="1559" w:type="dxa"/>
          </w:tcPr>
          <w:p w:rsidR="00CB0DD7" w:rsidRPr="000A0A5F" w:rsidRDefault="00CB0DD7">
            <w:pPr>
              <w:pStyle w:val="TAL"/>
            </w:pPr>
            <w:r w:rsidRPr="000A0A5F">
              <w:t>string</w:t>
            </w:r>
          </w:p>
        </w:tc>
        <w:tc>
          <w:tcPr>
            <w:tcW w:w="1134" w:type="dxa"/>
          </w:tcPr>
          <w:p w:rsidR="00CB0DD7" w:rsidRPr="000A0A5F" w:rsidRDefault="00CB0DD7">
            <w:pPr>
              <w:pStyle w:val="TAL"/>
            </w:pPr>
            <w:r w:rsidRPr="000A0A5F">
              <w:t>0..1</w:t>
            </w:r>
          </w:p>
        </w:tc>
        <w:tc>
          <w:tcPr>
            <w:tcW w:w="4359" w:type="dxa"/>
          </w:tcPr>
          <w:p w:rsidR="00CB0DD7" w:rsidRPr="000A0A5F" w:rsidRDefault="00CB0DD7">
            <w:pPr>
              <w:pStyle w:val="TAL"/>
              <w:rPr>
                <w:rFonts w:cs="Arial"/>
                <w:szCs w:val="18"/>
              </w:rPr>
            </w:pPr>
            <w:r w:rsidRPr="000A0A5F">
              <w:rPr>
                <w:rFonts w:cs="Arial"/>
                <w:szCs w:val="18"/>
              </w:rPr>
              <w:t>A human-readable reason, e.g. "must be a positive integer".</w:t>
            </w:r>
          </w:p>
        </w:tc>
      </w:tr>
    </w:tbl>
    <w:p w:rsidR="00CB0DD7" w:rsidRPr="000A0A5F" w:rsidRDefault="00CB0DD7">
      <w:pPr>
        <w:rPr>
          <w:lang w:val="en-US"/>
        </w:rPr>
      </w:pPr>
    </w:p>
    <w:p w:rsidR="00CB0DD7" w:rsidRPr="000A0A5F" w:rsidRDefault="00CB0DD7">
      <w:pPr>
        <w:pStyle w:val="Heading5"/>
      </w:pPr>
      <w:bookmarkStart w:id="1196" w:name="_Toc11247266"/>
      <w:bookmarkStart w:id="1197" w:name="_Toc27044386"/>
      <w:bookmarkStart w:id="1198" w:name="_Toc36033428"/>
      <w:bookmarkStart w:id="1199" w:name="_Toc45131560"/>
      <w:bookmarkStart w:id="1200" w:name="_Toc49775845"/>
      <w:bookmarkStart w:id="1201" w:name="_Toc51746765"/>
      <w:bookmarkStart w:id="1202" w:name="_Toc66360307"/>
      <w:bookmarkStart w:id="1203" w:name="_Toc68104812"/>
      <w:bookmarkStart w:id="1204" w:name="_Toc74755441"/>
      <w:bookmarkStart w:id="1205" w:name="_Toc105674296"/>
      <w:bookmarkStart w:id="1206" w:name="_Toc130502329"/>
      <w:bookmarkStart w:id="1207" w:name="_Toc153625108"/>
      <w:r w:rsidRPr="000A0A5F">
        <w:t>5.2.1.2.14</w:t>
      </w:r>
      <w:r w:rsidRPr="000A0A5F">
        <w:tab/>
        <w:t>Type: PlmnId</w:t>
      </w:r>
      <w:bookmarkEnd w:id="1196"/>
      <w:bookmarkEnd w:id="1197"/>
      <w:bookmarkEnd w:id="1198"/>
      <w:bookmarkEnd w:id="1199"/>
      <w:bookmarkEnd w:id="1200"/>
      <w:bookmarkEnd w:id="1201"/>
      <w:bookmarkEnd w:id="1202"/>
      <w:bookmarkEnd w:id="1203"/>
      <w:bookmarkEnd w:id="1204"/>
      <w:bookmarkEnd w:id="1205"/>
      <w:bookmarkEnd w:id="1206"/>
      <w:bookmarkEnd w:id="1207"/>
    </w:p>
    <w:p w:rsidR="00CB0DD7" w:rsidRPr="000A0A5F" w:rsidRDefault="00CB0DD7">
      <w:pPr>
        <w:pStyle w:val="TH"/>
      </w:pPr>
      <w:r w:rsidRPr="000A0A5F">
        <w:rPr>
          <w:noProof/>
        </w:rPr>
        <w:t>Table </w:t>
      </w:r>
      <w:r w:rsidRPr="000A0A5F">
        <w:t xml:space="preserve">5.2.1.2.14-1: </w:t>
      </w:r>
      <w:r w:rsidRPr="000A0A5F">
        <w:rPr>
          <w:noProof/>
        </w:rPr>
        <w:t xml:space="preserve">Definition of the </w:t>
      </w:r>
      <w:r w:rsidRPr="000A0A5F">
        <w:t>PlmnId data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767"/>
        <w:gridCol w:w="1559"/>
        <w:gridCol w:w="1134"/>
        <w:gridCol w:w="4359"/>
      </w:tblGrid>
      <w:tr w:rsidR="00CB0DD7" w:rsidRPr="000A0A5F" w:rsidTr="002B45A7">
        <w:trPr>
          <w:jc w:val="center"/>
        </w:trPr>
        <w:tc>
          <w:tcPr>
            <w:tcW w:w="2767" w:type="dxa"/>
            <w:shd w:val="clear" w:color="auto" w:fill="C0C0C0"/>
            <w:hideMark/>
          </w:tcPr>
          <w:p w:rsidR="00CB0DD7" w:rsidRPr="000A0A5F" w:rsidRDefault="00CB0DD7">
            <w:pPr>
              <w:pStyle w:val="TAH"/>
            </w:pPr>
            <w:r w:rsidRPr="000A0A5F">
              <w:t>Attribute name</w:t>
            </w:r>
          </w:p>
        </w:tc>
        <w:tc>
          <w:tcPr>
            <w:tcW w:w="1559" w:type="dxa"/>
            <w:shd w:val="clear" w:color="auto" w:fill="C0C0C0"/>
            <w:hideMark/>
          </w:tcPr>
          <w:p w:rsidR="00CB0DD7" w:rsidRPr="000A0A5F" w:rsidRDefault="00CB0DD7">
            <w:pPr>
              <w:pStyle w:val="TAH"/>
            </w:pPr>
            <w:r w:rsidRPr="000A0A5F">
              <w:t>Data type</w:t>
            </w:r>
          </w:p>
        </w:tc>
        <w:tc>
          <w:tcPr>
            <w:tcW w:w="1134" w:type="dxa"/>
            <w:shd w:val="clear" w:color="auto" w:fill="C0C0C0"/>
          </w:tcPr>
          <w:p w:rsidR="00CB0DD7" w:rsidRPr="000A0A5F" w:rsidRDefault="00CB0DD7">
            <w:pPr>
              <w:pStyle w:val="TAH"/>
              <w:jc w:val="left"/>
            </w:pPr>
            <w:r w:rsidRPr="000A0A5F">
              <w:t>Cardinality</w:t>
            </w:r>
          </w:p>
        </w:tc>
        <w:tc>
          <w:tcPr>
            <w:tcW w:w="4359" w:type="dxa"/>
            <w:shd w:val="clear" w:color="auto" w:fill="C0C0C0"/>
            <w:hideMark/>
          </w:tcPr>
          <w:p w:rsidR="00CB0DD7" w:rsidRPr="000A0A5F" w:rsidRDefault="00CB0DD7">
            <w:pPr>
              <w:pStyle w:val="TAH"/>
              <w:rPr>
                <w:rFonts w:cs="Arial"/>
                <w:szCs w:val="18"/>
              </w:rPr>
            </w:pPr>
            <w:r w:rsidRPr="000A0A5F">
              <w:rPr>
                <w:rFonts w:cs="Arial"/>
                <w:szCs w:val="18"/>
              </w:rPr>
              <w:t>Description</w:t>
            </w:r>
          </w:p>
        </w:tc>
      </w:tr>
      <w:tr w:rsidR="00CB0DD7" w:rsidRPr="000A0A5F" w:rsidTr="002B45A7">
        <w:trPr>
          <w:jc w:val="center"/>
        </w:trPr>
        <w:tc>
          <w:tcPr>
            <w:tcW w:w="2767" w:type="dxa"/>
          </w:tcPr>
          <w:p w:rsidR="00CB0DD7" w:rsidRPr="000A0A5F" w:rsidRDefault="00CB0DD7">
            <w:pPr>
              <w:pStyle w:val="TAL"/>
            </w:pPr>
            <w:r w:rsidRPr="000A0A5F">
              <w:t>mcc</w:t>
            </w:r>
          </w:p>
        </w:tc>
        <w:tc>
          <w:tcPr>
            <w:tcW w:w="1559" w:type="dxa"/>
          </w:tcPr>
          <w:p w:rsidR="00CB0DD7" w:rsidRPr="000A0A5F" w:rsidRDefault="00CB0DD7">
            <w:pPr>
              <w:pStyle w:val="TAL"/>
            </w:pPr>
            <w:r w:rsidRPr="000A0A5F">
              <w:t>Mcc</w:t>
            </w:r>
          </w:p>
        </w:tc>
        <w:tc>
          <w:tcPr>
            <w:tcW w:w="1134" w:type="dxa"/>
          </w:tcPr>
          <w:p w:rsidR="00CB0DD7" w:rsidRPr="000A0A5F" w:rsidRDefault="00CB0DD7">
            <w:pPr>
              <w:pStyle w:val="TAL"/>
            </w:pPr>
            <w:r w:rsidRPr="000A0A5F">
              <w:t>1</w:t>
            </w:r>
          </w:p>
        </w:tc>
        <w:tc>
          <w:tcPr>
            <w:tcW w:w="4359" w:type="dxa"/>
          </w:tcPr>
          <w:p w:rsidR="00CB0DD7" w:rsidRPr="000A0A5F" w:rsidRDefault="00CB0DD7">
            <w:pPr>
              <w:pStyle w:val="TAL"/>
              <w:rPr>
                <w:rFonts w:cs="Arial"/>
                <w:szCs w:val="18"/>
              </w:rPr>
            </w:pPr>
            <w:r w:rsidRPr="000A0A5F">
              <w:rPr>
                <w:rFonts w:cs="Arial"/>
                <w:szCs w:val="18"/>
              </w:rPr>
              <w:t xml:space="preserve">Mobile Country Code </w:t>
            </w:r>
          </w:p>
        </w:tc>
      </w:tr>
      <w:tr w:rsidR="00CB0DD7" w:rsidRPr="000A0A5F" w:rsidTr="002B45A7">
        <w:trPr>
          <w:jc w:val="center"/>
        </w:trPr>
        <w:tc>
          <w:tcPr>
            <w:tcW w:w="2767" w:type="dxa"/>
          </w:tcPr>
          <w:p w:rsidR="00CB0DD7" w:rsidRPr="000A0A5F" w:rsidRDefault="00CB0DD7">
            <w:pPr>
              <w:pStyle w:val="TAL"/>
            </w:pPr>
            <w:r w:rsidRPr="000A0A5F">
              <w:t>mnc</w:t>
            </w:r>
          </w:p>
        </w:tc>
        <w:tc>
          <w:tcPr>
            <w:tcW w:w="1559" w:type="dxa"/>
          </w:tcPr>
          <w:p w:rsidR="00CB0DD7" w:rsidRPr="000A0A5F" w:rsidRDefault="00CB0DD7">
            <w:pPr>
              <w:pStyle w:val="TAL"/>
            </w:pPr>
            <w:r w:rsidRPr="000A0A5F">
              <w:t>Mnc</w:t>
            </w:r>
          </w:p>
        </w:tc>
        <w:tc>
          <w:tcPr>
            <w:tcW w:w="1134" w:type="dxa"/>
          </w:tcPr>
          <w:p w:rsidR="00CB0DD7" w:rsidRPr="000A0A5F" w:rsidRDefault="00CB0DD7">
            <w:pPr>
              <w:pStyle w:val="TAL"/>
            </w:pPr>
            <w:r w:rsidRPr="000A0A5F">
              <w:t>1</w:t>
            </w:r>
          </w:p>
        </w:tc>
        <w:tc>
          <w:tcPr>
            <w:tcW w:w="4359" w:type="dxa"/>
          </w:tcPr>
          <w:p w:rsidR="00CB0DD7" w:rsidRPr="000A0A5F" w:rsidRDefault="00CB0DD7">
            <w:pPr>
              <w:pStyle w:val="TAL"/>
              <w:rPr>
                <w:rFonts w:cs="Arial"/>
                <w:szCs w:val="18"/>
              </w:rPr>
            </w:pPr>
            <w:r w:rsidRPr="000A0A5F">
              <w:rPr>
                <w:rFonts w:cs="Arial"/>
                <w:szCs w:val="18"/>
              </w:rPr>
              <w:t xml:space="preserve">Mobile Network Code </w:t>
            </w:r>
          </w:p>
        </w:tc>
      </w:tr>
    </w:tbl>
    <w:p w:rsidR="00CB0DD7" w:rsidRPr="000A0A5F" w:rsidRDefault="00CB0DD7"/>
    <w:p w:rsidR="00CB0DD7" w:rsidRPr="000A0A5F" w:rsidRDefault="00CB0DD7">
      <w:pPr>
        <w:pStyle w:val="Heading5"/>
      </w:pPr>
      <w:bookmarkStart w:id="1208" w:name="_Toc11247267"/>
      <w:bookmarkStart w:id="1209" w:name="_Toc27044387"/>
      <w:bookmarkStart w:id="1210" w:name="_Toc36033429"/>
      <w:bookmarkStart w:id="1211" w:name="_Toc45131561"/>
      <w:bookmarkStart w:id="1212" w:name="_Toc49775846"/>
      <w:bookmarkStart w:id="1213" w:name="_Toc51746766"/>
      <w:bookmarkStart w:id="1214" w:name="_Toc66360308"/>
      <w:bookmarkStart w:id="1215" w:name="_Toc68104813"/>
      <w:bookmarkStart w:id="1216" w:name="_Toc74755442"/>
      <w:bookmarkStart w:id="1217" w:name="_Toc105674297"/>
      <w:bookmarkStart w:id="1218" w:name="_Toc130502330"/>
      <w:bookmarkStart w:id="1219" w:name="_Toc153625109"/>
      <w:r w:rsidRPr="000A0A5F">
        <w:t>5.2.1.2.15</w:t>
      </w:r>
      <w:r w:rsidRPr="000A0A5F">
        <w:tab/>
        <w:t>Type: ConfigResult</w:t>
      </w:r>
      <w:bookmarkEnd w:id="1208"/>
      <w:bookmarkEnd w:id="1209"/>
      <w:bookmarkEnd w:id="1210"/>
      <w:bookmarkEnd w:id="1211"/>
      <w:bookmarkEnd w:id="1212"/>
      <w:bookmarkEnd w:id="1213"/>
      <w:bookmarkEnd w:id="1214"/>
      <w:bookmarkEnd w:id="1215"/>
      <w:bookmarkEnd w:id="1216"/>
      <w:bookmarkEnd w:id="1217"/>
      <w:bookmarkEnd w:id="1218"/>
      <w:bookmarkEnd w:id="1219"/>
    </w:p>
    <w:p w:rsidR="00CB0DD7" w:rsidRPr="000A0A5F" w:rsidRDefault="00CB0DD7">
      <w:r w:rsidRPr="000A0A5F">
        <w:t>This type represents one configuration processing result for the group members.</w:t>
      </w:r>
    </w:p>
    <w:p w:rsidR="00CB0DD7" w:rsidRPr="000A0A5F" w:rsidRDefault="00CB0DD7">
      <w:pPr>
        <w:pStyle w:val="TH"/>
      </w:pPr>
      <w:r w:rsidRPr="000A0A5F">
        <w:rPr>
          <w:noProof/>
        </w:rPr>
        <w:t>Table </w:t>
      </w:r>
      <w:r w:rsidRPr="000A0A5F">
        <w:t xml:space="preserve">5.2.1.2.15-1: </w:t>
      </w:r>
      <w:r w:rsidRPr="000A0A5F">
        <w:rPr>
          <w:noProof/>
        </w:rPr>
        <w:t xml:space="preserve">Definition of the </w:t>
      </w:r>
      <w:r w:rsidRPr="000A0A5F">
        <w:t>ConfigResult data type</w:t>
      </w:r>
    </w:p>
    <w:tbl>
      <w:tblPr>
        <w:tblW w:w="955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61"/>
        <w:gridCol w:w="1549"/>
        <w:gridCol w:w="1302"/>
        <w:gridCol w:w="5047"/>
        <w:tblGridChange w:id="1220">
          <w:tblGrid>
            <w:gridCol w:w="1661"/>
            <w:gridCol w:w="1549"/>
            <w:gridCol w:w="1302"/>
            <w:gridCol w:w="5047"/>
          </w:tblGrid>
        </w:tblGridChange>
      </w:tblGrid>
      <w:tr w:rsidR="00CB0DD7" w:rsidRPr="000A0A5F" w:rsidTr="00FF0AF8">
        <w:trPr>
          <w:trHeight w:val="288"/>
          <w:jc w:val="center"/>
        </w:trPr>
        <w:tc>
          <w:tcPr>
            <w:tcW w:w="1661" w:type="dxa"/>
            <w:shd w:val="clear" w:color="auto" w:fill="C0C0C0"/>
          </w:tcPr>
          <w:p w:rsidR="00CB0DD7" w:rsidRPr="000A0A5F" w:rsidRDefault="00CB0DD7">
            <w:pPr>
              <w:pStyle w:val="TAH"/>
              <w:rPr>
                <w:rFonts w:eastAsia="Times New Roman"/>
              </w:rPr>
            </w:pPr>
            <w:r w:rsidRPr="000A0A5F">
              <w:rPr>
                <w:rFonts w:eastAsia="Times New Roman"/>
              </w:rPr>
              <w:t>Attribute name</w:t>
            </w:r>
          </w:p>
        </w:tc>
        <w:tc>
          <w:tcPr>
            <w:tcW w:w="1549" w:type="dxa"/>
            <w:shd w:val="clear" w:color="auto" w:fill="C0C0C0"/>
          </w:tcPr>
          <w:p w:rsidR="00CB0DD7" w:rsidRPr="000A0A5F" w:rsidRDefault="00CB0DD7">
            <w:pPr>
              <w:pStyle w:val="TAH"/>
              <w:rPr>
                <w:rFonts w:eastAsia="Times New Roman"/>
              </w:rPr>
            </w:pPr>
            <w:r w:rsidRPr="000A0A5F">
              <w:rPr>
                <w:rFonts w:eastAsia="Times New Roman"/>
              </w:rPr>
              <w:t>Data type</w:t>
            </w:r>
          </w:p>
        </w:tc>
        <w:tc>
          <w:tcPr>
            <w:tcW w:w="1302" w:type="dxa"/>
            <w:shd w:val="clear" w:color="auto" w:fill="C0C0C0"/>
          </w:tcPr>
          <w:p w:rsidR="00CB0DD7" w:rsidRPr="000A0A5F" w:rsidRDefault="00CB0DD7">
            <w:pPr>
              <w:pStyle w:val="TAH"/>
              <w:rPr>
                <w:rFonts w:eastAsia="Times New Roman"/>
              </w:rPr>
            </w:pPr>
            <w:r w:rsidRPr="000A0A5F">
              <w:rPr>
                <w:rFonts w:eastAsia="Times New Roman"/>
              </w:rPr>
              <w:t>Cardinality</w:t>
            </w:r>
          </w:p>
        </w:tc>
        <w:tc>
          <w:tcPr>
            <w:tcW w:w="5047"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Description</w:t>
            </w:r>
          </w:p>
        </w:tc>
      </w:tr>
      <w:tr w:rsidR="00CB0DD7" w:rsidRPr="000A0A5F" w:rsidTr="00FF0AF8">
        <w:trPr>
          <w:jc w:val="center"/>
        </w:trPr>
        <w:tc>
          <w:tcPr>
            <w:tcW w:w="1661" w:type="dxa"/>
            <w:shd w:val="clear" w:color="auto" w:fill="auto"/>
          </w:tcPr>
          <w:p w:rsidR="00CB0DD7" w:rsidRPr="000A0A5F" w:rsidRDefault="00CB0DD7">
            <w:pPr>
              <w:pStyle w:val="TAL"/>
            </w:pPr>
            <w:r w:rsidRPr="000A0A5F">
              <w:t>externalIds</w:t>
            </w:r>
          </w:p>
        </w:tc>
        <w:tc>
          <w:tcPr>
            <w:tcW w:w="1549" w:type="dxa"/>
            <w:shd w:val="clear" w:color="auto" w:fill="auto"/>
          </w:tcPr>
          <w:p w:rsidR="00CB0DD7" w:rsidRPr="000A0A5F" w:rsidRDefault="00CB0DD7">
            <w:pPr>
              <w:pStyle w:val="TAL"/>
            </w:pPr>
            <w:r w:rsidRPr="000A0A5F">
              <w:t>array(ExternalId)</w:t>
            </w:r>
          </w:p>
        </w:tc>
        <w:tc>
          <w:tcPr>
            <w:tcW w:w="1302" w:type="dxa"/>
          </w:tcPr>
          <w:p w:rsidR="00CB0DD7" w:rsidRPr="000A0A5F" w:rsidRDefault="00CB0DD7">
            <w:pPr>
              <w:pStyle w:val="TAL"/>
            </w:pPr>
            <w:r w:rsidRPr="000A0A5F">
              <w:t>0..N</w:t>
            </w:r>
          </w:p>
        </w:tc>
        <w:tc>
          <w:tcPr>
            <w:tcW w:w="5047" w:type="dxa"/>
          </w:tcPr>
          <w:p w:rsidR="00CB0DD7" w:rsidRPr="000A0A5F" w:rsidRDefault="00CB0DD7">
            <w:pPr>
              <w:pStyle w:val="TAL"/>
            </w:pPr>
            <w:r w:rsidRPr="000A0A5F">
              <w:t>Each element indicates an external identifier of the UE.</w:t>
            </w:r>
          </w:p>
          <w:p w:rsidR="00CB0DD7" w:rsidRPr="000A0A5F" w:rsidRDefault="00CB0DD7">
            <w:pPr>
              <w:pStyle w:val="TAL"/>
            </w:pPr>
            <w:r w:rsidRPr="000A0A5F">
              <w:t>(NOTE)</w:t>
            </w:r>
          </w:p>
        </w:tc>
      </w:tr>
      <w:tr w:rsidR="00CB0DD7" w:rsidRPr="000A0A5F" w:rsidTr="00FF0AF8">
        <w:trPr>
          <w:jc w:val="center"/>
        </w:trPr>
        <w:tc>
          <w:tcPr>
            <w:tcW w:w="1661" w:type="dxa"/>
            <w:shd w:val="clear" w:color="auto" w:fill="auto"/>
          </w:tcPr>
          <w:p w:rsidR="00CB0DD7" w:rsidRPr="000A0A5F" w:rsidRDefault="00CB0DD7">
            <w:pPr>
              <w:pStyle w:val="TAL"/>
            </w:pPr>
            <w:r w:rsidRPr="000A0A5F">
              <w:t>msisdns</w:t>
            </w:r>
          </w:p>
        </w:tc>
        <w:tc>
          <w:tcPr>
            <w:tcW w:w="1549" w:type="dxa"/>
            <w:shd w:val="clear" w:color="auto" w:fill="auto"/>
          </w:tcPr>
          <w:p w:rsidR="00CB0DD7" w:rsidRPr="000A0A5F" w:rsidRDefault="00CB0DD7">
            <w:pPr>
              <w:pStyle w:val="TAL"/>
            </w:pPr>
            <w:r w:rsidRPr="000A0A5F">
              <w:t>array(Msisdn)</w:t>
            </w:r>
          </w:p>
        </w:tc>
        <w:tc>
          <w:tcPr>
            <w:tcW w:w="1302" w:type="dxa"/>
          </w:tcPr>
          <w:p w:rsidR="00CB0DD7" w:rsidRPr="000A0A5F" w:rsidRDefault="00CB0DD7">
            <w:pPr>
              <w:pStyle w:val="TAL"/>
            </w:pPr>
            <w:r w:rsidRPr="000A0A5F">
              <w:t>0..N</w:t>
            </w:r>
          </w:p>
        </w:tc>
        <w:tc>
          <w:tcPr>
            <w:tcW w:w="5047" w:type="dxa"/>
          </w:tcPr>
          <w:p w:rsidR="00CB0DD7" w:rsidRPr="000A0A5F" w:rsidRDefault="00CB0DD7">
            <w:pPr>
              <w:pStyle w:val="TAL"/>
            </w:pPr>
            <w:r w:rsidRPr="000A0A5F">
              <w:t>Each element identifies the MS internal PSTN/ISDN number allocated for the UE</w:t>
            </w:r>
          </w:p>
          <w:p w:rsidR="00CB0DD7" w:rsidRPr="000A0A5F" w:rsidRDefault="00CB0DD7">
            <w:pPr>
              <w:pStyle w:val="TAL"/>
            </w:pPr>
            <w:r w:rsidRPr="000A0A5F">
              <w:t>(NOTE)</w:t>
            </w:r>
          </w:p>
        </w:tc>
      </w:tr>
      <w:tr w:rsidR="00CB0DD7" w:rsidRPr="000A0A5F" w:rsidTr="00FF0AF8">
        <w:trPr>
          <w:jc w:val="center"/>
        </w:trPr>
        <w:tc>
          <w:tcPr>
            <w:tcW w:w="1661" w:type="dxa"/>
            <w:shd w:val="clear" w:color="auto" w:fill="auto"/>
          </w:tcPr>
          <w:p w:rsidR="00CB0DD7" w:rsidRPr="000A0A5F" w:rsidRDefault="00CB0DD7">
            <w:pPr>
              <w:pStyle w:val="TAL"/>
            </w:pPr>
            <w:r w:rsidRPr="000A0A5F">
              <w:t>resultReason</w:t>
            </w:r>
          </w:p>
        </w:tc>
        <w:tc>
          <w:tcPr>
            <w:tcW w:w="1549" w:type="dxa"/>
            <w:shd w:val="clear" w:color="auto" w:fill="auto"/>
          </w:tcPr>
          <w:p w:rsidR="00CB0DD7" w:rsidRPr="000A0A5F" w:rsidRDefault="00CB0DD7">
            <w:pPr>
              <w:pStyle w:val="TAL"/>
            </w:pPr>
            <w:r w:rsidRPr="000A0A5F">
              <w:t>ResultReason</w:t>
            </w:r>
          </w:p>
        </w:tc>
        <w:tc>
          <w:tcPr>
            <w:tcW w:w="1302" w:type="dxa"/>
          </w:tcPr>
          <w:p w:rsidR="00CB0DD7" w:rsidRPr="000A0A5F" w:rsidRDefault="00CB0DD7">
            <w:pPr>
              <w:pStyle w:val="TAL"/>
            </w:pPr>
            <w:r w:rsidRPr="000A0A5F">
              <w:t>1</w:t>
            </w:r>
          </w:p>
        </w:tc>
        <w:tc>
          <w:tcPr>
            <w:tcW w:w="5047" w:type="dxa"/>
          </w:tcPr>
          <w:p w:rsidR="00CB0DD7" w:rsidRPr="000A0A5F" w:rsidRDefault="00CB0DD7">
            <w:pPr>
              <w:pStyle w:val="TAL"/>
            </w:pPr>
            <w:r w:rsidRPr="000A0A5F">
              <w:t>Identifies the configuration failure reason for the group members.</w:t>
            </w:r>
          </w:p>
        </w:tc>
      </w:tr>
      <w:tr w:rsidR="00CB0DD7" w:rsidRPr="000A0A5F" w:rsidTr="00FF0AF8">
        <w:trPr>
          <w:jc w:val="center"/>
        </w:trPr>
        <w:tc>
          <w:tcPr>
            <w:tcW w:w="9559" w:type="dxa"/>
            <w:gridSpan w:val="4"/>
            <w:shd w:val="clear" w:color="auto" w:fill="auto"/>
          </w:tcPr>
          <w:p w:rsidR="00CB0DD7" w:rsidRPr="000A0A5F" w:rsidRDefault="00CB0DD7">
            <w:pPr>
              <w:pStyle w:val="TAN"/>
              <w:rPr>
                <w:rFonts w:cs="Arial"/>
                <w:szCs w:val="18"/>
                <w:lang w:eastAsia="zh-CN"/>
              </w:rPr>
            </w:pPr>
            <w:r w:rsidRPr="000A0A5F">
              <w:rPr>
                <w:lang w:eastAsia="zh-CN"/>
              </w:rPr>
              <w:t>NOTE:</w:t>
            </w:r>
            <w:r w:rsidRPr="000A0A5F">
              <w:rPr>
                <w:lang w:eastAsia="zh-CN"/>
              </w:rPr>
              <w:tab/>
              <w:t>Either "externalId" or "msisdn" shall be included for a group member.</w:t>
            </w:r>
          </w:p>
        </w:tc>
      </w:tr>
    </w:tbl>
    <w:p w:rsidR="00CB0DD7" w:rsidRPr="000A0A5F" w:rsidRDefault="00CB0DD7"/>
    <w:p w:rsidR="00CB0DD7" w:rsidRPr="000A0A5F" w:rsidRDefault="00CB0DD7">
      <w:pPr>
        <w:pStyle w:val="Heading5"/>
      </w:pPr>
      <w:bookmarkStart w:id="1221" w:name="_Toc11247268"/>
      <w:bookmarkStart w:id="1222" w:name="_Toc27044388"/>
      <w:bookmarkStart w:id="1223" w:name="_Toc36033430"/>
      <w:bookmarkStart w:id="1224" w:name="_Toc45131562"/>
      <w:bookmarkStart w:id="1225" w:name="_Toc49775847"/>
      <w:bookmarkStart w:id="1226" w:name="_Toc51746767"/>
      <w:bookmarkStart w:id="1227" w:name="_Toc66360309"/>
      <w:bookmarkStart w:id="1228" w:name="_Toc68104814"/>
      <w:bookmarkStart w:id="1229" w:name="_Toc74755443"/>
      <w:bookmarkStart w:id="1230" w:name="_Toc105674298"/>
      <w:bookmarkStart w:id="1231" w:name="_Toc130502331"/>
      <w:bookmarkStart w:id="1232" w:name="_Toc153625110"/>
      <w:r w:rsidRPr="000A0A5F">
        <w:t>5.2.1.2.16</w:t>
      </w:r>
      <w:r w:rsidRPr="000A0A5F">
        <w:tab/>
        <w:t>Type: UsageThresholdRm</w:t>
      </w:r>
      <w:bookmarkEnd w:id="1221"/>
      <w:bookmarkEnd w:id="1222"/>
      <w:bookmarkEnd w:id="1223"/>
      <w:bookmarkEnd w:id="1224"/>
      <w:bookmarkEnd w:id="1225"/>
      <w:bookmarkEnd w:id="1226"/>
      <w:bookmarkEnd w:id="1227"/>
      <w:bookmarkEnd w:id="1228"/>
      <w:bookmarkEnd w:id="1229"/>
      <w:bookmarkEnd w:id="1230"/>
      <w:bookmarkEnd w:id="1231"/>
      <w:bookmarkEnd w:id="1232"/>
    </w:p>
    <w:p w:rsidR="00CB0DD7" w:rsidRPr="000A0A5F" w:rsidRDefault="00CB0DD7">
      <w:r w:rsidRPr="000A0A5F">
        <w:t>This type represents a usage threshold which is defined in clause 5.2.1.2.2 but defined with "nullable: true" property so it can be removed in "JSON Merge Patch", as defined in IETF RFC 7396 [39]. It shall comply with the provisions defined in table 5.2.1.2.16-1.</w:t>
      </w:r>
    </w:p>
    <w:p w:rsidR="00CB0DD7" w:rsidRPr="000A0A5F" w:rsidRDefault="00CB0DD7">
      <w:pPr>
        <w:rPr>
          <w:rFonts w:cs="Arial"/>
        </w:rPr>
      </w:pPr>
      <w:r w:rsidRPr="000A0A5F">
        <w:t xml:space="preserve">Only one of "downlinkVolume", "uplinkVolume" and "totalVolume" shall be provided. Duration and volume are also removable in "JSON Merge Patch". </w:t>
      </w:r>
      <w:r w:rsidRPr="000A0A5F">
        <w:rPr>
          <w:rFonts w:cs="Arial"/>
        </w:rPr>
        <w:t>If the server supports both duration and volume, then the first threshold that has been reached will apply.</w:t>
      </w:r>
      <w:r w:rsidRPr="000A0A5F">
        <w:t xml:space="preserve"> </w:t>
      </w:r>
    </w:p>
    <w:p w:rsidR="00CB0DD7" w:rsidRPr="000A0A5F" w:rsidRDefault="00CB0DD7">
      <w:pPr>
        <w:pStyle w:val="TH"/>
      </w:pPr>
      <w:r w:rsidRPr="000A0A5F">
        <w:t>Table 5.2.1.2.16-1: Definition of the UsageThresholdRm data type</w:t>
      </w:r>
    </w:p>
    <w:tbl>
      <w:tblPr>
        <w:tblW w:w="5122"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870"/>
        <w:gridCol w:w="2068"/>
        <w:gridCol w:w="1323"/>
        <w:gridCol w:w="4837"/>
      </w:tblGrid>
      <w:tr w:rsidR="00CB0DD7" w:rsidRPr="000A0A5F" w:rsidTr="002B45A7">
        <w:tc>
          <w:tcPr>
            <w:tcW w:w="926" w:type="pct"/>
            <w:shd w:val="clear" w:color="auto" w:fill="C0C0C0"/>
            <w:tcMar>
              <w:top w:w="0" w:type="dxa"/>
              <w:left w:w="108" w:type="dxa"/>
              <w:bottom w:w="0" w:type="dxa"/>
              <w:right w:w="108" w:type="dxa"/>
            </w:tcMar>
          </w:tcPr>
          <w:p w:rsidR="00CB0DD7" w:rsidRPr="000A0A5F" w:rsidRDefault="00CB0DD7">
            <w:pPr>
              <w:pStyle w:val="TAH"/>
            </w:pPr>
            <w:r w:rsidRPr="000A0A5F">
              <w:t>Attribute name</w:t>
            </w:r>
          </w:p>
        </w:tc>
        <w:tc>
          <w:tcPr>
            <w:tcW w:w="1024" w:type="pct"/>
            <w:shd w:val="clear" w:color="auto" w:fill="C0C0C0"/>
            <w:tcMar>
              <w:top w:w="0" w:type="dxa"/>
              <w:left w:w="108" w:type="dxa"/>
              <w:bottom w:w="0" w:type="dxa"/>
              <w:right w:w="108" w:type="dxa"/>
            </w:tcMar>
          </w:tcPr>
          <w:p w:rsidR="00CB0DD7" w:rsidRPr="000A0A5F" w:rsidRDefault="00CB0DD7">
            <w:pPr>
              <w:pStyle w:val="TAH"/>
            </w:pPr>
            <w:r w:rsidRPr="000A0A5F">
              <w:t>Data type</w:t>
            </w:r>
          </w:p>
        </w:tc>
        <w:tc>
          <w:tcPr>
            <w:tcW w:w="655" w:type="pct"/>
            <w:shd w:val="clear" w:color="auto" w:fill="C0C0C0"/>
            <w:tcMar>
              <w:top w:w="0" w:type="dxa"/>
              <w:left w:w="108" w:type="dxa"/>
              <w:bottom w:w="0" w:type="dxa"/>
              <w:right w:w="108" w:type="dxa"/>
            </w:tcMar>
          </w:tcPr>
          <w:p w:rsidR="00CB0DD7" w:rsidRPr="000A0A5F" w:rsidRDefault="00CB0DD7">
            <w:pPr>
              <w:pStyle w:val="TAH"/>
            </w:pPr>
            <w:r w:rsidRPr="000A0A5F">
              <w:t>Cardinality</w:t>
            </w:r>
          </w:p>
        </w:tc>
        <w:tc>
          <w:tcPr>
            <w:tcW w:w="2395" w:type="pct"/>
            <w:shd w:val="clear" w:color="auto" w:fill="C0C0C0"/>
            <w:tcMar>
              <w:top w:w="0" w:type="dxa"/>
              <w:left w:w="108" w:type="dxa"/>
              <w:bottom w:w="0" w:type="dxa"/>
              <w:right w:w="108" w:type="dxa"/>
            </w:tcMar>
          </w:tcPr>
          <w:p w:rsidR="00CB0DD7" w:rsidRPr="000A0A5F" w:rsidRDefault="00CB0DD7">
            <w:pPr>
              <w:pStyle w:val="TAH"/>
            </w:pPr>
            <w:r w:rsidRPr="000A0A5F">
              <w:t>Description</w:t>
            </w:r>
          </w:p>
        </w:tc>
      </w:tr>
      <w:tr w:rsidR="00CB0DD7" w:rsidRPr="000A0A5F" w:rsidTr="002B45A7">
        <w:tc>
          <w:tcPr>
            <w:tcW w:w="926" w:type="pct"/>
            <w:shd w:val="clear" w:color="auto" w:fill="auto"/>
            <w:tcMar>
              <w:top w:w="0" w:type="dxa"/>
              <w:left w:w="108" w:type="dxa"/>
              <w:bottom w:w="0" w:type="dxa"/>
              <w:right w:w="108" w:type="dxa"/>
            </w:tcMar>
          </w:tcPr>
          <w:p w:rsidR="00CB0DD7" w:rsidRPr="000A0A5F" w:rsidRDefault="00CB0DD7">
            <w:pPr>
              <w:pStyle w:val="TAL"/>
            </w:pPr>
            <w:r w:rsidRPr="000A0A5F">
              <w:t>duration</w:t>
            </w:r>
          </w:p>
        </w:tc>
        <w:tc>
          <w:tcPr>
            <w:tcW w:w="1024" w:type="pct"/>
            <w:shd w:val="clear" w:color="auto" w:fill="auto"/>
            <w:tcMar>
              <w:top w:w="0" w:type="dxa"/>
              <w:left w:w="108" w:type="dxa"/>
              <w:bottom w:w="0" w:type="dxa"/>
              <w:right w:w="108" w:type="dxa"/>
            </w:tcMar>
          </w:tcPr>
          <w:p w:rsidR="00CB0DD7" w:rsidRPr="000A0A5F" w:rsidRDefault="00CB0DD7">
            <w:pPr>
              <w:pStyle w:val="TAL"/>
            </w:pPr>
            <w:r w:rsidRPr="000A0A5F">
              <w:t>DurationSecRm</w:t>
            </w:r>
          </w:p>
        </w:tc>
        <w:tc>
          <w:tcPr>
            <w:tcW w:w="655" w:type="pct"/>
            <w:shd w:val="clear" w:color="auto" w:fill="auto"/>
            <w:tcMar>
              <w:top w:w="0" w:type="dxa"/>
              <w:left w:w="108" w:type="dxa"/>
              <w:bottom w:w="0" w:type="dxa"/>
              <w:right w:w="108" w:type="dxa"/>
            </w:tcMar>
          </w:tcPr>
          <w:p w:rsidR="00CB0DD7" w:rsidRPr="000A0A5F" w:rsidRDefault="00CB0DD7">
            <w:pPr>
              <w:pStyle w:val="TAL"/>
            </w:pPr>
            <w:r w:rsidRPr="000A0A5F">
              <w:t>0..1</w:t>
            </w:r>
          </w:p>
        </w:tc>
        <w:tc>
          <w:tcPr>
            <w:tcW w:w="2395" w:type="pct"/>
            <w:shd w:val="clear" w:color="auto" w:fill="auto"/>
            <w:tcMar>
              <w:top w:w="0" w:type="dxa"/>
              <w:left w:w="108" w:type="dxa"/>
              <w:bottom w:w="0" w:type="dxa"/>
              <w:right w:w="108" w:type="dxa"/>
            </w:tcMar>
          </w:tcPr>
          <w:p w:rsidR="00CB0DD7" w:rsidRPr="000A0A5F" w:rsidRDefault="00CB0DD7">
            <w:pPr>
              <w:pageBreakBefo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hAnsi="Arial"/>
                <w:sz w:val="18"/>
              </w:rPr>
            </w:pPr>
            <w:r w:rsidRPr="000A0A5F">
              <w:rPr>
                <w:rFonts w:ascii="Arial" w:hAnsi="Arial"/>
                <w:sz w:val="18"/>
              </w:rPr>
              <w:t>Indicates the length of time in seconds</w:t>
            </w:r>
          </w:p>
        </w:tc>
      </w:tr>
      <w:tr w:rsidR="00CB0DD7" w:rsidRPr="000A0A5F" w:rsidTr="002B45A7">
        <w:tc>
          <w:tcPr>
            <w:tcW w:w="926" w:type="pct"/>
            <w:shd w:val="clear" w:color="auto" w:fill="auto"/>
            <w:tcMar>
              <w:top w:w="0" w:type="dxa"/>
              <w:left w:w="108" w:type="dxa"/>
              <w:bottom w:w="0" w:type="dxa"/>
              <w:right w:w="108" w:type="dxa"/>
            </w:tcMar>
          </w:tcPr>
          <w:p w:rsidR="00CB0DD7" w:rsidRPr="000A0A5F" w:rsidRDefault="00CB0DD7">
            <w:pPr>
              <w:pStyle w:val="TAL"/>
            </w:pPr>
            <w:r w:rsidRPr="000A0A5F">
              <w:t>totalVolume</w:t>
            </w:r>
          </w:p>
        </w:tc>
        <w:tc>
          <w:tcPr>
            <w:tcW w:w="1024" w:type="pct"/>
            <w:shd w:val="clear" w:color="auto" w:fill="auto"/>
            <w:tcMar>
              <w:top w:w="0" w:type="dxa"/>
              <w:left w:w="108" w:type="dxa"/>
              <w:bottom w:w="0" w:type="dxa"/>
              <w:right w:w="108" w:type="dxa"/>
            </w:tcMar>
          </w:tcPr>
          <w:p w:rsidR="00CB0DD7" w:rsidRPr="000A0A5F" w:rsidRDefault="00CB0DD7">
            <w:pPr>
              <w:pStyle w:val="TAL"/>
            </w:pPr>
            <w:r w:rsidRPr="000A0A5F">
              <w:t>VolumeRm</w:t>
            </w:r>
          </w:p>
        </w:tc>
        <w:tc>
          <w:tcPr>
            <w:tcW w:w="655" w:type="pct"/>
            <w:shd w:val="clear" w:color="auto" w:fill="auto"/>
            <w:tcMar>
              <w:top w:w="0" w:type="dxa"/>
              <w:left w:w="108" w:type="dxa"/>
              <w:bottom w:w="0" w:type="dxa"/>
              <w:right w:w="108" w:type="dxa"/>
            </w:tcMar>
          </w:tcPr>
          <w:p w:rsidR="00CB0DD7" w:rsidRPr="000A0A5F" w:rsidRDefault="00CB0DD7">
            <w:pPr>
              <w:pStyle w:val="TAL"/>
            </w:pPr>
            <w:r w:rsidRPr="000A0A5F">
              <w:t>0..1</w:t>
            </w:r>
          </w:p>
        </w:tc>
        <w:tc>
          <w:tcPr>
            <w:tcW w:w="2395" w:type="pct"/>
            <w:shd w:val="clear" w:color="auto" w:fill="auto"/>
            <w:tcMar>
              <w:top w:w="0" w:type="dxa"/>
              <w:left w:w="108" w:type="dxa"/>
              <w:bottom w:w="0" w:type="dxa"/>
              <w:right w:w="108" w:type="dxa"/>
            </w:tcMar>
          </w:tcPr>
          <w:p w:rsidR="00CB0DD7" w:rsidRPr="000A0A5F" w:rsidRDefault="00CB0DD7">
            <w:pPr>
              <w:pStyle w:val="TAL"/>
            </w:pPr>
            <w:r w:rsidRPr="000A0A5F">
              <w:t>Total data octets for both downlink and uplink</w:t>
            </w:r>
          </w:p>
        </w:tc>
      </w:tr>
      <w:tr w:rsidR="00CB0DD7" w:rsidRPr="000A0A5F" w:rsidTr="002B45A7">
        <w:tc>
          <w:tcPr>
            <w:tcW w:w="926" w:type="pct"/>
            <w:shd w:val="clear" w:color="auto" w:fill="auto"/>
            <w:tcMar>
              <w:top w:w="0" w:type="dxa"/>
              <w:left w:w="108" w:type="dxa"/>
              <w:bottom w:w="0" w:type="dxa"/>
              <w:right w:w="108" w:type="dxa"/>
            </w:tcMar>
          </w:tcPr>
          <w:p w:rsidR="00CB0DD7" w:rsidRPr="000A0A5F" w:rsidRDefault="00CB0DD7">
            <w:pPr>
              <w:pStyle w:val="TAL"/>
            </w:pPr>
            <w:r w:rsidRPr="000A0A5F">
              <w:t>downlinkVolume</w:t>
            </w:r>
          </w:p>
        </w:tc>
        <w:tc>
          <w:tcPr>
            <w:tcW w:w="1024" w:type="pct"/>
            <w:shd w:val="clear" w:color="auto" w:fill="auto"/>
            <w:tcMar>
              <w:top w:w="0" w:type="dxa"/>
              <w:left w:w="108" w:type="dxa"/>
              <w:bottom w:w="0" w:type="dxa"/>
              <w:right w:w="108" w:type="dxa"/>
            </w:tcMar>
          </w:tcPr>
          <w:p w:rsidR="00CB0DD7" w:rsidRPr="000A0A5F" w:rsidRDefault="00CB0DD7">
            <w:pPr>
              <w:pStyle w:val="TAL"/>
            </w:pPr>
            <w:r w:rsidRPr="000A0A5F">
              <w:t>VolumeRm</w:t>
            </w:r>
          </w:p>
        </w:tc>
        <w:tc>
          <w:tcPr>
            <w:tcW w:w="655" w:type="pct"/>
            <w:shd w:val="clear" w:color="auto" w:fill="auto"/>
            <w:tcMar>
              <w:top w:w="0" w:type="dxa"/>
              <w:left w:w="108" w:type="dxa"/>
              <w:bottom w:w="0" w:type="dxa"/>
              <w:right w:w="108" w:type="dxa"/>
            </w:tcMar>
          </w:tcPr>
          <w:p w:rsidR="00CB0DD7" w:rsidRPr="000A0A5F" w:rsidRDefault="00CB0DD7">
            <w:pPr>
              <w:pStyle w:val="TAL"/>
            </w:pPr>
            <w:r w:rsidRPr="000A0A5F">
              <w:t>0..1</w:t>
            </w:r>
          </w:p>
        </w:tc>
        <w:tc>
          <w:tcPr>
            <w:tcW w:w="2395" w:type="pct"/>
            <w:shd w:val="clear" w:color="auto" w:fill="auto"/>
            <w:tcMar>
              <w:top w:w="0" w:type="dxa"/>
              <w:left w:w="108" w:type="dxa"/>
              <w:bottom w:w="0" w:type="dxa"/>
              <w:right w:w="108" w:type="dxa"/>
            </w:tcMar>
          </w:tcPr>
          <w:p w:rsidR="00CB0DD7" w:rsidRPr="000A0A5F" w:rsidRDefault="00CB0DD7">
            <w:pPr>
              <w:pStyle w:val="TAL"/>
            </w:pPr>
            <w:r w:rsidRPr="000A0A5F">
              <w:t>Downlink data octets</w:t>
            </w:r>
          </w:p>
        </w:tc>
      </w:tr>
      <w:tr w:rsidR="00CB0DD7" w:rsidRPr="000A0A5F" w:rsidTr="002B45A7">
        <w:tc>
          <w:tcPr>
            <w:tcW w:w="926" w:type="pct"/>
            <w:shd w:val="clear" w:color="auto" w:fill="auto"/>
            <w:tcMar>
              <w:top w:w="0" w:type="dxa"/>
              <w:left w:w="108" w:type="dxa"/>
              <w:bottom w:w="0" w:type="dxa"/>
              <w:right w:w="108" w:type="dxa"/>
            </w:tcMar>
          </w:tcPr>
          <w:p w:rsidR="00CB0DD7" w:rsidRPr="000A0A5F" w:rsidRDefault="00CB0DD7">
            <w:pPr>
              <w:pStyle w:val="TAL"/>
            </w:pPr>
            <w:r w:rsidRPr="000A0A5F">
              <w:t>uplinkVolume</w:t>
            </w:r>
          </w:p>
        </w:tc>
        <w:tc>
          <w:tcPr>
            <w:tcW w:w="1024" w:type="pct"/>
            <w:shd w:val="clear" w:color="auto" w:fill="auto"/>
            <w:tcMar>
              <w:top w:w="0" w:type="dxa"/>
              <w:left w:w="108" w:type="dxa"/>
              <w:bottom w:w="0" w:type="dxa"/>
              <w:right w:w="108" w:type="dxa"/>
            </w:tcMar>
          </w:tcPr>
          <w:p w:rsidR="00CB0DD7" w:rsidRPr="000A0A5F" w:rsidRDefault="00CB0DD7">
            <w:pPr>
              <w:pStyle w:val="TAL"/>
            </w:pPr>
            <w:r w:rsidRPr="000A0A5F">
              <w:t>VolumeRm</w:t>
            </w:r>
          </w:p>
        </w:tc>
        <w:tc>
          <w:tcPr>
            <w:tcW w:w="655" w:type="pct"/>
            <w:shd w:val="clear" w:color="auto" w:fill="auto"/>
            <w:tcMar>
              <w:top w:w="0" w:type="dxa"/>
              <w:left w:w="108" w:type="dxa"/>
              <w:bottom w:w="0" w:type="dxa"/>
              <w:right w:w="108" w:type="dxa"/>
            </w:tcMar>
          </w:tcPr>
          <w:p w:rsidR="00CB0DD7" w:rsidRPr="000A0A5F" w:rsidRDefault="00CB0DD7">
            <w:pPr>
              <w:pStyle w:val="TAL"/>
            </w:pPr>
            <w:r w:rsidRPr="000A0A5F">
              <w:t>0..1</w:t>
            </w:r>
          </w:p>
        </w:tc>
        <w:tc>
          <w:tcPr>
            <w:tcW w:w="2395" w:type="pct"/>
            <w:shd w:val="clear" w:color="auto" w:fill="auto"/>
            <w:tcMar>
              <w:top w:w="0" w:type="dxa"/>
              <w:left w:w="108" w:type="dxa"/>
              <w:bottom w:w="0" w:type="dxa"/>
              <w:right w:w="108" w:type="dxa"/>
            </w:tcMar>
          </w:tcPr>
          <w:p w:rsidR="00CB0DD7" w:rsidRPr="000A0A5F" w:rsidRDefault="00CB0DD7">
            <w:pPr>
              <w:pStyle w:val="TAL"/>
            </w:pPr>
            <w:r w:rsidRPr="000A0A5F">
              <w:t>Uplink data octets</w:t>
            </w:r>
          </w:p>
        </w:tc>
      </w:tr>
    </w:tbl>
    <w:p w:rsidR="00CB0DD7" w:rsidRPr="000A0A5F" w:rsidRDefault="00CB0DD7"/>
    <w:p w:rsidR="00CB0DD7" w:rsidRPr="000A0A5F" w:rsidRDefault="00CB0DD7">
      <w:pPr>
        <w:pStyle w:val="Heading5"/>
      </w:pPr>
      <w:bookmarkStart w:id="1233" w:name="_Toc11247269"/>
      <w:bookmarkStart w:id="1234" w:name="_Toc27044389"/>
      <w:bookmarkStart w:id="1235" w:name="_Toc36033431"/>
      <w:bookmarkStart w:id="1236" w:name="_Toc45131563"/>
      <w:bookmarkStart w:id="1237" w:name="_Toc49775848"/>
      <w:bookmarkStart w:id="1238" w:name="_Toc51746768"/>
      <w:bookmarkStart w:id="1239" w:name="_Toc66360310"/>
      <w:bookmarkStart w:id="1240" w:name="_Toc68104815"/>
      <w:bookmarkStart w:id="1241" w:name="_Toc74755444"/>
      <w:bookmarkStart w:id="1242" w:name="_Toc105674299"/>
      <w:bookmarkStart w:id="1243" w:name="_Toc130502332"/>
      <w:bookmarkStart w:id="1244" w:name="_Toc153625111"/>
      <w:r w:rsidRPr="000A0A5F">
        <w:t>5.2.1.2.17</w:t>
      </w:r>
      <w:r w:rsidRPr="000A0A5F">
        <w:tab/>
        <w:t xml:space="preserve">Type: </w:t>
      </w:r>
      <w:r w:rsidRPr="000A0A5F">
        <w:rPr>
          <w:lang w:eastAsia="zh-CN"/>
        </w:rPr>
        <w:t>LocationArea5G</w:t>
      </w:r>
      <w:bookmarkEnd w:id="1233"/>
      <w:bookmarkEnd w:id="1234"/>
      <w:bookmarkEnd w:id="1235"/>
      <w:bookmarkEnd w:id="1236"/>
      <w:bookmarkEnd w:id="1237"/>
      <w:bookmarkEnd w:id="1238"/>
      <w:bookmarkEnd w:id="1239"/>
      <w:bookmarkEnd w:id="1240"/>
      <w:bookmarkEnd w:id="1241"/>
      <w:bookmarkEnd w:id="1242"/>
      <w:bookmarkEnd w:id="1243"/>
      <w:bookmarkEnd w:id="1244"/>
    </w:p>
    <w:p w:rsidR="00CB0DD7" w:rsidRPr="000A0A5F" w:rsidRDefault="00CB0DD7">
      <w:r w:rsidRPr="000A0A5F">
        <w:t xml:space="preserve">This data type represents the user location area which is sent from the AF to the </w:t>
      </w:r>
      <w:r w:rsidR="0050227F" w:rsidRPr="000A0A5F">
        <w:t>NEF</w:t>
      </w:r>
      <w:r w:rsidRPr="000A0A5F">
        <w:t>.</w:t>
      </w:r>
    </w:p>
    <w:p w:rsidR="00CB0DD7" w:rsidRPr="000A0A5F" w:rsidRDefault="00CB0DD7">
      <w:pPr>
        <w:pStyle w:val="TH"/>
      </w:pPr>
      <w:r w:rsidRPr="000A0A5F">
        <w:t>Table 5.2.1.2.17-1: Definition of the LocationArea5G data Type</w:t>
      </w:r>
    </w:p>
    <w:tbl>
      <w:tblPr>
        <w:tblW w:w="505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872"/>
        <w:gridCol w:w="2166"/>
        <w:gridCol w:w="1418"/>
        <w:gridCol w:w="4500"/>
        <w:tblGridChange w:id="1245">
          <w:tblGrid>
            <w:gridCol w:w="1872"/>
            <w:gridCol w:w="2166"/>
            <w:gridCol w:w="1418"/>
            <w:gridCol w:w="4500"/>
          </w:tblGrid>
        </w:tblGridChange>
      </w:tblGrid>
      <w:tr w:rsidR="00CB0DD7" w:rsidRPr="000A0A5F" w:rsidTr="002B45A7">
        <w:tc>
          <w:tcPr>
            <w:tcW w:w="940" w:type="pct"/>
            <w:shd w:val="clear" w:color="auto" w:fill="C0C0C0"/>
            <w:tcMar>
              <w:top w:w="0" w:type="dxa"/>
              <w:left w:w="108" w:type="dxa"/>
              <w:bottom w:w="0" w:type="dxa"/>
              <w:right w:w="108" w:type="dxa"/>
            </w:tcMar>
          </w:tcPr>
          <w:p w:rsidR="00CB0DD7" w:rsidRPr="000A0A5F" w:rsidRDefault="00CB0DD7">
            <w:pPr>
              <w:pStyle w:val="TAH"/>
            </w:pPr>
            <w:r w:rsidRPr="000A0A5F">
              <w:t>Attribute name</w:t>
            </w:r>
          </w:p>
        </w:tc>
        <w:tc>
          <w:tcPr>
            <w:tcW w:w="1088" w:type="pct"/>
            <w:shd w:val="clear" w:color="auto" w:fill="C0C0C0"/>
            <w:tcMar>
              <w:top w:w="0" w:type="dxa"/>
              <w:left w:w="108" w:type="dxa"/>
              <w:bottom w:w="0" w:type="dxa"/>
              <w:right w:w="108" w:type="dxa"/>
            </w:tcMar>
          </w:tcPr>
          <w:p w:rsidR="00CB0DD7" w:rsidRPr="000A0A5F" w:rsidRDefault="00CB0DD7">
            <w:pPr>
              <w:pStyle w:val="TAH"/>
            </w:pPr>
            <w:r w:rsidRPr="000A0A5F">
              <w:t>Data type</w:t>
            </w:r>
          </w:p>
        </w:tc>
        <w:tc>
          <w:tcPr>
            <w:tcW w:w="712" w:type="pct"/>
            <w:shd w:val="clear" w:color="auto" w:fill="C0C0C0"/>
            <w:tcMar>
              <w:top w:w="0" w:type="dxa"/>
              <w:left w:w="108" w:type="dxa"/>
              <w:bottom w:w="0" w:type="dxa"/>
              <w:right w:w="108" w:type="dxa"/>
            </w:tcMar>
          </w:tcPr>
          <w:p w:rsidR="00CB0DD7" w:rsidRPr="000A0A5F" w:rsidRDefault="00CB0DD7">
            <w:pPr>
              <w:pStyle w:val="TAH"/>
            </w:pPr>
            <w:r w:rsidRPr="000A0A5F">
              <w:t>Cardinality</w:t>
            </w:r>
          </w:p>
        </w:tc>
        <w:tc>
          <w:tcPr>
            <w:tcW w:w="2260" w:type="pct"/>
            <w:shd w:val="clear" w:color="auto" w:fill="C0C0C0"/>
            <w:tcMar>
              <w:top w:w="0" w:type="dxa"/>
              <w:left w:w="108" w:type="dxa"/>
              <w:bottom w:w="0" w:type="dxa"/>
              <w:right w:w="108" w:type="dxa"/>
            </w:tcMar>
          </w:tcPr>
          <w:p w:rsidR="00CB0DD7" w:rsidRPr="000A0A5F" w:rsidRDefault="00CB0DD7">
            <w:pPr>
              <w:pStyle w:val="TAH"/>
            </w:pPr>
            <w:r w:rsidRPr="000A0A5F">
              <w:t>Description</w:t>
            </w:r>
          </w:p>
        </w:tc>
      </w:tr>
      <w:tr w:rsidR="00CB0DD7" w:rsidRPr="000A0A5F" w:rsidTr="002B45A7">
        <w:tc>
          <w:tcPr>
            <w:tcW w:w="940" w:type="pct"/>
            <w:shd w:val="clear" w:color="auto" w:fill="auto"/>
            <w:tcMar>
              <w:top w:w="0" w:type="dxa"/>
              <w:left w:w="108" w:type="dxa"/>
              <w:bottom w:w="0" w:type="dxa"/>
              <w:right w:w="108" w:type="dxa"/>
            </w:tcMar>
            <w:vAlign w:val="center"/>
          </w:tcPr>
          <w:p w:rsidR="00CB0DD7" w:rsidRPr="000A0A5F" w:rsidRDefault="00CB0DD7">
            <w:pPr>
              <w:pStyle w:val="TAL"/>
              <w:rPr>
                <w:rFonts w:hint="eastAsia"/>
                <w:lang w:eastAsia="zh-CN"/>
              </w:rPr>
            </w:pPr>
            <w:r w:rsidRPr="000A0A5F">
              <w:rPr>
                <w:rFonts w:hint="eastAsia"/>
                <w:lang w:eastAsia="zh-CN"/>
              </w:rPr>
              <w:t>geographicArea</w:t>
            </w:r>
            <w:r w:rsidRPr="000A0A5F">
              <w:rPr>
                <w:lang w:eastAsia="zh-CN"/>
              </w:rPr>
              <w:t>s</w:t>
            </w:r>
          </w:p>
        </w:tc>
        <w:tc>
          <w:tcPr>
            <w:tcW w:w="1088" w:type="pct"/>
            <w:shd w:val="clear" w:color="auto" w:fill="auto"/>
            <w:tcMar>
              <w:top w:w="0" w:type="dxa"/>
              <w:left w:w="108" w:type="dxa"/>
              <w:bottom w:w="0" w:type="dxa"/>
              <w:right w:w="108" w:type="dxa"/>
            </w:tcMar>
          </w:tcPr>
          <w:p w:rsidR="00CB0DD7" w:rsidRPr="000A0A5F" w:rsidRDefault="00CB0DD7">
            <w:pPr>
              <w:pStyle w:val="TAL"/>
              <w:rPr>
                <w:rFonts w:hint="eastAsia"/>
                <w:lang w:eastAsia="zh-CN"/>
              </w:rPr>
            </w:pPr>
            <w:r w:rsidRPr="000A0A5F">
              <w:rPr>
                <w:lang w:eastAsia="zh-CN"/>
              </w:rPr>
              <w:t>array(</w:t>
            </w:r>
            <w:r w:rsidRPr="000A0A5F">
              <w:rPr>
                <w:rFonts w:hint="eastAsia"/>
                <w:lang w:eastAsia="zh-CN"/>
              </w:rPr>
              <w:t>GeographicArea</w:t>
            </w:r>
            <w:r w:rsidRPr="000A0A5F">
              <w:rPr>
                <w:lang w:eastAsia="zh-CN"/>
              </w:rPr>
              <w:t>)</w:t>
            </w:r>
          </w:p>
        </w:tc>
        <w:tc>
          <w:tcPr>
            <w:tcW w:w="712" w:type="pct"/>
            <w:shd w:val="clear" w:color="auto" w:fill="auto"/>
            <w:tcMar>
              <w:top w:w="0" w:type="dxa"/>
              <w:left w:w="108" w:type="dxa"/>
              <w:bottom w:w="0" w:type="dxa"/>
              <w:right w:w="108" w:type="dxa"/>
            </w:tcMar>
          </w:tcPr>
          <w:p w:rsidR="00CB0DD7" w:rsidRPr="000A0A5F" w:rsidRDefault="00CB0DD7">
            <w:pPr>
              <w:pStyle w:val="TAL"/>
              <w:rPr>
                <w:rFonts w:hint="eastAsia"/>
                <w:lang w:eastAsia="zh-CN"/>
              </w:rPr>
            </w:pPr>
            <w:r w:rsidRPr="000A0A5F">
              <w:rPr>
                <w:rFonts w:hint="eastAsia"/>
                <w:lang w:eastAsia="zh-CN"/>
              </w:rPr>
              <w:t>0..N</w:t>
            </w:r>
          </w:p>
        </w:tc>
        <w:tc>
          <w:tcPr>
            <w:tcW w:w="2260" w:type="pct"/>
            <w:shd w:val="clear" w:color="auto" w:fill="auto"/>
            <w:tcMar>
              <w:top w:w="0" w:type="dxa"/>
              <w:left w:w="108" w:type="dxa"/>
              <w:bottom w:w="0" w:type="dxa"/>
              <w:right w:w="108" w:type="dxa"/>
            </w:tcMar>
          </w:tcPr>
          <w:p w:rsidR="00CB0DD7" w:rsidRPr="000A0A5F" w:rsidRDefault="00CB0DD7">
            <w:pPr>
              <w:pStyle w:val="TAL"/>
              <w:rPr>
                <w:rFonts w:cs="Arial" w:hint="eastAsia"/>
                <w:szCs w:val="18"/>
                <w:lang w:eastAsia="zh-CN"/>
              </w:rPr>
            </w:pPr>
            <w:r w:rsidRPr="000A0A5F">
              <w:rPr>
                <w:rFonts w:eastAsia="Times New Roman" w:cs="Arial"/>
                <w:szCs w:val="18"/>
              </w:rPr>
              <w:t>Identifies a list of geographic area of the user where the UE is located.</w:t>
            </w:r>
          </w:p>
        </w:tc>
      </w:tr>
      <w:tr w:rsidR="00CB0DD7" w:rsidRPr="000A0A5F" w:rsidTr="002B45A7">
        <w:tc>
          <w:tcPr>
            <w:tcW w:w="940" w:type="pct"/>
            <w:shd w:val="clear" w:color="auto" w:fill="auto"/>
            <w:tcMar>
              <w:top w:w="0" w:type="dxa"/>
              <w:left w:w="108" w:type="dxa"/>
              <w:bottom w:w="0" w:type="dxa"/>
              <w:right w:w="108" w:type="dxa"/>
            </w:tcMar>
            <w:vAlign w:val="center"/>
          </w:tcPr>
          <w:p w:rsidR="00CB0DD7" w:rsidRPr="000A0A5F" w:rsidRDefault="00CB0DD7">
            <w:pPr>
              <w:pStyle w:val="TAL"/>
              <w:rPr>
                <w:rFonts w:hint="eastAsia"/>
                <w:lang w:eastAsia="zh-CN"/>
              </w:rPr>
            </w:pPr>
            <w:r w:rsidRPr="000A0A5F">
              <w:t>civicAddresses</w:t>
            </w:r>
          </w:p>
        </w:tc>
        <w:tc>
          <w:tcPr>
            <w:tcW w:w="1088" w:type="pct"/>
            <w:shd w:val="clear" w:color="auto" w:fill="auto"/>
            <w:tcMar>
              <w:top w:w="0" w:type="dxa"/>
              <w:left w:w="108" w:type="dxa"/>
              <w:bottom w:w="0" w:type="dxa"/>
              <w:right w:w="108" w:type="dxa"/>
            </w:tcMar>
          </w:tcPr>
          <w:p w:rsidR="00CB0DD7" w:rsidRPr="000A0A5F" w:rsidRDefault="00CB0DD7">
            <w:pPr>
              <w:pStyle w:val="TAL"/>
              <w:rPr>
                <w:rFonts w:hint="eastAsia"/>
                <w:lang w:eastAsia="zh-CN"/>
              </w:rPr>
            </w:pPr>
            <w:r w:rsidRPr="000A0A5F">
              <w:rPr>
                <w:lang w:eastAsia="zh-CN"/>
              </w:rPr>
              <w:t>array(</w:t>
            </w:r>
            <w:r w:rsidRPr="000A0A5F">
              <w:t>CivicAddress)</w:t>
            </w:r>
          </w:p>
        </w:tc>
        <w:tc>
          <w:tcPr>
            <w:tcW w:w="712" w:type="pct"/>
            <w:shd w:val="clear" w:color="auto" w:fill="auto"/>
            <w:tcMar>
              <w:top w:w="0" w:type="dxa"/>
              <w:left w:w="108" w:type="dxa"/>
              <w:bottom w:w="0" w:type="dxa"/>
              <w:right w:w="108" w:type="dxa"/>
            </w:tcMar>
          </w:tcPr>
          <w:p w:rsidR="00CB0DD7" w:rsidRPr="000A0A5F" w:rsidRDefault="00CB0DD7">
            <w:pPr>
              <w:pStyle w:val="TAL"/>
              <w:rPr>
                <w:rFonts w:hint="eastAsia"/>
                <w:lang w:eastAsia="zh-CN"/>
              </w:rPr>
            </w:pPr>
            <w:r w:rsidRPr="000A0A5F">
              <w:rPr>
                <w:rFonts w:hint="eastAsia"/>
                <w:lang w:eastAsia="zh-CN"/>
              </w:rPr>
              <w:t>0..N</w:t>
            </w:r>
          </w:p>
        </w:tc>
        <w:tc>
          <w:tcPr>
            <w:tcW w:w="2260" w:type="pct"/>
            <w:shd w:val="clear" w:color="auto" w:fill="auto"/>
            <w:tcMar>
              <w:top w:w="0" w:type="dxa"/>
              <w:left w:w="108" w:type="dxa"/>
              <w:bottom w:w="0" w:type="dxa"/>
              <w:right w:w="108" w:type="dxa"/>
            </w:tcMar>
          </w:tcPr>
          <w:p w:rsidR="00CB0DD7" w:rsidRPr="000A0A5F" w:rsidRDefault="00CB0DD7">
            <w:pPr>
              <w:pStyle w:val="TAL"/>
              <w:rPr>
                <w:rFonts w:eastAsia="Times New Roman" w:cs="Arial"/>
                <w:szCs w:val="18"/>
              </w:rPr>
            </w:pPr>
            <w:r w:rsidRPr="000A0A5F">
              <w:rPr>
                <w:rFonts w:eastAsia="Times New Roman" w:cs="Arial"/>
                <w:szCs w:val="18"/>
              </w:rPr>
              <w:t>Identifies a list of civic addresses of the user where the UE is located.</w:t>
            </w:r>
          </w:p>
        </w:tc>
      </w:tr>
      <w:tr w:rsidR="00CB0DD7" w:rsidRPr="000A0A5F" w:rsidTr="002B45A7">
        <w:tc>
          <w:tcPr>
            <w:tcW w:w="940" w:type="pct"/>
            <w:shd w:val="clear" w:color="auto" w:fill="auto"/>
            <w:tcMar>
              <w:top w:w="0" w:type="dxa"/>
              <w:left w:w="108" w:type="dxa"/>
              <w:bottom w:w="0" w:type="dxa"/>
              <w:right w:w="108" w:type="dxa"/>
            </w:tcMar>
            <w:vAlign w:val="center"/>
          </w:tcPr>
          <w:p w:rsidR="00CB0DD7" w:rsidRPr="000A0A5F" w:rsidRDefault="00CB0DD7">
            <w:pPr>
              <w:pStyle w:val="TAL"/>
            </w:pPr>
            <w:r w:rsidRPr="000A0A5F">
              <w:t>nwAreaInfo</w:t>
            </w:r>
          </w:p>
        </w:tc>
        <w:tc>
          <w:tcPr>
            <w:tcW w:w="1088" w:type="pct"/>
            <w:shd w:val="clear" w:color="auto" w:fill="auto"/>
            <w:tcMar>
              <w:top w:w="0" w:type="dxa"/>
              <w:left w:w="108" w:type="dxa"/>
              <w:bottom w:w="0" w:type="dxa"/>
              <w:right w:w="108" w:type="dxa"/>
            </w:tcMar>
          </w:tcPr>
          <w:p w:rsidR="00CB0DD7" w:rsidRPr="000A0A5F" w:rsidRDefault="00CB0DD7">
            <w:pPr>
              <w:pStyle w:val="TAL"/>
              <w:rPr>
                <w:lang w:eastAsia="zh-CN"/>
              </w:rPr>
            </w:pPr>
            <w:r w:rsidRPr="000A0A5F">
              <w:t>NetworkAreaInfo</w:t>
            </w:r>
          </w:p>
        </w:tc>
        <w:tc>
          <w:tcPr>
            <w:tcW w:w="712" w:type="pct"/>
            <w:shd w:val="clear" w:color="auto" w:fill="auto"/>
            <w:tcMar>
              <w:top w:w="0" w:type="dxa"/>
              <w:left w:w="108" w:type="dxa"/>
              <w:bottom w:w="0" w:type="dxa"/>
              <w:right w:w="108" w:type="dxa"/>
            </w:tcMar>
          </w:tcPr>
          <w:p w:rsidR="00CB0DD7" w:rsidRPr="000A0A5F" w:rsidRDefault="00CB0DD7">
            <w:pPr>
              <w:pStyle w:val="TAL"/>
              <w:rPr>
                <w:rFonts w:hint="eastAsia"/>
                <w:lang w:eastAsia="zh-CN"/>
              </w:rPr>
            </w:pPr>
            <w:r w:rsidRPr="000A0A5F">
              <w:rPr>
                <w:rFonts w:hint="eastAsia"/>
                <w:lang w:eastAsia="zh-CN"/>
              </w:rPr>
              <w:t>0..</w:t>
            </w:r>
            <w:r w:rsidRPr="000A0A5F">
              <w:rPr>
                <w:lang w:eastAsia="zh-CN"/>
              </w:rPr>
              <w:t>1</w:t>
            </w:r>
          </w:p>
        </w:tc>
        <w:tc>
          <w:tcPr>
            <w:tcW w:w="2260" w:type="pct"/>
            <w:shd w:val="clear" w:color="auto" w:fill="auto"/>
            <w:tcMar>
              <w:top w:w="0" w:type="dxa"/>
              <w:left w:w="108" w:type="dxa"/>
              <w:bottom w:w="0" w:type="dxa"/>
              <w:right w:w="108" w:type="dxa"/>
            </w:tcMar>
          </w:tcPr>
          <w:p w:rsidR="00CB0DD7" w:rsidRPr="000A0A5F" w:rsidRDefault="00CB0DD7">
            <w:pPr>
              <w:pStyle w:val="TAL"/>
              <w:rPr>
                <w:rFonts w:cs="Arial"/>
              </w:rPr>
            </w:pPr>
            <w:r w:rsidRPr="000A0A5F">
              <w:rPr>
                <w:rFonts w:cs="Arial"/>
                <w:szCs w:val="18"/>
                <w:lang w:eastAsia="zh-CN"/>
              </w:rPr>
              <w:t xml:space="preserve">This IE represents </w:t>
            </w:r>
            <w:r w:rsidRPr="000A0A5F">
              <w:rPr>
                <w:rFonts w:cs="Arial"/>
              </w:rPr>
              <w:t>the network area information of the user where the UE is located.</w:t>
            </w:r>
          </w:p>
        </w:tc>
      </w:tr>
    </w:tbl>
    <w:p w:rsidR="009A49FD" w:rsidRPr="000A0A5F" w:rsidRDefault="009A49FD"/>
    <w:p w:rsidR="00A06A93" w:rsidRPr="000A0A5F" w:rsidRDefault="00A06A93" w:rsidP="00A06A93">
      <w:pPr>
        <w:pStyle w:val="Heading5"/>
      </w:pPr>
      <w:bookmarkStart w:id="1246" w:name="_Toc130502333"/>
      <w:bookmarkStart w:id="1247" w:name="_Toc153625112"/>
      <w:r w:rsidRPr="000A0A5F">
        <w:t>5.2.1.2.18</w:t>
      </w:r>
      <w:r w:rsidRPr="000A0A5F">
        <w:tab/>
        <w:t>Type: EthFlowInfo</w:t>
      </w:r>
      <w:bookmarkEnd w:id="1246"/>
      <w:bookmarkEnd w:id="1247"/>
    </w:p>
    <w:p w:rsidR="00A06A93" w:rsidRPr="000A0A5F" w:rsidRDefault="00A06A93" w:rsidP="00A06A93">
      <w:r w:rsidRPr="000A0A5F">
        <w:t>This type represents Ethernet flow information. It shall comply with the provisions defined in table 5.2.1.2.18-1.</w:t>
      </w:r>
    </w:p>
    <w:p w:rsidR="00A06A93" w:rsidRPr="000A0A5F" w:rsidRDefault="00A06A93" w:rsidP="00A06A93">
      <w:pPr>
        <w:pStyle w:val="TH"/>
      </w:pPr>
      <w:r w:rsidRPr="000A0A5F">
        <w:t>Table 5.2.1.2.18-1: Definition of the EthFlowInfo data type</w:t>
      </w:r>
    </w:p>
    <w:tbl>
      <w:tblPr>
        <w:tblW w:w="5122"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870"/>
        <w:gridCol w:w="2068"/>
        <w:gridCol w:w="1323"/>
        <w:gridCol w:w="4837"/>
      </w:tblGrid>
      <w:tr w:rsidR="00A06A93" w:rsidRPr="000A0A5F" w:rsidTr="007D4681">
        <w:tc>
          <w:tcPr>
            <w:tcW w:w="926" w:type="pct"/>
            <w:shd w:val="clear" w:color="auto" w:fill="C0C0C0"/>
            <w:tcMar>
              <w:top w:w="0" w:type="dxa"/>
              <w:left w:w="108" w:type="dxa"/>
              <w:bottom w:w="0" w:type="dxa"/>
              <w:right w:w="108" w:type="dxa"/>
            </w:tcMar>
          </w:tcPr>
          <w:p w:rsidR="00A06A93" w:rsidRPr="000A0A5F" w:rsidRDefault="00A06A93" w:rsidP="007D4681">
            <w:pPr>
              <w:pStyle w:val="TAH"/>
            </w:pPr>
            <w:r w:rsidRPr="000A0A5F">
              <w:t>Attribute name</w:t>
            </w:r>
          </w:p>
        </w:tc>
        <w:tc>
          <w:tcPr>
            <w:tcW w:w="1024" w:type="pct"/>
            <w:shd w:val="clear" w:color="auto" w:fill="C0C0C0"/>
            <w:tcMar>
              <w:top w:w="0" w:type="dxa"/>
              <w:left w:w="108" w:type="dxa"/>
              <w:bottom w:w="0" w:type="dxa"/>
              <w:right w:w="108" w:type="dxa"/>
            </w:tcMar>
          </w:tcPr>
          <w:p w:rsidR="00A06A93" w:rsidRPr="000A0A5F" w:rsidRDefault="00A06A93" w:rsidP="007D4681">
            <w:pPr>
              <w:pStyle w:val="TAH"/>
            </w:pPr>
            <w:r w:rsidRPr="000A0A5F">
              <w:t>Data type</w:t>
            </w:r>
          </w:p>
        </w:tc>
        <w:tc>
          <w:tcPr>
            <w:tcW w:w="655" w:type="pct"/>
            <w:shd w:val="clear" w:color="auto" w:fill="C0C0C0"/>
            <w:tcMar>
              <w:top w:w="0" w:type="dxa"/>
              <w:left w:w="108" w:type="dxa"/>
              <w:bottom w:w="0" w:type="dxa"/>
              <w:right w:w="108" w:type="dxa"/>
            </w:tcMar>
          </w:tcPr>
          <w:p w:rsidR="00A06A93" w:rsidRPr="000A0A5F" w:rsidRDefault="00A06A93" w:rsidP="007D4681">
            <w:pPr>
              <w:pStyle w:val="TAH"/>
            </w:pPr>
            <w:r w:rsidRPr="000A0A5F">
              <w:t>Cardinality</w:t>
            </w:r>
          </w:p>
        </w:tc>
        <w:tc>
          <w:tcPr>
            <w:tcW w:w="2395" w:type="pct"/>
            <w:shd w:val="clear" w:color="auto" w:fill="C0C0C0"/>
            <w:tcMar>
              <w:top w:w="0" w:type="dxa"/>
              <w:left w:w="108" w:type="dxa"/>
              <w:bottom w:w="0" w:type="dxa"/>
              <w:right w:w="108" w:type="dxa"/>
            </w:tcMar>
          </w:tcPr>
          <w:p w:rsidR="00A06A93" w:rsidRPr="000A0A5F" w:rsidRDefault="00A06A93" w:rsidP="007D4681">
            <w:pPr>
              <w:pStyle w:val="TAH"/>
            </w:pPr>
            <w:r w:rsidRPr="000A0A5F">
              <w:t>Description</w:t>
            </w:r>
          </w:p>
        </w:tc>
      </w:tr>
      <w:tr w:rsidR="00A06A93" w:rsidRPr="000A0A5F" w:rsidTr="007D4681">
        <w:tc>
          <w:tcPr>
            <w:tcW w:w="926" w:type="pct"/>
            <w:shd w:val="clear" w:color="auto" w:fill="auto"/>
            <w:tcMar>
              <w:top w:w="0" w:type="dxa"/>
              <w:left w:w="108" w:type="dxa"/>
              <w:bottom w:w="0" w:type="dxa"/>
              <w:right w:w="108" w:type="dxa"/>
            </w:tcMar>
          </w:tcPr>
          <w:p w:rsidR="00A06A93" w:rsidRPr="000A0A5F" w:rsidRDefault="00A06A93" w:rsidP="007D4681">
            <w:pPr>
              <w:pStyle w:val="TAL"/>
            </w:pPr>
            <w:r w:rsidRPr="000A0A5F">
              <w:rPr>
                <w:rFonts w:hint="eastAsia"/>
                <w:lang w:eastAsia="zh-CN"/>
              </w:rPr>
              <w:t>flow</w:t>
            </w:r>
            <w:r w:rsidRPr="000A0A5F">
              <w:rPr>
                <w:lang w:eastAsia="zh-CN"/>
              </w:rPr>
              <w:t>Id</w:t>
            </w:r>
          </w:p>
        </w:tc>
        <w:tc>
          <w:tcPr>
            <w:tcW w:w="1024" w:type="pct"/>
            <w:shd w:val="clear" w:color="auto" w:fill="auto"/>
            <w:tcMar>
              <w:top w:w="0" w:type="dxa"/>
              <w:left w:w="108" w:type="dxa"/>
              <w:bottom w:w="0" w:type="dxa"/>
              <w:right w:w="108" w:type="dxa"/>
            </w:tcMar>
          </w:tcPr>
          <w:p w:rsidR="00A06A93" w:rsidRPr="000A0A5F" w:rsidRDefault="00A06A93" w:rsidP="007D4681">
            <w:pPr>
              <w:pStyle w:val="TAL"/>
            </w:pPr>
            <w:r w:rsidRPr="000A0A5F">
              <w:t>integer</w:t>
            </w:r>
          </w:p>
        </w:tc>
        <w:tc>
          <w:tcPr>
            <w:tcW w:w="655" w:type="pct"/>
            <w:shd w:val="clear" w:color="auto" w:fill="auto"/>
            <w:tcMar>
              <w:top w:w="0" w:type="dxa"/>
              <w:left w:w="108" w:type="dxa"/>
              <w:bottom w:w="0" w:type="dxa"/>
              <w:right w:w="108" w:type="dxa"/>
            </w:tcMar>
          </w:tcPr>
          <w:p w:rsidR="00A06A93" w:rsidRPr="000A0A5F" w:rsidRDefault="00A06A93" w:rsidP="007D4681">
            <w:pPr>
              <w:pStyle w:val="TAL"/>
            </w:pPr>
            <w:r w:rsidRPr="000A0A5F">
              <w:t>1</w:t>
            </w:r>
          </w:p>
        </w:tc>
        <w:tc>
          <w:tcPr>
            <w:tcW w:w="2395" w:type="pct"/>
            <w:shd w:val="clear" w:color="auto" w:fill="auto"/>
            <w:tcMar>
              <w:top w:w="0" w:type="dxa"/>
              <w:left w:w="108" w:type="dxa"/>
              <w:bottom w:w="0" w:type="dxa"/>
              <w:right w:w="108" w:type="dxa"/>
            </w:tcMar>
          </w:tcPr>
          <w:p w:rsidR="00A06A93" w:rsidRPr="000A0A5F" w:rsidRDefault="00A06A93" w:rsidP="007D4681">
            <w:pPr>
              <w:pStyle w:val="TAL"/>
              <w:spacing w:line="360" w:lineRule="auto"/>
            </w:pPr>
            <w:r w:rsidRPr="000A0A5F">
              <w:t>Indicates the Ethernet flow.</w:t>
            </w:r>
          </w:p>
        </w:tc>
      </w:tr>
      <w:tr w:rsidR="00A06A93" w:rsidRPr="000A0A5F" w:rsidTr="007D4681">
        <w:tc>
          <w:tcPr>
            <w:tcW w:w="926" w:type="pct"/>
            <w:shd w:val="clear" w:color="auto" w:fill="auto"/>
            <w:tcMar>
              <w:top w:w="0" w:type="dxa"/>
              <w:left w:w="108" w:type="dxa"/>
              <w:bottom w:w="0" w:type="dxa"/>
              <w:right w:w="108" w:type="dxa"/>
            </w:tcMar>
          </w:tcPr>
          <w:p w:rsidR="00A06A93" w:rsidRPr="000A0A5F" w:rsidRDefault="00A06A93" w:rsidP="007D4681">
            <w:pPr>
              <w:pStyle w:val="TAL"/>
              <w:rPr>
                <w:lang w:eastAsia="zh-CN"/>
              </w:rPr>
            </w:pPr>
            <w:r w:rsidRPr="000A0A5F">
              <w:rPr>
                <w:lang w:eastAsia="zh-CN"/>
              </w:rPr>
              <w:t>ethF</w:t>
            </w:r>
            <w:r w:rsidRPr="000A0A5F">
              <w:rPr>
                <w:rFonts w:hint="eastAsia"/>
                <w:lang w:eastAsia="zh-CN"/>
              </w:rPr>
              <w:t>lowDescription</w:t>
            </w:r>
            <w:r w:rsidRPr="000A0A5F">
              <w:rPr>
                <w:lang w:eastAsia="zh-CN"/>
              </w:rPr>
              <w:t>s</w:t>
            </w:r>
          </w:p>
        </w:tc>
        <w:tc>
          <w:tcPr>
            <w:tcW w:w="1024" w:type="pct"/>
            <w:shd w:val="clear" w:color="auto" w:fill="auto"/>
            <w:tcMar>
              <w:top w:w="0" w:type="dxa"/>
              <w:left w:w="108" w:type="dxa"/>
              <w:bottom w:w="0" w:type="dxa"/>
              <w:right w:w="108" w:type="dxa"/>
            </w:tcMar>
          </w:tcPr>
          <w:p w:rsidR="00A06A93" w:rsidRPr="000A0A5F" w:rsidRDefault="00A06A93" w:rsidP="007D4681">
            <w:pPr>
              <w:pStyle w:val="TAL"/>
            </w:pPr>
            <w:r w:rsidRPr="000A0A5F">
              <w:t>array(EthFlowDescription)</w:t>
            </w:r>
          </w:p>
        </w:tc>
        <w:tc>
          <w:tcPr>
            <w:tcW w:w="655" w:type="pct"/>
            <w:shd w:val="clear" w:color="auto" w:fill="auto"/>
            <w:tcMar>
              <w:top w:w="0" w:type="dxa"/>
              <w:left w:w="108" w:type="dxa"/>
              <w:bottom w:w="0" w:type="dxa"/>
              <w:right w:w="108" w:type="dxa"/>
            </w:tcMar>
          </w:tcPr>
          <w:p w:rsidR="00A06A93" w:rsidRPr="000A0A5F" w:rsidRDefault="00A06A93" w:rsidP="007D4681">
            <w:pPr>
              <w:pStyle w:val="TAL"/>
            </w:pPr>
            <w:r w:rsidRPr="000A0A5F">
              <w:rPr>
                <w:rFonts w:hint="eastAsia"/>
                <w:lang w:eastAsia="zh-CN"/>
              </w:rPr>
              <w:t>0..2</w:t>
            </w:r>
          </w:p>
        </w:tc>
        <w:tc>
          <w:tcPr>
            <w:tcW w:w="2395" w:type="pct"/>
            <w:shd w:val="clear" w:color="auto" w:fill="auto"/>
            <w:tcMar>
              <w:top w:w="0" w:type="dxa"/>
              <w:left w:w="108" w:type="dxa"/>
              <w:bottom w:w="0" w:type="dxa"/>
              <w:right w:w="108" w:type="dxa"/>
            </w:tcMar>
          </w:tcPr>
          <w:p w:rsidR="00A06A93" w:rsidRPr="000A0A5F" w:rsidRDefault="00A06A93" w:rsidP="007D4681">
            <w:pPr>
              <w:pStyle w:val="TAL"/>
              <w:spacing w:line="360" w:lineRule="auto"/>
              <w:rPr>
                <w:lang w:eastAsia="zh-CN"/>
              </w:rPr>
            </w:pPr>
            <w:r w:rsidRPr="000A0A5F">
              <w:rPr>
                <w:lang w:eastAsia="zh-CN"/>
              </w:rPr>
              <w:t>Indicates the packet filters of the Ethernet flow.</w:t>
            </w:r>
          </w:p>
          <w:p w:rsidR="00A06A93" w:rsidRPr="000A0A5F" w:rsidRDefault="00A06A93" w:rsidP="007D4681">
            <w:pPr>
              <w:pStyle w:val="TAL"/>
            </w:pPr>
            <w:r w:rsidRPr="000A0A5F">
              <w:rPr>
                <w:lang w:eastAsia="zh-CN"/>
              </w:rPr>
              <w:t>Refer to clause</w:t>
            </w:r>
            <w:r w:rsidRPr="000A0A5F">
              <w:rPr>
                <w:lang w:val="en-US" w:eastAsia="zh-CN"/>
              </w:rPr>
              <w:t> 5.6.2.17 of 3GPP</w:t>
            </w:r>
            <w:r w:rsidRPr="000A0A5F">
              <w:rPr>
                <w:rFonts w:eastAsia="DengXian"/>
                <w:lang w:val="en-US" w:eastAsia="zh-CN"/>
              </w:rPr>
              <w:t> TS </w:t>
            </w:r>
            <w:r w:rsidRPr="000A0A5F">
              <w:rPr>
                <w:lang w:eastAsia="zh-CN"/>
              </w:rPr>
              <w:t>29.514</w:t>
            </w:r>
            <w:r w:rsidRPr="000A0A5F">
              <w:rPr>
                <w:lang w:val="en-US" w:eastAsia="zh-CN"/>
              </w:rPr>
              <w:t> [52] for encoding of each Ethernet flow. It shall contain UL and/or DL Ethernet flow description.</w:t>
            </w:r>
          </w:p>
        </w:tc>
      </w:tr>
    </w:tbl>
    <w:p w:rsidR="00A06A93" w:rsidRPr="000A0A5F" w:rsidRDefault="00A06A93"/>
    <w:p w:rsidR="00CB0DD7" w:rsidRPr="000A0A5F" w:rsidRDefault="00CB0DD7">
      <w:pPr>
        <w:pStyle w:val="Heading4"/>
      </w:pPr>
      <w:bookmarkStart w:id="1248" w:name="_Toc11247270"/>
      <w:bookmarkStart w:id="1249" w:name="_Toc27044390"/>
      <w:bookmarkStart w:id="1250" w:name="_Toc36033432"/>
      <w:bookmarkStart w:id="1251" w:name="_Toc45131564"/>
      <w:bookmarkStart w:id="1252" w:name="_Toc49775849"/>
      <w:bookmarkStart w:id="1253" w:name="_Toc51746769"/>
      <w:bookmarkStart w:id="1254" w:name="_Toc66360311"/>
      <w:bookmarkStart w:id="1255" w:name="_Toc68104816"/>
      <w:bookmarkStart w:id="1256" w:name="_Toc74755445"/>
      <w:bookmarkStart w:id="1257" w:name="_Toc105674300"/>
      <w:bookmarkStart w:id="1258" w:name="_Toc130502334"/>
      <w:bookmarkStart w:id="1259" w:name="_Toc153625113"/>
      <w:r w:rsidRPr="000A0A5F">
        <w:t>5.2.1.3</w:t>
      </w:r>
      <w:r w:rsidRPr="000A0A5F">
        <w:tab/>
        <w:t>Referenced Simple data types and enumerations</w:t>
      </w:r>
      <w:bookmarkEnd w:id="1248"/>
      <w:bookmarkEnd w:id="1249"/>
      <w:bookmarkEnd w:id="1250"/>
      <w:bookmarkEnd w:id="1251"/>
      <w:bookmarkEnd w:id="1252"/>
      <w:bookmarkEnd w:id="1253"/>
      <w:bookmarkEnd w:id="1254"/>
      <w:bookmarkEnd w:id="1255"/>
      <w:bookmarkEnd w:id="1256"/>
      <w:bookmarkEnd w:id="1257"/>
      <w:bookmarkEnd w:id="1258"/>
      <w:bookmarkEnd w:id="1259"/>
    </w:p>
    <w:p w:rsidR="00CB0DD7" w:rsidRPr="000A0A5F" w:rsidRDefault="00CB0DD7">
      <w:pPr>
        <w:pStyle w:val="Heading5"/>
      </w:pPr>
      <w:bookmarkStart w:id="1260" w:name="_Toc11247271"/>
      <w:bookmarkStart w:id="1261" w:name="_Toc27044391"/>
      <w:bookmarkStart w:id="1262" w:name="_Toc36033433"/>
      <w:bookmarkStart w:id="1263" w:name="_Toc45131565"/>
      <w:bookmarkStart w:id="1264" w:name="_Toc49775850"/>
      <w:bookmarkStart w:id="1265" w:name="_Toc51746770"/>
      <w:bookmarkStart w:id="1266" w:name="_Toc66360312"/>
      <w:bookmarkStart w:id="1267" w:name="_Toc68104817"/>
      <w:bookmarkStart w:id="1268" w:name="_Toc74755446"/>
      <w:bookmarkStart w:id="1269" w:name="_Toc105674301"/>
      <w:bookmarkStart w:id="1270" w:name="_Toc130502335"/>
      <w:bookmarkStart w:id="1271" w:name="_Toc153625114"/>
      <w:r w:rsidRPr="000A0A5F">
        <w:t>5.2.1.3.1</w:t>
      </w:r>
      <w:r w:rsidRPr="000A0A5F">
        <w:tab/>
        <w:t>Introduction</w:t>
      </w:r>
      <w:bookmarkEnd w:id="1260"/>
      <w:bookmarkEnd w:id="1261"/>
      <w:bookmarkEnd w:id="1262"/>
      <w:bookmarkEnd w:id="1263"/>
      <w:bookmarkEnd w:id="1264"/>
      <w:bookmarkEnd w:id="1265"/>
      <w:bookmarkEnd w:id="1266"/>
      <w:bookmarkEnd w:id="1267"/>
      <w:bookmarkEnd w:id="1268"/>
      <w:bookmarkEnd w:id="1269"/>
      <w:bookmarkEnd w:id="1270"/>
      <w:bookmarkEnd w:id="1271"/>
    </w:p>
    <w:p w:rsidR="00CB0DD7" w:rsidRPr="000A0A5F" w:rsidRDefault="00CB0DD7">
      <w:r w:rsidRPr="000A0A5F">
        <w:t>This clause defines simple data types and enumerations that are referenced from data structures.</w:t>
      </w:r>
    </w:p>
    <w:p w:rsidR="00CB0DD7" w:rsidRPr="000A0A5F" w:rsidRDefault="00CB0DD7">
      <w:pPr>
        <w:pStyle w:val="Heading5"/>
      </w:pPr>
      <w:bookmarkStart w:id="1272" w:name="_Toc11247272"/>
      <w:bookmarkStart w:id="1273" w:name="_Toc27044392"/>
      <w:bookmarkStart w:id="1274" w:name="_Toc36033434"/>
      <w:bookmarkStart w:id="1275" w:name="_Toc45131566"/>
      <w:bookmarkStart w:id="1276" w:name="_Toc49775851"/>
      <w:bookmarkStart w:id="1277" w:name="_Toc51746771"/>
      <w:bookmarkStart w:id="1278" w:name="_Toc66360313"/>
      <w:bookmarkStart w:id="1279" w:name="_Toc68104818"/>
      <w:bookmarkStart w:id="1280" w:name="_Toc74755447"/>
      <w:bookmarkStart w:id="1281" w:name="_Toc105674302"/>
      <w:bookmarkStart w:id="1282" w:name="_Toc130502336"/>
      <w:bookmarkStart w:id="1283" w:name="_Toc153625115"/>
      <w:r w:rsidRPr="000A0A5F">
        <w:t>5.2.1.3.2</w:t>
      </w:r>
      <w:r w:rsidRPr="000A0A5F">
        <w:tab/>
        <w:t>Simple data types</w:t>
      </w:r>
      <w:bookmarkEnd w:id="1272"/>
      <w:bookmarkEnd w:id="1273"/>
      <w:bookmarkEnd w:id="1274"/>
      <w:bookmarkEnd w:id="1275"/>
      <w:bookmarkEnd w:id="1276"/>
      <w:bookmarkEnd w:id="1277"/>
      <w:bookmarkEnd w:id="1278"/>
      <w:bookmarkEnd w:id="1279"/>
      <w:bookmarkEnd w:id="1280"/>
      <w:bookmarkEnd w:id="1281"/>
      <w:bookmarkEnd w:id="1282"/>
      <w:bookmarkEnd w:id="1283"/>
    </w:p>
    <w:p w:rsidR="00CB0DD7" w:rsidRPr="000A0A5F" w:rsidRDefault="00CB0DD7">
      <w:r w:rsidRPr="000A0A5F">
        <w:t>The reused datatypes defined in OpenAPI </w:t>
      </w:r>
      <w:r w:rsidRPr="000A0A5F">
        <w:rPr>
          <w:lang w:eastAsia="zh-CN"/>
        </w:rPr>
        <w:t>Specification</w:t>
      </w:r>
      <w:r w:rsidRPr="000A0A5F">
        <w:t> [27] listed in table 5.2.1.3.2-1 and the simple data types defined in table 5.2.1.3.2-2 apply to several T8 APIs.</w:t>
      </w:r>
    </w:p>
    <w:p w:rsidR="00CB0DD7" w:rsidRPr="000A0A5F" w:rsidRDefault="00CB0DD7">
      <w:pPr>
        <w:pStyle w:val="TH"/>
      </w:pPr>
      <w:r w:rsidRPr="000A0A5F">
        <w:t>Table 5.2.1.3.2-1: Reused OpenAPI data types</w:t>
      </w:r>
    </w:p>
    <w:tbl>
      <w:tblPr>
        <w:tblW w:w="4944"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809"/>
        <w:gridCol w:w="7938"/>
        <w:tblGridChange w:id="1284">
          <w:tblGrid>
            <w:gridCol w:w="1809"/>
            <w:gridCol w:w="7938"/>
          </w:tblGrid>
        </w:tblGridChange>
      </w:tblGrid>
      <w:tr w:rsidR="00CB0DD7" w:rsidRPr="000A0A5F" w:rsidTr="00FF0AF8">
        <w:trPr>
          <w:trHeight w:val="280"/>
        </w:trPr>
        <w:tc>
          <w:tcPr>
            <w:tcW w:w="928" w:type="pct"/>
            <w:shd w:val="clear" w:color="auto" w:fill="C0C0C0"/>
            <w:tcMar>
              <w:top w:w="0" w:type="dxa"/>
              <w:left w:w="108" w:type="dxa"/>
              <w:bottom w:w="0" w:type="dxa"/>
              <w:right w:w="108" w:type="dxa"/>
            </w:tcMar>
          </w:tcPr>
          <w:p w:rsidR="00CB0DD7" w:rsidRPr="000A0A5F" w:rsidRDefault="00CB0DD7">
            <w:pPr>
              <w:pStyle w:val="TAH"/>
            </w:pPr>
            <w:r w:rsidRPr="000A0A5F">
              <w:t>Type name</w:t>
            </w:r>
          </w:p>
        </w:tc>
        <w:tc>
          <w:tcPr>
            <w:tcW w:w="4072" w:type="pct"/>
            <w:shd w:val="clear" w:color="auto" w:fill="C0C0C0"/>
            <w:tcMar>
              <w:top w:w="0" w:type="dxa"/>
              <w:left w:w="108" w:type="dxa"/>
              <w:bottom w:w="0" w:type="dxa"/>
              <w:right w:w="108" w:type="dxa"/>
            </w:tcMar>
          </w:tcPr>
          <w:p w:rsidR="00CB0DD7" w:rsidRPr="000A0A5F" w:rsidRDefault="00CB0DD7">
            <w:pPr>
              <w:pStyle w:val="TAH"/>
            </w:pPr>
            <w:r w:rsidRPr="000A0A5F">
              <w:t>Description</w:t>
            </w:r>
          </w:p>
        </w:tc>
      </w:tr>
      <w:tr w:rsidR="00CB0DD7" w:rsidRPr="000A0A5F" w:rsidTr="00FF0AF8">
        <w:tc>
          <w:tcPr>
            <w:tcW w:w="928" w:type="pct"/>
            <w:tcMar>
              <w:top w:w="0" w:type="dxa"/>
              <w:left w:w="108" w:type="dxa"/>
              <w:bottom w:w="0" w:type="dxa"/>
              <w:right w:w="108" w:type="dxa"/>
            </w:tcMar>
          </w:tcPr>
          <w:p w:rsidR="00CB0DD7" w:rsidRPr="000A0A5F" w:rsidRDefault="00CB0DD7">
            <w:pPr>
              <w:pStyle w:val="TAL"/>
            </w:pPr>
            <w:r w:rsidRPr="000A0A5F">
              <w:t>boolean</w:t>
            </w:r>
          </w:p>
        </w:tc>
        <w:tc>
          <w:tcPr>
            <w:tcW w:w="4072" w:type="pct"/>
            <w:tcMar>
              <w:top w:w="0" w:type="dxa"/>
              <w:left w:w="108" w:type="dxa"/>
              <w:bottom w:w="0" w:type="dxa"/>
              <w:right w:w="108" w:type="dxa"/>
            </w:tcMar>
          </w:tcPr>
          <w:p w:rsidR="00CB0DD7" w:rsidRPr="000A0A5F" w:rsidRDefault="00CB0DD7">
            <w:pPr>
              <w:pStyle w:val="TAL"/>
              <w:rPr>
                <w:rFonts w:cs="Arial"/>
                <w:szCs w:val="18"/>
                <w:lang w:eastAsia="zh-CN"/>
              </w:rPr>
            </w:pPr>
            <w:r w:rsidRPr="000A0A5F">
              <w:t>As defined in OpenAPI </w:t>
            </w:r>
            <w:r w:rsidRPr="000A0A5F">
              <w:rPr>
                <w:lang w:eastAsia="zh-CN"/>
              </w:rPr>
              <w:t>Specification</w:t>
            </w:r>
            <w:r w:rsidRPr="000A0A5F">
              <w:t> [27], i.e. either value "true" or value "false" as defined in IETF RFC 7159 [5].</w:t>
            </w:r>
          </w:p>
        </w:tc>
      </w:tr>
      <w:tr w:rsidR="00CB0DD7" w:rsidRPr="000A0A5F" w:rsidTr="00FF0AF8">
        <w:tc>
          <w:tcPr>
            <w:tcW w:w="928" w:type="pct"/>
            <w:tcMar>
              <w:top w:w="0" w:type="dxa"/>
              <w:left w:w="108" w:type="dxa"/>
              <w:bottom w:w="0" w:type="dxa"/>
              <w:right w:w="108" w:type="dxa"/>
            </w:tcMar>
          </w:tcPr>
          <w:p w:rsidR="00CB0DD7" w:rsidRPr="000A0A5F" w:rsidRDefault="00CB0DD7">
            <w:pPr>
              <w:pStyle w:val="TAL"/>
            </w:pPr>
            <w:r w:rsidRPr="000A0A5F">
              <w:t>integer</w:t>
            </w:r>
          </w:p>
        </w:tc>
        <w:tc>
          <w:tcPr>
            <w:tcW w:w="4072" w:type="pct"/>
            <w:tcMar>
              <w:top w:w="0" w:type="dxa"/>
              <w:left w:w="108" w:type="dxa"/>
              <w:bottom w:w="0" w:type="dxa"/>
              <w:right w:w="108" w:type="dxa"/>
            </w:tcMar>
          </w:tcPr>
          <w:p w:rsidR="00CB0DD7" w:rsidRPr="000A0A5F" w:rsidRDefault="00CB0DD7">
            <w:pPr>
              <w:pStyle w:val="TAL"/>
              <w:rPr>
                <w:rFonts w:cs="Arial"/>
                <w:szCs w:val="18"/>
                <w:lang w:eastAsia="zh-CN"/>
              </w:rPr>
            </w:pPr>
            <w:r w:rsidRPr="000A0A5F">
              <w:t>As defined in OpenAPI </w:t>
            </w:r>
            <w:r w:rsidRPr="000A0A5F">
              <w:rPr>
                <w:lang w:eastAsia="zh-CN"/>
              </w:rPr>
              <w:t>Specification</w:t>
            </w:r>
            <w:r w:rsidRPr="000A0A5F">
              <w:t> [27].</w:t>
            </w:r>
          </w:p>
        </w:tc>
      </w:tr>
      <w:tr w:rsidR="00CB0DD7" w:rsidRPr="000A0A5F" w:rsidTr="00FF0AF8">
        <w:tc>
          <w:tcPr>
            <w:tcW w:w="928" w:type="pct"/>
            <w:tcMar>
              <w:top w:w="0" w:type="dxa"/>
              <w:left w:w="108" w:type="dxa"/>
              <w:bottom w:w="0" w:type="dxa"/>
              <w:right w:w="108" w:type="dxa"/>
            </w:tcMar>
          </w:tcPr>
          <w:p w:rsidR="00CB0DD7" w:rsidRPr="000A0A5F" w:rsidRDefault="00CB0DD7">
            <w:pPr>
              <w:pStyle w:val="TAL"/>
              <w:rPr>
                <w:rFonts w:cs="Arial" w:hint="eastAsia"/>
                <w:szCs w:val="18"/>
                <w:lang w:eastAsia="zh-CN"/>
              </w:rPr>
            </w:pPr>
            <w:r w:rsidRPr="000A0A5F">
              <w:t>number</w:t>
            </w:r>
          </w:p>
        </w:tc>
        <w:tc>
          <w:tcPr>
            <w:tcW w:w="4072" w:type="pct"/>
            <w:tcMar>
              <w:top w:w="0" w:type="dxa"/>
              <w:left w:w="108" w:type="dxa"/>
              <w:bottom w:w="0" w:type="dxa"/>
              <w:right w:w="108" w:type="dxa"/>
            </w:tcMar>
          </w:tcPr>
          <w:p w:rsidR="00CB0DD7" w:rsidRPr="000A0A5F" w:rsidRDefault="00CB0DD7">
            <w:pPr>
              <w:pStyle w:val="TAL"/>
            </w:pPr>
            <w:r w:rsidRPr="000A0A5F">
              <w:t>As defined in OpenAPI </w:t>
            </w:r>
            <w:r w:rsidRPr="000A0A5F">
              <w:rPr>
                <w:lang w:eastAsia="zh-CN"/>
              </w:rPr>
              <w:t>Specification</w:t>
            </w:r>
            <w:r w:rsidRPr="000A0A5F">
              <w:t> [27].</w:t>
            </w:r>
          </w:p>
        </w:tc>
      </w:tr>
      <w:tr w:rsidR="00CB0DD7" w:rsidRPr="000A0A5F" w:rsidTr="00FF0AF8">
        <w:tc>
          <w:tcPr>
            <w:tcW w:w="928" w:type="pct"/>
            <w:tcMar>
              <w:top w:w="0" w:type="dxa"/>
              <w:left w:w="108" w:type="dxa"/>
              <w:bottom w:w="0" w:type="dxa"/>
              <w:right w:w="108" w:type="dxa"/>
            </w:tcMar>
          </w:tcPr>
          <w:p w:rsidR="00CB0DD7" w:rsidRPr="000A0A5F" w:rsidRDefault="00CB0DD7">
            <w:pPr>
              <w:pStyle w:val="TAL"/>
              <w:rPr>
                <w:rFonts w:cs="Arial" w:hint="eastAsia"/>
                <w:szCs w:val="18"/>
                <w:lang w:eastAsia="zh-CN"/>
              </w:rPr>
            </w:pPr>
            <w:r w:rsidRPr="000A0A5F">
              <w:t>string</w:t>
            </w:r>
          </w:p>
        </w:tc>
        <w:tc>
          <w:tcPr>
            <w:tcW w:w="4072" w:type="pct"/>
            <w:tcMar>
              <w:top w:w="0" w:type="dxa"/>
              <w:left w:w="108" w:type="dxa"/>
              <w:bottom w:w="0" w:type="dxa"/>
              <w:right w:w="108" w:type="dxa"/>
            </w:tcMar>
          </w:tcPr>
          <w:p w:rsidR="00CB0DD7" w:rsidRPr="000A0A5F" w:rsidRDefault="00CB0DD7">
            <w:pPr>
              <w:pStyle w:val="TAL"/>
            </w:pPr>
            <w:r w:rsidRPr="000A0A5F">
              <w:t>As defined in OpenAPI </w:t>
            </w:r>
            <w:r w:rsidRPr="000A0A5F">
              <w:rPr>
                <w:lang w:eastAsia="zh-CN"/>
              </w:rPr>
              <w:t>Specification</w:t>
            </w:r>
            <w:r w:rsidRPr="000A0A5F">
              <w:t> [27].</w:t>
            </w:r>
          </w:p>
        </w:tc>
      </w:tr>
      <w:tr w:rsidR="00CB0DD7" w:rsidRPr="000A0A5F" w:rsidTr="00FF0AF8">
        <w:trPr>
          <w:trHeight w:val="383"/>
        </w:trPr>
        <w:tc>
          <w:tcPr>
            <w:tcW w:w="5000" w:type="pct"/>
            <w:gridSpan w:val="2"/>
            <w:tcMar>
              <w:top w:w="0" w:type="dxa"/>
              <w:left w:w="108" w:type="dxa"/>
              <w:bottom w:w="0" w:type="dxa"/>
              <w:right w:w="108" w:type="dxa"/>
            </w:tcMar>
          </w:tcPr>
          <w:p w:rsidR="00CB0DD7" w:rsidRPr="000A0A5F" w:rsidRDefault="00CB0DD7">
            <w:pPr>
              <w:pStyle w:val="TAN"/>
            </w:pPr>
            <w:r w:rsidRPr="000A0A5F">
              <w:t>NOTE:</w:t>
            </w:r>
            <w:r w:rsidRPr="000A0A5F">
              <w:tab/>
              <w:t>Data type names defined in OpenAPI </w:t>
            </w:r>
            <w:r w:rsidRPr="000A0A5F">
              <w:rPr>
                <w:lang w:eastAsia="zh-CN"/>
              </w:rPr>
              <w:t>Specification</w:t>
            </w:r>
            <w:r w:rsidRPr="000A0A5F">
              <w:t> [27] do not follow the convention to start with capital letters otherwise used in this specification.</w:t>
            </w:r>
          </w:p>
        </w:tc>
      </w:tr>
    </w:tbl>
    <w:p w:rsidR="00CB0DD7" w:rsidRPr="000A0A5F" w:rsidRDefault="00CB0DD7"/>
    <w:p w:rsidR="003D7A14" w:rsidRPr="000A0A5F" w:rsidRDefault="003D7A14" w:rsidP="003D7A14">
      <w:pPr>
        <w:pStyle w:val="TH"/>
        <w:spacing w:before="120"/>
      </w:pPr>
      <w:r w:rsidRPr="000A0A5F">
        <w:t>Table 5.2.1.3.2-2: Simple data types applicable to several APIs</w:t>
      </w:r>
    </w:p>
    <w:tbl>
      <w:tblPr>
        <w:tblW w:w="4944"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868"/>
        <w:gridCol w:w="7879"/>
      </w:tblGrid>
      <w:tr w:rsidR="003D7A14" w:rsidRPr="000A0A5F" w:rsidTr="00D375AC">
        <w:tc>
          <w:tcPr>
            <w:tcW w:w="958" w:type="pct"/>
            <w:shd w:val="clear" w:color="auto" w:fill="C0C0C0"/>
            <w:tcMar>
              <w:top w:w="0" w:type="dxa"/>
              <w:left w:w="108" w:type="dxa"/>
              <w:bottom w:w="0" w:type="dxa"/>
              <w:right w:w="108" w:type="dxa"/>
            </w:tcMar>
          </w:tcPr>
          <w:p w:rsidR="003D7A14" w:rsidRPr="000A0A5F" w:rsidRDefault="003D7A14" w:rsidP="00D375AC">
            <w:pPr>
              <w:pStyle w:val="TAH"/>
            </w:pPr>
            <w:r w:rsidRPr="000A0A5F">
              <w:t>Type name</w:t>
            </w:r>
          </w:p>
        </w:tc>
        <w:tc>
          <w:tcPr>
            <w:tcW w:w="4042" w:type="pct"/>
            <w:shd w:val="clear" w:color="auto" w:fill="C0C0C0"/>
            <w:tcMar>
              <w:top w:w="0" w:type="dxa"/>
              <w:left w:w="108" w:type="dxa"/>
              <w:bottom w:w="0" w:type="dxa"/>
              <w:right w:w="108" w:type="dxa"/>
            </w:tcMar>
          </w:tcPr>
          <w:p w:rsidR="003D7A14" w:rsidRPr="000A0A5F" w:rsidRDefault="003D7A14" w:rsidP="00D375AC">
            <w:pPr>
              <w:pStyle w:val="TAH"/>
            </w:pPr>
            <w:r w:rsidRPr="000A0A5F">
              <w:t>Description</w:t>
            </w:r>
          </w:p>
        </w:tc>
      </w:tr>
      <w:tr w:rsidR="003D7A14" w:rsidRPr="000A0A5F" w:rsidTr="00D375AC">
        <w:tc>
          <w:tcPr>
            <w:tcW w:w="958" w:type="pct"/>
            <w:shd w:val="clear" w:color="auto" w:fill="auto"/>
            <w:tcMar>
              <w:top w:w="0" w:type="dxa"/>
              <w:left w:w="108" w:type="dxa"/>
              <w:bottom w:w="0" w:type="dxa"/>
              <w:right w:w="108" w:type="dxa"/>
            </w:tcMar>
          </w:tcPr>
          <w:p w:rsidR="003D7A14" w:rsidRPr="000A0A5F" w:rsidRDefault="003D7A14" w:rsidP="00D375AC">
            <w:pPr>
              <w:pStyle w:val="TAH"/>
              <w:jc w:val="left"/>
              <w:rPr>
                <w:b w:val="0"/>
                <w:lang w:eastAsia="zh-CN"/>
              </w:rPr>
            </w:pPr>
            <w:r w:rsidRPr="000A0A5F">
              <w:rPr>
                <w:rFonts w:hint="eastAsia"/>
                <w:b w:val="0"/>
                <w:lang w:eastAsia="zh-CN"/>
              </w:rPr>
              <w:t>Bandwidth</w:t>
            </w:r>
          </w:p>
        </w:tc>
        <w:tc>
          <w:tcPr>
            <w:tcW w:w="4042" w:type="pct"/>
            <w:shd w:val="clear" w:color="auto" w:fill="auto"/>
            <w:tcMar>
              <w:top w:w="0" w:type="dxa"/>
              <w:left w:w="108" w:type="dxa"/>
              <w:bottom w:w="0" w:type="dxa"/>
              <w:right w:w="108" w:type="dxa"/>
            </w:tcMar>
          </w:tcPr>
          <w:p w:rsidR="003D7A14" w:rsidRPr="000A0A5F" w:rsidRDefault="003D7A14" w:rsidP="00D375AC">
            <w:pPr>
              <w:pStyle w:val="TAH"/>
              <w:jc w:val="left"/>
              <w:rPr>
                <w:b w:val="0"/>
                <w:lang w:eastAsia="zh-CN"/>
              </w:rPr>
            </w:pPr>
            <w:r w:rsidRPr="000A0A5F">
              <w:rPr>
                <w:b w:val="0"/>
                <w:lang w:eastAsia="zh-CN"/>
              </w:rPr>
              <w:t>I</w:t>
            </w:r>
            <w:r w:rsidRPr="000A0A5F">
              <w:rPr>
                <w:rFonts w:hint="eastAsia"/>
                <w:b w:val="0"/>
                <w:lang w:eastAsia="zh-CN"/>
              </w:rPr>
              <w:t>nteger i</w:t>
            </w:r>
            <w:r w:rsidRPr="000A0A5F">
              <w:rPr>
                <w:b w:val="0"/>
                <w:lang w:eastAsia="zh-CN"/>
              </w:rPr>
              <w:t xml:space="preserve">ndicating a </w:t>
            </w:r>
            <w:r w:rsidRPr="000A0A5F">
              <w:rPr>
                <w:b w:val="0"/>
              </w:rPr>
              <w:t>bandwidth in bits per second.</w:t>
            </w:r>
          </w:p>
        </w:tc>
      </w:tr>
      <w:tr w:rsidR="003D7A14" w:rsidRPr="000A0A5F" w:rsidTr="00D375AC">
        <w:tc>
          <w:tcPr>
            <w:tcW w:w="958" w:type="pct"/>
            <w:shd w:val="clear" w:color="auto" w:fill="auto"/>
            <w:tcMar>
              <w:top w:w="0" w:type="dxa"/>
              <w:left w:w="108" w:type="dxa"/>
              <w:bottom w:w="0" w:type="dxa"/>
              <w:right w:w="108" w:type="dxa"/>
            </w:tcMar>
          </w:tcPr>
          <w:p w:rsidR="003D7A14" w:rsidRPr="000A0A5F" w:rsidRDefault="003D7A14" w:rsidP="00D375AC">
            <w:pPr>
              <w:pStyle w:val="TAH"/>
              <w:jc w:val="left"/>
              <w:rPr>
                <w:b w:val="0"/>
              </w:rPr>
            </w:pPr>
            <w:r w:rsidRPr="000A0A5F">
              <w:rPr>
                <w:b w:val="0"/>
                <w:lang w:eastAsia="zh-CN"/>
              </w:rPr>
              <w:t>BdtReferenceId</w:t>
            </w:r>
          </w:p>
        </w:tc>
        <w:tc>
          <w:tcPr>
            <w:tcW w:w="4042" w:type="pct"/>
            <w:shd w:val="clear" w:color="auto" w:fill="auto"/>
            <w:tcMar>
              <w:top w:w="0" w:type="dxa"/>
              <w:left w:w="108" w:type="dxa"/>
              <w:bottom w:w="0" w:type="dxa"/>
              <w:right w:w="108" w:type="dxa"/>
            </w:tcMar>
          </w:tcPr>
          <w:p w:rsidR="003D7A14" w:rsidRPr="000A0A5F" w:rsidRDefault="003D7A14" w:rsidP="00D375AC">
            <w:pPr>
              <w:pStyle w:val="TAH"/>
              <w:jc w:val="left"/>
              <w:rPr>
                <w:b w:val="0"/>
                <w:lang w:eastAsia="zh-CN"/>
              </w:rPr>
            </w:pPr>
            <w:r w:rsidRPr="000A0A5F">
              <w:rPr>
                <w:b w:val="0"/>
                <w:lang w:eastAsia="zh-CN"/>
              </w:rPr>
              <w:t>String identifying a BDT Reference ID as defined in clause 5.3.3 of 3GPP TS 29.154 [</w:t>
            </w:r>
            <w:r w:rsidRPr="000A0A5F">
              <w:rPr>
                <w:b w:val="0"/>
                <w:lang w:val="en-US" w:eastAsia="zh-CN"/>
              </w:rPr>
              <w:t>9</w:t>
            </w:r>
            <w:r w:rsidRPr="000A0A5F">
              <w:rPr>
                <w:b w:val="0"/>
                <w:lang w:eastAsia="zh-CN"/>
              </w:rPr>
              <w:t>].</w:t>
            </w:r>
          </w:p>
        </w:tc>
      </w:tr>
      <w:tr w:rsidR="003D7A14" w:rsidRPr="000A0A5F" w:rsidTr="00D375AC">
        <w:tc>
          <w:tcPr>
            <w:tcW w:w="958" w:type="pct"/>
            <w:shd w:val="clear" w:color="auto" w:fill="auto"/>
            <w:tcMar>
              <w:top w:w="0" w:type="dxa"/>
              <w:left w:w="108" w:type="dxa"/>
              <w:bottom w:w="0" w:type="dxa"/>
              <w:right w:w="108" w:type="dxa"/>
            </w:tcMar>
          </w:tcPr>
          <w:p w:rsidR="003D7A14" w:rsidRPr="000A0A5F" w:rsidRDefault="003D7A14" w:rsidP="00D375AC">
            <w:pPr>
              <w:pStyle w:val="TAH"/>
              <w:jc w:val="left"/>
              <w:rPr>
                <w:b w:val="0"/>
                <w:lang w:eastAsia="zh-CN"/>
              </w:rPr>
            </w:pPr>
            <w:r w:rsidRPr="000A0A5F">
              <w:rPr>
                <w:b w:val="0"/>
                <w:lang w:eastAsia="zh-CN"/>
              </w:rPr>
              <w:t>Binary</w:t>
            </w:r>
          </w:p>
        </w:tc>
        <w:tc>
          <w:tcPr>
            <w:tcW w:w="4042" w:type="pct"/>
            <w:shd w:val="clear" w:color="auto" w:fill="auto"/>
            <w:tcMar>
              <w:top w:w="0" w:type="dxa"/>
              <w:left w:w="108" w:type="dxa"/>
              <w:bottom w:w="0" w:type="dxa"/>
              <w:right w:w="108" w:type="dxa"/>
            </w:tcMar>
          </w:tcPr>
          <w:p w:rsidR="003D7A14" w:rsidRPr="000A0A5F" w:rsidRDefault="003D7A14" w:rsidP="00D375AC">
            <w:pPr>
              <w:pStyle w:val="TAH"/>
              <w:jc w:val="left"/>
              <w:rPr>
                <w:b w:val="0"/>
                <w:lang w:eastAsia="zh-CN"/>
              </w:rPr>
            </w:pPr>
            <w:r w:rsidRPr="000A0A5F">
              <w:rPr>
                <w:b w:val="0"/>
                <w:lang w:eastAsia="zh-CN"/>
              </w:rPr>
              <w:t>String with format "binary" as defined in OpenAPI</w:t>
            </w:r>
            <w:r w:rsidRPr="000A0A5F">
              <w:rPr>
                <w:b w:val="0"/>
                <w:lang w:val="en-US" w:eastAsia="zh-CN"/>
              </w:rPr>
              <w:t> </w:t>
            </w:r>
            <w:r w:rsidRPr="000A0A5F">
              <w:rPr>
                <w:b w:val="0"/>
                <w:lang w:eastAsia="zh-CN"/>
              </w:rPr>
              <w:t>Specification</w:t>
            </w:r>
            <w:r w:rsidRPr="000A0A5F">
              <w:rPr>
                <w:b w:val="0"/>
                <w:lang w:val="en-US" w:eastAsia="zh-CN"/>
              </w:rPr>
              <w:t> </w:t>
            </w:r>
            <w:r w:rsidRPr="000A0A5F">
              <w:rPr>
                <w:b w:val="0"/>
                <w:lang w:eastAsia="zh-CN"/>
              </w:rPr>
              <w:t>[27].</w:t>
            </w:r>
          </w:p>
        </w:tc>
      </w:tr>
      <w:tr w:rsidR="003D7A14" w:rsidRPr="000A0A5F" w:rsidTr="00D375AC">
        <w:tc>
          <w:tcPr>
            <w:tcW w:w="958" w:type="pct"/>
            <w:shd w:val="clear" w:color="auto" w:fill="auto"/>
            <w:tcMar>
              <w:top w:w="0" w:type="dxa"/>
              <w:left w:w="108" w:type="dxa"/>
              <w:bottom w:w="0" w:type="dxa"/>
              <w:right w:w="108" w:type="dxa"/>
            </w:tcMar>
          </w:tcPr>
          <w:p w:rsidR="003D7A14" w:rsidRPr="000A0A5F" w:rsidRDefault="003D7A14" w:rsidP="00D375AC">
            <w:pPr>
              <w:pStyle w:val="TAH"/>
              <w:jc w:val="left"/>
              <w:rPr>
                <w:b w:val="0"/>
                <w:lang w:eastAsia="zh-CN"/>
              </w:rPr>
            </w:pPr>
            <w:r w:rsidRPr="000A0A5F">
              <w:rPr>
                <w:b w:val="0"/>
              </w:rPr>
              <w:t>Bytes</w:t>
            </w:r>
          </w:p>
        </w:tc>
        <w:tc>
          <w:tcPr>
            <w:tcW w:w="4042" w:type="pct"/>
            <w:shd w:val="clear" w:color="auto" w:fill="auto"/>
            <w:tcMar>
              <w:top w:w="0" w:type="dxa"/>
              <w:left w:w="108" w:type="dxa"/>
              <w:bottom w:w="0" w:type="dxa"/>
              <w:right w:w="108" w:type="dxa"/>
            </w:tcMar>
          </w:tcPr>
          <w:p w:rsidR="003D7A14" w:rsidRPr="000A0A5F" w:rsidRDefault="003D7A14" w:rsidP="00D375AC">
            <w:pPr>
              <w:pStyle w:val="TAH"/>
              <w:jc w:val="left"/>
              <w:rPr>
                <w:b w:val="0"/>
                <w:lang w:eastAsia="zh-CN"/>
              </w:rPr>
            </w:pPr>
            <w:r w:rsidRPr="000A0A5F">
              <w:rPr>
                <w:b w:val="0"/>
              </w:rPr>
              <w:t>String with format "byte" as defined in OpenAPI Specification [27], i.e, base64-encoded characters.</w:t>
            </w:r>
          </w:p>
        </w:tc>
      </w:tr>
      <w:tr w:rsidR="003D7A14" w:rsidRPr="000A0A5F" w:rsidTr="00D375AC">
        <w:tc>
          <w:tcPr>
            <w:tcW w:w="958" w:type="pct"/>
            <w:shd w:val="clear" w:color="auto" w:fill="auto"/>
            <w:tcMar>
              <w:top w:w="0" w:type="dxa"/>
              <w:left w:w="108" w:type="dxa"/>
              <w:bottom w:w="0" w:type="dxa"/>
              <w:right w:w="108" w:type="dxa"/>
            </w:tcMar>
          </w:tcPr>
          <w:p w:rsidR="003D7A14" w:rsidRPr="000A0A5F" w:rsidRDefault="003D7A14" w:rsidP="00D375AC">
            <w:pPr>
              <w:pStyle w:val="TAH"/>
              <w:jc w:val="left"/>
              <w:rPr>
                <w:b w:val="0"/>
              </w:rPr>
            </w:pPr>
            <w:r w:rsidRPr="000A0A5F">
              <w:rPr>
                <w:b w:val="0"/>
              </w:rPr>
              <w:t>DayOfWeek</w:t>
            </w:r>
          </w:p>
        </w:tc>
        <w:tc>
          <w:tcPr>
            <w:tcW w:w="4042" w:type="pct"/>
            <w:shd w:val="clear" w:color="auto" w:fill="auto"/>
            <w:tcMar>
              <w:top w:w="0" w:type="dxa"/>
              <w:left w:w="108" w:type="dxa"/>
              <w:bottom w:w="0" w:type="dxa"/>
              <w:right w:w="108" w:type="dxa"/>
            </w:tcMar>
          </w:tcPr>
          <w:p w:rsidR="003D7A14" w:rsidRPr="000A0A5F" w:rsidRDefault="003D7A14" w:rsidP="00D375AC">
            <w:pPr>
              <w:pStyle w:val="TAH"/>
              <w:jc w:val="left"/>
              <w:rPr>
                <w:b w:val="0"/>
              </w:rPr>
            </w:pPr>
            <w:r w:rsidRPr="000A0A5F">
              <w:rPr>
                <w:b w:val="0"/>
              </w:rPr>
              <w:t>Integer between and including 1 and 7 denoting a weekday. "1" shall indicate "Monday", and the subsequent weekdays shall be indicated with the next higher numbers. "7" shall indicate "Sunday".</w:t>
            </w:r>
          </w:p>
        </w:tc>
      </w:tr>
      <w:tr w:rsidR="003D7A14" w:rsidRPr="000A0A5F" w:rsidTr="00D375AC">
        <w:tc>
          <w:tcPr>
            <w:tcW w:w="958" w:type="pct"/>
            <w:tcMar>
              <w:top w:w="0" w:type="dxa"/>
              <w:left w:w="108" w:type="dxa"/>
              <w:bottom w:w="0" w:type="dxa"/>
              <w:right w:w="108" w:type="dxa"/>
            </w:tcMar>
          </w:tcPr>
          <w:p w:rsidR="003D7A14" w:rsidRPr="000A0A5F" w:rsidRDefault="003D7A14" w:rsidP="00D375AC">
            <w:pPr>
              <w:pStyle w:val="TAL"/>
            </w:pPr>
            <w:r w:rsidRPr="000A0A5F">
              <w:t>DateTime</w:t>
            </w:r>
          </w:p>
        </w:tc>
        <w:tc>
          <w:tcPr>
            <w:tcW w:w="4042" w:type="pct"/>
            <w:tcMar>
              <w:top w:w="0" w:type="dxa"/>
              <w:left w:w="108" w:type="dxa"/>
              <w:bottom w:w="0" w:type="dxa"/>
              <w:right w:w="108" w:type="dxa"/>
            </w:tcMar>
          </w:tcPr>
          <w:p w:rsidR="003D7A14" w:rsidRPr="000A0A5F" w:rsidRDefault="003D7A14" w:rsidP="00D375AC">
            <w:pPr>
              <w:pStyle w:val="TAL"/>
            </w:pPr>
            <w:r w:rsidRPr="000A0A5F">
              <w:t>String with format "date-time" as defined in OpenAPI </w:t>
            </w:r>
            <w:r w:rsidRPr="000A0A5F">
              <w:rPr>
                <w:lang w:eastAsia="zh-CN"/>
              </w:rPr>
              <w:t>Specification</w:t>
            </w:r>
            <w:r w:rsidRPr="000A0A5F">
              <w:t> [27].</w:t>
            </w:r>
          </w:p>
        </w:tc>
      </w:tr>
      <w:tr w:rsidR="003D7A14" w:rsidRPr="000A0A5F" w:rsidTr="00D375AC">
        <w:tc>
          <w:tcPr>
            <w:tcW w:w="958" w:type="pct"/>
            <w:tcMar>
              <w:top w:w="0" w:type="dxa"/>
              <w:left w:w="108" w:type="dxa"/>
              <w:bottom w:w="0" w:type="dxa"/>
              <w:right w:w="108" w:type="dxa"/>
            </w:tcMar>
          </w:tcPr>
          <w:p w:rsidR="003D7A14" w:rsidRPr="000A0A5F" w:rsidRDefault="003D7A14" w:rsidP="00D375AC">
            <w:pPr>
              <w:pStyle w:val="TAL"/>
            </w:pPr>
            <w:r w:rsidRPr="000A0A5F">
              <w:t>DateTimeRm</w:t>
            </w:r>
          </w:p>
        </w:tc>
        <w:tc>
          <w:tcPr>
            <w:tcW w:w="4042" w:type="pct"/>
            <w:tcMar>
              <w:top w:w="0" w:type="dxa"/>
              <w:left w:w="108" w:type="dxa"/>
              <w:bottom w:w="0" w:type="dxa"/>
              <w:right w:w="108" w:type="dxa"/>
            </w:tcMar>
          </w:tcPr>
          <w:p w:rsidR="003D7A14" w:rsidRPr="000A0A5F" w:rsidRDefault="003D7A14" w:rsidP="00D375AC">
            <w:pPr>
              <w:pStyle w:val="TAL"/>
            </w:pPr>
            <w:r w:rsidRPr="000A0A5F">
              <w:t xml:space="preserve">String with format "date-time" as defined in OpenAPI [27] </w:t>
            </w:r>
            <w:r w:rsidRPr="000A0A5F">
              <w:rPr>
                <w:lang w:eastAsia="zh-CN"/>
              </w:rPr>
              <w:t xml:space="preserve">with </w:t>
            </w:r>
            <w:r w:rsidRPr="000A0A5F">
              <w:t>"nullable: true" property</w:t>
            </w:r>
            <w:r w:rsidRPr="000A0A5F">
              <w:rPr>
                <w:lang w:eastAsia="zh-CN"/>
              </w:rPr>
              <w:t>.</w:t>
            </w:r>
          </w:p>
        </w:tc>
      </w:tr>
      <w:tr w:rsidR="003D7A14" w:rsidRPr="000A0A5F" w:rsidTr="00D375AC">
        <w:tc>
          <w:tcPr>
            <w:tcW w:w="958" w:type="pct"/>
            <w:tcMar>
              <w:top w:w="0" w:type="dxa"/>
              <w:left w:w="108" w:type="dxa"/>
              <w:bottom w:w="0" w:type="dxa"/>
              <w:right w:w="108" w:type="dxa"/>
            </w:tcMar>
          </w:tcPr>
          <w:p w:rsidR="003D7A14" w:rsidRPr="000A0A5F" w:rsidRDefault="003D7A14" w:rsidP="00D375AC">
            <w:pPr>
              <w:pStyle w:val="TAL"/>
            </w:pPr>
            <w:r w:rsidRPr="000A0A5F">
              <w:t>DateTimeRo</w:t>
            </w:r>
          </w:p>
        </w:tc>
        <w:tc>
          <w:tcPr>
            <w:tcW w:w="4042" w:type="pct"/>
            <w:tcMar>
              <w:top w:w="0" w:type="dxa"/>
              <w:left w:w="108" w:type="dxa"/>
              <w:bottom w:w="0" w:type="dxa"/>
              <w:right w:w="108" w:type="dxa"/>
            </w:tcMar>
          </w:tcPr>
          <w:p w:rsidR="003D7A14" w:rsidRPr="000A0A5F" w:rsidRDefault="003D7A14" w:rsidP="00D375AC">
            <w:pPr>
              <w:pStyle w:val="TAL"/>
            </w:pPr>
            <w:r w:rsidRPr="000A0A5F">
              <w:t xml:space="preserve">String with format "date-time" as defined in OpenAPI [27] </w:t>
            </w:r>
            <w:r w:rsidRPr="000A0A5F">
              <w:rPr>
                <w:lang w:eastAsia="zh-CN"/>
              </w:rPr>
              <w:t xml:space="preserve">with </w:t>
            </w:r>
            <w:r w:rsidRPr="000A0A5F">
              <w:t>"readOnly: true" property</w:t>
            </w:r>
            <w:r w:rsidRPr="000A0A5F">
              <w:rPr>
                <w:lang w:eastAsia="zh-CN"/>
              </w:rPr>
              <w:t>.</w:t>
            </w:r>
          </w:p>
        </w:tc>
      </w:tr>
      <w:tr w:rsidR="003D7A14" w:rsidRPr="000A0A5F" w:rsidTr="00D375AC">
        <w:tc>
          <w:tcPr>
            <w:tcW w:w="958" w:type="pct"/>
            <w:tcMar>
              <w:top w:w="0" w:type="dxa"/>
              <w:left w:w="108" w:type="dxa"/>
              <w:bottom w:w="0" w:type="dxa"/>
              <w:right w:w="108" w:type="dxa"/>
            </w:tcMar>
          </w:tcPr>
          <w:p w:rsidR="003D7A14" w:rsidRPr="000A0A5F" w:rsidRDefault="003D7A14" w:rsidP="00D375AC">
            <w:pPr>
              <w:pStyle w:val="TAL"/>
            </w:pPr>
            <w:r w:rsidRPr="000A0A5F">
              <w:rPr>
                <w:rFonts w:hint="eastAsia"/>
                <w:lang w:eastAsia="zh-CN"/>
              </w:rPr>
              <w:t>Duration</w:t>
            </w:r>
            <w:r w:rsidRPr="000A0A5F">
              <w:rPr>
                <w:lang w:eastAsia="zh-CN"/>
              </w:rPr>
              <w:t>Sec</w:t>
            </w:r>
          </w:p>
        </w:tc>
        <w:tc>
          <w:tcPr>
            <w:tcW w:w="4042" w:type="pct"/>
            <w:tcMar>
              <w:top w:w="0" w:type="dxa"/>
              <w:left w:w="108" w:type="dxa"/>
              <w:bottom w:w="0" w:type="dxa"/>
              <w:right w:w="108" w:type="dxa"/>
            </w:tcMar>
          </w:tcPr>
          <w:p w:rsidR="003D7A14" w:rsidRPr="000A0A5F" w:rsidRDefault="003D7A14" w:rsidP="00D375AC">
            <w:pPr>
              <w:pStyle w:val="TAL"/>
            </w:pPr>
            <w:r w:rsidRPr="000A0A5F">
              <w:t xml:space="preserve">Unsigned integer </w:t>
            </w:r>
            <w:r w:rsidRPr="000A0A5F">
              <w:rPr>
                <w:lang w:eastAsia="zh-CN"/>
              </w:rPr>
              <w:t xml:space="preserve">identifying a period of time in units of seconds. </w:t>
            </w:r>
          </w:p>
        </w:tc>
      </w:tr>
      <w:tr w:rsidR="003D7A14" w:rsidRPr="000A0A5F" w:rsidTr="00D375AC">
        <w:tc>
          <w:tcPr>
            <w:tcW w:w="958" w:type="pct"/>
            <w:tcMar>
              <w:top w:w="0" w:type="dxa"/>
              <w:left w:w="108" w:type="dxa"/>
              <w:bottom w:w="0" w:type="dxa"/>
              <w:right w:w="108" w:type="dxa"/>
            </w:tcMar>
          </w:tcPr>
          <w:p w:rsidR="003D7A14" w:rsidRPr="000A0A5F" w:rsidRDefault="003D7A14" w:rsidP="00D375AC">
            <w:pPr>
              <w:pStyle w:val="TAL"/>
              <w:rPr>
                <w:lang w:eastAsia="zh-CN"/>
              </w:rPr>
            </w:pPr>
            <w:r w:rsidRPr="000A0A5F">
              <w:rPr>
                <w:rFonts w:hint="eastAsia"/>
                <w:lang w:eastAsia="zh-CN"/>
              </w:rPr>
              <w:t>Duration</w:t>
            </w:r>
            <w:r w:rsidRPr="000A0A5F">
              <w:rPr>
                <w:lang w:eastAsia="zh-CN"/>
              </w:rPr>
              <w:t>SecRm</w:t>
            </w:r>
          </w:p>
        </w:tc>
        <w:tc>
          <w:tcPr>
            <w:tcW w:w="4042" w:type="pct"/>
            <w:tcMar>
              <w:top w:w="0" w:type="dxa"/>
              <w:left w:w="108" w:type="dxa"/>
              <w:bottom w:w="0" w:type="dxa"/>
              <w:right w:w="108" w:type="dxa"/>
            </w:tcMar>
          </w:tcPr>
          <w:p w:rsidR="003D7A14" w:rsidRPr="000A0A5F" w:rsidRDefault="003D7A14" w:rsidP="00D375AC">
            <w:pPr>
              <w:pStyle w:val="TAL"/>
            </w:pPr>
            <w:r w:rsidRPr="000A0A5F">
              <w:t xml:space="preserve">Unsigned integer </w:t>
            </w:r>
            <w:r w:rsidRPr="000A0A5F">
              <w:rPr>
                <w:lang w:eastAsia="zh-CN"/>
              </w:rPr>
              <w:t xml:space="preserve">identifying a period of time in units of seconds with </w:t>
            </w:r>
            <w:r w:rsidRPr="000A0A5F">
              <w:t>"nullable: true"</w:t>
            </w:r>
            <w:r w:rsidRPr="000A0A5F">
              <w:rPr>
                <w:lang w:eastAsia="zh-CN"/>
              </w:rPr>
              <w:t xml:space="preserve"> property.</w:t>
            </w:r>
          </w:p>
        </w:tc>
      </w:tr>
      <w:tr w:rsidR="003D7A14" w:rsidRPr="000A0A5F" w:rsidTr="00D375AC">
        <w:tc>
          <w:tcPr>
            <w:tcW w:w="958" w:type="pct"/>
            <w:tcMar>
              <w:top w:w="0" w:type="dxa"/>
              <w:left w:w="108" w:type="dxa"/>
              <w:bottom w:w="0" w:type="dxa"/>
              <w:right w:w="108" w:type="dxa"/>
            </w:tcMar>
          </w:tcPr>
          <w:p w:rsidR="003D7A14" w:rsidRPr="000A0A5F" w:rsidRDefault="003D7A14" w:rsidP="00D375AC">
            <w:pPr>
              <w:pStyle w:val="TAL"/>
              <w:rPr>
                <w:lang w:eastAsia="zh-CN"/>
              </w:rPr>
            </w:pPr>
            <w:r w:rsidRPr="000A0A5F">
              <w:rPr>
                <w:rFonts w:hint="eastAsia"/>
                <w:lang w:eastAsia="zh-CN"/>
              </w:rPr>
              <w:t>Duration</w:t>
            </w:r>
            <w:r w:rsidRPr="000A0A5F">
              <w:rPr>
                <w:lang w:eastAsia="zh-CN"/>
              </w:rPr>
              <w:t>SecRo</w:t>
            </w:r>
          </w:p>
        </w:tc>
        <w:tc>
          <w:tcPr>
            <w:tcW w:w="4042" w:type="pct"/>
            <w:tcMar>
              <w:top w:w="0" w:type="dxa"/>
              <w:left w:w="108" w:type="dxa"/>
              <w:bottom w:w="0" w:type="dxa"/>
              <w:right w:w="108" w:type="dxa"/>
            </w:tcMar>
          </w:tcPr>
          <w:p w:rsidR="003D7A14" w:rsidRPr="000A0A5F" w:rsidRDefault="003D7A14" w:rsidP="00D375AC">
            <w:pPr>
              <w:pStyle w:val="TAL"/>
            </w:pPr>
            <w:r w:rsidRPr="000A0A5F">
              <w:t xml:space="preserve">Unsigned integer </w:t>
            </w:r>
            <w:r w:rsidRPr="000A0A5F">
              <w:rPr>
                <w:lang w:eastAsia="zh-CN"/>
              </w:rPr>
              <w:t xml:space="preserve">identifying a period of time in units of seconds with </w:t>
            </w:r>
            <w:r w:rsidRPr="000A0A5F">
              <w:t>"readOnly: true"</w:t>
            </w:r>
            <w:r w:rsidRPr="000A0A5F">
              <w:rPr>
                <w:lang w:eastAsia="zh-CN"/>
              </w:rPr>
              <w:t xml:space="preserve"> property.</w:t>
            </w:r>
          </w:p>
        </w:tc>
      </w:tr>
      <w:tr w:rsidR="003D7A14" w:rsidRPr="000A0A5F" w:rsidTr="00D375AC">
        <w:tc>
          <w:tcPr>
            <w:tcW w:w="958" w:type="pct"/>
            <w:tcMar>
              <w:top w:w="0" w:type="dxa"/>
              <w:left w:w="108" w:type="dxa"/>
              <w:bottom w:w="0" w:type="dxa"/>
              <w:right w:w="108" w:type="dxa"/>
            </w:tcMar>
          </w:tcPr>
          <w:p w:rsidR="003D7A14" w:rsidRPr="000A0A5F" w:rsidRDefault="003D7A14" w:rsidP="00D375AC">
            <w:pPr>
              <w:pStyle w:val="TAL"/>
              <w:rPr>
                <w:lang w:eastAsia="zh-CN"/>
              </w:rPr>
            </w:pPr>
            <w:r w:rsidRPr="000A0A5F">
              <w:rPr>
                <w:rFonts w:hint="eastAsia"/>
                <w:lang w:eastAsia="zh-CN"/>
              </w:rPr>
              <w:t>DurationMin</w:t>
            </w:r>
          </w:p>
        </w:tc>
        <w:tc>
          <w:tcPr>
            <w:tcW w:w="4042" w:type="pct"/>
            <w:tcMar>
              <w:top w:w="0" w:type="dxa"/>
              <w:left w:w="108" w:type="dxa"/>
              <w:bottom w:w="0" w:type="dxa"/>
              <w:right w:w="108" w:type="dxa"/>
            </w:tcMar>
          </w:tcPr>
          <w:p w:rsidR="003D7A14" w:rsidRPr="000A0A5F" w:rsidRDefault="003D7A14" w:rsidP="00D375AC">
            <w:pPr>
              <w:pStyle w:val="TAL"/>
              <w:rPr>
                <w:lang w:eastAsia="zh-CN"/>
              </w:rPr>
            </w:pPr>
            <w:r w:rsidRPr="000A0A5F">
              <w:t xml:space="preserve">Unsigned </w:t>
            </w:r>
            <w:r w:rsidRPr="000A0A5F">
              <w:rPr>
                <w:lang w:eastAsia="zh-CN"/>
              </w:rPr>
              <w:t>i</w:t>
            </w:r>
            <w:r w:rsidRPr="000A0A5F">
              <w:rPr>
                <w:rFonts w:hint="eastAsia"/>
                <w:lang w:eastAsia="zh-CN"/>
              </w:rPr>
              <w:t>nteger</w:t>
            </w:r>
            <w:r w:rsidRPr="000A0A5F">
              <w:rPr>
                <w:lang w:eastAsia="zh-CN"/>
              </w:rPr>
              <w:t xml:space="preserve"> identifying a period of time in units of minutes. </w:t>
            </w:r>
          </w:p>
        </w:tc>
      </w:tr>
      <w:tr w:rsidR="003D7A14" w:rsidRPr="000A0A5F" w:rsidTr="00D375AC">
        <w:tc>
          <w:tcPr>
            <w:tcW w:w="958" w:type="pct"/>
            <w:tcMar>
              <w:top w:w="0" w:type="dxa"/>
              <w:left w:w="108" w:type="dxa"/>
              <w:bottom w:w="0" w:type="dxa"/>
              <w:right w:w="108" w:type="dxa"/>
            </w:tcMar>
          </w:tcPr>
          <w:p w:rsidR="003D7A14" w:rsidRPr="000A0A5F" w:rsidRDefault="003D7A14" w:rsidP="00D375AC">
            <w:pPr>
              <w:pStyle w:val="TAL"/>
            </w:pPr>
            <w:r w:rsidRPr="000A0A5F">
              <w:rPr>
                <w:lang w:eastAsia="zh-CN"/>
              </w:rPr>
              <w:t>E</w:t>
            </w:r>
            <w:r w:rsidRPr="000A0A5F">
              <w:rPr>
                <w:rFonts w:hint="eastAsia"/>
                <w:lang w:eastAsia="zh-CN"/>
              </w:rPr>
              <w:t>xternal</w:t>
            </w:r>
            <w:r w:rsidRPr="000A0A5F">
              <w:rPr>
                <w:lang w:eastAsia="zh-CN"/>
              </w:rPr>
              <w:t>Id</w:t>
            </w:r>
          </w:p>
        </w:tc>
        <w:tc>
          <w:tcPr>
            <w:tcW w:w="4042" w:type="pct"/>
            <w:tcMar>
              <w:top w:w="0" w:type="dxa"/>
              <w:left w:w="108" w:type="dxa"/>
              <w:bottom w:w="0" w:type="dxa"/>
              <w:right w:w="108" w:type="dxa"/>
            </w:tcMar>
          </w:tcPr>
          <w:p w:rsidR="003D7A14" w:rsidRPr="000A0A5F" w:rsidRDefault="003D7A14" w:rsidP="00D375AC">
            <w:pPr>
              <w:pStyle w:val="TAL"/>
              <w:rPr>
                <w:lang w:eastAsia="zh-CN"/>
              </w:rPr>
            </w:pPr>
            <w:r w:rsidRPr="000A0A5F">
              <w:rPr>
                <w:lang w:eastAsia="zh-CN"/>
              </w:rPr>
              <w:t xml:space="preserve">String containing a local identifier followed by "@" and a domain identifier. Both the local identifier and the domain identifier shall be encoded as strings that do not contain any "@" characters. See </w:t>
            </w:r>
            <w:r w:rsidRPr="000A0A5F">
              <w:rPr>
                <w:rFonts w:eastAsia="Times New Roman" w:cs="Arial"/>
                <w:szCs w:val="18"/>
              </w:rPr>
              <w:t>clause 4.6.2 of 3GPP TS 23.682 [2] for more information.</w:t>
            </w:r>
          </w:p>
        </w:tc>
      </w:tr>
      <w:tr w:rsidR="003D7A14" w:rsidRPr="000A0A5F" w:rsidTr="00D375AC">
        <w:tc>
          <w:tcPr>
            <w:tcW w:w="958" w:type="pct"/>
            <w:tcMar>
              <w:top w:w="0" w:type="dxa"/>
              <w:left w:w="108" w:type="dxa"/>
              <w:bottom w:w="0" w:type="dxa"/>
              <w:right w:w="108" w:type="dxa"/>
            </w:tcMar>
          </w:tcPr>
          <w:p w:rsidR="003D7A14" w:rsidRPr="000A0A5F" w:rsidRDefault="003D7A14" w:rsidP="00D375AC">
            <w:pPr>
              <w:pStyle w:val="TAL"/>
            </w:pPr>
            <w:r w:rsidRPr="000A0A5F">
              <w:rPr>
                <w:lang w:eastAsia="zh-CN"/>
              </w:rPr>
              <w:t>E</w:t>
            </w:r>
            <w:r w:rsidRPr="000A0A5F">
              <w:rPr>
                <w:rFonts w:hint="eastAsia"/>
                <w:lang w:eastAsia="zh-CN"/>
              </w:rPr>
              <w:t>xternal</w:t>
            </w:r>
            <w:r w:rsidRPr="000A0A5F">
              <w:rPr>
                <w:lang w:eastAsia="zh-CN"/>
              </w:rPr>
              <w:t>GroupId</w:t>
            </w:r>
          </w:p>
        </w:tc>
        <w:tc>
          <w:tcPr>
            <w:tcW w:w="4042" w:type="pct"/>
            <w:tcMar>
              <w:top w:w="0" w:type="dxa"/>
              <w:left w:w="108" w:type="dxa"/>
              <w:bottom w:w="0" w:type="dxa"/>
              <w:right w:w="108" w:type="dxa"/>
            </w:tcMar>
          </w:tcPr>
          <w:p w:rsidR="003D7A14" w:rsidRPr="000A0A5F" w:rsidRDefault="003D7A14" w:rsidP="00D375AC">
            <w:pPr>
              <w:pStyle w:val="TAL"/>
              <w:rPr>
                <w:lang w:eastAsia="zh-CN"/>
              </w:rPr>
            </w:pPr>
            <w:r w:rsidRPr="000A0A5F">
              <w:rPr>
                <w:lang w:eastAsia="zh-CN"/>
              </w:rPr>
              <w:t xml:space="preserve">String containing a local identifier followed by "@" and a domain identifier. Both the local identifier and the domain identifier shall be encoded as strings that do not contain any "@" characters. See </w:t>
            </w:r>
            <w:r w:rsidRPr="000A0A5F">
              <w:rPr>
                <w:rFonts w:eastAsia="Times New Roman" w:cs="Arial"/>
                <w:szCs w:val="18"/>
              </w:rPr>
              <w:t>clauses 4.6.2 and 4.6.3 of 3GPP TS 23.682 [2] for more information.</w:t>
            </w:r>
          </w:p>
        </w:tc>
      </w:tr>
      <w:tr w:rsidR="003D7A14" w:rsidRPr="000A0A5F" w:rsidTr="00D375AC">
        <w:tc>
          <w:tcPr>
            <w:tcW w:w="958" w:type="pct"/>
            <w:tcMar>
              <w:top w:w="0" w:type="dxa"/>
              <w:left w:w="108" w:type="dxa"/>
              <w:bottom w:w="0" w:type="dxa"/>
              <w:right w:w="108" w:type="dxa"/>
            </w:tcMar>
          </w:tcPr>
          <w:p w:rsidR="003D7A14" w:rsidRPr="000A0A5F" w:rsidRDefault="003D7A14" w:rsidP="00D375AC">
            <w:pPr>
              <w:pStyle w:val="TAL"/>
              <w:rPr>
                <w:lang w:eastAsia="zh-CN"/>
              </w:rPr>
            </w:pPr>
            <w:r w:rsidRPr="000A0A5F">
              <w:rPr>
                <w:lang w:eastAsia="zh-CN"/>
              </w:rPr>
              <w:t>Ipv4Addr</w:t>
            </w:r>
          </w:p>
        </w:tc>
        <w:tc>
          <w:tcPr>
            <w:tcW w:w="4042" w:type="pct"/>
            <w:tcMar>
              <w:top w:w="0" w:type="dxa"/>
              <w:left w:w="108" w:type="dxa"/>
              <w:bottom w:w="0" w:type="dxa"/>
              <w:right w:w="108" w:type="dxa"/>
            </w:tcMar>
          </w:tcPr>
          <w:p w:rsidR="003D7A14" w:rsidRPr="000A0A5F" w:rsidRDefault="003D7A14" w:rsidP="00D375AC">
            <w:pPr>
              <w:pStyle w:val="TAL"/>
              <w:rPr>
                <w:lang w:eastAsia="zh-CN"/>
              </w:rPr>
            </w:pPr>
            <w:r w:rsidRPr="000A0A5F">
              <w:rPr>
                <w:lang w:eastAsia="zh-CN"/>
              </w:rPr>
              <w:t>S</w:t>
            </w:r>
            <w:r w:rsidRPr="000A0A5F">
              <w:rPr>
                <w:rFonts w:hint="eastAsia"/>
                <w:lang w:eastAsia="zh-CN"/>
              </w:rPr>
              <w:t>tring identifying a</w:t>
            </w:r>
            <w:r w:rsidRPr="000A0A5F">
              <w:rPr>
                <w:lang w:eastAsia="zh-CN"/>
              </w:rPr>
              <w:t>n</w:t>
            </w:r>
            <w:r w:rsidRPr="000A0A5F">
              <w:rPr>
                <w:rFonts w:hint="eastAsia"/>
                <w:lang w:eastAsia="zh-CN"/>
              </w:rPr>
              <w:t xml:space="preserve"> I</w:t>
            </w:r>
            <w:r w:rsidRPr="000A0A5F">
              <w:rPr>
                <w:lang w:eastAsia="zh-CN"/>
              </w:rPr>
              <w:t>p</w:t>
            </w:r>
            <w:r w:rsidRPr="000A0A5F">
              <w:rPr>
                <w:rFonts w:hint="eastAsia"/>
                <w:lang w:eastAsia="zh-CN"/>
              </w:rPr>
              <w:t>v4</w:t>
            </w:r>
            <w:r w:rsidRPr="000A0A5F">
              <w:rPr>
                <w:lang w:eastAsia="zh-CN"/>
              </w:rPr>
              <w:t xml:space="preserve"> address formatted in the "dotted decimal" notation as defined in IETF RFC</w:t>
            </w:r>
            <w:r w:rsidRPr="000A0A5F">
              <w:rPr>
                <w:lang w:val="en-US" w:eastAsia="zh-CN"/>
              </w:rPr>
              <w:t> 1166 [28].</w:t>
            </w:r>
            <w:r w:rsidRPr="000A0A5F">
              <w:t xml:space="preserve"> </w:t>
            </w:r>
          </w:p>
        </w:tc>
      </w:tr>
      <w:tr w:rsidR="003D7A14" w:rsidRPr="000A0A5F" w:rsidTr="00D375AC">
        <w:tc>
          <w:tcPr>
            <w:tcW w:w="958" w:type="pct"/>
            <w:tcMar>
              <w:top w:w="0" w:type="dxa"/>
              <w:left w:w="108" w:type="dxa"/>
              <w:bottom w:w="0" w:type="dxa"/>
              <w:right w:w="108" w:type="dxa"/>
            </w:tcMar>
          </w:tcPr>
          <w:p w:rsidR="003D7A14" w:rsidRPr="000A0A5F" w:rsidRDefault="003D7A14" w:rsidP="00D375AC">
            <w:pPr>
              <w:pStyle w:val="TAL"/>
              <w:rPr>
                <w:lang w:eastAsia="zh-CN"/>
              </w:rPr>
            </w:pPr>
            <w:r w:rsidRPr="000A0A5F">
              <w:rPr>
                <w:rFonts w:hint="eastAsia"/>
                <w:lang w:eastAsia="zh-CN"/>
              </w:rPr>
              <w:t>Ipv6Addr</w:t>
            </w:r>
          </w:p>
        </w:tc>
        <w:tc>
          <w:tcPr>
            <w:tcW w:w="4042" w:type="pct"/>
            <w:tcMar>
              <w:top w:w="0" w:type="dxa"/>
              <w:left w:w="108" w:type="dxa"/>
              <w:bottom w:w="0" w:type="dxa"/>
              <w:right w:w="108" w:type="dxa"/>
            </w:tcMar>
          </w:tcPr>
          <w:p w:rsidR="003D7A14" w:rsidRPr="000A0A5F" w:rsidRDefault="003D7A14" w:rsidP="00D375AC">
            <w:pPr>
              <w:pStyle w:val="TAL"/>
              <w:rPr>
                <w:lang w:eastAsia="zh-CN"/>
              </w:rPr>
            </w:pPr>
            <w:r w:rsidRPr="000A0A5F">
              <w:rPr>
                <w:lang w:eastAsia="zh-CN"/>
              </w:rPr>
              <w:t>S</w:t>
            </w:r>
            <w:r w:rsidRPr="000A0A5F">
              <w:rPr>
                <w:rFonts w:hint="eastAsia"/>
                <w:lang w:eastAsia="zh-CN"/>
              </w:rPr>
              <w:t>tring identifying a</w:t>
            </w:r>
            <w:r w:rsidRPr="000A0A5F">
              <w:rPr>
                <w:lang w:eastAsia="zh-CN"/>
              </w:rPr>
              <w:t>n</w:t>
            </w:r>
            <w:r w:rsidRPr="000A0A5F">
              <w:rPr>
                <w:rFonts w:hint="eastAsia"/>
                <w:lang w:eastAsia="zh-CN"/>
              </w:rPr>
              <w:t xml:space="preserve"> I</w:t>
            </w:r>
            <w:r w:rsidRPr="000A0A5F">
              <w:rPr>
                <w:lang w:eastAsia="zh-CN"/>
              </w:rPr>
              <w:t>p</w:t>
            </w:r>
            <w:r w:rsidRPr="000A0A5F">
              <w:rPr>
                <w:rFonts w:hint="eastAsia"/>
                <w:lang w:eastAsia="zh-CN"/>
              </w:rPr>
              <w:t>v6</w:t>
            </w:r>
            <w:r w:rsidRPr="000A0A5F">
              <w:rPr>
                <w:lang w:eastAsia="zh-CN"/>
              </w:rPr>
              <w:t xml:space="preserve"> address</w:t>
            </w:r>
            <w:r w:rsidRPr="000A0A5F">
              <w:rPr>
                <w:lang w:val="en-US" w:eastAsia="zh-CN"/>
              </w:rPr>
              <w:t xml:space="preserve"> </w:t>
            </w:r>
            <w:r w:rsidRPr="000A0A5F">
              <w:rPr>
                <w:lang w:eastAsia="zh-CN"/>
              </w:rPr>
              <w:t>formatted according to clause</w:t>
            </w:r>
            <w:r w:rsidRPr="000A0A5F">
              <w:rPr>
                <w:lang w:val="en-US" w:eastAsia="zh-CN"/>
              </w:rPr>
              <w:t> </w:t>
            </w:r>
            <w:r w:rsidRPr="000A0A5F">
              <w:rPr>
                <w:lang w:eastAsia="zh-CN"/>
              </w:rPr>
              <w:t xml:space="preserve">4 </w:t>
            </w:r>
            <w:r w:rsidRPr="000A0A5F">
              <w:rPr>
                <w:lang w:val="en-US" w:eastAsia="zh-CN"/>
              </w:rPr>
              <w:t xml:space="preserve">in IETF RFC 5952 [29]. </w:t>
            </w:r>
            <w:r w:rsidRPr="000A0A5F">
              <w:rPr>
                <w:lang w:eastAsia="zh-CN"/>
              </w:rPr>
              <w:t>The mixed Ipv4 Ipv6 notation according to clause</w:t>
            </w:r>
            <w:r w:rsidRPr="000A0A5F">
              <w:rPr>
                <w:lang w:val="en-US" w:eastAsia="zh-CN"/>
              </w:rPr>
              <w:t> </w:t>
            </w:r>
            <w:r w:rsidRPr="000A0A5F">
              <w:rPr>
                <w:lang w:eastAsia="zh-CN"/>
              </w:rPr>
              <w:t>5 of IETF RFC 5952 [29] shall not be used.</w:t>
            </w:r>
          </w:p>
        </w:tc>
      </w:tr>
      <w:tr w:rsidR="003D7A14" w:rsidRPr="000A0A5F" w:rsidTr="00D375AC">
        <w:tc>
          <w:tcPr>
            <w:tcW w:w="958" w:type="pct"/>
            <w:tcMar>
              <w:top w:w="0" w:type="dxa"/>
              <w:left w:w="108" w:type="dxa"/>
              <w:bottom w:w="0" w:type="dxa"/>
              <w:right w:w="108" w:type="dxa"/>
            </w:tcMar>
          </w:tcPr>
          <w:p w:rsidR="003D7A14" w:rsidRPr="000A0A5F" w:rsidRDefault="003D7A14" w:rsidP="00D375AC">
            <w:pPr>
              <w:pStyle w:val="TAL"/>
              <w:rPr>
                <w:lang w:eastAsia="zh-CN"/>
              </w:rPr>
            </w:pPr>
            <w:r w:rsidRPr="000A0A5F">
              <w:rPr>
                <w:lang w:eastAsia="zh-CN"/>
              </w:rPr>
              <w:t>Ipv4AddrRo</w:t>
            </w:r>
          </w:p>
        </w:tc>
        <w:tc>
          <w:tcPr>
            <w:tcW w:w="4042" w:type="pct"/>
            <w:tcMar>
              <w:top w:w="0" w:type="dxa"/>
              <w:left w:w="108" w:type="dxa"/>
              <w:bottom w:w="0" w:type="dxa"/>
              <w:right w:w="108" w:type="dxa"/>
            </w:tcMar>
          </w:tcPr>
          <w:p w:rsidR="003D7A14" w:rsidRPr="000A0A5F" w:rsidRDefault="003D7A14" w:rsidP="00D375AC">
            <w:pPr>
              <w:pStyle w:val="TAL"/>
              <w:rPr>
                <w:lang w:eastAsia="zh-CN"/>
              </w:rPr>
            </w:pPr>
            <w:r w:rsidRPr="000A0A5F">
              <w:rPr>
                <w:lang w:eastAsia="zh-CN"/>
              </w:rPr>
              <w:t>S</w:t>
            </w:r>
            <w:r w:rsidRPr="000A0A5F">
              <w:rPr>
                <w:rFonts w:hint="eastAsia"/>
                <w:lang w:eastAsia="zh-CN"/>
              </w:rPr>
              <w:t>tring identifying a</w:t>
            </w:r>
            <w:r w:rsidRPr="000A0A5F">
              <w:rPr>
                <w:lang w:eastAsia="zh-CN"/>
              </w:rPr>
              <w:t>n</w:t>
            </w:r>
            <w:r w:rsidRPr="000A0A5F">
              <w:rPr>
                <w:rFonts w:hint="eastAsia"/>
                <w:lang w:eastAsia="zh-CN"/>
              </w:rPr>
              <w:t xml:space="preserve"> I</w:t>
            </w:r>
            <w:r w:rsidRPr="000A0A5F">
              <w:rPr>
                <w:lang w:eastAsia="zh-CN"/>
              </w:rPr>
              <w:t>p</w:t>
            </w:r>
            <w:r w:rsidRPr="000A0A5F">
              <w:rPr>
                <w:rFonts w:hint="eastAsia"/>
                <w:lang w:eastAsia="zh-CN"/>
              </w:rPr>
              <w:t>v4</w:t>
            </w:r>
            <w:r w:rsidRPr="000A0A5F">
              <w:rPr>
                <w:lang w:eastAsia="zh-CN"/>
              </w:rPr>
              <w:t xml:space="preserve"> address formatted in the "dotted decimal" notation as defined in IETF RFC</w:t>
            </w:r>
            <w:r w:rsidRPr="000A0A5F">
              <w:rPr>
                <w:lang w:val="en-US" w:eastAsia="zh-CN"/>
              </w:rPr>
              <w:t xml:space="preserve"> 1166 [28], </w:t>
            </w:r>
            <w:r w:rsidRPr="000A0A5F">
              <w:rPr>
                <w:lang w:eastAsia="zh-CN"/>
              </w:rPr>
              <w:t xml:space="preserve">with </w:t>
            </w:r>
            <w:r w:rsidRPr="000A0A5F">
              <w:t>"readOnly: true" property.</w:t>
            </w:r>
          </w:p>
        </w:tc>
      </w:tr>
      <w:tr w:rsidR="003D7A14" w:rsidRPr="000A0A5F" w:rsidTr="00D375AC">
        <w:tc>
          <w:tcPr>
            <w:tcW w:w="958" w:type="pct"/>
            <w:tcMar>
              <w:top w:w="0" w:type="dxa"/>
              <w:left w:w="108" w:type="dxa"/>
              <w:bottom w:w="0" w:type="dxa"/>
              <w:right w:w="108" w:type="dxa"/>
            </w:tcMar>
          </w:tcPr>
          <w:p w:rsidR="003D7A14" w:rsidRPr="000A0A5F" w:rsidRDefault="003D7A14" w:rsidP="00D375AC">
            <w:pPr>
              <w:pStyle w:val="TAL"/>
              <w:rPr>
                <w:lang w:eastAsia="zh-CN"/>
              </w:rPr>
            </w:pPr>
            <w:r w:rsidRPr="000A0A5F">
              <w:rPr>
                <w:rFonts w:hint="eastAsia"/>
                <w:lang w:eastAsia="zh-CN"/>
              </w:rPr>
              <w:t>Ipv6Addr</w:t>
            </w:r>
            <w:r w:rsidRPr="000A0A5F">
              <w:rPr>
                <w:lang w:eastAsia="zh-CN"/>
              </w:rPr>
              <w:t>Ro</w:t>
            </w:r>
          </w:p>
        </w:tc>
        <w:tc>
          <w:tcPr>
            <w:tcW w:w="4042" w:type="pct"/>
            <w:tcMar>
              <w:top w:w="0" w:type="dxa"/>
              <w:left w:w="108" w:type="dxa"/>
              <w:bottom w:w="0" w:type="dxa"/>
              <w:right w:w="108" w:type="dxa"/>
            </w:tcMar>
          </w:tcPr>
          <w:p w:rsidR="003D7A14" w:rsidRPr="000A0A5F" w:rsidRDefault="003D7A14" w:rsidP="00D375AC">
            <w:pPr>
              <w:pStyle w:val="TAL"/>
              <w:rPr>
                <w:lang w:eastAsia="zh-CN"/>
              </w:rPr>
            </w:pPr>
            <w:r w:rsidRPr="000A0A5F">
              <w:rPr>
                <w:lang w:eastAsia="zh-CN"/>
              </w:rPr>
              <w:t>S</w:t>
            </w:r>
            <w:r w:rsidRPr="000A0A5F">
              <w:rPr>
                <w:rFonts w:hint="eastAsia"/>
                <w:lang w:eastAsia="zh-CN"/>
              </w:rPr>
              <w:t>tring identifying a</w:t>
            </w:r>
            <w:r w:rsidRPr="000A0A5F">
              <w:rPr>
                <w:lang w:eastAsia="zh-CN"/>
              </w:rPr>
              <w:t>n</w:t>
            </w:r>
            <w:r w:rsidRPr="000A0A5F">
              <w:rPr>
                <w:rFonts w:hint="eastAsia"/>
                <w:lang w:eastAsia="zh-CN"/>
              </w:rPr>
              <w:t xml:space="preserve"> I</w:t>
            </w:r>
            <w:r w:rsidRPr="000A0A5F">
              <w:rPr>
                <w:lang w:eastAsia="zh-CN"/>
              </w:rPr>
              <w:t>p</w:t>
            </w:r>
            <w:r w:rsidRPr="000A0A5F">
              <w:rPr>
                <w:rFonts w:hint="eastAsia"/>
                <w:lang w:eastAsia="zh-CN"/>
              </w:rPr>
              <w:t>v6</w:t>
            </w:r>
            <w:r w:rsidRPr="000A0A5F">
              <w:rPr>
                <w:lang w:eastAsia="zh-CN"/>
              </w:rPr>
              <w:t xml:space="preserve"> address</w:t>
            </w:r>
            <w:r w:rsidRPr="000A0A5F">
              <w:rPr>
                <w:lang w:val="en-US" w:eastAsia="zh-CN"/>
              </w:rPr>
              <w:t xml:space="preserve"> </w:t>
            </w:r>
            <w:r w:rsidRPr="000A0A5F">
              <w:rPr>
                <w:lang w:eastAsia="zh-CN"/>
              </w:rPr>
              <w:t>formatted according to clause</w:t>
            </w:r>
            <w:r w:rsidRPr="000A0A5F">
              <w:rPr>
                <w:lang w:val="en-US" w:eastAsia="zh-CN"/>
              </w:rPr>
              <w:t> </w:t>
            </w:r>
            <w:r w:rsidRPr="000A0A5F">
              <w:rPr>
                <w:lang w:eastAsia="zh-CN"/>
              </w:rPr>
              <w:t xml:space="preserve">4 </w:t>
            </w:r>
            <w:r w:rsidRPr="000A0A5F">
              <w:rPr>
                <w:lang w:val="en-US" w:eastAsia="zh-CN"/>
              </w:rPr>
              <w:t xml:space="preserve">in IETF RFC 5952 [29], </w:t>
            </w:r>
            <w:r w:rsidRPr="000A0A5F">
              <w:rPr>
                <w:lang w:eastAsia="zh-CN"/>
              </w:rPr>
              <w:t xml:space="preserve">with </w:t>
            </w:r>
            <w:r w:rsidRPr="000A0A5F">
              <w:t>"readOnly: true" property.</w:t>
            </w:r>
            <w:r w:rsidRPr="000A0A5F">
              <w:rPr>
                <w:lang w:val="en-US" w:eastAsia="zh-CN"/>
              </w:rPr>
              <w:t xml:space="preserve"> </w:t>
            </w:r>
            <w:r w:rsidRPr="000A0A5F">
              <w:rPr>
                <w:lang w:eastAsia="zh-CN"/>
              </w:rPr>
              <w:t>The mixed Ipv4 Ipv6 notation according to clause</w:t>
            </w:r>
            <w:r w:rsidRPr="000A0A5F">
              <w:rPr>
                <w:lang w:val="en-US" w:eastAsia="zh-CN"/>
              </w:rPr>
              <w:t> </w:t>
            </w:r>
            <w:r w:rsidRPr="000A0A5F">
              <w:rPr>
                <w:lang w:eastAsia="zh-CN"/>
              </w:rPr>
              <w:t>5 of IETF RFC 5952 [29] shall not be used.</w:t>
            </w:r>
          </w:p>
        </w:tc>
      </w:tr>
      <w:tr w:rsidR="003D7A14" w:rsidRPr="000A0A5F" w:rsidTr="00D375AC">
        <w:tc>
          <w:tcPr>
            <w:tcW w:w="958" w:type="pct"/>
            <w:tcMar>
              <w:top w:w="0" w:type="dxa"/>
              <w:left w:w="108" w:type="dxa"/>
              <w:bottom w:w="0" w:type="dxa"/>
              <w:right w:w="108" w:type="dxa"/>
            </w:tcMar>
          </w:tcPr>
          <w:p w:rsidR="003D7A14" w:rsidRPr="000A0A5F" w:rsidRDefault="003D7A14" w:rsidP="00D375AC">
            <w:pPr>
              <w:pStyle w:val="TAL"/>
              <w:rPr>
                <w:lang w:eastAsia="zh-CN"/>
              </w:rPr>
            </w:pPr>
            <w:r w:rsidRPr="000A0A5F">
              <w:rPr>
                <w:lang w:eastAsia="zh-CN"/>
              </w:rPr>
              <w:t>Link</w:t>
            </w:r>
          </w:p>
        </w:tc>
        <w:tc>
          <w:tcPr>
            <w:tcW w:w="4042" w:type="pct"/>
            <w:tcMar>
              <w:top w:w="0" w:type="dxa"/>
              <w:left w:w="108" w:type="dxa"/>
              <w:bottom w:w="0" w:type="dxa"/>
              <w:right w:w="108" w:type="dxa"/>
            </w:tcMar>
          </w:tcPr>
          <w:p w:rsidR="003D7A14" w:rsidRPr="000A0A5F" w:rsidRDefault="003D7A14" w:rsidP="00D375AC">
            <w:pPr>
              <w:pStyle w:val="TAL"/>
              <w:rPr>
                <w:lang w:eastAsia="zh-CN"/>
              </w:rPr>
            </w:pPr>
            <w:r w:rsidRPr="000A0A5F">
              <w:rPr>
                <w:lang w:eastAsia="zh-CN"/>
              </w:rPr>
              <w:t>String formatted according to IETF</w:t>
            </w:r>
            <w:r w:rsidRPr="000A0A5F">
              <w:rPr>
                <w:lang w:val="en-US" w:eastAsia="zh-CN"/>
              </w:rPr>
              <w:t> </w:t>
            </w:r>
            <w:r w:rsidRPr="000A0A5F">
              <w:rPr>
                <w:lang w:eastAsia="zh-CN"/>
              </w:rPr>
              <w:t>RFC</w:t>
            </w:r>
            <w:r w:rsidRPr="000A0A5F">
              <w:rPr>
                <w:lang w:val="en-US" w:eastAsia="zh-CN"/>
              </w:rPr>
              <w:t> </w:t>
            </w:r>
            <w:r w:rsidRPr="000A0A5F">
              <w:rPr>
                <w:lang w:eastAsia="zh-CN"/>
              </w:rPr>
              <w:t>3986</w:t>
            </w:r>
            <w:r w:rsidRPr="000A0A5F">
              <w:rPr>
                <w:lang w:val="en-US" w:eastAsia="zh-CN"/>
              </w:rPr>
              <w:t> </w:t>
            </w:r>
            <w:r w:rsidRPr="000A0A5F">
              <w:rPr>
                <w:lang w:eastAsia="zh-CN"/>
              </w:rPr>
              <w:t xml:space="preserve">[7] identifying a </w:t>
            </w:r>
            <w:r w:rsidRPr="000A0A5F">
              <w:t>referenced resource.</w:t>
            </w:r>
          </w:p>
        </w:tc>
      </w:tr>
      <w:tr w:rsidR="003D7A14" w:rsidRPr="000A0A5F" w:rsidTr="00D375AC">
        <w:tc>
          <w:tcPr>
            <w:tcW w:w="958" w:type="pct"/>
            <w:tcMar>
              <w:top w:w="0" w:type="dxa"/>
              <w:left w:w="108" w:type="dxa"/>
              <w:bottom w:w="0" w:type="dxa"/>
              <w:right w:w="108" w:type="dxa"/>
            </w:tcMar>
          </w:tcPr>
          <w:p w:rsidR="003D7A14" w:rsidRPr="000A0A5F" w:rsidRDefault="003D7A14" w:rsidP="00D375AC">
            <w:pPr>
              <w:pStyle w:val="TAL"/>
              <w:rPr>
                <w:lang w:eastAsia="zh-CN"/>
              </w:rPr>
            </w:pPr>
            <w:r w:rsidRPr="000A0A5F">
              <w:rPr>
                <w:lang w:eastAsia="zh-CN"/>
              </w:rPr>
              <w:t>LinkRm</w:t>
            </w:r>
          </w:p>
        </w:tc>
        <w:tc>
          <w:tcPr>
            <w:tcW w:w="4042" w:type="pct"/>
            <w:tcMar>
              <w:top w:w="0" w:type="dxa"/>
              <w:left w:w="108" w:type="dxa"/>
              <w:bottom w:w="0" w:type="dxa"/>
              <w:right w:w="108" w:type="dxa"/>
            </w:tcMar>
          </w:tcPr>
          <w:p w:rsidR="003D7A14" w:rsidRPr="000A0A5F" w:rsidRDefault="003D7A14" w:rsidP="00D375AC">
            <w:pPr>
              <w:pStyle w:val="TAL"/>
              <w:rPr>
                <w:lang w:eastAsia="zh-CN"/>
              </w:rPr>
            </w:pPr>
            <w:r w:rsidRPr="000A0A5F">
              <w:rPr>
                <w:rFonts w:cs="Arial"/>
                <w:szCs w:val="18"/>
                <w:lang w:eastAsia="zh-CN"/>
              </w:rPr>
              <w:t>String formatted according to IETF</w:t>
            </w:r>
            <w:r w:rsidRPr="000A0A5F">
              <w:rPr>
                <w:rFonts w:cs="Arial"/>
                <w:szCs w:val="18"/>
                <w:lang w:val="en-US" w:eastAsia="zh-CN"/>
              </w:rPr>
              <w:t> </w:t>
            </w:r>
            <w:r w:rsidRPr="000A0A5F">
              <w:rPr>
                <w:rFonts w:cs="Arial"/>
                <w:szCs w:val="18"/>
                <w:lang w:eastAsia="zh-CN"/>
              </w:rPr>
              <w:t>RFC</w:t>
            </w:r>
            <w:r w:rsidRPr="000A0A5F">
              <w:rPr>
                <w:rFonts w:cs="Arial"/>
                <w:szCs w:val="18"/>
                <w:lang w:val="en-US" w:eastAsia="zh-CN"/>
              </w:rPr>
              <w:t> </w:t>
            </w:r>
            <w:r w:rsidRPr="000A0A5F">
              <w:rPr>
                <w:rFonts w:cs="Arial"/>
                <w:szCs w:val="18"/>
                <w:lang w:eastAsia="zh-CN"/>
              </w:rPr>
              <w:t>3986</w:t>
            </w:r>
            <w:r w:rsidRPr="000A0A5F">
              <w:rPr>
                <w:rFonts w:cs="Arial"/>
                <w:szCs w:val="18"/>
                <w:lang w:val="en-US" w:eastAsia="zh-CN"/>
              </w:rPr>
              <w:t> </w:t>
            </w:r>
            <w:r w:rsidRPr="000A0A5F">
              <w:rPr>
                <w:rFonts w:cs="Arial"/>
                <w:szCs w:val="18"/>
                <w:lang w:eastAsia="zh-CN"/>
              </w:rPr>
              <w:t xml:space="preserve">[7] identifying a </w:t>
            </w:r>
            <w:r w:rsidRPr="000A0A5F">
              <w:rPr>
                <w:rFonts w:cs="Arial"/>
                <w:szCs w:val="18"/>
              </w:rPr>
              <w:t>referenced resource, but with the "nullable: true" property.</w:t>
            </w:r>
          </w:p>
        </w:tc>
      </w:tr>
      <w:tr w:rsidR="003D7A14" w:rsidRPr="000A0A5F" w:rsidTr="00D375AC">
        <w:tc>
          <w:tcPr>
            <w:tcW w:w="958" w:type="pct"/>
            <w:tcMar>
              <w:top w:w="0" w:type="dxa"/>
              <w:left w:w="108" w:type="dxa"/>
              <w:bottom w:w="0" w:type="dxa"/>
              <w:right w:w="108" w:type="dxa"/>
            </w:tcMar>
          </w:tcPr>
          <w:p w:rsidR="003D7A14" w:rsidRPr="000A0A5F" w:rsidRDefault="003D7A14" w:rsidP="00D375AC">
            <w:pPr>
              <w:pStyle w:val="TAL"/>
              <w:rPr>
                <w:lang w:eastAsia="zh-CN"/>
              </w:rPr>
            </w:pPr>
            <w:r w:rsidRPr="000A0A5F">
              <w:t>Mcc</w:t>
            </w:r>
          </w:p>
        </w:tc>
        <w:tc>
          <w:tcPr>
            <w:tcW w:w="4042" w:type="pct"/>
            <w:tcMar>
              <w:top w:w="0" w:type="dxa"/>
              <w:left w:w="108" w:type="dxa"/>
              <w:bottom w:w="0" w:type="dxa"/>
              <w:right w:w="108" w:type="dxa"/>
            </w:tcMar>
          </w:tcPr>
          <w:p w:rsidR="003D7A14" w:rsidRPr="000A0A5F" w:rsidRDefault="003D7A14" w:rsidP="00D375AC">
            <w:pPr>
              <w:pStyle w:val="TAL"/>
              <w:rPr>
                <w:lang w:eastAsia="zh-CN"/>
              </w:rPr>
            </w:pPr>
            <w:r w:rsidRPr="000A0A5F">
              <w:rPr>
                <w:lang w:eastAsia="zh-CN"/>
              </w:rPr>
              <w:t xml:space="preserve">String encoding a Mobile Country Code part of the PLMN, comprising 3 digits, as defined in 3GPP TS 38.413 [54]. </w:t>
            </w:r>
          </w:p>
        </w:tc>
      </w:tr>
      <w:tr w:rsidR="003D7A14" w:rsidRPr="000A0A5F" w:rsidTr="00D375AC">
        <w:tc>
          <w:tcPr>
            <w:tcW w:w="958" w:type="pct"/>
            <w:tcMar>
              <w:top w:w="0" w:type="dxa"/>
              <w:left w:w="108" w:type="dxa"/>
              <w:bottom w:w="0" w:type="dxa"/>
              <w:right w:w="108" w:type="dxa"/>
            </w:tcMar>
          </w:tcPr>
          <w:p w:rsidR="003D7A14" w:rsidRPr="000A0A5F" w:rsidRDefault="003D7A14" w:rsidP="00D375AC">
            <w:pPr>
              <w:pStyle w:val="TAL"/>
              <w:rPr>
                <w:lang w:eastAsia="zh-CN"/>
              </w:rPr>
            </w:pPr>
            <w:r w:rsidRPr="000A0A5F">
              <w:t>Mnc</w:t>
            </w:r>
          </w:p>
        </w:tc>
        <w:tc>
          <w:tcPr>
            <w:tcW w:w="4042" w:type="pct"/>
            <w:tcMar>
              <w:top w:w="0" w:type="dxa"/>
              <w:left w:w="108" w:type="dxa"/>
              <w:bottom w:w="0" w:type="dxa"/>
              <w:right w:w="108" w:type="dxa"/>
            </w:tcMar>
          </w:tcPr>
          <w:p w:rsidR="003D7A14" w:rsidRPr="000A0A5F" w:rsidRDefault="003D7A14" w:rsidP="00D375AC">
            <w:pPr>
              <w:pStyle w:val="TAL"/>
              <w:rPr>
                <w:lang w:eastAsia="zh-CN"/>
              </w:rPr>
            </w:pPr>
            <w:r w:rsidRPr="000A0A5F">
              <w:rPr>
                <w:lang w:eastAsia="zh-CN"/>
              </w:rPr>
              <w:t xml:space="preserve">String encoding a Mobile Network Code part of the PLMN, comprising 2 or 3 digits, as defined in 3GPP TS 38.413 [54]. </w:t>
            </w:r>
          </w:p>
        </w:tc>
      </w:tr>
      <w:tr w:rsidR="003D7A14" w:rsidRPr="000A0A5F" w:rsidTr="00D375AC">
        <w:tc>
          <w:tcPr>
            <w:tcW w:w="958" w:type="pct"/>
            <w:tcMar>
              <w:top w:w="0" w:type="dxa"/>
              <w:left w:w="108" w:type="dxa"/>
              <w:bottom w:w="0" w:type="dxa"/>
              <w:right w:w="108" w:type="dxa"/>
            </w:tcMar>
          </w:tcPr>
          <w:p w:rsidR="003D7A14" w:rsidRPr="000A0A5F" w:rsidRDefault="003D7A14" w:rsidP="00D375AC">
            <w:pPr>
              <w:pStyle w:val="TAL"/>
            </w:pPr>
            <w:r w:rsidRPr="000A0A5F">
              <w:rPr>
                <w:lang w:eastAsia="zh-CN"/>
              </w:rPr>
              <w:t>Msisdn</w:t>
            </w:r>
          </w:p>
        </w:tc>
        <w:tc>
          <w:tcPr>
            <w:tcW w:w="4042" w:type="pct"/>
            <w:tcMar>
              <w:top w:w="0" w:type="dxa"/>
              <w:left w:w="108" w:type="dxa"/>
              <w:bottom w:w="0" w:type="dxa"/>
              <w:right w:w="108" w:type="dxa"/>
            </w:tcMar>
          </w:tcPr>
          <w:p w:rsidR="003D7A14" w:rsidRPr="000A0A5F" w:rsidRDefault="003D7A14" w:rsidP="00D375AC">
            <w:pPr>
              <w:pStyle w:val="TAL"/>
              <w:rPr>
                <w:lang w:eastAsia="zh-CN"/>
              </w:rPr>
            </w:pPr>
            <w:r w:rsidRPr="000A0A5F">
              <w:rPr>
                <w:lang w:eastAsia="zh-CN"/>
              </w:rPr>
              <w:t>String formatted according to clause 3.3 of 3GPP TS 23.003</w:t>
            </w:r>
            <w:r w:rsidRPr="000A0A5F">
              <w:rPr>
                <w:lang w:val="en-US" w:eastAsia="zh-CN"/>
              </w:rPr>
              <w:t> </w:t>
            </w:r>
            <w:r w:rsidRPr="000A0A5F">
              <w:rPr>
                <w:lang w:eastAsia="zh-CN"/>
              </w:rPr>
              <w:t>[14] that describes an MSISDN.</w:t>
            </w:r>
          </w:p>
        </w:tc>
      </w:tr>
      <w:tr w:rsidR="003D7A14" w:rsidRPr="000A0A5F" w:rsidTr="00D375AC">
        <w:tc>
          <w:tcPr>
            <w:tcW w:w="958" w:type="pct"/>
            <w:tcMar>
              <w:top w:w="0" w:type="dxa"/>
              <w:left w:w="108" w:type="dxa"/>
              <w:bottom w:w="0" w:type="dxa"/>
              <w:right w:w="108" w:type="dxa"/>
            </w:tcMar>
          </w:tcPr>
          <w:p w:rsidR="003D7A14" w:rsidRPr="000A0A5F" w:rsidRDefault="003D7A14" w:rsidP="00D375AC">
            <w:pPr>
              <w:pStyle w:val="TAL"/>
              <w:rPr>
                <w:lang w:eastAsia="zh-CN"/>
              </w:rPr>
            </w:pPr>
            <w:r w:rsidRPr="000A0A5F">
              <w:rPr>
                <w:lang w:eastAsia="zh-CN"/>
              </w:rPr>
              <w:t>Port</w:t>
            </w:r>
          </w:p>
        </w:tc>
        <w:tc>
          <w:tcPr>
            <w:tcW w:w="4042" w:type="pct"/>
            <w:tcMar>
              <w:top w:w="0" w:type="dxa"/>
              <w:left w:w="108" w:type="dxa"/>
              <w:bottom w:w="0" w:type="dxa"/>
              <w:right w:w="108" w:type="dxa"/>
            </w:tcMar>
          </w:tcPr>
          <w:p w:rsidR="003D7A14" w:rsidRPr="000A0A5F" w:rsidRDefault="003D7A14" w:rsidP="00D375AC">
            <w:pPr>
              <w:pStyle w:val="TAL"/>
              <w:rPr>
                <w:lang w:eastAsia="zh-CN"/>
              </w:rPr>
            </w:pPr>
            <w:r w:rsidRPr="000A0A5F">
              <w:rPr>
                <w:lang w:eastAsia="zh-CN"/>
              </w:rPr>
              <w:t>Unsigned integer with valid values between 0 and 65535.</w:t>
            </w:r>
          </w:p>
        </w:tc>
      </w:tr>
      <w:tr w:rsidR="003D7A14" w:rsidRPr="000A0A5F" w:rsidTr="00D375AC">
        <w:tc>
          <w:tcPr>
            <w:tcW w:w="958" w:type="pct"/>
            <w:tcMar>
              <w:top w:w="0" w:type="dxa"/>
              <w:left w:w="108" w:type="dxa"/>
              <w:bottom w:w="0" w:type="dxa"/>
              <w:right w:w="108" w:type="dxa"/>
            </w:tcMar>
          </w:tcPr>
          <w:p w:rsidR="003D7A14" w:rsidRPr="000A0A5F" w:rsidRDefault="003D7A14" w:rsidP="00D375AC">
            <w:pPr>
              <w:pStyle w:val="TAL"/>
              <w:rPr>
                <w:lang w:eastAsia="zh-CN"/>
              </w:rPr>
            </w:pPr>
            <w:r w:rsidRPr="000A0A5F">
              <w:rPr>
                <w:lang w:eastAsia="zh-CN"/>
              </w:rPr>
              <w:t>PortRo</w:t>
            </w:r>
          </w:p>
        </w:tc>
        <w:tc>
          <w:tcPr>
            <w:tcW w:w="4042" w:type="pct"/>
            <w:tcMar>
              <w:top w:w="0" w:type="dxa"/>
              <w:left w:w="108" w:type="dxa"/>
              <w:bottom w:w="0" w:type="dxa"/>
              <w:right w:w="108" w:type="dxa"/>
            </w:tcMar>
          </w:tcPr>
          <w:p w:rsidR="003D7A14" w:rsidRPr="000A0A5F" w:rsidRDefault="003D7A14" w:rsidP="00D375AC">
            <w:pPr>
              <w:pStyle w:val="TAL"/>
              <w:rPr>
                <w:lang w:eastAsia="zh-CN"/>
              </w:rPr>
            </w:pPr>
            <w:r w:rsidRPr="000A0A5F">
              <w:rPr>
                <w:lang w:eastAsia="zh-CN"/>
              </w:rPr>
              <w:t xml:space="preserve">Unsigned integer with valid values between 0 and 65535, with </w:t>
            </w:r>
            <w:r w:rsidRPr="000A0A5F">
              <w:t>"readOnly: true" property.</w:t>
            </w:r>
          </w:p>
        </w:tc>
      </w:tr>
      <w:tr w:rsidR="003D7A14" w:rsidRPr="000A0A5F" w:rsidTr="00D375AC">
        <w:tc>
          <w:tcPr>
            <w:tcW w:w="958" w:type="pct"/>
            <w:tcMar>
              <w:top w:w="0" w:type="dxa"/>
              <w:left w:w="108" w:type="dxa"/>
              <w:bottom w:w="0" w:type="dxa"/>
              <w:right w:w="108" w:type="dxa"/>
            </w:tcMar>
          </w:tcPr>
          <w:p w:rsidR="003D7A14" w:rsidRPr="000A0A5F" w:rsidRDefault="003D7A14" w:rsidP="00D375AC">
            <w:pPr>
              <w:pStyle w:val="TAL"/>
              <w:rPr>
                <w:lang w:eastAsia="zh-CN"/>
              </w:rPr>
            </w:pPr>
            <w:r w:rsidRPr="000A0A5F">
              <w:t>ResourceId</w:t>
            </w:r>
          </w:p>
        </w:tc>
        <w:tc>
          <w:tcPr>
            <w:tcW w:w="4042" w:type="pct"/>
            <w:tcMar>
              <w:top w:w="0" w:type="dxa"/>
              <w:left w:w="108" w:type="dxa"/>
              <w:bottom w:w="0" w:type="dxa"/>
              <w:right w:w="108" w:type="dxa"/>
            </w:tcMar>
          </w:tcPr>
          <w:p w:rsidR="003D7A14" w:rsidRPr="000A0A5F" w:rsidRDefault="003D7A14" w:rsidP="00D375AC">
            <w:pPr>
              <w:pStyle w:val="TAL"/>
              <w:rPr>
                <w:lang w:eastAsia="zh-CN"/>
              </w:rPr>
            </w:pPr>
            <w:r w:rsidRPr="000A0A5F">
              <w:rPr>
                <w:lang w:eastAsia="zh-CN"/>
              </w:rPr>
              <w:t>String chosen by the SCEF to serve as an identifier in a resource URI.</w:t>
            </w:r>
          </w:p>
        </w:tc>
      </w:tr>
      <w:tr w:rsidR="003D7A14" w:rsidRPr="000A0A5F" w:rsidTr="00D375AC">
        <w:tc>
          <w:tcPr>
            <w:tcW w:w="958" w:type="pct"/>
            <w:tcMar>
              <w:top w:w="0" w:type="dxa"/>
              <w:left w:w="108" w:type="dxa"/>
              <w:bottom w:w="0" w:type="dxa"/>
              <w:right w:w="108" w:type="dxa"/>
            </w:tcMar>
          </w:tcPr>
          <w:p w:rsidR="003D7A14" w:rsidRPr="000A0A5F" w:rsidRDefault="003D7A14" w:rsidP="00D375AC">
            <w:pPr>
              <w:pStyle w:val="TAL"/>
              <w:rPr>
                <w:lang w:eastAsia="zh-CN"/>
              </w:rPr>
            </w:pPr>
            <w:r w:rsidRPr="000A0A5F">
              <w:rPr>
                <w:lang w:eastAsia="zh-CN"/>
              </w:rPr>
              <w:t>ScsAsId</w:t>
            </w:r>
          </w:p>
        </w:tc>
        <w:tc>
          <w:tcPr>
            <w:tcW w:w="4042" w:type="pct"/>
            <w:tcMar>
              <w:top w:w="0" w:type="dxa"/>
              <w:left w:w="108" w:type="dxa"/>
              <w:bottom w:w="0" w:type="dxa"/>
              <w:right w:w="108" w:type="dxa"/>
            </w:tcMar>
          </w:tcPr>
          <w:p w:rsidR="003D7A14" w:rsidRPr="000A0A5F" w:rsidRDefault="003D7A14" w:rsidP="00D375AC">
            <w:pPr>
              <w:pStyle w:val="TAL"/>
              <w:rPr>
                <w:lang w:eastAsia="zh-CN"/>
              </w:rPr>
            </w:pPr>
            <w:r w:rsidRPr="000A0A5F">
              <w:rPr>
                <w:lang w:eastAsia="zh-CN"/>
              </w:rPr>
              <w:t xml:space="preserve">String </w:t>
            </w:r>
            <w:r w:rsidRPr="000A0A5F">
              <w:rPr>
                <w:rFonts w:cs="Arial"/>
                <w:szCs w:val="18"/>
                <w:lang w:eastAsia="zh-CN"/>
              </w:rPr>
              <w:t>that identifies an SCS/AS.</w:t>
            </w:r>
          </w:p>
        </w:tc>
      </w:tr>
      <w:tr w:rsidR="003D7A14" w:rsidRPr="000A0A5F" w:rsidTr="00D375AC">
        <w:tc>
          <w:tcPr>
            <w:tcW w:w="958" w:type="pct"/>
            <w:tcMar>
              <w:top w:w="0" w:type="dxa"/>
              <w:left w:w="108" w:type="dxa"/>
              <w:bottom w:w="0" w:type="dxa"/>
              <w:right w:w="108" w:type="dxa"/>
            </w:tcMar>
          </w:tcPr>
          <w:p w:rsidR="003D7A14" w:rsidRPr="000A0A5F" w:rsidRDefault="003D7A14" w:rsidP="00D375AC">
            <w:pPr>
              <w:pStyle w:val="TAL"/>
              <w:rPr>
                <w:lang w:eastAsia="zh-CN"/>
              </w:rPr>
            </w:pPr>
            <w:r w:rsidRPr="000A0A5F">
              <w:rPr>
                <w:lang w:eastAsia="zh-CN"/>
              </w:rPr>
              <w:t>TimeOfDay</w:t>
            </w:r>
          </w:p>
        </w:tc>
        <w:tc>
          <w:tcPr>
            <w:tcW w:w="4042" w:type="pct"/>
            <w:tcMar>
              <w:top w:w="0" w:type="dxa"/>
              <w:left w:w="108" w:type="dxa"/>
              <w:bottom w:w="0" w:type="dxa"/>
              <w:right w:w="108" w:type="dxa"/>
            </w:tcMar>
          </w:tcPr>
          <w:p w:rsidR="003D7A14" w:rsidRPr="000A0A5F" w:rsidRDefault="003D7A14" w:rsidP="00D375AC">
            <w:pPr>
              <w:pStyle w:val="TAL"/>
              <w:rPr>
                <w:lang w:eastAsia="zh-CN"/>
              </w:rPr>
            </w:pPr>
            <w:r w:rsidRPr="000A0A5F">
              <w:rPr>
                <w:lang w:eastAsia="zh-CN"/>
              </w:rPr>
              <w:t xml:space="preserve">String with format "partial-time" or "full-time" as defined in clause 5.6 of IETF RFC 3339 [15]. </w:t>
            </w:r>
          </w:p>
          <w:p w:rsidR="003D7A14" w:rsidRPr="000A0A5F" w:rsidRDefault="003D7A14" w:rsidP="00D375AC">
            <w:pPr>
              <w:pStyle w:val="TAL"/>
              <w:rPr>
                <w:lang w:eastAsia="zh-CN"/>
              </w:rPr>
            </w:pPr>
            <w:r w:rsidRPr="000A0A5F">
              <w:rPr>
                <w:lang w:eastAsia="zh-CN"/>
              </w:rPr>
              <w:t>Examples: "20:15:00", "20:15:00-08:00" (for 8 hours behind UTC).</w:t>
            </w:r>
          </w:p>
        </w:tc>
      </w:tr>
      <w:tr w:rsidR="003D7A14" w:rsidRPr="000A0A5F" w:rsidTr="00D375AC">
        <w:tc>
          <w:tcPr>
            <w:tcW w:w="958" w:type="pct"/>
            <w:tcMar>
              <w:top w:w="0" w:type="dxa"/>
              <w:left w:w="108" w:type="dxa"/>
              <w:bottom w:w="0" w:type="dxa"/>
              <w:right w:w="108" w:type="dxa"/>
            </w:tcMar>
          </w:tcPr>
          <w:p w:rsidR="003D7A14" w:rsidRPr="000A0A5F" w:rsidRDefault="003D7A14" w:rsidP="00D375AC">
            <w:pPr>
              <w:pStyle w:val="TAL"/>
            </w:pPr>
            <w:r w:rsidRPr="000A0A5F">
              <w:t>Uri</w:t>
            </w:r>
          </w:p>
        </w:tc>
        <w:tc>
          <w:tcPr>
            <w:tcW w:w="4042" w:type="pct"/>
            <w:tcMar>
              <w:top w:w="0" w:type="dxa"/>
              <w:left w:w="108" w:type="dxa"/>
              <w:bottom w:w="0" w:type="dxa"/>
              <w:right w:w="108" w:type="dxa"/>
            </w:tcMar>
          </w:tcPr>
          <w:p w:rsidR="003D7A14" w:rsidRPr="000A0A5F" w:rsidRDefault="003D7A14" w:rsidP="00D375AC">
            <w:pPr>
              <w:pStyle w:val="TAL"/>
            </w:pPr>
            <w:r w:rsidRPr="000A0A5F">
              <w:rPr>
                <w:lang w:eastAsia="zh-CN"/>
              </w:rPr>
              <w:t>String providing an URI formatted according to IETF</w:t>
            </w:r>
            <w:r w:rsidRPr="000A0A5F">
              <w:rPr>
                <w:lang w:val="en-US" w:eastAsia="zh-CN"/>
              </w:rPr>
              <w:t> </w:t>
            </w:r>
            <w:r w:rsidRPr="000A0A5F">
              <w:rPr>
                <w:lang w:eastAsia="zh-CN"/>
              </w:rPr>
              <w:t>RFC</w:t>
            </w:r>
            <w:r w:rsidRPr="000A0A5F">
              <w:rPr>
                <w:lang w:val="en-US" w:eastAsia="zh-CN"/>
              </w:rPr>
              <w:t> </w:t>
            </w:r>
            <w:r w:rsidRPr="000A0A5F">
              <w:rPr>
                <w:lang w:eastAsia="zh-CN"/>
              </w:rPr>
              <w:t>3986</w:t>
            </w:r>
            <w:r w:rsidRPr="000A0A5F">
              <w:rPr>
                <w:lang w:val="en-US" w:eastAsia="zh-CN"/>
              </w:rPr>
              <w:t> </w:t>
            </w:r>
            <w:r w:rsidRPr="000A0A5F">
              <w:rPr>
                <w:lang w:eastAsia="zh-CN"/>
              </w:rPr>
              <w:t>[7].</w:t>
            </w:r>
            <w:r w:rsidRPr="000A0A5F">
              <w:t xml:space="preserve"> </w:t>
            </w:r>
          </w:p>
        </w:tc>
      </w:tr>
      <w:tr w:rsidR="003D7A14" w:rsidRPr="000A0A5F" w:rsidTr="00D375AC">
        <w:tc>
          <w:tcPr>
            <w:tcW w:w="958" w:type="pct"/>
            <w:tcMar>
              <w:top w:w="0" w:type="dxa"/>
              <w:left w:w="108" w:type="dxa"/>
              <w:bottom w:w="0" w:type="dxa"/>
              <w:right w:w="108" w:type="dxa"/>
            </w:tcMar>
          </w:tcPr>
          <w:p w:rsidR="003D7A14" w:rsidRPr="000A0A5F" w:rsidRDefault="003D7A14" w:rsidP="00D375AC">
            <w:pPr>
              <w:pStyle w:val="TAL"/>
            </w:pPr>
            <w:r w:rsidRPr="000A0A5F">
              <w:rPr>
                <w:rFonts w:hint="eastAsia"/>
                <w:lang w:eastAsia="zh-CN"/>
              </w:rPr>
              <w:t>Volume</w:t>
            </w:r>
          </w:p>
        </w:tc>
        <w:tc>
          <w:tcPr>
            <w:tcW w:w="4042" w:type="pct"/>
            <w:tcMar>
              <w:top w:w="0" w:type="dxa"/>
              <w:left w:w="108" w:type="dxa"/>
              <w:bottom w:w="0" w:type="dxa"/>
              <w:right w:w="108" w:type="dxa"/>
            </w:tcMar>
          </w:tcPr>
          <w:p w:rsidR="003D7A14" w:rsidRPr="000A0A5F" w:rsidRDefault="003D7A14" w:rsidP="00D375AC">
            <w:pPr>
              <w:pStyle w:val="TAL"/>
              <w:rPr>
                <w:lang w:eastAsia="zh-CN"/>
              </w:rPr>
            </w:pPr>
            <w:r w:rsidRPr="000A0A5F">
              <w:rPr>
                <w:lang w:eastAsia="zh-CN"/>
              </w:rPr>
              <w:t>Unsigned i</w:t>
            </w:r>
            <w:r w:rsidRPr="000A0A5F">
              <w:rPr>
                <w:rFonts w:hint="eastAsia"/>
                <w:lang w:eastAsia="zh-CN"/>
              </w:rPr>
              <w:t xml:space="preserve">nteger </w:t>
            </w:r>
            <w:r w:rsidRPr="000A0A5F">
              <w:rPr>
                <w:lang w:eastAsia="zh-CN"/>
              </w:rPr>
              <w:t>identifying a volume in units of bytes.</w:t>
            </w:r>
          </w:p>
        </w:tc>
      </w:tr>
      <w:tr w:rsidR="003D7A14" w:rsidRPr="000A0A5F" w:rsidTr="00D375AC">
        <w:tc>
          <w:tcPr>
            <w:tcW w:w="958" w:type="pct"/>
            <w:tcMar>
              <w:top w:w="0" w:type="dxa"/>
              <w:left w:w="108" w:type="dxa"/>
              <w:bottom w:w="0" w:type="dxa"/>
              <w:right w:w="108" w:type="dxa"/>
            </w:tcMar>
          </w:tcPr>
          <w:p w:rsidR="003D7A14" w:rsidRPr="000A0A5F" w:rsidRDefault="003D7A14" w:rsidP="00D375AC">
            <w:pPr>
              <w:pStyle w:val="TAL"/>
              <w:rPr>
                <w:lang w:eastAsia="zh-CN"/>
              </w:rPr>
            </w:pPr>
            <w:r w:rsidRPr="000A0A5F">
              <w:rPr>
                <w:lang w:eastAsia="zh-CN"/>
              </w:rPr>
              <w:t>VolumeRm</w:t>
            </w:r>
          </w:p>
        </w:tc>
        <w:tc>
          <w:tcPr>
            <w:tcW w:w="4042" w:type="pct"/>
            <w:tcMar>
              <w:top w:w="0" w:type="dxa"/>
              <w:left w:w="108" w:type="dxa"/>
              <w:bottom w:w="0" w:type="dxa"/>
              <w:right w:w="108" w:type="dxa"/>
            </w:tcMar>
          </w:tcPr>
          <w:p w:rsidR="003D7A14" w:rsidRPr="000A0A5F" w:rsidRDefault="003D7A14" w:rsidP="00D375AC">
            <w:pPr>
              <w:pStyle w:val="TAL"/>
              <w:rPr>
                <w:lang w:eastAsia="zh-CN"/>
              </w:rPr>
            </w:pPr>
            <w:r w:rsidRPr="000A0A5F">
              <w:rPr>
                <w:lang w:eastAsia="zh-CN"/>
              </w:rPr>
              <w:t>Unsigned i</w:t>
            </w:r>
            <w:r w:rsidRPr="000A0A5F">
              <w:rPr>
                <w:rFonts w:hint="eastAsia"/>
                <w:lang w:eastAsia="zh-CN"/>
              </w:rPr>
              <w:t xml:space="preserve">nteger </w:t>
            </w:r>
            <w:r w:rsidRPr="000A0A5F">
              <w:rPr>
                <w:lang w:eastAsia="zh-CN"/>
              </w:rPr>
              <w:t xml:space="preserve">identifying a volume in units of bytes with </w:t>
            </w:r>
            <w:r w:rsidRPr="000A0A5F">
              <w:t>"nullable: true"</w:t>
            </w:r>
            <w:r w:rsidRPr="000A0A5F">
              <w:rPr>
                <w:lang w:eastAsia="zh-CN"/>
              </w:rPr>
              <w:t xml:space="preserve"> property.</w:t>
            </w:r>
          </w:p>
        </w:tc>
      </w:tr>
    </w:tbl>
    <w:p w:rsidR="00CB0DD7" w:rsidRPr="000A0A5F" w:rsidRDefault="00CB0DD7"/>
    <w:p w:rsidR="00CB0DD7" w:rsidRPr="000A0A5F" w:rsidRDefault="00CB0DD7">
      <w:pPr>
        <w:pStyle w:val="Heading5"/>
      </w:pPr>
      <w:bookmarkStart w:id="1285" w:name="_Toc11247273"/>
      <w:bookmarkStart w:id="1286" w:name="_Toc27044393"/>
      <w:bookmarkStart w:id="1287" w:name="_Toc36033435"/>
      <w:bookmarkStart w:id="1288" w:name="_Toc45131567"/>
      <w:bookmarkStart w:id="1289" w:name="_Toc49775852"/>
      <w:bookmarkStart w:id="1290" w:name="_Toc51746772"/>
      <w:bookmarkStart w:id="1291" w:name="_Toc66360314"/>
      <w:bookmarkStart w:id="1292" w:name="_Toc68104819"/>
      <w:bookmarkStart w:id="1293" w:name="_Toc74755448"/>
      <w:bookmarkStart w:id="1294" w:name="_Toc105674303"/>
      <w:bookmarkStart w:id="1295" w:name="_Toc130502337"/>
      <w:bookmarkStart w:id="1296" w:name="_Toc153625116"/>
      <w:r w:rsidRPr="000A0A5F">
        <w:t>5.2.1.3.3</w:t>
      </w:r>
      <w:r w:rsidRPr="000A0A5F">
        <w:tab/>
        <w:t>Enumeration:</w:t>
      </w:r>
      <w:r w:rsidRPr="000A0A5F">
        <w:rPr>
          <w:rFonts w:hint="eastAsia"/>
          <w:lang w:eastAsia="zh-CN"/>
        </w:rPr>
        <w:t xml:space="preserve"> </w:t>
      </w:r>
      <w:r w:rsidRPr="000A0A5F">
        <w:rPr>
          <w:lang w:eastAsia="zh-CN"/>
        </w:rPr>
        <w:t>Event</w:t>
      </w:r>
      <w:bookmarkEnd w:id="1285"/>
      <w:bookmarkEnd w:id="1286"/>
      <w:bookmarkEnd w:id="1287"/>
      <w:bookmarkEnd w:id="1288"/>
      <w:bookmarkEnd w:id="1289"/>
      <w:bookmarkEnd w:id="1290"/>
      <w:bookmarkEnd w:id="1291"/>
      <w:bookmarkEnd w:id="1292"/>
      <w:bookmarkEnd w:id="1293"/>
      <w:bookmarkEnd w:id="1294"/>
      <w:bookmarkEnd w:id="1295"/>
      <w:bookmarkEnd w:id="1296"/>
    </w:p>
    <w:p w:rsidR="00CB0DD7" w:rsidRPr="000A0A5F" w:rsidRDefault="00CB0DD7">
      <w:r w:rsidRPr="000A0A5F">
        <w:t>The enumeration Event</w:t>
      </w:r>
      <w:r w:rsidRPr="000A0A5F">
        <w:rPr>
          <w:rFonts w:hint="eastAsia"/>
          <w:lang w:eastAsia="zh-CN"/>
        </w:rPr>
        <w:t xml:space="preserve"> </w:t>
      </w:r>
      <w:r w:rsidRPr="000A0A5F">
        <w:t>represents</w:t>
      </w:r>
      <w:r w:rsidRPr="000A0A5F">
        <w:rPr>
          <w:rFonts w:hint="eastAsia"/>
          <w:lang w:eastAsia="zh-CN"/>
        </w:rPr>
        <w:t xml:space="preserve"> </w:t>
      </w:r>
      <w:r w:rsidRPr="000A0A5F">
        <w:rPr>
          <w:lang w:eastAsia="zh-CN"/>
        </w:rPr>
        <w:t>event reported by the SCEF</w:t>
      </w:r>
      <w:r w:rsidRPr="000A0A5F">
        <w:rPr>
          <w:noProof/>
        </w:rPr>
        <w:t>.</w:t>
      </w:r>
    </w:p>
    <w:p w:rsidR="00CB0DD7" w:rsidRPr="000A0A5F" w:rsidRDefault="00CB0DD7">
      <w:pPr>
        <w:pStyle w:val="TH"/>
      </w:pPr>
      <w:r w:rsidRPr="000A0A5F">
        <w:t>Table 5.2.1.3.3-1: Enumeration Event</w:t>
      </w:r>
    </w:p>
    <w:tbl>
      <w:tblPr>
        <w:tblW w:w="4889"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3545"/>
        <w:gridCol w:w="6093"/>
      </w:tblGrid>
      <w:tr w:rsidR="00CB0DD7" w:rsidRPr="000A0A5F" w:rsidTr="00FF0AF8">
        <w:tc>
          <w:tcPr>
            <w:tcW w:w="1839" w:type="pct"/>
            <w:shd w:val="clear" w:color="auto" w:fill="C0C0C0"/>
            <w:tcMar>
              <w:top w:w="0" w:type="dxa"/>
              <w:left w:w="108" w:type="dxa"/>
              <w:bottom w:w="0" w:type="dxa"/>
              <w:right w:w="108" w:type="dxa"/>
            </w:tcMar>
          </w:tcPr>
          <w:p w:rsidR="00CB0DD7" w:rsidRPr="000A0A5F" w:rsidRDefault="00CB0DD7">
            <w:pPr>
              <w:pStyle w:val="TAH"/>
            </w:pPr>
            <w:r w:rsidRPr="000A0A5F">
              <w:t>Enumeration value</w:t>
            </w:r>
          </w:p>
        </w:tc>
        <w:tc>
          <w:tcPr>
            <w:tcW w:w="3161" w:type="pct"/>
            <w:shd w:val="clear" w:color="auto" w:fill="C0C0C0"/>
            <w:tcMar>
              <w:top w:w="0" w:type="dxa"/>
              <w:left w:w="108" w:type="dxa"/>
              <w:bottom w:w="0" w:type="dxa"/>
              <w:right w:w="108" w:type="dxa"/>
            </w:tcMar>
          </w:tcPr>
          <w:p w:rsidR="00CB0DD7" w:rsidRPr="000A0A5F" w:rsidRDefault="00CB0DD7">
            <w:pPr>
              <w:pStyle w:val="TAH"/>
            </w:pPr>
            <w:r w:rsidRPr="000A0A5F">
              <w:t>Description</w:t>
            </w:r>
          </w:p>
        </w:tc>
      </w:tr>
      <w:tr w:rsidR="00CB0DD7" w:rsidRPr="000A0A5F" w:rsidTr="00FF0AF8">
        <w:tc>
          <w:tcPr>
            <w:tcW w:w="1839" w:type="pct"/>
            <w:tcMar>
              <w:top w:w="0" w:type="dxa"/>
              <w:left w:w="108" w:type="dxa"/>
              <w:bottom w:w="0" w:type="dxa"/>
              <w:right w:w="108" w:type="dxa"/>
            </w:tcMar>
          </w:tcPr>
          <w:p w:rsidR="00CB0DD7" w:rsidRPr="000A0A5F" w:rsidRDefault="00CB0DD7">
            <w:pPr>
              <w:pStyle w:val="TAL"/>
              <w:rPr>
                <w:rFonts w:hint="eastAsia"/>
                <w:lang w:eastAsia="zh-CN"/>
              </w:rPr>
            </w:pPr>
            <w:r w:rsidRPr="000A0A5F">
              <w:rPr>
                <w:rFonts w:hint="eastAsia"/>
                <w:lang w:eastAsia="zh-CN"/>
              </w:rPr>
              <w:t>SESSION_TERMINATION</w:t>
            </w:r>
          </w:p>
        </w:tc>
        <w:tc>
          <w:tcPr>
            <w:tcW w:w="3161" w:type="pct"/>
            <w:tcMar>
              <w:top w:w="0" w:type="dxa"/>
              <w:left w:w="108" w:type="dxa"/>
              <w:bottom w:w="0" w:type="dxa"/>
              <w:right w:w="108" w:type="dxa"/>
            </w:tcMar>
          </w:tcPr>
          <w:p w:rsidR="00CB0DD7" w:rsidRPr="000A0A5F" w:rsidRDefault="00CB0DD7">
            <w:pPr>
              <w:pStyle w:val="TAL"/>
              <w:rPr>
                <w:rFonts w:hint="eastAsia"/>
                <w:lang w:eastAsia="zh-CN"/>
              </w:rPr>
            </w:pPr>
            <w:r w:rsidRPr="000A0A5F">
              <w:t>Indicates that Rx session is terminated.</w:t>
            </w:r>
          </w:p>
        </w:tc>
      </w:tr>
      <w:tr w:rsidR="00CB0DD7" w:rsidRPr="000A0A5F" w:rsidTr="00FF0AF8">
        <w:tc>
          <w:tcPr>
            <w:tcW w:w="1839" w:type="pct"/>
            <w:tcMar>
              <w:top w:w="0" w:type="dxa"/>
              <w:left w:w="108" w:type="dxa"/>
              <w:bottom w:w="0" w:type="dxa"/>
              <w:right w:w="108" w:type="dxa"/>
            </w:tcMar>
          </w:tcPr>
          <w:p w:rsidR="00CB0DD7" w:rsidRPr="000A0A5F" w:rsidRDefault="00CB0DD7">
            <w:pPr>
              <w:pStyle w:val="TAL"/>
              <w:rPr>
                <w:rFonts w:hint="eastAsia"/>
                <w:lang w:eastAsia="zh-CN"/>
              </w:rPr>
            </w:pPr>
            <w:r w:rsidRPr="000A0A5F">
              <w:t xml:space="preserve">LOSS_OF_BEARER </w:t>
            </w:r>
          </w:p>
        </w:tc>
        <w:tc>
          <w:tcPr>
            <w:tcW w:w="3161" w:type="pct"/>
            <w:tcMar>
              <w:top w:w="0" w:type="dxa"/>
              <w:left w:w="108" w:type="dxa"/>
              <w:bottom w:w="0" w:type="dxa"/>
              <w:right w:w="108" w:type="dxa"/>
            </w:tcMar>
          </w:tcPr>
          <w:p w:rsidR="00CB0DD7" w:rsidRPr="000A0A5F" w:rsidRDefault="00CB0DD7">
            <w:pPr>
              <w:pStyle w:val="TAL"/>
              <w:rPr>
                <w:rFonts w:hint="eastAsia"/>
                <w:lang w:eastAsia="zh-CN"/>
              </w:rPr>
            </w:pPr>
            <w:r w:rsidRPr="000A0A5F">
              <w:rPr>
                <w:rFonts w:hint="eastAsia"/>
                <w:lang w:eastAsia="zh-CN"/>
              </w:rPr>
              <w:t xml:space="preserve">Indicates </w:t>
            </w:r>
            <w:r w:rsidRPr="000A0A5F">
              <w:t>a loss of a bearer.</w:t>
            </w:r>
            <w:r w:rsidR="007E5BFF" w:rsidRPr="000A0A5F">
              <w:t xml:space="preserve"> (NOTE 2)</w:t>
            </w:r>
          </w:p>
        </w:tc>
      </w:tr>
      <w:tr w:rsidR="00CB0DD7" w:rsidRPr="000A0A5F" w:rsidTr="00FF0AF8">
        <w:tc>
          <w:tcPr>
            <w:tcW w:w="1839" w:type="pct"/>
            <w:tcMar>
              <w:top w:w="0" w:type="dxa"/>
              <w:left w:w="108" w:type="dxa"/>
              <w:bottom w:w="0" w:type="dxa"/>
              <w:right w:w="108" w:type="dxa"/>
            </w:tcMar>
          </w:tcPr>
          <w:p w:rsidR="00CB0DD7" w:rsidRPr="000A0A5F" w:rsidRDefault="00CB0DD7">
            <w:pPr>
              <w:pStyle w:val="TAL"/>
            </w:pPr>
            <w:r w:rsidRPr="000A0A5F">
              <w:t>RECOVERY_OF_BEARER</w:t>
            </w:r>
          </w:p>
        </w:tc>
        <w:tc>
          <w:tcPr>
            <w:tcW w:w="3161" w:type="pct"/>
            <w:tcMar>
              <w:top w:w="0" w:type="dxa"/>
              <w:left w:w="108" w:type="dxa"/>
              <w:bottom w:w="0" w:type="dxa"/>
              <w:right w:w="108" w:type="dxa"/>
            </w:tcMar>
          </w:tcPr>
          <w:p w:rsidR="00CB0DD7" w:rsidRPr="000A0A5F" w:rsidRDefault="00CB0DD7">
            <w:pPr>
              <w:pStyle w:val="TAL"/>
              <w:rPr>
                <w:rFonts w:hint="eastAsia"/>
                <w:lang w:eastAsia="zh-CN"/>
              </w:rPr>
            </w:pPr>
            <w:r w:rsidRPr="000A0A5F">
              <w:rPr>
                <w:rFonts w:hint="eastAsia"/>
                <w:lang w:eastAsia="zh-CN"/>
              </w:rPr>
              <w:t>Indicates a recove</w:t>
            </w:r>
            <w:r w:rsidRPr="000A0A5F">
              <w:rPr>
                <w:lang w:eastAsia="zh-CN"/>
              </w:rPr>
              <w:t>ry of a bearer.</w:t>
            </w:r>
            <w:r w:rsidR="007E5BFF" w:rsidRPr="000A0A5F">
              <w:rPr>
                <w:lang w:eastAsia="zh-CN"/>
              </w:rPr>
              <w:t xml:space="preserve"> </w:t>
            </w:r>
            <w:r w:rsidR="007E5BFF" w:rsidRPr="000A0A5F">
              <w:t>(NOTE 2)</w:t>
            </w:r>
          </w:p>
        </w:tc>
      </w:tr>
      <w:tr w:rsidR="00CB0DD7" w:rsidRPr="000A0A5F" w:rsidTr="00FF0AF8">
        <w:tc>
          <w:tcPr>
            <w:tcW w:w="1839" w:type="pct"/>
            <w:tcMar>
              <w:top w:w="0" w:type="dxa"/>
              <w:left w:w="108" w:type="dxa"/>
              <w:bottom w:w="0" w:type="dxa"/>
              <w:right w:w="108" w:type="dxa"/>
            </w:tcMar>
          </w:tcPr>
          <w:p w:rsidR="00CB0DD7" w:rsidRPr="000A0A5F" w:rsidRDefault="00CB0DD7">
            <w:pPr>
              <w:pStyle w:val="TAL"/>
            </w:pPr>
            <w:r w:rsidRPr="000A0A5F">
              <w:t>RELEASE_OF_BEARER</w:t>
            </w:r>
          </w:p>
        </w:tc>
        <w:tc>
          <w:tcPr>
            <w:tcW w:w="3161" w:type="pct"/>
            <w:tcMar>
              <w:top w:w="0" w:type="dxa"/>
              <w:left w:w="108" w:type="dxa"/>
              <w:bottom w:w="0" w:type="dxa"/>
              <w:right w:w="108" w:type="dxa"/>
            </w:tcMar>
          </w:tcPr>
          <w:p w:rsidR="00CB0DD7" w:rsidRPr="000A0A5F" w:rsidRDefault="00CB0DD7">
            <w:pPr>
              <w:pStyle w:val="TAL"/>
            </w:pPr>
            <w:r w:rsidRPr="000A0A5F">
              <w:rPr>
                <w:rFonts w:hint="eastAsia"/>
                <w:lang w:eastAsia="zh-CN"/>
              </w:rPr>
              <w:t>Indicates a re</w:t>
            </w:r>
            <w:r w:rsidRPr="000A0A5F">
              <w:rPr>
                <w:lang w:eastAsia="zh-CN"/>
              </w:rPr>
              <w:t>lease of a bearer.</w:t>
            </w:r>
            <w:r w:rsidR="007E5BFF" w:rsidRPr="000A0A5F">
              <w:rPr>
                <w:lang w:eastAsia="zh-CN"/>
              </w:rPr>
              <w:t xml:space="preserve"> </w:t>
            </w:r>
            <w:r w:rsidR="007E5BFF" w:rsidRPr="000A0A5F">
              <w:t>(NOTE 2)</w:t>
            </w:r>
          </w:p>
        </w:tc>
      </w:tr>
      <w:tr w:rsidR="00CB0DD7" w:rsidRPr="000A0A5F" w:rsidTr="00FF0AF8">
        <w:tc>
          <w:tcPr>
            <w:tcW w:w="1839" w:type="pct"/>
            <w:tcMar>
              <w:top w:w="0" w:type="dxa"/>
              <w:left w:w="108" w:type="dxa"/>
              <w:bottom w:w="0" w:type="dxa"/>
              <w:right w:w="108" w:type="dxa"/>
            </w:tcMar>
          </w:tcPr>
          <w:p w:rsidR="00CB0DD7" w:rsidRPr="000A0A5F" w:rsidRDefault="00CB0DD7">
            <w:pPr>
              <w:pStyle w:val="TAL"/>
              <w:rPr>
                <w:rFonts w:hint="eastAsia"/>
                <w:lang w:eastAsia="zh-CN"/>
              </w:rPr>
            </w:pPr>
            <w:r w:rsidRPr="000A0A5F">
              <w:rPr>
                <w:rFonts w:hint="eastAsia"/>
                <w:lang w:eastAsia="zh-CN"/>
              </w:rPr>
              <w:t>USAGE_REPORT</w:t>
            </w:r>
          </w:p>
        </w:tc>
        <w:tc>
          <w:tcPr>
            <w:tcW w:w="3161" w:type="pct"/>
            <w:tcMar>
              <w:top w:w="0" w:type="dxa"/>
              <w:left w:w="108" w:type="dxa"/>
              <w:bottom w:w="0" w:type="dxa"/>
              <w:right w:w="108" w:type="dxa"/>
            </w:tcMar>
          </w:tcPr>
          <w:p w:rsidR="00CB0DD7" w:rsidRPr="000A0A5F" w:rsidRDefault="00CB0DD7">
            <w:pPr>
              <w:pStyle w:val="TAL"/>
              <w:rPr>
                <w:rFonts w:hint="eastAsia"/>
                <w:lang w:eastAsia="zh-CN"/>
              </w:rPr>
            </w:pPr>
            <w:r w:rsidRPr="000A0A5F">
              <w:rPr>
                <w:rFonts w:hint="eastAsia"/>
                <w:lang w:eastAsia="zh-CN"/>
              </w:rPr>
              <w:t>Indicates the usage report event</w:t>
            </w:r>
            <w:r w:rsidRPr="000A0A5F">
              <w:rPr>
                <w:lang w:eastAsia="zh-CN"/>
              </w:rPr>
              <w:t>.</w:t>
            </w:r>
          </w:p>
        </w:tc>
      </w:tr>
      <w:tr w:rsidR="00CB0DD7" w:rsidRPr="000A0A5F" w:rsidTr="00FF0AF8">
        <w:tc>
          <w:tcPr>
            <w:tcW w:w="1839" w:type="pct"/>
            <w:tcMar>
              <w:top w:w="0" w:type="dxa"/>
              <w:left w:w="108" w:type="dxa"/>
              <w:bottom w:w="0" w:type="dxa"/>
              <w:right w:w="108" w:type="dxa"/>
            </w:tcMar>
          </w:tcPr>
          <w:p w:rsidR="00CB0DD7" w:rsidRPr="000A0A5F" w:rsidRDefault="00CB0DD7">
            <w:pPr>
              <w:pStyle w:val="TAL"/>
              <w:rPr>
                <w:rFonts w:hint="eastAsia"/>
                <w:lang w:eastAsia="zh-CN"/>
              </w:rPr>
            </w:pPr>
            <w:r w:rsidRPr="000A0A5F">
              <w:t>FAILED_RESOURCES_ALLOCATION</w:t>
            </w:r>
          </w:p>
        </w:tc>
        <w:tc>
          <w:tcPr>
            <w:tcW w:w="3161" w:type="pct"/>
            <w:tcMar>
              <w:top w:w="0" w:type="dxa"/>
              <w:left w:w="108" w:type="dxa"/>
              <w:bottom w:w="0" w:type="dxa"/>
              <w:right w:w="108" w:type="dxa"/>
            </w:tcMar>
          </w:tcPr>
          <w:p w:rsidR="00CB0DD7" w:rsidRPr="000A0A5F" w:rsidRDefault="00CB0DD7">
            <w:pPr>
              <w:pStyle w:val="TAL"/>
              <w:rPr>
                <w:rFonts w:hint="eastAsia"/>
                <w:lang w:eastAsia="zh-CN"/>
              </w:rPr>
            </w:pPr>
            <w:r w:rsidRPr="000A0A5F">
              <w:rPr>
                <w:lang w:eastAsia="zh-CN"/>
              </w:rPr>
              <w:t>Indicates the resource allocation is failed.</w:t>
            </w:r>
          </w:p>
        </w:tc>
      </w:tr>
      <w:tr w:rsidR="0022396D" w:rsidRPr="000A0A5F" w:rsidTr="00FF0AF8">
        <w:tc>
          <w:tcPr>
            <w:tcW w:w="1839" w:type="pct"/>
            <w:tcMar>
              <w:top w:w="0" w:type="dxa"/>
              <w:left w:w="108" w:type="dxa"/>
              <w:bottom w:w="0" w:type="dxa"/>
              <w:right w:w="108" w:type="dxa"/>
            </w:tcMar>
          </w:tcPr>
          <w:p w:rsidR="0022396D" w:rsidRPr="000A0A5F" w:rsidRDefault="0022396D" w:rsidP="009723F4">
            <w:pPr>
              <w:pStyle w:val="TAL"/>
            </w:pPr>
            <w:r w:rsidRPr="000A0A5F">
              <w:t>SUCCESSFUL_RESOURCES_ALLOCATION</w:t>
            </w:r>
          </w:p>
        </w:tc>
        <w:tc>
          <w:tcPr>
            <w:tcW w:w="3161" w:type="pct"/>
            <w:tcMar>
              <w:top w:w="0" w:type="dxa"/>
              <w:left w:w="108" w:type="dxa"/>
              <w:bottom w:w="0" w:type="dxa"/>
              <w:right w:w="108" w:type="dxa"/>
            </w:tcMar>
          </w:tcPr>
          <w:p w:rsidR="0022396D" w:rsidRPr="000A0A5F" w:rsidRDefault="0022396D" w:rsidP="009723F4">
            <w:pPr>
              <w:pStyle w:val="TAL"/>
              <w:rPr>
                <w:lang w:eastAsia="zh-CN"/>
              </w:rPr>
            </w:pPr>
            <w:r w:rsidRPr="000A0A5F">
              <w:rPr>
                <w:lang w:eastAsia="zh-CN"/>
              </w:rPr>
              <w:t>Indicates the resource allocation is successful.</w:t>
            </w:r>
          </w:p>
        </w:tc>
      </w:tr>
      <w:tr w:rsidR="0022396D" w:rsidRPr="000A0A5F" w:rsidTr="00FF0AF8">
        <w:tc>
          <w:tcPr>
            <w:tcW w:w="4999" w:type="pct"/>
            <w:gridSpan w:val="2"/>
            <w:tcMar>
              <w:top w:w="0" w:type="dxa"/>
              <w:left w:w="108" w:type="dxa"/>
              <w:bottom w:w="0" w:type="dxa"/>
              <w:right w:w="108" w:type="dxa"/>
            </w:tcMar>
          </w:tcPr>
          <w:p w:rsidR="0022396D" w:rsidRPr="000A0A5F" w:rsidRDefault="0022396D" w:rsidP="009723F4">
            <w:pPr>
              <w:pStyle w:val="TAN"/>
              <w:rPr>
                <w:noProof/>
              </w:rPr>
            </w:pPr>
            <w:r w:rsidRPr="000A0A5F">
              <w:t>NOTE</w:t>
            </w:r>
            <w:r w:rsidR="007E5BFF" w:rsidRPr="000A0A5F">
              <w:t> 1</w:t>
            </w:r>
            <w:r w:rsidRPr="000A0A5F">
              <w:t>:</w:t>
            </w:r>
            <w:r w:rsidRPr="000A0A5F">
              <w:rPr>
                <w:noProof/>
              </w:rPr>
              <w:tab/>
              <w:t xml:space="preserve">The </w:t>
            </w:r>
            <w:r w:rsidRPr="000A0A5F">
              <w:t>"</w:t>
            </w:r>
            <w:r w:rsidRPr="000A0A5F">
              <w:rPr>
                <w:noProof/>
              </w:rPr>
              <w:t>enNB</w:t>
            </w:r>
            <w:r w:rsidRPr="000A0A5F">
              <w:t>"</w:t>
            </w:r>
            <w:r w:rsidRPr="000A0A5F">
              <w:rPr>
                <w:noProof/>
              </w:rPr>
              <w:t xml:space="preserve"> feature </w:t>
            </w:r>
            <w:r w:rsidRPr="000A0A5F">
              <w:t xml:space="preserve">defined in clause 5.5.4 </w:t>
            </w:r>
            <w:r w:rsidRPr="000A0A5F">
              <w:rPr>
                <w:noProof/>
              </w:rPr>
              <w:t xml:space="preserve">supports both subscription and notification for </w:t>
            </w:r>
            <w:r w:rsidRPr="000A0A5F">
              <w:t>SUCCESSFUL_RESOURCES_ALLOCATION</w:t>
            </w:r>
            <w:r w:rsidRPr="000A0A5F">
              <w:rPr>
                <w:noProof/>
              </w:rPr>
              <w:t xml:space="preserve"> event, and explicit subscription for all the events.</w:t>
            </w:r>
          </w:p>
          <w:p w:rsidR="007E5BFF" w:rsidRPr="000A0A5F" w:rsidRDefault="007E5BFF" w:rsidP="009723F4">
            <w:pPr>
              <w:pStyle w:val="TAN"/>
              <w:rPr>
                <w:lang w:eastAsia="zh-CN"/>
              </w:rPr>
            </w:pPr>
            <w:r w:rsidRPr="000A0A5F">
              <w:t>NOTE </w:t>
            </w:r>
            <w:r w:rsidRPr="000A0A5F">
              <w:rPr>
                <w:lang w:eastAsia="zh-CN"/>
              </w:rPr>
              <w:t>2</w:t>
            </w:r>
            <w:r w:rsidRPr="000A0A5F">
              <w:t>:</w:t>
            </w:r>
            <w:r w:rsidRPr="000A0A5F">
              <w:rPr>
                <w:noProof/>
              </w:rPr>
              <w:tab/>
              <w:t xml:space="preserve">The </w:t>
            </w:r>
            <w:r w:rsidRPr="000A0A5F">
              <w:t xml:space="preserve">"LOSS_OF_BEARER", </w:t>
            </w:r>
            <w:r w:rsidRPr="000A0A5F">
              <w:rPr>
                <w:lang w:eastAsia="zh-CN"/>
              </w:rPr>
              <w:t>RECOVERY_OF_BEARER, and RELEASE_OF_BEARER only apply to 4G.</w:t>
            </w:r>
          </w:p>
        </w:tc>
      </w:tr>
    </w:tbl>
    <w:p w:rsidR="00CB0DD7" w:rsidRPr="000A0A5F" w:rsidRDefault="00CB0DD7"/>
    <w:p w:rsidR="00CB0DD7" w:rsidRPr="000A0A5F" w:rsidRDefault="00CB0DD7">
      <w:pPr>
        <w:pStyle w:val="Heading5"/>
        <w:spacing w:before="180"/>
      </w:pPr>
      <w:bookmarkStart w:id="1297" w:name="_Toc11247274"/>
      <w:bookmarkStart w:id="1298" w:name="_Toc27044394"/>
      <w:bookmarkStart w:id="1299" w:name="_Toc36033436"/>
      <w:bookmarkStart w:id="1300" w:name="_Toc45131568"/>
      <w:bookmarkStart w:id="1301" w:name="_Toc49775853"/>
      <w:bookmarkStart w:id="1302" w:name="_Toc51746773"/>
      <w:bookmarkStart w:id="1303" w:name="_Toc66360315"/>
      <w:bookmarkStart w:id="1304" w:name="_Toc68104820"/>
      <w:bookmarkStart w:id="1305" w:name="_Toc74755449"/>
      <w:bookmarkStart w:id="1306" w:name="_Toc105674304"/>
      <w:bookmarkStart w:id="1307" w:name="_Toc130502338"/>
      <w:bookmarkStart w:id="1308" w:name="_Toc153625117"/>
      <w:r w:rsidRPr="000A0A5F">
        <w:t>5.2.1.3.4</w:t>
      </w:r>
      <w:r w:rsidRPr="000A0A5F">
        <w:tab/>
        <w:t>Enumeration:</w:t>
      </w:r>
      <w:r w:rsidRPr="000A0A5F">
        <w:rPr>
          <w:rFonts w:hint="eastAsia"/>
          <w:lang w:eastAsia="zh-CN"/>
        </w:rPr>
        <w:t xml:space="preserve"> </w:t>
      </w:r>
      <w:r w:rsidRPr="000A0A5F">
        <w:rPr>
          <w:lang w:eastAsia="zh-CN"/>
        </w:rPr>
        <w:t>ResultReason</w:t>
      </w:r>
      <w:bookmarkEnd w:id="1297"/>
      <w:bookmarkEnd w:id="1298"/>
      <w:bookmarkEnd w:id="1299"/>
      <w:bookmarkEnd w:id="1300"/>
      <w:bookmarkEnd w:id="1301"/>
      <w:bookmarkEnd w:id="1302"/>
      <w:bookmarkEnd w:id="1303"/>
      <w:bookmarkEnd w:id="1304"/>
      <w:bookmarkEnd w:id="1305"/>
      <w:bookmarkEnd w:id="1306"/>
      <w:bookmarkEnd w:id="1307"/>
      <w:bookmarkEnd w:id="1308"/>
    </w:p>
    <w:p w:rsidR="00CB0DD7" w:rsidRPr="000A0A5F" w:rsidRDefault="00CB0DD7">
      <w:r w:rsidRPr="000A0A5F">
        <w:t xml:space="preserve">The enumeration </w:t>
      </w:r>
      <w:r w:rsidRPr="000A0A5F">
        <w:rPr>
          <w:lang w:eastAsia="zh-CN"/>
        </w:rPr>
        <w:t>ResultReason</w:t>
      </w:r>
      <w:r w:rsidRPr="000A0A5F">
        <w:t xml:space="preserve"> represents a failure result reason. </w:t>
      </w:r>
    </w:p>
    <w:p w:rsidR="00CB0DD7" w:rsidRPr="000A0A5F" w:rsidRDefault="00CB0DD7">
      <w:pPr>
        <w:pStyle w:val="TH"/>
      </w:pPr>
      <w:r w:rsidRPr="000A0A5F">
        <w:t xml:space="preserve">Table 5.2.1.3.4-1: Enumeration </w:t>
      </w:r>
      <w:r w:rsidRPr="000A0A5F">
        <w:rPr>
          <w:lang w:eastAsia="zh-CN"/>
        </w:rPr>
        <w:t>ResultReason</w:t>
      </w:r>
    </w:p>
    <w:tbl>
      <w:tblPr>
        <w:tblW w:w="4945"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660"/>
        <w:gridCol w:w="7089"/>
      </w:tblGrid>
      <w:tr w:rsidR="00CB0DD7" w:rsidRPr="000A0A5F" w:rsidTr="002B45A7">
        <w:trPr>
          <w:trHeight w:val="280"/>
        </w:trPr>
        <w:tc>
          <w:tcPr>
            <w:tcW w:w="1364" w:type="pct"/>
            <w:shd w:val="clear" w:color="auto" w:fill="C0C0C0"/>
            <w:tcMar>
              <w:top w:w="0" w:type="dxa"/>
              <w:left w:w="108" w:type="dxa"/>
              <w:bottom w:w="0" w:type="dxa"/>
              <w:right w:w="108" w:type="dxa"/>
            </w:tcMar>
          </w:tcPr>
          <w:p w:rsidR="00CB0DD7" w:rsidRPr="000A0A5F" w:rsidRDefault="00CB0DD7">
            <w:pPr>
              <w:pStyle w:val="TAH"/>
            </w:pPr>
            <w:r w:rsidRPr="000A0A5F">
              <w:t>Enumeration value</w:t>
            </w:r>
          </w:p>
        </w:tc>
        <w:tc>
          <w:tcPr>
            <w:tcW w:w="3636" w:type="pct"/>
            <w:shd w:val="clear" w:color="auto" w:fill="C0C0C0"/>
            <w:tcMar>
              <w:top w:w="0" w:type="dxa"/>
              <w:left w:w="108" w:type="dxa"/>
              <w:bottom w:w="0" w:type="dxa"/>
              <w:right w:w="108" w:type="dxa"/>
            </w:tcMar>
          </w:tcPr>
          <w:p w:rsidR="00CB0DD7" w:rsidRPr="000A0A5F" w:rsidRDefault="00CB0DD7">
            <w:pPr>
              <w:pStyle w:val="TAH"/>
            </w:pPr>
            <w:r w:rsidRPr="000A0A5F">
              <w:t>Description</w:t>
            </w:r>
          </w:p>
        </w:tc>
      </w:tr>
      <w:tr w:rsidR="00CB0DD7" w:rsidRPr="000A0A5F" w:rsidTr="002B45A7">
        <w:tc>
          <w:tcPr>
            <w:tcW w:w="1364" w:type="pct"/>
            <w:tcMar>
              <w:top w:w="0" w:type="dxa"/>
              <w:left w:w="108" w:type="dxa"/>
              <w:bottom w:w="0" w:type="dxa"/>
              <w:right w:w="108" w:type="dxa"/>
            </w:tcMar>
          </w:tcPr>
          <w:p w:rsidR="00CB0DD7" w:rsidRPr="000A0A5F" w:rsidRDefault="00CB0DD7">
            <w:pPr>
              <w:pStyle w:val="TAL"/>
            </w:pPr>
            <w:r w:rsidRPr="000A0A5F">
              <w:rPr>
                <w:rFonts w:cs="Arial"/>
                <w:szCs w:val="18"/>
              </w:rPr>
              <w:t>ROAMING_NOT_ALLOWED</w:t>
            </w:r>
          </w:p>
        </w:tc>
        <w:tc>
          <w:tcPr>
            <w:tcW w:w="3636" w:type="pct"/>
            <w:tcMar>
              <w:top w:w="0" w:type="dxa"/>
              <w:left w:w="108" w:type="dxa"/>
              <w:bottom w:w="0" w:type="dxa"/>
              <w:right w:w="108" w:type="dxa"/>
            </w:tcMar>
          </w:tcPr>
          <w:p w:rsidR="00CB0DD7" w:rsidRPr="000A0A5F" w:rsidRDefault="00CB0DD7">
            <w:pPr>
              <w:pStyle w:val="TAL"/>
            </w:pPr>
            <w:r w:rsidRPr="000A0A5F">
              <w:rPr>
                <w:rFonts w:cs="Arial"/>
                <w:szCs w:val="18"/>
                <w:lang w:eastAsia="zh-CN"/>
              </w:rPr>
              <w:t>Identifies the configuration parameters are not allowed by roaming agreement.</w:t>
            </w:r>
          </w:p>
        </w:tc>
      </w:tr>
      <w:tr w:rsidR="00CB0DD7" w:rsidRPr="000A0A5F" w:rsidTr="002B45A7">
        <w:tc>
          <w:tcPr>
            <w:tcW w:w="1364" w:type="pct"/>
            <w:tcMar>
              <w:top w:w="0" w:type="dxa"/>
              <w:left w:w="108" w:type="dxa"/>
              <w:bottom w:w="0" w:type="dxa"/>
              <w:right w:w="108" w:type="dxa"/>
            </w:tcMar>
          </w:tcPr>
          <w:p w:rsidR="00CB0DD7" w:rsidRPr="000A0A5F" w:rsidRDefault="00CB0DD7">
            <w:pPr>
              <w:pStyle w:val="TAL"/>
              <w:rPr>
                <w:rFonts w:cs="Arial" w:hint="eastAsia"/>
                <w:szCs w:val="18"/>
                <w:lang w:eastAsia="zh-CN"/>
              </w:rPr>
            </w:pPr>
            <w:r w:rsidRPr="000A0A5F">
              <w:rPr>
                <w:rFonts w:cs="Arial" w:hint="eastAsia"/>
                <w:szCs w:val="18"/>
                <w:lang w:eastAsia="zh-CN"/>
              </w:rPr>
              <w:t>OTHER_REASON</w:t>
            </w:r>
          </w:p>
        </w:tc>
        <w:tc>
          <w:tcPr>
            <w:tcW w:w="3636" w:type="pct"/>
            <w:tcMar>
              <w:top w:w="0" w:type="dxa"/>
              <w:left w:w="108" w:type="dxa"/>
              <w:bottom w:w="0" w:type="dxa"/>
              <w:right w:w="108" w:type="dxa"/>
            </w:tcMar>
          </w:tcPr>
          <w:p w:rsidR="00CB0DD7" w:rsidRPr="000A0A5F" w:rsidRDefault="00CB0DD7">
            <w:pPr>
              <w:pStyle w:val="TAL"/>
              <w:rPr>
                <w:rFonts w:cs="Arial"/>
                <w:szCs w:val="18"/>
                <w:lang w:eastAsia="zh-CN"/>
              </w:rPr>
            </w:pPr>
            <w:r w:rsidRPr="000A0A5F">
              <w:rPr>
                <w:rFonts w:cs="Arial"/>
                <w:szCs w:val="18"/>
                <w:lang w:eastAsia="zh-CN"/>
              </w:rPr>
              <w:t>Identifies the configuration parameters are not configured due to other reason.</w:t>
            </w:r>
          </w:p>
        </w:tc>
      </w:tr>
    </w:tbl>
    <w:p w:rsidR="00CB0DD7" w:rsidRPr="000A0A5F" w:rsidRDefault="00CB0DD7"/>
    <w:p w:rsidR="00CB0DD7" w:rsidRPr="000A0A5F" w:rsidRDefault="00CB0DD7">
      <w:pPr>
        <w:pStyle w:val="Heading4"/>
      </w:pPr>
      <w:bookmarkStart w:id="1309" w:name="_Toc11247275"/>
      <w:bookmarkStart w:id="1310" w:name="_Toc27044395"/>
      <w:bookmarkStart w:id="1311" w:name="_Toc36033437"/>
      <w:bookmarkStart w:id="1312" w:name="_Toc45131569"/>
      <w:bookmarkStart w:id="1313" w:name="_Toc49775854"/>
      <w:bookmarkStart w:id="1314" w:name="_Toc51746774"/>
      <w:bookmarkStart w:id="1315" w:name="_Toc66360316"/>
      <w:bookmarkStart w:id="1316" w:name="_Toc68104821"/>
      <w:bookmarkStart w:id="1317" w:name="_Toc74755450"/>
      <w:bookmarkStart w:id="1318" w:name="_Toc105674305"/>
      <w:bookmarkStart w:id="1319" w:name="_Toc130502339"/>
      <w:bookmarkStart w:id="1320" w:name="_Toc153625118"/>
      <w:r w:rsidRPr="000A0A5F">
        <w:t>5.2.1.4</w:t>
      </w:r>
      <w:r w:rsidRPr="000A0A5F">
        <w:tab/>
        <w:t>Conventions for documenting structured data types</w:t>
      </w:r>
      <w:bookmarkEnd w:id="1309"/>
      <w:bookmarkEnd w:id="1310"/>
      <w:bookmarkEnd w:id="1311"/>
      <w:bookmarkEnd w:id="1312"/>
      <w:bookmarkEnd w:id="1313"/>
      <w:bookmarkEnd w:id="1314"/>
      <w:bookmarkEnd w:id="1315"/>
      <w:bookmarkEnd w:id="1316"/>
      <w:bookmarkEnd w:id="1317"/>
      <w:bookmarkEnd w:id="1318"/>
      <w:bookmarkEnd w:id="1319"/>
      <w:bookmarkEnd w:id="1320"/>
    </w:p>
    <w:p w:rsidR="00CB0DD7" w:rsidRPr="000A0A5F" w:rsidRDefault="00CB0DD7">
      <w:pPr>
        <w:rPr>
          <w:lang w:eastAsia="zh-CN"/>
        </w:rPr>
      </w:pPr>
      <w:r w:rsidRPr="000A0A5F">
        <w:rPr>
          <w:rFonts w:hint="eastAsia"/>
        </w:rPr>
        <w:t>The</w:t>
      </w:r>
      <w:r w:rsidRPr="000A0A5F">
        <w:t xml:space="preserve"> </w:t>
      </w:r>
      <w:r w:rsidRPr="000A0A5F">
        <w:rPr>
          <w:rFonts w:hint="eastAsia"/>
          <w:lang w:eastAsia="zh-CN"/>
        </w:rPr>
        <w:t xml:space="preserve">structured data types </w:t>
      </w:r>
      <w:r w:rsidRPr="000A0A5F">
        <w:t>shall represent an object (see IETF RFC 8259 [40])</w:t>
      </w:r>
      <w:r w:rsidRPr="000A0A5F">
        <w:rPr>
          <w:lang w:eastAsia="zh-CN"/>
        </w:rPr>
        <w:t>.</w:t>
      </w:r>
      <w:r w:rsidRPr="000A0A5F">
        <w:rPr>
          <w:rFonts w:hint="eastAsia"/>
          <w:lang w:eastAsia="zh-CN"/>
        </w:rPr>
        <w:t xml:space="preserve"> </w:t>
      </w:r>
      <w:r w:rsidRPr="000A0A5F">
        <w:rPr>
          <w:lang w:eastAsia="zh-CN"/>
        </w:rPr>
        <w:t>The</w:t>
      </w:r>
      <w:r w:rsidRPr="000A0A5F">
        <w:rPr>
          <w:rFonts w:hint="eastAsia"/>
          <w:lang w:eastAsia="zh-CN"/>
        </w:rPr>
        <w:t xml:space="preserve"> </w:t>
      </w:r>
      <w:r w:rsidRPr="000A0A5F">
        <w:t xml:space="preserve">structured data types </w:t>
      </w:r>
      <w:r w:rsidRPr="000A0A5F">
        <w:rPr>
          <w:rFonts w:hint="eastAsia"/>
          <w:lang w:eastAsia="zh-CN"/>
        </w:rPr>
        <w:t>shall</w:t>
      </w:r>
      <w:r w:rsidRPr="000A0A5F">
        <w:t xml:space="preserve"> contain attributes that are simple data types, structured data types, arrays (see below), maps (see below) or enumerations.</w:t>
      </w:r>
      <w:r w:rsidRPr="000A0A5F">
        <w:rPr>
          <w:rFonts w:hint="eastAsia"/>
          <w:lang w:eastAsia="zh-CN"/>
        </w:rPr>
        <w:t xml:space="preserve"> </w:t>
      </w:r>
    </w:p>
    <w:p w:rsidR="00CB0DD7" w:rsidRPr="000A0A5F" w:rsidRDefault="00CB0DD7">
      <w:pPr>
        <w:rPr>
          <w:lang w:val="en-US" w:eastAsia="zh-CN"/>
        </w:rPr>
      </w:pPr>
      <w:r w:rsidRPr="000A0A5F">
        <w:rPr>
          <w:lang w:val="en-US" w:eastAsia="zh-CN"/>
        </w:rPr>
        <w:t xml:space="preserve">An array </w:t>
      </w:r>
      <w:r w:rsidRPr="000A0A5F">
        <w:t xml:space="preserve">(see IETF RFC 8259 [40]) shall </w:t>
      </w:r>
      <w:r w:rsidRPr="000A0A5F">
        <w:rPr>
          <w:lang w:val="en-US" w:eastAsia="zh-CN"/>
        </w:rPr>
        <w:t>represent a list of values without keys and with significance in the order of sequence. All values shall be of the same type.</w:t>
      </w:r>
    </w:p>
    <w:p w:rsidR="00CB0DD7" w:rsidRPr="000A0A5F" w:rsidRDefault="00CB0DD7">
      <w:pPr>
        <w:rPr>
          <w:lang w:val="en-US" w:eastAsia="zh-CN"/>
        </w:rPr>
      </w:pPr>
      <w:r w:rsidRPr="000A0A5F">
        <w:rPr>
          <w:lang w:val="en-US" w:eastAsia="zh-CN"/>
        </w:rPr>
        <w:t xml:space="preserve">A map shall represent an </w:t>
      </w:r>
      <w:r w:rsidRPr="000A0A5F">
        <w:t xml:space="preserve">object (see IETF RFC 8259 [40]) </w:t>
      </w:r>
      <w:r w:rsidRPr="000A0A5F">
        <w:rPr>
          <w:lang w:eastAsia="zh-CN"/>
        </w:rPr>
        <w:t xml:space="preserve">with </w:t>
      </w:r>
      <w:r w:rsidRPr="000A0A5F">
        <w:rPr>
          <w:lang w:val="en-US" w:eastAsia="zh-CN"/>
        </w:rPr>
        <w:t>a list of key-value pairs (with no significance in the order of sequence), where all keys are of type string and shall be unique identifiers assigned by the application rather than by the schema, and where all values shall be of the same type.</w:t>
      </w:r>
    </w:p>
    <w:p w:rsidR="00CB0DD7" w:rsidRPr="000A0A5F" w:rsidRDefault="00CB0DD7">
      <w:pPr>
        <w:pStyle w:val="NO"/>
        <w:rPr>
          <w:lang w:val="en-US" w:eastAsia="zh-CN"/>
        </w:rPr>
      </w:pPr>
      <w:r w:rsidRPr="000A0A5F">
        <w:rPr>
          <w:lang w:val="en-US" w:eastAsia="zh-CN"/>
        </w:rPr>
        <w:t>NOTE 1:</w:t>
      </w:r>
      <w:r w:rsidRPr="000A0A5F">
        <w:rPr>
          <w:lang w:val="en-US" w:eastAsia="zh-CN"/>
        </w:rPr>
        <w:tab/>
        <w:t xml:space="preserve">Maps are supported by the </w:t>
      </w:r>
      <w:r w:rsidRPr="000A0A5F">
        <w:t xml:space="preserve">OpenAPI specification [27] as described at https://swagger.io/docs/specification/data-models/dictionaries/. </w:t>
      </w:r>
      <w:r w:rsidRPr="000A0A5F">
        <w:rPr>
          <w:lang w:val="en-US" w:eastAsia="zh-CN"/>
        </w:rPr>
        <w:t>Maps can enable a faster lookup of elements identified by some key in huge data structures compared to arrays that contain the key within the elements. Maps can also be used instead of arrays to modify individual elements when modification instructions of the PATCH method are compliant to IETF RFC 7396 [39].</w:t>
      </w:r>
    </w:p>
    <w:p w:rsidR="00CB0DD7" w:rsidRPr="000A0A5F" w:rsidRDefault="00CB0DD7">
      <w:r w:rsidRPr="000A0A5F">
        <w:t xml:space="preserve">Each structured data type </w:t>
      </w:r>
      <w:r w:rsidRPr="000A0A5F">
        <w:rPr>
          <w:rFonts w:hint="eastAsia"/>
          <w:lang w:eastAsia="zh-CN"/>
        </w:rPr>
        <w:t>shall</w:t>
      </w:r>
      <w:r w:rsidRPr="000A0A5F">
        <w:t xml:space="preserve"> be specified in a </w:t>
      </w:r>
      <w:r w:rsidRPr="000A0A5F">
        <w:rPr>
          <w:rFonts w:hint="eastAsia"/>
          <w:lang w:eastAsia="zh-CN"/>
        </w:rPr>
        <w:t xml:space="preserve">separate </w:t>
      </w:r>
      <w:r w:rsidRPr="000A0A5F">
        <w:t xml:space="preserve">clause as illustrated </w:t>
      </w:r>
      <w:r w:rsidRPr="000A0A5F">
        <w:rPr>
          <w:rFonts w:hint="eastAsia"/>
          <w:lang w:eastAsia="zh-CN"/>
        </w:rPr>
        <w:t xml:space="preserve">in </w:t>
      </w:r>
      <w:r w:rsidRPr="000A0A5F">
        <w:t>table 5.2.1.4-1.</w:t>
      </w:r>
    </w:p>
    <w:p w:rsidR="00CB0DD7" w:rsidRPr="000A0A5F" w:rsidRDefault="00CB0DD7">
      <w:pPr>
        <w:pStyle w:val="TH"/>
      </w:pPr>
      <w:r w:rsidRPr="000A0A5F">
        <w:rPr>
          <w:noProof/>
        </w:rPr>
        <w:t>Table </w:t>
      </w:r>
      <w:r w:rsidRPr="000A0A5F">
        <w:t xml:space="preserve">5.2.1.4-1: </w:t>
      </w:r>
      <w:r w:rsidRPr="000A0A5F">
        <w:rPr>
          <w:noProof/>
        </w:rPr>
        <w:t xml:space="preserve">Definition of type </w:t>
      </w:r>
      <w:r w:rsidRPr="000A0A5F">
        <w:t>&lt;Data type&gt;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694"/>
        <w:gridCol w:w="1417"/>
        <w:gridCol w:w="1134"/>
        <w:gridCol w:w="4359"/>
      </w:tblGrid>
      <w:tr w:rsidR="00CB0DD7" w:rsidRPr="000A0A5F" w:rsidTr="002B45A7">
        <w:trPr>
          <w:jc w:val="center"/>
        </w:trPr>
        <w:tc>
          <w:tcPr>
            <w:tcW w:w="2694" w:type="dxa"/>
            <w:shd w:val="clear" w:color="auto" w:fill="C0C0C0"/>
            <w:hideMark/>
          </w:tcPr>
          <w:p w:rsidR="00CB0DD7" w:rsidRPr="000A0A5F" w:rsidRDefault="00CB0DD7">
            <w:pPr>
              <w:pStyle w:val="TAH"/>
            </w:pPr>
            <w:r w:rsidRPr="000A0A5F">
              <w:t>Attribute name</w:t>
            </w:r>
          </w:p>
        </w:tc>
        <w:tc>
          <w:tcPr>
            <w:tcW w:w="1417" w:type="dxa"/>
            <w:shd w:val="clear" w:color="auto" w:fill="C0C0C0"/>
            <w:hideMark/>
          </w:tcPr>
          <w:p w:rsidR="00CB0DD7" w:rsidRPr="000A0A5F" w:rsidRDefault="00CB0DD7">
            <w:pPr>
              <w:pStyle w:val="TAH"/>
            </w:pPr>
            <w:r w:rsidRPr="000A0A5F">
              <w:t>Data type</w:t>
            </w:r>
          </w:p>
        </w:tc>
        <w:tc>
          <w:tcPr>
            <w:tcW w:w="1134" w:type="dxa"/>
            <w:shd w:val="clear" w:color="auto" w:fill="C0C0C0"/>
          </w:tcPr>
          <w:p w:rsidR="00CB0DD7" w:rsidRPr="000A0A5F" w:rsidRDefault="00CB0DD7">
            <w:pPr>
              <w:pStyle w:val="TAH"/>
              <w:jc w:val="left"/>
            </w:pPr>
            <w:r w:rsidRPr="000A0A5F">
              <w:t>Cardinality</w:t>
            </w:r>
          </w:p>
        </w:tc>
        <w:tc>
          <w:tcPr>
            <w:tcW w:w="4359" w:type="dxa"/>
            <w:shd w:val="clear" w:color="auto" w:fill="C0C0C0"/>
            <w:hideMark/>
          </w:tcPr>
          <w:p w:rsidR="00CB0DD7" w:rsidRPr="000A0A5F" w:rsidRDefault="00CB0DD7">
            <w:pPr>
              <w:pStyle w:val="TAH"/>
              <w:rPr>
                <w:rFonts w:cs="Arial"/>
                <w:szCs w:val="18"/>
              </w:rPr>
            </w:pPr>
            <w:r w:rsidRPr="000A0A5F">
              <w:rPr>
                <w:rFonts w:cs="Arial"/>
                <w:szCs w:val="18"/>
              </w:rPr>
              <w:t>Description</w:t>
            </w:r>
          </w:p>
        </w:tc>
      </w:tr>
      <w:tr w:rsidR="00CB0DD7" w:rsidRPr="000A0A5F" w:rsidTr="002B45A7">
        <w:trPr>
          <w:jc w:val="center"/>
        </w:trPr>
        <w:tc>
          <w:tcPr>
            <w:tcW w:w="2694" w:type="dxa"/>
          </w:tcPr>
          <w:p w:rsidR="00CB0DD7" w:rsidRPr="000A0A5F" w:rsidRDefault="00CB0DD7">
            <w:pPr>
              <w:pStyle w:val="TAL"/>
            </w:pPr>
            <w:r w:rsidRPr="000A0A5F">
              <w:t>&lt;</w:t>
            </w:r>
            <w:r w:rsidRPr="000A0A5F">
              <w:rPr>
                <w:i/>
              </w:rPr>
              <w:t>attribute name</w:t>
            </w:r>
            <w:r w:rsidRPr="000A0A5F">
              <w:t>&gt;</w:t>
            </w:r>
          </w:p>
        </w:tc>
        <w:tc>
          <w:tcPr>
            <w:tcW w:w="1417" w:type="dxa"/>
          </w:tcPr>
          <w:p w:rsidR="00CB0DD7" w:rsidRPr="000A0A5F" w:rsidRDefault="00CB0DD7">
            <w:pPr>
              <w:pStyle w:val="TAL"/>
            </w:pPr>
            <w:r w:rsidRPr="000A0A5F">
              <w:t>"</w:t>
            </w:r>
            <w:r w:rsidRPr="000A0A5F">
              <w:rPr>
                <w:i/>
              </w:rPr>
              <w:t>&lt;type&gt;</w:t>
            </w:r>
            <w:r w:rsidRPr="000A0A5F">
              <w:t>" or "array</w:t>
            </w:r>
            <w:r w:rsidRPr="000A0A5F">
              <w:rPr>
                <w:i/>
              </w:rPr>
              <w:t>(&lt;type&gt;</w:t>
            </w:r>
            <w:r w:rsidRPr="000A0A5F">
              <w:t>)" or "map</w:t>
            </w:r>
            <w:r w:rsidRPr="000A0A5F">
              <w:rPr>
                <w:i/>
              </w:rPr>
              <w:t>(&lt;type&gt;</w:t>
            </w:r>
            <w:r w:rsidRPr="000A0A5F">
              <w:t>)"</w:t>
            </w:r>
          </w:p>
        </w:tc>
        <w:tc>
          <w:tcPr>
            <w:tcW w:w="1134" w:type="dxa"/>
          </w:tcPr>
          <w:p w:rsidR="00CB0DD7" w:rsidRPr="000A0A5F" w:rsidRDefault="00CB0DD7">
            <w:pPr>
              <w:pStyle w:val="TAL"/>
            </w:pPr>
            <w:r w:rsidRPr="000A0A5F">
              <w:t>"0..1", "1", or "</w:t>
            </w:r>
            <w:r w:rsidRPr="000A0A5F">
              <w:rPr>
                <w:i/>
              </w:rPr>
              <w:t>M</w:t>
            </w:r>
            <w:r w:rsidRPr="000A0A5F">
              <w:t>..</w:t>
            </w:r>
            <w:r w:rsidRPr="000A0A5F">
              <w:rPr>
                <w:i/>
              </w:rPr>
              <w:t>N</w:t>
            </w:r>
            <w:r w:rsidRPr="000A0A5F">
              <w:t xml:space="preserve">", </w:t>
            </w:r>
          </w:p>
        </w:tc>
        <w:tc>
          <w:tcPr>
            <w:tcW w:w="4359" w:type="dxa"/>
          </w:tcPr>
          <w:p w:rsidR="00CB0DD7" w:rsidRPr="000A0A5F" w:rsidRDefault="00CB0DD7">
            <w:pPr>
              <w:pStyle w:val="TAL"/>
              <w:rPr>
                <w:rFonts w:cs="Arial"/>
                <w:szCs w:val="18"/>
              </w:rPr>
            </w:pPr>
            <w:r w:rsidRPr="000A0A5F">
              <w:t>&lt;only if applicable&gt;</w:t>
            </w:r>
          </w:p>
        </w:tc>
      </w:tr>
    </w:tbl>
    <w:p w:rsidR="00CB0DD7" w:rsidRPr="000A0A5F" w:rsidRDefault="00CB0DD7">
      <w:pPr>
        <w:spacing w:beforeLines="100" w:before="240"/>
      </w:pPr>
      <w:r w:rsidRPr="000A0A5F">
        <w:rPr>
          <w:b/>
        </w:rPr>
        <w:t>Attribute name</w:t>
      </w:r>
      <w:r w:rsidRPr="000A0A5F">
        <w:t>: Name of attributes that belong to the specified data type.</w:t>
      </w:r>
    </w:p>
    <w:p w:rsidR="00CB0DD7" w:rsidRPr="000A0A5F" w:rsidRDefault="00CB0DD7">
      <w:r w:rsidRPr="000A0A5F">
        <w:rPr>
          <w:b/>
        </w:rPr>
        <w:t>Data type</w:t>
      </w:r>
      <w:r w:rsidRPr="000A0A5F">
        <w:t xml:space="preserve">: </w:t>
      </w:r>
      <w:r w:rsidRPr="000A0A5F">
        <w:rPr>
          <w:lang w:val="en-US" w:eastAsia="zh-CN"/>
        </w:rPr>
        <w:t>Data type of the attribute. If the data type is indicated as "</w:t>
      </w:r>
      <w:r w:rsidRPr="000A0A5F">
        <w:rPr>
          <w:i/>
          <w:lang w:val="en-US" w:eastAsia="zh-CN"/>
        </w:rPr>
        <w:t>&lt;type&gt;</w:t>
      </w:r>
      <w:r w:rsidRPr="000A0A5F">
        <w:rPr>
          <w:lang w:val="en-US" w:eastAsia="zh-CN"/>
        </w:rPr>
        <w:t xml:space="preserve">", </w:t>
      </w:r>
      <w:r w:rsidRPr="000A0A5F">
        <w:rPr>
          <w:rFonts w:hint="eastAsia"/>
          <w:lang w:val="en-US" w:eastAsia="zh-CN"/>
        </w:rPr>
        <w:t>t</w:t>
      </w:r>
      <w:r w:rsidRPr="000A0A5F">
        <w:rPr>
          <w:lang w:val="en-US" w:eastAsia="zh-CN"/>
        </w:rPr>
        <w:t xml:space="preserve">he attribute shall be of data type </w:t>
      </w:r>
      <w:r w:rsidRPr="000A0A5F">
        <w:rPr>
          <w:i/>
          <w:lang w:val="en-US" w:eastAsia="zh-CN"/>
        </w:rPr>
        <w:t>&lt;type&gt;.</w:t>
      </w:r>
      <w:r w:rsidRPr="000A0A5F">
        <w:t xml:space="preserve"> </w:t>
      </w:r>
      <w:r w:rsidRPr="000A0A5F">
        <w:rPr>
          <w:lang w:val="en-US" w:eastAsia="zh-CN"/>
        </w:rPr>
        <w:t>If the data type is indicated as "array(</w:t>
      </w:r>
      <w:r w:rsidRPr="000A0A5F">
        <w:rPr>
          <w:i/>
          <w:lang w:val="en-US" w:eastAsia="zh-CN"/>
        </w:rPr>
        <w:t>&lt;type&gt;</w:t>
      </w:r>
      <w:r w:rsidRPr="000A0A5F">
        <w:rPr>
          <w:lang w:val="en-US" w:eastAsia="zh-CN"/>
        </w:rPr>
        <w:t xml:space="preserve">)", the attribute shall be an array </w:t>
      </w:r>
      <w:r w:rsidRPr="000A0A5F">
        <w:t xml:space="preserve">(see IETF RFC 8259 [40]) that contains elements of </w:t>
      </w:r>
      <w:r w:rsidRPr="000A0A5F">
        <w:rPr>
          <w:lang w:val="en-US" w:eastAsia="zh-CN"/>
        </w:rPr>
        <w:t xml:space="preserve">data type </w:t>
      </w:r>
      <w:r w:rsidRPr="000A0A5F">
        <w:rPr>
          <w:i/>
          <w:lang w:val="en-US" w:eastAsia="zh-CN"/>
        </w:rPr>
        <w:t>&lt;type&gt;</w:t>
      </w:r>
      <w:r w:rsidRPr="000A0A5F">
        <w:rPr>
          <w:lang w:val="en-US" w:eastAsia="zh-CN"/>
        </w:rPr>
        <w:t>. If the data type is indicated as "map (</w:t>
      </w:r>
      <w:r w:rsidRPr="000A0A5F">
        <w:rPr>
          <w:i/>
          <w:lang w:val="en-US" w:eastAsia="zh-CN"/>
        </w:rPr>
        <w:t>&lt;type&gt;</w:t>
      </w:r>
      <w:r w:rsidRPr="000A0A5F">
        <w:rPr>
          <w:lang w:val="en-US" w:eastAsia="zh-CN"/>
        </w:rPr>
        <w:t xml:space="preserve">)", the attribute shall be an object </w:t>
      </w:r>
      <w:r w:rsidRPr="000A0A5F">
        <w:t>(see IETF RFC 8259 [40])</w:t>
      </w:r>
      <w:r w:rsidRPr="000A0A5F">
        <w:rPr>
          <w:lang w:eastAsia="zh-CN"/>
        </w:rPr>
        <w:t xml:space="preserve"> encoding </w:t>
      </w:r>
      <w:r w:rsidRPr="000A0A5F">
        <w:rPr>
          <w:lang w:val="en-US" w:eastAsia="zh-CN"/>
        </w:rPr>
        <w:t xml:space="preserve">a map </w:t>
      </w:r>
      <w:r w:rsidRPr="000A0A5F">
        <w:t xml:space="preserve">(see OpenAPI specification [27]) that contains as values elements of </w:t>
      </w:r>
      <w:r w:rsidRPr="000A0A5F">
        <w:rPr>
          <w:lang w:val="en-US" w:eastAsia="zh-CN"/>
        </w:rPr>
        <w:t xml:space="preserve">data type </w:t>
      </w:r>
      <w:r w:rsidRPr="000A0A5F">
        <w:rPr>
          <w:i/>
          <w:lang w:val="en-US" w:eastAsia="zh-CN"/>
        </w:rPr>
        <w:t>&lt;type&gt;</w:t>
      </w:r>
      <w:r w:rsidRPr="000A0A5F">
        <w:rPr>
          <w:lang w:val="en-US" w:eastAsia="zh-CN"/>
        </w:rPr>
        <w:t xml:space="preserve">. </w:t>
      </w:r>
      <w:r w:rsidRPr="000A0A5F">
        <w:rPr>
          <w:i/>
          <w:lang w:val="en-US" w:eastAsia="zh-CN"/>
        </w:rPr>
        <w:t>&lt;type&gt;</w:t>
      </w:r>
      <w:r w:rsidRPr="000A0A5F">
        <w:rPr>
          <w:lang w:val="en-US" w:eastAsia="zh-CN"/>
        </w:rPr>
        <w:t xml:space="preserve"> can either be "integer", "number", "string" or "boolean" (as defined in the </w:t>
      </w:r>
      <w:r w:rsidRPr="000A0A5F">
        <w:t>OpenAPI specification [27]), or a data type defined in a 3GPP specification.</w:t>
      </w:r>
    </w:p>
    <w:p w:rsidR="00CB0DD7" w:rsidRPr="000A0A5F" w:rsidRDefault="00CB0DD7">
      <w:pPr>
        <w:rPr>
          <w:lang w:val="en-US" w:eastAsia="zh-CN"/>
        </w:rPr>
      </w:pPr>
      <w:r w:rsidRPr="000A0A5F">
        <w:rPr>
          <w:b/>
        </w:rPr>
        <w:t>Cardinality</w:t>
      </w:r>
      <w:r w:rsidRPr="000A0A5F">
        <w:t xml:space="preserve">: </w:t>
      </w:r>
      <w:r w:rsidRPr="000A0A5F">
        <w:rPr>
          <w:lang w:val="en-US" w:eastAsia="zh-CN"/>
        </w:rPr>
        <w:t>Defines the allowed number of occurrence of data type &lt;type&gt;. A cardinality of "M..N", is only allowed for data types "array(&lt;type&gt;)" and "map(&lt;type&gt;)" and indicates the number of elements within the array or map; the values M and N can either be the characters "M" and "N", respectively, or integer numbers with M being greater than or equal 0, and N being greater than 1 and M, For data type "&lt;type&gt;", the cardinality shall be set to "0..1" or "1". A lower boundary of "0" for the cardinality also indicates that the attribute is optional. A lower boundary of "0" for the cardinality indicates that the attribute is optional.</w:t>
      </w:r>
    </w:p>
    <w:p w:rsidR="00CB0DD7" w:rsidRPr="000A0A5F" w:rsidRDefault="00CB0DD7">
      <w:pPr>
        <w:pStyle w:val="NO"/>
        <w:rPr>
          <w:lang w:val="en-US" w:eastAsia="zh-CN"/>
        </w:rPr>
      </w:pPr>
      <w:r w:rsidRPr="000A0A5F">
        <w:rPr>
          <w:rFonts w:hint="eastAsia"/>
          <w:lang w:val="en-US" w:eastAsia="zh-CN"/>
        </w:rPr>
        <w:t>NOTE</w:t>
      </w:r>
      <w:r w:rsidRPr="000A0A5F">
        <w:rPr>
          <w:lang w:val="en-US" w:eastAsia="zh-CN"/>
        </w:rPr>
        <w:t> 2</w:t>
      </w:r>
      <w:r w:rsidRPr="000A0A5F">
        <w:rPr>
          <w:rFonts w:hint="eastAsia"/>
          <w:lang w:val="en-US" w:eastAsia="zh-CN"/>
        </w:rPr>
        <w:t>:</w:t>
      </w:r>
      <w:r w:rsidRPr="000A0A5F">
        <w:rPr>
          <w:rFonts w:hint="eastAsia"/>
          <w:lang w:val="en-US" w:eastAsia="zh-CN"/>
        </w:rPr>
        <w:tab/>
        <w:t xml:space="preserve">The </w:t>
      </w:r>
      <w:r w:rsidRPr="000A0A5F">
        <w:rPr>
          <w:lang w:val="en-US" w:eastAsia="zh-CN"/>
        </w:rPr>
        <w:t>"0..N" implies the array or map type of the attribute may be optional. If the attribute is present, the minimum number of elements is described in openAPI file</w:t>
      </w:r>
      <w:r w:rsidRPr="000A0A5F">
        <w:rPr>
          <w:rFonts w:hint="eastAsia"/>
          <w:lang w:val="en-US" w:eastAsia="zh-CN"/>
        </w:rPr>
        <w:t>.</w:t>
      </w:r>
    </w:p>
    <w:p w:rsidR="00CB0DD7" w:rsidRPr="000A0A5F" w:rsidRDefault="00CB0DD7">
      <w:pPr>
        <w:rPr>
          <w:lang w:val="en-US" w:eastAsia="zh-CN"/>
        </w:rPr>
      </w:pPr>
      <w:r w:rsidRPr="000A0A5F">
        <w:rPr>
          <w:b/>
          <w:lang w:val="en-US"/>
        </w:rPr>
        <w:t>Description</w:t>
      </w:r>
      <w:r w:rsidRPr="000A0A5F">
        <w:rPr>
          <w:lang w:val="en-US"/>
        </w:rPr>
        <w:t xml:space="preserve">: </w:t>
      </w:r>
      <w:r w:rsidRPr="000A0A5F">
        <w:rPr>
          <w:rFonts w:hint="eastAsia"/>
          <w:lang w:val="en-US" w:eastAsia="zh-CN"/>
        </w:rPr>
        <w:t>D</w:t>
      </w:r>
      <w:r w:rsidRPr="000A0A5F">
        <w:rPr>
          <w:lang w:val="en-US" w:eastAsia="zh-CN"/>
        </w:rPr>
        <w:t>escribes the meaning and use of the attribute and may contain normative statements.</w:t>
      </w:r>
    </w:p>
    <w:p w:rsidR="00CB0DD7" w:rsidRPr="000A0A5F" w:rsidRDefault="00CB0DD7">
      <w:pPr>
        <w:pStyle w:val="Heading3"/>
      </w:pPr>
      <w:bookmarkStart w:id="1321" w:name="_Toc11247276"/>
      <w:bookmarkStart w:id="1322" w:name="_Toc27044396"/>
      <w:bookmarkStart w:id="1323" w:name="_Toc36033438"/>
      <w:bookmarkStart w:id="1324" w:name="_Toc45131570"/>
      <w:bookmarkStart w:id="1325" w:name="_Toc49775855"/>
      <w:bookmarkStart w:id="1326" w:name="_Toc51746775"/>
      <w:bookmarkStart w:id="1327" w:name="_Toc66360317"/>
      <w:bookmarkStart w:id="1328" w:name="_Toc68104822"/>
      <w:bookmarkStart w:id="1329" w:name="_Toc74755451"/>
      <w:bookmarkStart w:id="1330" w:name="_Toc105674306"/>
      <w:bookmarkStart w:id="1331" w:name="_Toc130502340"/>
      <w:bookmarkStart w:id="1332" w:name="_Toc153625119"/>
      <w:r w:rsidRPr="000A0A5F">
        <w:t>5.2.2</w:t>
      </w:r>
      <w:r w:rsidRPr="000A0A5F">
        <w:tab/>
        <w:t>Usage of HTTP</w:t>
      </w:r>
      <w:bookmarkEnd w:id="1321"/>
      <w:bookmarkEnd w:id="1322"/>
      <w:bookmarkEnd w:id="1323"/>
      <w:bookmarkEnd w:id="1324"/>
      <w:bookmarkEnd w:id="1325"/>
      <w:bookmarkEnd w:id="1326"/>
      <w:bookmarkEnd w:id="1327"/>
      <w:bookmarkEnd w:id="1328"/>
      <w:bookmarkEnd w:id="1329"/>
      <w:bookmarkEnd w:id="1330"/>
      <w:bookmarkEnd w:id="1331"/>
      <w:bookmarkEnd w:id="1332"/>
    </w:p>
    <w:p w:rsidR="00CB0DD7" w:rsidRPr="000A0A5F" w:rsidRDefault="00CB0DD7">
      <w:pPr>
        <w:pStyle w:val="Heading4"/>
        <w:rPr>
          <w:lang w:eastAsia="zh-CN"/>
        </w:rPr>
      </w:pPr>
      <w:bookmarkStart w:id="1333" w:name="_Toc11247277"/>
      <w:bookmarkStart w:id="1334" w:name="_Toc27044397"/>
      <w:bookmarkStart w:id="1335" w:name="_Toc36033439"/>
      <w:bookmarkStart w:id="1336" w:name="_Toc45131571"/>
      <w:bookmarkStart w:id="1337" w:name="_Toc49775856"/>
      <w:bookmarkStart w:id="1338" w:name="_Toc51746776"/>
      <w:bookmarkStart w:id="1339" w:name="_Toc66360318"/>
      <w:bookmarkStart w:id="1340" w:name="_Toc68104823"/>
      <w:bookmarkStart w:id="1341" w:name="_Toc74755452"/>
      <w:bookmarkStart w:id="1342" w:name="_Toc105674307"/>
      <w:bookmarkStart w:id="1343" w:name="_Toc130502341"/>
      <w:bookmarkStart w:id="1344" w:name="_Toc153625120"/>
      <w:r w:rsidRPr="000A0A5F">
        <w:rPr>
          <w:lang w:eastAsia="zh-CN"/>
        </w:rPr>
        <w:t>5.2.2.1</w:t>
      </w:r>
      <w:r w:rsidRPr="000A0A5F">
        <w:rPr>
          <w:lang w:eastAsia="zh-CN"/>
        </w:rPr>
        <w:tab/>
        <w:t>General</w:t>
      </w:r>
      <w:bookmarkEnd w:id="1333"/>
      <w:bookmarkEnd w:id="1334"/>
      <w:bookmarkEnd w:id="1335"/>
      <w:bookmarkEnd w:id="1336"/>
      <w:bookmarkEnd w:id="1337"/>
      <w:bookmarkEnd w:id="1338"/>
      <w:bookmarkEnd w:id="1339"/>
      <w:bookmarkEnd w:id="1340"/>
      <w:bookmarkEnd w:id="1341"/>
      <w:bookmarkEnd w:id="1342"/>
      <w:bookmarkEnd w:id="1343"/>
      <w:bookmarkEnd w:id="1344"/>
    </w:p>
    <w:p w:rsidR="009805D1" w:rsidRPr="000A0A5F" w:rsidRDefault="009805D1" w:rsidP="009805D1">
      <w:bookmarkStart w:id="1345" w:name="_Toc11247278"/>
      <w:bookmarkStart w:id="1346" w:name="_Toc27044398"/>
      <w:bookmarkStart w:id="1347" w:name="_Toc36033440"/>
      <w:bookmarkStart w:id="1348" w:name="_Toc45131572"/>
      <w:bookmarkStart w:id="1349" w:name="_Toc49775857"/>
      <w:bookmarkStart w:id="1350" w:name="_Toc51746777"/>
      <w:bookmarkStart w:id="1351" w:name="_Toc66360319"/>
      <w:bookmarkStart w:id="1352" w:name="_Toc68104824"/>
      <w:bookmarkStart w:id="1353" w:name="_Toc74755453"/>
      <w:bookmarkStart w:id="1354" w:name="_Toc105674308"/>
      <w:bookmarkStart w:id="1355" w:name="_Toc130502342"/>
      <w:r w:rsidRPr="000A0A5F">
        <w:t>For T8 APIs, support of HTTP/1.1 (IETF RFC 9112 [16], IETF RFC </w:t>
      </w:r>
      <w:r w:rsidRPr="000A0A5F">
        <w:rPr>
          <w:lang w:val="en-US"/>
        </w:rPr>
        <w:t>9110</w:t>
      </w:r>
      <w:r w:rsidRPr="000A0A5F">
        <w:t> [17], IETF RFC 9111 [20]) over TLS is mandatory and support of HTTP/2 (</w:t>
      </w:r>
      <w:r w:rsidRPr="000A0A5F">
        <w:rPr>
          <w:lang w:val="en-US"/>
        </w:rPr>
        <w:t xml:space="preserve">IETF RFC 9113 [22]) </w:t>
      </w:r>
      <w:r w:rsidRPr="000A0A5F">
        <w:t xml:space="preserve">over TLS is recommended. </w:t>
      </w:r>
      <w:r w:rsidRPr="000A0A5F">
        <w:rPr>
          <w:rFonts w:eastAsia="Malgun Gothic"/>
        </w:rPr>
        <w:t xml:space="preserve">TLS shall be used </w:t>
      </w:r>
      <w:r w:rsidRPr="000A0A5F">
        <w:t xml:space="preserve">as specified </w:t>
      </w:r>
      <w:r w:rsidRPr="000A0A5F">
        <w:rPr>
          <w:rFonts w:hint="eastAsia"/>
          <w:lang w:eastAsia="zh-CN"/>
        </w:rPr>
        <w:t>in</w:t>
      </w:r>
      <w:r w:rsidRPr="000A0A5F">
        <w:rPr>
          <w:lang w:eastAsia="zh-CN"/>
        </w:rPr>
        <w:t xml:space="preserve"> clause 5.5 of</w:t>
      </w:r>
      <w:r w:rsidRPr="000A0A5F">
        <w:rPr>
          <w:rFonts w:hint="eastAsia"/>
          <w:lang w:eastAsia="zh-CN"/>
        </w:rPr>
        <w:t xml:space="preserve"> 3GPP TS 33.187 [</w:t>
      </w:r>
      <w:r w:rsidRPr="000A0A5F">
        <w:rPr>
          <w:lang w:eastAsia="zh-CN"/>
        </w:rPr>
        <w:t>35</w:t>
      </w:r>
      <w:r w:rsidRPr="000A0A5F">
        <w:rPr>
          <w:rFonts w:hint="eastAsia"/>
          <w:lang w:eastAsia="zh-CN"/>
        </w:rPr>
        <w:t>].</w:t>
      </w:r>
      <w:r w:rsidRPr="000A0A5F">
        <w:rPr>
          <w:lang w:eastAsia="zh-CN"/>
        </w:rPr>
        <w:t xml:space="preserve"> </w:t>
      </w:r>
      <w:r w:rsidRPr="000A0A5F">
        <w:t xml:space="preserve">An SCS/AS desiring to use HTTP/2 shall use the HTTP upgrade mechanism to negotiate applicable HTTP version as described in </w:t>
      </w:r>
      <w:r w:rsidRPr="000A0A5F">
        <w:rPr>
          <w:lang w:val="en-US"/>
        </w:rPr>
        <w:t>IETF RFC 9113 [22]</w:t>
      </w:r>
      <w:r w:rsidRPr="000A0A5F">
        <w:t>.</w:t>
      </w:r>
    </w:p>
    <w:p w:rsidR="00CB0DD7" w:rsidRPr="000A0A5F" w:rsidRDefault="00CB0DD7">
      <w:pPr>
        <w:pStyle w:val="Heading4"/>
        <w:rPr>
          <w:lang w:eastAsia="zh-CN"/>
        </w:rPr>
      </w:pPr>
      <w:bookmarkStart w:id="1356" w:name="_Toc153625121"/>
      <w:r w:rsidRPr="000A0A5F">
        <w:rPr>
          <w:lang w:eastAsia="zh-CN"/>
        </w:rPr>
        <w:t>5.2.2.2</w:t>
      </w:r>
      <w:r w:rsidRPr="000A0A5F">
        <w:rPr>
          <w:lang w:eastAsia="zh-CN"/>
        </w:rPr>
        <w:tab/>
        <w:t>Usage of the HTTP PATCH method</w:t>
      </w:r>
      <w:bookmarkEnd w:id="1345"/>
      <w:bookmarkEnd w:id="1346"/>
      <w:bookmarkEnd w:id="1347"/>
      <w:bookmarkEnd w:id="1348"/>
      <w:bookmarkEnd w:id="1349"/>
      <w:bookmarkEnd w:id="1350"/>
      <w:bookmarkEnd w:id="1351"/>
      <w:bookmarkEnd w:id="1352"/>
      <w:bookmarkEnd w:id="1353"/>
      <w:bookmarkEnd w:id="1354"/>
      <w:bookmarkEnd w:id="1355"/>
      <w:bookmarkEnd w:id="1356"/>
    </w:p>
    <w:p w:rsidR="00CB0DD7" w:rsidRPr="000A0A5F" w:rsidRDefault="00CB0DD7">
      <w:r w:rsidRPr="000A0A5F">
        <w:rPr>
          <w:lang w:val="en-US"/>
        </w:rPr>
        <w:t xml:space="preserve">The HTTP PATCH method, as defined in </w:t>
      </w:r>
      <w:r w:rsidRPr="000A0A5F">
        <w:t>IETF RFC 5789 [38], allows for a partial update of previously sent data, e.g. resources. For a complete replacement of previously sent data, the HTTP PUT method is used. It is defined separately for each resource whether the HTTP PUT and/or the HTTP PATCH are applicable.</w:t>
      </w:r>
    </w:p>
    <w:p w:rsidR="00687AC5" w:rsidRPr="000A0A5F" w:rsidRDefault="00CB0DD7" w:rsidP="00687AC5">
      <w:r w:rsidRPr="000A0A5F">
        <w:t>If the HTTP PATCH method is used</w:t>
      </w:r>
      <w:r w:rsidR="00687AC5" w:rsidRPr="000A0A5F">
        <w:t>:</w:t>
      </w:r>
    </w:p>
    <w:p w:rsidR="00687AC5" w:rsidRPr="000A0A5F" w:rsidRDefault="00687AC5" w:rsidP="00590561">
      <w:pPr>
        <w:pStyle w:val="B10"/>
      </w:pPr>
      <w:r w:rsidRPr="000A0A5F">
        <w:t>-</w:t>
      </w:r>
      <w:r w:rsidRPr="000A0A5F">
        <w:tab/>
        <w:t>if no modification of individual elements within an array needs to be supported</w:t>
      </w:r>
      <w:r w:rsidR="00CB0DD7" w:rsidRPr="000A0A5F">
        <w:t>, the JSON bodies within the PATCH request shall be encoded according to "JSON Merge Patch", as defined in IETF RFC 7396 [39]</w:t>
      </w:r>
      <w:r w:rsidRPr="000A0A5F">
        <w:t>; or</w:t>
      </w:r>
    </w:p>
    <w:p w:rsidR="00CB0DD7" w:rsidRPr="000A0A5F" w:rsidRDefault="00687AC5" w:rsidP="00590561">
      <w:pPr>
        <w:pStyle w:val="B10"/>
      </w:pPr>
      <w:r w:rsidRPr="000A0A5F">
        <w:t>-</w:t>
      </w:r>
      <w:r w:rsidRPr="000A0A5F">
        <w:tab/>
        <w:t>if a modification of individual elements within an array needs to be supported, the "JSON Patch" encoding of changes defined in IETF RFC 6902 [67] shall be used</w:t>
      </w:r>
      <w:r w:rsidR="00CB0DD7" w:rsidRPr="000A0A5F">
        <w:t>.</w:t>
      </w:r>
    </w:p>
    <w:p w:rsidR="00CB0DD7" w:rsidRPr="000A0A5F" w:rsidRDefault="00CB0DD7">
      <w:pPr>
        <w:pStyle w:val="Heading3"/>
      </w:pPr>
      <w:bookmarkStart w:id="1357" w:name="_Toc11247279"/>
      <w:bookmarkStart w:id="1358" w:name="_Toc27044399"/>
      <w:bookmarkStart w:id="1359" w:name="_Toc36033441"/>
      <w:bookmarkStart w:id="1360" w:name="_Toc45131573"/>
      <w:bookmarkStart w:id="1361" w:name="_Toc49775858"/>
      <w:bookmarkStart w:id="1362" w:name="_Toc51746778"/>
      <w:bookmarkStart w:id="1363" w:name="_Toc66360320"/>
      <w:bookmarkStart w:id="1364" w:name="_Toc68104825"/>
      <w:bookmarkStart w:id="1365" w:name="_Toc74755454"/>
      <w:bookmarkStart w:id="1366" w:name="_Toc105674309"/>
      <w:bookmarkStart w:id="1367" w:name="_Toc130502343"/>
      <w:bookmarkStart w:id="1368" w:name="_Toc153625122"/>
      <w:r w:rsidRPr="000A0A5F">
        <w:t>5.2.3</w:t>
      </w:r>
      <w:r w:rsidRPr="000A0A5F">
        <w:tab/>
        <w:t>Content type</w:t>
      </w:r>
      <w:bookmarkEnd w:id="1357"/>
      <w:bookmarkEnd w:id="1358"/>
      <w:bookmarkEnd w:id="1359"/>
      <w:bookmarkEnd w:id="1360"/>
      <w:bookmarkEnd w:id="1361"/>
      <w:bookmarkEnd w:id="1362"/>
      <w:bookmarkEnd w:id="1363"/>
      <w:bookmarkEnd w:id="1364"/>
      <w:bookmarkEnd w:id="1365"/>
      <w:bookmarkEnd w:id="1366"/>
      <w:bookmarkEnd w:id="1367"/>
      <w:bookmarkEnd w:id="1368"/>
    </w:p>
    <w:p w:rsidR="00CB0DD7" w:rsidRPr="000A0A5F" w:rsidRDefault="00CB0DD7">
      <w:r w:rsidRPr="000A0A5F">
        <w:t xml:space="preserve">The bodies of HTTP request and successful HTTP responses shall be encoded in JSON </w:t>
      </w:r>
      <w:r w:rsidRPr="000A0A5F">
        <w:rPr>
          <w:lang w:eastAsia="zh-CN"/>
        </w:rPr>
        <w:t>format</w:t>
      </w:r>
      <w:r w:rsidRPr="000A0A5F">
        <w:t xml:space="preserve"> (see IETF RFC 8259 [5]). </w:t>
      </w:r>
    </w:p>
    <w:p w:rsidR="00CB0DD7" w:rsidRPr="000A0A5F" w:rsidRDefault="00CB0DD7">
      <w:pPr>
        <w:rPr>
          <w:lang w:eastAsia="zh-CN"/>
        </w:rPr>
      </w:pPr>
      <w:r w:rsidRPr="000A0A5F">
        <w:rPr>
          <w:lang w:eastAsia="zh-CN"/>
        </w:rPr>
        <w:t xml:space="preserve">The MIME media type that shall be used within the related Content-Type header field is </w:t>
      </w:r>
      <w:r w:rsidRPr="000A0A5F">
        <w:t>"</w:t>
      </w:r>
      <w:r w:rsidRPr="000A0A5F">
        <w:rPr>
          <w:lang w:eastAsia="zh-CN"/>
        </w:rPr>
        <w:t>application/json</w:t>
      </w:r>
      <w:r w:rsidRPr="000A0A5F">
        <w:t>"</w:t>
      </w:r>
      <w:r w:rsidRPr="000A0A5F">
        <w:rPr>
          <w:lang w:eastAsia="zh-CN"/>
        </w:rPr>
        <w:t>, as defined in IETF</w:t>
      </w:r>
      <w:r w:rsidRPr="000A0A5F">
        <w:rPr>
          <w:lang w:val="en-US" w:eastAsia="zh-CN"/>
        </w:rPr>
        <w:t> </w:t>
      </w:r>
      <w:r w:rsidRPr="000A0A5F">
        <w:rPr>
          <w:lang w:eastAsia="zh-CN"/>
        </w:rPr>
        <w:t>RFC</w:t>
      </w:r>
      <w:r w:rsidRPr="000A0A5F">
        <w:rPr>
          <w:lang w:val="en-US" w:eastAsia="zh-CN"/>
        </w:rPr>
        <w:t> </w:t>
      </w:r>
      <w:r w:rsidRPr="000A0A5F">
        <w:rPr>
          <w:lang w:eastAsia="zh-CN"/>
        </w:rPr>
        <w:t>8259</w:t>
      </w:r>
      <w:r w:rsidRPr="000A0A5F">
        <w:rPr>
          <w:lang w:val="en-US" w:eastAsia="zh-CN"/>
        </w:rPr>
        <w:t> </w:t>
      </w:r>
      <w:r w:rsidRPr="000A0A5F">
        <w:rPr>
          <w:lang w:eastAsia="zh-CN"/>
        </w:rPr>
        <w:t>[5].</w:t>
      </w:r>
    </w:p>
    <w:p w:rsidR="00687AC5" w:rsidRPr="000A0A5F" w:rsidRDefault="00CB0DD7" w:rsidP="00687AC5">
      <w:r w:rsidRPr="000A0A5F">
        <w:t>JSON object used in the HTTP PATCH request shall be encoded according to</w:t>
      </w:r>
      <w:r w:rsidR="00687AC5" w:rsidRPr="000A0A5F">
        <w:t>:</w:t>
      </w:r>
    </w:p>
    <w:p w:rsidR="00687AC5" w:rsidRPr="000A0A5F" w:rsidRDefault="00687AC5" w:rsidP="00590561">
      <w:pPr>
        <w:pStyle w:val="B10"/>
      </w:pPr>
      <w:r w:rsidRPr="000A0A5F">
        <w:t>-</w:t>
      </w:r>
      <w:r w:rsidRPr="000A0A5F">
        <w:tab/>
      </w:r>
      <w:r w:rsidR="00CB0DD7" w:rsidRPr="000A0A5F">
        <w:t>"JSON Merge Patch" and shall be signalled by the content type "application/merge-patch+json", as defined in IETF RFC 7396 [39]</w:t>
      </w:r>
      <w:r w:rsidRPr="000A0A5F">
        <w:t>; or</w:t>
      </w:r>
    </w:p>
    <w:p w:rsidR="00CB0DD7" w:rsidRPr="000A0A5F" w:rsidRDefault="00687AC5" w:rsidP="00590561">
      <w:pPr>
        <w:pStyle w:val="B10"/>
      </w:pPr>
      <w:r w:rsidRPr="000A0A5F">
        <w:t>-</w:t>
      </w:r>
      <w:r w:rsidRPr="000A0A5F">
        <w:tab/>
        <w:t>"JSON Patch" and shall be signalled by the content type "application/json-patch+json", as defined in IETF RFC 6902 [67]</w:t>
      </w:r>
      <w:r w:rsidR="00CB0DD7" w:rsidRPr="000A0A5F">
        <w:t>.</w:t>
      </w:r>
    </w:p>
    <w:p w:rsidR="00CB0DD7" w:rsidRPr="000A0A5F" w:rsidRDefault="00CB0DD7">
      <w:r w:rsidRPr="000A0A5F">
        <w:t xml:space="preserve">"Problem Details" JSON object shall be used to indicate </w:t>
      </w:r>
      <w:r w:rsidRPr="000A0A5F">
        <w:rPr>
          <w:lang w:eastAsia="fr-FR"/>
        </w:rPr>
        <w:t xml:space="preserve">additional details of the error </w:t>
      </w:r>
      <w:r w:rsidRPr="000A0A5F">
        <w:t xml:space="preserve">in a HTTP response body and shall be signalled by the content type "application/problem+json", </w:t>
      </w:r>
      <w:r w:rsidR="00C520FB" w:rsidRPr="000A0A5F">
        <w:t>as defined in IETF RFC 9457 [8].</w:t>
      </w:r>
    </w:p>
    <w:p w:rsidR="00CB0DD7" w:rsidRPr="000A0A5F" w:rsidRDefault="00CB0DD7">
      <w:pPr>
        <w:pStyle w:val="NO"/>
      </w:pPr>
      <w:r w:rsidRPr="000A0A5F">
        <w:t>NOTE:</w:t>
      </w:r>
      <w:r w:rsidRPr="000A0A5F">
        <w:tab/>
        <w:t>This release only supports the content type JSON.</w:t>
      </w:r>
    </w:p>
    <w:p w:rsidR="00CB0DD7" w:rsidRPr="000A0A5F" w:rsidRDefault="00CB0DD7">
      <w:pPr>
        <w:pStyle w:val="Heading3"/>
      </w:pPr>
      <w:bookmarkStart w:id="1369" w:name="_Toc11247280"/>
      <w:bookmarkStart w:id="1370" w:name="_Toc27044400"/>
      <w:bookmarkStart w:id="1371" w:name="_Toc36033442"/>
      <w:bookmarkStart w:id="1372" w:name="_Toc45131574"/>
      <w:bookmarkStart w:id="1373" w:name="_Toc49775859"/>
      <w:bookmarkStart w:id="1374" w:name="_Toc51746779"/>
      <w:bookmarkStart w:id="1375" w:name="_Toc66360321"/>
      <w:bookmarkStart w:id="1376" w:name="_Toc68104826"/>
      <w:bookmarkStart w:id="1377" w:name="_Toc74755455"/>
      <w:bookmarkStart w:id="1378" w:name="_Toc105674310"/>
      <w:bookmarkStart w:id="1379" w:name="_Toc130502344"/>
      <w:bookmarkStart w:id="1380" w:name="_Toc153625123"/>
      <w:r w:rsidRPr="000A0A5F">
        <w:t>5.2.4</w:t>
      </w:r>
      <w:r w:rsidRPr="000A0A5F">
        <w:tab/>
        <w:t>URI structure</w:t>
      </w:r>
      <w:bookmarkEnd w:id="1369"/>
      <w:bookmarkEnd w:id="1370"/>
      <w:bookmarkEnd w:id="1371"/>
      <w:bookmarkEnd w:id="1372"/>
      <w:bookmarkEnd w:id="1373"/>
      <w:bookmarkEnd w:id="1374"/>
      <w:bookmarkEnd w:id="1375"/>
      <w:bookmarkEnd w:id="1376"/>
      <w:bookmarkEnd w:id="1377"/>
      <w:bookmarkEnd w:id="1378"/>
      <w:bookmarkEnd w:id="1379"/>
      <w:bookmarkEnd w:id="1380"/>
    </w:p>
    <w:p w:rsidR="006C1282" w:rsidRPr="000A0A5F" w:rsidRDefault="006C1282" w:rsidP="006C1282">
      <w:pPr>
        <w:pStyle w:val="Heading4"/>
      </w:pPr>
      <w:bookmarkStart w:id="1381" w:name="_Toc19702489"/>
      <w:bookmarkStart w:id="1382" w:name="_Toc27751650"/>
      <w:bookmarkStart w:id="1383" w:name="_Toc35971736"/>
      <w:bookmarkStart w:id="1384" w:name="_Toc35975985"/>
      <w:bookmarkStart w:id="1385" w:name="_Toc44849442"/>
      <w:bookmarkStart w:id="1386" w:name="_Toc51853083"/>
      <w:bookmarkStart w:id="1387" w:name="_Toc51859756"/>
      <w:bookmarkStart w:id="1388" w:name="_Toc106914575"/>
      <w:bookmarkStart w:id="1389" w:name="_Toc130502345"/>
      <w:bookmarkStart w:id="1390" w:name="_Toc153625124"/>
      <w:r w:rsidRPr="000A0A5F">
        <w:t>5.2.4.1</w:t>
      </w:r>
      <w:r w:rsidRPr="000A0A5F">
        <w:tab/>
      </w:r>
      <w:bookmarkEnd w:id="1381"/>
      <w:bookmarkEnd w:id="1382"/>
      <w:bookmarkEnd w:id="1383"/>
      <w:bookmarkEnd w:id="1384"/>
      <w:bookmarkEnd w:id="1385"/>
      <w:bookmarkEnd w:id="1386"/>
      <w:bookmarkEnd w:id="1387"/>
      <w:bookmarkEnd w:id="1388"/>
      <w:r w:rsidRPr="000A0A5F">
        <w:t>Resource URI structure</w:t>
      </w:r>
      <w:bookmarkEnd w:id="1389"/>
      <w:bookmarkEnd w:id="1390"/>
    </w:p>
    <w:p w:rsidR="006C1282" w:rsidRPr="000A0A5F" w:rsidRDefault="006C1282" w:rsidP="006C1282">
      <w:r w:rsidRPr="000A0A5F">
        <w:t>Resources are either individual resources, or structured resources that can contain child resources. It is recommended to design each resource following one of the archetypes provided in the Annex C of 3GPP TS 29.501 [49].</w:t>
      </w:r>
    </w:p>
    <w:p w:rsidR="00CB0DD7" w:rsidRPr="000A0A5F" w:rsidRDefault="00CB0DD7">
      <w:r w:rsidRPr="000A0A5F">
        <w:t>All API URIs of T8 APIs shall be:</w:t>
      </w:r>
    </w:p>
    <w:p w:rsidR="00CB0DD7" w:rsidRPr="000A0A5F" w:rsidRDefault="00CB0DD7">
      <w:pPr>
        <w:pStyle w:val="B1"/>
        <w:numPr>
          <w:ilvl w:val="0"/>
          <w:numId w:val="0"/>
        </w:numPr>
        <w:ind w:left="737"/>
        <w:rPr>
          <w:b/>
        </w:rPr>
      </w:pPr>
      <w:r w:rsidRPr="000A0A5F">
        <w:rPr>
          <w:b/>
        </w:rPr>
        <w:t>{apiRoot}/&lt;apiName&gt;/&lt;apiVersion&gt;</w:t>
      </w:r>
    </w:p>
    <w:p w:rsidR="00CB0DD7" w:rsidRPr="000A0A5F" w:rsidRDefault="00CB0DD7">
      <w:r w:rsidRPr="000A0A5F">
        <w:t xml:space="preserve">"apiRoot" is configured by means outside the scope of the present document. "apiName" and "apiVersion" shall be set dependent on the API, as defined in the corresponding clauses below. All resource URIs in the clauses below are defined relative to the above root API URI. </w:t>
      </w:r>
    </w:p>
    <w:p w:rsidR="00CB0DD7" w:rsidRPr="000A0A5F" w:rsidRDefault="00CB0DD7">
      <w:pPr>
        <w:pStyle w:val="NO"/>
      </w:pPr>
      <w:r w:rsidRPr="000A0A5F">
        <w:t>NOTE 1:</w:t>
      </w:r>
      <w:r w:rsidRPr="000A0A5F">
        <w:tab/>
        <w:t>The "apiVersion" will only be increased if the new API version contains not backward compatible changes. Otherwise, the supported feature mechanism defined in clause</w:t>
      </w:r>
      <w:r w:rsidRPr="000A0A5F">
        <w:rPr>
          <w:rFonts w:ascii="Segoe UI Symbol" w:hAnsi="Segoe UI Symbol"/>
        </w:rPr>
        <w:t> </w:t>
      </w:r>
      <w:r w:rsidRPr="000A0A5F">
        <w:t>5.2.7 can instead be used to negotiate extensions.</w:t>
      </w:r>
    </w:p>
    <w:p w:rsidR="00CB0DD7" w:rsidRPr="000A0A5F" w:rsidRDefault="00CB0DD7">
      <w:pPr>
        <w:pStyle w:val="NO"/>
      </w:pPr>
      <w:r w:rsidRPr="000A0A5F">
        <w:t>NOTE 2:</w:t>
      </w:r>
      <w:r w:rsidRPr="000A0A5F">
        <w:tab/>
        <w:t xml:space="preserve">A different root structure can be used when the Resource URI is preconfigured in the SCS/AS. </w:t>
      </w:r>
    </w:p>
    <w:p w:rsidR="00CB0DD7" w:rsidRPr="000A0A5F" w:rsidRDefault="00CB0DD7">
      <w:r w:rsidRPr="000A0A5F">
        <w:t>The root structure may be followed by "apiSpecificSuffixes" that are dependent on the API and are defined separately for each API as resource URI where they apply:</w:t>
      </w:r>
    </w:p>
    <w:p w:rsidR="00CB0DD7" w:rsidRPr="000A0A5F" w:rsidRDefault="00CB0DD7">
      <w:pPr>
        <w:pStyle w:val="B1"/>
        <w:numPr>
          <w:ilvl w:val="0"/>
          <w:numId w:val="0"/>
        </w:numPr>
        <w:ind w:left="737"/>
        <w:rPr>
          <w:b/>
        </w:rPr>
      </w:pPr>
      <w:r w:rsidRPr="000A0A5F">
        <w:rPr>
          <w:b/>
        </w:rPr>
        <w:t>{apiRoot}/&lt;apiName&gt;/&lt;apiVersion&gt;/&lt;apiSpecificSuffixes&gt;</w:t>
      </w:r>
    </w:p>
    <w:p w:rsidR="00AD5724" w:rsidRPr="000A0A5F" w:rsidRDefault="00AD5724" w:rsidP="00AD5724">
      <w:bookmarkStart w:id="1391" w:name="_Toc11247281"/>
      <w:bookmarkStart w:id="1392" w:name="_Toc27044401"/>
      <w:bookmarkStart w:id="1393" w:name="_Toc36033443"/>
      <w:bookmarkStart w:id="1394" w:name="_Toc45131575"/>
      <w:bookmarkStart w:id="1395" w:name="_Toc49775860"/>
      <w:bookmarkStart w:id="1396" w:name="_Toc51746780"/>
      <w:bookmarkStart w:id="1397" w:name="_Toc66360322"/>
      <w:bookmarkStart w:id="1398" w:name="_Toc68104827"/>
      <w:bookmarkStart w:id="1399" w:name="_Toc74755456"/>
      <w:r w:rsidRPr="000A0A5F">
        <w:t>The naming conventions defined in clause 5.1.3 of 3GPP TS 29.501 [49] shall apply.</w:t>
      </w:r>
    </w:p>
    <w:p w:rsidR="006C1282" w:rsidRPr="000A0A5F" w:rsidRDefault="006C1282" w:rsidP="006C1282">
      <w:pPr>
        <w:pStyle w:val="Heading4"/>
      </w:pPr>
      <w:bookmarkStart w:id="1400" w:name="_Toc130502346"/>
      <w:bookmarkStart w:id="1401" w:name="_Toc153625125"/>
      <w:r w:rsidRPr="000A0A5F">
        <w:t>5.2.4.2</w:t>
      </w:r>
      <w:r w:rsidRPr="000A0A5F">
        <w:tab/>
        <w:t>Custom operations URI structure</w:t>
      </w:r>
      <w:bookmarkEnd w:id="1400"/>
      <w:bookmarkEnd w:id="1401"/>
    </w:p>
    <w:p w:rsidR="006C1282" w:rsidRPr="000A0A5F" w:rsidRDefault="006C1282" w:rsidP="006C1282">
      <w:r w:rsidRPr="000A0A5F">
        <w:t>The URI of a custom operation which is associated with a resource shall have the following structure:</w:t>
      </w:r>
    </w:p>
    <w:p w:rsidR="006C1282" w:rsidRPr="000A0A5F" w:rsidRDefault="006C1282" w:rsidP="006C1282">
      <w:pPr>
        <w:pStyle w:val="B10"/>
        <w:rPr>
          <w:b/>
        </w:rPr>
      </w:pPr>
      <w:r w:rsidRPr="000A0A5F">
        <w:rPr>
          <w:b/>
        </w:rPr>
        <w:t>{apiRoot}/&lt;apiName&gt;/&lt;apiVersion&gt;/&lt;apiSpecificSuffixes&gt;/&lt;custOpName&gt;</w:t>
      </w:r>
    </w:p>
    <w:p w:rsidR="006C1282" w:rsidRPr="000A0A5F" w:rsidRDefault="006C1282" w:rsidP="006C1282">
      <w:r w:rsidRPr="000A0A5F">
        <w:t>Custom operations can also be associated with the service instead of a resource. The URI of a custom operation which is not associated with a resource shall have the following structure:</w:t>
      </w:r>
    </w:p>
    <w:p w:rsidR="006C1282" w:rsidRPr="000A0A5F" w:rsidRDefault="006C1282" w:rsidP="006C1282">
      <w:pPr>
        <w:pStyle w:val="B10"/>
        <w:rPr>
          <w:b/>
          <w:lang w:eastAsia="zh-CN"/>
        </w:rPr>
      </w:pPr>
      <w:r w:rsidRPr="000A0A5F">
        <w:rPr>
          <w:b/>
        </w:rPr>
        <w:t>{apiRoot}/&lt;apiName&gt;/&lt;apiVersion&gt;/&lt;custOpName</w:t>
      </w:r>
      <w:r w:rsidRPr="000A0A5F">
        <w:rPr>
          <w:rFonts w:hint="eastAsia"/>
          <w:b/>
          <w:lang w:eastAsia="zh-CN"/>
        </w:rPr>
        <w:t>&gt;</w:t>
      </w:r>
    </w:p>
    <w:p w:rsidR="006C1282" w:rsidRPr="000A0A5F" w:rsidRDefault="006C1282" w:rsidP="006C1282">
      <w:r w:rsidRPr="000A0A5F">
        <w:t>In the above URI structures, "apiRoot", "apiName", "apiVersion" and "apiSpecificSuffixes" are as defined in clause 5.2.4.1 and "custOpName" represents the name of the custom operation as defined in clause 5.1.3.2 of 3GPP TS 29.501 [49].</w:t>
      </w:r>
    </w:p>
    <w:p w:rsidR="006C1282" w:rsidRPr="000A0A5F" w:rsidRDefault="006C1282" w:rsidP="006C1282">
      <w:pPr>
        <w:pStyle w:val="Heading4"/>
      </w:pPr>
      <w:bookmarkStart w:id="1402" w:name="_Toc130502347"/>
      <w:bookmarkStart w:id="1403" w:name="_Toc153625126"/>
      <w:r w:rsidRPr="000A0A5F">
        <w:t>5.2.4.3</w:t>
      </w:r>
      <w:r w:rsidRPr="000A0A5F">
        <w:tab/>
        <w:t>Callback URI structure</w:t>
      </w:r>
      <w:bookmarkEnd w:id="1402"/>
      <w:bookmarkEnd w:id="1403"/>
    </w:p>
    <w:p w:rsidR="006C1282" w:rsidRPr="000A0A5F" w:rsidRDefault="006C1282" w:rsidP="006C1282">
      <w:r w:rsidRPr="000A0A5F">
        <w:rPr>
          <w:lang w:val="en-US"/>
        </w:rPr>
        <w:t xml:space="preserve">The purpose of the callback URI is to enable an HTTP client (the </w:t>
      </w:r>
      <w:r w:rsidRPr="000A0A5F">
        <w:rPr>
          <w:noProof/>
          <w:lang w:eastAsia="zh-CN"/>
        </w:rPr>
        <w:t>SCS/AS or SCEF</w:t>
      </w:r>
      <w:r w:rsidRPr="000A0A5F">
        <w:rPr>
          <w:lang w:val="en-US"/>
        </w:rPr>
        <w:t xml:space="preserve">) to provide the URI to be used by an HTTP server (the SCEF or </w:t>
      </w:r>
      <w:r w:rsidRPr="000A0A5F">
        <w:rPr>
          <w:noProof/>
          <w:lang w:eastAsia="zh-CN"/>
        </w:rPr>
        <w:t>SCS/AS</w:t>
      </w:r>
      <w:r w:rsidRPr="000A0A5F">
        <w:rPr>
          <w:lang w:val="en-US"/>
        </w:rPr>
        <w:t>) to send notifications or callback requests.</w:t>
      </w:r>
    </w:p>
    <w:p w:rsidR="006C1282" w:rsidRPr="000A0A5F" w:rsidRDefault="006C1282" w:rsidP="006C1282">
      <w:r w:rsidRPr="000A0A5F">
        <w:rPr>
          <w:lang w:val="en-US"/>
        </w:rPr>
        <w:t>The callback URI shall be in the form of an absolute URI as defined in clause 4.3 of IETF RFC</w:t>
      </w:r>
      <w:r w:rsidRPr="000A0A5F">
        <w:t> 3986 [7], including an authority, and excluding any query component, any fragment component and any userinfo subcomponent.</w:t>
      </w:r>
    </w:p>
    <w:p w:rsidR="006C1282" w:rsidRPr="000A0A5F" w:rsidRDefault="006C1282" w:rsidP="006C1282">
      <w:r w:rsidRPr="000A0A5F">
        <w:t>Therefore, a callback URI consists of the following components, specified with ABNF syntax (see IETF RFC 5234 [69]):</w:t>
      </w:r>
    </w:p>
    <w:p w:rsidR="006C1282" w:rsidRPr="000A0A5F" w:rsidRDefault="006C1282" w:rsidP="006C1282">
      <w:r w:rsidRPr="000A0A5F">
        <w:t>URI = scheme ":" "//" host [ ":" port ] / path</w:t>
      </w:r>
    </w:p>
    <w:p w:rsidR="006C1282" w:rsidRPr="000A0A5F" w:rsidRDefault="006C1282" w:rsidP="00AD5724">
      <w:r w:rsidRPr="000A0A5F">
        <w:t>Where 'host' is either an FQDN or an IP address and the 'path' is a path to an HTTP client (</w:t>
      </w:r>
      <w:r w:rsidRPr="000A0A5F">
        <w:rPr>
          <w:lang w:val="en-US"/>
        </w:rPr>
        <w:t xml:space="preserve">the </w:t>
      </w:r>
      <w:r w:rsidRPr="000A0A5F">
        <w:rPr>
          <w:noProof/>
          <w:lang w:eastAsia="zh-CN"/>
        </w:rPr>
        <w:t>SCS/AS or SCEF</w:t>
      </w:r>
      <w:r w:rsidRPr="000A0A5F">
        <w:t>) resource.</w:t>
      </w:r>
    </w:p>
    <w:p w:rsidR="00CB0DD7" w:rsidRPr="000A0A5F" w:rsidRDefault="00CB0DD7">
      <w:pPr>
        <w:pStyle w:val="Heading3"/>
      </w:pPr>
      <w:bookmarkStart w:id="1404" w:name="_Toc105674311"/>
      <w:bookmarkStart w:id="1405" w:name="_Toc130502348"/>
      <w:bookmarkStart w:id="1406" w:name="_Toc153625127"/>
      <w:r w:rsidRPr="000A0A5F">
        <w:t>5.2.5</w:t>
      </w:r>
      <w:r w:rsidRPr="000A0A5F">
        <w:tab/>
        <w:t>Notifications</w:t>
      </w:r>
      <w:bookmarkEnd w:id="1391"/>
      <w:bookmarkEnd w:id="1392"/>
      <w:bookmarkEnd w:id="1393"/>
      <w:bookmarkEnd w:id="1394"/>
      <w:bookmarkEnd w:id="1395"/>
      <w:bookmarkEnd w:id="1396"/>
      <w:bookmarkEnd w:id="1397"/>
      <w:bookmarkEnd w:id="1398"/>
      <w:bookmarkEnd w:id="1399"/>
      <w:bookmarkEnd w:id="1404"/>
      <w:bookmarkEnd w:id="1405"/>
      <w:bookmarkEnd w:id="1406"/>
    </w:p>
    <w:p w:rsidR="00CB0DD7" w:rsidRPr="000A0A5F" w:rsidRDefault="00CB0DD7">
      <w:pPr>
        <w:pStyle w:val="Heading4"/>
      </w:pPr>
      <w:bookmarkStart w:id="1407" w:name="_Toc11247282"/>
      <w:bookmarkStart w:id="1408" w:name="_Toc27044402"/>
      <w:bookmarkStart w:id="1409" w:name="_Toc36033444"/>
      <w:bookmarkStart w:id="1410" w:name="_Toc45131576"/>
      <w:bookmarkStart w:id="1411" w:name="_Toc49775861"/>
      <w:bookmarkStart w:id="1412" w:name="_Toc51746781"/>
      <w:bookmarkStart w:id="1413" w:name="_Toc66360323"/>
      <w:bookmarkStart w:id="1414" w:name="_Toc68104828"/>
      <w:bookmarkStart w:id="1415" w:name="_Toc74755457"/>
      <w:bookmarkStart w:id="1416" w:name="_Toc105674312"/>
      <w:bookmarkStart w:id="1417" w:name="_Toc130502349"/>
      <w:bookmarkStart w:id="1418" w:name="_Toc153625128"/>
      <w:r w:rsidRPr="000A0A5F">
        <w:t>5.2.5.1</w:t>
      </w:r>
      <w:r w:rsidRPr="000A0A5F">
        <w:tab/>
        <w:t>General</w:t>
      </w:r>
      <w:bookmarkEnd w:id="1407"/>
      <w:bookmarkEnd w:id="1408"/>
      <w:bookmarkEnd w:id="1409"/>
      <w:bookmarkEnd w:id="1410"/>
      <w:bookmarkEnd w:id="1411"/>
      <w:bookmarkEnd w:id="1412"/>
      <w:bookmarkEnd w:id="1413"/>
      <w:bookmarkEnd w:id="1414"/>
      <w:bookmarkEnd w:id="1415"/>
      <w:bookmarkEnd w:id="1416"/>
      <w:bookmarkEnd w:id="1417"/>
      <w:bookmarkEnd w:id="1418"/>
    </w:p>
    <w:p w:rsidR="00CB0DD7" w:rsidRPr="000A0A5F" w:rsidRDefault="00CB0DD7">
      <w:r w:rsidRPr="000A0A5F">
        <w:t>The SCEF and SCS/AS shall support the delivery of Notifications using a separate HTTP connection towards an address assigned by the SCS/AS, as described in clause 5.2.5.2.</w:t>
      </w:r>
    </w:p>
    <w:p w:rsidR="00CB0DD7" w:rsidRPr="000A0A5F" w:rsidRDefault="00CB0DD7">
      <w:r w:rsidRPr="000A0A5F">
        <w:t>An SCEF and SCS/AS may support testing a notification connection as described in clause 5.2.5.3. An SCEF and SCS/AS may support the delivery of Notification using Websocket (IETF RFC 6455 [32]) as described in clause 5.2.5.4.</w:t>
      </w:r>
    </w:p>
    <w:p w:rsidR="00CB0DD7" w:rsidRPr="000A0A5F" w:rsidRDefault="00CB0DD7">
      <w:pPr>
        <w:pStyle w:val="Heading4"/>
      </w:pPr>
      <w:bookmarkStart w:id="1419" w:name="_Toc11247283"/>
      <w:bookmarkStart w:id="1420" w:name="_Toc27044403"/>
      <w:bookmarkStart w:id="1421" w:name="_Toc36033445"/>
      <w:bookmarkStart w:id="1422" w:name="_Toc45131577"/>
      <w:bookmarkStart w:id="1423" w:name="_Toc49775862"/>
      <w:bookmarkStart w:id="1424" w:name="_Toc51746782"/>
      <w:bookmarkStart w:id="1425" w:name="_Toc66360324"/>
      <w:bookmarkStart w:id="1426" w:name="_Toc68104829"/>
      <w:bookmarkStart w:id="1427" w:name="_Toc74755458"/>
      <w:bookmarkStart w:id="1428" w:name="_Toc105674313"/>
      <w:bookmarkStart w:id="1429" w:name="_Toc130502350"/>
      <w:bookmarkStart w:id="1430" w:name="_Toc153625129"/>
      <w:r w:rsidRPr="000A0A5F">
        <w:t>5.2.5.2</w:t>
      </w:r>
      <w:r w:rsidRPr="000A0A5F">
        <w:tab/>
        <w:t>Notification Delivery using a separate HTTP connection</w:t>
      </w:r>
      <w:bookmarkEnd w:id="1419"/>
      <w:bookmarkEnd w:id="1420"/>
      <w:bookmarkEnd w:id="1421"/>
      <w:bookmarkEnd w:id="1422"/>
      <w:bookmarkEnd w:id="1423"/>
      <w:bookmarkEnd w:id="1424"/>
      <w:bookmarkEnd w:id="1425"/>
      <w:bookmarkEnd w:id="1426"/>
      <w:bookmarkEnd w:id="1427"/>
      <w:bookmarkEnd w:id="1428"/>
      <w:bookmarkEnd w:id="1429"/>
      <w:bookmarkEnd w:id="1430"/>
    </w:p>
    <w:p w:rsidR="00725D9D" w:rsidRPr="000A0A5F" w:rsidRDefault="00725D9D" w:rsidP="00725D9D">
      <w:r w:rsidRPr="000A0A5F">
        <w:t>If a delivery of notifications is required for an API, the SCS/AS shall provide a notification destination URI, which designates to the SCEF where the SCEF shall send the HTTP Notifications. This URI is provided within an attribute (e.g. "notificationDestination", "notifUri", "notificationUri") defined in the data types that are passed in a request to create a resource that represents a subscription to notifications, unless it is specified for that API that a preconfigured destination address is used.</w:t>
      </w:r>
    </w:p>
    <w:p w:rsidR="00725D9D" w:rsidRPr="000A0A5F" w:rsidRDefault="00725D9D" w:rsidP="00725D9D">
      <w:r w:rsidRPr="000A0A5F">
        <w:t>The SCS/AS may provide the same notification destination URI for several subscriptions, and the SCEF should then use the same HTTP connection to deliver related notifications.</w:t>
      </w:r>
    </w:p>
    <w:p w:rsidR="00CB0DD7" w:rsidRPr="000A0A5F" w:rsidRDefault="00CB0DD7">
      <w:r w:rsidRPr="000A0A5F">
        <w:t xml:space="preserve">The SCEF shall take the role of the HTTP client on the HTTP connection for the delivery of Notifications. </w:t>
      </w:r>
      <w:r w:rsidR="002B45A7" w:rsidRPr="000A0A5F">
        <w:t>Clause </w:t>
      </w:r>
      <w:r w:rsidRPr="000A0A5F">
        <w:t>5.2.2 shall also apply for this HTTP connection with the exception that an SCEF (rather than an SCS/AS) desiring to use HTTP/2 shall use the HTTP upgrade mechanism to negotiate applicable HTTP version.</w:t>
      </w:r>
    </w:p>
    <w:p w:rsidR="00CB0DD7" w:rsidRPr="000A0A5F" w:rsidRDefault="00CB0DD7">
      <w:pPr>
        <w:pStyle w:val="Heading4"/>
      </w:pPr>
      <w:bookmarkStart w:id="1431" w:name="_Toc11247284"/>
      <w:bookmarkStart w:id="1432" w:name="_Toc27044404"/>
      <w:bookmarkStart w:id="1433" w:name="_Toc36033446"/>
      <w:bookmarkStart w:id="1434" w:name="_Toc45131578"/>
      <w:bookmarkStart w:id="1435" w:name="_Toc49775863"/>
      <w:bookmarkStart w:id="1436" w:name="_Toc51746783"/>
      <w:bookmarkStart w:id="1437" w:name="_Toc66360325"/>
      <w:bookmarkStart w:id="1438" w:name="_Toc68104830"/>
      <w:bookmarkStart w:id="1439" w:name="_Toc74755459"/>
      <w:bookmarkStart w:id="1440" w:name="_Toc105674314"/>
      <w:bookmarkStart w:id="1441" w:name="_Toc130502351"/>
      <w:bookmarkStart w:id="1442" w:name="_Toc153625130"/>
      <w:r w:rsidRPr="000A0A5F">
        <w:t>5.2.5.3</w:t>
      </w:r>
      <w:r w:rsidRPr="000A0A5F">
        <w:tab/>
        <w:t>Notification Test Event</w:t>
      </w:r>
      <w:bookmarkEnd w:id="1431"/>
      <w:bookmarkEnd w:id="1432"/>
      <w:bookmarkEnd w:id="1433"/>
      <w:bookmarkEnd w:id="1434"/>
      <w:bookmarkEnd w:id="1435"/>
      <w:bookmarkEnd w:id="1436"/>
      <w:bookmarkEnd w:id="1437"/>
      <w:bookmarkEnd w:id="1438"/>
      <w:bookmarkEnd w:id="1439"/>
      <w:bookmarkEnd w:id="1440"/>
      <w:bookmarkEnd w:id="1441"/>
      <w:bookmarkEnd w:id="1442"/>
    </w:p>
    <w:p w:rsidR="00CB0DD7" w:rsidRPr="000A0A5F" w:rsidRDefault="00CB0DD7">
      <w:r w:rsidRPr="000A0A5F">
        <w:t>If the optional "Notification_test_event" feature is supported, the SCS/AS may test whether notifications can be received by subscribing to the notification of a test event by providing a "requestTestNotification" attribute set to "true" in the HTTP request to create or update a subscription for notifications. In any other HTTP request or response, this attribute shall retain the value that was provided upon subscription resource creation.</w:t>
      </w:r>
    </w:p>
    <w:p w:rsidR="00CB0DD7" w:rsidRPr="000A0A5F" w:rsidRDefault="00CB0DD7">
      <w:r w:rsidRPr="000A0A5F">
        <w:t>Upon receiving the "requestTestNotification" attribute as part of a subscription creation or update request, the SCEF shall send immediately after establishing the notification delivery mechanism a test notification containing a body formatted according to the "TestNotification" data type as defined in clause 5.2.1.2.12. If the SCS/AS does not receive the test notification within a configured time, the SCS/AS knows that the notification delivery with the selected method is not possible and may take corrective actions.</w:t>
      </w:r>
    </w:p>
    <w:p w:rsidR="00CB0DD7" w:rsidRPr="000A0A5F" w:rsidRDefault="00CB0DD7">
      <w:pPr>
        <w:pStyle w:val="Heading4"/>
      </w:pPr>
      <w:bookmarkStart w:id="1443" w:name="_Toc11247285"/>
      <w:bookmarkStart w:id="1444" w:name="_Toc27044405"/>
      <w:bookmarkStart w:id="1445" w:name="_Toc36033447"/>
      <w:bookmarkStart w:id="1446" w:name="_Toc45131579"/>
      <w:bookmarkStart w:id="1447" w:name="_Toc49775864"/>
      <w:bookmarkStart w:id="1448" w:name="_Toc51746784"/>
      <w:bookmarkStart w:id="1449" w:name="_Toc66360326"/>
      <w:bookmarkStart w:id="1450" w:name="_Toc68104831"/>
      <w:bookmarkStart w:id="1451" w:name="_Toc74755460"/>
      <w:bookmarkStart w:id="1452" w:name="_Toc105674315"/>
      <w:bookmarkStart w:id="1453" w:name="_Toc130502352"/>
      <w:bookmarkStart w:id="1454" w:name="_Toc153625131"/>
      <w:r w:rsidRPr="000A0A5F">
        <w:t>5.2.5.4</w:t>
      </w:r>
      <w:r w:rsidRPr="000A0A5F">
        <w:tab/>
        <w:t>Notification Delivery using Websocket</w:t>
      </w:r>
      <w:bookmarkEnd w:id="1443"/>
      <w:bookmarkEnd w:id="1444"/>
      <w:bookmarkEnd w:id="1445"/>
      <w:bookmarkEnd w:id="1446"/>
      <w:bookmarkEnd w:id="1447"/>
      <w:bookmarkEnd w:id="1448"/>
      <w:bookmarkEnd w:id="1449"/>
      <w:bookmarkEnd w:id="1450"/>
      <w:bookmarkEnd w:id="1451"/>
      <w:bookmarkEnd w:id="1452"/>
      <w:bookmarkEnd w:id="1453"/>
      <w:bookmarkEnd w:id="1454"/>
    </w:p>
    <w:p w:rsidR="00CB0DD7" w:rsidRPr="000A0A5F" w:rsidRDefault="00CB0DD7">
      <w:r w:rsidRPr="000A0A5F">
        <w:t>The procedures in the present clause only apply if SCS/AS and SCEF support the "Notification_websocket" feature. If the feature "Notification_websocket" is supported, then the feature "Notification_test_event" shall also be supported.</w:t>
      </w:r>
    </w:p>
    <w:p w:rsidR="00CB0DD7" w:rsidRPr="000A0A5F" w:rsidRDefault="00CB0DD7">
      <w:r w:rsidRPr="000A0A5F">
        <w:t>If a delivery of notifications is required for an API and the SCS/AS does not know from previous interactions with the SCEF whether delivery of notifications over a separate HTTP connection works, the SCS/AS should initially request the SCEF to try to establish a separate HTTP connection for notification delivery according to clause 5.2.5.2 by providing a URI to the SCEF designating where to send HTTP Notifications, and shall also subscribe to the notification of a test event as in clause 5.2.5.3.</w:t>
      </w:r>
    </w:p>
    <w:p w:rsidR="00CB0DD7" w:rsidRPr="000A0A5F" w:rsidRDefault="00CB0DD7">
      <w:r w:rsidRPr="000A0A5F">
        <w:t>If the SCS/AS does not receive the requested notification of the test event during a configured period after the subscription, the SCS/AS may configure the subscription to request the SCEF to provide a URI for an HTTP connection to upgrade to Websocket, setting the "requestWebsocketUri" attribute to "true" as specified in clause</w:t>
      </w:r>
      <w:r w:rsidRPr="000A0A5F">
        <w:rPr>
          <w:rFonts w:ascii="Cambria" w:eastAsia="Cambria" w:hAnsi="Cambria"/>
        </w:rPr>
        <w:t> </w:t>
      </w:r>
      <w:r w:rsidRPr="000A0A5F">
        <w:t>5.2.1.2.13. The SCS/AS may also request the SCEF to provide a URI in a new subscription creation request, and should in this case terminate the original subscription.</w:t>
      </w:r>
    </w:p>
    <w:p w:rsidR="00CB0DD7" w:rsidRPr="000A0A5F" w:rsidRDefault="00CB0DD7">
      <w:pPr>
        <w:pStyle w:val="NO"/>
      </w:pPr>
      <w:r w:rsidRPr="000A0A5F">
        <w:t>NOTE 1:</w:t>
      </w:r>
      <w:r w:rsidRPr="000A0A5F">
        <w:tab/>
        <w:t>If the SCS/AS has requested the delivery of notifications to a separate entity, it needs to be informed by that separate entity about the receipt of the test notification. That communication between the separate entity and the SCS/AS is out of scope of the present document.</w:t>
      </w:r>
    </w:p>
    <w:p w:rsidR="00CB0DD7" w:rsidRPr="000A0A5F" w:rsidRDefault="00CB0DD7">
      <w:bookmarkStart w:id="1455" w:name="_Hlk504738776"/>
      <w:r w:rsidRPr="000A0A5F">
        <w:t>When the SCEF receives a subscription creation or update request to use Websockets to deliver notifications (i.e. with the "requestWebsocketUri" attribute set to "true"), it shall assign a Websocket URI where to receive a Websocket connection establishment and provide this URI in the "websocketUri" attribute in the response, as defined in clause</w:t>
      </w:r>
      <w:r w:rsidRPr="000A0A5F">
        <w:rPr>
          <w:rFonts w:ascii="Cambria" w:eastAsia="Cambria" w:hAnsi="Cambria"/>
        </w:rPr>
        <w:t> </w:t>
      </w:r>
      <w:r w:rsidRPr="000A0A5F">
        <w:t>5.1.2.1.13. Once such Websocket URI has been assigned for a particular subscription resource, subsequent update requests to this resource that ask for the assignment of a new Websocket URI for that subscription shall be rejected by the SCEF.</w:t>
      </w:r>
      <w:bookmarkEnd w:id="1455"/>
    </w:p>
    <w:p w:rsidR="009805D1" w:rsidRPr="000A0A5F" w:rsidRDefault="009805D1" w:rsidP="009805D1">
      <w:r w:rsidRPr="000A0A5F">
        <w:t>Upon the reception of the Websocket URI from the SCEF in the "websocketUri" attribute, as specified in clause</w:t>
      </w:r>
      <w:r w:rsidRPr="000A0A5F">
        <w:rPr>
          <w:rFonts w:ascii="Cambria" w:eastAsia="Cambria" w:hAnsi="Cambria"/>
        </w:rPr>
        <w:t> </w:t>
      </w:r>
      <w:r w:rsidRPr="000A0A5F">
        <w:t>5.2.1.2.13-1, in the subscription creation or subscription update response, the SCS/AS or a separate entity that is intended to receive the notification shall establish an HTTP connection towards that URI and shall upgrade that connection to the Websocket protocol (IETF RFC 6455 [32]) using the HTTP upgrade mechanism defined in IETF RFC 9110 [17].</w:t>
      </w:r>
    </w:p>
    <w:p w:rsidR="00CB0DD7" w:rsidRPr="000A0A5F" w:rsidRDefault="00CB0DD7">
      <w:pPr>
        <w:pStyle w:val="NO"/>
      </w:pPr>
      <w:r w:rsidRPr="000A0A5F">
        <w:t>NOTE 2:</w:t>
      </w:r>
      <w:r w:rsidRPr="000A0A5F">
        <w:tab/>
        <w:t xml:space="preserve">For delivery of Notifications to a separate entity, the SCS/AS needs to provide the Websocket URI to that separate entity. That communication between the SCS/AS and the separate entity is out of scope of the present document. </w:t>
      </w:r>
    </w:p>
    <w:p w:rsidR="00CB0DD7" w:rsidRPr="000A0A5F" w:rsidRDefault="00CB0DD7">
      <w:r w:rsidRPr="000A0A5F">
        <w:t xml:space="preserve">The following framing of the request and response shall be used when delivering a notification or acknowledging its delivery through Websockets. </w:t>
      </w:r>
    </w:p>
    <w:p w:rsidR="00CB0DD7" w:rsidRPr="000A0A5F" w:rsidRDefault="00CB0DD7">
      <w:pPr>
        <w:pStyle w:val="NO"/>
      </w:pPr>
      <w:r w:rsidRPr="000A0A5F">
        <w:t>NOTE 3: The framing is aligned as much as possible with HTTP delivery in order to simplify implementations.</w:t>
      </w:r>
    </w:p>
    <w:p w:rsidR="00CB0DD7" w:rsidRPr="000A0A5F" w:rsidRDefault="00CB0DD7">
      <w:r w:rsidRPr="000A0A5F">
        <w:t>To deliver a notification towards the SCS/AS, the SCEF shall embed the following structure in a separate Websocket data frame with 0x2 (Binary) opcode in the following order:</w:t>
      </w:r>
    </w:p>
    <w:p w:rsidR="00CB0DD7" w:rsidRPr="000A0A5F" w:rsidRDefault="00CB0DD7">
      <w:pPr>
        <w:pStyle w:val="B10"/>
      </w:pPr>
      <w:r w:rsidRPr="000A0A5F">
        <w:t>1)</w:t>
      </w:r>
      <w:r w:rsidRPr="000A0A5F">
        <w:tab/>
        <w:t>The string "3GPP-WS-Notif-Seq:", followed by a blank, followed by a four-byte sequence number, encoded as decimal number in ASCII, followed by CRLF</w:t>
      </w:r>
    </w:p>
    <w:p w:rsidR="009805D1" w:rsidRPr="000A0A5F" w:rsidRDefault="009805D1" w:rsidP="009805D1">
      <w:pPr>
        <w:pStyle w:val="B10"/>
      </w:pPr>
      <w:r w:rsidRPr="000A0A5F">
        <w:t>2)</w:t>
      </w:r>
      <w:r w:rsidRPr="000A0A5F">
        <w:tab/>
        <w:t>The following HTTP headers in any order, with the syntax and semantics as defined in IETF RFC</w:t>
      </w:r>
      <w:r w:rsidRPr="000A0A5F">
        <w:rPr>
          <w:rFonts w:ascii="Cambria" w:eastAsia="Cambria" w:hAnsi="Cambria"/>
        </w:rPr>
        <w:t> </w:t>
      </w:r>
      <w:r w:rsidRPr="000A0A5F">
        <w:t>9110</w:t>
      </w:r>
      <w:r w:rsidRPr="000A0A5F">
        <w:rPr>
          <w:rFonts w:ascii="Cambria" w:eastAsia="Cambria" w:hAnsi="Cambria"/>
        </w:rPr>
        <w:t> </w:t>
      </w:r>
      <w:r w:rsidRPr="000A0A5F">
        <w:t xml:space="preserve">[17]: Content-Type (mandatory), Content-Encoding (optional), Content-Length (mandatory). Every HTTP header line shall be ended by CRLF. </w:t>
      </w:r>
    </w:p>
    <w:p w:rsidR="009805D1" w:rsidRPr="000A0A5F" w:rsidRDefault="009805D1" w:rsidP="009805D1">
      <w:pPr>
        <w:pStyle w:val="B10"/>
      </w:pPr>
      <w:r w:rsidRPr="000A0A5F">
        <w:t>3)</w:t>
      </w:r>
      <w:r w:rsidRPr="000A0A5F">
        <w:tab/>
        <w:t>CRLF to end the headers section.</w:t>
      </w:r>
    </w:p>
    <w:p w:rsidR="009805D1" w:rsidRPr="000A0A5F" w:rsidRDefault="009805D1" w:rsidP="009805D1">
      <w:pPr>
        <w:pStyle w:val="B10"/>
      </w:pPr>
      <w:r w:rsidRPr="000A0A5F">
        <w:t>4)</w:t>
      </w:r>
      <w:r w:rsidRPr="000A0A5F">
        <w:tab/>
        <w:t xml:space="preserve">The content of the notification, as defined in the individual APIs. </w:t>
      </w:r>
    </w:p>
    <w:p w:rsidR="009805D1" w:rsidRPr="000A0A5F" w:rsidRDefault="009805D1" w:rsidP="009805D1">
      <w:pPr>
        <w:pStyle w:val="NO"/>
      </w:pPr>
      <w:r w:rsidRPr="000A0A5F">
        <w:t>NOTE 4:</w:t>
      </w:r>
      <w:r w:rsidRPr="000A0A5F">
        <w:tab/>
        <w:t>The content is the same as the one that would be used if delivering the notification as defined in clause 5.2.5.3.</w:t>
      </w:r>
    </w:p>
    <w:p w:rsidR="00CB0DD7" w:rsidRPr="000A0A5F" w:rsidRDefault="00CB0DD7">
      <w:r w:rsidRPr="000A0A5F">
        <w:t>To acknowledge the reception of a notification message towards the SCEF, the SCS/AS shall embed the following structure in a separate Websocket data frame with 0x2 (Binary) opcode in the following order:</w:t>
      </w:r>
    </w:p>
    <w:p w:rsidR="00CB0DD7" w:rsidRPr="000A0A5F" w:rsidRDefault="00CB0DD7">
      <w:pPr>
        <w:pStyle w:val="B10"/>
      </w:pPr>
      <w:r w:rsidRPr="000A0A5F">
        <w:t>1)</w:t>
      </w:r>
      <w:r w:rsidRPr="000A0A5F">
        <w:tab/>
        <w:t>The string "3GPP-WS-Notif-Seq:", followed by a blank, followed by the four-byte sequence number of the notification to be confirmed, encoded as decimal number in ASCII, followed by CRLF.</w:t>
      </w:r>
    </w:p>
    <w:p w:rsidR="00CB0DD7" w:rsidRPr="000A0A5F" w:rsidRDefault="00CB0DD7">
      <w:pPr>
        <w:pStyle w:val="B10"/>
      </w:pPr>
      <w:r w:rsidRPr="000A0A5F">
        <w:t>2)</w:t>
      </w:r>
      <w:r w:rsidRPr="000A0A5F">
        <w:tab/>
        <w:t>The HTTP status code (e.g. 204) and status message (e.g. No Content) as defined for HTTP delivery of the notification in the individual APIs, separated by a single blank character, and ended by CRLF.</w:t>
      </w:r>
    </w:p>
    <w:p w:rsidR="009805D1" w:rsidRPr="000A0A5F" w:rsidRDefault="009805D1" w:rsidP="009805D1">
      <w:pPr>
        <w:pStyle w:val="B10"/>
      </w:pPr>
      <w:r w:rsidRPr="000A0A5F">
        <w:t>3)</w:t>
      </w:r>
      <w:r w:rsidRPr="000A0A5F">
        <w:tab/>
        <w:t>Conditionally, as defined in IETF RFC 9110 [17], the following HTTP headers in any order: Content-Type, Content-Encoding, and Content-Length. Every HTTP header line shall be ended by CRLF.</w:t>
      </w:r>
    </w:p>
    <w:p w:rsidR="009805D1" w:rsidRPr="000A0A5F" w:rsidRDefault="009805D1" w:rsidP="009805D1">
      <w:pPr>
        <w:pStyle w:val="B10"/>
      </w:pPr>
      <w:r w:rsidRPr="000A0A5F">
        <w:t>4) CRLF to end the headers section.</w:t>
      </w:r>
    </w:p>
    <w:p w:rsidR="009805D1" w:rsidRPr="000A0A5F" w:rsidRDefault="009805D1" w:rsidP="009805D1">
      <w:pPr>
        <w:pStyle w:val="B10"/>
      </w:pPr>
      <w:r w:rsidRPr="000A0A5F">
        <w:t>5)</w:t>
      </w:r>
      <w:r w:rsidRPr="000A0A5F">
        <w:tab/>
        <w:t>The content of the response, if applicable based on the status code and the HTTP headers, as defined in IETF RFC 9110 [17].</w:t>
      </w:r>
    </w:p>
    <w:p w:rsidR="009805D1" w:rsidRPr="000A0A5F" w:rsidRDefault="009805D1" w:rsidP="009805D1">
      <w:pPr>
        <w:pStyle w:val="NO"/>
      </w:pPr>
      <w:r w:rsidRPr="000A0A5F">
        <w:t>NOTE</w:t>
      </w:r>
      <w:r w:rsidRPr="000A0A5F">
        <w:rPr>
          <w:rFonts w:ascii="Cambria" w:eastAsia="Cambria" w:hAnsi="Cambria"/>
        </w:rPr>
        <w:t> </w:t>
      </w:r>
      <w:r w:rsidRPr="000A0A5F">
        <w:t>5:</w:t>
      </w:r>
      <w:r w:rsidRPr="000A0A5F">
        <w:tab/>
        <w:t>The status code, the status message and the content (if applicable), are the same as if delivering the notification as defined in clause 5.2.5.3.</w:t>
      </w:r>
    </w:p>
    <w:p w:rsidR="009805D1" w:rsidRPr="000A0A5F" w:rsidRDefault="009805D1" w:rsidP="009805D1">
      <w:r w:rsidRPr="000A0A5F">
        <w:t>Use of CRLF is defined in IETF RFC 9110 [17].</w:t>
      </w:r>
    </w:p>
    <w:p w:rsidR="00CB0DD7" w:rsidRPr="000A0A5F" w:rsidRDefault="00CB0DD7">
      <w:r w:rsidRPr="000A0A5F">
        <w:t>The SCEF need not wait for the confirmation of each notification before delivering the next notification. The SCEF shall determine whether a notification has been delivered successfully by correlating the sent notification with the received acknowledgement by checking the sequence numbers of both for equality. The SCEF may re-send a notification, using the same sequence number, if it has not received an acknowledgement with a matching sequence number after a configurable time-out. The SCS/AS shall consider notifications with the same sequence number that arrive within a configurable time interval as duplicates.</w:t>
      </w:r>
    </w:p>
    <w:p w:rsidR="00CB0DD7" w:rsidRPr="000A0A5F" w:rsidRDefault="00CB0DD7">
      <w:r w:rsidRPr="000A0A5F">
        <w:t>The SCS/AS should send periodic Websocket "PING" frames to keep the connection alive.</w:t>
      </w:r>
    </w:p>
    <w:p w:rsidR="00CB0DD7" w:rsidRPr="000A0A5F" w:rsidRDefault="00CB0DD7">
      <w:pPr>
        <w:pStyle w:val="NO"/>
      </w:pPr>
      <w:r w:rsidRPr="000A0A5F">
        <w:t>NOTE 6: the TCP layer will handle a possible fragmentation and reassembly of large messages.</w:t>
      </w:r>
    </w:p>
    <w:p w:rsidR="00CB0DD7" w:rsidRPr="000A0A5F" w:rsidRDefault="00CB0DD7">
      <w:r w:rsidRPr="000A0A5F">
        <w:t xml:space="preserve">The security related </w:t>
      </w:r>
      <w:r w:rsidR="00400CBC" w:rsidRPr="000A0A5F">
        <w:t>clause </w:t>
      </w:r>
      <w:r w:rsidRPr="000A0A5F">
        <w:t>6 shall also apply for the HTTP connection that is upgraded to Websocket.</w:t>
      </w:r>
    </w:p>
    <w:p w:rsidR="00CB0DD7" w:rsidRPr="000A0A5F" w:rsidRDefault="00CB0DD7">
      <w:pPr>
        <w:pStyle w:val="Heading3"/>
      </w:pPr>
      <w:bookmarkStart w:id="1456" w:name="_Toc11247286"/>
      <w:bookmarkStart w:id="1457" w:name="_Toc27044406"/>
      <w:bookmarkStart w:id="1458" w:name="_Toc36033448"/>
      <w:bookmarkStart w:id="1459" w:name="_Toc45131580"/>
      <w:bookmarkStart w:id="1460" w:name="_Toc49775865"/>
      <w:bookmarkStart w:id="1461" w:name="_Toc51746785"/>
      <w:bookmarkStart w:id="1462" w:name="_Toc66360327"/>
      <w:bookmarkStart w:id="1463" w:name="_Toc68104832"/>
      <w:bookmarkStart w:id="1464" w:name="_Toc74755461"/>
      <w:bookmarkStart w:id="1465" w:name="_Toc105674316"/>
      <w:bookmarkStart w:id="1466" w:name="_Toc130502353"/>
      <w:bookmarkStart w:id="1467" w:name="_Toc153625132"/>
      <w:r w:rsidRPr="000A0A5F">
        <w:t>5.2.6</w:t>
      </w:r>
      <w:r w:rsidRPr="000A0A5F">
        <w:tab/>
        <w:t>Error handling</w:t>
      </w:r>
      <w:bookmarkEnd w:id="1456"/>
      <w:bookmarkEnd w:id="1457"/>
      <w:bookmarkEnd w:id="1458"/>
      <w:bookmarkEnd w:id="1459"/>
      <w:bookmarkEnd w:id="1460"/>
      <w:bookmarkEnd w:id="1461"/>
      <w:bookmarkEnd w:id="1462"/>
      <w:bookmarkEnd w:id="1463"/>
      <w:bookmarkEnd w:id="1464"/>
      <w:bookmarkEnd w:id="1465"/>
      <w:bookmarkEnd w:id="1466"/>
      <w:bookmarkEnd w:id="1467"/>
    </w:p>
    <w:p w:rsidR="00CB0DD7" w:rsidRPr="000A0A5F" w:rsidRDefault="00CB0DD7">
      <w:r w:rsidRPr="000A0A5F">
        <w:t>Table</w:t>
      </w:r>
      <w:r w:rsidRPr="000A0A5F">
        <w:rPr>
          <w:rFonts w:eastAsia="Batang"/>
        </w:rPr>
        <w:t> </w:t>
      </w:r>
      <w:r w:rsidRPr="000A0A5F">
        <w:t>5.2.6-1 lists response bodies that are applicable to all APIs and as responses for all requests in the present specification unless otherwise specified. The HTTP client shall mandatorily support the processing of the status code for all the applicable methods, when received in a HTTP response message. In such cases the HTTP client shall also support the handling of the "ProblemDetails" JSON object with the Content-Type header field set to the value "application/problem+json", if the corresponding API definition in the current specification does not specify another response body for the corresponding status code</w:t>
      </w:r>
      <w:r w:rsidRPr="000A0A5F">
        <w:rPr>
          <w:lang w:eastAsia="zh-CN"/>
        </w:rPr>
        <w:t>.</w:t>
      </w:r>
    </w:p>
    <w:p w:rsidR="00CB0DD7" w:rsidRPr="000A0A5F" w:rsidRDefault="00CB0DD7">
      <w:pPr>
        <w:pStyle w:val="TH"/>
      </w:pPr>
      <w:r w:rsidRPr="000A0A5F">
        <w:t>Table 5.2.6-1: Response bodies supported for responses to all requests.</w:t>
      </w:r>
    </w:p>
    <w:tbl>
      <w:tblPr>
        <w:tblW w:w="4999" w:type="pct"/>
        <w:tblInd w:w="1" w:type="dxa"/>
        <w:tblBorders>
          <w:top w:val="single" w:sz="6" w:space="0" w:color="000000"/>
          <w:left w:val="single" w:sz="6" w:space="0" w:color="000000"/>
          <w:bottom w:val="single" w:sz="6" w:space="0" w:color="000000"/>
          <w:right w:val="single" w:sz="6" w:space="0" w:color="000000"/>
          <w:insideH w:val="single" w:sz="6" w:space="0" w:color="auto"/>
          <w:insideV w:val="single" w:sz="6" w:space="0" w:color="000000"/>
        </w:tblBorders>
        <w:tblLayout w:type="fixed"/>
        <w:tblCellMar>
          <w:top w:w="45" w:type="dxa"/>
          <w:left w:w="45" w:type="dxa"/>
          <w:bottom w:w="45" w:type="dxa"/>
          <w:right w:w="45" w:type="dxa"/>
        </w:tblCellMar>
        <w:tblLook w:val="0000" w:firstRow="0" w:lastRow="0" w:firstColumn="0" w:lastColumn="0" w:noHBand="0" w:noVBand="0"/>
      </w:tblPr>
      <w:tblGrid>
        <w:gridCol w:w="1038"/>
        <w:gridCol w:w="1417"/>
        <w:gridCol w:w="1132"/>
        <w:gridCol w:w="1132"/>
        <w:gridCol w:w="3971"/>
        <w:gridCol w:w="1039"/>
        <w:tblGridChange w:id="1468">
          <w:tblGrid>
            <w:gridCol w:w="1038"/>
            <w:gridCol w:w="1417"/>
            <w:gridCol w:w="1132"/>
            <w:gridCol w:w="1132"/>
            <w:gridCol w:w="3971"/>
            <w:gridCol w:w="1039"/>
          </w:tblGrid>
        </w:tblGridChange>
      </w:tblGrid>
      <w:tr w:rsidR="00CB0DD7" w:rsidRPr="000A0A5F" w:rsidTr="00FF0AF8">
        <w:tc>
          <w:tcPr>
            <w:tcW w:w="533" w:type="pct"/>
            <w:vMerge w:val="restart"/>
            <w:shd w:val="clear" w:color="auto" w:fill="C0C0C0"/>
            <w:vAlign w:val="center"/>
          </w:tcPr>
          <w:p w:rsidR="00CB0DD7" w:rsidRPr="000A0A5F" w:rsidRDefault="00CB0DD7">
            <w:pPr>
              <w:pStyle w:val="TAH"/>
            </w:pPr>
            <w:r w:rsidRPr="000A0A5F">
              <w:t>Response body</w:t>
            </w:r>
          </w:p>
        </w:tc>
        <w:tc>
          <w:tcPr>
            <w:tcW w:w="728" w:type="pct"/>
            <w:shd w:val="clear" w:color="auto" w:fill="C0C0C0"/>
          </w:tcPr>
          <w:p w:rsidR="00CB0DD7" w:rsidRPr="000A0A5F" w:rsidRDefault="00CB0DD7">
            <w:pPr>
              <w:pStyle w:val="TAH"/>
            </w:pPr>
          </w:p>
          <w:p w:rsidR="00CB0DD7" w:rsidRPr="000A0A5F" w:rsidRDefault="00CB0DD7">
            <w:pPr>
              <w:pStyle w:val="TAH"/>
            </w:pPr>
            <w:r w:rsidRPr="000A0A5F">
              <w:t>Data type</w:t>
            </w:r>
          </w:p>
        </w:tc>
        <w:tc>
          <w:tcPr>
            <w:tcW w:w="582" w:type="pct"/>
            <w:shd w:val="clear" w:color="auto" w:fill="C0C0C0"/>
          </w:tcPr>
          <w:p w:rsidR="00CB0DD7" w:rsidRPr="000A0A5F" w:rsidRDefault="00CB0DD7">
            <w:pPr>
              <w:pStyle w:val="TAH"/>
            </w:pPr>
          </w:p>
          <w:p w:rsidR="00CB0DD7" w:rsidRPr="000A0A5F" w:rsidRDefault="00CB0DD7">
            <w:pPr>
              <w:pStyle w:val="TAH"/>
            </w:pPr>
            <w:r w:rsidRPr="000A0A5F">
              <w:t>Cardinality</w:t>
            </w:r>
          </w:p>
        </w:tc>
        <w:tc>
          <w:tcPr>
            <w:tcW w:w="582" w:type="pct"/>
            <w:shd w:val="clear" w:color="auto" w:fill="C0C0C0"/>
          </w:tcPr>
          <w:p w:rsidR="00CB0DD7" w:rsidRPr="000A0A5F" w:rsidRDefault="00CB0DD7">
            <w:pPr>
              <w:pStyle w:val="TAH"/>
            </w:pPr>
            <w:r w:rsidRPr="000A0A5F">
              <w:t>Response</w:t>
            </w:r>
          </w:p>
          <w:p w:rsidR="00CB0DD7" w:rsidRPr="000A0A5F" w:rsidRDefault="00CB0DD7">
            <w:pPr>
              <w:pStyle w:val="TAH"/>
            </w:pPr>
            <w:r w:rsidRPr="000A0A5F">
              <w:t>Codes</w:t>
            </w:r>
          </w:p>
          <w:p w:rsidR="00CB0DD7" w:rsidRPr="000A0A5F" w:rsidRDefault="00CB0DD7">
            <w:pPr>
              <w:pStyle w:val="TAH"/>
            </w:pPr>
            <w:r w:rsidRPr="000A0A5F">
              <w:t>(NOTE 1)</w:t>
            </w:r>
          </w:p>
        </w:tc>
        <w:tc>
          <w:tcPr>
            <w:tcW w:w="2041" w:type="pct"/>
            <w:shd w:val="clear" w:color="auto" w:fill="C0C0C0"/>
          </w:tcPr>
          <w:p w:rsidR="00CB0DD7" w:rsidRPr="000A0A5F" w:rsidRDefault="00CB0DD7">
            <w:pPr>
              <w:pStyle w:val="TAH"/>
            </w:pPr>
            <w:r w:rsidRPr="000A0A5F">
              <w:t>Remarks</w:t>
            </w:r>
          </w:p>
          <w:p w:rsidR="00CB0DD7" w:rsidRPr="000A0A5F" w:rsidRDefault="00CB0DD7">
            <w:pPr>
              <w:pStyle w:val="TAH"/>
            </w:pPr>
            <w:r w:rsidRPr="000A0A5F">
              <w:t>(NOTE 2, NOTE 4)</w:t>
            </w:r>
          </w:p>
        </w:tc>
        <w:tc>
          <w:tcPr>
            <w:tcW w:w="534" w:type="pct"/>
            <w:shd w:val="clear" w:color="auto" w:fill="C0C0C0"/>
          </w:tcPr>
          <w:p w:rsidR="00CB0DD7" w:rsidRPr="000A0A5F" w:rsidRDefault="00CB0DD7">
            <w:pPr>
              <w:pStyle w:val="TAH"/>
            </w:pPr>
            <w:r w:rsidRPr="000A0A5F">
              <w:t>Applied</w:t>
            </w:r>
            <w:r w:rsidRPr="000A0A5F">
              <w:rPr>
                <w:rFonts w:hint="eastAsia"/>
                <w:lang w:eastAsia="zh-CN"/>
              </w:rPr>
              <w:t xml:space="preserve"> </w:t>
            </w:r>
            <w:r w:rsidRPr="000A0A5F">
              <w:t>Methods</w:t>
            </w:r>
          </w:p>
        </w:tc>
      </w:tr>
      <w:tr w:rsidR="00CB0DD7" w:rsidRPr="000A0A5F" w:rsidTr="00FF0AF8">
        <w:tc>
          <w:tcPr>
            <w:tcW w:w="533" w:type="pct"/>
            <w:vMerge/>
            <w:shd w:val="clear" w:color="auto" w:fill="BFBFBF"/>
            <w:vAlign w:val="center"/>
          </w:tcPr>
          <w:p w:rsidR="00CB0DD7" w:rsidRPr="000A0A5F" w:rsidRDefault="00CB0DD7">
            <w:pPr>
              <w:pStyle w:val="TAL"/>
              <w:jc w:val="center"/>
            </w:pPr>
          </w:p>
        </w:tc>
        <w:tc>
          <w:tcPr>
            <w:tcW w:w="728" w:type="pct"/>
            <w:shd w:val="clear" w:color="auto" w:fill="auto"/>
          </w:tcPr>
          <w:p w:rsidR="00CB0DD7" w:rsidRPr="000A0A5F" w:rsidRDefault="00CB0DD7">
            <w:pPr>
              <w:pStyle w:val="TAL"/>
            </w:pPr>
            <w:r w:rsidRPr="000A0A5F">
              <w:t>ProblemDetails</w:t>
            </w:r>
          </w:p>
        </w:tc>
        <w:tc>
          <w:tcPr>
            <w:tcW w:w="582" w:type="pct"/>
          </w:tcPr>
          <w:p w:rsidR="00CB0DD7" w:rsidRPr="000A0A5F" w:rsidRDefault="00CB0DD7">
            <w:pPr>
              <w:pStyle w:val="TAL"/>
            </w:pPr>
            <w:r w:rsidRPr="000A0A5F">
              <w:t>1</w:t>
            </w:r>
          </w:p>
        </w:tc>
        <w:tc>
          <w:tcPr>
            <w:tcW w:w="582" w:type="pct"/>
          </w:tcPr>
          <w:p w:rsidR="00CB0DD7" w:rsidRPr="000A0A5F" w:rsidRDefault="00CB0DD7">
            <w:pPr>
              <w:pStyle w:val="TAL"/>
            </w:pPr>
            <w:r w:rsidRPr="000A0A5F">
              <w:t>400 Bad Request</w:t>
            </w:r>
          </w:p>
        </w:tc>
        <w:tc>
          <w:tcPr>
            <w:tcW w:w="2041" w:type="pct"/>
            <w:vAlign w:val="center"/>
          </w:tcPr>
          <w:p w:rsidR="00CB0DD7" w:rsidRPr="000A0A5F" w:rsidRDefault="00CB0DD7">
            <w:pPr>
              <w:pStyle w:val="TAL"/>
            </w:pPr>
            <w:r w:rsidRPr="000A0A5F">
              <w:t xml:space="preserve">Incorrect parameters were passed in the request. </w:t>
            </w:r>
          </w:p>
        </w:tc>
        <w:tc>
          <w:tcPr>
            <w:tcW w:w="534" w:type="pct"/>
          </w:tcPr>
          <w:p w:rsidR="00CB0DD7" w:rsidRPr="000A0A5F" w:rsidRDefault="00CB0DD7">
            <w:pPr>
              <w:pStyle w:val="TAL"/>
            </w:pPr>
            <w:r w:rsidRPr="000A0A5F">
              <w:t>GET, POST PUT, PATCH, DELETE</w:t>
            </w:r>
          </w:p>
        </w:tc>
      </w:tr>
      <w:tr w:rsidR="00CB0DD7" w:rsidRPr="000A0A5F" w:rsidTr="00FF0AF8">
        <w:tc>
          <w:tcPr>
            <w:tcW w:w="533" w:type="pct"/>
            <w:vMerge/>
            <w:shd w:val="clear" w:color="auto" w:fill="BFBFBF"/>
            <w:vAlign w:val="center"/>
          </w:tcPr>
          <w:p w:rsidR="00CB0DD7" w:rsidRPr="000A0A5F" w:rsidRDefault="00CB0DD7">
            <w:pPr>
              <w:pStyle w:val="TAL"/>
              <w:jc w:val="center"/>
            </w:pPr>
          </w:p>
        </w:tc>
        <w:tc>
          <w:tcPr>
            <w:tcW w:w="728" w:type="pct"/>
            <w:shd w:val="clear" w:color="auto" w:fill="auto"/>
          </w:tcPr>
          <w:p w:rsidR="00CB0DD7" w:rsidRPr="000A0A5F" w:rsidRDefault="00CB0DD7">
            <w:pPr>
              <w:pStyle w:val="TAL"/>
            </w:pPr>
            <w:r w:rsidRPr="000A0A5F">
              <w:t>ProblemDetails</w:t>
            </w:r>
          </w:p>
        </w:tc>
        <w:tc>
          <w:tcPr>
            <w:tcW w:w="582" w:type="pct"/>
          </w:tcPr>
          <w:p w:rsidR="00CB0DD7" w:rsidRPr="000A0A5F" w:rsidRDefault="00CB0DD7">
            <w:pPr>
              <w:pStyle w:val="TAL"/>
            </w:pPr>
            <w:r w:rsidRPr="000A0A5F">
              <w:t>1</w:t>
            </w:r>
          </w:p>
        </w:tc>
        <w:tc>
          <w:tcPr>
            <w:tcW w:w="582" w:type="pct"/>
          </w:tcPr>
          <w:p w:rsidR="00CB0DD7" w:rsidRPr="000A0A5F" w:rsidRDefault="00CB0DD7">
            <w:pPr>
              <w:pStyle w:val="TAL"/>
            </w:pPr>
            <w:r w:rsidRPr="000A0A5F">
              <w:t>401 Unauthorized</w:t>
            </w:r>
          </w:p>
        </w:tc>
        <w:tc>
          <w:tcPr>
            <w:tcW w:w="2041" w:type="pct"/>
          </w:tcPr>
          <w:p w:rsidR="009805D1" w:rsidRPr="000A0A5F" w:rsidRDefault="009805D1" w:rsidP="009805D1">
            <w:pPr>
              <w:pStyle w:val="TAL"/>
            </w:pPr>
            <w:r w:rsidRPr="000A0A5F">
              <w:t>The client is not authorized as described in IETF RFC 9110 [17].</w:t>
            </w:r>
          </w:p>
          <w:p w:rsidR="00CB0DD7" w:rsidRPr="000A0A5F" w:rsidRDefault="00CB0DD7">
            <w:pPr>
              <w:pStyle w:val="TAL"/>
              <w:rPr>
                <w:rFonts w:hint="eastAsia"/>
              </w:rPr>
            </w:pPr>
          </w:p>
        </w:tc>
        <w:tc>
          <w:tcPr>
            <w:tcW w:w="534" w:type="pct"/>
          </w:tcPr>
          <w:p w:rsidR="00CB0DD7" w:rsidRPr="000A0A5F" w:rsidRDefault="00CB0DD7">
            <w:pPr>
              <w:pStyle w:val="TAL"/>
            </w:pPr>
            <w:r w:rsidRPr="000A0A5F">
              <w:t>GET, POST, PUT, PATCH, DELETE</w:t>
            </w:r>
          </w:p>
        </w:tc>
      </w:tr>
      <w:tr w:rsidR="00CB0DD7" w:rsidRPr="000A0A5F" w:rsidTr="00FF0AF8">
        <w:tc>
          <w:tcPr>
            <w:tcW w:w="533" w:type="pct"/>
            <w:vMerge/>
            <w:shd w:val="clear" w:color="auto" w:fill="BFBFBF"/>
            <w:vAlign w:val="center"/>
          </w:tcPr>
          <w:p w:rsidR="00CB0DD7" w:rsidRPr="000A0A5F" w:rsidRDefault="00CB0DD7">
            <w:pPr>
              <w:pStyle w:val="TAL"/>
              <w:jc w:val="center"/>
            </w:pPr>
          </w:p>
        </w:tc>
        <w:tc>
          <w:tcPr>
            <w:tcW w:w="728" w:type="pct"/>
            <w:shd w:val="clear" w:color="auto" w:fill="auto"/>
          </w:tcPr>
          <w:p w:rsidR="00CB0DD7" w:rsidRPr="000A0A5F" w:rsidRDefault="00CB0DD7">
            <w:pPr>
              <w:pStyle w:val="TAL"/>
            </w:pPr>
            <w:r w:rsidRPr="000A0A5F">
              <w:t>ProblemDetails</w:t>
            </w:r>
          </w:p>
        </w:tc>
        <w:tc>
          <w:tcPr>
            <w:tcW w:w="582" w:type="pct"/>
          </w:tcPr>
          <w:p w:rsidR="00CB0DD7" w:rsidRPr="000A0A5F" w:rsidRDefault="00CB0DD7">
            <w:pPr>
              <w:pStyle w:val="TAL"/>
            </w:pPr>
            <w:r w:rsidRPr="000A0A5F">
              <w:t>1</w:t>
            </w:r>
          </w:p>
        </w:tc>
        <w:tc>
          <w:tcPr>
            <w:tcW w:w="582" w:type="pct"/>
          </w:tcPr>
          <w:p w:rsidR="00CB0DD7" w:rsidRPr="000A0A5F" w:rsidRDefault="00CB0DD7">
            <w:pPr>
              <w:pStyle w:val="TAL"/>
            </w:pPr>
            <w:r w:rsidRPr="000A0A5F">
              <w:t>403 Forbidden</w:t>
            </w:r>
          </w:p>
        </w:tc>
        <w:tc>
          <w:tcPr>
            <w:tcW w:w="2041" w:type="pct"/>
          </w:tcPr>
          <w:p w:rsidR="00CB0DD7" w:rsidRPr="000A0A5F" w:rsidRDefault="00CB0DD7">
            <w:pPr>
              <w:pStyle w:val="TAL"/>
            </w:pPr>
            <w:r w:rsidRPr="000A0A5F">
              <w:t xml:space="preserve">This represents the case when the server is able to understand the request but unable to fulfil the request due to errors (e.g. the requested parameters are out of range). </w:t>
            </w:r>
          </w:p>
          <w:p w:rsidR="00CB0DD7" w:rsidRPr="000A0A5F" w:rsidRDefault="00CB0DD7">
            <w:pPr>
              <w:pStyle w:val="TAL"/>
            </w:pPr>
            <w:r w:rsidRPr="000A0A5F">
              <w:t>More information may be provided in the "invalidParams" attribute of the "ProblemDetails" structure.</w:t>
            </w:r>
          </w:p>
          <w:p w:rsidR="00CB0DD7" w:rsidRPr="000A0A5F" w:rsidRDefault="00CB0DD7">
            <w:pPr>
              <w:pStyle w:val="TAL"/>
            </w:pPr>
            <w:r w:rsidRPr="000A0A5F">
              <w:t>(NOTE 3)</w:t>
            </w:r>
          </w:p>
        </w:tc>
        <w:tc>
          <w:tcPr>
            <w:tcW w:w="534" w:type="pct"/>
          </w:tcPr>
          <w:p w:rsidR="00CB0DD7" w:rsidRPr="000A0A5F" w:rsidRDefault="00CB0DD7">
            <w:pPr>
              <w:pStyle w:val="TAL"/>
            </w:pPr>
            <w:r w:rsidRPr="000A0A5F">
              <w:t>GET, POST, PUT, PATCH, DELETE</w:t>
            </w:r>
          </w:p>
        </w:tc>
      </w:tr>
      <w:tr w:rsidR="00CB0DD7" w:rsidRPr="000A0A5F" w:rsidTr="00FF0AF8">
        <w:tc>
          <w:tcPr>
            <w:tcW w:w="533" w:type="pct"/>
            <w:vMerge/>
            <w:shd w:val="clear" w:color="auto" w:fill="BFBFBF"/>
            <w:vAlign w:val="center"/>
          </w:tcPr>
          <w:p w:rsidR="00CB0DD7" w:rsidRPr="000A0A5F" w:rsidRDefault="00CB0DD7">
            <w:pPr>
              <w:pStyle w:val="TAL"/>
              <w:jc w:val="center"/>
            </w:pPr>
          </w:p>
        </w:tc>
        <w:tc>
          <w:tcPr>
            <w:tcW w:w="728" w:type="pct"/>
            <w:shd w:val="clear" w:color="auto" w:fill="auto"/>
          </w:tcPr>
          <w:p w:rsidR="00CB0DD7" w:rsidRPr="000A0A5F" w:rsidRDefault="00CB0DD7">
            <w:pPr>
              <w:pStyle w:val="TAL"/>
            </w:pPr>
            <w:r w:rsidRPr="000A0A5F">
              <w:t>ProblemDetails</w:t>
            </w:r>
          </w:p>
        </w:tc>
        <w:tc>
          <w:tcPr>
            <w:tcW w:w="582" w:type="pct"/>
          </w:tcPr>
          <w:p w:rsidR="00CB0DD7" w:rsidRPr="000A0A5F" w:rsidRDefault="00CB0DD7">
            <w:pPr>
              <w:pStyle w:val="TAL"/>
            </w:pPr>
            <w:r w:rsidRPr="000A0A5F">
              <w:t>1</w:t>
            </w:r>
          </w:p>
        </w:tc>
        <w:tc>
          <w:tcPr>
            <w:tcW w:w="582" w:type="pct"/>
          </w:tcPr>
          <w:p w:rsidR="00CB0DD7" w:rsidRPr="000A0A5F" w:rsidRDefault="00CB0DD7">
            <w:pPr>
              <w:pStyle w:val="TAL"/>
            </w:pPr>
            <w:r w:rsidRPr="000A0A5F">
              <w:t>404 Not Found</w:t>
            </w:r>
          </w:p>
        </w:tc>
        <w:tc>
          <w:tcPr>
            <w:tcW w:w="2041" w:type="pct"/>
            <w:vAlign w:val="center"/>
          </w:tcPr>
          <w:p w:rsidR="00CB0DD7" w:rsidRPr="000A0A5F" w:rsidRDefault="00CB0DD7">
            <w:pPr>
              <w:pStyle w:val="TAL"/>
              <w:rPr>
                <w:rFonts w:cs="Arial"/>
              </w:rPr>
            </w:pPr>
            <w:r w:rsidRPr="000A0A5F">
              <w:rPr>
                <w:rFonts w:cs="Arial"/>
              </w:rPr>
              <w:t>The resource URI was incorrect, for instance because of a wrong "scsAsId" field.</w:t>
            </w:r>
          </w:p>
          <w:p w:rsidR="00CB0DD7" w:rsidRPr="000A0A5F" w:rsidRDefault="00CB0DD7">
            <w:pPr>
              <w:pStyle w:val="TAL"/>
            </w:pPr>
          </w:p>
        </w:tc>
        <w:tc>
          <w:tcPr>
            <w:tcW w:w="534" w:type="pct"/>
          </w:tcPr>
          <w:p w:rsidR="00CB0DD7" w:rsidRPr="000A0A5F" w:rsidRDefault="00CB0DD7">
            <w:pPr>
              <w:pStyle w:val="TAL"/>
              <w:rPr>
                <w:rFonts w:cs="Arial"/>
              </w:rPr>
            </w:pPr>
            <w:r w:rsidRPr="000A0A5F">
              <w:t>GET, POST, PUT, PATCH, DELETE</w:t>
            </w:r>
          </w:p>
        </w:tc>
      </w:tr>
      <w:tr w:rsidR="00CB0DD7" w:rsidRPr="000A0A5F" w:rsidTr="00FF0AF8">
        <w:tc>
          <w:tcPr>
            <w:tcW w:w="533" w:type="pct"/>
            <w:vMerge/>
            <w:shd w:val="clear" w:color="auto" w:fill="BFBFBF"/>
            <w:vAlign w:val="center"/>
          </w:tcPr>
          <w:p w:rsidR="00CB0DD7" w:rsidRPr="000A0A5F" w:rsidRDefault="00CB0DD7">
            <w:pPr>
              <w:pStyle w:val="TAL"/>
              <w:jc w:val="center"/>
            </w:pPr>
          </w:p>
        </w:tc>
        <w:tc>
          <w:tcPr>
            <w:tcW w:w="728" w:type="pct"/>
            <w:shd w:val="clear" w:color="auto" w:fill="auto"/>
          </w:tcPr>
          <w:p w:rsidR="00CB0DD7" w:rsidRPr="000A0A5F" w:rsidRDefault="00CB0DD7">
            <w:pPr>
              <w:pStyle w:val="TAL"/>
            </w:pPr>
            <w:r w:rsidRPr="000A0A5F">
              <w:t>ProblemDetails</w:t>
            </w:r>
          </w:p>
        </w:tc>
        <w:tc>
          <w:tcPr>
            <w:tcW w:w="582" w:type="pct"/>
          </w:tcPr>
          <w:p w:rsidR="00CB0DD7" w:rsidRPr="000A0A5F" w:rsidRDefault="00CB0DD7">
            <w:pPr>
              <w:pStyle w:val="TAL"/>
            </w:pPr>
            <w:r w:rsidRPr="000A0A5F">
              <w:t>1</w:t>
            </w:r>
          </w:p>
        </w:tc>
        <w:tc>
          <w:tcPr>
            <w:tcW w:w="582" w:type="pct"/>
          </w:tcPr>
          <w:p w:rsidR="00CB0DD7" w:rsidRPr="000A0A5F" w:rsidRDefault="00CB0DD7">
            <w:pPr>
              <w:pStyle w:val="TAL"/>
            </w:pPr>
            <w:r w:rsidRPr="000A0A5F">
              <w:t>406 Not Acceptable</w:t>
            </w:r>
          </w:p>
        </w:tc>
        <w:tc>
          <w:tcPr>
            <w:tcW w:w="2041" w:type="pct"/>
            <w:vAlign w:val="center"/>
          </w:tcPr>
          <w:p w:rsidR="00CB0DD7" w:rsidRPr="000A0A5F" w:rsidRDefault="00CB0DD7">
            <w:pPr>
              <w:pStyle w:val="TAL"/>
              <w:rPr>
                <w:rFonts w:cs="Arial"/>
              </w:rPr>
            </w:pPr>
            <w:r w:rsidRPr="000A0A5F">
              <w:rPr>
                <w:rFonts w:cs="Arial"/>
              </w:rPr>
              <w:t xml:space="preserve">The content format provided in the </w:t>
            </w:r>
            <w:r w:rsidRPr="000A0A5F">
              <w:t>"</w:t>
            </w:r>
            <w:r w:rsidRPr="000A0A5F">
              <w:rPr>
                <w:rFonts w:cs="Arial"/>
              </w:rPr>
              <w:t>Accept</w:t>
            </w:r>
            <w:r w:rsidRPr="000A0A5F">
              <w:t>" header is not acceptable by the server</w:t>
            </w:r>
            <w:r w:rsidRPr="000A0A5F">
              <w:rPr>
                <w:rFonts w:cs="Arial"/>
              </w:rPr>
              <w:t>.</w:t>
            </w:r>
          </w:p>
        </w:tc>
        <w:tc>
          <w:tcPr>
            <w:tcW w:w="534" w:type="pct"/>
          </w:tcPr>
          <w:p w:rsidR="00CB0DD7" w:rsidRPr="000A0A5F" w:rsidRDefault="00CB0DD7">
            <w:pPr>
              <w:pStyle w:val="TAL"/>
            </w:pPr>
            <w:r w:rsidRPr="000A0A5F">
              <w:t>GET</w:t>
            </w:r>
          </w:p>
        </w:tc>
      </w:tr>
      <w:tr w:rsidR="00CB0DD7" w:rsidRPr="000A0A5F" w:rsidTr="00FF0AF8">
        <w:tc>
          <w:tcPr>
            <w:tcW w:w="533" w:type="pct"/>
            <w:vMerge/>
            <w:shd w:val="clear" w:color="auto" w:fill="BFBFBF"/>
            <w:vAlign w:val="center"/>
          </w:tcPr>
          <w:p w:rsidR="00CB0DD7" w:rsidRPr="000A0A5F" w:rsidRDefault="00CB0DD7">
            <w:pPr>
              <w:pStyle w:val="TAL"/>
              <w:jc w:val="center"/>
            </w:pPr>
          </w:p>
        </w:tc>
        <w:tc>
          <w:tcPr>
            <w:tcW w:w="728" w:type="pct"/>
            <w:shd w:val="clear" w:color="auto" w:fill="auto"/>
          </w:tcPr>
          <w:p w:rsidR="00CB0DD7" w:rsidRPr="000A0A5F" w:rsidRDefault="00CB0DD7">
            <w:pPr>
              <w:pStyle w:val="TAL"/>
            </w:pPr>
            <w:r w:rsidRPr="000A0A5F">
              <w:t>ProblemDetails</w:t>
            </w:r>
          </w:p>
        </w:tc>
        <w:tc>
          <w:tcPr>
            <w:tcW w:w="582" w:type="pct"/>
          </w:tcPr>
          <w:p w:rsidR="00CB0DD7" w:rsidRPr="000A0A5F" w:rsidRDefault="00CB0DD7">
            <w:pPr>
              <w:pStyle w:val="TAL"/>
            </w:pPr>
            <w:r w:rsidRPr="000A0A5F">
              <w:t>1</w:t>
            </w:r>
          </w:p>
        </w:tc>
        <w:tc>
          <w:tcPr>
            <w:tcW w:w="582" w:type="pct"/>
          </w:tcPr>
          <w:p w:rsidR="00CB0DD7" w:rsidRPr="000A0A5F" w:rsidRDefault="00CB0DD7">
            <w:pPr>
              <w:pStyle w:val="TAL"/>
            </w:pPr>
            <w:r w:rsidRPr="000A0A5F">
              <w:t xml:space="preserve">411 </w:t>
            </w:r>
            <w:bookmarkStart w:id="1469" w:name="_Hlk519025313"/>
            <w:r w:rsidRPr="000A0A5F">
              <w:t>Length Required</w:t>
            </w:r>
            <w:bookmarkEnd w:id="1469"/>
          </w:p>
        </w:tc>
        <w:tc>
          <w:tcPr>
            <w:tcW w:w="2041" w:type="pct"/>
          </w:tcPr>
          <w:p w:rsidR="00CB0DD7" w:rsidRPr="000A0A5F" w:rsidRDefault="00CB0DD7">
            <w:pPr>
              <w:pStyle w:val="TAL"/>
            </w:pPr>
            <w:r w:rsidRPr="000A0A5F">
              <w:t>The code indicates that the server refuses to accept the request without a Content-Length header field.</w:t>
            </w:r>
          </w:p>
        </w:tc>
        <w:tc>
          <w:tcPr>
            <w:tcW w:w="534" w:type="pct"/>
          </w:tcPr>
          <w:p w:rsidR="00CB0DD7" w:rsidRPr="000A0A5F" w:rsidRDefault="00CB0DD7">
            <w:pPr>
              <w:pStyle w:val="TAL"/>
            </w:pPr>
            <w:r w:rsidRPr="000A0A5F">
              <w:t>POST, PUT, PATCH</w:t>
            </w:r>
          </w:p>
        </w:tc>
      </w:tr>
      <w:tr w:rsidR="009805D1" w:rsidRPr="000A0A5F" w:rsidTr="00FF0AF8">
        <w:tc>
          <w:tcPr>
            <w:tcW w:w="533" w:type="pct"/>
            <w:vMerge/>
            <w:shd w:val="clear" w:color="auto" w:fill="BFBFBF"/>
            <w:vAlign w:val="center"/>
          </w:tcPr>
          <w:p w:rsidR="009805D1" w:rsidRPr="000A0A5F" w:rsidRDefault="009805D1" w:rsidP="009805D1">
            <w:pPr>
              <w:pStyle w:val="TAL"/>
              <w:jc w:val="center"/>
            </w:pPr>
          </w:p>
        </w:tc>
        <w:tc>
          <w:tcPr>
            <w:tcW w:w="728" w:type="pct"/>
            <w:shd w:val="clear" w:color="auto" w:fill="auto"/>
          </w:tcPr>
          <w:p w:rsidR="009805D1" w:rsidRPr="000A0A5F" w:rsidRDefault="009805D1" w:rsidP="009805D1">
            <w:pPr>
              <w:pStyle w:val="TAL"/>
            </w:pPr>
            <w:r w:rsidRPr="000A0A5F">
              <w:t>ProblemDetails</w:t>
            </w:r>
          </w:p>
        </w:tc>
        <w:tc>
          <w:tcPr>
            <w:tcW w:w="582" w:type="pct"/>
          </w:tcPr>
          <w:p w:rsidR="009805D1" w:rsidRPr="000A0A5F" w:rsidRDefault="009805D1" w:rsidP="009805D1">
            <w:pPr>
              <w:pStyle w:val="TAL"/>
            </w:pPr>
            <w:r w:rsidRPr="000A0A5F">
              <w:t>1</w:t>
            </w:r>
          </w:p>
        </w:tc>
        <w:tc>
          <w:tcPr>
            <w:tcW w:w="582" w:type="pct"/>
          </w:tcPr>
          <w:p w:rsidR="009805D1" w:rsidRPr="000A0A5F" w:rsidRDefault="009805D1" w:rsidP="009805D1">
            <w:pPr>
              <w:pStyle w:val="TAL"/>
            </w:pPr>
            <w:r w:rsidRPr="000A0A5F">
              <w:t>413 Content Too Large</w:t>
            </w:r>
          </w:p>
        </w:tc>
        <w:tc>
          <w:tcPr>
            <w:tcW w:w="2041" w:type="pct"/>
          </w:tcPr>
          <w:p w:rsidR="009805D1" w:rsidRPr="000A0A5F" w:rsidRDefault="009805D1" w:rsidP="009805D1">
            <w:pPr>
              <w:pStyle w:val="TAL"/>
              <w:rPr>
                <w:rFonts w:cs="Arial"/>
              </w:rPr>
            </w:pPr>
            <w:r w:rsidRPr="000A0A5F">
              <w:rPr>
                <w:b/>
              </w:rPr>
              <w:t>If the received HTTP request contains content larger than the server is able to process, the NF shall reject the HTTP request.</w:t>
            </w:r>
          </w:p>
        </w:tc>
        <w:tc>
          <w:tcPr>
            <w:tcW w:w="534" w:type="pct"/>
          </w:tcPr>
          <w:p w:rsidR="009805D1" w:rsidRPr="000A0A5F" w:rsidRDefault="009805D1" w:rsidP="009805D1">
            <w:pPr>
              <w:pStyle w:val="TAL"/>
            </w:pPr>
            <w:r w:rsidRPr="000A0A5F">
              <w:t>POST, PUT, PATCH</w:t>
            </w:r>
          </w:p>
        </w:tc>
      </w:tr>
      <w:tr w:rsidR="00CB0DD7" w:rsidRPr="000A0A5F" w:rsidTr="00FF0AF8">
        <w:tc>
          <w:tcPr>
            <w:tcW w:w="533" w:type="pct"/>
            <w:vMerge/>
            <w:shd w:val="clear" w:color="auto" w:fill="BFBFBF"/>
            <w:vAlign w:val="center"/>
          </w:tcPr>
          <w:p w:rsidR="00CB0DD7" w:rsidRPr="000A0A5F" w:rsidRDefault="00CB0DD7">
            <w:pPr>
              <w:pStyle w:val="TAL"/>
              <w:jc w:val="center"/>
            </w:pPr>
          </w:p>
        </w:tc>
        <w:tc>
          <w:tcPr>
            <w:tcW w:w="728" w:type="pct"/>
            <w:shd w:val="clear" w:color="auto" w:fill="auto"/>
          </w:tcPr>
          <w:p w:rsidR="00CB0DD7" w:rsidRPr="000A0A5F" w:rsidRDefault="00CB0DD7">
            <w:pPr>
              <w:pStyle w:val="TAL"/>
            </w:pPr>
            <w:r w:rsidRPr="000A0A5F">
              <w:t>ProblemDetails</w:t>
            </w:r>
          </w:p>
        </w:tc>
        <w:tc>
          <w:tcPr>
            <w:tcW w:w="582" w:type="pct"/>
          </w:tcPr>
          <w:p w:rsidR="00CB0DD7" w:rsidRPr="000A0A5F" w:rsidRDefault="00CB0DD7">
            <w:pPr>
              <w:pStyle w:val="TAL"/>
            </w:pPr>
            <w:r w:rsidRPr="000A0A5F">
              <w:t>1</w:t>
            </w:r>
          </w:p>
        </w:tc>
        <w:tc>
          <w:tcPr>
            <w:tcW w:w="582" w:type="pct"/>
          </w:tcPr>
          <w:p w:rsidR="00CB0DD7" w:rsidRPr="000A0A5F" w:rsidRDefault="00CB0DD7">
            <w:pPr>
              <w:pStyle w:val="TAL"/>
            </w:pPr>
            <w:r w:rsidRPr="000A0A5F">
              <w:t>415 Unsupported Media Type</w:t>
            </w:r>
          </w:p>
        </w:tc>
        <w:tc>
          <w:tcPr>
            <w:tcW w:w="2041" w:type="pct"/>
          </w:tcPr>
          <w:p w:rsidR="00CB0DD7" w:rsidRPr="000A0A5F" w:rsidRDefault="00CB0DD7">
            <w:pPr>
              <w:pStyle w:val="TF"/>
              <w:spacing w:after="0"/>
              <w:jc w:val="left"/>
              <w:rPr>
                <w:b w:val="0"/>
                <w:sz w:val="18"/>
              </w:rPr>
            </w:pPr>
            <w:r w:rsidRPr="000A0A5F">
              <w:rPr>
                <w:b w:val="0"/>
                <w:sz w:val="18"/>
              </w:rPr>
              <w:t>The code indicates that the resource is in a format which is not supported by the server for the method.</w:t>
            </w:r>
          </w:p>
        </w:tc>
        <w:tc>
          <w:tcPr>
            <w:tcW w:w="534" w:type="pct"/>
          </w:tcPr>
          <w:p w:rsidR="00CB0DD7" w:rsidRPr="000A0A5F" w:rsidRDefault="00CB0DD7">
            <w:pPr>
              <w:pStyle w:val="TAL"/>
            </w:pPr>
            <w:r w:rsidRPr="000A0A5F">
              <w:t>POST, PUT, PATCH</w:t>
            </w:r>
          </w:p>
        </w:tc>
      </w:tr>
      <w:tr w:rsidR="00CB0DD7" w:rsidRPr="000A0A5F" w:rsidTr="00FF0AF8">
        <w:tc>
          <w:tcPr>
            <w:tcW w:w="533" w:type="pct"/>
            <w:vMerge/>
            <w:shd w:val="clear" w:color="auto" w:fill="BFBFBF"/>
            <w:vAlign w:val="center"/>
          </w:tcPr>
          <w:p w:rsidR="00CB0DD7" w:rsidRPr="000A0A5F" w:rsidRDefault="00CB0DD7">
            <w:pPr>
              <w:pStyle w:val="TAL"/>
              <w:jc w:val="center"/>
            </w:pPr>
          </w:p>
        </w:tc>
        <w:tc>
          <w:tcPr>
            <w:tcW w:w="728" w:type="pct"/>
            <w:shd w:val="clear" w:color="auto" w:fill="auto"/>
          </w:tcPr>
          <w:p w:rsidR="00CB0DD7" w:rsidRPr="000A0A5F" w:rsidRDefault="00CB0DD7">
            <w:pPr>
              <w:pStyle w:val="TAL"/>
            </w:pPr>
            <w:r w:rsidRPr="000A0A5F">
              <w:t>ProblemDetails</w:t>
            </w:r>
          </w:p>
        </w:tc>
        <w:tc>
          <w:tcPr>
            <w:tcW w:w="582" w:type="pct"/>
          </w:tcPr>
          <w:p w:rsidR="00CB0DD7" w:rsidRPr="000A0A5F" w:rsidRDefault="00CB0DD7">
            <w:pPr>
              <w:pStyle w:val="TAL"/>
            </w:pPr>
            <w:r w:rsidRPr="000A0A5F">
              <w:t>1</w:t>
            </w:r>
          </w:p>
        </w:tc>
        <w:tc>
          <w:tcPr>
            <w:tcW w:w="582" w:type="pct"/>
          </w:tcPr>
          <w:p w:rsidR="00CB0DD7" w:rsidRPr="000A0A5F" w:rsidRDefault="00CB0DD7">
            <w:pPr>
              <w:pStyle w:val="TAL"/>
            </w:pPr>
            <w:r w:rsidRPr="000A0A5F">
              <w:t>429 Too Many Requests</w:t>
            </w:r>
          </w:p>
        </w:tc>
        <w:tc>
          <w:tcPr>
            <w:tcW w:w="2041" w:type="pct"/>
          </w:tcPr>
          <w:p w:rsidR="00CB0DD7" w:rsidRPr="000A0A5F" w:rsidRDefault="00CB0DD7">
            <w:pPr>
              <w:pStyle w:val="TF"/>
              <w:spacing w:after="0"/>
              <w:jc w:val="left"/>
              <w:rPr>
                <w:b w:val="0"/>
                <w:sz w:val="18"/>
              </w:rPr>
            </w:pPr>
            <w:r w:rsidRPr="000A0A5F">
              <w:rPr>
                <w:b w:val="0"/>
                <w:sz w:val="18"/>
              </w:rPr>
              <w:t>The code indicates that due to excessive traffic which, if continued over time, may lead to (or may increase) an overload situation.</w:t>
            </w:r>
          </w:p>
          <w:p w:rsidR="00CB0DD7" w:rsidRPr="000A0A5F" w:rsidRDefault="00CB0DD7">
            <w:pPr>
              <w:pStyle w:val="TF"/>
              <w:spacing w:after="0"/>
              <w:jc w:val="left"/>
              <w:rPr>
                <w:b w:val="0"/>
                <w:sz w:val="18"/>
              </w:rPr>
            </w:pPr>
            <w:r w:rsidRPr="000A0A5F">
              <w:rPr>
                <w:b w:val="0"/>
                <w:sz w:val="18"/>
              </w:rPr>
              <w:t>The HTTP header field "Retry-After" may be added in the response to indicate how long the client has to wait before making a new request.</w:t>
            </w:r>
          </w:p>
        </w:tc>
        <w:tc>
          <w:tcPr>
            <w:tcW w:w="534" w:type="pct"/>
          </w:tcPr>
          <w:p w:rsidR="00CB0DD7" w:rsidRPr="000A0A5F" w:rsidRDefault="00CB0DD7">
            <w:pPr>
              <w:pStyle w:val="TAL"/>
            </w:pPr>
            <w:r w:rsidRPr="000A0A5F">
              <w:t>GET, POST, PUT, PATCH, DELETE</w:t>
            </w:r>
          </w:p>
        </w:tc>
      </w:tr>
      <w:tr w:rsidR="00CB0DD7" w:rsidRPr="000A0A5F" w:rsidTr="00FF0AF8">
        <w:tc>
          <w:tcPr>
            <w:tcW w:w="533" w:type="pct"/>
            <w:vMerge/>
            <w:shd w:val="clear" w:color="auto" w:fill="BFBFBF"/>
            <w:vAlign w:val="center"/>
          </w:tcPr>
          <w:p w:rsidR="00CB0DD7" w:rsidRPr="000A0A5F" w:rsidRDefault="00CB0DD7">
            <w:pPr>
              <w:pStyle w:val="TAL"/>
              <w:jc w:val="center"/>
            </w:pPr>
          </w:p>
        </w:tc>
        <w:tc>
          <w:tcPr>
            <w:tcW w:w="728" w:type="pct"/>
            <w:shd w:val="clear" w:color="auto" w:fill="auto"/>
          </w:tcPr>
          <w:p w:rsidR="00CB0DD7" w:rsidRPr="000A0A5F" w:rsidRDefault="00CB0DD7">
            <w:pPr>
              <w:pStyle w:val="TAL"/>
            </w:pPr>
            <w:r w:rsidRPr="000A0A5F">
              <w:t>ProblemDetails</w:t>
            </w:r>
          </w:p>
        </w:tc>
        <w:tc>
          <w:tcPr>
            <w:tcW w:w="582" w:type="pct"/>
          </w:tcPr>
          <w:p w:rsidR="00CB0DD7" w:rsidRPr="000A0A5F" w:rsidRDefault="00CB0DD7">
            <w:pPr>
              <w:pStyle w:val="TAL"/>
            </w:pPr>
            <w:r w:rsidRPr="000A0A5F">
              <w:t>1</w:t>
            </w:r>
          </w:p>
        </w:tc>
        <w:tc>
          <w:tcPr>
            <w:tcW w:w="582" w:type="pct"/>
          </w:tcPr>
          <w:p w:rsidR="00CB0DD7" w:rsidRPr="000A0A5F" w:rsidRDefault="00CB0DD7">
            <w:pPr>
              <w:pStyle w:val="TAL"/>
            </w:pPr>
            <w:r w:rsidRPr="000A0A5F">
              <w:t xml:space="preserve">500 Internal Server Error </w:t>
            </w:r>
          </w:p>
        </w:tc>
        <w:tc>
          <w:tcPr>
            <w:tcW w:w="2041" w:type="pct"/>
            <w:vAlign w:val="center"/>
          </w:tcPr>
          <w:p w:rsidR="00CB0DD7" w:rsidRPr="000A0A5F" w:rsidRDefault="00CB0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hAnsi="Arial"/>
                <w:sz w:val="18"/>
              </w:rPr>
            </w:pPr>
            <w:r w:rsidRPr="000A0A5F">
              <w:rPr>
                <w:rFonts w:ascii="Arial" w:hAnsi="Arial"/>
                <w:sz w:val="18"/>
              </w:rPr>
              <w:t>The server encountered an unexpected condition that prevented it from fulfilling the request.</w:t>
            </w:r>
          </w:p>
          <w:p w:rsidR="00CB0DD7" w:rsidRPr="000A0A5F" w:rsidRDefault="00CB0DD7">
            <w:pPr>
              <w:pStyle w:val="TAL"/>
              <w:rPr>
                <w:rFonts w:cs="Arial"/>
              </w:rPr>
            </w:pPr>
          </w:p>
        </w:tc>
        <w:tc>
          <w:tcPr>
            <w:tcW w:w="534" w:type="pct"/>
          </w:tcPr>
          <w:p w:rsidR="00CB0DD7" w:rsidRPr="000A0A5F" w:rsidRDefault="00CB0DD7">
            <w:pPr>
              <w:pStyle w:val="TAL"/>
            </w:pPr>
            <w:r w:rsidRPr="000A0A5F">
              <w:t>GET, POST, PUT, PATCH, DELETE</w:t>
            </w:r>
          </w:p>
        </w:tc>
      </w:tr>
      <w:tr w:rsidR="00CB0DD7" w:rsidRPr="000A0A5F" w:rsidTr="00FF0AF8">
        <w:tc>
          <w:tcPr>
            <w:tcW w:w="533" w:type="pct"/>
            <w:vMerge/>
            <w:shd w:val="clear" w:color="auto" w:fill="BFBFBF"/>
            <w:vAlign w:val="center"/>
          </w:tcPr>
          <w:p w:rsidR="00CB0DD7" w:rsidRPr="000A0A5F" w:rsidRDefault="00CB0DD7">
            <w:pPr>
              <w:pStyle w:val="TAL"/>
              <w:jc w:val="center"/>
            </w:pPr>
          </w:p>
        </w:tc>
        <w:tc>
          <w:tcPr>
            <w:tcW w:w="728" w:type="pct"/>
            <w:shd w:val="clear" w:color="auto" w:fill="auto"/>
          </w:tcPr>
          <w:p w:rsidR="00CB0DD7" w:rsidRPr="000A0A5F" w:rsidRDefault="00CB0DD7">
            <w:pPr>
              <w:pStyle w:val="TAL"/>
            </w:pPr>
            <w:r w:rsidRPr="000A0A5F">
              <w:t>ProblemDetails</w:t>
            </w:r>
          </w:p>
        </w:tc>
        <w:tc>
          <w:tcPr>
            <w:tcW w:w="582" w:type="pct"/>
          </w:tcPr>
          <w:p w:rsidR="00CB0DD7" w:rsidRPr="000A0A5F" w:rsidRDefault="00CB0DD7">
            <w:pPr>
              <w:pStyle w:val="TAL"/>
            </w:pPr>
            <w:r w:rsidRPr="000A0A5F">
              <w:t>1</w:t>
            </w:r>
          </w:p>
        </w:tc>
        <w:tc>
          <w:tcPr>
            <w:tcW w:w="582" w:type="pct"/>
          </w:tcPr>
          <w:p w:rsidR="00CB0DD7" w:rsidRPr="000A0A5F" w:rsidRDefault="00CB0DD7">
            <w:pPr>
              <w:pStyle w:val="TAL"/>
            </w:pPr>
            <w:r w:rsidRPr="000A0A5F">
              <w:t xml:space="preserve">503 Service Unavailable </w:t>
            </w:r>
          </w:p>
        </w:tc>
        <w:tc>
          <w:tcPr>
            <w:tcW w:w="2041" w:type="pct"/>
            <w:vAlign w:val="center"/>
          </w:tcPr>
          <w:p w:rsidR="00CB0DD7" w:rsidRPr="000A0A5F" w:rsidRDefault="00CB0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hAnsi="Arial"/>
                <w:sz w:val="18"/>
              </w:rPr>
            </w:pPr>
            <w:r w:rsidRPr="000A0A5F">
              <w:rPr>
                <w:rFonts w:ascii="Arial" w:hAnsi="Arial"/>
                <w:sz w:val="18"/>
              </w:rPr>
              <w:t>The server is unable to handle the request.</w:t>
            </w:r>
          </w:p>
          <w:p w:rsidR="00CB0DD7" w:rsidRPr="000A0A5F" w:rsidRDefault="00CB0DD7">
            <w:pPr>
              <w:pStyle w:val="TAL"/>
              <w:rPr>
                <w:rFonts w:cs="Arial"/>
              </w:rPr>
            </w:pPr>
          </w:p>
        </w:tc>
        <w:tc>
          <w:tcPr>
            <w:tcW w:w="534" w:type="pct"/>
          </w:tcPr>
          <w:p w:rsidR="00CB0DD7" w:rsidRPr="000A0A5F" w:rsidRDefault="00CB0DD7">
            <w:pPr>
              <w:pStyle w:val="TAL"/>
            </w:pPr>
            <w:r w:rsidRPr="000A0A5F">
              <w:t>GET, POST, PUT, PATCH, DELETE</w:t>
            </w:r>
          </w:p>
        </w:tc>
      </w:tr>
      <w:tr w:rsidR="00CB0DD7" w:rsidRPr="000A0A5F" w:rsidTr="00FF0AF8">
        <w:tc>
          <w:tcPr>
            <w:tcW w:w="5000" w:type="pct"/>
            <w:gridSpan w:val="6"/>
            <w:shd w:val="clear" w:color="auto" w:fill="auto"/>
            <w:vAlign w:val="center"/>
          </w:tcPr>
          <w:p w:rsidR="00CB0DD7" w:rsidRPr="000A0A5F" w:rsidRDefault="00CB0DD7">
            <w:pPr>
              <w:pStyle w:val="TAN"/>
            </w:pPr>
            <w:r w:rsidRPr="000A0A5F">
              <w:t>NOTE 1:</w:t>
            </w:r>
            <w:r w:rsidRPr="000A0A5F">
              <w:tab/>
              <w:t>In addition to the above response codes, the SCEF can also send other valid HTTP response codes, if applicable. The list of all valid HTTP response codes can be found in HTTP Status Code Registry at IANA</w:t>
            </w:r>
            <w:r w:rsidRPr="000A0A5F">
              <w:rPr>
                <w:rFonts w:ascii="Cambria" w:eastAsia="Cambria" w:hAnsi="Cambria"/>
              </w:rPr>
              <w:t> </w:t>
            </w:r>
            <w:r w:rsidRPr="000A0A5F">
              <w:t>[6].</w:t>
            </w:r>
          </w:p>
          <w:p w:rsidR="00C520FB" w:rsidRPr="000A0A5F" w:rsidRDefault="00CB0DD7" w:rsidP="00C520FB">
            <w:pPr>
              <w:pStyle w:val="TAN"/>
              <w:rPr>
                <w:lang w:eastAsia="zh-CN"/>
              </w:rPr>
            </w:pPr>
            <w:r w:rsidRPr="000A0A5F">
              <w:t>NOTE 2:</w:t>
            </w:r>
            <w:r w:rsidRPr="000A0A5F">
              <w:tab/>
            </w:r>
            <w:r w:rsidR="00C520FB" w:rsidRPr="000A0A5F">
              <w:rPr>
                <w:lang w:eastAsia="zh-CN"/>
              </w:rPr>
              <w:t xml:space="preserve">The MIME media type that shall be used within the related Content-Type header field is </w:t>
            </w:r>
            <w:r w:rsidR="00C520FB" w:rsidRPr="000A0A5F">
              <w:rPr>
                <w:rFonts w:hint="eastAsia"/>
                <w:lang w:eastAsia="zh-CN"/>
              </w:rPr>
              <w:t>"</w:t>
            </w:r>
            <w:r w:rsidR="00C520FB" w:rsidRPr="000A0A5F">
              <w:rPr>
                <w:lang w:eastAsia="zh-CN"/>
              </w:rPr>
              <w:t>application/problem+json</w:t>
            </w:r>
            <w:r w:rsidR="00C520FB" w:rsidRPr="000A0A5F">
              <w:rPr>
                <w:rFonts w:hint="eastAsia"/>
                <w:lang w:eastAsia="zh-CN"/>
              </w:rPr>
              <w:t>"</w:t>
            </w:r>
            <w:r w:rsidR="00C520FB" w:rsidRPr="000A0A5F">
              <w:rPr>
                <w:lang w:eastAsia="zh-CN"/>
              </w:rPr>
              <w:t xml:space="preserve">, as defined in </w:t>
            </w:r>
            <w:r w:rsidR="00C520FB" w:rsidRPr="000A0A5F">
              <w:t>IETF RFC 9457 [8]</w:t>
            </w:r>
            <w:r w:rsidR="00C520FB" w:rsidRPr="000A0A5F">
              <w:rPr>
                <w:lang w:eastAsia="zh-CN"/>
              </w:rPr>
              <w:t>.</w:t>
            </w:r>
          </w:p>
          <w:p w:rsidR="00CB0DD7" w:rsidRPr="000A0A5F" w:rsidRDefault="00CB0DD7">
            <w:pPr>
              <w:pStyle w:val="TAN"/>
              <w:rPr>
                <w:lang w:eastAsia="zh-CN"/>
              </w:rPr>
            </w:pPr>
            <w:r w:rsidRPr="000A0A5F">
              <w:t>NOTE 3:</w:t>
            </w:r>
            <w:r w:rsidRPr="000A0A5F">
              <w:tab/>
              <w:t>The information about which provided parameters are out of range shall be provided in the "invalidParams" attribute of the "ProblemDetails" structure</w:t>
            </w:r>
            <w:r w:rsidRPr="000A0A5F">
              <w:rPr>
                <w:lang w:eastAsia="zh-CN"/>
              </w:rPr>
              <w:t xml:space="preserve"> for the API of network parameter configuration.</w:t>
            </w:r>
          </w:p>
          <w:p w:rsidR="00CB0DD7" w:rsidRPr="000A0A5F" w:rsidRDefault="00CB0DD7">
            <w:pPr>
              <w:pStyle w:val="TAN"/>
            </w:pPr>
            <w:r w:rsidRPr="000A0A5F">
              <w:t>NOTE 4:</w:t>
            </w:r>
            <w:r w:rsidRPr="000A0A5F">
              <w:tab/>
              <w:t>More information may be provided in the "detail" attribute of the "ProblemDetails" structure.</w:t>
            </w:r>
          </w:p>
        </w:tc>
      </w:tr>
    </w:tbl>
    <w:p w:rsidR="00CB0DD7" w:rsidRPr="000A0A5F" w:rsidRDefault="00CB0DD7"/>
    <w:p w:rsidR="00CB0DD7" w:rsidRPr="000A0A5F" w:rsidRDefault="00CB0DD7">
      <w:r w:rsidRPr="000A0A5F">
        <w:t xml:space="preserve">The protocol and application errors in clause 5.2.7.2 of 3GPP TS 29.500 [44] are applicable for above status codes for the APIs defined in the present specification. </w:t>
      </w:r>
      <w:r w:rsidRPr="000A0A5F">
        <w:rPr>
          <w:lang w:eastAsia="zh-CN"/>
        </w:rPr>
        <w:t>Specific errors are contained in the related API definition for each API.</w:t>
      </w:r>
    </w:p>
    <w:p w:rsidR="00CB0DD7" w:rsidRPr="000A0A5F" w:rsidRDefault="00CB0DD7"/>
    <w:p w:rsidR="00CB0DD7" w:rsidRPr="000A0A5F" w:rsidRDefault="00CB0DD7">
      <w:pPr>
        <w:pStyle w:val="Heading3"/>
        <w:spacing w:before="180"/>
        <w:rPr>
          <w:lang w:eastAsia="zh-CN"/>
        </w:rPr>
      </w:pPr>
      <w:bookmarkStart w:id="1470" w:name="_Toc11247287"/>
      <w:bookmarkStart w:id="1471" w:name="_Toc27044407"/>
      <w:bookmarkStart w:id="1472" w:name="_Toc36033449"/>
      <w:bookmarkStart w:id="1473" w:name="_Toc45131581"/>
      <w:bookmarkStart w:id="1474" w:name="_Toc49775866"/>
      <w:bookmarkStart w:id="1475" w:name="_Toc51746786"/>
      <w:bookmarkStart w:id="1476" w:name="_Toc66360328"/>
      <w:bookmarkStart w:id="1477" w:name="_Toc68104833"/>
      <w:bookmarkStart w:id="1478" w:name="_Toc74755462"/>
      <w:bookmarkStart w:id="1479" w:name="_Toc105674317"/>
      <w:bookmarkStart w:id="1480" w:name="_Toc130502354"/>
      <w:bookmarkStart w:id="1481" w:name="_Toc153625133"/>
      <w:r w:rsidRPr="000A0A5F">
        <w:rPr>
          <w:rFonts w:hint="eastAsia"/>
        </w:rPr>
        <w:t>5.</w:t>
      </w:r>
      <w:r w:rsidRPr="000A0A5F">
        <w:t>2</w:t>
      </w:r>
      <w:r w:rsidRPr="000A0A5F">
        <w:rPr>
          <w:rFonts w:hint="eastAsia"/>
        </w:rPr>
        <w:t>.</w:t>
      </w:r>
      <w:r w:rsidRPr="000A0A5F">
        <w:t>7</w:t>
      </w:r>
      <w:r w:rsidRPr="000A0A5F">
        <w:rPr>
          <w:rFonts w:hint="eastAsia"/>
          <w:lang w:eastAsia="zh-CN"/>
        </w:rPr>
        <w:tab/>
      </w:r>
      <w:r w:rsidRPr="000A0A5F">
        <w:rPr>
          <w:lang w:eastAsia="zh-CN"/>
        </w:rPr>
        <w:t>Feature negotiation</w:t>
      </w:r>
      <w:bookmarkEnd w:id="1470"/>
      <w:bookmarkEnd w:id="1471"/>
      <w:bookmarkEnd w:id="1472"/>
      <w:bookmarkEnd w:id="1473"/>
      <w:bookmarkEnd w:id="1474"/>
      <w:bookmarkEnd w:id="1475"/>
      <w:bookmarkEnd w:id="1476"/>
      <w:bookmarkEnd w:id="1477"/>
      <w:bookmarkEnd w:id="1478"/>
      <w:bookmarkEnd w:id="1479"/>
      <w:bookmarkEnd w:id="1480"/>
      <w:bookmarkEnd w:id="1481"/>
    </w:p>
    <w:p w:rsidR="00CB0DD7" w:rsidRPr="000A0A5F" w:rsidRDefault="00CB0DD7">
      <w:r w:rsidRPr="000A0A5F">
        <w:t>The procedures in clause 6.6.2 of 3GPP TS 29.500 [44] shall be applicable for the APIs defined in the present specification with the difference that the SCEF should not register any feature for northbound APIs in the NRF.</w:t>
      </w:r>
    </w:p>
    <w:p w:rsidR="00CB0DD7" w:rsidRPr="000A0A5F" w:rsidRDefault="00CB0DD7">
      <w:pPr>
        <w:rPr>
          <w:rFonts w:hint="eastAsia"/>
          <w:lang w:eastAsia="zh-CN"/>
        </w:rPr>
      </w:pPr>
      <w:r w:rsidRPr="000A0A5F">
        <w:rPr>
          <w:lang w:eastAsia="zh-CN"/>
        </w:rPr>
        <w:t>The supported features are negotiated separately for each API. For each of the APIs defined in the present specification, the applicable list of features is contained in the related API definition.</w:t>
      </w:r>
    </w:p>
    <w:p w:rsidR="00CB0DD7" w:rsidRPr="000A0A5F" w:rsidRDefault="00CB0DD7">
      <w:pPr>
        <w:pStyle w:val="Heading3"/>
        <w:rPr>
          <w:lang w:eastAsia="zh-CN"/>
        </w:rPr>
      </w:pPr>
      <w:bookmarkStart w:id="1482" w:name="_Toc11247288"/>
      <w:bookmarkStart w:id="1483" w:name="_Toc27044408"/>
      <w:bookmarkStart w:id="1484" w:name="_Toc36033450"/>
      <w:bookmarkStart w:id="1485" w:name="_Toc45131582"/>
      <w:bookmarkStart w:id="1486" w:name="_Toc49775867"/>
      <w:bookmarkStart w:id="1487" w:name="_Toc51746787"/>
      <w:bookmarkStart w:id="1488" w:name="_Toc66360329"/>
      <w:bookmarkStart w:id="1489" w:name="_Toc68104834"/>
      <w:bookmarkStart w:id="1490" w:name="_Toc74755463"/>
      <w:bookmarkStart w:id="1491" w:name="_Toc105674318"/>
      <w:bookmarkStart w:id="1492" w:name="_Toc130502355"/>
      <w:bookmarkStart w:id="1493" w:name="_Toc153625134"/>
      <w:r w:rsidRPr="000A0A5F">
        <w:rPr>
          <w:rFonts w:hint="eastAsia"/>
        </w:rPr>
        <w:t>5.</w:t>
      </w:r>
      <w:r w:rsidRPr="000A0A5F">
        <w:t>2</w:t>
      </w:r>
      <w:r w:rsidRPr="000A0A5F">
        <w:rPr>
          <w:rFonts w:hint="eastAsia"/>
        </w:rPr>
        <w:t>.</w:t>
      </w:r>
      <w:r w:rsidRPr="000A0A5F">
        <w:t>8</w:t>
      </w:r>
      <w:r w:rsidRPr="000A0A5F">
        <w:rPr>
          <w:rFonts w:hint="eastAsia"/>
          <w:lang w:eastAsia="zh-CN"/>
        </w:rPr>
        <w:tab/>
      </w:r>
      <w:r w:rsidRPr="000A0A5F">
        <w:rPr>
          <w:lang w:eastAsia="zh-CN"/>
        </w:rPr>
        <w:t>HTTP custom headers</w:t>
      </w:r>
      <w:bookmarkEnd w:id="1482"/>
      <w:bookmarkEnd w:id="1483"/>
      <w:bookmarkEnd w:id="1484"/>
      <w:bookmarkEnd w:id="1485"/>
      <w:bookmarkEnd w:id="1486"/>
      <w:bookmarkEnd w:id="1487"/>
      <w:bookmarkEnd w:id="1488"/>
      <w:bookmarkEnd w:id="1489"/>
      <w:bookmarkEnd w:id="1490"/>
      <w:bookmarkEnd w:id="1491"/>
      <w:bookmarkEnd w:id="1492"/>
      <w:bookmarkEnd w:id="1493"/>
    </w:p>
    <w:p w:rsidR="00CB0DD7" w:rsidRPr="000A0A5F" w:rsidRDefault="00CB0DD7">
      <w:pPr>
        <w:pStyle w:val="Heading4"/>
        <w:rPr>
          <w:lang w:eastAsia="zh-CN"/>
        </w:rPr>
      </w:pPr>
      <w:bookmarkStart w:id="1494" w:name="_Toc11247289"/>
      <w:bookmarkStart w:id="1495" w:name="_Toc27044409"/>
      <w:bookmarkStart w:id="1496" w:name="_Toc36033451"/>
      <w:bookmarkStart w:id="1497" w:name="_Toc45131583"/>
      <w:bookmarkStart w:id="1498" w:name="_Toc49775868"/>
      <w:bookmarkStart w:id="1499" w:name="_Toc51746788"/>
      <w:bookmarkStart w:id="1500" w:name="_Toc66360330"/>
      <w:bookmarkStart w:id="1501" w:name="_Toc68104835"/>
      <w:bookmarkStart w:id="1502" w:name="_Toc74755464"/>
      <w:bookmarkStart w:id="1503" w:name="_Toc105674319"/>
      <w:bookmarkStart w:id="1504" w:name="_Toc130502356"/>
      <w:bookmarkStart w:id="1505" w:name="_Toc153625135"/>
      <w:r w:rsidRPr="000A0A5F">
        <w:rPr>
          <w:rFonts w:hint="eastAsia"/>
        </w:rPr>
        <w:t>5.</w:t>
      </w:r>
      <w:r w:rsidRPr="000A0A5F">
        <w:t>2</w:t>
      </w:r>
      <w:r w:rsidRPr="000A0A5F">
        <w:rPr>
          <w:rFonts w:hint="eastAsia"/>
        </w:rPr>
        <w:t>.</w:t>
      </w:r>
      <w:r w:rsidRPr="000A0A5F">
        <w:t>8.1</w:t>
      </w:r>
      <w:r w:rsidRPr="000A0A5F">
        <w:rPr>
          <w:rFonts w:hint="eastAsia"/>
          <w:lang w:eastAsia="zh-CN"/>
        </w:rPr>
        <w:tab/>
      </w:r>
      <w:r w:rsidRPr="000A0A5F">
        <w:rPr>
          <w:lang w:eastAsia="zh-CN"/>
        </w:rPr>
        <w:t>General</w:t>
      </w:r>
      <w:bookmarkEnd w:id="1494"/>
      <w:bookmarkEnd w:id="1495"/>
      <w:bookmarkEnd w:id="1496"/>
      <w:bookmarkEnd w:id="1497"/>
      <w:bookmarkEnd w:id="1498"/>
      <w:bookmarkEnd w:id="1499"/>
      <w:bookmarkEnd w:id="1500"/>
      <w:bookmarkEnd w:id="1501"/>
      <w:bookmarkEnd w:id="1502"/>
      <w:bookmarkEnd w:id="1503"/>
      <w:bookmarkEnd w:id="1504"/>
      <w:bookmarkEnd w:id="1505"/>
    </w:p>
    <w:p w:rsidR="00CB0DD7" w:rsidRPr="000A0A5F" w:rsidRDefault="00CB0DD7">
      <w:pPr>
        <w:rPr>
          <w:lang w:eastAsia="zh-CN"/>
        </w:rPr>
      </w:pPr>
      <w:r w:rsidRPr="000A0A5F">
        <w:rPr>
          <w:lang w:eastAsia="zh-CN"/>
        </w:rPr>
        <w:t>This clause lists reused HTTP custom headers and defines any new HTTP custom headers introduced by this specification.</w:t>
      </w:r>
    </w:p>
    <w:p w:rsidR="00CB0DD7" w:rsidRPr="000A0A5F" w:rsidRDefault="00CB0DD7">
      <w:pPr>
        <w:pStyle w:val="Heading4"/>
        <w:rPr>
          <w:lang w:eastAsia="zh-CN"/>
        </w:rPr>
      </w:pPr>
      <w:bookmarkStart w:id="1506" w:name="_Toc11247290"/>
      <w:bookmarkStart w:id="1507" w:name="_Toc27044410"/>
      <w:bookmarkStart w:id="1508" w:name="_Toc36033452"/>
      <w:bookmarkStart w:id="1509" w:name="_Toc45131584"/>
      <w:bookmarkStart w:id="1510" w:name="_Toc49775869"/>
      <w:bookmarkStart w:id="1511" w:name="_Toc51746789"/>
      <w:bookmarkStart w:id="1512" w:name="_Toc66360331"/>
      <w:bookmarkStart w:id="1513" w:name="_Toc68104836"/>
      <w:bookmarkStart w:id="1514" w:name="_Toc74755465"/>
      <w:bookmarkStart w:id="1515" w:name="_Toc105674320"/>
      <w:bookmarkStart w:id="1516" w:name="_Toc130502357"/>
      <w:bookmarkStart w:id="1517" w:name="_Toc153625136"/>
      <w:r w:rsidRPr="000A0A5F">
        <w:rPr>
          <w:rFonts w:hint="eastAsia"/>
        </w:rPr>
        <w:t>5.</w:t>
      </w:r>
      <w:r w:rsidRPr="000A0A5F">
        <w:t>2</w:t>
      </w:r>
      <w:r w:rsidRPr="000A0A5F">
        <w:rPr>
          <w:rFonts w:hint="eastAsia"/>
        </w:rPr>
        <w:t>.</w:t>
      </w:r>
      <w:r w:rsidRPr="000A0A5F">
        <w:t>8.2</w:t>
      </w:r>
      <w:r w:rsidRPr="000A0A5F">
        <w:rPr>
          <w:rFonts w:hint="eastAsia"/>
          <w:lang w:eastAsia="zh-CN"/>
        </w:rPr>
        <w:tab/>
      </w:r>
      <w:r w:rsidRPr="000A0A5F">
        <w:rPr>
          <w:lang w:eastAsia="zh-CN"/>
        </w:rPr>
        <w:t>Reused HTTP custom headers</w:t>
      </w:r>
      <w:bookmarkEnd w:id="1506"/>
      <w:bookmarkEnd w:id="1507"/>
      <w:bookmarkEnd w:id="1508"/>
      <w:bookmarkEnd w:id="1509"/>
      <w:bookmarkEnd w:id="1510"/>
      <w:bookmarkEnd w:id="1511"/>
      <w:bookmarkEnd w:id="1512"/>
      <w:bookmarkEnd w:id="1513"/>
      <w:bookmarkEnd w:id="1514"/>
      <w:bookmarkEnd w:id="1515"/>
      <w:bookmarkEnd w:id="1516"/>
      <w:bookmarkEnd w:id="1517"/>
    </w:p>
    <w:p w:rsidR="00CB0DD7" w:rsidRPr="000A0A5F" w:rsidRDefault="00CB0DD7">
      <w:pPr>
        <w:pStyle w:val="TH"/>
      </w:pPr>
      <w:r w:rsidRPr="000A0A5F">
        <w:t>Table 5.2.8.2-1: Reused HTTP custom headers</w:t>
      </w:r>
    </w:p>
    <w:tbl>
      <w:tblPr>
        <w:tblW w:w="9781"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10"/>
        <w:gridCol w:w="1985"/>
        <w:gridCol w:w="5386"/>
      </w:tblGrid>
      <w:tr w:rsidR="00CB0DD7" w:rsidRPr="000A0A5F" w:rsidTr="002B45A7">
        <w:trPr>
          <w:cantSplit/>
        </w:trPr>
        <w:tc>
          <w:tcPr>
            <w:tcW w:w="2410" w:type="dxa"/>
            <w:shd w:val="clear" w:color="auto" w:fill="C0C0C0"/>
          </w:tcPr>
          <w:p w:rsidR="00CB0DD7" w:rsidRPr="000A0A5F" w:rsidRDefault="00CB0DD7">
            <w:pPr>
              <w:pStyle w:val="TAH"/>
              <w:rPr>
                <w:rFonts w:eastAsia="Times New Roman"/>
              </w:rPr>
            </w:pPr>
            <w:r w:rsidRPr="000A0A5F">
              <w:rPr>
                <w:rFonts w:eastAsia="Times New Roman"/>
              </w:rPr>
              <w:t>Name</w:t>
            </w:r>
          </w:p>
        </w:tc>
        <w:tc>
          <w:tcPr>
            <w:tcW w:w="1985" w:type="dxa"/>
            <w:shd w:val="clear" w:color="auto" w:fill="C0C0C0"/>
          </w:tcPr>
          <w:p w:rsidR="00CB0DD7" w:rsidRPr="000A0A5F" w:rsidRDefault="00CB0DD7">
            <w:pPr>
              <w:pStyle w:val="TAH"/>
              <w:rPr>
                <w:rFonts w:eastAsia="Times New Roman"/>
              </w:rPr>
            </w:pPr>
            <w:r w:rsidRPr="000A0A5F">
              <w:rPr>
                <w:rFonts w:eastAsia="Times New Roman"/>
              </w:rPr>
              <w:t>Reference</w:t>
            </w:r>
          </w:p>
        </w:tc>
        <w:tc>
          <w:tcPr>
            <w:tcW w:w="5386" w:type="dxa"/>
            <w:shd w:val="clear" w:color="auto" w:fill="C0C0C0"/>
          </w:tcPr>
          <w:p w:rsidR="00CB0DD7" w:rsidRPr="000A0A5F" w:rsidRDefault="00CB0DD7">
            <w:pPr>
              <w:pStyle w:val="TAH"/>
              <w:rPr>
                <w:rFonts w:eastAsia="Batang"/>
                <w:lang w:eastAsia="ko-KR"/>
              </w:rPr>
            </w:pPr>
            <w:r w:rsidRPr="000A0A5F">
              <w:rPr>
                <w:rFonts w:eastAsia="Times New Roman"/>
              </w:rPr>
              <w:t>Description</w:t>
            </w:r>
          </w:p>
        </w:tc>
      </w:tr>
      <w:tr w:rsidR="00CB0DD7" w:rsidRPr="000A0A5F" w:rsidTr="002B45A7">
        <w:trPr>
          <w:cantSplit/>
        </w:trPr>
        <w:tc>
          <w:tcPr>
            <w:tcW w:w="2410" w:type="dxa"/>
          </w:tcPr>
          <w:p w:rsidR="00CB0DD7" w:rsidRPr="000A0A5F" w:rsidRDefault="00CB0DD7">
            <w:pPr>
              <w:pStyle w:val="TAC"/>
              <w:rPr>
                <w:lang w:eastAsia="zh-CN"/>
              </w:rPr>
            </w:pPr>
          </w:p>
        </w:tc>
        <w:tc>
          <w:tcPr>
            <w:tcW w:w="1985" w:type="dxa"/>
          </w:tcPr>
          <w:p w:rsidR="00CB0DD7" w:rsidRPr="000A0A5F" w:rsidRDefault="00CB0DD7">
            <w:pPr>
              <w:pStyle w:val="TAC"/>
              <w:rPr>
                <w:lang w:eastAsia="zh-CN"/>
              </w:rPr>
            </w:pPr>
          </w:p>
        </w:tc>
        <w:tc>
          <w:tcPr>
            <w:tcW w:w="5386" w:type="dxa"/>
          </w:tcPr>
          <w:p w:rsidR="00CB0DD7" w:rsidRPr="000A0A5F" w:rsidRDefault="00CB0DD7">
            <w:pPr>
              <w:pStyle w:val="TAL"/>
              <w:rPr>
                <w:lang w:eastAsia="zh-CN"/>
              </w:rPr>
            </w:pPr>
          </w:p>
        </w:tc>
      </w:tr>
    </w:tbl>
    <w:p w:rsidR="00CB0DD7" w:rsidRPr="000A0A5F" w:rsidRDefault="00CB0DD7"/>
    <w:p w:rsidR="00CB0DD7" w:rsidRPr="000A0A5F" w:rsidRDefault="00CB0DD7">
      <w:pPr>
        <w:keepNext/>
        <w:keepLines/>
        <w:spacing w:before="120"/>
        <w:ind w:left="1418" w:hanging="1418"/>
        <w:outlineLvl w:val="3"/>
        <w:rPr>
          <w:rFonts w:ascii="Arial" w:hAnsi="Arial"/>
          <w:sz w:val="24"/>
          <w:lang w:eastAsia="zh-CN"/>
        </w:rPr>
      </w:pPr>
      <w:bookmarkStart w:id="1518" w:name="_Toc11247291"/>
      <w:bookmarkStart w:id="1519" w:name="_Toc27044411"/>
      <w:bookmarkStart w:id="1520" w:name="_Toc36033453"/>
      <w:bookmarkStart w:id="1521" w:name="_Toc45131585"/>
      <w:bookmarkStart w:id="1522" w:name="_Toc49775870"/>
      <w:bookmarkStart w:id="1523" w:name="_Toc51746790"/>
      <w:r w:rsidRPr="000A0A5F">
        <w:rPr>
          <w:rFonts w:ascii="Arial" w:hAnsi="Arial" w:hint="eastAsia"/>
          <w:sz w:val="24"/>
        </w:rPr>
        <w:t>5.</w:t>
      </w:r>
      <w:r w:rsidRPr="000A0A5F">
        <w:rPr>
          <w:rFonts w:ascii="Arial" w:hAnsi="Arial"/>
          <w:sz w:val="24"/>
        </w:rPr>
        <w:t>2</w:t>
      </w:r>
      <w:r w:rsidRPr="000A0A5F">
        <w:rPr>
          <w:rFonts w:ascii="Arial" w:hAnsi="Arial" w:hint="eastAsia"/>
          <w:sz w:val="24"/>
        </w:rPr>
        <w:t>.</w:t>
      </w:r>
      <w:r w:rsidRPr="000A0A5F">
        <w:rPr>
          <w:rFonts w:ascii="Arial" w:hAnsi="Arial"/>
          <w:sz w:val="24"/>
        </w:rPr>
        <w:t>8.3</w:t>
      </w:r>
      <w:r w:rsidRPr="000A0A5F">
        <w:rPr>
          <w:rFonts w:ascii="Arial" w:hAnsi="Arial" w:hint="eastAsia"/>
          <w:sz w:val="24"/>
          <w:lang w:eastAsia="zh-CN"/>
        </w:rPr>
        <w:tab/>
      </w:r>
      <w:r w:rsidRPr="000A0A5F">
        <w:rPr>
          <w:rFonts w:ascii="Arial" w:hAnsi="Arial"/>
          <w:sz w:val="24"/>
          <w:lang w:eastAsia="zh-CN"/>
        </w:rPr>
        <w:t>Optional HTTP custom headers</w:t>
      </w:r>
    </w:p>
    <w:p w:rsidR="00CB0DD7" w:rsidRPr="000A0A5F" w:rsidRDefault="00CB0DD7">
      <w:pPr>
        <w:pStyle w:val="Heading5"/>
        <w:rPr>
          <w:lang w:eastAsia="zh-CN"/>
        </w:rPr>
      </w:pPr>
      <w:bookmarkStart w:id="1524" w:name="_Toc66360332"/>
      <w:bookmarkStart w:id="1525" w:name="_Toc68104837"/>
      <w:bookmarkStart w:id="1526" w:name="_Toc74755466"/>
      <w:bookmarkStart w:id="1527" w:name="_Toc105674321"/>
      <w:bookmarkStart w:id="1528" w:name="_Toc130502358"/>
      <w:bookmarkStart w:id="1529" w:name="_Toc153625137"/>
      <w:r w:rsidRPr="000A0A5F">
        <w:rPr>
          <w:rFonts w:hint="eastAsia"/>
        </w:rPr>
        <w:t>5.</w:t>
      </w:r>
      <w:r w:rsidRPr="000A0A5F">
        <w:t>2</w:t>
      </w:r>
      <w:r w:rsidRPr="000A0A5F">
        <w:rPr>
          <w:rFonts w:hint="eastAsia"/>
        </w:rPr>
        <w:t>.</w:t>
      </w:r>
      <w:r w:rsidRPr="000A0A5F">
        <w:t>8.3.1</w:t>
      </w:r>
      <w:r w:rsidRPr="000A0A5F">
        <w:rPr>
          <w:rFonts w:hint="eastAsia"/>
          <w:lang w:eastAsia="zh-CN"/>
        </w:rPr>
        <w:tab/>
      </w:r>
      <w:r w:rsidRPr="000A0A5F">
        <w:rPr>
          <w:lang w:eastAsia="zh-CN"/>
        </w:rPr>
        <w:t>General</w:t>
      </w:r>
      <w:bookmarkEnd w:id="1524"/>
      <w:bookmarkEnd w:id="1525"/>
      <w:bookmarkEnd w:id="1526"/>
      <w:bookmarkEnd w:id="1527"/>
      <w:bookmarkEnd w:id="1528"/>
      <w:bookmarkEnd w:id="1529"/>
    </w:p>
    <w:p w:rsidR="00CB0DD7" w:rsidRPr="000A0A5F" w:rsidRDefault="00CB0DD7">
      <w:r w:rsidRPr="000A0A5F">
        <w:t>The Northbound APIs defined in this specification may support the HTTP custom headers specified in Table 5.2.8.3.1-1 below. A description of each custom header and the normative requirements related to when to include them are also provided in Table 5.2.8.3.1-1.</w:t>
      </w:r>
    </w:p>
    <w:p w:rsidR="00CB0DD7" w:rsidRPr="000A0A5F" w:rsidRDefault="00CB0DD7">
      <w:pPr>
        <w:keepNext/>
        <w:keepLines/>
        <w:spacing w:before="60"/>
        <w:jc w:val="center"/>
        <w:rPr>
          <w:rFonts w:ascii="Arial" w:hAnsi="Arial"/>
          <w:b/>
        </w:rPr>
      </w:pPr>
      <w:r w:rsidRPr="000A0A5F">
        <w:rPr>
          <w:rFonts w:ascii="Arial" w:hAnsi="Arial"/>
          <w:b/>
        </w:rPr>
        <w:t>Table 5.2.8.3.1-1: Optional HTTP custom headers</w:t>
      </w:r>
    </w:p>
    <w:tbl>
      <w:tblPr>
        <w:tblW w:w="9781"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10"/>
        <w:gridCol w:w="1985"/>
        <w:gridCol w:w="5386"/>
      </w:tblGrid>
      <w:tr w:rsidR="00CB0DD7" w:rsidRPr="000A0A5F" w:rsidTr="002B45A7">
        <w:trPr>
          <w:cantSplit/>
        </w:trPr>
        <w:tc>
          <w:tcPr>
            <w:tcW w:w="2410" w:type="dxa"/>
            <w:shd w:val="clear" w:color="auto" w:fill="C0C0C0"/>
          </w:tcPr>
          <w:p w:rsidR="00CB0DD7" w:rsidRPr="000A0A5F" w:rsidRDefault="00CB0DD7">
            <w:pPr>
              <w:pStyle w:val="TAH"/>
            </w:pPr>
            <w:r w:rsidRPr="000A0A5F">
              <w:t>Name</w:t>
            </w:r>
          </w:p>
        </w:tc>
        <w:tc>
          <w:tcPr>
            <w:tcW w:w="1985" w:type="dxa"/>
            <w:shd w:val="clear" w:color="auto" w:fill="C0C0C0"/>
          </w:tcPr>
          <w:p w:rsidR="00CB0DD7" w:rsidRPr="000A0A5F" w:rsidRDefault="00CB0DD7">
            <w:pPr>
              <w:pStyle w:val="TAH"/>
            </w:pPr>
            <w:r w:rsidRPr="000A0A5F">
              <w:t>Reference</w:t>
            </w:r>
          </w:p>
        </w:tc>
        <w:tc>
          <w:tcPr>
            <w:tcW w:w="5386" w:type="dxa"/>
            <w:shd w:val="clear" w:color="auto" w:fill="C0C0C0"/>
          </w:tcPr>
          <w:p w:rsidR="00CB0DD7" w:rsidRPr="000A0A5F" w:rsidRDefault="00CB0DD7">
            <w:pPr>
              <w:pStyle w:val="TAH"/>
              <w:rPr>
                <w:rFonts w:eastAsia="Batang"/>
                <w:lang w:eastAsia="ko-KR"/>
              </w:rPr>
            </w:pPr>
            <w:r w:rsidRPr="000A0A5F">
              <w:t>Description</w:t>
            </w:r>
          </w:p>
        </w:tc>
      </w:tr>
      <w:tr w:rsidR="00CB0DD7" w:rsidRPr="000A0A5F" w:rsidTr="002B45A7">
        <w:trPr>
          <w:cantSplit/>
        </w:trPr>
        <w:tc>
          <w:tcPr>
            <w:tcW w:w="2410" w:type="dxa"/>
          </w:tcPr>
          <w:p w:rsidR="00CB0DD7" w:rsidRPr="000A0A5F" w:rsidRDefault="00CB0DD7">
            <w:pPr>
              <w:pStyle w:val="TAC"/>
              <w:rPr>
                <w:lang w:eastAsia="zh-CN"/>
              </w:rPr>
            </w:pPr>
            <w:r w:rsidRPr="000A0A5F">
              <w:rPr>
                <w:lang w:eastAsia="zh-CN"/>
              </w:rPr>
              <w:t>Nb-Api-Sender-Timestamp</w:t>
            </w:r>
          </w:p>
        </w:tc>
        <w:tc>
          <w:tcPr>
            <w:tcW w:w="1985" w:type="dxa"/>
          </w:tcPr>
          <w:p w:rsidR="00CB0DD7" w:rsidRPr="000A0A5F" w:rsidRDefault="00CB0DD7">
            <w:pPr>
              <w:pStyle w:val="TAC"/>
              <w:rPr>
                <w:lang w:eastAsia="zh-CN"/>
              </w:rPr>
            </w:pPr>
            <w:r w:rsidRPr="000A0A5F">
              <w:rPr>
                <w:lang w:eastAsia="zh-CN"/>
              </w:rPr>
              <w:t>clause 5.2.8.3.2</w:t>
            </w:r>
          </w:p>
        </w:tc>
        <w:tc>
          <w:tcPr>
            <w:tcW w:w="5386" w:type="dxa"/>
          </w:tcPr>
          <w:p w:rsidR="00CB0DD7" w:rsidRPr="000A0A5F" w:rsidRDefault="00CB0DD7">
            <w:pPr>
              <w:pStyle w:val="TAL"/>
              <w:rPr>
                <w:lang w:eastAsia="zh-CN"/>
              </w:rPr>
            </w:pPr>
            <w:r w:rsidRPr="000A0A5F">
              <w:rPr>
                <w:lang w:eastAsia="zh-CN"/>
              </w:rPr>
              <w:t xml:space="preserve">This header may be used to indicate the date and time (with a millisecond granularity) at which an HTTP request or response is originated. This may be used e.g. for measuring signalling delays in Northbound interfaces. </w:t>
            </w:r>
          </w:p>
        </w:tc>
      </w:tr>
      <w:tr w:rsidR="00CB0DD7" w:rsidRPr="000A0A5F" w:rsidTr="002B45A7">
        <w:trPr>
          <w:cantSplit/>
        </w:trPr>
        <w:tc>
          <w:tcPr>
            <w:tcW w:w="2410" w:type="dxa"/>
          </w:tcPr>
          <w:p w:rsidR="00CB0DD7" w:rsidRPr="000A0A5F" w:rsidRDefault="00CB0DD7">
            <w:pPr>
              <w:pStyle w:val="TAC"/>
              <w:rPr>
                <w:lang w:eastAsia="zh-CN"/>
              </w:rPr>
            </w:pPr>
            <w:r w:rsidRPr="000A0A5F">
              <w:rPr>
                <w:lang w:eastAsia="zh-CN"/>
              </w:rPr>
              <w:t>Nb-Api-Max-Rsp-Time</w:t>
            </w:r>
          </w:p>
        </w:tc>
        <w:tc>
          <w:tcPr>
            <w:tcW w:w="1985" w:type="dxa"/>
          </w:tcPr>
          <w:p w:rsidR="00CB0DD7" w:rsidRPr="000A0A5F" w:rsidRDefault="00CB0DD7">
            <w:pPr>
              <w:pStyle w:val="TAC"/>
              <w:rPr>
                <w:lang w:eastAsia="zh-CN"/>
              </w:rPr>
            </w:pPr>
            <w:r w:rsidRPr="000A0A5F">
              <w:rPr>
                <w:lang w:eastAsia="zh-CN"/>
              </w:rPr>
              <w:t>clause 5.2.8.3.3</w:t>
            </w:r>
          </w:p>
        </w:tc>
        <w:tc>
          <w:tcPr>
            <w:tcW w:w="5386" w:type="dxa"/>
          </w:tcPr>
          <w:p w:rsidR="00CB0DD7" w:rsidRPr="000A0A5F" w:rsidRDefault="00CB0DD7">
            <w:pPr>
              <w:pStyle w:val="TAL"/>
              <w:rPr>
                <w:lang w:eastAsia="zh-CN"/>
              </w:rPr>
            </w:pPr>
            <w:r w:rsidRPr="000A0A5F">
              <w:rPr>
                <w:lang w:eastAsia="zh-CN"/>
              </w:rPr>
              <w:t>This header may be used in a HTTP request to indicate the duration during which the HTTP client waits for a response.</w:t>
            </w:r>
          </w:p>
        </w:tc>
      </w:tr>
      <w:tr w:rsidR="00C03825" w:rsidRPr="000A0A5F" w:rsidTr="002B45A7">
        <w:trPr>
          <w:cantSplit/>
        </w:trPr>
        <w:tc>
          <w:tcPr>
            <w:tcW w:w="2410" w:type="dxa"/>
          </w:tcPr>
          <w:p w:rsidR="00C03825" w:rsidRPr="000A0A5F" w:rsidRDefault="00C03825" w:rsidP="00C03825">
            <w:pPr>
              <w:pStyle w:val="TAC"/>
              <w:rPr>
                <w:lang w:eastAsia="zh-CN"/>
              </w:rPr>
            </w:pPr>
            <w:r w:rsidRPr="000A0A5F">
              <w:rPr>
                <w:lang w:eastAsia="zh-CN"/>
              </w:rPr>
              <w:t>Nb-Api-Lci</w:t>
            </w:r>
          </w:p>
        </w:tc>
        <w:tc>
          <w:tcPr>
            <w:tcW w:w="1985" w:type="dxa"/>
          </w:tcPr>
          <w:p w:rsidR="00C03825" w:rsidRPr="000A0A5F" w:rsidRDefault="00C03825" w:rsidP="00C03825">
            <w:pPr>
              <w:pStyle w:val="TAC"/>
              <w:rPr>
                <w:lang w:eastAsia="zh-CN"/>
              </w:rPr>
            </w:pPr>
            <w:r w:rsidRPr="000A0A5F">
              <w:rPr>
                <w:lang w:eastAsia="zh-CN"/>
              </w:rPr>
              <w:t>clause 5.2.8.3.4</w:t>
            </w:r>
          </w:p>
        </w:tc>
        <w:tc>
          <w:tcPr>
            <w:tcW w:w="5386" w:type="dxa"/>
          </w:tcPr>
          <w:p w:rsidR="00C03825" w:rsidRPr="000A0A5F" w:rsidRDefault="00C03825" w:rsidP="00C03825">
            <w:pPr>
              <w:pStyle w:val="TAL"/>
              <w:rPr>
                <w:lang w:eastAsia="zh-CN"/>
              </w:rPr>
            </w:pPr>
            <w:r w:rsidRPr="000A0A5F">
              <w:rPr>
                <w:lang w:eastAsia="zh-CN"/>
              </w:rPr>
              <w:t>This header may be used by a SCEF to send Load Control Information (LCI) to the sending entity (e.g. SCS/AS, AF).</w:t>
            </w:r>
          </w:p>
        </w:tc>
      </w:tr>
      <w:tr w:rsidR="00C03825" w:rsidRPr="000A0A5F" w:rsidTr="002B45A7">
        <w:trPr>
          <w:cantSplit/>
        </w:trPr>
        <w:tc>
          <w:tcPr>
            <w:tcW w:w="2410" w:type="dxa"/>
          </w:tcPr>
          <w:p w:rsidR="00C03825" w:rsidRPr="000A0A5F" w:rsidRDefault="00C03825" w:rsidP="00C03825">
            <w:pPr>
              <w:pStyle w:val="TAC"/>
              <w:rPr>
                <w:lang w:eastAsia="zh-CN"/>
              </w:rPr>
            </w:pPr>
            <w:r w:rsidRPr="000A0A5F">
              <w:rPr>
                <w:lang w:eastAsia="zh-CN"/>
              </w:rPr>
              <w:t>Nb-Api-Oci</w:t>
            </w:r>
          </w:p>
        </w:tc>
        <w:tc>
          <w:tcPr>
            <w:tcW w:w="1985" w:type="dxa"/>
          </w:tcPr>
          <w:p w:rsidR="00C03825" w:rsidRPr="000A0A5F" w:rsidRDefault="00C03825" w:rsidP="00C03825">
            <w:pPr>
              <w:pStyle w:val="TAC"/>
              <w:rPr>
                <w:lang w:eastAsia="zh-CN"/>
              </w:rPr>
            </w:pPr>
            <w:r w:rsidRPr="000A0A5F">
              <w:rPr>
                <w:lang w:eastAsia="zh-CN"/>
              </w:rPr>
              <w:t>clause </w:t>
            </w:r>
            <w:r w:rsidRPr="000A0A5F">
              <w:t>5.2.8.3.5</w:t>
            </w:r>
          </w:p>
        </w:tc>
        <w:tc>
          <w:tcPr>
            <w:tcW w:w="5386" w:type="dxa"/>
          </w:tcPr>
          <w:p w:rsidR="00C03825" w:rsidRPr="000A0A5F" w:rsidRDefault="00C03825" w:rsidP="00C03825">
            <w:pPr>
              <w:pStyle w:val="TAL"/>
              <w:rPr>
                <w:lang w:eastAsia="zh-CN"/>
              </w:rPr>
            </w:pPr>
            <w:r w:rsidRPr="000A0A5F">
              <w:rPr>
                <w:lang w:eastAsia="zh-CN"/>
              </w:rPr>
              <w:t>This header may be used by an overloaded SCEF in an API response message, or in a notification request message to signal Overload Control Information (OCI) to the sending entity (e.g. SCS/AS, AF).</w:t>
            </w:r>
          </w:p>
          <w:p w:rsidR="00C03825" w:rsidRPr="000A0A5F" w:rsidRDefault="00C03825" w:rsidP="00C03825">
            <w:pPr>
              <w:pStyle w:val="TAL"/>
              <w:rPr>
                <w:lang w:eastAsia="zh-CN"/>
              </w:rPr>
            </w:pPr>
          </w:p>
          <w:p w:rsidR="00C03825" w:rsidRPr="000A0A5F" w:rsidRDefault="00C03825" w:rsidP="00C03825">
            <w:pPr>
              <w:pStyle w:val="TAL"/>
              <w:rPr>
                <w:lang w:eastAsia="zh-CN"/>
              </w:rPr>
            </w:pPr>
            <w:r w:rsidRPr="000A0A5F">
              <w:rPr>
                <w:lang w:eastAsia="zh-CN"/>
              </w:rPr>
              <w:t>This header may also be used by an overloaded sending entity (e.g. SCS/AS, AF) in a notification response or in an API request to signal Overload Control Information (OCI) to the SCEF.</w:t>
            </w:r>
          </w:p>
        </w:tc>
      </w:tr>
    </w:tbl>
    <w:p w:rsidR="00CB0DD7" w:rsidRPr="000A0A5F" w:rsidRDefault="00CB0DD7"/>
    <w:p w:rsidR="00CB0DD7" w:rsidRPr="000A0A5F" w:rsidRDefault="00CB0DD7">
      <w:pPr>
        <w:keepNext/>
        <w:keepLines/>
        <w:spacing w:before="120"/>
        <w:ind w:left="1701" w:hanging="1701"/>
        <w:outlineLvl w:val="4"/>
        <w:rPr>
          <w:rFonts w:ascii="Arial" w:hAnsi="Arial"/>
          <w:sz w:val="22"/>
          <w:lang w:eastAsia="zh-CN"/>
        </w:rPr>
      </w:pPr>
      <w:bookmarkStart w:id="1530" w:name="_Toc19708944"/>
      <w:bookmarkStart w:id="1531" w:name="_Toc27745019"/>
      <w:bookmarkStart w:id="1532" w:name="_Toc29803172"/>
      <w:bookmarkStart w:id="1533" w:name="_Toc35969923"/>
      <w:bookmarkStart w:id="1534" w:name="_Toc36050717"/>
      <w:bookmarkStart w:id="1535" w:name="_Toc44847430"/>
      <w:bookmarkStart w:id="1536" w:name="_Toc51845083"/>
      <w:bookmarkStart w:id="1537" w:name="_Toc51845414"/>
      <w:bookmarkStart w:id="1538" w:name="_Toc51846934"/>
      <w:bookmarkStart w:id="1539" w:name="_Toc57022564"/>
      <w:bookmarkStart w:id="1540" w:name="_Toc57023934"/>
      <w:r w:rsidRPr="000A0A5F">
        <w:rPr>
          <w:rFonts w:ascii="Arial" w:hAnsi="Arial"/>
          <w:sz w:val="22"/>
        </w:rPr>
        <w:t>5.2.8.3.2</w:t>
      </w:r>
      <w:r w:rsidRPr="000A0A5F">
        <w:rPr>
          <w:rFonts w:ascii="Arial" w:hAnsi="Arial"/>
          <w:sz w:val="22"/>
        </w:rPr>
        <w:tab/>
      </w:r>
      <w:r w:rsidRPr="000A0A5F">
        <w:rPr>
          <w:rFonts w:ascii="Arial" w:hAnsi="Arial"/>
          <w:sz w:val="22"/>
          <w:lang w:eastAsia="zh-CN"/>
        </w:rPr>
        <w:t>Nbi-Api-Sender-Timestamp</w:t>
      </w:r>
      <w:bookmarkEnd w:id="1530"/>
      <w:bookmarkEnd w:id="1531"/>
      <w:bookmarkEnd w:id="1532"/>
      <w:bookmarkEnd w:id="1533"/>
      <w:bookmarkEnd w:id="1534"/>
      <w:bookmarkEnd w:id="1535"/>
      <w:bookmarkEnd w:id="1536"/>
      <w:bookmarkEnd w:id="1537"/>
      <w:bookmarkEnd w:id="1538"/>
      <w:bookmarkEnd w:id="1539"/>
      <w:bookmarkEnd w:id="1540"/>
    </w:p>
    <w:p w:rsidR="00CB0DD7" w:rsidRPr="000A0A5F" w:rsidRDefault="00CB0DD7">
      <w:pPr>
        <w:rPr>
          <w:lang w:eastAsia="zh-CN"/>
        </w:rPr>
      </w:pPr>
      <w:r w:rsidRPr="000A0A5F">
        <w:rPr>
          <w:lang w:eastAsia="zh-CN"/>
        </w:rPr>
        <w:t>The provisions of clause 5.2.3.3.2 of 3GPP TS 29.500 [44] also apply to this header.</w:t>
      </w:r>
    </w:p>
    <w:p w:rsidR="00CB0DD7" w:rsidRPr="000A0A5F" w:rsidRDefault="00CB0DD7">
      <w:pPr>
        <w:pStyle w:val="NO"/>
        <w:rPr>
          <w:lang w:eastAsia="zh-CN"/>
        </w:rPr>
      </w:pPr>
      <w:r w:rsidRPr="000A0A5F">
        <w:rPr>
          <w:lang w:eastAsia="zh-CN"/>
        </w:rPr>
        <w:t>NOTE:</w:t>
      </w:r>
      <w:r w:rsidRPr="000A0A5F">
        <w:rPr>
          <w:lang w:eastAsia="zh-CN"/>
        </w:rPr>
        <w:tab/>
        <w:t>Any provisions that are specific to 5G SBI APIs (e.g. related to the support of Indirect Communication models) are however not applicable for Northbound APIs.</w:t>
      </w:r>
    </w:p>
    <w:p w:rsidR="00CB0DD7" w:rsidRPr="000A0A5F" w:rsidRDefault="00CB0DD7">
      <w:pPr>
        <w:keepNext/>
        <w:keepLines/>
        <w:spacing w:before="120"/>
        <w:ind w:left="1701" w:hanging="1701"/>
        <w:outlineLvl w:val="4"/>
        <w:rPr>
          <w:rFonts w:ascii="Arial" w:hAnsi="Arial"/>
          <w:sz w:val="22"/>
          <w:lang w:eastAsia="zh-CN"/>
        </w:rPr>
      </w:pPr>
      <w:bookmarkStart w:id="1541" w:name="_Toc19708945"/>
      <w:bookmarkStart w:id="1542" w:name="_Toc27745020"/>
      <w:bookmarkStart w:id="1543" w:name="_Toc29803173"/>
      <w:bookmarkStart w:id="1544" w:name="_Toc35969924"/>
      <w:bookmarkStart w:id="1545" w:name="_Toc36050718"/>
      <w:bookmarkStart w:id="1546" w:name="_Toc44847431"/>
      <w:bookmarkStart w:id="1547" w:name="_Toc51845084"/>
      <w:bookmarkStart w:id="1548" w:name="_Toc51845415"/>
      <w:bookmarkStart w:id="1549" w:name="_Toc51846935"/>
      <w:bookmarkStart w:id="1550" w:name="_Toc57022565"/>
      <w:bookmarkStart w:id="1551" w:name="_Toc57023935"/>
      <w:r w:rsidRPr="000A0A5F">
        <w:rPr>
          <w:rFonts w:ascii="Arial" w:hAnsi="Arial"/>
          <w:sz w:val="22"/>
        </w:rPr>
        <w:t>5.2.8.3.3</w:t>
      </w:r>
      <w:r w:rsidRPr="000A0A5F">
        <w:rPr>
          <w:rFonts w:ascii="Arial" w:hAnsi="Arial"/>
          <w:sz w:val="22"/>
        </w:rPr>
        <w:tab/>
      </w:r>
      <w:r w:rsidRPr="000A0A5F">
        <w:rPr>
          <w:rFonts w:ascii="Arial" w:hAnsi="Arial"/>
          <w:sz w:val="22"/>
          <w:lang w:eastAsia="zh-CN"/>
        </w:rPr>
        <w:t>Nb-Api-Max-Rsp-Time</w:t>
      </w:r>
      <w:bookmarkEnd w:id="1541"/>
      <w:bookmarkEnd w:id="1542"/>
      <w:bookmarkEnd w:id="1543"/>
      <w:bookmarkEnd w:id="1544"/>
      <w:bookmarkEnd w:id="1545"/>
      <w:bookmarkEnd w:id="1546"/>
      <w:bookmarkEnd w:id="1547"/>
      <w:bookmarkEnd w:id="1548"/>
      <w:bookmarkEnd w:id="1549"/>
      <w:bookmarkEnd w:id="1550"/>
      <w:bookmarkEnd w:id="1551"/>
    </w:p>
    <w:p w:rsidR="00CB0DD7" w:rsidRPr="000A0A5F" w:rsidRDefault="00CB0DD7">
      <w:pPr>
        <w:rPr>
          <w:lang w:eastAsia="zh-CN"/>
        </w:rPr>
      </w:pPr>
      <w:r w:rsidRPr="000A0A5F">
        <w:rPr>
          <w:lang w:eastAsia="zh-CN"/>
        </w:rPr>
        <w:t>The provisions of clause 5.2.3.3.3 of 3GPP TS 29.500 [44] also apply to this header.</w:t>
      </w:r>
    </w:p>
    <w:p w:rsidR="00CB0DD7" w:rsidRPr="000A0A5F" w:rsidRDefault="00CB0DD7">
      <w:pPr>
        <w:pStyle w:val="NO"/>
        <w:rPr>
          <w:lang w:eastAsia="zh-CN"/>
        </w:rPr>
      </w:pPr>
      <w:r w:rsidRPr="000A0A5F">
        <w:rPr>
          <w:lang w:eastAsia="zh-CN"/>
        </w:rPr>
        <w:t>NOTE:</w:t>
      </w:r>
      <w:r w:rsidRPr="000A0A5F">
        <w:rPr>
          <w:lang w:eastAsia="zh-CN"/>
        </w:rPr>
        <w:tab/>
        <w:t>Any provisions that are specific to 5G SBI APIs (e.g. related to the support of Indirect Communication models) are however not applicable for Northbound APIs.</w:t>
      </w:r>
    </w:p>
    <w:p w:rsidR="00C03825" w:rsidRPr="000A0A5F" w:rsidRDefault="00C03825" w:rsidP="00C03825">
      <w:pPr>
        <w:keepNext/>
        <w:keepLines/>
        <w:spacing w:before="120"/>
        <w:ind w:left="1701" w:hanging="1701"/>
        <w:outlineLvl w:val="4"/>
        <w:rPr>
          <w:rFonts w:ascii="Arial" w:hAnsi="Arial"/>
          <w:sz w:val="22"/>
          <w:lang w:val="en-US" w:eastAsia="zh-CN"/>
        </w:rPr>
      </w:pPr>
      <w:bookmarkStart w:id="1552" w:name="_Toc66360333"/>
      <w:bookmarkStart w:id="1553" w:name="_Toc68104838"/>
      <w:bookmarkStart w:id="1554" w:name="_Toc74755467"/>
      <w:r w:rsidRPr="000A0A5F">
        <w:rPr>
          <w:rFonts w:ascii="Arial" w:hAnsi="Arial"/>
          <w:sz w:val="22"/>
          <w:lang w:val="en-US"/>
        </w:rPr>
        <w:t>5.2.8.3.4</w:t>
      </w:r>
      <w:r w:rsidRPr="000A0A5F">
        <w:rPr>
          <w:rFonts w:ascii="Arial" w:hAnsi="Arial"/>
          <w:sz w:val="22"/>
          <w:lang w:val="en-US"/>
        </w:rPr>
        <w:tab/>
      </w:r>
      <w:r w:rsidRPr="000A0A5F">
        <w:rPr>
          <w:rFonts w:ascii="Arial" w:hAnsi="Arial"/>
          <w:sz w:val="22"/>
          <w:lang w:val="en-US" w:eastAsia="zh-CN"/>
        </w:rPr>
        <w:t>Nbi-Api-Lci</w:t>
      </w:r>
    </w:p>
    <w:p w:rsidR="009805D1" w:rsidRPr="000A0A5F" w:rsidRDefault="009805D1" w:rsidP="009805D1">
      <w:pPr>
        <w:rPr>
          <w:lang w:eastAsia="zh-CN"/>
        </w:rPr>
      </w:pPr>
      <w:r w:rsidRPr="000A0A5F">
        <w:rPr>
          <w:lang w:eastAsia="zh-CN"/>
        </w:rPr>
        <w:t>The header contains a comma-delimited list (see IETF RFC 9110 [17]) of Load Control Information (LCI). See clause 5.2.11.</w:t>
      </w:r>
    </w:p>
    <w:p w:rsidR="009805D1" w:rsidRPr="000A0A5F" w:rsidRDefault="009805D1" w:rsidP="009805D1">
      <w:pPr>
        <w:rPr>
          <w:lang w:eastAsia="zh-CN"/>
        </w:rPr>
      </w:pPr>
      <w:r w:rsidRPr="000A0A5F">
        <w:rPr>
          <w:lang w:eastAsia="zh-CN"/>
        </w:rPr>
        <w:t>The encoding of the header follows the ABNF as defined in IETF</w:t>
      </w:r>
      <w:r w:rsidRPr="000A0A5F">
        <w:t> RFC 9110</w:t>
      </w:r>
      <w:r w:rsidRPr="000A0A5F">
        <w:rPr>
          <w:lang w:eastAsia="zh-CN"/>
        </w:rPr>
        <w:t> [17].</w:t>
      </w:r>
    </w:p>
    <w:p w:rsidR="009805D1" w:rsidRPr="000A0A5F" w:rsidRDefault="009805D1" w:rsidP="009805D1">
      <w:pPr>
        <w:pStyle w:val="B10"/>
        <w:rPr>
          <w:lang w:eastAsia="zh-CN"/>
        </w:rPr>
      </w:pPr>
      <w:r w:rsidRPr="000A0A5F">
        <w:rPr>
          <w:lang w:eastAsia="zh-CN"/>
        </w:rPr>
        <w:t>Nb-Api-Lci =</w:t>
      </w:r>
      <w:r w:rsidRPr="000A0A5F">
        <w:rPr>
          <w:lang w:eastAsia="zh-CN"/>
        </w:rPr>
        <w:tab/>
        <w:t>"Nb-Api-Lci:" 1#(RWS timestamp ";" RWS lcMetric ")</w:t>
      </w:r>
    </w:p>
    <w:p w:rsidR="009805D1" w:rsidRPr="000A0A5F" w:rsidRDefault="009805D1" w:rsidP="009805D1">
      <w:pPr>
        <w:pStyle w:val="B10"/>
      </w:pPr>
      <w:r w:rsidRPr="000A0A5F">
        <w:rPr>
          <w:lang w:eastAsia="zh-CN"/>
        </w:rPr>
        <w:t>timestamp</w:t>
      </w:r>
      <w:r w:rsidRPr="000A0A5F">
        <w:rPr>
          <w:lang w:eastAsia="zh-CN"/>
        </w:rPr>
        <w:tab/>
        <w:t>=</w:t>
      </w:r>
      <w:r w:rsidRPr="000A0A5F">
        <w:rPr>
          <w:lang w:eastAsia="zh-CN"/>
        </w:rPr>
        <w:tab/>
        <w:t xml:space="preserve">"Timestamp:" RWS DQUOTE </w:t>
      </w:r>
      <w:r w:rsidRPr="000A0A5F">
        <w:t>date-time</w:t>
      </w:r>
      <w:r w:rsidRPr="000A0A5F">
        <w:rPr>
          <w:lang w:eastAsia="zh-CN"/>
        </w:rPr>
        <w:t xml:space="preserve"> DQUOTE</w:t>
      </w:r>
    </w:p>
    <w:p w:rsidR="009805D1" w:rsidRPr="000A0A5F" w:rsidRDefault="009805D1" w:rsidP="009805D1">
      <w:r w:rsidRPr="000A0A5F">
        <w:t xml:space="preserve">Mandatory parameter. The date-time type is specified in IETF RFC 5322 [66] and clause 7.1.1.1 of </w:t>
      </w:r>
      <w:r w:rsidRPr="000A0A5F">
        <w:rPr>
          <w:lang w:eastAsia="zh-CN"/>
        </w:rPr>
        <w:t>IETF RFC 9110 [17]</w:t>
      </w:r>
      <w:r w:rsidRPr="000A0A5F">
        <w:t>. It indicates the timestamp associated with the load control information.</w:t>
      </w:r>
    </w:p>
    <w:p w:rsidR="009805D1" w:rsidRPr="000A0A5F" w:rsidRDefault="009805D1" w:rsidP="009805D1">
      <w:pPr>
        <w:pStyle w:val="B10"/>
        <w:rPr>
          <w:lang w:eastAsia="zh-CN"/>
        </w:rPr>
      </w:pPr>
      <w:r w:rsidRPr="000A0A5F">
        <w:rPr>
          <w:lang w:eastAsia="zh-CN"/>
        </w:rPr>
        <w:t>lcMetric =</w:t>
      </w:r>
      <w:r w:rsidRPr="000A0A5F">
        <w:rPr>
          <w:lang w:eastAsia="zh-CN"/>
        </w:rPr>
        <w:tab/>
        <w:t>"Load-Metric:" RWS (DIGIT / %x31-39 DIGIT / "100") "%"</w:t>
      </w:r>
    </w:p>
    <w:p w:rsidR="00C03825" w:rsidRPr="000A0A5F" w:rsidRDefault="00C03825" w:rsidP="00C03825">
      <w:r w:rsidRPr="000A0A5F">
        <w:t>Mandatory parameter. Load-Metric is up to 3 digits long decimal string and the value range shall be from 0 to 100.</w:t>
      </w:r>
    </w:p>
    <w:p w:rsidR="00C03825" w:rsidRPr="000A0A5F" w:rsidRDefault="00C03825" w:rsidP="00C03825">
      <w:pPr>
        <w:pStyle w:val="EX"/>
        <w:rPr>
          <w:lang w:eastAsia="zh-CN"/>
        </w:rPr>
      </w:pPr>
      <w:r w:rsidRPr="000A0A5F">
        <w:rPr>
          <w:lang w:eastAsia="zh-CN"/>
        </w:rPr>
        <w:t>EXAMPLE:</w:t>
      </w:r>
      <w:r w:rsidRPr="000A0A5F">
        <w:rPr>
          <w:lang w:eastAsia="zh-CN"/>
        </w:rPr>
        <w:tab/>
        <w:t>Load Control Information:</w:t>
      </w:r>
    </w:p>
    <w:p w:rsidR="00C03825" w:rsidRPr="000A0A5F" w:rsidRDefault="00C03825" w:rsidP="00C03825">
      <w:pPr>
        <w:pStyle w:val="EX"/>
        <w:ind w:firstLine="0"/>
        <w:rPr>
          <w:lang w:eastAsia="zh-CN"/>
        </w:rPr>
      </w:pPr>
      <w:r w:rsidRPr="000A0A5F">
        <w:rPr>
          <w:lang w:eastAsia="zh-CN"/>
        </w:rPr>
        <w:t>Nbi-Api-Lci: Timestamp: "Tue, 04 Feb 2021 08:50:28 GMT"; Load-Metric: 50%</w:t>
      </w:r>
    </w:p>
    <w:p w:rsidR="00C03825" w:rsidRPr="000A0A5F" w:rsidRDefault="00C03825" w:rsidP="00C03825">
      <w:pPr>
        <w:keepNext/>
        <w:keepLines/>
        <w:spacing w:before="120"/>
        <w:ind w:left="1701" w:hanging="1701"/>
        <w:outlineLvl w:val="4"/>
        <w:rPr>
          <w:rFonts w:ascii="Arial" w:hAnsi="Arial"/>
          <w:sz w:val="22"/>
          <w:lang w:eastAsia="zh-CN"/>
        </w:rPr>
      </w:pPr>
      <w:r w:rsidRPr="000A0A5F">
        <w:rPr>
          <w:rFonts w:ascii="Arial" w:hAnsi="Arial"/>
          <w:sz w:val="22"/>
        </w:rPr>
        <w:t>5.2.8.3.5</w:t>
      </w:r>
      <w:r w:rsidRPr="000A0A5F">
        <w:rPr>
          <w:rFonts w:ascii="Arial" w:hAnsi="Arial"/>
          <w:sz w:val="22"/>
        </w:rPr>
        <w:tab/>
      </w:r>
      <w:r w:rsidRPr="000A0A5F">
        <w:rPr>
          <w:rFonts w:ascii="Arial" w:hAnsi="Arial"/>
          <w:sz w:val="22"/>
          <w:lang w:eastAsia="zh-CN"/>
        </w:rPr>
        <w:t>Nb-Api-Oci</w:t>
      </w:r>
    </w:p>
    <w:p w:rsidR="00C03825" w:rsidRPr="000A0A5F" w:rsidRDefault="00C03825" w:rsidP="00C03825">
      <w:pPr>
        <w:rPr>
          <w:lang w:eastAsia="zh-CN"/>
        </w:rPr>
      </w:pPr>
      <w:r w:rsidRPr="000A0A5F">
        <w:rPr>
          <w:lang w:eastAsia="zh-CN"/>
        </w:rPr>
        <w:t>The header contains a comma-delimited list of Overload Control Information (OCI). See clause 5.2.11.</w:t>
      </w:r>
    </w:p>
    <w:p w:rsidR="009805D1" w:rsidRPr="000A0A5F" w:rsidRDefault="009805D1" w:rsidP="009805D1">
      <w:pPr>
        <w:rPr>
          <w:lang w:eastAsia="zh-CN"/>
        </w:rPr>
      </w:pPr>
      <w:r w:rsidRPr="000A0A5F">
        <w:rPr>
          <w:lang w:eastAsia="zh-CN"/>
        </w:rPr>
        <w:t>The encoding of the header follows the ABNF as defined in IETF</w:t>
      </w:r>
      <w:r w:rsidRPr="000A0A5F">
        <w:t> RFC 9110</w:t>
      </w:r>
      <w:r w:rsidRPr="000A0A5F">
        <w:rPr>
          <w:lang w:eastAsia="zh-CN"/>
        </w:rPr>
        <w:t> [17].</w:t>
      </w:r>
    </w:p>
    <w:p w:rsidR="009805D1" w:rsidRPr="000A0A5F" w:rsidRDefault="009805D1" w:rsidP="009805D1">
      <w:pPr>
        <w:pStyle w:val="B10"/>
        <w:rPr>
          <w:lang w:eastAsia="zh-CN"/>
        </w:rPr>
      </w:pPr>
      <w:r w:rsidRPr="000A0A5F">
        <w:rPr>
          <w:lang w:eastAsia="zh-CN"/>
        </w:rPr>
        <w:t>Nb-Api-Oci =</w:t>
      </w:r>
      <w:r w:rsidRPr="000A0A5F">
        <w:rPr>
          <w:lang w:eastAsia="zh-CN"/>
        </w:rPr>
        <w:tab/>
        <w:t>"Nb-Api-Oci:" 1#(RWS timestamp ";" RWS validityPeriod ";" RWS olcMetric ")</w:t>
      </w:r>
    </w:p>
    <w:p w:rsidR="009805D1" w:rsidRPr="000A0A5F" w:rsidRDefault="009805D1" w:rsidP="009805D1">
      <w:pPr>
        <w:pStyle w:val="B10"/>
      </w:pPr>
      <w:r w:rsidRPr="000A0A5F">
        <w:rPr>
          <w:lang w:eastAsia="zh-CN"/>
        </w:rPr>
        <w:t>timestamp</w:t>
      </w:r>
      <w:r w:rsidRPr="000A0A5F">
        <w:rPr>
          <w:lang w:eastAsia="zh-CN"/>
        </w:rPr>
        <w:tab/>
        <w:t>=</w:t>
      </w:r>
      <w:r w:rsidRPr="000A0A5F">
        <w:rPr>
          <w:lang w:eastAsia="zh-CN"/>
        </w:rPr>
        <w:tab/>
        <w:t xml:space="preserve">"Timestamp:" RWS DQUOTE </w:t>
      </w:r>
      <w:r w:rsidRPr="000A0A5F">
        <w:t>date-time DQUOTE</w:t>
      </w:r>
    </w:p>
    <w:p w:rsidR="009805D1" w:rsidRPr="000A0A5F" w:rsidRDefault="009805D1" w:rsidP="009805D1">
      <w:r w:rsidRPr="000A0A5F">
        <w:t xml:space="preserve">Mandatory parameter. The date-time type is specified in IETF RFC 5322 [66] and clause 7.1.1.1 of </w:t>
      </w:r>
      <w:r w:rsidRPr="000A0A5F">
        <w:rPr>
          <w:lang w:eastAsia="zh-CN"/>
        </w:rPr>
        <w:t>IETF RFC 9110 [17]</w:t>
      </w:r>
      <w:r w:rsidRPr="000A0A5F">
        <w:t>. It indicates the timestamp at which the overload control information was generated.</w:t>
      </w:r>
    </w:p>
    <w:p w:rsidR="009805D1" w:rsidRPr="000A0A5F" w:rsidRDefault="009805D1" w:rsidP="009805D1">
      <w:pPr>
        <w:pStyle w:val="B10"/>
      </w:pPr>
      <w:r w:rsidRPr="000A0A5F">
        <w:t>validityPeriod =</w:t>
      </w:r>
      <w:r w:rsidRPr="000A0A5F">
        <w:tab/>
        <w:t>"Period-of-Validity:"</w:t>
      </w:r>
      <w:r w:rsidRPr="000A0A5F">
        <w:rPr>
          <w:lang w:eastAsia="zh-CN"/>
        </w:rPr>
        <w:t xml:space="preserve"> RWS 1*DIGIT "s"</w:t>
      </w:r>
    </w:p>
    <w:p w:rsidR="00C03825" w:rsidRPr="000A0A5F" w:rsidRDefault="00C03825" w:rsidP="00C03825">
      <w:r w:rsidRPr="000A0A5F">
        <w:t>Mandatory parameter. Period of validity is a timer that is measured in seconds. Once the timer expires, the OCI becomes invalid.</w:t>
      </w:r>
    </w:p>
    <w:p w:rsidR="00C03825" w:rsidRPr="000A0A5F" w:rsidRDefault="00C03825" w:rsidP="00C03825">
      <w:pPr>
        <w:pStyle w:val="B10"/>
        <w:rPr>
          <w:lang w:eastAsia="zh-CN"/>
        </w:rPr>
      </w:pPr>
      <w:r w:rsidRPr="000A0A5F">
        <w:rPr>
          <w:lang w:eastAsia="zh-CN"/>
        </w:rPr>
        <w:t>olcMetric =</w:t>
      </w:r>
      <w:r w:rsidRPr="000A0A5F">
        <w:rPr>
          <w:lang w:eastAsia="zh-CN"/>
        </w:rPr>
        <w:tab/>
        <w:t>"Overload-Reduction-Metric:" RWS (DIGIT / %x31-39 DIGIT / "100") "%"</w:t>
      </w:r>
    </w:p>
    <w:p w:rsidR="00C03825" w:rsidRPr="000A0A5F" w:rsidRDefault="00C03825" w:rsidP="00C03825">
      <w:r w:rsidRPr="000A0A5F">
        <w:t>Mandatory parameter. Overload-Reduction-Metric up to 3 digits long decimal string and the value range shall be from 0 to 100.</w:t>
      </w:r>
    </w:p>
    <w:p w:rsidR="00C03825" w:rsidRPr="000A0A5F" w:rsidRDefault="00C03825" w:rsidP="00C03825">
      <w:pPr>
        <w:pStyle w:val="EX"/>
        <w:rPr>
          <w:lang w:eastAsia="zh-CN"/>
        </w:rPr>
      </w:pPr>
      <w:r w:rsidRPr="000A0A5F">
        <w:rPr>
          <w:lang w:eastAsia="zh-CN"/>
        </w:rPr>
        <w:t>EXAMPLE:</w:t>
      </w:r>
      <w:r w:rsidRPr="000A0A5F">
        <w:rPr>
          <w:lang w:eastAsia="zh-CN"/>
        </w:rPr>
        <w:tab/>
        <w:t>Overload Control Information:</w:t>
      </w:r>
    </w:p>
    <w:p w:rsidR="00C03825" w:rsidRPr="000A0A5F" w:rsidRDefault="00C03825" w:rsidP="00C03825">
      <w:pPr>
        <w:pStyle w:val="EX"/>
        <w:ind w:firstLine="0"/>
        <w:rPr>
          <w:lang w:eastAsia="zh-CN"/>
        </w:rPr>
      </w:pPr>
      <w:r w:rsidRPr="000A0A5F">
        <w:rPr>
          <w:lang w:eastAsia="zh-CN"/>
        </w:rPr>
        <w:t xml:space="preserve">Nbi-Api-Oci: Timestamp: "Tue, 04 Feb 2021 08:50:28 GMT"; </w:t>
      </w:r>
      <w:r w:rsidRPr="000A0A5F">
        <w:t>Period-of-Validity:</w:t>
      </w:r>
      <w:r w:rsidRPr="000A0A5F">
        <w:rPr>
          <w:lang w:eastAsia="zh-CN"/>
        </w:rPr>
        <w:t xml:space="preserve"> 90s; Overload-Reduction-Metric: 25%</w:t>
      </w:r>
    </w:p>
    <w:p w:rsidR="00CB0DD7" w:rsidRPr="000A0A5F" w:rsidRDefault="00CB0DD7">
      <w:pPr>
        <w:pStyle w:val="Heading3"/>
      </w:pPr>
      <w:bookmarkStart w:id="1555" w:name="_Toc105674322"/>
      <w:bookmarkStart w:id="1556" w:name="_Toc130502359"/>
      <w:bookmarkStart w:id="1557" w:name="_Toc153625138"/>
      <w:r w:rsidRPr="000A0A5F">
        <w:rPr>
          <w:rFonts w:hint="eastAsia"/>
        </w:rPr>
        <w:t>5.2.9</w:t>
      </w:r>
      <w:r w:rsidRPr="000A0A5F">
        <w:rPr>
          <w:rFonts w:hint="eastAsia"/>
          <w:lang w:eastAsia="zh-CN"/>
        </w:rPr>
        <w:tab/>
      </w:r>
      <w:r w:rsidRPr="000A0A5F">
        <w:t>Conventions for Open API specification files</w:t>
      </w:r>
      <w:bookmarkEnd w:id="1518"/>
      <w:bookmarkEnd w:id="1519"/>
      <w:bookmarkEnd w:id="1520"/>
      <w:bookmarkEnd w:id="1521"/>
      <w:bookmarkEnd w:id="1522"/>
      <w:bookmarkEnd w:id="1523"/>
      <w:bookmarkEnd w:id="1552"/>
      <w:bookmarkEnd w:id="1553"/>
      <w:bookmarkEnd w:id="1554"/>
      <w:bookmarkEnd w:id="1555"/>
      <w:bookmarkEnd w:id="1556"/>
      <w:bookmarkEnd w:id="1557"/>
    </w:p>
    <w:p w:rsidR="00CB0DD7" w:rsidRPr="000A0A5F" w:rsidRDefault="00CB0DD7">
      <w:pPr>
        <w:pStyle w:val="Heading4"/>
        <w:rPr>
          <w:lang w:eastAsia="zh-CN"/>
        </w:rPr>
      </w:pPr>
      <w:bookmarkStart w:id="1558" w:name="_Toc11247292"/>
      <w:bookmarkStart w:id="1559" w:name="_Toc27044412"/>
      <w:bookmarkStart w:id="1560" w:name="_Toc36033454"/>
      <w:bookmarkStart w:id="1561" w:name="_Toc45131586"/>
      <w:bookmarkStart w:id="1562" w:name="_Toc49775871"/>
      <w:bookmarkStart w:id="1563" w:name="_Toc51746791"/>
      <w:bookmarkStart w:id="1564" w:name="_Toc66360334"/>
      <w:bookmarkStart w:id="1565" w:name="_Toc68104839"/>
      <w:bookmarkStart w:id="1566" w:name="_Toc74755468"/>
      <w:bookmarkStart w:id="1567" w:name="_Toc105674323"/>
      <w:bookmarkStart w:id="1568" w:name="_Toc130502360"/>
      <w:bookmarkStart w:id="1569" w:name="_Toc153625139"/>
      <w:r w:rsidRPr="000A0A5F">
        <w:rPr>
          <w:lang w:eastAsia="zh-CN"/>
        </w:rPr>
        <w:t>5.2.9.1</w:t>
      </w:r>
      <w:r w:rsidRPr="000A0A5F">
        <w:rPr>
          <w:lang w:eastAsia="zh-CN"/>
        </w:rPr>
        <w:tab/>
        <w:t>General</w:t>
      </w:r>
      <w:bookmarkEnd w:id="1558"/>
      <w:bookmarkEnd w:id="1559"/>
      <w:bookmarkEnd w:id="1560"/>
      <w:bookmarkEnd w:id="1561"/>
      <w:bookmarkEnd w:id="1562"/>
      <w:bookmarkEnd w:id="1563"/>
      <w:bookmarkEnd w:id="1564"/>
      <w:bookmarkEnd w:id="1565"/>
      <w:bookmarkEnd w:id="1566"/>
      <w:bookmarkEnd w:id="1567"/>
      <w:bookmarkEnd w:id="1568"/>
      <w:bookmarkEnd w:id="1569"/>
    </w:p>
    <w:p w:rsidR="00CB0DD7" w:rsidRPr="000A0A5F" w:rsidRDefault="00CB0DD7">
      <w:pPr>
        <w:rPr>
          <w:lang w:eastAsia="zh-CN"/>
        </w:rPr>
      </w:pPr>
      <w:r w:rsidRPr="000A0A5F">
        <w:t>T8 Open API specification files shall comply with the OpenAPI specification [27] and with the present clause.</w:t>
      </w:r>
    </w:p>
    <w:p w:rsidR="00CB0DD7" w:rsidRPr="000A0A5F" w:rsidRDefault="00CB0DD7">
      <w:r w:rsidRPr="000A0A5F">
        <w:t>Each API shall be described in one Open API specification file. In addition, 3GPP specifications may contain Open API specification file with common data types.</w:t>
      </w:r>
    </w:p>
    <w:p w:rsidR="00CB0DD7" w:rsidRPr="000A0A5F" w:rsidRDefault="00CB0DD7">
      <w:pPr>
        <w:spacing w:after="120"/>
      </w:pPr>
      <w:r w:rsidRPr="000A0A5F">
        <w:t>For the purpose of referencing (see clause 5.2.9.6), it is assumed that each Open API specification file contained in a 3GPP specification is stored as separate physical, that all Open API specification files are stored in the same directory on the local server, and that the files are named according to the conventions in clause 5.2.9.6.</w:t>
      </w:r>
    </w:p>
    <w:p w:rsidR="00CB0DD7" w:rsidRPr="000A0A5F" w:rsidRDefault="00CB0DD7">
      <w:pPr>
        <w:pStyle w:val="Heading4"/>
        <w:rPr>
          <w:lang w:eastAsia="zh-CN"/>
        </w:rPr>
      </w:pPr>
      <w:bookmarkStart w:id="1570" w:name="_Toc11247293"/>
      <w:bookmarkStart w:id="1571" w:name="_Toc27044413"/>
      <w:bookmarkStart w:id="1572" w:name="_Toc36033455"/>
      <w:bookmarkStart w:id="1573" w:name="_Toc45131587"/>
      <w:bookmarkStart w:id="1574" w:name="_Toc49775872"/>
      <w:bookmarkStart w:id="1575" w:name="_Toc51746792"/>
      <w:bookmarkStart w:id="1576" w:name="_Toc66360335"/>
      <w:bookmarkStart w:id="1577" w:name="_Toc68104840"/>
      <w:bookmarkStart w:id="1578" w:name="_Toc74755469"/>
      <w:bookmarkStart w:id="1579" w:name="_Toc105674324"/>
      <w:bookmarkStart w:id="1580" w:name="_Toc130502361"/>
      <w:bookmarkStart w:id="1581" w:name="_Toc153625140"/>
      <w:r w:rsidRPr="000A0A5F">
        <w:rPr>
          <w:lang w:eastAsia="zh-CN"/>
        </w:rPr>
        <w:t>5.2.9.2</w:t>
      </w:r>
      <w:r w:rsidRPr="000A0A5F">
        <w:rPr>
          <w:lang w:eastAsia="zh-CN"/>
        </w:rPr>
        <w:tab/>
        <w:t>Formatting of OpenAPI files</w:t>
      </w:r>
      <w:bookmarkEnd w:id="1570"/>
      <w:bookmarkEnd w:id="1571"/>
      <w:bookmarkEnd w:id="1572"/>
      <w:bookmarkEnd w:id="1573"/>
      <w:bookmarkEnd w:id="1574"/>
      <w:bookmarkEnd w:id="1575"/>
      <w:bookmarkEnd w:id="1576"/>
      <w:bookmarkEnd w:id="1577"/>
      <w:bookmarkEnd w:id="1578"/>
      <w:bookmarkEnd w:id="1579"/>
      <w:bookmarkEnd w:id="1580"/>
      <w:bookmarkEnd w:id="1581"/>
    </w:p>
    <w:p w:rsidR="00CB0DD7" w:rsidRPr="000A0A5F" w:rsidRDefault="00CB0DD7">
      <w:r w:rsidRPr="000A0A5F">
        <w:t>The following guidelines shall be used when documenting OpenAPI files:</w:t>
      </w:r>
    </w:p>
    <w:p w:rsidR="00CB0DD7" w:rsidRPr="000A0A5F" w:rsidRDefault="00CB0DD7">
      <w:pPr>
        <w:pStyle w:val="B10"/>
      </w:pPr>
      <w:r w:rsidRPr="000A0A5F">
        <w:t>-</w:t>
      </w:r>
      <w:r w:rsidRPr="000A0A5F">
        <w:tab/>
        <w:t>OpenAPI specifications shall be documented using YAML format (see YAML 1.2 [41]). For specific restrictions on the usage of YAML in OpenAPI, see OpenAPI Specification [27].</w:t>
      </w:r>
    </w:p>
    <w:p w:rsidR="00CB0DD7" w:rsidRPr="000A0A5F" w:rsidRDefault="00CB0DD7">
      <w:pPr>
        <w:pStyle w:val="B10"/>
      </w:pPr>
      <w:r w:rsidRPr="000A0A5F">
        <w:t>-</w:t>
      </w:r>
      <w:r w:rsidRPr="000A0A5F">
        <w:tab/>
        <w:t>The style used for the specification shall be "PL" (Programming Language).</w:t>
      </w:r>
    </w:p>
    <w:p w:rsidR="00CB0DD7" w:rsidRPr="000A0A5F" w:rsidRDefault="00CB0DD7">
      <w:pPr>
        <w:pStyle w:val="B10"/>
      </w:pPr>
      <w:r w:rsidRPr="000A0A5F">
        <w:t>-</w:t>
      </w:r>
      <w:r w:rsidRPr="000A0A5F">
        <w:tab/>
        <w:t>The different scopes in the YAML data structures representing collections (objects, arrays…) shall use an indentation of two white spaces.</w:t>
      </w:r>
    </w:p>
    <w:p w:rsidR="00CB0DD7" w:rsidRPr="000A0A5F" w:rsidRDefault="00CB0DD7">
      <w:pPr>
        <w:pStyle w:val="B10"/>
        <w:spacing w:after="120"/>
      </w:pPr>
      <w:r w:rsidRPr="000A0A5F">
        <w:t>-</w:t>
      </w:r>
      <w:r w:rsidRPr="000A0A5F">
        <w:tab/>
        <w:t>Comments may be added by following the standard YAML syntax ("#").</w:t>
      </w:r>
    </w:p>
    <w:p w:rsidR="00CB0DD7" w:rsidRPr="000A0A5F" w:rsidRDefault="00CB0DD7">
      <w:pPr>
        <w:pStyle w:val="B10"/>
      </w:pPr>
      <w:r w:rsidRPr="000A0A5F">
        <w:t>-</w:t>
      </w:r>
      <w:r w:rsidRPr="000A0A5F">
        <w:tab/>
        <w:t>Tabs shall not be used in OpenAPI specification files (e.g. within description fields).</w:t>
      </w:r>
    </w:p>
    <w:p w:rsidR="00CB0DD7" w:rsidRPr="000A0A5F" w:rsidRDefault="00CB0DD7">
      <w:pPr>
        <w:pStyle w:val="B10"/>
      </w:pPr>
      <w:r w:rsidRPr="000A0A5F">
        <w:t>-</w:t>
      </w:r>
      <w:r w:rsidRPr="000A0A5F">
        <w:tab/>
        <w:t>"Unbreakable" spaces (UTF-8 'NO-BREAK SPACE' (U+00A0)) shall not be used in OpenAPI specification files (e.g. within description fields). Only "normal" spaces (UTF-8 'SPACE' (U+0020)) shall be allowed.</w:t>
      </w:r>
    </w:p>
    <w:p w:rsidR="00CB0DD7" w:rsidRPr="000A0A5F" w:rsidRDefault="00CB0DD7">
      <w:pPr>
        <w:pStyle w:val="B10"/>
      </w:pPr>
      <w:r w:rsidRPr="000A0A5F">
        <w:t>-</w:t>
      </w:r>
      <w:r w:rsidRPr="000A0A5F">
        <w:tab/>
        <w:t>Trailing spaces (i.e. white spaces at the end of a line) should not be used in OpenAPI specification files.</w:t>
      </w:r>
    </w:p>
    <w:p w:rsidR="00CB0DD7" w:rsidRPr="000A0A5F" w:rsidRDefault="00CB0DD7">
      <w:pPr>
        <w:pStyle w:val="Heading4"/>
        <w:rPr>
          <w:lang w:eastAsia="zh-CN"/>
        </w:rPr>
      </w:pPr>
      <w:bookmarkStart w:id="1582" w:name="_Toc11247294"/>
      <w:bookmarkStart w:id="1583" w:name="_Toc27044414"/>
      <w:bookmarkStart w:id="1584" w:name="_Toc36033456"/>
      <w:bookmarkStart w:id="1585" w:name="_Toc45131588"/>
      <w:bookmarkStart w:id="1586" w:name="_Toc49775873"/>
      <w:bookmarkStart w:id="1587" w:name="_Toc51746793"/>
      <w:bookmarkStart w:id="1588" w:name="_Toc66360336"/>
      <w:bookmarkStart w:id="1589" w:name="_Toc68104841"/>
      <w:bookmarkStart w:id="1590" w:name="_Toc74755470"/>
      <w:bookmarkStart w:id="1591" w:name="_Toc105674325"/>
      <w:bookmarkStart w:id="1592" w:name="_Toc130502362"/>
      <w:bookmarkStart w:id="1593" w:name="_Toc153625141"/>
      <w:r w:rsidRPr="000A0A5F">
        <w:rPr>
          <w:lang w:eastAsia="zh-CN"/>
        </w:rPr>
        <w:t>5.2.9.3</w:t>
      </w:r>
      <w:r w:rsidRPr="000A0A5F">
        <w:rPr>
          <w:lang w:eastAsia="zh-CN"/>
        </w:rPr>
        <w:tab/>
      </w:r>
      <w:r w:rsidRPr="000A0A5F">
        <w:rPr>
          <w:rFonts w:hint="eastAsia"/>
          <w:lang w:eastAsia="zh-CN"/>
        </w:rPr>
        <w:t>Structured data types</w:t>
      </w:r>
      <w:bookmarkEnd w:id="1582"/>
      <w:bookmarkEnd w:id="1583"/>
      <w:bookmarkEnd w:id="1584"/>
      <w:bookmarkEnd w:id="1585"/>
      <w:bookmarkEnd w:id="1586"/>
      <w:bookmarkEnd w:id="1587"/>
      <w:bookmarkEnd w:id="1588"/>
      <w:bookmarkEnd w:id="1589"/>
      <w:bookmarkEnd w:id="1590"/>
      <w:bookmarkEnd w:id="1591"/>
      <w:bookmarkEnd w:id="1592"/>
      <w:bookmarkEnd w:id="1593"/>
    </w:p>
    <w:p w:rsidR="00CB0DD7" w:rsidRPr="000A0A5F" w:rsidRDefault="00CB0DD7">
      <w:r w:rsidRPr="000A0A5F">
        <w:rPr>
          <w:lang w:eastAsia="zh-CN"/>
        </w:rPr>
        <w:t xml:space="preserve">The </w:t>
      </w:r>
      <w:r w:rsidRPr="000A0A5F">
        <w:t>OpenAPI file shall contain a definition in the components/schemas section defining a schema with the name of the structured data type as key.</w:t>
      </w:r>
    </w:p>
    <w:p w:rsidR="00CB0DD7" w:rsidRPr="000A0A5F" w:rsidRDefault="00CB0DD7">
      <w:r w:rsidRPr="000A0A5F">
        <w:t>The schema shall contain:</w:t>
      </w:r>
    </w:p>
    <w:p w:rsidR="00CB0DD7" w:rsidRPr="000A0A5F" w:rsidRDefault="00CB0DD7">
      <w:pPr>
        <w:pStyle w:val="B10"/>
      </w:pPr>
      <w:r w:rsidRPr="000A0A5F">
        <w:t>-</w:t>
      </w:r>
      <w:r w:rsidRPr="000A0A5F">
        <w:tab/>
        <w:t>"type: object";</w:t>
      </w:r>
    </w:p>
    <w:p w:rsidR="00CB0DD7" w:rsidRPr="000A0A5F" w:rsidRDefault="00CB0DD7">
      <w:pPr>
        <w:pStyle w:val="B10"/>
      </w:pPr>
      <w:r w:rsidRPr="000A0A5F">
        <w:t>-</w:t>
      </w:r>
      <w:r w:rsidRPr="000A0A5F">
        <w:tab/>
        <w:t xml:space="preserve">"description: </w:t>
      </w:r>
      <w:r w:rsidRPr="000A0A5F">
        <w:rPr>
          <w:i/>
        </w:rPr>
        <w:t>&lt;description&gt;</w:t>
      </w:r>
      <w:r w:rsidRPr="000A0A5F">
        <w:t xml:space="preserve">", where </w:t>
      </w:r>
      <w:r w:rsidRPr="000A0A5F">
        <w:rPr>
          <w:i/>
        </w:rPr>
        <w:t>&lt;description&gt;</w:t>
      </w:r>
      <w:r w:rsidRPr="000A0A5F">
        <w:t xml:space="preserve"> is the description of the data type in the table defining the structured data type. The "description" attribute should be provided for all data types, specially if they are frequently reused from the same or other OpenAPI specification files; the "description" attribute shall always be provided for data types defined as maps, with a clear indication of the values (strings) used as key of the map;</w:t>
      </w:r>
    </w:p>
    <w:p w:rsidR="00CB0DD7" w:rsidRPr="000A0A5F" w:rsidRDefault="00CB0DD7">
      <w:pPr>
        <w:pStyle w:val="B10"/>
      </w:pPr>
      <w:r w:rsidRPr="000A0A5F">
        <w:t>-</w:t>
      </w:r>
      <w:r w:rsidRPr="000A0A5F">
        <w:tab/>
        <w:t>if any attributes in the structured data type are marked as mandatory via a minimum cardinality greater than "0", a "required" keyword listing those attributes; and</w:t>
      </w:r>
    </w:p>
    <w:p w:rsidR="00CB0DD7" w:rsidRPr="000A0A5F" w:rsidRDefault="00CB0DD7">
      <w:pPr>
        <w:pStyle w:val="B10"/>
      </w:pPr>
      <w:r w:rsidRPr="000A0A5F">
        <w:t>-</w:t>
      </w:r>
      <w:r w:rsidRPr="000A0A5F">
        <w:tab/>
        <w:t>a "properties" keyword containing for each attribute in the structured data type an entry with the attribute name as key and:</w:t>
      </w:r>
    </w:p>
    <w:p w:rsidR="00CB0DD7" w:rsidRPr="000A0A5F" w:rsidRDefault="00CB0DD7">
      <w:pPr>
        <w:pStyle w:val="B2"/>
      </w:pPr>
      <w:r w:rsidRPr="000A0A5F">
        <w:t>1.</w:t>
      </w:r>
      <w:r w:rsidRPr="000A0A5F">
        <w:tab/>
        <w:t>if the data type is "</w:t>
      </w:r>
      <w:r w:rsidRPr="000A0A5F">
        <w:rPr>
          <w:i/>
        </w:rPr>
        <w:t>&lt;type&gt;</w:t>
      </w:r>
      <w:r w:rsidRPr="000A0A5F">
        <w:t>":</w:t>
      </w:r>
    </w:p>
    <w:p w:rsidR="00CB0DD7" w:rsidRPr="000A0A5F" w:rsidRDefault="00CB0DD7">
      <w:pPr>
        <w:pStyle w:val="B3"/>
      </w:pPr>
      <w:r w:rsidRPr="000A0A5F">
        <w:t>a.</w:t>
      </w:r>
      <w:r w:rsidRPr="000A0A5F">
        <w:tab/>
        <w:t xml:space="preserve">if the data type of the attribute is "string", "number", "integer", or "boolean", a type definition using that data type as value ("type: </w:t>
      </w:r>
      <w:r w:rsidRPr="000A0A5F">
        <w:rPr>
          <w:i/>
        </w:rPr>
        <w:t>&lt;data type&gt;</w:t>
      </w:r>
      <w:r w:rsidRPr="000A0A5F">
        <w:t>"); or</w:t>
      </w:r>
    </w:p>
    <w:p w:rsidR="00CB0DD7" w:rsidRPr="000A0A5F" w:rsidRDefault="00CB0DD7">
      <w:pPr>
        <w:pStyle w:val="B3"/>
      </w:pPr>
      <w:r w:rsidRPr="000A0A5F">
        <w:t>b.</w:t>
      </w:r>
      <w:r w:rsidRPr="000A0A5F">
        <w:tab/>
        <w:t xml:space="preserve">otherwise a reference to the data type schema for the data type </w:t>
      </w:r>
      <w:r w:rsidRPr="000A0A5F">
        <w:rPr>
          <w:i/>
        </w:rPr>
        <w:t>&lt;data type&gt;</w:t>
      </w:r>
      <w:r w:rsidRPr="000A0A5F">
        <w:t xml:space="preserve"> of the attribute, i.e. "$ref: '#/components/schemas/</w:t>
      </w:r>
      <w:r w:rsidRPr="000A0A5F">
        <w:rPr>
          <w:i/>
        </w:rPr>
        <w:t>&lt;data type&gt;</w:t>
      </w:r>
      <w:r w:rsidRPr="000A0A5F">
        <w:t>'" if that data type schema is contained in the same OpenAPI file and "$ref: '</w:t>
      </w:r>
      <w:r w:rsidRPr="000A0A5F">
        <w:rPr>
          <w:i/>
        </w:rPr>
        <w:t>&lt;filename&gt;</w:t>
      </w:r>
      <w:r w:rsidRPr="000A0A5F">
        <w:t>#/components/schemas/</w:t>
      </w:r>
      <w:r w:rsidRPr="000A0A5F">
        <w:rPr>
          <w:i/>
        </w:rPr>
        <w:t>&lt;data type&gt;</w:t>
      </w:r>
      <w:r w:rsidRPr="000A0A5F">
        <w:t xml:space="preserve">'" if that data type schema is contained in file </w:t>
      </w:r>
      <w:r w:rsidRPr="000A0A5F">
        <w:rPr>
          <w:i/>
        </w:rPr>
        <w:t>&lt;filename&gt;</w:t>
      </w:r>
      <w:r w:rsidRPr="000A0A5F">
        <w:t xml:space="preserve"> in the same directory on the same server;</w:t>
      </w:r>
    </w:p>
    <w:p w:rsidR="00CB0DD7" w:rsidRPr="000A0A5F" w:rsidRDefault="00CB0DD7">
      <w:pPr>
        <w:pStyle w:val="B2"/>
      </w:pPr>
      <w:r w:rsidRPr="000A0A5F">
        <w:t>2.</w:t>
      </w:r>
      <w:r w:rsidRPr="000A0A5F">
        <w:tab/>
        <w:t>if the data type is "array</w:t>
      </w:r>
      <w:r w:rsidRPr="000A0A5F">
        <w:rPr>
          <w:i/>
        </w:rPr>
        <w:t>(&lt;type&gt;</w:t>
      </w:r>
      <w:r w:rsidRPr="000A0A5F">
        <w:t>)":</w:t>
      </w:r>
    </w:p>
    <w:p w:rsidR="00CB0DD7" w:rsidRPr="000A0A5F" w:rsidRDefault="00CB0DD7">
      <w:pPr>
        <w:pStyle w:val="B3"/>
      </w:pPr>
      <w:r w:rsidRPr="000A0A5F">
        <w:t>a.</w:t>
      </w:r>
      <w:r w:rsidRPr="000A0A5F">
        <w:tab/>
        <w:t>a type definition "type: array";</w:t>
      </w:r>
    </w:p>
    <w:p w:rsidR="00CB0DD7" w:rsidRPr="000A0A5F" w:rsidRDefault="00CB0DD7">
      <w:pPr>
        <w:pStyle w:val="B3"/>
      </w:pPr>
      <w:r w:rsidRPr="000A0A5F">
        <w:t>b.</w:t>
      </w:r>
      <w:r w:rsidRPr="000A0A5F">
        <w:tab/>
        <w:t>an "items:" definition containing:</w:t>
      </w:r>
    </w:p>
    <w:p w:rsidR="00CB0DD7" w:rsidRPr="000A0A5F" w:rsidRDefault="00CB0DD7">
      <w:pPr>
        <w:pStyle w:val="B4"/>
      </w:pPr>
      <w:r w:rsidRPr="000A0A5F">
        <w:t>i).</w:t>
      </w:r>
      <w:r w:rsidRPr="000A0A5F">
        <w:tab/>
        <w:t xml:space="preserve">if the data type of the attribute is "string", "number", "integer", or "boolean", a type definition using that data type as value ("type: </w:t>
      </w:r>
      <w:r w:rsidRPr="000A0A5F">
        <w:rPr>
          <w:i/>
        </w:rPr>
        <w:t>&lt;data type&gt;</w:t>
      </w:r>
      <w:r w:rsidRPr="000A0A5F">
        <w:t>"); or</w:t>
      </w:r>
    </w:p>
    <w:p w:rsidR="00CB0DD7" w:rsidRPr="000A0A5F" w:rsidRDefault="00CB0DD7">
      <w:pPr>
        <w:pStyle w:val="B4"/>
      </w:pPr>
      <w:r w:rsidRPr="000A0A5F">
        <w:t>ii).</w:t>
      </w:r>
      <w:r w:rsidRPr="000A0A5F">
        <w:tab/>
        <w:t xml:space="preserve">otherwise a reference to the data type schema for the data type </w:t>
      </w:r>
      <w:r w:rsidRPr="000A0A5F">
        <w:rPr>
          <w:i/>
        </w:rPr>
        <w:t>&lt;data type&gt;</w:t>
      </w:r>
      <w:r w:rsidRPr="000A0A5F">
        <w:t xml:space="preserve"> of the attribute, i.e. "$ref: '#/components/schemas/</w:t>
      </w:r>
      <w:r w:rsidRPr="000A0A5F">
        <w:rPr>
          <w:i/>
        </w:rPr>
        <w:t>&lt;data type&gt;</w:t>
      </w:r>
      <w:r w:rsidRPr="000A0A5F">
        <w:t>'" if that data type schema is contained in the same OpenAPI file and "$ref: '</w:t>
      </w:r>
      <w:r w:rsidRPr="000A0A5F">
        <w:rPr>
          <w:i/>
        </w:rPr>
        <w:t>&lt;filename&gt;</w:t>
      </w:r>
      <w:r w:rsidRPr="000A0A5F">
        <w:t>#/components/schemas/</w:t>
      </w:r>
      <w:r w:rsidRPr="000A0A5F">
        <w:rPr>
          <w:i/>
        </w:rPr>
        <w:t>&lt;data type&gt;</w:t>
      </w:r>
      <w:r w:rsidRPr="000A0A5F">
        <w:t xml:space="preserve">'" if that data type schema is contained in file </w:t>
      </w:r>
      <w:r w:rsidRPr="000A0A5F">
        <w:rPr>
          <w:i/>
        </w:rPr>
        <w:t>&lt;filename&gt;</w:t>
      </w:r>
      <w:r w:rsidRPr="000A0A5F">
        <w:t xml:space="preserve"> in the same directory on the same server;</w:t>
      </w:r>
    </w:p>
    <w:p w:rsidR="00CB0DD7" w:rsidRPr="000A0A5F" w:rsidRDefault="00CB0DD7">
      <w:pPr>
        <w:pStyle w:val="B3"/>
      </w:pPr>
      <w:r w:rsidRPr="000A0A5F">
        <w:t>c.</w:t>
      </w:r>
      <w:r w:rsidRPr="000A0A5F">
        <w:tab/>
        <w:t xml:space="preserve">if the cardinality contained an integer value </w:t>
      </w:r>
      <w:r w:rsidRPr="000A0A5F">
        <w:rPr>
          <w:i/>
        </w:rPr>
        <w:t>&lt;m&gt;</w:t>
      </w:r>
      <w:r w:rsidRPr="000A0A5F">
        <w:t xml:space="preserve"> as lower boundary, "minItems: </w:t>
      </w:r>
      <w:r w:rsidRPr="000A0A5F">
        <w:rPr>
          <w:i/>
        </w:rPr>
        <w:t>&lt;m&gt;</w:t>
      </w:r>
      <w:r w:rsidRPr="000A0A5F">
        <w:t>"; and</w:t>
      </w:r>
    </w:p>
    <w:p w:rsidR="00CB0DD7" w:rsidRPr="000A0A5F" w:rsidRDefault="00CB0DD7">
      <w:pPr>
        <w:pStyle w:val="B3"/>
      </w:pPr>
      <w:r w:rsidRPr="000A0A5F">
        <w:t>d.</w:t>
      </w:r>
      <w:r w:rsidRPr="000A0A5F">
        <w:tab/>
        <w:t xml:space="preserve">if the cardinality contained an integer value </w:t>
      </w:r>
      <w:r w:rsidRPr="000A0A5F">
        <w:rPr>
          <w:i/>
        </w:rPr>
        <w:t>&lt;n&gt;</w:t>
      </w:r>
      <w:r w:rsidRPr="000A0A5F">
        <w:t xml:space="preserve"> as upper boundary, "maxItems: </w:t>
      </w:r>
      <w:r w:rsidRPr="000A0A5F">
        <w:rPr>
          <w:i/>
        </w:rPr>
        <w:t>&lt;n&gt;</w:t>
      </w:r>
      <w:r w:rsidRPr="000A0A5F">
        <w:t xml:space="preserve">"; </w:t>
      </w:r>
    </w:p>
    <w:p w:rsidR="00CB0DD7" w:rsidRPr="000A0A5F" w:rsidRDefault="00CB0DD7">
      <w:pPr>
        <w:pStyle w:val="B2"/>
      </w:pPr>
      <w:r w:rsidRPr="000A0A5F">
        <w:t>3.</w:t>
      </w:r>
      <w:r w:rsidRPr="000A0A5F">
        <w:tab/>
        <w:t>if the data type is "map</w:t>
      </w:r>
      <w:r w:rsidRPr="000A0A5F">
        <w:rPr>
          <w:i/>
        </w:rPr>
        <w:t>(&lt;type&gt;</w:t>
      </w:r>
      <w:r w:rsidRPr="000A0A5F">
        <w:t>)":</w:t>
      </w:r>
    </w:p>
    <w:p w:rsidR="00CB0DD7" w:rsidRPr="000A0A5F" w:rsidRDefault="00CB0DD7">
      <w:pPr>
        <w:pStyle w:val="B3"/>
      </w:pPr>
      <w:r w:rsidRPr="000A0A5F">
        <w:t>a.</w:t>
      </w:r>
      <w:r w:rsidRPr="000A0A5F">
        <w:tab/>
        <w:t>a type definition "type: object";</w:t>
      </w:r>
    </w:p>
    <w:p w:rsidR="00CB0DD7" w:rsidRPr="000A0A5F" w:rsidRDefault="00CB0DD7">
      <w:pPr>
        <w:pStyle w:val="B3"/>
      </w:pPr>
      <w:r w:rsidRPr="000A0A5F">
        <w:t>b.</w:t>
      </w:r>
      <w:r w:rsidRPr="000A0A5F">
        <w:tab/>
        <w:t>an "additionalProperties:" definition containing:</w:t>
      </w:r>
    </w:p>
    <w:p w:rsidR="00CB0DD7" w:rsidRPr="000A0A5F" w:rsidRDefault="00CB0DD7">
      <w:pPr>
        <w:pStyle w:val="B4"/>
      </w:pPr>
      <w:r w:rsidRPr="000A0A5F">
        <w:t>i).</w:t>
      </w:r>
      <w:r w:rsidRPr="000A0A5F">
        <w:tab/>
        <w:t xml:space="preserve">if the data type of the attribute is "string", "number", "integer", or "boolean", a type definition using that data type as value ("type: </w:t>
      </w:r>
      <w:r w:rsidRPr="000A0A5F">
        <w:rPr>
          <w:i/>
        </w:rPr>
        <w:t>&lt;data type&gt;</w:t>
      </w:r>
      <w:r w:rsidRPr="000A0A5F">
        <w:t>"); or</w:t>
      </w:r>
    </w:p>
    <w:p w:rsidR="00CB0DD7" w:rsidRPr="000A0A5F" w:rsidRDefault="00CB0DD7">
      <w:pPr>
        <w:pStyle w:val="B4"/>
      </w:pPr>
      <w:r w:rsidRPr="000A0A5F">
        <w:t>ii).</w:t>
      </w:r>
      <w:r w:rsidRPr="000A0A5F">
        <w:tab/>
        <w:t xml:space="preserve">otherwise a reference to the data type schema for the data type </w:t>
      </w:r>
      <w:r w:rsidRPr="000A0A5F">
        <w:rPr>
          <w:i/>
        </w:rPr>
        <w:t>&lt;data type&gt;</w:t>
      </w:r>
      <w:r w:rsidRPr="000A0A5F">
        <w:t xml:space="preserve"> of the attribute, i.e. "$ref: '#/components/schemas/</w:t>
      </w:r>
      <w:r w:rsidRPr="000A0A5F">
        <w:rPr>
          <w:i/>
        </w:rPr>
        <w:t>&lt;data type&gt;</w:t>
      </w:r>
      <w:r w:rsidRPr="000A0A5F">
        <w:t>'" if that data type schema is contained in the same OpenAPI file and "$ref: '</w:t>
      </w:r>
      <w:r w:rsidRPr="000A0A5F">
        <w:rPr>
          <w:i/>
        </w:rPr>
        <w:t>&lt;filename&gt;</w:t>
      </w:r>
      <w:r w:rsidRPr="000A0A5F">
        <w:t>#/components/schemas/</w:t>
      </w:r>
      <w:r w:rsidRPr="000A0A5F">
        <w:rPr>
          <w:i/>
        </w:rPr>
        <w:t>&lt;data type&gt;</w:t>
      </w:r>
      <w:r w:rsidRPr="000A0A5F">
        <w:t xml:space="preserve">'" if that data type schema is contained in file </w:t>
      </w:r>
      <w:r w:rsidRPr="000A0A5F">
        <w:rPr>
          <w:i/>
        </w:rPr>
        <w:t>&lt;filename&gt;</w:t>
      </w:r>
      <w:r w:rsidRPr="000A0A5F">
        <w:t xml:space="preserve"> in the same directory on the same server;</w:t>
      </w:r>
    </w:p>
    <w:p w:rsidR="00CB0DD7" w:rsidRPr="000A0A5F" w:rsidRDefault="00CB0DD7">
      <w:pPr>
        <w:pStyle w:val="B3"/>
      </w:pPr>
      <w:r w:rsidRPr="000A0A5F">
        <w:t>c.</w:t>
      </w:r>
      <w:r w:rsidRPr="000A0A5F">
        <w:tab/>
        <w:t xml:space="preserve">if the cardinality contained an integer value </w:t>
      </w:r>
      <w:r w:rsidRPr="000A0A5F">
        <w:rPr>
          <w:i/>
        </w:rPr>
        <w:t>&lt;m&gt;</w:t>
      </w:r>
      <w:r w:rsidRPr="000A0A5F">
        <w:t xml:space="preserve"> as lower boundary, "min Properties: </w:t>
      </w:r>
      <w:r w:rsidRPr="000A0A5F">
        <w:rPr>
          <w:i/>
        </w:rPr>
        <w:t>&lt;m&gt;</w:t>
      </w:r>
      <w:r w:rsidRPr="000A0A5F">
        <w:t>"; and</w:t>
      </w:r>
    </w:p>
    <w:p w:rsidR="00CB0DD7" w:rsidRPr="000A0A5F" w:rsidRDefault="00CB0DD7">
      <w:pPr>
        <w:pStyle w:val="B3"/>
      </w:pPr>
      <w:r w:rsidRPr="000A0A5F">
        <w:t>d.</w:t>
      </w:r>
      <w:r w:rsidRPr="000A0A5F">
        <w:tab/>
        <w:t xml:space="preserve">if the cardinality contained an integer value </w:t>
      </w:r>
      <w:r w:rsidRPr="000A0A5F">
        <w:rPr>
          <w:i/>
        </w:rPr>
        <w:t>&lt;n&gt;</w:t>
      </w:r>
      <w:r w:rsidRPr="000A0A5F">
        <w:t xml:space="preserve"> as upper boundary, "max Properties: </w:t>
      </w:r>
      <w:r w:rsidRPr="000A0A5F">
        <w:rPr>
          <w:i/>
        </w:rPr>
        <w:t>&lt;n&gt;</w:t>
      </w:r>
      <w:r w:rsidRPr="000A0A5F">
        <w:t>"; and</w:t>
      </w:r>
    </w:p>
    <w:p w:rsidR="00CB0DD7" w:rsidRPr="000A0A5F" w:rsidRDefault="00CB0DD7">
      <w:pPr>
        <w:pStyle w:val="B2"/>
      </w:pPr>
      <w:r w:rsidRPr="000A0A5F">
        <w:t>4.</w:t>
      </w:r>
      <w:r w:rsidRPr="000A0A5F">
        <w:tab/>
        <w:t xml:space="preserve">"description: </w:t>
      </w:r>
      <w:r w:rsidRPr="000A0A5F">
        <w:rPr>
          <w:i/>
        </w:rPr>
        <w:t>&lt;description&gt;</w:t>
      </w:r>
      <w:r w:rsidRPr="000A0A5F">
        <w:t xml:space="preserve">", where </w:t>
      </w:r>
      <w:r w:rsidRPr="000A0A5F">
        <w:rPr>
          <w:i/>
        </w:rPr>
        <w:t>&lt;description&gt;</w:t>
      </w:r>
      <w:r w:rsidRPr="000A0A5F">
        <w:t xml:space="preserve"> is the description of the attribute in the table defining the structured data type; the "description" attribute shall always be provided for attributes defined as maps, with a clear indication of the values (strings) used as key of the map.</w:t>
      </w:r>
    </w:p>
    <w:p w:rsidR="00CB0DD7" w:rsidRPr="000A0A5F" w:rsidRDefault="00CB0DD7">
      <w:pPr>
        <w:pStyle w:val="NO"/>
      </w:pPr>
      <w:r w:rsidRPr="000A0A5F">
        <w:rPr>
          <w:lang w:val="en-US" w:eastAsia="zh-CN"/>
        </w:rPr>
        <w:t>NOTE 1:</w:t>
      </w:r>
      <w:r w:rsidRPr="000A0A5F">
        <w:rPr>
          <w:lang w:val="en-US" w:eastAsia="zh-CN"/>
        </w:rPr>
        <w:tab/>
        <w:t xml:space="preserve">An omission of the </w:t>
      </w:r>
      <w:r w:rsidRPr="000A0A5F">
        <w:t xml:space="preserve">"minProperties", and "maxProperties" keywords indicates that no lower or upper boundaries respectively, for the number of properties in an object are defined. </w:t>
      </w:r>
      <w:r w:rsidRPr="000A0A5F">
        <w:rPr>
          <w:lang w:val="en-US" w:eastAsia="zh-CN"/>
        </w:rPr>
        <w:t xml:space="preserve">An omission of the </w:t>
      </w:r>
      <w:r w:rsidRPr="000A0A5F">
        <w:t>"minItems", and "maxItems" keywords indicates that no lower or upper boundaries, respectively, for the number of items in an array are defined.</w:t>
      </w:r>
    </w:p>
    <w:p w:rsidR="00CB0DD7" w:rsidRPr="000A0A5F" w:rsidRDefault="00CB0DD7">
      <w:pPr>
        <w:pStyle w:val="NO"/>
        <w:rPr>
          <w:lang w:val="en-US" w:eastAsia="zh-CN"/>
        </w:rPr>
      </w:pPr>
      <w:r w:rsidRPr="000A0A5F">
        <w:rPr>
          <w:rFonts w:hint="eastAsia"/>
          <w:lang w:val="en-US" w:eastAsia="zh-CN"/>
        </w:rPr>
        <w:t>NOTE</w:t>
      </w:r>
      <w:r w:rsidRPr="000A0A5F">
        <w:rPr>
          <w:lang w:val="en-US" w:eastAsia="zh-CN"/>
        </w:rPr>
        <w:t> 2</w:t>
      </w:r>
      <w:r w:rsidRPr="000A0A5F">
        <w:rPr>
          <w:rFonts w:hint="eastAsia"/>
          <w:lang w:val="en-US" w:eastAsia="zh-CN"/>
        </w:rPr>
        <w:t>:</w:t>
      </w:r>
      <w:r w:rsidRPr="000A0A5F">
        <w:rPr>
          <w:rFonts w:hint="eastAsia"/>
          <w:lang w:val="en-US" w:eastAsia="zh-CN"/>
        </w:rPr>
        <w:tab/>
        <w:t xml:space="preserve">The </w:t>
      </w:r>
      <w:r w:rsidRPr="000A0A5F">
        <w:rPr>
          <w:lang w:val="en-US" w:eastAsia="zh-CN"/>
        </w:rPr>
        <w:t>"0..N" implies the array or map type of the attribute may be optional. If the attribute is present, the minimum number of elements is described in openAPI file</w:t>
      </w:r>
      <w:r w:rsidRPr="000A0A5F">
        <w:rPr>
          <w:rFonts w:hint="eastAsia"/>
          <w:lang w:val="en-US" w:eastAsia="zh-CN"/>
        </w:rPr>
        <w:t>.</w:t>
      </w:r>
    </w:p>
    <w:p w:rsidR="00CB0DD7" w:rsidRPr="000A0A5F" w:rsidRDefault="00CB0DD7">
      <w:pPr>
        <w:pStyle w:val="EX"/>
        <w:rPr>
          <w:lang w:eastAsia="zh-CN"/>
        </w:rPr>
      </w:pPr>
      <w:r w:rsidRPr="000A0A5F">
        <w:rPr>
          <w:lang w:eastAsia="zh-CN"/>
        </w:rPr>
        <w:t>Example:</w:t>
      </w:r>
    </w:p>
    <w:p w:rsidR="00CB0DD7" w:rsidRPr="000A0A5F" w:rsidRDefault="00CB0DD7">
      <w:pPr>
        <w:pStyle w:val="TH"/>
      </w:pPr>
      <w:r w:rsidRPr="000A0A5F">
        <w:rPr>
          <w:noProof/>
        </w:rPr>
        <w:t>Table </w:t>
      </w:r>
      <w:r w:rsidRPr="000A0A5F">
        <w:t>5.2.9</w:t>
      </w:r>
      <w:r w:rsidRPr="000A0A5F">
        <w:rPr>
          <w:lang w:eastAsia="zh-CN"/>
        </w:rPr>
        <w:t>.3</w:t>
      </w:r>
      <w:r w:rsidRPr="000A0A5F">
        <w:t xml:space="preserve">-1: </w:t>
      </w:r>
      <w:r w:rsidRPr="000A0A5F">
        <w:rPr>
          <w:noProof/>
        </w:rPr>
        <w:t xml:space="preserve">Definition of type </w:t>
      </w:r>
      <w:r w:rsidRPr="000A0A5F">
        <w:t>ExampleStructuredType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481"/>
        <w:gridCol w:w="1559"/>
        <w:gridCol w:w="1134"/>
        <w:gridCol w:w="4359"/>
      </w:tblGrid>
      <w:tr w:rsidR="00CB0DD7" w:rsidRPr="000A0A5F" w:rsidTr="002B45A7">
        <w:trPr>
          <w:jc w:val="center"/>
        </w:trPr>
        <w:tc>
          <w:tcPr>
            <w:tcW w:w="2481" w:type="dxa"/>
            <w:shd w:val="clear" w:color="auto" w:fill="C0C0C0"/>
            <w:hideMark/>
          </w:tcPr>
          <w:p w:rsidR="00CB0DD7" w:rsidRPr="000A0A5F" w:rsidRDefault="00CB0DD7">
            <w:pPr>
              <w:pStyle w:val="TAH"/>
            </w:pPr>
            <w:r w:rsidRPr="000A0A5F">
              <w:t>Attribute name</w:t>
            </w:r>
          </w:p>
        </w:tc>
        <w:tc>
          <w:tcPr>
            <w:tcW w:w="1559" w:type="dxa"/>
            <w:shd w:val="clear" w:color="auto" w:fill="C0C0C0"/>
            <w:hideMark/>
          </w:tcPr>
          <w:p w:rsidR="00CB0DD7" w:rsidRPr="000A0A5F" w:rsidRDefault="00CB0DD7">
            <w:pPr>
              <w:pStyle w:val="TAH"/>
            </w:pPr>
            <w:r w:rsidRPr="000A0A5F">
              <w:t>Data type</w:t>
            </w:r>
          </w:p>
        </w:tc>
        <w:tc>
          <w:tcPr>
            <w:tcW w:w="1134" w:type="dxa"/>
            <w:shd w:val="clear" w:color="auto" w:fill="C0C0C0"/>
          </w:tcPr>
          <w:p w:rsidR="00CB0DD7" w:rsidRPr="000A0A5F" w:rsidRDefault="00CB0DD7">
            <w:pPr>
              <w:pStyle w:val="TAH"/>
              <w:jc w:val="left"/>
            </w:pPr>
            <w:r w:rsidRPr="000A0A5F">
              <w:t>Cardinality</w:t>
            </w:r>
          </w:p>
        </w:tc>
        <w:tc>
          <w:tcPr>
            <w:tcW w:w="4359" w:type="dxa"/>
            <w:shd w:val="clear" w:color="auto" w:fill="C0C0C0"/>
            <w:hideMark/>
          </w:tcPr>
          <w:p w:rsidR="00CB0DD7" w:rsidRPr="000A0A5F" w:rsidRDefault="00CB0DD7">
            <w:pPr>
              <w:pStyle w:val="TAH"/>
              <w:rPr>
                <w:rFonts w:cs="Arial"/>
                <w:szCs w:val="18"/>
              </w:rPr>
            </w:pPr>
            <w:r w:rsidRPr="000A0A5F">
              <w:rPr>
                <w:rFonts w:cs="Arial"/>
                <w:szCs w:val="18"/>
              </w:rPr>
              <w:t>Description</w:t>
            </w:r>
          </w:p>
        </w:tc>
      </w:tr>
      <w:tr w:rsidR="00CB0DD7" w:rsidRPr="000A0A5F" w:rsidTr="002B45A7">
        <w:trPr>
          <w:jc w:val="center"/>
        </w:trPr>
        <w:tc>
          <w:tcPr>
            <w:tcW w:w="2481" w:type="dxa"/>
          </w:tcPr>
          <w:p w:rsidR="00CB0DD7" w:rsidRPr="000A0A5F" w:rsidRDefault="00CB0DD7">
            <w:pPr>
              <w:pStyle w:val="TAL"/>
            </w:pPr>
            <w:r w:rsidRPr="000A0A5F">
              <w:t>exSimple</w:t>
            </w:r>
          </w:p>
        </w:tc>
        <w:tc>
          <w:tcPr>
            <w:tcW w:w="1559" w:type="dxa"/>
          </w:tcPr>
          <w:p w:rsidR="00CB0DD7" w:rsidRPr="000A0A5F" w:rsidRDefault="00CB0DD7">
            <w:pPr>
              <w:pStyle w:val="TAL"/>
            </w:pPr>
            <w:r w:rsidRPr="000A0A5F">
              <w:t>ExSimple</w:t>
            </w:r>
          </w:p>
        </w:tc>
        <w:tc>
          <w:tcPr>
            <w:tcW w:w="1134" w:type="dxa"/>
          </w:tcPr>
          <w:p w:rsidR="00CB0DD7" w:rsidRPr="000A0A5F" w:rsidRDefault="00CB0DD7">
            <w:pPr>
              <w:pStyle w:val="TAL"/>
            </w:pPr>
            <w:r w:rsidRPr="000A0A5F">
              <w:t>1</w:t>
            </w:r>
          </w:p>
        </w:tc>
        <w:tc>
          <w:tcPr>
            <w:tcW w:w="4359" w:type="dxa"/>
          </w:tcPr>
          <w:p w:rsidR="00CB0DD7" w:rsidRPr="000A0A5F" w:rsidRDefault="00CB0DD7">
            <w:pPr>
              <w:pStyle w:val="TAL"/>
              <w:rPr>
                <w:rFonts w:cs="Arial"/>
                <w:szCs w:val="18"/>
              </w:rPr>
            </w:pPr>
            <w:r w:rsidRPr="000A0A5F">
              <w:rPr>
                <w:rFonts w:cs="Arial"/>
                <w:szCs w:val="18"/>
              </w:rPr>
              <w:t>exSimple attribute description</w:t>
            </w:r>
          </w:p>
        </w:tc>
      </w:tr>
      <w:tr w:rsidR="00CB0DD7" w:rsidRPr="000A0A5F" w:rsidTr="002B45A7">
        <w:trPr>
          <w:jc w:val="center"/>
        </w:trPr>
        <w:tc>
          <w:tcPr>
            <w:tcW w:w="2481" w:type="dxa"/>
          </w:tcPr>
          <w:p w:rsidR="00CB0DD7" w:rsidRPr="000A0A5F" w:rsidRDefault="00CB0DD7">
            <w:pPr>
              <w:pStyle w:val="TAL"/>
            </w:pPr>
            <w:r w:rsidRPr="000A0A5F">
              <w:t>exArrayElements</w:t>
            </w:r>
          </w:p>
        </w:tc>
        <w:tc>
          <w:tcPr>
            <w:tcW w:w="1559" w:type="dxa"/>
          </w:tcPr>
          <w:p w:rsidR="00CB0DD7" w:rsidRPr="000A0A5F" w:rsidRDefault="00CB0DD7">
            <w:pPr>
              <w:pStyle w:val="TAL"/>
            </w:pPr>
            <w:r w:rsidRPr="000A0A5F">
              <w:t>array(string)</w:t>
            </w:r>
          </w:p>
        </w:tc>
        <w:tc>
          <w:tcPr>
            <w:tcW w:w="1134" w:type="dxa"/>
          </w:tcPr>
          <w:p w:rsidR="00CB0DD7" w:rsidRPr="000A0A5F" w:rsidRDefault="00CB0DD7">
            <w:pPr>
              <w:pStyle w:val="TAL"/>
            </w:pPr>
            <w:r w:rsidRPr="000A0A5F">
              <w:t>1..10</w:t>
            </w:r>
          </w:p>
        </w:tc>
        <w:tc>
          <w:tcPr>
            <w:tcW w:w="4359" w:type="dxa"/>
          </w:tcPr>
          <w:p w:rsidR="00CB0DD7" w:rsidRPr="000A0A5F" w:rsidRDefault="00CB0DD7">
            <w:pPr>
              <w:pStyle w:val="TAL"/>
              <w:rPr>
                <w:rFonts w:cs="Arial"/>
                <w:szCs w:val="18"/>
              </w:rPr>
            </w:pPr>
            <w:r w:rsidRPr="000A0A5F">
              <w:t xml:space="preserve">exArrayElements </w:t>
            </w:r>
            <w:r w:rsidRPr="000A0A5F">
              <w:rPr>
                <w:rFonts w:cs="Arial"/>
                <w:szCs w:val="18"/>
              </w:rPr>
              <w:t>attribute description</w:t>
            </w:r>
          </w:p>
        </w:tc>
      </w:tr>
      <w:tr w:rsidR="00CB0DD7" w:rsidRPr="000A0A5F" w:rsidTr="002B45A7">
        <w:trPr>
          <w:jc w:val="center"/>
        </w:trPr>
        <w:tc>
          <w:tcPr>
            <w:tcW w:w="2481" w:type="dxa"/>
          </w:tcPr>
          <w:p w:rsidR="00CB0DD7" w:rsidRPr="000A0A5F" w:rsidRDefault="00CB0DD7">
            <w:pPr>
              <w:pStyle w:val="TAL"/>
            </w:pPr>
            <w:r w:rsidRPr="000A0A5F">
              <w:t>exMapElements</w:t>
            </w:r>
          </w:p>
        </w:tc>
        <w:tc>
          <w:tcPr>
            <w:tcW w:w="1559" w:type="dxa"/>
          </w:tcPr>
          <w:p w:rsidR="00CB0DD7" w:rsidRPr="000A0A5F" w:rsidRDefault="00CB0DD7">
            <w:pPr>
              <w:pStyle w:val="TAL"/>
            </w:pPr>
            <w:r w:rsidRPr="000A0A5F">
              <w:t>map(ExStructure)</w:t>
            </w:r>
          </w:p>
        </w:tc>
        <w:tc>
          <w:tcPr>
            <w:tcW w:w="1134" w:type="dxa"/>
          </w:tcPr>
          <w:p w:rsidR="00CB0DD7" w:rsidRPr="000A0A5F" w:rsidRDefault="00CB0DD7">
            <w:pPr>
              <w:pStyle w:val="TAL"/>
            </w:pPr>
            <w:r w:rsidRPr="000A0A5F">
              <w:t>1..N</w:t>
            </w:r>
          </w:p>
        </w:tc>
        <w:tc>
          <w:tcPr>
            <w:tcW w:w="4359" w:type="dxa"/>
          </w:tcPr>
          <w:p w:rsidR="00CB0DD7" w:rsidRPr="000A0A5F" w:rsidRDefault="00CB0DD7">
            <w:pPr>
              <w:pStyle w:val="TAL"/>
              <w:rPr>
                <w:rFonts w:cs="Arial"/>
                <w:szCs w:val="18"/>
              </w:rPr>
            </w:pPr>
            <w:r w:rsidRPr="000A0A5F">
              <w:t xml:space="preserve">exMapElements </w:t>
            </w:r>
            <w:r w:rsidRPr="000A0A5F">
              <w:rPr>
                <w:rFonts w:cs="Arial"/>
                <w:szCs w:val="18"/>
              </w:rPr>
              <w:t>attribute description, indicating the values of the map key</w:t>
            </w:r>
          </w:p>
        </w:tc>
      </w:tr>
    </w:tbl>
    <w:p w:rsidR="00CB0DD7" w:rsidRPr="000A0A5F" w:rsidRDefault="00CB0DD7">
      <w:pPr>
        <w:spacing w:beforeLines="50" w:before="120"/>
        <w:rPr>
          <w:lang w:eastAsia="zh-CN"/>
        </w:rPr>
      </w:pPr>
    </w:p>
    <w:p w:rsidR="00CB0DD7" w:rsidRPr="000A0A5F" w:rsidRDefault="00CB0DD7">
      <w:pPr>
        <w:spacing w:beforeLines="50" w:before="120"/>
        <w:rPr>
          <w:lang w:eastAsia="zh-CN"/>
        </w:rPr>
      </w:pPr>
      <w:r w:rsidRPr="000A0A5F">
        <w:rPr>
          <w:lang w:eastAsia="zh-CN"/>
        </w:rPr>
        <w:t xml:space="preserve">The data structure in table 5.2.9.3-1 is described in an </w:t>
      </w:r>
      <w:r w:rsidRPr="000A0A5F">
        <w:t>OpenAPI file as follows:</w:t>
      </w:r>
    </w:p>
    <w:p w:rsidR="00CB0DD7" w:rsidRPr="000A0A5F" w:rsidRDefault="00CB0DD7">
      <w:pPr>
        <w:pStyle w:val="PL"/>
      </w:pPr>
      <w:r w:rsidRPr="000A0A5F">
        <w:t>components:</w:t>
      </w:r>
    </w:p>
    <w:p w:rsidR="00CB0DD7" w:rsidRPr="000A0A5F" w:rsidRDefault="00CB0DD7">
      <w:pPr>
        <w:pStyle w:val="PL"/>
      </w:pPr>
      <w:r w:rsidRPr="000A0A5F">
        <w:t xml:space="preserve">  schemas:</w:t>
      </w:r>
    </w:p>
    <w:p w:rsidR="00CB0DD7" w:rsidRPr="000A0A5F" w:rsidRDefault="00CB0DD7">
      <w:pPr>
        <w:pStyle w:val="PL"/>
      </w:pPr>
      <w:r w:rsidRPr="000A0A5F">
        <w:t xml:space="preserve">    ExampleStructuredType:</w:t>
      </w:r>
    </w:p>
    <w:p w:rsidR="00CB0DD7" w:rsidRPr="000A0A5F" w:rsidRDefault="00CB0DD7">
      <w:pPr>
        <w:pStyle w:val="PL"/>
      </w:pPr>
      <w:r w:rsidRPr="000A0A5F">
        <w:t xml:space="preserve">      type: object</w:t>
      </w:r>
    </w:p>
    <w:p w:rsidR="00CB0DD7" w:rsidRPr="000A0A5F" w:rsidRDefault="00CB0DD7">
      <w:pPr>
        <w:pStyle w:val="PL"/>
      </w:pPr>
      <w:r w:rsidRPr="000A0A5F">
        <w:t xml:space="preserve">      description: ExampleStructuredType data type description</w:t>
      </w:r>
    </w:p>
    <w:p w:rsidR="00CB0DD7" w:rsidRPr="000A0A5F" w:rsidRDefault="00CB0DD7">
      <w:pPr>
        <w:pStyle w:val="PL"/>
      </w:pPr>
      <w:r w:rsidRPr="000A0A5F">
        <w:t xml:space="preserve">      required:</w:t>
      </w:r>
    </w:p>
    <w:p w:rsidR="00CB0DD7" w:rsidRPr="000A0A5F" w:rsidRDefault="00CB0DD7">
      <w:pPr>
        <w:pStyle w:val="PL"/>
      </w:pPr>
      <w:r w:rsidRPr="000A0A5F">
        <w:t xml:space="preserve">        - exSimple</w:t>
      </w:r>
    </w:p>
    <w:p w:rsidR="00CB0DD7" w:rsidRPr="000A0A5F" w:rsidRDefault="00CB0DD7">
      <w:pPr>
        <w:pStyle w:val="PL"/>
      </w:pPr>
      <w:r w:rsidRPr="000A0A5F">
        <w:t xml:space="preserve">        - exMapElements</w:t>
      </w:r>
    </w:p>
    <w:p w:rsidR="00CB0DD7" w:rsidRPr="000A0A5F" w:rsidRDefault="00CB0DD7">
      <w:pPr>
        <w:pStyle w:val="PL"/>
      </w:pPr>
      <w:r w:rsidRPr="000A0A5F">
        <w:t xml:space="preserve">      properties:</w:t>
      </w:r>
    </w:p>
    <w:p w:rsidR="00CB0DD7" w:rsidRPr="000A0A5F" w:rsidRDefault="00CB0DD7">
      <w:pPr>
        <w:pStyle w:val="PL"/>
      </w:pPr>
      <w:r w:rsidRPr="000A0A5F">
        <w:t xml:space="preserve">        exSimple:</w:t>
      </w:r>
    </w:p>
    <w:p w:rsidR="00CB0DD7" w:rsidRPr="000A0A5F" w:rsidRDefault="00CB0DD7">
      <w:pPr>
        <w:pStyle w:val="PL"/>
      </w:pPr>
      <w:r w:rsidRPr="000A0A5F">
        <w:t xml:space="preserve">          $ref: '#/components/schemas/ExSimple'</w:t>
      </w:r>
    </w:p>
    <w:p w:rsidR="00CB0DD7" w:rsidRPr="000A0A5F" w:rsidRDefault="00CB0DD7">
      <w:pPr>
        <w:pStyle w:val="PL"/>
      </w:pPr>
      <w:r w:rsidRPr="000A0A5F">
        <w:t xml:space="preserve">        exArrayElements:</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type: string</w:t>
      </w:r>
    </w:p>
    <w:p w:rsidR="00CB0DD7" w:rsidRPr="000A0A5F" w:rsidRDefault="00CB0DD7">
      <w:pPr>
        <w:pStyle w:val="PL"/>
      </w:pPr>
      <w:r w:rsidRPr="000A0A5F">
        <w:t xml:space="preserve">          minItems: 1</w:t>
      </w:r>
    </w:p>
    <w:p w:rsidR="00CB0DD7" w:rsidRPr="000A0A5F" w:rsidRDefault="00CB0DD7">
      <w:pPr>
        <w:pStyle w:val="PL"/>
      </w:pPr>
      <w:r w:rsidRPr="000A0A5F">
        <w:t xml:space="preserve">          maxItems: 10</w:t>
      </w:r>
    </w:p>
    <w:p w:rsidR="00CB0DD7" w:rsidRPr="000A0A5F" w:rsidRDefault="00CB0DD7">
      <w:pPr>
        <w:pStyle w:val="PL"/>
      </w:pPr>
      <w:r w:rsidRPr="000A0A5F">
        <w:t xml:space="preserve">          description: exArrayElements</w:t>
      </w:r>
      <w:r w:rsidRPr="000A0A5F">
        <w:rPr>
          <w:rFonts w:cs="Arial"/>
          <w:szCs w:val="18"/>
        </w:rPr>
        <w:t xml:space="preserve"> attribute description</w:t>
      </w:r>
    </w:p>
    <w:p w:rsidR="00CB0DD7" w:rsidRPr="000A0A5F" w:rsidRDefault="00CB0DD7">
      <w:pPr>
        <w:pStyle w:val="PL"/>
      </w:pPr>
      <w:r w:rsidRPr="000A0A5F">
        <w:t xml:space="preserve">        exMapElements:</w:t>
      </w:r>
    </w:p>
    <w:p w:rsidR="00CB0DD7" w:rsidRPr="000A0A5F" w:rsidRDefault="00CB0DD7">
      <w:pPr>
        <w:pStyle w:val="PL"/>
      </w:pPr>
      <w:r w:rsidRPr="000A0A5F">
        <w:t xml:space="preserve">          type: object</w:t>
      </w:r>
    </w:p>
    <w:p w:rsidR="00CB0DD7" w:rsidRPr="000A0A5F" w:rsidRDefault="00CB0DD7">
      <w:pPr>
        <w:pStyle w:val="PL"/>
      </w:pPr>
      <w:r w:rsidRPr="000A0A5F">
        <w:t xml:space="preserve">          additionalProperties:</w:t>
      </w:r>
    </w:p>
    <w:p w:rsidR="00CB0DD7" w:rsidRPr="000A0A5F" w:rsidRDefault="00CB0DD7">
      <w:pPr>
        <w:pStyle w:val="PL"/>
      </w:pPr>
      <w:r w:rsidRPr="000A0A5F">
        <w:t xml:space="preserve">            $ref: '#/components/schemas/ExStructure'</w:t>
      </w:r>
    </w:p>
    <w:p w:rsidR="00CB0DD7" w:rsidRPr="000A0A5F" w:rsidRDefault="00CB0DD7">
      <w:pPr>
        <w:pStyle w:val="PL"/>
      </w:pPr>
      <w:r w:rsidRPr="000A0A5F">
        <w:t xml:space="preserve">          minProperties: 1</w:t>
      </w:r>
    </w:p>
    <w:p w:rsidR="00CB0DD7" w:rsidRPr="000A0A5F" w:rsidRDefault="00CB0DD7">
      <w:pPr>
        <w:pStyle w:val="PL"/>
        <w:rPr>
          <w:rFonts w:cs="Arial"/>
          <w:szCs w:val="18"/>
          <w:lang w:val="en-US"/>
        </w:rPr>
      </w:pPr>
      <w:r w:rsidRPr="000A0A5F">
        <w:rPr>
          <w:lang w:val="en-US"/>
        </w:rPr>
        <w:t xml:space="preserve">          description: exMapElements</w:t>
      </w:r>
      <w:r w:rsidRPr="000A0A5F">
        <w:rPr>
          <w:rFonts w:cs="Arial"/>
          <w:szCs w:val="18"/>
          <w:lang w:val="en-US"/>
        </w:rPr>
        <w:t xml:space="preserve"> attribute description, indicating the values of the map key</w:t>
      </w:r>
    </w:p>
    <w:p w:rsidR="00CB0DD7" w:rsidRPr="000A0A5F" w:rsidRDefault="00CB0DD7">
      <w:pPr>
        <w:pStyle w:val="PL"/>
        <w:rPr>
          <w:rFonts w:cs="Arial"/>
          <w:szCs w:val="18"/>
          <w:lang w:val="en-US"/>
        </w:rPr>
      </w:pPr>
    </w:p>
    <w:p w:rsidR="00CB0DD7" w:rsidRPr="000A0A5F" w:rsidRDefault="00CB0DD7">
      <w:pPr>
        <w:pStyle w:val="NO"/>
      </w:pPr>
      <w:r w:rsidRPr="000A0A5F">
        <w:t>NOTE 3:</w:t>
      </w:r>
      <w:r w:rsidRPr="000A0A5F">
        <w:tab/>
        <w:t>Object schema definitions should not have property names in the "required" attribute for which a corresponding property definition does not exist.</w:t>
      </w:r>
    </w:p>
    <w:p w:rsidR="00CB0DD7" w:rsidRPr="000A0A5F" w:rsidRDefault="00CB0DD7">
      <w:pPr>
        <w:pStyle w:val="Heading4"/>
        <w:rPr>
          <w:lang w:val="en-US" w:eastAsia="zh-CN"/>
        </w:rPr>
      </w:pPr>
      <w:bookmarkStart w:id="1594" w:name="_Toc11247295"/>
      <w:bookmarkStart w:id="1595" w:name="_Toc27044415"/>
      <w:bookmarkStart w:id="1596" w:name="_Toc36033457"/>
      <w:bookmarkStart w:id="1597" w:name="_Toc45131589"/>
      <w:bookmarkStart w:id="1598" w:name="_Toc49775874"/>
      <w:bookmarkStart w:id="1599" w:name="_Toc51746794"/>
      <w:bookmarkStart w:id="1600" w:name="_Toc66360337"/>
      <w:bookmarkStart w:id="1601" w:name="_Toc68104842"/>
      <w:bookmarkStart w:id="1602" w:name="_Toc74755471"/>
      <w:bookmarkStart w:id="1603" w:name="_Toc105674326"/>
      <w:bookmarkStart w:id="1604" w:name="_Toc130502363"/>
      <w:bookmarkStart w:id="1605" w:name="_Toc153625142"/>
      <w:r w:rsidRPr="000A0A5F">
        <w:rPr>
          <w:lang w:val="en-US" w:eastAsia="zh-CN"/>
        </w:rPr>
        <w:t>5.2.9.4</w:t>
      </w:r>
      <w:r w:rsidRPr="000A0A5F">
        <w:rPr>
          <w:lang w:val="en-US" w:eastAsia="zh-CN"/>
        </w:rPr>
        <w:tab/>
        <w:t>Info</w:t>
      </w:r>
      <w:bookmarkEnd w:id="1594"/>
      <w:bookmarkEnd w:id="1595"/>
      <w:bookmarkEnd w:id="1596"/>
      <w:bookmarkEnd w:id="1597"/>
      <w:bookmarkEnd w:id="1598"/>
      <w:bookmarkEnd w:id="1599"/>
      <w:bookmarkEnd w:id="1600"/>
      <w:bookmarkEnd w:id="1601"/>
      <w:bookmarkEnd w:id="1602"/>
      <w:bookmarkEnd w:id="1603"/>
      <w:bookmarkEnd w:id="1604"/>
      <w:bookmarkEnd w:id="1605"/>
    </w:p>
    <w:p w:rsidR="00CB0DD7" w:rsidRPr="000A0A5F" w:rsidRDefault="00CB0DD7">
      <w:pPr>
        <w:pStyle w:val="PL"/>
      </w:pPr>
      <w:r w:rsidRPr="000A0A5F">
        <w:rPr>
          <w:lang w:eastAsia="zh-CN"/>
        </w:rPr>
        <w:t>The</w:t>
      </w:r>
      <w:r w:rsidRPr="000A0A5F">
        <w:t xml:space="preserve"> Open API specification file of an API shall contain an "info" field with the title and version as defined in clause 4.3 of 3GPP TS 29.501 [49].</w:t>
      </w:r>
    </w:p>
    <w:p w:rsidR="00CB0DD7" w:rsidRPr="000A0A5F" w:rsidRDefault="00CB0DD7">
      <w:pPr>
        <w:pStyle w:val="Heading4"/>
        <w:rPr>
          <w:lang w:eastAsia="zh-CN"/>
        </w:rPr>
      </w:pPr>
      <w:bookmarkStart w:id="1606" w:name="_Toc11247296"/>
      <w:bookmarkStart w:id="1607" w:name="_Toc27044416"/>
      <w:bookmarkStart w:id="1608" w:name="_Toc36033458"/>
      <w:bookmarkStart w:id="1609" w:name="_Toc45131590"/>
      <w:bookmarkStart w:id="1610" w:name="_Toc49775875"/>
      <w:bookmarkStart w:id="1611" w:name="_Toc51746795"/>
      <w:bookmarkStart w:id="1612" w:name="_Toc66360338"/>
      <w:bookmarkStart w:id="1613" w:name="_Toc68104843"/>
      <w:bookmarkStart w:id="1614" w:name="_Toc74755472"/>
      <w:bookmarkStart w:id="1615" w:name="_Toc105674327"/>
      <w:bookmarkStart w:id="1616" w:name="_Toc130502364"/>
      <w:bookmarkStart w:id="1617" w:name="_Toc153625143"/>
      <w:r w:rsidRPr="000A0A5F">
        <w:rPr>
          <w:lang w:eastAsia="zh-CN"/>
        </w:rPr>
        <w:t>5.2.9.5</w:t>
      </w:r>
      <w:r w:rsidRPr="000A0A5F">
        <w:rPr>
          <w:lang w:eastAsia="zh-CN"/>
        </w:rPr>
        <w:tab/>
        <w:t>Servers</w:t>
      </w:r>
      <w:bookmarkEnd w:id="1606"/>
      <w:bookmarkEnd w:id="1607"/>
      <w:bookmarkEnd w:id="1608"/>
      <w:bookmarkEnd w:id="1609"/>
      <w:bookmarkEnd w:id="1610"/>
      <w:bookmarkEnd w:id="1611"/>
      <w:bookmarkEnd w:id="1612"/>
      <w:bookmarkEnd w:id="1613"/>
      <w:bookmarkEnd w:id="1614"/>
      <w:bookmarkEnd w:id="1615"/>
      <w:bookmarkEnd w:id="1616"/>
      <w:bookmarkEnd w:id="1617"/>
    </w:p>
    <w:p w:rsidR="00CB0DD7" w:rsidRPr="000A0A5F" w:rsidRDefault="00CB0DD7">
      <w:pPr>
        <w:rPr>
          <w:lang w:eastAsia="zh-CN"/>
        </w:rPr>
      </w:pPr>
      <w:r w:rsidRPr="000A0A5F">
        <w:rPr>
          <w:lang w:eastAsia="zh-CN"/>
        </w:rPr>
        <w:t xml:space="preserve">As defined in clause 5.2.4, the base URI of an API consists of </w:t>
      </w:r>
      <w:r w:rsidRPr="000A0A5F">
        <w:rPr>
          <w:b/>
        </w:rPr>
        <w:t>{apiRoot}/&lt;apiName&gt;/&lt;apiVersion&gt;</w:t>
      </w:r>
      <w:r w:rsidRPr="000A0A5F">
        <w:t xml:space="preserve">. It shall be encoded in the corresponding Open API specification file as "servers" field with </w:t>
      </w:r>
      <w:r w:rsidRPr="000A0A5F">
        <w:rPr>
          <w:b/>
        </w:rPr>
        <w:t xml:space="preserve">{apiRoot} </w:t>
      </w:r>
      <w:r w:rsidRPr="000A0A5F">
        <w:t>as variable.</w:t>
      </w:r>
    </w:p>
    <w:p w:rsidR="00CB0DD7" w:rsidRPr="000A0A5F" w:rsidRDefault="00CB0DD7">
      <w:pPr>
        <w:rPr>
          <w:lang w:eastAsia="zh-CN"/>
        </w:rPr>
      </w:pPr>
      <w:r w:rsidRPr="000A0A5F">
        <w:rPr>
          <w:lang w:eastAsia="zh-CN"/>
        </w:rPr>
        <w:t xml:space="preserve">Example: </w:t>
      </w:r>
    </w:p>
    <w:p w:rsidR="00CB0DD7" w:rsidRPr="000A0A5F" w:rsidRDefault="00CB0DD7">
      <w:pPr>
        <w:pStyle w:val="PL"/>
      </w:pPr>
      <w:r w:rsidRPr="000A0A5F">
        <w:t>servers:</w:t>
      </w:r>
    </w:p>
    <w:p w:rsidR="00CB0DD7" w:rsidRPr="000A0A5F" w:rsidRDefault="00CB0DD7">
      <w:pPr>
        <w:pStyle w:val="PL"/>
      </w:pPr>
      <w:r w:rsidRPr="000A0A5F">
        <w:t xml:space="preserve">  - url: '{apiRoot}/3gpp-yyyy/v1'</w:t>
      </w:r>
    </w:p>
    <w:p w:rsidR="00CB0DD7" w:rsidRPr="000A0A5F" w:rsidRDefault="00CB0DD7">
      <w:pPr>
        <w:pStyle w:val="PL"/>
      </w:pPr>
      <w:r w:rsidRPr="000A0A5F">
        <w:t xml:space="preserve">    variables:</w:t>
      </w:r>
    </w:p>
    <w:p w:rsidR="00CB0DD7" w:rsidRPr="000A0A5F" w:rsidRDefault="00CB0DD7">
      <w:pPr>
        <w:pStyle w:val="PL"/>
      </w:pPr>
      <w:r w:rsidRPr="000A0A5F">
        <w:t xml:space="preserve">      apiRoot:</w:t>
      </w:r>
    </w:p>
    <w:p w:rsidR="00CB0DD7" w:rsidRPr="000A0A5F" w:rsidRDefault="00CB0DD7">
      <w:pPr>
        <w:pStyle w:val="PL"/>
      </w:pPr>
      <w:r w:rsidRPr="000A0A5F">
        <w:t xml:space="preserve">        default: https://demohost.com</w:t>
      </w:r>
    </w:p>
    <w:p w:rsidR="00CB0DD7" w:rsidRPr="000A0A5F" w:rsidRDefault="00CB0DD7">
      <w:pPr>
        <w:pStyle w:val="PL"/>
        <w:spacing w:afterLines="50" w:after="120"/>
        <w:rPr>
          <w:rFonts w:hint="eastAsia"/>
          <w:lang w:eastAsia="zh-CN"/>
        </w:rPr>
      </w:pPr>
      <w:r w:rsidRPr="000A0A5F">
        <w:t xml:space="preserve">        description: apiRoot as defined in clause 5.2.4 of 3GPP TS 29.122.</w:t>
      </w:r>
    </w:p>
    <w:p w:rsidR="00CB0DD7" w:rsidRPr="000A0A5F" w:rsidRDefault="00CB0DD7">
      <w:pPr>
        <w:pStyle w:val="Heading4"/>
        <w:rPr>
          <w:lang w:eastAsia="zh-CN"/>
        </w:rPr>
      </w:pPr>
      <w:bookmarkStart w:id="1618" w:name="_Toc11247297"/>
      <w:bookmarkStart w:id="1619" w:name="_Toc27044417"/>
      <w:bookmarkStart w:id="1620" w:name="_Toc36033459"/>
      <w:bookmarkStart w:id="1621" w:name="_Toc45131591"/>
      <w:bookmarkStart w:id="1622" w:name="_Toc49775876"/>
      <w:bookmarkStart w:id="1623" w:name="_Toc51746796"/>
      <w:bookmarkStart w:id="1624" w:name="_Toc66360339"/>
      <w:bookmarkStart w:id="1625" w:name="_Toc68104844"/>
      <w:bookmarkStart w:id="1626" w:name="_Toc74755473"/>
      <w:bookmarkStart w:id="1627" w:name="_Toc105674328"/>
      <w:bookmarkStart w:id="1628" w:name="_Toc130502365"/>
      <w:bookmarkStart w:id="1629" w:name="_Toc153625144"/>
      <w:r w:rsidRPr="000A0A5F">
        <w:rPr>
          <w:lang w:eastAsia="zh-CN"/>
        </w:rPr>
        <w:t>5.2.9.6</w:t>
      </w:r>
      <w:r w:rsidRPr="000A0A5F">
        <w:rPr>
          <w:lang w:eastAsia="zh-CN"/>
        </w:rPr>
        <w:tab/>
        <w:t xml:space="preserve">References to other 3GPP-defined </w:t>
      </w:r>
      <w:r w:rsidRPr="000A0A5F">
        <w:t>Open API specification files</w:t>
      </w:r>
      <w:bookmarkEnd w:id="1618"/>
      <w:bookmarkEnd w:id="1619"/>
      <w:bookmarkEnd w:id="1620"/>
      <w:bookmarkEnd w:id="1621"/>
      <w:bookmarkEnd w:id="1622"/>
      <w:bookmarkEnd w:id="1623"/>
      <w:bookmarkEnd w:id="1624"/>
      <w:bookmarkEnd w:id="1625"/>
      <w:bookmarkEnd w:id="1626"/>
      <w:bookmarkEnd w:id="1627"/>
      <w:bookmarkEnd w:id="1628"/>
      <w:bookmarkEnd w:id="1629"/>
    </w:p>
    <w:p w:rsidR="00CB0DD7" w:rsidRPr="000A0A5F" w:rsidRDefault="00CB0DD7">
      <w:r w:rsidRPr="000A0A5F">
        <w:t>For the purpose of referencing, it shall be assumed that each Open API specification file contained in a 3GPP specification is stored as separate physical file, that all Open API specification files are stored in the same directory on the local server, and that the files are named according to the following convention: The file name shall consist of (in the order below):</w:t>
      </w:r>
    </w:p>
    <w:p w:rsidR="00CB0DD7" w:rsidRPr="000A0A5F" w:rsidRDefault="00CB0DD7">
      <w:pPr>
        <w:pStyle w:val="B10"/>
      </w:pPr>
      <w:r w:rsidRPr="000A0A5F">
        <w:t>-</w:t>
      </w:r>
      <w:r w:rsidRPr="000A0A5F">
        <w:tab/>
        <w:t>the 3GPP specification number in the format "Tsxxyyy";</w:t>
      </w:r>
    </w:p>
    <w:p w:rsidR="00CB0DD7" w:rsidRPr="000A0A5F" w:rsidRDefault="00CB0DD7">
      <w:pPr>
        <w:pStyle w:val="B10"/>
      </w:pPr>
      <w:r w:rsidRPr="000A0A5F">
        <w:t>-</w:t>
      </w:r>
      <w:r w:rsidRPr="000A0A5F">
        <w:tab/>
        <w:t>an "_" character;</w:t>
      </w:r>
    </w:p>
    <w:p w:rsidR="00CB0DD7" w:rsidRPr="000A0A5F" w:rsidRDefault="00CB0DD7">
      <w:pPr>
        <w:pStyle w:val="B10"/>
        <w:rPr>
          <w:lang w:eastAsia="zh-CN"/>
        </w:rPr>
      </w:pPr>
      <w:r w:rsidRPr="000A0A5F">
        <w:rPr>
          <w:lang w:eastAsia="zh-CN"/>
        </w:rPr>
        <w:t>-</w:t>
      </w:r>
      <w:r w:rsidRPr="000A0A5F">
        <w:rPr>
          <w:lang w:eastAsia="zh-CN"/>
        </w:rPr>
        <w:tab/>
        <w:t xml:space="preserve">if the OpenAPI specification file contains an API definition, the API name as defined for </w:t>
      </w:r>
      <w:r w:rsidRPr="000A0A5F">
        <w:t xml:space="preserve">corresponding base URL parts (see </w:t>
      </w:r>
      <w:r w:rsidRPr="000A0A5F">
        <w:rPr>
          <w:lang w:eastAsia="zh-CN"/>
        </w:rPr>
        <w:t xml:space="preserve">clause 4.4) </w:t>
      </w:r>
      <w:r w:rsidRPr="000A0A5F">
        <w:t>of that API.</w:t>
      </w:r>
    </w:p>
    <w:p w:rsidR="00CB0DD7" w:rsidRPr="000A0A5F" w:rsidRDefault="00CB0DD7">
      <w:pPr>
        <w:pStyle w:val="B10"/>
        <w:rPr>
          <w:lang w:eastAsia="zh-CN"/>
        </w:rPr>
      </w:pPr>
      <w:r w:rsidRPr="000A0A5F">
        <w:rPr>
          <w:lang w:eastAsia="zh-CN"/>
        </w:rPr>
        <w:t>-</w:t>
      </w:r>
      <w:r w:rsidRPr="000A0A5F">
        <w:rPr>
          <w:lang w:eastAsia="zh-CN"/>
        </w:rPr>
        <w:tab/>
        <w:t>if the OpenAPI specification file contains a definition of CommonData, the string "CommonData"; and</w:t>
      </w:r>
    </w:p>
    <w:p w:rsidR="00CB0DD7" w:rsidRPr="000A0A5F" w:rsidRDefault="00CB0DD7">
      <w:pPr>
        <w:pStyle w:val="B10"/>
        <w:spacing w:after="240"/>
        <w:rPr>
          <w:rFonts w:hint="eastAsia"/>
          <w:lang w:eastAsia="zh-CN"/>
        </w:rPr>
      </w:pPr>
      <w:r w:rsidRPr="000A0A5F">
        <w:rPr>
          <w:lang w:eastAsia="zh-CN"/>
        </w:rPr>
        <w:t>-</w:t>
      </w:r>
      <w:r w:rsidRPr="000A0A5F">
        <w:rPr>
          <w:lang w:eastAsia="zh-CN"/>
        </w:rPr>
        <w:tab/>
        <w:t>the string ".yaml"</w:t>
      </w:r>
      <w:r w:rsidRPr="000A0A5F">
        <w:t>.</w:t>
      </w:r>
    </w:p>
    <w:p w:rsidR="00CB0DD7" w:rsidRPr="000A0A5F" w:rsidRDefault="00CB0DD7">
      <w:pPr>
        <w:rPr>
          <w:lang w:eastAsia="zh-CN"/>
        </w:rPr>
      </w:pPr>
      <w:r w:rsidRPr="000A0A5F">
        <w:rPr>
          <w:lang w:eastAsia="zh-CN"/>
        </w:rPr>
        <w:t>Examples:</w:t>
      </w:r>
    </w:p>
    <w:p w:rsidR="00CB0DD7" w:rsidRPr="000A0A5F" w:rsidRDefault="00CB0DD7">
      <w:pPr>
        <w:rPr>
          <w:lang w:eastAsia="zh-CN"/>
        </w:rPr>
      </w:pPr>
      <w:r w:rsidRPr="000A0A5F">
        <w:rPr>
          <w:lang w:eastAsia="zh-CN"/>
        </w:rPr>
        <w:t>Reference to Data Type "Xxx" defined in the same file</w:t>
      </w:r>
    </w:p>
    <w:p w:rsidR="00CB0DD7" w:rsidRPr="000A0A5F" w:rsidRDefault="00CB0DD7">
      <w:pPr>
        <w:pStyle w:val="PL"/>
        <w:spacing w:afterLines="100" w:after="240"/>
        <w:rPr>
          <w:rFonts w:hint="eastAsia"/>
        </w:rPr>
      </w:pPr>
      <w:r w:rsidRPr="000A0A5F">
        <w:t>$ref: '#/components/schemas/Xxx'</w:t>
      </w:r>
    </w:p>
    <w:p w:rsidR="00CB0DD7" w:rsidRPr="000A0A5F" w:rsidRDefault="00CB0DD7">
      <w:pPr>
        <w:rPr>
          <w:lang w:eastAsia="zh-CN"/>
        </w:rPr>
      </w:pPr>
      <w:r w:rsidRPr="000A0A5F">
        <w:rPr>
          <w:lang w:eastAsia="zh-CN"/>
        </w:rPr>
        <w:t>Reference to Data Type "Xxx" defined as Common Data in 3GPP TS 29.122:</w:t>
      </w:r>
    </w:p>
    <w:p w:rsidR="00CB0DD7" w:rsidRPr="000A0A5F" w:rsidRDefault="00CB0DD7">
      <w:pPr>
        <w:pStyle w:val="PL"/>
        <w:spacing w:afterLines="100" w:after="240"/>
        <w:rPr>
          <w:rFonts w:hint="eastAsia"/>
        </w:rPr>
      </w:pPr>
      <w:r w:rsidRPr="000A0A5F">
        <w:t>$ref: 'TS29122_CommonData.yaml#/components/schemas/Xxx'</w:t>
      </w:r>
    </w:p>
    <w:p w:rsidR="00CB0DD7" w:rsidRPr="000A0A5F" w:rsidRDefault="00CB0DD7">
      <w:pPr>
        <w:rPr>
          <w:lang w:eastAsia="zh-CN"/>
        </w:rPr>
      </w:pPr>
      <w:r w:rsidRPr="000A0A5F">
        <w:rPr>
          <w:lang w:eastAsia="zh-CN"/>
        </w:rPr>
        <w:t>Reference to Data Type "Xxx" defined within API "</w:t>
      </w:r>
      <w:r w:rsidRPr="000A0A5F">
        <w:t>Nxxx_Yyy"</w:t>
      </w:r>
      <w:r w:rsidRPr="000A0A5F">
        <w:rPr>
          <w:lang w:eastAsia="zh-CN"/>
        </w:rPr>
        <w:t xml:space="preserve"> in 3GPP</w:t>
      </w:r>
      <w:r w:rsidRPr="000A0A5F">
        <w:rPr>
          <w:lang w:val="en-US" w:eastAsia="zh-CN"/>
        </w:rPr>
        <w:t> </w:t>
      </w:r>
      <w:r w:rsidRPr="000A0A5F">
        <w:rPr>
          <w:lang w:eastAsia="zh-CN"/>
        </w:rPr>
        <w:t>TS ab.cde:</w:t>
      </w:r>
    </w:p>
    <w:p w:rsidR="00CB0DD7" w:rsidRPr="000A0A5F" w:rsidRDefault="00CB0DD7">
      <w:pPr>
        <w:pStyle w:val="PL"/>
        <w:spacing w:afterLines="50" w:after="120"/>
        <w:rPr>
          <w:rFonts w:hint="eastAsia"/>
        </w:rPr>
      </w:pPr>
      <w:r w:rsidRPr="000A0A5F">
        <w:t>$ref: 'Tsabcde_Nxxx_Yyy.yaml#/components/schemas/Xxx'</w:t>
      </w:r>
    </w:p>
    <w:p w:rsidR="00CB0DD7" w:rsidRPr="000A0A5F" w:rsidRDefault="00CB0DD7">
      <w:pPr>
        <w:pStyle w:val="Heading4"/>
        <w:rPr>
          <w:lang w:eastAsia="zh-CN"/>
        </w:rPr>
      </w:pPr>
      <w:bookmarkStart w:id="1630" w:name="_Toc11247298"/>
      <w:bookmarkStart w:id="1631" w:name="_Toc27044418"/>
      <w:bookmarkStart w:id="1632" w:name="_Toc36033460"/>
      <w:bookmarkStart w:id="1633" w:name="_Toc45131592"/>
      <w:bookmarkStart w:id="1634" w:name="_Toc49775877"/>
      <w:bookmarkStart w:id="1635" w:name="_Toc51746797"/>
      <w:bookmarkStart w:id="1636" w:name="_Toc66360340"/>
      <w:bookmarkStart w:id="1637" w:name="_Toc68104845"/>
      <w:bookmarkStart w:id="1638" w:name="_Toc74755474"/>
      <w:bookmarkStart w:id="1639" w:name="_Toc105674329"/>
      <w:bookmarkStart w:id="1640" w:name="_Toc130502366"/>
      <w:bookmarkStart w:id="1641" w:name="_Toc153625145"/>
      <w:r w:rsidRPr="000A0A5F">
        <w:rPr>
          <w:lang w:eastAsia="zh-CN"/>
        </w:rPr>
        <w:t>5.2.9.7</w:t>
      </w:r>
      <w:r w:rsidRPr="000A0A5F">
        <w:rPr>
          <w:lang w:eastAsia="zh-CN"/>
        </w:rPr>
        <w:tab/>
        <w:t>Server-initiated communication</w:t>
      </w:r>
      <w:bookmarkEnd w:id="1630"/>
      <w:bookmarkEnd w:id="1631"/>
      <w:bookmarkEnd w:id="1632"/>
      <w:bookmarkEnd w:id="1633"/>
      <w:bookmarkEnd w:id="1634"/>
      <w:bookmarkEnd w:id="1635"/>
      <w:bookmarkEnd w:id="1636"/>
      <w:bookmarkEnd w:id="1637"/>
      <w:bookmarkEnd w:id="1638"/>
      <w:bookmarkEnd w:id="1639"/>
      <w:bookmarkEnd w:id="1640"/>
      <w:bookmarkEnd w:id="1641"/>
    </w:p>
    <w:p w:rsidR="00CB0DD7" w:rsidRPr="000A0A5F" w:rsidRDefault="00CB0DD7">
      <w:pPr>
        <w:rPr>
          <w:lang w:val="en-US" w:eastAsia="zh-CN"/>
        </w:rPr>
      </w:pPr>
      <w:r w:rsidRPr="000A0A5F">
        <w:t>If an API contains notifications as described in clause 5.2.5, it should be described as "callback" in Open API specification files.</w:t>
      </w:r>
    </w:p>
    <w:p w:rsidR="00CB0DD7" w:rsidRPr="000A0A5F" w:rsidRDefault="00CB0DD7">
      <w:pPr>
        <w:rPr>
          <w:lang w:eastAsia="zh-CN"/>
        </w:rPr>
      </w:pPr>
      <w:r w:rsidRPr="000A0A5F">
        <w:rPr>
          <w:lang w:eastAsia="zh-CN"/>
        </w:rPr>
        <w:t xml:space="preserve">Example: </w:t>
      </w:r>
    </w:p>
    <w:p w:rsidR="00CB0DD7" w:rsidRPr="000A0A5F" w:rsidRDefault="00CB0DD7">
      <w:pPr>
        <w:pStyle w:val="PL"/>
      </w:pPr>
      <w:r w:rsidRPr="000A0A5F">
        <w:t>paths:</w:t>
      </w:r>
    </w:p>
    <w:p w:rsidR="00CB0DD7" w:rsidRPr="000A0A5F" w:rsidRDefault="00CB0DD7">
      <w:pPr>
        <w:pStyle w:val="PL"/>
      </w:pPr>
      <w:r w:rsidRPr="000A0A5F">
        <w:t xml:space="preserve">  /subscriptions:</w:t>
      </w:r>
    </w:p>
    <w:p w:rsidR="00CB0DD7" w:rsidRPr="000A0A5F" w:rsidRDefault="00CB0DD7">
      <w:pPr>
        <w:pStyle w:val="PL"/>
      </w:pPr>
      <w:r w:rsidRPr="000A0A5F">
        <w:t xml:space="preserve">    post:</w:t>
      </w:r>
    </w:p>
    <w:p w:rsidR="00CB0DD7" w:rsidRPr="000A0A5F" w:rsidRDefault="00CB0DD7">
      <w:pPr>
        <w:pStyle w:val="PL"/>
      </w:pPr>
      <w:r w:rsidRPr="000A0A5F">
        <w:t xml:space="preserve">      requestBody:</w:t>
      </w:r>
    </w:p>
    <w:p w:rsidR="00CB0DD7" w:rsidRPr="000A0A5F" w:rsidRDefault="00CB0DD7">
      <w:pPr>
        <w:pStyle w:val="PL"/>
      </w:pPr>
      <w:r w:rsidRPr="000A0A5F">
        <w:t xml:space="preserve">        required: true</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application/json:</w:t>
      </w:r>
    </w:p>
    <w:p w:rsidR="00CB0DD7" w:rsidRPr="000A0A5F" w:rsidRDefault="00CB0DD7">
      <w:pPr>
        <w:pStyle w:val="PL"/>
      </w:pPr>
      <w:r w:rsidRPr="000A0A5F">
        <w:t xml:space="preserve">            schema:</w:t>
      </w:r>
    </w:p>
    <w:p w:rsidR="00CB0DD7" w:rsidRPr="000A0A5F" w:rsidRDefault="00CB0DD7">
      <w:pPr>
        <w:pStyle w:val="PL"/>
      </w:pPr>
      <w:r w:rsidRPr="000A0A5F">
        <w:t xml:space="preserve">              type: object</w:t>
      </w:r>
    </w:p>
    <w:p w:rsidR="00CB0DD7" w:rsidRPr="000A0A5F" w:rsidRDefault="00CB0DD7">
      <w:pPr>
        <w:pStyle w:val="PL"/>
      </w:pPr>
      <w:r w:rsidRPr="000A0A5F">
        <w:t xml:space="preserve">              properties:</w:t>
      </w:r>
    </w:p>
    <w:p w:rsidR="00CB0DD7" w:rsidRPr="000A0A5F" w:rsidRDefault="00CB0DD7">
      <w:pPr>
        <w:pStyle w:val="PL"/>
      </w:pPr>
      <w:r w:rsidRPr="000A0A5F">
        <w:t xml:space="preserve">                callbackUrl: # Callback URL</w:t>
      </w:r>
    </w:p>
    <w:p w:rsidR="00CB0DD7" w:rsidRPr="000A0A5F" w:rsidRDefault="00CB0DD7">
      <w:pPr>
        <w:pStyle w:val="PL"/>
      </w:pPr>
      <w:r w:rsidRPr="000A0A5F">
        <w:t xml:space="preserve">                  type: string</w:t>
      </w:r>
    </w:p>
    <w:p w:rsidR="00CB0DD7" w:rsidRPr="000A0A5F" w:rsidRDefault="00CB0DD7">
      <w:pPr>
        <w:pStyle w:val="PL"/>
      </w:pPr>
      <w:r w:rsidRPr="000A0A5F">
        <w:t xml:space="preserve">                  format: uri</w:t>
      </w:r>
    </w:p>
    <w:p w:rsidR="00CB0DD7" w:rsidRPr="000A0A5F" w:rsidRDefault="00CB0DD7">
      <w:pPr>
        <w:pStyle w:val="PL"/>
      </w:pPr>
      <w:r w:rsidRPr="000A0A5F">
        <w:t xml:space="preserve">      responses:</w:t>
      </w:r>
    </w:p>
    <w:p w:rsidR="00CB0DD7" w:rsidRPr="000A0A5F" w:rsidRDefault="00CB0DD7">
      <w:pPr>
        <w:pStyle w:val="PL"/>
      </w:pPr>
      <w:r w:rsidRPr="000A0A5F">
        <w:t xml:space="preserve">        '201':</w:t>
      </w:r>
    </w:p>
    <w:p w:rsidR="00CB0DD7" w:rsidRPr="000A0A5F" w:rsidRDefault="00CB0DD7">
      <w:pPr>
        <w:pStyle w:val="PL"/>
      </w:pPr>
      <w:r w:rsidRPr="000A0A5F">
        <w:t xml:space="preserve">          description: Success</w:t>
      </w:r>
    </w:p>
    <w:p w:rsidR="00CB0DD7" w:rsidRPr="000A0A5F" w:rsidRDefault="00CB0DD7">
      <w:pPr>
        <w:pStyle w:val="PL"/>
      </w:pPr>
      <w:r w:rsidRPr="000A0A5F">
        <w:t xml:space="preserve">      callbacks:</w:t>
      </w:r>
    </w:p>
    <w:p w:rsidR="00CB0DD7" w:rsidRPr="000A0A5F" w:rsidRDefault="00CB0DD7">
      <w:pPr>
        <w:pStyle w:val="PL"/>
      </w:pPr>
      <w:r w:rsidRPr="000A0A5F">
        <w:t xml:space="preserve">        myNotification: # arbitrary name</w:t>
      </w:r>
    </w:p>
    <w:p w:rsidR="00CB0DD7" w:rsidRPr="000A0A5F" w:rsidRDefault="00CB0DD7">
      <w:pPr>
        <w:pStyle w:val="PL"/>
      </w:pPr>
      <w:r w:rsidRPr="000A0A5F">
        <w:t xml:space="preserve">          '{$request.body#/callbackUrl}': # refers The callback URL in the POST </w:t>
      </w:r>
    </w:p>
    <w:p w:rsidR="00CB0DD7" w:rsidRPr="000A0A5F" w:rsidRDefault="00CB0DD7">
      <w:pPr>
        <w:pStyle w:val="PL"/>
      </w:pPr>
      <w:r w:rsidRPr="000A0A5F">
        <w:t xml:space="preserve">            post:</w:t>
      </w:r>
    </w:p>
    <w:p w:rsidR="00CB0DD7" w:rsidRPr="000A0A5F" w:rsidRDefault="00CB0DD7">
      <w:pPr>
        <w:pStyle w:val="PL"/>
      </w:pPr>
      <w:r w:rsidRPr="000A0A5F">
        <w:t xml:space="preserve">              requestBody: # Contents of the callback message</w:t>
      </w:r>
    </w:p>
    <w:p w:rsidR="00CB0DD7" w:rsidRPr="000A0A5F" w:rsidRDefault="00CB0DD7">
      <w:pPr>
        <w:pStyle w:val="PL"/>
      </w:pPr>
      <w:r w:rsidRPr="000A0A5F">
        <w:t xml:space="preserve">                required: true</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application/json:</w:t>
      </w:r>
    </w:p>
    <w:p w:rsidR="00CB0DD7" w:rsidRPr="000A0A5F" w:rsidRDefault="00CB0DD7">
      <w:pPr>
        <w:pStyle w:val="PL"/>
      </w:pPr>
      <w:r w:rsidRPr="000A0A5F">
        <w:t xml:space="preserve">                    schema:</w:t>
      </w:r>
    </w:p>
    <w:p w:rsidR="00CB0DD7" w:rsidRPr="000A0A5F" w:rsidRDefault="00CB0DD7">
      <w:pPr>
        <w:pStyle w:val="PL"/>
      </w:pPr>
      <w:r w:rsidRPr="000A0A5F">
        <w:t xml:space="preserve">                      $ref: '#/components/schemas/NotificationBody'</w:t>
      </w:r>
    </w:p>
    <w:p w:rsidR="00CB0DD7" w:rsidRPr="000A0A5F" w:rsidRDefault="00CB0DD7">
      <w:pPr>
        <w:pStyle w:val="PL"/>
      </w:pPr>
      <w:r w:rsidRPr="000A0A5F">
        <w:t xml:space="preserve">              responses: # Expected responses to the callback message</w:t>
      </w:r>
    </w:p>
    <w:p w:rsidR="00CB0DD7" w:rsidRPr="000A0A5F" w:rsidRDefault="00CB0DD7">
      <w:pPr>
        <w:pStyle w:val="PL"/>
      </w:pPr>
      <w:r w:rsidRPr="000A0A5F">
        <w:t xml:space="preserve">                '200':</w:t>
      </w:r>
    </w:p>
    <w:p w:rsidR="00CB0DD7" w:rsidRPr="000A0A5F" w:rsidRDefault="00CB0DD7">
      <w:pPr>
        <w:pStyle w:val="PL"/>
        <w:spacing w:afterLines="50" w:after="120"/>
      </w:pPr>
      <w:r w:rsidRPr="000A0A5F">
        <w:t xml:space="preserve">                  description: xxx</w:t>
      </w:r>
    </w:p>
    <w:p w:rsidR="00CB0DD7" w:rsidRPr="000A0A5F" w:rsidRDefault="00CB0DD7">
      <w:pPr>
        <w:pStyle w:val="Heading4"/>
      </w:pPr>
      <w:bookmarkStart w:id="1642" w:name="_Toc11247299"/>
      <w:bookmarkStart w:id="1643" w:name="_Toc27044419"/>
      <w:bookmarkStart w:id="1644" w:name="_Toc36033461"/>
      <w:bookmarkStart w:id="1645" w:name="_Toc45131593"/>
      <w:bookmarkStart w:id="1646" w:name="_Toc49775878"/>
      <w:bookmarkStart w:id="1647" w:name="_Toc51746798"/>
      <w:bookmarkStart w:id="1648" w:name="_Toc66360341"/>
      <w:bookmarkStart w:id="1649" w:name="_Toc68104846"/>
      <w:bookmarkStart w:id="1650" w:name="_Toc74755475"/>
      <w:bookmarkStart w:id="1651" w:name="_Toc105674330"/>
      <w:bookmarkStart w:id="1652" w:name="_Toc130502367"/>
      <w:bookmarkStart w:id="1653" w:name="_Toc153625146"/>
      <w:r w:rsidRPr="000A0A5F">
        <w:t>5.2.9.8</w:t>
      </w:r>
      <w:r w:rsidRPr="000A0A5F">
        <w:tab/>
        <w:t>Describing the body of HTTP PATCH requests</w:t>
      </w:r>
      <w:bookmarkEnd w:id="1642"/>
      <w:bookmarkEnd w:id="1643"/>
      <w:bookmarkEnd w:id="1644"/>
      <w:bookmarkEnd w:id="1645"/>
      <w:bookmarkEnd w:id="1646"/>
      <w:bookmarkEnd w:id="1647"/>
      <w:bookmarkEnd w:id="1648"/>
      <w:bookmarkEnd w:id="1649"/>
      <w:bookmarkEnd w:id="1650"/>
      <w:bookmarkEnd w:id="1651"/>
      <w:bookmarkEnd w:id="1652"/>
      <w:bookmarkEnd w:id="1653"/>
    </w:p>
    <w:p w:rsidR="009E4BF4" w:rsidRPr="000A0A5F" w:rsidRDefault="009E4BF4" w:rsidP="009E4BF4">
      <w:pPr>
        <w:pStyle w:val="Heading5"/>
      </w:pPr>
      <w:bookmarkStart w:id="1654" w:name="_Toc105674331"/>
      <w:bookmarkStart w:id="1655" w:name="_Toc130502368"/>
      <w:bookmarkStart w:id="1656" w:name="_Toc153625147"/>
      <w:r w:rsidRPr="000A0A5F">
        <w:t>5.2.9.8.1</w:t>
      </w:r>
      <w:r w:rsidRPr="000A0A5F">
        <w:tab/>
        <w:t>General</w:t>
      </w:r>
      <w:bookmarkEnd w:id="1654"/>
      <w:bookmarkEnd w:id="1655"/>
      <w:bookmarkEnd w:id="1656"/>
    </w:p>
    <w:p w:rsidR="009E4BF4" w:rsidRPr="000A0A5F" w:rsidRDefault="009E4BF4" w:rsidP="009E4BF4">
      <w:r w:rsidRPr="000A0A5F">
        <w:t>As described in clause </w:t>
      </w:r>
      <w:r w:rsidRPr="000A0A5F">
        <w:rPr>
          <w:lang w:eastAsia="zh-CN"/>
        </w:rPr>
        <w:t>5.2.2.2</w:t>
      </w:r>
      <w:r w:rsidRPr="000A0A5F">
        <w:t>, the bodies of HTTP PATCH requests either use a "JSON Merge Patch" encoding as defined in IETF RFC 7396 [39], or a "JSON Patch" encoding as defined in IETF RFC 6902 [67].</w:t>
      </w:r>
    </w:p>
    <w:p w:rsidR="009E4BF4" w:rsidRPr="000A0A5F" w:rsidRDefault="009E4BF4" w:rsidP="009E4BF4">
      <w:r w:rsidRPr="000A0A5F">
        <w:t xml:space="preserve">It is possible to allow both encodings in an </w:t>
      </w:r>
      <w:r w:rsidRPr="000A0A5F">
        <w:rPr>
          <w:lang w:val="en-US"/>
        </w:rPr>
        <w:t>OpenAPI Specification [27]</w:t>
      </w:r>
      <w:r w:rsidRPr="000A0A5F">
        <w:t xml:space="preserve"> offering both schemas as alternative contents.</w:t>
      </w:r>
    </w:p>
    <w:p w:rsidR="009E4BF4" w:rsidRPr="000A0A5F" w:rsidRDefault="009E4BF4" w:rsidP="009E4BF4">
      <w:pPr>
        <w:pStyle w:val="Heading5"/>
      </w:pPr>
      <w:bookmarkStart w:id="1657" w:name="_Toc105674332"/>
      <w:bookmarkStart w:id="1658" w:name="_Toc130502369"/>
      <w:bookmarkStart w:id="1659" w:name="_Toc153625148"/>
      <w:r w:rsidRPr="000A0A5F">
        <w:t>5.2.9.8.2</w:t>
      </w:r>
      <w:r w:rsidRPr="000A0A5F">
        <w:tab/>
        <w:t>JSON Merge Patch</w:t>
      </w:r>
      <w:bookmarkEnd w:id="1657"/>
      <w:bookmarkEnd w:id="1658"/>
      <w:bookmarkEnd w:id="1659"/>
    </w:p>
    <w:p w:rsidR="00CB0DD7" w:rsidRPr="000A0A5F" w:rsidRDefault="00CB0DD7">
      <w:r w:rsidRPr="000A0A5F">
        <w:t xml:space="preserve">In the OpenAPI file, the content field key of the Request Body Object shall contain "application/merge-patch+json". The content field value is a Media Type Object identifying the applicable patch body Schema Object. The patch body Schema Object may contain structured data types derived from the data types used in the schema to describe a complete representation of the resource in such a manner that attributes that are allowed to be modified are listed in the "properties" validation keyword. </w:t>
      </w:r>
    </w:p>
    <w:p w:rsidR="00CB0DD7" w:rsidRPr="000A0A5F" w:rsidRDefault="00CB0DD7">
      <w:pPr>
        <w:pStyle w:val="NO"/>
      </w:pPr>
      <w:r w:rsidRPr="000A0A5F">
        <w:t>NOTE 1:</w:t>
      </w:r>
      <w:r w:rsidRPr="000A0A5F">
        <w:tab/>
        <w:t>A derived structured data type is beneficial if the data types used to describe a complete representation of the resource contains mandatory attributes, if attributes are allowed to be removed by the PATCH operation, or if a checking by the OpenAPI tooling that only allowed modifications are done via the "additionalProperties: false" keyword is desired. It also provides a clear description in the OpenAPI file to developers which modifications need to be supported.</w:t>
      </w:r>
    </w:p>
    <w:p w:rsidR="00CB0DD7" w:rsidRPr="000A0A5F" w:rsidRDefault="00CB0DD7">
      <w:r w:rsidRPr="000A0A5F">
        <w:t>As an alternative, the data types used in the schema to describe a complete representation of the resource may be used if any attributes that are allowed to be removed are marked as "nullable: true" in that schema.</w:t>
      </w:r>
    </w:p>
    <w:p w:rsidR="00CB0DD7" w:rsidRPr="000A0A5F" w:rsidRDefault="00CB0DD7">
      <w:r w:rsidRPr="000A0A5F">
        <w:t>Any attributes that are allowed to be removed shall be marked as "nullable: true" in the patch body Schema Object.</w:t>
      </w:r>
    </w:p>
    <w:p w:rsidR="00CB0DD7" w:rsidRPr="000A0A5F" w:rsidRDefault="00CB0DD7">
      <w:r w:rsidRPr="000A0A5F">
        <w:t>The "additionalProperties: false" keyword may be set.</w:t>
      </w:r>
    </w:p>
    <w:p w:rsidR="00CB0DD7" w:rsidRPr="000A0A5F" w:rsidRDefault="00CB0DD7">
      <w:pPr>
        <w:pStyle w:val="NO"/>
      </w:pPr>
      <w:r w:rsidRPr="000A0A5F">
        <w:t>NOTE 2:</w:t>
      </w:r>
      <w:r w:rsidRPr="000A0A5F">
        <w:tab/>
        <w:t xml:space="preserve">The "additionalProperties: false" keyword enables the OpenAPI tooling to check that only allowed modifications are done. Extensions of the object in future releases are still possible under the assumption that the supported features mechanism is used to negotiate the usage of any new attribute prior to the PATCH invocation. If </w:t>
      </w:r>
      <w:bookmarkStart w:id="1660" w:name="_Hlk507631119"/>
      <w:r w:rsidRPr="000A0A5F">
        <w:t>new optional attributes are expected to be introduced without corresponding supported feature or if PATCH can be used as first operation in an API</w:t>
      </w:r>
      <w:bookmarkEnd w:id="1660"/>
      <w:r w:rsidRPr="000A0A5F">
        <w:t>, the usage of the "additionalProperties: false" keyword is not appropriate.</w:t>
      </w:r>
    </w:p>
    <w:p w:rsidR="009E4BF4" w:rsidRPr="000A0A5F" w:rsidRDefault="009E4BF4" w:rsidP="009E4BF4">
      <w:pPr>
        <w:pStyle w:val="Heading5"/>
      </w:pPr>
      <w:bookmarkStart w:id="1661" w:name="_Toc11247300"/>
      <w:bookmarkStart w:id="1662" w:name="_Toc27044420"/>
      <w:bookmarkStart w:id="1663" w:name="_Toc36033462"/>
      <w:bookmarkStart w:id="1664" w:name="_Toc45131594"/>
      <w:bookmarkStart w:id="1665" w:name="_Toc49775879"/>
      <w:bookmarkStart w:id="1666" w:name="_Toc51746799"/>
      <w:bookmarkStart w:id="1667" w:name="_Toc66360342"/>
      <w:bookmarkStart w:id="1668" w:name="_Toc68104847"/>
      <w:bookmarkStart w:id="1669" w:name="_Toc74755476"/>
      <w:bookmarkStart w:id="1670" w:name="_Toc105674333"/>
      <w:bookmarkStart w:id="1671" w:name="_Toc130502370"/>
      <w:bookmarkStart w:id="1672" w:name="_Toc153625149"/>
      <w:r w:rsidRPr="000A0A5F">
        <w:t>5.2.9.8.3</w:t>
      </w:r>
      <w:r w:rsidRPr="000A0A5F">
        <w:tab/>
        <w:t>JSON PATCH</w:t>
      </w:r>
      <w:bookmarkEnd w:id="1670"/>
      <w:bookmarkEnd w:id="1671"/>
      <w:bookmarkEnd w:id="1672"/>
    </w:p>
    <w:p w:rsidR="009E4BF4" w:rsidRPr="000A0A5F" w:rsidRDefault="009E4BF4" w:rsidP="009E4BF4">
      <w:r w:rsidRPr="000A0A5F">
        <w:t>In the OpenAPI file, the content field key of the Request Body Object shall contain "application/json-patch+json". The content field value is a Media Type Object identifying the applicable patch body. It may contain a mutually exclusive list (using the "oneOf" keyword) of all allowed modifications as &lt;path, op, value&gt; tuples, where "path" is a string containing a JSON Pointer value referring to a JSON object that is allowed to be modified, "op" is an enumeration of allowed JSON PATCH operations on the JSON object identified by "path" and "value" representing the schema/type of the value that will be updated or added at the JSON object identified by "path". In addition, an open alternative containing an object with no properties may be added using the "anyOf" keyword.</w:t>
      </w:r>
    </w:p>
    <w:p w:rsidR="009E4BF4" w:rsidRPr="000A0A5F" w:rsidRDefault="009E4BF4" w:rsidP="009E4BF4">
      <w:pPr>
        <w:pStyle w:val="NO"/>
      </w:pPr>
      <w:r w:rsidRPr="000A0A5F">
        <w:t>NOTE 1:</w:t>
      </w:r>
      <w:r w:rsidRPr="000A0A5F">
        <w:tab/>
        <w:t>A mutually exclusive list provides a clear description in the OpenAPI specification file to developers which modifications need to be supported. This is of particular interest if only a limited number of modifications need to be supported. If no open alternative is included, the OpenAPI tooling will also check that only allowed modifications are done.</w:t>
      </w:r>
    </w:p>
    <w:p w:rsidR="009E4BF4" w:rsidRPr="000A0A5F" w:rsidRDefault="009E4BF4" w:rsidP="009E4BF4">
      <w:pPr>
        <w:pStyle w:val="NO"/>
      </w:pPr>
      <w:r w:rsidRPr="000A0A5F">
        <w:t>NOTE 2:</w:t>
      </w:r>
      <w:r w:rsidRPr="000A0A5F">
        <w:tab/>
        <w:t>The open alternative allows for extensions of the PATCH in scenarios where new optional attributes are expected to be introduced without corresponding supported feature or if PATCH can be used as first operation in an API.</w:t>
      </w:r>
    </w:p>
    <w:p w:rsidR="00CB0DD7" w:rsidRPr="000A0A5F" w:rsidRDefault="00CB0DD7">
      <w:pPr>
        <w:pStyle w:val="Heading4"/>
        <w:rPr>
          <w:rFonts w:hint="eastAsia"/>
        </w:rPr>
      </w:pPr>
      <w:bookmarkStart w:id="1673" w:name="_Toc105674334"/>
      <w:bookmarkStart w:id="1674" w:name="_Toc130502371"/>
      <w:bookmarkStart w:id="1675" w:name="_Toc153625150"/>
      <w:r w:rsidRPr="000A0A5F">
        <w:rPr>
          <w:rFonts w:hint="eastAsia"/>
        </w:rPr>
        <w:t>5.</w:t>
      </w:r>
      <w:r w:rsidRPr="000A0A5F">
        <w:rPr>
          <w:lang w:val="de-DE"/>
        </w:rPr>
        <w:t>2</w:t>
      </w:r>
      <w:r w:rsidRPr="000A0A5F">
        <w:rPr>
          <w:rFonts w:hint="eastAsia"/>
        </w:rPr>
        <w:t>.</w:t>
      </w:r>
      <w:r w:rsidRPr="000A0A5F">
        <w:rPr>
          <w:lang w:val="de-DE"/>
        </w:rPr>
        <w:t>9.9</w:t>
      </w:r>
      <w:r w:rsidRPr="000A0A5F">
        <w:tab/>
        <w:t>Error Responses</w:t>
      </w:r>
      <w:bookmarkEnd w:id="1661"/>
      <w:bookmarkEnd w:id="1662"/>
      <w:bookmarkEnd w:id="1663"/>
      <w:bookmarkEnd w:id="1664"/>
      <w:bookmarkEnd w:id="1665"/>
      <w:bookmarkEnd w:id="1666"/>
      <w:bookmarkEnd w:id="1667"/>
      <w:bookmarkEnd w:id="1668"/>
      <w:bookmarkEnd w:id="1669"/>
      <w:bookmarkEnd w:id="1673"/>
      <w:bookmarkEnd w:id="1674"/>
      <w:bookmarkEnd w:id="1675"/>
    </w:p>
    <w:p w:rsidR="00CB0DD7" w:rsidRPr="000A0A5F" w:rsidRDefault="00CB0DD7">
      <w:r w:rsidRPr="000A0A5F">
        <w:t>As described in clause 5.2.6, T8 APIs use valid HTTP response codes as error codes in HTTP responses and may include a "ProblemDetails" data structure specified in clause 5.2.1.2.12 or an application-specific data structure.</w:t>
      </w:r>
    </w:p>
    <w:p w:rsidR="00CB0DD7" w:rsidRPr="000A0A5F" w:rsidRDefault="002B45A7">
      <w:r w:rsidRPr="000A0A5F">
        <w:t>Clause </w:t>
      </w:r>
      <w:r w:rsidR="00CB0DD7" w:rsidRPr="000A0A5F">
        <w:t>5.2.6 specifies HTTP status code per HTTP method. OpenAPI files should include at least the status codes in that table.</w:t>
      </w:r>
    </w:p>
    <w:p w:rsidR="00CB0DD7" w:rsidRPr="000A0A5F" w:rsidRDefault="00CB0DD7">
      <w:r w:rsidRPr="000A0A5F">
        <w:t>For the purpose of referencing, HTTP error responses with "ProblemDetails" data structure are specified as part of the CommonData OpenAPI file in Annex A.2.</w:t>
      </w:r>
    </w:p>
    <w:p w:rsidR="00CB0DD7" w:rsidRPr="000A0A5F" w:rsidRDefault="00CB0DD7">
      <w:r w:rsidRPr="000A0A5F">
        <w:t>Example:</w:t>
      </w:r>
    </w:p>
    <w:p w:rsidR="00CB0DD7" w:rsidRPr="000A0A5F" w:rsidRDefault="00CB0DD7">
      <w:r w:rsidRPr="000A0A5F">
        <w:t>In the example below, the 400, and 500 and default error response descriptions are referenced.</w:t>
      </w:r>
    </w:p>
    <w:p w:rsidR="00CB0DD7" w:rsidRPr="000A0A5F" w:rsidRDefault="00CB0DD7">
      <w:pPr>
        <w:pStyle w:val="PL"/>
      </w:pPr>
    </w:p>
    <w:p w:rsidR="00CB0DD7" w:rsidRPr="000A0A5F" w:rsidRDefault="00CB0DD7">
      <w:pPr>
        <w:pStyle w:val="PL"/>
      </w:pPr>
      <w:r w:rsidRPr="000A0A5F">
        <w:t>Paths:</w:t>
      </w:r>
    </w:p>
    <w:p w:rsidR="00CB0DD7" w:rsidRPr="000A0A5F" w:rsidRDefault="00CB0DD7">
      <w:pPr>
        <w:pStyle w:val="PL"/>
      </w:pPr>
      <w:r w:rsidRPr="000A0A5F">
        <w:t xml:space="preserve">  /users:</w:t>
      </w:r>
    </w:p>
    <w:p w:rsidR="00CB0DD7" w:rsidRPr="000A0A5F" w:rsidRDefault="00CB0DD7">
      <w:pPr>
        <w:pStyle w:val="PL"/>
      </w:pPr>
      <w:r w:rsidRPr="000A0A5F">
        <w:t xml:space="preserve">    get:</w:t>
      </w:r>
    </w:p>
    <w:p w:rsidR="00CB0DD7" w:rsidRPr="000A0A5F" w:rsidRDefault="00CB0DD7">
      <w:pPr>
        <w:pStyle w:val="PL"/>
      </w:pPr>
      <w:r w:rsidRPr="000A0A5F">
        <w:t xml:space="preserve">      responses:</w:t>
      </w:r>
    </w:p>
    <w:p w:rsidR="00CB0DD7" w:rsidRPr="000A0A5F" w:rsidRDefault="00CB0DD7">
      <w:pPr>
        <w:pStyle w:val="PL"/>
      </w:pPr>
      <w:r w:rsidRPr="000A0A5F">
        <w:t xml:space="preserve">        '200':</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application/json</w:t>
      </w:r>
    </w:p>
    <w:p w:rsidR="00CB0DD7" w:rsidRPr="000A0A5F" w:rsidRDefault="00CB0DD7">
      <w:pPr>
        <w:pStyle w:val="PL"/>
      </w:pPr>
      <w:r w:rsidRPr="000A0A5F">
        <w:t xml:space="preserve">              schema:</w:t>
      </w:r>
    </w:p>
    <w:p w:rsidR="00CB0DD7" w:rsidRPr="000A0A5F" w:rsidRDefault="00CB0DD7">
      <w:pPr>
        <w:pStyle w:val="PL"/>
      </w:pPr>
      <w:r w:rsidRPr="000A0A5F">
        <w:t xml:space="preserve">                $ref: '#/components/schemas/ExampleGetBody'</w:t>
      </w:r>
    </w:p>
    <w:p w:rsidR="00CB0DD7" w:rsidRPr="000A0A5F" w:rsidRDefault="00CB0DD7">
      <w:pPr>
        <w:pStyle w:val="PL"/>
      </w:pPr>
      <w:r w:rsidRPr="000A0A5F">
        <w:t xml:space="preserve">        '400':</w:t>
      </w:r>
    </w:p>
    <w:p w:rsidR="00CB0DD7" w:rsidRPr="000A0A5F" w:rsidRDefault="00CB0DD7">
      <w:pPr>
        <w:pStyle w:val="PL"/>
      </w:pPr>
      <w:r w:rsidRPr="000A0A5F">
        <w:t xml:space="preserve">          $ref: 'TS29122_CommonData.yaml#/components/responses/400'</w:t>
      </w:r>
    </w:p>
    <w:p w:rsidR="00CB0DD7" w:rsidRPr="000A0A5F" w:rsidRDefault="00CB0DD7">
      <w:pPr>
        <w:pStyle w:val="PL"/>
      </w:pPr>
      <w:r w:rsidRPr="000A0A5F">
        <w:t xml:space="preserve">        '500':</w:t>
      </w:r>
    </w:p>
    <w:p w:rsidR="00CB0DD7" w:rsidRPr="000A0A5F" w:rsidRDefault="00CB0DD7">
      <w:pPr>
        <w:pStyle w:val="PL"/>
      </w:pPr>
      <w:r w:rsidRPr="000A0A5F">
        <w:t xml:space="preserve">          $ref: 'TS29122_CommonData.yaml#/components/responses/500'</w:t>
      </w:r>
    </w:p>
    <w:p w:rsidR="00CB0DD7" w:rsidRPr="000A0A5F" w:rsidRDefault="00CB0DD7">
      <w:pPr>
        <w:pStyle w:val="PL"/>
      </w:pPr>
      <w:r w:rsidRPr="000A0A5F">
        <w:t xml:space="preserve">        default:</w:t>
      </w:r>
    </w:p>
    <w:p w:rsidR="00CB0DD7" w:rsidRPr="000A0A5F" w:rsidRDefault="00CB0DD7">
      <w:pPr>
        <w:pStyle w:val="PL"/>
      </w:pPr>
      <w:r w:rsidRPr="000A0A5F">
        <w:t xml:space="preserve">          $ref: 'TS29122_CommonData.yaml#/components/responses/default'</w:t>
      </w:r>
    </w:p>
    <w:p w:rsidR="00CB0DD7" w:rsidRPr="000A0A5F" w:rsidRDefault="00CB0DD7">
      <w:pPr>
        <w:rPr>
          <w:lang w:val="en-US"/>
        </w:rPr>
      </w:pPr>
    </w:p>
    <w:p w:rsidR="00CB0DD7" w:rsidRPr="000A0A5F" w:rsidRDefault="00CB0DD7">
      <w:r w:rsidRPr="000A0A5F">
        <w:t>The following definitions provided in Annex A.2 are used in that example:</w:t>
      </w:r>
    </w:p>
    <w:p w:rsidR="00CB0DD7" w:rsidRPr="000A0A5F" w:rsidRDefault="00CB0DD7">
      <w:pPr>
        <w:pStyle w:val="PL"/>
      </w:pPr>
      <w:r w:rsidRPr="000A0A5F">
        <w:t>components:</w:t>
      </w:r>
    </w:p>
    <w:p w:rsidR="00CB0DD7" w:rsidRPr="000A0A5F" w:rsidRDefault="00CB0DD7">
      <w:pPr>
        <w:pStyle w:val="PL"/>
      </w:pPr>
      <w:r w:rsidRPr="000A0A5F">
        <w:t xml:space="preserve">  responses:</w:t>
      </w:r>
    </w:p>
    <w:p w:rsidR="00CB0DD7" w:rsidRPr="000A0A5F" w:rsidRDefault="00CB0DD7">
      <w:pPr>
        <w:pStyle w:val="PL"/>
      </w:pPr>
      <w:r w:rsidRPr="000A0A5F">
        <w:t xml:space="preserve">    '400':</w:t>
      </w:r>
    </w:p>
    <w:p w:rsidR="00CB0DD7" w:rsidRPr="000A0A5F" w:rsidRDefault="00CB0DD7">
      <w:pPr>
        <w:pStyle w:val="PL"/>
      </w:pPr>
      <w:r w:rsidRPr="000A0A5F">
        <w:t xml:space="preserve">      description: Bad request</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application/problem+json:</w:t>
      </w:r>
    </w:p>
    <w:p w:rsidR="00CB0DD7" w:rsidRPr="000A0A5F" w:rsidRDefault="00CB0DD7">
      <w:pPr>
        <w:pStyle w:val="PL"/>
      </w:pPr>
      <w:r w:rsidRPr="000A0A5F">
        <w:t xml:space="preserve">          schema:</w:t>
      </w:r>
    </w:p>
    <w:p w:rsidR="00CB0DD7" w:rsidRPr="000A0A5F" w:rsidRDefault="00CB0DD7">
      <w:pPr>
        <w:pStyle w:val="PL"/>
      </w:pPr>
      <w:r w:rsidRPr="000A0A5F">
        <w:t xml:space="preserve">            $ref: '#/components/schemas/ProblemDetails'</w:t>
      </w:r>
    </w:p>
    <w:p w:rsidR="00CB0DD7" w:rsidRPr="000A0A5F" w:rsidRDefault="00CB0DD7">
      <w:pPr>
        <w:pStyle w:val="PL"/>
      </w:pPr>
      <w:r w:rsidRPr="000A0A5F">
        <w:t xml:space="preserve">    '500':</w:t>
      </w:r>
    </w:p>
    <w:p w:rsidR="00CB0DD7" w:rsidRPr="000A0A5F" w:rsidRDefault="00CB0DD7">
      <w:pPr>
        <w:pStyle w:val="PL"/>
      </w:pPr>
      <w:r w:rsidRPr="000A0A5F">
        <w:t xml:space="preserve">      description: Internal Server Error</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application/problem+json:</w:t>
      </w:r>
    </w:p>
    <w:p w:rsidR="00CB0DD7" w:rsidRPr="000A0A5F" w:rsidRDefault="00CB0DD7">
      <w:pPr>
        <w:pStyle w:val="PL"/>
      </w:pPr>
      <w:r w:rsidRPr="000A0A5F">
        <w:t xml:space="preserve">          schema:</w:t>
      </w:r>
    </w:p>
    <w:p w:rsidR="00CB0DD7" w:rsidRPr="000A0A5F" w:rsidRDefault="00CB0DD7">
      <w:pPr>
        <w:pStyle w:val="PL"/>
      </w:pPr>
      <w:r w:rsidRPr="000A0A5F">
        <w:t xml:space="preserve">            $ref: '#/components/schemas/ProblemDetails'</w:t>
      </w:r>
    </w:p>
    <w:p w:rsidR="00CB0DD7" w:rsidRPr="000A0A5F" w:rsidRDefault="00CB0DD7">
      <w:pPr>
        <w:pStyle w:val="PL"/>
      </w:pPr>
      <w:r w:rsidRPr="000A0A5F">
        <w:t xml:space="preserve">    default:</w:t>
      </w:r>
    </w:p>
    <w:p w:rsidR="00CB0DD7" w:rsidRPr="000A0A5F" w:rsidRDefault="00CB0DD7">
      <w:pPr>
        <w:pStyle w:val="PL"/>
      </w:pPr>
      <w:r w:rsidRPr="000A0A5F">
        <w:t xml:space="preserve">      description: Generic Error</w:t>
      </w:r>
    </w:p>
    <w:p w:rsidR="00CB0DD7" w:rsidRPr="000A0A5F" w:rsidRDefault="00CB0DD7">
      <w:pPr>
        <w:pStyle w:val="Heading4"/>
        <w:rPr>
          <w:rFonts w:hint="eastAsia"/>
          <w:lang w:eastAsia="zh-CN"/>
        </w:rPr>
      </w:pPr>
      <w:bookmarkStart w:id="1676" w:name="_Toc11247301"/>
      <w:bookmarkStart w:id="1677" w:name="_Toc27044421"/>
      <w:bookmarkStart w:id="1678" w:name="_Toc36033463"/>
      <w:bookmarkStart w:id="1679" w:name="_Toc45131595"/>
      <w:bookmarkStart w:id="1680" w:name="_Toc49775880"/>
      <w:bookmarkStart w:id="1681" w:name="_Toc51746800"/>
      <w:bookmarkStart w:id="1682" w:name="_Toc66360343"/>
      <w:bookmarkStart w:id="1683" w:name="_Toc68104848"/>
      <w:bookmarkStart w:id="1684" w:name="_Toc74755477"/>
      <w:bookmarkStart w:id="1685" w:name="_Toc105674335"/>
      <w:bookmarkStart w:id="1686" w:name="_Toc130502372"/>
      <w:bookmarkStart w:id="1687" w:name="_Toc153625151"/>
      <w:r w:rsidRPr="000A0A5F">
        <w:rPr>
          <w:rFonts w:hint="eastAsia"/>
          <w:lang w:eastAsia="zh-CN"/>
        </w:rPr>
        <w:t>5.</w:t>
      </w:r>
      <w:r w:rsidRPr="000A0A5F">
        <w:rPr>
          <w:lang w:eastAsia="zh-CN"/>
        </w:rPr>
        <w:t>2.9.10</w:t>
      </w:r>
      <w:r w:rsidRPr="000A0A5F">
        <w:tab/>
      </w:r>
      <w:r w:rsidRPr="000A0A5F">
        <w:rPr>
          <w:lang w:eastAsia="zh-CN"/>
        </w:rPr>
        <w:t>Enumerations</w:t>
      </w:r>
      <w:bookmarkEnd w:id="1676"/>
      <w:bookmarkEnd w:id="1677"/>
      <w:bookmarkEnd w:id="1678"/>
      <w:bookmarkEnd w:id="1679"/>
      <w:bookmarkEnd w:id="1680"/>
      <w:bookmarkEnd w:id="1681"/>
      <w:bookmarkEnd w:id="1682"/>
      <w:bookmarkEnd w:id="1683"/>
      <w:bookmarkEnd w:id="1684"/>
      <w:bookmarkEnd w:id="1685"/>
      <w:bookmarkEnd w:id="1686"/>
      <w:bookmarkEnd w:id="1687"/>
    </w:p>
    <w:p w:rsidR="00CB0DD7" w:rsidRPr="000A0A5F" w:rsidRDefault="00CB0DD7">
      <w:r w:rsidRPr="000A0A5F">
        <w:rPr>
          <w:lang w:eastAsia="zh-CN"/>
        </w:rPr>
        <w:t xml:space="preserve">For enumerations, the </w:t>
      </w:r>
      <w:r w:rsidRPr="000A0A5F">
        <w:t xml:space="preserve">OpenAPI file shall contain a definition in the components/schemas section defining a schema with the name of the </w:t>
      </w:r>
      <w:r w:rsidRPr="000A0A5F">
        <w:rPr>
          <w:lang w:eastAsia="zh-CN"/>
        </w:rPr>
        <w:t>enumeration</w:t>
      </w:r>
      <w:r w:rsidRPr="000A0A5F">
        <w:t xml:space="preserve"> as key.</w:t>
      </w:r>
    </w:p>
    <w:p w:rsidR="00AD5724" w:rsidRPr="000A0A5F" w:rsidRDefault="00AD5724" w:rsidP="00AD5724">
      <w:r w:rsidRPr="000A0A5F">
        <w:t>The naming conventions defined in clause 5.1.4 of 3GPP TS 29.501 [49] shall apply.</w:t>
      </w:r>
    </w:p>
    <w:p w:rsidR="00CB0DD7" w:rsidRPr="000A0A5F" w:rsidRDefault="00CB0DD7">
      <w:r w:rsidRPr="000A0A5F">
        <w:t>The schema</w:t>
      </w:r>
      <w:r w:rsidR="003A4BAF" w:rsidRPr="000A0A5F">
        <w:t>:</w:t>
      </w:r>
    </w:p>
    <w:p w:rsidR="00CB0DD7" w:rsidRPr="000A0A5F" w:rsidRDefault="00CB0DD7">
      <w:pPr>
        <w:pStyle w:val="B10"/>
      </w:pPr>
      <w:r w:rsidRPr="000A0A5F">
        <w:t>-</w:t>
      </w:r>
      <w:r w:rsidRPr="000A0A5F">
        <w:tab/>
        <w:t>shall contain the "anyOf" keyword listing as alternatives:</w:t>
      </w:r>
    </w:p>
    <w:p w:rsidR="00CB0DD7" w:rsidRPr="000A0A5F" w:rsidRDefault="00CB0DD7">
      <w:pPr>
        <w:pStyle w:val="B2"/>
      </w:pPr>
      <w:r w:rsidRPr="000A0A5F">
        <w:t>1.</w:t>
      </w:r>
      <w:r w:rsidRPr="000A0A5F">
        <w:tab/>
        <w:t>the "type: string" keyword and the "enum" keyword with a list of all defined values for the enumeration; and</w:t>
      </w:r>
    </w:p>
    <w:p w:rsidR="00CB0DD7" w:rsidRPr="000A0A5F" w:rsidRDefault="00CB0DD7">
      <w:pPr>
        <w:pStyle w:val="B2"/>
      </w:pPr>
      <w:r w:rsidRPr="000A0A5F">
        <w:t>2.</w:t>
      </w:r>
      <w:r w:rsidRPr="000A0A5F">
        <w:tab/>
        <w:t>the "type: string" keyword and the "description" keyword with a description stating that the string is only provided for extensibility and is not used to encode contents defined in the present version of the specification</w:t>
      </w:r>
      <w:r w:rsidR="00431DCD" w:rsidRPr="000A0A5F">
        <w:t>, and</w:t>
      </w:r>
    </w:p>
    <w:p w:rsidR="00CB0DD7" w:rsidRPr="000A0A5F" w:rsidRDefault="00CB0DD7">
      <w:pPr>
        <w:pStyle w:val="B10"/>
      </w:pPr>
      <w:r w:rsidRPr="000A0A5F">
        <w:t>-</w:t>
      </w:r>
      <w:r w:rsidRPr="000A0A5F">
        <w:tab/>
      </w:r>
      <w:r w:rsidR="00DF4401" w:rsidRPr="000A0A5F">
        <w:t>should</w:t>
      </w:r>
      <w:r w:rsidRPr="000A0A5F">
        <w:t xml:space="preserve"> contain a description</w:t>
      </w:r>
      <w:r w:rsidR="00DF4401" w:rsidRPr="000A0A5F">
        <w:t xml:space="preserve"> field, containing the overall meaning and purpose of the enumeration; additionally, this field may contain a</w:t>
      </w:r>
      <w:r w:rsidRPr="000A0A5F">
        <w:t xml:space="preserve"> list </w:t>
      </w:r>
      <w:r w:rsidR="00DF4401" w:rsidRPr="000A0A5F">
        <w:t xml:space="preserve">of </w:t>
      </w:r>
      <w:r w:rsidRPr="000A0A5F">
        <w:t>the defined values of the enumeration together with explanations of those values.</w:t>
      </w:r>
    </w:p>
    <w:p w:rsidR="00CB0DD7" w:rsidRPr="000A0A5F" w:rsidRDefault="00CB0DD7">
      <w:pPr>
        <w:pStyle w:val="NO"/>
        <w:rPr>
          <w:lang w:val="en-US" w:eastAsia="zh-CN"/>
        </w:rPr>
      </w:pPr>
      <w:r w:rsidRPr="000A0A5F">
        <w:rPr>
          <w:lang w:val="en-US" w:eastAsia="zh-CN"/>
        </w:rPr>
        <w:t>NOTE:</w:t>
      </w:r>
      <w:r w:rsidRPr="000A0A5F">
        <w:rPr>
          <w:lang w:val="en-US" w:eastAsia="zh-CN"/>
        </w:rPr>
        <w:tab/>
      </w:r>
      <w:r w:rsidRPr="000A0A5F">
        <w:rPr>
          <w:lang w:val="en-US"/>
        </w:rPr>
        <w:t>The "enum" keyword restricts the permissible values of the string to the enumerated ones. This can lead to extensibility problems when new values need to be introduced</w:t>
      </w:r>
      <w:r w:rsidRPr="000A0A5F">
        <w:t>.</w:t>
      </w:r>
    </w:p>
    <w:p w:rsidR="00CB0DD7" w:rsidRPr="000A0A5F" w:rsidRDefault="00CB0DD7">
      <w:pPr>
        <w:rPr>
          <w:lang w:eastAsia="zh-CN"/>
        </w:rPr>
      </w:pPr>
      <w:r w:rsidRPr="000A0A5F">
        <w:rPr>
          <w:lang w:eastAsia="zh-CN"/>
        </w:rPr>
        <w:t>Example:</w:t>
      </w:r>
    </w:p>
    <w:p w:rsidR="00DF4401" w:rsidRPr="000A0A5F" w:rsidRDefault="00DF4401">
      <w:pPr>
        <w:rPr>
          <w:lang w:eastAsia="zh-CN"/>
        </w:rPr>
      </w:pPr>
      <w:r w:rsidRPr="000A0A5F">
        <w:rPr>
          <w:lang w:eastAsia="zh-CN"/>
        </w:rPr>
        <w:t>ExampleEnumeration represents xxx, and it is used to indicate yyy or zzz; it complies with the provisions defined in table 5.2.9.10-1.</w:t>
      </w:r>
    </w:p>
    <w:p w:rsidR="00CB0DD7" w:rsidRPr="000A0A5F" w:rsidRDefault="00CB0DD7">
      <w:pPr>
        <w:pStyle w:val="TH"/>
      </w:pPr>
      <w:r w:rsidRPr="000A0A5F">
        <w:rPr>
          <w:noProof/>
        </w:rPr>
        <w:t>Table </w:t>
      </w:r>
      <w:r w:rsidRPr="000A0A5F">
        <w:t>5.2.9.10-1: Enumeration ExampleEnumeration</w:t>
      </w:r>
    </w:p>
    <w:tbl>
      <w:tblPr>
        <w:tblW w:w="4894"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2123"/>
        <w:gridCol w:w="4254"/>
        <w:gridCol w:w="3173"/>
      </w:tblGrid>
      <w:tr w:rsidR="00CB0DD7" w:rsidRPr="000A0A5F" w:rsidTr="002B45A7">
        <w:trPr>
          <w:jc w:val="center"/>
        </w:trPr>
        <w:tc>
          <w:tcPr>
            <w:tcW w:w="1112" w:type="pct"/>
            <w:shd w:val="clear" w:color="auto" w:fill="C0C0C0"/>
            <w:tcMar>
              <w:top w:w="0" w:type="dxa"/>
              <w:left w:w="108" w:type="dxa"/>
              <w:bottom w:w="0" w:type="dxa"/>
              <w:right w:w="108" w:type="dxa"/>
            </w:tcMar>
            <w:hideMark/>
          </w:tcPr>
          <w:p w:rsidR="00CB0DD7" w:rsidRPr="000A0A5F" w:rsidRDefault="00CB0DD7">
            <w:pPr>
              <w:pStyle w:val="TAH"/>
            </w:pPr>
            <w:r w:rsidRPr="000A0A5F">
              <w:t>Enumeration value</w:t>
            </w:r>
          </w:p>
        </w:tc>
        <w:tc>
          <w:tcPr>
            <w:tcW w:w="2227" w:type="pct"/>
            <w:shd w:val="clear" w:color="auto" w:fill="C0C0C0"/>
            <w:tcMar>
              <w:top w:w="0" w:type="dxa"/>
              <w:left w:w="108" w:type="dxa"/>
              <w:bottom w:w="0" w:type="dxa"/>
              <w:right w:w="108" w:type="dxa"/>
            </w:tcMar>
            <w:hideMark/>
          </w:tcPr>
          <w:p w:rsidR="00CB0DD7" w:rsidRPr="000A0A5F" w:rsidRDefault="00CB0DD7">
            <w:pPr>
              <w:pStyle w:val="TAH"/>
            </w:pPr>
            <w:r w:rsidRPr="000A0A5F">
              <w:t>Description</w:t>
            </w:r>
          </w:p>
        </w:tc>
        <w:tc>
          <w:tcPr>
            <w:tcW w:w="1661" w:type="pct"/>
            <w:shd w:val="clear" w:color="auto" w:fill="C0C0C0"/>
          </w:tcPr>
          <w:p w:rsidR="00CB0DD7" w:rsidRPr="000A0A5F" w:rsidRDefault="00CB0DD7">
            <w:pPr>
              <w:pStyle w:val="TAH"/>
            </w:pPr>
            <w:r w:rsidRPr="000A0A5F">
              <w:t>Applicability</w:t>
            </w:r>
          </w:p>
        </w:tc>
      </w:tr>
      <w:tr w:rsidR="00CB0DD7" w:rsidRPr="000A0A5F" w:rsidTr="002B45A7">
        <w:trPr>
          <w:jc w:val="center"/>
        </w:trPr>
        <w:tc>
          <w:tcPr>
            <w:tcW w:w="1112" w:type="pct"/>
            <w:tcMar>
              <w:top w:w="0" w:type="dxa"/>
              <w:left w:w="108" w:type="dxa"/>
              <w:bottom w:w="0" w:type="dxa"/>
              <w:right w:w="108" w:type="dxa"/>
            </w:tcMar>
          </w:tcPr>
          <w:p w:rsidR="00CB0DD7" w:rsidRPr="000A0A5F" w:rsidRDefault="00CB0DD7" w:rsidP="00AD5724">
            <w:pPr>
              <w:pStyle w:val="TAL"/>
            </w:pPr>
            <w:r w:rsidRPr="000A0A5F">
              <w:t>O</w:t>
            </w:r>
            <w:r w:rsidR="00AD5724" w:rsidRPr="000A0A5F">
              <w:t>NE</w:t>
            </w:r>
          </w:p>
        </w:tc>
        <w:tc>
          <w:tcPr>
            <w:tcW w:w="2227" w:type="pct"/>
            <w:tcMar>
              <w:top w:w="0" w:type="dxa"/>
              <w:left w:w="108" w:type="dxa"/>
              <w:bottom w:w="0" w:type="dxa"/>
              <w:right w:w="108" w:type="dxa"/>
            </w:tcMar>
          </w:tcPr>
          <w:p w:rsidR="00CB0DD7" w:rsidRPr="000A0A5F" w:rsidRDefault="00CB0DD7" w:rsidP="00AD5724">
            <w:pPr>
              <w:pStyle w:val="TAL"/>
            </w:pPr>
            <w:r w:rsidRPr="000A0A5F">
              <w:rPr>
                <w:rFonts w:cs="Arial"/>
                <w:szCs w:val="18"/>
                <w:lang w:val="en-US" w:eastAsia="zh-CN"/>
              </w:rPr>
              <w:t>Value O</w:t>
            </w:r>
            <w:r w:rsidR="00AD5724" w:rsidRPr="000A0A5F">
              <w:rPr>
                <w:rFonts w:cs="Arial"/>
                <w:szCs w:val="18"/>
                <w:lang w:val="en-US" w:eastAsia="zh-CN"/>
              </w:rPr>
              <w:t>NE</w:t>
            </w:r>
            <w:r w:rsidRPr="000A0A5F">
              <w:rPr>
                <w:rFonts w:cs="Arial"/>
                <w:szCs w:val="18"/>
                <w:lang w:val="en-US" w:eastAsia="zh-CN"/>
              </w:rPr>
              <w:t xml:space="preserve"> </w:t>
            </w:r>
            <w:r w:rsidRPr="000A0A5F">
              <w:rPr>
                <w:rFonts w:cs="Arial"/>
                <w:szCs w:val="18"/>
              </w:rPr>
              <w:t>description</w:t>
            </w:r>
          </w:p>
        </w:tc>
        <w:tc>
          <w:tcPr>
            <w:tcW w:w="1661" w:type="pct"/>
          </w:tcPr>
          <w:p w:rsidR="00CB0DD7" w:rsidRPr="000A0A5F" w:rsidRDefault="00CB0DD7">
            <w:pPr>
              <w:pStyle w:val="TAL"/>
              <w:rPr>
                <w:rFonts w:cs="Arial"/>
                <w:szCs w:val="18"/>
                <w:lang w:val="en-US" w:eastAsia="zh-CN"/>
              </w:rPr>
            </w:pPr>
          </w:p>
        </w:tc>
      </w:tr>
      <w:tr w:rsidR="00CB0DD7" w:rsidRPr="000A0A5F" w:rsidTr="002B45A7">
        <w:trPr>
          <w:jc w:val="center"/>
        </w:trPr>
        <w:tc>
          <w:tcPr>
            <w:tcW w:w="1112" w:type="pct"/>
            <w:tcMar>
              <w:top w:w="0" w:type="dxa"/>
              <w:left w:w="108" w:type="dxa"/>
              <w:bottom w:w="0" w:type="dxa"/>
              <w:right w:w="108" w:type="dxa"/>
            </w:tcMar>
          </w:tcPr>
          <w:p w:rsidR="00CB0DD7" w:rsidRPr="000A0A5F" w:rsidRDefault="00CB0DD7" w:rsidP="00AD5724">
            <w:pPr>
              <w:pStyle w:val="TAL"/>
            </w:pPr>
            <w:r w:rsidRPr="000A0A5F">
              <w:t>T</w:t>
            </w:r>
            <w:r w:rsidR="00AD5724" w:rsidRPr="000A0A5F">
              <w:t>WO</w:t>
            </w:r>
          </w:p>
        </w:tc>
        <w:tc>
          <w:tcPr>
            <w:tcW w:w="2227" w:type="pct"/>
            <w:tcMar>
              <w:top w:w="0" w:type="dxa"/>
              <w:left w:w="108" w:type="dxa"/>
              <w:bottom w:w="0" w:type="dxa"/>
              <w:right w:w="108" w:type="dxa"/>
            </w:tcMar>
          </w:tcPr>
          <w:p w:rsidR="00CB0DD7" w:rsidRPr="000A0A5F" w:rsidRDefault="00CB0DD7" w:rsidP="00AD5724">
            <w:pPr>
              <w:pStyle w:val="TAL"/>
            </w:pPr>
            <w:r w:rsidRPr="000A0A5F">
              <w:rPr>
                <w:rFonts w:cs="Arial"/>
                <w:szCs w:val="18"/>
                <w:lang w:val="en-US" w:eastAsia="zh-CN"/>
              </w:rPr>
              <w:t>Value T</w:t>
            </w:r>
            <w:r w:rsidR="00AD5724" w:rsidRPr="000A0A5F">
              <w:rPr>
                <w:rFonts w:cs="Arial"/>
                <w:szCs w:val="18"/>
                <w:lang w:val="en-US" w:eastAsia="zh-CN"/>
              </w:rPr>
              <w:t>WO</w:t>
            </w:r>
            <w:r w:rsidRPr="000A0A5F">
              <w:rPr>
                <w:rFonts w:cs="Arial"/>
                <w:szCs w:val="18"/>
                <w:lang w:val="en-US" w:eastAsia="zh-CN"/>
              </w:rPr>
              <w:t xml:space="preserve"> </w:t>
            </w:r>
            <w:r w:rsidRPr="000A0A5F">
              <w:rPr>
                <w:rFonts w:cs="Arial"/>
                <w:szCs w:val="18"/>
              </w:rPr>
              <w:t>description</w:t>
            </w:r>
          </w:p>
        </w:tc>
        <w:tc>
          <w:tcPr>
            <w:tcW w:w="1661" w:type="pct"/>
          </w:tcPr>
          <w:p w:rsidR="00CB0DD7" w:rsidRPr="000A0A5F" w:rsidRDefault="00CB0DD7">
            <w:pPr>
              <w:pStyle w:val="TAL"/>
              <w:rPr>
                <w:rFonts w:cs="Arial"/>
                <w:szCs w:val="18"/>
                <w:lang w:val="en-US" w:eastAsia="zh-CN"/>
              </w:rPr>
            </w:pPr>
          </w:p>
        </w:tc>
      </w:tr>
    </w:tbl>
    <w:p w:rsidR="00CB0DD7" w:rsidRPr="000A0A5F" w:rsidRDefault="00CB0DD7"/>
    <w:p w:rsidR="00CB0DD7" w:rsidRPr="000A0A5F" w:rsidRDefault="00CB0DD7">
      <w:pPr>
        <w:rPr>
          <w:lang w:eastAsia="zh-CN"/>
        </w:rPr>
      </w:pPr>
      <w:r w:rsidRPr="000A0A5F">
        <w:rPr>
          <w:lang w:eastAsia="zh-CN"/>
        </w:rPr>
        <w:t>The data structure in table </w:t>
      </w:r>
      <w:r w:rsidRPr="000A0A5F">
        <w:t>5.2.9.10</w:t>
      </w:r>
      <w:r w:rsidRPr="000A0A5F">
        <w:rPr>
          <w:lang w:eastAsia="zh-CN"/>
        </w:rPr>
        <w:t xml:space="preserve">-1 is described in an </w:t>
      </w:r>
      <w:r w:rsidRPr="000A0A5F">
        <w:t>OpenAPI file as follows:</w:t>
      </w:r>
    </w:p>
    <w:p w:rsidR="00CB0DD7" w:rsidRPr="000A0A5F" w:rsidRDefault="00CB0DD7">
      <w:pPr>
        <w:pStyle w:val="PL"/>
      </w:pPr>
      <w:r w:rsidRPr="000A0A5F">
        <w:t>components:</w:t>
      </w:r>
    </w:p>
    <w:p w:rsidR="00CB0DD7" w:rsidRPr="000A0A5F" w:rsidRDefault="00CB0DD7">
      <w:pPr>
        <w:pStyle w:val="PL"/>
      </w:pPr>
      <w:r w:rsidRPr="000A0A5F">
        <w:t xml:space="preserve">  schemas:</w:t>
      </w:r>
    </w:p>
    <w:p w:rsidR="00CB0DD7" w:rsidRPr="000A0A5F" w:rsidRDefault="00CB0DD7">
      <w:pPr>
        <w:pStyle w:val="PL"/>
      </w:pPr>
      <w:r w:rsidRPr="000A0A5F">
        <w:t xml:space="preserve">    ExampleEnumeration:</w:t>
      </w:r>
    </w:p>
    <w:p w:rsidR="00CB0DD7" w:rsidRPr="000A0A5F" w:rsidRDefault="00CB0DD7">
      <w:pPr>
        <w:pStyle w:val="PL"/>
      </w:pPr>
      <w:r w:rsidRPr="000A0A5F">
        <w:t xml:space="preserve">      anyOf:</w:t>
      </w:r>
    </w:p>
    <w:p w:rsidR="00CB0DD7" w:rsidRPr="000A0A5F" w:rsidRDefault="00CB0DD7">
      <w:pPr>
        <w:pStyle w:val="PL"/>
      </w:pPr>
      <w:r w:rsidRPr="000A0A5F">
        <w:t xml:space="preserve">      - type: string</w:t>
      </w:r>
    </w:p>
    <w:p w:rsidR="00CB0DD7" w:rsidRPr="000A0A5F" w:rsidRDefault="00CB0DD7">
      <w:pPr>
        <w:pStyle w:val="PL"/>
      </w:pPr>
      <w:r w:rsidRPr="000A0A5F">
        <w:t xml:space="preserve">        enum:</w:t>
      </w:r>
    </w:p>
    <w:p w:rsidR="00CB0DD7" w:rsidRPr="000A0A5F" w:rsidRDefault="00CB0DD7">
      <w:pPr>
        <w:pStyle w:val="PL"/>
      </w:pPr>
      <w:r w:rsidRPr="000A0A5F">
        <w:t xml:space="preserve">          - O</w:t>
      </w:r>
      <w:r w:rsidR="00AD5724" w:rsidRPr="000A0A5F">
        <w:t>NE</w:t>
      </w:r>
    </w:p>
    <w:p w:rsidR="00CB0DD7" w:rsidRPr="000A0A5F" w:rsidRDefault="00CB0DD7">
      <w:pPr>
        <w:pStyle w:val="PL"/>
      </w:pPr>
      <w:r w:rsidRPr="000A0A5F">
        <w:t xml:space="preserve">          - T</w:t>
      </w:r>
      <w:r w:rsidR="00AD5724" w:rsidRPr="000A0A5F">
        <w:t>WO</w:t>
      </w:r>
    </w:p>
    <w:p w:rsidR="00CB0DD7" w:rsidRPr="000A0A5F" w:rsidRDefault="00CB0DD7">
      <w:pPr>
        <w:pStyle w:val="PL"/>
      </w:pPr>
      <w:r w:rsidRPr="000A0A5F">
        <w:t xml:space="preserve">      - type: string</w:t>
      </w:r>
    </w:p>
    <w:p w:rsidR="00CB0DD7" w:rsidRPr="000A0A5F" w:rsidRDefault="00CB0DD7">
      <w:pPr>
        <w:pStyle w:val="PL"/>
      </w:pPr>
      <w:r w:rsidRPr="000A0A5F">
        <w:t xml:space="preserve">        description: &gt;</w:t>
      </w:r>
    </w:p>
    <w:p w:rsidR="00CB0DD7" w:rsidRPr="000A0A5F" w:rsidRDefault="00CB0DD7">
      <w:pPr>
        <w:pStyle w:val="PL"/>
      </w:pPr>
      <w:r w:rsidRPr="000A0A5F">
        <w:t xml:space="preserve">          This string provides forward-compatibility with future</w:t>
      </w:r>
    </w:p>
    <w:p w:rsidR="00CB0DD7" w:rsidRPr="000A0A5F" w:rsidRDefault="00CB0DD7">
      <w:pPr>
        <w:pStyle w:val="PL"/>
      </w:pPr>
      <w:r w:rsidRPr="000A0A5F">
        <w:t xml:space="preserve">          extensions to the enumeration </w:t>
      </w:r>
      <w:r w:rsidR="00431DCD" w:rsidRPr="000A0A5F">
        <w:t>and</w:t>
      </w:r>
      <w:r w:rsidRPr="000A0A5F">
        <w:t xml:space="preserve"> is not used to encode</w:t>
      </w:r>
    </w:p>
    <w:p w:rsidR="00CB0DD7" w:rsidRPr="000A0A5F" w:rsidRDefault="00CB0DD7">
      <w:pPr>
        <w:pStyle w:val="PL"/>
      </w:pPr>
      <w:r w:rsidRPr="000A0A5F">
        <w:t xml:space="preserve">          content defined in the present version of this API.</w:t>
      </w:r>
    </w:p>
    <w:p w:rsidR="00CB0DD7" w:rsidRPr="000A0A5F" w:rsidRDefault="00CB0DD7">
      <w:pPr>
        <w:pStyle w:val="PL"/>
      </w:pPr>
      <w:r w:rsidRPr="000A0A5F">
        <w:t xml:space="preserve">      </w:t>
      </w:r>
      <w:r w:rsidR="00AD5724" w:rsidRPr="000A0A5F">
        <w:t>d</w:t>
      </w:r>
      <w:r w:rsidRPr="000A0A5F">
        <w:t xml:space="preserve">escription: </w:t>
      </w:r>
      <w:r w:rsidR="00AD5724" w:rsidRPr="000A0A5F">
        <w:t>|</w:t>
      </w:r>
    </w:p>
    <w:p w:rsidR="00DF4401" w:rsidRPr="000A0A5F" w:rsidRDefault="00DF4401" w:rsidP="00DF4401">
      <w:pPr>
        <w:pStyle w:val="PL"/>
      </w:pPr>
      <w:r w:rsidRPr="000A0A5F">
        <w:t xml:space="preserve">        ExampleEnumeration represents xxx, and it is used to indicate yyy or zzz;</w:t>
      </w:r>
    </w:p>
    <w:p w:rsidR="00DF4401" w:rsidRPr="000A0A5F" w:rsidRDefault="00DF4401" w:rsidP="00DF4401">
      <w:pPr>
        <w:pStyle w:val="PL"/>
      </w:pPr>
      <w:r w:rsidRPr="000A0A5F">
        <w:t xml:space="preserve">        it complies with the provisions defined in table </w:t>
      </w:r>
      <w:r w:rsidRPr="000A0A5F">
        <w:rPr>
          <w:lang w:eastAsia="zh-CN"/>
        </w:rPr>
        <w:t>5.2.9.10-1</w:t>
      </w:r>
      <w:r w:rsidRPr="000A0A5F">
        <w:t xml:space="preserve"> of 3GPP TS ab.cde.</w:t>
      </w:r>
    </w:p>
    <w:p w:rsidR="00CB0DD7" w:rsidRPr="000A0A5F" w:rsidRDefault="00CB0DD7">
      <w:pPr>
        <w:pStyle w:val="PL"/>
      </w:pPr>
      <w:r w:rsidRPr="000A0A5F">
        <w:t xml:space="preserve">        Possible values are</w:t>
      </w:r>
      <w:r w:rsidR="00AD5724" w:rsidRPr="000A0A5F">
        <w:t>:</w:t>
      </w:r>
    </w:p>
    <w:p w:rsidR="00CB0DD7" w:rsidRPr="000A0A5F" w:rsidRDefault="00CB0DD7">
      <w:pPr>
        <w:pStyle w:val="PL"/>
      </w:pPr>
      <w:r w:rsidRPr="000A0A5F">
        <w:t xml:space="preserve">        - O</w:t>
      </w:r>
      <w:r w:rsidR="00AD5724" w:rsidRPr="000A0A5F">
        <w:t>NE</w:t>
      </w:r>
      <w:r w:rsidRPr="000A0A5F">
        <w:t>: Value O</w:t>
      </w:r>
      <w:r w:rsidR="00AD5724" w:rsidRPr="000A0A5F">
        <w:t>NE</w:t>
      </w:r>
      <w:r w:rsidRPr="000A0A5F">
        <w:t xml:space="preserve"> description</w:t>
      </w:r>
    </w:p>
    <w:p w:rsidR="00CB0DD7" w:rsidRPr="000A0A5F" w:rsidRDefault="00CB0DD7">
      <w:pPr>
        <w:pStyle w:val="PL"/>
      </w:pPr>
      <w:r w:rsidRPr="000A0A5F">
        <w:t xml:space="preserve">        - T</w:t>
      </w:r>
      <w:r w:rsidR="00AD5724" w:rsidRPr="000A0A5F">
        <w:t>WO</w:t>
      </w:r>
      <w:r w:rsidRPr="000A0A5F">
        <w:t>: Value T</w:t>
      </w:r>
      <w:r w:rsidR="00AD5724" w:rsidRPr="000A0A5F">
        <w:t>WO</w:t>
      </w:r>
      <w:r w:rsidRPr="000A0A5F">
        <w:t xml:space="preserve"> description</w:t>
      </w:r>
    </w:p>
    <w:p w:rsidR="00CB0DD7" w:rsidRPr="000A0A5F" w:rsidRDefault="00CB0DD7">
      <w:pPr>
        <w:pStyle w:val="Heading4"/>
        <w:rPr>
          <w:lang w:eastAsia="zh-CN"/>
        </w:rPr>
      </w:pPr>
      <w:bookmarkStart w:id="1688" w:name="_Toc11247302"/>
      <w:bookmarkStart w:id="1689" w:name="_Toc27044422"/>
      <w:bookmarkStart w:id="1690" w:name="_Toc36033464"/>
      <w:bookmarkStart w:id="1691" w:name="_Toc45131596"/>
      <w:bookmarkStart w:id="1692" w:name="_Toc49775881"/>
      <w:bookmarkStart w:id="1693" w:name="_Toc51746801"/>
      <w:bookmarkStart w:id="1694" w:name="_Toc66360344"/>
      <w:bookmarkStart w:id="1695" w:name="_Toc68104849"/>
      <w:bookmarkStart w:id="1696" w:name="_Toc74755478"/>
      <w:bookmarkStart w:id="1697" w:name="_Toc105674336"/>
      <w:bookmarkStart w:id="1698" w:name="_Toc130502373"/>
      <w:bookmarkStart w:id="1699" w:name="_Toc153625152"/>
      <w:r w:rsidRPr="000A0A5F">
        <w:rPr>
          <w:lang w:eastAsia="zh-CN"/>
        </w:rPr>
        <w:t>5.2.9.11</w:t>
      </w:r>
      <w:r w:rsidRPr="000A0A5F">
        <w:rPr>
          <w:lang w:eastAsia="zh-CN"/>
        </w:rPr>
        <w:tab/>
        <w:t>Read only attribute</w:t>
      </w:r>
      <w:bookmarkEnd w:id="1688"/>
      <w:bookmarkEnd w:id="1689"/>
      <w:bookmarkEnd w:id="1690"/>
      <w:bookmarkEnd w:id="1691"/>
      <w:bookmarkEnd w:id="1692"/>
      <w:bookmarkEnd w:id="1693"/>
      <w:bookmarkEnd w:id="1694"/>
      <w:bookmarkEnd w:id="1695"/>
      <w:bookmarkEnd w:id="1696"/>
      <w:bookmarkEnd w:id="1697"/>
      <w:bookmarkEnd w:id="1698"/>
      <w:bookmarkEnd w:id="1699"/>
    </w:p>
    <w:p w:rsidR="00CB0DD7" w:rsidRPr="000A0A5F" w:rsidRDefault="00CB0DD7">
      <w:pPr>
        <w:rPr>
          <w:rFonts w:eastAsia="Calibri"/>
        </w:rPr>
      </w:pPr>
      <w:r w:rsidRPr="000A0A5F">
        <w:rPr>
          <w:rFonts w:eastAsia="Calibri"/>
        </w:rPr>
        <w:t xml:space="preserve">Each OpenAPI specification should include </w:t>
      </w:r>
      <w:r w:rsidRPr="000A0A5F">
        <w:t xml:space="preserve">"readOnly: true" </w:t>
      </w:r>
      <w:r w:rsidRPr="000A0A5F">
        <w:rPr>
          <w:rFonts w:eastAsia="Calibri"/>
        </w:rPr>
        <w:t>for those attributes that are only provided by the SCEF in the HTTP response message to prevent the SCS/AS from provisioning those attributes which is not expected, if the write and read operations (e.g. POST request and response) share the same data type which contains those attributes.</w:t>
      </w:r>
    </w:p>
    <w:p w:rsidR="00CB0DD7" w:rsidRPr="000A0A5F" w:rsidRDefault="00CB0DD7">
      <w:pPr>
        <w:rPr>
          <w:lang w:eastAsia="zh-CN"/>
        </w:rPr>
      </w:pPr>
      <w:r w:rsidRPr="000A0A5F">
        <w:rPr>
          <w:lang w:eastAsia="zh-CN"/>
        </w:rPr>
        <w:t xml:space="preserve">Example: </w:t>
      </w:r>
    </w:p>
    <w:p w:rsidR="00CB0DD7" w:rsidRPr="000A0A5F" w:rsidRDefault="00CB0DD7">
      <w:pPr>
        <w:pStyle w:val="PL"/>
      </w:pPr>
      <w:r w:rsidRPr="000A0A5F">
        <w:t xml:space="preserve">    NiddStatus:</w:t>
      </w:r>
    </w:p>
    <w:p w:rsidR="00CB0DD7" w:rsidRPr="000A0A5F" w:rsidRDefault="00CB0DD7">
      <w:pPr>
        <w:pStyle w:val="PL"/>
      </w:pPr>
      <w:r w:rsidRPr="000A0A5F">
        <w:t xml:space="preserve">      anyOf:</w:t>
      </w:r>
    </w:p>
    <w:p w:rsidR="00CB0DD7" w:rsidRPr="000A0A5F" w:rsidRDefault="00CB0DD7">
      <w:pPr>
        <w:pStyle w:val="PL"/>
      </w:pPr>
      <w:r w:rsidRPr="000A0A5F">
        <w:t xml:space="preserve">      - type: string</w:t>
      </w:r>
    </w:p>
    <w:p w:rsidR="00CB0DD7" w:rsidRPr="000A0A5F" w:rsidRDefault="00CB0DD7">
      <w:pPr>
        <w:pStyle w:val="PL"/>
      </w:pPr>
      <w:r w:rsidRPr="000A0A5F">
        <w:t xml:space="preserve">        enum:</w:t>
      </w:r>
    </w:p>
    <w:p w:rsidR="00CB0DD7" w:rsidRPr="000A0A5F" w:rsidRDefault="00CB0DD7">
      <w:pPr>
        <w:pStyle w:val="PL"/>
      </w:pPr>
      <w:r w:rsidRPr="000A0A5F">
        <w:t xml:space="preserve">          - ACTIVE</w:t>
      </w:r>
    </w:p>
    <w:p w:rsidR="00CB0DD7" w:rsidRPr="000A0A5F" w:rsidRDefault="00CB0DD7">
      <w:pPr>
        <w:pStyle w:val="PL"/>
      </w:pPr>
      <w:r w:rsidRPr="000A0A5F">
        <w:t xml:space="preserve">          - TERMINATED_UE_NOT_AUTHORIZED</w:t>
      </w:r>
    </w:p>
    <w:p w:rsidR="00CB0DD7" w:rsidRPr="000A0A5F" w:rsidRDefault="00CB0DD7">
      <w:pPr>
        <w:pStyle w:val="PL"/>
      </w:pPr>
      <w:r w:rsidRPr="000A0A5F">
        <w:t xml:space="preserve">          - TERMINATED</w:t>
      </w:r>
    </w:p>
    <w:p w:rsidR="00CB0DD7" w:rsidRPr="000A0A5F" w:rsidRDefault="00CB0DD7">
      <w:pPr>
        <w:pStyle w:val="PL"/>
      </w:pPr>
      <w:r w:rsidRPr="000A0A5F">
        <w:t xml:space="preserve">      - type: string</w:t>
      </w:r>
    </w:p>
    <w:p w:rsidR="00CB0DD7" w:rsidRPr="000A0A5F" w:rsidRDefault="00CB0DD7">
      <w:pPr>
        <w:pStyle w:val="PL"/>
      </w:pPr>
      <w:r w:rsidRPr="000A0A5F">
        <w:t xml:space="preserve">        description: &gt;</w:t>
      </w:r>
    </w:p>
    <w:p w:rsidR="00CB0DD7" w:rsidRPr="000A0A5F" w:rsidRDefault="00CB0DD7">
      <w:pPr>
        <w:pStyle w:val="PL"/>
      </w:pPr>
      <w:r w:rsidRPr="000A0A5F">
        <w:t xml:space="preserve">          This string provides forward-compatibility with future</w:t>
      </w:r>
    </w:p>
    <w:p w:rsidR="00CB0DD7" w:rsidRPr="000A0A5F" w:rsidRDefault="00CB0DD7">
      <w:pPr>
        <w:pStyle w:val="PL"/>
      </w:pPr>
      <w:r w:rsidRPr="000A0A5F">
        <w:t xml:space="preserve">          extensions to the enumeration but is not used to encode</w:t>
      </w:r>
    </w:p>
    <w:p w:rsidR="00CB0DD7" w:rsidRPr="000A0A5F" w:rsidRDefault="00CB0DD7">
      <w:pPr>
        <w:pStyle w:val="PL"/>
      </w:pPr>
      <w:r w:rsidRPr="000A0A5F">
        <w:t xml:space="preserve">          content defined in the present version of this API.</w:t>
      </w:r>
    </w:p>
    <w:p w:rsidR="00CB0DD7" w:rsidRPr="000A0A5F" w:rsidRDefault="00CB0DD7">
      <w:pPr>
        <w:pStyle w:val="PL"/>
      </w:pPr>
      <w:r w:rsidRPr="000A0A5F">
        <w:t xml:space="preserve">      Description: &gt;</w:t>
      </w:r>
    </w:p>
    <w:p w:rsidR="00CB0DD7" w:rsidRPr="000A0A5F" w:rsidRDefault="00CB0DD7">
      <w:pPr>
        <w:pStyle w:val="PL"/>
      </w:pPr>
      <w:r w:rsidRPr="000A0A5F">
        <w:t xml:space="preserve">        Possible values are</w:t>
      </w:r>
    </w:p>
    <w:p w:rsidR="00CB0DD7" w:rsidRPr="000A0A5F" w:rsidRDefault="00CB0DD7">
      <w:pPr>
        <w:pStyle w:val="PL"/>
      </w:pPr>
      <w:r w:rsidRPr="000A0A5F">
        <w:t xml:space="preserve">        - ACTIVE: The NIDD configuration is active.</w:t>
      </w:r>
    </w:p>
    <w:p w:rsidR="00CB0DD7" w:rsidRPr="000A0A5F" w:rsidRDefault="00CB0DD7">
      <w:pPr>
        <w:pStyle w:val="PL"/>
      </w:pPr>
      <w:r w:rsidRPr="000A0A5F">
        <w:t xml:space="preserve">        - TERMINATED_UE_NOT_AUTHORIZED: The NIDD configuration was terminated because the UE´s authorisation was revoked.</w:t>
      </w:r>
    </w:p>
    <w:p w:rsidR="00CB0DD7" w:rsidRPr="000A0A5F" w:rsidRDefault="00CB0DD7">
      <w:pPr>
        <w:pStyle w:val="PL"/>
      </w:pPr>
      <w:r w:rsidRPr="000A0A5F">
        <w:t xml:space="preserve">        - TERMINATED: The NIDD configuration was terminated.</w:t>
      </w:r>
    </w:p>
    <w:p w:rsidR="00CB0DD7" w:rsidRPr="000A0A5F" w:rsidRDefault="00CB0DD7">
      <w:pPr>
        <w:pStyle w:val="PL"/>
      </w:pPr>
      <w:r w:rsidRPr="000A0A5F">
        <w:t xml:space="preserve">      readOnly: true</w:t>
      </w:r>
    </w:p>
    <w:p w:rsidR="00CB0DD7" w:rsidRPr="000A0A5F" w:rsidRDefault="00CB0DD7">
      <w:pPr>
        <w:pStyle w:val="Heading4"/>
        <w:rPr>
          <w:lang w:eastAsia="zh-CN"/>
        </w:rPr>
      </w:pPr>
      <w:bookmarkStart w:id="1700" w:name="_Toc11247303"/>
      <w:bookmarkStart w:id="1701" w:name="_Toc27044423"/>
      <w:bookmarkStart w:id="1702" w:name="_Toc36033465"/>
      <w:bookmarkStart w:id="1703" w:name="_Toc45131597"/>
      <w:bookmarkStart w:id="1704" w:name="_Toc49775882"/>
      <w:bookmarkStart w:id="1705" w:name="_Toc51746802"/>
      <w:bookmarkStart w:id="1706" w:name="_Toc66360345"/>
      <w:bookmarkStart w:id="1707" w:name="_Toc68104850"/>
      <w:bookmarkStart w:id="1708" w:name="_Toc74755479"/>
      <w:bookmarkStart w:id="1709" w:name="_Toc105674337"/>
      <w:bookmarkStart w:id="1710" w:name="_Toc130502374"/>
      <w:bookmarkStart w:id="1711" w:name="_Toc153625153"/>
      <w:r w:rsidRPr="000A0A5F">
        <w:rPr>
          <w:lang w:eastAsia="zh-CN"/>
        </w:rPr>
        <w:t>5.2.9.12</w:t>
      </w:r>
      <w:r w:rsidRPr="000A0A5F">
        <w:rPr>
          <w:lang w:eastAsia="zh-CN"/>
        </w:rPr>
        <w:tab/>
        <w:t>externalDocs</w:t>
      </w:r>
      <w:bookmarkEnd w:id="1700"/>
      <w:bookmarkEnd w:id="1701"/>
      <w:bookmarkEnd w:id="1702"/>
      <w:bookmarkEnd w:id="1703"/>
      <w:bookmarkEnd w:id="1704"/>
      <w:bookmarkEnd w:id="1705"/>
      <w:bookmarkEnd w:id="1706"/>
      <w:bookmarkEnd w:id="1707"/>
      <w:bookmarkEnd w:id="1708"/>
      <w:bookmarkEnd w:id="1709"/>
      <w:bookmarkEnd w:id="1710"/>
      <w:bookmarkEnd w:id="1711"/>
    </w:p>
    <w:p w:rsidR="00CB0DD7" w:rsidRPr="000A0A5F" w:rsidRDefault="00CB0DD7">
      <w:pPr>
        <w:rPr>
          <w:rFonts w:eastAsia="Calibri"/>
        </w:rPr>
      </w:pPr>
      <w:r w:rsidRPr="000A0A5F">
        <w:rPr>
          <w:rFonts w:eastAsia="Calibri"/>
        </w:rPr>
        <w:t>Each OpenAPI specification shall provide in an "externalDoc" field the reference to the 3GPP TS describing the API, as illustrated below.</w:t>
      </w:r>
    </w:p>
    <w:p w:rsidR="00CB0DD7" w:rsidRPr="000A0A5F" w:rsidRDefault="00CB0DD7">
      <w:pPr>
        <w:rPr>
          <w:lang w:eastAsia="zh-CN"/>
        </w:rPr>
      </w:pPr>
      <w:r w:rsidRPr="000A0A5F">
        <w:rPr>
          <w:lang w:eastAsia="zh-CN"/>
        </w:rPr>
        <w:t xml:space="preserve">Example: </w:t>
      </w:r>
    </w:p>
    <w:p w:rsidR="00CB0DD7" w:rsidRPr="000A0A5F" w:rsidRDefault="00CB0DD7">
      <w:pPr>
        <w:pStyle w:val="PL"/>
      </w:pPr>
      <w:r w:rsidRPr="000A0A5F">
        <w:t>externalDocs</w:t>
      </w:r>
    </w:p>
    <w:p w:rsidR="00CB0DD7" w:rsidRPr="000A0A5F" w:rsidRDefault="00CB0DD7">
      <w:pPr>
        <w:pStyle w:val="PL"/>
      </w:pPr>
      <w:r w:rsidRPr="000A0A5F">
        <w:t xml:space="preserve">  description: 3GPP TS 29.122 V15.1.0 T8 reference point for Northbound APIs</w:t>
      </w:r>
    </w:p>
    <w:p w:rsidR="00CB0DD7" w:rsidRPr="000A0A5F" w:rsidRDefault="00CB0DD7">
      <w:pPr>
        <w:pStyle w:val="PL"/>
      </w:pPr>
      <w:r w:rsidRPr="000A0A5F">
        <w:t xml:space="preserve">  url: http://www.3gpp.org/ftp/Specs/archive/29_series/29.122/</w:t>
      </w:r>
    </w:p>
    <w:p w:rsidR="00CB0DD7" w:rsidRPr="000A0A5F" w:rsidRDefault="00CB0DD7">
      <w:pPr>
        <w:pStyle w:val="PL"/>
        <w:rPr>
          <w:rFonts w:hint="eastAsia"/>
        </w:rPr>
      </w:pPr>
    </w:p>
    <w:p w:rsidR="00CB0DD7" w:rsidRPr="000A0A5F" w:rsidRDefault="00CB0DD7">
      <w:pPr>
        <w:pStyle w:val="Heading4"/>
        <w:rPr>
          <w:lang w:eastAsia="zh-CN"/>
        </w:rPr>
      </w:pPr>
      <w:bookmarkStart w:id="1712" w:name="_Toc11247304"/>
      <w:bookmarkStart w:id="1713" w:name="_Toc27044424"/>
      <w:bookmarkStart w:id="1714" w:name="_Toc36033466"/>
      <w:bookmarkStart w:id="1715" w:name="_Toc45131598"/>
      <w:bookmarkStart w:id="1716" w:name="_Toc49775883"/>
      <w:bookmarkStart w:id="1717" w:name="_Toc51746803"/>
      <w:bookmarkStart w:id="1718" w:name="_Toc58835972"/>
      <w:bookmarkStart w:id="1719" w:name="_Toc66360346"/>
      <w:bookmarkStart w:id="1720" w:name="_Toc68104851"/>
      <w:bookmarkStart w:id="1721" w:name="_Toc74755480"/>
      <w:bookmarkStart w:id="1722" w:name="_Toc105674338"/>
      <w:bookmarkStart w:id="1723" w:name="_Toc130502375"/>
      <w:bookmarkStart w:id="1724" w:name="_Toc153625154"/>
      <w:r w:rsidRPr="000A0A5F">
        <w:rPr>
          <w:lang w:eastAsia="zh-CN"/>
        </w:rPr>
        <w:t>5.2.9.13</w:t>
      </w:r>
      <w:r w:rsidRPr="000A0A5F">
        <w:rPr>
          <w:lang w:eastAsia="zh-CN"/>
        </w:rPr>
        <w:tab/>
        <w:t>Operation identifiers</w:t>
      </w:r>
      <w:bookmarkEnd w:id="1721"/>
      <w:bookmarkEnd w:id="1722"/>
      <w:bookmarkEnd w:id="1723"/>
      <w:bookmarkEnd w:id="1724"/>
    </w:p>
    <w:p w:rsidR="00CB0DD7" w:rsidRPr="000A0A5F" w:rsidRDefault="00CB0DD7">
      <w:pPr>
        <w:rPr>
          <w:noProof/>
        </w:rPr>
      </w:pPr>
      <w:r w:rsidRPr="000A0A5F">
        <w:rPr>
          <w:noProof/>
        </w:rPr>
        <w:t>Service operations defined in an OpenAPI specification file should be assigned an Operation ID.</w:t>
      </w:r>
    </w:p>
    <w:p w:rsidR="00CB0DD7" w:rsidRPr="000A0A5F" w:rsidRDefault="00CB0DD7">
      <w:pPr>
        <w:pStyle w:val="EX"/>
        <w:rPr>
          <w:noProof/>
        </w:rPr>
      </w:pPr>
      <w:r w:rsidRPr="000A0A5F">
        <w:rPr>
          <w:noProof/>
        </w:rPr>
        <w:t>EXAMPLE:</w:t>
      </w:r>
    </w:p>
    <w:p w:rsidR="00CB0DD7" w:rsidRPr="000A0A5F" w:rsidRDefault="00CB0DD7">
      <w:pPr>
        <w:pStyle w:val="PL"/>
        <w:ind w:left="568"/>
      </w:pPr>
      <w:r w:rsidRPr="000A0A5F">
        <w:t xml:space="preserve">    get:</w:t>
      </w:r>
    </w:p>
    <w:p w:rsidR="00CB0DD7" w:rsidRPr="000A0A5F" w:rsidRDefault="00CB0DD7">
      <w:pPr>
        <w:pStyle w:val="PL"/>
        <w:ind w:left="568"/>
      </w:pPr>
      <w:r w:rsidRPr="000A0A5F">
        <w:t xml:space="preserve">      operationId: ReadInfo</w:t>
      </w:r>
    </w:p>
    <w:p w:rsidR="00CB0DD7" w:rsidRPr="000A0A5F" w:rsidRDefault="00CB0DD7">
      <w:pPr>
        <w:pStyle w:val="PL"/>
        <w:ind w:left="568"/>
      </w:pPr>
      <w:r w:rsidRPr="000A0A5F">
        <w:t xml:space="preserve">      summary: Read Information.</w:t>
      </w:r>
    </w:p>
    <w:p w:rsidR="00CB0DD7" w:rsidRPr="000A0A5F" w:rsidRDefault="00CB0DD7">
      <w:pPr>
        <w:pStyle w:val="PL"/>
        <w:ind w:left="568"/>
      </w:pPr>
      <w:r w:rsidRPr="000A0A5F">
        <w:t xml:space="preserve">      tags:</w:t>
      </w:r>
    </w:p>
    <w:p w:rsidR="00CB0DD7" w:rsidRPr="000A0A5F" w:rsidRDefault="00CB0DD7">
      <w:pPr>
        <w:pStyle w:val="PL"/>
        <w:ind w:left="568"/>
      </w:pPr>
      <w:r w:rsidRPr="000A0A5F">
        <w:t xml:space="preserve">        - Information (Document)</w:t>
      </w:r>
    </w:p>
    <w:p w:rsidR="00CB0DD7" w:rsidRPr="000A0A5F" w:rsidRDefault="00CB0DD7">
      <w:pPr>
        <w:pStyle w:val="PL"/>
        <w:ind w:left="568"/>
      </w:pPr>
      <w:r w:rsidRPr="000A0A5F">
        <w:t xml:space="preserve">      parameters:</w:t>
      </w:r>
    </w:p>
    <w:p w:rsidR="00CB0DD7" w:rsidRPr="000A0A5F" w:rsidRDefault="00CB0DD7">
      <w:pPr>
        <w:pStyle w:val="PL"/>
        <w:ind w:left="568"/>
      </w:pPr>
      <w:r w:rsidRPr="000A0A5F">
        <w:t xml:space="preserve">        - name: infoType</w:t>
      </w:r>
    </w:p>
    <w:p w:rsidR="00CB0DD7" w:rsidRPr="000A0A5F" w:rsidRDefault="00CB0DD7">
      <w:pPr>
        <w:pStyle w:val="PL"/>
        <w:ind w:left="568"/>
      </w:pPr>
      <w:r w:rsidRPr="000A0A5F">
        <w:t xml:space="preserve">          in: path</w:t>
      </w:r>
    </w:p>
    <w:p w:rsidR="00CB0DD7" w:rsidRPr="000A0A5F" w:rsidRDefault="00CB0DD7">
      <w:pPr>
        <w:pStyle w:val="PL"/>
        <w:ind w:left="568"/>
      </w:pPr>
      <w:r w:rsidRPr="000A0A5F">
        <w:t xml:space="preserve">          description: Requested information Type</w:t>
      </w:r>
    </w:p>
    <w:p w:rsidR="00CB0DD7" w:rsidRPr="000A0A5F" w:rsidRDefault="00CB0DD7">
      <w:pPr>
        <w:pStyle w:val="PL"/>
        <w:ind w:left="568"/>
      </w:pPr>
      <w:r w:rsidRPr="000A0A5F">
        <w:t xml:space="preserve">          required: true</w:t>
      </w:r>
    </w:p>
    <w:p w:rsidR="00CB0DD7" w:rsidRPr="000A0A5F" w:rsidRDefault="00CB0DD7">
      <w:pPr>
        <w:pStyle w:val="PL"/>
        <w:ind w:left="568"/>
      </w:pPr>
      <w:r w:rsidRPr="000A0A5F">
        <w:t xml:space="preserve">          schema:</w:t>
      </w:r>
    </w:p>
    <w:p w:rsidR="00CB0DD7" w:rsidRPr="000A0A5F" w:rsidRDefault="00CB0DD7">
      <w:pPr>
        <w:pStyle w:val="PL"/>
        <w:ind w:left="568"/>
      </w:pPr>
      <w:r w:rsidRPr="000A0A5F">
        <w:t xml:space="preserve">            type: string</w:t>
      </w:r>
    </w:p>
    <w:p w:rsidR="00CB0DD7" w:rsidRPr="000A0A5F" w:rsidRDefault="00CB0DD7">
      <w:pPr>
        <w:pStyle w:val="PL"/>
        <w:ind w:left="568"/>
      </w:pPr>
      <w:r w:rsidRPr="000A0A5F">
        <w:t>(…)</w:t>
      </w:r>
    </w:p>
    <w:p w:rsidR="008A0ABB" w:rsidRPr="000A0A5F" w:rsidRDefault="008A0ABB" w:rsidP="008A0ABB">
      <w:pPr>
        <w:pStyle w:val="PL"/>
      </w:pPr>
    </w:p>
    <w:p w:rsidR="008A0ABB" w:rsidRPr="000A0A5F" w:rsidRDefault="008A0ABB" w:rsidP="008A0ABB">
      <w:pPr>
        <w:pStyle w:val="Heading4"/>
        <w:rPr>
          <w:lang w:eastAsia="zh-CN"/>
        </w:rPr>
      </w:pPr>
      <w:bookmarkStart w:id="1725" w:name="_Toc130502376"/>
      <w:bookmarkStart w:id="1726" w:name="_Toc153625155"/>
      <w:r w:rsidRPr="000A0A5F">
        <w:rPr>
          <w:lang w:eastAsia="zh-CN"/>
        </w:rPr>
        <w:t>5.2.9.14</w:t>
      </w:r>
      <w:r w:rsidRPr="000A0A5F">
        <w:rPr>
          <w:lang w:eastAsia="zh-CN"/>
        </w:rPr>
        <w:tab/>
        <w:t>Usage of the "tags" field</w:t>
      </w:r>
      <w:bookmarkEnd w:id="1725"/>
      <w:bookmarkEnd w:id="1726"/>
    </w:p>
    <w:p w:rsidR="008A0ABB" w:rsidRPr="000A0A5F" w:rsidRDefault="008A0ABB" w:rsidP="008A0ABB">
      <w:r w:rsidRPr="000A0A5F">
        <w:t>In an OpenAPI specification, all HTTP operations belonging to the same resource should include a "tags" field containing a same value, briefly describing that resource (e.g. using the name of the resource and its archetype). This results in all operations being grouped by the User Interface of OpenAPI tools, which helps with readability of the API documentation.</w:t>
      </w:r>
    </w:p>
    <w:p w:rsidR="008A0ABB" w:rsidRPr="000A0A5F" w:rsidRDefault="008A0ABB" w:rsidP="008A0ABB">
      <w:pPr>
        <w:pStyle w:val="EX"/>
      </w:pPr>
      <w:r w:rsidRPr="000A0A5F">
        <w:t>EXAMPLE:</w:t>
      </w:r>
    </w:p>
    <w:p w:rsidR="008A0ABB" w:rsidRPr="000A0A5F" w:rsidRDefault="008A0ABB" w:rsidP="008A0ABB">
      <w:pPr>
        <w:pStyle w:val="PL"/>
      </w:pPr>
      <w:r w:rsidRPr="000A0A5F">
        <w:t>openapi: 3.0.0</w:t>
      </w:r>
    </w:p>
    <w:p w:rsidR="008A0ABB" w:rsidRPr="000A0A5F" w:rsidRDefault="008A0ABB" w:rsidP="008A0ABB">
      <w:pPr>
        <w:pStyle w:val="PL"/>
      </w:pPr>
      <w:r w:rsidRPr="000A0A5F">
        <w:t>(...)</w:t>
      </w:r>
    </w:p>
    <w:p w:rsidR="008A0ABB" w:rsidRPr="000A0A5F" w:rsidRDefault="008A0ABB" w:rsidP="008A0ABB">
      <w:pPr>
        <w:pStyle w:val="PL"/>
      </w:pPr>
      <w:r w:rsidRPr="000A0A5F">
        <w:t>paths:</w:t>
      </w:r>
    </w:p>
    <w:p w:rsidR="008A0ABB" w:rsidRPr="000A0A5F" w:rsidRDefault="008A0ABB" w:rsidP="008A0ABB">
      <w:pPr>
        <w:pStyle w:val="PL"/>
      </w:pPr>
      <w:r w:rsidRPr="000A0A5F">
        <w:t xml:space="preserve">  </w:t>
      </w:r>
      <w:r w:rsidRPr="000A0A5F">
        <w:rPr>
          <w:b/>
        </w:rPr>
        <w:t>/subscriptions/{subscriptionId}</w:t>
      </w:r>
      <w:r w:rsidRPr="000A0A5F">
        <w:t>:</w:t>
      </w:r>
    </w:p>
    <w:p w:rsidR="008A0ABB" w:rsidRPr="000A0A5F" w:rsidRDefault="008A0ABB" w:rsidP="008A0ABB">
      <w:pPr>
        <w:pStyle w:val="PL"/>
      </w:pPr>
      <w:r w:rsidRPr="000A0A5F">
        <w:t xml:space="preserve">    </w:t>
      </w:r>
      <w:r w:rsidRPr="000A0A5F">
        <w:rPr>
          <w:b/>
        </w:rPr>
        <w:t>get</w:t>
      </w:r>
      <w:r w:rsidRPr="000A0A5F">
        <w:t>:</w:t>
      </w:r>
    </w:p>
    <w:p w:rsidR="008A0ABB" w:rsidRPr="000A0A5F" w:rsidRDefault="008A0ABB" w:rsidP="008A0ABB">
      <w:pPr>
        <w:pStyle w:val="PL"/>
      </w:pPr>
      <w:r w:rsidRPr="000A0A5F">
        <w:t xml:space="preserve">      summary: Retrieve an existing Individual subscription resource.</w:t>
      </w:r>
    </w:p>
    <w:p w:rsidR="008A0ABB" w:rsidRPr="000A0A5F" w:rsidRDefault="008A0ABB" w:rsidP="008A0ABB">
      <w:pPr>
        <w:pStyle w:val="PL"/>
      </w:pPr>
      <w:r w:rsidRPr="000A0A5F">
        <w:t xml:space="preserve">      operationId: GetIndSubsc</w:t>
      </w:r>
    </w:p>
    <w:p w:rsidR="008A0ABB" w:rsidRPr="000A0A5F" w:rsidRDefault="008A0ABB" w:rsidP="008A0ABB">
      <w:pPr>
        <w:pStyle w:val="PL"/>
      </w:pPr>
      <w:r w:rsidRPr="000A0A5F">
        <w:t xml:space="preserve">      tags:</w:t>
      </w:r>
    </w:p>
    <w:p w:rsidR="008A0ABB" w:rsidRPr="000A0A5F" w:rsidRDefault="008A0ABB" w:rsidP="008A0ABB">
      <w:pPr>
        <w:pStyle w:val="PL"/>
      </w:pPr>
      <w:r w:rsidRPr="000A0A5F">
        <w:t xml:space="preserve">        - </w:t>
      </w:r>
      <w:r w:rsidRPr="000A0A5F">
        <w:rPr>
          <w:b/>
        </w:rPr>
        <w:t>Individual Subscription (Document)</w:t>
      </w:r>
    </w:p>
    <w:p w:rsidR="008A0ABB" w:rsidRPr="000A0A5F" w:rsidRDefault="008A0ABB" w:rsidP="008A0ABB">
      <w:pPr>
        <w:pStyle w:val="PL"/>
      </w:pPr>
    </w:p>
    <w:p w:rsidR="008A0ABB" w:rsidRPr="000A0A5F" w:rsidRDefault="008A0ABB" w:rsidP="008A0ABB">
      <w:pPr>
        <w:pStyle w:val="PL"/>
      </w:pPr>
      <w:r w:rsidRPr="000A0A5F">
        <w:t xml:space="preserve">    (...)</w:t>
      </w:r>
    </w:p>
    <w:p w:rsidR="008A0ABB" w:rsidRPr="000A0A5F" w:rsidRDefault="008A0ABB" w:rsidP="008A0ABB">
      <w:pPr>
        <w:pStyle w:val="PL"/>
      </w:pPr>
    </w:p>
    <w:p w:rsidR="008A0ABB" w:rsidRPr="000A0A5F" w:rsidRDefault="008A0ABB" w:rsidP="008A0ABB">
      <w:pPr>
        <w:pStyle w:val="PL"/>
      </w:pPr>
      <w:r w:rsidRPr="000A0A5F">
        <w:t xml:space="preserve">    </w:t>
      </w:r>
      <w:r w:rsidRPr="000A0A5F">
        <w:rPr>
          <w:b/>
        </w:rPr>
        <w:t>put</w:t>
      </w:r>
      <w:r w:rsidRPr="000A0A5F">
        <w:t>:</w:t>
      </w:r>
    </w:p>
    <w:p w:rsidR="008A0ABB" w:rsidRPr="000A0A5F" w:rsidRDefault="008A0ABB" w:rsidP="008A0ABB">
      <w:pPr>
        <w:pStyle w:val="PL"/>
      </w:pPr>
      <w:r w:rsidRPr="000A0A5F">
        <w:t xml:space="preserve">      summary: Request the update of an existing Individual Subscription resource.</w:t>
      </w:r>
    </w:p>
    <w:p w:rsidR="008A0ABB" w:rsidRPr="000A0A5F" w:rsidRDefault="008A0ABB" w:rsidP="008A0ABB">
      <w:pPr>
        <w:pStyle w:val="PL"/>
      </w:pPr>
      <w:r w:rsidRPr="000A0A5F">
        <w:t xml:space="preserve">      operationId: UpdateIndSubsc</w:t>
      </w:r>
    </w:p>
    <w:p w:rsidR="008A0ABB" w:rsidRPr="000A0A5F" w:rsidRDefault="008A0ABB" w:rsidP="008A0ABB">
      <w:pPr>
        <w:pStyle w:val="PL"/>
      </w:pPr>
      <w:r w:rsidRPr="000A0A5F">
        <w:t xml:space="preserve">      tags:</w:t>
      </w:r>
    </w:p>
    <w:p w:rsidR="008A0ABB" w:rsidRPr="000A0A5F" w:rsidRDefault="008A0ABB" w:rsidP="008A0ABB">
      <w:pPr>
        <w:pStyle w:val="PL"/>
      </w:pPr>
      <w:r w:rsidRPr="000A0A5F">
        <w:t xml:space="preserve">        - </w:t>
      </w:r>
      <w:r w:rsidRPr="000A0A5F">
        <w:rPr>
          <w:b/>
        </w:rPr>
        <w:t>Individual Subscription (Document)</w:t>
      </w:r>
    </w:p>
    <w:p w:rsidR="008A0ABB" w:rsidRPr="000A0A5F" w:rsidRDefault="008A0ABB" w:rsidP="008A0ABB">
      <w:pPr>
        <w:pStyle w:val="PL"/>
      </w:pPr>
    </w:p>
    <w:p w:rsidR="008A0ABB" w:rsidRPr="000A0A5F" w:rsidRDefault="008A0ABB" w:rsidP="008A0ABB">
      <w:pPr>
        <w:pStyle w:val="PL"/>
      </w:pPr>
      <w:r w:rsidRPr="000A0A5F">
        <w:t xml:space="preserve">    (...)</w:t>
      </w:r>
    </w:p>
    <w:p w:rsidR="008A0ABB" w:rsidRPr="000A0A5F" w:rsidRDefault="008A0ABB" w:rsidP="008A0ABB">
      <w:pPr>
        <w:pStyle w:val="PL"/>
      </w:pPr>
    </w:p>
    <w:p w:rsidR="008A0ABB" w:rsidRPr="000A0A5F" w:rsidRDefault="008A0ABB" w:rsidP="008A0ABB">
      <w:pPr>
        <w:pStyle w:val="PL"/>
      </w:pPr>
      <w:r w:rsidRPr="000A0A5F">
        <w:t xml:space="preserve">    </w:t>
      </w:r>
      <w:r w:rsidRPr="000A0A5F">
        <w:rPr>
          <w:b/>
        </w:rPr>
        <w:t>patch</w:t>
      </w:r>
      <w:r w:rsidRPr="000A0A5F">
        <w:t>:</w:t>
      </w:r>
    </w:p>
    <w:p w:rsidR="008A0ABB" w:rsidRPr="000A0A5F" w:rsidRDefault="008A0ABB" w:rsidP="008A0ABB">
      <w:pPr>
        <w:pStyle w:val="PL"/>
      </w:pPr>
      <w:r w:rsidRPr="000A0A5F">
        <w:t xml:space="preserve">      summary: Request the modification of an existing Individual Subscription resource.</w:t>
      </w:r>
    </w:p>
    <w:p w:rsidR="008A0ABB" w:rsidRPr="000A0A5F" w:rsidRDefault="008A0ABB" w:rsidP="008A0ABB">
      <w:pPr>
        <w:pStyle w:val="PL"/>
      </w:pPr>
      <w:r w:rsidRPr="000A0A5F">
        <w:t xml:space="preserve">      operationId: ModifyIndSubsc</w:t>
      </w:r>
    </w:p>
    <w:p w:rsidR="008A0ABB" w:rsidRPr="000A0A5F" w:rsidRDefault="008A0ABB" w:rsidP="008A0ABB">
      <w:pPr>
        <w:pStyle w:val="PL"/>
      </w:pPr>
      <w:r w:rsidRPr="000A0A5F">
        <w:t xml:space="preserve">      tags:</w:t>
      </w:r>
    </w:p>
    <w:p w:rsidR="008A0ABB" w:rsidRPr="000A0A5F" w:rsidRDefault="008A0ABB" w:rsidP="008A0ABB">
      <w:pPr>
        <w:pStyle w:val="PL"/>
      </w:pPr>
      <w:r w:rsidRPr="000A0A5F">
        <w:t xml:space="preserve">        - </w:t>
      </w:r>
      <w:r w:rsidRPr="000A0A5F">
        <w:rPr>
          <w:b/>
        </w:rPr>
        <w:t>Individual Subscription (Document)</w:t>
      </w:r>
    </w:p>
    <w:p w:rsidR="008A0ABB" w:rsidRPr="000A0A5F" w:rsidRDefault="008A0ABB" w:rsidP="008A0ABB">
      <w:pPr>
        <w:pStyle w:val="PL"/>
      </w:pPr>
    </w:p>
    <w:p w:rsidR="008A0ABB" w:rsidRPr="000A0A5F" w:rsidRDefault="008A0ABB" w:rsidP="008A0ABB">
      <w:pPr>
        <w:pStyle w:val="PL"/>
      </w:pPr>
      <w:r w:rsidRPr="000A0A5F">
        <w:t xml:space="preserve">    (...)</w:t>
      </w:r>
    </w:p>
    <w:p w:rsidR="008A0ABB" w:rsidRPr="000A0A5F" w:rsidRDefault="008A0ABB" w:rsidP="008A0ABB">
      <w:pPr>
        <w:pStyle w:val="PL"/>
      </w:pPr>
    </w:p>
    <w:p w:rsidR="00CB0DD7" w:rsidRPr="000A0A5F" w:rsidRDefault="00CB0DD7">
      <w:pPr>
        <w:pStyle w:val="Heading3"/>
        <w:spacing w:before="180"/>
        <w:rPr>
          <w:lang w:eastAsia="zh-CN"/>
        </w:rPr>
      </w:pPr>
      <w:bookmarkStart w:id="1727" w:name="_Toc74755481"/>
      <w:bookmarkStart w:id="1728" w:name="_Toc105674339"/>
      <w:bookmarkStart w:id="1729" w:name="_Toc130502377"/>
      <w:bookmarkStart w:id="1730" w:name="_Toc153625156"/>
      <w:r w:rsidRPr="000A0A5F">
        <w:rPr>
          <w:rFonts w:hint="eastAsia"/>
        </w:rPr>
        <w:t>5.</w:t>
      </w:r>
      <w:r w:rsidRPr="000A0A5F">
        <w:t>2</w:t>
      </w:r>
      <w:r w:rsidRPr="000A0A5F">
        <w:rPr>
          <w:rFonts w:hint="eastAsia"/>
        </w:rPr>
        <w:t>.</w:t>
      </w:r>
      <w:r w:rsidRPr="000A0A5F">
        <w:t>10</w:t>
      </w:r>
      <w:r w:rsidRPr="000A0A5F">
        <w:rPr>
          <w:rFonts w:hint="eastAsia"/>
          <w:lang w:eastAsia="zh-CN"/>
        </w:rPr>
        <w:tab/>
      </w:r>
      <w:bookmarkEnd w:id="1718"/>
      <w:r w:rsidRPr="000A0A5F">
        <w:rPr>
          <w:lang w:eastAsia="zh-CN"/>
        </w:rPr>
        <w:t>Redirection handling</w:t>
      </w:r>
      <w:bookmarkEnd w:id="1719"/>
      <w:bookmarkEnd w:id="1720"/>
      <w:bookmarkEnd w:id="1727"/>
      <w:bookmarkEnd w:id="1728"/>
      <w:bookmarkEnd w:id="1729"/>
      <w:bookmarkEnd w:id="1730"/>
    </w:p>
    <w:p w:rsidR="00CB0DD7" w:rsidRPr="000A0A5F" w:rsidRDefault="00CB0DD7">
      <w:pPr>
        <w:rPr>
          <w:lang w:eastAsia="zh-CN"/>
        </w:rPr>
      </w:pPr>
      <w:r w:rsidRPr="000A0A5F">
        <w:rPr>
          <w:lang w:eastAsia="zh-CN"/>
        </w:rPr>
        <w:t xml:space="preserve">An HTTP request may be redirected to a different target </w:t>
      </w:r>
      <w:r w:rsidRPr="000A0A5F">
        <w:rPr>
          <w:rFonts w:hint="eastAsia"/>
          <w:lang w:eastAsia="zh-CN"/>
        </w:rPr>
        <w:t>entity</w:t>
      </w:r>
      <w:r w:rsidRPr="000A0A5F">
        <w:rPr>
          <w:lang w:eastAsia="zh-CN"/>
        </w:rPr>
        <w:t>.</w:t>
      </w:r>
    </w:p>
    <w:p w:rsidR="00CB0DD7" w:rsidRPr="000A0A5F" w:rsidRDefault="00CB0DD7">
      <w:pPr>
        <w:rPr>
          <w:lang w:eastAsia="zh-CN"/>
        </w:rPr>
      </w:pPr>
      <w:r w:rsidRPr="000A0A5F">
        <w:rPr>
          <w:lang w:eastAsia="zh-CN"/>
        </w:rPr>
        <w:t xml:space="preserve">Upon receipt of an HTTP request from the SCS/AS, when the SCEF redirects the HTTP request to a different target SCEF, the URI of the target SCEF towards which the request is redirected shall be given by the Location header field of the </w:t>
      </w:r>
      <w:r w:rsidRPr="000A0A5F">
        <w:t>"</w:t>
      </w:r>
      <w:r w:rsidRPr="000A0A5F">
        <w:rPr>
          <w:lang w:eastAsia="zh-CN"/>
        </w:rPr>
        <w:t xml:space="preserve">307 </w:t>
      </w:r>
      <w:r w:rsidRPr="000A0A5F">
        <w:t>Temporary Redirect" or "308 Permanent Redirect" response</w:t>
      </w:r>
      <w:r w:rsidRPr="000A0A5F">
        <w:rPr>
          <w:lang w:eastAsia="zh-CN"/>
        </w:rPr>
        <w:t>. The SCS/AS should then send the HTTP request towards the new target SCEF.</w:t>
      </w:r>
    </w:p>
    <w:p w:rsidR="00CB0DD7" w:rsidRPr="000A0A5F" w:rsidRDefault="00CB0DD7">
      <w:pPr>
        <w:rPr>
          <w:lang w:eastAsia="zh-CN"/>
        </w:rPr>
      </w:pPr>
      <w:r w:rsidRPr="000A0A5F">
        <w:rPr>
          <w:lang w:eastAsia="zh-CN"/>
        </w:rPr>
        <w:t xml:space="preserve">Upon receipt of a notification/callback request from the SCEF, when the SCS/AS redirects the notification/callback request to a different target SCS/AS, the URI of the target SCS/AS towards which the notification/callback request is redirected shall be given by the Location header field of the </w:t>
      </w:r>
      <w:r w:rsidRPr="000A0A5F">
        <w:t>"</w:t>
      </w:r>
      <w:r w:rsidRPr="000A0A5F">
        <w:rPr>
          <w:lang w:eastAsia="zh-CN"/>
        </w:rPr>
        <w:t xml:space="preserve">307 </w:t>
      </w:r>
      <w:r w:rsidRPr="000A0A5F">
        <w:t>Temporary Redirect" or "308 Permanent Redirect" response</w:t>
      </w:r>
      <w:r w:rsidRPr="000A0A5F">
        <w:rPr>
          <w:lang w:eastAsia="zh-CN"/>
        </w:rPr>
        <w:t>. The SCEF should then send the HTTP request towards the new target SCS/AS.</w:t>
      </w:r>
    </w:p>
    <w:p w:rsidR="00C03825" w:rsidRPr="000A0A5F" w:rsidRDefault="00C03825" w:rsidP="00C03825">
      <w:pPr>
        <w:pStyle w:val="Heading3"/>
        <w:spacing w:before="180"/>
        <w:rPr>
          <w:lang w:eastAsia="zh-CN"/>
        </w:rPr>
      </w:pPr>
      <w:bookmarkStart w:id="1731" w:name="_Toc66360347"/>
      <w:bookmarkStart w:id="1732" w:name="_Toc68104852"/>
      <w:bookmarkStart w:id="1733" w:name="_Toc74755482"/>
      <w:bookmarkStart w:id="1734" w:name="_Toc105674340"/>
      <w:bookmarkStart w:id="1735" w:name="_Toc130502378"/>
      <w:bookmarkStart w:id="1736" w:name="_Toc153625157"/>
      <w:r w:rsidRPr="000A0A5F">
        <w:rPr>
          <w:rFonts w:hint="eastAsia"/>
        </w:rPr>
        <w:t>5.</w:t>
      </w:r>
      <w:r w:rsidRPr="000A0A5F">
        <w:t>2</w:t>
      </w:r>
      <w:r w:rsidRPr="000A0A5F">
        <w:rPr>
          <w:rFonts w:hint="eastAsia"/>
        </w:rPr>
        <w:t>.</w:t>
      </w:r>
      <w:r w:rsidRPr="000A0A5F">
        <w:t>11</w:t>
      </w:r>
      <w:r w:rsidRPr="000A0A5F">
        <w:rPr>
          <w:rFonts w:hint="eastAsia"/>
          <w:lang w:eastAsia="zh-CN"/>
        </w:rPr>
        <w:tab/>
      </w:r>
      <w:r w:rsidRPr="000A0A5F">
        <w:rPr>
          <w:lang w:eastAsia="zh-CN"/>
        </w:rPr>
        <w:t>Support of Load and Overload Control</w:t>
      </w:r>
      <w:bookmarkEnd w:id="1734"/>
      <w:bookmarkEnd w:id="1735"/>
      <w:bookmarkEnd w:id="1736"/>
    </w:p>
    <w:p w:rsidR="00C03825" w:rsidRPr="000A0A5F" w:rsidRDefault="00C03825" w:rsidP="00C03825">
      <w:pPr>
        <w:rPr>
          <w:lang w:eastAsia="zh-CN"/>
        </w:rPr>
      </w:pPr>
      <w:r w:rsidRPr="000A0A5F">
        <w:rPr>
          <w:lang w:eastAsia="zh-CN"/>
        </w:rPr>
        <w:t>The Load Control mechanisms defined in clause 6.3 of 3GPP TS 29.500 [44] may be supported by T8 APIs with the following differences:</w:t>
      </w:r>
    </w:p>
    <w:p w:rsidR="00C03825" w:rsidRPr="000A0A5F" w:rsidRDefault="00C03825" w:rsidP="00C03825">
      <w:pPr>
        <w:pStyle w:val="B10"/>
        <w:rPr>
          <w:noProof/>
        </w:rPr>
      </w:pPr>
      <w:r w:rsidRPr="000A0A5F">
        <w:rPr>
          <w:noProof/>
        </w:rPr>
        <w:t>-</w:t>
      </w:r>
      <w:r w:rsidRPr="000A0A5F">
        <w:rPr>
          <w:noProof/>
        </w:rPr>
        <w:tab/>
        <w:t xml:space="preserve">The "Load Control based on load signalled via the NRF" mechanism defined in </w:t>
      </w:r>
      <w:r w:rsidRPr="000A0A5F">
        <w:rPr>
          <w:lang w:eastAsia="zh-CN"/>
        </w:rPr>
        <w:t xml:space="preserve">clause 6.3.2 of 3GPP TS 29.500 [44] </w:t>
      </w:r>
      <w:r w:rsidRPr="000A0A5F">
        <w:rPr>
          <w:noProof/>
        </w:rPr>
        <w:t>shall not be supported; and</w:t>
      </w:r>
    </w:p>
    <w:p w:rsidR="00C03825" w:rsidRPr="000A0A5F" w:rsidRDefault="00C03825" w:rsidP="00C03825">
      <w:pPr>
        <w:pStyle w:val="B10"/>
        <w:rPr>
          <w:lang w:eastAsia="zh-CN"/>
        </w:rPr>
      </w:pPr>
      <w:r w:rsidRPr="000A0A5F">
        <w:rPr>
          <w:noProof/>
        </w:rPr>
        <w:t>-</w:t>
      </w:r>
      <w:r w:rsidRPr="000A0A5F">
        <w:rPr>
          <w:noProof/>
        </w:rPr>
        <w:tab/>
        <w:t xml:space="preserve">The "Load Control based on LCI Header" mechanism defined in </w:t>
      </w:r>
      <w:r w:rsidRPr="000A0A5F">
        <w:rPr>
          <w:lang w:eastAsia="zh-CN"/>
        </w:rPr>
        <w:t>clause 6.3.3 of 3GPP TS 29.500 [44] may be supported with the following differences:</w:t>
      </w:r>
    </w:p>
    <w:p w:rsidR="00C03825" w:rsidRPr="000A0A5F" w:rsidRDefault="00C03825" w:rsidP="00C03825">
      <w:pPr>
        <w:pStyle w:val="B2"/>
        <w:rPr>
          <w:noProof/>
        </w:rPr>
      </w:pPr>
      <w:r w:rsidRPr="000A0A5F">
        <w:rPr>
          <w:noProof/>
        </w:rPr>
        <w:t>-</w:t>
      </w:r>
      <w:r w:rsidRPr="000A0A5F">
        <w:rPr>
          <w:noProof/>
        </w:rPr>
        <w:tab/>
        <w:t>The Load Control "scope" and all the related provisions are not applicable;</w:t>
      </w:r>
    </w:p>
    <w:p w:rsidR="00C03825" w:rsidRPr="000A0A5F" w:rsidRDefault="00C03825" w:rsidP="00C03825">
      <w:pPr>
        <w:pStyle w:val="B2"/>
        <w:rPr>
          <w:noProof/>
        </w:rPr>
      </w:pPr>
      <w:r w:rsidRPr="000A0A5F">
        <w:rPr>
          <w:noProof/>
        </w:rPr>
        <w:t>-</w:t>
      </w:r>
      <w:r w:rsidRPr="000A0A5F">
        <w:rPr>
          <w:noProof/>
        </w:rPr>
        <w:tab/>
        <w:t>The "NF Service Consumer" corresponds to the sending entity (e.g. SCEF, SCS/AS, AF) of the message in T8 APIs and the "NF Service Producer" corresponds to the receiving entity  (e.g. SCEF, SCS/AS, AF) of the message in T8 APIs;</w:t>
      </w:r>
    </w:p>
    <w:p w:rsidR="00C03825" w:rsidRPr="000A0A5F" w:rsidRDefault="00C03825" w:rsidP="00C03825">
      <w:pPr>
        <w:pStyle w:val="B2"/>
        <w:rPr>
          <w:noProof/>
        </w:rPr>
      </w:pPr>
      <w:r w:rsidRPr="000A0A5F">
        <w:rPr>
          <w:noProof/>
        </w:rPr>
        <w:t>-</w:t>
      </w:r>
      <w:r w:rsidRPr="000A0A5F">
        <w:rPr>
          <w:noProof/>
        </w:rPr>
        <w:tab/>
        <w:t>The provisions related to the SCP (Service Communication Proxy) and SEPP (Security Edge Protection Proxy) entities are not applicable; and</w:t>
      </w:r>
    </w:p>
    <w:p w:rsidR="00C03825" w:rsidRPr="000A0A5F" w:rsidRDefault="00C03825" w:rsidP="00C03825">
      <w:pPr>
        <w:pStyle w:val="B2"/>
        <w:rPr>
          <w:noProof/>
        </w:rPr>
      </w:pPr>
      <w:r w:rsidRPr="000A0A5F">
        <w:rPr>
          <w:noProof/>
        </w:rPr>
        <w:t>-</w:t>
      </w:r>
      <w:r w:rsidRPr="000A0A5F">
        <w:rPr>
          <w:noProof/>
        </w:rPr>
        <w:tab/>
        <w:t>The "</w:t>
      </w:r>
      <w:r w:rsidRPr="000A0A5F">
        <w:rPr>
          <w:lang w:eastAsia="zh-CN"/>
        </w:rPr>
        <w:t>3gpp-Sbi-Lci" custom HTTP header</w:t>
      </w:r>
      <w:r w:rsidRPr="000A0A5F">
        <w:rPr>
          <w:noProof/>
        </w:rPr>
        <w:t xml:space="preserve"> corresponds to the "</w:t>
      </w:r>
      <w:r w:rsidRPr="000A0A5F">
        <w:rPr>
          <w:lang w:eastAsia="zh-CN"/>
        </w:rPr>
        <w:t>Nbi-Api-Lci" custom HTTP header</w:t>
      </w:r>
      <w:r w:rsidRPr="000A0A5F">
        <w:rPr>
          <w:noProof/>
        </w:rPr>
        <w:t xml:space="preserve"> defined in clause 5.2.8.3.</w:t>
      </w:r>
      <w:r w:rsidR="0086156B" w:rsidRPr="000A0A5F">
        <w:rPr>
          <w:noProof/>
        </w:rPr>
        <w:t>4</w:t>
      </w:r>
      <w:r w:rsidRPr="000A0A5F">
        <w:rPr>
          <w:noProof/>
        </w:rPr>
        <w:t xml:space="preserve"> for T8 APIs.</w:t>
      </w:r>
    </w:p>
    <w:p w:rsidR="00C03825" w:rsidRPr="000A0A5F" w:rsidRDefault="00C03825" w:rsidP="00C03825">
      <w:pPr>
        <w:pStyle w:val="B2"/>
        <w:rPr>
          <w:noProof/>
        </w:rPr>
      </w:pPr>
      <w:r w:rsidRPr="000A0A5F">
        <w:rPr>
          <w:noProof/>
        </w:rPr>
        <w:t>-</w:t>
      </w:r>
      <w:r w:rsidRPr="000A0A5F">
        <w:rPr>
          <w:noProof/>
        </w:rPr>
        <w:tab/>
        <w:t>The provisions and mechanisms using the NRF (i.e. 5GC NF Repository Function) are not applicable.</w:t>
      </w:r>
    </w:p>
    <w:p w:rsidR="00C03825" w:rsidRPr="000A0A5F" w:rsidRDefault="00C03825" w:rsidP="00C03825">
      <w:pPr>
        <w:rPr>
          <w:lang w:eastAsia="zh-CN"/>
        </w:rPr>
      </w:pPr>
      <w:r w:rsidRPr="000A0A5F">
        <w:rPr>
          <w:lang w:eastAsia="zh-CN"/>
        </w:rPr>
        <w:t>The Overload Control mechanisms defined in clause 6.4 of 3GPP TS 29.500 [44] may be supported by T8 APIs with the following differences:</w:t>
      </w:r>
    </w:p>
    <w:p w:rsidR="00C03825" w:rsidRPr="000A0A5F" w:rsidRDefault="00C03825" w:rsidP="00C03825">
      <w:pPr>
        <w:pStyle w:val="B10"/>
        <w:rPr>
          <w:noProof/>
        </w:rPr>
      </w:pPr>
      <w:r w:rsidRPr="000A0A5F">
        <w:rPr>
          <w:noProof/>
        </w:rPr>
        <w:t>-</w:t>
      </w:r>
      <w:r w:rsidRPr="000A0A5F">
        <w:rPr>
          <w:noProof/>
        </w:rPr>
        <w:tab/>
        <w:t xml:space="preserve">The "Overload Control </w:t>
      </w:r>
      <w:r w:rsidRPr="000A0A5F">
        <w:t>based on HTTP status codes" mechanism</w:t>
      </w:r>
      <w:r w:rsidRPr="000A0A5F">
        <w:rPr>
          <w:noProof/>
        </w:rPr>
        <w:t xml:space="preserve"> defined in </w:t>
      </w:r>
      <w:r w:rsidRPr="000A0A5F">
        <w:rPr>
          <w:lang w:eastAsia="zh-CN"/>
        </w:rPr>
        <w:t xml:space="preserve">clause 6.4.2 of 3GPP TS 29.500 [44] </w:t>
      </w:r>
      <w:r w:rsidRPr="000A0A5F">
        <w:rPr>
          <w:noProof/>
        </w:rPr>
        <w:t>may be supported with the following differences:</w:t>
      </w:r>
    </w:p>
    <w:p w:rsidR="00C03825" w:rsidRPr="000A0A5F" w:rsidRDefault="00C03825" w:rsidP="00C03825">
      <w:pPr>
        <w:pStyle w:val="B2"/>
        <w:rPr>
          <w:noProof/>
        </w:rPr>
      </w:pPr>
      <w:r w:rsidRPr="000A0A5F">
        <w:rPr>
          <w:noProof/>
        </w:rPr>
        <w:t>-</w:t>
      </w:r>
      <w:r w:rsidRPr="000A0A5F">
        <w:rPr>
          <w:noProof/>
        </w:rPr>
        <w:tab/>
        <w:t>The "NF Service Consumer" corresponds to the sending entity (e.g. SCEF, SCS/AS, AF) of the message in T8 APIs and the "NF Service Producer" corresponds to the receiving entity  (e.g. SCEF, SCS/AS, AF) of the message in T8 APIs;</w:t>
      </w:r>
    </w:p>
    <w:p w:rsidR="00C03825" w:rsidRPr="000A0A5F" w:rsidRDefault="00C03825" w:rsidP="00C03825">
      <w:pPr>
        <w:pStyle w:val="B10"/>
        <w:rPr>
          <w:noProof/>
        </w:rPr>
      </w:pPr>
      <w:r w:rsidRPr="000A0A5F">
        <w:rPr>
          <w:noProof/>
        </w:rPr>
        <w:t>and</w:t>
      </w:r>
    </w:p>
    <w:p w:rsidR="00C03825" w:rsidRPr="000A0A5F" w:rsidRDefault="00C03825" w:rsidP="00C03825">
      <w:pPr>
        <w:pStyle w:val="B10"/>
        <w:rPr>
          <w:lang w:eastAsia="zh-CN"/>
        </w:rPr>
      </w:pPr>
      <w:r w:rsidRPr="000A0A5F">
        <w:rPr>
          <w:noProof/>
        </w:rPr>
        <w:t>-</w:t>
      </w:r>
      <w:r w:rsidRPr="000A0A5F">
        <w:rPr>
          <w:noProof/>
        </w:rPr>
        <w:tab/>
        <w:t>The "</w:t>
      </w:r>
      <w:r w:rsidRPr="000A0A5F">
        <w:t>Overload Control based on OCI Header" mechanism</w:t>
      </w:r>
      <w:r w:rsidRPr="000A0A5F">
        <w:rPr>
          <w:noProof/>
        </w:rPr>
        <w:t xml:space="preserve"> defined in </w:t>
      </w:r>
      <w:r w:rsidRPr="000A0A5F">
        <w:rPr>
          <w:lang w:eastAsia="zh-CN"/>
        </w:rPr>
        <w:t>clause 6.4.3 of 3GPP TS 29.500 [44] may be supported with the following differences:</w:t>
      </w:r>
    </w:p>
    <w:p w:rsidR="00C03825" w:rsidRPr="000A0A5F" w:rsidRDefault="00C03825" w:rsidP="00C03825">
      <w:pPr>
        <w:pStyle w:val="B2"/>
        <w:rPr>
          <w:noProof/>
        </w:rPr>
      </w:pPr>
      <w:r w:rsidRPr="000A0A5F">
        <w:rPr>
          <w:noProof/>
        </w:rPr>
        <w:t>-</w:t>
      </w:r>
      <w:r w:rsidRPr="000A0A5F">
        <w:rPr>
          <w:noProof/>
        </w:rPr>
        <w:tab/>
        <w:t>The Overload Control "scope" and all the related provisions are not applicable;</w:t>
      </w:r>
    </w:p>
    <w:p w:rsidR="00C03825" w:rsidRPr="000A0A5F" w:rsidRDefault="00C03825" w:rsidP="00C03825">
      <w:pPr>
        <w:pStyle w:val="B2"/>
        <w:rPr>
          <w:noProof/>
        </w:rPr>
      </w:pPr>
      <w:r w:rsidRPr="000A0A5F">
        <w:rPr>
          <w:noProof/>
        </w:rPr>
        <w:t>-</w:t>
      </w:r>
      <w:r w:rsidRPr="000A0A5F">
        <w:rPr>
          <w:noProof/>
        </w:rPr>
        <w:tab/>
        <w:t>The "NF Service Consumer" corresponds to the sending entity (e.g. SCEF, SCS/AS, AF) of the message in T8 APIs and the "NF Service Producer" corresponds to the receiving entity  (e.g. SCEF, SCS/AS, AF) of the message in T8 APIs;</w:t>
      </w:r>
    </w:p>
    <w:p w:rsidR="00C03825" w:rsidRPr="000A0A5F" w:rsidRDefault="00C03825" w:rsidP="00C03825">
      <w:pPr>
        <w:pStyle w:val="B2"/>
        <w:rPr>
          <w:noProof/>
        </w:rPr>
      </w:pPr>
      <w:r w:rsidRPr="000A0A5F">
        <w:rPr>
          <w:noProof/>
        </w:rPr>
        <w:t>-</w:t>
      </w:r>
      <w:r w:rsidRPr="000A0A5F">
        <w:rPr>
          <w:noProof/>
        </w:rPr>
        <w:tab/>
        <w:t>The provisions related to the SCP (Service Communication Proxy) and SEPP (Security Edge Protection Proxy) entities are not applicable; and</w:t>
      </w:r>
    </w:p>
    <w:p w:rsidR="00C03825" w:rsidRPr="000A0A5F" w:rsidRDefault="00C03825" w:rsidP="00C03825">
      <w:pPr>
        <w:pStyle w:val="B2"/>
        <w:rPr>
          <w:noProof/>
        </w:rPr>
      </w:pPr>
      <w:r w:rsidRPr="000A0A5F">
        <w:rPr>
          <w:noProof/>
        </w:rPr>
        <w:t>-</w:t>
      </w:r>
      <w:r w:rsidRPr="000A0A5F">
        <w:rPr>
          <w:noProof/>
        </w:rPr>
        <w:tab/>
        <w:t>The "</w:t>
      </w:r>
      <w:r w:rsidRPr="000A0A5F">
        <w:rPr>
          <w:lang w:eastAsia="zh-CN"/>
        </w:rPr>
        <w:t>3gpp-Sbi-Oci" custom HTTP header</w:t>
      </w:r>
      <w:r w:rsidRPr="000A0A5F">
        <w:rPr>
          <w:noProof/>
        </w:rPr>
        <w:t xml:space="preserve"> corresponds to the "</w:t>
      </w:r>
      <w:r w:rsidRPr="000A0A5F">
        <w:rPr>
          <w:lang w:eastAsia="zh-CN"/>
        </w:rPr>
        <w:t>Nbi-Api-Oci" custom HTTP header</w:t>
      </w:r>
      <w:r w:rsidRPr="000A0A5F">
        <w:rPr>
          <w:noProof/>
        </w:rPr>
        <w:t xml:space="preserve"> defined in clause 5.2.8.3.</w:t>
      </w:r>
      <w:r w:rsidR="0086156B" w:rsidRPr="000A0A5F">
        <w:rPr>
          <w:noProof/>
        </w:rPr>
        <w:t>5</w:t>
      </w:r>
      <w:r w:rsidRPr="000A0A5F">
        <w:rPr>
          <w:noProof/>
        </w:rPr>
        <w:t xml:space="preserve"> for T8 APIs.</w:t>
      </w:r>
    </w:p>
    <w:p w:rsidR="00C03825" w:rsidRPr="000A0A5F" w:rsidRDefault="00C03825" w:rsidP="00C03825">
      <w:pPr>
        <w:pStyle w:val="B2"/>
        <w:rPr>
          <w:noProof/>
        </w:rPr>
      </w:pPr>
      <w:r w:rsidRPr="000A0A5F">
        <w:rPr>
          <w:noProof/>
        </w:rPr>
        <w:t>-</w:t>
      </w:r>
      <w:r w:rsidRPr="000A0A5F">
        <w:rPr>
          <w:noProof/>
        </w:rPr>
        <w:tab/>
        <w:t>The provisions and mechanisms using the NRF (i.e. 5GC NF Repository Function) are not applicable.</w:t>
      </w:r>
    </w:p>
    <w:p w:rsidR="00E34307" w:rsidRPr="000A0A5F" w:rsidRDefault="00E34307" w:rsidP="00E34307">
      <w:pPr>
        <w:pStyle w:val="Heading3"/>
      </w:pPr>
      <w:bookmarkStart w:id="1737" w:name="_Toc105674341"/>
      <w:bookmarkStart w:id="1738" w:name="_Toc130502379"/>
      <w:bookmarkStart w:id="1739" w:name="_Toc153625158"/>
      <w:r w:rsidRPr="000A0A5F">
        <w:t>5.2.12</w:t>
      </w:r>
      <w:r w:rsidRPr="000A0A5F">
        <w:tab/>
        <w:t>Query parameters</w:t>
      </w:r>
      <w:bookmarkEnd w:id="1737"/>
      <w:bookmarkEnd w:id="1738"/>
      <w:bookmarkEnd w:id="1739"/>
    </w:p>
    <w:p w:rsidR="00E34307" w:rsidRPr="000A0A5F" w:rsidRDefault="00E34307" w:rsidP="00E34307">
      <w:r w:rsidRPr="000A0A5F">
        <w:t>The query component</w:t>
      </w:r>
      <w:r w:rsidRPr="000A0A5F">
        <w:rPr>
          <w:rFonts w:hint="eastAsia"/>
          <w:lang w:eastAsia="zh-CN"/>
        </w:rPr>
        <w:t xml:space="preserve"> in </w:t>
      </w:r>
      <w:r w:rsidRPr="000A0A5F">
        <w:rPr>
          <w:lang w:eastAsia="zh-CN"/>
        </w:rPr>
        <w:t>a</w:t>
      </w:r>
      <w:r w:rsidRPr="000A0A5F">
        <w:rPr>
          <w:rFonts w:hint="eastAsia"/>
          <w:lang w:eastAsia="zh-CN"/>
        </w:rPr>
        <w:t xml:space="preserve"> URI</w:t>
      </w:r>
      <w:r w:rsidRPr="000A0A5F">
        <w:t xml:space="preserve"> contains non-hierarchical data that, along with data in the path component, enables to filter the resources identified within the scope of the URI's scheme to a subset of the resources matching the query parameters. The query component is indicated by the first question mark ("?") character and terminated by a number sign ("#") character or by the end of the URI. The syntax of the query </w:t>
      </w:r>
      <w:r w:rsidRPr="000A0A5F">
        <w:rPr>
          <w:lang w:eastAsia="zh-CN"/>
        </w:rPr>
        <w:t>component</w:t>
      </w:r>
      <w:r w:rsidRPr="000A0A5F">
        <w:t xml:space="preserve"> is specified </w:t>
      </w:r>
      <w:r w:rsidRPr="000A0A5F">
        <w:rPr>
          <w:rFonts w:hint="eastAsia"/>
          <w:lang w:eastAsia="zh-CN"/>
        </w:rPr>
        <w:t xml:space="preserve">in </w:t>
      </w:r>
      <w:r w:rsidRPr="000A0A5F">
        <w:t>IETF RFC 3986 </w:t>
      </w:r>
      <w:r w:rsidRPr="000A0A5F">
        <w:rPr>
          <w:rFonts w:hint="eastAsia"/>
        </w:rPr>
        <w:t>[</w:t>
      </w:r>
      <w:r w:rsidRPr="000A0A5F">
        <w:t>7</w:t>
      </w:r>
      <w:r w:rsidRPr="000A0A5F">
        <w:rPr>
          <w:rFonts w:hint="eastAsia"/>
        </w:rPr>
        <w:t>]</w:t>
      </w:r>
      <w:r w:rsidRPr="000A0A5F">
        <w:t>.</w:t>
      </w:r>
    </w:p>
    <w:p w:rsidR="00E34307" w:rsidRPr="000A0A5F" w:rsidRDefault="00E34307" w:rsidP="00E34307">
      <w:pPr>
        <w:rPr>
          <w:lang w:eastAsia="zh-CN"/>
        </w:rPr>
      </w:pPr>
      <w:r w:rsidRPr="000A0A5F">
        <w:t xml:space="preserve">When a server receives a request with a query component, it </w:t>
      </w:r>
      <w:r w:rsidRPr="000A0A5F">
        <w:rPr>
          <w:rFonts w:hint="eastAsia"/>
          <w:lang w:eastAsia="zh-CN"/>
        </w:rPr>
        <w:t>shall</w:t>
      </w:r>
      <w:r w:rsidRPr="000A0A5F">
        <w:t xml:space="preserve"> parse the query string in order to identify the filters. The first question mark is used to be a separator and is not part of the query string. A query string is composed of a series of "key=value" pairs, separated by "&amp;". </w:t>
      </w:r>
      <w:r w:rsidRPr="000A0A5F">
        <w:rPr>
          <w:rFonts w:hint="eastAsia"/>
          <w:lang w:eastAsia="zh-CN"/>
        </w:rPr>
        <w:t xml:space="preserve">If one query parameter </w:t>
      </w:r>
      <w:r w:rsidRPr="000A0A5F">
        <w:rPr>
          <w:lang w:eastAsia="zh-CN"/>
        </w:rPr>
        <w:t>contains</w:t>
      </w:r>
      <w:r w:rsidRPr="000A0A5F">
        <w:rPr>
          <w:rFonts w:hint="eastAsia"/>
          <w:lang w:eastAsia="zh-CN"/>
        </w:rPr>
        <w:t xml:space="preserve"> more than one value, i.e. an array of data elements, </w:t>
      </w:r>
      <w:r w:rsidRPr="000A0A5F">
        <w:rPr>
          <w:lang w:eastAsia="zh-CN"/>
        </w:rPr>
        <w:t>then the</w:t>
      </w:r>
      <w:r w:rsidRPr="000A0A5F">
        <w:rPr>
          <w:rFonts w:hint="eastAsia"/>
          <w:lang w:eastAsia="zh-CN"/>
        </w:rPr>
        <w:t xml:space="preserve"> values shall be separated by comma (",").</w:t>
      </w:r>
    </w:p>
    <w:p w:rsidR="00E34307" w:rsidRPr="000A0A5F" w:rsidRDefault="00E34307" w:rsidP="00E34307">
      <w:pPr>
        <w:rPr>
          <w:lang w:eastAsia="zh-CN"/>
        </w:rPr>
      </w:pPr>
      <w:r w:rsidRPr="000A0A5F">
        <w:rPr>
          <w:rFonts w:hint="eastAsia"/>
          <w:lang w:eastAsia="zh-CN"/>
        </w:rPr>
        <w:t xml:space="preserve">The behaviour of the server when receiving an HTTP/2 method with </w:t>
      </w:r>
      <w:r w:rsidRPr="000A0A5F">
        <w:rPr>
          <w:lang w:eastAsia="zh-CN"/>
        </w:rPr>
        <w:t xml:space="preserve">a </w:t>
      </w:r>
      <w:r w:rsidRPr="000A0A5F">
        <w:rPr>
          <w:rFonts w:hint="eastAsia"/>
          <w:lang w:eastAsia="zh-CN"/>
        </w:rPr>
        <w:t>query parameter which is of type array</w:t>
      </w:r>
      <w:r w:rsidRPr="000A0A5F">
        <w:rPr>
          <w:lang w:eastAsia="zh-CN"/>
        </w:rPr>
        <w:t>,</w:t>
      </w:r>
      <w:r w:rsidRPr="000A0A5F">
        <w:rPr>
          <w:rFonts w:hint="eastAsia"/>
          <w:lang w:eastAsia="zh-CN"/>
        </w:rPr>
        <w:t xml:space="preserve"> and only some of the members in the array can be matched</w:t>
      </w:r>
      <w:r w:rsidRPr="000A0A5F">
        <w:rPr>
          <w:lang w:eastAsia="zh-CN"/>
        </w:rPr>
        <w:t>,</w:t>
      </w:r>
      <w:r w:rsidRPr="000A0A5F">
        <w:rPr>
          <w:rFonts w:hint="eastAsia"/>
          <w:lang w:eastAsia="zh-CN"/>
        </w:rPr>
        <w:t xml:space="preserve"> depends on each API and the behaviour shall be clearly described.</w:t>
      </w:r>
    </w:p>
    <w:p w:rsidR="00E34307" w:rsidRPr="000A0A5F" w:rsidRDefault="00E34307" w:rsidP="00E34307">
      <w:pPr>
        <w:rPr>
          <w:lang w:val="en-US" w:eastAsia="zh-CN"/>
        </w:rPr>
      </w:pPr>
      <w:r w:rsidRPr="000A0A5F">
        <w:rPr>
          <w:lang w:val="en-US" w:eastAsia="zh-CN"/>
        </w:rPr>
        <w:t xml:space="preserve">When multiple query parameters are defined for a method on the resource, the logical 'AND' is the </w:t>
      </w:r>
      <w:r w:rsidRPr="000A0A5F">
        <w:rPr>
          <w:rFonts w:hint="eastAsia"/>
          <w:lang w:val="en-US" w:eastAsia="zh-CN"/>
        </w:rPr>
        <w:t xml:space="preserve">default </w:t>
      </w:r>
      <w:r w:rsidRPr="000A0A5F">
        <w:rPr>
          <w:lang w:val="en-US" w:eastAsia="zh-CN"/>
        </w:rPr>
        <w:t>logical relationship between the query parameters for this resource. If a different logical relationship between multiple query parameters is specified for a method on a resource in an API, then this logical relationship override the default logical relationship for this specific method on the concerned resource in that API. If multiple query parameters are defined for a method on a resource in an API, but there is no need to specify any logical relationship between these query parameters, the concerned API shall explicitly state how to handle multiple query parameters.</w:t>
      </w:r>
    </w:p>
    <w:p w:rsidR="00BF4023" w:rsidRPr="000A0A5F" w:rsidRDefault="00BF4023" w:rsidP="00EC08A3">
      <w:pPr>
        <w:pStyle w:val="Heading3"/>
        <w:rPr>
          <w:lang w:val="en-IN"/>
        </w:rPr>
      </w:pPr>
      <w:bookmarkStart w:id="1740" w:name="_PERM_MCCTEMPBM_CRPT57490075___2"/>
      <w:bookmarkStart w:id="1741" w:name="_Toc130502380"/>
      <w:bookmarkStart w:id="1742" w:name="_Toc153625159"/>
      <w:r w:rsidRPr="000A0A5F">
        <w:rPr>
          <w:lang w:val="en-IN"/>
        </w:rPr>
        <w:t>5.2.13</w:t>
      </w:r>
      <w:r w:rsidRPr="000A0A5F">
        <w:rPr>
          <w:lang w:val="en-IN"/>
        </w:rPr>
        <w:tab/>
        <w:t>Vendor-specif</w:t>
      </w:r>
      <w:r w:rsidR="008B0721" w:rsidRPr="000A0A5F">
        <w:rPr>
          <w:lang w:val="en-IN"/>
        </w:rPr>
        <w:t>i</w:t>
      </w:r>
      <w:r w:rsidRPr="000A0A5F">
        <w:rPr>
          <w:lang w:val="en-IN"/>
        </w:rPr>
        <w:t>c extensions</w:t>
      </w:r>
      <w:bookmarkEnd w:id="1741"/>
      <w:bookmarkEnd w:id="1742"/>
    </w:p>
    <w:p w:rsidR="00E32D31" w:rsidRPr="000A0A5F" w:rsidRDefault="00E32D31" w:rsidP="00EC08A3">
      <w:pPr>
        <w:pStyle w:val="Heading4"/>
        <w:rPr>
          <w:lang w:val="en-IN"/>
        </w:rPr>
      </w:pPr>
      <w:bookmarkStart w:id="1743" w:name="_Toc105674342"/>
      <w:bookmarkStart w:id="1744" w:name="_Toc130502381"/>
      <w:bookmarkStart w:id="1745" w:name="_Toc153625160"/>
      <w:bookmarkEnd w:id="1740"/>
      <w:r w:rsidRPr="000A0A5F">
        <w:rPr>
          <w:lang w:val="en-IN"/>
        </w:rPr>
        <w:t>5.2.13.1 General</w:t>
      </w:r>
      <w:bookmarkEnd w:id="1745"/>
    </w:p>
    <w:p w:rsidR="00E32D31" w:rsidRPr="000A0A5F" w:rsidRDefault="00E32D31" w:rsidP="00E32D31">
      <w:r w:rsidRPr="000A0A5F">
        <w:t>The vendor specific extensions specified in the below clauses are mechanisms for the APIs to re-use. The applicability of these mechanisms for specific 3GPP Northbound and application layer APIs is specified in the respective API specifications.</w:t>
      </w:r>
    </w:p>
    <w:p w:rsidR="00E32D31" w:rsidRPr="000A0A5F" w:rsidRDefault="00E32D31" w:rsidP="00EC08A3">
      <w:pPr>
        <w:pStyle w:val="Heading4"/>
        <w:rPr>
          <w:lang w:val="en-IN"/>
        </w:rPr>
      </w:pPr>
      <w:bookmarkStart w:id="1746" w:name="_Hlk147741522"/>
      <w:bookmarkStart w:id="1747" w:name="_Toc153625161"/>
      <w:r w:rsidRPr="000A0A5F">
        <w:rPr>
          <w:lang w:val="en-IN"/>
        </w:rPr>
        <w:t>5.2.13.2</w:t>
      </w:r>
      <w:r w:rsidRPr="000A0A5F">
        <w:rPr>
          <w:lang w:val="en-IN"/>
        </w:rPr>
        <w:tab/>
        <w:t>Vendor-specific extensions to the data model</w:t>
      </w:r>
      <w:bookmarkEnd w:id="1747"/>
    </w:p>
    <w:p w:rsidR="00E32D31" w:rsidRPr="000A0A5F" w:rsidRDefault="00E32D31" w:rsidP="00E32D31">
      <w:r w:rsidRPr="000A0A5F">
        <w:t>Vendor-specific extensions for information elements may be generally supported in the 3GPP northbound and application layer APIs by reusing the same vendor-specific extensions mechanism defined for 5GC APIs in clause 6.6.3 of 3GPP TS 29.500 [44].</w:t>
      </w:r>
    </w:p>
    <w:p w:rsidR="00E32D31" w:rsidRPr="000A0A5F" w:rsidRDefault="00E32D31" w:rsidP="00E32D31">
      <w:r w:rsidRPr="000A0A5F">
        <w:t>In the 3GPP northbound and application layer APIs, the vendor may alternatively be identified by setting the placeholder "nnnnn" in the vendor-specific member name to a domain name registered to the vendor, or a URN from the URN space managed by the vendor.</w:t>
      </w:r>
    </w:p>
    <w:p w:rsidR="00E32D31" w:rsidRPr="000A0A5F" w:rsidRDefault="00E32D31" w:rsidP="00E32D31">
      <w:pPr>
        <w:pStyle w:val="NO"/>
      </w:pPr>
      <w:r w:rsidRPr="000A0A5F">
        <w:t>NOTE:</w:t>
      </w:r>
      <w:r w:rsidRPr="000A0A5F">
        <w:tab/>
        <w:t>The global uniqueness of the domain name or URN, when used to set the placeholder "nnnnn" in the vendor-specific member name, has to be guaranteed.</w:t>
      </w:r>
    </w:p>
    <w:p w:rsidR="00E32D31" w:rsidRPr="000A0A5F" w:rsidRDefault="00E32D31" w:rsidP="00E32D31">
      <w:r w:rsidRPr="000A0A5F">
        <w:t>An example for the IANA-assigned enterprise code to identify the vendor is:</w:t>
      </w:r>
    </w:p>
    <w:p w:rsidR="00E32D31" w:rsidRPr="000A0A5F" w:rsidRDefault="00E32D31" w:rsidP="00E32D31">
      <w:pPr>
        <w:pStyle w:val="EX"/>
      </w:pPr>
      <w:r w:rsidRPr="000A0A5F">
        <w:t>EXAMPLE 1:</w:t>
      </w:r>
      <w:r w:rsidRPr="000A0A5F">
        <w:tab/>
        <w:t>The vendor-specific member name for vendor "3GPP" based on IANA enterprise number would be:</w:t>
      </w:r>
    </w:p>
    <w:p w:rsidR="00E32D31" w:rsidRPr="000A0A5F" w:rsidRDefault="00E32D31" w:rsidP="00E32D31">
      <w:pPr>
        <w:pStyle w:val="PL"/>
        <w:ind w:left="1702"/>
      </w:pPr>
      <w:r w:rsidRPr="000A0A5F">
        <w:t>"vendorSpecific-010415": {</w:t>
      </w:r>
    </w:p>
    <w:p w:rsidR="00E32D31" w:rsidRPr="000A0A5F" w:rsidRDefault="00E32D31" w:rsidP="00E32D31">
      <w:pPr>
        <w:pStyle w:val="PL"/>
        <w:ind w:left="1702"/>
      </w:pPr>
      <w:r w:rsidRPr="000A0A5F">
        <w:t xml:space="preserve">  ...</w:t>
      </w:r>
    </w:p>
    <w:p w:rsidR="00E32D31" w:rsidRPr="000A0A5F" w:rsidRDefault="00E32D31" w:rsidP="00E32D31">
      <w:pPr>
        <w:pStyle w:val="PL"/>
        <w:ind w:left="1702"/>
      </w:pPr>
      <w:r w:rsidRPr="000A0A5F">
        <w:t>}</w:t>
      </w:r>
    </w:p>
    <w:p w:rsidR="00E32D31" w:rsidRPr="000A0A5F" w:rsidRDefault="00E32D31" w:rsidP="00E32D31">
      <w:pPr>
        <w:pStyle w:val="PL"/>
        <w:ind w:left="1702"/>
      </w:pPr>
    </w:p>
    <w:p w:rsidR="00E32D31" w:rsidRPr="000A0A5F" w:rsidRDefault="00E32D31" w:rsidP="00E32D31">
      <w:r w:rsidRPr="000A0A5F">
        <w:t>Examples for the additional alternatives to identify the vendor are:</w:t>
      </w:r>
    </w:p>
    <w:p w:rsidR="00E32D31" w:rsidRPr="000A0A5F" w:rsidRDefault="00E32D31" w:rsidP="00E32D31">
      <w:pPr>
        <w:pStyle w:val="EX"/>
      </w:pPr>
      <w:r w:rsidRPr="000A0A5F">
        <w:t>EXAMPLE 2:</w:t>
      </w:r>
      <w:r w:rsidRPr="000A0A5F">
        <w:tab/>
        <w:t>The vendor-specific member name for vendor "3GPP" based on domain name would be:</w:t>
      </w:r>
    </w:p>
    <w:p w:rsidR="00E32D31" w:rsidRPr="000A0A5F" w:rsidRDefault="00E32D31" w:rsidP="00E32D31">
      <w:pPr>
        <w:pStyle w:val="PL"/>
        <w:ind w:left="1702"/>
      </w:pPr>
      <w:r w:rsidRPr="000A0A5F">
        <w:t>"vendorSpecific-3gpp.org": {</w:t>
      </w:r>
    </w:p>
    <w:p w:rsidR="00E32D31" w:rsidRPr="000A0A5F" w:rsidRDefault="00E32D31" w:rsidP="00E32D31">
      <w:pPr>
        <w:pStyle w:val="PL"/>
        <w:ind w:left="1702"/>
      </w:pPr>
      <w:r w:rsidRPr="000A0A5F">
        <w:t>  ...</w:t>
      </w:r>
    </w:p>
    <w:p w:rsidR="00E32D31" w:rsidRPr="000A0A5F" w:rsidRDefault="00E32D31" w:rsidP="00E32D31">
      <w:pPr>
        <w:pStyle w:val="PL"/>
        <w:ind w:left="1702"/>
      </w:pPr>
      <w:r w:rsidRPr="000A0A5F">
        <w:t>}</w:t>
      </w:r>
    </w:p>
    <w:p w:rsidR="00E32D31" w:rsidRPr="000A0A5F" w:rsidRDefault="00E32D31" w:rsidP="00E32D31">
      <w:pPr>
        <w:pStyle w:val="PL"/>
        <w:ind w:left="1702"/>
      </w:pPr>
    </w:p>
    <w:p w:rsidR="00E32D31" w:rsidRPr="000A0A5F" w:rsidRDefault="00E32D31" w:rsidP="00E32D31">
      <w:pPr>
        <w:pStyle w:val="EX"/>
      </w:pPr>
      <w:r w:rsidRPr="000A0A5F">
        <w:t xml:space="preserve">EXAMPLE 3: </w:t>
      </w:r>
      <w:r w:rsidRPr="000A0A5F">
        <w:tab/>
        <w:t>The vendor-specific member name for vendor "3GPP" based on URN would be:</w:t>
      </w:r>
    </w:p>
    <w:p w:rsidR="00E32D31" w:rsidRPr="000A0A5F" w:rsidRDefault="00E32D31" w:rsidP="00E32D31">
      <w:pPr>
        <w:pStyle w:val="PL"/>
        <w:ind w:left="1702"/>
      </w:pPr>
      <w:r w:rsidRPr="000A0A5F">
        <w:t>"vendorSpecific-urn:3gpp:example": {</w:t>
      </w:r>
    </w:p>
    <w:p w:rsidR="00E32D31" w:rsidRPr="000A0A5F" w:rsidRDefault="00E32D31" w:rsidP="00E32D31">
      <w:pPr>
        <w:pStyle w:val="PL"/>
        <w:ind w:left="1702"/>
      </w:pPr>
      <w:r w:rsidRPr="000A0A5F">
        <w:t>  ...</w:t>
      </w:r>
    </w:p>
    <w:p w:rsidR="00E32D31" w:rsidRPr="000A0A5F" w:rsidRDefault="00E32D31" w:rsidP="00E32D31">
      <w:pPr>
        <w:ind w:left="1418" w:firstLine="284"/>
        <w:rPr>
          <w:rFonts w:ascii="Courier New" w:hAnsi="Courier New" w:cs="Courier New"/>
        </w:rPr>
      </w:pPr>
      <w:r w:rsidRPr="000A0A5F">
        <w:rPr>
          <w:rFonts w:ascii="Courier New" w:hAnsi="Courier New" w:cs="Courier New"/>
        </w:rPr>
        <w:t>}</w:t>
      </w:r>
    </w:p>
    <w:p w:rsidR="00E32D31" w:rsidRPr="000A0A5F" w:rsidRDefault="00E32D31" w:rsidP="00E32D31">
      <w:r w:rsidRPr="000A0A5F">
        <w:t xml:space="preserve">NOTE: </w:t>
      </w:r>
      <w:r w:rsidRPr="000A0A5F">
        <w:tab/>
        <w:t>The preferred naming scheme (for the "nnnnn" placeholder) for vendor-specific member names is the one based on the IANA-assigned enterprise code defined in clause 6.6.3 of 3GPP TS 29.500 [44].</w:t>
      </w:r>
    </w:p>
    <w:p w:rsidR="00E32D31" w:rsidRPr="000A0A5F" w:rsidRDefault="00E32D31" w:rsidP="00EC08A3">
      <w:pPr>
        <w:pStyle w:val="Heading4"/>
        <w:rPr>
          <w:lang w:val="en-IN"/>
        </w:rPr>
      </w:pPr>
      <w:bookmarkStart w:id="1748" w:name="_Toc153625162"/>
      <w:bookmarkEnd w:id="1746"/>
      <w:r w:rsidRPr="000A0A5F">
        <w:rPr>
          <w:lang w:val="en-IN"/>
        </w:rPr>
        <w:t>5.2.13.3</w:t>
      </w:r>
      <w:r w:rsidRPr="000A0A5F">
        <w:rPr>
          <w:lang w:val="en-IN"/>
        </w:rPr>
        <w:tab/>
        <w:t>Vendor-specific query parameters</w:t>
      </w:r>
      <w:bookmarkEnd w:id="1748"/>
    </w:p>
    <w:p w:rsidR="00E32D31" w:rsidRPr="000A0A5F" w:rsidRDefault="00E32D31" w:rsidP="00E32D31">
      <w:r w:rsidRPr="000A0A5F">
        <w:t>Vendor-specific extensions to the query component of an HTTP request may be supported in the 3GPP northbound and application layer APIs by allowing the provisioning of vendor-specific query parameters in order to support additional vendor-specific filtering criteria. Whether an operation (e.g. using the HTTP GET method) on a specific resource of a 3GPP northbound or application layer API shall support the processing of vendor-specific query parameters shall be explicitly specified (within the corresponding resource or custom operation definition clauses) in the definition of this API operation in the technical specification where it is defined. This pattern applies to querying resources of "collection" or "store" archetype.</w:t>
      </w:r>
    </w:p>
    <w:p w:rsidR="00E32D31" w:rsidRPr="000A0A5F" w:rsidRDefault="00E32D31" w:rsidP="00E32D31">
      <w:r w:rsidRPr="000A0A5F">
        <w:t>A vendor-specific query parameter shall be encoded as follows:</w:t>
      </w:r>
    </w:p>
    <w:p w:rsidR="00E32D31" w:rsidRPr="000A0A5F" w:rsidRDefault="00E32D31" w:rsidP="00E32D31">
      <w:pPr>
        <w:pStyle w:val="B10"/>
      </w:pPr>
      <w:r w:rsidRPr="000A0A5F">
        <w:t>-</w:t>
      </w:r>
      <w:r w:rsidRPr="000A0A5F">
        <w:tab/>
        <w:t>The query parameter name shall start with "vend-spec" followed by the actual name of the query parameter, i.e. "vend-spec-&lt;query parameter name&gt;".</w:t>
      </w:r>
    </w:p>
    <w:p w:rsidR="00E32D31" w:rsidRPr="000A0A5F" w:rsidRDefault="00E32D31" w:rsidP="00E32D31">
      <w:pPr>
        <w:pStyle w:val="B10"/>
      </w:pPr>
      <w:r w:rsidRPr="000A0A5F">
        <w:t>-</w:t>
      </w:r>
      <w:r w:rsidRPr="000A0A5F">
        <w:tab/>
        <w:t>The query parameter value shall be encoded as a JSON object containing two attributes as defined in Table 5.2.13.2-1, wherein:</w:t>
      </w:r>
    </w:p>
    <w:p w:rsidR="00E32D31" w:rsidRPr="000A0A5F" w:rsidRDefault="00E32D31" w:rsidP="00E32D31">
      <w:pPr>
        <w:pStyle w:val="B2"/>
      </w:pPr>
      <w:r w:rsidRPr="000A0A5F">
        <w:t>-</w:t>
      </w:r>
      <w:r w:rsidRPr="000A0A5F">
        <w:tab/>
        <w:t xml:space="preserve">the "target" attribute is a JSON pointer </w:t>
      </w:r>
      <w:r w:rsidRPr="000A0A5F">
        <w:rPr>
          <w:rFonts w:cs="Arial"/>
          <w:szCs w:val="18"/>
        </w:rPr>
        <w:t>(</w:t>
      </w:r>
      <w:r w:rsidRPr="000A0A5F">
        <w:rPr>
          <w:rFonts w:eastAsia="Malgun Gothic"/>
        </w:rPr>
        <w:t>as per RFC 6901 [70])</w:t>
      </w:r>
      <w:r w:rsidRPr="000A0A5F">
        <w:t xml:space="preserve"> towards the targeted attribute in the targeted resource representation; and</w:t>
      </w:r>
    </w:p>
    <w:p w:rsidR="00E32D31" w:rsidRPr="000A0A5F" w:rsidRDefault="00E32D31" w:rsidP="00E32D31">
      <w:pPr>
        <w:pStyle w:val="B2"/>
      </w:pPr>
      <w:r w:rsidRPr="000A0A5F">
        <w:t>-</w:t>
      </w:r>
      <w:r w:rsidRPr="000A0A5F">
        <w:tab/>
        <w:t>the "value" attribute contains the actual value of the query parameter that is to be used for filtering and shall hence be encoded in the same way as the attribute in the resource representation that it targets.</w:t>
      </w:r>
    </w:p>
    <w:p w:rsidR="00E32D31" w:rsidRPr="000A0A5F" w:rsidRDefault="00E32D31" w:rsidP="00E32D31">
      <w:pPr>
        <w:pStyle w:val="TH"/>
      </w:pPr>
      <w:r w:rsidRPr="000A0A5F">
        <w:rPr>
          <w:noProof/>
        </w:rPr>
        <w:t>Table </w:t>
      </w:r>
      <w:r w:rsidRPr="000A0A5F">
        <w:t xml:space="preserve">5.2.13.2-1: </w:t>
      </w:r>
      <w:r w:rsidRPr="000A0A5F">
        <w:rPr>
          <w:noProof/>
        </w:rPr>
        <w:t>Vendor-specific query parameter value content definition</w:t>
      </w:r>
    </w:p>
    <w:tbl>
      <w:tblPr>
        <w:tblW w:w="95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55"/>
        <w:gridCol w:w="1417"/>
        <w:gridCol w:w="425"/>
        <w:gridCol w:w="1134"/>
        <w:gridCol w:w="3686"/>
        <w:gridCol w:w="1307"/>
      </w:tblGrid>
      <w:tr w:rsidR="00E32D31" w:rsidRPr="000A0A5F" w:rsidTr="00510DDC">
        <w:trPr>
          <w:jc w:val="center"/>
        </w:trPr>
        <w:tc>
          <w:tcPr>
            <w:tcW w:w="1555" w:type="dxa"/>
            <w:shd w:val="clear" w:color="auto" w:fill="C0C0C0"/>
            <w:vAlign w:val="center"/>
            <w:hideMark/>
          </w:tcPr>
          <w:p w:rsidR="00E32D31" w:rsidRPr="000A0A5F" w:rsidRDefault="00E32D31" w:rsidP="00510DDC">
            <w:pPr>
              <w:pStyle w:val="TAH"/>
            </w:pPr>
            <w:r w:rsidRPr="000A0A5F">
              <w:t>Attribute name</w:t>
            </w:r>
          </w:p>
        </w:tc>
        <w:tc>
          <w:tcPr>
            <w:tcW w:w="1417" w:type="dxa"/>
            <w:shd w:val="clear" w:color="auto" w:fill="C0C0C0"/>
            <w:vAlign w:val="center"/>
            <w:hideMark/>
          </w:tcPr>
          <w:p w:rsidR="00E32D31" w:rsidRPr="000A0A5F" w:rsidRDefault="00E32D31" w:rsidP="00510DDC">
            <w:pPr>
              <w:pStyle w:val="TAH"/>
            </w:pPr>
            <w:r w:rsidRPr="000A0A5F">
              <w:t>Data type</w:t>
            </w:r>
          </w:p>
        </w:tc>
        <w:tc>
          <w:tcPr>
            <w:tcW w:w="425" w:type="dxa"/>
            <w:shd w:val="clear" w:color="auto" w:fill="C0C0C0"/>
            <w:vAlign w:val="center"/>
            <w:hideMark/>
          </w:tcPr>
          <w:p w:rsidR="00E32D31" w:rsidRPr="000A0A5F" w:rsidRDefault="00E32D31" w:rsidP="00510DDC">
            <w:pPr>
              <w:pStyle w:val="TAH"/>
            </w:pPr>
            <w:r w:rsidRPr="000A0A5F">
              <w:t>P</w:t>
            </w:r>
          </w:p>
        </w:tc>
        <w:tc>
          <w:tcPr>
            <w:tcW w:w="1134" w:type="dxa"/>
            <w:shd w:val="clear" w:color="auto" w:fill="C0C0C0"/>
            <w:vAlign w:val="center"/>
          </w:tcPr>
          <w:p w:rsidR="00E32D31" w:rsidRPr="000A0A5F" w:rsidRDefault="00E32D31" w:rsidP="00510DDC">
            <w:pPr>
              <w:pStyle w:val="TAH"/>
            </w:pPr>
            <w:r w:rsidRPr="000A0A5F">
              <w:t>Cardinality</w:t>
            </w:r>
          </w:p>
        </w:tc>
        <w:tc>
          <w:tcPr>
            <w:tcW w:w="3686" w:type="dxa"/>
            <w:shd w:val="clear" w:color="auto" w:fill="C0C0C0"/>
            <w:vAlign w:val="center"/>
            <w:hideMark/>
          </w:tcPr>
          <w:p w:rsidR="00E32D31" w:rsidRPr="000A0A5F" w:rsidRDefault="00E32D31" w:rsidP="00510DDC">
            <w:pPr>
              <w:pStyle w:val="TAH"/>
              <w:rPr>
                <w:rFonts w:cs="Arial"/>
                <w:szCs w:val="18"/>
              </w:rPr>
            </w:pPr>
            <w:r w:rsidRPr="000A0A5F">
              <w:rPr>
                <w:rFonts w:cs="Arial"/>
                <w:szCs w:val="18"/>
              </w:rPr>
              <w:t>Description</w:t>
            </w:r>
          </w:p>
        </w:tc>
        <w:tc>
          <w:tcPr>
            <w:tcW w:w="1307" w:type="dxa"/>
            <w:shd w:val="clear" w:color="auto" w:fill="C0C0C0"/>
            <w:vAlign w:val="center"/>
          </w:tcPr>
          <w:p w:rsidR="00E32D31" w:rsidRPr="000A0A5F" w:rsidRDefault="00E32D31" w:rsidP="00510DDC">
            <w:pPr>
              <w:pStyle w:val="TAH"/>
              <w:rPr>
                <w:rFonts w:cs="Arial"/>
                <w:szCs w:val="18"/>
              </w:rPr>
            </w:pPr>
            <w:r w:rsidRPr="000A0A5F">
              <w:rPr>
                <w:rFonts w:cs="Arial"/>
                <w:szCs w:val="18"/>
              </w:rPr>
              <w:t>Applicability</w:t>
            </w:r>
          </w:p>
        </w:tc>
      </w:tr>
      <w:tr w:rsidR="00E32D31" w:rsidRPr="000A0A5F" w:rsidTr="00510DDC">
        <w:trPr>
          <w:jc w:val="center"/>
        </w:trPr>
        <w:tc>
          <w:tcPr>
            <w:tcW w:w="1555" w:type="dxa"/>
            <w:vAlign w:val="center"/>
          </w:tcPr>
          <w:p w:rsidR="00E32D31" w:rsidRPr="000A0A5F" w:rsidRDefault="00E32D31" w:rsidP="00510DDC">
            <w:pPr>
              <w:pStyle w:val="TAL"/>
            </w:pPr>
            <w:r w:rsidRPr="000A0A5F">
              <w:t>target</w:t>
            </w:r>
          </w:p>
        </w:tc>
        <w:tc>
          <w:tcPr>
            <w:tcW w:w="1417" w:type="dxa"/>
            <w:vAlign w:val="center"/>
          </w:tcPr>
          <w:p w:rsidR="00E32D31" w:rsidRPr="000A0A5F" w:rsidRDefault="00E32D31" w:rsidP="00510DDC">
            <w:pPr>
              <w:pStyle w:val="TAL"/>
            </w:pPr>
            <w:r w:rsidRPr="000A0A5F">
              <w:t>String</w:t>
            </w:r>
          </w:p>
        </w:tc>
        <w:tc>
          <w:tcPr>
            <w:tcW w:w="425" w:type="dxa"/>
            <w:vAlign w:val="center"/>
          </w:tcPr>
          <w:p w:rsidR="00E32D31" w:rsidRPr="000A0A5F" w:rsidRDefault="00E32D31" w:rsidP="00510DDC">
            <w:pPr>
              <w:pStyle w:val="TAC"/>
            </w:pPr>
            <w:r w:rsidRPr="000A0A5F">
              <w:t>M</w:t>
            </w:r>
          </w:p>
        </w:tc>
        <w:tc>
          <w:tcPr>
            <w:tcW w:w="1134" w:type="dxa"/>
            <w:vAlign w:val="center"/>
          </w:tcPr>
          <w:p w:rsidR="00E32D31" w:rsidRPr="000A0A5F" w:rsidRDefault="00E32D31" w:rsidP="00510DDC">
            <w:pPr>
              <w:pStyle w:val="TAC"/>
            </w:pPr>
            <w:r w:rsidRPr="000A0A5F">
              <w:t>1</w:t>
            </w:r>
          </w:p>
        </w:tc>
        <w:tc>
          <w:tcPr>
            <w:tcW w:w="3686" w:type="dxa"/>
            <w:vAlign w:val="center"/>
          </w:tcPr>
          <w:p w:rsidR="00E32D31" w:rsidRPr="000A0A5F" w:rsidRDefault="00E32D31" w:rsidP="00510DDC">
            <w:pPr>
              <w:pStyle w:val="TAL"/>
              <w:rPr>
                <w:rFonts w:cs="Arial"/>
                <w:szCs w:val="18"/>
              </w:rPr>
            </w:pPr>
            <w:r w:rsidRPr="000A0A5F">
              <w:rPr>
                <w:rFonts w:cs="Arial"/>
                <w:szCs w:val="18"/>
              </w:rPr>
              <w:t>Contains the JSON pointer (</w:t>
            </w:r>
            <w:r w:rsidRPr="000A0A5F">
              <w:rPr>
                <w:rFonts w:eastAsia="Malgun Gothic"/>
              </w:rPr>
              <w:t xml:space="preserve">as per RFC 6901 [70]) </w:t>
            </w:r>
            <w:r w:rsidRPr="000A0A5F">
              <w:rPr>
                <w:rFonts w:cs="Arial"/>
                <w:szCs w:val="18"/>
              </w:rPr>
              <w:t>to the attribute in the resource representation that the provided vendor-specific query parameter is targeting.</w:t>
            </w:r>
          </w:p>
        </w:tc>
        <w:tc>
          <w:tcPr>
            <w:tcW w:w="1307" w:type="dxa"/>
            <w:vAlign w:val="center"/>
          </w:tcPr>
          <w:p w:rsidR="00E32D31" w:rsidRPr="000A0A5F" w:rsidRDefault="00E32D31" w:rsidP="00510DDC">
            <w:pPr>
              <w:pStyle w:val="TAL"/>
              <w:rPr>
                <w:rFonts w:cs="Arial"/>
                <w:szCs w:val="18"/>
              </w:rPr>
            </w:pPr>
          </w:p>
        </w:tc>
      </w:tr>
      <w:tr w:rsidR="00E32D31" w:rsidRPr="000A0A5F" w:rsidTr="00510DDC">
        <w:trPr>
          <w:jc w:val="center"/>
        </w:trPr>
        <w:tc>
          <w:tcPr>
            <w:tcW w:w="1555" w:type="dxa"/>
            <w:vAlign w:val="center"/>
          </w:tcPr>
          <w:p w:rsidR="00E32D31" w:rsidRPr="000A0A5F" w:rsidRDefault="00E32D31" w:rsidP="00510DDC">
            <w:pPr>
              <w:pStyle w:val="TAL"/>
            </w:pPr>
            <w:r w:rsidRPr="000A0A5F">
              <w:t>value</w:t>
            </w:r>
          </w:p>
        </w:tc>
        <w:tc>
          <w:tcPr>
            <w:tcW w:w="1417" w:type="dxa"/>
            <w:vAlign w:val="center"/>
          </w:tcPr>
          <w:p w:rsidR="00E32D31" w:rsidRPr="000A0A5F" w:rsidRDefault="00E32D31" w:rsidP="00510DDC">
            <w:pPr>
              <w:pStyle w:val="TAL"/>
            </w:pPr>
            <w:r w:rsidRPr="000A0A5F">
              <w:t>&lt;Any simple or structured data structure&gt;</w:t>
            </w:r>
          </w:p>
        </w:tc>
        <w:tc>
          <w:tcPr>
            <w:tcW w:w="425" w:type="dxa"/>
            <w:vAlign w:val="center"/>
          </w:tcPr>
          <w:p w:rsidR="00E32D31" w:rsidRPr="000A0A5F" w:rsidRDefault="00E32D31" w:rsidP="00510DDC">
            <w:pPr>
              <w:pStyle w:val="TAC"/>
            </w:pPr>
            <w:r w:rsidRPr="000A0A5F">
              <w:t>M</w:t>
            </w:r>
          </w:p>
        </w:tc>
        <w:tc>
          <w:tcPr>
            <w:tcW w:w="1134" w:type="dxa"/>
            <w:vAlign w:val="center"/>
          </w:tcPr>
          <w:p w:rsidR="00E32D31" w:rsidRPr="000A0A5F" w:rsidRDefault="00E32D31" w:rsidP="00510DDC">
            <w:pPr>
              <w:pStyle w:val="TAC"/>
            </w:pPr>
            <w:r w:rsidRPr="000A0A5F">
              <w:t>1</w:t>
            </w:r>
          </w:p>
        </w:tc>
        <w:tc>
          <w:tcPr>
            <w:tcW w:w="3686" w:type="dxa"/>
            <w:vAlign w:val="center"/>
          </w:tcPr>
          <w:p w:rsidR="00E32D31" w:rsidRPr="000A0A5F" w:rsidRDefault="00E32D31" w:rsidP="00510DDC">
            <w:pPr>
              <w:pStyle w:val="TAL"/>
              <w:rPr>
                <w:rFonts w:cs="Arial"/>
                <w:szCs w:val="18"/>
              </w:rPr>
            </w:pPr>
            <w:r w:rsidRPr="000A0A5F">
              <w:rPr>
                <w:rFonts w:cs="Arial"/>
                <w:szCs w:val="18"/>
              </w:rPr>
              <w:t>Contains the vendor-specific query parameter value.</w:t>
            </w:r>
          </w:p>
        </w:tc>
        <w:tc>
          <w:tcPr>
            <w:tcW w:w="1307" w:type="dxa"/>
            <w:vAlign w:val="center"/>
          </w:tcPr>
          <w:p w:rsidR="00E32D31" w:rsidRPr="000A0A5F" w:rsidRDefault="00E32D31" w:rsidP="00510DDC">
            <w:pPr>
              <w:pStyle w:val="TAL"/>
              <w:rPr>
                <w:rFonts w:cs="Arial"/>
                <w:szCs w:val="18"/>
              </w:rPr>
            </w:pPr>
          </w:p>
        </w:tc>
      </w:tr>
    </w:tbl>
    <w:p w:rsidR="00E32D31" w:rsidRPr="000A0A5F" w:rsidRDefault="00E32D31" w:rsidP="00E32D31">
      <w:pPr>
        <w:rPr>
          <w:lang w:val="en-US"/>
        </w:rPr>
      </w:pPr>
    </w:p>
    <w:p w:rsidR="00E32D31" w:rsidRPr="000A0A5F" w:rsidRDefault="00E32D31" w:rsidP="00E32D31">
      <w:pPr>
        <w:pStyle w:val="EX"/>
      </w:pPr>
      <w:r w:rsidRPr="000A0A5F">
        <w:t>EXAMPLE 1:</w:t>
      </w:r>
      <w:r w:rsidRPr="000A0A5F">
        <w:tab/>
        <w:t>Assuming that vendor-specific query parameters are supported for the MonitoringEvent API, if an authorized service consumer wants to retrieve the representations of the "Individual Monitoring Event Subscription" resources that contain a specific value (e.g. 6) for the "</w:t>
      </w:r>
      <w:r w:rsidRPr="000A0A5F">
        <w:rPr>
          <w:rFonts w:cs="Arial" w:hint="eastAsia"/>
          <w:szCs w:val="18"/>
          <w:lang w:eastAsia="zh-CN"/>
        </w:rPr>
        <w:t>maximumNumberOfReports</w:t>
      </w:r>
      <w:r w:rsidRPr="000A0A5F">
        <w:t>" attribute, then it can send a GET request using the following vendor-specific query parameter:</w:t>
      </w:r>
    </w:p>
    <w:p w:rsidR="00E32D31" w:rsidRPr="000A0A5F" w:rsidRDefault="00BA095D" w:rsidP="00E32D31">
      <w:pPr>
        <w:pStyle w:val="EX"/>
      </w:pPr>
      <w:r>
        <w:tab/>
      </w:r>
      <w:r w:rsidR="00E32D31" w:rsidRPr="000A0A5F">
        <w:t>GET {apiRoot}/3gpp-monitoring-event/v1/{scsAsId}/subscriptions?</w:t>
      </w:r>
      <w:r w:rsidR="00E32D31" w:rsidRPr="000A0A5F">
        <w:rPr>
          <w:b/>
        </w:rPr>
        <w:t>vend-spec-max-reports={"target": "/maximumNumberOfReports", value: "6"}</w:t>
      </w:r>
    </w:p>
    <w:p w:rsidR="00E32D31" w:rsidRPr="000A0A5F" w:rsidRDefault="00E32D31" w:rsidP="00E32D31">
      <w:pPr>
        <w:pStyle w:val="EX"/>
      </w:pPr>
      <w:r w:rsidRPr="000A0A5F">
        <w:t>EXAMPLE 2:</w:t>
      </w:r>
      <w:r w:rsidRPr="000A0A5F">
        <w:tab/>
        <w:t>Assuming that  vendor-specific query parameters are supported for the MonitoringEvent API, if within the  representations of the “Individual Monitoring Event Subscription” resources, a vendor-specific extension to the data model is provided by an AF via the "vendorSpecific-010415" attribute as specified in clause </w:t>
      </w:r>
      <w:r w:rsidRPr="000A0A5F">
        <w:rPr>
          <w:lang w:val="en-IN"/>
        </w:rPr>
        <w:t>5.2.13.1</w:t>
      </w:r>
      <w:r w:rsidRPr="000A0A5F">
        <w:t xml:space="preserve"> and contains additional/alternative target location accuracy values within the "addAccuracy" attribute, and an authorized service consumer wants to retrieve the representations of those "Individual Monitoring Event Subscription" resources that contain a specific value for the "addAccuracy" attribute, then it can send a GET request using the following vendor-specific query parameter:</w:t>
      </w:r>
    </w:p>
    <w:p w:rsidR="00E32D31" w:rsidRPr="000A0A5F" w:rsidRDefault="00BA095D" w:rsidP="00E32D31">
      <w:pPr>
        <w:pStyle w:val="EX"/>
        <w:rPr>
          <w:b/>
        </w:rPr>
      </w:pPr>
      <w:r>
        <w:tab/>
      </w:r>
      <w:r w:rsidR="00E32D31" w:rsidRPr="000A0A5F">
        <w:t>GET {apiRoot}/3gpp-monitoring-event/v1/{scsAsId}/subscriptions?</w:t>
      </w:r>
      <w:r w:rsidR="00E32D31" w:rsidRPr="000A0A5F">
        <w:rPr>
          <w:b/>
        </w:rPr>
        <w:t>vend-spec-accuracy={"target": "/vendorSpecific-010415/addAccuracy", value: "CELL_OR_TA"}</w:t>
      </w:r>
    </w:p>
    <w:p w:rsidR="00CB0DD7" w:rsidRPr="000A0A5F" w:rsidRDefault="00CB0DD7">
      <w:pPr>
        <w:pStyle w:val="Heading2"/>
        <w:rPr>
          <w:rFonts w:hint="eastAsia"/>
          <w:lang w:eastAsia="zh-CN"/>
        </w:rPr>
      </w:pPr>
      <w:bookmarkStart w:id="1749" w:name="_Toc153625163"/>
      <w:r w:rsidRPr="000A0A5F">
        <w:t>5.3</w:t>
      </w:r>
      <w:r w:rsidRPr="000A0A5F">
        <w:tab/>
        <w:t>MonitoringEvent API</w:t>
      </w:r>
      <w:bookmarkEnd w:id="1712"/>
      <w:bookmarkEnd w:id="1713"/>
      <w:bookmarkEnd w:id="1714"/>
      <w:bookmarkEnd w:id="1715"/>
      <w:bookmarkEnd w:id="1716"/>
      <w:bookmarkEnd w:id="1717"/>
      <w:bookmarkEnd w:id="1731"/>
      <w:bookmarkEnd w:id="1732"/>
      <w:bookmarkEnd w:id="1733"/>
      <w:bookmarkEnd w:id="1743"/>
      <w:bookmarkEnd w:id="1744"/>
      <w:bookmarkEnd w:id="1749"/>
    </w:p>
    <w:p w:rsidR="00CB0DD7" w:rsidRPr="000A0A5F" w:rsidRDefault="00CB0DD7">
      <w:pPr>
        <w:pStyle w:val="Heading3"/>
      </w:pPr>
      <w:bookmarkStart w:id="1750" w:name="_Toc11247305"/>
      <w:bookmarkStart w:id="1751" w:name="_Toc27044425"/>
      <w:bookmarkStart w:id="1752" w:name="_Toc36033467"/>
      <w:bookmarkStart w:id="1753" w:name="_Toc45131599"/>
      <w:bookmarkStart w:id="1754" w:name="_Toc49775884"/>
      <w:bookmarkStart w:id="1755" w:name="_Toc51746804"/>
      <w:bookmarkStart w:id="1756" w:name="_Toc66360348"/>
      <w:bookmarkStart w:id="1757" w:name="_Toc68104853"/>
      <w:bookmarkStart w:id="1758" w:name="_Toc74755483"/>
      <w:bookmarkStart w:id="1759" w:name="_Toc105674343"/>
      <w:bookmarkStart w:id="1760" w:name="_Toc130502382"/>
      <w:bookmarkStart w:id="1761" w:name="_Toc153625164"/>
      <w:r w:rsidRPr="000A0A5F">
        <w:t>5.3.1</w:t>
      </w:r>
      <w:r w:rsidRPr="000A0A5F">
        <w:tab/>
        <w:t>Overview</w:t>
      </w:r>
      <w:bookmarkEnd w:id="1750"/>
      <w:bookmarkEnd w:id="1751"/>
      <w:bookmarkEnd w:id="1752"/>
      <w:bookmarkEnd w:id="1753"/>
      <w:bookmarkEnd w:id="1754"/>
      <w:bookmarkEnd w:id="1755"/>
      <w:bookmarkEnd w:id="1756"/>
      <w:bookmarkEnd w:id="1757"/>
      <w:bookmarkEnd w:id="1758"/>
      <w:bookmarkEnd w:id="1759"/>
      <w:bookmarkEnd w:id="1760"/>
      <w:bookmarkEnd w:id="1761"/>
    </w:p>
    <w:p w:rsidR="00CB0DD7" w:rsidRPr="000A0A5F" w:rsidRDefault="00CB0DD7">
      <w:pPr>
        <w:rPr>
          <w:rFonts w:hint="eastAsia"/>
          <w:noProof/>
          <w:lang w:eastAsia="zh-CN"/>
        </w:rPr>
      </w:pPr>
      <w:r w:rsidRPr="000A0A5F">
        <w:rPr>
          <w:rFonts w:hint="eastAsia"/>
          <w:noProof/>
          <w:lang w:eastAsia="zh-CN"/>
        </w:rPr>
        <w:t>The Monitoring</w:t>
      </w:r>
      <w:r w:rsidRPr="000A0A5F">
        <w:rPr>
          <w:noProof/>
          <w:lang w:eastAsia="zh-CN"/>
        </w:rPr>
        <w:t>Event</w:t>
      </w:r>
      <w:r w:rsidRPr="000A0A5F">
        <w:rPr>
          <w:rFonts w:hint="eastAsia"/>
          <w:noProof/>
          <w:lang w:eastAsia="zh-CN"/>
        </w:rPr>
        <w:t xml:space="preserve"> API </w:t>
      </w:r>
      <w:r w:rsidRPr="000A0A5F">
        <w:rPr>
          <w:noProof/>
          <w:lang w:eastAsia="zh-CN"/>
        </w:rPr>
        <w:t xml:space="preserve">is a RESTful API that </w:t>
      </w:r>
      <w:r w:rsidRPr="000A0A5F">
        <w:rPr>
          <w:rFonts w:hint="eastAsia"/>
          <w:noProof/>
          <w:lang w:eastAsia="zh-CN"/>
        </w:rPr>
        <w:t xml:space="preserve">allows the SCS/AS to </w:t>
      </w:r>
      <w:r w:rsidRPr="000A0A5F">
        <w:rPr>
          <w:noProof/>
          <w:lang w:eastAsia="zh-CN"/>
        </w:rPr>
        <w:t xml:space="preserve">subscribe to notifications about specific events in 3GPP networks. It also allows the SCEF to report the event by sending notifications to the authorised users when the corresponding event is detected. The API also allows the SCEF to indicate the removal of a previously configured monitoring request. </w:t>
      </w:r>
      <w:r w:rsidRPr="000A0A5F">
        <w:t xml:space="preserve">The </w:t>
      </w:r>
      <w:r w:rsidRPr="000A0A5F">
        <w:rPr>
          <w:rFonts w:hint="eastAsia"/>
          <w:noProof/>
          <w:lang w:eastAsia="zh-CN"/>
        </w:rPr>
        <w:t>Monitoring</w:t>
      </w:r>
      <w:r w:rsidRPr="000A0A5F">
        <w:rPr>
          <w:noProof/>
          <w:lang w:eastAsia="zh-CN"/>
        </w:rPr>
        <w:t>Event</w:t>
      </w:r>
      <w:r w:rsidRPr="000A0A5F">
        <w:rPr>
          <w:rFonts w:hint="eastAsia"/>
          <w:noProof/>
          <w:lang w:eastAsia="zh-CN"/>
        </w:rPr>
        <w:t xml:space="preserve"> API</w:t>
      </w:r>
      <w:r w:rsidRPr="000A0A5F">
        <w:t xml:space="preserve"> defines a set of data models, resources and the related procedures for the creation and management of monitoring event subscriptions. The corresponding JSON schema for the representation of the resources and operations defined by the </w:t>
      </w:r>
      <w:r w:rsidRPr="000A0A5F">
        <w:rPr>
          <w:rFonts w:hint="eastAsia"/>
          <w:noProof/>
          <w:lang w:eastAsia="zh-CN"/>
        </w:rPr>
        <w:t>Monitoring</w:t>
      </w:r>
      <w:r w:rsidRPr="000A0A5F">
        <w:rPr>
          <w:noProof/>
          <w:lang w:eastAsia="zh-CN"/>
        </w:rPr>
        <w:t>Event</w:t>
      </w:r>
      <w:r w:rsidRPr="000A0A5F">
        <w:rPr>
          <w:rFonts w:hint="eastAsia"/>
          <w:noProof/>
          <w:lang w:eastAsia="zh-CN"/>
        </w:rPr>
        <w:t xml:space="preserve"> API</w:t>
      </w:r>
      <w:r w:rsidRPr="000A0A5F">
        <w:t xml:space="preserve"> is provided in its complete form in Annex A.3.</w:t>
      </w:r>
    </w:p>
    <w:p w:rsidR="00CB0DD7" w:rsidRPr="000A0A5F" w:rsidRDefault="00CB0DD7">
      <w:pPr>
        <w:pStyle w:val="Heading3"/>
      </w:pPr>
      <w:bookmarkStart w:id="1762" w:name="_Toc11247306"/>
      <w:bookmarkStart w:id="1763" w:name="_Toc27044426"/>
      <w:bookmarkStart w:id="1764" w:name="_Toc36033468"/>
      <w:bookmarkStart w:id="1765" w:name="_Toc45131600"/>
      <w:bookmarkStart w:id="1766" w:name="_Toc49775885"/>
      <w:bookmarkStart w:id="1767" w:name="_Toc51746805"/>
      <w:bookmarkStart w:id="1768" w:name="_Toc66360349"/>
      <w:bookmarkStart w:id="1769" w:name="_Toc68104854"/>
      <w:bookmarkStart w:id="1770" w:name="_Toc74755484"/>
      <w:bookmarkStart w:id="1771" w:name="_Toc105674344"/>
      <w:bookmarkStart w:id="1772" w:name="_Toc130502383"/>
      <w:bookmarkStart w:id="1773" w:name="_Toc153625165"/>
      <w:r w:rsidRPr="000A0A5F">
        <w:t>5.3.2</w:t>
      </w:r>
      <w:r w:rsidRPr="000A0A5F">
        <w:tab/>
        <w:t>Data model</w:t>
      </w:r>
      <w:bookmarkEnd w:id="1762"/>
      <w:bookmarkEnd w:id="1763"/>
      <w:bookmarkEnd w:id="1764"/>
      <w:bookmarkEnd w:id="1765"/>
      <w:bookmarkEnd w:id="1766"/>
      <w:bookmarkEnd w:id="1767"/>
      <w:bookmarkEnd w:id="1768"/>
      <w:bookmarkEnd w:id="1769"/>
      <w:bookmarkEnd w:id="1770"/>
      <w:bookmarkEnd w:id="1771"/>
      <w:bookmarkEnd w:id="1772"/>
      <w:bookmarkEnd w:id="1773"/>
    </w:p>
    <w:p w:rsidR="00CB0DD7" w:rsidRPr="000A0A5F" w:rsidRDefault="00CB0DD7">
      <w:pPr>
        <w:pStyle w:val="Heading4"/>
      </w:pPr>
      <w:bookmarkStart w:id="1774" w:name="_Toc11247307"/>
      <w:bookmarkStart w:id="1775" w:name="_Toc27044427"/>
      <w:bookmarkStart w:id="1776" w:name="_Toc36033469"/>
      <w:bookmarkStart w:id="1777" w:name="_Toc45131601"/>
      <w:bookmarkStart w:id="1778" w:name="_Toc49775886"/>
      <w:bookmarkStart w:id="1779" w:name="_Toc51746806"/>
      <w:bookmarkStart w:id="1780" w:name="_Toc66360350"/>
      <w:bookmarkStart w:id="1781" w:name="_Toc68104855"/>
      <w:bookmarkStart w:id="1782" w:name="_Toc74755485"/>
      <w:bookmarkStart w:id="1783" w:name="_Toc105674345"/>
      <w:bookmarkStart w:id="1784" w:name="_Toc130502384"/>
      <w:bookmarkStart w:id="1785" w:name="_Toc153625166"/>
      <w:r w:rsidRPr="000A0A5F">
        <w:t>5.3.2.1</w:t>
      </w:r>
      <w:r w:rsidRPr="000A0A5F">
        <w:tab/>
        <w:t>Resource data types</w:t>
      </w:r>
      <w:bookmarkEnd w:id="1774"/>
      <w:bookmarkEnd w:id="1775"/>
      <w:bookmarkEnd w:id="1776"/>
      <w:bookmarkEnd w:id="1777"/>
      <w:bookmarkEnd w:id="1778"/>
      <w:bookmarkEnd w:id="1779"/>
      <w:bookmarkEnd w:id="1780"/>
      <w:bookmarkEnd w:id="1781"/>
      <w:bookmarkEnd w:id="1782"/>
      <w:bookmarkEnd w:id="1783"/>
      <w:bookmarkEnd w:id="1784"/>
      <w:bookmarkEnd w:id="1785"/>
    </w:p>
    <w:p w:rsidR="00CB0DD7" w:rsidRPr="000A0A5F" w:rsidRDefault="00CB0DD7">
      <w:pPr>
        <w:pStyle w:val="Heading5"/>
      </w:pPr>
      <w:bookmarkStart w:id="1786" w:name="_Toc11247308"/>
      <w:bookmarkStart w:id="1787" w:name="_Toc27044428"/>
      <w:bookmarkStart w:id="1788" w:name="_Toc36033470"/>
      <w:bookmarkStart w:id="1789" w:name="_Toc45131602"/>
      <w:bookmarkStart w:id="1790" w:name="_Toc49775887"/>
      <w:bookmarkStart w:id="1791" w:name="_Toc51746807"/>
      <w:bookmarkStart w:id="1792" w:name="_Toc66360351"/>
      <w:bookmarkStart w:id="1793" w:name="_Toc68104856"/>
      <w:bookmarkStart w:id="1794" w:name="_Toc74755486"/>
      <w:bookmarkStart w:id="1795" w:name="_Toc105674346"/>
      <w:bookmarkStart w:id="1796" w:name="_Toc130502385"/>
      <w:bookmarkStart w:id="1797" w:name="_Toc153625167"/>
      <w:r w:rsidRPr="000A0A5F">
        <w:t>5.3.2.1.1</w:t>
      </w:r>
      <w:r w:rsidRPr="000A0A5F">
        <w:tab/>
        <w:t>Introduction</w:t>
      </w:r>
      <w:bookmarkEnd w:id="1786"/>
      <w:bookmarkEnd w:id="1787"/>
      <w:bookmarkEnd w:id="1788"/>
      <w:bookmarkEnd w:id="1789"/>
      <w:bookmarkEnd w:id="1790"/>
      <w:bookmarkEnd w:id="1791"/>
      <w:bookmarkEnd w:id="1792"/>
      <w:bookmarkEnd w:id="1793"/>
      <w:bookmarkEnd w:id="1794"/>
      <w:bookmarkEnd w:id="1795"/>
      <w:bookmarkEnd w:id="1796"/>
      <w:bookmarkEnd w:id="1797"/>
    </w:p>
    <w:p w:rsidR="00CB0DD7" w:rsidRPr="000A0A5F" w:rsidRDefault="00CB0DD7">
      <w:r w:rsidRPr="000A0A5F">
        <w:t>This clause defines data structures to be used in resource representations, including subscription resources.</w:t>
      </w:r>
    </w:p>
    <w:p w:rsidR="00CB0DD7" w:rsidRPr="000A0A5F" w:rsidRDefault="00CB0DD7">
      <w:r w:rsidRPr="000A0A5F">
        <w:t xml:space="preserve">Table 5.3.2.1.1-1 specifies data types re-used by the MonitoringEvent API from other specifications, including a reference to their respective specifications and when needed, a short description of their use within the MonitoringEvent API. </w:t>
      </w:r>
    </w:p>
    <w:p w:rsidR="00CB0DD7" w:rsidRPr="000A0A5F" w:rsidRDefault="00CB0DD7">
      <w:pPr>
        <w:pStyle w:val="TH"/>
      </w:pPr>
      <w:r w:rsidRPr="000A0A5F">
        <w:t>Table 5.3.2.1.1-1: MonitoringEvent API re-used Data Types</w:t>
      </w:r>
    </w:p>
    <w:tbl>
      <w:tblPr>
        <w:tblW w:w="969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535"/>
        <w:gridCol w:w="1848"/>
        <w:gridCol w:w="5308"/>
      </w:tblGrid>
      <w:tr w:rsidR="00E32D31" w:rsidRPr="000A0A5F" w:rsidTr="00510DDC">
        <w:trPr>
          <w:jc w:val="center"/>
        </w:trPr>
        <w:tc>
          <w:tcPr>
            <w:tcW w:w="2535" w:type="dxa"/>
            <w:shd w:val="clear" w:color="auto" w:fill="C0C0C0"/>
            <w:hideMark/>
          </w:tcPr>
          <w:p w:rsidR="00E32D31" w:rsidRPr="000A0A5F" w:rsidRDefault="00E32D31" w:rsidP="00510DDC">
            <w:pPr>
              <w:pStyle w:val="TAH"/>
            </w:pPr>
            <w:bookmarkStart w:id="1798" w:name="_Toc11247309"/>
            <w:bookmarkStart w:id="1799" w:name="_Toc27044429"/>
            <w:bookmarkStart w:id="1800" w:name="_Toc36033471"/>
            <w:bookmarkStart w:id="1801" w:name="_Toc45131603"/>
            <w:bookmarkStart w:id="1802" w:name="_Toc49775888"/>
            <w:bookmarkStart w:id="1803" w:name="_Toc51746808"/>
            <w:bookmarkStart w:id="1804" w:name="_Toc66360352"/>
            <w:bookmarkStart w:id="1805" w:name="_Toc68104857"/>
            <w:bookmarkStart w:id="1806" w:name="_Toc74755487"/>
            <w:r w:rsidRPr="000A0A5F">
              <w:t>Data type</w:t>
            </w:r>
          </w:p>
        </w:tc>
        <w:tc>
          <w:tcPr>
            <w:tcW w:w="1848" w:type="dxa"/>
            <w:shd w:val="clear" w:color="auto" w:fill="C0C0C0"/>
          </w:tcPr>
          <w:p w:rsidR="00E32D31" w:rsidRPr="000A0A5F" w:rsidRDefault="00E32D31" w:rsidP="00510DDC">
            <w:pPr>
              <w:pStyle w:val="TAH"/>
            </w:pPr>
            <w:r w:rsidRPr="000A0A5F">
              <w:t>Reference</w:t>
            </w:r>
          </w:p>
        </w:tc>
        <w:tc>
          <w:tcPr>
            <w:tcW w:w="5308" w:type="dxa"/>
            <w:shd w:val="clear" w:color="auto" w:fill="C0C0C0"/>
            <w:hideMark/>
          </w:tcPr>
          <w:p w:rsidR="00E32D31" w:rsidRPr="000A0A5F" w:rsidRDefault="00E32D31" w:rsidP="00510DDC">
            <w:pPr>
              <w:pStyle w:val="TAH"/>
            </w:pPr>
            <w:r w:rsidRPr="000A0A5F">
              <w:t>Comments</w:t>
            </w:r>
          </w:p>
        </w:tc>
      </w:tr>
      <w:tr w:rsidR="00E32D31" w:rsidRPr="000A0A5F" w:rsidTr="00510DDC">
        <w:trPr>
          <w:jc w:val="center"/>
        </w:trPr>
        <w:tc>
          <w:tcPr>
            <w:tcW w:w="2535" w:type="dxa"/>
          </w:tcPr>
          <w:p w:rsidR="00E32D31" w:rsidRPr="000A0A5F" w:rsidRDefault="00E32D31" w:rsidP="00510DDC">
            <w:pPr>
              <w:pStyle w:val="TAL"/>
            </w:pPr>
            <w:r w:rsidRPr="000A0A5F">
              <w:t>CivicAddress</w:t>
            </w:r>
          </w:p>
        </w:tc>
        <w:tc>
          <w:tcPr>
            <w:tcW w:w="1848" w:type="dxa"/>
          </w:tcPr>
          <w:p w:rsidR="00E32D31" w:rsidRPr="000A0A5F" w:rsidRDefault="00E32D31" w:rsidP="00510DDC">
            <w:pPr>
              <w:pStyle w:val="TAL"/>
            </w:pPr>
            <w:r w:rsidRPr="000A0A5F">
              <w:t>3GPP TS 29.572 [42]</w:t>
            </w:r>
          </w:p>
        </w:tc>
        <w:tc>
          <w:tcPr>
            <w:tcW w:w="5308" w:type="dxa"/>
          </w:tcPr>
          <w:p w:rsidR="00E32D31" w:rsidRPr="000A0A5F" w:rsidRDefault="00E32D31" w:rsidP="00510DDC">
            <w:pPr>
              <w:pStyle w:val="TAL"/>
              <w:rPr>
                <w:noProof/>
              </w:rPr>
            </w:pPr>
            <w:r w:rsidRPr="000A0A5F">
              <w:rPr>
                <w:noProof/>
              </w:rPr>
              <w:t>Civic address.</w:t>
            </w:r>
          </w:p>
        </w:tc>
      </w:tr>
      <w:tr w:rsidR="00E32D31" w:rsidRPr="000A0A5F" w:rsidTr="00510DDC">
        <w:trPr>
          <w:jc w:val="center"/>
        </w:trPr>
        <w:tc>
          <w:tcPr>
            <w:tcW w:w="2535" w:type="dxa"/>
          </w:tcPr>
          <w:p w:rsidR="00E32D31" w:rsidRPr="000A0A5F" w:rsidRDefault="00E32D31" w:rsidP="00510DDC">
            <w:pPr>
              <w:pStyle w:val="TAL"/>
            </w:pPr>
            <w:r w:rsidRPr="000A0A5F">
              <w:t>CodeWord</w:t>
            </w:r>
          </w:p>
        </w:tc>
        <w:tc>
          <w:tcPr>
            <w:tcW w:w="1848" w:type="dxa"/>
          </w:tcPr>
          <w:p w:rsidR="00E32D31" w:rsidRPr="000A0A5F" w:rsidRDefault="00E32D31" w:rsidP="00510DDC">
            <w:pPr>
              <w:pStyle w:val="TAL"/>
            </w:pPr>
            <w:r w:rsidRPr="000A0A5F">
              <w:t>3GPP TS 29.515 [65]</w:t>
            </w:r>
          </w:p>
        </w:tc>
        <w:tc>
          <w:tcPr>
            <w:tcW w:w="5308" w:type="dxa"/>
          </w:tcPr>
          <w:p w:rsidR="00E32D31" w:rsidRPr="000A0A5F" w:rsidRDefault="00E32D31" w:rsidP="00510DDC">
            <w:pPr>
              <w:pStyle w:val="TAL"/>
              <w:rPr>
                <w:noProof/>
              </w:rPr>
            </w:pPr>
            <w:r w:rsidRPr="000A0A5F">
              <w:rPr>
                <w:noProof/>
              </w:rPr>
              <w:t>Code word.</w:t>
            </w:r>
          </w:p>
        </w:tc>
      </w:tr>
      <w:tr w:rsidR="00E32D31" w:rsidRPr="000A0A5F" w:rsidTr="00510DDC">
        <w:trPr>
          <w:jc w:val="center"/>
        </w:trPr>
        <w:tc>
          <w:tcPr>
            <w:tcW w:w="2535" w:type="dxa"/>
          </w:tcPr>
          <w:p w:rsidR="00E32D31" w:rsidRPr="000A0A5F" w:rsidRDefault="00E32D31" w:rsidP="00510DDC">
            <w:pPr>
              <w:pStyle w:val="TAL"/>
              <w:rPr>
                <w:lang w:eastAsia="zh-CN"/>
              </w:rPr>
            </w:pPr>
            <w:r w:rsidRPr="000A0A5F">
              <w:t>DlDataDelivery</w:t>
            </w:r>
            <w:r w:rsidRPr="000A0A5F">
              <w:rPr>
                <w:noProof/>
              </w:rPr>
              <w:t>Status</w:t>
            </w:r>
          </w:p>
        </w:tc>
        <w:tc>
          <w:tcPr>
            <w:tcW w:w="1848" w:type="dxa"/>
          </w:tcPr>
          <w:p w:rsidR="00E32D31" w:rsidRPr="000A0A5F" w:rsidRDefault="00E32D31" w:rsidP="00510DDC">
            <w:pPr>
              <w:pStyle w:val="TAL"/>
              <w:rPr>
                <w:lang w:eastAsia="zh-CN"/>
              </w:rPr>
            </w:pPr>
            <w:r w:rsidRPr="000A0A5F">
              <w:t>3GPP TS 29.571 [45]</w:t>
            </w:r>
          </w:p>
        </w:tc>
        <w:tc>
          <w:tcPr>
            <w:tcW w:w="5308" w:type="dxa"/>
          </w:tcPr>
          <w:p w:rsidR="00E32D31" w:rsidRPr="000A0A5F" w:rsidRDefault="00E32D31" w:rsidP="00510DDC">
            <w:pPr>
              <w:pStyle w:val="TAL"/>
              <w:rPr>
                <w:lang w:eastAsia="zh-CN"/>
              </w:rPr>
            </w:pPr>
            <w:r w:rsidRPr="000A0A5F">
              <w:rPr>
                <w:noProof/>
              </w:rPr>
              <w:t>Traffic Descriptor of source of downlink data notifications.</w:t>
            </w:r>
          </w:p>
        </w:tc>
      </w:tr>
      <w:tr w:rsidR="00E32D31" w:rsidRPr="000A0A5F" w:rsidTr="00510DDC">
        <w:trPr>
          <w:jc w:val="center"/>
        </w:trPr>
        <w:tc>
          <w:tcPr>
            <w:tcW w:w="2535" w:type="dxa"/>
          </w:tcPr>
          <w:p w:rsidR="00E32D31" w:rsidRPr="000A0A5F" w:rsidRDefault="00E32D31" w:rsidP="00510DDC">
            <w:pPr>
              <w:pStyle w:val="TAL"/>
              <w:rPr>
                <w:lang w:eastAsia="zh-CN"/>
              </w:rPr>
            </w:pPr>
            <w:r w:rsidRPr="000A0A5F">
              <w:t>DddTrafficDescriptor</w:t>
            </w:r>
          </w:p>
        </w:tc>
        <w:tc>
          <w:tcPr>
            <w:tcW w:w="1848" w:type="dxa"/>
          </w:tcPr>
          <w:p w:rsidR="00E32D31" w:rsidRPr="000A0A5F" w:rsidRDefault="00E32D31" w:rsidP="00510DDC">
            <w:pPr>
              <w:pStyle w:val="TAL"/>
              <w:rPr>
                <w:lang w:eastAsia="zh-CN"/>
              </w:rPr>
            </w:pPr>
            <w:r w:rsidRPr="000A0A5F">
              <w:rPr>
                <w:rFonts w:hint="eastAsia"/>
                <w:lang w:eastAsia="zh-CN"/>
              </w:rPr>
              <w:t>3GPP TS 29.5</w:t>
            </w:r>
            <w:r w:rsidRPr="000A0A5F">
              <w:rPr>
                <w:lang w:eastAsia="zh-CN"/>
              </w:rPr>
              <w:t>71</w:t>
            </w:r>
            <w:r w:rsidRPr="000A0A5F">
              <w:rPr>
                <w:rFonts w:hint="eastAsia"/>
                <w:lang w:eastAsia="zh-CN"/>
              </w:rPr>
              <w:t> [</w:t>
            </w:r>
            <w:r w:rsidRPr="000A0A5F">
              <w:rPr>
                <w:lang w:eastAsia="zh-CN"/>
              </w:rPr>
              <w:t>45]</w:t>
            </w:r>
          </w:p>
        </w:tc>
        <w:tc>
          <w:tcPr>
            <w:tcW w:w="5308" w:type="dxa"/>
          </w:tcPr>
          <w:p w:rsidR="00E32D31" w:rsidRPr="000A0A5F" w:rsidRDefault="00E32D31" w:rsidP="00510DDC">
            <w:pPr>
              <w:pStyle w:val="TAL"/>
              <w:rPr>
                <w:lang w:eastAsia="zh-CN"/>
              </w:rPr>
            </w:pPr>
            <w:r w:rsidRPr="000A0A5F">
              <w:rPr>
                <w:noProof/>
              </w:rPr>
              <w:t>Traffic Descriptor of source of downlink data.</w:t>
            </w:r>
          </w:p>
        </w:tc>
      </w:tr>
      <w:tr w:rsidR="00E32D31" w:rsidRPr="000A0A5F" w:rsidTr="00510DDC">
        <w:trPr>
          <w:jc w:val="center"/>
        </w:trPr>
        <w:tc>
          <w:tcPr>
            <w:tcW w:w="2535" w:type="dxa"/>
          </w:tcPr>
          <w:p w:rsidR="00E32D31" w:rsidRPr="000A0A5F" w:rsidRDefault="00E32D31" w:rsidP="00510DDC">
            <w:pPr>
              <w:pStyle w:val="TAL"/>
            </w:pPr>
            <w:r w:rsidRPr="000A0A5F">
              <w:t>Dnn</w:t>
            </w:r>
          </w:p>
        </w:tc>
        <w:tc>
          <w:tcPr>
            <w:tcW w:w="1848" w:type="dxa"/>
          </w:tcPr>
          <w:p w:rsidR="00E32D31" w:rsidRPr="000A0A5F" w:rsidRDefault="00E32D31" w:rsidP="00510DDC">
            <w:pPr>
              <w:pStyle w:val="TAL"/>
              <w:rPr>
                <w:lang w:eastAsia="zh-CN"/>
              </w:rPr>
            </w:pPr>
            <w:r w:rsidRPr="000A0A5F">
              <w:rPr>
                <w:lang w:eastAsia="zh-CN"/>
              </w:rPr>
              <w:t>3GPP TS 29.571 [45]</w:t>
            </w:r>
          </w:p>
        </w:tc>
        <w:tc>
          <w:tcPr>
            <w:tcW w:w="5308" w:type="dxa"/>
          </w:tcPr>
          <w:p w:rsidR="00E32D31" w:rsidRPr="000A0A5F" w:rsidRDefault="00E32D31" w:rsidP="00510DDC">
            <w:pPr>
              <w:pStyle w:val="TAL"/>
              <w:rPr>
                <w:noProof/>
              </w:rPr>
            </w:pPr>
            <w:r w:rsidRPr="000A0A5F">
              <w:rPr>
                <w:noProof/>
              </w:rPr>
              <w:t>Identifies a DNN.</w:t>
            </w:r>
          </w:p>
        </w:tc>
      </w:tr>
      <w:tr w:rsidR="00E32D31" w:rsidRPr="000A0A5F" w:rsidTr="00510DDC">
        <w:trPr>
          <w:jc w:val="center"/>
        </w:trPr>
        <w:tc>
          <w:tcPr>
            <w:tcW w:w="2535" w:type="dxa"/>
          </w:tcPr>
          <w:p w:rsidR="00E32D31" w:rsidRPr="000A0A5F" w:rsidRDefault="00E32D31" w:rsidP="00510DDC">
            <w:pPr>
              <w:pStyle w:val="TAL"/>
            </w:pPr>
            <w:r w:rsidRPr="000A0A5F">
              <w:t>Fqdn</w:t>
            </w:r>
          </w:p>
        </w:tc>
        <w:tc>
          <w:tcPr>
            <w:tcW w:w="1848" w:type="dxa"/>
          </w:tcPr>
          <w:p w:rsidR="00E32D31" w:rsidRPr="000A0A5F" w:rsidRDefault="00E32D31" w:rsidP="00510DDC">
            <w:pPr>
              <w:pStyle w:val="TAL"/>
              <w:rPr>
                <w:lang w:eastAsia="zh-CN"/>
              </w:rPr>
            </w:pPr>
            <w:r w:rsidRPr="000A0A5F">
              <w:rPr>
                <w:lang w:eastAsia="zh-CN"/>
              </w:rPr>
              <w:t>3GPP TS 29.571 [45]</w:t>
            </w:r>
          </w:p>
        </w:tc>
        <w:tc>
          <w:tcPr>
            <w:tcW w:w="5308" w:type="dxa"/>
          </w:tcPr>
          <w:p w:rsidR="00E32D31" w:rsidRPr="000A0A5F" w:rsidRDefault="00E32D31" w:rsidP="00510DDC">
            <w:pPr>
              <w:pStyle w:val="TAL"/>
              <w:rPr>
                <w:noProof/>
              </w:rPr>
            </w:pPr>
            <w:r w:rsidRPr="000A0A5F">
              <w:rPr>
                <w:noProof/>
              </w:rPr>
              <w:t>Identifies a FQDN.</w:t>
            </w:r>
          </w:p>
        </w:tc>
      </w:tr>
      <w:tr w:rsidR="00E32D31" w:rsidRPr="000A0A5F" w:rsidTr="00510DDC">
        <w:trPr>
          <w:jc w:val="center"/>
        </w:trPr>
        <w:tc>
          <w:tcPr>
            <w:tcW w:w="2535" w:type="dxa"/>
          </w:tcPr>
          <w:p w:rsidR="00E32D31" w:rsidRPr="000A0A5F" w:rsidRDefault="00E32D31" w:rsidP="00510DDC">
            <w:pPr>
              <w:pStyle w:val="TAL"/>
              <w:rPr>
                <w:lang w:eastAsia="zh-CN"/>
              </w:rPr>
            </w:pPr>
            <w:r w:rsidRPr="000A0A5F">
              <w:rPr>
                <w:rFonts w:hint="eastAsia"/>
                <w:lang w:eastAsia="zh-CN"/>
              </w:rPr>
              <w:t>GeographicArea</w:t>
            </w:r>
          </w:p>
        </w:tc>
        <w:tc>
          <w:tcPr>
            <w:tcW w:w="1848" w:type="dxa"/>
          </w:tcPr>
          <w:p w:rsidR="00E32D31" w:rsidRPr="000A0A5F" w:rsidRDefault="00E32D31" w:rsidP="00510DDC">
            <w:pPr>
              <w:pStyle w:val="TAL"/>
              <w:rPr>
                <w:lang w:val="en-US" w:eastAsia="zh-CN"/>
              </w:rPr>
            </w:pPr>
            <w:r w:rsidRPr="000A0A5F">
              <w:rPr>
                <w:rFonts w:hint="eastAsia"/>
                <w:lang w:eastAsia="zh-CN"/>
              </w:rPr>
              <w:t>3GPP TS 29.572 [</w:t>
            </w:r>
            <w:r w:rsidRPr="000A0A5F">
              <w:rPr>
                <w:lang w:eastAsia="zh-CN"/>
              </w:rPr>
              <w:t>42]</w:t>
            </w:r>
          </w:p>
        </w:tc>
        <w:tc>
          <w:tcPr>
            <w:tcW w:w="5308" w:type="dxa"/>
          </w:tcPr>
          <w:p w:rsidR="00E32D31" w:rsidRPr="000A0A5F" w:rsidRDefault="00E32D31" w:rsidP="00510DDC">
            <w:pPr>
              <w:pStyle w:val="TAL"/>
              <w:rPr>
                <w:rFonts w:cs="Arial"/>
                <w:szCs w:val="18"/>
              </w:rPr>
            </w:pPr>
            <w:r w:rsidRPr="000A0A5F">
              <w:rPr>
                <w:lang w:eastAsia="zh-CN"/>
              </w:rPr>
              <w:t>Identifies the geographical information of the user(s).</w:t>
            </w:r>
          </w:p>
        </w:tc>
      </w:tr>
      <w:tr w:rsidR="00E32D31" w:rsidRPr="000A0A5F" w:rsidTr="00510DDC">
        <w:trPr>
          <w:jc w:val="center"/>
        </w:trPr>
        <w:tc>
          <w:tcPr>
            <w:tcW w:w="2535" w:type="dxa"/>
          </w:tcPr>
          <w:p w:rsidR="00E32D31" w:rsidRPr="000A0A5F" w:rsidRDefault="00E32D31" w:rsidP="00510DDC">
            <w:pPr>
              <w:pStyle w:val="TAL"/>
              <w:rPr>
                <w:lang w:eastAsia="zh-CN"/>
              </w:rPr>
            </w:pPr>
            <w:r w:rsidRPr="000A0A5F">
              <w:rPr>
                <w:lang w:eastAsia="zh-CN"/>
              </w:rPr>
              <w:t>Gpsi</w:t>
            </w:r>
          </w:p>
        </w:tc>
        <w:tc>
          <w:tcPr>
            <w:tcW w:w="1848" w:type="dxa"/>
          </w:tcPr>
          <w:p w:rsidR="00E32D31" w:rsidRPr="000A0A5F" w:rsidRDefault="00E32D31" w:rsidP="00510DDC">
            <w:pPr>
              <w:pStyle w:val="TAL"/>
              <w:rPr>
                <w:lang w:eastAsia="zh-CN"/>
              </w:rPr>
            </w:pPr>
            <w:r w:rsidRPr="000A0A5F">
              <w:rPr>
                <w:lang w:eastAsia="zh-CN"/>
              </w:rPr>
              <w:t>3GPP TS 29.571 [45]</w:t>
            </w:r>
          </w:p>
        </w:tc>
        <w:tc>
          <w:tcPr>
            <w:tcW w:w="5308" w:type="dxa"/>
          </w:tcPr>
          <w:p w:rsidR="00E32D31" w:rsidRPr="000A0A5F" w:rsidRDefault="00E32D31" w:rsidP="00510DDC">
            <w:pPr>
              <w:pStyle w:val="TAL"/>
              <w:rPr>
                <w:lang w:eastAsia="zh-CN"/>
              </w:rPr>
            </w:pPr>
            <w:r w:rsidRPr="000A0A5F">
              <w:rPr>
                <w:noProof/>
              </w:rPr>
              <w:t>Represents a GPSI.</w:t>
            </w:r>
          </w:p>
        </w:tc>
      </w:tr>
      <w:tr w:rsidR="00E32D31" w:rsidRPr="000A0A5F" w:rsidTr="00510DDC">
        <w:trPr>
          <w:jc w:val="center"/>
        </w:trPr>
        <w:tc>
          <w:tcPr>
            <w:tcW w:w="2535" w:type="dxa"/>
          </w:tcPr>
          <w:p w:rsidR="00E32D31" w:rsidRPr="000A0A5F" w:rsidRDefault="00E32D31" w:rsidP="00510DDC">
            <w:pPr>
              <w:pStyle w:val="TAL"/>
              <w:rPr>
                <w:lang w:eastAsia="zh-CN"/>
              </w:rPr>
            </w:pPr>
            <w:r w:rsidRPr="000A0A5F">
              <w:rPr>
                <w:lang w:eastAsia="zh-CN"/>
              </w:rPr>
              <w:t>IpAddr</w:t>
            </w:r>
          </w:p>
        </w:tc>
        <w:tc>
          <w:tcPr>
            <w:tcW w:w="1848" w:type="dxa"/>
          </w:tcPr>
          <w:p w:rsidR="00E32D31" w:rsidRPr="000A0A5F" w:rsidRDefault="00E32D31" w:rsidP="00510DDC">
            <w:pPr>
              <w:pStyle w:val="TAL"/>
              <w:rPr>
                <w:lang w:eastAsia="zh-CN"/>
              </w:rPr>
            </w:pPr>
            <w:r w:rsidRPr="000A0A5F">
              <w:rPr>
                <w:lang w:eastAsia="zh-CN"/>
              </w:rPr>
              <w:t>3GPP TS 29.571 [45]</w:t>
            </w:r>
          </w:p>
        </w:tc>
        <w:tc>
          <w:tcPr>
            <w:tcW w:w="5308" w:type="dxa"/>
          </w:tcPr>
          <w:p w:rsidR="00E32D31" w:rsidRPr="000A0A5F" w:rsidRDefault="00E32D31" w:rsidP="00510DDC">
            <w:pPr>
              <w:pStyle w:val="TAL"/>
              <w:rPr>
                <w:lang w:eastAsia="zh-CN"/>
              </w:rPr>
            </w:pPr>
            <w:r w:rsidRPr="000A0A5F">
              <w:rPr>
                <w:lang w:eastAsia="zh-CN"/>
              </w:rPr>
              <w:t>UE IP Address.</w:t>
            </w:r>
          </w:p>
        </w:tc>
      </w:tr>
      <w:tr w:rsidR="00E32D31" w:rsidRPr="000A0A5F" w:rsidTr="00510DDC">
        <w:trPr>
          <w:jc w:val="center"/>
        </w:trPr>
        <w:tc>
          <w:tcPr>
            <w:tcW w:w="2535" w:type="dxa"/>
          </w:tcPr>
          <w:p w:rsidR="00E32D31" w:rsidRPr="000A0A5F" w:rsidRDefault="00E32D31" w:rsidP="00510DDC">
            <w:pPr>
              <w:pStyle w:val="TAL"/>
            </w:pPr>
            <w:r w:rsidRPr="000A0A5F">
              <w:rPr>
                <w:rFonts w:hint="eastAsia"/>
              </w:rPr>
              <w:t>LocationQoS</w:t>
            </w:r>
          </w:p>
        </w:tc>
        <w:tc>
          <w:tcPr>
            <w:tcW w:w="1848" w:type="dxa"/>
          </w:tcPr>
          <w:p w:rsidR="00E32D31" w:rsidRPr="000A0A5F" w:rsidRDefault="00E32D31" w:rsidP="00510DDC">
            <w:pPr>
              <w:pStyle w:val="TAL"/>
              <w:rPr>
                <w:lang w:eastAsia="zh-CN"/>
              </w:rPr>
            </w:pPr>
            <w:r w:rsidRPr="000A0A5F">
              <w:rPr>
                <w:rFonts w:hint="eastAsia"/>
                <w:lang w:eastAsia="zh-CN"/>
              </w:rPr>
              <w:t>3GPP TS 29.572 [</w:t>
            </w:r>
            <w:r w:rsidRPr="000A0A5F">
              <w:rPr>
                <w:lang w:eastAsia="zh-CN"/>
              </w:rPr>
              <w:t>42]</w:t>
            </w:r>
          </w:p>
        </w:tc>
        <w:tc>
          <w:tcPr>
            <w:tcW w:w="5308" w:type="dxa"/>
          </w:tcPr>
          <w:p w:rsidR="00E32D31" w:rsidRPr="000A0A5F" w:rsidRDefault="00E32D31" w:rsidP="00510DDC">
            <w:pPr>
              <w:pStyle w:val="TAL"/>
              <w:rPr>
                <w:lang w:eastAsia="zh-CN"/>
              </w:rPr>
            </w:pPr>
            <w:r w:rsidRPr="000A0A5F">
              <w:rPr>
                <w:lang w:eastAsia="zh-CN"/>
              </w:rPr>
              <w:t>R</w:t>
            </w:r>
            <w:r w:rsidRPr="000A0A5F">
              <w:rPr>
                <w:rFonts w:hint="eastAsia"/>
                <w:lang w:eastAsia="zh-CN"/>
              </w:rPr>
              <w:t>equested location QoS</w:t>
            </w:r>
            <w:r w:rsidRPr="000A0A5F">
              <w:rPr>
                <w:lang w:eastAsia="zh-CN"/>
              </w:rPr>
              <w:t>.</w:t>
            </w:r>
          </w:p>
        </w:tc>
      </w:tr>
      <w:tr w:rsidR="00E32D31" w:rsidRPr="000A0A5F" w:rsidTr="00510DDC">
        <w:trPr>
          <w:jc w:val="center"/>
        </w:trPr>
        <w:tc>
          <w:tcPr>
            <w:tcW w:w="2535" w:type="dxa"/>
          </w:tcPr>
          <w:p w:rsidR="00E32D31" w:rsidRPr="000A0A5F" w:rsidRDefault="00E32D31" w:rsidP="00510DDC">
            <w:pPr>
              <w:pStyle w:val="TAL"/>
            </w:pPr>
            <w:r w:rsidRPr="000A0A5F">
              <w:rPr>
                <w:rFonts w:hint="eastAsia"/>
              </w:rPr>
              <w:t>LdrType</w:t>
            </w:r>
          </w:p>
        </w:tc>
        <w:tc>
          <w:tcPr>
            <w:tcW w:w="1848" w:type="dxa"/>
          </w:tcPr>
          <w:p w:rsidR="00E32D31" w:rsidRPr="000A0A5F" w:rsidRDefault="00E32D31" w:rsidP="00510DDC">
            <w:pPr>
              <w:pStyle w:val="TAL"/>
              <w:rPr>
                <w:lang w:eastAsia="zh-CN"/>
              </w:rPr>
            </w:pPr>
            <w:r w:rsidRPr="000A0A5F">
              <w:rPr>
                <w:rFonts w:hint="eastAsia"/>
                <w:lang w:eastAsia="zh-CN"/>
              </w:rPr>
              <w:t>3GPP TS 29.572 [</w:t>
            </w:r>
            <w:r w:rsidRPr="000A0A5F">
              <w:rPr>
                <w:lang w:eastAsia="zh-CN"/>
              </w:rPr>
              <w:t>42]</w:t>
            </w:r>
          </w:p>
        </w:tc>
        <w:tc>
          <w:tcPr>
            <w:tcW w:w="5308" w:type="dxa"/>
          </w:tcPr>
          <w:p w:rsidR="00E32D31" w:rsidRPr="000A0A5F" w:rsidRDefault="00E32D31" w:rsidP="00510DDC">
            <w:pPr>
              <w:pStyle w:val="TAL"/>
              <w:rPr>
                <w:lang w:eastAsia="zh-CN"/>
              </w:rPr>
            </w:pPr>
            <w:r w:rsidRPr="000A0A5F">
              <w:rPr>
                <w:lang w:eastAsia="zh-CN"/>
              </w:rPr>
              <w:t>L</w:t>
            </w:r>
            <w:r w:rsidRPr="000A0A5F">
              <w:rPr>
                <w:rFonts w:hint="eastAsia"/>
                <w:lang w:eastAsia="zh-CN"/>
              </w:rPr>
              <w:t>ocation deferred requested event type</w:t>
            </w:r>
            <w:r w:rsidRPr="000A0A5F">
              <w:rPr>
                <w:lang w:eastAsia="zh-CN"/>
              </w:rPr>
              <w:t>.</w:t>
            </w:r>
          </w:p>
        </w:tc>
      </w:tr>
      <w:tr w:rsidR="00E32D31" w:rsidRPr="000A0A5F" w:rsidTr="00510DDC">
        <w:trPr>
          <w:jc w:val="center"/>
        </w:trPr>
        <w:tc>
          <w:tcPr>
            <w:tcW w:w="2535" w:type="dxa"/>
          </w:tcPr>
          <w:p w:rsidR="00E32D31" w:rsidRPr="000A0A5F" w:rsidRDefault="00E32D31" w:rsidP="00510DDC">
            <w:pPr>
              <w:pStyle w:val="TAL"/>
            </w:pPr>
            <w:r w:rsidRPr="000A0A5F">
              <w:t>MinorLocationQoS</w:t>
            </w:r>
          </w:p>
        </w:tc>
        <w:tc>
          <w:tcPr>
            <w:tcW w:w="1848" w:type="dxa"/>
          </w:tcPr>
          <w:p w:rsidR="00E32D31" w:rsidRPr="000A0A5F" w:rsidRDefault="00E32D31" w:rsidP="00510DDC">
            <w:pPr>
              <w:pStyle w:val="TAL"/>
              <w:rPr>
                <w:lang w:eastAsia="zh-CN"/>
              </w:rPr>
            </w:pPr>
            <w:r w:rsidRPr="000A0A5F">
              <w:rPr>
                <w:rFonts w:hint="eastAsia"/>
                <w:lang w:eastAsia="zh-CN"/>
              </w:rPr>
              <w:t>3GPP TS 29.572 [</w:t>
            </w:r>
            <w:r w:rsidRPr="000A0A5F">
              <w:rPr>
                <w:lang w:eastAsia="zh-CN"/>
              </w:rPr>
              <w:t>42]</w:t>
            </w:r>
          </w:p>
        </w:tc>
        <w:tc>
          <w:tcPr>
            <w:tcW w:w="5308" w:type="dxa"/>
          </w:tcPr>
          <w:p w:rsidR="00E32D31" w:rsidRPr="000A0A5F" w:rsidRDefault="00E32D31" w:rsidP="00510DDC">
            <w:pPr>
              <w:pStyle w:val="TAL"/>
              <w:rPr>
                <w:lang w:eastAsia="zh-CN"/>
              </w:rPr>
            </w:pPr>
            <w:r w:rsidRPr="000A0A5F">
              <w:rPr>
                <w:lang w:eastAsia="zh-CN"/>
              </w:rPr>
              <w:t>Minor Location QoS.</w:t>
            </w:r>
          </w:p>
        </w:tc>
      </w:tr>
      <w:tr w:rsidR="00E32D31" w:rsidRPr="000A0A5F" w:rsidTr="00510DDC">
        <w:trPr>
          <w:jc w:val="center"/>
        </w:trPr>
        <w:tc>
          <w:tcPr>
            <w:tcW w:w="2535" w:type="dxa"/>
          </w:tcPr>
          <w:p w:rsidR="00E32D31" w:rsidRPr="000A0A5F" w:rsidRDefault="00E32D31" w:rsidP="00510DDC">
            <w:pPr>
              <w:pStyle w:val="TAL"/>
            </w:pPr>
            <w:r w:rsidRPr="000A0A5F">
              <w:rPr>
                <w:rFonts w:hint="eastAsia"/>
              </w:rPr>
              <w:t>VelocityRequested</w:t>
            </w:r>
          </w:p>
        </w:tc>
        <w:tc>
          <w:tcPr>
            <w:tcW w:w="1848" w:type="dxa"/>
          </w:tcPr>
          <w:p w:rsidR="00E32D31" w:rsidRPr="000A0A5F" w:rsidRDefault="00E32D31" w:rsidP="00510DDC">
            <w:pPr>
              <w:pStyle w:val="TAL"/>
              <w:rPr>
                <w:lang w:eastAsia="zh-CN"/>
              </w:rPr>
            </w:pPr>
            <w:r w:rsidRPr="000A0A5F">
              <w:rPr>
                <w:rFonts w:hint="eastAsia"/>
                <w:lang w:eastAsia="zh-CN"/>
              </w:rPr>
              <w:t>3GPP TS 29.572 [</w:t>
            </w:r>
            <w:r w:rsidRPr="000A0A5F">
              <w:rPr>
                <w:lang w:eastAsia="zh-CN"/>
              </w:rPr>
              <w:t>42]</w:t>
            </w:r>
          </w:p>
        </w:tc>
        <w:tc>
          <w:tcPr>
            <w:tcW w:w="5308" w:type="dxa"/>
          </w:tcPr>
          <w:p w:rsidR="00E32D31" w:rsidRPr="000A0A5F" w:rsidRDefault="00E32D31" w:rsidP="00510DDC">
            <w:pPr>
              <w:pStyle w:val="TAL"/>
              <w:rPr>
                <w:lang w:eastAsia="zh-CN"/>
              </w:rPr>
            </w:pPr>
            <w:r w:rsidRPr="000A0A5F">
              <w:rPr>
                <w:rFonts w:hint="eastAsia"/>
                <w:lang w:eastAsia="zh-CN"/>
              </w:rPr>
              <w:t>Velocity of the target UE requested</w:t>
            </w:r>
            <w:r w:rsidRPr="000A0A5F">
              <w:rPr>
                <w:lang w:eastAsia="zh-CN"/>
              </w:rPr>
              <w:t>.</w:t>
            </w:r>
          </w:p>
        </w:tc>
      </w:tr>
      <w:tr w:rsidR="00E32D31" w:rsidRPr="000A0A5F" w:rsidTr="00510DDC">
        <w:trPr>
          <w:jc w:val="center"/>
        </w:trPr>
        <w:tc>
          <w:tcPr>
            <w:tcW w:w="2535" w:type="dxa"/>
          </w:tcPr>
          <w:p w:rsidR="00E32D31" w:rsidRPr="000A0A5F" w:rsidRDefault="00E32D31" w:rsidP="00510DDC">
            <w:pPr>
              <w:pStyle w:val="TAL"/>
            </w:pPr>
            <w:r w:rsidRPr="000A0A5F">
              <w:rPr>
                <w:rFonts w:hint="eastAsia"/>
              </w:rPr>
              <w:t>AgeOfLocationEstimate</w:t>
            </w:r>
          </w:p>
        </w:tc>
        <w:tc>
          <w:tcPr>
            <w:tcW w:w="1848" w:type="dxa"/>
          </w:tcPr>
          <w:p w:rsidR="00E32D31" w:rsidRPr="000A0A5F" w:rsidRDefault="00E32D31" w:rsidP="00510DDC">
            <w:pPr>
              <w:pStyle w:val="TAL"/>
              <w:rPr>
                <w:lang w:eastAsia="zh-CN"/>
              </w:rPr>
            </w:pPr>
            <w:r w:rsidRPr="000A0A5F">
              <w:rPr>
                <w:rFonts w:hint="eastAsia"/>
                <w:lang w:eastAsia="zh-CN"/>
              </w:rPr>
              <w:t>3GPP TS 29.572 [</w:t>
            </w:r>
            <w:r w:rsidRPr="000A0A5F">
              <w:rPr>
                <w:lang w:eastAsia="zh-CN"/>
              </w:rPr>
              <w:t>42]</w:t>
            </w:r>
          </w:p>
        </w:tc>
        <w:tc>
          <w:tcPr>
            <w:tcW w:w="5308" w:type="dxa"/>
          </w:tcPr>
          <w:p w:rsidR="00E32D31" w:rsidRPr="000A0A5F" w:rsidRDefault="00E32D31" w:rsidP="00510DDC">
            <w:pPr>
              <w:pStyle w:val="TAL"/>
              <w:rPr>
                <w:lang w:eastAsia="zh-CN"/>
              </w:rPr>
            </w:pPr>
            <w:r w:rsidRPr="000A0A5F">
              <w:rPr>
                <w:rFonts w:hint="eastAsia"/>
                <w:lang w:eastAsia="zh-CN"/>
              </w:rPr>
              <w:t>Age of the location estimate</w:t>
            </w:r>
            <w:r w:rsidRPr="000A0A5F">
              <w:rPr>
                <w:lang w:eastAsia="zh-CN"/>
              </w:rPr>
              <w:t xml:space="preserve"> for change of location type or motion type of Location deferred report.</w:t>
            </w:r>
          </w:p>
        </w:tc>
      </w:tr>
      <w:tr w:rsidR="00E32D31" w:rsidRPr="000A0A5F" w:rsidTr="00510DDC">
        <w:trPr>
          <w:jc w:val="center"/>
        </w:trPr>
        <w:tc>
          <w:tcPr>
            <w:tcW w:w="2535" w:type="dxa"/>
          </w:tcPr>
          <w:p w:rsidR="00E32D31" w:rsidRPr="000A0A5F" w:rsidRDefault="00E32D31" w:rsidP="00510DDC">
            <w:pPr>
              <w:pStyle w:val="TAL"/>
            </w:pPr>
            <w:r w:rsidRPr="000A0A5F">
              <w:t>Accuracy</w:t>
            </w:r>
            <w:r w:rsidRPr="000A0A5F">
              <w:rPr>
                <w:rFonts w:hint="eastAsia"/>
              </w:rPr>
              <w:t>FulfilmentIndicator</w:t>
            </w:r>
          </w:p>
        </w:tc>
        <w:tc>
          <w:tcPr>
            <w:tcW w:w="1848" w:type="dxa"/>
          </w:tcPr>
          <w:p w:rsidR="00E32D31" w:rsidRPr="000A0A5F" w:rsidRDefault="00E32D31" w:rsidP="00510DDC">
            <w:pPr>
              <w:pStyle w:val="TAL"/>
              <w:rPr>
                <w:lang w:eastAsia="zh-CN"/>
              </w:rPr>
            </w:pPr>
            <w:r w:rsidRPr="000A0A5F">
              <w:rPr>
                <w:rFonts w:hint="eastAsia"/>
                <w:lang w:eastAsia="zh-CN"/>
              </w:rPr>
              <w:t>3GPP TS 29.572 [</w:t>
            </w:r>
            <w:r w:rsidRPr="000A0A5F">
              <w:rPr>
                <w:lang w:eastAsia="zh-CN"/>
              </w:rPr>
              <w:t>42]</w:t>
            </w:r>
          </w:p>
        </w:tc>
        <w:tc>
          <w:tcPr>
            <w:tcW w:w="5308" w:type="dxa"/>
          </w:tcPr>
          <w:p w:rsidR="00E32D31" w:rsidRPr="000A0A5F" w:rsidRDefault="00E32D31" w:rsidP="00510DDC">
            <w:pPr>
              <w:pStyle w:val="TAL"/>
              <w:rPr>
                <w:lang w:eastAsia="zh-CN"/>
              </w:rPr>
            </w:pPr>
            <w:r w:rsidRPr="000A0A5F">
              <w:rPr>
                <w:rFonts w:hint="eastAsia"/>
                <w:lang w:eastAsia="zh-CN"/>
              </w:rPr>
              <w:t>The indication whether the obtained location estimate satisfies the requested QoS or not</w:t>
            </w:r>
            <w:r w:rsidRPr="000A0A5F">
              <w:rPr>
                <w:lang w:eastAsia="zh-CN"/>
              </w:rPr>
              <w:t>.</w:t>
            </w:r>
          </w:p>
        </w:tc>
      </w:tr>
      <w:tr w:rsidR="00E32D31" w:rsidRPr="000A0A5F" w:rsidTr="00510DDC">
        <w:trPr>
          <w:jc w:val="center"/>
        </w:trPr>
        <w:tc>
          <w:tcPr>
            <w:tcW w:w="2535" w:type="dxa"/>
          </w:tcPr>
          <w:p w:rsidR="00E32D31" w:rsidRPr="000A0A5F" w:rsidRDefault="00E32D31" w:rsidP="00510DDC">
            <w:pPr>
              <w:pStyle w:val="TAL"/>
            </w:pPr>
            <w:r w:rsidRPr="000A0A5F">
              <w:rPr>
                <w:rFonts w:hint="eastAsia"/>
              </w:rPr>
              <w:t>VelocityEstimate</w:t>
            </w:r>
          </w:p>
        </w:tc>
        <w:tc>
          <w:tcPr>
            <w:tcW w:w="1848" w:type="dxa"/>
          </w:tcPr>
          <w:p w:rsidR="00E32D31" w:rsidRPr="000A0A5F" w:rsidRDefault="00E32D31" w:rsidP="00510DDC">
            <w:pPr>
              <w:pStyle w:val="TAL"/>
              <w:rPr>
                <w:lang w:eastAsia="zh-CN"/>
              </w:rPr>
            </w:pPr>
            <w:r w:rsidRPr="000A0A5F">
              <w:rPr>
                <w:rFonts w:hint="eastAsia"/>
                <w:lang w:eastAsia="zh-CN"/>
              </w:rPr>
              <w:t>3GPP TS 29.572 [</w:t>
            </w:r>
            <w:r w:rsidRPr="000A0A5F">
              <w:rPr>
                <w:lang w:eastAsia="zh-CN"/>
              </w:rPr>
              <w:t>42]</w:t>
            </w:r>
          </w:p>
        </w:tc>
        <w:tc>
          <w:tcPr>
            <w:tcW w:w="5308" w:type="dxa"/>
          </w:tcPr>
          <w:p w:rsidR="00E32D31" w:rsidRPr="000A0A5F" w:rsidRDefault="00E32D31" w:rsidP="00510DDC">
            <w:pPr>
              <w:pStyle w:val="TAL"/>
              <w:rPr>
                <w:lang w:eastAsia="zh-CN"/>
              </w:rPr>
            </w:pPr>
            <w:r w:rsidRPr="000A0A5F">
              <w:rPr>
                <w:rFonts w:hint="eastAsia"/>
                <w:lang w:eastAsia="zh-CN"/>
              </w:rPr>
              <w:t>UE velocity, if requested and available</w:t>
            </w:r>
            <w:r w:rsidRPr="000A0A5F">
              <w:rPr>
                <w:lang w:eastAsia="zh-CN"/>
              </w:rPr>
              <w:t>.</w:t>
            </w:r>
          </w:p>
        </w:tc>
      </w:tr>
      <w:tr w:rsidR="00E32D31" w:rsidRPr="000A0A5F" w:rsidTr="00510DDC">
        <w:trPr>
          <w:jc w:val="center"/>
        </w:trPr>
        <w:tc>
          <w:tcPr>
            <w:tcW w:w="2535" w:type="dxa"/>
          </w:tcPr>
          <w:p w:rsidR="00E32D31" w:rsidRPr="000A0A5F" w:rsidRDefault="00E32D31" w:rsidP="00510DDC">
            <w:pPr>
              <w:pStyle w:val="TAL"/>
            </w:pPr>
            <w:r w:rsidRPr="000A0A5F">
              <w:rPr>
                <w:rFonts w:hint="eastAsia"/>
              </w:rPr>
              <w:t>L</w:t>
            </w:r>
            <w:r w:rsidRPr="000A0A5F">
              <w:t>inearDistance</w:t>
            </w:r>
          </w:p>
        </w:tc>
        <w:tc>
          <w:tcPr>
            <w:tcW w:w="1848" w:type="dxa"/>
          </w:tcPr>
          <w:p w:rsidR="00E32D31" w:rsidRPr="000A0A5F" w:rsidRDefault="00E32D31" w:rsidP="00510DDC">
            <w:pPr>
              <w:pStyle w:val="TAL"/>
              <w:rPr>
                <w:lang w:eastAsia="zh-CN"/>
              </w:rPr>
            </w:pPr>
            <w:r w:rsidRPr="000A0A5F">
              <w:rPr>
                <w:lang w:eastAsia="zh-CN"/>
              </w:rPr>
              <w:t>3GPP TS 29.5</w:t>
            </w:r>
            <w:r w:rsidRPr="000A0A5F">
              <w:rPr>
                <w:rFonts w:hint="eastAsia"/>
                <w:lang w:eastAsia="zh-CN"/>
              </w:rPr>
              <w:t>72</w:t>
            </w:r>
            <w:r w:rsidRPr="000A0A5F">
              <w:rPr>
                <w:lang w:eastAsia="zh-CN"/>
              </w:rPr>
              <w:t> [</w:t>
            </w:r>
            <w:r w:rsidRPr="000A0A5F">
              <w:rPr>
                <w:rFonts w:hint="eastAsia"/>
                <w:lang w:eastAsia="zh-CN"/>
              </w:rPr>
              <w:t>42</w:t>
            </w:r>
            <w:r w:rsidRPr="000A0A5F">
              <w:rPr>
                <w:lang w:eastAsia="zh-CN"/>
              </w:rPr>
              <w:t>]</w:t>
            </w:r>
          </w:p>
        </w:tc>
        <w:tc>
          <w:tcPr>
            <w:tcW w:w="5308" w:type="dxa"/>
          </w:tcPr>
          <w:p w:rsidR="00E32D31" w:rsidRPr="000A0A5F" w:rsidRDefault="00E32D31" w:rsidP="00510DDC">
            <w:pPr>
              <w:pStyle w:val="TAL"/>
              <w:rPr>
                <w:lang w:eastAsia="zh-CN"/>
              </w:rPr>
            </w:pPr>
            <w:r w:rsidRPr="000A0A5F">
              <w:rPr>
                <w:lang w:eastAsia="zh-CN"/>
              </w:rPr>
              <w:t>This IE shall be present and set to true if a location estimate is required for motion event report.</w:t>
            </w:r>
          </w:p>
        </w:tc>
      </w:tr>
      <w:tr w:rsidR="00E32D31" w:rsidRPr="000A0A5F" w:rsidTr="00510DDC">
        <w:trPr>
          <w:jc w:val="center"/>
        </w:trPr>
        <w:tc>
          <w:tcPr>
            <w:tcW w:w="2535" w:type="dxa"/>
          </w:tcPr>
          <w:p w:rsidR="00E32D31" w:rsidRPr="000A0A5F" w:rsidRDefault="00E32D31" w:rsidP="00510DDC">
            <w:pPr>
              <w:pStyle w:val="TAL"/>
              <w:rPr>
                <w:noProof/>
                <w:lang w:eastAsia="zh-CN"/>
              </w:rPr>
            </w:pPr>
            <w:r w:rsidRPr="000A0A5F">
              <w:t>NetworkAreaInfo</w:t>
            </w:r>
          </w:p>
        </w:tc>
        <w:tc>
          <w:tcPr>
            <w:tcW w:w="1848" w:type="dxa"/>
          </w:tcPr>
          <w:p w:rsidR="00E32D31" w:rsidRPr="000A0A5F" w:rsidRDefault="00E32D31" w:rsidP="00510DDC">
            <w:pPr>
              <w:pStyle w:val="TAL"/>
              <w:rPr>
                <w:noProof/>
              </w:rPr>
            </w:pPr>
            <w:r w:rsidRPr="000A0A5F">
              <w:rPr>
                <w:noProof/>
              </w:rPr>
              <w:t>3GPP TS 29.554 [50]</w:t>
            </w:r>
          </w:p>
        </w:tc>
        <w:tc>
          <w:tcPr>
            <w:tcW w:w="5308" w:type="dxa"/>
          </w:tcPr>
          <w:p w:rsidR="00E32D31" w:rsidRPr="000A0A5F" w:rsidRDefault="00E32D31" w:rsidP="00510DDC">
            <w:pPr>
              <w:pStyle w:val="TAL"/>
              <w:rPr>
                <w:rFonts w:cs="Arial"/>
                <w:noProof/>
                <w:szCs w:val="18"/>
              </w:rPr>
            </w:pPr>
            <w:r w:rsidRPr="000A0A5F">
              <w:rPr>
                <w:rFonts w:cs="Arial"/>
                <w:noProof/>
                <w:szCs w:val="18"/>
              </w:rPr>
              <w:t xml:space="preserve">Identifies </w:t>
            </w:r>
            <w:r w:rsidRPr="000A0A5F">
              <w:rPr>
                <w:rFonts w:cs="Arial"/>
                <w:szCs w:val="18"/>
                <w:lang w:eastAsia="zh-CN"/>
              </w:rPr>
              <w:t>a</w:t>
            </w:r>
            <w:r w:rsidRPr="000A0A5F">
              <w:rPr>
                <w:rFonts w:cs="Arial"/>
              </w:rPr>
              <w:t xml:space="preserve"> network area information</w:t>
            </w:r>
            <w:r w:rsidRPr="000A0A5F">
              <w:rPr>
                <w:rFonts w:cs="Arial"/>
                <w:noProof/>
                <w:szCs w:val="18"/>
              </w:rPr>
              <w:t>.</w:t>
            </w:r>
          </w:p>
        </w:tc>
      </w:tr>
      <w:tr w:rsidR="00E32D31" w:rsidRPr="000A0A5F" w:rsidTr="00510DDC">
        <w:trPr>
          <w:jc w:val="center"/>
        </w:trPr>
        <w:tc>
          <w:tcPr>
            <w:tcW w:w="2535" w:type="dxa"/>
          </w:tcPr>
          <w:p w:rsidR="00E32D31" w:rsidRPr="000A0A5F" w:rsidRDefault="00E32D31" w:rsidP="00510DDC">
            <w:pPr>
              <w:pStyle w:val="TAL"/>
            </w:pPr>
            <w:r w:rsidRPr="000A0A5F">
              <w:t>PatchItem</w:t>
            </w:r>
          </w:p>
        </w:tc>
        <w:tc>
          <w:tcPr>
            <w:tcW w:w="1848" w:type="dxa"/>
          </w:tcPr>
          <w:p w:rsidR="00E32D31" w:rsidRPr="000A0A5F" w:rsidRDefault="00E32D31" w:rsidP="00510DDC">
            <w:pPr>
              <w:pStyle w:val="TAL"/>
              <w:rPr>
                <w:noProof/>
              </w:rPr>
            </w:pPr>
            <w:r w:rsidRPr="000A0A5F">
              <w:rPr>
                <w:lang w:eastAsia="zh-CN"/>
              </w:rPr>
              <w:t>3GPP TS 29.571 [45]</w:t>
            </w:r>
          </w:p>
        </w:tc>
        <w:tc>
          <w:tcPr>
            <w:tcW w:w="5308" w:type="dxa"/>
          </w:tcPr>
          <w:p w:rsidR="00E32D31" w:rsidRPr="000A0A5F" w:rsidRDefault="00E32D31" w:rsidP="00510DDC">
            <w:pPr>
              <w:pStyle w:val="TAL"/>
              <w:rPr>
                <w:rFonts w:cs="Arial"/>
                <w:noProof/>
                <w:szCs w:val="18"/>
              </w:rPr>
            </w:pPr>
            <w:r w:rsidRPr="000A0A5F">
              <w:t>Contains the list of changes to be made to a resource according to the JSON PATCH format specified in IETF RFC 6902 [67].</w:t>
            </w:r>
          </w:p>
        </w:tc>
      </w:tr>
      <w:tr w:rsidR="00E32D31" w:rsidRPr="000A0A5F" w:rsidTr="00510DDC">
        <w:trPr>
          <w:jc w:val="center"/>
        </w:trPr>
        <w:tc>
          <w:tcPr>
            <w:tcW w:w="2535" w:type="dxa"/>
          </w:tcPr>
          <w:p w:rsidR="00E32D31" w:rsidRPr="000A0A5F" w:rsidRDefault="00E32D31" w:rsidP="00510DDC">
            <w:pPr>
              <w:pStyle w:val="TAL"/>
            </w:pPr>
            <w:r w:rsidRPr="000A0A5F">
              <w:t>PduSessionInformation</w:t>
            </w:r>
          </w:p>
        </w:tc>
        <w:tc>
          <w:tcPr>
            <w:tcW w:w="1848" w:type="dxa"/>
          </w:tcPr>
          <w:p w:rsidR="00E32D31" w:rsidRPr="000A0A5F" w:rsidRDefault="00E32D31" w:rsidP="00510DDC">
            <w:pPr>
              <w:pStyle w:val="TAL"/>
              <w:rPr>
                <w:lang w:eastAsia="zh-CN"/>
              </w:rPr>
            </w:pPr>
            <w:r w:rsidRPr="000A0A5F">
              <w:rPr>
                <w:lang w:eastAsia="zh-CN"/>
              </w:rPr>
              <w:t>3GPP TS 29.523 [70]</w:t>
            </w:r>
          </w:p>
        </w:tc>
        <w:tc>
          <w:tcPr>
            <w:tcW w:w="5308" w:type="dxa"/>
          </w:tcPr>
          <w:p w:rsidR="00E32D31" w:rsidRPr="000A0A5F" w:rsidRDefault="00E32D31" w:rsidP="00510DDC">
            <w:pPr>
              <w:pStyle w:val="TAL"/>
              <w:rPr>
                <w:lang w:val="fr-FR"/>
              </w:rPr>
            </w:pPr>
            <w:r w:rsidRPr="000A0A5F">
              <w:rPr>
                <w:lang w:val="fr-FR"/>
              </w:rPr>
              <w:t>Represents PDU session identification information.</w:t>
            </w:r>
          </w:p>
        </w:tc>
      </w:tr>
      <w:tr w:rsidR="00E32D31" w:rsidRPr="000A0A5F" w:rsidTr="00510DDC">
        <w:trPr>
          <w:jc w:val="center"/>
        </w:trPr>
        <w:tc>
          <w:tcPr>
            <w:tcW w:w="2535" w:type="dxa"/>
          </w:tcPr>
          <w:p w:rsidR="00E32D31" w:rsidRPr="000A0A5F" w:rsidRDefault="00E32D31" w:rsidP="00510DDC">
            <w:pPr>
              <w:pStyle w:val="TAL"/>
            </w:pPr>
            <w:r w:rsidRPr="000A0A5F">
              <w:t>PositioningMethod</w:t>
            </w:r>
          </w:p>
        </w:tc>
        <w:tc>
          <w:tcPr>
            <w:tcW w:w="1848" w:type="dxa"/>
          </w:tcPr>
          <w:p w:rsidR="00E32D31" w:rsidRPr="000A0A5F" w:rsidRDefault="00E32D31" w:rsidP="00510DDC">
            <w:pPr>
              <w:pStyle w:val="TAL"/>
              <w:rPr>
                <w:noProof/>
              </w:rPr>
            </w:pPr>
            <w:r w:rsidRPr="000A0A5F">
              <w:rPr>
                <w:rFonts w:hint="eastAsia"/>
                <w:noProof/>
              </w:rPr>
              <w:t>3GPP TS 29.572 [</w:t>
            </w:r>
            <w:r w:rsidRPr="000A0A5F">
              <w:rPr>
                <w:noProof/>
              </w:rPr>
              <w:t>42]</w:t>
            </w:r>
          </w:p>
        </w:tc>
        <w:tc>
          <w:tcPr>
            <w:tcW w:w="5308" w:type="dxa"/>
          </w:tcPr>
          <w:p w:rsidR="00E32D31" w:rsidRPr="000A0A5F" w:rsidRDefault="00E32D31" w:rsidP="00510DDC">
            <w:pPr>
              <w:pStyle w:val="TAL"/>
              <w:rPr>
                <w:rFonts w:cs="Arial"/>
                <w:noProof/>
                <w:szCs w:val="18"/>
              </w:rPr>
            </w:pPr>
            <w:r w:rsidRPr="000A0A5F">
              <w:rPr>
                <w:rFonts w:cs="Arial"/>
                <w:noProof/>
                <w:szCs w:val="18"/>
              </w:rPr>
              <w:t>Identifies the positioning method used to obtain the location estimate of the UE.</w:t>
            </w:r>
          </w:p>
        </w:tc>
      </w:tr>
      <w:tr w:rsidR="00E32D31" w:rsidRPr="000A0A5F" w:rsidTr="00510DDC">
        <w:trPr>
          <w:jc w:val="center"/>
        </w:trPr>
        <w:tc>
          <w:tcPr>
            <w:tcW w:w="2535" w:type="dxa"/>
          </w:tcPr>
          <w:p w:rsidR="00E32D31" w:rsidRPr="000A0A5F" w:rsidRDefault="00E32D31" w:rsidP="00510DDC">
            <w:pPr>
              <w:pStyle w:val="TAL"/>
            </w:pPr>
            <w:r w:rsidRPr="000A0A5F">
              <w:rPr>
                <w:lang w:eastAsia="zh-CN"/>
              </w:rPr>
              <w:t>SACEventStatus</w:t>
            </w:r>
          </w:p>
        </w:tc>
        <w:tc>
          <w:tcPr>
            <w:tcW w:w="1848" w:type="dxa"/>
          </w:tcPr>
          <w:p w:rsidR="00E32D31" w:rsidRPr="000A0A5F" w:rsidRDefault="00E32D31" w:rsidP="00510DDC">
            <w:pPr>
              <w:pStyle w:val="TAL"/>
              <w:rPr>
                <w:noProof/>
              </w:rPr>
            </w:pPr>
            <w:r w:rsidRPr="000A0A5F">
              <w:rPr>
                <w:rFonts w:hint="eastAsia"/>
                <w:lang w:eastAsia="zh-CN"/>
              </w:rPr>
              <w:t>3GPP TS 29.5</w:t>
            </w:r>
            <w:r w:rsidRPr="000A0A5F">
              <w:rPr>
                <w:lang w:eastAsia="zh-CN"/>
              </w:rPr>
              <w:t>71</w:t>
            </w:r>
            <w:r w:rsidRPr="000A0A5F">
              <w:rPr>
                <w:rFonts w:hint="eastAsia"/>
                <w:lang w:eastAsia="zh-CN"/>
              </w:rPr>
              <w:t> [</w:t>
            </w:r>
            <w:r w:rsidRPr="000A0A5F">
              <w:rPr>
                <w:lang w:eastAsia="zh-CN"/>
              </w:rPr>
              <w:t>45]</w:t>
            </w:r>
          </w:p>
        </w:tc>
        <w:tc>
          <w:tcPr>
            <w:tcW w:w="5308" w:type="dxa"/>
          </w:tcPr>
          <w:p w:rsidR="00E32D31" w:rsidRPr="000A0A5F" w:rsidRDefault="00E32D31" w:rsidP="00510DDC">
            <w:pPr>
              <w:pStyle w:val="TAL"/>
              <w:rPr>
                <w:rFonts w:cs="Arial"/>
                <w:noProof/>
                <w:szCs w:val="18"/>
              </w:rPr>
            </w:pPr>
            <w:r w:rsidRPr="000A0A5F">
              <w:t xml:space="preserve">Contains the network slice status information related to network </w:t>
            </w:r>
            <w:r w:rsidRPr="000A0A5F">
              <w:rPr>
                <w:noProof/>
              </w:rPr>
              <w:t>slice admission control</w:t>
            </w:r>
            <w:r w:rsidRPr="000A0A5F">
              <w:t>.</w:t>
            </w:r>
          </w:p>
        </w:tc>
      </w:tr>
      <w:tr w:rsidR="00E32D31" w:rsidRPr="000A0A5F" w:rsidTr="00510DDC">
        <w:trPr>
          <w:jc w:val="center"/>
        </w:trPr>
        <w:tc>
          <w:tcPr>
            <w:tcW w:w="2535" w:type="dxa"/>
          </w:tcPr>
          <w:p w:rsidR="00E32D31" w:rsidRPr="000A0A5F" w:rsidRDefault="00E32D31" w:rsidP="00510DDC">
            <w:pPr>
              <w:pStyle w:val="TAL"/>
            </w:pPr>
            <w:r w:rsidRPr="000A0A5F">
              <w:rPr>
                <w:lang w:eastAsia="zh-CN"/>
              </w:rPr>
              <w:t>SACInfo</w:t>
            </w:r>
          </w:p>
        </w:tc>
        <w:tc>
          <w:tcPr>
            <w:tcW w:w="1848" w:type="dxa"/>
          </w:tcPr>
          <w:p w:rsidR="00E32D31" w:rsidRPr="000A0A5F" w:rsidRDefault="00E32D31" w:rsidP="00510DDC">
            <w:pPr>
              <w:pStyle w:val="TAL"/>
              <w:rPr>
                <w:noProof/>
              </w:rPr>
            </w:pPr>
            <w:r w:rsidRPr="000A0A5F">
              <w:rPr>
                <w:rFonts w:hint="eastAsia"/>
                <w:lang w:eastAsia="zh-CN"/>
              </w:rPr>
              <w:t>3GPP TS 29.5</w:t>
            </w:r>
            <w:r w:rsidRPr="000A0A5F">
              <w:rPr>
                <w:lang w:eastAsia="zh-CN"/>
              </w:rPr>
              <w:t>71</w:t>
            </w:r>
            <w:r w:rsidRPr="000A0A5F">
              <w:rPr>
                <w:rFonts w:hint="eastAsia"/>
                <w:lang w:eastAsia="zh-CN"/>
              </w:rPr>
              <w:t> [</w:t>
            </w:r>
            <w:r w:rsidRPr="000A0A5F">
              <w:rPr>
                <w:lang w:eastAsia="zh-CN"/>
              </w:rPr>
              <w:t>45]</w:t>
            </w:r>
          </w:p>
        </w:tc>
        <w:tc>
          <w:tcPr>
            <w:tcW w:w="5308" w:type="dxa"/>
          </w:tcPr>
          <w:p w:rsidR="00E32D31" w:rsidRPr="000A0A5F" w:rsidRDefault="00E32D31" w:rsidP="00510DDC">
            <w:pPr>
              <w:pStyle w:val="TAL"/>
              <w:rPr>
                <w:rFonts w:cs="Arial"/>
                <w:noProof/>
                <w:szCs w:val="18"/>
              </w:rPr>
            </w:pPr>
            <w:r w:rsidRPr="000A0A5F">
              <w:rPr>
                <w:noProof/>
              </w:rPr>
              <w:t xml:space="preserve">Represents network slice admission control information to control the triggering of notifications or convey </w:t>
            </w:r>
            <w:r w:rsidRPr="000A0A5F">
              <w:t>network slice status information</w:t>
            </w:r>
            <w:r w:rsidRPr="000A0A5F">
              <w:rPr>
                <w:noProof/>
              </w:rPr>
              <w:t>.</w:t>
            </w:r>
          </w:p>
        </w:tc>
      </w:tr>
      <w:tr w:rsidR="00E32D31" w:rsidRPr="000A0A5F" w:rsidTr="00510DDC">
        <w:trPr>
          <w:jc w:val="center"/>
        </w:trPr>
        <w:tc>
          <w:tcPr>
            <w:tcW w:w="2535" w:type="dxa"/>
          </w:tcPr>
          <w:p w:rsidR="00E32D31" w:rsidRPr="000A0A5F" w:rsidRDefault="00E32D31" w:rsidP="00510DDC">
            <w:pPr>
              <w:pStyle w:val="TAL"/>
            </w:pPr>
            <w:r w:rsidRPr="000A0A5F">
              <w:rPr>
                <w:noProof/>
                <w:lang w:eastAsia="zh-CN"/>
              </w:rPr>
              <w:t>Snssai</w:t>
            </w:r>
          </w:p>
        </w:tc>
        <w:tc>
          <w:tcPr>
            <w:tcW w:w="1848" w:type="dxa"/>
          </w:tcPr>
          <w:p w:rsidR="00E32D31" w:rsidRPr="000A0A5F" w:rsidRDefault="00E32D31" w:rsidP="00510DDC">
            <w:pPr>
              <w:pStyle w:val="TAL"/>
              <w:rPr>
                <w:noProof/>
              </w:rPr>
            </w:pPr>
            <w:r w:rsidRPr="000A0A5F">
              <w:rPr>
                <w:rFonts w:hint="eastAsia"/>
                <w:lang w:eastAsia="zh-CN"/>
              </w:rPr>
              <w:t>3GPP TS 29.5</w:t>
            </w:r>
            <w:r w:rsidRPr="000A0A5F">
              <w:rPr>
                <w:lang w:eastAsia="zh-CN"/>
              </w:rPr>
              <w:t>71</w:t>
            </w:r>
            <w:r w:rsidRPr="000A0A5F">
              <w:rPr>
                <w:rFonts w:hint="eastAsia"/>
                <w:lang w:eastAsia="zh-CN"/>
              </w:rPr>
              <w:t> [</w:t>
            </w:r>
            <w:r w:rsidRPr="000A0A5F">
              <w:rPr>
                <w:lang w:eastAsia="zh-CN"/>
              </w:rPr>
              <w:t>45]</w:t>
            </w:r>
          </w:p>
        </w:tc>
        <w:tc>
          <w:tcPr>
            <w:tcW w:w="5308" w:type="dxa"/>
          </w:tcPr>
          <w:p w:rsidR="00E32D31" w:rsidRPr="000A0A5F" w:rsidRDefault="00E32D31" w:rsidP="00510DDC">
            <w:pPr>
              <w:pStyle w:val="TAL"/>
              <w:rPr>
                <w:rFonts w:cs="Arial"/>
                <w:noProof/>
                <w:szCs w:val="18"/>
              </w:rPr>
            </w:pPr>
            <w:r w:rsidRPr="000A0A5F">
              <w:rPr>
                <w:noProof/>
              </w:rPr>
              <w:t>Contains a S-NSSAI.</w:t>
            </w:r>
          </w:p>
        </w:tc>
      </w:tr>
      <w:tr w:rsidR="00E32D31" w:rsidRPr="000A0A5F" w:rsidTr="00510DDC">
        <w:trPr>
          <w:jc w:val="center"/>
        </w:trPr>
        <w:tc>
          <w:tcPr>
            <w:tcW w:w="2535" w:type="dxa"/>
          </w:tcPr>
          <w:p w:rsidR="00E32D31" w:rsidRPr="000A0A5F" w:rsidRDefault="00E32D31" w:rsidP="00510DDC">
            <w:pPr>
              <w:pStyle w:val="TAL"/>
            </w:pPr>
            <w:r w:rsidRPr="000A0A5F">
              <w:rPr>
                <w:noProof/>
                <w:lang w:eastAsia="zh-CN"/>
              </w:rPr>
              <w:t>SupportedFeatures</w:t>
            </w:r>
          </w:p>
        </w:tc>
        <w:tc>
          <w:tcPr>
            <w:tcW w:w="1848" w:type="dxa"/>
          </w:tcPr>
          <w:p w:rsidR="00E32D31" w:rsidRPr="000A0A5F" w:rsidRDefault="00E32D31" w:rsidP="00510DDC">
            <w:pPr>
              <w:pStyle w:val="TAL"/>
              <w:rPr>
                <w:lang w:eastAsia="zh-CN"/>
              </w:rPr>
            </w:pPr>
            <w:r w:rsidRPr="000A0A5F">
              <w:rPr>
                <w:noProof/>
              </w:rPr>
              <w:t>3GPP TS 29.571 [45]</w:t>
            </w:r>
          </w:p>
        </w:tc>
        <w:tc>
          <w:tcPr>
            <w:tcW w:w="5308" w:type="dxa"/>
          </w:tcPr>
          <w:p w:rsidR="00E32D31" w:rsidRPr="000A0A5F" w:rsidRDefault="00E32D31" w:rsidP="00510DDC">
            <w:pPr>
              <w:pStyle w:val="TAL"/>
              <w:rPr>
                <w:lang w:eastAsia="zh-CN"/>
              </w:rPr>
            </w:pPr>
            <w:r w:rsidRPr="000A0A5F">
              <w:rPr>
                <w:rFonts w:cs="Arial"/>
                <w:noProof/>
                <w:szCs w:val="18"/>
              </w:rPr>
              <w:t xml:space="preserve">Used to negotiate the applicability of the optional features defined in </w:t>
            </w:r>
            <w:r w:rsidRPr="000A0A5F">
              <w:rPr>
                <w:noProof/>
              </w:rPr>
              <w:t>table </w:t>
            </w:r>
            <w:r w:rsidRPr="000A0A5F">
              <w:t>5.</w:t>
            </w:r>
            <w:r w:rsidRPr="000A0A5F">
              <w:rPr>
                <w:rFonts w:hint="eastAsia"/>
              </w:rPr>
              <w:t>3</w:t>
            </w:r>
            <w:r w:rsidRPr="000A0A5F">
              <w:t>.4-1</w:t>
            </w:r>
            <w:r w:rsidRPr="000A0A5F">
              <w:rPr>
                <w:noProof/>
              </w:rPr>
              <w:t>.</w:t>
            </w:r>
          </w:p>
        </w:tc>
      </w:tr>
      <w:tr w:rsidR="00E32D31" w:rsidRPr="000A0A5F" w:rsidTr="00510DDC">
        <w:trPr>
          <w:jc w:val="center"/>
        </w:trPr>
        <w:tc>
          <w:tcPr>
            <w:tcW w:w="2535" w:type="dxa"/>
          </w:tcPr>
          <w:p w:rsidR="00E32D31" w:rsidRPr="000A0A5F" w:rsidRDefault="00E32D31" w:rsidP="00510DDC">
            <w:pPr>
              <w:pStyle w:val="TAL"/>
              <w:rPr>
                <w:noProof/>
                <w:lang w:eastAsia="zh-CN"/>
              </w:rPr>
            </w:pPr>
            <w:r w:rsidRPr="000A0A5F">
              <w:rPr>
                <w:rFonts w:hint="eastAsia"/>
                <w:noProof/>
                <w:lang w:eastAsia="zh-CN"/>
              </w:rPr>
              <w:t>ServiceIdentiy</w:t>
            </w:r>
          </w:p>
        </w:tc>
        <w:tc>
          <w:tcPr>
            <w:tcW w:w="1848" w:type="dxa"/>
          </w:tcPr>
          <w:p w:rsidR="00E32D31" w:rsidRPr="000A0A5F" w:rsidRDefault="00E32D31" w:rsidP="00510DDC">
            <w:pPr>
              <w:pStyle w:val="TAL"/>
              <w:rPr>
                <w:noProof/>
              </w:rPr>
            </w:pPr>
            <w:r w:rsidRPr="000A0A5F">
              <w:rPr>
                <w:noProof/>
              </w:rPr>
              <w:t>3GPP TS 29.5</w:t>
            </w:r>
            <w:r w:rsidRPr="000A0A5F">
              <w:rPr>
                <w:rFonts w:hint="eastAsia"/>
                <w:noProof/>
              </w:rPr>
              <w:t>15</w:t>
            </w:r>
            <w:r w:rsidRPr="000A0A5F">
              <w:rPr>
                <w:noProof/>
              </w:rPr>
              <w:t> [65]</w:t>
            </w:r>
          </w:p>
        </w:tc>
        <w:tc>
          <w:tcPr>
            <w:tcW w:w="5308" w:type="dxa"/>
          </w:tcPr>
          <w:p w:rsidR="00E32D31" w:rsidRPr="000A0A5F" w:rsidRDefault="00E32D31" w:rsidP="00510DDC">
            <w:pPr>
              <w:pStyle w:val="TAL"/>
              <w:rPr>
                <w:rFonts w:cs="Arial"/>
                <w:noProof/>
                <w:szCs w:val="18"/>
              </w:rPr>
            </w:pPr>
            <w:r w:rsidRPr="000A0A5F">
              <w:rPr>
                <w:rFonts w:cs="Arial" w:hint="eastAsia"/>
                <w:noProof/>
                <w:szCs w:val="18"/>
              </w:rPr>
              <w:t>Service identity</w:t>
            </w:r>
            <w:r w:rsidRPr="000A0A5F">
              <w:rPr>
                <w:rFonts w:cs="Arial"/>
                <w:noProof/>
                <w:szCs w:val="18"/>
              </w:rPr>
              <w:t>.</w:t>
            </w:r>
          </w:p>
        </w:tc>
      </w:tr>
      <w:tr w:rsidR="00E32D31" w:rsidRPr="000A0A5F" w:rsidTr="00510DDC">
        <w:trPr>
          <w:jc w:val="center"/>
        </w:trPr>
        <w:tc>
          <w:tcPr>
            <w:tcW w:w="2535" w:type="dxa"/>
          </w:tcPr>
          <w:p w:rsidR="00E32D31" w:rsidRPr="000A0A5F" w:rsidRDefault="00E32D31" w:rsidP="00510DDC">
            <w:pPr>
              <w:pStyle w:val="TAL"/>
              <w:rPr>
                <w:noProof/>
                <w:lang w:eastAsia="zh-CN"/>
              </w:rPr>
            </w:pPr>
            <w:r w:rsidRPr="000A0A5F">
              <w:rPr>
                <w:noProof/>
                <w:lang w:eastAsia="zh-CN"/>
              </w:rPr>
              <w:t>SupportedGADShapes</w:t>
            </w:r>
          </w:p>
        </w:tc>
        <w:tc>
          <w:tcPr>
            <w:tcW w:w="1848" w:type="dxa"/>
          </w:tcPr>
          <w:p w:rsidR="00E32D31" w:rsidRPr="000A0A5F" w:rsidRDefault="00E32D31" w:rsidP="00510DDC">
            <w:pPr>
              <w:pStyle w:val="TAL"/>
              <w:rPr>
                <w:noProof/>
              </w:rPr>
            </w:pPr>
            <w:r w:rsidRPr="000A0A5F">
              <w:rPr>
                <w:noProof/>
              </w:rPr>
              <w:t>3GPP TS 29.572 [42]</w:t>
            </w:r>
          </w:p>
        </w:tc>
        <w:tc>
          <w:tcPr>
            <w:tcW w:w="5308" w:type="dxa"/>
          </w:tcPr>
          <w:p w:rsidR="00E32D31" w:rsidRPr="000A0A5F" w:rsidRDefault="00E32D31" w:rsidP="00510DDC">
            <w:pPr>
              <w:pStyle w:val="TAL"/>
              <w:rPr>
                <w:rFonts w:cs="Arial"/>
                <w:noProof/>
                <w:szCs w:val="18"/>
              </w:rPr>
            </w:pPr>
            <w:r w:rsidRPr="000A0A5F">
              <w:rPr>
                <w:rFonts w:cs="Arial"/>
                <w:noProof/>
                <w:szCs w:val="18"/>
              </w:rPr>
              <w:t>Supported Geographical Area Description shapes.</w:t>
            </w:r>
          </w:p>
        </w:tc>
      </w:tr>
      <w:tr w:rsidR="00E32D31" w:rsidRPr="000A0A5F" w:rsidTr="00510DDC">
        <w:trPr>
          <w:jc w:val="center"/>
        </w:trPr>
        <w:tc>
          <w:tcPr>
            <w:tcW w:w="2535" w:type="dxa"/>
          </w:tcPr>
          <w:p w:rsidR="00E32D31" w:rsidRPr="000A0A5F" w:rsidRDefault="00E32D31" w:rsidP="00510DDC">
            <w:pPr>
              <w:pStyle w:val="TAL"/>
              <w:rPr>
                <w:noProof/>
                <w:lang w:eastAsia="zh-CN"/>
              </w:rPr>
            </w:pPr>
            <w:r w:rsidRPr="000A0A5F">
              <w:rPr>
                <w:noProof/>
                <w:lang w:eastAsia="zh-CN"/>
              </w:rPr>
              <w:t>MacAddr48</w:t>
            </w:r>
          </w:p>
        </w:tc>
        <w:tc>
          <w:tcPr>
            <w:tcW w:w="1848" w:type="dxa"/>
          </w:tcPr>
          <w:p w:rsidR="00E32D31" w:rsidRPr="000A0A5F" w:rsidRDefault="00E32D31" w:rsidP="00510DDC">
            <w:pPr>
              <w:pStyle w:val="TAL"/>
              <w:rPr>
                <w:noProof/>
              </w:rPr>
            </w:pPr>
            <w:r w:rsidRPr="000A0A5F">
              <w:rPr>
                <w:noProof/>
              </w:rPr>
              <w:t>3GPP TS 29.571 [45]</w:t>
            </w:r>
          </w:p>
        </w:tc>
        <w:tc>
          <w:tcPr>
            <w:tcW w:w="5308" w:type="dxa"/>
          </w:tcPr>
          <w:p w:rsidR="00E32D31" w:rsidRPr="000A0A5F" w:rsidRDefault="00E32D31" w:rsidP="00510DDC">
            <w:pPr>
              <w:pStyle w:val="TAL"/>
              <w:rPr>
                <w:rFonts w:cs="Arial"/>
                <w:noProof/>
                <w:szCs w:val="18"/>
              </w:rPr>
            </w:pPr>
            <w:r w:rsidRPr="000A0A5F">
              <w:rPr>
                <w:rFonts w:cs="Arial"/>
                <w:noProof/>
                <w:szCs w:val="18"/>
              </w:rPr>
              <w:t>MAC Address.</w:t>
            </w:r>
          </w:p>
        </w:tc>
      </w:tr>
      <w:tr w:rsidR="00E32D31" w:rsidRPr="000A0A5F" w:rsidTr="00510DDC">
        <w:trPr>
          <w:jc w:val="center"/>
        </w:trPr>
        <w:tc>
          <w:tcPr>
            <w:tcW w:w="2535" w:type="dxa"/>
          </w:tcPr>
          <w:p w:rsidR="00E32D31" w:rsidRPr="000A0A5F" w:rsidRDefault="00E32D31" w:rsidP="00510DDC">
            <w:pPr>
              <w:pStyle w:val="TAL"/>
              <w:rPr>
                <w:noProof/>
                <w:lang w:eastAsia="zh-CN"/>
              </w:rPr>
            </w:pPr>
            <w:r w:rsidRPr="000A0A5F">
              <w:t>UcPurpose</w:t>
            </w:r>
          </w:p>
        </w:tc>
        <w:tc>
          <w:tcPr>
            <w:tcW w:w="1848" w:type="dxa"/>
          </w:tcPr>
          <w:p w:rsidR="00E32D31" w:rsidRPr="000A0A5F" w:rsidRDefault="00E32D31" w:rsidP="00510DDC">
            <w:pPr>
              <w:pStyle w:val="TAL"/>
              <w:rPr>
                <w:noProof/>
              </w:rPr>
            </w:pPr>
            <w:r w:rsidRPr="000A0A5F">
              <w:rPr>
                <w:rFonts w:hint="eastAsia"/>
                <w:lang w:eastAsia="zh-CN"/>
              </w:rPr>
              <w:t>3GPP TS 29.</w:t>
            </w:r>
            <w:r w:rsidRPr="000A0A5F">
              <w:rPr>
                <w:lang w:eastAsia="zh-CN"/>
              </w:rPr>
              <w:t>503</w:t>
            </w:r>
            <w:r w:rsidRPr="000A0A5F">
              <w:rPr>
                <w:rFonts w:hint="eastAsia"/>
                <w:lang w:eastAsia="zh-CN"/>
              </w:rPr>
              <w:t> [</w:t>
            </w:r>
            <w:r w:rsidRPr="000A0A5F">
              <w:rPr>
                <w:lang w:eastAsia="zh-CN"/>
              </w:rPr>
              <w:t>63</w:t>
            </w:r>
            <w:r w:rsidRPr="000A0A5F">
              <w:rPr>
                <w:rFonts w:hint="eastAsia"/>
                <w:lang w:eastAsia="zh-CN"/>
              </w:rPr>
              <w:t>]</w:t>
            </w:r>
          </w:p>
        </w:tc>
        <w:tc>
          <w:tcPr>
            <w:tcW w:w="5308" w:type="dxa"/>
          </w:tcPr>
          <w:p w:rsidR="00E32D31" w:rsidRPr="000A0A5F" w:rsidRDefault="00E32D31" w:rsidP="00510DDC">
            <w:pPr>
              <w:pStyle w:val="TAL"/>
              <w:rPr>
                <w:rFonts w:cs="Arial"/>
                <w:noProof/>
                <w:szCs w:val="18"/>
              </w:rPr>
            </w:pPr>
            <w:r w:rsidRPr="000A0A5F">
              <w:rPr>
                <w:rFonts w:cs="Arial"/>
                <w:szCs w:val="18"/>
                <w:lang w:eastAsia="zh-CN"/>
              </w:rPr>
              <w:t>Represents the purpose of a user consent.</w:t>
            </w:r>
          </w:p>
        </w:tc>
      </w:tr>
      <w:tr w:rsidR="00AB426E" w:rsidRPr="000A0A5F" w:rsidTr="00510DDC">
        <w:trPr>
          <w:jc w:val="center"/>
        </w:trPr>
        <w:tc>
          <w:tcPr>
            <w:tcW w:w="2535" w:type="dxa"/>
          </w:tcPr>
          <w:p w:rsidR="00AB426E" w:rsidRPr="000A0A5F" w:rsidRDefault="00AB426E" w:rsidP="00AB426E">
            <w:pPr>
              <w:pStyle w:val="TAL"/>
            </w:pPr>
            <w:r w:rsidRPr="000A0A5F">
              <w:t>Uinteger</w:t>
            </w:r>
          </w:p>
        </w:tc>
        <w:tc>
          <w:tcPr>
            <w:tcW w:w="1848" w:type="dxa"/>
          </w:tcPr>
          <w:p w:rsidR="00AB426E" w:rsidRPr="000A0A5F" w:rsidRDefault="00AB426E" w:rsidP="00AB426E">
            <w:pPr>
              <w:pStyle w:val="TAL"/>
              <w:rPr>
                <w:lang w:eastAsia="zh-CN"/>
              </w:rPr>
            </w:pPr>
            <w:r w:rsidRPr="000A0A5F">
              <w:rPr>
                <w:noProof/>
              </w:rPr>
              <w:t>3GPP TS 29.571 [45]</w:t>
            </w:r>
          </w:p>
        </w:tc>
        <w:tc>
          <w:tcPr>
            <w:tcW w:w="5308" w:type="dxa"/>
          </w:tcPr>
          <w:p w:rsidR="00AB426E" w:rsidRPr="000A0A5F" w:rsidRDefault="00AB426E" w:rsidP="00AB426E">
            <w:pPr>
              <w:pStyle w:val="TAL"/>
              <w:rPr>
                <w:rFonts w:cs="Arial"/>
                <w:szCs w:val="18"/>
                <w:lang w:eastAsia="zh-CN"/>
              </w:rPr>
            </w:pPr>
            <w:r w:rsidRPr="000A0A5F">
              <w:t>Represents an unsigned Integer.</w:t>
            </w:r>
          </w:p>
        </w:tc>
      </w:tr>
      <w:tr w:rsidR="00AB426E" w:rsidRPr="000A0A5F" w:rsidTr="00510DDC">
        <w:trPr>
          <w:jc w:val="center"/>
        </w:trPr>
        <w:tc>
          <w:tcPr>
            <w:tcW w:w="2535" w:type="dxa"/>
          </w:tcPr>
          <w:p w:rsidR="00AB426E" w:rsidRPr="000A0A5F" w:rsidRDefault="00AB426E" w:rsidP="00AB426E">
            <w:pPr>
              <w:pStyle w:val="TAL"/>
              <w:rPr>
                <w:noProof/>
                <w:lang w:eastAsia="zh-CN"/>
              </w:rPr>
            </w:pPr>
            <w:r w:rsidRPr="000A0A5F">
              <w:t>Uri</w:t>
            </w:r>
          </w:p>
        </w:tc>
        <w:tc>
          <w:tcPr>
            <w:tcW w:w="1848" w:type="dxa"/>
          </w:tcPr>
          <w:p w:rsidR="00AB426E" w:rsidRPr="000A0A5F" w:rsidRDefault="008754D8" w:rsidP="00AB426E">
            <w:pPr>
              <w:pStyle w:val="TAL"/>
              <w:rPr>
                <w:noProof/>
              </w:rPr>
            </w:pPr>
            <w:r w:rsidRPr="001F2DCD">
              <w:t>5.2.1.3.2</w:t>
            </w:r>
          </w:p>
        </w:tc>
        <w:tc>
          <w:tcPr>
            <w:tcW w:w="5308" w:type="dxa"/>
          </w:tcPr>
          <w:p w:rsidR="00AB426E" w:rsidRPr="000A0A5F" w:rsidRDefault="00AB426E" w:rsidP="00AB426E">
            <w:pPr>
              <w:pStyle w:val="TAL"/>
              <w:rPr>
                <w:rFonts w:cs="Arial"/>
                <w:noProof/>
                <w:szCs w:val="18"/>
              </w:rPr>
            </w:pPr>
            <w:r w:rsidRPr="000A0A5F">
              <w:t>Represents a URI.</w:t>
            </w:r>
          </w:p>
        </w:tc>
      </w:tr>
      <w:tr w:rsidR="00AB426E" w:rsidRPr="000A0A5F" w:rsidTr="00510DDC">
        <w:trPr>
          <w:jc w:val="center"/>
        </w:trPr>
        <w:tc>
          <w:tcPr>
            <w:tcW w:w="2535" w:type="dxa"/>
          </w:tcPr>
          <w:p w:rsidR="00AB426E" w:rsidRPr="000A0A5F" w:rsidRDefault="00AB426E" w:rsidP="00AB426E">
            <w:pPr>
              <w:pStyle w:val="TAL"/>
            </w:pPr>
            <w:r w:rsidRPr="000A0A5F">
              <w:t>UserLocation</w:t>
            </w:r>
          </w:p>
        </w:tc>
        <w:tc>
          <w:tcPr>
            <w:tcW w:w="1848" w:type="dxa"/>
          </w:tcPr>
          <w:p w:rsidR="00AB426E" w:rsidRPr="000A0A5F" w:rsidRDefault="00AB426E" w:rsidP="00AB426E">
            <w:pPr>
              <w:pStyle w:val="TAL"/>
              <w:rPr>
                <w:lang w:eastAsia="zh-CN"/>
              </w:rPr>
            </w:pPr>
            <w:r w:rsidRPr="000A0A5F">
              <w:rPr>
                <w:lang w:eastAsia="zh-CN"/>
              </w:rPr>
              <w:t>3GPP TS 29.571 [6]</w:t>
            </w:r>
          </w:p>
        </w:tc>
        <w:tc>
          <w:tcPr>
            <w:tcW w:w="5308" w:type="dxa"/>
          </w:tcPr>
          <w:p w:rsidR="00AB426E" w:rsidRPr="000A0A5F" w:rsidRDefault="00AB426E" w:rsidP="00AB426E">
            <w:pPr>
              <w:pStyle w:val="TAL"/>
            </w:pPr>
            <w:r w:rsidRPr="000A0A5F">
              <w:t>Represents a user location.</w:t>
            </w:r>
          </w:p>
        </w:tc>
      </w:tr>
      <w:tr w:rsidR="00AB426E" w:rsidRPr="000A0A5F" w:rsidTr="00510DDC">
        <w:trPr>
          <w:jc w:val="center"/>
        </w:trPr>
        <w:tc>
          <w:tcPr>
            <w:tcW w:w="2535" w:type="dxa"/>
          </w:tcPr>
          <w:p w:rsidR="00AB426E" w:rsidRPr="000A0A5F" w:rsidRDefault="00AB426E" w:rsidP="00AB426E">
            <w:pPr>
              <w:pStyle w:val="TAL"/>
            </w:pPr>
            <w:r w:rsidRPr="000A0A5F">
              <w:t>RangingSlResult</w:t>
            </w:r>
          </w:p>
        </w:tc>
        <w:tc>
          <w:tcPr>
            <w:tcW w:w="1848" w:type="dxa"/>
          </w:tcPr>
          <w:p w:rsidR="00AB426E" w:rsidRPr="000A0A5F" w:rsidRDefault="00AB426E" w:rsidP="00AB426E">
            <w:pPr>
              <w:pStyle w:val="TAL"/>
              <w:rPr>
                <w:lang w:eastAsia="zh-CN"/>
              </w:rPr>
            </w:pPr>
            <w:r w:rsidRPr="000A0A5F">
              <w:rPr>
                <w:rFonts w:hint="eastAsia"/>
                <w:noProof/>
              </w:rPr>
              <w:t>3GPP TS 29.572 </w:t>
            </w:r>
            <w:r w:rsidRPr="000A0A5F">
              <w:t>[</w:t>
            </w:r>
            <w:r w:rsidRPr="000A0A5F">
              <w:rPr>
                <w:noProof/>
              </w:rPr>
              <w:t>42</w:t>
            </w:r>
            <w:r w:rsidRPr="000A0A5F">
              <w:t>]</w:t>
            </w:r>
          </w:p>
        </w:tc>
        <w:tc>
          <w:tcPr>
            <w:tcW w:w="5308" w:type="dxa"/>
          </w:tcPr>
          <w:p w:rsidR="00AB426E" w:rsidRPr="000A0A5F" w:rsidRDefault="00AB426E" w:rsidP="00AB426E">
            <w:pPr>
              <w:pStyle w:val="TAL"/>
            </w:pPr>
            <w:r w:rsidRPr="000A0A5F">
              <w:t>Indicates result type for ranging and sidelink positioning</w:t>
            </w:r>
          </w:p>
        </w:tc>
      </w:tr>
      <w:tr w:rsidR="00AB426E" w:rsidRPr="000A0A5F" w:rsidTr="00510DDC">
        <w:trPr>
          <w:jc w:val="center"/>
        </w:trPr>
        <w:tc>
          <w:tcPr>
            <w:tcW w:w="2535" w:type="dxa"/>
          </w:tcPr>
          <w:p w:rsidR="00AB426E" w:rsidRPr="000A0A5F" w:rsidRDefault="00AB426E" w:rsidP="00AB426E">
            <w:pPr>
              <w:pStyle w:val="TAL"/>
            </w:pPr>
            <w:r w:rsidRPr="000A0A5F">
              <w:t>RelatedUE</w:t>
            </w:r>
          </w:p>
        </w:tc>
        <w:tc>
          <w:tcPr>
            <w:tcW w:w="1848" w:type="dxa"/>
          </w:tcPr>
          <w:p w:rsidR="00AB426E" w:rsidRPr="000A0A5F" w:rsidRDefault="00AB426E" w:rsidP="00AB426E">
            <w:pPr>
              <w:pStyle w:val="TAL"/>
              <w:rPr>
                <w:lang w:eastAsia="zh-CN"/>
              </w:rPr>
            </w:pPr>
            <w:r w:rsidRPr="000A0A5F">
              <w:rPr>
                <w:rFonts w:hint="eastAsia"/>
                <w:noProof/>
              </w:rPr>
              <w:t>3GPP TS 29.572 </w:t>
            </w:r>
            <w:r w:rsidRPr="000A0A5F">
              <w:t>[</w:t>
            </w:r>
            <w:r w:rsidRPr="000A0A5F">
              <w:rPr>
                <w:noProof/>
              </w:rPr>
              <w:t>42</w:t>
            </w:r>
            <w:r w:rsidRPr="000A0A5F">
              <w:t>]</w:t>
            </w:r>
          </w:p>
        </w:tc>
        <w:tc>
          <w:tcPr>
            <w:tcW w:w="5308" w:type="dxa"/>
          </w:tcPr>
          <w:p w:rsidR="00AB426E" w:rsidRPr="000A0A5F" w:rsidRDefault="00AB426E" w:rsidP="00AB426E">
            <w:pPr>
              <w:pStyle w:val="TAL"/>
            </w:pPr>
            <w:r w:rsidRPr="000A0A5F">
              <w:t>Indicates information for related UE for ranging and sidelink positioning</w:t>
            </w:r>
          </w:p>
        </w:tc>
      </w:tr>
    </w:tbl>
    <w:p w:rsidR="00E32D31" w:rsidRPr="000A0A5F" w:rsidRDefault="00E32D31" w:rsidP="00E32D31">
      <w:pPr>
        <w:rPr>
          <w:noProof/>
        </w:rPr>
      </w:pPr>
    </w:p>
    <w:p w:rsidR="00382470" w:rsidRPr="000A0A5F" w:rsidRDefault="00382470" w:rsidP="00382470">
      <w:r w:rsidRPr="000A0A5F">
        <w:t>Table 5.3.2.1.1-2 specifies the data types defined for the MonitoringEvent API.</w:t>
      </w:r>
    </w:p>
    <w:p w:rsidR="00382470" w:rsidRPr="000A0A5F" w:rsidRDefault="00382470" w:rsidP="00382470">
      <w:pPr>
        <w:pStyle w:val="TH"/>
      </w:pPr>
      <w:r w:rsidRPr="000A0A5F">
        <w:t>Table 5.3.2.1.1-2: MonitoringEvent API specific Data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888"/>
        <w:gridCol w:w="964"/>
        <w:gridCol w:w="4365"/>
        <w:gridCol w:w="1412"/>
      </w:tblGrid>
      <w:tr w:rsidR="00E32D31" w:rsidRPr="000A0A5F" w:rsidTr="00E32D31">
        <w:trPr>
          <w:jc w:val="center"/>
        </w:trPr>
        <w:tc>
          <w:tcPr>
            <w:tcW w:w="2888" w:type="dxa"/>
            <w:shd w:val="clear" w:color="auto" w:fill="C0C0C0"/>
            <w:vAlign w:val="center"/>
            <w:hideMark/>
          </w:tcPr>
          <w:p w:rsidR="00E32D31" w:rsidRPr="000A0A5F" w:rsidRDefault="00E32D31" w:rsidP="00510DDC">
            <w:pPr>
              <w:pStyle w:val="TAH"/>
            </w:pPr>
            <w:r w:rsidRPr="000A0A5F">
              <w:t>Data type</w:t>
            </w:r>
          </w:p>
        </w:tc>
        <w:tc>
          <w:tcPr>
            <w:tcW w:w="964" w:type="dxa"/>
            <w:shd w:val="clear" w:color="auto" w:fill="C0C0C0"/>
            <w:vAlign w:val="center"/>
          </w:tcPr>
          <w:p w:rsidR="00E32D31" w:rsidRPr="000A0A5F" w:rsidRDefault="00E32D31" w:rsidP="00510DDC">
            <w:pPr>
              <w:pStyle w:val="TAH"/>
            </w:pPr>
            <w:r w:rsidRPr="000A0A5F">
              <w:t>Clause defined</w:t>
            </w:r>
          </w:p>
        </w:tc>
        <w:tc>
          <w:tcPr>
            <w:tcW w:w="4365" w:type="dxa"/>
            <w:shd w:val="clear" w:color="auto" w:fill="C0C0C0"/>
            <w:vAlign w:val="center"/>
            <w:hideMark/>
          </w:tcPr>
          <w:p w:rsidR="00E32D31" w:rsidRPr="000A0A5F" w:rsidRDefault="00E32D31" w:rsidP="00510DDC">
            <w:pPr>
              <w:pStyle w:val="TAH"/>
            </w:pPr>
            <w:r w:rsidRPr="000A0A5F">
              <w:t>Description</w:t>
            </w:r>
          </w:p>
        </w:tc>
        <w:tc>
          <w:tcPr>
            <w:tcW w:w="1412" w:type="dxa"/>
            <w:shd w:val="clear" w:color="auto" w:fill="C0C0C0"/>
            <w:vAlign w:val="center"/>
          </w:tcPr>
          <w:p w:rsidR="00E32D31" w:rsidRPr="000A0A5F" w:rsidRDefault="00E32D31" w:rsidP="00510DDC">
            <w:pPr>
              <w:pStyle w:val="TAH"/>
            </w:pPr>
            <w:r w:rsidRPr="000A0A5F">
              <w:t>Applicability</w:t>
            </w:r>
          </w:p>
        </w:tc>
      </w:tr>
      <w:tr w:rsidR="00E32D31" w:rsidRPr="000A0A5F" w:rsidTr="00E32D31">
        <w:trPr>
          <w:jc w:val="center"/>
        </w:trPr>
        <w:tc>
          <w:tcPr>
            <w:tcW w:w="2888" w:type="dxa"/>
            <w:vAlign w:val="center"/>
          </w:tcPr>
          <w:p w:rsidR="00E32D31" w:rsidRPr="000A0A5F" w:rsidRDefault="00E32D31" w:rsidP="00510DDC">
            <w:pPr>
              <w:pStyle w:val="TAL"/>
            </w:pPr>
            <w:r w:rsidRPr="000A0A5F">
              <w:t>Accuracy</w:t>
            </w:r>
          </w:p>
        </w:tc>
        <w:tc>
          <w:tcPr>
            <w:tcW w:w="964" w:type="dxa"/>
            <w:vAlign w:val="center"/>
          </w:tcPr>
          <w:p w:rsidR="00E32D31" w:rsidRPr="000A0A5F" w:rsidRDefault="00E32D31" w:rsidP="00510DDC">
            <w:pPr>
              <w:pStyle w:val="TAC"/>
            </w:pPr>
            <w:r w:rsidRPr="000A0A5F">
              <w:t>5.3.2.4.7</w:t>
            </w:r>
          </w:p>
        </w:tc>
        <w:tc>
          <w:tcPr>
            <w:tcW w:w="4365" w:type="dxa"/>
            <w:vAlign w:val="center"/>
          </w:tcPr>
          <w:p w:rsidR="00E32D31" w:rsidRPr="000A0A5F" w:rsidRDefault="00E32D31" w:rsidP="00510DDC">
            <w:pPr>
              <w:pStyle w:val="TAL"/>
            </w:pPr>
            <w:r w:rsidRPr="000A0A5F">
              <w:t>Represents a desired granularity of accuracy for the requested location information.</w:t>
            </w:r>
          </w:p>
        </w:tc>
        <w:tc>
          <w:tcPr>
            <w:tcW w:w="1412" w:type="dxa"/>
            <w:vAlign w:val="center"/>
          </w:tcPr>
          <w:p w:rsidR="00E32D31" w:rsidRPr="000A0A5F" w:rsidRDefault="00E32D31" w:rsidP="00510DDC">
            <w:pPr>
              <w:pStyle w:val="TAL"/>
            </w:pPr>
            <w:r w:rsidRPr="000A0A5F">
              <w:rPr>
                <w:lang w:eastAsia="zh-CN"/>
              </w:rPr>
              <w:t>Location</w:t>
            </w:r>
            <w:r w:rsidRPr="000A0A5F">
              <w:t>_notification</w:t>
            </w:r>
            <w:r w:rsidRPr="000A0A5F">
              <w:rPr>
                <w:rFonts w:hint="eastAsia"/>
              </w:rPr>
              <w:t>,</w:t>
            </w:r>
          </w:p>
          <w:p w:rsidR="00E32D31" w:rsidRPr="000A0A5F" w:rsidRDefault="00E32D31" w:rsidP="00510DDC">
            <w:pPr>
              <w:pStyle w:val="TAL"/>
              <w:rPr>
                <w:rFonts w:cs="Arial"/>
                <w:szCs w:val="18"/>
              </w:rPr>
            </w:pPr>
            <w:r w:rsidRPr="000A0A5F">
              <w:rPr>
                <w:rFonts w:hint="eastAsia"/>
              </w:rPr>
              <w:t>eLCS</w:t>
            </w:r>
            <w:r w:rsidRPr="000A0A5F">
              <w:rPr>
                <w:rFonts w:cs="Arial"/>
                <w:szCs w:val="18"/>
              </w:rPr>
              <w:t>, EDGEAPP</w:t>
            </w:r>
          </w:p>
        </w:tc>
      </w:tr>
      <w:tr w:rsidR="00E32D31" w:rsidRPr="000A0A5F" w:rsidTr="00E32D31">
        <w:trPr>
          <w:jc w:val="center"/>
        </w:trPr>
        <w:tc>
          <w:tcPr>
            <w:tcW w:w="2888" w:type="dxa"/>
            <w:vAlign w:val="center"/>
          </w:tcPr>
          <w:p w:rsidR="00E32D31" w:rsidRPr="000A0A5F" w:rsidRDefault="00E32D31" w:rsidP="00510DDC">
            <w:pPr>
              <w:pStyle w:val="TAL"/>
              <w:rPr>
                <w:lang w:eastAsia="zh-CN"/>
              </w:rPr>
            </w:pPr>
            <w:r w:rsidRPr="000A0A5F">
              <w:t>ApiCapabilityInfo</w:t>
            </w:r>
          </w:p>
        </w:tc>
        <w:tc>
          <w:tcPr>
            <w:tcW w:w="964" w:type="dxa"/>
            <w:vAlign w:val="center"/>
          </w:tcPr>
          <w:p w:rsidR="00E32D31" w:rsidRPr="000A0A5F" w:rsidRDefault="00E32D31" w:rsidP="00510DDC">
            <w:pPr>
              <w:pStyle w:val="TAC"/>
            </w:pPr>
            <w:r w:rsidRPr="000A0A5F">
              <w:t>5.3.2.3.9</w:t>
            </w:r>
          </w:p>
        </w:tc>
        <w:tc>
          <w:tcPr>
            <w:tcW w:w="4365" w:type="dxa"/>
            <w:vAlign w:val="center"/>
          </w:tcPr>
          <w:p w:rsidR="00E32D31" w:rsidRPr="000A0A5F" w:rsidRDefault="00E32D31" w:rsidP="00510DDC">
            <w:pPr>
              <w:pStyle w:val="TAL"/>
            </w:pPr>
            <w:r w:rsidRPr="000A0A5F">
              <w:t>Represents the availability information of supported API.</w:t>
            </w:r>
          </w:p>
        </w:tc>
        <w:tc>
          <w:tcPr>
            <w:tcW w:w="1412" w:type="dxa"/>
            <w:vAlign w:val="center"/>
          </w:tcPr>
          <w:p w:rsidR="00E32D31" w:rsidRPr="000A0A5F" w:rsidRDefault="00E32D31" w:rsidP="00510DDC">
            <w:pPr>
              <w:pStyle w:val="TAL"/>
              <w:rPr>
                <w:rFonts w:cs="Arial"/>
                <w:szCs w:val="18"/>
              </w:rPr>
            </w:pPr>
            <w:r w:rsidRPr="000A0A5F">
              <w:t>API_support_capability_notification</w:t>
            </w:r>
          </w:p>
        </w:tc>
      </w:tr>
      <w:tr w:rsidR="00E32D31" w:rsidRPr="000A0A5F" w:rsidTr="00E32D31">
        <w:trPr>
          <w:jc w:val="center"/>
        </w:trPr>
        <w:tc>
          <w:tcPr>
            <w:tcW w:w="2888" w:type="dxa"/>
            <w:vAlign w:val="center"/>
          </w:tcPr>
          <w:p w:rsidR="00E32D31" w:rsidRPr="000A0A5F" w:rsidRDefault="00E32D31" w:rsidP="00510DDC">
            <w:pPr>
              <w:pStyle w:val="TAL"/>
              <w:rPr>
                <w:lang w:eastAsia="zh-CN"/>
              </w:rPr>
            </w:pPr>
            <w:r w:rsidRPr="000A0A5F">
              <w:t>AppliedParameterConfiguration</w:t>
            </w:r>
          </w:p>
        </w:tc>
        <w:tc>
          <w:tcPr>
            <w:tcW w:w="964" w:type="dxa"/>
            <w:vAlign w:val="center"/>
          </w:tcPr>
          <w:p w:rsidR="00E32D31" w:rsidRPr="000A0A5F" w:rsidRDefault="00E32D31" w:rsidP="00510DDC">
            <w:pPr>
              <w:pStyle w:val="TAC"/>
            </w:pPr>
            <w:r w:rsidRPr="000A0A5F">
              <w:t>5.3.2.3.8</w:t>
            </w:r>
          </w:p>
        </w:tc>
        <w:tc>
          <w:tcPr>
            <w:tcW w:w="4365" w:type="dxa"/>
            <w:vAlign w:val="center"/>
          </w:tcPr>
          <w:p w:rsidR="00E32D31" w:rsidRPr="000A0A5F" w:rsidRDefault="00E32D31" w:rsidP="00510DDC">
            <w:pPr>
              <w:pStyle w:val="TAL"/>
            </w:pPr>
            <w:r w:rsidRPr="000A0A5F">
              <w:t>Represents the parameter configuration applied in the network.</w:t>
            </w:r>
          </w:p>
        </w:tc>
        <w:tc>
          <w:tcPr>
            <w:tcW w:w="1412" w:type="dxa"/>
            <w:vAlign w:val="center"/>
          </w:tcPr>
          <w:p w:rsidR="00E32D31" w:rsidRPr="000A0A5F" w:rsidRDefault="00E32D31" w:rsidP="00510DDC">
            <w:pPr>
              <w:pStyle w:val="TAL"/>
              <w:rPr>
                <w:rFonts w:cs="Arial"/>
                <w:szCs w:val="18"/>
              </w:rPr>
            </w:pPr>
            <w:r w:rsidRPr="000A0A5F">
              <w:rPr>
                <w:rFonts w:cs="Arial"/>
                <w:szCs w:val="18"/>
              </w:rPr>
              <w:t>Enhanced_param_config</w:t>
            </w:r>
          </w:p>
        </w:tc>
      </w:tr>
      <w:tr w:rsidR="00E32D31" w:rsidRPr="000A0A5F" w:rsidTr="00E32D31">
        <w:trPr>
          <w:jc w:val="center"/>
        </w:trPr>
        <w:tc>
          <w:tcPr>
            <w:tcW w:w="2888" w:type="dxa"/>
            <w:vAlign w:val="center"/>
          </w:tcPr>
          <w:p w:rsidR="00E32D31" w:rsidRPr="000A0A5F" w:rsidRDefault="00E32D31" w:rsidP="00510DDC">
            <w:pPr>
              <w:pStyle w:val="TAL"/>
              <w:rPr>
                <w:lang w:eastAsia="zh-CN"/>
              </w:rPr>
            </w:pPr>
            <w:r w:rsidRPr="000A0A5F">
              <w:t>AssociationType</w:t>
            </w:r>
          </w:p>
        </w:tc>
        <w:tc>
          <w:tcPr>
            <w:tcW w:w="964" w:type="dxa"/>
            <w:vAlign w:val="center"/>
          </w:tcPr>
          <w:p w:rsidR="00E32D31" w:rsidRPr="000A0A5F" w:rsidRDefault="00E32D31" w:rsidP="00510DDC">
            <w:pPr>
              <w:pStyle w:val="TAC"/>
            </w:pPr>
            <w:r w:rsidRPr="000A0A5F">
              <w:t>5.3.2.4.6</w:t>
            </w:r>
          </w:p>
        </w:tc>
        <w:tc>
          <w:tcPr>
            <w:tcW w:w="4365" w:type="dxa"/>
            <w:vAlign w:val="center"/>
          </w:tcPr>
          <w:p w:rsidR="00E32D31" w:rsidRPr="000A0A5F" w:rsidRDefault="00E32D31" w:rsidP="00510DDC">
            <w:pPr>
              <w:pStyle w:val="TAL"/>
            </w:pPr>
            <w:r w:rsidRPr="000A0A5F">
              <w:t>Represents an IMEI or IMEISV to IMSI association.</w:t>
            </w:r>
          </w:p>
        </w:tc>
        <w:tc>
          <w:tcPr>
            <w:tcW w:w="1412" w:type="dxa"/>
            <w:vAlign w:val="center"/>
          </w:tcPr>
          <w:p w:rsidR="00E32D31" w:rsidRPr="000A0A5F" w:rsidRDefault="00E32D31" w:rsidP="00510DDC">
            <w:pPr>
              <w:pStyle w:val="TAL"/>
              <w:rPr>
                <w:rFonts w:cs="Arial"/>
                <w:szCs w:val="18"/>
              </w:rPr>
            </w:pPr>
            <w:r w:rsidRPr="000A0A5F">
              <w:rPr>
                <w:lang w:eastAsia="zh-CN"/>
              </w:rPr>
              <w:t>Change_of_IMSI_IMEI_association_notification</w:t>
            </w:r>
          </w:p>
        </w:tc>
      </w:tr>
      <w:tr w:rsidR="00E32D31" w:rsidRPr="000A0A5F" w:rsidTr="00E32D31">
        <w:trPr>
          <w:jc w:val="center"/>
        </w:trPr>
        <w:tc>
          <w:tcPr>
            <w:tcW w:w="2888" w:type="dxa"/>
            <w:vAlign w:val="center"/>
          </w:tcPr>
          <w:p w:rsidR="00E32D31" w:rsidRPr="000A0A5F" w:rsidRDefault="00E32D31" w:rsidP="00510DDC">
            <w:pPr>
              <w:pStyle w:val="TAL"/>
            </w:pPr>
            <w:r w:rsidRPr="000A0A5F">
              <w:t>ConsentRevocNotif</w:t>
            </w:r>
          </w:p>
        </w:tc>
        <w:tc>
          <w:tcPr>
            <w:tcW w:w="964" w:type="dxa"/>
            <w:vAlign w:val="center"/>
          </w:tcPr>
          <w:p w:rsidR="00E32D31" w:rsidRPr="000A0A5F" w:rsidRDefault="00E32D31" w:rsidP="00510DDC">
            <w:pPr>
              <w:pStyle w:val="TAC"/>
            </w:pPr>
            <w:r w:rsidRPr="000A0A5F">
              <w:t>5.3.2.3.12</w:t>
            </w:r>
          </w:p>
        </w:tc>
        <w:tc>
          <w:tcPr>
            <w:tcW w:w="4365" w:type="dxa"/>
            <w:vAlign w:val="center"/>
          </w:tcPr>
          <w:p w:rsidR="00E32D31" w:rsidRPr="000A0A5F" w:rsidRDefault="00E32D31" w:rsidP="00510DDC">
            <w:pPr>
              <w:pStyle w:val="TAL"/>
            </w:pPr>
            <w:r w:rsidRPr="000A0A5F">
              <w:rPr>
                <w:rFonts w:eastAsia="Batang"/>
              </w:rPr>
              <w:t>Represents the user consent revocation information conveyed in a user consent revocation notification.</w:t>
            </w:r>
          </w:p>
        </w:tc>
        <w:tc>
          <w:tcPr>
            <w:tcW w:w="1412" w:type="dxa"/>
            <w:vAlign w:val="center"/>
          </w:tcPr>
          <w:p w:rsidR="00E32D31" w:rsidRPr="000A0A5F" w:rsidRDefault="00E32D31" w:rsidP="00510DDC">
            <w:pPr>
              <w:pStyle w:val="TAL"/>
              <w:rPr>
                <w:lang w:eastAsia="zh-CN"/>
              </w:rPr>
            </w:pPr>
            <w:r w:rsidRPr="000A0A5F">
              <w:rPr>
                <w:lang w:eastAsia="zh-CN"/>
              </w:rPr>
              <w:t>UserConsentRevocation</w:t>
            </w:r>
          </w:p>
        </w:tc>
      </w:tr>
      <w:tr w:rsidR="00E32D31" w:rsidRPr="000A0A5F" w:rsidTr="00E32D31">
        <w:trPr>
          <w:jc w:val="center"/>
        </w:trPr>
        <w:tc>
          <w:tcPr>
            <w:tcW w:w="2888" w:type="dxa"/>
            <w:vAlign w:val="center"/>
          </w:tcPr>
          <w:p w:rsidR="00E32D31" w:rsidRPr="000A0A5F" w:rsidRDefault="00E32D31" w:rsidP="00510DDC">
            <w:pPr>
              <w:pStyle w:val="TAL"/>
            </w:pPr>
            <w:r w:rsidRPr="000A0A5F">
              <w:rPr>
                <w:lang w:eastAsia="zh-CN"/>
              </w:rPr>
              <w:t>ConsentRevoked</w:t>
            </w:r>
          </w:p>
        </w:tc>
        <w:tc>
          <w:tcPr>
            <w:tcW w:w="964" w:type="dxa"/>
            <w:vAlign w:val="center"/>
          </w:tcPr>
          <w:p w:rsidR="00E32D31" w:rsidRPr="000A0A5F" w:rsidRDefault="00E32D31" w:rsidP="00510DDC">
            <w:pPr>
              <w:pStyle w:val="TAC"/>
            </w:pPr>
            <w:r w:rsidRPr="000A0A5F">
              <w:t>5.3.2.3.13</w:t>
            </w:r>
          </w:p>
        </w:tc>
        <w:tc>
          <w:tcPr>
            <w:tcW w:w="4365" w:type="dxa"/>
            <w:vAlign w:val="center"/>
          </w:tcPr>
          <w:p w:rsidR="00E32D31" w:rsidRPr="000A0A5F" w:rsidRDefault="00E32D31" w:rsidP="00510DDC">
            <w:pPr>
              <w:pStyle w:val="TAL"/>
            </w:pPr>
            <w:r w:rsidRPr="000A0A5F">
              <w:rPr>
                <w:rFonts w:eastAsia="Batang"/>
              </w:rPr>
              <w:t>Represents the information related to revoked user consent(s).</w:t>
            </w:r>
          </w:p>
        </w:tc>
        <w:tc>
          <w:tcPr>
            <w:tcW w:w="1412" w:type="dxa"/>
            <w:vAlign w:val="center"/>
          </w:tcPr>
          <w:p w:rsidR="00E32D31" w:rsidRPr="000A0A5F" w:rsidRDefault="00E32D31" w:rsidP="00510DDC">
            <w:pPr>
              <w:pStyle w:val="TAL"/>
              <w:rPr>
                <w:lang w:eastAsia="zh-CN"/>
              </w:rPr>
            </w:pPr>
            <w:r w:rsidRPr="000A0A5F">
              <w:rPr>
                <w:lang w:eastAsia="zh-CN"/>
              </w:rPr>
              <w:t>UserConsentRevocation</w:t>
            </w:r>
          </w:p>
        </w:tc>
      </w:tr>
      <w:tr w:rsidR="00E32D31" w:rsidRPr="000A0A5F" w:rsidTr="00E32D31">
        <w:trPr>
          <w:jc w:val="center"/>
        </w:trPr>
        <w:tc>
          <w:tcPr>
            <w:tcW w:w="2888" w:type="dxa"/>
            <w:vAlign w:val="center"/>
          </w:tcPr>
          <w:p w:rsidR="00E32D31" w:rsidRPr="000A0A5F" w:rsidRDefault="00E32D31" w:rsidP="00510DDC">
            <w:pPr>
              <w:pStyle w:val="TAL"/>
              <w:rPr>
                <w:lang w:eastAsia="zh-CN"/>
              </w:rPr>
            </w:pPr>
            <w:r w:rsidRPr="000A0A5F">
              <w:t>Failure</w:t>
            </w:r>
            <w:r w:rsidRPr="000A0A5F">
              <w:rPr>
                <w:lang w:eastAsia="zh-CN"/>
              </w:rPr>
              <w:t>Cause</w:t>
            </w:r>
          </w:p>
        </w:tc>
        <w:tc>
          <w:tcPr>
            <w:tcW w:w="964" w:type="dxa"/>
            <w:vAlign w:val="center"/>
          </w:tcPr>
          <w:p w:rsidR="00E32D31" w:rsidRPr="000A0A5F" w:rsidRDefault="00E32D31" w:rsidP="00510DDC">
            <w:pPr>
              <w:pStyle w:val="TAC"/>
            </w:pPr>
            <w:r w:rsidRPr="000A0A5F">
              <w:t>5.3.2.3.6</w:t>
            </w:r>
          </w:p>
        </w:tc>
        <w:tc>
          <w:tcPr>
            <w:tcW w:w="4365" w:type="dxa"/>
            <w:vAlign w:val="center"/>
          </w:tcPr>
          <w:p w:rsidR="00E32D31" w:rsidRPr="000A0A5F" w:rsidRDefault="00E32D31" w:rsidP="00510DDC">
            <w:pPr>
              <w:pStyle w:val="TAL"/>
            </w:pPr>
            <w:r w:rsidRPr="000A0A5F">
              <w:t>Represents the reason of communication failure.</w:t>
            </w:r>
          </w:p>
        </w:tc>
        <w:tc>
          <w:tcPr>
            <w:tcW w:w="1412" w:type="dxa"/>
            <w:vAlign w:val="center"/>
          </w:tcPr>
          <w:p w:rsidR="00E32D31" w:rsidRPr="000A0A5F" w:rsidRDefault="00E32D31" w:rsidP="00510DDC">
            <w:pPr>
              <w:pStyle w:val="TAL"/>
              <w:rPr>
                <w:rFonts w:cs="Arial"/>
                <w:szCs w:val="18"/>
              </w:rPr>
            </w:pPr>
            <w:r w:rsidRPr="000A0A5F">
              <w:t>Communication_failure_notification</w:t>
            </w:r>
          </w:p>
        </w:tc>
      </w:tr>
      <w:tr w:rsidR="00E32D31" w:rsidRPr="000A0A5F" w:rsidTr="00E32D31">
        <w:trPr>
          <w:jc w:val="center"/>
        </w:trPr>
        <w:tc>
          <w:tcPr>
            <w:tcW w:w="2888" w:type="dxa"/>
            <w:vAlign w:val="center"/>
          </w:tcPr>
          <w:p w:rsidR="00E32D31" w:rsidRPr="000A0A5F" w:rsidRDefault="00E32D31" w:rsidP="00510DDC">
            <w:pPr>
              <w:pStyle w:val="TAL"/>
            </w:pPr>
            <w:r w:rsidRPr="000A0A5F">
              <w:t>GroupMembListChanges</w:t>
            </w:r>
          </w:p>
        </w:tc>
        <w:tc>
          <w:tcPr>
            <w:tcW w:w="964" w:type="dxa"/>
            <w:vAlign w:val="center"/>
          </w:tcPr>
          <w:p w:rsidR="00E32D31" w:rsidRPr="000A0A5F" w:rsidRDefault="00E32D31" w:rsidP="00510DDC">
            <w:pPr>
              <w:pStyle w:val="TAC"/>
            </w:pPr>
            <w:r w:rsidRPr="000A0A5F">
              <w:t>5.3.2.3.13</w:t>
            </w:r>
          </w:p>
        </w:tc>
        <w:tc>
          <w:tcPr>
            <w:tcW w:w="4365" w:type="dxa"/>
            <w:vAlign w:val="center"/>
          </w:tcPr>
          <w:p w:rsidR="00E32D31" w:rsidRPr="000A0A5F" w:rsidRDefault="00E32D31" w:rsidP="00510DDC">
            <w:pPr>
              <w:pStyle w:val="TAL"/>
            </w:pPr>
            <w:r w:rsidRPr="000A0A5F">
              <w:t>Represents information on the change(s) to a group's members list.</w:t>
            </w:r>
          </w:p>
        </w:tc>
        <w:tc>
          <w:tcPr>
            <w:tcW w:w="1412" w:type="dxa"/>
            <w:vAlign w:val="center"/>
          </w:tcPr>
          <w:p w:rsidR="00E32D31" w:rsidRPr="000A0A5F" w:rsidRDefault="00E32D31" w:rsidP="00510DDC">
            <w:pPr>
              <w:pStyle w:val="TAL"/>
            </w:pPr>
            <w:r w:rsidRPr="000A0A5F">
              <w:t>GMEC</w:t>
            </w:r>
          </w:p>
        </w:tc>
      </w:tr>
      <w:tr w:rsidR="00E32D31" w:rsidRPr="000A0A5F" w:rsidTr="00E32D31">
        <w:trPr>
          <w:jc w:val="center"/>
        </w:trPr>
        <w:tc>
          <w:tcPr>
            <w:tcW w:w="2888" w:type="dxa"/>
            <w:vAlign w:val="center"/>
          </w:tcPr>
          <w:p w:rsidR="00E32D31" w:rsidRPr="000A0A5F" w:rsidRDefault="00E32D31" w:rsidP="00510DDC">
            <w:pPr>
              <w:pStyle w:val="TAL"/>
            </w:pPr>
            <w:r w:rsidRPr="000A0A5F">
              <w:t>IdleStatusInfo</w:t>
            </w:r>
          </w:p>
        </w:tc>
        <w:tc>
          <w:tcPr>
            <w:tcW w:w="964" w:type="dxa"/>
            <w:vAlign w:val="center"/>
          </w:tcPr>
          <w:p w:rsidR="00E32D31" w:rsidRPr="000A0A5F" w:rsidRDefault="00E32D31" w:rsidP="00510DDC">
            <w:pPr>
              <w:pStyle w:val="TAC"/>
            </w:pPr>
            <w:r w:rsidRPr="000A0A5F">
              <w:t>5.3.2.3.3</w:t>
            </w:r>
          </w:p>
        </w:tc>
        <w:tc>
          <w:tcPr>
            <w:tcW w:w="4365" w:type="dxa"/>
            <w:vAlign w:val="center"/>
          </w:tcPr>
          <w:p w:rsidR="00E32D31" w:rsidRPr="000A0A5F" w:rsidRDefault="00E32D31" w:rsidP="00510DDC">
            <w:pPr>
              <w:pStyle w:val="TAL"/>
            </w:pPr>
            <w:r w:rsidRPr="000A0A5F">
              <w:t>Represents the information relevant to when the UE transitions into idle mode</w:t>
            </w:r>
            <w:r w:rsidRPr="000A0A5F">
              <w:rPr>
                <w:rFonts w:eastAsia="Batang"/>
              </w:rPr>
              <w:t>.</w:t>
            </w:r>
          </w:p>
        </w:tc>
        <w:tc>
          <w:tcPr>
            <w:tcW w:w="1412" w:type="dxa"/>
            <w:vAlign w:val="center"/>
          </w:tcPr>
          <w:p w:rsidR="00E32D31" w:rsidRPr="000A0A5F" w:rsidRDefault="00E32D31" w:rsidP="00510DDC">
            <w:pPr>
              <w:pStyle w:val="TAL"/>
            </w:pPr>
            <w:r w:rsidRPr="000A0A5F">
              <w:t>Ue-reachability_notification,</w:t>
            </w:r>
          </w:p>
          <w:p w:rsidR="00E32D31" w:rsidRPr="000A0A5F" w:rsidRDefault="00E32D31" w:rsidP="00510DDC">
            <w:pPr>
              <w:pStyle w:val="TAL"/>
              <w:rPr>
                <w:rFonts w:cs="Arial"/>
                <w:szCs w:val="18"/>
              </w:rPr>
            </w:pPr>
            <w:r w:rsidRPr="000A0A5F">
              <w:t>Availability_after_DDN_failure_notification</w:t>
            </w:r>
          </w:p>
        </w:tc>
      </w:tr>
      <w:tr w:rsidR="00E32D31" w:rsidRPr="000A0A5F" w:rsidTr="00E32D31">
        <w:trPr>
          <w:jc w:val="center"/>
        </w:trPr>
        <w:tc>
          <w:tcPr>
            <w:tcW w:w="2888" w:type="dxa"/>
            <w:vAlign w:val="center"/>
          </w:tcPr>
          <w:p w:rsidR="00E32D31" w:rsidRPr="000A0A5F" w:rsidRDefault="00E32D31" w:rsidP="00510DDC">
            <w:pPr>
              <w:pStyle w:val="TAL"/>
            </w:pPr>
            <w:r w:rsidRPr="000A0A5F">
              <w:t>InterfaceIndication</w:t>
            </w:r>
          </w:p>
        </w:tc>
        <w:tc>
          <w:tcPr>
            <w:tcW w:w="964" w:type="dxa"/>
            <w:vAlign w:val="center"/>
          </w:tcPr>
          <w:p w:rsidR="00E32D31" w:rsidRPr="000A0A5F" w:rsidRDefault="00E32D31" w:rsidP="00510DDC">
            <w:pPr>
              <w:pStyle w:val="TAC"/>
            </w:pPr>
            <w:r w:rsidRPr="000A0A5F">
              <w:t>5.3.2.4.10</w:t>
            </w:r>
          </w:p>
        </w:tc>
        <w:tc>
          <w:tcPr>
            <w:tcW w:w="4365" w:type="dxa"/>
            <w:vAlign w:val="center"/>
          </w:tcPr>
          <w:p w:rsidR="00E32D31" w:rsidRPr="000A0A5F" w:rsidRDefault="00E32D31" w:rsidP="00510DDC">
            <w:pPr>
              <w:pStyle w:val="TAL"/>
            </w:pPr>
            <w:r w:rsidRPr="000A0A5F">
              <w:t>Represents the network entity used for data delivery towards the SCS/AS.</w:t>
            </w:r>
          </w:p>
        </w:tc>
        <w:tc>
          <w:tcPr>
            <w:tcW w:w="1412" w:type="dxa"/>
            <w:vAlign w:val="center"/>
          </w:tcPr>
          <w:p w:rsidR="00E32D31" w:rsidRPr="000A0A5F" w:rsidRDefault="00E32D31" w:rsidP="00510DDC">
            <w:pPr>
              <w:pStyle w:val="TAL"/>
              <w:rPr>
                <w:rFonts w:cs="Arial"/>
                <w:szCs w:val="18"/>
              </w:rPr>
            </w:pPr>
            <w:r w:rsidRPr="000A0A5F">
              <w:rPr>
                <w:rFonts w:eastAsia="Times New Roman"/>
              </w:rPr>
              <w:t>Pdn_connectivity_status</w:t>
            </w:r>
          </w:p>
        </w:tc>
      </w:tr>
      <w:tr w:rsidR="00E32D31" w:rsidRPr="000A0A5F" w:rsidTr="00E32D31">
        <w:trPr>
          <w:jc w:val="center"/>
        </w:trPr>
        <w:tc>
          <w:tcPr>
            <w:tcW w:w="2888" w:type="dxa"/>
            <w:vAlign w:val="center"/>
          </w:tcPr>
          <w:p w:rsidR="00E32D31" w:rsidRPr="000A0A5F" w:rsidRDefault="00E32D31" w:rsidP="00510DDC">
            <w:pPr>
              <w:pStyle w:val="TAL"/>
            </w:pPr>
            <w:r w:rsidRPr="000A0A5F">
              <w:t>LocationFailureCause</w:t>
            </w:r>
          </w:p>
        </w:tc>
        <w:tc>
          <w:tcPr>
            <w:tcW w:w="964" w:type="dxa"/>
            <w:vAlign w:val="center"/>
          </w:tcPr>
          <w:p w:rsidR="00E32D31" w:rsidRPr="000A0A5F" w:rsidRDefault="00E32D31" w:rsidP="00510DDC">
            <w:pPr>
              <w:pStyle w:val="TAC"/>
            </w:pPr>
            <w:r w:rsidRPr="000A0A5F">
              <w:t>5.3.2.4.11</w:t>
            </w:r>
          </w:p>
        </w:tc>
        <w:tc>
          <w:tcPr>
            <w:tcW w:w="4365" w:type="dxa"/>
            <w:vAlign w:val="center"/>
          </w:tcPr>
          <w:p w:rsidR="00E32D31" w:rsidRPr="000A0A5F" w:rsidRDefault="00E32D31" w:rsidP="00510DDC">
            <w:pPr>
              <w:pStyle w:val="TAL"/>
            </w:pPr>
            <w:r w:rsidRPr="000A0A5F">
              <w:t>Represents the cause of location/positioning failure.</w:t>
            </w:r>
          </w:p>
        </w:tc>
        <w:tc>
          <w:tcPr>
            <w:tcW w:w="1412" w:type="dxa"/>
            <w:vAlign w:val="center"/>
          </w:tcPr>
          <w:p w:rsidR="00E32D31" w:rsidRPr="000A0A5F" w:rsidRDefault="00BA7108" w:rsidP="00510DDC">
            <w:pPr>
              <w:pStyle w:val="TAL"/>
              <w:rPr>
                <w:rFonts w:cs="Arial"/>
                <w:szCs w:val="18"/>
              </w:rPr>
            </w:pPr>
            <w:r w:rsidRPr="000A0A5F">
              <w:rPr>
                <w:lang w:eastAsia="zh-CN"/>
              </w:rPr>
              <w:t>eLCS</w:t>
            </w:r>
          </w:p>
        </w:tc>
      </w:tr>
      <w:tr w:rsidR="00E32D31" w:rsidRPr="000A0A5F" w:rsidTr="00E32D31">
        <w:trPr>
          <w:jc w:val="center"/>
        </w:trPr>
        <w:tc>
          <w:tcPr>
            <w:tcW w:w="2888" w:type="dxa"/>
            <w:vAlign w:val="center"/>
          </w:tcPr>
          <w:p w:rsidR="00E32D31" w:rsidRPr="000A0A5F" w:rsidRDefault="00E32D31" w:rsidP="00510DDC">
            <w:pPr>
              <w:pStyle w:val="TAL"/>
            </w:pPr>
            <w:r w:rsidRPr="000A0A5F">
              <w:rPr>
                <w:lang w:eastAsia="zh-CN"/>
              </w:rPr>
              <w:t>LocationInfo</w:t>
            </w:r>
          </w:p>
        </w:tc>
        <w:tc>
          <w:tcPr>
            <w:tcW w:w="964" w:type="dxa"/>
            <w:vAlign w:val="center"/>
          </w:tcPr>
          <w:p w:rsidR="00E32D31" w:rsidRPr="000A0A5F" w:rsidRDefault="00E32D31" w:rsidP="00510DDC">
            <w:pPr>
              <w:pStyle w:val="TAC"/>
            </w:pPr>
            <w:r w:rsidRPr="000A0A5F">
              <w:t>5.3.2.3.5</w:t>
            </w:r>
          </w:p>
        </w:tc>
        <w:tc>
          <w:tcPr>
            <w:tcW w:w="4365" w:type="dxa"/>
            <w:vAlign w:val="center"/>
          </w:tcPr>
          <w:p w:rsidR="00E32D31" w:rsidRPr="000A0A5F" w:rsidRDefault="00E32D31" w:rsidP="00510DDC">
            <w:pPr>
              <w:pStyle w:val="TAL"/>
            </w:pPr>
            <w:r w:rsidRPr="000A0A5F">
              <w:t>Represents the user location information.</w:t>
            </w:r>
          </w:p>
        </w:tc>
        <w:tc>
          <w:tcPr>
            <w:tcW w:w="1412" w:type="dxa"/>
            <w:vAlign w:val="center"/>
          </w:tcPr>
          <w:p w:rsidR="00E32D31" w:rsidRPr="000A0A5F" w:rsidRDefault="00E32D31" w:rsidP="00510DDC">
            <w:pPr>
              <w:pStyle w:val="TAL"/>
              <w:rPr>
                <w:rFonts w:cs="Arial"/>
                <w:szCs w:val="18"/>
              </w:rPr>
            </w:pPr>
            <w:r w:rsidRPr="000A0A5F">
              <w:rPr>
                <w:lang w:eastAsia="zh-CN"/>
              </w:rPr>
              <w:t>Location_</w:t>
            </w:r>
            <w:r w:rsidRPr="000A0A5F">
              <w:t>notification, eLCS</w:t>
            </w:r>
          </w:p>
        </w:tc>
      </w:tr>
      <w:tr w:rsidR="00E32D31" w:rsidRPr="000A0A5F" w:rsidTr="00E32D31">
        <w:trPr>
          <w:jc w:val="center"/>
        </w:trPr>
        <w:tc>
          <w:tcPr>
            <w:tcW w:w="2888" w:type="dxa"/>
            <w:vAlign w:val="center"/>
          </w:tcPr>
          <w:p w:rsidR="00E32D31" w:rsidRPr="000A0A5F" w:rsidRDefault="00E32D31" w:rsidP="00510DDC">
            <w:pPr>
              <w:pStyle w:val="TAL"/>
              <w:rPr>
                <w:lang w:eastAsia="zh-CN"/>
              </w:rPr>
            </w:pPr>
            <w:r w:rsidRPr="000A0A5F">
              <w:t>LocationType</w:t>
            </w:r>
          </w:p>
        </w:tc>
        <w:tc>
          <w:tcPr>
            <w:tcW w:w="964" w:type="dxa"/>
            <w:vAlign w:val="center"/>
          </w:tcPr>
          <w:p w:rsidR="00E32D31" w:rsidRPr="000A0A5F" w:rsidRDefault="00E32D31" w:rsidP="00510DDC">
            <w:pPr>
              <w:pStyle w:val="TAC"/>
            </w:pPr>
            <w:r w:rsidRPr="000A0A5F">
              <w:t>5.3.2.4.5</w:t>
            </w:r>
          </w:p>
        </w:tc>
        <w:tc>
          <w:tcPr>
            <w:tcW w:w="4365" w:type="dxa"/>
            <w:vAlign w:val="center"/>
          </w:tcPr>
          <w:p w:rsidR="00E32D31" w:rsidRPr="000A0A5F" w:rsidRDefault="00E32D31" w:rsidP="00510DDC">
            <w:pPr>
              <w:pStyle w:val="TAL"/>
            </w:pPr>
            <w:r w:rsidRPr="000A0A5F">
              <w:t>Represents a location type.</w:t>
            </w:r>
          </w:p>
        </w:tc>
        <w:tc>
          <w:tcPr>
            <w:tcW w:w="1412" w:type="dxa"/>
            <w:vAlign w:val="center"/>
          </w:tcPr>
          <w:p w:rsidR="00E32D31" w:rsidRPr="000A0A5F" w:rsidRDefault="00E32D31" w:rsidP="00510DDC">
            <w:pPr>
              <w:pStyle w:val="TAL"/>
            </w:pPr>
            <w:r w:rsidRPr="000A0A5F">
              <w:t>Location_notification,</w:t>
            </w:r>
            <w:r w:rsidRPr="000A0A5F">
              <w:rPr>
                <w:rFonts w:eastAsia="Batang" w:hint="eastAsia"/>
              </w:rPr>
              <w:t xml:space="preserve"> </w:t>
            </w:r>
            <w:r w:rsidRPr="000A0A5F">
              <w:rPr>
                <w:rFonts w:hint="eastAsia"/>
                <w:lang w:eastAsia="zh-CN"/>
              </w:rPr>
              <w:t>Number_of_UEs</w:t>
            </w:r>
            <w:r w:rsidRPr="000A0A5F">
              <w:rPr>
                <w:lang w:eastAsia="zh-CN"/>
              </w:rPr>
              <w:t xml:space="preserve">_in_an_area_notification, </w:t>
            </w:r>
            <w:r w:rsidRPr="000A0A5F">
              <w:rPr>
                <w:rFonts w:hint="eastAsia"/>
                <w:lang w:eastAsia="zh-CN"/>
              </w:rPr>
              <w:t>Number_of_U</w:t>
            </w:r>
            <w:r w:rsidRPr="000A0A5F">
              <w:rPr>
                <w:lang w:eastAsia="zh-CN"/>
              </w:rPr>
              <w:t>E</w:t>
            </w:r>
            <w:r w:rsidRPr="000A0A5F">
              <w:rPr>
                <w:rFonts w:hint="eastAsia"/>
                <w:lang w:eastAsia="zh-CN"/>
              </w:rPr>
              <w:t>s</w:t>
            </w:r>
            <w:r w:rsidRPr="000A0A5F">
              <w:rPr>
                <w:lang w:eastAsia="zh-CN"/>
              </w:rPr>
              <w:t>_in_an_area_notification_5G</w:t>
            </w:r>
            <w:r w:rsidRPr="000A0A5F">
              <w:rPr>
                <w:rFonts w:hint="eastAsia"/>
              </w:rPr>
              <w:t>,</w:t>
            </w:r>
          </w:p>
          <w:p w:rsidR="00E32D31" w:rsidRPr="000A0A5F" w:rsidRDefault="00E32D31" w:rsidP="00510DDC">
            <w:pPr>
              <w:pStyle w:val="TAL"/>
              <w:rPr>
                <w:rFonts w:cs="Arial"/>
                <w:szCs w:val="18"/>
              </w:rPr>
            </w:pPr>
            <w:r w:rsidRPr="000A0A5F">
              <w:rPr>
                <w:rFonts w:hint="eastAsia"/>
              </w:rPr>
              <w:t>eLCS</w:t>
            </w:r>
          </w:p>
        </w:tc>
      </w:tr>
      <w:tr w:rsidR="00E32D31" w:rsidRPr="000A0A5F" w:rsidTr="00E32D31">
        <w:trPr>
          <w:jc w:val="center"/>
        </w:trPr>
        <w:tc>
          <w:tcPr>
            <w:tcW w:w="2888" w:type="dxa"/>
            <w:vAlign w:val="center"/>
          </w:tcPr>
          <w:p w:rsidR="00E32D31" w:rsidRPr="000A0A5F" w:rsidRDefault="00E32D31" w:rsidP="00510DDC">
            <w:pPr>
              <w:pStyle w:val="TAL"/>
            </w:pPr>
            <w:r w:rsidRPr="000A0A5F">
              <w:t>MonitoringEventReport</w:t>
            </w:r>
          </w:p>
        </w:tc>
        <w:tc>
          <w:tcPr>
            <w:tcW w:w="964" w:type="dxa"/>
            <w:vAlign w:val="center"/>
          </w:tcPr>
          <w:p w:rsidR="00E32D31" w:rsidRPr="000A0A5F" w:rsidRDefault="00E32D31" w:rsidP="00510DDC">
            <w:pPr>
              <w:pStyle w:val="TAC"/>
            </w:pPr>
            <w:r w:rsidRPr="000A0A5F">
              <w:t>5.3.2.3.2</w:t>
            </w:r>
          </w:p>
        </w:tc>
        <w:tc>
          <w:tcPr>
            <w:tcW w:w="4365" w:type="dxa"/>
            <w:vAlign w:val="center"/>
          </w:tcPr>
          <w:p w:rsidR="00E32D31" w:rsidRPr="000A0A5F" w:rsidRDefault="00E32D31" w:rsidP="00510DDC">
            <w:pPr>
              <w:pStyle w:val="TAL"/>
            </w:pPr>
            <w:r w:rsidRPr="000A0A5F">
              <w:t>Represents an event monitoring report</w:t>
            </w:r>
            <w:r w:rsidRPr="000A0A5F">
              <w:rPr>
                <w:rFonts w:eastAsia="Batang"/>
              </w:rPr>
              <w:t>.</w:t>
            </w:r>
          </w:p>
        </w:tc>
        <w:tc>
          <w:tcPr>
            <w:tcW w:w="1412" w:type="dxa"/>
            <w:vAlign w:val="center"/>
          </w:tcPr>
          <w:p w:rsidR="00E32D31" w:rsidRPr="000A0A5F" w:rsidRDefault="00E32D31" w:rsidP="00510DDC">
            <w:pPr>
              <w:pStyle w:val="TAL"/>
              <w:rPr>
                <w:rFonts w:cs="Arial"/>
                <w:szCs w:val="18"/>
              </w:rPr>
            </w:pPr>
          </w:p>
        </w:tc>
      </w:tr>
      <w:tr w:rsidR="00E32D31" w:rsidRPr="000A0A5F" w:rsidTr="00E32D31">
        <w:trPr>
          <w:jc w:val="center"/>
        </w:trPr>
        <w:tc>
          <w:tcPr>
            <w:tcW w:w="2888" w:type="dxa"/>
            <w:vAlign w:val="center"/>
          </w:tcPr>
          <w:p w:rsidR="00E32D31" w:rsidRPr="000A0A5F" w:rsidRDefault="00E32D31" w:rsidP="00510DDC">
            <w:pPr>
              <w:pStyle w:val="TAL"/>
            </w:pPr>
            <w:r w:rsidRPr="000A0A5F">
              <w:t>MonitoringEventReports</w:t>
            </w:r>
          </w:p>
        </w:tc>
        <w:tc>
          <w:tcPr>
            <w:tcW w:w="964" w:type="dxa"/>
            <w:vAlign w:val="center"/>
          </w:tcPr>
          <w:p w:rsidR="00E32D31" w:rsidRPr="000A0A5F" w:rsidRDefault="00E32D31" w:rsidP="00510DDC">
            <w:pPr>
              <w:pStyle w:val="TAC"/>
            </w:pPr>
            <w:r w:rsidRPr="000A0A5F">
              <w:t>5.3.2.3.10</w:t>
            </w:r>
          </w:p>
        </w:tc>
        <w:tc>
          <w:tcPr>
            <w:tcW w:w="4365" w:type="dxa"/>
            <w:vAlign w:val="center"/>
          </w:tcPr>
          <w:p w:rsidR="00E32D31" w:rsidRPr="000A0A5F" w:rsidRDefault="00E32D31" w:rsidP="00510DDC">
            <w:pPr>
              <w:pStyle w:val="TAL"/>
            </w:pPr>
            <w:r w:rsidRPr="000A0A5F">
              <w:t>Represents one or multiple event monitoring report(s)</w:t>
            </w:r>
            <w:r w:rsidRPr="000A0A5F">
              <w:rPr>
                <w:rFonts w:eastAsia="Batang"/>
              </w:rPr>
              <w:t>.</w:t>
            </w:r>
          </w:p>
        </w:tc>
        <w:tc>
          <w:tcPr>
            <w:tcW w:w="1412" w:type="dxa"/>
            <w:vAlign w:val="center"/>
          </w:tcPr>
          <w:p w:rsidR="00E32D31" w:rsidRPr="000A0A5F" w:rsidRDefault="00E32D31" w:rsidP="00510DDC">
            <w:pPr>
              <w:pStyle w:val="TAL"/>
              <w:rPr>
                <w:rFonts w:cs="Arial"/>
                <w:szCs w:val="18"/>
              </w:rPr>
            </w:pPr>
            <w:r w:rsidRPr="000A0A5F">
              <w:rPr>
                <w:rFonts w:cs="Arial"/>
                <w:szCs w:val="18"/>
              </w:rPr>
              <w:t>enNB</w:t>
            </w:r>
          </w:p>
        </w:tc>
      </w:tr>
      <w:tr w:rsidR="00E32D31" w:rsidRPr="000A0A5F" w:rsidTr="00E32D31">
        <w:trPr>
          <w:jc w:val="center"/>
        </w:trPr>
        <w:tc>
          <w:tcPr>
            <w:tcW w:w="2888" w:type="dxa"/>
            <w:vAlign w:val="center"/>
          </w:tcPr>
          <w:p w:rsidR="00E32D31" w:rsidRPr="000A0A5F" w:rsidRDefault="00E32D31" w:rsidP="00510DDC">
            <w:pPr>
              <w:pStyle w:val="TAL"/>
            </w:pPr>
            <w:r w:rsidRPr="000A0A5F">
              <w:t>MonitoringEventSubscription</w:t>
            </w:r>
          </w:p>
        </w:tc>
        <w:tc>
          <w:tcPr>
            <w:tcW w:w="964" w:type="dxa"/>
            <w:vAlign w:val="center"/>
          </w:tcPr>
          <w:p w:rsidR="00E32D31" w:rsidRPr="000A0A5F" w:rsidRDefault="00E32D31" w:rsidP="00510DDC">
            <w:pPr>
              <w:pStyle w:val="TAC"/>
            </w:pPr>
            <w:r w:rsidRPr="000A0A5F">
              <w:t>5.3.2.1.2</w:t>
            </w:r>
          </w:p>
        </w:tc>
        <w:tc>
          <w:tcPr>
            <w:tcW w:w="4365" w:type="dxa"/>
            <w:vAlign w:val="center"/>
          </w:tcPr>
          <w:p w:rsidR="00E32D31" w:rsidRPr="000A0A5F" w:rsidRDefault="00E32D31" w:rsidP="00510DDC">
            <w:pPr>
              <w:pStyle w:val="TAL"/>
            </w:pPr>
            <w:r w:rsidRPr="000A0A5F">
              <w:t>Represents a subscription to event(s) monitoring</w:t>
            </w:r>
            <w:r w:rsidRPr="000A0A5F">
              <w:rPr>
                <w:rFonts w:eastAsia="Batang"/>
              </w:rPr>
              <w:t>.</w:t>
            </w:r>
          </w:p>
        </w:tc>
        <w:tc>
          <w:tcPr>
            <w:tcW w:w="1412" w:type="dxa"/>
            <w:vAlign w:val="center"/>
          </w:tcPr>
          <w:p w:rsidR="00E32D31" w:rsidRPr="000A0A5F" w:rsidRDefault="00E32D31" w:rsidP="00510DDC">
            <w:pPr>
              <w:pStyle w:val="TAL"/>
              <w:rPr>
                <w:rFonts w:cs="Arial"/>
                <w:szCs w:val="18"/>
              </w:rPr>
            </w:pPr>
          </w:p>
        </w:tc>
      </w:tr>
      <w:tr w:rsidR="00E32D31" w:rsidRPr="000A0A5F" w:rsidTr="00E32D31">
        <w:trPr>
          <w:jc w:val="center"/>
        </w:trPr>
        <w:tc>
          <w:tcPr>
            <w:tcW w:w="2888" w:type="dxa"/>
            <w:vAlign w:val="center"/>
          </w:tcPr>
          <w:p w:rsidR="00E32D31" w:rsidRPr="000A0A5F" w:rsidRDefault="00E32D31" w:rsidP="00510DDC">
            <w:pPr>
              <w:pStyle w:val="TAL"/>
            </w:pPr>
            <w:r w:rsidRPr="000A0A5F">
              <w:t>MonitoringNotification</w:t>
            </w:r>
          </w:p>
        </w:tc>
        <w:tc>
          <w:tcPr>
            <w:tcW w:w="964" w:type="dxa"/>
            <w:vAlign w:val="center"/>
          </w:tcPr>
          <w:p w:rsidR="00E32D31" w:rsidRPr="000A0A5F" w:rsidRDefault="00E32D31" w:rsidP="00510DDC">
            <w:pPr>
              <w:pStyle w:val="TAC"/>
            </w:pPr>
            <w:r w:rsidRPr="000A0A5F">
              <w:t>5.3.2.2.2</w:t>
            </w:r>
          </w:p>
        </w:tc>
        <w:tc>
          <w:tcPr>
            <w:tcW w:w="4365" w:type="dxa"/>
            <w:vAlign w:val="center"/>
          </w:tcPr>
          <w:p w:rsidR="00E32D31" w:rsidRPr="000A0A5F" w:rsidRDefault="00E32D31" w:rsidP="00510DDC">
            <w:pPr>
              <w:pStyle w:val="TAL"/>
            </w:pPr>
            <w:r w:rsidRPr="000A0A5F">
              <w:t>Represents an event monitoring notification</w:t>
            </w:r>
            <w:r w:rsidRPr="000A0A5F">
              <w:rPr>
                <w:rFonts w:eastAsia="Batang"/>
              </w:rPr>
              <w:t>.</w:t>
            </w:r>
          </w:p>
        </w:tc>
        <w:tc>
          <w:tcPr>
            <w:tcW w:w="1412" w:type="dxa"/>
            <w:vAlign w:val="center"/>
          </w:tcPr>
          <w:p w:rsidR="00E32D31" w:rsidRPr="000A0A5F" w:rsidRDefault="00E32D31" w:rsidP="00510DDC">
            <w:pPr>
              <w:pStyle w:val="TAL"/>
              <w:rPr>
                <w:rFonts w:cs="Arial"/>
                <w:szCs w:val="18"/>
              </w:rPr>
            </w:pPr>
          </w:p>
        </w:tc>
      </w:tr>
      <w:tr w:rsidR="00E32D31" w:rsidRPr="000A0A5F" w:rsidTr="00E32D31">
        <w:trPr>
          <w:jc w:val="center"/>
        </w:trPr>
        <w:tc>
          <w:tcPr>
            <w:tcW w:w="2888" w:type="dxa"/>
            <w:vAlign w:val="center"/>
          </w:tcPr>
          <w:p w:rsidR="00E32D31" w:rsidRPr="000A0A5F" w:rsidRDefault="00E32D31" w:rsidP="00510DDC">
            <w:pPr>
              <w:pStyle w:val="TAL"/>
              <w:rPr>
                <w:lang w:eastAsia="zh-CN"/>
              </w:rPr>
            </w:pPr>
            <w:r w:rsidRPr="000A0A5F">
              <w:t>MonitoringType</w:t>
            </w:r>
          </w:p>
        </w:tc>
        <w:tc>
          <w:tcPr>
            <w:tcW w:w="964" w:type="dxa"/>
            <w:vAlign w:val="center"/>
          </w:tcPr>
          <w:p w:rsidR="00E32D31" w:rsidRPr="000A0A5F" w:rsidRDefault="00E32D31" w:rsidP="00510DDC">
            <w:pPr>
              <w:pStyle w:val="TAC"/>
            </w:pPr>
            <w:r w:rsidRPr="000A0A5F">
              <w:t>5.3.2.4.3</w:t>
            </w:r>
          </w:p>
        </w:tc>
        <w:tc>
          <w:tcPr>
            <w:tcW w:w="4365" w:type="dxa"/>
            <w:vAlign w:val="center"/>
          </w:tcPr>
          <w:p w:rsidR="00E32D31" w:rsidRPr="000A0A5F" w:rsidRDefault="00E32D31" w:rsidP="00510DDC">
            <w:pPr>
              <w:pStyle w:val="TAL"/>
            </w:pPr>
            <w:r w:rsidRPr="000A0A5F">
              <w:t>Represents a monitoring event type.</w:t>
            </w:r>
          </w:p>
        </w:tc>
        <w:tc>
          <w:tcPr>
            <w:tcW w:w="1412" w:type="dxa"/>
            <w:vAlign w:val="center"/>
          </w:tcPr>
          <w:p w:rsidR="00E32D31" w:rsidRPr="000A0A5F" w:rsidRDefault="00E32D31" w:rsidP="00510DDC">
            <w:pPr>
              <w:pStyle w:val="TAL"/>
              <w:rPr>
                <w:rFonts w:cs="Arial"/>
                <w:szCs w:val="18"/>
              </w:rPr>
            </w:pPr>
          </w:p>
        </w:tc>
      </w:tr>
      <w:tr w:rsidR="00E32D31" w:rsidRPr="000A0A5F" w:rsidTr="00E32D31">
        <w:trPr>
          <w:jc w:val="center"/>
        </w:trPr>
        <w:tc>
          <w:tcPr>
            <w:tcW w:w="2888" w:type="dxa"/>
            <w:vAlign w:val="center"/>
          </w:tcPr>
          <w:p w:rsidR="00E32D31" w:rsidRPr="000A0A5F" w:rsidRDefault="00E32D31" w:rsidP="00510DDC">
            <w:pPr>
              <w:pStyle w:val="TAL"/>
              <w:rPr>
                <w:lang w:eastAsia="zh-CN"/>
              </w:rPr>
            </w:pPr>
            <w:r w:rsidRPr="000A0A5F">
              <w:t>PdnConnectionInformation</w:t>
            </w:r>
          </w:p>
        </w:tc>
        <w:tc>
          <w:tcPr>
            <w:tcW w:w="964" w:type="dxa"/>
            <w:vAlign w:val="center"/>
          </w:tcPr>
          <w:p w:rsidR="00E32D31" w:rsidRPr="000A0A5F" w:rsidRDefault="00E32D31" w:rsidP="00510DDC">
            <w:pPr>
              <w:pStyle w:val="TAC"/>
            </w:pPr>
            <w:r w:rsidRPr="000A0A5F">
              <w:t>5.3.2.3.7</w:t>
            </w:r>
          </w:p>
        </w:tc>
        <w:tc>
          <w:tcPr>
            <w:tcW w:w="4365" w:type="dxa"/>
            <w:vAlign w:val="center"/>
          </w:tcPr>
          <w:p w:rsidR="00E32D31" w:rsidRPr="000A0A5F" w:rsidRDefault="00E32D31" w:rsidP="00510DDC">
            <w:pPr>
              <w:pStyle w:val="TAL"/>
            </w:pPr>
            <w:r w:rsidRPr="000A0A5F">
              <w:t>Represents the PDN connection information of the UE.</w:t>
            </w:r>
          </w:p>
        </w:tc>
        <w:tc>
          <w:tcPr>
            <w:tcW w:w="1412" w:type="dxa"/>
            <w:vAlign w:val="center"/>
          </w:tcPr>
          <w:p w:rsidR="00E32D31" w:rsidRPr="000A0A5F" w:rsidRDefault="00E32D31" w:rsidP="00510DDC">
            <w:pPr>
              <w:pStyle w:val="TAL"/>
              <w:rPr>
                <w:rFonts w:cs="Arial"/>
                <w:szCs w:val="18"/>
              </w:rPr>
            </w:pPr>
            <w:r w:rsidRPr="000A0A5F">
              <w:t>Pdn_connectivity_status</w:t>
            </w:r>
          </w:p>
        </w:tc>
      </w:tr>
      <w:tr w:rsidR="00E32D31" w:rsidRPr="000A0A5F" w:rsidTr="00E32D31">
        <w:trPr>
          <w:jc w:val="center"/>
        </w:trPr>
        <w:tc>
          <w:tcPr>
            <w:tcW w:w="2888" w:type="dxa"/>
            <w:vAlign w:val="center"/>
          </w:tcPr>
          <w:p w:rsidR="00E32D31" w:rsidRPr="000A0A5F" w:rsidRDefault="00E32D31" w:rsidP="00510DDC">
            <w:pPr>
              <w:pStyle w:val="TAL"/>
            </w:pPr>
            <w:r w:rsidRPr="000A0A5F">
              <w:t>PdnConnectionStatus</w:t>
            </w:r>
          </w:p>
        </w:tc>
        <w:tc>
          <w:tcPr>
            <w:tcW w:w="964" w:type="dxa"/>
            <w:vAlign w:val="center"/>
          </w:tcPr>
          <w:p w:rsidR="00E32D31" w:rsidRPr="000A0A5F" w:rsidRDefault="00E32D31" w:rsidP="00510DDC">
            <w:pPr>
              <w:pStyle w:val="TAC"/>
            </w:pPr>
            <w:r w:rsidRPr="000A0A5F">
              <w:t>5.3.2.4.8</w:t>
            </w:r>
          </w:p>
        </w:tc>
        <w:tc>
          <w:tcPr>
            <w:tcW w:w="4365" w:type="dxa"/>
            <w:vAlign w:val="center"/>
          </w:tcPr>
          <w:p w:rsidR="00E32D31" w:rsidRPr="000A0A5F" w:rsidRDefault="00E32D31" w:rsidP="00510DDC">
            <w:pPr>
              <w:pStyle w:val="TAL"/>
            </w:pPr>
            <w:r w:rsidRPr="000A0A5F">
              <w:t>Represents the PDN connection status.</w:t>
            </w:r>
          </w:p>
        </w:tc>
        <w:tc>
          <w:tcPr>
            <w:tcW w:w="1412" w:type="dxa"/>
            <w:vAlign w:val="center"/>
          </w:tcPr>
          <w:p w:rsidR="00E32D31" w:rsidRPr="000A0A5F" w:rsidRDefault="00E32D31" w:rsidP="00510DDC">
            <w:pPr>
              <w:pStyle w:val="TAL"/>
              <w:rPr>
                <w:rFonts w:cs="Arial"/>
                <w:szCs w:val="18"/>
              </w:rPr>
            </w:pPr>
            <w:r w:rsidRPr="000A0A5F">
              <w:rPr>
                <w:rFonts w:eastAsia="Times New Roman"/>
              </w:rPr>
              <w:t>Pdn_connectivity_status</w:t>
            </w:r>
          </w:p>
        </w:tc>
      </w:tr>
      <w:tr w:rsidR="00E32D31" w:rsidRPr="000A0A5F" w:rsidTr="00E32D31">
        <w:trPr>
          <w:jc w:val="center"/>
        </w:trPr>
        <w:tc>
          <w:tcPr>
            <w:tcW w:w="2888" w:type="dxa"/>
            <w:vAlign w:val="center"/>
          </w:tcPr>
          <w:p w:rsidR="00E32D31" w:rsidRPr="000A0A5F" w:rsidRDefault="00E32D31" w:rsidP="00510DDC">
            <w:pPr>
              <w:pStyle w:val="TAL"/>
            </w:pPr>
            <w:r w:rsidRPr="000A0A5F">
              <w:t>PdnType</w:t>
            </w:r>
          </w:p>
        </w:tc>
        <w:tc>
          <w:tcPr>
            <w:tcW w:w="964" w:type="dxa"/>
            <w:vAlign w:val="center"/>
          </w:tcPr>
          <w:p w:rsidR="00E32D31" w:rsidRPr="000A0A5F" w:rsidRDefault="00E32D31" w:rsidP="00510DDC">
            <w:pPr>
              <w:pStyle w:val="TAC"/>
            </w:pPr>
            <w:r w:rsidRPr="000A0A5F">
              <w:t>5.3.2.4.9</w:t>
            </w:r>
          </w:p>
        </w:tc>
        <w:tc>
          <w:tcPr>
            <w:tcW w:w="4365" w:type="dxa"/>
            <w:vAlign w:val="center"/>
          </w:tcPr>
          <w:p w:rsidR="00E32D31" w:rsidRPr="000A0A5F" w:rsidRDefault="00E32D31" w:rsidP="00510DDC">
            <w:pPr>
              <w:pStyle w:val="TAL"/>
            </w:pPr>
            <w:r w:rsidRPr="000A0A5F">
              <w:t>Represents a PDN connection type.</w:t>
            </w:r>
          </w:p>
        </w:tc>
        <w:tc>
          <w:tcPr>
            <w:tcW w:w="1412" w:type="dxa"/>
            <w:vAlign w:val="center"/>
          </w:tcPr>
          <w:p w:rsidR="00E32D31" w:rsidRPr="000A0A5F" w:rsidRDefault="00E32D31" w:rsidP="00510DDC">
            <w:pPr>
              <w:pStyle w:val="TAL"/>
              <w:rPr>
                <w:rFonts w:cs="Arial"/>
                <w:szCs w:val="18"/>
              </w:rPr>
            </w:pPr>
          </w:p>
        </w:tc>
      </w:tr>
      <w:tr w:rsidR="00E32D31" w:rsidRPr="000A0A5F" w:rsidTr="00E32D31">
        <w:trPr>
          <w:jc w:val="center"/>
        </w:trPr>
        <w:tc>
          <w:tcPr>
            <w:tcW w:w="2888" w:type="dxa"/>
            <w:vAlign w:val="center"/>
          </w:tcPr>
          <w:p w:rsidR="00E32D31" w:rsidRPr="000A0A5F" w:rsidRDefault="00E32D31" w:rsidP="00510DDC">
            <w:pPr>
              <w:pStyle w:val="TAL"/>
              <w:rPr>
                <w:lang w:eastAsia="zh-CN"/>
              </w:rPr>
            </w:pPr>
            <w:r w:rsidRPr="000A0A5F">
              <w:t>ReachabilityType</w:t>
            </w:r>
          </w:p>
        </w:tc>
        <w:tc>
          <w:tcPr>
            <w:tcW w:w="964" w:type="dxa"/>
            <w:vAlign w:val="center"/>
          </w:tcPr>
          <w:p w:rsidR="00E32D31" w:rsidRPr="000A0A5F" w:rsidRDefault="00E32D31" w:rsidP="00510DDC">
            <w:pPr>
              <w:pStyle w:val="TAC"/>
            </w:pPr>
            <w:r w:rsidRPr="000A0A5F">
              <w:t>5.3.2.4.4</w:t>
            </w:r>
          </w:p>
        </w:tc>
        <w:tc>
          <w:tcPr>
            <w:tcW w:w="4365" w:type="dxa"/>
            <w:vAlign w:val="center"/>
          </w:tcPr>
          <w:p w:rsidR="00E32D31" w:rsidRPr="000A0A5F" w:rsidRDefault="00E32D31" w:rsidP="00510DDC">
            <w:pPr>
              <w:pStyle w:val="TAL"/>
            </w:pPr>
            <w:r w:rsidRPr="000A0A5F">
              <w:t>Represents a reachability type.</w:t>
            </w:r>
          </w:p>
        </w:tc>
        <w:tc>
          <w:tcPr>
            <w:tcW w:w="1412" w:type="dxa"/>
            <w:vAlign w:val="center"/>
          </w:tcPr>
          <w:p w:rsidR="00E32D31" w:rsidRPr="000A0A5F" w:rsidRDefault="00E32D31" w:rsidP="00510DDC">
            <w:pPr>
              <w:pStyle w:val="TAL"/>
              <w:rPr>
                <w:rFonts w:cs="Arial"/>
                <w:szCs w:val="18"/>
              </w:rPr>
            </w:pPr>
            <w:r w:rsidRPr="000A0A5F">
              <w:t>Ue-reachability_notification</w:t>
            </w:r>
          </w:p>
        </w:tc>
      </w:tr>
      <w:tr w:rsidR="00E32D31" w:rsidRPr="000A0A5F" w:rsidTr="00E32D31">
        <w:trPr>
          <w:jc w:val="center"/>
        </w:trPr>
        <w:tc>
          <w:tcPr>
            <w:tcW w:w="2888" w:type="dxa"/>
            <w:vAlign w:val="center"/>
          </w:tcPr>
          <w:p w:rsidR="00E32D31" w:rsidRPr="000A0A5F" w:rsidRDefault="00E32D31" w:rsidP="00510DDC">
            <w:pPr>
              <w:pStyle w:val="TAL"/>
            </w:pPr>
            <w:r w:rsidRPr="000A0A5F">
              <w:rPr>
                <w:lang w:eastAsia="zh-CN"/>
              </w:rPr>
              <w:t>SACRepFormat</w:t>
            </w:r>
          </w:p>
        </w:tc>
        <w:tc>
          <w:tcPr>
            <w:tcW w:w="964" w:type="dxa"/>
            <w:vAlign w:val="center"/>
          </w:tcPr>
          <w:p w:rsidR="00E32D31" w:rsidRPr="000A0A5F" w:rsidRDefault="00E32D31" w:rsidP="00510DDC">
            <w:pPr>
              <w:pStyle w:val="TAC"/>
            </w:pPr>
            <w:r w:rsidRPr="000A0A5F">
              <w:rPr>
                <w:lang w:eastAsia="zh-CN"/>
              </w:rPr>
              <w:t>5.3.2.4.13</w:t>
            </w:r>
          </w:p>
        </w:tc>
        <w:tc>
          <w:tcPr>
            <w:tcW w:w="4365" w:type="dxa"/>
            <w:vAlign w:val="center"/>
          </w:tcPr>
          <w:p w:rsidR="00E32D31" w:rsidRPr="000A0A5F" w:rsidRDefault="00E32D31" w:rsidP="00510DDC">
            <w:pPr>
              <w:pStyle w:val="TAL"/>
            </w:pPr>
            <w:r w:rsidRPr="000A0A5F">
              <w:rPr>
                <w:noProof/>
              </w:rPr>
              <w:t>Represents the NSAC reporting format.</w:t>
            </w:r>
          </w:p>
        </w:tc>
        <w:tc>
          <w:tcPr>
            <w:tcW w:w="1412" w:type="dxa"/>
            <w:vAlign w:val="center"/>
          </w:tcPr>
          <w:p w:rsidR="00E32D31" w:rsidRPr="000A0A5F" w:rsidRDefault="00E32D31" w:rsidP="00510DDC">
            <w:pPr>
              <w:pStyle w:val="TAL"/>
            </w:pPr>
            <w:r w:rsidRPr="000A0A5F">
              <w:rPr>
                <w:lang w:eastAsia="zh-CN"/>
              </w:rPr>
              <w:t>NSAC</w:t>
            </w:r>
          </w:p>
        </w:tc>
      </w:tr>
      <w:tr w:rsidR="00E32D31" w:rsidRPr="000A0A5F" w:rsidTr="00E32D31">
        <w:trPr>
          <w:jc w:val="center"/>
        </w:trPr>
        <w:tc>
          <w:tcPr>
            <w:tcW w:w="2888" w:type="dxa"/>
            <w:vAlign w:val="center"/>
          </w:tcPr>
          <w:p w:rsidR="00E32D31" w:rsidRPr="000A0A5F" w:rsidRDefault="00E32D31" w:rsidP="00510DDC">
            <w:pPr>
              <w:pStyle w:val="TAL"/>
              <w:rPr>
                <w:lang w:eastAsia="zh-CN"/>
              </w:rPr>
            </w:pPr>
            <w:r w:rsidRPr="000A0A5F">
              <w:rPr>
                <w:lang w:eastAsia="zh-CN"/>
              </w:rPr>
              <w:t>SubType</w:t>
            </w:r>
          </w:p>
        </w:tc>
        <w:tc>
          <w:tcPr>
            <w:tcW w:w="964" w:type="dxa"/>
            <w:vAlign w:val="center"/>
          </w:tcPr>
          <w:p w:rsidR="00E32D31" w:rsidRPr="000A0A5F" w:rsidRDefault="00E32D31" w:rsidP="00510DDC">
            <w:pPr>
              <w:pStyle w:val="TAC"/>
              <w:rPr>
                <w:lang w:eastAsia="zh-CN"/>
              </w:rPr>
            </w:pPr>
            <w:r w:rsidRPr="000A0A5F">
              <w:rPr>
                <w:lang w:eastAsia="zh-CN"/>
              </w:rPr>
              <w:t>5.3.2.4.12</w:t>
            </w:r>
          </w:p>
        </w:tc>
        <w:tc>
          <w:tcPr>
            <w:tcW w:w="4365" w:type="dxa"/>
            <w:vAlign w:val="center"/>
          </w:tcPr>
          <w:p w:rsidR="00E32D31" w:rsidRPr="000A0A5F" w:rsidRDefault="00E32D31" w:rsidP="00510DDC">
            <w:pPr>
              <w:pStyle w:val="TAL"/>
              <w:rPr>
                <w:noProof/>
              </w:rPr>
            </w:pPr>
            <w:r w:rsidRPr="000A0A5F">
              <w:rPr>
                <w:noProof/>
              </w:rPr>
              <w:t xml:space="preserve">Represents </w:t>
            </w:r>
            <w:r w:rsidRPr="000A0A5F">
              <w:rPr>
                <w:rFonts w:cs="Arial"/>
                <w:szCs w:val="18"/>
              </w:rPr>
              <w:t>a subscription type</w:t>
            </w:r>
            <w:r w:rsidRPr="000A0A5F">
              <w:rPr>
                <w:noProof/>
              </w:rPr>
              <w:t>.</w:t>
            </w:r>
          </w:p>
        </w:tc>
        <w:tc>
          <w:tcPr>
            <w:tcW w:w="1412" w:type="dxa"/>
            <w:vAlign w:val="center"/>
          </w:tcPr>
          <w:p w:rsidR="00E32D31" w:rsidRPr="000A0A5F" w:rsidRDefault="00E32D31" w:rsidP="00510DDC">
            <w:pPr>
              <w:pStyle w:val="TAL"/>
              <w:rPr>
                <w:lang w:eastAsia="zh-CN"/>
              </w:rPr>
            </w:pPr>
            <w:r w:rsidRPr="000A0A5F">
              <w:t>UAV</w:t>
            </w:r>
          </w:p>
        </w:tc>
      </w:tr>
      <w:tr w:rsidR="00E32D31" w:rsidRPr="000A0A5F" w:rsidTr="00E32D31">
        <w:trPr>
          <w:jc w:val="center"/>
        </w:trPr>
        <w:tc>
          <w:tcPr>
            <w:tcW w:w="2888" w:type="dxa"/>
            <w:vAlign w:val="center"/>
          </w:tcPr>
          <w:p w:rsidR="00E32D31" w:rsidRPr="000A0A5F" w:rsidRDefault="00E32D31" w:rsidP="00510DDC">
            <w:pPr>
              <w:pStyle w:val="TAL"/>
              <w:rPr>
                <w:lang w:eastAsia="zh-CN"/>
              </w:rPr>
            </w:pPr>
            <w:r w:rsidRPr="000A0A5F">
              <w:t>UavPolicy</w:t>
            </w:r>
          </w:p>
        </w:tc>
        <w:tc>
          <w:tcPr>
            <w:tcW w:w="964" w:type="dxa"/>
            <w:vAlign w:val="center"/>
          </w:tcPr>
          <w:p w:rsidR="00E32D31" w:rsidRPr="000A0A5F" w:rsidRDefault="00E32D31" w:rsidP="00510DDC">
            <w:pPr>
              <w:pStyle w:val="TAC"/>
              <w:rPr>
                <w:lang w:eastAsia="zh-CN"/>
              </w:rPr>
            </w:pPr>
            <w:r w:rsidRPr="000A0A5F">
              <w:t>5.3.2.3.11</w:t>
            </w:r>
          </w:p>
        </w:tc>
        <w:tc>
          <w:tcPr>
            <w:tcW w:w="4365" w:type="dxa"/>
            <w:vAlign w:val="center"/>
          </w:tcPr>
          <w:p w:rsidR="00E32D31" w:rsidRPr="000A0A5F" w:rsidRDefault="00E32D31" w:rsidP="00510DDC">
            <w:pPr>
              <w:pStyle w:val="TAL"/>
              <w:rPr>
                <w:noProof/>
              </w:rPr>
            </w:pPr>
            <w:r w:rsidRPr="000A0A5F">
              <w:t xml:space="preserve">Represents the policy information included in the UAV </w:t>
            </w:r>
            <w:r w:rsidRPr="000A0A5F">
              <w:rPr>
                <w:lang w:eastAsia="zh-CN"/>
              </w:rPr>
              <w:t>presence monitoring request.</w:t>
            </w:r>
          </w:p>
        </w:tc>
        <w:tc>
          <w:tcPr>
            <w:tcW w:w="1412" w:type="dxa"/>
            <w:vAlign w:val="center"/>
          </w:tcPr>
          <w:p w:rsidR="00E32D31" w:rsidRPr="000A0A5F" w:rsidRDefault="00E32D31" w:rsidP="00510DDC">
            <w:pPr>
              <w:pStyle w:val="TAL"/>
              <w:rPr>
                <w:lang w:eastAsia="zh-CN"/>
              </w:rPr>
            </w:pPr>
            <w:r w:rsidRPr="000A0A5F">
              <w:t>UAV</w:t>
            </w:r>
          </w:p>
        </w:tc>
      </w:tr>
      <w:tr w:rsidR="00E32D31" w:rsidRPr="000A0A5F" w:rsidTr="00E32D31">
        <w:trPr>
          <w:jc w:val="center"/>
        </w:trPr>
        <w:tc>
          <w:tcPr>
            <w:tcW w:w="2888" w:type="dxa"/>
            <w:vAlign w:val="center"/>
          </w:tcPr>
          <w:p w:rsidR="00E32D31" w:rsidRPr="000A0A5F" w:rsidRDefault="00E32D31" w:rsidP="00510DDC">
            <w:pPr>
              <w:pStyle w:val="TAL"/>
            </w:pPr>
            <w:r w:rsidRPr="000A0A5F">
              <w:t>UePerLocationReport</w:t>
            </w:r>
          </w:p>
        </w:tc>
        <w:tc>
          <w:tcPr>
            <w:tcW w:w="964" w:type="dxa"/>
            <w:vAlign w:val="center"/>
          </w:tcPr>
          <w:p w:rsidR="00E32D31" w:rsidRPr="000A0A5F" w:rsidRDefault="00E32D31" w:rsidP="00510DDC">
            <w:pPr>
              <w:pStyle w:val="TAC"/>
            </w:pPr>
            <w:r w:rsidRPr="000A0A5F">
              <w:t>5.3.2.3.4</w:t>
            </w:r>
          </w:p>
        </w:tc>
        <w:tc>
          <w:tcPr>
            <w:tcW w:w="4365" w:type="dxa"/>
            <w:vAlign w:val="center"/>
          </w:tcPr>
          <w:p w:rsidR="00E32D31" w:rsidRPr="000A0A5F" w:rsidRDefault="00E32D31" w:rsidP="00510DDC">
            <w:pPr>
              <w:pStyle w:val="TAL"/>
            </w:pPr>
            <w:r w:rsidRPr="000A0A5F">
              <w:t>Represents the number of UEs found at the indicated location.</w:t>
            </w:r>
          </w:p>
        </w:tc>
        <w:tc>
          <w:tcPr>
            <w:tcW w:w="1412" w:type="dxa"/>
            <w:vAlign w:val="center"/>
          </w:tcPr>
          <w:p w:rsidR="00E32D31" w:rsidRPr="000A0A5F" w:rsidRDefault="00E32D31" w:rsidP="00510DDC">
            <w:pPr>
              <w:pStyle w:val="TAL"/>
              <w:rPr>
                <w:rFonts w:cs="Arial"/>
                <w:szCs w:val="18"/>
              </w:rPr>
            </w:pPr>
            <w:r w:rsidRPr="000A0A5F">
              <w:rPr>
                <w:rFonts w:cs="Arial" w:hint="eastAsia"/>
                <w:szCs w:val="18"/>
              </w:rPr>
              <w:t>Number_of_UEs</w:t>
            </w:r>
            <w:r w:rsidRPr="000A0A5F">
              <w:rPr>
                <w:rFonts w:cs="Arial"/>
                <w:szCs w:val="18"/>
              </w:rPr>
              <w:t xml:space="preserve">_in_an_area_notification, </w:t>
            </w:r>
            <w:r w:rsidRPr="000A0A5F">
              <w:rPr>
                <w:rFonts w:cs="Arial" w:hint="eastAsia"/>
                <w:szCs w:val="18"/>
              </w:rPr>
              <w:t>Number_of_UEs</w:t>
            </w:r>
            <w:r w:rsidRPr="000A0A5F">
              <w:rPr>
                <w:rFonts w:cs="Arial"/>
                <w:szCs w:val="18"/>
              </w:rPr>
              <w:t>_in_an_area_notification_5G</w:t>
            </w:r>
          </w:p>
        </w:tc>
      </w:tr>
      <w:tr w:rsidR="002B3218" w:rsidRPr="000A0A5F" w:rsidTr="00E32D31">
        <w:trPr>
          <w:jc w:val="center"/>
        </w:trPr>
        <w:tc>
          <w:tcPr>
            <w:tcW w:w="2888" w:type="dxa"/>
            <w:vAlign w:val="center"/>
          </w:tcPr>
          <w:p w:rsidR="002B3218" w:rsidRPr="000A0A5F" w:rsidRDefault="002B3218" w:rsidP="002B3218">
            <w:pPr>
              <w:pStyle w:val="TAL"/>
            </w:pPr>
            <w:r w:rsidRPr="000A0A5F">
              <w:rPr>
                <w:lang w:eastAsia="zh-CN"/>
              </w:rPr>
              <w:t>UpCumEvtRep</w:t>
            </w:r>
          </w:p>
        </w:tc>
        <w:tc>
          <w:tcPr>
            <w:tcW w:w="964" w:type="dxa"/>
            <w:vAlign w:val="center"/>
          </w:tcPr>
          <w:p w:rsidR="002B3218" w:rsidRPr="000A0A5F" w:rsidRDefault="002B3218" w:rsidP="002B3218">
            <w:pPr>
              <w:pStyle w:val="TAC"/>
            </w:pPr>
            <w:r w:rsidRPr="000A0A5F">
              <w:t>5.3.2.3.18</w:t>
            </w:r>
          </w:p>
        </w:tc>
        <w:tc>
          <w:tcPr>
            <w:tcW w:w="4365" w:type="dxa"/>
            <w:vAlign w:val="center"/>
          </w:tcPr>
          <w:p w:rsidR="002B3218" w:rsidRPr="000A0A5F" w:rsidRDefault="002B3218" w:rsidP="002B3218">
            <w:pPr>
              <w:pStyle w:val="TAL"/>
            </w:pPr>
            <w:r w:rsidRPr="000A0A5F">
              <w:t xml:space="preserve">Represents </w:t>
            </w:r>
            <w:r w:rsidRPr="000A0A5F">
              <w:rPr>
                <w:rFonts w:eastAsia="Times New Roman"/>
                <w:lang w:eastAsia="zh-CN"/>
              </w:rPr>
              <w:t>the cumulative event report for events reported via user plane.</w:t>
            </w:r>
          </w:p>
        </w:tc>
        <w:tc>
          <w:tcPr>
            <w:tcW w:w="1412" w:type="dxa"/>
            <w:vAlign w:val="center"/>
          </w:tcPr>
          <w:p w:rsidR="002B3218" w:rsidRPr="000A0A5F" w:rsidRDefault="002B3218" w:rsidP="002B3218">
            <w:pPr>
              <w:pStyle w:val="TAL"/>
              <w:rPr>
                <w:rFonts w:cs="Arial"/>
                <w:szCs w:val="18"/>
              </w:rPr>
            </w:pPr>
            <w:r w:rsidRPr="000A0A5F">
              <w:rPr>
                <w:rFonts w:cs="Arial"/>
                <w:szCs w:val="18"/>
              </w:rPr>
              <w:t>eLCS_en</w:t>
            </w:r>
          </w:p>
        </w:tc>
      </w:tr>
      <w:tr w:rsidR="002B3218" w:rsidRPr="000A0A5F" w:rsidTr="00E32D31">
        <w:trPr>
          <w:jc w:val="center"/>
        </w:trPr>
        <w:tc>
          <w:tcPr>
            <w:tcW w:w="2888" w:type="dxa"/>
            <w:vAlign w:val="center"/>
          </w:tcPr>
          <w:p w:rsidR="002B3218" w:rsidRPr="000A0A5F" w:rsidRDefault="002B3218" w:rsidP="002B3218">
            <w:pPr>
              <w:pStyle w:val="TAL"/>
            </w:pPr>
            <w:r w:rsidRPr="000A0A5F">
              <w:rPr>
                <w:rFonts w:eastAsia="Times New Roman"/>
                <w:lang w:eastAsia="en-GB"/>
              </w:rPr>
              <w:t>UpLocRepAddrAfRm</w:t>
            </w:r>
          </w:p>
        </w:tc>
        <w:tc>
          <w:tcPr>
            <w:tcW w:w="964" w:type="dxa"/>
            <w:vAlign w:val="center"/>
          </w:tcPr>
          <w:p w:rsidR="002B3218" w:rsidRPr="000A0A5F" w:rsidRDefault="002B3218" w:rsidP="002B3218">
            <w:pPr>
              <w:pStyle w:val="TAC"/>
            </w:pPr>
            <w:r w:rsidRPr="000A0A5F">
              <w:t>5.3.2.3.17</w:t>
            </w:r>
          </w:p>
        </w:tc>
        <w:tc>
          <w:tcPr>
            <w:tcW w:w="4365" w:type="dxa"/>
            <w:vAlign w:val="center"/>
          </w:tcPr>
          <w:p w:rsidR="002B3218" w:rsidRPr="000A0A5F" w:rsidRDefault="002B3218" w:rsidP="002B3218">
            <w:pPr>
              <w:pStyle w:val="TAL"/>
            </w:pPr>
            <w:r w:rsidRPr="000A0A5F">
              <w:t>Represents the user plane addressing information.</w:t>
            </w:r>
          </w:p>
        </w:tc>
        <w:tc>
          <w:tcPr>
            <w:tcW w:w="1412" w:type="dxa"/>
            <w:vAlign w:val="center"/>
          </w:tcPr>
          <w:p w:rsidR="002B3218" w:rsidRPr="000A0A5F" w:rsidRDefault="002B3218" w:rsidP="002B3218">
            <w:pPr>
              <w:pStyle w:val="TAL"/>
              <w:rPr>
                <w:rFonts w:cs="Arial"/>
                <w:szCs w:val="18"/>
              </w:rPr>
            </w:pPr>
            <w:r w:rsidRPr="000A0A5F">
              <w:rPr>
                <w:rFonts w:cs="Arial"/>
                <w:szCs w:val="18"/>
              </w:rPr>
              <w:t>eLCS_en</w:t>
            </w:r>
          </w:p>
        </w:tc>
      </w:tr>
      <w:tr w:rsidR="002B3218" w:rsidRPr="000A0A5F" w:rsidTr="00E32D31">
        <w:trPr>
          <w:jc w:val="center"/>
        </w:trPr>
        <w:tc>
          <w:tcPr>
            <w:tcW w:w="2888" w:type="dxa"/>
            <w:vAlign w:val="center"/>
          </w:tcPr>
          <w:p w:rsidR="002B3218" w:rsidRPr="000A0A5F" w:rsidRDefault="002B3218" w:rsidP="002B3218">
            <w:pPr>
              <w:pStyle w:val="TAL"/>
            </w:pPr>
            <w:r w:rsidRPr="000A0A5F">
              <w:rPr>
                <w:lang w:eastAsia="zh-CN"/>
              </w:rPr>
              <w:t>RangeDirection</w:t>
            </w:r>
          </w:p>
        </w:tc>
        <w:tc>
          <w:tcPr>
            <w:tcW w:w="964" w:type="dxa"/>
            <w:vAlign w:val="center"/>
          </w:tcPr>
          <w:p w:rsidR="002B3218" w:rsidRPr="000A0A5F" w:rsidRDefault="002B3218" w:rsidP="002B3218">
            <w:pPr>
              <w:pStyle w:val="TAC"/>
            </w:pPr>
            <w:r w:rsidRPr="000A0A5F">
              <w:t>5.3.2.3.14</w:t>
            </w:r>
          </w:p>
        </w:tc>
        <w:tc>
          <w:tcPr>
            <w:tcW w:w="4365" w:type="dxa"/>
            <w:vAlign w:val="center"/>
          </w:tcPr>
          <w:p w:rsidR="002B3218" w:rsidRPr="000A0A5F" w:rsidRDefault="002B3218" w:rsidP="002B3218">
            <w:pPr>
              <w:pStyle w:val="TAL"/>
            </w:pPr>
            <w:r w:rsidRPr="000A0A5F">
              <w:t xml:space="preserve">Represents the </w:t>
            </w:r>
            <w:r w:rsidRPr="000A0A5F">
              <w:rPr>
                <w:rFonts w:eastAsia="Times New Roman" w:cs="Arial"/>
                <w:szCs w:val="18"/>
              </w:rPr>
              <w:t>range and direction between two points</w:t>
            </w:r>
            <w:r w:rsidRPr="000A0A5F">
              <w:rPr>
                <w:rFonts w:ascii="SimSun" w:hAnsi="SimSun" w:cs="SimSun" w:hint="eastAsia"/>
                <w:szCs w:val="18"/>
                <w:lang w:eastAsia="zh-CN"/>
              </w:rPr>
              <w:t>.</w:t>
            </w:r>
          </w:p>
        </w:tc>
        <w:tc>
          <w:tcPr>
            <w:tcW w:w="1412" w:type="dxa"/>
            <w:vAlign w:val="center"/>
          </w:tcPr>
          <w:p w:rsidR="002B3218" w:rsidRPr="000A0A5F" w:rsidRDefault="002B3218" w:rsidP="002B3218">
            <w:pPr>
              <w:pStyle w:val="TAL"/>
              <w:rPr>
                <w:rFonts w:cs="Arial"/>
                <w:szCs w:val="18"/>
              </w:rPr>
            </w:pPr>
            <w:r w:rsidRPr="000A0A5F">
              <w:rPr>
                <w:rFonts w:cs="Arial"/>
                <w:szCs w:val="18"/>
              </w:rPr>
              <w:t>Ranging_SL</w:t>
            </w:r>
          </w:p>
        </w:tc>
      </w:tr>
      <w:tr w:rsidR="002B3218" w:rsidRPr="000A0A5F" w:rsidTr="00E32D31">
        <w:trPr>
          <w:jc w:val="center"/>
        </w:trPr>
        <w:tc>
          <w:tcPr>
            <w:tcW w:w="2888" w:type="dxa"/>
            <w:vAlign w:val="center"/>
          </w:tcPr>
          <w:p w:rsidR="002B3218" w:rsidRPr="000A0A5F" w:rsidRDefault="002B3218" w:rsidP="002B3218">
            <w:pPr>
              <w:pStyle w:val="TAL"/>
            </w:pPr>
            <w:r w:rsidRPr="000A0A5F">
              <w:rPr>
                <w:lang w:eastAsia="zh-CN"/>
              </w:rPr>
              <w:t>Twod</w:t>
            </w:r>
            <w:r w:rsidRPr="000A0A5F">
              <w:rPr>
                <w:rFonts w:hint="eastAsia"/>
                <w:lang w:eastAsia="zh-CN"/>
              </w:rPr>
              <w:t>r</w:t>
            </w:r>
            <w:r w:rsidRPr="000A0A5F">
              <w:rPr>
                <w:lang w:eastAsia="zh-CN"/>
              </w:rPr>
              <w:t>elativeLocation</w:t>
            </w:r>
          </w:p>
        </w:tc>
        <w:tc>
          <w:tcPr>
            <w:tcW w:w="964" w:type="dxa"/>
            <w:vAlign w:val="center"/>
          </w:tcPr>
          <w:p w:rsidR="002B3218" w:rsidRPr="000A0A5F" w:rsidRDefault="002B3218" w:rsidP="002B3218">
            <w:pPr>
              <w:pStyle w:val="TAC"/>
            </w:pPr>
            <w:r w:rsidRPr="000A0A5F">
              <w:t>5.3.2.3.15</w:t>
            </w:r>
          </w:p>
        </w:tc>
        <w:tc>
          <w:tcPr>
            <w:tcW w:w="4365" w:type="dxa"/>
            <w:vAlign w:val="center"/>
          </w:tcPr>
          <w:p w:rsidR="002B3218" w:rsidRPr="000A0A5F" w:rsidRDefault="002B3218" w:rsidP="002B3218">
            <w:pPr>
              <w:pStyle w:val="TAL"/>
            </w:pPr>
            <w:r w:rsidRPr="000A0A5F">
              <w:t>Represents 2D local co-ordinates with origin corresponding to another known point.</w:t>
            </w:r>
          </w:p>
        </w:tc>
        <w:tc>
          <w:tcPr>
            <w:tcW w:w="1412" w:type="dxa"/>
            <w:vAlign w:val="center"/>
          </w:tcPr>
          <w:p w:rsidR="002B3218" w:rsidRPr="000A0A5F" w:rsidRDefault="002B3218" w:rsidP="002B3218">
            <w:pPr>
              <w:pStyle w:val="TAL"/>
              <w:rPr>
                <w:rFonts w:cs="Arial"/>
                <w:szCs w:val="18"/>
              </w:rPr>
            </w:pPr>
            <w:r w:rsidRPr="000A0A5F">
              <w:rPr>
                <w:rFonts w:cs="Arial"/>
                <w:szCs w:val="18"/>
              </w:rPr>
              <w:t>Ranging_SL</w:t>
            </w:r>
          </w:p>
        </w:tc>
      </w:tr>
      <w:tr w:rsidR="002B3218" w:rsidRPr="000A0A5F" w:rsidTr="00E32D31">
        <w:trPr>
          <w:jc w:val="center"/>
        </w:trPr>
        <w:tc>
          <w:tcPr>
            <w:tcW w:w="2888" w:type="dxa"/>
            <w:vAlign w:val="center"/>
          </w:tcPr>
          <w:p w:rsidR="002B3218" w:rsidRPr="000A0A5F" w:rsidRDefault="002B3218" w:rsidP="002B3218">
            <w:pPr>
              <w:pStyle w:val="TAL"/>
            </w:pPr>
            <w:r w:rsidRPr="000A0A5F">
              <w:rPr>
                <w:lang w:eastAsia="zh-CN"/>
              </w:rPr>
              <w:t>Threed</w:t>
            </w:r>
            <w:r w:rsidRPr="000A0A5F">
              <w:rPr>
                <w:rFonts w:hint="eastAsia"/>
                <w:lang w:eastAsia="zh-CN"/>
              </w:rPr>
              <w:t>r</w:t>
            </w:r>
            <w:r w:rsidRPr="000A0A5F">
              <w:rPr>
                <w:lang w:eastAsia="zh-CN"/>
              </w:rPr>
              <w:t>elativeLocation</w:t>
            </w:r>
          </w:p>
        </w:tc>
        <w:tc>
          <w:tcPr>
            <w:tcW w:w="964" w:type="dxa"/>
            <w:vAlign w:val="center"/>
          </w:tcPr>
          <w:p w:rsidR="002B3218" w:rsidRPr="000A0A5F" w:rsidRDefault="002B3218" w:rsidP="002B3218">
            <w:pPr>
              <w:pStyle w:val="TAC"/>
            </w:pPr>
            <w:r w:rsidRPr="000A0A5F">
              <w:t>5.3.2.3.16</w:t>
            </w:r>
          </w:p>
        </w:tc>
        <w:tc>
          <w:tcPr>
            <w:tcW w:w="4365" w:type="dxa"/>
            <w:vAlign w:val="center"/>
          </w:tcPr>
          <w:p w:rsidR="002B3218" w:rsidRPr="000A0A5F" w:rsidRDefault="002B3218" w:rsidP="002B3218">
            <w:pPr>
              <w:pStyle w:val="TAL"/>
            </w:pPr>
            <w:r w:rsidRPr="000A0A5F">
              <w:t>Represents 3D local co-ordinates with origin corresponding to another known point.</w:t>
            </w:r>
          </w:p>
        </w:tc>
        <w:tc>
          <w:tcPr>
            <w:tcW w:w="1412" w:type="dxa"/>
            <w:vAlign w:val="center"/>
          </w:tcPr>
          <w:p w:rsidR="002B3218" w:rsidRPr="000A0A5F" w:rsidRDefault="002B3218" w:rsidP="002B3218">
            <w:pPr>
              <w:pStyle w:val="TAL"/>
              <w:rPr>
                <w:rFonts w:cs="Arial"/>
                <w:szCs w:val="18"/>
              </w:rPr>
            </w:pPr>
            <w:r w:rsidRPr="000A0A5F">
              <w:rPr>
                <w:rFonts w:cs="Arial"/>
                <w:szCs w:val="18"/>
              </w:rPr>
              <w:t>Ranging_SL</w:t>
            </w:r>
          </w:p>
        </w:tc>
      </w:tr>
    </w:tbl>
    <w:p w:rsidR="00382470" w:rsidRPr="000A0A5F" w:rsidRDefault="00382470" w:rsidP="00382470"/>
    <w:p w:rsidR="00CB0DD7" w:rsidRPr="000A0A5F" w:rsidRDefault="00CB0DD7">
      <w:pPr>
        <w:pStyle w:val="Heading5"/>
      </w:pPr>
      <w:bookmarkStart w:id="1807" w:name="_Toc105674347"/>
      <w:bookmarkStart w:id="1808" w:name="_Toc130502386"/>
      <w:bookmarkStart w:id="1809" w:name="_Toc153625168"/>
      <w:r w:rsidRPr="000A0A5F">
        <w:t>5.3.2.1.2</w:t>
      </w:r>
      <w:r w:rsidRPr="000A0A5F">
        <w:tab/>
        <w:t>Type: MonitoringEventSubscription</w:t>
      </w:r>
      <w:bookmarkEnd w:id="1798"/>
      <w:bookmarkEnd w:id="1799"/>
      <w:bookmarkEnd w:id="1800"/>
      <w:bookmarkEnd w:id="1801"/>
      <w:bookmarkEnd w:id="1802"/>
      <w:bookmarkEnd w:id="1803"/>
      <w:bookmarkEnd w:id="1804"/>
      <w:bookmarkEnd w:id="1805"/>
      <w:bookmarkEnd w:id="1806"/>
      <w:bookmarkEnd w:id="1807"/>
      <w:bookmarkEnd w:id="1808"/>
      <w:bookmarkEnd w:id="1809"/>
    </w:p>
    <w:p w:rsidR="00CB0DD7" w:rsidRPr="000A0A5F" w:rsidRDefault="00CB0DD7">
      <w:r w:rsidRPr="000A0A5F">
        <w:t>This type represents a subscription to monitoring an event. The same structure is used in the subscription request and subscription response.</w:t>
      </w:r>
    </w:p>
    <w:p w:rsidR="00CB0DD7" w:rsidRPr="000A0A5F" w:rsidRDefault="00CB0DD7">
      <w:pPr>
        <w:pStyle w:val="TH"/>
      </w:pPr>
      <w:r w:rsidRPr="000A0A5F">
        <w:rPr>
          <w:noProof/>
        </w:rPr>
        <w:t>Table </w:t>
      </w:r>
      <w:r w:rsidRPr="000A0A5F">
        <w:t xml:space="preserve">5.3.2.1.2-1: </w:t>
      </w:r>
      <w:r w:rsidRPr="000A0A5F">
        <w:rPr>
          <w:noProof/>
        </w:rPr>
        <w:t xml:space="preserve">Definition of type </w:t>
      </w:r>
      <w:r w:rsidRPr="000A0A5F">
        <w:t>MonitoringEventSubscription</w:t>
      </w:r>
    </w:p>
    <w:tbl>
      <w:tblPr>
        <w:tblW w:w="958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026"/>
        <w:gridCol w:w="1492"/>
        <w:gridCol w:w="1134"/>
        <w:gridCol w:w="3544"/>
        <w:gridCol w:w="1392"/>
      </w:tblGrid>
      <w:tr w:rsidR="00CB0DD7" w:rsidRPr="000A0A5F" w:rsidTr="002B45A7">
        <w:trPr>
          <w:trHeight w:val="290"/>
          <w:jc w:val="center"/>
        </w:trPr>
        <w:tc>
          <w:tcPr>
            <w:tcW w:w="2026" w:type="dxa"/>
            <w:shd w:val="clear" w:color="auto" w:fill="C0C0C0"/>
          </w:tcPr>
          <w:p w:rsidR="00CB0DD7" w:rsidRPr="000A0A5F" w:rsidRDefault="00CB0DD7">
            <w:pPr>
              <w:pStyle w:val="TAH"/>
              <w:rPr>
                <w:rFonts w:eastAsia="Times New Roman"/>
              </w:rPr>
            </w:pPr>
            <w:r w:rsidRPr="000A0A5F">
              <w:rPr>
                <w:rFonts w:eastAsia="Times New Roman"/>
              </w:rPr>
              <w:t>Attribute name</w:t>
            </w:r>
          </w:p>
        </w:tc>
        <w:tc>
          <w:tcPr>
            <w:tcW w:w="1492" w:type="dxa"/>
            <w:shd w:val="clear" w:color="auto" w:fill="C0C0C0"/>
          </w:tcPr>
          <w:p w:rsidR="00CB0DD7" w:rsidRPr="000A0A5F" w:rsidRDefault="00CB0DD7">
            <w:pPr>
              <w:pStyle w:val="TAH"/>
              <w:rPr>
                <w:rFonts w:eastAsia="Times New Roman"/>
              </w:rPr>
            </w:pPr>
            <w:r w:rsidRPr="000A0A5F">
              <w:rPr>
                <w:rFonts w:eastAsia="Times New Roman"/>
              </w:rPr>
              <w:t>Data type</w:t>
            </w:r>
          </w:p>
        </w:tc>
        <w:tc>
          <w:tcPr>
            <w:tcW w:w="1134" w:type="dxa"/>
            <w:shd w:val="clear" w:color="auto" w:fill="C0C0C0"/>
          </w:tcPr>
          <w:p w:rsidR="00CB0DD7" w:rsidRPr="000A0A5F" w:rsidRDefault="00CB0DD7">
            <w:pPr>
              <w:pStyle w:val="TAH"/>
              <w:jc w:val="left"/>
              <w:rPr>
                <w:rFonts w:eastAsia="Times New Roman"/>
              </w:rPr>
            </w:pPr>
            <w:r w:rsidRPr="000A0A5F">
              <w:rPr>
                <w:rFonts w:eastAsia="Times New Roman"/>
              </w:rPr>
              <w:t>Cardinality</w:t>
            </w:r>
          </w:p>
        </w:tc>
        <w:tc>
          <w:tcPr>
            <w:tcW w:w="3544"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Description</w:t>
            </w:r>
          </w:p>
        </w:tc>
        <w:tc>
          <w:tcPr>
            <w:tcW w:w="1392"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Applicability (NOTE 3)</w:t>
            </w:r>
          </w:p>
        </w:tc>
      </w:tr>
      <w:tr w:rsidR="00CB0DD7" w:rsidRPr="000A0A5F" w:rsidTr="002B45A7">
        <w:trPr>
          <w:jc w:val="center"/>
        </w:trPr>
        <w:tc>
          <w:tcPr>
            <w:tcW w:w="2026" w:type="dxa"/>
            <w:shd w:val="clear" w:color="auto" w:fill="auto"/>
          </w:tcPr>
          <w:p w:rsidR="00CB0DD7" w:rsidRPr="000A0A5F" w:rsidRDefault="00CB0DD7">
            <w:pPr>
              <w:pStyle w:val="TAL"/>
              <w:rPr>
                <w:rFonts w:eastAsia="Times New Roman"/>
              </w:rPr>
            </w:pPr>
            <w:r w:rsidRPr="000A0A5F">
              <w:rPr>
                <w:rFonts w:eastAsia="Times New Roman"/>
              </w:rPr>
              <w:t>self</w:t>
            </w:r>
          </w:p>
        </w:tc>
        <w:tc>
          <w:tcPr>
            <w:tcW w:w="1492" w:type="dxa"/>
            <w:shd w:val="clear" w:color="auto" w:fill="auto"/>
          </w:tcPr>
          <w:p w:rsidR="00CB0DD7" w:rsidRPr="000A0A5F" w:rsidRDefault="00CB0DD7">
            <w:pPr>
              <w:pStyle w:val="TAL"/>
              <w:rPr>
                <w:rFonts w:eastAsia="Times New Roman"/>
              </w:rPr>
            </w:pPr>
            <w:r w:rsidRPr="000A0A5F">
              <w:rPr>
                <w:rFonts w:eastAsia="Times New Roman"/>
              </w:rPr>
              <w:t>Link</w:t>
            </w:r>
          </w:p>
        </w:tc>
        <w:tc>
          <w:tcPr>
            <w:tcW w:w="1134" w:type="dxa"/>
            <w:shd w:val="clear" w:color="auto" w:fill="auto"/>
          </w:tcPr>
          <w:p w:rsidR="00CB0DD7" w:rsidRPr="000A0A5F" w:rsidRDefault="00CB0DD7">
            <w:pPr>
              <w:pStyle w:val="TAL"/>
              <w:rPr>
                <w:rFonts w:eastAsia="Times New Roman"/>
              </w:rPr>
            </w:pPr>
            <w:r w:rsidRPr="000A0A5F">
              <w:rPr>
                <w:rFonts w:eastAsia="Times New Roman"/>
              </w:rPr>
              <w:t>0..1</w:t>
            </w:r>
          </w:p>
        </w:tc>
        <w:tc>
          <w:tcPr>
            <w:tcW w:w="3544" w:type="dxa"/>
            <w:shd w:val="clear" w:color="auto" w:fill="auto"/>
          </w:tcPr>
          <w:p w:rsidR="00CB0DD7" w:rsidRPr="000A0A5F" w:rsidRDefault="00CB0DD7">
            <w:pPr>
              <w:pStyle w:val="TAL"/>
              <w:rPr>
                <w:rFonts w:eastAsia="Times New Roman" w:cs="Arial"/>
                <w:szCs w:val="18"/>
              </w:rPr>
            </w:pPr>
            <w:r w:rsidRPr="000A0A5F">
              <w:rPr>
                <w:rFonts w:eastAsia="Times New Roman" w:cs="Arial"/>
                <w:szCs w:val="18"/>
              </w:rPr>
              <w:t xml:space="preserve">Link to the resource </w:t>
            </w:r>
            <w:r w:rsidRPr="000A0A5F">
              <w:t>"Individual Monitoring Event Subscription"</w:t>
            </w:r>
            <w:r w:rsidRPr="000A0A5F">
              <w:rPr>
                <w:rFonts w:eastAsia="Times New Roman" w:cs="Arial"/>
                <w:szCs w:val="18"/>
              </w:rPr>
              <w:t>. This parameter shall be supplied by the SCEF in HTTP responses.</w:t>
            </w:r>
          </w:p>
        </w:tc>
        <w:tc>
          <w:tcPr>
            <w:tcW w:w="1392" w:type="dxa"/>
          </w:tcPr>
          <w:p w:rsidR="00CB0DD7" w:rsidRPr="000A0A5F" w:rsidRDefault="00CB0DD7">
            <w:pPr>
              <w:pStyle w:val="TAL"/>
              <w:rPr>
                <w:rFonts w:eastAsia="Times New Roman" w:cs="Arial"/>
                <w:szCs w:val="18"/>
              </w:rPr>
            </w:pPr>
          </w:p>
        </w:tc>
      </w:tr>
      <w:tr w:rsidR="00CB0DD7" w:rsidRPr="000A0A5F" w:rsidTr="002B45A7">
        <w:trPr>
          <w:jc w:val="center"/>
        </w:trPr>
        <w:tc>
          <w:tcPr>
            <w:tcW w:w="2026" w:type="dxa"/>
            <w:shd w:val="clear" w:color="auto" w:fill="auto"/>
          </w:tcPr>
          <w:p w:rsidR="00CB0DD7" w:rsidRPr="000A0A5F" w:rsidRDefault="00CB0DD7">
            <w:pPr>
              <w:pStyle w:val="TAL"/>
              <w:rPr>
                <w:rFonts w:eastAsia="Times New Roman"/>
              </w:rPr>
            </w:pPr>
            <w:r w:rsidRPr="000A0A5F">
              <w:rPr>
                <w:lang w:eastAsia="zh-CN"/>
              </w:rPr>
              <w:t>supportedFeatures</w:t>
            </w:r>
          </w:p>
        </w:tc>
        <w:tc>
          <w:tcPr>
            <w:tcW w:w="1492" w:type="dxa"/>
            <w:shd w:val="clear" w:color="auto" w:fill="auto"/>
          </w:tcPr>
          <w:p w:rsidR="00CB0DD7" w:rsidRPr="000A0A5F" w:rsidRDefault="00CB0DD7">
            <w:pPr>
              <w:pStyle w:val="TAL"/>
              <w:rPr>
                <w:rFonts w:eastAsia="Times New Roman"/>
              </w:rPr>
            </w:pPr>
            <w:r w:rsidRPr="000A0A5F">
              <w:rPr>
                <w:lang w:eastAsia="zh-CN"/>
              </w:rPr>
              <w:t>SupportedFeatures</w:t>
            </w:r>
          </w:p>
        </w:tc>
        <w:tc>
          <w:tcPr>
            <w:tcW w:w="1134" w:type="dxa"/>
            <w:shd w:val="clear" w:color="auto" w:fill="auto"/>
          </w:tcPr>
          <w:p w:rsidR="00CB0DD7" w:rsidRPr="000A0A5F" w:rsidRDefault="00CB0DD7">
            <w:pPr>
              <w:pStyle w:val="TAL"/>
              <w:rPr>
                <w:rFonts w:eastAsia="Times New Roman"/>
              </w:rPr>
            </w:pPr>
            <w:r w:rsidRPr="000A0A5F">
              <w:rPr>
                <w:rFonts w:eastAsia="Times New Roman"/>
              </w:rPr>
              <w:t>0..1</w:t>
            </w:r>
          </w:p>
        </w:tc>
        <w:tc>
          <w:tcPr>
            <w:tcW w:w="3544" w:type="dxa"/>
            <w:shd w:val="clear" w:color="auto" w:fill="auto"/>
          </w:tcPr>
          <w:p w:rsidR="00CB0DD7" w:rsidRPr="000A0A5F" w:rsidRDefault="00CB0DD7">
            <w:pPr>
              <w:pStyle w:val="TAL"/>
            </w:pPr>
            <w:r w:rsidRPr="000A0A5F">
              <w:rPr>
                <w:rFonts w:eastAsia="Times New Roman" w:cs="Arial"/>
                <w:szCs w:val="18"/>
              </w:rPr>
              <w:t>Used to negotiate the supported optional features of the API as described in clause </w:t>
            </w:r>
            <w:r w:rsidRPr="000A0A5F">
              <w:rPr>
                <w:rFonts w:hint="eastAsia"/>
              </w:rPr>
              <w:t>5.</w:t>
            </w:r>
            <w:r w:rsidRPr="000A0A5F">
              <w:t>2</w:t>
            </w:r>
            <w:r w:rsidRPr="000A0A5F">
              <w:rPr>
                <w:rFonts w:hint="eastAsia"/>
              </w:rPr>
              <w:t>.</w:t>
            </w:r>
            <w:r w:rsidRPr="000A0A5F">
              <w:t>7.</w:t>
            </w:r>
          </w:p>
          <w:p w:rsidR="00CB0DD7" w:rsidRPr="000A0A5F" w:rsidRDefault="00CB0DD7">
            <w:pPr>
              <w:pStyle w:val="TAL"/>
              <w:rPr>
                <w:rFonts w:eastAsia="Times New Roman" w:cs="Arial"/>
                <w:szCs w:val="18"/>
              </w:rPr>
            </w:pPr>
            <w:r w:rsidRPr="000A0A5F">
              <w:t>This attribute shall be provided in the POST request and in the response of successful resource creation.</w:t>
            </w:r>
          </w:p>
        </w:tc>
        <w:tc>
          <w:tcPr>
            <w:tcW w:w="1392" w:type="dxa"/>
          </w:tcPr>
          <w:p w:rsidR="00CB0DD7" w:rsidRPr="000A0A5F" w:rsidRDefault="00CB0DD7">
            <w:pPr>
              <w:pStyle w:val="TAL"/>
              <w:rPr>
                <w:rFonts w:eastAsia="Times New Roman" w:cs="Arial"/>
                <w:szCs w:val="18"/>
              </w:rPr>
            </w:pPr>
          </w:p>
        </w:tc>
      </w:tr>
      <w:tr w:rsidR="00CB0DD7" w:rsidRPr="000A0A5F" w:rsidTr="002B45A7">
        <w:trPr>
          <w:jc w:val="center"/>
        </w:trPr>
        <w:tc>
          <w:tcPr>
            <w:tcW w:w="2026" w:type="dxa"/>
            <w:shd w:val="clear" w:color="auto" w:fill="auto"/>
          </w:tcPr>
          <w:p w:rsidR="00CB0DD7" w:rsidRPr="000A0A5F" w:rsidRDefault="00CB0DD7">
            <w:pPr>
              <w:pStyle w:val="TAL"/>
              <w:rPr>
                <w:lang w:eastAsia="zh-CN"/>
              </w:rPr>
            </w:pPr>
            <w:r w:rsidRPr="000A0A5F">
              <w:rPr>
                <w:lang w:eastAsia="zh-CN"/>
              </w:rPr>
              <w:t>mtcProviderId</w:t>
            </w:r>
          </w:p>
        </w:tc>
        <w:tc>
          <w:tcPr>
            <w:tcW w:w="1492" w:type="dxa"/>
            <w:shd w:val="clear" w:color="auto" w:fill="auto"/>
          </w:tcPr>
          <w:p w:rsidR="00CB0DD7" w:rsidRPr="000A0A5F" w:rsidRDefault="00CB0DD7">
            <w:pPr>
              <w:pStyle w:val="TAL"/>
              <w:rPr>
                <w:lang w:eastAsia="zh-CN"/>
              </w:rPr>
            </w:pPr>
            <w:r w:rsidRPr="000A0A5F">
              <w:rPr>
                <w:lang w:eastAsia="zh-CN"/>
              </w:rPr>
              <w:t>string</w:t>
            </w:r>
          </w:p>
        </w:tc>
        <w:tc>
          <w:tcPr>
            <w:tcW w:w="1134" w:type="dxa"/>
            <w:shd w:val="clear" w:color="auto" w:fill="auto"/>
          </w:tcPr>
          <w:p w:rsidR="00CB0DD7" w:rsidRPr="000A0A5F" w:rsidRDefault="00CB0DD7">
            <w:pPr>
              <w:pStyle w:val="TAL"/>
              <w:rPr>
                <w:rFonts w:eastAsia="Times New Roman"/>
              </w:rPr>
            </w:pPr>
            <w:r w:rsidRPr="000A0A5F">
              <w:rPr>
                <w:rFonts w:eastAsia="Times New Roman"/>
              </w:rPr>
              <w:t>0..1</w:t>
            </w:r>
          </w:p>
        </w:tc>
        <w:tc>
          <w:tcPr>
            <w:tcW w:w="3544" w:type="dxa"/>
            <w:shd w:val="clear" w:color="auto" w:fill="auto"/>
          </w:tcPr>
          <w:p w:rsidR="00CB0DD7" w:rsidRPr="000A0A5F" w:rsidRDefault="00CB0DD7">
            <w:pPr>
              <w:pStyle w:val="TAL"/>
              <w:rPr>
                <w:rFonts w:eastAsia="Times New Roman" w:cs="Arial"/>
                <w:szCs w:val="18"/>
              </w:rPr>
            </w:pPr>
            <w:r w:rsidRPr="000A0A5F">
              <w:t>Identifies the MTC Service Provider and/or MTC Application. (NOTE 7)</w:t>
            </w:r>
          </w:p>
        </w:tc>
        <w:tc>
          <w:tcPr>
            <w:tcW w:w="1392" w:type="dxa"/>
          </w:tcPr>
          <w:p w:rsidR="00CB0DD7" w:rsidRPr="000A0A5F" w:rsidRDefault="00CB0DD7">
            <w:pPr>
              <w:pStyle w:val="TAL"/>
              <w:rPr>
                <w:rFonts w:eastAsia="Times New Roman" w:cs="Arial"/>
                <w:szCs w:val="18"/>
              </w:rPr>
            </w:pPr>
          </w:p>
        </w:tc>
      </w:tr>
      <w:tr w:rsidR="00837C4C" w:rsidRPr="000A0A5F" w:rsidTr="002B45A7">
        <w:trPr>
          <w:jc w:val="center"/>
        </w:trPr>
        <w:tc>
          <w:tcPr>
            <w:tcW w:w="2026" w:type="dxa"/>
            <w:shd w:val="clear" w:color="auto" w:fill="auto"/>
          </w:tcPr>
          <w:p w:rsidR="00837C4C" w:rsidRPr="000A0A5F" w:rsidRDefault="00837C4C" w:rsidP="00837C4C">
            <w:pPr>
              <w:pStyle w:val="TAL"/>
              <w:rPr>
                <w:lang w:eastAsia="zh-CN"/>
              </w:rPr>
            </w:pPr>
            <w:r w:rsidRPr="000A0A5F">
              <w:rPr>
                <w:lang w:eastAsia="zh-CN"/>
              </w:rPr>
              <w:t>appIds</w:t>
            </w:r>
          </w:p>
        </w:tc>
        <w:tc>
          <w:tcPr>
            <w:tcW w:w="1492" w:type="dxa"/>
            <w:shd w:val="clear" w:color="auto" w:fill="auto"/>
          </w:tcPr>
          <w:p w:rsidR="00837C4C" w:rsidRPr="000A0A5F" w:rsidRDefault="00837C4C" w:rsidP="00837C4C">
            <w:pPr>
              <w:pStyle w:val="TAL"/>
              <w:rPr>
                <w:lang w:eastAsia="zh-CN"/>
              </w:rPr>
            </w:pPr>
            <w:r w:rsidRPr="000A0A5F">
              <w:rPr>
                <w:lang w:eastAsia="zh-CN"/>
              </w:rPr>
              <w:t>array(string)</w:t>
            </w:r>
          </w:p>
        </w:tc>
        <w:tc>
          <w:tcPr>
            <w:tcW w:w="1134" w:type="dxa"/>
            <w:shd w:val="clear" w:color="auto" w:fill="auto"/>
          </w:tcPr>
          <w:p w:rsidR="00837C4C" w:rsidRPr="000A0A5F" w:rsidRDefault="00837C4C" w:rsidP="00837C4C">
            <w:pPr>
              <w:pStyle w:val="TAL"/>
              <w:rPr>
                <w:rFonts w:eastAsia="Times New Roman"/>
              </w:rPr>
            </w:pPr>
            <w:r w:rsidRPr="000A0A5F">
              <w:t>0..N</w:t>
            </w:r>
          </w:p>
        </w:tc>
        <w:tc>
          <w:tcPr>
            <w:tcW w:w="3544" w:type="dxa"/>
            <w:shd w:val="clear" w:color="auto" w:fill="auto"/>
          </w:tcPr>
          <w:p w:rsidR="00837C4C" w:rsidRPr="000A0A5F" w:rsidRDefault="00837C4C" w:rsidP="00837C4C">
            <w:pPr>
              <w:pStyle w:val="TAL"/>
            </w:pPr>
            <w:r w:rsidRPr="000A0A5F">
              <w:t>Identifies the Application Identifier(s). (NOTE 16)</w:t>
            </w:r>
          </w:p>
        </w:tc>
        <w:tc>
          <w:tcPr>
            <w:tcW w:w="1392" w:type="dxa"/>
          </w:tcPr>
          <w:p w:rsidR="00837C4C" w:rsidRPr="000A0A5F" w:rsidRDefault="00837C4C" w:rsidP="00837C4C">
            <w:pPr>
              <w:pStyle w:val="TAL"/>
              <w:rPr>
                <w:rFonts w:eastAsia="Times New Roman" w:cs="Arial"/>
                <w:szCs w:val="18"/>
              </w:rPr>
            </w:pPr>
            <w:r w:rsidRPr="000A0A5F">
              <w:rPr>
                <w:rFonts w:cs="Arial"/>
                <w:szCs w:val="18"/>
              </w:rPr>
              <w:t>AppDetection_5G</w:t>
            </w:r>
          </w:p>
        </w:tc>
      </w:tr>
      <w:tr w:rsidR="00837C4C" w:rsidRPr="000A0A5F" w:rsidTr="002B45A7">
        <w:trPr>
          <w:jc w:val="center"/>
        </w:trPr>
        <w:tc>
          <w:tcPr>
            <w:tcW w:w="2026" w:type="dxa"/>
            <w:shd w:val="clear" w:color="auto" w:fill="auto"/>
          </w:tcPr>
          <w:p w:rsidR="00837C4C" w:rsidRPr="000A0A5F" w:rsidRDefault="00837C4C" w:rsidP="00837C4C">
            <w:pPr>
              <w:pStyle w:val="TAL"/>
              <w:rPr>
                <w:rFonts w:eastAsia="Times New Roman"/>
              </w:rPr>
            </w:pPr>
            <w:r w:rsidRPr="000A0A5F">
              <w:rPr>
                <w:lang w:eastAsia="zh-CN"/>
              </w:rPr>
              <w:t>e</w:t>
            </w:r>
            <w:r w:rsidRPr="000A0A5F">
              <w:rPr>
                <w:rFonts w:hint="eastAsia"/>
                <w:lang w:eastAsia="zh-CN"/>
              </w:rPr>
              <w:t>xternal</w:t>
            </w:r>
            <w:r w:rsidRPr="000A0A5F">
              <w:rPr>
                <w:lang w:eastAsia="zh-CN"/>
              </w:rPr>
              <w:t>Id</w:t>
            </w:r>
          </w:p>
        </w:tc>
        <w:tc>
          <w:tcPr>
            <w:tcW w:w="1492" w:type="dxa"/>
            <w:shd w:val="clear" w:color="auto" w:fill="auto"/>
          </w:tcPr>
          <w:p w:rsidR="00837C4C" w:rsidRPr="000A0A5F" w:rsidRDefault="00837C4C" w:rsidP="00837C4C">
            <w:pPr>
              <w:pStyle w:val="TAL"/>
              <w:rPr>
                <w:rFonts w:hint="eastAsia"/>
                <w:lang w:eastAsia="zh-CN"/>
              </w:rPr>
            </w:pPr>
            <w:r w:rsidRPr="000A0A5F">
              <w:rPr>
                <w:lang w:eastAsia="zh-CN"/>
              </w:rPr>
              <w:t>ExternalId</w:t>
            </w:r>
          </w:p>
        </w:tc>
        <w:tc>
          <w:tcPr>
            <w:tcW w:w="1134" w:type="dxa"/>
            <w:shd w:val="clear" w:color="auto" w:fill="auto"/>
          </w:tcPr>
          <w:p w:rsidR="00837C4C" w:rsidRPr="000A0A5F" w:rsidRDefault="00837C4C" w:rsidP="00837C4C">
            <w:pPr>
              <w:pStyle w:val="TAC"/>
              <w:jc w:val="left"/>
              <w:rPr>
                <w:rFonts w:eastAsia="Times New Roman"/>
              </w:rPr>
            </w:pPr>
            <w:r w:rsidRPr="000A0A5F">
              <w:rPr>
                <w:rFonts w:eastAsia="Times New Roman"/>
              </w:rPr>
              <w:t>0..1</w:t>
            </w:r>
          </w:p>
        </w:tc>
        <w:tc>
          <w:tcPr>
            <w:tcW w:w="3544" w:type="dxa"/>
            <w:shd w:val="clear" w:color="auto" w:fill="auto"/>
          </w:tcPr>
          <w:p w:rsidR="00837C4C" w:rsidRPr="000A0A5F" w:rsidRDefault="00837C4C" w:rsidP="00837C4C">
            <w:pPr>
              <w:pStyle w:val="TAL"/>
              <w:rPr>
                <w:rFonts w:eastAsia="Times New Roman" w:cs="Arial"/>
                <w:szCs w:val="18"/>
              </w:rPr>
            </w:pPr>
            <w:r w:rsidRPr="000A0A5F">
              <w:rPr>
                <w:rFonts w:eastAsia="Times New Roman" w:cs="Arial"/>
                <w:szCs w:val="18"/>
              </w:rPr>
              <w:t>Identifies a user as defined in Clause 4.6.2 of 3GPP TS 23.682 [2].</w:t>
            </w:r>
          </w:p>
          <w:p w:rsidR="00837C4C" w:rsidRPr="000A0A5F" w:rsidRDefault="00837C4C" w:rsidP="00837C4C">
            <w:pPr>
              <w:pStyle w:val="TAL"/>
              <w:rPr>
                <w:rFonts w:eastAsia="Times New Roman" w:cs="Arial"/>
                <w:szCs w:val="18"/>
              </w:rPr>
            </w:pPr>
            <w:r w:rsidRPr="000A0A5F">
              <w:rPr>
                <w:rFonts w:eastAsia="Times New Roman" w:cs="Arial"/>
                <w:szCs w:val="18"/>
              </w:rPr>
              <w:t>This attribute may also be present in a monitoring event subscription response message, if the "UEId_retrieval" feature is supported and the corresponding request message includes the "ueIpAddr" attribute or the "ueMacAddr" attribute.</w:t>
            </w:r>
          </w:p>
          <w:p w:rsidR="00837C4C" w:rsidRPr="000A0A5F" w:rsidRDefault="00837C4C" w:rsidP="00837C4C">
            <w:pPr>
              <w:pStyle w:val="TAL"/>
              <w:rPr>
                <w:rFonts w:cs="Arial" w:hint="eastAsia"/>
                <w:szCs w:val="18"/>
                <w:lang w:eastAsia="zh-CN"/>
              </w:rPr>
            </w:pPr>
            <w:r w:rsidRPr="000A0A5F">
              <w:rPr>
                <w:rFonts w:cs="Arial" w:hint="eastAsia"/>
                <w:szCs w:val="18"/>
                <w:lang w:eastAsia="zh-CN"/>
              </w:rPr>
              <w:t>(</w:t>
            </w:r>
            <w:r w:rsidRPr="000A0A5F">
              <w:rPr>
                <w:rFonts w:cs="Arial"/>
                <w:szCs w:val="18"/>
                <w:lang w:eastAsia="zh-CN"/>
              </w:rPr>
              <w:t>NOTE 1</w:t>
            </w:r>
            <w:r w:rsidRPr="000A0A5F">
              <w:rPr>
                <w:rFonts w:cs="Arial" w:hint="eastAsia"/>
                <w:szCs w:val="18"/>
                <w:lang w:eastAsia="zh-CN"/>
              </w:rPr>
              <w:t>)</w:t>
            </w:r>
            <w:r w:rsidRPr="000A0A5F">
              <w:rPr>
                <w:rFonts w:cs="Arial"/>
                <w:szCs w:val="18"/>
                <w:lang w:eastAsia="zh-CN"/>
              </w:rPr>
              <w:t xml:space="preserve"> (</w:t>
            </w:r>
            <w:r w:rsidRPr="000A0A5F">
              <w:rPr>
                <w:rFonts w:cs="Arial" w:hint="eastAsia"/>
                <w:szCs w:val="18"/>
                <w:lang w:eastAsia="zh-CN"/>
              </w:rPr>
              <w:t>NOTE 5</w:t>
            </w:r>
            <w:r w:rsidRPr="000A0A5F">
              <w:rPr>
                <w:rFonts w:cs="Arial"/>
                <w:szCs w:val="18"/>
                <w:lang w:eastAsia="zh-CN"/>
              </w:rPr>
              <w:t>)</w:t>
            </w:r>
          </w:p>
        </w:tc>
        <w:tc>
          <w:tcPr>
            <w:tcW w:w="1392" w:type="dxa"/>
          </w:tcPr>
          <w:p w:rsidR="00837C4C" w:rsidRPr="000A0A5F" w:rsidRDefault="00837C4C" w:rsidP="00837C4C">
            <w:pPr>
              <w:pStyle w:val="TAL"/>
              <w:rPr>
                <w:rFonts w:eastAsia="Times New Roman" w:cs="Arial"/>
                <w:szCs w:val="18"/>
              </w:rPr>
            </w:pPr>
          </w:p>
        </w:tc>
      </w:tr>
      <w:tr w:rsidR="00837C4C" w:rsidRPr="000A0A5F" w:rsidTr="002B45A7">
        <w:trPr>
          <w:jc w:val="center"/>
        </w:trPr>
        <w:tc>
          <w:tcPr>
            <w:tcW w:w="2026" w:type="dxa"/>
            <w:shd w:val="clear" w:color="auto" w:fill="auto"/>
          </w:tcPr>
          <w:p w:rsidR="00837C4C" w:rsidRPr="000A0A5F" w:rsidRDefault="00837C4C" w:rsidP="00837C4C">
            <w:pPr>
              <w:pStyle w:val="TAL"/>
              <w:rPr>
                <w:rFonts w:eastAsia="Times New Roman"/>
              </w:rPr>
            </w:pPr>
            <w:r w:rsidRPr="000A0A5F">
              <w:rPr>
                <w:lang w:eastAsia="zh-CN"/>
              </w:rPr>
              <w:t>msisdn</w:t>
            </w:r>
          </w:p>
        </w:tc>
        <w:tc>
          <w:tcPr>
            <w:tcW w:w="1492" w:type="dxa"/>
            <w:shd w:val="clear" w:color="auto" w:fill="auto"/>
          </w:tcPr>
          <w:p w:rsidR="00837C4C" w:rsidRPr="000A0A5F" w:rsidRDefault="00837C4C" w:rsidP="00837C4C">
            <w:pPr>
              <w:pStyle w:val="TAL"/>
              <w:rPr>
                <w:rFonts w:eastAsia="Times New Roman"/>
              </w:rPr>
            </w:pPr>
            <w:r w:rsidRPr="000A0A5F">
              <w:rPr>
                <w:lang w:eastAsia="zh-CN"/>
              </w:rPr>
              <w:t>Msisdn</w:t>
            </w:r>
          </w:p>
        </w:tc>
        <w:tc>
          <w:tcPr>
            <w:tcW w:w="1134" w:type="dxa"/>
            <w:shd w:val="clear" w:color="auto" w:fill="auto"/>
          </w:tcPr>
          <w:p w:rsidR="00837C4C" w:rsidRPr="000A0A5F" w:rsidRDefault="00837C4C" w:rsidP="00837C4C">
            <w:pPr>
              <w:pStyle w:val="TAC"/>
              <w:jc w:val="left"/>
              <w:rPr>
                <w:rFonts w:eastAsia="Times New Roman"/>
              </w:rPr>
            </w:pPr>
            <w:r w:rsidRPr="000A0A5F">
              <w:rPr>
                <w:rFonts w:eastAsia="Times New Roman"/>
              </w:rPr>
              <w:t>0..1</w:t>
            </w:r>
          </w:p>
        </w:tc>
        <w:tc>
          <w:tcPr>
            <w:tcW w:w="3544" w:type="dxa"/>
            <w:shd w:val="clear" w:color="auto" w:fill="auto"/>
          </w:tcPr>
          <w:p w:rsidR="00837C4C" w:rsidRPr="000A0A5F" w:rsidRDefault="00837C4C" w:rsidP="00837C4C">
            <w:pPr>
              <w:pStyle w:val="TAL"/>
              <w:rPr>
                <w:rFonts w:cs="Arial" w:hint="eastAsia"/>
                <w:szCs w:val="18"/>
                <w:lang w:eastAsia="zh-CN"/>
              </w:rPr>
            </w:pPr>
            <w:r w:rsidRPr="000A0A5F">
              <w:rPr>
                <w:rFonts w:eastAsia="Times New Roman" w:cs="Arial"/>
                <w:szCs w:val="18"/>
              </w:rPr>
              <w:t>I</w:t>
            </w:r>
            <w:r w:rsidRPr="000A0A5F">
              <w:rPr>
                <w:rFonts w:cs="Arial"/>
                <w:szCs w:val="18"/>
                <w:lang w:eastAsia="zh-CN"/>
              </w:rPr>
              <w:t>dentifies the MS internal PSTN/ISDN number allocated for a UE.</w:t>
            </w:r>
          </w:p>
          <w:p w:rsidR="00837C4C" w:rsidRPr="000A0A5F" w:rsidRDefault="00837C4C" w:rsidP="00837C4C">
            <w:pPr>
              <w:pStyle w:val="TAL"/>
              <w:rPr>
                <w:rFonts w:eastAsia="Times New Roman" w:cs="Arial"/>
                <w:szCs w:val="18"/>
              </w:rPr>
            </w:pPr>
            <w:r w:rsidRPr="000A0A5F">
              <w:rPr>
                <w:rFonts w:cs="Arial" w:hint="eastAsia"/>
                <w:szCs w:val="18"/>
                <w:lang w:eastAsia="zh-CN"/>
              </w:rPr>
              <w:t>(</w:t>
            </w:r>
            <w:r w:rsidRPr="000A0A5F">
              <w:rPr>
                <w:rFonts w:cs="Arial"/>
                <w:szCs w:val="18"/>
                <w:lang w:eastAsia="zh-CN"/>
              </w:rPr>
              <w:t>NOTE 1</w:t>
            </w:r>
            <w:r w:rsidRPr="000A0A5F">
              <w:rPr>
                <w:rFonts w:cs="Arial" w:hint="eastAsia"/>
                <w:szCs w:val="18"/>
                <w:lang w:eastAsia="zh-CN"/>
              </w:rPr>
              <w:t>)</w:t>
            </w:r>
            <w:r w:rsidRPr="000A0A5F">
              <w:rPr>
                <w:rFonts w:cs="Arial"/>
                <w:szCs w:val="18"/>
                <w:lang w:eastAsia="zh-CN"/>
              </w:rPr>
              <w:t xml:space="preserve"> (</w:t>
            </w:r>
            <w:r w:rsidRPr="000A0A5F">
              <w:rPr>
                <w:rFonts w:cs="Arial" w:hint="eastAsia"/>
                <w:szCs w:val="18"/>
                <w:lang w:eastAsia="zh-CN"/>
              </w:rPr>
              <w:t>NOTE 5</w:t>
            </w:r>
            <w:r w:rsidRPr="000A0A5F">
              <w:rPr>
                <w:rFonts w:cs="Arial"/>
                <w:szCs w:val="18"/>
                <w:lang w:eastAsia="zh-CN"/>
              </w:rPr>
              <w:t>)</w:t>
            </w:r>
          </w:p>
        </w:tc>
        <w:tc>
          <w:tcPr>
            <w:tcW w:w="1392" w:type="dxa"/>
          </w:tcPr>
          <w:p w:rsidR="00837C4C" w:rsidRPr="000A0A5F" w:rsidRDefault="00837C4C" w:rsidP="00837C4C">
            <w:pPr>
              <w:pStyle w:val="TAL"/>
              <w:rPr>
                <w:rFonts w:eastAsia="Times New Roman" w:cs="Arial"/>
                <w:szCs w:val="18"/>
              </w:rPr>
            </w:pPr>
          </w:p>
        </w:tc>
      </w:tr>
      <w:tr w:rsidR="00837C4C" w:rsidRPr="000A0A5F" w:rsidTr="002B45A7">
        <w:trPr>
          <w:jc w:val="center"/>
        </w:trPr>
        <w:tc>
          <w:tcPr>
            <w:tcW w:w="2026" w:type="dxa"/>
            <w:shd w:val="clear" w:color="auto" w:fill="auto"/>
          </w:tcPr>
          <w:p w:rsidR="00837C4C" w:rsidRPr="000A0A5F" w:rsidRDefault="00837C4C" w:rsidP="00837C4C">
            <w:pPr>
              <w:pStyle w:val="TAL"/>
              <w:rPr>
                <w:lang w:eastAsia="zh-CN"/>
              </w:rPr>
            </w:pPr>
            <w:r w:rsidRPr="000A0A5F">
              <w:rPr>
                <w:lang w:eastAsia="zh-CN"/>
              </w:rPr>
              <w:t>addedE</w:t>
            </w:r>
            <w:r w:rsidRPr="000A0A5F">
              <w:rPr>
                <w:rFonts w:hint="eastAsia"/>
                <w:lang w:eastAsia="zh-CN"/>
              </w:rPr>
              <w:t>xternal</w:t>
            </w:r>
            <w:r w:rsidRPr="000A0A5F">
              <w:rPr>
                <w:lang w:eastAsia="zh-CN"/>
              </w:rPr>
              <w:t>Ids</w:t>
            </w:r>
          </w:p>
        </w:tc>
        <w:tc>
          <w:tcPr>
            <w:tcW w:w="1492" w:type="dxa"/>
            <w:shd w:val="clear" w:color="auto" w:fill="auto"/>
          </w:tcPr>
          <w:p w:rsidR="00837C4C" w:rsidRPr="000A0A5F" w:rsidRDefault="00837C4C" w:rsidP="00837C4C">
            <w:pPr>
              <w:pStyle w:val="TAL"/>
              <w:rPr>
                <w:lang w:eastAsia="zh-CN"/>
              </w:rPr>
            </w:pPr>
            <w:r w:rsidRPr="000A0A5F">
              <w:rPr>
                <w:lang w:eastAsia="zh-CN"/>
              </w:rPr>
              <w:t>array(ExternalId)</w:t>
            </w:r>
          </w:p>
        </w:tc>
        <w:tc>
          <w:tcPr>
            <w:tcW w:w="1134" w:type="dxa"/>
            <w:shd w:val="clear" w:color="auto" w:fill="auto"/>
          </w:tcPr>
          <w:p w:rsidR="00837C4C" w:rsidRPr="000A0A5F" w:rsidRDefault="00837C4C" w:rsidP="00837C4C">
            <w:pPr>
              <w:pStyle w:val="TAC"/>
              <w:jc w:val="left"/>
              <w:rPr>
                <w:rFonts w:eastAsia="Times New Roman"/>
              </w:rPr>
            </w:pPr>
            <w:r w:rsidRPr="000A0A5F">
              <w:rPr>
                <w:rFonts w:eastAsia="Times New Roman"/>
              </w:rPr>
              <w:t>0..N</w:t>
            </w:r>
          </w:p>
        </w:tc>
        <w:tc>
          <w:tcPr>
            <w:tcW w:w="3544" w:type="dxa"/>
            <w:shd w:val="clear" w:color="auto" w:fill="auto"/>
          </w:tcPr>
          <w:p w:rsidR="00837C4C" w:rsidRPr="000A0A5F" w:rsidRDefault="00837C4C" w:rsidP="00837C4C">
            <w:pPr>
              <w:pStyle w:val="TAL"/>
              <w:rPr>
                <w:rFonts w:eastAsia="Times New Roman" w:cs="Arial"/>
                <w:szCs w:val="18"/>
              </w:rPr>
            </w:pPr>
            <w:r w:rsidRPr="000A0A5F">
              <w:rPr>
                <w:rFonts w:eastAsia="Times New Roman" w:cs="Arial"/>
                <w:szCs w:val="18"/>
              </w:rPr>
              <w:t>Indicates addition of the external Identifier(s) within the active group.</w:t>
            </w:r>
          </w:p>
        </w:tc>
        <w:tc>
          <w:tcPr>
            <w:tcW w:w="1392" w:type="dxa"/>
          </w:tcPr>
          <w:p w:rsidR="00837C4C" w:rsidRPr="000A0A5F" w:rsidRDefault="00837C4C" w:rsidP="00837C4C">
            <w:pPr>
              <w:pStyle w:val="TAL"/>
              <w:rPr>
                <w:rFonts w:cs="Arial"/>
                <w:szCs w:val="18"/>
                <w:lang w:eastAsia="zh-CN"/>
              </w:rPr>
            </w:pPr>
            <w:r w:rsidRPr="000A0A5F">
              <w:rPr>
                <w:rFonts w:cs="Arial"/>
                <w:szCs w:val="18"/>
                <w:lang w:eastAsia="zh-CN"/>
              </w:rPr>
              <w:t>Partial_group_modification</w:t>
            </w:r>
          </w:p>
        </w:tc>
      </w:tr>
      <w:tr w:rsidR="00837C4C" w:rsidRPr="000A0A5F" w:rsidTr="002B45A7">
        <w:trPr>
          <w:jc w:val="center"/>
        </w:trPr>
        <w:tc>
          <w:tcPr>
            <w:tcW w:w="2026" w:type="dxa"/>
            <w:shd w:val="clear" w:color="auto" w:fill="auto"/>
          </w:tcPr>
          <w:p w:rsidR="00837C4C" w:rsidRPr="000A0A5F" w:rsidRDefault="00837C4C" w:rsidP="00837C4C">
            <w:pPr>
              <w:pStyle w:val="TAL"/>
              <w:rPr>
                <w:lang w:eastAsia="zh-CN"/>
              </w:rPr>
            </w:pPr>
            <w:r w:rsidRPr="000A0A5F">
              <w:rPr>
                <w:lang w:eastAsia="zh-CN"/>
              </w:rPr>
              <w:t>addedMsisdns</w:t>
            </w:r>
          </w:p>
        </w:tc>
        <w:tc>
          <w:tcPr>
            <w:tcW w:w="1492" w:type="dxa"/>
            <w:shd w:val="clear" w:color="auto" w:fill="auto"/>
          </w:tcPr>
          <w:p w:rsidR="00837C4C" w:rsidRPr="000A0A5F" w:rsidRDefault="00837C4C" w:rsidP="00837C4C">
            <w:pPr>
              <w:pStyle w:val="TAL"/>
              <w:rPr>
                <w:lang w:eastAsia="zh-CN"/>
              </w:rPr>
            </w:pPr>
            <w:r w:rsidRPr="000A0A5F">
              <w:rPr>
                <w:lang w:eastAsia="zh-CN"/>
              </w:rPr>
              <w:t>array(Msisdn)</w:t>
            </w:r>
          </w:p>
        </w:tc>
        <w:tc>
          <w:tcPr>
            <w:tcW w:w="1134" w:type="dxa"/>
            <w:shd w:val="clear" w:color="auto" w:fill="auto"/>
          </w:tcPr>
          <w:p w:rsidR="00837C4C" w:rsidRPr="000A0A5F" w:rsidRDefault="00837C4C" w:rsidP="00837C4C">
            <w:pPr>
              <w:pStyle w:val="TAC"/>
              <w:jc w:val="left"/>
              <w:rPr>
                <w:rFonts w:eastAsia="Times New Roman"/>
              </w:rPr>
            </w:pPr>
            <w:r w:rsidRPr="000A0A5F">
              <w:rPr>
                <w:rFonts w:eastAsia="Times New Roman"/>
              </w:rPr>
              <w:t>0..N</w:t>
            </w:r>
          </w:p>
        </w:tc>
        <w:tc>
          <w:tcPr>
            <w:tcW w:w="3544" w:type="dxa"/>
            <w:shd w:val="clear" w:color="auto" w:fill="auto"/>
          </w:tcPr>
          <w:p w:rsidR="00837C4C" w:rsidRPr="000A0A5F" w:rsidRDefault="00837C4C" w:rsidP="00837C4C">
            <w:pPr>
              <w:pStyle w:val="TAL"/>
              <w:rPr>
                <w:rFonts w:eastAsia="Times New Roman" w:cs="Arial"/>
                <w:szCs w:val="18"/>
              </w:rPr>
            </w:pPr>
            <w:r w:rsidRPr="000A0A5F">
              <w:rPr>
                <w:rFonts w:eastAsia="Times New Roman" w:cs="Arial"/>
                <w:szCs w:val="18"/>
              </w:rPr>
              <w:t>Indicates addition of the MSISDN(s) within the active group.</w:t>
            </w:r>
          </w:p>
        </w:tc>
        <w:tc>
          <w:tcPr>
            <w:tcW w:w="1392" w:type="dxa"/>
          </w:tcPr>
          <w:p w:rsidR="00837C4C" w:rsidRPr="000A0A5F" w:rsidRDefault="00837C4C" w:rsidP="00837C4C">
            <w:pPr>
              <w:pStyle w:val="TAL"/>
              <w:rPr>
                <w:rFonts w:cs="Arial"/>
                <w:szCs w:val="18"/>
                <w:lang w:eastAsia="zh-CN"/>
              </w:rPr>
            </w:pPr>
            <w:r w:rsidRPr="000A0A5F">
              <w:rPr>
                <w:rFonts w:cs="Arial"/>
                <w:szCs w:val="18"/>
                <w:lang w:eastAsia="zh-CN"/>
              </w:rPr>
              <w:t>Partial_group_modification</w:t>
            </w:r>
          </w:p>
        </w:tc>
      </w:tr>
      <w:tr w:rsidR="00837C4C" w:rsidRPr="000A0A5F" w:rsidTr="002B45A7">
        <w:trPr>
          <w:jc w:val="center"/>
        </w:trPr>
        <w:tc>
          <w:tcPr>
            <w:tcW w:w="2026" w:type="dxa"/>
            <w:shd w:val="clear" w:color="auto" w:fill="auto"/>
          </w:tcPr>
          <w:p w:rsidR="00837C4C" w:rsidRPr="000A0A5F" w:rsidRDefault="00837C4C" w:rsidP="00837C4C">
            <w:pPr>
              <w:pStyle w:val="TAL"/>
              <w:rPr>
                <w:lang w:eastAsia="zh-CN"/>
              </w:rPr>
            </w:pPr>
            <w:r w:rsidRPr="000A0A5F">
              <w:rPr>
                <w:lang w:eastAsia="zh-CN"/>
              </w:rPr>
              <w:t>excludedE</w:t>
            </w:r>
            <w:r w:rsidRPr="000A0A5F">
              <w:rPr>
                <w:rFonts w:hint="eastAsia"/>
                <w:lang w:eastAsia="zh-CN"/>
              </w:rPr>
              <w:t>xternal</w:t>
            </w:r>
            <w:r w:rsidRPr="000A0A5F">
              <w:rPr>
                <w:lang w:eastAsia="zh-CN"/>
              </w:rPr>
              <w:t>Ids</w:t>
            </w:r>
          </w:p>
        </w:tc>
        <w:tc>
          <w:tcPr>
            <w:tcW w:w="1492" w:type="dxa"/>
            <w:shd w:val="clear" w:color="auto" w:fill="auto"/>
          </w:tcPr>
          <w:p w:rsidR="00837C4C" w:rsidRPr="000A0A5F" w:rsidRDefault="00837C4C" w:rsidP="00837C4C">
            <w:pPr>
              <w:pStyle w:val="TAL"/>
              <w:rPr>
                <w:lang w:eastAsia="zh-CN"/>
              </w:rPr>
            </w:pPr>
            <w:r w:rsidRPr="000A0A5F">
              <w:rPr>
                <w:lang w:eastAsia="zh-CN"/>
              </w:rPr>
              <w:t>array(ExternalId)</w:t>
            </w:r>
          </w:p>
        </w:tc>
        <w:tc>
          <w:tcPr>
            <w:tcW w:w="1134" w:type="dxa"/>
            <w:shd w:val="clear" w:color="auto" w:fill="auto"/>
          </w:tcPr>
          <w:p w:rsidR="00837C4C" w:rsidRPr="000A0A5F" w:rsidRDefault="00837C4C" w:rsidP="00837C4C">
            <w:pPr>
              <w:pStyle w:val="TAC"/>
              <w:jc w:val="left"/>
              <w:rPr>
                <w:rFonts w:eastAsia="Times New Roman"/>
              </w:rPr>
            </w:pPr>
            <w:r w:rsidRPr="000A0A5F">
              <w:rPr>
                <w:rFonts w:eastAsia="Times New Roman"/>
              </w:rPr>
              <w:t>0..N</w:t>
            </w:r>
          </w:p>
        </w:tc>
        <w:tc>
          <w:tcPr>
            <w:tcW w:w="3544" w:type="dxa"/>
            <w:shd w:val="clear" w:color="auto" w:fill="auto"/>
          </w:tcPr>
          <w:p w:rsidR="00837C4C" w:rsidRPr="000A0A5F" w:rsidRDefault="00837C4C" w:rsidP="00837C4C">
            <w:pPr>
              <w:pStyle w:val="TAL"/>
              <w:rPr>
                <w:rFonts w:eastAsia="Times New Roman" w:cs="Arial"/>
                <w:szCs w:val="18"/>
              </w:rPr>
            </w:pPr>
            <w:r w:rsidRPr="000A0A5F">
              <w:rPr>
                <w:rFonts w:eastAsia="Times New Roman" w:cs="Arial"/>
                <w:szCs w:val="18"/>
              </w:rPr>
              <w:t>Indicates cancellation of the external Identifier(s) within the active group.</w:t>
            </w:r>
          </w:p>
        </w:tc>
        <w:tc>
          <w:tcPr>
            <w:tcW w:w="1392" w:type="dxa"/>
          </w:tcPr>
          <w:p w:rsidR="00837C4C" w:rsidRPr="000A0A5F" w:rsidRDefault="00837C4C" w:rsidP="00837C4C">
            <w:pPr>
              <w:pStyle w:val="TAL"/>
              <w:rPr>
                <w:rFonts w:cs="Arial"/>
                <w:szCs w:val="18"/>
                <w:lang w:eastAsia="zh-CN"/>
              </w:rPr>
            </w:pPr>
            <w:r w:rsidRPr="000A0A5F">
              <w:rPr>
                <w:rFonts w:cs="Arial"/>
                <w:szCs w:val="18"/>
                <w:lang w:eastAsia="zh-CN"/>
              </w:rPr>
              <w:t>Partial_group_modification</w:t>
            </w:r>
          </w:p>
        </w:tc>
      </w:tr>
      <w:tr w:rsidR="00837C4C" w:rsidRPr="000A0A5F" w:rsidTr="002B45A7">
        <w:trPr>
          <w:jc w:val="center"/>
        </w:trPr>
        <w:tc>
          <w:tcPr>
            <w:tcW w:w="2026" w:type="dxa"/>
            <w:shd w:val="clear" w:color="auto" w:fill="auto"/>
          </w:tcPr>
          <w:p w:rsidR="00837C4C" w:rsidRPr="000A0A5F" w:rsidRDefault="00837C4C" w:rsidP="00837C4C">
            <w:pPr>
              <w:pStyle w:val="TAL"/>
              <w:rPr>
                <w:lang w:eastAsia="zh-CN"/>
              </w:rPr>
            </w:pPr>
            <w:r w:rsidRPr="000A0A5F">
              <w:rPr>
                <w:lang w:eastAsia="zh-CN"/>
              </w:rPr>
              <w:t>excludedMsisdns</w:t>
            </w:r>
          </w:p>
        </w:tc>
        <w:tc>
          <w:tcPr>
            <w:tcW w:w="1492" w:type="dxa"/>
            <w:shd w:val="clear" w:color="auto" w:fill="auto"/>
          </w:tcPr>
          <w:p w:rsidR="00837C4C" w:rsidRPr="000A0A5F" w:rsidRDefault="00837C4C" w:rsidP="00837C4C">
            <w:pPr>
              <w:pStyle w:val="TAL"/>
              <w:rPr>
                <w:lang w:eastAsia="zh-CN"/>
              </w:rPr>
            </w:pPr>
            <w:r w:rsidRPr="000A0A5F">
              <w:rPr>
                <w:lang w:eastAsia="zh-CN"/>
              </w:rPr>
              <w:t>array(Msisdn)</w:t>
            </w:r>
          </w:p>
        </w:tc>
        <w:tc>
          <w:tcPr>
            <w:tcW w:w="1134" w:type="dxa"/>
            <w:shd w:val="clear" w:color="auto" w:fill="auto"/>
          </w:tcPr>
          <w:p w:rsidR="00837C4C" w:rsidRPr="000A0A5F" w:rsidRDefault="00837C4C" w:rsidP="00837C4C">
            <w:pPr>
              <w:pStyle w:val="TAC"/>
              <w:jc w:val="left"/>
              <w:rPr>
                <w:rFonts w:eastAsia="Times New Roman"/>
              </w:rPr>
            </w:pPr>
            <w:r w:rsidRPr="000A0A5F">
              <w:rPr>
                <w:rFonts w:eastAsia="Times New Roman"/>
              </w:rPr>
              <w:t>0..N</w:t>
            </w:r>
          </w:p>
        </w:tc>
        <w:tc>
          <w:tcPr>
            <w:tcW w:w="3544" w:type="dxa"/>
            <w:shd w:val="clear" w:color="auto" w:fill="auto"/>
          </w:tcPr>
          <w:p w:rsidR="00837C4C" w:rsidRPr="000A0A5F" w:rsidRDefault="00837C4C" w:rsidP="00837C4C">
            <w:pPr>
              <w:pStyle w:val="TAL"/>
              <w:rPr>
                <w:rFonts w:eastAsia="Times New Roman" w:cs="Arial"/>
                <w:szCs w:val="18"/>
              </w:rPr>
            </w:pPr>
            <w:r w:rsidRPr="000A0A5F">
              <w:rPr>
                <w:rFonts w:eastAsia="Times New Roman" w:cs="Arial"/>
                <w:szCs w:val="18"/>
              </w:rPr>
              <w:t>Indicates cancellation of the MSISDN(s) within the active group.</w:t>
            </w:r>
          </w:p>
        </w:tc>
        <w:tc>
          <w:tcPr>
            <w:tcW w:w="1392" w:type="dxa"/>
          </w:tcPr>
          <w:p w:rsidR="00837C4C" w:rsidRPr="000A0A5F" w:rsidRDefault="00837C4C" w:rsidP="00837C4C">
            <w:pPr>
              <w:pStyle w:val="TAL"/>
              <w:rPr>
                <w:rFonts w:cs="Arial"/>
                <w:szCs w:val="18"/>
                <w:lang w:eastAsia="zh-CN"/>
              </w:rPr>
            </w:pPr>
            <w:r w:rsidRPr="000A0A5F">
              <w:rPr>
                <w:rFonts w:cs="Arial"/>
                <w:szCs w:val="18"/>
                <w:lang w:eastAsia="zh-CN"/>
              </w:rPr>
              <w:t>Partial_group_modification</w:t>
            </w:r>
          </w:p>
        </w:tc>
      </w:tr>
      <w:tr w:rsidR="00837C4C" w:rsidRPr="000A0A5F" w:rsidTr="002B45A7">
        <w:trPr>
          <w:jc w:val="center"/>
        </w:trPr>
        <w:tc>
          <w:tcPr>
            <w:tcW w:w="2026" w:type="dxa"/>
            <w:shd w:val="clear" w:color="auto" w:fill="auto"/>
          </w:tcPr>
          <w:p w:rsidR="00837C4C" w:rsidRPr="000A0A5F" w:rsidRDefault="00837C4C" w:rsidP="00837C4C">
            <w:pPr>
              <w:pStyle w:val="TAL"/>
              <w:rPr>
                <w:rFonts w:eastAsia="Times New Roman"/>
              </w:rPr>
            </w:pPr>
            <w:r w:rsidRPr="000A0A5F">
              <w:rPr>
                <w:lang w:eastAsia="zh-CN"/>
              </w:rPr>
              <w:t>e</w:t>
            </w:r>
            <w:r w:rsidRPr="000A0A5F">
              <w:rPr>
                <w:rFonts w:hint="eastAsia"/>
                <w:lang w:eastAsia="zh-CN"/>
              </w:rPr>
              <w:t>xternalGroup</w:t>
            </w:r>
            <w:r w:rsidRPr="000A0A5F">
              <w:rPr>
                <w:lang w:eastAsia="zh-CN"/>
              </w:rPr>
              <w:t>Id</w:t>
            </w:r>
          </w:p>
        </w:tc>
        <w:tc>
          <w:tcPr>
            <w:tcW w:w="1492" w:type="dxa"/>
            <w:shd w:val="clear" w:color="auto" w:fill="auto"/>
          </w:tcPr>
          <w:p w:rsidR="00837C4C" w:rsidRPr="000A0A5F" w:rsidRDefault="00837C4C" w:rsidP="00837C4C">
            <w:pPr>
              <w:pStyle w:val="TAL"/>
              <w:rPr>
                <w:rFonts w:eastAsia="Times New Roman"/>
              </w:rPr>
            </w:pPr>
            <w:r w:rsidRPr="000A0A5F">
              <w:rPr>
                <w:lang w:eastAsia="zh-CN"/>
              </w:rPr>
              <w:t>ExternalGroupId</w:t>
            </w:r>
          </w:p>
        </w:tc>
        <w:tc>
          <w:tcPr>
            <w:tcW w:w="1134" w:type="dxa"/>
            <w:shd w:val="clear" w:color="auto" w:fill="auto"/>
          </w:tcPr>
          <w:p w:rsidR="00837C4C" w:rsidRPr="000A0A5F" w:rsidRDefault="00837C4C" w:rsidP="00837C4C">
            <w:pPr>
              <w:pStyle w:val="TAC"/>
              <w:jc w:val="left"/>
              <w:rPr>
                <w:rFonts w:eastAsia="Times New Roman"/>
              </w:rPr>
            </w:pPr>
            <w:r w:rsidRPr="000A0A5F">
              <w:rPr>
                <w:rFonts w:eastAsia="Times New Roman"/>
              </w:rPr>
              <w:t>0..1</w:t>
            </w:r>
          </w:p>
        </w:tc>
        <w:tc>
          <w:tcPr>
            <w:tcW w:w="3544" w:type="dxa"/>
            <w:shd w:val="clear" w:color="auto" w:fill="auto"/>
          </w:tcPr>
          <w:p w:rsidR="00837C4C" w:rsidRPr="000A0A5F" w:rsidRDefault="00837C4C" w:rsidP="00837C4C">
            <w:pPr>
              <w:pStyle w:val="TAL"/>
              <w:rPr>
                <w:rFonts w:eastAsia="Times New Roman" w:cs="Arial"/>
                <w:szCs w:val="18"/>
              </w:rPr>
            </w:pPr>
            <w:r w:rsidRPr="000A0A5F">
              <w:rPr>
                <w:rFonts w:eastAsia="Times New Roman" w:cs="Arial"/>
                <w:szCs w:val="18"/>
              </w:rPr>
              <w:t>Identifies a user group as defined in Clause 4.6.2 of 3GPP TS 23.682 [2].</w:t>
            </w:r>
          </w:p>
          <w:p w:rsidR="00837C4C" w:rsidRPr="000A0A5F" w:rsidRDefault="00837C4C" w:rsidP="00837C4C">
            <w:pPr>
              <w:pStyle w:val="TAL"/>
              <w:rPr>
                <w:rFonts w:eastAsia="Times New Roman" w:cs="Arial"/>
                <w:szCs w:val="18"/>
              </w:rPr>
            </w:pPr>
            <w:r w:rsidRPr="000A0A5F">
              <w:rPr>
                <w:rFonts w:cs="Arial" w:hint="eastAsia"/>
                <w:szCs w:val="18"/>
                <w:lang w:eastAsia="zh-CN"/>
              </w:rPr>
              <w:t>(</w:t>
            </w:r>
            <w:r w:rsidRPr="000A0A5F">
              <w:rPr>
                <w:rFonts w:cs="Arial"/>
                <w:szCs w:val="18"/>
                <w:lang w:eastAsia="zh-CN"/>
              </w:rPr>
              <w:t>NOTE 1</w:t>
            </w:r>
            <w:r w:rsidRPr="000A0A5F">
              <w:rPr>
                <w:rFonts w:cs="Arial" w:hint="eastAsia"/>
                <w:szCs w:val="18"/>
                <w:lang w:eastAsia="zh-CN"/>
              </w:rPr>
              <w:t>)</w:t>
            </w:r>
            <w:r w:rsidRPr="000A0A5F">
              <w:rPr>
                <w:rFonts w:cs="Arial"/>
                <w:szCs w:val="18"/>
                <w:lang w:eastAsia="zh-CN"/>
              </w:rPr>
              <w:t xml:space="preserve"> </w:t>
            </w:r>
            <w:r w:rsidRPr="000A0A5F">
              <w:rPr>
                <w:rFonts w:cs="Arial" w:hint="eastAsia"/>
                <w:szCs w:val="18"/>
                <w:lang w:eastAsia="zh-CN"/>
              </w:rPr>
              <w:t>(</w:t>
            </w:r>
            <w:r w:rsidRPr="000A0A5F">
              <w:rPr>
                <w:rFonts w:cs="Arial"/>
                <w:szCs w:val="18"/>
                <w:lang w:eastAsia="zh-CN"/>
              </w:rPr>
              <w:t>NOTE 6</w:t>
            </w:r>
            <w:r w:rsidRPr="000A0A5F">
              <w:rPr>
                <w:rFonts w:cs="Arial" w:hint="eastAsia"/>
                <w:szCs w:val="18"/>
                <w:lang w:eastAsia="zh-CN"/>
              </w:rPr>
              <w:t>)</w:t>
            </w:r>
          </w:p>
        </w:tc>
        <w:tc>
          <w:tcPr>
            <w:tcW w:w="1392" w:type="dxa"/>
          </w:tcPr>
          <w:p w:rsidR="00837C4C" w:rsidRPr="000A0A5F" w:rsidRDefault="00837C4C" w:rsidP="00837C4C">
            <w:pPr>
              <w:pStyle w:val="TAL"/>
              <w:rPr>
                <w:rFonts w:eastAsia="Times New Roman" w:cs="Arial"/>
                <w:szCs w:val="18"/>
              </w:rPr>
            </w:pPr>
          </w:p>
        </w:tc>
      </w:tr>
      <w:tr w:rsidR="00837C4C" w:rsidRPr="000A0A5F" w:rsidTr="002B45A7">
        <w:trPr>
          <w:jc w:val="center"/>
        </w:trPr>
        <w:tc>
          <w:tcPr>
            <w:tcW w:w="2026" w:type="dxa"/>
            <w:shd w:val="clear" w:color="auto" w:fill="auto"/>
          </w:tcPr>
          <w:p w:rsidR="00837C4C" w:rsidRPr="000A0A5F" w:rsidRDefault="00837C4C" w:rsidP="00837C4C">
            <w:pPr>
              <w:pStyle w:val="TAL"/>
              <w:rPr>
                <w:lang w:eastAsia="zh-CN"/>
              </w:rPr>
            </w:pPr>
            <w:r w:rsidRPr="000A0A5F">
              <w:rPr>
                <w:lang w:eastAsia="zh-CN"/>
              </w:rPr>
              <w:t>addExtGroupIds</w:t>
            </w:r>
          </w:p>
        </w:tc>
        <w:tc>
          <w:tcPr>
            <w:tcW w:w="1492" w:type="dxa"/>
            <w:shd w:val="clear" w:color="auto" w:fill="auto"/>
          </w:tcPr>
          <w:p w:rsidR="00837C4C" w:rsidRPr="000A0A5F" w:rsidRDefault="00837C4C" w:rsidP="00837C4C">
            <w:pPr>
              <w:pStyle w:val="TAL"/>
              <w:rPr>
                <w:lang w:eastAsia="zh-CN"/>
              </w:rPr>
            </w:pPr>
            <w:r w:rsidRPr="000A0A5F">
              <w:rPr>
                <w:lang w:eastAsia="zh-CN"/>
              </w:rPr>
              <w:t>array(ExternalGroupId)</w:t>
            </w:r>
          </w:p>
        </w:tc>
        <w:tc>
          <w:tcPr>
            <w:tcW w:w="1134" w:type="dxa"/>
            <w:shd w:val="clear" w:color="auto" w:fill="auto"/>
          </w:tcPr>
          <w:p w:rsidR="00837C4C" w:rsidRPr="000A0A5F" w:rsidRDefault="00837C4C" w:rsidP="00837C4C">
            <w:pPr>
              <w:pStyle w:val="TAC"/>
              <w:jc w:val="left"/>
              <w:rPr>
                <w:rFonts w:eastAsia="Times New Roman"/>
              </w:rPr>
            </w:pPr>
            <w:r w:rsidRPr="000A0A5F">
              <w:rPr>
                <w:rFonts w:eastAsia="Times New Roman"/>
              </w:rPr>
              <w:t>0..N</w:t>
            </w:r>
          </w:p>
        </w:tc>
        <w:tc>
          <w:tcPr>
            <w:tcW w:w="3544" w:type="dxa"/>
            <w:shd w:val="clear" w:color="auto" w:fill="auto"/>
          </w:tcPr>
          <w:p w:rsidR="00837C4C" w:rsidRPr="000A0A5F" w:rsidRDefault="00837C4C" w:rsidP="00837C4C">
            <w:pPr>
              <w:pStyle w:val="TAL"/>
              <w:rPr>
                <w:rFonts w:eastAsia="Times New Roman" w:cs="Arial"/>
                <w:szCs w:val="18"/>
              </w:rPr>
            </w:pPr>
            <w:r w:rsidRPr="000A0A5F">
              <w:rPr>
                <w:rFonts w:eastAsia="Times New Roman" w:cs="Arial"/>
                <w:szCs w:val="18"/>
              </w:rPr>
              <w:t>Identifies user groups as defined in Clause 4.6.2 of 3GPP TS 23.682 [2].</w:t>
            </w:r>
          </w:p>
          <w:p w:rsidR="00837C4C" w:rsidRPr="000A0A5F" w:rsidRDefault="00837C4C" w:rsidP="00837C4C">
            <w:pPr>
              <w:pStyle w:val="TAL"/>
              <w:rPr>
                <w:rFonts w:eastAsia="Times New Roman" w:cs="Arial"/>
                <w:szCs w:val="18"/>
              </w:rPr>
            </w:pPr>
            <w:r w:rsidRPr="000A0A5F">
              <w:rPr>
                <w:rFonts w:cs="Arial" w:hint="eastAsia"/>
                <w:szCs w:val="18"/>
                <w:lang w:eastAsia="zh-CN"/>
              </w:rPr>
              <w:t>(</w:t>
            </w:r>
            <w:r w:rsidRPr="000A0A5F">
              <w:rPr>
                <w:rFonts w:cs="Arial"/>
                <w:szCs w:val="18"/>
                <w:lang w:eastAsia="zh-CN"/>
              </w:rPr>
              <w:t>NOTE 1</w:t>
            </w:r>
            <w:r w:rsidRPr="000A0A5F">
              <w:rPr>
                <w:rFonts w:cs="Arial" w:hint="eastAsia"/>
                <w:szCs w:val="18"/>
                <w:lang w:eastAsia="zh-CN"/>
              </w:rPr>
              <w:t>) (</w:t>
            </w:r>
            <w:r w:rsidRPr="000A0A5F">
              <w:rPr>
                <w:rFonts w:cs="Arial"/>
                <w:szCs w:val="18"/>
                <w:lang w:eastAsia="zh-CN"/>
              </w:rPr>
              <w:t>NOTE 6</w:t>
            </w:r>
            <w:r w:rsidRPr="000A0A5F">
              <w:rPr>
                <w:rFonts w:cs="Arial" w:hint="eastAsia"/>
                <w:szCs w:val="18"/>
                <w:lang w:eastAsia="zh-CN"/>
              </w:rPr>
              <w:t>)</w:t>
            </w:r>
          </w:p>
        </w:tc>
        <w:tc>
          <w:tcPr>
            <w:tcW w:w="1392" w:type="dxa"/>
          </w:tcPr>
          <w:p w:rsidR="00837C4C" w:rsidRPr="000A0A5F" w:rsidRDefault="00837C4C" w:rsidP="00837C4C">
            <w:pPr>
              <w:pStyle w:val="TAL"/>
              <w:rPr>
                <w:rFonts w:eastAsia="Times New Roman" w:cs="Arial"/>
                <w:szCs w:val="18"/>
              </w:rPr>
            </w:pPr>
            <w:r w:rsidRPr="000A0A5F">
              <w:rPr>
                <w:rFonts w:hint="eastAsia"/>
                <w:lang w:eastAsia="zh-CN"/>
              </w:rPr>
              <w:t>Number_of_UEs</w:t>
            </w:r>
            <w:r w:rsidRPr="000A0A5F">
              <w:rPr>
                <w:lang w:eastAsia="zh-CN"/>
              </w:rPr>
              <w:t xml:space="preserve">_in_an_area_notification, </w:t>
            </w:r>
            <w:r w:rsidRPr="000A0A5F">
              <w:rPr>
                <w:rFonts w:hint="eastAsia"/>
                <w:lang w:eastAsia="zh-CN"/>
              </w:rPr>
              <w:t>Number_of_U</w:t>
            </w:r>
            <w:r w:rsidRPr="000A0A5F">
              <w:rPr>
                <w:lang w:eastAsia="zh-CN"/>
              </w:rPr>
              <w:t>E</w:t>
            </w:r>
            <w:r w:rsidRPr="000A0A5F">
              <w:rPr>
                <w:rFonts w:hint="eastAsia"/>
                <w:lang w:eastAsia="zh-CN"/>
              </w:rPr>
              <w:t>s</w:t>
            </w:r>
            <w:r w:rsidRPr="000A0A5F">
              <w:rPr>
                <w:lang w:eastAsia="zh-CN"/>
              </w:rPr>
              <w:t>_in_an_area_notification_5G</w:t>
            </w:r>
          </w:p>
        </w:tc>
      </w:tr>
      <w:tr w:rsidR="00837C4C" w:rsidRPr="000A0A5F" w:rsidTr="002B45A7">
        <w:trPr>
          <w:jc w:val="center"/>
        </w:trPr>
        <w:tc>
          <w:tcPr>
            <w:tcW w:w="2026" w:type="dxa"/>
            <w:shd w:val="clear" w:color="auto" w:fill="auto"/>
          </w:tcPr>
          <w:p w:rsidR="00837C4C" w:rsidRPr="000A0A5F" w:rsidRDefault="00837C4C" w:rsidP="00837C4C">
            <w:pPr>
              <w:pStyle w:val="TAL"/>
              <w:rPr>
                <w:lang w:eastAsia="zh-CN"/>
              </w:rPr>
            </w:pPr>
            <w:r w:rsidRPr="000A0A5F">
              <w:rPr>
                <w:rFonts w:eastAsia="Times New Roman"/>
              </w:rPr>
              <w:t>ipv4Addr</w:t>
            </w:r>
          </w:p>
        </w:tc>
        <w:tc>
          <w:tcPr>
            <w:tcW w:w="1492" w:type="dxa"/>
            <w:shd w:val="clear" w:color="auto" w:fill="auto"/>
          </w:tcPr>
          <w:p w:rsidR="00837C4C" w:rsidRPr="000A0A5F" w:rsidRDefault="00837C4C" w:rsidP="00837C4C">
            <w:pPr>
              <w:pStyle w:val="TAL"/>
              <w:rPr>
                <w:lang w:eastAsia="zh-CN"/>
              </w:rPr>
            </w:pPr>
            <w:r w:rsidRPr="000A0A5F">
              <w:rPr>
                <w:rFonts w:eastAsia="Times New Roman"/>
              </w:rPr>
              <w:t>Ipv4Addr</w:t>
            </w:r>
          </w:p>
        </w:tc>
        <w:tc>
          <w:tcPr>
            <w:tcW w:w="1134" w:type="dxa"/>
            <w:shd w:val="clear" w:color="auto" w:fill="auto"/>
          </w:tcPr>
          <w:p w:rsidR="00837C4C" w:rsidRPr="000A0A5F" w:rsidRDefault="00837C4C" w:rsidP="00837C4C">
            <w:pPr>
              <w:pStyle w:val="TAC"/>
              <w:jc w:val="left"/>
              <w:rPr>
                <w:rFonts w:eastAsia="Times New Roman"/>
              </w:rPr>
            </w:pPr>
            <w:r w:rsidRPr="000A0A5F">
              <w:rPr>
                <w:rFonts w:eastAsia="Times New Roman"/>
              </w:rPr>
              <w:t>0..1</w:t>
            </w:r>
          </w:p>
        </w:tc>
        <w:tc>
          <w:tcPr>
            <w:tcW w:w="3544" w:type="dxa"/>
            <w:shd w:val="clear" w:color="auto" w:fill="auto"/>
          </w:tcPr>
          <w:p w:rsidR="00837C4C" w:rsidRPr="000A0A5F" w:rsidRDefault="00837C4C" w:rsidP="00837C4C">
            <w:pPr>
              <w:pStyle w:val="TAL"/>
              <w:spacing w:afterLines="50" w:after="120"/>
              <w:rPr>
                <w:rFonts w:eastAsia="Times New Roman" w:cs="Arial"/>
                <w:szCs w:val="18"/>
              </w:rPr>
            </w:pPr>
            <w:r w:rsidRPr="000A0A5F">
              <w:rPr>
                <w:rFonts w:eastAsia="Times New Roman" w:cs="Arial"/>
                <w:szCs w:val="18"/>
              </w:rPr>
              <w:t>Identifies the Ipv4 address.</w:t>
            </w:r>
          </w:p>
          <w:p w:rsidR="00837C4C" w:rsidRPr="000A0A5F" w:rsidRDefault="00837C4C" w:rsidP="00837C4C">
            <w:pPr>
              <w:pStyle w:val="TAL"/>
              <w:rPr>
                <w:rFonts w:eastAsia="Times New Roman" w:cs="Arial"/>
                <w:szCs w:val="18"/>
              </w:rPr>
            </w:pPr>
            <w:r w:rsidRPr="000A0A5F">
              <w:rPr>
                <w:rFonts w:eastAsia="Times New Roman"/>
              </w:rPr>
              <w:t>(NOTE 1)</w:t>
            </w:r>
          </w:p>
        </w:tc>
        <w:tc>
          <w:tcPr>
            <w:tcW w:w="1392" w:type="dxa"/>
          </w:tcPr>
          <w:p w:rsidR="00837C4C" w:rsidRPr="000A0A5F" w:rsidRDefault="00837C4C" w:rsidP="00837C4C">
            <w:pPr>
              <w:pStyle w:val="TAL"/>
              <w:rPr>
                <w:lang w:val="fr-FR"/>
              </w:rPr>
            </w:pPr>
            <w:r w:rsidRPr="000A0A5F">
              <w:rPr>
                <w:lang w:val="fr-FR" w:eastAsia="zh-CN"/>
              </w:rPr>
              <w:t>Location</w:t>
            </w:r>
            <w:r w:rsidRPr="000A0A5F">
              <w:rPr>
                <w:lang w:val="fr-FR"/>
              </w:rPr>
              <w:t>_notification,</w:t>
            </w:r>
          </w:p>
          <w:p w:rsidR="00837C4C" w:rsidRPr="000A0A5F" w:rsidRDefault="00837C4C" w:rsidP="00837C4C">
            <w:pPr>
              <w:pStyle w:val="TAL"/>
              <w:rPr>
                <w:rFonts w:eastAsia="Times New Roman" w:cs="Arial"/>
                <w:szCs w:val="18"/>
                <w:lang w:val="fr-FR"/>
              </w:rPr>
            </w:pPr>
            <w:r w:rsidRPr="000A0A5F">
              <w:rPr>
                <w:lang w:val="fr-FR"/>
              </w:rPr>
              <w:t>Communication_failure_notification</w:t>
            </w:r>
          </w:p>
        </w:tc>
      </w:tr>
      <w:tr w:rsidR="00837C4C" w:rsidRPr="000A0A5F" w:rsidTr="002B45A7">
        <w:trPr>
          <w:jc w:val="center"/>
        </w:trPr>
        <w:tc>
          <w:tcPr>
            <w:tcW w:w="2026" w:type="dxa"/>
            <w:shd w:val="clear" w:color="auto" w:fill="auto"/>
          </w:tcPr>
          <w:p w:rsidR="00837C4C" w:rsidRPr="000A0A5F" w:rsidRDefault="00837C4C" w:rsidP="00837C4C">
            <w:pPr>
              <w:pStyle w:val="TAL"/>
              <w:rPr>
                <w:lang w:eastAsia="zh-CN"/>
              </w:rPr>
            </w:pPr>
            <w:r w:rsidRPr="000A0A5F">
              <w:rPr>
                <w:rFonts w:eastAsia="Times New Roman"/>
              </w:rPr>
              <w:t xml:space="preserve">ipv6Addr </w:t>
            </w:r>
          </w:p>
        </w:tc>
        <w:tc>
          <w:tcPr>
            <w:tcW w:w="1492" w:type="dxa"/>
            <w:shd w:val="clear" w:color="auto" w:fill="auto"/>
          </w:tcPr>
          <w:p w:rsidR="00837C4C" w:rsidRPr="000A0A5F" w:rsidRDefault="00837C4C" w:rsidP="00837C4C">
            <w:pPr>
              <w:pStyle w:val="TAL"/>
              <w:rPr>
                <w:lang w:eastAsia="zh-CN"/>
              </w:rPr>
            </w:pPr>
            <w:r w:rsidRPr="000A0A5F">
              <w:rPr>
                <w:rFonts w:eastAsia="Times New Roman"/>
              </w:rPr>
              <w:t>Ipv6Addr</w:t>
            </w:r>
          </w:p>
        </w:tc>
        <w:tc>
          <w:tcPr>
            <w:tcW w:w="1134" w:type="dxa"/>
            <w:shd w:val="clear" w:color="auto" w:fill="auto"/>
          </w:tcPr>
          <w:p w:rsidR="00837C4C" w:rsidRPr="000A0A5F" w:rsidRDefault="00837C4C" w:rsidP="00837C4C">
            <w:pPr>
              <w:pStyle w:val="TAC"/>
              <w:jc w:val="left"/>
              <w:rPr>
                <w:rFonts w:eastAsia="Times New Roman"/>
              </w:rPr>
            </w:pPr>
            <w:r w:rsidRPr="000A0A5F">
              <w:rPr>
                <w:rFonts w:eastAsia="Times New Roman"/>
              </w:rPr>
              <w:t>0..1</w:t>
            </w:r>
          </w:p>
        </w:tc>
        <w:tc>
          <w:tcPr>
            <w:tcW w:w="3544" w:type="dxa"/>
            <w:shd w:val="clear" w:color="auto" w:fill="auto"/>
          </w:tcPr>
          <w:p w:rsidR="00837C4C" w:rsidRPr="000A0A5F" w:rsidRDefault="00837C4C" w:rsidP="00837C4C">
            <w:pPr>
              <w:pStyle w:val="TAL"/>
              <w:spacing w:afterLines="50" w:after="120"/>
              <w:rPr>
                <w:rFonts w:eastAsia="Times New Roman" w:cs="Arial"/>
                <w:szCs w:val="18"/>
              </w:rPr>
            </w:pPr>
            <w:r w:rsidRPr="000A0A5F">
              <w:rPr>
                <w:rFonts w:eastAsia="Times New Roman" w:cs="Arial"/>
                <w:szCs w:val="18"/>
              </w:rPr>
              <w:t>Identifies the Ipv6 address.</w:t>
            </w:r>
          </w:p>
          <w:p w:rsidR="00837C4C" w:rsidRPr="000A0A5F" w:rsidRDefault="00837C4C" w:rsidP="00837C4C">
            <w:pPr>
              <w:pStyle w:val="TAL"/>
              <w:rPr>
                <w:rFonts w:eastAsia="Times New Roman" w:cs="Arial"/>
                <w:szCs w:val="18"/>
              </w:rPr>
            </w:pPr>
            <w:r w:rsidRPr="000A0A5F">
              <w:rPr>
                <w:rFonts w:eastAsia="Times New Roman"/>
              </w:rPr>
              <w:t>(NOTE 1)</w:t>
            </w:r>
          </w:p>
        </w:tc>
        <w:tc>
          <w:tcPr>
            <w:tcW w:w="1392" w:type="dxa"/>
          </w:tcPr>
          <w:p w:rsidR="00837C4C" w:rsidRPr="000A0A5F" w:rsidRDefault="00837C4C" w:rsidP="00837C4C">
            <w:pPr>
              <w:pStyle w:val="TAL"/>
              <w:rPr>
                <w:lang w:val="fr-FR"/>
              </w:rPr>
            </w:pPr>
            <w:r w:rsidRPr="000A0A5F">
              <w:rPr>
                <w:lang w:val="fr-FR" w:eastAsia="zh-CN"/>
              </w:rPr>
              <w:t>Location</w:t>
            </w:r>
            <w:r w:rsidRPr="000A0A5F">
              <w:rPr>
                <w:lang w:val="fr-FR"/>
              </w:rPr>
              <w:t>_notification,</w:t>
            </w:r>
          </w:p>
          <w:p w:rsidR="00837C4C" w:rsidRPr="000A0A5F" w:rsidRDefault="00837C4C" w:rsidP="00837C4C">
            <w:pPr>
              <w:pStyle w:val="TAL"/>
              <w:rPr>
                <w:rFonts w:eastAsia="Times New Roman" w:cs="Arial"/>
                <w:szCs w:val="18"/>
                <w:lang w:val="fr-FR"/>
              </w:rPr>
            </w:pPr>
            <w:r w:rsidRPr="000A0A5F">
              <w:rPr>
                <w:lang w:val="fr-FR"/>
              </w:rPr>
              <w:t>Communication_failure_notification</w:t>
            </w:r>
          </w:p>
        </w:tc>
      </w:tr>
      <w:tr w:rsidR="00837C4C" w:rsidRPr="000A0A5F" w:rsidTr="002B45A7">
        <w:trPr>
          <w:jc w:val="center"/>
        </w:trPr>
        <w:tc>
          <w:tcPr>
            <w:tcW w:w="2026" w:type="dxa"/>
            <w:shd w:val="clear" w:color="auto" w:fill="auto"/>
          </w:tcPr>
          <w:p w:rsidR="00837C4C" w:rsidRPr="000A0A5F" w:rsidRDefault="00837C4C" w:rsidP="00837C4C">
            <w:pPr>
              <w:pStyle w:val="TAL"/>
              <w:rPr>
                <w:rFonts w:eastAsia="Times New Roman"/>
              </w:rPr>
            </w:pPr>
            <w:r w:rsidRPr="000A0A5F">
              <w:rPr>
                <w:rFonts w:eastAsia="Times New Roman"/>
              </w:rPr>
              <w:t>dnn</w:t>
            </w:r>
          </w:p>
        </w:tc>
        <w:tc>
          <w:tcPr>
            <w:tcW w:w="1492" w:type="dxa"/>
            <w:shd w:val="clear" w:color="auto" w:fill="auto"/>
          </w:tcPr>
          <w:p w:rsidR="00837C4C" w:rsidRPr="000A0A5F" w:rsidRDefault="00837C4C" w:rsidP="00837C4C">
            <w:pPr>
              <w:pStyle w:val="TAL"/>
              <w:rPr>
                <w:rFonts w:eastAsia="Times New Roman"/>
              </w:rPr>
            </w:pPr>
            <w:r w:rsidRPr="000A0A5F">
              <w:rPr>
                <w:rFonts w:eastAsia="Times New Roman"/>
              </w:rPr>
              <w:t>Dnn</w:t>
            </w:r>
          </w:p>
        </w:tc>
        <w:tc>
          <w:tcPr>
            <w:tcW w:w="1134" w:type="dxa"/>
            <w:shd w:val="clear" w:color="auto" w:fill="auto"/>
          </w:tcPr>
          <w:p w:rsidR="00837C4C" w:rsidRPr="000A0A5F" w:rsidRDefault="00837C4C" w:rsidP="00837C4C">
            <w:pPr>
              <w:pStyle w:val="TAC"/>
              <w:jc w:val="left"/>
              <w:rPr>
                <w:rFonts w:eastAsia="Times New Roman"/>
              </w:rPr>
            </w:pPr>
            <w:r w:rsidRPr="000A0A5F">
              <w:rPr>
                <w:rFonts w:eastAsia="Times New Roman"/>
              </w:rPr>
              <w:t>0..1</w:t>
            </w:r>
          </w:p>
        </w:tc>
        <w:tc>
          <w:tcPr>
            <w:tcW w:w="3544" w:type="dxa"/>
            <w:shd w:val="clear" w:color="auto" w:fill="auto"/>
          </w:tcPr>
          <w:p w:rsidR="00837C4C" w:rsidRPr="000A0A5F" w:rsidRDefault="00837C4C" w:rsidP="00837C4C">
            <w:pPr>
              <w:pStyle w:val="TAL"/>
              <w:spacing w:afterLines="50" w:after="120"/>
              <w:rPr>
                <w:rFonts w:eastAsia="Times New Roman" w:cs="Arial"/>
                <w:szCs w:val="18"/>
              </w:rPr>
            </w:pPr>
            <w:r w:rsidRPr="000A0A5F">
              <w:rPr>
                <w:rFonts w:eastAsia="Times New Roman" w:cs="Arial"/>
                <w:szCs w:val="18"/>
              </w:rPr>
              <w:t>Identifies a DNN, a full DNN with both the Network Identifier and Operator Identifier, or a DNN with the Network Identifier only. (NOTE 8)</w:t>
            </w:r>
            <w:r w:rsidRPr="000A0A5F">
              <w:t xml:space="preserve"> (NOTE 16)</w:t>
            </w:r>
          </w:p>
        </w:tc>
        <w:tc>
          <w:tcPr>
            <w:tcW w:w="1392" w:type="dxa"/>
          </w:tcPr>
          <w:p w:rsidR="00837C4C" w:rsidRPr="000A0A5F" w:rsidRDefault="00837C4C" w:rsidP="00837C4C">
            <w:pPr>
              <w:pStyle w:val="TAL"/>
              <w:rPr>
                <w:lang w:val="fr-FR" w:eastAsia="zh-CN"/>
              </w:rPr>
            </w:pPr>
            <w:r w:rsidRPr="000A0A5F">
              <w:rPr>
                <w:lang w:val="fr-FR" w:eastAsia="zh-CN"/>
              </w:rPr>
              <w:t>Session_Management_Enhancement, UEId_retrieval, AppDetection_5G</w:t>
            </w:r>
          </w:p>
        </w:tc>
      </w:tr>
      <w:tr w:rsidR="00837C4C" w:rsidRPr="000A0A5F" w:rsidTr="002B45A7">
        <w:trPr>
          <w:jc w:val="center"/>
        </w:trPr>
        <w:tc>
          <w:tcPr>
            <w:tcW w:w="2026" w:type="dxa"/>
            <w:shd w:val="clear" w:color="auto" w:fill="auto"/>
          </w:tcPr>
          <w:p w:rsidR="00837C4C" w:rsidRPr="000A0A5F" w:rsidRDefault="00837C4C" w:rsidP="00837C4C">
            <w:pPr>
              <w:pStyle w:val="TAL"/>
              <w:rPr>
                <w:lang w:eastAsia="zh-CN"/>
              </w:rPr>
            </w:pPr>
            <w:r w:rsidRPr="000A0A5F">
              <w:rPr>
                <w:rFonts w:hint="eastAsia"/>
                <w:lang w:eastAsia="zh-CN"/>
              </w:rPr>
              <w:t>notificationDestination</w:t>
            </w:r>
          </w:p>
        </w:tc>
        <w:tc>
          <w:tcPr>
            <w:tcW w:w="1492" w:type="dxa"/>
            <w:shd w:val="clear" w:color="auto" w:fill="auto"/>
          </w:tcPr>
          <w:p w:rsidR="00837C4C" w:rsidRPr="000A0A5F" w:rsidRDefault="00837C4C" w:rsidP="00837C4C">
            <w:pPr>
              <w:pStyle w:val="TAL"/>
              <w:rPr>
                <w:lang w:eastAsia="zh-CN"/>
              </w:rPr>
            </w:pPr>
            <w:r w:rsidRPr="000A0A5F">
              <w:rPr>
                <w:rFonts w:hint="eastAsia"/>
                <w:lang w:eastAsia="zh-CN"/>
              </w:rPr>
              <w:t>Link</w:t>
            </w:r>
          </w:p>
        </w:tc>
        <w:tc>
          <w:tcPr>
            <w:tcW w:w="1134" w:type="dxa"/>
            <w:shd w:val="clear" w:color="auto" w:fill="auto"/>
          </w:tcPr>
          <w:p w:rsidR="00837C4C" w:rsidRPr="000A0A5F" w:rsidRDefault="00837C4C" w:rsidP="00837C4C">
            <w:pPr>
              <w:pStyle w:val="TAC"/>
              <w:jc w:val="left"/>
              <w:rPr>
                <w:rFonts w:eastAsia="Times New Roman"/>
              </w:rPr>
            </w:pPr>
            <w:r w:rsidRPr="000A0A5F">
              <w:rPr>
                <w:rFonts w:hint="eastAsia"/>
                <w:lang w:eastAsia="zh-CN"/>
              </w:rPr>
              <w:t>1</w:t>
            </w:r>
          </w:p>
        </w:tc>
        <w:tc>
          <w:tcPr>
            <w:tcW w:w="3544" w:type="dxa"/>
            <w:shd w:val="clear" w:color="auto" w:fill="auto"/>
          </w:tcPr>
          <w:p w:rsidR="00837C4C" w:rsidRPr="000A0A5F" w:rsidRDefault="00837C4C" w:rsidP="00837C4C">
            <w:pPr>
              <w:pStyle w:val="TAL"/>
              <w:rPr>
                <w:rFonts w:eastAsia="Times New Roman" w:cs="Arial"/>
                <w:szCs w:val="18"/>
              </w:rPr>
            </w:pPr>
            <w:r w:rsidRPr="000A0A5F">
              <w:rPr>
                <w:rFonts w:cs="Arial" w:hint="eastAsia"/>
                <w:szCs w:val="18"/>
                <w:lang w:eastAsia="zh-CN"/>
              </w:rPr>
              <w:t xml:space="preserve">An URI of a notification destination that T8 message shall be </w:t>
            </w:r>
            <w:r w:rsidRPr="000A0A5F">
              <w:rPr>
                <w:rFonts w:eastAsia="Times New Roman" w:cs="Arial"/>
                <w:szCs w:val="18"/>
              </w:rPr>
              <w:t>delivered to</w:t>
            </w:r>
            <w:r w:rsidRPr="000A0A5F">
              <w:rPr>
                <w:rFonts w:cs="Arial" w:hint="eastAsia"/>
                <w:szCs w:val="18"/>
                <w:lang w:eastAsia="zh-CN"/>
              </w:rPr>
              <w:t>.</w:t>
            </w:r>
          </w:p>
        </w:tc>
        <w:tc>
          <w:tcPr>
            <w:tcW w:w="1392" w:type="dxa"/>
          </w:tcPr>
          <w:p w:rsidR="00837C4C" w:rsidRPr="000A0A5F" w:rsidRDefault="00837C4C" w:rsidP="00837C4C">
            <w:pPr>
              <w:pStyle w:val="TAL"/>
              <w:rPr>
                <w:rFonts w:eastAsia="Times New Roman" w:cs="Arial"/>
                <w:szCs w:val="18"/>
              </w:rPr>
            </w:pPr>
          </w:p>
        </w:tc>
      </w:tr>
      <w:tr w:rsidR="00837C4C" w:rsidRPr="000A0A5F" w:rsidTr="002B45A7">
        <w:trPr>
          <w:jc w:val="center"/>
        </w:trPr>
        <w:tc>
          <w:tcPr>
            <w:tcW w:w="2026" w:type="dxa"/>
            <w:shd w:val="clear" w:color="auto" w:fill="auto"/>
          </w:tcPr>
          <w:p w:rsidR="00837C4C" w:rsidRPr="000A0A5F" w:rsidRDefault="00837C4C" w:rsidP="00837C4C">
            <w:pPr>
              <w:pStyle w:val="TAL"/>
              <w:rPr>
                <w:rFonts w:hint="eastAsia"/>
                <w:lang w:eastAsia="zh-CN"/>
              </w:rPr>
            </w:pPr>
            <w:r w:rsidRPr="000A0A5F">
              <w:t>requestTestNotification</w:t>
            </w:r>
          </w:p>
        </w:tc>
        <w:tc>
          <w:tcPr>
            <w:tcW w:w="1492" w:type="dxa"/>
            <w:shd w:val="clear" w:color="auto" w:fill="auto"/>
          </w:tcPr>
          <w:p w:rsidR="00837C4C" w:rsidRPr="000A0A5F" w:rsidRDefault="00837C4C" w:rsidP="00837C4C">
            <w:pPr>
              <w:pStyle w:val="TAL"/>
              <w:rPr>
                <w:rFonts w:hint="eastAsia"/>
                <w:lang w:eastAsia="zh-CN"/>
              </w:rPr>
            </w:pPr>
            <w:r w:rsidRPr="000A0A5F">
              <w:t>boolean</w:t>
            </w:r>
          </w:p>
        </w:tc>
        <w:tc>
          <w:tcPr>
            <w:tcW w:w="1134" w:type="dxa"/>
            <w:shd w:val="clear" w:color="auto" w:fill="auto"/>
          </w:tcPr>
          <w:p w:rsidR="00837C4C" w:rsidRPr="000A0A5F" w:rsidRDefault="00837C4C" w:rsidP="00837C4C">
            <w:pPr>
              <w:pStyle w:val="TAC"/>
              <w:jc w:val="left"/>
              <w:rPr>
                <w:lang w:eastAsia="zh-CN"/>
              </w:rPr>
            </w:pPr>
            <w:r w:rsidRPr="000A0A5F">
              <w:t>0..1</w:t>
            </w:r>
          </w:p>
        </w:tc>
        <w:tc>
          <w:tcPr>
            <w:tcW w:w="3544" w:type="dxa"/>
            <w:shd w:val="clear" w:color="auto" w:fill="auto"/>
          </w:tcPr>
          <w:p w:rsidR="003F0F5A" w:rsidRPr="000A0A5F" w:rsidRDefault="003F0F5A" w:rsidP="003F0F5A">
            <w:pPr>
              <w:pageBreakBefo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hAnsi="Arial"/>
                <w:sz w:val="18"/>
                <w:lang w:eastAsia="zh-CN"/>
              </w:rPr>
            </w:pPr>
            <w:r w:rsidRPr="000A0A5F">
              <w:rPr>
                <w:rFonts w:ascii="Arial" w:hAnsi="Arial"/>
                <w:sz w:val="18"/>
                <w:lang w:eastAsia="zh-CN"/>
              </w:rPr>
              <w:t xml:space="preserve">Set to </w:t>
            </w:r>
            <w:r w:rsidRPr="000A0A5F">
              <w:rPr>
                <w:rFonts w:cs="Arial"/>
                <w:szCs w:val="18"/>
                <w:lang w:eastAsia="zh-CN"/>
              </w:rPr>
              <w:t>"</w:t>
            </w:r>
            <w:r w:rsidRPr="000A0A5F">
              <w:rPr>
                <w:rFonts w:ascii="Arial" w:hAnsi="Arial"/>
                <w:sz w:val="18"/>
                <w:lang w:eastAsia="zh-CN"/>
              </w:rPr>
              <w:t>true</w:t>
            </w:r>
            <w:r w:rsidRPr="000A0A5F">
              <w:rPr>
                <w:rFonts w:cs="Arial"/>
                <w:szCs w:val="18"/>
                <w:lang w:eastAsia="zh-CN"/>
              </w:rPr>
              <w:t>"</w:t>
            </w:r>
            <w:r w:rsidRPr="000A0A5F">
              <w:rPr>
                <w:rFonts w:ascii="Arial" w:hAnsi="Arial"/>
                <w:sz w:val="18"/>
                <w:lang w:eastAsia="zh-CN"/>
              </w:rPr>
              <w:t xml:space="preserve"> by the SCS/AS to request the SCEF to send a test notification as defined in clause</w:t>
            </w:r>
            <w:r w:rsidRPr="000A0A5F">
              <w:rPr>
                <w:rFonts w:ascii="Arial" w:hAnsi="Arial"/>
                <w:sz w:val="18"/>
                <w:lang w:val="en-US" w:eastAsia="zh-CN"/>
              </w:rPr>
              <w:t> </w:t>
            </w:r>
            <w:r w:rsidRPr="000A0A5F">
              <w:rPr>
                <w:rFonts w:ascii="Arial" w:hAnsi="Arial"/>
                <w:sz w:val="18"/>
                <w:lang w:eastAsia="zh-CN"/>
              </w:rPr>
              <w:t xml:space="preserve">5.2.5.3. </w:t>
            </w:r>
          </w:p>
          <w:p w:rsidR="003F0F5A" w:rsidRPr="000A0A5F" w:rsidRDefault="003F0F5A" w:rsidP="003F0F5A">
            <w:pPr>
              <w:pageBreakBefo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hAnsi="Arial"/>
                <w:sz w:val="18"/>
                <w:lang w:eastAsia="zh-CN"/>
              </w:rPr>
            </w:pPr>
          </w:p>
          <w:p w:rsidR="003F0F5A" w:rsidRPr="000A0A5F" w:rsidRDefault="003F0F5A" w:rsidP="003F0F5A">
            <w:pPr>
              <w:pageBreakBefo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hAnsi="Arial"/>
                <w:sz w:val="18"/>
                <w:lang w:eastAsia="zh-CN"/>
              </w:rPr>
            </w:pPr>
            <w:r w:rsidRPr="000A0A5F">
              <w:rPr>
                <w:rFonts w:ascii="Arial" w:hAnsi="Arial"/>
                <w:sz w:val="18"/>
                <w:lang w:eastAsia="zh-CN"/>
              </w:rPr>
              <w:t xml:space="preserve">Set to </w:t>
            </w:r>
            <w:r w:rsidRPr="000A0A5F">
              <w:rPr>
                <w:rFonts w:cs="Arial"/>
                <w:szCs w:val="18"/>
                <w:lang w:eastAsia="zh-CN"/>
              </w:rPr>
              <w:t>"</w:t>
            </w:r>
            <w:r w:rsidRPr="000A0A5F">
              <w:rPr>
                <w:rFonts w:ascii="Arial" w:hAnsi="Arial"/>
                <w:sz w:val="18"/>
                <w:lang w:eastAsia="zh-CN"/>
              </w:rPr>
              <w:t>false</w:t>
            </w:r>
            <w:r w:rsidRPr="000A0A5F">
              <w:rPr>
                <w:rFonts w:cs="Arial"/>
                <w:szCs w:val="18"/>
                <w:lang w:eastAsia="zh-CN"/>
              </w:rPr>
              <w:t>"</w:t>
            </w:r>
            <w:r w:rsidRPr="000A0A5F">
              <w:rPr>
                <w:rFonts w:ascii="Arial" w:hAnsi="Arial"/>
                <w:sz w:val="18"/>
                <w:lang w:eastAsia="zh-CN"/>
              </w:rPr>
              <w:t xml:space="preserve"> by the SCS/AS indicates not request SCEF to send a test notification</w:t>
            </w:r>
          </w:p>
          <w:p w:rsidR="003F0F5A" w:rsidRPr="000A0A5F" w:rsidRDefault="003F0F5A" w:rsidP="003F0F5A">
            <w:pPr>
              <w:pageBreakBefo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hAnsi="Arial"/>
                <w:sz w:val="18"/>
                <w:lang w:eastAsia="zh-CN"/>
              </w:rPr>
            </w:pPr>
          </w:p>
          <w:p w:rsidR="003F0F5A" w:rsidRPr="000A0A5F" w:rsidRDefault="003F0F5A" w:rsidP="003F0F5A">
            <w:pPr>
              <w:pageBreakBefo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hAnsi="Arial" w:hint="eastAsia"/>
                <w:sz w:val="18"/>
                <w:lang w:eastAsia="zh-CN"/>
              </w:rPr>
            </w:pPr>
            <w:r w:rsidRPr="000A0A5F">
              <w:rPr>
                <w:rFonts w:ascii="Arial" w:hAnsi="Arial"/>
                <w:sz w:val="18"/>
                <w:lang w:eastAsia="zh-CN"/>
              </w:rPr>
              <w:t xml:space="preserve">Default </w:t>
            </w:r>
            <w:r w:rsidRPr="000A0A5F">
              <w:rPr>
                <w:rFonts w:cs="Arial"/>
                <w:szCs w:val="18"/>
                <w:lang w:eastAsia="zh-CN"/>
              </w:rPr>
              <w:t>"</w:t>
            </w:r>
            <w:r w:rsidRPr="000A0A5F">
              <w:rPr>
                <w:rFonts w:ascii="Arial" w:hAnsi="Arial"/>
                <w:sz w:val="18"/>
                <w:lang w:eastAsia="zh-CN"/>
              </w:rPr>
              <w:t>false</w:t>
            </w:r>
            <w:r w:rsidRPr="000A0A5F">
              <w:rPr>
                <w:rFonts w:cs="Arial"/>
                <w:szCs w:val="18"/>
                <w:lang w:eastAsia="zh-CN"/>
              </w:rPr>
              <w:t>"</w:t>
            </w:r>
            <w:r w:rsidRPr="000A0A5F">
              <w:rPr>
                <w:rFonts w:ascii="Arial" w:hAnsi="Arial"/>
                <w:sz w:val="18"/>
                <w:lang w:eastAsia="zh-CN"/>
              </w:rPr>
              <w:t xml:space="preserve"> if omitted.</w:t>
            </w:r>
          </w:p>
        </w:tc>
        <w:tc>
          <w:tcPr>
            <w:tcW w:w="1392" w:type="dxa"/>
          </w:tcPr>
          <w:p w:rsidR="00837C4C" w:rsidRPr="000A0A5F" w:rsidRDefault="00837C4C" w:rsidP="00837C4C">
            <w:pPr>
              <w:pStyle w:val="TAL"/>
              <w:rPr>
                <w:rFonts w:cs="Arial"/>
                <w:szCs w:val="18"/>
                <w:lang w:eastAsia="zh-CN"/>
              </w:rPr>
            </w:pPr>
            <w:r w:rsidRPr="000A0A5F">
              <w:t>Notification_test_event</w:t>
            </w:r>
          </w:p>
        </w:tc>
      </w:tr>
      <w:tr w:rsidR="00837C4C" w:rsidRPr="000A0A5F" w:rsidTr="002B45A7">
        <w:trPr>
          <w:jc w:val="center"/>
        </w:trPr>
        <w:tc>
          <w:tcPr>
            <w:tcW w:w="2026" w:type="dxa"/>
            <w:shd w:val="clear" w:color="auto" w:fill="auto"/>
          </w:tcPr>
          <w:p w:rsidR="00837C4C" w:rsidRPr="000A0A5F" w:rsidRDefault="00837C4C" w:rsidP="00837C4C">
            <w:pPr>
              <w:pStyle w:val="TAL"/>
              <w:rPr>
                <w:rFonts w:hint="eastAsia"/>
                <w:lang w:eastAsia="zh-CN"/>
              </w:rPr>
            </w:pPr>
            <w:r w:rsidRPr="000A0A5F">
              <w:rPr>
                <w:lang w:eastAsia="zh-CN"/>
              </w:rPr>
              <w:t>websockNotifConfig</w:t>
            </w:r>
          </w:p>
        </w:tc>
        <w:tc>
          <w:tcPr>
            <w:tcW w:w="1492" w:type="dxa"/>
            <w:shd w:val="clear" w:color="auto" w:fill="auto"/>
          </w:tcPr>
          <w:p w:rsidR="00837C4C" w:rsidRPr="000A0A5F" w:rsidRDefault="00837C4C" w:rsidP="00837C4C">
            <w:pPr>
              <w:pStyle w:val="TAL"/>
              <w:rPr>
                <w:rFonts w:hint="eastAsia"/>
                <w:lang w:eastAsia="zh-CN"/>
              </w:rPr>
            </w:pPr>
            <w:r w:rsidRPr="000A0A5F">
              <w:rPr>
                <w:lang w:eastAsia="zh-CN"/>
              </w:rPr>
              <w:t>WebsockNotifConfig</w:t>
            </w:r>
          </w:p>
        </w:tc>
        <w:tc>
          <w:tcPr>
            <w:tcW w:w="1134" w:type="dxa"/>
            <w:shd w:val="clear" w:color="auto" w:fill="auto"/>
          </w:tcPr>
          <w:p w:rsidR="00837C4C" w:rsidRPr="000A0A5F" w:rsidRDefault="00837C4C" w:rsidP="00837C4C">
            <w:pPr>
              <w:pStyle w:val="TAC"/>
              <w:jc w:val="left"/>
              <w:rPr>
                <w:lang w:eastAsia="zh-CN"/>
              </w:rPr>
            </w:pPr>
            <w:r w:rsidRPr="000A0A5F">
              <w:rPr>
                <w:lang w:eastAsia="zh-CN"/>
              </w:rPr>
              <w:t>0..1</w:t>
            </w:r>
          </w:p>
        </w:tc>
        <w:tc>
          <w:tcPr>
            <w:tcW w:w="3544" w:type="dxa"/>
            <w:shd w:val="clear" w:color="auto" w:fill="auto"/>
          </w:tcPr>
          <w:p w:rsidR="00837C4C" w:rsidRPr="000A0A5F" w:rsidRDefault="00837C4C" w:rsidP="00837C4C">
            <w:pPr>
              <w:pStyle w:val="TAL"/>
              <w:rPr>
                <w:rFonts w:cs="Arial" w:hint="eastAsia"/>
                <w:szCs w:val="18"/>
                <w:lang w:eastAsia="zh-CN"/>
              </w:rPr>
            </w:pPr>
            <w:r w:rsidRPr="000A0A5F">
              <w:rPr>
                <w:rFonts w:cs="Arial"/>
                <w:szCs w:val="18"/>
                <w:lang w:eastAsia="zh-CN"/>
              </w:rPr>
              <w:t>Configuration parameters to set up notification delivery over Websocket protocol as defined in clause</w:t>
            </w:r>
            <w:r w:rsidRPr="000A0A5F">
              <w:rPr>
                <w:rFonts w:cs="Arial"/>
                <w:szCs w:val="18"/>
                <w:lang w:val="en-US" w:eastAsia="zh-CN"/>
              </w:rPr>
              <w:t> </w:t>
            </w:r>
            <w:r w:rsidRPr="000A0A5F">
              <w:rPr>
                <w:rFonts w:cs="Arial"/>
                <w:szCs w:val="18"/>
                <w:lang w:eastAsia="zh-CN"/>
              </w:rPr>
              <w:t>5.2.5.4.</w:t>
            </w:r>
          </w:p>
        </w:tc>
        <w:tc>
          <w:tcPr>
            <w:tcW w:w="1392" w:type="dxa"/>
          </w:tcPr>
          <w:p w:rsidR="00837C4C" w:rsidRPr="000A0A5F" w:rsidRDefault="00837C4C" w:rsidP="00837C4C">
            <w:pPr>
              <w:pStyle w:val="TAL"/>
              <w:rPr>
                <w:rFonts w:cs="Arial"/>
                <w:szCs w:val="18"/>
                <w:lang w:eastAsia="zh-CN"/>
              </w:rPr>
            </w:pPr>
            <w:r w:rsidRPr="000A0A5F">
              <w:rPr>
                <w:lang w:eastAsia="zh-CN"/>
              </w:rPr>
              <w:t>Notification_websocket</w:t>
            </w:r>
          </w:p>
        </w:tc>
      </w:tr>
      <w:tr w:rsidR="00837C4C" w:rsidRPr="000A0A5F" w:rsidTr="002B45A7">
        <w:trPr>
          <w:jc w:val="center"/>
        </w:trPr>
        <w:tc>
          <w:tcPr>
            <w:tcW w:w="2026" w:type="dxa"/>
            <w:shd w:val="clear" w:color="auto" w:fill="auto"/>
          </w:tcPr>
          <w:p w:rsidR="00837C4C" w:rsidRPr="000A0A5F" w:rsidRDefault="00837C4C" w:rsidP="00837C4C">
            <w:pPr>
              <w:pStyle w:val="TAL"/>
              <w:rPr>
                <w:rFonts w:eastAsia="Times New Roman"/>
              </w:rPr>
            </w:pPr>
            <w:r w:rsidRPr="000A0A5F">
              <w:rPr>
                <w:rFonts w:eastAsia="Times New Roman"/>
              </w:rPr>
              <w:t>monitoringType</w:t>
            </w:r>
          </w:p>
        </w:tc>
        <w:tc>
          <w:tcPr>
            <w:tcW w:w="1492" w:type="dxa"/>
            <w:shd w:val="clear" w:color="auto" w:fill="auto"/>
          </w:tcPr>
          <w:p w:rsidR="00837C4C" w:rsidRPr="000A0A5F" w:rsidRDefault="00837C4C" w:rsidP="00837C4C">
            <w:pPr>
              <w:pStyle w:val="TAL"/>
              <w:rPr>
                <w:rFonts w:eastAsia="Times New Roman"/>
              </w:rPr>
            </w:pPr>
            <w:r w:rsidRPr="000A0A5F">
              <w:rPr>
                <w:lang w:eastAsia="zh-CN"/>
              </w:rPr>
              <w:t>MonitoringType</w:t>
            </w:r>
          </w:p>
        </w:tc>
        <w:tc>
          <w:tcPr>
            <w:tcW w:w="1134" w:type="dxa"/>
            <w:shd w:val="clear" w:color="auto" w:fill="auto"/>
          </w:tcPr>
          <w:p w:rsidR="00837C4C" w:rsidRPr="000A0A5F" w:rsidRDefault="00837C4C" w:rsidP="00837C4C">
            <w:pPr>
              <w:pStyle w:val="TAC"/>
              <w:jc w:val="left"/>
              <w:rPr>
                <w:rFonts w:eastAsia="Times New Roman"/>
              </w:rPr>
            </w:pPr>
            <w:r w:rsidRPr="000A0A5F">
              <w:rPr>
                <w:rFonts w:eastAsia="Times New Roman"/>
              </w:rPr>
              <w:t>1</w:t>
            </w:r>
          </w:p>
        </w:tc>
        <w:tc>
          <w:tcPr>
            <w:tcW w:w="3544" w:type="dxa"/>
            <w:shd w:val="clear" w:color="auto" w:fill="auto"/>
          </w:tcPr>
          <w:p w:rsidR="00837C4C" w:rsidRPr="000A0A5F" w:rsidRDefault="00837C4C" w:rsidP="00837C4C">
            <w:pPr>
              <w:spacing w:after="0"/>
              <w:rPr>
                <w:rFonts w:ascii="Arial" w:eastAsia="Times New Roman" w:hAnsi="Arial" w:cs="Arial"/>
                <w:sz w:val="18"/>
                <w:szCs w:val="18"/>
              </w:rPr>
            </w:pPr>
            <w:r w:rsidRPr="000A0A5F">
              <w:rPr>
                <w:rFonts w:ascii="Arial" w:eastAsia="Times New Roman" w:hAnsi="Arial" w:cs="Arial"/>
                <w:sz w:val="18"/>
                <w:szCs w:val="18"/>
              </w:rPr>
              <w:t>Enumeration of monitoring type. Refer to clause 5.3.2.4.3.</w:t>
            </w:r>
          </w:p>
        </w:tc>
        <w:tc>
          <w:tcPr>
            <w:tcW w:w="1392" w:type="dxa"/>
          </w:tcPr>
          <w:p w:rsidR="00837C4C" w:rsidRPr="000A0A5F" w:rsidRDefault="00837C4C" w:rsidP="00837C4C">
            <w:pPr>
              <w:pStyle w:val="TAL"/>
              <w:rPr>
                <w:rFonts w:eastAsia="Times New Roman" w:cs="Arial"/>
                <w:szCs w:val="18"/>
              </w:rPr>
            </w:pPr>
          </w:p>
        </w:tc>
      </w:tr>
      <w:tr w:rsidR="00837C4C" w:rsidRPr="000A0A5F" w:rsidTr="002B45A7">
        <w:trPr>
          <w:jc w:val="center"/>
        </w:trPr>
        <w:tc>
          <w:tcPr>
            <w:tcW w:w="2026" w:type="dxa"/>
            <w:shd w:val="clear" w:color="auto" w:fill="auto"/>
          </w:tcPr>
          <w:p w:rsidR="00837C4C" w:rsidRPr="000A0A5F" w:rsidRDefault="00837C4C" w:rsidP="00837C4C">
            <w:pPr>
              <w:pStyle w:val="TAL"/>
              <w:rPr>
                <w:rFonts w:eastAsia="Times New Roman"/>
              </w:rPr>
            </w:pPr>
            <w:r w:rsidRPr="000A0A5F">
              <w:rPr>
                <w:rFonts w:cs="Arial" w:hint="eastAsia"/>
                <w:szCs w:val="18"/>
                <w:lang w:eastAsia="zh-CN"/>
              </w:rPr>
              <w:t>maximumNumberOfReports</w:t>
            </w:r>
          </w:p>
        </w:tc>
        <w:tc>
          <w:tcPr>
            <w:tcW w:w="1492" w:type="dxa"/>
            <w:shd w:val="clear" w:color="auto" w:fill="auto"/>
          </w:tcPr>
          <w:p w:rsidR="00837C4C" w:rsidRPr="000A0A5F" w:rsidRDefault="00837C4C" w:rsidP="00837C4C">
            <w:pPr>
              <w:pStyle w:val="TAL"/>
              <w:rPr>
                <w:lang w:eastAsia="zh-CN"/>
              </w:rPr>
            </w:pPr>
            <w:r w:rsidRPr="000A0A5F">
              <w:rPr>
                <w:rFonts w:cs="Arial"/>
                <w:szCs w:val="18"/>
                <w:lang w:eastAsia="zh-CN"/>
              </w:rPr>
              <w:t>integer</w:t>
            </w:r>
          </w:p>
        </w:tc>
        <w:tc>
          <w:tcPr>
            <w:tcW w:w="1134" w:type="dxa"/>
            <w:shd w:val="clear" w:color="auto" w:fill="auto"/>
          </w:tcPr>
          <w:p w:rsidR="00837C4C" w:rsidRPr="000A0A5F" w:rsidRDefault="00837C4C" w:rsidP="00837C4C">
            <w:pPr>
              <w:pStyle w:val="TAC"/>
              <w:jc w:val="left"/>
              <w:rPr>
                <w:rFonts w:eastAsia="Times New Roman"/>
              </w:rPr>
            </w:pPr>
            <w:r w:rsidRPr="000A0A5F">
              <w:rPr>
                <w:rFonts w:eastAsia="Batang" w:cs="Arial"/>
                <w:szCs w:val="18"/>
                <w:lang w:eastAsia="zh-CN"/>
              </w:rPr>
              <w:t>0..1</w:t>
            </w:r>
          </w:p>
        </w:tc>
        <w:tc>
          <w:tcPr>
            <w:tcW w:w="3544" w:type="dxa"/>
            <w:shd w:val="clear" w:color="auto" w:fill="auto"/>
          </w:tcPr>
          <w:p w:rsidR="00510DDC" w:rsidRPr="000A0A5F" w:rsidRDefault="00510DDC" w:rsidP="00510DDC">
            <w:pPr>
              <w:pStyle w:val="TAL"/>
              <w:rPr>
                <w:lang w:eastAsia="zh-CN"/>
              </w:rPr>
            </w:pPr>
            <w:r w:rsidRPr="000A0A5F">
              <w:rPr>
                <w:lang w:eastAsia="zh-CN"/>
              </w:rPr>
              <w:t>Identifies the maximum number of event reports to be generated by the HSS, MME/SGSN as specified in clause</w:t>
            </w:r>
            <w:r w:rsidRPr="000A0A5F">
              <w:rPr>
                <w:lang w:val="en-US" w:eastAsia="zh-CN"/>
              </w:rPr>
              <w:t> </w:t>
            </w:r>
            <w:r w:rsidRPr="000A0A5F">
              <w:rPr>
                <w:lang w:eastAsia="zh-CN"/>
              </w:rPr>
              <w:t>5.6.0 of 3GPP TS 23.682 [2].</w:t>
            </w:r>
          </w:p>
          <w:p w:rsidR="00510DDC" w:rsidRPr="000A0A5F" w:rsidRDefault="00510DDC" w:rsidP="00510DDC">
            <w:pPr>
              <w:pStyle w:val="TAL"/>
              <w:rPr>
                <w:lang w:eastAsia="zh-CN"/>
              </w:rPr>
            </w:pPr>
            <w:r w:rsidRPr="000A0A5F">
              <w:rPr>
                <w:lang w:eastAsia="zh-CN"/>
              </w:rPr>
              <w:t>(NOTE 2, NOTE</w:t>
            </w:r>
            <w:r w:rsidRPr="000A0A5F">
              <w:rPr>
                <w:lang w:val="en-US" w:eastAsia="zh-CN"/>
              </w:rPr>
              <w:t> 9,</w:t>
            </w:r>
            <w:r w:rsidRPr="000A0A5F">
              <w:rPr>
                <w:rFonts w:cs="Arial"/>
                <w:szCs w:val="18"/>
                <w:lang w:val="en-US" w:eastAsia="zh-CN"/>
              </w:rPr>
              <w:t xml:space="preserve"> NOTE 13</w:t>
            </w:r>
            <w:r w:rsidRPr="000A0A5F">
              <w:rPr>
                <w:lang w:eastAsia="zh-CN"/>
              </w:rPr>
              <w:t>)</w:t>
            </w:r>
          </w:p>
          <w:p w:rsidR="00510DDC" w:rsidRPr="000A0A5F" w:rsidRDefault="00510DDC" w:rsidP="00510DDC">
            <w:pPr>
              <w:pStyle w:val="TAL"/>
              <w:rPr>
                <w:lang w:eastAsia="zh-CN"/>
              </w:rPr>
            </w:pPr>
          </w:p>
          <w:p w:rsidR="00837C4C" w:rsidRPr="000A0A5F" w:rsidRDefault="00510DDC" w:rsidP="00510DDC">
            <w:pPr>
              <w:pStyle w:val="TAL"/>
              <w:rPr>
                <w:rFonts w:eastAsia="Times New Roman"/>
              </w:rPr>
            </w:pPr>
            <w:r w:rsidRPr="000A0A5F">
              <w:rPr>
                <w:rFonts w:cs="Arial"/>
                <w:szCs w:val="18"/>
                <w:lang w:eastAsia="zh-CN"/>
              </w:rPr>
              <w:t>If "monitoringType" attribute (or the "addnMonTypes" attribute) is set to (or contains) the "</w:t>
            </w:r>
            <w:r w:rsidRPr="000A0A5F">
              <w:rPr>
                <w:noProof/>
              </w:rPr>
              <w:t>NUM_OF_REGD_UES</w:t>
            </w:r>
            <w:r w:rsidRPr="000A0A5F">
              <w:rPr>
                <w:rFonts w:cs="Arial"/>
                <w:szCs w:val="18"/>
                <w:lang w:eastAsia="zh-CN"/>
              </w:rPr>
              <w:t>" or "</w:t>
            </w:r>
            <w:r w:rsidRPr="000A0A5F">
              <w:rPr>
                <w:noProof/>
              </w:rPr>
              <w:t>NUM_OF_EST</w:t>
            </w:r>
            <w:r w:rsidRPr="000A0A5F">
              <w:rPr>
                <w:noProof/>
                <w:lang w:val="en-US"/>
              </w:rPr>
              <w:t>D</w:t>
            </w:r>
            <w:r w:rsidRPr="000A0A5F">
              <w:rPr>
                <w:noProof/>
              </w:rPr>
              <w:t>_PDU_SESSIONS</w:t>
            </w:r>
            <w:r w:rsidRPr="000A0A5F">
              <w:rPr>
                <w:rFonts w:cs="Arial"/>
                <w:szCs w:val="18"/>
                <w:lang w:eastAsia="zh-CN"/>
              </w:rPr>
              <w:t>" values</w:t>
            </w:r>
            <w:r w:rsidRPr="000A0A5F">
              <w:rPr>
                <w:lang w:eastAsia="zh-CN"/>
              </w:rPr>
              <w:t>, this attribute may also be provided with a value of 1 to indicate that one-time reporting of the network slice status information is requested by the AF.</w:t>
            </w:r>
          </w:p>
        </w:tc>
        <w:tc>
          <w:tcPr>
            <w:tcW w:w="1392" w:type="dxa"/>
          </w:tcPr>
          <w:p w:rsidR="00837C4C" w:rsidRPr="000A0A5F" w:rsidRDefault="00837C4C" w:rsidP="00837C4C">
            <w:pPr>
              <w:pStyle w:val="TAL"/>
              <w:rPr>
                <w:rFonts w:eastAsia="Times New Roman" w:cs="Arial"/>
                <w:szCs w:val="18"/>
              </w:rPr>
            </w:pPr>
          </w:p>
        </w:tc>
      </w:tr>
      <w:tr w:rsidR="00837C4C" w:rsidRPr="000A0A5F" w:rsidTr="002B45A7">
        <w:trPr>
          <w:jc w:val="center"/>
        </w:trPr>
        <w:tc>
          <w:tcPr>
            <w:tcW w:w="2026" w:type="dxa"/>
            <w:shd w:val="clear" w:color="auto" w:fill="auto"/>
          </w:tcPr>
          <w:p w:rsidR="00837C4C" w:rsidRPr="000A0A5F" w:rsidRDefault="00837C4C" w:rsidP="00837C4C">
            <w:pPr>
              <w:pStyle w:val="TAL"/>
              <w:rPr>
                <w:rFonts w:eastAsia="Times New Roman"/>
              </w:rPr>
            </w:pPr>
            <w:r w:rsidRPr="000A0A5F">
              <w:rPr>
                <w:rFonts w:cs="Arial" w:hint="eastAsia"/>
                <w:szCs w:val="18"/>
                <w:lang w:eastAsia="zh-CN"/>
              </w:rPr>
              <w:t>monitor</w:t>
            </w:r>
            <w:r w:rsidRPr="000A0A5F">
              <w:rPr>
                <w:rFonts w:cs="Arial"/>
                <w:szCs w:val="18"/>
                <w:lang w:eastAsia="zh-CN"/>
              </w:rPr>
              <w:t>ExpireTime</w:t>
            </w:r>
          </w:p>
        </w:tc>
        <w:tc>
          <w:tcPr>
            <w:tcW w:w="1492" w:type="dxa"/>
            <w:shd w:val="clear" w:color="auto" w:fill="auto"/>
          </w:tcPr>
          <w:p w:rsidR="00837C4C" w:rsidRPr="000A0A5F" w:rsidRDefault="00837C4C" w:rsidP="00837C4C">
            <w:pPr>
              <w:pStyle w:val="TAL"/>
              <w:rPr>
                <w:lang w:eastAsia="zh-CN"/>
              </w:rPr>
            </w:pPr>
            <w:r w:rsidRPr="000A0A5F">
              <w:rPr>
                <w:rFonts w:cs="Arial"/>
                <w:szCs w:val="18"/>
                <w:lang w:eastAsia="zh-CN"/>
              </w:rPr>
              <w:t>D</w:t>
            </w:r>
            <w:r w:rsidRPr="000A0A5F">
              <w:rPr>
                <w:rFonts w:cs="Arial" w:hint="eastAsia"/>
                <w:szCs w:val="18"/>
                <w:lang w:eastAsia="zh-CN"/>
              </w:rPr>
              <w:t>ate</w:t>
            </w:r>
            <w:r w:rsidRPr="000A0A5F">
              <w:rPr>
                <w:rFonts w:cs="Arial"/>
                <w:szCs w:val="18"/>
                <w:lang w:eastAsia="zh-CN"/>
              </w:rPr>
              <w:t>T</w:t>
            </w:r>
            <w:r w:rsidRPr="000A0A5F">
              <w:rPr>
                <w:rFonts w:cs="Arial" w:hint="eastAsia"/>
                <w:szCs w:val="18"/>
                <w:lang w:eastAsia="zh-CN"/>
              </w:rPr>
              <w:t>ime</w:t>
            </w:r>
          </w:p>
        </w:tc>
        <w:tc>
          <w:tcPr>
            <w:tcW w:w="1134" w:type="dxa"/>
            <w:shd w:val="clear" w:color="auto" w:fill="auto"/>
          </w:tcPr>
          <w:p w:rsidR="00837C4C" w:rsidRPr="000A0A5F" w:rsidRDefault="00837C4C" w:rsidP="00837C4C">
            <w:pPr>
              <w:pStyle w:val="TAC"/>
              <w:jc w:val="left"/>
              <w:rPr>
                <w:rFonts w:eastAsia="Times New Roman"/>
              </w:rPr>
            </w:pPr>
            <w:r w:rsidRPr="000A0A5F">
              <w:rPr>
                <w:rFonts w:eastAsia="Batang" w:cs="Arial"/>
                <w:szCs w:val="18"/>
                <w:lang w:eastAsia="zh-CN"/>
              </w:rPr>
              <w:t>0..1</w:t>
            </w:r>
          </w:p>
        </w:tc>
        <w:tc>
          <w:tcPr>
            <w:tcW w:w="3544" w:type="dxa"/>
            <w:shd w:val="clear" w:color="auto" w:fill="auto"/>
          </w:tcPr>
          <w:p w:rsidR="00510DDC" w:rsidRPr="000A0A5F" w:rsidRDefault="00510DDC" w:rsidP="00510DDC">
            <w:pPr>
              <w:pStyle w:val="TAL"/>
              <w:spacing w:afterLines="50" w:after="120"/>
              <w:rPr>
                <w:rFonts w:cs="Arial"/>
                <w:szCs w:val="18"/>
                <w:lang w:eastAsia="zh-CN"/>
              </w:rPr>
            </w:pPr>
            <w:r w:rsidRPr="000A0A5F">
              <w:rPr>
                <w:rFonts w:cs="Arial"/>
                <w:szCs w:val="18"/>
                <w:lang w:eastAsia="zh-CN"/>
              </w:rPr>
              <w:t>Identifies the absolute time at which the related monitoring event request is considered to expire, as specified in clause 5.6.0 of 3GPP TS 23.682 [2].</w:t>
            </w:r>
          </w:p>
          <w:p w:rsidR="00510DDC" w:rsidRPr="000A0A5F" w:rsidRDefault="00510DDC" w:rsidP="00510DDC">
            <w:pPr>
              <w:pStyle w:val="TAL"/>
              <w:spacing w:afterLines="50" w:after="120"/>
              <w:rPr>
                <w:rFonts w:cs="Arial"/>
                <w:szCs w:val="18"/>
                <w:lang w:eastAsia="zh-CN"/>
              </w:rPr>
            </w:pPr>
            <w:r w:rsidRPr="000A0A5F">
              <w:rPr>
                <w:lang w:eastAsia="zh-CN"/>
              </w:rPr>
              <w:t xml:space="preserve">When the "monitoringType" </w:t>
            </w:r>
            <w:r w:rsidRPr="000A0A5F">
              <w:rPr>
                <w:rFonts w:cs="Arial"/>
                <w:szCs w:val="18"/>
                <w:lang w:eastAsia="zh-CN"/>
              </w:rPr>
              <w:t xml:space="preserve">attribute (or the "addnMonTypes" attribute) </w:t>
            </w:r>
            <w:r w:rsidRPr="000A0A5F">
              <w:rPr>
                <w:lang w:eastAsia="zh-CN"/>
              </w:rPr>
              <w:t>is set to either "</w:t>
            </w:r>
            <w:r w:rsidRPr="000A0A5F">
              <w:rPr>
                <w:noProof/>
              </w:rPr>
              <w:t>NUM_OF_REGD_UES" or "NUM_OF_EST</w:t>
            </w:r>
            <w:r w:rsidRPr="000A0A5F">
              <w:rPr>
                <w:noProof/>
                <w:lang w:val="en-US"/>
              </w:rPr>
              <w:t>D</w:t>
            </w:r>
            <w:r w:rsidRPr="000A0A5F">
              <w:rPr>
                <w:noProof/>
              </w:rPr>
              <w:t>_PDU_SESSIONS"</w:t>
            </w:r>
            <w:r w:rsidRPr="000A0A5F">
              <w:rPr>
                <w:lang w:eastAsia="zh-CN"/>
              </w:rPr>
              <w:t>, this attribute shall be absent in the response to a one-time reporting monitoring subscription request.</w:t>
            </w:r>
          </w:p>
          <w:p w:rsidR="00837C4C" w:rsidRPr="000A0A5F" w:rsidRDefault="00510DDC" w:rsidP="00510DDC">
            <w:pPr>
              <w:spacing w:after="0"/>
              <w:rPr>
                <w:rFonts w:ascii="Arial" w:eastAsia="Times New Roman" w:hAnsi="Arial" w:cs="Arial"/>
                <w:sz w:val="18"/>
                <w:szCs w:val="18"/>
              </w:rPr>
            </w:pPr>
            <w:r w:rsidRPr="000A0A5F">
              <w:rPr>
                <w:rFonts w:ascii="Arial" w:hAnsi="Arial" w:cs="Arial"/>
                <w:sz w:val="18"/>
                <w:szCs w:val="18"/>
                <w:lang w:eastAsia="zh-CN"/>
              </w:rPr>
              <w:t>(NOTE 2)</w:t>
            </w:r>
          </w:p>
        </w:tc>
        <w:tc>
          <w:tcPr>
            <w:tcW w:w="1392" w:type="dxa"/>
          </w:tcPr>
          <w:p w:rsidR="00837C4C" w:rsidRPr="000A0A5F" w:rsidRDefault="00837C4C" w:rsidP="00837C4C">
            <w:pPr>
              <w:pStyle w:val="TAL"/>
              <w:rPr>
                <w:rFonts w:eastAsia="Times New Roman" w:cs="Arial"/>
                <w:szCs w:val="18"/>
              </w:rPr>
            </w:pPr>
          </w:p>
        </w:tc>
      </w:tr>
      <w:tr w:rsidR="00510DDC" w:rsidRPr="000A0A5F" w:rsidTr="002B45A7">
        <w:trPr>
          <w:jc w:val="center"/>
        </w:trPr>
        <w:tc>
          <w:tcPr>
            <w:tcW w:w="2026" w:type="dxa"/>
            <w:shd w:val="clear" w:color="auto" w:fill="auto"/>
          </w:tcPr>
          <w:p w:rsidR="00510DDC" w:rsidRPr="000A0A5F" w:rsidRDefault="00510DDC" w:rsidP="00510DDC">
            <w:pPr>
              <w:pStyle w:val="TAL"/>
              <w:rPr>
                <w:rFonts w:cs="Arial" w:hint="eastAsia"/>
                <w:szCs w:val="18"/>
                <w:lang w:eastAsia="zh-CN"/>
              </w:rPr>
            </w:pPr>
            <w:r w:rsidRPr="000A0A5F">
              <w:rPr>
                <w:rFonts w:cs="Arial" w:hint="eastAsia"/>
                <w:szCs w:val="18"/>
                <w:lang w:eastAsia="zh-CN"/>
              </w:rPr>
              <w:t>r</w:t>
            </w:r>
            <w:r w:rsidRPr="000A0A5F">
              <w:rPr>
                <w:rFonts w:cs="Arial"/>
                <w:szCs w:val="18"/>
                <w:lang w:eastAsia="zh-CN"/>
              </w:rPr>
              <w:t>epPeriod</w:t>
            </w:r>
          </w:p>
        </w:tc>
        <w:tc>
          <w:tcPr>
            <w:tcW w:w="1492" w:type="dxa"/>
            <w:shd w:val="clear" w:color="auto" w:fill="auto"/>
          </w:tcPr>
          <w:p w:rsidR="00510DDC" w:rsidRPr="000A0A5F" w:rsidRDefault="00510DDC" w:rsidP="00510DDC">
            <w:pPr>
              <w:pStyle w:val="TAL"/>
              <w:rPr>
                <w:rFonts w:cs="Arial"/>
                <w:szCs w:val="18"/>
                <w:lang w:eastAsia="zh-CN"/>
              </w:rPr>
            </w:pPr>
            <w:r w:rsidRPr="000A0A5F">
              <w:rPr>
                <w:lang w:eastAsia="zh-CN"/>
              </w:rPr>
              <w:t>DurationSec</w:t>
            </w:r>
          </w:p>
        </w:tc>
        <w:tc>
          <w:tcPr>
            <w:tcW w:w="1134" w:type="dxa"/>
            <w:shd w:val="clear" w:color="auto" w:fill="auto"/>
          </w:tcPr>
          <w:p w:rsidR="00510DDC" w:rsidRPr="000A0A5F" w:rsidRDefault="00510DDC" w:rsidP="00510DDC">
            <w:pPr>
              <w:pStyle w:val="TAC"/>
              <w:jc w:val="left"/>
              <w:rPr>
                <w:rFonts w:eastAsia="Batang" w:cs="Arial"/>
                <w:szCs w:val="18"/>
                <w:lang w:eastAsia="zh-CN"/>
              </w:rPr>
            </w:pPr>
            <w:r w:rsidRPr="000A0A5F">
              <w:rPr>
                <w:rFonts w:eastAsia="Times New Roman"/>
              </w:rPr>
              <w:t>0..1</w:t>
            </w:r>
          </w:p>
        </w:tc>
        <w:tc>
          <w:tcPr>
            <w:tcW w:w="3544" w:type="dxa"/>
            <w:shd w:val="clear" w:color="auto" w:fill="auto"/>
          </w:tcPr>
          <w:p w:rsidR="00510DDC" w:rsidRPr="000A0A5F" w:rsidRDefault="00510DDC" w:rsidP="00510DDC">
            <w:pPr>
              <w:pStyle w:val="TAL"/>
              <w:spacing w:afterLines="50" w:after="120"/>
              <w:rPr>
                <w:rFonts w:cs="Arial"/>
                <w:szCs w:val="18"/>
                <w:lang w:eastAsia="zh-CN"/>
              </w:rPr>
            </w:pPr>
            <w:r w:rsidRPr="000A0A5F">
              <w:rPr>
                <w:rFonts w:cs="Arial" w:hint="eastAsia"/>
                <w:szCs w:val="18"/>
                <w:lang w:eastAsia="zh-CN"/>
              </w:rPr>
              <w:t>I</w:t>
            </w:r>
            <w:r w:rsidRPr="000A0A5F">
              <w:rPr>
                <w:rFonts w:cs="Arial"/>
                <w:szCs w:val="18"/>
                <w:lang w:eastAsia="zh-CN"/>
              </w:rPr>
              <w:t>dentifies the periodic time for the event reports. (NOTE</w:t>
            </w:r>
            <w:r w:rsidRPr="000A0A5F">
              <w:rPr>
                <w:rFonts w:cs="Arial"/>
                <w:szCs w:val="18"/>
                <w:lang w:val="en-US" w:eastAsia="zh-CN"/>
              </w:rPr>
              <w:t> 8, NOTE 9, NOTE 13</w:t>
            </w:r>
            <w:r w:rsidRPr="000A0A5F">
              <w:rPr>
                <w:rFonts w:cs="Arial"/>
                <w:szCs w:val="18"/>
                <w:lang w:eastAsia="zh-CN"/>
              </w:rPr>
              <w:t>)</w:t>
            </w:r>
          </w:p>
          <w:p w:rsidR="00510DDC" w:rsidRPr="000A0A5F" w:rsidRDefault="00510DDC" w:rsidP="00510DDC">
            <w:pPr>
              <w:pStyle w:val="TAL"/>
              <w:spacing w:afterLines="50" w:after="120"/>
              <w:rPr>
                <w:rFonts w:cs="Arial"/>
                <w:szCs w:val="18"/>
                <w:lang w:eastAsia="zh-CN"/>
              </w:rPr>
            </w:pPr>
            <w:r w:rsidRPr="000A0A5F">
              <w:rPr>
                <w:rFonts w:cs="Arial"/>
                <w:szCs w:val="18"/>
                <w:lang w:eastAsia="zh-CN"/>
              </w:rPr>
              <w:t>If "monitoringType" attribute (or the "addnMonTypes" attribute) is set to "</w:t>
            </w:r>
            <w:r w:rsidRPr="000A0A5F">
              <w:rPr>
                <w:noProof/>
              </w:rPr>
              <w:t>NUM_OF_REGD_UES</w:t>
            </w:r>
            <w:r w:rsidRPr="000A0A5F">
              <w:rPr>
                <w:rFonts w:cs="Arial"/>
                <w:szCs w:val="18"/>
                <w:lang w:eastAsia="zh-CN"/>
              </w:rPr>
              <w:t>" or "</w:t>
            </w:r>
            <w:r w:rsidRPr="000A0A5F">
              <w:rPr>
                <w:noProof/>
              </w:rPr>
              <w:t>NUM_OF_EST</w:t>
            </w:r>
            <w:r w:rsidRPr="000A0A5F">
              <w:rPr>
                <w:noProof/>
                <w:lang w:val="en-US"/>
              </w:rPr>
              <w:t>D</w:t>
            </w:r>
            <w:r w:rsidRPr="000A0A5F">
              <w:rPr>
                <w:noProof/>
              </w:rPr>
              <w:t>_PDU_SESSIONS</w:t>
            </w:r>
            <w:r w:rsidRPr="000A0A5F">
              <w:rPr>
                <w:rFonts w:cs="Arial"/>
                <w:szCs w:val="18"/>
                <w:lang w:eastAsia="zh-CN"/>
              </w:rPr>
              <w:t xml:space="preserve">", this attribute may be provided. When provided, it also </w:t>
            </w:r>
            <w:r w:rsidRPr="000A0A5F">
              <w:rPr>
                <w:lang w:eastAsia="zh-CN"/>
              </w:rPr>
              <w:t>indicates that periodic reporting of the network slice status information is requested by the AF.</w:t>
            </w:r>
          </w:p>
        </w:tc>
        <w:tc>
          <w:tcPr>
            <w:tcW w:w="1392" w:type="dxa"/>
          </w:tcPr>
          <w:p w:rsidR="00510DDC" w:rsidRPr="000A0A5F" w:rsidRDefault="00510DDC" w:rsidP="00510DDC">
            <w:pPr>
              <w:pStyle w:val="TAL"/>
              <w:rPr>
                <w:rFonts w:eastAsia="Times New Roman" w:cs="Arial"/>
                <w:szCs w:val="18"/>
              </w:rPr>
            </w:pPr>
          </w:p>
        </w:tc>
      </w:tr>
      <w:tr w:rsidR="00510DDC" w:rsidRPr="000A0A5F" w:rsidTr="002B45A7">
        <w:trPr>
          <w:jc w:val="center"/>
        </w:trPr>
        <w:tc>
          <w:tcPr>
            <w:tcW w:w="2026" w:type="dxa"/>
            <w:shd w:val="clear" w:color="auto" w:fill="auto"/>
          </w:tcPr>
          <w:p w:rsidR="00510DDC" w:rsidRPr="000A0A5F" w:rsidRDefault="00510DDC" w:rsidP="00510DDC">
            <w:pPr>
              <w:pStyle w:val="TAL"/>
              <w:rPr>
                <w:rFonts w:eastAsia="Times New Roman"/>
              </w:rPr>
            </w:pPr>
            <w:r w:rsidRPr="000A0A5F">
              <w:rPr>
                <w:rFonts w:hint="eastAsia"/>
                <w:lang w:eastAsia="zh-CN"/>
              </w:rPr>
              <w:t>groupRepor</w:t>
            </w:r>
            <w:r w:rsidRPr="000A0A5F">
              <w:rPr>
                <w:lang w:eastAsia="zh-CN"/>
              </w:rPr>
              <w:t>t</w:t>
            </w:r>
            <w:r w:rsidRPr="000A0A5F">
              <w:rPr>
                <w:rFonts w:hint="eastAsia"/>
                <w:lang w:eastAsia="zh-CN"/>
              </w:rPr>
              <w:t>GuardTime</w:t>
            </w:r>
          </w:p>
        </w:tc>
        <w:tc>
          <w:tcPr>
            <w:tcW w:w="1492" w:type="dxa"/>
            <w:shd w:val="clear" w:color="auto" w:fill="auto"/>
          </w:tcPr>
          <w:p w:rsidR="00510DDC" w:rsidRPr="000A0A5F" w:rsidRDefault="00510DDC" w:rsidP="00510DDC">
            <w:pPr>
              <w:pStyle w:val="TAL"/>
              <w:rPr>
                <w:lang w:eastAsia="zh-CN"/>
              </w:rPr>
            </w:pPr>
            <w:r w:rsidRPr="000A0A5F">
              <w:rPr>
                <w:lang w:eastAsia="zh-CN"/>
              </w:rPr>
              <w:t>DurationSec</w:t>
            </w:r>
          </w:p>
        </w:tc>
        <w:tc>
          <w:tcPr>
            <w:tcW w:w="1134" w:type="dxa"/>
            <w:shd w:val="clear" w:color="auto" w:fill="auto"/>
          </w:tcPr>
          <w:p w:rsidR="00510DDC" w:rsidRPr="000A0A5F" w:rsidRDefault="00510DDC" w:rsidP="00510DDC">
            <w:pPr>
              <w:pStyle w:val="TAC"/>
              <w:jc w:val="left"/>
              <w:rPr>
                <w:rFonts w:eastAsia="Times New Roman"/>
              </w:rPr>
            </w:pPr>
            <w:r w:rsidRPr="000A0A5F">
              <w:rPr>
                <w:rFonts w:eastAsia="Times New Roman"/>
              </w:rPr>
              <w:t>0..1</w:t>
            </w:r>
          </w:p>
        </w:tc>
        <w:tc>
          <w:tcPr>
            <w:tcW w:w="3544" w:type="dxa"/>
            <w:shd w:val="clear" w:color="auto" w:fill="auto"/>
          </w:tcPr>
          <w:p w:rsidR="00510DDC" w:rsidRPr="000A0A5F" w:rsidRDefault="00510DDC" w:rsidP="00510DDC">
            <w:pPr>
              <w:spacing w:after="0"/>
              <w:rPr>
                <w:rFonts w:ascii="Arial" w:hAnsi="Arial" w:cs="Arial"/>
                <w:sz w:val="18"/>
                <w:szCs w:val="18"/>
              </w:rPr>
            </w:pPr>
            <w:r w:rsidRPr="000A0A5F">
              <w:rPr>
                <w:rFonts w:ascii="Arial" w:hAnsi="Arial" w:cs="Arial"/>
                <w:sz w:val="18"/>
                <w:szCs w:val="18"/>
                <w:lang w:eastAsia="zh-CN"/>
              </w:rPr>
              <w:t>Identifies the time for which the SCEF can aggregate the monitoring event reports detected by the UEs in a group and report them together to the SCS/AS, as specified in clause 5.6.0 of 3GPP TS 23.682 [2].</w:t>
            </w:r>
          </w:p>
        </w:tc>
        <w:tc>
          <w:tcPr>
            <w:tcW w:w="1392" w:type="dxa"/>
          </w:tcPr>
          <w:p w:rsidR="00510DDC" w:rsidRPr="000A0A5F" w:rsidRDefault="00510DDC" w:rsidP="00510DDC">
            <w:pPr>
              <w:pStyle w:val="TAL"/>
              <w:rPr>
                <w:rFonts w:eastAsia="Times New Roman" w:cs="Arial"/>
                <w:szCs w:val="18"/>
              </w:rPr>
            </w:pPr>
          </w:p>
        </w:tc>
      </w:tr>
      <w:tr w:rsidR="00510DDC" w:rsidRPr="000A0A5F" w:rsidTr="002B45A7">
        <w:trPr>
          <w:jc w:val="center"/>
        </w:trPr>
        <w:tc>
          <w:tcPr>
            <w:tcW w:w="2026" w:type="dxa"/>
            <w:shd w:val="clear" w:color="auto" w:fill="auto"/>
          </w:tcPr>
          <w:p w:rsidR="00510DDC" w:rsidRPr="000A0A5F" w:rsidRDefault="00510DDC" w:rsidP="00510DDC">
            <w:pPr>
              <w:pStyle w:val="TAL"/>
              <w:rPr>
                <w:rFonts w:eastAsia="Times New Roman"/>
              </w:rPr>
            </w:pPr>
            <w:r w:rsidRPr="000A0A5F">
              <w:rPr>
                <w:lang w:eastAsia="zh-CN"/>
              </w:rPr>
              <w:t>m</w:t>
            </w:r>
            <w:r w:rsidRPr="000A0A5F">
              <w:rPr>
                <w:rFonts w:hint="eastAsia"/>
                <w:lang w:eastAsia="zh-CN"/>
              </w:rPr>
              <w:t>aximumDetectionTime</w:t>
            </w:r>
          </w:p>
        </w:tc>
        <w:tc>
          <w:tcPr>
            <w:tcW w:w="1492" w:type="dxa"/>
            <w:shd w:val="clear" w:color="auto" w:fill="auto"/>
          </w:tcPr>
          <w:p w:rsidR="00510DDC" w:rsidRPr="000A0A5F" w:rsidRDefault="00510DDC" w:rsidP="00510DDC">
            <w:pPr>
              <w:pStyle w:val="TAL"/>
              <w:rPr>
                <w:rFonts w:eastAsia="Times New Roman"/>
              </w:rPr>
            </w:pPr>
            <w:r w:rsidRPr="000A0A5F">
              <w:rPr>
                <w:lang w:eastAsia="zh-CN"/>
              </w:rPr>
              <w:t>DurationSec</w:t>
            </w:r>
          </w:p>
        </w:tc>
        <w:tc>
          <w:tcPr>
            <w:tcW w:w="1134" w:type="dxa"/>
            <w:shd w:val="clear" w:color="auto" w:fill="auto"/>
          </w:tcPr>
          <w:p w:rsidR="00510DDC" w:rsidRPr="000A0A5F" w:rsidRDefault="00510DDC" w:rsidP="00510DDC">
            <w:pPr>
              <w:pStyle w:val="TAC"/>
              <w:jc w:val="left"/>
              <w:rPr>
                <w:rFonts w:eastAsia="Times New Roman"/>
              </w:rPr>
            </w:pPr>
            <w:r w:rsidRPr="000A0A5F">
              <w:rPr>
                <w:rFonts w:eastAsia="Times New Roman"/>
              </w:rPr>
              <w:t>0..1</w:t>
            </w:r>
          </w:p>
        </w:tc>
        <w:tc>
          <w:tcPr>
            <w:tcW w:w="3544" w:type="dxa"/>
            <w:shd w:val="clear" w:color="auto" w:fill="auto"/>
          </w:tcPr>
          <w:p w:rsidR="00510DDC" w:rsidRPr="000A0A5F" w:rsidRDefault="00510DDC" w:rsidP="00510DDC">
            <w:pPr>
              <w:pStyle w:val="TAL"/>
              <w:rPr>
                <w:rFonts w:cs="Arial"/>
                <w:szCs w:val="18"/>
                <w:lang w:eastAsia="zh-CN"/>
              </w:rPr>
            </w:pPr>
            <w:r w:rsidRPr="000A0A5F">
              <w:rPr>
                <w:rFonts w:cs="Arial"/>
                <w:szCs w:val="18"/>
                <w:lang w:eastAsia="zh-CN"/>
              </w:rPr>
              <w:t>If "monitoringType" attribute (or the "addnMonTypes" attribute) is set to "</w:t>
            </w:r>
            <w:r w:rsidRPr="000A0A5F">
              <w:rPr>
                <w:rFonts w:cs="Arial"/>
                <w:szCs w:val="18"/>
              </w:rPr>
              <w:t>LOSS_OF_CONNECTIVITY</w:t>
            </w:r>
            <w:r w:rsidRPr="000A0A5F">
              <w:rPr>
                <w:rFonts w:cs="Arial"/>
                <w:szCs w:val="18"/>
                <w:lang w:eastAsia="zh-CN"/>
              </w:rPr>
              <w:t>", this parameter may be included to identify the maximum period of time after which the UE is considered to be unreachable.</w:t>
            </w:r>
          </w:p>
        </w:tc>
        <w:tc>
          <w:tcPr>
            <w:tcW w:w="1392" w:type="dxa"/>
          </w:tcPr>
          <w:p w:rsidR="00510DDC" w:rsidRPr="000A0A5F" w:rsidRDefault="00510DDC" w:rsidP="00510DDC">
            <w:pPr>
              <w:pStyle w:val="TAL"/>
              <w:rPr>
                <w:rFonts w:eastAsia="Times New Roman" w:cs="Arial"/>
                <w:szCs w:val="18"/>
              </w:rPr>
            </w:pPr>
            <w:r w:rsidRPr="000A0A5F">
              <w:t>Loss_of_connectivity_notification</w:t>
            </w:r>
          </w:p>
        </w:tc>
      </w:tr>
      <w:tr w:rsidR="00510DDC" w:rsidRPr="000A0A5F" w:rsidTr="002B45A7">
        <w:trPr>
          <w:trHeight w:val="1063"/>
          <w:jc w:val="center"/>
        </w:trPr>
        <w:tc>
          <w:tcPr>
            <w:tcW w:w="2026" w:type="dxa"/>
            <w:shd w:val="clear" w:color="auto" w:fill="auto"/>
          </w:tcPr>
          <w:p w:rsidR="00510DDC" w:rsidRPr="000A0A5F" w:rsidRDefault="00510DDC" w:rsidP="00510DDC">
            <w:pPr>
              <w:pStyle w:val="TAL"/>
              <w:rPr>
                <w:rFonts w:eastAsia="Times New Roman"/>
              </w:rPr>
            </w:pPr>
            <w:r w:rsidRPr="000A0A5F">
              <w:rPr>
                <w:lang w:eastAsia="zh-CN"/>
              </w:rPr>
              <w:t>r</w:t>
            </w:r>
            <w:r w:rsidRPr="000A0A5F">
              <w:rPr>
                <w:rFonts w:hint="eastAsia"/>
                <w:lang w:eastAsia="zh-CN"/>
              </w:rPr>
              <w:t>eachabilityType</w:t>
            </w:r>
          </w:p>
        </w:tc>
        <w:tc>
          <w:tcPr>
            <w:tcW w:w="1492" w:type="dxa"/>
            <w:shd w:val="clear" w:color="auto" w:fill="auto"/>
          </w:tcPr>
          <w:p w:rsidR="00510DDC" w:rsidRPr="000A0A5F" w:rsidRDefault="00510DDC" w:rsidP="00510DDC">
            <w:pPr>
              <w:pStyle w:val="TAL"/>
              <w:rPr>
                <w:rFonts w:eastAsia="Times New Roman"/>
              </w:rPr>
            </w:pPr>
            <w:r w:rsidRPr="000A0A5F">
              <w:rPr>
                <w:lang w:eastAsia="zh-CN"/>
              </w:rPr>
              <w:t>ReachabilityType</w:t>
            </w:r>
          </w:p>
        </w:tc>
        <w:tc>
          <w:tcPr>
            <w:tcW w:w="1134" w:type="dxa"/>
            <w:shd w:val="clear" w:color="auto" w:fill="auto"/>
          </w:tcPr>
          <w:p w:rsidR="00510DDC" w:rsidRPr="000A0A5F" w:rsidRDefault="00510DDC" w:rsidP="00510DDC">
            <w:pPr>
              <w:pStyle w:val="TAC"/>
              <w:jc w:val="left"/>
              <w:rPr>
                <w:rFonts w:eastAsia="Times New Roman"/>
              </w:rPr>
            </w:pPr>
            <w:r w:rsidRPr="000A0A5F">
              <w:rPr>
                <w:rFonts w:eastAsia="Times New Roman"/>
              </w:rPr>
              <w:t>0..1</w:t>
            </w:r>
          </w:p>
        </w:tc>
        <w:tc>
          <w:tcPr>
            <w:tcW w:w="3544" w:type="dxa"/>
            <w:shd w:val="clear" w:color="auto" w:fill="auto"/>
          </w:tcPr>
          <w:p w:rsidR="00510DDC" w:rsidRPr="000A0A5F" w:rsidRDefault="00510DDC" w:rsidP="00510DDC">
            <w:pPr>
              <w:spacing w:after="0"/>
              <w:rPr>
                <w:rFonts w:ascii="Arial" w:hAnsi="Arial" w:cs="Arial"/>
                <w:sz w:val="18"/>
                <w:szCs w:val="18"/>
                <w:lang w:eastAsia="zh-CN"/>
              </w:rPr>
            </w:pPr>
            <w:r w:rsidRPr="000A0A5F">
              <w:rPr>
                <w:rFonts w:ascii="Arial" w:hAnsi="Arial" w:cs="Arial"/>
                <w:sz w:val="18"/>
                <w:szCs w:val="18"/>
                <w:lang w:eastAsia="zh-CN"/>
              </w:rPr>
              <w:t>If "monitoringType" attribute (or the "addnMonTypes" attribute) is set to "</w:t>
            </w:r>
            <w:r w:rsidRPr="000A0A5F">
              <w:rPr>
                <w:rFonts w:ascii="Arial" w:hAnsi="Arial" w:cs="Arial"/>
                <w:sz w:val="18"/>
                <w:szCs w:val="18"/>
              </w:rPr>
              <w:t>UE_REACHABILITY</w:t>
            </w:r>
            <w:r w:rsidRPr="000A0A5F">
              <w:rPr>
                <w:rFonts w:ascii="Arial" w:hAnsi="Arial" w:cs="Arial"/>
                <w:sz w:val="18"/>
                <w:szCs w:val="18"/>
                <w:lang w:eastAsia="zh-CN"/>
              </w:rPr>
              <w:t>", this parameter shall be included to identify whether the request is for "Reachability for SMS" or "Reachability for Data".</w:t>
            </w:r>
          </w:p>
        </w:tc>
        <w:tc>
          <w:tcPr>
            <w:tcW w:w="1392" w:type="dxa"/>
          </w:tcPr>
          <w:p w:rsidR="00510DDC" w:rsidRPr="000A0A5F" w:rsidRDefault="00510DDC" w:rsidP="00510DDC">
            <w:pPr>
              <w:pStyle w:val="TAL"/>
              <w:rPr>
                <w:rFonts w:eastAsia="Times New Roman" w:cs="Arial"/>
                <w:szCs w:val="18"/>
              </w:rPr>
            </w:pPr>
            <w:r w:rsidRPr="000A0A5F">
              <w:t>Ue-reachability_notification</w:t>
            </w:r>
          </w:p>
        </w:tc>
      </w:tr>
      <w:tr w:rsidR="00510DDC" w:rsidRPr="000A0A5F" w:rsidTr="002B45A7">
        <w:trPr>
          <w:jc w:val="center"/>
        </w:trPr>
        <w:tc>
          <w:tcPr>
            <w:tcW w:w="2026" w:type="dxa"/>
            <w:shd w:val="clear" w:color="auto" w:fill="auto"/>
          </w:tcPr>
          <w:p w:rsidR="00510DDC" w:rsidRPr="000A0A5F" w:rsidRDefault="00510DDC" w:rsidP="00510DDC">
            <w:pPr>
              <w:pStyle w:val="TAL"/>
              <w:rPr>
                <w:rFonts w:eastAsia="Times New Roman"/>
              </w:rPr>
            </w:pPr>
            <w:r w:rsidRPr="000A0A5F">
              <w:rPr>
                <w:lang w:eastAsia="zh-CN"/>
              </w:rPr>
              <w:t>m</w:t>
            </w:r>
            <w:r w:rsidRPr="000A0A5F">
              <w:rPr>
                <w:rFonts w:hint="eastAsia"/>
                <w:lang w:eastAsia="zh-CN"/>
              </w:rPr>
              <w:t>aximumLat</w:t>
            </w:r>
            <w:r w:rsidRPr="000A0A5F">
              <w:rPr>
                <w:lang w:eastAsia="zh-CN"/>
              </w:rPr>
              <w:t>ency</w:t>
            </w:r>
          </w:p>
        </w:tc>
        <w:tc>
          <w:tcPr>
            <w:tcW w:w="1492" w:type="dxa"/>
            <w:shd w:val="clear" w:color="auto" w:fill="auto"/>
          </w:tcPr>
          <w:p w:rsidR="00510DDC" w:rsidRPr="000A0A5F" w:rsidRDefault="00510DDC" w:rsidP="00510DDC">
            <w:pPr>
              <w:pStyle w:val="TAL"/>
              <w:rPr>
                <w:rFonts w:eastAsia="Times New Roman"/>
              </w:rPr>
            </w:pPr>
            <w:r w:rsidRPr="000A0A5F">
              <w:rPr>
                <w:lang w:eastAsia="zh-CN"/>
              </w:rPr>
              <w:t>DurationSec</w:t>
            </w:r>
          </w:p>
        </w:tc>
        <w:tc>
          <w:tcPr>
            <w:tcW w:w="1134" w:type="dxa"/>
            <w:shd w:val="clear" w:color="auto" w:fill="auto"/>
          </w:tcPr>
          <w:p w:rsidR="00510DDC" w:rsidRPr="000A0A5F" w:rsidRDefault="00510DDC" w:rsidP="00510DDC">
            <w:pPr>
              <w:pStyle w:val="TAC"/>
              <w:jc w:val="left"/>
              <w:rPr>
                <w:rFonts w:eastAsia="Times New Roman"/>
              </w:rPr>
            </w:pPr>
            <w:r w:rsidRPr="000A0A5F">
              <w:rPr>
                <w:rFonts w:eastAsia="Times New Roman"/>
              </w:rPr>
              <w:t>0..1</w:t>
            </w:r>
          </w:p>
        </w:tc>
        <w:tc>
          <w:tcPr>
            <w:tcW w:w="3544" w:type="dxa"/>
            <w:shd w:val="clear" w:color="auto" w:fill="auto"/>
          </w:tcPr>
          <w:p w:rsidR="00510DDC" w:rsidRPr="000A0A5F" w:rsidRDefault="00510DDC" w:rsidP="00510DDC">
            <w:pPr>
              <w:pStyle w:val="TAL"/>
              <w:rPr>
                <w:rFonts w:cs="Arial"/>
                <w:szCs w:val="18"/>
              </w:rPr>
            </w:pPr>
            <w:r w:rsidRPr="000A0A5F">
              <w:rPr>
                <w:rFonts w:cs="Arial"/>
                <w:szCs w:val="18"/>
                <w:lang w:eastAsia="zh-CN"/>
              </w:rPr>
              <w:t xml:space="preserve">If "monitoringType" attribute (or the "addnMonTypes" attribute) is set to </w:t>
            </w:r>
            <w:r w:rsidRPr="000A0A5F">
              <w:rPr>
                <w:rFonts w:cs="Arial"/>
                <w:szCs w:val="18"/>
              </w:rPr>
              <w:t>"UE_REACHABILITY"</w:t>
            </w:r>
            <w:r w:rsidRPr="000A0A5F">
              <w:rPr>
                <w:rFonts w:cs="Arial"/>
                <w:szCs w:val="18"/>
                <w:lang w:eastAsia="zh-CN"/>
              </w:rPr>
              <w:t>, this parameter may be included to identify the maximum delay acceptable for downlink data transfers.</w:t>
            </w:r>
          </w:p>
        </w:tc>
        <w:tc>
          <w:tcPr>
            <w:tcW w:w="1392" w:type="dxa"/>
          </w:tcPr>
          <w:p w:rsidR="00510DDC" w:rsidRPr="000A0A5F" w:rsidRDefault="00510DDC" w:rsidP="00510DDC">
            <w:pPr>
              <w:pStyle w:val="TAL"/>
              <w:rPr>
                <w:rFonts w:eastAsia="Times New Roman" w:cs="Arial"/>
                <w:szCs w:val="18"/>
              </w:rPr>
            </w:pPr>
            <w:r w:rsidRPr="000A0A5F">
              <w:t>Ue-reachability_notification</w:t>
            </w:r>
          </w:p>
        </w:tc>
      </w:tr>
      <w:tr w:rsidR="00510DDC" w:rsidRPr="000A0A5F" w:rsidTr="002B45A7">
        <w:trPr>
          <w:jc w:val="center"/>
        </w:trPr>
        <w:tc>
          <w:tcPr>
            <w:tcW w:w="2026" w:type="dxa"/>
            <w:shd w:val="clear" w:color="auto" w:fill="auto"/>
          </w:tcPr>
          <w:p w:rsidR="00510DDC" w:rsidRPr="000A0A5F" w:rsidRDefault="00510DDC" w:rsidP="00510DDC">
            <w:pPr>
              <w:pStyle w:val="TAL"/>
              <w:rPr>
                <w:rFonts w:eastAsia="Times New Roman"/>
              </w:rPr>
            </w:pPr>
            <w:r w:rsidRPr="000A0A5F">
              <w:rPr>
                <w:lang w:eastAsia="zh-CN"/>
              </w:rPr>
              <w:t>maximumResponseTime</w:t>
            </w:r>
          </w:p>
        </w:tc>
        <w:tc>
          <w:tcPr>
            <w:tcW w:w="1492" w:type="dxa"/>
            <w:shd w:val="clear" w:color="auto" w:fill="auto"/>
          </w:tcPr>
          <w:p w:rsidR="00510DDC" w:rsidRPr="000A0A5F" w:rsidRDefault="00510DDC" w:rsidP="00510DDC">
            <w:pPr>
              <w:pStyle w:val="TAL"/>
              <w:rPr>
                <w:rFonts w:eastAsia="Times New Roman"/>
              </w:rPr>
            </w:pPr>
            <w:r w:rsidRPr="000A0A5F">
              <w:rPr>
                <w:lang w:eastAsia="zh-CN"/>
              </w:rPr>
              <w:t>DurationSec</w:t>
            </w:r>
          </w:p>
        </w:tc>
        <w:tc>
          <w:tcPr>
            <w:tcW w:w="1134" w:type="dxa"/>
            <w:shd w:val="clear" w:color="auto" w:fill="auto"/>
          </w:tcPr>
          <w:p w:rsidR="00510DDC" w:rsidRPr="000A0A5F" w:rsidRDefault="00510DDC" w:rsidP="00510DDC">
            <w:pPr>
              <w:pStyle w:val="TAC"/>
              <w:jc w:val="left"/>
              <w:rPr>
                <w:rFonts w:eastAsia="Times New Roman"/>
              </w:rPr>
            </w:pPr>
            <w:r w:rsidRPr="000A0A5F">
              <w:rPr>
                <w:rFonts w:eastAsia="Times New Roman"/>
              </w:rPr>
              <w:t>0..1</w:t>
            </w:r>
          </w:p>
        </w:tc>
        <w:tc>
          <w:tcPr>
            <w:tcW w:w="3544" w:type="dxa"/>
            <w:shd w:val="clear" w:color="auto" w:fill="auto"/>
          </w:tcPr>
          <w:p w:rsidR="00510DDC" w:rsidRPr="000A0A5F" w:rsidRDefault="00510DDC" w:rsidP="00510DDC">
            <w:pPr>
              <w:pStyle w:val="TAL"/>
              <w:rPr>
                <w:rFonts w:cs="Arial"/>
                <w:szCs w:val="18"/>
              </w:rPr>
            </w:pPr>
            <w:r w:rsidRPr="000A0A5F">
              <w:rPr>
                <w:rFonts w:cs="Arial"/>
                <w:szCs w:val="18"/>
                <w:lang w:eastAsia="zh-CN"/>
              </w:rPr>
              <w:t xml:space="preserve">If "monitoringType" attribute (or the "addnMonTypes" attribute) is set to </w:t>
            </w:r>
            <w:r w:rsidRPr="000A0A5F">
              <w:rPr>
                <w:rFonts w:cs="Arial"/>
                <w:szCs w:val="18"/>
              </w:rPr>
              <w:t>"UE_REACHABILITY"</w:t>
            </w:r>
            <w:r w:rsidRPr="000A0A5F">
              <w:rPr>
                <w:rFonts w:cs="Arial"/>
                <w:szCs w:val="18"/>
                <w:lang w:eastAsia="zh-CN"/>
              </w:rPr>
              <w:t>, this parameter may be included to identify the length of time for which the UE stays reachable to allow the SCS/AS to reliably deliver the required downlink data.</w:t>
            </w:r>
          </w:p>
        </w:tc>
        <w:tc>
          <w:tcPr>
            <w:tcW w:w="1392" w:type="dxa"/>
          </w:tcPr>
          <w:p w:rsidR="00510DDC" w:rsidRPr="000A0A5F" w:rsidRDefault="00510DDC" w:rsidP="00510DDC">
            <w:pPr>
              <w:pStyle w:val="TAL"/>
              <w:rPr>
                <w:rFonts w:eastAsia="Times New Roman" w:cs="Arial"/>
                <w:szCs w:val="18"/>
              </w:rPr>
            </w:pPr>
            <w:r w:rsidRPr="000A0A5F">
              <w:t>Ue-reachability_notification</w:t>
            </w:r>
          </w:p>
        </w:tc>
      </w:tr>
      <w:tr w:rsidR="00510DDC" w:rsidRPr="000A0A5F" w:rsidTr="002B45A7">
        <w:trPr>
          <w:jc w:val="center"/>
        </w:trPr>
        <w:tc>
          <w:tcPr>
            <w:tcW w:w="2026" w:type="dxa"/>
            <w:shd w:val="clear" w:color="auto" w:fill="auto"/>
          </w:tcPr>
          <w:p w:rsidR="00510DDC" w:rsidRPr="000A0A5F" w:rsidRDefault="00510DDC" w:rsidP="00510DDC">
            <w:pPr>
              <w:pStyle w:val="TAL"/>
              <w:rPr>
                <w:rFonts w:eastAsia="Times New Roman"/>
              </w:rPr>
            </w:pPr>
            <w:r w:rsidRPr="000A0A5F">
              <w:rPr>
                <w:lang w:eastAsia="zh-CN"/>
              </w:rPr>
              <w:t>s</w:t>
            </w:r>
            <w:r w:rsidRPr="000A0A5F">
              <w:rPr>
                <w:rFonts w:hint="eastAsia"/>
                <w:lang w:eastAsia="zh-CN"/>
              </w:rPr>
              <w:t>uggestedNumber</w:t>
            </w:r>
            <w:r w:rsidRPr="000A0A5F">
              <w:rPr>
                <w:lang w:eastAsia="zh-CN"/>
              </w:rPr>
              <w:t>OfDlPackets</w:t>
            </w:r>
          </w:p>
        </w:tc>
        <w:tc>
          <w:tcPr>
            <w:tcW w:w="1492" w:type="dxa"/>
            <w:shd w:val="clear" w:color="auto" w:fill="auto"/>
          </w:tcPr>
          <w:p w:rsidR="00510DDC" w:rsidRPr="000A0A5F" w:rsidRDefault="00510DDC" w:rsidP="00510DDC">
            <w:pPr>
              <w:pStyle w:val="TAL"/>
              <w:rPr>
                <w:rFonts w:eastAsia="Times New Roman"/>
              </w:rPr>
            </w:pPr>
            <w:r w:rsidRPr="000A0A5F">
              <w:rPr>
                <w:lang w:eastAsia="zh-CN"/>
              </w:rPr>
              <w:t>integer</w:t>
            </w:r>
          </w:p>
        </w:tc>
        <w:tc>
          <w:tcPr>
            <w:tcW w:w="1134" w:type="dxa"/>
            <w:shd w:val="clear" w:color="auto" w:fill="auto"/>
          </w:tcPr>
          <w:p w:rsidR="00510DDC" w:rsidRPr="000A0A5F" w:rsidRDefault="00510DDC" w:rsidP="00510DDC">
            <w:pPr>
              <w:pStyle w:val="TAC"/>
              <w:jc w:val="left"/>
              <w:rPr>
                <w:rFonts w:eastAsia="Times New Roman"/>
              </w:rPr>
            </w:pPr>
            <w:r w:rsidRPr="000A0A5F">
              <w:rPr>
                <w:rFonts w:eastAsia="Times New Roman"/>
              </w:rPr>
              <w:t>0..1</w:t>
            </w:r>
          </w:p>
        </w:tc>
        <w:tc>
          <w:tcPr>
            <w:tcW w:w="3544" w:type="dxa"/>
            <w:shd w:val="clear" w:color="auto" w:fill="auto"/>
          </w:tcPr>
          <w:p w:rsidR="00510DDC" w:rsidRPr="000A0A5F" w:rsidRDefault="00510DDC" w:rsidP="00510DDC">
            <w:pPr>
              <w:pStyle w:val="TAL"/>
              <w:rPr>
                <w:rFonts w:cs="Arial"/>
                <w:szCs w:val="18"/>
              </w:rPr>
            </w:pPr>
            <w:r w:rsidRPr="000A0A5F">
              <w:rPr>
                <w:rFonts w:cs="Arial"/>
                <w:szCs w:val="18"/>
                <w:lang w:eastAsia="zh-CN"/>
              </w:rPr>
              <w:t xml:space="preserve">If "monitoringType" attribute (or the "addnMonTypes" attribute) is set to </w:t>
            </w:r>
            <w:r w:rsidRPr="000A0A5F">
              <w:rPr>
                <w:rFonts w:cs="Arial"/>
                <w:szCs w:val="18"/>
              </w:rPr>
              <w:t>"UE_REACHABILITY"</w:t>
            </w:r>
            <w:r w:rsidRPr="000A0A5F">
              <w:rPr>
                <w:rFonts w:cs="Arial"/>
                <w:szCs w:val="18"/>
                <w:lang w:eastAsia="zh-CN"/>
              </w:rPr>
              <w:t>, this parameter may be included to identify the number of packets that the serving gateway shall buffer in case that the UE is not reachable.</w:t>
            </w:r>
          </w:p>
        </w:tc>
        <w:tc>
          <w:tcPr>
            <w:tcW w:w="1392" w:type="dxa"/>
          </w:tcPr>
          <w:p w:rsidR="00510DDC" w:rsidRPr="000A0A5F" w:rsidRDefault="00510DDC" w:rsidP="00510DDC">
            <w:pPr>
              <w:pStyle w:val="TAL"/>
              <w:rPr>
                <w:rFonts w:eastAsia="Times New Roman" w:cs="Arial"/>
                <w:szCs w:val="18"/>
              </w:rPr>
            </w:pPr>
            <w:r w:rsidRPr="000A0A5F">
              <w:t>Ue-reachability-notification</w:t>
            </w:r>
          </w:p>
        </w:tc>
      </w:tr>
      <w:tr w:rsidR="00510DDC" w:rsidRPr="000A0A5F" w:rsidTr="002B45A7">
        <w:trPr>
          <w:jc w:val="center"/>
        </w:trPr>
        <w:tc>
          <w:tcPr>
            <w:tcW w:w="2026" w:type="dxa"/>
            <w:shd w:val="clear" w:color="auto" w:fill="auto"/>
          </w:tcPr>
          <w:p w:rsidR="00510DDC" w:rsidRPr="000A0A5F" w:rsidRDefault="00510DDC" w:rsidP="00510DDC">
            <w:pPr>
              <w:pStyle w:val="TAL"/>
              <w:rPr>
                <w:rFonts w:hint="eastAsia"/>
                <w:lang w:eastAsia="zh-CN"/>
              </w:rPr>
            </w:pPr>
            <w:r w:rsidRPr="000A0A5F">
              <w:rPr>
                <w:rFonts w:hint="eastAsia"/>
                <w:lang w:eastAsia="zh-CN"/>
              </w:rPr>
              <w:t>idleStatusIndication</w:t>
            </w:r>
          </w:p>
        </w:tc>
        <w:tc>
          <w:tcPr>
            <w:tcW w:w="1492" w:type="dxa"/>
            <w:shd w:val="clear" w:color="auto" w:fill="auto"/>
          </w:tcPr>
          <w:p w:rsidR="00510DDC" w:rsidRPr="000A0A5F" w:rsidRDefault="00510DDC" w:rsidP="00510DDC">
            <w:pPr>
              <w:pStyle w:val="TAL"/>
              <w:rPr>
                <w:rFonts w:eastAsia="Times New Roman"/>
              </w:rPr>
            </w:pPr>
            <w:r w:rsidRPr="000A0A5F">
              <w:rPr>
                <w:lang w:eastAsia="zh-CN"/>
              </w:rPr>
              <w:t>b</w:t>
            </w:r>
            <w:r w:rsidRPr="000A0A5F">
              <w:rPr>
                <w:rFonts w:hint="eastAsia"/>
                <w:lang w:eastAsia="zh-CN"/>
              </w:rPr>
              <w:t>oole</w:t>
            </w:r>
            <w:r w:rsidRPr="000A0A5F">
              <w:rPr>
                <w:lang w:eastAsia="zh-CN"/>
              </w:rPr>
              <w:t>a</w:t>
            </w:r>
            <w:r w:rsidRPr="000A0A5F">
              <w:rPr>
                <w:rFonts w:hint="eastAsia"/>
                <w:lang w:eastAsia="zh-CN"/>
              </w:rPr>
              <w:t>n</w:t>
            </w:r>
          </w:p>
        </w:tc>
        <w:tc>
          <w:tcPr>
            <w:tcW w:w="1134" w:type="dxa"/>
            <w:shd w:val="clear" w:color="auto" w:fill="auto"/>
          </w:tcPr>
          <w:p w:rsidR="00510DDC" w:rsidRPr="000A0A5F" w:rsidRDefault="00510DDC" w:rsidP="00510DDC">
            <w:pPr>
              <w:pStyle w:val="TAC"/>
              <w:jc w:val="left"/>
              <w:rPr>
                <w:rFonts w:eastAsia="Times New Roman"/>
              </w:rPr>
            </w:pPr>
            <w:r w:rsidRPr="000A0A5F">
              <w:rPr>
                <w:rFonts w:eastAsia="Times New Roman"/>
              </w:rPr>
              <w:t>0..1</w:t>
            </w:r>
          </w:p>
        </w:tc>
        <w:tc>
          <w:tcPr>
            <w:tcW w:w="3544" w:type="dxa"/>
            <w:shd w:val="clear" w:color="auto" w:fill="auto"/>
          </w:tcPr>
          <w:p w:rsidR="00510DDC" w:rsidRPr="000A0A5F" w:rsidRDefault="00510DDC" w:rsidP="00510DDC">
            <w:pPr>
              <w:spacing w:afterLines="50" w:after="120"/>
              <w:rPr>
                <w:rFonts w:ascii="Arial" w:hAnsi="Arial" w:cs="Arial"/>
                <w:sz w:val="18"/>
                <w:szCs w:val="18"/>
                <w:lang w:eastAsia="zh-CN"/>
              </w:rPr>
            </w:pPr>
            <w:r w:rsidRPr="000A0A5F">
              <w:rPr>
                <w:rFonts w:ascii="Arial" w:hAnsi="Arial" w:cs="Arial"/>
                <w:sz w:val="18"/>
                <w:szCs w:val="18"/>
                <w:lang w:eastAsia="zh-CN"/>
              </w:rPr>
              <w:t xml:space="preserve">If "monitoringType" attribute (or the "addnMonTypes" attribute) is set to </w:t>
            </w:r>
            <w:r w:rsidRPr="000A0A5F">
              <w:rPr>
                <w:rFonts w:cs="Arial"/>
                <w:szCs w:val="18"/>
              </w:rPr>
              <w:t>"</w:t>
            </w:r>
            <w:r w:rsidRPr="000A0A5F">
              <w:rPr>
                <w:rFonts w:ascii="Arial" w:hAnsi="Arial" w:cs="Arial"/>
                <w:sz w:val="18"/>
                <w:szCs w:val="18"/>
              </w:rPr>
              <w:t>UE_REACHABILITY</w:t>
            </w:r>
            <w:r w:rsidRPr="000A0A5F">
              <w:rPr>
                <w:rFonts w:cs="Arial"/>
                <w:szCs w:val="18"/>
              </w:rPr>
              <w:t>"</w:t>
            </w:r>
            <w:r w:rsidRPr="000A0A5F">
              <w:rPr>
                <w:rFonts w:ascii="Arial" w:hAnsi="Arial" w:cs="Arial"/>
                <w:sz w:val="18"/>
                <w:szCs w:val="18"/>
                <w:lang w:eastAsia="zh-CN"/>
              </w:rPr>
              <w:t xml:space="preserve"> or "AVAILABILITY_AFTER_DDN_FAILURE", this parameter may be included to indicate the notification of when a UE, for which PSM is enabled, transitions into idle mode.</w:t>
            </w:r>
          </w:p>
          <w:p w:rsidR="00510DDC" w:rsidRPr="000A0A5F" w:rsidRDefault="00510DDC" w:rsidP="00510DDC">
            <w:pPr>
              <w:spacing w:after="0"/>
              <w:rPr>
                <w:rFonts w:ascii="Arial" w:hAnsi="Arial" w:cs="Arial"/>
                <w:sz w:val="18"/>
                <w:szCs w:val="18"/>
              </w:rPr>
            </w:pPr>
            <w:r w:rsidRPr="000A0A5F">
              <w:rPr>
                <w:rFonts w:hint="eastAsia"/>
              </w:rPr>
              <w:t>-</w:t>
            </w:r>
            <w:r w:rsidRPr="000A0A5F">
              <w:rPr>
                <w:rFonts w:hint="eastAsia"/>
                <w:noProof/>
                <w:lang w:eastAsia="zh-CN"/>
              </w:rPr>
              <w:tab/>
            </w:r>
            <w:r w:rsidRPr="000A0A5F">
              <w:rPr>
                <w:rFonts w:ascii="Arial" w:hAnsi="Arial" w:cs="Arial"/>
                <w:sz w:val="18"/>
                <w:szCs w:val="18"/>
              </w:rPr>
              <w:t>"true": indicate enabling of notification</w:t>
            </w:r>
          </w:p>
          <w:p w:rsidR="00510DDC" w:rsidRPr="000A0A5F" w:rsidRDefault="00510DDC" w:rsidP="00510DDC">
            <w:pPr>
              <w:spacing w:afterLines="50" w:after="120"/>
              <w:rPr>
                <w:rFonts w:ascii="Arial" w:hAnsi="Arial" w:cs="Arial"/>
                <w:sz w:val="18"/>
                <w:szCs w:val="18"/>
                <w:lang w:eastAsia="zh-CN"/>
              </w:rPr>
            </w:pPr>
            <w:r w:rsidRPr="000A0A5F">
              <w:rPr>
                <w:rFonts w:hint="eastAsia"/>
              </w:rPr>
              <w:t>-</w:t>
            </w:r>
            <w:r w:rsidRPr="000A0A5F">
              <w:rPr>
                <w:rFonts w:hint="eastAsia"/>
                <w:noProof/>
                <w:lang w:eastAsia="zh-CN"/>
              </w:rPr>
              <w:tab/>
            </w:r>
            <w:r w:rsidRPr="000A0A5F">
              <w:rPr>
                <w:rFonts w:ascii="Arial" w:hAnsi="Arial" w:cs="Arial"/>
                <w:sz w:val="18"/>
                <w:szCs w:val="18"/>
              </w:rPr>
              <w:t>"false": indicate no need to notify</w:t>
            </w:r>
          </w:p>
          <w:p w:rsidR="00510DDC" w:rsidRPr="000A0A5F" w:rsidRDefault="00510DDC" w:rsidP="00510DDC">
            <w:pPr>
              <w:pStyle w:val="TAL"/>
              <w:rPr>
                <w:rFonts w:cs="Arial"/>
                <w:szCs w:val="18"/>
              </w:rPr>
            </w:pPr>
            <w:r w:rsidRPr="000A0A5F">
              <w:rPr>
                <w:rFonts w:cs="Arial"/>
                <w:szCs w:val="18"/>
                <w:lang w:eastAsia="zh-CN"/>
              </w:rPr>
              <w:t>Default: "false" if omitted.</w:t>
            </w:r>
          </w:p>
        </w:tc>
        <w:tc>
          <w:tcPr>
            <w:tcW w:w="1392" w:type="dxa"/>
          </w:tcPr>
          <w:p w:rsidR="00510DDC" w:rsidRPr="000A0A5F" w:rsidRDefault="00510DDC" w:rsidP="00510DDC">
            <w:pPr>
              <w:pStyle w:val="TAL"/>
            </w:pPr>
            <w:r w:rsidRPr="000A0A5F">
              <w:t>Ue-reachability_notification,</w:t>
            </w:r>
          </w:p>
          <w:p w:rsidR="00510DDC" w:rsidRPr="000A0A5F" w:rsidRDefault="00510DDC" w:rsidP="00510DDC">
            <w:pPr>
              <w:pStyle w:val="TAL"/>
            </w:pPr>
            <w:r w:rsidRPr="000A0A5F">
              <w:t>Availability_after_DDN_failure_notification,</w:t>
            </w:r>
          </w:p>
          <w:p w:rsidR="00510DDC" w:rsidRPr="000A0A5F" w:rsidRDefault="00510DDC" w:rsidP="00510DDC">
            <w:pPr>
              <w:pStyle w:val="TAL"/>
              <w:rPr>
                <w:rFonts w:eastAsia="Times New Roman" w:cs="Arial"/>
                <w:szCs w:val="18"/>
              </w:rPr>
            </w:pPr>
            <w:r w:rsidRPr="000A0A5F">
              <w:t>Availability_after_DDN_failure_notification_enhancement</w:t>
            </w:r>
          </w:p>
        </w:tc>
      </w:tr>
      <w:tr w:rsidR="00510DDC" w:rsidRPr="000A0A5F" w:rsidTr="002B45A7">
        <w:trPr>
          <w:jc w:val="center"/>
        </w:trPr>
        <w:tc>
          <w:tcPr>
            <w:tcW w:w="2026" w:type="dxa"/>
            <w:shd w:val="clear" w:color="auto" w:fill="auto"/>
          </w:tcPr>
          <w:p w:rsidR="00510DDC" w:rsidRPr="000A0A5F" w:rsidRDefault="00510DDC" w:rsidP="00510DDC">
            <w:pPr>
              <w:pStyle w:val="TAL"/>
              <w:rPr>
                <w:rFonts w:hint="eastAsia"/>
                <w:lang w:eastAsia="zh-CN"/>
              </w:rPr>
            </w:pPr>
            <w:r w:rsidRPr="000A0A5F">
              <w:rPr>
                <w:rFonts w:hint="eastAsia"/>
                <w:lang w:eastAsia="zh-CN"/>
              </w:rPr>
              <w:t>locationType</w:t>
            </w:r>
          </w:p>
        </w:tc>
        <w:tc>
          <w:tcPr>
            <w:tcW w:w="1492" w:type="dxa"/>
            <w:shd w:val="clear" w:color="auto" w:fill="auto"/>
          </w:tcPr>
          <w:p w:rsidR="00510DDC" w:rsidRPr="000A0A5F" w:rsidRDefault="00510DDC" w:rsidP="00510DDC">
            <w:pPr>
              <w:pStyle w:val="TAL"/>
              <w:rPr>
                <w:rFonts w:hint="eastAsia"/>
                <w:lang w:eastAsia="zh-CN"/>
              </w:rPr>
            </w:pPr>
            <w:r w:rsidRPr="000A0A5F">
              <w:rPr>
                <w:lang w:eastAsia="zh-CN"/>
              </w:rPr>
              <w:t>LocationType</w:t>
            </w:r>
          </w:p>
        </w:tc>
        <w:tc>
          <w:tcPr>
            <w:tcW w:w="1134" w:type="dxa"/>
            <w:shd w:val="clear" w:color="auto" w:fill="auto"/>
          </w:tcPr>
          <w:p w:rsidR="00510DDC" w:rsidRPr="000A0A5F" w:rsidRDefault="00510DDC" w:rsidP="00510DDC">
            <w:pPr>
              <w:pStyle w:val="TAC"/>
              <w:jc w:val="left"/>
              <w:rPr>
                <w:rFonts w:eastAsia="Times New Roman"/>
              </w:rPr>
            </w:pPr>
            <w:r w:rsidRPr="000A0A5F">
              <w:rPr>
                <w:rFonts w:eastAsia="Times New Roman"/>
              </w:rPr>
              <w:t>0..1</w:t>
            </w:r>
          </w:p>
        </w:tc>
        <w:tc>
          <w:tcPr>
            <w:tcW w:w="3544" w:type="dxa"/>
            <w:shd w:val="clear" w:color="auto" w:fill="auto"/>
          </w:tcPr>
          <w:p w:rsidR="00510DDC" w:rsidRPr="000A0A5F" w:rsidRDefault="00510DDC" w:rsidP="00510DDC">
            <w:pPr>
              <w:spacing w:after="60"/>
              <w:rPr>
                <w:rFonts w:ascii="Arial" w:hAnsi="Arial" w:cs="Arial"/>
                <w:sz w:val="18"/>
                <w:szCs w:val="18"/>
              </w:rPr>
            </w:pPr>
            <w:r w:rsidRPr="000A0A5F">
              <w:rPr>
                <w:rFonts w:ascii="Arial" w:hAnsi="Arial" w:cs="Arial"/>
                <w:sz w:val="18"/>
                <w:szCs w:val="18"/>
              </w:rPr>
              <w:t xml:space="preserve">If "monitoringType" attribute (or the "addnMonTypes" attribute) is set to </w:t>
            </w:r>
            <w:r w:rsidRPr="000A0A5F">
              <w:rPr>
                <w:rFonts w:cs="Arial"/>
                <w:szCs w:val="18"/>
              </w:rPr>
              <w:t>"</w:t>
            </w:r>
            <w:r w:rsidRPr="000A0A5F">
              <w:rPr>
                <w:rFonts w:ascii="Arial" w:hAnsi="Arial" w:cs="Arial"/>
                <w:sz w:val="18"/>
                <w:szCs w:val="18"/>
              </w:rPr>
              <w:t>LOCATION_REPORTING</w:t>
            </w:r>
            <w:r w:rsidRPr="000A0A5F">
              <w:rPr>
                <w:rFonts w:cs="Arial"/>
                <w:szCs w:val="18"/>
              </w:rPr>
              <w:t>"</w:t>
            </w:r>
            <w:r w:rsidRPr="000A0A5F">
              <w:rPr>
                <w:rFonts w:ascii="Arial" w:hAnsi="Arial" w:cs="Arial"/>
                <w:sz w:val="18"/>
                <w:szCs w:val="18"/>
              </w:rPr>
              <w:t xml:space="preserve"> or "</w:t>
            </w:r>
            <w:r w:rsidRPr="000A0A5F">
              <w:rPr>
                <w:rFonts w:ascii="Arial" w:hAnsi="Arial" w:cs="Arial"/>
                <w:sz w:val="18"/>
                <w:szCs w:val="18"/>
                <w:lang w:eastAsia="zh-CN"/>
              </w:rPr>
              <w:t>NUMBER_OF_UES_IN_AN_AREA</w:t>
            </w:r>
            <w:r w:rsidRPr="000A0A5F">
              <w:rPr>
                <w:rFonts w:ascii="Arial" w:hAnsi="Arial" w:cs="Arial"/>
                <w:sz w:val="18"/>
                <w:szCs w:val="18"/>
              </w:rPr>
              <w:t>", this parameter shall be included to identify whether the request is for Current Location</w:t>
            </w:r>
            <w:r w:rsidRPr="000A0A5F">
              <w:rPr>
                <w:rFonts w:ascii="Arial" w:hAnsi="Arial" w:cs="Arial" w:hint="eastAsia"/>
                <w:sz w:val="18"/>
                <w:szCs w:val="18"/>
                <w:lang w:eastAsia="zh-CN"/>
              </w:rPr>
              <w:t xml:space="preserve">, </w:t>
            </w:r>
            <w:r w:rsidRPr="000A0A5F">
              <w:rPr>
                <w:rFonts w:ascii="Arial" w:hAnsi="Arial" w:cs="Arial"/>
                <w:sz w:val="18"/>
                <w:szCs w:val="18"/>
                <w:lang w:eastAsia="zh-CN"/>
              </w:rPr>
              <w:t>I</w:t>
            </w:r>
            <w:r w:rsidRPr="000A0A5F">
              <w:rPr>
                <w:rFonts w:ascii="Arial" w:hAnsi="Arial" w:cs="Arial" w:hint="eastAsia"/>
                <w:sz w:val="18"/>
                <w:szCs w:val="18"/>
                <w:lang w:eastAsia="zh-CN"/>
              </w:rPr>
              <w:t>nitial Location</w:t>
            </w:r>
            <w:r w:rsidRPr="000A0A5F">
              <w:rPr>
                <w:rFonts w:ascii="Arial" w:hAnsi="Arial" w:cs="Arial"/>
                <w:sz w:val="18"/>
                <w:szCs w:val="18"/>
              </w:rPr>
              <w:t xml:space="preserve"> or Last known Location. </w:t>
            </w:r>
          </w:p>
          <w:p w:rsidR="00510DDC" w:rsidRPr="000A0A5F" w:rsidRDefault="00510DDC" w:rsidP="00510DDC">
            <w:pPr>
              <w:spacing w:after="0"/>
              <w:rPr>
                <w:rFonts w:ascii="Arial" w:hAnsi="Arial" w:cs="Arial"/>
                <w:sz w:val="18"/>
                <w:szCs w:val="18"/>
              </w:rPr>
            </w:pPr>
            <w:r w:rsidRPr="000A0A5F">
              <w:rPr>
                <w:rFonts w:ascii="Arial" w:hAnsi="Arial" w:cs="Arial"/>
                <w:sz w:val="18"/>
                <w:szCs w:val="18"/>
                <w:lang w:eastAsia="zh-CN"/>
              </w:rPr>
              <w:t>(NOTE 4)</w:t>
            </w:r>
          </w:p>
        </w:tc>
        <w:tc>
          <w:tcPr>
            <w:tcW w:w="1392" w:type="dxa"/>
          </w:tcPr>
          <w:p w:rsidR="00510DDC" w:rsidRPr="000A0A5F" w:rsidRDefault="00510DDC" w:rsidP="00510DDC">
            <w:pPr>
              <w:pStyle w:val="TAL"/>
            </w:pPr>
            <w:r w:rsidRPr="000A0A5F">
              <w:t>Location_notification,</w:t>
            </w:r>
            <w:r w:rsidRPr="000A0A5F">
              <w:rPr>
                <w:rFonts w:eastAsia="Batang" w:hint="eastAsia"/>
              </w:rPr>
              <w:t xml:space="preserve"> </w:t>
            </w:r>
            <w:r w:rsidRPr="000A0A5F">
              <w:rPr>
                <w:rFonts w:hint="eastAsia"/>
                <w:lang w:eastAsia="zh-CN"/>
              </w:rPr>
              <w:t>Number_of_UEs</w:t>
            </w:r>
            <w:r w:rsidRPr="000A0A5F">
              <w:rPr>
                <w:lang w:eastAsia="zh-CN"/>
              </w:rPr>
              <w:t xml:space="preserve">_in_an_area_notification, </w:t>
            </w:r>
            <w:r w:rsidRPr="000A0A5F">
              <w:rPr>
                <w:rFonts w:hint="eastAsia"/>
                <w:lang w:eastAsia="zh-CN"/>
              </w:rPr>
              <w:t>Number_of_U</w:t>
            </w:r>
            <w:r w:rsidRPr="000A0A5F">
              <w:rPr>
                <w:lang w:eastAsia="zh-CN"/>
              </w:rPr>
              <w:t>E</w:t>
            </w:r>
            <w:r w:rsidRPr="000A0A5F">
              <w:rPr>
                <w:rFonts w:hint="eastAsia"/>
                <w:lang w:eastAsia="zh-CN"/>
              </w:rPr>
              <w:t>s</w:t>
            </w:r>
            <w:r w:rsidRPr="000A0A5F">
              <w:rPr>
                <w:lang w:eastAsia="zh-CN"/>
              </w:rPr>
              <w:t>_in_an_area_notification_5G</w:t>
            </w:r>
            <w:r w:rsidRPr="000A0A5F">
              <w:rPr>
                <w:rFonts w:hint="eastAsia"/>
              </w:rPr>
              <w:t>,</w:t>
            </w:r>
          </w:p>
          <w:p w:rsidR="00510DDC" w:rsidRPr="000A0A5F" w:rsidRDefault="00510DDC" w:rsidP="00510DDC">
            <w:pPr>
              <w:pStyle w:val="TAL"/>
            </w:pPr>
            <w:r w:rsidRPr="000A0A5F">
              <w:rPr>
                <w:rFonts w:hint="eastAsia"/>
              </w:rPr>
              <w:t>eLCS</w:t>
            </w:r>
          </w:p>
        </w:tc>
      </w:tr>
      <w:tr w:rsidR="00510DDC" w:rsidRPr="000A0A5F" w:rsidTr="002B45A7">
        <w:trPr>
          <w:jc w:val="center"/>
        </w:trPr>
        <w:tc>
          <w:tcPr>
            <w:tcW w:w="2026" w:type="dxa"/>
            <w:shd w:val="clear" w:color="auto" w:fill="auto"/>
          </w:tcPr>
          <w:p w:rsidR="00510DDC" w:rsidRPr="000A0A5F" w:rsidRDefault="00510DDC" w:rsidP="00510DDC">
            <w:pPr>
              <w:pStyle w:val="TAL"/>
              <w:rPr>
                <w:rFonts w:hint="eastAsia"/>
                <w:lang w:eastAsia="zh-CN"/>
              </w:rPr>
            </w:pPr>
            <w:r w:rsidRPr="000A0A5F">
              <w:rPr>
                <w:rFonts w:hint="eastAsia"/>
                <w:lang w:eastAsia="zh-CN"/>
              </w:rPr>
              <w:t>accuracy</w:t>
            </w:r>
          </w:p>
        </w:tc>
        <w:tc>
          <w:tcPr>
            <w:tcW w:w="1492" w:type="dxa"/>
            <w:shd w:val="clear" w:color="auto" w:fill="auto"/>
          </w:tcPr>
          <w:p w:rsidR="00510DDC" w:rsidRPr="000A0A5F" w:rsidRDefault="00510DDC" w:rsidP="00510DDC">
            <w:pPr>
              <w:pStyle w:val="TAL"/>
              <w:rPr>
                <w:rFonts w:eastAsia="Times New Roman"/>
              </w:rPr>
            </w:pPr>
            <w:r w:rsidRPr="000A0A5F">
              <w:rPr>
                <w:lang w:eastAsia="zh-CN"/>
              </w:rPr>
              <w:t>Accuracy</w:t>
            </w:r>
          </w:p>
        </w:tc>
        <w:tc>
          <w:tcPr>
            <w:tcW w:w="1134" w:type="dxa"/>
            <w:shd w:val="clear" w:color="auto" w:fill="auto"/>
          </w:tcPr>
          <w:p w:rsidR="00510DDC" w:rsidRPr="000A0A5F" w:rsidRDefault="00510DDC" w:rsidP="00510DDC">
            <w:pPr>
              <w:pStyle w:val="TAC"/>
              <w:jc w:val="left"/>
              <w:rPr>
                <w:rFonts w:eastAsia="Times New Roman"/>
              </w:rPr>
            </w:pPr>
            <w:r w:rsidRPr="000A0A5F">
              <w:rPr>
                <w:rFonts w:eastAsia="Times New Roman"/>
              </w:rPr>
              <w:t>0..1</w:t>
            </w:r>
          </w:p>
        </w:tc>
        <w:tc>
          <w:tcPr>
            <w:tcW w:w="3544" w:type="dxa"/>
            <w:shd w:val="clear" w:color="auto" w:fill="auto"/>
          </w:tcPr>
          <w:p w:rsidR="00510DDC" w:rsidRPr="000A0A5F" w:rsidRDefault="00510DDC" w:rsidP="00510DDC">
            <w:pPr>
              <w:spacing w:after="0"/>
              <w:rPr>
                <w:rFonts w:ascii="Arial" w:hAnsi="Arial" w:cs="Arial"/>
                <w:sz w:val="18"/>
                <w:szCs w:val="18"/>
                <w:lang w:eastAsia="zh-CN"/>
              </w:rPr>
            </w:pPr>
            <w:r w:rsidRPr="000A0A5F">
              <w:rPr>
                <w:rFonts w:ascii="Arial" w:hAnsi="Arial" w:cs="Arial"/>
                <w:sz w:val="18"/>
                <w:szCs w:val="18"/>
              </w:rPr>
              <w:t xml:space="preserve">If "monitoringType" attribute (or the "addnMonTypes" attribute) is set to </w:t>
            </w:r>
            <w:r w:rsidRPr="000A0A5F">
              <w:rPr>
                <w:rFonts w:cs="Arial"/>
                <w:szCs w:val="18"/>
              </w:rPr>
              <w:t>"</w:t>
            </w:r>
            <w:r w:rsidRPr="000A0A5F">
              <w:rPr>
                <w:rFonts w:ascii="Arial" w:hAnsi="Arial" w:cs="Arial"/>
                <w:sz w:val="18"/>
                <w:szCs w:val="18"/>
              </w:rPr>
              <w:t>LOCATION_REPORTING</w:t>
            </w:r>
            <w:r w:rsidRPr="000A0A5F">
              <w:rPr>
                <w:rFonts w:cs="Arial"/>
                <w:szCs w:val="18"/>
              </w:rPr>
              <w:t>"</w:t>
            </w:r>
            <w:r w:rsidRPr="000A0A5F">
              <w:rPr>
                <w:rFonts w:ascii="Arial" w:hAnsi="Arial" w:cs="Arial"/>
                <w:sz w:val="18"/>
                <w:szCs w:val="18"/>
              </w:rPr>
              <w:t>, this parameter may be included to identify the desired level of accuracy of the requested location information, as described in clause 4.9.2 of 3GPP TS 23.682 [2].</w:t>
            </w:r>
            <w:r w:rsidRPr="000A0A5F">
              <w:rPr>
                <w:rFonts w:ascii="Arial" w:hAnsi="Arial" w:cs="Arial"/>
                <w:sz w:val="18"/>
                <w:szCs w:val="18"/>
                <w:lang w:eastAsia="zh-CN"/>
              </w:rPr>
              <w:t xml:space="preserve"> (NOTE 10, NOTE</w:t>
            </w:r>
            <w:r w:rsidRPr="000A0A5F">
              <w:rPr>
                <w:rFonts w:ascii="Arial" w:hAnsi="Arial" w:cs="Arial"/>
                <w:sz w:val="18"/>
                <w:szCs w:val="18"/>
                <w:lang w:val="en-US" w:eastAsia="zh-CN"/>
              </w:rPr>
              <w:t> 11</w:t>
            </w:r>
            <w:r w:rsidRPr="000A0A5F">
              <w:rPr>
                <w:rFonts w:ascii="Arial" w:hAnsi="Arial" w:cs="Arial"/>
                <w:sz w:val="18"/>
                <w:szCs w:val="18"/>
                <w:lang w:eastAsia="zh-CN"/>
              </w:rPr>
              <w:t>)</w:t>
            </w:r>
          </w:p>
          <w:p w:rsidR="00510DDC" w:rsidRPr="000A0A5F" w:rsidRDefault="00510DDC" w:rsidP="00510DDC">
            <w:pPr>
              <w:spacing w:after="0"/>
              <w:rPr>
                <w:rFonts w:ascii="Arial" w:hAnsi="Arial" w:cs="Arial"/>
                <w:sz w:val="18"/>
                <w:szCs w:val="18"/>
              </w:rPr>
            </w:pPr>
            <w:r w:rsidRPr="000A0A5F">
              <w:rPr>
                <w:rFonts w:ascii="Arial" w:hAnsi="Arial" w:cs="Arial"/>
                <w:sz w:val="18"/>
                <w:szCs w:val="18"/>
                <w:lang w:eastAsia="zh-CN"/>
              </w:rPr>
              <w:t>For 5G, if the eLCS feature is not supported, the default value is "TA_RA".</w:t>
            </w:r>
          </w:p>
        </w:tc>
        <w:tc>
          <w:tcPr>
            <w:tcW w:w="1392" w:type="dxa"/>
          </w:tcPr>
          <w:p w:rsidR="00510DDC" w:rsidRPr="000A0A5F" w:rsidRDefault="00510DDC" w:rsidP="00510DDC">
            <w:pPr>
              <w:pStyle w:val="TAL"/>
            </w:pPr>
            <w:r w:rsidRPr="000A0A5F">
              <w:rPr>
                <w:lang w:eastAsia="zh-CN"/>
              </w:rPr>
              <w:t>Location</w:t>
            </w:r>
            <w:r w:rsidRPr="000A0A5F">
              <w:t>_notification</w:t>
            </w:r>
            <w:r w:rsidRPr="000A0A5F">
              <w:rPr>
                <w:rFonts w:hint="eastAsia"/>
              </w:rPr>
              <w:t>,</w:t>
            </w:r>
          </w:p>
          <w:p w:rsidR="00510DDC" w:rsidRPr="000A0A5F" w:rsidRDefault="00510DDC" w:rsidP="00510DDC">
            <w:pPr>
              <w:pStyle w:val="TAL"/>
              <w:rPr>
                <w:rFonts w:eastAsia="Times New Roman" w:cs="Arial"/>
                <w:szCs w:val="18"/>
              </w:rPr>
            </w:pPr>
            <w:r w:rsidRPr="000A0A5F">
              <w:rPr>
                <w:rFonts w:hint="eastAsia"/>
              </w:rPr>
              <w:t>eLCS</w:t>
            </w:r>
          </w:p>
        </w:tc>
      </w:tr>
      <w:tr w:rsidR="00510DDC" w:rsidRPr="000A0A5F" w:rsidTr="002B45A7">
        <w:trPr>
          <w:jc w:val="center"/>
        </w:trPr>
        <w:tc>
          <w:tcPr>
            <w:tcW w:w="2026" w:type="dxa"/>
            <w:shd w:val="clear" w:color="auto" w:fill="auto"/>
          </w:tcPr>
          <w:p w:rsidR="00510DDC" w:rsidRPr="000A0A5F" w:rsidRDefault="00510DDC" w:rsidP="00510DDC">
            <w:pPr>
              <w:pStyle w:val="TAL"/>
              <w:rPr>
                <w:rFonts w:hint="eastAsia"/>
                <w:lang w:eastAsia="zh-CN"/>
              </w:rPr>
            </w:pPr>
            <w:r w:rsidRPr="000A0A5F">
              <w:rPr>
                <w:rFonts w:hint="eastAsia"/>
                <w:lang w:eastAsia="zh-CN"/>
              </w:rPr>
              <w:t>minimumReportInterval</w:t>
            </w:r>
          </w:p>
        </w:tc>
        <w:tc>
          <w:tcPr>
            <w:tcW w:w="1492" w:type="dxa"/>
            <w:shd w:val="clear" w:color="auto" w:fill="auto"/>
          </w:tcPr>
          <w:p w:rsidR="00510DDC" w:rsidRPr="000A0A5F" w:rsidRDefault="00510DDC" w:rsidP="00510DDC">
            <w:pPr>
              <w:pStyle w:val="TAL"/>
              <w:rPr>
                <w:rFonts w:hint="eastAsia"/>
                <w:lang w:eastAsia="zh-CN"/>
              </w:rPr>
            </w:pPr>
            <w:r w:rsidRPr="000A0A5F">
              <w:rPr>
                <w:rFonts w:hint="eastAsia"/>
                <w:lang w:eastAsia="zh-CN"/>
              </w:rPr>
              <w:t>DurationSec</w:t>
            </w:r>
          </w:p>
        </w:tc>
        <w:tc>
          <w:tcPr>
            <w:tcW w:w="1134" w:type="dxa"/>
            <w:shd w:val="clear" w:color="auto" w:fill="auto"/>
          </w:tcPr>
          <w:p w:rsidR="00510DDC" w:rsidRPr="000A0A5F" w:rsidRDefault="00510DDC" w:rsidP="00510DDC">
            <w:pPr>
              <w:pStyle w:val="TAC"/>
              <w:jc w:val="left"/>
              <w:rPr>
                <w:rFonts w:eastAsia="Times New Roman"/>
              </w:rPr>
            </w:pPr>
            <w:r w:rsidRPr="000A0A5F">
              <w:rPr>
                <w:rFonts w:hint="eastAsia"/>
                <w:lang w:eastAsia="zh-CN"/>
              </w:rPr>
              <w:t>0..1</w:t>
            </w:r>
          </w:p>
        </w:tc>
        <w:tc>
          <w:tcPr>
            <w:tcW w:w="3544" w:type="dxa"/>
            <w:shd w:val="clear" w:color="auto" w:fill="auto"/>
          </w:tcPr>
          <w:p w:rsidR="00510DDC" w:rsidRPr="000A0A5F" w:rsidRDefault="00510DDC" w:rsidP="00510DDC">
            <w:pPr>
              <w:spacing w:after="0"/>
              <w:rPr>
                <w:rFonts w:ascii="Arial" w:eastAsia="Batang" w:hAnsi="Arial" w:cs="Arial"/>
                <w:sz w:val="18"/>
                <w:szCs w:val="18"/>
                <w:lang w:eastAsia="zh-CN"/>
              </w:rPr>
            </w:pPr>
            <w:r w:rsidRPr="000A0A5F">
              <w:rPr>
                <w:rFonts w:ascii="Arial" w:hAnsi="Arial" w:cs="Arial"/>
                <w:sz w:val="18"/>
                <w:szCs w:val="18"/>
              </w:rPr>
              <w:t>If "monitoringType" attribute (or the "addnMonTypes" attribute) is set to "LOCATION_REPORTING", this parameter may be included to</w:t>
            </w:r>
            <w:r w:rsidRPr="000A0A5F">
              <w:rPr>
                <w:rFonts w:ascii="Arial" w:hAnsi="Arial" w:cs="Arial" w:hint="eastAsia"/>
                <w:sz w:val="18"/>
                <w:szCs w:val="18"/>
                <w:lang w:eastAsia="zh-CN"/>
              </w:rPr>
              <w:t xml:space="preserve"> identify</w:t>
            </w:r>
            <w:r w:rsidRPr="000A0A5F">
              <w:rPr>
                <w:rFonts w:ascii="Arial" w:eastAsia="Batang" w:hAnsi="Arial" w:cs="Arial" w:hint="eastAsia"/>
                <w:sz w:val="18"/>
                <w:szCs w:val="18"/>
                <w:lang w:eastAsia="zh-CN"/>
              </w:rPr>
              <w:t xml:space="preserve"> a minimum time interval between Location Reporting notifications.</w:t>
            </w:r>
            <w:r w:rsidRPr="000A0A5F">
              <w:rPr>
                <w:rFonts w:ascii="Arial" w:eastAsia="Batang" w:hAnsi="Arial" w:cs="Arial"/>
                <w:sz w:val="18"/>
                <w:szCs w:val="18"/>
                <w:lang w:eastAsia="zh-CN"/>
              </w:rPr>
              <w:t xml:space="preserve"> </w:t>
            </w:r>
          </w:p>
          <w:p w:rsidR="00510DDC" w:rsidRPr="000A0A5F" w:rsidRDefault="00510DDC" w:rsidP="00510DDC">
            <w:pPr>
              <w:spacing w:after="0"/>
              <w:rPr>
                <w:rFonts w:ascii="Arial" w:hAnsi="Arial" w:cs="Arial"/>
                <w:sz w:val="18"/>
                <w:szCs w:val="18"/>
              </w:rPr>
            </w:pPr>
            <w:r w:rsidRPr="000A0A5F">
              <w:rPr>
                <w:rFonts w:ascii="Arial" w:hAnsi="Arial" w:cs="Arial"/>
                <w:sz w:val="18"/>
                <w:szCs w:val="18"/>
                <w:lang w:eastAsia="zh-CN"/>
              </w:rPr>
              <w:t>If the "ldrType" attribute is present and set to "ENTERING_INTO_AREA". "LEAVING_FROM_AREA", "BEING_INSIDE_AREA" or "MOTION", this attribute shall not be included if the maximumNumberOfReports attribute is present and set to one time event.</w:t>
            </w:r>
          </w:p>
        </w:tc>
        <w:tc>
          <w:tcPr>
            <w:tcW w:w="1392" w:type="dxa"/>
          </w:tcPr>
          <w:p w:rsidR="00510DDC" w:rsidRPr="000A0A5F" w:rsidRDefault="00510DDC" w:rsidP="00510DDC">
            <w:pPr>
              <w:pStyle w:val="TAL"/>
            </w:pPr>
            <w:r w:rsidRPr="000A0A5F">
              <w:rPr>
                <w:lang w:eastAsia="zh-CN"/>
              </w:rPr>
              <w:t>Location</w:t>
            </w:r>
            <w:r w:rsidRPr="000A0A5F">
              <w:t>_notification</w:t>
            </w:r>
            <w:r w:rsidRPr="000A0A5F">
              <w:rPr>
                <w:rFonts w:hint="eastAsia"/>
              </w:rPr>
              <w:t>,</w:t>
            </w:r>
          </w:p>
          <w:p w:rsidR="00510DDC" w:rsidRPr="000A0A5F" w:rsidRDefault="00510DDC" w:rsidP="00510DDC">
            <w:pPr>
              <w:pStyle w:val="TAL"/>
              <w:rPr>
                <w:lang w:eastAsia="zh-CN"/>
              </w:rPr>
            </w:pPr>
            <w:r w:rsidRPr="000A0A5F">
              <w:rPr>
                <w:rFonts w:hint="eastAsia"/>
              </w:rPr>
              <w:t>eLCS</w:t>
            </w:r>
          </w:p>
        </w:tc>
      </w:tr>
      <w:tr w:rsidR="00510DDC" w:rsidRPr="000A0A5F" w:rsidTr="002B45A7">
        <w:trPr>
          <w:jc w:val="center"/>
        </w:trPr>
        <w:tc>
          <w:tcPr>
            <w:tcW w:w="2026" w:type="dxa"/>
            <w:shd w:val="clear" w:color="auto" w:fill="auto"/>
          </w:tcPr>
          <w:p w:rsidR="00510DDC" w:rsidRPr="000A0A5F" w:rsidRDefault="00510DDC" w:rsidP="00510DDC">
            <w:pPr>
              <w:pStyle w:val="TAL"/>
              <w:rPr>
                <w:rFonts w:hint="eastAsia"/>
                <w:lang w:eastAsia="zh-CN"/>
              </w:rPr>
            </w:pPr>
            <w:r w:rsidRPr="000A0A5F">
              <w:rPr>
                <w:rFonts w:hint="eastAsia"/>
                <w:lang w:eastAsia="zh-CN"/>
              </w:rPr>
              <w:t>maxRptExpireIntvl</w:t>
            </w:r>
          </w:p>
        </w:tc>
        <w:tc>
          <w:tcPr>
            <w:tcW w:w="1492" w:type="dxa"/>
            <w:shd w:val="clear" w:color="auto" w:fill="auto"/>
          </w:tcPr>
          <w:p w:rsidR="00510DDC" w:rsidRPr="000A0A5F" w:rsidRDefault="00510DDC" w:rsidP="00510DDC">
            <w:pPr>
              <w:pStyle w:val="TAL"/>
              <w:rPr>
                <w:rFonts w:hint="eastAsia"/>
                <w:lang w:eastAsia="zh-CN"/>
              </w:rPr>
            </w:pPr>
            <w:r w:rsidRPr="000A0A5F">
              <w:rPr>
                <w:rFonts w:hint="eastAsia"/>
                <w:lang w:eastAsia="zh-CN"/>
              </w:rPr>
              <w:t>DurationSec</w:t>
            </w:r>
          </w:p>
        </w:tc>
        <w:tc>
          <w:tcPr>
            <w:tcW w:w="1134" w:type="dxa"/>
            <w:shd w:val="clear" w:color="auto" w:fill="auto"/>
          </w:tcPr>
          <w:p w:rsidR="00510DDC" w:rsidRPr="000A0A5F" w:rsidRDefault="00510DDC" w:rsidP="00510DDC">
            <w:pPr>
              <w:pStyle w:val="TAC"/>
              <w:jc w:val="left"/>
              <w:rPr>
                <w:rFonts w:hint="eastAsia"/>
                <w:lang w:eastAsia="zh-CN"/>
              </w:rPr>
            </w:pPr>
            <w:r w:rsidRPr="000A0A5F">
              <w:rPr>
                <w:rFonts w:eastAsia="Times New Roman" w:hint="eastAsia"/>
              </w:rPr>
              <w:t>0..1</w:t>
            </w:r>
          </w:p>
        </w:tc>
        <w:tc>
          <w:tcPr>
            <w:tcW w:w="3544" w:type="dxa"/>
            <w:shd w:val="clear" w:color="auto" w:fill="auto"/>
          </w:tcPr>
          <w:p w:rsidR="00510DDC" w:rsidRPr="000A0A5F" w:rsidRDefault="00510DDC" w:rsidP="00510DDC">
            <w:pPr>
              <w:spacing w:after="0"/>
              <w:rPr>
                <w:rFonts w:ascii="Arial" w:hAnsi="Arial" w:cs="Arial"/>
                <w:sz w:val="18"/>
                <w:szCs w:val="18"/>
                <w:lang w:eastAsia="zh-CN"/>
              </w:rPr>
            </w:pPr>
            <w:r w:rsidRPr="000A0A5F">
              <w:rPr>
                <w:rFonts w:ascii="Arial" w:hAnsi="Arial" w:cs="Arial"/>
                <w:sz w:val="18"/>
                <w:szCs w:val="18"/>
                <w:lang w:eastAsia="zh-CN"/>
              </w:rPr>
              <w:t>If "monitoringType" attribute (or the "addnMonTypes" attribute) is set to "LOCATION_REPORTING", this parameter may be included to</w:t>
            </w:r>
            <w:r w:rsidRPr="000A0A5F">
              <w:rPr>
                <w:rFonts w:ascii="Arial" w:hAnsi="Arial" w:cs="Arial" w:hint="eastAsia"/>
                <w:sz w:val="18"/>
                <w:szCs w:val="18"/>
                <w:lang w:eastAsia="zh-CN"/>
              </w:rPr>
              <w:t xml:space="preserve"> identify a maximum time interval between Location Reporting notifications.</w:t>
            </w:r>
            <w:r w:rsidRPr="000A0A5F">
              <w:rPr>
                <w:rFonts w:ascii="Arial" w:hAnsi="Arial" w:cs="Arial"/>
                <w:sz w:val="18"/>
                <w:szCs w:val="18"/>
                <w:lang w:eastAsia="zh-CN"/>
              </w:rPr>
              <w:t xml:space="preserve"> </w:t>
            </w:r>
          </w:p>
          <w:p w:rsidR="00510DDC" w:rsidRPr="000A0A5F" w:rsidRDefault="00510DDC" w:rsidP="00510DDC">
            <w:pPr>
              <w:spacing w:after="0"/>
              <w:rPr>
                <w:rFonts w:ascii="Arial" w:hAnsi="Arial" w:cs="Arial"/>
                <w:sz w:val="18"/>
                <w:szCs w:val="18"/>
              </w:rPr>
            </w:pPr>
            <w:r w:rsidRPr="000A0A5F">
              <w:rPr>
                <w:rFonts w:ascii="Arial" w:hAnsi="Arial" w:cs="Arial"/>
                <w:sz w:val="18"/>
                <w:szCs w:val="18"/>
                <w:lang w:eastAsia="zh-CN"/>
              </w:rPr>
              <w:t>If the "ldrType" attribute is present and set to "ENTERING_INTO_AREA". "LEAVING_FROM_AREA", "BEING_INSIDE_AREA" or "MOTION", this attribute shall not be included if the maximumNumberOfReports attribute is present and set to one time event.</w:t>
            </w:r>
          </w:p>
        </w:tc>
        <w:tc>
          <w:tcPr>
            <w:tcW w:w="1392" w:type="dxa"/>
          </w:tcPr>
          <w:p w:rsidR="00510DDC" w:rsidRPr="000A0A5F" w:rsidRDefault="00510DDC" w:rsidP="00510DDC">
            <w:pPr>
              <w:pStyle w:val="TAL"/>
              <w:rPr>
                <w:lang w:eastAsia="zh-CN"/>
              </w:rPr>
            </w:pPr>
            <w:r w:rsidRPr="000A0A5F">
              <w:rPr>
                <w:rFonts w:hint="eastAsia"/>
              </w:rPr>
              <w:t>eLCS</w:t>
            </w:r>
          </w:p>
        </w:tc>
      </w:tr>
      <w:tr w:rsidR="00510DDC" w:rsidRPr="000A0A5F" w:rsidTr="002B45A7">
        <w:trPr>
          <w:jc w:val="center"/>
        </w:trPr>
        <w:tc>
          <w:tcPr>
            <w:tcW w:w="2026" w:type="dxa"/>
            <w:shd w:val="clear" w:color="auto" w:fill="auto"/>
          </w:tcPr>
          <w:p w:rsidR="00510DDC" w:rsidRPr="000A0A5F" w:rsidRDefault="00510DDC" w:rsidP="00510DDC">
            <w:pPr>
              <w:pStyle w:val="TAL"/>
              <w:rPr>
                <w:rFonts w:hint="eastAsia"/>
                <w:lang w:eastAsia="zh-CN"/>
              </w:rPr>
            </w:pPr>
            <w:r w:rsidRPr="000A0A5F">
              <w:rPr>
                <w:lang w:eastAsia="zh-CN"/>
              </w:rPr>
              <w:t>samplingInterval</w:t>
            </w:r>
          </w:p>
        </w:tc>
        <w:tc>
          <w:tcPr>
            <w:tcW w:w="1492" w:type="dxa"/>
            <w:shd w:val="clear" w:color="auto" w:fill="auto"/>
          </w:tcPr>
          <w:p w:rsidR="00510DDC" w:rsidRPr="000A0A5F" w:rsidRDefault="00510DDC" w:rsidP="00510DDC">
            <w:pPr>
              <w:pStyle w:val="TAL"/>
              <w:rPr>
                <w:rFonts w:hint="eastAsia"/>
                <w:lang w:eastAsia="zh-CN"/>
              </w:rPr>
            </w:pPr>
            <w:r w:rsidRPr="000A0A5F">
              <w:rPr>
                <w:rFonts w:hint="eastAsia"/>
                <w:lang w:eastAsia="zh-CN"/>
              </w:rPr>
              <w:t>DurationSec</w:t>
            </w:r>
          </w:p>
        </w:tc>
        <w:tc>
          <w:tcPr>
            <w:tcW w:w="1134" w:type="dxa"/>
            <w:shd w:val="clear" w:color="auto" w:fill="auto"/>
          </w:tcPr>
          <w:p w:rsidR="00510DDC" w:rsidRPr="000A0A5F" w:rsidRDefault="00510DDC" w:rsidP="00510DDC">
            <w:pPr>
              <w:pStyle w:val="TAC"/>
              <w:jc w:val="left"/>
              <w:rPr>
                <w:rFonts w:hint="eastAsia"/>
                <w:lang w:eastAsia="zh-CN"/>
              </w:rPr>
            </w:pPr>
            <w:r w:rsidRPr="000A0A5F">
              <w:rPr>
                <w:rFonts w:eastAsia="Times New Roman" w:hint="eastAsia"/>
              </w:rPr>
              <w:t>0..1</w:t>
            </w:r>
          </w:p>
        </w:tc>
        <w:tc>
          <w:tcPr>
            <w:tcW w:w="3544" w:type="dxa"/>
            <w:shd w:val="clear" w:color="auto" w:fill="auto"/>
          </w:tcPr>
          <w:p w:rsidR="00510DDC" w:rsidRPr="000A0A5F" w:rsidRDefault="00510DDC" w:rsidP="00510DDC">
            <w:pPr>
              <w:spacing w:after="0"/>
              <w:rPr>
                <w:rFonts w:ascii="Arial" w:hAnsi="Arial" w:cs="Arial"/>
                <w:sz w:val="18"/>
                <w:szCs w:val="18"/>
              </w:rPr>
            </w:pPr>
            <w:r w:rsidRPr="000A0A5F">
              <w:rPr>
                <w:rFonts w:ascii="Arial" w:hAnsi="Arial" w:cs="Arial"/>
                <w:sz w:val="18"/>
                <w:szCs w:val="18"/>
                <w:lang w:eastAsia="zh-CN"/>
              </w:rPr>
              <w:t>If "monitoringType" attribute (or the "addnMonTypes" attribute) is set to "LOCATION_REPORTING", this parameter may be included to</w:t>
            </w:r>
            <w:r w:rsidRPr="000A0A5F">
              <w:rPr>
                <w:rFonts w:ascii="Arial" w:hAnsi="Arial" w:cs="Arial" w:hint="eastAsia"/>
                <w:sz w:val="18"/>
                <w:szCs w:val="18"/>
                <w:lang w:eastAsia="zh-CN"/>
              </w:rPr>
              <w:t xml:space="preserve"> identify the m</w:t>
            </w:r>
            <w:r w:rsidRPr="000A0A5F">
              <w:rPr>
                <w:rFonts w:ascii="Arial" w:hAnsi="Arial" w:cs="Arial"/>
                <w:sz w:val="18"/>
                <w:szCs w:val="18"/>
                <w:lang w:eastAsia="zh-CN"/>
              </w:rPr>
              <w:t>aximum time interval between consecutive evaluations by a UE of a trigger event.</w:t>
            </w:r>
          </w:p>
        </w:tc>
        <w:tc>
          <w:tcPr>
            <w:tcW w:w="1392" w:type="dxa"/>
          </w:tcPr>
          <w:p w:rsidR="00510DDC" w:rsidRPr="000A0A5F" w:rsidRDefault="00510DDC" w:rsidP="00510DDC">
            <w:pPr>
              <w:pStyle w:val="TAL"/>
              <w:rPr>
                <w:lang w:eastAsia="zh-CN"/>
              </w:rPr>
            </w:pPr>
            <w:r w:rsidRPr="000A0A5F">
              <w:rPr>
                <w:rFonts w:hint="eastAsia"/>
              </w:rPr>
              <w:t>eLCS</w:t>
            </w:r>
          </w:p>
        </w:tc>
      </w:tr>
      <w:tr w:rsidR="00510DDC" w:rsidRPr="000A0A5F" w:rsidTr="002B45A7">
        <w:trPr>
          <w:jc w:val="center"/>
        </w:trPr>
        <w:tc>
          <w:tcPr>
            <w:tcW w:w="2026" w:type="dxa"/>
            <w:shd w:val="clear" w:color="auto" w:fill="auto"/>
          </w:tcPr>
          <w:p w:rsidR="00510DDC" w:rsidRPr="000A0A5F" w:rsidRDefault="00510DDC" w:rsidP="00510DDC">
            <w:pPr>
              <w:pStyle w:val="TAL"/>
              <w:rPr>
                <w:rFonts w:hint="eastAsia"/>
                <w:lang w:eastAsia="zh-CN"/>
              </w:rPr>
            </w:pPr>
            <w:r w:rsidRPr="000A0A5F">
              <w:rPr>
                <w:lang w:eastAsia="zh-CN"/>
              </w:rPr>
              <w:t>reportingLoc</w:t>
            </w:r>
            <w:r w:rsidRPr="000A0A5F">
              <w:rPr>
                <w:rFonts w:hint="eastAsia"/>
                <w:lang w:eastAsia="zh-CN"/>
              </w:rPr>
              <w:t>EstInd</w:t>
            </w:r>
          </w:p>
        </w:tc>
        <w:tc>
          <w:tcPr>
            <w:tcW w:w="1492" w:type="dxa"/>
            <w:shd w:val="clear" w:color="auto" w:fill="auto"/>
          </w:tcPr>
          <w:p w:rsidR="00510DDC" w:rsidRPr="000A0A5F" w:rsidRDefault="00510DDC" w:rsidP="00510DDC">
            <w:pPr>
              <w:pStyle w:val="TAL"/>
              <w:rPr>
                <w:rFonts w:hint="eastAsia"/>
                <w:lang w:eastAsia="zh-CN"/>
              </w:rPr>
            </w:pPr>
            <w:r w:rsidRPr="000A0A5F">
              <w:rPr>
                <w:lang w:eastAsia="zh-CN"/>
              </w:rPr>
              <w:t>boolean</w:t>
            </w:r>
          </w:p>
        </w:tc>
        <w:tc>
          <w:tcPr>
            <w:tcW w:w="1134" w:type="dxa"/>
            <w:shd w:val="clear" w:color="auto" w:fill="auto"/>
          </w:tcPr>
          <w:p w:rsidR="00510DDC" w:rsidRPr="000A0A5F" w:rsidRDefault="00510DDC" w:rsidP="00510DDC">
            <w:pPr>
              <w:pStyle w:val="TAC"/>
              <w:jc w:val="left"/>
              <w:rPr>
                <w:rFonts w:hint="eastAsia"/>
                <w:lang w:eastAsia="zh-CN"/>
              </w:rPr>
            </w:pPr>
            <w:r w:rsidRPr="000A0A5F">
              <w:rPr>
                <w:rFonts w:eastAsia="Times New Roman" w:hint="eastAsia"/>
              </w:rPr>
              <w:t>0..1</w:t>
            </w:r>
          </w:p>
        </w:tc>
        <w:tc>
          <w:tcPr>
            <w:tcW w:w="3544" w:type="dxa"/>
            <w:shd w:val="clear" w:color="auto" w:fill="auto"/>
          </w:tcPr>
          <w:p w:rsidR="00510DDC" w:rsidRPr="000A0A5F" w:rsidRDefault="00510DDC" w:rsidP="00510DDC">
            <w:pPr>
              <w:spacing w:afterLines="50" w:after="120"/>
              <w:rPr>
                <w:rFonts w:ascii="Arial" w:hAnsi="Arial" w:cs="Arial"/>
                <w:sz w:val="18"/>
                <w:szCs w:val="18"/>
                <w:lang w:eastAsia="zh-CN"/>
              </w:rPr>
            </w:pPr>
            <w:bookmarkStart w:id="1810" w:name="_Hlk134810643"/>
            <w:r w:rsidRPr="000A0A5F">
              <w:rPr>
                <w:rFonts w:ascii="Arial" w:hAnsi="Arial" w:cs="Arial"/>
                <w:sz w:val="18"/>
                <w:szCs w:val="18"/>
                <w:lang w:eastAsia="zh-CN"/>
              </w:rPr>
              <w:t>If "monitoringType" attribute (or the "addnMonTypes" attribute) is set to "LOCATION_REPORTING", this parameter may be included</w:t>
            </w:r>
            <w:r w:rsidRPr="000A0A5F">
              <w:rPr>
                <w:rFonts w:ascii="Arial" w:hAnsi="Arial" w:cs="Arial" w:hint="eastAsia"/>
                <w:sz w:val="18"/>
                <w:szCs w:val="18"/>
                <w:lang w:eastAsia="zh-CN"/>
              </w:rPr>
              <w:t xml:space="preserve"> to indicate whether</w:t>
            </w:r>
            <w:r w:rsidRPr="000A0A5F">
              <w:rPr>
                <w:rFonts w:ascii="Arial" w:hAnsi="Arial" w:cs="Arial"/>
                <w:sz w:val="18"/>
                <w:szCs w:val="18"/>
                <w:lang w:eastAsia="zh-CN"/>
              </w:rPr>
              <w:t xml:space="preserve"> </w:t>
            </w:r>
            <w:r w:rsidRPr="000A0A5F">
              <w:rPr>
                <w:rFonts w:ascii="Arial" w:hAnsi="Arial" w:cs="Arial" w:hint="eastAsia"/>
                <w:sz w:val="18"/>
                <w:szCs w:val="18"/>
                <w:lang w:eastAsia="zh-CN"/>
              </w:rPr>
              <w:t>event reporting requires the location information</w:t>
            </w:r>
            <w:r w:rsidRPr="000A0A5F">
              <w:rPr>
                <w:rFonts w:ascii="Arial" w:hAnsi="Arial" w:cs="Arial"/>
                <w:sz w:val="18"/>
                <w:szCs w:val="18"/>
                <w:lang w:eastAsia="zh-CN"/>
              </w:rPr>
              <w:t>.</w:t>
            </w:r>
          </w:p>
          <w:p w:rsidR="00510DDC" w:rsidRPr="000A0A5F" w:rsidRDefault="00510DDC" w:rsidP="00510DDC">
            <w:pPr>
              <w:spacing w:afterLines="50" w:after="120"/>
              <w:rPr>
                <w:rFonts w:ascii="Arial" w:hAnsi="Arial" w:cs="Arial"/>
                <w:sz w:val="18"/>
                <w:szCs w:val="18"/>
                <w:lang w:eastAsia="zh-CN"/>
              </w:rPr>
            </w:pPr>
            <w:r w:rsidRPr="000A0A5F">
              <w:rPr>
                <w:rFonts w:ascii="Arial" w:hAnsi="Arial" w:cs="Arial"/>
                <w:sz w:val="18"/>
                <w:szCs w:val="18"/>
                <w:lang w:eastAsia="zh-CN"/>
              </w:rPr>
              <w:t>S</w:t>
            </w:r>
            <w:r w:rsidRPr="000A0A5F">
              <w:rPr>
                <w:rFonts w:ascii="Arial" w:hAnsi="Arial" w:cs="Arial" w:hint="eastAsia"/>
                <w:sz w:val="18"/>
                <w:szCs w:val="18"/>
                <w:lang w:eastAsia="zh-CN"/>
              </w:rPr>
              <w:t xml:space="preserve">et to </w:t>
            </w:r>
            <w:r w:rsidRPr="000A0A5F">
              <w:rPr>
                <w:rFonts w:ascii="Arial" w:hAnsi="Arial" w:cs="Arial"/>
                <w:sz w:val="18"/>
                <w:szCs w:val="18"/>
                <w:lang w:eastAsia="zh-CN"/>
              </w:rPr>
              <w:t>"</w:t>
            </w:r>
            <w:r w:rsidRPr="000A0A5F">
              <w:rPr>
                <w:rFonts w:ascii="Arial" w:hAnsi="Arial" w:cs="Arial" w:hint="eastAsia"/>
                <w:sz w:val="18"/>
                <w:szCs w:val="18"/>
                <w:lang w:eastAsia="zh-CN"/>
              </w:rPr>
              <w:t>t</w:t>
            </w:r>
            <w:r w:rsidRPr="000A0A5F">
              <w:rPr>
                <w:rFonts w:ascii="Arial" w:hAnsi="Arial" w:cs="Arial"/>
                <w:sz w:val="18"/>
                <w:szCs w:val="18"/>
                <w:lang w:eastAsia="zh-CN"/>
              </w:rPr>
              <w:t>r</w:t>
            </w:r>
            <w:r w:rsidRPr="000A0A5F">
              <w:rPr>
                <w:rFonts w:ascii="Arial" w:hAnsi="Arial" w:cs="Arial" w:hint="eastAsia"/>
                <w:sz w:val="18"/>
                <w:szCs w:val="18"/>
                <w:lang w:eastAsia="zh-CN"/>
              </w:rPr>
              <w:t>ue</w:t>
            </w:r>
            <w:r w:rsidRPr="000A0A5F">
              <w:rPr>
                <w:rFonts w:ascii="Arial" w:hAnsi="Arial" w:cs="Arial"/>
                <w:sz w:val="18"/>
                <w:szCs w:val="18"/>
                <w:lang w:eastAsia="zh-CN"/>
              </w:rPr>
              <w:t>"</w:t>
            </w:r>
            <w:r w:rsidRPr="000A0A5F">
              <w:rPr>
                <w:rFonts w:ascii="Arial" w:hAnsi="Arial" w:cs="Arial" w:hint="eastAsia"/>
                <w:sz w:val="18"/>
                <w:szCs w:val="18"/>
                <w:lang w:eastAsia="zh-CN"/>
              </w:rPr>
              <w:t xml:space="preserve">, </w:t>
            </w:r>
            <w:r w:rsidRPr="000A0A5F">
              <w:rPr>
                <w:rFonts w:ascii="Arial" w:hAnsi="Arial" w:cs="Arial"/>
                <w:sz w:val="18"/>
                <w:szCs w:val="18"/>
                <w:lang w:eastAsia="zh-CN"/>
              </w:rPr>
              <w:t xml:space="preserve">indiates </w:t>
            </w:r>
            <w:r w:rsidRPr="000A0A5F">
              <w:rPr>
                <w:rFonts w:ascii="Arial" w:hAnsi="Arial" w:cs="Arial" w:hint="eastAsia"/>
                <w:sz w:val="18"/>
                <w:szCs w:val="18"/>
                <w:lang w:eastAsia="zh-CN"/>
              </w:rPr>
              <w:t xml:space="preserve">the location </w:t>
            </w:r>
            <w:r w:rsidRPr="000A0A5F">
              <w:rPr>
                <w:rFonts w:ascii="Arial" w:hAnsi="Arial" w:cs="Arial"/>
                <w:sz w:val="18"/>
                <w:szCs w:val="18"/>
                <w:lang w:eastAsia="zh-CN"/>
              </w:rPr>
              <w:t xml:space="preserve">estimation </w:t>
            </w:r>
            <w:r w:rsidRPr="000A0A5F">
              <w:rPr>
                <w:rFonts w:ascii="Arial" w:hAnsi="Arial" w:cs="Arial" w:hint="eastAsia"/>
                <w:sz w:val="18"/>
                <w:szCs w:val="18"/>
                <w:lang w:eastAsia="zh-CN"/>
              </w:rPr>
              <w:t>information sh</w:t>
            </w:r>
            <w:r w:rsidRPr="000A0A5F">
              <w:rPr>
                <w:rFonts w:ascii="Arial" w:hAnsi="Arial" w:cs="Arial"/>
                <w:sz w:val="18"/>
                <w:szCs w:val="18"/>
                <w:lang w:eastAsia="zh-CN"/>
              </w:rPr>
              <w:t>all</w:t>
            </w:r>
            <w:r w:rsidRPr="000A0A5F">
              <w:rPr>
                <w:rFonts w:ascii="Arial" w:hAnsi="Arial" w:cs="Arial" w:hint="eastAsia"/>
                <w:sz w:val="18"/>
                <w:szCs w:val="18"/>
                <w:lang w:eastAsia="zh-CN"/>
              </w:rPr>
              <w:t xml:space="preserve"> be included in event reporting.</w:t>
            </w:r>
          </w:p>
          <w:p w:rsidR="00510DDC" w:rsidRPr="000A0A5F" w:rsidRDefault="00510DDC" w:rsidP="00510DDC">
            <w:pPr>
              <w:pageBreakBefo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hAnsi="Arial"/>
                <w:sz w:val="18"/>
                <w:lang w:eastAsia="zh-CN"/>
              </w:rPr>
            </w:pPr>
            <w:r w:rsidRPr="000A0A5F">
              <w:rPr>
                <w:rFonts w:ascii="Arial" w:hAnsi="Arial"/>
                <w:sz w:val="18"/>
                <w:lang w:eastAsia="zh-CN"/>
              </w:rPr>
              <w:t>Set to "false", indicates the location estimation information shall not be included in event reporting.</w:t>
            </w:r>
          </w:p>
          <w:p w:rsidR="00510DDC" w:rsidRPr="000A0A5F" w:rsidRDefault="00510DDC" w:rsidP="00510DDC">
            <w:pPr>
              <w:spacing w:afterLines="50" w:after="120"/>
              <w:rPr>
                <w:rFonts w:ascii="Arial" w:hAnsi="Arial" w:cs="Arial"/>
                <w:sz w:val="18"/>
                <w:szCs w:val="18"/>
                <w:lang w:eastAsia="zh-CN"/>
              </w:rPr>
            </w:pPr>
          </w:p>
          <w:p w:rsidR="00510DDC" w:rsidRPr="000A0A5F" w:rsidRDefault="00510DDC" w:rsidP="00510DDC">
            <w:pPr>
              <w:spacing w:after="0"/>
              <w:rPr>
                <w:rFonts w:ascii="Arial" w:hAnsi="Arial" w:cs="Arial"/>
                <w:sz w:val="18"/>
                <w:szCs w:val="18"/>
              </w:rPr>
            </w:pPr>
            <w:r w:rsidRPr="000A0A5F">
              <w:rPr>
                <w:rFonts w:ascii="Arial" w:hAnsi="Arial" w:cs="Arial"/>
                <w:sz w:val="18"/>
                <w:szCs w:val="18"/>
                <w:lang w:eastAsia="zh-CN"/>
              </w:rPr>
              <w:t>Default: "false" if omitted.</w:t>
            </w:r>
            <w:bookmarkEnd w:id="1810"/>
          </w:p>
        </w:tc>
        <w:tc>
          <w:tcPr>
            <w:tcW w:w="1392" w:type="dxa"/>
          </w:tcPr>
          <w:p w:rsidR="00510DDC" w:rsidRPr="000A0A5F" w:rsidRDefault="00510DDC" w:rsidP="00510DDC">
            <w:pPr>
              <w:pStyle w:val="TAL"/>
              <w:rPr>
                <w:lang w:eastAsia="zh-CN"/>
              </w:rPr>
            </w:pPr>
            <w:r w:rsidRPr="000A0A5F">
              <w:rPr>
                <w:rFonts w:hint="eastAsia"/>
              </w:rPr>
              <w:t>eLCS</w:t>
            </w:r>
          </w:p>
        </w:tc>
      </w:tr>
      <w:tr w:rsidR="00510DDC" w:rsidRPr="000A0A5F" w:rsidTr="002B45A7">
        <w:trPr>
          <w:jc w:val="center"/>
        </w:trPr>
        <w:tc>
          <w:tcPr>
            <w:tcW w:w="2026" w:type="dxa"/>
            <w:shd w:val="clear" w:color="auto" w:fill="auto"/>
          </w:tcPr>
          <w:p w:rsidR="00510DDC" w:rsidRPr="000A0A5F" w:rsidRDefault="00510DDC" w:rsidP="00510DDC">
            <w:pPr>
              <w:pStyle w:val="TAL"/>
              <w:rPr>
                <w:rFonts w:hint="eastAsia"/>
                <w:lang w:eastAsia="zh-CN"/>
              </w:rPr>
            </w:pPr>
            <w:r w:rsidRPr="000A0A5F">
              <w:rPr>
                <w:lang w:eastAsia="zh-CN"/>
              </w:rPr>
              <w:t>linearDistance</w:t>
            </w:r>
          </w:p>
        </w:tc>
        <w:tc>
          <w:tcPr>
            <w:tcW w:w="1492" w:type="dxa"/>
            <w:shd w:val="clear" w:color="auto" w:fill="auto"/>
          </w:tcPr>
          <w:p w:rsidR="00510DDC" w:rsidRPr="000A0A5F" w:rsidRDefault="00510DDC" w:rsidP="00510DDC">
            <w:pPr>
              <w:pStyle w:val="TAL"/>
              <w:rPr>
                <w:rFonts w:hint="eastAsia"/>
                <w:lang w:eastAsia="zh-CN"/>
              </w:rPr>
            </w:pPr>
            <w:r w:rsidRPr="000A0A5F">
              <w:rPr>
                <w:rFonts w:hint="eastAsia"/>
                <w:lang w:eastAsia="zh-CN"/>
              </w:rPr>
              <w:t>L</w:t>
            </w:r>
            <w:r w:rsidRPr="000A0A5F">
              <w:rPr>
                <w:lang w:eastAsia="zh-CN"/>
              </w:rPr>
              <w:t>inearDistance</w:t>
            </w:r>
          </w:p>
        </w:tc>
        <w:tc>
          <w:tcPr>
            <w:tcW w:w="1134" w:type="dxa"/>
            <w:shd w:val="clear" w:color="auto" w:fill="auto"/>
          </w:tcPr>
          <w:p w:rsidR="00510DDC" w:rsidRPr="000A0A5F" w:rsidRDefault="00510DDC" w:rsidP="00510DDC">
            <w:pPr>
              <w:pStyle w:val="TAC"/>
              <w:jc w:val="left"/>
              <w:rPr>
                <w:rFonts w:hint="eastAsia"/>
                <w:lang w:eastAsia="zh-CN"/>
              </w:rPr>
            </w:pPr>
            <w:r w:rsidRPr="000A0A5F">
              <w:rPr>
                <w:rFonts w:eastAsia="Times New Roman" w:hint="eastAsia"/>
              </w:rPr>
              <w:t>0..1</w:t>
            </w:r>
          </w:p>
        </w:tc>
        <w:tc>
          <w:tcPr>
            <w:tcW w:w="3544" w:type="dxa"/>
            <w:shd w:val="clear" w:color="auto" w:fill="auto"/>
          </w:tcPr>
          <w:p w:rsidR="00510DDC" w:rsidRPr="000A0A5F" w:rsidRDefault="00510DDC" w:rsidP="00510DDC">
            <w:pPr>
              <w:spacing w:after="0"/>
              <w:rPr>
                <w:rFonts w:ascii="Arial" w:hAnsi="Arial" w:cs="Arial"/>
                <w:sz w:val="18"/>
                <w:szCs w:val="18"/>
              </w:rPr>
            </w:pPr>
            <w:r w:rsidRPr="000A0A5F">
              <w:rPr>
                <w:rFonts w:ascii="Arial" w:hAnsi="Arial" w:cs="Arial"/>
                <w:sz w:val="18"/>
                <w:szCs w:val="18"/>
                <w:lang w:eastAsia="zh-CN"/>
              </w:rPr>
              <w:t xml:space="preserve">If "monitoringType" attribute (or the "addnMonTypes" attribute) is set to "LOCATION_REPORTING", this parameter may be included </w:t>
            </w:r>
            <w:r w:rsidRPr="000A0A5F">
              <w:rPr>
                <w:rFonts w:ascii="Arial" w:hAnsi="Arial" w:cs="Arial" w:hint="eastAsia"/>
                <w:sz w:val="18"/>
                <w:szCs w:val="18"/>
                <w:lang w:eastAsia="zh-CN"/>
              </w:rPr>
              <w:t xml:space="preserve">to indicate the linear(straight line) distance </w:t>
            </w:r>
            <w:r w:rsidRPr="000A0A5F">
              <w:rPr>
                <w:rFonts w:ascii="Arial" w:hAnsi="Arial" w:cs="Arial"/>
                <w:sz w:val="18"/>
                <w:szCs w:val="18"/>
                <w:lang w:eastAsia="zh-CN"/>
              </w:rPr>
              <w:t xml:space="preserve">threshold </w:t>
            </w:r>
            <w:r w:rsidRPr="000A0A5F">
              <w:rPr>
                <w:rFonts w:ascii="Arial" w:hAnsi="Arial" w:cs="Arial" w:hint="eastAsia"/>
                <w:sz w:val="18"/>
                <w:szCs w:val="18"/>
                <w:lang w:eastAsia="zh-CN"/>
              </w:rPr>
              <w:t>for motion event report</w:t>
            </w:r>
            <w:r w:rsidRPr="000A0A5F">
              <w:rPr>
                <w:rFonts w:ascii="Arial" w:hAnsi="Arial" w:cs="Arial"/>
                <w:sz w:val="18"/>
                <w:szCs w:val="18"/>
                <w:lang w:eastAsia="zh-CN"/>
              </w:rPr>
              <w:t>ing.</w:t>
            </w:r>
          </w:p>
        </w:tc>
        <w:tc>
          <w:tcPr>
            <w:tcW w:w="1392" w:type="dxa"/>
          </w:tcPr>
          <w:p w:rsidR="00510DDC" w:rsidRPr="000A0A5F" w:rsidRDefault="00510DDC" w:rsidP="00510DDC">
            <w:pPr>
              <w:pStyle w:val="TAL"/>
              <w:rPr>
                <w:lang w:eastAsia="zh-CN"/>
              </w:rPr>
            </w:pPr>
            <w:r w:rsidRPr="000A0A5F">
              <w:rPr>
                <w:rFonts w:hint="eastAsia"/>
              </w:rPr>
              <w:t>eLCS</w:t>
            </w:r>
          </w:p>
        </w:tc>
      </w:tr>
      <w:tr w:rsidR="00510DDC" w:rsidRPr="000A0A5F" w:rsidTr="002B45A7">
        <w:trPr>
          <w:jc w:val="center"/>
        </w:trPr>
        <w:tc>
          <w:tcPr>
            <w:tcW w:w="2026" w:type="dxa"/>
            <w:shd w:val="clear" w:color="auto" w:fill="auto"/>
          </w:tcPr>
          <w:p w:rsidR="00510DDC" w:rsidRPr="000A0A5F" w:rsidRDefault="00510DDC" w:rsidP="00510DDC">
            <w:pPr>
              <w:pStyle w:val="TAL"/>
              <w:rPr>
                <w:rFonts w:hint="eastAsia"/>
                <w:lang w:eastAsia="zh-CN"/>
              </w:rPr>
            </w:pPr>
            <w:r w:rsidRPr="000A0A5F">
              <w:rPr>
                <w:rFonts w:hint="eastAsia"/>
                <w:lang w:eastAsia="zh-CN"/>
              </w:rPr>
              <w:t>locQoS</w:t>
            </w:r>
          </w:p>
        </w:tc>
        <w:tc>
          <w:tcPr>
            <w:tcW w:w="1492" w:type="dxa"/>
            <w:shd w:val="clear" w:color="auto" w:fill="auto"/>
          </w:tcPr>
          <w:p w:rsidR="00510DDC" w:rsidRPr="000A0A5F" w:rsidRDefault="00510DDC" w:rsidP="00510DDC">
            <w:pPr>
              <w:pStyle w:val="TAL"/>
              <w:rPr>
                <w:rFonts w:hint="eastAsia"/>
                <w:lang w:eastAsia="zh-CN"/>
              </w:rPr>
            </w:pPr>
            <w:r w:rsidRPr="000A0A5F">
              <w:rPr>
                <w:rFonts w:hint="eastAsia"/>
                <w:lang w:eastAsia="zh-CN"/>
              </w:rPr>
              <w:t>LocationQoS</w:t>
            </w:r>
          </w:p>
        </w:tc>
        <w:tc>
          <w:tcPr>
            <w:tcW w:w="1134" w:type="dxa"/>
            <w:shd w:val="clear" w:color="auto" w:fill="auto"/>
          </w:tcPr>
          <w:p w:rsidR="00510DDC" w:rsidRPr="000A0A5F" w:rsidRDefault="00510DDC" w:rsidP="00510DDC">
            <w:pPr>
              <w:pStyle w:val="TAC"/>
              <w:jc w:val="left"/>
              <w:rPr>
                <w:rFonts w:hint="eastAsia"/>
                <w:lang w:eastAsia="zh-CN"/>
              </w:rPr>
            </w:pPr>
            <w:r w:rsidRPr="000A0A5F">
              <w:rPr>
                <w:rFonts w:eastAsia="Times New Roman" w:hint="eastAsia"/>
              </w:rPr>
              <w:t>0..1</w:t>
            </w:r>
          </w:p>
        </w:tc>
        <w:tc>
          <w:tcPr>
            <w:tcW w:w="3544" w:type="dxa"/>
            <w:shd w:val="clear" w:color="auto" w:fill="auto"/>
          </w:tcPr>
          <w:p w:rsidR="00510DDC" w:rsidRPr="000A0A5F" w:rsidRDefault="00510DDC" w:rsidP="00510DDC">
            <w:pPr>
              <w:spacing w:afterLines="50" w:after="120"/>
              <w:rPr>
                <w:rFonts w:ascii="Arial" w:hAnsi="Arial" w:cs="Arial"/>
                <w:sz w:val="18"/>
                <w:szCs w:val="18"/>
                <w:lang w:eastAsia="zh-CN"/>
              </w:rPr>
            </w:pPr>
            <w:r w:rsidRPr="000A0A5F">
              <w:rPr>
                <w:rFonts w:ascii="Arial" w:hAnsi="Arial" w:cs="Arial"/>
                <w:sz w:val="18"/>
                <w:szCs w:val="18"/>
                <w:lang w:eastAsia="zh-CN"/>
              </w:rPr>
              <w:t>If "monitoringType" attribute (or the "addnMonTypes" attribute) is set to "LOCATION_REPORTING"</w:t>
            </w:r>
            <w:r w:rsidRPr="000A0A5F">
              <w:rPr>
                <w:rFonts w:ascii="Arial" w:hAnsi="Arial" w:cs="Arial" w:hint="eastAsia"/>
                <w:sz w:val="18"/>
                <w:szCs w:val="18"/>
                <w:lang w:eastAsia="zh-CN"/>
              </w:rPr>
              <w:t xml:space="preserve">, </w:t>
            </w:r>
            <w:r w:rsidRPr="000A0A5F">
              <w:rPr>
                <w:rFonts w:ascii="Arial" w:hAnsi="Arial" w:cs="Arial"/>
                <w:sz w:val="18"/>
                <w:szCs w:val="18"/>
                <w:lang w:eastAsia="zh-CN"/>
              </w:rPr>
              <w:t>this parameter may be included to</w:t>
            </w:r>
            <w:r w:rsidRPr="000A0A5F">
              <w:rPr>
                <w:rFonts w:ascii="Arial" w:hAnsi="Arial" w:cs="Arial" w:hint="eastAsia"/>
                <w:sz w:val="18"/>
                <w:szCs w:val="18"/>
                <w:lang w:eastAsia="zh-CN"/>
              </w:rPr>
              <w:t xml:space="preserve"> i</w:t>
            </w:r>
            <w:r w:rsidRPr="000A0A5F">
              <w:rPr>
                <w:rFonts w:ascii="Arial" w:hAnsi="Arial" w:cs="Arial"/>
                <w:sz w:val="18"/>
                <w:szCs w:val="18"/>
                <w:lang w:eastAsia="zh-CN"/>
              </w:rPr>
              <w:t>ndicate</w:t>
            </w:r>
            <w:r w:rsidRPr="000A0A5F">
              <w:rPr>
                <w:rFonts w:ascii="Arial" w:hAnsi="Arial" w:cs="Arial" w:hint="eastAsia"/>
                <w:sz w:val="18"/>
                <w:szCs w:val="18"/>
                <w:lang w:eastAsia="zh-CN"/>
              </w:rPr>
              <w:t xml:space="preserve"> the expected location QoS requirement for a</w:t>
            </w:r>
            <w:r w:rsidRPr="000A0A5F">
              <w:rPr>
                <w:rFonts w:ascii="Arial" w:hAnsi="Arial" w:cs="Arial"/>
                <w:sz w:val="18"/>
                <w:szCs w:val="18"/>
                <w:lang w:eastAsia="zh-CN"/>
              </w:rPr>
              <w:t>n</w:t>
            </w:r>
            <w:r w:rsidRPr="000A0A5F">
              <w:rPr>
                <w:rFonts w:ascii="Arial" w:hAnsi="Arial" w:cs="Arial" w:hint="eastAsia"/>
                <w:sz w:val="18"/>
                <w:szCs w:val="18"/>
                <w:lang w:eastAsia="zh-CN"/>
              </w:rPr>
              <w:t xml:space="preserve"> </w:t>
            </w:r>
            <w:r w:rsidRPr="000A0A5F">
              <w:rPr>
                <w:rFonts w:ascii="Arial" w:hAnsi="Arial" w:cs="Arial"/>
                <w:sz w:val="18"/>
                <w:szCs w:val="18"/>
                <w:lang w:eastAsia="zh-CN"/>
              </w:rPr>
              <w:t>immediate</w:t>
            </w:r>
            <w:r w:rsidRPr="000A0A5F">
              <w:rPr>
                <w:rFonts w:ascii="Arial" w:hAnsi="Arial" w:cs="Arial" w:hint="eastAsia"/>
                <w:sz w:val="18"/>
                <w:szCs w:val="18"/>
                <w:lang w:eastAsia="zh-CN"/>
              </w:rPr>
              <w:t xml:space="preserve"> MT-LR or deferred MT-LR.</w:t>
            </w:r>
          </w:p>
          <w:p w:rsidR="00510DDC" w:rsidRPr="000A0A5F" w:rsidRDefault="00510DDC" w:rsidP="00510DDC">
            <w:pPr>
              <w:spacing w:afterLines="50" w:after="120"/>
              <w:rPr>
                <w:rFonts w:ascii="Arial" w:hAnsi="Arial" w:cs="Arial"/>
                <w:sz w:val="18"/>
                <w:szCs w:val="18"/>
                <w:lang w:eastAsia="zh-CN"/>
              </w:rPr>
            </w:pPr>
            <w:r w:rsidRPr="000A0A5F">
              <w:rPr>
                <w:rFonts w:ascii="Arial" w:hAnsi="Arial" w:cs="Arial"/>
                <w:sz w:val="18"/>
                <w:szCs w:val="18"/>
                <w:lang w:eastAsia="zh-CN"/>
              </w:rPr>
              <w:t>The "Multiple QoS Class" (i.e. the "lcsQosClass" attribute within the LocationQoS data structure is set to "MULTIPLE_QOS") shall only be used when the "MUTIQOS" feature is supported.</w:t>
            </w:r>
          </w:p>
          <w:p w:rsidR="00510DDC" w:rsidRPr="000A0A5F" w:rsidRDefault="00510DDC" w:rsidP="00510DDC">
            <w:pPr>
              <w:spacing w:after="0"/>
              <w:rPr>
                <w:rFonts w:ascii="Arial" w:hAnsi="Arial" w:cs="Arial"/>
                <w:sz w:val="18"/>
                <w:szCs w:val="18"/>
              </w:rPr>
            </w:pPr>
            <w:r w:rsidRPr="000A0A5F">
              <w:rPr>
                <w:rFonts w:ascii="Arial" w:hAnsi="Arial" w:cs="Arial"/>
                <w:sz w:val="18"/>
                <w:szCs w:val="18"/>
                <w:lang w:eastAsia="zh-CN"/>
              </w:rPr>
              <w:t>(NOTE 10)</w:t>
            </w:r>
          </w:p>
        </w:tc>
        <w:tc>
          <w:tcPr>
            <w:tcW w:w="1392" w:type="dxa"/>
          </w:tcPr>
          <w:p w:rsidR="00510DDC" w:rsidRPr="000A0A5F" w:rsidRDefault="00510DDC" w:rsidP="00510DDC">
            <w:pPr>
              <w:pStyle w:val="TAL"/>
              <w:rPr>
                <w:lang w:eastAsia="zh-CN"/>
              </w:rPr>
            </w:pPr>
            <w:r w:rsidRPr="000A0A5F">
              <w:rPr>
                <w:rFonts w:hint="eastAsia"/>
              </w:rPr>
              <w:t>eLCS</w:t>
            </w:r>
            <w:r w:rsidRPr="000A0A5F">
              <w:t>, MULTIQOS</w:t>
            </w:r>
          </w:p>
        </w:tc>
      </w:tr>
      <w:tr w:rsidR="00510DDC" w:rsidRPr="000A0A5F" w:rsidTr="002B45A7">
        <w:trPr>
          <w:jc w:val="center"/>
        </w:trPr>
        <w:tc>
          <w:tcPr>
            <w:tcW w:w="2026" w:type="dxa"/>
            <w:shd w:val="clear" w:color="auto" w:fill="auto"/>
          </w:tcPr>
          <w:p w:rsidR="00510DDC" w:rsidRPr="000A0A5F" w:rsidRDefault="00510DDC" w:rsidP="00510DDC">
            <w:pPr>
              <w:pStyle w:val="TAL"/>
              <w:rPr>
                <w:rFonts w:hint="eastAsia"/>
                <w:lang w:eastAsia="zh-CN"/>
              </w:rPr>
            </w:pPr>
            <w:r w:rsidRPr="000A0A5F">
              <w:rPr>
                <w:rFonts w:hint="eastAsia"/>
                <w:lang w:eastAsia="zh-CN"/>
              </w:rPr>
              <w:t>svcId</w:t>
            </w:r>
          </w:p>
        </w:tc>
        <w:tc>
          <w:tcPr>
            <w:tcW w:w="1492" w:type="dxa"/>
            <w:shd w:val="clear" w:color="auto" w:fill="auto"/>
          </w:tcPr>
          <w:p w:rsidR="00510DDC" w:rsidRPr="000A0A5F" w:rsidRDefault="00510DDC" w:rsidP="00510DDC">
            <w:pPr>
              <w:pStyle w:val="TAL"/>
              <w:rPr>
                <w:rFonts w:hint="eastAsia"/>
                <w:lang w:eastAsia="zh-CN"/>
              </w:rPr>
            </w:pPr>
            <w:r w:rsidRPr="000A0A5F">
              <w:rPr>
                <w:rFonts w:hint="eastAsia"/>
                <w:lang w:eastAsia="zh-CN"/>
              </w:rPr>
              <w:t>ServiceIdentity</w:t>
            </w:r>
          </w:p>
        </w:tc>
        <w:tc>
          <w:tcPr>
            <w:tcW w:w="1134" w:type="dxa"/>
            <w:shd w:val="clear" w:color="auto" w:fill="auto"/>
          </w:tcPr>
          <w:p w:rsidR="00510DDC" w:rsidRPr="000A0A5F" w:rsidRDefault="00510DDC" w:rsidP="00510DDC">
            <w:pPr>
              <w:pStyle w:val="TAC"/>
              <w:jc w:val="left"/>
              <w:rPr>
                <w:rFonts w:hint="eastAsia"/>
                <w:lang w:eastAsia="zh-CN"/>
              </w:rPr>
            </w:pPr>
            <w:r w:rsidRPr="000A0A5F">
              <w:rPr>
                <w:rFonts w:eastAsia="Times New Roman" w:hint="eastAsia"/>
              </w:rPr>
              <w:t>0..1</w:t>
            </w:r>
          </w:p>
        </w:tc>
        <w:tc>
          <w:tcPr>
            <w:tcW w:w="3544" w:type="dxa"/>
            <w:shd w:val="clear" w:color="auto" w:fill="auto"/>
          </w:tcPr>
          <w:p w:rsidR="00510DDC" w:rsidRPr="000A0A5F" w:rsidRDefault="00510DDC" w:rsidP="00510DDC">
            <w:pPr>
              <w:spacing w:after="0"/>
              <w:rPr>
                <w:rFonts w:ascii="Arial" w:hAnsi="Arial" w:cs="Arial"/>
                <w:sz w:val="18"/>
                <w:szCs w:val="18"/>
              </w:rPr>
            </w:pPr>
            <w:r w:rsidRPr="000A0A5F">
              <w:rPr>
                <w:rFonts w:ascii="Arial" w:hAnsi="Arial" w:cs="Arial"/>
                <w:sz w:val="18"/>
                <w:szCs w:val="18"/>
                <w:lang w:eastAsia="zh-CN"/>
              </w:rPr>
              <w:t>If "monitoringType" attribute (or the "addnMonTypes" attribute) is set to "LOCATION_REPORTING"</w:t>
            </w:r>
            <w:r w:rsidRPr="000A0A5F">
              <w:rPr>
                <w:rFonts w:ascii="Arial" w:hAnsi="Arial" w:cs="Arial" w:hint="eastAsia"/>
                <w:sz w:val="18"/>
                <w:szCs w:val="18"/>
                <w:lang w:eastAsia="zh-CN"/>
              </w:rPr>
              <w:t xml:space="preserve">, </w:t>
            </w:r>
            <w:r w:rsidRPr="000A0A5F">
              <w:rPr>
                <w:rFonts w:ascii="Arial" w:hAnsi="Arial" w:cs="Arial"/>
                <w:sz w:val="18"/>
                <w:szCs w:val="18"/>
                <w:lang w:eastAsia="zh-CN"/>
              </w:rPr>
              <w:t>this parameter may be included to</w:t>
            </w:r>
            <w:r w:rsidRPr="000A0A5F">
              <w:rPr>
                <w:rFonts w:ascii="Arial" w:hAnsi="Arial" w:cs="Arial" w:hint="eastAsia"/>
                <w:sz w:val="18"/>
                <w:szCs w:val="18"/>
                <w:lang w:eastAsia="zh-CN"/>
              </w:rPr>
              <w:t xml:space="preserve"> i</w:t>
            </w:r>
            <w:r w:rsidRPr="000A0A5F">
              <w:rPr>
                <w:rFonts w:ascii="Arial" w:hAnsi="Arial" w:cs="Arial"/>
                <w:sz w:val="18"/>
                <w:szCs w:val="18"/>
                <w:lang w:eastAsia="zh-CN"/>
              </w:rPr>
              <w:t>ndicate</w:t>
            </w:r>
            <w:r w:rsidRPr="000A0A5F">
              <w:rPr>
                <w:rFonts w:ascii="Arial" w:hAnsi="Arial" w:cs="Arial" w:hint="eastAsia"/>
                <w:sz w:val="18"/>
                <w:szCs w:val="18"/>
                <w:lang w:eastAsia="zh-CN"/>
              </w:rPr>
              <w:t xml:space="preserve"> the service identity of AF.</w:t>
            </w:r>
          </w:p>
        </w:tc>
        <w:tc>
          <w:tcPr>
            <w:tcW w:w="1392" w:type="dxa"/>
          </w:tcPr>
          <w:p w:rsidR="00510DDC" w:rsidRPr="000A0A5F" w:rsidRDefault="00510DDC" w:rsidP="00510DDC">
            <w:pPr>
              <w:pStyle w:val="TAL"/>
              <w:rPr>
                <w:lang w:eastAsia="zh-CN"/>
              </w:rPr>
            </w:pPr>
            <w:r w:rsidRPr="000A0A5F">
              <w:rPr>
                <w:rFonts w:hint="eastAsia"/>
              </w:rPr>
              <w:t>eLCS</w:t>
            </w:r>
          </w:p>
        </w:tc>
      </w:tr>
      <w:tr w:rsidR="00510DDC" w:rsidRPr="000A0A5F" w:rsidTr="002B45A7">
        <w:trPr>
          <w:jc w:val="center"/>
        </w:trPr>
        <w:tc>
          <w:tcPr>
            <w:tcW w:w="2026" w:type="dxa"/>
            <w:shd w:val="clear" w:color="auto" w:fill="auto"/>
          </w:tcPr>
          <w:p w:rsidR="00510DDC" w:rsidRPr="000A0A5F" w:rsidRDefault="00510DDC" w:rsidP="00510DDC">
            <w:pPr>
              <w:pStyle w:val="TAL"/>
              <w:rPr>
                <w:rFonts w:hint="eastAsia"/>
                <w:lang w:eastAsia="zh-CN"/>
              </w:rPr>
            </w:pPr>
            <w:r w:rsidRPr="000A0A5F">
              <w:rPr>
                <w:rFonts w:hint="eastAsia"/>
                <w:lang w:eastAsia="zh-CN"/>
              </w:rPr>
              <w:t>ldrType</w:t>
            </w:r>
          </w:p>
        </w:tc>
        <w:tc>
          <w:tcPr>
            <w:tcW w:w="1492" w:type="dxa"/>
            <w:shd w:val="clear" w:color="auto" w:fill="auto"/>
          </w:tcPr>
          <w:p w:rsidR="00510DDC" w:rsidRPr="000A0A5F" w:rsidRDefault="00510DDC" w:rsidP="00510DDC">
            <w:pPr>
              <w:pStyle w:val="TAL"/>
              <w:rPr>
                <w:rFonts w:hint="eastAsia"/>
                <w:lang w:eastAsia="zh-CN"/>
              </w:rPr>
            </w:pPr>
            <w:r w:rsidRPr="000A0A5F">
              <w:rPr>
                <w:rFonts w:hint="eastAsia"/>
                <w:lang w:eastAsia="zh-CN"/>
              </w:rPr>
              <w:t>LdrType</w:t>
            </w:r>
          </w:p>
        </w:tc>
        <w:tc>
          <w:tcPr>
            <w:tcW w:w="1134" w:type="dxa"/>
            <w:shd w:val="clear" w:color="auto" w:fill="auto"/>
          </w:tcPr>
          <w:p w:rsidR="00510DDC" w:rsidRPr="000A0A5F" w:rsidRDefault="00510DDC" w:rsidP="00510DDC">
            <w:pPr>
              <w:pStyle w:val="TAC"/>
              <w:jc w:val="left"/>
              <w:rPr>
                <w:rFonts w:hint="eastAsia"/>
                <w:lang w:eastAsia="zh-CN"/>
              </w:rPr>
            </w:pPr>
            <w:r w:rsidRPr="000A0A5F">
              <w:rPr>
                <w:rFonts w:eastAsia="Times New Roman" w:hint="eastAsia"/>
              </w:rPr>
              <w:t>0..1</w:t>
            </w:r>
          </w:p>
        </w:tc>
        <w:tc>
          <w:tcPr>
            <w:tcW w:w="3544" w:type="dxa"/>
            <w:shd w:val="clear" w:color="auto" w:fill="auto"/>
          </w:tcPr>
          <w:p w:rsidR="00510DDC" w:rsidRPr="000A0A5F" w:rsidRDefault="00510DDC" w:rsidP="00510DDC">
            <w:pPr>
              <w:spacing w:after="0"/>
              <w:rPr>
                <w:rFonts w:ascii="Arial" w:hAnsi="Arial" w:cs="Arial"/>
                <w:sz w:val="18"/>
                <w:szCs w:val="18"/>
              </w:rPr>
            </w:pPr>
            <w:r w:rsidRPr="000A0A5F">
              <w:rPr>
                <w:rFonts w:ascii="Arial" w:hAnsi="Arial" w:cs="Arial"/>
                <w:sz w:val="18"/>
                <w:szCs w:val="18"/>
                <w:lang w:eastAsia="zh-CN"/>
              </w:rPr>
              <w:t>If "monitoringType" attribute (or the "addnMonTypes" attribute) is set to "LOCATION_REPORTING"</w:t>
            </w:r>
            <w:r w:rsidRPr="000A0A5F">
              <w:rPr>
                <w:rFonts w:ascii="Arial" w:hAnsi="Arial" w:cs="Arial" w:hint="eastAsia"/>
                <w:sz w:val="18"/>
                <w:szCs w:val="18"/>
                <w:lang w:eastAsia="zh-CN"/>
              </w:rPr>
              <w:t xml:space="preserve">, </w:t>
            </w:r>
            <w:r w:rsidRPr="000A0A5F">
              <w:rPr>
                <w:rFonts w:ascii="Arial" w:hAnsi="Arial" w:cs="Arial"/>
                <w:sz w:val="18"/>
                <w:szCs w:val="18"/>
                <w:lang w:eastAsia="zh-CN"/>
              </w:rPr>
              <w:t>this parameter may be included to</w:t>
            </w:r>
            <w:r w:rsidRPr="000A0A5F">
              <w:rPr>
                <w:rFonts w:ascii="Arial" w:hAnsi="Arial" w:cs="Arial" w:hint="eastAsia"/>
                <w:sz w:val="18"/>
                <w:szCs w:val="18"/>
                <w:lang w:eastAsia="zh-CN"/>
              </w:rPr>
              <w:t xml:space="preserve"> i</w:t>
            </w:r>
            <w:r w:rsidRPr="000A0A5F">
              <w:rPr>
                <w:rFonts w:ascii="Arial" w:hAnsi="Arial" w:cs="Arial"/>
                <w:sz w:val="18"/>
                <w:szCs w:val="18"/>
                <w:lang w:eastAsia="zh-CN"/>
              </w:rPr>
              <w:t>ndicate</w:t>
            </w:r>
            <w:r w:rsidRPr="000A0A5F">
              <w:rPr>
                <w:rFonts w:ascii="Arial" w:hAnsi="Arial" w:cs="Arial" w:hint="eastAsia"/>
                <w:sz w:val="18"/>
                <w:szCs w:val="18"/>
                <w:lang w:eastAsia="zh-CN"/>
              </w:rPr>
              <w:t xml:space="preserve"> the event type for a deferred MT-LR.</w:t>
            </w:r>
          </w:p>
        </w:tc>
        <w:tc>
          <w:tcPr>
            <w:tcW w:w="1392" w:type="dxa"/>
          </w:tcPr>
          <w:p w:rsidR="00510DDC" w:rsidRPr="000A0A5F" w:rsidRDefault="00510DDC" w:rsidP="00510DDC">
            <w:pPr>
              <w:pStyle w:val="TAL"/>
              <w:rPr>
                <w:lang w:eastAsia="zh-CN"/>
              </w:rPr>
            </w:pPr>
            <w:r w:rsidRPr="000A0A5F">
              <w:rPr>
                <w:rFonts w:hint="eastAsia"/>
              </w:rPr>
              <w:t>eLCS</w:t>
            </w:r>
          </w:p>
        </w:tc>
      </w:tr>
      <w:tr w:rsidR="00510DDC" w:rsidRPr="000A0A5F" w:rsidTr="002B45A7">
        <w:trPr>
          <w:jc w:val="center"/>
        </w:trPr>
        <w:tc>
          <w:tcPr>
            <w:tcW w:w="2026" w:type="dxa"/>
            <w:shd w:val="clear" w:color="auto" w:fill="auto"/>
          </w:tcPr>
          <w:p w:rsidR="00510DDC" w:rsidRPr="000A0A5F" w:rsidRDefault="00510DDC" w:rsidP="00510DDC">
            <w:pPr>
              <w:pStyle w:val="TAL"/>
              <w:rPr>
                <w:rFonts w:hint="eastAsia"/>
                <w:lang w:eastAsia="zh-CN"/>
              </w:rPr>
            </w:pPr>
            <w:r w:rsidRPr="000A0A5F">
              <w:rPr>
                <w:rFonts w:hint="eastAsia"/>
                <w:lang w:eastAsia="zh-CN"/>
              </w:rPr>
              <w:t>velocityRequested</w:t>
            </w:r>
          </w:p>
        </w:tc>
        <w:tc>
          <w:tcPr>
            <w:tcW w:w="1492" w:type="dxa"/>
            <w:shd w:val="clear" w:color="auto" w:fill="auto"/>
          </w:tcPr>
          <w:p w:rsidR="00510DDC" w:rsidRPr="000A0A5F" w:rsidRDefault="00510DDC" w:rsidP="00510DDC">
            <w:pPr>
              <w:pStyle w:val="TAL"/>
              <w:rPr>
                <w:rFonts w:hint="eastAsia"/>
                <w:lang w:eastAsia="zh-CN"/>
              </w:rPr>
            </w:pPr>
            <w:r w:rsidRPr="000A0A5F">
              <w:rPr>
                <w:rFonts w:hint="eastAsia"/>
                <w:lang w:eastAsia="zh-CN"/>
              </w:rPr>
              <w:t>VelocityRequested</w:t>
            </w:r>
          </w:p>
        </w:tc>
        <w:tc>
          <w:tcPr>
            <w:tcW w:w="1134" w:type="dxa"/>
            <w:shd w:val="clear" w:color="auto" w:fill="auto"/>
          </w:tcPr>
          <w:p w:rsidR="00510DDC" w:rsidRPr="000A0A5F" w:rsidRDefault="00510DDC" w:rsidP="00510DDC">
            <w:pPr>
              <w:pStyle w:val="TAC"/>
              <w:jc w:val="left"/>
              <w:rPr>
                <w:rFonts w:hint="eastAsia"/>
                <w:lang w:eastAsia="zh-CN"/>
              </w:rPr>
            </w:pPr>
            <w:r w:rsidRPr="000A0A5F">
              <w:rPr>
                <w:rFonts w:eastAsia="Times New Roman" w:hint="eastAsia"/>
              </w:rPr>
              <w:t>0..1</w:t>
            </w:r>
          </w:p>
        </w:tc>
        <w:tc>
          <w:tcPr>
            <w:tcW w:w="3544" w:type="dxa"/>
            <w:shd w:val="clear" w:color="auto" w:fill="auto"/>
          </w:tcPr>
          <w:p w:rsidR="00510DDC" w:rsidRPr="000A0A5F" w:rsidRDefault="00510DDC" w:rsidP="00510DDC">
            <w:pPr>
              <w:spacing w:after="0"/>
              <w:rPr>
                <w:rFonts w:ascii="Arial" w:hAnsi="Arial" w:cs="Arial"/>
                <w:sz w:val="18"/>
                <w:szCs w:val="18"/>
              </w:rPr>
            </w:pPr>
            <w:r w:rsidRPr="000A0A5F">
              <w:rPr>
                <w:rFonts w:ascii="Arial" w:hAnsi="Arial" w:cs="Arial"/>
                <w:sz w:val="18"/>
                <w:szCs w:val="18"/>
                <w:lang w:eastAsia="zh-CN"/>
              </w:rPr>
              <w:t>If "monitoringType" attribute (or the "addnMonTypes" attribute) is set to "LOCATION_REPORTING"</w:t>
            </w:r>
            <w:r w:rsidRPr="000A0A5F">
              <w:rPr>
                <w:rFonts w:ascii="Arial" w:hAnsi="Arial" w:cs="Arial" w:hint="eastAsia"/>
                <w:sz w:val="18"/>
                <w:szCs w:val="18"/>
                <w:lang w:eastAsia="zh-CN"/>
              </w:rPr>
              <w:t xml:space="preserve">, </w:t>
            </w:r>
            <w:r w:rsidRPr="000A0A5F">
              <w:rPr>
                <w:rFonts w:ascii="Arial" w:hAnsi="Arial" w:cs="Arial"/>
                <w:sz w:val="18"/>
                <w:szCs w:val="18"/>
                <w:lang w:eastAsia="zh-CN"/>
              </w:rPr>
              <w:t>this parameter may be included to</w:t>
            </w:r>
            <w:r w:rsidRPr="000A0A5F">
              <w:rPr>
                <w:rFonts w:ascii="Arial" w:hAnsi="Arial" w:cs="Arial" w:hint="eastAsia"/>
                <w:sz w:val="18"/>
                <w:szCs w:val="18"/>
                <w:lang w:eastAsia="zh-CN"/>
              </w:rPr>
              <w:t xml:space="preserve"> i</w:t>
            </w:r>
            <w:r w:rsidRPr="000A0A5F">
              <w:rPr>
                <w:rFonts w:ascii="Arial" w:hAnsi="Arial" w:cs="Arial"/>
                <w:sz w:val="18"/>
                <w:szCs w:val="18"/>
                <w:lang w:eastAsia="zh-CN"/>
              </w:rPr>
              <w:t>ndicate</w:t>
            </w:r>
            <w:r w:rsidRPr="000A0A5F">
              <w:rPr>
                <w:rFonts w:ascii="Arial" w:hAnsi="Arial" w:cs="Arial" w:hint="eastAsia"/>
                <w:sz w:val="18"/>
                <w:szCs w:val="18"/>
                <w:lang w:eastAsia="zh-CN"/>
              </w:rPr>
              <w:t xml:space="preserve"> if the velocity of the target UE is requested or not.</w:t>
            </w:r>
          </w:p>
        </w:tc>
        <w:tc>
          <w:tcPr>
            <w:tcW w:w="1392" w:type="dxa"/>
          </w:tcPr>
          <w:p w:rsidR="00510DDC" w:rsidRPr="000A0A5F" w:rsidRDefault="00510DDC" w:rsidP="00510DDC">
            <w:pPr>
              <w:pStyle w:val="TAL"/>
              <w:rPr>
                <w:lang w:eastAsia="zh-CN"/>
              </w:rPr>
            </w:pPr>
            <w:r w:rsidRPr="000A0A5F">
              <w:rPr>
                <w:rFonts w:hint="eastAsia"/>
              </w:rPr>
              <w:t>eLCS</w:t>
            </w:r>
          </w:p>
        </w:tc>
      </w:tr>
      <w:tr w:rsidR="00510DDC" w:rsidRPr="000A0A5F" w:rsidTr="002B45A7">
        <w:trPr>
          <w:jc w:val="center"/>
        </w:trPr>
        <w:tc>
          <w:tcPr>
            <w:tcW w:w="2026" w:type="dxa"/>
            <w:shd w:val="clear" w:color="auto" w:fill="auto"/>
          </w:tcPr>
          <w:p w:rsidR="00510DDC" w:rsidRPr="000A0A5F" w:rsidRDefault="00510DDC" w:rsidP="00510DDC">
            <w:pPr>
              <w:pStyle w:val="TAL"/>
              <w:rPr>
                <w:rFonts w:hint="eastAsia"/>
                <w:lang w:eastAsia="zh-CN"/>
              </w:rPr>
            </w:pPr>
            <w:r w:rsidRPr="000A0A5F">
              <w:rPr>
                <w:lang w:eastAsia="zh-CN"/>
              </w:rPr>
              <w:t>maxAgeOfLocEst</w:t>
            </w:r>
          </w:p>
        </w:tc>
        <w:tc>
          <w:tcPr>
            <w:tcW w:w="1492" w:type="dxa"/>
            <w:shd w:val="clear" w:color="auto" w:fill="auto"/>
          </w:tcPr>
          <w:p w:rsidR="00510DDC" w:rsidRPr="000A0A5F" w:rsidRDefault="00510DDC" w:rsidP="00510DDC">
            <w:pPr>
              <w:pStyle w:val="TAL"/>
              <w:rPr>
                <w:rFonts w:hint="eastAsia"/>
                <w:lang w:eastAsia="zh-CN"/>
              </w:rPr>
            </w:pPr>
            <w:r w:rsidRPr="000A0A5F">
              <w:rPr>
                <w:rFonts w:hint="eastAsia"/>
                <w:lang w:eastAsia="zh-CN"/>
              </w:rPr>
              <w:t>AgeOfLocationEstimate</w:t>
            </w:r>
          </w:p>
        </w:tc>
        <w:tc>
          <w:tcPr>
            <w:tcW w:w="1134" w:type="dxa"/>
            <w:shd w:val="clear" w:color="auto" w:fill="auto"/>
          </w:tcPr>
          <w:p w:rsidR="00510DDC" w:rsidRPr="000A0A5F" w:rsidRDefault="00510DDC" w:rsidP="00510DDC">
            <w:pPr>
              <w:pStyle w:val="TAC"/>
              <w:jc w:val="left"/>
              <w:rPr>
                <w:rFonts w:hint="eastAsia"/>
                <w:lang w:eastAsia="zh-CN"/>
              </w:rPr>
            </w:pPr>
            <w:r w:rsidRPr="000A0A5F">
              <w:rPr>
                <w:rFonts w:eastAsia="Times New Roman" w:hint="eastAsia"/>
              </w:rPr>
              <w:t>0..1</w:t>
            </w:r>
          </w:p>
        </w:tc>
        <w:tc>
          <w:tcPr>
            <w:tcW w:w="3544" w:type="dxa"/>
            <w:shd w:val="clear" w:color="auto" w:fill="auto"/>
          </w:tcPr>
          <w:p w:rsidR="00510DDC" w:rsidRPr="000A0A5F" w:rsidRDefault="00510DDC" w:rsidP="00510DDC">
            <w:pPr>
              <w:spacing w:after="0"/>
              <w:rPr>
                <w:rFonts w:ascii="Arial" w:hAnsi="Arial" w:cs="Arial"/>
                <w:sz w:val="18"/>
                <w:szCs w:val="18"/>
              </w:rPr>
            </w:pPr>
            <w:r w:rsidRPr="000A0A5F">
              <w:rPr>
                <w:rFonts w:ascii="Arial" w:hAnsi="Arial" w:cs="Arial"/>
                <w:sz w:val="18"/>
                <w:szCs w:val="18"/>
                <w:lang w:eastAsia="zh-CN"/>
              </w:rPr>
              <w:t>If "monitoringType" attribute (or the "addnMonTypes" attribute) is set to "LOCATION_REPORTING"</w:t>
            </w:r>
            <w:r w:rsidRPr="000A0A5F">
              <w:rPr>
                <w:rFonts w:ascii="Arial" w:hAnsi="Arial" w:cs="Arial" w:hint="eastAsia"/>
                <w:sz w:val="18"/>
                <w:szCs w:val="18"/>
                <w:lang w:eastAsia="zh-CN"/>
              </w:rPr>
              <w:t xml:space="preserve">, </w:t>
            </w:r>
            <w:r w:rsidRPr="000A0A5F">
              <w:rPr>
                <w:rFonts w:ascii="Arial" w:hAnsi="Arial" w:cs="Arial"/>
                <w:sz w:val="18"/>
                <w:szCs w:val="18"/>
                <w:lang w:eastAsia="zh-CN"/>
              </w:rPr>
              <w:t>this parameter may be included to</w:t>
            </w:r>
            <w:r w:rsidRPr="000A0A5F">
              <w:rPr>
                <w:rFonts w:ascii="Arial" w:hAnsi="Arial" w:cs="Arial" w:hint="eastAsia"/>
                <w:sz w:val="18"/>
                <w:szCs w:val="18"/>
                <w:lang w:eastAsia="zh-CN"/>
              </w:rPr>
              <w:t xml:space="preserve"> i</w:t>
            </w:r>
            <w:r w:rsidRPr="000A0A5F">
              <w:rPr>
                <w:rFonts w:ascii="Arial" w:hAnsi="Arial" w:cs="Arial"/>
                <w:sz w:val="18"/>
                <w:szCs w:val="18"/>
                <w:lang w:eastAsia="zh-CN"/>
              </w:rPr>
              <w:t>ndicate</w:t>
            </w:r>
            <w:r w:rsidRPr="000A0A5F">
              <w:rPr>
                <w:rFonts w:ascii="Arial" w:hAnsi="Arial" w:cs="Arial" w:hint="eastAsia"/>
                <w:sz w:val="18"/>
                <w:szCs w:val="18"/>
                <w:lang w:eastAsia="zh-CN"/>
              </w:rPr>
              <w:t xml:space="preserve"> acceptable maximum age of location estimate.</w:t>
            </w:r>
          </w:p>
        </w:tc>
        <w:tc>
          <w:tcPr>
            <w:tcW w:w="1392" w:type="dxa"/>
          </w:tcPr>
          <w:p w:rsidR="00510DDC" w:rsidRPr="000A0A5F" w:rsidRDefault="00510DDC" w:rsidP="00510DDC">
            <w:pPr>
              <w:pStyle w:val="TAL"/>
              <w:rPr>
                <w:lang w:eastAsia="zh-CN"/>
              </w:rPr>
            </w:pPr>
            <w:r w:rsidRPr="000A0A5F">
              <w:rPr>
                <w:rFonts w:hint="eastAsia"/>
              </w:rPr>
              <w:t>eLCS</w:t>
            </w:r>
          </w:p>
        </w:tc>
      </w:tr>
      <w:tr w:rsidR="00510DDC" w:rsidRPr="000A0A5F" w:rsidTr="002B45A7">
        <w:trPr>
          <w:jc w:val="center"/>
        </w:trPr>
        <w:tc>
          <w:tcPr>
            <w:tcW w:w="2026" w:type="dxa"/>
            <w:shd w:val="clear" w:color="auto" w:fill="auto"/>
          </w:tcPr>
          <w:p w:rsidR="00510DDC" w:rsidRPr="000A0A5F" w:rsidRDefault="00510DDC" w:rsidP="00510DDC">
            <w:pPr>
              <w:pStyle w:val="TAL"/>
              <w:rPr>
                <w:rFonts w:hint="eastAsia"/>
                <w:lang w:eastAsia="zh-CN"/>
              </w:rPr>
            </w:pPr>
            <w:r w:rsidRPr="000A0A5F">
              <w:rPr>
                <w:rFonts w:hint="eastAsia"/>
                <w:lang w:eastAsia="zh-CN"/>
              </w:rPr>
              <w:t>locTimeWindow</w:t>
            </w:r>
          </w:p>
        </w:tc>
        <w:tc>
          <w:tcPr>
            <w:tcW w:w="1492" w:type="dxa"/>
            <w:shd w:val="clear" w:color="auto" w:fill="auto"/>
          </w:tcPr>
          <w:p w:rsidR="00510DDC" w:rsidRPr="000A0A5F" w:rsidRDefault="00510DDC" w:rsidP="00510DDC">
            <w:pPr>
              <w:pStyle w:val="TAL"/>
              <w:rPr>
                <w:rFonts w:hint="eastAsia"/>
                <w:lang w:eastAsia="zh-CN"/>
              </w:rPr>
            </w:pPr>
            <w:r w:rsidRPr="000A0A5F">
              <w:rPr>
                <w:rFonts w:hint="eastAsia"/>
                <w:lang w:eastAsia="zh-CN"/>
              </w:rPr>
              <w:t>TimeWindow</w:t>
            </w:r>
          </w:p>
        </w:tc>
        <w:tc>
          <w:tcPr>
            <w:tcW w:w="1134" w:type="dxa"/>
            <w:shd w:val="clear" w:color="auto" w:fill="auto"/>
          </w:tcPr>
          <w:p w:rsidR="00510DDC" w:rsidRPr="000A0A5F" w:rsidRDefault="00510DDC" w:rsidP="00510DDC">
            <w:pPr>
              <w:pStyle w:val="TAC"/>
              <w:jc w:val="left"/>
              <w:rPr>
                <w:rFonts w:hint="eastAsia"/>
                <w:lang w:eastAsia="zh-CN"/>
              </w:rPr>
            </w:pPr>
            <w:r w:rsidRPr="000A0A5F">
              <w:rPr>
                <w:rFonts w:eastAsia="Times New Roman" w:hint="eastAsia"/>
              </w:rPr>
              <w:t>0..1</w:t>
            </w:r>
          </w:p>
        </w:tc>
        <w:tc>
          <w:tcPr>
            <w:tcW w:w="3544" w:type="dxa"/>
            <w:shd w:val="clear" w:color="auto" w:fill="auto"/>
          </w:tcPr>
          <w:p w:rsidR="00510DDC" w:rsidRPr="000A0A5F" w:rsidRDefault="00510DDC" w:rsidP="00510DDC">
            <w:pPr>
              <w:spacing w:after="0"/>
              <w:rPr>
                <w:rFonts w:ascii="Arial" w:hAnsi="Arial" w:cs="Arial"/>
                <w:sz w:val="18"/>
                <w:szCs w:val="18"/>
              </w:rPr>
            </w:pPr>
            <w:r w:rsidRPr="000A0A5F">
              <w:rPr>
                <w:rFonts w:ascii="Arial" w:hAnsi="Arial" w:cs="Arial"/>
                <w:sz w:val="18"/>
                <w:szCs w:val="18"/>
                <w:lang w:eastAsia="zh-CN"/>
              </w:rPr>
              <w:t>If "monitoringType" attribute (or the "addnMonTypes" attribute) is set to "LOCATION_REPORTING", this parameter may be included to</w:t>
            </w:r>
            <w:r w:rsidRPr="000A0A5F">
              <w:rPr>
                <w:rFonts w:ascii="Arial" w:hAnsi="Arial" w:cs="Arial" w:hint="eastAsia"/>
                <w:sz w:val="18"/>
                <w:szCs w:val="18"/>
                <w:lang w:eastAsia="zh-CN"/>
              </w:rPr>
              <w:t xml:space="preserve"> i</w:t>
            </w:r>
            <w:r w:rsidRPr="000A0A5F">
              <w:rPr>
                <w:rFonts w:ascii="Arial" w:hAnsi="Arial" w:cs="Arial"/>
                <w:sz w:val="18"/>
                <w:szCs w:val="18"/>
                <w:lang w:eastAsia="zh-CN"/>
              </w:rPr>
              <w:t>ndicate</w:t>
            </w:r>
            <w:r w:rsidRPr="000A0A5F">
              <w:rPr>
                <w:rFonts w:ascii="Arial" w:hAnsi="Arial" w:cs="Arial" w:hint="eastAsia"/>
                <w:sz w:val="18"/>
                <w:szCs w:val="18"/>
                <w:lang w:eastAsia="zh-CN"/>
              </w:rPr>
              <w:t xml:space="preserve"> the starting time and ending time for a deferred MT-LR.</w:t>
            </w:r>
          </w:p>
        </w:tc>
        <w:tc>
          <w:tcPr>
            <w:tcW w:w="1392" w:type="dxa"/>
          </w:tcPr>
          <w:p w:rsidR="00510DDC" w:rsidRPr="000A0A5F" w:rsidRDefault="00510DDC" w:rsidP="00510DDC">
            <w:pPr>
              <w:pStyle w:val="TAL"/>
              <w:rPr>
                <w:lang w:eastAsia="zh-CN"/>
              </w:rPr>
            </w:pPr>
            <w:r w:rsidRPr="000A0A5F">
              <w:rPr>
                <w:rFonts w:hint="eastAsia"/>
              </w:rPr>
              <w:t>eLCS</w:t>
            </w:r>
          </w:p>
        </w:tc>
      </w:tr>
      <w:tr w:rsidR="00837C4C" w:rsidRPr="000A0A5F" w:rsidTr="002B45A7">
        <w:trPr>
          <w:jc w:val="center"/>
        </w:trPr>
        <w:tc>
          <w:tcPr>
            <w:tcW w:w="2026" w:type="dxa"/>
            <w:shd w:val="clear" w:color="auto" w:fill="auto"/>
          </w:tcPr>
          <w:p w:rsidR="00837C4C" w:rsidRPr="000A0A5F" w:rsidRDefault="00837C4C" w:rsidP="00837C4C">
            <w:pPr>
              <w:pStyle w:val="TAL"/>
              <w:rPr>
                <w:rFonts w:hint="eastAsia"/>
                <w:lang w:eastAsia="zh-CN"/>
              </w:rPr>
            </w:pPr>
            <w:r w:rsidRPr="000A0A5F">
              <w:rPr>
                <w:lang w:eastAsia="zh-CN"/>
              </w:rPr>
              <w:t>supportedGADShapes</w:t>
            </w:r>
          </w:p>
        </w:tc>
        <w:tc>
          <w:tcPr>
            <w:tcW w:w="1492" w:type="dxa"/>
            <w:shd w:val="clear" w:color="auto" w:fill="auto"/>
          </w:tcPr>
          <w:p w:rsidR="00837C4C" w:rsidRPr="000A0A5F" w:rsidRDefault="00837C4C" w:rsidP="00837C4C">
            <w:pPr>
              <w:pStyle w:val="TAL"/>
              <w:rPr>
                <w:rFonts w:hint="eastAsia"/>
                <w:lang w:eastAsia="zh-CN"/>
              </w:rPr>
            </w:pPr>
            <w:r w:rsidRPr="000A0A5F">
              <w:rPr>
                <w:lang w:eastAsia="zh-CN"/>
              </w:rPr>
              <w:t>array(SupportedGADShapes)</w:t>
            </w:r>
          </w:p>
        </w:tc>
        <w:tc>
          <w:tcPr>
            <w:tcW w:w="1134" w:type="dxa"/>
            <w:shd w:val="clear" w:color="auto" w:fill="auto"/>
          </w:tcPr>
          <w:p w:rsidR="00837C4C" w:rsidRPr="000A0A5F" w:rsidRDefault="00837C4C" w:rsidP="00837C4C">
            <w:pPr>
              <w:pStyle w:val="TAC"/>
              <w:jc w:val="left"/>
              <w:rPr>
                <w:rFonts w:eastAsia="Times New Roman" w:hint="eastAsia"/>
              </w:rPr>
            </w:pPr>
            <w:r w:rsidRPr="000A0A5F">
              <w:t>0..N</w:t>
            </w:r>
          </w:p>
        </w:tc>
        <w:tc>
          <w:tcPr>
            <w:tcW w:w="3544" w:type="dxa"/>
            <w:shd w:val="clear" w:color="auto" w:fill="auto"/>
          </w:tcPr>
          <w:p w:rsidR="00837C4C" w:rsidRPr="000A0A5F" w:rsidRDefault="00837C4C" w:rsidP="00837C4C">
            <w:pPr>
              <w:spacing w:after="0"/>
              <w:rPr>
                <w:rFonts w:ascii="Arial" w:hAnsi="Arial" w:cs="Arial"/>
                <w:sz w:val="18"/>
                <w:szCs w:val="18"/>
                <w:lang w:eastAsia="zh-CN"/>
              </w:rPr>
            </w:pPr>
            <w:r w:rsidRPr="000A0A5F">
              <w:rPr>
                <w:rFonts w:ascii="Arial" w:hAnsi="Arial" w:cs="Arial"/>
                <w:sz w:val="18"/>
                <w:szCs w:val="18"/>
                <w:lang w:eastAsia="zh-CN"/>
              </w:rPr>
              <w:t>Supported Geographical Area Description shapes.</w:t>
            </w:r>
          </w:p>
        </w:tc>
        <w:tc>
          <w:tcPr>
            <w:tcW w:w="1392" w:type="dxa"/>
          </w:tcPr>
          <w:p w:rsidR="00837C4C" w:rsidRPr="000A0A5F" w:rsidRDefault="00837C4C" w:rsidP="00837C4C">
            <w:pPr>
              <w:pStyle w:val="TAL"/>
              <w:rPr>
                <w:rFonts w:hint="eastAsia"/>
              </w:rPr>
            </w:pPr>
            <w:r w:rsidRPr="000A0A5F">
              <w:t>eLCS</w:t>
            </w:r>
          </w:p>
        </w:tc>
      </w:tr>
      <w:tr w:rsidR="00837C4C" w:rsidRPr="000A0A5F" w:rsidTr="002B45A7">
        <w:trPr>
          <w:jc w:val="center"/>
        </w:trPr>
        <w:tc>
          <w:tcPr>
            <w:tcW w:w="2026" w:type="dxa"/>
            <w:shd w:val="clear" w:color="auto" w:fill="auto"/>
          </w:tcPr>
          <w:p w:rsidR="00837C4C" w:rsidRPr="000A0A5F" w:rsidRDefault="00837C4C" w:rsidP="00837C4C">
            <w:pPr>
              <w:pStyle w:val="TAL"/>
              <w:rPr>
                <w:rFonts w:hint="eastAsia"/>
                <w:lang w:eastAsia="zh-CN"/>
              </w:rPr>
            </w:pPr>
            <w:r w:rsidRPr="000A0A5F">
              <w:rPr>
                <w:lang w:eastAsia="zh-CN"/>
              </w:rPr>
              <w:t>codeWord</w:t>
            </w:r>
          </w:p>
        </w:tc>
        <w:tc>
          <w:tcPr>
            <w:tcW w:w="1492" w:type="dxa"/>
            <w:shd w:val="clear" w:color="auto" w:fill="auto"/>
          </w:tcPr>
          <w:p w:rsidR="00837C4C" w:rsidRPr="000A0A5F" w:rsidRDefault="00837C4C" w:rsidP="00837C4C">
            <w:pPr>
              <w:pStyle w:val="TAL"/>
              <w:rPr>
                <w:rFonts w:hint="eastAsia"/>
                <w:lang w:eastAsia="zh-CN"/>
              </w:rPr>
            </w:pPr>
            <w:r w:rsidRPr="000A0A5F">
              <w:rPr>
                <w:lang w:eastAsia="zh-CN"/>
              </w:rPr>
              <w:t>CodeWord</w:t>
            </w:r>
          </w:p>
        </w:tc>
        <w:tc>
          <w:tcPr>
            <w:tcW w:w="1134" w:type="dxa"/>
            <w:shd w:val="clear" w:color="auto" w:fill="auto"/>
          </w:tcPr>
          <w:p w:rsidR="00837C4C" w:rsidRPr="000A0A5F" w:rsidRDefault="00837C4C" w:rsidP="00837C4C">
            <w:pPr>
              <w:pStyle w:val="TAC"/>
              <w:jc w:val="left"/>
              <w:rPr>
                <w:rFonts w:eastAsia="Times New Roman" w:hint="eastAsia"/>
              </w:rPr>
            </w:pPr>
            <w:r w:rsidRPr="000A0A5F">
              <w:t>0..1</w:t>
            </w:r>
          </w:p>
        </w:tc>
        <w:tc>
          <w:tcPr>
            <w:tcW w:w="3544" w:type="dxa"/>
            <w:shd w:val="clear" w:color="auto" w:fill="auto"/>
          </w:tcPr>
          <w:p w:rsidR="00837C4C" w:rsidRPr="000A0A5F" w:rsidRDefault="00837C4C" w:rsidP="00837C4C">
            <w:pPr>
              <w:spacing w:after="0"/>
              <w:rPr>
                <w:rFonts w:ascii="Arial" w:hAnsi="Arial" w:cs="Arial"/>
                <w:sz w:val="18"/>
                <w:szCs w:val="18"/>
                <w:lang w:eastAsia="zh-CN"/>
              </w:rPr>
            </w:pPr>
            <w:r w:rsidRPr="000A0A5F">
              <w:rPr>
                <w:rFonts w:ascii="Arial" w:hAnsi="Arial" w:cs="Arial"/>
                <w:sz w:val="18"/>
                <w:szCs w:val="18"/>
                <w:lang w:eastAsia="zh-CN"/>
              </w:rPr>
              <w:t>Code word.</w:t>
            </w:r>
          </w:p>
        </w:tc>
        <w:tc>
          <w:tcPr>
            <w:tcW w:w="1392" w:type="dxa"/>
          </w:tcPr>
          <w:p w:rsidR="00837C4C" w:rsidRPr="000A0A5F" w:rsidRDefault="00837C4C" w:rsidP="00837C4C">
            <w:pPr>
              <w:pStyle w:val="TAL"/>
              <w:rPr>
                <w:rFonts w:hint="eastAsia"/>
              </w:rPr>
            </w:pPr>
            <w:r w:rsidRPr="000A0A5F">
              <w:t>eLCS</w:t>
            </w:r>
          </w:p>
        </w:tc>
      </w:tr>
      <w:tr w:rsidR="00E50DF1" w:rsidRPr="000A0A5F" w:rsidTr="002B45A7">
        <w:trPr>
          <w:jc w:val="center"/>
        </w:trPr>
        <w:tc>
          <w:tcPr>
            <w:tcW w:w="2026" w:type="dxa"/>
            <w:shd w:val="clear" w:color="auto" w:fill="auto"/>
          </w:tcPr>
          <w:p w:rsidR="00E50DF1" w:rsidRPr="000A0A5F" w:rsidRDefault="00E50DF1" w:rsidP="00E50DF1">
            <w:pPr>
              <w:pStyle w:val="TAL"/>
              <w:rPr>
                <w:lang w:eastAsia="zh-CN"/>
              </w:rPr>
            </w:pPr>
            <w:r w:rsidRPr="000A0A5F">
              <w:rPr>
                <w:rFonts w:eastAsia="Times New Roman"/>
                <w:lang w:eastAsia="en-GB"/>
              </w:rPr>
              <w:t>upLocRepIndAf</w:t>
            </w:r>
          </w:p>
        </w:tc>
        <w:tc>
          <w:tcPr>
            <w:tcW w:w="1492" w:type="dxa"/>
            <w:shd w:val="clear" w:color="auto" w:fill="auto"/>
          </w:tcPr>
          <w:p w:rsidR="00E50DF1" w:rsidRPr="000A0A5F" w:rsidRDefault="00E50DF1" w:rsidP="00E50DF1">
            <w:pPr>
              <w:pStyle w:val="TAL"/>
              <w:rPr>
                <w:lang w:eastAsia="zh-CN"/>
              </w:rPr>
            </w:pPr>
            <w:r w:rsidRPr="000A0A5F">
              <w:rPr>
                <w:rFonts w:eastAsia="Times New Roman"/>
                <w:lang w:eastAsia="en-GB"/>
              </w:rPr>
              <w:t>boolean</w:t>
            </w:r>
          </w:p>
        </w:tc>
        <w:tc>
          <w:tcPr>
            <w:tcW w:w="1134" w:type="dxa"/>
            <w:shd w:val="clear" w:color="auto" w:fill="auto"/>
          </w:tcPr>
          <w:p w:rsidR="00E50DF1" w:rsidRPr="000A0A5F" w:rsidRDefault="00E50DF1" w:rsidP="00E50DF1">
            <w:pPr>
              <w:pStyle w:val="TAC"/>
              <w:jc w:val="left"/>
            </w:pPr>
            <w:r w:rsidRPr="000A0A5F">
              <w:rPr>
                <w:rFonts w:cs="Arial"/>
                <w:szCs w:val="18"/>
                <w:lang w:eastAsia="zh-CN"/>
              </w:rPr>
              <w:t>0..1</w:t>
            </w:r>
          </w:p>
        </w:tc>
        <w:tc>
          <w:tcPr>
            <w:tcW w:w="3544" w:type="dxa"/>
            <w:shd w:val="clear" w:color="auto" w:fill="auto"/>
          </w:tcPr>
          <w:p w:rsidR="00E50DF1" w:rsidRPr="000A0A5F" w:rsidRDefault="00E50DF1" w:rsidP="00E50DF1">
            <w:pPr>
              <w:keepNext/>
              <w:keepLines/>
              <w:overflowPunct w:val="0"/>
              <w:autoSpaceDE w:val="0"/>
              <w:autoSpaceDN w:val="0"/>
              <w:adjustRightInd w:val="0"/>
              <w:spacing w:after="0"/>
              <w:textAlignment w:val="baseline"/>
              <w:rPr>
                <w:rFonts w:ascii="Arial" w:hAnsi="Arial" w:cs="Arial"/>
                <w:sz w:val="18"/>
                <w:szCs w:val="18"/>
                <w:lang w:eastAsia="zh-CN"/>
              </w:rPr>
            </w:pPr>
            <w:r w:rsidRPr="000A0A5F">
              <w:rPr>
                <w:rFonts w:ascii="Arial" w:hAnsi="Arial" w:cs="Arial"/>
                <w:sz w:val="18"/>
                <w:szCs w:val="18"/>
              </w:rPr>
              <w:t xml:space="preserve">If the "LOCATION_REPORTING" value is set in either the "monitoringType" attribute or the "addnMonTypes" attribute, </w:t>
            </w:r>
            <w:r w:rsidRPr="000A0A5F">
              <w:rPr>
                <w:rFonts w:ascii="Arial" w:hAnsi="Arial" w:cs="Arial"/>
                <w:sz w:val="18"/>
                <w:szCs w:val="18"/>
                <w:lang w:eastAsia="zh-CN"/>
              </w:rPr>
              <w:t xml:space="preserve">this </w:t>
            </w:r>
            <w:r w:rsidRPr="000A0A5F">
              <w:rPr>
                <w:rFonts w:ascii="Arial" w:hAnsi="Arial" w:cs="Arial"/>
                <w:sz w:val="18"/>
                <w:szCs w:val="18"/>
              </w:rPr>
              <w:t xml:space="preserve">attribute </w:t>
            </w:r>
            <w:r w:rsidRPr="000A0A5F">
              <w:rPr>
                <w:rFonts w:ascii="Arial" w:hAnsi="Arial" w:cs="Arial"/>
                <w:sz w:val="18"/>
                <w:szCs w:val="18"/>
                <w:lang w:eastAsia="zh-CN"/>
              </w:rPr>
              <w:t>may be included to</w:t>
            </w:r>
            <w:r w:rsidRPr="000A0A5F">
              <w:rPr>
                <w:rFonts w:ascii="Arial" w:hAnsi="Arial" w:cs="Arial" w:hint="eastAsia"/>
                <w:sz w:val="18"/>
                <w:szCs w:val="18"/>
                <w:lang w:eastAsia="zh-CN"/>
              </w:rPr>
              <w:t xml:space="preserve"> c</w:t>
            </w:r>
            <w:r w:rsidRPr="000A0A5F">
              <w:rPr>
                <w:rFonts w:ascii="Arial" w:hAnsi="Arial" w:cs="Arial"/>
                <w:sz w:val="18"/>
                <w:szCs w:val="18"/>
                <w:lang w:eastAsia="zh-CN"/>
              </w:rPr>
              <w:t>onvey the indication of location reporting over user plane.</w:t>
            </w:r>
          </w:p>
          <w:p w:rsidR="00E50DF1" w:rsidRPr="000A0A5F" w:rsidRDefault="00E50DF1" w:rsidP="00E50DF1">
            <w:pPr>
              <w:keepNext/>
              <w:keepLines/>
              <w:overflowPunct w:val="0"/>
              <w:autoSpaceDE w:val="0"/>
              <w:autoSpaceDN w:val="0"/>
              <w:adjustRightInd w:val="0"/>
              <w:spacing w:after="0"/>
              <w:textAlignment w:val="baseline"/>
              <w:rPr>
                <w:rFonts w:ascii="Arial" w:hAnsi="Arial" w:cs="Arial"/>
                <w:sz w:val="18"/>
                <w:szCs w:val="18"/>
                <w:lang w:eastAsia="zh-CN"/>
              </w:rPr>
            </w:pPr>
          </w:p>
          <w:p w:rsidR="00E50DF1" w:rsidRPr="000A0A5F" w:rsidRDefault="00E50DF1" w:rsidP="00E50DF1">
            <w:pPr>
              <w:keepNext/>
              <w:keepLines/>
              <w:overflowPunct w:val="0"/>
              <w:autoSpaceDE w:val="0"/>
              <w:autoSpaceDN w:val="0"/>
              <w:adjustRightInd w:val="0"/>
              <w:spacing w:after="0"/>
              <w:textAlignment w:val="baseline"/>
              <w:rPr>
                <w:rFonts w:ascii="Arial" w:hAnsi="Arial" w:cs="Arial"/>
                <w:sz w:val="18"/>
                <w:szCs w:val="18"/>
                <w:lang w:eastAsia="zh-CN"/>
              </w:rPr>
            </w:pPr>
            <w:r w:rsidRPr="000A0A5F">
              <w:rPr>
                <w:rFonts w:ascii="Arial" w:hAnsi="Arial" w:cs="Arial"/>
                <w:sz w:val="18"/>
                <w:szCs w:val="18"/>
                <w:lang w:eastAsia="zh-CN"/>
              </w:rPr>
              <w:t xml:space="preserve">When present, this </w:t>
            </w:r>
            <w:r w:rsidRPr="000A0A5F">
              <w:rPr>
                <w:rFonts w:ascii="Arial" w:hAnsi="Arial" w:cs="Arial"/>
                <w:sz w:val="18"/>
                <w:szCs w:val="18"/>
              </w:rPr>
              <w:t xml:space="preserve">attribute </w:t>
            </w:r>
            <w:r w:rsidRPr="000A0A5F">
              <w:rPr>
                <w:rFonts w:ascii="Arial" w:hAnsi="Arial" w:cs="Arial"/>
                <w:sz w:val="18"/>
                <w:szCs w:val="18"/>
                <w:lang w:eastAsia="zh-CN"/>
              </w:rPr>
              <w:t>shall be set as follows:</w:t>
            </w:r>
          </w:p>
          <w:p w:rsidR="00E50DF1" w:rsidRPr="000A0A5F" w:rsidRDefault="00E50DF1" w:rsidP="00E50DF1">
            <w:pPr>
              <w:keepNext/>
              <w:keepLines/>
              <w:overflowPunct w:val="0"/>
              <w:autoSpaceDE w:val="0"/>
              <w:autoSpaceDN w:val="0"/>
              <w:adjustRightInd w:val="0"/>
              <w:spacing w:after="0"/>
              <w:textAlignment w:val="baseline"/>
              <w:rPr>
                <w:rFonts w:ascii="Arial" w:hAnsi="Arial" w:cs="Arial"/>
                <w:sz w:val="18"/>
                <w:szCs w:val="18"/>
                <w:lang w:eastAsia="zh-CN"/>
              </w:rPr>
            </w:pPr>
            <w:r w:rsidRPr="000A0A5F">
              <w:rPr>
                <w:rFonts w:ascii="Arial" w:hAnsi="Arial" w:cs="Arial"/>
                <w:sz w:val="18"/>
                <w:szCs w:val="18"/>
              </w:rPr>
              <w:t>"</w:t>
            </w:r>
            <w:r w:rsidRPr="000A0A5F">
              <w:rPr>
                <w:rFonts w:ascii="Arial" w:hAnsi="Arial" w:cs="Arial"/>
                <w:sz w:val="18"/>
                <w:szCs w:val="18"/>
                <w:lang w:eastAsia="zh-CN"/>
              </w:rPr>
              <w:t>true</w:t>
            </w:r>
            <w:r w:rsidRPr="000A0A5F">
              <w:rPr>
                <w:rFonts w:ascii="Arial" w:hAnsi="Arial" w:cs="Arial"/>
                <w:sz w:val="18"/>
                <w:szCs w:val="18"/>
              </w:rPr>
              <w:t>"</w:t>
            </w:r>
            <w:r w:rsidRPr="000A0A5F">
              <w:rPr>
                <w:rFonts w:ascii="Arial" w:hAnsi="Arial" w:cs="Arial"/>
                <w:sz w:val="18"/>
                <w:szCs w:val="18"/>
                <w:lang w:eastAsia="zh-CN"/>
              </w:rPr>
              <w:t>: the location reporting over user plane is required.</w:t>
            </w:r>
          </w:p>
          <w:p w:rsidR="00E50DF1" w:rsidRPr="000A0A5F" w:rsidRDefault="00E50DF1" w:rsidP="00E50DF1">
            <w:pPr>
              <w:spacing w:after="0"/>
              <w:rPr>
                <w:rFonts w:ascii="Arial" w:hAnsi="Arial" w:cs="Arial"/>
                <w:sz w:val="18"/>
                <w:szCs w:val="18"/>
                <w:lang w:eastAsia="zh-CN"/>
              </w:rPr>
            </w:pPr>
            <w:r w:rsidRPr="000A0A5F">
              <w:rPr>
                <w:rFonts w:ascii="Arial" w:hAnsi="Arial" w:cs="Arial"/>
                <w:sz w:val="18"/>
                <w:szCs w:val="18"/>
              </w:rPr>
              <w:t>"</w:t>
            </w:r>
            <w:r w:rsidRPr="000A0A5F">
              <w:rPr>
                <w:rFonts w:ascii="Arial" w:hAnsi="Arial" w:cs="Arial"/>
                <w:sz w:val="18"/>
                <w:szCs w:val="18"/>
                <w:lang w:eastAsia="zh-CN"/>
              </w:rPr>
              <w:t>false</w:t>
            </w:r>
            <w:r w:rsidRPr="000A0A5F">
              <w:rPr>
                <w:rFonts w:ascii="Arial" w:hAnsi="Arial" w:cs="Arial"/>
                <w:sz w:val="18"/>
                <w:szCs w:val="18"/>
              </w:rPr>
              <w:t>"</w:t>
            </w:r>
            <w:r w:rsidRPr="000A0A5F">
              <w:rPr>
                <w:rFonts w:ascii="Arial" w:hAnsi="Arial" w:cs="Arial"/>
                <w:sz w:val="18"/>
                <w:szCs w:val="18"/>
                <w:lang w:eastAsia="zh-CN"/>
              </w:rPr>
              <w:t>: the location reporting over user plane is not required.</w:t>
            </w:r>
          </w:p>
          <w:p w:rsidR="00E50DF1" w:rsidRPr="000A0A5F" w:rsidRDefault="00E50DF1" w:rsidP="00E50DF1">
            <w:pPr>
              <w:spacing w:after="0"/>
              <w:rPr>
                <w:rFonts w:ascii="Arial" w:hAnsi="Arial" w:cs="Arial"/>
                <w:sz w:val="18"/>
                <w:szCs w:val="18"/>
                <w:lang w:eastAsia="zh-CN"/>
              </w:rPr>
            </w:pPr>
            <w:r w:rsidRPr="000A0A5F">
              <w:rPr>
                <w:rFonts w:ascii="Arial" w:hAnsi="Arial" w:cs="Arial"/>
                <w:sz w:val="18"/>
                <w:szCs w:val="18"/>
                <w:lang w:eastAsia="zh-CN"/>
              </w:rPr>
              <w:t>Default: "false" if omitted.</w:t>
            </w:r>
          </w:p>
        </w:tc>
        <w:tc>
          <w:tcPr>
            <w:tcW w:w="1392" w:type="dxa"/>
          </w:tcPr>
          <w:p w:rsidR="00E50DF1" w:rsidRPr="000A0A5F" w:rsidRDefault="00E50DF1" w:rsidP="00E50DF1">
            <w:pPr>
              <w:pStyle w:val="TAL"/>
            </w:pPr>
            <w:r w:rsidRPr="000A0A5F">
              <w:t>eLCS_en</w:t>
            </w:r>
          </w:p>
        </w:tc>
      </w:tr>
      <w:tr w:rsidR="00E50DF1" w:rsidRPr="000A0A5F" w:rsidTr="002B45A7">
        <w:trPr>
          <w:jc w:val="center"/>
        </w:trPr>
        <w:tc>
          <w:tcPr>
            <w:tcW w:w="2026" w:type="dxa"/>
            <w:shd w:val="clear" w:color="auto" w:fill="auto"/>
          </w:tcPr>
          <w:p w:rsidR="00E50DF1" w:rsidRPr="000A0A5F" w:rsidRDefault="00E50DF1" w:rsidP="00E50DF1">
            <w:pPr>
              <w:pStyle w:val="TAL"/>
              <w:rPr>
                <w:lang w:eastAsia="zh-CN"/>
              </w:rPr>
            </w:pPr>
            <w:r w:rsidRPr="000A0A5F">
              <w:rPr>
                <w:rFonts w:eastAsia="Times New Roman"/>
                <w:lang w:eastAsia="en-GB"/>
              </w:rPr>
              <w:t>upLocRepAddrAf</w:t>
            </w:r>
          </w:p>
        </w:tc>
        <w:tc>
          <w:tcPr>
            <w:tcW w:w="1492" w:type="dxa"/>
            <w:shd w:val="clear" w:color="auto" w:fill="auto"/>
          </w:tcPr>
          <w:p w:rsidR="00E50DF1" w:rsidRPr="000A0A5F" w:rsidRDefault="00E50DF1" w:rsidP="00E50DF1">
            <w:pPr>
              <w:pStyle w:val="TAL"/>
              <w:rPr>
                <w:lang w:eastAsia="zh-CN"/>
              </w:rPr>
            </w:pPr>
            <w:r w:rsidRPr="000A0A5F">
              <w:rPr>
                <w:rFonts w:eastAsia="Times New Roman"/>
                <w:lang w:eastAsia="en-GB"/>
              </w:rPr>
              <w:t>UpLocRepAddrAfRm</w:t>
            </w:r>
          </w:p>
        </w:tc>
        <w:tc>
          <w:tcPr>
            <w:tcW w:w="1134" w:type="dxa"/>
            <w:shd w:val="clear" w:color="auto" w:fill="auto"/>
          </w:tcPr>
          <w:p w:rsidR="00E50DF1" w:rsidRPr="000A0A5F" w:rsidRDefault="00E50DF1" w:rsidP="00E50DF1">
            <w:pPr>
              <w:pStyle w:val="TAC"/>
              <w:jc w:val="left"/>
            </w:pPr>
            <w:r w:rsidRPr="000A0A5F">
              <w:rPr>
                <w:rFonts w:eastAsia="Times New Roman"/>
                <w:lang w:eastAsia="zh-CN"/>
              </w:rPr>
              <w:t>0..1</w:t>
            </w:r>
          </w:p>
        </w:tc>
        <w:tc>
          <w:tcPr>
            <w:tcW w:w="3544" w:type="dxa"/>
            <w:shd w:val="clear" w:color="auto" w:fill="auto"/>
          </w:tcPr>
          <w:p w:rsidR="00E50DF1" w:rsidRPr="000A0A5F" w:rsidRDefault="00E50DF1" w:rsidP="00E50DF1">
            <w:pPr>
              <w:spacing w:after="0"/>
              <w:rPr>
                <w:rFonts w:ascii="Arial" w:hAnsi="Arial" w:cs="Arial"/>
                <w:sz w:val="18"/>
                <w:szCs w:val="18"/>
                <w:lang w:val="en-US" w:eastAsia="zh-CN"/>
              </w:rPr>
            </w:pPr>
            <w:r w:rsidRPr="000A0A5F">
              <w:rPr>
                <w:rFonts w:ascii="Arial" w:hAnsi="Arial" w:cs="Arial"/>
                <w:sz w:val="18"/>
                <w:szCs w:val="18"/>
                <w:lang w:eastAsia="zh-CN"/>
              </w:rPr>
              <w:t xml:space="preserve">If the </w:t>
            </w:r>
            <w:r w:rsidRPr="000A0A5F">
              <w:rPr>
                <w:rFonts w:ascii="Arial" w:hAnsi="Arial" w:cs="Arial"/>
                <w:sz w:val="18"/>
                <w:szCs w:val="18"/>
              </w:rPr>
              <w:t>"</w:t>
            </w:r>
            <w:r w:rsidRPr="000A0A5F">
              <w:rPr>
                <w:rFonts w:ascii="Arial" w:hAnsi="Arial" w:cs="Arial"/>
                <w:sz w:val="18"/>
                <w:szCs w:val="18"/>
                <w:lang w:eastAsia="zh-CN"/>
              </w:rPr>
              <w:t>upLocRepIndAf</w:t>
            </w:r>
            <w:r w:rsidRPr="000A0A5F">
              <w:rPr>
                <w:rFonts w:ascii="Arial" w:hAnsi="Arial" w:cs="Arial"/>
                <w:sz w:val="18"/>
                <w:szCs w:val="18"/>
              </w:rPr>
              <w:t>"</w:t>
            </w:r>
            <w:r w:rsidRPr="000A0A5F">
              <w:rPr>
                <w:rFonts w:ascii="Arial" w:hAnsi="Arial" w:cs="Arial"/>
                <w:sz w:val="18"/>
                <w:szCs w:val="18"/>
                <w:lang w:eastAsia="zh-CN"/>
              </w:rPr>
              <w:t xml:space="preserve"> attribute is present and set to </w:t>
            </w:r>
            <w:r w:rsidRPr="000A0A5F">
              <w:rPr>
                <w:rFonts w:ascii="Arial" w:hAnsi="Arial" w:cs="Arial"/>
                <w:sz w:val="18"/>
                <w:szCs w:val="18"/>
              </w:rPr>
              <w:t>"</w:t>
            </w:r>
            <w:r w:rsidRPr="000A0A5F">
              <w:rPr>
                <w:rFonts w:ascii="Arial" w:hAnsi="Arial" w:cs="Arial"/>
                <w:sz w:val="18"/>
                <w:szCs w:val="18"/>
                <w:lang w:eastAsia="zh-CN"/>
              </w:rPr>
              <w:t>true</w:t>
            </w:r>
            <w:r w:rsidRPr="000A0A5F">
              <w:rPr>
                <w:rFonts w:ascii="Arial" w:hAnsi="Arial" w:cs="Arial"/>
                <w:sz w:val="18"/>
                <w:szCs w:val="18"/>
              </w:rPr>
              <w:t>"</w:t>
            </w:r>
            <w:r w:rsidRPr="000A0A5F">
              <w:rPr>
                <w:rFonts w:ascii="Arial" w:hAnsi="Arial" w:cs="Arial"/>
                <w:sz w:val="18"/>
                <w:szCs w:val="18"/>
                <w:lang w:eastAsia="zh-CN"/>
              </w:rPr>
              <w:t xml:space="preserve">, this </w:t>
            </w:r>
            <w:r w:rsidRPr="000A0A5F">
              <w:rPr>
                <w:rFonts w:ascii="Arial" w:hAnsi="Arial" w:cs="Arial"/>
                <w:sz w:val="18"/>
                <w:szCs w:val="18"/>
              </w:rPr>
              <w:t xml:space="preserve">attribute </w:t>
            </w:r>
            <w:r w:rsidRPr="000A0A5F">
              <w:rPr>
                <w:rFonts w:ascii="Arial" w:hAnsi="Arial" w:cs="Arial"/>
                <w:sz w:val="18"/>
                <w:szCs w:val="18"/>
                <w:lang w:eastAsia="zh-CN"/>
              </w:rPr>
              <w:t>may be present to convey the AF's user plane addressing information to be used for location reporting over user plane.</w:t>
            </w:r>
          </w:p>
        </w:tc>
        <w:tc>
          <w:tcPr>
            <w:tcW w:w="1392" w:type="dxa"/>
          </w:tcPr>
          <w:p w:rsidR="00E50DF1" w:rsidRPr="000A0A5F" w:rsidRDefault="00E50DF1" w:rsidP="00E50DF1">
            <w:pPr>
              <w:pStyle w:val="TAL"/>
            </w:pPr>
            <w:r w:rsidRPr="000A0A5F">
              <w:t>eLCS_en</w:t>
            </w:r>
          </w:p>
        </w:tc>
      </w:tr>
      <w:tr w:rsidR="00510DDC" w:rsidRPr="000A0A5F" w:rsidTr="002B45A7">
        <w:trPr>
          <w:jc w:val="center"/>
        </w:trPr>
        <w:tc>
          <w:tcPr>
            <w:tcW w:w="2026" w:type="dxa"/>
            <w:shd w:val="clear" w:color="auto" w:fill="auto"/>
          </w:tcPr>
          <w:p w:rsidR="00510DDC" w:rsidRPr="000A0A5F" w:rsidRDefault="00510DDC" w:rsidP="00510DDC">
            <w:pPr>
              <w:pStyle w:val="TAL"/>
              <w:rPr>
                <w:rFonts w:hint="eastAsia"/>
                <w:lang w:eastAsia="zh-CN"/>
              </w:rPr>
            </w:pPr>
            <w:r w:rsidRPr="000A0A5F">
              <w:rPr>
                <w:rFonts w:hint="eastAsia"/>
                <w:lang w:eastAsia="zh-CN"/>
              </w:rPr>
              <w:t>associationType</w:t>
            </w:r>
          </w:p>
        </w:tc>
        <w:tc>
          <w:tcPr>
            <w:tcW w:w="1492" w:type="dxa"/>
            <w:shd w:val="clear" w:color="auto" w:fill="auto"/>
          </w:tcPr>
          <w:p w:rsidR="00510DDC" w:rsidRPr="000A0A5F" w:rsidRDefault="00510DDC" w:rsidP="00510DDC">
            <w:pPr>
              <w:pStyle w:val="TAL"/>
              <w:rPr>
                <w:rFonts w:hint="eastAsia"/>
                <w:lang w:eastAsia="zh-CN"/>
              </w:rPr>
            </w:pPr>
            <w:r w:rsidRPr="000A0A5F">
              <w:rPr>
                <w:lang w:eastAsia="zh-CN"/>
              </w:rPr>
              <w:t>AssociationType</w:t>
            </w:r>
          </w:p>
        </w:tc>
        <w:tc>
          <w:tcPr>
            <w:tcW w:w="1134" w:type="dxa"/>
            <w:shd w:val="clear" w:color="auto" w:fill="auto"/>
          </w:tcPr>
          <w:p w:rsidR="00510DDC" w:rsidRPr="000A0A5F" w:rsidRDefault="00510DDC" w:rsidP="00510DDC">
            <w:pPr>
              <w:pStyle w:val="TAC"/>
              <w:jc w:val="left"/>
              <w:rPr>
                <w:rFonts w:eastAsia="Times New Roman"/>
              </w:rPr>
            </w:pPr>
            <w:r w:rsidRPr="000A0A5F">
              <w:rPr>
                <w:rFonts w:hint="eastAsia"/>
                <w:lang w:eastAsia="zh-CN"/>
              </w:rPr>
              <w:t>0..1</w:t>
            </w:r>
          </w:p>
        </w:tc>
        <w:tc>
          <w:tcPr>
            <w:tcW w:w="3544" w:type="dxa"/>
            <w:shd w:val="clear" w:color="auto" w:fill="auto"/>
          </w:tcPr>
          <w:p w:rsidR="00510DDC" w:rsidRPr="000A0A5F" w:rsidRDefault="00510DDC" w:rsidP="00510DDC">
            <w:pPr>
              <w:spacing w:after="0"/>
              <w:rPr>
                <w:rFonts w:ascii="Arial" w:hAnsi="Arial" w:cs="Arial"/>
                <w:sz w:val="18"/>
                <w:szCs w:val="18"/>
              </w:rPr>
            </w:pPr>
            <w:r w:rsidRPr="000A0A5F">
              <w:rPr>
                <w:rFonts w:ascii="Arial" w:hAnsi="Arial" w:cs="Arial"/>
                <w:sz w:val="18"/>
                <w:szCs w:val="18"/>
              </w:rPr>
              <w:t>If "monitoringType" attribute (or the "addnMonTypes" attribute) is set to "CHANGE_OF_IMSI_IMEI_ASSOCIATION"</w:t>
            </w:r>
            <w:r w:rsidRPr="000A0A5F">
              <w:rPr>
                <w:rFonts w:ascii="Arial" w:eastAsia="Batang" w:hAnsi="Arial" w:cs="Arial"/>
                <w:sz w:val="18"/>
                <w:szCs w:val="18"/>
              </w:rPr>
              <w:t xml:space="preserve">, </w:t>
            </w:r>
            <w:r w:rsidRPr="000A0A5F">
              <w:rPr>
                <w:rFonts w:ascii="Arial" w:hAnsi="Arial" w:cs="Arial"/>
                <w:sz w:val="18"/>
                <w:szCs w:val="18"/>
              </w:rPr>
              <w:t>this parameter shall be included to</w:t>
            </w:r>
            <w:r w:rsidRPr="000A0A5F">
              <w:rPr>
                <w:rFonts w:ascii="Arial" w:hAnsi="Arial" w:cs="Arial" w:hint="eastAsia"/>
                <w:sz w:val="18"/>
                <w:szCs w:val="18"/>
                <w:lang w:eastAsia="zh-CN"/>
              </w:rPr>
              <w:t xml:space="preserve"> identify</w:t>
            </w:r>
            <w:r w:rsidRPr="000A0A5F">
              <w:rPr>
                <w:rFonts w:ascii="Arial" w:hAnsi="Arial" w:cs="Arial"/>
                <w:sz w:val="18"/>
                <w:szCs w:val="18"/>
              </w:rPr>
              <w:t xml:space="preserve"> whether the change of IMSI-IMEI or IMSI-IMEISV association shall be detected.</w:t>
            </w:r>
          </w:p>
        </w:tc>
        <w:tc>
          <w:tcPr>
            <w:tcW w:w="1392" w:type="dxa"/>
          </w:tcPr>
          <w:p w:rsidR="00510DDC" w:rsidRPr="000A0A5F" w:rsidRDefault="00510DDC" w:rsidP="00510DDC">
            <w:pPr>
              <w:pStyle w:val="TAL"/>
              <w:rPr>
                <w:lang w:eastAsia="zh-CN"/>
              </w:rPr>
            </w:pPr>
            <w:r w:rsidRPr="000A0A5F">
              <w:rPr>
                <w:lang w:eastAsia="zh-CN"/>
              </w:rPr>
              <w:t>Change_of_IMSI_IMEI_association_notification</w:t>
            </w:r>
          </w:p>
        </w:tc>
      </w:tr>
      <w:tr w:rsidR="00510DDC" w:rsidRPr="000A0A5F" w:rsidTr="002B45A7">
        <w:trPr>
          <w:jc w:val="center"/>
        </w:trPr>
        <w:tc>
          <w:tcPr>
            <w:tcW w:w="2026" w:type="dxa"/>
            <w:shd w:val="clear" w:color="auto" w:fill="auto"/>
          </w:tcPr>
          <w:p w:rsidR="00510DDC" w:rsidRPr="000A0A5F" w:rsidRDefault="00510DDC" w:rsidP="00510DDC">
            <w:pPr>
              <w:pStyle w:val="TAL"/>
              <w:rPr>
                <w:rFonts w:hint="eastAsia"/>
                <w:lang w:eastAsia="zh-CN"/>
              </w:rPr>
            </w:pPr>
            <w:r w:rsidRPr="000A0A5F">
              <w:rPr>
                <w:rFonts w:hint="eastAsia"/>
                <w:lang w:eastAsia="zh-CN"/>
              </w:rPr>
              <w:t>p</w:t>
            </w:r>
            <w:r w:rsidRPr="000A0A5F">
              <w:rPr>
                <w:lang w:eastAsia="zh-CN"/>
              </w:rPr>
              <w:t>lmn</w:t>
            </w:r>
            <w:r w:rsidRPr="000A0A5F">
              <w:rPr>
                <w:rFonts w:hint="eastAsia"/>
                <w:lang w:eastAsia="zh-CN"/>
              </w:rPr>
              <w:t>Indication</w:t>
            </w:r>
          </w:p>
        </w:tc>
        <w:tc>
          <w:tcPr>
            <w:tcW w:w="1492" w:type="dxa"/>
            <w:shd w:val="clear" w:color="auto" w:fill="auto"/>
          </w:tcPr>
          <w:p w:rsidR="00510DDC" w:rsidRPr="000A0A5F" w:rsidRDefault="00510DDC" w:rsidP="00510DDC">
            <w:pPr>
              <w:pStyle w:val="TAL"/>
              <w:rPr>
                <w:rFonts w:hint="eastAsia"/>
                <w:lang w:eastAsia="zh-CN"/>
              </w:rPr>
            </w:pPr>
            <w:r w:rsidRPr="000A0A5F">
              <w:rPr>
                <w:lang w:eastAsia="zh-CN"/>
              </w:rPr>
              <w:t>b</w:t>
            </w:r>
            <w:r w:rsidRPr="000A0A5F">
              <w:rPr>
                <w:rFonts w:hint="eastAsia"/>
                <w:lang w:eastAsia="zh-CN"/>
              </w:rPr>
              <w:t>oole</w:t>
            </w:r>
            <w:r w:rsidRPr="000A0A5F">
              <w:rPr>
                <w:lang w:eastAsia="zh-CN"/>
              </w:rPr>
              <w:t>a</w:t>
            </w:r>
            <w:r w:rsidRPr="000A0A5F">
              <w:rPr>
                <w:rFonts w:hint="eastAsia"/>
                <w:lang w:eastAsia="zh-CN"/>
              </w:rPr>
              <w:t>n</w:t>
            </w:r>
          </w:p>
        </w:tc>
        <w:tc>
          <w:tcPr>
            <w:tcW w:w="1134" w:type="dxa"/>
            <w:shd w:val="clear" w:color="auto" w:fill="auto"/>
          </w:tcPr>
          <w:p w:rsidR="00510DDC" w:rsidRPr="000A0A5F" w:rsidRDefault="00510DDC" w:rsidP="00510DDC">
            <w:pPr>
              <w:pStyle w:val="TAC"/>
              <w:jc w:val="left"/>
              <w:rPr>
                <w:rFonts w:eastAsia="Times New Roman"/>
              </w:rPr>
            </w:pPr>
            <w:r w:rsidRPr="000A0A5F">
              <w:rPr>
                <w:rFonts w:eastAsia="Batang" w:cs="Arial"/>
                <w:szCs w:val="18"/>
                <w:lang w:eastAsia="zh-CN"/>
              </w:rPr>
              <w:t>0..1</w:t>
            </w:r>
          </w:p>
        </w:tc>
        <w:tc>
          <w:tcPr>
            <w:tcW w:w="3544" w:type="dxa"/>
            <w:shd w:val="clear" w:color="auto" w:fill="auto"/>
          </w:tcPr>
          <w:p w:rsidR="00510DDC" w:rsidRPr="000A0A5F" w:rsidRDefault="00510DDC" w:rsidP="00510DDC">
            <w:pPr>
              <w:rPr>
                <w:rFonts w:ascii="Arial" w:hAnsi="Arial" w:cs="Arial"/>
                <w:sz w:val="18"/>
                <w:szCs w:val="18"/>
                <w:lang w:eastAsia="zh-CN"/>
              </w:rPr>
            </w:pPr>
            <w:r w:rsidRPr="000A0A5F">
              <w:rPr>
                <w:rFonts w:ascii="Arial" w:hAnsi="Arial" w:cs="Arial"/>
                <w:sz w:val="18"/>
                <w:szCs w:val="18"/>
                <w:lang w:eastAsia="zh-CN"/>
              </w:rPr>
              <w:t xml:space="preserve">If "monitoringType" attribute (or the "addnMonTypes" attribute) is set to "ROAMING_STATUS", </w:t>
            </w:r>
            <w:r w:rsidRPr="000A0A5F">
              <w:rPr>
                <w:rFonts w:ascii="Arial" w:eastAsia="Batang" w:hAnsi="Arial" w:cs="Arial"/>
                <w:sz w:val="18"/>
                <w:szCs w:val="18"/>
                <w:lang w:eastAsia="zh-CN"/>
              </w:rPr>
              <w:t>this parameter may be included to</w:t>
            </w:r>
            <w:r w:rsidRPr="000A0A5F">
              <w:rPr>
                <w:rFonts w:ascii="Arial" w:hAnsi="Arial" w:cs="Arial" w:hint="eastAsia"/>
                <w:sz w:val="18"/>
                <w:szCs w:val="18"/>
                <w:lang w:eastAsia="zh-CN"/>
              </w:rPr>
              <w:t xml:space="preserve"> i</w:t>
            </w:r>
            <w:r w:rsidRPr="000A0A5F">
              <w:rPr>
                <w:rFonts w:ascii="Arial" w:hAnsi="Arial" w:cs="Arial"/>
                <w:sz w:val="18"/>
                <w:szCs w:val="18"/>
                <w:lang w:eastAsia="zh-CN"/>
              </w:rPr>
              <w:t>ndicate the notification of UE's Serving PLMN ID.</w:t>
            </w:r>
          </w:p>
          <w:p w:rsidR="00510DDC" w:rsidRPr="000A0A5F" w:rsidRDefault="00510DDC" w:rsidP="00510DDC">
            <w:pPr>
              <w:pStyle w:val="B10"/>
              <w:rPr>
                <w:rFonts w:ascii="Arial" w:hAnsi="Arial" w:cs="Arial"/>
                <w:sz w:val="18"/>
                <w:szCs w:val="18"/>
                <w:lang w:eastAsia="zh-CN"/>
              </w:rPr>
            </w:pPr>
            <w:r w:rsidRPr="000A0A5F">
              <w:rPr>
                <w:rFonts w:ascii="Arial" w:hAnsi="Arial" w:cs="Arial" w:hint="eastAsia"/>
                <w:sz w:val="18"/>
                <w:szCs w:val="18"/>
                <w:lang w:eastAsia="zh-CN"/>
              </w:rPr>
              <w:t>-</w:t>
            </w:r>
            <w:r w:rsidRPr="000A0A5F">
              <w:rPr>
                <w:rFonts w:ascii="Arial" w:hAnsi="Arial" w:cs="Arial" w:hint="eastAsia"/>
                <w:sz w:val="18"/>
                <w:szCs w:val="18"/>
                <w:lang w:eastAsia="zh-CN"/>
              </w:rPr>
              <w:tab/>
            </w:r>
            <w:r w:rsidRPr="000A0A5F">
              <w:rPr>
                <w:rFonts w:ascii="Arial" w:hAnsi="Arial" w:cs="Arial"/>
                <w:sz w:val="18"/>
                <w:szCs w:val="18"/>
                <w:lang w:eastAsia="zh-CN"/>
              </w:rPr>
              <w:t>"true": The value shall be used to indicate enabling of notification;</w:t>
            </w:r>
          </w:p>
          <w:p w:rsidR="00510DDC" w:rsidRPr="000A0A5F" w:rsidRDefault="00510DDC" w:rsidP="00510DDC">
            <w:pPr>
              <w:pStyle w:val="B10"/>
              <w:rPr>
                <w:lang w:eastAsia="zh-CN"/>
              </w:rPr>
            </w:pPr>
            <w:r w:rsidRPr="000A0A5F">
              <w:rPr>
                <w:rFonts w:ascii="Arial" w:hAnsi="Arial" w:cs="Arial" w:hint="eastAsia"/>
                <w:sz w:val="18"/>
                <w:szCs w:val="18"/>
                <w:lang w:eastAsia="zh-CN"/>
              </w:rPr>
              <w:t>-</w:t>
            </w:r>
            <w:r w:rsidRPr="000A0A5F">
              <w:rPr>
                <w:rFonts w:ascii="Arial" w:hAnsi="Arial" w:cs="Arial" w:hint="eastAsia"/>
                <w:sz w:val="18"/>
                <w:szCs w:val="18"/>
                <w:lang w:eastAsia="zh-CN"/>
              </w:rPr>
              <w:tab/>
            </w:r>
            <w:r w:rsidRPr="000A0A5F">
              <w:rPr>
                <w:rFonts w:ascii="Arial" w:hAnsi="Arial" w:cs="Arial"/>
                <w:sz w:val="18"/>
                <w:szCs w:val="18"/>
                <w:lang w:eastAsia="zh-CN"/>
              </w:rPr>
              <w:t>"false": The value shall be used to indicate disabling of notification.</w:t>
            </w:r>
          </w:p>
          <w:p w:rsidR="00510DDC" w:rsidRPr="000A0A5F" w:rsidRDefault="00510DDC" w:rsidP="00510DDC">
            <w:pPr>
              <w:pStyle w:val="TAL"/>
              <w:rPr>
                <w:rFonts w:cs="Arial"/>
                <w:szCs w:val="18"/>
                <w:lang w:eastAsia="zh-CN"/>
              </w:rPr>
            </w:pPr>
            <w:r w:rsidRPr="000A0A5F">
              <w:rPr>
                <w:rFonts w:cs="Arial"/>
                <w:szCs w:val="18"/>
                <w:lang w:eastAsia="zh-CN"/>
              </w:rPr>
              <w:t>Default: "false" if omitted.</w:t>
            </w:r>
          </w:p>
        </w:tc>
        <w:tc>
          <w:tcPr>
            <w:tcW w:w="1392" w:type="dxa"/>
          </w:tcPr>
          <w:p w:rsidR="00510DDC" w:rsidRPr="000A0A5F" w:rsidRDefault="00510DDC" w:rsidP="00510DDC">
            <w:pPr>
              <w:pStyle w:val="TAL"/>
              <w:rPr>
                <w:rFonts w:eastAsia="Times New Roman" w:cs="Arial"/>
                <w:szCs w:val="18"/>
              </w:rPr>
            </w:pPr>
            <w:r w:rsidRPr="000A0A5F">
              <w:rPr>
                <w:lang w:eastAsia="zh-CN"/>
              </w:rPr>
              <w:t>Roaming_status_notification</w:t>
            </w:r>
          </w:p>
        </w:tc>
      </w:tr>
      <w:tr w:rsidR="00510DDC" w:rsidRPr="000A0A5F" w:rsidTr="002B45A7">
        <w:trPr>
          <w:jc w:val="center"/>
        </w:trPr>
        <w:tc>
          <w:tcPr>
            <w:tcW w:w="2026" w:type="dxa"/>
            <w:shd w:val="clear" w:color="auto" w:fill="auto"/>
          </w:tcPr>
          <w:p w:rsidR="00510DDC" w:rsidRPr="000A0A5F" w:rsidRDefault="00510DDC" w:rsidP="00510DDC">
            <w:pPr>
              <w:pStyle w:val="TAL"/>
              <w:rPr>
                <w:rFonts w:hint="eastAsia"/>
                <w:lang w:eastAsia="zh-CN"/>
              </w:rPr>
            </w:pPr>
            <w:r w:rsidRPr="000A0A5F">
              <w:rPr>
                <w:lang w:eastAsia="zh-CN"/>
              </w:rPr>
              <w:t>locationArea</w:t>
            </w:r>
          </w:p>
        </w:tc>
        <w:tc>
          <w:tcPr>
            <w:tcW w:w="1492" w:type="dxa"/>
            <w:shd w:val="clear" w:color="auto" w:fill="auto"/>
          </w:tcPr>
          <w:p w:rsidR="00510DDC" w:rsidRPr="000A0A5F" w:rsidRDefault="00510DDC" w:rsidP="00510DDC">
            <w:pPr>
              <w:pStyle w:val="TAL"/>
              <w:rPr>
                <w:rFonts w:hint="eastAsia"/>
                <w:lang w:eastAsia="zh-CN"/>
              </w:rPr>
            </w:pPr>
            <w:r w:rsidRPr="000A0A5F">
              <w:rPr>
                <w:lang w:eastAsia="zh-CN"/>
              </w:rPr>
              <w:t>LocationArea</w:t>
            </w:r>
          </w:p>
        </w:tc>
        <w:tc>
          <w:tcPr>
            <w:tcW w:w="1134" w:type="dxa"/>
            <w:shd w:val="clear" w:color="auto" w:fill="auto"/>
          </w:tcPr>
          <w:p w:rsidR="00510DDC" w:rsidRPr="000A0A5F" w:rsidRDefault="00510DDC" w:rsidP="00510DDC">
            <w:pPr>
              <w:pStyle w:val="TAC"/>
              <w:jc w:val="left"/>
              <w:rPr>
                <w:rFonts w:eastAsia="Times New Roman"/>
              </w:rPr>
            </w:pPr>
            <w:r w:rsidRPr="000A0A5F">
              <w:rPr>
                <w:rFonts w:cs="Arial" w:hint="eastAsia"/>
                <w:szCs w:val="18"/>
                <w:lang w:eastAsia="zh-CN"/>
              </w:rPr>
              <w:t>0..1</w:t>
            </w:r>
          </w:p>
        </w:tc>
        <w:tc>
          <w:tcPr>
            <w:tcW w:w="3544" w:type="dxa"/>
            <w:shd w:val="clear" w:color="auto" w:fill="auto"/>
          </w:tcPr>
          <w:p w:rsidR="00510DDC" w:rsidRPr="000A0A5F" w:rsidRDefault="00510DDC" w:rsidP="00510DDC">
            <w:pPr>
              <w:pStyle w:val="TAL"/>
              <w:rPr>
                <w:rFonts w:cs="Arial"/>
                <w:szCs w:val="18"/>
                <w:lang w:eastAsia="zh-CN"/>
              </w:rPr>
            </w:pPr>
            <w:r w:rsidRPr="000A0A5F">
              <w:rPr>
                <w:rFonts w:cs="Arial"/>
                <w:szCs w:val="18"/>
                <w:lang w:eastAsia="zh-CN"/>
              </w:rPr>
              <w:t>If "monitoringType" attribute (or the "addnMonTypes" attribute) is set to "NUMBER_OF_UES_IN_AN_AREA", this parameter may be included to</w:t>
            </w:r>
            <w:r w:rsidRPr="000A0A5F">
              <w:rPr>
                <w:rFonts w:cs="Arial" w:hint="eastAsia"/>
                <w:szCs w:val="18"/>
                <w:lang w:eastAsia="zh-CN"/>
              </w:rPr>
              <w:t xml:space="preserve"> i</w:t>
            </w:r>
            <w:r w:rsidRPr="000A0A5F">
              <w:rPr>
                <w:rFonts w:cs="Arial"/>
                <w:szCs w:val="18"/>
                <w:lang w:eastAsia="zh-CN"/>
              </w:rPr>
              <w:t>ndicate the area within which the SCS/AS requests the number of UEs.</w:t>
            </w:r>
          </w:p>
          <w:p w:rsidR="00510DDC" w:rsidRPr="000A0A5F" w:rsidRDefault="00510DDC" w:rsidP="00510DDC">
            <w:pPr>
              <w:pStyle w:val="TAL"/>
              <w:rPr>
                <w:rFonts w:cs="Arial"/>
                <w:szCs w:val="18"/>
                <w:lang w:eastAsia="zh-CN"/>
              </w:rPr>
            </w:pPr>
            <w:r w:rsidRPr="000A0A5F">
              <w:rPr>
                <w:rFonts w:cs="Arial"/>
                <w:szCs w:val="18"/>
                <w:lang w:eastAsia="zh-CN"/>
              </w:rPr>
              <w:t>If "monitoringType" attribute (or the "addnMonTypes" attribute) is set to "</w:t>
            </w:r>
            <w:r w:rsidRPr="000A0A5F">
              <w:rPr>
                <w:noProof/>
              </w:rPr>
              <w:t>AREA_OF_INTEREST</w:t>
            </w:r>
            <w:r w:rsidRPr="000A0A5F">
              <w:rPr>
                <w:rFonts w:cs="Arial"/>
                <w:szCs w:val="18"/>
                <w:lang w:eastAsia="zh-CN"/>
              </w:rPr>
              <w:t>", this parameter shall be included to</w:t>
            </w:r>
            <w:r w:rsidRPr="000A0A5F">
              <w:rPr>
                <w:rFonts w:cs="Arial" w:hint="eastAsia"/>
                <w:szCs w:val="18"/>
                <w:lang w:eastAsia="zh-CN"/>
              </w:rPr>
              <w:t xml:space="preserve"> i</w:t>
            </w:r>
            <w:r w:rsidRPr="000A0A5F">
              <w:rPr>
                <w:rFonts w:cs="Arial"/>
                <w:szCs w:val="18"/>
                <w:lang w:eastAsia="zh-CN"/>
              </w:rPr>
              <w:t xml:space="preserve">ndicate the area within which the SCS/AS requests the presence status of </w:t>
            </w:r>
            <w:r w:rsidRPr="000A0A5F">
              <w:rPr>
                <w:rFonts w:cs="Arial"/>
                <w:szCs w:val="18"/>
              </w:rPr>
              <w:t>a specific UAV</w:t>
            </w:r>
            <w:r w:rsidRPr="000A0A5F">
              <w:rPr>
                <w:rFonts w:cs="Arial"/>
                <w:szCs w:val="18"/>
                <w:lang w:eastAsia="zh-CN"/>
              </w:rPr>
              <w:t>.</w:t>
            </w:r>
          </w:p>
        </w:tc>
        <w:tc>
          <w:tcPr>
            <w:tcW w:w="1392" w:type="dxa"/>
          </w:tcPr>
          <w:p w:rsidR="00510DDC" w:rsidRPr="000A0A5F" w:rsidRDefault="00510DDC" w:rsidP="00510DDC">
            <w:pPr>
              <w:pStyle w:val="TAL"/>
              <w:rPr>
                <w:rFonts w:eastAsia="Times New Roman" w:cs="Arial"/>
                <w:szCs w:val="18"/>
              </w:rPr>
            </w:pPr>
            <w:r w:rsidRPr="000A0A5F">
              <w:rPr>
                <w:rFonts w:hint="eastAsia"/>
                <w:lang w:eastAsia="zh-CN"/>
              </w:rPr>
              <w:t>Number_of_UEs</w:t>
            </w:r>
            <w:r w:rsidRPr="000A0A5F">
              <w:rPr>
                <w:lang w:eastAsia="zh-CN"/>
              </w:rPr>
              <w:t>_in_an_area_notification, UAV</w:t>
            </w:r>
          </w:p>
        </w:tc>
      </w:tr>
      <w:tr w:rsidR="00510DDC" w:rsidRPr="000A0A5F" w:rsidTr="002B45A7">
        <w:trPr>
          <w:jc w:val="center"/>
        </w:trPr>
        <w:tc>
          <w:tcPr>
            <w:tcW w:w="2026" w:type="dxa"/>
            <w:shd w:val="clear" w:color="auto" w:fill="auto"/>
          </w:tcPr>
          <w:p w:rsidR="00510DDC" w:rsidRPr="000A0A5F" w:rsidRDefault="00510DDC" w:rsidP="00510DDC">
            <w:pPr>
              <w:pStyle w:val="TAL"/>
              <w:rPr>
                <w:lang w:eastAsia="zh-CN"/>
              </w:rPr>
            </w:pPr>
            <w:r w:rsidRPr="000A0A5F">
              <w:rPr>
                <w:lang w:eastAsia="zh-CN"/>
              </w:rPr>
              <w:t>locationArea5G</w:t>
            </w:r>
          </w:p>
        </w:tc>
        <w:tc>
          <w:tcPr>
            <w:tcW w:w="1492" w:type="dxa"/>
            <w:shd w:val="clear" w:color="auto" w:fill="auto"/>
          </w:tcPr>
          <w:p w:rsidR="00510DDC" w:rsidRPr="000A0A5F" w:rsidRDefault="00510DDC" w:rsidP="00510DDC">
            <w:pPr>
              <w:pStyle w:val="TAL"/>
              <w:rPr>
                <w:lang w:eastAsia="zh-CN"/>
              </w:rPr>
            </w:pPr>
            <w:r w:rsidRPr="000A0A5F">
              <w:rPr>
                <w:lang w:eastAsia="zh-CN"/>
              </w:rPr>
              <w:t>LocationArea5G</w:t>
            </w:r>
          </w:p>
        </w:tc>
        <w:tc>
          <w:tcPr>
            <w:tcW w:w="1134" w:type="dxa"/>
            <w:shd w:val="clear" w:color="auto" w:fill="auto"/>
          </w:tcPr>
          <w:p w:rsidR="00510DDC" w:rsidRPr="000A0A5F" w:rsidRDefault="00510DDC" w:rsidP="00510DDC">
            <w:pPr>
              <w:pStyle w:val="TAC"/>
              <w:jc w:val="left"/>
              <w:rPr>
                <w:rFonts w:cs="Arial" w:hint="eastAsia"/>
                <w:szCs w:val="18"/>
                <w:lang w:eastAsia="zh-CN"/>
              </w:rPr>
            </w:pPr>
            <w:r w:rsidRPr="000A0A5F">
              <w:rPr>
                <w:rFonts w:cs="Arial" w:hint="eastAsia"/>
                <w:szCs w:val="18"/>
                <w:lang w:eastAsia="zh-CN"/>
              </w:rPr>
              <w:t>0..1</w:t>
            </w:r>
          </w:p>
        </w:tc>
        <w:tc>
          <w:tcPr>
            <w:tcW w:w="3544" w:type="dxa"/>
            <w:shd w:val="clear" w:color="auto" w:fill="auto"/>
          </w:tcPr>
          <w:p w:rsidR="00510DDC" w:rsidRPr="000A0A5F" w:rsidRDefault="00510DDC" w:rsidP="00510DDC">
            <w:pPr>
              <w:pStyle w:val="TAL"/>
              <w:rPr>
                <w:rFonts w:cs="Arial"/>
                <w:szCs w:val="18"/>
                <w:lang w:eastAsia="zh-CN"/>
              </w:rPr>
            </w:pPr>
            <w:r w:rsidRPr="000A0A5F">
              <w:rPr>
                <w:rFonts w:cs="Arial"/>
                <w:szCs w:val="18"/>
                <w:lang w:eastAsia="zh-CN"/>
              </w:rPr>
              <w:t>If "monitoringType" attribute (or the "addnMonTypes" attribute) is set to "NUMBER_OF_UES_IN_AN_AREA", this parameter may be included to</w:t>
            </w:r>
            <w:r w:rsidRPr="000A0A5F">
              <w:rPr>
                <w:rFonts w:cs="Arial" w:hint="eastAsia"/>
                <w:szCs w:val="18"/>
                <w:lang w:eastAsia="zh-CN"/>
              </w:rPr>
              <w:t xml:space="preserve"> i</w:t>
            </w:r>
            <w:r w:rsidRPr="000A0A5F">
              <w:rPr>
                <w:rFonts w:cs="Arial"/>
                <w:szCs w:val="18"/>
                <w:lang w:eastAsia="zh-CN"/>
              </w:rPr>
              <w:t xml:space="preserve">ndicate the area within which the AF requests the number of UEs. </w:t>
            </w:r>
          </w:p>
          <w:p w:rsidR="00510DDC" w:rsidRPr="000A0A5F" w:rsidRDefault="00510DDC" w:rsidP="00510DDC">
            <w:pPr>
              <w:pStyle w:val="TAL"/>
              <w:rPr>
                <w:rFonts w:cs="Arial"/>
                <w:szCs w:val="18"/>
                <w:lang w:eastAsia="zh-CN"/>
              </w:rPr>
            </w:pPr>
            <w:r w:rsidRPr="000A0A5F">
              <w:rPr>
                <w:rFonts w:cs="Arial"/>
                <w:szCs w:val="18"/>
                <w:lang w:eastAsia="zh-CN"/>
              </w:rPr>
              <w:t>If "monitoringType" attribute (or the "addnMonTypes" attribute) is set to "LOCATION_REPORTING", this parameter may be included to indicate the area within which the AF requests the area event of the target UE. (NOTE 12)</w:t>
            </w:r>
          </w:p>
          <w:p w:rsidR="00510DDC" w:rsidRPr="000A0A5F" w:rsidRDefault="00510DDC" w:rsidP="00510DDC">
            <w:pPr>
              <w:pStyle w:val="TAL"/>
              <w:rPr>
                <w:rFonts w:cs="Arial"/>
                <w:szCs w:val="18"/>
                <w:lang w:eastAsia="zh-CN"/>
              </w:rPr>
            </w:pPr>
            <w:r w:rsidRPr="000A0A5F">
              <w:rPr>
                <w:rFonts w:cs="Arial"/>
                <w:szCs w:val="18"/>
                <w:lang w:eastAsia="zh-CN"/>
              </w:rPr>
              <w:t>If "monitoringType" attribute (or the "addnMonTypes" attribute) is set to "</w:t>
            </w:r>
            <w:r w:rsidRPr="000A0A5F">
              <w:rPr>
                <w:noProof/>
              </w:rPr>
              <w:t>AREA_OF_INTEREST</w:t>
            </w:r>
            <w:r w:rsidRPr="000A0A5F">
              <w:rPr>
                <w:rFonts w:cs="Arial"/>
                <w:szCs w:val="18"/>
                <w:lang w:eastAsia="zh-CN"/>
              </w:rPr>
              <w:t>", this parameter shall be included to</w:t>
            </w:r>
            <w:r w:rsidRPr="000A0A5F">
              <w:rPr>
                <w:rFonts w:cs="Arial" w:hint="eastAsia"/>
                <w:szCs w:val="18"/>
                <w:lang w:eastAsia="zh-CN"/>
              </w:rPr>
              <w:t xml:space="preserve"> i</w:t>
            </w:r>
            <w:r w:rsidRPr="000A0A5F">
              <w:rPr>
                <w:rFonts w:cs="Arial"/>
                <w:szCs w:val="18"/>
                <w:lang w:eastAsia="zh-CN"/>
              </w:rPr>
              <w:t xml:space="preserve">ndicate the area within which the AF requests the presence status of </w:t>
            </w:r>
            <w:r w:rsidRPr="000A0A5F">
              <w:rPr>
                <w:rFonts w:cs="Arial"/>
                <w:szCs w:val="18"/>
              </w:rPr>
              <w:t>a specific UAV</w:t>
            </w:r>
            <w:r w:rsidRPr="000A0A5F">
              <w:rPr>
                <w:rFonts w:cs="Arial"/>
                <w:szCs w:val="18"/>
                <w:lang w:eastAsia="zh-CN"/>
              </w:rPr>
              <w:t>.</w:t>
            </w:r>
          </w:p>
        </w:tc>
        <w:tc>
          <w:tcPr>
            <w:tcW w:w="1392" w:type="dxa"/>
          </w:tcPr>
          <w:p w:rsidR="00510DDC" w:rsidRPr="000A0A5F" w:rsidRDefault="00510DDC" w:rsidP="00510DDC">
            <w:pPr>
              <w:pStyle w:val="TAL"/>
              <w:rPr>
                <w:rFonts w:hint="eastAsia"/>
                <w:lang w:eastAsia="zh-CN"/>
              </w:rPr>
            </w:pPr>
            <w:r w:rsidRPr="000A0A5F">
              <w:rPr>
                <w:rFonts w:hint="eastAsia"/>
                <w:lang w:eastAsia="zh-CN"/>
              </w:rPr>
              <w:t>Number_of_UEs</w:t>
            </w:r>
            <w:r w:rsidRPr="000A0A5F">
              <w:rPr>
                <w:lang w:eastAsia="zh-CN"/>
              </w:rPr>
              <w:t>_in_an_area_notification_5G, eLCS, UAV</w:t>
            </w:r>
          </w:p>
        </w:tc>
      </w:tr>
      <w:tr w:rsidR="00510DDC" w:rsidRPr="000A0A5F" w:rsidTr="002B45A7">
        <w:trPr>
          <w:jc w:val="center"/>
        </w:trPr>
        <w:tc>
          <w:tcPr>
            <w:tcW w:w="2026" w:type="dxa"/>
            <w:shd w:val="clear" w:color="auto" w:fill="auto"/>
          </w:tcPr>
          <w:p w:rsidR="00510DDC" w:rsidRPr="000A0A5F" w:rsidRDefault="00510DDC" w:rsidP="00510DDC">
            <w:pPr>
              <w:pStyle w:val="TAL"/>
              <w:rPr>
                <w:lang w:eastAsia="zh-CN"/>
              </w:rPr>
            </w:pPr>
            <w:r w:rsidRPr="000A0A5F">
              <w:rPr>
                <w:noProof/>
              </w:rPr>
              <w:t>dddTraDescriptors</w:t>
            </w:r>
          </w:p>
        </w:tc>
        <w:tc>
          <w:tcPr>
            <w:tcW w:w="1492" w:type="dxa"/>
            <w:shd w:val="clear" w:color="auto" w:fill="auto"/>
          </w:tcPr>
          <w:p w:rsidR="00510DDC" w:rsidRPr="000A0A5F" w:rsidRDefault="00510DDC" w:rsidP="00510DDC">
            <w:pPr>
              <w:pStyle w:val="TAL"/>
              <w:rPr>
                <w:lang w:eastAsia="zh-CN"/>
              </w:rPr>
            </w:pPr>
            <w:r w:rsidRPr="000A0A5F">
              <w:rPr>
                <w:noProof/>
              </w:rPr>
              <w:t>array(DddTrafficDescriptor)</w:t>
            </w:r>
          </w:p>
        </w:tc>
        <w:tc>
          <w:tcPr>
            <w:tcW w:w="1134" w:type="dxa"/>
            <w:shd w:val="clear" w:color="auto" w:fill="auto"/>
          </w:tcPr>
          <w:p w:rsidR="00510DDC" w:rsidRPr="000A0A5F" w:rsidRDefault="00510DDC" w:rsidP="00510DDC">
            <w:pPr>
              <w:pStyle w:val="TAC"/>
              <w:jc w:val="left"/>
              <w:rPr>
                <w:rFonts w:cs="Arial" w:hint="eastAsia"/>
                <w:szCs w:val="18"/>
                <w:lang w:eastAsia="zh-CN"/>
              </w:rPr>
            </w:pPr>
            <w:r w:rsidRPr="000A0A5F">
              <w:rPr>
                <w:rFonts w:cs="Arial" w:hint="eastAsia"/>
                <w:szCs w:val="18"/>
                <w:lang w:eastAsia="zh-CN"/>
              </w:rPr>
              <w:t>0..</w:t>
            </w:r>
            <w:r w:rsidRPr="000A0A5F">
              <w:rPr>
                <w:rFonts w:cs="Arial"/>
                <w:szCs w:val="18"/>
                <w:lang w:eastAsia="zh-CN"/>
              </w:rPr>
              <w:t>N</w:t>
            </w:r>
          </w:p>
        </w:tc>
        <w:tc>
          <w:tcPr>
            <w:tcW w:w="3544" w:type="dxa"/>
            <w:shd w:val="clear" w:color="auto" w:fill="auto"/>
          </w:tcPr>
          <w:p w:rsidR="00510DDC" w:rsidRPr="000A0A5F" w:rsidRDefault="00510DDC" w:rsidP="00510DDC">
            <w:pPr>
              <w:pStyle w:val="TAL"/>
              <w:rPr>
                <w:rFonts w:cs="Arial"/>
                <w:szCs w:val="18"/>
                <w:lang w:eastAsia="zh-CN"/>
              </w:rPr>
            </w:pPr>
            <w:r w:rsidRPr="000A0A5F">
              <w:t>The traffic descriptor(s) of the downlink data source. May be included</w:t>
            </w:r>
            <w:r w:rsidRPr="000A0A5F">
              <w:rPr>
                <w:noProof/>
              </w:rPr>
              <w:t xml:space="preserve"> for event "DOWNLINK_DATA_DELIVERY_STATUS</w:t>
            </w:r>
            <w:r w:rsidRPr="000A0A5F">
              <w:t>" or "</w:t>
            </w:r>
            <w:r w:rsidRPr="000A0A5F">
              <w:rPr>
                <w:rFonts w:cs="Arial"/>
                <w:szCs w:val="18"/>
              </w:rPr>
              <w:t>AVAILABILITY_AFTER_DDN_FAILURE"</w:t>
            </w:r>
            <w:r w:rsidRPr="000A0A5F">
              <w:t>.</w:t>
            </w:r>
          </w:p>
        </w:tc>
        <w:tc>
          <w:tcPr>
            <w:tcW w:w="1392" w:type="dxa"/>
          </w:tcPr>
          <w:p w:rsidR="00510DDC" w:rsidRPr="000A0A5F" w:rsidRDefault="00510DDC" w:rsidP="00510DDC">
            <w:pPr>
              <w:pStyle w:val="TAL"/>
              <w:rPr>
                <w:lang w:eastAsia="zh-CN"/>
              </w:rPr>
            </w:pPr>
            <w:r w:rsidRPr="000A0A5F">
              <w:rPr>
                <w:rFonts w:hint="eastAsia"/>
                <w:lang w:eastAsia="zh-CN"/>
              </w:rPr>
              <w:t>Downlink_data</w:t>
            </w:r>
            <w:r w:rsidRPr="000A0A5F">
              <w:rPr>
                <w:lang w:eastAsia="zh-CN"/>
              </w:rPr>
              <w:t>_delivery_status_5G,</w:t>
            </w:r>
          </w:p>
          <w:p w:rsidR="00510DDC" w:rsidRPr="000A0A5F" w:rsidRDefault="00510DDC" w:rsidP="00510DDC">
            <w:pPr>
              <w:pStyle w:val="TAL"/>
              <w:rPr>
                <w:rFonts w:hint="eastAsia"/>
                <w:lang w:eastAsia="zh-CN"/>
              </w:rPr>
            </w:pPr>
            <w:r w:rsidRPr="000A0A5F">
              <w:t>Availability_after_DDN_failure_notification_enhancement</w:t>
            </w:r>
          </w:p>
        </w:tc>
      </w:tr>
      <w:tr w:rsidR="00510DDC" w:rsidRPr="000A0A5F" w:rsidTr="002B45A7">
        <w:trPr>
          <w:jc w:val="center"/>
        </w:trPr>
        <w:tc>
          <w:tcPr>
            <w:tcW w:w="2026" w:type="dxa"/>
            <w:shd w:val="clear" w:color="auto" w:fill="auto"/>
          </w:tcPr>
          <w:p w:rsidR="00510DDC" w:rsidRPr="000A0A5F" w:rsidRDefault="00510DDC" w:rsidP="00510DDC">
            <w:pPr>
              <w:pStyle w:val="TAL"/>
              <w:rPr>
                <w:lang w:eastAsia="zh-CN"/>
              </w:rPr>
            </w:pPr>
            <w:r w:rsidRPr="000A0A5F">
              <w:rPr>
                <w:noProof/>
              </w:rPr>
              <w:t>dddStati</w:t>
            </w:r>
          </w:p>
        </w:tc>
        <w:tc>
          <w:tcPr>
            <w:tcW w:w="1492" w:type="dxa"/>
            <w:shd w:val="clear" w:color="auto" w:fill="auto"/>
          </w:tcPr>
          <w:p w:rsidR="00510DDC" w:rsidRPr="000A0A5F" w:rsidRDefault="00510DDC" w:rsidP="00510DDC">
            <w:pPr>
              <w:pStyle w:val="TAL"/>
              <w:rPr>
                <w:lang w:eastAsia="zh-CN"/>
              </w:rPr>
            </w:pPr>
            <w:r w:rsidRPr="000A0A5F">
              <w:rPr>
                <w:noProof/>
              </w:rPr>
              <w:t>array(DlDataDeliveryStatus)</w:t>
            </w:r>
          </w:p>
        </w:tc>
        <w:tc>
          <w:tcPr>
            <w:tcW w:w="1134" w:type="dxa"/>
            <w:shd w:val="clear" w:color="auto" w:fill="auto"/>
          </w:tcPr>
          <w:p w:rsidR="00510DDC" w:rsidRPr="000A0A5F" w:rsidRDefault="00510DDC" w:rsidP="00510DDC">
            <w:pPr>
              <w:pStyle w:val="TAC"/>
              <w:jc w:val="left"/>
              <w:rPr>
                <w:rFonts w:cs="Arial" w:hint="eastAsia"/>
                <w:szCs w:val="18"/>
                <w:lang w:eastAsia="zh-CN"/>
              </w:rPr>
            </w:pPr>
            <w:r w:rsidRPr="000A0A5F">
              <w:rPr>
                <w:rFonts w:cs="Arial" w:hint="eastAsia"/>
                <w:szCs w:val="18"/>
                <w:lang w:eastAsia="zh-CN"/>
              </w:rPr>
              <w:t>0..N</w:t>
            </w:r>
          </w:p>
        </w:tc>
        <w:tc>
          <w:tcPr>
            <w:tcW w:w="3544" w:type="dxa"/>
            <w:shd w:val="clear" w:color="auto" w:fill="auto"/>
          </w:tcPr>
          <w:p w:rsidR="00510DDC" w:rsidRPr="000A0A5F" w:rsidRDefault="00510DDC" w:rsidP="00510DDC">
            <w:pPr>
              <w:pStyle w:val="TAL"/>
              <w:rPr>
                <w:rFonts w:cs="Arial"/>
                <w:szCs w:val="18"/>
                <w:lang w:eastAsia="zh-CN"/>
              </w:rPr>
            </w:pPr>
            <w:r w:rsidRPr="000A0A5F">
              <w:t>May be included</w:t>
            </w:r>
            <w:r w:rsidRPr="000A0A5F">
              <w:rPr>
                <w:noProof/>
              </w:rPr>
              <w:t xml:space="preserve"> for event "DOWNLINK_DATA_DELIVERY_STATUS</w:t>
            </w:r>
            <w:r w:rsidRPr="000A0A5F">
              <w:t>". The subscribed stati (delivered, transmitted, buffered) for the event. If omitted all stati are subscribed.</w:t>
            </w:r>
          </w:p>
        </w:tc>
        <w:tc>
          <w:tcPr>
            <w:tcW w:w="1392" w:type="dxa"/>
          </w:tcPr>
          <w:p w:rsidR="00510DDC" w:rsidRPr="000A0A5F" w:rsidRDefault="00510DDC" w:rsidP="00510DDC">
            <w:pPr>
              <w:pStyle w:val="TAL"/>
              <w:rPr>
                <w:rFonts w:hint="eastAsia"/>
                <w:lang w:eastAsia="zh-CN"/>
              </w:rPr>
            </w:pPr>
            <w:r w:rsidRPr="000A0A5F">
              <w:rPr>
                <w:rFonts w:hint="eastAsia"/>
                <w:lang w:eastAsia="zh-CN"/>
              </w:rPr>
              <w:t>Downlink_data</w:t>
            </w:r>
            <w:r w:rsidRPr="000A0A5F">
              <w:rPr>
                <w:lang w:eastAsia="zh-CN"/>
              </w:rPr>
              <w:t>_delivery_status_5G</w:t>
            </w:r>
          </w:p>
        </w:tc>
      </w:tr>
      <w:tr w:rsidR="00510DDC" w:rsidRPr="000A0A5F" w:rsidTr="002B45A7">
        <w:trPr>
          <w:jc w:val="center"/>
        </w:trPr>
        <w:tc>
          <w:tcPr>
            <w:tcW w:w="2026" w:type="dxa"/>
            <w:shd w:val="clear" w:color="auto" w:fill="auto"/>
          </w:tcPr>
          <w:p w:rsidR="00510DDC" w:rsidRPr="000A0A5F" w:rsidRDefault="00510DDC" w:rsidP="00510DDC">
            <w:pPr>
              <w:pStyle w:val="TAL"/>
              <w:rPr>
                <w:rFonts w:hint="eastAsia"/>
                <w:lang w:eastAsia="zh-CN"/>
              </w:rPr>
            </w:pPr>
            <w:r w:rsidRPr="000A0A5F">
              <w:t>monitoringEventReport</w:t>
            </w:r>
          </w:p>
        </w:tc>
        <w:tc>
          <w:tcPr>
            <w:tcW w:w="1492" w:type="dxa"/>
            <w:shd w:val="clear" w:color="auto" w:fill="auto"/>
          </w:tcPr>
          <w:p w:rsidR="00510DDC" w:rsidRPr="000A0A5F" w:rsidRDefault="00510DDC" w:rsidP="00510DDC">
            <w:pPr>
              <w:pStyle w:val="TAL"/>
              <w:rPr>
                <w:lang w:eastAsia="zh-CN"/>
              </w:rPr>
            </w:pPr>
            <w:r w:rsidRPr="000A0A5F">
              <w:t>MonitoringEventReport</w:t>
            </w:r>
          </w:p>
        </w:tc>
        <w:tc>
          <w:tcPr>
            <w:tcW w:w="1134" w:type="dxa"/>
            <w:shd w:val="clear" w:color="auto" w:fill="auto"/>
          </w:tcPr>
          <w:p w:rsidR="00510DDC" w:rsidRPr="000A0A5F" w:rsidRDefault="00510DDC" w:rsidP="00510DDC">
            <w:pPr>
              <w:pStyle w:val="TAC"/>
              <w:jc w:val="left"/>
              <w:rPr>
                <w:rFonts w:cs="Arial" w:hint="eastAsia"/>
                <w:szCs w:val="18"/>
                <w:lang w:eastAsia="zh-CN"/>
              </w:rPr>
            </w:pPr>
            <w:r w:rsidRPr="000A0A5F">
              <w:rPr>
                <w:rFonts w:cs="Arial" w:hint="eastAsia"/>
                <w:szCs w:val="18"/>
                <w:lang w:eastAsia="zh-CN"/>
              </w:rPr>
              <w:t>0..1</w:t>
            </w:r>
          </w:p>
        </w:tc>
        <w:tc>
          <w:tcPr>
            <w:tcW w:w="3544" w:type="dxa"/>
            <w:shd w:val="clear" w:color="auto" w:fill="auto"/>
          </w:tcPr>
          <w:p w:rsidR="00510DDC" w:rsidRPr="000A0A5F" w:rsidRDefault="00510DDC" w:rsidP="00510DDC">
            <w:pPr>
              <w:pStyle w:val="TAL"/>
              <w:rPr>
                <w:rFonts w:cs="Arial"/>
                <w:szCs w:val="18"/>
                <w:lang w:eastAsia="zh-CN"/>
              </w:rPr>
            </w:pPr>
            <w:r w:rsidRPr="000A0A5F">
              <w:rPr>
                <w:rFonts w:cs="Arial" w:hint="eastAsia"/>
                <w:szCs w:val="18"/>
                <w:lang w:eastAsia="zh-CN"/>
              </w:rPr>
              <w:t xml:space="preserve">Identifies </w:t>
            </w:r>
            <w:r w:rsidRPr="000A0A5F">
              <w:t>a monitoring event report which is sent from the SCEF to the SCS/AS.</w:t>
            </w:r>
          </w:p>
        </w:tc>
        <w:tc>
          <w:tcPr>
            <w:tcW w:w="1392" w:type="dxa"/>
          </w:tcPr>
          <w:p w:rsidR="00510DDC" w:rsidRPr="000A0A5F" w:rsidRDefault="00510DDC" w:rsidP="00510DDC">
            <w:pPr>
              <w:pStyle w:val="TAL"/>
              <w:rPr>
                <w:rFonts w:hint="eastAsia"/>
                <w:lang w:eastAsia="zh-CN"/>
              </w:rPr>
            </w:pPr>
          </w:p>
        </w:tc>
      </w:tr>
      <w:tr w:rsidR="00510DDC" w:rsidRPr="000A0A5F" w:rsidTr="002B45A7">
        <w:trPr>
          <w:jc w:val="center"/>
        </w:trPr>
        <w:tc>
          <w:tcPr>
            <w:tcW w:w="2026" w:type="dxa"/>
            <w:shd w:val="clear" w:color="auto" w:fill="auto"/>
          </w:tcPr>
          <w:p w:rsidR="00510DDC" w:rsidRPr="000A0A5F" w:rsidRDefault="00510DDC" w:rsidP="00510DDC">
            <w:pPr>
              <w:pStyle w:val="TAL"/>
            </w:pPr>
            <w:r w:rsidRPr="000A0A5F">
              <w:rPr>
                <w:noProof/>
                <w:lang w:eastAsia="zh-CN"/>
              </w:rPr>
              <w:t>apiNames</w:t>
            </w:r>
          </w:p>
        </w:tc>
        <w:tc>
          <w:tcPr>
            <w:tcW w:w="1492" w:type="dxa"/>
            <w:shd w:val="clear" w:color="auto" w:fill="auto"/>
          </w:tcPr>
          <w:p w:rsidR="00510DDC" w:rsidRPr="000A0A5F" w:rsidRDefault="00510DDC" w:rsidP="00510DDC">
            <w:pPr>
              <w:pStyle w:val="TAL"/>
            </w:pPr>
            <w:r w:rsidRPr="000A0A5F">
              <w:rPr>
                <w:lang w:eastAsia="zh-CN"/>
              </w:rPr>
              <w:t>array(</w:t>
            </w:r>
            <w:r w:rsidRPr="000A0A5F">
              <w:t>string</w:t>
            </w:r>
            <w:r w:rsidRPr="000A0A5F">
              <w:rPr>
                <w:lang w:eastAsia="zh-CN"/>
              </w:rPr>
              <w:t>)</w:t>
            </w:r>
          </w:p>
        </w:tc>
        <w:tc>
          <w:tcPr>
            <w:tcW w:w="1134" w:type="dxa"/>
            <w:shd w:val="clear" w:color="auto" w:fill="auto"/>
          </w:tcPr>
          <w:p w:rsidR="00510DDC" w:rsidRPr="000A0A5F" w:rsidRDefault="00510DDC" w:rsidP="00510DDC">
            <w:pPr>
              <w:pStyle w:val="TAC"/>
              <w:jc w:val="left"/>
              <w:rPr>
                <w:rFonts w:cs="Arial" w:hint="eastAsia"/>
                <w:szCs w:val="18"/>
                <w:lang w:eastAsia="zh-CN"/>
              </w:rPr>
            </w:pPr>
            <w:r w:rsidRPr="000A0A5F">
              <w:rPr>
                <w:lang w:eastAsia="zh-CN"/>
              </w:rPr>
              <w:t>0..N</w:t>
            </w:r>
          </w:p>
        </w:tc>
        <w:tc>
          <w:tcPr>
            <w:tcW w:w="3544" w:type="dxa"/>
            <w:shd w:val="clear" w:color="auto" w:fill="auto"/>
          </w:tcPr>
          <w:p w:rsidR="00510DDC" w:rsidRPr="000A0A5F" w:rsidRDefault="00510DDC" w:rsidP="00510DDC">
            <w:pPr>
              <w:pStyle w:val="TAL"/>
              <w:rPr>
                <w:rFonts w:cs="Arial"/>
                <w:szCs w:val="18"/>
                <w:lang w:eastAsia="zh-CN"/>
              </w:rPr>
            </w:pPr>
            <w:r w:rsidRPr="000A0A5F">
              <w:rPr>
                <w:rFonts w:cs="Arial"/>
                <w:szCs w:val="18"/>
                <w:lang w:eastAsia="zh-CN"/>
              </w:rPr>
              <w:t>If "monitoringType" attribute (or the "addnMonTypes" attribute) is set to "API_SUPPORT_CAPABILITY", this parameter may be included. Each element id</w:t>
            </w:r>
            <w:r w:rsidRPr="000A0A5F">
              <w:rPr>
                <w:rFonts w:cs="Arial" w:hint="eastAsia"/>
                <w:szCs w:val="18"/>
                <w:lang w:eastAsia="zh-CN"/>
              </w:rPr>
              <w:t>entifies</w:t>
            </w:r>
            <w:r w:rsidRPr="000A0A5F">
              <w:rPr>
                <w:rFonts w:cs="Arial"/>
                <w:szCs w:val="18"/>
                <w:lang w:eastAsia="zh-CN"/>
              </w:rPr>
              <w:t xml:space="preserve"> the name of an API.</w:t>
            </w:r>
          </w:p>
          <w:p w:rsidR="00510DDC" w:rsidRPr="000A0A5F" w:rsidRDefault="00510DDC" w:rsidP="00510DDC">
            <w:pPr>
              <w:pStyle w:val="TAL"/>
              <w:rPr>
                <w:rFonts w:cs="Arial"/>
                <w:szCs w:val="18"/>
                <w:lang w:eastAsia="zh-CN"/>
              </w:rPr>
            </w:pPr>
          </w:p>
          <w:p w:rsidR="00510DDC" w:rsidRPr="000A0A5F" w:rsidRDefault="00510DDC" w:rsidP="00510DDC">
            <w:pPr>
              <w:pStyle w:val="TAL"/>
              <w:rPr>
                <w:rFonts w:cs="Arial"/>
                <w:szCs w:val="18"/>
              </w:rPr>
            </w:pPr>
            <w:r w:rsidRPr="000A0A5F">
              <w:t>I</w:t>
            </w:r>
            <w:r w:rsidRPr="000A0A5F">
              <w:rPr>
                <w:rFonts w:cs="Arial"/>
                <w:szCs w:val="18"/>
              </w:rPr>
              <w:t xml:space="preserve">t shall set as {apiName} </w:t>
            </w:r>
            <w:r w:rsidRPr="000A0A5F">
              <w:t xml:space="preserve">part of the URI structure for each T8 or N33 API as defined in the present specification or </w:t>
            </w:r>
            <w:r w:rsidRPr="000A0A5F">
              <w:rPr>
                <w:noProof/>
                <w:lang w:eastAsia="zh-CN"/>
              </w:rPr>
              <w:t>3GPP TS 29.522</w:t>
            </w:r>
            <w:r w:rsidRPr="000A0A5F">
              <w:rPr>
                <w:noProof/>
                <w:lang w:val="en-US" w:eastAsia="zh-CN"/>
              </w:rPr>
              <w:t> [62], respectively</w:t>
            </w:r>
            <w:r w:rsidRPr="000A0A5F">
              <w:rPr>
                <w:rFonts w:cs="Arial"/>
                <w:szCs w:val="18"/>
              </w:rPr>
              <w:t>.</w:t>
            </w:r>
          </w:p>
          <w:p w:rsidR="00510DDC" w:rsidRPr="000A0A5F" w:rsidRDefault="00510DDC" w:rsidP="00510DDC">
            <w:pPr>
              <w:pStyle w:val="TAL"/>
              <w:rPr>
                <w:rFonts w:cs="Arial"/>
                <w:szCs w:val="18"/>
              </w:rPr>
            </w:pPr>
          </w:p>
          <w:p w:rsidR="00510DDC" w:rsidRPr="000A0A5F" w:rsidRDefault="00510DDC" w:rsidP="00510DDC">
            <w:pPr>
              <w:pStyle w:val="TAL"/>
              <w:rPr>
                <w:rFonts w:cs="Arial"/>
                <w:szCs w:val="18"/>
                <w:lang w:eastAsia="zh-CN"/>
              </w:rPr>
            </w:pPr>
            <w:r w:rsidRPr="000A0A5F">
              <w:rPr>
                <w:rFonts w:cs="Arial"/>
                <w:szCs w:val="18"/>
              </w:rPr>
              <w:t xml:space="preserve">This allows the SCS/AS to request the capability change for its interested APIs. If it is omitted, the SCS/AS requests to be notified for capability change for all APIs the SCEF+NEF supports. </w:t>
            </w:r>
          </w:p>
        </w:tc>
        <w:tc>
          <w:tcPr>
            <w:tcW w:w="1392" w:type="dxa"/>
          </w:tcPr>
          <w:p w:rsidR="00510DDC" w:rsidRPr="000A0A5F" w:rsidRDefault="00510DDC" w:rsidP="00510DDC">
            <w:pPr>
              <w:pStyle w:val="TAL"/>
              <w:rPr>
                <w:rFonts w:hint="eastAsia"/>
                <w:lang w:eastAsia="zh-CN"/>
              </w:rPr>
            </w:pPr>
            <w:r w:rsidRPr="000A0A5F">
              <w:t>API_support_capability_notification</w:t>
            </w:r>
          </w:p>
        </w:tc>
      </w:tr>
      <w:tr w:rsidR="00510DDC" w:rsidRPr="000A0A5F" w:rsidTr="002B45A7">
        <w:trPr>
          <w:jc w:val="center"/>
        </w:trPr>
        <w:tc>
          <w:tcPr>
            <w:tcW w:w="2026" w:type="dxa"/>
            <w:shd w:val="clear" w:color="auto" w:fill="auto"/>
          </w:tcPr>
          <w:p w:rsidR="00510DDC" w:rsidRPr="000A0A5F" w:rsidRDefault="00510DDC" w:rsidP="00510DDC">
            <w:pPr>
              <w:pStyle w:val="TAL"/>
              <w:rPr>
                <w:noProof/>
                <w:lang w:eastAsia="zh-CN"/>
              </w:rPr>
            </w:pPr>
            <w:r w:rsidRPr="000A0A5F">
              <w:rPr>
                <w:noProof/>
                <w:lang w:eastAsia="zh-CN"/>
              </w:rPr>
              <w:t>tgtNsThreshold</w:t>
            </w:r>
          </w:p>
        </w:tc>
        <w:tc>
          <w:tcPr>
            <w:tcW w:w="1492" w:type="dxa"/>
            <w:shd w:val="clear" w:color="auto" w:fill="auto"/>
          </w:tcPr>
          <w:p w:rsidR="00510DDC" w:rsidRPr="000A0A5F" w:rsidRDefault="00510DDC" w:rsidP="00510DDC">
            <w:pPr>
              <w:pStyle w:val="TAL"/>
              <w:rPr>
                <w:lang w:eastAsia="zh-CN"/>
              </w:rPr>
            </w:pPr>
            <w:r w:rsidRPr="000A0A5F">
              <w:rPr>
                <w:lang w:eastAsia="zh-CN"/>
              </w:rPr>
              <w:t>SACInfo</w:t>
            </w:r>
          </w:p>
        </w:tc>
        <w:tc>
          <w:tcPr>
            <w:tcW w:w="1134" w:type="dxa"/>
            <w:shd w:val="clear" w:color="auto" w:fill="auto"/>
          </w:tcPr>
          <w:p w:rsidR="00510DDC" w:rsidRPr="000A0A5F" w:rsidRDefault="00510DDC" w:rsidP="00510DDC">
            <w:pPr>
              <w:pStyle w:val="TAC"/>
              <w:jc w:val="left"/>
              <w:rPr>
                <w:lang w:eastAsia="zh-CN"/>
              </w:rPr>
            </w:pPr>
            <w:r w:rsidRPr="000A0A5F">
              <w:rPr>
                <w:lang w:eastAsia="zh-CN"/>
              </w:rPr>
              <w:t>0..1</w:t>
            </w:r>
          </w:p>
        </w:tc>
        <w:tc>
          <w:tcPr>
            <w:tcW w:w="3544" w:type="dxa"/>
            <w:shd w:val="clear" w:color="auto" w:fill="auto"/>
          </w:tcPr>
          <w:p w:rsidR="00510DDC" w:rsidRPr="000A0A5F" w:rsidRDefault="00510DDC" w:rsidP="00510DDC">
            <w:pPr>
              <w:pStyle w:val="TAL"/>
              <w:rPr>
                <w:rFonts w:cs="Arial"/>
                <w:szCs w:val="18"/>
                <w:lang w:eastAsia="zh-CN"/>
              </w:rPr>
            </w:pPr>
            <w:r w:rsidRPr="000A0A5F">
              <w:rPr>
                <w:rFonts w:cs="Arial"/>
                <w:szCs w:val="18"/>
                <w:lang w:eastAsia="zh-CN"/>
              </w:rPr>
              <w:t>Indicates t</w:t>
            </w:r>
            <w:r w:rsidRPr="000A0A5F">
              <w:t xml:space="preserve">he </w:t>
            </w:r>
            <w:r w:rsidRPr="000A0A5F">
              <w:rPr>
                <w:lang w:eastAsia="zh-CN"/>
              </w:rPr>
              <w:t xml:space="preserve">monitoring </w:t>
            </w:r>
            <w:r w:rsidRPr="000A0A5F">
              <w:t xml:space="preserve">threshold </w:t>
            </w:r>
            <w:r w:rsidRPr="000A0A5F">
              <w:rPr>
                <w:lang w:eastAsia="zh-CN"/>
              </w:rPr>
              <w:t>value,</w:t>
            </w:r>
            <w:r w:rsidRPr="000A0A5F">
              <w:t xml:space="preserve"> for the network slice identified by the </w:t>
            </w:r>
            <w:r w:rsidRPr="000A0A5F">
              <w:rPr>
                <w:rFonts w:cs="Arial"/>
                <w:szCs w:val="18"/>
                <w:lang w:eastAsia="zh-CN"/>
              </w:rPr>
              <w:t xml:space="preserve">"snssai" </w:t>
            </w:r>
            <w:r w:rsidRPr="000A0A5F">
              <w:t>attirbute, upon which event notification(s) are triggered</w:t>
            </w:r>
            <w:r w:rsidRPr="000A0A5F">
              <w:rPr>
                <w:rFonts w:cs="Arial"/>
                <w:szCs w:val="18"/>
                <w:lang w:eastAsia="zh-CN"/>
              </w:rPr>
              <w:t>.</w:t>
            </w:r>
          </w:p>
          <w:p w:rsidR="00510DDC" w:rsidRPr="000A0A5F" w:rsidRDefault="00510DDC" w:rsidP="00510DDC">
            <w:pPr>
              <w:pStyle w:val="TAL"/>
              <w:rPr>
                <w:rFonts w:cs="Arial"/>
                <w:szCs w:val="18"/>
                <w:lang w:eastAsia="zh-CN"/>
              </w:rPr>
            </w:pPr>
          </w:p>
          <w:p w:rsidR="00510DDC" w:rsidRPr="000A0A5F" w:rsidRDefault="00510DDC" w:rsidP="00510DDC">
            <w:pPr>
              <w:pStyle w:val="TAL"/>
              <w:rPr>
                <w:rFonts w:cs="Arial"/>
                <w:szCs w:val="18"/>
                <w:lang w:eastAsia="zh-CN"/>
              </w:rPr>
            </w:pPr>
            <w:r w:rsidRPr="000A0A5F">
              <w:rPr>
                <w:rFonts w:cs="Arial"/>
                <w:szCs w:val="18"/>
                <w:lang w:eastAsia="zh-CN"/>
              </w:rPr>
              <w:t>This attribute may be provided if the "monitoringType" attribute (or the "addnMonTypes" attribute) is set to "</w:t>
            </w:r>
            <w:r w:rsidRPr="000A0A5F">
              <w:rPr>
                <w:noProof/>
              </w:rPr>
              <w:t>NUM_OF_REGD_UES</w:t>
            </w:r>
            <w:r w:rsidRPr="000A0A5F">
              <w:rPr>
                <w:rFonts w:cs="Arial"/>
                <w:szCs w:val="18"/>
                <w:lang w:eastAsia="zh-CN"/>
              </w:rPr>
              <w:t>" or "</w:t>
            </w:r>
            <w:r w:rsidRPr="000A0A5F">
              <w:rPr>
                <w:noProof/>
              </w:rPr>
              <w:t>NUM_OF_EST</w:t>
            </w:r>
            <w:r w:rsidRPr="000A0A5F">
              <w:rPr>
                <w:noProof/>
                <w:lang w:val="en-US"/>
              </w:rPr>
              <w:t>D</w:t>
            </w:r>
            <w:r w:rsidRPr="000A0A5F">
              <w:rPr>
                <w:noProof/>
              </w:rPr>
              <w:t>_PDU_SESSIONS</w:t>
            </w:r>
            <w:r w:rsidRPr="000A0A5F">
              <w:rPr>
                <w:rFonts w:cs="Arial"/>
                <w:szCs w:val="18"/>
                <w:lang w:eastAsia="zh-CN"/>
              </w:rPr>
              <w:t xml:space="preserve">". When provided, it also </w:t>
            </w:r>
            <w:r w:rsidRPr="000A0A5F">
              <w:rPr>
                <w:lang w:eastAsia="zh-CN"/>
              </w:rPr>
              <w:t>indicates that threshold based reporting of the network slice status information is requested by the AF.</w:t>
            </w:r>
          </w:p>
          <w:p w:rsidR="00510DDC" w:rsidRPr="000A0A5F" w:rsidRDefault="00510DDC" w:rsidP="00510DDC">
            <w:pPr>
              <w:pStyle w:val="TAL"/>
              <w:rPr>
                <w:rFonts w:cs="Arial"/>
                <w:szCs w:val="18"/>
                <w:lang w:eastAsia="zh-CN"/>
              </w:rPr>
            </w:pPr>
          </w:p>
          <w:p w:rsidR="00510DDC" w:rsidRPr="000A0A5F" w:rsidRDefault="00510DDC" w:rsidP="00510DDC">
            <w:pPr>
              <w:pStyle w:val="TAL"/>
              <w:rPr>
                <w:rFonts w:cs="Arial"/>
                <w:szCs w:val="18"/>
                <w:lang w:eastAsia="zh-CN"/>
              </w:rPr>
            </w:pPr>
            <w:r w:rsidRPr="000A0A5F">
              <w:rPr>
                <w:rFonts w:cs="Arial"/>
                <w:szCs w:val="18"/>
                <w:lang w:eastAsia="zh-CN"/>
              </w:rPr>
              <w:t>(NOTE 13)</w:t>
            </w:r>
          </w:p>
        </w:tc>
        <w:tc>
          <w:tcPr>
            <w:tcW w:w="1392" w:type="dxa"/>
          </w:tcPr>
          <w:p w:rsidR="00510DDC" w:rsidRPr="000A0A5F" w:rsidRDefault="00510DDC" w:rsidP="00510DDC">
            <w:pPr>
              <w:pStyle w:val="TAL"/>
            </w:pPr>
            <w:r w:rsidRPr="000A0A5F">
              <w:t>NSAC</w:t>
            </w:r>
          </w:p>
        </w:tc>
      </w:tr>
      <w:tr w:rsidR="00510DDC" w:rsidRPr="000A0A5F" w:rsidTr="002B45A7">
        <w:trPr>
          <w:jc w:val="center"/>
        </w:trPr>
        <w:tc>
          <w:tcPr>
            <w:tcW w:w="2026" w:type="dxa"/>
            <w:shd w:val="clear" w:color="auto" w:fill="auto"/>
          </w:tcPr>
          <w:p w:rsidR="00510DDC" w:rsidRPr="000A0A5F" w:rsidRDefault="00510DDC" w:rsidP="00510DDC">
            <w:pPr>
              <w:pStyle w:val="TAL"/>
              <w:rPr>
                <w:noProof/>
                <w:lang w:eastAsia="zh-CN"/>
              </w:rPr>
            </w:pPr>
            <w:r w:rsidRPr="000A0A5F">
              <w:rPr>
                <w:noProof/>
                <w:lang w:eastAsia="zh-CN"/>
              </w:rPr>
              <w:t>nsRepFormat</w:t>
            </w:r>
          </w:p>
        </w:tc>
        <w:tc>
          <w:tcPr>
            <w:tcW w:w="1492" w:type="dxa"/>
            <w:shd w:val="clear" w:color="auto" w:fill="auto"/>
          </w:tcPr>
          <w:p w:rsidR="00510DDC" w:rsidRPr="000A0A5F" w:rsidRDefault="00510DDC" w:rsidP="00510DDC">
            <w:pPr>
              <w:pStyle w:val="TAL"/>
              <w:rPr>
                <w:lang w:eastAsia="zh-CN"/>
              </w:rPr>
            </w:pPr>
            <w:r w:rsidRPr="000A0A5F">
              <w:rPr>
                <w:lang w:eastAsia="zh-CN"/>
              </w:rPr>
              <w:t>SACRepFormat</w:t>
            </w:r>
          </w:p>
        </w:tc>
        <w:tc>
          <w:tcPr>
            <w:tcW w:w="1134" w:type="dxa"/>
            <w:shd w:val="clear" w:color="auto" w:fill="auto"/>
          </w:tcPr>
          <w:p w:rsidR="00510DDC" w:rsidRPr="000A0A5F" w:rsidRDefault="00510DDC" w:rsidP="00510DDC">
            <w:pPr>
              <w:pStyle w:val="TAC"/>
              <w:jc w:val="left"/>
              <w:rPr>
                <w:lang w:eastAsia="zh-CN"/>
              </w:rPr>
            </w:pPr>
            <w:r w:rsidRPr="000A0A5F">
              <w:rPr>
                <w:lang w:eastAsia="zh-CN"/>
              </w:rPr>
              <w:t>0..1</w:t>
            </w:r>
          </w:p>
        </w:tc>
        <w:tc>
          <w:tcPr>
            <w:tcW w:w="3544" w:type="dxa"/>
            <w:shd w:val="clear" w:color="auto" w:fill="auto"/>
          </w:tcPr>
          <w:p w:rsidR="00510DDC" w:rsidRPr="000A0A5F" w:rsidRDefault="00510DDC" w:rsidP="00510DDC">
            <w:pPr>
              <w:pStyle w:val="TAL"/>
              <w:rPr>
                <w:rFonts w:cs="Arial"/>
                <w:szCs w:val="18"/>
                <w:lang w:eastAsia="zh-CN"/>
              </w:rPr>
            </w:pPr>
            <w:r w:rsidRPr="000A0A5F">
              <w:rPr>
                <w:rFonts w:cs="Arial"/>
                <w:szCs w:val="18"/>
                <w:lang w:eastAsia="zh-CN"/>
              </w:rPr>
              <w:t>Indicates t</w:t>
            </w:r>
            <w:r w:rsidRPr="000A0A5F">
              <w:t xml:space="preserve">he requested </w:t>
            </w:r>
            <w:r w:rsidRPr="000A0A5F">
              <w:rPr>
                <w:lang w:eastAsia="zh-CN"/>
              </w:rPr>
              <w:t>NSAC reporting format, i.e. "PERCENTAGE" or "NUMERICAL"</w:t>
            </w:r>
            <w:r w:rsidRPr="000A0A5F">
              <w:rPr>
                <w:rFonts w:cs="Arial"/>
                <w:szCs w:val="18"/>
                <w:lang w:eastAsia="zh-CN"/>
              </w:rPr>
              <w:t>.</w:t>
            </w:r>
          </w:p>
          <w:p w:rsidR="00510DDC" w:rsidRPr="000A0A5F" w:rsidRDefault="00510DDC" w:rsidP="00510DDC">
            <w:pPr>
              <w:pStyle w:val="TAL"/>
              <w:rPr>
                <w:rFonts w:cs="Arial"/>
                <w:szCs w:val="18"/>
                <w:lang w:eastAsia="zh-CN"/>
              </w:rPr>
            </w:pPr>
          </w:p>
          <w:p w:rsidR="00510DDC" w:rsidRPr="000A0A5F" w:rsidRDefault="00510DDC" w:rsidP="00510DDC">
            <w:pPr>
              <w:pStyle w:val="TAL"/>
              <w:rPr>
                <w:rFonts w:cs="Arial"/>
                <w:szCs w:val="18"/>
                <w:lang w:eastAsia="zh-CN"/>
              </w:rPr>
            </w:pPr>
            <w:r w:rsidRPr="000A0A5F">
              <w:rPr>
                <w:rFonts w:cs="Arial"/>
                <w:szCs w:val="18"/>
                <w:lang w:eastAsia="zh-CN"/>
              </w:rPr>
              <w:t>It shall be provided only if the "monitoringType" attribute (or the "addnMonTypes" attribute) is set to "</w:t>
            </w:r>
            <w:r w:rsidRPr="000A0A5F">
              <w:rPr>
                <w:noProof/>
              </w:rPr>
              <w:t>NUM_OF_REGD_UES</w:t>
            </w:r>
            <w:r w:rsidRPr="000A0A5F">
              <w:rPr>
                <w:rFonts w:cs="Arial"/>
                <w:szCs w:val="18"/>
                <w:lang w:eastAsia="zh-CN"/>
              </w:rPr>
              <w:t>" or "</w:t>
            </w:r>
            <w:r w:rsidRPr="000A0A5F">
              <w:rPr>
                <w:noProof/>
              </w:rPr>
              <w:t>NUM_OF_EST</w:t>
            </w:r>
            <w:r w:rsidRPr="000A0A5F">
              <w:rPr>
                <w:noProof/>
                <w:lang w:val="en-US"/>
              </w:rPr>
              <w:t>D</w:t>
            </w:r>
            <w:r w:rsidRPr="000A0A5F">
              <w:rPr>
                <w:noProof/>
              </w:rPr>
              <w:t>_PDU_SESSIONS</w:t>
            </w:r>
            <w:r w:rsidRPr="000A0A5F">
              <w:rPr>
                <w:rFonts w:cs="Arial"/>
                <w:szCs w:val="18"/>
                <w:lang w:eastAsia="zh-CN"/>
              </w:rPr>
              <w:t xml:space="preserve">" and periodic reporting is requested (i.e. the </w:t>
            </w:r>
            <w:r w:rsidRPr="000A0A5F">
              <w:t>"repPeriod" attribute is provided instead of the "tgtNsThreshold" attribute) or one-time reporting is requested (i.e.</w:t>
            </w:r>
            <w:r w:rsidRPr="000A0A5F">
              <w:rPr>
                <w:lang w:eastAsia="zh-CN"/>
              </w:rPr>
              <w:t xml:space="preserve"> the </w:t>
            </w:r>
            <w:r w:rsidRPr="000A0A5F">
              <w:rPr>
                <w:noProof/>
                <w:lang w:eastAsia="zh-CN"/>
              </w:rPr>
              <w:t>"</w:t>
            </w:r>
            <w:r w:rsidRPr="000A0A5F">
              <w:rPr>
                <w:rFonts w:hint="eastAsia"/>
                <w:lang w:eastAsia="zh-CN"/>
              </w:rPr>
              <w:t>maximumNumberOfReports</w:t>
            </w:r>
            <w:r w:rsidRPr="000A0A5F">
              <w:rPr>
                <w:lang w:eastAsia="zh-CN"/>
              </w:rPr>
              <w:t>" attribute is provided with a value of 1)</w:t>
            </w:r>
            <w:r w:rsidRPr="000A0A5F">
              <w:t>.</w:t>
            </w:r>
          </w:p>
        </w:tc>
        <w:tc>
          <w:tcPr>
            <w:tcW w:w="1392" w:type="dxa"/>
          </w:tcPr>
          <w:p w:rsidR="00510DDC" w:rsidRPr="000A0A5F" w:rsidRDefault="00510DDC" w:rsidP="00510DDC">
            <w:pPr>
              <w:pStyle w:val="TAL"/>
            </w:pPr>
            <w:r w:rsidRPr="000A0A5F">
              <w:t>NSAC</w:t>
            </w:r>
          </w:p>
        </w:tc>
      </w:tr>
      <w:tr w:rsidR="00510DDC" w:rsidRPr="000A0A5F" w:rsidTr="002B45A7">
        <w:trPr>
          <w:jc w:val="center"/>
        </w:trPr>
        <w:tc>
          <w:tcPr>
            <w:tcW w:w="2026" w:type="dxa"/>
            <w:shd w:val="clear" w:color="auto" w:fill="auto"/>
          </w:tcPr>
          <w:p w:rsidR="00510DDC" w:rsidRPr="000A0A5F" w:rsidRDefault="00510DDC" w:rsidP="00510DDC">
            <w:pPr>
              <w:pStyle w:val="TAL"/>
              <w:rPr>
                <w:noProof/>
                <w:lang w:eastAsia="zh-CN"/>
              </w:rPr>
            </w:pPr>
            <w:r w:rsidRPr="000A0A5F">
              <w:rPr>
                <w:noProof/>
                <w:lang w:eastAsia="zh-CN"/>
              </w:rPr>
              <w:t>afServiceId</w:t>
            </w:r>
          </w:p>
        </w:tc>
        <w:tc>
          <w:tcPr>
            <w:tcW w:w="1492" w:type="dxa"/>
            <w:shd w:val="clear" w:color="auto" w:fill="auto"/>
          </w:tcPr>
          <w:p w:rsidR="00510DDC" w:rsidRPr="000A0A5F" w:rsidRDefault="00510DDC" w:rsidP="00510DDC">
            <w:pPr>
              <w:pStyle w:val="TAL"/>
              <w:rPr>
                <w:lang w:eastAsia="zh-CN"/>
              </w:rPr>
            </w:pPr>
            <w:r w:rsidRPr="000A0A5F">
              <w:rPr>
                <w:lang w:eastAsia="zh-CN"/>
              </w:rPr>
              <w:t>string</w:t>
            </w:r>
          </w:p>
        </w:tc>
        <w:tc>
          <w:tcPr>
            <w:tcW w:w="1134" w:type="dxa"/>
            <w:shd w:val="clear" w:color="auto" w:fill="auto"/>
          </w:tcPr>
          <w:p w:rsidR="00510DDC" w:rsidRPr="000A0A5F" w:rsidRDefault="00510DDC" w:rsidP="00510DDC">
            <w:pPr>
              <w:pStyle w:val="TAC"/>
              <w:jc w:val="left"/>
              <w:rPr>
                <w:lang w:eastAsia="zh-CN"/>
              </w:rPr>
            </w:pPr>
            <w:r w:rsidRPr="000A0A5F">
              <w:rPr>
                <w:lang w:eastAsia="zh-CN"/>
              </w:rPr>
              <w:t>0..1</w:t>
            </w:r>
          </w:p>
        </w:tc>
        <w:tc>
          <w:tcPr>
            <w:tcW w:w="3544" w:type="dxa"/>
            <w:shd w:val="clear" w:color="auto" w:fill="auto"/>
          </w:tcPr>
          <w:p w:rsidR="00510DDC" w:rsidRPr="000A0A5F" w:rsidRDefault="00510DDC" w:rsidP="00510DDC">
            <w:pPr>
              <w:pStyle w:val="TAL"/>
              <w:rPr>
                <w:rFonts w:cs="Arial"/>
                <w:szCs w:val="18"/>
                <w:lang w:eastAsia="zh-CN"/>
              </w:rPr>
            </w:pPr>
            <w:r w:rsidRPr="000A0A5F">
              <w:rPr>
                <w:rFonts w:cs="Arial"/>
                <w:szCs w:val="18"/>
                <w:lang w:eastAsia="zh-CN"/>
              </w:rPr>
              <w:t>Contains the identifier of a service on behalf of which the AF is sending the request.</w:t>
            </w:r>
          </w:p>
          <w:p w:rsidR="00510DDC" w:rsidRPr="000A0A5F" w:rsidRDefault="00510DDC" w:rsidP="00510DDC">
            <w:pPr>
              <w:pStyle w:val="TAL"/>
              <w:rPr>
                <w:rFonts w:cs="Arial"/>
                <w:szCs w:val="18"/>
                <w:lang w:eastAsia="zh-CN"/>
              </w:rPr>
            </w:pPr>
          </w:p>
          <w:p w:rsidR="00510DDC" w:rsidRPr="000A0A5F" w:rsidRDefault="00510DDC" w:rsidP="00510DDC">
            <w:pPr>
              <w:pStyle w:val="TAL"/>
            </w:pPr>
            <w:r w:rsidRPr="000A0A5F">
              <w:rPr>
                <w:rFonts w:cs="Arial"/>
                <w:szCs w:val="18"/>
                <w:lang w:eastAsia="zh-CN"/>
              </w:rPr>
              <w:t>It may be provided by an untrusted AF and only if the "monitoringType" attribute (or the "addnMonTypes" attribute) is set to either "</w:t>
            </w:r>
            <w:r w:rsidRPr="000A0A5F">
              <w:rPr>
                <w:noProof/>
              </w:rPr>
              <w:t>NUM_OF_REGD_UES</w:t>
            </w:r>
            <w:r w:rsidRPr="000A0A5F">
              <w:rPr>
                <w:rFonts w:cs="Arial"/>
                <w:szCs w:val="18"/>
                <w:lang w:eastAsia="zh-CN"/>
              </w:rPr>
              <w:t>" or "</w:t>
            </w:r>
            <w:r w:rsidRPr="000A0A5F">
              <w:rPr>
                <w:noProof/>
              </w:rPr>
              <w:t>NUM_OF_EST</w:t>
            </w:r>
            <w:r w:rsidRPr="000A0A5F">
              <w:rPr>
                <w:noProof/>
                <w:lang w:val="en-US"/>
              </w:rPr>
              <w:t>D</w:t>
            </w:r>
            <w:r w:rsidRPr="000A0A5F">
              <w:rPr>
                <w:noProof/>
              </w:rPr>
              <w:t>_PDU_SESSIONS</w:t>
            </w:r>
            <w:r w:rsidRPr="000A0A5F">
              <w:rPr>
                <w:rFonts w:cs="Arial"/>
                <w:szCs w:val="18"/>
                <w:lang w:eastAsia="zh-CN"/>
              </w:rPr>
              <w:t>"</w:t>
            </w:r>
            <w:r w:rsidRPr="000A0A5F">
              <w:t>.</w:t>
            </w:r>
          </w:p>
          <w:p w:rsidR="00510DDC" w:rsidRPr="000A0A5F" w:rsidRDefault="00510DDC" w:rsidP="00510DDC">
            <w:pPr>
              <w:pStyle w:val="TAL"/>
            </w:pPr>
          </w:p>
          <w:p w:rsidR="00510DDC" w:rsidRPr="000A0A5F" w:rsidRDefault="00510DDC" w:rsidP="00510DDC">
            <w:pPr>
              <w:pStyle w:val="TAL"/>
              <w:rPr>
                <w:rFonts w:cs="Arial"/>
                <w:szCs w:val="18"/>
                <w:lang w:eastAsia="zh-CN"/>
              </w:rPr>
            </w:pPr>
            <w:r w:rsidRPr="000A0A5F">
              <w:t>(NOTE 15)</w:t>
            </w:r>
          </w:p>
        </w:tc>
        <w:tc>
          <w:tcPr>
            <w:tcW w:w="1392" w:type="dxa"/>
          </w:tcPr>
          <w:p w:rsidR="00510DDC" w:rsidRPr="000A0A5F" w:rsidRDefault="00510DDC" w:rsidP="00510DDC">
            <w:pPr>
              <w:pStyle w:val="TAL"/>
            </w:pPr>
            <w:r w:rsidRPr="000A0A5F">
              <w:t>NSAC</w:t>
            </w:r>
          </w:p>
        </w:tc>
      </w:tr>
      <w:tr w:rsidR="00510DDC" w:rsidRPr="000A0A5F" w:rsidTr="002B45A7">
        <w:trPr>
          <w:jc w:val="center"/>
        </w:trPr>
        <w:tc>
          <w:tcPr>
            <w:tcW w:w="2026" w:type="dxa"/>
            <w:shd w:val="clear" w:color="auto" w:fill="auto"/>
          </w:tcPr>
          <w:p w:rsidR="00510DDC" w:rsidRPr="000A0A5F" w:rsidRDefault="00510DDC" w:rsidP="00510DDC">
            <w:pPr>
              <w:pStyle w:val="TAL"/>
              <w:rPr>
                <w:noProof/>
                <w:lang w:eastAsia="zh-CN"/>
              </w:rPr>
            </w:pPr>
            <w:r w:rsidRPr="000A0A5F">
              <w:rPr>
                <w:noProof/>
                <w:lang w:eastAsia="zh-CN"/>
              </w:rPr>
              <w:t>snssai</w:t>
            </w:r>
          </w:p>
        </w:tc>
        <w:tc>
          <w:tcPr>
            <w:tcW w:w="1492" w:type="dxa"/>
            <w:shd w:val="clear" w:color="auto" w:fill="auto"/>
          </w:tcPr>
          <w:p w:rsidR="00510DDC" w:rsidRPr="000A0A5F" w:rsidRDefault="00510DDC" w:rsidP="00510DDC">
            <w:pPr>
              <w:pStyle w:val="TAL"/>
              <w:rPr>
                <w:lang w:eastAsia="zh-CN"/>
              </w:rPr>
            </w:pPr>
            <w:r w:rsidRPr="000A0A5F">
              <w:rPr>
                <w:lang w:eastAsia="zh-CN"/>
              </w:rPr>
              <w:t>Snssai</w:t>
            </w:r>
          </w:p>
        </w:tc>
        <w:tc>
          <w:tcPr>
            <w:tcW w:w="1134" w:type="dxa"/>
            <w:shd w:val="clear" w:color="auto" w:fill="auto"/>
          </w:tcPr>
          <w:p w:rsidR="00510DDC" w:rsidRPr="000A0A5F" w:rsidRDefault="00510DDC" w:rsidP="00510DDC">
            <w:pPr>
              <w:pStyle w:val="TAC"/>
              <w:jc w:val="left"/>
              <w:rPr>
                <w:lang w:eastAsia="zh-CN"/>
              </w:rPr>
            </w:pPr>
            <w:r w:rsidRPr="000A0A5F">
              <w:rPr>
                <w:lang w:eastAsia="zh-CN"/>
              </w:rPr>
              <w:t>0..1</w:t>
            </w:r>
          </w:p>
        </w:tc>
        <w:tc>
          <w:tcPr>
            <w:tcW w:w="3544" w:type="dxa"/>
            <w:shd w:val="clear" w:color="auto" w:fill="auto"/>
          </w:tcPr>
          <w:p w:rsidR="00510DDC" w:rsidRPr="000A0A5F" w:rsidRDefault="00510DDC" w:rsidP="00510DDC">
            <w:pPr>
              <w:pStyle w:val="TAL"/>
              <w:rPr>
                <w:rFonts w:cs="Arial"/>
                <w:szCs w:val="18"/>
                <w:lang w:eastAsia="zh-CN"/>
              </w:rPr>
            </w:pPr>
            <w:r w:rsidRPr="000A0A5F">
              <w:rPr>
                <w:rFonts w:cs="Arial"/>
                <w:szCs w:val="18"/>
                <w:lang w:eastAsia="zh-CN"/>
              </w:rPr>
              <w:t>Indicates the S-NSSAI that the event monitoring subscription is targeting.</w:t>
            </w:r>
          </w:p>
          <w:p w:rsidR="00510DDC" w:rsidRPr="000A0A5F" w:rsidRDefault="00510DDC" w:rsidP="00510DDC">
            <w:pPr>
              <w:pStyle w:val="TAL"/>
              <w:rPr>
                <w:rFonts w:cs="Arial"/>
                <w:szCs w:val="18"/>
                <w:lang w:eastAsia="zh-CN"/>
              </w:rPr>
            </w:pPr>
          </w:p>
          <w:p w:rsidR="00510DDC" w:rsidRPr="000A0A5F" w:rsidRDefault="00510DDC" w:rsidP="00510DDC">
            <w:pPr>
              <w:pStyle w:val="TAL"/>
              <w:rPr>
                <w:rFonts w:cs="Arial"/>
                <w:szCs w:val="18"/>
                <w:lang w:eastAsia="zh-CN"/>
              </w:rPr>
            </w:pPr>
            <w:r w:rsidRPr="000A0A5F">
              <w:rPr>
                <w:rFonts w:cs="Arial"/>
                <w:szCs w:val="18"/>
                <w:lang w:eastAsia="zh-CN"/>
              </w:rPr>
              <w:t>This attribute may be provided if the "monitoringType" attribute (or the "addnMonTypes" attribute) is set to "</w:t>
            </w:r>
            <w:r w:rsidRPr="000A0A5F">
              <w:rPr>
                <w:noProof/>
              </w:rPr>
              <w:t>NUM_OF_REGD_UES</w:t>
            </w:r>
            <w:r w:rsidRPr="000A0A5F">
              <w:rPr>
                <w:rFonts w:cs="Arial"/>
                <w:szCs w:val="18"/>
                <w:lang w:eastAsia="zh-CN"/>
              </w:rPr>
              <w:t>" or "</w:t>
            </w:r>
            <w:r w:rsidRPr="000A0A5F">
              <w:rPr>
                <w:noProof/>
              </w:rPr>
              <w:t>NUM_OF_EST</w:t>
            </w:r>
            <w:r w:rsidRPr="000A0A5F">
              <w:rPr>
                <w:noProof/>
                <w:lang w:val="en-US"/>
              </w:rPr>
              <w:t>D</w:t>
            </w:r>
            <w:r w:rsidRPr="000A0A5F">
              <w:rPr>
                <w:noProof/>
              </w:rPr>
              <w:t>_PDU_SESSIONS</w:t>
            </w:r>
            <w:r w:rsidRPr="000A0A5F">
              <w:rPr>
                <w:rFonts w:cs="Arial"/>
                <w:szCs w:val="18"/>
                <w:lang w:eastAsia="zh-CN"/>
              </w:rPr>
              <w:t>".</w:t>
            </w:r>
          </w:p>
          <w:p w:rsidR="00510DDC" w:rsidRPr="000A0A5F" w:rsidRDefault="00510DDC" w:rsidP="00510DDC">
            <w:pPr>
              <w:pStyle w:val="TAL"/>
              <w:rPr>
                <w:rFonts w:cs="Arial"/>
                <w:szCs w:val="18"/>
                <w:lang w:eastAsia="zh-CN"/>
              </w:rPr>
            </w:pPr>
          </w:p>
          <w:p w:rsidR="00510DDC" w:rsidRPr="000A0A5F" w:rsidRDefault="00510DDC" w:rsidP="00510DDC">
            <w:pPr>
              <w:pStyle w:val="TAL"/>
              <w:rPr>
                <w:rFonts w:cs="Arial"/>
                <w:szCs w:val="18"/>
                <w:lang w:eastAsia="zh-CN"/>
              </w:rPr>
            </w:pPr>
            <w:r w:rsidRPr="000A0A5F">
              <w:rPr>
                <w:rFonts w:cs="Arial"/>
                <w:szCs w:val="18"/>
                <w:lang w:eastAsia="zh-CN"/>
              </w:rPr>
              <w:t>This attribute may also be provided if the "monitoringType" attribute (or the "addnMonTypes" attribute) is set to "PDN_CONNECTIVITY_STATUS" or "DOWNLINK_DATA_DELIVERY_STATUS".</w:t>
            </w:r>
          </w:p>
          <w:p w:rsidR="00510DDC" w:rsidRPr="000A0A5F" w:rsidRDefault="00510DDC" w:rsidP="00510DDC">
            <w:pPr>
              <w:pStyle w:val="TAL"/>
              <w:rPr>
                <w:rFonts w:cs="Arial"/>
                <w:szCs w:val="18"/>
                <w:lang w:eastAsia="zh-CN"/>
              </w:rPr>
            </w:pPr>
          </w:p>
          <w:p w:rsidR="00510DDC" w:rsidRPr="000A0A5F" w:rsidRDefault="00510DDC" w:rsidP="00510DDC">
            <w:pPr>
              <w:pStyle w:val="TAL"/>
              <w:rPr>
                <w:rFonts w:cs="Arial"/>
                <w:szCs w:val="18"/>
                <w:lang w:eastAsia="zh-CN"/>
              </w:rPr>
            </w:pPr>
            <w:r w:rsidRPr="000A0A5F">
              <w:rPr>
                <w:rFonts w:cs="Arial"/>
                <w:szCs w:val="18"/>
              </w:rPr>
              <w:t>(NOTE 8) (NOTE 15)</w:t>
            </w:r>
            <w:r w:rsidRPr="000A0A5F">
              <w:t xml:space="preserve"> (NOTE 16)</w:t>
            </w:r>
          </w:p>
        </w:tc>
        <w:tc>
          <w:tcPr>
            <w:tcW w:w="1392" w:type="dxa"/>
          </w:tcPr>
          <w:p w:rsidR="00510DDC" w:rsidRPr="000A0A5F" w:rsidRDefault="00510DDC" w:rsidP="00510DDC">
            <w:pPr>
              <w:pStyle w:val="TAL"/>
              <w:rPr>
                <w:lang w:val="fr-FR"/>
              </w:rPr>
            </w:pPr>
            <w:r w:rsidRPr="000A0A5F">
              <w:rPr>
                <w:lang w:val="fr-FR"/>
              </w:rPr>
              <w:t>NSAC, Session_Management_Enhancement</w:t>
            </w:r>
            <w:r w:rsidRPr="000A0A5F">
              <w:rPr>
                <w:lang w:val="fr-FR" w:eastAsia="zh-CN"/>
              </w:rPr>
              <w:t>, UEId_retrieval, AppDetection_5G</w:t>
            </w:r>
          </w:p>
        </w:tc>
      </w:tr>
      <w:tr w:rsidR="00510DDC" w:rsidRPr="000A0A5F" w:rsidTr="002B45A7">
        <w:trPr>
          <w:jc w:val="center"/>
        </w:trPr>
        <w:tc>
          <w:tcPr>
            <w:tcW w:w="2026" w:type="dxa"/>
            <w:shd w:val="clear" w:color="auto" w:fill="auto"/>
          </w:tcPr>
          <w:p w:rsidR="00510DDC" w:rsidRPr="000A0A5F" w:rsidRDefault="00510DDC" w:rsidP="00510DDC">
            <w:pPr>
              <w:pStyle w:val="TAL"/>
              <w:rPr>
                <w:noProof/>
                <w:lang w:eastAsia="zh-CN"/>
              </w:rPr>
            </w:pPr>
            <w:r w:rsidRPr="000A0A5F">
              <w:rPr>
                <w:noProof/>
                <w:lang w:eastAsia="zh-CN"/>
              </w:rPr>
              <w:t>immediateRep</w:t>
            </w:r>
          </w:p>
        </w:tc>
        <w:tc>
          <w:tcPr>
            <w:tcW w:w="1492" w:type="dxa"/>
            <w:shd w:val="clear" w:color="auto" w:fill="auto"/>
          </w:tcPr>
          <w:p w:rsidR="00510DDC" w:rsidRPr="000A0A5F" w:rsidRDefault="00510DDC" w:rsidP="00510DDC">
            <w:pPr>
              <w:pStyle w:val="TAL"/>
              <w:rPr>
                <w:lang w:eastAsia="zh-CN"/>
              </w:rPr>
            </w:pPr>
            <w:r w:rsidRPr="000A0A5F">
              <w:rPr>
                <w:lang w:eastAsia="zh-CN"/>
              </w:rPr>
              <w:t>boolean</w:t>
            </w:r>
          </w:p>
        </w:tc>
        <w:tc>
          <w:tcPr>
            <w:tcW w:w="1134" w:type="dxa"/>
            <w:shd w:val="clear" w:color="auto" w:fill="auto"/>
          </w:tcPr>
          <w:p w:rsidR="00510DDC" w:rsidRPr="000A0A5F" w:rsidRDefault="00510DDC" w:rsidP="00510DDC">
            <w:pPr>
              <w:pStyle w:val="TAC"/>
              <w:jc w:val="left"/>
              <w:rPr>
                <w:lang w:eastAsia="zh-CN"/>
              </w:rPr>
            </w:pPr>
            <w:r w:rsidRPr="000A0A5F">
              <w:rPr>
                <w:lang w:eastAsia="zh-CN"/>
              </w:rPr>
              <w:t>0..1</w:t>
            </w:r>
          </w:p>
        </w:tc>
        <w:tc>
          <w:tcPr>
            <w:tcW w:w="3544" w:type="dxa"/>
            <w:shd w:val="clear" w:color="auto" w:fill="auto"/>
          </w:tcPr>
          <w:p w:rsidR="00510DDC" w:rsidRPr="000A0A5F" w:rsidRDefault="00510DDC" w:rsidP="00510DDC">
            <w:pPr>
              <w:pStyle w:val="TAL"/>
            </w:pPr>
            <w:r w:rsidRPr="000A0A5F">
              <w:rPr>
                <w:rFonts w:cs="Arial"/>
                <w:szCs w:val="18"/>
                <w:lang w:eastAsia="zh-CN"/>
              </w:rPr>
              <w:t xml:space="preserve">Indicates </w:t>
            </w:r>
            <w:r w:rsidRPr="000A0A5F">
              <w:rPr>
                <w:lang w:eastAsia="zh-CN"/>
              </w:rPr>
              <w:t>that</w:t>
            </w:r>
            <w:r w:rsidRPr="000A0A5F">
              <w:t xml:space="preserve"> immediate reporting is requested or not.</w:t>
            </w:r>
          </w:p>
          <w:p w:rsidR="00510DDC" w:rsidRPr="000A0A5F" w:rsidRDefault="00510DDC" w:rsidP="00510DDC">
            <w:pPr>
              <w:pStyle w:val="TAL"/>
            </w:pPr>
            <w:r w:rsidRPr="000A0A5F">
              <w:t>-</w:t>
            </w:r>
            <w:r w:rsidRPr="000A0A5F">
              <w:tab/>
              <w:t>"true": indicate an immediate reporting is requested.</w:t>
            </w:r>
          </w:p>
          <w:p w:rsidR="00510DDC" w:rsidRPr="000A0A5F" w:rsidRDefault="00510DDC" w:rsidP="00510DDC">
            <w:pPr>
              <w:pStyle w:val="TAL"/>
            </w:pPr>
          </w:p>
          <w:p w:rsidR="00510DDC" w:rsidRPr="000A0A5F" w:rsidRDefault="00510DDC" w:rsidP="00510DDC">
            <w:pPr>
              <w:pStyle w:val="TAL"/>
            </w:pPr>
            <w:r w:rsidRPr="000A0A5F">
              <w:t>-</w:t>
            </w:r>
            <w:r w:rsidRPr="000A0A5F">
              <w:tab/>
              <w:t>"false": indicate an immediate reporting is not requested.</w:t>
            </w:r>
          </w:p>
          <w:p w:rsidR="00510DDC" w:rsidRPr="000A0A5F" w:rsidRDefault="00510DDC" w:rsidP="00510DDC">
            <w:pPr>
              <w:pStyle w:val="TAL"/>
            </w:pPr>
          </w:p>
          <w:p w:rsidR="00510DDC" w:rsidRPr="000A0A5F" w:rsidRDefault="00510DDC" w:rsidP="00510DDC">
            <w:pPr>
              <w:pStyle w:val="TAL"/>
            </w:pPr>
            <w:r w:rsidRPr="000A0A5F">
              <w:t>Default value: "false" if omitted.</w:t>
            </w:r>
          </w:p>
          <w:p w:rsidR="00510DDC" w:rsidRPr="000A0A5F" w:rsidRDefault="00510DDC" w:rsidP="00510DDC">
            <w:pPr>
              <w:pStyle w:val="TAL"/>
            </w:pPr>
          </w:p>
          <w:p w:rsidR="00510DDC" w:rsidRPr="000A0A5F" w:rsidRDefault="00510DDC" w:rsidP="00510DDC">
            <w:pPr>
              <w:pStyle w:val="TAL"/>
            </w:pPr>
            <w:r w:rsidRPr="000A0A5F">
              <w:t xml:space="preserve">This attribute may be included if the "monitoringType" </w:t>
            </w:r>
            <w:r w:rsidRPr="000A0A5F">
              <w:rPr>
                <w:rFonts w:cs="Arial"/>
                <w:szCs w:val="18"/>
                <w:lang w:eastAsia="zh-CN"/>
              </w:rPr>
              <w:t xml:space="preserve">attribute (or the "addnMonTypes" attribute) </w:t>
            </w:r>
            <w:r w:rsidRPr="000A0A5F">
              <w:t xml:space="preserve">is set to either </w:t>
            </w:r>
            <w:r w:rsidRPr="000A0A5F">
              <w:rPr>
                <w:lang w:eastAsia="zh-CN"/>
              </w:rPr>
              <w:t>"</w:t>
            </w:r>
            <w:r w:rsidRPr="000A0A5F">
              <w:rPr>
                <w:noProof/>
              </w:rPr>
              <w:t>NUM_OF_REGD_UES"</w:t>
            </w:r>
            <w:r w:rsidRPr="000A0A5F">
              <w:t xml:space="preserve"> or "</w:t>
            </w:r>
            <w:r w:rsidRPr="000A0A5F">
              <w:rPr>
                <w:noProof/>
              </w:rPr>
              <w:t>NUM_OF_EST</w:t>
            </w:r>
            <w:r w:rsidRPr="000A0A5F">
              <w:rPr>
                <w:noProof/>
                <w:lang w:val="en-US"/>
              </w:rPr>
              <w:t>D</w:t>
            </w:r>
            <w:r w:rsidRPr="000A0A5F">
              <w:rPr>
                <w:noProof/>
              </w:rPr>
              <w:t>_PDU_SESSIONS</w:t>
            </w:r>
            <w:r w:rsidRPr="000A0A5F">
              <w:t>"</w:t>
            </w:r>
            <w:r w:rsidRPr="000A0A5F">
              <w:rPr>
                <w:rFonts w:cs="Arial"/>
                <w:szCs w:val="18"/>
                <w:lang w:eastAsia="zh-CN"/>
              </w:rPr>
              <w:t xml:space="preserve"> when the "NSAC" feature is supported</w:t>
            </w:r>
            <w:r w:rsidRPr="000A0A5F">
              <w:t>.</w:t>
            </w:r>
          </w:p>
          <w:p w:rsidR="00510DDC" w:rsidRPr="000A0A5F" w:rsidRDefault="00510DDC" w:rsidP="00510DDC">
            <w:pPr>
              <w:pStyle w:val="TAL"/>
              <w:rPr>
                <w:rFonts w:cs="Arial"/>
                <w:szCs w:val="18"/>
                <w:lang w:eastAsia="zh-CN"/>
              </w:rPr>
            </w:pPr>
            <w:r w:rsidRPr="000A0A5F">
              <w:rPr>
                <w:rFonts w:cs="Arial"/>
                <w:szCs w:val="18"/>
                <w:lang w:eastAsia="zh-CN"/>
              </w:rPr>
              <w:t>(NOTE 13)</w:t>
            </w:r>
          </w:p>
          <w:p w:rsidR="00510DDC" w:rsidRPr="000A0A5F" w:rsidRDefault="00510DDC" w:rsidP="00510DDC">
            <w:pPr>
              <w:pStyle w:val="TAL"/>
            </w:pPr>
          </w:p>
          <w:p w:rsidR="00510DDC" w:rsidRPr="000A0A5F" w:rsidRDefault="00510DDC" w:rsidP="00510DDC">
            <w:pPr>
              <w:pStyle w:val="TAL"/>
            </w:pPr>
            <w:r w:rsidRPr="000A0A5F">
              <w:t xml:space="preserve">This attribute may also be included if the SCS/AS requires immediate reporting of the subscribed event(s) when the </w:t>
            </w:r>
            <w:r w:rsidRPr="000A0A5F">
              <w:rPr>
                <w:rFonts w:cs="Arial"/>
                <w:szCs w:val="18"/>
                <w:lang w:eastAsia="zh-CN"/>
              </w:rPr>
              <w:t>"enNB1_5G" feature is supported</w:t>
            </w:r>
            <w:r w:rsidRPr="000A0A5F">
              <w:t>.</w:t>
            </w:r>
          </w:p>
          <w:p w:rsidR="00510DDC" w:rsidRPr="000A0A5F" w:rsidRDefault="00510DDC" w:rsidP="00510DDC">
            <w:pPr>
              <w:pStyle w:val="TAL"/>
              <w:rPr>
                <w:rFonts w:cs="Arial"/>
                <w:szCs w:val="18"/>
                <w:lang w:eastAsia="zh-CN"/>
              </w:rPr>
            </w:pPr>
            <w:r w:rsidRPr="000A0A5F">
              <w:rPr>
                <w:rFonts w:cs="Arial"/>
                <w:szCs w:val="18"/>
                <w:lang w:eastAsia="zh-CN"/>
              </w:rPr>
              <w:t>(NOTE 4)</w:t>
            </w:r>
          </w:p>
        </w:tc>
        <w:tc>
          <w:tcPr>
            <w:tcW w:w="1392" w:type="dxa"/>
          </w:tcPr>
          <w:p w:rsidR="00510DDC" w:rsidRPr="000A0A5F" w:rsidRDefault="00510DDC" w:rsidP="00510DDC">
            <w:pPr>
              <w:pStyle w:val="TAL"/>
            </w:pPr>
            <w:r w:rsidRPr="000A0A5F">
              <w:t xml:space="preserve">NSAC, </w:t>
            </w:r>
          </w:p>
          <w:p w:rsidR="00510DDC" w:rsidRPr="000A0A5F" w:rsidRDefault="00510DDC" w:rsidP="00510DDC">
            <w:pPr>
              <w:pStyle w:val="TAL"/>
            </w:pPr>
            <w:r w:rsidRPr="000A0A5F">
              <w:t>enNB1_5G</w:t>
            </w:r>
          </w:p>
        </w:tc>
      </w:tr>
      <w:tr w:rsidR="00510DDC" w:rsidRPr="000A0A5F" w:rsidTr="002B45A7">
        <w:trPr>
          <w:jc w:val="center"/>
        </w:trPr>
        <w:tc>
          <w:tcPr>
            <w:tcW w:w="2026" w:type="dxa"/>
            <w:shd w:val="clear" w:color="auto" w:fill="auto"/>
          </w:tcPr>
          <w:p w:rsidR="00510DDC" w:rsidRPr="000A0A5F" w:rsidRDefault="00510DDC" w:rsidP="00510DDC">
            <w:pPr>
              <w:pStyle w:val="TAL"/>
              <w:rPr>
                <w:noProof/>
                <w:lang w:eastAsia="zh-CN"/>
              </w:rPr>
            </w:pPr>
            <w:r w:rsidRPr="000A0A5F">
              <w:rPr>
                <w:lang w:eastAsia="zh-CN"/>
              </w:rPr>
              <w:t>uavPolicy</w:t>
            </w:r>
          </w:p>
        </w:tc>
        <w:tc>
          <w:tcPr>
            <w:tcW w:w="1492" w:type="dxa"/>
            <w:shd w:val="clear" w:color="auto" w:fill="auto"/>
          </w:tcPr>
          <w:p w:rsidR="00510DDC" w:rsidRPr="000A0A5F" w:rsidRDefault="00510DDC" w:rsidP="00510DDC">
            <w:pPr>
              <w:pStyle w:val="TAL"/>
              <w:rPr>
                <w:lang w:eastAsia="zh-CN"/>
              </w:rPr>
            </w:pPr>
            <w:r w:rsidRPr="000A0A5F">
              <w:rPr>
                <w:lang w:eastAsia="zh-CN"/>
              </w:rPr>
              <w:t>UavPolicy</w:t>
            </w:r>
          </w:p>
        </w:tc>
        <w:tc>
          <w:tcPr>
            <w:tcW w:w="1134" w:type="dxa"/>
            <w:shd w:val="clear" w:color="auto" w:fill="auto"/>
          </w:tcPr>
          <w:p w:rsidR="00510DDC" w:rsidRPr="000A0A5F" w:rsidRDefault="00510DDC" w:rsidP="00510DDC">
            <w:pPr>
              <w:pStyle w:val="TAC"/>
              <w:jc w:val="left"/>
              <w:rPr>
                <w:lang w:eastAsia="zh-CN"/>
              </w:rPr>
            </w:pPr>
            <w:r w:rsidRPr="000A0A5F">
              <w:rPr>
                <w:lang w:eastAsia="zh-CN"/>
              </w:rPr>
              <w:t>0..1</w:t>
            </w:r>
          </w:p>
        </w:tc>
        <w:tc>
          <w:tcPr>
            <w:tcW w:w="3544" w:type="dxa"/>
            <w:shd w:val="clear" w:color="auto" w:fill="auto"/>
          </w:tcPr>
          <w:p w:rsidR="00510DDC" w:rsidRPr="000A0A5F" w:rsidRDefault="00510DDC" w:rsidP="00510DDC">
            <w:pPr>
              <w:pStyle w:val="TAL"/>
              <w:rPr>
                <w:rFonts w:cs="Arial"/>
                <w:szCs w:val="18"/>
                <w:lang w:eastAsia="zh-CN"/>
              </w:rPr>
            </w:pPr>
            <w:r w:rsidRPr="000A0A5F">
              <w:rPr>
                <w:rFonts w:cs="Arial"/>
                <w:szCs w:val="18"/>
                <w:lang w:eastAsia="zh-CN"/>
              </w:rPr>
              <w:t>If "monitoringType" attribute (or the "addnMonTypes" attribute) is set to "</w:t>
            </w:r>
            <w:r w:rsidRPr="000A0A5F">
              <w:rPr>
                <w:noProof/>
              </w:rPr>
              <w:t>AREA_OF_INTEREST</w:t>
            </w:r>
            <w:r w:rsidRPr="000A0A5F">
              <w:rPr>
                <w:rFonts w:cs="Arial"/>
                <w:szCs w:val="18"/>
                <w:lang w:eastAsia="zh-CN"/>
              </w:rPr>
              <w:t xml:space="preserve">", this parameter may be included to indicate </w:t>
            </w:r>
            <w:r w:rsidRPr="000A0A5F">
              <w:rPr>
                <w:lang w:eastAsia="zh-CN"/>
              </w:rPr>
              <w:t>the 3GPP network to take corresponding action.</w:t>
            </w:r>
          </w:p>
        </w:tc>
        <w:tc>
          <w:tcPr>
            <w:tcW w:w="1392" w:type="dxa"/>
          </w:tcPr>
          <w:p w:rsidR="00510DDC" w:rsidRPr="000A0A5F" w:rsidRDefault="00510DDC" w:rsidP="00510DDC">
            <w:pPr>
              <w:pStyle w:val="TAL"/>
            </w:pPr>
            <w:r w:rsidRPr="000A0A5F">
              <w:rPr>
                <w:lang w:eastAsia="zh-CN"/>
              </w:rPr>
              <w:t>UAV</w:t>
            </w:r>
          </w:p>
        </w:tc>
      </w:tr>
      <w:tr w:rsidR="00510DDC" w:rsidRPr="000A0A5F" w:rsidTr="002B45A7">
        <w:trPr>
          <w:jc w:val="center"/>
        </w:trPr>
        <w:tc>
          <w:tcPr>
            <w:tcW w:w="2026" w:type="dxa"/>
            <w:shd w:val="clear" w:color="auto" w:fill="auto"/>
          </w:tcPr>
          <w:p w:rsidR="00510DDC" w:rsidRPr="000A0A5F" w:rsidRDefault="00510DDC" w:rsidP="00510DDC">
            <w:pPr>
              <w:pStyle w:val="TAL"/>
              <w:rPr>
                <w:lang w:eastAsia="zh-CN"/>
              </w:rPr>
            </w:pPr>
            <w:r w:rsidRPr="000A0A5F">
              <w:rPr>
                <w:lang w:eastAsia="zh-CN"/>
              </w:rPr>
              <w:t>subType</w:t>
            </w:r>
          </w:p>
        </w:tc>
        <w:tc>
          <w:tcPr>
            <w:tcW w:w="1492" w:type="dxa"/>
            <w:shd w:val="clear" w:color="auto" w:fill="auto"/>
          </w:tcPr>
          <w:p w:rsidR="00510DDC" w:rsidRPr="000A0A5F" w:rsidRDefault="00510DDC" w:rsidP="00510DDC">
            <w:pPr>
              <w:pStyle w:val="TAL"/>
              <w:rPr>
                <w:rFonts w:hint="eastAsia"/>
                <w:lang w:eastAsia="zh-CN"/>
              </w:rPr>
            </w:pPr>
            <w:r w:rsidRPr="000A0A5F">
              <w:rPr>
                <w:lang w:eastAsia="zh-CN"/>
              </w:rPr>
              <w:t>SubType</w:t>
            </w:r>
          </w:p>
        </w:tc>
        <w:tc>
          <w:tcPr>
            <w:tcW w:w="1134" w:type="dxa"/>
            <w:shd w:val="clear" w:color="auto" w:fill="auto"/>
          </w:tcPr>
          <w:p w:rsidR="00510DDC" w:rsidRPr="000A0A5F" w:rsidRDefault="00510DDC" w:rsidP="00510DDC">
            <w:pPr>
              <w:pStyle w:val="TAC"/>
              <w:jc w:val="left"/>
              <w:rPr>
                <w:lang w:eastAsia="zh-CN"/>
              </w:rPr>
            </w:pPr>
            <w:r w:rsidRPr="000A0A5F">
              <w:rPr>
                <w:lang w:eastAsia="zh-CN"/>
              </w:rPr>
              <w:t>0..1</w:t>
            </w:r>
          </w:p>
        </w:tc>
        <w:tc>
          <w:tcPr>
            <w:tcW w:w="3544" w:type="dxa"/>
            <w:shd w:val="clear" w:color="auto" w:fill="auto"/>
          </w:tcPr>
          <w:p w:rsidR="00510DDC" w:rsidRPr="000A0A5F" w:rsidRDefault="00510DDC" w:rsidP="00510DDC">
            <w:pPr>
              <w:pStyle w:val="TAL"/>
              <w:rPr>
                <w:rFonts w:cs="Arial"/>
                <w:szCs w:val="18"/>
                <w:lang w:eastAsia="zh-CN"/>
              </w:rPr>
            </w:pPr>
            <w:r w:rsidRPr="000A0A5F">
              <w:rPr>
                <w:rFonts w:cs="Arial"/>
                <w:szCs w:val="18"/>
                <w:lang w:eastAsia="zh-CN"/>
              </w:rPr>
              <w:t>If "monitoringType" attribute (or the "addnMonTypes" attribute) is set to "NUMBER_OF_UES_IN_AN_AREA", this parameter may be included to</w:t>
            </w:r>
            <w:r w:rsidRPr="000A0A5F">
              <w:rPr>
                <w:rFonts w:cs="Arial" w:hint="eastAsia"/>
                <w:szCs w:val="18"/>
                <w:lang w:eastAsia="zh-CN"/>
              </w:rPr>
              <w:t xml:space="preserve"> i</w:t>
            </w:r>
            <w:r w:rsidRPr="000A0A5F">
              <w:rPr>
                <w:rFonts w:cs="Arial"/>
                <w:szCs w:val="18"/>
                <w:lang w:eastAsia="zh-CN"/>
              </w:rPr>
              <w:t>ndicate the subscription type to be listed in the Event report.</w:t>
            </w:r>
          </w:p>
          <w:p w:rsidR="00510DDC" w:rsidRPr="000A0A5F" w:rsidRDefault="00510DDC" w:rsidP="00510DDC">
            <w:pPr>
              <w:pStyle w:val="TAL"/>
              <w:rPr>
                <w:rFonts w:cs="Arial"/>
                <w:szCs w:val="18"/>
                <w:lang w:eastAsia="zh-CN"/>
              </w:rPr>
            </w:pPr>
          </w:p>
          <w:p w:rsidR="00510DDC" w:rsidRPr="000A0A5F" w:rsidRDefault="00510DDC" w:rsidP="00510DDC">
            <w:pPr>
              <w:pStyle w:val="TAL"/>
              <w:rPr>
                <w:rFonts w:cs="Arial"/>
                <w:szCs w:val="18"/>
                <w:lang w:eastAsia="zh-CN"/>
              </w:rPr>
            </w:pPr>
            <w:r w:rsidRPr="000A0A5F">
              <w:rPr>
                <w:rFonts w:cs="Arial"/>
                <w:szCs w:val="18"/>
                <w:lang w:eastAsia="zh-CN"/>
              </w:rPr>
              <w:t>(NOTE 14)</w:t>
            </w:r>
          </w:p>
        </w:tc>
        <w:tc>
          <w:tcPr>
            <w:tcW w:w="1392" w:type="dxa"/>
          </w:tcPr>
          <w:p w:rsidR="00510DDC" w:rsidRPr="000A0A5F" w:rsidRDefault="00510DDC" w:rsidP="00510DDC">
            <w:pPr>
              <w:pStyle w:val="TAL"/>
              <w:rPr>
                <w:lang w:eastAsia="zh-CN"/>
              </w:rPr>
            </w:pPr>
            <w:r w:rsidRPr="000A0A5F">
              <w:rPr>
                <w:lang w:eastAsia="zh-CN"/>
              </w:rPr>
              <w:t>UAV</w:t>
            </w:r>
          </w:p>
        </w:tc>
      </w:tr>
      <w:tr w:rsidR="00510DDC" w:rsidRPr="000A0A5F" w:rsidTr="002B45A7">
        <w:trPr>
          <w:jc w:val="center"/>
        </w:trPr>
        <w:tc>
          <w:tcPr>
            <w:tcW w:w="2026" w:type="dxa"/>
            <w:shd w:val="clear" w:color="auto" w:fill="auto"/>
          </w:tcPr>
          <w:p w:rsidR="00510DDC" w:rsidRPr="000A0A5F" w:rsidRDefault="00510DDC" w:rsidP="00510DDC">
            <w:pPr>
              <w:pStyle w:val="TAL"/>
              <w:rPr>
                <w:lang w:eastAsia="zh-CN"/>
              </w:rPr>
            </w:pPr>
            <w:r w:rsidRPr="000A0A5F">
              <w:rPr>
                <w:lang w:eastAsia="zh-CN"/>
              </w:rPr>
              <w:t>sesEstInd</w:t>
            </w:r>
          </w:p>
        </w:tc>
        <w:tc>
          <w:tcPr>
            <w:tcW w:w="1492" w:type="dxa"/>
            <w:shd w:val="clear" w:color="auto" w:fill="auto"/>
          </w:tcPr>
          <w:p w:rsidR="00510DDC" w:rsidRPr="000A0A5F" w:rsidRDefault="00510DDC" w:rsidP="00510DDC">
            <w:pPr>
              <w:pStyle w:val="TAL"/>
              <w:rPr>
                <w:rFonts w:hint="eastAsia"/>
                <w:lang w:eastAsia="zh-CN"/>
              </w:rPr>
            </w:pPr>
            <w:r w:rsidRPr="000A0A5F">
              <w:rPr>
                <w:lang w:eastAsia="zh-CN"/>
              </w:rPr>
              <w:t>boolean</w:t>
            </w:r>
          </w:p>
        </w:tc>
        <w:tc>
          <w:tcPr>
            <w:tcW w:w="1134" w:type="dxa"/>
            <w:shd w:val="clear" w:color="auto" w:fill="auto"/>
          </w:tcPr>
          <w:p w:rsidR="00510DDC" w:rsidRPr="000A0A5F" w:rsidRDefault="00510DDC" w:rsidP="00510DDC">
            <w:pPr>
              <w:pStyle w:val="TAC"/>
              <w:jc w:val="left"/>
              <w:rPr>
                <w:lang w:eastAsia="zh-CN"/>
              </w:rPr>
            </w:pPr>
            <w:r w:rsidRPr="000A0A5F">
              <w:rPr>
                <w:lang w:eastAsia="zh-CN"/>
              </w:rPr>
              <w:t>0..1</w:t>
            </w:r>
          </w:p>
        </w:tc>
        <w:tc>
          <w:tcPr>
            <w:tcW w:w="3544" w:type="dxa"/>
            <w:shd w:val="clear" w:color="auto" w:fill="auto"/>
          </w:tcPr>
          <w:p w:rsidR="00510DDC" w:rsidRPr="000A0A5F" w:rsidRDefault="00510DDC" w:rsidP="00510DDC">
            <w:pPr>
              <w:pStyle w:val="TAL"/>
              <w:rPr>
                <w:rFonts w:cs="Arial"/>
                <w:szCs w:val="18"/>
                <w:lang w:eastAsia="zh-CN"/>
              </w:rPr>
            </w:pPr>
            <w:r w:rsidRPr="000A0A5F">
              <w:rPr>
                <w:rFonts w:cs="Arial"/>
                <w:szCs w:val="18"/>
                <w:lang w:eastAsia="zh-CN"/>
              </w:rPr>
              <w:t xml:space="preserve">If "monitoringType" attribute (or the "addnMonTypes" attribute) is set to "NUMBER_OF_UES_IN_AN_AREA", this parameter may be included. </w:t>
            </w:r>
          </w:p>
          <w:p w:rsidR="00510DDC" w:rsidRPr="000A0A5F" w:rsidRDefault="00510DDC" w:rsidP="00510DDC">
            <w:pPr>
              <w:pStyle w:val="TAL"/>
              <w:rPr>
                <w:rFonts w:cs="Arial"/>
                <w:szCs w:val="18"/>
                <w:lang w:eastAsia="zh-CN"/>
              </w:rPr>
            </w:pPr>
            <w:r w:rsidRPr="000A0A5F">
              <w:rPr>
                <w:rFonts w:cs="Arial"/>
                <w:szCs w:val="18"/>
                <w:lang w:eastAsia="zh-CN"/>
              </w:rPr>
              <w:t xml:space="preserve">If set to “true”, it </w:t>
            </w:r>
            <w:r w:rsidRPr="000A0A5F">
              <w:rPr>
                <w:rFonts w:cs="Arial" w:hint="eastAsia"/>
                <w:szCs w:val="18"/>
                <w:lang w:eastAsia="zh-CN"/>
              </w:rPr>
              <w:t>i</w:t>
            </w:r>
            <w:r w:rsidRPr="000A0A5F">
              <w:rPr>
                <w:rFonts w:cs="Arial"/>
                <w:szCs w:val="18"/>
                <w:lang w:eastAsia="zh-CN"/>
              </w:rPr>
              <w:t>ndicates that only UE’s with “</w:t>
            </w:r>
            <w:r w:rsidRPr="000A0A5F">
              <w:t>PDU session established for DNN(s) subject to aerial service</w:t>
            </w:r>
            <w:r w:rsidRPr="000A0A5F">
              <w:rPr>
                <w:rFonts w:cs="Arial"/>
                <w:szCs w:val="18"/>
                <w:lang w:eastAsia="zh-CN"/>
              </w:rPr>
              <w:t>” are to be listed in the Event report.</w:t>
            </w:r>
          </w:p>
          <w:p w:rsidR="00510DDC" w:rsidRPr="000A0A5F" w:rsidRDefault="00510DDC" w:rsidP="00510DDC">
            <w:pPr>
              <w:pStyle w:val="TAL"/>
              <w:rPr>
                <w:rFonts w:cs="Arial"/>
                <w:szCs w:val="18"/>
                <w:lang w:eastAsia="zh-CN"/>
              </w:rPr>
            </w:pPr>
          </w:p>
          <w:p w:rsidR="00510DDC" w:rsidRPr="000A0A5F" w:rsidRDefault="00510DDC" w:rsidP="00510DDC">
            <w:pPr>
              <w:pStyle w:val="TAL"/>
              <w:rPr>
                <w:rFonts w:cs="Arial"/>
                <w:szCs w:val="18"/>
                <w:lang w:eastAsia="zh-CN"/>
              </w:rPr>
            </w:pPr>
            <w:r w:rsidRPr="000A0A5F">
              <w:rPr>
                <w:rFonts w:cs="Arial"/>
                <w:szCs w:val="18"/>
                <w:lang w:eastAsia="zh-CN"/>
              </w:rPr>
              <w:t xml:space="preserve">If set to "false", it </w:t>
            </w:r>
            <w:r w:rsidRPr="000A0A5F">
              <w:rPr>
                <w:rFonts w:cs="Arial" w:hint="eastAsia"/>
                <w:szCs w:val="18"/>
                <w:lang w:eastAsia="zh-CN"/>
              </w:rPr>
              <w:t>i</w:t>
            </w:r>
            <w:r w:rsidRPr="000A0A5F">
              <w:rPr>
                <w:rFonts w:cs="Arial"/>
                <w:szCs w:val="18"/>
                <w:lang w:eastAsia="zh-CN"/>
              </w:rPr>
              <w:t>ndicates that UE’s with "</w:t>
            </w:r>
            <w:r w:rsidRPr="000A0A5F">
              <w:t>PDU session established for DNN(s) subject to aerial service</w:t>
            </w:r>
            <w:r w:rsidRPr="000A0A5F">
              <w:rPr>
                <w:rFonts w:cs="Arial"/>
                <w:szCs w:val="18"/>
                <w:lang w:eastAsia="zh-CN"/>
              </w:rPr>
              <w:t>" are not to be listed in the Event report.</w:t>
            </w:r>
          </w:p>
          <w:p w:rsidR="00510DDC" w:rsidRPr="000A0A5F" w:rsidRDefault="00510DDC" w:rsidP="00510DDC">
            <w:pPr>
              <w:pStyle w:val="TAL"/>
              <w:rPr>
                <w:rFonts w:cs="Arial"/>
                <w:szCs w:val="18"/>
                <w:lang w:eastAsia="zh-CN"/>
              </w:rPr>
            </w:pPr>
          </w:p>
          <w:p w:rsidR="00510DDC" w:rsidRPr="000A0A5F" w:rsidRDefault="00510DDC" w:rsidP="00510DDC">
            <w:pPr>
              <w:pStyle w:val="TAL"/>
              <w:rPr>
                <w:rFonts w:cs="Arial"/>
                <w:szCs w:val="18"/>
                <w:lang w:eastAsia="zh-CN"/>
              </w:rPr>
            </w:pPr>
            <w:r w:rsidRPr="000A0A5F">
              <w:rPr>
                <w:rFonts w:cs="Arial"/>
                <w:szCs w:val="18"/>
                <w:lang w:eastAsia="zh-CN"/>
              </w:rPr>
              <w:t>Default: "false" if omitted.</w:t>
            </w:r>
          </w:p>
          <w:p w:rsidR="00510DDC" w:rsidRPr="000A0A5F" w:rsidRDefault="00510DDC" w:rsidP="00510DDC">
            <w:pPr>
              <w:pStyle w:val="TAL"/>
              <w:rPr>
                <w:rFonts w:cs="Arial"/>
                <w:szCs w:val="18"/>
                <w:lang w:eastAsia="zh-CN"/>
              </w:rPr>
            </w:pPr>
          </w:p>
          <w:p w:rsidR="00510DDC" w:rsidRPr="000A0A5F" w:rsidRDefault="00510DDC" w:rsidP="00510DDC">
            <w:pPr>
              <w:pStyle w:val="TAL"/>
              <w:rPr>
                <w:rFonts w:cs="Arial"/>
                <w:szCs w:val="18"/>
                <w:lang w:eastAsia="zh-CN"/>
              </w:rPr>
            </w:pPr>
            <w:r w:rsidRPr="000A0A5F">
              <w:rPr>
                <w:rFonts w:cs="Arial"/>
                <w:szCs w:val="18"/>
                <w:lang w:eastAsia="zh-CN"/>
              </w:rPr>
              <w:t>(NOTE 14)</w:t>
            </w:r>
          </w:p>
        </w:tc>
        <w:tc>
          <w:tcPr>
            <w:tcW w:w="1392" w:type="dxa"/>
          </w:tcPr>
          <w:p w:rsidR="00510DDC" w:rsidRPr="000A0A5F" w:rsidRDefault="00510DDC" w:rsidP="00510DDC">
            <w:pPr>
              <w:pStyle w:val="TAL"/>
              <w:rPr>
                <w:lang w:eastAsia="zh-CN"/>
              </w:rPr>
            </w:pPr>
            <w:r w:rsidRPr="000A0A5F">
              <w:rPr>
                <w:lang w:eastAsia="zh-CN"/>
              </w:rPr>
              <w:t>UAV</w:t>
            </w:r>
          </w:p>
        </w:tc>
      </w:tr>
      <w:tr w:rsidR="00510DDC" w:rsidRPr="000A0A5F" w:rsidTr="002B45A7">
        <w:trPr>
          <w:jc w:val="center"/>
        </w:trPr>
        <w:tc>
          <w:tcPr>
            <w:tcW w:w="2026" w:type="dxa"/>
            <w:shd w:val="clear" w:color="auto" w:fill="auto"/>
          </w:tcPr>
          <w:p w:rsidR="00510DDC" w:rsidRPr="000A0A5F" w:rsidRDefault="00510DDC" w:rsidP="00510DDC">
            <w:pPr>
              <w:pStyle w:val="TAL"/>
              <w:rPr>
                <w:lang w:eastAsia="zh-CN"/>
              </w:rPr>
            </w:pPr>
            <w:r w:rsidRPr="000A0A5F">
              <w:rPr>
                <w:lang w:eastAsia="zh-CN"/>
              </w:rPr>
              <w:t>add</w:t>
            </w:r>
            <w:r w:rsidRPr="000A0A5F">
              <w:rPr>
                <w:rFonts w:hint="eastAsia"/>
                <w:lang w:eastAsia="zh-CN"/>
              </w:rPr>
              <w:t>n</w:t>
            </w:r>
            <w:r w:rsidRPr="000A0A5F">
              <w:rPr>
                <w:lang w:eastAsia="zh-CN"/>
              </w:rPr>
              <w:t>MonTypes</w:t>
            </w:r>
          </w:p>
        </w:tc>
        <w:tc>
          <w:tcPr>
            <w:tcW w:w="1492" w:type="dxa"/>
            <w:shd w:val="clear" w:color="auto" w:fill="auto"/>
          </w:tcPr>
          <w:p w:rsidR="00510DDC" w:rsidRPr="000A0A5F" w:rsidRDefault="00510DDC" w:rsidP="00510DDC">
            <w:pPr>
              <w:pStyle w:val="TAL"/>
              <w:rPr>
                <w:lang w:eastAsia="zh-CN"/>
              </w:rPr>
            </w:pPr>
            <w:r w:rsidRPr="000A0A5F">
              <w:rPr>
                <w:lang w:eastAsia="zh-CN"/>
              </w:rPr>
              <w:t>array(MonitoringType)</w:t>
            </w:r>
          </w:p>
        </w:tc>
        <w:tc>
          <w:tcPr>
            <w:tcW w:w="1134" w:type="dxa"/>
            <w:shd w:val="clear" w:color="auto" w:fill="auto"/>
          </w:tcPr>
          <w:p w:rsidR="00510DDC" w:rsidRPr="000A0A5F" w:rsidRDefault="00510DDC" w:rsidP="00510DDC">
            <w:pPr>
              <w:pStyle w:val="TAC"/>
              <w:jc w:val="left"/>
              <w:rPr>
                <w:lang w:eastAsia="zh-CN"/>
              </w:rPr>
            </w:pPr>
            <w:r w:rsidRPr="000A0A5F">
              <w:rPr>
                <w:rFonts w:eastAsia="Times New Roman"/>
              </w:rPr>
              <w:t>0..N</w:t>
            </w:r>
          </w:p>
        </w:tc>
        <w:tc>
          <w:tcPr>
            <w:tcW w:w="3544" w:type="dxa"/>
            <w:shd w:val="clear" w:color="auto" w:fill="auto"/>
          </w:tcPr>
          <w:p w:rsidR="00510DDC" w:rsidRPr="000A0A5F" w:rsidRDefault="00510DDC" w:rsidP="00510DDC">
            <w:pPr>
              <w:pStyle w:val="TAL"/>
              <w:rPr>
                <w:rFonts w:cs="Arial"/>
                <w:szCs w:val="18"/>
              </w:rPr>
            </w:pPr>
            <w:r w:rsidRPr="000A0A5F">
              <w:rPr>
                <w:rFonts w:cs="Arial"/>
                <w:szCs w:val="18"/>
              </w:rPr>
              <w:t>Represents additional monitoring types.</w:t>
            </w:r>
          </w:p>
          <w:p w:rsidR="00510DDC" w:rsidRPr="000A0A5F" w:rsidRDefault="00510DDC" w:rsidP="00510DDC">
            <w:pPr>
              <w:pStyle w:val="TAL"/>
              <w:rPr>
                <w:rFonts w:cs="Arial"/>
                <w:szCs w:val="18"/>
                <w:lang w:eastAsia="zh-CN"/>
              </w:rPr>
            </w:pPr>
          </w:p>
          <w:p w:rsidR="00510DDC" w:rsidRPr="000A0A5F" w:rsidRDefault="00510DDC" w:rsidP="00510DDC">
            <w:pPr>
              <w:pStyle w:val="TAL"/>
              <w:rPr>
                <w:rFonts w:cs="Arial"/>
                <w:szCs w:val="18"/>
                <w:lang w:eastAsia="zh-CN"/>
              </w:rPr>
            </w:pPr>
            <w:r w:rsidRPr="000A0A5F">
              <w:rPr>
                <w:rFonts w:cs="Arial"/>
                <w:szCs w:val="18"/>
                <w:lang w:eastAsia="zh-CN"/>
              </w:rPr>
              <w:t>(NOTE 17)</w:t>
            </w:r>
          </w:p>
        </w:tc>
        <w:tc>
          <w:tcPr>
            <w:tcW w:w="1392" w:type="dxa"/>
          </w:tcPr>
          <w:p w:rsidR="00510DDC" w:rsidRPr="000A0A5F" w:rsidRDefault="00510DDC" w:rsidP="00510DDC">
            <w:pPr>
              <w:pStyle w:val="TAL"/>
              <w:rPr>
                <w:lang w:eastAsia="zh-CN"/>
              </w:rPr>
            </w:pPr>
            <w:r w:rsidRPr="000A0A5F">
              <w:rPr>
                <w:rFonts w:hint="eastAsia"/>
                <w:lang w:eastAsia="zh-CN"/>
              </w:rPr>
              <w:t>e</w:t>
            </w:r>
            <w:r w:rsidRPr="000A0A5F">
              <w:rPr>
                <w:lang w:eastAsia="zh-CN"/>
              </w:rPr>
              <w:t>nNB</w:t>
            </w:r>
          </w:p>
        </w:tc>
      </w:tr>
      <w:tr w:rsidR="00510DDC" w:rsidRPr="000A0A5F" w:rsidTr="002B45A7">
        <w:trPr>
          <w:jc w:val="center"/>
        </w:trPr>
        <w:tc>
          <w:tcPr>
            <w:tcW w:w="2026" w:type="dxa"/>
            <w:shd w:val="clear" w:color="auto" w:fill="auto"/>
          </w:tcPr>
          <w:p w:rsidR="00510DDC" w:rsidRPr="000A0A5F" w:rsidRDefault="00510DDC" w:rsidP="00510DDC">
            <w:pPr>
              <w:pStyle w:val="TAL"/>
              <w:rPr>
                <w:lang w:eastAsia="zh-CN"/>
              </w:rPr>
            </w:pPr>
            <w:r w:rsidRPr="000A0A5F">
              <w:rPr>
                <w:lang w:eastAsia="zh-CN"/>
              </w:rPr>
              <w:t>add</w:t>
            </w:r>
            <w:r w:rsidRPr="000A0A5F">
              <w:rPr>
                <w:rFonts w:hint="eastAsia"/>
                <w:lang w:eastAsia="zh-CN"/>
              </w:rPr>
              <w:t>n</w:t>
            </w:r>
            <w:r w:rsidRPr="000A0A5F">
              <w:rPr>
                <w:lang w:eastAsia="zh-CN"/>
              </w:rPr>
              <w:t>Mon</w:t>
            </w:r>
            <w:r w:rsidRPr="000A0A5F">
              <w:t>EventReports</w:t>
            </w:r>
          </w:p>
        </w:tc>
        <w:tc>
          <w:tcPr>
            <w:tcW w:w="1492" w:type="dxa"/>
            <w:shd w:val="clear" w:color="auto" w:fill="auto"/>
          </w:tcPr>
          <w:p w:rsidR="00510DDC" w:rsidRPr="000A0A5F" w:rsidRDefault="00510DDC" w:rsidP="00510DDC">
            <w:pPr>
              <w:pStyle w:val="TAL"/>
              <w:rPr>
                <w:lang w:eastAsia="zh-CN"/>
              </w:rPr>
            </w:pPr>
            <w:r w:rsidRPr="000A0A5F">
              <w:t>array(MonitoringEventReport)</w:t>
            </w:r>
          </w:p>
        </w:tc>
        <w:tc>
          <w:tcPr>
            <w:tcW w:w="1134" w:type="dxa"/>
            <w:shd w:val="clear" w:color="auto" w:fill="auto"/>
          </w:tcPr>
          <w:p w:rsidR="00510DDC" w:rsidRPr="000A0A5F" w:rsidRDefault="00510DDC" w:rsidP="00510DDC">
            <w:pPr>
              <w:pStyle w:val="TAC"/>
              <w:jc w:val="left"/>
              <w:rPr>
                <w:lang w:eastAsia="zh-CN"/>
              </w:rPr>
            </w:pPr>
            <w:r w:rsidRPr="000A0A5F">
              <w:rPr>
                <w:rFonts w:cs="Arial" w:hint="eastAsia"/>
                <w:szCs w:val="18"/>
                <w:lang w:eastAsia="zh-CN"/>
              </w:rPr>
              <w:t>0..</w:t>
            </w:r>
            <w:r w:rsidRPr="000A0A5F">
              <w:rPr>
                <w:rFonts w:cs="Arial"/>
                <w:szCs w:val="18"/>
                <w:lang w:eastAsia="zh-CN"/>
              </w:rPr>
              <w:t>N</w:t>
            </w:r>
          </w:p>
        </w:tc>
        <w:tc>
          <w:tcPr>
            <w:tcW w:w="3544" w:type="dxa"/>
            <w:shd w:val="clear" w:color="auto" w:fill="auto"/>
          </w:tcPr>
          <w:p w:rsidR="00510DDC" w:rsidRPr="000A0A5F" w:rsidRDefault="00510DDC" w:rsidP="00510DDC">
            <w:pPr>
              <w:pStyle w:val="TAL"/>
            </w:pPr>
            <w:r w:rsidRPr="000A0A5F">
              <w:rPr>
                <w:rFonts w:cs="Arial"/>
                <w:szCs w:val="18"/>
                <w:lang w:eastAsia="zh-CN"/>
              </w:rPr>
              <w:t xml:space="preserve">Additional </w:t>
            </w:r>
            <w:r w:rsidRPr="000A0A5F">
              <w:t>monitoring event reports.</w:t>
            </w:r>
          </w:p>
          <w:p w:rsidR="00510DDC" w:rsidRPr="000A0A5F" w:rsidRDefault="00510DDC" w:rsidP="00510DDC">
            <w:pPr>
              <w:pStyle w:val="TAL"/>
              <w:rPr>
                <w:rFonts w:cs="Arial"/>
                <w:szCs w:val="18"/>
                <w:lang w:eastAsia="zh-CN"/>
              </w:rPr>
            </w:pPr>
            <w:r w:rsidRPr="000A0A5F">
              <w:rPr>
                <w:rFonts w:cs="Arial"/>
                <w:szCs w:val="18"/>
                <w:lang w:eastAsia="zh-CN"/>
              </w:rPr>
              <w:t>May only be provided if the "addnMonTypes" attribute is provided in the corresponding subscription creation/update request.</w:t>
            </w:r>
          </w:p>
        </w:tc>
        <w:tc>
          <w:tcPr>
            <w:tcW w:w="1392" w:type="dxa"/>
          </w:tcPr>
          <w:p w:rsidR="00510DDC" w:rsidRPr="000A0A5F" w:rsidRDefault="00510DDC" w:rsidP="00510DDC">
            <w:pPr>
              <w:pStyle w:val="TAL"/>
              <w:rPr>
                <w:lang w:eastAsia="zh-CN"/>
              </w:rPr>
            </w:pPr>
            <w:r w:rsidRPr="000A0A5F">
              <w:rPr>
                <w:rFonts w:hint="eastAsia"/>
                <w:lang w:eastAsia="zh-CN"/>
              </w:rPr>
              <w:t>e</w:t>
            </w:r>
            <w:r w:rsidRPr="000A0A5F">
              <w:rPr>
                <w:lang w:eastAsia="zh-CN"/>
              </w:rPr>
              <w:t>nNB</w:t>
            </w:r>
          </w:p>
        </w:tc>
      </w:tr>
      <w:tr w:rsidR="00E50DF1" w:rsidRPr="000A0A5F" w:rsidTr="002B45A7">
        <w:trPr>
          <w:jc w:val="center"/>
        </w:trPr>
        <w:tc>
          <w:tcPr>
            <w:tcW w:w="2026" w:type="dxa"/>
            <w:shd w:val="clear" w:color="auto" w:fill="auto"/>
          </w:tcPr>
          <w:p w:rsidR="00E50DF1" w:rsidRPr="000A0A5F" w:rsidRDefault="00E50DF1" w:rsidP="00E50DF1">
            <w:pPr>
              <w:pStyle w:val="TAL"/>
              <w:rPr>
                <w:lang w:eastAsia="zh-CN"/>
              </w:rPr>
            </w:pPr>
            <w:r w:rsidRPr="000A0A5F">
              <w:rPr>
                <w:lang w:eastAsia="zh-CN"/>
              </w:rPr>
              <w:t>ueIpAddr</w:t>
            </w:r>
          </w:p>
        </w:tc>
        <w:tc>
          <w:tcPr>
            <w:tcW w:w="1492" w:type="dxa"/>
            <w:shd w:val="clear" w:color="auto" w:fill="auto"/>
          </w:tcPr>
          <w:p w:rsidR="00E50DF1" w:rsidRPr="000A0A5F" w:rsidRDefault="00E50DF1" w:rsidP="00E50DF1">
            <w:pPr>
              <w:pStyle w:val="TAL"/>
            </w:pPr>
            <w:r w:rsidRPr="000A0A5F">
              <w:t>IpAddr</w:t>
            </w:r>
          </w:p>
        </w:tc>
        <w:tc>
          <w:tcPr>
            <w:tcW w:w="1134" w:type="dxa"/>
            <w:shd w:val="clear" w:color="auto" w:fill="auto"/>
          </w:tcPr>
          <w:p w:rsidR="00E50DF1" w:rsidRPr="000A0A5F" w:rsidRDefault="00E50DF1" w:rsidP="00E50DF1">
            <w:pPr>
              <w:pStyle w:val="TAC"/>
              <w:jc w:val="left"/>
              <w:rPr>
                <w:rFonts w:cs="Arial" w:hint="eastAsia"/>
                <w:szCs w:val="18"/>
                <w:lang w:eastAsia="zh-CN"/>
              </w:rPr>
            </w:pPr>
            <w:r w:rsidRPr="000A0A5F">
              <w:rPr>
                <w:rFonts w:cs="Arial"/>
                <w:szCs w:val="18"/>
                <w:lang w:eastAsia="zh-CN"/>
              </w:rPr>
              <w:t>0..1</w:t>
            </w:r>
          </w:p>
        </w:tc>
        <w:tc>
          <w:tcPr>
            <w:tcW w:w="3544" w:type="dxa"/>
            <w:shd w:val="clear" w:color="auto" w:fill="auto"/>
          </w:tcPr>
          <w:p w:rsidR="00E50DF1" w:rsidRPr="000A0A5F" w:rsidRDefault="00E50DF1" w:rsidP="00E50DF1">
            <w:pPr>
              <w:pStyle w:val="TAL"/>
              <w:rPr>
                <w:rFonts w:cs="Arial"/>
                <w:szCs w:val="18"/>
                <w:lang w:eastAsia="zh-CN"/>
              </w:rPr>
            </w:pPr>
            <w:r w:rsidRPr="000A0A5F">
              <w:rPr>
                <w:rFonts w:cs="Arial"/>
                <w:szCs w:val="18"/>
                <w:lang w:eastAsia="zh-CN"/>
              </w:rPr>
              <w:t>UE IP address.</w:t>
            </w:r>
          </w:p>
        </w:tc>
        <w:tc>
          <w:tcPr>
            <w:tcW w:w="1392" w:type="dxa"/>
          </w:tcPr>
          <w:p w:rsidR="00E50DF1" w:rsidRPr="000A0A5F" w:rsidRDefault="00E50DF1" w:rsidP="00E50DF1">
            <w:pPr>
              <w:pStyle w:val="TAL"/>
              <w:rPr>
                <w:rFonts w:hint="eastAsia"/>
                <w:lang w:eastAsia="zh-CN"/>
              </w:rPr>
            </w:pPr>
            <w:r w:rsidRPr="000A0A5F">
              <w:rPr>
                <w:lang w:eastAsia="zh-CN"/>
              </w:rPr>
              <w:t>UEId_retrieval</w:t>
            </w:r>
          </w:p>
        </w:tc>
      </w:tr>
      <w:tr w:rsidR="00E50DF1" w:rsidRPr="000A0A5F" w:rsidTr="002B45A7">
        <w:trPr>
          <w:jc w:val="center"/>
        </w:trPr>
        <w:tc>
          <w:tcPr>
            <w:tcW w:w="2026" w:type="dxa"/>
            <w:shd w:val="clear" w:color="auto" w:fill="auto"/>
          </w:tcPr>
          <w:p w:rsidR="00E50DF1" w:rsidRPr="000A0A5F" w:rsidRDefault="00E50DF1" w:rsidP="00E50DF1">
            <w:pPr>
              <w:pStyle w:val="TAL"/>
              <w:rPr>
                <w:lang w:eastAsia="zh-CN"/>
              </w:rPr>
            </w:pPr>
            <w:r w:rsidRPr="000A0A5F">
              <w:rPr>
                <w:lang w:eastAsia="zh-CN"/>
              </w:rPr>
              <w:t>ueMacAddr</w:t>
            </w:r>
          </w:p>
        </w:tc>
        <w:tc>
          <w:tcPr>
            <w:tcW w:w="1492" w:type="dxa"/>
            <w:shd w:val="clear" w:color="auto" w:fill="auto"/>
          </w:tcPr>
          <w:p w:rsidR="00E50DF1" w:rsidRPr="000A0A5F" w:rsidRDefault="00E50DF1" w:rsidP="00E50DF1">
            <w:pPr>
              <w:pStyle w:val="TAL"/>
            </w:pPr>
            <w:r w:rsidRPr="000A0A5F">
              <w:t>MacAddr48</w:t>
            </w:r>
          </w:p>
        </w:tc>
        <w:tc>
          <w:tcPr>
            <w:tcW w:w="1134" w:type="dxa"/>
            <w:shd w:val="clear" w:color="auto" w:fill="auto"/>
          </w:tcPr>
          <w:p w:rsidR="00E50DF1" w:rsidRPr="000A0A5F" w:rsidRDefault="00E50DF1" w:rsidP="00E50DF1">
            <w:pPr>
              <w:pStyle w:val="TAC"/>
              <w:jc w:val="left"/>
              <w:rPr>
                <w:rFonts w:cs="Arial" w:hint="eastAsia"/>
                <w:szCs w:val="18"/>
                <w:lang w:eastAsia="zh-CN"/>
              </w:rPr>
            </w:pPr>
            <w:r w:rsidRPr="000A0A5F">
              <w:rPr>
                <w:rFonts w:cs="Arial"/>
                <w:szCs w:val="18"/>
                <w:lang w:eastAsia="zh-CN"/>
              </w:rPr>
              <w:t>0..1</w:t>
            </w:r>
          </w:p>
        </w:tc>
        <w:tc>
          <w:tcPr>
            <w:tcW w:w="3544" w:type="dxa"/>
            <w:shd w:val="clear" w:color="auto" w:fill="auto"/>
          </w:tcPr>
          <w:p w:rsidR="00E50DF1" w:rsidRPr="000A0A5F" w:rsidRDefault="00E50DF1" w:rsidP="00E50DF1">
            <w:pPr>
              <w:pStyle w:val="TAL"/>
              <w:rPr>
                <w:rFonts w:cs="Arial"/>
                <w:szCs w:val="18"/>
                <w:lang w:eastAsia="zh-CN"/>
              </w:rPr>
            </w:pPr>
            <w:r w:rsidRPr="000A0A5F">
              <w:rPr>
                <w:rFonts w:cs="Arial"/>
                <w:szCs w:val="18"/>
                <w:lang w:eastAsia="zh-CN"/>
              </w:rPr>
              <w:t>UE MAC address.</w:t>
            </w:r>
          </w:p>
        </w:tc>
        <w:tc>
          <w:tcPr>
            <w:tcW w:w="1392" w:type="dxa"/>
          </w:tcPr>
          <w:p w:rsidR="00E50DF1" w:rsidRPr="000A0A5F" w:rsidRDefault="00E50DF1" w:rsidP="00E50DF1">
            <w:pPr>
              <w:pStyle w:val="TAL"/>
              <w:rPr>
                <w:rFonts w:hint="eastAsia"/>
                <w:lang w:eastAsia="zh-CN"/>
              </w:rPr>
            </w:pPr>
            <w:r w:rsidRPr="000A0A5F">
              <w:rPr>
                <w:lang w:eastAsia="zh-CN"/>
              </w:rPr>
              <w:t>UEId_retrieval</w:t>
            </w:r>
          </w:p>
        </w:tc>
      </w:tr>
      <w:tr w:rsidR="00E50DF1" w:rsidRPr="000A0A5F" w:rsidTr="002B45A7">
        <w:trPr>
          <w:jc w:val="center"/>
        </w:trPr>
        <w:tc>
          <w:tcPr>
            <w:tcW w:w="2026" w:type="dxa"/>
            <w:shd w:val="clear" w:color="auto" w:fill="auto"/>
          </w:tcPr>
          <w:p w:rsidR="00E50DF1" w:rsidRPr="000A0A5F" w:rsidRDefault="00E50DF1" w:rsidP="00E50DF1">
            <w:pPr>
              <w:pStyle w:val="TAL"/>
              <w:rPr>
                <w:lang w:eastAsia="zh-CN"/>
              </w:rPr>
            </w:pPr>
            <w:r w:rsidRPr="000A0A5F">
              <w:t>revocationNotifUri</w:t>
            </w:r>
          </w:p>
        </w:tc>
        <w:tc>
          <w:tcPr>
            <w:tcW w:w="1492" w:type="dxa"/>
            <w:shd w:val="clear" w:color="auto" w:fill="auto"/>
          </w:tcPr>
          <w:p w:rsidR="00E50DF1" w:rsidRPr="000A0A5F" w:rsidRDefault="00E50DF1" w:rsidP="00E50DF1">
            <w:pPr>
              <w:pStyle w:val="TAL"/>
            </w:pPr>
            <w:r w:rsidRPr="000A0A5F">
              <w:rPr>
                <w:szCs w:val="18"/>
                <w:lang w:eastAsia="zh-CN"/>
              </w:rPr>
              <w:t>Uri</w:t>
            </w:r>
          </w:p>
        </w:tc>
        <w:tc>
          <w:tcPr>
            <w:tcW w:w="1134" w:type="dxa"/>
            <w:shd w:val="clear" w:color="auto" w:fill="auto"/>
          </w:tcPr>
          <w:p w:rsidR="00E50DF1" w:rsidRPr="000A0A5F" w:rsidRDefault="00E50DF1" w:rsidP="00E50DF1">
            <w:pPr>
              <w:pStyle w:val="TAC"/>
              <w:jc w:val="left"/>
              <w:rPr>
                <w:rFonts w:cs="Arial"/>
                <w:szCs w:val="18"/>
                <w:lang w:eastAsia="zh-CN"/>
              </w:rPr>
            </w:pPr>
            <w:r w:rsidRPr="000A0A5F">
              <w:rPr>
                <w:lang w:eastAsia="zh-CN"/>
              </w:rPr>
              <w:t>0..1</w:t>
            </w:r>
          </w:p>
        </w:tc>
        <w:tc>
          <w:tcPr>
            <w:tcW w:w="3544" w:type="dxa"/>
            <w:shd w:val="clear" w:color="auto" w:fill="auto"/>
          </w:tcPr>
          <w:p w:rsidR="00E50DF1" w:rsidRPr="000A0A5F" w:rsidRDefault="00DE6211" w:rsidP="00DE6211">
            <w:pPr>
              <w:pStyle w:val="TAL"/>
              <w:rPr>
                <w:rFonts w:cs="Arial"/>
                <w:szCs w:val="18"/>
                <w:lang w:eastAsia="zh-CN"/>
              </w:rPr>
            </w:pPr>
            <w:r w:rsidRPr="000A0A5F">
              <w:rPr>
                <w:lang w:eastAsia="zh-CN"/>
              </w:rPr>
              <w:t>Contains the URI via which the AF desires to receive user consent revocation notifications.</w:t>
            </w:r>
          </w:p>
        </w:tc>
        <w:tc>
          <w:tcPr>
            <w:tcW w:w="1392" w:type="dxa"/>
          </w:tcPr>
          <w:p w:rsidR="00E50DF1" w:rsidRPr="000A0A5F" w:rsidRDefault="00E50DF1" w:rsidP="00E50DF1">
            <w:pPr>
              <w:pStyle w:val="TAL"/>
              <w:rPr>
                <w:lang w:eastAsia="zh-CN"/>
              </w:rPr>
            </w:pPr>
            <w:r w:rsidRPr="000A0A5F">
              <w:rPr>
                <w:lang w:eastAsia="zh-CN"/>
              </w:rPr>
              <w:t>UserConsentRevocation</w:t>
            </w:r>
          </w:p>
        </w:tc>
      </w:tr>
      <w:tr w:rsidR="00C520FB" w:rsidRPr="000A0A5F" w:rsidTr="002B45A7">
        <w:trPr>
          <w:jc w:val="center"/>
        </w:trPr>
        <w:tc>
          <w:tcPr>
            <w:tcW w:w="2026" w:type="dxa"/>
            <w:shd w:val="clear" w:color="auto" w:fill="auto"/>
          </w:tcPr>
          <w:p w:rsidR="00C520FB" w:rsidRPr="000A0A5F" w:rsidRDefault="00C520FB" w:rsidP="00C520FB">
            <w:pPr>
              <w:pStyle w:val="TAL"/>
            </w:pPr>
            <w:r w:rsidRPr="000A0A5F">
              <w:rPr>
                <w:rFonts w:cs="Arial"/>
                <w:szCs w:val="18"/>
              </w:rPr>
              <w:t>reqRangingSlRes</w:t>
            </w:r>
          </w:p>
        </w:tc>
        <w:tc>
          <w:tcPr>
            <w:tcW w:w="1492" w:type="dxa"/>
            <w:shd w:val="clear" w:color="auto" w:fill="auto"/>
          </w:tcPr>
          <w:p w:rsidR="00C520FB" w:rsidRPr="000A0A5F" w:rsidRDefault="00C520FB" w:rsidP="00C520FB">
            <w:pPr>
              <w:pStyle w:val="TAL"/>
              <w:rPr>
                <w:szCs w:val="18"/>
                <w:lang w:eastAsia="zh-CN"/>
              </w:rPr>
            </w:pPr>
            <w:r w:rsidRPr="000A0A5F">
              <w:rPr>
                <w:rFonts w:cs="Arial"/>
                <w:szCs w:val="18"/>
              </w:rPr>
              <w:t>array(</w:t>
            </w:r>
            <w:bookmarkStart w:id="1811" w:name="_Hlk142683907"/>
            <w:r w:rsidRPr="000A0A5F">
              <w:rPr>
                <w:rFonts w:cs="Arial"/>
                <w:szCs w:val="18"/>
              </w:rPr>
              <w:t>RangingSlResult</w:t>
            </w:r>
            <w:bookmarkEnd w:id="1811"/>
            <w:r w:rsidRPr="000A0A5F">
              <w:rPr>
                <w:rFonts w:cs="Arial"/>
                <w:szCs w:val="18"/>
              </w:rPr>
              <w:t>)</w:t>
            </w:r>
          </w:p>
        </w:tc>
        <w:tc>
          <w:tcPr>
            <w:tcW w:w="1134" w:type="dxa"/>
            <w:shd w:val="clear" w:color="auto" w:fill="auto"/>
          </w:tcPr>
          <w:p w:rsidR="00C520FB" w:rsidRPr="000A0A5F" w:rsidRDefault="00C520FB" w:rsidP="00C520FB">
            <w:pPr>
              <w:pStyle w:val="TAC"/>
              <w:jc w:val="left"/>
              <w:rPr>
                <w:lang w:eastAsia="zh-CN"/>
              </w:rPr>
            </w:pPr>
            <w:r w:rsidRPr="000A0A5F">
              <w:rPr>
                <w:rFonts w:cs="Arial"/>
                <w:szCs w:val="18"/>
              </w:rPr>
              <w:t>1..N</w:t>
            </w:r>
          </w:p>
        </w:tc>
        <w:tc>
          <w:tcPr>
            <w:tcW w:w="3544" w:type="dxa"/>
            <w:shd w:val="clear" w:color="auto" w:fill="auto"/>
          </w:tcPr>
          <w:p w:rsidR="00C520FB" w:rsidRPr="000A0A5F" w:rsidRDefault="00C520FB" w:rsidP="00C520FB">
            <w:pPr>
              <w:pStyle w:val="TAL"/>
              <w:rPr>
                <w:lang w:eastAsia="zh-CN"/>
              </w:rPr>
            </w:pPr>
            <w:r w:rsidRPr="000A0A5F">
              <w:rPr>
                <w:rFonts w:cs="Arial"/>
                <w:szCs w:val="18"/>
              </w:rPr>
              <w:t>Contains the type of result requested for ranging and sidelink positioning.</w:t>
            </w:r>
          </w:p>
        </w:tc>
        <w:tc>
          <w:tcPr>
            <w:tcW w:w="1392" w:type="dxa"/>
          </w:tcPr>
          <w:p w:rsidR="00C520FB" w:rsidRPr="000A0A5F" w:rsidRDefault="00C520FB" w:rsidP="00C520FB">
            <w:pPr>
              <w:pStyle w:val="TAL"/>
              <w:rPr>
                <w:lang w:eastAsia="zh-CN"/>
              </w:rPr>
            </w:pPr>
            <w:r w:rsidRPr="000A0A5F">
              <w:rPr>
                <w:lang w:eastAsia="zh-CN"/>
              </w:rPr>
              <w:t>Ranging_SL</w:t>
            </w:r>
          </w:p>
        </w:tc>
      </w:tr>
      <w:tr w:rsidR="00C520FB" w:rsidRPr="000A0A5F" w:rsidTr="002B45A7">
        <w:trPr>
          <w:jc w:val="center"/>
        </w:trPr>
        <w:tc>
          <w:tcPr>
            <w:tcW w:w="2026" w:type="dxa"/>
            <w:shd w:val="clear" w:color="auto" w:fill="auto"/>
          </w:tcPr>
          <w:p w:rsidR="00C520FB" w:rsidRPr="000A0A5F" w:rsidRDefault="00C520FB" w:rsidP="00C520FB">
            <w:pPr>
              <w:pStyle w:val="TAL"/>
            </w:pPr>
            <w:r w:rsidRPr="000A0A5F">
              <w:rPr>
                <w:rFonts w:cs="Arial"/>
                <w:szCs w:val="18"/>
              </w:rPr>
              <w:t>relatedUEs</w:t>
            </w:r>
          </w:p>
        </w:tc>
        <w:tc>
          <w:tcPr>
            <w:tcW w:w="1492" w:type="dxa"/>
            <w:shd w:val="clear" w:color="auto" w:fill="auto"/>
          </w:tcPr>
          <w:p w:rsidR="00C520FB" w:rsidRPr="000A0A5F" w:rsidRDefault="00C520FB" w:rsidP="00C520FB">
            <w:pPr>
              <w:pStyle w:val="TAL"/>
              <w:rPr>
                <w:szCs w:val="18"/>
                <w:lang w:eastAsia="zh-CN"/>
              </w:rPr>
            </w:pPr>
            <w:r w:rsidRPr="000A0A5F">
              <w:rPr>
                <w:rFonts w:cs="Arial"/>
                <w:szCs w:val="18"/>
              </w:rPr>
              <w:t>array(</w:t>
            </w:r>
            <w:bookmarkStart w:id="1812" w:name="_Hlk142683982"/>
            <w:r w:rsidRPr="000A0A5F">
              <w:rPr>
                <w:rFonts w:cs="Arial"/>
                <w:szCs w:val="18"/>
              </w:rPr>
              <w:t>RelatedUE</w:t>
            </w:r>
            <w:bookmarkEnd w:id="1812"/>
            <w:r w:rsidRPr="000A0A5F">
              <w:rPr>
                <w:rFonts w:cs="Arial"/>
                <w:szCs w:val="18"/>
              </w:rPr>
              <w:t>)</w:t>
            </w:r>
          </w:p>
        </w:tc>
        <w:tc>
          <w:tcPr>
            <w:tcW w:w="1134" w:type="dxa"/>
            <w:shd w:val="clear" w:color="auto" w:fill="auto"/>
          </w:tcPr>
          <w:p w:rsidR="00C520FB" w:rsidRPr="000A0A5F" w:rsidRDefault="00C520FB" w:rsidP="00C520FB">
            <w:pPr>
              <w:pStyle w:val="TAC"/>
              <w:jc w:val="left"/>
              <w:rPr>
                <w:lang w:eastAsia="zh-CN"/>
              </w:rPr>
            </w:pPr>
            <w:r w:rsidRPr="000A0A5F">
              <w:rPr>
                <w:rFonts w:cs="Arial"/>
                <w:szCs w:val="18"/>
              </w:rPr>
              <w:t>1..N</w:t>
            </w:r>
          </w:p>
        </w:tc>
        <w:tc>
          <w:tcPr>
            <w:tcW w:w="3544" w:type="dxa"/>
            <w:shd w:val="clear" w:color="auto" w:fill="auto"/>
          </w:tcPr>
          <w:p w:rsidR="00C520FB" w:rsidRPr="000A0A5F" w:rsidRDefault="00C520FB" w:rsidP="00C520FB">
            <w:pPr>
              <w:pStyle w:val="TAL"/>
              <w:rPr>
                <w:lang w:eastAsia="zh-CN"/>
              </w:rPr>
            </w:pPr>
            <w:r w:rsidRPr="000A0A5F">
              <w:rPr>
                <w:rFonts w:cs="Arial"/>
                <w:szCs w:val="18"/>
              </w:rPr>
              <w:t>Contains a list of the information for the related UEs for the ranging and sidelink positioning.</w:t>
            </w:r>
          </w:p>
        </w:tc>
        <w:tc>
          <w:tcPr>
            <w:tcW w:w="1392" w:type="dxa"/>
          </w:tcPr>
          <w:p w:rsidR="00C520FB" w:rsidRPr="000A0A5F" w:rsidRDefault="00C520FB" w:rsidP="00C520FB">
            <w:pPr>
              <w:pStyle w:val="TAL"/>
              <w:rPr>
                <w:lang w:eastAsia="zh-CN"/>
              </w:rPr>
            </w:pPr>
            <w:r w:rsidRPr="000A0A5F">
              <w:rPr>
                <w:lang w:eastAsia="zh-CN"/>
              </w:rPr>
              <w:t>Ranging_SL</w:t>
            </w:r>
          </w:p>
        </w:tc>
      </w:tr>
      <w:tr w:rsidR="00C520FB" w:rsidRPr="000A0A5F" w:rsidTr="002B45A7">
        <w:trPr>
          <w:trHeight w:val="577"/>
          <w:jc w:val="center"/>
        </w:trPr>
        <w:tc>
          <w:tcPr>
            <w:tcW w:w="9588" w:type="dxa"/>
            <w:gridSpan w:val="5"/>
            <w:shd w:val="clear" w:color="auto" w:fill="auto"/>
          </w:tcPr>
          <w:p w:rsidR="00C520FB" w:rsidRPr="000A0A5F" w:rsidRDefault="00C520FB" w:rsidP="00C520FB">
            <w:pPr>
              <w:pStyle w:val="TAN"/>
            </w:pPr>
            <w:r w:rsidRPr="000A0A5F">
              <w:rPr>
                <w:noProof/>
                <w:lang w:eastAsia="zh-CN"/>
              </w:rPr>
              <w:t>NOTE 1:</w:t>
            </w:r>
            <w:r w:rsidRPr="000A0A5F">
              <w:rPr>
                <w:noProof/>
                <w:lang w:eastAsia="zh-CN"/>
              </w:rPr>
              <w:tab/>
              <w:t>One of the properties</w:t>
            </w:r>
            <w:r w:rsidRPr="000A0A5F">
              <w:rPr>
                <w:rFonts w:hint="eastAsia"/>
                <w:noProof/>
                <w:lang w:eastAsia="zh-CN"/>
              </w:rPr>
              <w:t xml:space="preserve"> </w:t>
            </w:r>
            <w:r w:rsidRPr="000A0A5F">
              <w:rPr>
                <w:noProof/>
                <w:lang w:eastAsia="zh-CN"/>
              </w:rPr>
              <w:t>"externalId", "msisdn", "</w:t>
            </w:r>
            <w:r w:rsidRPr="000A0A5F">
              <w:rPr>
                <w:rFonts w:eastAsia="Times New Roman"/>
              </w:rPr>
              <w:t>ipv4Addr</w:t>
            </w:r>
            <w:r w:rsidRPr="000A0A5F">
              <w:rPr>
                <w:noProof/>
                <w:lang w:eastAsia="zh-CN"/>
              </w:rPr>
              <w:t>"</w:t>
            </w:r>
            <w:r w:rsidRPr="000A0A5F">
              <w:rPr>
                <w:rFonts w:eastAsia="Times New Roman"/>
              </w:rPr>
              <w:t>,</w:t>
            </w:r>
            <w:r w:rsidRPr="000A0A5F">
              <w:rPr>
                <w:noProof/>
                <w:lang w:eastAsia="zh-CN"/>
              </w:rPr>
              <w:t xml:space="preserve"> "</w:t>
            </w:r>
            <w:r w:rsidRPr="000A0A5F">
              <w:rPr>
                <w:rFonts w:eastAsia="Times New Roman"/>
              </w:rPr>
              <w:t>ipv6Addr</w:t>
            </w:r>
            <w:r w:rsidRPr="000A0A5F">
              <w:rPr>
                <w:noProof/>
                <w:lang w:eastAsia="zh-CN"/>
              </w:rPr>
              <w:t>" or "externalGroupId" shall be included for features "</w:t>
            </w:r>
            <w:r w:rsidRPr="000A0A5F">
              <w:rPr>
                <w:lang w:eastAsia="zh-CN"/>
              </w:rPr>
              <w:t>Location_</w:t>
            </w:r>
            <w:r w:rsidRPr="000A0A5F">
              <w:t>notification</w:t>
            </w:r>
            <w:r w:rsidRPr="000A0A5F">
              <w:rPr>
                <w:noProof/>
                <w:lang w:eastAsia="zh-CN"/>
              </w:rPr>
              <w:t>" and "</w:t>
            </w:r>
            <w:r w:rsidRPr="000A0A5F">
              <w:t>Communication_failure_notification</w:t>
            </w:r>
            <w:r w:rsidRPr="000A0A5F">
              <w:rPr>
                <w:noProof/>
                <w:lang w:eastAsia="zh-CN"/>
              </w:rPr>
              <w:t>";.</w:t>
            </w:r>
            <w:r w:rsidRPr="000A0A5F">
              <w:t xml:space="preserve"> </w:t>
            </w:r>
            <w:r w:rsidRPr="000A0A5F">
              <w:rPr>
                <w:lang w:eastAsia="zh-CN"/>
              </w:rPr>
              <w:t>One of the properties "externalId"</w:t>
            </w:r>
            <w:r w:rsidRPr="000A0A5F">
              <w:rPr>
                <w:rFonts w:hint="eastAsia"/>
                <w:lang w:eastAsia="zh-CN"/>
              </w:rPr>
              <w:t xml:space="preserve">, </w:t>
            </w:r>
            <w:r w:rsidRPr="000A0A5F">
              <w:rPr>
                <w:lang w:eastAsia="zh-CN"/>
              </w:rPr>
              <w:t>"msisdn" or "externalGroupId" shall be included for feature "eLCS".</w:t>
            </w:r>
            <w:r w:rsidRPr="000A0A5F">
              <w:rPr>
                <w:noProof/>
                <w:lang w:eastAsia="zh-CN"/>
              </w:rPr>
              <w:t xml:space="preserve"> "</w:t>
            </w:r>
            <w:r w:rsidRPr="000A0A5F">
              <w:rPr>
                <w:rFonts w:eastAsia="Times New Roman"/>
              </w:rPr>
              <w:t>ipv4Addr</w:t>
            </w:r>
            <w:r w:rsidRPr="000A0A5F">
              <w:rPr>
                <w:noProof/>
                <w:lang w:eastAsia="zh-CN"/>
              </w:rPr>
              <w:t>" or "</w:t>
            </w:r>
            <w:r w:rsidRPr="000A0A5F">
              <w:rPr>
                <w:rFonts w:eastAsia="Times New Roman"/>
              </w:rPr>
              <w:t>ipv6Addr</w:t>
            </w:r>
            <w:r w:rsidRPr="000A0A5F">
              <w:rPr>
                <w:noProof/>
                <w:lang w:eastAsia="zh-CN"/>
              </w:rPr>
              <w:t>" is required for monitoring via the PCRF for an individual UE. One of the properties</w:t>
            </w:r>
            <w:r w:rsidRPr="000A0A5F">
              <w:rPr>
                <w:rFonts w:hint="eastAsia"/>
                <w:noProof/>
                <w:lang w:eastAsia="zh-CN"/>
              </w:rPr>
              <w:t xml:space="preserve"> </w:t>
            </w:r>
            <w:r w:rsidRPr="000A0A5F">
              <w:rPr>
                <w:noProof/>
                <w:lang w:eastAsia="zh-CN"/>
              </w:rPr>
              <w:t>"externalId", "msisdn" or "externalGroupId" shall be included for features "</w:t>
            </w:r>
            <w:r w:rsidRPr="000A0A5F">
              <w:t>Pdn_connectivity_status</w:t>
            </w:r>
            <w:r w:rsidRPr="000A0A5F">
              <w:rPr>
                <w:noProof/>
                <w:lang w:eastAsia="zh-CN"/>
              </w:rPr>
              <w:t>", "</w:t>
            </w:r>
            <w:r w:rsidRPr="000A0A5F">
              <w:t>Loss_of_connectivity_notification</w:t>
            </w:r>
            <w:r w:rsidRPr="000A0A5F">
              <w:rPr>
                <w:noProof/>
                <w:lang w:eastAsia="zh-CN"/>
              </w:rPr>
              <w:t>", "</w:t>
            </w:r>
            <w:r w:rsidRPr="000A0A5F">
              <w:t>Ue-reachability_notification</w:t>
            </w:r>
            <w:r w:rsidRPr="000A0A5F">
              <w:rPr>
                <w:noProof/>
                <w:lang w:eastAsia="zh-CN"/>
              </w:rPr>
              <w:t>", "</w:t>
            </w:r>
            <w:r w:rsidRPr="000A0A5F">
              <w:rPr>
                <w:lang w:eastAsia="zh-CN"/>
              </w:rPr>
              <w:t>Change_of_IMSI_IMEI_association_notification</w:t>
            </w:r>
            <w:r w:rsidRPr="000A0A5F">
              <w:rPr>
                <w:noProof/>
                <w:lang w:eastAsia="zh-CN"/>
              </w:rPr>
              <w:t>", "</w:t>
            </w:r>
            <w:r w:rsidRPr="000A0A5F">
              <w:rPr>
                <w:lang w:eastAsia="zh-CN"/>
              </w:rPr>
              <w:t>Roaming_status_notification</w:t>
            </w:r>
            <w:r w:rsidRPr="000A0A5F">
              <w:rPr>
                <w:noProof/>
                <w:lang w:eastAsia="zh-CN"/>
              </w:rPr>
              <w:t>", "</w:t>
            </w:r>
            <w:r w:rsidRPr="000A0A5F">
              <w:t>Availability_after_DDN_failure_notification</w:t>
            </w:r>
            <w:r w:rsidRPr="000A0A5F">
              <w:rPr>
                <w:noProof/>
                <w:lang w:eastAsia="zh-CN"/>
              </w:rPr>
              <w:t>" and "</w:t>
            </w:r>
            <w:r w:rsidRPr="000A0A5F">
              <w:t>Availability_after_DDN_failure_notification_enhancement".</w:t>
            </w:r>
          </w:p>
          <w:p w:rsidR="00C520FB" w:rsidRPr="000A0A5F" w:rsidRDefault="00C520FB" w:rsidP="00C520FB">
            <w:pPr>
              <w:pStyle w:val="TAN"/>
              <w:ind w:left="811" w:firstLine="0"/>
            </w:pPr>
            <w:r w:rsidRPr="000A0A5F">
              <w:t xml:space="preserve">The </w:t>
            </w:r>
            <w:r w:rsidRPr="000A0A5F">
              <w:rPr>
                <w:lang w:eastAsia="zh-CN"/>
              </w:rPr>
              <w:t xml:space="preserve">property "externalGroupId" shall be included for the </w:t>
            </w:r>
            <w:r w:rsidRPr="000A0A5F">
              <w:rPr>
                <w:noProof/>
                <w:lang w:eastAsia="zh-CN"/>
              </w:rPr>
              <w:t>"GMEC" feature to subscribe to the group member list change event reporting.</w:t>
            </w:r>
          </w:p>
          <w:p w:rsidR="00C520FB" w:rsidRPr="000A0A5F" w:rsidRDefault="00C520FB" w:rsidP="00C520FB">
            <w:pPr>
              <w:pStyle w:val="TAN"/>
              <w:rPr>
                <w:lang w:eastAsia="zh-CN"/>
              </w:rPr>
            </w:pPr>
            <w:r w:rsidRPr="000A0A5F">
              <w:rPr>
                <w:noProof/>
                <w:lang w:eastAsia="zh-CN"/>
              </w:rPr>
              <w:t>NOTE 2:</w:t>
            </w:r>
            <w:r w:rsidRPr="000A0A5F">
              <w:rPr>
                <w:noProof/>
                <w:lang w:eastAsia="zh-CN"/>
              </w:rPr>
              <w:tab/>
            </w:r>
            <w:r w:rsidRPr="000A0A5F">
              <w:rPr>
                <w:lang w:eastAsia="zh-CN"/>
              </w:rPr>
              <w:t xml:space="preserve">Inclusion of either </w:t>
            </w:r>
            <w:r w:rsidRPr="000A0A5F">
              <w:rPr>
                <w:noProof/>
                <w:lang w:eastAsia="zh-CN"/>
              </w:rPr>
              <w:t>"</w:t>
            </w:r>
            <w:r w:rsidRPr="000A0A5F">
              <w:rPr>
                <w:rFonts w:hint="eastAsia"/>
                <w:lang w:eastAsia="zh-CN"/>
              </w:rPr>
              <w:t>maximumNumberOfReports</w:t>
            </w:r>
            <w:r w:rsidRPr="000A0A5F">
              <w:rPr>
                <w:lang w:eastAsia="zh-CN"/>
              </w:rPr>
              <w:t>" (with a value higher than 1) or "</w:t>
            </w:r>
            <w:r w:rsidRPr="000A0A5F">
              <w:rPr>
                <w:rFonts w:cs="Arial" w:hint="eastAsia"/>
                <w:szCs w:val="18"/>
                <w:lang w:eastAsia="zh-CN"/>
              </w:rPr>
              <w:t>monitor</w:t>
            </w:r>
            <w:r w:rsidRPr="000A0A5F">
              <w:rPr>
                <w:rFonts w:cs="Arial"/>
                <w:szCs w:val="18"/>
                <w:lang w:eastAsia="zh-CN"/>
              </w:rPr>
              <w:t>ExpireTime</w:t>
            </w:r>
            <w:r w:rsidRPr="000A0A5F">
              <w:rPr>
                <w:lang w:eastAsia="zh-CN"/>
              </w:rPr>
              <w:t xml:space="preserve">" makes the Monitoring Request a Continuous Monitoring Request, where the SCEF sends Notifications until either the maximum number of reports or the monitoring duration indicated by the property </w:t>
            </w:r>
            <w:r w:rsidRPr="000A0A5F">
              <w:rPr>
                <w:noProof/>
                <w:lang w:eastAsia="zh-CN"/>
              </w:rPr>
              <w:t>"</w:t>
            </w:r>
            <w:r w:rsidRPr="000A0A5F">
              <w:rPr>
                <w:rFonts w:cs="Arial" w:hint="eastAsia"/>
                <w:szCs w:val="18"/>
                <w:lang w:eastAsia="zh-CN"/>
              </w:rPr>
              <w:t>monitor</w:t>
            </w:r>
            <w:r w:rsidRPr="000A0A5F">
              <w:rPr>
                <w:rFonts w:cs="Arial"/>
                <w:szCs w:val="18"/>
                <w:lang w:eastAsia="zh-CN"/>
              </w:rPr>
              <w:t>ExpireTime</w:t>
            </w:r>
            <w:r w:rsidRPr="000A0A5F">
              <w:rPr>
                <w:lang w:eastAsia="zh-CN"/>
              </w:rPr>
              <w:t>"</w:t>
            </w:r>
            <w:r w:rsidRPr="000A0A5F">
              <w:rPr>
                <w:rFonts w:cs="Arial"/>
                <w:szCs w:val="18"/>
                <w:lang w:eastAsia="zh-CN"/>
              </w:rPr>
              <w:t xml:space="preserve"> </w:t>
            </w:r>
            <w:r w:rsidRPr="000A0A5F">
              <w:rPr>
                <w:lang w:eastAsia="zh-CN"/>
              </w:rPr>
              <w:t xml:space="preserve">is exceeded. The </w:t>
            </w:r>
            <w:r w:rsidRPr="000A0A5F">
              <w:rPr>
                <w:noProof/>
                <w:lang w:eastAsia="zh-CN"/>
              </w:rPr>
              <w:t>"</w:t>
            </w:r>
            <w:r w:rsidRPr="000A0A5F">
              <w:rPr>
                <w:rFonts w:hint="eastAsia"/>
                <w:lang w:eastAsia="zh-CN"/>
              </w:rPr>
              <w:t>maximumNumberOfReports</w:t>
            </w:r>
            <w:r w:rsidRPr="000A0A5F">
              <w:rPr>
                <w:lang w:eastAsia="zh-CN"/>
              </w:rPr>
              <w:t xml:space="preserve">" with a value 1 makes the Monitoring Request a One-time Monitoring Request. At least one of </w:t>
            </w:r>
            <w:r w:rsidRPr="000A0A5F">
              <w:rPr>
                <w:noProof/>
                <w:lang w:eastAsia="zh-CN"/>
              </w:rPr>
              <w:t>"</w:t>
            </w:r>
            <w:r w:rsidRPr="000A0A5F">
              <w:rPr>
                <w:rFonts w:hint="eastAsia"/>
                <w:lang w:eastAsia="zh-CN"/>
              </w:rPr>
              <w:t>maximumNumberOfReports</w:t>
            </w:r>
            <w:r w:rsidRPr="000A0A5F">
              <w:rPr>
                <w:lang w:eastAsia="zh-CN"/>
              </w:rPr>
              <w:t>" or "</w:t>
            </w:r>
            <w:r w:rsidRPr="000A0A5F">
              <w:rPr>
                <w:rFonts w:cs="Arial" w:hint="eastAsia"/>
                <w:szCs w:val="18"/>
                <w:lang w:eastAsia="zh-CN"/>
              </w:rPr>
              <w:t>monitor</w:t>
            </w:r>
            <w:r w:rsidRPr="000A0A5F">
              <w:rPr>
                <w:rFonts w:cs="Arial"/>
                <w:szCs w:val="18"/>
                <w:lang w:eastAsia="zh-CN"/>
              </w:rPr>
              <w:t>ExpireTime</w:t>
            </w:r>
            <w:r w:rsidRPr="000A0A5F">
              <w:rPr>
                <w:lang w:eastAsia="zh-CN"/>
              </w:rPr>
              <w:t>" shall be provided.</w:t>
            </w:r>
          </w:p>
          <w:p w:rsidR="00C520FB" w:rsidRPr="000A0A5F" w:rsidRDefault="00C520FB" w:rsidP="00C520FB">
            <w:pPr>
              <w:pStyle w:val="TAN"/>
            </w:pPr>
            <w:r w:rsidRPr="000A0A5F">
              <w:t>NOTE 3:</w:t>
            </w:r>
            <w:r w:rsidRPr="000A0A5F">
              <w:tab/>
              <w:t>Properties marked with a feature as defined in clause 5.3.4 are applicable as described in clause 5.2.7. If no features are indicated, the related property applies for all the features.</w:t>
            </w:r>
          </w:p>
          <w:p w:rsidR="00C520FB" w:rsidRPr="000A0A5F" w:rsidRDefault="00C520FB" w:rsidP="00C520FB">
            <w:pPr>
              <w:pStyle w:val="TAN"/>
              <w:rPr>
                <w:rFonts w:eastAsia="Times New Roman" w:cs="Arial"/>
                <w:szCs w:val="18"/>
              </w:rPr>
            </w:pPr>
            <w:r w:rsidRPr="000A0A5F">
              <w:t>NOTE 4:</w:t>
            </w:r>
            <w:r w:rsidRPr="000A0A5F">
              <w:tab/>
              <w:t>In this release, for features "</w:t>
            </w:r>
            <w:r w:rsidRPr="000A0A5F">
              <w:rPr>
                <w:rFonts w:hint="eastAsia"/>
                <w:lang w:eastAsia="zh-CN"/>
              </w:rPr>
              <w:t>Number_of_U</w:t>
            </w:r>
            <w:r w:rsidRPr="000A0A5F">
              <w:rPr>
                <w:lang w:eastAsia="zh-CN"/>
              </w:rPr>
              <w:t>E</w:t>
            </w:r>
            <w:r w:rsidRPr="000A0A5F">
              <w:rPr>
                <w:rFonts w:hint="eastAsia"/>
                <w:lang w:eastAsia="zh-CN"/>
              </w:rPr>
              <w:t>s</w:t>
            </w:r>
            <w:r w:rsidRPr="000A0A5F">
              <w:rPr>
                <w:lang w:eastAsia="zh-CN"/>
              </w:rPr>
              <w:t>_in_an_area_notification</w:t>
            </w:r>
            <w:r w:rsidRPr="000A0A5F">
              <w:t>" and "</w:t>
            </w:r>
            <w:r w:rsidRPr="000A0A5F">
              <w:rPr>
                <w:rFonts w:hint="eastAsia"/>
                <w:lang w:eastAsia="zh-CN"/>
              </w:rPr>
              <w:t>Number_of_U</w:t>
            </w:r>
            <w:r w:rsidRPr="000A0A5F">
              <w:rPr>
                <w:lang w:eastAsia="zh-CN"/>
              </w:rPr>
              <w:t>E</w:t>
            </w:r>
            <w:r w:rsidRPr="000A0A5F">
              <w:rPr>
                <w:rFonts w:hint="eastAsia"/>
                <w:lang w:eastAsia="zh-CN"/>
              </w:rPr>
              <w:t>s</w:t>
            </w:r>
            <w:r w:rsidRPr="000A0A5F">
              <w:rPr>
                <w:lang w:eastAsia="zh-CN"/>
              </w:rPr>
              <w:t>_in_an_area_notification_5G</w:t>
            </w:r>
            <w:r w:rsidRPr="000A0A5F">
              <w:t xml:space="preserve">", locationType shall be set to </w:t>
            </w:r>
            <w:r w:rsidRPr="000A0A5F">
              <w:rPr>
                <w:rFonts w:eastAsia="Times New Roman" w:cs="Arial"/>
                <w:szCs w:val="18"/>
              </w:rPr>
              <w:t>"LAST_KNOWN_LOCATION". For 5G, if the "locationType" attribute sets to "LAST_KNOWN_LOCATION", the "maximumNumberOfReports" attribute shall set to 1 as a One-time Monitoring Request. For 5G, when the "enNB1_5G" feature is supported and the "immediateRep" attribute is present set to "true" and outside the scope of the "NSAC" feature, then the "locationType" shall be set to "LAST_KNOWN_LOCATION"; when the "immediateRep" is present set to "false" and outside the scope of the "NSAC" feature, then the "locationType" shall be set to "CURRENT_LOCATION".</w:t>
            </w:r>
          </w:p>
          <w:p w:rsidR="00C520FB" w:rsidRPr="000A0A5F" w:rsidRDefault="00C520FB" w:rsidP="00C520FB">
            <w:pPr>
              <w:pStyle w:val="TAN"/>
              <w:rPr>
                <w:rFonts w:eastAsia="Times New Roman"/>
              </w:rPr>
            </w:pPr>
            <w:r w:rsidRPr="000A0A5F">
              <w:rPr>
                <w:rFonts w:eastAsia="Times New Roman"/>
              </w:rPr>
              <w:t>NOTE 5:</w:t>
            </w:r>
            <w:r w:rsidRPr="000A0A5F">
              <w:rPr>
                <w:rFonts w:eastAsia="Times New Roman"/>
              </w:rPr>
              <w:tab/>
              <w:t xml:space="preserve">The property does not apply for the features </w:t>
            </w:r>
            <w:r w:rsidRPr="000A0A5F">
              <w:rPr>
                <w:noProof/>
                <w:lang w:eastAsia="zh-CN"/>
              </w:rPr>
              <w:t>"</w:t>
            </w:r>
            <w:r w:rsidRPr="000A0A5F">
              <w:rPr>
                <w:rFonts w:hint="eastAsia"/>
                <w:lang w:eastAsia="zh-CN"/>
              </w:rPr>
              <w:t>Number_of_U</w:t>
            </w:r>
            <w:r w:rsidRPr="000A0A5F">
              <w:rPr>
                <w:lang w:eastAsia="zh-CN"/>
              </w:rPr>
              <w:t>E</w:t>
            </w:r>
            <w:r w:rsidRPr="000A0A5F">
              <w:rPr>
                <w:rFonts w:hint="eastAsia"/>
                <w:lang w:eastAsia="zh-CN"/>
              </w:rPr>
              <w:t>s</w:t>
            </w:r>
            <w:r w:rsidRPr="000A0A5F">
              <w:rPr>
                <w:lang w:eastAsia="zh-CN"/>
              </w:rPr>
              <w:t>_in_an_area_notification"</w:t>
            </w:r>
            <w:r w:rsidRPr="000A0A5F">
              <w:t xml:space="preserve"> and "</w:t>
            </w:r>
            <w:r w:rsidRPr="000A0A5F">
              <w:rPr>
                <w:rFonts w:hint="eastAsia"/>
                <w:lang w:eastAsia="zh-CN"/>
              </w:rPr>
              <w:t>Number_of_U</w:t>
            </w:r>
            <w:r w:rsidRPr="000A0A5F">
              <w:rPr>
                <w:lang w:eastAsia="zh-CN"/>
              </w:rPr>
              <w:t>E</w:t>
            </w:r>
            <w:r w:rsidRPr="000A0A5F">
              <w:rPr>
                <w:rFonts w:hint="eastAsia"/>
                <w:lang w:eastAsia="zh-CN"/>
              </w:rPr>
              <w:t>s</w:t>
            </w:r>
            <w:r w:rsidRPr="000A0A5F">
              <w:rPr>
                <w:lang w:eastAsia="zh-CN"/>
              </w:rPr>
              <w:t>_in_an_area_notification_5G</w:t>
            </w:r>
            <w:r w:rsidRPr="000A0A5F">
              <w:t>"</w:t>
            </w:r>
            <w:r w:rsidRPr="000A0A5F">
              <w:rPr>
                <w:rFonts w:eastAsia="Times New Roman"/>
              </w:rPr>
              <w:t>.</w:t>
            </w:r>
          </w:p>
          <w:p w:rsidR="00C520FB" w:rsidRPr="000A0A5F" w:rsidRDefault="00C520FB" w:rsidP="00C520FB">
            <w:pPr>
              <w:pStyle w:val="TAN"/>
              <w:rPr>
                <w:rFonts w:eastAsia="Times New Roman"/>
              </w:rPr>
            </w:pPr>
            <w:r w:rsidRPr="000A0A5F">
              <w:rPr>
                <w:rFonts w:eastAsia="Times New Roman"/>
              </w:rPr>
              <w:t>NOTE 6:</w:t>
            </w:r>
            <w:r w:rsidRPr="000A0A5F">
              <w:rPr>
                <w:rFonts w:eastAsia="Times New Roman"/>
              </w:rPr>
              <w:tab/>
              <w:t xml:space="preserve">For the features </w:t>
            </w:r>
            <w:r w:rsidRPr="000A0A5F">
              <w:rPr>
                <w:noProof/>
                <w:lang w:eastAsia="zh-CN"/>
              </w:rPr>
              <w:t>"</w:t>
            </w:r>
            <w:r w:rsidRPr="000A0A5F">
              <w:rPr>
                <w:rFonts w:hint="eastAsia"/>
                <w:lang w:eastAsia="zh-CN"/>
              </w:rPr>
              <w:t>Number_of_U</w:t>
            </w:r>
            <w:r w:rsidRPr="000A0A5F">
              <w:rPr>
                <w:lang w:eastAsia="zh-CN"/>
              </w:rPr>
              <w:t>E</w:t>
            </w:r>
            <w:r w:rsidRPr="000A0A5F">
              <w:rPr>
                <w:rFonts w:hint="eastAsia"/>
                <w:lang w:eastAsia="zh-CN"/>
              </w:rPr>
              <w:t>s</w:t>
            </w:r>
            <w:r w:rsidRPr="000A0A5F">
              <w:rPr>
                <w:lang w:eastAsia="zh-CN"/>
              </w:rPr>
              <w:t>_in_an_area_notification"</w:t>
            </w:r>
            <w:r w:rsidRPr="000A0A5F">
              <w:t xml:space="preserve"> and "</w:t>
            </w:r>
            <w:r w:rsidRPr="000A0A5F">
              <w:rPr>
                <w:rFonts w:hint="eastAsia"/>
                <w:lang w:eastAsia="zh-CN"/>
              </w:rPr>
              <w:t>Number_of_U</w:t>
            </w:r>
            <w:r w:rsidRPr="000A0A5F">
              <w:rPr>
                <w:lang w:eastAsia="zh-CN"/>
              </w:rPr>
              <w:t>E</w:t>
            </w:r>
            <w:r w:rsidRPr="000A0A5F">
              <w:rPr>
                <w:rFonts w:hint="eastAsia"/>
                <w:lang w:eastAsia="zh-CN"/>
              </w:rPr>
              <w:t>s</w:t>
            </w:r>
            <w:r w:rsidRPr="000A0A5F">
              <w:rPr>
                <w:lang w:eastAsia="zh-CN"/>
              </w:rPr>
              <w:t>_in_an_area_notification_5G</w:t>
            </w:r>
            <w:r w:rsidRPr="000A0A5F">
              <w:t>"</w:t>
            </w:r>
            <w:r w:rsidRPr="000A0A5F">
              <w:rPr>
                <w:lang w:eastAsia="zh-CN"/>
              </w:rPr>
              <w:t xml:space="preserve">, the </w:t>
            </w:r>
            <w:r w:rsidRPr="000A0A5F">
              <w:rPr>
                <w:rFonts w:eastAsia="Times New Roman"/>
              </w:rPr>
              <w:t>property</w:t>
            </w:r>
            <w:r w:rsidRPr="000A0A5F">
              <w:rPr>
                <w:noProof/>
                <w:lang w:eastAsia="zh-CN"/>
              </w:rPr>
              <w:t xml:space="preserve"> "externalGroupId" may be included for single group and "addExtGroupIds" may be included for multiple groups but not both</w:t>
            </w:r>
            <w:r w:rsidRPr="000A0A5F">
              <w:rPr>
                <w:rFonts w:eastAsia="Times New Roman"/>
              </w:rPr>
              <w:t>.</w:t>
            </w:r>
          </w:p>
          <w:p w:rsidR="00C520FB" w:rsidRPr="000A0A5F" w:rsidRDefault="00C520FB" w:rsidP="00C520FB">
            <w:pPr>
              <w:pStyle w:val="TAN"/>
              <w:rPr>
                <w:rFonts w:eastAsia="Times New Roman"/>
              </w:rPr>
            </w:pPr>
            <w:r w:rsidRPr="000A0A5F">
              <w:rPr>
                <w:rFonts w:eastAsia="Times New Roman"/>
              </w:rPr>
              <w:t>NOTE 7:</w:t>
            </w:r>
            <w:r w:rsidRPr="000A0A5F">
              <w:rPr>
                <w:rFonts w:eastAsia="Times New Roman"/>
              </w:rPr>
              <w:tab/>
              <w:t xml:space="preserve">The SCEF should check received MTC provider identifier and then the SCEF may: </w:t>
            </w:r>
            <w:r w:rsidRPr="000A0A5F">
              <w:rPr>
                <w:rFonts w:eastAsia="Times New Roman"/>
              </w:rPr>
              <w:br/>
              <w:t>-</w:t>
            </w:r>
            <w:r w:rsidRPr="000A0A5F">
              <w:rPr>
                <w:rFonts w:eastAsia="Times New Roman"/>
              </w:rPr>
              <w:tab/>
              <w:t>override it with local configured value and send it to HSS;</w:t>
            </w:r>
            <w:r w:rsidRPr="000A0A5F">
              <w:rPr>
                <w:rFonts w:eastAsia="Times New Roman"/>
              </w:rPr>
              <w:br/>
              <w:t>-</w:t>
            </w:r>
            <w:r w:rsidRPr="000A0A5F">
              <w:rPr>
                <w:rFonts w:eastAsia="Times New Roman"/>
              </w:rPr>
              <w:tab/>
              <w:t>send it directly to the HSS; or</w:t>
            </w:r>
            <w:r w:rsidRPr="000A0A5F">
              <w:rPr>
                <w:rFonts w:eastAsia="Times New Roman"/>
              </w:rPr>
              <w:br/>
              <w:t>-</w:t>
            </w:r>
            <w:r w:rsidRPr="000A0A5F">
              <w:rPr>
                <w:rFonts w:eastAsia="Times New Roman"/>
              </w:rPr>
              <w:tab/>
              <w:t>reject the monitoring configuration request.</w:t>
            </w:r>
          </w:p>
          <w:p w:rsidR="00C520FB" w:rsidRPr="000A0A5F" w:rsidRDefault="00C520FB" w:rsidP="00C520FB">
            <w:pPr>
              <w:pStyle w:val="TAN"/>
              <w:rPr>
                <w:rFonts w:eastAsia="Times New Roman"/>
              </w:rPr>
            </w:pPr>
            <w:r w:rsidRPr="000A0A5F">
              <w:rPr>
                <w:rFonts w:eastAsia="Times New Roman"/>
              </w:rPr>
              <w:t>NOTE 8:</w:t>
            </w:r>
            <w:r w:rsidRPr="000A0A5F">
              <w:rPr>
                <w:rFonts w:eastAsia="Times New Roman"/>
              </w:rPr>
              <w:tab/>
              <w:t>This property is only applicable for the NEF.</w:t>
            </w:r>
          </w:p>
          <w:p w:rsidR="00C520FB" w:rsidRPr="000A0A5F" w:rsidRDefault="00C520FB" w:rsidP="00C520FB">
            <w:pPr>
              <w:pStyle w:val="TAN"/>
              <w:rPr>
                <w:rFonts w:cs="Arial"/>
                <w:szCs w:val="18"/>
                <w:lang w:eastAsia="zh-CN"/>
              </w:rPr>
            </w:pPr>
            <w:r w:rsidRPr="000A0A5F">
              <w:rPr>
                <w:rFonts w:cs="Arial"/>
                <w:szCs w:val="18"/>
                <w:lang w:eastAsia="zh-CN"/>
              </w:rPr>
              <w:t>NOTE</w:t>
            </w:r>
            <w:r w:rsidRPr="000A0A5F">
              <w:rPr>
                <w:rFonts w:cs="Arial"/>
                <w:szCs w:val="18"/>
                <w:lang w:val="en-US" w:eastAsia="zh-CN"/>
              </w:rPr>
              <w:t> 9:</w:t>
            </w:r>
            <w:r w:rsidRPr="000A0A5F">
              <w:rPr>
                <w:rFonts w:eastAsia="Times New Roman"/>
              </w:rPr>
              <w:tab/>
            </w:r>
            <w:r w:rsidRPr="000A0A5F">
              <w:rPr>
                <w:rFonts w:cs="Arial"/>
                <w:szCs w:val="18"/>
                <w:lang w:eastAsia="zh-CN"/>
              </w:rPr>
              <w:t>The value of the "</w:t>
            </w:r>
            <w:r w:rsidRPr="000A0A5F">
              <w:rPr>
                <w:rFonts w:cs="Arial" w:hint="eastAsia"/>
                <w:szCs w:val="18"/>
                <w:lang w:eastAsia="zh-CN"/>
              </w:rPr>
              <w:t>maximumNumberOfReports</w:t>
            </w:r>
            <w:r w:rsidRPr="000A0A5F">
              <w:rPr>
                <w:rFonts w:cs="Arial"/>
                <w:szCs w:val="18"/>
                <w:lang w:eastAsia="zh-CN"/>
              </w:rPr>
              <w:t>" attribute sets to 1 and the "</w:t>
            </w:r>
            <w:r w:rsidRPr="000A0A5F">
              <w:rPr>
                <w:rFonts w:cs="Arial" w:hint="eastAsia"/>
                <w:szCs w:val="18"/>
                <w:lang w:eastAsia="zh-CN"/>
              </w:rPr>
              <w:t>r</w:t>
            </w:r>
            <w:r w:rsidRPr="000A0A5F">
              <w:rPr>
                <w:rFonts w:cs="Arial"/>
                <w:szCs w:val="18"/>
                <w:lang w:eastAsia="zh-CN"/>
              </w:rPr>
              <w:t>epPeriod" attribute are mutually exclusive.</w:t>
            </w:r>
          </w:p>
          <w:p w:rsidR="00C520FB" w:rsidRPr="000A0A5F" w:rsidRDefault="00C520FB" w:rsidP="00C520FB">
            <w:pPr>
              <w:pStyle w:val="TAN"/>
              <w:rPr>
                <w:rFonts w:eastAsia="Times New Roman"/>
              </w:rPr>
            </w:pPr>
            <w:r w:rsidRPr="000A0A5F">
              <w:rPr>
                <w:rFonts w:eastAsia="Times New Roman"/>
              </w:rPr>
              <w:t>NOTE 10:</w:t>
            </w:r>
            <w:r w:rsidRPr="000A0A5F">
              <w:rPr>
                <w:rFonts w:eastAsia="Times New Roman"/>
              </w:rPr>
              <w:tab/>
              <w:t xml:space="preserve">If the </w:t>
            </w:r>
            <w:r w:rsidRPr="000A0A5F">
              <w:t>"</w:t>
            </w:r>
            <w:r w:rsidRPr="000A0A5F">
              <w:rPr>
                <w:rFonts w:eastAsia="Times New Roman"/>
              </w:rPr>
              <w:t>eLCS</w:t>
            </w:r>
            <w:r w:rsidRPr="000A0A5F">
              <w:t>"</w:t>
            </w:r>
            <w:r w:rsidRPr="000A0A5F">
              <w:rPr>
                <w:rFonts w:eastAsia="Times New Roman"/>
              </w:rPr>
              <w:t xml:space="preserve"> feature is supported, the "accuracy" attribute and "locQoS" attribute are mutually exclusive, and only the "GEO_AREA" value is applicable for the"accuracy" attribute.</w:t>
            </w:r>
          </w:p>
          <w:p w:rsidR="00C520FB" w:rsidRPr="000A0A5F" w:rsidRDefault="00C520FB" w:rsidP="00C520FB">
            <w:pPr>
              <w:pStyle w:val="TAN"/>
              <w:rPr>
                <w:rFonts w:eastAsia="Times New Roman"/>
              </w:rPr>
            </w:pPr>
            <w:r w:rsidRPr="000A0A5F">
              <w:rPr>
                <w:rFonts w:eastAsia="Times New Roman"/>
              </w:rPr>
              <w:t>NOTE 11:</w:t>
            </w:r>
            <w:r w:rsidRPr="000A0A5F">
              <w:rPr>
                <w:rFonts w:eastAsia="Times New Roman"/>
              </w:rPr>
              <w:tab/>
            </w:r>
            <w:r w:rsidRPr="000A0A5F">
              <w:rPr>
                <w:lang w:eastAsia="zh-CN"/>
              </w:rPr>
              <w:t>The value of</w:t>
            </w:r>
            <w:r w:rsidRPr="000A0A5F">
              <w:rPr>
                <w:rStyle w:val="TANChar"/>
              </w:rPr>
              <w:t xml:space="preserve"> "TWAN_</w:t>
            </w:r>
            <w:r w:rsidRPr="000A0A5F">
              <w:rPr>
                <w:lang w:eastAsia="zh-CN"/>
              </w:rPr>
              <w:t>ID" is only applicable when the monitoring subscription is via the PCRF as described in clause</w:t>
            </w:r>
            <w:r w:rsidRPr="000A0A5F">
              <w:rPr>
                <w:lang w:val="en-US" w:eastAsia="zh-CN"/>
              </w:rPr>
              <w:t> </w:t>
            </w:r>
            <w:r w:rsidRPr="000A0A5F">
              <w:rPr>
                <w:lang w:eastAsia="zh-CN"/>
              </w:rPr>
              <w:t>4.4.2.2.4.</w:t>
            </w:r>
          </w:p>
          <w:p w:rsidR="00C520FB" w:rsidRPr="000A0A5F" w:rsidRDefault="00C520FB" w:rsidP="00C520FB">
            <w:pPr>
              <w:pStyle w:val="TAN"/>
            </w:pPr>
            <w:r w:rsidRPr="000A0A5F">
              <w:rPr>
                <w:rFonts w:cs="Arial"/>
                <w:szCs w:val="18"/>
                <w:lang w:eastAsia="zh-CN"/>
              </w:rPr>
              <w:t>NOTE</w:t>
            </w:r>
            <w:r w:rsidRPr="000A0A5F">
              <w:rPr>
                <w:rFonts w:cs="Arial"/>
                <w:szCs w:val="18"/>
                <w:lang w:val="en-US" w:eastAsia="zh-CN"/>
              </w:rPr>
              <w:t> 12:</w:t>
            </w:r>
            <w:r w:rsidRPr="000A0A5F">
              <w:rPr>
                <w:rFonts w:eastAsia="Times New Roman"/>
              </w:rPr>
              <w:tab/>
            </w:r>
            <w:r w:rsidRPr="000A0A5F">
              <w:rPr>
                <w:rFonts w:cs="Arial"/>
                <w:szCs w:val="18"/>
                <w:lang w:eastAsia="zh-CN"/>
              </w:rPr>
              <w:t xml:space="preserve">If the </w:t>
            </w:r>
            <w:r w:rsidRPr="000A0A5F">
              <w:t>"</w:t>
            </w:r>
            <w:r w:rsidRPr="000A0A5F">
              <w:rPr>
                <w:rFonts w:cs="Arial"/>
                <w:szCs w:val="18"/>
                <w:lang w:eastAsia="zh-CN"/>
              </w:rPr>
              <w:t>eLCS</w:t>
            </w:r>
            <w:r w:rsidRPr="000A0A5F">
              <w:t>"</w:t>
            </w:r>
            <w:r w:rsidRPr="000A0A5F">
              <w:rPr>
                <w:rFonts w:cs="Arial"/>
                <w:szCs w:val="18"/>
                <w:lang w:eastAsia="zh-CN"/>
              </w:rPr>
              <w:t xml:space="preserve"> feature is supported, only the "geographicAreas" attribute within the "locationArea5G" attribute is applicable.</w:t>
            </w:r>
          </w:p>
          <w:p w:rsidR="00C520FB" w:rsidRPr="000A0A5F" w:rsidRDefault="00C520FB" w:rsidP="00C520FB">
            <w:pPr>
              <w:pStyle w:val="TAN"/>
            </w:pPr>
            <w:r w:rsidRPr="000A0A5F">
              <w:t>NOTE 13:</w:t>
            </w:r>
            <w:r w:rsidRPr="000A0A5F">
              <w:tab/>
              <w:t xml:space="preserve">For the "NSAC" feature, if </w:t>
            </w:r>
            <w:r w:rsidRPr="000A0A5F">
              <w:rPr>
                <w:lang w:eastAsia="zh-CN"/>
              </w:rPr>
              <w:t xml:space="preserve">the </w:t>
            </w:r>
            <w:r w:rsidRPr="000A0A5F">
              <w:rPr>
                <w:noProof/>
                <w:lang w:eastAsia="zh-CN"/>
              </w:rPr>
              <w:t>"</w:t>
            </w:r>
            <w:r w:rsidRPr="000A0A5F">
              <w:rPr>
                <w:rFonts w:hint="eastAsia"/>
                <w:lang w:eastAsia="zh-CN"/>
              </w:rPr>
              <w:t>maximumNumberOfReports</w:t>
            </w:r>
            <w:r w:rsidRPr="000A0A5F">
              <w:rPr>
                <w:lang w:eastAsia="zh-CN"/>
              </w:rPr>
              <w:t xml:space="preserve">" attribute is provided with a value of 1, </w:t>
            </w:r>
            <w:r w:rsidRPr="000A0A5F">
              <w:t>the "repPeriod" attribute and the "tgtNsThreshold" attribute shall not be provided and the "immediateRep" attribute shall be provided and set to true; otherwise, either the "repPeriod" attribute or the "tgtNsThreshold" attribute shall be provided, and if immediate reporting is requested, the "immediateRep" attribute shall be provided and set to true.</w:t>
            </w:r>
          </w:p>
          <w:p w:rsidR="00C520FB" w:rsidRPr="000A0A5F" w:rsidRDefault="00C520FB" w:rsidP="00C520FB">
            <w:pPr>
              <w:pStyle w:val="TAN"/>
            </w:pPr>
            <w:r w:rsidRPr="000A0A5F">
              <w:t>NOTE 14:</w:t>
            </w:r>
            <w:r w:rsidRPr="000A0A5F">
              <w:tab/>
              <w:t>For the feature "UAV", the event "Number of UEs present in a geographical area" is used, where "subType" indication and/or "sesEstInd" may be used as event filters.</w:t>
            </w:r>
          </w:p>
          <w:p w:rsidR="00C520FB" w:rsidRPr="000A0A5F" w:rsidRDefault="00C520FB" w:rsidP="00C520FB">
            <w:pPr>
              <w:pStyle w:val="TAN"/>
            </w:pPr>
            <w:r w:rsidRPr="000A0A5F">
              <w:t>NOTE 15:</w:t>
            </w:r>
            <w:r w:rsidRPr="000A0A5F">
              <w:tab/>
              <w:t>For the "NSAC" feature, the "snssai" and "afServiceId" attributes are mutually exclusive.</w:t>
            </w:r>
          </w:p>
          <w:p w:rsidR="00C520FB" w:rsidRPr="000A0A5F" w:rsidRDefault="00C520FB" w:rsidP="00C520FB">
            <w:pPr>
              <w:pStyle w:val="TAN"/>
            </w:pPr>
            <w:r w:rsidRPr="000A0A5F">
              <w:t>NOTE 16:</w:t>
            </w:r>
            <w:r w:rsidRPr="000A0A5F">
              <w:tab/>
              <w:t xml:space="preserve">For the "AppDetection_5G" feature, AF shall provide the </w:t>
            </w:r>
            <w:r w:rsidR="008754D8" w:rsidRPr="00D83C87">
              <w:t>"</w:t>
            </w:r>
            <w:r w:rsidR="008754D8">
              <w:t>a</w:t>
            </w:r>
            <w:r w:rsidR="008754D8" w:rsidRPr="00D83C87">
              <w:t>ppIds"</w:t>
            </w:r>
            <w:r w:rsidRPr="000A0A5F">
              <w:t xml:space="preserve"> attribute along with "snssai" and "dnn" attributes for subscription of application traffic detection event notification. the subscription request applies to all the UEs associated with the "snssai" and the "dnn" provided in the request.</w:t>
            </w:r>
          </w:p>
          <w:p w:rsidR="00C520FB" w:rsidRPr="000A0A5F" w:rsidRDefault="00C520FB" w:rsidP="00C520FB">
            <w:pPr>
              <w:pStyle w:val="TAN"/>
              <w:rPr>
                <w:noProof/>
                <w:lang w:eastAsia="zh-CN"/>
              </w:rPr>
            </w:pPr>
            <w:r w:rsidRPr="000A0A5F">
              <w:t>NOTE 17:</w:t>
            </w:r>
            <w:r w:rsidRPr="000A0A5F">
              <w:tab/>
              <w:t>When the "enNB" feature is supported and the "addnMonTypes" attribute is present and contains at least one array element, then this attribute shall not contain an array element set to the same value as the "monitoringType" attribute.</w:t>
            </w:r>
          </w:p>
        </w:tc>
      </w:tr>
    </w:tbl>
    <w:p w:rsidR="00CB0DD7" w:rsidRPr="000A0A5F" w:rsidRDefault="00CB0DD7"/>
    <w:p w:rsidR="00344FF3" w:rsidRPr="000A0A5F" w:rsidRDefault="00344FF3" w:rsidP="00344FF3">
      <w:pPr>
        <w:pStyle w:val="Heading5"/>
      </w:pPr>
      <w:bookmarkStart w:id="1813" w:name="_Toc11247310"/>
      <w:bookmarkStart w:id="1814" w:name="_Toc27044430"/>
      <w:bookmarkStart w:id="1815" w:name="_Toc36033472"/>
      <w:bookmarkStart w:id="1816" w:name="_Toc45131604"/>
      <w:bookmarkStart w:id="1817" w:name="_Toc49775889"/>
      <w:bookmarkStart w:id="1818" w:name="_Toc51746809"/>
      <w:bookmarkStart w:id="1819" w:name="_Toc66360353"/>
      <w:bookmarkStart w:id="1820" w:name="_Toc68104858"/>
      <w:bookmarkStart w:id="1821" w:name="_Toc74755488"/>
      <w:bookmarkStart w:id="1822" w:name="_Toc105674348"/>
      <w:bookmarkStart w:id="1823" w:name="_Toc130502387"/>
      <w:bookmarkStart w:id="1824" w:name="_Toc153625169"/>
      <w:r w:rsidRPr="000A0A5F">
        <w:t>5.3.2.1.3</w:t>
      </w:r>
      <w:r w:rsidRPr="000A0A5F">
        <w:tab/>
      </w:r>
      <w:r w:rsidR="00687AC5" w:rsidRPr="000A0A5F">
        <w:t>Void</w:t>
      </w:r>
      <w:bookmarkEnd w:id="1822"/>
      <w:bookmarkEnd w:id="1823"/>
      <w:bookmarkEnd w:id="1824"/>
    </w:p>
    <w:p w:rsidR="00CB0DD7" w:rsidRPr="000A0A5F" w:rsidRDefault="00CB0DD7">
      <w:pPr>
        <w:pStyle w:val="Heading4"/>
      </w:pPr>
      <w:bookmarkStart w:id="1825" w:name="_Toc105674349"/>
      <w:bookmarkStart w:id="1826" w:name="_Toc130502388"/>
      <w:bookmarkStart w:id="1827" w:name="_Toc153625170"/>
      <w:r w:rsidRPr="000A0A5F">
        <w:t>5.3.2.2</w:t>
      </w:r>
      <w:r w:rsidRPr="000A0A5F">
        <w:tab/>
        <w:t>Notification data types</w:t>
      </w:r>
      <w:bookmarkEnd w:id="1813"/>
      <w:bookmarkEnd w:id="1814"/>
      <w:bookmarkEnd w:id="1815"/>
      <w:bookmarkEnd w:id="1816"/>
      <w:bookmarkEnd w:id="1817"/>
      <w:bookmarkEnd w:id="1818"/>
      <w:bookmarkEnd w:id="1819"/>
      <w:bookmarkEnd w:id="1820"/>
      <w:bookmarkEnd w:id="1821"/>
      <w:bookmarkEnd w:id="1825"/>
      <w:bookmarkEnd w:id="1826"/>
      <w:bookmarkEnd w:id="1827"/>
    </w:p>
    <w:p w:rsidR="00CB0DD7" w:rsidRPr="000A0A5F" w:rsidRDefault="00CB0DD7">
      <w:pPr>
        <w:pStyle w:val="Heading5"/>
      </w:pPr>
      <w:bookmarkStart w:id="1828" w:name="_Toc11247311"/>
      <w:bookmarkStart w:id="1829" w:name="_Toc27044431"/>
      <w:bookmarkStart w:id="1830" w:name="_Toc36033473"/>
      <w:bookmarkStart w:id="1831" w:name="_Toc45131605"/>
      <w:bookmarkStart w:id="1832" w:name="_Toc49775890"/>
      <w:bookmarkStart w:id="1833" w:name="_Toc51746810"/>
      <w:bookmarkStart w:id="1834" w:name="_Toc66360354"/>
      <w:bookmarkStart w:id="1835" w:name="_Toc68104859"/>
      <w:bookmarkStart w:id="1836" w:name="_Toc74755489"/>
      <w:bookmarkStart w:id="1837" w:name="_Toc105674350"/>
      <w:bookmarkStart w:id="1838" w:name="_Toc130502389"/>
      <w:bookmarkStart w:id="1839" w:name="_Toc153625171"/>
      <w:r w:rsidRPr="000A0A5F">
        <w:t>5.3.2.2.1</w:t>
      </w:r>
      <w:r w:rsidRPr="000A0A5F">
        <w:tab/>
        <w:t>Introduction</w:t>
      </w:r>
      <w:bookmarkEnd w:id="1828"/>
      <w:bookmarkEnd w:id="1829"/>
      <w:bookmarkEnd w:id="1830"/>
      <w:bookmarkEnd w:id="1831"/>
      <w:bookmarkEnd w:id="1832"/>
      <w:bookmarkEnd w:id="1833"/>
      <w:bookmarkEnd w:id="1834"/>
      <w:bookmarkEnd w:id="1835"/>
      <w:bookmarkEnd w:id="1836"/>
      <w:bookmarkEnd w:id="1837"/>
      <w:bookmarkEnd w:id="1838"/>
      <w:bookmarkEnd w:id="1839"/>
    </w:p>
    <w:p w:rsidR="00CB0DD7" w:rsidRPr="000A0A5F" w:rsidRDefault="00CB0DD7">
      <w:r w:rsidRPr="000A0A5F">
        <w:t>This clause defines data structures to be used in notifications.</w:t>
      </w:r>
    </w:p>
    <w:p w:rsidR="00CB0DD7" w:rsidRPr="000A0A5F" w:rsidRDefault="00CB0DD7">
      <w:pPr>
        <w:pStyle w:val="Heading5"/>
      </w:pPr>
      <w:bookmarkStart w:id="1840" w:name="_Toc11247312"/>
      <w:bookmarkStart w:id="1841" w:name="_Toc27044432"/>
      <w:bookmarkStart w:id="1842" w:name="_Toc36033474"/>
      <w:bookmarkStart w:id="1843" w:name="_Toc45131606"/>
      <w:bookmarkStart w:id="1844" w:name="_Toc49775891"/>
      <w:bookmarkStart w:id="1845" w:name="_Toc51746811"/>
      <w:bookmarkStart w:id="1846" w:name="_Toc66360355"/>
      <w:bookmarkStart w:id="1847" w:name="_Toc68104860"/>
      <w:bookmarkStart w:id="1848" w:name="_Toc74755490"/>
      <w:bookmarkStart w:id="1849" w:name="_Toc105674351"/>
      <w:bookmarkStart w:id="1850" w:name="_Toc130502390"/>
      <w:bookmarkStart w:id="1851" w:name="_Toc153625172"/>
      <w:r w:rsidRPr="000A0A5F">
        <w:t>5.3.2.2.2</w:t>
      </w:r>
      <w:r w:rsidRPr="000A0A5F">
        <w:tab/>
        <w:t>Type: MonitoringNotification</w:t>
      </w:r>
      <w:bookmarkEnd w:id="1840"/>
      <w:bookmarkEnd w:id="1841"/>
      <w:bookmarkEnd w:id="1842"/>
      <w:bookmarkEnd w:id="1843"/>
      <w:bookmarkEnd w:id="1844"/>
      <w:bookmarkEnd w:id="1845"/>
      <w:bookmarkEnd w:id="1846"/>
      <w:bookmarkEnd w:id="1847"/>
      <w:bookmarkEnd w:id="1848"/>
      <w:bookmarkEnd w:id="1849"/>
      <w:bookmarkEnd w:id="1850"/>
      <w:bookmarkEnd w:id="1851"/>
    </w:p>
    <w:p w:rsidR="00CB0DD7" w:rsidRPr="000A0A5F" w:rsidRDefault="00CB0DD7">
      <w:r w:rsidRPr="000A0A5F">
        <w:t xml:space="preserve">This data type represents a monitoring notification which is sent from the SCEF to the SCS/AS. </w:t>
      </w:r>
    </w:p>
    <w:p w:rsidR="00CB0DD7" w:rsidRPr="000A0A5F" w:rsidRDefault="00CB0DD7">
      <w:pPr>
        <w:pStyle w:val="TH"/>
      </w:pPr>
      <w:r w:rsidRPr="000A0A5F">
        <w:rPr>
          <w:noProof/>
        </w:rPr>
        <w:t>Table </w:t>
      </w:r>
      <w:r w:rsidRPr="000A0A5F">
        <w:t xml:space="preserve">5.3.2.2.2-1: </w:t>
      </w:r>
      <w:r w:rsidRPr="000A0A5F">
        <w:rPr>
          <w:noProof/>
        </w:rPr>
        <w:t xml:space="preserve">Definition of type </w:t>
      </w:r>
      <w:r w:rsidRPr="000A0A5F">
        <w:t>MonitoringNotification</w:t>
      </w:r>
    </w:p>
    <w:tbl>
      <w:tblPr>
        <w:tblW w:w="9574" w:type="dxa"/>
        <w:tblInd w:w="-3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094"/>
        <w:gridCol w:w="1559"/>
        <w:gridCol w:w="992"/>
        <w:gridCol w:w="3686"/>
        <w:gridCol w:w="1243"/>
      </w:tblGrid>
      <w:tr w:rsidR="00CB0DD7" w:rsidRPr="000A0A5F" w:rsidTr="00FF0AF8">
        <w:tc>
          <w:tcPr>
            <w:tcW w:w="2094" w:type="dxa"/>
            <w:shd w:val="clear" w:color="auto" w:fill="C0C0C0"/>
          </w:tcPr>
          <w:p w:rsidR="00CB0DD7" w:rsidRPr="000A0A5F" w:rsidRDefault="00CB0DD7">
            <w:pPr>
              <w:pStyle w:val="TAH"/>
              <w:rPr>
                <w:rFonts w:eastAsia="Times New Roman"/>
              </w:rPr>
            </w:pPr>
            <w:r w:rsidRPr="000A0A5F">
              <w:rPr>
                <w:rFonts w:eastAsia="Times New Roman"/>
              </w:rPr>
              <w:t>Attribute name</w:t>
            </w:r>
          </w:p>
        </w:tc>
        <w:tc>
          <w:tcPr>
            <w:tcW w:w="1559" w:type="dxa"/>
            <w:shd w:val="clear" w:color="auto" w:fill="C0C0C0"/>
          </w:tcPr>
          <w:p w:rsidR="00CB0DD7" w:rsidRPr="000A0A5F" w:rsidRDefault="00CB0DD7">
            <w:pPr>
              <w:pStyle w:val="TAH"/>
              <w:rPr>
                <w:rFonts w:eastAsia="Times New Roman"/>
              </w:rPr>
            </w:pPr>
            <w:r w:rsidRPr="000A0A5F">
              <w:rPr>
                <w:rFonts w:eastAsia="Times New Roman"/>
              </w:rPr>
              <w:t>Data type</w:t>
            </w:r>
          </w:p>
        </w:tc>
        <w:tc>
          <w:tcPr>
            <w:tcW w:w="992" w:type="dxa"/>
            <w:shd w:val="clear" w:color="auto" w:fill="C0C0C0"/>
          </w:tcPr>
          <w:p w:rsidR="00CB0DD7" w:rsidRPr="000A0A5F" w:rsidRDefault="00CB0DD7">
            <w:pPr>
              <w:pStyle w:val="TAH"/>
              <w:jc w:val="left"/>
              <w:rPr>
                <w:rFonts w:eastAsia="Times New Roman"/>
              </w:rPr>
            </w:pPr>
            <w:r w:rsidRPr="000A0A5F">
              <w:rPr>
                <w:rFonts w:eastAsia="Times New Roman"/>
              </w:rPr>
              <w:t>Cardinality</w:t>
            </w:r>
          </w:p>
        </w:tc>
        <w:tc>
          <w:tcPr>
            <w:tcW w:w="3686"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Description</w:t>
            </w:r>
          </w:p>
        </w:tc>
        <w:tc>
          <w:tcPr>
            <w:tcW w:w="1243"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Applicability (NOTE)</w:t>
            </w:r>
          </w:p>
        </w:tc>
      </w:tr>
      <w:tr w:rsidR="00CB0DD7" w:rsidRPr="000A0A5F" w:rsidTr="00FF0AF8">
        <w:tc>
          <w:tcPr>
            <w:tcW w:w="2094" w:type="dxa"/>
            <w:shd w:val="clear" w:color="auto" w:fill="auto"/>
          </w:tcPr>
          <w:p w:rsidR="00CB0DD7" w:rsidRPr="000A0A5F" w:rsidRDefault="00CB0DD7">
            <w:pPr>
              <w:pStyle w:val="TAH"/>
              <w:jc w:val="left"/>
              <w:rPr>
                <w:rFonts w:eastAsia="Times New Roman"/>
                <w:b w:val="0"/>
              </w:rPr>
            </w:pPr>
            <w:r w:rsidRPr="000A0A5F">
              <w:rPr>
                <w:b w:val="0"/>
                <w:lang w:eastAsia="zh-CN"/>
              </w:rPr>
              <w:t>subscription</w:t>
            </w:r>
          </w:p>
        </w:tc>
        <w:tc>
          <w:tcPr>
            <w:tcW w:w="1559" w:type="dxa"/>
            <w:shd w:val="clear" w:color="auto" w:fill="auto"/>
          </w:tcPr>
          <w:p w:rsidR="00CB0DD7" w:rsidRPr="000A0A5F" w:rsidRDefault="00CB0DD7">
            <w:pPr>
              <w:pStyle w:val="TAH"/>
              <w:jc w:val="left"/>
              <w:rPr>
                <w:rFonts w:eastAsia="Times New Roman"/>
                <w:b w:val="0"/>
              </w:rPr>
            </w:pPr>
            <w:r w:rsidRPr="000A0A5F">
              <w:rPr>
                <w:b w:val="0"/>
              </w:rPr>
              <w:t>Link</w:t>
            </w:r>
          </w:p>
        </w:tc>
        <w:tc>
          <w:tcPr>
            <w:tcW w:w="992" w:type="dxa"/>
            <w:shd w:val="clear" w:color="auto" w:fill="auto"/>
          </w:tcPr>
          <w:p w:rsidR="00CB0DD7" w:rsidRPr="000A0A5F" w:rsidRDefault="00CB0DD7">
            <w:pPr>
              <w:pStyle w:val="TAH"/>
              <w:jc w:val="left"/>
              <w:rPr>
                <w:rFonts w:eastAsia="Times New Roman"/>
                <w:b w:val="0"/>
              </w:rPr>
            </w:pPr>
            <w:r w:rsidRPr="000A0A5F">
              <w:rPr>
                <w:b w:val="0"/>
              </w:rPr>
              <w:t>1</w:t>
            </w:r>
          </w:p>
        </w:tc>
        <w:tc>
          <w:tcPr>
            <w:tcW w:w="3686" w:type="dxa"/>
            <w:shd w:val="clear" w:color="auto" w:fill="auto"/>
          </w:tcPr>
          <w:p w:rsidR="00CB0DD7" w:rsidRPr="000A0A5F" w:rsidRDefault="00CB0DD7">
            <w:pPr>
              <w:pStyle w:val="TAH"/>
              <w:jc w:val="left"/>
              <w:rPr>
                <w:rFonts w:eastAsia="Times New Roman" w:cs="Arial"/>
                <w:b w:val="0"/>
                <w:szCs w:val="18"/>
              </w:rPr>
            </w:pPr>
            <w:r w:rsidRPr="000A0A5F">
              <w:rPr>
                <w:rFonts w:cs="Arial"/>
                <w:b w:val="0"/>
                <w:szCs w:val="18"/>
              </w:rPr>
              <w:t>Link to the subscription resource to which this notification is related.</w:t>
            </w:r>
          </w:p>
        </w:tc>
        <w:tc>
          <w:tcPr>
            <w:tcW w:w="1243" w:type="dxa"/>
            <w:shd w:val="clear" w:color="auto" w:fill="auto"/>
          </w:tcPr>
          <w:p w:rsidR="00CB0DD7" w:rsidRPr="000A0A5F" w:rsidRDefault="00CB0DD7" w:rsidP="00705B0E">
            <w:pPr>
              <w:pStyle w:val="TAL"/>
            </w:pPr>
          </w:p>
        </w:tc>
      </w:tr>
      <w:tr w:rsidR="00CB0DD7" w:rsidRPr="000A0A5F" w:rsidTr="00FF0AF8">
        <w:tc>
          <w:tcPr>
            <w:tcW w:w="2094" w:type="dxa"/>
            <w:shd w:val="clear" w:color="auto" w:fill="auto"/>
          </w:tcPr>
          <w:p w:rsidR="00CB0DD7" w:rsidRPr="000A0A5F" w:rsidRDefault="00CB0DD7">
            <w:pPr>
              <w:pStyle w:val="TAL"/>
              <w:rPr>
                <w:rFonts w:hint="eastAsia"/>
                <w:lang w:eastAsia="zh-CN"/>
              </w:rPr>
            </w:pPr>
            <w:r w:rsidRPr="000A0A5F">
              <w:rPr>
                <w:lang w:eastAsia="zh-CN"/>
              </w:rPr>
              <w:t>configResults</w:t>
            </w:r>
          </w:p>
        </w:tc>
        <w:tc>
          <w:tcPr>
            <w:tcW w:w="1559" w:type="dxa"/>
            <w:shd w:val="clear" w:color="auto" w:fill="auto"/>
          </w:tcPr>
          <w:p w:rsidR="00CB0DD7" w:rsidRPr="000A0A5F" w:rsidRDefault="00CB0DD7">
            <w:pPr>
              <w:pStyle w:val="TAL"/>
              <w:rPr>
                <w:lang w:eastAsia="zh-CN"/>
              </w:rPr>
            </w:pPr>
            <w:r w:rsidRPr="000A0A5F">
              <w:t>array(ConfigResult)</w:t>
            </w:r>
          </w:p>
        </w:tc>
        <w:tc>
          <w:tcPr>
            <w:tcW w:w="992" w:type="dxa"/>
            <w:shd w:val="clear" w:color="auto" w:fill="auto"/>
          </w:tcPr>
          <w:p w:rsidR="00CB0DD7" w:rsidRPr="000A0A5F" w:rsidRDefault="00CB0DD7">
            <w:pPr>
              <w:pStyle w:val="TAL"/>
              <w:rPr>
                <w:rFonts w:eastAsia="Times New Roman"/>
              </w:rPr>
            </w:pPr>
            <w:r w:rsidRPr="000A0A5F">
              <w:rPr>
                <w:rFonts w:eastAsia="Times New Roman"/>
              </w:rPr>
              <w:t>0..N</w:t>
            </w:r>
          </w:p>
        </w:tc>
        <w:tc>
          <w:tcPr>
            <w:tcW w:w="3686" w:type="dxa"/>
            <w:shd w:val="clear" w:color="auto" w:fill="auto"/>
          </w:tcPr>
          <w:p w:rsidR="00CB0DD7" w:rsidRPr="000A0A5F" w:rsidRDefault="00CB0DD7">
            <w:pPr>
              <w:pStyle w:val="TAL"/>
              <w:rPr>
                <w:rFonts w:cs="Arial"/>
                <w:szCs w:val="18"/>
              </w:rPr>
            </w:pPr>
            <w:r w:rsidRPr="000A0A5F">
              <w:rPr>
                <w:rFonts w:eastAsia="Times New Roman" w:cs="Arial"/>
                <w:szCs w:val="18"/>
              </w:rPr>
              <w:t>Each element i</w:t>
            </w:r>
            <w:r w:rsidRPr="000A0A5F">
              <w:rPr>
                <w:rFonts w:cs="Arial"/>
                <w:szCs w:val="18"/>
                <w:lang w:eastAsia="zh-CN"/>
              </w:rPr>
              <w:t xml:space="preserve">dentifies </w:t>
            </w:r>
            <w:r w:rsidRPr="000A0A5F">
              <w:t>a notification of grouping configuration result</w:t>
            </w:r>
            <w:r w:rsidRPr="000A0A5F">
              <w:rPr>
                <w:rFonts w:cs="Arial"/>
                <w:szCs w:val="18"/>
                <w:lang w:eastAsia="zh-CN"/>
              </w:rPr>
              <w:t>.</w:t>
            </w:r>
          </w:p>
        </w:tc>
        <w:tc>
          <w:tcPr>
            <w:tcW w:w="1243" w:type="dxa"/>
            <w:shd w:val="clear" w:color="auto" w:fill="auto"/>
          </w:tcPr>
          <w:p w:rsidR="00CB0DD7" w:rsidRPr="000A0A5F" w:rsidRDefault="00CB0DD7" w:rsidP="00705B0E">
            <w:pPr>
              <w:pStyle w:val="TAL"/>
            </w:pPr>
          </w:p>
        </w:tc>
      </w:tr>
      <w:tr w:rsidR="00CB0DD7" w:rsidRPr="000A0A5F" w:rsidTr="00FF0AF8">
        <w:tc>
          <w:tcPr>
            <w:tcW w:w="2094" w:type="dxa"/>
            <w:shd w:val="clear" w:color="auto" w:fill="auto"/>
          </w:tcPr>
          <w:p w:rsidR="00CB0DD7" w:rsidRPr="000A0A5F" w:rsidRDefault="00CB0DD7">
            <w:pPr>
              <w:pStyle w:val="TAL"/>
              <w:rPr>
                <w:rFonts w:hint="eastAsia"/>
                <w:lang w:eastAsia="zh-CN"/>
              </w:rPr>
            </w:pPr>
            <w:r w:rsidRPr="000A0A5F">
              <w:rPr>
                <w:rFonts w:hint="eastAsia"/>
                <w:lang w:eastAsia="zh-CN"/>
              </w:rPr>
              <w:t>monitoringEventReports</w:t>
            </w:r>
          </w:p>
        </w:tc>
        <w:tc>
          <w:tcPr>
            <w:tcW w:w="1559" w:type="dxa"/>
            <w:shd w:val="clear" w:color="auto" w:fill="auto"/>
          </w:tcPr>
          <w:p w:rsidR="00CB0DD7" w:rsidRPr="000A0A5F" w:rsidRDefault="00CB0DD7">
            <w:pPr>
              <w:pStyle w:val="TAL"/>
              <w:rPr>
                <w:rFonts w:eastAsia="Times New Roman"/>
              </w:rPr>
            </w:pPr>
            <w:r w:rsidRPr="000A0A5F">
              <w:rPr>
                <w:rFonts w:eastAsia="Times New Roman"/>
              </w:rPr>
              <w:t>array(MonitoringEventReport)</w:t>
            </w:r>
          </w:p>
        </w:tc>
        <w:tc>
          <w:tcPr>
            <w:tcW w:w="992" w:type="dxa"/>
            <w:shd w:val="clear" w:color="auto" w:fill="auto"/>
          </w:tcPr>
          <w:p w:rsidR="00CB0DD7" w:rsidRPr="000A0A5F" w:rsidRDefault="00CB0DD7">
            <w:pPr>
              <w:pStyle w:val="TAL"/>
              <w:rPr>
                <w:rFonts w:eastAsia="Times New Roman"/>
              </w:rPr>
            </w:pPr>
            <w:r w:rsidRPr="000A0A5F">
              <w:rPr>
                <w:rFonts w:eastAsia="Times New Roman"/>
              </w:rPr>
              <w:t>0..N</w:t>
            </w:r>
          </w:p>
        </w:tc>
        <w:tc>
          <w:tcPr>
            <w:tcW w:w="3686" w:type="dxa"/>
            <w:shd w:val="clear" w:color="auto" w:fill="auto"/>
          </w:tcPr>
          <w:p w:rsidR="00CB0DD7" w:rsidRPr="000A0A5F" w:rsidRDefault="00CB0DD7">
            <w:pPr>
              <w:pStyle w:val="TAL"/>
              <w:rPr>
                <w:rFonts w:eastAsia="Times New Roman" w:cs="Arial"/>
                <w:szCs w:val="18"/>
              </w:rPr>
            </w:pPr>
            <w:r w:rsidRPr="000A0A5F">
              <w:rPr>
                <w:rFonts w:eastAsia="Times New Roman" w:cs="Arial"/>
                <w:szCs w:val="18"/>
              </w:rPr>
              <w:t>Each element identifies a monitoring event report.</w:t>
            </w:r>
          </w:p>
        </w:tc>
        <w:tc>
          <w:tcPr>
            <w:tcW w:w="1243" w:type="dxa"/>
            <w:shd w:val="clear" w:color="auto" w:fill="auto"/>
          </w:tcPr>
          <w:p w:rsidR="00CB0DD7" w:rsidRPr="000A0A5F" w:rsidRDefault="00CB0DD7" w:rsidP="00705B0E">
            <w:pPr>
              <w:pStyle w:val="TAL"/>
            </w:pPr>
          </w:p>
        </w:tc>
      </w:tr>
      <w:tr w:rsidR="00BC6E27" w:rsidRPr="000A0A5F" w:rsidTr="00FF0AF8">
        <w:tc>
          <w:tcPr>
            <w:tcW w:w="2094" w:type="dxa"/>
            <w:shd w:val="clear" w:color="auto" w:fill="auto"/>
          </w:tcPr>
          <w:p w:rsidR="00BC6E27" w:rsidRPr="000A0A5F" w:rsidRDefault="00BC6E27" w:rsidP="00BC6E27">
            <w:pPr>
              <w:pStyle w:val="TAL"/>
              <w:rPr>
                <w:rFonts w:hint="eastAsia"/>
                <w:lang w:eastAsia="zh-CN"/>
              </w:rPr>
            </w:pPr>
            <w:r w:rsidRPr="000A0A5F">
              <w:rPr>
                <w:lang w:eastAsia="zh-CN"/>
              </w:rPr>
              <w:t>addedE</w:t>
            </w:r>
            <w:r w:rsidRPr="000A0A5F">
              <w:rPr>
                <w:rFonts w:hint="eastAsia"/>
                <w:lang w:eastAsia="zh-CN"/>
              </w:rPr>
              <w:t>xternal</w:t>
            </w:r>
            <w:r w:rsidRPr="000A0A5F">
              <w:rPr>
                <w:lang w:eastAsia="zh-CN"/>
              </w:rPr>
              <w:t>Ids</w:t>
            </w:r>
          </w:p>
        </w:tc>
        <w:tc>
          <w:tcPr>
            <w:tcW w:w="1559" w:type="dxa"/>
            <w:shd w:val="clear" w:color="auto" w:fill="auto"/>
          </w:tcPr>
          <w:p w:rsidR="00BC6E27" w:rsidRPr="000A0A5F" w:rsidRDefault="00BC6E27" w:rsidP="00BC6E27">
            <w:pPr>
              <w:pStyle w:val="TAL"/>
              <w:rPr>
                <w:rFonts w:eastAsia="Times New Roman"/>
              </w:rPr>
            </w:pPr>
            <w:r w:rsidRPr="000A0A5F">
              <w:rPr>
                <w:rFonts w:eastAsia="Times New Roman"/>
              </w:rPr>
              <w:t>array(ExternalId)</w:t>
            </w:r>
          </w:p>
        </w:tc>
        <w:tc>
          <w:tcPr>
            <w:tcW w:w="992" w:type="dxa"/>
            <w:shd w:val="clear" w:color="auto" w:fill="auto"/>
          </w:tcPr>
          <w:p w:rsidR="00BC6E27" w:rsidRPr="000A0A5F" w:rsidRDefault="00BC6E27" w:rsidP="00BC6E27">
            <w:pPr>
              <w:pStyle w:val="TAL"/>
              <w:rPr>
                <w:rFonts w:eastAsia="Times New Roman"/>
              </w:rPr>
            </w:pPr>
            <w:r w:rsidRPr="000A0A5F">
              <w:rPr>
                <w:rFonts w:eastAsia="Times New Roman"/>
              </w:rPr>
              <w:t>0..N</w:t>
            </w:r>
          </w:p>
        </w:tc>
        <w:tc>
          <w:tcPr>
            <w:tcW w:w="3686" w:type="dxa"/>
            <w:shd w:val="clear" w:color="auto" w:fill="auto"/>
          </w:tcPr>
          <w:p w:rsidR="00BC6E27" w:rsidRPr="000A0A5F" w:rsidRDefault="00BC6E27" w:rsidP="00BC6E27">
            <w:pPr>
              <w:pStyle w:val="TAL"/>
              <w:rPr>
                <w:rFonts w:eastAsia="Times New Roman" w:cs="Arial"/>
                <w:szCs w:val="18"/>
              </w:rPr>
            </w:pPr>
            <w:r w:rsidRPr="000A0A5F">
              <w:rPr>
                <w:rFonts w:eastAsia="Times New Roman" w:cs="Arial"/>
                <w:szCs w:val="18"/>
              </w:rPr>
              <w:t>Identifies the added external Identifier(s) within the active group via the "externalGroupId" attribute within the MonitoringEventSubscription data type.</w:t>
            </w:r>
          </w:p>
        </w:tc>
        <w:tc>
          <w:tcPr>
            <w:tcW w:w="1243" w:type="dxa"/>
            <w:shd w:val="clear" w:color="auto" w:fill="auto"/>
          </w:tcPr>
          <w:p w:rsidR="00BC6E27" w:rsidRPr="000A0A5F" w:rsidRDefault="00BC6E27" w:rsidP="00705B0E">
            <w:pPr>
              <w:pStyle w:val="TAL"/>
            </w:pPr>
            <w:r w:rsidRPr="000A0A5F">
              <w:t>Partial_group_modification</w:t>
            </w:r>
          </w:p>
        </w:tc>
      </w:tr>
      <w:tr w:rsidR="00BC6E27" w:rsidRPr="000A0A5F" w:rsidTr="00FF0AF8">
        <w:tc>
          <w:tcPr>
            <w:tcW w:w="2094" w:type="dxa"/>
            <w:shd w:val="clear" w:color="auto" w:fill="auto"/>
          </w:tcPr>
          <w:p w:rsidR="00BC6E27" w:rsidRPr="000A0A5F" w:rsidRDefault="00BC6E27" w:rsidP="00BC6E27">
            <w:pPr>
              <w:pStyle w:val="TAL"/>
              <w:rPr>
                <w:rFonts w:hint="eastAsia"/>
                <w:lang w:eastAsia="zh-CN"/>
              </w:rPr>
            </w:pPr>
            <w:r w:rsidRPr="000A0A5F">
              <w:rPr>
                <w:lang w:eastAsia="zh-CN"/>
              </w:rPr>
              <w:t>addedMsisdns</w:t>
            </w:r>
          </w:p>
        </w:tc>
        <w:tc>
          <w:tcPr>
            <w:tcW w:w="1559" w:type="dxa"/>
            <w:shd w:val="clear" w:color="auto" w:fill="auto"/>
          </w:tcPr>
          <w:p w:rsidR="00BC6E27" w:rsidRPr="000A0A5F" w:rsidRDefault="00BC6E27" w:rsidP="00BC6E27">
            <w:pPr>
              <w:pStyle w:val="TAL"/>
              <w:rPr>
                <w:rFonts w:eastAsia="Times New Roman"/>
              </w:rPr>
            </w:pPr>
            <w:r w:rsidRPr="000A0A5F">
              <w:rPr>
                <w:rFonts w:eastAsia="Times New Roman"/>
              </w:rPr>
              <w:t>array(Msisdn)</w:t>
            </w:r>
          </w:p>
        </w:tc>
        <w:tc>
          <w:tcPr>
            <w:tcW w:w="992" w:type="dxa"/>
            <w:shd w:val="clear" w:color="auto" w:fill="auto"/>
          </w:tcPr>
          <w:p w:rsidR="00BC6E27" w:rsidRPr="000A0A5F" w:rsidRDefault="00BC6E27" w:rsidP="00BC6E27">
            <w:pPr>
              <w:pStyle w:val="TAL"/>
              <w:rPr>
                <w:rFonts w:eastAsia="Times New Roman"/>
              </w:rPr>
            </w:pPr>
            <w:r w:rsidRPr="000A0A5F">
              <w:rPr>
                <w:rFonts w:eastAsia="Times New Roman"/>
              </w:rPr>
              <w:t>0..N</w:t>
            </w:r>
          </w:p>
        </w:tc>
        <w:tc>
          <w:tcPr>
            <w:tcW w:w="3686" w:type="dxa"/>
            <w:shd w:val="clear" w:color="auto" w:fill="auto"/>
          </w:tcPr>
          <w:p w:rsidR="00BC6E27" w:rsidRPr="000A0A5F" w:rsidRDefault="00BC6E27" w:rsidP="00BC6E27">
            <w:pPr>
              <w:pStyle w:val="TAL"/>
              <w:rPr>
                <w:rFonts w:eastAsia="Times New Roman" w:cs="Arial"/>
                <w:szCs w:val="18"/>
              </w:rPr>
            </w:pPr>
            <w:r w:rsidRPr="000A0A5F">
              <w:rPr>
                <w:rFonts w:eastAsia="Times New Roman" w:cs="Arial"/>
                <w:szCs w:val="18"/>
              </w:rPr>
              <w:t>Identifies the added MSISDN(s) within the active group via the "externalGroupId" attribute within the MonitoringEventSubscription data type.</w:t>
            </w:r>
          </w:p>
        </w:tc>
        <w:tc>
          <w:tcPr>
            <w:tcW w:w="1243" w:type="dxa"/>
            <w:shd w:val="clear" w:color="auto" w:fill="auto"/>
          </w:tcPr>
          <w:p w:rsidR="00BC6E27" w:rsidRPr="000A0A5F" w:rsidRDefault="00BC6E27" w:rsidP="00705B0E">
            <w:pPr>
              <w:pStyle w:val="TAL"/>
            </w:pPr>
            <w:r w:rsidRPr="000A0A5F">
              <w:t>Partial_group_modification</w:t>
            </w:r>
          </w:p>
        </w:tc>
      </w:tr>
      <w:tr w:rsidR="00CB0DD7" w:rsidRPr="000A0A5F" w:rsidTr="00FF0AF8">
        <w:tc>
          <w:tcPr>
            <w:tcW w:w="2094" w:type="dxa"/>
            <w:shd w:val="clear" w:color="auto" w:fill="auto"/>
          </w:tcPr>
          <w:p w:rsidR="00CB0DD7" w:rsidRPr="000A0A5F" w:rsidRDefault="00CB0DD7">
            <w:pPr>
              <w:pStyle w:val="TAL"/>
              <w:rPr>
                <w:lang w:eastAsia="zh-CN"/>
              </w:rPr>
            </w:pPr>
            <w:r w:rsidRPr="000A0A5F">
              <w:rPr>
                <w:lang w:eastAsia="zh-CN"/>
              </w:rPr>
              <w:t>cancelE</w:t>
            </w:r>
            <w:r w:rsidRPr="000A0A5F">
              <w:rPr>
                <w:rFonts w:hint="eastAsia"/>
                <w:lang w:eastAsia="zh-CN"/>
              </w:rPr>
              <w:t>xternal</w:t>
            </w:r>
            <w:r w:rsidRPr="000A0A5F">
              <w:rPr>
                <w:lang w:eastAsia="zh-CN"/>
              </w:rPr>
              <w:t>Ids</w:t>
            </w:r>
          </w:p>
        </w:tc>
        <w:tc>
          <w:tcPr>
            <w:tcW w:w="1559" w:type="dxa"/>
            <w:shd w:val="clear" w:color="auto" w:fill="auto"/>
          </w:tcPr>
          <w:p w:rsidR="00CB0DD7" w:rsidRPr="000A0A5F" w:rsidRDefault="00CB0DD7">
            <w:pPr>
              <w:pStyle w:val="TAL"/>
              <w:rPr>
                <w:lang w:eastAsia="zh-CN"/>
              </w:rPr>
            </w:pPr>
            <w:r w:rsidRPr="000A0A5F">
              <w:rPr>
                <w:lang w:eastAsia="zh-CN"/>
              </w:rPr>
              <w:t>array(ExternalId)</w:t>
            </w:r>
          </w:p>
        </w:tc>
        <w:tc>
          <w:tcPr>
            <w:tcW w:w="992" w:type="dxa"/>
            <w:shd w:val="clear" w:color="auto" w:fill="auto"/>
          </w:tcPr>
          <w:p w:rsidR="00CB0DD7" w:rsidRPr="000A0A5F" w:rsidRDefault="00CB0DD7">
            <w:pPr>
              <w:pStyle w:val="TAL"/>
              <w:rPr>
                <w:lang w:eastAsia="zh-CN"/>
              </w:rPr>
            </w:pPr>
            <w:r w:rsidRPr="000A0A5F">
              <w:rPr>
                <w:lang w:eastAsia="zh-CN"/>
              </w:rPr>
              <w:t>0..N</w:t>
            </w:r>
          </w:p>
        </w:tc>
        <w:tc>
          <w:tcPr>
            <w:tcW w:w="3686" w:type="dxa"/>
            <w:shd w:val="clear" w:color="auto" w:fill="auto"/>
          </w:tcPr>
          <w:p w:rsidR="00CB0DD7" w:rsidRPr="000A0A5F" w:rsidRDefault="00CB0DD7">
            <w:pPr>
              <w:pStyle w:val="TAL"/>
              <w:rPr>
                <w:rFonts w:cs="Arial" w:hint="eastAsia"/>
                <w:szCs w:val="18"/>
                <w:lang w:eastAsia="zh-CN"/>
              </w:rPr>
            </w:pPr>
            <w:r w:rsidRPr="000A0A5F">
              <w:rPr>
                <w:rFonts w:cs="Arial"/>
                <w:szCs w:val="18"/>
                <w:lang w:eastAsia="zh-CN"/>
              </w:rPr>
              <w:t>Identifies the cancelled external Identifier(s)</w:t>
            </w:r>
            <w:r w:rsidRPr="000A0A5F">
              <w:t xml:space="preserve"> </w:t>
            </w:r>
            <w:r w:rsidRPr="000A0A5F">
              <w:rPr>
                <w:rFonts w:cs="Arial"/>
                <w:szCs w:val="18"/>
                <w:lang w:eastAsia="zh-CN"/>
              </w:rPr>
              <w:t xml:space="preserve">within the active group via the </w:t>
            </w:r>
            <w:r w:rsidRPr="000A0A5F">
              <w:rPr>
                <w:rFonts w:cs="Arial"/>
                <w:szCs w:val="18"/>
              </w:rPr>
              <w:t>"</w:t>
            </w:r>
            <w:r w:rsidRPr="000A0A5F">
              <w:rPr>
                <w:rFonts w:cs="Arial"/>
                <w:szCs w:val="18"/>
                <w:lang w:eastAsia="zh-CN"/>
              </w:rPr>
              <w:t>externalGroupId</w:t>
            </w:r>
            <w:r w:rsidRPr="000A0A5F">
              <w:rPr>
                <w:rFonts w:cs="Arial"/>
                <w:szCs w:val="18"/>
              </w:rPr>
              <w:t>"</w:t>
            </w:r>
            <w:r w:rsidRPr="000A0A5F">
              <w:rPr>
                <w:rFonts w:cs="Arial"/>
                <w:szCs w:val="18"/>
                <w:lang w:eastAsia="zh-CN"/>
              </w:rPr>
              <w:t xml:space="preserve"> attribute within the MonitoringEventSubscription data</w:t>
            </w:r>
            <w:r w:rsidR="00BC6E27" w:rsidRPr="000A0A5F">
              <w:rPr>
                <w:rFonts w:cs="Arial"/>
                <w:szCs w:val="18"/>
                <w:lang w:eastAsia="zh-CN"/>
              </w:rPr>
              <w:t xml:space="preserve"> type</w:t>
            </w:r>
            <w:r w:rsidRPr="000A0A5F">
              <w:rPr>
                <w:rFonts w:cs="Arial"/>
                <w:szCs w:val="18"/>
                <w:lang w:eastAsia="zh-CN"/>
              </w:rPr>
              <w:t>.</w:t>
            </w:r>
          </w:p>
        </w:tc>
        <w:tc>
          <w:tcPr>
            <w:tcW w:w="1243" w:type="dxa"/>
            <w:shd w:val="clear" w:color="auto" w:fill="auto"/>
          </w:tcPr>
          <w:p w:rsidR="00CB0DD7" w:rsidRPr="000A0A5F" w:rsidRDefault="00CB0DD7" w:rsidP="00705B0E">
            <w:pPr>
              <w:pStyle w:val="TAL"/>
            </w:pPr>
            <w:r w:rsidRPr="000A0A5F">
              <w:rPr>
                <w:bCs/>
              </w:rPr>
              <w:t>Partial_group_</w:t>
            </w:r>
            <w:r w:rsidR="00BC6E27" w:rsidRPr="000A0A5F">
              <w:rPr>
                <w:rFonts w:eastAsia="Times New Roman" w:cs="Arial"/>
                <w:bCs/>
                <w:szCs w:val="18"/>
              </w:rPr>
              <w:t>modification</w:t>
            </w:r>
          </w:p>
        </w:tc>
      </w:tr>
      <w:tr w:rsidR="00E34307" w:rsidRPr="000A0A5F" w:rsidTr="00FF0AF8">
        <w:tc>
          <w:tcPr>
            <w:tcW w:w="2094" w:type="dxa"/>
            <w:shd w:val="clear" w:color="auto" w:fill="auto"/>
          </w:tcPr>
          <w:p w:rsidR="00E34307" w:rsidRPr="000A0A5F" w:rsidRDefault="00E34307" w:rsidP="00E34307">
            <w:pPr>
              <w:pStyle w:val="TAL"/>
              <w:rPr>
                <w:lang w:eastAsia="zh-CN"/>
              </w:rPr>
            </w:pPr>
            <w:r w:rsidRPr="000A0A5F">
              <w:rPr>
                <w:lang w:eastAsia="zh-CN"/>
              </w:rPr>
              <w:t>cancelInd</w:t>
            </w:r>
          </w:p>
        </w:tc>
        <w:tc>
          <w:tcPr>
            <w:tcW w:w="1559" w:type="dxa"/>
            <w:shd w:val="clear" w:color="auto" w:fill="auto"/>
          </w:tcPr>
          <w:p w:rsidR="00E34307" w:rsidRPr="000A0A5F" w:rsidRDefault="00E34307" w:rsidP="00E34307">
            <w:pPr>
              <w:pStyle w:val="TAL"/>
              <w:rPr>
                <w:lang w:eastAsia="zh-CN"/>
              </w:rPr>
            </w:pPr>
            <w:r w:rsidRPr="000A0A5F">
              <w:rPr>
                <w:lang w:eastAsia="zh-CN"/>
              </w:rPr>
              <w:t>B</w:t>
            </w:r>
            <w:r w:rsidRPr="000A0A5F">
              <w:rPr>
                <w:rFonts w:hint="eastAsia"/>
                <w:lang w:eastAsia="zh-CN"/>
              </w:rPr>
              <w:t>oolean</w:t>
            </w:r>
          </w:p>
        </w:tc>
        <w:tc>
          <w:tcPr>
            <w:tcW w:w="992" w:type="dxa"/>
            <w:shd w:val="clear" w:color="auto" w:fill="auto"/>
          </w:tcPr>
          <w:p w:rsidR="00E34307" w:rsidRPr="000A0A5F" w:rsidRDefault="00E34307" w:rsidP="00E34307">
            <w:pPr>
              <w:pStyle w:val="TAL"/>
              <w:rPr>
                <w:lang w:eastAsia="zh-CN"/>
              </w:rPr>
            </w:pPr>
            <w:r w:rsidRPr="000A0A5F">
              <w:rPr>
                <w:lang w:eastAsia="zh-CN"/>
              </w:rPr>
              <w:t>0..1</w:t>
            </w:r>
          </w:p>
        </w:tc>
        <w:tc>
          <w:tcPr>
            <w:tcW w:w="3686" w:type="dxa"/>
            <w:shd w:val="clear" w:color="auto" w:fill="auto"/>
          </w:tcPr>
          <w:p w:rsidR="00E34307" w:rsidRPr="000A0A5F" w:rsidRDefault="00E34307" w:rsidP="00E34307">
            <w:pPr>
              <w:pStyle w:val="TAL"/>
              <w:rPr>
                <w:rFonts w:cs="Arial"/>
                <w:szCs w:val="18"/>
                <w:lang w:eastAsia="zh-CN"/>
              </w:rPr>
            </w:pPr>
            <w:r w:rsidRPr="000A0A5F">
              <w:rPr>
                <w:rFonts w:cs="Arial" w:hint="eastAsia"/>
                <w:szCs w:val="18"/>
                <w:lang w:eastAsia="zh-CN"/>
              </w:rPr>
              <w:t>Indicates</w:t>
            </w:r>
            <w:r w:rsidRPr="000A0A5F">
              <w:rPr>
                <w:rFonts w:cs="Arial"/>
                <w:szCs w:val="18"/>
                <w:lang w:eastAsia="zh-CN"/>
              </w:rPr>
              <w:t xml:space="preserve"> whether to</w:t>
            </w:r>
            <w:r w:rsidRPr="000A0A5F">
              <w:rPr>
                <w:rFonts w:cs="Arial" w:hint="eastAsia"/>
                <w:szCs w:val="18"/>
                <w:lang w:eastAsia="zh-CN"/>
              </w:rPr>
              <w:t xml:space="preserve"> request to cancel the</w:t>
            </w:r>
            <w:r w:rsidRPr="000A0A5F">
              <w:rPr>
                <w:rFonts w:cs="Arial"/>
                <w:szCs w:val="18"/>
                <w:lang w:eastAsia="zh-CN"/>
              </w:rPr>
              <w:t xml:space="preserve"> corresponding</w:t>
            </w:r>
            <w:r w:rsidRPr="000A0A5F">
              <w:rPr>
                <w:rFonts w:cs="Arial" w:hint="eastAsia"/>
                <w:szCs w:val="18"/>
                <w:lang w:eastAsia="zh-CN"/>
              </w:rPr>
              <w:t xml:space="preserve"> </w:t>
            </w:r>
            <w:r w:rsidRPr="000A0A5F">
              <w:rPr>
                <w:rFonts w:cs="Arial"/>
                <w:szCs w:val="18"/>
                <w:lang w:eastAsia="zh-CN"/>
              </w:rPr>
              <w:t>monitoring subscription. Set to false or omitted otherwise.</w:t>
            </w:r>
          </w:p>
        </w:tc>
        <w:tc>
          <w:tcPr>
            <w:tcW w:w="1243" w:type="dxa"/>
            <w:shd w:val="clear" w:color="auto" w:fill="auto"/>
          </w:tcPr>
          <w:p w:rsidR="00E34307" w:rsidRPr="000A0A5F" w:rsidRDefault="00E34307" w:rsidP="00E34307">
            <w:pPr>
              <w:pStyle w:val="TAL"/>
              <w:rPr>
                <w:bCs/>
              </w:rPr>
            </w:pPr>
          </w:p>
        </w:tc>
      </w:tr>
      <w:tr w:rsidR="00CB0DD7" w:rsidRPr="000A0A5F" w:rsidTr="00FF0AF8">
        <w:tc>
          <w:tcPr>
            <w:tcW w:w="2094" w:type="dxa"/>
            <w:shd w:val="clear" w:color="auto" w:fill="auto"/>
          </w:tcPr>
          <w:p w:rsidR="00CB0DD7" w:rsidRPr="000A0A5F" w:rsidRDefault="00CB0DD7">
            <w:pPr>
              <w:pStyle w:val="TAL"/>
              <w:rPr>
                <w:lang w:eastAsia="zh-CN"/>
              </w:rPr>
            </w:pPr>
            <w:r w:rsidRPr="000A0A5F">
              <w:rPr>
                <w:lang w:eastAsia="zh-CN"/>
              </w:rPr>
              <w:t>cancelMsisdns</w:t>
            </w:r>
          </w:p>
        </w:tc>
        <w:tc>
          <w:tcPr>
            <w:tcW w:w="1559" w:type="dxa"/>
            <w:shd w:val="clear" w:color="auto" w:fill="auto"/>
          </w:tcPr>
          <w:p w:rsidR="00CB0DD7" w:rsidRPr="000A0A5F" w:rsidRDefault="00CB0DD7">
            <w:pPr>
              <w:pStyle w:val="TAL"/>
              <w:rPr>
                <w:lang w:eastAsia="zh-CN"/>
              </w:rPr>
            </w:pPr>
            <w:r w:rsidRPr="000A0A5F">
              <w:rPr>
                <w:lang w:eastAsia="zh-CN"/>
              </w:rPr>
              <w:t>array(Msisdn)</w:t>
            </w:r>
          </w:p>
        </w:tc>
        <w:tc>
          <w:tcPr>
            <w:tcW w:w="992" w:type="dxa"/>
            <w:shd w:val="clear" w:color="auto" w:fill="auto"/>
          </w:tcPr>
          <w:p w:rsidR="00CB0DD7" w:rsidRPr="000A0A5F" w:rsidRDefault="00CB0DD7">
            <w:pPr>
              <w:pStyle w:val="TAL"/>
              <w:rPr>
                <w:lang w:eastAsia="zh-CN"/>
              </w:rPr>
            </w:pPr>
            <w:r w:rsidRPr="000A0A5F">
              <w:rPr>
                <w:lang w:eastAsia="zh-CN"/>
              </w:rPr>
              <w:t>0..N</w:t>
            </w:r>
          </w:p>
        </w:tc>
        <w:tc>
          <w:tcPr>
            <w:tcW w:w="3686" w:type="dxa"/>
            <w:shd w:val="clear" w:color="auto" w:fill="auto"/>
          </w:tcPr>
          <w:p w:rsidR="00CB0DD7" w:rsidRPr="000A0A5F" w:rsidRDefault="00CB0DD7">
            <w:pPr>
              <w:pStyle w:val="TAL"/>
              <w:rPr>
                <w:rFonts w:cs="Arial" w:hint="eastAsia"/>
                <w:szCs w:val="18"/>
                <w:lang w:eastAsia="zh-CN"/>
              </w:rPr>
            </w:pPr>
            <w:r w:rsidRPr="000A0A5F">
              <w:rPr>
                <w:rFonts w:cs="Arial"/>
                <w:szCs w:val="18"/>
                <w:lang w:eastAsia="zh-CN"/>
              </w:rPr>
              <w:t xml:space="preserve">Identifies the cancelled MSISDN(s) within the active group via the </w:t>
            </w:r>
            <w:r w:rsidRPr="000A0A5F">
              <w:rPr>
                <w:rFonts w:cs="Arial"/>
                <w:szCs w:val="18"/>
              </w:rPr>
              <w:t>"</w:t>
            </w:r>
            <w:r w:rsidRPr="000A0A5F">
              <w:rPr>
                <w:rFonts w:cs="Arial"/>
                <w:szCs w:val="18"/>
                <w:lang w:eastAsia="zh-CN"/>
              </w:rPr>
              <w:t>externalGroupId</w:t>
            </w:r>
            <w:r w:rsidRPr="000A0A5F">
              <w:rPr>
                <w:rFonts w:cs="Arial"/>
                <w:szCs w:val="18"/>
              </w:rPr>
              <w:t>"</w:t>
            </w:r>
            <w:r w:rsidRPr="000A0A5F">
              <w:rPr>
                <w:rFonts w:cs="Arial"/>
                <w:szCs w:val="18"/>
                <w:lang w:eastAsia="zh-CN"/>
              </w:rPr>
              <w:t xml:space="preserve"> attribute within the MonitoringEventSubscription data.</w:t>
            </w:r>
          </w:p>
        </w:tc>
        <w:tc>
          <w:tcPr>
            <w:tcW w:w="1243" w:type="dxa"/>
            <w:shd w:val="clear" w:color="auto" w:fill="auto"/>
          </w:tcPr>
          <w:p w:rsidR="00CB0DD7" w:rsidRPr="000A0A5F" w:rsidRDefault="00CB0DD7" w:rsidP="00705B0E">
            <w:pPr>
              <w:pStyle w:val="TAL"/>
            </w:pPr>
            <w:r w:rsidRPr="000A0A5F">
              <w:rPr>
                <w:bCs/>
              </w:rPr>
              <w:t>Partial_group_</w:t>
            </w:r>
            <w:r w:rsidR="00BC6E27" w:rsidRPr="000A0A5F">
              <w:rPr>
                <w:rFonts w:eastAsia="Times New Roman" w:cs="Arial"/>
                <w:bCs/>
                <w:szCs w:val="18"/>
              </w:rPr>
              <w:t>modification</w:t>
            </w:r>
          </w:p>
        </w:tc>
      </w:tr>
      <w:tr w:rsidR="00CB0DD7" w:rsidRPr="000A0A5F" w:rsidTr="00FF0AF8">
        <w:tc>
          <w:tcPr>
            <w:tcW w:w="2094" w:type="dxa"/>
            <w:shd w:val="clear" w:color="auto" w:fill="auto"/>
          </w:tcPr>
          <w:p w:rsidR="00CB0DD7" w:rsidRPr="000A0A5F" w:rsidRDefault="00CB0DD7">
            <w:pPr>
              <w:pStyle w:val="TAL"/>
              <w:rPr>
                <w:lang w:eastAsia="zh-CN"/>
              </w:rPr>
            </w:pPr>
            <w:r w:rsidRPr="000A0A5F">
              <w:rPr>
                <w:lang w:eastAsia="zh-CN"/>
              </w:rPr>
              <w:t>appliedParam</w:t>
            </w:r>
          </w:p>
        </w:tc>
        <w:tc>
          <w:tcPr>
            <w:tcW w:w="1559" w:type="dxa"/>
            <w:shd w:val="clear" w:color="auto" w:fill="auto"/>
          </w:tcPr>
          <w:p w:rsidR="00CB0DD7" w:rsidRPr="000A0A5F" w:rsidRDefault="00CB0DD7">
            <w:pPr>
              <w:pStyle w:val="TAL"/>
              <w:rPr>
                <w:lang w:eastAsia="zh-CN"/>
              </w:rPr>
            </w:pPr>
            <w:r w:rsidRPr="000A0A5F">
              <w:rPr>
                <w:lang w:eastAsia="zh-CN"/>
              </w:rPr>
              <w:t>AppliedParameterConfiguration</w:t>
            </w:r>
          </w:p>
        </w:tc>
        <w:tc>
          <w:tcPr>
            <w:tcW w:w="992" w:type="dxa"/>
            <w:shd w:val="clear" w:color="auto" w:fill="auto"/>
          </w:tcPr>
          <w:p w:rsidR="00CB0DD7" w:rsidRPr="000A0A5F" w:rsidRDefault="00CB0DD7">
            <w:pPr>
              <w:pStyle w:val="TAL"/>
              <w:rPr>
                <w:lang w:eastAsia="zh-CN"/>
              </w:rPr>
            </w:pPr>
            <w:r w:rsidRPr="000A0A5F">
              <w:rPr>
                <w:lang w:eastAsia="zh-CN"/>
              </w:rPr>
              <w:t>0..1</w:t>
            </w:r>
          </w:p>
        </w:tc>
        <w:tc>
          <w:tcPr>
            <w:tcW w:w="3686" w:type="dxa"/>
            <w:shd w:val="clear" w:color="auto" w:fill="auto"/>
          </w:tcPr>
          <w:p w:rsidR="00CB0DD7" w:rsidRPr="000A0A5F" w:rsidRDefault="00CB0DD7">
            <w:pPr>
              <w:pStyle w:val="TAL"/>
              <w:rPr>
                <w:rFonts w:cs="Arial" w:hint="eastAsia"/>
                <w:szCs w:val="18"/>
                <w:lang w:eastAsia="zh-CN"/>
              </w:rPr>
            </w:pPr>
            <w:r w:rsidRPr="000A0A5F">
              <w:rPr>
                <w:rFonts w:cs="Arial"/>
                <w:szCs w:val="18"/>
                <w:lang w:eastAsia="zh-CN"/>
              </w:rPr>
              <w:t xml:space="preserve">Indicates the applied parameter configuration in the network. For the attributes included in </w:t>
            </w:r>
            <w:r w:rsidRPr="000A0A5F">
              <w:rPr>
                <w:lang w:eastAsia="zh-CN"/>
              </w:rPr>
              <w:t>AppliedParameterConfiguration</w:t>
            </w:r>
            <w:r w:rsidRPr="000A0A5F">
              <w:rPr>
                <w:rFonts w:cs="Arial"/>
                <w:szCs w:val="18"/>
                <w:lang w:eastAsia="zh-CN"/>
              </w:rPr>
              <w:t xml:space="preserve"> data type, the </w:t>
            </w:r>
            <w:r w:rsidRPr="000A0A5F">
              <w:rPr>
                <w:rFonts w:cs="Arial"/>
                <w:szCs w:val="18"/>
              </w:rPr>
              <w:t>"</w:t>
            </w:r>
            <w:r w:rsidRPr="000A0A5F">
              <w:rPr>
                <w:lang w:eastAsia="zh-CN"/>
              </w:rPr>
              <w:t>m</w:t>
            </w:r>
            <w:r w:rsidRPr="000A0A5F">
              <w:rPr>
                <w:rFonts w:hint="eastAsia"/>
                <w:lang w:eastAsia="zh-CN"/>
              </w:rPr>
              <w:t>aximumLat</w:t>
            </w:r>
            <w:r w:rsidRPr="000A0A5F">
              <w:rPr>
                <w:lang w:eastAsia="zh-CN"/>
              </w:rPr>
              <w:t>ency</w:t>
            </w:r>
            <w:r w:rsidRPr="000A0A5F">
              <w:rPr>
                <w:rFonts w:cs="Arial"/>
                <w:szCs w:val="18"/>
              </w:rPr>
              <w:t>"</w:t>
            </w:r>
            <w:r w:rsidRPr="000A0A5F">
              <w:rPr>
                <w:lang w:eastAsia="zh-CN"/>
              </w:rPr>
              <w:t xml:space="preserve"> and </w:t>
            </w:r>
            <w:r w:rsidRPr="000A0A5F">
              <w:rPr>
                <w:rFonts w:cs="Arial"/>
                <w:szCs w:val="18"/>
              </w:rPr>
              <w:t>"</w:t>
            </w:r>
            <w:r w:rsidRPr="000A0A5F">
              <w:rPr>
                <w:lang w:eastAsia="zh-CN"/>
              </w:rPr>
              <w:t>m</w:t>
            </w:r>
            <w:r w:rsidRPr="000A0A5F">
              <w:rPr>
                <w:rFonts w:hint="eastAsia"/>
                <w:lang w:eastAsia="zh-CN"/>
              </w:rPr>
              <w:t>a</w:t>
            </w:r>
            <w:r w:rsidRPr="000A0A5F">
              <w:rPr>
                <w:lang w:eastAsia="zh-CN"/>
              </w:rPr>
              <w:t>ximumResponseTime</w:t>
            </w:r>
            <w:r w:rsidRPr="000A0A5F">
              <w:rPr>
                <w:rFonts w:cs="Arial"/>
                <w:szCs w:val="18"/>
              </w:rPr>
              <w:t>"</w:t>
            </w:r>
            <w:r w:rsidRPr="000A0A5F">
              <w:rPr>
                <w:lang w:eastAsia="zh-CN"/>
              </w:rPr>
              <w:t xml:space="preserve"> attributes require the </w:t>
            </w:r>
            <w:r w:rsidRPr="000A0A5F">
              <w:rPr>
                <w:rFonts w:cs="Arial"/>
                <w:szCs w:val="18"/>
              </w:rPr>
              <w:t>"</w:t>
            </w:r>
            <w:r w:rsidRPr="000A0A5F">
              <w:t>Ue-reachability_notification</w:t>
            </w:r>
            <w:r w:rsidRPr="000A0A5F">
              <w:rPr>
                <w:rFonts w:cs="Arial"/>
                <w:szCs w:val="18"/>
              </w:rPr>
              <w:t>"</w:t>
            </w:r>
            <w:r w:rsidRPr="000A0A5F">
              <w:rPr>
                <w:lang w:eastAsia="zh-CN"/>
              </w:rPr>
              <w:t xml:space="preserve"> feature support, and the </w:t>
            </w:r>
            <w:r w:rsidRPr="000A0A5F">
              <w:rPr>
                <w:rFonts w:cs="Arial"/>
                <w:szCs w:val="18"/>
              </w:rPr>
              <w:t>"</w:t>
            </w:r>
            <w:r w:rsidRPr="000A0A5F">
              <w:rPr>
                <w:lang w:eastAsia="zh-CN"/>
              </w:rPr>
              <w:t>m</w:t>
            </w:r>
            <w:r w:rsidRPr="000A0A5F">
              <w:rPr>
                <w:rFonts w:hint="eastAsia"/>
                <w:lang w:eastAsia="zh-CN"/>
              </w:rPr>
              <w:t>aximumDetectionTime</w:t>
            </w:r>
            <w:r w:rsidRPr="000A0A5F">
              <w:rPr>
                <w:rFonts w:cs="Arial"/>
                <w:szCs w:val="18"/>
              </w:rPr>
              <w:t>"</w:t>
            </w:r>
            <w:r w:rsidRPr="000A0A5F">
              <w:rPr>
                <w:lang w:eastAsia="zh-CN"/>
              </w:rPr>
              <w:t xml:space="preserve"> attribute requires the </w:t>
            </w:r>
            <w:r w:rsidRPr="000A0A5F">
              <w:rPr>
                <w:rFonts w:cs="Arial"/>
                <w:szCs w:val="18"/>
              </w:rPr>
              <w:t>"</w:t>
            </w:r>
            <w:r w:rsidRPr="000A0A5F">
              <w:t>Loss_of_connectivity_notification</w:t>
            </w:r>
            <w:r w:rsidRPr="000A0A5F">
              <w:rPr>
                <w:rFonts w:cs="Arial"/>
                <w:szCs w:val="18"/>
              </w:rPr>
              <w:t>"</w:t>
            </w:r>
            <w:r w:rsidRPr="000A0A5F">
              <w:rPr>
                <w:lang w:eastAsia="zh-CN"/>
              </w:rPr>
              <w:t xml:space="preserve"> feature support.</w:t>
            </w:r>
          </w:p>
        </w:tc>
        <w:tc>
          <w:tcPr>
            <w:tcW w:w="1243" w:type="dxa"/>
            <w:shd w:val="clear" w:color="auto" w:fill="auto"/>
          </w:tcPr>
          <w:p w:rsidR="00CB0DD7" w:rsidRPr="000A0A5F" w:rsidRDefault="00CB0DD7" w:rsidP="00705B0E">
            <w:pPr>
              <w:pStyle w:val="TAL"/>
            </w:pPr>
            <w:r w:rsidRPr="000A0A5F">
              <w:rPr>
                <w:lang w:eastAsia="zh-CN"/>
              </w:rPr>
              <w:t>Enhanced_param_config</w:t>
            </w:r>
          </w:p>
        </w:tc>
      </w:tr>
      <w:tr w:rsidR="00CB0DD7" w:rsidRPr="000A0A5F" w:rsidTr="00FF0AF8">
        <w:trPr>
          <w:trHeight w:val="523"/>
        </w:trPr>
        <w:tc>
          <w:tcPr>
            <w:tcW w:w="9574" w:type="dxa"/>
            <w:gridSpan w:val="5"/>
            <w:shd w:val="clear" w:color="auto" w:fill="auto"/>
          </w:tcPr>
          <w:p w:rsidR="00CB0DD7" w:rsidRPr="000A0A5F" w:rsidRDefault="00CB0DD7">
            <w:pPr>
              <w:pStyle w:val="TAN"/>
              <w:rPr>
                <w:lang w:eastAsia="zh-CN"/>
              </w:rPr>
            </w:pPr>
            <w:r w:rsidRPr="000A0A5F">
              <w:rPr>
                <w:lang w:eastAsia="zh-CN"/>
              </w:rPr>
              <w:t>NOTE:</w:t>
            </w:r>
            <w:r w:rsidRPr="000A0A5F">
              <w:rPr>
                <w:lang w:eastAsia="zh-CN"/>
              </w:rPr>
              <w:tab/>
              <w:t>Properties marked with a feature as defined in subclause 5.3.4 are applicable as described in subclause 5.2.7. If no features are indicated, the related property applies for all the features.</w:t>
            </w:r>
          </w:p>
        </w:tc>
      </w:tr>
    </w:tbl>
    <w:p w:rsidR="00CB0DD7" w:rsidRPr="000A0A5F" w:rsidRDefault="00CB0DD7"/>
    <w:p w:rsidR="00CB0DD7" w:rsidRPr="000A0A5F" w:rsidRDefault="00CB0DD7">
      <w:pPr>
        <w:pStyle w:val="Heading4"/>
      </w:pPr>
      <w:bookmarkStart w:id="1852" w:name="_Toc11247313"/>
      <w:bookmarkStart w:id="1853" w:name="_Toc27044433"/>
      <w:bookmarkStart w:id="1854" w:name="_Toc36033475"/>
      <w:bookmarkStart w:id="1855" w:name="_Toc45131607"/>
      <w:bookmarkStart w:id="1856" w:name="_Toc49775892"/>
      <w:bookmarkStart w:id="1857" w:name="_Toc51746812"/>
      <w:bookmarkStart w:id="1858" w:name="_Toc66360356"/>
      <w:bookmarkStart w:id="1859" w:name="_Toc68104861"/>
      <w:bookmarkStart w:id="1860" w:name="_Toc74755491"/>
      <w:bookmarkStart w:id="1861" w:name="_Toc105674352"/>
      <w:bookmarkStart w:id="1862" w:name="_Toc130502391"/>
      <w:bookmarkStart w:id="1863" w:name="_Toc153625173"/>
      <w:r w:rsidRPr="000A0A5F">
        <w:t>5.3.2.3</w:t>
      </w:r>
      <w:r w:rsidRPr="000A0A5F">
        <w:tab/>
        <w:t>Referenced structured data types</w:t>
      </w:r>
      <w:bookmarkEnd w:id="1852"/>
      <w:bookmarkEnd w:id="1853"/>
      <w:bookmarkEnd w:id="1854"/>
      <w:bookmarkEnd w:id="1855"/>
      <w:bookmarkEnd w:id="1856"/>
      <w:bookmarkEnd w:id="1857"/>
      <w:bookmarkEnd w:id="1858"/>
      <w:bookmarkEnd w:id="1859"/>
      <w:bookmarkEnd w:id="1860"/>
      <w:bookmarkEnd w:id="1861"/>
      <w:bookmarkEnd w:id="1862"/>
      <w:bookmarkEnd w:id="1863"/>
    </w:p>
    <w:p w:rsidR="00CB0DD7" w:rsidRPr="000A0A5F" w:rsidRDefault="00CB0DD7">
      <w:pPr>
        <w:pStyle w:val="Heading5"/>
      </w:pPr>
      <w:bookmarkStart w:id="1864" w:name="_Toc11247314"/>
      <w:bookmarkStart w:id="1865" w:name="_Toc27044434"/>
      <w:bookmarkStart w:id="1866" w:name="_Toc36033476"/>
      <w:bookmarkStart w:id="1867" w:name="_Toc45131608"/>
      <w:bookmarkStart w:id="1868" w:name="_Toc49775893"/>
      <w:bookmarkStart w:id="1869" w:name="_Toc51746813"/>
      <w:bookmarkStart w:id="1870" w:name="_Toc66360357"/>
      <w:bookmarkStart w:id="1871" w:name="_Toc68104862"/>
      <w:bookmarkStart w:id="1872" w:name="_Toc74755492"/>
      <w:bookmarkStart w:id="1873" w:name="_Toc105674353"/>
      <w:bookmarkStart w:id="1874" w:name="_Toc130502392"/>
      <w:bookmarkStart w:id="1875" w:name="_Toc153625174"/>
      <w:r w:rsidRPr="000A0A5F">
        <w:t>5.3.2.3.1</w:t>
      </w:r>
      <w:r w:rsidRPr="000A0A5F">
        <w:tab/>
        <w:t>Introduction</w:t>
      </w:r>
      <w:bookmarkEnd w:id="1864"/>
      <w:bookmarkEnd w:id="1865"/>
      <w:bookmarkEnd w:id="1866"/>
      <w:bookmarkEnd w:id="1867"/>
      <w:bookmarkEnd w:id="1868"/>
      <w:bookmarkEnd w:id="1869"/>
      <w:bookmarkEnd w:id="1870"/>
      <w:bookmarkEnd w:id="1871"/>
      <w:bookmarkEnd w:id="1872"/>
      <w:bookmarkEnd w:id="1873"/>
      <w:bookmarkEnd w:id="1874"/>
      <w:bookmarkEnd w:id="1875"/>
    </w:p>
    <w:p w:rsidR="00CB0DD7" w:rsidRPr="000A0A5F" w:rsidRDefault="00CB0DD7">
      <w:r w:rsidRPr="000A0A5F">
        <w:t>This clause defines structured data types that are referenced from data structures defined in the previous clauses.</w:t>
      </w:r>
    </w:p>
    <w:p w:rsidR="00CB0DD7" w:rsidRPr="000A0A5F" w:rsidRDefault="00CB0DD7">
      <w:pPr>
        <w:pStyle w:val="Heading5"/>
      </w:pPr>
      <w:bookmarkStart w:id="1876" w:name="_Toc11247315"/>
      <w:bookmarkStart w:id="1877" w:name="_Toc27044435"/>
      <w:bookmarkStart w:id="1878" w:name="_Toc36033477"/>
      <w:bookmarkStart w:id="1879" w:name="_Toc45131609"/>
      <w:bookmarkStart w:id="1880" w:name="_Toc49775894"/>
      <w:bookmarkStart w:id="1881" w:name="_Toc51746814"/>
      <w:bookmarkStart w:id="1882" w:name="_Toc66360358"/>
      <w:bookmarkStart w:id="1883" w:name="_Toc68104863"/>
      <w:bookmarkStart w:id="1884" w:name="_Toc74755493"/>
      <w:bookmarkStart w:id="1885" w:name="_Toc105674354"/>
      <w:bookmarkStart w:id="1886" w:name="_Toc130502393"/>
      <w:bookmarkStart w:id="1887" w:name="_Toc153625175"/>
      <w:r w:rsidRPr="000A0A5F">
        <w:t>5.3.2.3.2</w:t>
      </w:r>
      <w:r w:rsidRPr="000A0A5F">
        <w:tab/>
        <w:t>Type: MonitoringEventReport</w:t>
      </w:r>
      <w:bookmarkEnd w:id="1876"/>
      <w:bookmarkEnd w:id="1877"/>
      <w:bookmarkEnd w:id="1878"/>
      <w:bookmarkEnd w:id="1879"/>
      <w:bookmarkEnd w:id="1880"/>
      <w:bookmarkEnd w:id="1881"/>
      <w:bookmarkEnd w:id="1882"/>
      <w:bookmarkEnd w:id="1883"/>
      <w:bookmarkEnd w:id="1884"/>
      <w:bookmarkEnd w:id="1885"/>
      <w:bookmarkEnd w:id="1886"/>
      <w:bookmarkEnd w:id="1887"/>
    </w:p>
    <w:p w:rsidR="00CB0DD7" w:rsidRPr="000A0A5F" w:rsidRDefault="00CB0DD7">
      <w:r w:rsidRPr="000A0A5F">
        <w:t xml:space="preserve">This data type represents a monitoring event notification which is sent from the SCEF to the SCS/AS. </w:t>
      </w:r>
    </w:p>
    <w:p w:rsidR="00CB0DD7" w:rsidRPr="000A0A5F" w:rsidRDefault="00CB0DD7">
      <w:pPr>
        <w:pStyle w:val="TH"/>
      </w:pPr>
      <w:r w:rsidRPr="000A0A5F">
        <w:rPr>
          <w:noProof/>
        </w:rPr>
        <w:t>Table </w:t>
      </w:r>
      <w:r w:rsidRPr="000A0A5F">
        <w:t xml:space="preserve">5.3.2.3.2-1: </w:t>
      </w:r>
      <w:r w:rsidRPr="000A0A5F">
        <w:rPr>
          <w:noProof/>
        </w:rPr>
        <w:t xml:space="preserve">Definition of type </w:t>
      </w:r>
      <w:r w:rsidRPr="000A0A5F">
        <w:t>MonitoringEventReport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36"/>
        <w:gridCol w:w="1912"/>
        <w:gridCol w:w="36"/>
        <w:gridCol w:w="2090"/>
        <w:gridCol w:w="36"/>
        <w:gridCol w:w="1240"/>
        <w:gridCol w:w="36"/>
        <w:gridCol w:w="2959"/>
        <w:gridCol w:w="36"/>
        <w:gridCol w:w="1221"/>
        <w:gridCol w:w="36"/>
      </w:tblGrid>
      <w:tr w:rsidR="00CB0DD7" w:rsidRPr="000A0A5F" w:rsidTr="00675CD5">
        <w:trPr>
          <w:gridAfter w:val="1"/>
          <w:wAfter w:w="36" w:type="dxa"/>
          <w:jc w:val="center"/>
        </w:trPr>
        <w:tc>
          <w:tcPr>
            <w:tcW w:w="1948" w:type="dxa"/>
            <w:gridSpan w:val="2"/>
            <w:shd w:val="clear" w:color="auto" w:fill="C0C0C0"/>
          </w:tcPr>
          <w:p w:rsidR="00CB0DD7" w:rsidRPr="000A0A5F" w:rsidRDefault="00CB0DD7">
            <w:pPr>
              <w:pStyle w:val="TAH"/>
              <w:rPr>
                <w:rFonts w:eastAsia="Times New Roman"/>
              </w:rPr>
            </w:pPr>
            <w:r w:rsidRPr="000A0A5F">
              <w:rPr>
                <w:rFonts w:eastAsia="Times New Roman"/>
              </w:rPr>
              <w:t>Attribute name</w:t>
            </w:r>
          </w:p>
        </w:tc>
        <w:tc>
          <w:tcPr>
            <w:tcW w:w="2126" w:type="dxa"/>
            <w:gridSpan w:val="2"/>
            <w:shd w:val="clear" w:color="auto" w:fill="C0C0C0"/>
          </w:tcPr>
          <w:p w:rsidR="00CB0DD7" w:rsidRPr="000A0A5F" w:rsidRDefault="00CB0DD7">
            <w:pPr>
              <w:pStyle w:val="TAH"/>
              <w:rPr>
                <w:rFonts w:eastAsia="Times New Roman"/>
              </w:rPr>
            </w:pPr>
            <w:r w:rsidRPr="000A0A5F">
              <w:rPr>
                <w:rFonts w:eastAsia="Times New Roman"/>
              </w:rPr>
              <w:t>Data type</w:t>
            </w:r>
          </w:p>
        </w:tc>
        <w:tc>
          <w:tcPr>
            <w:tcW w:w="1276" w:type="dxa"/>
            <w:gridSpan w:val="2"/>
            <w:shd w:val="clear" w:color="auto" w:fill="C0C0C0"/>
          </w:tcPr>
          <w:p w:rsidR="00CB0DD7" w:rsidRPr="000A0A5F" w:rsidRDefault="00CB0DD7">
            <w:pPr>
              <w:pStyle w:val="TAH"/>
              <w:jc w:val="left"/>
              <w:rPr>
                <w:rFonts w:eastAsia="Times New Roman"/>
              </w:rPr>
            </w:pPr>
            <w:r w:rsidRPr="000A0A5F">
              <w:rPr>
                <w:rFonts w:eastAsia="Times New Roman"/>
              </w:rPr>
              <w:t>Cardinality</w:t>
            </w:r>
          </w:p>
        </w:tc>
        <w:tc>
          <w:tcPr>
            <w:tcW w:w="2995" w:type="dxa"/>
            <w:gridSpan w:val="2"/>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Description</w:t>
            </w:r>
          </w:p>
        </w:tc>
        <w:tc>
          <w:tcPr>
            <w:tcW w:w="1257" w:type="dxa"/>
            <w:gridSpan w:val="2"/>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Applicability (NOTE 1)</w:t>
            </w:r>
          </w:p>
        </w:tc>
      </w:tr>
      <w:tr w:rsidR="00CB0DD7" w:rsidRPr="000A0A5F" w:rsidTr="00675CD5">
        <w:trPr>
          <w:gridAfter w:val="1"/>
          <w:wAfter w:w="36" w:type="dxa"/>
          <w:jc w:val="center"/>
        </w:trPr>
        <w:tc>
          <w:tcPr>
            <w:tcW w:w="1948" w:type="dxa"/>
            <w:gridSpan w:val="2"/>
            <w:shd w:val="clear" w:color="auto" w:fill="auto"/>
            <w:vAlign w:val="center"/>
          </w:tcPr>
          <w:p w:rsidR="00CB0DD7" w:rsidRPr="000A0A5F" w:rsidRDefault="00CB0DD7" w:rsidP="006A354A">
            <w:pPr>
              <w:pStyle w:val="TAH"/>
              <w:jc w:val="left"/>
              <w:rPr>
                <w:rFonts w:eastAsia="Times New Roman"/>
              </w:rPr>
            </w:pPr>
            <w:r w:rsidRPr="000A0A5F">
              <w:rPr>
                <w:b w:val="0"/>
                <w:lang w:eastAsia="zh-CN"/>
              </w:rPr>
              <w:t>imeiChange</w:t>
            </w:r>
          </w:p>
        </w:tc>
        <w:tc>
          <w:tcPr>
            <w:tcW w:w="2126" w:type="dxa"/>
            <w:gridSpan w:val="2"/>
            <w:shd w:val="clear" w:color="auto" w:fill="auto"/>
            <w:vAlign w:val="center"/>
          </w:tcPr>
          <w:p w:rsidR="00CB0DD7" w:rsidRPr="000A0A5F" w:rsidRDefault="00CB0DD7" w:rsidP="007E19C5">
            <w:pPr>
              <w:pStyle w:val="TAH"/>
              <w:jc w:val="left"/>
              <w:rPr>
                <w:rFonts w:eastAsia="Times New Roman"/>
              </w:rPr>
            </w:pPr>
            <w:r w:rsidRPr="000A0A5F">
              <w:rPr>
                <w:b w:val="0"/>
                <w:lang w:eastAsia="zh-CN"/>
              </w:rPr>
              <w:t>AssociationType</w:t>
            </w:r>
          </w:p>
        </w:tc>
        <w:tc>
          <w:tcPr>
            <w:tcW w:w="1276" w:type="dxa"/>
            <w:gridSpan w:val="2"/>
            <w:shd w:val="clear" w:color="auto" w:fill="auto"/>
            <w:vAlign w:val="center"/>
          </w:tcPr>
          <w:p w:rsidR="00CB0DD7" w:rsidRPr="000A0A5F" w:rsidRDefault="00CB0DD7" w:rsidP="007E19C5">
            <w:pPr>
              <w:pStyle w:val="TAH"/>
              <w:jc w:val="left"/>
              <w:rPr>
                <w:rFonts w:eastAsia="Times New Roman"/>
              </w:rPr>
            </w:pPr>
            <w:r w:rsidRPr="000A0A5F">
              <w:rPr>
                <w:rFonts w:hint="eastAsia"/>
                <w:b w:val="0"/>
                <w:lang w:eastAsia="zh-CN"/>
              </w:rPr>
              <w:t>0..1</w:t>
            </w:r>
          </w:p>
        </w:tc>
        <w:tc>
          <w:tcPr>
            <w:tcW w:w="2995" w:type="dxa"/>
            <w:gridSpan w:val="2"/>
            <w:shd w:val="clear" w:color="auto" w:fill="auto"/>
            <w:vAlign w:val="center"/>
          </w:tcPr>
          <w:p w:rsidR="00CB0DD7" w:rsidRPr="000A0A5F" w:rsidRDefault="00CB0DD7" w:rsidP="00495B91">
            <w:pPr>
              <w:pStyle w:val="TAH"/>
              <w:spacing w:afterLines="50" w:after="120"/>
              <w:jc w:val="left"/>
              <w:rPr>
                <w:b w:val="0"/>
                <w:lang w:eastAsia="zh-CN"/>
              </w:rPr>
            </w:pPr>
            <w:r w:rsidRPr="000A0A5F">
              <w:rPr>
                <w:b w:val="0"/>
                <w:lang w:eastAsia="zh-CN"/>
              </w:rPr>
              <w:t xml:space="preserve">If "monitoringType" is "CHANGE_OF_IMSI_IMEI_ASSOCIATION", </w:t>
            </w:r>
            <w:r w:rsidRPr="000A0A5F">
              <w:rPr>
                <w:rFonts w:eastAsia="Batang"/>
                <w:b w:val="0"/>
                <w:lang w:eastAsia="zh-CN"/>
              </w:rPr>
              <w:t>this parameter shall be included to</w:t>
            </w:r>
            <w:r w:rsidRPr="000A0A5F">
              <w:rPr>
                <w:rFonts w:hint="eastAsia"/>
                <w:b w:val="0"/>
                <w:lang w:eastAsia="zh-CN"/>
              </w:rPr>
              <w:t xml:space="preserve"> identify</w:t>
            </w:r>
            <w:r w:rsidRPr="000A0A5F">
              <w:rPr>
                <w:b w:val="0"/>
                <w:lang w:eastAsia="zh-CN"/>
              </w:rPr>
              <w:t xml:space="preserve"> the event of change of IMSI-IMEI or IMSI-IMEISV association is detected.</w:t>
            </w:r>
          </w:p>
          <w:p w:rsidR="00CB0DD7" w:rsidRPr="000A0A5F" w:rsidRDefault="00CB0DD7" w:rsidP="0082034F">
            <w:pPr>
              <w:pStyle w:val="TAH"/>
              <w:jc w:val="left"/>
              <w:rPr>
                <w:rFonts w:eastAsia="Times New Roman" w:cs="Arial"/>
                <w:szCs w:val="18"/>
              </w:rPr>
            </w:pPr>
            <w:r w:rsidRPr="000A0A5F">
              <w:rPr>
                <w:b w:val="0"/>
                <w:lang w:eastAsia="zh-CN"/>
              </w:rPr>
              <w:t>Refer to 3GPP TS 29.336</w:t>
            </w:r>
            <w:r w:rsidRPr="000A0A5F">
              <w:rPr>
                <w:b w:val="0"/>
                <w:lang w:val="en-US" w:eastAsia="zh-CN"/>
              </w:rPr>
              <w:t> [11]</w:t>
            </w:r>
            <w:r w:rsidRPr="000A0A5F">
              <w:rPr>
                <w:b w:val="0"/>
                <w:lang w:eastAsia="zh-CN"/>
              </w:rPr>
              <w:t xml:space="preserve"> </w:t>
            </w:r>
            <w:r w:rsidR="00675CD5" w:rsidRPr="000A0A5F">
              <w:rPr>
                <w:b w:val="0"/>
                <w:lang w:eastAsia="zh-CN"/>
              </w:rPr>
              <w:t>Clause </w:t>
            </w:r>
            <w:r w:rsidRPr="000A0A5F">
              <w:rPr>
                <w:b w:val="0"/>
                <w:lang w:eastAsia="zh-CN"/>
              </w:rPr>
              <w:t>8.4.22.</w:t>
            </w:r>
          </w:p>
        </w:tc>
        <w:tc>
          <w:tcPr>
            <w:tcW w:w="1257" w:type="dxa"/>
            <w:gridSpan w:val="2"/>
            <w:shd w:val="clear" w:color="auto" w:fill="auto"/>
            <w:vAlign w:val="center"/>
          </w:tcPr>
          <w:p w:rsidR="00CB0DD7" w:rsidRPr="000A0A5F" w:rsidRDefault="00CB0DD7" w:rsidP="0082034F">
            <w:pPr>
              <w:pStyle w:val="TAH"/>
              <w:jc w:val="left"/>
              <w:rPr>
                <w:rFonts w:eastAsia="Times New Roman" w:cs="Arial"/>
                <w:szCs w:val="18"/>
              </w:rPr>
            </w:pPr>
            <w:r w:rsidRPr="000A0A5F">
              <w:rPr>
                <w:b w:val="0"/>
                <w:lang w:eastAsia="zh-CN"/>
              </w:rPr>
              <w:t>Change_of_IMSI_IMEI_association_notification</w:t>
            </w:r>
          </w:p>
        </w:tc>
      </w:tr>
      <w:tr w:rsidR="00CB0DD7" w:rsidRPr="000A0A5F" w:rsidTr="00675CD5">
        <w:trPr>
          <w:gridAfter w:val="1"/>
          <w:wAfter w:w="36" w:type="dxa"/>
          <w:jc w:val="center"/>
        </w:trPr>
        <w:tc>
          <w:tcPr>
            <w:tcW w:w="1948" w:type="dxa"/>
            <w:gridSpan w:val="2"/>
            <w:shd w:val="clear" w:color="auto" w:fill="auto"/>
            <w:vAlign w:val="center"/>
          </w:tcPr>
          <w:p w:rsidR="00CB0DD7" w:rsidRPr="000A0A5F" w:rsidRDefault="00CB0DD7" w:rsidP="006A354A">
            <w:pPr>
              <w:pStyle w:val="TAL"/>
              <w:rPr>
                <w:rFonts w:eastAsia="Times New Roman"/>
              </w:rPr>
            </w:pPr>
            <w:r w:rsidRPr="000A0A5F">
              <w:rPr>
                <w:lang w:eastAsia="zh-CN"/>
              </w:rPr>
              <w:t>e</w:t>
            </w:r>
            <w:r w:rsidRPr="000A0A5F">
              <w:rPr>
                <w:rFonts w:hint="eastAsia"/>
                <w:lang w:eastAsia="zh-CN"/>
              </w:rPr>
              <w:t>xternalId</w:t>
            </w:r>
          </w:p>
        </w:tc>
        <w:tc>
          <w:tcPr>
            <w:tcW w:w="2126" w:type="dxa"/>
            <w:gridSpan w:val="2"/>
            <w:shd w:val="clear" w:color="auto" w:fill="auto"/>
            <w:vAlign w:val="center"/>
          </w:tcPr>
          <w:p w:rsidR="00CB0DD7" w:rsidRPr="000A0A5F" w:rsidRDefault="00CB0DD7" w:rsidP="007E19C5">
            <w:pPr>
              <w:pStyle w:val="TAL"/>
              <w:rPr>
                <w:rFonts w:eastAsia="Times New Roman"/>
              </w:rPr>
            </w:pPr>
            <w:r w:rsidRPr="000A0A5F">
              <w:rPr>
                <w:rFonts w:eastAsia="Times New Roman"/>
              </w:rPr>
              <w:t>ExternalId</w:t>
            </w:r>
          </w:p>
        </w:tc>
        <w:tc>
          <w:tcPr>
            <w:tcW w:w="1276" w:type="dxa"/>
            <w:gridSpan w:val="2"/>
            <w:shd w:val="clear" w:color="auto" w:fill="auto"/>
            <w:vAlign w:val="center"/>
          </w:tcPr>
          <w:p w:rsidR="00CB0DD7" w:rsidRPr="000A0A5F" w:rsidRDefault="00CB0DD7" w:rsidP="007E19C5">
            <w:pPr>
              <w:pStyle w:val="TAL"/>
              <w:rPr>
                <w:rFonts w:eastAsia="Times New Roman"/>
              </w:rPr>
            </w:pPr>
            <w:r w:rsidRPr="000A0A5F">
              <w:rPr>
                <w:rFonts w:eastAsia="Times New Roman"/>
              </w:rPr>
              <w:t>0..1</w:t>
            </w:r>
          </w:p>
        </w:tc>
        <w:tc>
          <w:tcPr>
            <w:tcW w:w="2995" w:type="dxa"/>
            <w:gridSpan w:val="2"/>
            <w:shd w:val="clear" w:color="auto" w:fill="auto"/>
            <w:vAlign w:val="center"/>
          </w:tcPr>
          <w:p w:rsidR="00C520FB" w:rsidRPr="000A0A5F" w:rsidRDefault="00C520FB" w:rsidP="00C520FB">
            <w:pPr>
              <w:pStyle w:val="TAL"/>
              <w:spacing w:after="60"/>
              <w:rPr>
                <w:rFonts w:eastAsia="Times New Roman"/>
              </w:rPr>
            </w:pPr>
            <w:r w:rsidRPr="000A0A5F">
              <w:rPr>
                <w:rFonts w:eastAsia="Times New Roman"/>
              </w:rPr>
              <w:t>External identifier.</w:t>
            </w:r>
          </w:p>
          <w:p w:rsidR="00C520FB" w:rsidRPr="000A0A5F" w:rsidRDefault="00C520FB" w:rsidP="00C520FB">
            <w:pPr>
              <w:pStyle w:val="TAL"/>
              <w:rPr>
                <w:rFonts w:eastAsia="Times New Roman" w:cs="Arial"/>
                <w:szCs w:val="18"/>
              </w:rPr>
            </w:pPr>
            <w:r w:rsidRPr="000A0A5F">
              <w:rPr>
                <w:rFonts w:eastAsia="Times New Roman" w:cs="Arial"/>
                <w:szCs w:val="18"/>
              </w:rPr>
              <w:t>This attribute may also be present in the monitoring event subscription one-time response message, if the "</w:t>
            </w:r>
            <w:r w:rsidRPr="000A0A5F">
              <w:t>UEId_retrieval" feature is supported and the corresponding request message includes the "ueIpAddr" attribute or the "ueMacAddr" attribute</w:t>
            </w:r>
            <w:r w:rsidRPr="000A0A5F">
              <w:rPr>
                <w:rFonts w:eastAsia="Times New Roman" w:cs="Arial"/>
                <w:szCs w:val="18"/>
              </w:rPr>
              <w:t>.</w:t>
            </w:r>
          </w:p>
          <w:p w:rsidR="00CB0DD7" w:rsidRPr="000A0A5F" w:rsidRDefault="00C520FB" w:rsidP="00C520FB">
            <w:pPr>
              <w:pStyle w:val="TAL"/>
              <w:rPr>
                <w:rFonts w:eastAsia="Times New Roman" w:cs="Arial"/>
                <w:szCs w:val="18"/>
              </w:rPr>
            </w:pPr>
            <w:r w:rsidRPr="000A0A5F">
              <w:rPr>
                <w:rFonts w:eastAsia="Times New Roman"/>
              </w:rPr>
              <w:t>(NOTE 2)</w:t>
            </w:r>
          </w:p>
        </w:tc>
        <w:tc>
          <w:tcPr>
            <w:tcW w:w="1257" w:type="dxa"/>
            <w:gridSpan w:val="2"/>
            <w:vAlign w:val="center"/>
          </w:tcPr>
          <w:p w:rsidR="00CB0DD7" w:rsidRPr="000A0A5F" w:rsidRDefault="00CB0DD7" w:rsidP="0082034F">
            <w:pPr>
              <w:pStyle w:val="TAL"/>
              <w:rPr>
                <w:rFonts w:eastAsia="Times New Roman" w:cs="Arial"/>
                <w:szCs w:val="18"/>
              </w:rPr>
            </w:pPr>
          </w:p>
        </w:tc>
      </w:tr>
      <w:tr w:rsidR="008F09E4" w:rsidRPr="000A0A5F" w:rsidTr="00675CD5">
        <w:trPr>
          <w:gridAfter w:val="1"/>
          <w:wAfter w:w="36" w:type="dxa"/>
          <w:jc w:val="center"/>
        </w:trPr>
        <w:tc>
          <w:tcPr>
            <w:tcW w:w="1948" w:type="dxa"/>
            <w:gridSpan w:val="2"/>
            <w:shd w:val="clear" w:color="auto" w:fill="auto"/>
            <w:vAlign w:val="center"/>
          </w:tcPr>
          <w:p w:rsidR="008F09E4" w:rsidRPr="000A0A5F" w:rsidRDefault="008F09E4" w:rsidP="008F09E4">
            <w:pPr>
              <w:pStyle w:val="TAL"/>
              <w:rPr>
                <w:lang w:eastAsia="zh-CN"/>
              </w:rPr>
            </w:pPr>
            <w:r w:rsidRPr="000A0A5F">
              <w:rPr>
                <w:lang w:eastAsia="zh-CN"/>
              </w:rPr>
              <w:t>appId</w:t>
            </w:r>
          </w:p>
        </w:tc>
        <w:tc>
          <w:tcPr>
            <w:tcW w:w="2126" w:type="dxa"/>
            <w:gridSpan w:val="2"/>
            <w:shd w:val="clear" w:color="auto" w:fill="auto"/>
            <w:vAlign w:val="center"/>
          </w:tcPr>
          <w:p w:rsidR="008F09E4" w:rsidRPr="000A0A5F" w:rsidRDefault="008F09E4" w:rsidP="008F09E4">
            <w:pPr>
              <w:pStyle w:val="TAL"/>
              <w:rPr>
                <w:rFonts w:eastAsia="Times New Roman"/>
              </w:rPr>
            </w:pPr>
            <w:r w:rsidRPr="000A0A5F">
              <w:t>string</w:t>
            </w:r>
          </w:p>
        </w:tc>
        <w:tc>
          <w:tcPr>
            <w:tcW w:w="1276" w:type="dxa"/>
            <w:gridSpan w:val="2"/>
            <w:shd w:val="clear" w:color="auto" w:fill="auto"/>
            <w:vAlign w:val="center"/>
          </w:tcPr>
          <w:p w:rsidR="008F09E4" w:rsidRPr="000A0A5F" w:rsidRDefault="008F09E4" w:rsidP="008F09E4">
            <w:pPr>
              <w:pStyle w:val="TAL"/>
              <w:rPr>
                <w:rFonts w:eastAsia="Times New Roman"/>
              </w:rPr>
            </w:pPr>
            <w:r w:rsidRPr="000A0A5F">
              <w:t>0..1</w:t>
            </w:r>
          </w:p>
        </w:tc>
        <w:tc>
          <w:tcPr>
            <w:tcW w:w="2995" w:type="dxa"/>
            <w:gridSpan w:val="2"/>
            <w:shd w:val="clear" w:color="auto" w:fill="auto"/>
            <w:vAlign w:val="center"/>
          </w:tcPr>
          <w:p w:rsidR="008F09E4" w:rsidRPr="000A0A5F" w:rsidRDefault="008F09E4" w:rsidP="008F09E4">
            <w:pPr>
              <w:pStyle w:val="TAL"/>
              <w:spacing w:after="60"/>
              <w:rPr>
                <w:rFonts w:eastAsia="Times New Roman"/>
              </w:rPr>
            </w:pPr>
            <w:r w:rsidRPr="000A0A5F">
              <w:t>Represents the detected application.</w:t>
            </w:r>
          </w:p>
        </w:tc>
        <w:tc>
          <w:tcPr>
            <w:tcW w:w="1257" w:type="dxa"/>
            <w:gridSpan w:val="2"/>
            <w:vAlign w:val="center"/>
          </w:tcPr>
          <w:p w:rsidR="008F09E4" w:rsidRPr="000A0A5F" w:rsidRDefault="008F09E4" w:rsidP="008F09E4">
            <w:pPr>
              <w:pStyle w:val="TAL"/>
              <w:rPr>
                <w:rFonts w:eastAsia="Times New Roman" w:cs="Arial"/>
                <w:szCs w:val="18"/>
              </w:rPr>
            </w:pPr>
            <w:r w:rsidRPr="000A0A5F">
              <w:rPr>
                <w:rFonts w:cs="Arial"/>
                <w:szCs w:val="18"/>
              </w:rPr>
              <w:t>AppDetection_5G</w:t>
            </w:r>
          </w:p>
        </w:tc>
      </w:tr>
      <w:tr w:rsidR="008F09E4" w:rsidRPr="000A0A5F" w:rsidTr="00675CD5">
        <w:trPr>
          <w:gridAfter w:val="1"/>
          <w:wAfter w:w="36" w:type="dxa"/>
          <w:jc w:val="center"/>
        </w:trPr>
        <w:tc>
          <w:tcPr>
            <w:tcW w:w="1948" w:type="dxa"/>
            <w:gridSpan w:val="2"/>
            <w:shd w:val="clear" w:color="auto" w:fill="auto"/>
            <w:vAlign w:val="center"/>
          </w:tcPr>
          <w:p w:rsidR="008F09E4" w:rsidRPr="000A0A5F" w:rsidRDefault="008F09E4" w:rsidP="008F09E4">
            <w:pPr>
              <w:pStyle w:val="TAL"/>
              <w:rPr>
                <w:lang w:eastAsia="zh-CN"/>
              </w:rPr>
            </w:pPr>
            <w:r w:rsidRPr="000A0A5F">
              <w:rPr>
                <w:lang w:eastAsia="zh-CN"/>
              </w:rPr>
              <w:t>pduSess</w:t>
            </w:r>
            <w:r w:rsidRPr="000A0A5F">
              <w:rPr>
                <w:rFonts w:eastAsia="Times New Roman"/>
                <w:lang w:eastAsia="zh-CN"/>
              </w:rPr>
              <w:t>Info</w:t>
            </w:r>
          </w:p>
        </w:tc>
        <w:tc>
          <w:tcPr>
            <w:tcW w:w="2126" w:type="dxa"/>
            <w:gridSpan w:val="2"/>
            <w:shd w:val="clear" w:color="auto" w:fill="auto"/>
            <w:vAlign w:val="center"/>
          </w:tcPr>
          <w:p w:rsidR="008F09E4" w:rsidRPr="000A0A5F" w:rsidRDefault="008F09E4" w:rsidP="008F09E4">
            <w:pPr>
              <w:pStyle w:val="TAL"/>
              <w:rPr>
                <w:rFonts w:eastAsia="Times New Roman"/>
              </w:rPr>
            </w:pPr>
            <w:r w:rsidRPr="000A0A5F">
              <w:t>PduSessionInformation</w:t>
            </w:r>
          </w:p>
        </w:tc>
        <w:tc>
          <w:tcPr>
            <w:tcW w:w="1276" w:type="dxa"/>
            <w:gridSpan w:val="2"/>
            <w:shd w:val="clear" w:color="auto" w:fill="auto"/>
            <w:vAlign w:val="center"/>
          </w:tcPr>
          <w:p w:rsidR="008F09E4" w:rsidRPr="000A0A5F" w:rsidRDefault="008F09E4" w:rsidP="008F09E4">
            <w:pPr>
              <w:pStyle w:val="TAL"/>
              <w:rPr>
                <w:rFonts w:eastAsia="Times New Roman"/>
              </w:rPr>
            </w:pPr>
            <w:r w:rsidRPr="000A0A5F">
              <w:t>0..1</w:t>
            </w:r>
          </w:p>
        </w:tc>
        <w:tc>
          <w:tcPr>
            <w:tcW w:w="2995" w:type="dxa"/>
            <w:gridSpan w:val="2"/>
            <w:shd w:val="clear" w:color="auto" w:fill="auto"/>
            <w:vAlign w:val="center"/>
          </w:tcPr>
          <w:p w:rsidR="00AB426E" w:rsidRPr="000A0A5F" w:rsidRDefault="00AB426E" w:rsidP="00AB426E">
            <w:pPr>
              <w:pStyle w:val="TAL"/>
              <w:spacing w:after="60"/>
            </w:pPr>
            <w:r w:rsidRPr="000A0A5F">
              <w:t>Represents PDU session information related to the observed event.</w:t>
            </w:r>
          </w:p>
          <w:p w:rsidR="008F09E4" w:rsidRPr="000A0A5F" w:rsidRDefault="00AB426E" w:rsidP="00AB426E">
            <w:pPr>
              <w:pStyle w:val="TAL"/>
              <w:spacing w:after="60"/>
              <w:rPr>
                <w:rFonts w:eastAsia="Times New Roman"/>
              </w:rPr>
            </w:pPr>
            <w:r w:rsidRPr="000A0A5F">
              <w:t>If "monitoringType" is "APPLICATION_START" and/or "APPLICATION_STOP", this parameter may be included to indicate the Application traffic detection details.</w:t>
            </w:r>
          </w:p>
        </w:tc>
        <w:tc>
          <w:tcPr>
            <w:tcW w:w="1257" w:type="dxa"/>
            <w:gridSpan w:val="2"/>
            <w:vAlign w:val="center"/>
          </w:tcPr>
          <w:p w:rsidR="008F09E4" w:rsidRPr="000A0A5F" w:rsidRDefault="008F09E4" w:rsidP="008F09E4">
            <w:pPr>
              <w:pStyle w:val="TAL"/>
              <w:rPr>
                <w:rFonts w:eastAsia="Times New Roman" w:cs="Arial"/>
                <w:szCs w:val="18"/>
              </w:rPr>
            </w:pPr>
            <w:r w:rsidRPr="000A0A5F">
              <w:rPr>
                <w:rFonts w:cs="Arial"/>
                <w:szCs w:val="18"/>
              </w:rPr>
              <w:t>AppDetection_5G</w:t>
            </w:r>
          </w:p>
        </w:tc>
      </w:tr>
      <w:tr w:rsidR="008F09E4" w:rsidRPr="000A0A5F" w:rsidTr="00675CD5">
        <w:trPr>
          <w:gridAfter w:val="1"/>
          <w:wAfter w:w="36" w:type="dxa"/>
          <w:jc w:val="center"/>
        </w:trPr>
        <w:tc>
          <w:tcPr>
            <w:tcW w:w="1948" w:type="dxa"/>
            <w:gridSpan w:val="2"/>
            <w:shd w:val="clear" w:color="auto" w:fill="auto"/>
            <w:vAlign w:val="center"/>
          </w:tcPr>
          <w:p w:rsidR="008F09E4" w:rsidRPr="000A0A5F" w:rsidRDefault="008F09E4" w:rsidP="008F09E4">
            <w:pPr>
              <w:pStyle w:val="TAL"/>
              <w:rPr>
                <w:lang w:eastAsia="zh-CN"/>
              </w:rPr>
            </w:pPr>
            <w:r w:rsidRPr="000A0A5F">
              <w:rPr>
                <w:lang w:val="en-US" w:eastAsia="zh-CN"/>
              </w:rPr>
              <w:t>idleStatusInfo</w:t>
            </w:r>
          </w:p>
        </w:tc>
        <w:tc>
          <w:tcPr>
            <w:tcW w:w="2126" w:type="dxa"/>
            <w:gridSpan w:val="2"/>
            <w:shd w:val="clear" w:color="auto" w:fill="auto"/>
            <w:vAlign w:val="center"/>
          </w:tcPr>
          <w:p w:rsidR="008F09E4" w:rsidRPr="000A0A5F" w:rsidRDefault="008F09E4" w:rsidP="008F09E4">
            <w:pPr>
              <w:pStyle w:val="TAL"/>
              <w:rPr>
                <w:rFonts w:eastAsia="Times New Roman"/>
              </w:rPr>
            </w:pPr>
            <w:r w:rsidRPr="000A0A5F">
              <w:rPr>
                <w:rFonts w:hint="eastAsia"/>
                <w:lang w:eastAsia="zh-CN"/>
              </w:rPr>
              <w:t>IdleStatusInfo</w:t>
            </w:r>
          </w:p>
        </w:tc>
        <w:tc>
          <w:tcPr>
            <w:tcW w:w="1276" w:type="dxa"/>
            <w:gridSpan w:val="2"/>
            <w:shd w:val="clear" w:color="auto" w:fill="auto"/>
            <w:vAlign w:val="center"/>
          </w:tcPr>
          <w:p w:rsidR="008F09E4" w:rsidRPr="000A0A5F" w:rsidRDefault="008F09E4" w:rsidP="008F09E4">
            <w:pPr>
              <w:pStyle w:val="TAL"/>
              <w:rPr>
                <w:rFonts w:eastAsia="Times New Roman"/>
              </w:rPr>
            </w:pPr>
            <w:r w:rsidRPr="000A0A5F">
              <w:rPr>
                <w:rFonts w:hint="eastAsia"/>
                <w:lang w:eastAsia="zh-CN"/>
              </w:rPr>
              <w:t>0..1</w:t>
            </w:r>
          </w:p>
        </w:tc>
        <w:tc>
          <w:tcPr>
            <w:tcW w:w="2995" w:type="dxa"/>
            <w:gridSpan w:val="2"/>
            <w:shd w:val="clear" w:color="auto" w:fill="auto"/>
            <w:vAlign w:val="center"/>
          </w:tcPr>
          <w:p w:rsidR="008F09E4" w:rsidRPr="000A0A5F" w:rsidRDefault="008F09E4" w:rsidP="008F09E4">
            <w:pPr>
              <w:pStyle w:val="TAL"/>
              <w:rPr>
                <w:rFonts w:eastAsia="Times New Roman"/>
              </w:rPr>
            </w:pPr>
            <w:r w:rsidRPr="000A0A5F">
              <w:rPr>
                <w:lang w:eastAsia="zh-CN"/>
              </w:rPr>
              <w:t>I</w:t>
            </w:r>
            <w:r w:rsidRPr="000A0A5F">
              <w:rPr>
                <w:rFonts w:hint="eastAsia"/>
                <w:lang w:eastAsia="zh-CN"/>
              </w:rPr>
              <w:t xml:space="preserve">f </w:t>
            </w:r>
            <w:r w:rsidRPr="000A0A5F">
              <w:rPr>
                <w:lang w:eastAsia="zh-CN"/>
              </w:rPr>
              <w:t>"</w:t>
            </w:r>
            <w:r w:rsidRPr="000A0A5F">
              <w:rPr>
                <w:rFonts w:hint="eastAsia"/>
                <w:lang w:eastAsia="zh-CN"/>
              </w:rPr>
              <w:t>idleStatusIndication</w:t>
            </w:r>
            <w:r w:rsidRPr="000A0A5F">
              <w:rPr>
                <w:lang w:eastAsia="zh-CN"/>
              </w:rPr>
              <w:t>" in the "</w:t>
            </w:r>
            <w:r w:rsidRPr="000A0A5F">
              <w:t>MonitoringEventSubscription</w:t>
            </w:r>
            <w:r w:rsidRPr="000A0A5F">
              <w:rPr>
                <w:lang w:eastAsia="zh-CN"/>
              </w:rPr>
              <w:t xml:space="preserve">"sets to "true", </w:t>
            </w:r>
            <w:r w:rsidRPr="000A0A5F">
              <w:rPr>
                <w:rFonts w:cs="Arial"/>
                <w:szCs w:val="18"/>
                <w:lang w:eastAsia="zh-CN"/>
              </w:rPr>
              <w:t>this parameter shall be included to indicate the information when the UE transitions into idle mode.</w:t>
            </w:r>
          </w:p>
        </w:tc>
        <w:tc>
          <w:tcPr>
            <w:tcW w:w="1257" w:type="dxa"/>
            <w:gridSpan w:val="2"/>
            <w:vAlign w:val="center"/>
          </w:tcPr>
          <w:p w:rsidR="008F09E4" w:rsidRPr="000A0A5F" w:rsidRDefault="008F09E4" w:rsidP="008F09E4">
            <w:pPr>
              <w:pStyle w:val="TAL"/>
            </w:pPr>
            <w:r w:rsidRPr="000A0A5F">
              <w:t>Ue-reachability_notification,</w:t>
            </w:r>
          </w:p>
          <w:p w:rsidR="008F09E4" w:rsidRPr="000A0A5F" w:rsidRDefault="008F09E4" w:rsidP="008F09E4">
            <w:pPr>
              <w:pStyle w:val="TAL"/>
              <w:rPr>
                <w:rFonts w:eastAsia="Times New Roman" w:cs="Arial"/>
                <w:szCs w:val="18"/>
              </w:rPr>
            </w:pPr>
            <w:r w:rsidRPr="000A0A5F">
              <w:t>Availability_after_DDN_failure_notification</w:t>
            </w:r>
          </w:p>
        </w:tc>
      </w:tr>
      <w:tr w:rsidR="008F09E4" w:rsidRPr="000A0A5F" w:rsidTr="00675CD5">
        <w:trPr>
          <w:gridAfter w:val="1"/>
          <w:wAfter w:w="36" w:type="dxa"/>
          <w:jc w:val="center"/>
        </w:trPr>
        <w:tc>
          <w:tcPr>
            <w:tcW w:w="1948" w:type="dxa"/>
            <w:gridSpan w:val="2"/>
            <w:shd w:val="clear" w:color="auto" w:fill="auto"/>
            <w:vAlign w:val="center"/>
          </w:tcPr>
          <w:p w:rsidR="008F09E4" w:rsidRPr="000A0A5F" w:rsidRDefault="008F09E4" w:rsidP="008F09E4">
            <w:pPr>
              <w:pStyle w:val="TAL"/>
              <w:rPr>
                <w:lang w:eastAsia="zh-CN"/>
              </w:rPr>
            </w:pPr>
            <w:r w:rsidRPr="000A0A5F">
              <w:rPr>
                <w:rFonts w:hint="eastAsia"/>
                <w:noProof/>
                <w:lang w:eastAsia="zh-CN"/>
              </w:rPr>
              <w:t>locationInfo</w:t>
            </w:r>
          </w:p>
        </w:tc>
        <w:tc>
          <w:tcPr>
            <w:tcW w:w="2126" w:type="dxa"/>
            <w:gridSpan w:val="2"/>
            <w:shd w:val="clear" w:color="auto" w:fill="auto"/>
            <w:vAlign w:val="center"/>
          </w:tcPr>
          <w:p w:rsidR="008F09E4" w:rsidRPr="000A0A5F" w:rsidRDefault="008F09E4" w:rsidP="008F09E4">
            <w:pPr>
              <w:pStyle w:val="TAL"/>
              <w:rPr>
                <w:rFonts w:eastAsia="Times New Roman"/>
              </w:rPr>
            </w:pPr>
            <w:r w:rsidRPr="000A0A5F">
              <w:rPr>
                <w:rFonts w:hint="eastAsia"/>
                <w:lang w:eastAsia="zh-CN"/>
              </w:rPr>
              <w:t>LocationInfo</w:t>
            </w:r>
          </w:p>
        </w:tc>
        <w:tc>
          <w:tcPr>
            <w:tcW w:w="1276" w:type="dxa"/>
            <w:gridSpan w:val="2"/>
            <w:shd w:val="clear" w:color="auto" w:fill="auto"/>
            <w:vAlign w:val="center"/>
          </w:tcPr>
          <w:p w:rsidR="008F09E4" w:rsidRPr="000A0A5F" w:rsidRDefault="008F09E4" w:rsidP="008F09E4">
            <w:pPr>
              <w:pStyle w:val="TAL"/>
              <w:rPr>
                <w:rFonts w:eastAsia="Times New Roman"/>
              </w:rPr>
            </w:pPr>
            <w:r w:rsidRPr="000A0A5F">
              <w:rPr>
                <w:rFonts w:hint="eastAsia"/>
                <w:lang w:eastAsia="zh-CN"/>
              </w:rPr>
              <w:t>0..1</w:t>
            </w:r>
          </w:p>
        </w:tc>
        <w:tc>
          <w:tcPr>
            <w:tcW w:w="2995" w:type="dxa"/>
            <w:gridSpan w:val="2"/>
            <w:shd w:val="clear" w:color="auto" w:fill="auto"/>
            <w:vAlign w:val="center"/>
          </w:tcPr>
          <w:p w:rsidR="008F09E4" w:rsidRPr="000A0A5F" w:rsidRDefault="008F09E4" w:rsidP="008F09E4">
            <w:pPr>
              <w:pStyle w:val="TAL"/>
              <w:rPr>
                <w:rFonts w:eastAsia="Times New Roman"/>
              </w:rPr>
            </w:pPr>
            <w:r w:rsidRPr="000A0A5F">
              <w:rPr>
                <w:rFonts w:hint="eastAsia"/>
                <w:lang w:eastAsia="zh-CN"/>
              </w:rPr>
              <w:t xml:space="preserve">If </w:t>
            </w:r>
            <w:r w:rsidRPr="000A0A5F">
              <w:rPr>
                <w:lang w:eastAsia="zh-CN"/>
              </w:rPr>
              <w:t>"m</w:t>
            </w:r>
            <w:r w:rsidRPr="000A0A5F">
              <w:rPr>
                <w:rFonts w:hint="eastAsia"/>
                <w:lang w:eastAsia="zh-CN"/>
              </w:rPr>
              <w:t>onitoringType</w:t>
            </w:r>
            <w:r w:rsidRPr="000A0A5F">
              <w:rPr>
                <w:lang w:eastAsia="zh-CN"/>
              </w:rPr>
              <w:t>"</w:t>
            </w:r>
            <w:r w:rsidRPr="000A0A5F">
              <w:rPr>
                <w:rFonts w:hint="eastAsia"/>
                <w:lang w:eastAsia="zh-CN"/>
              </w:rPr>
              <w:t xml:space="preserve"> </w:t>
            </w:r>
            <w:r w:rsidRPr="000A0A5F">
              <w:rPr>
                <w:lang w:eastAsia="zh-CN"/>
              </w:rPr>
              <w:t>is "</w:t>
            </w:r>
            <w:r w:rsidRPr="000A0A5F">
              <w:rPr>
                <w:rFonts w:eastAsia="Times New Roman"/>
              </w:rPr>
              <w:t>LOCATION_REPORTING</w:t>
            </w:r>
            <w:r w:rsidRPr="000A0A5F">
              <w:rPr>
                <w:lang w:eastAsia="zh-CN"/>
              </w:rPr>
              <w:t>", this parameter shall be included to indicate the user location related information.</w:t>
            </w:r>
          </w:p>
        </w:tc>
        <w:tc>
          <w:tcPr>
            <w:tcW w:w="1257" w:type="dxa"/>
            <w:gridSpan w:val="2"/>
            <w:vAlign w:val="center"/>
          </w:tcPr>
          <w:p w:rsidR="008F09E4" w:rsidRPr="000A0A5F" w:rsidRDefault="008F09E4" w:rsidP="008F09E4">
            <w:pPr>
              <w:pStyle w:val="TAL"/>
              <w:rPr>
                <w:rFonts w:eastAsia="Times New Roman" w:cs="Arial"/>
                <w:szCs w:val="18"/>
              </w:rPr>
            </w:pPr>
            <w:r w:rsidRPr="000A0A5F">
              <w:rPr>
                <w:lang w:eastAsia="zh-CN"/>
              </w:rPr>
              <w:t>Location_</w:t>
            </w:r>
            <w:r w:rsidRPr="000A0A5F">
              <w:t>notification, eLCS</w:t>
            </w:r>
          </w:p>
        </w:tc>
      </w:tr>
      <w:tr w:rsidR="008F09E4" w:rsidRPr="000A0A5F" w:rsidTr="00675CD5">
        <w:trPr>
          <w:gridAfter w:val="1"/>
          <w:wAfter w:w="36" w:type="dxa"/>
          <w:jc w:val="center"/>
        </w:trPr>
        <w:tc>
          <w:tcPr>
            <w:tcW w:w="1948" w:type="dxa"/>
            <w:gridSpan w:val="2"/>
            <w:shd w:val="clear" w:color="auto" w:fill="auto"/>
            <w:vAlign w:val="center"/>
          </w:tcPr>
          <w:p w:rsidR="008F09E4" w:rsidRPr="000A0A5F" w:rsidRDefault="008F09E4" w:rsidP="008F09E4">
            <w:pPr>
              <w:pStyle w:val="TAL"/>
              <w:rPr>
                <w:rFonts w:hint="eastAsia"/>
                <w:noProof/>
                <w:lang w:eastAsia="zh-CN"/>
              </w:rPr>
            </w:pPr>
            <w:r w:rsidRPr="000A0A5F">
              <w:rPr>
                <w:noProof/>
                <w:lang w:eastAsia="zh-CN"/>
              </w:rPr>
              <w:t>locFailureCause</w:t>
            </w:r>
          </w:p>
        </w:tc>
        <w:tc>
          <w:tcPr>
            <w:tcW w:w="2126" w:type="dxa"/>
            <w:gridSpan w:val="2"/>
            <w:shd w:val="clear" w:color="auto" w:fill="auto"/>
            <w:vAlign w:val="center"/>
          </w:tcPr>
          <w:p w:rsidR="008F09E4" w:rsidRPr="000A0A5F" w:rsidRDefault="008F09E4" w:rsidP="008F09E4">
            <w:pPr>
              <w:pStyle w:val="TAL"/>
              <w:rPr>
                <w:rFonts w:hint="eastAsia"/>
                <w:lang w:eastAsia="zh-CN"/>
              </w:rPr>
            </w:pPr>
            <w:r w:rsidRPr="000A0A5F">
              <w:rPr>
                <w:lang w:eastAsia="zh-CN"/>
              </w:rPr>
              <w:t>LocationFailureCause</w:t>
            </w:r>
          </w:p>
        </w:tc>
        <w:tc>
          <w:tcPr>
            <w:tcW w:w="1276" w:type="dxa"/>
            <w:gridSpan w:val="2"/>
            <w:shd w:val="clear" w:color="auto" w:fill="auto"/>
            <w:vAlign w:val="center"/>
          </w:tcPr>
          <w:p w:rsidR="008F09E4" w:rsidRPr="000A0A5F" w:rsidRDefault="008F09E4" w:rsidP="008F09E4">
            <w:pPr>
              <w:pStyle w:val="TAL"/>
              <w:rPr>
                <w:rFonts w:hint="eastAsia"/>
                <w:lang w:eastAsia="zh-CN"/>
              </w:rPr>
            </w:pPr>
            <w:r w:rsidRPr="000A0A5F">
              <w:rPr>
                <w:lang w:eastAsia="zh-CN"/>
              </w:rPr>
              <w:t>0..1</w:t>
            </w:r>
          </w:p>
        </w:tc>
        <w:tc>
          <w:tcPr>
            <w:tcW w:w="2995" w:type="dxa"/>
            <w:gridSpan w:val="2"/>
            <w:shd w:val="clear" w:color="auto" w:fill="auto"/>
            <w:vAlign w:val="center"/>
          </w:tcPr>
          <w:p w:rsidR="008F09E4" w:rsidRPr="000A0A5F" w:rsidRDefault="008F09E4" w:rsidP="008F09E4">
            <w:pPr>
              <w:pStyle w:val="TAL"/>
              <w:rPr>
                <w:rFonts w:hint="eastAsia"/>
                <w:lang w:eastAsia="zh-CN"/>
              </w:rPr>
            </w:pPr>
            <w:r w:rsidRPr="000A0A5F">
              <w:rPr>
                <w:lang w:eastAsia="zh-CN"/>
              </w:rPr>
              <w:t>Indicates the location positioning failure cause.</w:t>
            </w:r>
          </w:p>
        </w:tc>
        <w:tc>
          <w:tcPr>
            <w:tcW w:w="1257" w:type="dxa"/>
            <w:gridSpan w:val="2"/>
            <w:vAlign w:val="center"/>
          </w:tcPr>
          <w:p w:rsidR="008F09E4" w:rsidRPr="000A0A5F" w:rsidRDefault="00BA7108" w:rsidP="008F09E4">
            <w:pPr>
              <w:pStyle w:val="TAL"/>
              <w:rPr>
                <w:lang w:eastAsia="zh-CN"/>
              </w:rPr>
            </w:pPr>
            <w:r w:rsidRPr="000A0A5F">
              <w:rPr>
                <w:lang w:eastAsia="zh-CN"/>
              </w:rPr>
              <w:t>eLCS</w:t>
            </w:r>
          </w:p>
        </w:tc>
      </w:tr>
      <w:tr w:rsidR="008F09E4" w:rsidRPr="000A0A5F" w:rsidTr="00675CD5">
        <w:trPr>
          <w:gridAfter w:val="1"/>
          <w:wAfter w:w="36" w:type="dxa"/>
          <w:jc w:val="center"/>
        </w:trPr>
        <w:tc>
          <w:tcPr>
            <w:tcW w:w="1948" w:type="dxa"/>
            <w:gridSpan w:val="2"/>
            <w:shd w:val="clear" w:color="auto" w:fill="auto"/>
            <w:vAlign w:val="center"/>
          </w:tcPr>
          <w:p w:rsidR="008F09E4" w:rsidRPr="000A0A5F" w:rsidRDefault="008F09E4" w:rsidP="008F09E4">
            <w:pPr>
              <w:pStyle w:val="TAL"/>
              <w:rPr>
                <w:lang w:eastAsia="zh-CN"/>
              </w:rPr>
            </w:pPr>
            <w:r w:rsidRPr="000A0A5F">
              <w:rPr>
                <w:rFonts w:hint="eastAsia"/>
                <w:noProof/>
                <w:lang w:eastAsia="zh-CN"/>
              </w:rPr>
              <w:t>lossOfConnectReason</w:t>
            </w:r>
          </w:p>
        </w:tc>
        <w:tc>
          <w:tcPr>
            <w:tcW w:w="2126" w:type="dxa"/>
            <w:gridSpan w:val="2"/>
            <w:shd w:val="clear" w:color="auto" w:fill="auto"/>
            <w:vAlign w:val="center"/>
          </w:tcPr>
          <w:p w:rsidR="008F09E4" w:rsidRPr="000A0A5F" w:rsidRDefault="008F09E4" w:rsidP="008F09E4">
            <w:pPr>
              <w:pStyle w:val="TAL"/>
              <w:rPr>
                <w:rFonts w:eastAsia="Times New Roman"/>
              </w:rPr>
            </w:pPr>
            <w:r w:rsidRPr="000A0A5F">
              <w:rPr>
                <w:lang w:eastAsia="zh-CN"/>
              </w:rPr>
              <w:t>integer</w:t>
            </w:r>
          </w:p>
        </w:tc>
        <w:tc>
          <w:tcPr>
            <w:tcW w:w="1276" w:type="dxa"/>
            <w:gridSpan w:val="2"/>
            <w:shd w:val="clear" w:color="auto" w:fill="auto"/>
            <w:vAlign w:val="center"/>
          </w:tcPr>
          <w:p w:rsidR="008F09E4" w:rsidRPr="000A0A5F" w:rsidRDefault="008F09E4" w:rsidP="008F09E4">
            <w:pPr>
              <w:pStyle w:val="TAL"/>
              <w:rPr>
                <w:rFonts w:eastAsia="Times New Roman"/>
              </w:rPr>
            </w:pPr>
            <w:r w:rsidRPr="000A0A5F">
              <w:rPr>
                <w:rFonts w:hint="eastAsia"/>
                <w:lang w:eastAsia="zh-CN"/>
              </w:rPr>
              <w:t>0..1</w:t>
            </w:r>
          </w:p>
        </w:tc>
        <w:tc>
          <w:tcPr>
            <w:tcW w:w="2995" w:type="dxa"/>
            <w:gridSpan w:val="2"/>
            <w:shd w:val="clear" w:color="auto" w:fill="auto"/>
            <w:vAlign w:val="center"/>
          </w:tcPr>
          <w:p w:rsidR="008F09E4" w:rsidRPr="000A0A5F" w:rsidRDefault="008F09E4" w:rsidP="008F09E4">
            <w:pPr>
              <w:pStyle w:val="TAL"/>
              <w:spacing w:afterLines="50" w:after="120"/>
              <w:rPr>
                <w:rFonts w:cs="Arial"/>
                <w:szCs w:val="18"/>
                <w:lang w:eastAsia="zh-CN"/>
              </w:rPr>
            </w:pPr>
            <w:r w:rsidRPr="000A0A5F">
              <w:rPr>
                <w:rFonts w:cs="Arial"/>
                <w:szCs w:val="18"/>
                <w:lang w:eastAsia="zh-CN"/>
              </w:rPr>
              <w:t>If "monitoringType" is "</w:t>
            </w:r>
            <w:r w:rsidRPr="000A0A5F">
              <w:rPr>
                <w:rFonts w:eastAsia="Times New Roman" w:cs="Arial"/>
                <w:szCs w:val="18"/>
              </w:rPr>
              <w:t>LOSS_OF_CONNECTIVITY</w:t>
            </w:r>
            <w:r w:rsidRPr="000A0A5F">
              <w:rPr>
                <w:rFonts w:cs="Arial"/>
                <w:szCs w:val="18"/>
                <w:lang w:eastAsia="zh-CN"/>
              </w:rPr>
              <w:t>", this parameter shall be included if available to identify the reason why loss of connectivity is reported.</w:t>
            </w:r>
          </w:p>
          <w:p w:rsidR="008F09E4" w:rsidRPr="000A0A5F" w:rsidRDefault="008F09E4" w:rsidP="008F09E4">
            <w:pPr>
              <w:pStyle w:val="TAL"/>
              <w:rPr>
                <w:rFonts w:eastAsia="Times New Roman"/>
              </w:rPr>
            </w:pPr>
            <w:r w:rsidRPr="000A0A5F">
              <w:rPr>
                <w:rFonts w:eastAsia="Times New Roman" w:cs="Arial"/>
                <w:szCs w:val="18"/>
              </w:rPr>
              <w:t>Refer to 3GPP TS 29.336 [11] Clause 8.4.58.</w:t>
            </w:r>
          </w:p>
        </w:tc>
        <w:tc>
          <w:tcPr>
            <w:tcW w:w="1257" w:type="dxa"/>
            <w:gridSpan w:val="2"/>
            <w:vAlign w:val="center"/>
          </w:tcPr>
          <w:p w:rsidR="008F09E4" w:rsidRPr="000A0A5F" w:rsidRDefault="008F09E4" w:rsidP="008F09E4">
            <w:pPr>
              <w:pStyle w:val="TAL"/>
              <w:rPr>
                <w:rFonts w:eastAsia="Times New Roman" w:cs="Arial"/>
                <w:szCs w:val="18"/>
              </w:rPr>
            </w:pPr>
            <w:r w:rsidRPr="000A0A5F">
              <w:t>Loss_of_connectivity_notification</w:t>
            </w:r>
          </w:p>
        </w:tc>
      </w:tr>
      <w:tr w:rsidR="008F09E4" w:rsidRPr="000A0A5F" w:rsidTr="00675CD5">
        <w:trPr>
          <w:gridAfter w:val="1"/>
          <w:wAfter w:w="36" w:type="dxa"/>
          <w:jc w:val="center"/>
        </w:trPr>
        <w:tc>
          <w:tcPr>
            <w:tcW w:w="1948" w:type="dxa"/>
            <w:gridSpan w:val="2"/>
            <w:shd w:val="clear" w:color="auto" w:fill="auto"/>
            <w:vAlign w:val="center"/>
          </w:tcPr>
          <w:p w:rsidR="008F09E4" w:rsidRPr="000A0A5F" w:rsidRDefault="008F09E4" w:rsidP="008F09E4">
            <w:pPr>
              <w:pStyle w:val="TAL"/>
              <w:rPr>
                <w:rFonts w:hint="eastAsia"/>
                <w:noProof/>
                <w:lang w:eastAsia="zh-CN"/>
              </w:rPr>
            </w:pPr>
            <w:r w:rsidRPr="000A0A5F">
              <w:t>unavailPerDur</w:t>
            </w:r>
          </w:p>
        </w:tc>
        <w:tc>
          <w:tcPr>
            <w:tcW w:w="2126" w:type="dxa"/>
            <w:gridSpan w:val="2"/>
            <w:shd w:val="clear" w:color="auto" w:fill="auto"/>
            <w:vAlign w:val="center"/>
          </w:tcPr>
          <w:p w:rsidR="008F09E4" w:rsidRPr="000A0A5F" w:rsidRDefault="008F09E4" w:rsidP="008F09E4">
            <w:pPr>
              <w:pStyle w:val="TAL"/>
              <w:rPr>
                <w:lang w:eastAsia="zh-CN"/>
              </w:rPr>
            </w:pPr>
            <w:r w:rsidRPr="000A0A5F">
              <w:rPr>
                <w:lang w:eastAsia="zh-CN"/>
              </w:rPr>
              <w:t>DurationSec</w:t>
            </w:r>
          </w:p>
        </w:tc>
        <w:tc>
          <w:tcPr>
            <w:tcW w:w="1276" w:type="dxa"/>
            <w:gridSpan w:val="2"/>
            <w:shd w:val="clear" w:color="auto" w:fill="auto"/>
            <w:vAlign w:val="center"/>
          </w:tcPr>
          <w:p w:rsidR="008F09E4" w:rsidRPr="000A0A5F" w:rsidRDefault="008F09E4" w:rsidP="008F09E4">
            <w:pPr>
              <w:pStyle w:val="TAL"/>
              <w:rPr>
                <w:rFonts w:hint="eastAsia"/>
                <w:lang w:eastAsia="zh-CN"/>
              </w:rPr>
            </w:pPr>
            <w:r w:rsidRPr="000A0A5F">
              <w:rPr>
                <w:rFonts w:hint="eastAsia"/>
                <w:lang w:eastAsia="zh-CN"/>
              </w:rPr>
              <w:t>0..1</w:t>
            </w:r>
          </w:p>
        </w:tc>
        <w:tc>
          <w:tcPr>
            <w:tcW w:w="2995" w:type="dxa"/>
            <w:gridSpan w:val="2"/>
            <w:shd w:val="clear" w:color="auto" w:fill="auto"/>
            <w:vAlign w:val="center"/>
          </w:tcPr>
          <w:p w:rsidR="008F09E4" w:rsidRPr="000A0A5F" w:rsidRDefault="008F09E4" w:rsidP="008F09E4">
            <w:pPr>
              <w:pStyle w:val="TAL"/>
              <w:spacing w:afterLines="50" w:after="120"/>
              <w:rPr>
                <w:rFonts w:cs="Arial"/>
                <w:szCs w:val="18"/>
                <w:lang w:eastAsia="zh-CN"/>
              </w:rPr>
            </w:pPr>
            <w:r w:rsidRPr="000A0A5F">
              <w:rPr>
                <w:rFonts w:cs="Arial"/>
                <w:szCs w:val="18"/>
                <w:lang w:eastAsia="zh-CN"/>
              </w:rPr>
              <w:t>If "monitoringType" is "</w:t>
            </w:r>
            <w:r w:rsidRPr="000A0A5F">
              <w:rPr>
                <w:rFonts w:eastAsia="Times New Roman" w:cs="Arial"/>
                <w:szCs w:val="18"/>
              </w:rPr>
              <w:t>LOSS_OF_CONNECTIVITY</w:t>
            </w:r>
            <w:r w:rsidRPr="000A0A5F">
              <w:rPr>
                <w:rFonts w:cs="Arial"/>
                <w:szCs w:val="18"/>
                <w:lang w:eastAsia="zh-CN"/>
              </w:rPr>
              <w:t xml:space="preserve">", then this parameter </w:t>
            </w:r>
            <w:r w:rsidRPr="000A0A5F">
              <w:rPr>
                <w:rFonts w:cs="Arial" w:hint="eastAsia"/>
                <w:szCs w:val="18"/>
                <w:lang w:eastAsia="ja-JP"/>
              </w:rPr>
              <w:t>s</w:t>
            </w:r>
            <w:r w:rsidRPr="000A0A5F">
              <w:rPr>
                <w:rFonts w:cs="Arial"/>
                <w:szCs w:val="18"/>
                <w:lang w:eastAsia="ja-JP"/>
              </w:rPr>
              <w:t>hall</w:t>
            </w:r>
            <w:r w:rsidRPr="000A0A5F">
              <w:rPr>
                <w:rFonts w:cs="Arial"/>
                <w:szCs w:val="18"/>
                <w:lang w:eastAsia="zh-CN"/>
              </w:rPr>
              <w:t xml:space="preserve"> be included if available to identify the UE’s </w:t>
            </w:r>
            <w:r w:rsidRPr="000A0A5F">
              <w:t>Unavailability Period Duration.</w:t>
            </w:r>
          </w:p>
        </w:tc>
        <w:tc>
          <w:tcPr>
            <w:tcW w:w="1257" w:type="dxa"/>
            <w:gridSpan w:val="2"/>
            <w:vAlign w:val="center"/>
          </w:tcPr>
          <w:p w:rsidR="008F09E4" w:rsidRPr="000A0A5F" w:rsidRDefault="008F09E4" w:rsidP="008F09E4">
            <w:pPr>
              <w:pStyle w:val="TAL"/>
            </w:pPr>
            <w:r w:rsidRPr="000A0A5F">
              <w:t>Loss_of_connectivity_notification</w:t>
            </w:r>
            <w:r w:rsidRPr="000A0A5F">
              <w:rPr>
                <w:lang w:eastAsia="zh-CN"/>
              </w:rPr>
              <w:t>_5G</w:t>
            </w:r>
          </w:p>
        </w:tc>
      </w:tr>
      <w:tr w:rsidR="008F09E4" w:rsidRPr="000A0A5F" w:rsidTr="00675CD5">
        <w:trPr>
          <w:gridAfter w:val="1"/>
          <w:wAfter w:w="36" w:type="dxa"/>
          <w:jc w:val="center"/>
        </w:trPr>
        <w:tc>
          <w:tcPr>
            <w:tcW w:w="1948" w:type="dxa"/>
            <w:gridSpan w:val="2"/>
            <w:shd w:val="clear" w:color="auto" w:fill="auto"/>
            <w:vAlign w:val="center"/>
          </w:tcPr>
          <w:p w:rsidR="008F09E4" w:rsidRPr="000A0A5F" w:rsidRDefault="008F09E4" w:rsidP="008F09E4">
            <w:pPr>
              <w:pStyle w:val="TAL"/>
              <w:rPr>
                <w:lang w:eastAsia="zh-CN"/>
              </w:rPr>
            </w:pPr>
            <w:r w:rsidRPr="000A0A5F">
              <w:rPr>
                <w:rFonts w:hint="eastAsia"/>
                <w:lang w:eastAsia="zh-CN"/>
              </w:rPr>
              <w:t>maxUEAvailabilityTime</w:t>
            </w:r>
          </w:p>
        </w:tc>
        <w:tc>
          <w:tcPr>
            <w:tcW w:w="2126" w:type="dxa"/>
            <w:gridSpan w:val="2"/>
            <w:shd w:val="clear" w:color="auto" w:fill="auto"/>
            <w:vAlign w:val="center"/>
          </w:tcPr>
          <w:p w:rsidR="008F09E4" w:rsidRPr="000A0A5F" w:rsidRDefault="008F09E4" w:rsidP="008F09E4">
            <w:pPr>
              <w:pStyle w:val="TAL"/>
              <w:rPr>
                <w:rFonts w:eastAsia="Times New Roman"/>
              </w:rPr>
            </w:pPr>
            <w:r w:rsidRPr="000A0A5F">
              <w:rPr>
                <w:lang w:eastAsia="zh-CN"/>
              </w:rPr>
              <w:t>D</w:t>
            </w:r>
            <w:r w:rsidRPr="000A0A5F">
              <w:rPr>
                <w:rFonts w:hint="eastAsia"/>
                <w:lang w:eastAsia="zh-CN"/>
              </w:rPr>
              <w:t>ateTime</w:t>
            </w:r>
          </w:p>
        </w:tc>
        <w:tc>
          <w:tcPr>
            <w:tcW w:w="1276" w:type="dxa"/>
            <w:gridSpan w:val="2"/>
            <w:shd w:val="clear" w:color="auto" w:fill="auto"/>
            <w:vAlign w:val="center"/>
          </w:tcPr>
          <w:p w:rsidR="008F09E4" w:rsidRPr="000A0A5F" w:rsidRDefault="008F09E4" w:rsidP="008F09E4">
            <w:pPr>
              <w:pStyle w:val="TAL"/>
              <w:rPr>
                <w:rFonts w:eastAsia="Times New Roman"/>
              </w:rPr>
            </w:pPr>
            <w:r w:rsidRPr="000A0A5F">
              <w:rPr>
                <w:rFonts w:hint="eastAsia"/>
                <w:lang w:eastAsia="zh-CN"/>
              </w:rPr>
              <w:t>0..1</w:t>
            </w:r>
          </w:p>
        </w:tc>
        <w:tc>
          <w:tcPr>
            <w:tcW w:w="2995" w:type="dxa"/>
            <w:gridSpan w:val="2"/>
            <w:shd w:val="clear" w:color="auto" w:fill="auto"/>
            <w:vAlign w:val="center"/>
          </w:tcPr>
          <w:p w:rsidR="008F09E4" w:rsidRPr="000A0A5F" w:rsidRDefault="008F09E4" w:rsidP="008F09E4">
            <w:pPr>
              <w:pStyle w:val="TAL"/>
              <w:spacing w:afterLines="50" w:after="120"/>
              <w:rPr>
                <w:rFonts w:cs="Arial"/>
                <w:szCs w:val="18"/>
                <w:lang w:eastAsia="zh-CN"/>
              </w:rPr>
            </w:pPr>
            <w:r w:rsidRPr="000A0A5F">
              <w:rPr>
                <w:rFonts w:cs="Arial"/>
                <w:szCs w:val="18"/>
                <w:lang w:eastAsia="zh-CN"/>
              </w:rPr>
              <w:t>If "monitoringType" is "</w:t>
            </w:r>
            <w:r w:rsidRPr="000A0A5F">
              <w:rPr>
                <w:rFonts w:eastAsia="Times New Roman" w:cs="Arial"/>
                <w:szCs w:val="18"/>
              </w:rPr>
              <w:t>UE_REACHABILITY</w:t>
            </w:r>
            <w:r w:rsidRPr="000A0A5F">
              <w:rPr>
                <w:rFonts w:cs="Arial"/>
                <w:szCs w:val="18"/>
                <w:lang w:eastAsia="zh-CN"/>
              </w:rPr>
              <w:t>", this parameter may be included to identify the timestamp until which a UE using a power saving mechanism is expected to be reachable for SM delivery.</w:t>
            </w:r>
          </w:p>
          <w:p w:rsidR="008F09E4" w:rsidRPr="000A0A5F" w:rsidRDefault="008F09E4" w:rsidP="008F09E4">
            <w:pPr>
              <w:pStyle w:val="TAL"/>
              <w:rPr>
                <w:rFonts w:eastAsia="Times New Roman"/>
              </w:rPr>
            </w:pPr>
            <w:r w:rsidRPr="000A0A5F">
              <w:rPr>
                <w:rFonts w:eastAsia="Times New Roman" w:cs="Arial"/>
                <w:szCs w:val="18"/>
              </w:rPr>
              <w:t>Refer to Clause 5.3.3.22 of 3GPP TS 29.338 [34].</w:t>
            </w:r>
          </w:p>
        </w:tc>
        <w:tc>
          <w:tcPr>
            <w:tcW w:w="1257" w:type="dxa"/>
            <w:gridSpan w:val="2"/>
            <w:vAlign w:val="center"/>
          </w:tcPr>
          <w:p w:rsidR="008F09E4" w:rsidRPr="000A0A5F" w:rsidRDefault="008F09E4" w:rsidP="008F09E4">
            <w:pPr>
              <w:pStyle w:val="TAL"/>
              <w:rPr>
                <w:rFonts w:eastAsia="Times New Roman" w:cs="Arial"/>
                <w:szCs w:val="18"/>
              </w:rPr>
            </w:pPr>
            <w:r w:rsidRPr="000A0A5F">
              <w:t>Ue-reachability_notification</w:t>
            </w:r>
          </w:p>
        </w:tc>
      </w:tr>
      <w:tr w:rsidR="008F09E4" w:rsidRPr="000A0A5F" w:rsidTr="00675CD5">
        <w:trPr>
          <w:gridAfter w:val="1"/>
          <w:wAfter w:w="36" w:type="dxa"/>
          <w:jc w:val="center"/>
        </w:trPr>
        <w:tc>
          <w:tcPr>
            <w:tcW w:w="1948" w:type="dxa"/>
            <w:gridSpan w:val="2"/>
            <w:shd w:val="clear" w:color="auto" w:fill="auto"/>
            <w:vAlign w:val="center"/>
          </w:tcPr>
          <w:p w:rsidR="008F09E4" w:rsidRPr="000A0A5F" w:rsidRDefault="008F09E4" w:rsidP="008F09E4">
            <w:pPr>
              <w:pStyle w:val="TAL"/>
              <w:rPr>
                <w:rFonts w:eastAsia="Times New Roman"/>
              </w:rPr>
            </w:pPr>
            <w:r w:rsidRPr="000A0A5F">
              <w:rPr>
                <w:lang w:eastAsia="zh-CN"/>
              </w:rPr>
              <w:t>msisdn</w:t>
            </w:r>
          </w:p>
        </w:tc>
        <w:tc>
          <w:tcPr>
            <w:tcW w:w="2126" w:type="dxa"/>
            <w:gridSpan w:val="2"/>
            <w:shd w:val="clear" w:color="auto" w:fill="auto"/>
            <w:vAlign w:val="center"/>
          </w:tcPr>
          <w:p w:rsidR="008F09E4" w:rsidRPr="000A0A5F" w:rsidRDefault="008F09E4" w:rsidP="008F09E4">
            <w:pPr>
              <w:pStyle w:val="TAL"/>
              <w:rPr>
                <w:rFonts w:eastAsia="Times New Roman"/>
              </w:rPr>
            </w:pPr>
            <w:r w:rsidRPr="000A0A5F">
              <w:rPr>
                <w:rFonts w:eastAsia="Times New Roman"/>
              </w:rPr>
              <w:t>Msisdn</w:t>
            </w:r>
          </w:p>
        </w:tc>
        <w:tc>
          <w:tcPr>
            <w:tcW w:w="1276" w:type="dxa"/>
            <w:gridSpan w:val="2"/>
            <w:shd w:val="clear" w:color="auto" w:fill="auto"/>
            <w:vAlign w:val="center"/>
          </w:tcPr>
          <w:p w:rsidR="008F09E4" w:rsidRPr="000A0A5F" w:rsidRDefault="008F09E4" w:rsidP="008F09E4">
            <w:pPr>
              <w:pStyle w:val="TAL"/>
              <w:rPr>
                <w:rFonts w:eastAsia="Times New Roman"/>
              </w:rPr>
            </w:pPr>
            <w:r w:rsidRPr="000A0A5F">
              <w:rPr>
                <w:rFonts w:eastAsia="Times New Roman"/>
              </w:rPr>
              <w:t>0..1</w:t>
            </w:r>
          </w:p>
        </w:tc>
        <w:tc>
          <w:tcPr>
            <w:tcW w:w="2995" w:type="dxa"/>
            <w:gridSpan w:val="2"/>
            <w:shd w:val="clear" w:color="auto" w:fill="auto"/>
            <w:vAlign w:val="center"/>
          </w:tcPr>
          <w:p w:rsidR="00C520FB" w:rsidRPr="000A0A5F" w:rsidRDefault="00C520FB" w:rsidP="00C520FB">
            <w:pPr>
              <w:pStyle w:val="TAL"/>
              <w:spacing w:after="60"/>
              <w:rPr>
                <w:lang w:eastAsia="zh-CN"/>
              </w:rPr>
            </w:pPr>
            <w:r w:rsidRPr="000A0A5F">
              <w:rPr>
                <w:rFonts w:hint="eastAsia"/>
                <w:lang w:eastAsia="zh-CN"/>
              </w:rPr>
              <w:t>Identifie</w:t>
            </w:r>
            <w:r w:rsidRPr="000A0A5F">
              <w:rPr>
                <w:lang w:eastAsia="zh-CN"/>
              </w:rPr>
              <w:t>s</w:t>
            </w:r>
            <w:r w:rsidRPr="000A0A5F">
              <w:rPr>
                <w:rFonts w:hint="eastAsia"/>
                <w:lang w:eastAsia="zh-CN"/>
              </w:rPr>
              <w:t xml:space="preserve"> the MS internal PSTN/ISDN number</w:t>
            </w:r>
            <w:r w:rsidRPr="000A0A5F">
              <w:rPr>
                <w:lang w:eastAsia="zh-CN"/>
              </w:rPr>
              <w:t>.</w:t>
            </w:r>
          </w:p>
          <w:p w:rsidR="008F09E4" w:rsidRPr="000A0A5F" w:rsidRDefault="00C520FB" w:rsidP="00C520FB">
            <w:pPr>
              <w:pStyle w:val="TAL"/>
              <w:rPr>
                <w:rFonts w:eastAsia="Times New Roman" w:cs="Arial"/>
                <w:szCs w:val="18"/>
              </w:rPr>
            </w:pPr>
            <w:r w:rsidRPr="000A0A5F">
              <w:rPr>
                <w:lang w:eastAsia="zh-CN"/>
              </w:rPr>
              <w:t>(NOTE 2)</w:t>
            </w:r>
          </w:p>
        </w:tc>
        <w:tc>
          <w:tcPr>
            <w:tcW w:w="1257" w:type="dxa"/>
            <w:gridSpan w:val="2"/>
            <w:vAlign w:val="center"/>
          </w:tcPr>
          <w:p w:rsidR="008F09E4" w:rsidRPr="000A0A5F" w:rsidRDefault="008F09E4" w:rsidP="008F09E4">
            <w:pPr>
              <w:pStyle w:val="TAL"/>
              <w:rPr>
                <w:rFonts w:eastAsia="Times New Roman" w:cs="Arial"/>
                <w:szCs w:val="18"/>
              </w:rPr>
            </w:pPr>
          </w:p>
        </w:tc>
      </w:tr>
      <w:tr w:rsidR="008F09E4" w:rsidRPr="000A0A5F" w:rsidTr="00675CD5">
        <w:trPr>
          <w:gridAfter w:val="1"/>
          <w:wAfter w:w="36" w:type="dxa"/>
          <w:jc w:val="center"/>
        </w:trPr>
        <w:tc>
          <w:tcPr>
            <w:tcW w:w="1948" w:type="dxa"/>
            <w:gridSpan w:val="2"/>
            <w:shd w:val="clear" w:color="auto" w:fill="auto"/>
            <w:vAlign w:val="center"/>
          </w:tcPr>
          <w:p w:rsidR="008F09E4" w:rsidRPr="000A0A5F" w:rsidRDefault="008F09E4" w:rsidP="008F09E4">
            <w:pPr>
              <w:pStyle w:val="TAL"/>
              <w:rPr>
                <w:rFonts w:eastAsia="Times New Roman"/>
              </w:rPr>
            </w:pPr>
            <w:r w:rsidRPr="000A0A5F">
              <w:rPr>
                <w:lang w:eastAsia="zh-CN"/>
              </w:rPr>
              <w:t>m</w:t>
            </w:r>
            <w:r w:rsidRPr="000A0A5F">
              <w:rPr>
                <w:rFonts w:hint="eastAsia"/>
                <w:lang w:eastAsia="zh-CN"/>
              </w:rPr>
              <w:t>onitoringType</w:t>
            </w:r>
          </w:p>
        </w:tc>
        <w:tc>
          <w:tcPr>
            <w:tcW w:w="2126" w:type="dxa"/>
            <w:gridSpan w:val="2"/>
            <w:shd w:val="clear" w:color="auto" w:fill="auto"/>
            <w:vAlign w:val="center"/>
          </w:tcPr>
          <w:p w:rsidR="008F09E4" w:rsidRPr="000A0A5F" w:rsidRDefault="008F09E4" w:rsidP="008F09E4">
            <w:pPr>
              <w:pStyle w:val="TAL"/>
              <w:rPr>
                <w:rFonts w:eastAsia="Times New Roman"/>
              </w:rPr>
            </w:pPr>
            <w:r w:rsidRPr="000A0A5F">
              <w:rPr>
                <w:rFonts w:eastAsia="Times New Roman"/>
              </w:rPr>
              <w:t>MonitoringType</w:t>
            </w:r>
          </w:p>
        </w:tc>
        <w:tc>
          <w:tcPr>
            <w:tcW w:w="1276" w:type="dxa"/>
            <w:gridSpan w:val="2"/>
            <w:shd w:val="clear" w:color="auto" w:fill="auto"/>
            <w:vAlign w:val="center"/>
          </w:tcPr>
          <w:p w:rsidR="008F09E4" w:rsidRPr="000A0A5F" w:rsidRDefault="008F09E4" w:rsidP="008F09E4">
            <w:pPr>
              <w:pStyle w:val="TAL"/>
              <w:rPr>
                <w:rFonts w:eastAsia="Times New Roman"/>
              </w:rPr>
            </w:pPr>
            <w:r w:rsidRPr="000A0A5F">
              <w:rPr>
                <w:rFonts w:eastAsia="Times New Roman"/>
              </w:rPr>
              <w:t>1</w:t>
            </w:r>
          </w:p>
        </w:tc>
        <w:tc>
          <w:tcPr>
            <w:tcW w:w="2995" w:type="dxa"/>
            <w:gridSpan w:val="2"/>
            <w:shd w:val="clear" w:color="auto" w:fill="auto"/>
            <w:vAlign w:val="center"/>
          </w:tcPr>
          <w:p w:rsidR="008F09E4" w:rsidRPr="000A0A5F" w:rsidRDefault="008F09E4" w:rsidP="008F09E4">
            <w:pPr>
              <w:pStyle w:val="TAL"/>
              <w:rPr>
                <w:rFonts w:eastAsia="Times New Roman" w:cs="Arial"/>
                <w:szCs w:val="18"/>
              </w:rPr>
            </w:pPr>
            <w:r w:rsidRPr="000A0A5F">
              <w:rPr>
                <w:lang w:eastAsia="zh-CN"/>
              </w:rPr>
              <w:t>Identifies the type of monitoring type as defined in clause</w:t>
            </w:r>
            <w:r w:rsidRPr="000A0A5F">
              <w:rPr>
                <w:lang w:val="en-US" w:eastAsia="zh-CN"/>
              </w:rPr>
              <w:t> </w:t>
            </w:r>
            <w:r w:rsidRPr="000A0A5F">
              <w:rPr>
                <w:rFonts w:eastAsia="Times New Roman"/>
              </w:rPr>
              <w:t>5.3.2.4.3.</w:t>
            </w:r>
          </w:p>
        </w:tc>
        <w:tc>
          <w:tcPr>
            <w:tcW w:w="1257" w:type="dxa"/>
            <w:gridSpan w:val="2"/>
            <w:vAlign w:val="center"/>
          </w:tcPr>
          <w:p w:rsidR="008F09E4" w:rsidRPr="000A0A5F" w:rsidRDefault="008F09E4" w:rsidP="008F09E4">
            <w:pPr>
              <w:pStyle w:val="TAL"/>
              <w:rPr>
                <w:rFonts w:eastAsia="Times New Roman" w:cs="Arial"/>
                <w:szCs w:val="18"/>
              </w:rPr>
            </w:pPr>
          </w:p>
        </w:tc>
      </w:tr>
      <w:tr w:rsidR="008F09E4" w:rsidRPr="000A0A5F" w:rsidTr="00675CD5">
        <w:trPr>
          <w:gridAfter w:val="1"/>
          <w:wAfter w:w="36" w:type="dxa"/>
          <w:jc w:val="center"/>
        </w:trPr>
        <w:tc>
          <w:tcPr>
            <w:tcW w:w="1948" w:type="dxa"/>
            <w:gridSpan w:val="2"/>
            <w:shd w:val="clear" w:color="auto" w:fill="auto"/>
            <w:vAlign w:val="center"/>
          </w:tcPr>
          <w:p w:rsidR="008F09E4" w:rsidRPr="000A0A5F" w:rsidRDefault="008F09E4" w:rsidP="008F09E4">
            <w:pPr>
              <w:pStyle w:val="TAL"/>
              <w:rPr>
                <w:rFonts w:eastAsia="Times New Roman"/>
                <w:noProof/>
              </w:rPr>
            </w:pPr>
            <w:r w:rsidRPr="000A0A5F">
              <w:rPr>
                <w:rFonts w:hint="eastAsia"/>
                <w:noProof/>
                <w:lang w:eastAsia="zh-CN"/>
              </w:rPr>
              <w:t>uePerLocation</w:t>
            </w:r>
            <w:r w:rsidRPr="000A0A5F">
              <w:rPr>
                <w:noProof/>
                <w:lang w:eastAsia="zh-CN"/>
              </w:rPr>
              <w:t>Report</w:t>
            </w:r>
          </w:p>
        </w:tc>
        <w:tc>
          <w:tcPr>
            <w:tcW w:w="2126" w:type="dxa"/>
            <w:gridSpan w:val="2"/>
            <w:shd w:val="clear" w:color="auto" w:fill="auto"/>
            <w:vAlign w:val="center"/>
          </w:tcPr>
          <w:p w:rsidR="008F09E4" w:rsidRPr="000A0A5F" w:rsidRDefault="008F09E4" w:rsidP="008F09E4">
            <w:pPr>
              <w:pStyle w:val="TAL"/>
              <w:rPr>
                <w:rFonts w:eastAsia="Times New Roman"/>
              </w:rPr>
            </w:pPr>
            <w:r w:rsidRPr="000A0A5F">
              <w:rPr>
                <w:rFonts w:hint="eastAsia"/>
                <w:noProof/>
                <w:lang w:eastAsia="zh-CN"/>
              </w:rPr>
              <w:t>UePerLocation</w:t>
            </w:r>
            <w:r w:rsidRPr="000A0A5F">
              <w:rPr>
                <w:noProof/>
                <w:lang w:eastAsia="zh-CN"/>
              </w:rPr>
              <w:t>Report</w:t>
            </w:r>
          </w:p>
        </w:tc>
        <w:tc>
          <w:tcPr>
            <w:tcW w:w="1276" w:type="dxa"/>
            <w:gridSpan w:val="2"/>
            <w:shd w:val="clear" w:color="auto" w:fill="auto"/>
            <w:vAlign w:val="center"/>
          </w:tcPr>
          <w:p w:rsidR="008F09E4" w:rsidRPr="000A0A5F" w:rsidRDefault="008F09E4" w:rsidP="008F09E4">
            <w:pPr>
              <w:pStyle w:val="TAL"/>
              <w:rPr>
                <w:rFonts w:eastAsia="Times New Roman"/>
              </w:rPr>
            </w:pPr>
            <w:r w:rsidRPr="000A0A5F">
              <w:rPr>
                <w:rFonts w:hint="eastAsia"/>
                <w:lang w:eastAsia="zh-CN"/>
              </w:rPr>
              <w:t>0..1</w:t>
            </w:r>
          </w:p>
        </w:tc>
        <w:tc>
          <w:tcPr>
            <w:tcW w:w="2995" w:type="dxa"/>
            <w:gridSpan w:val="2"/>
            <w:shd w:val="clear" w:color="auto" w:fill="auto"/>
            <w:vAlign w:val="center"/>
          </w:tcPr>
          <w:p w:rsidR="008F09E4" w:rsidRPr="000A0A5F" w:rsidRDefault="008F09E4" w:rsidP="008F09E4">
            <w:pPr>
              <w:pStyle w:val="TAL"/>
              <w:rPr>
                <w:lang w:eastAsia="zh-CN"/>
              </w:rPr>
            </w:pPr>
            <w:r w:rsidRPr="000A0A5F">
              <w:rPr>
                <w:lang w:eastAsia="zh-CN"/>
              </w:rPr>
              <w:t>I</w:t>
            </w:r>
            <w:r w:rsidRPr="000A0A5F">
              <w:rPr>
                <w:rFonts w:hint="eastAsia"/>
                <w:lang w:eastAsia="zh-CN"/>
              </w:rPr>
              <w:t xml:space="preserve">f </w:t>
            </w:r>
            <w:r w:rsidRPr="000A0A5F">
              <w:rPr>
                <w:lang w:eastAsia="zh-CN"/>
              </w:rPr>
              <w:t>"</w:t>
            </w:r>
            <w:r w:rsidRPr="000A0A5F">
              <w:rPr>
                <w:rFonts w:cs="Arial"/>
                <w:szCs w:val="18"/>
                <w:lang w:eastAsia="zh-CN"/>
              </w:rPr>
              <w:t>monitoringType</w:t>
            </w:r>
            <w:r w:rsidRPr="000A0A5F">
              <w:rPr>
                <w:lang w:eastAsia="zh-CN"/>
              </w:rPr>
              <w:t>" is "</w:t>
            </w:r>
            <w:r w:rsidRPr="000A0A5F">
              <w:rPr>
                <w:rFonts w:cs="Arial"/>
                <w:szCs w:val="18"/>
                <w:lang w:eastAsia="zh-CN"/>
              </w:rPr>
              <w:t>NUMBER_OF_UES_IN_AN_AREA</w:t>
            </w:r>
            <w:r w:rsidRPr="000A0A5F">
              <w:rPr>
                <w:lang w:eastAsia="zh-CN"/>
              </w:rPr>
              <w:t>", this parameter shall be included to indicate the number of UEs found at the location.</w:t>
            </w:r>
          </w:p>
          <w:p w:rsidR="008F09E4" w:rsidRPr="000A0A5F" w:rsidRDefault="008F09E4" w:rsidP="008F09E4">
            <w:pPr>
              <w:pStyle w:val="TAL"/>
              <w:rPr>
                <w:rFonts w:hint="eastAsia"/>
                <w:lang w:eastAsia="zh-CN"/>
              </w:rPr>
            </w:pPr>
            <w:r w:rsidRPr="000A0A5F">
              <w:rPr>
                <w:lang w:eastAsia="zh-CN"/>
              </w:rPr>
              <w:t>If "subType" indicates "AERIAL_UE" subscription type, this parameter shall be included to indicate the number of UAV’s found at the location.</w:t>
            </w:r>
          </w:p>
        </w:tc>
        <w:tc>
          <w:tcPr>
            <w:tcW w:w="1257" w:type="dxa"/>
            <w:gridSpan w:val="2"/>
            <w:vAlign w:val="center"/>
          </w:tcPr>
          <w:p w:rsidR="008F09E4" w:rsidRPr="000A0A5F" w:rsidRDefault="008F09E4" w:rsidP="008F09E4">
            <w:pPr>
              <w:pStyle w:val="TAL"/>
              <w:rPr>
                <w:rFonts w:eastAsia="Times New Roman" w:cs="Arial"/>
                <w:szCs w:val="18"/>
              </w:rPr>
            </w:pPr>
            <w:r w:rsidRPr="000A0A5F">
              <w:rPr>
                <w:rFonts w:hint="eastAsia"/>
                <w:lang w:eastAsia="zh-CN"/>
              </w:rPr>
              <w:t>Number_of_UEs</w:t>
            </w:r>
            <w:r w:rsidRPr="000A0A5F">
              <w:rPr>
                <w:lang w:eastAsia="zh-CN"/>
              </w:rPr>
              <w:t xml:space="preserve">_in_an_area_notification, </w:t>
            </w:r>
            <w:r w:rsidRPr="000A0A5F">
              <w:rPr>
                <w:rFonts w:hint="eastAsia"/>
                <w:lang w:eastAsia="zh-CN"/>
              </w:rPr>
              <w:t>Number_of_UEs</w:t>
            </w:r>
            <w:r w:rsidRPr="000A0A5F">
              <w:rPr>
                <w:lang w:eastAsia="zh-CN"/>
              </w:rPr>
              <w:t>_in_an_area_notification_5G</w:t>
            </w:r>
          </w:p>
        </w:tc>
      </w:tr>
      <w:tr w:rsidR="008F09E4" w:rsidRPr="000A0A5F" w:rsidTr="00675CD5">
        <w:trPr>
          <w:gridAfter w:val="1"/>
          <w:wAfter w:w="36" w:type="dxa"/>
          <w:jc w:val="center"/>
        </w:trPr>
        <w:tc>
          <w:tcPr>
            <w:tcW w:w="1948" w:type="dxa"/>
            <w:gridSpan w:val="2"/>
            <w:shd w:val="clear" w:color="auto" w:fill="auto"/>
            <w:vAlign w:val="center"/>
          </w:tcPr>
          <w:p w:rsidR="008F09E4" w:rsidRPr="000A0A5F" w:rsidRDefault="008F09E4" w:rsidP="008F09E4">
            <w:pPr>
              <w:pStyle w:val="TAL"/>
              <w:rPr>
                <w:rFonts w:eastAsia="Times New Roman"/>
                <w:noProof/>
              </w:rPr>
            </w:pPr>
            <w:r w:rsidRPr="000A0A5F">
              <w:rPr>
                <w:rFonts w:hint="eastAsia"/>
                <w:lang w:eastAsia="zh-CN"/>
              </w:rPr>
              <w:t>p</w:t>
            </w:r>
            <w:r w:rsidRPr="000A0A5F">
              <w:rPr>
                <w:lang w:eastAsia="zh-CN"/>
              </w:rPr>
              <w:t>lmn</w:t>
            </w:r>
            <w:r w:rsidRPr="000A0A5F">
              <w:rPr>
                <w:rFonts w:hint="eastAsia"/>
                <w:lang w:eastAsia="zh-CN"/>
              </w:rPr>
              <w:t>Id</w:t>
            </w:r>
          </w:p>
        </w:tc>
        <w:tc>
          <w:tcPr>
            <w:tcW w:w="2126" w:type="dxa"/>
            <w:gridSpan w:val="2"/>
            <w:shd w:val="clear" w:color="auto" w:fill="auto"/>
            <w:vAlign w:val="center"/>
          </w:tcPr>
          <w:p w:rsidR="008F09E4" w:rsidRPr="000A0A5F" w:rsidRDefault="008F09E4" w:rsidP="008F09E4">
            <w:pPr>
              <w:pStyle w:val="TAL"/>
              <w:rPr>
                <w:rFonts w:eastAsia="Times New Roman"/>
              </w:rPr>
            </w:pPr>
            <w:r w:rsidRPr="000A0A5F">
              <w:rPr>
                <w:lang w:eastAsia="zh-CN"/>
              </w:rPr>
              <w:t>PlmnI</w:t>
            </w:r>
            <w:r w:rsidRPr="000A0A5F">
              <w:rPr>
                <w:rFonts w:hint="eastAsia"/>
                <w:lang w:eastAsia="zh-CN"/>
              </w:rPr>
              <w:t>d</w:t>
            </w:r>
          </w:p>
        </w:tc>
        <w:tc>
          <w:tcPr>
            <w:tcW w:w="1276" w:type="dxa"/>
            <w:gridSpan w:val="2"/>
            <w:shd w:val="clear" w:color="auto" w:fill="auto"/>
            <w:vAlign w:val="center"/>
          </w:tcPr>
          <w:p w:rsidR="008F09E4" w:rsidRPr="000A0A5F" w:rsidRDefault="008F09E4" w:rsidP="008F09E4">
            <w:pPr>
              <w:pStyle w:val="TAL"/>
              <w:rPr>
                <w:rFonts w:eastAsia="Times New Roman"/>
              </w:rPr>
            </w:pPr>
            <w:r w:rsidRPr="000A0A5F">
              <w:rPr>
                <w:rFonts w:hint="eastAsia"/>
                <w:lang w:eastAsia="zh-CN"/>
              </w:rPr>
              <w:t>0..1</w:t>
            </w:r>
          </w:p>
        </w:tc>
        <w:tc>
          <w:tcPr>
            <w:tcW w:w="2995" w:type="dxa"/>
            <w:gridSpan w:val="2"/>
            <w:shd w:val="clear" w:color="auto" w:fill="auto"/>
            <w:vAlign w:val="center"/>
          </w:tcPr>
          <w:p w:rsidR="008F09E4" w:rsidRPr="000A0A5F" w:rsidRDefault="008F09E4" w:rsidP="008F09E4">
            <w:pPr>
              <w:pStyle w:val="TAL"/>
              <w:rPr>
                <w:rFonts w:hint="eastAsia"/>
                <w:lang w:eastAsia="zh-CN"/>
              </w:rPr>
            </w:pPr>
            <w:r w:rsidRPr="000A0A5F">
              <w:rPr>
                <w:rFonts w:cs="Arial"/>
                <w:szCs w:val="18"/>
                <w:lang w:eastAsia="zh-CN"/>
              </w:rPr>
              <w:t>If "monitoringType" is "ROAMING_STATUS" and "plmnIIndication" in the "MonitoringEventSubscription" sets to "true", this parameter shall be included to indicate the UE's serving PLMN.</w:t>
            </w:r>
          </w:p>
        </w:tc>
        <w:tc>
          <w:tcPr>
            <w:tcW w:w="1257" w:type="dxa"/>
            <w:gridSpan w:val="2"/>
            <w:vAlign w:val="center"/>
          </w:tcPr>
          <w:p w:rsidR="008F09E4" w:rsidRPr="000A0A5F" w:rsidRDefault="008F09E4" w:rsidP="008F09E4">
            <w:pPr>
              <w:pStyle w:val="TAL"/>
              <w:rPr>
                <w:rFonts w:eastAsia="Times New Roman" w:cs="Arial"/>
                <w:szCs w:val="18"/>
              </w:rPr>
            </w:pPr>
            <w:r w:rsidRPr="000A0A5F">
              <w:rPr>
                <w:lang w:eastAsia="zh-CN"/>
              </w:rPr>
              <w:t>Roaming_status_notification</w:t>
            </w:r>
          </w:p>
        </w:tc>
      </w:tr>
      <w:tr w:rsidR="008F09E4" w:rsidRPr="000A0A5F" w:rsidTr="00675CD5">
        <w:trPr>
          <w:gridAfter w:val="1"/>
          <w:wAfter w:w="36" w:type="dxa"/>
          <w:jc w:val="center"/>
        </w:trPr>
        <w:tc>
          <w:tcPr>
            <w:tcW w:w="1948" w:type="dxa"/>
            <w:gridSpan w:val="2"/>
            <w:shd w:val="clear" w:color="auto" w:fill="auto"/>
            <w:vAlign w:val="center"/>
          </w:tcPr>
          <w:p w:rsidR="008F09E4" w:rsidRPr="000A0A5F" w:rsidRDefault="008F09E4" w:rsidP="008F09E4">
            <w:pPr>
              <w:pStyle w:val="TAL"/>
              <w:rPr>
                <w:rFonts w:eastAsia="Times New Roman"/>
                <w:noProof/>
              </w:rPr>
            </w:pPr>
            <w:r w:rsidRPr="000A0A5F">
              <w:rPr>
                <w:rFonts w:hint="eastAsia"/>
                <w:noProof/>
                <w:lang w:eastAsia="zh-CN"/>
              </w:rPr>
              <w:t>reachabilityType</w:t>
            </w:r>
          </w:p>
        </w:tc>
        <w:tc>
          <w:tcPr>
            <w:tcW w:w="2126" w:type="dxa"/>
            <w:gridSpan w:val="2"/>
            <w:shd w:val="clear" w:color="auto" w:fill="auto"/>
            <w:vAlign w:val="center"/>
          </w:tcPr>
          <w:p w:rsidR="008F09E4" w:rsidRPr="000A0A5F" w:rsidRDefault="008F09E4" w:rsidP="008F09E4">
            <w:pPr>
              <w:pStyle w:val="TAL"/>
              <w:rPr>
                <w:rFonts w:eastAsia="Times New Roman"/>
              </w:rPr>
            </w:pPr>
            <w:r w:rsidRPr="000A0A5F">
              <w:rPr>
                <w:rFonts w:hint="eastAsia"/>
                <w:lang w:eastAsia="zh-CN"/>
              </w:rPr>
              <w:t>ReachabilityType</w:t>
            </w:r>
          </w:p>
        </w:tc>
        <w:tc>
          <w:tcPr>
            <w:tcW w:w="1276" w:type="dxa"/>
            <w:gridSpan w:val="2"/>
            <w:shd w:val="clear" w:color="auto" w:fill="auto"/>
            <w:vAlign w:val="center"/>
          </w:tcPr>
          <w:p w:rsidR="008F09E4" w:rsidRPr="000A0A5F" w:rsidRDefault="008F09E4" w:rsidP="008F09E4">
            <w:pPr>
              <w:pStyle w:val="TAL"/>
              <w:rPr>
                <w:rFonts w:eastAsia="Times New Roman"/>
              </w:rPr>
            </w:pPr>
            <w:r w:rsidRPr="000A0A5F">
              <w:rPr>
                <w:rFonts w:hint="eastAsia"/>
                <w:lang w:eastAsia="zh-CN"/>
              </w:rPr>
              <w:t>0..1</w:t>
            </w:r>
          </w:p>
        </w:tc>
        <w:tc>
          <w:tcPr>
            <w:tcW w:w="2995" w:type="dxa"/>
            <w:gridSpan w:val="2"/>
            <w:shd w:val="clear" w:color="auto" w:fill="auto"/>
            <w:vAlign w:val="center"/>
          </w:tcPr>
          <w:p w:rsidR="008F09E4" w:rsidRPr="000A0A5F" w:rsidRDefault="008F09E4" w:rsidP="008F09E4">
            <w:pPr>
              <w:pStyle w:val="TAL"/>
              <w:spacing w:afterLines="50" w:after="120"/>
              <w:rPr>
                <w:rFonts w:cs="Arial"/>
                <w:szCs w:val="18"/>
                <w:lang w:eastAsia="zh-CN"/>
              </w:rPr>
            </w:pPr>
            <w:r w:rsidRPr="000A0A5F">
              <w:rPr>
                <w:rFonts w:cs="Arial"/>
                <w:szCs w:val="18"/>
                <w:lang w:eastAsia="zh-CN"/>
              </w:rPr>
              <w:t>If "monitoringType" is "</w:t>
            </w:r>
            <w:r w:rsidRPr="000A0A5F">
              <w:rPr>
                <w:rFonts w:eastAsia="Times New Roman" w:cs="Arial"/>
                <w:szCs w:val="18"/>
              </w:rPr>
              <w:t>UE_REACHABILITY</w:t>
            </w:r>
            <w:r w:rsidRPr="000A0A5F">
              <w:rPr>
                <w:rFonts w:cs="Arial"/>
                <w:szCs w:val="18"/>
                <w:lang w:eastAsia="zh-CN"/>
              </w:rPr>
              <w:t>", this parameter shall be included to identify the reachability of the UE.</w:t>
            </w:r>
          </w:p>
          <w:p w:rsidR="008F09E4" w:rsidRPr="000A0A5F" w:rsidRDefault="008F09E4" w:rsidP="008F09E4">
            <w:pPr>
              <w:pStyle w:val="TAL"/>
              <w:rPr>
                <w:rFonts w:hint="eastAsia"/>
                <w:lang w:eastAsia="zh-CN"/>
              </w:rPr>
            </w:pPr>
            <w:r w:rsidRPr="000A0A5F">
              <w:rPr>
                <w:rFonts w:eastAsia="Times New Roman" w:cs="Arial"/>
                <w:szCs w:val="18"/>
              </w:rPr>
              <w:t>Refer to 3GPP TS 29.336 [11] Clause 8.4.20.</w:t>
            </w:r>
          </w:p>
        </w:tc>
        <w:tc>
          <w:tcPr>
            <w:tcW w:w="1257" w:type="dxa"/>
            <w:gridSpan w:val="2"/>
            <w:vAlign w:val="center"/>
          </w:tcPr>
          <w:p w:rsidR="008F09E4" w:rsidRPr="000A0A5F" w:rsidRDefault="008F09E4" w:rsidP="008F09E4">
            <w:pPr>
              <w:pStyle w:val="TAL"/>
              <w:rPr>
                <w:rFonts w:eastAsia="Times New Roman" w:cs="Arial"/>
                <w:szCs w:val="18"/>
              </w:rPr>
            </w:pPr>
            <w:r w:rsidRPr="000A0A5F">
              <w:t>Ue-reachability_notification</w:t>
            </w:r>
          </w:p>
        </w:tc>
      </w:tr>
      <w:tr w:rsidR="008F09E4" w:rsidRPr="000A0A5F" w:rsidTr="00675CD5">
        <w:trPr>
          <w:gridAfter w:val="1"/>
          <w:wAfter w:w="36" w:type="dxa"/>
          <w:jc w:val="center"/>
        </w:trPr>
        <w:tc>
          <w:tcPr>
            <w:tcW w:w="1948" w:type="dxa"/>
            <w:gridSpan w:val="2"/>
            <w:shd w:val="clear" w:color="auto" w:fill="auto"/>
            <w:vAlign w:val="center"/>
          </w:tcPr>
          <w:p w:rsidR="008F09E4" w:rsidRPr="000A0A5F" w:rsidRDefault="008F09E4" w:rsidP="008F09E4">
            <w:pPr>
              <w:pStyle w:val="TAL"/>
              <w:rPr>
                <w:rFonts w:eastAsia="Times New Roman"/>
              </w:rPr>
            </w:pPr>
            <w:r w:rsidRPr="000A0A5F">
              <w:rPr>
                <w:rFonts w:eastAsia="Times New Roman"/>
              </w:rPr>
              <w:t>r</w:t>
            </w:r>
            <w:r w:rsidRPr="000A0A5F">
              <w:rPr>
                <w:rFonts w:eastAsia="Times New Roman" w:hint="eastAsia"/>
              </w:rPr>
              <w:t>oamingStatus</w:t>
            </w:r>
          </w:p>
        </w:tc>
        <w:tc>
          <w:tcPr>
            <w:tcW w:w="2126" w:type="dxa"/>
            <w:gridSpan w:val="2"/>
            <w:shd w:val="clear" w:color="auto" w:fill="auto"/>
            <w:vAlign w:val="center"/>
          </w:tcPr>
          <w:p w:rsidR="008F09E4" w:rsidRPr="000A0A5F" w:rsidRDefault="008F09E4" w:rsidP="008F09E4">
            <w:pPr>
              <w:pStyle w:val="TAL"/>
              <w:rPr>
                <w:rFonts w:eastAsia="Times New Roman"/>
              </w:rPr>
            </w:pPr>
            <w:r w:rsidRPr="000A0A5F">
              <w:rPr>
                <w:lang w:eastAsia="zh-CN"/>
              </w:rPr>
              <w:t>boolean</w:t>
            </w:r>
          </w:p>
        </w:tc>
        <w:tc>
          <w:tcPr>
            <w:tcW w:w="1276" w:type="dxa"/>
            <w:gridSpan w:val="2"/>
            <w:shd w:val="clear" w:color="auto" w:fill="auto"/>
            <w:vAlign w:val="center"/>
          </w:tcPr>
          <w:p w:rsidR="008F09E4" w:rsidRPr="000A0A5F" w:rsidRDefault="008F09E4" w:rsidP="008F09E4">
            <w:pPr>
              <w:pStyle w:val="TAL"/>
              <w:rPr>
                <w:rFonts w:eastAsia="Times New Roman"/>
              </w:rPr>
            </w:pPr>
            <w:r w:rsidRPr="000A0A5F">
              <w:rPr>
                <w:rFonts w:eastAsia="Times New Roman"/>
              </w:rPr>
              <w:t>0..1</w:t>
            </w:r>
          </w:p>
        </w:tc>
        <w:tc>
          <w:tcPr>
            <w:tcW w:w="2995" w:type="dxa"/>
            <w:gridSpan w:val="2"/>
            <w:shd w:val="clear" w:color="auto" w:fill="auto"/>
            <w:vAlign w:val="center"/>
          </w:tcPr>
          <w:p w:rsidR="008F09E4" w:rsidRPr="000A0A5F" w:rsidRDefault="0097141E" w:rsidP="008F09E4">
            <w:pPr>
              <w:pStyle w:val="TAL"/>
              <w:spacing w:afterLines="50" w:after="120"/>
              <w:rPr>
                <w:rFonts w:cs="Arial" w:hint="eastAsia"/>
                <w:szCs w:val="18"/>
                <w:lang w:eastAsia="zh-CN"/>
              </w:rPr>
            </w:pPr>
            <w:r w:rsidRPr="000A0A5F">
              <w:rPr>
                <w:rFonts w:cs="Arial"/>
                <w:szCs w:val="18"/>
                <w:lang w:eastAsia="zh-CN"/>
              </w:rPr>
              <w:t xml:space="preserve">If "monitoringType" is "ROAMING_STATUS", this parameter shall be set to "true" if the </w:t>
            </w:r>
            <w:r w:rsidRPr="000A0A5F">
              <w:rPr>
                <w:rFonts w:cs="Arial" w:hint="eastAsia"/>
                <w:szCs w:val="18"/>
                <w:lang w:eastAsia="zh-CN"/>
              </w:rPr>
              <w:t>new</w:t>
            </w:r>
            <w:r w:rsidRPr="000A0A5F">
              <w:rPr>
                <w:rFonts w:cs="Arial"/>
                <w:szCs w:val="18"/>
                <w:lang w:eastAsia="zh-CN"/>
              </w:rPr>
              <w:t xml:space="preserve"> serving PLMN is different from the HPLMN. </w:t>
            </w:r>
            <w:r w:rsidRPr="000A0A5F">
              <w:rPr>
                <w:lang w:eastAsia="zh-CN"/>
              </w:rPr>
              <w:t>Set to false or omitted otherwise.</w:t>
            </w:r>
          </w:p>
        </w:tc>
        <w:tc>
          <w:tcPr>
            <w:tcW w:w="1257" w:type="dxa"/>
            <w:gridSpan w:val="2"/>
            <w:vAlign w:val="center"/>
          </w:tcPr>
          <w:p w:rsidR="008F09E4" w:rsidRPr="000A0A5F" w:rsidRDefault="008F09E4" w:rsidP="008F09E4">
            <w:pPr>
              <w:pStyle w:val="TAL"/>
              <w:rPr>
                <w:rFonts w:eastAsia="Times New Roman" w:cs="Arial"/>
                <w:szCs w:val="18"/>
              </w:rPr>
            </w:pPr>
            <w:r w:rsidRPr="000A0A5F">
              <w:rPr>
                <w:lang w:eastAsia="zh-CN"/>
              </w:rPr>
              <w:t>Roaming_status_notification</w:t>
            </w:r>
          </w:p>
        </w:tc>
      </w:tr>
      <w:tr w:rsidR="008F09E4" w:rsidRPr="000A0A5F" w:rsidTr="00675CD5">
        <w:trPr>
          <w:gridAfter w:val="1"/>
          <w:wAfter w:w="36" w:type="dxa"/>
          <w:jc w:val="center"/>
        </w:trPr>
        <w:tc>
          <w:tcPr>
            <w:tcW w:w="1948" w:type="dxa"/>
            <w:gridSpan w:val="2"/>
            <w:shd w:val="clear" w:color="auto" w:fill="auto"/>
            <w:vAlign w:val="center"/>
          </w:tcPr>
          <w:p w:rsidR="008F09E4" w:rsidRPr="000A0A5F" w:rsidRDefault="008F09E4" w:rsidP="008F09E4">
            <w:pPr>
              <w:pStyle w:val="TAL"/>
              <w:rPr>
                <w:rFonts w:eastAsia="Times New Roman"/>
              </w:rPr>
            </w:pPr>
            <w:r w:rsidRPr="000A0A5F">
              <w:rPr>
                <w:lang w:eastAsia="zh-CN"/>
              </w:rPr>
              <w:t>failureCause</w:t>
            </w:r>
          </w:p>
        </w:tc>
        <w:tc>
          <w:tcPr>
            <w:tcW w:w="2126" w:type="dxa"/>
            <w:gridSpan w:val="2"/>
            <w:shd w:val="clear" w:color="auto" w:fill="auto"/>
            <w:vAlign w:val="center"/>
          </w:tcPr>
          <w:p w:rsidR="008F09E4" w:rsidRPr="000A0A5F" w:rsidRDefault="008F09E4" w:rsidP="008F09E4">
            <w:pPr>
              <w:pStyle w:val="TAL"/>
              <w:rPr>
                <w:lang w:eastAsia="zh-CN"/>
              </w:rPr>
            </w:pPr>
            <w:r w:rsidRPr="000A0A5F">
              <w:rPr>
                <w:lang w:eastAsia="zh-CN"/>
              </w:rPr>
              <w:t>FailureCause</w:t>
            </w:r>
          </w:p>
        </w:tc>
        <w:tc>
          <w:tcPr>
            <w:tcW w:w="1276" w:type="dxa"/>
            <w:gridSpan w:val="2"/>
            <w:shd w:val="clear" w:color="auto" w:fill="auto"/>
            <w:vAlign w:val="center"/>
          </w:tcPr>
          <w:p w:rsidR="008F09E4" w:rsidRPr="000A0A5F" w:rsidRDefault="008F09E4" w:rsidP="008F09E4">
            <w:pPr>
              <w:pStyle w:val="TAL"/>
              <w:rPr>
                <w:rFonts w:eastAsia="Times New Roman"/>
              </w:rPr>
            </w:pPr>
            <w:r w:rsidRPr="000A0A5F">
              <w:rPr>
                <w:rFonts w:eastAsia="Times New Roman"/>
              </w:rPr>
              <w:t>0..1</w:t>
            </w:r>
          </w:p>
        </w:tc>
        <w:tc>
          <w:tcPr>
            <w:tcW w:w="2995" w:type="dxa"/>
            <w:gridSpan w:val="2"/>
            <w:shd w:val="clear" w:color="auto" w:fill="auto"/>
            <w:vAlign w:val="center"/>
          </w:tcPr>
          <w:p w:rsidR="008F09E4" w:rsidRPr="000A0A5F" w:rsidRDefault="008F09E4" w:rsidP="008F09E4">
            <w:pPr>
              <w:pStyle w:val="TAL"/>
              <w:spacing w:afterLines="50" w:after="120"/>
              <w:rPr>
                <w:rFonts w:cs="Arial"/>
                <w:szCs w:val="18"/>
                <w:lang w:eastAsia="zh-CN"/>
              </w:rPr>
            </w:pPr>
            <w:r w:rsidRPr="000A0A5F">
              <w:rPr>
                <w:rFonts w:cs="Arial"/>
                <w:szCs w:val="18"/>
                <w:lang w:eastAsia="zh-CN"/>
              </w:rPr>
              <w:t>If "monitoringType" is "</w:t>
            </w:r>
            <w:r w:rsidRPr="000A0A5F">
              <w:rPr>
                <w:rFonts w:cs="Arial"/>
                <w:szCs w:val="18"/>
              </w:rPr>
              <w:t>COMMUNICATION_FAILURE</w:t>
            </w:r>
            <w:r w:rsidRPr="000A0A5F">
              <w:rPr>
                <w:rFonts w:cs="Arial"/>
                <w:szCs w:val="18"/>
                <w:lang w:eastAsia="zh-CN"/>
              </w:rPr>
              <w:t>", this parameter shall be included to indicate the reason of communication failure</w:t>
            </w:r>
            <w:r w:rsidRPr="000A0A5F">
              <w:rPr>
                <w:rFonts w:eastAsia="Times New Roman" w:cs="Arial"/>
                <w:szCs w:val="18"/>
              </w:rPr>
              <w:t>.</w:t>
            </w:r>
          </w:p>
        </w:tc>
        <w:tc>
          <w:tcPr>
            <w:tcW w:w="1257" w:type="dxa"/>
            <w:gridSpan w:val="2"/>
            <w:vAlign w:val="center"/>
          </w:tcPr>
          <w:p w:rsidR="008F09E4" w:rsidRPr="000A0A5F" w:rsidRDefault="008F09E4" w:rsidP="008F09E4">
            <w:pPr>
              <w:pStyle w:val="TAL"/>
              <w:rPr>
                <w:lang w:eastAsia="zh-CN"/>
              </w:rPr>
            </w:pPr>
            <w:r w:rsidRPr="000A0A5F">
              <w:t>Communication_failure_notification</w:t>
            </w:r>
          </w:p>
        </w:tc>
      </w:tr>
      <w:tr w:rsidR="008F09E4" w:rsidRPr="000A0A5F" w:rsidTr="00675CD5">
        <w:trPr>
          <w:gridAfter w:val="1"/>
          <w:wAfter w:w="36" w:type="dxa"/>
          <w:jc w:val="center"/>
        </w:trPr>
        <w:tc>
          <w:tcPr>
            <w:tcW w:w="1948" w:type="dxa"/>
            <w:gridSpan w:val="2"/>
            <w:shd w:val="clear" w:color="auto" w:fill="auto"/>
            <w:vAlign w:val="center"/>
          </w:tcPr>
          <w:p w:rsidR="008F09E4" w:rsidRPr="000A0A5F" w:rsidRDefault="008F09E4" w:rsidP="008F09E4">
            <w:pPr>
              <w:pStyle w:val="TAL"/>
              <w:rPr>
                <w:lang w:eastAsia="zh-CN"/>
              </w:rPr>
            </w:pPr>
            <w:r w:rsidRPr="000A0A5F">
              <w:rPr>
                <w:lang w:eastAsia="zh-CN"/>
              </w:rPr>
              <w:t>eventTime</w:t>
            </w:r>
          </w:p>
        </w:tc>
        <w:tc>
          <w:tcPr>
            <w:tcW w:w="2126" w:type="dxa"/>
            <w:gridSpan w:val="2"/>
            <w:shd w:val="clear" w:color="auto" w:fill="auto"/>
            <w:vAlign w:val="center"/>
          </w:tcPr>
          <w:p w:rsidR="008F09E4" w:rsidRPr="000A0A5F" w:rsidRDefault="008F09E4" w:rsidP="008F09E4">
            <w:pPr>
              <w:pStyle w:val="TAL"/>
              <w:rPr>
                <w:lang w:eastAsia="zh-CN"/>
              </w:rPr>
            </w:pPr>
            <w:r w:rsidRPr="000A0A5F">
              <w:rPr>
                <w:rFonts w:cs="Arial"/>
                <w:szCs w:val="18"/>
                <w:lang w:eastAsia="zh-CN"/>
              </w:rPr>
              <w:t>DateTime</w:t>
            </w:r>
          </w:p>
        </w:tc>
        <w:tc>
          <w:tcPr>
            <w:tcW w:w="1276" w:type="dxa"/>
            <w:gridSpan w:val="2"/>
            <w:shd w:val="clear" w:color="auto" w:fill="auto"/>
            <w:vAlign w:val="center"/>
          </w:tcPr>
          <w:p w:rsidR="008F09E4" w:rsidRPr="000A0A5F" w:rsidRDefault="008F09E4" w:rsidP="008F09E4">
            <w:pPr>
              <w:pStyle w:val="TAL"/>
              <w:rPr>
                <w:rFonts w:eastAsia="Times New Roman"/>
              </w:rPr>
            </w:pPr>
            <w:r w:rsidRPr="000A0A5F">
              <w:rPr>
                <w:rFonts w:eastAsia="Times New Roman"/>
              </w:rPr>
              <w:t>0..1</w:t>
            </w:r>
          </w:p>
        </w:tc>
        <w:tc>
          <w:tcPr>
            <w:tcW w:w="2995" w:type="dxa"/>
            <w:gridSpan w:val="2"/>
            <w:shd w:val="clear" w:color="auto" w:fill="auto"/>
            <w:vAlign w:val="center"/>
          </w:tcPr>
          <w:p w:rsidR="008F09E4" w:rsidRPr="000A0A5F" w:rsidRDefault="008F09E4" w:rsidP="008F09E4">
            <w:pPr>
              <w:pStyle w:val="TAL"/>
              <w:spacing w:afterLines="50" w:after="120"/>
              <w:rPr>
                <w:rFonts w:cs="Arial"/>
                <w:szCs w:val="18"/>
                <w:lang w:eastAsia="zh-CN"/>
              </w:rPr>
            </w:pPr>
            <w:r w:rsidRPr="000A0A5F">
              <w:rPr>
                <w:rFonts w:cs="Arial"/>
                <w:szCs w:val="18"/>
                <w:lang w:eastAsia="zh-CN"/>
              </w:rPr>
              <w:t>Identifies when the event is detected or received.</w:t>
            </w:r>
          </w:p>
          <w:p w:rsidR="008F09E4" w:rsidRPr="000A0A5F" w:rsidRDefault="008F09E4" w:rsidP="008F09E4">
            <w:pPr>
              <w:pStyle w:val="TAL"/>
              <w:rPr>
                <w:rFonts w:cs="Arial"/>
                <w:szCs w:val="18"/>
                <w:lang w:eastAsia="zh-CN"/>
              </w:rPr>
            </w:pPr>
            <w:r w:rsidRPr="000A0A5F">
              <w:rPr>
                <w:rFonts w:cs="Arial"/>
                <w:szCs w:val="18"/>
                <w:lang w:eastAsia="zh-CN"/>
              </w:rPr>
              <w:t>Shall be included for each group of UEs.</w:t>
            </w:r>
          </w:p>
        </w:tc>
        <w:tc>
          <w:tcPr>
            <w:tcW w:w="1257" w:type="dxa"/>
            <w:gridSpan w:val="2"/>
            <w:vAlign w:val="center"/>
          </w:tcPr>
          <w:p w:rsidR="008F09E4" w:rsidRPr="000A0A5F" w:rsidRDefault="008F09E4" w:rsidP="008F09E4">
            <w:pPr>
              <w:pStyle w:val="TAL"/>
            </w:pPr>
          </w:p>
        </w:tc>
      </w:tr>
      <w:tr w:rsidR="008F09E4" w:rsidRPr="000A0A5F" w:rsidTr="00675CD5">
        <w:trPr>
          <w:gridAfter w:val="1"/>
          <w:wAfter w:w="36" w:type="dxa"/>
          <w:jc w:val="center"/>
        </w:trPr>
        <w:tc>
          <w:tcPr>
            <w:tcW w:w="1948" w:type="dxa"/>
            <w:gridSpan w:val="2"/>
            <w:shd w:val="clear" w:color="auto" w:fill="auto"/>
            <w:vAlign w:val="center"/>
          </w:tcPr>
          <w:p w:rsidR="008F09E4" w:rsidRPr="000A0A5F" w:rsidRDefault="008F09E4" w:rsidP="008F09E4">
            <w:pPr>
              <w:pStyle w:val="TAL"/>
              <w:rPr>
                <w:lang w:eastAsia="zh-CN"/>
              </w:rPr>
            </w:pPr>
            <w:r w:rsidRPr="000A0A5F">
              <w:rPr>
                <w:lang w:eastAsia="zh-CN"/>
              </w:rPr>
              <w:t>pdnConnInfoList</w:t>
            </w:r>
          </w:p>
        </w:tc>
        <w:tc>
          <w:tcPr>
            <w:tcW w:w="2126" w:type="dxa"/>
            <w:gridSpan w:val="2"/>
            <w:shd w:val="clear" w:color="auto" w:fill="auto"/>
            <w:vAlign w:val="center"/>
          </w:tcPr>
          <w:p w:rsidR="008F09E4" w:rsidRPr="000A0A5F" w:rsidRDefault="008F09E4" w:rsidP="008F09E4">
            <w:pPr>
              <w:pStyle w:val="TAL"/>
              <w:rPr>
                <w:rFonts w:cs="Arial"/>
                <w:szCs w:val="18"/>
                <w:lang w:eastAsia="zh-CN"/>
              </w:rPr>
            </w:pPr>
            <w:r w:rsidRPr="000A0A5F">
              <w:rPr>
                <w:lang w:eastAsia="zh-CN"/>
              </w:rPr>
              <w:t>array(PdnConnectionInformation)</w:t>
            </w:r>
          </w:p>
        </w:tc>
        <w:tc>
          <w:tcPr>
            <w:tcW w:w="1276" w:type="dxa"/>
            <w:gridSpan w:val="2"/>
            <w:shd w:val="clear" w:color="auto" w:fill="auto"/>
            <w:vAlign w:val="center"/>
          </w:tcPr>
          <w:p w:rsidR="008F09E4" w:rsidRPr="000A0A5F" w:rsidRDefault="008F09E4" w:rsidP="008F09E4">
            <w:pPr>
              <w:pStyle w:val="TAL"/>
              <w:rPr>
                <w:rFonts w:eastAsia="Times New Roman"/>
              </w:rPr>
            </w:pPr>
            <w:r w:rsidRPr="000A0A5F">
              <w:rPr>
                <w:rFonts w:eastAsia="Times New Roman"/>
              </w:rPr>
              <w:t>0..N</w:t>
            </w:r>
          </w:p>
        </w:tc>
        <w:tc>
          <w:tcPr>
            <w:tcW w:w="2995" w:type="dxa"/>
            <w:gridSpan w:val="2"/>
            <w:shd w:val="clear" w:color="auto" w:fill="auto"/>
            <w:vAlign w:val="center"/>
          </w:tcPr>
          <w:p w:rsidR="008F09E4" w:rsidRPr="000A0A5F" w:rsidRDefault="008F09E4" w:rsidP="008F09E4">
            <w:pPr>
              <w:pStyle w:val="TAL"/>
              <w:spacing w:afterLines="50" w:after="120"/>
              <w:rPr>
                <w:rFonts w:cs="Arial"/>
                <w:szCs w:val="18"/>
                <w:lang w:eastAsia="zh-CN"/>
              </w:rPr>
            </w:pPr>
            <w:r w:rsidRPr="000A0A5F">
              <w:rPr>
                <w:rFonts w:cs="Arial"/>
                <w:szCs w:val="18"/>
                <w:lang w:eastAsia="zh-CN"/>
              </w:rPr>
              <w:t>If "monitoringType" is "</w:t>
            </w:r>
            <w:r w:rsidRPr="000A0A5F">
              <w:rPr>
                <w:rFonts w:cs="Arial"/>
                <w:szCs w:val="18"/>
              </w:rPr>
              <w:t>PDN_CONNECTIVITY_STATUS</w:t>
            </w:r>
            <w:r w:rsidRPr="000A0A5F">
              <w:rPr>
                <w:rFonts w:cs="Arial"/>
                <w:szCs w:val="18"/>
                <w:lang w:eastAsia="zh-CN"/>
              </w:rPr>
              <w:t>", this parameter shall be included to indicate the PDN connection details</w:t>
            </w:r>
            <w:r w:rsidRPr="000A0A5F">
              <w:rPr>
                <w:rFonts w:eastAsia="Times New Roman" w:cs="Arial"/>
                <w:szCs w:val="18"/>
              </w:rPr>
              <w:t>.</w:t>
            </w:r>
          </w:p>
        </w:tc>
        <w:tc>
          <w:tcPr>
            <w:tcW w:w="1257" w:type="dxa"/>
            <w:gridSpan w:val="2"/>
            <w:vAlign w:val="center"/>
          </w:tcPr>
          <w:p w:rsidR="008F09E4" w:rsidRPr="000A0A5F" w:rsidRDefault="008F09E4" w:rsidP="008F09E4">
            <w:pPr>
              <w:pStyle w:val="TAL"/>
            </w:pPr>
            <w:r w:rsidRPr="000A0A5F">
              <w:t>Pdn_connectivity_status</w:t>
            </w:r>
          </w:p>
        </w:tc>
      </w:tr>
      <w:tr w:rsidR="008F09E4" w:rsidRPr="000A0A5F" w:rsidTr="00675CD5">
        <w:trPr>
          <w:gridAfter w:val="1"/>
          <w:wAfter w:w="36" w:type="dxa"/>
          <w:jc w:val="center"/>
        </w:trPr>
        <w:tc>
          <w:tcPr>
            <w:tcW w:w="1948" w:type="dxa"/>
            <w:gridSpan w:val="2"/>
            <w:shd w:val="clear" w:color="auto" w:fill="auto"/>
            <w:vAlign w:val="center"/>
          </w:tcPr>
          <w:p w:rsidR="008F09E4" w:rsidRPr="000A0A5F" w:rsidRDefault="008F09E4" w:rsidP="008F09E4">
            <w:pPr>
              <w:pStyle w:val="TAL"/>
              <w:rPr>
                <w:lang w:eastAsia="zh-CN"/>
              </w:rPr>
            </w:pPr>
            <w:r w:rsidRPr="000A0A5F">
              <w:rPr>
                <w:noProof/>
                <w:lang w:eastAsia="zh-CN"/>
              </w:rPr>
              <w:t>dddStatus</w:t>
            </w:r>
          </w:p>
        </w:tc>
        <w:tc>
          <w:tcPr>
            <w:tcW w:w="2126" w:type="dxa"/>
            <w:gridSpan w:val="2"/>
            <w:shd w:val="clear" w:color="auto" w:fill="auto"/>
            <w:vAlign w:val="center"/>
          </w:tcPr>
          <w:p w:rsidR="008F09E4" w:rsidRPr="000A0A5F" w:rsidRDefault="008F09E4" w:rsidP="008F09E4">
            <w:pPr>
              <w:pStyle w:val="TAL"/>
              <w:rPr>
                <w:lang w:eastAsia="zh-CN"/>
              </w:rPr>
            </w:pPr>
            <w:r w:rsidRPr="000A0A5F">
              <w:t>DlDataDelivery</w:t>
            </w:r>
            <w:r w:rsidRPr="000A0A5F">
              <w:rPr>
                <w:noProof/>
              </w:rPr>
              <w:t>Status</w:t>
            </w:r>
          </w:p>
        </w:tc>
        <w:tc>
          <w:tcPr>
            <w:tcW w:w="1276" w:type="dxa"/>
            <w:gridSpan w:val="2"/>
            <w:shd w:val="clear" w:color="auto" w:fill="auto"/>
            <w:vAlign w:val="center"/>
          </w:tcPr>
          <w:p w:rsidR="008F09E4" w:rsidRPr="000A0A5F" w:rsidRDefault="008F09E4" w:rsidP="008F09E4">
            <w:pPr>
              <w:pStyle w:val="TAL"/>
              <w:rPr>
                <w:rFonts w:eastAsia="Times New Roman"/>
              </w:rPr>
            </w:pPr>
            <w:r w:rsidRPr="000A0A5F">
              <w:rPr>
                <w:lang w:eastAsia="zh-CN"/>
              </w:rPr>
              <w:t>0..</w:t>
            </w:r>
            <w:r w:rsidRPr="000A0A5F">
              <w:rPr>
                <w:rFonts w:hint="eastAsia"/>
                <w:lang w:eastAsia="zh-CN"/>
              </w:rPr>
              <w:t>1</w:t>
            </w:r>
          </w:p>
        </w:tc>
        <w:tc>
          <w:tcPr>
            <w:tcW w:w="2995" w:type="dxa"/>
            <w:gridSpan w:val="2"/>
            <w:shd w:val="clear" w:color="auto" w:fill="auto"/>
            <w:vAlign w:val="center"/>
          </w:tcPr>
          <w:p w:rsidR="008F09E4" w:rsidRPr="000A0A5F" w:rsidRDefault="008F09E4" w:rsidP="008F09E4">
            <w:pPr>
              <w:pStyle w:val="TAL"/>
              <w:spacing w:afterLines="50" w:after="120"/>
              <w:rPr>
                <w:rFonts w:cs="Arial"/>
                <w:szCs w:val="18"/>
                <w:lang w:eastAsia="zh-CN"/>
              </w:rPr>
            </w:pPr>
            <w:r w:rsidRPr="000A0A5F">
              <w:rPr>
                <w:rFonts w:cs="Arial"/>
                <w:szCs w:val="18"/>
                <w:lang w:eastAsia="zh-CN"/>
              </w:rPr>
              <w:t>If "monitoringType" is "</w:t>
            </w:r>
            <w:r w:rsidRPr="000A0A5F">
              <w:rPr>
                <w:noProof/>
              </w:rPr>
              <w:t>DOWNLINK_DATA_DELIVERY_STATUS", this parameter shall be included to</w:t>
            </w:r>
            <w:r w:rsidRPr="000A0A5F">
              <w:rPr>
                <w:rFonts w:cs="Arial"/>
                <w:szCs w:val="18"/>
                <w:lang w:eastAsia="zh-CN"/>
              </w:rPr>
              <w:t xml:space="preserve"> identify the downlink data delivery status detected by the network.</w:t>
            </w:r>
          </w:p>
        </w:tc>
        <w:tc>
          <w:tcPr>
            <w:tcW w:w="1257" w:type="dxa"/>
            <w:gridSpan w:val="2"/>
            <w:vAlign w:val="center"/>
          </w:tcPr>
          <w:p w:rsidR="008F09E4" w:rsidRPr="000A0A5F" w:rsidRDefault="008F09E4" w:rsidP="008F09E4">
            <w:pPr>
              <w:pStyle w:val="TAL"/>
            </w:pPr>
            <w:r w:rsidRPr="000A0A5F">
              <w:rPr>
                <w:rFonts w:hint="eastAsia"/>
                <w:lang w:eastAsia="zh-CN"/>
              </w:rPr>
              <w:t>Downlink_data</w:t>
            </w:r>
            <w:r w:rsidRPr="000A0A5F">
              <w:rPr>
                <w:lang w:eastAsia="zh-CN"/>
              </w:rPr>
              <w:t>_delivery_status_5G</w:t>
            </w:r>
          </w:p>
        </w:tc>
      </w:tr>
      <w:tr w:rsidR="008F09E4" w:rsidRPr="000A0A5F" w:rsidTr="00675CD5">
        <w:trPr>
          <w:gridAfter w:val="1"/>
          <w:wAfter w:w="36" w:type="dxa"/>
          <w:jc w:val="center"/>
        </w:trPr>
        <w:tc>
          <w:tcPr>
            <w:tcW w:w="1948" w:type="dxa"/>
            <w:gridSpan w:val="2"/>
            <w:shd w:val="clear" w:color="auto" w:fill="auto"/>
            <w:vAlign w:val="center"/>
          </w:tcPr>
          <w:p w:rsidR="008F09E4" w:rsidRPr="000A0A5F" w:rsidRDefault="008F09E4" w:rsidP="008F09E4">
            <w:pPr>
              <w:pStyle w:val="TAL"/>
              <w:rPr>
                <w:noProof/>
                <w:lang w:eastAsia="zh-CN"/>
              </w:rPr>
            </w:pPr>
            <w:r w:rsidRPr="000A0A5F">
              <w:rPr>
                <w:rFonts w:hint="eastAsia"/>
                <w:noProof/>
                <w:lang w:eastAsia="zh-CN"/>
              </w:rPr>
              <w:t>d</w:t>
            </w:r>
            <w:r w:rsidRPr="000A0A5F">
              <w:rPr>
                <w:noProof/>
                <w:lang w:eastAsia="zh-CN"/>
              </w:rPr>
              <w:t>ddTrafDescriptor</w:t>
            </w:r>
          </w:p>
        </w:tc>
        <w:tc>
          <w:tcPr>
            <w:tcW w:w="2126" w:type="dxa"/>
            <w:gridSpan w:val="2"/>
            <w:shd w:val="clear" w:color="auto" w:fill="auto"/>
            <w:vAlign w:val="center"/>
          </w:tcPr>
          <w:p w:rsidR="008F09E4" w:rsidRPr="000A0A5F" w:rsidRDefault="008F09E4" w:rsidP="008F09E4">
            <w:pPr>
              <w:pStyle w:val="TAL"/>
            </w:pPr>
            <w:r w:rsidRPr="000A0A5F">
              <w:rPr>
                <w:noProof/>
              </w:rPr>
              <w:t>DddTrafficDescriptor</w:t>
            </w:r>
          </w:p>
        </w:tc>
        <w:tc>
          <w:tcPr>
            <w:tcW w:w="1276" w:type="dxa"/>
            <w:gridSpan w:val="2"/>
            <w:shd w:val="clear" w:color="auto" w:fill="auto"/>
            <w:vAlign w:val="center"/>
          </w:tcPr>
          <w:p w:rsidR="008F09E4" w:rsidRPr="000A0A5F" w:rsidRDefault="008F09E4" w:rsidP="008F09E4">
            <w:pPr>
              <w:pStyle w:val="TAL"/>
              <w:rPr>
                <w:lang w:eastAsia="zh-CN"/>
              </w:rPr>
            </w:pPr>
            <w:r w:rsidRPr="000A0A5F">
              <w:rPr>
                <w:lang w:eastAsia="zh-CN"/>
              </w:rPr>
              <w:t>0..1</w:t>
            </w:r>
          </w:p>
        </w:tc>
        <w:tc>
          <w:tcPr>
            <w:tcW w:w="2995" w:type="dxa"/>
            <w:gridSpan w:val="2"/>
            <w:shd w:val="clear" w:color="auto" w:fill="auto"/>
            <w:vAlign w:val="center"/>
          </w:tcPr>
          <w:p w:rsidR="008F09E4" w:rsidRPr="000A0A5F" w:rsidRDefault="008F09E4" w:rsidP="008F09E4">
            <w:pPr>
              <w:pStyle w:val="TAL"/>
              <w:spacing w:afterLines="50" w:after="120"/>
              <w:rPr>
                <w:rFonts w:cs="Arial"/>
                <w:szCs w:val="18"/>
                <w:lang w:eastAsia="zh-CN"/>
              </w:rPr>
            </w:pPr>
            <w:r w:rsidRPr="000A0A5F">
              <w:rPr>
                <w:rFonts w:cs="Arial"/>
                <w:szCs w:val="18"/>
                <w:lang w:eastAsia="zh-CN"/>
              </w:rPr>
              <w:t>If "monitoringType" is "</w:t>
            </w:r>
            <w:r w:rsidRPr="000A0A5F">
              <w:rPr>
                <w:noProof/>
              </w:rPr>
              <w:t>DOWNLINK_DATA_DELIVERY_STATUS"</w:t>
            </w:r>
            <w:r w:rsidRPr="000A0A5F">
              <w:t>,</w:t>
            </w:r>
            <w:r w:rsidRPr="000A0A5F">
              <w:rPr>
                <w:noProof/>
              </w:rPr>
              <w:t xml:space="preserve"> this parameter shall be included to</w:t>
            </w:r>
            <w:r w:rsidRPr="000A0A5F">
              <w:rPr>
                <w:rFonts w:cs="Arial"/>
                <w:szCs w:val="18"/>
                <w:lang w:eastAsia="zh-CN"/>
              </w:rPr>
              <w:t xml:space="preserve"> identify the </w:t>
            </w:r>
            <w:r w:rsidRPr="000A0A5F">
              <w:rPr>
                <w:noProof/>
                <w:lang w:eastAsia="zh-CN"/>
              </w:rPr>
              <w:t>downlink data descriptor impacted by the downlink data delivery status change</w:t>
            </w:r>
            <w:r w:rsidRPr="000A0A5F">
              <w:rPr>
                <w:rFonts w:cs="Arial"/>
                <w:szCs w:val="18"/>
                <w:lang w:eastAsia="zh-CN"/>
              </w:rPr>
              <w:t>.</w:t>
            </w:r>
          </w:p>
        </w:tc>
        <w:tc>
          <w:tcPr>
            <w:tcW w:w="1257" w:type="dxa"/>
            <w:gridSpan w:val="2"/>
            <w:vAlign w:val="center"/>
          </w:tcPr>
          <w:p w:rsidR="008F09E4" w:rsidRPr="000A0A5F" w:rsidRDefault="008F09E4" w:rsidP="008F09E4">
            <w:pPr>
              <w:pStyle w:val="TAL"/>
              <w:rPr>
                <w:lang w:eastAsia="zh-CN"/>
              </w:rPr>
            </w:pPr>
            <w:r w:rsidRPr="000A0A5F">
              <w:rPr>
                <w:rFonts w:hint="eastAsia"/>
                <w:lang w:eastAsia="zh-CN"/>
              </w:rPr>
              <w:t>Downlink_data</w:t>
            </w:r>
            <w:r w:rsidRPr="000A0A5F">
              <w:rPr>
                <w:lang w:eastAsia="zh-CN"/>
              </w:rPr>
              <w:t>_delivery_status_5G</w:t>
            </w:r>
            <w:r w:rsidRPr="000A0A5F">
              <w:t xml:space="preserve"> </w:t>
            </w:r>
          </w:p>
          <w:p w:rsidR="008F09E4" w:rsidRPr="000A0A5F" w:rsidRDefault="008F09E4" w:rsidP="008F09E4">
            <w:pPr>
              <w:pStyle w:val="TAL"/>
              <w:rPr>
                <w:rFonts w:hint="eastAsia"/>
                <w:lang w:eastAsia="zh-CN"/>
              </w:rPr>
            </w:pPr>
          </w:p>
        </w:tc>
      </w:tr>
      <w:tr w:rsidR="008F09E4" w:rsidRPr="000A0A5F" w:rsidTr="00675CD5">
        <w:trPr>
          <w:gridAfter w:val="1"/>
          <w:wAfter w:w="36" w:type="dxa"/>
          <w:jc w:val="center"/>
        </w:trPr>
        <w:tc>
          <w:tcPr>
            <w:tcW w:w="1948" w:type="dxa"/>
            <w:gridSpan w:val="2"/>
            <w:shd w:val="clear" w:color="auto" w:fill="auto"/>
            <w:vAlign w:val="center"/>
          </w:tcPr>
          <w:p w:rsidR="008F09E4" w:rsidRPr="000A0A5F" w:rsidRDefault="008F09E4" w:rsidP="008F09E4">
            <w:pPr>
              <w:pStyle w:val="TAL"/>
              <w:rPr>
                <w:lang w:eastAsia="zh-CN"/>
              </w:rPr>
            </w:pPr>
            <w:r w:rsidRPr="000A0A5F">
              <w:rPr>
                <w:noProof/>
                <w:lang w:eastAsia="zh-CN"/>
              </w:rPr>
              <w:t>maxWaitTime</w:t>
            </w:r>
          </w:p>
        </w:tc>
        <w:tc>
          <w:tcPr>
            <w:tcW w:w="2126" w:type="dxa"/>
            <w:gridSpan w:val="2"/>
            <w:shd w:val="clear" w:color="auto" w:fill="auto"/>
            <w:vAlign w:val="center"/>
          </w:tcPr>
          <w:p w:rsidR="008F09E4" w:rsidRPr="000A0A5F" w:rsidRDefault="008F09E4" w:rsidP="008F09E4">
            <w:pPr>
              <w:pStyle w:val="TAL"/>
              <w:rPr>
                <w:lang w:eastAsia="zh-CN"/>
              </w:rPr>
            </w:pPr>
            <w:r w:rsidRPr="000A0A5F">
              <w:rPr>
                <w:noProof/>
              </w:rPr>
              <w:t>DateTime</w:t>
            </w:r>
          </w:p>
        </w:tc>
        <w:tc>
          <w:tcPr>
            <w:tcW w:w="1276" w:type="dxa"/>
            <w:gridSpan w:val="2"/>
            <w:shd w:val="clear" w:color="auto" w:fill="auto"/>
            <w:vAlign w:val="center"/>
          </w:tcPr>
          <w:p w:rsidR="008F09E4" w:rsidRPr="000A0A5F" w:rsidRDefault="008F09E4" w:rsidP="008F09E4">
            <w:pPr>
              <w:pStyle w:val="TAL"/>
              <w:rPr>
                <w:rFonts w:eastAsia="Times New Roman"/>
              </w:rPr>
            </w:pPr>
            <w:r w:rsidRPr="000A0A5F">
              <w:rPr>
                <w:rFonts w:hint="eastAsia"/>
                <w:lang w:eastAsia="zh-CN"/>
              </w:rPr>
              <w:t>0..1</w:t>
            </w:r>
          </w:p>
        </w:tc>
        <w:tc>
          <w:tcPr>
            <w:tcW w:w="2995" w:type="dxa"/>
            <w:gridSpan w:val="2"/>
            <w:shd w:val="clear" w:color="auto" w:fill="auto"/>
            <w:vAlign w:val="center"/>
          </w:tcPr>
          <w:p w:rsidR="008F09E4" w:rsidRPr="000A0A5F" w:rsidRDefault="008F09E4" w:rsidP="008F09E4">
            <w:pPr>
              <w:pStyle w:val="TAL"/>
              <w:spacing w:afterLines="50" w:after="120"/>
              <w:rPr>
                <w:rFonts w:cs="Arial"/>
                <w:szCs w:val="18"/>
                <w:lang w:eastAsia="zh-CN"/>
              </w:rPr>
            </w:pPr>
            <w:r w:rsidRPr="000A0A5F">
              <w:rPr>
                <w:rFonts w:cs="Arial"/>
                <w:szCs w:val="18"/>
                <w:lang w:eastAsia="zh-CN"/>
              </w:rPr>
              <w:t>If "monitoringType" is "</w:t>
            </w:r>
            <w:r w:rsidRPr="000A0A5F">
              <w:rPr>
                <w:noProof/>
              </w:rPr>
              <w:t>DOWNLINK_DATA_DELIVERY_STATUS", this parameter may be included to</w:t>
            </w:r>
            <w:r w:rsidRPr="000A0A5F">
              <w:rPr>
                <w:rFonts w:cs="Arial"/>
                <w:szCs w:val="18"/>
                <w:lang w:eastAsia="zh-CN"/>
              </w:rPr>
              <w:t xml:space="preserve"> identify the time before which the data will be buffered.</w:t>
            </w:r>
          </w:p>
        </w:tc>
        <w:tc>
          <w:tcPr>
            <w:tcW w:w="1257" w:type="dxa"/>
            <w:gridSpan w:val="2"/>
            <w:vAlign w:val="center"/>
          </w:tcPr>
          <w:p w:rsidR="008F09E4" w:rsidRPr="000A0A5F" w:rsidRDefault="008F09E4" w:rsidP="008F09E4">
            <w:pPr>
              <w:pStyle w:val="TAL"/>
            </w:pPr>
            <w:r w:rsidRPr="000A0A5F">
              <w:rPr>
                <w:rFonts w:hint="eastAsia"/>
                <w:lang w:eastAsia="zh-CN"/>
              </w:rPr>
              <w:t>Downlink_data</w:t>
            </w:r>
            <w:r w:rsidRPr="000A0A5F">
              <w:rPr>
                <w:lang w:eastAsia="zh-CN"/>
              </w:rPr>
              <w:t>_delivery_status_5G</w:t>
            </w:r>
          </w:p>
        </w:tc>
      </w:tr>
      <w:tr w:rsidR="008F09E4" w:rsidRPr="000A0A5F" w:rsidTr="00675CD5">
        <w:trPr>
          <w:gridAfter w:val="1"/>
          <w:wAfter w:w="36" w:type="dxa"/>
          <w:jc w:val="center"/>
        </w:trPr>
        <w:tc>
          <w:tcPr>
            <w:tcW w:w="1948" w:type="dxa"/>
            <w:gridSpan w:val="2"/>
            <w:shd w:val="clear" w:color="auto" w:fill="auto"/>
            <w:vAlign w:val="center"/>
          </w:tcPr>
          <w:p w:rsidR="008F09E4" w:rsidRPr="000A0A5F" w:rsidRDefault="008F09E4" w:rsidP="008F09E4">
            <w:pPr>
              <w:pStyle w:val="TAL"/>
              <w:rPr>
                <w:noProof/>
                <w:lang w:eastAsia="zh-CN"/>
              </w:rPr>
            </w:pPr>
            <w:r w:rsidRPr="000A0A5F">
              <w:rPr>
                <w:noProof/>
                <w:lang w:eastAsia="zh-CN"/>
              </w:rPr>
              <w:t>apiCaps</w:t>
            </w:r>
          </w:p>
        </w:tc>
        <w:tc>
          <w:tcPr>
            <w:tcW w:w="2126" w:type="dxa"/>
            <w:gridSpan w:val="2"/>
            <w:shd w:val="clear" w:color="auto" w:fill="auto"/>
            <w:vAlign w:val="center"/>
          </w:tcPr>
          <w:p w:rsidR="008F09E4" w:rsidRPr="000A0A5F" w:rsidRDefault="008F09E4" w:rsidP="008F09E4">
            <w:pPr>
              <w:pStyle w:val="TAL"/>
              <w:rPr>
                <w:noProof/>
              </w:rPr>
            </w:pPr>
            <w:r w:rsidRPr="000A0A5F">
              <w:rPr>
                <w:lang w:eastAsia="zh-CN"/>
              </w:rPr>
              <w:t>array(</w:t>
            </w:r>
            <w:r w:rsidRPr="000A0A5F">
              <w:t>ApiCapabilityInfo</w:t>
            </w:r>
            <w:r w:rsidRPr="000A0A5F">
              <w:rPr>
                <w:lang w:eastAsia="zh-CN"/>
              </w:rPr>
              <w:t>)</w:t>
            </w:r>
          </w:p>
        </w:tc>
        <w:tc>
          <w:tcPr>
            <w:tcW w:w="1276" w:type="dxa"/>
            <w:gridSpan w:val="2"/>
            <w:shd w:val="clear" w:color="auto" w:fill="auto"/>
            <w:vAlign w:val="center"/>
          </w:tcPr>
          <w:p w:rsidR="008F09E4" w:rsidRPr="000A0A5F" w:rsidRDefault="008F09E4" w:rsidP="008F09E4">
            <w:pPr>
              <w:pStyle w:val="TAL"/>
              <w:rPr>
                <w:rFonts w:hint="eastAsia"/>
                <w:lang w:eastAsia="zh-CN"/>
              </w:rPr>
            </w:pPr>
            <w:r w:rsidRPr="000A0A5F">
              <w:rPr>
                <w:lang w:eastAsia="zh-CN"/>
              </w:rPr>
              <w:t>0..N</w:t>
            </w:r>
          </w:p>
        </w:tc>
        <w:tc>
          <w:tcPr>
            <w:tcW w:w="2995" w:type="dxa"/>
            <w:gridSpan w:val="2"/>
            <w:shd w:val="clear" w:color="auto" w:fill="auto"/>
            <w:vAlign w:val="center"/>
          </w:tcPr>
          <w:p w:rsidR="008F09E4" w:rsidRPr="000A0A5F" w:rsidRDefault="008F09E4" w:rsidP="008F09E4">
            <w:pPr>
              <w:pStyle w:val="TAL"/>
              <w:spacing w:afterLines="50" w:after="120"/>
              <w:rPr>
                <w:rFonts w:eastAsia="Times New Roman" w:cs="Arial"/>
                <w:szCs w:val="18"/>
              </w:rPr>
            </w:pPr>
            <w:r w:rsidRPr="000A0A5F">
              <w:rPr>
                <w:rFonts w:cs="Arial"/>
                <w:szCs w:val="18"/>
                <w:lang w:eastAsia="zh-CN"/>
              </w:rPr>
              <w:t>If "monitoringType" is "</w:t>
            </w:r>
            <w:r w:rsidRPr="000A0A5F">
              <w:rPr>
                <w:noProof/>
              </w:rPr>
              <w:t>API_SUPPORT_CAPABILITY</w:t>
            </w:r>
            <w:r w:rsidRPr="000A0A5F">
              <w:rPr>
                <w:rFonts w:cs="Arial"/>
                <w:szCs w:val="18"/>
                <w:lang w:eastAsia="zh-CN"/>
              </w:rPr>
              <w:t>", this parameter shall be included to indicate the availability of all APIs supported by the serving network</w:t>
            </w:r>
            <w:r w:rsidRPr="000A0A5F">
              <w:rPr>
                <w:lang w:eastAsia="zh-CN"/>
              </w:rPr>
              <w:t xml:space="preserve"> o</w:t>
            </w:r>
            <w:r w:rsidRPr="000A0A5F">
              <w:rPr>
                <w:rFonts w:hint="eastAsia"/>
                <w:lang w:eastAsia="zh-CN"/>
              </w:rPr>
              <w:t xml:space="preserve">r </w:t>
            </w:r>
            <w:r w:rsidRPr="000A0A5F">
              <w:rPr>
                <w:rFonts w:cs="Arial"/>
                <w:szCs w:val="18"/>
                <w:lang w:eastAsia="zh-CN"/>
              </w:rPr>
              <w:t>the availability</w:t>
            </w:r>
            <w:r w:rsidRPr="000A0A5F">
              <w:rPr>
                <w:lang w:eastAsia="zh-CN"/>
              </w:rPr>
              <w:t xml:space="preserve"> of interested APIs, indicated by the "</w:t>
            </w:r>
            <w:r w:rsidRPr="000A0A5F">
              <w:rPr>
                <w:noProof/>
                <w:lang w:eastAsia="zh-CN"/>
              </w:rPr>
              <w:t xml:space="preserve">apiNames" attribute </w:t>
            </w:r>
            <w:r w:rsidRPr="000A0A5F">
              <w:rPr>
                <w:lang w:eastAsia="zh-CN"/>
              </w:rPr>
              <w:t>in "</w:t>
            </w:r>
            <w:r w:rsidRPr="000A0A5F">
              <w:t>MonitoringEventSubscription</w:t>
            </w:r>
            <w:r w:rsidRPr="000A0A5F">
              <w:rPr>
                <w:lang w:eastAsia="zh-CN"/>
              </w:rPr>
              <w:t>",</w:t>
            </w:r>
            <w:r w:rsidRPr="000A0A5F">
              <w:rPr>
                <w:rFonts w:cs="Arial"/>
                <w:szCs w:val="18"/>
                <w:lang w:eastAsia="zh-CN"/>
              </w:rPr>
              <w:t xml:space="preserve"> supported by the serving network</w:t>
            </w:r>
            <w:r w:rsidRPr="000A0A5F">
              <w:rPr>
                <w:rFonts w:eastAsia="Times New Roman" w:cs="Arial"/>
                <w:szCs w:val="18"/>
              </w:rPr>
              <w:t xml:space="preserve">. </w:t>
            </w:r>
          </w:p>
          <w:p w:rsidR="008F09E4" w:rsidRPr="000A0A5F" w:rsidRDefault="008F09E4" w:rsidP="008F09E4">
            <w:pPr>
              <w:pStyle w:val="TAL"/>
              <w:spacing w:afterLines="50" w:after="120"/>
              <w:rPr>
                <w:rFonts w:cs="Arial"/>
                <w:szCs w:val="18"/>
                <w:lang w:eastAsia="zh-CN"/>
              </w:rPr>
            </w:pPr>
            <w:r w:rsidRPr="000A0A5F">
              <w:rPr>
                <w:rFonts w:eastAsia="Times New Roman" w:cs="Arial"/>
                <w:szCs w:val="18"/>
              </w:rPr>
              <w:t>If no API is supported by the serving network, an empty apiCaps shall be provided.</w:t>
            </w:r>
          </w:p>
        </w:tc>
        <w:tc>
          <w:tcPr>
            <w:tcW w:w="1257" w:type="dxa"/>
            <w:gridSpan w:val="2"/>
            <w:vAlign w:val="center"/>
          </w:tcPr>
          <w:p w:rsidR="008F09E4" w:rsidRPr="000A0A5F" w:rsidRDefault="008F09E4" w:rsidP="008F09E4">
            <w:pPr>
              <w:pStyle w:val="TAL"/>
              <w:rPr>
                <w:rFonts w:hint="eastAsia"/>
                <w:lang w:eastAsia="zh-CN"/>
              </w:rPr>
            </w:pPr>
            <w:r w:rsidRPr="000A0A5F">
              <w:t>API_support_capability_notification</w:t>
            </w:r>
          </w:p>
        </w:tc>
      </w:tr>
      <w:tr w:rsidR="008F09E4" w:rsidRPr="000A0A5F" w:rsidTr="00675CD5">
        <w:trPr>
          <w:gridAfter w:val="1"/>
          <w:wAfter w:w="36" w:type="dxa"/>
          <w:jc w:val="center"/>
        </w:trPr>
        <w:tc>
          <w:tcPr>
            <w:tcW w:w="1948" w:type="dxa"/>
            <w:gridSpan w:val="2"/>
            <w:shd w:val="clear" w:color="auto" w:fill="auto"/>
            <w:vAlign w:val="center"/>
          </w:tcPr>
          <w:p w:rsidR="008F09E4" w:rsidRPr="000A0A5F" w:rsidRDefault="008F09E4" w:rsidP="008F09E4">
            <w:pPr>
              <w:pStyle w:val="TAL"/>
              <w:rPr>
                <w:noProof/>
                <w:lang w:eastAsia="zh-CN"/>
              </w:rPr>
            </w:pPr>
            <w:r w:rsidRPr="000A0A5F">
              <w:rPr>
                <w:noProof/>
                <w:lang w:eastAsia="zh-CN"/>
              </w:rPr>
              <w:t>nSStatusInfo</w:t>
            </w:r>
          </w:p>
        </w:tc>
        <w:tc>
          <w:tcPr>
            <w:tcW w:w="2126" w:type="dxa"/>
            <w:gridSpan w:val="2"/>
            <w:shd w:val="clear" w:color="auto" w:fill="auto"/>
            <w:vAlign w:val="center"/>
          </w:tcPr>
          <w:p w:rsidR="008F09E4" w:rsidRPr="000A0A5F" w:rsidRDefault="008F09E4" w:rsidP="008F09E4">
            <w:pPr>
              <w:pStyle w:val="TAL"/>
              <w:rPr>
                <w:lang w:eastAsia="zh-CN"/>
              </w:rPr>
            </w:pPr>
            <w:r w:rsidRPr="000A0A5F">
              <w:rPr>
                <w:lang w:eastAsia="zh-CN"/>
              </w:rPr>
              <w:t>SACEventStatus</w:t>
            </w:r>
          </w:p>
        </w:tc>
        <w:tc>
          <w:tcPr>
            <w:tcW w:w="1276" w:type="dxa"/>
            <w:gridSpan w:val="2"/>
            <w:shd w:val="clear" w:color="auto" w:fill="auto"/>
            <w:vAlign w:val="center"/>
          </w:tcPr>
          <w:p w:rsidR="008F09E4" w:rsidRPr="000A0A5F" w:rsidRDefault="008F09E4" w:rsidP="008F09E4">
            <w:pPr>
              <w:pStyle w:val="TAL"/>
              <w:rPr>
                <w:lang w:eastAsia="zh-CN"/>
              </w:rPr>
            </w:pPr>
            <w:r w:rsidRPr="000A0A5F">
              <w:rPr>
                <w:lang w:eastAsia="zh-CN"/>
              </w:rPr>
              <w:t>0..1</w:t>
            </w:r>
          </w:p>
        </w:tc>
        <w:tc>
          <w:tcPr>
            <w:tcW w:w="2995" w:type="dxa"/>
            <w:gridSpan w:val="2"/>
            <w:shd w:val="clear" w:color="auto" w:fill="auto"/>
            <w:vAlign w:val="center"/>
          </w:tcPr>
          <w:p w:rsidR="00B07BC4" w:rsidRPr="000A0A5F" w:rsidRDefault="008F09E4" w:rsidP="00B07BC4">
            <w:pPr>
              <w:pStyle w:val="TAL"/>
              <w:spacing w:afterLines="50" w:after="120"/>
            </w:pPr>
            <w:r w:rsidRPr="000A0A5F">
              <w:rPr>
                <w:rFonts w:cs="Arial"/>
                <w:szCs w:val="18"/>
                <w:lang w:eastAsia="zh-CN"/>
              </w:rPr>
              <w:t>If the "monitoringType" attribute is set to "</w:t>
            </w:r>
            <w:r w:rsidRPr="000A0A5F">
              <w:rPr>
                <w:noProof/>
              </w:rPr>
              <w:t>NUM_OF_REGD_UES</w:t>
            </w:r>
            <w:r w:rsidRPr="000A0A5F">
              <w:rPr>
                <w:rFonts w:cs="Arial"/>
                <w:szCs w:val="18"/>
                <w:lang w:eastAsia="zh-CN"/>
              </w:rPr>
              <w:t>" or "</w:t>
            </w:r>
            <w:r w:rsidRPr="000A0A5F">
              <w:rPr>
                <w:noProof/>
              </w:rPr>
              <w:t>NUM_OF_EST</w:t>
            </w:r>
            <w:r w:rsidRPr="000A0A5F">
              <w:rPr>
                <w:noProof/>
                <w:lang w:val="en-US"/>
              </w:rPr>
              <w:t>D</w:t>
            </w:r>
            <w:r w:rsidRPr="000A0A5F">
              <w:rPr>
                <w:noProof/>
              </w:rPr>
              <w:t>_PDU_SESSIONS</w:t>
            </w:r>
            <w:r w:rsidRPr="000A0A5F">
              <w:rPr>
                <w:rFonts w:cs="Arial"/>
                <w:szCs w:val="18"/>
                <w:lang w:eastAsia="zh-CN"/>
              </w:rPr>
              <w:t>", this parameter shall be included to</w:t>
            </w:r>
            <w:r w:rsidRPr="000A0A5F">
              <w:t xml:space="preserve"> indicate the current network slice status information for the concerned network slice.</w:t>
            </w:r>
            <w:r w:rsidR="00B07BC4" w:rsidRPr="000A0A5F">
              <w:t xml:space="preserve"> </w:t>
            </w:r>
          </w:p>
          <w:p w:rsidR="008F09E4" w:rsidRPr="000A0A5F" w:rsidRDefault="00B07BC4" w:rsidP="00B07BC4">
            <w:pPr>
              <w:pStyle w:val="TAL"/>
              <w:spacing w:afterLines="50" w:after="120"/>
              <w:rPr>
                <w:rFonts w:cs="Arial"/>
                <w:szCs w:val="18"/>
                <w:lang w:eastAsia="zh-CN"/>
              </w:rPr>
            </w:pPr>
            <w:r w:rsidRPr="000A0A5F">
              <w:rPr>
                <w:lang w:eastAsia="zh-CN"/>
              </w:rPr>
              <w:t>(NOTE 3)</w:t>
            </w:r>
          </w:p>
        </w:tc>
        <w:tc>
          <w:tcPr>
            <w:tcW w:w="1257" w:type="dxa"/>
            <w:gridSpan w:val="2"/>
            <w:vAlign w:val="center"/>
          </w:tcPr>
          <w:p w:rsidR="008F09E4" w:rsidRPr="000A0A5F" w:rsidRDefault="008F09E4" w:rsidP="008F09E4">
            <w:pPr>
              <w:pStyle w:val="TAL"/>
            </w:pPr>
            <w:r w:rsidRPr="000A0A5F">
              <w:t>NSAC</w:t>
            </w:r>
          </w:p>
        </w:tc>
      </w:tr>
      <w:tr w:rsidR="008F09E4" w:rsidRPr="000A0A5F" w:rsidTr="00675CD5">
        <w:trPr>
          <w:gridAfter w:val="1"/>
          <w:wAfter w:w="36" w:type="dxa"/>
          <w:jc w:val="center"/>
        </w:trPr>
        <w:tc>
          <w:tcPr>
            <w:tcW w:w="1948" w:type="dxa"/>
            <w:gridSpan w:val="2"/>
            <w:shd w:val="clear" w:color="auto" w:fill="auto"/>
            <w:vAlign w:val="center"/>
          </w:tcPr>
          <w:p w:rsidR="008F09E4" w:rsidRPr="000A0A5F" w:rsidRDefault="008F09E4" w:rsidP="008F09E4">
            <w:pPr>
              <w:pStyle w:val="TAL"/>
              <w:rPr>
                <w:noProof/>
                <w:lang w:eastAsia="zh-CN"/>
              </w:rPr>
            </w:pPr>
            <w:r w:rsidRPr="000A0A5F">
              <w:rPr>
                <w:noProof/>
                <w:lang w:eastAsia="zh-CN"/>
              </w:rPr>
              <w:t>afServiceId</w:t>
            </w:r>
          </w:p>
        </w:tc>
        <w:tc>
          <w:tcPr>
            <w:tcW w:w="2126" w:type="dxa"/>
            <w:gridSpan w:val="2"/>
            <w:shd w:val="clear" w:color="auto" w:fill="auto"/>
            <w:vAlign w:val="center"/>
          </w:tcPr>
          <w:p w:rsidR="008F09E4" w:rsidRPr="000A0A5F" w:rsidRDefault="008F09E4" w:rsidP="008F09E4">
            <w:pPr>
              <w:pStyle w:val="TAL"/>
              <w:rPr>
                <w:lang w:eastAsia="zh-CN"/>
              </w:rPr>
            </w:pPr>
            <w:r w:rsidRPr="000A0A5F">
              <w:rPr>
                <w:lang w:eastAsia="zh-CN"/>
              </w:rPr>
              <w:t>string</w:t>
            </w:r>
          </w:p>
        </w:tc>
        <w:tc>
          <w:tcPr>
            <w:tcW w:w="1276" w:type="dxa"/>
            <w:gridSpan w:val="2"/>
            <w:shd w:val="clear" w:color="auto" w:fill="auto"/>
            <w:vAlign w:val="center"/>
          </w:tcPr>
          <w:p w:rsidR="008F09E4" w:rsidRPr="000A0A5F" w:rsidRDefault="008F09E4" w:rsidP="008F09E4">
            <w:pPr>
              <w:pStyle w:val="TAL"/>
              <w:rPr>
                <w:lang w:eastAsia="zh-CN"/>
              </w:rPr>
            </w:pPr>
            <w:r w:rsidRPr="000A0A5F">
              <w:rPr>
                <w:lang w:eastAsia="zh-CN"/>
              </w:rPr>
              <w:t>0..1</w:t>
            </w:r>
          </w:p>
        </w:tc>
        <w:tc>
          <w:tcPr>
            <w:tcW w:w="2995" w:type="dxa"/>
            <w:gridSpan w:val="2"/>
            <w:shd w:val="clear" w:color="auto" w:fill="auto"/>
            <w:vAlign w:val="center"/>
          </w:tcPr>
          <w:p w:rsidR="008F09E4" w:rsidRPr="000A0A5F" w:rsidRDefault="008F09E4" w:rsidP="008F09E4">
            <w:pPr>
              <w:pStyle w:val="TAL"/>
              <w:rPr>
                <w:rFonts w:cs="Arial"/>
                <w:szCs w:val="18"/>
                <w:lang w:eastAsia="zh-CN"/>
              </w:rPr>
            </w:pPr>
            <w:r w:rsidRPr="000A0A5F">
              <w:rPr>
                <w:rFonts w:cs="Arial"/>
                <w:szCs w:val="18"/>
                <w:lang w:eastAsia="zh-CN"/>
              </w:rPr>
              <w:t>Contains the identifier of the service to which the NSAC reporting is related.</w:t>
            </w:r>
          </w:p>
          <w:p w:rsidR="008F09E4" w:rsidRPr="000A0A5F" w:rsidRDefault="008F09E4" w:rsidP="008F09E4">
            <w:pPr>
              <w:pStyle w:val="TAL"/>
              <w:rPr>
                <w:rFonts w:cs="Arial"/>
                <w:szCs w:val="18"/>
                <w:lang w:eastAsia="zh-CN"/>
              </w:rPr>
            </w:pPr>
          </w:p>
          <w:p w:rsidR="008F09E4" w:rsidRPr="000A0A5F" w:rsidRDefault="008F09E4" w:rsidP="008F09E4">
            <w:pPr>
              <w:pStyle w:val="TAL"/>
              <w:spacing w:afterLines="50" w:after="120"/>
              <w:rPr>
                <w:rFonts w:cs="Arial"/>
                <w:szCs w:val="18"/>
                <w:lang w:eastAsia="zh-CN"/>
              </w:rPr>
            </w:pPr>
            <w:r w:rsidRPr="000A0A5F">
              <w:rPr>
                <w:rFonts w:cs="Arial"/>
                <w:szCs w:val="18"/>
                <w:lang w:eastAsia="zh-CN"/>
              </w:rPr>
              <w:t>It shall be provided only if it is present in the related NSAC subscription request and the "monitoringType" attribute is set to either "</w:t>
            </w:r>
            <w:r w:rsidRPr="000A0A5F">
              <w:rPr>
                <w:noProof/>
              </w:rPr>
              <w:t>NUM_OF_REGD_UES</w:t>
            </w:r>
            <w:r w:rsidRPr="000A0A5F">
              <w:rPr>
                <w:rFonts w:cs="Arial"/>
                <w:szCs w:val="18"/>
                <w:lang w:eastAsia="zh-CN"/>
              </w:rPr>
              <w:t>" or "</w:t>
            </w:r>
            <w:r w:rsidRPr="000A0A5F">
              <w:rPr>
                <w:noProof/>
              </w:rPr>
              <w:t>NUM_OF_EST</w:t>
            </w:r>
            <w:r w:rsidRPr="000A0A5F">
              <w:rPr>
                <w:noProof/>
                <w:lang w:val="en-US"/>
              </w:rPr>
              <w:t>D</w:t>
            </w:r>
            <w:r w:rsidRPr="000A0A5F">
              <w:rPr>
                <w:noProof/>
              </w:rPr>
              <w:t>_PDU_SESSIONS</w:t>
            </w:r>
            <w:r w:rsidRPr="000A0A5F">
              <w:rPr>
                <w:rFonts w:cs="Arial"/>
                <w:szCs w:val="18"/>
                <w:lang w:eastAsia="zh-CN"/>
              </w:rPr>
              <w:t>"</w:t>
            </w:r>
            <w:r w:rsidRPr="000A0A5F">
              <w:t>.</w:t>
            </w:r>
          </w:p>
        </w:tc>
        <w:tc>
          <w:tcPr>
            <w:tcW w:w="1257" w:type="dxa"/>
            <w:gridSpan w:val="2"/>
            <w:vAlign w:val="center"/>
          </w:tcPr>
          <w:p w:rsidR="008F09E4" w:rsidRPr="000A0A5F" w:rsidRDefault="008F09E4" w:rsidP="008F09E4">
            <w:pPr>
              <w:pStyle w:val="TAL"/>
            </w:pPr>
            <w:r w:rsidRPr="000A0A5F">
              <w:t>NSAC</w:t>
            </w:r>
          </w:p>
        </w:tc>
      </w:tr>
      <w:tr w:rsidR="008F09E4" w:rsidRPr="000A0A5F" w:rsidTr="00675CD5">
        <w:trPr>
          <w:gridAfter w:val="1"/>
          <w:wAfter w:w="36" w:type="dxa"/>
          <w:jc w:val="center"/>
        </w:trPr>
        <w:tc>
          <w:tcPr>
            <w:tcW w:w="1948" w:type="dxa"/>
            <w:gridSpan w:val="2"/>
            <w:shd w:val="clear" w:color="auto" w:fill="auto"/>
            <w:vAlign w:val="center"/>
          </w:tcPr>
          <w:p w:rsidR="008F09E4" w:rsidRPr="000A0A5F" w:rsidRDefault="008F09E4" w:rsidP="008F09E4">
            <w:pPr>
              <w:pStyle w:val="TAL"/>
              <w:rPr>
                <w:noProof/>
                <w:lang w:eastAsia="zh-CN"/>
              </w:rPr>
            </w:pPr>
            <w:r w:rsidRPr="000A0A5F">
              <w:rPr>
                <w:noProof/>
                <w:lang w:eastAsia="zh-CN"/>
              </w:rPr>
              <w:t>servLevelDevId</w:t>
            </w:r>
          </w:p>
        </w:tc>
        <w:tc>
          <w:tcPr>
            <w:tcW w:w="2126" w:type="dxa"/>
            <w:gridSpan w:val="2"/>
            <w:shd w:val="clear" w:color="auto" w:fill="auto"/>
            <w:vAlign w:val="center"/>
          </w:tcPr>
          <w:p w:rsidR="008F09E4" w:rsidRPr="000A0A5F" w:rsidRDefault="008F09E4" w:rsidP="008F09E4">
            <w:pPr>
              <w:pStyle w:val="TAL"/>
              <w:rPr>
                <w:lang w:eastAsia="zh-CN"/>
              </w:rPr>
            </w:pPr>
            <w:r w:rsidRPr="000A0A5F">
              <w:rPr>
                <w:lang w:eastAsia="zh-CN"/>
              </w:rPr>
              <w:t>string</w:t>
            </w:r>
          </w:p>
        </w:tc>
        <w:tc>
          <w:tcPr>
            <w:tcW w:w="1276" w:type="dxa"/>
            <w:gridSpan w:val="2"/>
            <w:shd w:val="clear" w:color="auto" w:fill="auto"/>
            <w:vAlign w:val="center"/>
          </w:tcPr>
          <w:p w:rsidR="008F09E4" w:rsidRPr="000A0A5F" w:rsidRDefault="008F09E4" w:rsidP="008F09E4">
            <w:pPr>
              <w:pStyle w:val="TAL"/>
              <w:rPr>
                <w:lang w:eastAsia="zh-CN"/>
              </w:rPr>
            </w:pPr>
            <w:r w:rsidRPr="000A0A5F">
              <w:rPr>
                <w:lang w:eastAsia="zh-CN"/>
              </w:rPr>
              <w:t>0..1</w:t>
            </w:r>
          </w:p>
        </w:tc>
        <w:tc>
          <w:tcPr>
            <w:tcW w:w="2995" w:type="dxa"/>
            <w:gridSpan w:val="2"/>
            <w:shd w:val="clear" w:color="auto" w:fill="auto"/>
            <w:vAlign w:val="center"/>
          </w:tcPr>
          <w:p w:rsidR="008F09E4" w:rsidRPr="000A0A5F" w:rsidRDefault="008F09E4" w:rsidP="008F09E4">
            <w:pPr>
              <w:pStyle w:val="TAL"/>
              <w:spacing w:afterLines="50" w:after="120"/>
              <w:rPr>
                <w:rFonts w:cs="Arial"/>
                <w:szCs w:val="18"/>
                <w:lang w:eastAsia="zh-CN"/>
              </w:rPr>
            </w:pPr>
            <w:r w:rsidRPr="000A0A5F">
              <w:rPr>
                <w:rFonts w:cs="Arial"/>
                <w:szCs w:val="18"/>
                <w:lang w:eastAsia="zh-CN"/>
              </w:rPr>
              <w:t>If "monitoringType" is "</w:t>
            </w:r>
            <w:r w:rsidRPr="000A0A5F">
              <w:rPr>
                <w:rFonts w:hint="eastAsia"/>
                <w:noProof/>
                <w:lang w:eastAsia="zh-CN"/>
              </w:rPr>
              <w:t>A</w:t>
            </w:r>
            <w:r w:rsidRPr="000A0A5F">
              <w:rPr>
                <w:noProof/>
                <w:lang w:eastAsia="zh-CN"/>
              </w:rPr>
              <w:t>REA_OF_INTEREST</w:t>
            </w:r>
            <w:r w:rsidRPr="000A0A5F">
              <w:rPr>
                <w:noProof/>
              </w:rPr>
              <w:t>" or "</w:t>
            </w:r>
            <w:r w:rsidRPr="000A0A5F">
              <w:rPr>
                <w:rFonts w:cs="Arial"/>
                <w:szCs w:val="18"/>
                <w:lang w:eastAsia="zh-CN"/>
              </w:rPr>
              <w:t>NUMBER_OF_UES_IN_AN_AREA</w:t>
            </w:r>
            <w:r w:rsidRPr="000A0A5F">
              <w:rPr>
                <w:lang w:eastAsia="zh-CN"/>
              </w:rPr>
              <w:t>" and "subType" indicate "AERIAL_UE"</w:t>
            </w:r>
            <w:r w:rsidRPr="000A0A5F">
              <w:t>,</w:t>
            </w:r>
            <w:r w:rsidRPr="000A0A5F">
              <w:rPr>
                <w:noProof/>
              </w:rPr>
              <w:t xml:space="preserve"> this parameter </w:t>
            </w:r>
            <w:r w:rsidRPr="000A0A5F">
              <w:rPr>
                <w:rFonts w:hint="eastAsia"/>
                <w:noProof/>
                <w:lang w:eastAsia="zh-CN"/>
              </w:rPr>
              <w:t>may</w:t>
            </w:r>
            <w:r w:rsidRPr="000A0A5F">
              <w:rPr>
                <w:noProof/>
              </w:rPr>
              <w:t xml:space="preserve"> be included to</w:t>
            </w:r>
            <w:r w:rsidRPr="000A0A5F">
              <w:rPr>
                <w:rFonts w:cs="Arial"/>
                <w:szCs w:val="18"/>
                <w:lang w:eastAsia="zh-CN"/>
              </w:rPr>
              <w:t xml:space="preserve"> identify the UAV.</w:t>
            </w:r>
          </w:p>
        </w:tc>
        <w:tc>
          <w:tcPr>
            <w:tcW w:w="1257" w:type="dxa"/>
            <w:gridSpan w:val="2"/>
            <w:vAlign w:val="center"/>
          </w:tcPr>
          <w:p w:rsidR="008F09E4" w:rsidRPr="000A0A5F" w:rsidRDefault="008F09E4" w:rsidP="008F09E4">
            <w:pPr>
              <w:pStyle w:val="TAL"/>
            </w:pPr>
            <w:r w:rsidRPr="000A0A5F">
              <w:rPr>
                <w:lang w:eastAsia="zh-CN"/>
              </w:rPr>
              <w:t>UAV</w:t>
            </w:r>
          </w:p>
        </w:tc>
      </w:tr>
      <w:tr w:rsidR="008F09E4" w:rsidRPr="000A0A5F" w:rsidTr="00675CD5">
        <w:trPr>
          <w:gridAfter w:val="1"/>
          <w:wAfter w:w="36" w:type="dxa"/>
          <w:jc w:val="center"/>
        </w:trPr>
        <w:tc>
          <w:tcPr>
            <w:tcW w:w="1948" w:type="dxa"/>
            <w:gridSpan w:val="2"/>
            <w:shd w:val="clear" w:color="auto" w:fill="auto"/>
            <w:vAlign w:val="center"/>
          </w:tcPr>
          <w:p w:rsidR="008F09E4" w:rsidRPr="000A0A5F" w:rsidRDefault="008F09E4" w:rsidP="008F09E4">
            <w:pPr>
              <w:pStyle w:val="TAL"/>
              <w:rPr>
                <w:noProof/>
                <w:lang w:eastAsia="zh-CN"/>
              </w:rPr>
            </w:pPr>
            <w:r w:rsidRPr="000A0A5F">
              <w:t>uavPresInd</w:t>
            </w:r>
          </w:p>
        </w:tc>
        <w:tc>
          <w:tcPr>
            <w:tcW w:w="2126" w:type="dxa"/>
            <w:gridSpan w:val="2"/>
            <w:shd w:val="clear" w:color="auto" w:fill="auto"/>
            <w:vAlign w:val="center"/>
          </w:tcPr>
          <w:p w:rsidR="008F09E4" w:rsidRPr="000A0A5F" w:rsidRDefault="008F09E4" w:rsidP="008F09E4">
            <w:pPr>
              <w:pStyle w:val="TAL"/>
              <w:rPr>
                <w:lang w:eastAsia="zh-CN"/>
              </w:rPr>
            </w:pPr>
            <w:r w:rsidRPr="000A0A5F">
              <w:rPr>
                <w:rFonts w:hint="eastAsia"/>
                <w:lang w:eastAsia="zh-CN"/>
              </w:rPr>
              <w:t>b</w:t>
            </w:r>
            <w:r w:rsidRPr="000A0A5F">
              <w:rPr>
                <w:lang w:eastAsia="zh-CN"/>
              </w:rPr>
              <w:t>oolean</w:t>
            </w:r>
          </w:p>
        </w:tc>
        <w:tc>
          <w:tcPr>
            <w:tcW w:w="1276" w:type="dxa"/>
            <w:gridSpan w:val="2"/>
            <w:shd w:val="clear" w:color="auto" w:fill="auto"/>
            <w:vAlign w:val="center"/>
          </w:tcPr>
          <w:p w:rsidR="008F09E4" w:rsidRPr="000A0A5F" w:rsidRDefault="008F09E4" w:rsidP="008F09E4">
            <w:pPr>
              <w:pStyle w:val="TAL"/>
              <w:rPr>
                <w:lang w:eastAsia="zh-CN"/>
              </w:rPr>
            </w:pPr>
            <w:r w:rsidRPr="000A0A5F">
              <w:rPr>
                <w:lang w:eastAsia="zh-CN"/>
              </w:rPr>
              <w:t>0..1</w:t>
            </w:r>
          </w:p>
        </w:tc>
        <w:tc>
          <w:tcPr>
            <w:tcW w:w="2995" w:type="dxa"/>
            <w:gridSpan w:val="2"/>
            <w:shd w:val="clear" w:color="auto" w:fill="auto"/>
            <w:vAlign w:val="center"/>
          </w:tcPr>
          <w:p w:rsidR="008F09E4" w:rsidRPr="000A0A5F" w:rsidRDefault="008F09E4" w:rsidP="008F09E4">
            <w:pPr>
              <w:pStyle w:val="TAL"/>
              <w:spacing w:afterLines="50" w:after="120"/>
              <w:rPr>
                <w:rFonts w:cs="Arial"/>
                <w:szCs w:val="18"/>
                <w:lang w:eastAsia="zh-CN"/>
              </w:rPr>
            </w:pPr>
            <w:r w:rsidRPr="000A0A5F">
              <w:rPr>
                <w:rFonts w:cs="Arial"/>
                <w:szCs w:val="18"/>
                <w:lang w:eastAsia="zh-CN"/>
              </w:rPr>
              <w:t>If "monitoringType" is "</w:t>
            </w:r>
            <w:r w:rsidRPr="000A0A5F">
              <w:rPr>
                <w:rFonts w:hint="eastAsia"/>
                <w:noProof/>
                <w:lang w:eastAsia="zh-CN"/>
              </w:rPr>
              <w:t>A</w:t>
            </w:r>
            <w:r w:rsidRPr="000A0A5F">
              <w:rPr>
                <w:noProof/>
                <w:lang w:eastAsia="zh-CN"/>
              </w:rPr>
              <w:t>REA_OF_INTEREST</w:t>
            </w:r>
            <w:r w:rsidRPr="000A0A5F">
              <w:rPr>
                <w:noProof/>
              </w:rPr>
              <w:t>"</w:t>
            </w:r>
            <w:r w:rsidRPr="000A0A5F">
              <w:t>,</w:t>
            </w:r>
            <w:r w:rsidRPr="000A0A5F">
              <w:rPr>
                <w:noProof/>
              </w:rPr>
              <w:t xml:space="preserve"> </w:t>
            </w:r>
            <w:r w:rsidRPr="000A0A5F">
              <w:t>this parameter shall be</w:t>
            </w:r>
            <w:r w:rsidRPr="000A0A5F">
              <w:rPr>
                <w:lang w:eastAsia="zh-CN"/>
              </w:rPr>
              <w:t xml:space="preserve"> set to true if the specified UAV is in the </w:t>
            </w:r>
            <w:r w:rsidRPr="000A0A5F">
              <w:t>monitoring area</w:t>
            </w:r>
            <w:r w:rsidRPr="000A0A5F">
              <w:rPr>
                <w:rFonts w:hint="eastAsia"/>
                <w:lang w:eastAsia="zh-CN"/>
              </w:rPr>
              <w:t>.</w:t>
            </w:r>
            <w:r w:rsidRPr="000A0A5F">
              <w:rPr>
                <w:lang w:eastAsia="zh-CN"/>
              </w:rPr>
              <w:t xml:space="preserve"> Set to false or omitted otherwise.</w:t>
            </w:r>
          </w:p>
        </w:tc>
        <w:tc>
          <w:tcPr>
            <w:tcW w:w="1257" w:type="dxa"/>
            <w:gridSpan w:val="2"/>
            <w:vAlign w:val="center"/>
          </w:tcPr>
          <w:p w:rsidR="008F09E4" w:rsidRPr="000A0A5F" w:rsidRDefault="008F09E4" w:rsidP="008F09E4">
            <w:pPr>
              <w:pStyle w:val="TAL"/>
            </w:pPr>
            <w:r w:rsidRPr="000A0A5F">
              <w:rPr>
                <w:lang w:eastAsia="zh-CN"/>
              </w:rPr>
              <w:t>U</w:t>
            </w:r>
            <w:r w:rsidRPr="000A0A5F">
              <w:rPr>
                <w:rFonts w:hint="eastAsia"/>
                <w:lang w:eastAsia="zh-CN"/>
              </w:rPr>
              <w:t>A</w:t>
            </w:r>
            <w:r w:rsidRPr="000A0A5F">
              <w:rPr>
                <w:lang w:eastAsia="zh-CN"/>
              </w:rPr>
              <w:t>V</w:t>
            </w:r>
          </w:p>
        </w:tc>
      </w:tr>
      <w:tr w:rsidR="008F09E4" w:rsidRPr="000A0A5F" w:rsidTr="0037730B">
        <w:trPr>
          <w:gridBefore w:val="1"/>
          <w:wBefore w:w="36" w:type="dxa"/>
          <w:jc w:val="center"/>
        </w:trPr>
        <w:tc>
          <w:tcPr>
            <w:tcW w:w="1948" w:type="dxa"/>
            <w:gridSpan w:val="2"/>
            <w:shd w:val="clear" w:color="auto" w:fill="auto"/>
            <w:vAlign w:val="center"/>
          </w:tcPr>
          <w:p w:rsidR="008F09E4" w:rsidRPr="000A0A5F" w:rsidRDefault="008F09E4" w:rsidP="008F09E4">
            <w:pPr>
              <w:pStyle w:val="TAL"/>
            </w:pPr>
            <w:r w:rsidRPr="000A0A5F">
              <w:t>groupMembListChanges</w:t>
            </w:r>
          </w:p>
        </w:tc>
        <w:tc>
          <w:tcPr>
            <w:tcW w:w="2126" w:type="dxa"/>
            <w:gridSpan w:val="2"/>
            <w:shd w:val="clear" w:color="auto" w:fill="auto"/>
            <w:vAlign w:val="center"/>
          </w:tcPr>
          <w:p w:rsidR="008F09E4" w:rsidRPr="000A0A5F" w:rsidRDefault="008F09E4" w:rsidP="008F09E4">
            <w:pPr>
              <w:pStyle w:val="TAL"/>
              <w:rPr>
                <w:lang w:eastAsia="zh-CN"/>
              </w:rPr>
            </w:pPr>
            <w:r w:rsidRPr="000A0A5F">
              <w:t>GroupMembListChanges</w:t>
            </w:r>
          </w:p>
        </w:tc>
        <w:tc>
          <w:tcPr>
            <w:tcW w:w="1276" w:type="dxa"/>
            <w:gridSpan w:val="2"/>
            <w:shd w:val="clear" w:color="auto" w:fill="auto"/>
            <w:vAlign w:val="center"/>
          </w:tcPr>
          <w:p w:rsidR="008F09E4" w:rsidRPr="000A0A5F" w:rsidRDefault="008F09E4" w:rsidP="008F09E4">
            <w:pPr>
              <w:pStyle w:val="TAL"/>
              <w:rPr>
                <w:lang w:eastAsia="zh-CN"/>
              </w:rPr>
            </w:pPr>
            <w:r w:rsidRPr="000A0A5F">
              <w:rPr>
                <w:lang w:eastAsia="zh-CN"/>
              </w:rPr>
              <w:t>0..1</w:t>
            </w:r>
          </w:p>
        </w:tc>
        <w:tc>
          <w:tcPr>
            <w:tcW w:w="2995" w:type="dxa"/>
            <w:gridSpan w:val="2"/>
            <w:shd w:val="clear" w:color="auto" w:fill="auto"/>
            <w:vAlign w:val="center"/>
          </w:tcPr>
          <w:p w:rsidR="008F09E4" w:rsidRPr="000A0A5F" w:rsidRDefault="008F09E4" w:rsidP="008F09E4">
            <w:pPr>
              <w:pStyle w:val="TAL"/>
              <w:spacing w:afterLines="50" w:after="120"/>
              <w:rPr>
                <w:rFonts w:cs="Arial"/>
                <w:szCs w:val="18"/>
                <w:lang w:eastAsia="zh-CN"/>
              </w:rPr>
            </w:pPr>
            <w:r w:rsidRPr="000A0A5F">
              <w:rPr>
                <w:rFonts w:cs="Arial"/>
                <w:szCs w:val="18"/>
                <w:lang w:eastAsia="zh-CN"/>
              </w:rPr>
              <w:t>Contains information on the change(s) to the group member list.</w:t>
            </w:r>
          </w:p>
          <w:p w:rsidR="008F09E4" w:rsidRPr="000A0A5F" w:rsidRDefault="008F09E4" w:rsidP="008F09E4">
            <w:pPr>
              <w:pStyle w:val="TAL"/>
              <w:spacing w:afterLines="50" w:after="120"/>
              <w:rPr>
                <w:rFonts w:cs="Arial"/>
                <w:szCs w:val="18"/>
                <w:lang w:eastAsia="zh-CN"/>
              </w:rPr>
            </w:pPr>
          </w:p>
          <w:p w:rsidR="008F09E4" w:rsidRPr="000A0A5F" w:rsidRDefault="008F09E4" w:rsidP="008F09E4">
            <w:pPr>
              <w:pStyle w:val="TAL"/>
              <w:spacing w:afterLines="50" w:after="120"/>
              <w:rPr>
                <w:rFonts w:cs="Arial"/>
                <w:szCs w:val="18"/>
                <w:lang w:eastAsia="zh-CN"/>
              </w:rPr>
            </w:pPr>
            <w:r w:rsidRPr="000A0A5F">
              <w:rPr>
                <w:rFonts w:cs="Arial"/>
                <w:szCs w:val="18"/>
                <w:lang w:eastAsia="zh-CN"/>
              </w:rPr>
              <w:t>This attribute shall be present only if the "monitoringType" attribute is set to "</w:t>
            </w:r>
            <w:r w:rsidRPr="000A0A5F">
              <w:rPr>
                <w:noProof/>
              </w:rPr>
              <w:t>GROUP_MEMBER_LIST_CHANGE"</w:t>
            </w:r>
            <w:r w:rsidRPr="000A0A5F">
              <w:rPr>
                <w:rFonts w:cs="Arial"/>
                <w:szCs w:val="18"/>
                <w:lang w:eastAsia="zh-CN"/>
              </w:rPr>
              <w:t>.</w:t>
            </w:r>
          </w:p>
        </w:tc>
        <w:tc>
          <w:tcPr>
            <w:tcW w:w="1257" w:type="dxa"/>
            <w:gridSpan w:val="2"/>
            <w:vAlign w:val="center"/>
          </w:tcPr>
          <w:p w:rsidR="008F09E4" w:rsidRPr="000A0A5F" w:rsidRDefault="008F09E4" w:rsidP="008F09E4">
            <w:pPr>
              <w:pStyle w:val="TAL"/>
              <w:rPr>
                <w:lang w:eastAsia="zh-CN"/>
              </w:rPr>
            </w:pPr>
            <w:r w:rsidRPr="000A0A5F">
              <w:t>GMEC</w:t>
            </w:r>
          </w:p>
        </w:tc>
      </w:tr>
      <w:tr w:rsidR="008F09E4" w:rsidRPr="000A0A5F" w:rsidTr="00675CD5">
        <w:trPr>
          <w:gridAfter w:val="1"/>
          <w:wAfter w:w="36" w:type="dxa"/>
          <w:jc w:val="center"/>
        </w:trPr>
        <w:tc>
          <w:tcPr>
            <w:tcW w:w="9602" w:type="dxa"/>
            <w:gridSpan w:val="10"/>
            <w:shd w:val="clear" w:color="auto" w:fill="auto"/>
            <w:vAlign w:val="center"/>
          </w:tcPr>
          <w:p w:rsidR="008F09E4" w:rsidRPr="000A0A5F" w:rsidRDefault="008F09E4" w:rsidP="008F09E4">
            <w:pPr>
              <w:pStyle w:val="TAN"/>
            </w:pPr>
            <w:r w:rsidRPr="000A0A5F">
              <w:t>NOTE 1:</w:t>
            </w:r>
            <w:r w:rsidRPr="000A0A5F">
              <w:tab/>
              <w:t>Properties marked with a feature as defined in clause 5.3.4 are applicable as described in clause 5.2.7. If no features are indicated, the related property applies for all the features.</w:t>
            </w:r>
          </w:p>
          <w:p w:rsidR="00C520FB" w:rsidRPr="000A0A5F" w:rsidRDefault="008F09E4" w:rsidP="00C520FB">
            <w:pPr>
              <w:pStyle w:val="TAN"/>
            </w:pPr>
            <w:r w:rsidRPr="000A0A5F">
              <w:rPr>
                <w:noProof/>
                <w:lang w:eastAsia="zh-CN"/>
              </w:rPr>
              <w:t>NOTE</w:t>
            </w:r>
            <w:r w:rsidRPr="000A0A5F">
              <w:t> 2</w:t>
            </w:r>
            <w:r w:rsidRPr="000A0A5F">
              <w:rPr>
                <w:noProof/>
                <w:lang w:eastAsia="zh-CN"/>
              </w:rPr>
              <w:t>:</w:t>
            </w:r>
            <w:r w:rsidRPr="000A0A5F">
              <w:rPr>
                <w:noProof/>
                <w:lang w:eastAsia="zh-CN"/>
              </w:rPr>
              <w:tab/>
            </w:r>
            <w:r w:rsidR="00C520FB" w:rsidRPr="000A0A5F">
              <w:rPr>
                <w:noProof/>
                <w:lang w:eastAsia="zh-CN"/>
              </w:rPr>
              <w:t>Identifies the user for which the event occurred. At least one of the properties shall be included.</w:t>
            </w:r>
          </w:p>
          <w:p w:rsidR="008F09E4" w:rsidRPr="000A0A5F" w:rsidRDefault="00B07BC4" w:rsidP="00B07BC4">
            <w:pPr>
              <w:pStyle w:val="TAN"/>
            </w:pPr>
            <w:r w:rsidRPr="000A0A5F">
              <w:rPr>
                <w:noProof/>
                <w:lang w:eastAsia="zh-CN"/>
              </w:rPr>
              <w:t>NOTE</w:t>
            </w:r>
            <w:r w:rsidRPr="000A0A5F">
              <w:t> 3</w:t>
            </w:r>
            <w:r w:rsidRPr="000A0A5F">
              <w:rPr>
                <w:noProof/>
                <w:lang w:eastAsia="zh-CN"/>
              </w:rPr>
              <w:t>:</w:t>
            </w:r>
            <w:r w:rsidRPr="000A0A5F">
              <w:rPr>
                <w:noProof/>
                <w:lang w:eastAsia="zh-CN"/>
              </w:rPr>
              <w:tab/>
              <w:t>If the "eNSAC" feature is supported, the "</w:t>
            </w:r>
            <w:r w:rsidRPr="000A0A5F">
              <w:rPr>
                <w:lang w:eastAsia="zh-CN"/>
              </w:rPr>
              <w:t>SACEventStatus</w:t>
            </w:r>
            <w:r w:rsidRPr="000A0A5F">
              <w:rPr>
                <w:noProof/>
                <w:lang w:eastAsia="zh-CN"/>
              </w:rPr>
              <w:t>" data type shall include an indication to report either the current number of registered UEs or the current number of UEs with at least one PDU session/PDN connection.</w:t>
            </w:r>
          </w:p>
        </w:tc>
      </w:tr>
    </w:tbl>
    <w:p w:rsidR="00CB0DD7" w:rsidRPr="000A0A5F" w:rsidRDefault="00CB0DD7"/>
    <w:p w:rsidR="00CB0DD7" w:rsidRPr="000A0A5F" w:rsidRDefault="00CB0DD7">
      <w:pPr>
        <w:pStyle w:val="Heading5"/>
      </w:pPr>
      <w:bookmarkStart w:id="1888" w:name="_Toc11247316"/>
      <w:bookmarkStart w:id="1889" w:name="_Toc27044436"/>
      <w:bookmarkStart w:id="1890" w:name="_Toc36033478"/>
      <w:bookmarkStart w:id="1891" w:name="_Toc45131610"/>
      <w:bookmarkStart w:id="1892" w:name="_Toc49775895"/>
      <w:bookmarkStart w:id="1893" w:name="_Toc51746815"/>
      <w:bookmarkStart w:id="1894" w:name="_Toc66360359"/>
      <w:bookmarkStart w:id="1895" w:name="_Toc68104864"/>
      <w:bookmarkStart w:id="1896" w:name="_Toc74755494"/>
      <w:bookmarkStart w:id="1897" w:name="_Toc105674355"/>
      <w:bookmarkStart w:id="1898" w:name="_Toc130502394"/>
      <w:bookmarkStart w:id="1899" w:name="_Toc153625176"/>
      <w:r w:rsidRPr="000A0A5F">
        <w:t>5.3.2.3.3</w:t>
      </w:r>
      <w:r w:rsidRPr="000A0A5F">
        <w:tab/>
        <w:t>Type: IdleStatusInfo</w:t>
      </w:r>
      <w:bookmarkEnd w:id="1888"/>
      <w:bookmarkEnd w:id="1889"/>
      <w:bookmarkEnd w:id="1890"/>
      <w:bookmarkEnd w:id="1891"/>
      <w:bookmarkEnd w:id="1892"/>
      <w:bookmarkEnd w:id="1893"/>
      <w:bookmarkEnd w:id="1894"/>
      <w:bookmarkEnd w:id="1895"/>
      <w:bookmarkEnd w:id="1896"/>
      <w:bookmarkEnd w:id="1897"/>
      <w:bookmarkEnd w:id="1898"/>
      <w:bookmarkEnd w:id="1899"/>
    </w:p>
    <w:p w:rsidR="00CB0DD7" w:rsidRPr="000A0A5F" w:rsidRDefault="00CB0DD7">
      <w:r w:rsidRPr="000A0A5F">
        <w:t>This data type represents the information when the UE transitions into idle mode. It is sent from the SCEF to the SCS/AS.</w:t>
      </w:r>
    </w:p>
    <w:p w:rsidR="00CB0DD7" w:rsidRPr="000A0A5F" w:rsidRDefault="00CB0DD7">
      <w:pPr>
        <w:pStyle w:val="TH"/>
      </w:pPr>
      <w:r w:rsidRPr="000A0A5F">
        <w:rPr>
          <w:noProof/>
        </w:rPr>
        <w:t>Table </w:t>
      </w:r>
      <w:r w:rsidRPr="000A0A5F">
        <w:t xml:space="preserve">5.3.2.3.3-1: </w:t>
      </w:r>
      <w:r w:rsidRPr="000A0A5F">
        <w:rPr>
          <w:noProof/>
        </w:rPr>
        <w:t xml:space="preserve">Definition of type </w:t>
      </w:r>
      <w:r w:rsidRPr="000A0A5F">
        <w:t>IdleStatusInfo</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948"/>
        <w:gridCol w:w="1720"/>
        <w:gridCol w:w="1276"/>
        <w:gridCol w:w="4829"/>
        <w:tblGridChange w:id="1900">
          <w:tblGrid>
            <w:gridCol w:w="1948"/>
            <w:gridCol w:w="1720"/>
            <w:gridCol w:w="1276"/>
            <w:gridCol w:w="4829"/>
          </w:tblGrid>
        </w:tblGridChange>
      </w:tblGrid>
      <w:tr w:rsidR="00CB0DD7" w:rsidRPr="000A0A5F" w:rsidTr="005335DC">
        <w:trPr>
          <w:trHeight w:val="430"/>
          <w:jc w:val="center"/>
        </w:trPr>
        <w:tc>
          <w:tcPr>
            <w:tcW w:w="1948" w:type="dxa"/>
            <w:shd w:val="clear" w:color="auto" w:fill="C0C0C0"/>
            <w:vAlign w:val="center"/>
          </w:tcPr>
          <w:p w:rsidR="00CB0DD7" w:rsidRPr="000A0A5F" w:rsidRDefault="00CB0DD7">
            <w:pPr>
              <w:pStyle w:val="TAH"/>
              <w:rPr>
                <w:rFonts w:eastAsia="Times New Roman"/>
              </w:rPr>
            </w:pPr>
            <w:r w:rsidRPr="000A0A5F">
              <w:rPr>
                <w:rFonts w:eastAsia="Times New Roman"/>
              </w:rPr>
              <w:t>Attribute name</w:t>
            </w:r>
          </w:p>
        </w:tc>
        <w:tc>
          <w:tcPr>
            <w:tcW w:w="1720" w:type="dxa"/>
            <w:shd w:val="clear" w:color="auto" w:fill="C0C0C0"/>
            <w:vAlign w:val="center"/>
          </w:tcPr>
          <w:p w:rsidR="00CB0DD7" w:rsidRPr="000A0A5F" w:rsidRDefault="00CB0DD7">
            <w:pPr>
              <w:pStyle w:val="TAH"/>
              <w:rPr>
                <w:rFonts w:eastAsia="Times New Roman"/>
              </w:rPr>
            </w:pPr>
            <w:r w:rsidRPr="000A0A5F">
              <w:rPr>
                <w:rFonts w:eastAsia="Times New Roman"/>
              </w:rPr>
              <w:t>Data type</w:t>
            </w:r>
          </w:p>
        </w:tc>
        <w:tc>
          <w:tcPr>
            <w:tcW w:w="1276" w:type="dxa"/>
            <w:shd w:val="clear" w:color="auto" w:fill="C0C0C0"/>
            <w:vAlign w:val="center"/>
          </w:tcPr>
          <w:p w:rsidR="00CB0DD7" w:rsidRPr="000A0A5F" w:rsidRDefault="00CB0DD7">
            <w:pPr>
              <w:pStyle w:val="TAH"/>
              <w:jc w:val="left"/>
              <w:rPr>
                <w:rFonts w:eastAsia="Times New Roman"/>
              </w:rPr>
            </w:pPr>
            <w:r w:rsidRPr="000A0A5F">
              <w:rPr>
                <w:rFonts w:eastAsia="Times New Roman"/>
              </w:rPr>
              <w:t>Cardinality</w:t>
            </w:r>
          </w:p>
        </w:tc>
        <w:tc>
          <w:tcPr>
            <w:tcW w:w="4829" w:type="dxa"/>
            <w:shd w:val="clear" w:color="auto" w:fill="C0C0C0"/>
            <w:vAlign w:val="center"/>
          </w:tcPr>
          <w:p w:rsidR="00CB0DD7" w:rsidRPr="000A0A5F" w:rsidRDefault="00CB0DD7">
            <w:pPr>
              <w:pStyle w:val="TAH"/>
              <w:rPr>
                <w:rFonts w:eastAsia="Times New Roman" w:cs="Arial"/>
                <w:szCs w:val="18"/>
              </w:rPr>
            </w:pPr>
            <w:r w:rsidRPr="000A0A5F">
              <w:rPr>
                <w:rFonts w:eastAsia="Times New Roman" w:cs="Arial"/>
                <w:szCs w:val="18"/>
              </w:rPr>
              <w:t>Description</w:t>
            </w:r>
          </w:p>
        </w:tc>
      </w:tr>
      <w:tr w:rsidR="00CB0DD7" w:rsidRPr="000A0A5F" w:rsidTr="005335DC">
        <w:trPr>
          <w:jc w:val="center"/>
        </w:trPr>
        <w:tc>
          <w:tcPr>
            <w:tcW w:w="1948" w:type="dxa"/>
            <w:shd w:val="clear" w:color="auto" w:fill="auto"/>
            <w:vAlign w:val="center"/>
          </w:tcPr>
          <w:p w:rsidR="00CB0DD7" w:rsidRPr="000A0A5F" w:rsidRDefault="00CB0DD7">
            <w:pPr>
              <w:pStyle w:val="TAL"/>
              <w:rPr>
                <w:rFonts w:hint="eastAsia"/>
                <w:lang w:eastAsia="zh-CN"/>
              </w:rPr>
            </w:pPr>
            <w:r w:rsidRPr="000A0A5F">
              <w:rPr>
                <w:rFonts w:hint="eastAsia"/>
                <w:lang w:eastAsia="zh-CN"/>
              </w:rPr>
              <w:t>activeTime</w:t>
            </w:r>
          </w:p>
        </w:tc>
        <w:tc>
          <w:tcPr>
            <w:tcW w:w="1720" w:type="dxa"/>
            <w:shd w:val="clear" w:color="auto" w:fill="auto"/>
            <w:vAlign w:val="center"/>
          </w:tcPr>
          <w:p w:rsidR="00CB0DD7" w:rsidRPr="000A0A5F" w:rsidRDefault="00CB0DD7">
            <w:pPr>
              <w:pStyle w:val="TAL"/>
              <w:rPr>
                <w:rFonts w:hint="eastAsia"/>
                <w:lang w:eastAsia="zh-CN"/>
              </w:rPr>
            </w:pPr>
            <w:r w:rsidRPr="000A0A5F">
              <w:rPr>
                <w:lang w:eastAsia="zh-CN"/>
              </w:rPr>
              <w:t>DurationSec</w:t>
            </w:r>
          </w:p>
        </w:tc>
        <w:tc>
          <w:tcPr>
            <w:tcW w:w="1276" w:type="dxa"/>
            <w:shd w:val="clear" w:color="auto" w:fill="auto"/>
            <w:vAlign w:val="center"/>
          </w:tcPr>
          <w:p w:rsidR="00CB0DD7" w:rsidRPr="000A0A5F" w:rsidRDefault="00CB0DD7">
            <w:pPr>
              <w:pStyle w:val="TAL"/>
              <w:rPr>
                <w:rFonts w:hint="eastAsia"/>
                <w:lang w:eastAsia="zh-CN"/>
              </w:rPr>
            </w:pPr>
            <w:r w:rsidRPr="000A0A5F">
              <w:rPr>
                <w:lang w:eastAsia="zh-CN"/>
              </w:rPr>
              <w:t>0..</w:t>
            </w:r>
            <w:r w:rsidRPr="000A0A5F">
              <w:rPr>
                <w:rFonts w:hint="eastAsia"/>
                <w:lang w:eastAsia="zh-CN"/>
              </w:rPr>
              <w:t>1</w:t>
            </w:r>
          </w:p>
        </w:tc>
        <w:tc>
          <w:tcPr>
            <w:tcW w:w="4829" w:type="dxa"/>
            <w:shd w:val="clear" w:color="auto" w:fill="auto"/>
          </w:tcPr>
          <w:p w:rsidR="00CB0DD7" w:rsidRPr="000A0A5F" w:rsidRDefault="00CB0DD7">
            <w:pPr>
              <w:pStyle w:val="TAL"/>
              <w:rPr>
                <w:rFonts w:cs="Arial" w:hint="eastAsia"/>
                <w:szCs w:val="18"/>
                <w:lang w:eastAsia="zh-CN"/>
              </w:rPr>
            </w:pPr>
            <w:r w:rsidRPr="000A0A5F">
              <w:rPr>
                <w:rFonts w:cs="Arial" w:hint="eastAsia"/>
                <w:szCs w:val="18"/>
                <w:lang w:eastAsia="zh-CN"/>
              </w:rPr>
              <w:t>I</w:t>
            </w:r>
            <w:r w:rsidRPr="000A0A5F">
              <w:rPr>
                <w:rFonts w:cs="Arial"/>
                <w:szCs w:val="18"/>
                <w:lang w:eastAsia="zh-CN"/>
              </w:rPr>
              <w:t>d</w:t>
            </w:r>
            <w:r w:rsidRPr="000A0A5F">
              <w:rPr>
                <w:rFonts w:cs="Arial" w:hint="eastAsia"/>
                <w:szCs w:val="18"/>
                <w:lang w:eastAsia="zh-CN"/>
              </w:rPr>
              <w:t>entifies the active time granted to the UE.</w:t>
            </w:r>
            <w:r w:rsidRPr="000A0A5F">
              <w:rPr>
                <w:rFonts w:cs="Arial"/>
                <w:szCs w:val="18"/>
                <w:lang w:eastAsia="zh-CN"/>
              </w:rPr>
              <w:t xml:space="preserve"> It shall be present if the idle status indication is requested by the SCS/AS with "idleStatusIndication" in the "monitoringEventSubscription" sets to "true".</w:t>
            </w:r>
          </w:p>
        </w:tc>
      </w:tr>
      <w:tr w:rsidR="00CB0DD7" w:rsidRPr="000A0A5F" w:rsidTr="005335DC">
        <w:trPr>
          <w:jc w:val="center"/>
        </w:trPr>
        <w:tc>
          <w:tcPr>
            <w:tcW w:w="1948" w:type="dxa"/>
            <w:shd w:val="clear" w:color="auto" w:fill="auto"/>
            <w:vAlign w:val="center"/>
          </w:tcPr>
          <w:p w:rsidR="00CB0DD7" w:rsidRPr="000A0A5F" w:rsidRDefault="00CB0DD7">
            <w:pPr>
              <w:pStyle w:val="TAL"/>
              <w:rPr>
                <w:rFonts w:hint="eastAsia"/>
                <w:lang w:eastAsia="zh-CN"/>
              </w:rPr>
            </w:pPr>
            <w:r w:rsidRPr="000A0A5F">
              <w:rPr>
                <w:rFonts w:hint="eastAsia"/>
                <w:lang w:eastAsia="zh-CN"/>
              </w:rPr>
              <w:t>edrxCycleLen</w:t>
            </w:r>
            <w:r w:rsidRPr="000A0A5F">
              <w:rPr>
                <w:lang w:eastAsia="zh-CN"/>
              </w:rPr>
              <w:t>g</w:t>
            </w:r>
            <w:r w:rsidRPr="000A0A5F">
              <w:rPr>
                <w:rFonts w:hint="eastAsia"/>
                <w:lang w:eastAsia="zh-CN"/>
              </w:rPr>
              <w:t>th</w:t>
            </w:r>
          </w:p>
        </w:tc>
        <w:tc>
          <w:tcPr>
            <w:tcW w:w="1720" w:type="dxa"/>
            <w:shd w:val="clear" w:color="auto" w:fill="auto"/>
            <w:vAlign w:val="center"/>
          </w:tcPr>
          <w:p w:rsidR="00CB0DD7" w:rsidRPr="000A0A5F" w:rsidRDefault="00CB0DD7">
            <w:pPr>
              <w:pStyle w:val="TAL"/>
              <w:rPr>
                <w:lang w:eastAsia="zh-CN"/>
              </w:rPr>
            </w:pPr>
            <w:r w:rsidRPr="000A0A5F">
              <w:rPr>
                <w:lang w:eastAsia="zh-CN"/>
              </w:rPr>
              <w:t>number</w:t>
            </w:r>
          </w:p>
        </w:tc>
        <w:tc>
          <w:tcPr>
            <w:tcW w:w="1276" w:type="dxa"/>
            <w:shd w:val="clear" w:color="auto" w:fill="auto"/>
            <w:vAlign w:val="center"/>
          </w:tcPr>
          <w:p w:rsidR="00CB0DD7" w:rsidRPr="000A0A5F" w:rsidRDefault="00CB0DD7">
            <w:pPr>
              <w:pStyle w:val="TAL"/>
              <w:rPr>
                <w:lang w:eastAsia="zh-CN"/>
              </w:rPr>
            </w:pPr>
            <w:r w:rsidRPr="000A0A5F">
              <w:rPr>
                <w:rFonts w:hint="eastAsia"/>
                <w:lang w:eastAsia="zh-CN"/>
              </w:rPr>
              <w:t>0..1</w:t>
            </w:r>
          </w:p>
        </w:tc>
        <w:tc>
          <w:tcPr>
            <w:tcW w:w="4829" w:type="dxa"/>
            <w:shd w:val="clear" w:color="auto" w:fill="auto"/>
          </w:tcPr>
          <w:p w:rsidR="00CB0DD7" w:rsidRPr="000A0A5F" w:rsidRDefault="00CB0DD7">
            <w:pPr>
              <w:pStyle w:val="TAL"/>
              <w:rPr>
                <w:rFonts w:cs="Arial" w:hint="eastAsia"/>
                <w:szCs w:val="18"/>
                <w:lang w:eastAsia="zh-CN"/>
              </w:rPr>
            </w:pPr>
            <w:r w:rsidRPr="000A0A5F">
              <w:rPr>
                <w:rFonts w:cs="Arial" w:hint="eastAsia"/>
                <w:szCs w:val="18"/>
                <w:lang w:eastAsia="zh-CN"/>
              </w:rPr>
              <w:t xml:space="preserve">Identifies the </w:t>
            </w:r>
            <w:r w:rsidRPr="000A0A5F">
              <w:rPr>
                <w:rFonts w:cs="Arial"/>
                <w:szCs w:val="18"/>
                <w:lang w:eastAsia="zh-CN"/>
              </w:rPr>
              <w:t>power saving interval in unit of seconds. It shall be present if the idle status indication is requested by the SCS/AS with "idleStatusIndication" in the "monitoringEventSubscription" sets to "true".</w:t>
            </w:r>
          </w:p>
        </w:tc>
      </w:tr>
      <w:tr w:rsidR="00CB0DD7" w:rsidRPr="000A0A5F" w:rsidTr="005335DC">
        <w:trPr>
          <w:jc w:val="center"/>
        </w:trPr>
        <w:tc>
          <w:tcPr>
            <w:tcW w:w="1948" w:type="dxa"/>
            <w:shd w:val="clear" w:color="auto" w:fill="auto"/>
          </w:tcPr>
          <w:p w:rsidR="00CB0DD7" w:rsidRPr="000A0A5F" w:rsidRDefault="00CB0DD7">
            <w:pPr>
              <w:pStyle w:val="TAL"/>
              <w:rPr>
                <w:rFonts w:hint="eastAsia"/>
                <w:lang w:eastAsia="zh-CN"/>
              </w:rPr>
            </w:pPr>
            <w:r w:rsidRPr="000A0A5F">
              <w:rPr>
                <w:lang w:eastAsia="zh-CN"/>
              </w:rPr>
              <w:t>s</w:t>
            </w:r>
            <w:r w:rsidRPr="000A0A5F">
              <w:rPr>
                <w:rFonts w:hint="eastAsia"/>
                <w:lang w:eastAsia="zh-CN"/>
              </w:rPr>
              <w:t>uggestedNumber</w:t>
            </w:r>
            <w:r w:rsidRPr="000A0A5F">
              <w:rPr>
                <w:lang w:eastAsia="zh-CN"/>
              </w:rPr>
              <w:t>OfDlPackets</w:t>
            </w:r>
          </w:p>
        </w:tc>
        <w:tc>
          <w:tcPr>
            <w:tcW w:w="1720" w:type="dxa"/>
            <w:shd w:val="clear" w:color="auto" w:fill="auto"/>
          </w:tcPr>
          <w:p w:rsidR="00CB0DD7" w:rsidRPr="000A0A5F" w:rsidRDefault="00CB0DD7">
            <w:pPr>
              <w:pStyle w:val="TAL"/>
              <w:rPr>
                <w:lang w:eastAsia="zh-CN"/>
              </w:rPr>
            </w:pPr>
            <w:r w:rsidRPr="000A0A5F">
              <w:rPr>
                <w:lang w:eastAsia="zh-CN"/>
              </w:rPr>
              <w:t>integer</w:t>
            </w:r>
          </w:p>
        </w:tc>
        <w:tc>
          <w:tcPr>
            <w:tcW w:w="1276" w:type="dxa"/>
            <w:shd w:val="clear" w:color="auto" w:fill="auto"/>
          </w:tcPr>
          <w:p w:rsidR="00CB0DD7" w:rsidRPr="000A0A5F" w:rsidRDefault="00CB0DD7">
            <w:pPr>
              <w:pStyle w:val="TAL"/>
              <w:rPr>
                <w:lang w:eastAsia="zh-CN"/>
              </w:rPr>
            </w:pPr>
            <w:r w:rsidRPr="000A0A5F">
              <w:rPr>
                <w:rFonts w:eastAsia="Times New Roman"/>
              </w:rPr>
              <w:t>0..1</w:t>
            </w:r>
          </w:p>
        </w:tc>
        <w:tc>
          <w:tcPr>
            <w:tcW w:w="4829" w:type="dxa"/>
            <w:shd w:val="clear" w:color="auto" w:fill="auto"/>
          </w:tcPr>
          <w:p w:rsidR="00CB0DD7" w:rsidRPr="000A0A5F" w:rsidRDefault="00CB0DD7">
            <w:pPr>
              <w:pStyle w:val="TAL"/>
              <w:rPr>
                <w:rFonts w:cs="Arial" w:hint="eastAsia"/>
                <w:szCs w:val="18"/>
                <w:lang w:eastAsia="zh-CN"/>
              </w:rPr>
            </w:pPr>
            <w:r w:rsidRPr="000A0A5F">
              <w:rPr>
                <w:rFonts w:cs="Arial"/>
                <w:szCs w:val="18"/>
                <w:lang w:eastAsia="zh-CN"/>
              </w:rPr>
              <w:t>Identifies the number of packets shall be buffered in the serving gateway. It shall be present if the idle status indication is requested by the SCS/AS with "idleStatusIndication" in the "monitoringEventSubscription" sets to "true".</w:t>
            </w:r>
          </w:p>
        </w:tc>
      </w:tr>
      <w:tr w:rsidR="00CB0DD7" w:rsidRPr="000A0A5F" w:rsidTr="005335DC">
        <w:trPr>
          <w:jc w:val="center"/>
        </w:trPr>
        <w:tc>
          <w:tcPr>
            <w:tcW w:w="1948" w:type="dxa"/>
            <w:shd w:val="clear" w:color="auto" w:fill="auto"/>
            <w:vAlign w:val="center"/>
          </w:tcPr>
          <w:p w:rsidR="00CB0DD7" w:rsidRPr="000A0A5F" w:rsidRDefault="00CB0DD7">
            <w:pPr>
              <w:pStyle w:val="TAL"/>
              <w:rPr>
                <w:rFonts w:hint="eastAsia"/>
                <w:lang w:eastAsia="zh-CN"/>
              </w:rPr>
            </w:pPr>
            <w:r w:rsidRPr="000A0A5F">
              <w:rPr>
                <w:rFonts w:hint="eastAsia"/>
                <w:lang w:eastAsia="zh-CN"/>
              </w:rPr>
              <w:t>idleStatusTimestamp</w:t>
            </w:r>
          </w:p>
        </w:tc>
        <w:tc>
          <w:tcPr>
            <w:tcW w:w="1720" w:type="dxa"/>
            <w:shd w:val="clear" w:color="auto" w:fill="auto"/>
            <w:vAlign w:val="center"/>
          </w:tcPr>
          <w:p w:rsidR="00CB0DD7" w:rsidRPr="000A0A5F" w:rsidRDefault="00CB0DD7">
            <w:pPr>
              <w:pStyle w:val="TAL"/>
              <w:rPr>
                <w:rFonts w:hint="eastAsia"/>
                <w:lang w:eastAsia="zh-CN"/>
              </w:rPr>
            </w:pPr>
            <w:r w:rsidRPr="000A0A5F">
              <w:rPr>
                <w:rFonts w:hint="eastAsia"/>
                <w:lang w:eastAsia="zh-CN"/>
              </w:rPr>
              <w:t>Dat</w:t>
            </w:r>
            <w:r w:rsidRPr="000A0A5F">
              <w:rPr>
                <w:lang w:eastAsia="zh-CN"/>
              </w:rPr>
              <w:t>eTime</w:t>
            </w:r>
          </w:p>
        </w:tc>
        <w:tc>
          <w:tcPr>
            <w:tcW w:w="1276" w:type="dxa"/>
            <w:shd w:val="clear" w:color="auto" w:fill="auto"/>
            <w:vAlign w:val="center"/>
          </w:tcPr>
          <w:p w:rsidR="00CB0DD7" w:rsidRPr="000A0A5F" w:rsidRDefault="00CB0DD7">
            <w:pPr>
              <w:pStyle w:val="TAL"/>
              <w:rPr>
                <w:rFonts w:hint="eastAsia"/>
                <w:lang w:eastAsia="zh-CN"/>
              </w:rPr>
            </w:pPr>
            <w:r w:rsidRPr="000A0A5F">
              <w:rPr>
                <w:lang w:eastAsia="zh-CN"/>
              </w:rPr>
              <w:t>0..</w:t>
            </w:r>
            <w:r w:rsidRPr="000A0A5F">
              <w:rPr>
                <w:rFonts w:hint="eastAsia"/>
                <w:lang w:eastAsia="zh-CN"/>
              </w:rPr>
              <w:t>1</w:t>
            </w:r>
          </w:p>
        </w:tc>
        <w:tc>
          <w:tcPr>
            <w:tcW w:w="4829" w:type="dxa"/>
            <w:shd w:val="clear" w:color="auto" w:fill="auto"/>
          </w:tcPr>
          <w:p w:rsidR="00CB0DD7" w:rsidRPr="000A0A5F" w:rsidRDefault="00CB0DD7">
            <w:pPr>
              <w:pStyle w:val="TAL"/>
              <w:rPr>
                <w:rFonts w:cs="Arial" w:hint="eastAsia"/>
                <w:szCs w:val="18"/>
                <w:lang w:eastAsia="zh-CN"/>
              </w:rPr>
            </w:pPr>
            <w:r w:rsidRPr="000A0A5F">
              <w:rPr>
                <w:rFonts w:cs="Arial" w:hint="eastAsia"/>
                <w:szCs w:val="18"/>
                <w:lang w:eastAsia="zh-CN"/>
              </w:rPr>
              <w:t>Identifies the timestamp at which the UE transitions into idle mode.</w:t>
            </w:r>
            <w:r w:rsidRPr="000A0A5F">
              <w:rPr>
                <w:rFonts w:cs="Arial"/>
                <w:szCs w:val="18"/>
                <w:lang w:eastAsia="zh-CN"/>
              </w:rPr>
              <w:t xml:space="preserve"> It shall be present if the idle status indication is requested by the SCS/AS with "idleStatusIndication" in the "monitoringEventSubscription" sets to "true".</w:t>
            </w:r>
          </w:p>
        </w:tc>
      </w:tr>
      <w:tr w:rsidR="00CB0DD7" w:rsidRPr="000A0A5F" w:rsidTr="005335DC">
        <w:trPr>
          <w:jc w:val="center"/>
        </w:trPr>
        <w:tc>
          <w:tcPr>
            <w:tcW w:w="1948" w:type="dxa"/>
            <w:shd w:val="clear" w:color="auto" w:fill="auto"/>
            <w:vAlign w:val="center"/>
          </w:tcPr>
          <w:p w:rsidR="00CB0DD7" w:rsidRPr="000A0A5F" w:rsidRDefault="00CB0DD7">
            <w:pPr>
              <w:pStyle w:val="TAL"/>
              <w:rPr>
                <w:rFonts w:hint="eastAsia"/>
                <w:lang w:eastAsia="zh-CN"/>
              </w:rPr>
            </w:pPr>
            <w:r w:rsidRPr="000A0A5F">
              <w:rPr>
                <w:rFonts w:hint="eastAsia"/>
                <w:lang w:eastAsia="zh-CN"/>
              </w:rPr>
              <w:t>peri</w:t>
            </w:r>
            <w:r w:rsidRPr="000A0A5F">
              <w:rPr>
                <w:lang w:eastAsia="zh-CN"/>
              </w:rPr>
              <w:t>odicAUTimer</w:t>
            </w:r>
          </w:p>
        </w:tc>
        <w:tc>
          <w:tcPr>
            <w:tcW w:w="1720" w:type="dxa"/>
            <w:shd w:val="clear" w:color="auto" w:fill="auto"/>
            <w:vAlign w:val="center"/>
          </w:tcPr>
          <w:p w:rsidR="00CB0DD7" w:rsidRPr="000A0A5F" w:rsidRDefault="00CB0DD7">
            <w:pPr>
              <w:pStyle w:val="TAL"/>
              <w:rPr>
                <w:rFonts w:hint="eastAsia"/>
                <w:lang w:eastAsia="zh-CN"/>
              </w:rPr>
            </w:pPr>
            <w:r w:rsidRPr="000A0A5F">
              <w:rPr>
                <w:rFonts w:hint="eastAsia"/>
                <w:lang w:eastAsia="zh-CN"/>
              </w:rPr>
              <w:t>DurationSec</w:t>
            </w:r>
          </w:p>
        </w:tc>
        <w:tc>
          <w:tcPr>
            <w:tcW w:w="1276" w:type="dxa"/>
            <w:shd w:val="clear" w:color="auto" w:fill="auto"/>
            <w:vAlign w:val="center"/>
          </w:tcPr>
          <w:p w:rsidR="00CB0DD7" w:rsidRPr="000A0A5F" w:rsidRDefault="00CB0DD7">
            <w:pPr>
              <w:pStyle w:val="TAL"/>
              <w:rPr>
                <w:rFonts w:hint="eastAsia"/>
                <w:lang w:eastAsia="zh-CN"/>
              </w:rPr>
            </w:pPr>
            <w:r w:rsidRPr="000A0A5F">
              <w:rPr>
                <w:lang w:eastAsia="zh-CN"/>
              </w:rPr>
              <w:t>0..</w:t>
            </w:r>
            <w:r w:rsidRPr="000A0A5F">
              <w:rPr>
                <w:rFonts w:hint="eastAsia"/>
                <w:lang w:eastAsia="zh-CN"/>
              </w:rPr>
              <w:t>1</w:t>
            </w:r>
          </w:p>
        </w:tc>
        <w:tc>
          <w:tcPr>
            <w:tcW w:w="4829" w:type="dxa"/>
            <w:shd w:val="clear" w:color="auto" w:fill="auto"/>
          </w:tcPr>
          <w:p w:rsidR="00CB0DD7" w:rsidRPr="000A0A5F" w:rsidRDefault="00CB0DD7">
            <w:pPr>
              <w:pStyle w:val="TAL"/>
              <w:rPr>
                <w:rFonts w:cs="Arial" w:hint="eastAsia"/>
                <w:szCs w:val="18"/>
                <w:lang w:val="en-US" w:eastAsia="zh-CN"/>
              </w:rPr>
            </w:pPr>
            <w:r w:rsidRPr="000A0A5F">
              <w:rPr>
                <w:rFonts w:cs="Arial" w:hint="eastAsia"/>
                <w:szCs w:val="18"/>
                <w:lang w:eastAsia="zh-CN"/>
              </w:rPr>
              <w:t>I</w:t>
            </w:r>
            <w:r w:rsidRPr="000A0A5F">
              <w:rPr>
                <w:rFonts w:cs="Arial"/>
                <w:szCs w:val="18"/>
                <w:lang w:eastAsia="zh-CN"/>
              </w:rPr>
              <w:t>dentifies the subscribed periodic RAU/TAU timer value</w:t>
            </w:r>
            <w:r w:rsidRPr="000A0A5F">
              <w:rPr>
                <w:rFonts w:cs="Arial"/>
                <w:szCs w:val="18"/>
                <w:lang w:val="en-US" w:eastAsia="zh-CN"/>
              </w:rPr>
              <w:t xml:space="preserve">. </w:t>
            </w:r>
            <w:r w:rsidRPr="000A0A5F">
              <w:rPr>
                <w:rFonts w:cs="Arial"/>
                <w:szCs w:val="18"/>
                <w:lang w:eastAsia="zh-CN"/>
              </w:rPr>
              <w:t>It shall be present if the idle status indication is requested by the SCS/AS with "idleStatusIndication" in the "monitoringEventSubscription" sets to "true".</w:t>
            </w:r>
          </w:p>
        </w:tc>
      </w:tr>
    </w:tbl>
    <w:p w:rsidR="00CB0DD7" w:rsidRPr="000A0A5F" w:rsidRDefault="00CB0DD7"/>
    <w:p w:rsidR="00CB0DD7" w:rsidRPr="000A0A5F" w:rsidRDefault="00CB0DD7">
      <w:pPr>
        <w:pStyle w:val="Heading5"/>
      </w:pPr>
      <w:bookmarkStart w:id="1901" w:name="_Toc11247317"/>
      <w:bookmarkStart w:id="1902" w:name="_Toc27044437"/>
      <w:bookmarkStart w:id="1903" w:name="_Toc36033479"/>
      <w:bookmarkStart w:id="1904" w:name="_Toc45131611"/>
      <w:bookmarkStart w:id="1905" w:name="_Toc49775896"/>
      <w:bookmarkStart w:id="1906" w:name="_Toc51746816"/>
      <w:bookmarkStart w:id="1907" w:name="_Toc66360360"/>
      <w:bookmarkStart w:id="1908" w:name="_Toc68104865"/>
      <w:bookmarkStart w:id="1909" w:name="_Toc74755495"/>
      <w:bookmarkStart w:id="1910" w:name="_Toc105674356"/>
      <w:bookmarkStart w:id="1911" w:name="_Toc130502395"/>
      <w:bookmarkStart w:id="1912" w:name="_Toc153625177"/>
      <w:r w:rsidRPr="000A0A5F">
        <w:t>5.3.2.3.4</w:t>
      </w:r>
      <w:r w:rsidRPr="000A0A5F">
        <w:tab/>
        <w:t>Type: UePerLocationReport</w:t>
      </w:r>
      <w:bookmarkEnd w:id="1901"/>
      <w:bookmarkEnd w:id="1902"/>
      <w:bookmarkEnd w:id="1903"/>
      <w:bookmarkEnd w:id="1904"/>
      <w:bookmarkEnd w:id="1905"/>
      <w:bookmarkEnd w:id="1906"/>
      <w:bookmarkEnd w:id="1907"/>
      <w:bookmarkEnd w:id="1908"/>
      <w:bookmarkEnd w:id="1909"/>
      <w:bookmarkEnd w:id="1910"/>
      <w:bookmarkEnd w:id="1911"/>
      <w:bookmarkEnd w:id="1912"/>
    </w:p>
    <w:p w:rsidR="00CB0DD7" w:rsidRPr="000A0A5F" w:rsidRDefault="00CB0DD7">
      <w:r w:rsidRPr="000A0A5F">
        <w:t>This data type represents the number of UEs found at the indicated location information. It is sent from the SCEF to the SCS/AS.</w:t>
      </w:r>
    </w:p>
    <w:p w:rsidR="00CB0DD7" w:rsidRPr="000A0A5F" w:rsidRDefault="00CB0DD7">
      <w:pPr>
        <w:pStyle w:val="TH"/>
      </w:pPr>
      <w:r w:rsidRPr="000A0A5F">
        <w:rPr>
          <w:noProof/>
        </w:rPr>
        <w:t>Table </w:t>
      </w:r>
      <w:r w:rsidRPr="000A0A5F">
        <w:t xml:space="preserve">5.3.2.3.4-1: </w:t>
      </w:r>
      <w:r w:rsidRPr="000A0A5F">
        <w:rPr>
          <w:noProof/>
        </w:rPr>
        <w:t xml:space="preserve">Definition of type </w:t>
      </w:r>
      <w:r w:rsidRPr="000A0A5F">
        <w:t>UePerLocationReport</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49"/>
        <w:gridCol w:w="1721"/>
        <w:gridCol w:w="1277"/>
        <w:gridCol w:w="4830"/>
      </w:tblGrid>
      <w:tr w:rsidR="00CB0DD7" w:rsidRPr="000A0A5F" w:rsidTr="005335DC">
        <w:trPr>
          <w:trHeight w:val="430"/>
          <w:jc w:val="center"/>
        </w:trPr>
        <w:tc>
          <w:tcPr>
            <w:tcW w:w="997" w:type="pct"/>
            <w:shd w:val="clear" w:color="auto" w:fill="C0C0C0"/>
            <w:vAlign w:val="center"/>
          </w:tcPr>
          <w:p w:rsidR="00CB0DD7" w:rsidRPr="000A0A5F" w:rsidRDefault="00CB0DD7">
            <w:pPr>
              <w:pStyle w:val="TAH"/>
              <w:rPr>
                <w:rFonts w:eastAsia="Times New Roman"/>
              </w:rPr>
            </w:pPr>
            <w:r w:rsidRPr="000A0A5F">
              <w:rPr>
                <w:rFonts w:eastAsia="Times New Roman"/>
              </w:rPr>
              <w:t>Attribute name</w:t>
            </w:r>
          </w:p>
        </w:tc>
        <w:tc>
          <w:tcPr>
            <w:tcW w:w="880" w:type="pct"/>
            <w:shd w:val="clear" w:color="auto" w:fill="C0C0C0"/>
            <w:vAlign w:val="center"/>
          </w:tcPr>
          <w:p w:rsidR="00CB0DD7" w:rsidRPr="000A0A5F" w:rsidRDefault="00CB0DD7">
            <w:pPr>
              <w:pStyle w:val="TAH"/>
              <w:rPr>
                <w:rFonts w:eastAsia="Times New Roman"/>
              </w:rPr>
            </w:pPr>
            <w:r w:rsidRPr="000A0A5F">
              <w:rPr>
                <w:rFonts w:eastAsia="Times New Roman"/>
              </w:rPr>
              <w:t>Data type</w:t>
            </w:r>
          </w:p>
        </w:tc>
        <w:tc>
          <w:tcPr>
            <w:tcW w:w="653" w:type="pct"/>
            <w:shd w:val="clear" w:color="auto" w:fill="C0C0C0"/>
            <w:vAlign w:val="center"/>
          </w:tcPr>
          <w:p w:rsidR="00CB0DD7" w:rsidRPr="000A0A5F" w:rsidRDefault="00CB0DD7">
            <w:pPr>
              <w:pStyle w:val="TAH"/>
              <w:jc w:val="left"/>
              <w:rPr>
                <w:rFonts w:eastAsia="Times New Roman"/>
              </w:rPr>
            </w:pPr>
            <w:r w:rsidRPr="000A0A5F">
              <w:rPr>
                <w:rFonts w:eastAsia="Times New Roman"/>
              </w:rPr>
              <w:t>Cardinality</w:t>
            </w:r>
          </w:p>
        </w:tc>
        <w:tc>
          <w:tcPr>
            <w:tcW w:w="2471" w:type="pct"/>
            <w:shd w:val="clear" w:color="auto" w:fill="C0C0C0"/>
            <w:vAlign w:val="center"/>
          </w:tcPr>
          <w:p w:rsidR="00CB0DD7" w:rsidRPr="000A0A5F" w:rsidRDefault="00CB0DD7">
            <w:pPr>
              <w:pStyle w:val="TAH"/>
              <w:rPr>
                <w:rFonts w:eastAsia="Times New Roman" w:cs="Arial"/>
                <w:szCs w:val="18"/>
              </w:rPr>
            </w:pPr>
            <w:r w:rsidRPr="000A0A5F">
              <w:rPr>
                <w:rFonts w:eastAsia="Times New Roman" w:cs="Arial"/>
                <w:szCs w:val="18"/>
              </w:rPr>
              <w:t>Description</w:t>
            </w:r>
          </w:p>
        </w:tc>
      </w:tr>
      <w:tr w:rsidR="00CB0DD7" w:rsidRPr="000A0A5F" w:rsidTr="005335DC">
        <w:trPr>
          <w:jc w:val="center"/>
        </w:trPr>
        <w:tc>
          <w:tcPr>
            <w:tcW w:w="997" w:type="pct"/>
            <w:shd w:val="clear" w:color="auto" w:fill="auto"/>
            <w:vAlign w:val="center"/>
          </w:tcPr>
          <w:p w:rsidR="00CB0DD7" w:rsidRPr="000A0A5F" w:rsidRDefault="00CB0DD7" w:rsidP="00C55DCD">
            <w:pPr>
              <w:pStyle w:val="TAL"/>
              <w:rPr>
                <w:rFonts w:hint="eastAsia"/>
                <w:lang w:eastAsia="zh-CN"/>
              </w:rPr>
            </w:pPr>
            <w:r w:rsidRPr="000A0A5F">
              <w:rPr>
                <w:lang w:eastAsia="zh-CN"/>
              </w:rPr>
              <w:t>ueCount</w:t>
            </w:r>
          </w:p>
        </w:tc>
        <w:tc>
          <w:tcPr>
            <w:tcW w:w="880" w:type="pct"/>
            <w:shd w:val="clear" w:color="auto" w:fill="auto"/>
            <w:vAlign w:val="center"/>
          </w:tcPr>
          <w:p w:rsidR="00CB0DD7" w:rsidRPr="000A0A5F" w:rsidRDefault="00CB0DD7" w:rsidP="00C55DCD">
            <w:pPr>
              <w:pStyle w:val="TAL"/>
              <w:rPr>
                <w:rFonts w:hint="eastAsia"/>
                <w:lang w:eastAsia="zh-CN"/>
              </w:rPr>
            </w:pPr>
            <w:r w:rsidRPr="000A0A5F">
              <w:rPr>
                <w:lang w:eastAsia="zh-CN"/>
              </w:rPr>
              <w:t>integer</w:t>
            </w:r>
          </w:p>
        </w:tc>
        <w:tc>
          <w:tcPr>
            <w:tcW w:w="653" w:type="pct"/>
            <w:shd w:val="clear" w:color="auto" w:fill="auto"/>
            <w:vAlign w:val="center"/>
          </w:tcPr>
          <w:p w:rsidR="00CB0DD7" w:rsidRPr="000A0A5F" w:rsidRDefault="00CB0DD7" w:rsidP="00C55DCD">
            <w:pPr>
              <w:pStyle w:val="TAL"/>
              <w:rPr>
                <w:rFonts w:hint="eastAsia"/>
                <w:lang w:eastAsia="zh-CN"/>
              </w:rPr>
            </w:pPr>
            <w:r w:rsidRPr="000A0A5F">
              <w:rPr>
                <w:rFonts w:hint="eastAsia"/>
                <w:lang w:eastAsia="zh-CN"/>
              </w:rPr>
              <w:t>1</w:t>
            </w:r>
          </w:p>
        </w:tc>
        <w:tc>
          <w:tcPr>
            <w:tcW w:w="2471" w:type="pct"/>
            <w:shd w:val="clear" w:color="auto" w:fill="auto"/>
            <w:vAlign w:val="center"/>
          </w:tcPr>
          <w:p w:rsidR="00CB0DD7" w:rsidRPr="000A0A5F" w:rsidRDefault="00CB0DD7" w:rsidP="00C55DCD">
            <w:pPr>
              <w:pStyle w:val="TAL"/>
              <w:rPr>
                <w:rFonts w:hint="eastAsia"/>
                <w:lang w:eastAsia="zh-CN"/>
              </w:rPr>
            </w:pPr>
            <w:r w:rsidRPr="000A0A5F">
              <w:rPr>
                <w:rFonts w:hint="eastAsia"/>
                <w:lang w:eastAsia="zh-CN"/>
              </w:rPr>
              <w:t>I</w:t>
            </w:r>
            <w:r w:rsidRPr="000A0A5F">
              <w:rPr>
                <w:lang w:eastAsia="zh-CN"/>
              </w:rPr>
              <w:t>d</w:t>
            </w:r>
            <w:r w:rsidRPr="000A0A5F">
              <w:rPr>
                <w:rFonts w:hint="eastAsia"/>
                <w:lang w:eastAsia="zh-CN"/>
              </w:rPr>
              <w:t>entifies the</w:t>
            </w:r>
            <w:r w:rsidRPr="000A0A5F">
              <w:rPr>
                <w:lang w:eastAsia="zh-CN"/>
              </w:rPr>
              <w:t xml:space="preserve"> number of UEs.</w:t>
            </w:r>
          </w:p>
        </w:tc>
      </w:tr>
      <w:tr w:rsidR="00CB0DD7" w:rsidRPr="000A0A5F" w:rsidTr="005335DC">
        <w:trPr>
          <w:jc w:val="center"/>
        </w:trPr>
        <w:tc>
          <w:tcPr>
            <w:tcW w:w="997" w:type="pct"/>
            <w:shd w:val="clear" w:color="auto" w:fill="auto"/>
            <w:vAlign w:val="center"/>
          </w:tcPr>
          <w:p w:rsidR="00CB0DD7" w:rsidRPr="000A0A5F" w:rsidRDefault="00CB0DD7" w:rsidP="00C55DCD">
            <w:pPr>
              <w:pStyle w:val="TAL"/>
              <w:rPr>
                <w:lang w:eastAsia="zh-CN"/>
              </w:rPr>
            </w:pPr>
            <w:r w:rsidRPr="000A0A5F">
              <w:rPr>
                <w:rFonts w:hint="eastAsia"/>
                <w:lang w:eastAsia="zh-CN"/>
              </w:rPr>
              <w:t>externalId</w:t>
            </w:r>
            <w:r w:rsidRPr="000A0A5F">
              <w:rPr>
                <w:lang w:eastAsia="zh-CN"/>
              </w:rPr>
              <w:t>s</w:t>
            </w:r>
          </w:p>
        </w:tc>
        <w:tc>
          <w:tcPr>
            <w:tcW w:w="880" w:type="pct"/>
            <w:shd w:val="clear" w:color="auto" w:fill="auto"/>
            <w:vAlign w:val="center"/>
          </w:tcPr>
          <w:p w:rsidR="00CB0DD7" w:rsidRPr="000A0A5F" w:rsidRDefault="00CB0DD7" w:rsidP="00C55DCD">
            <w:pPr>
              <w:pStyle w:val="TAL"/>
              <w:rPr>
                <w:lang w:eastAsia="zh-CN"/>
              </w:rPr>
            </w:pPr>
            <w:r w:rsidRPr="000A0A5F">
              <w:rPr>
                <w:lang w:eastAsia="zh-CN"/>
              </w:rPr>
              <w:t>array(</w:t>
            </w:r>
            <w:r w:rsidRPr="000A0A5F">
              <w:rPr>
                <w:rFonts w:hint="eastAsia"/>
                <w:lang w:eastAsia="zh-CN"/>
              </w:rPr>
              <w:t>ExternalId</w:t>
            </w:r>
            <w:r w:rsidRPr="000A0A5F">
              <w:rPr>
                <w:lang w:eastAsia="zh-CN"/>
              </w:rPr>
              <w:t>)</w:t>
            </w:r>
          </w:p>
        </w:tc>
        <w:tc>
          <w:tcPr>
            <w:tcW w:w="653" w:type="pct"/>
            <w:shd w:val="clear" w:color="auto" w:fill="auto"/>
            <w:vAlign w:val="center"/>
          </w:tcPr>
          <w:p w:rsidR="00CB0DD7" w:rsidRPr="000A0A5F" w:rsidRDefault="00CB0DD7" w:rsidP="00C55DCD">
            <w:pPr>
              <w:pStyle w:val="TAL"/>
              <w:rPr>
                <w:lang w:eastAsia="zh-CN"/>
              </w:rPr>
            </w:pPr>
            <w:r w:rsidRPr="000A0A5F">
              <w:rPr>
                <w:rFonts w:hint="eastAsia"/>
                <w:lang w:eastAsia="zh-CN"/>
              </w:rPr>
              <w:t>0..N</w:t>
            </w:r>
          </w:p>
        </w:tc>
        <w:tc>
          <w:tcPr>
            <w:tcW w:w="2471" w:type="pct"/>
            <w:shd w:val="clear" w:color="auto" w:fill="auto"/>
            <w:vAlign w:val="center"/>
          </w:tcPr>
          <w:p w:rsidR="00CB0DD7" w:rsidRPr="000A0A5F" w:rsidRDefault="00CB0DD7" w:rsidP="00C55DCD">
            <w:pPr>
              <w:pStyle w:val="TAL"/>
              <w:rPr>
                <w:lang w:eastAsia="zh-CN"/>
              </w:rPr>
            </w:pPr>
            <w:r w:rsidRPr="000A0A5F">
              <w:rPr>
                <w:lang w:eastAsia="zh-CN"/>
              </w:rPr>
              <w:t>Each element uniquely identifies a user.</w:t>
            </w:r>
          </w:p>
          <w:p w:rsidR="00CB0DD7" w:rsidRPr="000A0A5F" w:rsidRDefault="00CB0DD7" w:rsidP="00C55DCD">
            <w:pPr>
              <w:pStyle w:val="TAL"/>
              <w:rPr>
                <w:rFonts w:hint="eastAsia"/>
                <w:lang w:eastAsia="zh-CN"/>
              </w:rPr>
            </w:pPr>
            <w:r w:rsidRPr="000A0A5F">
              <w:rPr>
                <w:lang w:eastAsia="zh-CN"/>
              </w:rPr>
              <w:t>(NOTE)</w:t>
            </w:r>
          </w:p>
        </w:tc>
      </w:tr>
      <w:tr w:rsidR="00CB0DD7" w:rsidRPr="000A0A5F" w:rsidTr="005335DC">
        <w:trPr>
          <w:jc w:val="center"/>
        </w:trPr>
        <w:tc>
          <w:tcPr>
            <w:tcW w:w="997" w:type="pct"/>
            <w:shd w:val="clear" w:color="auto" w:fill="auto"/>
            <w:vAlign w:val="center"/>
          </w:tcPr>
          <w:p w:rsidR="00CB0DD7" w:rsidRPr="000A0A5F" w:rsidRDefault="00CB0DD7" w:rsidP="00C55DCD">
            <w:pPr>
              <w:pStyle w:val="TAL"/>
              <w:rPr>
                <w:lang w:eastAsia="zh-CN"/>
              </w:rPr>
            </w:pPr>
            <w:r w:rsidRPr="000A0A5F">
              <w:rPr>
                <w:lang w:eastAsia="zh-CN"/>
              </w:rPr>
              <w:t>m</w:t>
            </w:r>
            <w:r w:rsidRPr="000A0A5F">
              <w:rPr>
                <w:rFonts w:hint="eastAsia"/>
                <w:lang w:eastAsia="zh-CN"/>
              </w:rPr>
              <w:t>sisdn</w:t>
            </w:r>
            <w:r w:rsidRPr="000A0A5F">
              <w:rPr>
                <w:lang w:eastAsia="zh-CN"/>
              </w:rPr>
              <w:t>s</w:t>
            </w:r>
          </w:p>
        </w:tc>
        <w:tc>
          <w:tcPr>
            <w:tcW w:w="880" w:type="pct"/>
            <w:shd w:val="clear" w:color="auto" w:fill="auto"/>
            <w:vAlign w:val="center"/>
          </w:tcPr>
          <w:p w:rsidR="00CB0DD7" w:rsidRPr="000A0A5F" w:rsidRDefault="00CB0DD7" w:rsidP="00C55DCD">
            <w:pPr>
              <w:pStyle w:val="TAL"/>
              <w:rPr>
                <w:lang w:eastAsia="zh-CN"/>
              </w:rPr>
            </w:pPr>
            <w:r w:rsidRPr="000A0A5F">
              <w:rPr>
                <w:lang w:eastAsia="zh-CN"/>
              </w:rPr>
              <w:t>array(</w:t>
            </w:r>
            <w:r w:rsidRPr="000A0A5F">
              <w:rPr>
                <w:rFonts w:hint="eastAsia"/>
                <w:lang w:eastAsia="zh-CN"/>
              </w:rPr>
              <w:t>Msisdn</w:t>
            </w:r>
            <w:r w:rsidRPr="000A0A5F">
              <w:rPr>
                <w:lang w:eastAsia="zh-CN"/>
              </w:rPr>
              <w:t>)</w:t>
            </w:r>
          </w:p>
        </w:tc>
        <w:tc>
          <w:tcPr>
            <w:tcW w:w="653" w:type="pct"/>
            <w:shd w:val="clear" w:color="auto" w:fill="auto"/>
            <w:vAlign w:val="center"/>
          </w:tcPr>
          <w:p w:rsidR="00CB0DD7" w:rsidRPr="000A0A5F" w:rsidRDefault="00CB0DD7" w:rsidP="00C55DCD">
            <w:pPr>
              <w:pStyle w:val="TAL"/>
              <w:rPr>
                <w:lang w:eastAsia="zh-CN"/>
              </w:rPr>
            </w:pPr>
            <w:r w:rsidRPr="000A0A5F">
              <w:rPr>
                <w:rFonts w:hint="eastAsia"/>
                <w:lang w:eastAsia="zh-CN"/>
              </w:rPr>
              <w:t>0..N</w:t>
            </w:r>
          </w:p>
        </w:tc>
        <w:tc>
          <w:tcPr>
            <w:tcW w:w="2471" w:type="pct"/>
            <w:shd w:val="clear" w:color="auto" w:fill="auto"/>
            <w:vAlign w:val="center"/>
          </w:tcPr>
          <w:p w:rsidR="00CB0DD7" w:rsidRPr="000A0A5F" w:rsidRDefault="00CB0DD7" w:rsidP="00C55DCD">
            <w:pPr>
              <w:pStyle w:val="TAL"/>
              <w:rPr>
                <w:lang w:eastAsia="zh-CN"/>
              </w:rPr>
            </w:pPr>
            <w:r w:rsidRPr="000A0A5F">
              <w:rPr>
                <w:lang w:eastAsia="zh-CN"/>
              </w:rPr>
              <w:t>Each element identifies the MS internal PSTN/ISDN number allocated for a UE.</w:t>
            </w:r>
          </w:p>
          <w:p w:rsidR="00CB0DD7" w:rsidRPr="000A0A5F" w:rsidRDefault="00CB0DD7" w:rsidP="00C55DCD">
            <w:pPr>
              <w:pStyle w:val="TAL"/>
              <w:rPr>
                <w:rFonts w:hint="eastAsia"/>
                <w:lang w:eastAsia="zh-CN"/>
              </w:rPr>
            </w:pPr>
            <w:r w:rsidRPr="000A0A5F">
              <w:rPr>
                <w:lang w:eastAsia="zh-CN"/>
              </w:rPr>
              <w:t>(NOTE)</w:t>
            </w:r>
          </w:p>
        </w:tc>
      </w:tr>
      <w:tr w:rsidR="00C55DCD" w:rsidRPr="000A0A5F" w:rsidTr="005335DC">
        <w:trPr>
          <w:jc w:val="center"/>
        </w:trPr>
        <w:tc>
          <w:tcPr>
            <w:tcW w:w="997" w:type="pct"/>
            <w:shd w:val="clear" w:color="auto" w:fill="auto"/>
            <w:vAlign w:val="center"/>
          </w:tcPr>
          <w:p w:rsidR="00C55DCD" w:rsidRPr="000A0A5F" w:rsidRDefault="00C55DCD" w:rsidP="00C55DCD">
            <w:pPr>
              <w:pStyle w:val="TAL"/>
              <w:rPr>
                <w:lang w:eastAsia="zh-CN"/>
              </w:rPr>
            </w:pPr>
            <w:r w:rsidRPr="000A0A5F">
              <w:rPr>
                <w:noProof/>
                <w:lang w:eastAsia="zh-CN"/>
              </w:rPr>
              <w:t>servLevelDevIds</w:t>
            </w:r>
          </w:p>
        </w:tc>
        <w:tc>
          <w:tcPr>
            <w:tcW w:w="880" w:type="pct"/>
            <w:shd w:val="clear" w:color="auto" w:fill="auto"/>
            <w:vAlign w:val="center"/>
          </w:tcPr>
          <w:p w:rsidR="00C55DCD" w:rsidRPr="000A0A5F" w:rsidRDefault="00C55DCD" w:rsidP="00C55DCD">
            <w:pPr>
              <w:pStyle w:val="TAL"/>
              <w:rPr>
                <w:lang w:eastAsia="zh-CN"/>
              </w:rPr>
            </w:pPr>
            <w:r w:rsidRPr="000A0A5F">
              <w:rPr>
                <w:lang w:eastAsia="zh-CN"/>
              </w:rPr>
              <w:t>array(string)</w:t>
            </w:r>
          </w:p>
        </w:tc>
        <w:tc>
          <w:tcPr>
            <w:tcW w:w="653" w:type="pct"/>
            <w:shd w:val="clear" w:color="auto" w:fill="auto"/>
            <w:vAlign w:val="center"/>
          </w:tcPr>
          <w:p w:rsidR="00C55DCD" w:rsidRPr="000A0A5F" w:rsidRDefault="00C55DCD" w:rsidP="00C55DCD">
            <w:pPr>
              <w:pStyle w:val="TAL"/>
              <w:rPr>
                <w:rFonts w:hint="eastAsia"/>
                <w:lang w:eastAsia="zh-CN"/>
              </w:rPr>
            </w:pPr>
            <w:r w:rsidRPr="000A0A5F">
              <w:rPr>
                <w:lang w:eastAsia="zh-CN"/>
              </w:rPr>
              <w:t>0..N</w:t>
            </w:r>
          </w:p>
        </w:tc>
        <w:tc>
          <w:tcPr>
            <w:tcW w:w="2471" w:type="pct"/>
            <w:shd w:val="clear" w:color="auto" w:fill="auto"/>
            <w:vAlign w:val="center"/>
          </w:tcPr>
          <w:p w:rsidR="00C55DCD" w:rsidRPr="000A0A5F" w:rsidRDefault="00C55DCD" w:rsidP="00C55DCD">
            <w:pPr>
              <w:pStyle w:val="TAL"/>
              <w:rPr>
                <w:lang w:eastAsia="zh-CN"/>
              </w:rPr>
            </w:pPr>
            <w:r w:rsidRPr="000A0A5F">
              <w:rPr>
                <w:lang w:eastAsia="zh-CN"/>
              </w:rPr>
              <w:t>Each element uniquely identifies a UAV.</w:t>
            </w:r>
          </w:p>
        </w:tc>
      </w:tr>
      <w:tr w:rsidR="00CB0DD7" w:rsidRPr="000A0A5F" w:rsidTr="005335DC">
        <w:trPr>
          <w:jc w:val="center"/>
        </w:trPr>
        <w:tc>
          <w:tcPr>
            <w:tcW w:w="5000" w:type="pct"/>
            <w:gridSpan w:val="4"/>
            <w:shd w:val="clear" w:color="auto" w:fill="auto"/>
            <w:vAlign w:val="center"/>
          </w:tcPr>
          <w:p w:rsidR="00CB0DD7" w:rsidRPr="000A0A5F" w:rsidRDefault="00CB0DD7">
            <w:pPr>
              <w:pStyle w:val="TAL"/>
              <w:ind w:leftChars="90" w:left="180"/>
              <w:rPr>
                <w:rFonts w:cs="Arial" w:hint="eastAsia"/>
                <w:szCs w:val="18"/>
                <w:lang w:eastAsia="zh-CN"/>
              </w:rPr>
            </w:pPr>
            <w:r w:rsidRPr="000A0A5F">
              <w:t>NOTE:</w:t>
            </w:r>
            <w:r w:rsidRPr="000A0A5F">
              <w:tab/>
              <w:t>The property shall be included if received from the MME(s)/SGSN(s).</w:t>
            </w:r>
          </w:p>
        </w:tc>
      </w:tr>
    </w:tbl>
    <w:p w:rsidR="00CB0DD7" w:rsidRPr="000A0A5F" w:rsidRDefault="00CB0DD7">
      <w:pPr>
        <w:rPr>
          <w:lang w:eastAsia="zh-CN"/>
        </w:rPr>
      </w:pPr>
    </w:p>
    <w:p w:rsidR="00CB0DD7" w:rsidRPr="000A0A5F" w:rsidRDefault="00CB0DD7">
      <w:pPr>
        <w:pStyle w:val="Heading5"/>
      </w:pPr>
      <w:bookmarkStart w:id="1913" w:name="_Toc11247318"/>
      <w:bookmarkStart w:id="1914" w:name="_Toc27044438"/>
      <w:bookmarkStart w:id="1915" w:name="_Toc36033480"/>
      <w:bookmarkStart w:id="1916" w:name="_Toc45131612"/>
      <w:bookmarkStart w:id="1917" w:name="_Toc49775897"/>
      <w:bookmarkStart w:id="1918" w:name="_Toc51746817"/>
      <w:bookmarkStart w:id="1919" w:name="_Toc66360361"/>
      <w:bookmarkStart w:id="1920" w:name="_Toc68104866"/>
      <w:bookmarkStart w:id="1921" w:name="_Toc74755496"/>
      <w:bookmarkStart w:id="1922" w:name="_Toc105674357"/>
      <w:bookmarkStart w:id="1923" w:name="_Toc130502396"/>
      <w:bookmarkStart w:id="1924" w:name="_Toc153625178"/>
      <w:r w:rsidRPr="000A0A5F">
        <w:t>5.3.2.3.5</w:t>
      </w:r>
      <w:r w:rsidRPr="000A0A5F">
        <w:tab/>
        <w:t xml:space="preserve">Type: </w:t>
      </w:r>
      <w:r w:rsidRPr="000A0A5F">
        <w:rPr>
          <w:lang w:eastAsia="zh-CN"/>
        </w:rPr>
        <w:t>LocationInfo</w:t>
      </w:r>
      <w:bookmarkEnd w:id="1913"/>
      <w:bookmarkEnd w:id="1914"/>
      <w:bookmarkEnd w:id="1915"/>
      <w:bookmarkEnd w:id="1916"/>
      <w:bookmarkEnd w:id="1917"/>
      <w:bookmarkEnd w:id="1918"/>
      <w:bookmarkEnd w:id="1919"/>
      <w:bookmarkEnd w:id="1920"/>
      <w:bookmarkEnd w:id="1921"/>
      <w:bookmarkEnd w:id="1922"/>
      <w:bookmarkEnd w:id="1923"/>
      <w:bookmarkEnd w:id="1924"/>
    </w:p>
    <w:p w:rsidR="00CB0DD7" w:rsidRPr="000A0A5F" w:rsidRDefault="00CB0DD7">
      <w:r w:rsidRPr="000A0A5F">
        <w:t>This data type represents the user location information which is sent from the SCEF to the SCS/AS.</w:t>
      </w:r>
    </w:p>
    <w:p w:rsidR="00CB0DD7" w:rsidRPr="000A0A5F" w:rsidRDefault="00CB0DD7">
      <w:pPr>
        <w:pStyle w:val="TH"/>
      </w:pPr>
      <w:r w:rsidRPr="000A0A5F">
        <w:t>Table 5.3.2.3.5-1: Definition of LocationInfo data Type</w:t>
      </w:r>
    </w:p>
    <w:tbl>
      <w:tblPr>
        <w:tblW w:w="4994"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866"/>
        <w:gridCol w:w="1353"/>
        <w:gridCol w:w="1277"/>
        <w:gridCol w:w="3828"/>
        <w:gridCol w:w="1421"/>
        <w:tblGridChange w:id="1925">
          <w:tblGrid>
            <w:gridCol w:w="1866"/>
            <w:gridCol w:w="1353"/>
            <w:gridCol w:w="1277"/>
            <w:gridCol w:w="3828"/>
            <w:gridCol w:w="1421"/>
          </w:tblGrid>
        </w:tblGridChange>
      </w:tblGrid>
      <w:tr w:rsidR="00CB0DD7" w:rsidRPr="000A0A5F" w:rsidTr="002B3218">
        <w:tc>
          <w:tcPr>
            <w:tcW w:w="958" w:type="pct"/>
            <w:shd w:val="clear" w:color="auto" w:fill="C0C0C0"/>
            <w:tcMar>
              <w:top w:w="0" w:type="dxa"/>
              <w:left w:w="108" w:type="dxa"/>
              <w:bottom w:w="0" w:type="dxa"/>
              <w:right w:w="108" w:type="dxa"/>
            </w:tcMar>
          </w:tcPr>
          <w:p w:rsidR="00CB0DD7" w:rsidRPr="000A0A5F" w:rsidRDefault="00CB0DD7">
            <w:pPr>
              <w:pStyle w:val="TAH"/>
            </w:pPr>
            <w:r w:rsidRPr="000A0A5F">
              <w:t>Attribute name</w:t>
            </w:r>
          </w:p>
        </w:tc>
        <w:tc>
          <w:tcPr>
            <w:tcW w:w="694" w:type="pct"/>
            <w:shd w:val="clear" w:color="auto" w:fill="C0C0C0"/>
            <w:tcMar>
              <w:top w:w="0" w:type="dxa"/>
              <w:left w:w="108" w:type="dxa"/>
              <w:bottom w:w="0" w:type="dxa"/>
              <w:right w:w="108" w:type="dxa"/>
            </w:tcMar>
          </w:tcPr>
          <w:p w:rsidR="00CB0DD7" w:rsidRPr="000A0A5F" w:rsidRDefault="00CB0DD7">
            <w:pPr>
              <w:pStyle w:val="TAH"/>
            </w:pPr>
            <w:r w:rsidRPr="000A0A5F">
              <w:t>Data type</w:t>
            </w:r>
          </w:p>
        </w:tc>
        <w:tc>
          <w:tcPr>
            <w:tcW w:w="655" w:type="pct"/>
            <w:shd w:val="clear" w:color="auto" w:fill="C0C0C0"/>
            <w:tcMar>
              <w:top w:w="0" w:type="dxa"/>
              <w:left w:w="108" w:type="dxa"/>
              <w:bottom w:w="0" w:type="dxa"/>
              <w:right w:w="108" w:type="dxa"/>
            </w:tcMar>
          </w:tcPr>
          <w:p w:rsidR="00CB0DD7" w:rsidRPr="000A0A5F" w:rsidRDefault="00CB0DD7">
            <w:pPr>
              <w:pStyle w:val="TAH"/>
            </w:pPr>
            <w:r w:rsidRPr="000A0A5F">
              <w:t>Cardinality</w:t>
            </w:r>
          </w:p>
        </w:tc>
        <w:tc>
          <w:tcPr>
            <w:tcW w:w="1964" w:type="pct"/>
            <w:shd w:val="clear" w:color="auto" w:fill="C0C0C0"/>
            <w:tcMar>
              <w:top w:w="0" w:type="dxa"/>
              <w:left w:w="108" w:type="dxa"/>
              <w:bottom w:w="0" w:type="dxa"/>
              <w:right w:w="108" w:type="dxa"/>
            </w:tcMar>
          </w:tcPr>
          <w:p w:rsidR="00CB0DD7" w:rsidRPr="000A0A5F" w:rsidRDefault="00CB0DD7">
            <w:pPr>
              <w:pStyle w:val="TAH"/>
            </w:pPr>
            <w:r w:rsidRPr="000A0A5F">
              <w:t>Description</w:t>
            </w:r>
          </w:p>
        </w:tc>
        <w:tc>
          <w:tcPr>
            <w:tcW w:w="728" w:type="pct"/>
            <w:shd w:val="clear" w:color="auto" w:fill="C0C0C0"/>
          </w:tcPr>
          <w:p w:rsidR="00CB0DD7" w:rsidRPr="000A0A5F" w:rsidRDefault="00CB0DD7">
            <w:pPr>
              <w:pStyle w:val="TAH"/>
            </w:pPr>
            <w:r w:rsidRPr="000A0A5F">
              <w:t>Applicability</w:t>
            </w:r>
          </w:p>
        </w:tc>
      </w:tr>
      <w:tr w:rsidR="00CB0DD7" w:rsidRPr="000A0A5F" w:rsidTr="002B3218">
        <w:tc>
          <w:tcPr>
            <w:tcW w:w="958" w:type="pct"/>
            <w:shd w:val="clear" w:color="auto" w:fill="auto"/>
            <w:tcMar>
              <w:top w:w="0" w:type="dxa"/>
              <w:left w:w="108" w:type="dxa"/>
              <w:bottom w:w="0" w:type="dxa"/>
              <w:right w:w="108" w:type="dxa"/>
            </w:tcMar>
            <w:vAlign w:val="center"/>
          </w:tcPr>
          <w:p w:rsidR="00CB0DD7" w:rsidRPr="000A0A5F" w:rsidRDefault="00CB0DD7">
            <w:pPr>
              <w:pStyle w:val="TAL"/>
              <w:rPr>
                <w:rFonts w:hint="eastAsia"/>
                <w:lang w:eastAsia="zh-CN"/>
              </w:rPr>
            </w:pPr>
            <w:r w:rsidRPr="000A0A5F">
              <w:rPr>
                <w:rFonts w:hint="eastAsia"/>
                <w:lang w:eastAsia="zh-CN"/>
              </w:rPr>
              <w:t>ageOfLocationInfo</w:t>
            </w:r>
          </w:p>
        </w:tc>
        <w:tc>
          <w:tcPr>
            <w:tcW w:w="694" w:type="pct"/>
            <w:shd w:val="clear" w:color="auto" w:fill="auto"/>
            <w:tcMar>
              <w:top w:w="0" w:type="dxa"/>
              <w:left w:w="108" w:type="dxa"/>
              <w:bottom w:w="0" w:type="dxa"/>
              <w:right w:w="108" w:type="dxa"/>
            </w:tcMar>
          </w:tcPr>
          <w:p w:rsidR="00CB0DD7" w:rsidRPr="000A0A5F" w:rsidRDefault="00CB0DD7">
            <w:pPr>
              <w:pStyle w:val="TAL"/>
              <w:rPr>
                <w:rFonts w:hint="eastAsia"/>
                <w:lang w:eastAsia="zh-CN"/>
              </w:rPr>
            </w:pPr>
            <w:r w:rsidRPr="000A0A5F">
              <w:rPr>
                <w:rFonts w:hint="eastAsia"/>
                <w:lang w:eastAsia="zh-CN"/>
              </w:rPr>
              <w:t>DurationMin</w:t>
            </w:r>
          </w:p>
        </w:tc>
        <w:tc>
          <w:tcPr>
            <w:tcW w:w="655" w:type="pct"/>
            <w:shd w:val="clear" w:color="auto" w:fill="auto"/>
            <w:tcMar>
              <w:top w:w="0" w:type="dxa"/>
              <w:left w:w="108" w:type="dxa"/>
              <w:bottom w:w="0" w:type="dxa"/>
              <w:right w:w="108" w:type="dxa"/>
            </w:tcMar>
          </w:tcPr>
          <w:p w:rsidR="00CB0DD7" w:rsidRPr="000A0A5F" w:rsidRDefault="00CB0DD7">
            <w:pPr>
              <w:pStyle w:val="TAL"/>
              <w:rPr>
                <w:rFonts w:hint="eastAsia"/>
                <w:lang w:eastAsia="zh-CN"/>
              </w:rPr>
            </w:pPr>
            <w:r w:rsidRPr="000A0A5F">
              <w:rPr>
                <w:rFonts w:hint="eastAsia"/>
                <w:lang w:eastAsia="zh-CN"/>
              </w:rPr>
              <w:t>0..1</w:t>
            </w:r>
          </w:p>
        </w:tc>
        <w:tc>
          <w:tcPr>
            <w:tcW w:w="1964" w:type="pct"/>
            <w:shd w:val="clear" w:color="auto" w:fill="auto"/>
            <w:tcMar>
              <w:top w:w="0" w:type="dxa"/>
              <w:left w:w="108" w:type="dxa"/>
              <w:bottom w:w="0" w:type="dxa"/>
              <w:right w:w="108" w:type="dxa"/>
            </w:tcMar>
          </w:tcPr>
          <w:p w:rsidR="00CB0DD7" w:rsidRPr="000A0A5F" w:rsidRDefault="00CB0DD7">
            <w:pPr>
              <w:pStyle w:val="TAL"/>
              <w:spacing w:afterLines="50" w:after="120"/>
              <w:rPr>
                <w:rFonts w:cs="Arial"/>
                <w:szCs w:val="18"/>
                <w:lang w:eastAsia="zh-CN"/>
              </w:rPr>
            </w:pPr>
            <w:r w:rsidRPr="000A0A5F">
              <w:rPr>
                <w:rFonts w:cs="Arial" w:hint="eastAsia"/>
                <w:szCs w:val="18"/>
                <w:lang w:eastAsia="zh-CN"/>
              </w:rPr>
              <w:t xml:space="preserve">Indicates the elapsed time </w:t>
            </w:r>
            <w:r w:rsidRPr="000A0A5F">
              <w:rPr>
                <w:rFonts w:cs="Arial"/>
                <w:szCs w:val="18"/>
                <w:lang w:eastAsia="zh-CN"/>
              </w:rPr>
              <w:t>since the last network contact of the UE.</w:t>
            </w:r>
          </w:p>
          <w:p w:rsidR="00CB0DD7" w:rsidRPr="000A0A5F" w:rsidRDefault="00CB0DD7">
            <w:pPr>
              <w:pStyle w:val="TAL"/>
              <w:spacing w:afterLines="50" w:after="120"/>
            </w:pPr>
            <w:r w:rsidRPr="000A0A5F">
              <w:rPr>
                <w:rFonts w:cs="Arial"/>
                <w:szCs w:val="18"/>
                <w:lang w:eastAsia="zh-CN"/>
              </w:rPr>
              <w:t xml:space="preserve">Refer to the </w:t>
            </w:r>
            <w:r w:rsidRPr="000A0A5F">
              <w:t>Age</w:t>
            </w:r>
            <w:r w:rsidRPr="000A0A5F">
              <w:rPr>
                <w:rFonts w:hint="eastAsia"/>
                <w:lang w:eastAsia="zh-CN"/>
              </w:rPr>
              <w:t>-</w:t>
            </w:r>
            <w:r w:rsidRPr="000A0A5F">
              <w:t>Of</w:t>
            </w:r>
            <w:r w:rsidRPr="000A0A5F">
              <w:rPr>
                <w:rFonts w:hint="eastAsia"/>
                <w:lang w:eastAsia="zh-CN"/>
              </w:rPr>
              <w:t>-</w:t>
            </w:r>
            <w:r w:rsidRPr="000A0A5F">
              <w:t>Location</w:t>
            </w:r>
            <w:r w:rsidRPr="000A0A5F">
              <w:rPr>
                <w:rFonts w:hint="eastAsia"/>
                <w:lang w:eastAsia="zh-CN"/>
              </w:rPr>
              <w:t>-</w:t>
            </w:r>
            <w:r w:rsidRPr="000A0A5F">
              <w:t>Information</w:t>
            </w:r>
            <w:r w:rsidRPr="000A0A5F">
              <w:rPr>
                <w:rFonts w:cs="Arial"/>
                <w:szCs w:val="18"/>
                <w:lang w:eastAsia="zh-CN"/>
              </w:rPr>
              <w:t xml:space="preserve"> AVP as defined in clause</w:t>
            </w:r>
            <w:r w:rsidRPr="000A0A5F">
              <w:rPr>
                <w:rFonts w:cs="Arial"/>
                <w:szCs w:val="18"/>
                <w:lang w:val="en-US" w:eastAsia="zh-CN"/>
              </w:rPr>
              <w:t xml:space="preserve"> 7.3.126 of </w:t>
            </w:r>
            <w:r w:rsidRPr="000A0A5F">
              <w:rPr>
                <w:rFonts w:cs="Arial"/>
                <w:szCs w:val="18"/>
                <w:lang w:eastAsia="zh-CN"/>
              </w:rPr>
              <w:t>3GPP TS 29.272 [</w:t>
            </w:r>
            <w:r w:rsidRPr="000A0A5F">
              <w:rPr>
                <w:rFonts w:cs="Arial"/>
                <w:szCs w:val="18"/>
                <w:lang w:val="en-US" w:eastAsia="zh-CN"/>
              </w:rPr>
              <w:t>33</w:t>
            </w:r>
            <w:r w:rsidRPr="000A0A5F">
              <w:rPr>
                <w:rFonts w:cs="Arial"/>
                <w:szCs w:val="18"/>
                <w:lang w:eastAsia="zh-CN"/>
              </w:rPr>
              <w:t>].</w:t>
            </w:r>
          </w:p>
        </w:tc>
        <w:tc>
          <w:tcPr>
            <w:tcW w:w="728" w:type="pct"/>
          </w:tcPr>
          <w:p w:rsidR="00CB0DD7" w:rsidRPr="000A0A5F" w:rsidRDefault="00CB0DD7">
            <w:pPr>
              <w:pStyle w:val="TAL"/>
              <w:spacing w:afterLines="50" w:after="120"/>
              <w:rPr>
                <w:rFonts w:cs="Arial" w:hint="eastAsia"/>
                <w:szCs w:val="18"/>
                <w:lang w:eastAsia="zh-CN"/>
              </w:rPr>
            </w:pPr>
          </w:p>
        </w:tc>
      </w:tr>
      <w:tr w:rsidR="00CB0DD7" w:rsidRPr="000A0A5F" w:rsidTr="002B3218">
        <w:tc>
          <w:tcPr>
            <w:tcW w:w="958" w:type="pct"/>
            <w:shd w:val="clear" w:color="auto" w:fill="auto"/>
            <w:tcMar>
              <w:top w:w="0" w:type="dxa"/>
              <w:left w:w="108" w:type="dxa"/>
              <w:bottom w:w="0" w:type="dxa"/>
              <w:right w:w="108" w:type="dxa"/>
            </w:tcMar>
            <w:vAlign w:val="center"/>
          </w:tcPr>
          <w:p w:rsidR="00CB0DD7" w:rsidRPr="000A0A5F" w:rsidRDefault="00CB0DD7">
            <w:pPr>
              <w:pStyle w:val="TAL"/>
              <w:rPr>
                <w:rFonts w:hint="eastAsia"/>
                <w:lang w:eastAsia="zh-CN"/>
              </w:rPr>
            </w:pPr>
            <w:r w:rsidRPr="000A0A5F">
              <w:rPr>
                <w:rFonts w:hint="eastAsia"/>
                <w:lang w:eastAsia="zh-CN"/>
              </w:rPr>
              <w:t>cellId</w:t>
            </w:r>
          </w:p>
        </w:tc>
        <w:tc>
          <w:tcPr>
            <w:tcW w:w="694" w:type="pct"/>
            <w:shd w:val="clear" w:color="auto" w:fill="auto"/>
            <w:tcMar>
              <w:top w:w="0" w:type="dxa"/>
              <w:left w:w="108" w:type="dxa"/>
              <w:bottom w:w="0" w:type="dxa"/>
              <w:right w:w="108" w:type="dxa"/>
            </w:tcMar>
          </w:tcPr>
          <w:p w:rsidR="00CB0DD7" w:rsidRPr="000A0A5F" w:rsidRDefault="00CB0DD7">
            <w:pPr>
              <w:pStyle w:val="TAL"/>
              <w:rPr>
                <w:rFonts w:hint="eastAsia"/>
                <w:lang w:eastAsia="zh-CN"/>
              </w:rPr>
            </w:pPr>
            <w:r w:rsidRPr="000A0A5F">
              <w:rPr>
                <w:rFonts w:hint="eastAsia"/>
                <w:lang w:eastAsia="zh-CN"/>
              </w:rPr>
              <w:t>string</w:t>
            </w:r>
          </w:p>
        </w:tc>
        <w:tc>
          <w:tcPr>
            <w:tcW w:w="655" w:type="pct"/>
            <w:shd w:val="clear" w:color="auto" w:fill="auto"/>
            <w:tcMar>
              <w:top w:w="0" w:type="dxa"/>
              <w:left w:w="108" w:type="dxa"/>
              <w:bottom w:w="0" w:type="dxa"/>
              <w:right w:w="108" w:type="dxa"/>
            </w:tcMar>
          </w:tcPr>
          <w:p w:rsidR="00CB0DD7" w:rsidRPr="000A0A5F" w:rsidRDefault="00CB0DD7">
            <w:pPr>
              <w:pStyle w:val="TAL"/>
              <w:rPr>
                <w:rFonts w:hint="eastAsia"/>
                <w:lang w:eastAsia="zh-CN"/>
              </w:rPr>
            </w:pPr>
            <w:r w:rsidRPr="000A0A5F">
              <w:rPr>
                <w:rFonts w:hint="eastAsia"/>
                <w:lang w:eastAsia="zh-CN"/>
              </w:rPr>
              <w:t>0..1</w:t>
            </w:r>
          </w:p>
        </w:tc>
        <w:tc>
          <w:tcPr>
            <w:tcW w:w="1964" w:type="pct"/>
            <w:shd w:val="clear" w:color="auto" w:fill="auto"/>
            <w:tcMar>
              <w:top w:w="0" w:type="dxa"/>
              <w:left w:w="108" w:type="dxa"/>
              <w:bottom w:w="0" w:type="dxa"/>
              <w:right w:w="108" w:type="dxa"/>
            </w:tcMar>
          </w:tcPr>
          <w:p w:rsidR="00CB0DD7" w:rsidRPr="000A0A5F" w:rsidRDefault="00CB0DD7">
            <w:pPr>
              <w:pStyle w:val="TAL"/>
              <w:rPr>
                <w:rFonts w:cs="Arial"/>
                <w:szCs w:val="18"/>
                <w:lang w:eastAsia="zh-CN"/>
              </w:rPr>
            </w:pPr>
            <w:r w:rsidRPr="000A0A5F">
              <w:rPr>
                <w:rFonts w:cs="Arial" w:hint="eastAsia"/>
                <w:szCs w:val="18"/>
                <w:lang w:eastAsia="zh-CN"/>
              </w:rPr>
              <w:t>Indicate</w:t>
            </w:r>
            <w:r w:rsidRPr="000A0A5F">
              <w:rPr>
                <w:rFonts w:cs="Arial"/>
                <w:szCs w:val="18"/>
                <w:lang w:eastAsia="zh-CN"/>
              </w:rPr>
              <w:t>s</w:t>
            </w:r>
            <w:r w:rsidRPr="000A0A5F">
              <w:rPr>
                <w:rFonts w:cs="Arial" w:hint="eastAsia"/>
                <w:szCs w:val="18"/>
                <w:lang w:eastAsia="zh-CN"/>
              </w:rPr>
              <w:t xml:space="preserve"> the Cell Global Identification of the user which identifies the cell the UE is registered.</w:t>
            </w:r>
          </w:p>
          <w:p w:rsidR="00CB0DD7" w:rsidRPr="000A0A5F" w:rsidRDefault="00CB0DD7">
            <w:pPr>
              <w:pStyle w:val="TAL"/>
              <w:rPr>
                <w:rFonts w:hint="eastAsia"/>
                <w:lang w:eastAsia="zh-CN"/>
              </w:rPr>
            </w:pPr>
            <w:r w:rsidRPr="000A0A5F">
              <w:t xml:space="preserve">Refer to the </w:t>
            </w:r>
            <w:r w:rsidRPr="000A0A5F">
              <w:rPr>
                <w:rFonts w:hint="eastAsia"/>
              </w:rPr>
              <w:t>Cell</w:t>
            </w:r>
            <w:r w:rsidRPr="000A0A5F">
              <w:rPr>
                <w:rFonts w:hint="eastAsia"/>
                <w:lang w:eastAsia="zh-CN"/>
              </w:rPr>
              <w:t>-</w:t>
            </w:r>
            <w:r w:rsidRPr="000A0A5F">
              <w:rPr>
                <w:rFonts w:hint="eastAsia"/>
              </w:rPr>
              <w:t>Global</w:t>
            </w:r>
            <w:r w:rsidRPr="000A0A5F">
              <w:rPr>
                <w:rFonts w:hint="eastAsia"/>
                <w:lang w:eastAsia="zh-CN"/>
              </w:rPr>
              <w:t>-</w:t>
            </w:r>
            <w:r w:rsidRPr="000A0A5F">
              <w:rPr>
                <w:rFonts w:hint="eastAsia"/>
              </w:rPr>
              <w:t>Id</w:t>
            </w:r>
            <w:r w:rsidRPr="000A0A5F">
              <w:rPr>
                <w:rFonts w:hint="eastAsia"/>
                <w:lang w:eastAsia="zh-CN"/>
              </w:rPr>
              <w:t>entity</w:t>
            </w:r>
            <w:r w:rsidRPr="000A0A5F">
              <w:t xml:space="preserve"> AVP or </w:t>
            </w:r>
            <w:r w:rsidRPr="000A0A5F">
              <w:rPr>
                <w:rFonts w:hint="eastAsia"/>
                <w:lang w:val="it-IT"/>
              </w:rPr>
              <w:t>E-UTRAN</w:t>
            </w:r>
            <w:r w:rsidRPr="000A0A5F">
              <w:rPr>
                <w:rFonts w:hint="eastAsia"/>
                <w:lang w:val="it-IT" w:eastAsia="zh-CN"/>
              </w:rPr>
              <w:t>-</w:t>
            </w:r>
            <w:r w:rsidRPr="000A0A5F">
              <w:rPr>
                <w:rFonts w:hint="eastAsia"/>
                <w:lang w:val="it-IT"/>
              </w:rPr>
              <w:t>Cell</w:t>
            </w:r>
            <w:r w:rsidRPr="000A0A5F">
              <w:rPr>
                <w:rFonts w:hint="eastAsia"/>
                <w:lang w:val="it-IT" w:eastAsia="zh-CN"/>
              </w:rPr>
              <w:t>-</w:t>
            </w:r>
            <w:r w:rsidRPr="000A0A5F">
              <w:rPr>
                <w:rFonts w:hint="eastAsia"/>
                <w:lang w:val="it-IT"/>
              </w:rPr>
              <w:t>Global</w:t>
            </w:r>
            <w:r w:rsidRPr="000A0A5F">
              <w:rPr>
                <w:rFonts w:hint="eastAsia"/>
                <w:lang w:val="it-IT" w:eastAsia="zh-CN"/>
              </w:rPr>
              <w:t>-</w:t>
            </w:r>
            <w:r w:rsidRPr="000A0A5F">
              <w:rPr>
                <w:rFonts w:hint="eastAsia"/>
                <w:lang w:val="it-IT"/>
              </w:rPr>
              <w:t>Id</w:t>
            </w:r>
            <w:r w:rsidRPr="000A0A5F">
              <w:rPr>
                <w:rFonts w:hint="eastAsia"/>
                <w:lang w:val="it-IT" w:eastAsia="zh-CN"/>
              </w:rPr>
              <w:t>entity</w:t>
            </w:r>
            <w:r w:rsidRPr="000A0A5F">
              <w:t xml:space="preserve"> AVP as defined in </w:t>
            </w:r>
            <w:r w:rsidRPr="000A0A5F">
              <w:rPr>
                <w:rFonts w:cs="Arial"/>
                <w:szCs w:val="18"/>
                <w:lang w:eastAsia="zh-CN"/>
              </w:rPr>
              <w:t>clause</w:t>
            </w:r>
            <w:r w:rsidRPr="000A0A5F">
              <w:rPr>
                <w:rFonts w:cs="Arial"/>
                <w:szCs w:val="18"/>
                <w:lang w:val="en-US" w:eastAsia="zh-CN"/>
              </w:rPr>
              <w:t xml:space="preserve"> 7.3.119 </w:t>
            </w:r>
            <w:r w:rsidRPr="000A0A5F">
              <w:rPr>
                <w:szCs w:val="16"/>
              </w:rPr>
              <w:t>or clause 7.3.117</w:t>
            </w:r>
            <w:r w:rsidRPr="000A0A5F">
              <w:rPr>
                <w:lang w:eastAsia="zh-CN"/>
              </w:rPr>
              <w:t xml:space="preserve"> of </w:t>
            </w:r>
            <w:r w:rsidRPr="000A0A5F">
              <w:rPr>
                <w:rFonts w:cs="Arial"/>
                <w:szCs w:val="18"/>
                <w:lang w:eastAsia="zh-CN"/>
              </w:rPr>
              <w:t>3GPP TS 29.272 [</w:t>
            </w:r>
            <w:r w:rsidRPr="000A0A5F">
              <w:rPr>
                <w:rFonts w:cs="Arial"/>
                <w:szCs w:val="18"/>
                <w:lang w:val="en-US" w:eastAsia="zh-CN"/>
              </w:rPr>
              <w:t>33</w:t>
            </w:r>
            <w:r w:rsidRPr="000A0A5F">
              <w:rPr>
                <w:rFonts w:cs="Arial"/>
                <w:szCs w:val="18"/>
                <w:lang w:eastAsia="zh-CN"/>
              </w:rPr>
              <w:t>]. (NOTE</w:t>
            </w:r>
            <w:r w:rsidRPr="000A0A5F">
              <w:rPr>
                <w:rFonts w:cs="Arial"/>
                <w:szCs w:val="18"/>
                <w:lang w:val="en-US" w:eastAsia="zh-CN"/>
              </w:rPr>
              <w:t> 2</w:t>
            </w:r>
            <w:r w:rsidRPr="000A0A5F">
              <w:rPr>
                <w:rFonts w:cs="Arial"/>
                <w:szCs w:val="18"/>
                <w:lang w:eastAsia="zh-CN"/>
              </w:rPr>
              <w:t>)</w:t>
            </w:r>
          </w:p>
        </w:tc>
        <w:tc>
          <w:tcPr>
            <w:tcW w:w="728" w:type="pct"/>
          </w:tcPr>
          <w:p w:rsidR="00CB0DD7" w:rsidRPr="000A0A5F" w:rsidRDefault="00CB0DD7">
            <w:pPr>
              <w:pStyle w:val="TAL"/>
              <w:rPr>
                <w:rFonts w:cs="Arial" w:hint="eastAsia"/>
                <w:szCs w:val="18"/>
                <w:lang w:eastAsia="zh-CN"/>
              </w:rPr>
            </w:pPr>
          </w:p>
        </w:tc>
      </w:tr>
      <w:tr w:rsidR="00CB0DD7" w:rsidRPr="000A0A5F" w:rsidTr="002B3218">
        <w:tc>
          <w:tcPr>
            <w:tcW w:w="958" w:type="pct"/>
            <w:shd w:val="clear" w:color="auto" w:fill="auto"/>
            <w:tcMar>
              <w:top w:w="0" w:type="dxa"/>
              <w:left w:w="108" w:type="dxa"/>
              <w:bottom w:w="0" w:type="dxa"/>
              <w:right w:w="108" w:type="dxa"/>
            </w:tcMar>
            <w:vAlign w:val="center"/>
          </w:tcPr>
          <w:p w:rsidR="00CB0DD7" w:rsidRPr="000A0A5F" w:rsidRDefault="00CB0DD7">
            <w:pPr>
              <w:pStyle w:val="TAL"/>
              <w:rPr>
                <w:rFonts w:hint="eastAsia"/>
                <w:lang w:eastAsia="zh-CN"/>
              </w:rPr>
            </w:pPr>
            <w:r w:rsidRPr="000A0A5F">
              <w:rPr>
                <w:rFonts w:hint="eastAsia"/>
                <w:lang w:eastAsia="zh-CN"/>
              </w:rPr>
              <w:t>e</w:t>
            </w:r>
            <w:r w:rsidRPr="000A0A5F">
              <w:rPr>
                <w:lang w:eastAsia="zh-CN"/>
              </w:rPr>
              <w:t>nodeBId</w:t>
            </w:r>
          </w:p>
        </w:tc>
        <w:tc>
          <w:tcPr>
            <w:tcW w:w="694" w:type="pct"/>
            <w:shd w:val="clear" w:color="auto" w:fill="auto"/>
            <w:tcMar>
              <w:top w:w="0" w:type="dxa"/>
              <w:left w:w="108" w:type="dxa"/>
              <w:bottom w:w="0" w:type="dxa"/>
              <w:right w:w="108" w:type="dxa"/>
            </w:tcMar>
          </w:tcPr>
          <w:p w:rsidR="00CB0DD7" w:rsidRPr="000A0A5F" w:rsidRDefault="00CB0DD7">
            <w:pPr>
              <w:pStyle w:val="TAL"/>
              <w:rPr>
                <w:rFonts w:hint="eastAsia"/>
                <w:lang w:eastAsia="zh-CN"/>
              </w:rPr>
            </w:pPr>
            <w:r w:rsidRPr="000A0A5F">
              <w:rPr>
                <w:rFonts w:hint="eastAsia"/>
                <w:lang w:eastAsia="zh-CN"/>
              </w:rPr>
              <w:t>string</w:t>
            </w:r>
          </w:p>
        </w:tc>
        <w:tc>
          <w:tcPr>
            <w:tcW w:w="655" w:type="pct"/>
            <w:shd w:val="clear" w:color="auto" w:fill="auto"/>
            <w:tcMar>
              <w:top w:w="0" w:type="dxa"/>
              <w:left w:w="108" w:type="dxa"/>
              <w:bottom w:w="0" w:type="dxa"/>
              <w:right w:w="108" w:type="dxa"/>
            </w:tcMar>
          </w:tcPr>
          <w:p w:rsidR="00CB0DD7" w:rsidRPr="000A0A5F" w:rsidRDefault="00CB0DD7">
            <w:pPr>
              <w:pStyle w:val="TAL"/>
              <w:rPr>
                <w:rFonts w:hint="eastAsia"/>
                <w:lang w:eastAsia="zh-CN"/>
              </w:rPr>
            </w:pPr>
            <w:r w:rsidRPr="000A0A5F">
              <w:rPr>
                <w:rFonts w:hint="eastAsia"/>
                <w:lang w:eastAsia="zh-CN"/>
              </w:rPr>
              <w:t>0..1</w:t>
            </w:r>
          </w:p>
        </w:tc>
        <w:tc>
          <w:tcPr>
            <w:tcW w:w="1964" w:type="pct"/>
            <w:shd w:val="clear" w:color="auto" w:fill="auto"/>
            <w:tcMar>
              <w:top w:w="0" w:type="dxa"/>
              <w:left w:w="108" w:type="dxa"/>
              <w:bottom w:w="0" w:type="dxa"/>
              <w:right w:w="108" w:type="dxa"/>
            </w:tcMar>
          </w:tcPr>
          <w:p w:rsidR="00CB0DD7" w:rsidRPr="000A0A5F" w:rsidRDefault="00CB0DD7">
            <w:pPr>
              <w:pStyle w:val="TAL"/>
              <w:rPr>
                <w:rFonts w:cs="Arial"/>
                <w:szCs w:val="18"/>
                <w:lang w:eastAsia="zh-CN"/>
              </w:rPr>
            </w:pPr>
            <w:r w:rsidRPr="000A0A5F">
              <w:rPr>
                <w:rFonts w:cs="Arial" w:hint="eastAsia"/>
                <w:szCs w:val="18"/>
                <w:lang w:eastAsia="zh-CN"/>
              </w:rPr>
              <w:t>Indicates the eNodeB in which the UE is currently located.</w:t>
            </w:r>
          </w:p>
          <w:p w:rsidR="00CB0DD7" w:rsidRPr="000A0A5F" w:rsidRDefault="00CB0DD7">
            <w:pPr>
              <w:pStyle w:val="TAL"/>
            </w:pPr>
            <w:r w:rsidRPr="000A0A5F">
              <w:rPr>
                <w:rFonts w:cs="Arial"/>
                <w:szCs w:val="18"/>
                <w:lang w:eastAsia="zh-CN"/>
              </w:rPr>
              <w:t>Refer to the eNodeB-ID AVP or Extended-eNodeB-ID AVP as defined in clause</w:t>
            </w:r>
            <w:r w:rsidRPr="000A0A5F">
              <w:rPr>
                <w:rFonts w:cs="Arial"/>
                <w:szCs w:val="18"/>
                <w:lang w:val="en-US" w:eastAsia="zh-CN"/>
              </w:rPr>
              <w:t xml:space="preserve"> 7.3.198 </w:t>
            </w:r>
            <w:r w:rsidRPr="000A0A5F">
              <w:rPr>
                <w:szCs w:val="16"/>
              </w:rPr>
              <w:t xml:space="preserve">or clause 7.3.218 </w:t>
            </w:r>
            <w:r w:rsidRPr="000A0A5F">
              <w:rPr>
                <w:rFonts w:cs="Arial"/>
                <w:szCs w:val="18"/>
                <w:lang w:val="en-US" w:eastAsia="zh-CN"/>
              </w:rPr>
              <w:t xml:space="preserve">of </w:t>
            </w:r>
            <w:r w:rsidRPr="000A0A5F">
              <w:rPr>
                <w:szCs w:val="16"/>
              </w:rPr>
              <w:t>3GPP TS 29</w:t>
            </w:r>
            <w:r w:rsidRPr="000A0A5F">
              <w:rPr>
                <w:rFonts w:cs="Arial"/>
                <w:szCs w:val="18"/>
                <w:lang w:eastAsia="zh-CN"/>
              </w:rPr>
              <w:t>.272 [</w:t>
            </w:r>
            <w:r w:rsidRPr="000A0A5F">
              <w:rPr>
                <w:rFonts w:cs="Arial"/>
                <w:szCs w:val="18"/>
                <w:lang w:val="en-US" w:eastAsia="zh-CN"/>
              </w:rPr>
              <w:t>33</w:t>
            </w:r>
            <w:r w:rsidRPr="000A0A5F">
              <w:rPr>
                <w:rFonts w:cs="Arial"/>
                <w:szCs w:val="18"/>
                <w:lang w:eastAsia="zh-CN"/>
              </w:rPr>
              <w:t>].</w:t>
            </w:r>
          </w:p>
        </w:tc>
        <w:tc>
          <w:tcPr>
            <w:tcW w:w="728" w:type="pct"/>
          </w:tcPr>
          <w:p w:rsidR="00CB0DD7" w:rsidRPr="000A0A5F" w:rsidRDefault="00CB0DD7">
            <w:pPr>
              <w:pStyle w:val="TAL"/>
              <w:rPr>
                <w:rFonts w:cs="Arial" w:hint="eastAsia"/>
                <w:szCs w:val="18"/>
                <w:lang w:eastAsia="zh-CN"/>
              </w:rPr>
            </w:pPr>
          </w:p>
        </w:tc>
      </w:tr>
      <w:tr w:rsidR="00CB0DD7" w:rsidRPr="000A0A5F" w:rsidTr="002B3218">
        <w:tc>
          <w:tcPr>
            <w:tcW w:w="958" w:type="pct"/>
            <w:shd w:val="clear" w:color="auto" w:fill="auto"/>
            <w:tcMar>
              <w:top w:w="0" w:type="dxa"/>
              <w:left w:w="108" w:type="dxa"/>
              <w:bottom w:w="0" w:type="dxa"/>
              <w:right w:w="108" w:type="dxa"/>
            </w:tcMar>
            <w:vAlign w:val="center"/>
          </w:tcPr>
          <w:p w:rsidR="00CB0DD7" w:rsidRPr="000A0A5F" w:rsidRDefault="00CB0DD7">
            <w:pPr>
              <w:pStyle w:val="TAL"/>
              <w:rPr>
                <w:rFonts w:hint="eastAsia"/>
                <w:lang w:eastAsia="zh-CN"/>
              </w:rPr>
            </w:pPr>
            <w:r w:rsidRPr="000A0A5F">
              <w:rPr>
                <w:rFonts w:hint="eastAsia"/>
                <w:lang w:eastAsia="zh-CN"/>
              </w:rPr>
              <w:t>routingAreaId</w:t>
            </w:r>
          </w:p>
        </w:tc>
        <w:tc>
          <w:tcPr>
            <w:tcW w:w="694" w:type="pct"/>
            <w:shd w:val="clear" w:color="auto" w:fill="auto"/>
            <w:tcMar>
              <w:top w:w="0" w:type="dxa"/>
              <w:left w:w="108" w:type="dxa"/>
              <w:bottom w:w="0" w:type="dxa"/>
              <w:right w:w="108" w:type="dxa"/>
            </w:tcMar>
          </w:tcPr>
          <w:p w:rsidR="00CB0DD7" w:rsidRPr="000A0A5F" w:rsidRDefault="00CB0DD7">
            <w:pPr>
              <w:pStyle w:val="TAL"/>
              <w:rPr>
                <w:rFonts w:hint="eastAsia"/>
                <w:lang w:eastAsia="zh-CN"/>
              </w:rPr>
            </w:pPr>
            <w:r w:rsidRPr="000A0A5F">
              <w:rPr>
                <w:rFonts w:hint="eastAsia"/>
                <w:lang w:eastAsia="zh-CN"/>
              </w:rPr>
              <w:t>string</w:t>
            </w:r>
          </w:p>
        </w:tc>
        <w:tc>
          <w:tcPr>
            <w:tcW w:w="655" w:type="pct"/>
            <w:shd w:val="clear" w:color="auto" w:fill="auto"/>
            <w:tcMar>
              <w:top w:w="0" w:type="dxa"/>
              <w:left w:w="108" w:type="dxa"/>
              <w:bottom w:w="0" w:type="dxa"/>
              <w:right w:w="108" w:type="dxa"/>
            </w:tcMar>
          </w:tcPr>
          <w:p w:rsidR="00CB0DD7" w:rsidRPr="000A0A5F" w:rsidRDefault="00CB0DD7">
            <w:pPr>
              <w:pStyle w:val="TAL"/>
              <w:rPr>
                <w:rFonts w:hint="eastAsia"/>
                <w:lang w:eastAsia="zh-CN"/>
              </w:rPr>
            </w:pPr>
            <w:r w:rsidRPr="000A0A5F">
              <w:rPr>
                <w:rFonts w:hint="eastAsia"/>
                <w:lang w:eastAsia="zh-CN"/>
              </w:rPr>
              <w:t>0..1</w:t>
            </w:r>
          </w:p>
        </w:tc>
        <w:tc>
          <w:tcPr>
            <w:tcW w:w="1964" w:type="pct"/>
            <w:shd w:val="clear" w:color="auto" w:fill="auto"/>
            <w:tcMar>
              <w:top w:w="0" w:type="dxa"/>
              <w:left w:w="108" w:type="dxa"/>
              <w:bottom w:w="0" w:type="dxa"/>
              <w:right w:w="108" w:type="dxa"/>
            </w:tcMar>
          </w:tcPr>
          <w:p w:rsidR="00CB0DD7" w:rsidRPr="000A0A5F" w:rsidRDefault="00CB0DD7">
            <w:pPr>
              <w:pStyle w:val="TAL"/>
              <w:rPr>
                <w:rFonts w:cs="Arial"/>
                <w:szCs w:val="18"/>
                <w:lang w:eastAsia="zh-CN"/>
              </w:rPr>
            </w:pPr>
            <w:r w:rsidRPr="000A0A5F">
              <w:rPr>
                <w:rFonts w:cs="Arial" w:hint="eastAsia"/>
                <w:szCs w:val="18"/>
                <w:lang w:eastAsia="zh-CN"/>
              </w:rPr>
              <w:t>Identifies the</w:t>
            </w:r>
            <w:r w:rsidRPr="000A0A5F">
              <w:rPr>
                <w:rFonts w:cs="Arial"/>
                <w:szCs w:val="18"/>
                <w:lang w:eastAsia="zh-CN"/>
              </w:rPr>
              <w:t xml:space="preserve"> Routing Area Identity of the user where the UE is located.</w:t>
            </w:r>
          </w:p>
          <w:p w:rsidR="00CB0DD7" w:rsidRPr="000A0A5F" w:rsidRDefault="00CB0DD7">
            <w:pPr>
              <w:pStyle w:val="TAL"/>
            </w:pPr>
            <w:r w:rsidRPr="000A0A5F">
              <w:rPr>
                <w:rFonts w:cs="Arial"/>
                <w:szCs w:val="18"/>
                <w:lang w:eastAsia="zh-CN"/>
              </w:rPr>
              <w:t xml:space="preserve">Refer to the </w:t>
            </w:r>
            <w:r w:rsidRPr="000A0A5F">
              <w:rPr>
                <w:rFonts w:hint="eastAsia"/>
                <w:lang w:eastAsia="zh-CN"/>
              </w:rPr>
              <w:t>Routing-Area-Identity</w:t>
            </w:r>
            <w:r w:rsidRPr="000A0A5F">
              <w:rPr>
                <w:lang w:eastAsia="zh-CN"/>
              </w:rPr>
              <w:t xml:space="preserve"> AVP as defined in clause</w:t>
            </w:r>
            <w:r w:rsidRPr="000A0A5F">
              <w:rPr>
                <w:lang w:val="en-US" w:eastAsia="zh-CN"/>
              </w:rPr>
              <w:t> </w:t>
            </w:r>
            <w:r w:rsidRPr="000A0A5F">
              <w:rPr>
                <w:lang w:eastAsia="zh-CN"/>
              </w:rPr>
              <w:t xml:space="preserve">7.3.120 of </w:t>
            </w:r>
            <w:r w:rsidRPr="000A0A5F">
              <w:rPr>
                <w:rFonts w:cs="Arial"/>
                <w:szCs w:val="18"/>
                <w:lang w:eastAsia="zh-CN"/>
              </w:rPr>
              <w:t>3GPP TS 29.272 [</w:t>
            </w:r>
            <w:r w:rsidRPr="000A0A5F">
              <w:rPr>
                <w:rFonts w:cs="Arial"/>
                <w:szCs w:val="18"/>
                <w:lang w:val="en-US" w:eastAsia="zh-CN"/>
              </w:rPr>
              <w:t>33</w:t>
            </w:r>
            <w:r w:rsidRPr="000A0A5F">
              <w:rPr>
                <w:rFonts w:cs="Arial"/>
                <w:szCs w:val="18"/>
                <w:lang w:eastAsia="zh-CN"/>
              </w:rPr>
              <w:t>].</w:t>
            </w:r>
          </w:p>
        </w:tc>
        <w:tc>
          <w:tcPr>
            <w:tcW w:w="728" w:type="pct"/>
          </w:tcPr>
          <w:p w:rsidR="00CB0DD7" w:rsidRPr="000A0A5F" w:rsidRDefault="00CB0DD7">
            <w:pPr>
              <w:pStyle w:val="TAL"/>
              <w:rPr>
                <w:rFonts w:cs="Arial" w:hint="eastAsia"/>
                <w:szCs w:val="18"/>
                <w:lang w:eastAsia="zh-CN"/>
              </w:rPr>
            </w:pPr>
          </w:p>
        </w:tc>
      </w:tr>
      <w:tr w:rsidR="00CB0DD7" w:rsidRPr="000A0A5F" w:rsidTr="002B3218">
        <w:tc>
          <w:tcPr>
            <w:tcW w:w="958" w:type="pct"/>
            <w:shd w:val="clear" w:color="auto" w:fill="auto"/>
            <w:tcMar>
              <w:top w:w="0" w:type="dxa"/>
              <w:left w:w="108" w:type="dxa"/>
              <w:bottom w:w="0" w:type="dxa"/>
              <w:right w:w="108" w:type="dxa"/>
            </w:tcMar>
            <w:vAlign w:val="center"/>
          </w:tcPr>
          <w:p w:rsidR="00CB0DD7" w:rsidRPr="000A0A5F" w:rsidRDefault="00CB0DD7">
            <w:pPr>
              <w:pStyle w:val="TAL"/>
              <w:rPr>
                <w:rFonts w:hint="eastAsia"/>
                <w:lang w:eastAsia="zh-CN"/>
              </w:rPr>
            </w:pPr>
            <w:r w:rsidRPr="000A0A5F">
              <w:rPr>
                <w:rFonts w:hint="eastAsia"/>
                <w:lang w:eastAsia="zh-CN"/>
              </w:rPr>
              <w:t>trackingAreaId</w:t>
            </w:r>
          </w:p>
        </w:tc>
        <w:tc>
          <w:tcPr>
            <w:tcW w:w="694" w:type="pct"/>
            <w:shd w:val="clear" w:color="auto" w:fill="auto"/>
            <w:tcMar>
              <w:top w:w="0" w:type="dxa"/>
              <w:left w:w="108" w:type="dxa"/>
              <w:bottom w:w="0" w:type="dxa"/>
              <w:right w:w="108" w:type="dxa"/>
            </w:tcMar>
          </w:tcPr>
          <w:p w:rsidR="00CB0DD7" w:rsidRPr="000A0A5F" w:rsidRDefault="00CB0DD7">
            <w:pPr>
              <w:pStyle w:val="TAL"/>
              <w:rPr>
                <w:lang w:eastAsia="zh-CN"/>
              </w:rPr>
            </w:pPr>
            <w:r w:rsidRPr="000A0A5F">
              <w:rPr>
                <w:rFonts w:hint="eastAsia"/>
                <w:lang w:eastAsia="zh-CN"/>
              </w:rPr>
              <w:t>string</w:t>
            </w:r>
          </w:p>
        </w:tc>
        <w:tc>
          <w:tcPr>
            <w:tcW w:w="655" w:type="pct"/>
            <w:shd w:val="clear" w:color="auto" w:fill="auto"/>
            <w:tcMar>
              <w:top w:w="0" w:type="dxa"/>
              <w:left w:w="108" w:type="dxa"/>
              <w:bottom w:w="0" w:type="dxa"/>
              <w:right w:w="108" w:type="dxa"/>
            </w:tcMar>
          </w:tcPr>
          <w:p w:rsidR="00CB0DD7" w:rsidRPr="000A0A5F" w:rsidRDefault="00CB0DD7">
            <w:pPr>
              <w:pStyle w:val="TAL"/>
              <w:rPr>
                <w:rFonts w:hint="eastAsia"/>
                <w:lang w:eastAsia="zh-CN"/>
              </w:rPr>
            </w:pPr>
            <w:r w:rsidRPr="000A0A5F">
              <w:rPr>
                <w:rFonts w:hint="eastAsia"/>
                <w:lang w:eastAsia="zh-CN"/>
              </w:rPr>
              <w:t>0..1</w:t>
            </w:r>
          </w:p>
        </w:tc>
        <w:tc>
          <w:tcPr>
            <w:tcW w:w="1964" w:type="pct"/>
            <w:shd w:val="clear" w:color="auto" w:fill="auto"/>
            <w:tcMar>
              <w:top w:w="0" w:type="dxa"/>
              <w:left w:w="108" w:type="dxa"/>
              <w:bottom w:w="0" w:type="dxa"/>
              <w:right w:w="108" w:type="dxa"/>
            </w:tcMar>
          </w:tcPr>
          <w:p w:rsidR="00CB0DD7" w:rsidRPr="000A0A5F" w:rsidRDefault="00CB0DD7">
            <w:pPr>
              <w:pStyle w:val="TAL"/>
              <w:rPr>
                <w:rFonts w:cs="Arial"/>
                <w:szCs w:val="18"/>
                <w:lang w:eastAsia="zh-CN"/>
              </w:rPr>
            </w:pPr>
            <w:r w:rsidRPr="000A0A5F">
              <w:rPr>
                <w:rFonts w:cs="Arial" w:hint="eastAsia"/>
                <w:szCs w:val="18"/>
                <w:lang w:eastAsia="zh-CN"/>
              </w:rPr>
              <w:t>Identifies the</w:t>
            </w:r>
            <w:r w:rsidRPr="000A0A5F">
              <w:rPr>
                <w:rFonts w:cs="Arial"/>
                <w:szCs w:val="18"/>
                <w:lang w:eastAsia="zh-CN"/>
              </w:rPr>
              <w:t xml:space="preserve"> Tracking Area Identity of the user where the UE is located.</w:t>
            </w:r>
          </w:p>
          <w:p w:rsidR="00CB0DD7" w:rsidRPr="000A0A5F" w:rsidRDefault="00CB0DD7">
            <w:pPr>
              <w:pStyle w:val="TAL"/>
            </w:pPr>
            <w:r w:rsidRPr="000A0A5F">
              <w:t xml:space="preserve">Refer to the </w:t>
            </w:r>
            <w:r w:rsidRPr="000A0A5F">
              <w:rPr>
                <w:rFonts w:hint="eastAsia"/>
                <w:lang w:eastAsia="zh-CN"/>
              </w:rPr>
              <w:t>Tracking-Area-Identity</w:t>
            </w:r>
            <w:r w:rsidRPr="000A0A5F">
              <w:t xml:space="preserve"> AVP as defined in </w:t>
            </w:r>
            <w:r w:rsidRPr="000A0A5F">
              <w:rPr>
                <w:lang w:eastAsia="zh-CN"/>
              </w:rPr>
              <w:t>clause</w:t>
            </w:r>
            <w:r w:rsidRPr="000A0A5F">
              <w:rPr>
                <w:lang w:val="en-US" w:eastAsia="zh-CN"/>
              </w:rPr>
              <w:t> </w:t>
            </w:r>
            <w:r w:rsidRPr="000A0A5F">
              <w:rPr>
                <w:lang w:eastAsia="zh-CN"/>
              </w:rPr>
              <w:t xml:space="preserve">7.3.118 of </w:t>
            </w:r>
            <w:r w:rsidRPr="000A0A5F">
              <w:rPr>
                <w:rFonts w:cs="Arial"/>
                <w:szCs w:val="18"/>
                <w:lang w:eastAsia="zh-CN"/>
              </w:rPr>
              <w:t>3GPP TS 29.272 [</w:t>
            </w:r>
            <w:r w:rsidRPr="000A0A5F">
              <w:rPr>
                <w:rFonts w:cs="Arial"/>
                <w:szCs w:val="18"/>
                <w:lang w:val="en-US" w:eastAsia="zh-CN"/>
              </w:rPr>
              <w:t>33</w:t>
            </w:r>
            <w:r w:rsidRPr="000A0A5F">
              <w:rPr>
                <w:rFonts w:cs="Arial"/>
                <w:szCs w:val="18"/>
                <w:lang w:eastAsia="zh-CN"/>
              </w:rPr>
              <w:t xml:space="preserve">]. </w:t>
            </w:r>
            <w:r w:rsidRPr="000A0A5F">
              <w:rPr>
                <w:rFonts w:cs="Arial" w:hint="eastAsia"/>
                <w:szCs w:val="18"/>
                <w:lang w:eastAsia="zh-CN"/>
              </w:rPr>
              <w:t>(</w:t>
            </w:r>
            <w:r w:rsidRPr="000A0A5F">
              <w:rPr>
                <w:rFonts w:cs="Arial"/>
                <w:szCs w:val="18"/>
                <w:lang w:eastAsia="zh-CN"/>
              </w:rPr>
              <w:t>NOTE</w:t>
            </w:r>
            <w:r w:rsidRPr="000A0A5F">
              <w:rPr>
                <w:rFonts w:cs="Arial"/>
                <w:szCs w:val="18"/>
                <w:lang w:val="en-US" w:eastAsia="zh-CN"/>
              </w:rPr>
              <w:t> 3</w:t>
            </w:r>
            <w:r w:rsidRPr="000A0A5F">
              <w:rPr>
                <w:rFonts w:cs="Arial"/>
                <w:szCs w:val="18"/>
                <w:lang w:eastAsia="zh-CN"/>
              </w:rPr>
              <w:t>)</w:t>
            </w:r>
          </w:p>
        </w:tc>
        <w:tc>
          <w:tcPr>
            <w:tcW w:w="728" w:type="pct"/>
          </w:tcPr>
          <w:p w:rsidR="00CB0DD7" w:rsidRPr="000A0A5F" w:rsidRDefault="00CB0DD7">
            <w:pPr>
              <w:pStyle w:val="TAL"/>
              <w:rPr>
                <w:rFonts w:cs="Arial" w:hint="eastAsia"/>
                <w:szCs w:val="18"/>
                <w:lang w:eastAsia="zh-CN"/>
              </w:rPr>
            </w:pPr>
          </w:p>
        </w:tc>
      </w:tr>
      <w:tr w:rsidR="00CB0DD7" w:rsidRPr="000A0A5F" w:rsidTr="002B3218">
        <w:tc>
          <w:tcPr>
            <w:tcW w:w="958" w:type="pct"/>
            <w:shd w:val="clear" w:color="auto" w:fill="auto"/>
            <w:tcMar>
              <w:top w:w="0" w:type="dxa"/>
              <w:left w:w="108" w:type="dxa"/>
              <w:bottom w:w="0" w:type="dxa"/>
              <w:right w:w="108" w:type="dxa"/>
            </w:tcMar>
            <w:vAlign w:val="center"/>
          </w:tcPr>
          <w:p w:rsidR="00CB0DD7" w:rsidRPr="000A0A5F" w:rsidRDefault="00CB0DD7">
            <w:pPr>
              <w:pStyle w:val="TAL"/>
              <w:rPr>
                <w:rFonts w:hint="eastAsia"/>
                <w:lang w:eastAsia="zh-CN"/>
              </w:rPr>
            </w:pPr>
            <w:r w:rsidRPr="000A0A5F">
              <w:rPr>
                <w:rFonts w:hint="eastAsia"/>
                <w:lang w:eastAsia="zh-CN"/>
              </w:rPr>
              <w:t>pl</w:t>
            </w:r>
            <w:r w:rsidRPr="000A0A5F">
              <w:rPr>
                <w:lang w:eastAsia="zh-CN"/>
              </w:rPr>
              <w:t>mnId</w:t>
            </w:r>
          </w:p>
        </w:tc>
        <w:tc>
          <w:tcPr>
            <w:tcW w:w="694" w:type="pct"/>
            <w:shd w:val="clear" w:color="auto" w:fill="auto"/>
            <w:tcMar>
              <w:top w:w="0" w:type="dxa"/>
              <w:left w:w="108" w:type="dxa"/>
              <w:bottom w:w="0" w:type="dxa"/>
              <w:right w:w="108" w:type="dxa"/>
            </w:tcMar>
          </w:tcPr>
          <w:p w:rsidR="00CB0DD7" w:rsidRPr="000A0A5F" w:rsidRDefault="00CB0DD7">
            <w:pPr>
              <w:pStyle w:val="TAL"/>
              <w:rPr>
                <w:rFonts w:hint="eastAsia"/>
                <w:lang w:eastAsia="zh-CN"/>
              </w:rPr>
            </w:pPr>
            <w:r w:rsidRPr="000A0A5F">
              <w:rPr>
                <w:rFonts w:hint="eastAsia"/>
                <w:lang w:eastAsia="zh-CN"/>
              </w:rPr>
              <w:t>string</w:t>
            </w:r>
          </w:p>
        </w:tc>
        <w:tc>
          <w:tcPr>
            <w:tcW w:w="655" w:type="pct"/>
            <w:shd w:val="clear" w:color="auto" w:fill="auto"/>
            <w:tcMar>
              <w:top w:w="0" w:type="dxa"/>
              <w:left w:w="108" w:type="dxa"/>
              <w:bottom w:w="0" w:type="dxa"/>
              <w:right w:w="108" w:type="dxa"/>
            </w:tcMar>
          </w:tcPr>
          <w:p w:rsidR="00CB0DD7" w:rsidRPr="000A0A5F" w:rsidRDefault="00CB0DD7">
            <w:pPr>
              <w:pStyle w:val="TAL"/>
              <w:rPr>
                <w:rFonts w:hint="eastAsia"/>
                <w:lang w:eastAsia="zh-CN"/>
              </w:rPr>
            </w:pPr>
            <w:r w:rsidRPr="000A0A5F">
              <w:rPr>
                <w:rFonts w:hint="eastAsia"/>
                <w:lang w:eastAsia="zh-CN"/>
              </w:rPr>
              <w:t>0..1</w:t>
            </w:r>
          </w:p>
        </w:tc>
        <w:tc>
          <w:tcPr>
            <w:tcW w:w="1964" w:type="pct"/>
            <w:shd w:val="clear" w:color="auto" w:fill="auto"/>
            <w:tcMar>
              <w:top w:w="0" w:type="dxa"/>
              <w:left w:w="108" w:type="dxa"/>
              <w:bottom w:w="0" w:type="dxa"/>
              <w:right w:w="108" w:type="dxa"/>
            </w:tcMar>
          </w:tcPr>
          <w:p w:rsidR="00CB0DD7" w:rsidRPr="000A0A5F" w:rsidRDefault="00CB0DD7">
            <w:pPr>
              <w:pStyle w:val="TAL"/>
              <w:rPr>
                <w:rFonts w:cs="Arial"/>
                <w:szCs w:val="18"/>
                <w:lang w:eastAsia="zh-CN"/>
              </w:rPr>
            </w:pPr>
            <w:r w:rsidRPr="000A0A5F">
              <w:rPr>
                <w:rFonts w:cs="Arial" w:hint="eastAsia"/>
                <w:szCs w:val="18"/>
                <w:lang w:eastAsia="zh-CN"/>
              </w:rPr>
              <w:t>Identifies the</w:t>
            </w:r>
            <w:r w:rsidRPr="000A0A5F">
              <w:rPr>
                <w:rFonts w:cs="Arial"/>
                <w:szCs w:val="18"/>
                <w:lang w:eastAsia="zh-CN"/>
              </w:rPr>
              <w:t xml:space="preserve"> PLMN Identity of the user where the UE is located.</w:t>
            </w:r>
          </w:p>
          <w:p w:rsidR="00CB0DD7" w:rsidRPr="000A0A5F" w:rsidRDefault="00CB0DD7">
            <w:pPr>
              <w:pStyle w:val="TAL"/>
              <w:rPr>
                <w:rFonts w:cs="Arial" w:hint="eastAsia"/>
                <w:szCs w:val="18"/>
                <w:lang w:eastAsia="zh-CN"/>
              </w:rPr>
            </w:pPr>
            <w:r w:rsidRPr="000A0A5F">
              <w:rPr>
                <w:rFonts w:cs="Arial"/>
                <w:szCs w:val="18"/>
                <w:lang w:eastAsia="zh-CN"/>
              </w:rPr>
              <w:t xml:space="preserve">Refer to the </w:t>
            </w:r>
            <w:r w:rsidRPr="000A0A5F">
              <w:t>Visited-PLMN-Id</w:t>
            </w:r>
            <w:r w:rsidRPr="000A0A5F">
              <w:rPr>
                <w:lang w:eastAsia="zh-CN"/>
              </w:rPr>
              <w:t xml:space="preserve"> AVP as defined in clause</w:t>
            </w:r>
            <w:r w:rsidRPr="000A0A5F">
              <w:rPr>
                <w:lang w:val="en-US" w:eastAsia="zh-CN"/>
              </w:rPr>
              <w:t> </w:t>
            </w:r>
            <w:r w:rsidRPr="000A0A5F">
              <w:rPr>
                <w:lang w:eastAsia="zh-CN"/>
              </w:rPr>
              <w:t xml:space="preserve">7.3.9 of </w:t>
            </w:r>
            <w:r w:rsidRPr="000A0A5F">
              <w:rPr>
                <w:rFonts w:cs="Arial"/>
                <w:szCs w:val="18"/>
                <w:lang w:eastAsia="zh-CN"/>
              </w:rPr>
              <w:t>3GPP TS 29.272 [</w:t>
            </w:r>
            <w:r w:rsidRPr="000A0A5F">
              <w:rPr>
                <w:rFonts w:cs="Arial"/>
                <w:szCs w:val="18"/>
                <w:lang w:val="en-US" w:eastAsia="zh-CN"/>
              </w:rPr>
              <w:t>33</w:t>
            </w:r>
            <w:r w:rsidRPr="000A0A5F">
              <w:rPr>
                <w:rFonts w:cs="Arial"/>
                <w:szCs w:val="18"/>
                <w:lang w:eastAsia="zh-CN"/>
              </w:rPr>
              <w:t>].</w:t>
            </w:r>
          </w:p>
        </w:tc>
        <w:tc>
          <w:tcPr>
            <w:tcW w:w="728" w:type="pct"/>
          </w:tcPr>
          <w:p w:rsidR="00CB0DD7" w:rsidRPr="000A0A5F" w:rsidRDefault="00CB0DD7">
            <w:pPr>
              <w:pStyle w:val="TAL"/>
              <w:rPr>
                <w:rFonts w:cs="Arial" w:hint="eastAsia"/>
                <w:szCs w:val="18"/>
                <w:lang w:eastAsia="zh-CN"/>
              </w:rPr>
            </w:pPr>
          </w:p>
        </w:tc>
      </w:tr>
      <w:tr w:rsidR="00CB0DD7" w:rsidRPr="000A0A5F" w:rsidTr="002B3218">
        <w:tc>
          <w:tcPr>
            <w:tcW w:w="958" w:type="pct"/>
            <w:shd w:val="clear" w:color="auto" w:fill="auto"/>
            <w:tcMar>
              <w:top w:w="0" w:type="dxa"/>
              <w:left w:w="108" w:type="dxa"/>
              <w:bottom w:w="0" w:type="dxa"/>
              <w:right w:w="108" w:type="dxa"/>
            </w:tcMar>
            <w:vAlign w:val="center"/>
          </w:tcPr>
          <w:p w:rsidR="00CB0DD7" w:rsidRPr="000A0A5F" w:rsidRDefault="00CB0DD7">
            <w:pPr>
              <w:pStyle w:val="TAL"/>
              <w:rPr>
                <w:rFonts w:hint="eastAsia"/>
                <w:lang w:eastAsia="zh-CN"/>
              </w:rPr>
            </w:pPr>
            <w:r w:rsidRPr="000A0A5F">
              <w:rPr>
                <w:rFonts w:hint="eastAsia"/>
                <w:lang w:eastAsia="zh-CN"/>
              </w:rPr>
              <w:t>twanId</w:t>
            </w:r>
          </w:p>
        </w:tc>
        <w:tc>
          <w:tcPr>
            <w:tcW w:w="694" w:type="pct"/>
            <w:shd w:val="clear" w:color="auto" w:fill="auto"/>
            <w:tcMar>
              <w:top w:w="0" w:type="dxa"/>
              <w:left w:w="108" w:type="dxa"/>
              <w:bottom w:w="0" w:type="dxa"/>
              <w:right w:w="108" w:type="dxa"/>
            </w:tcMar>
          </w:tcPr>
          <w:p w:rsidR="00CB0DD7" w:rsidRPr="000A0A5F" w:rsidRDefault="00CB0DD7">
            <w:pPr>
              <w:pStyle w:val="TAL"/>
              <w:rPr>
                <w:rFonts w:hint="eastAsia"/>
                <w:lang w:eastAsia="zh-CN"/>
              </w:rPr>
            </w:pPr>
            <w:r w:rsidRPr="000A0A5F">
              <w:rPr>
                <w:rFonts w:hint="eastAsia"/>
                <w:lang w:eastAsia="zh-CN"/>
              </w:rPr>
              <w:t>string</w:t>
            </w:r>
          </w:p>
        </w:tc>
        <w:tc>
          <w:tcPr>
            <w:tcW w:w="655" w:type="pct"/>
            <w:shd w:val="clear" w:color="auto" w:fill="auto"/>
            <w:tcMar>
              <w:top w:w="0" w:type="dxa"/>
              <w:left w:w="108" w:type="dxa"/>
              <w:bottom w:w="0" w:type="dxa"/>
              <w:right w:w="108" w:type="dxa"/>
            </w:tcMar>
          </w:tcPr>
          <w:p w:rsidR="00CB0DD7" w:rsidRPr="000A0A5F" w:rsidRDefault="00CB0DD7">
            <w:pPr>
              <w:pStyle w:val="TAL"/>
              <w:rPr>
                <w:rFonts w:hint="eastAsia"/>
                <w:lang w:eastAsia="zh-CN"/>
              </w:rPr>
            </w:pPr>
            <w:r w:rsidRPr="000A0A5F">
              <w:rPr>
                <w:rFonts w:hint="eastAsia"/>
                <w:lang w:eastAsia="zh-CN"/>
              </w:rPr>
              <w:t>0..1</w:t>
            </w:r>
          </w:p>
        </w:tc>
        <w:tc>
          <w:tcPr>
            <w:tcW w:w="1964" w:type="pct"/>
            <w:shd w:val="clear" w:color="auto" w:fill="auto"/>
            <w:tcMar>
              <w:top w:w="0" w:type="dxa"/>
              <w:left w:w="108" w:type="dxa"/>
              <w:bottom w:w="0" w:type="dxa"/>
              <w:right w:w="108" w:type="dxa"/>
            </w:tcMar>
          </w:tcPr>
          <w:p w:rsidR="00CB0DD7" w:rsidRPr="000A0A5F" w:rsidRDefault="00CB0DD7">
            <w:pPr>
              <w:pStyle w:val="TAL"/>
              <w:rPr>
                <w:rFonts w:cs="Arial" w:hint="eastAsia"/>
                <w:szCs w:val="18"/>
                <w:lang w:eastAsia="zh-CN"/>
              </w:rPr>
            </w:pPr>
            <w:r w:rsidRPr="000A0A5F">
              <w:rPr>
                <w:rFonts w:cs="Arial" w:hint="eastAsia"/>
                <w:szCs w:val="18"/>
                <w:lang w:eastAsia="zh-CN"/>
              </w:rPr>
              <w:t>Identifies the</w:t>
            </w:r>
            <w:r w:rsidRPr="000A0A5F">
              <w:rPr>
                <w:rFonts w:cs="Arial"/>
                <w:szCs w:val="18"/>
                <w:lang w:eastAsia="zh-CN"/>
              </w:rPr>
              <w:t xml:space="preserve"> TWAN Identity of the user where the UE is located.</w:t>
            </w:r>
          </w:p>
        </w:tc>
        <w:tc>
          <w:tcPr>
            <w:tcW w:w="728" w:type="pct"/>
          </w:tcPr>
          <w:p w:rsidR="00CB0DD7" w:rsidRPr="000A0A5F" w:rsidRDefault="00CB0DD7">
            <w:pPr>
              <w:pStyle w:val="TAL"/>
              <w:rPr>
                <w:rFonts w:cs="Arial" w:hint="eastAsia"/>
                <w:szCs w:val="18"/>
                <w:lang w:eastAsia="zh-CN"/>
              </w:rPr>
            </w:pPr>
          </w:p>
        </w:tc>
      </w:tr>
      <w:tr w:rsidR="009D6406" w:rsidRPr="000A0A5F" w:rsidTr="002B3218">
        <w:tc>
          <w:tcPr>
            <w:tcW w:w="958" w:type="pct"/>
            <w:shd w:val="clear" w:color="auto" w:fill="auto"/>
            <w:tcMar>
              <w:top w:w="0" w:type="dxa"/>
              <w:left w:w="108" w:type="dxa"/>
              <w:bottom w:w="0" w:type="dxa"/>
              <w:right w:w="108" w:type="dxa"/>
            </w:tcMar>
            <w:vAlign w:val="center"/>
          </w:tcPr>
          <w:p w:rsidR="009D6406" w:rsidRPr="000A0A5F" w:rsidRDefault="009D6406" w:rsidP="009D6406">
            <w:pPr>
              <w:pStyle w:val="TAL"/>
              <w:rPr>
                <w:rFonts w:hint="eastAsia"/>
                <w:lang w:eastAsia="zh-CN"/>
              </w:rPr>
            </w:pPr>
            <w:r w:rsidRPr="000A0A5F">
              <w:rPr>
                <w:lang w:eastAsia="zh-CN"/>
              </w:rPr>
              <w:t>userLocation</w:t>
            </w:r>
          </w:p>
        </w:tc>
        <w:tc>
          <w:tcPr>
            <w:tcW w:w="694" w:type="pct"/>
            <w:shd w:val="clear" w:color="auto" w:fill="auto"/>
            <w:tcMar>
              <w:top w:w="0" w:type="dxa"/>
              <w:left w:w="108" w:type="dxa"/>
              <w:bottom w:w="0" w:type="dxa"/>
              <w:right w:w="108" w:type="dxa"/>
            </w:tcMar>
          </w:tcPr>
          <w:p w:rsidR="009D6406" w:rsidRPr="000A0A5F" w:rsidRDefault="009D6406" w:rsidP="009D6406">
            <w:pPr>
              <w:pStyle w:val="TAL"/>
              <w:rPr>
                <w:rFonts w:hint="eastAsia"/>
                <w:lang w:eastAsia="zh-CN"/>
              </w:rPr>
            </w:pPr>
            <w:r w:rsidRPr="000A0A5F">
              <w:rPr>
                <w:lang w:eastAsia="zh-CN"/>
              </w:rPr>
              <w:t>UserLocation</w:t>
            </w:r>
          </w:p>
        </w:tc>
        <w:tc>
          <w:tcPr>
            <w:tcW w:w="655" w:type="pct"/>
            <w:shd w:val="clear" w:color="auto" w:fill="auto"/>
            <w:tcMar>
              <w:top w:w="0" w:type="dxa"/>
              <w:left w:w="108" w:type="dxa"/>
              <w:bottom w:w="0" w:type="dxa"/>
              <w:right w:w="108" w:type="dxa"/>
            </w:tcMar>
          </w:tcPr>
          <w:p w:rsidR="009D6406" w:rsidRPr="000A0A5F" w:rsidRDefault="009D6406" w:rsidP="009D6406">
            <w:pPr>
              <w:pStyle w:val="TAL"/>
              <w:rPr>
                <w:rFonts w:hint="eastAsia"/>
                <w:lang w:eastAsia="zh-CN"/>
              </w:rPr>
            </w:pPr>
            <w:r w:rsidRPr="000A0A5F">
              <w:rPr>
                <w:lang w:eastAsia="zh-CN"/>
              </w:rPr>
              <w:t>0..1</w:t>
            </w:r>
          </w:p>
        </w:tc>
        <w:tc>
          <w:tcPr>
            <w:tcW w:w="1964" w:type="pct"/>
            <w:shd w:val="clear" w:color="auto" w:fill="auto"/>
            <w:tcMar>
              <w:top w:w="0" w:type="dxa"/>
              <w:left w:w="108" w:type="dxa"/>
              <w:bottom w:w="0" w:type="dxa"/>
              <w:right w:w="108" w:type="dxa"/>
            </w:tcMar>
          </w:tcPr>
          <w:p w:rsidR="009D6406" w:rsidRPr="000A0A5F" w:rsidRDefault="009D6406" w:rsidP="009D6406">
            <w:pPr>
              <w:pStyle w:val="TAL"/>
              <w:rPr>
                <w:rFonts w:cs="Arial" w:hint="eastAsia"/>
                <w:szCs w:val="18"/>
                <w:lang w:eastAsia="zh-CN"/>
              </w:rPr>
            </w:pPr>
            <w:r w:rsidRPr="000A0A5F">
              <w:rPr>
                <w:rFonts w:cs="Arial"/>
                <w:szCs w:val="18"/>
                <w:lang w:eastAsia="zh-CN"/>
              </w:rPr>
              <w:t xml:space="preserve">Contains </w:t>
            </w:r>
            <w:r w:rsidRPr="000A0A5F">
              <w:rPr>
                <w:rFonts w:cs="Arial"/>
                <w:szCs w:val="18"/>
                <w:lang w:val="fr-FR" w:eastAsia="zh-CN"/>
              </w:rPr>
              <w:t xml:space="preserve">UE </w:t>
            </w:r>
            <w:r w:rsidRPr="000A0A5F">
              <w:rPr>
                <w:rFonts w:cs="Arial"/>
                <w:szCs w:val="18"/>
                <w:lang w:eastAsia="zh-CN"/>
              </w:rPr>
              <w:t>location info</w:t>
            </w:r>
            <w:r w:rsidRPr="000A0A5F">
              <w:rPr>
                <w:rFonts w:cs="Arial"/>
                <w:szCs w:val="18"/>
                <w:lang w:val="fr-FR" w:eastAsia="zh-CN"/>
              </w:rPr>
              <w:t>rmation</w:t>
            </w:r>
            <w:r w:rsidRPr="000A0A5F">
              <w:rPr>
                <w:rFonts w:cs="Arial"/>
                <w:szCs w:val="18"/>
                <w:lang w:eastAsia="zh-CN"/>
              </w:rPr>
              <w:t>. (NOTE</w:t>
            </w:r>
            <w:r w:rsidRPr="000A0A5F">
              <w:rPr>
                <w:rFonts w:cs="Arial"/>
                <w:szCs w:val="18"/>
                <w:lang w:val="en-US" w:eastAsia="zh-CN"/>
              </w:rPr>
              <w:t> 4</w:t>
            </w:r>
            <w:r w:rsidRPr="000A0A5F">
              <w:rPr>
                <w:rFonts w:cs="Arial"/>
                <w:szCs w:val="18"/>
                <w:lang w:eastAsia="zh-CN"/>
              </w:rPr>
              <w:t>)</w:t>
            </w:r>
          </w:p>
        </w:tc>
        <w:tc>
          <w:tcPr>
            <w:tcW w:w="728" w:type="pct"/>
          </w:tcPr>
          <w:p w:rsidR="009D6406" w:rsidRPr="000A0A5F" w:rsidRDefault="009D6406" w:rsidP="009D6406">
            <w:pPr>
              <w:pStyle w:val="TAL"/>
              <w:rPr>
                <w:rFonts w:cs="Arial" w:hint="eastAsia"/>
                <w:szCs w:val="18"/>
                <w:lang w:eastAsia="zh-CN"/>
              </w:rPr>
            </w:pPr>
            <w:r w:rsidRPr="000A0A5F">
              <w:rPr>
                <w:rFonts w:cs="Arial"/>
                <w:szCs w:val="18"/>
                <w:lang w:eastAsia="zh-CN"/>
              </w:rPr>
              <w:t>enNB1</w:t>
            </w:r>
          </w:p>
        </w:tc>
      </w:tr>
      <w:tr w:rsidR="009D6406" w:rsidRPr="000A0A5F" w:rsidTr="002B3218">
        <w:tc>
          <w:tcPr>
            <w:tcW w:w="958" w:type="pct"/>
            <w:shd w:val="clear" w:color="auto" w:fill="auto"/>
            <w:tcMar>
              <w:top w:w="0" w:type="dxa"/>
              <w:left w:w="108" w:type="dxa"/>
              <w:bottom w:w="0" w:type="dxa"/>
              <w:right w:w="108" w:type="dxa"/>
            </w:tcMar>
            <w:vAlign w:val="center"/>
          </w:tcPr>
          <w:p w:rsidR="009D6406" w:rsidRPr="000A0A5F" w:rsidRDefault="009D6406" w:rsidP="009D6406">
            <w:pPr>
              <w:pStyle w:val="TAL"/>
              <w:rPr>
                <w:rFonts w:hint="eastAsia"/>
                <w:lang w:eastAsia="zh-CN"/>
              </w:rPr>
            </w:pPr>
            <w:r w:rsidRPr="000A0A5F">
              <w:rPr>
                <w:rFonts w:hint="eastAsia"/>
                <w:lang w:eastAsia="zh-CN"/>
              </w:rPr>
              <w:t>geographicArea</w:t>
            </w:r>
          </w:p>
        </w:tc>
        <w:tc>
          <w:tcPr>
            <w:tcW w:w="694" w:type="pct"/>
            <w:shd w:val="clear" w:color="auto" w:fill="auto"/>
            <w:tcMar>
              <w:top w:w="0" w:type="dxa"/>
              <w:left w:w="108" w:type="dxa"/>
              <w:bottom w:w="0" w:type="dxa"/>
              <w:right w:w="108" w:type="dxa"/>
            </w:tcMar>
          </w:tcPr>
          <w:p w:rsidR="009D6406" w:rsidRPr="000A0A5F" w:rsidRDefault="009D6406" w:rsidP="009D6406">
            <w:pPr>
              <w:pStyle w:val="TAL"/>
              <w:rPr>
                <w:rFonts w:hint="eastAsia"/>
                <w:lang w:eastAsia="zh-CN"/>
              </w:rPr>
            </w:pPr>
            <w:r w:rsidRPr="000A0A5F">
              <w:rPr>
                <w:rFonts w:hint="eastAsia"/>
                <w:lang w:eastAsia="zh-CN"/>
              </w:rPr>
              <w:t>GeographicArea</w:t>
            </w:r>
          </w:p>
        </w:tc>
        <w:tc>
          <w:tcPr>
            <w:tcW w:w="655" w:type="pct"/>
            <w:shd w:val="clear" w:color="auto" w:fill="auto"/>
            <w:tcMar>
              <w:top w:w="0" w:type="dxa"/>
              <w:left w:w="108" w:type="dxa"/>
              <w:bottom w:w="0" w:type="dxa"/>
              <w:right w:w="108" w:type="dxa"/>
            </w:tcMar>
          </w:tcPr>
          <w:p w:rsidR="009D6406" w:rsidRPr="000A0A5F" w:rsidRDefault="009D6406" w:rsidP="009D6406">
            <w:pPr>
              <w:pStyle w:val="TAL"/>
              <w:rPr>
                <w:rFonts w:hint="eastAsia"/>
                <w:lang w:eastAsia="zh-CN"/>
              </w:rPr>
            </w:pPr>
            <w:r w:rsidRPr="000A0A5F">
              <w:rPr>
                <w:rFonts w:hint="eastAsia"/>
                <w:lang w:eastAsia="zh-CN"/>
              </w:rPr>
              <w:t>0..1</w:t>
            </w:r>
          </w:p>
        </w:tc>
        <w:tc>
          <w:tcPr>
            <w:tcW w:w="1964" w:type="pct"/>
            <w:shd w:val="clear" w:color="auto" w:fill="auto"/>
            <w:tcMar>
              <w:top w:w="0" w:type="dxa"/>
              <w:left w:w="108" w:type="dxa"/>
              <w:bottom w:w="0" w:type="dxa"/>
              <w:right w:w="108" w:type="dxa"/>
            </w:tcMar>
          </w:tcPr>
          <w:p w:rsidR="009D6406" w:rsidRPr="000A0A5F" w:rsidRDefault="009D6406" w:rsidP="009D6406">
            <w:pPr>
              <w:pStyle w:val="TAL"/>
              <w:rPr>
                <w:rFonts w:cs="Arial" w:hint="eastAsia"/>
                <w:szCs w:val="18"/>
                <w:lang w:eastAsia="zh-CN"/>
              </w:rPr>
            </w:pPr>
            <w:r w:rsidRPr="000A0A5F">
              <w:rPr>
                <w:rFonts w:eastAsia="Times New Roman" w:cs="Arial"/>
                <w:szCs w:val="18"/>
              </w:rPr>
              <w:t>Identifies a geographic area of the user where the UE is located.</w:t>
            </w:r>
          </w:p>
        </w:tc>
        <w:tc>
          <w:tcPr>
            <w:tcW w:w="728" w:type="pct"/>
          </w:tcPr>
          <w:p w:rsidR="009D6406" w:rsidRPr="000A0A5F" w:rsidRDefault="009D6406" w:rsidP="009D6406">
            <w:pPr>
              <w:pStyle w:val="TAL"/>
              <w:rPr>
                <w:rFonts w:eastAsia="Times New Roman" w:cs="Arial"/>
                <w:szCs w:val="18"/>
              </w:rPr>
            </w:pPr>
          </w:p>
        </w:tc>
      </w:tr>
      <w:tr w:rsidR="009D6406" w:rsidRPr="000A0A5F" w:rsidTr="002B3218">
        <w:tc>
          <w:tcPr>
            <w:tcW w:w="958" w:type="pct"/>
            <w:shd w:val="clear" w:color="auto" w:fill="auto"/>
            <w:tcMar>
              <w:top w:w="0" w:type="dxa"/>
              <w:left w:w="108" w:type="dxa"/>
              <w:bottom w:w="0" w:type="dxa"/>
              <w:right w:w="108" w:type="dxa"/>
            </w:tcMar>
            <w:vAlign w:val="center"/>
          </w:tcPr>
          <w:p w:rsidR="009D6406" w:rsidRPr="000A0A5F" w:rsidRDefault="009D6406" w:rsidP="009D6406">
            <w:pPr>
              <w:pStyle w:val="TAL"/>
              <w:rPr>
                <w:rFonts w:hint="eastAsia"/>
                <w:lang w:eastAsia="zh-CN"/>
              </w:rPr>
            </w:pPr>
            <w:r w:rsidRPr="000A0A5F">
              <w:rPr>
                <w:lang w:eastAsia="zh-CN"/>
              </w:rPr>
              <w:t>civicAddress</w:t>
            </w:r>
          </w:p>
        </w:tc>
        <w:tc>
          <w:tcPr>
            <w:tcW w:w="694" w:type="pct"/>
            <w:shd w:val="clear" w:color="auto" w:fill="auto"/>
            <w:tcMar>
              <w:top w:w="0" w:type="dxa"/>
              <w:left w:w="108" w:type="dxa"/>
              <w:bottom w:w="0" w:type="dxa"/>
              <w:right w:w="108" w:type="dxa"/>
            </w:tcMar>
          </w:tcPr>
          <w:p w:rsidR="009D6406" w:rsidRPr="000A0A5F" w:rsidRDefault="009D6406" w:rsidP="009D6406">
            <w:pPr>
              <w:pStyle w:val="TAL"/>
              <w:rPr>
                <w:rFonts w:hint="eastAsia"/>
                <w:lang w:eastAsia="zh-CN"/>
              </w:rPr>
            </w:pPr>
            <w:r w:rsidRPr="000A0A5F">
              <w:rPr>
                <w:lang w:eastAsia="zh-CN"/>
              </w:rPr>
              <w:t>CivicAddress</w:t>
            </w:r>
          </w:p>
        </w:tc>
        <w:tc>
          <w:tcPr>
            <w:tcW w:w="655" w:type="pct"/>
            <w:shd w:val="clear" w:color="auto" w:fill="auto"/>
            <w:tcMar>
              <w:top w:w="0" w:type="dxa"/>
              <w:left w:w="108" w:type="dxa"/>
              <w:bottom w:w="0" w:type="dxa"/>
              <w:right w:w="108" w:type="dxa"/>
            </w:tcMar>
          </w:tcPr>
          <w:p w:rsidR="009D6406" w:rsidRPr="000A0A5F" w:rsidRDefault="009D6406" w:rsidP="009D6406">
            <w:pPr>
              <w:pStyle w:val="TAL"/>
              <w:rPr>
                <w:rFonts w:hint="eastAsia"/>
                <w:lang w:eastAsia="zh-CN"/>
              </w:rPr>
            </w:pPr>
            <w:r w:rsidRPr="000A0A5F">
              <w:rPr>
                <w:lang w:eastAsia="zh-CN"/>
              </w:rPr>
              <w:t>0..1</w:t>
            </w:r>
          </w:p>
        </w:tc>
        <w:tc>
          <w:tcPr>
            <w:tcW w:w="1964" w:type="pct"/>
            <w:shd w:val="clear" w:color="auto" w:fill="auto"/>
            <w:tcMar>
              <w:top w:w="0" w:type="dxa"/>
              <w:left w:w="108" w:type="dxa"/>
              <w:bottom w:w="0" w:type="dxa"/>
              <w:right w:w="108" w:type="dxa"/>
            </w:tcMar>
          </w:tcPr>
          <w:p w:rsidR="009D6406" w:rsidRPr="000A0A5F" w:rsidRDefault="009D6406" w:rsidP="009D6406">
            <w:pPr>
              <w:pStyle w:val="TAL"/>
              <w:rPr>
                <w:rFonts w:eastAsia="Times New Roman" w:cs="Arial"/>
                <w:szCs w:val="18"/>
              </w:rPr>
            </w:pPr>
            <w:r w:rsidRPr="000A0A5F">
              <w:rPr>
                <w:rFonts w:cs="Arial"/>
                <w:szCs w:val="18"/>
              </w:rPr>
              <w:t>The civic address of the target UE.</w:t>
            </w:r>
          </w:p>
        </w:tc>
        <w:tc>
          <w:tcPr>
            <w:tcW w:w="728" w:type="pct"/>
          </w:tcPr>
          <w:p w:rsidR="009D6406" w:rsidRPr="000A0A5F" w:rsidRDefault="009D6406" w:rsidP="009D6406">
            <w:pPr>
              <w:pStyle w:val="TAL"/>
              <w:rPr>
                <w:rFonts w:eastAsia="Times New Roman" w:cs="Arial"/>
                <w:szCs w:val="18"/>
              </w:rPr>
            </w:pPr>
            <w:r w:rsidRPr="000A0A5F">
              <w:rPr>
                <w:rFonts w:cs="Arial"/>
                <w:szCs w:val="18"/>
              </w:rPr>
              <w:t>eLCS</w:t>
            </w:r>
          </w:p>
        </w:tc>
      </w:tr>
      <w:tr w:rsidR="009D6406" w:rsidRPr="000A0A5F" w:rsidTr="002B3218">
        <w:tc>
          <w:tcPr>
            <w:tcW w:w="958" w:type="pct"/>
            <w:shd w:val="clear" w:color="auto" w:fill="auto"/>
            <w:tcMar>
              <w:top w:w="0" w:type="dxa"/>
              <w:left w:w="108" w:type="dxa"/>
              <w:bottom w:w="0" w:type="dxa"/>
              <w:right w:w="108" w:type="dxa"/>
            </w:tcMar>
            <w:vAlign w:val="center"/>
          </w:tcPr>
          <w:p w:rsidR="009D6406" w:rsidRPr="000A0A5F" w:rsidRDefault="009D6406" w:rsidP="009D6406">
            <w:pPr>
              <w:pStyle w:val="TAL"/>
              <w:rPr>
                <w:rFonts w:hint="eastAsia"/>
                <w:lang w:eastAsia="zh-CN"/>
              </w:rPr>
            </w:pPr>
            <w:r w:rsidRPr="000A0A5F">
              <w:rPr>
                <w:rFonts w:hint="eastAsia"/>
                <w:lang w:eastAsia="zh-CN"/>
              </w:rPr>
              <w:t>positionMethod</w:t>
            </w:r>
          </w:p>
        </w:tc>
        <w:tc>
          <w:tcPr>
            <w:tcW w:w="694" w:type="pct"/>
            <w:shd w:val="clear" w:color="auto" w:fill="auto"/>
            <w:tcMar>
              <w:top w:w="0" w:type="dxa"/>
              <w:left w:w="108" w:type="dxa"/>
              <w:bottom w:w="0" w:type="dxa"/>
              <w:right w:w="108" w:type="dxa"/>
            </w:tcMar>
          </w:tcPr>
          <w:p w:rsidR="009D6406" w:rsidRPr="000A0A5F" w:rsidRDefault="009D6406" w:rsidP="009D6406">
            <w:pPr>
              <w:pStyle w:val="TAL"/>
              <w:rPr>
                <w:rFonts w:hint="eastAsia"/>
                <w:lang w:eastAsia="zh-CN"/>
              </w:rPr>
            </w:pPr>
            <w:r w:rsidRPr="000A0A5F">
              <w:rPr>
                <w:rFonts w:hint="eastAsia"/>
                <w:lang w:eastAsia="zh-CN"/>
              </w:rPr>
              <w:t>PositioningMethod</w:t>
            </w:r>
          </w:p>
        </w:tc>
        <w:tc>
          <w:tcPr>
            <w:tcW w:w="655" w:type="pct"/>
            <w:shd w:val="clear" w:color="auto" w:fill="auto"/>
            <w:tcMar>
              <w:top w:w="0" w:type="dxa"/>
              <w:left w:w="108" w:type="dxa"/>
              <w:bottom w:w="0" w:type="dxa"/>
              <w:right w:w="108" w:type="dxa"/>
            </w:tcMar>
          </w:tcPr>
          <w:p w:rsidR="009D6406" w:rsidRPr="000A0A5F" w:rsidRDefault="009D6406" w:rsidP="009D6406">
            <w:pPr>
              <w:pStyle w:val="TAL"/>
              <w:rPr>
                <w:rFonts w:hint="eastAsia"/>
                <w:lang w:eastAsia="zh-CN"/>
              </w:rPr>
            </w:pPr>
            <w:r w:rsidRPr="000A0A5F">
              <w:rPr>
                <w:rFonts w:hint="eastAsia"/>
                <w:lang w:eastAsia="zh-CN"/>
              </w:rPr>
              <w:t>0..1</w:t>
            </w:r>
          </w:p>
        </w:tc>
        <w:tc>
          <w:tcPr>
            <w:tcW w:w="1964" w:type="pct"/>
            <w:shd w:val="clear" w:color="auto" w:fill="auto"/>
            <w:tcMar>
              <w:top w:w="0" w:type="dxa"/>
              <w:left w:w="108" w:type="dxa"/>
              <w:bottom w:w="0" w:type="dxa"/>
              <w:right w:w="108" w:type="dxa"/>
            </w:tcMar>
          </w:tcPr>
          <w:p w:rsidR="009D6406" w:rsidRPr="000A0A5F" w:rsidRDefault="009D6406" w:rsidP="009D6406">
            <w:pPr>
              <w:pStyle w:val="TAL"/>
              <w:rPr>
                <w:rFonts w:eastAsia="Times New Roman" w:cs="Arial"/>
                <w:szCs w:val="18"/>
              </w:rPr>
            </w:pPr>
            <w:r w:rsidRPr="000A0A5F">
              <w:rPr>
                <w:rFonts w:eastAsia="Times New Roman" w:cs="Arial" w:hint="eastAsia"/>
                <w:szCs w:val="18"/>
              </w:rPr>
              <w:t>Identifies the positioning method used to obtain the location estimate of the UE, if it is available at the LCS server and if needed.</w:t>
            </w:r>
          </w:p>
        </w:tc>
        <w:tc>
          <w:tcPr>
            <w:tcW w:w="728" w:type="pct"/>
          </w:tcPr>
          <w:p w:rsidR="009D6406" w:rsidRPr="000A0A5F" w:rsidRDefault="009D6406" w:rsidP="009D6406">
            <w:pPr>
              <w:pStyle w:val="TAL"/>
              <w:rPr>
                <w:rFonts w:eastAsia="Times New Roman" w:cs="Arial"/>
                <w:szCs w:val="18"/>
              </w:rPr>
            </w:pPr>
            <w:r w:rsidRPr="000A0A5F">
              <w:rPr>
                <w:rFonts w:eastAsia="Times New Roman" w:cs="Arial" w:hint="eastAsia"/>
                <w:szCs w:val="18"/>
              </w:rPr>
              <w:t>eLCS</w:t>
            </w:r>
            <w:r w:rsidR="00BC037A" w:rsidRPr="000A0A5F">
              <w:rPr>
                <w:rFonts w:eastAsia="Times New Roman" w:cs="Arial"/>
                <w:szCs w:val="18"/>
              </w:rPr>
              <w:t xml:space="preserve">, </w:t>
            </w:r>
            <w:r w:rsidR="00BC037A" w:rsidRPr="000A0A5F">
              <w:rPr>
                <w:rFonts w:eastAsia="DengXian" w:cs="Arial"/>
                <w:szCs w:val="18"/>
                <w:lang w:eastAsia="zh-CN"/>
              </w:rPr>
              <w:t>Ranging_SL</w:t>
            </w:r>
          </w:p>
        </w:tc>
      </w:tr>
      <w:tr w:rsidR="009D6406" w:rsidRPr="000A0A5F" w:rsidTr="002B3218">
        <w:tc>
          <w:tcPr>
            <w:tcW w:w="958" w:type="pct"/>
            <w:shd w:val="clear" w:color="auto" w:fill="auto"/>
            <w:tcMar>
              <w:top w:w="0" w:type="dxa"/>
              <w:left w:w="108" w:type="dxa"/>
              <w:bottom w:w="0" w:type="dxa"/>
              <w:right w:w="108" w:type="dxa"/>
            </w:tcMar>
            <w:vAlign w:val="center"/>
          </w:tcPr>
          <w:p w:rsidR="009D6406" w:rsidRPr="000A0A5F" w:rsidRDefault="009D6406" w:rsidP="009D6406">
            <w:pPr>
              <w:pStyle w:val="TAL"/>
              <w:rPr>
                <w:rFonts w:hint="eastAsia"/>
                <w:lang w:eastAsia="zh-CN"/>
              </w:rPr>
            </w:pPr>
            <w:r w:rsidRPr="000A0A5F">
              <w:rPr>
                <w:rFonts w:hint="eastAsia"/>
                <w:lang w:eastAsia="zh-CN"/>
              </w:rPr>
              <w:t>qosFulfilInd</w:t>
            </w:r>
          </w:p>
        </w:tc>
        <w:tc>
          <w:tcPr>
            <w:tcW w:w="694" w:type="pct"/>
            <w:shd w:val="clear" w:color="auto" w:fill="auto"/>
            <w:tcMar>
              <w:top w:w="0" w:type="dxa"/>
              <w:left w:w="108" w:type="dxa"/>
              <w:bottom w:w="0" w:type="dxa"/>
              <w:right w:w="108" w:type="dxa"/>
            </w:tcMar>
          </w:tcPr>
          <w:p w:rsidR="009D6406" w:rsidRPr="000A0A5F" w:rsidRDefault="009D6406" w:rsidP="009D6406">
            <w:pPr>
              <w:pStyle w:val="TAL"/>
              <w:rPr>
                <w:rFonts w:hint="eastAsia"/>
                <w:lang w:eastAsia="zh-CN"/>
              </w:rPr>
            </w:pPr>
            <w:r w:rsidRPr="000A0A5F">
              <w:rPr>
                <w:rFonts w:hint="eastAsia"/>
                <w:lang w:eastAsia="zh-CN"/>
              </w:rPr>
              <w:t>AccuracyFulfilmentIndicator</w:t>
            </w:r>
          </w:p>
        </w:tc>
        <w:tc>
          <w:tcPr>
            <w:tcW w:w="655" w:type="pct"/>
            <w:shd w:val="clear" w:color="auto" w:fill="auto"/>
            <w:tcMar>
              <w:top w:w="0" w:type="dxa"/>
              <w:left w:w="108" w:type="dxa"/>
              <w:bottom w:w="0" w:type="dxa"/>
              <w:right w:w="108" w:type="dxa"/>
            </w:tcMar>
          </w:tcPr>
          <w:p w:rsidR="009D6406" w:rsidRPr="000A0A5F" w:rsidRDefault="009D6406" w:rsidP="009D6406">
            <w:pPr>
              <w:pStyle w:val="TAL"/>
              <w:rPr>
                <w:rFonts w:hint="eastAsia"/>
                <w:lang w:eastAsia="zh-CN"/>
              </w:rPr>
            </w:pPr>
            <w:r w:rsidRPr="000A0A5F">
              <w:rPr>
                <w:rFonts w:hint="eastAsia"/>
                <w:lang w:eastAsia="zh-CN"/>
              </w:rPr>
              <w:t>0..1</w:t>
            </w:r>
          </w:p>
        </w:tc>
        <w:tc>
          <w:tcPr>
            <w:tcW w:w="1964" w:type="pct"/>
            <w:shd w:val="clear" w:color="auto" w:fill="auto"/>
            <w:tcMar>
              <w:top w:w="0" w:type="dxa"/>
              <w:left w:w="108" w:type="dxa"/>
              <w:bottom w:w="0" w:type="dxa"/>
              <w:right w:w="108" w:type="dxa"/>
            </w:tcMar>
          </w:tcPr>
          <w:p w:rsidR="009D6406" w:rsidRPr="000A0A5F" w:rsidRDefault="009D6406" w:rsidP="009D6406">
            <w:pPr>
              <w:pStyle w:val="TAL"/>
              <w:rPr>
                <w:rFonts w:eastAsia="Times New Roman" w:cs="Arial"/>
                <w:szCs w:val="18"/>
              </w:rPr>
            </w:pPr>
            <w:r w:rsidRPr="000A0A5F">
              <w:rPr>
                <w:rFonts w:eastAsia="Times New Roman" w:cs="Arial" w:hint="eastAsia"/>
                <w:szCs w:val="18"/>
              </w:rPr>
              <w:t>Represents whether the requested accuracy is fulfilled or not.</w:t>
            </w:r>
          </w:p>
          <w:p w:rsidR="009D6406" w:rsidRPr="000A0A5F" w:rsidRDefault="009D6406" w:rsidP="009D6406">
            <w:pPr>
              <w:pStyle w:val="TAL"/>
              <w:rPr>
                <w:rFonts w:eastAsia="Times New Roman" w:cs="Arial"/>
                <w:szCs w:val="18"/>
              </w:rPr>
            </w:pPr>
            <w:r w:rsidRPr="000A0A5F">
              <w:rPr>
                <w:rFonts w:eastAsia="Times New Roman" w:cs="Arial"/>
                <w:szCs w:val="18"/>
              </w:rPr>
              <w:t>(NOTE 1)</w:t>
            </w:r>
          </w:p>
        </w:tc>
        <w:tc>
          <w:tcPr>
            <w:tcW w:w="728" w:type="pct"/>
          </w:tcPr>
          <w:p w:rsidR="009D6406" w:rsidRPr="000A0A5F" w:rsidRDefault="009D6406" w:rsidP="009D6406">
            <w:pPr>
              <w:pStyle w:val="TAL"/>
              <w:rPr>
                <w:rFonts w:eastAsia="Times New Roman" w:cs="Arial"/>
                <w:szCs w:val="18"/>
              </w:rPr>
            </w:pPr>
            <w:r w:rsidRPr="000A0A5F">
              <w:rPr>
                <w:rFonts w:eastAsia="Times New Roman" w:cs="Arial" w:hint="eastAsia"/>
                <w:szCs w:val="18"/>
              </w:rPr>
              <w:t>eLCS</w:t>
            </w:r>
            <w:r w:rsidR="00BC037A" w:rsidRPr="000A0A5F">
              <w:rPr>
                <w:rFonts w:eastAsia="Times New Roman" w:cs="Arial"/>
                <w:szCs w:val="18"/>
              </w:rPr>
              <w:t xml:space="preserve">, </w:t>
            </w:r>
            <w:r w:rsidR="00BC037A" w:rsidRPr="000A0A5F">
              <w:rPr>
                <w:rFonts w:eastAsia="DengXian" w:cs="Arial"/>
                <w:szCs w:val="18"/>
                <w:lang w:eastAsia="zh-CN"/>
              </w:rPr>
              <w:t>Ranging_SL</w:t>
            </w:r>
          </w:p>
        </w:tc>
      </w:tr>
      <w:tr w:rsidR="009D6406" w:rsidRPr="000A0A5F" w:rsidTr="002B3218">
        <w:tc>
          <w:tcPr>
            <w:tcW w:w="958" w:type="pct"/>
            <w:shd w:val="clear" w:color="auto" w:fill="auto"/>
            <w:tcMar>
              <w:top w:w="0" w:type="dxa"/>
              <w:left w:w="108" w:type="dxa"/>
              <w:bottom w:w="0" w:type="dxa"/>
              <w:right w:w="108" w:type="dxa"/>
            </w:tcMar>
            <w:vAlign w:val="center"/>
          </w:tcPr>
          <w:p w:rsidR="009D6406" w:rsidRPr="000A0A5F" w:rsidRDefault="009D6406" w:rsidP="009D6406">
            <w:pPr>
              <w:pStyle w:val="TAL"/>
              <w:rPr>
                <w:rFonts w:hint="eastAsia"/>
                <w:lang w:eastAsia="zh-CN"/>
              </w:rPr>
            </w:pPr>
            <w:r w:rsidRPr="000A0A5F">
              <w:rPr>
                <w:rFonts w:hint="eastAsia"/>
                <w:lang w:eastAsia="zh-CN"/>
              </w:rPr>
              <w:t>ueVelocity</w:t>
            </w:r>
          </w:p>
        </w:tc>
        <w:tc>
          <w:tcPr>
            <w:tcW w:w="694" w:type="pct"/>
            <w:shd w:val="clear" w:color="auto" w:fill="auto"/>
            <w:tcMar>
              <w:top w:w="0" w:type="dxa"/>
              <w:left w:w="108" w:type="dxa"/>
              <w:bottom w:w="0" w:type="dxa"/>
              <w:right w:w="108" w:type="dxa"/>
            </w:tcMar>
          </w:tcPr>
          <w:p w:rsidR="009D6406" w:rsidRPr="000A0A5F" w:rsidRDefault="009D6406" w:rsidP="009D6406">
            <w:pPr>
              <w:pStyle w:val="TAL"/>
              <w:rPr>
                <w:rFonts w:hint="eastAsia"/>
                <w:lang w:eastAsia="zh-CN"/>
              </w:rPr>
            </w:pPr>
            <w:r w:rsidRPr="000A0A5F">
              <w:rPr>
                <w:rFonts w:hint="eastAsia"/>
                <w:lang w:eastAsia="zh-CN"/>
              </w:rPr>
              <w:t>VelocityEstimate</w:t>
            </w:r>
          </w:p>
        </w:tc>
        <w:tc>
          <w:tcPr>
            <w:tcW w:w="655" w:type="pct"/>
            <w:shd w:val="clear" w:color="auto" w:fill="auto"/>
            <w:tcMar>
              <w:top w:w="0" w:type="dxa"/>
              <w:left w:w="108" w:type="dxa"/>
              <w:bottom w:w="0" w:type="dxa"/>
              <w:right w:w="108" w:type="dxa"/>
            </w:tcMar>
          </w:tcPr>
          <w:p w:rsidR="009D6406" w:rsidRPr="000A0A5F" w:rsidRDefault="009D6406" w:rsidP="009D6406">
            <w:pPr>
              <w:pStyle w:val="TAL"/>
              <w:rPr>
                <w:rFonts w:hint="eastAsia"/>
                <w:lang w:eastAsia="zh-CN"/>
              </w:rPr>
            </w:pPr>
            <w:r w:rsidRPr="000A0A5F">
              <w:rPr>
                <w:rFonts w:hint="eastAsia"/>
                <w:lang w:eastAsia="zh-CN"/>
              </w:rPr>
              <w:t>0..1</w:t>
            </w:r>
          </w:p>
        </w:tc>
        <w:tc>
          <w:tcPr>
            <w:tcW w:w="1964" w:type="pct"/>
            <w:shd w:val="clear" w:color="auto" w:fill="auto"/>
            <w:tcMar>
              <w:top w:w="0" w:type="dxa"/>
              <w:left w:w="108" w:type="dxa"/>
              <w:bottom w:w="0" w:type="dxa"/>
              <w:right w:w="108" w:type="dxa"/>
            </w:tcMar>
          </w:tcPr>
          <w:p w:rsidR="009D6406" w:rsidRPr="000A0A5F" w:rsidRDefault="009D6406" w:rsidP="009D6406">
            <w:pPr>
              <w:pStyle w:val="TAL"/>
              <w:rPr>
                <w:rFonts w:eastAsia="Times New Roman" w:cs="Arial"/>
                <w:szCs w:val="18"/>
              </w:rPr>
            </w:pPr>
            <w:r w:rsidRPr="000A0A5F">
              <w:rPr>
                <w:rFonts w:eastAsia="Times New Roman" w:cs="Arial" w:hint="eastAsia"/>
                <w:szCs w:val="18"/>
              </w:rPr>
              <w:t>UE velocity, if requested and available</w:t>
            </w:r>
          </w:p>
        </w:tc>
        <w:tc>
          <w:tcPr>
            <w:tcW w:w="728" w:type="pct"/>
          </w:tcPr>
          <w:p w:rsidR="009D6406" w:rsidRPr="000A0A5F" w:rsidRDefault="009D6406" w:rsidP="009D6406">
            <w:pPr>
              <w:pStyle w:val="TAL"/>
              <w:rPr>
                <w:rFonts w:eastAsia="Times New Roman" w:cs="Arial"/>
                <w:szCs w:val="18"/>
              </w:rPr>
            </w:pPr>
            <w:r w:rsidRPr="000A0A5F">
              <w:rPr>
                <w:rFonts w:eastAsia="Times New Roman" w:cs="Arial" w:hint="eastAsia"/>
                <w:szCs w:val="18"/>
              </w:rPr>
              <w:t>eLCS</w:t>
            </w:r>
            <w:r w:rsidR="00BC037A" w:rsidRPr="000A0A5F">
              <w:rPr>
                <w:rFonts w:eastAsia="Times New Roman" w:cs="Arial"/>
                <w:szCs w:val="18"/>
              </w:rPr>
              <w:t xml:space="preserve">, </w:t>
            </w:r>
            <w:r w:rsidR="00BC037A" w:rsidRPr="000A0A5F">
              <w:rPr>
                <w:rFonts w:eastAsia="DengXian" w:cs="Arial"/>
                <w:szCs w:val="18"/>
                <w:lang w:eastAsia="zh-CN"/>
              </w:rPr>
              <w:t>Ranging_SL</w:t>
            </w:r>
          </w:p>
        </w:tc>
      </w:tr>
      <w:tr w:rsidR="009D6406" w:rsidRPr="000A0A5F" w:rsidTr="002B3218">
        <w:tc>
          <w:tcPr>
            <w:tcW w:w="958" w:type="pct"/>
            <w:shd w:val="clear" w:color="auto" w:fill="auto"/>
            <w:tcMar>
              <w:top w:w="0" w:type="dxa"/>
              <w:left w:w="108" w:type="dxa"/>
              <w:bottom w:w="0" w:type="dxa"/>
              <w:right w:w="108" w:type="dxa"/>
            </w:tcMar>
            <w:vAlign w:val="center"/>
          </w:tcPr>
          <w:p w:rsidR="009D6406" w:rsidRPr="000A0A5F" w:rsidRDefault="009D6406" w:rsidP="009D6406">
            <w:pPr>
              <w:pStyle w:val="TAL"/>
              <w:rPr>
                <w:rFonts w:hint="eastAsia"/>
                <w:lang w:eastAsia="zh-CN"/>
              </w:rPr>
            </w:pPr>
            <w:r w:rsidRPr="000A0A5F">
              <w:rPr>
                <w:rFonts w:hint="eastAsia"/>
                <w:lang w:eastAsia="zh-CN"/>
              </w:rPr>
              <w:t>ldrType</w:t>
            </w:r>
          </w:p>
        </w:tc>
        <w:tc>
          <w:tcPr>
            <w:tcW w:w="694" w:type="pct"/>
            <w:shd w:val="clear" w:color="auto" w:fill="auto"/>
            <w:tcMar>
              <w:top w:w="0" w:type="dxa"/>
              <w:left w:w="108" w:type="dxa"/>
              <w:bottom w:w="0" w:type="dxa"/>
              <w:right w:w="108" w:type="dxa"/>
            </w:tcMar>
          </w:tcPr>
          <w:p w:rsidR="009D6406" w:rsidRPr="000A0A5F" w:rsidRDefault="009D6406" w:rsidP="009D6406">
            <w:pPr>
              <w:pStyle w:val="TAL"/>
              <w:rPr>
                <w:rFonts w:hint="eastAsia"/>
                <w:lang w:eastAsia="zh-CN"/>
              </w:rPr>
            </w:pPr>
            <w:r w:rsidRPr="000A0A5F">
              <w:rPr>
                <w:rFonts w:hint="eastAsia"/>
                <w:lang w:eastAsia="zh-CN"/>
              </w:rPr>
              <w:t>LdrType</w:t>
            </w:r>
          </w:p>
        </w:tc>
        <w:tc>
          <w:tcPr>
            <w:tcW w:w="655" w:type="pct"/>
            <w:shd w:val="clear" w:color="auto" w:fill="auto"/>
            <w:tcMar>
              <w:top w:w="0" w:type="dxa"/>
              <w:left w:w="108" w:type="dxa"/>
              <w:bottom w:w="0" w:type="dxa"/>
              <w:right w:w="108" w:type="dxa"/>
            </w:tcMar>
          </w:tcPr>
          <w:p w:rsidR="009D6406" w:rsidRPr="000A0A5F" w:rsidRDefault="009D6406" w:rsidP="009D6406">
            <w:pPr>
              <w:pStyle w:val="TAL"/>
              <w:rPr>
                <w:rFonts w:hint="eastAsia"/>
                <w:lang w:eastAsia="zh-CN"/>
              </w:rPr>
            </w:pPr>
            <w:r w:rsidRPr="000A0A5F">
              <w:rPr>
                <w:lang w:eastAsia="zh-CN"/>
              </w:rPr>
              <w:t>0..1</w:t>
            </w:r>
          </w:p>
        </w:tc>
        <w:tc>
          <w:tcPr>
            <w:tcW w:w="1964" w:type="pct"/>
            <w:shd w:val="clear" w:color="auto" w:fill="auto"/>
            <w:tcMar>
              <w:top w:w="0" w:type="dxa"/>
              <w:left w:w="108" w:type="dxa"/>
              <w:bottom w:w="0" w:type="dxa"/>
              <w:right w:w="108" w:type="dxa"/>
            </w:tcMar>
          </w:tcPr>
          <w:p w:rsidR="009D6406" w:rsidRPr="000A0A5F" w:rsidRDefault="009D6406" w:rsidP="009D6406">
            <w:pPr>
              <w:pStyle w:val="TAL"/>
              <w:rPr>
                <w:rFonts w:eastAsia="Times New Roman" w:cs="Arial"/>
                <w:szCs w:val="18"/>
              </w:rPr>
            </w:pPr>
            <w:r w:rsidRPr="000A0A5F">
              <w:rPr>
                <w:rFonts w:eastAsia="Times New Roman" w:cs="Arial"/>
                <w:szCs w:val="18"/>
              </w:rPr>
              <w:t>The IE may be included to indicate the type of event that triggers event notification.</w:t>
            </w:r>
          </w:p>
        </w:tc>
        <w:tc>
          <w:tcPr>
            <w:tcW w:w="728" w:type="pct"/>
          </w:tcPr>
          <w:p w:rsidR="009D6406" w:rsidRPr="000A0A5F" w:rsidRDefault="009D6406" w:rsidP="009D6406">
            <w:pPr>
              <w:pStyle w:val="TAL"/>
              <w:rPr>
                <w:rFonts w:eastAsia="Times New Roman" w:cs="Arial"/>
                <w:szCs w:val="18"/>
              </w:rPr>
            </w:pPr>
            <w:r w:rsidRPr="000A0A5F">
              <w:rPr>
                <w:rFonts w:eastAsia="Times New Roman" w:cs="Arial" w:hint="eastAsia"/>
                <w:szCs w:val="18"/>
              </w:rPr>
              <w:t>eLCS</w:t>
            </w:r>
          </w:p>
        </w:tc>
      </w:tr>
      <w:tr w:rsidR="009D6406" w:rsidRPr="000A0A5F" w:rsidTr="002B3218">
        <w:tc>
          <w:tcPr>
            <w:tcW w:w="958" w:type="pct"/>
            <w:shd w:val="clear" w:color="auto" w:fill="auto"/>
            <w:tcMar>
              <w:top w:w="0" w:type="dxa"/>
              <w:left w:w="108" w:type="dxa"/>
              <w:bottom w:w="0" w:type="dxa"/>
              <w:right w:w="108" w:type="dxa"/>
            </w:tcMar>
          </w:tcPr>
          <w:p w:rsidR="009D6406" w:rsidRPr="000A0A5F" w:rsidRDefault="009D6406" w:rsidP="009D6406">
            <w:pPr>
              <w:pStyle w:val="TAL"/>
              <w:rPr>
                <w:rFonts w:hint="eastAsia"/>
                <w:lang w:eastAsia="zh-CN"/>
              </w:rPr>
            </w:pPr>
            <w:r w:rsidRPr="000A0A5F">
              <w:rPr>
                <w:rFonts w:hint="eastAsia"/>
              </w:rPr>
              <w:t>achieved</w:t>
            </w:r>
            <w:r w:rsidRPr="000A0A5F">
              <w:t>Qos</w:t>
            </w:r>
          </w:p>
        </w:tc>
        <w:tc>
          <w:tcPr>
            <w:tcW w:w="694" w:type="pct"/>
            <w:shd w:val="clear" w:color="auto" w:fill="auto"/>
            <w:tcMar>
              <w:top w:w="0" w:type="dxa"/>
              <w:left w:w="108" w:type="dxa"/>
              <w:bottom w:w="0" w:type="dxa"/>
              <w:right w:w="108" w:type="dxa"/>
            </w:tcMar>
          </w:tcPr>
          <w:p w:rsidR="009D6406" w:rsidRPr="000A0A5F" w:rsidRDefault="009D6406" w:rsidP="009D6406">
            <w:pPr>
              <w:pStyle w:val="TAL"/>
              <w:rPr>
                <w:rFonts w:hint="eastAsia"/>
                <w:lang w:eastAsia="zh-CN"/>
              </w:rPr>
            </w:pPr>
            <w:r w:rsidRPr="000A0A5F">
              <w:t>MinorLocationQoS</w:t>
            </w:r>
          </w:p>
        </w:tc>
        <w:tc>
          <w:tcPr>
            <w:tcW w:w="655" w:type="pct"/>
            <w:shd w:val="clear" w:color="auto" w:fill="auto"/>
            <w:tcMar>
              <w:top w:w="0" w:type="dxa"/>
              <w:left w:w="108" w:type="dxa"/>
              <w:bottom w:w="0" w:type="dxa"/>
              <w:right w:w="108" w:type="dxa"/>
            </w:tcMar>
          </w:tcPr>
          <w:p w:rsidR="009D6406" w:rsidRPr="000A0A5F" w:rsidRDefault="009D6406" w:rsidP="009D6406">
            <w:pPr>
              <w:pStyle w:val="TAL"/>
              <w:rPr>
                <w:lang w:eastAsia="zh-CN"/>
              </w:rPr>
            </w:pPr>
            <w:r w:rsidRPr="000A0A5F">
              <w:t>0..1</w:t>
            </w:r>
          </w:p>
        </w:tc>
        <w:tc>
          <w:tcPr>
            <w:tcW w:w="1964" w:type="pct"/>
            <w:shd w:val="clear" w:color="auto" w:fill="auto"/>
            <w:tcMar>
              <w:top w:w="0" w:type="dxa"/>
              <w:left w:w="108" w:type="dxa"/>
              <w:bottom w:w="0" w:type="dxa"/>
              <w:right w:w="108" w:type="dxa"/>
            </w:tcMar>
          </w:tcPr>
          <w:p w:rsidR="009D6406" w:rsidRPr="000A0A5F" w:rsidRDefault="009D6406" w:rsidP="009D6406">
            <w:pPr>
              <w:pStyle w:val="TAL"/>
            </w:pPr>
            <w:r w:rsidRPr="000A0A5F">
              <w:rPr>
                <w:rFonts w:hint="eastAsia"/>
              </w:rPr>
              <w:t>W</w:t>
            </w:r>
            <w:r w:rsidRPr="000A0A5F">
              <w:t>hen present, this IE shall contain the achieved Location QoS Accuracy of the estimated location</w:t>
            </w:r>
            <w:r w:rsidRPr="000A0A5F">
              <w:rPr>
                <w:rFonts w:hint="eastAsia"/>
              </w:rPr>
              <w:t>.</w:t>
            </w:r>
          </w:p>
          <w:p w:rsidR="009D6406" w:rsidRPr="000A0A5F" w:rsidRDefault="009D6406" w:rsidP="009D6406">
            <w:pPr>
              <w:pStyle w:val="TAL"/>
            </w:pPr>
          </w:p>
          <w:p w:rsidR="009D6406" w:rsidRPr="000A0A5F" w:rsidRDefault="009D6406" w:rsidP="009D6406">
            <w:pPr>
              <w:pStyle w:val="TAL"/>
              <w:rPr>
                <w:rFonts w:eastAsia="Times New Roman" w:cs="Arial"/>
                <w:szCs w:val="18"/>
              </w:rPr>
            </w:pPr>
            <w:r w:rsidRPr="000A0A5F">
              <w:t>This IE shall be present if received.</w:t>
            </w:r>
          </w:p>
        </w:tc>
        <w:tc>
          <w:tcPr>
            <w:tcW w:w="728" w:type="pct"/>
          </w:tcPr>
          <w:p w:rsidR="009D6406" w:rsidRPr="000A0A5F" w:rsidRDefault="009D6406" w:rsidP="009D6406">
            <w:pPr>
              <w:pStyle w:val="TAL"/>
              <w:rPr>
                <w:rFonts w:eastAsia="Times New Roman" w:cs="Arial" w:hint="eastAsia"/>
                <w:szCs w:val="18"/>
              </w:rPr>
            </w:pPr>
            <w:r w:rsidRPr="000A0A5F">
              <w:t>MULTIQOS</w:t>
            </w:r>
          </w:p>
        </w:tc>
      </w:tr>
      <w:tr w:rsidR="00BC037A" w:rsidRPr="000A0A5F" w:rsidTr="002B3218">
        <w:tc>
          <w:tcPr>
            <w:tcW w:w="958" w:type="pct"/>
            <w:shd w:val="clear" w:color="auto" w:fill="auto"/>
            <w:tcMar>
              <w:top w:w="0" w:type="dxa"/>
              <w:left w:w="108" w:type="dxa"/>
              <w:bottom w:w="0" w:type="dxa"/>
              <w:right w:w="108" w:type="dxa"/>
            </w:tcMar>
          </w:tcPr>
          <w:p w:rsidR="00BC037A" w:rsidRPr="000A0A5F" w:rsidRDefault="00BC037A" w:rsidP="00BC037A">
            <w:pPr>
              <w:pStyle w:val="TAL"/>
            </w:pPr>
            <w:r w:rsidRPr="000A0A5F">
              <w:t>relatedApplicationlayerId</w:t>
            </w:r>
          </w:p>
        </w:tc>
        <w:tc>
          <w:tcPr>
            <w:tcW w:w="694" w:type="pct"/>
            <w:shd w:val="clear" w:color="auto" w:fill="auto"/>
            <w:tcMar>
              <w:top w:w="0" w:type="dxa"/>
              <w:left w:w="108" w:type="dxa"/>
              <w:bottom w:w="0" w:type="dxa"/>
              <w:right w:w="108" w:type="dxa"/>
            </w:tcMar>
          </w:tcPr>
          <w:p w:rsidR="00BC037A" w:rsidRPr="000A0A5F" w:rsidRDefault="00BC037A" w:rsidP="00BC037A">
            <w:pPr>
              <w:pStyle w:val="TAL"/>
            </w:pPr>
            <w:r w:rsidRPr="000A0A5F">
              <w:t>ApplicationlayerId</w:t>
            </w:r>
          </w:p>
        </w:tc>
        <w:tc>
          <w:tcPr>
            <w:tcW w:w="655" w:type="pct"/>
            <w:shd w:val="clear" w:color="auto" w:fill="auto"/>
            <w:tcMar>
              <w:top w:w="0" w:type="dxa"/>
              <w:left w:w="108" w:type="dxa"/>
              <w:bottom w:w="0" w:type="dxa"/>
              <w:right w:w="108" w:type="dxa"/>
            </w:tcMar>
          </w:tcPr>
          <w:p w:rsidR="00BC037A" w:rsidRPr="000A0A5F" w:rsidRDefault="00BC037A" w:rsidP="00BC037A">
            <w:pPr>
              <w:pStyle w:val="TAL"/>
            </w:pPr>
            <w:r w:rsidRPr="000A0A5F">
              <w:t>0..1</w:t>
            </w:r>
          </w:p>
        </w:tc>
        <w:tc>
          <w:tcPr>
            <w:tcW w:w="1964" w:type="pct"/>
            <w:shd w:val="clear" w:color="auto" w:fill="auto"/>
            <w:tcMar>
              <w:top w:w="0" w:type="dxa"/>
              <w:left w:w="108" w:type="dxa"/>
              <w:bottom w:w="0" w:type="dxa"/>
              <w:right w:w="108" w:type="dxa"/>
            </w:tcMar>
          </w:tcPr>
          <w:p w:rsidR="00BC037A" w:rsidRPr="000A0A5F" w:rsidRDefault="00BC037A" w:rsidP="00BC037A">
            <w:pPr>
              <w:pStyle w:val="TAL"/>
            </w:pPr>
            <w:r w:rsidRPr="000A0A5F">
              <w:rPr>
                <w:rFonts w:cs="Arial" w:hint="eastAsia"/>
                <w:szCs w:val="18"/>
                <w:lang w:eastAsia="zh-CN"/>
              </w:rPr>
              <w:t>Identifies the</w:t>
            </w:r>
            <w:r w:rsidRPr="000A0A5F">
              <w:rPr>
                <w:rFonts w:cs="Arial"/>
                <w:szCs w:val="18"/>
                <w:lang w:eastAsia="zh-CN"/>
              </w:rPr>
              <w:t xml:space="preserve"> application layer ID </w:t>
            </w:r>
            <w:r w:rsidRPr="000A0A5F">
              <w:t>of the related UE for ranging and sidelink positioning, such as located UE, reference UE, etc.</w:t>
            </w:r>
          </w:p>
        </w:tc>
        <w:tc>
          <w:tcPr>
            <w:tcW w:w="728" w:type="pct"/>
          </w:tcPr>
          <w:p w:rsidR="00BC037A" w:rsidRPr="000A0A5F" w:rsidRDefault="00BC037A" w:rsidP="00BC037A">
            <w:pPr>
              <w:pStyle w:val="TAL"/>
            </w:pPr>
            <w:r w:rsidRPr="000A0A5F">
              <w:rPr>
                <w:rFonts w:eastAsia="DengXian" w:cs="Arial"/>
                <w:szCs w:val="18"/>
                <w:lang w:eastAsia="zh-CN"/>
              </w:rPr>
              <w:t>Ranging_SL</w:t>
            </w:r>
          </w:p>
        </w:tc>
      </w:tr>
      <w:tr w:rsidR="00BC037A" w:rsidRPr="000A0A5F" w:rsidTr="002B3218">
        <w:tc>
          <w:tcPr>
            <w:tcW w:w="958" w:type="pct"/>
            <w:shd w:val="clear" w:color="auto" w:fill="auto"/>
            <w:tcMar>
              <w:top w:w="0" w:type="dxa"/>
              <w:left w:w="108" w:type="dxa"/>
              <w:bottom w:w="0" w:type="dxa"/>
              <w:right w:w="108" w:type="dxa"/>
            </w:tcMar>
          </w:tcPr>
          <w:p w:rsidR="00BC037A" w:rsidRPr="000A0A5F" w:rsidRDefault="00BC037A" w:rsidP="00BC037A">
            <w:pPr>
              <w:pStyle w:val="TAL"/>
              <w:rPr>
                <w:lang w:eastAsia="zh-CN"/>
              </w:rPr>
            </w:pPr>
            <w:r w:rsidRPr="000A0A5F">
              <w:rPr>
                <w:rFonts w:hint="eastAsia"/>
                <w:lang w:eastAsia="zh-CN"/>
              </w:rPr>
              <w:t>r</w:t>
            </w:r>
            <w:r w:rsidRPr="000A0A5F">
              <w:rPr>
                <w:lang w:eastAsia="zh-CN"/>
              </w:rPr>
              <w:t>angeDirection</w:t>
            </w:r>
          </w:p>
        </w:tc>
        <w:tc>
          <w:tcPr>
            <w:tcW w:w="694" w:type="pct"/>
            <w:shd w:val="clear" w:color="auto" w:fill="auto"/>
            <w:tcMar>
              <w:top w:w="0" w:type="dxa"/>
              <w:left w:w="108" w:type="dxa"/>
              <w:bottom w:w="0" w:type="dxa"/>
              <w:right w:w="108" w:type="dxa"/>
            </w:tcMar>
          </w:tcPr>
          <w:p w:rsidR="00BC037A" w:rsidRPr="000A0A5F" w:rsidRDefault="00BC037A" w:rsidP="00BC037A">
            <w:pPr>
              <w:pStyle w:val="TAL"/>
            </w:pPr>
            <w:r w:rsidRPr="000A0A5F">
              <w:rPr>
                <w:lang w:eastAsia="zh-CN"/>
              </w:rPr>
              <w:t>RangeDirection</w:t>
            </w:r>
          </w:p>
        </w:tc>
        <w:tc>
          <w:tcPr>
            <w:tcW w:w="655" w:type="pct"/>
            <w:shd w:val="clear" w:color="auto" w:fill="auto"/>
            <w:tcMar>
              <w:top w:w="0" w:type="dxa"/>
              <w:left w:w="108" w:type="dxa"/>
              <w:bottom w:w="0" w:type="dxa"/>
              <w:right w:w="108" w:type="dxa"/>
            </w:tcMar>
          </w:tcPr>
          <w:p w:rsidR="00BC037A" w:rsidRPr="000A0A5F" w:rsidRDefault="00BC037A" w:rsidP="00BC037A">
            <w:pPr>
              <w:pStyle w:val="TAL"/>
            </w:pPr>
            <w:r w:rsidRPr="000A0A5F">
              <w:t>0..1</w:t>
            </w:r>
          </w:p>
        </w:tc>
        <w:tc>
          <w:tcPr>
            <w:tcW w:w="1964" w:type="pct"/>
            <w:shd w:val="clear" w:color="auto" w:fill="auto"/>
            <w:tcMar>
              <w:top w:w="0" w:type="dxa"/>
              <w:left w:w="108" w:type="dxa"/>
              <w:bottom w:w="0" w:type="dxa"/>
              <w:right w:w="108" w:type="dxa"/>
            </w:tcMar>
          </w:tcPr>
          <w:p w:rsidR="00BC037A" w:rsidRPr="000A0A5F" w:rsidRDefault="00BC037A" w:rsidP="00BC037A">
            <w:pPr>
              <w:pStyle w:val="TAL"/>
              <w:rPr>
                <w:rFonts w:cs="Arial"/>
                <w:szCs w:val="18"/>
                <w:lang w:eastAsia="zh-CN"/>
              </w:rPr>
            </w:pPr>
            <w:r w:rsidRPr="000A0A5F">
              <w:rPr>
                <w:rFonts w:eastAsia="Times New Roman" w:cs="Arial"/>
                <w:szCs w:val="18"/>
              </w:rPr>
              <w:t>Identifies a r</w:t>
            </w:r>
            <w:r w:rsidRPr="000A0A5F">
              <w:t>ange and direction from a point A to a point B, comprising a range from point A to point B, an azimuth direction from point A to point B and an elevation direction from point A to point B</w:t>
            </w:r>
            <w:r w:rsidRPr="000A0A5F">
              <w:rPr>
                <w:rFonts w:eastAsia="Times New Roman" w:cs="Arial"/>
                <w:szCs w:val="18"/>
              </w:rPr>
              <w:t>.</w:t>
            </w:r>
          </w:p>
        </w:tc>
        <w:tc>
          <w:tcPr>
            <w:tcW w:w="728" w:type="pct"/>
          </w:tcPr>
          <w:p w:rsidR="00BC037A" w:rsidRPr="000A0A5F" w:rsidRDefault="00BC037A" w:rsidP="00BC037A">
            <w:pPr>
              <w:pStyle w:val="TAL"/>
              <w:rPr>
                <w:rFonts w:eastAsia="DengXian" w:cs="Arial"/>
                <w:szCs w:val="18"/>
                <w:lang w:eastAsia="zh-CN"/>
              </w:rPr>
            </w:pPr>
            <w:r w:rsidRPr="000A0A5F">
              <w:rPr>
                <w:rFonts w:eastAsia="DengXian" w:cs="Arial"/>
                <w:szCs w:val="18"/>
                <w:lang w:eastAsia="zh-CN"/>
              </w:rPr>
              <w:t>Ranging_SL</w:t>
            </w:r>
          </w:p>
        </w:tc>
      </w:tr>
      <w:tr w:rsidR="00BC037A" w:rsidRPr="000A0A5F" w:rsidTr="002B3218">
        <w:tc>
          <w:tcPr>
            <w:tcW w:w="958" w:type="pct"/>
            <w:shd w:val="clear" w:color="auto" w:fill="auto"/>
            <w:tcMar>
              <w:top w:w="0" w:type="dxa"/>
              <w:left w:w="108" w:type="dxa"/>
              <w:bottom w:w="0" w:type="dxa"/>
              <w:right w:w="108" w:type="dxa"/>
            </w:tcMar>
          </w:tcPr>
          <w:p w:rsidR="00BC037A" w:rsidRPr="000A0A5F" w:rsidRDefault="00BC037A" w:rsidP="00BC037A">
            <w:pPr>
              <w:pStyle w:val="TAL"/>
              <w:rPr>
                <w:lang w:eastAsia="zh-CN"/>
              </w:rPr>
            </w:pPr>
            <w:r w:rsidRPr="000A0A5F">
              <w:rPr>
                <w:lang w:eastAsia="zh-CN"/>
              </w:rPr>
              <w:t>twod</w:t>
            </w:r>
            <w:r w:rsidRPr="000A0A5F">
              <w:rPr>
                <w:rFonts w:hint="eastAsia"/>
                <w:lang w:eastAsia="zh-CN"/>
              </w:rPr>
              <w:t>r</w:t>
            </w:r>
            <w:r w:rsidRPr="000A0A5F">
              <w:rPr>
                <w:lang w:eastAsia="zh-CN"/>
              </w:rPr>
              <w:t>elativeLocation</w:t>
            </w:r>
          </w:p>
        </w:tc>
        <w:tc>
          <w:tcPr>
            <w:tcW w:w="694" w:type="pct"/>
            <w:shd w:val="clear" w:color="auto" w:fill="auto"/>
            <w:tcMar>
              <w:top w:w="0" w:type="dxa"/>
              <w:left w:w="108" w:type="dxa"/>
              <w:bottom w:w="0" w:type="dxa"/>
              <w:right w:w="108" w:type="dxa"/>
            </w:tcMar>
          </w:tcPr>
          <w:p w:rsidR="00BC037A" w:rsidRPr="000A0A5F" w:rsidRDefault="00BC037A" w:rsidP="00BC037A">
            <w:pPr>
              <w:pStyle w:val="TAL"/>
            </w:pPr>
            <w:r w:rsidRPr="000A0A5F">
              <w:rPr>
                <w:lang w:eastAsia="zh-CN"/>
              </w:rPr>
              <w:t>Twod</w:t>
            </w:r>
            <w:r w:rsidRPr="000A0A5F">
              <w:rPr>
                <w:rFonts w:hint="eastAsia"/>
                <w:lang w:eastAsia="zh-CN"/>
              </w:rPr>
              <w:t>r</w:t>
            </w:r>
            <w:r w:rsidRPr="000A0A5F">
              <w:rPr>
                <w:lang w:eastAsia="zh-CN"/>
              </w:rPr>
              <w:t>elativeLocation</w:t>
            </w:r>
          </w:p>
        </w:tc>
        <w:tc>
          <w:tcPr>
            <w:tcW w:w="655" w:type="pct"/>
            <w:shd w:val="clear" w:color="auto" w:fill="auto"/>
            <w:tcMar>
              <w:top w:w="0" w:type="dxa"/>
              <w:left w:w="108" w:type="dxa"/>
              <w:bottom w:w="0" w:type="dxa"/>
              <w:right w:w="108" w:type="dxa"/>
            </w:tcMar>
          </w:tcPr>
          <w:p w:rsidR="00BC037A" w:rsidRPr="000A0A5F" w:rsidRDefault="00BC037A" w:rsidP="00BC037A">
            <w:pPr>
              <w:pStyle w:val="TAL"/>
            </w:pPr>
            <w:r w:rsidRPr="000A0A5F">
              <w:t>0..1</w:t>
            </w:r>
          </w:p>
        </w:tc>
        <w:tc>
          <w:tcPr>
            <w:tcW w:w="1964" w:type="pct"/>
            <w:shd w:val="clear" w:color="auto" w:fill="auto"/>
            <w:tcMar>
              <w:top w:w="0" w:type="dxa"/>
              <w:left w:w="108" w:type="dxa"/>
              <w:bottom w:w="0" w:type="dxa"/>
              <w:right w:w="108" w:type="dxa"/>
            </w:tcMar>
          </w:tcPr>
          <w:p w:rsidR="00BC037A" w:rsidRPr="000A0A5F" w:rsidRDefault="00BC037A" w:rsidP="00BC037A">
            <w:pPr>
              <w:pStyle w:val="TAL"/>
              <w:rPr>
                <w:rFonts w:cs="Arial"/>
                <w:szCs w:val="18"/>
                <w:lang w:eastAsia="zh-CN"/>
              </w:rPr>
            </w:pPr>
            <w:r w:rsidRPr="000A0A5F">
              <w:rPr>
                <w:rFonts w:eastAsia="Times New Roman" w:cs="Arial"/>
                <w:szCs w:val="18"/>
              </w:rPr>
              <w:t>Identifies a r</w:t>
            </w:r>
            <w:r w:rsidRPr="000A0A5F">
              <w:t>elative 2D location with uncertainty ellipse, characterised by a point described in 2D local co-ordinates with origin corresponding to another known point, distances r1 and r2 and an angle of orientation A</w:t>
            </w:r>
            <w:r w:rsidRPr="000A0A5F">
              <w:rPr>
                <w:rFonts w:eastAsia="Times New Roman" w:cs="Arial"/>
                <w:szCs w:val="18"/>
              </w:rPr>
              <w:t>.</w:t>
            </w:r>
          </w:p>
        </w:tc>
        <w:tc>
          <w:tcPr>
            <w:tcW w:w="728" w:type="pct"/>
          </w:tcPr>
          <w:p w:rsidR="00BC037A" w:rsidRPr="000A0A5F" w:rsidRDefault="00BC037A" w:rsidP="00BC037A">
            <w:pPr>
              <w:pStyle w:val="TAL"/>
              <w:rPr>
                <w:rFonts w:eastAsia="DengXian" w:cs="Arial"/>
                <w:szCs w:val="18"/>
                <w:lang w:eastAsia="zh-CN"/>
              </w:rPr>
            </w:pPr>
            <w:r w:rsidRPr="000A0A5F">
              <w:rPr>
                <w:rFonts w:eastAsia="DengXian" w:cs="Arial"/>
                <w:szCs w:val="18"/>
                <w:lang w:eastAsia="zh-CN"/>
              </w:rPr>
              <w:t>Ranging_SL</w:t>
            </w:r>
          </w:p>
        </w:tc>
      </w:tr>
      <w:tr w:rsidR="00BC037A" w:rsidRPr="000A0A5F" w:rsidTr="002B3218">
        <w:tc>
          <w:tcPr>
            <w:tcW w:w="958" w:type="pct"/>
            <w:shd w:val="clear" w:color="auto" w:fill="auto"/>
            <w:tcMar>
              <w:top w:w="0" w:type="dxa"/>
              <w:left w:w="108" w:type="dxa"/>
              <w:bottom w:w="0" w:type="dxa"/>
              <w:right w:w="108" w:type="dxa"/>
            </w:tcMar>
          </w:tcPr>
          <w:p w:rsidR="00BC037A" w:rsidRPr="000A0A5F" w:rsidRDefault="00BC037A" w:rsidP="00BC037A">
            <w:pPr>
              <w:pStyle w:val="TAL"/>
              <w:rPr>
                <w:lang w:eastAsia="zh-CN"/>
              </w:rPr>
            </w:pPr>
            <w:r w:rsidRPr="000A0A5F">
              <w:rPr>
                <w:lang w:eastAsia="zh-CN"/>
              </w:rPr>
              <w:t>threed</w:t>
            </w:r>
            <w:r w:rsidRPr="000A0A5F">
              <w:rPr>
                <w:rFonts w:hint="eastAsia"/>
                <w:lang w:eastAsia="zh-CN"/>
              </w:rPr>
              <w:t>r</w:t>
            </w:r>
            <w:r w:rsidRPr="000A0A5F">
              <w:rPr>
                <w:lang w:eastAsia="zh-CN"/>
              </w:rPr>
              <w:t>elativeLocation</w:t>
            </w:r>
          </w:p>
        </w:tc>
        <w:tc>
          <w:tcPr>
            <w:tcW w:w="694" w:type="pct"/>
            <w:shd w:val="clear" w:color="auto" w:fill="auto"/>
            <w:tcMar>
              <w:top w:w="0" w:type="dxa"/>
              <w:left w:w="108" w:type="dxa"/>
              <w:bottom w:w="0" w:type="dxa"/>
              <w:right w:w="108" w:type="dxa"/>
            </w:tcMar>
          </w:tcPr>
          <w:p w:rsidR="00BC037A" w:rsidRPr="000A0A5F" w:rsidRDefault="00BC037A" w:rsidP="00BC037A">
            <w:pPr>
              <w:pStyle w:val="TAL"/>
              <w:rPr>
                <w:lang w:eastAsia="zh-CN"/>
              </w:rPr>
            </w:pPr>
            <w:r w:rsidRPr="000A0A5F">
              <w:rPr>
                <w:lang w:eastAsia="zh-CN"/>
              </w:rPr>
              <w:t>Threed</w:t>
            </w:r>
            <w:r w:rsidRPr="000A0A5F">
              <w:rPr>
                <w:rFonts w:hint="eastAsia"/>
                <w:lang w:eastAsia="zh-CN"/>
              </w:rPr>
              <w:t>r</w:t>
            </w:r>
            <w:r w:rsidRPr="000A0A5F">
              <w:rPr>
                <w:lang w:eastAsia="zh-CN"/>
              </w:rPr>
              <w:t>elativeLocation</w:t>
            </w:r>
          </w:p>
        </w:tc>
        <w:tc>
          <w:tcPr>
            <w:tcW w:w="655" w:type="pct"/>
            <w:shd w:val="clear" w:color="auto" w:fill="auto"/>
            <w:tcMar>
              <w:top w:w="0" w:type="dxa"/>
              <w:left w:w="108" w:type="dxa"/>
              <w:bottom w:w="0" w:type="dxa"/>
              <w:right w:w="108" w:type="dxa"/>
            </w:tcMar>
          </w:tcPr>
          <w:p w:rsidR="00BC037A" w:rsidRPr="000A0A5F" w:rsidRDefault="00BC037A" w:rsidP="00BC037A">
            <w:pPr>
              <w:pStyle w:val="TAL"/>
            </w:pPr>
            <w:r w:rsidRPr="000A0A5F">
              <w:t>0..1</w:t>
            </w:r>
          </w:p>
        </w:tc>
        <w:tc>
          <w:tcPr>
            <w:tcW w:w="1964" w:type="pct"/>
            <w:shd w:val="clear" w:color="auto" w:fill="auto"/>
            <w:tcMar>
              <w:top w:w="0" w:type="dxa"/>
              <w:left w:w="108" w:type="dxa"/>
              <w:bottom w:w="0" w:type="dxa"/>
              <w:right w:w="108" w:type="dxa"/>
            </w:tcMar>
          </w:tcPr>
          <w:p w:rsidR="00BC037A" w:rsidRPr="000A0A5F" w:rsidRDefault="00BC037A" w:rsidP="00BC037A">
            <w:pPr>
              <w:pStyle w:val="TAL"/>
              <w:rPr>
                <w:rFonts w:cs="Arial"/>
                <w:szCs w:val="18"/>
                <w:lang w:eastAsia="zh-CN"/>
              </w:rPr>
            </w:pPr>
            <w:r w:rsidRPr="000A0A5F">
              <w:rPr>
                <w:rFonts w:eastAsia="Times New Roman" w:cs="Arial"/>
                <w:szCs w:val="18"/>
              </w:rPr>
              <w:t>Identifies a r</w:t>
            </w:r>
            <w:r w:rsidRPr="000A0A5F">
              <w:t>elative 3D location with uncertainty ellipsoid, characterised by a point described in 3D local co-ordinates with origin corresponding to another known point, distances r1 (the "semi-major uncertainty"), r2 (the "semi-minor uncertainty") and r3 (the "vertical uncertainty") and an angle of orientation A (the "angle of the major axis").</w:t>
            </w:r>
          </w:p>
        </w:tc>
        <w:tc>
          <w:tcPr>
            <w:tcW w:w="728" w:type="pct"/>
          </w:tcPr>
          <w:p w:rsidR="00BC037A" w:rsidRPr="000A0A5F" w:rsidRDefault="00BC037A" w:rsidP="00BC037A">
            <w:pPr>
              <w:pStyle w:val="TAL"/>
              <w:rPr>
                <w:rFonts w:eastAsia="DengXian" w:cs="Arial"/>
                <w:szCs w:val="18"/>
                <w:lang w:eastAsia="zh-CN"/>
              </w:rPr>
            </w:pPr>
            <w:r w:rsidRPr="000A0A5F">
              <w:rPr>
                <w:rFonts w:eastAsia="DengXian" w:cs="Arial"/>
                <w:szCs w:val="18"/>
                <w:lang w:eastAsia="zh-CN"/>
              </w:rPr>
              <w:t>Ranging_SL</w:t>
            </w:r>
          </w:p>
        </w:tc>
      </w:tr>
      <w:tr w:rsidR="00BC037A" w:rsidRPr="000A0A5F" w:rsidTr="002B3218">
        <w:tc>
          <w:tcPr>
            <w:tcW w:w="958" w:type="pct"/>
            <w:shd w:val="clear" w:color="auto" w:fill="auto"/>
            <w:tcMar>
              <w:top w:w="0" w:type="dxa"/>
              <w:left w:w="108" w:type="dxa"/>
              <w:bottom w:w="0" w:type="dxa"/>
              <w:right w:w="108" w:type="dxa"/>
            </w:tcMar>
          </w:tcPr>
          <w:p w:rsidR="00BC037A" w:rsidRPr="000A0A5F" w:rsidRDefault="00BC037A" w:rsidP="00BC037A">
            <w:pPr>
              <w:pStyle w:val="TAL"/>
              <w:rPr>
                <w:lang w:eastAsia="zh-CN"/>
              </w:rPr>
            </w:pPr>
            <w:r w:rsidRPr="000A0A5F">
              <w:rPr>
                <w:rFonts w:hint="eastAsia"/>
                <w:lang w:eastAsia="zh-CN"/>
              </w:rPr>
              <w:t>r</w:t>
            </w:r>
            <w:r w:rsidRPr="000A0A5F">
              <w:rPr>
                <w:lang w:eastAsia="zh-CN"/>
              </w:rPr>
              <w:t>elative</w:t>
            </w:r>
            <w:r w:rsidRPr="000A0A5F">
              <w:rPr>
                <w:rFonts w:hint="eastAsia"/>
                <w:lang w:eastAsia="zh-CN"/>
              </w:rPr>
              <w:t>Velocity</w:t>
            </w:r>
          </w:p>
        </w:tc>
        <w:tc>
          <w:tcPr>
            <w:tcW w:w="694" w:type="pct"/>
            <w:shd w:val="clear" w:color="auto" w:fill="auto"/>
            <w:tcMar>
              <w:top w:w="0" w:type="dxa"/>
              <w:left w:w="108" w:type="dxa"/>
              <w:bottom w:w="0" w:type="dxa"/>
              <w:right w:w="108" w:type="dxa"/>
            </w:tcMar>
          </w:tcPr>
          <w:p w:rsidR="00BC037A" w:rsidRPr="000A0A5F" w:rsidRDefault="00BC037A" w:rsidP="00BC037A">
            <w:pPr>
              <w:pStyle w:val="TAL"/>
            </w:pPr>
            <w:r w:rsidRPr="000A0A5F">
              <w:rPr>
                <w:rFonts w:hint="eastAsia"/>
                <w:lang w:eastAsia="zh-CN"/>
              </w:rPr>
              <w:t>VelocityEstimate</w:t>
            </w:r>
          </w:p>
        </w:tc>
        <w:tc>
          <w:tcPr>
            <w:tcW w:w="655" w:type="pct"/>
            <w:shd w:val="clear" w:color="auto" w:fill="auto"/>
            <w:tcMar>
              <w:top w:w="0" w:type="dxa"/>
              <w:left w:w="108" w:type="dxa"/>
              <w:bottom w:w="0" w:type="dxa"/>
              <w:right w:w="108" w:type="dxa"/>
            </w:tcMar>
          </w:tcPr>
          <w:p w:rsidR="00BC037A" w:rsidRPr="000A0A5F" w:rsidRDefault="00BC037A" w:rsidP="00BC037A">
            <w:pPr>
              <w:pStyle w:val="TAL"/>
            </w:pPr>
            <w:r w:rsidRPr="000A0A5F">
              <w:rPr>
                <w:rFonts w:hint="eastAsia"/>
                <w:lang w:eastAsia="zh-CN"/>
              </w:rPr>
              <w:t>0..1</w:t>
            </w:r>
          </w:p>
        </w:tc>
        <w:tc>
          <w:tcPr>
            <w:tcW w:w="1964" w:type="pct"/>
            <w:shd w:val="clear" w:color="auto" w:fill="auto"/>
            <w:tcMar>
              <w:top w:w="0" w:type="dxa"/>
              <w:left w:w="108" w:type="dxa"/>
              <w:bottom w:w="0" w:type="dxa"/>
              <w:right w:w="108" w:type="dxa"/>
            </w:tcMar>
          </w:tcPr>
          <w:p w:rsidR="00BC037A" w:rsidRPr="000A0A5F" w:rsidRDefault="00BC037A" w:rsidP="00BC037A">
            <w:pPr>
              <w:pStyle w:val="TAL"/>
              <w:rPr>
                <w:rFonts w:cs="Arial"/>
                <w:szCs w:val="18"/>
                <w:lang w:eastAsia="zh-CN"/>
              </w:rPr>
            </w:pPr>
            <w:r w:rsidRPr="000A0A5F">
              <w:rPr>
                <w:rFonts w:eastAsia="Times New Roman" w:cs="Arial" w:hint="eastAsia"/>
                <w:szCs w:val="18"/>
              </w:rPr>
              <w:t>UE velocity</w:t>
            </w:r>
            <w:r w:rsidRPr="000A0A5F">
              <w:rPr>
                <w:rFonts w:eastAsia="Times New Roman" w:cs="Arial"/>
                <w:szCs w:val="18"/>
              </w:rPr>
              <w:t xml:space="preserve"> relative to the UE identified with </w:t>
            </w:r>
            <w:r w:rsidRPr="000A0A5F">
              <w:t>relatedApplicationlayerId.</w:t>
            </w:r>
          </w:p>
        </w:tc>
        <w:tc>
          <w:tcPr>
            <w:tcW w:w="728" w:type="pct"/>
          </w:tcPr>
          <w:p w:rsidR="00BC037A" w:rsidRPr="000A0A5F" w:rsidRDefault="00BC037A" w:rsidP="00BC037A">
            <w:pPr>
              <w:pStyle w:val="TAL"/>
              <w:rPr>
                <w:rFonts w:eastAsia="DengXian" w:cs="Arial"/>
                <w:szCs w:val="18"/>
                <w:lang w:eastAsia="zh-CN"/>
              </w:rPr>
            </w:pPr>
            <w:r w:rsidRPr="000A0A5F">
              <w:rPr>
                <w:rFonts w:eastAsia="DengXian" w:cs="Arial"/>
                <w:szCs w:val="18"/>
                <w:lang w:eastAsia="zh-CN"/>
              </w:rPr>
              <w:t>Ranging_SL</w:t>
            </w:r>
          </w:p>
        </w:tc>
      </w:tr>
      <w:tr w:rsidR="002B3218" w:rsidRPr="000A0A5F" w:rsidTr="002B3218">
        <w:tc>
          <w:tcPr>
            <w:tcW w:w="958" w:type="pct"/>
            <w:shd w:val="clear" w:color="auto" w:fill="auto"/>
            <w:tcMar>
              <w:top w:w="0" w:type="dxa"/>
              <w:left w:w="108" w:type="dxa"/>
              <w:bottom w:w="0" w:type="dxa"/>
              <w:right w:w="108" w:type="dxa"/>
            </w:tcMar>
          </w:tcPr>
          <w:p w:rsidR="002B3218" w:rsidRPr="000A0A5F" w:rsidRDefault="002B3218" w:rsidP="002B3218">
            <w:pPr>
              <w:pStyle w:val="TAL"/>
              <w:rPr>
                <w:lang w:eastAsia="zh-CN"/>
              </w:rPr>
            </w:pPr>
            <w:r w:rsidRPr="000A0A5F">
              <w:rPr>
                <w:lang w:eastAsia="zh-CN"/>
              </w:rPr>
              <w:t>upCumEvtRep</w:t>
            </w:r>
          </w:p>
        </w:tc>
        <w:tc>
          <w:tcPr>
            <w:tcW w:w="694" w:type="pct"/>
            <w:shd w:val="clear" w:color="auto" w:fill="auto"/>
            <w:tcMar>
              <w:top w:w="0" w:type="dxa"/>
              <w:left w:w="108" w:type="dxa"/>
              <w:bottom w:w="0" w:type="dxa"/>
              <w:right w:w="108" w:type="dxa"/>
            </w:tcMar>
          </w:tcPr>
          <w:p w:rsidR="002B3218" w:rsidRPr="000A0A5F" w:rsidRDefault="002B3218" w:rsidP="002B3218">
            <w:pPr>
              <w:pStyle w:val="TAL"/>
              <w:rPr>
                <w:lang w:eastAsia="zh-CN"/>
              </w:rPr>
            </w:pPr>
            <w:r w:rsidRPr="000A0A5F">
              <w:rPr>
                <w:lang w:eastAsia="zh-CN"/>
              </w:rPr>
              <w:t>UpCumEvtRep</w:t>
            </w:r>
          </w:p>
        </w:tc>
        <w:tc>
          <w:tcPr>
            <w:tcW w:w="655" w:type="pct"/>
            <w:shd w:val="clear" w:color="auto" w:fill="auto"/>
            <w:tcMar>
              <w:top w:w="0" w:type="dxa"/>
              <w:left w:w="108" w:type="dxa"/>
              <w:bottom w:w="0" w:type="dxa"/>
              <w:right w:w="108" w:type="dxa"/>
            </w:tcMar>
          </w:tcPr>
          <w:p w:rsidR="002B3218" w:rsidRPr="000A0A5F" w:rsidRDefault="002B3218" w:rsidP="002B3218">
            <w:pPr>
              <w:pStyle w:val="TAL"/>
              <w:rPr>
                <w:lang w:eastAsia="zh-CN"/>
              </w:rPr>
            </w:pPr>
            <w:r w:rsidRPr="000A0A5F">
              <w:rPr>
                <w:rFonts w:hint="eastAsia"/>
                <w:lang w:eastAsia="zh-CN"/>
              </w:rPr>
              <w:t>0..1</w:t>
            </w:r>
          </w:p>
        </w:tc>
        <w:tc>
          <w:tcPr>
            <w:tcW w:w="1964" w:type="pct"/>
            <w:shd w:val="clear" w:color="auto" w:fill="auto"/>
            <w:tcMar>
              <w:top w:w="0" w:type="dxa"/>
              <w:left w:w="108" w:type="dxa"/>
              <w:bottom w:w="0" w:type="dxa"/>
              <w:right w:w="108" w:type="dxa"/>
            </w:tcMar>
          </w:tcPr>
          <w:p w:rsidR="002B3218" w:rsidRPr="000A0A5F" w:rsidRDefault="002B3218" w:rsidP="002B3218">
            <w:pPr>
              <w:pStyle w:val="TAL"/>
              <w:rPr>
                <w:rFonts w:eastAsia="Times New Roman" w:cs="Arial"/>
                <w:szCs w:val="18"/>
              </w:rPr>
            </w:pPr>
            <w:r w:rsidRPr="000A0A5F">
              <w:rPr>
                <w:rFonts w:eastAsia="Times New Roman"/>
                <w:lang w:eastAsia="zh-CN"/>
              </w:rPr>
              <w:t>Contains the cumulative event report for events reported via user plane.</w:t>
            </w:r>
          </w:p>
        </w:tc>
        <w:tc>
          <w:tcPr>
            <w:tcW w:w="728" w:type="pct"/>
          </w:tcPr>
          <w:p w:rsidR="002B3218" w:rsidRPr="000A0A5F" w:rsidRDefault="002B3218" w:rsidP="002B3218">
            <w:pPr>
              <w:pStyle w:val="TAL"/>
              <w:rPr>
                <w:rFonts w:eastAsia="DengXian" w:cs="Arial"/>
                <w:szCs w:val="18"/>
                <w:lang w:eastAsia="zh-CN"/>
              </w:rPr>
            </w:pPr>
            <w:r w:rsidRPr="000A0A5F">
              <w:rPr>
                <w:rFonts w:cs="Arial"/>
                <w:szCs w:val="18"/>
              </w:rPr>
              <w:t>eLCS_en</w:t>
            </w:r>
          </w:p>
        </w:tc>
      </w:tr>
      <w:tr w:rsidR="002B3218" w:rsidRPr="000A0A5F" w:rsidTr="005335DC">
        <w:tc>
          <w:tcPr>
            <w:tcW w:w="5000" w:type="pct"/>
            <w:gridSpan w:val="5"/>
            <w:shd w:val="clear" w:color="auto" w:fill="auto"/>
            <w:tcMar>
              <w:top w:w="0" w:type="dxa"/>
              <w:left w:w="108" w:type="dxa"/>
              <w:bottom w:w="0" w:type="dxa"/>
              <w:right w:w="108" w:type="dxa"/>
            </w:tcMar>
            <w:vAlign w:val="center"/>
          </w:tcPr>
          <w:p w:rsidR="002B3218" w:rsidRPr="000A0A5F" w:rsidRDefault="002B3218" w:rsidP="002B3218">
            <w:pPr>
              <w:pStyle w:val="TAN"/>
            </w:pPr>
            <w:r w:rsidRPr="000A0A5F">
              <w:t>NOTE 1:</w:t>
            </w:r>
            <w:r w:rsidRPr="000A0A5F">
              <w:tab/>
              <w:t>For the eLCS feature, if "reportingLocEstInd" attribute is set to false or omitted during the monitoring event request, the location estimation information shall not be included. Otherwise, if the "reportingLocEstInd" attribute is set to true, and</w:t>
            </w:r>
            <w:r w:rsidRPr="000A0A5F">
              <w:rPr>
                <w:rFonts w:hint="eastAsia"/>
              </w:rPr>
              <w:t xml:space="preserve"> </w:t>
            </w:r>
          </w:p>
          <w:p w:rsidR="002B3218" w:rsidRPr="000A0A5F" w:rsidRDefault="002B3218" w:rsidP="002B3218">
            <w:pPr>
              <w:pStyle w:val="TAN"/>
              <w:spacing w:line="259" w:lineRule="auto"/>
              <w:ind w:left="852" w:firstLine="0"/>
              <w:rPr>
                <w:lang w:eastAsia="zh-CN"/>
              </w:rPr>
            </w:pPr>
            <w:r w:rsidRPr="000A0A5F">
              <w:t>-</w:t>
            </w:r>
            <w:r w:rsidRPr="000A0A5F">
              <w:tab/>
              <w:t xml:space="preserve">if the "qosFulfilInd" attribute is set to "REQUESTED_ACCURACY_FULFILLED", the location estimate information may be included if the "lcsQosClass" attribute within the "locQoS" attribute is set to "BEST_EFFORT"; or </w:t>
            </w:r>
          </w:p>
          <w:p w:rsidR="002B3218" w:rsidRPr="000A0A5F" w:rsidRDefault="002B3218" w:rsidP="002B3218">
            <w:pPr>
              <w:pStyle w:val="TAN"/>
              <w:spacing w:line="259" w:lineRule="auto"/>
              <w:ind w:left="852" w:firstLine="0"/>
            </w:pPr>
            <w:r w:rsidRPr="000A0A5F">
              <w:t>-</w:t>
            </w:r>
            <w:r w:rsidRPr="000A0A5F">
              <w:tab/>
              <w:t xml:space="preserve">if the "qosFulfilInd" attribute is set to "REQUESTED_ACCURACY_NOT_FULFILLED", the location estimate shall not be included if the "lcsQosClass" attribute within "locQoS" attribute is set to "ASSURED". </w:t>
            </w:r>
          </w:p>
          <w:p w:rsidR="002B3218" w:rsidRPr="000A0A5F" w:rsidRDefault="002B3218" w:rsidP="002B3218">
            <w:pPr>
              <w:pStyle w:val="TAN"/>
            </w:pPr>
            <w:r w:rsidRPr="000A0A5F">
              <w:rPr>
                <w:rFonts w:hint="eastAsia"/>
              </w:rPr>
              <w:t>N</w:t>
            </w:r>
            <w:r w:rsidRPr="000A0A5F">
              <w:t>OTE 2:</w:t>
            </w:r>
            <w:r w:rsidRPr="000A0A5F">
              <w:tab/>
              <w:t>For NEF, the context of the property shall refer to the Ecgi or Ncgi data type as defined in clause 5.4.4.5 or clause 5.4.4.6 of 3GPP TS 29.571 [45].</w:t>
            </w:r>
          </w:p>
          <w:p w:rsidR="002B3218" w:rsidRPr="000A0A5F" w:rsidRDefault="002B3218" w:rsidP="002B3218">
            <w:pPr>
              <w:pStyle w:val="TAN"/>
            </w:pPr>
            <w:r w:rsidRPr="000A0A5F">
              <w:rPr>
                <w:rFonts w:hint="eastAsia"/>
              </w:rPr>
              <w:t>N</w:t>
            </w:r>
            <w:r w:rsidRPr="000A0A5F">
              <w:t>OTE 3:</w:t>
            </w:r>
            <w:r w:rsidRPr="000A0A5F">
              <w:tab/>
              <w:t>For NEF, the context of the property shall refer to the Tai data type as defined in clause 5.4.4 of 3GPP TS 29.571 [45]].</w:t>
            </w:r>
          </w:p>
          <w:p w:rsidR="002B3218" w:rsidRPr="000A0A5F" w:rsidRDefault="002B3218" w:rsidP="002B3218">
            <w:pPr>
              <w:pStyle w:val="TAN"/>
              <w:rPr>
                <w:lang w:eastAsia="zh-CN"/>
              </w:rPr>
            </w:pPr>
            <w:r w:rsidRPr="000A0A5F">
              <w:rPr>
                <w:rFonts w:hint="eastAsia"/>
              </w:rPr>
              <w:t>N</w:t>
            </w:r>
            <w:r w:rsidRPr="000A0A5F">
              <w:t>OTE 4:</w:t>
            </w:r>
            <w:r w:rsidRPr="000A0A5F">
              <w:tab/>
              <w:t>When the enNB1 feature is supported, the "userLocation" attribute may be provided instead of the "ageOfLocationInfo", "cellId", "enodeBId", "routingAreaId", "trackingAreaId", "plmnId" and "twanId" attributes, when applicable.</w:t>
            </w:r>
          </w:p>
        </w:tc>
      </w:tr>
    </w:tbl>
    <w:p w:rsidR="00CB0DD7" w:rsidRPr="000A0A5F" w:rsidRDefault="00CB0DD7"/>
    <w:p w:rsidR="009D6406" w:rsidRPr="000A0A5F" w:rsidRDefault="009D6406"/>
    <w:p w:rsidR="00CB0DD7" w:rsidRPr="000A0A5F" w:rsidRDefault="00CB0DD7">
      <w:pPr>
        <w:pStyle w:val="Heading5"/>
      </w:pPr>
      <w:bookmarkStart w:id="1926" w:name="_Toc11247319"/>
      <w:bookmarkStart w:id="1927" w:name="_Toc27044439"/>
      <w:bookmarkStart w:id="1928" w:name="_Toc36033481"/>
      <w:bookmarkStart w:id="1929" w:name="_Toc45131613"/>
      <w:bookmarkStart w:id="1930" w:name="_Toc49775898"/>
      <w:bookmarkStart w:id="1931" w:name="_Toc51746818"/>
      <w:bookmarkStart w:id="1932" w:name="_Toc66360362"/>
      <w:bookmarkStart w:id="1933" w:name="_Toc68104867"/>
      <w:bookmarkStart w:id="1934" w:name="_Toc74755497"/>
      <w:bookmarkStart w:id="1935" w:name="_Toc105674358"/>
      <w:bookmarkStart w:id="1936" w:name="_Toc130502397"/>
      <w:bookmarkStart w:id="1937" w:name="_Toc153625179"/>
      <w:r w:rsidRPr="000A0A5F">
        <w:t>5.3.2.3.6</w:t>
      </w:r>
      <w:r w:rsidRPr="000A0A5F">
        <w:tab/>
        <w:t>Type: Failure</w:t>
      </w:r>
      <w:r w:rsidRPr="000A0A5F">
        <w:rPr>
          <w:lang w:eastAsia="zh-CN"/>
        </w:rPr>
        <w:t>Cause</w:t>
      </w:r>
      <w:bookmarkEnd w:id="1926"/>
      <w:bookmarkEnd w:id="1927"/>
      <w:bookmarkEnd w:id="1928"/>
      <w:bookmarkEnd w:id="1929"/>
      <w:bookmarkEnd w:id="1930"/>
      <w:bookmarkEnd w:id="1931"/>
      <w:bookmarkEnd w:id="1932"/>
      <w:bookmarkEnd w:id="1933"/>
      <w:bookmarkEnd w:id="1934"/>
      <w:bookmarkEnd w:id="1935"/>
      <w:bookmarkEnd w:id="1936"/>
      <w:bookmarkEnd w:id="1937"/>
    </w:p>
    <w:p w:rsidR="00CB0DD7" w:rsidRPr="000A0A5F" w:rsidRDefault="00CB0DD7">
      <w:r w:rsidRPr="000A0A5F">
        <w:t>This data type represents the reason of communication failure. It shall comply with the provisions defined in table 5.3.2.3.6-1.</w:t>
      </w:r>
    </w:p>
    <w:p w:rsidR="00CB0DD7" w:rsidRPr="000A0A5F" w:rsidRDefault="00CB0DD7">
      <w:pPr>
        <w:pStyle w:val="TH"/>
      </w:pPr>
      <w:r w:rsidRPr="000A0A5F">
        <w:rPr>
          <w:noProof/>
        </w:rPr>
        <w:t>Table </w:t>
      </w:r>
      <w:r w:rsidRPr="000A0A5F">
        <w:t xml:space="preserve">5.3.2.3.6-1: </w:t>
      </w:r>
      <w:r w:rsidRPr="000A0A5F">
        <w:rPr>
          <w:noProof/>
        </w:rPr>
        <w:t xml:space="preserve">Definition of type </w:t>
      </w:r>
      <w:r w:rsidRPr="000A0A5F">
        <w:t>Failure</w:t>
      </w:r>
      <w:r w:rsidRPr="000A0A5F">
        <w:rPr>
          <w:lang w:eastAsia="zh-CN"/>
        </w:rPr>
        <w:t>Cause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948"/>
        <w:gridCol w:w="1237"/>
        <w:gridCol w:w="1134"/>
        <w:gridCol w:w="5454"/>
      </w:tblGrid>
      <w:tr w:rsidR="00CB0DD7" w:rsidRPr="000A0A5F" w:rsidTr="00F83684">
        <w:trPr>
          <w:trHeight w:val="430"/>
          <w:jc w:val="center"/>
        </w:trPr>
        <w:tc>
          <w:tcPr>
            <w:tcW w:w="1948" w:type="dxa"/>
            <w:shd w:val="clear" w:color="auto" w:fill="C0C0C0"/>
            <w:vAlign w:val="center"/>
          </w:tcPr>
          <w:p w:rsidR="00CB0DD7" w:rsidRPr="000A0A5F" w:rsidRDefault="00CB0DD7">
            <w:pPr>
              <w:pStyle w:val="TAH"/>
              <w:rPr>
                <w:rFonts w:eastAsia="Times New Roman"/>
              </w:rPr>
            </w:pPr>
            <w:r w:rsidRPr="000A0A5F">
              <w:rPr>
                <w:rFonts w:eastAsia="Times New Roman"/>
              </w:rPr>
              <w:t>Attribute name</w:t>
            </w:r>
          </w:p>
        </w:tc>
        <w:tc>
          <w:tcPr>
            <w:tcW w:w="1237" w:type="dxa"/>
            <w:shd w:val="clear" w:color="auto" w:fill="C0C0C0"/>
            <w:vAlign w:val="center"/>
          </w:tcPr>
          <w:p w:rsidR="00CB0DD7" w:rsidRPr="000A0A5F" w:rsidRDefault="00CB0DD7">
            <w:pPr>
              <w:pStyle w:val="TAH"/>
              <w:rPr>
                <w:rFonts w:eastAsia="Times New Roman"/>
              </w:rPr>
            </w:pPr>
            <w:r w:rsidRPr="000A0A5F">
              <w:rPr>
                <w:rFonts w:eastAsia="Times New Roman"/>
              </w:rPr>
              <w:t>Data type</w:t>
            </w:r>
          </w:p>
        </w:tc>
        <w:tc>
          <w:tcPr>
            <w:tcW w:w="1134" w:type="dxa"/>
            <w:shd w:val="clear" w:color="auto" w:fill="C0C0C0"/>
            <w:vAlign w:val="center"/>
          </w:tcPr>
          <w:p w:rsidR="00CB0DD7" w:rsidRPr="000A0A5F" w:rsidRDefault="00CB0DD7">
            <w:pPr>
              <w:pStyle w:val="TAH"/>
              <w:jc w:val="left"/>
              <w:rPr>
                <w:rFonts w:eastAsia="Times New Roman"/>
              </w:rPr>
            </w:pPr>
            <w:r w:rsidRPr="000A0A5F">
              <w:rPr>
                <w:rFonts w:eastAsia="Times New Roman"/>
              </w:rPr>
              <w:t>Cardinality</w:t>
            </w:r>
          </w:p>
        </w:tc>
        <w:tc>
          <w:tcPr>
            <w:tcW w:w="5454" w:type="dxa"/>
            <w:shd w:val="clear" w:color="auto" w:fill="C0C0C0"/>
            <w:vAlign w:val="center"/>
          </w:tcPr>
          <w:p w:rsidR="00CB0DD7" w:rsidRPr="000A0A5F" w:rsidRDefault="00CB0DD7">
            <w:pPr>
              <w:pStyle w:val="TAH"/>
              <w:rPr>
                <w:rFonts w:eastAsia="Times New Roman" w:cs="Arial"/>
                <w:szCs w:val="18"/>
              </w:rPr>
            </w:pPr>
            <w:r w:rsidRPr="000A0A5F">
              <w:rPr>
                <w:rFonts w:eastAsia="Times New Roman" w:cs="Arial"/>
                <w:szCs w:val="18"/>
              </w:rPr>
              <w:t>Description</w:t>
            </w:r>
          </w:p>
        </w:tc>
      </w:tr>
      <w:tr w:rsidR="00CB0DD7" w:rsidRPr="000A0A5F" w:rsidTr="00F83684">
        <w:trPr>
          <w:jc w:val="center"/>
        </w:trPr>
        <w:tc>
          <w:tcPr>
            <w:tcW w:w="1948" w:type="dxa"/>
            <w:shd w:val="clear" w:color="auto" w:fill="auto"/>
            <w:vAlign w:val="center"/>
          </w:tcPr>
          <w:p w:rsidR="00CB0DD7" w:rsidRPr="000A0A5F" w:rsidRDefault="00CB0DD7">
            <w:pPr>
              <w:pStyle w:val="TAL"/>
              <w:rPr>
                <w:rFonts w:hint="eastAsia"/>
                <w:lang w:eastAsia="zh-CN"/>
              </w:rPr>
            </w:pPr>
            <w:r w:rsidRPr="000A0A5F">
              <w:rPr>
                <w:lang w:eastAsia="zh-CN"/>
              </w:rPr>
              <w:t>bssgpCause</w:t>
            </w:r>
          </w:p>
        </w:tc>
        <w:tc>
          <w:tcPr>
            <w:tcW w:w="1237" w:type="dxa"/>
            <w:shd w:val="clear" w:color="auto" w:fill="auto"/>
            <w:vAlign w:val="center"/>
          </w:tcPr>
          <w:p w:rsidR="00CB0DD7" w:rsidRPr="000A0A5F" w:rsidRDefault="00CB0DD7">
            <w:pPr>
              <w:pStyle w:val="TAL"/>
              <w:rPr>
                <w:rFonts w:hint="eastAsia"/>
                <w:lang w:eastAsia="zh-CN"/>
              </w:rPr>
            </w:pPr>
            <w:r w:rsidRPr="000A0A5F">
              <w:rPr>
                <w:lang w:eastAsia="zh-CN"/>
              </w:rPr>
              <w:t>integer</w:t>
            </w:r>
          </w:p>
        </w:tc>
        <w:tc>
          <w:tcPr>
            <w:tcW w:w="1134" w:type="dxa"/>
            <w:shd w:val="clear" w:color="auto" w:fill="auto"/>
            <w:vAlign w:val="center"/>
          </w:tcPr>
          <w:p w:rsidR="00CB0DD7" w:rsidRPr="000A0A5F" w:rsidRDefault="00CB0DD7">
            <w:pPr>
              <w:pStyle w:val="TAL"/>
              <w:rPr>
                <w:lang w:eastAsia="zh-CN"/>
              </w:rPr>
            </w:pPr>
            <w:r w:rsidRPr="000A0A5F">
              <w:rPr>
                <w:lang w:eastAsia="zh-CN"/>
              </w:rPr>
              <w:t>0..</w:t>
            </w:r>
            <w:r w:rsidRPr="000A0A5F">
              <w:rPr>
                <w:rFonts w:hint="eastAsia"/>
                <w:lang w:eastAsia="zh-CN"/>
              </w:rPr>
              <w:t>1</w:t>
            </w:r>
          </w:p>
        </w:tc>
        <w:tc>
          <w:tcPr>
            <w:tcW w:w="5454" w:type="dxa"/>
            <w:shd w:val="clear" w:color="auto" w:fill="auto"/>
          </w:tcPr>
          <w:p w:rsidR="00CB0DD7" w:rsidRPr="000A0A5F" w:rsidRDefault="00CB0DD7" w:rsidP="00400CBC">
            <w:pPr>
              <w:pStyle w:val="TAL"/>
            </w:pPr>
            <w:r w:rsidRPr="000A0A5F">
              <w:rPr>
                <w:rFonts w:hint="eastAsia"/>
              </w:rPr>
              <w:t>I</w:t>
            </w:r>
            <w:r w:rsidRPr="000A0A5F">
              <w:t>d</w:t>
            </w:r>
            <w:r w:rsidRPr="000A0A5F">
              <w:rPr>
                <w:rFonts w:hint="eastAsia"/>
              </w:rPr>
              <w:t>entifies</w:t>
            </w:r>
            <w:r w:rsidRPr="000A0A5F">
              <w:t xml:space="preserve"> a non-transparent copy of the BSSGP cause code.</w:t>
            </w:r>
          </w:p>
          <w:p w:rsidR="00CB0DD7" w:rsidRPr="000A0A5F" w:rsidRDefault="00CB0DD7" w:rsidP="00400CBC">
            <w:pPr>
              <w:pStyle w:val="TAL"/>
            </w:pPr>
            <w:r w:rsidRPr="000A0A5F">
              <w:t>Refer to 3GPP TS 29.128 [12].</w:t>
            </w:r>
          </w:p>
        </w:tc>
      </w:tr>
      <w:tr w:rsidR="00CB0DD7" w:rsidRPr="000A0A5F" w:rsidTr="00F83684">
        <w:trPr>
          <w:jc w:val="center"/>
        </w:trPr>
        <w:tc>
          <w:tcPr>
            <w:tcW w:w="1948" w:type="dxa"/>
            <w:shd w:val="clear" w:color="auto" w:fill="auto"/>
            <w:vAlign w:val="center"/>
          </w:tcPr>
          <w:p w:rsidR="00CB0DD7" w:rsidRPr="000A0A5F" w:rsidRDefault="00CB0DD7">
            <w:pPr>
              <w:pStyle w:val="TAL"/>
              <w:rPr>
                <w:rFonts w:hint="eastAsia"/>
                <w:lang w:eastAsia="zh-CN"/>
              </w:rPr>
            </w:pPr>
            <w:r w:rsidRPr="000A0A5F">
              <w:rPr>
                <w:rFonts w:hint="eastAsia"/>
                <w:lang w:eastAsia="zh-CN"/>
              </w:rPr>
              <w:t>causeType</w:t>
            </w:r>
          </w:p>
        </w:tc>
        <w:tc>
          <w:tcPr>
            <w:tcW w:w="1237" w:type="dxa"/>
            <w:shd w:val="clear" w:color="auto" w:fill="auto"/>
            <w:vAlign w:val="center"/>
          </w:tcPr>
          <w:p w:rsidR="00CB0DD7" w:rsidRPr="000A0A5F" w:rsidRDefault="00CB0DD7">
            <w:pPr>
              <w:pStyle w:val="TAL"/>
              <w:rPr>
                <w:rFonts w:hint="eastAsia"/>
                <w:lang w:eastAsia="zh-CN"/>
              </w:rPr>
            </w:pPr>
            <w:r w:rsidRPr="000A0A5F">
              <w:rPr>
                <w:rFonts w:hint="eastAsia"/>
                <w:lang w:eastAsia="zh-CN"/>
              </w:rPr>
              <w:t>integer</w:t>
            </w:r>
          </w:p>
        </w:tc>
        <w:tc>
          <w:tcPr>
            <w:tcW w:w="1134" w:type="dxa"/>
            <w:shd w:val="clear" w:color="auto" w:fill="auto"/>
            <w:vAlign w:val="center"/>
          </w:tcPr>
          <w:p w:rsidR="00CB0DD7" w:rsidRPr="000A0A5F" w:rsidRDefault="00CB0DD7">
            <w:pPr>
              <w:pStyle w:val="TAL"/>
              <w:rPr>
                <w:lang w:eastAsia="zh-CN"/>
              </w:rPr>
            </w:pPr>
            <w:r w:rsidRPr="000A0A5F">
              <w:rPr>
                <w:lang w:eastAsia="zh-CN"/>
              </w:rPr>
              <w:t>0..1</w:t>
            </w:r>
          </w:p>
        </w:tc>
        <w:tc>
          <w:tcPr>
            <w:tcW w:w="5454" w:type="dxa"/>
            <w:shd w:val="clear" w:color="auto" w:fill="auto"/>
          </w:tcPr>
          <w:p w:rsidR="00CB0DD7" w:rsidRPr="000A0A5F" w:rsidRDefault="00CB0DD7" w:rsidP="00400CBC">
            <w:pPr>
              <w:pStyle w:val="TAL"/>
            </w:pPr>
            <w:r w:rsidRPr="000A0A5F">
              <w:t>Identify the type of the S1AP-Cause.</w:t>
            </w:r>
          </w:p>
          <w:p w:rsidR="00CB0DD7" w:rsidRPr="000A0A5F" w:rsidRDefault="00CB0DD7" w:rsidP="00400CBC">
            <w:pPr>
              <w:pStyle w:val="TAL"/>
            </w:pPr>
            <w:r w:rsidRPr="000A0A5F">
              <w:t>Refer to 3GPP TS 29.128 [12].</w:t>
            </w:r>
          </w:p>
        </w:tc>
      </w:tr>
      <w:tr w:rsidR="00CB0DD7" w:rsidRPr="000A0A5F" w:rsidTr="00F83684">
        <w:trPr>
          <w:jc w:val="center"/>
        </w:trPr>
        <w:tc>
          <w:tcPr>
            <w:tcW w:w="1948" w:type="dxa"/>
            <w:shd w:val="clear" w:color="auto" w:fill="auto"/>
            <w:vAlign w:val="center"/>
          </w:tcPr>
          <w:p w:rsidR="00CB0DD7" w:rsidRPr="000A0A5F" w:rsidRDefault="00CB0DD7">
            <w:pPr>
              <w:pStyle w:val="TAL"/>
              <w:rPr>
                <w:rFonts w:hint="eastAsia"/>
                <w:lang w:eastAsia="zh-CN"/>
              </w:rPr>
            </w:pPr>
            <w:r w:rsidRPr="000A0A5F">
              <w:rPr>
                <w:lang w:eastAsia="zh-CN"/>
              </w:rPr>
              <w:t>gmmCause</w:t>
            </w:r>
          </w:p>
        </w:tc>
        <w:tc>
          <w:tcPr>
            <w:tcW w:w="1237" w:type="dxa"/>
            <w:shd w:val="clear" w:color="auto" w:fill="auto"/>
            <w:vAlign w:val="center"/>
          </w:tcPr>
          <w:p w:rsidR="00CB0DD7" w:rsidRPr="000A0A5F" w:rsidRDefault="00CB0DD7">
            <w:pPr>
              <w:pStyle w:val="TAL"/>
              <w:rPr>
                <w:rFonts w:hint="eastAsia"/>
                <w:lang w:eastAsia="zh-CN"/>
              </w:rPr>
            </w:pPr>
            <w:r w:rsidRPr="000A0A5F">
              <w:rPr>
                <w:lang w:eastAsia="zh-CN"/>
              </w:rPr>
              <w:t>integer</w:t>
            </w:r>
          </w:p>
        </w:tc>
        <w:tc>
          <w:tcPr>
            <w:tcW w:w="1134" w:type="dxa"/>
            <w:shd w:val="clear" w:color="auto" w:fill="auto"/>
            <w:vAlign w:val="center"/>
          </w:tcPr>
          <w:p w:rsidR="00CB0DD7" w:rsidRPr="000A0A5F" w:rsidRDefault="00CB0DD7">
            <w:pPr>
              <w:pStyle w:val="TAL"/>
              <w:rPr>
                <w:lang w:eastAsia="zh-CN"/>
              </w:rPr>
            </w:pPr>
            <w:r w:rsidRPr="000A0A5F">
              <w:rPr>
                <w:lang w:eastAsia="zh-CN"/>
              </w:rPr>
              <w:t>0..</w:t>
            </w:r>
            <w:r w:rsidRPr="000A0A5F">
              <w:rPr>
                <w:rFonts w:hint="eastAsia"/>
                <w:lang w:eastAsia="zh-CN"/>
              </w:rPr>
              <w:t>1</w:t>
            </w:r>
          </w:p>
        </w:tc>
        <w:tc>
          <w:tcPr>
            <w:tcW w:w="5454" w:type="dxa"/>
            <w:shd w:val="clear" w:color="auto" w:fill="auto"/>
          </w:tcPr>
          <w:p w:rsidR="00CB0DD7" w:rsidRPr="000A0A5F" w:rsidRDefault="00CB0DD7" w:rsidP="00400CBC">
            <w:pPr>
              <w:pStyle w:val="TAL"/>
            </w:pPr>
            <w:r w:rsidRPr="000A0A5F">
              <w:rPr>
                <w:rFonts w:hint="eastAsia"/>
              </w:rPr>
              <w:t>I</w:t>
            </w:r>
            <w:r w:rsidRPr="000A0A5F">
              <w:t>d</w:t>
            </w:r>
            <w:r w:rsidRPr="000A0A5F">
              <w:rPr>
                <w:rFonts w:hint="eastAsia"/>
              </w:rPr>
              <w:t>entifies</w:t>
            </w:r>
            <w:r w:rsidRPr="000A0A5F">
              <w:t xml:space="preserve"> a non-transparent copy of the GMM cause code.</w:t>
            </w:r>
          </w:p>
          <w:p w:rsidR="00CB0DD7" w:rsidRPr="000A0A5F" w:rsidRDefault="00CB0DD7" w:rsidP="00400CBC">
            <w:pPr>
              <w:pStyle w:val="TAL"/>
            </w:pPr>
            <w:r w:rsidRPr="000A0A5F">
              <w:t>Refer to 3GPP TS 29.128 [12].</w:t>
            </w:r>
          </w:p>
        </w:tc>
      </w:tr>
      <w:tr w:rsidR="00CB0DD7" w:rsidRPr="000A0A5F" w:rsidTr="00F83684">
        <w:trPr>
          <w:jc w:val="center"/>
        </w:trPr>
        <w:tc>
          <w:tcPr>
            <w:tcW w:w="1948" w:type="dxa"/>
            <w:shd w:val="clear" w:color="auto" w:fill="auto"/>
            <w:vAlign w:val="center"/>
          </w:tcPr>
          <w:p w:rsidR="00CB0DD7" w:rsidRPr="000A0A5F" w:rsidRDefault="00CB0DD7">
            <w:pPr>
              <w:pStyle w:val="TAL"/>
              <w:rPr>
                <w:lang w:eastAsia="zh-CN"/>
              </w:rPr>
            </w:pPr>
            <w:r w:rsidRPr="000A0A5F">
              <w:rPr>
                <w:lang w:eastAsia="zh-CN"/>
              </w:rPr>
              <w:t>ranapCause</w:t>
            </w:r>
          </w:p>
        </w:tc>
        <w:tc>
          <w:tcPr>
            <w:tcW w:w="1237" w:type="dxa"/>
            <w:shd w:val="clear" w:color="auto" w:fill="auto"/>
            <w:vAlign w:val="center"/>
          </w:tcPr>
          <w:p w:rsidR="00CB0DD7" w:rsidRPr="000A0A5F" w:rsidRDefault="00CB0DD7">
            <w:pPr>
              <w:pStyle w:val="TAL"/>
              <w:rPr>
                <w:lang w:eastAsia="zh-CN"/>
              </w:rPr>
            </w:pPr>
            <w:r w:rsidRPr="000A0A5F">
              <w:rPr>
                <w:lang w:eastAsia="zh-CN"/>
              </w:rPr>
              <w:t>integer</w:t>
            </w:r>
          </w:p>
        </w:tc>
        <w:tc>
          <w:tcPr>
            <w:tcW w:w="1134" w:type="dxa"/>
            <w:shd w:val="clear" w:color="auto" w:fill="auto"/>
            <w:vAlign w:val="center"/>
          </w:tcPr>
          <w:p w:rsidR="00CB0DD7" w:rsidRPr="000A0A5F" w:rsidRDefault="00CB0DD7">
            <w:pPr>
              <w:pStyle w:val="TAL"/>
              <w:rPr>
                <w:lang w:eastAsia="zh-CN"/>
              </w:rPr>
            </w:pPr>
            <w:r w:rsidRPr="000A0A5F">
              <w:rPr>
                <w:lang w:eastAsia="zh-CN"/>
              </w:rPr>
              <w:t>0..</w:t>
            </w:r>
            <w:r w:rsidRPr="000A0A5F">
              <w:rPr>
                <w:rFonts w:hint="eastAsia"/>
                <w:lang w:eastAsia="zh-CN"/>
              </w:rPr>
              <w:t>1</w:t>
            </w:r>
          </w:p>
        </w:tc>
        <w:tc>
          <w:tcPr>
            <w:tcW w:w="5454" w:type="dxa"/>
            <w:shd w:val="clear" w:color="auto" w:fill="auto"/>
          </w:tcPr>
          <w:p w:rsidR="00CB0DD7" w:rsidRPr="000A0A5F" w:rsidRDefault="00CB0DD7" w:rsidP="00400CBC">
            <w:pPr>
              <w:pStyle w:val="TAL"/>
            </w:pPr>
            <w:r w:rsidRPr="000A0A5F">
              <w:rPr>
                <w:rFonts w:hint="eastAsia"/>
              </w:rPr>
              <w:t>I</w:t>
            </w:r>
            <w:r w:rsidRPr="000A0A5F">
              <w:t>d</w:t>
            </w:r>
            <w:r w:rsidRPr="000A0A5F">
              <w:rPr>
                <w:rFonts w:hint="eastAsia"/>
              </w:rPr>
              <w:t>entifies</w:t>
            </w:r>
            <w:r w:rsidRPr="000A0A5F">
              <w:t xml:space="preserve"> a non-transparent copy of the RANAP cause code.</w:t>
            </w:r>
          </w:p>
          <w:p w:rsidR="00CB0DD7" w:rsidRPr="000A0A5F" w:rsidRDefault="00CB0DD7" w:rsidP="00400CBC">
            <w:pPr>
              <w:pStyle w:val="TAL"/>
              <w:rPr>
                <w:rFonts w:hint="eastAsia"/>
              </w:rPr>
            </w:pPr>
            <w:r w:rsidRPr="000A0A5F">
              <w:t>Refer to 3GPP TS 29.128 [12].</w:t>
            </w:r>
          </w:p>
        </w:tc>
      </w:tr>
      <w:tr w:rsidR="00CB0DD7" w:rsidRPr="000A0A5F" w:rsidTr="00F83684">
        <w:trPr>
          <w:jc w:val="center"/>
        </w:trPr>
        <w:tc>
          <w:tcPr>
            <w:tcW w:w="1948" w:type="dxa"/>
            <w:shd w:val="clear" w:color="auto" w:fill="auto"/>
            <w:vAlign w:val="center"/>
          </w:tcPr>
          <w:p w:rsidR="00CB0DD7" w:rsidRPr="000A0A5F" w:rsidRDefault="00CB0DD7">
            <w:pPr>
              <w:pStyle w:val="TAL"/>
              <w:rPr>
                <w:rFonts w:hint="eastAsia"/>
                <w:lang w:eastAsia="zh-CN"/>
              </w:rPr>
            </w:pPr>
            <w:r w:rsidRPr="000A0A5F">
              <w:rPr>
                <w:rFonts w:hint="eastAsia"/>
                <w:lang w:eastAsia="zh-CN"/>
              </w:rPr>
              <w:t>ranNasCause</w:t>
            </w:r>
          </w:p>
        </w:tc>
        <w:tc>
          <w:tcPr>
            <w:tcW w:w="1237" w:type="dxa"/>
            <w:shd w:val="clear" w:color="auto" w:fill="auto"/>
            <w:vAlign w:val="center"/>
          </w:tcPr>
          <w:p w:rsidR="00CB0DD7" w:rsidRPr="000A0A5F" w:rsidRDefault="00CB0DD7">
            <w:pPr>
              <w:pStyle w:val="TAL"/>
              <w:rPr>
                <w:rFonts w:hint="eastAsia"/>
                <w:lang w:eastAsia="zh-CN"/>
              </w:rPr>
            </w:pPr>
            <w:r w:rsidRPr="000A0A5F">
              <w:rPr>
                <w:rFonts w:hint="eastAsia"/>
                <w:lang w:eastAsia="zh-CN"/>
              </w:rPr>
              <w:t>str</w:t>
            </w:r>
            <w:r w:rsidRPr="000A0A5F">
              <w:rPr>
                <w:lang w:eastAsia="zh-CN"/>
              </w:rPr>
              <w:t>ing</w:t>
            </w:r>
          </w:p>
        </w:tc>
        <w:tc>
          <w:tcPr>
            <w:tcW w:w="1134" w:type="dxa"/>
            <w:shd w:val="clear" w:color="auto" w:fill="auto"/>
            <w:vAlign w:val="center"/>
          </w:tcPr>
          <w:p w:rsidR="00CB0DD7" w:rsidRPr="000A0A5F" w:rsidRDefault="00CB0DD7">
            <w:pPr>
              <w:pStyle w:val="TAL"/>
              <w:rPr>
                <w:rFonts w:hint="eastAsia"/>
                <w:lang w:eastAsia="zh-CN"/>
              </w:rPr>
            </w:pPr>
            <w:r w:rsidRPr="000A0A5F">
              <w:rPr>
                <w:rFonts w:hint="eastAsia"/>
                <w:lang w:eastAsia="zh-CN"/>
              </w:rPr>
              <w:t>0..1</w:t>
            </w:r>
          </w:p>
        </w:tc>
        <w:tc>
          <w:tcPr>
            <w:tcW w:w="5454" w:type="dxa"/>
            <w:shd w:val="clear" w:color="auto" w:fill="auto"/>
          </w:tcPr>
          <w:p w:rsidR="00CB0DD7" w:rsidRPr="000A0A5F" w:rsidRDefault="00CB0DD7" w:rsidP="00400CBC">
            <w:pPr>
              <w:pStyle w:val="TAL"/>
            </w:pPr>
            <w:r w:rsidRPr="000A0A5F">
              <w:t>Indicates RAN and/or NAS release cause code information, TWAN release cause code information or untrusted WLAN release cause code information.</w:t>
            </w:r>
          </w:p>
          <w:p w:rsidR="00CB0DD7" w:rsidRPr="000A0A5F" w:rsidRDefault="00CB0DD7" w:rsidP="00400CBC">
            <w:pPr>
              <w:pStyle w:val="TAL"/>
            </w:pPr>
            <w:r w:rsidRPr="000A0A5F">
              <w:t>Refer to 3GPP TS 29.214 [10].</w:t>
            </w:r>
          </w:p>
          <w:p w:rsidR="00CB0DD7" w:rsidRPr="000A0A5F" w:rsidRDefault="00CB0DD7" w:rsidP="00400CBC">
            <w:pPr>
              <w:pStyle w:val="TAL"/>
              <w:rPr>
                <w:rFonts w:hint="eastAsia"/>
              </w:rPr>
            </w:pPr>
            <w:r w:rsidRPr="000A0A5F">
              <w:t>(NOTE)</w:t>
            </w:r>
          </w:p>
        </w:tc>
      </w:tr>
      <w:tr w:rsidR="00CB0DD7" w:rsidRPr="000A0A5F" w:rsidTr="00F83684">
        <w:trPr>
          <w:jc w:val="center"/>
        </w:trPr>
        <w:tc>
          <w:tcPr>
            <w:tcW w:w="1948" w:type="dxa"/>
            <w:shd w:val="clear" w:color="auto" w:fill="auto"/>
            <w:vAlign w:val="center"/>
          </w:tcPr>
          <w:p w:rsidR="00CB0DD7" w:rsidRPr="000A0A5F" w:rsidRDefault="00CB0DD7">
            <w:pPr>
              <w:pStyle w:val="TAL"/>
              <w:rPr>
                <w:lang w:eastAsia="zh-CN"/>
              </w:rPr>
            </w:pPr>
            <w:r w:rsidRPr="000A0A5F">
              <w:rPr>
                <w:lang w:eastAsia="zh-CN"/>
              </w:rPr>
              <w:t>s1ApCause</w:t>
            </w:r>
          </w:p>
        </w:tc>
        <w:tc>
          <w:tcPr>
            <w:tcW w:w="1237" w:type="dxa"/>
            <w:shd w:val="clear" w:color="auto" w:fill="auto"/>
            <w:vAlign w:val="center"/>
          </w:tcPr>
          <w:p w:rsidR="00CB0DD7" w:rsidRPr="000A0A5F" w:rsidRDefault="00CB0DD7">
            <w:pPr>
              <w:pStyle w:val="TAL"/>
              <w:rPr>
                <w:lang w:eastAsia="zh-CN"/>
              </w:rPr>
            </w:pPr>
            <w:r w:rsidRPr="000A0A5F">
              <w:rPr>
                <w:lang w:eastAsia="zh-CN"/>
              </w:rPr>
              <w:t>integer</w:t>
            </w:r>
          </w:p>
        </w:tc>
        <w:tc>
          <w:tcPr>
            <w:tcW w:w="1134" w:type="dxa"/>
            <w:shd w:val="clear" w:color="auto" w:fill="auto"/>
            <w:vAlign w:val="center"/>
          </w:tcPr>
          <w:p w:rsidR="00CB0DD7" w:rsidRPr="000A0A5F" w:rsidRDefault="00CB0DD7">
            <w:pPr>
              <w:pStyle w:val="TAL"/>
              <w:rPr>
                <w:lang w:eastAsia="zh-CN"/>
              </w:rPr>
            </w:pPr>
            <w:r w:rsidRPr="000A0A5F">
              <w:rPr>
                <w:lang w:eastAsia="zh-CN"/>
              </w:rPr>
              <w:t>0..</w:t>
            </w:r>
            <w:r w:rsidRPr="000A0A5F">
              <w:rPr>
                <w:rFonts w:hint="eastAsia"/>
                <w:lang w:eastAsia="zh-CN"/>
              </w:rPr>
              <w:t>1</w:t>
            </w:r>
          </w:p>
        </w:tc>
        <w:tc>
          <w:tcPr>
            <w:tcW w:w="5454" w:type="dxa"/>
            <w:shd w:val="clear" w:color="auto" w:fill="auto"/>
          </w:tcPr>
          <w:p w:rsidR="00CB0DD7" w:rsidRPr="000A0A5F" w:rsidRDefault="00CB0DD7" w:rsidP="00400CBC">
            <w:pPr>
              <w:pStyle w:val="TAL"/>
            </w:pPr>
            <w:r w:rsidRPr="000A0A5F">
              <w:rPr>
                <w:rFonts w:hint="eastAsia"/>
              </w:rPr>
              <w:t>I</w:t>
            </w:r>
            <w:r w:rsidRPr="000A0A5F">
              <w:t>d</w:t>
            </w:r>
            <w:r w:rsidRPr="000A0A5F">
              <w:rPr>
                <w:rFonts w:hint="eastAsia"/>
              </w:rPr>
              <w:t>entifies</w:t>
            </w:r>
            <w:r w:rsidRPr="000A0A5F">
              <w:t xml:space="preserve"> a non-transparent copy of the S1AP cause code.</w:t>
            </w:r>
          </w:p>
          <w:p w:rsidR="00CB0DD7" w:rsidRPr="000A0A5F" w:rsidRDefault="00CB0DD7" w:rsidP="00400CBC">
            <w:pPr>
              <w:pStyle w:val="TAL"/>
              <w:rPr>
                <w:rFonts w:hint="eastAsia"/>
              </w:rPr>
            </w:pPr>
            <w:r w:rsidRPr="000A0A5F">
              <w:t>Refer to 3GPP TS 29.128 [12].</w:t>
            </w:r>
          </w:p>
        </w:tc>
      </w:tr>
      <w:tr w:rsidR="00CB0DD7" w:rsidRPr="000A0A5F" w:rsidTr="00F83684">
        <w:trPr>
          <w:jc w:val="center"/>
        </w:trPr>
        <w:tc>
          <w:tcPr>
            <w:tcW w:w="1948" w:type="dxa"/>
            <w:shd w:val="clear" w:color="auto" w:fill="auto"/>
            <w:vAlign w:val="center"/>
          </w:tcPr>
          <w:p w:rsidR="00CB0DD7" w:rsidRPr="000A0A5F" w:rsidRDefault="00CB0DD7">
            <w:pPr>
              <w:pStyle w:val="TAL"/>
              <w:rPr>
                <w:lang w:eastAsia="zh-CN"/>
              </w:rPr>
            </w:pPr>
            <w:r w:rsidRPr="000A0A5F">
              <w:rPr>
                <w:lang w:eastAsia="zh-CN"/>
              </w:rPr>
              <w:t>smCause</w:t>
            </w:r>
          </w:p>
        </w:tc>
        <w:tc>
          <w:tcPr>
            <w:tcW w:w="1237" w:type="dxa"/>
            <w:shd w:val="clear" w:color="auto" w:fill="auto"/>
            <w:vAlign w:val="center"/>
          </w:tcPr>
          <w:p w:rsidR="00CB0DD7" w:rsidRPr="000A0A5F" w:rsidRDefault="00CB0DD7">
            <w:pPr>
              <w:pStyle w:val="TAL"/>
              <w:rPr>
                <w:lang w:eastAsia="zh-CN"/>
              </w:rPr>
            </w:pPr>
            <w:r w:rsidRPr="000A0A5F">
              <w:rPr>
                <w:lang w:eastAsia="zh-CN"/>
              </w:rPr>
              <w:t>integer</w:t>
            </w:r>
          </w:p>
        </w:tc>
        <w:tc>
          <w:tcPr>
            <w:tcW w:w="1134" w:type="dxa"/>
            <w:shd w:val="clear" w:color="auto" w:fill="auto"/>
            <w:vAlign w:val="center"/>
          </w:tcPr>
          <w:p w:rsidR="00CB0DD7" w:rsidRPr="000A0A5F" w:rsidRDefault="00CB0DD7">
            <w:pPr>
              <w:pStyle w:val="TAL"/>
              <w:rPr>
                <w:lang w:eastAsia="zh-CN"/>
              </w:rPr>
            </w:pPr>
            <w:r w:rsidRPr="000A0A5F">
              <w:rPr>
                <w:lang w:eastAsia="zh-CN"/>
              </w:rPr>
              <w:t>0..</w:t>
            </w:r>
            <w:r w:rsidRPr="000A0A5F">
              <w:rPr>
                <w:rFonts w:hint="eastAsia"/>
                <w:lang w:eastAsia="zh-CN"/>
              </w:rPr>
              <w:t>1</w:t>
            </w:r>
          </w:p>
        </w:tc>
        <w:tc>
          <w:tcPr>
            <w:tcW w:w="5454" w:type="dxa"/>
            <w:shd w:val="clear" w:color="auto" w:fill="auto"/>
          </w:tcPr>
          <w:p w:rsidR="00CB0DD7" w:rsidRPr="000A0A5F" w:rsidRDefault="00CB0DD7" w:rsidP="00400CBC">
            <w:pPr>
              <w:pStyle w:val="TAL"/>
            </w:pPr>
            <w:r w:rsidRPr="000A0A5F">
              <w:rPr>
                <w:rFonts w:hint="eastAsia"/>
              </w:rPr>
              <w:t>I</w:t>
            </w:r>
            <w:r w:rsidRPr="000A0A5F">
              <w:t>d</w:t>
            </w:r>
            <w:r w:rsidRPr="000A0A5F">
              <w:rPr>
                <w:rFonts w:hint="eastAsia"/>
              </w:rPr>
              <w:t>entifies</w:t>
            </w:r>
            <w:r w:rsidRPr="000A0A5F">
              <w:t xml:space="preserve"> a non-transparent copy of the SM cause code.</w:t>
            </w:r>
          </w:p>
          <w:p w:rsidR="00CB0DD7" w:rsidRPr="000A0A5F" w:rsidRDefault="00CB0DD7" w:rsidP="00400CBC">
            <w:pPr>
              <w:pStyle w:val="TAL"/>
              <w:rPr>
                <w:rFonts w:hint="eastAsia"/>
              </w:rPr>
            </w:pPr>
            <w:r w:rsidRPr="000A0A5F">
              <w:t>Refer to 3GPP TS 29.128 [12].</w:t>
            </w:r>
          </w:p>
        </w:tc>
      </w:tr>
      <w:tr w:rsidR="00CB0DD7" w:rsidRPr="000A0A5F" w:rsidTr="00F83684">
        <w:trPr>
          <w:jc w:val="center"/>
        </w:trPr>
        <w:tc>
          <w:tcPr>
            <w:tcW w:w="9773" w:type="dxa"/>
            <w:gridSpan w:val="4"/>
            <w:shd w:val="clear" w:color="auto" w:fill="auto"/>
            <w:vAlign w:val="center"/>
          </w:tcPr>
          <w:p w:rsidR="00CB0DD7" w:rsidRPr="000A0A5F" w:rsidRDefault="00CB0DD7">
            <w:pPr>
              <w:pStyle w:val="TAN"/>
              <w:rPr>
                <w:rFonts w:cs="Arial" w:hint="eastAsia"/>
                <w:szCs w:val="18"/>
                <w:lang w:eastAsia="zh-CN"/>
              </w:rPr>
            </w:pPr>
            <w:r w:rsidRPr="000A0A5F">
              <w:t>NOTE:</w:t>
            </w:r>
            <w:r w:rsidRPr="000A0A5F">
              <w:tab/>
              <w:t>If this property is provided in the "FailureCause" type, then other properties shall not be provided.</w:t>
            </w:r>
          </w:p>
        </w:tc>
      </w:tr>
    </w:tbl>
    <w:p w:rsidR="00CB0DD7" w:rsidRPr="000A0A5F" w:rsidRDefault="00CB0DD7">
      <w:pPr>
        <w:rPr>
          <w:lang w:eastAsia="zh-CN"/>
        </w:rPr>
      </w:pPr>
    </w:p>
    <w:p w:rsidR="00CB0DD7" w:rsidRPr="000A0A5F" w:rsidRDefault="00CB0DD7">
      <w:pPr>
        <w:pStyle w:val="Heading5"/>
      </w:pPr>
      <w:bookmarkStart w:id="1938" w:name="_Toc11247320"/>
      <w:bookmarkStart w:id="1939" w:name="_Toc27044440"/>
      <w:bookmarkStart w:id="1940" w:name="_Toc36033482"/>
      <w:bookmarkStart w:id="1941" w:name="_Toc45131614"/>
      <w:bookmarkStart w:id="1942" w:name="_Toc49775899"/>
      <w:bookmarkStart w:id="1943" w:name="_Toc51746819"/>
      <w:bookmarkStart w:id="1944" w:name="_Toc66360363"/>
      <w:bookmarkStart w:id="1945" w:name="_Toc68104868"/>
      <w:bookmarkStart w:id="1946" w:name="_Toc74755498"/>
      <w:bookmarkStart w:id="1947" w:name="_Toc105674359"/>
      <w:bookmarkStart w:id="1948" w:name="_Toc130502398"/>
      <w:bookmarkStart w:id="1949" w:name="_Toc153625180"/>
      <w:r w:rsidRPr="000A0A5F">
        <w:t>5.3.2.3.7</w:t>
      </w:r>
      <w:r w:rsidRPr="000A0A5F">
        <w:tab/>
        <w:t>Type: PdnConnectionInformation</w:t>
      </w:r>
      <w:bookmarkEnd w:id="1938"/>
      <w:bookmarkEnd w:id="1939"/>
      <w:bookmarkEnd w:id="1940"/>
      <w:bookmarkEnd w:id="1941"/>
      <w:bookmarkEnd w:id="1942"/>
      <w:bookmarkEnd w:id="1943"/>
      <w:bookmarkEnd w:id="1944"/>
      <w:bookmarkEnd w:id="1945"/>
      <w:bookmarkEnd w:id="1946"/>
      <w:bookmarkEnd w:id="1947"/>
      <w:bookmarkEnd w:id="1948"/>
      <w:bookmarkEnd w:id="1949"/>
    </w:p>
    <w:p w:rsidR="00CB0DD7" w:rsidRPr="000A0A5F" w:rsidRDefault="00CB0DD7">
      <w:r w:rsidRPr="000A0A5F">
        <w:t>This data type represents the PDN connection information of the UE.</w:t>
      </w:r>
    </w:p>
    <w:p w:rsidR="00CB0DD7" w:rsidRPr="000A0A5F" w:rsidRDefault="00CB0DD7">
      <w:pPr>
        <w:pStyle w:val="TH"/>
      </w:pPr>
      <w:r w:rsidRPr="000A0A5F">
        <w:rPr>
          <w:noProof/>
        </w:rPr>
        <w:t>Table </w:t>
      </w:r>
      <w:r w:rsidRPr="000A0A5F">
        <w:t xml:space="preserve">5.3.2.3.7-1: </w:t>
      </w:r>
      <w:r w:rsidRPr="000A0A5F">
        <w:rPr>
          <w:noProof/>
        </w:rPr>
        <w:t xml:space="preserve">Definition of type </w:t>
      </w:r>
      <w:r w:rsidRPr="000A0A5F">
        <w:t>PdnConnectionInformation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948"/>
        <w:gridCol w:w="1861"/>
        <w:gridCol w:w="1134"/>
        <w:gridCol w:w="3402"/>
        <w:gridCol w:w="1257"/>
      </w:tblGrid>
      <w:tr w:rsidR="00CB0DD7" w:rsidRPr="000A0A5F" w:rsidTr="00F83684">
        <w:trPr>
          <w:jc w:val="center"/>
        </w:trPr>
        <w:tc>
          <w:tcPr>
            <w:tcW w:w="1948" w:type="dxa"/>
            <w:shd w:val="clear" w:color="auto" w:fill="C0C0C0"/>
          </w:tcPr>
          <w:p w:rsidR="00CB0DD7" w:rsidRPr="000A0A5F" w:rsidRDefault="00CB0DD7">
            <w:pPr>
              <w:pStyle w:val="TAH"/>
              <w:rPr>
                <w:rFonts w:eastAsia="Times New Roman"/>
              </w:rPr>
            </w:pPr>
            <w:r w:rsidRPr="000A0A5F">
              <w:rPr>
                <w:rFonts w:eastAsia="Times New Roman"/>
              </w:rPr>
              <w:t>Attribute name</w:t>
            </w:r>
          </w:p>
        </w:tc>
        <w:tc>
          <w:tcPr>
            <w:tcW w:w="1861" w:type="dxa"/>
            <w:shd w:val="clear" w:color="auto" w:fill="C0C0C0"/>
          </w:tcPr>
          <w:p w:rsidR="00CB0DD7" w:rsidRPr="000A0A5F" w:rsidRDefault="00CB0DD7">
            <w:pPr>
              <w:pStyle w:val="TAH"/>
              <w:rPr>
                <w:rFonts w:eastAsia="Times New Roman"/>
              </w:rPr>
            </w:pPr>
            <w:r w:rsidRPr="000A0A5F">
              <w:rPr>
                <w:rFonts w:eastAsia="Times New Roman"/>
              </w:rPr>
              <w:t>Data type</w:t>
            </w:r>
          </w:p>
        </w:tc>
        <w:tc>
          <w:tcPr>
            <w:tcW w:w="1134" w:type="dxa"/>
            <w:shd w:val="clear" w:color="auto" w:fill="C0C0C0"/>
          </w:tcPr>
          <w:p w:rsidR="00CB0DD7" w:rsidRPr="000A0A5F" w:rsidRDefault="00CB0DD7">
            <w:pPr>
              <w:pStyle w:val="TAH"/>
              <w:jc w:val="left"/>
              <w:rPr>
                <w:rFonts w:eastAsia="Times New Roman"/>
              </w:rPr>
            </w:pPr>
            <w:r w:rsidRPr="000A0A5F">
              <w:rPr>
                <w:rFonts w:eastAsia="Times New Roman"/>
              </w:rPr>
              <w:t>Cardinality</w:t>
            </w:r>
          </w:p>
        </w:tc>
        <w:tc>
          <w:tcPr>
            <w:tcW w:w="3402"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Description</w:t>
            </w:r>
          </w:p>
        </w:tc>
        <w:tc>
          <w:tcPr>
            <w:tcW w:w="1257"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Applicability (NOTE 1)</w:t>
            </w:r>
          </w:p>
        </w:tc>
      </w:tr>
      <w:tr w:rsidR="00CB0DD7" w:rsidRPr="000A0A5F" w:rsidTr="00F83684">
        <w:trPr>
          <w:jc w:val="center"/>
        </w:trPr>
        <w:tc>
          <w:tcPr>
            <w:tcW w:w="1948" w:type="dxa"/>
            <w:shd w:val="clear" w:color="auto" w:fill="auto"/>
            <w:vAlign w:val="center"/>
          </w:tcPr>
          <w:p w:rsidR="00CB0DD7" w:rsidRPr="000A0A5F" w:rsidRDefault="00CB0DD7">
            <w:pPr>
              <w:pStyle w:val="TAL"/>
              <w:rPr>
                <w:rFonts w:eastAsia="Times New Roman"/>
              </w:rPr>
            </w:pPr>
            <w:r w:rsidRPr="000A0A5F">
              <w:rPr>
                <w:lang w:eastAsia="zh-CN"/>
              </w:rPr>
              <w:t>status</w:t>
            </w:r>
          </w:p>
        </w:tc>
        <w:tc>
          <w:tcPr>
            <w:tcW w:w="1861" w:type="dxa"/>
            <w:shd w:val="clear" w:color="auto" w:fill="auto"/>
            <w:vAlign w:val="center"/>
          </w:tcPr>
          <w:p w:rsidR="00CB0DD7" w:rsidRPr="000A0A5F" w:rsidRDefault="00CB0DD7">
            <w:pPr>
              <w:pStyle w:val="TAL"/>
              <w:rPr>
                <w:rFonts w:eastAsia="Times New Roman"/>
              </w:rPr>
            </w:pPr>
            <w:r w:rsidRPr="000A0A5F">
              <w:rPr>
                <w:lang w:eastAsia="zh-CN"/>
              </w:rPr>
              <w:t>PdnConnectionStatus</w:t>
            </w:r>
          </w:p>
        </w:tc>
        <w:tc>
          <w:tcPr>
            <w:tcW w:w="1134" w:type="dxa"/>
            <w:shd w:val="clear" w:color="auto" w:fill="auto"/>
            <w:vAlign w:val="center"/>
          </w:tcPr>
          <w:p w:rsidR="00CB0DD7" w:rsidRPr="000A0A5F" w:rsidRDefault="00CB0DD7">
            <w:pPr>
              <w:pStyle w:val="TAL"/>
              <w:rPr>
                <w:rFonts w:eastAsia="Times New Roman"/>
              </w:rPr>
            </w:pPr>
            <w:r w:rsidRPr="000A0A5F">
              <w:rPr>
                <w:rFonts w:hint="eastAsia"/>
                <w:lang w:eastAsia="zh-CN"/>
              </w:rPr>
              <w:t>1</w:t>
            </w:r>
          </w:p>
        </w:tc>
        <w:tc>
          <w:tcPr>
            <w:tcW w:w="3402" w:type="dxa"/>
            <w:shd w:val="clear" w:color="auto" w:fill="auto"/>
          </w:tcPr>
          <w:p w:rsidR="00CB0DD7" w:rsidRPr="000A0A5F" w:rsidRDefault="00CB0DD7">
            <w:pPr>
              <w:pStyle w:val="TAL"/>
              <w:rPr>
                <w:rFonts w:eastAsia="Times New Roman" w:cs="Arial"/>
                <w:szCs w:val="18"/>
              </w:rPr>
            </w:pPr>
            <w:r w:rsidRPr="000A0A5F">
              <w:rPr>
                <w:rFonts w:cs="Arial" w:hint="eastAsia"/>
                <w:szCs w:val="18"/>
                <w:lang w:eastAsia="zh-CN"/>
              </w:rPr>
              <w:t>I</w:t>
            </w:r>
            <w:r w:rsidRPr="000A0A5F">
              <w:rPr>
                <w:rFonts w:cs="Arial"/>
                <w:szCs w:val="18"/>
                <w:lang w:eastAsia="zh-CN"/>
              </w:rPr>
              <w:t>d</w:t>
            </w:r>
            <w:r w:rsidRPr="000A0A5F">
              <w:rPr>
                <w:rFonts w:cs="Arial" w:hint="eastAsia"/>
                <w:szCs w:val="18"/>
                <w:lang w:eastAsia="zh-CN"/>
              </w:rPr>
              <w:t>entifies t</w:t>
            </w:r>
            <w:r w:rsidRPr="000A0A5F">
              <w:rPr>
                <w:rFonts w:cs="Arial"/>
                <w:szCs w:val="18"/>
                <w:lang w:eastAsia="zh-CN"/>
              </w:rPr>
              <w:t>he PDN connection status.</w:t>
            </w:r>
          </w:p>
        </w:tc>
        <w:tc>
          <w:tcPr>
            <w:tcW w:w="1257" w:type="dxa"/>
          </w:tcPr>
          <w:p w:rsidR="00CB0DD7" w:rsidRPr="000A0A5F" w:rsidRDefault="00CB0DD7">
            <w:pPr>
              <w:pStyle w:val="TAL"/>
              <w:rPr>
                <w:rFonts w:eastAsia="Times New Roman" w:cs="Arial"/>
                <w:szCs w:val="18"/>
              </w:rPr>
            </w:pPr>
          </w:p>
        </w:tc>
      </w:tr>
      <w:tr w:rsidR="00CB0DD7" w:rsidRPr="000A0A5F" w:rsidTr="00F83684">
        <w:trPr>
          <w:jc w:val="center"/>
        </w:trPr>
        <w:tc>
          <w:tcPr>
            <w:tcW w:w="1948" w:type="dxa"/>
            <w:shd w:val="clear" w:color="auto" w:fill="auto"/>
            <w:vAlign w:val="center"/>
          </w:tcPr>
          <w:p w:rsidR="00CB0DD7" w:rsidRPr="000A0A5F" w:rsidRDefault="00CB0DD7">
            <w:pPr>
              <w:pStyle w:val="TAL"/>
              <w:rPr>
                <w:rFonts w:eastAsia="Times New Roman"/>
              </w:rPr>
            </w:pPr>
            <w:r w:rsidRPr="000A0A5F">
              <w:rPr>
                <w:lang w:eastAsia="zh-CN"/>
              </w:rPr>
              <w:t>apn</w:t>
            </w:r>
          </w:p>
        </w:tc>
        <w:tc>
          <w:tcPr>
            <w:tcW w:w="1861" w:type="dxa"/>
            <w:shd w:val="clear" w:color="auto" w:fill="auto"/>
            <w:vAlign w:val="center"/>
          </w:tcPr>
          <w:p w:rsidR="00CB0DD7" w:rsidRPr="000A0A5F" w:rsidRDefault="00CB0DD7">
            <w:pPr>
              <w:pStyle w:val="TAL"/>
              <w:rPr>
                <w:rFonts w:eastAsia="Times New Roman"/>
              </w:rPr>
            </w:pPr>
            <w:r w:rsidRPr="000A0A5F">
              <w:rPr>
                <w:lang w:eastAsia="zh-CN"/>
              </w:rPr>
              <w:t>string</w:t>
            </w:r>
          </w:p>
        </w:tc>
        <w:tc>
          <w:tcPr>
            <w:tcW w:w="1134" w:type="dxa"/>
            <w:shd w:val="clear" w:color="auto" w:fill="auto"/>
            <w:vAlign w:val="center"/>
          </w:tcPr>
          <w:p w:rsidR="00CB0DD7" w:rsidRPr="000A0A5F" w:rsidRDefault="00CB0DD7">
            <w:pPr>
              <w:pStyle w:val="TAL"/>
              <w:rPr>
                <w:rFonts w:eastAsia="Times New Roman"/>
              </w:rPr>
            </w:pPr>
            <w:r w:rsidRPr="000A0A5F">
              <w:rPr>
                <w:rFonts w:hint="eastAsia"/>
                <w:lang w:eastAsia="zh-CN"/>
              </w:rPr>
              <w:t>0..1</w:t>
            </w:r>
          </w:p>
        </w:tc>
        <w:tc>
          <w:tcPr>
            <w:tcW w:w="3402" w:type="dxa"/>
            <w:shd w:val="clear" w:color="auto" w:fill="auto"/>
          </w:tcPr>
          <w:p w:rsidR="00CB0DD7" w:rsidRPr="000A0A5F" w:rsidRDefault="00CB0DD7">
            <w:pPr>
              <w:pStyle w:val="TAL"/>
              <w:rPr>
                <w:rFonts w:eastAsia="Times New Roman" w:cs="Arial"/>
                <w:szCs w:val="18"/>
              </w:rPr>
            </w:pPr>
            <w:r w:rsidRPr="000A0A5F">
              <w:rPr>
                <w:rFonts w:cs="Arial" w:hint="eastAsia"/>
                <w:szCs w:val="18"/>
                <w:lang w:eastAsia="zh-CN"/>
              </w:rPr>
              <w:t xml:space="preserve">Identifies the </w:t>
            </w:r>
            <w:r w:rsidRPr="000A0A5F">
              <w:rPr>
                <w:rFonts w:cs="Arial"/>
                <w:szCs w:val="18"/>
                <w:lang w:eastAsia="zh-CN"/>
              </w:rPr>
              <w:t>APN, it is depending on the SCEF local configuration whether or not this attribute is sent to the SCS/AS.</w:t>
            </w:r>
          </w:p>
        </w:tc>
        <w:tc>
          <w:tcPr>
            <w:tcW w:w="1257" w:type="dxa"/>
          </w:tcPr>
          <w:p w:rsidR="00CB0DD7" w:rsidRPr="000A0A5F" w:rsidRDefault="00CB0DD7">
            <w:pPr>
              <w:pStyle w:val="TAL"/>
              <w:rPr>
                <w:rFonts w:eastAsia="Times New Roman" w:cs="Arial"/>
                <w:szCs w:val="18"/>
              </w:rPr>
            </w:pPr>
          </w:p>
        </w:tc>
      </w:tr>
      <w:tr w:rsidR="00CB0DD7" w:rsidRPr="000A0A5F" w:rsidTr="00F83684">
        <w:trPr>
          <w:jc w:val="center"/>
        </w:trPr>
        <w:tc>
          <w:tcPr>
            <w:tcW w:w="1948" w:type="dxa"/>
            <w:shd w:val="clear" w:color="auto" w:fill="auto"/>
          </w:tcPr>
          <w:p w:rsidR="00CB0DD7" w:rsidRPr="000A0A5F" w:rsidRDefault="00CB0DD7">
            <w:pPr>
              <w:pStyle w:val="TAL"/>
              <w:rPr>
                <w:rFonts w:eastAsia="Times New Roman"/>
              </w:rPr>
            </w:pPr>
            <w:r w:rsidRPr="000A0A5F">
              <w:rPr>
                <w:lang w:eastAsia="zh-CN"/>
              </w:rPr>
              <w:t>pdnType</w:t>
            </w:r>
          </w:p>
        </w:tc>
        <w:tc>
          <w:tcPr>
            <w:tcW w:w="1861" w:type="dxa"/>
            <w:shd w:val="clear" w:color="auto" w:fill="auto"/>
          </w:tcPr>
          <w:p w:rsidR="00CB0DD7" w:rsidRPr="000A0A5F" w:rsidRDefault="00CB0DD7">
            <w:pPr>
              <w:pStyle w:val="TAL"/>
              <w:rPr>
                <w:rFonts w:eastAsia="Times New Roman"/>
              </w:rPr>
            </w:pPr>
            <w:r w:rsidRPr="000A0A5F">
              <w:rPr>
                <w:lang w:eastAsia="zh-CN"/>
              </w:rPr>
              <w:t>PdnType</w:t>
            </w:r>
          </w:p>
        </w:tc>
        <w:tc>
          <w:tcPr>
            <w:tcW w:w="1134" w:type="dxa"/>
            <w:shd w:val="clear" w:color="auto" w:fill="auto"/>
          </w:tcPr>
          <w:p w:rsidR="00CB0DD7" w:rsidRPr="000A0A5F" w:rsidRDefault="00CB0DD7">
            <w:pPr>
              <w:pStyle w:val="TAL"/>
              <w:rPr>
                <w:rFonts w:eastAsia="Times New Roman"/>
              </w:rPr>
            </w:pPr>
            <w:r w:rsidRPr="000A0A5F">
              <w:rPr>
                <w:rFonts w:eastAsia="Times New Roman"/>
              </w:rPr>
              <w:t>1</w:t>
            </w:r>
          </w:p>
        </w:tc>
        <w:tc>
          <w:tcPr>
            <w:tcW w:w="3402" w:type="dxa"/>
            <w:shd w:val="clear" w:color="auto" w:fill="auto"/>
          </w:tcPr>
          <w:p w:rsidR="00CB0DD7" w:rsidRPr="000A0A5F" w:rsidRDefault="00CB0DD7">
            <w:pPr>
              <w:pStyle w:val="TAL"/>
              <w:rPr>
                <w:rFonts w:eastAsia="Times New Roman" w:cs="Arial"/>
                <w:szCs w:val="18"/>
              </w:rPr>
            </w:pPr>
            <w:r w:rsidRPr="000A0A5F">
              <w:rPr>
                <w:rFonts w:eastAsia="Times New Roman" w:cs="Arial"/>
                <w:szCs w:val="18"/>
              </w:rPr>
              <w:t>PDN type</w:t>
            </w:r>
          </w:p>
        </w:tc>
        <w:tc>
          <w:tcPr>
            <w:tcW w:w="1257" w:type="dxa"/>
          </w:tcPr>
          <w:p w:rsidR="00CB0DD7" w:rsidRPr="000A0A5F" w:rsidRDefault="00CB0DD7">
            <w:pPr>
              <w:pStyle w:val="TAL"/>
              <w:rPr>
                <w:rFonts w:eastAsia="Times New Roman" w:cs="Arial"/>
                <w:szCs w:val="18"/>
              </w:rPr>
            </w:pPr>
          </w:p>
        </w:tc>
      </w:tr>
      <w:tr w:rsidR="00CB0DD7" w:rsidRPr="000A0A5F" w:rsidTr="00F83684">
        <w:trPr>
          <w:jc w:val="center"/>
        </w:trPr>
        <w:tc>
          <w:tcPr>
            <w:tcW w:w="1948" w:type="dxa"/>
            <w:shd w:val="clear" w:color="auto" w:fill="auto"/>
          </w:tcPr>
          <w:p w:rsidR="00CB0DD7" w:rsidRPr="000A0A5F" w:rsidRDefault="00CB0DD7">
            <w:pPr>
              <w:pStyle w:val="TAL"/>
              <w:rPr>
                <w:lang w:eastAsia="zh-CN"/>
              </w:rPr>
            </w:pPr>
            <w:r w:rsidRPr="000A0A5F">
              <w:rPr>
                <w:lang w:eastAsia="zh-CN"/>
              </w:rPr>
              <w:t>interfaceInd</w:t>
            </w:r>
          </w:p>
        </w:tc>
        <w:tc>
          <w:tcPr>
            <w:tcW w:w="1861" w:type="dxa"/>
            <w:shd w:val="clear" w:color="auto" w:fill="auto"/>
          </w:tcPr>
          <w:p w:rsidR="00CB0DD7" w:rsidRPr="000A0A5F" w:rsidRDefault="00CB0DD7">
            <w:pPr>
              <w:pStyle w:val="TAL"/>
              <w:rPr>
                <w:lang w:eastAsia="zh-CN"/>
              </w:rPr>
            </w:pPr>
            <w:r w:rsidRPr="000A0A5F">
              <w:rPr>
                <w:lang w:eastAsia="zh-CN"/>
              </w:rPr>
              <w:t>InterfaceIndication</w:t>
            </w:r>
          </w:p>
        </w:tc>
        <w:tc>
          <w:tcPr>
            <w:tcW w:w="1134" w:type="dxa"/>
            <w:shd w:val="clear" w:color="auto" w:fill="auto"/>
          </w:tcPr>
          <w:p w:rsidR="00CB0DD7" w:rsidRPr="000A0A5F" w:rsidRDefault="00CB0DD7">
            <w:pPr>
              <w:pStyle w:val="TAL"/>
              <w:rPr>
                <w:rFonts w:eastAsia="Times New Roman"/>
              </w:rPr>
            </w:pPr>
            <w:r w:rsidRPr="000A0A5F">
              <w:rPr>
                <w:rFonts w:eastAsia="Times New Roman"/>
              </w:rPr>
              <w:t>0..1</w:t>
            </w:r>
          </w:p>
        </w:tc>
        <w:tc>
          <w:tcPr>
            <w:tcW w:w="3402" w:type="dxa"/>
            <w:shd w:val="clear" w:color="auto" w:fill="auto"/>
          </w:tcPr>
          <w:p w:rsidR="00CB0DD7" w:rsidRPr="000A0A5F" w:rsidRDefault="00CB0DD7">
            <w:pPr>
              <w:pStyle w:val="TAL"/>
              <w:rPr>
                <w:rFonts w:cs="Arial"/>
                <w:szCs w:val="18"/>
                <w:lang w:eastAsia="zh-CN"/>
              </w:rPr>
            </w:pPr>
            <w:r w:rsidRPr="000A0A5F">
              <w:rPr>
                <w:rFonts w:cs="Arial"/>
                <w:szCs w:val="18"/>
                <w:lang w:eastAsia="zh-CN"/>
              </w:rPr>
              <w:t>Identifies the 3GPP network function used to communicate with the SCS/AS for non-IP PDN type.</w:t>
            </w:r>
          </w:p>
        </w:tc>
        <w:tc>
          <w:tcPr>
            <w:tcW w:w="1257" w:type="dxa"/>
          </w:tcPr>
          <w:p w:rsidR="00CB0DD7" w:rsidRPr="000A0A5F" w:rsidRDefault="00CB0DD7">
            <w:pPr>
              <w:pStyle w:val="TAL"/>
              <w:rPr>
                <w:rFonts w:eastAsia="Times New Roman" w:cs="Arial"/>
                <w:szCs w:val="18"/>
              </w:rPr>
            </w:pPr>
          </w:p>
        </w:tc>
      </w:tr>
      <w:tr w:rsidR="00CB0DD7" w:rsidRPr="000A0A5F" w:rsidTr="00F83684">
        <w:trPr>
          <w:jc w:val="center"/>
        </w:trPr>
        <w:tc>
          <w:tcPr>
            <w:tcW w:w="1948" w:type="dxa"/>
            <w:shd w:val="clear" w:color="auto" w:fill="auto"/>
          </w:tcPr>
          <w:p w:rsidR="00CB0DD7" w:rsidRPr="000A0A5F" w:rsidRDefault="00CB0DD7">
            <w:pPr>
              <w:pStyle w:val="TAL"/>
              <w:rPr>
                <w:rFonts w:hint="eastAsia"/>
                <w:lang w:eastAsia="zh-CN"/>
              </w:rPr>
            </w:pPr>
            <w:r w:rsidRPr="000A0A5F">
              <w:rPr>
                <w:rFonts w:eastAsia="Times New Roman"/>
              </w:rPr>
              <w:t>ipv4Addr</w:t>
            </w:r>
          </w:p>
        </w:tc>
        <w:tc>
          <w:tcPr>
            <w:tcW w:w="1861" w:type="dxa"/>
            <w:shd w:val="clear" w:color="auto" w:fill="auto"/>
          </w:tcPr>
          <w:p w:rsidR="00CB0DD7" w:rsidRPr="000A0A5F" w:rsidRDefault="00CB0DD7">
            <w:pPr>
              <w:pStyle w:val="TAL"/>
              <w:rPr>
                <w:rFonts w:hint="eastAsia"/>
                <w:lang w:eastAsia="zh-CN"/>
              </w:rPr>
            </w:pPr>
            <w:r w:rsidRPr="000A0A5F">
              <w:rPr>
                <w:rFonts w:eastAsia="Times New Roman"/>
              </w:rPr>
              <w:t>Ipv4Addr</w:t>
            </w:r>
          </w:p>
        </w:tc>
        <w:tc>
          <w:tcPr>
            <w:tcW w:w="1134" w:type="dxa"/>
            <w:shd w:val="clear" w:color="auto" w:fill="auto"/>
          </w:tcPr>
          <w:p w:rsidR="00CB0DD7" w:rsidRPr="000A0A5F" w:rsidRDefault="00CB0DD7">
            <w:pPr>
              <w:pStyle w:val="TAL"/>
              <w:rPr>
                <w:rFonts w:hint="eastAsia"/>
                <w:lang w:eastAsia="zh-CN"/>
              </w:rPr>
            </w:pPr>
            <w:r w:rsidRPr="000A0A5F">
              <w:rPr>
                <w:rFonts w:eastAsia="Times New Roman"/>
              </w:rPr>
              <w:t>0..1</w:t>
            </w:r>
          </w:p>
        </w:tc>
        <w:tc>
          <w:tcPr>
            <w:tcW w:w="3402" w:type="dxa"/>
            <w:shd w:val="clear" w:color="auto" w:fill="auto"/>
          </w:tcPr>
          <w:p w:rsidR="00CB0DD7" w:rsidRPr="000A0A5F" w:rsidRDefault="00CB0DD7">
            <w:pPr>
              <w:pStyle w:val="TAL"/>
              <w:spacing w:afterLines="50" w:after="120"/>
              <w:rPr>
                <w:rFonts w:hint="eastAsia"/>
                <w:lang w:eastAsia="zh-CN"/>
              </w:rPr>
            </w:pPr>
            <w:r w:rsidRPr="000A0A5F">
              <w:rPr>
                <w:rFonts w:eastAsia="Times New Roman" w:cs="Arial"/>
                <w:szCs w:val="18"/>
              </w:rPr>
              <w:t>Identifies the UE Ipv4 address.</w:t>
            </w:r>
          </w:p>
        </w:tc>
        <w:tc>
          <w:tcPr>
            <w:tcW w:w="1257" w:type="dxa"/>
          </w:tcPr>
          <w:p w:rsidR="00CB0DD7" w:rsidRPr="000A0A5F" w:rsidRDefault="00CB0DD7">
            <w:pPr>
              <w:pStyle w:val="TAL"/>
              <w:rPr>
                <w:rFonts w:eastAsia="Times New Roman" w:cs="Arial"/>
                <w:szCs w:val="18"/>
              </w:rPr>
            </w:pPr>
          </w:p>
        </w:tc>
      </w:tr>
      <w:tr w:rsidR="00CB0DD7" w:rsidRPr="000A0A5F" w:rsidTr="00F83684">
        <w:trPr>
          <w:jc w:val="center"/>
        </w:trPr>
        <w:tc>
          <w:tcPr>
            <w:tcW w:w="1948" w:type="dxa"/>
            <w:shd w:val="clear" w:color="auto" w:fill="auto"/>
          </w:tcPr>
          <w:p w:rsidR="00CB0DD7" w:rsidRPr="000A0A5F" w:rsidRDefault="00CB0DD7">
            <w:pPr>
              <w:pStyle w:val="TAL"/>
              <w:rPr>
                <w:rFonts w:eastAsia="Times New Roman"/>
              </w:rPr>
            </w:pPr>
            <w:r w:rsidRPr="000A0A5F">
              <w:rPr>
                <w:rFonts w:eastAsia="Times New Roman"/>
              </w:rPr>
              <w:t xml:space="preserve">ipv6Addrs </w:t>
            </w:r>
          </w:p>
        </w:tc>
        <w:tc>
          <w:tcPr>
            <w:tcW w:w="1861" w:type="dxa"/>
            <w:shd w:val="clear" w:color="auto" w:fill="auto"/>
          </w:tcPr>
          <w:p w:rsidR="00CB0DD7" w:rsidRPr="000A0A5F" w:rsidRDefault="00CB0DD7">
            <w:pPr>
              <w:pStyle w:val="TAL"/>
              <w:rPr>
                <w:rFonts w:eastAsia="Times New Roman"/>
              </w:rPr>
            </w:pPr>
            <w:r w:rsidRPr="000A0A5F">
              <w:rPr>
                <w:rFonts w:eastAsia="Times New Roman"/>
              </w:rPr>
              <w:t>array(Ipv6Addr)</w:t>
            </w:r>
          </w:p>
        </w:tc>
        <w:tc>
          <w:tcPr>
            <w:tcW w:w="1134" w:type="dxa"/>
            <w:shd w:val="clear" w:color="auto" w:fill="auto"/>
          </w:tcPr>
          <w:p w:rsidR="00CB0DD7" w:rsidRPr="000A0A5F" w:rsidRDefault="00CB0DD7">
            <w:pPr>
              <w:pStyle w:val="TAL"/>
              <w:rPr>
                <w:rFonts w:eastAsia="Times New Roman"/>
              </w:rPr>
            </w:pPr>
            <w:r w:rsidRPr="000A0A5F">
              <w:rPr>
                <w:rFonts w:eastAsia="Times New Roman"/>
              </w:rPr>
              <w:t>0..N</w:t>
            </w:r>
          </w:p>
        </w:tc>
        <w:tc>
          <w:tcPr>
            <w:tcW w:w="3402" w:type="dxa"/>
            <w:shd w:val="clear" w:color="auto" w:fill="auto"/>
          </w:tcPr>
          <w:p w:rsidR="00CB0DD7" w:rsidRPr="000A0A5F" w:rsidRDefault="00CB0DD7">
            <w:pPr>
              <w:pStyle w:val="TAL"/>
              <w:spacing w:afterLines="50" w:after="120"/>
              <w:rPr>
                <w:rFonts w:eastAsia="Times New Roman" w:cs="Arial"/>
                <w:szCs w:val="18"/>
              </w:rPr>
            </w:pPr>
            <w:r w:rsidRPr="000A0A5F">
              <w:rPr>
                <w:rFonts w:eastAsia="Times New Roman" w:cs="Arial"/>
                <w:szCs w:val="18"/>
              </w:rPr>
              <w:t>Identifies the UE Ipv6 address.</w:t>
            </w:r>
          </w:p>
          <w:p w:rsidR="00CB0DD7" w:rsidRPr="000A0A5F" w:rsidRDefault="00CB0DD7">
            <w:pPr>
              <w:pStyle w:val="TAL"/>
              <w:rPr>
                <w:rFonts w:eastAsia="Times New Roman" w:cs="Arial"/>
                <w:szCs w:val="18"/>
              </w:rPr>
            </w:pPr>
            <w:r w:rsidRPr="000A0A5F">
              <w:rPr>
                <w:rFonts w:eastAsia="Times New Roman"/>
              </w:rPr>
              <w:t>(NOTE 2)</w:t>
            </w:r>
          </w:p>
        </w:tc>
        <w:tc>
          <w:tcPr>
            <w:tcW w:w="1257" w:type="dxa"/>
          </w:tcPr>
          <w:p w:rsidR="00CB0DD7" w:rsidRPr="000A0A5F" w:rsidRDefault="00CB0DD7">
            <w:pPr>
              <w:pStyle w:val="TAL"/>
              <w:rPr>
                <w:rFonts w:eastAsia="Times New Roman" w:cs="Arial"/>
                <w:szCs w:val="18"/>
              </w:rPr>
            </w:pPr>
          </w:p>
        </w:tc>
      </w:tr>
      <w:tr w:rsidR="00D224E9" w:rsidRPr="000A0A5F" w:rsidTr="00F83684">
        <w:trPr>
          <w:jc w:val="center"/>
        </w:trPr>
        <w:tc>
          <w:tcPr>
            <w:tcW w:w="1948" w:type="dxa"/>
            <w:shd w:val="clear" w:color="auto" w:fill="auto"/>
          </w:tcPr>
          <w:p w:rsidR="00D224E9" w:rsidRPr="000A0A5F" w:rsidRDefault="00D224E9" w:rsidP="00D224E9">
            <w:pPr>
              <w:pStyle w:val="TAL"/>
              <w:rPr>
                <w:rFonts w:eastAsia="Times New Roman"/>
              </w:rPr>
            </w:pPr>
            <w:r w:rsidRPr="000A0A5F">
              <w:rPr>
                <w:rFonts w:eastAsia="Times New Roman" w:hint="eastAsia"/>
              </w:rPr>
              <w:t>macAddr</w:t>
            </w:r>
            <w:r w:rsidRPr="000A0A5F">
              <w:rPr>
                <w:rFonts w:eastAsia="Times New Roman"/>
              </w:rPr>
              <w:t>s</w:t>
            </w:r>
          </w:p>
        </w:tc>
        <w:tc>
          <w:tcPr>
            <w:tcW w:w="1861" w:type="dxa"/>
            <w:shd w:val="clear" w:color="auto" w:fill="auto"/>
          </w:tcPr>
          <w:p w:rsidR="00D224E9" w:rsidRPr="000A0A5F" w:rsidRDefault="00D224E9" w:rsidP="00D224E9">
            <w:pPr>
              <w:pStyle w:val="TAL"/>
              <w:rPr>
                <w:rFonts w:eastAsia="Times New Roman"/>
              </w:rPr>
            </w:pPr>
            <w:r w:rsidRPr="000A0A5F">
              <w:rPr>
                <w:rFonts w:eastAsia="Times New Roman"/>
              </w:rPr>
              <w:t>array(</w:t>
            </w:r>
            <w:r w:rsidRPr="000A0A5F">
              <w:rPr>
                <w:rFonts w:eastAsia="Times New Roman" w:hint="eastAsia"/>
              </w:rPr>
              <w:t>M</w:t>
            </w:r>
            <w:r w:rsidRPr="000A0A5F">
              <w:rPr>
                <w:rFonts w:eastAsia="Times New Roman"/>
              </w:rPr>
              <w:t>acAddr48)</w:t>
            </w:r>
          </w:p>
        </w:tc>
        <w:tc>
          <w:tcPr>
            <w:tcW w:w="1134" w:type="dxa"/>
            <w:shd w:val="clear" w:color="auto" w:fill="auto"/>
          </w:tcPr>
          <w:p w:rsidR="00D224E9" w:rsidRPr="000A0A5F" w:rsidRDefault="00D224E9" w:rsidP="00D224E9">
            <w:pPr>
              <w:pStyle w:val="TAL"/>
              <w:rPr>
                <w:rFonts w:eastAsia="Times New Roman"/>
              </w:rPr>
            </w:pPr>
            <w:r w:rsidRPr="000A0A5F">
              <w:rPr>
                <w:rFonts w:eastAsia="Times New Roman"/>
              </w:rPr>
              <w:t>0..N</w:t>
            </w:r>
          </w:p>
        </w:tc>
        <w:tc>
          <w:tcPr>
            <w:tcW w:w="3402" w:type="dxa"/>
            <w:shd w:val="clear" w:color="auto" w:fill="auto"/>
          </w:tcPr>
          <w:p w:rsidR="00D224E9" w:rsidRPr="000A0A5F" w:rsidRDefault="00D224E9" w:rsidP="00D224E9">
            <w:pPr>
              <w:pStyle w:val="TAL"/>
              <w:spacing w:afterLines="50" w:after="120"/>
              <w:rPr>
                <w:rFonts w:eastAsia="Times New Roman" w:cs="Arial"/>
                <w:szCs w:val="18"/>
              </w:rPr>
            </w:pPr>
            <w:r w:rsidRPr="000A0A5F">
              <w:rPr>
                <w:rFonts w:eastAsia="Times New Roman" w:cs="Arial"/>
                <w:szCs w:val="18"/>
              </w:rPr>
              <w:t>Identifies the UE MAC address(es) which is only available for the immediate report.</w:t>
            </w:r>
          </w:p>
        </w:tc>
        <w:tc>
          <w:tcPr>
            <w:tcW w:w="1257" w:type="dxa"/>
          </w:tcPr>
          <w:p w:rsidR="00D224E9" w:rsidRPr="000A0A5F" w:rsidRDefault="00D224E9" w:rsidP="00D224E9">
            <w:pPr>
              <w:pStyle w:val="TAL"/>
              <w:rPr>
                <w:rFonts w:eastAsia="Times New Roman" w:cs="Arial"/>
                <w:szCs w:val="18"/>
              </w:rPr>
            </w:pPr>
          </w:p>
        </w:tc>
      </w:tr>
      <w:tr w:rsidR="00CB0DD7" w:rsidRPr="000A0A5F" w:rsidTr="00F83684">
        <w:trPr>
          <w:jc w:val="center"/>
        </w:trPr>
        <w:tc>
          <w:tcPr>
            <w:tcW w:w="9602" w:type="dxa"/>
            <w:gridSpan w:val="5"/>
            <w:shd w:val="clear" w:color="auto" w:fill="auto"/>
          </w:tcPr>
          <w:p w:rsidR="00CB0DD7" w:rsidRPr="000A0A5F" w:rsidRDefault="00CB0DD7">
            <w:pPr>
              <w:pStyle w:val="TAN"/>
            </w:pPr>
            <w:r w:rsidRPr="000A0A5F">
              <w:t>NOTE 1:</w:t>
            </w:r>
            <w:r w:rsidRPr="000A0A5F">
              <w:tab/>
              <w:t>Properties marked with a feature as defined in clause 5.5.4 are applicable as described in clause 5.2.7. If no features are indicated, the related property applies for all the features.</w:t>
            </w:r>
          </w:p>
          <w:p w:rsidR="00CB0DD7" w:rsidRPr="000A0A5F" w:rsidRDefault="00CB0DD7">
            <w:pPr>
              <w:pStyle w:val="TAN"/>
            </w:pPr>
            <w:r w:rsidRPr="000A0A5F">
              <w:t>NOTE 2:</w:t>
            </w:r>
            <w:r w:rsidRPr="000A0A5F">
              <w:tab/>
              <w:t>ipv6 prefix is included in this attribute if ipv6 full address is not available.</w:t>
            </w:r>
          </w:p>
        </w:tc>
      </w:tr>
    </w:tbl>
    <w:p w:rsidR="00CB0DD7" w:rsidRPr="000A0A5F" w:rsidRDefault="00CB0DD7">
      <w:pPr>
        <w:rPr>
          <w:lang w:eastAsia="zh-CN"/>
        </w:rPr>
      </w:pPr>
    </w:p>
    <w:p w:rsidR="00CB0DD7" w:rsidRPr="000A0A5F" w:rsidRDefault="00CB0DD7">
      <w:pPr>
        <w:pStyle w:val="Heading5"/>
      </w:pPr>
      <w:bookmarkStart w:id="1950" w:name="_Toc27044441"/>
      <w:bookmarkStart w:id="1951" w:name="_Toc36033483"/>
      <w:bookmarkStart w:id="1952" w:name="_Toc45131615"/>
      <w:bookmarkStart w:id="1953" w:name="_Toc49775900"/>
      <w:bookmarkStart w:id="1954" w:name="_Toc51746820"/>
      <w:bookmarkStart w:id="1955" w:name="_Toc66360364"/>
      <w:bookmarkStart w:id="1956" w:name="_Toc68104869"/>
      <w:bookmarkStart w:id="1957" w:name="_Toc74755499"/>
      <w:bookmarkStart w:id="1958" w:name="_Toc105674360"/>
      <w:bookmarkStart w:id="1959" w:name="_Toc130502399"/>
      <w:bookmarkStart w:id="1960" w:name="_Toc153625181"/>
      <w:r w:rsidRPr="000A0A5F">
        <w:t>5.3.2.3.8</w:t>
      </w:r>
      <w:r w:rsidRPr="000A0A5F">
        <w:tab/>
        <w:t>Type: AppliedParameterConfiguration</w:t>
      </w:r>
      <w:bookmarkEnd w:id="1950"/>
      <w:bookmarkEnd w:id="1951"/>
      <w:bookmarkEnd w:id="1952"/>
      <w:bookmarkEnd w:id="1953"/>
      <w:bookmarkEnd w:id="1954"/>
      <w:bookmarkEnd w:id="1955"/>
      <w:bookmarkEnd w:id="1956"/>
      <w:bookmarkEnd w:id="1957"/>
      <w:bookmarkEnd w:id="1958"/>
      <w:bookmarkEnd w:id="1959"/>
      <w:bookmarkEnd w:id="1960"/>
    </w:p>
    <w:p w:rsidR="00CB0DD7" w:rsidRPr="000A0A5F" w:rsidRDefault="00CB0DD7">
      <w:r w:rsidRPr="000A0A5F">
        <w:t>This data type represents the applied parameter configuration in the network.</w:t>
      </w:r>
    </w:p>
    <w:p w:rsidR="00CB0DD7" w:rsidRPr="000A0A5F" w:rsidRDefault="00CB0DD7">
      <w:pPr>
        <w:pStyle w:val="TH"/>
      </w:pPr>
      <w:r w:rsidRPr="000A0A5F">
        <w:rPr>
          <w:noProof/>
        </w:rPr>
        <w:t>Table </w:t>
      </w:r>
      <w:r w:rsidRPr="000A0A5F">
        <w:t xml:space="preserve">5.3.2.3.8-1: </w:t>
      </w:r>
      <w:r w:rsidRPr="000A0A5F">
        <w:rPr>
          <w:noProof/>
        </w:rPr>
        <w:t xml:space="preserve">Definition of type </w:t>
      </w:r>
      <w:r w:rsidRPr="000A0A5F">
        <w:t>AppliedParameterConfiguration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948"/>
        <w:gridCol w:w="1861"/>
        <w:gridCol w:w="1134"/>
        <w:gridCol w:w="3402"/>
        <w:gridCol w:w="1257"/>
      </w:tblGrid>
      <w:tr w:rsidR="00CB0DD7" w:rsidRPr="000A0A5F" w:rsidTr="00F83684">
        <w:trPr>
          <w:jc w:val="center"/>
        </w:trPr>
        <w:tc>
          <w:tcPr>
            <w:tcW w:w="1948" w:type="dxa"/>
            <w:shd w:val="clear" w:color="auto" w:fill="C0C0C0"/>
          </w:tcPr>
          <w:p w:rsidR="00CB0DD7" w:rsidRPr="000A0A5F" w:rsidRDefault="00CB0DD7">
            <w:pPr>
              <w:pStyle w:val="TAH"/>
              <w:rPr>
                <w:rFonts w:eastAsia="Times New Roman"/>
              </w:rPr>
            </w:pPr>
            <w:r w:rsidRPr="000A0A5F">
              <w:rPr>
                <w:rFonts w:eastAsia="Times New Roman"/>
              </w:rPr>
              <w:t>Attribute name</w:t>
            </w:r>
          </w:p>
        </w:tc>
        <w:tc>
          <w:tcPr>
            <w:tcW w:w="1861" w:type="dxa"/>
            <w:shd w:val="clear" w:color="auto" w:fill="C0C0C0"/>
          </w:tcPr>
          <w:p w:rsidR="00CB0DD7" w:rsidRPr="000A0A5F" w:rsidRDefault="00CB0DD7">
            <w:pPr>
              <w:pStyle w:val="TAH"/>
              <w:rPr>
                <w:rFonts w:eastAsia="Times New Roman"/>
              </w:rPr>
            </w:pPr>
            <w:r w:rsidRPr="000A0A5F">
              <w:rPr>
                <w:rFonts w:eastAsia="Times New Roman"/>
              </w:rPr>
              <w:t>Data type</w:t>
            </w:r>
          </w:p>
        </w:tc>
        <w:tc>
          <w:tcPr>
            <w:tcW w:w="1134" w:type="dxa"/>
            <w:shd w:val="clear" w:color="auto" w:fill="C0C0C0"/>
          </w:tcPr>
          <w:p w:rsidR="00CB0DD7" w:rsidRPr="000A0A5F" w:rsidRDefault="00CB0DD7">
            <w:pPr>
              <w:pStyle w:val="TAH"/>
              <w:jc w:val="left"/>
              <w:rPr>
                <w:rFonts w:eastAsia="Times New Roman"/>
              </w:rPr>
            </w:pPr>
            <w:r w:rsidRPr="000A0A5F">
              <w:rPr>
                <w:rFonts w:eastAsia="Times New Roman"/>
              </w:rPr>
              <w:t>Cardinality</w:t>
            </w:r>
          </w:p>
        </w:tc>
        <w:tc>
          <w:tcPr>
            <w:tcW w:w="3402"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Description</w:t>
            </w:r>
          </w:p>
        </w:tc>
        <w:tc>
          <w:tcPr>
            <w:tcW w:w="1257"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Applicability</w:t>
            </w:r>
          </w:p>
        </w:tc>
      </w:tr>
      <w:tr w:rsidR="00CB0DD7" w:rsidRPr="000A0A5F" w:rsidTr="00F83684">
        <w:trPr>
          <w:jc w:val="center"/>
        </w:trPr>
        <w:tc>
          <w:tcPr>
            <w:tcW w:w="1948" w:type="dxa"/>
            <w:shd w:val="clear" w:color="auto" w:fill="auto"/>
            <w:vAlign w:val="center"/>
          </w:tcPr>
          <w:p w:rsidR="00CB0DD7" w:rsidRPr="000A0A5F" w:rsidRDefault="00CB0DD7">
            <w:pPr>
              <w:pStyle w:val="TAL"/>
              <w:rPr>
                <w:lang w:eastAsia="zh-CN"/>
              </w:rPr>
            </w:pPr>
            <w:r w:rsidRPr="000A0A5F">
              <w:rPr>
                <w:rFonts w:hint="eastAsia"/>
                <w:lang w:eastAsia="zh-CN"/>
              </w:rPr>
              <w:t>externalId</w:t>
            </w:r>
            <w:r w:rsidRPr="000A0A5F">
              <w:rPr>
                <w:lang w:eastAsia="zh-CN"/>
              </w:rPr>
              <w:t>s</w:t>
            </w:r>
          </w:p>
        </w:tc>
        <w:tc>
          <w:tcPr>
            <w:tcW w:w="1861" w:type="dxa"/>
            <w:shd w:val="clear" w:color="auto" w:fill="auto"/>
            <w:vAlign w:val="center"/>
          </w:tcPr>
          <w:p w:rsidR="00CB0DD7" w:rsidRPr="000A0A5F" w:rsidRDefault="00CB0DD7">
            <w:pPr>
              <w:pStyle w:val="TAL"/>
            </w:pPr>
            <w:r w:rsidRPr="000A0A5F">
              <w:rPr>
                <w:lang w:eastAsia="zh-CN"/>
              </w:rPr>
              <w:t>array(</w:t>
            </w:r>
            <w:r w:rsidRPr="000A0A5F">
              <w:rPr>
                <w:rFonts w:hint="eastAsia"/>
                <w:lang w:eastAsia="zh-CN"/>
              </w:rPr>
              <w:t>ExternalId</w:t>
            </w:r>
            <w:r w:rsidRPr="000A0A5F">
              <w:rPr>
                <w:lang w:eastAsia="zh-CN"/>
              </w:rPr>
              <w:t>)</w:t>
            </w:r>
          </w:p>
        </w:tc>
        <w:tc>
          <w:tcPr>
            <w:tcW w:w="1134" w:type="dxa"/>
            <w:shd w:val="clear" w:color="auto" w:fill="auto"/>
            <w:vAlign w:val="center"/>
          </w:tcPr>
          <w:p w:rsidR="00CB0DD7" w:rsidRPr="000A0A5F" w:rsidRDefault="00CB0DD7">
            <w:pPr>
              <w:pStyle w:val="TAL"/>
              <w:rPr>
                <w:rFonts w:eastAsia="Times New Roman"/>
              </w:rPr>
            </w:pPr>
            <w:r w:rsidRPr="000A0A5F">
              <w:rPr>
                <w:rFonts w:hint="eastAsia"/>
                <w:lang w:eastAsia="zh-CN"/>
              </w:rPr>
              <w:t>0..N</w:t>
            </w:r>
          </w:p>
        </w:tc>
        <w:tc>
          <w:tcPr>
            <w:tcW w:w="3402" w:type="dxa"/>
            <w:shd w:val="clear" w:color="auto" w:fill="auto"/>
          </w:tcPr>
          <w:p w:rsidR="00CB0DD7" w:rsidRPr="000A0A5F" w:rsidRDefault="00CB0DD7">
            <w:pPr>
              <w:pStyle w:val="TAL"/>
              <w:spacing w:afterLines="50" w:after="120"/>
              <w:rPr>
                <w:rFonts w:eastAsia="Times New Roman" w:cs="Arial"/>
                <w:szCs w:val="18"/>
              </w:rPr>
            </w:pPr>
            <w:r w:rsidRPr="000A0A5F">
              <w:rPr>
                <w:rFonts w:eastAsia="Times New Roman" w:cs="Arial"/>
                <w:szCs w:val="18"/>
              </w:rPr>
              <w:t>Each element uniquely identifies a user. (NOTE)</w:t>
            </w:r>
          </w:p>
        </w:tc>
        <w:tc>
          <w:tcPr>
            <w:tcW w:w="1257" w:type="dxa"/>
          </w:tcPr>
          <w:p w:rsidR="00CB0DD7" w:rsidRPr="000A0A5F" w:rsidRDefault="00CB0DD7">
            <w:pPr>
              <w:pStyle w:val="TAL"/>
              <w:rPr>
                <w:lang w:eastAsia="zh-CN"/>
              </w:rPr>
            </w:pPr>
          </w:p>
        </w:tc>
      </w:tr>
      <w:tr w:rsidR="00CB0DD7" w:rsidRPr="000A0A5F" w:rsidTr="00F83684">
        <w:trPr>
          <w:jc w:val="center"/>
        </w:trPr>
        <w:tc>
          <w:tcPr>
            <w:tcW w:w="1948" w:type="dxa"/>
            <w:shd w:val="clear" w:color="auto" w:fill="auto"/>
            <w:vAlign w:val="center"/>
          </w:tcPr>
          <w:p w:rsidR="00CB0DD7" w:rsidRPr="000A0A5F" w:rsidRDefault="00CB0DD7">
            <w:pPr>
              <w:pStyle w:val="TAL"/>
              <w:rPr>
                <w:lang w:eastAsia="zh-CN"/>
              </w:rPr>
            </w:pPr>
            <w:r w:rsidRPr="000A0A5F">
              <w:rPr>
                <w:lang w:eastAsia="zh-CN"/>
              </w:rPr>
              <w:t>m</w:t>
            </w:r>
            <w:r w:rsidRPr="000A0A5F">
              <w:rPr>
                <w:rFonts w:hint="eastAsia"/>
                <w:lang w:eastAsia="zh-CN"/>
              </w:rPr>
              <w:t>sisdn</w:t>
            </w:r>
            <w:r w:rsidRPr="000A0A5F">
              <w:rPr>
                <w:lang w:eastAsia="zh-CN"/>
              </w:rPr>
              <w:t>s</w:t>
            </w:r>
          </w:p>
        </w:tc>
        <w:tc>
          <w:tcPr>
            <w:tcW w:w="1861" w:type="dxa"/>
            <w:shd w:val="clear" w:color="auto" w:fill="auto"/>
            <w:vAlign w:val="center"/>
          </w:tcPr>
          <w:p w:rsidR="00CB0DD7" w:rsidRPr="000A0A5F" w:rsidRDefault="00CB0DD7">
            <w:pPr>
              <w:pStyle w:val="TAL"/>
            </w:pPr>
            <w:r w:rsidRPr="000A0A5F">
              <w:rPr>
                <w:lang w:eastAsia="zh-CN"/>
              </w:rPr>
              <w:t>array(</w:t>
            </w:r>
            <w:r w:rsidRPr="000A0A5F">
              <w:rPr>
                <w:rFonts w:hint="eastAsia"/>
                <w:lang w:eastAsia="zh-CN"/>
              </w:rPr>
              <w:t>Msisdn</w:t>
            </w:r>
            <w:r w:rsidRPr="000A0A5F">
              <w:rPr>
                <w:lang w:eastAsia="zh-CN"/>
              </w:rPr>
              <w:t>)</w:t>
            </w:r>
          </w:p>
        </w:tc>
        <w:tc>
          <w:tcPr>
            <w:tcW w:w="1134" w:type="dxa"/>
            <w:shd w:val="clear" w:color="auto" w:fill="auto"/>
            <w:vAlign w:val="center"/>
          </w:tcPr>
          <w:p w:rsidR="00CB0DD7" w:rsidRPr="000A0A5F" w:rsidRDefault="00CB0DD7">
            <w:pPr>
              <w:pStyle w:val="TAL"/>
              <w:rPr>
                <w:rFonts w:eastAsia="Times New Roman"/>
              </w:rPr>
            </w:pPr>
            <w:r w:rsidRPr="000A0A5F">
              <w:rPr>
                <w:rFonts w:hint="eastAsia"/>
                <w:lang w:eastAsia="zh-CN"/>
              </w:rPr>
              <w:t>0..N</w:t>
            </w:r>
          </w:p>
        </w:tc>
        <w:tc>
          <w:tcPr>
            <w:tcW w:w="3402" w:type="dxa"/>
            <w:shd w:val="clear" w:color="auto" w:fill="auto"/>
          </w:tcPr>
          <w:p w:rsidR="00CB0DD7" w:rsidRPr="000A0A5F" w:rsidRDefault="00CB0DD7">
            <w:pPr>
              <w:pStyle w:val="TAL"/>
              <w:spacing w:afterLines="50" w:after="120"/>
              <w:rPr>
                <w:rFonts w:cs="Arial"/>
                <w:szCs w:val="18"/>
                <w:lang w:eastAsia="zh-CN"/>
              </w:rPr>
            </w:pPr>
            <w:r w:rsidRPr="000A0A5F">
              <w:rPr>
                <w:rFonts w:eastAsia="Times New Roman" w:cs="Arial"/>
                <w:szCs w:val="18"/>
              </w:rPr>
              <w:t>Each element</w:t>
            </w:r>
            <w:r w:rsidRPr="000A0A5F">
              <w:rPr>
                <w:rFonts w:cs="Arial"/>
                <w:szCs w:val="18"/>
                <w:lang w:eastAsia="zh-CN"/>
              </w:rPr>
              <w:t xml:space="preserve"> identifies the MS internal PSTN/ISDN number allocated for a UE. (NOTE) </w:t>
            </w:r>
          </w:p>
        </w:tc>
        <w:tc>
          <w:tcPr>
            <w:tcW w:w="1257" w:type="dxa"/>
          </w:tcPr>
          <w:p w:rsidR="00CB0DD7" w:rsidRPr="000A0A5F" w:rsidRDefault="00CB0DD7">
            <w:pPr>
              <w:pStyle w:val="TAL"/>
              <w:rPr>
                <w:lang w:eastAsia="zh-CN"/>
              </w:rPr>
            </w:pPr>
          </w:p>
        </w:tc>
      </w:tr>
      <w:tr w:rsidR="00CB0DD7" w:rsidRPr="000A0A5F" w:rsidTr="00F83684">
        <w:trPr>
          <w:jc w:val="center"/>
        </w:trPr>
        <w:tc>
          <w:tcPr>
            <w:tcW w:w="1948" w:type="dxa"/>
            <w:shd w:val="clear" w:color="auto" w:fill="auto"/>
          </w:tcPr>
          <w:p w:rsidR="00CB0DD7" w:rsidRPr="000A0A5F" w:rsidRDefault="00CB0DD7">
            <w:pPr>
              <w:pStyle w:val="TAL"/>
              <w:rPr>
                <w:rFonts w:eastAsia="Times New Roman"/>
              </w:rPr>
            </w:pPr>
            <w:r w:rsidRPr="000A0A5F">
              <w:rPr>
                <w:lang w:eastAsia="zh-CN"/>
              </w:rPr>
              <w:t>m</w:t>
            </w:r>
            <w:r w:rsidRPr="000A0A5F">
              <w:rPr>
                <w:rFonts w:hint="eastAsia"/>
                <w:lang w:eastAsia="zh-CN"/>
              </w:rPr>
              <w:t>aximumLat</w:t>
            </w:r>
            <w:r w:rsidRPr="000A0A5F">
              <w:rPr>
                <w:lang w:eastAsia="zh-CN"/>
              </w:rPr>
              <w:t>ency</w:t>
            </w:r>
          </w:p>
        </w:tc>
        <w:tc>
          <w:tcPr>
            <w:tcW w:w="1861" w:type="dxa"/>
            <w:shd w:val="clear" w:color="auto" w:fill="auto"/>
          </w:tcPr>
          <w:p w:rsidR="00CB0DD7" w:rsidRPr="000A0A5F" w:rsidRDefault="00CB0DD7">
            <w:pPr>
              <w:pStyle w:val="TAL"/>
              <w:rPr>
                <w:rFonts w:eastAsia="Times New Roman"/>
              </w:rPr>
            </w:pPr>
            <w:r w:rsidRPr="000A0A5F">
              <w:rPr>
                <w:lang w:eastAsia="zh-CN"/>
              </w:rPr>
              <w:t>DurationSec</w:t>
            </w:r>
          </w:p>
        </w:tc>
        <w:tc>
          <w:tcPr>
            <w:tcW w:w="1134" w:type="dxa"/>
            <w:shd w:val="clear" w:color="auto" w:fill="auto"/>
          </w:tcPr>
          <w:p w:rsidR="00CB0DD7" w:rsidRPr="000A0A5F" w:rsidRDefault="00CB0DD7">
            <w:pPr>
              <w:pStyle w:val="TAL"/>
              <w:rPr>
                <w:rFonts w:eastAsia="Times New Roman"/>
              </w:rPr>
            </w:pPr>
            <w:r w:rsidRPr="000A0A5F">
              <w:rPr>
                <w:rFonts w:eastAsia="Times New Roman"/>
              </w:rPr>
              <w:t>0..1</w:t>
            </w:r>
          </w:p>
        </w:tc>
        <w:tc>
          <w:tcPr>
            <w:tcW w:w="3402" w:type="dxa"/>
            <w:shd w:val="clear" w:color="auto" w:fill="auto"/>
          </w:tcPr>
          <w:p w:rsidR="00CB0DD7" w:rsidRPr="000A0A5F" w:rsidRDefault="00CB0DD7">
            <w:pPr>
              <w:pStyle w:val="TAL"/>
              <w:rPr>
                <w:rFonts w:eastAsia="Times New Roman" w:cs="Arial"/>
                <w:szCs w:val="18"/>
              </w:rPr>
            </w:pPr>
            <w:r w:rsidRPr="000A0A5F">
              <w:rPr>
                <w:rFonts w:cs="Arial"/>
                <w:szCs w:val="18"/>
                <w:lang w:eastAsia="zh-CN"/>
              </w:rPr>
              <w:t>This parameter may be included to identify the maximum delay acceptable for downlink data transfers, which is applied in the network.</w:t>
            </w:r>
          </w:p>
        </w:tc>
        <w:tc>
          <w:tcPr>
            <w:tcW w:w="1257" w:type="dxa"/>
          </w:tcPr>
          <w:p w:rsidR="00CB0DD7" w:rsidRPr="000A0A5F" w:rsidRDefault="00CB0DD7">
            <w:pPr>
              <w:pStyle w:val="TAL"/>
              <w:rPr>
                <w:rFonts w:eastAsia="Times New Roman" w:cs="Arial"/>
                <w:szCs w:val="18"/>
              </w:rPr>
            </w:pPr>
          </w:p>
        </w:tc>
      </w:tr>
      <w:tr w:rsidR="00CB0DD7" w:rsidRPr="000A0A5F" w:rsidTr="00F83684">
        <w:trPr>
          <w:jc w:val="center"/>
        </w:trPr>
        <w:tc>
          <w:tcPr>
            <w:tcW w:w="1948" w:type="dxa"/>
            <w:shd w:val="clear" w:color="auto" w:fill="auto"/>
          </w:tcPr>
          <w:p w:rsidR="00CB0DD7" w:rsidRPr="000A0A5F" w:rsidRDefault="00CB0DD7">
            <w:pPr>
              <w:pStyle w:val="TAL"/>
              <w:rPr>
                <w:rFonts w:eastAsia="Times New Roman"/>
              </w:rPr>
            </w:pPr>
            <w:r w:rsidRPr="000A0A5F">
              <w:rPr>
                <w:lang w:eastAsia="zh-CN"/>
              </w:rPr>
              <w:t>maximumResponseTime</w:t>
            </w:r>
          </w:p>
        </w:tc>
        <w:tc>
          <w:tcPr>
            <w:tcW w:w="1861" w:type="dxa"/>
            <w:shd w:val="clear" w:color="auto" w:fill="auto"/>
          </w:tcPr>
          <w:p w:rsidR="00CB0DD7" w:rsidRPr="000A0A5F" w:rsidRDefault="00CB0DD7">
            <w:pPr>
              <w:pStyle w:val="TAL"/>
              <w:rPr>
                <w:rFonts w:eastAsia="Times New Roman"/>
              </w:rPr>
            </w:pPr>
            <w:r w:rsidRPr="000A0A5F">
              <w:rPr>
                <w:lang w:eastAsia="zh-CN"/>
              </w:rPr>
              <w:t>DurationSec</w:t>
            </w:r>
          </w:p>
        </w:tc>
        <w:tc>
          <w:tcPr>
            <w:tcW w:w="1134" w:type="dxa"/>
            <w:shd w:val="clear" w:color="auto" w:fill="auto"/>
          </w:tcPr>
          <w:p w:rsidR="00CB0DD7" w:rsidRPr="000A0A5F" w:rsidRDefault="00CB0DD7">
            <w:pPr>
              <w:pStyle w:val="TAL"/>
              <w:rPr>
                <w:rFonts w:eastAsia="Times New Roman"/>
              </w:rPr>
            </w:pPr>
            <w:r w:rsidRPr="000A0A5F">
              <w:rPr>
                <w:rFonts w:eastAsia="Times New Roman"/>
              </w:rPr>
              <w:t>0..1</w:t>
            </w:r>
          </w:p>
        </w:tc>
        <w:tc>
          <w:tcPr>
            <w:tcW w:w="3402" w:type="dxa"/>
            <w:shd w:val="clear" w:color="auto" w:fill="auto"/>
          </w:tcPr>
          <w:p w:rsidR="00CB0DD7" w:rsidRPr="000A0A5F" w:rsidRDefault="00CB0DD7">
            <w:pPr>
              <w:pStyle w:val="TAL"/>
              <w:rPr>
                <w:rFonts w:eastAsia="Times New Roman" w:cs="Arial"/>
                <w:szCs w:val="18"/>
              </w:rPr>
            </w:pPr>
            <w:r w:rsidRPr="000A0A5F">
              <w:rPr>
                <w:rFonts w:cs="Arial"/>
                <w:szCs w:val="18"/>
                <w:lang w:eastAsia="zh-CN"/>
              </w:rPr>
              <w:t>This parameter may be included to identify the length of time for which the UE stays reachable to allow the SCS/AS to reliably deliver the required downlink data, which is applied in the network.</w:t>
            </w:r>
          </w:p>
        </w:tc>
        <w:tc>
          <w:tcPr>
            <w:tcW w:w="1257" w:type="dxa"/>
          </w:tcPr>
          <w:p w:rsidR="00CB0DD7" w:rsidRPr="000A0A5F" w:rsidRDefault="00CB0DD7">
            <w:pPr>
              <w:pStyle w:val="TAL"/>
              <w:rPr>
                <w:rFonts w:eastAsia="Times New Roman" w:cs="Arial"/>
                <w:szCs w:val="18"/>
              </w:rPr>
            </w:pPr>
          </w:p>
        </w:tc>
      </w:tr>
      <w:tr w:rsidR="00CB0DD7" w:rsidRPr="000A0A5F" w:rsidTr="00F83684">
        <w:trPr>
          <w:jc w:val="center"/>
        </w:trPr>
        <w:tc>
          <w:tcPr>
            <w:tcW w:w="1948" w:type="dxa"/>
            <w:shd w:val="clear" w:color="auto" w:fill="auto"/>
          </w:tcPr>
          <w:p w:rsidR="00CB0DD7" w:rsidRPr="000A0A5F" w:rsidRDefault="00CB0DD7">
            <w:pPr>
              <w:pStyle w:val="TAL"/>
              <w:rPr>
                <w:lang w:eastAsia="zh-CN"/>
              </w:rPr>
            </w:pPr>
            <w:r w:rsidRPr="000A0A5F">
              <w:rPr>
                <w:lang w:eastAsia="zh-CN"/>
              </w:rPr>
              <w:t>m</w:t>
            </w:r>
            <w:r w:rsidRPr="000A0A5F">
              <w:rPr>
                <w:rFonts w:hint="eastAsia"/>
                <w:lang w:eastAsia="zh-CN"/>
              </w:rPr>
              <w:t>aximumDetectionTime</w:t>
            </w:r>
          </w:p>
        </w:tc>
        <w:tc>
          <w:tcPr>
            <w:tcW w:w="1861" w:type="dxa"/>
            <w:shd w:val="clear" w:color="auto" w:fill="auto"/>
          </w:tcPr>
          <w:p w:rsidR="00CB0DD7" w:rsidRPr="000A0A5F" w:rsidRDefault="00CB0DD7">
            <w:pPr>
              <w:pStyle w:val="TAL"/>
              <w:rPr>
                <w:lang w:eastAsia="zh-CN"/>
              </w:rPr>
            </w:pPr>
            <w:r w:rsidRPr="000A0A5F">
              <w:rPr>
                <w:lang w:eastAsia="zh-CN"/>
              </w:rPr>
              <w:t>DurationSec</w:t>
            </w:r>
          </w:p>
        </w:tc>
        <w:tc>
          <w:tcPr>
            <w:tcW w:w="1134" w:type="dxa"/>
            <w:shd w:val="clear" w:color="auto" w:fill="auto"/>
          </w:tcPr>
          <w:p w:rsidR="00CB0DD7" w:rsidRPr="000A0A5F" w:rsidRDefault="00CB0DD7">
            <w:pPr>
              <w:pStyle w:val="TAL"/>
              <w:rPr>
                <w:rFonts w:eastAsia="Times New Roman"/>
              </w:rPr>
            </w:pPr>
            <w:r w:rsidRPr="000A0A5F">
              <w:rPr>
                <w:rFonts w:eastAsia="Times New Roman"/>
              </w:rPr>
              <w:t>0..1</w:t>
            </w:r>
          </w:p>
        </w:tc>
        <w:tc>
          <w:tcPr>
            <w:tcW w:w="3402" w:type="dxa"/>
            <w:shd w:val="clear" w:color="auto" w:fill="auto"/>
          </w:tcPr>
          <w:p w:rsidR="00CB0DD7" w:rsidRPr="000A0A5F" w:rsidRDefault="00CB0DD7">
            <w:pPr>
              <w:pStyle w:val="TAL"/>
              <w:rPr>
                <w:rFonts w:cs="Arial"/>
                <w:szCs w:val="18"/>
                <w:lang w:eastAsia="zh-CN"/>
              </w:rPr>
            </w:pPr>
            <w:r w:rsidRPr="000A0A5F">
              <w:rPr>
                <w:rFonts w:cs="Arial"/>
                <w:szCs w:val="18"/>
                <w:lang w:eastAsia="zh-CN"/>
              </w:rPr>
              <w:t>This parameter may be included to identify the maximum period of time after which the UE is considered to be unreachable, which is applied in the network.</w:t>
            </w:r>
          </w:p>
        </w:tc>
        <w:tc>
          <w:tcPr>
            <w:tcW w:w="1257" w:type="dxa"/>
          </w:tcPr>
          <w:p w:rsidR="00CB0DD7" w:rsidRPr="000A0A5F" w:rsidRDefault="00CB0DD7">
            <w:pPr>
              <w:pStyle w:val="TAL"/>
              <w:rPr>
                <w:rFonts w:eastAsia="Times New Roman" w:cs="Arial"/>
                <w:szCs w:val="18"/>
              </w:rPr>
            </w:pPr>
          </w:p>
        </w:tc>
      </w:tr>
      <w:tr w:rsidR="00CB0DD7" w:rsidRPr="000A0A5F" w:rsidTr="00F83684">
        <w:trPr>
          <w:jc w:val="center"/>
        </w:trPr>
        <w:tc>
          <w:tcPr>
            <w:tcW w:w="9602" w:type="dxa"/>
            <w:gridSpan w:val="5"/>
            <w:shd w:val="clear" w:color="auto" w:fill="auto"/>
          </w:tcPr>
          <w:p w:rsidR="00CB0DD7" w:rsidRPr="000A0A5F" w:rsidRDefault="00CB0DD7">
            <w:pPr>
              <w:pStyle w:val="TAN"/>
            </w:pPr>
            <w:r w:rsidRPr="000A0A5F">
              <w:t>NOTE:</w:t>
            </w:r>
            <w:r w:rsidRPr="000A0A5F">
              <w:tab/>
            </w:r>
            <w:r w:rsidRPr="000A0A5F">
              <w:rPr>
                <w:rFonts w:eastAsia="Times New Roman" w:cs="Arial"/>
                <w:szCs w:val="18"/>
              </w:rPr>
              <w:t>If both are omitted, it means the change applies for the whole configuration (i.e. a single UE or a group of UEs).</w:t>
            </w:r>
          </w:p>
        </w:tc>
      </w:tr>
    </w:tbl>
    <w:p w:rsidR="00CB0DD7" w:rsidRPr="000A0A5F" w:rsidRDefault="00CB0DD7">
      <w:pPr>
        <w:rPr>
          <w:lang w:eastAsia="zh-CN"/>
        </w:rPr>
      </w:pPr>
    </w:p>
    <w:p w:rsidR="00CB0DD7" w:rsidRPr="000A0A5F" w:rsidRDefault="00CB0DD7">
      <w:pPr>
        <w:pStyle w:val="Heading5"/>
      </w:pPr>
      <w:bookmarkStart w:id="1961" w:name="_Toc27044442"/>
      <w:bookmarkStart w:id="1962" w:name="_Toc36033484"/>
      <w:bookmarkStart w:id="1963" w:name="_Toc45131616"/>
      <w:bookmarkStart w:id="1964" w:name="_Toc49775901"/>
      <w:bookmarkStart w:id="1965" w:name="_Toc51746821"/>
      <w:bookmarkStart w:id="1966" w:name="_Toc66360365"/>
      <w:bookmarkStart w:id="1967" w:name="_Toc68104870"/>
      <w:bookmarkStart w:id="1968" w:name="_Toc74755500"/>
      <w:bookmarkStart w:id="1969" w:name="_Toc105674361"/>
      <w:bookmarkStart w:id="1970" w:name="_Toc130502400"/>
      <w:bookmarkStart w:id="1971" w:name="_Toc153625182"/>
      <w:r w:rsidRPr="000A0A5F">
        <w:t>5.3.2.3.9</w:t>
      </w:r>
      <w:r w:rsidRPr="000A0A5F">
        <w:tab/>
        <w:t>Type: ApiCapabilityInfo</w:t>
      </w:r>
      <w:bookmarkEnd w:id="1961"/>
      <w:bookmarkEnd w:id="1962"/>
      <w:bookmarkEnd w:id="1963"/>
      <w:bookmarkEnd w:id="1964"/>
      <w:bookmarkEnd w:id="1965"/>
      <w:bookmarkEnd w:id="1966"/>
      <w:bookmarkEnd w:id="1967"/>
      <w:bookmarkEnd w:id="1968"/>
      <w:bookmarkEnd w:id="1969"/>
      <w:bookmarkEnd w:id="1970"/>
      <w:bookmarkEnd w:id="1971"/>
    </w:p>
    <w:p w:rsidR="00CB0DD7" w:rsidRPr="000A0A5F" w:rsidRDefault="00CB0DD7">
      <w:r w:rsidRPr="000A0A5F">
        <w:t>This data type represents the availability information of a supported API.</w:t>
      </w:r>
    </w:p>
    <w:p w:rsidR="00CB0DD7" w:rsidRPr="000A0A5F" w:rsidRDefault="00CB0DD7">
      <w:pPr>
        <w:pStyle w:val="TH"/>
      </w:pPr>
      <w:r w:rsidRPr="000A0A5F">
        <w:rPr>
          <w:noProof/>
        </w:rPr>
        <w:t>Table </w:t>
      </w:r>
      <w:r w:rsidRPr="000A0A5F">
        <w:t xml:space="preserve">5.3.2.3.9-1: </w:t>
      </w:r>
      <w:r w:rsidRPr="000A0A5F">
        <w:rPr>
          <w:noProof/>
        </w:rPr>
        <w:t xml:space="preserve">Definition of type </w:t>
      </w:r>
      <w:r w:rsidRPr="000A0A5F">
        <w:t>ApiCapabilityInfo</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948"/>
        <w:gridCol w:w="1861"/>
        <w:gridCol w:w="1134"/>
        <w:gridCol w:w="3402"/>
        <w:gridCol w:w="1257"/>
      </w:tblGrid>
      <w:tr w:rsidR="00CB0DD7" w:rsidRPr="000A0A5F" w:rsidTr="00F83684">
        <w:trPr>
          <w:jc w:val="center"/>
        </w:trPr>
        <w:tc>
          <w:tcPr>
            <w:tcW w:w="1948" w:type="dxa"/>
            <w:shd w:val="clear" w:color="auto" w:fill="C0C0C0"/>
          </w:tcPr>
          <w:p w:rsidR="00CB0DD7" w:rsidRPr="000A0A5F" w:rsidRDefault="00CB0DD7">
            <w:pPr>
              <w:pStyle w:val="TAH"/>
              <w:rPr>
                <w:rFonts w:eastAsia="Times New Roman"/>
              </w:rPr>
            </w:pPr>
            <w:r w:rsidRPr="000A0A5F">
              <w:rPr>
                <w:rFonts w:eastAsia="Times New Roman"/>
              </w:rPr>
              <w:t>Attribute name</w:t>
            </w:r>
          </w:p>
        </w:tc>
        <w:tc>
          <w:tcPr>
            <w:tcW w:w="1861" w:type="dxa"/>
            <w:shd w:val="clear" w:color="auto" w:fill="C0C0C0"/>
          </w:tcPr>
          <w:p w:rsidR="00CB0DD7" w:rsidRPr="000A0A5F" w:rsidRDefault="00CB0DD7">
            <w:pPr>
              <w:pStyle w:val="TAH"/>
              <w:rPr>
                <w:rFonts w:eastAsia="Times New Roman"/>
              </w:rPr>
            </w:pPr>
            <w:r w:rsidRPr="000A0A5F">
              <w:rPr>
                <w:rFonts w:eastAsia="Times New Roman"/>
              </w:rPr>
              <w:t>Data type</w:t>
            </w:r>
          </w:p>
        </w:tc>
        <w:tc>
          <w:tcPr>
            <w:tcW w:w="1134" w:type="dxa"/>
            <w:shd w:val="clear" w:color="auto" w:fill="C0C0C0"/>
          </w:tcPr>
          <w:p w:rsidR="00CB0DD7" w:rsidRPr="000A0A5F" w:rsidRDefault="00CB0DD7">
            <w:pPr>
              <w:pStyle w:val="TAH"/>
              <w:jc w:val="left"/>
              <w:rPr>
                <w:rFonts w:eastAsia="Times New Roman"/>
              </w:rPr>
            </w:pPr>
            <w:r w:rsidRPr="000A0A5F">
              <w:rPr>
                <w:rFonts w:eastAsia="Times New Roman"/>
              </w:rPr>
              <w:t>Cardinality</w:t>
            </w:r>
          </w:p>
        </w:tc>
        <w:tc>
          <w:tcPr>
            <w:tcW w:w="3402"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Description</w:t>
            </w:r>
          </w:p>
        </w:tc>
        <w:tc>
          <w:tcPr>
            <w:tcW w:w="1257"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Applicability</w:t>
            </w:r>
          </w:p>
        </w:tc>
      </w:tr>
      <w:tr w:rsidR="00CB0DD7" w:rsidRPr="000A0A5F" w:rsidTr="00F83684">
        <w:trPr>
          <w:jc w:val="center"/>
        </w:trPr>
        <w:tc>
          <w:tcPr>
            <w:tcW w:w="1948" w:type="dxa"/>
            <w:shd w:val="clear" w:color="auto" w:fill="auto"/>
            <w:vAlign w:val="center"/>
          </w:tcPr>
          <w:p w:rsidR="00CB0DD7" w:rsidRPr="000A0A5F" w:rsidRDefault="00CB0DD7">
            <w:pPr>
              <w:pStyle w:val="TAL"/>
              <w:rPr>
                <w:rFonts w:eastAsia="Times New Roman"/>
              </w:rPr>
            </w:pPr>
            <w:r w:rsidRPr="000A0A5F">
              <w:rPr>
                <w:lang w:eastAsia="zh-CN"/>
              </w:rPr>
              <w:t>apiName</w:t>
            </w:r>
          </w:p>
        </w:tc>
        <w:tc>
          <w:tcPr>
            <w:tcW w:w="1861" w:type="dxa"/>
            <w:shd w:val="clear" w:color="auto" w:fill="auto"/>
            <w:vAlign w:val="center"/>
          </w:tcPr>
          <w:p w:rsidR="00CB0DD7" w:rsidRPr="000A0A5F" w:rsidRDefault="00CB0DD7">
            <w:pPr>
              <w:pStyle w:val="TAL"/>
              <w:rPr>
                <w:rFonts w:eastAsia="Times New Roman"/>
              </w:rPr>
            </w:pPr>
            <w:r w:rsidRPr="000A0A5F">
              <w:rPr>
                <w:lang w:eastAsia="zh-CN"/>
              </w:rPr>
              <w:t>string</w:t>
            </w:r>
          </w:p>
        </w:tc>
        <w:tc>
          <w:tcPr>
            <w:tcW w:w="1134" w:type="dxa"/>
            <w:shd w:val="clear" w:color="auto" w:fill="auto"/>
            <w:vAlign w:val="center"/>
          </w:tcPr>
          <w:p w:rsidR="00CB0DD7" w:rsidRPr="000A0A5F" w:rsidRDefault="00CB0DD7">
            <w:pPr>
              <w:pStyle w:val="TAL"/>
              <w:rPr>
                <w:rFonts w:eastAsia="Times New Roman"/>
              </w:rPr>
            </w:pPr>
            <w:r w:rsidRPr="000A0A5F">
              <w:rPr>
                <w:rFonts w:hint="eastAsia"/>
                <w:lang w:eastAsia="zh-CN"/>
              </w:rPr>
              <w:t>1</w:t>
            </w:r>
          </w:p>
        </w:tc>
        <w:tc>
          <w:tcPr>
            <w:tcW w:w="3402" w:type="dxa"/>
            <w:shd w:val="clear" w:color="auto" w:fill="auto"/>
          </w:tcPr>
          <w:p w:rsidR="00CB0DD7" w:rsidRPr="000A0A5F" w:rsidRDefault="00CB0DD7">
            <w:pPr>
              <w:pStyle w:val="TAL"/>
              <w:rPr>
                <w:rFonts w:cs="Arial"/>
                <w:szCs w:val="18"/>
                <w:lang w:eastAsia="zh-CN"/>
              </w:rPr>
            </w:pPr>
            <w:r w:rsidRPr="000A0A5F">
              <w:rPr>
                <w:rFonts w:cs="Arial" w:hint="eastAsia"/>
                <w:szCs w:val="18"/>
                <w:lang w:eastAsia="zh-CN"/>
              </w:rPr>
              <w:t>I</w:t>
            </w:r>
            <w:r w:rsidRPr="000A0A5F">
              <w:rPr>
                <w:rFonts w:cs="Arial"/>
                <w:szCs w:val="18"/>
                <w:lang w:eastAsia="zh-CN"/>
              </w:rPr>
              <w:t>d</w:t>
            </w:r>
            <w:r w:rsidRPr="000A0A5F">
              <w:rPr>
                <w:rFonts w:cs="Arial" w:hint="eastAsia"/>
                <w:szCs w:val="18"/>
                <w:lang w:eastAsia="zh-CN"/>
              </w:rPr>
              <w:t>entifies</w:t>
            </w:r>
            <w:r w:rsidRPr="000A0A5F">
              <w:rPr>
                <w:rFonts w:cs="Arial"/>
                <w:szCs w:val="18"/>
                <w:lang w:eastAsia="zh-CN"/>
              </w:rPr>
              <w:t xml:space="preserve"> the name of an available API provided by the SCEF+NEF.</w:t>
            </w:r>
          </w:p>
          <w:p w:rsidR="00CB0DD7" w:rsidRPr="000A0A5F" w:rsidRDefault="00CB0DD7">
            <w:pPr>
              <w:pStyle w:val="TAL"/>
              <w:rPr>
                <w:rFonts w:eastAsia="Times New Roman" w:cs="Arial"/>
                <w:szCs w:val="18"/>
              </w:rPr>
            </w:pPr>
            <w:r w:rsidRPr="000A0A5F">
              <w:t>I</w:t>
            </w:r>
            <w:r w:rsidRPr="000A0A5F">
              <w:rPr>
                <w:rFonts w:cs="Arial"/>
                <w:szCs w:val="18"/>
              </w:rPr>
              <w:t xml:space="preserve">t shall set as {apiName} </w:t>
            </w:r>
            <w:r w:rsidRPr="000A0A5F">
              <w:t xml:space="preserve">part of the URI structure for each T8 or N33 API as defined in the present specification or </w:t>
            </w:r>
            <w:r w:rsidRPr="000A0A5F">
              <w:rPr>
                <w:noProof/>
                <w:lang w:eastAsia="zh-CN"/>
              </w:rPr>
              <w:t>3GPP TS 29.522</w:t>
            </w:r>
            <w:r w:rsidRPr="000A0A5F">
              <w:rPr>
                <w:noProof/>
                <w:lang w:val="en-US" w:eastAsia="zh-CN"/>
              </w:rPr>
              <w:t> [62], respectively</w:t>
            </w:r>
            <w:r w:rsidRPr="000A0A5F">
              <w:rPr>
                <w:rFonts w:cs="Arial"/>
                <w:szCs w:val="18"/>
              </w:rPr>
              <w:t>.</w:t>
            </w:r>
          </w:p>
        </w:tc>
        <w:tc>
          <w:tcPr>
            <w:tcW w:w="1257" w:type="dxa"/>
          </w:tcPr>
          <w:p w:rsidR="00CB0DD7" w:rsidRPr="000A0A5F" w:rsidRDefault="00CB0DD7">
            <w:pPr>
              <w:pStyle w:val="TAL"/>
              <w:rPr>
                <w:rFonts w:eastAsia="Times New Roman" w:cs="Arial"/>
                <w:szCs w:val="18"/>
              </w:rPr>
            </w:pPr>
          </w:p>
        </w:tc>
      </w:tr>
      <w:tr w:rsidR="00CB0DD7" w:rsidRPr="000A0A5F" w:rsidTr="00F83684">
        <w:trPr>
          <w:jc w:val="center"/>
        </w:trPr>
        <w:tc>
          <w:tcPr>
            <w:tcW w:w="1948" w:type="dxa"/>
            <w:shd w:val="clear" w:color="auto" w:fill="auto"/>
          </w:tcPr>
          <w:p w:rsidR="00CB0DD7" w:rsidRPr="000A0A5F" w:rsidRDefault="00CB0DD7">
            <w:pPr>
              <w:pStyle w:val="TAL"/>
              <w:rPr>
                <w:rFonts w:eastAsia="Times New Roman"/>
              </w:rPr>
            </w:pPr>
            <w:r w:rsidRPr="000A0A5F">
              <w:t>suppFeat</w:t>
            </w:r>
          </w:p>
        </w:tc>
        <w:tc>
          <w:tcPr>
            <w:tcW w:w="1861" w:type="dxa"/>
            <w:shd w:val="clear" w:color="auto" w:fill="auto"/>
          </w:tcPr>
          <w:p w:rsidR="00CB0DD7" w:rsidRPr="000A0A5F" w:rsidRDefault="00CB0DD7">
            <w:pPr>
              <w:pStyle w:val="TAL"/>
              <w:rPr>
                <w:rFonts w:eastAsia="Times New Roman"/>
              </w:rPr>
            </w:pPr>
            <w:r w:rsidRPr="000A0A5F">
              <w:rPr>
                <w:lang w:eastAsia="zh-CN"/>
              </w:rPr>
              <w:t>SupportedFeatures</w:t>
            </w:r>
          </w:p>
        </w:tc>
        <w:tc>
          <w:tcPr>
            <w:tcW w:w="1134" w:type="dxa"/>
            <w:shd w:val="clear" w:color="auto" w:fill="auto"/>
          </w:tcPr>
          <w:p w:rsidR="00CB0DD7" w:rsidRPr="000A0A5F" w:rsidRDefault="00CB0DD7">
            <w:pPr>
              <w:pStyle w:val="TAL"/>
              <w:rPr>
                <w:rFonts w:eastAsia="Times New Roman"/>
              </w:rPr>
            </w:pPr>
            <w:r w:rsidRPr="000A0A5F">
              <w:rPr>
                <w:rFonts w:eastAsia="Times New Roman"/>
              </w:rPr>
              <w:t>1</w:t>
            </w:r>
          </w:p>
        </w:tc>
        <w:tc>
          <w:tcPr>
            <w:tcW w:w="3402" w:type="dxa"/>
            <w:shd w:val="clear" w:color="auto" w:fill="auto"/>
          </w:tcPr>
          <w:p w:rsidR="00CB0DD7" w:rsidRPr="000A0A5F" w:rsidRDefault="00CB0DD7">
            <w:pPr>
              <w:pStyle w:val="TAL"/>
              <w:rPr>
                <w:rFonts w:eastAsia="DengXian"/>
              </w:rPr>
            </w:pPr>
            <w:r w:rsidRPr="000A0A5F">
              <w:rPr>
                <w:rFonts w:eastAsia="Times New Roman" w:cs="Arial"/>
                <w:szCs w:val="18"/>
              </w:rPr>
              <w:t>Indicates all the features supported by the API</w:t>
            </w:r>
            <w:r w:rsidRPr="000A0A5F">
              <w:rPr>
                <w:rFonts w:cs="Arial"/>
                <w:szCs w:val="18"/>
                <w:lang w:eastAsia="zh-CN"/>
              </w:rPr>
              <w:t xml:space="preserve"> in the serving network, which provided by the </w:t>
            </w:r>
            <w:r w:rsidRPr="000A0A5F">
              <w:rPr>
                <w:rFonts w:cs="Arial"/>
                <w:szCs w:val="18"/>
                <w:lang w:val="en-US" w:eastAsia="zh-CN"/>
              </w:rPr>
              <w:t>SCEF+NEF</w:t>
            </w:r>
            <w:r w:rsidRPr="000A0A5F">
              <w:t>.</w:t>
            </w:r>
          </w:p>
        </w:tc>
        <w:tc>
          <w:tcPr>
            <w:tcW w:w="1257" w:type="dxa"/>
          </w:tcPr>
          <w:p w:rsidR="00CB0DD7" w:rsidRPr="000A0A5F" w:rsidRDefault="00CB0DD7">
            <w:pPr>
              <w:pStyle w:val="TAL"/>
              <w:rPr>
                <w:rFonts w:eastAsia="Times New Roman" w:cs="Arial"/>
                <w:szCs w:val="18"/>
              </w:rPr>
            </w:pPr>
          </w:p>
        </w:tc>
      </w:tr>
    </w:tbl>
    <w:p w:rsidR="00CB0DD7" w:rsidRPr="000A0A5F" w:rsidRDefault="00CB0DD7"/>
    <w:p w:rsidR="00080029" w:rsidRPr="000A0A5F" w:rsidRDefault="00080029" w:rsidP="00080029">
      <w:pPr>
        <w:pStyle w:val="Heading5"/>
      </w:pPr>
      <w:bookmarkStart w:id="1972" w:name="_Toc11247321"/>
      <w:bookmarkStart w:id="1973" w:name="_Toc27044443"/>
      <w:bookmarkStart w:id="1974" w:name="_Toc36033485"/>
      <w:bookmarkStart w:id="1975" w:name="_Toc45131617"/>
      <w:bookmarkStart w:id="1976" w:name="_Toc49775902"/>
      <w:bookmarkStart w:id="1977" w:name="_Toc51746822"/>
      <w:bookmarkStart w:id="1978" w:name="_Toc66360366"/>
      <w:bookmarkStart w:id="1979" w:name="_Toc68104871"/>
      <w:bookmarkStart w:id="1980" w:name="_Toc74755501"/>
      <w:bookmarkStart w:id="1981" w:name="_Toc105674362"/>
      <w:bookmarkStart w:id="1982" w:name="_Toc130502401"/>
      <w:bookmarkStart w:id="1983" w:name="_Toc153625183"/>
      <w:r w:rsidRPr="000A0A5F">
        <w:t>5.3.2.3.10</w:t>
      </w:r>
      <w:r w:rsidRPr="000A0A5F">
        <w:tab/>
        <w:t>Type: MonitoringEventReports</w:t>
      </w:r>
      <w:bookmarkEnd w:id="1981"/>
      <w:bookmarkEnd w:id="1982"/>
      <w:bookmarkEnd w:id="1983"/>
    </w:p>
    <w:p w:rsidR="00080029" w:rsidRPr="000A0A5F" w:rsidRDefault="00080029" w:rsidP="00080029">
      <w:pPr>
        <w:pStyle w:val="TH"/>
      </w:pPr>
      <w:r w:rsidRPr="000A0A5F">
        <w:rPr>
          <w:noProof/>
        </w:rPr>
        <w:t>Table </w:t>
      </w:r>
      <w:r w:rsidRPr="000A0A5F">
        <w:t xml:space="preserve">5.3.2.3.10-1: </w:t>
      </w:r>
      <w:r w:rsidRPr="000A0A5F">
        <w:rPr>
          <w:noProof/>
        </w:rPr>
        <w:t xml:space="preserve">Definition of type </w:t>
      </w:r>
      <w:r w:rsidRPr="000A0A5F">
        <w:t>MonitoringEventReports</w:t>
      </w:r>
    </w:p>
    <w:tbl>
      <w:tblPr>
        <w:tblW w:w="963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986"/>
        <w:gridCol w:w="2126"/>
        <w:gridCol w:w="1276"/>
        <w:gridCol w:w="2995"/>
        <w:gridCol w:w="1256"/>
      </w:tblGrid>
      <w:tr w:rsidR="00080029" w:rsidRPr="000A0A5F" w:rsidTr="00F83684">
        <w:trPr>
          <w:jc w:val="center"/>
        </w:trPr>
        <w:tc>
          <w:tcPr>
            <w:tcW w:w="1986" w:type="dxa"/>
            <w:shd w:val="clear" w:color="auto" w:fill="C0C0C0"/>
            <w:vAlign w:val="center"/>
          </w:tcPr>
          <w:p w:rsidR="00080029" w:rsidRPr="000A0A5F" w:rsidRDefault="00080029" w:rsidP="00AC0E52">
            <w:pPr>
              <w:pStyle w:val="TAH"/>
              <w:rPr>
                <w:rFonts w:eastAsia="Times New Roman"/>
              </w:rPr>
            </w:pPr>
            <w:r w:rsidRPr="000A0A5F">
              <w:rPr>
                <w:rFonts w:eastAsia="Times New Roman"/>
              </w:rPr>
              <w:t>Attribute name</w:t>
            </w:r>
          </w:p>
        </w:tc>
        <w:tc>
          <w:tcPr>
            <w:tcW w:w="2126" w:type="dxa"/>
            <w:shd w:val="clear" w:color="auto" w:fill="C0C0C0"/>
            <w:vAlign w:val="center"/>
          </w:tcPr>
          <w:p w:rsidR="00080029" w:rsidRPr="000A0A5F" w:rsidRDefault="00080029" w:rsidP="00AC0E52">
            <w:pPr>
              <w:pStyle w:val="TAH"/>
              <w:rPr>
                <w:rFonts w:eastAsia="Times New Roman"/>
              </w:rPr>
            </w:pPr>
            <w:r w:rsidRPr="000A0A5F">
              <w:rPr>
                <w:rFonts w:eastAsia="Times New Roman"/>
              </w:rPr>
              <w:t>Data type</w:t>
            </w:r>
          </w:p>
        </w:tc>
        <w:tc>
          <w:tcPr>
            <w:tcW w:w="1276" w:type="dxa"/>
            <w:shd w:val="clear" w:color="auto" w:fill="C0C0C0"/>
            <w:vAlign w:val="center"/>
          </w:tcPr>
          <w:p w:rsidR="00080029" w:rsidRPr="000A0A5F" w:rsidRDefault="00080029" w:rsidP="00AC0E52">
            <w:pPr>
              <w:pStyle w:val="TAH"/>
              <w:rPr>
                <w:rFonts w:eastAsia="Times New Roman"/>
              </w:rPr>
            </w:pPr>
            <w:r w:rsidRPr="000A0A5F">
              <w:rPr>
                <w:rFonts w:eastAsia="Times New Roman"/>
              </w:rPr>
              <w:t>Cardinality</w:t>
            </w:r>
          </w:p>
        </w:tc>
        <w:tc>
          <w:tcPr>
            <w:tcW w:w="2995" w:type="dxa"/>
            <w:shd w:val="clear" w:color="auto" w:fill="C0C0C0"/>
            <w:vAlign w:val="center"/>
          </w:tcPr>
          <w:p w:rsidR="00080029" w:rsidRPr="000A0A5F" w:rsidRDefault="00080029" w:rsidP="00AC0E52">
            <w:pPr>
              <w:pStyle w:val="TAH"/>
              <w:rPr>
                <w:rFonts w:eastAsia="Times New Roman" w:cs="Arial"/>
                <w:szCs w:val="18"/>
              </w:rPr>
            </w:pPr>
            <w:r w:rsidRPr="000A0A5F">
              <w:rPr>
                <w:rFonts w:eastAsia="Times New Roman" w:cs="Arial"/>
                <w:szCs w:val="18"/>
              </w:rPr>
              <w:t>Description</w:t>
            </w:r>
          </w:p>
        </w:tc>
        <w:tc>
          <w:tcPr>
            <w:tcW w:w="1256" w:type="dxa"/>
            <w:shd w:val="clear" w:color="auto" w:fill="C0C0C0"/>
            <w:vAlign w:val="center"/>
          </w:tcPr>
          <w:p w:rsidR="00080029" w:rsidRPr="000A0A5F" w:rsidRDefault="00080029" w:rsidP="00AC0E52">
            <w:pPr>
              <w:pStyle w:val="TAH"/>
              <w:rPr>
                <w:rFonts w:eastAsia="Times New Roman" w:cs="Arial"/>
                <w:szCs w:val="18"/>
              </w:rPr>
            </w:pPr>
            <w:r w:rsidRPr="000A0A5F">
              <w:rPr>
                <w:rFonts w:eastAsia="Times New Roman" w:cs="Arial"/>
                <w:szCs w:val="18"/>
              </w:rPr>
              <w:t>Applicability (NOTE)</w:t>
            </w:r>
          </w:p>
        </w:tc>
      </w:tr>
      <w:tr w:rsidR="00080029" w:rsidRPr="000A0A5F" w:rsidTr="00F83684">
        <w:trPr>
          <w:jc w:val="center"/>
        </w:trPr>
        <w:tc>
          <w:tcPr>
            <w:tcW w:w="1986" w:type="dxa"/>
            <w:shd w:val="clear" w:color="auto" w:fill="auto"/>
            <w:vAlign w:val="center"/>
          </w:tcPr>
          <w:p w:rsidR="00080029" w:rsidRPr="000A0A5F" w:rsidRDefault="00080029" w:rsidP="00AC0E52">
            <w:pPr>
              <w:pStyle w:val="TAL"/>
              <w:rPr>
                <w:rFonts w:eastAsia="Times New Roman"/>
              </w:rPr>
            </w:pPr>
            <w:r w:rsidRPr="000A0A5F">
              <w:rPr>
                <w:b/>
                <w:lang w:eastAsia="zh-CN"/>
              </w:rPr>
              <w:t>m</w:t>
            </w:r>
            <w:r w:rsidRPr="000A0A5F">
              <w:rPr>
                <w:lang w:eastAsia="zh-CN"/>
              </w:rPr>
              <w:t>onitoringEventReports</w:t>
            </w:r>
          </w:p>
        </w:tc>
        <w:tc>
          <w:tcPr>
            <w:tcW w:w="2126" w:type="dxa"/>
            <w:shd w:val="clear" w:color="auto" w:fill="auto"/>
            <w:vAlign w:val="center"/>
          </w:tcPr>
          <w:p w:rsidR="00080029" w:rsidRPr="000A0A5F" w:rsidRDefault="00080029" w:rsidP="00AC0E52">
            <w:pPr>
              <w:pStyle w:val="TAL"/>
            </w:pPr>
            <w:r w:rsidRPr="000A0A5F">
              <w:t>array(MonitoringEventReport)</w:t>
            </w:r>
          </w:p>
        </w:tc>
        <w:tc>
          <w:tcPr>
            <w:tcW w:w="1276" w:type="dxa"/>
            <w:shd w:val="clear" w:color="auto" w:fill="auto"/>
            <w:vAlign w:val="center"/>
          </w:tcPr>
          <w:p w:rsidR="00080029" w:rsidRPr="000A0A5F" w:rsidRDefault="00080029" w:rsidP="00AC0E52">
            <w:pPr>
              <w:pStyle w:val="TAC"/>
              <w:rPr>
                <w:rFonts w:eastAsia="Times New Roman"/>
              </w:rPr>
            </w:pPr>
            <w:r w:rsidRPr="000A0A5F">
              <w:rPr>
                <w:lang w:eastAsia="zh-CN"/>
              </w:rPr>
              <w:t>1</w:t>
            </w:r>
            <w:r w:rsidRPr="000A0A5F">
              <w:rPr>
                <w:rFonts w:hint="eastAsia"/>
                <w:lang w:eastAsia="zh-CN"/>
              </w:rPr>
              <w:t>..</w:t>
            </w:r>
            <w:r w:rsidRPr="000A0A5F">
              <w:rPr>
                <w:lang w:eastAsia="zh-CN"/>
              </w:rPr>
              <w:t>N</w:t>
            </w:r>
          </w:p>
        </w:tc>
        <w:tc>
          <w:tcPr>
            <w:tcW w:w="2995" w:type="dxa"/>
            <w:shd w:val="clear" w:color="auto" w:fill="auto"/>
            <w:vAlign w:val="center"/>
          </w:tcPr>
          <w:p w:rsidR="00080029" w:rsidRPr="000A0A5F" w:rsidRDefault="00080029" w:rsidP="00AC0E52">
            <w:pPr>
              <w:pStyle w:val="TAL"/>
              <w:rPr>
                <w:rFonts w:eastAsia="Times New Roman" w:cs="Arial"/>
                <w:szCs w:val="18"/>
              </w:rPr>
            </w:pPr>
            <w:r w:rsidRPr="000A0A5F">
              <w:rPr>
                <w:lang w:eastAsia="zh-CN"/>
              </w:rPr>
              <w:t xml:space="preserve">Contains </w:t>
            </w:r>
            <w:r w:rsidRPr="000A0A5F">
              <w:t>a set of event monitoring reports.</w:t>
            </w:r>
          </w:p>
        </w:tc>
        <w:tc>
          <w:tcPr>
            <w:tcW w:w="1256" w:type="dxa"/>
            <w:shd w:val="clear" w:color="auto" w:fill="auto"/>
            <w:vAlign w:val="center"/>
          </w:tcPr>
          <w:p w:rsidR="00080029" w:rsidRPr="000A0A5F" w:rsidRDefault="00080029" w:rsidP="00AC0E52">
            <w:pPr>
              <w:pStyle w:val="TAL"/>
              <w:rPr>
                <w:rFonts w:eastAsia="Times New Roman" w:cs="Arial"/>
                <w:szCs w:val="18"/>
              </w:rPr>
            </w:pPr>
          </w:p>
        </w:tc>
      </w:tr>
      <w:tr w:rsidR="00080029" w:rsidRPr="000A0A5F" w:rsidTr="00F83684">
        <w:trPr>
          <w:jc w:val="center"/>
        </w:trPr>
        <w:tc>
          <w:tcPr>
            <w:tcW w:w="9639" w:type="dxa"/>
            <w:gridSpan w:val="5"/>
            <w:shd w:val="clear" w:color="auto" w:fill="auto"/>
            <w:vAlign w:val="center"/>
          </w:tcPr>
          <w:p w:rsidR="00080029" w:rsidRPr="000A0A5F" w:rsidRDefault="00080029" w:rsidP="00AC0E52">
            <w:pPr>
              <w:pStyle w:val="TAN"/>
            </w:pPr>
            <w:r w:rsidRPr="000A0A5F">
              <w:t>NOTE:</w:t>
            </w:r>
            <w:r w:rsidRPr="000A0A5F">
              <w:tab/>
              <w:t>Properties marked with a feature as defined in clause 5.3.4 are applicable as described in clause 5.2.7. If no features are indicated, the related property applies for all the features.</w:t>
            </w:r>
          </w:p>
        </w:tc>
      </w:tr>
    </w:tbl>
    <w:p w:rsidR="00080029" w:rsidRPr="000A0A5F" w:rsidRDefault="00080029" w:rsidP="00080029"/>
    <w:p w:rsidR="00103873" w:rsidRPr="000A0A5F" w:rsidRDefault="00103873" w:rsidP="00103873">
      <w:pPr>
        <w:pStyle w:val="Heading5"/>
      </w:pPr>
      <w:bookmarkStart w:id="1984" w:name="_Toc105674363"/>
      <w:bookmarkStart w:id="1985" w:name="_Toc130502402"/>
      <w:bookmarkStart w:id="1986" w:name="_Toc153625184"/>
      <w:r w:rsidRPr="000A0A5F">
        <w:t>5.3.2.3.11</w:t>
      </w:r>
      <w:r w:rsidRPr="000A0A5F">
        <w:tab/>
        <w:t>Type: UavPolicy</w:t>
      </w:r>
      <w:bookmarkEnd w:id="1984"/>
      <w:bookmarkEnd w:id="1985"/>
      <w:bookmarkEnd w:id="1986"/>
    </w:p>
    <w:p w:rsidR="00103873" w:rsidRPr="000A0A5F" w:rsidRDefault="00103873" w:rsidP="00103873">
      <w:r w:rsidRPr="000A0A5F">
        <w:t xml:space="preserve">This data type represents the policy information included in the UAV </w:t>
      </w:r>
      <w:r w:rsidRPr="000A0A5F">
        <w:rPr>
          <w:lang w:eastAsia="zh-CN"/>
        </w:rPr>
        <w:t>presence monitoring request</w:t>
      </w:r>
      <w:r w:rsidRPr="000A0A5F">
        <w:t>.</w:t>
      </w:r>
    </w:p>
    <w:p w:rsidR="00103873" w:rsidRPr="000A0A5F" w:rsidRDefault="00103873" w:rsidP="00103873">
      <w:pPr>
        <w:pStyle w:val="TH"/>
      </w:pPr>
      <w:r w:rsidRPr="000A0A5F">
        <w:rPr>
          <w:noProof/>
        </w:rPr>
        <w:t>Table </w:t>
      </w:r>
      <w:r w:rsidRPr="000A0A5F">
        <w:t xml:space="preserve">5.3.2.3.11-1: </w:t>
      </w:r>
      <w:r w:rsidRPr="000A0A5F">
        <w:rPr>
          <w:noProof/>
        </w:rPr>
        <w:t xml:space="preserve">Definition of type </w:t>
      </w:r>
      <w:r w:rsidRPr="000A0A5F">
        <w:t>UavPolicy</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948"/>
        <w:gridCol w:w="1861"/>
        <w:gridCol w:w="1134"/>
        <w:gridCol w:w="3402"/>
        <w:gridCol w:w="1257"/>
      </w:tblGrid>
      <w:tr w:rsidR="00103873" w:rsidRPr="000A0A5F" w:rsidTr="00F83684">
        <w:trPr>
          <w:jc w:val="center"/>
        </w:trPr>
        <w:tc>
          <w:tcPr>
            <w:tcW w:w="1948" w:type="dxa"/>
            <w:shd w:val="clear" w:color="auto" w:fill="C0C0C0"/>
          </w:tcPr>
          <w:p w:rsidR="00103873" w:rsidRPr="000A0A5F" w:rsidRDefault="00103873" w:rsidP="00E4481A">
            <w:pPr>
              <w:pStyle w:val="TAH"/>
              <w:rPr>
                <w:rFonts w:eastAsia="Times New Roman"/>
              </w:rPr>
            </w:pPr>
            <w:r w:rsidRPr="000A0A5F">
              <w:rPr>
                <w:rFonts w:eastAsia="Times New Roman"/>
              </w:rPr>
              <w:t>Attribute name</w:t>
            </w:r>
          </w:p>
        </w:tc>
        <w:tc>
          <w:tcPr>
            <w:tcW w:w="1861" w:type="dxa"/>
            <w:shd w:val="clear" w:color="auto" w:fill="C0C0C0"/>
          </w:tcPr>
          <w:p w:rsidR="00103873" w:rsidRPr="000A0A5F" w:rsidRDefault="00103873" w:rsidP="00E4481A">
            <w:pPr>
              <w:pStyle w:val="TAH"/>
              <w:rPr>
                <w:rFonts w:eastAsia="Times New Roman"/>
              </w:rPr>
            </w:pPr>
            <w:r w:rsidRPr="000A0A5F">
              <w:rPr>
                <w:rFonts w:eastAsia="Times New Roman"/>
              </w:rPr>
              <w:t>Data type</w:t>
            </w:r>
          </w:p>
        </w:tc>
        <w:tc>
          <w:tcPr>
            <w:tcW w:w="1134" w:type="dxa"/>
            <w:shd w:val="clear" w:color="auto" w:fill="C0C0C0"/>
          </w:tcPr>
          <w:p w:rsidR="00103873" w:rsidRPr="000A0A5F" w:rsidRDefault="00103873" w:rsidP="00E4481A">
            <w:pPr>
              <w:pStyle w:val="TAH"/>
              <w:jc w:val="left"/>
              <w:rPr>
                <w:rFonts w:eastAsia="Times New Roman"/>
              </w:rPr>
            </w:pPr>
            <w:r w:rsidRPr="000A0A5F">
              <w:rPr>
                <w:rFonts w:eastAsia="Times New Roman"/>
              </w:rPr>
              <w:t>Cardinality</w:t>
            </w:r>
          </w:p>
        </w:tc>
        <w:tc>
          <w:tcPr>
            <w:tcW w:w="3402" w:type="dxa"/>
            <w:shd w:val="clear" w:color="auto" w:fill="C0C0C0"/>
          </w:tcPr>
          <w:p w:rsidR="00103873" w:rsidRPr="000A0A5F" w:rsidRDefault="00103873" w:rsidP="00E4481A">
            <w:pPr>
              <w:pStyle w:val="TAH"/>
              <w:rPr>
                <w:rFonts w:eastAsia="Times New Roman" w:cs="Arial"/>
                <w:szCs w:val="18"/>
              </w:rPr>
            </w:pPr>
            <w:r w:rsidRPr="000A0A5F">
              <w:rPr>
                <w:rFonts w:eastAsia="Times New Roman" w:cs="Arial"/>
                <w:szCs w:val="18"/>
              </w:rPr>
              <w:t>Description</w:t>
            </w:r>
          </w:p>
        </w:tc>
        <w:tc>
          <w:tcPr>
            <w:tcW w:w="1257" w:type="dxa"/>
            <w:shd w:val="clear" w:color="auto" w:fill="C0C0C0"/>
          </w:tcPr>
          <w:p w:rsidR="00103873" w:rsidRPr="000A0A5F" w:rsidRDefault="00103873" w:rsidP="00E4481A">
            <w:pPr>
              <w:pStyle w:val="TAH"/>
              <w:rPr>
                <w:rFonts w:eastAsia="Times New Roman" w:cs="Arial"/>
                <w:szCs w:val="18"/>
              </w:rPr>
            </w:pPr>
            <w:r w:rsidRPr="000A0A5F">
              <w:rPr>
                <w:rFonts w:eastAsia="Times New Roman" w:cs="Arial"/>
                <w:szCs w:val="18"/>
              </w:rPr>
              <w:t>Applicability</w:t>
            </w:r>
          </w:p>
        </w:tc>
      </w:tr>
      <w:tr w:rsidR="00103873" w:rsidRPr="000A0A5F" w:rsidTr="00F83684">
        <w:trPr>
          <w:jc w:val="center"/>
        </w:trPr>
        <w:tc>
          <w:tcPr>
            <w:tcW w:w="1948" w:type="dxa"/>
            <w:shd w:val="clear" w:color="auto" w:fill="auto"/>
            <w:vAlign w:val="center"/>
          </w:tcPr>
          <w:p w:rsidR="00103873" w:rsidRPr="000A0A5F" w:rsidRDefault="00103873" w:rsidP="00103873">
            <w:pPr>
              <w:pStyle w:val="TAL"/>
              <w:rPr>
                <w:rFonts w:eastAsia="Times New Roman"/>
              </w:rPr>
            </w:pPr>
            <w:r w:rsidRPr="000A0A5F">
              <w:rPr>
                <w:lang w:eastAsia="zh-CN"/>
              </w:rPr>
              <w:t>uavMoveInd</w:t>
            </w:r>
          </w:p>
        </w:tc>
        <w:tc>
          <w:tcPr>
            <w:tcW w:w="1861" w:type="dxa"/>
            <w:shd w:val="clear" w:color="auto" w:fill="auto"/>
            <w:vAlign w:val="center"/>
          </w:tcPr>
          <w:p w:rsidR="00103873" w:rsidRPr="000A0A5F" w:rsidRDefault="00103873" w:rsidP="00103873">
            <w:pPr>
              <w:pStyle w:val="TAL"/>
              <w:rPr>
                <w:rFonts w:eastAsia="Times New Roman"/>
              </w:rPr>
            </w:pPr>
            <w:r w:rsidRPr="000A0A5F">
              <w:rPr>
                <w:lang w:eastAsia="zh-CN"/>
              </w:rPr>
              <w:t>b</w:t>
            </w:r>
            <w:r w:rsidRPr="000A0A5F">
              <w:rPr>
                <w:rFonts w:hint="eastAsia"/>
                <w:lang w:eastAsia="zh-CN"/>
              </w:rPr>
              <w:t>oole</w:t>
            </w:r>
            <w:r w:rsidRPr="000A0A5F">
              <w:rPr>
                <w:lang w:eastAsia="zh-CN"/>
              </w:rPr>
              <w:t>a</w:t>
            </w:r>
            <w:r w:rsidRPr="000A0A5F">
              <w:rPr>
                <w:rFonts w:hint="eastAsia"/>
                <w:lang w:eastAsia="zh-CN"/>
              </w:rPr>
              <w:t>n</w:t>
            </w:r>
          </w:p>
        </w:tc>
        <w:tc>
          <w:tcPr>
            <w:tcW w:w="1134" w:type="dxa"/>
            <w:shd w:val="clear" w:color="auto" w:fill="auto"/>
            <w:vAlign w:val="center"/>
          </w:tcPr>
          <w:p w:rsidR="00103873" w:rsidRPr="000A0A5F" w:rsidRDefault="00103873" w:rsidP="00103873">
            <w:pPr>
              <w:pStyle w:val="TAL"/>
              <w:rPr>
                <w:rFonts w:eastAsia="Times New Roman"/>
              </w:rPr>
            </w:pPr>
            <w:r w:rsidRPr="000A0A5F">
              <w:rPr>
                <w:rFonts w:hint="eastAsia"/>
                <w:lang w:eastAsia="zh-CN"/>
              </w:rPr>
              <w:t>1</w:t>
            </w:r>
          </w:p>
        </w:tc>
        <w:tc>
          <w:tcPr>
            <w:tcW w:w="3402" w:type="dxa"/>
            <w:shd w:val="clear" w:color="auto" w:fill="auto"/>
            <w:vAlign w:val="center"/>
          </w:tcPr>
          <w:p w:rsidR="00103873" w:rsidRPr="000A0A5F" w:rsidRDefault="00103873" w:rsidP="00103873">
            <w:pPr>
              <w:pStyle w:val="TAL"/>
              <w:rPr>
                <w:rFonts w:eastAsia="Times New Roman" w:cs="Arial"/>
                <w:szCs w:val="18"/>
              </w:rPr>
            </w:pPr>
            <w:r w:rsidRPr="000A0A5F">
              <w:t xml:space="preserve">Indicates the UAV </w:t>
            </w:r>
            <w:r w:rsidRPr="000A0A5F">
              <w:rPr>
                <w:lang w:eastAsia="zh-CN"/>
              </w:rPr>
              <w:t>moves in or moves out of the Area of Interest</w:t>
            </w:r>
            <w:r w:rsidRPr="000A0A5F">
              <w:rPr>
                <w:rFonts w:cs="Arial"/>
                <w:szCs w:val="18"/>
              </w:rPr>
              <w:t xml:space="preserve">. </w:t>
            </w:r>
            <w:r w:rsidRPr="000A0A5F">
              <w:rPr>
                <w:lang w:eastAsia="zh-CN"/>
              </w:rPr>
              <w:t>S</w:t>
            </w:r>
            <w:r w:rsidRPr="000A0A5F">
              <w:rPr>
                <w:rFonts w:hint="eastAsia"/>
                <w:lang w:eastAsia="zh-CN"/>
              </w:rPr>
              <w:t>et to t</w:t>
            </w:r>
            <w:r w:rsidRPr="000A0A5F">
              <w:rPr>
                <w:lang w:eastAsia="zh-CN"/>
              </w:rPr>
              <w:t>r</w:t>
            </w:r>
            <w:r w:rsidRPr="000A0A5F">
              <w:rPr>
                <w:rFonts w:hint="eastAsia"/>
                <w:lang w:eastAsia="zh-CN"/>
              </w:rPr>
              <w:t>ue</w:t>
            </w:r>
            <w:r w:rsidRPr="000A0A5F">
              <w:rPr>
                <w:lang w:eastAsia="zh-CN"/>
              </w:rPr>
              <w:t xml:space="preserve"> i</w:t>
            </w:r>
            <w:r w:rsidRPr="000A0A5F">
              <w:rPr>
                <w:rFonts w:hint="eastAsia"/>
                <w:lang w:eastAsia="zh-CN"/>
              </w:rPr>
              <w:t xml:space="preserve">f </w:t>
            </w:r>
            <w:r w:rsidRPr="000A0A5F">
              <w:rPr>
                <w:lang w:eastAsia="zh-CN"/>
              </w:rPr>
              <w:t xml:space="preserve">the </w:t>
            </w:r>
            <w:r w:rsidRPr="000A0A5F">
              <w:t xml:space="preserve">UAV </w:t>
            </w:r>
            <w:r w:rsidRPr="000A0A5F">
              <w:rPr>
                <w:lang w:eastAsia="zh-CN"/>
              </w:rPr>
              <w:t>moves in the Area of Interest</w:t>
            </w:r>
            <w:r w:rsidRPr="000A0A5F">
              <w:rPr>
                <w:rFonts w:hint="eastAsia"/>
                <w:lang w:eastAsia="zh-CN"/>
              </w:rPr>
              <w:t>.</w:t>
            </w:r>
            <w:r w:rsidRPr="000A0A5F">
              <w:rPr>
                <w:lang w:eastAsia="zh-CN"/>
              </w:rPr>
              <w:t xml:space="preserve"> Set to false if the </w:t>
            </w:r>
            <w:r w:rsidRPr="000A0A5F">
              <w:t>UAV</w:t>
            </w:r>
            <w:r w:rsidRPr="000A0A5F">
              <w:rPr>
                <w:lang w:eastAsia="zh-CN"/>
              </w:rPr>
              <w:t xml:space="preserve"> moves out of the Area of Interest</w:t>
            </w:r>
            <w:r w:rsidRPr="000A0A5F">
              <w:t>.</w:t>
            </w:r>
          </w:p>
        </w:tc>
        <w:tc>
          <w:tcPr>
            <w:tcW w:w="1257" w:type="dxa"/>
            <w:vAlign w:val="center"/>
          </w:tcPr>
          <w:p w:rsidR="00103873" w:rsidRPr="000A0A5F" w:rsidRDefault="00103873" w:rsidP="00103873">
            <w:pPr>
              <w:pStyle w:val="TAL"/>
              <w:rPr>
                <w:rFonts w:eastAsia="Times New Roman" w:cs="Arial"/>
                <w:szCs w:val="18"/>
              </w:rPr>
            </w:pPr>
          </w:p>
        </w:tc>
      </w:tr>
      <w:tr w:rsidR="00103873" w:rsidRPr="000A0A5F" w:rsidTr="00F83684">
        <w:trPr>
          <w:jc w:val="center"/>
        </w:trPr>
        <w:tc>
          <w:tcPr>
            <w:tcW w:w="1948" w:type="dxa"/>
            <w:shd w:val="clear" w:color="auto" w:fill="auto"/>
            <w:vAlign w:val="center"/>
          </w:tcPr>
          <w:p w:rsidR="00103873" w:rsidRPr="000A0A5F" w:rsidRDefault="00103873" w:rsidP="00103873">
            <w:pPr>
              <w:pStyle w:val="TAL"/>
              <w:rPr>
                <w:rFonts w:eastAsia="Times New Roman"/>
              </w:rPr>
            </w:pPr>
            <w:r w:rsidRPr="000A0A5F">
              <w:t>revokeInd</w:t>
            </w:r>
          </w:p>
        </w:tc>
        <w:tc>
          <w:tcPr>
            <w:tcW w:w="1861" w:type="dxa"/>
            <w:shd w:val="clear" w:color="auto" w:fill="auto"/>
            <w:vAlign w:val="center"/>
          </w:tcPr>
          <w:p w:rsidR="00103873" w:rsidRPr="000A0A5F" w:rsidRDefault="00103873" w:rsidP="00103873">
            <w:pPr>
              <w:pStyle w:val="TAL"/>
              <w:rPr>
                <w:rFonts w:eastAsia="Times New Roman"/>
              </w:rPr>
            </w:pPr>
            <w:r w:rsidRPr="000A0A5F">
              <w:rPr>
                <w:lang w:eastAsia="zh-CN"/>
              </w:rPr>
              <w:t>b</w:t>
            </w:r>
            <w:r w:rsidRPr="000A0A5F">
              <w:rPr>
                <w:rFonts w:hint="eastAsia"/>
                <w:lang w:eastAsia="zh-CN"/>
              </w:rPr>
              <w:t>oole</w:t>
            </w:r>
            <w:r w:rsidRPr="000A0A5F">
              <w:rPr>
                <w:lang w:eastAsia="zh-CN"/>
              </w:rPr>
              <w:t>a</w:t>
            </w:r>
            <w:r w:rsidRPr="000A0A5F">
              <w:rPr>
                <w:rFonts w:hint="eastAsia"/>
                <w:lang w:eastAsia="zh-CN"/>
              </w:rPr>
              <w:t>n</w:t>
            </w:r>
          </w:p>
        </w:tc>
        <w:tc>
          <w:tcPr>
            <w:tcW w:w="1134" w:type="dxa"/>
            <w:shd w:val="clear" w:color="auto" w:fill="auto"/>
            <w:vAlign w:val="center"/>
          </w:tcPr>
          <w:p w:rsidR="00103873" w:rsidRPr="000A0A5F" w:rsidRDefault="00103873" w:rsidP="00103873">
            <w:pPr>
              <w:pStyle w:val="TAL"/>
              <w:rPr>
                <w:rFonts w:eastAsia="Times New Roman"/>
              </w:rPr>
            </w:pPr>
            <w:r w:rsidRPr="000A0A5F">
              <w:rPr>
                <w:lang w:eastAsia="zh-CN"/>
              </w:rPr>
              <w:t>1</w:t>
            </w:r>
          </w:p>
        </w:tc>
        <w:tc>
          <w:tcPr>
            <w:tcW w:w="3402" w:type="dxa"/>
            <w:shd w:val="clear" w:color="auto" w:fill="auto"/>
            <w:vAlign w:val="center"/>
          </w:tcPr>
          <w:p w:rsidR="00103873" w:rsidRPr="000A0A5F" w:rsidRDefault="00103873" w:rsidP="00103873">
            <w:pPr>
              <w:pStyle w:val="TAL"/>
              <w:rPr>
                <w:rFonts w:eastAsia="DengXian"/>
              </w:rPr>
            </w:pPr>
            <w:r w:rsidRPr="000A0A5F">
              <w:rPr>
                <w:rFonts w:eastAsia="Times New Roman" w:cs="Arial"/>
                <w:szCs w:val="18"/>
              </w:rPr>
              <w:t>Indicates</w:t>
            </w:r>
            <w:r w:rsidRPr="000A0A5F">
              <w:rPr>
                <w:lang w:eastAsia="zh-CN"/>
              </w:rPr>
              <w:t xml:space="preserve"> whether the connectivity between UAV and UAV controller shall be revoked. </w:t>
            </w:r>
            <w:r w:rsidRPr="000A0A5F">
              <w:rPr>
                <w:rFonts w:hint="eastAsia"/>
                <w:lang w:eastAsia="zh-CN"/>
              </w:rPr>
              <w:t>If set to t</w:t>
            </w:r>
            <w:r w:rsidRPr="000A0A5F">
              <w:rPr>
                <w:lang w:eastAsia="zh-CN"/>
              </w:rPr>
              <w:t>r</w:t>
            </w:r>
            <w:r w:rsidRPr="000A0A5F">
              <w:rPr>
                <w:rFonts w:hint="eastAsia"/>
                <w:lang w:eastAsia="zh-CN"/>
              </w:rPr>
              <w:t xml:space="preserve">ue, </w:t>
            </w:r>
            <w:r w:rsidRPr="000A0A5F">
              <w:rPr>
                <w:lang w:eastAsia="zh-CN"/>
              </w:rPr>
              <w:t>the connectivity between UAV and UAV controller shall be revoked</w:t>
            </w:r>
            <w:r w:rsidRPr="000A0A5F">
              <w:rPr>
                <w:rFonts w:hint="eastAsia"/>
                <w:lang w:eastAsia="zh-CN"/>
              </w:rPr>
              <w:t>.</w:t>
            </w:r>
            <w:r w:rsidRPr="000A0A5F">
              <w:rPr>
                <w:lang w:eastAsia="zh-CN"/>
              </w:rPr>
              <w:t xml:space="preserve"> Set to false otherwise.</w:t>
            </w:r>
          </w:p>
        </w:tc>
        <w:tc>
          <w:tcPr>
            <w:tcW w:w="1257" w:type="dxa"/>
            <w:vAlign w:val="center"/>
          </w:tcPr>
          <w:p w:rsidR="00103873" w:rsidRPr="000A0A5F" w:rsidRDefault="00103873" w:rsidP="00103873">
            <w:pPr>
              <w:pStyle w:val="TAL"/>
              <w:rPr>
                <w:rFonts w:eastAsia="Times New Roman" w:cs="Arial"/>
                <w:szCs w:val="18"/>
              </w:rPr>
            </w:pPr>
          </w:p>
        </w:tc>
      </w:tr>
    </w:tbl>
    <w:p w:rsidR="00103873" w:rsidRPr="000A0A5F" w:rsidRDefault="00103873" w:rsidP="00103873"/>
    <w:p w:rsidR="00E37664" w:rsidRPr="000A0A5F" w:rsidRDefault="00E37664" w:rsidP="00E37664">
      <w:pPr>
        <w:pStyle w:val="Heading5"/>
      </w:pPr>
      <w:bookmarkStart w:id="1987" w:name="_Toc105674364"/>
      <w:bookmarkStart w:id="1988" w:name="_Toc130502403"/>
      <w:bookmarkStart w:id="1989" w:name="_Toc153625185"/>
      <w:r w:rsidRPr="000A0A5F">
        <w:t>5.3.2.3.</w:t>
      </w:r>
      <w:r w:rsidR="00AC79C0" w:rsidRPr="000A0A5F">
        <w:t>11</w:t>
      </w:r>
      <w:r w:rsidRPr="000A0A5F">
        <w:tab/>
        <w:t>Type: ConsentRevocNotif</w:t>
      </w:r>
      <w:bookmarkEnd w:id="1987"/>
      <w:bookmarkEnd w:id="1988"/>
      <w:bookmarkEnd w:id="1989"/>
    </w:p>
    <w:p w:rsidR="00E37664" w:rsidRPr="000A0A5F" w:rsidRDefault="00E37664" w:rsidP="00E37664">
      <w:pPr>
        <w:pStyle w:val="TH"/>
      </w:pPr>
      <w:r w:rsidRPr="000A0A5F">
        <w:rPr>
          <w:noProof/>
        </w:rPr>
        <w:t>Table </w:t>
      </w:r>
      <w:r w:rsidRPr="000A0A5F">
        <w:t>5.3.2.3.</w:t>
      </w:r>
      <w:r w:rsidR="00AC79C0" w:rsidRPr="000A0A5F">
        <w:t>11</w:t>
      </w:r>
      <w:r w:rsidRPr="000A0A5F">
        <w:t xml:space="preserve">-1: </w:t>
      </w:r>
      <w:r w:rsidRPr="000A0A5F">
        <w:rPr>
          <w:noProof/>
        </w:rPr>
        <w:t>Definition of type ConsentRevocNotif</w:t>
      </w:r>
    </w:p>
    <w:tbl>
      <w:tblPr>
        <w:tblW w:w="922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714"/>
        <w:gridCol w:w="1683"/>
        <w:gridCol w:w="1121"/>
        <w:gridCol w:w="3240"/>
        <w:gridCol w:w="1463"/>
      </w:tblGrid>
      <w:tr w:rsidR="00E37664" w:rsidRPr="000A0A5F" w:rsidTr="004E6AB3">
        <w:trPr>
          <w:jc w:val="center"/>
        </w:trPr>
        <w:tc>
          <w:tcPr>
            <w:tcW w:w="1714" w:type="dxa"/>
            <w:shd w:val="clear" w:color="auto" w:fill="C0C0C0"/>
            <w:hideMark/>
          </w:tcPr>
          <w:p w:rsidR="00E37664" w:rsidRPr="000A0A5F" w:rsidRDefault="00E37664" w:rsidP="00840C99">
            <w:pPr>
              <w:pStyle w:val="TAH"/>
            </w:pPr>
            <w:r w:rsidRPr="000A0A5F">
              <w:t>Attribute name</w:t>
            </w:r>
          </w:p>
        </w:tc>
        <w:tc>
          <w:tcPr>
            <w:tcW w:w="1683" w:type="dxa"/>
            <w:shd w:val="clear" w:color="auto" w:fill="C0C0C0"/>
            <w:hideMark/>
          </w:tcPr>
          <w:p w:rsidR="00E37664" w:rsidRPr="000A0A5F" w:rsidRDefault="00E37664" w:rsidP="00840C99">
            <w:pPr>
              <w:pStyle w:val="TAH"/>
            </w:pPr>
            <w:r w:rsidRPr="000A0A5F">
              <w:t>Data type</w:t>
            </w:r>
          </w:p>
        </w:tc>
        <w:tc>
          <w:tcPr>
            <w:tcW w:w="1121" w:type="dxa"/>
            <w:shd w:val="clear" w:color="auto" w:fill="C0C0C0"/>
            <w:hideMark/>
          </w:tcPr>
          <w:p w:rsidR="00E37664" w:rsidRPr="000A0A5F" w:rsidRDefault="00E37664" w:rsidP="00840C99">
            <w:pPr>
              <w:pStyle w:val="TAH"/>
            </w:pPr>
            <w:r w:rsidRPr="000A0A5F">
              <w:t>Cardinality</w:t>
            </w:r>
          </w:p>
        </w:tc>
        <w:tc>
          <w:tcPr>
            <w:tcW w:w="3240" w:type="dxa"/>
            <w:shd w:val="clear" w:color="auto" w:fill="C0C0C0"/>
            <w:hideMark/>
          </w:tcPr>
          <w:p w:rsidR="00E37664" w:rsidRPr="000A0A5F" w:rsidRDefault="00E37664" w:rsidP="00840C99">
            <w:pPr>
              <w:pStyle w:val="TAH"/>
            </w:pPr>
            <w:r w:rsidRPr="000A0A5F">
              <w:t>Description</w:t>
            </w:r>
          </w:p>
        </w:tc>
        <w:tc>
          <w:tcPr>
            <w:tcW w:w="1463" w:type="dxa"/>
            <w:shd w:val="clear" w:color="auto" w:fill="C0C0C0"/>
          </w:tcPr>
          <w:p w:rsidR="00E37664" w:rsidRPr="000A0A5F" w:rsidRDefault="00E37664" w:rsidP="00840C99">
            <w:pPr>
              <w:pStyle w:val="TAH"/>
            </w:pPr>
            <w:r w:rsidRPr="000A0A5F">
              <w:t>Applicability</w:t>
            </w:r>
          </w:p>
        </w:tc>
      </w:tr>
      <w:tr w:rsidR="00E37664" w:rsidRPr="000A0A5F" w:rsidTr="004E6AB3">
        <w:trPr>
          <w:jc w:val="center"/>
        </w:trPr>
        <w:tc>
          <w:tcPr>
            <w:tcW w:w="1714" w:type="dxa"/>
          </w:tcPr>
          <w:p w:rsidR="00E37664" w:rsidRPr="000A0A5F" w:rsidRDefault="00E37664" w:rsidP="00840C99">
            <w:pPr>
              <w:pStyle w:val="TAL"/>
              <w:rPr>
                <w:lang w:eastAsia="zh-CN"/>
              </w:rPr>
            </w:pPr>
            <w:r w:rsidRPr="000A0A5F">
              <w:rPr>
                <w:lang w:eastAsia="zh-CN"/>
              </w:rPr>
              <w:t>subscriptionId</w:t>
            </w:r>
          </w:p>
        </w:tc>
        <w:tc>
          <w:tcPr>
            <w:tcW w:w="1683" w:type="dxa"/>
          </w:tcPr>
          <w:p w:rsidR="00E37664" w:rsidRPr="000A0A5F" w:rsidRDefault="00E37664" w:rsidP="00840C99">
            <w:pPr>
              <w:pStyle w:val="TAL"/>
              <w:rPr>
                <w:lang w:eastAsia="zh-CN"/>
              </w:rPr>
            </w:pPr>
            <w:r w:rsidRPr="000A0A5F">
              <w:rPr>
                <w:lang w:eastAsia="zh-CN"/>
              </w:rPr>
              <w:t>string</w:t>
            </w:r>
          </w:p>
        </w:tc>
        <w:tc>
          <w:tcPr>
            <w:tcW w:w="1121" w:type="dxa"/>
          </w:tcPr>
          <w:p w:rsidR="00E37664" w:rsidRPr="000A0A5F" w:rsidRDefault="00E37664" w:rsidP="00840C99">
            <w:pPr>
              <w:pStyle w:val="TAC"/>
            </w:pPr>
            <w:r w:rsidRPr="000A0A5F">
              <w:t>1</w:t>
            </w:r>
          </w:p>
        </w:tc>
        <w:tc>
          <w:tcPr>
            <w:tcW w:w="3240" w:type="dxa"/>
          </w:tcPr>
          <w:p w:rsidR="00E37664" w:rsidRPr="000A0A5F" w:rsidRDefault="00E37664" w:rsidP="00840C99">
            <w:pPr>
              <w:pStyle w:val="TAL"/>
              <w:rPr>
                <w:rFonts w:cs="Arial"/>
                <w:szCs w:val="18"/>
                <w:lang w:eastAsia="zh-CN"/>
              </w:rPr>
            </w:pPr>
            <w:r w:rsidRPr="000A0A5F">
              <w:rPr>
                <w:rFonts w:cs="Arial"/>
                <w:szCs w:val="18"/>
                <w:lang w:eastAsia="zh-CN"/>
              </w:rPr>
              <w:t>Contains the identifier of the subscription to which the notification is related.</w:t>
            </w:r>
          </w:p>
        </w:tc>
        <w:tc>
          <w:tcPr>
            <w:tcW w:w="1463" w:type="dxa"/>
          </w:tcPr>
          <w:p w:rsidR="00E37664" w:rsidRPr="000A0A5F" w:rsidRDefault="00E37664" w:rsidP="00840C99">
            <w:pPr>
              <w:pStyle w:val="TAL"/>
              <w:rPr>
                <w:rFonts w:cs="Arial"/>
                <w:szCs w:val="18"/>
              </w:rPr>
            </w:pPr>
          </w:p>
        </w:tc>
      </w:tr>
      <w:tr w:rsidR="00E37664" w:rsidRPr="000A0A5F" w:rsidTr="004E6AB3">
        <w:trPr>
          <w:jc w:val="center"/>
        </w:trPr>
        <w:tc>
          <w:tcPr>
            <w:tcW w:w="1714" w:type="dxa"/>
          </w:tcPr>
          <w:p w:rsidR="00E37664" w:rsidRPr="000A0A5F" w:rsidRDefault="00E37664" w:rsidP="00840C99">
            <w:pPr>
              <w:pStyle w:val="TAL"/>
              <w:rPr>
                <w:lang w:eastAsia="zh-CN"/>
              </w:rPr>
            </w:pPr>
            <w:r w:rsidRPr="000A0A5F">
              <w:rPr>
                <w:lang w:eastAsia="zh-CN"/>
              </w:rPr>
              <w:t>consentsRevoked</w:t>
            </w:r>
          </w:p>
        </w:tc>
        <w:tc>
          <w:tcPr>
            <w:tcW w:w="1683" w:type="dxa"/>
          </w:tcPr>
          <w:p w:rsidR="00E37664" w:rsidRPr="000A0A5F" w:rsidRDefault="00E37664" w:rsidP="00840C99">
            <w:pPr>
              <w:pStyle w:val="TAL"/>
            </w:pPr>
            <w:r w:rsidRPr="000A0A5F">
              <w:rPr>
                <w:lang w:eastAsia="zh-CN"/>
              </w:rPr>
              <w:t>array(ConsentRevoked)</w:t>
            </w:r>
          </w:p>
        </w:tc>
        <w:tc>
          <w:tcPr>
            <w:tcW w:w="1121" w:type="dxa"/>
          </w:tcPr>
          <w:p w:rsidR="00E37664" w:rsidRPr="000A0A5F" w:rsidRDefault="00E37664" w:rsidP="00840C99">
            <w:pPr>
              <w:pStyle w:val="TAC"/>
            </w:pPr>
            <w:r w:rsidRPr="000A0A5F">
              <w:t>1..N</w:t>
            </w:r>
          </w:p>
        </w:tc>
        <w:tc>
          <w:tcPr>
            <w:tcW w:w="3240" w:type="dxa"/>
          </w:tcPr>
          <w:p w:rsidR="00E37664" w:rsidRPr="000A0A5F" w:rsidRDefault="00E37664" w:rsidP="00840C99">
            <w:pPr>
              <w:pStyle w:val="TAL"/>
              <w:rPr>
                <w:rFonts w:cs="Arial"/>
                <w:szCs w:val="18"/>
                <w:lang w:eastAsia="zh-CN"/>
              </w:rPr>
            </w:pPr>
            <w:r w:rsidRPr="000A0A5F">
              <w:rPr>
                <w:noProof/>
                <w:lang w:eastAsia="zh-CN"/>
              </w:rPr>
              <w:t>Indicates the revoked user consents.</w:t>
            </w:r>
          </w:p>
        </w:tc>
        <w:tc>
          <w:tcPr>
            <w:tcW w:w="1463" w:type="dxa"/>
          </w:tcPr>
          <w:p w:rsidR="00E37664" w:rsidRPr="000A0A5F" w:rsidRDefault="00E37664" w:rsidP="00840C99">
            <w:pPr>
              <w:pStyle w:val="TAL"/>
              <w:rPr>
                <w:rFonts w:cs="Arial"/>
                <w:szCs w:val="18"/>
              </w:rPr>
            </w:pPr>
          </w:p>
        </w:tc>
      </w:tr>
    </w:tbl>
    <w:p w:rsidR="00E37664" w:rsidRPr="000A0A5F" w:rsidRDefault="00E37664" w:rsidP="00E37664"/>
    <w:p w:rsidR="00E37664" w:rsidRPr="000A0A5F" w:rsidRDefault="00E37664" w:rsidP="00E37664">
      <w:pPr>
        <w:pStyle w:val="Heading5"/>
      </w:pPr>
      <w:bookmarkStart w:id="1990" w:name="_Toc105674365"/>
      <w:bookmarkStart w:id="1991" w:name="_Toc130502404"/>
      <w:bookmarkStart w:id="1992" w:name="_Toc153625186"/>
      <w:r w:rsidRPr="000A0A5F">
        <w:t>5.3.2.3.</w:t>
      </w:r>
      <w:r w:rsidR="00AC79C0" w:rsidRPr="000A0A5F">
        <w:t>12</w:t>
      </w:r>
      <w:r w:rsidRPr="000A0A5F">
        <w:tab/>
        <w:t xml:space="preserve">Type: </w:t>
      </w:r>
      <w:r w:rsidRPr="000A0A5F">
        <w:rPr>
          <w:lang w:eastAsia="zh-CN"/>
        </w:rPr>
        <w:t>ConsentRevoked</w:t>
      </w:r>
      <w:bookmarkEnd w:id="1990"/>
      <w:bookmarkEnd w:id="1991"/>
      <w:bookmarkEnd w:id="1992"/>
    </w:p>
    <w:p w:rsidR="00E37664" w:rsidRPr="000A0A5F" w:rsidRDefault="00E37664" w:rsidP="00E37664">
      <w:pPr>
        <w:pStyle w:val="TH"/>
      </w:pPr>
      <w:r w:rsidRPr="000A0A5F">
        <w:rPr>
          <w:noProof/>
        </w:rPr>
        <w:t>Table </w:t>
      </w:r>
      <w:r w:rsidRPr="000A0A5F">
        <w:t>5.3.2.3.</w:t>
      </w:r>
      <w:r w:rsidR="00AC79C0" w:rsidRPr="000A0A5F">
        <w:t>12</w:t>
      </w:r>
      <w:r w:rsidRPr="000A0A5F">
        <w:t xml:space="preserve">-1: </w:t>
      </w:r>
      <w:r w:rsidRPr="000A0A5F">
        <w:rPr>
          <w:noProof/>
        </w:rPr>
        <w:t xml:space="preserve">Definition of type </w:t>
      </w:r>
      <w:r w:rsidRPr="000A0A5F">
        <w:rPr>
          <w:lang w:eastAsia="zh-CN"/>
        </w:rPr>
        <w:t>ConsentRevoked</w:t>
      </w:r>
    </w:p>
    <w:tbl>
      <w:tblPr>
        <w:tblW w:w="922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714"/>
        <w:gridCol w:w="1683"/>
        <w:gridCol w:w="1121"/>
        <w:gridCol w:w="3240"/>
        <w:gridCol w:w="1463"/>
      </w:tblGrid>
      <w:tr w:rsidR="00E37664" w:rsidRPr="000A0A5F" w:rsidTr="00846044">
        <w:trPr>
          <w:jc w:val="center"/>
        </w:trPr>
        <w:tc>
          <w:tcPr>
            <w:tcW w:w="1714" w:type="dxa"/>
            <w:shd w:val="clear" w:color="auto" w:fill="C0C0C0"/>
            <w:hideMark/>
          </w:tcPr>
          <w:p w:rsidR="00E37664" w:rsidRPr="000A0A5F" w:rsidRDefault="00E37664" w:rsidP="00840C99">
            <w:pPr>
              <w:pStyle w:val="TAH"/>
            </w:pPr>
            <w:r w:rsidRPr="000A0A5F">
              <w:t>Attribute name</w:t>
            </w:r>
          </w:p>
        </w:tc>
        <w:tc>
          <w:tcPr>
            <w:tcW w:w="1683" w:type="dxa"/>
            <w:shd w:val="clear" w:color="auto" w:fill="C0C0C0"/>
            <w:hideMark/>
          </w:tcPr>
          <w:p w:rsidR="00E37664" w:rsidRPr="000A0A5F" w:rsidRDefault="00E37664" w:rsidP="00840C99">
            <w:pPr>
              <w:pStyle w:val="TAH"/>
            </w:pPr>
            <w:r w:rsidRPr="000A0A5F">
              <w:t>Data type</w:t>
            </w:r>
          </w:p>
        </w:tc>
        <w:tc>
          <w:tcPr>
            <w:tcW w:w="1121" w:type="dxa"/>
            <w:shd w:val="clear" w:color="auto" w:fill="C0C0C0"/>
            <w:hideMark/>
          </w:tcPr>
          <w:p w:rsidR="00E37664" w:rsidRPr="000A0A5F" w:rsidRDefault="00E37664" w:rsidP="00840C99">
            <w:pPr>
              <w:pStyle w:val="TAH"/>
            </w:pPr>
            <w:r w:rsidRPr="000A0A5F">
              <w:t>Cardinality</w:t>
            </w:r>
          </w:p>
        </w:tc>
        <w:tc>
          <w:tcPr>
            <w:tcW w:w="3240" w:type="dxa"/>
            <w:shd w:val="clear" w:color="auto" w:fill="C0C0C0"/>
            <w:hideMark/>
          </w:tcPr>
          <w:p w:rsidR="00E37664" w:rsidRPr="000A0A5F" w:rsidRDefault="00E37664" w:rsidP="00840C99">
            <w:pPr>
              <w:pStyle w:val="TAH"/>
            </w:pPr>
            <w:r w:rsidRPr="000A0A5F">
              <w:t>Description</w:t>
            </w:r>
          </w:p>
        </w:tc>
        <w:tc>
          <w:tcPr>
            <w:tcW w:w="1463" w:type="dxa"/>
            <w:shd w:val="clear" w:color="auto" w:fill="C0C0C0"/>
          </w:tcPr>
          <w:p w:rsidR="00E37664" w:rsidRPr="000A0A5F" w:rsidRDefault="00E37664" w:rsidP="00840C99">
            <w:pPr>
              <w:pStyle w:val="TAH"/>
            </w:pPr>
            <w:r w:rsidRPr="000A0A5F">
              <w:t>Applicability</w:t>
            </w:r>
          </w:p>
        </w:tc>
      </w:tr>
      <w:tr w:rsidR="00E37664" w:rsidRPr="000A0A5F" w:rsidTr="00846044">
        <w:trPr>
          <w:jc w:val="center"/>
        </w:trPr>
        <w:tc>
          <w:tcPr>
            <w:tcW w:w="1714" w:type="dxa"/>
          </w:tcPr>
          <w:p w:rsidR="00E37664" w:rsidRPr="000A0A5F" w:rsidRDefault="00E37664" w:rsidP="00840C99">
            <w:pPr>
              <w:pStyle w:val="TAL"/>
              <w:rPr>
                <w:lang w:eastAsia="zh-CN"/>
              </w:rPr>
            </w:pPr>
            <w:r w:rsidRPr="000A0A5F">
              <w:rPr>
                <w:lang w:eastAsia="zh-CN"/>
              </w:rPr>
              <w:t>ucPurpose</w:t>
            </w:r>
          </w:p>
        </w:tc>
        <w:tc>
          <w:tcPr>
            <w:tcW w:w="1683" w:type="dxa"/>
          </w:tcPr>
          <w:p w:rsidR="00E37664" w:rsidRPr="000A0A5F" w:rsidRDefault="00E37664" w:rsidP="00840C99">
            <w:pPr>
              <w:pStyle w:val="TAL"/>
              <w:rPr>
                <w:lang w:eastAsia="zh-CN"/>
              </w:rPr>
            </w:pPr>
            <w:r w:rsidRPr="000A0A5F">
              <w:t>UcPurpose</w:t>
            </w:r>
          </w:p>
        </w:tc>
        <w:tc>
          <w:tcPr>
            <w:tcW w:w="1121" w:type="dxa"/>
          </w:tcPr>
          <w:p w:rsidR="00E37664" w:rsidRPr="000A0A5F" w:rsidRDefault="00E37664" w:rsidP="00840C99">
            <w:pPr>
              <w:pStyle w:val="TAC"/>
            </w:pPr>
            <w:r w:rsidRPr="000A0A5F">
              <w:rPr>
                <w:rFonts w:hint="eastAsia"/>
              </w:rPr>
              <w:t>1</w:t>
            </w:r>
          </w:p>
        </w:tc>
        <w:tc>
          <w:tcPr>
            <w:tcW w:w="3240" w:type="dxa"/>
          </w:tcPr>
          <w:p w:rsidR="00E37664" w:rsidRPr="000A0A5F" w:rsidRDefault="00E37664" w:rsidP="00840C99">
            <w:pPr>
              <w:pStyle w:val="TAL"/>
              <w:rPr>
                <w:rFonts w:cs="Arial"/>
                <w:szCs w:val="18"/>
                <w:lang w:eastAsia="zh-CN"/>
              </w:rPr>
            </w:pPr>
            <w:r w:rsidRPr="000A0A5F">
              <w:rPr>
                <w:rFonts w:cs="Arial" w:hint="eastAsia"/>
                <w:szCs w:val="18"/>
                <w:lang w:eastAsia="zh-CN"/>
              </w:rPr>
              <w:t xml:space="preserve">Identifies </w:t>
            </w:r>
            <w:r w:rsidRPr="000A0A5F">
              <w:rPr>
                <w:rFonts w:cs="Arial"/>
                <w:szCs w:val="18"/>
                <w:lang w:eastAsia="zh-CN"/>
              </w:rPr>
              <w:t>the purpose of the revoked user consent.</w:t>
            </w:r>
          </w:p>
        </w:tc>
        <w:tc>
          <w:tcPr>
            <w:tcW w:w="1463" w:type="dxa"/>
          </w:tcPr>
          <w:p w:rsidR="00E37664" w:rsidRPr="000A0A5F" w:rsidRDefault="00E37664" w:rsidP="00840C99">
            <w:pPr>
              <w:pStyle w:val="TAL"/>
              <w:rPr>
                <w:rFonts w:cs="Arial"/>
                <w:szCs w:val="18"/>
              </w:rPr>
            </w:pPr>
          </w:p>
        </w:tc>
      </w:tr>
      <w:tr w:rsidR="00E37664" w:rsidRPr="000A0A5F" w:rsidTr="00846044">
        <w:trPr>
          <w:jc w:val="center"/>
        </w:trPr>
        <w:tc>
          <w:tcPr>
            <w:tcW w:w="1714" w:type="dxa"/>
          </w:tcPr>
          <w:p w:rsidR="00E37664" w:rsidRPr="000A0A5F" w:rsidRDefault="00E37664" w:rsidP="00840C99">
            <w:pPr>
              <w:pStyle w:val="TAL"/>
              <w:rPr>
                <w:lang w:eastAsia="zh-CN"/>
              </w:rPr>
            </w:pPr>
            <w:r w:rsidRPr="000A0A5F">
              <w:rPr>
                <w:lang w:eastAsia="zh-CN"/>
              </w:rPr>
              <w:t>e</w:t>
            </w:r>
            <w:r w:rsidRPr="000A0A5F">
              <w:rPr>
                <w:rFonts w:hint="eastAsia"/>
                <w:lang w:eastAsia="zh-CN"/>
              </w:rPr>
              <w:t>xternal</w:t>
            </w:r>
            <w:r w:rsidRPr="000A0A5F">
              <w:rPr>
                <w:lang w:eastAsia="zh-CN"/>
              </w:rPr>
              <w:t>Id</w:t>
            </w:r>
          </w:p>
        </w:tc>
        <w:tc>
          <w:tcPr>
            <w:tcW w:w="1683" w:type="dxa"/>
          </w:tcPr>
          <w:p w:rsidR="00E37664" w:rsidRPr="000A0A5F" w:rsidRDefault="00E37664" w:rsidP="00840C99">
            <w:pPr>
              <w:pStyle w:val="TAL"/>
              <w:rPr>
                <w:lang w:eastAsia="zh-CN"/>
              </w:rPr>
            </w:pPr>
            <w:r w:rsidRPr="000A0A5F">
              <w:rPr>
                <w:lang w:eastAsia="zh-CN"/>
              </w:rPr>
              <w:t>ExternalId</w:t>
            </w:r>
          </w:p>
        </w:tc>
        <w:tc>
          <w:tcPr>
            <w:tcW w:w="1121" w:type="dxa"/>
          </w:tcPr>
          <w:p w:rsidR="00E37664" w:rsidRPr="000A0A5F" w:rsidRDefault="00E37664" w:rsidP="00840C99">
            <w:pPr>
              <w:pStyle w:val="TAC"/>
            </w:pPr>
            <w:r w:rsidRPr="000A0A5F">
              <w:t>0..1</w:t>
            </w:r>
          </w:p>
        </w:tc>
        <w:tc>
          <w:tcPr>
            <w:tcW w:w="3240" w:type="dxa"/>
          </w:tcPr>
          <w:p w:rsidR="00E37664" w:rsidRPr="000A0A5F" w:rsidRDefault="00E37664" w:rsidP="00840C99">
            <w:pPr>
              <w:pStyle w:val="TAL"/>
              <w:rPr>
                <w:noProof/>
                <w:lang w:eastAsia="zh-CN"/>
              </w:rPr>
            </w:pPr>
            <w:r w:rsidRPr="000A0A5F">
              <w:rPr>
                <w:noProof/>
                <w:lang w:eastAsia="zh-CN"/>
              </w:rPr>
              <w:t>Indicates the user(s) for which user consent was revoked.</w:t>
            </w:r>
          </w:p>
          <w:p w:rsidR="00E37664" w:rsidRPr="000A0A5F" w:rsidRDefault="00E37664" w:rsidP="00840C99">
            <w:pPr>
              <w:pStyle w:val="TAL"/>
              <w:rPr>
                <w:noProof/>
                <w:lang w:eastAsia="zh-CN"/>
              </w:rPr>
            </w:pPr>
          </w:p>
          <w:p w:rsidR="00E37664" w:rsidRPr="000A0A5F" w:rsidRDefault="00E37664" w:rsidP="00840C99">
            <w:pPr>
              <w:pStyle w:val="TAL"/>
              <w:rPr>
                <w:noProof/>
                <w:lang w:eastAsia="zh-CN"/>
              </w:rPr>
            </w:pPr>
            <w:r w:rsidRPr="000A0A5F">
              <w:rPr>
                <w:rFonts w:cs="Arial"/>
                <w:szCs w:val="18"/>
              </w:rPr>
              <w:t>(NOTE)</w:t>
            </w:r>
          </w:p>
        </w:tc>
        <w:tc>
          <w:tcPr>
            <w:tcW w:w="1463" w:type="dxa"/>
          </w:tcPr>
          <w:p w:rsidR="00E37664" w:rsidRPr="000A0A5F" w:rsidRDefault="00E37664" w:rsidP="00840C99">
            <w:pPr>
              <w:pStyle w:val="TAL"/>
              <w:rPr>
                <w:rFonts w:cs="Arial"/>
                <w:szCs w:val="18"/>
              </w:rPr>
            </w:pPr>
          </w:p>
        </w:tc>
      </w:tr>
      <w:tr w:rsidR="00E37664" w:rsidRPr="000A0A5F" w:rsidTr="00846044">
        <w:trPr>
          <w:jc w:val="center"/>
        </w:trPr>
        <w:tc>
          <w:tcPr>
            <w:tcW w:w="1714" w:type="dxa"/>
          </w:tcPr>
          <w:p w:rsidR="00E37664" w:rsidRPr="000A0A5F" w:rsidRDefault="00E37664" w:rsidP="00840C99">
            <w:pPr>
              <w:pStyle w:val="TAL"/>
              <w:rPr>
                <w:lang w:eastAsia="zh-CN"/>
              </w:rPr>
            </w:pPr>
            <w:r w:rsidRPr="000A0A5F">
              <w:rPr>
                <w:lang w:eastAsia="zh-CN"/>
              </w:rPr>
              <w:t>msisdn</w:t>
            </w:r>
          </w:p>
        </w:tc>
        <w:tc>
          <w:tcPr>
            <w:tcW w:w="1683" w:type="dxa"/>
          </w:tcPr>
          <w:p w:rsidR="00E37664" w:rsidRPr="000A0A5F" w:rsidRDefault="00E37664" w:rsidP="00840C99">
            <w:pPr>
              <w:pStyle w:val="TAL"/>
              <w:rPr>
                <w:lang w:eastAsia="zh-CN"/>
              </w:rPr>
            </w:pPr>
            <w:r w:rsidRPr="000A0A5F">
              <w:rPr>
                <w:lang w:eastAsia="zh-CN"/>
              </w:rPr>
              <w:t>Msisdn</w:t>
            </w:r>
          </w:p>
        </w:tc>
        <w:tc>
          <w:tcPr>
            <w:tcW w:w="1121" w:type="dxa"/>
          </w:tcPr>
          <w:p w:rsidR="00E37664" w:rsidRPr="000A0A5F" w:rsidRDefault="00E37664" w:rsidP="00840C99">
            <w:pPr>
              <w:pStyle w:val="TAC"/>
            </w:pPr>
            <w:r w:rsidRPr="000A0A5F">
              <w:t>0..1</w:t>
            </w:r>
          </w:p>
        </w:tc>
        <w:tc>
          <w:tcPr>
            <w:tcW w:w="3240" w:type="dxa"/>
          </w:tcPr>
          <w:p w:rsidR="00E37664" w:rsidRPr="000A0A5F" w:rsidRDefault="00E37664" w:rsidP="00840C99">
            <w:pPr>
              <w:pStyle w:val="TAL"/>
              <w:rPr>
                <w:noProof/>
                <w:lang w:eastAsia="zh-CN"/>
              </w:rPr>
            </w:pPr>
            <w:r w:rsidRPr="000A0A5F">
              <w:rPr>
                <w:noProof/>
                <w:lang w:eastAsia="zh-CN"/>
              </w:rPr>
              <w:t>Indicates the MSISDN(s) of the users for which user consent was revoked.</w:t>
            </w:r>
          </w:p>
          <w:p w:rsidR="00E37664" w:rsidRPr="000A0A5F" w:rsidRDefault="00E37664" w:rsidP="00840C99">
            <w:pPr>
              <w:pStyle w:val="TAL"/>
              <w:rPr>
                <w:noProof/>
                <w:lang w:eastAsia="zh-CN"/>
              </w:rPr>
            </w:pPr>
          </w:p>
          <w:p w:rsidR="00E37664" w:rsidRPr="000A0A5F" w:rsidRDefault="00E37664" w:rsidP="00840C99">
            <w:pPr>
              <w:pStyle w:val="TAL"/>
              <w:rPr>
                <w:noProof/>
                <w:lang w:eastAsia="zh-CN"/>
              </w:rPr>
            </w:pPr>
            <w:r w:rsidRPr="000A0A5F">
              <w:rPr>
                <w:rFonts w:cs="Arial"/>
                <w:szCs w:val="18"/>
              </w:rPr>
              <w:t>(NOTE)</w:t>
            </w:r>
          </w:p>
        </w:tc>
        <w:tc>
          <w:tcPr>
            <w:tcW w:w="1463" w:type="dxa"/>
          </w:tcPr>
          <w:p w:rsidR="00E37664" w:rsidRPr="000A0A5F" w:rsidRDefault="00E37664" w:rsidP="00840C99">
            <w:pPr>
              <w:pStyle w:val="TAL"/>
              <w:rPr>
                <w:rFonts w:cs="Arial"/>
                <w:szCs w:val="18"/>
              </w:rPr>
            </w:pPr>
          </w:p>
        </w:tc>
      </w:tr>
      <w:tr w:rsidR="00E37664" w:rsidRPr="000A0A5F" w:rsidTr="00846044">
        <w:trPr>
          <w:jc w:val="center"/>
        </w:trPr>
        <w:tc>
          <w:tcPr>
            <w:tcW w:w="9221" w:type="dxa"/>
            <w:gridSpan w:val="5"/>
          </w:tcPr>
          <w:p w:rsidR="00E37664" w:rsidRPr="000A0A5F" w:rsidRDefault="00E37664" w:rsidP="00840C99">
            <w:pPr>
              <w:pStyle w:val="TAN"/>
              <w:rPr>
                <w:rFonts w:cs="Arial"/>
                <w:szCs w:val="18"/>
                <w:lang w:eastAsia="zh-CN"/>
              </w:rPr>
            </w:pPr>
            <w:r w:rsidRPr="000A0A5F">
              <w:t>NOTE:</w:t>
            </w:r>
            <w:r w:rsidRPr="000A0A5F">
              <w:tab/>
            </w:r>
            <w:r w:rsidRPr="000A0A5F">
              <w:rPr>
                <w:lang w:eastAsia="zh-CN"/>
              </w:rPr>
              <w:t>One of the "externalId", or "msisdn" attributes shall be present.</w:t>
            </w:r>
          </w:p>
        </w:tc>
      </w:tr>
    </w:tbl>
    <w:p w:rsidR="00E37664" w:rsidRPr="000A0A5F" w:rsidRDefault="00E37664" w:rsidP="00E37664"/>
    <w:p w:rsidR="00542565" w:rsidRPr="000A0A5F" w:rsidRDefault="00542565" w:rsidP="00542565">
      <w:pPr>
        <w:pStyle w:val="Heading5"/>
      </w:pPr>
      <w:bookmarkStart w:id="1993" w:name="_Toc112942594"/>
      <w:bookmarkStart w:id="1994" w:name="_Toc130502405"/>
      <w:bookmarkStart w:id="1995" w:name="_Toc153625187"/>
      <w:r w:rsidRPr="000A0A5F">
        <w:t>5.3.2.3.13</w:t>
      </w:r>
      <w:r w:rsidRPr="000A0A5F">
        <w:tab/>
        <w:t xml:space="preserve">Type: </w:t>
      </w:r>
      <w:bookmarkEnd w:id="1993"/>
      <w:r w:rsidRPr="000A0A5F">
        <w:t>GroupMembListChanges</w:t>
      </w:r>
      <w:bookmarkEnd w:id="1994"/>
      <w:bookmarkEnd w:id="1995"/>
    </w:p>
    <w:p w:rsidR="00542565" w:rsidRPr="000A0A5F" w:rsidRDefault="00542565" w:rsidP="00542565">
      <w:pPr>
        <w:pStyle w:val="TH"/>
      </w:pPr>
      <w:r w:rsidRPr="000A0A5F">
        <w:rPr>
          <w:noProof/>
        </w:rPr>
        <w:t>Table </w:t>
      </w:r>
      <w:r w:rsidRPr="000A0A5F">
        <w:t xml:space="preserve">5.3.2.3.13-1: </w:t>
      </w:r>
      <w:r w:rsidRPr="000A0A5F">
        <w:rPr>
          <w:noProof/>
        </w:rPr>
        <w:t xml:space="preserve">Definition of type </w:t>
      </w:r>
      <w:r w:rsidRPr="000A0A5F">
        <w:t>GroupMembListChanges</w:t>
      </w:r>
    </w:p>
    <w:tbl>
      <w:tblPr>
        <w:tblW w:w="922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714"/>
        <w:gridCol w:w="1683"/>
        <w:gridCol w:w="1121"/>
        <w:gridCol w:w="3240"/>
        <w:gridCol w:w="1463"/>
      </w:tblGrid>
      <w:tr w:rsidR="00542565" w:rsidRPr="000A0A5F" w:rsidTr="00846044">
        <w:trPr>
          <w:jc w:val="center"/>
        </w:trPr>
        <w:tc>
          <w:tcPr>
            <w:tcW w:w="1714" w:type="dxa"/>
            <w:shd w:val="clear" w:color="auto" w:fill="C0C0C0"/>
            <w:hideMark/>
          </w:tcPr>
          <w:p w:rsidR="00542565" w:rsidRPr="000A0A5F" w:rsidRDefault="00542565" w:rsidP="0037730B">
            <w:pPr>
              <w:pStyle w:val="TAH"/>
            </w:pPr>
            <w:r w:rsidRPr="000A0A5F">
              <w:t>Attribute name</w:t>
            </w:r>
          </w:p>
        </w:tc>
        <w:tc>
          <w:tcPr>
            <w:tcW w:w="1683" w:type="dxa"/>
            <w:shd w:val="clear" w:color="auto" w:fill="C0C0C0"/>
            <w:hideMark/>
          </w:tcPr>
          <w:p w:rsidR="00542565" w:rsidRPr="000A0A5F" w:rsidRDefault="00542565" w:rsidP="0037730B">
            <w:pPr>
              <w:pStyle w:val="TAH"/>
            </w:pPr>
            <w:r w:rsidRPr="000A0A5F">
              <w:t>Data type</w:t>
            </w:r>
          </w:p>
        </w:tc>
        <w:tc>
          <w:tcPr>
            <w:tcW w:w="1121" w:type="dxa"/>
            <w:shd w:val="clear" w:color="auto" w:fill="C0C0C0"/>
            <w:hideMark/>
          </w:tcPr>
          <w:p w:rsidR="00542565" w:rsidRPr="000A0A5F" w:rsidRDefault="00542565" w:rsidP="0037730B">
            <w:pPr>
              <w:pStyle w:val="TAH"/>
            </w:pPr>
            <w:r w:rsidRPr="000A0A5F">
              <w:t>Cardinality</w:t>
            </w:r>
          </w:p>
        </w:tc>
        <w:tc>
          <w:tcPr>
            <w:tcW w:w="3240" w:type="dxa"/>
            <w:shd w:val="clear" w:color="auto" w:fill="C0C0C0"/>
            <w:hideMark/>
          </w:tcPr>
          <w:p w:rsidR="00542565" w:rsidRPr="000A0A5F" w:rsidRDefault="00542565" w:rsidP="0037730B">
            <w:pPr>
              <w:pStyle w:val="TAH"/>
            </w:pPr>
            <w:r w:rsidRPr="000A0A5F">
              <w:t>Description</w:t>
            </w:r>
          </w:p>
        </w:tc>
        <w:tc>
          <w:tcPr>
            <w:tcW w:w="1463" w:type="dxa"/>
            <w:shd w:val="clear" w:color="auto" w:fill="C0C0C0"/>
          </w:tcPr>
          <w:p w:rsidR="00542565" w:rsidRPr="000A0A5F" w:rsidRDefault="00542565" w:rsidP="0037730B">
            <w:pPr>
              <w:pStyle w:val="TAH"/>
            </w:pPr>
            <w:r w:rsidRPr="000A0A5F">
              <w:t>Applicability</w:t>
            </w:r>
          </w:p>
        </w:tc>
      </w:tr>
      <w:tr w:rsidR="00542565" w:rsidRPr="000A0A5F" w:rsidTr="00846044">
        <w:trPr>
          <w:jc w:val="center"/>
        </w:trPr>
        <w:tc>
          <w:tcPr>
            <w:tcW w:w="1714" w:type="dxa"/>
          </w:tcPr>
          <w:p w:rsidR="00542565" w:rsidRPr="000A0A5F" w:rsidRDefault="00542565" w:rsidP="0037730B">
            <w:pPr>
              <w:pStyle w:val="TAL"/>
              <w:rPr>
                <w:lang w:eastAsia="zh-CN"/>
              </w:rPr>
            </w:pPr>
            <w:r w:rsidRPr="000A0A5F">
              <w:rPr>
                <w:lang w:eastAsia="zh-CN"/>
              </w:rPr>
              <w:t>addedUEs</w:t>
            </w:r>
          </w:p>
        </w:tc>
        <w:tc>
          <w:tcPr>
            <w:tcW w:w="1683" w:type="dxa"/>
          </w:tcPr>
          <w:p w:rsidR="00542565" w:rsidRPr="000A0A5F" w:rsidRDefault="00542565" w:rsidP="0037730B">
            <w:pPr>
              <w:pStyle w:val="TAL"/>
              <w:rPr>
                <w:lang w:eastAsia="zh-CN"/>
              </w:rPr>
            </w:pPr>
            <w:r w:rsidRPr="000A0A5F">
              <w:rPr>
                <w:lang w:eastAsia="zh-CN"/>
              </w:rPr>
              <w:t>array(Gpsi)</w:t>
            </w:r>
          </w:p>
        </w:tc>
        <w:tc>
          <w:tcPr>
            <w:tcW w:w="1121" w:type="dxa"/>
          </w:tcPr>
          <w:p w:rsidR="00542565" w:rsidRPr="000A0A5F" w:rsidRDefault="00542565" w:rsidP="0037730B">
            <w:pPr>
              <w:pStyle w:val="TAC"/>
            </w:pPr>
            <w:r w:rsidRPr="000A0A5F">
              <w:t>1..N</w:t>
            </w:r>
          </w:p>
        </w:tc>
        <w:tc>
          <w:tcPr>
            <w:tcW w:w="3240" w:type="dxa"/>
          </w:tcPr>
          <w:p w:rsidR="00542565" w:rsidRPr="000A0A5F" w:rsidRDefault="00542565" w:rsidP="0037730B">
            <w:pPr>
              <w:pStyle w:val="TAL"/>
              <w:rPr>
                <w:rFonts w:cs="Arial"/>
                <w:szCs w:val="18"/>
                <w:lang w:eastAsia="zh-CN"/>
              </w:rPr>
            </w:pPr>
            <w:r w:rsidRPr="000A0A5F">
              <w:rPr>
                <w:rFonts w:cs="Arial" w:hint="eastAsia"/>
                <w:szCs w:val="18"/>
                <w:lang w:eastAsia="zh-CN"/>
              </w:rPr>
              <w:t xml:space="preserve">Identifies </w:t>
            </w:r>
            <w:r w:rsidRPr="000A0A5F">
              <w:rPr>
                <w:rFonts w:cs="Arial"/>
                <w:szCs w:val="18"/>
                <w:lang w:eastAsia="zh-CN"/>
              </w:rPr>
              <w:t>the UE(s) added to the group.</w:t>
            </w:r>
          </w:p>
        </w:tc>
        <w:tc>
          <w:tcPr>
            <w:tcW w:w="1463" w:type="dxa"/>
          </w:tcPr>
          <w:p w:rsidR="00542565" w:rsidRPr="000A0A5F" w:rsidRDefault="00542565" w:rsidP="0037730B">
            <w:pPr>
              <w:pStyle w:val="TAL"/>
              <w:rPr>
                <w:rFonts w:cs="Arial"/>
                <w:szCs w:val="18"/>
              </w:rPr>
            </w:pPr>
          </w:p>
        </w:tc>
      </w:tr>
      <w:tr w:rsidR="00542565" w:rsidRPr="000A0A5F" w:rsidTr="00846044">
        <w:trPr>
          <w:jc w:val="center"/>
        </w:trPr>
        <w:tc>
          <w:tcPr>
            <w:tcW w:w="1714" w:type="dxa"/>
          </w:tcPr>
          <w:p w:rsidR="00542565" w:rsidRPr="000A0A5F" w:rsidRDefault="00542565" w:rsidP="0037730B">
            <w:pPr>
              <w:pStyle w:val="TAL"/>
              <w:rPr>
                <w:lang w:eastAsia="zh-CN"/>
              </w:rPr>
            </w:pPr>
            <w:r w:rsidRPr="000A0A5F">
              <w:rPr>
                <w:lang w:eastAsia="zh-CN"/>
              </w:rPr>
              <w:t>removedUEs</w:t>
            </w:r>
          </w:p>
        </w:tc>
        <w:tc>
          <w:tcPr>
            <w:tcW w:w="1683" w:type="dxa"/>
          </w:tcPr>
          <w:p w:rsidR="00542565" w:rsidRPr="000A0A5F" w:rsidRDefault="00542565" w:rsidP="0037730B">
            <w:pPr>
              <w:pStyle w:val="TAL"/>
              <w:rPr>
                <w:lang w:eastAsia="zh-CN"/>
              </w:rPr>
            </w:pPr>
            <w:r w:rsidRPr="000A0A5F">
              <w:rPr>
                <w:lang w:eastAsia="zh-CN"/>
              </w:rPr>
              <w:t>array(Gpsi)</w:t>
            </w:r>
          </w:p>
        </w:tc>
        <w:tc>
          <w:tcPr>
            <w:tcW w:w="1121" w:type="dxa"/>
          </w:tcPr>
          <w:p w:rsidR="00542565" w:rsidRPr="000A0A5F" w:rsidRDefault="00542565" w:rsidP="0037730B">
            <w:pPr>
              <w:pStyle w:val="TAC"/>
            </w:pPr>
            <w:r w:rsidRPr="000A0A5F">
              <w:t>1..N</w:t>
            </w:r>
          </w:p>
        </w:tc>
        <w:tc>
          <w:tcPr>
            <w:tcW w:w="3240" w:type="dxa"/>
          </w:tcPr>
          <w:p w:rsidR="00542565" w:rsidRPr="000A0A5F" w:rsidRDefault="00542565" w:rsidP="0037730B">
            <w:pPr>
              <w:pStyle w:val="TAL"/>
              <w:rPr>
                <w:noProof/>
                <w:lang w:eastAsia="zh-CN"/>
              </w:rPr>
            </w:pPr>
            <w:r w:rsidRPr="000A0A5F">
              <w:rPr>
                <w:noProof/>
                <w:lang w:eastAsia="zh-CN"/>
              </w:rPr>
              <w:t xml:space="preserve">Indentifies </w:t>
            </w:r>
            <w:r w:rsidRPr="000A0A5F">
              <w:rPr>
                <w:rFonts w:cs="Arial"/>
                <w:szCs w:val="18"/>
                <w:lang w:eastAsia="zh-CN"/>
              </w:rPr>
              <w:t>the UE(s) removed from the group</w:t>
            </w:r>
            <w:r w:rsidRPr="000A0A5F">
              <w:rPr>
                <w:noProof/>
                <w:lang w:eastAsia="zh-CN"/>
              </w:rPr>
              <w:t>.</w:t>
            </w:r>
          </w:p>
        </w:tc>
        <w:tc>
          <w:tcPr>
            <w:tcW w:w="1463" w:type="dxa"/>
          </w:tcPr>
          <w:p w:rsidR="00542565" w:rsidRPr="000A0A5F" w:rsidRDefault="00542565" w:rsidP="0037730B">
            <w:pPr>
              <w:pStyle w:val="TAL"/>
              <w:rPr>
                <w:rFonts w:cs="Arial"/>
                <w:szCs w:val="18"/>
              </w:rPr>
            </w:pPr>
          </w:p>
        </w:tc>
      </w:tr>
      <w:tr w:rsidR="00542565" w:rsidRPr="000A0A5F" w:rsidTr="00846044">
        <w:trPr>
          <w:jc w:val="center"/>
        </w:trPr>
        <w:tc>
          <w:tcPr>
            <w:tcW w:w="9221" w:type="dxa"/>
            <w:gridSpan w:val="5"/>
          </w:tcPr>
          <w:p w:rsidR="00542565" w:rsidRPr="000A0A5F" w:rsidRDefault="00542565" w:rsidP="0037730B">
            <w:pPr>
              <w:pStyle w:val="TAN"/>
              <w:rPr>
                <w:rFonts w:cs="Arial"/>
                <w:szCs w:val="18"/>
              </w:rPr>
            </w:pPr>
            <w:r w:rsidRPr="000A0A5F">
              <w:rPr>
                <w:rFonts w:cs="Arial"/>
                <w:szCs w:val="18"/>
              </w:rPr>
              <w:t>NOTE:</w:t>
            </w:r>
            <w:r w:rsidRPr="000A0A5F">
              <w:tab/>
              <w:t>At least one of the "addedUEs" attributes and the "removedUEs" attribute shall be provided.</w:t>
            </w:r>
          </w:p>
        </w:tc>
      </w:tr>
    </w:tbl>
    <w:p w:rsidR="00BC037A" w:rsidRPr="000A0A5F" w:rsidRDefault="00BC037A" w:rsidP="00BC037A">
      <w:pPr>
        <w:pStyle w:val="Heading5"/>
      </w:pPr>
      <w:bookmarkStart w:id="1996" w:name="_Toc153625188"/>
      <w:r w:rsidRPr="000A0A5F">
        <w:t>5.3.2.3.14</w:t>
      </w:r>
      <w:r w:rsidRPr="000A0A5F">
        <w:tab/>
        <w:t xml:space="preserve">Type: </w:t>
      </w:r>
      <w:r w:rsidRPr="000A0A5F">
        <w:rPr>
          <w:lang w:eastAsia="zh-CN"/>
        </w:rPr>
        <w:t>RangeDirection</w:t>
      </w:r>
      <w:bookmarkEnd w:id="1996"/>
    </w:p>
    <w:p w:rsidR="00BC037A" w:rsidRPr="000A0A5F" w:rsidRDefault="00BC037A" w:rsidP="00BC037A">
      <w:pPr>
        <w:pStyle w:val="TH"/>
      </w:pPr>
      <w:r w:rsidRPr="000A0A5F">
        <w:rPr>
          <w:noProof/>
        </w:rPr>
        <w:t>Table </w:t>
      </w:r>
      <w:r w:rsidRPr="000A0A5F">
        <w:t xml:space="preserve">5.3.2.3.14-1: </w:t>
      </w:r>
      <w:r w:rsidRPr="000A0A5F">
        <w:rPr>
          <w:noProof/>
        </w:rPr>
        <w:t xml:space="preserve">Definition of type </w:t>
      </w:r>
      <w:r w:rsidRPr="000A0A5F">
        <w:rPr>
          <w:lang w:eastAsia="zh-CN"/>
        </w:rPr>
        <w:t>RangeDirection</w:t>
      </w:r>
    </w:p>
    <w:tbl>
      <w:tblPr>
        <w:tblW w:w="922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714"/>
        <w:gridCol w:w="1683"/>
        <w:gridCol w:w="1121"/>
        <w:gridCol w:w="3240"/>
        <w:gridCol w:w="1463"/>
      </w:tblGrid>
      <w:tr w:rsidR="00BC037A" w:rsidRPr="000A0A5F" w:rsidTr="00EF7E64">
        <w:trPr>
          <w:jc w:val="center"/>
        </w:trPr>
        <w:tc>
          <w:tcPr>
            <w:tcW w:w="1714" w:type="dxa"/>
            <w:shd w:val="clear" w:color="auto" w:fill="C0C0C0"/>
            <w:hideMark/>
          </w:tcPr>
          <w:p w:rsidR="00BC037A" w:rsidRPr="000A0A5F" w:rsidRDefault="00BC037A" w:rsidP="00EF7E64">
            <w:pPr>
              <w:pStyle w:val="TAH"/>
            </w:pPr>
            <w:r w:rsidRPr="000A0A5F">
              <w:t>Attribute name</w:t>
            </w:r>
          </w:p>
        </w:tc>
        <w:tc>
          <w:tcPr>
            <w:tcW w:w="1683" w:type="dxa"/>
            <w:shd w:val="clear" w:color="auto" w:fill="C0C0C0"/>
            <w:hideMark/>
          </w:tcPr>
          <w:p w:rsidR="00BC037A" w:rsidRPr="000A0A5F" w:rsidRDefault="00BC037A" w:rsidP="00EF7E64">
            <w:pPr>
              <w:pStyle w:val="TAH"/>
            </w:pPr>
            <w:r w:rsidRPr="000A0A5F">
              <w:t>Data type</w:t>
            </w:r>
          </w:p>
        </w:tc>
        <w:tc>
          <w:tcPr>
            <w:tcW w:w="1121" w:type="dxa"/>
            <w:shd w:val="clear" w:color="auto" w:fill="C0C0C0"/>
            <w:hideMark/>
          </w:tcPr>
          <w:p w:rsidR="00BC037A" w:rsidRPr="000A0A5F" w:rsidRDefault="00BC037A" w:rsidP="00EF7E64">
            <w:pPr>
              <w:pStyle w:val="TAH"/>
            </w:pPr>
            <w:r w:rsidRPr="000A0A5F">
              <w:t>Cardinality</w:t>
            </w:r>
          </w:p>
        </w:tc>
        <w:tc>
          <w:tcPr>
            <w:tcW w:w="3240" w:type="dxa"/>
            <w:shd w:val="clear" w:color="auto" w:fill="C0C0C0"/>
            <w:hideMark/>
          </w:tcPr>
          <w:p w:rsidR="00BC037A" w:rsidRPr="000A0A5F" w:rsidRDefault="00BC037A" w:rsidP="00EF7E64">
            <w:pPr>
              <w:pStyle w:val="TAH"/>
            </w:pPr>
            <w:r w:rsidRPr="000A0A5F">
              <w:t>Description</w:t>
            </w:r>
          </w:p>
        </w:tc>
        <w:tc>
          <w:tcPr>
            <w:tcW w:w="1463" w:type="dxa"/>
            <w:shd w:val="clear" w:color="auto" w:fill="C0C0C0"/>
          </w:tcPr>
          <w:p w:rsidR="00BC037A" w:rsidRPr="000A0A5F" w:rsidRDefault="00BC037A" w:rsidP="00EF7E64">
            <w:pPr>
              <w:pStyle w:val="TAH"/>
            </w:pPr>
            <w:r w:rsidRPr="000A0A5F">
              <w:t>Applicability</w:t>
            </w:r>
          </w:p>
        </w:tc>
      </w:tr>
      <w:tr w:rsidR="00BC037A" w:rsidRPr="000A0A5F" w:rsidTr="00EF7E64">
        <w:trPr>
          <w:jc w:val="center"/>
        </w:trPr>
        <w:tc>
          <w:tcPr>
            <w:tcW w:w="1714" w:type="dxa"/>
          </w:tcPr>
          <w:p w:rsidR="00BC037A" w:rsidRPr="000A0A5F" w:rsidRDefault="00BC037A" w:rsidP="00EF7E64">
            <w:pPr>
              <w:pStyle w:val="TAL"/>
              <w:rPr>
                <w:lang w:eastAsia="zh-CN"/>
              </w:rPr>
            </w:pPr>
            <w:r w:rsidRPr="000A0A5F">
              <w:rPr>
                <w:rFonts w:hint="eastAsia"/>
                <w:lang w:eastAsia="zh-CN"/>
              </w:rPr>
              <w:t>r</w:t>
            </w:r>
            <w:r w:rsidRPr="000A0A5F">
              <w:rPr>
                <w:lang w:eastAsia="zh-CN"/>
              </w:rPr>
              <w:t>ange</w:t>
            </w:r>
          </w:p>
        </w:tc>
        <w:tc>
          <w:tcPr>
            <w:tcW w:w="1683" w:type="dxa"/>
          </w:tcPr>
          <w:p w:rsidR="00BC037A" w:rsidRPr="000A0A5F" w:rsidRDefault="00BC037A" w:rsidP="00EF7E64">
            <w:pPr>
              <w:pStyle w:val="TAL"/>
              <w:rPr>
                <w:lang w:eastAsia="zh-CN"/>
              </w:rPr>
            </w:pPr>
            <w:r w:rsidRPr="000A0A5F">
              <w:t>number</w:t>
            </w:r>
          </w:p>
        </w:tc>
        <w:tc>
          <w:tcPr>
            <w:tcW w:w="1121" w:type="dxa"/>
          </w:tcPr>
          <w:p w:rsidR="00BC037A" w:rsidRPr="000A0A5F" w:rsidRDefault="00BC037A" w:rsidP="00EF7E64">
            <w:pPr>
              <w:pStyle w:val="TAC"/>
            </w:pPr>
            <w:r w:rsidRPr="000A0A5F">
              <w:t>1</w:t>
            </w:r>
          </w:p>
        </w:tc>
        <w:tc>
          <w:tcPr>
            <w:tcW w:w="3240" w:type="dxa"/>
          </w:tcPr>
          <w:p w:rsidR="00BC037A" w:rsidRPr="000A0A5F" w:rsidRDefault="00BC037A" w:rsidP="00EF7E64">
            <w:pPr>
              <w:pStyle w:val="TAL"/>
              <w:rPr>
                <w:rFonts w:cs="Arial"/>
                <w:szCs w:val="18"/>
                <w:lang w:eastAsia="zh-CN"/>
              </w:rPr>
            </w:pPr>
            <w:r w:rsidRPr="000A0A5F">
              <w:rPr>
                <w:rFonts w:cs="Arial" w:hint="eastAsia"/>
                <w:szCs w:val="18"/>
                <w:lang w:eastAsia="zh-CN"/>
              </w:rPr>
              <w:t xml:space="preserve">Identifies </w:t>
            </w:r>
            <w:r w:rsidRPr="000A0A5F">
              <w:rPr>
                <w:rFonts w:cs="Arial"/>
                <w:szCs w:val="18"/>
                <w:lang w:eastAsia="zh-CN"/>
              </w:rPr>
              <w:t xml:space="preserve">the </w:t>
            </w:r>
            <w:r w:rsidRPr="000A0A5F">
              <w:t>distance from point A to point B</w:t>
            </w:r>
            <w:r w:rsidRPr="000A0A5F">
              <w:rPr>
                <w:rFonts w:cs="Arial"/>
                <w:szCs w:val="18"/>
                <w:lang w:eastAsia="zh-CN"/>
              </w:rPr>
              <w:t>.</w:t>
            </w:r>
          </w:p>
        </w:tc>
        <w:tc>
          <w:tcPr>
            <w:tcW w:w="1463" w:type="dxa"/>
          </w:tcPr>
          <w:p w:rsidR="00BC037A" w:rsidRPr="000A0A5F" w:rsidRDefault="00BC037A" w:rsidP="00EF7E64">
            <w:pPr>
              <w:pStyle w:val="TAL"/>
              <w:rPr>
                <w:rFonts w:cs="Arial"/>
                <w:szCs w:val="18"/>
              </w:rPr>
            </w:pPr>
          </w:p>
        </w:tc>
      </w:tr>
      <w:tr w:rsidR="00BC037A" w:rsidRPr="000A0A5F" w:rsidTr="00EF7E64">
        <w:trPr>
          <w:jc w:val="center"/>
        </w:trPr>
        <w:tc>
          <w:tcPr>
            <w:tcW w:w="1714" w:type="dxa"/>
          </w:tcPr>
          <w:p w:rsidR="00BC037A" w:rsidRPr="000A0A5F" w:rsidRDefault="00BC037A" w:rsidP="00EF7E64">
            <w:pPr>
              <w:pStyle w:val="TAL"/>
              <w:rPr>
                <w:lang w:eastAsia="zh-CN"/>
              </w:rPr>
            </w:pPr>
            <w:r w:rsidRPr="000A0A5F">
              <w:t>azimuthDirection</w:t>
            </w:r>
          </w:p>
        </w:tc>
        <w:tc>
          <w:tcPr>
            <w:tcW w:w="1683" w:type="dxa"/>
          </w:tcPr>
          <w:p w:rsidR="00BC037A" w:rsidRPr="000A0A5F" w:rsidRDefault="00BC037A" w:rsidP="00EF7E64">
            <w:pPr>
              <w:pStyle w:val="TAL"/>
              <w:rPr>
                <w:lang w:eastAsia="zh-CN"/>
              </w:rPr>
            </w:pPr>
            <w:r w:rsidRPr="000A0A5F">
              <w:rPr>
                <w:lang w:eastAsia="zh-CN"/>
              </w:rPr>
              <w:t>Angle</w:t>
            </w:r>
          </w:p>
        </w:tc>
        <w:tc>
          <w:tcPr>
            <w:tcW w:w="1121" w:type="dxa"/>
          </w:tcPr>
          <w:p w:rsidR="00BC037A" w:rsidRPr="000A0A5F" w:rsidRDefault="00BC037A" w:rsidP="00EF7E64">
            <w:pPr>
              <w:pStyle w:val="TAC"/>
            </w:pPr>
            <w:r w:rsidRPr="000A0A5F">
              <w:t>1</w:t>
            </w:r>
          </w:p>
        </w:tc>
        <w:tc>
          <w:tcPr>
            <w:tcW w:w="3240" w:type="dxa"/>
          </w:tcPr>
          <w:p w:rsidR="00BC037A" w:rsidRPr="000A0A5F" w:rsidRDefault="00BC037A" w:rsidP="00EF7E64">
            <w:pPr>
              <w:pStyle w:val="TAL"/>
              <w:rPr>
                <w:noProof/>
                <w:lang w:eastAsia="zh-CN"/>
              </w:rPr>
            </w:pPr>
            <w:r w:rsidRPr="000A0A5F">
              <w:rPr>
                <w:noProof/>
                <w:lang w:eastAsia="zh-CN"/>
              </w:rPr>
              <w:t xml:space="preserve">Indentifies </w:t>
            </w:r>
            <w:r w:rsidRPr="000A0A5F">
              <w:rPr>
                <w:rFonts w:cs="Arial"/>
                <w:szCs w:val="18"/>
                <w:lang w:eastAsia="zh-CN"/>
              </w:rPr>
              <w:t xml:space="preserve">the </w:t>
            </w:r>
            <w:r w:rsidRPr="000A0A5F">
              <w:t>azimuth direction from point A to point B</w:t>
            </w:r>
            <w:r w:rsidRPr="000A0A5F">
              <w:rPr>
                <w:noProof/>
                <w:lang w:eastAsia="zh-CN"/>
              </w:rPr>
              <w:t>.</w:t>
            </w:r>
          </w:p>
        </w:tc>
        <w:tc>
          <w:tcPr>
            <w:tcW w:w="1463" w:type="dxa"/>
          </w:tcPr>
          <w:p w:rsidR="00BC037A" w:rsidRPr="000A0A5F" w:rsidRDefault="00BC037A" w:rsidP="00EF7E64">
            <w:pPr>
              <w:pStyle w:val="TAL"/>
              <w:rPr>
                <w:rFonts w:cs="Arial"/>
                <w:szCs w:val="18"/>
              </w:rPr>
            </w:pPr>
          </w:p>
        </w:tc>
      </w:tr>
      <w:tr w:rsidR="00BC037A" w:rsidRPr="000A0A5F" w:rsidTr="00EF7E64">
        <w:trPr>
          <w:jc w:val="center"/>
        </w:trPr>
        <w:tc>
          <w:tcPr>
            <w:tcW w:w="1714" w:type="dxa"/>
          </w:tcPr>
          <w:p w:rsidR="00BC037A" w:rsidRPr="000A0A5F" w:rsidRDefault="00BC037A" w:rsidP="00EF7E64">
            <w:pPr>
              <w:pStyle w:val="TAL"/>
              <w:rPr>
                <w:lang w:eastAsia="zh-CN"/>
              </w:rPr>
            </w:pPr>
            <w:r w:rsidRPr="000A0A5F">
              <w:t>elevationDirection</w:t>
            </w:r>
          </w:p>
        </w:tc>
        <w:tc>
          <w:tcPr>
            <w:tcW w:w="1683" w:type="dxa"/>
          </w:tcPr>
          <w:p w:rsidR="00BC037A" w:rsidRPr="000A0A5F" w:rsidRDefault="00BC037A" w:rsidP="00EF7E64">
            <w:pPr>
              <w:pStyle w:val="TAL"/>
              <w:rPr>
                <w:lang w:eastAsia="zh-CN"/>
              </w:rPr>
            </w:pPr>
            <w:r w:rsidRPr="000A0A5F">
              <w:rPr>
                <w:lang w:eastAsia="zh-CN"/>
              </w:rPr>
              <w:t>Angle</w:t>
            </w:r>
          </w:p>
        </w:tc>
        <w:tc>
          <w:tcPr>
            <w:tcW w:w="1121" w:type="dxa"/>
          </w:tcPr>
          <w:p w:rsidR="00BC037A" w:rsidRPr="000A0A5F" w:rsidRDefault="00BC037A" w:rsidP="00EF7E64">
            <w:pPr>
              <w:pStyle w:val="TAC"/>
              <w:rPr>
                <w:lang w:eastAsia="zh-CN"/>
              </w:rPr>
            </w:pPr>
            <w:r w:rsidRPr="000A0A5F">
              <w:rPr>
                <w:rFonts w:hint="eastAsia"/>
                <w:lang w:eastAsia="zh-CN"/>
              </w:rPr>
              <w:t>1</w:t>
            </w:r>
          </w:p>
        </w:tc>
        <w:tc>
          <w:tcPr>
            <w:tcW w:w="3240" w:type="dxa"/>
          </w:tcPr>
          <w:p w:rsidR="00BC037A" w:rsidRPr="000A0A5F" w:rsidRDefault="00BC037A" w:rsidP="00EF7E64">
            <w:pPr>
              <w:pStyle w:val="TAL"/>
              <w:rPr>
                <w:noProof/>
                <w:lang w:eastAsia="zh-CN"/>
              </w:rPr>
            </w:pPr>
            <w:r w:rsidRPr="000A0A5F">
              <w:rPr>
                <w:noProof/>
                <w:lang w:eastAsia="zh-CN"/>
              </w:rPr>
              <w:t xml:space="preserve">Indentifies </w:t>
            </w:r>
            <w:r w:rsidRPr="000A0A5F">
              <w:rPr>
                <w:rFonts w:cs="Arial"/>
                <w:szCs w:val="18"/>
                <w:lang w:eastAsia="zh-CN"/>
              </w:rPr>
              <w:t xml:space="preserve">the </w:t>
            </w:r>
            <w:r w:rsidRPr="000A0A5F">
              <w:t>elevation direction from point A to point B</w:t>
            </w:r>
            <w:r w:rsidRPr="000A0A5F">
              <w:rPr>
                <w:noProof/>
                <w:lang w:eastAsia="zh-CN"/>
              </w:rPr>
              <w:t>.</w:t>
            </w:r>
          </w:p>
        </w:tc>
        <w:tc>
          <w:tcPr>
            <w:tcW w:w="1463" w:type="dxa"/>
          </w:tcPr>
          <w:p w:rsidR="00BC037A" w:rsidRPr="000A0A5F" w:rsidRDefault="00BC037A" w:rsidP="00EF7E64">
            <w:pPr>
              <w:pStyle w:val="TAL"/>
              <w:rPr>
                <w:rFonts w:cs="Arial"/>
                <w:szCs w:val="18"/>
              </w:rPr>
            </w:pPr>
          </w:p>
        </w:tc>
      </w:tr>
    </w:tbl>
    <w:p w:rsidR="00BC037A" w:rsidRPr="000A0A5F" w:rsidRDefault="00BC037A" w:rsidP="00BC037A">
      <w:pPr>
        <w:pStyle w:val="Heading5"/>
      </w:pPr>
      <w:bookmarkStart w:id="1997" w:name="_Toc153625189"/>
      <w:r w:rsidRPr="000A0A5F">
        <w:t>5.3.2.3.15</w:t>
      </w:r>
      <w:r w:rsidRPr="000A0A5F">
        <w:tab/>
        <w:t xml:space="preserve">Type: </w:t>
      </w:r>
      <w:r w:rsidRPr="000A0A5F">
        <w:rPr>
          <w:lang w:eastAsia="zh-CN"/>
        </w:rPr>
        <w:t>Twod</w:t>
      </w:r>
      <w:r w:rsidRPr="000A0A5F">
        <w:rPr>
          <w:rFonts w:hint="eastAsia"/>
          <w:lang w:eastAsia="zh-CN"/>
        </w:rPr>
        <w:t>r</w:t>
      </w:r>
      <w:r w:rsidRPr="000A0A5F">
        <w:rPr>
          <w:lang w:eastAsia="zh-CN"/>
        </w:rPr>
        <w:t>elativeLocation</w:t>
      </w:r>
      <w:bookmarkEnd w:id="1997"/>
    </w:p>
    <w:p w:rsidR="00BC037A" w:rsidRPr="000A0A5F" w:rsidRDefault="00BC037A" w:rsidP="00BC037A">
      <w:pPr>
        <w:pStyle w:val="TH"/>
      </w:pPr>
      <w:r w:rsidRPr="000A0A5F">
        <w:rPr>
          <w:noProof/>
        </w:rPr>
        <w:t>Table </w:t>
      </w:r>
      <w:r w:rsidRPr="000A0A5F">
        <w:t xml:space="preserve">5.3.2.3.15-1: </w:t>
      </w:r>
      <w:r w:rsidRPr="000A0A5F">
        <w:rPr>
          <w:noProof/>
        </w:rPr>
        <w:t xml:space="preserve">Definition of type </w:t>
      </w:r>
      <w:r w:rsidRPr="000A0A5F">
        <w:rPr>
          <w:lang w:eastAsia="zh-CN"/>
        </w:rPr>
        <w:t>Twod</w:t>
      </w:r>
      <w:r w:rsidRPr="000A0A5F">
        <w:rPr>
          <w:rFonts w:hint="eastAsia"/>
          <w:lang w:eastAsia="zh-CN"/>
        </w:rPr>
        <w:t>r</w:t>
      </w:r>
      <w:r w:rsidRPr="000A0A5F">
        <w:rPr>
          <w:lang w:eastAsia="zh-CN"/>
        </w:rPr>
        <w:t>elativeLocation</w:t>
      </w:r>
    </w:p>
    <w:tbl>
      <w:tblPr>
        <w:tblW w:w="922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714"/>
        <w:gridCol w:w="1683"/>
        <w:gridCol w:w="1121"/>
        <w:gridCol w:w="3240"/>
        <w:gridCol w:w="1463"/>
      </w:tblGrid>
      <w:tr w:rsidR="00BC037A" w:rsidRPr="000A0A5F" w:rsidTr="00EF7E64">
        <w:trPr>
          <w:jc w:val="center"/>
        </w:trPr>
        <w:tc>
          <w:tcPr>
            <w:tcW w:w="1714" w:type="dxa"/>
            <w:shd w:val="clear" w:color="auto" w:fill="C0C0C0"/>
            <w:hideMark/>
          </w:tcPr>
          <w:p w:rsidR="00BC037A" w:rsidRPr="000A0A5F" w:rsidRDefault="00BC037A" w:rsidP="00EF7E64">
            <w:pPr>
              <w:pStyle w:val="TAH"/>
            </w:pPr>
            <w:r w:rsidRPr="000A0A5F">
              <w:t>Attribute name</w:t>
            </w:r>
          </w:p>
        </w:tc>
        <w:tc>
          <w:tcPr>
            <w:tcW w:w="1683" w:type="dxa"/>
            <w:shd w:val="clear" w:color="auto" w:fill="C0C0C0"/>
            <w:hideMark/>
          </w:tcPr>
          <w:p w:rsidR="00BC037A" w:rsidRPr="000A0A5F" w:rsidRDefault="00BC037A" w:rsidP="00EF7E64">
            <w:pPr>
              <w:pStyle w:val="TAH"/>
            </w:pPr>
            <w:r w:rsidRPr="000A0A5F">
              <w:t>Data type</w:t>
            </w:r>
          </w:p>
        </w:tc>
        <w:tc>
          <w:tcPr>
            <w:tcW w:w="1121" w:type="dxa"/>
            <w:shd w:val="clear" w:color="auto" w:fill="C0C0C0"/>
            <w:hideMark/>
          </w:tcPr>
          <w:p w:rsidR="00BC037A" w:rsidRPr="000A0A5F" w:rsidRDefault="00BC037A" w:rsidP="00EF7E64">
            <w:pPr>
              <w:pStyle w:val="TAH"/>
            </w:pPr>
            <w:r w:rsidRPr="000A0A5F">
              <w:t>Cardinality</w:t>
            </w:r>
          </w:p>
        </w:tc>
        <w:tc>
          <w:tcPr>
            <w:tcW w:w="3240" w:type="dxa"/>
            <w:shd w:val="clear" w:color="auto" w:fill="C0C0C0"/>
            <w:hideMark/>
          </w:tcPr>
          <w:p w:rsidR="00BC037A" w:rsidRPr="000A0A5F" w:rsidRDefault="00BC037A" w:rsidP="00EF7E64">
            <w:pPr>
              <w:pStyle w:val="TAH"/>
            </w:pPr>
            <w:r w:rsidRPr="000A0A5F">
              <w:t>Description</w:t>
            </w:r>
          </w:p>
        </w:tc>
        <w:tc>
          <w:tcPr>
            <w:tcW w:w="1463" w:type="dxa"/>
            <w:shd w:val="clear" w:color="auto" w:fill="C0C0C0"/>
          </w:tcPr>
          <w:p w:rsidR="00BC037A" w:rsidRPr="000A0A5F" w:rsidRDefault="00BC037A" w:rsidP="00EF7E64">
            <w:pPr>
              <w:pStyle w:val="TAH"/>
            </w:pPr>
            <w:r w:rsidRPr="000A0A5F">
              <w:t>Applicability</w:t>
            </w:r>
          </w:p>
        </w:tc>
      </w:tr>
      <w:tr w:rsidR="00BC037A" w:rsidRPr="000A0A5F" w:rsidTr="00EF7E64">
        <w:trPr>
          <w:jc w:val="center"/>
        </w:trPr>
        <w:tc>
          <w:tcPr>
            <w:tcW w:w="1714" w:type="dxa"/>
          </w:tcPr>
          <w:p w:rsidR="00BC037A" w:rsidRPr="000A0A5F" w:rsidRDefault="00BC037A" w:rsidP="00EF7E64">
            <w:pPr>
              <w:pStyle w:val="TAL"/>
              <w:rPr>
                <w:lang w:eastAsia="zh-CN"/>
              </w:rPr>
            </w:pPr>
            <w:r w:rsidRPr="000A0A5F">
              <w:t>semiMinor</w:t>
            </w:r>
          </w:p>
        </w:tc>
        <w:tc>
          <w:tcPr>
            <w:tcW w:w="1683" w:type="dxa"/>
          </w:tcPr>
          <w:p w:rsidR="00BC037A" w:rsidRPr="000A0A5F" w:rsidRDefault="00BC037A" w:rsidP="00EF7E64">
            <w:pPr>
              <w:pStyle w:val="TAL"/>
              <w:rPr>
                <w:lang w:eastAsia="zh-CN"/>
              </w:rPr>
            </w:pPr>
            <w:r w:rsidRPr="000A0A5F">
              <w:t>Uncertainty</w:t>
            </w:r>
          </w:p>
        </w:tc>
        <w:tc>
          <w:tcPr>
            <w:tcW w:w="1121" w:type="dxa"/>
          </w:tcPr>
          <w:p w:rsidR="00BC037A" w:rsidRPr="000A0A5F" w:rsidRDefault="00BC037A" w:rsidP="00EF7E64">
            <w:pPr>
              <w:pStyle w:val="TAC"/>
            </w:pPr>
            <w:r w:rsidRPr="000A0A5F">
              <w:t>1</w:t>
            </w:r>
          </w:p>
        </w:tc>
        <w:tc>
          <w:tcPr>
            <w:tcW w:w="3240" w:type="dxa"/>
          </w:tcPr>
          <w:p w:rsidR="00BC037A" w:rsidRPr="000A0A5F" w:rsidRDefault="00BC037A" w:rsidP="00EF7E64">
            <w:pPr>
              <w:pStyle w:val="TAL"/>
              <w:rPr>
                <w:rFonts w:cs="Arial"/>
                <w:szCs w:val="18"/>
                <w:lang w:eastAsia="zh-CN"/>
              </w:rPr>
            </w:pPr>
            <w:r w:rsidRPr="000A0A5F">
              <w:rPr>
                <w:rFonts w:cs="Arial"/>
                <w:szCs w:val="18"/>
              </w:rPr>
              <w:t>Indicates the semi-major axis of the uncertainty ellipse.</w:t>
            </w:r>
          </w:p>
        </w:tc>
        <w:tc>
          <w:tcPr>
            <w:tcW w:w="1463" w:type="dxa"/>
          </w:tcPr>
          <w:p w:rsidR="00BC037A" w:rsidRPr="000A0A5F" w:rsidRDefault="00BC037A" w:rsidP="00EF7E64">
            <w:pPr>
              <w:pStyle w:val="TAL"/>
              <w:rPr>
                <w:rFonts w:cs="Arial"/>
                <w:szCs w:val="18"/>
              </w:rPr>
            </w:pPr>
          </w:p>
        </w:tc>
      </w:tr>
      <w:tr w:rsidR="00BC037A" w:rsidRPr="000A0A5F" w:rsidTr="00EF7E64">
        <w:trPr>
          <w:jc w:val="center"/>
        </w:trPr>
        <w:tc>
          <w:tcPr>
            <w:tcW w:w="1714" w:type="dxa"/>
          </w:tcPr>
          <w:p w:rsidR="00BC037A" w:rsidRPr="000A0A5F" w:rsidRDefault="00BC037A" w:rsidP="00EF7E64">
            <w:pPr>
              <w:pStyle w:val="TAL"/>
              <w:rPr>
                <w:lang w:eastAsia="zh-CN"/>
              </w:rPr>
            </w:pPr>
            <w:r w:rsidRPr="000A0A5F">
              <w:t>semiMajor</w:t>
            </w:r>
          </w:p>
        </w:tc>
        <w:tc>
          <w:tcPr>
            <w:tcW w:w="1683" w:type="dxa"/>
          </w:tcPr>
          <w:p w:rsidR="00BC037A" w:rsidRPr="000A0A5F" w:rsidRDefault="00BC037A" w:rsidP="00EF7E64">
            <w:pPr>
              <w:pStyle w:val="TAL"/>
              <w:rPr>
                <w:lang w:eastAsia="zh-CN"/>
              </w:rPr>
            </w:pPr>
            <w:r w:rsidRPr="000A0A5F">
              <w:t>Uncertainty</w:t>
            </w:r>
          </w:p>
        </w:tc>
        <w:tc>
          <w:tcPr>
            <w:tcW w:w="1121" w:type="dxa"/>
          </w:tcPr>
          <w:p w:rsidR="00BC037A" w:rsidRPr="000A0A5F" w:rsidRDefault="00BC037A" w:rsidP="00EF7E64">
            <w:pPr>
              <w:pStyle w:val="TAC"/>
            </w:pPr>
            <w:r w:rsidRPr="000A0A5F">
              <w:t>1</w:t>
            </w:r>
          </w:p>
        </w:tc>
        <w:tc>
          <w:tcPr>
            <w:tcW w:w="3240" w:type="dxa"/>
          </w:tcPr>
          <w:p w:rsidR="00BC037A" w:rsidRPr="000A0A5F" w:rsidRDefault="00BC037A" w:rsidP="00EF7E64">
            <w:pPr>
              <w:pStyle w:val="TAL"/>
              <w:rPr>
                <w:noProof/>
                <w:lang w:eastAsia="zh-CN"/>
              </w:rPr>
            </w:pPr>
            <w:r w:rsidRPr="000A0A5F">
              <w:rPr>
                <w:rFonts w:cs="Arial"/>
                <w:szCs w:val="18"/>
              </w:rPr>
              <w:t>Indicates the semi-minor axis of the uncertainty ellipse.</w:t>
            </w:r>
          </w:p>
        </w:tc>
        <w:tc>
          <w:tcPr>
            <w:tcW w:w="1463" w:type="dxa"/>
          </w:tcPr>
          <w:p w:rsidR="00BC037A" w:rsidRPr="000A0A5F" w:rsidRDefault="00BC037A" w:rsidP="00EF7E64">
            <w:pPr>
              <w:pStyle w:val="TAL"/>
              <w:rPr>
                <w:rFonts w:cs="Arial"/>
                <w:szCs w:val="18"/>
              </w:rPr>
            </w:pPr>
          </w:p>
        </w:tc>
      </w:tr>
      <w:tr w:rsidR="00BC037A" w:rsidRPr="000A0A5F" w:rsidTr="00EF7E64">
        <w:trPr>
          <w:jc w:val="center"/>
        </w:trPr>
        <w:tc>
          <w:tcPr>
            <w:tcW w:w="1714" w:type="dxa"/>
          </w:tcPr>
          <w:p w:rsidR="00BC037A" w:rsidRPr="000A0A5F" w:rsidRDefault="00BC037A" w:rsidP="00EF7E64">
            <w:pPr>
              <w:pStyle w:val="TAL"/>
              <w:rPr>
                <w:lang w:eastAsia="zh-CN"/>
              </w:rPr>
            </w:pPr>
            <w:r w:rsidRPr="000A0A5F">
              <w:t>orientationAngle</w:t>
            </w:r>
          </w:p>
        </w:tc>
        <w:tc>
          <w:tcPr>
            <w:tcW w:w="1683" w:type="dxa"/>
          </w:tcPr>
          <w:p w:rsidR="00BC037A" w:rsidRPr="000A0A5F" w:rsidRDefault="00BC037A" w:rsidP="00EF7E64">
            <w:pPr>
              <w:pStyle w:val="TAL"/>
              <w:rPr>
                <w:lang w:eastAsia="zh-CN"/>
              </w:rPr>
            </w:pPr>
            <w:r w:rsidRPr="000A0A5F">
              <w:rPr>
                <w:lang w:eastAsia="zh-CN"/>
              </w:rPr>
              <w:t>Angle</w:t>
            </w:r>
          </w:p>
        </w:tc>
        <w:tc>
          <w:tcPr>
            <w:tcW w:w="1121" w:type="dxa"/>
          </w:tcPr>
          <w:p w:rsidR="00BC037A" w:rsidRPr="000A0A5F" w:rsidRDefault="00BC037A" w:rsidP="00EF7E64">
            <w:pPr>
              <w:pStyle w:val="TAC"/>
            </w:pPr>
            <w:r w:rsidRPr="000A0A5F">
              <w:rPr>
                <w:rFonts w:hint="eastAsia"/>
                <w:lang w:eastAsia="zh-CN"/>
              </w:rPr>
              <w:t>1</w:t>
            </w:r>
          </w:p>
        </w:tc>
        <w:tc>
          <w:tcPr>
            <w:tcW w:w="3240" w:type="dxa"/>
          </w:tcPr>
          <w:p w:rsidR="00BC037A" w:rsidRPr="000A0A5F" w:rsidRDefault="00BC037A" w:rsidP="00EF7E64">
            <w:pPr>
              <w:pStyle w:val="TAL"/>
              <w:rPr>
                <w:noProof/>
                <w:lang w:eastAsia="zh-CN"/>
              </w:rPr>
            </w:pPr>
            <w:r w:rsidRPr="000A0A5F">
              <w:rPr>
                <w:noProof/>
                <w:lang w:eastAsia="zh-CN"/>
              </w:rPr>
              <w:t xml:space="preserve">Indentifies </w:t>
            </w:r>
            <w:r w:rsidRPr="000A0A5F">
              <w:rPr>
                <w:rFonts w:cs="Arial"/>
                <w:szCs w:val="18"/>
                <w:lang w:eastAsia="zh-CN"/>
              </w:rPr>
              <w:t xml:space="preserve">the </w:t>
            </w:r>
            <w:r w:rsidRPr="000A0A5F">
              <w:t>angle of orientation A</w:t>
            </w:r>
            <w:r w:rsidRPr="000A0A5F">
              <w:rPr>
                <w:noProof/>
                <w:lang w:eastAsia="zh-CN"/>
              </w:rPr>
              <w:t>.</w:t>
            </w:r>
          </w:p>
        </w:tc>
        <w:tc>
          <w:tcPr>
            <w:tcW w:w="1463" w:type="dxa"/>
          </w:tcPr>
          <w:p w:rsidR="00BC037A" w:rsidRPr="000A0A5F" w:rsidRDefault="00BC037A" w:rsidP="00EF7E64">
            <w:pPr>
              <w:pStyle w:val="TAL"/>
              <w:rPr>
                <w:rFonts w:cs="Arial"/>
                <w:szCs w:val="18"/>
              </w:rPr>
            </w:pPr>
          </w:p>
        </w:tc>
      </w:tr>
    </w:tbl>
    <w:p w:rsidR="00BC037A" w:rsidRPr="000A0A5F" w:rsidRDefault="00BC037A" w:rsidP="00BC037A">
      <w:pPr>
        <w:pStyle w:val="Heading5"/>
      </w:pPr>
      <w:bookmarkStart w:id="1998" w:name="_Toc153625190"/>
      <w:r w:rsidRPr="000A0A5F">
        <w:t>5.3.2.3.16</w:t>
      </w:r>
      <w:r w:rsidRPr="000A0A5F">
        <w:tab/>
        <w:t xml:space="preserve">Type: </w:t>
      </w:r>
      <w:r w:rsidRPr="000A0A5F">
        <w:rPr>
          <w:lang w:eastAsia="zh-CN"/>
        </w:rPr>
        <w:t>Threed</w:t>
      </w:r>
      <w:r w:rsidRPr="000A0A5F">
        <w:rPr>
          <w:rFonts w:hint="eastAsia"/>
          <w:lang w:eastAsia="zh-CN"/>
        </w:rPr>
        <w:t>r</w:t>
      </w:r>
      <w:r w:rsidRPr="000A0A5F">
        <w:rPr>
          <w:lang w:eastAsia="zh-CN"/>
        </w:rPr>
        <w:t>elativeLocation</w:t>
      </w:r>
      <w:bookmarkEnd w:id="1998"/>
    </w:p>
    <w:p w:rsidR="00BC037A" w:rsidRPr="000A0A5F" w:rsidRDefault="00BC037A" w:rsidP="00BC037A">
      <w:pPr>
        <w:pStyle w:val="TH"/>
      </w:pPr>
      <w:r w:rsidRPr="000A0A5F">
        <w:rPr>
          <w:noProof/>
        </w:rPr>
        <w:t>Table </w:t>
      </w:r>
      <w:r w:rsidRPr="000A0A5F">
        <w:t xml:space="preserve">5.3.2.3.16-1: </w:t>
      </w:r>
      <w:r w:rsidRPr="000A0A5F">
        <w:rPr>
          <w:noProof/>
        </w:rPr>
        <w:t xml:space="preserve">Definition of type </w:t>
      </w:r>
      <w:r w:rsidRPr="000A0A5F">
        <w:rPr>
          <w:lang w:eastAsia="zh-CN"/>
        </w:rPr>
        <w:t>Threed</w:t>
      </w:r>
      <w:r w:rsidRPr="000A0A5F">
        <w:rPr>
          <w:rFonts w:hint="eastAsia"/>
          <w:lang w:eastAsia="zh-CN"/>
        </w:rPr>
        <w:t>r</w:t>
      </w:r>
      <w:r w:rsidRPr="000A0A5F">
        <w:rPr>
          <w:lang w:eastAsia="zh-CN"/>
        </w:rPr>
        <w:t>elativeLocation</w:t>
      </w:r>
    </w:p>
    <w:tbl>
      <w:tblPr>
        <w:tblW w:w="922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714"/>
        <w:gridCol w:w="1683"/>
        <w:gridCol w:w="1121"/>
        <w:gridCol w:w="3240"/>
        <w:gridCol w:w="1463"/>
      </w:tblGrid>
      <w:tr w:rsidR="00BC037A" w:rsidRPr="000A0A5F" w:rsidTr="00EF7E64">
        <w:trPr>
          <w:jc w:val="center"/>
        </w:trPr>
        <w:tc>
          <w:tcPr>
            <w:tcW w:w="1714" w:type="dxa"/>
            <w:shd w:val="clear" w:color="auto" w:fill="C0C0C0"/>
            <w:hideMark/>
          </w:tcPr>
          <w:p w:rsidR="00BC037A" w:rsidRPr="000A0A5F" w:rsidRDefault="00BC037A" w:rsidP="00EF7E64">
            <w:pPr>
              <w:pStyle w:val="TAH"/>
            </w:pPr>
            <w:r w:rsidRPr="000A0A5F">
              <w:t>Attribute name</w:t>
            </w:r>
          </w:p>
        </w:tc>
        <w:tc>
          <w:tcPr>
            <w:tcW w:w="1683" w:type="dxa"/>
            <w:shd w:val="clear" w:color="auto" w:fill="C0C0C0"/>
            <w:hideMark/>
          </w:tcPr>
          <w:p w:rsidR="00BC037A" w:rsidRPr="000A0A5F" w:rsidRDefault="00BC037A" w:rsidP="00EF7E64">
            <w:pPr>
              <w:pStyle w:val="TAH"/>
            </w:pPr>
            <w:r w:rsidRPr="000A0A5F">
              <w:t>Data type</w:t>
            </w:r>
          </w:p>
        </w:tc>
        <w:tc>
          <w:tcPr>
            <w:tcW w:w="1121" w:type="dxa"/>
            <w:shd w:val="clear" w:color="auto" w:fill="C0C0C0"/>
            <w:hideMark/>
          </w:tcPr>
          <w:p w:rsidR="00BC037A" w:rsidRPr="000A0A5F" w:rsidRDefault="00BC037A" w:rsidP="00EF7E64">
            <w:pPr>
              <w:pStyle w:val="TAH"/>
            </w:pPr>
            <w:r w:rsidRPr="000A0A5F">
              <w:t>Cardinality</w:t>
            </w:r>
          </w:p>
        </w:tc>
        <w:tc>
          <w:tcPr>
            <w:tcW w:w="3240" w:type="dxa"/>
            <w:shd w:val="clear" w:color="auto" w:fill="C0C0C0"/>
            <w:hideMark/>
          </w:tcPr>
          <w:p w:rsidR="00BC037A" w:rsidRPr="000A0A5F" w:rsidRDefault="00BC037A" w:rsidP="00EF7E64">
            <w:pPr>
              <w:pStyle w:val="TAH"/>
            </w:pPr>
            <w:r w:rsidRPr="000A0A5F">
              <w:t>Description</w:t>
            </w:r>
          </w:p>
        </w:tc>
        <w:tc>
          <w:tcPr>
            <w:tcW w:w="1463" w:type="dxa"/>
            <w:shd w:val="clear" w:color="auto" w:fill="C0C0C0"/>
          </w:tcPr>
          <w:p w:rsidR="00BC037A" w:rsidRPr="000A0A5F" w:rsidRDefault="00BC037A" w:rsidP="00EF7E64">
            <w:pPr>
              <w:pStyle w:val="TAH"/>
            </w:pPr>
            <w:r w:rsidRPr="000A0A5F">
              <w:t>Applicability</w:t>
            </w:r>
          </w:p>
        </w:tc>
      </w:tr>
      <w:tr w:rsidR="00BC037A" w:rsidRPr="000A0A5F" w:rsidTr="00EF7E64">
        <w:trPr>
          <w:jc w:val="center"/>
        </w:trPr>
        <w:tc>
          <w:tcPr>
            <w:tcW w:w="1714" w:type="dxa"/>
          </w:tcPr>
          <w:p w:rsidR="00BC037A" w:rsidRPr="000A0A5F" w:rsidRDefault="00BC037A" w:rsidP="00EF7E64">
            <w:pPr>
              <w:pStyle w:val="TAL"/>
              <w:rPr>
                <w:lang w:eastAsia="zh-CN"/>
              </w:rPr>
            </w:pPr>
            <w:r w:rsidRPr="000A0A5F">
              <w:t>semiMinor</w:t>
            </w:r>
          </w:p>
        </w:tc>
        <w:tc>
          <w:tcPr>
            <w:tcW w:w="1683" w:type="dxa"/>
          </w:tcPr>
          <w:p w:rsidR="00BC037A" w:rsidRPr="000A0A5F" w:rsidRDefault="00BC037A" w:rsidP="00EF7E64">
            <w:pPr>
              <w:pStyle w:val="TAL"/>
              <w:rPr>
                <w:lang w:eastAsia="zh-CN"/>
              </w:rPr>
            </w:pPr>
            <w:r w:rsidRPr="000A0A5F">
              <w:t>Uncertainty</w:t>
            </w:r>
          </w:p>
        </w:tc>
        <w:tc>
          <w:tcPr>
            <w:tcW w:w="1121" w:type="dxa"/>
          </w:tcPr>
          <w:p w:rsidR="00BC037A" w:rsidRPr="000A0A5F" w:rsidRDefault="00BC037A" w:rsidP="00EF7E64">
            <w:pPr>
              <w:pStyle w:val="TAC"/>
            </w:pPr>
            <w:r w:rsidRPr="000A0A5F">
              <w:t>1</w:t>
            </w:r>
          </w:p>
        </w:tc>
        <w:tc>
          <w:tcPr>
            <w:tcW w:w="3240" w:type="dxa"/>
          </w:tcPr>
          <w:p w:rsidR="00BC037A" w:rsidRPr="000A0A5F" w:rsidRDefault="00BC037A" w:rsidP="00EF7E64">
            <w:pPr>
              <w:pStyle w:val="TAL"/>
              <w:rPr>
                <w:rFonts w:cs="Arial"/>
                <w:szCs w:val="18"/>
                <w:lang w:eastAsia="zh-CN"/>
              </w:rPr>
            </w:pPr>
            <w:r w:rsidRPr="000A0A5F">
              <w:rPr>
                <w:rFonts w:cs="Arial"/>
                <w:szCs w:val="18"/>
              </w:rPr>
              <w:t>Indicates the semi-major axis of the uncertainty ellipse.</w:t>
            </w:r>
          </w:p>
        </w:tc>
        <w:tc>
          <w:tcPr>
            <w:tcW w:w="1463" w:type="dxa"/>
          </w:tcPr>
          <w:p w:rsidR="00BC037A" w:rsidRPr="000A0A5F" w:rsidRDefault="00BC037A" w:rsidP="00EF7E64">
            <w:pPr>
              <w:pStyle w:val="TAL"/>
              <w:rPr>
                <w:rFonts w:cs="Arial"/>
                <w:szCs w:val="18"/>
              </w:rPr>
            </w:pPr>
          </w:p>
        </w:tc>
      </w:tr>
      <w:tr w:rsidR="00BC037A" w:rsidRPr="000A0A5F" w:rsidTr="00EF7E64">
        <w:trPr>
          <w:jc w:val="center"/>
        </w:trPr>
        <w:tc>
          <w:tcPr>
            <w:tcW w:w="1714" w:type="dxa"/>
          </w:tcPr>
          <w:p w:rsidR="00BC037A" w:rsidRPr="000A0A5F" w:rsidRDefault="00BC037A" w:rsidP="00EF7E64">
            <w:pPr>
              <w:pStyle w:val="TAL"/>
              <w:rPr>
                <w:lang w:eastAsia="zh-CN"/>
              </w:rPr>
            </w:pPr>
            <w:r w:rsidRPr="000A0A5F">
              <w:t>semiMajor</w:t>
            </w:r>
          </w:p>
        </w:tc>
        <w:tc>
          <w:tcPr>
            <w:tcW w:w="1683" w:type="dxa"/>
          </w:tcPr>
          <w:p w:rsidR="00BC037A" w:rsidRPr="000A0A5F" w:rsidRDefault="00BC037A" w:rsidP="00EF7E64">
            <w:pPr>
              <w:pStyle w:val="TAL"/>
              <w:rPr>
                <w:lang w:eastAsia="zh-CN"/>
              </w:rPr>
            </w:pPr>
            <w:r w:rsidRPr="000A0A5F">
              <w:t>Uncertainty</w:t>
            </w:r>
          </w:p>
        </w:tc>
        <w:tc>
          <w:tcPr>
            <w:tcW w:w="1121" w:type="dxa"/>
          </w:tcPr>
          <w:p w:rsidR="00BC037A" w:rsidRPr="000A0A5F" w:rsidRDefault="00BC037A" w:rsidP="00EF7E64">
            <w:pPr>
              <w:pStyle w:val="TAC"/>
            </w:pPr>
            <w:r w:rsidRPr="000A0A5F">
              <w:t>1</w:t>
            </w:r>
          </w:p>
        </w:tc>
        <w:tc>
          <w:tcPr>
            <w:tcW w:w="3240" w:type="dxa"/>
          </w:tcPr>
          <w:p w:rsidR="00BC037A" w:rsidRPr="000A0A5F" w:rsidRDefault="00BC037A" w:rsidP="00EF7E64">
            <w:pPr>
              <w:pStyle w:val="TAL"/>
              <w:rPr>
                <w:noProof/>
                <w:lang w:eastAsia="zh-CN"/>
              </w:rPr>
            </w:pPr>
            <w:r w:rsidRPr="000A0A5F">
              <w:rPr>
                <w:rFonts w:cs="Arial"/>
                <w:szCs w:val="18"/>
              </w:rPr>
              <w:t>Indicates the semi-minor axis of the uncertainty ellipse.</w:t>
            </w:r>
          </w:p>
        </w:tc>
        <w:tc>
          <w:tcPr>
            <w:tcW w:w="1463" w:type="dxa"/>
          </w:tcPr>
          <w:p w:rsidR="00BC037A" w:rsidRPr="000A0A5F" w:rsidRDefault="00BC037A" w:rsidP="00EF7E64">
            <w:pPr>
              <w:pStyle w:val="TAL"/>
              <w:rPr>
                <w:rFonts w:cs="Arial"/>
                <w:szCs w:val="18"/>
              </w:rPr>
            </w:pPr>
          </w:p>
        </w:tc>
      </w:tr>
      <w:tr w:rsidR="00BC037A" w:rsidRPr="000A0A5F" w:rsidTr="00EF7E64">
        <w:trPr>
          <w:jc w:val="center"/>
        </w:trPr>
        <w:tc>
          <w:tcPr>
            <w:tcW w:w="1714" w:type="dxa"/>
          </w:tcPr>
          <w:p w:rsidR="00BC037A" w:rsidRPr="000A0A5F" w:rsidRDefault="00BC037A" w:rsidP="00EF7E64">
            <w:pPr>
              <w:pStyle w:val="TAL"/>
            </w:pPr>
            <w:r w:rsidRPr="000A0A5F">
              <w:t>verticalUncertainty</w:t>
            </w:r>
          </w:p>
        </w:tc>
        <w:tc>
          <w:tcPr>
            <w:tcW w:w="1683" w:type="dxa"/>
          </w:tcPr>
          <w:p w:rsidR="00BC037A" w:rsidRPr="000A0A5F" w:rsidRDefault="00BC037A" w:rsidP="00EF7E64">
            <w:pPr>
              <w:pStyle w:val="TAL"/>
            </w:pPr>
            <w:r w:rsidRPr="000A0A5F">
              <w:t>Uncertainty</w:t>
            </w:r>
          </w:p>
        </w:tc>
        <w:tc>
          <w:tcPr>
            <w:tcW w:w="1121" w:type="dxa"/>
          </w:tcPr>
          <w:p w:rsidR="00BC037A" w:rsidRPr="000A0A5F" w:rsidRDefault="00BC037A" w:rsidP="00EF7E64">
            <w:pPr>
              <w:pStyle w:val="TAC"/>
              <w:rPr>
                <w:lang w:eastAsia="zh-CN"/>
              </w:rPr>
            </w:pPr>
            <w:r w:rsidRPr="000A0A5F">
              <w:rPr>
                <w:rFonts w:hint="eastAsia"/>
                <w:lang w:eastAsia="zh-CN"/>
              </w:rPr>
              <w:t>1</w:t>
            </w:r>
          </w:p>
        </w:tc>
        <w:tc>
          <w:tcPr>
            <w:tcW w:w="3240" w:type="dxa"/>
          </w:tcPr>
          <w:p w:rsidR="00BC037A" w:rsidRPr="000A0A5F" w:rsidRDefault="00BC037A" w:rsidP="00EF7E64">
            <w:pPr>
              <w:pStyle w:val="TAL"/>
              <w:rPr>
                <w:rFonts w:cs="Arial"/>
                <w:szCs w:val="18"/>
              </w:rPr>
            </w:pPr>
            <w:r w:rsidRPr="000A0A5F">
              <w:rPr>
                <w:rFonts w:cs="Arial"/>
                <w:szCs w:val="18"/>
              </w:rPr>
              <w:t xml:space="preserve">Indicates the </w:t>
            </w:r>
            <w:r w:rsidRPr="000A0A5F">
              <w:t>vertical uncertainty</w:t>
            </w:r>
            <w:r w:rsidRPr="000A0A5F">
              <w:rPr>
                <w:rFonts w:cs="Arial"/>
                <w:szCs w:val="18"/>
              </w:rPr>
              <w:t>.</w:t>
            </w:r>
          </w:p>
        </w:tc>
        <w:tc>
          <w:tcPr>
            <w:tcW w:w="1463" w:type="dxa"/>
          </w:tcPr>
          <w:p w:rsidR="00BC037A" w:rsidRPr="000A0A5F" w:rsidRDefault="00BC037A" w:rsidP="00EF7E64">
            <w:pPr>
              <w:pStyle w:val="TAL"/>
              <w:rPr>
                <w:rFonts w:cs="Arial"/>
                <w:szCs w:val="18"/>
              </w:rPr>
            </w:pPr>
          </w:p>
        </w:tc>
      </w:tr>
      <w:tr w:rsidR="00BC037A" w:rsidRPr="000A0A5F" w:rsidTr="00EF7E64">
        <w:trPr>
          <w:jc w:val="center"/>
        </w:trPr>
        <w:tc>
          <w:tcPr>
            <w:tcW w:w="1714" w:type="dxa"/>
          </w:tcPr>
          <w:p w:rsidR="00BC037A" w:rsidRPr="000A0A5F" w:rsidRDefault="00BC037A" w:rsidP="00EF7E64">
            <w:pPr>
              <w:pStyle w:val="TAL"/>
            </w:pPr>
            <w:r w:rsidRPr="000A0A5F">
              <w:t>orientationAngle</w:t>
            </w:r>
          </w:p>
        </w:tc>
        <w:tc>
          <w:tcPr>
            <w:tcW w:w="1683" w:type="dxa"/>
          </w:tcPr>
          <w:p w:rsidR="00BC037A" w:rsidRPr="000A0A5F" w:rsidRDefault="00BC037A" w:rsidP="00EF7E64">
            <w:pPr>
              <w:pStyle w:val="TAL"/>
            </w:pPr>
            <w:r w:rsidRPr="000A0A5F">
              <w:rPr>
                <w:lang w:eastAsia="zh-CN"/>
              </w:rPr>
              <w:t>Angle</w:t>
            </w:r>
          </w:p>
        </w:tc>
        <w:tc>
          <w:tcPr>
            <w:tcW w:w="1121" w:type="dxa"/>
          </w:tcPr>
          <w:p w:rsidR="00BC037A" w:rsidRPr="000A0A5F" w:rsidRDefault="00BC037A" w:rsidP="00EF7E64">
            <w:pPr>
              <w:pStyle w:val="TAC"/>
              <w:rPr>
                <w:lang w:eastAsia="zh-CN"/>
              </w:rPr>
            </w:pPr>
            <w:r w:rsidRPr="000A0A5F">
              <w:rPr>
                <w:rFonts w:hint="eastAsia"/>
                <w:lang w:eastAsia="zh-CN"/>
              </w:rPr>
              <w:t>1</w:t>
            </w:r>
          </w:p>
        </w:tc>
        <w:tc>
          <w:tcPr>
            <w:tcW w:w="3240" w:type="dxa"/>
          </w:tcPr>
          <w:p w:rsidR="00BC037A" w:rsidRPr="000A0A5F" w:rsidRDefault="00BC037A" w:rsidP="00EF7E64">
            <w:pPr>
              <w:pStyle w:val="TAL"/>
              <w:rPr>
                <w:rFonts w:cs="Arial"/>
                <w:szCs w:val="18"/>
              </w:rPr>
            </w:pPr>
            <w:r w:rsidRPr="000A0A5F">
              <w:rPr>
                <w:noProof/>
                <w:lang w:eastAsia="zh-CN"/>
              </w:rPr>
              <w:t xml:space="preserve">Indentifies </w:t>
            </w:r>
            <w:r w:rsidRPr="000A0A5F">
              <w:rPr>
                <w:rFonts w:cs="Arial"/>
                <w:szCs w:val="18"/>
                <w:lang w:eastAsia="zh-CN"/>
              </w:rPr>
              <w:t xml:space="preserve">the </w:t>
            </w:r>
            <w:r w:rsidRPr="000A0A5F">
              <w:t>angle of orientation A</w:t>
            </w:r>
            <w:r w:rsidRPr="000A0A5F">
              <w:rPr>
                <w:noProof/>
                <w:lang w:eastAsia="zh-CN"/>
              </w:rPr>
              <w:t>.</w:t>
            </w:r>
          </w:p>
        </w:tc>
        <w:tc>
          <w:tcPr>
            <w:tcW w:w="1463" w:type="dxa"/>
          </w:tcPr>
          <w:p w:rsidR="00BC037A" w:rsidRPr="000A0A5F" w:rsidRDefault="00BC037A" w:rsidP="00EF7E64">
            <w:pPr>
              <w:pStyle w:val="TAL"/>
              <w:rPr>
                <w:rFonts w:cs="Arial"/>
                <w:szCs w:val="18"/>
              </w:rPr>
            </w:pPr>
          </w:p>
        </w:tc>
      </w:tr>
    </w:tbl>
    <w:p w:rsidR="00542565" w:rsidRPr="000A0A5F" w:rsidRDefault="00542565" w:rsidP="00E37664"/>
    <w:p w:rsidR="00E50DF1" w:rsidRPr="000A0A5F" w:rsidRDefault="00E50DF1" w:rsidP="00E50DF1">
      <w:pPr>
        <w:pStyle w:val="Heading5"/>
      </w:pPr>
      <w:bookmarkStart w:id="1999" w:name="_Toc153625191"/>
      <w:r w:rsidRPr="000A0A5F">
        <w:t>5.3.2.3.17</w:t>
      </w:r>
      <w:r w:rsidRPr="000A0A5F">
        <w:tab/>
        <w:t xml:space="preserve">Type: </w:t>
      </w:r>
      <w:r w:rsidRPr="000A0A5F">
        <w:rPr>
          <w:rFonts w:eastAsia="Times New Roman"/>
          <w:lang w:eastAsia="en-GB"/>
        </w:rPr>
        <w:t>UpLocRepAddrAfRm</w:t>
      </w:r>
      <w:bookmarkEnd w:id="1999"/>
    </w:p>
    <w:p w:rsidR="00E50DF1" w:rsidRPr="000A0A5F" w:rsidRDefault="00E50DF1" w:rsidP="00E50DF1">
      <w:pPr>
        <w:pStyle w:val="TH"/>
      </w:pPr>
      <w:r w:rsidRPr="000A0A5F">
        <w:rPr>
          <w:noProof/>
        </w:rPr>
        <w:t>Table </w:t>
      </w:r>
      <w:r w:rsidRPr="000A0A5F">
        <w:t xml:space="preserve">5.3.2.3.17-1: </w:t>
      </w:r>
      <w:r w:rsidRPr="000A0A5F">
        <w:rPr>
          <w:noProof/>
        </w:rPr>
        <w:t xml:space="preserve">Definition of type </w:t>
      </w:r>
      <w:r w:rsidRPr="000A0A5F">
        <w:rPr>
          <w:rFonts w:eastAsia="Times New Roman"/>
          <w:lang w:eastAsia="en-GB"/>
        </w:rPr>
        <w:t>UpLocRepAddrAfRm</w:t>
      </w:r>
    </w:p>
    <w:tbl>
      <w:tblPr>
        <w:tblW w:w="922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714"/>
        <w:gridCol w:w="1683"/>
        <w:gridCol w:w="1121"/>
        <w:gridCol w:w="3240"/>
        <w:gridCol w:w="1463"/>
      </w:tblGrid>
      <w:tr w:rsidR="00E50DF1" w:rsidRPr="000A0A5F" w:rsidTr="00510DDC">
        <w:trPr>
          <w:jc w:val="center"/>
        </w:trPr>
        <w:tc>
          <w:tcPr>
            <w:tcW w:w="1714" w:type="dxa"/>
            <w:shd w:val="clear" w:color="auto" w:fill="C0C0C0"/>
            <w:hideMark/>
          </w:tcPr>
          <w:p w:rsidR="00E50DF1" w:rsidRPr="000A0A5F" w:rsidRDefault="00E50DF1" w:rsidP="00510DDC">
            <w:pPr>
              <w:pStyle w:val="TAH"/>
            </w:pPr>
            <w:r w:rsidRPr="000A0A5F">
              <w:t>Attribute name</w:t>
            </w:r>
          </w:p>
        </w:tc>
        <w:tc>
          <w:tcPr>
            <w:tcW w:w="1683" w:type="dxa"/>
            <w:shd w:val="clear" w:color="auto" w:fill="C0C0C0"/>
            <w:hideMark/>
          </w:tcPr>
          <w:p w:rsidR="00E50DF1" w:rsidRPr="000A0A5F" w:rsidRDefault="00E50DF1" w:rsidP="00510DDC">
            <w:pPr>
              <w:pStyle w:val="TAH"/>
            </w:pPr>
            <w:r w:rsidRPr="000A0A5F">
              <w:t>Data type</w:t>
            </w:r>
          </w:p>
        </w:tc>
        <w:tc>
          <w:tcPr>
            <w:tcW w:w="1121" w:type="dxa"/>
            <w:shd w:val="clear" w:color="auto" w:fill="C0C0C0"/>
            <w:hideMark/>
          </w:tcPr>
          <w:p w:rsidR="00E50DF1" w:rsidRPr="000A0A5F" w:rsidRDefault="00E50DF1" w:rsidP="00510DDC">
            <w:pPr>
              <w:pStyle w:val="TAH"/>
            </w:pPr>
            <w:r w:rsidRPr="000A0A5F">
              <w:t>Cardinality</w:t>
            </w:r>
          </w:p>
        </w:tc>
        <w:tc>
          <w:tcPr>
            <w:tcW w:w="3240" w:type="dxa"/>
            <w:shd w:val="clear" w:color="auto" w:fill="C0C0C0"/>
            <w:hideMark/>
          </w:tcPr>
          <w:p w:rsidR="00E50DF1" w:rsidRPr="000A0A5F" w:rsidRDefault="00E50DF1" w:rsidP="00510DDC">
            <w:pPr>
              <w:pStyle w:val="TAH"/>
            </w:pPr>
            <w:r w:rsidRPr="000A0A5F">
              <w:t>Description</w:t>
            </w:r>
          </w:p>
        </w:tc>
        <w:tc>
          <w:tcPr>
            <w:tcW w:w="1463" w:type="dxa"/>
            <w:shd w:val="clear" w:color="auto" w:fill="C0C0C0"/>
          </w:tcPr>
          <w:p w:rsidR="00E50DF1" w:rsidRPr="000A0A5F" w:rsidRDefault="00E50DF1" w:rsidP="00510DDC">
            <w:pPr>
              <w:pStyle w:val="TAH"/>
            </w:pPr>
            <w:r w:rsidRPr="000A0A5F">
              <w:t>Applicability</w:t>
            </w:r>
          </w:p>
        </w:tc>
      </w:tr>
      <w:tr w:rsidR="00E50DF1" w:rsidRPr="000A0A5F" w:rsidTr="00510DDC">
        <w:trPr>
          <w:jc w:val="center"/>
        </w:trPr>
        <w:tc>
          <w:tcPr>
            <w:tcW w:w="1714" w:type="dxa"/>
          </w:tcPr>
          <w:p w:rsidR="00E50DF1" w:rsidRPr="000A0A5F" w:rsidRDefault="00E50DF1" w:rsidP="00510DDC">
            <w:pPr>
              <w:pStyle w:val="TAL"/>
              <w:rPr>
                <w:lang w:eastAsia="zh-CN"/>
              </w:rPr>
            </w:pPr>
            <w:r w:rsidRPr="000A0A5F">
              <w:t>ipv4Addrs</w:t>
            </w:r>
          </w:p>
        </w:tc>
        <w:tc>
          <w:tcPr>
            <w:tcW w:w="1683" w:type="dxa"/>
          </w:tcPr>
          <w:p w:rsidR="00E50DF1" w:rsidRPr="000A0A5F" w:rsidRDefault="00E50DF1" w:rsidP="00510DDC">
            <w:pPr>
              <w:pStyle w:val="TAL"/>
              <w:rPr>
                <w:lang w:eastAsia="zh-CN"/>
              </w:rPr>
            </w:pPr>
            <w:r w:rsidRPr="000A0A5F">
              <w:t>array(Ipv4Addr)</w:t>
            </w:r>
          </w:p>
        </w:tc>
        <w:tc>
          <w:tcPr>
            <w:tcW w:w="1121" w:type="dxa"/>
          </w:tcPr>
          <w:p w:rsidR="00E50DF1" w:rsidRPr="000A0A5F" w:rsidRDefault="00E50DF1" w:rsidP="00510DDC">
            <w:pPr>
              <w:pStyle w:val="TAC"/>
            </w:pPr>
            <w:r w:rsidRPr="000A0A5F">
              <w:t>1..N</w:t>
            </w:r>
          </w:p>
        </w:tc>
        <w:tc>
          <w:tcPr>
            <w:tcW w:w="3240" w:type="dxa"/>
          </w:tcPr>
          <w:p w:rsidR="00E50DF1" w:rsidRPr="000A0A5F" w:rsidRDefault="00E50DF1" w:rsidP="00510DDC">
            <w:pPr>
              <w:pStyle w:val="TAL"/>
            </w:pPr>
            <w:r w:rsidRPr="000A0A5F">
              <w:t>Contains the IPv4 address(es) of the target.</w:t>
            </w:r>
          </w:p>
          <w:p w:rsidR="00E50DF1" w:rsidRPr="000A0A5F" w:rsidRDefault="00E50DF1" w:rsidP="00510DDC">
            <w:pPr>
              <w:pStyle w:val="TAL"/>
              <w:rPr>
                <w:rFonts w:cs="Arial"/>
                <w:szCs w:val="18"/>
                <w:lang w:eastAsia="zh-CN"/>
              </w:rPr>
            </w:pPr>
          </w:p>
          <w:p w:rsidR="00E50DF1" w:rsidRPr="000A0A5F" w:rsidRDefault="00E50DF1" w:rsidP="00510DDC">
            <w:pPr>
              <w:pStyle w:val="TAL"/>
              <w:rPr>
                <w:rFonts w:cs="Arial"/>
                <w:szCs w:val="18"/>
                <w:lang w:eastAsia="zh-CN"/>
              </w:rPr>
            </w:pPr>
            <w:r w:rsidRPr="000A0A5F">
              <w:rPr>
                <w:rFonts w:cs="Arial"/>
                <w:szCs w:val="18"/>
                <w:lang w:eastAsia="zh-CN"/>
              </w:rPr>
              <w:t>(NOTE)</w:t>
            </w:r>
          </w:p>
        </w:tc>
        <w:tc>
          <w:tcPr>
            <w:tcW w:w="1463" w:type="dxa"/>
          </w:tcPr>
          <w:p w:rsidR="00E50DF1" w:rsidRPr="000A0A5F" w:rsidRDefault="00E50DF1" w:rsidP="00510DDC">
            <w:pPr>
              <w:pStyle w:val="TAL"/>
              <w:rPr>
                <w:rFonts w:cs="Arial"/>
                <w:szCs w:val="18"/>
              </w:rPr>
            </w:pPr>
          </w:p>
        </w:tc>
      </w:tr>
      <w:tr w:rsidR="00E50DF1" w:rsidRPr="000A0A5F" w:rsidTr="00510DDC">
        <w:trPr>
          <w:jc w:val="center"/>
        </w:trPr>
        <w:tc>
          <w:tcPr>
            <w:tcW w:w="1714" w:type="dxa"/>
          </w:tcPr>
          <w:p w:rsidR="00E50DF1" w:rsidRPr="000A0A5F" w:rsidRDefault="00E50DF1" w:rsidP="00510DDC">
            <w:pPr>
              <w:pStyle w:val="TAL"/>
              <w:rPr>
                <w:lang w:eastAsia="zh-CN"/>
              </w:rPr>
            </w:pPr>
            <w:r w:rsidRPr="000A0A5F">
              <w:t>ipv6Addrs</w:t>
            </w:r>
          </w:p>
        </w:tc>
        <w:tc>
          <w:tcPr>
            <w:tcW w:w="1683" w:type="dxa"/>
          </w:tcPr>
          <w:p w:rsidR="00E50DF1" w:rsidRPr="000A0A5F" w:rsidRDefault="00E50DF1" w:rsidP="00510DDC">
            <w:pPr>
              <w:pStyle w:val="TAL"/>
              <w:rPr>
                <w:lang w:eastAsia="zh-CN"/>
              </w:rPr>
            </w:pPr>
            <w:r w:rsidRPr="000A0A5F">
              <w:t>array(Ipv6Addr)</w:t>
            </w:r>
          </w:p>
        </w:tc>
        <w:tc>
          <w:tcPr>
            <w:tcW w:w="1121" w:type="dxa"/>
          </w:tcPr>
          <w:p w:rsidR="00E50DF1" w:rsidRPr="000A0A5F" w:rsidRDefault="00E50DF1" w:rsidP="00510DDC">
            <w:pPr>
              <w:pStyle w:val="TAC"/>
            </w:pPr>
            <w:r w:rsidRPr="000A0A5F">
              <w:t>1..N</w:t>
            </w:r>
          </w:p>
        </w:tc>
        <w:tc>
          <w:tcPr>
            <w:tcW w:w="3240" w:type="dxa"/>
          </w:tcPr>
          <w:p w:rsidR="00E50DF1" w:rsidRPr="000A0A5F" w:rsidRDefault="00E50DF1" w:rsidP="00510DDC">
            <w:pPr>
              <w:pStyle w:val="TAL"/>
            </w:pPr>
            <w:r w:rsidRPr="000A0A5F">
              <w:t>Contains the IPv6 address(es) of the target.</w:t>
            </w:r>
          </w:p>
          <w:p w:rsidR="00E50DF1" w:rsidRPr="000A0A5F" w:rsidRDefault="00E50DF1" w:rsidP="00510DDC">
            <w:pPr>
              <w:pStyle w:val="TAL"/>
              <w:rPr>
                <w:rFonts w:cs="Arial"/>
                <w:szCs w:val="18"/>
                <w:lang w:eastAsia="zh-CN"/>
              </w:rPr>
            </w:pPr>
          </w:p>
          <w:p w:rsidR="00E50DF1" w:rsidRPr="000A0A5F" w:rsidRDefault="00E50DF1" w:rsidP="00510DDC">
            <w:pPr>
              <w:pStyle w:val="TAL"/>
              <w:rPr>
                <w:noProof/>
                <w:lang w:eastAsia="zh-CN"/>
              </w:rPr>
            </w:pPr>
            <w:r w:rsidRPr="000A0A5F">
              <w:rPr>
                <w:rFonts w:cs="Arial"/>
                <w:szCs w:val="18"/>
                <w:lang w:eastAsia="zh-CN"/>
              </w:rPr>
              <w:t>(NOTE)</w:t>
            </w:r>
          </w:p>
        </w:tc>
        <w:tc>
          <w:tcPr>
            <w:tcW w:w="1463" w:type="dxa"/>
          </w:tcPr>
          <w:p w:rsidR="00E50DF1" w:rsidRPr="000A0A5F" w:rsidRDefault="00E50DF1" w:rsidP="00510DDC">
            <w:pPr>
              <w:pStyle w:val="TAL"/>
              <w:rPr>
                <w:rFonts w:cs="Arial"/>
                <w:szCs w:val="18"/>
              </w:rPr>
            </w:pPr>
          </w:p>
        </w:tc>
      </w:tr>
      <w:tr w:rsidR="00E50DF1" w:rsidRPr="000A0A5F" w:rsidTr="00510DDC">
        <w:trPr>
          <w:jc w:val="center"/>
        </w:trPr>
        <w:tc>
          <w:tcPr>
            <w:tcW w:w="1714" w:type="dxa"/>
          </w:tcPr>
          <w:p w:rsidR="00E50DF1" w:rsidRPr="000A0A5F" w:rsidRDefault="00E50DF1" w:rsidP="00510DDC">
            <w:pPr>
              <w:pStyle w:val="TAL"/>
            </w:pPr>
            <w:r w:rsidRPr="000A0A5F">
              <w:t>fqdn</w:t>
            </w:r>
          </w:p>
        </w:tc>
        <w:tc>
          <w:tcPr>
            <w:tcW w:w="1683" w:type="dxa"/>
          </w:tcPr>
          <w:p w:rsidR="00E50DF1" w:rsidRPr="000A0A5F" w:rsidRDefault="00E50DF1" w:rsidP="00510DDC">
            <w:pPr>
              <w:pStyle w:val="TAL"/>
            </w:pPr>
            <w:r w:rsidRPr="000A0A5F">
              <w:t>Fqdn</w:t>
            </w:r>
          </w:p>
        </w:tc>
        <w:tc>
          <w:tcPr>
            <w:tcW w:w="1121" w:type="dxa"/>
          </w:tcPr>
          <w:p w:rsidR="00E50DF1" w:rsidRPr="000A0A5F" w:rsidRDefault="00E50DF1" w:rsidP="00510DDC">
            <w:pPr>
              <w:pStyle w:val="TAC"/>
              <w:rPr>
                <w:lang w:eastAsia="zh-CN"/>
              </w:rPr>
            </w:pPr>
            <w:r w:rsidRPr="000A0A5F">
              <w:t>0..1</w:t>
            </w:r>
          </w:p>
        </w:tc>
        <w:tc>
          <w:tcPr>
            <w:tcW w:w="3240" w:type="dxa"/>
          </w:tcPr>
          <w:p w:rsidR="00E50DF1" w:rsidRPr="000A0A5F" w:rsidRDefault="00E50DF1" w:rsidP="00510DDC">
            <w:pPr>
              <w:pStyle w:val="TAL"/>
            </w:pPr>
            <w:r w:rsidRPr="000A0A5F">
              <w:t>Contains the FQDN of the target.</w:t>
            </w:r>
          </w:p>
          <w:p w:rsidR="00E50DF1" w:rsidRPr="000A0A5F" w:rsidRDefault="00E50DF1" w:rsidP="00510DDC">
            <w:pPr>
              <w:pStyle w:val="TAL"/>
              <w:rPr>
                <w:rFonts w:cs="Arial"/>
                <w:szCs w:val="18"/>
                <w:lang w:eastAsia="zh-CN"/>
              </w:rPr>
            </w:pPr>
          </w:p>
          <w:p w:rsidR="00E50DF1" w:rsidRPr="000A0A5F" w:rsidRDefault="00E50DF1" w:rsidP="00510DDC">
            <w:pPr>
              <w:pStyle w:val="TAL"/>
              <w:rPr>
                <w:rFonts w:cs="Arial"/>
                <w:szCs w:val="18"/>
              </w:rPr>
            </w:pPr>
            <w:r w:rsidRPr="000A0A5F">
              <w:rPr>
                <w:rFonts w:cs="Arial"/>
                <w:szCs w:val="18"/>
                <w:lang w:eastAsia="zh-CN"/>
              </w:rPr>
              <w:t>(NOTE)</w:t>
            </w:r>
          </w:p>
        </w:tc>
        <w:tc>
          <w:tcPr>
            <w:tcW w:w="1463" w:type="dxa"/>
          </w:tcPr>
          <w:p w:rsidR="00E50DF1" w:rsidRPr="000A0A5F" w:rsidRDefault="00E50DF1" w:rsidP="00510DDC">
            <w:pPr>
              <w:pStyle w:val="TAL"/>
              <w:rPr>
                <w:rFonts w:cs="Arial"/>
                <w:szCs w:val="18"/>
              </w:rPr>
            </w:pPr>
          </w:p>
        </w:tc>
      </w:tr>
      <w:tr w:rsidR="00E50DF1" w:rsidRPr="000A0A5F" w:rsidTr="00510DDC">
        <w:trPr>
          <w:jc w:val="center"/>
        </w:trPr>
        <w:tc>
          <w:tcPr>
            <w:tcW w:w="9221" w:type="dxa"/>
            <w:gridSpan w:val="5"/>
          </w:tcPr>
          <w:p w:rsidR="00E50DF1" w:rsidRPr="000A0A5F" w:rsidRDefault="00E50DF1" w:rsidP="00510DDC">
            <w:pPr>
              <w:pStyle w:val="TAN"/>
              <w:rPr>
                <w:rFonts w:cs="Arial"/>
                <w:szCs w:val="18"/>
              </w:rPr>
            </w:pPr>
            <w:r w:rsidRPr="000A0A5F">
              <w:rPr>
                <w:rFonts w:cs="Arial"/>
                <w:szCs w:val="18"/>
              </w:rPr>
              <w:t>NOTE:</w:t>
            </w:r>
            <w:r w:rsidRPr="000A0A5F">
              <w:tab/>
            </w:r>
            <w:r w:rsidRPr="000A0A5F">
              <w:tab/>
              <w:t>At least one of these attributes shall be present</w:t>
            </w:r>
            <w:r w:rsidRPr="000A0A5F">
              <w:rPr>
                <w:rFonts w:cs="Arial"/>
                <w:szCs w:val="18"/>
              </w:rPr>
              <w:t>.</w:t>
            </w:r>
          </w:p>
        </w:tc>
      </w:tr>
    </w:tbl>
    <w:p w:rsidR="00E50DF1" w:rsidRPr="000A0A5F" w:rsidRDefault="00E50DF1" w:rsidP="00E37664"/>
    <w:p w:rsidR="002B3218" w:rsidRPr="000A0A5F" w:rsidRDefault="002B3218" w:rsidP="002B3218">
      <w:pPr>
        <w:pStyle w:val="Heading5"/>
      </w:pPr>
      <w:bookmarkStart w:id="2000" w:name="_Toc153625192"/>
      <w:r w:rsidRPr="000A0A5F">
        <w:t>5.3.2.3.18</w:t>
      </w:r>
      <w:r w:rsidRPr="000A0A5F">
        <w:tab/>
        <w:t xml:space="preserve">Type: </w:t>
      </w:r>
      <w:r w:rsidRPr="000A0A5F">
        <w:rPr>
          <w:lang w:eastAsia="zh-CN"/>
        </w:rPr>
        <w:t>UpCumEvtRep</w:t>
      </w:r>
      <w:bookmarkEnd w:id="2000"/>
    </w:p>
    <w:p w:rsidR="002B3218" w:rsidRPr="000A0A5F" w:rsidRDefault="002B3218" w:rsidP="002B3218">
      <w:pPr>
        <w:pStyle w:val="TH"/>
      </w:pPr>
      <w:r w:rsidRPr="000A0A5F">
        <w:rPr>
          <w:noProof/>
        </w:rPr>
        <w:t>Table </w:t>
      </w:r>
      <w:r w:rsidRPr="000A0A5F">
        <w:t xml:space="preserve">5.3.2.3.18-1: </w:t>
      </w:r>
      <w:r w:rsidRPr="000A0A5F">
        <w:rPr>
          <w:noProof/>
        </w:rPr>
        <w:t xml:space="preserve">Definition of type </w:t>
      </w:r>
      <w:r w:rsidRPr="000A0A5F">
        <w:rPr>
          <w:lang w:eastAsia="zh-CN"/>
        </w:rPr>
        <w:t>UpCumEvtRep</w:t>
      </w:r>
    </w:p>
    <w:tbl>
      <w:tblPr>
        <w:tblW w:w="922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714"/>
        <w:gridCol w:w="1683"/>
        <w:gridCol w:w="1121"/>
        <w:gridCol w:w="3240"/>
        <w:gridCol w:w="1463"/>
      </w:tblGrid>
      <w:tr w:rsidR="002B3218" w:rsidRPr="000A0A5F" w:rsidTr="00A66DE6">
        <w:trPr>
          <w:jc w:val="center"/>
        </w:trPr>
        <w:tc>
          <w:tcPr>
            <w:tcW w:w="1714" w:type="dxa"/>
            <w:shd w:val="clear" w:color="auto" w:fill="C0C0C0"/>
            <w:hideMark/>
          </w:tcPr>
          <w:p w:rsidR="002B3218" w:rsidRPr="000A0A5F" w:rsidRDefault="002B3218" w:rsidP="00A66DE6">
            <w:pPr>
              <w:pStyle w:val="TAH"/>
            </w:pPr>
            <w:r w:rsidRPr="000A0A5F">
              <w:t>Attribute name</w:t>
            </w:r>
          </w:p>
        </w:tc>
        <w:tc>
          <w:tcPr>
            <w:tcW w:w="1683" w:type="dxa"/>
            <w:shd w:val="clear" w:color="auto" w:fill="C0C0C0"/>
            <w:hideMark/>
          </w:tcPr>
          <w:p w:rsidR="002B3218" w:rsidRPr="000A0A5F" w:rsidRDefault="002B3218" w:rsidP="00A66DE6">
            <w:pPr>
              <w:pStyle w:val="TAH"/>
            </w:pPr>
            <w:r w:rsidRPr="000A0A5F">
              <w:t>Data type</w:t>
            </w:r>
          </w:p>
        </w:tc>
        <w:tc>
          <w:tcPr>
            <w:tcW w:w="1121" w:type="dxa"/>
            <w:shd w:val="clear" w:color="auto" w:fill="C0C0C0"/>
            <w:hideMark/>
          </w:tcPr>
          <w:p w:rsidR="002B3218" w:rsidRPr="000A0A5F" w:rsidRDefault="002B3218" w:rsidP="00A66DE6">
            <w:pPr>
              <w:pStyle w:val="TAH"/>
            </w:pPr>
            <w:r w:rsidRPr="000A0A5F">
              <w:t>Cardinality</w:t>
            </w:r>
          </w:p>
        </w:tc>
        <w:tc>
          <w:tcPr>
            <w:tcW w:w="3240" w:type="dxa"/>
            <w:shd w:val="clear" w:color="auto" w:fill="C0C0C0"/>
            <w:hideMark/>
          </w:tcPr>
          <w:p w:rsidR="002B3218" w:rsidRPr="000A0A5F" w:rsidRDefault="002B3218" w:rsidP="00A66DE6">
            <w:pPr>
              <w:pStyle w:val="TAH"/>
            </w:pPr>
            <w:r w:rsidRPr="000A0A5F">
              <w:t>Description</w:t>
            </w:r>
          </w:p>
        </w:tc>
        <w:tc>
          <w:tcPr>
            <w:tcW w:w="1463" w:type="dxa"/>
            <w:shd w:val="clear" w:color="auto" w:fill="C0C0C0"/>
          </w:tcPr>
          <w:p w:rsidR="002B3218" w:rsidRPr="000A0A5F" w:rsidRDefault="002B3218" w:rsidP="00A66DE6">
            <w:pPr>
              <w:pStyle w:val="TAH"/>
            </w:pPr>
            <w:r w:rsidRPr="000A0A5F">
              <w:t>Applicability</w:t>
            </w:r>
          </w:p>
        </w:tc>
      </w:tr>
      <w:tr w:rsidR="002B3218" w:rsidRPr="000A0A5F" w:rsidTr="00A66DE6">
        <w:trPr>
          <w:jc w:val="center"/>
        </w:trPr>
        <w:tc>
          <w:tcPr>
            <w:tcW w:w="1714" w:type="dxa"/>
          </w:tcPr>
          <w:p w:rsidR="002B3218" w:rsidRPr="000A0A5F" w:rsidRDefault="002B3218" w:rsidP="00A66DE6">
            <w:pPr>
              <w:pStyle w:val="TAL"/>
              <w:rPr>
                <w:lang w:eastAsia="zh-CN"/>
              </w:rPr>
            </w:pPr>
            <w:r w:rsidRPr="000A0A5F">
              <w:rPr>
                <w:rFonts w:eastAsia="Times New Roman"/>
                <w:lang w:eastAsia="zh-CN"/>
              </w:rPr>
              <w:t>upLocRepStat</w:t>
            </w:r>
          </w:p>
        </w:tc>
        <w:tc>
          <w:tcPr>
            <w:tcW w:w="1683" w:type="dxa"/>
          </w:tcPr>
          <w:p w:rsidR="002B3218" w:rsidRPr="000A0A5F" w:rsidRDefault="002B3218" w:rsidP="00A66DE6">
            <w:pPr>
              <w:pStyle w:val="TAL"/>
              <w:rPr>
                <w:lang w:eastAsia="zh-CN"/>
              </w:rPr>
            </w:pPr>
            <w:r w:rsidRPr="000A0A5F">
              <w:t>Uinteger</w:t>
            </w:r>
          </w:p>
        </w:tc>
        <w:tc>
          <w:tcPr>
            <w:tcW w:w="1121" w:type="dxa"/>
          </w:tcPr>
          <w:p w:rsidR="002B3218" w:rsidRPr="000A0A5F" w:rsidRDefault="002B3218" w:rsidP="00A66DE6">
            <w:pPr>
              <w:pStyle w:val="TAC"/>
            </w:pPr>
            <w:r w:rsidRPr="000A0A5F">
              <w:rPr>
                <w:rFonts w:hint="eastAsia"/>
                <w:lang w:eastAsia="zh-CN"/>
              </w:rPr>
              <w:t>0..1</w:t>
            </w:r>
          </w:p>
        </w:tc>
        <w:tc>
          <w:tcPr>
            <w:tcW w:w="3240" w:type="dxa"/>
          </w:tcPr>
          <w:p w:rsidR="002B3218" w:rsidRPr="000A0A5F" w:rsidRDefault="002B3218" w:rsidP="00A66DE6">
            <w:pPr>
              <w:rPr>
                <w:rFonts w:ascii="Arial" w:hAnsi="Arial" w:cs="Arial"/>
                <w:sz w:val="18"/>
                <w:szCs w:val="18"/>
                <w:lang w:eastAsia="zh-CN"/>
              </w:rPr>
            </w:pPr>
            <w:r w:rsidRPr="000A0A5F">
              <w:rPr>
                <w:rFonts w:ascii="Arial" w:hAnsi="Arial" w:cs="Arial"/>
                <w:sz w:val="18"/>
                <w:szCs w:val="18"/>
                <w:lang w:eastAsia="zh-CN"/>
              </w:rPr>
              <w:t>Contains the number of location event reports transferred over user plane since the last cumulative event report was sent.</w:t>
            </w:r>
          </w:p>
        </w:tc>
        <w:tc>
          <w:tcPr>
            <w:tcW w:w="1463" w:type="dxa"/>
          </w:tcPr>
          <w:p w:rsidR="002B3218" w:rsidRPr="000A0A5F" w:rsidRDefault="002B3218" w:rsidP="00A66DE6">
            <w:pPr>
              <w:pStyle w:val="TAL"/>
              <w:rPr>
                <w:rFonts w:cs="Arial"/>
                <w:szCs w:val="18"/>
              </w:rPr>
            </w:pPr>
          </w:p>
        </w:tc>
      </w:tr>
    </w:tbl>
    <w:p w:rsidR="002B3218" w:rsidRPr="000A0A5F" w:rsidRDefault="002B3218" w:rsidP="00E37664"/>
    <w:p w:rsidR="00CB0DD7" w:rsidRPr="000A0A5F" w:rsidRDefault="00CB0DD7">
      <w:pPr>
        <w:pStyle w:val="Heading4"/>
      </w:pPr>
      <w:bookmarkStart w:id="2001" w:name="_Toc105674366"/>
      <w:bookmarkStart w:id="2002" w:name="_Toc130502406"/>
      <w:bookmarkStart w:id="2003" w:name="_Toc153625193"/>
      <w:r w:rsidRPr="000A0A5F">
        <w:t>5.3.2.4</w:t>
      </w:r>
      <w:r w:rsidRPr="000A0A5F">
        <w:tab/>
        <w:t>Referenced simple data types and enumerations</w:t>
      </w:r>
      <w:bookmarkEnd w:id="1972"/>
      <w:bookmarkEnd w:id="1973"/>
      <w:bookmarkEnd w:id="1974"/>
      <w:bookmarkEnd w:id="1975"/>
      <w:bookmarkEnd w:id="1976"/>
      <w:bookmarkEnd w:id="1977"/>
      <w:bookmarkEnd w:id="1978"/>
      <w:bookmarkEnd w:id="1979"/>
      <w:bookmarkEnd w:id="1980"/>
      <w:bookmarkEnd w:id="2001"/>
      <w:bookmarkEnd w:id="2002"/>
      <w:bookmarkEnd w:id="2003"/>
    </w:p>
    <w:p w:rsidR="00CB0DD7" w:rsidRPr="000A0A5F" w:rsidRDefault="00CB0DD7">
      <w:pPr>
        <w:pStyle w:val="Heading5"/>
      </w:pPr>
      <w:bookmarkStart w:id="2004" w:name="_Toc11247322"/>
      <w:bookmarkStart w:id="2005" w:name="_Toc27044444"/>
      <w:bookmarkStart w:id="2006" w:name="_Toc36033486"/>
      <w:bookmarkStart w:id="2007" w:name="_Toc45131618"/>
      <w:bookmarkStart w:id="2008" w:name="_Toc49775903"/>
      <w:bookmarkStart w:id="2009" w:name="_Toc51746823"/>
      <w:bookmarkStart w:id="2010" w:name="_Toc66360367"/>
      <w:bookmarkStart w:id="2011" w:name="_Toc68104872"/>
      <w:bookmarkStart w:id="2012" w:name="_Toc74755502"/>
      <w:bookmarkStart w:id="2013" w:name="_Toc105674367"/>
      <w:bookmarkStart w:id="2014" w:name="_Toc130502407"/>
      <w:bookmarkStart w:id="2015" w:name="_Toc153625194"/>
      <w:r w:rsidRPr="000A0A5F">
        <w:t>5.3.2.4.1</w:t>
      </w:r>
      <w:r w:rsidRPr="000A0A5F">
        <w:tab/>
        <w:t>Introduction</w:t>
      </w:r>
      <w:bookmarkEnd w:id="2004"/>
      <w:bookmarkEnd w:id="2005"/>
      <w:bookmarkEnd w:id="2006"/>
      <w:bookmarkEnd w:id="2007"/>
      <w:bookmarkEnd w:id="2008"/>
      <w:bookmarkEnd w:id="2009"/>
      <w:bookmarkEnd w:id="2010"/>
      <w:bookmarkEnd w:id="2011"/>
      <w:bookmarkEnd w:id="2012"/>
      <w:bookmarkEnd w:id="2013"/>
      <w:bookmarkEnd w:id="2014"/>
      <w:bookmarkEnd w:id="2015"/>
    </w:p>
    <w:p w:rsidR="00CB0DD7" w:rsidRPr="000A0A5F" w:rsidRDefault="00CB0DD7">
      <w:r w:rsidRPr="000A0A5F">
        <w:t>This clause defines simple data types and enumerations that are referenced from data structures defined in the previous clauses. In addition, data types and enumerations defined in clause 5.2.1 can be referenced.</w:t>
      </w:r>
    </w:p>
    <w:p w:rsidR="00CB0DD7" w:rsidRPr="000A0A5F" w:rsidRDefault="00CB0DD7">
      <w:pPr>
        <w:pStyle w:val="Heading5"/>
      </w:pPr>
      <w:bookmarkStart w:id="2016" w:name="_Toc11247323"/>
      <w:bookmarkStart w:id="2017" w:name="_Toc27044445"/>
      <w:bookmarkStart w:id="2018" w:name="_Toc36033487"/>
      <w:bookmarkStart w:id="2019" w:name="_Toc45131619"/>
      <w:bookmarkStart w:id="2020" w:name="_Toc49775904"/>
      <w:bookmarkStart w:id="2021" w:name="_Toc51746824"/>
      <w:bookmarkStart w:id="2022" w:name="_Toc66360368"/>
      <w:bookmarkStart w:id="2023" w:name="_Toc68104873"/>
      <w:bookmarkStart w:id="2024" w:name="_Toc74755503"/>
      <w:bookmarkStart w:id="2025" w:name="_Toc105674368"/>
      <w:bookmarkStart w:id="2026" w:name="_Toc130502408"/>
      <w:bookmarkStart w:id="2027" w:name="_Toc153625195"/>
      <w:r w:rsidRPr="000A0A5F">
        <w:t>5.3.2.4.2</w:t>
      </w:r>
      <w:r w:rsidRPr="000A0A5F">
        <w:tab/>
        <w:t>Simple data types</w:t>
      </w:r>
      <w:bookmarkEnd w:id="2016"/>
      <w:bookmarkEnd w:id="2017"/>
      <w:bookmarkEnd w:id="2018"/>
      <w:bookmarkEnd w:id="2019"/>
      <w:bookmarkEnd w:id="2020"/>
      <w:bookmarkEnd w:id="2021"/>
      <w:bookmarkEnd w:id="2022"/>
      <w:bookmarkEnd w:id="2023"/>
      <w:bookmarkEnd w:id="2024"/>
      <w:bookmarkEnd w:id="2025"/>
      <w:bookmarkEnd w:id="2026"/>
      <w:bookmarkEnd w:id="2027"/>
      <w:r w:rsidRPr="000A0A5F">
        <w:t xml:space="preserve"> </w:t>
      </w:r>
    </w:p>
    <w:p w:rsidR="00CB0DD7" w:rsidRPr="000A0A5F" w:rsidRDefault="00CB0DD7">
      <w:r w:rsidRPr="000A0A5F">
        <w:t>The simple data types defined in table 5.3.2.4.2-1 shall be supported.</w:t>
      </w:r>
    </w:p>
    <w:p w:rsidR="00CB0DD7" w:rsidRPr="000A0A5F" w:rsidRDefault="00CB0DD7">
      <w:pPr>
        <w:pStyle w:val="TH"/>
      </w:pPr>
      <w:r w:rsidRPr="000A0A5F">
        <w:t>Table 5.3.2.4.2-1: Simple data types</w:t>
      </w:r>
    </w:p>
    <w:tbl>
      <w:tblPr>
        <w:tblW w:w="4658"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868"/>
        <w:gridCol w:w="7315"/>
      </w:tblGrid>
      <w:tr w:rsidR="00CB0DD7" w:rsidRPr="000A0A5F" w:rsidTr="00F83684">
        <w:tc>
          <w:tcPr>
            <w:tcW w:w="1017" w:type="pct"/>
            <w:shd w:val="clear" w:color="auto" w:fill="C0C0C0"/>
            <w:tcMar>
              <w:top w:w="0" w:type="dxa"/>
              <w:left w:w="108" w:type="dxa"/>
              <w:bottom w:w="0" w:type="dxa"/>
              <w:right w:w="108" w:type="dxa"/>
            </w:tcMar>
          </w:tcPr>
          <w:p w:rsidR="00CB0DD7" w:rsidRPr="000A0A5F" w:rsidRDefault="00CB0DD7">
            <w:pPr>
              <w:pStyle w:val="TAH"/>
            </w:pPr>
            <w:r w:rsidRPr="000A0A5F">
              <w:t>Type name</w:t>
            </w:r>
          </w:p>
        </w:tc>
        <w:tc>
          <w:tcPr>
            <w:tcW w:w="3983" w:type="pct"/>
            <w:shd w:val="clear" w:color="auto" w:fill="C0C0C0"/>
            <w:tcMar>
              <w:top w:w="0" w:type="dxa"/>
              <w:left w:w="108" w:type="dxa"/>
              <w:bottom w:w="0" w:type="dxa"/>
              <w:right w:w="108" w:type="dxa"/>
            </w:tcMar>
          </w:tcPr>
          <w:p w:rsidR="00CB0DD7" w:rsidRPr="000A0A5F" w:rsidRDefault="00CB0DD7">
            <w:pPr>
              <w:pStyle w:val="TAH"/>
            </w:pPr>
            <w:r w:rsidRPr="000A0A5F">
              <w:t>Description</w:t>
            </w:r>
          </w:p>
        </w:tc>
      </w:tr>
      <w:tr w:rsidR="00CB0DD7" w:rsidRPr="000A0A5F" w:rsidTr="00F83684">
        <w:tc>
          <w:tcPr>
            <w:tcW w:w="1017" w:type="pct"/>
            <w:tcMar>
              <w:top w:w="0" w:type="dxa"/>
              <w:left w:w="108" w:type="dxa"/>
              <w:bottom w:w="0" w:type="dxa"/>
              <w:right w:w="108" w:type="dxa"/>
            </w:tcMar>
          </w:tcPr>
          <w:p w:rsidR="00CB0DD7" w:rsidRPr="000A0A5F" w:rsidRDefault="00CB0DD7">
            <w:pPr>
              <w:pStyle w:val="TAL"/>
            </w:pPr>
          </w:p>
        </w:tc>
        <w:tc>
          <w:tcPr>
            <w:tcW w:w="3983" w:type="pct"/>
            <w:tcMar>
              <w:top w:w="0" w:type="dxa"/>
              <w:left w:w="108" w:type="dxa"/>
              <w:bottom w:w="0" w:type="dxa"/>
              <w:right w:w="108" w:type="dxa"/>
            </w:tcMar>
          </w:tcPr>
          <w:p w:rsidR="00CB0DD7" w:rsidRPr="000A0A5F" w:rsidRDefault="00CB0DD7">
            <w:pPr>
              <w:pStyle w:val="TAL"/>
            </w:pPr>
          </w:p>
        </w:tc>
      </w:tr>
    </w:tbl>
    <w:p w:rsidR="00CB0DD7" w:rsidRPr="000A0A5F" w:rsidRDefault="00CB0DD7"/>
    <w:p w:rsidR="00CB0DD7" w:rsidRPr="000A0A5F" w:rsidRDefault="00CB0DD7">
      <w:pPr>
        <w:pStyle w:val="Heading5"/>
        <w:spacing w:before="180"/>
      </w:pPr>
      <w:bookmarkStart w:id="2028" w:name="_Toc11247324"/>
      <w:bookmarkStart w:id="2029" w:name="_Toc27044446"/>
      <w:bookmarkStart w:id="2030" w:name="_Toc36033488"/>
      <w:bookmarkStart w:id="2031" w:name="_Toc45131620"/>
      <w:bookmarkStart w:id="2032" w:name="_Toc49775905"/>
      <w:bookmarkStart w:id="2033" w:name="_Toc51746825"/>
      <w:bookmarkStart w:id="2034" w:name="_Toc66360369"/>
      <w:bookmarkStart w:id="2035" w:name="_Toc68104874"/>
      <w:bookmarkStart w:id="2036" w:name="_Toc74755504"/>
      <w:bookmarkStart w:id="2037" w:name="_Toc105674369"/>
      <w:bookmarkStart w:id="2038" w:name="_Toc130502409"/>
      <w:bookmarkStart w:id="2039" w:name="_Toc153625196"/>
      <w:r w:rsidRPr="000A0A5F">
        <w:t>5.3.2.4.3</w:t>
      </w:r>
      <w:r w:rsidRPr="000A0A5F">
        <w:tab/>
        <w:t>Enumeration: MonitoringType</w:t>
      </w:r>
      <w:bookmarkEnd w:id="2028"/>
      <w:bookmarkEnd w:id="2029"/>
      <w:bookmarkEnd w:id="2030"/>
      <w:bookmarkEnd w:id="2031"/>
      <w:bookmarkEnd w:id="2032"/>
      <w:bookmarkEnd w:id="2033"/>
      <w:bookmarkEnd w:id="2034"/>
      <w:bookmarkEnd w:id="2035"/>
      <w:bookmarkEnd w:id="2036"/>
      <w:bookmarkEnd w:id="2037"/>
      <w:bookmarkEnd w:id="2038"/>
      <w:bookmarkEnd w:id="2039"/>
    </w:p>
    <w:p w:rsidR="00CB0DD7" w:rsidRPr="000A0A5F" w:rsidRDefault="00CB0DD7">
      <w:r w:rsidRPr="000A0A5F">
        <w:t>The enumeration MonitoringType represents a monitoring event type. It shall comply with the provisions defined in table 5.3.2.4.3-1.</w:t>
      </w:r>
    </w:p>
    <w:p w:rsidR="00CB0DD7" w:rsidRPr="000A0A5F" w:rsidRDefault="00CB0DD7">
      <w:pPr>
        <w:pStyle w:val="TH"/>
      </w:pPr>
      <w:r w:rsidRPr="000A0A5F">
        <w:t>Table 5.3.2.4.3-1: Enumeration MonitoringType</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334"/>
        <w:gridCol w:w="4728"/>
        <w:gridCol w:w="2695"/>
      </w:tblGrid>
      <w:tr w:rsidR="00CB0DD7" w:rsidRPr="000A0A5F" w:rsidTr="00F83684">
        <w:trPr>
          <w:trHeight w:val="280"/>
        </w:trPr>
        <w:tc>
          <w:tcPr>
            <w:tcW w:w="1196" w:type="pct"/>
            <w:shd w:val="clear" w:color="auto" w:fill="C0C0C0"/>
            <w:tcMar>
              <w:top w:w="0" w:type="dxa"/>
              <w:left w:w="108" w:type="dxa"/>
              <w:bottom w:w="0" w:type="dxa"/>
              <w:right w:w="108" w:type="dxa"/>
            </w:tcMar>
          </w:tcPr>
          <w:p w:rsidR="00CB0DD7" w:rsidRPr="000A0A5F" w:rsidRDefault="00CB0DD7">
            <w:pPr>
              <w:pStyle w:val="TAH"/>
            </w:pPr>
            <w:r w:rsidRPr="000A0A5F">
              <w:t>Enumeration value</w:t>
            </w:r>
          </w:p>
        </w:tc>
        <w:tc>
          <w:tcPr>
            <w:tcW w:w="2423" w:type="pct"/>
            <w:shd w:val="clear" w:color="auto" w:fill="C0C0C0"/>
            <w:tcMar>
              <w:top w:w="0" w:type="dxa"/>
              <w:left w:w="108" w:type="dxa"/>
              <w:bottom w:w="0" w:type="dxa"/>
              <w:right w:w="108" w:type="dxa"/>
            </w:tcMar>
          </w:tcPr>
          <w:p w:rsidR="00CB0DD7" w:rsidRPr="000A0A5F" w:rsidRDefault="00CB0DD7">
            <w:pPr>
              <w:pStyle w:val="TAH"/>
            </w:pPr>
            <w:r w:rsidRPr="000A0A5F">
              <w:t>Description</w:t>
            </w:r>
          </w:p>
        </w:tc>
        <w:tc>
          <w:tcPr>
            <w:tcW w:w="1381" w:type="pct"/>
            <w:shd w:val="clear" w:color="auto" w:fill="C0C0C0"/>
          </w:tcPr>
          <w:p w:rsidR="00CB0DD7" w:rsidRPr="000A0A5F" w:rsidRDefault="00CB0DD7">
            <w:pPr>
              <w:pStyle w:val="TAH"/>
            </w:pPr>
            <w:r w:rsidRPr="000A0A5F">
              <w:rPr>
                <w:rFonts w:eastAsia="Times New Roman" w:cs="Arial"/>
                <w:szCs w:val="18"/>
              </w:rPr>
              <w:t>Applicability (NOTE 1)</w:t>
            </w:r>
          </w:p>
        </w:tc>
      </w:tr>
      <w:tr w:rsidR="00CB0DD7" w:rsidRPr="000A0A5F" w:rsidTr="00F83684">
        <w:tc>
          <w:tcPr>
            <w:tcW w:w="1196" w:type="pct"/>
            <w:tcMar>
              <w:top w:w="0" w:type="dxa"/>
              <w:left w:w="108" w:type="dxa"/>
              <w:bottom w:w="0" w:type="dxa"/>
              <w:right w:w="108" w:type="dxa"/>
            </w:tcMar>
          </w:tcPr>
          <w:p w:rsidR="00CB0DD7" w:rsidRPr="000A0A5F" w:rsidRDefault="00CB0DD7">
            <w:pPr>
              <w:pStyle w:val="TAL"/>
            </w:pPr>
            <w:r w:rsidRPr="000A0A5F">
              <w:rPr>
                <w:rFonts w:cs="Arial"/>
                <w:szCs w:val="18"/>
              </w:rPr>
              <w:t>LOSS_OF_CONNECTIVITY</w:t>
            </w:r>
          </w:p>
        </w:tc>
        <w:tc>
          <w:tcPr>
            <w:tcW w:w="2423" w:type="pct"/>
            <w:tcMar>
              <w:top w:w="0" w:type="dxa"/>
              <w:left w:w="108" w:type="dxa"/>
              <w:bottom w:w="0" w:type="dxa"/>
              <w:right w:w="108" w:type="dxa"/>
            </w:tcMar>
          </w:tcPr>
          <w:p w:rsidR="00CB0DD7" w:rsidRPr="000A0A5F" w:rsidRDefault="00CB0DD7">
            <w:pPr>
              <w:pStyle w:val="TAL"/>
            </w:pPr>
            <w:r w:rsidRPr="000A0A5F">
              <w:rPr>
                <w:rFonts w:cs="Arial"/>
                <w:szCs w:val="18"/>
                <w:lang w:eastAsia="zh-CN"/>
              </w:rPr>
              <w:t>The SCS/AS requests to be notified when the 3GPP network detects that the UE is no longer reachable for signalling or user plane communication</w:t>
            </w:r>
          </w:p>
        </w:tc>
        <w:tc>
          <w:tcPr>
            <w:tcW w:w="1381" w:type="pct"/>
          </w:tcPr>
          <w:p w:rsidR="00CB0DD7" w:rsidRPr="000A0A5F" w:rsidRDefault="00CB0DD7">
            <w:pPr>
              <w:pStyle w:val="TAL"/>
              <w:rPr>
                <w:rFonts w:cs="Arial"/>
                <w:szCs w:val="18"/>
                <w:lang w:eastAsia="zh-CN"/>
              </w:rPr>
            </w:pPr>
            <w:r w:rsidRPr="000A0A5F">
              <w:t>Loss_of_connectivity_notification</w:t>
            </w:r>
          </w:p>
        </w:tc>
      </w:tr>
      <w:tr w:rsidR="00CB0DD7" w:rsidRPr="000A0A5F" w:rsidTr="00F83684">
        <w:tc>
          <w:tcPr>
            <w:tcW w:w="1196" w:type="pct"/>
            <w:tcMar>
              <w:top w:w="0" w:type="dxa"/>
              <w:left w:w="108" w:type="dxa"/>
              <w:bottom w:w="0" w:type="dxa"/>
              <w:right w:w="108" w:type="dxa"/>
            </w:tcMar>
          </w:tcPr>
          <w:p w:rsidR="00CB0DD7" w:rsidRPr="000A0A5F" w:rsidRDefault="00CB0DD7">
            <w:pPr>
              <w:pStyle w:val="TAL"/>
            </w:pPr>
            <w:r w:rsidRPr="000A0A5F">
              <w:rPr>
                <w:rFonts w:cs="Arial"/>
                <w:szCs w:val="18"/>
              </w:rPr>
              <w:t>UE_REACHABILITY</w:t>
            </w:r>
          </w:p>
        </w:tc>
        <w:tc>
          <w:tcPr>
            <w:tcW w:w="2423" w:type="pct"/>
            <w:tcMar>
              <w:top w:w="0" w:type="dxa"/>
              <w:left w:w="108" w:type="dxa"/>
              <w:bottom w:w="0" w:type="dxa"/>
              <w:right w:w="108" w:type="dxa"/>
            </w:tcMar>
          </w:tcPr>
          <w:p w:rsidR="00CB0DD7" w:rsidRPr="000A0A5F" w:rsidRDefault="00CB0DD7">
            <w:pPr>
              <w:pStyle w:val="TAL"/>
            </w:pPr>
            <w:r w:rsidRPr="000A0A5F">
              <w:rPr>
                <w:rFonts w:cs="Arial"/>
                <w:szCs w:val="18"/>
                <w:lang w:eastAsia="zh-CN"/>
              </w:rPr>
              <w:t>The SCS/AS requests to be notified when the UE becomes reachable for sending either SMS or downlink data to the UE</w:t>
            </w:r>
          </w:p>
        </w:tc>
        <w:tc>
          <w:tcPr>
            <w:tcW w:w="1381" w:type="pct"/>
          </w:tcPr>
          <w:p w:rsidR="00CB0DD7" w:rsidRPr="000A0A5F" w:rsidRDefault="00CB0DD7">
            <w:pPr>
              <w:pStyle w:val="TAL"/>
              <w:rPr>
                <w:rFonts w:cs="Arial"/>
                <w:szCs w:val="18"/>
                <w:lang w:eastAsia="zh-CN"/>
              </w:rPr>
            </w:pPr>
            <w:r w:rsidRPr="000A0A5F">
              <w:t>Ue-reachability_notification</w:t>
            </w:r>
          </w:p>
        </w:tc>
      </w:tr>
      <w:tr w:rsidR="00CB0DD7" w:rsidRPr="000A0A5F" w:rsidTr="00F83684">
        <w:tc>
          <w:tcPr>
            <w:tcW w:w="1196" w:type="pct"/>
            <w:tcMar>
              <w:top w:w="0" w:type="dxa"/>
              <w:left w:w="108" w:type="dxa"/>
              <w:bottom w:w="0" w:type="dxa"/>
              <w:right w:w="108" w:type="dxa"/>
            </w:tcMar>
          </w:tcPr>
          <w:p w:rsidR="00CB0DD7" w:rsidRPr="000A0A5F" w:rsidRDefault="00CB0DD7">
            <w:pPr>
              <w:pStyle w:val="TAL"/>
            </w:pPr>
            <w:r w:rsidRPr="000A0A5F">
              <w:rPr>
                <w:rFonts w:cs="Arial"/>
                <w:szCs w:val="18"/>
                <w:lang w:eastAsia="zh-CN"/>
              </w:rPr>
              <w:t>LOCATION_REPORTING</w:t>
            </w:r>
          </w:p>
        </w:tc>
        <w:tc>
          <w:tcPr>
            <w:tcW w:w="2423" w:type="pct"/>
            <w:tcMar>
              <w:top w:w="0" w:type="dxa"/>
              <w:left w:w="108" w:type="dxa"/>
              <w:bottom w:w="0" w:type="dxa"/>
              <w:right w:w="108" w:type="dxa"/>
            </w:tcMar>
          </w:tcPr>
          <w:p w:rsidR="00CB0DD7" w:rsidRPr="000A0A5F" w:rsidRDefault="00CB0DD7">
            <w:pPr>
              <w:pStyle w:val="TAL"/>
            </w:pPr>
            <w:r w:rsidRPr="000A0A5F">
              <w:rPr>
                <w:rFonts w:cs="Arial"/>
                <w:szCs w:val="18"/>
                <w:lang w:eastAsia="zh-CN"/>
              </w:rPr>
              <w:t>The SCS/AS requests to be notified of the current location or the last known location of the UE</w:t>
            </w:r>
          </w:p>
        </w:tc>
        <w:tc>
          <w:tcPr>
            <w:tcW w:w="1381" w:type="pct"/>
          </w:tcPr>
          <w:p w:rsidR="00CB0DD7" w:rsidRPr="000A0A5F" w:rsidRDefault="00CB0DD7">
            <w:pPr>
              <w:pStyle w:val="TAL"/>
              <w:rPr>
                <w:rFonts w:cs="Arial"/>
                <w:szCs w:val="18"/>
                <w:lang w:eastAsia="zh-CN"/>
              </w:rPr>
            </w:pPr>
            <w:r w:rsidRPr="000A0A5F">
              <w:rPr>
                <w:lang w:eastAsia="zh-CN"/>
              </w:rPr>
              <w:t>Location_</w:t>
            </w:r>
            <w:r w:rsidRPr="000A0A5F">
              <w:t>notification</w:t>
            </w:r>
            <w:r w:rsidRPr="000A0A5F">
              <w:rPr>
                <w:rFonts w:cs="Arial" w:hint="eastAsia"/>
                <w:szCs w:val="18"/>
                <w:lang w:eastAsia="zh-CN"/>
              </w:rPr>
              <w:t>,</w:t>
            </w:r>
            <w:r w:rsidRPr="000A0A5F">
              <w:rPr>
                <w:rFonts w:cs="Arial" w:hint="eastAsia"/>
                <w:szCs w:val="18"/>
                <w:lang w:val="en-US" w:eastAsia="zh-CN"/>
              </w:rPr>
              <w:t xml:space="preserve"> </w:t>
            </w:r>
            <w:r w:rsidRPr="000A0A5F">
              <w:rPr>
                <w:rFonts w:hint="eastAsia"/>
                <w:lang w:eastAsia="zh-CN"/>
              </w:rPr>
              <w:t>eLCS</w:t>
            </w:r>
          </w:p>
        </w:tc>
      </w:tr>
      <w:tr w:rsidR="00CB0DD7" w:rsidRPr="000A0A5F" w:rsidTr="00F83684">
        <w:tc>
          <w:tcPr>
            <w:tcW w:w="1196" w:type="pct"/>
            <w:tcMar>
              <w:top w:w="0" w:type="dxa"/>
              <w:left w:w="108" w:type="dxa"/>
              <w:bottom w:w="0" w:type="dxa"/>
              <w:right w:w="108" w:type="dxa"/>
            </w:tcMar>
          </w:tcPr>
          <w:p w:rsidR="00CB0DD7" w:rsidRPr="000A0A5F" w:rsidRDefault="00CB0DD7">
            <w:pPr>
              <w:pStyle w:val="TAL"/>
            </w:pPr>
            <w:r w:rsidRPr="000A0A5F">
              <w:rPr>
                <w:rFonts w:cs="Arial"/>
                <w:szCs w:val="18"/>
                <w:lang w:eastAsia="zh-CN"/>
              </w:rPr>
              <w:t>CHANGE_OF_IMSI_IMEI_ASSOCIATION</w:t>
            </w:r>
          </w:p>
        </w:tc>
        <w:tc>
          <w:tcPr>
            <w:tcW w:w="2423" w:type="pct"/>
            <w:tcMar>
              <w:top w:w="0" w:type="dxa"/>
              <w:left w:w="108" w:type="dxa"/>
              <w:bottom w:w="0" w:type="dxa"/>
              <w:right w:w="108" w:type="dxa"/>
            </w:tcMar>
          </w:tcPr>
          <w:p w:rsidR="00CB0DD7" w:rsidRPr="000A0A5F" w:rsidRDefault="00CB0DD7">
            <w:pPr>
              <w:pStyle w:val="TAL"/>
              <w:rPr>
                <w:rFonts w:cs="Arial" w:hint="eastAsia"/>
                <w:szCs w:val="18"/>
                <w:lang w:eastAsia="zh-CN"/>
              </w:rPr>
            </w:pPr>
            <w:r w:rsidRPr="000A0A5F">
              <w:rPr>
                <w:rFonts w:cs="Arial"/>
                <w:szCs w:val="18"/>
                <w:lang w:eastAsia="zh-CN"/>
              </w:rPr>
              <w:t>The SCS/AS requests to be notified when the association of an ME (IMEI(SV)) that uses a specific subscription (IMSI) is changed</w:t>
            </w:r>
          </w:p>
        </w:tc>
        <w:tc>
          <w:tcPr>
            <w:tcW w:w="1381" w:type="pct"/>
          </w:tcPr>
          <w:p w:rsidR="00CB0DD7" w:rsidRPr="000A0A5F" w:rsidRDefault="00CB0DD7">
            <w:pPr>
              <w:pStyle w:val="TAL"/>
              <w:rPr>
                <w:rFonts w:cs="Arial"/>
                <w:szCs w:val="18"/>
                <w:lang w:eastAsia="zh-CN"/>
              </w:rPr>
            </w:pPr>
            <w:r w:rsidRPr="000A0A5F">
              <w:rPr>
                <w:lang w:eastAsia="zh-CN"/>
              </w:rPr>
              <w:t>Change_of_IMSI_IMEI_association_notification</w:t>
            </w:r>
          </w:p>
        </w:tc>
      </w:tr>
      <w:tr w:rsidR="00CB0DD7" w:rsidRPr="000A0A5F" w:rsidTr="00F83684">
        <w:tc>
          <w:tcPr>
            <w:tcW w:w="1196" w:type="pct"/>
            <w:tcMar>
              <w:top w:w="0" w:type="dxa"/>
              <w:left w:w="108" w:type="dxa"/>
              <w:bottom w:w="0" w:type="dxa"/>
              <w:right w:w="108" w:type="dxa"/>
            </w:tcMar>
          </w:tcPr>
          <w:p w:rsidR="00CB0DD7" w:rsidRPr="000A0A5F" w:rsidRDefault="00CB0DD7">
            <w:pPr>
              <w:pStyle w:val="TAL"/>
            </w:pPr>
            <w:r w:rsidRPr="000A0A5F">
              <w:rPr>
                <w:rFonts w:cs="Arial"/>
                <w:szCs w:val="18"/>
                <w:lang w:eastAsia="zh-CN"/>
              </w:rPr>
              <w:t>ROAMING_STATUS</w:t>
            </w:r>
          </w:p>
        </w:tc>
        <w:tc>
          <w:tcPr>
            <w:tcW w:w="2423" w:type="pct"/>
            <w:tcMar>
              <w:top w:w="0" w:type="dxa"/>
              <w:left w:w="108" w:type="dxa"/>
              <w:bottom w:w="0" w:type="dxa"/>
              <w:right w:w="108" w:type="dxa"/>
            </w:tcMar>
          </w:tcPr>
          <w:p w:rsidR="00CB0DD7" w:rsidRPr="000A0A5F" w:rsidRDefault="00CB0DD7">
            <w:pPr>
              <w:pStyle w:val="TAL"/>
            </w:pPr>
            <w:r w:rsidRPr="000A0A5F">
              <w:rPr>
                <w:rFonts w:cs="Arial"/>
                <w:szCs w:val="18"/>
                <w:lang w:eastAsia="zh-CN"/>
              </w:rPr>
              <w:t>The SCS/AS queries the UE's current roaming status and requests to get notified when the status changes</w:t>
            </w:r>
          </w:p>
        </w:tc>
        <w:tc>
          <w:tcPr>
            <w:tcW w:w="1381" w:type="pct"/>
          </w:tcPr>
          <w:p w:rsidR="00CB0DD7" w:rsidRPr="000A0A5F" w:rsidRDefault="00CB0DD7">
            <w:pPr>
              <w:pStyle w:val="TAL"/>
              <w:rPr>
                <w:rFonts w:cs="Arial"/>
                <w:szCs w:val="18"/>
                <w:lang w:eastAsia="zh-CN"/>
              </w:rPr>
            </w:pPr>
            <w:r w:rsidRPr="000A0A5F">
              <w:rPr>
                <w:lang w:eastAsia="zh-CN"/>
              </w:rPr>
              <w:t>Roaming_status_notification</w:t>
            </w:r>
          </w:p>
        </w:tc>
      </w:tr>
      <w:tr w:rsidR="00CB0DD7" w:rsidRPr="000A0A5F" w:rsidTr="00F83684">
        <w:tc>
          <w:tcPr>
            <w:tcW w:w="1196" w:type="pct"/>
            <w:tcMar>
              <w:top w:w="0" w:type="dxa"/>
              <w:left w:w="108" w:type="dxa"/>
              <w:bottom w:w="0" w:type="dxa"/>
              <w:right w:w="108" w:type="dxa"/>
            </w:tcMar>
          </w:tcPr>
          <w:p w:rsidR="00CB0DD7" w:rsidRPr="000A0A5F" w:rsidRDefault="00CB0DD7">
            <w:pPr>
              <w:pStyle w:val="TAL"/>
            </w:pPr>
            <w:r w:rsidRPr="000A0A5F">
              <w:rPr>
                <w:rFonts w:cs="Arial"/>
                <w:szCs w:val="18"/>
              </w:rPr>
              <w:t>COMMUNICATION_FAILURE</w:t>
            </w:r>
          </w:p>
        </w:tc>
        <w:tc>
          <w:tcPr>
            <w:tcW w:w="2423" w:type="pct"/>
            <w:tcMar>
              <w:top w:w="0" w:type="dxa"/>
              <w:left w:w="108" w:type="dxa"/>
              <w:bottom w:w="0" w:type="dxa"/>
              <w:right w:w="108" w:type="dxa"/>
            </w:tcMar>
          </w:tcPr>
          <w:p w:rsidR="00CB0DD7" w:rsidRPr="000A0A5F" w:rsidRDefault="00CB0DD7">
            <w:pPr>
              <w:pStyle w:val="TAL"/>
            </w:pPr>
            <w:r w:rsidRPr="000A0A5F">
              <w:rPr>
                <w:rFonts w:cs="Arial"/>
                <w:szCs w:val="18"/>
                <w:lang w:eastAsia="zh-CN"/>
              </w:rPr>
              <w:t>The SCS/AS requests to be notified of communication failure events</w:t>
            </w:r>
          </w:p>
        </w:tc>
        <w:tc>
          <w:tcPr>
            <w:tcW w:w="1381" w:type="pct"/>
          </w:tcPr>
          <w:p w:rsidR="00CB0DD7" w:rsidRPr="000A0A5F" w:rsidRDefault="00CB0DD7">
            <w:pPr>
              <w:pStyle w:val="TAL"/>
              <w:rPr>
                <w:rFonts w:cs="Arial"/>
                <w:szCs w:val="18"/>
                <w:lang w:eastAsia="zh-CN"/>
              </w:rPr>
            </w:pPr>
            <w:r w:rsidRPr="000A0A5F">
              <w:t>Communication_failure_notification</w:t>
            </w:r>
          </w:p>
        </w:tc>
      </w:tr>
      <w:tr w:rsidR="00CB0DD7" w:rsidRPr="000A0A5F" w:rsidTr="00F83684">
        <w:tc>
          <w:tcPr>
            <w:tcW w:w="1196" w:type="pct"/>
            <w:tcMar>
              <w:top w:w="0" w:type="dxa"/>
              <w:left w:w="108" w:type="dxa"/>
              <w:bottom w:w="0" w:type="dxa"/>
              <w:right w:w="108" w:type="dxa"/>
            </w:tcMar>
          </w:tcPr>
          <w:p w:rsidR="00CB0DD7" w:rsidRPr="000A0A5F" w:rsidRDefault="00CB0DD7">
            <w:pPr>
              <w:pStyle w:val="TAL"/>
            </w:pPr>
            <w:r w:rsidRPr="000A0A5F">
              <w:rPr>
                <w:rFonts w:cs="Arial"/>
                <w:szCs w:val="18"/>
              </w:rPr>
              <w:t>AVAILABILITY_AFTER_DDN_FAILURE</w:t>
            </w:r>
          </w:p>
        </w:tc>
        <w:tc>
          <w:tcPr>
            <w:tcW w:w="2423" w:type="pct"/>
            <w:tcMar>
              <w:top w:w="0" w:type="dxa"/>
              <w:left w:w="108" w:type="dxa"/>
              <w:bottom w:w="0" w:type="dxa"/>
              <w:right w:w="108" w:type="dxa"/>
            </w:tcMar>
          </w:tcPr>
          <w:p w:rsidR="00CB0DD7" w:rsidRPr="000A0A5F" w:rsidRDefault="00CB0DD7">
            <w:pPr>
              <w:pStyle w:val="TAL"/>
            </w:pPr>
            <w:r w:rsidRPr="000A0A5F">
              <w:rPr>
                <w:rFonts w:cs="Arial"/>
                <w:szCs w:val="18"/>
                <w:lang w:eastAsia="zh-CN"/>
              </w:rPr>
              <w:t>The SCS/AS requests to be notified when the UE has become available after a DDN failure</w:t>
            </w:r>
          </w:p>
        </w:tc>
        <w:tc>
          <w:tcPr>
            <w:tcW w:w="1381" w:type="pct"/>
          </w:tcPr>
          <w:p w:rsidR="00CB0DD7" w:rsidRPr="000A0A5F" w:rsidRDefault="00CB0DD7">
            <w:pPr>
              <w:pStyle w:val="TAL"/>
              <w:rPr>
                <w:rFonts w:cs="Arial"/>
                <w:szCs w:val="18"/>
                <w:lang w:eastAsia="zh-CN"/>
              </w:rPr>
            </w:pPr>
            <w:r w:rsidRPr="000A0A5F">
              <w:t>Availability_after_DDN_failure_notification, Availability_after_DDN_failure_notification_enhancement</w:t>
            </w:r>
          </w:p>
        </w:tc>
      </w:tr>
      <w:tr w:rsidR="00CB0DD7" w:rsidRPr="000A0A5F" w:rsidTr="00F83684">
        <w:tc>
          <w:tcPr>
            <w:tcW w:w="1196" w:type="pct"/>
            <w:tcMar>
              <w:top w:w="0" w:type="dxa"/>
              <w:left w:w="108" w:type="dxa"/>
              <w:bottom w:w="0" w:type="dxa"/>
              <w:right w:w="108" w:type="dxa"/>
            </w:tcMar>
          </w:tcPr>
          <w:p w:rsidR="00CB0DD7" w:rsidRPr="000A0A5F" w:rsidRDefault="00CB0DD7">
            <w:pPr>
              <w:pStyle w:val="TAL"/>
              <w:rPr>
                <w:rFonts w:cs="Arial"/>
                <w:szCs w:val="18"/>
              </w:rPr>
            </w:pPr>
            <w:r w:rsidRPr="000A0A5F">
              <w:rPr>
                <w:rFonts w:cs="Arial"/>
                <w:szCs w:val="18"/>
                <w:lang w:eastAsia="zh-CN"/>
              </w:rPr>
              <w:t>NUMBER_OF_UES_IN_AN_AREA</w:t>
            </w:r>
          </w:p>
        </w:tc>
        <w:tc>
          <w:tcPr>
            <w:tcW w:w="2423" w:type="pct"/>
            <w:tcMar>
              <w:top w:w="0" w:type="dxa"/>
              <w:left w:w="108" w:type="dxa"/>
              <w:bottom w:w="0" w:type="dxa"/>
              <w:right w:w="108" w:type="dxa"/>
            </w:tcMar>
          </w:tcPr>
          <w:p w:rsidR="00CB0DD7" w:rsidRPr="000A0A5F" w:rsidRDefault="00CB0DD7">
            <w:pPr>
              <w:pStyle w:val="TAL"/>
              <w:rPr>
                <w:rFonts w:cs="Arial"/>
                <w:szCs w:val="18"/>
                <w:lang w:eastAsia="zh-CN"/>
              </w:rPr>
            </w:pPr>
            <w:r w:rsidRPr="000A0A5F">
              <w:rPr>
                <w:rFonts w:cs="Arial" w:hint="eastAsia"/>
                <w:szCs w:val="18"/>
                <w:lang w:eastAsia="zh-CN"/>
              </w:rPr>
              <w:t>The SCS/AS requests to be notified the number of U</w:t>
            </w:r>
            <w:r w:rsidRPr="000A0A5F">
              <w:rPr>
                <w:rFonts w:cs="Arial"/>
                <w:szCs w:val="18"/>
                <w:lang w:eastAsia="zh-CN"/>
              </w:rPr>
              <w:t>E</w:t>
            </w:r>
            <w:r w:rsidRPr="000A0A5F">
              <w:rPr>
                <w:rFonts w:cs="Arial" w:hint="eastAsia"/>
                <w:szCs w:val="18"/>
                <w:lang w:eastAsia="zh-CN"/>
              </w:rPr>
              <w:t>s</w:t>
            </w:r>
            <w:r w:rsidRPr="000A0A5F">
              <w:rPr>
                <w:rFonts w:cs="Arial"/>
                <w:szCs w:val="18"/>
                <w:lang w:eastAsia="zh-CN"/>
              </w:rPr>
              <w:t xml:space="preserve"> in a given geographic area</w:t>
            </w:r>
            <w:r w:rsidRPr="000A0A5F">
              <w:rPr>
                <w:rFonts w:cs="Arial" w:hint="eastAsia"/>
                <w:szCs w:val="18"/>
                <w:lang w:eastAsia="zh-CN"/>
              </w:rPr>
              <w:t xml:space="preserve"> </w:t>
            </w:r>
          </w:p>
        </w:tc>
        <w:tc>
          <w:tcPr>
            <w:tcW w:w="1381" w:type="pct"/>
          </w:tcPr>
          <w:p w:rsidR="00CB0DD7" w:rsidRPr="000A0A5F" w:rsidRDefault="00CB0DD7">
            <w:pPr>
              <w:pStyle w:val="TAL"/>
            </w:pPr>
            <w:r w:rsidRPr="000A0A5F">
              <w:rPr>
                <w:rFonts w:hint="eastAsia"/>
                <w:lang w:eastAsia="zh-CN"/>
              </w:rPr>
              <w:t>Number_of_U</w:t>
            </w:r>
            <w:r w:rsidRPr="000A0A5F">
              <w:rPr>
                <w:lang w:eastAsia="zh-CN"/>
              </w:rPr>
              <w:t>E</w:t>
            </w:r>
            <w:r w:rsidRPr="000A0A5F">
              <w:rPr>
                <w:rFonts w:hint="eastAsia"/>
                <w:lang w:eastAsia="zh-CN"/>
              </w:rPr>
              <w:t>s</w:t>
            </w:r>
            <w:r w:rsidRPr="000A0A5F">
              <w:rPr>
                <w:lang w:eastAsia="zh-CN"/>
              </w:rPr>
              <w:t xml:space="preserve">_in_an_area_notification, </w:t>
            </w:r>
            <w:r w:rsidRPr="000A0A5F">
              <w:rPr>
                <w:rFonts w:hint="eastAsia"/>
                <w:lang w:eastAsia="zh-CN"/>
              </w:rPr>
              <w:t>Number_of_UEs</w:t>
            </w:r>
            <w:r w:rsidRPr="000A0A5F">
              <w:rPr>
                <w:lang w:eastAsia="zh-CN"/>
              </w:rPr>
              <w:t>_in_an_area_notification_5G</w:t>
            </w:r>
          </w:p>
        </w:tc>
      </w:tr>
      <w:tr w:rsidR="00CB0DD7" w:rsidRPr="000A0A5F" w:rsidTr="00F83684">
        <w:tc>
          <w:tcPr>
            <w:tcW w:w="1196" w:type="pct"/>
            <w:tcMar>
              <w:top w:w="0" w:type="dxa"/>
              <w:left w:w="108" w:type="dxa"/>
              <w:bottom w:w="0" w:type="dxa"/>
              <w:right w:w="108" w:type="dxa"/>
            </w:tcMar>
          </w:tcPr>
          <w:p w:rsidR="00CB0DD7" w:rsidRPr="000A0A5F" w:rsidRDefault="00CB0DD7">
            <w:pPr>
              <w:pStyle w:val="TAL"/>
              <w:rPr>
                <w:rFonts w:cs="Arial"/>
                <w:szCs w:val="18"/>
                <w:lang w:eastAsia="zh-CN"/>
              </w:rPr>
            </w:pPr>
            <w:r w:rsidRPr="000A0A5F">
              <w:rPr>
                <w:rFonts w:cs="Arial"/>
                <w:szCs w:val="18"/>
                <w:lang w:eastAsia="zh-CN"/>
              </w:rPr>
              <w:t>PDN_CONNECTIVITY_STATUS</w:t>
            </w:r>
          </w:p>
        </w:tc>
        <w:tc>
          <w:tcPr>
            <w:tcW w:w="2423" w:type="pct"/>
            <w:tcMar>
              <w:top w:w="0" w:type="dxa"/>
              <w:left w:w="108" w:type="dxa"/>
              <w:bottom w:w="0" w:type="dxa"/>
              <w:right w:w="108" w:type="dxa"/>
            </w:tcMar>
          </w:tcPr>
          <w:p w:rsidR="00CB0DD7" w:rsidRPr="000A0A5F" w:rsidRDefault="00CB0DD7">
            <w:pPr>
              <w:pStyle w:val="TAL"/>
              <w:rPr>
                <w:rFonts w:cs="Arial" w:hint="eastAsia"/>
                <w:szCs w:val="18"/>
                <w:lang w:eastAsia="zh-CN"/>
              </w:rPr>
            </w:pPr>
            <w:r w:rsidRPr="000A0A5F">
              <w:rPr>
                <w:rFonts w:cs="Arial"/>
                <w:szCs w:val="18"/>
                <w:lang w:eastAsia="zh-CN"/>
              </w:rPr>
              <w:t>The SCS/AS requests to be notified when the 3GPP network detects that the UE’s PDN connection is set up or torn down.</w:t>
            </w:r>
          </w:p>
        </w:tc>
        <w:tc>
          <w:tcPr>
            <w:tcW w:w="1381" w:type="pct"/>
          </w:tcPr>
          <w:p w:rsidR="00CB0DD7" w:rsidRPr="000A0A5F" w:rsidRDefault="00CB0DD7">
            <w:pPr>
              <w:pStyle w:val="TAL"/>
              <w:rPr>
                <w:rFonts w:hint="eastAsia"/>
                <w:lang w:eastAsia="zh-CN"/>
              </w:rPr>
            </w:pPr>
            <w:r w:rsidRPr="000A0A5F">
              <w:rPr>
                <w:lang w:eastAsia="zh-CN"/>
              </w:rPr>
              <w:t>Pdn_connectivity_status</w:t>
            </w:r>
          </w:p>
        </w:tc>
      </w:tr>
      <w:tr w:rsidR="00CB0DD7" w:rsidRPr="000A0A5F" w:rsidTr="00F83684">
        <w:tc>
          <w:tcPr>
            <w:tcW w:w="1196" w:type="pct"/>
            <w:tcMar>
              <w:top w:w="0" w:type="dxa"/>
              <w:left w:w="108" w:type="dxa"/>
              <w:bottom w:w="0" w:type="dxa"/>
              <w:right w:w="108" w:type="dxa"/>
            </w:tcMar>
          </w:tcPr>
          <w:p w:rsidR="00CB0DD7" w:rsidRPr="000A0A5F" w:rsidRDefault="00CB0DD7">
            <w:pPr>
              <w:pStyle w:val="TAL"/>
              <w:rPr>
                <w:rFonts w:cs="Arial"/>
                <w:szCs w:val="18"/>
                <w:lang w:eastAsia="zh-CN"/>
              </w:rPr>
            </w:pPr>
            <w:r w:rsidRPr="000A0A5F">
              <w:rPr>
                <w:noProof/>
              </w:rPr>
              <w:t>DOWNLINK_DATA_DELIVERY_STATUS</w:t>
            </w:r>
          </w:p>
        </w:tc>
        <w:tc>
          <w:tcPr>
            <w:tcW w:w="2423" w:type="pct"/>
            <w:tcMar>
              <w:top w:w="0" w:type="dxa"/>
              <w:left w:w="108" w:type="dxa"/>
              <w:bottom w:w="0" w:type="dxa"/>
              <w:right w:w="108" w:type="dxa"/>
            </w:tcMar>
          </w:tcPr>
          <w:p w:rsidR="00CB0DD7" w:rsidRPr="000A0A5F" w:rsidRDefault="00CB0DD7">
            <w:pPr>
              <w:pStyle w:val="TAL"/>
              <w:rPr>
                <w:rFonts w:cs="Arial"/>
                <w:szCs w:val="18"/>
                <w:lang w:eastAsia="zh-CN"/>
              </w:rPr>
            </w:pPr>
            <w:r w:rsidRPr="000A0A5F">
              <w:rPr>
                <w:rFonts w:cs="Arial"/>
                <w:szCs w:val="18"/>
                <w:lang w:eastAsia="zh-CN"/>
              </w:rPr>
              <w:t>The AF requests to be notified when the 3GPP network detects that the downlink data delivery status is changed.</w:t>
            </w:r>
          </w:p>
        </w:tc>
        <w:tc>
          <w:tcPr>
            <w:tcW w:w="1381" w:type="pct"/>
          </w:tcPr>
          <w:p w:rsidR="00CB0DD7" w:rsidRPr="000A0A5F" w:rsidRDefault="00CB0DD7">
            <w:pPr>
              <w:pStyle w:val="TAL"/>
              <w:rPr>
                <w:lang w:eastAsia="zh-CN"/>
              </w:rPr>
            </w:pPr>
            <w:r w:rsidRPr="000A0A5F">
              <w:rPr>
                <w:rFonts w:hint="eastAsia"/>
                <w:lang w:eastAsia="zh-CN"/>
              </w:rPr>
              <w:t>Downlink_data</w:t>
            </w:r>
            <w:r w:rsidRPr="000A0A5F">
              <w:rPr>
                <w:lang w:eastAsia="zh-CN"/>
              </w:rPr>
              <w:t>_delivery_status_5G</w:t>
            </w:r>
          </w:p>
        </w:tc>
      </w:tr>
      <w:tr w:rsidR="00CB0DD7" w:rsidRPr="000A0A5F" w:rsidTr="00F83684">
        <w:tc>
          <w:tcPr>
            <w:tcW w:w="1196" w:type="pct"/>
            <w:tcMar>
              <w:top w:w="0" w:type="dxa"/>
              <w:left w:w="108" w:type="dxa"/>
              <w:bottom w:w="0" w:type="dxa"/>
              <w:right w:w="108" w:type="dxa"/>
            </w:tcMar>
          </w:tcPr>
          <w:p w:rsidR="00CB0DD7" w:rsidRPr="000A0A5F" w:rsidRDefault="00CB0DD7">
            <w:pPr>
              <w:pStyle w:val="TAL"/>
              <w:rPr>
                <w:noProof/>
              </w:rPr>
            </w:pPr>
            <w:r w:rsidRPr="000A0A5F">
              <w:rPr>
                <w:noProof/>
              </w:rPr>
              <w:t>API_SUPPORT_CAPABILITY</w:t>
            </w:r>
          </w:p>
        </w:tc>
        <w:tc>
          <w:tcPr>
            <w:tcW w:w="2423" w:type="pct"/>
            <w:tcMar>
              <w:top w:w="0" w:type="dxa"/>
              <w:left w:w="108" w:type="dxa"/>
              <w:bottom w:w="0" w:type="dxa"/>
              <w:right w:w="108" w:type="dxa"/>
            </w:tcMar>
          </w:tcPr>
          <w:p w:rsidR="00CB0DD7" w:rsidRPr="000A0A5F" w:rsidRDefault="00CB0DD7">
            <w:pPr>
              <w:pStyle w:val="TAL"/>
              <w:rPr>
                <w:rFonts w:cs="Arial"/>
                <w:szCs w:val="18"/>
                <w:lang w:eastAsia="zh-CN"/>
              </w:rPr>
            </w:pPr>
            <w:r w:rsidRPr="000A0A5F">
              <w:rPr>
                <w:rFonts w:cs="Arial"/>
                <w:szCs w:val="18"/>
                <w:lang w:eastAsia="zh-CN"/>
              </w:rPr>
              <w:t>The SCS/AS requests to be notified of the availability of support of service APIs.</w:t>
            </w:r>
          </w:p>
        </w:tc>
        <w:tc>
          <w:tcPr>
            <w:tcW w:w="1381" w:type="pct"/>
          </w:tcPr>
          <w:p w:rsidR="00CB0DD7" w:rsidRPr="000A0A5F" w:rsidRDefault="00CB0DD7">
            <w:pPr>
              <w:pStyle w:val="TAL"/>
              <w:rPr>
                <w:rFonts w:hint="eastAsia"/>
                <w:lang w:eastAsia="zh-CN"/>
              </w:rPr>
            </w:pPr>
            <w:r w:rsidRPr="000A0A5F">
              <w:t>API_support_capability_notification</w:t>
            </w:r>
          </w:p>
        </w:tc>
      </w:tr>
      <w:tr w:rsidR="00CB0DD7" w:rsidRPr="000A0A5F" w:rsidTr="00F83684">
        <w:tc>
          <w:tcPr>
            <w:tcW w:w="1196" w:type="pct"/>
            <w:tcMar>
              <w:top w:w="0" w:type="dxa"/>
              <w:left w:w="108" w:type="dxa"/>
              <w:bottom w:w="0" w:type="dxa"/>
              <w:right w:w="108" w:type="dxa"/>
            </w:tcMar>
          </w:tcPr>
          <w:p w:rsidR="00CB0DD7" w:rsidRPr="000A0A5F" w:rsidRDefault="00CB0DD7">
            <w:pPr>
              <w:pStyle w:val="TAL"/>
              <w:rPr>
                <w:noProof/>
              </w:rPr>
            </w:pPr>
            <w:r w:rsidRPr="000A0A5F">
              <w:rPr>
                <w:noProof/>
              </w:rPr>
              <w:t>NUM_OF_REGD_UES</w:t>
            </w:r>
          </w:p>
        </w:tc>
        <w:tc>
          <w:tcPr>
            <w:tcW w:w="2423" w:type="pct"/>
            <w:tcMar>
              <w:top w:w="0" w:type="dxa"/>
              <w:left w:w="108" w:type="dxa"/>
              <w:bottom w:w="0" w:type="dxa"/>
              <w:right w:w="108" w:type="dxa"/>
            </w:tcMar>
          </w:tcPr>
          <w:p w:rsidR="00CB0DD7" w:rsidRPr="000A0A5F" w:rsidRDefault="00CB0DD7">
            <w:pPr>
              <w:pStyle w:val="TAL"/>
              <w:rPr>
                <w:rFonts w:cs="Arial"/>
                <w:szCs w:val="18"/>
                <w:lang w:eastAsia="zh-CN"/>
              </w:rPr>
            </w:pPr>
            <w:r w:rsidRPr="000A0A5F">
              <w:rPr>
                <w:rFonts w:cs="Arial"/>
                <w:szCs w:val="18"/>
                <w:lang w:eastAsia="zh-CN"/>
              </w:rPr>
              <w:t xml:space="preserve">The AF requests to be notified of </w:t>
            </w:r>
            <w:r w:rsidRPr="000A0A5F">
              <w:t>the current number of registered UEs for a network slice</w:t>
            </w:r>
            <w:r w:rsidRPr="000A0A5F">
              <w:rPr>
                <w:rFonts w:cs="Arial"/>
                <w:szCs w:val="18"/>
                <w:lang w:eastAsia="zh-CN"/>
              </w:rPr>
              <w:t>.</w:t>
            </w:r>
          </w:p>
        </w:tc>
        <w:tc>
          <w:tcPr>
            <w:tcW w:w="1381" w:type="pct"/>
          </w:tcPr>
          <w:p w:rsidR="00CB0DD7" w:rsidRPr="000A0A5F" w:rsidRDefault="00CB0DD7">
            <w:pPr>
              <w:pStyle w:val="TAL"/>
            </w:pPr>
            <w:r w:rsidRPr="000A0A5F">
              <w:t>NSAC</w:t>
            </w:r>
          </w:p>
        </w:tc>
      </w:tr>
      <w:tr w:rsidR="00CB0DD7" w:rsidRPr="000A0A5F" w:rsidTr="00F83684">
        <w:tc>
          <w:tcPr>
            <w:tcW w:w="1196" w:type="pct"/>
            <w:tcMar>
              <w:top w:w="0" w:type="dxa"/>
              <w:left w:w="108" w:type="dxa"/>
              <w:bottom w:w="0" w:type="dxa"/>
              <w:right w:w="108" w:type="dxa"/>
            </w:tcMar>
          </w:tcPr>
          <w:p w:rsidR="00CB0DD7" w:rsidRPr="000A0A5F" w:rsidRDefault="00CB0DD7">
            <w:pPr>
              <w:pStyle w:val="TAL"/>
              <w:rPr>
                <w:noProof/>
              </w:rPr>
            </w:pPr>
            <w:r w:rsidRPr="000A0A5F">
              <w:rPr>
                <w:noProof/>
              </w:rPr>
              <w:t>NUM_OF_EST</w:t>
            </w:r>
            <w:r w:rsidRPr="000A0A5F">
              <w:rPr>
                <w:noProof/>
                <w:lang w:val="en-US"/>
              </w:rPr>
              <w:t>D</w:t>
            </w:r>
            <w:r w:rsidRPr="000A0A5F">
              <w:rPr>
                <w:noProof/>
              </w:rPr>
              <w:t>_PDU_SESSIONS</w:t>
            </w:r>
          </w:p>
        </w:tc>
        <w:tc>
          <w:tcPr>
            <w:tcW w:w="2423" w:type="pct"/>
            <w:tcMar>
              <w:top w:w="0" w:type="dxa"/>
              <w:left w:w="108" w:type="dxa"/>
              <w:bottom w:w="0" w:type="dxa"/>
              <w:right w:w="108" w:type="dxa"/>
            </w:tcMar>
          </w:tcPr>
          <w:p w:rsidR="00CB0DD7" w:rsidRPr="000A0A5F" w:rsidRDefault="00CB0DD7">
            <w:pPr>
              <w:pStyle w:val="TAL"/>
              <w:rPr>
                <w:rFonts w:cs="Arial"/>
                <w:szCs w:val="18"/>
                <w:lang w:eastAsia="zh-CN"/>
              </w:rPr>
            </w:pPr>
            <w:r w:rsidRPr="000A0A5F">
              <w:rPr>
                <w:rFonts w:cs="Arial"/>
                <w:szCs w:val="18"/>
                <w:lang w:eastAsia="zh-CN"/>
              </w:rPr>
              <w:t xml:space="preserve">The AF requests to be notified of </w:t>
            </w:r>
            <w:r w:rsidRPr="000A0A5F">
              <w:t>the current number of established PDU Sessions for a network slice</w:t>
            </w:r>
            <w:r w:rsidRPr="000A0A5F">
              <w:rPr>
                <w:rFonts w:cs="Arial"/>
                <w:szCs w:val="18"/>
                <w:lang w:eastAsia="zh-CN"/>
              </w:rPr>
              <w:t>.</w:t>
            </w:r>
          </w:p>
        </w:tc>
        <w:tc>
          <w:tcPr>
            <w:tcW w:w="1381" w:type="pct"/>
          </w:tcPr>
          <w:p w:rsidR="00CB0DD7" w:rsidRPr="000A0A5F" w:rsidRDefault="00CB0DD7">
            <w:pPr>
              <w:pStyle w:val="TAL"/>
            </w:pPr>
            <w:r w:rsidRPr="000A0A5F">
              <w:t>NSAC</w:t>
            </w:r>
          </w:p>
        </w:tc>
      </w:tr>
      <w:tr w:rsidR="008A177C" w:rsidRPr="000A0A5F" w:rsidTr="00F83684">
        <w:tc>
          <w:tcPr>
            <w:tcW w:w="1196" w:type="pct"/>
            <w:tcMar>
              <w:top w:w="0" w:type="dxa"/>
              <w:left w:w="108" w:type="dxa"/>
              <w:bottom w:w="0" w:type="dxa"/>
              <w:right w:w="108" w:type="dxa"/>
            </w:tcMar>
          </w:tcPr>
          <w:p w:rsidR="008A177C" w:rsidRPr="000A0A5F" w:rsidRDefault="008A177C" w:rsidP="008A177C">
            <w:pPr>
              <w:pStyle w:val="TAL"/>
              <w:rPr>
                <w:noProof/>
              </w:rPr>
            </w:pPr>
            <w:r w:rsidRPr="000A0A5F">
              <w:rPr>
                <w:noProof/>
              </w:rPr>
              <w:t>AREA_OF_INTEREST</w:t>
            </w:r>
          </w:p>
        </w:tc>
        <w:tc>
          <w:tcPr>
            <w:tcW w:w="2423" w:type="pct"/>
            <w:tcMar>
              <w:top w:w="0" w:type="dxa"/>
              <w:left w:w="108" w:type="dxa"/>
              <w:bottom w:w="0" w:type="dxa"/>
              <w:right w:w="108" w:type="dxa"/>
            </w:tcMar>
          </w:tcPr>
          <w:p w:rsidR="008A177C" w:rsidRPr="000A0A5F" w:rsidRDefault="008A177C" w:rsidP="008A177C">
            <w:pPr>
              <w:pStyle w:val="TAL"/>
              <w:rPr>
                <w:rFonts w:cs="Arial"/>
                <w:szCs w:val="18"/>
                <w:lang w:eastAsia="zh-CN"/>
              </w:rPr>
            </w:pPr>
            <w:r w:rsidRPr="000A0A5F">
              <w:rPr>
                <w:rFonts w:cs="Arial"/>
                <w:szCs w:val="18"/>
                <w:lang w:eastAsia="zh-CN"/>
              </w:rPr>
              <w:t>The SCS/AS requests to be notified when the UAV moves in or out of the geographic area.</w:t>
            </w:r>
          </w:p>
        </w:tc>
        <w:tc>
          <w:tcPr>
            <w:tcW w:w="1381" w:type="pct"/>
          </w:tcPr>
          <w:p w:rsidR="008A177C" w:rsidRPr="000A0A5F" w:rsidRDefault="008A177C" w:rsidP="008A177C">
            <w:pPr>
              <w:pStyle w:val="TAL"/>
            </w:pPr>
            <w:r w:rsidRPr="000A0A5F">
              <w:t>UAV</w:t>
            </w:r>
          </w:p>
        </w:tc>
      </w:tr>
      <w:tr w:rsidR="00542565" w:rsidRPr="000A0A5F" w:rsidTr="00F83684">
        <w:tc>
          <w:tcPr>
            <w:tcW w:w="1196" w:type="pct"/>
            <w:tcMar>
              <w:top w:w="0" w:type="dxa"/>
              <w:left w:w="108" w:type="dxa"/>
              <w:bottom w:w="0" w:type="dxa"/>
              <w:right w:w="108" w:type="dxa"/>
            </w:tcMar>
          </w:tcPr>
          <w:p w:rsidR="00542565" w:rsidRPr="000A0A5F" w:rsidRDefault="00542565" w:rsidP="00542565">
            <w:pPr>
              <w:pStyle w:val="TAL"/>
              <w:rPr>
                <w:noProof/>
              </w:rPr>
            </w:pPr>
            <w:r w:rsidRPr="000A0A5F">
              <w:rPr>
                <w:noProof/>
              </w:rPr>
              <w:t>GROUP_MEMBER_LIST_CHANGE</w:t>
            </w:r>
          </w:p>
        </w:tc>
        <w:tc>
          <w:tcPr>
            <w:tcW w:w="2423" w:type="pct"/>
            <w:tcMar>
              <w:top w:w="0" w:type="dxa"/>
              <w:left w:w="108" w:type="dxa"/>
              <w:bottom w:w="0" w:type="dxa"/>
              <w:right w:w="108" w:type="dxa"/>
            </w:tcMar>
          </w:tcPr>
          <w:p w:rsidR="00542565" w:rsidRPr="000A0A5F" w:rsidRDefault="00542565" w:rsidP="00542565">
            <w:pPr>
              <w:pStyle w:val="TAL"/>
              <w:rPr>
                <w:rFonts w:cs="Arial"/>
                <w:szCs w:val="18"/>
                <w:lang w:eastAsia="zh-CN"/>
              </w:rPr>
            </w:pPr>
            <w:r w:rsidRPr="000A0A5F">
              <w:rPr>
                <w:rFonts w:cs="Arial"/>
                <w:szCs w:val="18"/>
                <w:lang w:eastAsia="zh-CN"/>
              </w:rPr>
              <w:t xml:space="preserve">The AF requests to be notified of </w:t>
            </w:r>
            <w:r w:rsidRPr="000A0A5F">
              <w:t>the changes to a group members list.</w:t>
            </w:r>
          </w:p>
        </w:tc>
        <w:tc>
          <w:tcPr>
            <w:tcW w:w="1381" w:type="pct"/>
          </w:tcPr>
          <w:p w:rsidR="00542565" w:rsidRPr="000A0A5F" w:rsidRDefault="00542565" w:rsidP="00542565">
            <w:pPr>
              <w:pStyle w:val="TAL"/>
            </w:pPr>
            <w:r w:rsidRPr="000A0A5F">
              <w:t>GMEC</w:t>
            </w:r>
          </w:p>
        </w:tc>
      </w:tr>
      <w:tr w:rsidR="008F09E4" w:rsidRPr="000A0A5F" w:rsidTr="00F83684">
        <w:tc>
          <w:tcPr>
            <w:tcW w:w="1196" w:type="pct"/>
            <w:tcMar>
              <w:top w:w="0" w:type="dxa"/>
              <w:left w:w="108" w:type="dxa"/>
              <w:bottom w:w="0" w:type="dxa"/>
              <w:right w:w="108" w:type="dxa"/>
            </w:tcMar>
          </w:tcPr>
          <w:p w:rsidR="008F09E4" w:rsidRPr="000A0A5F" w:rsidRDefault="008F09E4" w:rsidP="008F09E4">
            <w:pPr>
              <w:pStyle w:val="TAL"/>
              <w:rPr>
                <w:noProof/>
              </w:rPr>
            </w:pPr>
            <w:r w:rsidRPr="000A0A5F">
              <w:rPr>
                <w:noProof/>
              </w:rPr>
              <w:t>APPLICATION_START</w:t>
            </w:r>
          </w:p>
        </w:tc>
        <w:tc>
          <w:tcPr>
            <w:tcW w:w="2423" w:type="pct"/>
            <w:tcMar>
              <w:top w:w="0" w:type="dxa"/>
              <w:left w:w="108" w:type="dxa"/>
              <w:bottom w:w="0" w:type="dxa"/>
              <w:right w:w="108" w:type="dxa"/>
            </w:tcMar>
          </w:tcPr>
          <w:p w:rsidR="008F09E4" w:rsidRPr="000A0A5F" w:rsidRDefault="008F09E4" w:rsidP="008F09E4">
            <w:pPr>
              <w:pStyle w:val="TAL"/>
              <w:rPr>
                <w:rFonts w:cs="Arial"/>
                <w:szCs w:val="18"/>
                <w:lang w:eastAsia="zh-CN"/>
              </w:rPr>
            </w:pPr>
            <w:r w:rsidRPr="000A0A5F">
              <w:rPr>
                <w:rFonts w:cs="Arial"/>
                <w:szCs w:val="18"/>
                <w:lang w:eastAsia="zh-CN"/>
              </w:rPr>
              <w:t>The AF requests to be notified about the start of application traffic has been detected.</w:t>
            </w:r>
          </w:p>
        </w:tc>
        <w:tc>
          <w:tcPr>
            <w:tcW w:w="1381" w:type="pct"/>
          </w:tcPr>
          <w:p w:rsidR="008F09E4" w:rsidRPr="000A0A5F" w:rsidRDefault="008F09E4" w:rsidP="008F09E4">
            <w:pPr>
              <w:pStyle w:val="TAL"/>
            </w:pPr>
            <w:r w:rsidRPr="000A0A5F">
              <w:t>AppDetection_5G</w:t>
            </w:r>
          </w:p>
        </w:tc>
      </w:tr>
      <w:tr w:rsidR="008F09E4" w:rsidRPr="000A0A5F" w:rsidTr="00F83684">
        <w:tc>
          <w:tcPr>
            <w:tcW w:w="1196" w:type="pct"/>
            <w:tcMar>
              <w:top w:w="0" w:type="dxa"/>
              <w:left w:w="108" w:type="dxa"/>
              <w:bottom w:w="0" w:type="dxa"/>
              <w:right w:w="108" w:type="dxa"/>
            </w:tcMar>
          </w:tcPr>
          <w:p w:rsidR="008F09E4" w:rsidRPr="000A0A5F" w:rsidRDefault="008F09E4" w:rsidP="008F09E4">
            <w:pPr>
              <w:pStyle w:val="TAL"/>
              <w:rPr>
                <w:noProof/>
              </w:rPr>
            </w:pPr>
            <w:r w:rsidRPr="000A0A5F">
              <w:rPr>
                <w:noProof/>
              </w:rPr>
              <w:t>APPLICATION_STOP</w:t>
            </w:r>
          </w:p>
        </w:tc>
        <w:tc>
          <w:tcPr>
            <w:tcW w:w="2423" w:type="pct"/>
            <w:tcMar>
              <w:top w:w="0" w:type="dxa"/>
              <w:left w:w="108" w:type="dxa"/>
              <w:bottom w:w="0" w:type="dxa"/>
              <w:right w:w="108" w:type="dxa"/>
            </w:tcMar>
          </w:tcPr>
          <w:p w:rsidR="008F09E4" w:rsidRPr="000A0A5F" w:rsidRDefault="008F09E4" w:rsidP="008F09E4">
            <w:pPr>
              <w:pStyle w:val="TAL"/>
              <w:rPr>
                <w:rFonts w:cs="Arial"/>
                <w:szCs w:val="18"/>
                <w:lang w:eastAsia="zh-CN"/>
              </w:rPr>
            </w:pPr>
            <w:r w:rsidRPr="000A0A5F">
              <w:rPr>
                <w:rFonts w:cs="Arial"/>
                <w:szCs w:val="18"/>
                <w:lang w:eastAsia="zh-CN"/>
              </w:rPr>
              <w:t>The AF requests to be notified about the stop of application traffic has been detected.</w:t>
            </w:r>
          </w:p>
        </w:tc>
        <w:tc>
          <w:tcPr>
            <w:tcW w:w="1381" w:type="pct"/>
          </w:tcPr>
          <w:p w:rsidR="008F09E4" w:rsidRPr="000A0A5F" w:rsidRDefault="008F09E4" w:rsidP="008F09E4">
            <w:pPr>
              <w:pStyle w:val="TAL"/>
            </w:pPr>
            <w:r w:rsidRPr="000A0A5F">
              <w:t>AppDetection_5G</w:t>
            </w:r>
          </w:p>
        </w:tc>
      </w:tr>
      <w:tr w:rsidR="008F09E4" w:rsidRPr="000A0A5F" w:rsidTr="00F83684">
        <w:trPr>
          <w:trHeight w:val="710"/>
        </w:trPr>
        <w:tc>
          <w:tcPr>
            <w:tcW w:w="5000" w:type="pct"/>
            <w:gridSpan w:val="3"/>
            <w:tcMar>
              <w:top w:w="0" w:type="dxa"/>
              <w:left w:w="108" w:type="dxa"/>
              <w:bottom w:w="0" w:type="dxa"/>
              <w:right w:w="108" w:type="dxa"/>
            </w:tcMar>
          </w:tcPr>
          <w:p w:rsidR="008F09E4" w:rsidRPr="000A0A5F" w:rsidRDefault="008F09E4" w:rsidP="008F09E4">
            <w:pPr>
              <w:pStyle w:val="TAN"/>
            </w:pPr>
            <w:r w:rsidRPr="000A0A5F">
              <w:t>NOTE 1:</w:t>
            </w:r>
            <w:r w:rsidRPr="000A0A5F">
              <w:tab/>
              <w:t>Properties marked with a feature as defined in clause 5.3.4 are applicable as described in clause 5.2.7. If no features are indicated, the related property applies for all the features.</w:t>
            </w:r>
          </w:p>
          <w:p w:rsidR="008F09E4" w:rsidRPr="000A0A5F" w:rsidRDefault="008F09E4" w:rsidP="008F09E4">
            <w:pPr>
              <w:pStyle w:val="TAN"/>
              <w:rPr>
                <w:rFonts w:cs="Arial"/>
                <w:szCs w:val="18"/>
              </w:rPr>
            </w:pPr>
            <w:r w:rsidRPr="000A0A5F">
              <w:rPr>
                <w:rFonts w:cs="Arial"/>
                <w:szCs w:val="18"/>
              </w:rPr>
              <w:t>NOTE 2:</w:t>
            </w:r>
            <w:r w:rsidRPr="000A0A5F">
              <w:tab/>
            </w:r>
            <w:r w:rsidRPr="000A0A5F">
              <w:rPr>
                <w:rFonts w:cs="Arial"/>
                <w:szCs w:val="18"/>
              </w:rPr>
              <w:t>More monitoring types can be added in the future based on stage 2.</w:t>
            </w:r>
          </w:p>
        </w:tc>
      </w:tr>
    </w:tbl>
    <w:p w:rsidR="00CB0DD7" w:rsidRPr="000A0A5F" w:rsidRDefault="00CB0DD7"/>
    <w:p w:rsidR="00CB0DD7" w:rsidRPr="000A0A5F" w:rsidRDefault="00CB0DD7">
      <w:pPr>
        <w:pStyle w:val="Heading5"/>
        <w:spacing w:before="180"/>
      </w:pPr>
      <w:bookmarkStart w:id="2040" w:name="_Toc11247325"/>
      <w:bookmarkStart w:id="2041" w:name="_Toc27044447"/>
      <w:bookmarkStart w:id="2042" w:name="_Toc36033489"/>
      <w:bookmarkStart w:id="2043" w:name="_Toc45131621"/>
      <w:bookmarkStart w:id="2044" w:name="_Toc49775906"/>
      <w:bookmarkStart w:id="2045" w:name="_Toc51746826"/>
      <w:bookmarkStart w:id="2046" w:name="_Toc66360370"/>
      <w:bookmarkStart w:id="2047" w:name="_Toc68104875"/>
      <w:bookmarkStart w:id="2048" w:name="_Toc74755505"/>
      <w:bookmarkStart w:id="2049" w:name="_Toc105674370"/>
      <w:bookmarkStart w:id="2050" w:name="_Toc130502410"/>
      <w:bookmarkStart w:id="2051" w:name="_Toc153625197"/>
      <w:r w:rsidRPr="000A0A5F">
        <w:t>5.3.2.4.4</w:t>
      </w:r>
      <w:r w:rsidRPr="000A0A5F">
        <w:tab/>
        <w:t>Enumeration: ReachabilityType</w:t>
      </w:r>
      <w:bookmarkEnd w:id="2040"/>
      <w:bookmarkEnd w:id="2041"/>
      <w:bookmarkEnd w:id="2042"/>
      <w:bookmarkEnd w:id="2043"/>
      <w:bookmarkEnd w:id="2044"/>
      <w:bookmarkEnd w:id="2045"/>
      <w:bookmarkEnd w:id="2046"/>
      <w:bookmarkEnd w:id="2047"/>
      <w:bookmarkEnd w:id="2048"/>
      <w:bookmarkEnd w:id="2049"/>
      <w:bookmarkEnd w:id="2050"/>
      <w:bookmarkEnd w:id="2051"/>
    </w:p>
    <w:p w:rsidR="00CB0DD7" w:rsidRPr="000A0A5F" w:rsidRDefault="00CB0DD7">
      <w:r w:rsidRPr="000A0A5F">
        <w:t>The enumeration ReachabilityType represents a reachability type. It shall comply with the provisions defined in table 5.3.2.4.4-1. If reachabilityType set to "SMS", the monitoring event request from SCS/AS shall be only for one-time monitoring request.</w:t>
      </w:r>
    </w:p>
    <w:p w:rsidR="00CB0DD7" w:rsidRPr="000A0A5F" w:rsidRDefault="00CB0DD7">
      <w:pPr>
        <w:pStyle w:val="TH"/>
      </w:pPr>
      <w:r w:rsidRPr="000A0A5F">
        <w:t>Table 5.3.2.4.4-1: Enumeration ReachabilityType</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334"/>
        <w:gridCol w:w="4728"/>
        <w:gridCol w:w="2695"/>
      </w:tblGrid>
      <w:tr w:rsidR="00CB0DD7" w:rsidRPr="000A0A5F" w:rsidTr="00F83684">
        <w:trPr>
          <w:trHeight w:val="280"/>
        </w:trPr>
        <w:tc>
          <w:tcPr>
            <w:tcW w:w="1196" w:type="pct"/>
            <w:shd w:val="clear" w:color="auto" w:fill="C0C0C0"/>
            <w:tcMar>
              <w:top w:w="0" w:type="dxa"/>
              <w:left w:w="108" w:type="dxa"/>
              <w:bottom w:w="0" w:type="dxa"/>
              <w:right w:w="108" w:type="dxa"/>
            </w:tcMar>
          </w:tcPr>
          <w:p w:rsidR="00CB0DD7" w:rsidRPr="000A0A5F" w:rsidRDefault="00CB0DD7">
            <w:pPr>
              <w:pStyle w:val="TAH"/>
            </w:pPr>
            <w:r w:rsidRPr="000A0A5F">
              <w:t>Enumeration value</w:t>
            </w:r>
          </w:p>
        </w:tc>
        <w:tc>
          <w:tcPr>
            <w:tcW w:w="2423" w:type="pct"/>
            <w:shd w:val="clear" w:color="auto" w:fill="C0C0C0"/>
            <w:tcMar>
              <w:top w:w="0" w:type="dxa"/>
              <w:left w:w="108" w:type="dxa"/>
              <w:bottom w:w="0" w:type="dxa"/>
              <w:right w:w="108" w:type="dxa"/>
            </w:tcMar>
          </w:tcPr>
          <w:p w:rsidR="00CB0DD7" w:rsidRPr="000A0A5F" w:rsidRDefault="00CB0DD7">
            <w:pPr>
              <w:pStyle w:val="TAH"/>
            </w:pPr>
            <w:r w:rsidRPr="000A0A5F">
              <w:t>Description</w:t>
            </w:r>
          </w:p>
        </w:tc>
        <w:tc>
          <w:tcPr>
            <w:tcW w:w="1381" w:type="pct"/>
            <w:shd w:val="clear" w:color="auto" w:fill="C0C0C0"/>
          </w:tcPr>
          <w:p w:rsidR="00CB0DD7" w:rsidRPr="000A0A5F" w:rsidRDefault="00CB0DD7">
            <w:pPr>
              <w:pStyle w:val="TAH"/>
            </w:pPr>
            <w:r w:rsidRPr="000A0A5F">
              <w:rPr>
                <w:rFonts w:eastAsia="Times New Roman" w:cs="Arial"/>
                <w:szCs w:val="18"/>
              </w:rPr>
              <w:t>Applicability (NOTE)</w:t>
            </w:r>
          </w:p>
        </w:tc>
      </w:tr>
      <w:tr w:rsidR="00CB0DD7" w:rsidRPr="000A0A5F" w:rsidTr="00F83684">
        <w:tc>
          <w:tcPr>
            <w:tcW w:w="1196" w:type="pct"/>
            <w:tcMar>
              <w:top w:w="0" w:type="dxa"/>
              <w:left w:w="108" w:type="dxa"/>
              <w:bottom w:w="0" w:type="dxa"/>
              <w:right w:w="108" w:type="dxa"/>
            </w:tcMar>
          </w:tcPr>
          <w:p w:rsidR="00CB0DD7" w:rsidRPr="000A0A5F" w:rsidRDefault="00CB0DD7">
            <w:pPr>
              <w:pStyle w:val="TAL"/>
            </w:pPr>
            <w:r w:rsidRPr="000A0A5F">
              <w:rPr>
                <w:rFonts w:cs="Arial"/>
                <w:szCs w:val="18"/>
              </w:rPr>
              <w:t xml:space="preserve">SMS </w:t>
            </w:r>
          </w:p>
        </w:tc>
        <w:tc>
          <w:tcPr>
            <w:tcW w:w="2423" w:type="pct"/>
            <w:tcMar>
              <w:top w:w="0" w:type="dxa"/>
              <w:left w:w="108" w:type="dxa"/>
              <w:bottom w:w="0" w:type="dxa"/>
              <w:right w:w="108" w:type="dxa"/>
            </w:tcMar>
          </w:tcPr>
          <w:p w:rsidR="00CB0DD7" w:rsidRPr="000A0A5F" w:rsidRDefault="00CB0DD7">
            <w:pPr>
              <w:pStyle w:val="TAL"/>
            </w:pPr>
            <w:r w:rsidRPr="000A0A5F">
              <w:rPr>
                <w:rFonts w:cs="Arial"/>
                <w:szCs w:val="18"/>
                <w:lang w:eastAsia="zh-CN"/>
              </w:rPr>
              <w:t>The SCS/AS requests to be notified when the UE becomes reachable for sending SMS to the UE</w:t>
            </w:r>
          </w:p>
        </w:tc>
        <w:tc>
          <w:tcPr>
            <w:tcW w:w="1381" w:type="pct"/>
          </w:tcPr>
          <w:p w:rsidR="00CB0DD7" w:rsidRPr="000A0A5F" w:rsidRDefault="00CB0DD7">
            <w:pPr>
              <w:pStyle w:val="TAL"/>
              <w:rPr>
                <w:rFonts w:cs="Arial"/>
                <w:szCs w:val="18"/>
                <w:lang w:eastAsia="zh-CN"/>
              </w:rPr>
            </w:pPr>
            <w:r w:rsidRPr="000A0A5F">
              <w:t>Ue-reachability_notification</w:t>
            </w:r>
          </w:p>
        </w:tc>
      </w:tr>
      <w:tr w:rsidR="00CB0DD7" w:rsidRPr="000A0A5F" w:rsidTr="00F83684">
        <w:tc>
          <w:tcPr>
            <w:tcW w:w="1196" w:type="pct"/>
            <w:tcMar>
              <w:top w:w="0" w:type="dxa"/>
              <w:left w:w="108" w:type="dxa"/>
              <w:bottom w:w="0" w:type="dxa"/>
              <w:right w:w="108" w:type="dxa"/>
            </w:tcMar>
          </w:tcPr>
          <w:p w:rsidR="00CB0DD7" w:rsidRPr="000A0A5F" w:rsidRDefault="00CB0DD7">
            <w:pPr>
              <w:pStyle w:val="TAL"/>
            </w:pPr>
            <w:r w:rsidRPr="000A0A5F">
              <w:rPr>
                <w:rFonts w:cs="Arial"/>
                <w:szCs w:val="18"/>
              </w:rPr>
              <w:t>DATA</w:t>
            </w:r>
          </w:p>
        </w:tc>
        <w:tc>
          <w:tcPr>
            <w:tcW w:w="2423" w:type="pct"/>
            <w:tcMar>
              <w:top w:w="0" w:type="dxa"/>
              <w:left w:w="108" w:type="dxa"/>
              <w:bottom w:w="0" w:type="dxa"/>
              <w:right w:w="108" w:type="dxa"/>
            </w:tcMar>
          </w:tcPr>
          <w:p w:rsidR="00CB0DD7" w:rsidRPr="000A0A5F" w:rsidRDefault="00CB0DD7">
            <w:pPr>
              <w:pStyle w:val="TAL"/>
            </w:pPr>
            <w:r w:rsidRPr="000A0A5F">
              <w:rPr>
                <w:rFonts w:cs="Arial"/>
                <w:szCs w:val="18"/>
                <w:lang w:eastAsia="zh-CN"/>
              </w:rPr>
              <w:t>The SCS/AS requests to be notified when the UE becomes reachable for sending downlink data to the UE</w:t>
            </w:r>
          </w:p>
        </w:tc>
        <w:tc>
          <w:tcPr>
            <w:tcW w:w="1381" w:type="pct"/>
          </w:tcPr>
          <w:p w:rsidR="00CB0DD7" w:rsidRPr="000A0A5F" w:rsidRDefault="00CB0DD7">
            <w:pPr>
              <w:pStyle w:val="TAL"/>
              <w:rPr>
                <w:rFonts w:cs="Arial"/>
                <w:szCs w:val="18"/>
                <w:lang w:eastAsia="zh-CN"/>
              </w:rPr>
            </w:pPr>
            <w:r w:rsidRPr="000A0A5F">
              <w:t>Ue-reachability_notification</w:t>
            </w:r>
          </w:p>
        </w:tc>
      </w:tr>
      <w:tr w:rsidR="00CB0DD7" w:rsidRPr="000A0A5F" w:rsidTr="00F83684">
        <w:trPr>
          <w:trHeight w:val="559"/>
        </w:trPr>
        <w:tc>
          <w:tcPr>
            <w:tcW w:w="5000" w:type="pct"/>
            <w:gridSpan w:val="3"/>
            <w:tcMar>
              <w:top w:w="0" w:type="dxa"/>
              <w:left w:w="108" w:type="dxa"/>
              <w:bottom w:w="0" w:type="dxa"/>
              <w:right w:w="108" w:type="dxa"/>
            </w:tcMar>
          </w:tcPr>
          <w:p w:rsidR="00CB0DD7" w:rsidRPr="000A0A5F" w:rsidRDefault="00CB0DD7">
            <w:pPr>
              <w:pStyle w:val="TAN"/>
            </w:pPr>
            <w:r w:rsidRPr="000A0A5F">
              <w:t>NOTE:</w:t>
            </w:r>
            <w:r w:rsidRPr="000A0A5F">
              <w:tab/>
              <w:t>Properties marked with a feature as defined in clause 5.3.4 are applicable as described in clause 5.2.7. If no feature are indicated, the related property applies for all the features.</w:t>
            </w:r>
          </w:p>
        </w:tc>
      </w:tr>
    </w:tbl>
    <w:p w:rsidR="00CB0DD7" w:rsidRPr="000A0A5F" w:rsidRDefault="00CB0DD7"/>
    <w:p w:rsidR="00CB0DD7" w:rsidRPr="000A0A5F" w:rsidRDefault="00CB0DD7">
      <w:pPr>
        <w:pStyle w:val="Heading5"/>
        <w:spacing w:before="180"/>
      </w:pPr>
      <w:bookmarkStart w:id="2052" w:name="_Toc11247326"/>
      <w:bookmarkStart w:id="2053" w:name="_Toc27044448"/>
      <w:bookmarkStart w:id="2054" w:name="_Toc36033490"/>
      <w:bookmarkStart w:id="2055" w:name="_Toc45131622"/>
      <w:bookmarkStart w:id="2056" w:name="_Toc49775907"/>
      <w:bookmarkStart w:id="2057" w:name="_Toc51746827"/>
      <w:bookmarkStart w:id="2058" w:name="_Toc66360371"/>
      <w:bookmarkStart w:id="2059" w:name="_Toc68104876"/>
      <w:bookmarkStart w:id="2060" w:name="_Toc74755506"/>
      <w:bookmarkStart w:id="2061" w:name="_Toc105674371"/>
      <w:bookmarkStart w:id="2062" w:name="_Toc130502411"/>
      <w:bookmarkStart w:id="2063" w:name="_Toc153625198"/>
      <w:r w:rsidRPr="000A0A5F">
        <w:t>5.3.2.4.5</w:t>
      </w:r>
      <w:r w:rsidRPr="000A0A5F">
        <w:tab/>
        <w:t>Enumeration: LocationType</w:t>
      </w:r>
      <w:bookmarkEnd w:id="2052"/>
      <w:bookmarkEnd w:id="2053"/>
      <w:bookmarkEnd w:id="2054"/>
      <w:bookmarkEnd w:id="2055"/>
      <w:bookmarkEnd w:id="2056"/>
      <w:bookmarkEnd w:id="2057"/>
      <w:bookmarkEnd w:id="2058"/>
      <w:bookmarkEnd w:id="2059"/>
      <w:bookmarkEnd w:id="2060"/>
      <w:bookmarkEnd w:id="2061"/>
      <w:bookmarkEnd w:id="2062"/>
      <w:bookmarkEnd w:id="2063"/>
    </w:p>
    <w:p w:rsidR="00CB0DD7" w:rsidRPr="000A0A5F" w:rsidRDefault="00CB0DD7">
      <w:r w:rsidRPr="000A0A5F">
        <w:t>The enumeration LocationType represents a location type. It shall comply with the provisions defined in table 5.3.2.4.5-1. If locationType set to "</w:t>
      </w:r>
      <w:r w:rsidRPr="000A0A5F">
        <w:rPr>
          <w:rFonts w:eastAsia="Times New Roman" w:cs="Arial"/>
          <w:szCs w:val="18"/>
        </w:rPr>
        <w:t>LAST_KNOWN_LOCATION</w:t>
      </w:r>
      <w:r w:rsidRPr="000A0A5F">
        <w:t>", the monitoring event request from SCS/AS shall be only for one-time monitoring request.</w:t>
      </w:r>
    </w:p>
    <w:p w:rsidR="00CB0DD7" w:rsidRPr="000A0A5F" w:rsidRDefault="00CB0DD7">
      <w:pPr>
        <w:pStyle w:val="TH"/>
      </w:pPr>
      <w:r w:rsidRPr="000A0A5F">
        <w:t>Table 5.3.2.4.5-1: Enumeration LocationType</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334"/>
        <w:gridCol w:w="4728"/>
        <w:gridCol w:w="2695"/>
      </w:tblGrid>
      <w:tr w:rsidR="00CB0DD7" w:rsidRPr="000A0A5F" w:rsidTr="00F83684">
        <w:trPr>
          <w:trHeight w:val="280"/>
        </w:trPr>
        <w:tc>
          <w:tcPr>
            <w:tcW w:w="1196" w:type="pct"/>
            <w:shd w:val="clear" w:color="auto" w:fill="C0C0C0"/>
            <w:tcMar>
              <w:top w:w="0" w:type="dxa"/>
              <w:left w:w="108" w:type="dxa"/>
              <w:bottom w:w="0" w:type="dxa"/>
              <w:right w:w="108" w:type="dxa"/>
            </w:tcMar>
          </w:tcPr>
          <w:p w:rsidR="00CB0DD7" w:rsidRPr="000A0A5F" w:rsidRDefault="00CB0DD7">
            <w:pPr>
              <w:pStyle w:val="TAH"/>
            </w:pPr>
            <w:r w:rsidRPr="000A0A5F">
              <w:t>Enumeration value</w:t>
            </w:r>
          </w:p>
        </w:tc>
        <w:tc>
          <w:tcPr>
            <w:tcW w:w="2423" w:type="pct"/>
            <w:shd w:val="clear" w:color="auto" w:fill="C0C0C0"/>
            <w:tcMar>
              <w:top w:w="0" w:type="dxa"/>
              <w:left w:w="108" w:type="dxa"/>
              <w:bottom w:w="0" w:type="dxa"/>
              <w:right w:w="108" w:type="dxa"/>
            </w:tcMar>
          </w:tcPr>
          <w:p w:rsidR="00CB0DD7" w:rsidRPr="000A0A5F" w:rsidRDefault="00CB0DD7">
            <w:pPr>
              <w:pStyle w:val="TAH"/>
            </w:pPr>
            <w:r w:rsidRPr="000A0A5F">
              <w:t>Description</w:t>
            </w:r>
          </w:p>
        </w:tc>
        <w:tc>
          <w:tcPr>
            <w:tcW w:w="1381" w:type="pct"/>
            <w:shd w:val="clear" w:color="auto" w:fill="C0C0C0"/>
          </w:tcPr>
          <w:p w:rsidR="00CB0DD7" w:rsidRPr="000A0A5F" w:rsidRDefault="00CB0DD7">
            <w:pPr>
              <w:pStyle w:val="TAH"/>
            </w:pPr>
            <w:r w:rsidRPr="000A0A5F">
              <w:rPr>
                <w:rFonts w:eastAsia="Times New Roman" w:cs="Arial"/>
                <w:szCs w:val="18"/>
              </w:rPr>
              <w:t>Applicability (NOTE)</w:t>
            </w:r>
          </w:p>
        </w:tc>
      </w:tr>
      <w:tr w:rsidR="00CB0DD7" w:rsidRPr="000A0A5F" w:rsidTr="00F83684">
        <w:tc>
          <w:tcPr>
            <w:tcW w:w="1196" w:type="pct"/>
            <w:tcMar>
              <w:top w:w="0" w:type="dxa"/>
              <w:left w:w="108" w:type="dxa"/>
              <w:bottom w:w="0" w:type="dxa"/>
              <w:right w:w="108" w:type="dxa"/>
            </w:tcMar>
          </w:tcPr>
          <w:p w:rsidR="00CB0DD7" w:rsidRPr="000A0A5F" w:rsidRDefault="00CB0DD7">
            <w:pPr>
              <w:pStyle w:val="TAL"/>
            </w:pPr>
            <w:r w:rsidRPr="000A0A5F">
              <w:rPr>
                <w:rFonts w:eastAsia="Times New Roman" w:cs="Arial"/>
                <w:szCs w:val="18"/>
              </w:rPr>
              <w:t>CURRENT_LOCATION</w:t>
            </w:r>
          </w:p>
        </w:tc>
        <w:tc>
          <w:tcPr>
            <w:tcW w:w="2423" w:type="pct"/>
            <w:tcMar>
              <w:top w:w="0" w:type="dxa"/>
              <w:left w:w="108" w:type="dxa"/>
              <w:bottom w:w="0" w:type="dxa"/>
              <w:right w:w="108" w:type="dxa"/>
            </w:tcMar>
          </w:tcPr>
          <w:p w:rsidR="00CB0DD7" w:rsidRPr="000A0A5F" w:rsidRDefault="00CB0DD7">
            <w:pPr>
              <w:pStyle w:val="TAL"/>
            </w:pPr>
            <w:r w:rsidRPr="000A0A5F">
              <w:rPr>
                <w:rFonts w:cs="Arial"/>
                <w:szCs w:val="18"/>
                <w:lang w:eastAsia="zh-CN"/>
              </w:rPr>
              <w:t>The SCS/AS requests to be notified for current location</w:t>
            </w:r>
          </w:p>
        </w:tc>
        <w:tc>
          <w:tcPr>
            <w:tcW w:w="1381" w:type="pct"/>
          </w:tcPr>
          <w:p w:rsidR="00CB0DD7" w:rsidRPr="000A0A5F" w:rsidRDefault="00CB0DD7">
            <w:pPr>
              <w:pStyle w:val="TAL"/>
              <w:rPr>
                <w:rFonts w:cs="Arial"/>
                <w:szCs w:val="18"/>
                <w:lang w:eastAsia="zh-CN"/>
              </w:rPr>
            </w:pPr>
            <w:r w:rsidRPr="000A0A5F">
              <w:t>Location_notification</w:t>
            </w:r>
            <w:r w:rsidRPr="000A0A5F">
              <w:rPr>
                <w:rFonts w:cs="Arial" w:hint="eastAsia"/>
                <w:szCs w:val="18"/>
                <w:lang w:eastAsia="zh-CN"/>
              </w:rPr>
              <w:t>,</w:t>
            </w:r>
            <w:r w:rsidRPr="000A0A5F">
              <w:rPr>
                <w:rFonts w:cs="Arial" w:hint="eastAsia"/>
                <w:szCs w:val="18"/>
                <w:lang w:val="en-US" w:eastAsia="zh-CN"/>
              </w:rPr>
              <w:t xml:space="preserve"> </w:t>
            </w:r>
            <w:r w:rsidRPr="000A0A5F">
              <w:rPr>
                <w:rFonts w:hint="eastAsia"/>
                <w:lang w:eastAsia="zh-CN"/>
              </w:rPr>
              <w:t>eLCS</w:t>
            </w:r>
          </w:p>
        </w:tc>
      </w:tr>
      <w:tr w:rsidR="00CB0DD7" w:rsidRPr="000A0A5F" w:rsidTr="00F83684">
        <w:tc>
          <w:tcPr>
            <w:tcW w:w="1196" w:type="pct"/>
            <w:tcMar>
              <w:top w:w="0" w:type="dxa"/>
              <w:left w:w="108" w:type="dxa"/>
              <w:bottom w:w="0" w:type="dxa"/>
              <w:right w:w="108" w:type="dxa"/>
            </w:tcMar>
          </w:tcPr>
          <w:p w:rsidR="00CB0DD7" w:rsidRPr="000A0A5F" w:rsidRDefault="00CB0DD7">
            <w:pPr>
              <w:pStyle w:val="TAL"/>
            </w:pPr>
            <w:r w:rsidRPr="000A0A5F">
              <w:rPr>
                <w:rFonts w:eastAsia="Times New Roman" w:cs="Arial"/>
                <w:szCs w:val="18"/>
              </w:rPr>
              <w:t>LAST_KNOWN_LOCATION</w:t>
            </w:r>
          </w:p>
        </w:tc>
        <w:tc>
          <w:tcPr>
            <w:tcW w:w="2423" w:type="pct"/>
            <w:tcMar>
              <w:top w:w="0" w:type="dxa"/>
              <w:left w:w="108" w:type="dxa"/>
              <w:bottom w:w="0" w:type="dxa"/>
              <w:right w:w="108" w:type="dxa"/>
            </w:tcMar>
          </w:tcPr>
          <w:p w:rsidR="00CB0DD7" w:rsidRPr="000A0A5F" w:rsidRDefault="00CB0DD7">
            <w:pPr>
              <w:pStyle w:val="TAL"/>
            </w:pPr>
            <w:r w:rsidRPr="000A0A5F">
              <w:rPr>
                <w:rFonts w:cs="Arial"/>
                <w:szCs w:val="18"/>
                <w:lang w:eastAsia="zh-CN"/>
              </w:rPr>
              <w:t>The SCS/AS requests to be notified for last known location</w:t>
            </w:r>
          </w:p>
        </w:tc>
        <w:tc>
          <w:tcPr>
            <w:tcW w:w="1381" w:type="pct"/>
          </w:tcPr>
          <w:p w:rsidR="00CB0DD7" w:rsidRPr="000A0A5F" w:rsidRDefault="00CB0DD7">
            <w:pPr>
              <w:pStyle w:val="TAL"/>
              <w:rPr>
                <w:rFonts w:cs="Arial"/>
                <w:szCs w:val="18"/>
                <w:lang w:eastAsia="zh-CN"/>
              </w:rPr>
            </w:pPr>
            <w:r w:rsidRPr="000A0A5F">
              <w:t>Location_notification,</w:t>
            </w:r>
            <w:r w:rsidRPr="000A0A5F">
              <w:rPr>
                <w:rFonts w:hint="eastAsia"/>
                <w:lang w:eastAsia="zh-CN"/>
              </w:rPr>
              <w:t xml:space="preserve"> Number_of_U</w:t>
            </w:r>
            <w:r w:rsidRPr="000A0A5F">
              <w:rPr>
                <w:lang w:eastAsia="zh-CN"/>
              </w:rPr>
              <w:t>E</w:t>
            </w:r>
            <w:r w:rsidRPr="000A0A5F">
              <w:rPr>
                <w:rFonts w:hint="eastAsia"/>
                <w:lang w:eastAsia="zh-CN"/>
              </w:rPr>
              <w:t>s</w:t>
            </w:r>
            <w:r w:rsidRPr="000A0A5F">
              <w:rPr>
                <w:lang w:eastAsia="zh-CN"/>
              </w:rPr>
              <w:t xml:space="preserve">_in_an_area_notification, </w:t>
            </w:r>
            <w:r w:rsidRPr="000A0A5F">
              <w:rPr>
                <w:rFonts w:hint="eastAsia"/>
                <w:lang w:eastAsia="zh-CN"/>
              </w:rPr>
              <w:t>Number_of_U</w:t>
            </w:r>
            <w:r w:rsidRPr="000A0A5F">
              <w:rPr>
                <w:lang w:eastAsia="zh-CN"/>
              </w:rPr>
              <w:t>E</w:t>
            </w:r>
            <w:r w:rsidRPr="000A0A5F">
              <w:rPr>
                <w:rFonts w:hint="eastAsia"/>
                <w:lang w:eastAsia="zh-CN"/>
              </w:rPr>
              <w:t>s</w:t>
            </w:r>
            <w:r w:rsidRPr="000A0A5F">
              <w:rPr>
                <w:lang w:eastAsia="zh-CN"/>
              </w:rPr>
              <w:t>_in_an_area_notification_5G</w:t>
            </w:r>
          </w:p>
        </w:tc>
      </w:tr>
      <w:tr w:rsidR="00CB0DD7" w:rsidRPr="000A0A5F" w:rsidTr="00F83684">
        <w:tc>
          <w:tcPr>
            <w:tcW w:w="1196" w:type="pct"/>
            <w:tcMar>
              <w:top w:w="0" w:type="dxa"/>
              <w:left w:w="108" w:type="dxa"/>
              <w:bottom w:w="0" w:type="dxa"/>
              <w:right w:w="108" w:type="dxa"/>
            </w:tcMar>
          </w:tcPr>
          <w:p w:rsidR="00CB0DD7" w:rsidRPr="000A0A5F" w:rsidRDefault="00CB0DD7">
            <w:pPr>
              <w:pStyle w:val="TAL"/>
              <w:rPr>
                <w:rFonts w:eastAsia="Times New Roman" w:cs="Arial"/>
                <w:szCs w:val="18"/>
              </w:rPr>
            </w:pPr>
            <w:bookmarkStart w:id="2064" w:name="OLE_LINK14"/>
            <w:bookmarkStart w:id="2065" w:name="OLE_LINK15"/>
            <w:r w:rsidRPr="000A0A5F">
              <w:rPr>
                <w:lang w:eastAsia="zh-CN"/>
              </w:rPr>
              <w:t>CURRENT_OR_LAST_KNOWN_LOCATION</w:t>
            </w:r>
            <w:bookmarkEnd w:id="2064"/>
            <w:bookmarkEnd w:id="2065"/>
          </w:p>
        </w:tc>
        <w:tc>
          <w:tcPr>
            <w:tcW w:w="2423" w:type="pct"/>
            <w:tcMar>
              <w:top w:w="0" w:type="dxa"/>
              <w:left w:w="108" w:type="dxa"/>
              <w:bottom w:w="0" w:type="dxa"/>
              <w:right w:w="108" w:type="dxa"/>
            </w:tcMar>
          </w:tcPr>
          <w:p w:rsidR="00CB0DD7" w:rsidRPr="000A0A5F" w:rsidRDefault="00CB0DD7">
            <w:pPr>
              <w:pStyle w:val="TAL"/>
              <w:rPr>
                <w:rFonts w:cs="Arial"/>
                <w:szCs w:val="18"/>
                <w:lang w:eastAsia="zh-CN"/>
              </w:rPr>
            </w:pPr>
            <w:r w:rsidRPr="000A0A5F">
              <w:rPr>
                <w:rFonts w:hint="eastAsia"/>
                <w:lang w:eastAsia="zh-CN"/>
              </w:rPr>
              <w:t xml:space="preserve">The </w:t>
            </w:r>
            <w:r w:rsidRPr="000A0A5F">
              <w:rPr>
                <w:rFonts w:hint="eastAsia"/>
                <w:lang w:val="en-US" w:eastAsia="zh-CN"/>
              </w:rPr>
              <w:t>AF</w:t>
            </w:r>
            <w:r w:rsidRPr="000A0A5F">
              <w:rPr>
                <w:rFonts w:hint="eastAsia"/>
                <w:lang w:eastAsia="zh-CN"/>
              </w:rPr>
              <w:t xml:space="preserve"> </w:t>
            </w:r>
            <w:r w:rsidRPr="000A0A5F">
              <w:rPr>
                <w:lang w:eastAsia="zh-CN"/>
              </w:rPr>
              <w:t>request</w:t>
            </w:r>
            <w:r w:rsidRPr="000A0A5F">
              <w:rPr>
                <w:rFonts w:hint="eastAsia"/>
                <w:lang w:eastAsia="zh-CN"/>
              </w:rPr>
              <w:t>s</w:t>
            </w:r>
            <w:r w:rsidRPr="000A0A5F">
              <w:rPr>
                <w:lang w:eastAsia="zh-CN"/>
              </w:rPr>
              <w:t xml:space="preserve"> the current or last known location.</w:t>
            </w:r>
          </w:p>
        </w:tc>
        <w:tc>
          <w:tcPr>
            <w:tcW w:w="1381" w:type="pct"/>
          </w:tcPr>
          <w:p w:rsidR="00CB0DD7" w:rsidRPr="000A0A5F" w:rsidRDefault="00CB0DD7">
            <w:pPr>
              <w:pStyle w:val="TAL"/>
            </w:pPr>
            <w:r w:rsidRPr="000A0A5F">
              <w:rPr>
                <w:rFonts w:hint="eastAsia"/>
                <w:lang w:eastAsia="zh-CN"/>
              </w:rPr>
              <w:t>eLCS</w:t>
            </w:r>
          </w:p>
        </w:tc>
      </w:tr>
      <w:tr w:rsidR="00CB0DD7" w:rsidRPr="000A0A5F" w:rsidTr="00F83684">
        <w:tc>
          <w:tcPr>
            <w:tcW w:w="1196" w:type="pct"/>
            <w:tcMar>
              <w:top w:w="0" w:type="dxa"/>
              <w:left w:w="108" w:type="dxa"/>
              <w:bottom w:w="0" w:type="dxa"/>
              <w:right w:w="108" w:type="dxa"/>
            </w:tcMar>
          </w:tcPr>
          <w:p w:rsidR="00CB0DD7" w:rsidRPr="000A0A5F" w:rsidRDefault="00CB0DD7">
            <w:pPr>
              <w:pStyle w:val="TAL"/>
              <w:rPr>
                <w:rFonts w:eastAsia="Times New Roman" w:cs="Arial"/>
                <w:szCs w:val="18"/>
              </w:rPr>
            </w:pPr>
            <w:r w:rsidRPr="000A0A5F">
              <w:rPr>
                <w:lang w:eastAsia="zh-CN"/>
              </w:rPr>
              <w:t>INITIAL_LOCATION</w:t>
            </w:r>
          </w:p>
        </w:tc>
        <w:tc>
          <w:tcPr>
            <w:tcW w:w="2423" w:type="pct"/>
            <w:tcMar>
              <w:top w:w="0" w:type="dxa"/>
              <w:left w:w="108" w:type="dxa"/>
              <w:bottom w:w="0" w:type="dxa"/>
              <w:right w:w="108" w:type="dxa"/>
            </w:tcMar>
          </w:tcPr>
          <w:p w:rsidR="00CB0DD7" w:rsidRPr="000A0A5F" w:rsidRDefault="00CB0DD7">
            <w:pPr>
              <w:pStyle w:val="TAL"/>
              <w:rPr>
                <w:rFonts w:cs="Arial"/>
                <w:szCs w:val="18"/>
                <w:lang w:eastAsia="zh-CN"/>
              </w:rPr>
            </w:pPr>
            <w:r w:rsidRPr="000A0A5F">
              <w:rPr>
                <w:rFonts w:hint="eastAsia"/>
                <w:lang w:eastAsia="zh-CN"/>
              </w:rPr>
              <w:t xml:space="preserve">The </w:t>
            </w:r>
            <w:r w:rsidRPr="000A0A5F">
              <w:rPr>
                <w:rFonts w:hint="eastAsia"/>
                <w:lang w:val="en-US" w:eastAsia="zh-CN"/>
              </w:rPr>
              <w:t>AF</w:t>
            </w:r>
            <w:r w:rsidRPr="000A0A5F">
              <w:rPr>
                <w:rFonts w:hint="eastAsia"/>
                <w:lang w:eastAsia="zh-CN"/>
              </w:rPr>
              <w:t xml:space="preserve"> r</w:t>
            </w:r>
            <w:r w:rsidRPr="000A0A5F">
              <w:rPr>
                <w:lang w:eastAsia="zh-CN"/>
              </w:rPr>
              <w:t>eques</w:t>
            </w:r>
            <w:r w:rsidRPr="000A0A5F">
              <w:rPr>
                <w:rFonts w:hint="eastAsia"/>
                <w:lang w:eastAsia="zh-CN"/>
              </w:rPr>
              <w:t xml:space="preserve">ts </w:t>
            </w:r>
            <w:r w:rsidRPr="000A0A5F">
              <w:rPr>
                <w:lang w:eastAsia="zh-CN"/>
              </w:rPr>
              <w:t>the initial location.</w:t>
            </w:r>
          </w:p>
        </w:tc>
        <w:tc>
          <w:tcPr>
            <w:tcW w:w="1381" w:type="pct"/>
          </w:tcPr>
          <w:p w:rsidR="00CB0DD7" w:rsidRPr="000A0A5F" w:rsidRDefault="00CB0DD7">
            <w:pPr>
              <w:pStyle w:val="TAL"/>
            </w:pPr>
            <w:r w:rsidRPr="000A0A5F">
              <w:rPr>
                <w:rFonts w:hint="eastAsia"/>
                <w:lang w:eastAsia="zh-CN"/>
              </w:rPr>
              <w:t>eLCS</w:t>
            </w:r>
          </w:p>
        </w:tc>
      </w:tr>
      <w:tr w:rsidR="00CB0DD7" w:rsidRPr="000A0A5F" w:rsidTr="00F83684">
        <w:trPr>
          <w:trHeight w:val="559"/>
        </w:trPr>
        <w:tc>
          <w:tcPr>
            <w:tcW w:w="5000" w:type="pct"/>
            <w:gridSpan w:val="3"/>
            <w:tcMar>
              <w:top w:w="0" w:type="dxa"/>
              <w:left w:w="108" w:type="dxa"/>
              <w:bottom w:w="0" w:type="dxa"/>
              <w:right w:w="108" w:type="dxa"/>
            </w:tcMar>
          </w:tcPr>
          <w:p w:rsidR="00CB0DD7" w:rsidRPr="000A0A5F" w:rsidRDefault="00CB0DD7">
            <w:pPr>
              <w:pStyle w:val="TAN"/>
            </w:pPr>
            <w:r w:rsidRPr="000A0A5F">
              <w:t>NOTE:</w:t>
            </w:r>
            <w:r w:rsidRPr="000A0A5F">
              <w:tab/>
              <w:t>Properties marked with a feature as defined in clause 5.3.4 are applicable as described in clause 5.2.7. If no feature are indicated, the related property applies for all the features.</w:t>
            </w:r>
          </w:p>
        </w:tc>
      </w:tr>
    </w:tbl>
    <w:p w:rsidR="00CB0DD7" w:rsidRPr="000A0A5F" w:rsidRDefault="00CB0DD7"/>
    <w:p w:rsidR="00CB0DD7" w:rsidRPr="000A0A5F" w:rsidRDefault="00CB0DD7">
      <w:pPr>
        <w:pStyle w:val="Heading5"/>
        <w:spacing w:before="180"/>
      </w:pPr>
      <w:bookmarkStart w:id="2066" w:name="_Toc11247327"/>
      <w:bookmarkStart w:id="2067" w:name="_Toc27044449"/>
      <w:bookmarkStart w:id="2068" w:name="_Toc36033491"/>
      <w:bookmarkStart w:id="2069" w:name="_Toc45131623"/>
      <w:bookmarkStart w:id="2070" w:name="_Toc49775908"/>
      <w:bookmarkStart w:id="2071" w:name="_Toc51746828"/>
      <w:bookmarkStart w:id="2072" w:name="_Toc66360372"/>
      <w:bookmarkStart w:id="2073" w:name="_Toc68104877"/>
      <w:bookmarkStart w:id="2074" w:name="_Toc74755507"/>
      <w:bookmarkStart w:id="2075" w:name="_Toc105674372"/>
      <w:bookmarkStart w:id="2076" w:name="_Toc130502412"/>
      <w:bookmarkStart w:id="2077" w:name="_Toc153625199"/>
      <w:r w:rsidRPr="000A0A5F">
        <w:t>5.3.2.4.6</w:t>
      </w:r>
      <w:r w:rsidRPr="000A0A5F">
        <w:tab/>
        <w:t>Enumeration: AssociationType</w:t>
      </w:r>
      <w:bookmarkEnd w:id="2066"/>
      <w:bookmarkEnd w:id="2067"/>
      <w:bookmarkEnd w:id="2068"/>
      <w:bookmarkEnd w:id="2069"/>
      <w:bookmarkEnd w:id="2070"/>
      <w:bookmarkEnd w:id="2071"/>
      <w:bookmarkEnd w:id="2072"/>
      <w:bookmarkEnd w:id="2073"/>
      <w:bookmarkEnd w:id="2074"/>
      <w:bookmarkEnd w:id="2075"/>
      <w:bookmarkEnd w:id="2076"/>
      <w:bookmarkEnd w:id="2077"/>
    </w:p>
    <w:p w:rsidR="00CB0DD7" w:rsidRPr="000A0A5F" w:rsidRDefault="00CB0DD7">
      <w:r w:rsidRPr="000A0A5F">
        <w:t xml:space="preserve">The enumeration AssociationType represents an IMEI or IMEISV to IMSI association. It shall comply with the provisions defined in table 5.3.2.4.6-1. </w:t>
      </w:r>
    </w:p>
    <w:p w:rsidR="00CB0DD7" w:rsidRPr="000A0A5F" w:rsidRDefault="00CB0DD7">
      <w:pPr>
        <w:pStyle w:val="TH"/>
      </w:pPr>
      <w:r w:rsidRPr="000A0A5F">
        <w:t>Table 5.3.2.4.6-1: Enumeration AssociationType</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334"/>
        <w:gridCol w:w="4728"/>
        <w:gridCol w:w="2695"/>
      </w:tblGrid>
      <w:tr w:rsidR="00CB0DD7" w:rsidRPr="000A0A5F" w:rsidTr="00F83684">
        <w:trPr>
          <w:trHeight w:val="280"/>
        </w:trPr>
        <w:tc>
          <w:tcPr>
            <w:tcW w:w="1196" w:type="pct"/>
            <w:shd w:val="clear" w:color="auto" w:fill="C0C0C0"/>
            <w:tcMar>
              <w:top w:w="0" w:type="dxa"/>
              <w:left w:w="108" w:type="dxa"/>
              <w:bottom w:w="0" w:type="dxa"/>
              <w:right w:w="108" w:type="dxa"/>
            </w:tcMar>
          </w:tcPr>
          <w:p w:rsidR="00CB0DD7" w:rsidRPr="000A0A5F" w:rsidRDefault="00CB0DD7">
            <w:pPr>
              <w:pStyle w:val="TAH"/>
            </w:pPr>
            <w:r w:rsidRPr="000A0A5F">
              <w:t>Enumeration value</w:t>
            </w:r>
          </w:p>
        </w:tc>
        <w:tc>
          <w:tcPr>
            <w:tcW w:w="2423" w:type="pct"/>
            <w:shd w:val="clear" w:color="auto" w:fill="C0C0C0"/>
            <w:tcMar>
              <w:top w:w="0" w:type="dxa"/>
              <w:left w:w="108" w:type="dxa"/>
              <w:bottom w:w="0" w:type="dxa"/>
              <w:right w:w="108" w:type="dxa"/>
            </w:tcMar>
          </w:tcPr>
          <w:p w:rsidR="00CB0DD7" w:rsidRPr="000A0A5F" w:rsidRDefault="00CB0DD7">
            <w:pPr>
              <w:pStyle w:val="TAH"/>
            </w:pPr>
            <w:r w:rsidRPr="000A0A5F">
              <w:t>Description</w:t>
            </w:r>
          </w:p>
        </w:tc>
        <w:tc>
          <w:tcPr>
            <w:tcW w:w="1381" w:type="pct"/>
            <w:shd w:val="clear" w:color="auto" w:fill="C0C0C0"/>
          </w:tcPr>
          <w:p w:rsidR="00CB0DD7" w:rsidRPr="000A0A5F" w:rsidRDefault="00CB0DD7">
            <w:pPr>
              <w:pStyle w:val="TAH"/>
            </w:pPr>
            <w:r w:rsidRPr="000A0A5F">
              <w:rPr>
                <w:rFonts w:eastAsia="Times New Roman" w:cs="Arial"/>
                <w:szCs w:val="18"/>
              </w:rPr>
              <w:t>Applicability (NOTE)</w:t>
            </w:r>
          </w:p>
        </w:tc>
      </w:tr>
      <w:tr w:rsidR="00CB0DD7" w:rsidRPr="000A0A5F" w:rsidTr="00F83684">
        <w:tc>
          <w:tcPr>
            <w:tcW w:w="1196" w:type="pct"/>
            <w:tcMar>
              <w:top w:w="0" w:type="dxa"/>
              <w:left w:w="108" w:type="dxa"/>
              <w:bottom w:w="0" w:type="dxa"/>
              <w:right w:w="108" w:type="dxa"/>
            </w:tcMar>
          </w:tcPr>
          <w:p w:rsidR="00CB0DD7" w:rsidRPr="000A0A5F" w:rsidRDefault="00CB0DD7">
            <w:pPr>
              <w:pStyle w:val="TAL"/>
            </w:pPr>
            <w:r w:rsidRPr="000A0A5F">
              <w:rPr>
                <w:rFonts w:cs="Arial"/>
                <w:szCs w:val="18"/>
                <w:lang w:eastAsia="zh-CN"/>
              </w:rPr>
              <w:t>IMEI</w:t>
            </w:r>
          </w:p>
        </w:tc>
        <w:tc>
          <w:tcPr>
            <w:tcW w:w="2423" w:type="pct"/>
            <w:tcMar>
              <w:top w:w="0" w:type="dxa"/>
              <w:left w:w="108" w:type="dxa"/>
              <w:bottom w:w="0" w:type="dxa"/>
              <w:right w:w="108" w:type="dxa"/>
            </w:tcMar>
          </w:tcPr>
          <w:p w:rsidR="00CB0DD7" w:rsidRPr="000A0A5F" w:rsidRDefault="00CB0DD7">
            <w:pPr>
              <w:pStyle w:val="TAL"/>
            </w:pPr>
            <w:r w:rsidRPr="000A0A5F">
              <w:rPr>
                <w:rFonts w:cs="Arial"/>
                <w:szCs w:val="18"/>
                <w:lang w:eastAsia="zh-CN"/>
              </w:rPr>
              <w:t>The value shall be used when the change of IMSI-IMEI association shall be detected</w:t>
            </w:r>
          </w:p>
        </w:tc>
        <w:tc>
          <w:tcPr>
            <w:tcW w:w="1381" w:type="pct"/>
          </w:tcPr>
          <w:p w:rsidR="00CB0DD7" w:rsidRPr="000A0A5F" w:rsidRDefault="00CB0DD7">
            <w:pPr>
              <w:pStyle w:val="TAL"/>
              <w:rPr>
                <w:rFonts w:cs="Arial"/>
                <w:szCs w:val="18"/>
                <w:lang w:eastAsia="zh-CN"/>
              </w:rPr>
            </w:pPr>
            <w:r w:rsidRPr="000A0A5F">
              <w:rPr>
                <w:lang w:eastAsia="zh-CN"/>
              </w:rPr>
              <w:t>Change_of_IMSI_IMEI_association_notification</w:t>
            </w:r>
          </w:p>
        </w:tc>
      </w:tr>
      <w:tr w:rsidR="00CB0DD7" w:rsidRPr="000A0A5F" w:rsidTr="00F83684">
        <w:tc>
          <w:tcPr>
            <w:tcW w:w="1196" w:type="pct"/>
            <w:tcMar>
              <w:top w:w="0" w:type="dxa"/>
              <w:left w:w="108" w:type="dxa"/>
              <w:bottom w:w="0" w:type="dxa"/>
              <w:right w:w="108" w:type="dxa"/>
            </w:tcMar>
          </w:tcPr>
          <w:p w:rsidR="00CB0DD7" w:rsidRPr="000A0A5F" w:rsidRDefault="00CB0DD7">
            <w:pPr>
              <w:pStyle w:val="TAL"/>
            </w:pPr>
            <w:r w:rsidRPr="000A0A5F">
              <w:rPr>
                <w:rFonts w:cs="Arial"/>
                <w:szCs w:val="18"/>
                <w:lang w:eastAsia="zh-CN"/>
              </w:rPr>
              <w:t>IMEISV</w:t>
            </w:r>
          </w:p>
        </w:tc>
        <w:tc>
          <w:tcPr>
            <w:tcW w:w="2423" w:type="pct"/>
            <w:tcMar>
              <w:top w:w="0" w:type="dxa"/>
              <w:left w:w="108" w:type="dxa"/>
              <w:bottom w:w="0" w:type="dxa"/>
              <w:right w:w="108" w:type="dxa"/>
            </w:tcMar>
          </w:tcPr>
          <w:p w:rsidR="00CB0DD7" w:rsidRPr="000A0A5F" w:rsidRDefault="00CB0DD7">
            <w:pPr>
              <w:pStyle w:val="TAL"/>
            </w:pPr>
            <w:r w:rsidRPr="000A0A5F">
              <w:rPr>
                <w:rFonts w:cs="Arial"/>
                <w:szCs w:val="18"/>
                <w:lang w:eastAsia="zh-CN"/>
              </w:rPr>
              <w:t>The value shall be used when the change of IMSI-IMEISV association shall be detected</w:t>
            </w:r>
          </w:p>
        </w:tc>
        <w:tc>
          <w:tcPr>
            <w:tcW w:w="1381" w:type="pct"/>
          </w:tcPr>
          <w:p w:rsidR="00CB0DD7" w:rsidRPr="000A0A5F" w:rsidRDefault="00CB0DD7">
            <w:pPr>
              <w:pStyle w:val="TAL"/>
              <w:rPr>
                <w:rFonts w:cs="Arial"/>
                <w:szCs w:val="18"/>
                <w:lang w:eastAsia="zh-CN"/>
              </w:rPr>
            </w:pPr>
            <w:r w:rsidRPr="000A0A5F">
              <w:rPr>
                <w:lang w:eastAsia="zh-CN"/>
              </w:rPr>
              <w:t>Change_of_IMSI_IMEI_association_notification</w:t>
            </w:r>
          </w:p>
        </w:tc>
      </w:tr>
      <w:tr w:rsidR="00CB0DD7" w:rsidRPr="000A0A5F" w:rsidTr="00F83684">
        <w:trPr>
          <w:trHeight w:val="559"/>
        </w:trPr>
        <w:tc>
          <w:tcPr>
            <w:tcW w:w="5000" w:type="pct"/>
            <w:gridSpan w:val="3"/>
            <w:tcMar>
              <w:top w:w="0" w:type="dxa"/>
              <w:left w:w="108" w:type="dxa"/>
              <w:bottom w:w="0" w:type="dxa"/>
              <w:right w:w="108" w:type="dxa"/>
            </w:tcMar>
          </w:tcPr>
          <w:p w:rsidR="00CB0DD7" w:rsidRPr="000A0A5F" w:rsidRDefault="00CB0DD7">
            <w:pPr>
              <w:pStyle w:val="TAN"/>
            </w:pPr>
            <w:r w:rsidRPr="000A0A5F">
              <w:t>NOTE:</w:t>
            </w:r>
            <w:r w:rsidRPr="000A0A5F">
              <w:tab/>
              <w:t>Properties marked with a feature as defined in clause 5.3.4 are applicable as described in clause 5.2.7. If no features are indicated, the related property applies for all the features.</w:t>
            </w:r>
          </w:p>
        </w:tc>
      </w:tr>
    </w:tbl>
    <w:p w:rsidR="00CB0DD7" w:rsidRPr="000A0A5F" w:rsidRDefault="00CB0DD7"/>
    <w:p w:rsidR="00CB0DD7" w:rsidRPr="000A0A5F" w:rsidRDefault="00CB0DD7">
      <w:pPr>
        <w:pStyle w:val="Heading5"/>
        <w:spacing w:before="180"/>
      </w:pPr>
      <w:bookmarkStart w:id="2078" w:name="_Toc11247328"/>
      <w:bookmarkStart w:id="2079" w:name="_Toc27044450"/>
      <w:bookmarkStart w:id="2080" w:name="_Toc36033492"/>
      <w:bookmarkStart w:id="2081" w:name="_Toc45131624"/>
      <w:bookmarkStart w:id="2082" w:name="_Toc49775909"/>
      <w:bookmarkStart w:id="2083" w:name="_Toc51746829"/>
      <w:bookmarkStart w:id="2084" w:name="_Toc66360373"/>
      <w:bookmarkStart w:id="2085" w:name="_Toc68104878"/>
      <w:bookmarkStart w:id="2086" w:name="_Toc74755508"/>
      <w:bookmarkStart w:id="2087" w:name="_Toc105674373"/>
      <w:bookmarkStart w:id="2088" w:name="_Toc130502413"/>
      <w:bookmarkStart w:id="2089" w:name="_Toc153625200"/>
      <w:r w:rsidRPr="000A0A5F">
        <w:t>5.3.2.4.7</w:t>
      </w:r>
      <w:r w:rsidRPr="000A0A5F">
        <w:tab/>
        <w:t>Enumeration: Accuracy</w:t>
      </w:r>
      <w:bookmarkEnd w:id="2078"/>
      <w:bookmarkEnd w:id="2079"/>
      <w:bookmarkEnd w:id="2080"/>
      <w:bookmarkEnd w:id="2081"/>
      <w:bookmarkEnd w:id="2082"/>
      <w:bookmarkEnd w:id="2083"/>
      <w:bookmarkEnd w:id="2084"/>
      <w:bookmarkEnd w:id="2085"/>
      <w:bookmarkEnd w:id="2086"/>
      <w:bookmarkEnd w:id="2087"/>
      <w:bookmarkEnd w:id="2088"/>
      <w:bookmarkEnd w:id="2089"/>
    </w:p>
    <w:p w:rsidR="00CB0DD7" w:rsidRPr="000A0A5F" w:rsidRDefault="00CB0DD7">
      <w:r w:rsidRPr="000A0A5F">
        <w:t>The enumeration Accuracy represents a desired granularity of accuracy of the requested location information. It shall comply with the provisions defined in table 5.3.2.4.7-1.</w:t>
      </w:r>
    </w:p>
    <w:p w:rsidR="00CB0DD7" w:rsidRPr="000A0A5F" w:rsidRDefault="00CB0DD7">
      <w:pPr>
        <w:pStyle w:val="TH"/>
      </w:pPr>
      <w:r w:rsidRPr="000A0A5F">
        <w:t>Table 5.3.2.4.7-1: Enumeration Accuracy</w:t>
      </w:r>
    </w:p>
    <w:tbl>
      <w:tblPr>
        <w:tblW w:w="505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383"/>
        <w:gridCol w:w="7088"/>
        <w:gridCol w:w="1384"/>
        <w:tblGridChange w:id="2090">
          <w:tblGrid>
            <w:gridCol w:w="1383"/>
            <w:gridCol w:w="7088"/>
            <w:gridCol w:w="1384"/>
          </w:tblGrid>
        </w:tblGridChange>
      </w:tblGrid>
      <w:tr w:rsidR="00F20E75" w:rsidRPr="000A0A5F" w:rsidTr="00F83684">
        <w:trPr>
          <w:trHeight w:val="280"/>
        </w:trPr>
        <w:tc>
          <w:tcPr>
            <w:tcW w:w="702" w:type="pct"/>
            <w:shd w:val="clear" w:color="auto" w:fill="C0C0C0"/>
            <w:tcMar>
              <w:top w:w="0" w:type="dxa"/>
              <w:left w:w="108" w:type="dxa"/>
              <w:bottom w:w="0" w:type="dxa"/>
              <w:right w:w="108" w:type="dxa"/>
            </w:tcMar>
          </w:tcPr>
          <w:p w:rsidR="00F20E75" w:rsidRPr="000A0A5F" w:rsidRDefault="00F20E75" w:rsidP="00F20E75">
            <w:pPr>
              <w:pStyle w:val="TAH"/>
            </w:pPr>
            <w:r w:rsidRPr="000A0A5F">
              <w:t>Enumeration value</w:t>
            </w:r>
          </w:p>
        </w:tc>
        <w:tc>
          <w:tcPr>
            <w:tcW w:w="3596" w:type="pct"/>
            <w:shd w:val="clear" w:color="auto" w:fill="C0C0C0"/>
            <w:tcMar>
              <w:top w:w="0" w:type="dxa"/>
              <w:left w:w="108" w:type="dxa"/>
              <w:bottom w:w="0" w:type="dxa"/>
              <w:right w:w="108" w:type="dxa"/>
            </w:tcMar>
          </w:tcPr>
          <w:p w:rsidR="00F20E75" w:rsidRPr="000A0A5F" w:rsidRDefault="00F20E75" w:rsidP="00F20E75">
            <w:pPr>
              <w:pStyle w:val="TAH"/>
              <w:ind w:left="34" w:hangingChars="19" w:hanging="34"/>
            </w:pPr>
            <w:r w:rsidRPr="000A0A5F">
              <w:t>Description</w:t>
            </w:r>
          </w:p>
        </w:tc>
        <w:tc>
          <w:tcPr>
            <w:tcW w:w="702" w:type="pct"/>
            <w:shd w:val="clear" w:color="auto" w:fill="C0C0C0"/>
          </w:tcPr>
          <w:p w:rsidR="00F20E75" w:rsidRPr="000A0A5F" w:rsidRDefault="00F20E75" w:rsidP="00F20E75">
            <w:pPr>
              <w:pStyle w:val="TAH"/>
              <w:ind w:left="34" w:hangingChars="19" w:hanging="34"/>
            </w:pPr>
            <w:r w:rsidRPr="000A0A5F">
              <w:t>Applicability (NOTE)</w:t>
            </w:r>
          </w:p>
        </w:tc>
      </w:tr>
      <w:tr w:rsidR="00F20E75" w:rsidRPr="000A0A5F" w:rsidTr="00F83684">
        <w:tc>
          <w:tcPr>
            <w:tcW w:w="702" w:type="pct"/>
            <w:tcMar>
              <w:top w:w="0" w:type="dxa"/>
              <w:left w:w="108" w:type="dxa"/>
              <w:bottom w:w="0" w:type="dxa"/>
              <w:right w:w="108" w:type="dxa"/>
            </w:tcMar>
          </w:tcPr>
          <w:p w:rsidR="00F20E75" w:rsidRPr="000A0A5F" w:rsidRDefault="00F20E75" w:rsidP="00F20E75">
            <w:pPr>
              <w:pStyle w:val="TAL"/>
            </w:pPr>
            <w:r w:rsidRPr="000A0A5F">
              <w:rPr>
                <w:rFonts w:cs="Arial"/>
                <w:szCs w:val="18"/>
                <w:lang w:eastAsia="zh-CN"/>
              </w:rPr>
              <w:t>CGI_ECGI</w:t>
            </w:r>
          </w:p>
        </w:tc>
        <w:tc>
          <w:tcPr>
            <w:tcW w:w="3596" w:type="pct"/>
            <w:tcMar>
              <w:top w:w="0" w:type="dxa"/>
              <w:left w:w="108" w:type="dxa"/>
              <w:bottom w:w="0" w:type="dxa"/>
              <w:right w:w="108" w:type="dxa"/>
            </w:tcMar>
          </w:tcPr>
          <w:p w:rsidR="00F20E75" w:rsidRPr="000A0A5F" w:rsidRDefault="00F20E75" w:rsidP="00F20E75">
            <w:pPr>
              <w:pStyle w:val="TAL"/>
            </w:pPr>
            <w:r w:rsidRPr="000A0A5F">
              <w:rPr>
                <w:rFonts w:cs="Arial"/>
                <w:szCs w:val="18"/>
                <w:lang w:eastAsia="zh-CN"/>
              </w:rPr>
              <w:t>The SCS/AS requests to be notified using cell level location accuracy.</w:t>
            </w:r>
          </w:p>
        </w:tc>
        <w:tc>
          <w:tcPr>
            <w:tcW w:w="702" w:type="pct"/>
          </w:tcPr>
          <w:p w:rsidR="00F20E75" w:rsidRPr="000A0A5F" w:rsidRDefault="00F20E75" w:rsidP="00F20E75">
            <w:pPr>
              <w:pStyle w:val="TAL"/>
              <w:rPr>
                <w:rFonts w:cs="Arial"/>
                <w:szCs w:val="18"/>
                <w:lang w:eastAsia="zh-CN"/>
              </w:rPr>
            </w:pPr>
          </w:p>
        </w:tc>
      </w:tr>
      <w:tr w:rsidR="00F20E75" w:rsidRPr="000A0A5F" w:rsidTr="00F83684">
        <w:tc>
          <w:tcPr>
            <w:tcW w:w="702" w:type="pct"/>
            <w:tcMar>
              <w:top w:w="0" w:type="dxa"/>
              <w:left w:w="108" w:type="dxa"/>
              <w:bottom w:w="0" w:type="dxa"/>
              <w:right w:w="108" w:type="dxa"/>
            </w:tcMar>
          </w:tcPr>
          <w:p w:rsidR="00F20E75" w:rsidRPr="000A0A5F" w:rsidRDefault="00F20E75" w:rsidP="00F20E75">
            <w:pPr>
              <w:pStyle w:val="TAL"/>
            </w:pPr>
            <w:r w:rsidRPr="000A0A5F">
              <w:rPr>
                <w:rFonts w:cs="Arial"/>
                <w:szCs w:val="18"/>
                <w:lang w:eastAsia="zh-CN"/>
              </w:rPr>
              <w:t>ENODEB</w:t>
            </w:r>
          </w:p>
        </w:tc>
        <w:tc>
          <w:tcPr>
            <w:tcW w:w="3596" w:type="pct"/>
            <w:tcMar>
              <w:top w:w="0" w:type="dxa"/>
              <w:left w:w="108" w:type="dxa"/>
              <w:bottom w:w="0" w:type="dxa"/>
              <w:right w:w="108" w:type="dxa"/>
            </w:tcMar>
          </w:tcPr>
          <w:p w:rsidR="00F20E75" w:rsidRPr="000A0A5F" w:rsidRDefault="00F20E75" w:rsidP="00F20E75">
            <w:pPr>
              <w:pStyle w:val="TAL"/>
            </w:pPr>
            <w:r w:rsidRPr="000A0A5F">
              <w:rPr>
                <w:rFonts w:cs="Arial"/>
                <w:szCs w:val="18"/>
                <w:lang w:eastAsia="zh-CN"/>
              </w:rPr>
              <w:t>The SCS/AS requests to be notified using eNodeB level location accuracy.</w:t>
            </w:r>
          </w:p>
        </w:tc>
        <w:tc>
          <w:tcPr>
            <w:tcW w:w="702" w:type="pct"/>
          </w:tcPr>
          <w:p w:rsidR="00F20E75" w:rsidRPr="000A0A5F" w:rsidRDefault="00F20E75" w:rsidP="00F20E75">
            <w:pPr>
              <w:pStyle w:val="TAL"/>
              <w:rPr>
                <w:rFonts w:cs="Arial"/>
                <w:szCs w:val="18"/>
                <w:lang w:eastAsia="zh-CN"/>
              </w:rPr>
            </w:pPr>
          </w:p>
        </w:tc>
      </w:tr>
      <w:tr w:rsidR="00F20E75" w:rsidRPr="000A0A5F" w:rsidTr="00F83684">
        <w:tc>
          <w:tcPr>
            <w:tcW w:w="702" w:type="pct"/>
            <w:tcMar>
              <w:top w:w="0" w:type="dxa"/>
              <w:left w:w="108" w:type="dxa"/>
              <w:bottom w:w="0" w:type="dxa"/>
              <w:right w:w="108" w:type="dxa"/>
            </w:tcMar>
          </w:tcPr>
          <w:p w:rsidR="00F20E75" w:rsidRPr="000A0A5F" w:rsidRDefault="00F20E75" w:rsidP="00F20E75">
            <w:pPr>
              <w:pStyle w:val="TAL"/>
              <w:rPr>
                <w:rFonts w:cs="Arial" w:hint="eastAsia"/>
                <w:szCs w:val="18"/>
                <w:lang w:eastAsia="zh-CN"/>
              </w:rPr>
            </w:pPr>
            <w:r w:rsidRPr="000A0A5F">
              <w:rPr>
                <w:rFonts w:cs="Arial"/>
                <w:szCs w:val="18"/>
                <w:lang w:eastAsia="zh-CN"/>
              </w:rPr>
              <w:t>TA_RA</w:t>
            </w:r>
          </w:p>
        </w:tc>
        <w:tc>
          <w:tcPr>
            <w:tcW w:w="3596" w:type="pct"/>
            <w:tcMar>
              <w:top w:w="0" w:type="dxa"/>
              <w:left w:w="108" w:type="dxa"/>
              <w:bottom w:w="0" w:type="dxa"/>
              <w:right w:w="108" w:type="dxa"/>
            </w:tcMar>
          </w:tcPr>
          <w:p w:rsidR="00F20E75" w:rsidRPr="000A0A5F" w:rsidRDefault="00F20E75" w:rsidP="00F20E75">
            <w:pPr>
              <w:pStyle w:val="TAL"/>
              <w:rPr>
                <w:rFonts w:cs="Arial"/>
                <w:szCs w:val="18"/>
                <w:lang w:eastAsia="zh-CN"/>
              </w:rPr>
            </w:pPr>
            <w:r w:rsidRPr="000A0A5F">
              <w:rPr>
                <w:rFonts w:cs="Arial"/>
                <w:szCs w:val="18"/>
                <w:lang w:eastAsia="zh-CN"/>
              </w:rPr>
              <w:t>The SCS/AS requests to be notified using TA/RA level location accuracy.</w:t>
            </w:r>
          </w:p>
        </w:tc>
        <w:tc>
          <w:tcPr>
            <w:tcW w:w="702" w:type="pct"/>
          </w:tcPr>
          <w:p w:rsidR="00F20E75" w:rsidRPr="000A0A5F" w:rsidRDefault="00F20E75" w:rsidP="00F20E75">
            <w:pPr>
              <w:pStyle w:val="TAL"/>
              <w:rPr>
                <w:rFonts w:cs="Arial"/>
                <w:szCs w:val="18"/>
                <w:lang w:eastAsia="zh-CN"/>
              </w:rPr>
            </w:pPr>
          </w:p>
        </w:tc>
      </w:tr>
      <w:tr w:rsidR="00F20E75" w:rsidRPr="000A0A5F" w:rsidTr="00F83684">
        <w:tc>
          <w:tcPr>
            <w:tcW w:w="702" w:type="pct"/>
            <w:tcMar>
              <w:top w:w="0" w:type="dxa"/>
              <w:left w:w="108" w:type="dxa"/>
              <w:bottom w:w="0" w:type="dxa"/>
              <w:right w:w="108" w:type="dxa"/>
            </w:tcMar>
          </w:tcPr>
          <w:p w:rsidR="00F20E75" w:rsidRPr="000A0A5F" w:rsidRDefault="00F20E75" w:rsidP="00F20E75">
            <w:pPr>
              <w:pStyle w:val="TAL"/>
              <w:rPr>
                <w:rFonts w:cs="Arial" w:hint="eastAsia"/>
                <w:szCs w:val="18"/>
                <w:lang w:eastAsia="zh-CN"/>
              </w:rPr>
            </w:pPr>
            <w:r w:rsidRPr="000A0A5F">
              <w:rPr>
                <w:rFonts w:cs="Arial" w:hint="eastAsia"/>
                <w:szCs w:val="18"/>
                <w:lang w:eastAsia="zh-CN"/>
              </w:rPr>
              <w:t>PLMN</w:t>
            </w:r>
          </w:p>
        </w:tc>
        <w:tc>
          <w:tcPr>
            <w:tcW w:w="3596" w:type="pct"/>
            <w:tcMar>
              <w:top w:w="0" w:type="dxa"/>
              <w:left w:w="108" w:type="dxa"/>
              <w:bottom w:w="0" w:type="dxa"/>
              <w:right w:w="108" w:type="dxa"/>
            </w:tcMar>
          </w:tcPr>
          <w:p w:rsidR="00F20E75" w:rsidRPr="000A0A5F" w:rsidRDefault="00F20E75" w:rsidP="00F20E75">
            <w:pPr>
              <w:pStyle w:val="TAL"/>
              <w:rPr>
                <w:rFonts w:cs="Arial"/>
                <w:szCs w:val="18"/>
                <w:lang w:eastAsia="zh-CN"/>
              </w:rPr>
            </w:pPr>
            <w:r w:rsidRPr="000A0A5F">
              <w:rPr>
                <w:rFonts w:cs="Arial"/>
                <w:szCs w:val="18"/>
                <w:lang w:eastAsia="zh-CN"/>
              </w:rPr>
              <w:t>The SCS/AS requests to be notified using PLMN level location accuracy.</w:t>
            </w:r>
          </w:p>
        </w:tc>
        <w:tc>
          <w:tcPr>
            <w:tcW w:w="702" w:type="pct"/>
          </w:tcPr>
          <w:p w:rsidR="00F20E75" w:rsidRPr="000A0A5F" w:rsidRDefault="00F20E75" w:rsidP="00F20E75">
            <w:pPr>
              <w:pStyle w:val="TAL"/>
              <w:rPr>
                <w:rFonts w:cs="Arial"/>
                <w:szCs w:val="18"/>
                <w:lang w:eastAsia="zh-CN"/>
              </w:rPr>
            </w:pPr>
          </w:p>
        </w:tc>
      </w:tr>
      <w:tr w:rsidR="00F20E75" w:rsidRPr="000A0A5F" w:rsidTr="00F83684">
        <w:tc>
          <w:tcPr>
            <w:tcW w:w="702" w:type="pct"/>
            <w:tcMar>
              <w:top w:w="0" w:type="dxa"/>
              <w:left w:w="108" w:type="dxa"/>
              <w:bottom w:w="0" w:type="dxa"/>
              <w:right w:w="108" w:type="dxa"/>
            </w:tcMar>
          </w:tcPr>
          <w:p w:rsidR="00F20E75" w:rsidRPr="000A0A5F" w:rsidRDefault="00F20E75" w:rsidP="00F20E75">
            <w:pPr>
              <w:pStyle w:val="TAL"/>
              <w:rPr>
                <w:rFonts w:cs="Arial" w:hint="eastAsia"/>
                <w:szCs w:val="18"/>
                <w:lang w:eastAsia="zh-CN"/>
              </w:rPr>
            </w:pPr>
            <w:r w:rsidRPr="000A0A5F">
              <w:rPr>
                <w:rFonts w:cs="Arial" w:hint="eastAsia"/>
                <w:szCs w:val="18"/>
                <w:lang w:eastAsia="zh-CN"/>
              </w:rPr>
              <w:t>TWAN</w:t>
            </w:r>
            <w:r w:rsidRPr="000A0A5F">
              <w:rPr>
                <w:rFonts w:cs="Arial"/>
                <w:szCs w:val="18"/>
                <w:lang w:eastAsia="zh-CN"/>
              </w:rPr>
              <w:t>_ID</w:t>
            </w:r>
          </w:p>
        </w:tc>
        <w:tc>
          <w:tcPr>
            <w:tcW w:w="3596" w:type="pct"/>
            <w:tcMar>
              <w:top w:w="0" w:type="dxa"/>
              <w:left w:w="108" w:type="dxa"/>
              <w:bottom w:w="0" w:type="dxa"/>
              <w:right w:w="108" w:type="dxa"/>
            </w:tcMar>
          </w:tcPr>
          <w:p w:rsidR="00F20E75" w:rsidRPr="000A0A5F" w:rsidRDefault="00F20E75" w:rsidP="00F20E75">
            <w:pPr>
              <w:pStyle w:val="TAL"/>
              <w:rPr>
                <w:rFonts w:cs="Arial"/>
                <w:szCs w:val="18"/>
                <w:lang w:eastAsia="zh-CN"/>
              </w:rPr>
            </w:pPr>
            <w:r w:rsidRPr="000A0A5F">
              <w:rPr>
                <w:rFonts w:cs="Arial"/>
                <w:szCs w:val="18"/>
                <w:lang w:eastAsia="zh-CN"/>
              </w:rPr>
              <w:t>The SCS/AS requests to be notified using TWAN identifier level location accuracy.</w:t>
            </w:r>
          </w:p>
        </w:tc>
        <w:tc>
          <w:tcPr>
            <w:tcW w:w="702" w:type="pct"/>
          </w:tcPr>
          <w:p w:rsidR="00F20E75" w:rsidRPr="000A0A5F" w:rsidRDefault="00F20E75" w:rsidP="00F20E75">
            <w:pPr>
              <w:pStyle w:val="TAL"/>
              <w:rPr>
                <w:rFonts w:cs="Arial"/>
                <w:szCs w:val="18"/>
                <w:lang w:eastAsia="zh-CN"/>
              </w:rPr>
            </w:pPr>
          </w:p>
        </w:tc>
      </w:tr>
      <w:tr w:rsidR="00F20E75" w:rsidRPr="000A0A5F" w:rsidTr="00F83684">
        <w:tc>
          <w:tcPr>
            <w:tcW w:w="702" w:type="pct"/>
            <w:tcMar>
              <w:top w:w="0" w:type="dxa"/>
              <w:left w:w="108" w:type="dxa"/>
              <w:bottom w:w="0" w:type="dxa"/>
              <w:right w:w="108" w:type="dxa"/>
            </w:tcMar>
          </w:tcPr>
          <w:p w:rsidR="00F20E75" w:rsidRPr="000A0A5F" w:rsidRDefault="00F20E75" w:rsidP="00F20E75">
            <w:pPr>
              <w:pStyle w:val="TAL"/>
              <w:rPr>
                <w:rFonts w:cs="Arial" w:hint="eastAsia"/>
                <w:szCs w:val="18"/>
                <w:lang w:eastAsia="zh-CN"/>
              </w:rPr>
            </w:pPr>
            <w:r w:rsidRPr="000A0A5F">
              <w:rPr>
                <w:rFonts w:cs="Arial" w:hint="eastAsia"/>
                <w:szCs w:val="18"/>
                <w:lang w:eastAsia="zh-CN"/>
              </w:rPr>
              <w:t>G</w:t>
            </w:r>
            <w:r w:rsidRPr="000A0A5F">
              <w:rPr>
                <w:rFonts w:cs="Arial"/>
                <w:szCs w:val="18"/>
                <w:lang w:eastAsia="zh-CN"/>
              </w:rPr>
              <w:t>EO_AREA</w:t>
            </w:r>
          </w:p>
        </w:tc>
        <w:tc>
          <w:tcPr>
            <w:tcW w:w="3596" w:type="pct"/>
            <w:tcMar>
              <w:top w:w="0" w:type="dxa"/>
              <w:left w:w="108" w:type="dxa"/>
              <w:bottom w:w="0" w:type="dxa"/>
              <w:right w:w="108" w:type="dxa"/>
            </w:tcMar>
          </w:tcPr>
          <w:p w:rsidR="00F20E75" w:rsidRPr="000A0A5F" w:rsidRDefault="00F20E75" w:rsidP="00F20E75">
            <w:pPr>
              <w:pStyle w:val="TAL"/>
              <w:rPr>
                <w:rFonts w:cs="Arial"/>
                <w:szCs w:val="18"/>
                <w:lang w:eastAsia="zh-CN"/>
              </w:rPr>
            </w:pPr>
            <w:r w:rsidRPr="000A0A5F">
              <w:rPr>
                <w:rFonts w:cs="Arial"/>
                <w:szCs w:val="18"/>
                <w:lang w:eastAsia="zh-CN"/>
              </w:rPr>
              <w:t>The SCS/AS requests to be notified using the geographical area accuracy.</w:t>
            </w:r>
          </w:p>
        </w:tc>
        <w:tc>
          <w:tcPr>
            <w:tcW w:w="702" w:type="pct"/>
          </w:tcPr>
          <w:p w:rsidR="00F20E75" w:rsidRPr="000A0A5F" w:rsidRDefault="00F20E75" w:rsidP="00F20E75">
            <w:pPr>
              <w:pStyle w:val="TAL"/>
              <w:rPr>
                <w:rFonts w:cs="Arial"/>
                <w:szCs w:val="18"/>
                <w:lang w:eastAsia="zh-CN"/>
              </w:rPr>
            </w:pPr>
          </w:p>
        </w:tc>
      </w:tr>
      <w:tr w:rsidR="00F20E75" w:rsidRPr="000A0A5F" w:rsidTr="00F83684">
        <w:tc>
          <w:tcPr>
            <w:tcW w:w="702" w:type="pct"/>
            <w:tcMar>
              <w:top w:w="0" w:type="dxa"/>
              <w:left w:w="108" w:type="dxa"/>
              <w:bottom w:w="0" w:type="dxa"/>
              <w:right w:w="108" w:type="dxa"/>
            </w:tcMar>
          </w:tcPr>
          <w:p w:rsidR="00F20E75" w:rsidRPr="000A0A5F" w:rsidRDefault="00F20E75" w:rsidP="00F20E75">
            <w:pPr>
              <w:pStyle w:val="TAL"/>
              <w:rPr>
                <w:rFonts w:cs="Arial" w:hint="eastAsia"/>
                <w:szCs w:val="18"/>
                <w:lang w:eastAsia="zh-CN"/>
              </w:rPr>
            </w:pPr>
            <w:r w:rsidRPr="000A0A5F">
              <w:rPr>
                <w:rFonts w:cs="Arial"/>
                <w:szCs w:val="18"/>
                <w:lang w:eastAsia="zh-CN"/>
              </w:rPr>
              <w:t>CIVIC_ADDR</w:t>
            </w:r>
          </w:p>
        </w:tc>
        <w:tc>
          <w:tcPr>
            <w:tcW w:w="3596" w:type="pct"/>
            <w:tcMar>
              <w:top w:w="0" w:type="dxa"/>
              <w:left w:w="108" w:type="dxa"/>
              <w:bottom w:w="0" w:type="dxa"/>
              <w:right w:w="108" w:type="dxa"/>
            </w:tcMar>
          </w:tcPr>
          <w:p w:rsidR="00F20E75" w:rsidRPr="000A0A5F" w:rsidRDefault="00F20E75" w:rsidP="00F20E75">
            <w:pPr>
              <w:pStyle w:val="TAL"/>
              <w:rPr>
                <w:rFonts w:cs="Arial"/>
                <w:szCs w:val="18"/>
                <w:lang w:eastAsia="zh-CN"/>
              </w:rPr>
            </w:pPr>
            <w:r w:rsidRPr="000A0A5F">
              <w:rPr>
                <w:rFonts w:cs="Arial"/>
                <w:szCs w:val="18"/>
                <w:lang w:eastAsia="zh-CN"/>
              </w:rPr>
              <w:t>The SCS/AS requests to be notified using the civic address accuracy.</w:t>
            </w:r>
          </w:p>
        </w:tc>
        <w:tc>
          <w:tcPr>
            <w:tcW w:w="702" w:type="pct"/>
          </w:tcPr>
          <w:p w:rsidR="00F20E75" w:rsidRPr="000A0A5F" w:rsidRDefault="00F20E75" w:rsidP="00F20E75">
            <w:pPr>
              <w:pStyle w:val="TAL"/>
              <w:rPr>
                <w:rFonts w:cs="Arial"/>
                <w:szCs w:val="18"/>
                <w:lang w:eastAsia="zh-CN"/>
              </w:rPr>
            </w:pPr>
            <w:r w:rsidRPr="000A0A5F">
              <w:rPr>
                <w:rFonts w:cs="Arial"/>
                <w:szCs w:val="18"/>
                <w:lang w:eastAsia="zh-CN"/>
              </w:rPr>
              <w:t>EDGEAPP</w:t>
            </w:r>
          </w:p>
        </w:tc>
      </w:tr>
      <w:tr w:rsidR="00F20E75" w:rsidRPr="000A0A5F" w:rsidTr="00F83684">
        <w:tc>
          <w:tcPr>
            <w:tcW w:w="5000" w:type="pct"/>
            <w:gridSpan w:val="3"/>
            <w:tcMar>
              <w:top w:w="0" w:type="dxa"/>
              <w:left w:w="108" w:type="dxa"/>
              <w:bottom w:w="0" w:type="dxa"/>
              <w:right w:w="108" w:type="dxa"/>
            </w:tcMar>
          </w:tcPr>
          <w:p w:rsidR="00F20E75" w:rsidRPr="000A0A5F" w:rsidRDefault="00F20E75" w:rsidP="00F20E75">
            <w:pPr>
              <w:pStyle w:val="TAN"/>
              <w:rPr>
                <w:rFonts w:cs="Arial"/>
                <w:szCs w:val="18"/>
                <w:lang w:eastAsia="zh-CN"/>
              </w:rPr>
            </w:pPr>
            <w:r w:rsidRPr="000A0A5F">
              <w:t>NOTE 1:</w:t>
            </w:r>
            <w:r w:rsidRPr="000A0A5F">
              <w:tab/>
              <w:t>Properties marked with a feature as defined in clause 5.3.4 are applicable as described in clause 5.2.7. If no features are indicated, the related property applies for all the features.</w:t>
            </w:r>
          </w:p>
        </w:tc>
      </w:tr>
    </w:tbl>
    <w:p w:rsidR="00CB0DD7" w:rsidRPr="000A0A5F" w:rsidRDefault="00CB0DD7"/>
    <w:p w:rsidR="00CB0DD7" w:rsidRPr="000A0A5F" w:rsidRDefault="00CB0DD7">
      <w:pPr>
        <w:pStyle w:val="Heading5"/>
        <w:spacing w:before="180"/>
      </w:pPr>
      <w:bookmarkStart w:id="2091" w:name="_Toc11247329"/>
      <w:bookmarkStart w:id="2092" w:name="_Toc27044451"/>
      <w:bookmarkStart w:id="2093" w:name="_Toc36033493"/>
      <w:bookmarkStart w:id="2094" w:name="_Toc45131625"/>
      <w:bookmarkStart w:id="2095" w:name="_Toc49775910"/>
      <w:bookmarkStart w:id="2096" w:name="_Toc51746830"/>
      <w:bookmarkStart w:id="2097" w:name="_Toc66360374"/>
      <w:bookmarkStart w:id="2098" w:name="_Toc68104879"/>
      <w:bookmarkStart w:id="2099" w:name="_Toc74755509"/>
      <w:bookmarkStart w:id="2100" w:name="_Toc105674374"/>
      <w:bookmarkStart w:id="2101" w:name="_Toc130502414"/>
      <w:bookmarkStart w:id="2102" w:name="_Toc153625201"/>
      <w:r w:rsidRPr="000A0A5F">
        <w:t>5.3.2.4.8</w:t>
      </w:r>
      <w:r w:rsidRPr="000A0A5F">
        <w:tab/>
        <w:t>Enumeration: PdnConnectionStatus</w:t>
      </w:r>
      <w:bookmarkEnd w:id="2091"/>
      <w:bookmarkEnd w:id="2092"/>
      <w:bookmarkEnd w:id="2093"/>
      <w:bookmarkEnd w:id="2094"/>
      <w:bookmarkEnd w:id="2095"/>
      <w:bookmarkEnd w:id="2096"/>
      <w:bookmarkEnd w:id="2097"/>
      <w:bookmarkEnd w:id="2098"/>
      <w:bookmarkEnd w:id="2099"/>
      <w:bookmarkEnd w:id="2100"/>
      <w:bookmarkEnd w:id="2101"/>
      <w:bookmarkEnd w:id="2102"/>
    </w:p>
    <w:p w:rsidR="00CB0DD7" w:rsidRPr="000A0A5F" w:rsidRDefault="00CB0DD7">
      <w:r w:rsidRPr="000A0A5F">
        <w:t xml:space="preserve">The enumeration PdnConnectionStatus represents the PDN connection status. It shall comply with the provisions defined in table 5.3.2.4.8-1. </w:t>
      </w:r>
    </w:p>
    <w:p w:rsidR="00CB0DD7" w:rsidRPr="000A0A5F" w:rsidRDefault="00CB0DD7">
      <w:pPr>
        <w:pStyle w:val="TH"/>
      </w:pPr>
      <w:r w:rsidRPr="000A0A5F">
        <w:t>Table 5.3.2.4.8-1: Enumeration PdnConnectionStatus</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334"/>
        <w:gridCol w:w="4728"/>
        <w:gridCol w:w="2695"/>
      </w:tblGrid>
      <w:tr w:rsidR="00CB0DD7" w:rsidRPr="000A0A5F" w:rsidTr="00F83684">
        <w:trPr>
          <w:trHeight w:val="280"/>
        </w:trPr>
        <w:tc>
          <w:tcPr>
            <w:tcW w:w="1196" w:type="pct"/>
            <w:shd w:val="clear" w:color="auto" w:fill="C0C0C0"/>
            <w:tcMar>
              <w:top w:w="0" w:type="dxa"/>
              <w:left w:w="108" w:type="dxa"/>
              <w:bottom w:w="0" w:type="dxa"/>
              <w:right w:w="108" w:type="dxa"/>
            </w:tcMar>
          </w:tcPr>
          <w:p w:rsidR="00CB0DD7" w:rsidRPr="000A0A5F" w:rsidRDefault="00CB0DD7">
            <w:pPr>
              <w:pStyle w:val="TAH"/>
            </w:pPr>
            <w:r w:rsidRPr="000A0A5F">
              <w:t>Enumeration value</w:t>
            </w:r>
          </w:p>
        </w:tc>
        <w:tc>
          <w:tcPr>
            <w:tcW w:w="2423" w:type="pct"/>
            <w:shd w:val="clear" w:color="auto" w:fill="C0C0C0"/>
            <w:tcMar>
              <w:top w:w="0" w:type="dxa"/>
              <w:left w:w="108" w:type="dxa"/>
              <w:bottom w:w="0" w:type="dxa"/>
              <w:right w:w="108" w:type="dxa"/>
            </w:tcMar>
          </w:tcPr>
          <w:p w:rsidR="00CB0DD7" w:rsidRPr="000A0A5F" w:rsidRDefault="00CB0DD7">
            <w:pPr>
              <w:pStyle w:val="TAH"/>
            </w:pPr>
            <w:r w:rsidRPr="000A0A5F">
              <w:t>Description</w:t>
            </w:r>
          </w:p>
        </w:tc>
        <w:tc>
          <w:tcPr>
            <w:tcW w:w="1381" w:type="pct"/>
            <w:shd w:val="clear" w:color="auto" w:fill="C0C0C0"/>
          </w:tcPr>
          <w:p w:rsidR="00CB0DD7" w:rsidRPr="000A0A5F" w:rsidRDefault="00CB0DD7">
            <w:pPr>
              <w:pStyle w:val="TAH"/>
            </w:pPr>
            <w:r w:rsidRPr="000A0A5F">
              <w:rPr>
                <w:rFonts w:eastAsia="Times New Roman" w:cs="Arial"/>
                <w:szCs w:val="18"/>
              </w:rPr>
              <w:t>Applicability (NOTE)</w:t>
            </w:r>
          </w:p>
        </w:tc>
      </w:tr>
      <w:tr w:rsidR="00CB0DD7" w:rsidRPr="000A0A5F" w:rsidTr="00F83684">
        <w:tc>
          <w:tcPr>
            <w:tcW w:w="1196" w:type="pct"/>
            <w:tcMar>
              <w:top w:w="0" w:type="dxa"/>
              <w:left w:w="108" w:type="dxa"/>
              <w:bottom w:w="0" w:type="dxa"/>
              <w:right w:w="108" w:type="dxa"/>
            </w:tcMar>
          </w:tcPr>
          <w:p w:rsidR="00CB0DD7" w:rsidRPr="000A0A5F" w:rsidRDefault="00CB0DD7">
            <w:pPr>
              <w:pStyle w:val="TAL"/>
            </w:pPr>
            <w:r w:rsidRPr="000A0A5F">
              <w:t>CREATED</w:t>
            </w:r>
          </w:p>
        </w:tc>
        <w:tc>
          <w:tcPr>
            <w:tcW w:w="2423" w:type="pct"/>
            <w:tcMar>
              <w:top w:w="0" w:type="dxa"/>
              <w:left w:w="108" w:type="dxa"/>
              <w:bottom w:w="0" w:type="dxa"/>
              <w:right w:w="108" w:type="dxa"/>
            </w:tcMar>
          </w:tcPr>
          <w:p w:rsidR="00CB0DD7" w:rsidRPr="000A0A5F" w:rsidRDefault="00CB0DD7">
            <w:pPr>
              <w:pStyle w:val="TAL"/>
            </w:pPr>
            <w:r w:rsidRPr="000A0A5F">
              <w:rPr>
                <w:rFonts w:cs="Arial"/>
                <w:szCs w:val="18"/>
                <w:lang w:eastAsia="zh-CN"/>
              </w:rPr>
              <w:t>The PDN connection is created.</w:t>
            </w:r>
          </w:p>
        </w:tc>
        <w:tc>
          <w:tcPr>
            <w:tcW w:w="1381" w:type="pct"/>
          </w:tcPr>
          <w:p w:rsidR="00CB0DD7" w:rsidRPr="000A0A5F" w:rsidRDefault="00CB0DD7">
            <w:pPr>
              <w:pStyle w:val="TAL"/>
              <w:rPr>
                <w:rFonts w:cs="Arial"/>
                <w:szCs w:val="18"/>
                <w:lang w:eastAsia="zh-CN"/>
              </w:rPr>
            </w:pPr>
            <w:r w:rsidRPr="000A0A5F">
              <w:rPr>
                <w:lang w:eastAsia="zh-CN"/>
              </w:rPr>
              <w:t>Pdn_connectivity_status</w:t>
            </w:r>
          </w:p>
        </w:tc>
      </w:tr>
      <w:tr w:rsidR="00CB0DD7" w:rsidRPr="000A0A5F" w:rsidTr="00F83684">
        <w:tc>
          <w:tcPr>
            <w:tcW w:w="1196" w:type="pct"/>
            <w:tcMar>
              <w:top w:w="0" w:type="dxa"/>
              <w:left w:w="108" w:type="dxa"/>
              <w:bottom w:w="0" w:type="dxa"/>
              <w:right w:w="108" w:type="dxa"/>
            </w:tcMar>
          </w:tcPr>
          <w:p w:rsidR="00CB0DD7" w:rsidRPr="000A0A5F" w:rsidRDefault="00CB0DD7">
            <w:pPr>
              <w:pStyle w:val="TAL"/>
            </w:pPr>
            <w:r w:rsidRPr="000A0A5F">
              <w:t>RELEASED</w:t>
            </w:r>
          </w:p>
        </w:tc>
        <w:tc>
          <w:tcPr>
            <w:tcW w:w="2423" w:type="pct"/>
            <w:tcMar>
              <w:top w:w="0" w:type="dxa"/>
              <w:left w:w="108" w:type="dxa"/>
              <w:bottom w:w="0" w:type="dxa"/>
              <w:right w:w="108" w:type="dxa"/>
            </w:tcMar>
          </w:tcPr>
          <w:p w:rsidR="00CB0DD7" w:rsidRPr="000A0A5F" w:rsidRDefault="00CB0DD7">
            <w:pPr>
              <w:pStyle w:val="TAL"/>
            </w:pPr>
            <w:r w:rsidRPr="000A0A5F">
              <w:rPr>
                <w:rFonts w:cs="Arial"/>
                <w:szCs w:val="18"/>
                <w:lang w:eastAsia="zh-CN"/>
              </w:rPr>
              <w:t>The PDN connection is released.</w:t>
            </w:r>
          </w:p>
        </w:tc>
        <w:tc>
          <w:tcPr>
            <w:tcW w:w="1381" w:type="pct"/>
          </w:tcPr>
          <w:p w:rsidR="00CB0DD7" w:rsidRPr="000A0A5F" w:rsidRDefault="00CB0DD7">
            <w:pPr>
              <w:pStyle w:val="TAL"/>
              <w:rPr>
                <w:rFonts w:cs="Arial"/>
                <w:szCs w:val="18"/>
                <w:lang w:eastAsia="zh-CN"/>
              </w:rPr>
            </w:pPr>
            <w:r w:rsidRPr="000A0A5F">
              <w:rPr>
                <w:lang w:eastAsia="zh-CN"/>
              </w:rPr>
              <w:t>Pdn_connectivity_status</w:t>
            </w:r>
          </w:p>
        </w:tc>
      </w:tr>
      <w:tr w:rsidR="00CB0DD7" w:rsidRPr="000A0A5F" w:rsidTr="00F83684">
        <w:trPr>
          <w:trHeight w:val="559"/>
        </w:trPr>
        <w:tc>
          <w:tcPr>
            <w:tcW w:w="5000" w:type="pct"/>
            <w:gridSpan w:val="3"/>
            <w:tcMar>
              <w:top w:w="0" w:type="dxa"/>
              <w:left w:w="108" w:type="dxa"/>
              <w:bottom w:w="0" w:type="dxa"/>
              <w:right w:w="108" w:type="dxa"/>
            </w:tcMar>
          </w:tcPr>
          <w:p w:rsidR="00CB0DD7" w:rsidRPr="000A0A5F" w:rsidRDefault="00CB0DD7">
            <w:pPr>
              <w:pStyle w:val="TAN"/>
            </w:pPr>
            <w:r w:rsidRPr="000A0A5F">
              <w:t>NOTE:</w:t>
            </w:r>
            <w:r w:rsidRPr="000A0A5F">
              <w:tab/>
              <w:t>Properties marked with a feature as defined in clause 5.3.4 are applicable as described in clause 5.2.7. If no features are indicated, the related property applies for all the features.</w:t>
            </w:r>
          </w:p>
        </w:tc>
      </w:tr>
    </w:tbl>
    <w:p w:rsidR="00CB0DD7" w:rsidRPr="000A0A5F" w:rsidRDefault="00CB0DD7"/>
    <w:p w:rsidR="00CB0DD7" w:rsidRPr="000A0A5F" w:rsidRDefault="00CB0DD7">
      <w:pPr>
        <w:pStyle w:val="Heading5"/>
        <w:spacing w:before="180"/>
      </w:pPr>
      <w:bookmarkStart w:id="2103" w:name="_Toc11247330"/>
      <w:bookmarkStart w:id="2104" w:name="_Toc27044452"/>
      <w:bookmarkStart w:id="2105" w:name="_Toc36033494"/>
      <w:bookmarkStart w:id="2106" w:name="_Toc45131626"/>
      <w:bookmarkStart w:id="2107" w:name="_Toc49775911"/>
      <w:bookmarkStart w:id="2108" w:name="_Toc51746831"/>
      <w:bookmarkStart w:id="2109" w:name="_Toc66360375"/>
      <w:bookmarkStart w:id="2110" w:name="_Toc68104880"/>
      <w:bookmarkStart w:id="2111" w:name="_Toc74755510"/>
      <w:bookmarkStart w:id="2112" w:name="_Toc105674375"/>
      <w:bookmarkStart w:id="2113" w:name="_Toc130502415"/>
      <w:bookmarkStart w:id="2114" w:name="_Toc153625202"/>
      <w:r w:rsidRPr="000A0A5F">
        <w:t>5.3.2.4.9</w:t>
      </w:r>
      <w:r w:rsidRPr="000A0A5F">
        <w:tab/>
        <w:t>Enumeration: PdnType</w:t>
      </w:r>
      <w:bookmarkEnd w:id="2103"/>
      <w:bookmarkEnd w:id="2104"/>
      <w:bookmarkEnd w:id="2105"/>
      <w:bookmarkEnd w:id="2106"/>
      <w:bookmarkEnd w:id="2107"/>
      <w:bookmarkEnd w:id="2108"/>
      <w:bookmarkEnd w:id="2109"/>
      <w:bookmarkEnd w:id="2110"/>
      <w:bookmarkEnd w:id="2111"/>
      <w:bookmarkEnd w:id="2112"/>
      <w:bookmarkEnd w:id="2113"/>
      <w:bookmarkEnd w:id="2114"/>
    </w:p>
    <w:p w:rsidR="00CB0DD7" w:rsidRPr="000A0A5F" w:rsidRDefault="00CB0DD7">
      <w:r w:rsidRPr="000A0A5F">
        <w:t xml:space="preserve">The enumeration PdnType represents the PDN connection type. It shall comply with the provisions defined in table 5.3.2.4.9-1. </w:t>
      </w:r>
    </w:p>
    <w:p w:rsidR="00CB0DD7" w:rsidRPr="000A0A5F" w:rsidRDefault="00CB0DD7">
      <w:pPr>
        <w:pStyle w:val="TH"/>
      </w:pPr>
      <w:r w:rsidRPr="000A0A5F">
        <w:t>Table 5.3.2.4.9-1: Enumeration PdnType</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334"/>
        <w:gridCol w:w="4728"/>
        <w:gridCol w:w="2695"/>
      </w:tblGrid>
      <w:tr w:rsidR="00CB0DD7" w:rsidRPr="000A0A5F" w:rsidTr="00F83684">
        <w:trPr>
          <w:trHeight w:val="280"/>
        </w:trPr>
        <w:tc>
          <w:tcPr>
            <w:tcW w:w="1196" w:type="pct"/>
            <w:shd w:val="clear" w:color="auto" w:fill="C0C0C0"/>
            <w:tcMar>
              <w:top w:w="0" w:type="dxa"/>
              <w:left w:w="108" w:type="dxa"/>
              <w:bottom w:w="0" w:type="dxa"/>
              <w:right w:w="108" w:type="dxa"/>
            </w:tcMar>
          </w:tcPr>
          <w:p w:rsidR="00CB0DD7" w:rsidRPr="000A0A5F" w:rsidRDefault="00CB0DD7">
            <w:pPr>
              <w:pStyle w:val="TAH"/>
            </w:pPr>
            <w:r w:rsidRPr="000A0A5F">
              <w:t>Enumeration value</w:t>
            </w:r>
          </w:p>
        </w:tc>
        <w:tc>
          <w:tcPr>
            <w:tcW w:w="2423" w:type="pct"/>
            <w:shd w:val="clear" w:color="auto" w:fill="C0C0C0"/>
            <w:tcMar>
              <w:top w:w="0" w:type="dxa"/>
              <w:left w:w="108" w:type="dxa"/>
              <w:bottom w:w="0" w:type="dxa"/>
              <w:right w:w="108" w:type="dxa"/>
            </w:tcMar>
          </w:tcPr>
          <w:p w:rsidR="00CB0DD7" w:rsidRPr="000A0A5F" w:rsidRDefault="00CB0DD7">
            <w:pPr>
              <w:pStyle w:val="TAH"/>
            </w:pPr>
            <w:r w:rsidRPr="000A0A5F">
              <w:t>Description</w:t>
            </w:r>
          </w:p>
        </w:tc>
        <w:tc>
          <w:tcPr>
            <w:tcW w:w="1381" w:type="pct"/>
            <w:shd w:val="clear" w:color="auto" w:fill="C0C0C0"/>
          </w:tcPr>
          <w:p w:rsidR="00CB0DD7" w:rsidRPr="000A0A5F" w:rsidRDefault="00CB0DD7">
            <w:pPr>
              <w:pStyle w:val="TAH"/>
            </w:pPr>
            <w:r w:rsidRPr="000A0A5F">
              <w:rPr>
                <w:rFonts w:eastAsia="Times New Roman" w:cs="Arial"/>
                <w:szCs w:val="18"/>
              </w:rPr>
              <w:t>Applicability (NOTE)</w:t>
            </w:r>
          </w:p>
        </w:tc>
      </w:tr>
      <w:tr w:rsidR="00CB0DD7" w:rsidRPr="000A0A5F" w:rsidTr="00F83684">
        <w:tc>
          <w:tcPr>
            <w:tcW w:w="1196" w:type="pct"/>
            <w:tcMar>
              <w:top w:w="0" w:type="dxa"/>
              <w:left w:w="108" w:type="dxa"/>
              <w:bottom w:w="0" w:type="dxa"/>
              <w:right w:w="108" w:type="dxa"/>
            </w:tcMar>
          </w:tcPr>
          <w:p w:rsidR="00CB0DD7" w:rsidRPr="000A0A5F" w:rsidRDefault="00CB0DD7">
            <w:pPr>
              <w:pStyle w:val="TAL"/>
            </w:pPr>
            <w:r w:rsidRPr="000A0A5F">
              <w:t>IPV4</w:t>
            </w:r>
          </w:p>
        </w:tc>
        <w:tc>
          <w:tcPr>
            <w:tcW w:w="2423" w:type="pct"/>
            <w:tcMar>
              <w:top w:w="0" w:type="dxa"/>
              <w:left w:w="108" w:type="dxa"/>
              <w:bottom w:w="0" w:type="dxa"/>
              <w:right w:w="108" w:type="dxa"/>
            </w:tcMar>
          </w:tcPr>
          <w:p w:rsidR="00CB0DD7" w:rsidRPr="000A0A5F" w:rsidRDefault="00CB0DD7">
            <w:pPr>
              <w:pStyle w:val="TAL"/>
            </w:pPr>
            <w:r w:rsidRPr="000A0A5F">
              <w:rPr>
                <w:rFonts w:cs="Arial"/>
                <w:szCs w:val="18"/>
                <w:lang w:eastAsia="zh-CN"/>
              </w:rPr>
              <w:t>PDN connection of IPv4 type</w:t>
            </w:r>
          </w:p>
        </w:tc>
        <w:tc>
          <w:tcPr>
            <w:tcW w:w="1381" w:type="pct"/>
          </w:tcPr>
          <w:p w:rsidR="00CB0DD7" w:rsidRPr="000A0A5F" w:rsidRDefault="00CB0DD7">
            <w:pPr>
              <w:pStyle w:val="TAL"/>
              <w:rPr>
                <w:rFonts w:cs="Arial"/>
                <w:szCs w:val="18"/>
                <w:lang w:eastAsia="zh-CN"/>
              </w:rPr>
            </w:pPr>
          </w:p>
        </w:tc>
      </w:tr>
      <w:tr w:rsidR="00CB0DD7" w:rsidRPr="000A0A5F" w:rsidTr="00F83684">
        <w:tc>
          <w:tcPr>
            <w:tcW w:w="1196" w:type="pct"/>
            <w:tcMar>
              <w:top w:w="0" w:type="dxa"/>
              <w:left w:w="108" w:type="dxa"/>
              <w:bottom w:w="0" w:type="dxa"/>
              <w:right w:w="108" w:type="dxa"/>
            </w:tcMar>
          </w:tcPr>
          <w:p w:rsidR="00CB0DD7" w:rsidRPr="000A0A5F" w:rsidRDefault="00CB0DD7">
            <w:pPr>
              <w:pStyle w:val="TAL"/>
            </w:pPr>
            <w:r w:rsidRPr="000A0A5F">
              <w:t>IPV6</w:t>
            </w:r>
          </w:p>
        </w:tc>
        <w:tc>
          <w:tcPr>
            <w:tcW w:w="2423" w:type="pct"/>
            <w:tcMar>
              <w:top w:w="0" w:type="dxa"/>
              <w:left w:w="108" w:type="dxa"/>
              <w:bottom w:w="0" w:type="dxa"/>
              <w:right w:w="108" w:type="dxa"/>
            </w:tcMar>
          </w:tcPr>
          <w:p w:rsidR="00CB0DD7" w:rsidRPr="000A0A5F" w:rsidRDefault="00CB0DD7">
            <w:pPr>
              <w:pStyle w:val="TAL"/>
              <w:rPr>
                <w:rFonts w:cs="Arial"/>
                <w:szCs w:val="18"/>
                <w:lang w:eastAsia="zh-CN"/>
              </w:rPr>
            </w:pPr>
            <w:r w:rsidRPr="000A0A5F">
              <w:rPr>
                <w:rFonts w:cs="Arial"/>
                <w:szCs w:val="18"/>
                <w:lang w:eastAsia="zh-CN"/>
              </w:rPr>
              <w:t>PDN connection of IPv6 type</w:t>
            </w:r>
          </w:p>
        </w:tc>
        <w:tc>
          <w:tcPr>
            <w:tcW w:w="1381" w:type="pct"/>
          </w:tcPr>
          <w:p w:rsidR="00CB0DD7" w:rsidRPr="000A0A5F" w:rsidRDefault="00CB0DD7">
            <w:pPr>
              <w:pStyle w:val="TAL"/>
              <w:rPr>
                <w:lang w:eastAsia="zh-CN"/>
              </w:rPr>
            </w:pPr>
          </w:p>
        </w:tc>
      </w:tr>
      <w:tr w:rsidR="00CB0DD7" w:rsidRPr="000A0A5F" w:rsidTr="00F83684">
        <w:tc>
          <w:tcPr>
            <w:tcW w:w="1196" w:type="pct"/>
            <w:tcMar>
              <w:top w:w="0" w:type="dxa"/>
              <w:left w:w="108" w:type="dxa"/>
              <w:bottom w:w="0" w:type="dxa"/>
              <w:right w:w="108" w:type="dxa"/>
            </w:tcMar>
          </w:tcPr>
          <w:p w:rsidR="00CB0DD7" w:rsidRPr="000A0A5F" w:rsidRDefault="00CB0DD7">
            <w:pPr>
              <w:pStyle w:val="TAL"/>
            </w:pPr>
            <w:r w:rsidRPr="000A0A5F">
              <w:t>IPV4V6</w:t>
            </w:r>
          </w:p>
        </w:tc>
        <w:tc>
          <w:tcPr>
            <w:tcW w:w="2423" w:type="pct"/>
            <w:tcMar>
              <w:top w:w="0" w:type="dxa"/>
              <w:left w:w="108" w:type="dxa"/>
              <w:bottom w:w="0" w:type="dxa"/>
              <w:right w:w="108" w:type="dxa"/>
            </w:tcMar>
          </w:tcPr>
          <w:p w:rsidR="00CB0DD7" w:rsidRPr="000A0A5F" w:rsidRDefault="00CB0DD7">
            <w:pPr>
              <w:pStyle w:val="TAL"/>
              <w:rPr>
                <w:rFonts w:cs="Arial"/>
                <w:szCs w:val="18"/>
                <w:lang w:eastAsia="zh-CN"/>
              </w:rPr>
            </w:pPr>
            <w:r w:rsidRPr="000A0A5F">
              <w:rPr>
                <w:rFonts w:cs="Arial"/>
                <w:szCs w:val="18"/>
                <w:lang w:eastAsia="zh-CN"/>
              </w:rPr>
              <w:t>PDN connection of IPv4v6 type</w:t>
            </w:r>
          </w:p>
        </w:tc>
        <w:tc>
          <w:tcPr>
            <w:tcW w:w="1381" w:type="pct"/>
          </w:tcPr>
          <w:p w:rsidR="00CB0DD7" w:rsidRPr="000A0A5F" w:rsidRDefault="00CB0DD7">
            <w:pPr>
              <w:pStyle w:val="TAL"/>
              <w:rPr>
                <w:lang w:eastAsia="zh-CN"/>
              </w:rPr>
            </w:pPr>
          </w:p>
        </w:tc>
      </w:tr>
      <w:tr w:rsidR="00CB0DD7" w:rsidRPr="000A0A5F" w:rsidTr="00F83684">
        <w:tc>
          <w:tcPr>
            <w:tcW w:w="1196" w:type="pct"/>
            <w:tcMar>
              <w:top w:w="0" w:type="dxa"/>
              <w:left w:w="108" w:type="dxa"/>
              <w:bottom w:w="0" w:type="dxa"/>
              <w:right w:w="108" w:type="dxa"/>
            </w:tcMar>
          </w:tcPr>
          <w:p w:rsidR="00CB0DD7" w:rsidRPr="000A0A5F" w:rsidRDefault="00CB0DD7">
            <w:pPr>
              <w:pStyle w:val="TAL"/>
            </w:pPr>
            <w:r w:rsidRPr="000A0A5F">
              <w:t>NON_IP</w:t>
            </w:r>
          </w:p>
        </w:tc>
        <w:tc>
          <w:tcPr>
            <w:tcW w:w="2423" w:type="pct"/>
            <w:tcMar>
              <w:top w:w="0" w:type="dxa"/>
              <w:left w:w="108" w:type="dxa"/>
              <w:bottom w:w="0" w:type="dxa"/>
              <w:right w:w="108" w:type="dxa"/>
            </w:tcMar>
          </w:tcPr>
          <w:p w:rsidR="00CB0DD7" w:rsidRPr="000A0A5F" w:rsidRDefault="00CB0DD7">
            <w:pPr>
              <w:pStyle w:val="TAL"/>
            </w:pPr>
            <w:r w:rsidRPr="000A0A5F">
              <w:rPr>
                <w:rFonts w:cs="Arial"/>
                <w:szCs w:val="18"/>
                <w:lang w:eastAsia="zh-CN"/>
              </w:rPr>
              <w:t>PDN connection of non-IP type</w:t>
            </w:r>
          </w:p>
        </w:tc>
        <w:tc>
          <w:tcPr>
            <w:tcW w:w="1381" w:type="pct"/>
          </w:tcPr>
          <w:p w:rsidR="00CB0DD7" w:rsidRPr="000A0A5F" w:rsidRDefault="00CB0DD7">
            <w:pPr>
              <w:pStyle w:val="TAL"/>
              <w:rPr>
                <w:rFonts w:cs="Arial"/>
                <w:szCs w:val="18"/>
                <w:lang w:eastAsia="zh-CN"/>
              </w:rPr>
            </w:pPr>
          </w:p>
        </w:tc>
      </w:tr>
      <w:tr w:rsidR="00CB0DD7" w:rsidRPr="000A0A5F" w:rsidTr="00F83684">
        <w:tc>
          <w:tcPr>
            <w:tcW w:w="1196" w:type="pct"/>
            <w:tcMar>
              <w:top w:w="0" w:type="dxa"/>
              <w:left w:w="108" w:type="dxa"/>
              <w:bottom w:w="0" w:type="dxa"/>
              <w:right w:w="108" w:type="dxa"/>
            </w:tcMar>
          </w:tcPr>
          <w:p w:rsidR="00CB0DD7" w:rsidRPr="000A0A5F" w:rsidRDefault="00CB0DD7">
            <w:pPr>
              <w:pStyle w:val="TAL"/>
            </w:pPr>
            <w:r w:rsidRPr="000A0A5F">
              <w:t>ETHERNET</w:t>
            </w:r>
          </w:p>
        </w:tc>
        <w:tc>
          <w:tcPr>
            <w:tcW w:w="2423" w:type="pct"/>
            <w:tcMar>
              <w:top w:w="0" w:type="dxa"/>
              <w:left w:w="108" w:type="dxa"/>
              <w:bottom w:w="0" w:type="dxa"/>
              <w:right w:w="108" w:type="dxa"/>
            </w:tcMar>
          </w:tcPr>
          <w:p w:rsidR="00CB0DD7" w:rsidRPr="000A0A5F" w:rsidRDefault="00CB0DD7">
            <w:pPr>
              <w:pStyle w:val="TAL"/>
              <w:rPr>
                <w:rFonts w:cs="Arial"/>
                <w:szCs w:val="18"/>
                <w:lang w:eastAsia="zh-CN"/>
              </w:rPr>
            </w:pPr>
            <w:r w:rsidRPr="000A0A5F">
              <w:rPr>
                <w:rFonts w:cs="Arial"/>
                <w:szCs w:val="18"/>
                <w:lang w:eastAsia="zh-CN"/>
              </w:rPr>
              <w:t>PDN connection of Ethernet type</w:t>
            </w:r>
          </w:p>
        </w:tc>
        <w:tc>
          <w:tcPr>
            <w:tcW w:w="1381" w:type="pct"/>
          </w:tcPr>
          <w:p w:rsidR="00CB0DD7" w:rsidRPr="000A0A5F" w:rsidRDefault="00CB0DD7">
            <w:pPr>
              <w:pStyle w:val="TAL"/>
              <w:rPr>
                <w:lang w:eastAsia="zh-CN"/>
              </w:rPr>
            </w:pPr>
          </w:p>
        </w:tc>
      </w:tr>
      <w:tr w:rsidR="00CB0DD7" w:rsidRPr="000A0A5F" w:rsidTr="00F83684">
        <w:trPr>
          <w:trHeight w:val="559"/>
        </w:trPr>
        <w:tc>
          <w:tcPr>
            <w:tcW w:w="5000" w:type="pct"/>
            <w:gridSpan w:val="3"/>
            <w:tcMar>
              <w:top w:w="0" w:type="dxa"/>
              <w:left w:w="108" w:type="dxa"/>
              <w:bottom w:w="0" w:type="dxa"/>
              <w:right w:w="108" w:type="dxa"/>
            </w:tcMar>
          </w:tcPr>
          <w:p w:rsidR="00CB0DD7" w:rsidRPr="000A0A5F" w:rsidRDefault="00CB0DD7">
            <w:pPr>
              <w:pStyle w:val="TAN"/>
            </w:pPr>
            <w:r w:rsidRPr="000A0A5F">
              <w:t>NOTE:</w:t>
            </w:r>
            <w:r w:rsidRPr="000A0A5F">
              <w:tab/>
              <w:t>Properties marked with a feature as defined in clause 5.3.4 are applicable as described in clause 5.2.7. If no features are indicated, the related property applies for all the features.</w:t>
            </w:r>
          </w:p>
        </w:tc>
      </w:tr>
    </w:tbl>
    <w:p w:rsidR="00CB0DD7" w:rsidRPr="000A0A5F" w:rsidRDefault="00CB0DD7"/>
    <w:p w:rsidR="00CB0DD7" w:rsidRPr="000A0A5F" w:rsidRDefault="00CB0DD7">
      <w:pPr>
        <w:pStyle w:val="Heading5"/>
        <w:spacing w:before="180"/>
      </w:pPr>
      <w:bookmarkStart w:id="2115" w:name="_Toc11247331"/>
      <w:bookmarkStart w:id="2116" w:name="_Toc27044453"/>
      <w:bookmarkStart w:id="2117" w:name="_Toc36033495"/>
      <w:bookmarkStart w:id="2118" w:name="_Toc45131627"/>
      <w:bookmarkStart w:id="2119" w:name="_Toc49775912"/>
      <w:bookmarkStart w:id="2120" w:name="_Toc51746832"/>
      <w:bookmarkStart w:id="2121" w:name="_Toc66360376"/>
      <w:bookmarkStart w:id="2122" w:name="_Toc68104881"/>
      <w:bookmarkStart w:id="2123" w:name="_Toc74755511"/>
      <w:bookmarkStart w:id="2124" w:name="_Toc105674376"/>
      <w:bookmarkStart w:id="2125" w:name="_Toc130502416"/>
      <w:bookmarkStart w:id="2126" w:name="_Toc153625203"/>
      <w:r w:rsidRPr="000A0A5F">
        <w:t>5.3.2.4.10</w:t>
      </w:r>
      <w:r w:rsidRPr="000A0A5F">
        <w:tab/>
        <w:t>Enumeration: InterfaceIndication</w:t>
      </w:r>
      <w:bookmarkEnd w:id="2115"/>
      <w:bookmarkEnd w:id="2116"/>
      <w:bookmarkEnd w:id="2117"/>
      <w:bookmarkEnd w:id="2118"/>
      <w:bookmarkEnd w:id="2119"/>
      <w:bookmarkEnd w:id="2120"/>
      <w:bookmarkEnd w:id="2121"/>
      <w:bookmarkEnd w:id="2122"/>
      <w:bookmarkEnd w:id="2123"/>
      <w:bookmarkEnd w:id="2124"/>
      <w:bookmarkEnd w:id="2125"/>
      <w:bookmarkEnd w:id="2126"/>
    </w:p>
    <w:p w:rsidR="00CB0DD7" w:rsidRPr="000A0A5F" w:rsidRDefault="00CB0DD7">
      <w:r w:rsidRPr="000A0A5F">
        <w:t xml:space="preserve">The enumeration InterfaceIndication represents the network entity used for data delivery towards the SCS/AS. It shall comply with the provisions defined in table 5.3.2.4.10-1. </w:t>
      </w:r>
    </w:p>
    <w:p w:rsidR="00CB0DD7" w:rsidRPr="000A0A5F" w:rsidRDefault="00CB0DD7">
      <w:pPr>
        <w:pStyle w:val="TH"/>
      </w:pPr>
      <w:r w:rsidRPr="000A0A5F">
        <w:t>Table 5.3.2.4.10-1: Enumeration InterfaceIndication</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334"/>
        <w:gridCol w:w="4728"/>
        <w:gridCol w:w="2695"/>
      </w:tblGrid>
      <w:tr w:rsidR="00CB0DD7" w:rsidRPr="000A0A5F" w:rsidTr="00F83684">
        <w:trPr>
          <w:trHeight w:val="280"/>
        </w:trPr>
        <w:tc>
          <w:tcPr>
            <w:tcW w:w="1196" w:type="pct"/>
            <w:shd w:val="clear" w:color="auto" w:fill="C0C0C0"/>
            <w:tcMar>
              <w:top w:w="0" w:type="dxa"/>
              <w:left w:w="108" w:type="dxa"/>
              <w:bottom w:w="0" w:type="dxa"/>
              <w:right w:w="108" w:type="dxa"/>
            </w:tcMar>
          </w:tcPr>
          <w:p w:rsidR="00CB0DD7" w:rsidRPr="000A0A5F" w:rsidRDefault="00CB0DD7">
            <w:pPr>
              <w:pStyle w:val="TAH"/>
            </w:pPr>
            <w:r w:rsidRPr="000A0A5F">
              <w:t>Enumeration value</w:t>
            </w:r>
          </w:p>
        </w:tc>
        <w:tc>
          <w:tcPr>
            <w:tcW w:w="2423" w:type="pct"/>
            <w:shd w:val="clear" w:color="auto" w:fill="C0C0C0"/>
            <w:tcMar>
              <w:top w:w="0" w:type="dxa"/>
              <w:left w:w="108" w:type="dxa"/>
              <w:bottom w:w="0" w:type="dxa"/>
              <w:right w:w="108" w:type="dxa"/>
            </w:tcMar>
          </w:tcPr>
          <w:p w:rsidR="00CB0DD7" w:rsidRPr="000A0A5F" w:rsidRDefault="00CB0DD7">
            <w:pPr>
              <w:pStyle w:val="TAH"/>
            </w:pPr>
            <w:r w:rsidRPr="000A0A5F">
              <w:t>Description</w:t>
            </w:r>
          </w:p>
        </w:tc>
        <w:tc>
          <w:tcPr>
            <w:tcW w:w="1381" w:type="pct"/>
            <w:shd w:val="clear" w:color="auto" w:fill="C0C0C0"/>
          </w:tcPr>
          <w:p w:rsidR="00CB0DD7" w:rsidRPr="000A0A5F" w:rsidRDefault="00CB0DD7">
            <w:pPr>
              <w:pStyle w:val="TAH"/>
            </w:pPr>
            <w:r w:rsidRPr="000A0A5F">
              <w:rPr>
                <w:rFonts w:eastAsia="Times New Roman" w:cs="Arial"/>
                <w:szCs w:val="18"/>
              </w:rPr>
              <w:t>Applicability (NOTE)</w:t>
            </w:r>
          </w:p>
        </w:tc>
      </w:tr>
      <w:tr w:rsidR="00CB0DD7" w:rsidRPr="000A0A5F" w:rsidTr="00F83684">
        <w:tc>
          <w:tcPr>
            <w:tcW w:w="1196" w:type="pct"/>
            <w:tcMar>
              <w:top w:w="0" w:type="dxa"/>
              <w:left w:w="108" w:type="dxa"/>
              <w:bottom w:w="0" w:type="dxa"/>
              <w:right w:w="108" w:type="dxa"/>
            </w:tcMar>
          </w:tcPr>
          <w:p w:rsidR="00CB0DD7" w:rsidRPr="000A0A5F" w:rsidRDefault="00CB0DD7">
            <w:pPr>
              <w:pStyle w:val="TAL"/>
            </w:pPr>
            <w:r w:rsidRPr="000A0A5F">
              <w:t>EXPOSURE_FUNCTION</w:t>
            </w:r>
          </w:p>
        </w:tc>
        <w:tc>
          <w:tcPr>
            <w:tcW w:w="2423" w:type="pct"/>
            <w:tcMar>
              <w:top w:w="0" w:type="dxa"/>
              <w:left w:w="108" w:type="dxa"/>
              <w:bottom w:w="0" w:type="dxa"/>
              <w:right w:w="108" w:type="dxa"/>
            </w:tcMar>
          </w:tcPr>
          <w:p w:rsidR="00CB0DD7" w:rsidRPr="000A0A5F" w:rsidRDefault="00CB0DD7">
            <w:pPr>
              <w:pStyle w:val="TAL"/>
            </w:pPr>
            <w:r w:rsidRPr="000A0A5F">
              <w:rPr>
                <w:rFonts w:cs="Arial"/>
                <w:szCs w:val="18"/>
                <w:lang w:eastAsia="zh-CN"/>
              </w:rPr>
              <w:t>SCEF is used for the PDN connection towards the SCS/AS.</w:t>
            </w:r>
          </w:p>
        </w:tc>
        <w:tc>
          <w:tcPr>
            <w:tcW w:w="1381" w:type="pct"/>
          </w:tcPr>
          <w:p w:rsidR="00CB0DD7" w:rsidRPr="000A0A5F" w:rsidRDefault="00CB0DD7">
            <w:pPr>
              <w:pStyle w:val="TAL"/>
              <w:rPr>
                <w:rFonts w:cs="Arial"/>
                <w:szCs w:val="18"/>
                <w:lang w:eastAsia="zh-CN"/>
              </w:rPr>
            </w:pPr>
            <w:r w:rsidRPr="000A0A5F">
              <w:rPr>
                <w:lang w:eastAsia="zh-CN"/>
              </w:rPr>
              <w:t>Pdn_connectivity_status</w:t>
            </w:r>
          </w:p>
        </w:tc>
      </w:tr>
      <w:tr w:rsidR="00CB0DD7" w:rsidRPr="000A0A5F" w:rsidTr="00F83684">
        <w:tc>
          <w:tcPr>
            <w:tcW w:w="1196" w:type="pct"/>
            <w:tcMar>
              <w:top w:w="0" w:type="dxa"/>
              <w:left w:w="108" w:type="dxa"/>
              <w:bottom w:w="0" w:type="dxa"/>
              <w:right w:w="108" w:type="dxa"/>
            </w:tcMar>
          </w:tcPr>
          <w:p w:rsidR="00CB0DD7" w:rsidRPr="000A0A5F" w:rsidRDefault="00CB0DD7">
            <w:pPr>
              <w:pStyle w:val="TAL"/>
            </w:pPr>
            <w:r w:rsidRPr="000A0A5F">
              <w:t>PDN_GATEWAY</w:t>
            </w:r>
          </w:p>
        </w:tc>
        <w:tc>
          <w:tcPr>
            <w:tcW w:w="2423" w:type="pct"/>
            <w:tcMar>
              <w:top w:w="0" w:type="dxa"/>
              <w:left w:w="108" w:type="dxa"/>
              <w:bottom w:w="0" w:type="dxa"/>
              <w:right w:w="108" w:type="dxa"/>
            </w:tcMar>
          </w:tcPr>
          <w:p w:rsidR="00CB0DD7" w:rsidRPr="000A0A5F" w:rsidRDefault="00CB0DD7">
            <w:pPr>
              <w:pStyle w:val="TAL"/>
            </w:pPr>
            <w:r w:rsidRPr="000A0A5F">
              <w:rPr>
                <w:rFonts w:cs="Arial"/>
                <w:szCs w:val="18"/>
                <w:lang w:eastAsia="zh-CN"/>
              </w:rPr>
              <w:t>PDN gateway is used for the PDN connection towards the SCS/AS.</w:t>
            </w:r>
          </w:p>
        </w:tc>
        <w:tc>
          <w:tcPr>
            <w:tcW w:w="1381" w:type="pct"/>
          </w:tcPr>
          <w:p w:rsidR="00CB0DD7" w:rsidRPr="000A0A5F" w:rsidRDefault="00CB0DD7">
            <w:pPr>
              <w:pStyle w:val="TAL"/>
              <w:rPr>
                <w:rFonts w:cs="Arial"/>
                <w:szCs w:val="18"/>
                <w:lang w:eastAsia="zh-CN"/>
              </w:rPr>
            </w:pPr>
            <w:r w:rsidRPr="000A0A5F">
              <w:rPr>
                <w:lang w:eastAsia="zh-CN"/>
              </w:rPr>
              <w:t>Pdn_connectivity_status</w:t>
            </w:r>
          </w:p>
        </w:tc>
      </w:tr>
      <w:tr w:rsidR="00CB0DD7" w:rsidRPr="000A0A5F" w:rsidTr="00F83684">
        <w:trPr>
          <w:trHeight w:val="559"/>
        </w:trPr>
        <w:tc>
          <w:tcPr>
            <w:tcW w:w="5000" w:type="pct"/>
            <w:gridSpan w:val="3"/>
            <w:tcMar>
              <w:top w:w="0" w:type="dxa"/>
              <w:left w:w="108" w:type="dxa"/>
              <w:bottom w:w="0" w:type="dxa"/>
              <w:right w:w="108" w:type="dxa"/>
            </w:tcMar>
          </w:tcPr>
          <w:p w:rsidR="00CB0DD7" w:rsidRPr="000A0A5F" w:rsidRDefault="00CB0DD7">
            <w:pPr>
              <w:pStyle w:val="TAN"/>
            </w:pPr>
            <w:r w:rsidRPr="000A0A5F">
              <w:t>NOTE:</w:t>
            </w:r>
            <w:r w:rsidRPr="000A0A5F">
              <w:tab/>
              <w:t>Properties marked with a feature as defined in clause 5.3.4 are applicable as described in clause 5.2.7. If no features are indicated, the related property applies for all the features.</w:t>
            </w:r>
          </w:p>
        </w:tc>
      </w:tr>
    </w:tbl>
    <w:p w:rsidR="00CB0DD7" w:rsidRPr="000A0A5F" w:rsidRDefault="00CB0DD7"/>
    <w:p w:rsidR="00C520FB" w:rsidRPr="000A0A5F" w:rsidRDefault="00C520FB" w:rsidP="00C520FB">
      <w:pPr>
        <w:pStyle w:val="Heading5"/>
        <w:spacing w:before="180"/>
      </w:pPr>
      <w:bookmarkStart w:id="2127" w:name="_Toc66360377"/>
      <w:bookmarkStart w:id="2128" w:name="_Toc68104882"/>
      <w:bookmarkStart w:id="2129" w:name="_Toc74755512"/>
      <w:bookmarkStart w:id="2130" w:name="_Toc105674377"/>
      <w:bookmarkStart w:id="2131" w:name="_Toc130502417"/>
      <w:bookmarkStart w:id="2132" w:name="_Toc138678802"/>
      <w:bookmarkStart w:id="2133" w:name="_Toc153625204"/>
      <w:r w:rsidRPr="000A0A5F">
        <w:t>5.3.2.4.11</w:t>
      </w:r>
      <w:r w:rsidRPr="000A0A5F">
        <w:tab/>
        <w:t>Enumeration: LocationFailureCause</w:t>
      </w:r>
      <w:bookmarkEnd w:id="2127"/>
      <w:bookmarkEnd w:id="2128"/>
      <w:bookmarkEnd w:id="2129"/>
      <w:bookmarkEnd w:id="2130"/>
      <w:bookmarkEnd w:id="2131"/>
      <w:bookmarkEnd w:id="2132"/>
      <w:bookmarkEnd w:id="2133"/>
    </w:p>
    <w:p w:rsidR="00F94964" w:rsidRPr="000A0A5F" w:rsidRDefault="00C520FB" w:rsidP="00F94964">
      <w:pPr>
        <w:pStyle w:val="TH"/>
      </w:pPr>
      <w:r w:rsidRPr="000A0A5F">
        <w:t>The enumeration LocationFailureCause represents the cause of location positioning failure. It shall comply with the provisions defined in table 5.3.2.4.11-1.</w:t>
      </w:r>
      <w:bookmarkStart w:id="2134" w:name="_Toc11247332"/>
      <w:bookmarkStart w:id="2135" w:name="_Toc27044454"/>
      <w:bookmarkStart w:id="2136" w:name="_Toc36033496"/>
      <w:bookmarkStart w:id="2137" w:name="_Toc45131628"/>
      <w:bookmarkStart w:id="2138" w:name="_Toc49775913"/>
      <w:bookmarkStart w:id="2139" w:name="_Toc51746833"/>
      <w:r w:rsidR="00F94964" w:rsidRPr="000A0A5F">
        <w:t>Table 5.3.2.4.11-1: Enumeration LocationFailureCause</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3515"/>
        <w:gridCol w:w="4195"/>
        <w:gridCol w:w="2047"/>
      </w:tblGrid>
      <w:tr w:rsidR="00F94964" w:rsidRPr="000A0A5F" w:rsidTr="00F85004">
        <w:trPr>
          <w:trHeight w:val="280"/>
        </w:trPr>
        <w:tc>
          <w:tcPr>
            <w:tcW w:w="1255" w:type="pct"/>
            <w:shd w:val="clear" w:color="auto" w:fill="C0C0C0"/>
            <w:tcMar>
              <w:top w:w="0" w:type="dxa"/>
              <w:left w:w="108" w:type="dxa"/>
              <w:bottom w:w="0" w:type="dxa"/>
              <w:right w:w="108" w:type="dxa"/>
            </w:tcMar>
            <w:hideMark/>
          </w:tcPr>
          <w:p w:rsidR="00F94964" w:rsidRPr="000A0A5F" w:rsidRDefault="00F94964" w:rsidP="00F85004">
            <w:pPr>
              <w:pStyle w:val="TAH"/>
            </w:pPr>
            <w:r w:rsidRPr="000A0A5F">
              <w:t>Enumeration value</w:t>
            </w:r>
          </w:p>
        </w:tc>
        <w:tc>
          <w:tcPr>
            <w:tcW w:w="2423" w:type="pct"/>
            <w:shd w:val="clear" w:color="auto" w:fill="C0C0C0"/>
            <w:tcMar>
              <w:top w:w="0" w:type="dxa"/>
              <w:left w:w="108" w:type="dxa"/>
              <w:bottom w:w="0" w:type="dxa"/>
              <w:right w:w="108" w:type="dxa"/>
            </w:tcMar>
            <w:hideMark/>
          </w:tcPr>
          <w:p w:rsidR="00F94964" w:rsidRPr="000A0A5F" w:rsidRDefault="00F94964" w:rsidP="00F85004">
            <w:pPr>
              <w:pStyle w:val="TAH"/>
            </w:pPr>
            <w:r w:rsidRPr="000A0A5F">
              <w:t>Description</w:t>
            </w:r>
          </w:p>
        </w:tc>
        <w:tc>
          <w:tcPr>
            <w:tcW w:w="1322" w:type="pct"/>
            <w:shd w:val="clear" w:color="auto" w:fill="C0C0C0"/>
            <w:hideMark/>
          </w:tcPr>
          <w:p w:rsidR="00F94964" w:rsidRPr="000A0A5F" w:rsidRDefault="00F94964" w:rsidP="00F85004">
            <w:pPr>
              <w:pStyle w:val="TAH"/>
            </w:pPr>
            <w:r w:rsidRPr="000A0A5F">
              <w:rPr>
                <w:rFonts w:cs="Arial"/>
                <w:szCs w:val="18"/>
              </w:rPr>
              <w:t>Applicability</w:t>
            </w:r>
          </w:p>
        </w:tc>
      </w:tr>
      <w:tr w:rsidR="00F94964" w:rsidRPr="000A0A5F" w:rsidTr="00F85004">
        <w:tc>
          <w:tcPr>
            <w:tcW w:w="1255" w:type="pct"/>
            <w:tcMar>
              <w:top w:w="0" w:type="dxa"/>
              <w:left w:w="108" w:type="dxa"/>
              <w:bottom w:w="0" w:type="dxa"/>
              <w:right w:w="108" w:type="dxa"/>
            </w:tcMar>
            <w:hideMark/>
          </w:tcPr>
          <w:p w:rsidR="00F94964" w:rsidRPr="000A0A5F" w:rsidRDefault="00F94964" w:rsidP="00F85004">
            <w:pPr>
              <w:pStyle w:val="TAL"/>
            </w:pPr>
            <w:r w:rsidRPr="000A0A5F">
              <w:t>"POSITIONING_DENIED"</w:t>
            </w:r>
          </w:p>
        </w:tc>
        <w:tc>
          <w:tcPr>
            <w:tcW w:w="2423" w:type="pct"/>
            <w:tcMar>
              <w:top w:w="0" w:type="dxa"/>
              <w:left w:w="108" w:type="dxa"/>
              <w:bottom w:w="0" w:type="dxa"/>
              <w:right w:w="108" w:type="dxa"/>
            </w:tcMar>
            <w:hideMark/>
          </w:tcPr>
          <w:p w:rsidR="00F94964" w:rsidRPr="000A0A5F" w:rsidRDefault="00F94964" w:rsidP="00F85004">
            <w:pPr>
              <w:pStyle w:val="TAL"/>
              <w:rPr>
                <w:rFonts w:cs="Arial"/>
                <w:szCs w:val="18"/>
                <w:lang w:eastAsia="zh-CN"/>
              </w:rPr>
            </w:pPr>
            <w:r w:rsidRPr="000A0A5F">
              <w:rPr>
                <w:rFonts w:cs="Arial"/>
                <w:szCs w:val="18"/>
                <w:lang w:eastAsia="zh-CN"/>
              </w:rPr>
              <w:t>Positioning is denied.</w:t>
            </w:r>
          </w:p>
        </w:tc>
        <w:tc>
          <w:tcPr>
            <w:tcW w:w="1322" w:type="pct"/>
            <w:hideMark/>
          </w:tcPr>
          <w:p w:rsidR="00F94964" w:rsidRPr="000A0A5F" w:rsidRDefault="00F94964" w:rsidP="00F85004">
            <w:pPr>
              <w:pStyle w:val="TAL"/>
              <w:rPr>
                <w:lang w:eastAsia="zh-CN"/>
              </w:rPr>
            </w:pPr>
          </w:p>
        </w:tc>
      </w:tr>
      <w:tr w:rsidR="00F94964" w:rsidRPr="000A0A5F" w:rsidTr="00F85004">
        <w:tc>
          <w:tcPr>
            <w:tcW w:w="1255" w:type="pct"/>
            <w:tcMar>
              <w:top w:w="0" w:type="dxa"/>
              <w:left w:w="108" w:type="dxa"/>
              <w:bottom w:w="0" w:type="dxa"/>
              <w:right w:w="108" w:type="dxa"/>
            </w:tcMar>
            <w:hideMark/>
          </w:tcPr>
          <w:p w:rsidR="00F94964" w:rsidRPr="000A0A5F" w:rsidRDefault="00F94964" w:rsidP="00F85004">
            <w:pPr>
              <w:pStyle w:val="TAL"/>
            </w:pPr>
            <w:r w:rsidRPr="000A0A5F">
              <w:t>"UNSUPPORTED_BY_UE"</w:t>
            </w:r>
          </w:p>
        </w:tc>
        <w:tc>
          <w:tcPr>
            <w:tcW w:w="2423" w:type="pct"/>
            <w:tcMar>
              <w:top w:w="0" w:type="dxa"/>
              <w:left w:w="108" w:type="dxa"/>
              <w:bottom w:w="0" w:type="dxa"/>
              <w:right w:w="108" w:type="dxa"/>
            </w:tcMar>
            <w:hideMark/>
          </w:tcPr>
          <w:p w:rsidR="00F94964" w:rsidRPr="000A0A5F" w:rsidRDefault="00F94964" w:rsidP="00F85004">
            <w:pPr>
              <w:pStyle w:val="TAL"/>
              <w:rPr>
                <w:rFonts w:cs="Arial"/>
                <w:szCs w:val="18"/>
                <w:lang w:eastAsia="zh-CN"/>
              </w:rPr>
            </w:pPr>
            <w:r w:rsidRPr="000A0A5F">
              <w:rPr>
                <w:rFonts w:cs="Arial"/>
                <w:szCs w:val="18"/>
                <w:lang w:eastAsia="zh-CN"/>
              </w:rPr>
              <w:t>Positioning is not supported by UE.</w:t>
            </w:r>
          </w:p>
        </w:tc>
        <w:tc>
          <w:tcPr>
            <w:tcW w:w="1322" w:type="pct"/>
            <w:hideMark/>
          </w:tcPr>
          <w:p w:rsidR="00F94964" w:rsidRPr="000A0A5F" w:rsidRDefault="00F94964" w:rsidP="00F85004">
            <w:pPr>
              <w:pStyle w:val="TAL"/>
              <w:rPr>
                <w:lang w:eastAsia="zh-CN"/>
              </w:rPr>
            </w:pPr>
          </w:p>
        </w:tc>
      </w:tr>
      <w:tr w:rsidR="00F94964" w:rsidRPr="000A0A5F" w:rsidTr="00F85004">
        <w:tc>
          <w:tcPr>
            <w:tcW w:w="1255" w:type="pct"/>
            <w:tcMar>
              <w:top w:w="0" w:type="dxa"/>
              <w:left w:w="108" w:type="dxa"/>
              <w:bottom w:w="0" w:type="dxa"/>
              <w:right w:w="108" w:type="dxa"/>
            </w:tcMar>
            <w:hideMark/>
          </w:tcPr>
          <w:p w:rsidR="00F94964" w:rsidRPr="000A0A5F" w:rsidRDefault="00F94964" w:rsidP="00F85004">
            <w:pPr>
              <w:pStyle w:val="TAL"/>
            </w:pPr>
            <w:r w:rsidRPr="000A0A5F">
              <w:t>"NOT_REGISTED_UE"</w:t>
            </w:r>
          </w:p>
        </w:tc>
        <w:tc>
          <w:tcPr>
            <w:tcW w:w="2423" w:type="pct"/>
            <w:tcMar>
              <w:top w:w="0" w:type="dxa"/>
              <w:left w:w="108" w:type="dxa"/>
              <w:bottom w:w="0" w:type="dxa"/>
              <w:right w:w="108" w:type="dxa"/>
            </w:tcMar>
            <w:hideMark/>
          </w:tcPr>
          <w:p w:rsidR="00F94964" w:rsidRPr="000A0A5F" w:rsidRDefault="00F94964" w:rsidP="00F85004">
            <w:pPr>
              <w:pStyle w:val="TAL"/>
              <w:rPr>
                <w:rFonts w:cs="Arial"/>
                <w:szCs w:val="18"/>
                <w:lang w:eastAsia="zh-CN"/>
              </w:rPr>
            </w:pPr>
            <w:r w:rsidRPr="000A0A5F">
              <w:rPr>
                <w:rFonts w:cs="Arial"/>
                <w:szCs w:val="18"/>
                <w:lang w:eastAsia="zh-CN"/>
              </w:rPr>
              <w:t>UE is not registered.</w:t>
            </w:r>
          </w:p>
        </w:tc>
        <w:tc>
          <w:tcPr>
            <w:tcW w:w="1322" w:type="pct"/>
            <w:hideMark/>
          </w:tcPr>
          <w:p w:rsidR="00F94964" w:rsidRPr="000A0A5F" w:rsidRDefault="00F94964" w:rsidP="00F85004">
            <w:pPr>
              <w:pStyle w:val="TAL"/>
              <w:rPr>
                <w:lang w:eastAsia="zh-CN"/>
              </w:rPr>
            </w:pPr>
          </w:p>
        </w:tc>
      </w:tr>
      <w:tr w:rsidR="00F94964" w:rsidRPr="000A0A5F" w:rsidTr="00F85004">
        <w:tc>
          <w:tcPr>
            <w:tcW w:w="1255" w:type="pct"/>
            <w:tcMar>
              <w:top w:w="0" w:type="dxa"/>
              <w:left w:w="108" w:type="dxa"/>
              <w:bottom w:w="0" w:type="dxa"/>
              <w:right w:w="108" w:type="dxa"/>
            </w:tcMar>
            <w:hideMark/>
          </w:tcPr>
          <w:p w:rsidR="00F94964" w:rsidRPr="000A0A5F" w:rsidRDefault="00F94964" w:rsidP="00F85004">
            <w:pPr>
              <w:pStyle w:val="TAL"/>
            </w:pPr>
            <w:r w:rsidRPr="000A0A5F">
              <w:t>"UNSPECIFIED"</w:t>
            </w:r>
          </w:p>
        </w:tc>
        <w:tc>
          <w:tcPr>
            <w:tcW w:w="2423" w:type="pct"/>
            <w:tcMar>
              <w:top w:w="0" w:type="dxa"/>
              <w:left w:w="108" w:type="dxa"/>
              <w:bottom w:w="0" w:type="dxa"/>
              <w:right w:w="108" w:type="dxa"/>
            </w:tcMar>
            <w:hideMark/>
          </w:tcPr>
          <w:p w:rsidR="00F94964" w:rsidRPr="000A0A5F" w:rsidRDefault="00F94964" w:rsidP="00F85004">
            <w:pPr>
              <w:pStyle w:val="TAL"/>
              <w:rPr>
                <w:rFonts w:cs="Arial"/>
                <w:szCs w:val="18"/>
                <w:lang w:eastAsia="zh-CN"/>
              </w:rPr>
            </w:pPr>
            <w:r w:rsidRPr="000A0A5F">
              <w:rPr>
                <w:rFonts w:cs="Arial"/>
                <w:szCs w:val="18"/>
                <w:lang w:eastAsia="zh-CN"/>
              </w:rPr>
              <w:t>Unspecified.</w:t>
            </w:r>
          </w:p>
        </w:tc>
        <w:tc>
          <w:tcPr>
            <w:tcW w:w="1322" w:type="pct"/>
            <w:hideMark/>
          </w:tcPr>
          <w:p w:rsidR="00F94964" w:rsidRPr="000A0A5F" w:rsidRDefault="00F94964" w:rsidP="00F85004">
            <w:pPr>
              <w:pStyle w:val="TAL"/>
              <w:rPr>
                <w:lang w:eastAsia="zh-CN"/>
              </w:rPr>
            </w:pPr>
          </w:p>
        </w:tc>
      </w:tr>
      <w:tr w:rsidR="00F94964" w:rsidRPr="000A0A5F" w:rsidTr="00F85004">
        <w:tc>
          <w:tcPr>
            <w:tcW w:w="1255" w:type="pct"/>
            <w:tcMar>
              <w:top w:w="0" w:type="dxa"/>
              <w:left w:w="108" w:type="dxa"/>
              <w:bottom w:w="0" w:type="dxa"/>
              <w:right w:w="108" w:type="dxa"/>
            </w:tcMar>
          </w:tcPr>
          <w:p w:rsidR="00F94964" w:rsidRPr="000A0A5F" w:rsidRDefault="00F94964" w:rsidP="00F85004">
            <w:pPr>
              <w:pStyle w:val="TAL"/>
            </w:pPr>
            <w:r w:rsidRPr="000A0A5F">
              <w:t>"REQUESTED_AREA_NOT_ALLOWED"</w:t>
            </w:r>
          </w:p>
        </w:tc>
        <w:tc>
          <w:tcPr>
            <w:tcW w:w="2423" w:type="pct"/>
            <w:tcMar>
              <w:top w:w="0" w:type="dxa"/>
              <w:left w:w="108" w:type="dxa"/>
              <w:bottom w:w="0" w:type="dxa"/>
              <w:right w:w="108" w:type="dxa"/>
            </w:tcMar>
          </w:tcPr>
          <w:p w:rsidR="00F94964" w:rsidRPr="000A0A5F" w:rsidRDefault="00F94964" w:rsidP="00F85004">
            <w:pPr>
              <w:pStyle w:val="TAL"/>
              <w:rPr>
                <w:rFonts w:cs="Arial"/>
                <w:szCs w:val="18"/>
                <w:lang w:eastAsia="zh-CN"/>
              </w:rPr>
            </w:pPr>
            <w:r w:rsidRPr="000A0A5F">
              <w:t>The location request is rejected because the location area requested by the AF for area event reporting is not allowed (e.g., does not overlap with the allowed location areas for area event reporting).</w:t>
            </w:r>
          </w:p>
        </w:tc>
        <w:tc>
          <w:tcPr>
            <w:tcW w:w="1322" w:type="pct"/>
          </w:tcPr>
          <w:p w:rsidR="00F94964" w:rsidRPr="000A0A5F" w:rsidRDefault="00F94964" w:rsidP="00F85004">
            <w:pPr>
              <w:pStyle w:val="TAL"/>
              <w:rPr>
                <w:lang w:eastAsia="zh-CN"/>
              </w:rPr>
            </w:pPr>
            <w:r w:rsidRPr="000A0A5F">
              <w:rPr>
                <w:lang w:eastAsia="zh-CN"/>
              </w:rPr>
              <w:t>eLCS_en</w:t>
            </w:r>
          </w:p>
        </w:tc>
      </w:tr>
    </w:tbl>
    <w:p w:rsidR="00CB0DD7" w:rsidRPr="000A0A5F" w:rsidRDefault="00CB0DD7"/>
    <w:p w:rsidR="00A313ED" w:rsidRPr="000A0A5F" w:rsidRDefault="00A313ED" w:rsidP="00A313ED">
      <w:pPr>
        <w:pStyle w:val="Heading5"/>
        <w:spacing w:before="180"/>
      </w:pPr>
      <w:bookmarkStart w:id="2140" w:name="_Toc66360378"/>
      <w:bookmarkStart w:id="2141" w:name="_Toc68104883"/>
      <w:bookmarkStart w:id="2142" w:name="_Toc74755513"/>
      <w:bookmarkStart w:id="2143" w:name="_Toc105674378"/>
      <w:bookmarkStart w:id="2144" w:name="_Toc130502418"/>
      <w:bookmarkStart w:id="2145" w:name="_Toc153625205"/>
      <w:r w:rsidRPr="000A0A5F">
        <w:t>5.3.2.4.12</w:t>
      </w:r>
      <w:r w:rsidRPr="000A0A5F">
        <w:tab/>
        <w:t>Enumeration: SubType</w:t>
      </w:r>
      <w:bookmarkEnd w:id="2143"/>
      <w:bookmarkEnd w:id="2144"/>
      <w:bookmarkEnd w:id="2145"/>
    </w:p>
    <w:p w:rsidR="00A313ED" w:rsidRPr="000A0A5F" w:rsidRDefault="00A313ED" w:rsidP="00A313ED">
      <w:pPr>
        <w:rPr>
          <w:rFonts w:ascii="Arial" w:hAnsi="Arial" w:cs="Arial"/>
          <w:sz w:val="18"/>
          <w:szCs w:val="18"/>
        </w:rPr>
      </w:pPr>
      <w:r w:rsidRPr="000A0A5F">
        <w:rPr>
          <w:rFonts w:ascii="Arial" w:hAnsi="Arial" w:cs="Arial"/>
          <w:sz w:val="18"/>
          <w:szCs w:val="18"/>
        </w:rPr>
        <w:t xml:space="preserve">The enumeration SubType represents a subscription type. It shall comply with the provisions defined in </w:t>
      </w:r>
      <w:r w:rsidR="00B004CD" w:rsidRPr="000A0A5F">
        <w:rPr>
          <w:rFonts w:ascii="Arial" w:hAnsi="Arial" w:cs="Arial"/>
          <w:sz w:val="18"/>
          <w:szCs w:val="18"/>
        </w:rPr>
        <w:t>table </w:t>
      </w:r>
      <w:r w:rsidRPr="000A0A5F">
        <w:rPr>
          <w:rFonts w:ascii="Arial" w:hAnsi="Arial" w:cs="Arial"/>
          <w:sz w:val="18"/>
          <w:szCs w:val="18"/>
        </w:rPr>
        <w:t>5.3.2.4.12-1</w:t>
      </w:r>
    </w:p>
    <w:p w:rsidR="00A313ED" w:rsidRPr="000A0A5F" w:rsidRDefault="00A313ED" w:rsidP="00A313ED">
      <w:pPr>
        <w:jc w:val="center"/>
        <w:rPr>
          <w:rFonts w:ascii="Arial" w:hAnsi="Arial"/>
          <w:b/>
        </w:rPr>
      </w:pPr>
      <w:r w:rsidRPr="000A0A5F">
        <w:rPr>
          <w:rFonts w:ascii="Arial" w:hAnsi="Arial"/>
          <w:b/>
        </w:rPr>
        <w:t>Table 5.3.2.4.12-1: Enumeration SubType</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334"/>
        <w:gridCol w:w="4728"/>
        <w:gridCol w:w="2695"/>
      </w:tblGrid>
      <w:tr w:rsidR="00A313ED" w:rsidRPr="000A0A5F" w:rsidTr="00FF0AF8">
        <w:trPr>
          <w:trHeight w:val="280"/>
        </w:trPr>
        <w:tc>
          <w:tcPr>
            <w:tcW w:w="1196" w:type="pct"/>
            <w:shd w:val="clear" w:color="auto" w:fill="C0C0C0"/>
            <w:tcMar>
              <w:top w:w="0" w:type="dxa"/>
              <w:left w:w="108" w:type="dxa"/>
              <w:bottom w:w="0" w:type="dxa"/>
              <w:right w:w="108" w:type="dxa"/>
            </w:tcMar>
          </w:tcPr>
          <w:p w:rsidR="00A313ED" w:rsidRPr="000A0A5F" w:rsidRDefault="00A313ED" w:rsidP="00AC0E52">
            <w:pPr>
              <w:pStyle w:val="TAH"/>
            </w:pPr>
            <w:r w:rsidRPr="000A0A5F">
              <w:t>Enumeration value</w:t>
            </w:r>
          </w:p>
        </w:tc>
        <w:tc>
          <w:tcPr>
            <w:tcW w:w="2423" w:type="pct"/>
            <w:shd w:val="clear" w:color="auto" w:fill="C0C0C0"/>
            <w:tcMar>
              <w:top w:w="0" w:type="dxa"/>
              <w:left w:w="108" w:type="dxa"/>
              <w:bottom w:w="0" w:type="dxa"/>
              <w:right w:w="108" w:type="dxa"/>
            </w:tcMar>
          </w:tcPr>
          <w:p w:rsidR="00A313ED" w:rsidRPr="000A0A5F" w:rsidRDefault="00A313ED" w:rsidP="00AC0E52">
            <w:pPr>
              <w:pStyle w:val="TAH"/>
            </w:pPr>
            <w:r w:rsidRPr="000A0A5F">
              <w:t>Description</w:t>
            </w:r>
          </w:p>
        </w:tc>
        <w:tc>
          <w:tcPr>
            <w:tcW w:w="1381" w:type="pct"/>
            <w:shd w:val="clear" w:color="auto" w:fill="C0C0C0"/>
          </w:tcPr>
          <w:p w:rsidR="00A313ED" w:rsidRPr="000A0A5F" w:rsidRDefault="00A313ED" w:rsidP="00AC0E52">
            <w:pPr>
              <w:pStyle w:val="TAH"/>
            </w:pPr>
            <w:r w:rsidRPr="000A0A5F">
              <w:rPr>
                <w:rFonts w:eastAsia="Times New Roman" w:cs="Arial"/>
                <w:szCs w:val="18"/>
              </w:rPr>
              <w:t xml:space="preserve">Applicability </w:t>
            </w:r>
          </w:p>
        </w:tc>
      </w:tr>
      <w:tr w:rsidR="00A313ED" w:rsidRPr="000A0A5F" w:rsidTr="00FF0AF8">
        <w:tc>
          <w:tcPr>
            <w:tcW w:w="1196" w:type="pct"/>
            <w:tcMar>
              <w:top w:w="0" w:type="dxa"/>
              <w:left w:w="108" w:type="dxa"/>
              <w:bottom w:w="0" w:type="dxa"/>
              <w:right w:w="108" w:type="dxa"/>
            </w:tcMar>
          </w:tcPr>
          <w:p w:rsidR="00A313ED" w:rsidRPr="000A0A5F" w:rsidRDefault="00A313ED" w:rsidP="00AC0E52">
            <w:pPr>
              <w:pStyle w:val="TAL"/>
            </w:pPr>
            <w:r w:rsidRPr="000A0A5F">
              <w:t>AERIAL_UE</w:t>
            </w:r>
          </w:p>
        </w:tc>
        <w:tc>
          <w:tcPr>
            <w:tcW w:w="2423" w:type="pct"/>
            <w:tcMar>
              <w:top w:w="0" w:type="dxa"/>
              <w:left w:w="108" w:type="dxa"/>
              <w:bottom w:w="0" w:type="dxa"/>
              <w:right w:w="108" w:type="dxa"/>
            </w:tcMar>
          </w:tcPr>
          <w:p w:rsidR="00A313ED" w:rsidRPr="000A0A5F" w:rsidRDefault="00A313ED" w:rsidP="00AC0E52">
            <w:pPr>
              <w:pStyle w:val="TAL"/>
            </w:pPr>
            <w:r w:rsidRPr="000A0A5F">
              <w:rPr>
                <w:rFonts w:cs="Arial"/>
                <w:szCs w:val="18"/>
                <w:lang w:eastAsia="zh-CN"/>
              </w:rPr>
              <w:t>The UE has Aerial subscription.</w:t>
            </w:r>
          </w:p>
        </w:tc>
        <w:tc>
          <w:tcPr>
            <w:tcW w:w="1381" w:type="pct"/>
          </w:tcPr>
          <w:p w:rsidR="00A313ED" w:rsidRPr="000A0A5F" w:rsidRDefault="00A313ED" w:rsidP="00AC0E52">
            <w:pPr>
              <w:pStyle w:val="TAL"/>
              <w:rPr>
                <w:rFonts w:cs="Arial"/>
                <w:szCs w:val="18"/>
                <w:lang w:eastAsia="zh-CN"/>
              </w:rPr>
            </w:pPr>
            <w:r w:rsidRPr="000A0A5F">
              <w:rPr>
                <w:rFonts w:cs="Arial"/>
                <w:szCs w:val="18"/>
              </w:rPr>
              <w:t>UAV</w:t>
            </w:r>
          </w:p>
        </w:tc>
      </w:tr>
    </w:tbl>
    <w:p w:rsidR="00A313ED" w:rsidRPr="000A0A5F" w:rsidRDefault="00A313ED" w:rsidP="00A313ED"/>
    <w:p w:rsidR="005316DE" w:rsidRPr="000A0A5F" w:rsidRDefault="005316DE" w:rsidP="005316DE">
      <w:pPr>
        <w:pStyle w:val="Heading5"/>
        <w:spacing w:before="180"/>
      </w:pPr>
      <w:bookmarkStart w:id="2146" w:name="_Toc105674379"/>
      <w:bookmarkStart w:id="2147" w:name="_Toc130502419"/>
      <w:bookmarkStart w:id="2148" w:name="_Toc153625206"/>
      <w:r w:rsidRPr="000A0A5F">
        <w:t>5.3.2.4.13</w:t>
      </w:r>
      <w:r w:rsidRPr="000A0A5F">
        <w:tab/>
        <w:t>Enumeration: SACRepFormat</w:t>
      </w:r>
      <w:bookmarkEnd w:id="2146"/>
      <w:bookmarkEnd w:id="2147"/>
      <w:bookmarkEnd w:id="2148"/>
    </w:p>
    <w:p w:rsidR="005316DE" w:rsidRPr="000A0A5F" w:rsidRDefault="005316DE" w:rsidP="005316DE">
      <w:pPr>
        <w:pStyle w:val="TH"/>
      </w:pPr>
      <w:r w:rsidRPr="000A0A5F">
        <w:t>Table 5.3.2.4.13-1: Enumeration SACRepFormat</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2306"/>
        <w:gridCol w:w="5593"/>
        <w:gridCol w:w="1858"/>
      </w:tblGrid>
      <w:tr w:rsidR="005316DE" w:rsidRPr="000A0A5F" w:rsidTr="00FF0AF8">
        <w:trPr>
          <w:jc w:val="center"/>
        </w:trPr>
        <w:tc>
          <w:tcPr>
            <w:tcW w:w="1182" w:type="pct"/>
            <w:shd w:val="clear" w:color="auto" w:fill="C0C0C0"/>
            <w:tcMar>
              <w:top w:w="0" w:type="dxa"/>
              <w:left w:w="108" w:type="dxa"/>
              <w:bottom w:w="0" w:type="dxa"/>
              <w:right w:w="108" w:type="dxa"/>
            </w:tcMar>
            <w:vAlign w:val="center"/>
            <w:hideMark/>
          </w:tcPr>
          <w:p w:rsidR="005316DE" w:rsidRPr="000A0A5F" w:rsidRDefault="005316DE" w:rsidP="00B97EBD">
            <w:pPr>
              <w:pStyle w:val="TAH"/>
            </w:pPr>
            <w:r w:rsidRPr="000A0A5F">
              <w:t>Enumeration value</w:t>
            </w:r>
          </w:p>
        </w:tc>
        <w:tc>
          <w:tcPr>
            <w:tcW w:w="2866" w:type="pct"/>
            <w:shd w:val="clear" w:color="auto" w:fill="C0C0C0"/>
            <w:tcMar>
              <w:top w:w="0" w:type="dxa"/>
              <w:left w:w="108" w:type="dxa"/>
              <w:bottom w:w="0" w:type="dxa"/>
              <w:right w:w="108" w:type="dxa"/>
            </w:tcMar>
            <w:vAlign w:val="center"/>
            <w:hideMark/>
          </w:tcPr>
          <w:p w:rsidR="005316DE" w:rsidRPr="000A0A5F" w:rsidRDefault="005316DE" w:rsidP="00B97EBD">
            <w:pPr>
              <w:pStyle w:val="TAH"/>
            </w:pPr>
            <w:r w:rsidRPr="000A0A5F">
              <w:t>Description</w:t>
            </w:r>
          </w:p>
        </w:tc>
        <w:tc>
          <w:tcPr>
            <w:tcW w:w="952" w:type="pct"/>
            <w:shd w:val="clear" w:color="auto" w:fill="C0C0C0"/>
          </w:tcPr>
          <w:p w:rsidR="005316DE" w:rsidRPr="000A0A5F" w:rsidRDefault="005316DE" w:rsidP="00B97EBD">
            <w:pPr>
              <w:pStyle w:val="TAH"/>
            </w:pPr>
            <w:r w:rsidRPr="000A0A5F">
              <w:t>Applicability</w:t>
            </w:r>
          </w:p>
        </w:tc>
      </w:tr>
      <w:tr w:rsidR="005316DE" w:rsidRPr="000A0A5F" w:rsidTr="00FF0AF8">
        <w:trPr>
          <w:jc w:val="center"/>
        </w:trPr>
        <w:tc>
          <w:tcPr>
            <w:tcW w:w="1182" w:type="pct"/>
            <w:tcMar>
              <w:top w:w="0" w:type="dxa"/>
              <w:left w:w="108" w:type="dxa"/>
              <w:bottom w:w="0" w:type="dxa"/>
              <w:right w:w="108" w:type="dxa"/>
            </w:tcMar>
            <w:vAlign w:val="center"/>
          </w:tcPr>
          <w:p w:rsidR="005316DE" w:rsidRPr="000A0A5F" w:rsidRDefault="005316DE" w:rsidP="00B97EBD">
            <w:pPr>
              <w:pStyle w:val="TAL"/>
            </w:pPr>
            <w:r w:rsidRPr="000A0A5F">
              <w:t>"NUMERICAL"</w:t>
            </w:r>
          </w:p>
        </w:tc>
        <w:tc>
          <w:tcPr>
            <w:tcW w:w="2866" w:type="pct"/>
            <w:tcMar>
              <w:top w:w="0" w:type="dxa"/>
              <w:left w:w="108" w:type="dxa"/>
              <w:bottom w:w="0" w:type="dxa"/>
              <w:right w:w="108" w:type="dxa"/>
            </w:tcMar>
            <w:vAlign w:val="center"/>
          </w:tcPr>
          <w:p w:rsidR="005316DE" w:rsidRPr="000A0A5F" w:rsidRDefault="005316DE" w:rsidP="00B97EBD">
            <w:pPr>
              <w:pStyle w:val="TAL"/>
            </w:pPr>
            <w:r w:rsidRPr="000A0A5F">
              <w:t>Indicates that the NSAC reporting should be done in numerical format.</w:t>
            </w:r>
          </w:p>
        </w:tc>
        <w:tc>
          <w:tcPr>
            <w:tcW w:w="952" w:type="pct"/>
          </w:tcPr>
          <w:p w:rsidR="005316DE" w:rsidRPr="000A0A5F" w:rsidRDefault="005316DE" w:rsidP="00B97EBD">
            <w:pPr>
              <w:pStyle w:val="TAL"/>
            </w:pPr>
          </w:p>
        </w:tc>
      </w:tr>
      <w:tr w:rsidR="005316DE" w:rsidRPr="000A0A5F" w:rsidTr="00FF0AF8">
        <w:trPr>
          <w:jc w:val="center"/>
        </w:trPr>
        <w:tc>
          <w:tcPr>
            <w:tcW w:w="1182" w:type="pct"/>
            <w:tcMar>
              <w:top w:w="0" w:type="dxa"/>
              <w:left w:w="108" w:type="dxa"/>
              <w:bottom w:w="0" w:type="dxa"/>
              <w:right w:w="108" w:type="dxa"/>
            </w:tcMar>
            <w:vAlign w:val="center"/>
          </w:tcPr>
          <w:p w:rsidR="005316DE" w:rsidRPr="000A0A5F" w:rsidRDefault="005316DE" w:rsidP="00B97EBD">
            <w:pPr>
              <w:pStyle w:val="TAL"/>
            </w:pPr>
            <w:r w:rsidRPr="000A0A5F">
              <w:t>"PERCENTAGE"</w:t>
            </w:r>
          </w:p>
        </w:tc>
        <w:tc>
          <w:tcPr>
            <w:tcW w:w="2866" w:type="pct"/>
            <w:tcMar>
              <w:top w:w="0" w:type="dxa"/>
              <w:left w:w="108" w:type="dxa"/>
              <w:bottom w:w="0" w:type="dxa"/>
              <w:right w:w="108" w:type="dxa"/>
            </w:tcMar>
            <w:vAlign w:val="center"/>
          </w:tcPr>
          <w:p w:rsidR="005316DE" w:rsidRPr="000A0A5F" w:rsidRDefault="005316DE" w:rsidP="00B97EBD">
            <w:pPr>
              <w:pStyle w:val="TAL"/>
            </w:pPr>
            <w:r w:rsidRPr="000A0A5F">
              <w:t>Indicates that the NSAC reporting should be done in the format of a percentage.</w:t>
            </w:r>
          </w:p>
        </w:tc>
        <w:tc>
          <w:tcPr>
            <w:tcW w:w="952" w:type="pct"/>
          </w:tcPr>
          <w:p w:rsidR="005316DE" w:rsidRPr="000A0A5F" w:rsidRDefault="005316DE" w:rsidP="00B97EBD">
            <w:pPr>
              <w:pStyle w:val="TAL"/>
            </w:pPr>
          </w:p>
        </w:tc>
      </w:tr>
    </w:tbl>
    <w:p w:rsidR="005316DE" w:rsidRPr="000A0A5F" w:rsidRDefault="005316DE" w:rsidP="005316DE">
      <w:pPr>
        <w:rPr>
          <w:lang w:val="en-US"/>
        </w:rPr>
      </w:pPr>
    </w:p>
    <w:p w:rsidR="00CB0DD7" w:rsidRPr="000A0A5F" w:rsidRDefault="00CB0DD7">
      <w:pPr>
        <w:pStyle w:val="Heading3"/>
      </w:pPr>
      <w:bookmarkStart w:id="2149" w:name="_Toc105674380"/>
      <w:bookmarkStart w:id="2150" w:name="_Toc130502420"/>
      <w:bookmarkStart w:id="2151" w:name="_Toc153625207"/>
      <w:r w:rsidRPr="000A0A5F">
        <w:t>5.3.3</w:t>
      </w:r>
      <w:r w:rsidRPr="000A0A5F">
        <w:tab/>
        <w:t>Resource structure</w:t>
      </w:r>
      <w:bookmarkEnd w:id="2134"/>
      <w:bookmarkEnd w:id="2135"/>
      <w:bookmarkEnd w:id="2136"/>
      <w:bookmarkEnd w:id="2137"/>
      <w:bookmarkEnd w:id="2138"/>
      <w:bookmarkEnd w:id="2139"/>
      <w:bookmarkEnd w:id="2140"/>
      <w:bookmarkEnd w:id="2141"/>
      <w:bookmarkEnd w:id="2142"/>
      <w:bookmarkEnd w:id="2149"/>
      <w:bookmarkEnd w:id="2150"/>
      <w:bookmarkEnd w:id="2151"/>
    </w:p>
    <w:p w:rsidR="00CB0DD7" w:rsidRPr="000A0A5F" w:rsidRDefault="00CB0DD7">
      <w:pPr>
        <w:pStyle w:val="Heading4"/>
      </w:pPr>
      <w:bookmarkStart w:id="2152" w:name="_Toc11247333"/>
      <w:bookmarkStart w:id="2153" w:name="_Toc27044455"/>
      <w:bookmarkStart w:id="2154" w:name="_Toc36033497"/>
      <w:bookmarkStart w:id="2155" w:name="_Toc45131629"/>
      <w:bookmarkStart w:id="2156" w:name="_Toc49775914"/>
      <w:bookmarkStart w:id="2157" w:name="_Toc51746834"/>
      <w:bookmarkStart w:id="2158" w:name="_Toc66360379"/>
      <w:bookmarkStart w:id="2159" w:name="_Toc68104884"/>
      <w:bookmarkStart w:id="2160" w:name="_Toc74755514"/>
      <w:bookmarkStart w:id="2161" w:name="_Toc105674381"/>
      <w:bookmarkStart w:id="2162" w:name="_Toc130502421"/>
      <w:bookmarkStart w:id="2163" w:name="_Toc153625208"/>
      <w:r w:rsidRPr="000A0A5F">
        <w:t>5.3.3.1</w:t>
      </w:r>
      <w:r w:rsidRPr="000A0A5F">
        <w:tab/>
        <w:t>General</w:t>
      </w:r>
      <w:bookmarkEnd w:id="2152"/>
      <w:bookmarkEnd w:id="2153"/>
      <w:bookmarkEnd w:id="2154"/>
      <w:bookmarkEnd w:id="2155"/>
      <w:bookmarkEnd w:id="2156"/>
      <w:bookmarkEnd w:id="2157"/>
      <w:bookmarkEnd w:id="2158"/>
      <w:bookmarkEnd w:id="2159"/>
      <w:bookmarkEnd w:id="2160"/>
      <w:bookmarkEnd w:id="2161"/>
      <w:bookmarkEnd w:id="2162"/>
      <w:bookmarkEnd w:id="2163"/>
    </w:p>
    <w:p w:rsidR="00CB0DD7" w:rsidRPr="000A0A5F" w:rsidRDefault="00CB0DD7">
      <w:r w:rsidRPr="000A0A5F">
        <w:t>All resource URIs of this API should have the following root:</w:t>
      </w:r>
    </w:p>
    <w:p w:rsidR="00CB0DD7" w:rsidRPr="000A0A5F" w:rsidRDefault="00CB0DD7">
      <w:pPr>
        <w:pStyle w:val="B1"/>
        <w:numPr>
          <w:ilvl w:val="0"/>
          <w:numId w:val="0"/>
        </w:numPr>
        <w:ind w:left="737"/>
        <w:rPr>
          <w:b/>
        </w:rPr>
      </w:pPr>
      <w:r w:rsidRPr="000A0A5F">
        <w:rPr>
          <w:b/>
        </w:rPr>
        <w:t>{apiRoot}/3gpp-monitoring-event/v1</w:t>
      </w:r>
    </w:p>
    <w:p w:rsidR="00CB0DD7" w:rsidRPr="000A0A5F" w:rsidRDefault="00CB0DD7">
      <w:r w:rsidRPr="000A0A5F">
        <w:t>"apiRoot" is set as described in clause 5.2.4. "apiName" shall be set to "3gpp-monitoring-event" and "apiVersion" shall be set to "v1" for the current version defined in the present document. All resource URIs in the clauses below are defined relative to the above root URI.</w:t>
      </w:r>
    </w:p>
    <w:p w:rsidR="00CB0DD7" w:rsidRPr="000A0A5F" w:rsidRDefault="00CB0DD7">
      <w:r w:rsidRPr="000A0A5F">
        <w:t>The following resources and HTTP methods are supported for this API:</w:t>
      </w:r>
    </w:p>
    <w:p w:rsidR="00CB0DD7" w:rsidRPr="000A0A5F" w:rsidRDefault="00CB0DD7">
      <w:pPr>
        <w:pStyle w:val="TH"/>
      </w:pPr>
      <w:r w:rsidRPr="000A0A5F">
        <w:t>Table 5.3.3.1-1: Resources and methods overview</w:t>
      </w:r>
    </w:p>
    <w:tbl>
      <w:tblPr>
        <w:tblW w:w="5063"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1E0" w:firstRow="1" w:lastRow="1" w:firstColumn="1" w:lastColumn="1" w:noHBand="0" w:noVBand="0"/>
      </w:tblPr>
      <w:tblGrid>
        <w:gridCol w:w="1973"/>
        <w:gridCol w:w="4253"/>
        <w:gridCol w:w="851"/>
        <w:gridCol w:w="2823"/>
      </w:tblGrid>
      <w:tr w:rsidR="00CB0DD7" w:rsidRPr="000A0A5F" w:rsidTr="00FF0AF8">
        <w:trPr>
          <w:jc w:val="center"/>
        </w:trPr>
        <w:tc>
          <w:tcPr>
            <w:tcW w:w="996" w:type="pct"/>
            <w:shd w:val="clear" w:color="auto" w:fill="C0C0C0"/>
            <w:vAlign w:val="center"/>
            <w:hideMark/>
          </w:tcPr>
          <w:p w:rsidR="00CB0DD7" w:rsidRPr="000A0A5F" w:rsidRDefault="00CB0DD7">
            <w:pPr>
              <w:pStyle w:val="TAH"/>
              <w:spacing w:line="276" w:lineRule="auto"/>
            </w:pPr>
            <w:r w:rsidRPr="000A0A5F">
              <w:t>Resource name</w:t>
            </w:r>
          </w:p>
        </w:tc>
        <w:tc>
          <w:tcPr>
            <w:tcW w:w="2148" w:type="pct"/>
            <w:shd w:val="clear" w:color="auto" w:fill="C0C0C0"/>
            <w:vAlign w:val="center"/>
            <w:hideMark/>
          </w:tcPr>
          <w:p w:rsidR="00CB0DD7" w:rsidRPr="000A0A5F" w:rsidRDefault="00CB0DD7">
            <w:pPr>
              <w:pStyle w:val="TAH"/>
              <w:spacing w:line="276" w:lineRule="auto"/>
            </w:pPr>
            <w:r w:rsidRPr="000A0A5F">
              <w:t>Resource URI</w:t>
            </w:r>
          </w:p>
        </w:tc>
        <w:tc>
          <w:tcPr>
            <w:tcW w:w="430" w:type="pct"/>
            <w:shd w:val="clear" w:color="auto" w:fill="C0C0C0"/>
            <w:vAlign w:val="center"/>
            <w:hideMark/>
          </w:tcPr>
          <w:p w:rsidR="00CB0DD7" w:rsidRPr="000A0A5F" w:rsidRDefault="00CB0DD7">
            <w:pPr>
              <w:pStyle w:val="TAH"/>
              <w:spacing w:line="276" w:lineRule="auto"/>
            </w:pPr>
            <w:r w:rsidRPr="000A0A5F">
              <w:t>HTTP method</w:t>
            </w:r>
          </w:p>
        </w:tc>
        <w:tc>
          <w:tcPr>
            <w:tcW w:w="1426" w:type="pct"/>
            <w:shd w:val="clear" w:color="auto" w:fill="C0C0C0"/>
            <w:vAlign w:val="center"/>
            <w:hideMark/>
          </w:tcPr>
          <w:p w:rsidR="00CB0DD7" w:rsidRPr="000A0A5F" w:rsidRDefault="00CB0DD7">
            <w:pPr>
              <w:pStyle w:val="TAH"/>
              <w:spacing w:line="276" w:lineRule="auto"/>
            </w:pPr>
            <w:r w:rsidRPr="000A0A5F">
              <w:t>Meaning</w:t>
            </w:r>
          </w:p>
        </w:tc>
      </w:tr>
      <w:tr w:rsidR="00CB0DD7" w:rsidRPr="000A0A5F" w:rsidTr="00FF0AF8">
        <w:trPr>
          <w:jc w:val="center"/>
        </w:trPr>
        <w:tc>
          <w:tcPr>
            <w:tcW w:w="996" w:type="pct"/>
            <w:vMerge w:val="restart"/>
            <w:hideMark/>
          </w:tcPr>
          <w:p w:rsidR="00CB0DD7" w:rsidRPr="000A0A5F" w:rsidRDefault="00CB0DD7">
            <w:pPr>
              <w:pStyle w:val="TAL"/>
              <w:spacing w:line="276" w:lineRule="auto"/>
              <w:rPr>
                <w:lang w:eastAsia="zh-CN"/>
              </w:rPr>
            </w:pPr>
            <w:r w:rsidRPr="000A0A5F">
              <w:t>Monitoring Event Subscriptions</w:t>
            </w:r>
          </w:p>
        </w:tc>
        <w:tc>
          <w:tcPr>
            <w:tcW w:w="2148" w:type="pct"/>
            <w:vMerge w:val="restart"/>
            <w:hideMark/>
          </w:tcPr>
          <w:p w:rsidR="00CB0DD7" w:rsidRPr="000A0A5F" w:rsidRDefault="00CB0DD7">
            <w:pPr>
              <w:pStyle w:val="TAL"/>
              <w:spacing w:line="276" w:lineRule="auto"/>
            </w:pPr>
            <w:r w:rsidRPr="000A0A5F">
              <w:t>/{scsAsId}/subscriptions</w:t>
            </w:r>
          </w:p>
        </w:tc>
        <w:tc>
          <w:tcPr>
            <w:tcW w:w="430" w:type="pct"/>
          </w:tcPr>
          <w:p w:rsidR="00CB0DD7" w:rsidRPr="000A0A5F" w:rsidRDefault="00CB0DD7">
            <w:pPr>
              <w:pStyle w:val="TAL"/>
              <w:spacing w:line="276" w:lineRule="auto"/>
            </w:pPr>
            <w:r w:rsidRPr="000A0A5F">
              <w:t>GET</w:t>
            </w:r>
          </w:p>
        </w:tc>
        <w:tc>
          <w:tcPr>
            <w:tcW w:w="1426" w:type="pct"/>
          </w:tcPr>
          <w:p w:rsidR="00CB0DD7" w:rsidRPr="000A0A5F" w:rsidRDefault="00CB0DD7">
            <w:pPr>
              <w:pStyle w:val="TAL"/>
              <w:spacing w:line="276" w:lineRule="auto"/>
            </w:pPr>
            <w:r w:rsidRPr="000A0A5F">
              <w:t xml:space="preserve">Read all </w:t>
            </w:r>
            <w:r w:rsidR="009E4BF4" w:rsidRPr="000A0A5F">
              <w:t xml:space="preserve">or queried </w:t>
            </w:r>
            <w:r w:rsidRPr="000A0A5F">
              <w:t>subscriptions for a given SCS/AS</w:t>
            </w:r>
          </w:p>
        </w:tc>
      </w:tr>
      <w:tr w:rsidR="00CB0DD7" w:rsidRPr="000A0A5F" w:rsidTr="00FF0AF8">
        <w:trPr>
          <w:jc w:val="center"/>
        </w:trPr>
        <w:tc>
          <w:tcPr>
            <w:tcW w:w="996" w:type="pct"/>
            <w:vMerge/>
          </w:tcPr>
          <w:p w:rsidR="00CB0DD7" w:rsidRPr="000A0A5F" w:rsidRDefault="00CB0DD7">
            <w:pPr>
              <w:pStyle w:val="TAL"/>
              <w:spacing w:line="276" w:lineRule="auto"/>
              <w:rPr>
                <w:rFonts w:hint="eastAsia"/>
                <w:lang w:eastAsia="zh-CN"/>
              </w:rPr>
            </w:pPr>
          </w:p>
        </w:tc>
        <w:tc>
          <w:tcPr>
            <w:tcW w:w="2148" w:type="pct"/>
            <w:vMerge/>
          </w:tcPr>
          <w:p w:rsidR="00CB0DD7" w:rsidRPr="000A0A5F" w:rsidRDefault="00CB0DD7">
            <w:pPr>
              <w:pStyle w:val="TAL"/>
              <w:spacing w:line="276" w:lineRule="auto"/>
            </w:pPr>
          </w:p>
        </w:tc>
        <w:tc>
          <w:tcPr>
            <w:tcW w:w="430" w:type="pct"/>
          </w:tcPr>
          <w:p w:rsidR="00CB0DD7" w:rsidRPr="000A0A5F" w:rsidRDefault="00CB0DD7">
            <w:pPr>
              <w:pStyle w:val="TAL"/>
              <w:spacing w:line="276" w:lineRule="auto"/>
            </w:pPr>
            <w:r w:rsidRPr="000A0A5F">
              <w:t>POST</w:t>
            </w:r>
          </w:p>
        </w:tc>
        <w:tc>
          <w:tcPr>
            <w:tcW w:w="1426" w:type="pct"/>
          </w:tcPr>
          <w:p w:rsidR="00CB0DD7" w:rsidRPr="000A0A5F" w:rsidRDefault="00CB0DD7">
            <w:pPr>
              <w:pStyle w:val="TAL"/>
              <w:spacing w:line="276" w:lineRule="auto"/>
            </w:pPr>
            <w:r w:rsidRPr="000A0A5F">
              <w:t>Create a new subscription of monitoring event</w:t>
            </w:r>
          </w:p>
        </w:tc>
      </w:tr>
      <w:tr w:rsidR="00CB0DD7" w:rsidRPr="000A0A5F" w:rsidTr="00FF0AF8">
        <w:trPr>
          <w:jc w:val="center"/>
        </w:trPr>
        <w:tc>
          <w:tcPr>
            <w:tcW w:w="996" w:type="pct"/>
            <w:vMerge w:val="restart"/>
          </w:tcPr>
          <w:p w:rsidR="00CB0DD7" w:rsidRPr="000A0A5F" w:rsidRDefault="00CB0DD7">
            <w:pPr>
              <w:pStyle w:val="TAL"/>
              <w:spacing w:line="276" w:lineRule="auto"/>
              <w:rPr>
                <w:rFonts w:hint="eastAsia"/>
                <w:lang w:eastAsia="zh-CN"/>
              </w:rPr>
            </w:pPr>
            <w:r w:rsidRPr="000A0A5F">
              <w:t>Individual Monitoring Event Subscription</w:t>
            </w:r>
          </w:p>
        </w:tc>
        <w:tc>
          <w:tcPr>
            <w:tcW w:w="2148" w:type="pct"/>
            <w:vMerge w:val="restart"/>
          </w:tcPr>
          <w:p w:rsidR="00CB0DD7" w:rsidRPr="000A0A5F" w:rsidRDefault="00CB0DD7">
            <w:pPr>
              <w:pStyle w:val="TAL"/>
              <w:spacing w:line="276" w:lineRule="auto"/>
            </w:pPr>
            <w:r w:rsidRPr="000A0A5F">
              <w:t xml:space="preserve">/{scsAsId}/subscriptions/{subscriptionId} </w:t>
            </w:r>
          </w:p>
        </w:tc>
        <w:tc>
          <w:tcPr>
            <w:tcW w:w="430" w:type="pct"/>
          </w:tcPr>
          <w:p w:rsidR="00CB0DD7" w:rsidRPr="000A0A5F" w:rsidRDefault="00CB0DD7">
            <w:pPr>
              <w:pStyle w:val="TAL"/>
              <w:spacing w:line="276" w:lineRule="auto"/>
            </w:pPr>
            <w:r w:rsidRPr="000A0A5F">
              <w:t>PUT</w:t>
            </w:r>
          </w:p>
        </w:tc>
        <w:tc>
          <w:tcPr>
            <w:tcW w:w="1426" w:type="pct"/>
          </w:tcPr>
          <w:p w:rsidR="00CB0DD7" w:rsidRPr="000A0A5F" w:rsidRDefault="00CB0DD7">
            <w:pPr>
              <w:pStyle w:val="TAL"/>
              <w:spacing w:line="276" w:lineRule="auto"/>
            </w:pPr>
            <w:r w:rsidRPr="000A0A5F">
              <w:t>Modify an existing subscription of monitoring event</w:t>
            </w:r>
          </w:p>
        </w:tc>
      </w:tr>
      <w:tr w:rsidR="00687AC5" w:rsidRPr="000A0A5F" w:rsidTr="00FF0AF8">
        <w:trPr>
          <w:jc w:val="center"/>
        </w:trPr>
        <w:tc>
          <w:tcPr>
            <w:tcW w:w="996" w:type="pct"/>
            <w:vMerge/>
          </w:tcPr>
          <w:p w:rsidR="00687AC5" w:rsidRPr="000A0A5F" w:rsidRDefault="00687AC5" w:rsidP="00687AC5">
            <w:pPr>
              <w:pStyle w:val="TAL"/>
              <w:spacing w:line="276" w:lineRule="auto"/>
            </w:pPr>
          </w:p>
        </w:tc>
        <w:tc>
          <w:tcPr>
            <w:tcW w:w="2148" w:type="pct"/>
            <w:vMerge/>
          </w:tcPr>
          <w:p w:rsidR="00687AC5" w:rsidRPr="000A0A5F" w:rsidRDefault="00687AC5" w:rsidP="00687AC5">
            <w:pPr>
              <w:pStyle w:val="TAL"/>
              <w:spacing w:line="276" w:lineRule="auto"/>
            </w:pPr>
          </w:p>
        </w:tc>
        <w:tc>
          <w:tcPr>
            <w:tcW w:w="430" w:type="pct"/>
          </w:tcPr>
          <w:p w:rsidR="00687AC5" w:rsidRPr="000A0A5F" w:rsidRDefault="00687AC5" w:rsidP="00687AC5">
            <w:pPr>
              <w:pStyle w:val="TAL"/>
              <w:spacing w:line="276" w:lineRule="auto"/>
            </w:pPr>
            <w:r w:rsidRPr="000A0A5F">
              <w:t>PATCH</w:t>
            </w:r>
          </w:p>
        </w:tc>
        <w:tc>
          <w:tcPr>
            <w:tcW w:w="1426" w:type="pct"/>
          </w:tcPr>
          <w:p w:rsidR="00687AC5" w:rsidRPr="000A0A5F" w:rsidRDefault="00687AC5" w:rsidP="00687AC5">
            <w:pPr>
              <w:pStyle w:val="TAL"/>
              <w:spacing w:line="276" w:lineRule="auto"/>
            </w:pPr>
            <w:r w:rsidRPr="000A0A5F">
              <w:t>Modifies an existing subscription of monitoring event.</w:t>
            </w:r>
          </w:p>
        </w:tc>
      </w:tr>
      <w:tr w:rsidR="00CB0DD7" w:rsidRPr="000A0A5F" w:rsidTr="00FF0AF8">
        <w:trPr>
          <w:jc w:val="center"/>
        </w:trPr>
        <w:tc>
          <w:tcPr>
            <w:tcW w:w="996" w:type="pct"/>
            <w:vMerge/>
          </w:tcPr>
          <w:p w:rsidR="00CB0DD7" w:rsidRPr="000A0A5F" w:rsidRDefault="00CB0DD7">
            <w:pPr>
              <w:pStyle w:val="TAL"/>
              <w:spacing w:line="276" w:lineRule="auto"/>
              <w:rPr>
                <w:rFonts w:hint="eastAsia"/>
                <w:lang w:eastAsia="zh-CN"/>
              </w:rPr>
            </w:pPr>
          </w:p>
        </w:tc>
        <w:tc>
          <w:tcPr>
            <w:tcW w:w="2148" w:type="pct"/>
            <w:vMerge/>
          </w:tcPr>
          <w:p w:rsidR="00CB0DD7" w:rsidRPr="000A0A5F" w:rsidRDefault="00CB0DD7">
            <w:pPr>
              <w:pStyle w:val="TAL"/>
              <w:spacing w:line="276" w:lineRule="auto"/>
            </w:pPr>
          </w:p>
        </w:tc>
        <w:tc>
          <w:tcPr>
            <w:tcW w:w="430" w:type="pct"/>
          </w:tcPr>
          <w:p w:rsidR="00CB0DD7" w:rsidRPr="000A0A5F" w:rsidRDefault="00CB0DD7">
            <w:pPr>
              <w:pStyle w:val="TAL"/>
              <w:spacing w:line="276" w:lineRule="auto"/>
            </w:pPr>
            <w:r w:rsidRPr="000A0A5F">
              <w:t>GET</w:t>
            </w:r>
          </w:p>
        </w:tc>
        <w:tc>
          <w:tcPr>
            <w:tcW w:w="1426" w:type="pct"/>
          </w:tcPr>
          <w:p w:rsidR="00CB0DD7" w:rsidRPr="000A0A5F" w:rsidRDefault="00CB0DD7">
            <w:pPr>
              <w:pStyle w:val="TAL"/>
              <w:spacing w:line="276" w:lineRule="auto"/>
            </w:pPr>
            <w:r w:rsidRPr="000A0A5F">
              <w:t>Read a subscription of monitoring event</w:t>
            </w:r>
          </w:p>
        </w:tc>
      </w:tr>
      <w:tr w:rsidR="00CB0DD7" w:rsidRPr="000A0A5F" w:rsidTr="00FF0AF8">
        <w:trPr>
          <w:trHeight w:val="257"/>
          <w:jc w:val="center"/>
        </w:trPr>
        <w:tc>
          <w:tcPr>
            <w:tcW w:w="996" w:type="pct"/>
            <w:vMerge/>
          </w:tcPr>
          <w:p w:rsidR="00CB0DD7" w:rsidRPr="000A0A5F" w:rsidRDefault="00CB0DD7">
            <w:pPr>
              <w:pStyle w:val="TAL"/>
              <w:spacing w:line="276" w:lineRule="auto"/>
              <w:rPr>
                <w:rFonts w:hint="eastAsia"/>
                <w:lang w:eastAsia="zh-CN"/>
              </w:rPr>
            </w:pPr>
          </w:p>
        </w:tc>
        <w:tc>
          <w:tcPr>
            <w:tcW w:w="2148" w:type="pct"/>
            <w:vMerge/>
          </w:tcPr>
          <w:p w:rsidR="00CB0DD7" w:rsidRPr="000A0A5F" w:rsidRDefault="00CB0DD7">
            <w:pPr>
              <w:pStyle w:val="TAL"/>
              <w:spacing w:line="276" w:lineRule="auto"/>
            </w:pPr>
          </w:p>
        </w:tc>
        <w:tc>
          <w:tcPr>
            <w:tcW w:w="430" w:type="pct"/>
          </w:tcPr>
          <w:p w:rsidR="00CB0DD7" w:rsidRPr="000A0A5F" w:rsidRDefault="00CB0DD7">
            <w:pPr>
              <w:pStyle w:val="TAL"/>
              <w:spacing w:line="276" w:lineRule="auto"/>
            </w:pPr>
            <w:r w:rsidRPr="000A0A5F">
              <w:t>DELETE</w:t>
            </w:r>
          </w:p>
        </w:tc>
        <w:tc>
          <w:tcPr>
            <w:tcW w:w="1426" w:type="pct"/>
          </w:tcPr>
          <w:p w:rsidR="00CB0DD7" w:rsidRPr="000A0A5F" w:rsidRDefault="00CB0DD7">
            <w:pPr>
              <w:pStyle w:val="TAL"/>
              <w:spacing w:line="276" w:lineRule="auto"/>
            </w:pPr>
            <w:r w:rsidRPr="000A0A5F">
              <w:t>Delete a subscription of monitoring event</w:t>
            </w:r>
          </w:p>
        </w:tc>
      </w:tr>
    </w:tbl>
    <w:p w:rsidR="00CB0DD7" w:rsidRPr="000A0A5F" w:rsidRDefault="00CB0DD7"/>
    <w:p w:rsidR="00CB0DD7" w:rsidRPr="000A0A5F" w:rsidRDefault="00CB0DD7">
      <w:pPr>
        <w:pStyle w:val="Heading4"/>
      </w:pPr>
      <w:bookmarkStart w:id="2164" w:name="_Toc11247334"/>
      <w:bookmarkStart w:id="2165" w:name="_Toc27044456"/>
      <w:bookmarkStart w:id="2166" w:name="_Toc36033498"/>
      <w:bookmarkStart w:id="2167" w:name="_Toc45131630"/>
      <w:bookmarkStart w:id="2168" w:name="_Toc49775915"/>
      <w:bookmarkStart w:id="2169" w:name="_Toc51746835"/>
      <w:bookmarkStart w:id="2170" w:name="_Toc66360380"/>
      <w:bookmarkStart w:id="2171" w:name="_Toc68104885"/>
      <w:bookmarkStart w:id="2172" w:name="_Toc74755515"/>
      <w:bookmarkStart w:id="2173" w:name="_Toc105674382"/>
      <w:bookmarkStart w:id="2174" w:name="_Toc130502422"/>
      <w:bookmarkStart w:id="2175" w:name="_Toc153625209"/>
      <w:r w:rsidRPr="000A0A5F">
        <w:t>5.3.3.2</w:t>
      </w:r>
      <w:r w:rsidRPr="000A0A5F">
        <w:tab/>
        <w:t>Resource: Monitoring Event Subscriptions</w:t>
      </w:r>
      <w:bookmarkEnd w:id="2164"/>
      <w:bookmarkEnd w:id="2165"/>
      <w:bookmarkEnd w:id="2166"/>
      <w:bookmarkEnd w:id="2167"/>
      <w:bookmarkEnd w:id="2168"/>
      <w:bookmarkEnd w:id="2169"/>
      <w:bookmarkEnd w:id="2170"/>
      <w:bookmarkEnd w:id="2171"/>
      <w:bookmarkEnd w:id="2172"/>
      <w:bookmarkEnd w:id="2173"/>
      <w:bookmarkEnd w:id="2174"/>
      <w:bookmarkEnd w:id="2175"/>
    </w:p>
    <w:p w:rsidR="00CB0DD7" w:rsidRPr="000A0A5F" w:rsidRDefault="00CB0DD7">
      <w:pPr>
        <w:pStyle w:val="Heading5"/>
      </w:pPr>
      <w:bookmarkStart w:id="2176" w:name="_Toc11247335"/>
      <w:bookmarkStart w:id="2177" w:name="_Toc27044457"/>
      <w:bookmarkStart w:id="2178" w:name="_Toc36033499"/>
      <w:bookmarkStart w:id="2179" w:name="_Toc45131631"/>
      <w:bookmarkStart w:id="2180" w:name="_Toc49775916"/>
      <w:bookmarkStart w:id="2181" w:name="_Toc51746836"/>
      <w:bookmarkStart w:id="2182" w:name="_Toc66360381"/>
      <w:bookmarkStart w:id="2183" w:name="_Toc68104886"/>
      <w:bookmarkStart w:id="2184" w:name="_Toc74755516"/>
      <w:bookmarkStart w:id="2185" w:name="_Toc105674383"/>
      <w:bookmarkStart w:id="2186" w:name="_Toc130502423"/>
      <w:bookmarkStart w:id="2187" w:name="_Toc153625210"/>
      <w:r w:rsidRPr="000A0A5F">
        <w:t>5.3.3.2.1</w:t>
      </w:r>
      <w:r w:rsidRPr="000A0A5F">
        <w:tab/>
        <w:t>Introduction</w:t>
      </w:r>
      <w:bookmarkEnd w:id="2176"/>
      <w:bookmarkEnd w:id="2177"/>
      <w:bookmarkEnd w:id="2178"/>
      <w:bookmarkEnd w:id="2179"/>
      <w:bookmarkEnd w:id="2180"/>
      <w:bookmarkEnd w:id="2181"/>
      <w:bookmarkEnd w:id="2182"/>
      <w:bookmarkEnd w:id="2183"/>
      <w:bookmarkEnd w:id="2184"/>
      <w:bookmarkEnd w:id="2185"/>
      <w:bookmarkEnd w:id="2186"/>
      <w:bookmarkEnd w:id="2187"/>
    </w:p>
    <w:p w:rsidR="00CB0DD7" w:rsidRPr="000A0A5F" w:rsidRDefault="00CB0DD7">
      <w:pPr>
        <w:rPr>
          <w:noProof/>
          <w:lang w:eastAsia="zh-CN"/>
        </w:rPr>
      </w:pPr>
      <w:r w:rsidRPr="000A0A5F">
        <w:rPr>
          <w:noProof/>
          <w:lang w:eastAsia="zh-CN"/>
        </w:rPr>
        <w:t>This resource allows an</w:t>
      </w:r>
      <w:r w:rsidRPr="000A0A5F">
        <w:rPr>
          <w:rFonts w:hint="eastAsia"/>
          <w:noProof/>
          <w:lang w:eastAsia="zh-CN"/>
        </w:rPr>
        <w:t xml:space="preserve"> SCS/AS </w:t>
      </w:r>
      <w:r w:rsidRPr="000A0A5F">
        <w:rPr>
          <w:noProof/>
          <w:lang w:eastAsia="zh-CN"/>
        </w:rPr>
        <w:t>to read all of the active monitoring event subscriptions or create a new monitoring event subscription for the SCS/AS at the SCEF.</w:t>
      </w:r>
    </w:p>
    <w:p w:rsidR="00CB0DD7" w:rsidRPr="000A0A5F" w:rsidRDefault="00CB0DD7">
      <w:pPr>
        <w:pStyle w:val="Heading5"/>
      </w:pPr>
      <w:bookmarkStart w:id="2188" w:name="_Toc11247336"/>
      <w:bookmarkStart w:id="2189" w:name="_Toc27044458"/>
      <w:bookmarkStart w:id="2190" w:name="_Toc36033500"/>
      <w:bookmarkStart w:id="2191" w:name="_Toc45131632"/>
      <w:bookmarkStart w:id="2192" w:name="_Toc49775917"/>
      <w:bookmarkStart w:id="2193" w:name="_Toc51746837"/>
      <w:bookmarkStart w:id="2194" w:name="_Toc66360382"/>
      <w:bookmarkStart w:id="2195" w:name="_Toc68104887"/>
      <w:bookmarkStart w:id="2196" w:name="_Toc74755517"/>
      <w:bookmarkStart w:id="2197" w:name="_Toc105674384"/>
      <w:bookmarkStart w:id="2198" w:name="_Toc130502424"/>
      <w:bookmarkStart w:id="2199" w:name="_Toc153625211"/>
      <w:r w:rsidRPr="000A0A5F">
        <w:t>5.3.3.2.2</w:t>
      </w:r>
      <w:r w:rsidRPr="000A0A5F">
        <w:tab/>
        <w:t>Resource definition</w:t>
      </w:r>
      <w:bookmarkEnd w:id="2188"/>
      <w:bookmarkEnd w:id="2189"/>
      <w:bookmarkEnd w:id="2190"/>
      <w:bookmarkEnd w:id="2191"/>
      <w:bookmarkEnd w:id="2192"/>
      <w:bookmarkEnd w:id="2193"/>
      <w:bookmarkEnd w:id="2194"/>
      <w:bookmarkEnd w:id="2195"/>
      <w:bookmarkEnd w:id="2196"/>
      <w:bookmarkEnd w:id="2197"/>
      <w:bookmarkEnd w:id="2198"/>
      <w:bookmarkEnd w:id="2199"/>
    </w:p>
    <w:p w:rsidR="00CB0DD7" w:rsidRPr="000A0A5F" w:rsidRDefault="00CB0DD7">
      <w:r w:rsidRPr="000A0A5F">
        <w:t xml:space="preserve">Resource URI: </w:t>
      </w:r>
      <w:r w:rsidRPr="000A0A5F">
        <w:rPr>
          <w:b/>
        </w:rPr>
        <w:t>{apiRoot}/3gpp-monitoring-event/v1/{scsAsId}/subscriptions</w:t>
      </w:r>
    </w:p>
    <w:p w:rsidR="00CB0DD7" w:rsidRPr="000A0A5F" w:rsidRDefault="00CB0DD7">
      <w:pPr>
        <w:rPr>
          <w:rFonts w:ascii="Arial" w:hAnsi="Arial" w:cs="Arial"/>
        </w:rPr>
      </w:pPr>
      <w:r w:rsidRPr="000A0A5F">
        <w:t>This resource shall support the resource URI variables defined in table 5.3.3.2.2-1</w:t>
      </w:r>
      <w:r w:rsidRPr="000A0A5F">
        <w:rPr>
          <w:rFonts w:ascii="Arial" w:hAnsi="Arial" w:cs="Arial"/>
        </w:rPr>
        <w:t>.</w:t>
      </w:r>
    </w:p>
    <w:p w:rsidR="00CB0DD7" w:rsidRPr="000A0A5F" w:rsidRDefault="00CB0DD7">
      <w:pPr>
        <w:pStyle w:val="TH"/>
        <w:rPr>
          <w:rFonts w:cs="Arial"/>
        </w:rPr>
      </w:pPr>
      <w:r w:rsidRPr="000A0A5F">
        <w:t>Table 5.3.3.2.2-1: Resource URI variables for resource "Monitoring Event Subscriptions"</w:t>
      </w:r>
    </w:p>
    <w:tbl>
      <w:tblPr>
        <w:tblW w:w="4868"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971"/>
        <w:gridCol w:w="1593"/>
        <w:gridCol w:w="5955"/>
      </w:tblGrid>
      <w:tr w:rsidR="00CB0DD7" w:rsidRPr="000A0A5F" w:rsidTr="00FF0AF8">
        <w:trPr>
          <w:jc w:val="center"/>
        </w:trPr>
        <w:tc>
          <w:tcPr>
            <w:tcW w:w="1035" w:type="pct"/>
            <w:shd w:val="clear" w:color="auto" w:fill="C0C0C0"/>
          </w:tcPr>
          <w:p w:rsidR="00CB0DD7" w:rsidRPr="000A0A5F" w:rsidRDefault="00CB0DD7">
            <w:pPr>
              <w:pStyle w:val="TAH"/>
            </w:pPr>
            <w:r w:rsidRPr="000A0A5F">
              <w:t>Name</w:t>
            </w:r>
          </w:p>
        </w:tc>
        <w:tc>
          <w:tcPr>
            <w:tcW w:w="837" w:type="pct"/>
            <w:shd w:val="clear" w:color="auto" w:fill="C0C0C0"/>
          </w:tcPr>
          <w:p w:rsidR="00CB0DD7" w:rsidRPr="000A0A5F" w:rsidRDefault="00CB0DD7">
            <w:pPr>
              <w:pStyle w:val="TAH"/>
            </w:pPr>
            <w:r w:rsidRPr="000A0A5F">
              <w:rPr>
                <w:rFonts w:hint="eastAsia"/>
                <w:lang w:eastAsia="zh-CN"/>
              </w:rPr>
              <w:t>D</w:t>
            </w:r>
            <w:r w:rsidRPr="000A0A5F">
              <w:rPr>
                <w:lang w:eastAsia="zh-CN"/>
              </w:rPr>
              <w:t>ata type</w:t>
            </w:r>
          </w:p>
        </w:tc>
        <w:tc>
          <w:tcPr>
            <w:tcW w:w="3128" w:type="pct"/>
            <w:shd w:val="clear" w:color="auto" w:fill="C0C0C0"/>
            <w:vAlign w:val="center"/>
          </w:tcPr>
          <w:p w:rsidR="00CB0DD7" w:rsidRPr="000A0A5F" w:rsidRDefault="00CB0DD7">
            <w:pPr>
              <w:pStyle w:val="TAH"/>
            </w:pPr>
            <w:r w:rsidRPr="000A0A5F">
              <w:t>Definition</w:t>
            </w:r>
          </w:p>
        </w:tc>
      </w:tr>
      <w:tr w:rsidR="00CB0DD7" w:rsidRPr="000A0A5F" w:rsidTr="00FF0AF8">
        <w:trPr>
          <w:jc w:val="center"/>
        </w:trPr>
        <w:tc>
          <w:tcPr>
            <w:tcW w:w="1035" w:type="pct"/>
            <w:shd w:val="clear" w:color="auto" w:fill="auto"/>
          </w:tcPr>
          <w:p w:rsidR="00CB0DD7" w:rsidRPr="000A0A5F" w:rsidRDefault="00CB0DD7">
            <w:pPr>
              <w:pStyle w:val="TAL"/>
            </w:pPr>
            <w:r w:rsidRPr="000A0A5F">
              <w:t>apiRoot</w:t>
            </w:r>
          </w:p>
        </w:tc>
        <w:tc>
          <w:tcPr>
            <w:tcW w:w="837" w:type="pct"/>
          </w:tcPr>
          <w:p w:rsidR="00CB0DD7" w:rsidRPr="000A0A5F" w:rsidRDefault="00CB0DD7">
            <w:pPr>
              <w:pStyle w:val="TAL"/>
            </w:pPr>
            <w:r w:rsidRPr="000A0A5F">
              <w:rPr>
                <w:rFonts w:hint="eastAsia"/>
                <w:lang w:eastAsia="zh-CN"/>
              </w:rPr>
              <w:t>s</w:t>
            </w:r>
            <w:r w:rsidRPr="000A0A5F">
              <w:rPr>
                <w:lang w:eastAsia="zh-CN"/>
              </w:rPr>
              <w:t>tring</w:t>
            </w:r>
          </w:p>
        </w:tc>
        <w:tc>
          <w:tcPr>
            <w:tcW w:w="3128" w:type="pct"/>
            <w:shd w:val="clear" w:color="auto" w:fill="auto"/>
            <w:vAlign w:val="center"/>
          </w:tcPr>
          <w:p w:rsidR="00CB0DD7" w:rsidRPr="000A0A5F" w:rsidRDefault="00CB0DD7">
            <w:pPr>
              <w:pStyle w:val="TAL"/>
            </w:pPr>
            <w:r w:rsidRPr="000A0A5F">
              <w:t>See clause</w:t>
            </w:r>
            <w:r w:rsidRPr="000A0A5F">
              <w:rPr>
                <w:lang w:val="en-US" w:eastAsia="zh-CN"/>
              </w:rPr>
              <w:t> </w:t>
            </w:r>
            <w:r w:rsidRPr="000A0A5F">
              <w:t>5.2.4.</w:t>
            </w:r>
          </w:p>
        </w:tc>
      </w:tr>
      <w:tr w:rsidR="00CB0DD7" w:rsidRPr="000A0A5F" w:rsidTr="00FF0AF8">
        <w:trPr>
          <w:jc w:val="center"/>
        </w:trPr>
        <w:tc>
          <w:tcPr>
            <w:tcW w:w="1035" w:type="pct"/>
            <w:shd w:val="clear" w:color="auto" w:fill="auto"/>
          </w:tcPr>
          <w:p w:rsidR="00CB0DD7" w:rsidRPr="000A0A5F" w:rsidRDefault="00CB0DD7">
            <w:pPr>
              <w:pStyle w:val="TAL"/>
            </w:pPr>
            <w:r w:rsidRPr="000A0A5F">
              <w:t>scsAsId</w:t>
            </w:r>
          </w:p>
        </w:tc>
        <w:tc>
          <w:tcPr>
            <w:tcW w:w="837" w:type="pct"/>
          </w:tcPr>
          <w:p w:rsidR="00CB0DD7" w:rsidRPr="000A0A5F" w:rsidRDefault="00CB0DD7">
            <w:pPr>
              <w:pStyle w:val="TAL"/>
            </w:pPr>
            <w:r w:rsidRPr="000A0A5F">
              <w:rPr>
                <w:rFonts w:hint="eastAsia"/>
                <w:lang w:eastAsia="zh-CN"/>
              </w:rPr>
              <w:t>s</w:t>
            </w:r>
            <w:r w:rsidRPr="000A0A5F">
              <w:rPr>
                <w:lang w:eastAsia="zh-CN"/>
              </w:rPr>
              <w:t>tring</w:t>
            </w:r>
          </w:p>
        </w:tc>
        <w:tc>
          <w:tcPr>
            <w:tcW w:w="3128" w:type="pct"/>
            <w:shd w:val="clear" w:color="auto" w:fill="auto"/>
            <w:vAlign w:val="center"/>
          </w:tcPr>
          <w:p w:rsidR="00CB0DD7" w:rsidRPr="000A0A5F" w:rsidRDefault="00CB0DD7">
            <w:pPr>
              <w:pStyle w:val="TAL"/>
            </w:pPr>
            <w:r w:rsidRPr="000A0A5F">
              <w:t>Identifier of the SCS/AS.</w:t>
            </w:r>
          </w:p>
        </w:tc>
      </w:tr>
    </w:tbl>
    <w:p w:rsidR="00CB0DD7" w:rsidRPr="000A0A5F" w:rsidRDefault="00CB0DD7"/>
    <w:p w:rsidR="00CB0DD7" w:rsidRPr="000A0A5F" w:rsidRDefault="00CB0DD7">
      <w:pPr>
        <w:pStyle w:val="Heading5"/>
      </w:pPr>
      <w:bookmarkStart w:id="2200" w:name="_Toc11247337"/>
      <w:bookmarkStart w:id="2201" w:name="_Toc27044459"/>
      <w:bookmarkStart w:id="2202" w:name="_Toc36033501"/>
      <w:bookmarkStart w:id="2203" w:name="_Toc45131633"/>
      <w:bookmarkStart w:id="2204" w:name="_Toc49775918"/>
      <w:bookmarkStart w:id="2205" w:name="_Toc51746838"/>
      <w:bookmarkStart w:id="2206" w:name="_Toc66360383"/>
      <w:bookmarkStart w:id="2207" w:name="_Toc68104888"/>
      <w:bookmarkStart w:id="2208" w:name="_Toc74755518"/>
      <w:bookmarkStart w:id="2209" w:name="_Toc105674385"/>
      <w:bookmarkStart w:id="2210" w:name="_Toc130502425"/>
      <w:bookmarkStart w:id="2211" w:name="_Toc153625212"/>
      <w:r w:rsidRPr="000A0A5F">
        <w:t>5.3.3.2.3</w:t>
      </w:r>
      <w:r w:rsidRPr="000A0A5F">
        <w:tab/>
        <w:t>Resource methods</w:t>
      </w:r>
      <w:bookmarkEnd w:id="2200"/>
      <w:bookmarkEnd w:id="2201"/>
      <w:bookmarkEnd w:id="2202"/>
      <w:bookmarkEnd w:id="2203"/>
      <w:bookmarkEnd w:id="2204"/>
      <w:bookmarkEnd w:id="2205"/>
      <w:bookmarkEnd w:id="2206"/>
      <w:bookmarkEnd w:id="2207"/>
      <w:bookmarkEnd w:id="2208"/>
      <w:bookmarkEnd w:id="2209"/>
      <w:bookmarkEnd w:id="2210"/>
      <w:bookmarkEnd w:id="2211"/>
    </w:p>
    <w:p w:rsidR="00CB0DD7" w:rsidRPr="000A0A5F" w:rsidRDefault="00CB0DD7">
      <w:pPr>
        <w:pStyle w:val="Heading6"/>
      </w:pPr>
      <w:bookmarkStart w:id="2212" w:name="_Toc11247338"/>
      <w:bookmarkStart w:id="2213" w:name="_Toc27044460"/>
      <w:bookmarkStart w:id="2214" w:name="_Toc36033502"/>
      <w:bookmarkStart w:id="2215" w:name="_Toc45131634"/>
      <w:bookmarkStart w:id="2216" w:name="_Toc49775919"/>
      <w:bookmarkStart w:id="2217" w:name="_Toc51746839"/>
      <w:bookmarkStart w:id="2218" w:name="_Toc66360384"/>
      <w:bookmarkStart w:id="2219" w:name="_Toc68104889"/>
      <w:bookmarkStart w:id="2220" w:name="_Toc74755519"/>
      <w:bookmarkStart w:id="2221" w:name="_Toc105674386"/>
      <w:bookmarkStart w:id="2222" w:name="_Toc130502426"/>
      <w:bookmarkStart w:id="2223" w:name="_Toc153625213"/>
      <w:r w:rsidRPr="000A0A5F">
        <w:t>5.3.3.2.3.1</w:t>
      </w:r>
      <w:r w:rsidRPr="000A0A5F">
        <w:tab/>
        <w:t>GET</w:t>
      </w:r>
      <w:bookmarkEnd w:id="2212"/>
      <w:bookmarkEnd w:id="2213"/>
      <w:bookmarkEnd w:id="2214"/>
      <w:bookmarkEnd w:id="2215"/>
      <w:bookmarkEnd w:id="2216"/>
      <w:bookmarkEnd w:id="2217"/>
      <w:bookmarkEnd w:id="2218"/>
      <w:bookmarkEnd w:id="2219"/>
      <w:bookmarkEnd w:id="2220"/>
      <w:bookmarkEnd w:id="2221"/>
      <w:bookmarkEnd w:id="2222"/>
      <w:bookmarkEnd w:id="2223"/>
    </w:p>
    <w:p w:rsidR="00CB0DD7" w:rsidRPr="000A0A5F" w:rsidRDefault="00CB0DD7">
      <w:pPr>
        <w:rPr>
          <w:noProof/>
          <w:lang w:eastAsia="zh-CN"/>
        </w:rPr>
      </w:pPr>
      <w:bookmarkStart w:id="2224" w:name="_Hlk489399143"/>
      <w:r w:rsidRPr="000A0A5F">
        <w:rPr>
          <w:noProof/>
          <w:lang w:eastAsia="zh-CN"/>
        </w:rPr>
        <w:t xml:space="preserve">The GET method allows to read all </w:t>
      </w:r>
      <w:r w:rsidR="009E4BF4" w:rsidRPr="000A0A5F">
        <w:t xml:space="preserve">or queried </w:t>
      </w:r>
      <w:r w:rsidRPr="000A0A5F">
        <w:rPr>
          <w:noProof/>
          <w:lang w:eastAsia="zh-CN"/>
        </w:rPr>
        <w:t xml:space="preserve">active subscriptions for a given SCS/AS. The SCS/AS shall initiate the HTTP GET request message and the SCEF shall respond to the message. </w:t>
      </w:r>
    </w:p>
    <w:p w:rsidR="00CB0DD7" w:rsidRPr="000A0A5F" w:rsidRDefault="00CB0DD7">
      <w:r w:rsidRPr="000A0A5F">
        <w:t>This method shall support the URI query parameters, request and response data structures, and response codes, as specified in the table 5.3.3.2.3.1-1 and table 5.3.3.2.3.1-2.</w:t>
      </w:r>
    </w:p>
    <w:p w:rsidR="00CB0DD7" w:rsidRPr="000A0A5F" w:rsidRDefault="00CB0DD7">
      <w:pPr>
        <w:pStyle w:val="TH"/>
        <w:rPr>
          <w:rFonts w:cs="Arial"/>
        </w:rPr>
      </w:pPr>
      <w:r w:rsidRPr="000A0A5F">
        <w:t xml:space="preserve">Table 5.3.3.2.3.1-1: URI query parameters supported by the GET method on this resource </w:t>
      </w:r>
    </w:p>
    <w:tbl>
      <w:tblPr>
        <w:tblW w:w="492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476"/>
        <w:gridCol w:w="1587"/>
        <w:gridCol w:w="1079"/>
        <w:gridCol w:w="4197"/>
        <w:gridCol w:w="1282"/>
      </w:tblGrid>
      <w:tr w:rsidR="000A0A6A" w:rsidRPr="000A0A5F" w:rsidTr="00E34307">
        <w:trPr>
          <w:jc w:val="center"/>
        </w:trPr>
        <w:tc>
          <w:tcPr>
            <w:tcW w:w="767" w:type="pct"/>
            <w:shd w:val="clear" w:color="000000" w:fill="C0C0C0"/>
            <w:vAlign w:val="center"/>
          </w:tcPr>
          <w:p w:rsidR="000A0A6A" w:rsidRPr="000A0A5F" w:rsidRDefault="000A0A6A" w:rsidP="000A0A6A">
            <w:pPr>
              <w:pStyle w:val="TAH"/>
            </w:pPr>
            <w:r w:rsidRPr="000A0A5F">
              <w:t>Name</w:t>
            </w:r>
          </w:p>
        </w:tc>
        <w:tc>
          <w:tcPr>
            <w:tcW w:w="825" w:type="pct"/>
            <w:shd w:val="clear" w:color="000000" w:fill="C0C0C0"/>
            <w:vAlign w:val="center"/>
          </w:tcPr>
          <w:p w:rsidR="000A0A6A" w:rsidRPr="000A0A5F" w:rsidRDefault="000A0A6A" w:rsidP="000A0A6A">
            <w:pPr>
              <w:pStyle w:val="TAH"/>
            </w:pPr>
            <w:r w:rsidRPr="000A0A5F">
              <w:t>Data type</w:t>
            </w:r>
          </w:p>
        </w:tc>
        <w:tc>
          <w:tcPr>
            <w:tcW w:w="561" w:type="pct"/>
            <w:shd w:val="clear" w:color="000000" w:fill="C0C0C0"/>
            <w:vAlign w:val="center"/>
          </w:tcPr>
          <w:p w:rsidR="000A0A6A" w:rsidRPr="000A0A5F" w:rsidRDefault="000A0A6A" w:rsidP="000A0A6A">
            <w:pPr>
              <w:pStyle w:val="TAH"/>
            </w:pPr>
            <w:r w:rsidRPr="000A0A5F">
              <w:t>Cardinality</w:t>
            </w:r>
          </w:p>
        </w:tc>
        <w:tc>
          <w:tcPr>
            <w:tcW w:w="2181" w:type="pct"/>
            <w:shd w:val="clear" w:color="000000" w:fill="C0C0C0"/>
            <w:vAlign w:val="center"/>
          </w:tcPr>
          <w:p w:rsidR="000A0A6A" w:rsidRPr="000A0A5F" w:rsidRDefault="000A0A6A" w:rsidP="000A0A6A">
            <w:pPr>
              <w:pStyle w:val="TAH"/>
            </w:pPr>
            <w:r w:rsidRPr="000A0A5F">
              <w:t>Remarks</w:t>
            </w:r>
          </w:p>
        </w:tc>
        <w:tc>
          <w:tcPr>
            <w:tcW w:w="666" w:type="pct"/>
            <w:shd w:val="clear" w:color="000000" w:fill="C0C0C0"/>
            <w:vAlign w:val="center"/>
          </w:tcPr>
          <w:p w:rsidR="000A0A6A" w:rsidRPr="000A0A5F" w:rsidRDefault="000A0A6A" w:rsidP="000A0A6A">
            <w:pPr>
              <w:pStyle w:val="TAH"/>
            </w:pPr>
            <w:r w:rsidRPr="000A0A5F">
              <w:t>Applicability</w:t>
            </w:r>
          </w:p>
        </w:tc>
      </w:tr>
      <w:tr w:rsidR="000A0A6A" w:rsidRPr="000A0A5F" w:rsidTr="00E34307">
        <w:trPr>
          <w:jc w:val="center"/>
        </w:trPr>
        <w:tc>
          <w:tcPr>
            <w:tcW w:w="767" w:type="pct"/>
            <w:shd w:val="clear" w:color="auto" w:fill="auto"/>
            <w:vAlign w:val="center"/>
          </w:tcPr>
          <w:p w:rsidR="000A0A6A" w:rsidRPr="000A0A5F" w:rsidRDefault="00304356" w:rsidP="000A0A6A">
            <w:pPr>
              <w:pStyle w:val="TAL"/>
            </w:pPr>
            <w:r w:rsidRPr="000A0A5F">
              <w:t>i</w:t>
            </w:r>
            <w:r w:rsidR="000A0A6A" w:rsidRPr="000A0A5F">
              <w:t>p-addrs</w:t>
            </w:r>
          </w:p>
        </w:tc>
        <w:tc>
          <w:tcPr>
            <w:tcW w:w="825" w:type="pct"/>
            <w:vAlign w:val="center"/>
          </w:tcPr>
          <w:p w:rsidR="000A0A6A" w:rsidRPr="000A0A5F" w:rsidRDefault="000A0A6A" w:rsidP="000A0A6A">
            <w:pPr>
              <w:pStyle w:val="TAL"/>
            </w:pPr>
            <w:r w:rsidRPr="000A0A5F">
              <w:t>array(IpAddr)</w:t>
            </w:r>
          </w:p>
        </w:tc>
        <w:tc>
          <w:tcPr>
            <w:tcW w:w="561" w:type="pct"/>
            <w:vAlign w:val="center"/>
          </w:tcPr>
          <w:p w:rsidR="000A0A6A" w:rsidRPr="000A0A5F" w:rsidRDefault="000A0A6A" w:rsidP="000A0A6A">
            <w:pPr>
              <w:pStyle w:val="TAL"/>
            </w:pPr>
            <w:r w:rsidRPr="000A0A5F">
              <w:t>0..N</w:t>
            </w:r>
          </w:p>
        </w:tc>
        <w:tc>
          <w:tcPr>
            <w:tcW w:w="2181" w:type="pct"/>
            <w:shd w:val="clear" w:color="auto" w:fill="auto"/>
            <w:vAlign w:val="center"/>
          </w:tcPr>
          <w:p w:rsidR="000A0A6A" w:rsidRPr="000A0A5F" w:rsidRDefault="000A0A6A" w:rsidP="000A0A6A">
            <w:pPr>
              <w:pStyle w:val="TAL"/>
            </w:pPr>
            <w:r w:rsidRPr="000A0A5F">
              <w:t>The IP address(es) of the requested UE(s).</w:t>
            </w:r>
            <w:r w:rsidR="00E34307" w:rsidRPr="000A0A5F">
              <w:t xml:space="preserve"> (NOTE)</w:t>
            </w:r>
          </w:p>
        </w:tc>
        <w:tc>
          <w:tcPr>
            <w:tcW w:w="666" w:type="pct"/>
            <w:vAlign w:val="center"/>
          </w:tcPr>
          <w:p w:rsidR="000A0A6A" w:rsidRPr="000A0A5F" w:rsidRDefault="000A0A6A" w:rsidP="000A0A6A">
            <w:pPr>
              <w:pStyle w:val="TAL"/>
            </w:pPr>
            <w:r w:rsidRPr="000A0A5F">
              <w:t>enNB</w:t>
            </w:r>
          </w:p>
        </w:tc>
      </w:tr>
      <w:tr w:rsidR="000A0A6A" w:rsidRPr="000A0A5F" w:rsidTr="00E34307">
        <w:trPr>
          <w:jc w:val="center"/>
        </w:trPr>
        <w:tc>
          <w:tcPr>
            <w:tcW w:w="767" w:type="pct"/>
            <w:shd w:val="clear" w:color="auto" w:fill="auto"/>
            <w:vAlign w:val="center"/>
          </w:tcPr>
          <w:p w:rsidR="000A0A6A" w:rsidRPr="000A0A5F" w:rsidRDefault="000A0A6A" w:rsidP="000A0A6A">
            <w:pPr>
              <w:pStyle w:val="TAL"/>
            </w:pPr>
            <w:r w:rsidRPr="000A0A5F">
              <w:t>ip-domain</w:t>
            </w:r>
          </w:p>
        </w:tc>
        <w:tc>
          <w:tcPr>
            <w:tcW w:w="825" w:type="pct"/>
            <w:vAlign w:val="center"/>
          </w:tcPr>
          <w:p w:rsidR="000A0A6A" w:rsidRPr="000A0A5F" w:rsidRDefault="000A0A6A" w:rsidP="000A0A6A">
            <w:pPr>
              <w:pStyle w:val="TAL"/>
            </w:pPr>
            <w:r w:rsidRPr="000A0A5F">
              <w:t>string</w:t>
            </w:r>
          </w:p>
        </w:tc>
        <w:tc>
          <w:tcPr>
            <w:tcW w:w="561" w:type="pct"/>
            <w:vAlign w:val="center"/>
          </w:tcPr>
          <w:p w:rsidR="000A0A6A" w:rsidRPr="000A0A5F" w:rsidRDefault="000A0A6A" w:rsidP="000A0A6A">
            <w:pPr>
              <w:pStyle w:val="TAL"/>
            </w:pPr>
            <w:r w:rsidRPr="000A0A5F">
              <w:t>0..1</w:t>
            </w:r>
          </w:p>
        </w:tc>
        <w:tc>
          <w:tcPr>
            <w:tcW w:w="2181" w:type="pct"/>
            <w:shd w:val="clear" w:color="auto" w:fill="auto"/>
            <w:vAlign w:val="center"/>
          </w:tcPr>
          <w:p w:rsidR="000A0A6A" w:rsidRPr="000A0A5F" w:rsidRDefault="000A0A6A" w:rsidP="000A0A6A">
            <w:pPr>
              <w:pStyle w:val="TAL"/>
            </w:pPr>
            <w:r w:rsidRPr="000A0A5F">
              <w:t>The IPv4 address domain identifier.</w:t>
            </w:r>
          </w:p>
          <w:p w:rsidR="000A0A6A" w:rsidRPr="000A0A5F" w:rsidRDefault="000A0A6A" w:rsidP="000A0A6A">
            <w:pPr>
              <w:pStyle w:val="TAL"/>
            </w:pPr>
            <w:r w:rsidRPr="000A0A5F">
              <w:t>The attribute may only be provided if IPv4 address is included in the ip-addrs query parameter.</w:t>
            </w:r>
          </w:p>
        </w:tc>
        <w:tc>
          <w:tcPr>
            <w:tcW w:w="666" w:type="pct"/>
            <w:vAlign w:val="center"/>
          </w:tcPr>
          <w:p w:rsidR="000A0A6A" w:rsidRPr="000A0A5F" w:rsidRDefault="000A0A6A" w:rsidP="000A0A6A">
            <w:pPr>
              <w:pStyle w:val="TAL"/>
            </w:pPr>
            <w:r w:rsidRPr="000A0A5F">
              <w:t>enNB</w:t>
            </w:r>
          </w:p>
        </w:tc>
      </w:tr>
      <w:tr w:rsidR="000A0A6A" w:rsidRPr="000A0A5F" w:rsidTr="00E34307">
        <w:trPr>
          <w:jc w:val="center"/>
        </w:trPr>
        <w:tc>
          <w:tcPr>
            <w:tcW w:w="767" w:type="pct"/>
            <w:shd w:val="clear" w:color="auto" w:fill="auto"/>
            <w:vAlign w:val="center"/>
          </w:tcPr>
          <w:p w:rsidR="000A0A6A" w:rsidRPr="000A0A5F" w:rsidRDefault="000A0A6A" w:rsidP="000A0A6A">
            <w:pPr>
              <w:pStyle w:val="TAL"/>
            </w:pPr>
            <w:r w:rsidRPr="000A0A5F">
              <w:t>mac-addrs</w:t>
            </w:r>
          </w:p>
        </w:tc>
        <w:tc>
          <w:tcPr>
            <w:tcW w:w="825" w:type="pct"/>
            <w:vAlign w:val="center"/>
          </w:tcPr>
          <w:p w:rsidR="000A0A6A" w:rsidRPr="000A0A5F" w:rsidRDefault="000A0A6A" w:rsidP="000A0A6A">
            <w:pPr>
              <w:pStyle w:val="TAL"/>
            </w:pPr>
            <w:r w:rsidRPr="000A0A5F">
              <w:t>array(MacAddr48)</w:t>
            </w:r>
          </w:p>
        </w:tc>
        <w:tc>
          <w:tcPr>
            <w:tcW w:w="561" w:type="pct"/>
            <w:vAlign w:val="center"/>
          </w:tcPr>
          <w:p w:rsidR="000A0A6A" w:rsidRPr="000A0A5F" w:rsidRDefault="000A0A6A" w:rsidP="000A0A6A">
            <w:pPr>
              <w:pStyle w:val="TAL"/>
            </w:pPr>
            <w:r w:rsidRPr="000A0A5F">
              <w:t>0..N</w:t>
            </w:r>
          </w:p>
        </w:tc>
        <w:tc>
          <w:tcPr>
            <w:tcW w:w="2181" w:type="pct"/>
            <w:shd w:val="clear" w:color="auto" w:fill="auto"/>
            <w:vAlign w:val="center"/>
          </w:tcPr>
          <w:p w:rsidR="000A0A6A" w:rsidRPr="000A0A5F" w:rsidRDefault="000A0A6A" w:rsidP="000A0A6A">
            <w:pPr>
              <w:pStyle w:val="TAL"/>
            </w:pPr>
            <w:r w:rsidRPr="000A0A5F">
              <w:t>The MAC address(es) of the requested UE(s).</w:t>
            </w:r>
            <w:r w:rsidR="00E34307" w:rsidRPr="000A0A5F">
              <w:t xml:space="preserve"> (NOTE)</w:t>
            </w:r>
          </w:p>
        </w:tc>
        <w:tc>
          <w:tcPr>
            <w:tcW w:w="666" w:type="pct"/>
            <w:vAlign w:val="center"/>
          </w:tcPr>
          <w:p w:rsidR="000A0A6A" w:rsidRPr="000A0A5F" w:rsidRDefault="000A0A6A" w:rsidP="000A0A6A">
            <w:pPr>
              <w:pStyle w:val="TAL"/>
            </w:pPr>
            <w:r w:rsidRPr="000A0A5F">
              <w:t>enNB</w:t>
            </w:r>
          </w:p>
        </w:tc>
      </w:tr>
      <w:tr w:rsidR="00E34307" w:rsidRPr="000A0A5F" w:rsidTr="00E34307">
        <w:trPr>
          <w:jc w:val="center"/>
        </w:trPr>
        <w:tc>
          <w:tcPr>
            <w:tcW w:w="5000" w:type="pct"/>
            <w:gridSpan w:val="5"/>
            <w:shd w:val="clear" w:color="auto" w:fill="auto"/>
            <w:vAlign w:val="center"/>
          </w:tcPr>
          <w:p w:rsidR="00E34307" w:rsidRPr="000A0A5F" w:rsidRDefault="00E34307" w:rsidP="00E34307">
            <w:pPr>
              <w:pStyle w:val="TAN"/>
            </w:pPr>
            <w:r w:rsidRPr="000A0A5F">
              <w:t>NOTE:</w:t>
            </w:r>
            <w:r w:rsidRPr="000A0A5F">
              <w:tab/>
              <w:t>Either the "ip-addrs" parameter or the "mac-addrs" parameter may be provided at the same time. If multiple elements are provided in the array data structure, then each element shall be treated as a separate query parameter.</w:t>
            </w:r>
          </w:p>
        </w:tc>
      </w:tr>
    </w:tbl>
    <w:p w:rsidR="00CB0DD7" w:rsidRPr="000A0A5F" w:rsidRDefault="00CB0DD7"/>
    <w:p w:rsidR="00CB0DD7" w:rsidRPr="000A0A5F" w:rsidRDefault="00CB0DD7">
      <w:pPr>
        <w:pStyle w:val="TH"/>
      </w:pPr>
      <w:r w:rsidRPr="000A0A5F">
        <w:t>Table 5.3.3.2.3.1-2: Data structures supported by the GET request/response by the resource</w:t>
      </w:r>
    </w:p>
    <w:tbl>
      <w:tblPr>
        <w:tblW w:w="4999" w:type="pct"/>
        <w:tblInd w:w="1"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top w:w="45" w:type="dxa"/>
          <w:left w:w="45" w:type="dxa"/>
          <w:bottom w:w="45" w:type="dxa"/>
          <w:right w:w="45" w:type="dxa"/>
        </w:tblCellMar>
        <w:tblLook w:val="0000" w:firstRow="0" w:lastRow="0" w:firstColumn="0" w:lastColumn="0" w:noHBand="0" w:noVBand="0"/>
      </w:tblPr>
      <w:tblGrid>
        <w:gridCol w:w="1035"/>
        <w:gridCol w:w="2127"/>
        <w:gridCol w:w="1053"/>
        <w:gridCol w:w="973"/>
        <w:gridCol w:w="4541"/>
      </w:tblGrid>
      <w:tr w:rsidR="00CB0DD7" w:rsidRPr="000A0A5F" w:rsidTr="00FF0AF8">
        <w:tc>
          <w:tcPr>
            <w:tcW w:w="532" w:type="pct"/>
            <w:vMerge w:val="restart"/>
            <w:shd w:val="clear" w:color="auto" w:fill="C0C0C0"/>
            <w:vAlign w:val="center"/>
          </w:tcPr>
          <w:p w:rsidR="00CB0DD7" w:rsidRPr="000A0A5F" w:rsidRDefault="00CB0DD7">
            <w:pPr>
              <w:pStyle w:val="TAH"/>
            </w:pPr>
            <w:r w:rsidRPr="000A0A5F">
              <w:t>Request body</w:t>
            </w:r>
          </w:p>
        </w:tc>
        <w:tc>
          <w:tcPr>
            <w:tcW w:w="1093" w:type="pct"/>
            <w:shd w:val="clear" w:color="auto" w:fill="C0C0C0"/>
          </w:tcPr>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r w:rsidRPr="000A0A5F">
              <w:t>Cardinality</w:t>
            </w:r>
          </w:p>
        </w:tc>
        <w:tc>
          <w:tcPr>
            <w:tcW w:w="2834" w:type="pct"/>
            <w:gridSpan w:val="2"/>
            <w:shd w:val="clear" w:color="auto" w:fill="C0C0C0"/>
          </w:tcPr>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none</w:t>
            </w:r>
          </w:p>
        </w:tc>
        <w:tc>
          <w:tcPr>
            <w:tcW w:w="541" w:type="pct"/>
          </w:tcPr>
          <w:p w:rsidR="00CB0DD7" w:rsidRPr="000A0A5F" w:rsidRDefault="00CB0DD7">
            <w:pPr>
              <w:pStyle w:val="TAL"/>
            </w:pPr>
          </w:p>
        </w:tc>
        <w:tc>
          <w:tcPr>
            <w:tcW w:w="2834" w:type="pct"/>
            <w:gridSpan w:val="2"/>
          </w:tcPr>
          <w:p w:rsidR="00CB0DD7" w:rsidRPr="000A0A5F" w:rsidRDefault="00CB0DD7">
            <w:pPr>
              <w:pStyle w:val="TAL"/>
            </w:pPr>
          </w:p>
        </w:tc>
      </w:tr>
      <w:tr w:rsidR="00CB0DD7" w:rsidRPr="000A0A5F" w:rsidTr="00FF0AF8">
        <w:tc>
          <w:tcPr>
            <w:tcW w:w="532" w:type="pct"/>
            <w:vMerge w:val="restart"/>
            <w:shd w:val="clear" w:color="auto" w:fill="C0C0C0"/>
            <w:vAlign w:val="center"/>
          </w:tcPr>
          <w:p w:rsidR="00CB0DD7" w:rsidRPr="000A0A5F" w:rsidRDefault="00CB0DD7">
            <w:pPr>
              <w:pStyle w:val="TAH"/>
            </w:pPr>
            <w:r w:rsidRPr="000A0A5F">
              <w:t>Response body</w:t>
            </w:r>
          </w:p>
        </w:tc>
        <w:tc>
          <w:tcPr>
            <w:tcW w:w="1093" w:type="pct"/>
            <w:shd w:val="clear" w:color="auto" w:fill="C0C0C0"/>
          </w:tcPr>
          <w:p w:rsidR="00CB0DD7" w:rsidRPr="000A0A5F" w:rsidRDefault="00CB0DD7">
            <w:pPr>
              <w:pStyle w:val="TAH"/>
            </w:pPr>
          </w:p>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p>
          <w:p w:rsidR="00CB0DD7" w:rsidRPr="000A0A5F" w:rsidRDefault="00CB0DD7">
            <w:pPr>
              <w:pStyle w:val="TAH"/>
            </w:pPr>
            <w:r w:rsidRPr="000A0A5F">
              <w:t>Cardinality</w:t>
            </w:r>
          </w:p>
        </w:tc>
        <w:tc>
          <w:tcPr>
            <w:tcW w:w="500" w:type="pct"/>
            <w:shd w:val="clear" w:color="auto" w:fill="C0C0C0"/>
          </w:tcPr>
          <w:p w:rsidR="00CB0DD7" w:rsidRPr="000A0A5F" w:rsidRDefault="00CB0DD7">
            <w:pPr>
              <w:pStyle w:val="TAH"/>
            </w:pPr>
            <w:r w:rsidRPr="000A0A5F">
              <w:t>Response</w:t>
            </w:r>
          </w:p>
          <w:p w:rsidR="00CB0DD7" w:rsidRPr="000A0A5F" w:rsidRDefault="00CB0DD7">
            <w:pPr>
              <w:pStyle w:val="TAH"/>
            </w:pPr>
            <w:r w:rsidRPr="000A0A5F">
              <w:t>codes</w:t>
            </w:r>
          </w:p>
        </w:tc>
        <w:tc>
          <w:tcPr>
            <w:tcW w:w="2334" w:type="pct"/>
            <w:shd w:val="clear" w:color="auto" w:fill="C0C0C0"/>
          </w:tcPr>
          <w:p w:rsidR="00CB0DD7" w:rsidRPr="000A0A5F" w:rsidRDefault="00CB0DD7">
            <w:pPr>
              <w:pStyle w:val="TAH"/>
            </w:pPr>
          </w:p>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array(MonitoringEventSubscription)</w:t>
            </w:r>
          </w:p>
        </w:tc>
        <w:tc>
          <w:tcPr>
            <w:tcW w:w="541" w:type="pct"/>
          </w:tcPr>
          <w:p w:rsidR="00CB0DD7" w:rsidRPr="000A0A5F" w:rsidRDefault="00CB0DD7">
            <w:pPr>
              <w:pStyle w:val="TAL"/>
            </w:pPr>
            <w:r w:rsidRPr="000A0A5F">
              <w:t>0..N</w:t>
            </w:r>
          </w:p>
        </w:tc>
        <w:tc>
          <w:tcPr>
            <w:tcW w:w="500" w:type="pct"/>
          </w:tcPr>
          <w:p w:rsidR="00CB0DD7" w:rsidRPr="000A0A5F" w:rsidRDefault="00CB0DD7">
            <w:pPr>
              <w:pStyle w:val="TAL"/>
            </w:pPr>
            <w:r w:rsidRPr="000A0A5F">
              <w:t>200 OK</w:t>
            </w:r>
          </w:p>
        </w:tc>
        <w:tc>
          <w:tcPr>
            <w:tcW w:w="2334" w:type="pct"/>
          </w:tcPr>
          <w:p w:rsidR="00CB0DD7" w:rsidRPr="000A0A5F" w:rsidRDefault="00CB0DD7">
            <w:pPr>
              <w:pStyle w:val="TAL"/>
            </w:pPr>
            <w:r w:rsidRPr="000A0A5F">
              <w:t>The subscription information for the SCS/AS in the request URI are returned.</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none</w:t>
            </w:r>
          </w:p>
        </w:tc>
        <w:tc>
          <w:tcPr>
            <w:tcW w:w="541" w:type="pct"/>
          </w:tcPr>
          <w:p w:rsidR="00CB0DD7" w:rsidRPr="000A0A5F" w:rsidRDefault="00CB0DD7">
            <w:pPr>
              <w:pStyle w:val="TAL"/>
            </w:pPr>
          </w:p>
        </w:tc>
        <w:tc>
          <w:tcPr>
            <w:tcW w:w="500" w:type="pct"/>
          </w:tcPr>
          <w:p w:rsidR="00CB0DD7" w:rsidRPr="000A0A5F" w:rsidRDefault="00CB0DD7">
            <w:pPr>
              <w:pStyle w:val="TAL"/>
            </w:pPr>
            <w:r w:rsidRPr="000A0A5F">
              <w:t>307 Temporary Redirect</w:t>
            </w:r>
          </w:p>
        </w:tc>
        <w:tc>
          <w:tcPr>
            <w:tcW w:w="2334" w:type="pct"/>
          </w:tcPr>
          <w:p w:rsidR="00CB0DD7" w:rsidRPr="000A0A5F" w:rsidRDefault="00CB0DD7">
            <w:pPr>
              <w:pStyle w:val="TAL"/>
            </w:pPr>
            <w:r w:rsidRPr="000A0A5F">
              <w:t>Temporary redirection, during subscription retrieval. The response shall include a Location header field containing an alternative URI of the resource located in an alternative SCEF.</w:t>
            </w:r>
          </w:p>
          <w:p w:rsidR="00CB0DD7" w:rsidRPr="000A0A5F" w:rsidRDefault="00CB0DD7">
            <w:pPr>
              <w:pStyle w:val="TAL"/>
            </w:pPr>
            <w:r w:rsidRPr="000A0A5F">
              <w:t>Redirection handling is described in clause 5.2.10.</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none</w:t>
            </w:r>
          </w:p>
        </w:tc>
        <w:tc>
          <w:tcPr>
            <w:tcW w:w="541" w:type="pct"/>
          </w:tcPr>
          <w:p w:rsidR="00CB0DD7" w:rsidRPr="000A0A5F" w:rsidRDefault="00CB0DD7">
            <w:pPr>
              <w:pStyle w:val="TAL"/>
            </w:pPr>
          </w:p>
        </w:tc>
        <w:tc>
          <w:tcPr>
            <w:tcW w:w="500" w:type="pct"/>
          </w:tcPr>
          <w:p w:rsidR="00CB0DD7" w:rsidRPr="000A0A5F" w:rsidRDefault="00CB0DD7">
            <w:pPr>
              <w:pStyle w:val="TAL"/>
            </w:pPr>
            <w:r w:rsidRPr="000A0A5F">
              <w:t>308 Permanent Redirect</w:t>
            </w:r>
          </w:p>
        </w:tc>
        <w:tc>
          <w:tcPr>
            <w:tcW w:w="2334" w:type="pct"/>
          </w:tcPr>
          <w:p w:rsidR="00CB0DD7" w:rsidRPr="000A0A5F" w:rsidRDefault="00CB0DD7">
            <w:pPr>
              <w:pStyle w:val="TAL"/>
            </w:pPr>
            <w:r w:rsidRPr="000A0A5F">
              <w:t>Permanent redirection, during subscription retrieval. The response shall include a Location header field containing an alternative URI of the resource located in an alternative SCEF.</w:t>
            </w:r>
          </w:p>
          <w:p w:rsidR="00CB0DD7" w:rsidRPr="000A0A5F" w:rsidRDefault="00CB0DD7">
            <w:pPr>
              <w:pStyle w:val="TAL"/>
            </w:pPr>
            <w:r w:rsidRPr="000A0A5F">
              <w:t>Redirection handling is described in clause 5.2.10.</w:t>
            </w:r>
          </w:p>
        </w:tc>
      </w:tr>
      <w:tr w:rsidR="00CB0DD7" w:rsidRPr="000A0A5F" w:rsidTr="00FF0AF8">
        <w:tc>
          <w:tcPr>
            <w:tcW w:w="5000" w:type="pct"/>
            <w:gridSpan w:val="5"/>
            <w:shd w:val="clear" w:color="auto" w:fill="auto"/>
            <w:vAlign w:val="center"/>
          </w:tcPr>
          <w:p w:rsidR="00CB0DD7" w:rsidRPr="000A0A5F" w:rsidRDefault="00CB0DD7">
            <w:pPr>
              <w:pStyle w:val="TAN"/>
            </w:pPr>
            <w:r w:rsidRPr="000A0A5F">
              <w:t>NOTE:</w:t>
            </w:r>
            <w:r w:rsidRPr="000A0A5F">
              <w:tab/>
              <w:t>The mandatory HTTP error status codes for the GET method listed in table 5.2.6-1 also apply.</w:t>
            </w:r>
          </w:p>
        </w:tc>
      </w:tr>
      <w:bookmarkEnd w:id="2224"/>
    </w:tbl>
    <w:p w:rsidR="00CB0DD7" w:rsidRPr="000A0A5F" w:rsidRDefault="00CB0DD7"/>
    <w:p w:rsidR="00CB0DD7" w:rsidRPr="000A0A5F" w:rsidRDefault="00B004CD">
      <w:pPr>
        <w:pStyle w:val="TH"/>
      </w:pPr>
      <w:r w:rsidRPr="000A0A5F">
        <w:t>Table </w:t>
      </w:r>
      <w:r w:rsidR="00CB0DD7" w:rsidRPr="000A0A5F">
        <w:t>5.3.3.2.3.1-3: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B004CD">
      <w:pPr>
        <w:pStyle w:val="TH"/>
      </w:pPr>
      <w:r w:rsidRPr="000A0A5F">
        <w:t>Table </w:t>
      </w:r>
      <w:r w:rsidR="00CB0DD7" w:rsidRPr="000A0A5F">
        <w:t>5.3.3.2.3.1-4: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CB0DD7">
      <w:pPr>
        <w:pStyle w:val="Heading6"/>
      </w:pPr>
      <w:bookmarkStart w:id="2225" w:name="_Toc11247339"/>
      <w:bookmarkStart w:id="2226" w:name="_Toc27044461"/>
      <w:bookmarkStart w:id="2227" w:name="_Toc36033503"/>
      <w:bookmarkStart w:id="2228" w:name="_Toc45131635"/>
      <w:bookmarkStart w:id="2229" w:name="_Toc49775920"/>
      <w:bookmarkStart w:id="2230" w:name="_Toc51746840"/>
      <w:bookmarkStart w:id="2231" w:name="_Toc66360385"/>
      <w:bookmarkStart w:id="2232" w:name="_Toc68104890"/>
      <w:bookmarkStart w:id="2233" w:name="_Toc74755520"/>
      <w:bookmarkStart w:id="2234" w:name="_Toc105674387"/>
      <w:bookmarkStart w:id="2235" w:name="_Toc130502427"/>
      <w:bookmarkStart w:id="2236" w:name="_Toc153625214"/>
      <w:r w:rsidRPr="000A0A5F">
        <w:t>5.3.3.2.3.2</w:t>
      </w:r>
      <w:r w:rsidRPr="000A0A5F">
        <w:tab/>
        <w:t>PUT</w:t>
      </w:r>
      <w:bookmarkEnd w:id="2225"/>
      <w:bookmarkEnd w:id="2226"/>
      <w:bookmarkEnd w:id="2227"/>
      <w:bookmarkEnd w:id="2228"/>
      <w:bookmarkEnd w:id="2229"/>
      <w:bookmarkEnd w:id="2230"/>
      <w:bookmarkEnd w:id="2231"/>
      <w:bookmarkEnd w:id="2232"/>
      <w:bookmarkEnd w:id="2233"/>
      <w:bookmarkEnd w:id="2234"/>
      <w:bookmarkEnd w:id="2235"/>
      <w:bookmarkEnd w:id="2236"/>
    </w:p>
    <w:p w:rsidR="00CB0DD7" w:rsidRPr="000A0A5F" w:rsidRDefault="00CB0DD7">
      <w:pPr>
        <w:rPr>
          <w:lang w:eastAsia="zh-CN"/>
        </w:rPr>
      </w:pPr>
      <w:r w:rsidRPr="000A0A5F">
        <w:rPr>
          <w:rFonts w:hint="eastAsia"/>
          <w:lang w:eastAsia="zh-CN"/>
        </w:rPr>
        <w:t xml:space="preserve">This </w:t>
      </w:r>
      <w:r w:rsidRPr="000A0A5F">
        <w:rPr>
          <w:lang w:eastAsia="zh-CN"/>
        </w:rPr>
        <w:t>HTTP method is not supported for the resource.</w:t>
      </w:r>
    </w:p>
    <w:p w:rsidR="00CB0DD7" w:rsidRPr="000A0A5F" w:rsidRDefault="00CB0DD7">
      <w:pPr>
        <w:pStyle w:val="Heading6"/>
      </w:pPr>
      <w:bookmarkStart w:id="2237" w:name="_Toc11247340"/>
      <w:bookmarkStart w:id="2238" w:name="_Toc27044462"/>
      <w:bookmarkStart w:id="2239" w:name="_Toc36033504"/>
      <w:bookmarkStart w:id="2240" w:name="_Toc45131636"/>
      <w:bookmarkStart w:id="2241" w:name="_Toc49775921"/>
      <w:bookmarkStart w:id="2242" w:name="_Toc51746841"/>
      <w:bookmarkStart w:id="2243" w:name="_Toc66360386"/>
      <w:bookmarkStart w:id="2244" w:name="_Toc68104891"/>
      <w:bookmarkStart w:id="2245" w:name="_Toc74755521"/>
      <w:bookmarkStart w:id="2246" w:name="_Toc105674388"/>
      <w:bookmarkStart w:id="2247" w:name="_Toc130502428"/>
      <w:bookmarkStart w:id="2248" w:name="_Toc153625215"/>
      <w:r w:rsidRPr="000A0A5F">
        <w:t>5.3.3.2.3.3</w:t>
      </w:r>
      <w:r w:rsidRPr="000A0A5F">
        <w:tab/>
        <w:t>PATCH</w:t>
      </w:r>
      <w:bookmarkEnd w:id="2237"/>
      <w:bookmarkEnd w:id="2238"/>
      <w:bookmarkEnd w:id="2239"/>
      <w:bookmarkEnd w:id="2240"/>
      <w:bookmarkEnd w:id="2241"/>
      <w:bookmarkEnd w:id="2242"/>
      <w:bookmarkEnd w:id="2243"/>
      <w:bookmarkEnd w:id="2244"/>
      <w:bookmarkEnd w:id="2245"/>
      <w:bookmarkEnd w:id="2246"/>
      <w:bookmarkEnd w:id="2247"/>
      <w:bookmarkEnd w:id="2248"/>
    </w:p>
    <w:p w:rsidR="00CB0DD7" w:rsidRPr="000A0A5F" w:rsidRDefault="00CB0DD7">
      <w:pPr>
        <w:rPr>
          <w:lang w:eastAsia="zh-CN"/>
        </w:rPr>
      </w:pPr>
      <w:r w:rsidRPr="000A0A5F">
        <w:rPr>
          <w:rFonts w:hint="eastAsia"/>
          <w:lang w:eastAsia="zh-CN"/>
        </w:rPr>
        <w:t xml:space="preserve">This </w:t>
      </w:r>
      <w:r w:rsidRPr="000A0A5F">
        <w:rPr>
          <w:lang w:eastAsia="zh-CN"/>
        </w:rPr>
        <w:t>HTTP method is not supported for the resource.</w:t>
      </w:r>
    </w:p>
    <w:p w:rsidR="00CB0DD7" w:rsidRPr="000A0A5F" w:rsidRDefault="00CB0DD7">
      <w:pPr>
        <w:pStyle w:val="Heading6"/>
      </w:pPr>
      <w:bookmarkStart w:id="2249" w:name="_Toc11247341"/>
      <w:bookmarkStart w:id="2250" w:name="_Toc27044463"/>
      <w:bookmarkStart w:id="2251" w:name="_Toc36033505"/>
      <w:bookmarkStart w:id="2252" w:name="_Toc45131637"/>
      <w:bookmarkStart w:id="2253" w:name="_Toc49775922"/>
      <w:bookmarkStart w:id="2254" w:name="_Toc51746842"/>
      <w:bookmarkStart w:id="2255" w:name="_Toc66360387"/>
      <w:bookmarkStart w:id="2256" w:name="_Toc68104892"/>
      <w:bookmarkStart w:id="2257" w:name="_Toc74755522"/>
      <w:bookmarkStart w:id="2258" w:name="_Toc105674389"/>
      <w:bookmarkStart w:id="2259" w:name="_Toc130502429"/>
      <w:bookmarkStart w:id="2260" w:name="_Toc153625216"/>
      <w:r w:rsidRPr="000A0A5F">
        <w:t>5.3.3.2.3.4</w:t>
      </w:r>
      <w:r w:rsidRPr="000A0A5F">
        <w:tab/>
        <w:t>POST</w:t>
      </w:r>
      <w:bookmarkEnd w:id="2249"/>
      <w:bookmarkEnd w:id="2250"/>
      <w:bookmarkEnd w:id="2251"/>
      <w:bookmarkEnd w:id="2252"/>
      <w:bookmarkEnd w:id="2253"/>
      <w:bookmarkEnd w:id="2254"/>
      <w:bookmarkEnd w:id="2255"/>
      <w:bookmarkEnd w:id="2256"/>
      <w:bookmarkEnd w:id="2257"/>
      <w:bookmarkEnd w:id="2258"/>
      <w:bookmarkEnd w:id="2259"/>
      <w:bookmarkEnd w:id="2260"/>
    </w:p>
    <w:p w:rsidR="00CB0DD7" w:rsidRPr="000A0A5F" w:rsidRDefault="00CB0DD7">
      <w:pPr>
        <w:rPr>
          <w:noProof/>
          <w:lang w:eastAsia="zh-CN"/>
        </w:rPr>
      </w:pPr>
      <w:r w:rsidRPr="000A0A5F">
        <w:rPr>
          <w:noProof/>
          <w:lang w:eastAsia="zh-CN"/>
        </w:rPr>
        <w:t>The POST method creates a new subscription resource to monitor an event for a given SCS/AS. The SCS/AS shall initiate the HTTP POST request message and the SCEF shall respond to the message. The SCEF shall construct the URI of the created resource.</w:t>
      </w:r>
    </w:p>
    <w:p w:rsidR="00CB0DD7" w:rsidRPr="000A0A5F" w:rsidRDefault="00CB0DD7">
      <w:r w:rsidRPr="000A0A5F">
        <w:t>This method shall support the URI query parameters, request and response data structures, and response codes, as specified in the table 5.3.3.2.3.4-1 and table 5.3.3.2.3.4-2.</w:t>
      </w:r>
    </w:p>
    <w:p w:rsidR="00CB0DD7" w:rsidRPr="000A0A5F" w:rsidRDefault="00CB0DD7">
      <w:pPr>
        <w:pStyle w:val="TH"/>
        <w:rPr>
          <w:rFonts w:cs="Arial"/>
        </w:rPr>
      </w:pPr>
      <w:r w:rsidRPr="000A0A5F">
        <w:t xml:space="preserve">Table 5.3.3.2.3.4-1: URI query parameters supported by the POST method on this resource </w:t>
      </w:r>
    </w:p>
    <w:tbl>
      <w:tblPr>
        <w:tblW w:w="4999"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612"/>
        <w:gridCol w:w="1709"/>
        <w:gridCol w:w="1140"/>
        <w:gridCol w:w="5314"/>
      </w:tblGrid>
      <w:tr w:rsidR="00CB0DD7" w:rsidRPr="000A0A5F" w:rsidTr="00FF0AF8">
        <w:trPr>
          <w:jc w:val="center"/>
        </w:trPr>
        <w:tc>
          <w:tcPr>
            <w:tcW w:w="825" w:type="pct"/>
            <w:shd w:val="clear" w:color="000000" w:fill="C0C0C0"/>
          </w:tcPr>
          <w:p w:rsidR="00CB0DD7" w:rsidRPr="000A0A5F" w:rsidRDefault="00CB0DD7">
            <w:pPr>
              <w:pStyle w:val="TAH"/>
            </w:pPr>
            <w:r w:rsidRPr="000A0A5F">
              <w:t>Name</w:t>
            </w:r>
          </w:p>
        </w:tc>
        <w:tc>
          <w:tcPr>
            <w:tcW w:w="874" w:type="pct"/>
            <w:shd w:val="clear" w:color="000000" w:fill="C0C0C0"/>
          </w:tcPr>
          <w:p w:rsidR="00CB0DD7" w:rsidRPr="000A0A5F" w:rsidRDefault="00CB0DD7">
            <w:pPr>
              <w:pStyle w:val="TAH"/>
            </w:pPr>
            <w:r w:rsidRPr="000A0A5F">
              <w:t>Data type</w:t>
            </w:r>
          </w:p>
        </w:tc>
        <w:tc>
          <w:tcPr>
            <w:tcW w:w="583" w:type="pct"/>
            <w:shd w:val="clear" w:color="000000" w:fill="C0C0C0"/>
          </w:tcPr>
          <w:p w:rsidR="00CB0DD7" w:rsidRPr="000A0A5F" w:rsidRDefault="00CB0DD7">
            <w:pPr>
              <w:pStyle w:val="TAH"/>
            </w:pPr>
            <w:r w:rsidRPr="000A0A5F">
              <w:t>Cardinality</w:t>
            </w:r>
          </w:p>
        </w:tc>
        <w:tc>
          <w:tcPr>
            <w:tcW w:w="2718" w:type="pct"/>
            <w:shd w:val="clear" w:color="000000" w:fill="C0C0C0"/>
            <w:vAlign w:val="center"/>
          </w:tcPr>
          <w:p w:rsidR="00CB0DD7" w:rsidRPr="000A0A5F" w:rsidRDefault="00CB0DD7">
            <w:pPr>
              <w:pStyle w:val="TAH"/>
            </w:pPr>
            <w:r w:rsidRPr="000A0A5F">
              <w:t>Remarks</w:t>
            </w:r>
          </w:p>
        </w:tc>
      </w:tr>
      <w:tr w:rsidR="00CB0DD7" w:rsidRPr="000A0A5F" w:rsidTr="00FF0AF8">
        <w:trPr>
          <w:jc w:val="center"/>
        </w:trPr>
        <w:tc>
          <w:tcPr>
            <w:tcW w:w="825" w:type="pct"/>
            <w:shd w:val="clear" w:color="auto" w:fill="auto"/>
          </w:tcPr>
          <w:p w:rsidR="00CB0DD7" w:rsidRPr="000A0A5F" w:rsidRDefault="00CB0DD7">
            <w:pPr>
              <w:pStyle w:val="TAL"/>
            </w:pPr>
            <w:r w:rsidRPr="000A0A5F">
              <w:t>none specified</w:t>
            </w:r>
          </w:p>
        </w:tc>
        <w:tc>
          <w:tcPr>
            <w:tcW w:w="874" w:type="pct"/>
          </w:tcPr>
          <w:p w:rsidR="00CB0DD7" w:rsidRPr="000A0A5F" w:rsidRDefault="00CB0DD7">
            <w:pPr>
              <w:pStyle w:val="TAL"/>
            </w:pPr>
          </w:p>
        </w:tc>
        <w:tc>
          <w:tcPr>
            <w:tcW w:w="583" w:type="pct"/>
          </w:tcPr>
          <w:p w:rsidR="00CB0DD7" w:rsidRPr="000A0A5F" w:rsidRDefault="00CB0DD7">
            <w:pPr>
              <w:pStyle w:val="TAL"/>
            </w:pPr>
          </w:p>
        </w:tc>
        <w:tc>
          <w:tcPr>
            <w:tcW w:w="2718" w:type="pct"/>
            <w:shd w:val="clear" w:color="auto" w:fill="auto"/>
            <w:vAlign w:val="center"/>
          </w:tcPr>
          <w:p w:rsidR="00CB0DD7" w:rsidRPr="000A0A5F" w:rsidRDefault="00CB0DD7">
            <w:pPr>
              <w:pStyle w:val="TAL"/>
            </w:pPr>
          </w:p>
        </w:tc>
      </w:tr>
    </w:tbl>
    <w:p w:rsidR="00CB0DD7" w:rsidRPr="000A0A5F" w:rsidRDefault="00CB0DD7"/>
    <w:p w:rsidR="00C11AB8" w:rsidRPr="000A0A5F" w:rsidRDefault="00C11AB8" w:rsidP="00C11AB8">
      <w:pPr>
        <w:pStyle w:val="TH"/>
        <w:spacing w:before="240"/>
      </w:pPr>
      <w:r w:rsidRPr="000A0A5F">
        <w:t>Table 5.3.3.2.3.4-2: Data structures supported by the POST request/response by the resource</w:t>
      </w:r>
    </w:p>
    <w:tbl>
      <w:tblPr>
        <w:tblW w:w="4999" w:type="pct"/>
        <w:tblInd w:w="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45" w:type="dxa"/>
          <w:left w:w="45" w:type="dxa"/>
          <w:bottom w:w="45" w:type="dxa"/>
          <w:right w:w="45" w:type="dxa"/>
        </w:tblCellMar>
        <w:tblLook w:val="0000" w:firstRow="0" w:lastRow="0" w:firstColumn="0" w:lastColumn="0" w:noHBand="0" w:noVBand="0"/>
      </w:tblPr>
      <w:tblGrid>
        <w:gridCol w:w="1035"/>
        <w:gridCol w:w="2127"/>
        <w:gridCol w:w="1053"/>
        <w:gridCol w:w="973"/>
        <w:gridCol w:w="4541"/>
      </w:tblGrid>
      <w:tr w:rsidR="00C11AB8" w:rsidRPr="000A0A5F" w:rsidTr="004E6AB3">
        <w:tc>
          <w:tcPr>
            <w:tcW w:w="532" w:type="pct"/>
            <w:vMerge w:val="restart"/>
            <w:shd w:val="clear" w:color="auto" w:fill="C0C0C0"/>
            <w:vAlign w:val="center"/>
          </w:tcPr>
          <w:p w:rsidR="00C11AB8" w:rsidRPr="000A0A5F" w:rsidRDefault="00C11AB8" w:rsidP="003848D8">
            <w:pPr>
              <w:pStyle w:val="TAH"/>
            </w:pPr>
            <w:r w:rsidRPr="000A0A5F">
              <w:t>Request body</w:t>
            </w:r>
          </w:p>
        </w:tc>
        <w:tc>
          <w:tcPr>
            <w:tcW w:w="1093" w:type="pct"/>
            <w:shd w:val="clear" w:color="auto" w:fill="C0C0C0"/>
          </w:tcPr>
          <w:p w:rsidR="00C11AB8" w:rsidRPr="000A0A5F" w:rsidRDefault="00C11AB8" w:rsidP="003848D8">
            <w:pPr>
              <w:pStyle w:val="TAH"/>
            </w:pPr>
            <w:r w:rsidRPr="000A0A5F">
              <w:t>Data type</w:t>
            </w:r>
          </w:p>
        </w:tc>
        <w:tc>
          <w:tcPr>
            <w:tcW w:w="541" w:type="pct"/>
            <w:shd w:val="clear" w:color="auto" w:fill="C0C0C0"/>
          </w:tcPr>
          <w:p w:rsidR="00C11AB8" w:rsidRPr="000A0A5F" w:rsidRDefault="00C11AB8" w:rsidP="003848D8">
            <w:pPr>
              <w:pStyle w:val="TAH"/>
            </w:pPr>
            <w:r w:rsidRPr="000A0A5F">
              <w:t>Cardinality</w:t>
            </w:r>
          </w:p>
        </w:tc>
        <w:tc>
          <w:tcPr>
            <w:tcW w:w="2834" w:type="pct"/>
            <w:gridSpan w:val="2"/>
            <w:shd w:val="clear" w:color="auto" w:fill="C0C0C0"/>
          </w:tcPr>
          <w:p w:rsidR="00C11AB8" w:rsidRPr="000A0A5F" w:rsidRDefault="00C11AB8" w:rsidP="003848D8">
            <w:pPr>
              <w:pStyle w:val="TAH"/>
            </w:pPr>
            <w:r w:rsidRPr="000A0A5F">
              <w:t>Remarks</w:t>
            </w:r>
          </w:p>
        </w:tc>
      </w:tr>
      <w:tr w:rsidR="00C11AB8" w:rsidRPr="000A0A5F" w:rsidTr="004E6AB3">
        <w:tc>
          <w:tcPr>
            <w:tcW w:w="532" w:type="pct"/>
            <w:vMerge/>
            <w:shd w:val="clear" w:color="auto" w:fill="BFBFBF"/>
            <w:vAlign w:val="center"/>
          </w:tcPr>
          <w:p w:rsidR="00C11AB8" w:rsidRPr="000A0A5F" w:rsidRDefault="00C11AB8" w:rsidP="003848D8">
            <w:pPr>
              <w:pStyle w:val="TAL"/>
              <w:jc w:val="center"/>
            </w:pPr>
          </w:p>
        </w:tc>
        <w:tc>
          <w:tcPr>
            <w:tcW w:w="1093" w:type="pct"/>
            <w:shd w:val="clear" w:color="auto" w:fill="auto"/>
          </w:tcPr>
          <w:p w:rsidR="00C11AB8" w:rsidRPr="000A0A5F" w:rsidRDefault="00C11AB8" w:rsidP="003848D8">
            <w:pPr>
              <w:pStyle w:val="TAL"/>
            </w:pPr>
            <w:r w:rsidRPr="000A0A5F">
              <w:t>MonitoringEventSubscription</w:t>
            </w:r>
          </w:p>
        </w:tc>
        <w:tc>
          <w:tcPr>
            <w:tcW w:w="541" w:type="pct"/>
          </w:tcPr>
          <w:p w:rsidR="00C11AB8" w:rsidRPr="000A0A5F" w:rsidRDefault="00C11AB8" w:rsidP="003848D8">
            <w:pPr>
              <w:pStyle w:val="TAL"/>
            </w:pPr>
            <w:r w:rsidRPr="000A0A5F">
              <w:t>1</w:t>
            </w:r>
          </w:p>
        </w:tc>
        <w:tc>
          <w:tcPr>
            <w:tcW w:w="2834" w:type="pct"/>
            <w:gridSpan w:val="2"/>
          </w:tcPr>
          <w:p w:rsidR="00C11AB8" w:rsidRPr="000A0A5F" w:rsidRDefault="00C11AB8" w:rsidP="003848D8">
            <w:pPr>
              <w:pStyle w:val="TAL"/>
            </w:pPr>
            <w:r w:rsidRPr="000A0A5F">
              <w:t>Parameters to register a subscription to notifications about monitoring event with the SCEF.</w:t>
            </w:r>
          </w:p>
        </w:tc>
      </w:tr>
      <w:tr w:rsidR="00C11AB8" w:rsidRPr="000A0A5F" w:rsidTr="004E6AB3">
        <w:tc>
          <w:tcPr>
            <w:tcW w:w="532" w:type="pct"/>
            <w:vMerge w:val="restart"/>
            <w:shd w:val="clear" w:color="auto" w:fill="C0C0C0"/>
            <w:vAlign w:val="center"/>
          </w:tcPr>
          <w:p w:rsidR="00C11AB8" w:rsidRPr="000A0A5F" w:rsidRDefault="00C11AB8" w:rsidP="003848D8">
            <w:pPr>
              <w:pStyle w:val="TAH"/>
            </w:pPr>
            <w:r w:rsidRPr="000A0A5F">
              <w:t>Response body</w:t>
            </w:r>
          </w:p>
        </w:tc>
        <w:tc>
          <w:tcPr>
            <w:tcW w:w="1093" w:type="pct"/>
            <w:shd w:val="clear" w:color="auto" w:fill="C0C0C0"/>
          </w:tcPr>
          <w:p w:rsidR="00C11AB8" w:rsidRPr="000A0A5F" w:rsidRDefault="00C11AB8" w:rsidP="003848D8">
            <w:pPr>
              <w:pStyle w:val="TAH"/>
            </w:pPr>
          </w:p>
          <w:p w:rsidR="00C11AB8" w:rsidRPr="000A0A5F" w:rsidRDefault="00C11AB8" w:rsidP="003848D8">
            <w:pPr>
              <w:pStyle w:val="TAH"/>
            </w:pPr>
            <w:r w:rsidRPr="000A0A5F">
              <w:t>Data type</w:t>
            </w:r>
          </w:p>
        </w:tc>
        <w:tc>
          <w:tcPr>
            <w:tcW w:w="541" w:type="pct"/>
            <w:shd w:val="clear" w:color="auto" w:fill="C0C0C0"/>
          </w:tcPr>
          <w:p w:rsidR="00C11AB8" w:rsidRPr="000A0A5F" w:rsidRDefault="00C11AB8" w:rsidP="003848D8">
            <w:pPr>
              <w:pStyle w:val="TAH"/>
            </w:pPr>
          </w:p>
          <w:p w:rsidR="00C11AB8" w:rsidRPr="000A0A5F" w:rsidRDefault="00C11AB8" w:rsidP="003848D8">
            <w:pPr>
              <w:pStyle w:val="TAH"/>
            </w:pPr>
            <w:r w:rsidRPr="000A0A5F">
              <w:t>Cardinality</w:t>
            </w:r>
          </w:p>
        </w:tc>
        <w:tc>
          <w:tcPr>
            <w:tcW w:w="500" w:type="pct"/>
            <w:shd w:val="clear" w:color="auto" w:fill="C0C0C0"/>
          </w:tcPr>
          <w:p w:rsidR="00C11AB8" w:rsidRPr="000A0A5F" w:rsidRDefault="00C11AB8" w:rsidP="003848D8">
            <w:pPr>
              <w:pStyle w:val="TAH"/>
            </w:pPr>
            <w:r w:rsidRPr="000A0A5F">
              <w:t>Response</w:t>
            </w:r>
          </w:p>
          <w:p w:rsidR="00C11AB8" w:rsidRPr="000A0A5F" w:rsidRDefault="00C11AB8" w:rsidP="003848D8">
            <w:pPr>
              <w:pStyle w:val="TAH"/>
            </w:pPr>
            <w:r w:rsidRPr="000A0A5F">
              <w:t>codes</w:t>
            </w:r>
          </w:p>
        </w:tc>
        <w:tc>
          <w:tcPr>
            <w:tcW w:w="2334" w:type="pct"/>
            <w:shd w:val="clear" w:color="auto" w:fill="C0C0C0"/>
          </w:tcPr>
          <w:p w:rsidR="00C11AB8" w:rsidRPr="000A0A5F" w:rsidRDefault="00C11AB8" w:rsidP="003848D8">
            <w:pPr>
              <w:pStyle w:val="TAH"/>
            </w:pPr>
          </w:p>
          <w:p w:rsidR="00C11AB8" w:rsidRPr="000A0A5F" w:rsidRDefault="00C11AB8" w:rsidP="003848D8">
            <w:pPr>
              <w:pStyle w:val="TAH"/>
            </w:pPr>
            <w:r w:rsidRPr="000A0A5F">
              <w:t>Remarks</w:t>
            </w:r>
          </w:p>
        </w:tc>
      </w:tr>
      <w:tr w:rsidR="00C11AB8" w:rsidRPr="000A0A5F" w:rsidTr="004E6AB3">
        <w:tc>
          <w:tcPr>
            <w:tcW w:w="532" w:type="pct"/>
            <w:vMerge/>
            <w:shd w:val="clear" w:color="auto" w:fill="BFBFBF"/>
            <w:vAlign w:val="center"/>
          </w:tcPr>
          <w:p w:rsidR="00C11AB8" w:rsidRPr="000A0A5F" w:rsidRDefault="00C11AB8" w:rsidP="003848D8">
            <w:pPr>
              <w:pStyle w:val="TAL"/>
              <w:jc w:val="center"/>
            </w:pPr>
          </w:p>
        </w:tc>
        <w:tc>
          <w:tcPr>
            <w:tcW w:w="1093" w:type="pct"/>
            <w:shd w:val="clear" w:color="auto" w:fill="auto"/>
          </w:tcPr>
          <w:p w:rsidR="00C11AB8" w:rsidRPr="000A0A5F" w:rsidRDefault="00C11AB8" w:rsidP="003848D8">
            <w:pPr>
              <w:pStyle w:val="TAL"/>
            </w:pPr>
            <w:r w:rsidRPr="000A0A5F">
              <w:t>MonitoringEventSubscription</w:t>
            </w:r>
          </w:p>
        </w:tc>
        <w:tc>
          <w:tcPr>
            <w:tcW w:w="541" w:type="pct"/>
          </w:tcPr>
          <w:p w:rsidR="00C11AB8" w:rsidRPr="000A0A5F" w:rsidRDefault="00C11AB8" w:rsidP="003848D8">
            <w:pPr>
              <w:pStyle w:val="TAL"/>
            </w:pPr>
            <w:r w:rsidRPr="000A0A5F">
              <w:t>1</w:t>
            </w:r>
          </w:p>
        </w:tc>
        <w:tc>
          <w:tcPr>
            <w:tcW w:w="500" w:type="pct"/>
          </w:tcPr>
          <w:p w:rsidR="00C11AB8" w:rsidRPr="000A0A5F" w:rsidRDefault="00C11AB8" w:rsidP="003848D8">
            <w:pPr>
              <w:pStyle w:val="TAL"/>
            </w:pPr>
            <w:r w:rsidRPr="000A0A5F">
              <w:t>201 Created</w:t>
            </w:r>
          </w:p>
        </w:tc>
        <w:tc>
          <w:tcPr>
            <w:tcW w:w="2334" w:type="pct"/>
          </w:tcPr>
          <w:p w:rsidR="00C11AB8" w:rsidRPr="000A0A5F" w:rsidRDefault="00C11AB8" w:rsidP="003848D8">
            <w:pPr>
              <w:pStyle w:val="TAL"/>
              <w:spacing w:afterLines="50" w:after="120"/>
            </w:pPr>
            <w:r w:rsidRPr="000A0A5F">
              <w:t xml:space="preserve">The subscription resource was created successfully. </w:t>
            </w:r>
          </w:p>
          <w:p w:rsidR="00C11AB8" w:rsidRPr="000A0A5F" w:rsidRDefault="00C11AB8" w:rsidP="003848D8">
            <w:pPr>
              <w:pStyle w:val="TAL"/>
            </w:pPr>
            <w:r w:rsidRPr="000A0A5F">
              <w:t>The URI of the created resource shall be returned in the "Location" HTTP header.</w:t>
            </w:r>
          </w:p>
        </w:tc>
      </w:tr>
      <w:tr w:rsidR="00C11AB8" w:rsidRPr="000A0A5F" w:rsidTr="004E6AB3">
        <w:tc>
          <w:tcPr>
            <w:tcW w:w="532" w:type="pct"/>
            <w:vMerge/>
            <w:shd w:val="clear" w:color="auto" w:fill="BFBFBF"/>
            <w:vAlign w:val="center"/>
          </w:tcPr>
          <w:p w:rsidR="00C11AB8" w:rsidRPr="000A0A5F" w:rsidRDefault="00C11AB8" w:rsidP="003848D8">
            <w:pPr>
              <w:pStyle w:val="TAL"/>
              <w:jc w:val="center"/>
            </w:pPr>
          </w:p>
        </w:tc>
        <w:tc>
          <w:tcPr>
            <w:tcW w:w="1093" w:type="pct"/>
            <w:shd w:val="clear" w:color="auto" w:fill="auto"/>
          </w:tcPr>
          <w:p w:rsidR="00C11AB8" w:rsidRPr="000A0A5F" w:rsidRDefault="00C11AB8" w:rsidP="003848D8">
            <w:pPr>
              <w:pStyle w:val="TAL"/>
            </w:pPr>
            <w:r w:rsidRPr="000A0A5F">
              <w:t>MonitoringEventReport</w:t>
            </w:r>
          </w:p>
        </w:tc>
        <w:tc>
          <w:tcPr>
            <w:tcW w:w="541" w:type="pct"/>
          </w:tcPr>
          <w:p w:rsidR="00C11AB8" w:rsidRPr="000A0A5F" w:rsidRDefault="00C11AB8" w:rsidP="003848D8">
            <w:pPr>
              <w:pStyle w:val="TAL"/>
            </w:pPr>
            <w:r w:rsidRPr="000A0A5F">
              <w:t>1</w:t>
            </w:r>
          </w:p>
        </w:tc>
        <w:tc>
          <w:tcPr>
            <w:tcW w:w="500" w:type="pct"/>
          </w:tcPr>
          <w:p w:rsidR="00C11AB8" w:rsidRPr="000A0A5F" w:rsidRDefault="00C11AB8" w:rsidP="003848D8">
            <w:pPr>
              <w:pStyle w:val="TAL"/>
            </w:pPr>
            <w:r w:rsidRPr="000A0A5F">
              <w:t>200 OK</w:t>
            </w:r>
          </w:p>
        </w:tc>
        <w:tc>
          <w:tcPr>
            <w:tcW w:w="2334" w:type="pct"/>
          </w:tcPr>
          <w:p w:rsidR="00C11AB8" w:rsidRPr="000A0A5F" w:rsidRDefault="00C11AB8" w:rsidP="003848D8">
            <w:pPr>
              <w:pStyle w:val="TAL"/>
            </w:pPr>
            <w:r w:rsidRPr="000A0A5F">
              <w:t>The operation is successful, and corresponding monitoring event report is included.</w:t>
            </w:r>
          </w:p>
          <w:p w:rsidR="00C11AB8" w:rsidRPr="000A0A5F" w:rsidRDefault="00C11AB8" w:rsidP="003848D8">
            <w:pPr>
              <w:pStyle w:val="TAL"/>
            </w:pPr>
            <w:r w:rsidRPr="000A0A5F">
              <w:t>This is only applicable for the one-time monitoring request if report is available in the response.</w:t>
            </w:r>
          </w:p>
        </w:tc>
      </w:tr>
      <w:tr w:rsidR="00C11AB8" w:rsidRPr="000A0A5F" w:rsidTr="004E6AB3">
        <w:tc>
          <w:tcPr>
            <w:tcW w:w="532" w:type="pct"/>
            <w:vMerge/>
            <w:shd w:val="clear" w:color="auto" w:fill="BFBFBF"/>
            <w:vAlign w:val="center"/>
          </w:tcPr>
          <w:p w:rsidR="00C11AB8" w:rsidRPr="000A0A5F" w:rsidRDefault="00C11AB8" w:rsidP="003848D8">
            <w:pPr>
              <w:pStyle w:val="TAL"/>
              <w:jc w:val="center"/>
            </w:pPr>
          </w:p>
        </w:tc>
        <w:tc>
          <w:tcPr>
            <w:tcW w:w="1093" w:type="pct"/>
            <w:shd w:val="clear" w:color="auto" w:fill="auto"/>
          </w:tcPr>
          <w:p w:rsidR="00C11AB8" w:rsidRPr="000A0A5F" w:rsidRDefault="00C11AB8" w:rsidP="003848D8">
            <w:pPr>
              <w:pStyle w:val="TAL"/>
            </w:pPr>
            <w:r w:rsidRPr="000A0A5F">
              <w:t>MonitoringEventReports</w:t>
            </w:r>
          </w:p>
        </w:tc>
        <w:tc>
          <w:tcPr>
            <w:tcW w:w="541" w:type="pct"/>
          </w:tcPr>
          <w:p w:rsidR="00C11AB8" w:rsidRPr="000A0A5F" w:rsidRDefault="00C11AB8" w:rsidP="003848D8">
            <w:pPr>
              <w:pStyle w:val="TAL"/>
            </w:pPr>
            <w:r w:rsidRPr="000A0A5F">
              <w:t>1</w:t>
            </w:r>
          </w:p>
        </w:tc>
        <w:tc>
          <w:tcPr>
            <w:tcW w:w="500" w:type="pct"/>
          </w:tcPr>
          <w:p w:rsidR="00C11AB8" w:rsidRPr="000A0A5F" w:rsidRDefault="00C11AB8" w:rsidP="003848D8">
            <w:pPr>
              <w:pStyle w:val="TAL"/>
            </w:pPr>
            <w:r w:rsidRPr="000A0A5F">
              <w:t>200 OK</w:t>
            </w:r>
          </w:p>
        </w:tc>
        <w:tc>
          <w:tcPr>
            <w:tcW w:w="2334" w:type="pct"/>
          </w:tcPr>
          <w:p w:rsidR="00C11AB8" w:rsidRPr="000A0A5F" w:rsidRDefault="00C11AB8" w:rsidP="003848D8">
            <w:pPr>
              <w:pStyle w:val="TAL"/>
            </w:pPr>
            <w:r w:rsidRPr="000A0A5F">
              <w:t>The operation is successful and the corresponding monitoring event report(s) are included in the response body.</w:t>
            </w:r>
          </w:p>
          <w:p w:rsidR="00C11AB8" w:rsidRPr="000A0A5F" w:rsidRDefault="00C11AB8" w:rsidP="003848D8">
            <w:pPr>
              <w:pStyle w:val="TAL"/>
            </w:pPr>
          </w:p>
          <w:p w:rsidR="00C11AB8" w:rsidRPr="000A0A5F" w:rsidRDefault="00C11AB8" w:rsidP="003848D8">
            <w:pPr>
              <w:pStyle w:val="TAL"/>
            </w:pPr>
            <w:r w:rsidRPr="000A0A5F">
              <w:t>This is only applicable when the enNB feature is supported</w:t>
            </w:r>
            <w:r w:rsidR="00B908F5" w:rsidRPr="000A0A5F">
              <w:t>,</w:t>
            </w:r>
            <w:r w:rsidRPr="000A0A5F">
              <w:t xml:space="preserve"> </w:t>
            </w:r>
            <w:r w:rsidR="00B908F5" w:rsidRPr="000A0A5F">
              <w:t xml:space="preserve">the </w:t>
            </w:r>
            <w:r w:rsidRPr="000A0A5F">
              <w:t>monitoring request is a one-time reporting request and the event reports are available in the response.</w:t>
            </w:r>
          </w:p>
        </w:tc>
      </w:tr>
      <w:tr w:rsidR="00C11AB8" w:rsidRPr="000A0A5F" w:rsidTr="004E6AB3">
        <w:tc>
          <w:tcPr>
            <w:tcW w:w="532" w:type="pct"/>
            <w:vMerge/>
            <w:shd w:val="clear" w:color="auto" w:fill="BFBFBF"/>
            <w:vAlign w:val="center"/>
          </w:tcPr>
          <w:p w:rsidR="00C11AB8" w:rsidRPr="000A0A5F" w:rsidRDefault="00C11AB8" w:rsidP="003848D8">
            <w:pPr>
              <w:pStyle w:val="TAL"/>
              <w:jc w:val="center"/>
            </w:pPr>
          </w:p>
        </w:tc>
        <w:tc>
          <w:tcPr>
            <w:tcW w:w="1093" w:type="pct"/>
            <w:shd w:val="clear" w:color="auto" w:fill="auto"/>
          </w:tcPr>
          <w:p w:rsidR="00C11AB8" w:rsidRPr="000A0A5F" w:rsidRDefault="00C11AB8" w:rsidP="003848D8">
            <w:pPr>
              <w:pStyle w:val="TAL"/>
            </w:pPr>
            <w:r w:rsidRPr="000A0A5F">
              <w:t>ProblemDetails</w:t>
            </w:r>
          </w:p>
        </w:tc>
        <w:tc>
          <w:tcPr>
            <w:tcW w:w="541" w:type="pct"/>
          </w:tcPr>
          <w:p w:rsidR="00C11AB8" w:rsidRPr="000A0A5F" w:rsidRDefault="00C11AB8" w:rsidP="003848D8">
            <w:pPr>
              <w:pStyle w:val="TAL"/>
            </w:pPr>
            <w:r w:rsidRPr="000A0A5F">
              <w:t>0..1</w:t>
            </w:r>
          </w:p>
        </w:tc>
        <w:tc>
          <w:tcPr>
            <w:tcW w:w="500" w:type="pct"/>
          </w:tcPr>
          <w:p w:rsidR="00C11AB8" w:rsidRPr="000A0A5F" w:rsidRDefault="00C11AB8" w:rsidP="003848D8">
            <w:pPr>
              <w:pStyle w:val="TAL"/>
            </w:pPr>
            <w:r w:rsidRPr="000A0A5F">
              <w:t>400 Bad Request</w:t>
            </w:r>
          </w:p>
        </w:tc>
        <w:tc>
          <w:tcPr>
            <w:tcW w:w="2334" w:type="pct"/>
          </w:tcPr>
          <w:p w:rsidR="00C11AB8" w:rsidRPr="000A0A5F" w:rsidRDefault="00B908F5" w:rsidP="003848D8">
            <w:pPr>
              <w:pStyle w:val="TAL"/>
            </w:pPr>
            <w:r w:rsidRPr="000A0A5F">
              <w:t>(NOTE 2)</w:t>
            </w:r>
          </w:p>
        </w:tc>
      </w:tr>
      <w:tr w:rsidR="00C11AB8" w:rsidRPr="000A0A5F" w:rsidTr="004E6AB3">
        <w:tc>
          <w:tcPr>
            <w:tcW w:w="532" w:type="pct"/>
            <w:vMerge/>
            <w:shd w:val="clear" w:color="auto" w:fill="BFBFBF"/>
            <w:vAlign w:val="center"/>
          </w:tcPr>
          <w:p w:rsidR="00C11AB8" w:rsidRPr="000A0A5F" w:rsidRDefault="00C11AB8" w:rsidP="003848D8">
            <w:pPr>
              <w:pStyle w:val="TAL"/>
              <w:jc w:val="center"/>
            </w:pPr>
          </w:p>
        </w:tc>
        <w:tc>
          <w:tcPr>
            <w:tcW w:w="1093" w:type="pct"/>
            <w:shd w:val="clear" w:color="auto" w:fill="auto"/>
          </w:tcPr>
          <w:p w:rsidR="00C11AB8" w:rsidRPr="000A0A5F" w:rsidRDefault="00C11AB8" w:rsidP="003848D8">
            <w:pPr>
              <w:pStyle w:val="TAL"/>
            </w:pPr>
            <w:r w:rsidRPr="000A0A5F">
              <w:t>ProblemDetails</w:t>
            </w:r>
          </w:p>
        </w:tc>
        <w:tc>
          <w:tcPr>
            <w:tcW w:w="541" w:type="pct"/>
          </w:tcPr>
          <w:p w:rsidR="00C11AB8" w:rsidRPr="000A0A5F" w:rsidRDefault="00C11AB8" w:rsidP="003848D8">
            <w:pPr>
              <w:pStyle w:val="TAL"/>
            </w:pPr>
            <w:r w:rsidRPr="000A0A5F">
              <w:t>0..1</w:t>
            </w:r>
          </w:p>
        </w:tc>
        <w:tc>
          <w:tcPr>
            <w:tcW w:w="500" w:type="pct"/>
          </w:tcPr>
          <w:p w:rsidR="00C11AB8" w:rsidRPr="000A0A5F" w:rsidRDefault="00C11AB8" w:rsidP="003848D8">
            <w:pPr>
              <w:pStyle w:val="TAL"/>
            </w:pPr>
            <w:r w:rsidRPr="000A0A5F">
              <w:t>403 Forbidden</w:t>
            </w:r>
          </w:p>
        </w:tc>
        <w:tc>
          <w:tcPr>
            <w:tcW w:w="2334" w:type="pct"/>
          </w:tcPr>
          <w:p w:rsidR="00C11AB8" w:rsidRPr="000A0A5F" w:rsidRDefault="00B908F5" w:rsidP="00C11AB8">
            <w:pPr>
              <w:pStyle w:val="TAL"/>
            </w:pPr>
            <w:r w:rsidRPr="000A0A5F">
              <w:t>(NOTE 2)</w:t>
            </w:r>
          </w:p>
        </w:tc>
      </w:tr>
      <w:tr w:rsidR="00614B38" w:rsidRPr="000A0A5F" w:rsidTr="004E6AB3">
        <w:tc>
          <w:tcPr>
            <w:tcW w:w="532" w:type="pct"/>
            <w:vMerge/>
            <w:shd w:val="clear" w:color="auto" w:fill="BFBFBF"/>
            <w:vAlign w:val="center"/>
          </w:tcPr>
          <w:p w:rsidR="00614B38" w:rsidRPr="000A0A5F" w:rsidRDefault="00614B38" w:rsidP="00614B38">
            <w:pPr>
              <w:pStyle w:val="TAL"/>
              <w:jc w:val="center"/>
            </w:pPr>
          </w:p>
        </w:tc>
        <w:tc>
          <w:tcPr>
            <w:tcW w:w="1093" w:type="pct"/>
            <w:shd w:val="clear" w:color="auto" w:fill="auto"/>
          </w:tcPr>
          <w:p w:rsidR="00614B38" w:rsidRPr="000A0A5F" w:rsidRDefault="00614B38" w:rsidP="00614B38">
            <w:pPr>
              <w:pStyle w:val="TAL"/>
            </w:pPr>
            <w:r w:rsidRPr="000A0A5F">
              <w:t>ProblemDetails</w:t>
            </w:r>
          </w:p>
        </w:tc>
        <w:tc>
          <w:tcPr>
            <w:tcW w:w="541" w:type="pct"/>
          </w:tcPr>
          <w:p w:rsidR="00614B38" w:rsidRPr="000A0A5F" w:rsidRDefault="00614B38" w:rsidP="00614B38">
            <w:pPr>
              <w:pStyle w:val="TAL"/>
            </w:pPr>
            <w:r w:rsidRPr="000A0A5F">
              <w:t>0..1</w:t>
            </w:r>
          </w:p>
        </w:tc>
        <w:tc>
          <w:tcPr>
            <w:tcW w:w="500" w:type="pct"/>
          </w:tcPr>
          <w:p w:rsidR="00614B38" w:rsidRPr="000A0A5F" w:rsidRDefault="00614B38" w:rsidP="00614B38">
            <w:pPr>
              <w:pStyle w:val="TAL"/>
            </w:pPr>
            <w:r w:rsidRPr="000A0A5F">
              <w:t>404 Not Found</w:t>
            </w:r>
          </w:p>
        </w:tc>
        <w:tc>
          <w:tcPr>
            <w:tcW w:w="2334" w:type="pct"/>
          </w:tcPr>
          <w:p w:rsidR="00614B38" w:rsidRPr="000A0A5F" w:rsidRDefault="00614B38" w:rsidP="00614B38">
            <w:pPr>
              <w:pStyle w:val="TAL"/>
            </w:pPr>
            <w:r w:rsidRPr="000A0A5F">
              <w:t>(NOTE 2)</w:t>
            </w:r>
          </w:p>
        </w:tc>
      </w:tr>
      <w:tr w:rsidR="00614B38" w:rsidRPr="000A0A5F" w:rsidTr="004E6AB3">
        <w:tc>
          <w:tcPr>
            <w:tcW w:w="532" w:type="pct"/>
            <w:vMerge/>
            <w:shd w:val="clear" w:color="auto" w:fill="BFBFBF"/>
            <w:vAlign w:val="center"/>
          </w:tcPr>
          <w:p w:rsidR="00614B38" w:rsidRPr="000A0A5F" w:rsidRDefault="00614B38" w:rsidP="00614B38">
            <w:pPr>
              <w:pStyle w:val="TAL"/>
              <w:jc w:val="center"/>
            </w:pPr>
          </w:p>
        </w:tc>
        <w:tc>
          <w:tcPr>
            <w:tcW w:w="1093" w:type="pct"/>
            <w:shd w:val="clear" w:color="auto" w:fill="auto"/>
          </w:tcPr>
          <w:p w:rsidR="00614B38" w:rsidRPr="000A0A5F" w:rsidRDefault="00614B38" w:rsidP="00614B38">
            <w:pPr>
              <w:pStyle w:val="TAL"/>
            </w:pPr>
            <w:r w:rsidRPr="000A0A5F">
              <w:t>ProblemDetails</w:t>
            </w:r>
          </w:p>
        </w:tc>
        <w:tc>
          <w:tcPr>
            <w:tcW w:w="541" w:type="pct"/>
          </w:tcPr>
          <w:p w:rsidR="00614B38" w:rsidRPr="000A0A5F" w:rsidRDefault="00614B38" w:rsidP="00614B38">
            <w:pPr>
              <w:pStyle w:val="TAL"/>
            </w:pPr>
            <w:r w:rsidRPr="000A0A5F">
              <w:t>0..1</w:t>
            </w:r>
          </w:p>
        </w:tc>
        <w:tc>
          <w:tcPr>
            <w:tcW w:w="500" w:type="pct"/>
          </w:tcPr>
          <w:p w:rsidR="00614B38" w:rsidRPr="000A0A5F" w:rsidRDefault="00614B38" w:rsidP="00614B38">
            <w:pPr>
              <w:pStyle w:val="TAL"/>
            </w:pPr>
            <w:r w:rsidRPr="000A0A5F">
              <w:t>500 Internal Server Error</w:t>
            </w:r>
          </w:p>
        </w:tc>
        <w:tc>
          <w:tcPr>
            <w:tcW w:w="2334" w:type="pct"/>
          </w:tcPr>
          <w:p w:rsidR="00614B38" w:rsidRPr="000A0A5F" w:rsidRDefault="00614B38" w:rsidP="00614B38">
            <w:pPr>
              <w:pStyle w:val="TAL"/>
            </w:pPr>
            <w:r w:rsidRPr="000A0A5F">
              <w:t>(NOTE 2)</w:t>
            </w:r>
          </w:p>
        </w:tc>
      </w:tr>
      <w:tr w:rsidR="00614B38" w:rsidRPr="000A0A5F" w:rsidTr="004E6AB3">
        <w:tc>
          <w:tcPr>
            <w:tcW w:w="5000" w:type="pct"/>
            <w:gridSpan w:val="5"/>
            <w:shd w:val="clear" w:color="auto" w:fill="auto"/>
            <w:vAlign w:val="center"/>
          </w:tcPr>
          <w:p w:rsidR="00614B38" w:rsidRPr="000A0A5F" w:rsidRDefault="00614B38" w:rsidP="00614B38">
            <w:pPr>
              <w:pStyle w:val="TAN"/>
            </w:pPr>
            <w:r w:rsidRPr="000A0A5F">
              <w:t>NOTE 1:</w:t>
            </w:r>
            <w:r w:rsidRPr="000A0A5F">
              <w:tab/>
              <w:t>The mandatory HTTP error status codes for the POST method listed in table 5.2.6-1 also apply.</w:t>
            </w:r>
          </w:p>
          <w:p w:rsidR="00614B38" w:rsidRPr="000A0A5F" w:rsidRDefault="00614B38" w:rsidP="00614B38">
            <w:pPr>
              <w:pStyle w:val="TAN"/>
            </w:pPr>
            <w:r w:rsidRPr="000A0A5F">
              <w:t>NOTE 2:</w:t>
            </w:r>
            <w:r w:rsidRPr="000A0A5F">
              <w:tab/>
              <w:t>Failure cases are described in clause 5.3.5.3.</w:t>
            </w:r>
          </w:p>
        </w:tc>
      </w:tr>
    </w:tbl>
    <w:p w:rsidR="00C11AB8" w:rsidRPr="000A0A5F" w:rsidRDefault="00C11AB8" w:rsidP="00C11AB8">
      <w:pPr>
        <w:rPr>
          <w:noProof/>
        </w:rPr>
      </w:pPr>
    </w:p>
    <w:p w:rsidR="00CB0DD7" w:rsidRPr="000A0A5F" w:rsidRDefault="00CB0DD7">
      <w:pPr>
        <w:pStyle w:val="TH"/>
      </w:pPr>
      <w:r w:rsidRPr="000A0A5F">
        <w:t>Table</w:t>
      </w:r>
      <w:r w:rsidRPr="000A0A5F">
        <w:rPr>
          <w:noProof/>
        </w:rPr>
        <w:t> </w:t>
      </w:r>
      <w:r w:rsidRPr="000A0A5F">
        <w:t xml:space="preserve">5.3.3.2.3.4-3: Headers supported by the 201 Response Code on this resource </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261"/>
        <w:gridCol w:w="59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645" w:type="pct"/>
            <w:shd w:val="clear" w:color="auto" w:fill="C0C0C0"/>
          </w:tcPr>
          <w:p w:rsidR="00CB0DD7" w:rsidRPr="000A0A5F" w:rsidRDefault="00CB0DD7">
            <w:pPr>
              <w:pStyle w:val="TAH"/>
            </w:pPr>
            <w:r w:rsidRPr="000A0A5F">
              <w:t>Data type</w:t>
            </w:r>
          </w:p>
        </w:tc>
        <w:tc>
          <w:tcPr>
            <w:tcW w:w="304"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645" w:type="pct"/>
          </w:tcPr>
          <w:p w:rsidR="00CB0DD7" w:rsidRPr="000A0A5F" w:rsidRDefault="00CB0DD7">
            <w:pPr>
              <w:pStyle w:val="TAL"/>
            </w:pPr>
            <w:r w:rsidRPr="000A0A5F">
              <w:t>string</w:t>
            </w:r>
          </w:p>
        </w:tc>
        <w:tc>
          <w:tcPr>
            <w:tcW w:w="304"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Contains the URI of the newly created resource, according to the structure:</w:t>
            </w:r>
            <w:r w:rsidRPr="000A0A5F">
              <w:rPr>
                <w:noProof/>
              </w:rPr>
              <w:t xml:space="preserve"> </w:t>
            </w:r>
            <w:r w:rsidRPr="000A0A5F">
              <w:t>{apiRoot}/3gpp-monitoring-event/v1/{scsAsId}/subscriptions/{subscriptionId}</w:t>
            </w:r>
          </w:p>
        </w:tc>
      </w:tr>
    </w:tbl>
    <w:p w:rsidR="00CB0DD7" w:rsidRPr="000A0A5F" w:rsidRDefault="00CB0DD7"/>
    <w:p w:rsidR="00CB0DD7" w:rsidRPr="000A0A5F" w:rsidRDefault="00CB0DD7">
      <w:pPr>
        <w:pStyle w:val="Heading6"/>
      </w:pPr>
      <w:bookmarkStart w:id="2261" w:name="_Toc11247342"/>
      <w:bookmarkStart w:id="2262" w:name="_Toc27044464"/>
      <w:bookmarkStart w:id="2263" w:name="_Toc36033506"/>
      <w:bookmarkStart w:id="2264" w:name="_Toc45131638"/>
      <w:bookmarkStart w:id="2265" w:name="_Toc49775923"/>
      <w:bookmarkStart w:id="2266" w:name="_Toc51746843"/>
      <w:bookmarkStart w:id="2267" w:name="_Toc66360388"/>
      <w:bookmarkStart w:id="2268" w:name="_Toc68104893"/>
      <w:bookmarkStart w:id="2269" w:name="_Toc74755523"/>
      <w:bookmarkStart w:id="2270" w:name="_Toc105674390"/>
      <w:bookmarkStart w:id="2271" w:name="_Toc130502430"/>
      <w:bookmarkStart w:id="2272" w:name="_Toc153625217"/>
      <w:r w:rsidRPr="000A0A5F">
        <w:t>5.3.3.2.3.5</w:t>
      </w:r>
      <w:r w:rsidRPr="000A0A5F">
        <w:tab/>
        <w:t>DELETE</w:t>
      </w:r>
      <w:bookmarkEnd w:id="2261"/>
      <w:bookmarkEnd w:id="2262"/>
      <w:bookmarkEnd w:id="2263"/>
      <w:bookmarkEnd w:id="2264"/>
      <w:bookmarkEnd w:id="2265"/>
      <w:bookmarkEnd w:id="2266"/>
      <w:bookmarkEnd w:id="2267"/>
      <w:bookmarkEnd w:id="2268"/>
      <w:bookmarkEnd w:id="2269"/>
      <w:bookmarkEnd w:id="2270"/>
      <w:bookmarkEnd w:id="2271"/>
      <w:bookmarkEnd w:id="2272"/>
    </w:p>
    <w:p w:rsidR="00CB0DD7" w:rsidRPr="000A0A5F" w:rsidRDefault="00CB0DD7">
      <w:pPr>
        <w:rPr>
          <w:lang w:eastAsia="zh-CN"/>
        </w:rPr>
      </w:pPr>
      <w:r w:rsidRPr="000A0A5F">
        <w:rPr>
          <w:rFonts w:hint="eastAsia"/>
          <w:lang w:eastAsia="zh-CN"/>
        </w:rPr>
        <w:t xml:space="preserve">This </w:t>
      </w:r>
      <w:r w:rsidRPr="000A0A5F">
        <w:rPr>
          <w:lang w:eastAsia="zh-CN"/>
        </w:rPr>
        <w:t>HTTP method is not supported for the resource.</w:t>
      </w:r>
    </w:p>
    <w:p w:rsidR="00CB0DD7" w:rsidRPr="000A0A5F" w:rsidRDefault="00CB0DD7">
      <w:pPr>
        <w:pStyle w:val="Heading4"/>
      </w:pPr>
      <w:bookmarkStart w:id="2273" w:name="_Toc11247343"/>
      <w:bookmarkStart w:id="2274" w:name="_Toc27044465"/>
      <w:bookmarkStart w:id="2275" w:name="_Toc36033507"/>
      <w:bookmarkStart w:id="2276" w:name="_Toc45131639"/>
      <w:bookmarkStart w:id="2277" w:name="_Toc49775924"/>
      <w:bookmarkStart w:id="2278" w:name="_Toc51746844"/>
      <w:bookmarkStart w:id="2279" w:name="_Toc66360389"/>
      <w:bookmarkStart w:id="2280" w:name="_Toc68104894"/>
      <w:bookmarkStart w:id="2281" w:name="_Toc74755524"/>
      <w:bookmarkStart w:id="2282" w:name="_Toc105674391"/>
      <w:bookmarkStart w:id="2283" w:name="_Toc130502431"/>
      <w:bookmarkStart w:id="2284" w:name="_Toc153625218"/>
      <w:r w:rsidRPr="000A0A5F">
        <w:t>5.3.3.3</w:t>
      </w:r>
      <w:r w:rsidRPr="000A0A5F">
        <w:tab/>
        <w:t>Resource: Individual Monitoring Event Subscription</w:t>
      </w:r>
      <w:bookmarkEnd w:id="2273"/>
      <w:bookmarkEnd w:id="2274"/>
      <w:bookmarkEnd w:id="2275"/>
      <w:bookmarkEnd w:id="2276"/>
      <w:bookmarkEnd w:id="2277"/>
      <w:bookmarkEnd w:id="2278"/>
      <w:bookmarkEnd w:id="2279"/>
      <w:bookmarkEnd w:id="2280"/>
      <w:bookmarkEnd w:id="2281"/>
      <w:bookmarkEnd w:id="2282"/>
      <w:bookmarkEnd w:id="2283"/>
      <w:bookmarkEnd w:id="2284"/>
    </w:p>
    <w:p w:rsidR="00CB0DD7" w:rsidRPr="000A0A5F" w:rsidRDefault="00CB0DD7">
      <w:pPr>
        <w:pStyle w:val="Heading5"/>
      </w:pPr>
      <w:bookmarkStart w:id="2285" w:name="_Toc11247344"/>
      <w:bookmarkStart w:id="2286" w:name="_Toc27044466"/>
      <w:bookmarkStart w:id="2287" w:name="_Toc36033508"/>
      <w:bookmarkStart w:id="2288" w:name="_Toc45131640"/>
      <w:bookmarkStart w:id="2289" w:name="_Toc49775925"/>
      <w:bookmarkStart w:id="2290" w:name="_Toc51746845"/>
      <w:bookmarkStart w:id="2291" w:name="_Toc66360390"/>
      <w:bookmarkStart w:id="2292" w:name="_Toc68104895"/>
      <w:bookmarkStart w:id="2293" w:name="_Toc74755525"/>
      <w:bookmarkStart w:id="2294" w:name="_Toc105674392"/>
      <w:bookmarkStart w:id="2295" w:name="_Toc130502432"/>
      <w:bookmarkStart w:id="2296" w:name="_Toc153625219"/>
      <w:r w:rsidRPr="000A0A5F">
        <w:t>5.3.3.3.1</w:t>
      </w:r>
      <w:r w:rsidRPr="000A0A5F">
        <w:tab/>
        <w:t>Introduction</w:t>
      </w:r>
      <w:bookmarkEnd w:id="2285"/>
      <w:bookmarkEnd w:id="2286"/>
      <w:bookmarkEnd w:id="2287"/>
      <w:bookmarkEnd w:id="2288"/>
      <w:bookmarkEnd w:id="2289"/>
      <w:bookmarkEnd w:id="2290"/>
      <w:bookmarkEnd w:id="2291"/>
      <w:bookmarkEnd w:id="2292"/>
      <w:bookmarkEnd w:id="2293"/>
      <w:bookmarkEnd w:id="2294"/>
      <w:bookmarkEnd w:id="2295"/>
      <w:bookmarkEnd w:id="2296"/>
    </w:p>
    <w:p w:rsidR="00CB0DD7" w:rsidRPr="000A0A5F" w:rsidRDefault="00CB0DD7">
      <w:pPr>
        <w:rPr>
          <w:noProof/>
          <w:lang w:eastAsia="zh-CN"/>
        </w:rPr>
      </w:pPr>
      <w:r w:rsidRPr="000A0A5F">
        <w:rPr>
          <w:noProof/>
          <w:lang w:eastAsia="zh-CN"/>
        </w:rPr>
        <w:t xml:space="preserve">This resource allows an </w:t>
      </w:r>
      <w:r w:rsidRPr="000A0A5F">
        <w:rPr>
          <w:rFonts w:hint="eastAsia"/>
          <w:noProof/>
          <w:lang w:eastAsia="zh-CN"/>
        </w:rPr>
        <w:t xml:space="preserve">SCS/AS </w:t>
      </w:r>
      <w:r w:rsidRPr="000A0A5F">
        <w:rPr>
          <w:noProof/>
          <w:lang w:eastAsia="zh-CN"/>
        </w:rPr>
        <w:t xml:space="preserve">to read, update or delete an active monitoring event subscription at the SCEF.  </w:t>
      </w:r>
    </w:p>
    <w:p w:rsidR="00CB0DD7" w:rsidRPr="000A0A5F" w:rsidRDefault="00CB0DD7">
      <w:pPr>
        <w:pStyle w:val="Heading5"/>
      </w:pPr>
      <w:bookmarkStart w:id="2297" w:name="_Toc11247345"/>
      <w:bookmarkStart w:id="2298" w:name="_Toc27044467"/>
      <w:bookmarkStart w:id="2299" w:name="_Toc36033509"/>
      <w:bookmarkStart w:id="2300" w:name="_Toc45131641"/>
      <w:bookmarkStart w:id="2301" w:name="_Toc49775926"/>
      <w:bookmarkStart w:id="2302" w:name="_Toc51746846"/>
      <w:bookmarkStart w:id="2303" w:name="_Toc66360391"/>
      <w:bookmarkStart w:id="2304" w:name="_Toc68104896"/>
      <w:bookmarkStart w:id="2305" w:name="_Toc74755526"/>
      <w:bookmarkStart w:id="2306" w:name="_Toc105674393"/>
      <w:bookmarkStart w:id="2307" w:name="_Toc130502433"/>
      <w:bookmarkStart w:id="2308" w:name="_Toc153625220"/>
      <w:r w:rsidRPr="000A0A5F">
        <w:t>5.3.3.3.2</w:t>
      </w:r>
      <w:r w:rsidRPr="000A0A5F">
        <w:tab/>
        <w:t>Resource definition</w:t>
      </w:r>
      <w:bookmarkEnd w:id="2297"/>
      <w:bookmarkEnd w:id="2298"/>
      <w:bookmarkEnd w:id="2299"/>
      <w:bookmarkEnd w:id="2300"/>
      <w:bookmarkEnd w:id="2301"/>
      <w:bookmarkEnd w:id="2302"/>
      <w:bookmarkEnd w:id="2303"/>
      <w:bookmarkEnd w:id="2304"/>
      <w:bookmarkEnd w:id="2305"/>
      <w:bookmarkEnd w:id="2306"/>
      <w:bookmarkEnd w:id="2307"/>
      <w:bookmarkEnd w:id="2308"/>
    </w:p>
    <w:p w:rsidR="00CB0DD7" w:rsidRPr="000A0A5F" w:rsidRDefault="00CB0DD7">
      <w:pPr>
        <w:rPr>
          <w:b/>
        </w:rPr>
      </w:pPr>
      <w:r w:rsidRPr="000A0A5F">
        <w:t xml:space="preserve">Resource URI: </w:t>
      </w:r>
      <w:r w:rsidRPr="000A0A5F">
        <w:rPr>
          <w:b/>
        </w:rPr>
        <w:t>{apiRoot}/3gpp-monitoring-event/v1/{scsAsId}/subscriptions/{subscriptionId}</w:t>
      </w:r>
    </w:p>
    <w:p w:rsidR="00CB0DD7" w:rsidRPr="000A0A5F" w:rsidRDefault="00CB0DD7">
      <w:pPr>
        <w:rPr>
          <w:rFonts w:ascii="Arial" w:hAnsi="Arial" w:cs="Arial"/>
        </w:rPr>
      </w:pPr>
      <w:r w:rsidRPr="000A0A5F">
        <w:t>This resource shall support the resource URI variables defined in table 5.2.3.2.2-1</w:t>
      </w:r>
      <w:r w:rsidRPr="000A0A5F">
        <w:rPr>
          <w:rFonts w:ascii="Arial" w:hAnsi="Arial" w:cs="Arial"/>
        </w:rPr>
        <w:t>.</w:t>
      </w:r>
    </w:p>
    <w:p w:rsidR="00CB0DD7" w:rsidRPr="000A0A5F" w:rsidRDefault="00CB0DD7">
      <w:pPr>
        <w:pStyle w:val="TH"/>
        <w:rPr>
          <w:rFonts w:cs="Arial"/>
        </w:rPr>
      </w:pPr>
      <w:r w:rsidRPr="000A0A5F">
        <w:t>Table 5.3.3.3.2-1: Resource URI variables for resource "Individual Monitoring Event Subscription"</w:t>
      </w:r>
    </w:p>
    <w:tbl>
      <w:tblPr>
        <w:tblW w:w="494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971"/>
        <w:gridCol w:w="1453"/>
        <w:gridCol w:w="6236"/>
      </w:tblGrid>
      <w:tr w:rsidR="00CB0DD7" w:rsidRPr="000A0A5F" w:rsidTr="00FF0AF8">
        <w:trPr>
          <w:jc w:val="center"/>
        </w:trPr>
        <w:tc>
          <w:tcPr>
            <w:tcW w:w="1020" w:type="pct"/>
            <w:shd w:val="clear" w:color="000000" w:fill="C0C0C0"/>
          </w:tcPr>
          <w:p w:rsidR="00CB0DD7" w:rsidRPr="000A0A5F" w:rsidRDefault="00CB0DD7">
            <w:pPr>
              <w:pStyle w:val="TAH"/>
            </w:pPr>
            <w:r w:rsidRPr="000A0A5F">
              <w:t>Name</w:t>
            </w:r>
          </w:p>
        </w:tc>
        <w:tc>
          <w:tcPr>
            <w:tcW w:w="752" w:type="pct"/>
            <w:shd w:val="clear" w:color="000000" w:fill="C0C0C0"/>
          </w:tcPr>
          <w:p w:rsidR="00CB0DD7" w:rsidRPr="000A0A5F" w:rsidRDefault="00CB0DD7">
            <w:pPr>
              <w:pStyle w:val="TAH"/>
            </w:pPr>
            <w:r w:rsidRPr="000A0A5F">
              <w:rPr>
                <w:rFonts w:hint="eastAsia"/>
                <w:lang w:eastAsia="zh-CN"/>
              </w:rPr>
              <w:t>D</w:t>
            </w:r>
            <w:r w:rsidRPr="000A0A5F">
              <w:rPr>
                <w:lang w:eastAsia="zh-CN"/>
              </w:rPr>
              <w:t>ata type</w:t>
            </w:r>
          </w:p>
        </w:tc>
        <w:tc>
          <w:tcPr>
            <w:tcW w:w="3229" w:type="pct"/>
            <w:shd w:val="clear" w:color="000000" w:fill="C0C0C0"/>
            <w:vAlign w:val="center"/>
          </w:tcPr>
          <w:p w:rsidR="00CB0DD7" w:rsidRPr="000A0A5F" w:rsidRDefault="00CB0DD7">
            <w:pPr>
              <w:pStyle w:val="TAH"/>
            </w:pPr>
            <w:r w:rsidRPr="000A0A5F">
              <w:t>Definition</w:t>
            </w:r>
          </w:p>
        </w:tc>
      </w:tr>
      <w:tr w:rsidR="00CB0DD7" w:rsidRPr="000A0A5F" w:rsidTr="00FF0AF8">
        <w:trPr>
          <w:jc w:val="center"/>
        </w:trPr>
        <w:tc>
          <w:tcPr>
            <w:tcW w:w="1020" w:type="pct"/>
            <w:shd w:val="clear" w:color="auto" w:fill="auto"/>
          </w:tcPr>
          <w:p w:rsidR="00CB0DD7" w:rsidRPr="000A0A5F" w:rsidRDefault="00CB0DD7">
            <w:pPr>
              <w:pStyle w:val="TAL"/>
            </w:pPr>
            <w:r w:rsidRPr="000A0A5F">
              <w:t>apiRoot</w:t>
            </w:r>
          </w:p>
        </w:tc>
        <w:tc>
          <w:tcPr>
            <w:tcW w:w="752" w:type="pct"/>
          </w:tcPr>
          <w:p w:rsidR="00CB0DD7" w:rsidRPr="000A0A5F" w:rsidRDefault="00CB0DD7">
            <w:pPr>
              <w:pStyle w:val="TAL"/>
            </w:pPr>
            <w:r w:rsidRPr="000A0A5F">
              <w:rPr>
                <w:rFonts w:hint="eastAsia"/>
                <w:lang w:eastAsia="zh-CN"/>
              </w:rPr>
              <w:t>s</w:t>
            </w:r>
            <w:r w:rsidRPr="000A0A5F">
              <w:rPr>
                <w:lang w:eastAsia="zh-CN"/>
              </w:rPr>
              <w:t>tring</w:t>
            </w:r>
          </w:p>
        </w:tc>
        <w:tc>
          <w:tcPr>
            <w:tcW w:w="3229" w:type="pct"/>
            <w:shd w:val="clear" w:color="auto" w:fill="auto"/>
            <w:vAlign w:val="center"/>
          </w:tcPr>
          <w:p w:rsidR="00CB0DD7" w:rsidRPr="000A0A5F" w:rsidRDefault="00CB0DD7">
            <w:pPr>
              <w:pStyle w:val="TAL"/>
            </w:pPr>
            <w:r w:rsidRPr="000A0A5F">
              <w:t>See clause</w:t>
            </w:r>
            <w:r w:rsidRPr="000A0A5F">
              <w:rPr>
                <w:lang w:val="en-US" w:eastAsia="zh-CN"/>
              </w:rPr>
              <w:t> </w:t>
            </w:r>
            <w:r w:rsidRPr="000A0A5F">
              <w:t>5.2.4.</w:t>
            </w:r>
          </w:p>
        </w:tc>
      </w:tr>
      <w:tr w:rsidR="00CB0DD7" w:rsidRPr="000A0A5F" w:rsidTr="00FF0AF8">
        <w:trPr>
          <w:jc w:val="center"/>
        </w:trPr>
        <w:tc>
          <w:tcPr>
            <w:tcW w:w="1020" w:type="pct"/>
            <w:shd w:val="clear" w:color="auto" w:fill="auto"/>
          </w:tcPr>
          <w:p w:rsidR="00CB0DD7" w:rsidRPr="000A0A5F" w:rsidRDefault="00CB0DD7">
            <w:pPr>
              <w:pStyle w:val="TAL"/>
            </w:pPr>
            <w:r w:rsidRPr="000A0A5F">
              <w:t>scsAsId</w:t>
            </w:r>
          </w:p>
        </w:tc>
        <w:tc>
          <w:tcPr>
            <w:tcW w:w="752" w:type="pct"/>
          </w:tcPr>
          <w:p w:rsidR="00CB0DD7" w:rsidRPr="000A0A5F" w:rsidRDefault="00CB0DD7">
            <w:pPr>
              <w:pStyle w:val="TAL"/>
            </w:pPr>
            <w:r w:rsidRPr="000A0A5F">
              <w:rPr>
                <w:rFonts w:hint="eastAsia"/>
                <w:lang w:eastAsia="zh-CN"/>
              </w:rPr>
              <w:t>s</w:t>
            </w:r>
            <w:r w:rsidRPr="000A0A5F">
              <w:rPr>
                <w:lang w:eastAsia="zh-CN"/>
              </w:rPr>
              <w:t>tring</w:t>
            </w:r>
          </w:p>
        </w:tc>
        <w:tc>
          <w:tcPr>
            <w:tcW w:w="3229" w:type="pct"/>
            <w:shd w:val="clear" w:color="auto" w:fill="auto"/>
            <w:vAlign w:val="center"/>
          </w:tcPr>
          <w:p w:rsidR="00CB0DD7" w:rsidRPr="000A0A5F" w:rsidRDefault="00CB0DD7">
            <w:pPr>
              <w:pStyle w:val="TAL"/>
            </w:pPr>
            <w:r w:rsidRPr="000A0A5F">
              <w:t>Identifier of the SCS/AS.</w:t>
            </w:r>
          </w:p>
        </w:tc>
      </w:tr>
      <w:tr w:rsidR="00CB0DD7" w:rsidRPr="000A0A5F" w:rsidTr="00FF0AF8">
        <w:trPr>
          <w:jc w:val="center"/>
        </w:trPr>
        <w:tc>
          <w:tcPr>
            <w:tcW w:w="1020" w:type="pct"/>
            <w:shd w:val="clear" w:color="auto" w:fill="auto"/>
          </w:tcPr>
          <w:p w:rsidR="00CB0DD7" w:rsidRPr="000A0A5F" w:rsidRDefault="00CB0DD7">
            <w:pPr>
              <w:pStyle w:val="TAL"/>
            </w:pPr>
            <w:r w:rsidRPr="000A0A5F">
              <w:t>subscriptionId</w:t>
            </w:r>
          </w:p>
        </w:tc>
        <w:tc>
          <w:tcPr>
            <w:tcW w:w="752" w:type="pct"/>
          </w:tcPr>
          <w:p w:rsidR="00CB0DD7" w:rsidRPr="000A0A5F" w:rsidRDefault="00CB0DD7">
            <w:pPr>
              <w:pStyle w:val="TAL"/>
            </w:pPr>
            <w:r w:rsidRPr="000A0A5F">
              <w:rPr>
                <w:rFonts w:hint="eastAsia"/>
                <w:lang w:eastAsia="zh-CN"/>
              </w:rPr>
              <w:t>s</w:t>
            </w:r>
            <w:r w:rsidRPr="000A0A5F">
              <w:rPr>
                <w:lang w:eastAsia="zh-CN"/>
              </w:rPr>
              <w:t>tring</w:t>
            </w:r>
          </w:p>
        </w:tc>
        <w:tc>
          <w:tcPr>
            <w:tcW w:w="3229" w:type="pct"/>
            <w:shd w:val="clear" w:color="auto" w:fill="auto"/>
            <w:vAlign w:val="center"/>
          </w:tcPr>
          <w:p w:rsidR="00CB0DD7" w:rsidRPr="000A0A5F" w:rsidRDefault="00CB0DD7">
            <w:pPr>
              <w:pStyle w:val="TAL"/>
            </w:pPr>
            <w:r w:rsidRPr="000A0A5F">
              <w:t>Identifier of the subscription resource. The subscriptionId corresponds to the stage 2 TLTRI.</w:t>
            </w:r>
          </w:p>
        </w:tc>
      </w:tr>
    </w:tbl>
    <w:p w:rsidR="00CB0DD7" w:rsidRPr="000A0A5F" w:rsidRDefault="00CB0DD7"/>
    <w:p w:rsidR="00CB0DD7" w:rsidRPr="000A0A5F" w:rsidRDefault="00CB0DD7">
      <w:pPr>
        <w:pStyle w:val="Heading5"/>
      </w:pPr>
      <w:bookmarkStart w:id="2309" w:name="_Toc11247346"/>
      <w:bookmarkStart w:id="2310" w:name="_Toc27044468"/>
      <w:bookmarkStart w:id="2311" w:name="_Toc36033510"/>
      <w:bookmarkStart w:id="2312" w:name="_Toc45131642"/>
      <w:bookmarkStart w:id="2313" w:name="_Toc49775927"/>
      <w:bookmarkStart w:id="2314" w:name="_Toc51746847"/>
      <w:bookmarkStart w:id="2315" w:name="_Toc66360392"/>
      <w:bookmarkStart w:id="2316" w:name="_Toc68104897"/>
      <w:bookmarkStart w:id="2317" w:name="_Toc74755527"/>
      <w:bookmarkStart w:id="2318" w:name="_Toc105674394"/>
      <w:bookmarkStart w:id="2319" w:name="_Toc130502434"/>
      <w:bookmarkStart w:id="2320" w:name="_Toc153625221"/>
      <w:r w:rsidRPr="000A0A5F">
        <w:t>5.3.3.3.3</w:t>
      </w:r>
      <w:r w:rsidRPr="000A0A5F">
        <w:tab/>
        <w:t>Resource methods</w:t>
      </w:r>
      <w:bookmarkEnd w:id="2309"/>
      <w:bookmarkEnd w:id="2310"/>
      <w:bookmarkEnd w:id="2311"/>
      <w:bookmarkEnd w:id="2312"/>
      <w:bookmarkEnd w:id="2313"/>
      <w:bookmarkEnd w:id="2314"/>
      <w:bookmarkEnd w:id="2315"/>
      <w:bookmarkEnd w:id="2316"/>
      <w:bookmarkEnd w:id="2317"/>
      <w:bookmarkEnd w:id="2318"/>
      <w:bookmarkEnd w:id="2319"/>
      <w:bookmarkEnd w:id="2320"/>
    </w:p>
    <w:p w:rsidR="00CB0DD7" w:rsidRPr="000A0A5F" w:rsidRDefault="00CB0DD7">
      <w:pPr>
        <w:pStyle w:val="Heading6"/>
      </w:pPr>
      <w:bookmarkStart w:id="2321" w:name="_Toc11247347"/>
      <w:bookmarkStart w:id="2322" w:name="_Toc27044469"/>
      <w:bookmarkStart w:id="2323" w:name="_Toc36033511"/>
      <w:bookmarkStart w:id="2324" w:name="_Toc45131643"/>
      <w:bookmarkStart w:id="2325" w:name="_Toc49775928"/>
      <w:bookmarkStart w:id="2326" w:name="_Toc51746848"/>
      <w:bookmarkStart w:id="2327" w:name="_Toc66360393"/>
      <w:bookmarkStart w:id="2328" w:name="_Toc68104898"/>
      <w:bookmarkStart w:id="2329" w:name="_Toc74755528"/>
      <w:bookmarkStart w:id="2330" w:name="_Toc105674395"/>
      <w:bookmarkStart w:id="2331" w:name="_Toc130502435"/>
      <w:bookmarkStart w:id="2332" w:name="_Toc153625222"/>
      <w:r w:rsidRPr="000A0A5F">
        <w:t>5.3.3.3.3.1</w:t>
      </w:r>
      <w:r w:rsidRPr="000A0A5F">
        <w:tab/>
        <w:t>GET</w:t>
      </w:r>
      <w:bookmarkEnd w:id="2321"/>
      <w:bookmarkEnd w:id="2322"/>
      <w:bookmarkEnd w:id="2323"/>
      <w:bookmarkEnd w:id="2324"/>
      <w:bookmarkEnd w:id="2325"/>
      <w:bookmarkEnd w:id="2326"/>
      <w:bookmarkEnd w:id="2327"/>
      <w:bookmarkEnd w:id="2328"/>
      <w:bookmarkEnd w:id="2329"/>
      <w:bookmarkEnd w:id="2330"/>
      <w:bookmarkEnd w:id="2331"/>
      <w:bookmarkEnd w:id="2332"/>
    </w:p>
    <w:p w:rsidR="00CB0DD7" w:rsidRPr="000A0A5F" w:rsidRDefault="00CB0DD7">
      <w:pPr>
        <w:rPr>
          <w:noProof/>
          <w:lang w:eastAsia="zh-CN"/>
        </w:rPr>
      </w:pPr>
      <w:r w:rsidRPr="000A0A5F">
        <w:rPr>
          <w:noProof/>
          <w:lang w:eastAsia="zh-CN"/>
        </w:rPr>
        <w:t xml:space="preserve">The GET method allows to read an active subscription resource to obtain details of the subscription. The SCS/AS shall initiate the HTTP GET request message and the SCEF shall respond to the message. </w:t>
      </w:r>
    </w:p>
    <w:p w:rsidR="00CB0DD7" w:rsidRPr="000A0A5F" w:rsidRDefault="00CB0DD7">
      <w:r w:rsidRPr="000A0A5F">
        <w:t>This method shall support the URI query parameters, request and response data structures, and response codes, as specified in the table 5.3.3.3.3.1-1 and table 5.3.3.3.3.1-2.</w:t>
      </w:r>
    </w:p>
    <w:p w:rsidR="00CB0DD7" w:rsidRPr="000A0A5F" w:rsidRDefault="00CB0DD7">
      <w:pPr>
        <w:pStyle w:val="TH"/>
        <w:rPr>
          <w:rFonts w:cs="Arial"/>
        </w:rPr>
      </w:pPr>
      <w:r w:rsidRPr="000A0A5F">
        <w:t xml:space="preserve">Table 5.3.3.3.3.1-1: URI query parameters supported by the GET method on this resource </w:t>
      </w:r>
    </w:p>
    <w:tbl>
      <w:tblPr>
        <w:tblW w:w="4999"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612"/>
        <w:gridCol w:w="1709"/>
        <w:gridCol w:w="1140"/>
        <w:gridCol w:w="5314"/>
      </w:tblGrid>
      <w:tr w:rsidR="00CB0DD7" w:rsidRPr="000A0A5F" w:rsidTr="00FF0AF8">
        <w:trPr>
          <w:jc w:val="center"/>
        </w:trPr>
        <w:tc>
          <w:tcPr>
            <w:tcW w:w="825" w:type="pct"/>
            <w:shd w:val="clear" w:color="000000" w:fill="C0C0C0"/>
          </w:tcPr>
          <w:p w:rsidR="00CB0DD7" w:rsidRPr="000A0A5F" w:rsidRDefault="00CB0DD7">
            <w:pPr>
              <w:pStyle w:val="TAH"/>
            </w:pPr>
            <w:r w:rsidRPr="000A0A5F">
              <w:t>Name</w:t>
            </w:r>
          </w:p>
        </w:tc>
        <w:tc>
          <w:tcPr>
            <w:tcW w:w="874" w:type="pct"/>
            <w:shd w:val="clear" w:color="000000" w:fill="C0C0C0"/>
          </w:tcPr>
          <w:p w:rsidR="00CB0DD7" w:rsidRPr="000A0A5F" w:rsidRDefault="00CB0DD7">
            <w:pPr>
              <w:pStyle w:val="TAH"/>
            </w:pPr>
            <w:r w:rsidRPr="000A0A5F">
              <w:t>Data type</w:t>
            </w:r>
          </w:p>
        </w:tc>
        <w:tc>
          <w:tcPr>
            <w:tcW w:w="583" w:type="pct"/>
            <w:shd w:val="clear" w:color="000000" w:fill="C0C0C0"/>
          </w:tcPr>
          <w:p w:rsidR="00CB0DD7" w:rsidRPr="000A0A5F" w:rsidRDefault="00CB0DD7">
            <w:pPr>
              <w:pStyle w:val="TAH"/>
            </w:pPr>
            <w:r w:rsidRPr="000A0A5F">
              <w:t>Cardinality</w:t>
            </w:r>
          </w:p>
        </w:tc>
        <w:tc>
          <w:tcPr>
            <w:tcW w:w="2718" w:type="pct"/>
            <w:shd w:val="clear" w:color="000000" w:fill="C0C0C0"/>
            <w:vAlign w:val="center"/>
          </w:tcPr>
          <w:p w:rsidR="00CB0DD7" w:rsidRPr="000A0A5F" w:rsidRDefault="00CB0DD7">
            <w:pPr>
              <w:pStyle w:val="TAH"/>
            </w:pPr>
            <w:r w:rsidRPr="000A0A5F">
              <w:t>Remarks</w:t>
            </w:r>
          </w:p>
        </w:tc>
      </w:tr>
      <w:tr w:rsidR="00CB0DD7" w:rsidRPr="000A0A5F" w:rsidTr="00FF0AF8">
        <w:trPr>
          <w:jc w:val="center"/>
        </w:trPr>
        <w:tc>
          <w:tcPr>
            <w:tcW w:w="825" w:type="pct"/>
            <w:shd w:val="clear" w:color="auto" w:fill="auto"/>
          </w:tcPr>
          <w:p w:rsidR="00CB0DD7" w:rsidRPr="000A0A5F" w:rsidRDefault="00CB0DD7">
            <w:pPr>
              <w:pStyle w:val="TAL"/>
            </w:pPr>
            <w:r w:rsidRPr="000A0A5F">
              <w:t>none specified</w:t>
            </w:r>
          </w:p>
        </w:tc>
        <w:tc>
          <w:tcPr>
            <w:tcW w:w="874" w:type="pct"/>
          </w:tcPr>
          <w:p w:rsidR="00CB0DD7" w:rsidRPr="000A0A5F" w:rsidRDefault="00CB0DD7">
            <w:pPr>
              <w:pStyle w:val="TAL"/>
            </w:pPr>
          </w:p>
        </w:tc>
        <w:tc>
          <w:tcPr>
            <w:tcW w:w="583" w:type="pct"/>
          </w:tcPr>
          <w:p w:rsidR="00CB0DD7" w:rsidRPr="000A0A5F" w:rsidRDefault="00CB0DD7">
            <w:pPr>
              <w:pStyle w:val="TAL"/>
            </w:pPr>
          </w:p>
        </w:tc>
        <w:tc>
          <w:tcPr>
            <w:tcW w:w="2718" w:type="pct"/>
            <w:shd w:val="clear" w:color="auto" w:fill="auto"/>
            <w:vAlign w:val="center"/>
          </w:tcPr>
          <w:p w:rsidR="00CB0DD7" w:rsidRPr="000A0A5F" w:rsidRDefault="00CB0DD7">
            <w:pPr>
              <w:pStyle w:val="TAL"/>
            </w:pPr>
          </w:p>
        </w:tc>
      </w:tr>
    </w:tbl>
    <w:p w:rsidR="00CB0DD7" w:rsidRPr="000A0A5F" w:rsidRDefault="00CB0DD7"/>
    <w:p w:rsidR="00CB0DD7" w:rsidRPr="000A0A5F" w:rsidRDefault="00CB0DD7">
      <w:pPr>
        <w:pStyle w:val="TH"/>
        <w:spacing w:before="120"/>
      </w:pPr>
      <w:r w:rsidRPr="000A0A5F">
        <w:t>Table 5.3.3.3.3.1-2: Data structures supported by the GET request/response by the resource</w:t>
      </w:r>
    </w:p>
    <w:tbl>
      <w:tblPr>
        <w:tblW w:w="4999" w:type="pct"/>
        <w:tblInd w:w="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45" w:type="dxa"/>
          <w:left w:w="45" w:type="dxa"/>
          <w:bottom w:w="45" w:type="dxa"/>
          <w:right w:w="45" w:type="dxa"/>
        </w:tblCellMar>
        <w:tblLook w:val="0000" w:firstRow="0" w:lastRow="0" w:firstColumn="0" w:lastColumn="0" w:noHBand="0" w:noVBand="0"/>
      </w:tblPr>
      <w:tblGrid>
        <w:gridCol w:w="1035"/>
        <w:gridCol w:w="2127"/>
        <w:gridCol w:w="1053"/>
        <w:gridCol w:w="973"/>
        <w:gridCol w:w="4541"/>
      </w:tblGrid>
      <w:tr w:rsidR="00CB0DD7" w:rsidRPr="000A0A5F" w:rsidTr="00FF0AF8">
        <w:tc>
          <w:tcPr>
            <w:tcW w:w="532" w:type="pct"/>
            <w:vMerge w:val="restart"/>
            <w:shd w:val="clear" w:color="auto" w:fill="C0C0C0"/>
            <w:vAlign w:val="center"/>
          </w:tcPr>
          <w:p w:rsidR="00CB0DD7" w:rsidRPr="000A0A5F" w:rsidRDefault="00CB0DD7">
            <w:pPr>
              <w:pStyle w:val="TAH"/>
            </w:pPr>
            <w:r w:rsidRPr="000A0A5F">
              <w:t>Request body</w:t>
            </w:r>
          </w:p>
        </w:tc>
        <w:tc>
          <w:tcPr>
            <w:tcW w:w="1093" w:type="pct"/>
            <w:shd w:val="clear" w:color="auto" w:fill="C0C0C0"/>
          </w:tcPr>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r w:rsidRPr="000A0A5F">
              <w:t>Cardinality</w:t>
            </w:r>
          </w:p>
        </w:tc>
        <w:tc>
          <w:tcPr>
            <w:tcW w:w="2834" w:type="pct"/>
            <w:gridSpan w:val="2"/>
            <w:shd w:val="clear" w:color="auto" w:fill="C0C0C0"/>
          </w:tcPr>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none</w:t>
            </w:r>
          </w:p>
        </w:tc>
        <w:tc>
          <w:tcPr>
            <w:tcW w:w="541" w:type="pct"/>
          </w:tcPr>
          <w:p w:rsidR="00CB0DD7" w:rsidRPr="000A0A5F" w:rsidRDefault="00CB0DD7">
            <w:pPr>
              <w:pStyle w:val="TAL"/>
            </w:pPr>
          </w:p>
        </w:tc>
        <w:tc>
          <w:tcPr>
            <w:tcW w:w="2834" w:type="pct"/>
            <w:gridSpan w:val="2"/>
          </w:tcPr>
          <w:p w:rsidR="00CB0DD7" w:rsidRPr="000A0A5F" w:rsidRDefault="00CB0DD7">
            <w:pPr>
              <w:pStyle w:val="TAL"/>
            </w:pPr>
          </w:p>
        </w:tc>
      </w:tr>
      <w:tr w:rsidR="00CB0DD7" w:rsidRPr="000A0A5F" w:rsidTr="00FF0AF8">
        <w:tc>
          <w:tcPr>
            <w:tcW w:w="532" w:type="pct"/>
            <w:vMerge w:val="restart"/>
            <w:shd w:val="clear" w:color="auto" w:fill="C0C0C0"/>
            <w:vAlign w:val="center"/>
          </w:tcPr>
          <w:p w:rsidR="00CB0DD7" w:rsidRPr="000A0A5F" w:rsidRDefault="00CB0DD7">
            <w:pPr>
              <w:pStyle w:val="TAH"/>
            </w:pPr>
            <w:r w:rsidRPr="000A0A5F">
              <w:t>Response body</w:t>
            </w:r>
          </w:p>
        </w:tc>
        <w:tc>
          <w:tcPr>
            <w:tcW w:w="1093" w:type="pct"/>
            <w:shd w:val="clear" w:color="auto" w:fill="C0C0C0"/>
          </w:tcPr>
          <w:p w:rsidR="00CB0DD7" w:rsidRPr="000A0A5F" w:rsidRDefault="00CB0DD7">
            <w:pPr>
              <w:pStyle w:val="TAH"/>
            </w:pPr>
          </w:p>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p>
          <w:p w:rsidR="00CB0DD7" w:rsidRPr="000A0A5F" w:rsidRDefault="00CB0DD7">
            <w:pPr>
              <w:pStyle w:val="TAH"/>
            </w:pPr>
            <w:r w:rsidRPr="000A0A5F">
              <w:t>Cardinality</w:t>
            </w:r>
          </w:p>
        </w:tc>
        <w:tc>
          <w:tcPr>
            <w:tcW w:w="500" w:type="pct"/>
            <w:shd w:val="clear" w:color="auto" w:fill="C0C0C0"/>
          </w:tcPr>
          <w:p w:rsidR="00CB0DD7" w:rsidRPr="000A0A5F" w:rsidRDefault="00CB0DD7">
            <w:pPr>
              <w:pStyle w:val="TAH"/>
            </w:pPr>
            <w:r w:rsidRPr="000A0A5F">
              <w:t>Response</w:t>
            </w:r>
          </w:p>
          <w:p w:rsidR="00CB0DD7" w:rsidRPr="000A0A5F" w:rsidRDefault="00CB0DD7">
            <w:pPr>
              <w:pStyle w:val="TAH"/>
            </w:pPr>
            <w:r w:rsidRPr="000A0A5F">
              <w:t>codes</w:t>
            </w:r>
          </w:p>
        </w:tc>
        <w:tc>
          <w:tcPr>
            <w:tcW w:w="2334" w:type="pct"/>
            <w:shd w:val="clear" w:color="auto" w:fill="C0C0C0"/>
          </w:tcPr>
          <w:p w:rsidR="00CB0DD7" w:rsidRPr="000A0A5F" w:rsidRDefault="00CB0DD7">
            <w:pPr>
              <w:pStyle w:val="TAH"/>
            </w:pPr>
          </w:p>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MonitoringEventSubscription</w:t>
            </w:r>
          </w:p>
        </w:tc>
        <w:tc>
          <w:tcPr>
            <w:tcW w:w="541" w:type="pct"/>
          </w:tcPr>
          <w:p w:rsidR="00CB0DD7" w:rsidRPr="000A0A5F" w:rsidRDefault="00CB0DD7">
            <w:pPr>
              <w:pStyle w:val="TAL"/>
            </w:pPr>
            <w:r w:rsidRPr="000A0A5F">
              <w:t>1</w:t>
            </w:r>
          </w:p>
        </w:tc>
        <w:tc>
          <w:tcPr>
            <w:tcW w:w="500" w:type="pct"/>
          </w:tcPr>
          <w:p w:rsidR="00CB0DD7" w:rsidRPr="000A0A5F" w:rsidRDefault="00CB0DD7">
            <w:pPr>
              <w:pStyle w:val="TAL"/>
            </w:pPr>
            <w:r w:rsidRPr="000A0A5F">
              <w:t>200 OK</w:t>
            </w:r>
          </w:p>
        </w:tc>
        <w:tc>
          <w:tcPr>
            <w:tcW w:w="2334" w:type="pct"/>
          </w:tcPr>
          <w:p w:rsidR="00CB0DD7" w:rsidRPr="000A0A5F" w:rsidRDefault="00CB0DD7">
            <w:pPr>
              <w:pStyle w:val="TAL"/>
            </w:pPr>
            <w:r w:rsidRPr="000A0A5F">
              <w:t>The subscription information related to the request URI is returned.</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none</w:t>
            </w:r>
          </w:p>
        </w:tc>
        <w:tc>
          <w:tcPr>
            <w:tcW w:w="541" w:type="pct"/>
          </w:tcPr>
          <w:p w:rsidR="00CB0DD7" w:rsidRPr="000A0A5F" w:rsidRDefault="00CB0DD7">
            <w:pPr>
              <w:pStyle w:val="TAL"/>
            </w:pPr>
          </w:p>
        </w:tc>
        <w:tc>
          <w:tcPr>
            <w:tcW w:w="500" w:type="pct"/>
          </w:tcPr>
          <w:p w:rsidR="00CB0DD7" w:rsidRPr="000A0A5F" w:rsidRDefault="00CB0DD7">
            <w:pPr>
              <w:pStyle w:val="TAL"/>
            </w:pPr>
            <w:r w:rsidRPr="000A0A5F">
              <w:t>307 Temporary Redirect</w:t>
            </w:r>
          </w:p>
        </w:tc>
        <w:tc>
          <w:tcPr>
            <w:tcW w:w="2334" w:type="pct"/>
          </w:tcPr>
          <w:p w:rsidR="00CB0DD7" w:rsidRPr="000A0A5F" w:rsidRDefault="00CB0DD7">
            <w:pPr>
              <w:pStyle w:val="TAL"/>
            </w:pPr>
            <w:r w:rsidRPr="000A0A5F">
              <w:t>Temporary redirection, during subscription retrieval. The response shall include a Location header field containing an alternative URI of the resource located in an alternative SCEF.</w:t>
            </w:r>
          </w:p>
          <w:p w:rsidR="00CB0DD7" w:rsidRPr="000A0A5F" w:rsidRDefault="00CB0DD7">
            <w:pPr>
              <w:pStyle w:val="TAL"/>
            </w:pPr>
            <w:r w:rsidRPr="000A0A5F">
              <w:t>Redirection handling is described in clause 5.2.10.</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none</w:t>
            </w:r>
          </w:p>
        </w:tc>
        <w:tc>
          <w:tcPr>
            <w:tcW w:w="541" w:type="pct"/>
          </w:tcPr>
          <w:p w:rsidR="00CB0DD7" w:rsidRPr="000A0A5F" w:rsidRDefault="00CB0DD7">
            <w:pPr>
              <w:pStyle w:val="TAL"/>
            </w:pPr>
          </w:p>
        </w:tc>
        <w:tc>
          <w:tcPr>
            <w:tcW w:w="500" w:type="pct"/>
          </w:tcPr>
          <w:p w:rsidR="00CB0DD7" w:rsidRPr="000A0A5F" w:rsidRDefault="00CB0DD7">
            <w:pPr>
              <w:pStyle w:val="TAL"/>
            </w:pPr>
            <w:r w:rsidRPr="000A0A5F">
              <w:t>308 Permanent Redirect</w:t>
            </w:r>
          </w:p>
        </w:tc>
        <w:tc>
          <w:tcPr>
            <w:tcW w:w="2334" w:type="pct"/>
          </w:tcPr>
          <w:p w:rsidR="00CB0DD7" w:rsidRPr="000A0A5F" w:rsidRDefault="00CB0DD7">
            <w:pPr>
              <w:pStyle w:val="TAL"/>
            </w:pPr>
            <w:r w:rsidRPr="000A0A5F">
              <w:t>Permanent redirection, during subscription retrieval. The response shall include a Location header field containing an alternative URI of the resource located in an alternative SCEF.</w:t>
            </w:r>
          </w:p>
          <w:p w:rsidR="00CB0DD7" w:rsidRPr="000A0A5F" w:rsidRDefault="00CB0DD7">
            <w:pPr>
              <w:pStyle w:val="TAL"/>
            </w:pPr>
            <w:r w:rsidRPr="000A0A5F">
              <w:t>Redirection handling is described in clause 5.2.10.</w:t>
            </w:r>
          </w:p>
        </w:tc>
      </w:tr>
      <w:tr w:rsidR="00CB0DD7" w:rsidRPr="000A0A5F" w:rsidTr="00FF0AF8">
        <w:tc>
          <w:tcPr>
            <w:tcW w:w="5000" w:type="pct"/>
            <w:gridSpan w:val="5"/>
            <w:shd w:val="clear" w:color="auto" w:fill="auto"/>
            <w:vAlign w:val="center"/>
          </w:tcPr>
          <w:p w:rsidR="00CB0DD7" w:rsidRPr="000A0A5F" w:rsidRDefault="00CB0DD7">
            <w:pPr>
              <w:pStyle w:val="TAN"/>
            </w:pPr>
            <w:r w:rsidRPr="000A0A5F">
              <w:t>NOTE:</w:t>
            </w:r>
            <w:r w:rsidRPr="000A0A5F">
              <w:tab/>
              <w:t>The mandatory HTTP error status codes for the GET method listed in table 5.2.6-1 also apply.</w:t>
            </w:r>
          </w:p>
        </w:tc>
      </w:tr>
    </w:tbl>
    <w:p w:rsidR="00CB0DD7" w:rsidRPr="000A0A5F" w:rsidRDefault="00CB0DD7"/>
    <w:p w:rsidR="00CB0DD7" w:rsidRPr="000A0A5F" w:rsidRDefault="00B004CD">
      <w:pPr>
        <w:pStyle w:val="TH"/>
      </w:pPr>
      <w:r w:rsidRPr="000A0A5F">
        <w:t>Table </w:t>
      </w:r>
      <w:r w:rsidR="00CB0DD7" w:rsidRPr="000A0A5F">
        <w:t>5.3.3.3.3.1-3: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B004CD">
      <w:pPr>
        <w:pStyle w:val="TH"/>
      </w:pPr>
      <w:r w:rsidRPr="000A0A5F">
        <w:t>Table </w:t>
      </w:r>
      <w:r w:rsidR="00CB0DD7" w:rsidRPr="000A0A5F">
        <w:t>5.3.3.3.3.1-4: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CB0DD7">
      <w:pPr>
        <w:pStyle w:val="Heading6"/>
      </w:pPr>
      <w:bookmarkStart w:id="2333" w:name="_Toc11247348"/>
      <w:bookmarkStart w:id="2334" w:name="_Toc27044470"/>
      <w:bookmarkStart w:id="2335" w:name="_Toc36033512"/>
      <w:bookmarkStart w:id="2336" w:name="_Toc45131644"/>
      <w:bookmarkStart w:id="2337" w:name="_Toc49775929"/>
      <w:bookmarkStart w:id="2338" w:name="_Toc51746849"/>
      <w:bookmarkStart w:id="2339" w:name="_Toc66360394"/>
      <w:bookmarkStart w:id="2340" w:name="_Toc68104899"/>
      <w:bookmarkStart w:id="2341" w:name="_Toc74755529"/>
      <w:bookmarkStart w:id="2342" w:name="_Toc105674396"/>
      <w:bookmarkStart w:id="2343" w:name="_Toc130502436"/>
      <w:bookmarkStart w:id="2344" w:name="_Toc153625223"/>
      <w:r w:rsidRPr="000A0A5F">
        <w:t>5.3.3.3.3.2</w:t>
      </w:r>
      <w:r w:rsidRPr="000A0A5F">
        <w:tab/>
        <w:t>PUT</w:t>
      </w:r>
      <w:bookmarkEnd w:id="2333"/>
      <w:bookmarkEnd w:id="2334"/>
      <w:bookmarkEnd w:id="2335"/>
      <w:bookmarkEnd w:id="2336"/>
      <w:bookmarkEnd w:id="2337"/>
      <w:bookmarkEnd w:id="2338"/>
      <w:bookmarkEnd w:id="2339"/>
      <w:bookmarkEnd w:id="2340"/>
      <w:bookmarkEnd w:id="2341"/>
      <w:bookmarkEnd w:id="2342"/>
      <w:bookmarkEnd w:id="2343"/>
      <w:bookmarkEnd w:id="2344"/>
    </w:p>
    <w:p w:rsidR="00CB0DD7" w:rsidRPr="000A0A5F" w:rsidRDefault="00CB0DD7">
      <w:pPr>
        <w:rPr>
          <w:noProof/>
          <w:lang w:eastAsia="zh-CN"/>
        </w:rPr>
      </w:pPr>
      <w:r w:rsidRPr="000A0A5F">
        <w:rPr>
          <w:noProof/>
          <w:lang w:eastAsia="zh-CN"/>
        </w:rPr>
        <w:t xml:space="preserve">The PUT method modifies an existing subscription resource to update the subscription. The SCS/AS shall initiate the HTTP PUT request message and the SCEF shall respond to the message. </w:t>
      </w:r>
    </w:p>
    <w:p w:rsidR="00CB0DD7" w:rsidRPr="000A0A5F" w:rsidRDefault="00CB0DD7">
      <w:r w:rsidRPr="000A0A5F">
        <w:t>This method shall support the URI query parameters, request and response data structures, and response codes, as specified in the table 5.3.3.3.3.2-1 and table 5.3.3.3.3.2-2.</w:t>
      </w:r>
    </w:p>
    <w:p w:rsidR="00CB0DD7" w:rsidRPr="000A0A5F" w:rsidRDefault="00CB0DD7">
      <w:pPr>
        <w:pStyle w:val="TH"/>
        <w:rPr>
          <w:rFonts w:cs="Arial"/>
        </w:rPr>
      </w:pPr>
      <w:r w:rsidRPr="000A0A5F">
        <w:t xml:space="preserve">Table 5.3.3.3.3.2-1: URI query parameters supported by the PUT method on this resource </w:t>
      </w:r>
    </w:p>
    <w:tbl>
      <w:tblPr>
        <w:tblW w:w="4999"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612"/>
        <w:gridCol w:w="1709"/>
        <w:gridCol w:w="1140"/>
        <w:gridCol w:w="5314"/>
      </w:tblGrid>
      <w:tr w:rsidR="00CB0DD7" w:rsidRPr="000A0A5F" w:rsidTr="00FF0AF8">
        <w:trPr>
          <w:jc w:val="center"/>
        </w:trPr>
        <w:tc>
          <w:tcPr>
            <w:tcW w:w="825" w:type="pct"/>
            <w:shd w:val="clear" w:color="000000" w:fill="C0C0C0"/>
          </w:tcPr>
          <w:p w:rsidR="00CB0DD7" w:rsidRPr="000A0A5F" w:rsidRDefault="00CB0DD7">
            <w:pPr>
              <w:pStyle w:val="TAH"/>
            </w:pPr>
            <w:r w:rsidRPr="000A0A5F">
              <w:t>Name</w:t>
            </w:r>
          </w:p>
        </w:tc>
        <w:tc>
          <w:tcPr>
            <w:tcW w:w="874" w:type="pct"/>
            <w:shd w:val="clear" w:color="000000" w:fill="C0C0C0"/>
          </w:tcPr>
          <w:p w:rsidR="00CB0DD7" w:rsidRPr="000A0A5F" w:rsidRDefault="00CB0DD7">
            <w:pPr>
              <w:pStyle w:val="TAH"/>
            </w:pPr>
            <w:r w:rsidRPr="000A0A5F">
              <w:t>Data type</w:t>
            </w:r>
          </w:p>
        </w:tc>
        <w:tc>
          <w:tcPr>
            <w:tcW w:w="583" w:type="pct"/>
            <w:shd w:val="clear" w:color="000000" w:fill="C0C0C0"/>
          </w:tcPr>
          <w:p w:rsidR="00CB0DD7" w:rsidRPr="000A0A5F" w:rsidRDefault="00CB0DD7">
            <w:pPr>
              <w:pStyle w:val="TAH"/>
            </w:pPr>
            <w:r w:rsidRPr="000A0A5F">
              <w:t>Cardinality</w:t>
            </w:r>
          </w:p>
        </w:tc>
        <w:tc>
          <w:tcPr>
            <w:tcW w:w="2718" w:type="pct"/>
            <w:shd w:val="clear" w:color="000000" w:fill="C0C0C0"/>
            <w:vAlign w:val="center"/>
          </w:tcPr>
          <w:p w:rsidR="00CB0DD7" w:rsidRPr="000A0A5F" w:rsidRDefault="00CB0DD7">
            <w:pPr>
              <w:pStyle w:val="TAH"/>
            </w:pPr>
            <w:r w:rsidRPr="000A0A5F">
              <w:t>Remarks</w:t>
            </w:r>
          </w:p>
        </w:tc>
      </w:tr>
      <w:tr w:rsidR="00CB0DD7" w:rsidRPr="000A0A5F" w:rsidTr="00FF0AF8">
        <w:trPr>
          <w:jc w:val="center"/>
        </w:trPr>
        <w:tc>
          <w:tcPr>
            <w:tcW w:w="825" w:type="pct"/>
            <w:shd w:val="clear" w:color="auto" w:fill="auto"/>
          </w:tcPr>
          <w:p w:rsidR="00CB0DD7" w:rsidRPr="000A0A5F" w:rsidRDefault="00CB0DD7">
            <w:pPr>
              <w:pStyle w:val="TAL"/>
            </w:pPr>
            <w:r w:rsidRPr="000A0A5F">
              <w:t>none specified</w:t>
            </w:r>
          </w:p>
        </w:tc>
        <w:tc>
          <w:tcPr>
            <w:tcW w:w="874" w:type="pct"/>
          </w:tcPr>
          <w:p w:rsidR="00CB0DD7" w:rsidRPr="000A0A5F" w:rsidRDefault="00CB0DD7">
            <w:pPr>
              <w:pStyle w:val="TAL"/>
            </w:pPr>
          </w:p>
        </w:tc>
        <w:tc>
          <w:tcPr>
            <w:tcW w:w="583" w:type="pct"/>
          </w:tcPr>
          <w:p w:rsidR="00CB0DD7" w:rsidRPr="000A0A5F" w:rsidRDefault="00CB0DD7">
            <w:pPr>
              <w:pStyle w:val="TAL"/>
            </w:pPr>
          </w:p>
        </w:tc>
        <w:tc>
          <w:tcPr>
            <w:tcW w:w="2718" w:type="pct"/>
            <w:shd w:val="clear" w:color="auto" w:fill="auto"/>
            <w:vAlign w:val="center"/>
          </w:tcPr>
          <w:p w:rsidR="00CB0DD7" w:rsidRPr="000A0A5F" w:rsidRDefault="00CB0DD7">
            <w:pPr>
              <w:pStyle w:val="TAL"/>
            </w:pPr>
          </w:p>
        </w:tc>
      </w:tr>
    </w:tbl>
    <w:p w:rsidR="00CB0DD7" w:rsidRPr="000A0A5F" w:rsidRDefault="00CB0DD7"/>
    <w:p w:rsidR="00CB0DD7" w:rsidRPr="000A0A5F" w:rsidRDefault="00CB0DD7">
      <w:pPr>
        <w:pStyle w:val="TH"/>
      </w:pPr>
      <w:r w:rsidRPr="000A0A5F">
        <w:t>Table 5.3.3.3.3.2-2: Data structures supported by the PUT request/response by the resource</w:t>
      </w:r>
    </w:p>
    <w:tbl>
      <w:tblPr>
        <w:tblW w:w="4999" w:type="pct"/>
        <w:tblInd w:w="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45" w:type="dxa"/>
          <w:left w:w="45" w:type="dxa"/>
          <w:bottom w:w="45" w:type="dxa"/>
          <w:right w:w="45" w:type="dxa"/>
        </w:tblCellMar>
        <w:tblLook w:val="0000" w:firstRow="0" w:lastRow="0" w:firstColumn="0" w:lastColumn="0" w:noHBand="0" w:noVBand="0"/>
      </w:tblPr>
      <w:tblGrid>
        <w:gridCol w:w="1035"/>
        <w:gridCol w:w="2127"/>
        <w:gridCol w:w="1053"/>
        <w:gridCol w:w="973"/>
        <w:gridCol w:w="4541"/>
      </w:tblGrid>
      <w:tr w:rsidR="00CB0DD7" w:rsidRPr="000A0A5F" w:rsidTr="00FF0AF8">
        <w:tc>
          <w:tcPr>
            <w:tcW w:w="532" w:type="pct"/>
            <w:vMerge w:val="restart"/>
            <w:shd w:val="clear" w:color="auto" w:fill="C0C0C0"/>
            <w:vAlign w:val="center"/>
          </w:tcPr>
          <w:p w:rsidR="00CB0DD7" w:rsidRPr="000A0A5F" w:rsidRDefault="00CB0DD7">
            <w:pPr>
              <w:pStyle w:val="TAH"/>
            </w:pPr>
            <w:r w:rsidRPr="000A0A5F">
              <w:t>Request body</w:t>
            </w:r>
          </w:p>
        </w:tc>
        <w:tc>
          <w:tcPr>
            <w:tcW w:w="1093" w:type="pct"/>
            <w:shd w:val="clear" w:color="auto" w:fill="C0C0C0"/>
          </w:tcPr>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r w:rsidRPr="000A0A5F">
              <w:t>Cardinality</w:t>
            </w:r>
          </w:p>
        </w:tc>
        <w:tc>
          <w:tcPr>
            <w:tcW w:w="2834" w:type="pct"/>
            <w:gridSpan w:val="2"/>
            <w:shd w:val="clear" w:color="auto" w:fill="C0C0C0"/>
          </w:tcPr>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MonitoringEventSubscription</w:t>
            </w:r>
          </w:p>
        </w:tc>
        <w:tc>
          <w:tcPr>
            <w:tcW w:w="541" w:type="pct"/>
          </w:tcPr>
          <w:p w:rsidR="00CB0DD7" w:rsidRPr="000A0A5F" w:rsidRDefault="00CB0DD7">
            <w:pPr>
              <w:pStyle w:val="TAL"/>
            </w:pPr>
            <w:r w:rsidRPr="000A0A5F">
              <w:t>1</w:t>
            </w:r>
          </w:p>
        </w:tc>
        <w:tc>
          <w:tcPr>
            <w:tcW w:w="2834" w:type="pct"/>
            <w:gridSpan w:val="2"/>
          </w:tcPr>
          <w:p w:rsidR="00CB0DD7" w:rsidRPr="000A0A5F" w:rsidRDefault="00CB0DD7">
            <w:pPr>
              <w:pStyle w:val="TAL"/>
            </w:pPr>
            <w:r w:rsidRPr="000A0A5F">
              <w:t>Parameters to update a subscription to notifications about monitoring event with the SCEF.</w:t>
            </w:r>
          </w:p>
        </w:tc>
      </w:tr>
      <w:tr w:rsidR="00313C9C" w:rsidRPr="000A0A5F" w:rsidTr="00FF0AF8">
        <w:tc>
          <w:tcPr>
            <w:tcW w:w="532" w:type="pct"/>
            <w:vMerge w:val="restart"/>
            <w:shd w:val="clear" w:color="auto" w:fill="C0C0C0"/>
            <w:vAlign w:val="center"/>
          </w:tcPr>
          <w:p w:rsidR="00313C9C" w:rsidRPr="000A0A5F" w:rsidRDefault="00313C9C">
            <w:pPr>
              <w:pStyle w:val="TAH"/>
            </w:pPr>
            <w:r w:rsidRPr="000A0A5F">
              <w:t>Response body</w:t>
            </w:r>
          </w:p>
        </w:tc>
        <w:tc>
          <w:tcPr>
            <w:tcW w:w="1093" w:type="pct"/>
            <w:shd w:val="clear" w:color="auto" w:fill="C0C0C0"/>
          </w:tcPr>
          <w:p w:rsidR="00313C9C" w:rsidRPr="000A0A5F" w:rsidRDefault="00313C9C">
            <w:pPr>
              <w:pStyle w:val="TAH"/>
            </w:pPr>
          </w:p>
          <w:p w:rsidR="00313C9C" w:rsidRPr="000A0A5F" w:rsidRDefault="00313C9C">
            <w:pPr>
              <w:pStyle w:val="TAH"/>
            </w:pPr>
            <w:r w:rsidRPr="000A0A5F">
              <w:t>Data type</w:t>
            </w:r>
          </w:p>
        </w:tc>
        <w:tc>
          <w:tcPr>
            <w:tcW w:w="541" w:type="pct"/>
            <w:shd w:val="clear" w:color="auto" w:fill="C0C0C0"/>
          </w:tcPr>
          <w:p w:rsidR="00313C9C" w:rsidRPr="000A0A5F" w:rsidRDefault="00313C9C">
            <w:pPr>
              <w:pStyle w:val="TAH"/>
            </w:pPr>
          </w:p>
          <w:p w:rsidR="00313C9C" w:rsidRPr="000A0A5F" w:rsidRDefault="00313C9C">
            <w:pPr>
              <w:pStyle w:val="TAH"/>
            </w:pPr>
            <w:r w:rsidRPr="000A0A5F">
              <w:t>Cardinality</w:t>
            </w:r>
          </w:p>
        </w:tc>
        <w:tc>
          <w:tcPr>
            <w:tcW w:w="500" w:type="pct"/>
            <w:shd w:val="clear" w:color="auto" w:fill="C0C0C0"/>
          </w:tcPr>
          <w:p w:rsidR="00313C9C" w:rsidRPr="000A0A5F" w:rsidRDefault="00313C9C">
            <w:pPr>
              <w:pStyle w:val="TAH"/>
            </w:pPr>
            <w:r w:rsidRPr="000A0A5F">
              <w:t>Response</w:t>
            </w:r>
          </w:p>
          <w:p w:rsidR="00313C9C" w:rsidRPr="000A0A5F" w:rsidRDefault="00313C9C">
            <w:pPr>
              <w:pStyle w:val="TAH"/>
            </w:pPr>
            <w:r w:rsidRPr="000A0A5F">
              <w:t>codes</w:t>
            </w:r>
          </w:p>
        </w:tc>
        <w:tc>
          <w:tcPr>
            <w:tcW w:w="2334" w:type="pct"/>
            <w:shd w:val="clear" w:color="auto" w:fill="C0C0C0"/>
          </w:tcPr>
          <w:p w:rsidR="00313C9C" w:rsidRPr="000A0A5F" w:rsidRDefault="00313C9C">
            <w:pPr>
              <w:pStyle w:val="TAH"/>
            </w:pPr>
          </w:p>
          <w:p w:rsidR="00313C9C" w:rsidRPr="000A0A5F" w:rsidRDefault="00313C9C">
            <w:pPr>
              <w:pStyle w:val="TAH"/>
            </w:pPr>
            <w:r w:rsidRPr="000A0A5F">
              <w:t>Remarks</w:t>
            </w:r>
          </w:p>
        </w:tc>
      </w:tr>
      <w:tr w:rsidR="00313C9C" w:rsidRPr="000A0A5F" w:rsidTr="00313C9C">
        <w:tc>
          <w:tcPr>
            <w:tcW w:w="532" w:type="pct"/>
            <w:vMerge/>
            <w:shd w:val="clear" w:color="auto" w:fill="C0C0C0"/>
            <w:vAlign w:val="center"/>
          </w:tcPr>
          <w:p w:rsidR="00313C9C" w:rsidRPr="000A0A5F" w:rsidRDefault="00313C9C">
            <w:pPr>
              <w:pStyle w:val="TAL"/>
              <w:jc w:val="center"/>
            </w:pPr>
          </w:p>
        </w:tc>
        <w:tc>
          <w:tcPr>
            <w:tcW w:w="1093" w:type="pct"/>
            <w:shd w:val="clear" w:color="auto" w:fill="auto"/>
          </w:tcPr>
          <w:p w:rsidR="00313C9C" w:rsidRPr="000A0A5F" w:rsidRDefault="00313C9C">
            <w:pPr>
              <w:pStyle w:val="TAL"/>
            </w:pPr>
            <w:r w:rsidRPr="000A0A5F">
              <w:t>MonitoringEventSubscription</w:t>
            </w:r>
          </w:p>
        </w:tc>
        <w:tc>
          <w:tcPr>
            <w:tcW w:w="541" w:type="pct"/>
          </w:tcPr>
          <w:p w:rsidR="00313C9C" w:rsidRPr="000A0A5F" w:rsidRDefault="00313C9C">
            <w:pPr>
              <w:pStyle w:val="TAL"/>
            </w:pPr>
            <w:r w:rsidRPr="000A0A5F">
              <w:t>1</w:t>
            </w:r>
          </w:p>
        </w:tc>
        <w:tc>
          <w:tcPr>
            <w:tcW w:w="500" w:type="pct"/>
          </w:tcPr>
          <w:p w:rsidR="00313C9C" w:rsidRPr="000A0A5F" w:rsidRDefault="00313C9C">
            <w:pPr>
              <w:pStyle w:val="TAL"/>
            </w:pPr>
            <w:r w:rsidRPr="000A0A5F">
              <w:t>200 OK</w:t>
            </w:r>
          </w:p>
        </w:tc>
        <w:tc>
          <w:tcPr>
            <w:tcW w:w="2334" w:type="pct"/>
          </w:tcPr>
          <w:p w:rsidR="00313C9C" w:rsidRPr="000A0A5F" w:rsidRDefault="00313C9C">
            <w:pPr>
              <w:pStyle w:val="TAL"/>
            </w:pPr>
            <w:r w:rsidRPr="000A0A5F">
              <w:t>The subscription was updated successfully and the representation of the subscription is returned.</w:t>
            </w:r>
          </w:p>
        </w:tc>
      </w:tr>
      <w:tr w:rsidR="00313C9C" w:rsidRPr="000A0A5F" w:rsidTr="00313C9C">
        <w:tc>
          <w:tcPr>
            <w:tcW w:w="532" w:type="pct"/>
            <w:vMerge/>
            <w:shd w:val="clear" w:color="auto" w:fill="C0C0C0"/>
            <w:vAlign w:val="center"/>
          </w:tcPr>
          <w:p w:rsidR="00313C9C" w:rsidRPr="000A0A5F" w:rsidRDefault="00313C9C">
            <w:pPr>
              <w:pStyle w:val="TAL"/>
              <w:jc w:val="center"/>
            </w:pPr>
          </w:p>
        </w:tc>
        <w:tc>
          <w:tcPr>
            <w:tcW w:w="1093" w:type="pct"/>
            <w:shd w:val="clear" w:color="auto" w:fill="auto"/>
          </w:tcPr>
          <w:p w:rsidR="00313C9C" w:rsidRPr="000A0A5F" w:rsidRDefault="00313C9C">
            <w:pPr>
              <w:pStyle w:val="TAL"/>
            </w:pPr>
            <w:r w:rsidRPr="000A0A5F">
              <w:t>none</w:t>
            </w:r>
          </w:p>
        </w:tc>
        <w:tc>
          <w:tcPr>
            <w:tcW w:w="541" w:type="pct"/>
          </w:tcPr>
          <w:p w:rsidR="00313C9C" w:rsidRPr="000A0A5F" w:rsidRDefault="00313C9C">
            <w:pPr>
              <w:pStyle w:val="TAL"/>
            </w:pPr>
          </w:p>
        </w:tc>
        <w:tc>
          <w:tcPr>
            <w:tcW w:w="500" w:type="pct"/>
          </w:tcPr>
          <w:p w:rsidR="00313C9C" w:rsidRPr="000A0A5F" w:rsidRDefault="00313C9C">
            <w:pPr>
              <w:pStyle w:val="TAL"/>
            </w:pPr>
            <w:r w:rsidRPr="000A0A5F">
              <w:rPr>
                <w:rFonts w:hint="eastAsia"/>
                <w:lang w:eastAsia="zh-CN"/>
              </w:rPr>
              <w:t>2</w:t>
            </w:r>
            <w:r w:rsidRPr="000A0A5F">
              <w:rPr>
                <w:lang w:eastAsia="zh-CN"/>
              </w:rPr>
              <w:t>04 No Content</w:t>
            </w:r>
          </w:p>
        </w:tc>
        <w:tc>
          <w:tcPr>
            <w:tcW w:w="2334" w:type="pct"/>
          </w:tcPr>
          <w:p w:rsidR="00313C9C" w:rsidRPr="000A0A5F" w:rsidRDefault="00313C9C">
            <w:pPr>
              <w:pStyle w:val="TAL"/>
            </w:pPr>
            <w:r w:rsidRPr="000A0A5F">
              <w:t>The subscription was updated successfully.</w:t>
            </w:r>
          </w:p>
        </w:tc>
      </w:tr>
      <w:tr w:rsidR="00313C9C" w:rsidRPr="000A0A5F" w:rsidTr="00313C9C">
        <w:tc>
          <w:tcPr>
            <w:tcW w:w="532" w:type="pct"/>
            <w:vMerge/>
            <w:shd w:val="clear" w:color="auto" w:fill="C0C0C0"/>
            <w:vAlign w:val="center"/>
          </w:tcPr>
          <w:p w:rsidR="00313C9C" w:rsidRPr="000A0A5F" w:rsidRDefault="00313C9C" w:rsidP="00313C9C">
            <w:pPr>
              <w:pStyle w:val="TAL"/>
              <w:jc w:val="center"/>
            </w:pPr>
          </w:p>
        </w:tc>
        <w:tc>
          <w:tcPr>
            <w:tcW w:w="1093" w:type="pct"/>
            <w:shd w:val="clear" w:color="auto" w:fill="auto"/>
          </w:tcPr>
          <w:p w:rsidR="00313C9C" w:rsidRPr="000A0A5F" w:rsidRDefault="00313C9C" w:rsidP="00313C9C">
            <w:pPr>
              <w:pStyle w:val="TAL"/>
            </w:pPr>
            <w:r w:rsidRPr="000A0A5F">
              <w:t>none</w:t>
            </w:r>
          </w:p>
        </w:tc>
        <w:tc>
          <w:tcPr>
            <w:tcW w:w="541" w:type="pct"/>
          </w:tcPr>
          <w:p w:rsidR="00313C9C" w:rsidRPr="000A0A5F" w:rsidRDefault="00313C9C" w:rsidP="00313C9C">
            <w:pPr>
              <w:pStyle w:val="TAL"/>
            </w:pPr>
          </w:p>
        </w:tc>
        <w:tc>
          <w:tcPr>
            <w:tcW w:w="500" w:type="pct"/>
          </w:tcPr>
          <w:p w:rsidR="00313C9C" w:rsidRPr="000A0A5F" w:rsidRDefault="00313C9C" w:rsidP="00313C9C">
            <w:pPr>
              <w:pStyle w:val="TAL"/>
              <w:rPr>
                <w:rFonts w:hint="eastAsia"/>
                <w:lang w:eastAsia="zh-CN"/>
              </w:rPr>
            </w:pPr>
            <w:r w:rsidRPr="000A0A5F">
              <w:t>307 Temporary Redirect</w:t>
            </w:r>
          </w:p>
        </w:tc>
        <w:tc>
          <w:tcPr>
            <w:tcW w:w="2334" w:type="pct"/>
          </w:tcPr>
          <w:p w:rsidR="00313C9C" w:rsidRPr="000A0A5F" w:rsidRDefault="00313C9C" w:rsidP="00313C9C">
            <w:pPr>
              <w:pStyle w:val="TAL"/>
            </w:pPr>
            <w:r w:rsidRPr="000A0A5F">
              <w:t>Temporary redirection, during subscription modification. The response shall include a Location header field containing an alternative URI of the resource located in an alternative SCEF.</w:t>
            </w:r>
          </w:p>
          <w:p w:rsidR="00313C9C" w:rsidRPr="000A0A5F" w:rsidRDefault="00313C9C" w:rsidP="00313C9C">
            <w:pPr>
              <w:pStyle w:val="TAL"/>
            </w:pPr>
          </w:p>
          <w:p w:rsidR="00313C9C" w:rsidRPr="000A0A5F" w:rsidRDefault="00313C9C" w:rsidP="00313C9C">
            <w:pPr>
              <w:pStyle w:val="TAL"/>
            </w:pPr>
            <w:r w:rsidRPr="000A0A5F">
              <w:t>Redirection handling is described in clause 5.2.10.</w:t>
            </w:r>
          </w:p>
        </w:tc>
      </w:tr>
      <w:tr w:rsidR="00313C9C" w:rsidRPr="000A0A5F" w:rsidTr="00313C9C">
        <w:tc>
          <w:tcPr>
            <w:tcW w:w="532" w:type="pct"/>
            <w:vMerge/>
            <w:shd w:val="clear" w:color="auto" w:fill="C0C0C0"/>
            <w:vAlign w:val="center"/>
          </w:tcPr>
          <w:p w:rsidR="00313C9C" w:rsidRPr="000A0A5F" w:rsidRDefault="00313C9C" w:rsidP="00313C9C">
            <w:pPr>
              <w:pStyle w:val="TAL"/>
              <w:jc w:val="center"/>
            </w:pPr>
          </w:p>
        </w:tc>
        <w:tc>
          <w:tcPr>
            <w:tcW w:w="1093" w:type="pct"/>
            <w:shd w:val="clear" w:color="auto" w:fill="auto"/>
          </w:tcPr>
          <w:p w:rsidR="00313C9C" w:rsidRPr="000A0A5F" w:rsidRDefault="00313C9C" w:rsidP="00313C9C">
            <w:pPr>
              <w:pStyle w:val="TAL"/>
            </w:pPr>
            <w:r w:rsidRPr="000A0A5F">
              <w:t>none</w:t>
            </w:r>
          </w:p>
        </w:tc>
        <w:tc>
          <w:tcPr>
            <w:tcW w:w="541" w:type="pct"/>
          </w:tcPr>
          <w:p w:rsidR="00313C9C" w:rsidRPr="000A0A5F" w:rsidRDefault="00313C9C" w:rsidP="00313C9C">
            <w:pPr>
              <w:pStyle w:val="TAL"/>
            </w:pPr>
          </w:p>
        </w:tc>
        <w:tc>
          <w:tcPr>
            <w:tcW w:w="500" w:type="pct"/>
          </w:tcPr>
          <w:p w:rsidR="00313C9C" w:rsidRPr="000A0A5F" w:rsidRDefault="00313C9C" w:rsidP="00313C9C">
            <w:pPr>
              <w:pStyle w:val="TAL"/>
              <w:rPr>
                <w:rFonts w:hint="eastAsia"/>
                <w:lang w:eastAsia="zh-CN"/>
              </w:rPr>
            </w:pPr>
            <w:r w:rsidRPr="000A0A5F">
              <w:t>308 Permanent Redirect</w:t>
            </w:r>
          </w:p>
        </w:tc>
        <w:tc>
          <w:tcPr>
            <w:tcW w:w="2334" w:type="pct"/>
          </w:tcPr>
          <w:p w:rsidR="00313C9C" w:rsidRPr="000A0A5F" w:rsidRDefault="00313C9C" w:rsidP="00313C9C">
            <w:pPr>
              <w:pStyle w:val="TAL"/>
            </w:pPr>
            <w:r w:rsidRPr="000A0A5F">
              <w:t>Permanent redirection, during subscription modification. The response shall include a Location header field containing an alternative URI of the resource located in an alternative SCEF.</w:t>
            </w:r>
          </w:p>
          <w:p w:rsidR="00313C9C" w:rsidRPr="000A0A5F" w:rsidRDefault="00313C9C" w:rsidP="00313C9C">
            <w:pPr>
              <w:pStyle w:val="TAL"/>
            </w:pPr>
          </w:p>
          <w:p w:rsidR="00313C9C" w:rsidRPr="000A0A5F" w:rsidRDefault="00313C9C" w:rsidP="00313C9C">
            <w:pPr>
              <w:pStyle w:val="TAL"/>
            </w:pPr>
            <w:r w:rsidRPr="000A0A5F">
              <w:t>Redirection handling is described in clause 5.2.10.</w:t>
            </w:r>
          </w:p>
        </w:tc>
      </w:tr>
      <w:tr w:rsidR="00313C9C" w:rsidRPr="000A0A5F" w:rsidTr="00313C9C">
        <w:tc>
          <w:tcPr>
            <w:tcW w:w="532" w:type="pct"/>
            <w:vMerge/>
            <w:shd w:val="clear" w:color="auto" w:fill="C0C0C0"/>
            <w:vAlign w:val="center"/>
          </w:tcPr>
          <w:p w:rsidR="00313C9C" w:rsidRPr="000A0A5F" w:rsidRDefault="00313C9C" w:rsidP="00313C9C">
            <w:pPr>
              <w:pStyle w:val="TAL"/>
              <w:jc w:val="center"/>
            </w:pPr>
          </w:p>
        </w:tc>
        <w:tc>
          <w:tcPr>
            <w:tcW w:w="1093" w:type="pct"/>
            <w:shd w:val="clear" w:color="auto" w:fill="auto"/>
          </w:tcPr>
          <w:p w:rsidR="00313C9C" w:rsidRPr="000A0A5F" w:rsidRDefault="00313C9C" w:rsidP="00313C9C">
            <w:pPr>
              <w:pStyle w:val="TAL"/>
            </w:pPr>
            <w:r w:rsidRPr="000A0A5F">
              <w:t>ProblemDetails</w:t>
            </w:r>
          </w:p>
        </w:tc>
        <w:tc>
          <w:tcPr>
            <w:tcW w:w="541" w:type="pct"/>
          </w:tcPr>
          <w:p w:rsidR="00313C9C" w:rsidRPr="000A0A5F" w:rsidRDefault="00313C9C" w:rsidP="00313C9C">
            <w:pPr>
              <w:pStyle w:val="TAL"/>
            </w:pPr>
            <w:r w:rsidRPr="000A0A5F">
              <w:t>0..1</w:t>
            </w:r>
          </w:p>
        </w:tc>
        <w:tc>
          <w:tcPr>
            <w:tcW w:w="500" w:type="pct"/>
          </w:tcPr>
          <w:p w:rsidR="00313C9C" w:rsidRPr="000A0A5F" w:rsidRDefault="00313C9C" w:rsidP="00313C9C">
            <w:pPr>
              <w:pStyle w:val="TAL"/>
            </w:pPr>
            <w:r w:rsidRPr="000A0A5F">
              <w:t>403 Forbidden</w:t>
            </w:r>
          </w:p>
        </w:tc>
        <w:tc>
          <w:tcPr>
            <w:tcW w:w="2334" w:type="pct"/>
          </w:tcPr>
          <w:p w:rsidR="00313C9C" w:rsidRPr="000A0A5F" w:rsidRDefault="00313C9C" w:rsidP="00313C9C">
            <w:pPr>
              <w:pStyle w:val="TAL"/>
            </w:pPr>
            <w:r w:rsidRPr="000A0A5F">
              <w:t>(NOTE 2, NOTE 3)</w:t>
            </w:r>
          </w:p>
        </w:tc>
      </w:tr>
      <w:tr w:rsidR="00313C9C" w:rsidRPr="000A0A5F" w:rsidTr="00FF0AF8">
        <w:tc>
          <w:tcPr>
            <w:tcW w:w="5000" w:type="pct"/>
            <w:gridSpan w:val="5"/>
            <w:shd w:val="clear" w:color="auto" w:fill="auto"/>
            <w:vAlign w:val="center"/>
          </w:tcPr>
          <w:p w:rsidR="00313C9C" w:rsidRPr="000A0A5F" w:rsidRDefault="00313C9C" w:rsidP="00313C9C">
            <w:pPr>
              <w:pStyle w:val="TAN"/>
            </w:pPr>
            <w:r w:rsidRPr="000A0A5F">
              <w:t>NOTE 1:</w:t>
            </w:r>
            <w:r w:rsidRPr="000A0A5F">
              <w:tab/>
              <w:t>The mandatory HTTP error status codes for the PUT method listed in table 5.2.6-1 also apply.</w:t>
            </w:r>
          </w:p>
          <w:p w:rsidR="00313C9C" w:rsidRPr="000A0A5F" w:rsidRDefault="00313C9C" w:rsidP="00313C9C">
            <w:pPr>
              <w:pStyle w:val="TAN"/>
              <w:rPr>
                <w:rFonts w:hint="eastAsia"/>
              </w:rPr>
            </w:pPr>
            <w:r w:rsidRPr="000A0A5F">
              <w:t>NOTE 2:</w:t>
            </w:r>
            <w:r w:rsidRPr="000A0A5F">
              <w:tab/>
            </w:r>
            <w:r w:rsidRPr="000A0A5F">
              <w:rPr>
                <w:lang w:eastAsia="zh-CN"/>
              </w:rPr>
              <w:t>The</w:t>
            </w:r>
            <w:r w:rsidRPr="000A0A5F">
              <w:t xml:space="preserve"> error case is only applicable for </w:t>
            </w:r>
            <w:r w:rsidRPr="000A0A5F">
              <w:rPr>
                <w:lang w:eastAsia="zh-CN"/>
              </w:rPr>
              <w:t>monitoring event configuration via PCRF</w:t>
            </w:r>
            <w:r w:rsidRPr="000A0A5F">
              <w:t>.</w:t>
            </w:r>
          </w:p>
          <w:p w:rsidR="00313C9C" w:rsidRPr="000A0A5F" w:rsidRDefault="00313C9C" w:rsidP="00313C9C">
            <w:pPr>
              <w:pStyle w:val="TAN"/>
            </w:pPr>
            <w:r w:rsidRPr="000A0A5F">
              <w:t>NOTE 3:</w:t>
            </w:r>
            <w:r w:rsidRPr="000A0A5F">
              <w:tab/>
              <w:t>Failure cases are described in clause 5.3.5.3.</w:t>
            </w:r>
          </w:p>
        </w:tc>
      </w:tr>
    </w:tbl>
    <w:p w:rsidR="00CB0DD7" w:rsidRPr="000A0A5F" w:rsidRDefault="00CB0DD7"/>
    <w:p w:rsidR="00CB0DD7" w:rsidRPr="000A0A5F" w:rsidRDefault="00B004CD">
      <w:pPr>
        <w:pStyle w:val="TH"/>
      </w:pPr>
      <w:r w:rsidRPr="000A0A5F">
        <w:t>Table </w:t>
      </w:r>
      <w:r w:rsidR="00CB0DD7" w:rsidRPr="000A0A5F">
        <w:t>5.3.3.3.3.2-3: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B004CD">
      <w:pPr>
        <w:pStyle w:val="TH"/>
      </w:pPr>
      <w:r w:rsidRPr="000A0A5F">
        <w:t>Table </w:t>
      </w:r>
      <w:r w:rsidR="00CB0DD7" w:rsidRPr="000A0A5F">
        <w:t>5.3.3.3.3.2-4: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CB0DD7">
      <w:pPr>
        <w:pStyle w:val="Heading6"/>
      </w:pPr>
      <w:bookmarkStart w:id="2345" w:name="_Toc11247349"/>
      <w:bookmarkStart w:id="2346" w:name="_Toc27044471"/>
      <w:bookmarkStart w:id="2347" w:name="_Toc36033513"/>
      <w:bookmarkStart w:id="2348" w:name="_Toc45131645"/>
      <w:bookmarkStart w:id="2349" w:name="_Toc49775930"/>
      <w:bookmarkStart w:id="2350" w:name="_Toc51746850"/>
      <w:bookmarkStart w:id="2351" w:name="_Toc66360395"/>
      <w:bookmarkStart w:id="2352" w:name="_Toc68104900"/>
      <w:bookmarkStart w:id="2353" w:name="_Toc74755530"/>
      <w:bookmarkStart w:id="2354" w:name="_Toc105674397"/>
      <w:bookmarkStart w:id="2355" w:name="_Toc130502437"/>
      <w:bookmarkStart w:id="2356" w:name="_Toc153625224"/>
      <w:r w:rsidRPr="000A0A5F">
        <w:t>5.3.3.3.3.3</w:t>
      </w:r>
      <w:r w:rsidRPr="000A0A5F">
        <w:tab/>
        <w:t>PATCH</w:t>
      </w:r>
      <w:bookmarkEnd w:id="2345"/>
      <w:bookmarkEnd w:id="2346"/>
      <w:bookmarkEnd w:id="2347"/>
      <w:bookmarkEnd w:id="2348"/>
      <w:bookmarkEnd w:id="2349"/>
      <w:bookmarkEnd w:id="2350"/>
      <w:bookmarkEnd w:id="2351"/>
      <w:bookmarkEnd w:id="2352"/>
      <w:bookmarkEnd w:id="2353"/>
      <w:bookmarkEnd w:id="2354"/>
      <w:bookmarkEnd w:id="2355"/>
      <w:bookmarkEnd w:id="2356"/>
    </w:p>
    <w:p w:rsidR="00344FF3" w:rsidRPr="000A0A5F" w:rsidRDefault="00344FF3" w:rsidP="00344FF3">
      <w:pPr>
        <w:rPr>
          <w:noProof/>
          <w:lang w:eastAsia="zh-CN"/>
        </w:rPr>
      </w:pPr>
      <w:bookmarkStart w:id="2357" w:name="_Toc11247350"/>
      <w:bookmarkStart w:id="2358" w:name="_Toc27044472"/>
      <w:bookmarkStart w:id="2359" w:name="_Toc36033514"/>
      <w:bookmarkStart w:id="2360" w:name="_Toc45131646"/>
      <w:bookmarkStart w:id="2361" w:name="_Toc49775931"/>
      <w:bookmarkStart w:id="2362" w:name="_Toc51746851"/>
      <w:bookmarkStart w:id="2363" w:name="_Toc66360396"/>
      <w:bookmarkStart w:id="2364" w:name="_Toc68104901"/>
      <w:bookmarkStart w:id="2365" w:name="_Toc74755531"/>
      <w:r w:rsidRPr="000A0A5F">
        <w:rPr>
          <w:noProof/>
          <w:lang w:eastAsia="zh-CN"/>
        </w:rPr>
        <w:t xml:space="preserve">The PATCH method allows the SCS/AS to modify an existing subscription resource, in order to notify the SCEF about the partial cancellation </w:t>
      </w:r>
      <w:r w:rsidR="00BC6E27" w:rsidRPr="000A0A5F">
        <w:rPr>
          <w:noProof/>
          <w:lang w:eastAsia="zh-CN"/>
        </w:rPr>
        <w:t xml:space="preserve">and/or partial addition </w:t>
      </w:r>
      <w:r w:rsidRPr="000A0A5F">
        <w:rPr>
          <w:noProof/>
          <w:lang w:eastAsia="zh-CN"/>
        </w:rPr>
        <w:t>of certain UE(s) within an active group. The SCS/AS shall initiate the HTTP PATCH message request with JSON Patch</w:t>
      </w:r>
      <w:r w:rsidRPr="000A0A5F">
        <w:t xml:space="preserve"> format </w:t>
      </w:r>
      <w:r w:rsidRPr="000A0A5F">
        <w:rPr>
          <w:noProof/>
          <w:lang w:eastAsia="zh-CN"/>
        </w:rPr>
        <w:t>signalled by the content type "application/json-patch+json".</w:t>
      </w:r>
    </w:p>
    <w:p w:rsidR="00344FF3" w:rsidRPr="000A0A5F" w:rsidRDefault="00344FF3" w:rsidP="00344FF3">
      <w:r w:rsidRPr="000A0A5F">
        <w:t>This method shall support request and response data structures, and response codes, as specified in the table 5.3.3.3.3.3-1.</w:t>
      </w:r>
    </w:p>
    <w:p w:rsidR="00344FF3" w:rsidRPr="000A0A5F" w:rsidRDefault="00344FF3" w:rsidP="00344FF3">
      <w:pPr>
        <w:pStyle w:val="TH"/>
      </w:pPr>
      <w:r w:rsidRPr="000A0A5F">
        <w:t>Table 5.3.3.3.3.3</w:t>
      </w:r>
      <w:r w:rsidRPr="000A0A5F">
        <w:rPr>
          <w:rFonts w:hint="eastAsia"/>
          <w:lang w:eastAsia="zh-CN"/>
        </w:rPr>
        <w:t>-1</w:t>
      </w:r>
      <w:r w:rsidRPr="000A0A5F">
        <w:t xml:space="preserve">: Data structures supported by the </w:t>
      </w:r>
      <w:r w:rsidRPr="000A0A5F">
        <w:rPr>
          <w:rFonts w:hint="eastAsia"/>
          <w:lang w:eastAsia="zh-CN"/>
        </w:rPr>
        <w:t>PATCH</w:t>
      </w:r>
      <w:r w:rsidRPr="000A0A5F">
        <w:t xml:space="preserve"> request/response by the resource</w:t>
      </w:r>
    </w:p>
    <w:tbl>
      <w:tblPr>
        <w:tblW w:w="4999" w:type="pct"/>
        <w:tblInd w:w="1" w:type="dxa"/>
        <w:tblBorders>
          <w:top w:val="single" w:sz="6" w:space="0" w:color="000000"/>
          <w:left w:val="single" w:sz="6" w:space="0" w:color="000000"/>
          <w:bottom w:val="single" w:sz="6" w:space="0" w:color="000000"/>
          <w:right w:val="single" w:sz="6" w:space="0" w:color="000000"/>
          <w:insideH w:val="single" w:sz="6" w:space="0" w:color="auto"/>
          <w:insideV w:val="single" w:sz="6" w:space="0" w:color="000000"/>
        </w:tblBorders>
        <w:tblLayout w:type="fixed"/>
        <w:tblCellMar>
          <w:top w:w="45" w:type="dxa"/>
          <w:left w:w="45" w:type="dxa"/>
          <w:bottom w:w="45" w:type="dxa"/>
          <w:right w:w="45" w:type="dxa"/>
        </w:tblCellMar>
        <w:tblLook w:val="0000" w:firstRow="0" w:lastRow="0" w:firstColumn="0" w:lastColumn="0" w:noHBand="0" w:noVBand="0"/>
      </w:tblPr>
      <w:tblGrid>
        <w:gridCol w:w="1035"/>
        <w:gridCol w:w="2127"/>
        <w:gridCol w:w="1053"/>
        <w:gridCol w:w="973"/>
        <w:gridCol w:w="4541"/>
      </w:tblGrid>
      <w:tr w:rsidR="00344FF3" w:rsidRPr="000A0A5F" w:rsidTr="00FF0AF8">
        <w:tc>
          <w:tcPr>
            <w:tcW w:w="532" w:type="pct"/>
            <w:vMerge w:val="restart"/>
            <w:shd w:val="clear" w:color="auto" w:fill="C0C0C0"/>
            <w:vAlign w:val="center"/>
          </w:tcPr>
          <w:p w:rsidR="00344FF3" w:rsidRPr="000A0A5F" w:rsidRDefault="00344FF3" w:rsidP="009D5B71">
            <w:pPr>
              <w:pStyle w:val="TAH"/>
            </w:pPr>
            <w:r w:rsidRPr="000A0A5F">
              <w:t>Request body</w:t>
            </w:r>
          </w:p>
        </w:tc>
        <w:tc>
          <w:tcPr>
            <w:tcW w:w="1093" w:type="pct"/>
            <w:shd w:val="clear" w:color="auto" w:fill="C0C0C0"/>
          </w:tcPr>
          <w:p w:rsidR="00344FF3" w:rsidRPr="000A0A5F" w:rsidRDefault="00344FF3" w:rsidP="009D5B71">
            <w:pPr>
              <w:pStyle w:val="TAH"/>
            </w:pPr>
            <w:r w:rsidRPr="000A0A5F">
              <w:t>Data type</w:t>
            </w:r>
          </w:p>
        </w:tc>
        <w:tc>
          <w:tcPr>
            <w:tcW w:w="541" w:type="pct"/>
            <w:shd w:val="clear" w:color="auto" w:fill="C0C0C0"/>
          </w:tcPr>
          <w:p w:rsidR="00344FF3" w:rsidRPr="000A0A5F" w:rsidRDefault="00344FF3" w:rsidP="009D5B71">
            <w:pPr>
              <w:pStyle w:val="TAH"/>
            </w:pPr>
            <w:r w:rsidRPr="000A0A5F">
              <w:t>Cardinality</w:t>
            </w:r>
          </w:p>
        </w:tc>
        <w:tc>
          <w:tcPr>
            <w:tcW w:w="2834" w:type="pct"/>
            <w:gridSpan w:val="2"/>
            <w:shd w:val="clear" w:color="auto" w:fill="C0C0C0"/>
          </w:tcPr>
          <w:p w:rsidR="00344FF3" w:rsidRPr="000A0A5F" w:rsidRDefault="00344FF3" w:rsidP="009D5B71">
            <w:pPr>
              <w:pStyle w:val="TAH"/>
            </w:pPr>
            <w:r w:rsidRPr="000A0A5F">
              <w:t>Remarks</w:t>
            </w:r>
          </w:p>
        </w:tc>
      </w:tr>
      <w:tr w:rsidR="00344FF3" w:rsidRPr="000A0A5F" w:rsidTr="00FF0AF8">
        <w:tc>
          <w:tcPr>
            <w:tcW w:w="532" w:type="pct"/>
            <w:vMerge/>
            <w:shd w:val="clear" w:color="auto" w:fill="BFBFBF"/>
            <w:vAlign w:val="center"/>
          </w:tcPr>
          <w:p w:rsidR="00344FF3" w:rsidRPr="000A0A5F" w:rsidRDefault="00344FF3" w:rsidP="009D5B71">
            <w:pPr>
              <w:pStyle w:val="TAL"/>
              <w:jc w:val="center"/>
            </w:pPr>
          </w:p>
        </w:tc>
        <w:tc>
          <w:tcPr>
            <w:tcW w:w="1093" w:type="pct"/>
            <w:shd w:val="clear" w:color="auto" w:fill="auto"/>
          </w:tcPr>
          <w:p w:rsidR="00344FF3" w:rsidRPr="000A0A5F" w:rsidRDefault="00687AC5" w:rsidP="00687AC5">
            <w:pPr>
              <w:pStyle w:val="TAL"/>
              <w:rPr>
                <w:lang w:eastAsia="zh-CN"/>
              </w:rPr>
            </w:pPr>
            <w:r w:rsidRPr="000A0A5F">
              <w:t>array(PatchItem)</w:t>
            </w:r>
          </w:p>
        </w:tc>
        <w:tc>
          <w:tcPr>
            <w:tcW w:w="541" w:type="pct"/>
          </w:tcPr>
          <w:p w:rsidR="00344FF3" w:rsidRPr="000A0A5F" w:rsidRDefault="00344FF3" w:rsidP="009D5B71">
            <w:pPr>
              <w:pStyle w:val="TAL"/>
            </w:pPr>
            <w:r w:rsidRPr="000A0A5F">
              <w:t>1</w:t>
            </w:r>
            <w:r w:rsidR="00687AC5" w:rsidRPr="000A0A5F">
              <w:t>..N</w:t>
            </w:r>
          </w:p>
        </w:tc>
        <w:tc>
          <w:tcPr>
            <w:tcW w:w="2834" w:type="pct"/>
            <w:gridSpan w:val="2"/>
          </w:tcPr>
          <w:p w:rsidR="00344FF3" w:rsidRPr="000A0A5F" w:rsidRDefault="00687AC5" w:rsidP="00687AC5">
            <w:pPr>
              <w:pStyle w:val="TAL"/>
            </w:pPr>
            <w:r w:rsidRPr="000A0A5F">
              <w:t xml:space="preserve">Contains </w:t>
            </w:r>
            <w:bookmarkStart w:id="2366" w:name="_Hlk83682837"/>
            <w:r w:rsidRPr="000A0A5F">
              <w:t xml:space="preserve">the list of changes to be made to an individual subscription </w:t>
            </w:r>
            <w:r w:rsidRPr="000A0A5F">
              <w:rPr>
                <w:lang w:eastAsia="zh-CN"/>
              </w:rPr>
              <w:t>resource</w:t>
            </w:r>
            <w:r w:rsidRPr="000A0A5F">
              <w:t>, according to the JSON PATCH format specified in IETF RFC 6902 </w:t>
            </w:r>
            <w:bookmarkEnd w:id="2366"/>
            <w:r w:rsidRPr="000A0A5F">
              <w:t>[</w:t>
            </w:r>
            <w:r w:rsidR="00400CBC" w:rsidRPr="000A0A5F">
              <w:t>67</w:t>
            </w:r>
            <w:r w:rsidRPr="000A0A5F">
              <w:t>].</w:t>
            </w:r>
          </w:p>
        </w:tc>
      </w:tr>
      <w:tr w:rsidR="00344FF3" w:rsidRPr="000A0A5F" w:rsidTr="00FF0AF8">
        <w:tc>
          <w:tcPr>
            <w:tcW w:w="532" w:type="pct"/>
            <w:vMerge w:val="restart"/>
            <w:shd w:val="clear" w:color="auto" w:fill="C0C0C0"/>
            <w:vAlign w:val="center"/>
          </w:tcPr>
          <w:p w:rsidR="00344FF3" w:rsidRPr="000A0A5F" w:rsidRDefault="00344FF3" w:rsidP="009D5B71">
            <w:pPr>
              <w:pStyle w:val="TAH"/>
            </w:pPr>
            <w:r w:rsidRPr="000A0A5F">
              <w:t>Response body</w:t>
            </w:r>
          </w:p>
        </w:tc>
        <w:tc>
          <w:tcPr>
            <w:tcW w:w="1093" w:type="pct"/>
            <w:shd w:val="clear" w:color="auto" w:fill="C0C0C0"/>
          </w:tcPr>
          <w:p w:rsidR="00344FF3" w:rsidRPr="000A0A5F" w:rsidRDefault="00344FF3" w:rsidP="009D5B71">
            <w:pPr>
              <w:pStyle w:val="TAH"/>
            </w:pPr>
          </w:p>
          <w:p w:rsidR="00344FF3" w:rsidRPr="000A0A5F" w:rsidRDefault="00344FF3" w:rsidP="009D5B71">
            <w:pPr>
              <w:pStyle w:val="TAH"/>
            </w:pPr>
            <w:r w:rsidRPr="000A0A5F">
              <w:t>Data type</w:t>
            </w:r>
          </w:p>
        </w:tc>
        <w:tc>
          <w:tcPr>
            <w:tcW w:w="541" w:type="pct"/>
            <w:shd w:val="clear" w:color="auto" w:fill="C0C0C0"/>
          </w:tcPr>
          <w:p w:rsidR="00344FF3" w:rsidRPr="000A0A5F" w:rsidRDefault="00344FF3" w:rsidP="009D5B71">
            <w:pPr>
              <w:pStyle w:val="TAH"/>
            </w:pPr>
          </w:p>
          <w:p w:rsidR="00344FF3" w:rsidRPr="000A0A5F" w:rsidRDefault="00344FF3" w:rsidP="009D5B71">
            <w:pPr>
              <w:pStyle w:val="TAH"/>
            </w:pPr>
            <w:r w:rsidRPr="000A0A5F">
              <w:t>Cardinality</w:t>
            </w:r>
          </w:p>
        </w:tc>
        <w:tc>
          <w:tcPr>
            <w:tcW w:w="500" w:type="pct"/>
            <w:shd w:val="clear" w:color="auto" w:fill="C0C0C0"/>
          </w:tcPr>
          <w:p w:rsidR="00344FF3" w:rsidRPr="000A0A5F" w:rsidRDefault="00344FF3" w:rsidP="009D5B71">
            <w:pPr>
              <w:pStyle w:val="TAH"/>
            </w:pPr>
            <w:r w:rsidRPr="000A0A5F">
              <w:t>Response</w:t>
            </w:r>
          </w:p>
          <w:p w:rsidR="00344FF3" w:rsidRPr="000A0A5F" w:rsidRDefault="00344FF3" w:rsidP="009D5B71">
            <w:pPr>
              <w:pStyle w:val="TAH"/>
            </w:pPr>
            <w:r w:rsidRPr="000A0A5F">
              <w:t>codes</w:t>
            </w:r>
          </w:p>
        </w:tc>
        <w:tc>
          <w:tcPr>
            <w:tcW w:w="2334" w:type="pct"/>
            <w:shd w:val="clear" w:color="auto" w:fill="C0C0C0"/>
          </w:tcPr>
          <w:p w:rsidR="00344FF3" w:rsidRPr="000A0A5F" w:rsidRDefault="00344FF3" w:rsidP="009D5B71">
            <w:pPr>
              <w:pStyle w:val="TAH"/>
            </w:pPr>
          </w:p>
          <w:p w:rsidR="00344FF3" w:rsidRPr="000A0A5F" w:rsidRDefault="00344FF3" w:rsidP="009D5B71">
            <w:pPr>
              <w:pStyle w:val="TAH"/>
            </w:pPr>
            <w:r w:rsidRPr="000A0A5F">
              <w:t>Remarks</w:t>
            </w:r>
          </w:p>
        </w:tc>
      </w:tr>
      <w:tr w:rsidR="00344FF3" w:rsidRPr="000A0A5F" w:rsidTr="00FF0AF8">
        <w:tc>
          <w:tcPr>
            <w:tcW w:w="532" w:type="pct"/>
            <w:vMerge/>
            <w:shd w:val="clear" w:color="auto" w:fill="BFBFBF"/>
            <w:vAlign w:val="center"/>
          </w:tcPr>
          <w:p w:rsidR="00344FF3" w:rsidRPr="000A0A5F" w:rsidRDefault="00344FF3" w:rsidP="009D5B71">
            <w:pPr>
              <w:pStyle w:val="TAL"/>
              <w:jc w:val="center"/>
            </w:pPr>
          </w:p>
        </w:tc>
        <w:tc>
          <w:tcPr>
            <w:tcW w:w="1093" w:type="pct"/>
            <w:shd w:val="clear" w:color="auto" w:fill="auto"/>
          </w:tcPr>
          <w:p w:rsidR="00344FF3" w:rsidRPr="000A0A5F" w:rsidRDefault="00344FF3" w:rsidP="009D5B71">
            <w:pPr>
              <w:pStyle w:val="TAL"/>
              <w:rPr>
                <w:lang w:eastAsia="zh-CN"/>
              </w:rPr>
            </w:pPr>
            <w:r w:rsidRPr="000A0A5F">
              <w:rPr>
                <w:lang w:eastAsia="zh-CN"/>
              </w:rPr>
              <w:t>none</w:t>
            </w:r>
          </w:p>
        </w:tc>
        <w:tc>
          <w:tcPr>
            <w:tcW w:w="541" w:type="pct"/>
          </w:tcPr>
          <w:p w:rsidR="00344FF3" w:rsidRPr="000A0A5F" w:rsidRDefault="00344FF3" w:rsidP="009D5B71">
            <w:pPr>
              <w:pStyle w:val="TAL"/>
              <w:rPr>
                <w:lang w:eastAsia="zh-CN"/>
              </w:rPr>
            </w:pPr>
          </w:p>
        </w:tc>
        <w:tc>
          <w:tcPr>
            <w:tcW w:w="500" w:type="pct"/>
          </w:tcPr>
          <w:p w:rsidR="00344FF3" w:rsidRPr="000A0A5F" w:rsidRDefault="00344FF3" w:rsidP="009D5B71">
            <w:pPr>
              <w:pStyle w:val="TAL"/>
              <w:rPr>
                <w:lang w:eastAsia="zh-CN"/>
              </w:rPr>
            </w:pPr>
            <w:r w:rsidRPr="000A0A5F">
              <w:rPr>
                <w:rFonts w:hint="eastAsia"/>
                <w:lang w:eastAsia="zh-CN"/>
              </w:rPr>
              <w:t>20</w:t>
            </w:r>
            <w:r w:rsidRPr="000A0A5F">
              <w:rPr>
                <w:lang w:eastAsia="zh-CN"/>
              </w:rPr>
              <w:t>4 No Content</w:t>
            </w:r>
          </w:p>
        </w:tc>
        <w:tc>
          <w:tcPr>
            <w:tcW w:w="2334" w:type="pct"/>
          </w:tcPr>
          <w:p w:rsidR="00344FF3" w:rsidRPr="000A0A5F" w:rsidRDefault="00344FF3" w:rsidP="009D5B71">
            <w:pPr>
              <w:pStyle w:val="TAL"/>
              <w:spacing w:afterLines="50" w:after="120"/>
            </w:pPr>
            <w:r w:rsidRPr="000A0A5F">
              <w:t xml:space="preserve">The resource was </w:t>
            </w:r>
            <w:r w:rsidRPr="000A0A5F">
              <w:rPr>
                <w:rFonts w:hint="eastAsia"/>
                <w:lang w:eastAsia="zh-CN"/>
              </w:rPr>
              <w:t>modified</w:t>
            </w:r>
            <w:r w:rsidRPr="000A0A5F">
              <w:t xml:space="preserve"> successfully.</w:t>
            </w:r>
          </w:p>
        </w:tc>
      </w:tr>
      <w:tr w:rsidR="00344FF3" w:rsidRPr="000A0A5F" w:rsidTr="00FF0AF8">
        <w:tc>
          <w:tcPr>
            <w:tcW w:w="532" w:type="pct"/>
            <w:vMerge/>
            <w:shd w:val="clear" w:color="auto" w:fill="BFBFBF"/>
            <w:vAlign w:val="center"/>
          </w:tcPr>
          <w:p w:rsidR="00344FF3" w:rsidRPr="000A0A5F" w:rsidRDefault="00344FF3" w:rsidP="009D5B71">
            <w:pPr>
              <w:pStyle w:val="TAL"/>
              <w:jc w:val="center"/>
            </w:pPr>
          </w:p>
        </w:tc>
        <w:tc>
          <w:tcPr>
            <w:tcW w:w="1093" w:type="pct"/>
            <w:shd w:val="clear" w:color="auto" w:fill="auto"/>
          </w:tcPr>
          <w:p w:rsidR="00344FF3" w:rsidRPr="000A0A5F" w:rsidRDefault="00344FF3" w:rsidP="009D5B71">
            <w:pPr>
              <w:pStyle w:val="TAL"/>
              <w:rPr>
                <w:lang w:eastAsia="zh-CN"/>
              </w:rPr>
            </w:pPr>
            <w:r w:rsidRPr="000A0A5F">
              <w:t>none</w:t>
            </w:r>
          </w:p>
        </w:tc>
        <w:tc>
          <w:tcPr>
            <w:tcW w:w="541" w:type="pct"/>
          </w:tcPr>
          <w:p w:rsidR="00344FF3" w:rsidRPr="000A0A5F" w:rsidRDefault="00344FF3" w:rsidP="009D5B71">
            <w:pPr>
              <w:pStyle w:val="TAL"/>
              <w:rPr>
                <w:lang w:eastAsia="zh-CN"/>
              </w:rPr>
            </w:pPr>
          </w:p>
        </w:tc>
        <w:tc>
          <w:tcPr>
            <w:tcW w:w="500" w:type="pct"/>
          </w:tcPr>
          <w:p w:rsidR="00344FF3" w:rsidRPr="000A0A5F" w:rsidRDefault="00344FF3" w:rsidP="009D5B71">
            <w:pPr>
              <w:pStyle w:val="TAL"/>
              <w:rPr>
                <w:lang w:eastAsia="zh-CN"/>
              </w:rPr>
            </w:pPr>
            <w:r w:rsidRPr="000A0A5F">
              <w:t>307 Temporary Redirect</w:t>
            </w:r>
          </w:p>
        </w:tc>
        <w:tc>
          <w:tcPr>
            <w:tcW w:w="2334" w:type="pct"/>
          </w:tcPr>
          <w:p w:rsidR="00344FF3" w:rsidRPr="000A0A5F" w:rsidRDefault="00344FF3" w:rsidP="009D5B71">
            <w:pPr>
              <w:pStyle w:val="TAL"/>
            </w:pPr>
            <w:r w:rsidRPr="000A0A5F">
              <w:t>Temporary redirection, during subscription modification. The response shall include a Location header field containing an alternative URI of the resource located in an alternative SCEF.</w:t>
            </w:r>
          </w:p>
          <w:p w:rsidR="00344FF3" w:rsidRPr="000A0A5F" w:rsidRDefault="00344FF3" w:rsidP="009D5B71">
            <w:pPr>
              <w:pStyle w:val="TAL"/>
              <w:spacing w:afterLines="50" w:after="120"/>
            </w:pPr>
            <w:r w:rsidRPr="000A0A5F">
              <w:t>Redirection handling is described in clause 5.2.10.</w:t>
            </w:r>
          </w:p>
        </w:tc>
      </w:tr>
      <w:tr w:rsidR="00344FF3" w:rsidRPr="000A0A5F" w:rsidTr="00FF0AF8">
        <w:tc>
          <w:tcPr>
            <w:tcW w:w="532" w:type="pct"/>
            <w:vMerge/>
            <w:shd w:val="clear" w:color="auto" w:fill="BFBFBF"/>
            <w:vAlign w:val="center"/>
          </w:tcPr>
          <w:p w:rsidR="00344FF3" w:rsidRPr="000A0A5F" w:rsidRDefault="00344FF3" w:rsidP="009D5B71">
            <w:pPr>
              <w:pStyle w:val="TAL"/>
              <w:jc w:val="center"/>
            </w:pPr>
          </w:p>
        </w:tc>
        <w:tc>
          <w:tcPr>
            <w:tcW w:w="1093" w:type="pct"/>
            <w:shd w:val="clear" w:color="auto" w:fill="auto"/>
          </w:tcPr>
          <w:p w:rsidR="00344FF3" w:rsidRPr="000A0A5F" w:rsidRDefault="00344FF3" w:rsidP="009D5B71">
            <w:pPr>
              <w:pStyle w:val="TAL"/>
              <w:rPr>
                <w:lang w:eastAsia="zh-CN"/>
              </w:rPr>
            </w:pPr>
            <w:r w:rsidRPr="000A0A5F">
              <w:t>none</w:t>
            </w:r>
          </w:p>
        </w:tc>
        <w:tc>
          <w:tcPr>
            <w:tcW w:w="541" w:type="pct"/>
          </w:tcPr>
          <w:p w:rsidR="00344FF3" w:rsidRPr="000A0A5F" w:rsidRDefault="00344FF3" w:rsidP="009D5B71">
            <w:pPr>
              <w:pStyle w:val="TAL"/>
              <w:rPr>
                <w:lang w:eastAsia="zh-CN"/>
              </w:rPr>
            </w:pPr>
          </w:p>
        </w:tc>
        <w:tc>
          <w:tcPr>
            <w:tcW w:w="500" w:type="pct"/>
          </w:tcPr>
          <w:p w:rsidR="00344FF3" w:rsidRPr="000A0A5F" w:rsidRDefault="00344FF3" w:rsidP="009D5B71">
            <w:pPr>
              <w:pStyle w:val="TAL"/>
              <w:rPr>
                <w:lang w:eastAsia="zh-CN"/>
              </w:rPr>
            </w:pPr>
            <w:r w:rsidRPr="000A0A5F">
              <w:t>308 Permanent Redirect</w:t>
            </w:r>
          </w:p>
        </w:tc>
        <w:tc>
          <w:tcPr>
            <w:tcW w:w="2334" w:type="pct"/>
          </w:tcPr>
          <w:p w:rsidR="00344FF3" w:rsidRPr="000A0A5F" w:rsidRDefault="00344FF3" w:rsidP="009D5B71">
            <w:pPr>
              <w:pStyle w:val="TAL"/>
            </w:pPr>
            <w:r w:rsidRPr="000A0A5F">
              <w:t>Permanent redirection, during subscription modification. The response shall include a Location header field containing an alternative URI of the resource located in an alternative SCEF.</w:t>
            </w:r>
          </w:p>
          <w:p w:rsidR="00344FF3" w:rsidRPr="000A0A5F" w:rsidRDefault="00344FF3" w:rsidP="009D5B71">
            <w:pPr>
              <w:pStyle w:val="TAL"/>
              <w:spacing w:afterLines="50" w:after="120"/>
            </w:pPr>
            <w:r w:rsidRPr="000A0A5F">
              <w:t>Redirection handling is described in clause 5.2.10.</w:t>
            </w:r>
          </w:p>
        </w:tc>
      </w:tr>
      <w:tr w:rsidR="00344FF3" w:rsidRPr="000A0A5F" w:rsidTr="00FF0AF8">
        <w:tc>
          <w:tcPr>
            <w:tcW w:w="5000" w:type="pct"/>
            <w:gridSpan w:val="5"/>
            <w:shd w:val="clear" w:color="auto" w:fill="auto"/>
            <w:vAlign w:val="center"/>
          </w:tcPr>
          <w:p w:rsidR="00344FF3" w:rsidRPr="000A0A5F" w:rsidRDefault="00344FF3" w:rsidP="000B308F">
            <w:pPr>
              <w:pStyle w:val="TAN"/>
              <w:rPr>
                <w:lang w:eastAsia="zh-CN"/>
              </w:rPr>
            </w:pPr>
            <w:r w:rsidRPr="000A0A5F">
              <w:t>NOTE:</w:t>
            </w:r>
            <w:r w:rsidRPr="000A0A5F">
              <w:tab/>
              <w:t xml:space="preserve">The mandatory HTTP error status codes for the </w:t>
            </w:r>
            <w:r w:rsidR="00687AC5" w:rsidRPr="000A0A5F">
              <w:t>PATCH</w:t>
            </w:r>
            <w:r w:rsidRPr="000A0A5F">
              <w:t xml:space="preserve"> method listed in table 5.2.6-1 also apply.</w:t>
            </w:r>
          </w:p>
        </w:tc>
      </w:tr>
    </w:tbl>
    <w:p w:rsidR="00344FF3" w:rsidRPr="000A0A5F" w:rsidRDefault="00344FF3" w:rsidP="00344FF3"/>
    <w:p w:rsidR="00344FF3" w:rsidRPr="000A0A5F" w:rsidRDefault="00344FF3" w:rsidP="00344FF3">
      <w:pPr>
        <w:pStyle w:val="TH"/>
      </w:pPr>
      <w:r w:rsidRPr="000A0A5F">
        <w:t>Table 5.3.3.3.3.3-2: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344FF3" w:rsidRPr="000A0A5F" w:rsidTr="00FF0AF8">
        <w:trPr>
          <w:jc w:val="center"/>
        </w:trPr>
        <w:tc>
          <w:tcPr>
            <w:tcW w:w="825" w:type="pct"/>
            <w:shd w:val="clear" w:color="auto" w:fill="C0C0C0"/>
          </w:tcPr>
          <w:p w:rsidR="00344FF3" w:rsidRPr="000A0A5F" w:rsidRDefault="00344FF3" w:rsidP="009D5B71">
            <w:pPr>
              <w:pStyle w:val="TAH"/>
            </w:pPr>
            <w:r w:rsidRPr="000A0A5F">
              <w:t>Name</w:t>
            </w:r>
          </w:p>
        </w:tc>
        <w:tc>
          <w:tcPr>
            <w:tcW w:w="732" w:type="pct"/>
            <w:shd w:val="clear" w:color="auto" w:fill="C0C0C0"/>
          </w:tcPr>
          <w:p w:rsidR="00344FF3" w:rsidRPr="000A0A5F" w:rsidRDefault="00344FF3" w:rsidP="009D5B71">
            <w:pPr>
              <w:pStyle w:val="TAH"/>
            </w:pPr>
            <w:r w:rsidRPr="000A0A5F">
              <w:t>Data type</w:t>
            </w:r>
          </w:p>
        </w:tc>
        <w:tc>
          <w:tcPr>
            <w:tcW w:w="217" w:type="pct"/>
            <w:shd w:val="clear" w:color="auto" w:fill="C0C0C0"/>
          </w:tcPr>
          <w:p w:rsidR="00344FF3" w:rsidRPr="000A0A5F" w:rsidRDefault="00344FF3" w:rsidP="009D5B71">
            <w:pPr>
              <w:pStyle w:val="TAH"/>
            </w:pPr>
            <w:r w:rsidRPr="000A0A5F">
              <w:t>P</w:t>
            </w:r>
          </w:p>
        </w:tc>
        <w:tc>
          <w:tcPr>
            <w:tcW w:w="581" w:type="pct"/>
            <w:shd w:val="clear" w:color="auto" w:fill="C0C0C0"/>
          </w:tcPr>
          <w:p w:rsidR="00344FF3" w:rsidRPr="000A0A5F" w:rsidRDefault="00344FF3" w:rsidP="009D5B71">
            <w:pPr>
              <w:pStyle w:val="TAH"/>
            </w:pPr>
            <w:r w:rsidRPr="000A0A5F">
              <w:t>Cardinality</w:t>
            </w:r>
          </w:p>
        </w:tc>
        <w:tc>
          <w:tcPr>
            <w:tcW w:w="2645" w:type="pct"/>
            <w:shd w:val="clear" w:color="auto" w:fill="C0C0C0"/>
            <w:vAlign w:val="center"/>
          </w:tcPr>
          <w:p w:rsidR="00344FF3" w:rsidRPr="000A0A5F" w:rsidRDefault="00344FF3" w:rsidP="009D5B71">
            <w:pPr>
              <w:pStyle w:val="TAH"/>
            </w:pPr>
            <w:r w:rsidRPr="000A0A5F">
              <w:t>Description</w:t>
            </w:r>
          </w:p>
        </w:tc>
      </w:tr>
      <w:tr w:rsidR="00344FF3" w:rsidRPr="000A0A5F" w:rsidTr="00FF0AF8">
        <w:trPr>
          <w:jc w:val="center"/>
        </w:trPr>
        <w:tc>
          <w:tcPr>
            <w:tcW w:w="825" w:type="pct"/>
            <w:shd w:val="clear" w:color="auto" w:fill="auto"/>
          </w:tcPr>
          <w:p w:rsidR="00344FF3" w:rsidRPr="000A0A5F" w:rsidRDefault="00344FF3" w:rsidP="009D5B71">
            <w:pPr>
              <w:pStyle w:val="TAL"/>
            </w:pPr>
            <w:r w:rsidRPr="000A0A5F">
              <w:t>Location</w:t>
            </w:r>
          </w:p>
        </w:tc>
        <w:tc>
          <w:tcPr>
            <w:tcW w:w="732" w:type="pct"/>
          </w:tcPr>
          <w:p w:rsidR="00344FF3" w:rsidRPr="000A0A5F" w:rsidRDefault="00344FF3" w:rsidP="009D5B71">
            <w:pPr>
              <w:pStyle w:val="TAL"/>
            </w:pPr>
            <w:r w:rsidRPr="000A0A5F">
              <w:t>string</w:t>
            </w:r>
          </w:p>
        </w:tc>
        <w:tc>
          <w:tcPr>
            <w:tcW w:w="217" w:type="pct"/>
          </w:tcPr>
          <w:p w:rsidR="00344FF3" w:rsidRPr="000A0A5F" w:rsidRDefault="00344FF3" w:rsidP="009D5B71">
            <w:pPr>
              <w:pStyle w:val="TAC"/>
            </w:pPr>
            <w:r w:rsidRPr="000A0A5F">
              <w:t>M</w:t>
            </w:r>
          </w:p>
        </w:tc>
        <w:tc>
          <w:tcPr>
            <w:tcW w:w="581" w:type="pct"/>
          </w:tcPr>
          <w:p w:rsidR="00344FF3" w:rsidRPr="000A0A5F" w:rsidRDefault="00344FF3" w:rsidP="009D5B71">
            <w:pPr>
              <w:pStyle w:val="TAL"/>
            </w:pPr>
            <w:r w:rsidRPr="000A0A5F">
              <w:t>1</w:t>
            </w:r>
          </w:p>
        </w:tc>
        <w:tc>
          <w:tcPr>
            <w:tcW w:w="2645" w:type="pct"/>
            <w:shd w:val="clear" w:color="auto" w:fill="auto"/>
            <w:vAlign w:val="center"/>
          </w:tcPr>
          <w:p w:rsidR="00344FF3" w:rsidRPr="000A0A5F" w:rsidRDefault="00344FF3" w:rsidP="009D5B71">
            <w:pPr>
              <w:pStyle w:val="TAL"/>
            </w:pPr>
            <w:r w:rsidRPr="000A0A5F">
              <w:t>An alternative URI of the resource located in an alternative SCEF.</w:t>
            </w:r>
          </w:p>
        </w:tc>
      </w:tr>
    </w:tbl>
    <w:p w:rsidR="00344FF3" w:rsidRPr="000A0A5F" w:rsidRDefault="00344FF3" w:rsidP="00344FF3"/>
    <w:p w:rsidR="00344FF3" w:rsidRPr="000A0A5F" w:rsidRDefault="00344FF3" w:rsidP="00344FF3">
      <w:pPr>
        <w:pStyle w:val="TH"/>
      </w:pPr>
      <w:r w:rsidRPr="000A0A5F">
        <w:t>Table 5.3.3.3.3.3-3: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344FF3" w:rsidRPr="000A0A5F" w:rsidTr="00FF0AF8">
        <w:trPr>
          <w:jc w:val="center"/>
        </w:trPr>
        <w:tc>
          <w:tcPr>
            <w:tcW w:w="825" w:type="pct"/>
            <w:shd w:val="clear" w:color="auto" w:fill="C0C0C0"/>
          </w:tcPr>
          <w:p w:rsidR="00344FF3" w:rsidRPr="000A0A5F" w:rsidRDefault="00344FF3" w:rsidP="009D5B71">
            <w:pPr>
              <w:pStyle w:val="TAH"/>
            </w:pPr>
            <w:r w:rsidRPr="000A0A5F">
              <w:t>Name</w:t>
            </w:r>
          </w:p>
        </w:tc>
        <w:tc>
          <w:tcPr>
            <w:tcW w:w="732" w:type="pct"/>
            <w:shd w:val="clear" w:color="auto" w:fill="C0C0C0"/>
          </w:tcPr>
          <w:p w:rsidR="00344FF3" w:rsidRPr="000A0A5F" w:rsidRDefault="00344FF3" w:rsidP="009D5B71">
            <w:pPr>
              <w:pStyle w:val="TAH"/>
            </w:pPr>
            <w:r w:rsidRPr="000A0A5F">
              <w:t>Data type</w:t>
            </w:r>
          </w:p>
        </w:tc>
        <w:tc>
          <w:tcPr>
            <w:tcW w:w="217" w:type="pct"/>
            <w:shd w:val="clear" w:color="auto" w:fill="C0C0C0"/>
          </w:tcPr>
          <w:p w:rsidR="00344FF3" w:rsidRPr="000A0A5F" w:rsidRDefault="00344FF3" w:rsidP="009D5B71">
            <w:pPr>
              <w:pStyle w:val="TAH"/>
            </w:pPr>
            <w:r w:rsidRPr="000A0A5F">
              <w:t>P</w:t>
            </w:r>
          </w:p>
        </w:tc>
        <w:tc>
          <w:tcPr>
            <w:tcW w:w="581" w:type="pct"/>
            <w:shd w:val="clear" w:color="auto" w:fill="C0C0C0"/>
          </w:tcPr>
          <w:p w:rsidR="00344FF3" w:rsidRPr="000A0A5F" w:rsidRDefault="00344FF3" w:rsidP="009D5B71">
            <w:pPr>
              <w:pStyle w:val="TAH"/>
            </w:pPr>
            <w:r w:rsidRPr="000A0A5F">
              <w:t>Cardinality</w:t>
            </w:r>
          </w:p>
        </w:tc>
        <w:tc>
          <w:tcPr>
            <w:tcW w:w="2645" w:type="pct"/>
            <w:shd w:val="clear" w:color="auto" w:fill="C0C0C0"/>
            <w:vAlign w:val="center"/>
          </w:tcPr>
          <w:p w:rsidR="00344FF3" w:rsidRPr="000A0A5F" w:rsidRDefault="00344FF3" w:rsidP="009D5B71">
            <w:pPr>
              <w:pStyle w:val="TAH"/>
            </w:pPr>
            <w:r w:rsidRPr="000A0A5F">
              <w:t>Description</w:t>
            </w:r>
          </w:p>
        </w:tc>
      </w:tr>
      <w:tr w:rsidR="00344FF3" w:rsidRPr="000A0A5F" w:rsidTr="00FF0AF8">
        <w:trPr>
          <w:jc w:val="center"/>
        </w:trPr>
        <w:tc>
          <w:tcPr>
            <w:tcW w:w="825" w:type="pct"/>
            <w:shd w:val="clear" w:color="auto" w:fill="auto"/>
          </w:tcPr>
          <w:p w:rsidR="00344FF3" w:rsidRPr="000A0A5F" w:rsidRDefault="00344FF3" w:rsidP="009D5B71">
            <w:pPr>
              <w:pStyle w:val="TAL"/>
            </w:pPr>
            <w:r w:rsidRPr="000A0A5F">
              <w:t>Location</w:t>
            </w:r>
          </w:p>
        </w:tc>
        <w:tc>
          <w:tcPr>
            <w:tcW w:w="732" w:type="pct"/>
          </w:tcPr>
          <w:p w:rsidR="00344FF3" w:rsidRPr="000A0A5F" w:rsidRDefault="00344FF3" w:rsidP="009D5B71">
            <w:pPr>
              <w:pStyle w:val="TAL"/>
            </w:pPr>
            <w:r w:rsidRPr="000A0A5F">
              <w:t>string</w:t>
            </w:r>
          </w:p>
        </w:tc>
        <w:tc>
          <w:tcPr>
            <w:tcW w:w="217" w:type="pct"/>
          </w:tcPr>
          <w:p w:rsidR="00344FF3" w:rsidRPr="000A0A5F" w:rsidRDefault="00344FF3" w:rsidP="009D5B71">
            <w:pPr>
              <w:pStyle w:val="TAC"/>
            </w:pPr>
            <w:r w:rsidRPr="000A0A5F">
              <w:t>M</w:t>
            </w:r>
          </w:p>
        </w:tc>
        <w:tc>
          <w:tcPr>
            <w:tcW w:w="581" w:type="pct"/>
          </w:tcPr>
          <w:p w:rsidR="00344FF3" w:rsidRPr="000A0A5F" w:rsidRDefault="00344FF3" w:rsidP="009D5B71">
            <w:pPr>
              <w:pStyle w:val="TAL"/>
            </w:pPr>
            <w:r w:rsidRPr="000A0A5F">
              <w:t>1</w:t>
            </w:r>
          </w:p>
        </w:tc>
        <w:tc>
          <w:tcPr>
            <w:tcW w:w="2645" w:type="pct"/>
            <w:shd w:val="clear" w:color="auto" w:fill="auto"/>
            <w:vAlign w:val="center"/>
          </w:tcPr>
          <w:p w:rsidR="00344FF3" w:rsidRPr="000A0A5F" w:rsidRDefault="00344FF3" w:rsidP="009D5B71">
            <w:pPr>
              <w:pStyle w:val="TAL"/>
            </w:pPr>
            <w:r w:rsidRPr="000A0A5F">
              <w:t>An alternative URI of the resource located in an alternative SCEF.</w:t>
            </w:r>
          </w:p>
        </w:tc>
      </w:tr>
    </w:tbl>
    <w:p w:rsidR="00344FF3" w:rsidRPr="000A0A5F" w:rsidRDefault="00344FF3" w:rsidP="00344FF3"/>
    <w:p w:rsidR="00CB0DD7" w:rsidRPr="000A0A5F" w:rsidRDefault="00CB0DD7">
      <w:pPr>
        <w:pStyle w:val="Heading6"/>
      </w:pPr>
      <w:bookmarkStart w:id="2367" w:name="_Toc105674398"/>
      <w:bookmarkStart w:id="2368" w:name="_Toc130502438"/>
      <w:bookmarkStart w:id="2369" w:name="_Toc153625225"/>
      <w:r w:rsidRPr="000A0A5F">
        <w:t>5.3.3.3.3.4</w:t>
      </w:r>
      <w:r w:rsidRPr="000A0A5F">
        <w:tab/>
        <w:t>POST</w:t>
      </w:r>
      <w:bookmarkEnd w:id="2357"/>
      <w:bookmarkEnd w:id="2358"/>
      <w:bookmarkEnd w:id="2359"/>
      <w:bookmarkEnd w:id="2360"/>
      <w:bookmarkEnd w:id="2361"/>
      <w:bookmarkEnd w:id="2362"/>
      <w:bookmarkEnd w:id="2363"/>
      <w:bookmarkEnd w:id="2364"/>
      <w:bookmarkEnd w:id="2365"/>
      <w:bookmarkEnd w:id="2367"/>
      <w:bookmarkEnd w:id="2368"/>
      <w:bookmarkEnd w:id="2369"/>
    </w:p>
    <w:p w:rsidR="00CB0DD7" w:rsidRPr="000A0A5F" w:rsidRDefault="00CB0DD7">
      <w:pPr>
        <w:rPr>
          <w:lang w:eastAsia="zh-CN"/>
        </w:rPr>
      </w:pPr>
      <w:r w:rsidRPr="000A0A5F">
        <w:rPr>
          <w:rFonts w:hint="eastAsia"/>
          <w:lang w:eastAsia="zh-CN"/>
        </w:rPr>
        <w:t xml:space="preserve">This </w:t>
      </w:r>
      <w:r w:rsidRPr="000A0A5F">
        <w:rPr>
          <w:lang w:eastAsia="zh-CN"/>
        </w:rPr>
        <w:t>HTTP method is not supported for the resource.</w:t>
      </w:r>
    </w:p>
    <w:p w:rsidR="00CB0DD7" w:rsidRPr="000A0A5F" w:rsidRDefault="00CB0DD7">
      <w:pPr>
        <w:pStyle w:val="Heading6"/>
      </w:pPr>
      <w:bookmarkStart w:id="2370" w:name="_Toc11247351"/>
      <w:bookmarkStart w:id="2371" w:name="_Toc27044473"/>
      <w:bookmarkStart w:id="2372" w:name="_Toc36033515"/>
      <w:bookmarkStart w:id="2373" w:name="_Toc45131647"/>
      <w:bookmarkStart w:id="2374" w:name="_Toc49775932"/>
      <w:bookmarkStart w:id="2375" w:name="_Toc51746852"/>
      <w:bookmarkStart w:id="2376" w:name="_Toc66360397"/>
      <w:bookmarkStart w:id="2377" w:name="_Toc68104902"/>
      <w:bookmarkStart w:id="2378" w:name="_Toc74755532"/>
      <w:bookmarkStart w:id="2379" w:name="_Toc105674399"/>
      <w:bookmarkStart w:id="2380" w:name="_Toc130502439"/>
      <w:bookmarkStart w:id="2381" w:name="_Toc153625226"/>
      <w:r w:rsidRPr="000A0A5F">
        <w:t>5.3.3.3.3.5</w:t>
      </w:r>
      <w:r w:rsidRPr="000A0A5F">
        <w:tab/>
        <w:t>DELETE</w:t>
      </w:r>
      <w:bookmarkEnd w:id="2370"/>
      <w:bookmarkEnd w:id="2371"/>
      <w:bookmarkEnd w:id="2372"/>
      <w:bookmarkEnd w:id="2373"/>
      <w:bookmarkEnd w:id="2374"/>
      <w:bookmarkEnd w:id="2375"/>
      <w:bookmarkEnd w:id="2376"/>
      <w:bookmarkEnd w:id="2377"/>
      <w:bookmarkEnd w:id="2378"/>
      <w:bookmarkEnd w:id="2379"/>
      <w:bookmarkEnd w:id="2380"/>
      <w:bookmarkEnd w:id="2381"/>
    </w:p>
    <w:p w:rsidR="00CB0DD7" w:rsidRPr="000A0A5F" w:rsidRDefault="00CB0DD7">
      <w:pPr>
        <w:rPr>
          <w:noProof/>
          <w:lang w:eastAsia="zh-CN"/>
        </w:rPr>
      </w:pPr>
      <w:r w:rsidRPr="000A0A5F">
        <w:rPr>
          <w:noProof/>
          <w:lang w:eastAsia="zh-CN"/>
        </w:rPr>
        <w:t xml:space="preserve">The DELETE method deletes the </w:t>
      </w:r>
      <w:r w:rsidRPr="000A0A5F">
        <w:t>related resource and</w:t>
      </w:r>
      <w:r w:rsidRPr="000A0A5F">
        <w:rPr>
          <w:noProof/>
          <w:lang w:eastAsia="zh-CN"/>
        </w:rPr>
        <w:t xml:space="preserve"> terminates the related monitoring subscription. The SCS/AS shall initiate the HTTP DELETE request message and the SCEF shall respond to the message. </w:t>
      </w:r>
    </w:p>
    <w:p w:rsidR="00CB0DD7" w:rsidRPr="000A0A5F" w:rsidRDefault="00CB0DD7">
      <w:r w:rsidRPr="000A0A5F">
        <w:t>This method shall support the URI query parameters, request and response data structures, and response codes, as specified in the table 5.3.3.3.3.5-1 and table 5.3.3.3.3.5-2.</w:t>
      </w:r>
    </w:p>
    <w:p w:rsidR="00CB0DD7" w:rsidRPr="000A0A5F" w:rsidRDefault="00CB0DD7">
      <w:pPr>
        <w:pStyle w:val="TH"/>
        <w:rPr>
          <w:rFonts w:cs="Arial"/>
        </w:rPr>
      </w:pPr>
      <w:r w:rsidRPr="000A0A5F">
        <w:t xml:space="preserve">Table 5.3.3.3.3.5-1: URI query parameters supported by the DELETE method on this resource </w:t>
      </w:r>
    </w:p>
    <w:tbl>
      <w:tblPr>
        <w:tblW w:w="4999"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612"/>
        <w:gridCol w:w="1709"/>
        <w:gridCol w:w="1140"/>
        <w:gridCol w:w="5314"/>
      </w:tblGrid>
      <w:tr w:rsidR="00CB0DD7" w:rsidRPr="000A0A5F" w:rsidTr="00FF0AF8">
        <w:trPr>
          <w:jc w:val="center"/>
        </w:trPr>
        <w:tc>
          <w:tcPr>
            <w:tcW w:w="825" w:type="pct"/>
            <w:shd w:val="clear" w:color="000000" w:fill="C0C0C0"/>
          </w:tcPr>
          <w:p w:rsidR="00CB0DD7" w:rsidRPr="000A0A5F" w:rsidRDefault="00CB0DD7">
            <w:pPr>
              <w:pStyle w:val="TAH"/>
            </w:pPr>
            <w:r w:rsidRPr="000A0A5F">
              <w:t>Name</w:t>
            </w:r>
          </w:p>
        </w:tc>
        <w:tc>
          <w:tcPr>
            <w:tcW w:w="874" w:type="pct"/>
            <w:shd w:val="clear" w:color="000000" w:fill="C0C0C0"/>
          </w:tcPr>
          <w:p w:rsidR="00CB0DD7" w:rsidRPr="000A0A5F" w:rsidRDefault="00CB0DD7">
            <w:pPr>
              <w:pStyle w:val="TAH"/>
            </w:pPr>
            <w:r w:rsidRPr="000A0A5F">
              <w:t>Data type</w:t>
            </w:r>
          </w:p>
        </w:tc>
        <w:tc>
          <w:tcPr>
            <w:tcW w:w="583" w:type="pct"/>
            <w:shd w:val="clear" w:color="000000" w:fill="C0C0C0"/>
          </w:tcPr>
          <w:p w:rsidR="00CB0DD7" w:rsidRPr="000A0A5F" w:rsidRDefault="00CB0DD7">
            <w:pPr>
              <w:pStyle w:val="TAH"/>
            </w:pPr>
            <w:r w:rsidRPr="000A0A5F">
              <w:t>Cardinality</w:t>
            </w:r>
          </w:p>
        </w:tc>
        <w:tc>
          <w:tcPr>
            <w:tcW w:w="2718" w:type="pct"/>
            <w:shd w:val="clear" w:color="000000" w:fill="C0C0C0"/>
            <w:vAlign w:val="center"/>
          </w:tcPr>
          <w:p w:rsidR="00CB0DD7" w:rsidRPr="000A0A5F" w:rsidRDefault="00CB0DD7">
            <w:pPr>
              <w:pStyle w:val="TAH"/>
            </w:pPr>
            <w:r w:rsidRPr="000A0A5F">
              <w:t>Remarks</w:t>
            </w:r>
          </w:p>
        </w:tc>
      </w:tr>
      <w:tr w:rsidR="00CB0DD7" w:rsidRPr="000A0A5F" w:rsidTr="00FF0AF8">
        <w:trPr>
          <w:jc w:val="center"/>
        </w:trPr>
        <w:tc>
          <w:tcPr>
            <w:tcW w:w="825" w:type="pct"/>
            <w:shd w:val="clear" w:color="auto" w:fill="auto"/>
          </w:tcPr>
          <w:p w:rsidR="00CB0DD7" w:rsidRPr="000A0A5F" w:rsidRDefault="00CB0DD7">
            <w:pPr>
              <w:pStyle w:val="TAL"/>
            </w:pPr>
            <w:r w:rsidRPr="000A0A5F">
              <w:t>none specified</w:t>
            </w:r>
          </w:p>
        </w:tc>
        <w:tc>
          <w:tcPr>
            <w:tcW w:w="874" w:type="pct"/>
          </w:tcPr>
          <w:p w:rsidR="00CB0DD7" w:rsidRPr="000A0A5F" w:rsidRDefault="00CB0DD7">
            <w:pPr>
              <w:pStyle w:val="TAL"/>
            </w:pPr>
          </w:p>
        </w:tc>
        <w:tc>
          <w:tcPr>
            <w:tcW w:w="583" w:type="pct"/>
          </w:tcPr>
          <w:p w:rsidR="00CB0DD7" w:rsidRPr="000A0A5F" w:rsidRDefault="00CB0DD7">
            <w:pPr>
              <w:pStyle w:val="TAL"/>
            </w:pPr>
          </w:p>
        </w:tc>
        <w:tc>
          <w:tcPr>
            <w:tcW w:w="2718" w:type="pct"/>
            <w:shd w:val="clear" w:color="auto" w:fill="auto"/>
            <w:vAlign w:val="center"/>
          </w:tcPr>
          <w:p w:rsidR="00CB0DD7" w:rsidRPr="000A0A5F" w:rsidRDefault="00CB0DD7">
            <w:pPr>
              <w:pStyle w:val="TAL"/>
            </w:pPr>
          </w:p>
        </w:tc>
      </w:tr>
    </w:tbl>
    <w:p w:rsidR="00CB0DD7" w:rsidRPr="000A0A5F" w:rsidRDefault="00CB0DD7"/>
    <w:p w:rsidR="00CB0DD7" w:rsidRPr="000A0A5F" w:rsidRDefault="00CB0DD7">
      <w:pPr>
        <w:pStyle w:val="TH"/>
        <w:spacing w:before="120"/>
      </w:pPr>
      <w:r w:rsidRPr="000A0A5F">
        <w:t>Table 5.3.3.3.3.5-2: Data structures supported by the DELETE request/response by the resource</w:t>
      </w:r>
    </w:p>
    <w:tbl>
      <w:tblPr>
        <w:tblW w:w="4999" w:type="pct"/>
        <w:tblInd w:w="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45" w:type="dxa"/>
          <w:left w:w="45" w:type="dxa"/>
          <w:bottom w:w="45" w:type="dxa"/>
          <w:right w:w="45" w:type="dxa"/>
        </w:tblCellMar>
        <w:tblLook w:val="0000" w:firstRow="0" w:lastRow="0" w:firstColumn="0" w:lastColumn="0" w:noHBand="0" w:noVBand="0"/>
      </w:tblPr>
      <w:tblGrid>
        <w:gridCol w:w="1035"/>
        <w:gridCol w:w="2127"/>
        <w:gridCol w:w="1053"/>
        <w:gridCol w:w="973"/>
        <w:gridCol w:w="4541"/>
      </w:tblGrid>
      <w:tr w:rsidR="00CB0DD7" w:rsidRPr="000A0A5F" w:rsidTr="00FF0AF8">
        <w:tc>
          <w:tcPr>
            <w:tcW w:w="532" w:type="pct"/>
            <w:vMerge w:val="restart"/>
            <w:shd w:val="clear" w:color="auto" w:fill="C0C0C0"/>
            <w:vAlign w:val="center"/>
          </w:tcPr>
          <w:p w:rsidR="00CB0DD7" w:rsidRPr="000A0A5F" w:rsidRDefault="00CB0DD7">
            <w:pPr>
              <w:pStyle w:val="TAH"/>
            </w:pPr>
            <w:r w:rsidRPr="000A0A5F">
              <w:t>Request body</w:t>
            </w:r>
          </w:p>
        </w:tc>
        <w:tc>
          <w:tcPr>
            <w:tcW w:w="1093" w:type="pct"/>
            <w:shd w:val="clear" w:color="auto" w:fill="C0C0C0"/>
          </w:tcPr>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r w:rsidRPr="000A0A5F">
              <w:t>Cardinality</w:t>
            </w:r>
          </w:p>
        </w:tc>
        <w:tc>
          <w:tcPr>
            <w:tcW w:w="2834" w:type="pct"/>
            <w:gridSpan w:val="2"/>
            <w:shd w:val="clear" w:color="auto" w:fill="C0C0C0"/>
          </w:tcPr>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none</w:t>
            </w:r>
          </w:p>
        </w:tc>
        <w:tc>
          <w:tcPr>
            <w:tcW w:w="541" w:type="pct"/>
          </w:tcPr>
          <w:p w:rsidR="00CB0DD7" w:rsidRPr="000A0A5F" w:rsidRDefault="00CB0DD7">
            <w:pPr>
              <w:pStyle w:val="TAL"/>
            </w:pPr>
          </w:p>
        </w:tc>
        <w:tc>
          <w:tcPr>
            <w:tcW w:w="2834" w:type="pct"/>
            <w:gridSpan w:val="2"/>
          </w:tcPr>
          <w:p w:rsidR="00CB0DD7" w:rsidRPr="000A0A5F" w:rsidRDefault="00CB0DD7">
            <w:pPr>
              <w:pStyle w:val="TAL"/>
            </w:pPr>
          </w:p>
        </w:tc>
      </w:tr>
      <w:tr w:rsidR="00CB0DD7" w:rsidRPr="000A0A5F" w:rsidTr="00FF0AF8">
        <w:tc>
          <w:tcPr>
            <w:tcW w:w="532" w:type="pct"/>
            <w:vMerge w:val="restart"/>
            <w:shd w:val="clear" w:color="auto" w:fill="C0C0C0"/>
            <w:vAlign w:val="center"/>
          </w:tcPr>
          <w:p w:rsidR="00CB0DD7" w:rsidRPr="000A0A5F" w:rsidRDefault="00CB0DD7">
            <w:pPr>
              <w:pStyle w:val="TAH"/>
            </w:pPr>
            <w:r w:rsidRPr="000A0A5F">
              <w:t>Response body</w:t>
            </w:r>
          </w:p>
        </w:tc>
        <w:tc>
          <w:tcPr>
            <w:tcW w:w="1093" w:type="pct"/>
            <w:shd w:val="clear" w:color="auto" w:fill="C0C0C0"/>
          </w:tcPr>
          <w:p w:rsidR="00CB0DD7" w:rsidRPr="000A0A5F" w:rsidRDefault="00CB0DD7">
            <w:pPr>
              <w:pStyle w:val="TAH"/>
            </w:pPr>
          </w:p>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p>
          <w:p w:rsidR="00CB0DD7" w:rsidRPr="000A0A5F" w:rsidRDefault="00CB0DD7">
            <w:pPr>
              <w:pStyle w:val="TAH"/>
            </w:pPr>
            <w:r w:rsidRPr="000A0A5F">
              <w:t>Cardinality</w:t>
            </w:r>
          </w:p>
        </w:tc>
        <w:tc>
          <w:tcPr>
            <w:tcW w:w="500" w:type="pct"/>
            <w:shd w:val="clear" w:color="auto" w:fill="C0C0C0"/>
          </w:tcPr>
          <w:p w:rsidR="00CB0DD7" w:rsidRPr="000A0A5F" w:rsidRDefault="00CB0DD7">
            <w:pPr>
              <w:pStyle w:val="TAH"/>
            </w:pPr>
            <w:r w:rsidRPr="000A0A5F">
              <w:t>Response</w:t>
            </w:r>
          </w:p>
          <w:p w:rsidR="00CB0DD7" w:rsidRPr="000A0A5F" w:rsidRDefault="00CB0DD7">
            <w:pPr>
              <w:pStyle w:val="TAH"/>
            </w:pPr>
            <w:r w:rsidRPr="000A0A5F">
              <w:t>codes</w:t>
            </w:r>
          </w:p>
        </w:tc>
        <w:tc>
          <w:tcPr>
            <w:tcW w:w="2334" w:type="pct"/>
            <w:shd w:val="clear" w:color="auto" w:fill="C0C0C0"/>
          </w:tcPr>
          <w:p w:rsidR="00CB0DD7" w:rsidRPr="000A0A5F" w:rsidRDefault="00CB0DD7">
            <w:pPr>
              <w:pStyle w:val="TAH"/>
            </w:pPr>
          </w:p>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none</w:t>
            </w:r>
          </w:p>
        </w:tc>
        <w:tc>
          <w:tcPr>
            <w:tcW w:w="541" w:type="pct"/>
          </w:tcPr>
          <w:p w:rsidR="00CB0DD7" w:rsidRPr="000A0A5F" w:rsidRDefault="00CB0DD7">
            <w:pPr>
              <w:pStyle w:val="TAL"/>
            </w:pPr>
          </w:p>
        </w:tc>
        <w:tc>
          <w:tcPr>
            <w:tcW w:w="500" w:type="pct"/>
          </w:tcPr>
          <w:p w:rsidR="00CB0DD7" w:rsidRPr="000A0A5F" w:rsidRDefault="00CB0DD7">
            <w:pPr>
              <w:pStyle w:val="TAL"/>
            </w:pPr>
            <w:r w:rsidRPr="000A0A5F">
              <w:t>204 No Content</w:t>
            </w:r>
          </w:p>
        </w:tc>
        <w:tc>
          <w:tcPr>
            <w:tcW w:w="2334" w:type="pct"/>
          </w:tcPr>
          <w:p w:rsidR="00CB0DD7" w:rsidRPr="000A0A5F" w:rsidRDefault="00CB0DD7">
            <w:pPr>
              <w:pStyle w:val="TAL"/>
            </w:pPr>
            <w:r w:rsidRPr="000A0A5F">
              <w:t>The subscription was terminated successfully.</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rPr>
                <w:lang w:eastAsia="zh-CN"/>
              </w:rPr>
              <w:t>array(</w:t>
            </w:r>
            <w:r w:rsidRPr="000A0A5F">
              <w:rPr>
                <w:rFonts w:hint="eastAsia"/>
                <w:lang w:eastAsia="zh-CN"/>
              </w:rPr>
              <w:t>MonitoringEvent</w:t>
            </w:r>
            <w:r w:rsidRPr="000A0A5F">
              <w:rPr>
                <w:lang w:eastAsia="zh-CN"/>
              </w:rPr>
              <w:t>Report)</w:t>
            </w:r>
          </w:p>
        </w:tc>
        <w:tc>
          <w:tcPr>
            <w:tcW w:w="541" w:type="pct"/>
          </w:tcPr>
          <w:p w:rsidR="00CB0DD7" w:rsidRPr="000A0A5F" w:rsidRDefault="00CB0DD7">
            <w:pPr>
              <w:pStyle w:val="TAL"/>
            </w:pPr>
            <w:r w:rsidRPr="000A0A5F">
              <w:rPr>
                <w:rFonts w:hint="eastAsia"/>
                <w:lang w:eastAsia="zh-CN"/>
              </w:rPr>
              <w:t>1</w:t>
            </w:r>
            <w:r w:rsidRPr="000A0A5F">
              <w:rPr>
                <w:lang w:eastAsia="zh-CN"/>
              </w:rPr>
              <w:t>..N</w:t>
            </w:r>
          </w:p>
        </w:tc>
        <w:tc>
          <w:tcPr>
            <w:tcW w:w="500" w:type="pct"/>
          </w:tcPr>
          <w:p w:rsidR="00CB0DD7" w:rsidRPr="000A0A5F" w:rsidRDefault="00CB0DD7">
            <w:pPr>
              <w:pStyle w:val="TAL"/>
            </w:pPr>
            <w:r w:rsidRPr="000A0A5F">
              <w:rPr>
                <w:rFonts w:hint="eastAsia"/>
                <w:lang w:eastAsia="zh-CN"/>
              </w:rPr>
              <w:t>200 OK</w:t>
            </w:r>
          </w:p>
        </w:tc>
        <w:tc>
          <w:tcPr>
            <w:tcW w:w="2334" w:type="pct"/>
          </w:tcPr>
          <w:p w:rsidR="00CB0DD7" w:rsidRPr="000A0A5F" w:rsidRDefault="00CB0DD7">
            <w:pPr>
              <w:pStyle w:val="TAL"/>
            </w:pPr>
            <w:r w:rsidRPr="000A0A5F">
              <w:t>The subscription was terminated successfully, the monitoring event report(s) shall be included if received.</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lang w:eastAsia="zh-CN"/>
              </w:rPr>
            </w:pPr>
            <w:r w:rsidRPr="000A0A5F">
              <w:t>none</w:t>
            </w:r>
          </w:p>
        </w:tc>
        <w:tc>
          <w:tcPr>
            <w:tcW w:w="541" w:type="pct"/>
          </w:tcPr>
          <w:p w:rsidR="00CB0DD7" w:rsidRPr="000A0A5F" w:rsidRDefault="00CB0DD7">
            <w:pPr>
              <w:pStyle w:val="TAL"/>
              <w:rPr>
                <w:rFonts w:hint="eastAsia"/>
                <w:lang w:eastAsia="zh-CN"/>
              </w:rPr>
            </w:pPr>
          </w:p>
        </w:tc>
        <w:tc>
          <w:tcPr>
            <w:tcW w:w="500" w:type="pct"/>
          </w:tcPr>
          <w:p w:rsidR="00CB0DD7" w:rsidRPr="000A0A5F" w:rsidRDefault="00CB0DD7">
            <w:pPr>
              <w:pStyle w:val="TAL"/>
              <w:rPr>
                <w:rFonts w:hint="eastAsia"/>
                <w:lang w:eastAsia="zh-CN"/>
              </w:rPr>
            </w:pPr>
            <w:r w:rsidRPr="000A0A5F">
              <w:t>307 Temporary Redirect</w:t>
            </w:r>
          </w:p>
        </w:tc>
        <w:tc>
          <w:tcPr>
            <w:tcW w:w="2334" w:type="pct"/>
          </w:tcPr>
          <w:p w:rsidR="00CB0DD7" w:rsidRPr="000A0A5F" w:rsidRDefault="00CB0DD7">
            <w:pPr>
              <w:pStyle w:val="TAL"/>
            </w:pPr>
            <w:r w:rsidRPr="000A0A5F">
              <w:t>Temporary redirection, during subscription termination. The response shall include a Location header field containing an alternative URI of the resource located in an alternative SCEF.</w:t>
            </w:r>
          </w:p>
          <w:p w:rsidR="00CB0DD7" w:rsidRPr="000A0A5F" w:rsidRDefault="00CB0DD7">
            <w:pPr>
              <w:pStyle w:val="TAL"/>
            </w:pPr>
            <w:r w:rsidRPr="000A0A5F">
              <w:t>Redirection handling is described in clause 5.2.10.</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lang w:eastAsia="zh-CN"/>
              </w:rPr>
            </w:pPr>
            <w:r w:rsidRPr="000A0A5F">
              <w:t>none</w:t>
            </w:r>
          </w:p>
        </w:tc>
        <w:tc>
          <w:tcPr>
            <w:tcW w:w="541" w:type="pct"/>
          </w:tcPr>
          <w:p w:rsidR="00CB0DD7" w:rsidRPr="000A0A5F" w:rsidRDefault="00CB0DD7">
            <w:pPr>
              <w:pStyle w:val="TAL"/>
              <w:rPr>
                <w:rFonts w:hint="eastAsia"/>
                <w:lang w:eastAsia="zh-CN"/>
              </w:rPr>
            </w:pPr>
          </w:p>
        </w:tc>
        <w:tc>
          <w:tcPr>
            <w:tcW w:w="500" w:type="pct"/>
          </w:tcPr>
          <w:p w:rsidR="00CB0DD7" w:rsidRPr="000A0A5F" w:rsidRDefault="00CB0DD7">
            <w:pPr>
              <w:pStyle w:val="TAL"/>
              <w:rPr>
                <w:rFonts w:hint="eastAsia"/>
                <w:lang w:eastAsia="zh-CN"/>
              </w:rPr>
            </w:pPr>
            <w:r w:rsidRPr="000A0A5F">
              <w:t>308 Permanent Redirect</w:t>
            </w:r>
          </w:p>
        </w:tc>
        <w:tc>
          <w:tcPr>
            <w:tcW w:w="2334" w:type="pct"/>
          </w:tcPr>
          <w:p w:rsidR="00CB0DD7" w:rsidRPr="000A0A5F" w:rsidRDefault="00CB0DD7">
            <w:pPr>
              <w:pStyle w:val="TAL"/>
            </w:pPr>
            <w:r w:rsidRPr="000A0A5F">
              <w:t>Permanent redirection, during subscription termination. The response shall include a Location header field containing an alternative URI of the resource located in an alternative SCEF.</w:t>
            </w:r>
          </w:p>
          <w:p w:rsidR="00CB0DD7" w:rsidRPr="000A0A5F" w:rsidRDefault="00CB0DD7">
            <w:pPr>
              <w:pStyle w:val="TAL"/>
            </w:pPr>
            <w:r w:rsidRPr="000A0A5F">
              <w:t>Redirection handling is described in clause 5.2.10.</w:t>
            </w:r>
          </w:p>
        </w:tc>
      </w:tr>
      <w:tr w:rsidR="00CB0DD7" w:rsidRPr="000A0A5F" w:rsidTr="00FF0AF8">
        <w:tc>
          <w:tcPr>
            <w:tcW w:w="5000" w:type="pct"/>
            <w:gridSpan w:val="5"/>
            <w:shd w:val="clear" w:color="auto" w:fill="auto"/>
            <w:vAlign w:val="center"/>
          </w:tcPr>
          <w:p w:rsidR="00CB0DD7" w:rsidRPr="000A0A5F" w:rsidRDefault="00CB0DD7">
            <w:pPr>
              <w:pStyle w:val="TAN"/>
            </w:pPr>
            <w:r w:rsidRPr="000A0A5F">
              <w:t>NOTE:</w:t>
            </w:r>
            <w:r w:rsidRPr="000A0A5F">
              <w:tab/>
              <w:t>The mandatory HTTP error status codes for the DELETE method listed in table 5.2.6-1 also apply.</w:t>
            </w:r>
          </w:p>
        </w:tc>
      </w:tr>
    </w:tbl>
    <w:p w:rsidR="00CB0DD7" w:rsidRPr="000A0A5F" w:rsidRDefault="00CB0DD7"/>
    <w:p w:rsidR="00CB0DD7" w:rsidRPr="000A0A5F" w:rsidRDefault="00B004CD">
      <w:pPr>
        <w:pStyle w:val="TH"/>
      </w:pPr>
      <w:r w:rsidRPr="000A0A5F">
        <w:t>Table </w:t>
      </w:r>
      <w:r w:rsidR="00CB0DD7" w:rsidRPr="000A0A5F">
        <w:t>5.3.3.3.3.5-3: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B004CD">
      <w:pPr>
        <w:pStyle w:val="TH"/>
      </w:pPr>
      <w:r w:rsidRPr="000A0A5F">
        <w:t>Table </w:t>
      </w:r>
      <w:r w:rsidR="00CB0DD7" w:rsidRPr="000A0A5F">
        <w:t>5.3.3.3.3.5-4: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CB0DD7">
      <w:pPr>
        <w:pStyle w:val="Heading4"/>
      </w:pPr>
      <w:bookmarkStart w:id="2382" w:name="_Toc11247352"/>
      <w:bookmarkStart w:id="2383" w:name="_Toc27044474"/>
      <w:bookmarkStart w:id="2384" w:name="_Toc36033516"/>
      <w:bookmarkStart w:id="2385" w:name="_Toc45131648"/>
      <w:bookmarkStart w:id="2386" w:name="_Toc49775933"/>
      <w:bookmarkStart w:id="2387" w:name="_Toc51746853"/>
      <w:bookmarkStart w:id="2388" w:name="_Toc66360398"/>
      <w:bookmarkStart w:id="2389" w:name="_Toc68104903"/>
      <w:bookmarkStart w:id="2390" w:name="_Toc74755533"/>
      <w:bookmarkStart w:id="2391" w:name="_Toc105674400"/>
      <w:bookmarkStart w:id="2392" w:name="_Toc130502440"/>
      <w:bookmarkStart w:id="2393" w:name="_Toc153625227"/>
      <w:r w:rsidRPr="000A0A5F">
        <w:t>5.3.3.4</w:t>
      </w:r>
      <w:r w:rsidRPr="000A0A5F">
        <w:tab/>
        <w:t>Void</w:t>
      </w:r>
      <w:bookmarkEnd w:id="2382"/>
      <w:bookmarkEnd w:id="2383"/>
      <w:bookmarkEnd w:id="2384"/>
      <w:bookmarkEnd w:id="2385"/>
      <w:bookmarkEnd w:id="2386"/>
      <w:bookmarkEnd w:id="2387"/>
      <w:bookmarkEnd w:id="2388"/>
      <w:bookmarkEnd w:id="2389"/>
      <w:bookmarkEnd w:id="2390"/>
      <w:bookmarkEnd w:id="2391"/>
      <w:bookmarkEnd w:id="2392"/>
      <w:bookmarkEnd w:id="2393"/>
    </w:p>
    <w:p w:rsidR="00CB0DD7" w:rsidRPr="000A0A5F" w:rsidRDefault="00CB0DD7">
      <w:pPr>
        <w:rPr>
          <w:rFonts w:hint="eastAsia"/>
          <w:lang w:eastAsia="zh-CN"/>
        </w:rPr>
      </w:pPr>
    </w:p>
    <w:p w:rsidR="00CB0DD7" w:rsidRPr="000A0A5F" w:rsidRDefault="00CB0DD7">
      <w:pPr>
        <w:pStyle w:val="Heading3"/>
      </w:pPr>
      <w:bookmarkStart w:id="2394" w:name="_Toc66360399"/>
      <w:bookmarkStart w:id="2395" w:name="_Toc68104904"/>
      <w:bookmarkStart w:id="2396" w:name="_Toc74755534"/>
      <w:bookmarkStart w:id="2397" w:name="_Toc105674401"/>
      <w:bookmarkStart w:id="2398" w:name="_Toc130502441"/>
      <w:bookmarkStart w:id="2399" w:name="_Toc153625228"/>
      <w:r w:rsidRPr="000A0A5F">
        <w:t>5.3.</w:t>
      </w:r>
      <w:r w:rsidR="00FF0AF8" w:rsidRPr="000A0A5F">
        <w:t>3A</w:t>
      </w:r>
      <w:r w:rsidRPr="000A0A5F">
        <w:tab/>
        <w:t>Notifications</w:t>
      </w:r>
      <w:bookmarkEnd w:id="2394"/>
      <w:bookmarkEnd w:id="2395"/>
      <w:bookmarkEnd w:id="2396"/>
      <w:bookmarkEnd w:id="2397"/>
      <w:bookmarkEnd w:id="2398"/>
      <w:bookmarkEnd w:id="2399"/>
    </w:p>
    <w:p w:rsidR="00CB0DD7" w:rsidRPr="000A0A5F" w:rsidRDefault="00CB0DD7">
      <w:pPr>
        <w:pStyle w:val="Heading4"/>
      </w:pPr>
      <w:bookmarkStart w:id="2400" w:name="_Toc66360400"/>
      <w:bookmarkStart w:id="2401" w:name="_Toc68104905"/>
      <w:bookmarkStart w:id="2402" w:name="_Toc74755535"/>
      <w:bookmarkStart w:id="2403" w:name="_Toc105674402"/>
      <w:bookmarkStart w:id="2404" w:name="_Toc130502442"/>
      <w:bookmarkStart w:id="2405" w:name="_Toc153625229"/>
      <w:r w:rsidRPr="000A0A5F">
        <w:t>5.3.</w:t>
      </w:r>
      <w:r w:rsidR="00FF0AF8" w:rsidRPr="000A0A5F">
        <w:t>3A</w:t>
      </w:r>
      <w:r w:rsidRPr="000A0A5F">
        <w:t>.1</w:t>
      </w:r>
      <w:r w:rsidRPr="000A0A5F">
        <w:tab/>
        <w:t>General</w:t>
      </w:r>
      <w:bookmarkEnd w:id="2400"/>
      <w:bookmarkEnd w:id="2401"/>
      <w:bookmarkEnd w:id="2402"/>
      <w:bookmarkEnd w:id="2403"/>
      <w:bookmarkEnd w:id="2404"/>
      <w:bookmarkEnd w:id="2405"/>
    </w:p>
    <w:p w:rsidR="00CB0DD7" w:rsidRPr="000A0A5F" w:rsidRDefault="00CB0DD7">
      <w:r w:rsidRPr="000A0A5F">
        <w:t>The notifications provided by the MonitoringEvent API are specified in this clause.</w:t>
      </w:r>
    </w:p>
    <w:p w:rsidR="00CB0DD7" w:rsidRPr="000A0A5F" w:rsidRDefault="00B004CD">
      <w:pPr>
        <w:pStyle w:val="TH"/>
      </w:pPr>
      <w:r w:rsidRPr="000A0A5F">
        <w:t>Table </w:t>
      </w:r>
      <w:r w:rsidR="00CB0DD7" w:rsidRPr="000A0A5F">
        <w:t>5.3.</w:t>
      </w:r>
      <w:r w:rsidR="00FF0AF8" w:rsidRPr="000A0A5F">
        <w:t>3A</w:t>
      </w:r>
      <w:r w:rsidR="00CB0DD7" w:rsidRPr="000A0A5F">
        <w:t>-1: Notifications overview</w:t>
      </w:r>
    </w:p>
    <w:tbl>
      <w:tblPr>
        <w:tblW w:w="4484"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1913"/>
        <w:gridCol w:w="3655"/>
        <w:gridCol w:w="1243"/>
        <w:gridCol w:w="1957"/>
      </w:tblGrid>
      <w:tr w:rsidR="00CB0DD7" w:rsidRPr="000A0A5F" w:rsidTr="00E37664">
        <w:trPr>
          <w:jc w:val="center"/>
        </w:trPr>
        <w:tc>
          <w:tcPr>
            <w:tcW w:w="1091" w:type="pct"/>
            <w:shd w:val="clear" w:color="auto" w:fill="C0C0C0"/>
            <w:vAlign w:val="center"/>
            <w:hideMark/>
          </w:tcPr>
          <w:p w:rsidR="00CB0DD7" w:rsidRPr="000A0A5F" w:rsidRDefault="00CB0DD7">
            <w:pPr>
              <w:pStyle w:val="TAH"/>
            </w:pPr>
            <w:r w:rsidRPr="000A0A5F">
              <w:t>Notification</w:t>
            </w:r>
          </w:p>
        </w:tc>
        <w:tc>
          <w:tcPr>
            <w:tcW w:w="2084" w:type="pct"/>
            <w:shd w:val="clear" w:color="auto" w:fill="C0C0C0"/>
            <w:vAlign w:val="center"/>
            <w:hideMark/>
          </w:tcPr>
          <w:p w:rsidR="00CB0DD7" w:rsidRPr="000A0A5F" w:rsidRDefault="00CB0DD7">
            <w:pPr>
              <w:pStyle w:val="TAH"/>
            </w:pPr>
            <w:r w:rsidRPr="000A0A5F">
              <w:t>Callback URI</w:t>
            </w:r>
          </w:p>
        </w:tc>
        <w:tc>
          <w:tcPr>
            <w:tcW w:w="709" w:type="pct"/>
            <w:shd w:val="clear" w:color="auto" w:fill="C0C0C0"/>
            <w:vAlign w:val="center"/>
            <w:hideMark/>
          </w:tcPr>
          <w:p w:rsidR="00CB0DD7" w:rsidRPr="000A0A5F" w:rsidRDefault="00CB0DD7">
            <w:pPr>
              <w:pStyle w:val="TAH"/>
            </w:pPr>
            <w:r w:rsidRPr="000A0A5F">
              <w:t>HTTP method or custom operation</w:t>
            </w:r>
          </w:p>
        </w:tc>
        <w:tc>
          <w:tcPr>
            <w:tcW w:w="1116" w:type="pct"/>
            <w:shd w:val="clear" w:color="auto" w:fill="C0C0C0"/>
            <w:vAlign w:val="center"/>
            <w:hideMark/>
          </w:tcPr>
          <w:p w:rsidR="00CB0DD7" w:rsidRPr="000A0A5F" w:rsidRDefault="00CB0DD7">
            <w:pPr>
              <w:pStyle w:val="TAH"/>
            </w:pPr>
            <w:r w:rsidRPr="000A0A5F">
              <w:t>Description</w:t>
            </w:r>
          </w:p>
          <w:p w:rsidR="00CB0DD7" w:rsidRPr="000A0A5F" w:rsidRDefault="00CB0DD7">
            <w:pPr>
              <w:pStyle w:val="TAH"/>
            </w:pPr>
            <w:r w:rsidRPr="000A0A5F">
              <w:t>(service operation)</w:t>
            </w:r>
          </w:p>
        </w:tc>
      </w:tr>
      <w:tr w:rsidR="00CB0DD7" w:rsidRPr="000A0A5F" w:rsidTr="00E37664">
        <w:trPr>
          <w:jc w:val="center"/>
        </w:trPr>
        <w:tc>
          <w:tcPr>
            <w:tcW w:w="1091" w:type="pct"/>
          </w:tcPr>
          <w:p w:rsidR="00CB0DD7" w:rsidRPr="000A0A5F" w:rsidRDefault="00CB0DD7">
            <w:pPr>
              <w:pStyle w:val="TAC"/>
              <w:jc w:val="left"/>
              <w:rPr>
                <w:lang w:val="en-US"/>
              </w:rPr>
            </w:pPr>
            <w:r w:rsidRPr="000A0A5F">
              <w:rPr>
                <w:lang w:eastAsia="zh-CN"/>
              </w:rPr>
              <w:t xml:space="preserve">Monitoring </w:t>
            </w:r>
            <w:r w:rsidRPr="000A0A5F">
              <w:rPr>
                <w:rFonts w:hint="eastAsia"/>
                <w:lang w:eastAsia="zh-CN"/>
              </w:rPr>
              <w:t>Notification</w:t>
            </w:r>
          </w:p>
        </w:tc>
        <w:tc>
          <w:tcPr>
            <w:tcW w:w="2084" w:type="pct"/>
          </w:tcPr>
          <w:p w:rsidR="00CB0DD7" w:rsidRPr="000A0A5F" w:rsidRDefault="00CB0DD7">
            <w:pPr>
              <w:pStyle w:val="TAL"/>
              <w:rPr>
                <w:lang w:val="en-US"/>
              </w:rPr>
            </w:pPr>
            <w:r w:rsidRPr="000A0A5F">
              <w:rPr>
                <w:rFonts w:hint="eastAsia"/>
                <w:lang w:eastAsia="zh-CN"/>
              </w:rPr>
              <w:t>{notificationDestination</w:t>
            </w:r>
            <w:r w:rsidRPr="000A0A5F">
              <w:rPr>
                <w:lang w:eastAsia="zh-CN"/>
              </w:rPr>
              <w:t>}</w:t>
            </w:r>
          </w:p>
        </w:tc>
        <w:tc>
          <w:tcPr>
            <w:tcW w:w="709" w:type="pct"/>
          </w:tcPr>
          <w:p w:rsidR="00CB0DD7" w:rsidRPr="000A0A5F" w:rsidRDefault="00CB0DD7">
            <w:pPr>
              <w:pStyle w:val="TAC"/>
              <w:rPr>
                <w:lang w:val="fr-FR"/>
              </w:rPr>
            </w:pPr>
            <w:r w:rsidRPr="000A0A5F">
              <w:rPr>
                <w:rFonts w:hint="eastAsia"/>
                <w:lang w:eastAsia="zh-CN"/>
              </w:rPr>
              <w:t>POST</w:t>
            </w:r>
          </w:p>
        </w:tc>
        <w:tc>
          <w:tcPr>
            <w:tcW w:w="1116" w:type="pct"/>
          </w:tcPr>
          <w:p w:rsidR="00CB0DD7" w:rsidRPr="000A0A5F" w:rsidRDefault="00CB0DD7">
            <w:pPr>
              <w:pStyle w:val="TAL"/>
              <w:rPr>
                <w:lang w:val="en-US"/>
              </w:rPr>
            </w:pPr>
            <w:r w:rsidRPr="000A0A5F">
              <w:rPr>
                <w:lang w:eastAsia="zh-CN"/>
              </w:rPr>
              <w:t xml:space="preserve">Sent from the SCEF to the SCS/AS about the notification of grouping configuration result, </w:t>
            </w:r>
            <w:r w:rsidRPr="000A0A5F">
              <w:rPr>
                <w:rFonts w:hint="eastAsia"/>
                <w:lang w:eastAsia="zh-CN"/>
              </w:rPr>
              <w:t xml:space="preserve">detected </w:t>
            </w:r>
            <w:r w:rsidRPr="000A0A5F">
              <w:rPr>
                <w:lang w:eastAsia="zh-CN"/>
              </w:rPr>
              <w:t>monitoring event report(s) or notify the SCS/AS to cancel a monitoring subscription</w:t>
            </w:r>
          </w:p>
        </w:tc>
      </w:tr>
      <w:tr w:rsidR="00E37664" w:rsidRPr="000A0A5F" w:rsidTr="00E37664">
        <w:trPr>
          <w:jc w:val="center"/>
        </w:trPr>
        <w:tc>
          <w:tcPr>
            <w:tcW w:w="1091" w:type="pct"/>
          </w:tcPr>
          <w:p w:rsidR="00E37664" w:rsidRPr="000A0A5F" w:rsidRDefault="00E37664" w:rsidP="00E37664">
            <w:pPr>
              <w:pStyle w:val="TAC"/>
              <w:jc w:val="left"/>
              <w:rPr>
                <w:lang w:eastAsia="zh-CN"/>
              </w:rPr>
            </w:pPr>
            <w:r w:rsidRPr="000A0A5F">
              <w:t>User Consent Revocation Notification</w:t>
            </w:r>
          </w:p>
        </w:tc>
        <w:tc>
          <w:tcPr>
            <w:tcW w:w="2084" w:type="pct"/>
          </w:tcPr>
          <w:p w:rsidR="00E37664" w:rsidRPr="000A0A5F" w:rsidRDefault="00E37664" w:rsidP="00E37664">
            <w:pPr>
              <w:pStyle w:val="TAL"/>
              <w:rPr>
                <w:rFonts w:hint="eastAsia"/>
                <w:lang w:eastAsia="zh-CN"/>
              </w:rPr>
            </w:pPr>
            <w:r w:rsidRPr="000A0A5F">
              <w:t>{revocationNotifUri}</w:t>
            </w:r>
          </w:p>
        </w:tc>
        <w:tc>
          <w:tcPr>
            <w:tcW w:w="709" w:type="pct"/>
          </w:tcPr>
          <w:p w:rsidR="00E37664" w:rsidRPr="000A0A5F" w:rsidRDefault="00E37664" w:rsidP="00E37664">
            <w:pPr>
              <w:pStyle w:val="TAC"/>
              <w:rPr>
                <w:rFonts w:hint="eastAsia"/>
                <w:lang w:eastAsia="zh-CN"/>
              </w:rPr>
            </w:pPr>
            <w:r w:rsidRPr="000A0A5F">
              <w:rPr>
                <w:noProof/>
              </w:rPr>
              <w:t>POST</w:t>
            </w:r>
          </w:p>
        </w:tc>
        <w:tc>
          <w:tcPr>
            <w:tcW w:w="1116" w:type="pct"/>
          </w:tcPr>
          <w:p w:rsidR="00E37664" w:rsidRPr="000A0A5F" w:rsidRDefault="00E37664" w:rsidP="00E37664">
            <w:pPr>
              <w:pStyle w:val="TAL"/>
              <w:rPr>
                <w:lang w:eastAsia="zh-CN"/>
              </w:rPr>
            </w:pPr>
            <w:r w:rsidRPr="000A0A5F">
              <w:rPr>
                <w:noProof/>
              </w:rPr>
              <w:t>The user consent revocation notification from the NEF to the AF to inform about the revocation of user consent for one or several UE(s).</w:t>
            </w:r>
          </w:p>
        </w:tc>
      </w:tr>
    </w:tbl>
    <w:p w:rsidR="00CB0DD7" w:rsidRPr="000A0A5F" w:rsidRDefault="00CB0DD7"/>
    <w:p w:rsidR="00CB0DD7" w:rsidRPr="000A0A5F" w:rsidRDefault="00CB0DD7">
      <w:pPr>
        <w:pStyle w:val="Heading4"/>
      </w:pPr>
      <w:bookmarkStart w:id="2406" w:name="_Toc35971421"/>
      <w:bookmarkStart w:id="2407" w:name="_Toc36812152"/>
      <w:bookmarkStart w:id="2408" w:name="_Toc66360401"/>
      <w:bookmarkStart w:id="2409" w:name="_Toc68104906"/>
      <w:bookmarkStart w:id="2410" w:name="_Toc74755536"/>
      <w:bookmarkStart w:id="2411" w:name="_Toc105674403"/>
      <w:bookmarkStart w:id="2412" w:name="_Toc130502443"/>
      <w:bookmarkStart w:id="2413" w:name="_Toc153625230"/>
      <w:r w:rsidRPr="000A0A5F">
        <w:t>5.3.</w:t>
      </w:r>
      <w:r w:rsidR="00FF0AF8" w:rsidRPr="000A0A5F">
        <w:t>3A</w:t>
      </w:r>
      <w:r w:rsidRPr="000A0A5F">
        <w:t>.2</w:t>
      </w:r>
      <w:r w:rsidRPr="000A0A5F">
        <w:tab/>
      </w:r>
      <w:bookmarkEnd w:id="2406"/>
      <w:bookmarkEnd w:id="2407"/>
      <w:r w:rsidRPr="000A0A5F">
        <w:t>Monitoring Notification</w:t>
      </w:r>
      <w:bookmarkEnd w:id="2408"/>
      <w:bookmarkEnd w:id="2409"/>
      <w:bookmarkEnd w:id="2410"/>
      <w:bookmarkEnd w:id="2411"/>
      <w:bookmarkEnd w:id="2412"/>
      <w:bookmarkEnd w:id="2413"/>
    </w:p>
    <w:p w:rsidR="00CB0DD7" w:rsidRPr="000A0A5F" w:rsidRDefault="00CB0DD7">
      <w:pPr>
        <w:pStyle w:val="Heading5"/>
        <w:rPr>
          <w:noProof/>
        </w:rPr>
      </w:pPr>
      <w:bookmarkStart w:id="2414" w:name="_Toc532994455"/>
      <w:bookmarkStart w:id="2415" w:name="_Toc35971422"/>
      <w:bookmarkStart w:id="2416" w:name="_Toc36812153"/>
      <w:bookmarkStart w:id="2417" w:name="_Toc66360402"/>
      <w:bookmarkStart w:id="2418" w:name="_Toc68104907"/>
      <w:bookmarkStart w:id="2419" w:name="_Toc74755537"/>
      <w:bookmarkStart w:id="2420" w:name="_Toc105674404"/>
      <w:bookmarkStart w:id="2421" w:name="_Toc130502444"/>
      <w:bookmarkStart w:id="2422" w:name="_Toc153625231"/>
      <w:r w:rsidRPr="000A0A5F">
        <w:t>5.3.</w:t>
      </w:r>
      <w:r w:rsidR="00FF0AF8" w:rsidRPr="000A0A5F">
        <w:t>3A</w:t>
      </w:r>
      <w:r w:rsidRPr="000A0A5F">
        <w:t>.2</w:t>
      </w:r>
      <w:r w:rsidRPr="000A0A5F">
        <w:rPr>
          <w:noProof/>
        </w:rPr>
        <w:t>.1</w:t>
      </w:r>
      <w:r w:rsidRPr="000A0A5F">
        <w:rPr>
          <w:noProof/>
        </w:rPr>
        <w:tab/>
        <w:t>Description</w:t>
      </w:r>
      <w:bookmarkEnd w:id="2414"/>
      <w:bookmarkEnd w:id="2415"/>
      <w:bookmarkEnd w:id="2416"/>
      <w:bookmarkEnd w:id="2417"/>
      <w:bookmarkEnd w:id="2418"/>
      <w:bookmarkEnd w:id="2419"/>
      <w:bookmarkEnd w:id="2420"/>
      <w:bookmarkEnd w:id="2421"/>
      <w:bookmarkEnd w:id="2422"/>
    </w:p>
    <w:p w:rsidR="00CB0DD7" w:rsidRPr="000A0A5F" w:rsidRDefault="00CB0DD7">
      <w:pPr>
        <w:rPr>
          <w:noProof/>
          <w:lang w:eastAsia="zh-CN"/>
        </w:rPr>
      </w:pPr>
      <w:bookmarkStart w:id="2423" w:name="_Toc532994456"/>
      <w:bookmarkStart w:id="2424" w:name="_Toc35971423"/>
      <w:bookmarkStart w:id="2425" w:name="_Toc36812154"/>
      <w:r w:rsidRPr="000A0A5F">
        <w:rPr>
          <w:noProof/>
          <w:lang w:eastAsia="zh-CN"/>
        </w:rPr>
        <w:t>The Monitoring Notification allows t</w:t>
      </w:r>
      <w:r w:rsidRPr="000A0A5F">
        <w:rPr>
          <w:rFonts w:hint="eastAsia"/>
          <w:noProof/>
          <w:lang w:eastAsia="zh-CN"/>
        </w:rPr>
        <w:t xml:space="preserve">he </w:t>
      </w:r>
      <w:r w:rsidRPr="000A0A5F">
        <w:rPr>
          <w:noProof/>
          <w:lang w:eastAsia="zh-CN"/>
        </w:rPr>
        <w:t xml:space="preserve">SCEF to send notification about grouping configuration result, monitoring event report(s) or a monitoring subscription cancellation to the </w:t>
      </w:r>
      <w:r w:rsidRPr="000A0A5F">
        <w:rPr>
          <w:rFonts w:hint="eastAsia"/>
          <w:noProof/>
          <w:lang w:eastAsia="zh-CN"/>
        </w:rPr>
        <w:t>SCS/AS</w:t>
      </w:r>
      <w:r w:rsidRPr="000A0A5F">
        <w:rPr>
          <w:noProof/>
          <w:lang w:eastAsia="zh-CN"/>
        </w:rPr>
        <w:t xml:space="preserve">. </w:t>
      </w:r>
    </w:p>
    <w:p w:rsidR="00CB0DD7" w:rsidRPr="000A0A5F" w:rsidRDefault="00CB0DD7">
      <w:pPr>
        <w:pStyle w:val="Heading5"/>
        <w:rPr>
          <w:noProof/>
        </w:rPr>
      </w:pPr>
      <w:bookmarkStart w:id="2426" w:name="_Toc66360403"/>
      <w:bookmarkStart w:id="2427" w:name="_Toc68104908"/>
      <w:bookmarkStart w:id="2428" w:name="_Toc74755538"/>
      <w:bookmarkStart w:id="2429" w:name="_Toc105674405"/>
      <w:bookmarkStart w:id="2430" w:name="_Toc130502445"/>
      <w:bookmarkStart w:id="2431" w:name="_Toc153625232"/>
      <w:r w:rsidRPr="000A0A5F">
        <w:t>5.3.</w:t>
      </w:r>
      <w:r w:rsidR="00FF0AF8" w:rsidRPr="000A0A5F">
        <w:t>3A</w:t>
      </w:r>
      <w:r w:rsidRPr="000A0A5F">
        <w:t>.2</w:t>
      </w:r>
      <w:r w:rsidRPr="000A0A5F">
        <w:rPr>
          <w:noProof/>
        </w:rPr>
        <w:t>.2</w:t>
      </w:r>
      <w:r w:rsidRPr="000A0A5F">
        <w:rPr>
          <w:noProof/>
        </w:rPr>
        <w:tab/>
        <w:t>Target URI</w:t>
      </w:r>
      <w:bookmarkEnd w:id="2423"/>
      <w:bookmarkEnd w:id="2424"/>
      <w:bookmarkEnd w:id="2425"/>
      <w:bookmarkEnd w:id="2426"/>
      <w:bookmarkEnd w:id="2427"/>
      <w:bookmarkEnd w:id="2428"/>
      <w:bookmarkEnd w:id="2429"/>
      <w:bookmarkEnd w:id="2430"/>
      <w:bookmarkEnd w:id="2431"/>
    </w:p>
    <w:p w:rsidR="00CB0DD7" w:rsidRPr="000A0A5F" w:rsidRDefault="00CB0DD7">
      <w:pPr>
        <w:rPr>
          <w:rFonts w:ascii="Arial" w:hAnsi="Arial" w:cs="Arial"/>
          <w:noProof/>
        </w:rPr>
      </w:pPr>
      <w:r w:rsidRPr="000A0A5F">
        <w:rPr>
          <w:noProof/>
        </w:rPr>
        <w:t xml:space="preserve">The Callback URI </w:t>
      </w:r>
      <w:r w:rsidRPr="000A0A5F">
        <w:rPr>
          <w:b/>
          <w:noProof/>
        </w:rPr>
        <w:t>"{</w:t>
      </w:r>
      <w:r w:rsidRPr="000A0A5F">
        <w:rPr>
          <w:lang w:eastAsia="zh-CN"/>
        </w:rPr>
        <w:t>n</w:t>
      </w:r>
      <w:r w:rsidRPr="000A0A5F">
        <w:rPr>
          <w:rFonts w:hint="eastAsia"/>
          <w:lang w:eastAsia="zh-CN"/>
        </w:rPr>
        <w:t>otificationDestination</w:t>
      </w:r>
      <w:r w:rsidRPr="000A0A5F">
        <w:rPr>
          <w:b/>
          <w:noProof/>
        </w:rPr>
        <w:t>}"</w:t>
      </w:r>
      <w:r w:rsidRPr="000A0A5F">
        <w:rPr>
          <w:noProof/>
        </w:rPr>
        <w:t xml:space="preserve"> shall be used with the callback URI variables defined in table </w:t>
      </w:r>
      <w:r w:rsidRPr="000A0A5F">
        <w:t>5.3.</w:t>
      </w:r>
      <w:r w:rsidR="00FF0AF8" w:rsidRPr="000A0A5F">
        <w:t>3A</w:t>
      </w:r>
      <w:r w:rsidRPr="000A0A5F">
        <w:t>.2</w:t>
      </w:r>
      <w:r w:rsidRPr="000A0A5F">
        <w:rPr>
          <w:noProof/>
        </w:rPr>
        <w:t>.2-1</w:t>
      </w:r>
      <w:r w:rsidRPr="000A0A5F">
        <w:rPr>
          <w:rFonts w:ascii="Arial" w:hAnsi="Arial" w:cs="Arial"/>
          <w:noProof/>
        </w:rPr>
        <w:t>.</w:t>
      </w:r>
    </w:p>
    <w:p w:rsidR="00CB0DD7" w:rsidRPr="000A0A5F" w:rsidRDefault="00CB0DD7">
      <w:pPr>
        <w:pStyle w:val="TH"/>
        <w:rPr>
          <w:rFonts w:cs="Arial"/>
          <w:noProof/>
        </w:rPr>
      </w:pPr>
      <w:r w:rsidRPr="000A0A5F">
        <w:rPr>
          <w:noProof/>
        </w:rPr>
        <w:t>Table </w:t>
      </w:r>
      <w:r w:rsidRPr="000A0A5F">
        <w:t>5.3.</w:t>
      </w:r>
      <w:r w:rsidR="00FF0AF8" w:rsidRPr="000A0A5F">
        <w:t>3A</w:t>
      </w:r>
      <w:r w:rsidRPr="000A0A5F">
        <w:t>.2</w:t>
      </w:r>
      <w:r w:rsidRPr="000A0A5F">
        <w:rPr>
          <w:noProof/>
        </w:rPr>
        <w:t>.2-1: Callback URI variables</w:t>
      </w:r>
    </w:p>
    <w:tbl>
      <w:tblPr>
        <w:tblW w:w="494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970"/>
        <w:gridCol w:w="1312"/>
        <w:gridCol w:w="6378"/>
      </w:tblGrid>
      <w:tr w:rsidR="00CB0DD7" w:rsidRPr="000A0A5F" w:rsidTr="00FF0AF8">
        <w:trPr>
          <w:jc w:val="center"/>
        </w:trPr>
        <w:tc>
          <w:tcPr>
            <w:tcW w:w="1020" w:type="pct"/>
            <w:shd w:val="clear" w:color="000000" w:fill="C0C0C0"/>
          </w:tcPr>
          <w:p w:rsidR="00CB0DD7" w:rsidRPr="000A0A5F" w:rsidRDefault="00CB0DD7">
            <w:pPr>
              <w:pStyle w:val="TAH"/>
            </w:pPr>
            <w:r w:rsidRPr="000A0A5F">
              <w:t>Name</w:t>
            </w:r>
          </w:p>
        </w:tc>
        <w:tc>
          <w:tcPr>
            <w:tcW w:w="679" w:type="pct"/>
            <w:shd w:val="clear" w:color="000000" w:fill="C0C0C0"/>
          </w:tcPr>
          <w:p w:rsidR="00CB0DD7" w:rsidRPr="000A0A5F" w:rsidRDefault="00CB0DD7">
            <w:pPr>
              <w:pStyle w:val="TAH"/>
            </w:pPr>
            <w:r w:rsidRPr="000A0A5F">
              <w:rPr>
                <w:rFonts w:hint="eastAsia"/>
                <w:lang w:eastAsia="zh-CN"/>
              </w:rPr>
              <w:t>D</w:t>
            </w:r>
            <w:r w:rsidRPr="000A0A5F">
              <w:rPr>
                <w:lang w:eastAsia="zh-CN"/>
              </w:rPr>
              <w:t>ata type</w:t>
            </w:r>
          </w:p>
        </w:tc>
        <w:tc>
          <w:tcPr>
            <w:tcW w:w="3301" w:type="pct"/>
            <w:shd w:val="clear" w:color="000000" w:fill="C0C0C0"/>
            <w:vAlign w:val="center"/>
          </w:tcPr>
          <w:p w:rsidR="00CB0DD7" w:rsidRPr="000A0A5F" w:rsidRDefault="00CB0DD7">
            <w:pPr>
              <w:pStyle w:val="TAH"/>
            </w:pPr>
            <w:r w:rsidRPr="000A0A5F">
              <w:t>Definition</w:t>
            </w:r>
          </w:p>
        </w:tc>
      </w:tr>
      <w:tr w:rsidR="00CB0DD7" w:rsidRPr="000A0A5F" w:rsidTr="00FF0AF8">
        <w:trPr>
          <w:jc w:val="center"/>
        </w:trPr>
        <w:tc>
          <w:tcPr>
            <w:tcW w:w="1020" w:type="pct"/>
            <w:shd w:val="clear" w:color="auto" w:fill="auto"/>
          </w:tcPr>
          <w:p w:rsidR="00CB0DD7" w:rsidRPr="000A0A5F" w:rsidRDefault="00CB0DD7">
            <w:pPr>
              <w:pStyle w:val="TAL"/>
              <w:rPr>
                <w:lang w:eastAsia="zh-CN"/>
              </w:rPr>
            </w:pPr>
            <w:r w:rsidRPr="000A0A5F">
              <w:rPr>
                <w:rFonts w:hint="eastAsia"/>
                <w:lang w:eastAsia="zh-CN"/>
              </w:rPr>
              <w:t>notificationDestination</w:t>
            </w:r>
          </w:p>
        </w:tc>
        <w:tc>
          <w:tcPr>
            <w:tcW w:w="679" w:type="pct"/>
          </w:tcPr>
          <w:p w:rsidR="00CB0DD7" w:rsidRPr="000A0A5F" w:rsidRDefault="00CB0DD7">
            <w:pPr>
              <w:pStyle w:val="TAL"/>
            </w:pPr>
            <w:r w:rsidRPr="000A0A5F">
              <w:rPr>
                <w:rFonts w:hint="eastAsia"/>
                <w:lang w:eastAsia="zh-CN"/>
              </w:rPr>
              <w:t>L</w:t>
            </w:r>
            <w:r w:rsidRPr="000A0A5F">
              <w:rPr>
                <w:lang w:eastAsia="zh-CN"/>
              </w:rPr>
              <w:t>ink</w:t>
            </w:r>
          </w:p>
        </w:tc>
        <w:tc>
          <w:tcPr>
            <w:tcW w:w="3301" w:type="pct"/>
            <w:shd w:val="clear" w:color="auto" w:fill="auto"/>
            <w:vAlign w:val="center"/>
          </w:tcPr>
          <w:p w:rsidR="00CB0DD7" w:rsidRPr="000A0A5F" w:rsidRDefault="00CB0DD7">
            <w:pPr>
              <w:pStyle w:val="TAL"/>
            </w:pPr>
            <w:r w:rsidRPr="000A0A5F">
              <w:t>Callback reference provided by the SCS/AS during creation or modification of the monitoring event subscription.</w:t>
            </w:r>
          </w:p>
        </w:tc>
      </w:tr>
    </w:tbl>
    <w:p w:rsidR="00CB0DD7" w:rsidRPr="000A0A5F" w:rsidRDefault="00CB0DD7">
      <w:pPr>
        <w:rPr>
          <w:noProof/>
        </w:rPr>
      </w:pPr>
    </w:p>
    <w:p w:rsidR="00CB0DD7" w:rsidRPr="000A0A5F" w:rsidRDefault="00CB0DD7">
      <w:pPr>
        <w:pStyle w:val="Heading5"/>
        <w:rPr>
          <w:noProof/>
        </w:rPr>
      </w:pPr>
      <w:bookmarkStart w:id="2432" w:name="_Toc532994457"/>
      <w:bookmarkStart w:id="2433" w:name="_Toc35971424"/>
      <w:bookmarkStart w:id="2434" w:name="_Toc36812155"/>
      <w:bookmarkStart w:id="2435" w:name="_Toc66360404"/>
      <w:bookmarkStart w:id="2436" w:name="_Toc68104909"/>
      <w:bookmarkStart w:id="2437" w:name="_Toc74755539"/>
      <w:bookmarkStart w:id="2438" w:name="_Toc105674406"/>
      <w:bookmarkStart w:id="2439" w:name="_Toc130502446"/>
      <w:bookmarkStart w:id="2440" w:name="_Toc153625233"/>
      <w:r w:rsidRPr="000A0A5F">
        <w:t>5.3.</w:t>
      </w:r>
      <w:r w:rsidR="00FF0AF8" w:rsidRPr="000A0A5F">
        <w:t>3A</w:t>
      </w:r>
      <w:r w:rsidRPr="000A0A5F">
        <w:t>.2</w:t>
      </w:r>
      <w:r w:rsidRPr="000A0A5F">
        <w:rPr>
          <w:noProof/>
        </w:rPr>
        <w:t>.3</w:t>
      </w:r>
      <w:r w:rsidRPr="000A0A5F">
        <w:rPr>
          <w:noProof/>
        </w:rPr>
        <w:tab/>
        <w:t>Standard Methods</w:t>
      </w:r>
      <w:bookmarkEnd w:id="2432"/>
      <w:bookmarkEnd w:id="2433"/>
      <w:bookmarkEnd w:id="2434"/>
      <w:bookmarkEnd w:id="2435"/>
      <w:bookmarkEnd w:id="2436"/>
      <w:bookmarkEnd w:id="2437"/>
      <w:bookmarkEnd w:id="2438"/>
      <w:bookmarkEnd w:id="2439"/>
      <w:bookmarkEnd w:id="2440"/>
    </w:p>
    <w:p w:rsidR="00CB0DD7" w:rsidRPr="000A0A5F" w:rsidRDefault="00CB0DD7">
      <w:pPr>
        <w:pStyle w:val="Heading6"/>
        <w:rPr>
          <w:noProof/>
        </w:rPr>
      </w:pPr>
      <w:bookmarkStart w:id="2441" w:name="_Toc532994458"/>
      <w:bookmarkStart w:id="2442" w:name="_Toc35971425"/>
      <w:bookmarkStart w:id="2443" w:name="_Toc36812156"/>
      <w:bookmarkStart w:id="2444" w:name="_Toc66360405"/>
      <w:bookmarkStart w:id="2445" w:name="_Toc68104910"/>
      <w:bookmarkStart w:id="2446" w:name="_Toc74755540"/>
      <w:bookmarkStart w:id="2447" w:name="_Toc105674407"/>
      <w:bookmarkStart w:id="2448" w:name="_Toc130502447"/>
      <w:bookmarkStart w:id="2449" w:name="_Toc153625234"/>
      <w:r w:rsidRPr="000A0A5F">
        <w:t>5.3.</w:t>
      </w:r>
      <w:r w:rsidR="00FF0AF8" w:rsidRPr="000A0A5F">
        <w:t>3A</w:t>
      </w:r>
      <w:r w:rsidRPr="000A0A5F">
        <w:t>.2.3</w:t>
      </w:r>
      <w:r w:rsidRPr="000A0A5F">
        <w:rPr>
          <w:noProof/>
        </w:rPr>
        <w:t>.1</w:t>
      </w:r>
      <w:r w:rsidRPr="000A0A5F">
        <w:rPr>
          <w:noProof/>
        </w:rPr>
        <w:tab/>
      </w:r>
      <w:bookmarkEnd w:id="2441"/>
      <w:bookmarkEnd w:id="2442"/>
      <w:bookmarkEnd w:id="2443"/>
      <w:r w:rsidRPr="000A0A5F">
        <w:t>Notification via POST</w:t>
      </w:r>
      <w:bookmarkEnd w:id="2444"/>
      <w:bookmarkEnd w:id="2445"/>
      <w:bookmarkEnd w:id="2446"/>
      <w:bookmarkEnd w:id="2447"/>
      <w:bookmarkEnd w:id="2448"/>
      <w:bookmarkEnd w:id="2449"/>
    </w:p>
    <w:p w:rsidR="00CB0DD7" w:rsidRPr="000A0A5F" w:rsidRDefault="00CB0DD7">
      <w:pPr>
        <w:rPr>
          <w:noProof/>
          <w:lang w:eastAsia="zh-CN"/>
        </w:rPr>
      </w:pPr>
      <w:r w:rsidRPr="000A0A5F">
        <w:rPr>
          <w:noProof/>
          <w:lang w:eastAsia="zh-CN"/>
        </w:rPr>
        <w:t>The HTTP POST method reports the notification for a monitoring subscription. The SCEF shall initiate the HTTP POST request message and the SCS/AS shall respond to the message.</w:t>
      </w:r>
    </w:p>
    <w:p w:rsidR="00CB0DD7" w:rsidRPr="000A0A5F" w:rsidRDefault="00CB0DD7">
      <w:pPr>
        <w:rPr>
          <w:noProof/>
        </w:rPr>
      </w:pPr>
      <w:r w:rsidRPr="000A0A5F">
        <w:rPr>
          <w:noProof/>
        </w:rPr>
        <w:t>This method shall support the request data structures specified in table </w:t>
      </w:r>
      <w:r w:rsidRPr="000A0A5F">
        <w:t>5.3.</w:t>
      </w:r>
      <w:r w:rsidR="00FF0AF8" w:rsidRPr="000A0A5F">
        <w:t>3A</w:t>
      </w:r>
      <w:r w:rsidRPr="000A0A5F">
        <w:t>.2</w:t>
      </w:r>
      <w:r w:rsidRPr="000A0A5F">
        <w:rPr>
          <w:noProof/>
        </w:rPr>
        <w:t>.3.1-1 and the response data structures and response codes specified in table </w:t>
      </w:r>
      <w:r w:rsidRPr="000A0A5F">
        <w:t>5.3.</w:t>
      </w:r>
      <w:r w:rsidR="00FF0AF8" w:rsidRPr="000A0A5F">
        <w:t>3A</w:t>
      </w:r>
      <w:r w:rsidRPr="000A0A5F">
        <w:t>.2</w:t>
      </w:r>
      <w:r w:rsidRPr="000A0A5F">
        <w:rPr>
          <w:noProof/>
        </w:rPr>
        <w:t>.3.1-2.</w:t>
      </w:r>
    </w:p>
    <w:p w:rsidR="00CB0DD7" w:rsidRPr="000A0A5F" w:rsidRDefault="00CB0DD7">
      <w:pPr>
        <w:pStyle w:val="TH"/>
        <w:rPr>
          <w:noProof/>
        </w:rPr>
      </w:pPr>
      <w:r w:rsidRPr="000A0A5F">
        <w:rPr>
          <w:noProof/>
        </w:rPr>
        <w:t>Table </w:t>
      </w:r>
      <w:r w:rsidRPr="000A0A5F">
        <w:t>5.3.</w:t>
      </w:r>
      <w:r w:rsidR="00FF0AF8" w:rsidRPr="000A0A5F">
        <w:t>3A</w:t>
      </w:r>
      <w:r w:rsidRPr="000A0A5F">
        <w:t>.2</w:t>
      </w:r>
      <w:r w:rsidRPr="000A0A5F">
        <w:rPr>
          <w:noProof/>
        </w:rPr>
        <w:t>.3.1-1: Data structures supported by the POST Request Body</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3340"/>
        <w:gridCol w:w="1170"/>
        <w:gridCol w:w="5160"/>
      </w:tblGrid>
      <w:tr w:rsidR="00CB0DD7" w:rsidRPr="000A0A5F" w:rsidTr="00846044">
        <w:trPr>
          <w:jc w:val="center"/>
        </w:trPr>
        <w:tc>
          <w:tcPr>
            <w:tcW w:w="3340" w:type="dxa"/>
            <w:tcBorders>
              <w:bottom w:val="single" w:sz="6" w:space="0" w:color="auto"/>
            </w:tcBorders>
            <w:shd w:val="clear" w:color="auto" w:fill="C0C0C0"/>
            <w:hideMark/>
          </w:tcPr>
          <w:p w:rsidR="00CB0DD7" w:rsidRPr="000A0A5F" w:rsidRDefault="00CB0DD7">
            <w:pPr>
              <w:pStyle w:val="TAH"/>
              <w:rPr>
                <w:noProof/>
              </w:rPr>
            </w:pPr>
            <w:r w:rsidRPr="000A0A5F">
              <w:rPr>
                <w:noProof/>
              </w:rPr>
              <w:t>Data type</w:t>
            </w:r>
          </w:p>
        </w:tc>
        <w:tc>
          <w:tcPr>
            <w:tcW w:w="1170" w:type="dxa"/>
            <w:tcBorders>
              <w:bottom w:val="single" w:sz="6" w:space="0" w:color="auto"/>
            </w:tcBorders>
            <w:shd w:val="clear" w:color="auto" w:fill="C0C0C0"/>
            <w:hideMark/>
          </w:tcPr>
          <w:p w:rsidR="00CB0DD7" w:rsidRPr="000A0A5F" w:rsidRDefault="00CB0DD7">
            <w:pPr>
              <w:pStyle w:val="TAH"/>
              <w:rPr>
                <w:noProof/>
              </w:rPr>
            </w:pPr>
            <w:r w:rsidRPr="000A0A5F">
              <w:rPr>
                <w:noProof/>
              </w:rPr>
              <w:t>Cardinality</w:t>
            </w:r>
          </w:p>
        </w:tc>
        <w:tc>
          <w:tcPr>
            <w:tcW w:w="5160" w:type="dxa"/>
            <w:tcBorders>
              <w:bottom w:val="single" w:sz="6" w:space="0" w:color="auto"/>
            </w:tcBorders>
            <w:shd w:val="clear" w:color="auto" w:fill="C0C0C0"/>
            <w:vAlign w:val="center"/>
            <w:hideMark/>
          </w:tcPr>
          <w:p w:rsidR="00CB0DD7" w:rsidRPr="000A0A5F" w:rsidRDefault="00CB0DD7">
            <w:pPr>
              <w:pStyle w:val="TAH"/>
              <w:rPr>
                <w:noProof/>
              </w:rPr>
            </w:pPr>
            <w:r w:rsidRPr="000A0A5F">
              <w:rPr>
                <w:noProof/>
              </w:rPr>
              <w:t>Description</w:t>
            </w:r>
          </w:p>
        </w:tc>
      </w:tr>
      <w:tr w:rsidR="00CB0DD7" w:rsidRPr="000A0A5F" w:rsidTr="00846044">
        <w:trPr>
          <w:jc w:val="center"/>
        </w:trPr>
        <w:tc>
          <w:tcPr>
            <w:tcW w:w="3340" w:type="dxa"/>
            <w:tcBorders>
              <w:top w:val="single" w:sz="6" w:space="0" w:color="auto"/>
            </w:tcBorders>
          </w:tcPr>
          <w:p w:rsidR="00CB0DD7" w:rsidRPr="000A0A5F" w:rsidRDefault="00CB0DD7">
            <w:pPr>
              <w:pStyle w:val="TAL"/>
              <w:rPr>
                <w:noProof/>
              </w:rPr>
            </w:pPr>
            <w:r w:rsidRPr="000A0A5F">
              <w:t>MonitoringNotification</w:t>
            </w:r>
          </w:p>
        </w:tc>
        <w:tc>
          <w:tcPr>
            <w:tcW w:w="1170" w:type="dxa"/>
            <w:tcBorders>
              <w:top w:val="single" w:sz="6" w:space="0" w:color="auto"/>
            </w:tcBorders>
          </w:tcPr>
          <w:p w:rsidR="00CB0DD7" w:rsidRPr="000A0A5F" w:rsidRDefault="00CB0DD7">
            <w:pPr>
              <w:pStyle w:val="TAC"/>
              <w:rPr>
                <w:noProof/>
                <w:lang w:eastAsia="zh-CN"/>
              </w:rPr>
            </w:pPr>
            <w:r w:rsidRPr="000A0A5F">
              <w:rPr>
                <w:rFonts w:hint="eastAsia"/>
                <w:noProof/>
                <w:lang w:eastAsia="zh-CN"/>
              </w:rPr>
              <w:t>1</w:t>
            </w:r>
          </w:p>
        </w:tc>
        <w:tc>
          <w:tcPr>
            <w:tcW w:w="5160" w:type="dxa"/>
            <w:tcBorders>
              <w:top w:val="single" w:sz="6" w:space="0" w:color="auto"/>
            </w:tcBorders>
          </w:tcPr>
          <w:p w:rsidR="00CB0DD7" w:rsidRPr="000A0A5F" w:rsidRDefault="00CB0DD7">
            <w:pPr>
              <w:pStyle w:val="TAL"/>
              <w:rPr>
                <w:noProof/>
              </w:rPr>
            </w:pPr>
            <w:r w:rsidRPr="000A0A5F">
              <w:rPr>
                <w:lang w:eastAsia="zh-CN"/>
              </w:rPr>
              <w:t>T</w:t>
            </w:r>
            <w:r w:rsidRPr="000A0A5F">
              <w:rPr>
                <w:rFonts w:hint="eastAsia"/>
                <w:lang w:eastAsia="zh-CN"/>
              </w:rPr>
              <w:t>he monitoring notification provided by the SCEF</w:t>
            </w:r>
            <w:r w:rsidRPr="000A0A5F">
              <w:rPr>
                <w:lang w:eastAsia="zh-CN"/>
              </w:rPr>
              <w:t>.</w:t>
            </w:r>
          </w:p>
        </w:tc>
      </w:tr>
    </w:tbl>
    <w:p w:rsidR="00CB0DD7" w:rsidRPr="000A0A5F" w:rsidRDefault="00CB0DD7">
      <w:pPr>
        <w:rPr>
          <w:noProof/>
        </w:rPr>
      </w:pPr>
    </w:p>
    <w:p w:rsidR="00CB0DD7" w:rsidRPr="000A0A5F" w:rsidRDefault="00CB0DD7">
      <w:pPr>
        <w:pStyle w:val="TH"/>
        <w:rPr>
          <w:noProof/>
        </w:rPr>
      </w:pPr>
      <w:r w:rsidRPr="000A0A5F">
        <w:rPr>
          <w:noProof/>
        </w:rPr>
        <w:t>Table </w:t>
      </w:r>
      <w:r w:rsidRPr="000A0A5F">
        <w:t>5.3.</w:t>
      </w:r>
      <w:r w:rsidR="00FF0AF8" w:rsidRPr="000A0A5F">
        <w:t>3A</w:t>
      </w:r>
      <w:r w:rsidRPr="000A0A5F">
        <w:t>.2</w:t>
      </w:r>
      <w:r w:rsidRPr="000A0A5F">
        <w:rPr>
          <w:noProof/>
        </w:rPr>
        <w:t>.3.1-2: Data structures supported by the POST Response Body</w:t>
      </w:r>
    </w:p>
    <w:tbl>
      <w:tblPr>
        <w:tblW w:w="961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293"/>
        <w:gridCol w:w="1259"/>
        <w:gridCol w:w="1441"/>
        <w:gridCol w:w="4619"/>
      </w:tblGrid>
      <w:tr w:rsidR="00CB0DD7" w:rsidRPr="000A0A5F" w:rsidTr="00FF0AF8">
        <w:trPr>
          <w:jc w:val="center"/>
        </w:trPr>
        <w:tc>
          <w:tcPr>
            <w:tcW w:w="2293" w:type="dxa"/>
            <w:shd w:val="clear" w:color="auto" w:fill="C0C0C0"/>
            <w:hideMark/>
          </w:tcPr>
          <w:p w:rsidR="00CB0DD7" w:rsidRPr="000A0A5F" w:rsidRDefault="00CB0DD7">
            <w:pPr>
              <w:pStyle w:val="TAH"/>
              <w:rPr>
                <w:noProof/>
              </w:rPr>
            </w:pPr>
            <w:r w:rsidRPr="000A0A5F">
              <w:rPr>
                <w:noProof/>
              </w:rPr>
              <w:t>Data type</w:t>
            </w:r>
          </w:p>
        </w:tc>
        <w:tc>
          <w:tcPr>
            <w:tcW w:w="1259" w:type="dxa"/>
            <w:shd w:val="clear" w:color="auto" w:fill="C0C0C0"/>
            <w:hideMark/>
          </w:tcPr>
          <w:p w:rsidR="00CB0DD7" w:rsidRPr="000A0A5F" w:rsidRDefault="00CB0DD7">
            <w:pPr>
              <w:pStyle w:val="TAH"/>
              <w:rPr>
                <w:noProof/>
              </w:rPr>
            </w:pPr>
            <w:r w:rsidRPr="000A0A5F">
              <w:rPr>
                <w:noProof/>
              </w:rPr>
              <w:t>Cardinality</w:t>
            </w:r>
          </w:p>
        </w:tc>
        <w:tc>
          <w:tcPr>
            <w:tcW w:w="1441" w:type="dxa"/>
            <w:shd w:val="clear" w:color="auto" w:fill="C0C0C0"/>
            <w:hideMark/>
          </w:tcPr>
          <w:p w:rsidR="00CB0DD7" w:rsidRPr="000A0A5F" w:rsidRDefault="00CB0DD7">
            <w:pPr>
              <w:pStyle w:val="TAH"/>
              <w:rPr>
                <w:noProof/>
              </w:rPr>
            </w:pPr>
            <w:r w:rsidRPr="000A0A5F">
              <w:rPr>
                <w:noProof/>
              </w:rPr>
              <w:t>Response codes</w:t>
            </w:r>
          </w:p>
        </w:tc>
        <w:tc>
          <w:tcPr>
            <w:tcW w:w="4619" w:type="dxa"/>
            <w:shd w:val="clear" w:color="auto" w:fill="C0C0C0"/>
            <w:hideMark/>
          </w:tcPr>
          <w:p w:rsidR="00CB0DD7" w:rsidRPr="000A0A5F" w:rsidRDefault="00CB0DD7">
            <w:pPr>
              <w:pStyle w:val="TAH"/>
              <w:rPr>
                <w:noProof/>
              </w:rPr>
            </w:pPr>
            <w:r w:rsidRPr="000A0A5F">
              <w:rPr>
                <w:noProof/>
              </w:rPr>
              <w:t>Description</w:t>
            </w:r>
          </w:p>
        </w:tc>
      </w:tr>
      <w:tr w:rsidR="00CB0DD7" w:rsidRPr="000A0A5F" w:rsidTr="00FF0AF8">
        <w:trPr>
          <w:jc w:val="center"/>
        </w:trPr>
        <w:tc>
          <w:tcPr>
            <w:tcW w:w="2293" w:type="dxa"/>
          </w:tcPr>
          <w:p w:rsidR="00CB0DD7" w:rsidRPr="000A0A5F" w:rsidRDefault="00CB0DD7">
            <w:pPr>
              <w:pStyle w:val="TAL"/>
              <w:rPr>
                <w:noProof/>
              </w:rPr>
            </w:pPr>
            <w:r w:rsidRPr="000A0A5F">
              <w:t>none</w:t>
            </w:r>
          </w:p>
        </w:tc>
        <w:tc>
          <w:tcPr>
            <w:tcW w:w="1259" w:type="dxa"/>
          </w:tcPr>
          <w:p w:rsidR="00CB0DD7" w:rsidRPr="000A0A5F" w:rsidRDefault="00CB0DD7">
            <w:pPr>
              <w:pStyle w:val="TAC"/>
              <w:rPr>
                <w:noProof/>
              </w:rPr>
            </w:pPr>
          </w:p>
        </w:tc>
        <w:tc>
          <w:tcPr>
            <w:tcW w:w="1441" w:type="dxa"/>
          </w:tcPr>
          <w:p w:rsidR="00CB0DD7" w:rsidRPr="000A0A5F" w:rsidRDefault="00CB0DD7">
            <w:pPr>
              <w:pStyle w:val="TAL"/>
              <w:rPr>
                <w:noProof/>
              </w:rPr>
            </w:pPr>
            <w:r w:rsidRPr="000A0A5F">
              <w:t>204 No Content</w:t>
            </w:r>
          </w:p>
        </w:tc>
        <w:tc>
          <w:tcPr>
            <w:tcW w:w="4619" w:type="dxa"/>
          </w:tcPr>
          <w:p w:rsidR="00CB0DD7" w:rsidRPr="000A0A5F" w:rsidRDefault="00CB0DD7">
            <w:pPr>
              <w:pStyle w:val="TAL"/>
              <w:rPr>
                <w:noProof/>
              </w:rPr>
            </w:pPr>
            <w:r w:rsidRPr="000A0A5F">
              <w:t>The monitoring notification is received successfully.</w:t>
            </w:r>
          </w:p>
        </w:tc>
      </w:tr>
      <w:tr w:rsidR="00CB0DD7" w:rsidRPr="000A0A5F" w:rsidTr="00FF0AF8">
        <w:trPr>
          <w:jc w:val="center"/>
        </w:trPr>
        <w:tc>
          <w:tcPr>
            <w:tcW w:w="2293" w:type="dxa"/>
          </w:tcPr>
          <w:p w:rsidR="00CB0DD7" w:rsidRPr="000A0A5F" w:rsidRDefault="00CB0DD7">
            <w:pPr>
              <w:pStyle w:val="TAL"/>
            </w:pPr>
            <w:r w:rsidRPr="000A0A5F">
              <w:t>none</w:t>
            </w:r>
          </w:p>
        </w:tc>
        <w:tc>
          <w:tcPr>
            <w:tcW w:w="1259" w:type="dxa"/>
          </w:tcPr>
          <w:p w:rsidR="00CB0DD7" w:rsidRPr="000A0A5F" w:rsidRDefault="00CB0DD7">
            <w:pPr>
              <w:pStyle w:val="TAC"/>
              <w:rPr>
                <w:noProof/>
              </w:rPr>
            </w:pPr>
          </w:p>
        </w:tc>
        <w:tc>
          <w:tcPr>
            <w:tcW w:w="1441" w:type="dxa"/>
          </w:tcPr>
          <w:p w:rsidR="00CB0DD7" w:rsidRPr="000A0A5F" w:rsidRDefault="00CB0DD7">
            <w:pPr>
              <w:pStyle w:val="TAL"/>
            </w:pPr>
            <w:r w:rsidRPr="000A0A5F">
              <w:t>307 Temporary Redirect</w:t>
            </w:r>
          </w:p>
        </w:tc>
        <w:tc>
          <w:tcPr>
            <w:tcW w:w="4619" w:type="dxa"/>
          </w:tcPr>
          <w:p w:rsidR="00CB0DD7" w:rsidRPr="000A0A5F" w:rsidRDefault="00CB0DD7">
            <w:pPr>
              <w:pStyle w:val="TAL"/>
            </w:pPr>
            <w:r w:rsidRPr="000A0A5F">
              <w:t>Temporary redirection, during event notification. The response shall include a Location header field containing an alternative URI representing the end point of an alternative SCS/AS where the notification should be sent.</w:t>
            </w:r>
          </w:p>
          <w:p w:rsidR="00CB0DD7" w:rsidRPr="000A0A5F" w:rsidRDefault="00CB0DD7">
            <w:pPr>
              <w:pStyle w:val="TAL"/>
            </w:pPr>
            <w:r w:rsidRPr="000A0A5F">
              <w:t>Redirection handling is described in clause 5.2.10.</w:t>
            </w:r>
          </w:p>
        </w:tc>
      </w:tr>
      <w:tr w:rsidR="00CB0DD7" w:rsidRPr="000A0A5F" w:rsidTr="00FF0AF8">
        <w:trPr>
          <w:jc w:val="center"/>
        </w:trPr>
        <w:tc>
          <w:tcPr>
            <w:tcW w:w="2293" w:type="dxa"/>
          </w:tcPr>
          <w:p w:rsidR="00CB0DD7" w:rsidRPr="000A0A5F" w:rsidRDefault="00CB0DD7">
            <w:pPr>
              <w:pStyle w:val="TAL"/>
            </w:pPr>
            <w:r w:rsidRPr="000A0A5F">
              <w:t>none</w:t>
            </w:r>
          </w:p>
        </w:tc>
        <w:tc>
          <w:tcPr>
            <w:tcW w:w="1259" w:type="dxa"/>
          </w:tcPr>
          <w:p w:rsidR="00CB0DD7" w:rsidRPr="000A0A5F" w:rsidRDefault="00CB0DD7">
            <w:pPr>
              <w:pStyle w:val="TAC"/>
              <w:rPr>
                <w:noProof/>
              </w:rPr>
            </w:pPr>
          </w:p>
        </w:tc>
        <w:tc>
          <w:tcPr>
            <w:tcW w:w="1441" w:type="dxa"/>
          </w:tcPr>
          <w:p w:rsidR="00CB0DD7" w:rsidRPr="000A0A5F" w:rsidRDefault="00CB0DD7">
            <w:pPr>
              <w:pStyle w:val="TAL"/>
            </w:pPr>
            <w:r w:rsidRPr="000A0A5F">
              <w:t>308 Permanent Redirect</w:t>
            </w:r>
          </w:p>
        </w:tc>
        <w:tc>
          <w:tcPr>
            <w:tcW w:w="4619" w:type="dxa"/>
          </w:tcPr>
          <w:p w:rsidR="00CB0DD7" w:rsidRPr="000A0A5F" w:rsidRDefault="00CB0DD7">
            <w:pPr>
              <w:pStyle w:val="TAL"/>
            </w:pPr>
            <w:r w:rsidRPr="000A0A5F">
              <w:t>Permanent redirection, during event notification. The response shall include a Location header field containing an alternative URI representing the end point of an alternative SCS/AS where the notification should be sent.</w:t>
            </w:r>
          </w:p>
          <w:p w:rsidR="00CB0DD7" w:rsidRPr="000A0A5F" w:rsidRDefault="00CB0DD7">
            <w:pPr>
              <w:pStyle w:val="TAL"/>
            </w:pPr>
            <w:r w:rsidRPr="000A0A5F">
              <w:t>Redirection handling is described in clause 5.2.10.</w:t>
            </w:r>
          </w:p>
        </w:tc>
      </w:tr>
      <w:tr w:rsidR="00CB0DD7" w:rsidRPr="000A0A5F" w:rsidTr="00FF0AF8">
        <w:trPr>
          <w:jc w:val="center"/>
        </w:trPr>
        <w:tc>
          <w:tcPr>
            <w:tcW w:w="9612" w:type="dxa"/>
            <w:gridSpan w:val="4"/>
          </w:tcPr>
          <w:p w:rsidR="00CB0DD7" w:rsidRPr="000A0A5F" w:rsidRDefault="00CB0DD7">
            <w:pPr>
              <w:pStyle w:val="TAN"/>
            </w:pPr>
            <w:r w:rsidRPr="000A0A5F">
              <w:t>NOTE:</w:t>
            </w:r>
            <w:r w:rsidRPr="000A0A5F">
              <w:tab/>
              <w:t>The mandatory HTTP error status codes for the POST method listed in table 5.2.6-1 also apply.</w:t>
            </w:r>
          </w:p>
        </w:tc>
      </w:tr>
    </w:tbl>
    <w:p w:rsidR="00CB0DD7" w:rsidRPr="000A0A5F" w:rsidRDefault="00CB0DD7">
      <w:pPr>
        <w:rPr>
          <w:noProof/>
        </w:rPr>
      </w:pPr>
    </w:p>
    <w:p w:rsidR="00CB0DD7" w:rsidRPr="000A0A5F" w:rsidRDefault="00B004CD">
      <w:pPr>
        <w:pStyle w:val="TH"/>
      </w:pPr>
      <w:r w:rsidRPr="000A0A5F">
        <w:t>Table </w:t>
      </w:r>
      <w:r w:rsidR="00CB0DD7" w:rsidRPr="000A0A5F">
        <w:t>5.3.</w:t>
      </w:r>
      <w:r w:rsidR="00FF0AF8" w:rsidRPr="000A0A5F">
        <w:t>3A</w:t>
      </w:r>
      <w:r w:rsidR="00CB0DD7" w:rsidRPr="000A0A5F">
        <w:t>.2</w:t>
      </w:r>
      <w:r w:rsidR="00CB0DD7" w:rsidRPr="000A0A5F">
        <w:rPr>
          <w:noProof/>
        </w:rPr>
        <w:t>.3.1</w:t>
      </w:r>
      <w:r w:rsidR="00CB0DD7" w:rsidRPr="000A0A5F">
        <w:t>-3: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representing the end point of an alternative SCS/AS towards which the notification should be redirected.</w:t>
            </w:r>
          </w:p>
        </w:tc>
      </w:tr>
    </w:tbl>
    <w:p w:rsidR="00CB0DD7" w:rsidRPr="000A0A5F" w:rsidRDefault="00CB0DD7"/>
    <w:p w:rsidR="00CB0DD7" w:rsidRPr="000A0A5F" w:rsidRDefault="00B004CD">
      <w:pPr>
        <w:pStyle w:val="TH"/>
      </w:pPr>
      <w:r w:rsidRPr="000A0A5F">
        <w:t>Table </w:t>
      </w:r>
      <w:r w:rsidR="00CB0DD7" w:rsidRPr="000A0A5F">
        <w:t>5.3.</w:t>
      </w:r>
      <w:r w:rsidR="00FF0AF8" w:rsidRPr="000A0A5F">
        <w:t>3A</w:t>
      </w:r>
      <w:r w:rsidR="00CB0DD7" w:rsidRPr="000A0A5F">
        <w:t>.2</w:t>
      </w:r>
      <w:r w:rsidR="00CB0DD7" w:rsidRPr="000A0A5F">
        <w:rPr>
          <w:noProof/>
        </w:rPr>
        <w:t>.3.1</w:t>
      </w:r>
      <w:r w:rsidR="00CB0DD7" w:rsidRPr="000A0A5F">
        <w:t>-4: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representing the end point of an alternative SCS/AS towards which the notification should be redirected.</w:t>
            </w:r>
          </w:p>
        </w:tc>
      </w:tr>
    </w:tbl>
    <w:p w:rsidR="00CB0DD7" w:rsidRPr="000A0A5F" w:rsidRDefault="00CB0DD7">
      <w:pPr>
        <w:rPr>
          <w:noProof/>
        </w:rPr>
      </w:pPr>
    </w:p>
    <w:p w:rsidR="00CB0DD7" w:rsidRPr="000A0A5F" w:rsidRDefault="00CB0DD7">
      <w:pPr>
        <w:pStyle w:val="Heading6"/>
        <w:rPr>
          <w:noProof/>
        </w:rPr>
      </w:pPr>
      <w:bookmarkStart w:id="2450" w:name="_Toc66360406"/>
      <w:bookmarkStart w:id="2451" w:name="_Toc68104911"/>
      <w:bookmarkStart w:id="2452" w:name="_Toc74755541"/>
      <w:bookmarkStart w:id="2453" w:name="_Toc105674408"/>
      <w:bookmarkStart w:id="2454" w:name="_Toc130502448"/>
      <w:bookmarkStart w:id="2455" w:name="_Toc153625235"/>
      <w:r w:rsidRPr="000A0A5F">
        <w:t>5.3.</w:t>
      </w:r>
      <w:r w:rsidR="00FF0AF8" w:rsidRPr="000A0A5F">
        <w:t>3A</w:t>
      </w:r>
      <w:r w:rsidRPr="000A0A5F">
        <w:t>.2.3</w:t>
      </w:r>
      <w:r w:rsidRPr="000A0A5F">
        <w:rPr>
          <w:noProof/>
        </w:rPr>
        <w:t>.2</w:t>
      </w:r>
      <w:r w:rsidRPr="000A0A5F">
        <w:rPr>
          <w:noProof/>
        </w:rPr>
        <w:tab/>
      </w:r>
      <w:r w:rsidRPr="000A0A5F">
        <w:t>Notification via Websocket</w:t>
      </w:r>
      <w:bookmarkEnd w:id="2450"/>
      <w:bookmarkEnd w:id="2451"/>
      <w:bookmarkEnd w:id="2452"/>
      <w:bookmarkEnd w:id="2453"/>
      <w:bookmarkEnd w:id="2454"/>
      <w:bookmarkEnd w:id="2455"/>
    </w:p>
    <w:p w:rsidR="00CB0DD7" w:rsidRPr="000A0A5F" w:rsidRDefault="00CB0DD7">
      <w:pPr>
        <w:rPr>
          <w:rFonts w:hint="eastAsia"/>
          <w:lang w:eastAsia="zh-CN"/>
        </w:rPr>
      </w:pPr>
      <w:r w:rsidRPr="000A0A5F">
        <w:t>If supported by both SCS/AS and SCEF and successfully negotiated</w:t>
      </w:r>
      <w:r w:rsidRPr="000A0A5F">
        <w:rPr>
          <w:lang w:eastAsia="zh-CN"/>
        </w:rPr>
        <w:t xml:space="preserve">, the </w:t>
      </w:r>
      <w:r w:rsidRPr="000A0A5F">
        <w:t>MonitoringNotification</w:t>
      </w:r>
      <w:r w:rsidRPr="000A0A5F">
        <w:rPr>
          <w:lang w:eastAsia="zh-CN"/>
        </w:rPr>
        <w:t xml:space="preserve"> may alternatively be delivered through the Websocket mechanism as defined in subclause</w:t>
      </w:r>
      <w:r w:rsidRPr="000A0A5F">
        <w:rPr>
          <w:lang w:val="en-US" w:eastAsia="zh-CN"/>
        </w:rPr>
        <w:t> </w:t>
      </w:r>
      <w:r w:rsidRPr="000A0A5F">
        <w:rPr>
          <w:lang w:eastAsia="zh-CN"/>
        </w:rPr>
        <w:t>5.2.5.4.</w:t>
      </w:r>
    </w:p>
    <w:p w:rsidR="00E37664" w:rsidRPr="000A0A5F" w:rsidRDefault="00E37664" w:rsidP="00E37664">
      <w:pPr>
        <w:pStyle w:val="Heading4"/>
        <w:rPr>
          <w:lang w:val="fr-FR"/>
        </w:rPr>
      </w:pPr>
      <w:bookmarkStart w:id="2456" w:name="_Toc11247358"/>
      <w:bookmarkStart w:id="2457" w:name="_Toc27044480"/>
      <w:bookmarkStart w:id="2458" w:name="_Toc36033522"/>
      <w:bookmarkStart w:id="2459" w:name="_Toc45131654"/>
      <w:bookmarkStart w:id="2460" w:name="_Toc49775939"/>
      <w:bookmarkStart w:id="2461" w:name="_Toc51746859"/>
      <w:bookmarkStart w:id="2462" w:name="_Toc66360407"/>
      <w:bookmarkStart w:id="2463" w:name="_Toc68104912"/>
      <w:bookmarkStart w:id="2464" w:name="_Toc74755542"/>
      <w:bookmarkStart w:id="2465" w:name="_Toc28013370"/>
      <w:bookmarkStart w:id="2466" w:name="_Toc36040126"/>
      <w:bookmarkStart w:id="2467" w:name="_Toc44692743"/>
      <w:bookmarkStart w:id="2468" w:name="_Toc45134204"/>
      <w:bookmarkStart w:id="2469" w:name="_Toc49607268"/>
      <w:bookmarkStart w:id="2470" w:name="_Toc51763240"/>
      <w:bookmarkStart w:id="2471" w:name="_Toc58850138"/>
      <w:bookmarkStart w:id="2472" w:name="_Toc59018518"/>
      <w:bookmarkStart w:id="2473" w:name="_Toc68169524"/>
      <w:bookmarkStart w:id="2474" w:name="_Toc97203217"/>
      <w:bookmarkStart w:id="2475" w:name="_Toc105674409"/>
      <w:bookmarkStart w:id="2476" w:name="_Toc130502449"/>
      <w:bookmarkStart w:id="2477" w:name="_Toc153625236"/>
      <w:r w:rsidRPr="000A0A5F">
        <w:rPr>
          <w:lang w:val="fr-FR"/>
        </w:rPr>
        <w:t>5.3.3</w:t>
      </w:r>
      <w:r w:rsidR="00AC79C0" w:rsidRPr="000A0A5F">
        <w:rPr>
          <w:lang w:val="fr-FR"/>
        </w:rPr>
        <w:t>A</w:t>
      </w:r>
      <w:r w:rsidRPr="000A0A5F">
        <w:rPr>
          <w:lang w:val="fr-FR"/>
        </w:rPr>
        <w:t>.</w:t>
      </w:r>
      <w:r w:rsidR="00AC79C0" w:rsidRPr="000A0A5F">
        <w:rPr>
          <w:lang w:val="fr-FR"/>
        </w:rPr>
        <w:t>3</w:t>
      </w:r>
      <w:r w:rsidRPr="000A0A5F">
        <w:rPr>
          <w:lang w:val="fr-FR"/>
        </w:rPr>
        <w:tab/>
      </w:r>
      <w:bookmarkEnd w:id="2465"/>
      <w:bookmarkEnd w:id="2466"/>
      <w:bookmarkEnd w:id="2467"/>
      <w:bookmarkEnd w:id="2468"/>
      <w:bookmarkEnd w:id="2469"/>
      <w:bookmarkEnd w:id="2470"/>
      <w:bookmarkEnd w:id="2471"/>
      <w:bookmarkEnd w:id="2472"/>
      <w:bookmarkEnd w:id="2473"/>
      <w:bookmarkEnd w:id="2474"/>
      <w:r w:rsidRPr="000A0A5F">
        <w:rPr>
          <w:lang w:val="fr-FR"/>
        </w:rPr>
        <w:t>User Consent Revocation Notification</w:t>
      </w:r>
      <w:bookmarkEnd w:id="2475"/>
      <w:bookmarkEnd w:id="2476"/>
      <w:bookmarkEnd w:id="2477"/>
    </w:p>
    <w:p w:rsidR="00E37664" w:rsidRPr="000A0A5F" w:rsidRDefault="00E37664" w:rsidP="00E37664">
      <w:pPr>
        <w:pStyle w:val="Heading5"/>
        <w:rPr>
          <w:noProof/>
          <w:lang w:val="fr-FR"/>
        </w:rPr>
      </w:pPr>
      <w:bookmarkStart w:id="2478" w:name="_Toc28013371"/>
      <w:bookmarkStart w:id="2479" w:name="_Toc36040127"/>
      <w:bookmarkStart w:id="2480" w:name="_Toc44692744"/>
      <w:bookmarkStart w:id="2481" w:name="_Toc45134205"/>
      <w:bookmarkStart w:id="2482" w:name="_Toc49607269"/>
      <w:bookmarkStart w:id="2483" w:name="_Toc51763241"/>
      <w:bookmarkStart w:id="2484" w:name="_Toc58850139"/>
      <w:bookmarkStart w:id="2485" w:name="_Toc59018519"/>
      <w:bookmarkStart w:id="2486" w:name="_Toc68169525"/>
      <w:bookmarkStart w:id="2487" w:name="_Toc97203218"/>
      <w:bookmarkStart w:id="2488" w:name="_Toc105674410"/>
      <w:bookmarkStart w:id="2489" w:name="_Toc130502450"/>
      <w:bookmarkStart w:id="2490" w:name="_Toc153625237"/>
      <w:r w:rsidRPr="000A0A5F">
        <w:rPr>
          <w:lang w:val="fr-FR"/>
        </w:rPr>
        <w:t>5.3.3</w:t>
      </w:r>
      <w:r w:rsidR="00AC79C0" w:rsidRPr="000A0A5F">
        <w:rPr>
          <w:lang w:val="fr-FR"/>
        </w:rPr>
        <w:t>A</w:t>
      </w:r>
      <w:r w:rsidRPr="000A0A5F">
        <w:rPr>
          <w:noProof/>
          <w:lang w:val="fr-FR"/>
        </w:rPr>
        <w:t>.</w:t>
      </w:r>
      <w:r w:rsidR="00AC79C0" w:rsidRPr="000A0A5F">
        <w:rPr>
          <w:noProof/>
          <w:lang w:val="fr-FR"/>
        </w:rPr>
        <w:t>3</w:t>
      </w:r>
      <w:r w:rsidRPr="000A0A5F">
        <w:rPr>
          <w:noProof/>
          <w:lang w:val="fr-FR"/>
        </w:rPr>
        <w:t>.1</w:t>
      </w:r>
      <w:r w:rsidRPr="000A0A5F">
        <w:rPr>
          <w:noProof/>
          <w:lang w:val="fr-FR"/>
        </w:rPr>
        <w:tab/>
        <w:t>Description</w:t>
      </w:r>
      <w:bookmarkEnd w:id="2478"/>
      <w:bookmarkEnd w:id="2479"/>
      <w:bookmarkEnd w:id="2480"/>
      <w:bookmarkEnd w:id="2481"/>
      <w:bookmarkEnd w:id="2482"/>
      <w:bookmarkEnd w:id="2483"/>
      <w:bookmarkEnd w:id="2484"/>
      <w:bookmarkEnd w:id="2485"/>
      <w:bookmarkEnd w:id="2486"/>
      <w:bookmarkEnd w:id="2487"/>
      <w:bookmarkEnd w:id="2488"/>
      <w:bookmarkEnd w:id="2489"/>
      <w:bookmarkEnd w:id="2490"/>
    </w:p>
    <w:p w:rsidR="00E37664" w:rsidRPr="000A0A5F" w:rsidRDefault="00E37664" w:rsidP="00E37664">
      <w:pPr>
        <w:rPr>
          <w:noProof/>
        </w:rPr>
      </w:pPr>
      <w:r w:rsidRPr="000A0A5F">
        <w:rPr>
          <w:noProof/>
        </w:rPr>
        <w:t xml:space="preserve">The </w:t>
      </w:r>
      <w:r w:rsidRPr="000A0A5F">
        <w:t>User Consent Revocation Notification</w:t>
      </w:r>
      <w:r w:rsidRPr="000A0A5F">
        <w:rPr>
          <w:noProof/>
        </w:rPr>
        <w:t xml:space="preserve"> is used by the NEF to report the revocation of user consent for one or several UE(s) to the AF.</w:t>
      </w:r>
    </w:p>
    <w:p w:rsidR="00E37664" w:rsidRPr="000A0A5F" w:rsidRDefault="00E37664" w:rsidP="00E37664">
      <w:pPr>
        <w:pStyle w:val="Heading5"/>
        <w:rPr>
          <w:noProof/>
        </w:rPr>
      </w:pPr>
      <w:bookmarkStart w:id="2491" w:name="_Toc28013372"/>
      <w:bookmarkStart w:id="2492" w:name="_Toc36040128"/>
      <w:bookmarkStart w:id="2493" w:name="_Toc44692745"/>
      <w:bookmarkStart w:id="2494" w:name="_Toc45134206"/>
      <w:bookmarkStart w:id="2495" w:name="_Toc49607270"/>
      <w:bookmarkStart w:id="2496" w:name="_Toc51763242"/>
      <w:bookmarkStart w:id="2497" w:name="_Toc58850140"/>
      <w:bookmarkStart w:id="2498" w:name="_Toc59018520"/>
      <w:bookmarkStart w:id="2499" w:name="_Toc68169526"/>
      <w:bookmarkStart w:id="2500" w:name="_Toc97203219"/>
      <w:bookmarkStart w:id="2501" w:name="_Toc105674411"/>
      <w:bookmarkStart w:id="2502" w:name="_Toc130502451"/>
      <w:bookmarkStart w:id="2503" w:name="_Toc153625238"/>
      <w:r w:rsidRPr="000A0A5F">
        <w:rPr>
          <w:lang w:val="en-US"/>
        </w:rPr>
        <w:t>5.3.3</w:t>
      </w:r>
      <w:r w:rsidR="00AC79C0" w:rsidRPr="000A0A5F">
        <w:rPr>
          <w:lang w:val="en-US"/>
        </w:rPr>
        <w:t>A</w:t>
      </w:r>
      <w:r w:rsidRPr="000A0A5F">
        <w:rPr>
          <w:noProof/>
        </w:rPr>
        <w:t>.</w:t>
      </w:r>
      <w:r w:rsidR="00AC79C0" w:rsidRPr="000A0A5F">
        <w:rPr>
          <w:noProof/>
        </w:rPr>
        <w:t>3</w:t>
      </w:r>
      <w:r w:rsidRPr="000A0A5F">
        <w:rPr>
          <w:noProof/>
        </w:rPr>
        <w:t>.2</w:t>
      </w:r>
      <w:r w:rsidRPr="000A0A5F">
        <w:rPr>
          <w:noProof/>
        </w:rPr>
        <w:tab/>
        <w:t>Target URI</w:t>
      </w:r>
      <w:bookmarkEnd w:id="2491"/>
      <w:bookmarkEnd w:id="2492"/>
      <w:bookmarkEnd w:id="2493"/>
      <w:bookmarkEnd w:id="2494"/>
      <w:bookmarkEnd w:id="2495"/>
      <w:bookmarkEnd w:id="2496"/>
      <w:bookmarkEnd w:id="2497"/>
      <w:bookmarkEnd w:id="2498"/>
      <w:bookmarkEnd w:id="2499"/>
      <w:bookmarkEnd w:id="2500"/>
      <w:bookmarkEnd w:id="2501"/>
      <w:bookmarkEnd w:id="2502"/>
      <w:bookmarkEnd w:id="2503"/>
    </w:p>
    <w:p w:rsidR="00E37664" w:rsidRPr="000A0A5F" w:rsidRDefault="00E37664" w:rsidP="00E37664">
      <w:pPr>
        <w:rPr>
          <w:rFonts w:ascii="Arial" w:hAnsi="Arial" w:cs="Arial"/>
        </w:rPr>
      </w:pPr>
      <w:r w:rsidRPr="000A0A5F">
        <w:rPr>
          <w:noProof/>
        </w:rPr>
        <w:t xml:space="preserve">The </w:t>
      </w:r>
      <w:r w:rsidRPr="000A0A5F">
        <w:t>Callback URI</w:t>
      </w:r>
      <w:r w:rsidRPr="000A0A5F">
        <w:rPr>
          <w:b/>
          <w:noProof/>
        </w:rPr>
        <w:t xml:space="preserve"> "</w:t>
      </w:r>
      <w:r w:rsidRPr="000A0A5F">
        <w:rPr>
          <w:rFonts w:ascii="Arial" w:hAnsi="Arial"/>
          <w:b/>
          <w:sz w:val="18"/>
        </w:rPr>
        <w:t>{revocationNotifUri}</w:t>
      </w:r>
      <w:r w:rsidRPr="000A0A5F">
        <w:rPr>
          <w:b/>
          <w:noProof/>
        </w:rPr>
        <w:t>"</w:t>
      </w:r>
      <w:r w:rsidRPr="000A0A5F">
        <w:rPr>
          <w:noProof/>
        </w:rPr>
        <w:t xml:space="preserve"> shall be used with the the callback</w:t>
      </w:r>
      <w:r w:rsidRPr="000A0A5F">
        <w:t xml:space="preserve"> URI variables defined in table </w:t>
      </w:r>
      <w:r w:rsidRPr="000A0A5F">
        <w:rPr>
          <w:lang w:val="en-US"/>
        </w:rPr>
        <w:t>5.3.3</w:t>
      </w:r>
      <w:r w:rsidR="00AC79C0" w:rsidRPr="000A0A5F">
        <w:rPr>
          <w:lang w:val="en-US"/>
        </w:rPr>
        <w:t>A</w:t>
      </w:r>
      <w:r w:rsidRPr="000A0A5F">
        <w:t>.</w:t>
      </w:r>
      <w:r w:rsidR="00AC79C0" w:rsidRPr="000A0A5F">
        <w:t>3</w:t>
      </w:r>
      <w:r w:rsidRPr="000A0A5F">
        <w:t>.2-1</w:t>
      </w:r>
      <w:r w:rsidRPr="000A0A5F">
        <w:rPr>
          <w:rFonts w:ascii="Arial" w:hAnsi="Arial" w:cs="Arial"/>
        </w:rPr>
        <w:t>.</w:t>
      </w:r>
    </w:p>
    <w:p w:rsidR="00E37664" w:rsidRPr="000A0A5F" w:rsidRDefault="00E37664" w:rsidP="00E37664">
      <w:pPr>
        <w:pStyle w:val="TH"/>
        <w:rPr>
          <w:rFonts w:cs="Arial"/>
        </w:rPr>
      </w:pPr>
      <w:r w:rsidRPr="000A0A5F">
        <w:t>Table </w:t>
      </w:r>
      <w:r w:rsidRPr="000A0A5F">
        <w:rPr>
          <w:lang w:val="en-US"/>
        </w:rPr>
        <w:t>5.3.3</w:t>
      </w:r>
      <w:r w:rsidR="00AC79C0" w:rsidRPr="000A0A5F">
        <w:rPr>
          <w:lang w:val="en-US"/>
        </w:rPr>
        <w:t>A</w:t>
      </w:r>
      <w:r w:rsidRPr="000A0A5F">
        <w:t>.</w:t>
      </w:r>
      <w:r w:rsidR="00AC79C0" w:rsidRPr="000A0A5F">
        <w:t>3</w:t>
      </w:r>
      <w:r w:rsidRPr="000A0A5F">
        <w:t xml:space="preserve">.2-1: Callback URI variables </w:t>
      </w:r>
    </w:p>
    <w:tbl>
      <w:tblPr>
        <w:tblW w:w="4932"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65"/>
        <w:gridCol w:w="1582"/>
        <w:gridCol w:w="6097"/>
      </w:tblGrid>
      <w:tr w:rsidR="00E37664" w:rsidRPr="000A0A5F" w:rsidTr="004E6AB3">
        <w:trPr>
          <w:jc w:val="center"/>
        </w:trPr>
        <w:tc>
          <w:tcPr>
            <w:tcW w:w="1019" w:type="pct"/>
            <w:shd w:val="clear" w:color="auto" w:fill="C0C0C0"/>
            <w:hideMark/>
          </w:tcPr>
          <w:p w:rsidR="00E37664" w:rsidRPr="000A0A5F" w:rsidRDefault="00E37664" w:rsidP="00840C99">
            <w:pPr>
              <w:pStyle w:val="TAH"/>
            </w:pPr>
            <w:r w:rsidRPr="000A0A5F">
              <w:t>Name</w:t>
            </w:r>
          </w:p>
        </w:tc>
        <w:tc>
          <w:tcPr>
            <w:tcW w:w="820" w:type="pct"/>
            <w:shd w:val="clear" w:color="auto" w:fill="C0C0C0"/>
          </w:tcPr>
          <w:p w:rsidR="00E37664" w:rsidRPr="000A0A5F" w:rsidRDefault="00E37664" w:rsidP="00840C99">
            <w:pPr>
              <w:pStyle w:val="TAH"/>
            </w:pPr>
            <w:r w:rsidRPr="000A0A5F">
              <w:t>Data type</w:t>
            </w:r>
          </w:p>
        </w:tc>
        <w:tc>
          <w:tcPr>
            <w:tcW w:w="3162" w:type="pct"/>
            <w:shd w:val="clear" w:color="auto" w:fill="C0C0C0"/>
            <w:vAlign w:val="center"/>
            <w:hideMark/>
          </w:tcPr>
          <w:p w:rsidR="00E37664" w:rsidRPr="000A0A5F" w:rsidRDefault="00E37664" w:rsidP="00840C99">
            <w:pPr>
              <w:pStyle w:val="TAH"/>
            </w:pPr>
            <w:r w:rsidRPr="000A0A5F">
              <w:t>Definition</w:t>
            </w:r>
          </w:p>
        </w:tc>
      </w:tr>
      <w:tr w:rsidR="00E37664" w:rsidRPr="000A0A5F" w:rsidTr="004E6AB3">
        <w:trPr>
          <w:jc w:val="center"/>
        </w:trPr>
        <w:tc>
          <w:tcPr>
            <w:tcW w:w="1019" w:type="pct"/>
            <w:hideMark/>
          </w:tcPr>
          <w:p w:rsidR="00E37664" w:rsidRPr="000A0A5F" w:rsidRDefault="00E37664" w:rsidP="00840C99">
            <w:pPr>
              <w:pStyle w:val="TAL"/>
            </w:pPr>
            <w:r w:rsidRPr="000A0A5F">
              <w:t>revocationNotifUri</w:t>
            </w:r>
          </w:p>
        </w:tc>
        <w:tc>
          <w:tcPr>
            <w:tcW w:w="820" w:type="pct"/>
          </w:tcPr>
          <w:p w:rsidR="00E37664" w:rsidRPr="000A0A5F" w:rsidRDefault="00E37664" w:rsidP="00840C99">
            <w:pPr>
              <w:pStyle w:val="TAL"/>
            </w:pPr>
            <w:r w:rsidRPr="000A0A5F">
              <w:rPr>
                <w:lang w:eastAsia="zh-CN"/>
              </w:rPr>
              <w:t>Uri</w:t>
            </w:r>
          </w:p>
        </w:tc>
        <w:tc>
          <w:tcPr>
            <w:tcW w:w="3162" w:type="pct"/>
            <w:vAlign w:val="center"/>
            <w:hideMark/>
          </w:tcPr>
          <w:p w:rsidR="00E37664" w:rsidRPr="000A0A5F" w:rsidRDefault="00DE6211" w:rsidP="00840C99">
            <w:pPr>
              <w:pStyle w:val="TAL"/>
              <w:rPr>
                <w:szCs w:val="18"/>
              </w:rPr>
            </w:pPr>
            <w:r w:rsidRPr="000A0A5F">
              <w:t>Callback reference provided by the AF during the creation or update/modification of the subscription as defined in clauses 5.3.3.2.3.4 and 5.3.3.3.3.2 or 5.3.3.3.3.3.</w:t>
            </w:r>
          </w:p>
        </w:tc>
      </w:tr>
    </w:tbl>
    <w:p w:rsidR="00E37664" w:rsidRPr="000A0A5F" w:rsidRDefault="00E37664" w:rsidP="00E37664"/>
    <w:p w:rsidR="00E37664" w:rsidRPr="000A0A5F" w:rsidRDefault="00E37664" w:rsidP="00E37664">
      <w:pPr>
        <w:pStyle w:val="Heading5"/>
      </w:pPr>
      <w:bookmarkStart w:id="2504" w:name="_Toc28013373"/>
      <w:bookmarkStart w:id="2505" w:name="_Toc36040129"/>
      <w:bookmarkStart w:id="2506" w:name="_Toc44692746"/>
      <w:bookmarkStart w:id="2507" w:name="_Toc45134207"/>
      <w:bookmarkStart w:id="2508" w:name="_Toc49607271"/>
      <w:bookmarkStart w:id="2509" w:name="_Toc51763243"/>
      <w:bookmarkStart w:id="2510" w:name="_Toc58850141"/>
      <w:bookmarkStart w:id="2511" w:name="_Toc59018521"/>
      <w:bookmarkStart w:id="2512" w:name="_Toc68169527"/>
      <w:bookmarkStart w:id="2513" w:name="_Toc97203220"/>
      <w:bookmarkStart w:id="2514" w:name="_Toc105674412"/>
      <w:bookmarkStart w:id="2515" w:name="_Toc130502452"/>
      <w:bookmarkStart w:id="2516" w:name="_Toc153625239"/>
      <w:r w:rsidRPr="000A0A5F">
        <w:rPr>
          <w:lang w:val="en-US"/>
        </w:rPr>
        <w:t>5.3.3</w:t>
      </w:r>
      <w:r w:rsidR="00AC79C0" w:rsidRPr="000A0A5F">
        <w:rPr>
          <w:lang w:val="en-US"/>
        </w:rPr>
        <w:t>A</w:t>
      </w:r>
      <w:r w:rsidRPr="000A0A5F">
        <w:t>.</w:t>
      </w:r>
      <w:r w:rsidR="00AC79C0" w:rsidRPr="000A0A5F">
        <w:t>3</w:t>
      </w:r>
      <w:r w:rsidRPr="000A0A5F">
        <w:t>.3</w:t>
      </w:r>
      <w:r w:rsidRPr="000A0A5F">
        <w:tab/>
        <w:t>Operation Definition</w:t>
      </w:r>
      <w:bookmarkEnd w:id="2504"/>
      <w:bookmarkEnd w:id="2505"/>
      <w:bookmarkEnd w:id="2506"/>
      <w:bookmarkEnd w:id="2507"/>
      <w:bookmarkEnd w:id="2508"/>
      <w:bookmarkEnd w:id="2509"/>
      <w:bookmarkEnd w:id="2510"/>
      <w:bookmarkEnd w:id="2511"/>
      <w:bookmarkEnd w:id="2512"/>
      <w:bookmarkEnd w:id="2513"/>
      <w:bookmarkEnd w:id="2514"/>
      <w:bookmarkEnd w:id="2515"/>
      <w:bookmarkEnd w:id="2516"/>
    </w:p>
    <w:p w:rsidR="00E37664" w:rsidRPr="000A0A5F" w:rsidRDefault="00E37664" w:rsidP="00E37664">
      <w:pPr>
        <w:pStyle w:val="Heading6"/>
      </w:pPr>
      <w:bookmarkStart w:id="2517" w:name="_Toc28013374"/>
      <w:bookmarkStart w:id="2518" w:name="_Toc36040130"/>
      <w:bookmarkStart w:id="2519" w:name="_Toc44692747"/>
      <w:bookmarkStart w:id="2520" w:name="_Toc45134208"/>
      <w:bookmarkStart w:id="2521" w:name="_Toc49607272"/>
      <w:bookmarkStart w:id="2522" w:name="_Toc51763244"/>
      <w:bookmarkStart w:id="2523" w:name="_Toc58850142"/>
      <w:bookmarkStart w:id="2524" w:name="_Toc59018522"/>
      <w:bookmarkStart w:id="2525" w:name="_Toc68169528"/>
      <w:bookmarkStart w:id="2526" w:name="_Toc97203221"/>
      <w:bookmarkStart w:id="2527" w:name="_Toc105674413"/>
      <w:bookmarkStart w:id="2528" w:name="_Toc130502453"/>
      <w:bookmarkStart w:id="2529" w:name="_Toc153625240"/>
      <w:r w:rsidRPr="000A0A5F">
        <w:rPr>
          <w:lang w:val="en-US"/>
        </w:rPr>
        <w:t>5.3.3</w:t>
      </w:r>
      <w:r w:rsidR="00AC79C0" w:rsidRPr="000A0A5F">
        <w:rPr>
          <w:lang w:val="en-US"/>
        </w:rPr>
        <w:t>A</w:t>
      </w:r>
      <w:r w:rsidRPr="000A0A5F">
        <w:t>.</w:t>
      </w:r>
      <w:r w:rsidR="00AC79C0" w:rsidRPr="000A0A5F">
        <w:t>3</w:t>
      </w:r>
      <w:r w:rsidRPr="000A0A5F">
        <w:t>.3.1</w:t>
      </w:r>
      <w:r w:rsidRPr="000A0A5F">
        <w:tab/>
        <w:t>Notification via HTTP POST</w:t>
      </w:r>
      <w:bookmarkEnd w:id="2517"/>
      <w:bookmarkEnd w:id="2518"/>
      <w:bookmarkEnd w:id="2519"/>
      <w:bookmarkEnd w:id="2520"/>
      <w:bookmarkEnd w:id="2521"/>
      <w:bookmarkEnd w:id="2522"/>
      <w:bookmarkEnd w:id="2523"/>
      <w:bookmarkEnd w:id="2524"/>
      <w:bookmarkEnd w:id="2525"/>
      <w:bookmarkEnd w:id="2526"/>
      <w:bookmarkEnd w:id="2527"/>
      <w:bookmarkEnd w:id="2528"/>
      <w:bookmarkEnd w:id="2529"/>
    </w:p>
    <w:p w:rsidR="00E37664" w:rsidRPr="000A0A5F" w:rsidRDefault="00E37664" w:rsidP="00E37664">
      <w:r w:rsidRPr="000A0A5F">
        <w:t>This method shall support the request data structures specified in table </w:t>
      </w:r>
      <w:r w:rsidRPr="000A0A5F">
        <w:rPr>
          <w:lang w:val="en-US"/>
        </w:rPr>
        <w:t>5.3.3</w:t>
      </w:r>
      <w:r w:rsidR="00AC79C0" w:rsidRPr="000A0A5F">
        <w:rPr>
          <w:lang w:val="en-US"/>
        </w:rPr>
        <w:t>A</w:t>
      </w:r>
      <w:r w:rsidRPr="000A0A5F">
        <w:t>.</w:t>
      </w:r>
      <w:r w:rsidR="00AC79C0" w:rsidRPr="000A0A5F">
        <w:t>3</w:t>
      </w:r>
      <w:r w:rsidRPr="000A0A5F">
        <w:t>.3.1-1 and the response data structures and response codes specified in table </w:t>
      </w:r>
      <w:r w:rsidRPr="000A0A5F">
        <w:rPr>
          <w:lang w:val="en-US"/>
        </w:rPr>
        <w:t>5.3.3</w:t>
      </w:r>
      <w:r w:rsidR="00AC79C0" w:rsidRPr="000A0A5F">
        <w:rPr>
          <w:lang w:val="en-US"/>
        </w:rPr>
        <w:t>A</w:t>
      </w:r>
      <w:r w:rsidRPr="000A0A5F">
        <w:t>.</w:t>
      </w:r>
      <w:r w:rsidR="00AC79C0" w:rsidRPr="000A0A5F">
        <w:t>3</w:t>
      </w:r>
      <w:r w:rsidRPr="000A0A5F">
        <w:t>.3.1-2.</w:t>
      </w:r>
    </w:p>
    <w:p w:rsidR="00E37664" w:rsidRPr="000A0A5F" w:rsidRDefault="00E37664" w:rsidP="00E37664">
      <w:pPr>
        <w:pStyle w:val="TH"/>
      </w:pPr>
      <w:r w:rsidRPr="000A0A5F">
        <w:t>Table </w:t>
      </w:r>
      <w:r w:rsidRPr="000A0A5F">
        <w:rPr>
          <w:lang w:val="en-US"/>
        </w:rPr>
        <w:t>5.3.3</w:t>
      </w:r>
      <w:r w:rsidR="00AC79C0" w:rsidRPr="000A0A5F">
        <w:rPr>
          <w:lang w:val="en-US"/>
        </w:rPr>
        <w:t>A</w:t>
      </w:r>
      <w:r w:rsidRPr="000A0A5F">
        <w:t>.</w:t>
      </w:r>
      <w:r w:rsidR="00AC79C0" w:rsidRPr="000A0A5F">
        <w:t>3</w:t>
      </w:r>
      <w:r w:rsidRPr="000A0A5F">
        <w:t>.3.1-1: Data structures supported by the POST Request Body on this resource</w:t>
      </w:r>
    </w:p>
    <w:tbl>
      <w:tblPr>
        <w:tblW w:w="472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23"/>
        <w:gridCol w:w="1151"/>
        <w:gridCol w:w="6373"/>
      </w:tblGrid>
      <w:tr w:rsidR="00E37664" w:rsidRPr="000A0A5F" w:rsidTr="004E6AB3">
        <w:trPr>
          <w:jc w:val="center"/>
        </w:trPr>
        <w:tc>
          <w:tcPr>
            <w:tcW w:w="1696" w:type="dxa"/>
            <w:shd w:val="clear" w:color="auto" w:fill="C0C0C0"/>
            <w:hideMark/>
          </w:tcPr>
          <w:p w:rsidR="00E37664" w:rsidRPr="000A0A5F" w:rsidRDefault="00E37664" w:rsidP="00840C99">
            <w:pPr>
              <w:pStyle w:val="TAH"/>
            </w:pPr>
            <w:r w:rsidRPr="000A0A5F">
              <w:t>Data type</w:t>
            </w:r>
          </w:p>
        </w:tc>
        <w:tc>
          <w:tcPr>
            <w:tcW w:w="1134" w:type="dxa"/>
            <w:shd w:val="clear" w:color="auto" w:fill="C0C0C0"/>
            <w:hideMark/>
          </w:tcPr>
          <w:p w:rsidR="00E37664" w:rsidRPr="000A0A5F" w:rsidRDefault="00E37664" w:rsidP="00840C99">
            <w:pPr>
              <w:pStyle w:val="TAH"/>
            </w:pPr>
            <w:r w:rsidRPr="000A0A5F">
              <w:t>Cardinality</w:t>
            </w:r>
          </w:p>
        </w:tc>
        <w:tc>
          <w:tcPr>
            <w:tcW w:w="6277" w:type="dxa"/>
            <w:shd w:val="clear" w:color="auto" w:fill="C0C0C0"/>
            <w:vAlign w:val="center"/>
            <w:hideMark/>
          </w:tcPr>
          <w:p w:rsidR="00E37664" w:rsidRPr="000A0A5F" w:rsidRDefault="00E37664" w:rsidP="00840C99">
            <w:pPr>
              <w:pStyle w:val="TAH"/>
            </w:pPr>
            <w:r w:rsidRPr="000A0A5F">
              <w:t>Description</w:t>
            </w:r>
          </w:p>
        </w:tc>
      </w:tr>
      <w:tr w:rsidR="00E37664" w:rsidRPr="000A0A5F" w:rsidTr="004E6AB3">
        <w:trPr>
          <w:jc w:val="center"/>
        </w:trPr>
        <w:tc>
          <w:tcPr>
            <w:tcW w:w="1696" w:type="dxa"/>
            <w:hideMark/>
          </w:tcPr>
          <w:p w:rsidR="00E37664" w:rsidRPr="000A0A5F" w:rsidRDefault="00E37664" w:rsidP="00840C99">
            <w:pPr>
              <w:pStyle w:val="TAL"/>
            </w:pPr>
            <w:r w:rsidRPr="000A0A5F">
              <w:t>ConsentRevocNotif</w:t>
            </w:r>
          </w:p>
        </w:tc>
        <w:tc>
          <w:tcPr>
            <w:tcW w:w="1134" w:type="dxa"/>
            <w:hideMark/>
          </w:tcPr>
          <w:p w:rsidR="00E37664" w:rsidRPr="000A0A5F" w:rsidRDefault="00E37664" w:rsidP="00840C99">
            <w:pPr>
              <w:pStyle w:val="TAC"/>
            </w:pPr>
            <w:r w:rsidRPr="000A0A5F">
              <w:t>1</w:t>
            </w:r>
          </w:p>
        </w:tc>
        <w:tc>
          <w:tcPr>
            <w:tcW w:w="6277" w:type="dxa"/>
            <w:hideMark/>
          </w:tcPr>
          <w:p w:rsidR="00E37664" w:rsidRPr="000A0A5F" w:rsidRDefault="00E37664" w:rsidP="00840C99">
            <w:pPr>
              <w:pStyle w:val="TAL"/>
              <w:rPr>
                <w:lang w:eastAsia="zh-CN"/>
              </w:rPr>
            </w:pPr>
            <w:r w:rsidRPr="000A0A5F">
              <w:rPr>
                <w:lang w:eastAsia="zh-CN"/>
              </w:rPr>
              <w:t>Contains the user consent revocation information.</w:t>
            </w:r>
          </w:p>
        </w:tc>
      </w:tr>
    </w:tbl>
    <w:p w:rsidR="00E37664" w:rsidRPr="000A0A5F" w:rsidRDefault="00E37664" w:rsidP="00E37664"/>
    <w:p w:rsidR="00E37664" w:rsidRPr="000A0A5F" w:rsidRDefault="00E37664" w:rsidP="00E37664">
      <w:pPr>
        <w:pStyle w:val="TH"/>
      </w:pPr>
      <w:r w:rsidRPr="000A0A5F">
        <w:t>Table </w:t>
      </w:r>
      <w:r w:rsidRPr="000A0A5F">
        <w:rPr>
          <w:lang w:val="en-US"/>
        </w:rPr>
        <w:t>5.3.3</w:t>
      </w:r>
      <w:r w:rsidR="00AC79C0" w:rsidRPr="000A0A5F">
        <w:rPr>
          <w:lang w:val="en-US"/>
        </w:rPr>
        <w:t>A</w:t>
      </w:r>
      <w:r w:rsidRPr="000A0A5F">
        <w:t>.</w:t>
      </w:r>
      <w:r w:rsidR="00AC79C0" w:rsidRPr="000A0A5F">
        <w:t>3</w:t>
      </w:r>
      <w:r w:rsidRPr="000A0A5F">
        <w:t>.3.1-2: Data structures supported by the POST Response Body on this resource</w:t>
      </w:r>
    </w:p>
    <w:tbl>
      <w:tblPr>
        <w:tblW w:w="472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24"/>
        <w:gridCol w:w="1152"/>
        <w:gridCol w:w="1439"/>
        <w:gridCol w:w="4932"/>
      </w:tblGrid>
      <w:tr w:rsidR="00E37664" w:rsidRPr="000A0A5F" w:rsidTr="004E6AB3">
        <w:trPr>
          <w:jc w:val="center"/>
        </w:trPr>
        <w:tc>
          <w:tcPr>
            <w:tcW w:w="932" w:type="pct"/>
            <w:shd w:val="clear" w:color="auto" w:fill="C0C0C0"/>
            <w:hideMark/>
          </w:tcPr>
          <w:p w:rsidR="00E37664" w:rsidRPr="000A0A5F" w:rsidRDefault="00E37664" w:rsidP="00840C99">
            <w:pPr>
              <w:pStyle w:val="TAH"/>
            </w:pPr>
            <w:r w:rsidRPr="000A0A5F">
              <w:t>Data type</w:t>
            </w:r>
          </w:p>
        </w:tc>
        <w:tc>
          <w:tcPr>
            <w:tcW w:w="623" w:type="pct"/>
            <w:shd w:val="clear" w:color="auto" w:fill="C0C0C0"/>
            <w:hideMark/>
          </w:tcPr>
          <w:p w:rsidR="00E37664" w:rsidRPr="000A0A5F" w:rsidRDefault="00E37664" w:rsidP="00840C99">
            <w:pPr>
              <w:pStyle w:val="TAH"/>
            </w:pPr>
            <w:r w:rsidRPr="000A0A5F">
              <w:t>Cardinality</w:t>
            </w:r>
          </w:p>
        </w:tc>
        <w:tc>
          <w:tcPr>
            <w:tcW w:w="778" w:type="pct"/>
            <w:shd w:val="clear" w:color="auto" w:fill="C0C0C0"/>
            <w:hideMark/>
          </w:tcPr>
          <w:p w:rsidR="00E37664" w:rsidRPr="000A0A5F" w:rsidRDefault="00E37664" w:rsidP="00840C99">
            <w:pPr>
              <w:pStyle w:val="TAH"/>
            </w:pPr>
            <w:r w:rsidRPr="000A0A5F">
              <w:t>Response</w:t>
            </w:r>
          </w:p>
          <w:p w:rsidR="00E37664" w:rsidRPr="000A0A5F" w:rsidRDefault="00E37664" w:rsidP="00840C99">
            <w:pPr>
              <w:pStyle w:val="TAH"/>
            </w:pPr>
            <w:r w:rsidRPr="000A0A5F">
              <w:t>codes</w:t>
            </w:r>
          </w:p>
        </w:tc>
        <w:tc>
          <w:tcPr>
            <w:tcW w:w="2668" w:type="pct"/>
            <w:shd w:val="clear" w:color="auto" w:fill="C0C0C0"/>
            <w:hideMark/>
          </w:tcPr>
          <w:p w:rsidR="00E37664" w:rsidRPr="000A0A5F" w:rsidRDefault="00E37664" w:rsidP="00840C99">
            <w:pPr>
              <w:pStyle w:val="TAH"/>
            </w:pPr>
            <w:r w:rsidRPr="000A0A5F">
              <w:t>Description</w:t>
            </w:r>
          </w:p>
        </w:tc>
      </w:tr>
      <w:tr w:rsidR="00E37664" w:rsidRPr="000A0A5F" w:rsidTr="004E6AB3">
        <w:trPr>
          <w:jc w:val="center"/>
        </w:trPr>
        <w:tc>
          <w:tcPr>
            <w:tcW w:w="932" w:type="pct"/>
            <w:hideMark/>
          </w:tcPr>
          <w:p w:rsidR="00E37664" w:rsidRPr="000A0A5F" w:rsidRDefault="00E37664" w:rsidP="00840C99">
            <w:pPr>
              <w:pStyle w:val="TAL"/>
            </w:pPr>
            <w:r w:rsidRPr="000A0A5F">
              <w:t>n/a</w:t>
            </w:r>
          </w:p>
        </w:tc>
        <w:tc>
          <w:tcPr>
            <w:tcW w:w="623" w:type="pct"/>
            <w:hideMark/>
          </w:tcPr>
          <w:p w:rsidR="00E37664" w:rsidRPr="000A0A5F" w:rsidRDefault="00E37664" w:rsidP="00840C99">
            <w:pPr>
              <w:pStyle w:val="TAC"/>
              <w:rPr>
                <w:b/>
              </w:rPr>
            </w:pPr>
          </w:p>
        </w:tc>
        <w:tc>
          <w:tcPr>
            <w:tcW w:w="778" w:type="pct"/>
            <w:hideMark/>
          </w:tcPr>
          <w:p w:rsidR="00E37664" w:rsidRPr="000A0A5F" w:rsidRDefault="00E37664" w:rsidP="00840C99">
            <w:pPr>
              <w:pStyle w:val="TAL"/>
            </w:pPr>
            <w:r w:rsidRPr="000A0A5F">
              <w:t>204 No Content</w:t>
            </w:r>
          </w:p>
        </w:tc>
        <w:tc>
          <w:tcPr>
            <w:tcW w:w="2668" w:type="pct"/>
          </w:tcPr>
          <w:p w:rsidR="00E37664" w:rsidRPr="000A0A5F" w:rsidRDefault="00E37664" w:rsidP="00840C99">
            <w:pPr>
              <w:pStyle w:val="TAL"/>
              <w:rPr>
                <w:lang w:eastAsia="zh-CN"/>
              </w:rPr>
            </w:pPr>
            <w:r w:rsidRPr="000A0A5F">
              <w:rPr>
                <w:lang w:eastAsia="zh-CN"/>
              </w:rPr>
              <w:t xml:space="preserve">Successful case. </w:t>
            </w:r>
            <w:r w:rsidRPr="000A0A5F">
              <w:rPr>
                <w:rFonts w:hint="eastAsia"/>
                <w:lang w:eastAsia="zh-CN"/>
              </w:rPr>
              <w:t xml:space="preserve">The </w:t>
            </w:r>
            <w:r w:rsidRPr="000A0A5F">
              <w:rPr>
                <w:noProof/>
              </w:rPr>
              <w:t xml:space="preserve">user consent revocation notification </w:t>
            </w:r>
            <w:r w:rsidRPr="000A0A5F">
              <w:rPr>
                <w:lang w:eastAsia="zh-CN"/>
              </w:rPr>
              <w:t>is successfully received.</w:t>
            </w:r>
          </w:p>
        </w:tc>
      </w:tr>
      <w:tr w:rsidR="00E37664" w:rsidRPr="000A0A5F" w:rsidTr="004E6AB3">
        <w:trPr>
          <w:jc w:val="center"/>
        </w:trPr>
        <w:tc>
          <w:tcPr>
            <w:tcW w:w="932" w:type="pct"/>
          </w:tcPr>
          <w:p w:rsidR="00E37664" w:rsidRPr="000A0A5F" w:rsidRDefault="00E37664" w:rsidP="00840C99">
            <w:pPr>
              <w:pStyle w:val="TAL"/>
            </w:pPr>
            <w:r w:rsidRPr="000A0A5F">
              <w:t>n/a</w:t>
            </w:r>
          </w:p>
        </w:tc>
        <w:tc>
          <w:tcPr>
            <w:tcW w:w="623" w:type="pct"/>
          </w:tcPr>
          <w:p w:rsidR="00E37664" w:rsidRPr="000A0A5F" w:rsidRDefault="00E37664" w:rsidP="00840C99">
            <w:pPr>
              <w:pStyle w:val="TAC"/>
              <w:rPr>
                <w:b/>
              </w:rPr>
            </w:pPr>
          </w:p>
        </w:tc>
        <w:tc>
          <w:tcPr>
            <w:tcW w:w="778" w:type="pct"/>
          </w:tcPr>
          <w:p w:rsidR="00E37664" w:rsidRPr="000A0A5F" w:rsidRDefault="00E37664" w:rsidP="00840C99">
            <w:pPr>
              <w:pStyle w:val="TAL"/>
            </w:pPr>
            <w:r w:rsidRPr="000A0A5F">
              <w:t>307 Temporary Redirect</w:t>
            </w:r>
          </w:p>
        </w:tc>
        <w:tc>
          <w:tcPr>
            <w:tcW w:w="2668" w:type="pct"/>
          </w:tcPr>
          <w:p w:rsidR="00E37664" w:rsidRPr="000A0A5F" w:rsidRDefault="00E37664" w:rsidP="00840C99">
            <w:pPr>
              <w:pStyle w:val="TAL"/>
            </w:pPr>
            <w:r w:rsidRPr="000A0A5F">
              <w:t>Temporary redirection. The response shall include a Location header field containing an alternative URI representing the end point of an alternative AF where the notification should be sent.</w:t>
            </w:r>
          </w:p>
          <w:p w:rsidR="00E37664" w:rsidRPr="000A0A5F" w:rsidRDefault="00E37664" w:rsidP="00840C99">
            <w:pPr>
              <w:pStyle w:val="TAL"/>
              <w:rPr>
                <w:lang w:eastAsia="zh-CN"/>
              </w:rPr>
            </w:pPr>
            <w:r w:rsidRPr="000A0A5F">
              <w:t>Redirection handling is described in clause 5.2.10 of 3GPP TS 29.122 [4].</w:t>
            </w:r>
          </w:p>
        </w:tc>
      </w:tr>
      <w:tr w:rsidR="00E37664" w:rsidRPr="000A0A5F" w:rsidTr="004E6AB3">
        <w:trPr>
          <w:jc w:val="center"/>
        </w:trPr>
        <w:tc>
          <w:tcPr>
            <w:tcW w:w="932" w:type="pct"/>
          </w:tcPr>
          <w:p w:rsidR="00E37664" w:rsidRPr="000A0A5F" w:rsidRDefault="00E37664" w:rsidP="00840C99">
            <w:pPr>
              <w:pStyle w:val="TAL"/>
            </w:pPr>
            <w:r w:rsidRPr="000A0A5F">
              <w:t>n/a</w:t>
            </w:r>
          </w:p>
        </w:tc>
        <w:tc>
          <w:tcPr>
            <w:tcW w:w="623" w:type="pct"/>
          </w:tcPr>
          <w:p w:rsidR="00E37664" w:rsidRPr="000A0A5F" w:rsidRDefault="00E37664" w:rsidP="00840C99">
            <w:pPr>
              <w:pStyle w:val="TAC"/>
              <w:rPr>
                <w:b/>
              </w:rPr>
            </w:pPr>
          </w:p>
        </w:tc>
        <w:tc>
          <w:tcPr>
            <w:tcW w:w="778" w:type="pct"/>
          </w:tcPr>
          <w:p w:rsidR="00E37664" w:rsidRPr="000A0A5F" w:rsidRDefault="00E37664" w:rsidP="00840C99">
            <w:pPr>
              <w:pStyle w:val="TAL"/>
            </w:pPr>
            <w:r w:rsidRPr="000A0A5F">
              <w:t>308 Permanent Redirect</w:t>
            </w:r>
          </w:p>
        </w:tc>
        <w:tc>
          <w:tcPr>
            <w:tcW w:w="2668" w:type="pct"/>
          </w:tcPr>
          <w:p w:rsidR="00E37664" w:rsidRPr="000A0A5F" w:rsidRDefault="00E37664" w:rsidP="00840C99">
            <w:pPr>
              <w:pStyle w:val="TAL"/>
            </w:pPr>
            <w:r w:rsidRPr="000A0A5F">
              <w:t>Permanent redirection. The response shall include a Location header field containing an alternative URI representing the end point of an alternative AF where the notification should be sent.</w:t>
            </w:r>
          </w:p>
          <w:p w:rsidR="00E37664" w:rsidRPr="000A0A5F" w:rsidRDefault="00E37664" w:rsidP="00840C99">
            <w:pPr>
              <w:pStyle w:val="TAL"/>
              <w:rPr>
                <w:lang w:eastAsia="zh-CN"/>
              </w:rPr>
            </w:pPr>
            <w:r w:rsidRPr="000A0A5F">
              <w:t>Redirection handling is described in clause 5.2.10 of 3GPP TS 29.122 [4].</w:t>
            </w:r>
          </w:p>
        </w:tc>
      </w:tr>
    </w:tbl>
    <w:p w:rsidR="00E37664" w:rsidRPr="000A0A5F" w:rsidRDefault="00E37664" w:rsidP="00E37664">
      <w:pPr>
        <w:rPr>
          <w:noProof/>
        </w:rPr>
      </w:pPr>
    </w:p>
    <w:p w:rsidR="00E37664" w:rsidRPr="000A0A5F" w:rsidRDefault="00E37664" w:rsidP="00E37664">
      <w:pPr>
        <w:pStyle w:val="TH"/>
      </w:pPr>
      <w:r w:rsidRPr="000A0A5F">
        <w:t>Table </w:t>
      </w:r>
      <w:r w:rsidRPr="000A0A5F">
        <w:rPr>
          <w:lang w:val="en-US"/>
        </w:rPr>
        <w:t>5.3.3</w:t>
      </w:r>
      <w:r w:rsidR="00AC79C0" w:rsidRPr="000A0A5F">
        <w:rPr>
          <w:lang w:val="en-US"/>
        </w:rPr>
        <w:t>A</w:t>
      </w:r>
      <w:r w:rsidRPr="000A0A5F">
        <w:t>.</w:t>
      </w:r>
      <w:r w:rsidR="00AC79C0" w:rsidRPr="000A0A5F">
        <w:t>3</w:t>
      </w:r>
      <w:r w:rsidRPr="000A0A5F">
        <w:t>.3.1-3: Headers supported by the 307 Response Code on this resource</w:t>
      </w:r>
    </w:p>
    <w:tbl>
      <w:tblPr>
        <w:tblW w:w="4782"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2"/>
        <w:gridCol w:w="1431"/>
        <w:gridCol w:w="1137"/>
        <w:gridCol w:w="5171"/>
      </w:tblGrid>
      <w:tr w:rsidR="00E37664" w:rsidRPr="000A0A5F" w:rsidTr="004E6AB3">
        <w:trPr>
          <w:jc w:val="center"/>
        </w:trPr>
        <w:tc>
          <w:tcPr>
            <w:tcW w:w="862" w:type="pct"/>
            <w:shd w:val="clear" w:color="auto" w:fill="C0C0C0"/>
          </w:tcPr>
          <w:p w:rsidR="00E37664" w:rsidRPr="000A0A5F" w:rsidRDefault="00E37664" w:rsidP="00840C99">
            <w:pPr>
              <w:pStyle w:val="TAH"/>
            </w:pPr>
            <w:r w:rsidRPr="000A0A5F">
              <w:t>Name</w:t>
            </w:r>
          </w:p>
        </w:tc>
        <w:tc>
          <w:tcPr>
            <w:tcW w:w="765" w:type="pct"/>
            <w:shd w:val="clear" w:color="auto" w:fill="C0C0C0"/>
          </w:tcPr>
          <w:p w:rsidR="00E37664" w:rsidRPr="000A0A5F" w:rsidRDefault="00E37664" w:rsidP="00840C99">
            <w:pPr>
              <w:pStyle w:val="TAH"/>
            </w:pPr>
            <w:r w:rsidRPr="000A0A5F">
              <w:t>Data type</w:t>
            </w:r>
          </w:p>
        </w:tc>
        <w:tc>
          <w:tcPr>
            <w:tcW w:w="608" w:type="pct"/>
            <w:shd w:val="clear" w:color="auto" w:fill="C0C0C0"/>
          </w:tcPr>
          <w:p w:rsidR="00E37664" w:rsidRPr="000A0A5F" w:rsidRDefault="00E37664" w:rsidP="00840C99">
            <w:pPr>
              <w:pStyle w:val="TAH"/>
            </w:pPr>
            <w:r w:rsidRPr="000A0A5F">
              <w:t>Cardinality</w:t>
            </w:r>
          </w:p>
        </w:tc>
        <w:tc>
          <w:tcPr>
            <w:tcW w:w="2765" w:type="pct"/>
            <w:shd w:val="clear" w:color="auto" w:fill="C0C0C0"/>
            <w:vAlign w:val="center"/>
          </w:tcPr>
          <w:p w:rsidR="00E37664" w:rsidRPr="000A0A5F" w:rsidRDefault="00E37664" w:rsidP="00840C99">
            <w:pPr>
              <w:pStyle w:val="TAH"/>
            </w:pPr>
            <w:r w:rsidRPr="000A0A5F">
              <w:t>Description</w:t>
            </w:r>
          </w:p>
        </w:tc>
      </w:tr>
      <w:tr w:rsidR="00E37664" w:rsidRPr="000A0A5F" w:rsidTr="004E6AB3">
        <w:trPr>
          <w:jc w:val="center"/>
        </w:trPr>
        <w:tc>
          <w:tcPr>
            <w:tcW w:w="862" w:type="pct"/>
            <w:shd w:val="clear" w:color="auto" w:fill="auto"/>
          </w:tcPr>
          <w:p w:rsidR="00E37664" w:rsidRPr="000A0A5F" w:rsidRDefault="00E37664" w:rsidP="00840C99">
            <w:pPr>
              <w:pStyle w:val="TAL"/>
            </w:pPr>
            <w:r w:rsidRPr="000A0A5F">
              <w:t>Location</w:t>
            </w:r>
          </w:p>
        </w:tc>
        <w:tc>
          <w:tcPr>
            <w:tcW w:w="765" w:type="pct"/>
          </w:tcPr>
          <w:p w:rsidR="00E37664" w:rsidRPr="000A0A5F" w:rsidRDefault="00E37664" w:rsidP="00840C99">
            <w:pPr>
              <w:pStyle w:val="TAL"/>
            </w:pPr>
            <w:r w:rsidRPr="000A0A5F">
              <w:t>string</w:t>
            </w:r>
          </w:p>
        </w:tc>
        <w:tc>
          <w:tcPr>
            <w:tcW w:w="608" w:type="pct"/>
          </w:tcPr>
          <w:p w:rsidR="00E37664" w:rsidRPr="000A0A5F" w:rsidRDefault="00E37664" w:rsidP="00840C99">
            <w:pPr>
              <w:pStyle w:val="TAC"/>
            </w:pPr>
            <w:r w:rsidRPr="000A0A5F">
              <w:t>1</w:t>
            </w:r>
          </w:p>
        </w:tc>
        <w:tc>
          <w:tcPr>
            <w:tcW w:w="2765" w:type="pct"/>
            <w:shd w:val="clear" w:color="auto" w:fill="auto"/>
            <w:vAlign w:val="center"/>
          </w:tcPr>
          <w:p w:rsidR="00E37664" w:rsidRPr="000A0A5F" w:rsidRDefault="00E37664" w:rsidP="00840C99">
            <w:pPr>
              <w:pStyle w:val="TAL"/>
            </w:pPr>
            <w:r w:rsidRPr="000A0A5F">
              <w:t>An alternative URI representing the end point of an alternative AF towards which the notification should be redirected.</w:t>
            </w:r>
          </w:p>
        </w:tc>
      </w:tr>
    </w:tbl>
    <w:p w:rsidR="00E37664" w:rsidRPr="000A0A5F" w:rsidRDefault="00E37664" w:rsidP="00E37664"/>
    <w:p w:rsidR="00E37664" w:rsidRPr="000A0A5F" w:rsidRDefault="00E37664" w:rsidP="00E37664">
      <w:pPr>
        <w:pStyle w:val="TH"/>
      </w:pPr>
      <w:r w:rsidRPr="000A0A5F">
        <w:t>Table </w:t>
      </w:r>
      <w:r w:rsidRPr="000A0A5F">
        <w:rPr>
          <w:lang w:val="en-US"/>
        </w:rPr>
        <w:t>5.3.3</w:t>
      </w:r>
      <w:r w:rsidR="00AC79C0" w:rsidRPr="000A0A5F">
        <w:rPr>
          <w:lang w:val="en-US"/>
        </w:rPr>
        <w:t>A</w:t>
      </w:r>
      <w:r w:rsidRPr="000A0A5F">
        <w:t>.</w:t>
      </w:r>
      <w:r w:rsidR="00AC79C0" w:rsidRPr="000A0A5F">
        <w:t>3</w:t>
      </w:r>
      <w:r w:rsidRPr="000A0A5F">
        <w:t>.3.1-4: Headers supported by the 308 Response Code on this resource</w:t>
      </w:r>
    </w:p>
    <w:tbl>
      <w:tblPr>
        <w:tblW w:w="4782"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2"/>
        <w:gridCol w:w="1431"/>
        <w:gridCol w:w="1137"/>
        <w:gridCol w:w="5171"/>
      </w:tblGrid>
      <w:tr w:rsidR="00E37664" w:rsidRPr="000A0A5F" w:rsidTr="004E6AB3">
        <w:trPr>
          <w:jc w:val="center"/>
        </w:trPr>
        <w:tc>
          <w:tcPr>
            <w:tcW w:w="862" w:type="pct"/>
            <w:shd w:val="clear" w:color="auto" w:fill="C0C0C0"/>
          </w:tcPr>
          <w:p w:rsidR="00E37664" w:rsidRPr="000A0A5F" w:rsidRDefault="00E37664" w:rsidP="00840C99">
            <w:pPr>
              <w:pStyle w:val="TAH"/>
            </w:pPr>
            <w:r w:rsidRPr="000A0A5F">
              <w:t>Name</w:t>
            </w:r>
          </w:p>
        </w:tc>
        <w:tc>
          <w:tcPr>
            <w:tcW w:w="765" w:type="pct"/>
            <w:shd w:val="clear" w:color="auto" w:fill="C0C0C0"/>
          </w:tcPr>
          <w:p w:rsidR="00E37664" w:rsidRPr="000A0A5F" w:rsidRDefault="00E37664" w:rsidP="00840C99">
            <w:pPr>
              <w:pStyle w:val="TAH"/>
            </w:pPr>
            <w:r w:rsidRPr="000A0A5F">
              <w:t>Data type</w:t>
            </w:r>
          </w:p>
        </w:tc>
        <w:tc>
          <w:tcPr>
            <w:tcW w:w="608" w:type="pct"/>
            <w:shd w:val="clear" w:color="auto" w:fill="C0C0C0"/>
          </w:tcPr>
          <w:p w:rsidR="00E37664" w:rsidRPr="000A0A5F" w:rsidRDefault="00E37664" w:rsidP="00840C99">
            <w:pPr>
              <w:pStyle w:val="TAH"/>
            </w:pPr>
            <w:r w:rsidRPr="000A0A5F">
              <w:t>Cardinality</w:t>
            </w:r>
          </w:p>
        </w:tc>
        <w:tc>
          <w:tcPr>
            <w:tcW w:w="2765" w:type="pct"/>
            <w:shd w:val="clear" w:color="auto" w:fill="C0C0C0"/>
            <w:vAlign w:val="center"/>
          </w:tcPr>
          <w:p w:rsidR="00E37664" w:rsidRPr="000A0A5F" w:rsidRDefault="00E37664" w:rsidP="00840C99">
            <w:pPr>
              <w:pStyle w:val="TAH"/>
            </w:pPr>
            <w:r w:rsidRPr="000A0A5F">
              <w:t>Description</w:t>
            </w:r>
          </w:p>
        </w:tc>
      </w:tr>
      <w:tr w:rsidR="00E37664" w:rsidRPr="000A0A5F" w:rsidTr="004E6AB3">
        <w:trPr>
          <w:jc w:val="center"/>
        </w:trPr>
        <w:tc>
          <w:tcPr>
            <w:tcW w:w="862" w:type="pct"/>
            <w:shd w:val="clear" w:color="auto" w:fill="auto"/>
          </w:tcPr>
          <w:p w:rsidR="00E37664" w:rsidRPr="000A0A5F" w:rsidRDefault="00E37664" w:rsidP="00840C99">
            <w:pPr>
              <w:pStyle w:val="TAL"/>
            </w:pPr>
            <w:r w:rsidRPr="000A0A5F">
              <w:t>Location</w:t>
            </w:r>
          </w:p>
        </w:tc>
        <w:tc>
          <w:tcPr>
            <w:tcW w:w="765" w:type="pct"/>
          </w:tcPr>
          <w:p w:rsidR="00E37664" w:rsidRPr="000A0A5F" w:rsidRDefault="00E37664" w:rsidP="00840C99">
            <w:pPr>
              <w:pStyle w:val="TAL"/>
            </w:pPr>
            <w:r w:rsidRPr="000A0A5F">
              <w:t>string</w:t>
            </w:r>
          </w:p>
        </w:tc>
        <w:tc>
          <w:tcPr>
            <w:tcW w:w="608" w:type="pct"/>
          </w:tcPr>
          <w:p w:rsidR="00E37664" w:rsidRPr="000A0A5F" w:rsidRDefault="00E37664" w:rsidP="00840C99">
            <w:pPr>
              <w:pStyle w:val="TAC"/>
            </w:pPr>
            <w:r w:rsidRPr="000A0A5F">
              <w:t>1</w:t>
            </w:r>
          </w:p>
        </w:tc>
        <w:tc>
          <w:tcPr>
            <w:tcW w:w="2765" w:type="pct"/>
            <w:shd w:val="clear" w:color="auto" w:fill="auto"/>
            <w:vAlign w:val="center"/>
          </w:tcPr>
          <w:p w:rsidR="00E37664" w:rsidRPr="000A0A5F" w:rsidRDefault="00E37664" w:rsidP="00840C99">
            <w:pPr>
              <w:pStyle w:val="TAL"/>
            </w:pPr>
            <w:r w:rsidRPr="000A0A5F">
              <w:t>An alternative URI representing the end point of an alternative AF towards which the notification should be redirected.</w:t>
            </w:r>
          </w:p>
        </w:tc>
      </w:tr>
    </w:tbl>
    <w:p w:rsidR="00E37664" w:rsidRPr="000A0A5F" w:rsidRDefault="00E37664" w:rsidP="00E37664"/>
    <w:p w:rsidR="00E37664" w:rsidRPr="000A0A5F" w:rsidRDefault="00E37664" w:rsidP="00E37664">
      <w:pPr>
        <w:pStyle w:val="Heading6"/>
      </w:pPr>
      <w:bookmarkStart w:id="2530" w:name="_Toc28013375"/>
      <w:bookmarkStart w:id="2531" w:name="_Toc36040131"/>
      <w:bookmarkStart w:id="2532" w:name="_Toc44692748"/>
      <w:bookmarkStart w:id="2533" w:name="_Toc45134209"/>
      <w:bookmarkStart w:id="2534" w:name="_Toc49607273"/>
      <w:bookmarkStart w:id="2535" w:name="_Toc51763245"/>
      <w:bookmarkStart w:id="2536" w:name="_Toc58850143"/>
      <w:bookmarkStart w:id="2537" w:name="_Toc59018523"/>
      <w:bookmarkStart w:id="2538" w:name="_Toc68169529"/>
      <w:bookmarkStart w:id="2539" w:name="_Toc97203222"/>
      <w:bookmarkStart w:id="2540" w:name="_Toc105674414"/>
      <w:bookmarkStart w:id="2541" w:name="_Toc130502454"/>
      <w:bookmarkStart w:id="2542" w:name="_Toc153625241"/>
      <w:r w:rsidRPr="000A0A5F">
        <w:rPr>
          <w:lang w:val="en-US"/>
        </w:rPr>
        <w:t>5.3.3</w:t>
      </w:r>
      <w:r w:rsidR="00AC79C0" w:rsidRPr="000A0A5F">
        <w:rPr>
          <w:lang w:val="en-US"/>
        </w:rPr>
        <w:t>A</w:t>
      </w:r>
      <w:r w:rsidRPr="000A0A5F">
        <w:t>.</w:t>
      </w:r>
      <w:r w:rsidR="00AC79C0" w:rsidRPr="000A0A5F">
        <w:t>3</w:t>
      </w:r>
      <w:r w:rsidRPr="000A0A5F">
        <w:t>.3.2</w:t>
      </w:r>
      <w:r w:rsidRPr="000A0A5F">
        <w:tab/>
        <w:t>Notification via Websocket</w:t>
      </w:r>
      <w:bookmarkEnd w:id="2530"/>
      <w:bookmarkEnd w:id="2531"/>
      <w:bookmarkEnd w:id="2532"/>
      <w:bookmarkEnd w:id="2533"/>
      <w:bookmarkEnd w:id="2534"/>
      <w:bookmarkEnd w:id="2535"/>
      <w:bookmarkEnd w:id="2536"/>
      <w:bookmarkEnd w:id="2537"/>
      <w:bookmarkEnd w:id="2538"/>
      <w:bookmarkEnd w:id="2539"/>
      <w:bookmarkEnd w:id="2540"/>
      <w:bookmarkEnd w:id="2541"/>
      <w:bookmarkEnd w:id="2542"/>
    </w:p>
    <w:p w:rsidR="00E37664" w:rsidRPr="000A0A5F" w:rsidRDefault="00E37664" w:rsidP="00E37664">
      <w:pPr>
        <w:rPr>
          <w:lang w:eastAsia="zh-CN"/>
        </w:rPr>
      </w:pPr>
      <w:r w:rsidRPr="000A0A5F">
        <w:t>If supported by both the AF and the NEF and successfully negotiated</w:t>
      </w:r>
      <w:r w:rsidRPr="000A0A5F">
        <w:rPr>
          <w:lang w:eastAsia="zh-CN"/>
        </w:rPr>
        <w:t xml:space="preserve">, the </w:t>
      </w:r>
      <w:r w:rsidRPr="000A0A5F">
        <w:t>User Consent Revocation Notification</w:t>
      </w:r>
      <w:r w:rsidRPr="000A0A5F">
        <w:rPr>
          <w:lang w:eastAsia="zh-CN"/>
        </w:rPr>
        <w:t xml:space="preserve"> may alternatively be delivered via the Websocket mechanism, as defined in clause</w:t>
      </w:r>
      <w:r w:rsidRPr="000A0A5F">
        <w:rPr>
          <w:lang w:val="en-US" w:eastAsia="zh-CN"/>
        </w:rPr>
        <w:t> </w:t>
      </w:r>
      <w:r w:rsidRPr="000A0A5F">
        <w:rPr>
          <w:lang w:eastAsia="zh-CN"/>
        </w:rPr>
        <w:t>5.2.5.4 of 3GPP TS 29.122 [4].</w:t>
      </w:r>
    </w:p>
    <w:p w:rsidR="00CB0DD7" w:rsidRPr="000A0A5F" w:rsidRDefault="00CB0DD7">
      <w:pPr>
        <w:pStyle w:val="Heading3"/>
      </w:pPr>
      <w:bookmarkStart w:id="2543" w:name="_Toc105674415"/>
      <w:bookmarkStart w:id="2544" w:name="_Toc130502455"/>
      <w:bookmarkStart w:id="2545" w:name="_Toc153625242"/>
      <w:r w:rsidRPr="000A0A5F">
        <w:t>5.3.4</w:t>
      </w:r>
      <w:r w:rsidRPr="000A0A5F">
        <w:tab/>
        <w:t>Used Features</w:t>
      </w:r>
      <w:bookmarkEnd w:id="2456"/>
      <w:bookmarkEnd w:id="2457"/>
      <w:bookmarkEnd w:id="2458"/>
      <w:bookmarkEnd w:id="2459"/>
      <w:bookmarkEnd w:id="2460"/>
      <w:bookmarkEnd w:id="2461"/>
      <w:bookmarkEnd w:id="2462"/>
      <w:bookmarkEnd w:id="2463"/>
      <w:bookmarkEnd w:id="2464"/>
      <w:bookmarkEnd w:id="2543"/>
      <w:bookmarkEnd w:id="2544"/>
      <w:bookmarkEnd w:id="2545"/>
    </w:p>
    <w:p w:rsidR="00CB0DD7" w:rsidRPr="000A0A5F" w:rsidRDefault="00CB0DD7">
      <w:r w:rsidRPr="000A0A5F">
        <w:t>The table below defines the features applicable to the MonitoringEvent API. Those features are negotiated as described in clause 5.2.7.</w:t>
      </w:r>
    </w:p>
    <w:p w:rsidR="00CB0DD7" w:rsidRPr="000A0A5F" w:rsidRDefault="00B004CD">
      <w:pPr>
        <w:pStyle w:val="TH"/>
      </w:pPr>
      <w:r w:rsidRPr="000A0A5F">
        <w:t>Table </w:t>
      </w:r>
      <w:r w:rsidR="00CB0DD7" w:rsidRPr="000A0A5F">
        <w:t>5.</w:t>
      </w:r>
      <w:r w:rsidR="00CB0DD7" w:rsidRPr="000A0A5F">
        <w:rPr>
          <w:rFonts w:hint="eastAsia"/>
        </w:rPr>
        <w:t>3</w:t>
      </w:r>
      <w:r w:rsidR="00CB0DD7" w:rsidRPr="000A0A5F">
        <w:t>.4-1: Features used by MonitoringEvent API</w:t>
      </w:r>
    </w:p>
    <w:tbl>
      <w:tblPr>
        <w:tblW w:w="975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6"/>
        <w:gridCol w:w="877"/>
        <w:gridCol w:w="116"/>
        <w:gridCol w:w="3994"/>
        <w:gridCol w:w="116"/>
        <w:gridCol w:w="4420"/>
        <w:gridCol w:w="116"/>
        <w:tblGridChange w:id="2546">
          <w:tblGrid>
            <w:gridCol w:w="116"/>
            <w:gridCol w:w="877"/>
            <w:gridCol w:w="116"/>
            <w:gridCol w:w="3994"/>
            <w:gridCol w:w="116"/>
            <w:gridCol w:w="4420"/>
            <w:gridCol w:w="116"/>
          </w:tblGrid>
        </w:tblGridChange>
      </w:tblGrid>
      <w:tr w:rsidR="00CB0DD7" w:rsidRPr="000A0A5F" w:rsidTr="00542565">
        <w:trPr>
          <w:gridAfter w:val="1"/>
          <w:wAfter w:w="116" w:type="dxa"/>
          <w:cantSplit/>
          <w:jc w:val="center"/>
        </w:trPr>
        <w:tc>
          <w:tcPr>
            <w:tcW w:w="993" w:type="dxa"/>
            <w:gridSpan w:val="2"/>
            <w:shd w:val="clear" w:color="auto" w:fill="C0C0C0"/>
          </w:tcPr>
          <w:p w:rsidR="00CB0DD7" w:rsidRPr="000A0A5F" w:rsidRDefault="00CB0DD7">
            <w:pPr>
              <w:pStyle w:val="TAH"/>
              <w:rPr>
                <w:rFonts w:eastAsia="Times New Roman"/>
              </w:rPr>
            </w:pPr>
            <w:r w:rsidRPr="000A0A5F">
              <w:t>Feature Number</w:t>
            </w:r>
          </w:p>
        </w:tc>
        <w:tc>
          <w:tcPr>
            <w:tcW w:w="4110" w:type="dxa"/>
            <w:gridSpan w:val="2"/>
            <w:shd w:val="clear" w:color="auto" w:fill="C0C0C0"/>
          </w:tcPr>
          <w:p w:rsidR="00CB0DD7" w:rsidRPr="000A0A5F" w:rsidRDefault="00CB0DD7">
            <w:pPr>
              <w:pStyle w:val="TAH"/>
              <w:rPr>
                <w:rFonts w:eastAsia="Times New Roman"/>
              </w:rPr>
            </w:pPr>
            <w:r w:rsidRPr="000A0A5F">
              <w:rPr>
                <w:rFonts w:eastAsia="Times New Roman"/>
              </w:rPr>
              <w:t>Feature</w:t>
            </w:r>
          </w:p>
        </w:tc>
        <w:tc>
          <w:tcPr>
            <w:tcW w:w="4536" w:type="dxa"/>
            <w:gridSpan w:val="2"/>
            <w:shd w:val="clear" w:color="auto" w:fill="C0C0C0"/>
          </w:tcPr>
          <w:p w:rsidR="00CB0DD7" w:rsidRPr="000A0A5F" w:rsidRDefault="00CB0DD7">
            <w:pPr>
              <w:pStyle w:val="TAH"/>
              <w:rPr>
                <w:rFonts w:eastAsia="Batang"/>
                <w:lang w:eastAsia="ko-KR"/>
              </w:rPr>
            </w:pPr>
            <w:r w:rsidRPr="000A0A5F">
              <w:rPr>
                <w:rFonts w:eastAsia="Times New Roman"/>
              </w:rPr>
              <w:t>Description</w:t>
            </w:r>
          </w:p>
        </w:tc>
      </w:tr>
      <w:tr w:rsidR="00CB0DD7" w:rsidRPr="000A0A5F" w:rsidTr="00542565">
        <w:trPr>
          <w:gridAfter w:val="1"/>
          <w:wAfter w:w="116" w:type="dxa"/>
          <w:cantSplit/>
          <w:jc w:val="center"/>
        </w:trPr>
        <w:tc>
          <w:tcPr>
            <w:tcW w:w="993" w:type="dxa"/>
            <w:gridSpan w:val="2"/>
          </w:tcPr>
          <w:p w:rsidR="00CB0DD7" w:rsidRPr="000A0A5F" w:rsidRDefault="00CB0DD7">
            <w:pPr>
              <w:pStyle w:val="TAL"/>
              <w:jc w:val="center"/>
            </w:pPr>
            <w:r w:rsidRPr="000A0A5F">
              <w:t>1</w:t>
            </w:r>
          </w:p>
        </w:tc>
        <w:tc>
          <w:tcPr>
            <w:tcW w:w="4110" w:type="dxa"/>
            <w:gridSpan w:val="2"/>
          </w:tcPr>
          <w:p w:rsidR="00CB0DD7" w:rsidRPr="000A0A5F" w:rsidRDefault="00CB0DD7">
            <w:pPr>
              <w:pStyle w:val="TAL"/>
              <w:rPr>
                <w:lang w:eastAsia="zh-CN"/>
              </w:rPr>
            </w:pPr>
            <w:r w:rsidRPr="000A0A5F">
              <w:t>Loss_of_connectivity_notification</w:t>
            </w:r>
          </w:p>
        </w:tc>
        <w:tc>
          <w:tcPr>
            <w:tcW w:w="4536" w:type="dxa"/>
            <w:gridSpan w:val="2"/>
          </w:tcPr>
          <w:p w:rsidR="00CB0DD7" w:rsidRPr="000A0A5F" w:rsidRDefault="00CB0DD7">
            <w:pPr>
              <w:pStyle w:val="TAL"/>
              <w:rPr>
                <w:lang w:eastAsia="zh-CN"/>
              </w:rPr>
            </w:pPr>
            <w:r w:rsidRPr="000A0A5F">
              <w:rPr>
                <w:rFonts w:cs="Arial"/>
                <w:szCs w:val="18"/>
                <w:lang w:eastAsia="zh-CN"/>
              </w:rPr>
              <w:t>The SCS/AS is notified when the 3GPP network detects that the UE is no longer reachable for signalling or user plane communication</w:t>
            </w:r>
          </w:p>
        </w:tc>
      </w:tr>
      <w:tr w:rsidR="00CB0DD7" w:rsidRPr="000A0A5F" w:rsidTr="00542565">
        <w:trPr>
          <w:gridAfter w:val="1"/>
          <w:wAfter w:w="116" w:type="dxa"/>
          <w:cantSplit/>
          <w:jc w:val="center"/>
        </w:trPr>
        <w:tc>
          <w:tcPr>
            <w:tcW w:w="993" w:type="dxa"/>
            <w:gridSpan w:val="2"/>
          </w:tcPr>
          <w:p w:rsidR="00CB0DD7" w:rsidRPr="000A0A5F" w:rsidRDefault="00CB0DD7">
            <w:pPr>
              <w:pStyle w:val="TAL"/>
              <w:jc w:val="center"/>
            </w:pPr>
            <w:r w:rsidRPr="000A0A5F">
              <w:t>2</w:t>
            </w:r>
          </w:p>
        </w:tc>
        <w:tc>
          <w:tcPr>
            <w:tcW w:w="4110" w:type="dxa"/>
            <w:gridSpan w:val="2"/>
          </w:tcPr>
          <w:p w:rsidR="00CB0DD7" w:rsidRPr="000A0A5F" w:rsidRDefault="00CB0DD7">
            <w:pPr>
              <w:pStyle w:val="TAL"/>
              <w:rPr>
                <w:lang w:eastAsia="zh-CN"/>
              </w:rPr>
            </w:pPr>
            <w:r w:rsidRPr="000A0A5F">
              <w:t>Ue-reachability_notification</w:t>
            </w:r>
          </w:p>
        </w:tc>
        <w:tc>
          <w:tcPr>
            <w:tcW w:w="4536" w:type="dxa"/>
            <w:gridSpan w:val="2"/>
          </w:tcPr>
          <w:p w:rsidR="00CB0DD7" w:rsidRPr="000A0A5F" w:rsidRDefault="00CB0DD7">
            <w:pPr>
              <w:pStyle w:val="TAL"/>
              <w:rPr>
                <w:lang w:eastAsia="zh-CN"/>
              </w:rPr>
            </w:pPr>
            <w:r w:rsidRPr="000A0A5F">
              <w:rPr>
                <w:rFonts w:cs="Arial"/>
                <w:szCs w:val="18"/>
                <w:lang w:eastAsia="zh-CN"/>
              </w:rPr>
              <w:t>The SCS/AS is notified when the UE becomes reachable for sending either SMS or downlink data to the UE</w:t>
            </w:r>
          </w:p>
        </w:tc>
      </w:tr>
      <w:tr w:rsidR="00CB0DD7" w:rsidRPr="000A0A5F" w:rsidTr="00542565">
        <w:trPr>
          <w:gridAfter w:val="1"/>
          <w:wAfter w:w="116" w:type="dxa"/>
          <w:cantSplit/>
          <w:jc w:val="center"/>
        </w:trPr>
        <w:tc>
          <w:tcPr>
            <w:tcW w:w="993" w:type="dxa"/>
            <w:gridSpan w:val="2"/>
          </w:tcPr>
          <w:p w:rsidR="00CB0DD7" w:rsidRPr="000A0A5F" w:rsidRDefault="00CB0DD7">
            <w:pPr>
              <w:pStyle w:val="TAL"/>
              <w:jc w:val="center"/>
              <w:rPr>
                <w:lang w:eastAsia="zh-CN"/>
              </w:rPr>
            </w:pPr>
            <w:r w:rsidRPr="000A0A5F">
              <w:rPr>
                <w:lang w:eastAsia="zh-CN"/>
              </w:rPr>
              <w:t>3</w:t>
            </w:r>
          </w:p>
        </w:tc>
        <w:tc>
          <w:tcPr>
            <w:tcW w:w="4110" w:type="dxa"/>
            <w:gridSpan w:val="2"/>
          </w:tcPr>
          <w:p w:rsidR="00CB0DD7" w:rsidRPr="000A0A5F" w:rsidRDefault="00CB0DD7">
            <w:pPr>
              <w:pStyle w:val="TAL"/>
              <w:rPr>
                <w:lang w:eastAsia="zh-CN"/>
              </w:rPr>
            </w:pPr>
            <w:r w:rsidRPr="000A0A5F">
              <w:rPr>
                <w:lang w:eastAsia="zh-CN"/>
              </w:rPr>
              <w:t>Location_</w:t>
            </w:r>
            <w:r w:rsidRPr="000A0A5F">
              <w:t>notification</w:t>
            </w:r>
          </w:p>
        </w:tc>
        <w:tc>
          <w:tcPr>
            <w:tcW w:w="4536" w:type="dxa"/>
            <w:gridSpan w:val="2"/>
          </w:tcPr>
          <w:p w:rsidR="00CB0DD7" w:rsidRPr="000A0A5F" w:rsidRDefault="00CB0DD7">
            <w:pPr>
              <w:pStyle w:val="TAL"/>
              <w:rPr>
                <w:lang w:eastAsia="zh-CN"/>
              </w:rPr>
            </w:pPr>
            <w:r w:rsidRPr="000A0A5F">
              <w:rPr>
                <w:rFonts w:cs="Arial"/>
                <w:szCs w:val="18"/>
                <w:lang w:eastAsia="zh-CN"/>
              </w:rPr>
              <w:t>The SCS/AS is notified of the current location or the last known location of the UE</w:t>
            </w:r>
          </w:p>
        </w:tc>
      </w:tr>
      <w:tr w:rsidR="00CB0DD7" w:rsidRPr="000A0A5F" w:rsidTr="00542565">
        <w:trPr>
          <w:gridAfter w:val="1"/>
          <w:wAfter w:w="116" w:type="dxa"/>
          <w:cantSplit/>
          <w:jc w:val="center"/>
        </w:trPr>
        <w:tc>
          <w:tcPr>
            <w:tcW w:w="993" w:type="dxa"/>
            <w:gridSpan w:val="2"/>
          </w:tcPr>
          <w:p w:rsidR="00CB0DD7" w:rsidRPr="000A0A5F" w:rsidRDefault="00CB0DD7">
            <w:pPr>
              <w:pStyle w:val="TAL"/>
              <w:jc w:val="center"/>
              <w:rPr>
                <w:lang w:eastAsia="zh-CN"/>
              </w:rPr>
            </w:pPr>
            <w:r w:rsidRPr="000A0A5F">
              <w:rPr>
                <w:lang w:eastAsia="zh-CN"/>
              </w:rPr>
              <w:t>4</w:t>
            </w:r>
          </w:p>
        </w:tc>
        <w:tc>
          <w:tcPr>
            <w:tcW w:w="4110" w:type="dxa"/>
            <w:gridSpan w:val="2"/>
          </w:tcPr>
          <w:p w:rsidR="00CB0DD7" w:rsidRPr="000A0A5F" w:rsidRDefault="00CB0DD7">
            <w:pPr>
              <w:pStyle w:val="TAL"/>
              <w:rPr>
                <w:lang w:eastAsia="zh-CN"/>
              </w:rPr>
            </w:pPr>
            <w:r w:rsidRPr="000A0A5F">
              <w:rPr>
                <w:lang w:eastAsia="zh-CN"/>
              </w:rPr>
              <w:t>Change_of_IMSI_IMEI_association_notification</w:t>
            </w:r>
          </w:p>
        </w:tc>
        <w:tc>
          <w:tcPr>
            <w:tcW w:w="4536" w:type="dxa"/>
            <w:gridSpan w:val="2"/>
          </w:tcPr>
          <w:p w:rsidR="00CB0DD7" w:rsidRPr="000A0A5F" w:rsidRDefault="00CB0DD7">
            <w:pPr>
              <w:pStyle w:val="TAL"/>
              <w:rPr>
                <w:rFonts w:cs="Arial" w:hint="eastAsia"/>
                <w:szCs w:val="18"/>
                <w:lang w:eastAsia="zh-CN"/>
              </w:rPr>
            </w:pPr>
            <w:r w:rsidRPr="000A0A5F">
              <w:rPr>
                <w:rFonts w:cs="Arial"/>
                <w:szCs w:val="18"/>
                <w:lang w:eastAsia="zh-CN"/>
              </w:rPr>
              <w:t>The SCS/AS is notified when the association of an ME (IMEI(SV)) that uses a specific subscription (IMSI) is changed</w:t>
            </w:r>
          </w:p>
        </w:tc>
      </w:tr>
      <w:tr w:rsidR="00CB0DD7" w:rsidRPr="000A0A5F" w:rsidTr="00542565">
        <w:trPr>
          <w:gridAfter w:val="1"/>
          <w:wAfter w:w="116" w:type="dxa"/>
          <w:cantSplit/>
          <w:jc w:val="center"/>
        </w:trPr>
        <w:tc>
          <w:tcPr>
            <w:tcW w:w="993" w:type="dxa"/>
            <w:gridSpan w:val="2"/>
          </w:tcPr>
          <w:p w:rsidR="00CB0DD7" w:rsidRPr="000A0A5F" w:rsidRDefault="00CB0DD7">
            <w:pPr>
              <w:pStyle w:val="TAL"/>
              <w:jc w:val="center"/>
              <w:rPr>
                <w:lang w:eastAsia="zh-CN"/>
              </w:rPr>
            </w:pPr>
            <w:r w:rsidRPr="000A0A5F">
              <w:rPr>
                <w:lang w:eastAsia="zh-CN"/>
              </w:rPr>
              <w:t>5</w:t>
            </w:r>
          </w:p>
        </w:tc>
        <w:tc>
          <w:tcPr>
            <w:tcW w:w="4110" w:type="dxa"/>
            <w:gridSpan w:val="2"/>
          </w:tcPr>
          <w:p w:rsidR="00CB0DD7" w:rsidRPr="000A0A5F" w:rsidRDefault="00CB0DD7">
            <w:pPr>
              <w:pStyle w:val="TAL"/>
              <w:rPr>
                <w:lang w:eastAsia="zh-CN"/>
              </w:rPr>
            </w:pPr>
            <w:r w:rsidRPr="000A0A5F">
              <w:rPr>
                <w:lang w:eastAsia="zh-CN"/>
              </w:rPr>
              <w:t>Roaming_status_notification</w:t>
            </w:r>
          </w:p>
        </w:tc>
        <w:tc>
          <w:tcPr>
            <w:tcW w:w="4536" w:type="dxa"/>
            <w:gridSpan w:val="2"/>
          </w:tcPr>
          <w:p w:rsidR="00CB0DD7" w:rsidRPr="000A0A5F" w:rsidRDefault="00CB0DD7">
            <w:pPr>
              <w:pStyle w:val="TAL"/>
              <w:rPr>
                <w:lang w:eastAsia="zh-CN"/>
              </w:rPr>
            </w:pPr>
            <w:r w:rsidRPr="000A0A5F">
              <w:rPr>
                <w:rFonts w:cs="Arial"/>
                <w:szCs w:val="18"/>
                <w:lang w:eastAsia="zh-CN"/>
              </w:rPr>
              <w:t>The SCS/AS is notified when the UE's roaming status changes</w:t>
            </w:r>
          </w:p>
        </w:tc>
      </w:tr>
      <w:tr w:rsidR="00CB0DD7" w:rsidRPr="000A0A5F" w:rsidTr="00542565">
        <w:trPr>
          <w:gridAfter w:val="1"/>
          <w:wAfter w:w="116" w:type="dxa"/>
          <w:cantSplit/>
          <w:jc w:val="center"/>
        </w:trPr>
        <w:tc>
          <w:tcPr>
            <w:tcW w:w="993" w:type="dxa"/>
            <w:gridSpan w:val="2"/>
          </w:tcPr>
          <w:p w:rsidR="00CB0DD7" w:rsidRPr="000A0A5F" w:rsidRDefault="00CB0DD7">
            <w:pPr>
              <w:pStyle w:val="TAL"/>
              <w:jc w:val="center"/>
            </w:pPr>
            <w:r w:rsidRPr="000A0A5F">
              <w:t>6</w:t>
            </w:r>
          </w:p>
        </w:tc>
        <w:tc>
          <w:tcPr>
            <w:tcW w:w="4110" w:type="dxa"/>
            <w:gridSpan w:val="2"/>
          </w:tcPr>
          <w:p w:rsidR="00CB0DD7" w:rsidRPr="000A0A5F" w:rsidRDefault="00CB0DD7">
            <w:pPr>
              <w:pStyle w:val="TAL"/>
              <w:rPr>
                <w:lang w:eastAsia="zh-CN"/>
              </w:rPr>
            </w:pPr>
            <w:r w:rsidRPr="000A0A5F">
              <w:t>Communication_failure_notification</w:t>
            </w:r>
          </w:p>
        </w:tc>
        <w:tc>
          <w:tcPr>
            <w:tcW w:w="4536" w:type="dxa"/>
            <w:gridSpan w:val="2"/>
          </w:tcPr>
          <w:p w:rsidR="00CB0DD7" w:rsidRPr="000A0A5F" w:rsidRDefault="00CB0DD7">
            <w:pPr>
              <w:pStyle w:val="TAL"/>
              <w:rPr>
                <w:lang w:eastAsia="zh-CN"/>
              </w:rPr>
            </w:pPr>
            <w:r w:rsidRPr="000A0A5F">
              <w:rPr>
                <w:rFonts w:cs="Arial"/>
                <w:szCs w:val="18"/>
                <w:lang w:eastAsia="zh-CN"/>
              </w:rPr>
              <w:t>The SCS/AS is notified of communication failure events</w:t>
            </w:r>
          </w:p>
        </w:tc>
      </w:tr>
      <w:tr w:rsidR="00CB0DD7" w:rsidRPr="000A0A5F" w:rsidTr="00542565">
        <w:trPr>
          <w:gridAfter w:val="1"/>
          <w:wAfter w:w="116" w:type="dxa"/>
          <w:cantSplit/>
          <w:jc w:val="center"/>
        </w:trPr>
        <w:tc>
          <w:tcPr>
            <w:tcW w:w="993" w:type="dxa"/>
            <w:gridSpan w:val="2"/>
          </w:tcPr>
          <w:p w:rsidR="00CB0DD7" w:rsidRPr="000A0A5F" w:rsidRDefault="00CB0DD7">
            <w:pPr>
              <w:pStyle w:val="TAL"/>
              <w:jc w:val="center"/>
            </w:pPr>
            <w:r w:rsidRPr="000A0A5F">
              <w:t>7</w:t>
            </w:r>
          </w:p>
        </w:tc>
        <w:tc>
          <w:tcPr>
            <w:tcW w:w="4110" w:type="dxa"/>
            <w:gridSpan w:val="2"/>
          </w:tcPr>
          <w:p w:rsidR="00CB0DD7" w:rsidRPr="000A0A5F" w:rsidRDefault="00CB0DD7">
            <w:pPr>
              <w:pStyle w:val="TAL"/>
              <w:rPr>
                <w:lang w:eastAsia="zh-CN"/>
              </w:rPr>
            </w:pPr>
            <w:r w:rsidRPr="000A0A5F">
              <w:t>Availability_after_DDN_failure_notification</w:t>
            </w:r>
          </w:p>
        </w:tc>
        <w:tc>
          <w:tcPr>
            <w:tcW w:w="4536" w:type="dxa"/>
            <w:gridSpan w:val="2"/>
          </w:tcPr>
          <w:p w:rsidR="00CB0DD7" w:rsidRPr="000A0A5F" w:rsidRDefault="00CB0DD7">
            <w:pPr>
              <w:pStyle w:val="TAL"/>
              <w:rPr>
                <w:lang w:eastAsia="zh-CN"/>
              </w:rPr>
            </w:pPr>
            <w:r w:rsidRPr="000A0A5F">
              <w:rPr>
                <w:rFonts w:cs="Arial"/>
                <w:szCs w:val="18"/>
                <w:lang w:eastAsia="zh-CN"/>
              </w:rPr>
              <w:t>The SCS/AS is notified when the UE has become available after a DDN failure</w:t>
            </w:r>
          </w:p>
        </w:tc>
      </w:tr>
      <w:tr w:rsidR="00CB0DD7" w:rsidRPr="000A0A5F" w:rsidTr="00542565">
        <w:trPr>
          <w:gridAfter w:val="1"/>
          <w:wAfter w:w="116" w:type="dxa"/>
          <w:cantSplit/>
          <w:jc w:val="center"/>
        </w:trPr>
        <w:tc>
          <w:tcPr>
            <w:tcW w:w="993" w:type="dxa"/>
            <w:gridSpan w:val="2"/>
          </w:tcPr>
          <w:p w:rsidR="00CB0DD7" w:rsidRPr="000A0A5F" w:rsidRDefault="00CB0DD7">
            <w:pPr>
              <w:pStyle w:val="TAL"/>
              <w:jc w:val="center"/>
              <w:rPr>
                <w:rFonts w:hint="eastAsia"/>
                <w:lang w:eastAsia="zh-CN"/>
              </w:rPr>
            </w:pPr>
            <w:r w:rsidRPr="000A0A5F">
              <w:rPr>
                <w:lang w:eastAsia="zh-CN"/>
              </w:rPr>
              <w:t>8</w:t>
            </w:r>
          </w:p>
        </w:tc>
        <w:tc>
          <w:tcPr>
            <w:tcW w:w="4110" w:type="dxa"/>
            <w:gridSpan w:val="2"/>
          </w:tcPr>
          <w:p w:rsidR="00CB0DD7" w:rsidRPr="000A0A5F" w:rsidRDefault="00CB0DD7">
            <w:pPr>
              <w:pStyle w:val="TAL"/>
            </w:pPr>
            <w:r w:rsidRPr="000A0A5F">
              <w:rPr>
                <w:rFonts w:hint="eastAsia"/>
                <w:lang w:eastAsia="zh-CN"/>
              </w:rPr>
              <w:t>Number_of_U</w:t>
            </w:r>
            <w:r w:rsidRPr="000A0A5F">
              <w:rPr>
                <w:lang w:eastAsia="zh-CN"/>
              </w:rPr>
              <w:t>E</w:t>
            </w:r>
            <w:r w:rsidRPr="000A0A5F">
              <w:rPr>
                <w:rFonts w:hint="eastAsia"/>
                <w:lang w:eastAsia="zh-CN"/>
              </w:rPr>
              <w:t>s</w:t>
            </w:r>
            <w:r w:rsidRPr="000A0A5F">
              <w:rPr>
                <w:lang w:eastAsia="zh-CN"/>
              </w:rPr>
              <w:t>_in_an_area_notification</w:t>
            </w:r>
          </w:p>
        </w:tc>
        <w:tc>
          <w:tcPr>
            <w:tcW w:w="4536" w:type="dxa"/>
            <w:gridSpan w:val="2"/>
          </w:tcPr>
          <w:p w:rsidR="00CB0DD7" w:rsidRPr="000A0A5F" w:rsidRDefault="00CB0DD7">
            <w:pPr>
              <w:pStyle w:val="TAL"/>
              <w:rPr>
                <w:rFonts w:cs="Arial"/>
                <w:szCs w:val="18"/>
                <w:lang w:eastAsia="zh-CN"/>
              </w:rPr>
            </w:pPr>
            <w:r w:rsidRPr="000A0A5F">
              <w:rPr>
                <w:rFonts w:cs="Arial"/>
                <w:szCs w:val="18"/>
                <w:lang w:eastAsia="zh-CN"/>
              </w:rPr>
              <w:t xml:space="preserve">The SCS/AS is notified </w:t>
            </w:r>
            <w:r w:rsidRPr="000A0A5F">
              <w:rPr>
                <w:rFonts w:cs="Arial" w:hint="eastAsia"/>
                <w:szCs w:val="18"/>
                <w:lang w:eastAsia="zh-CN"/>
              </w:rPr>
              <w:t>the number of U</w:t>
            </w:r>
            <w:r w:rsidRPr="000A0A5F">
              <w:rPr>
                <w:rFonts w:cs="Arial"/>
                <w:szCs w:val="18"/>
                <w:lang w:eastAsia="zh-CN"/>
              </w:rPr>
              <w:t>E</w:t>
            </w:r>
            <w:r w:rsidRPr="000A0A5F">
              <w:rPr>
                <w:rFonts w:cs="Arial" w:hint="eastAsia"/>
                <w:szCs w:val="18"/>
                <w:lang w:eastAsia="zh-CN"/>
              </w:rPr>
              <w:t>s</w:t>
            </w:r>
            <w:r w:rsidRPr="000A0A5F">
              <w:rPr>
                <w:rFonts w:cs="Arial"/>
                <w:szCs w:val="18"/>
                <w:lang w:eastAsia="zh-CN"/>
              </w:rPr>
              <w:t xml:space="preserve"> present in a given geographic area</w:t>
            </w:r>
          </w:p>
          <w:p w:rsidR="00CB0DD7" w:rsidRPr="000A0A5F" w:rsidRDefault="00CB0DD7">
            <w:pPr>
              <w:pStyle w:val="TAL"/>
              <w:rPr>
                <w:rFonts w:cs="Arial"/>
                <w:szCs w:val="18"/>
                <w:lang w:eastAsia="zh-CN"/>
              </w:rPr>
            </w:pPr>
            <w:r w:rsidRPr="000A0A5F">
              <w:rPr>
                <w:rFonts w:eastAsia="Malgun Gothic"/>
                <w:lang w:eastAsia="ja-JP"/>
              </w:rPr>
              <w:t>The feature supports pre-5G (e.g. 4G) requirement.</w:t>
            </w:r>
          </w:p>
        </w:tc>
      </w:tr>
      <w:tr w:rsidR="00CB0DD7" w:rsidRPr="000A0A5F" w:rsidTr="00542565">
        <w:trPr>
          <w:gridAfter w:val="1"/>
          <w:wAfter w:w="116" w:type="dxa"/>
          <w:cantSplit/>
          <w:jc w:val="center"/>
        </w:trPr>
        <w:tc>
          <w:tcPr>
            <w:tcW w:w="993" w:type="dxa"/>
            <w:gridSpan w:val="2"/>
          </w:tcPr>
          <w:p w:rsidR="00CB0DD7" w:rsidRPr="000A0A5F" w:rsidRDefault="00CB0DD7">
            <w:pPr>
              <w:pStyle w:val="TAL"/>
              <w:jc w:val="center"/>
            </w:pPr>
            <w:r w:rsidRPr="000A0A5F">
              <w:t>9</w:t>
            </w:r>
          </w:p>
        </w:tc>
        <w:tc>
          <w:tcPr>
            <w:tcW w:w="4110" w:type="dxa"/>
            <w:gridSpan w:val="2"/>
          </w:tcPr>
          <w:p w:rsidR="00CB0DD7" w:rsidRPr="000A0A5F" w:rsidRDefault="00CB0DD7">
            <w:pPr>
              <w:pStyle w:val="TAL"/>
              <w:rPr>
                <w:rFonts w:hint="eastAsia"/>
                <w:lang w:eastAsia="zh-CN"/>
              </w:rPr>
            </w:pPr>
            <w:r w:rsidRPr="000A0A5F">
              <w:t>Notification_websocket</w:t>
            </w:r>
          </w:p>
        </w:tc>
        <w:tc>
          <w:tcPr>
            <w:tcW w:w="4536" w:type="dxa"/>
            <w:gridSpan w:val="2"/>
          </w:tcPr>
          <w:p w:rsidR="00CB0DD7" w:rsidRPr="000A0A5F" w:rsidRDefault="00CB0DD7">
            <w:pPr>
              <w:pStyle w:val="TAL"/>
              <w:rPr>
                <w:rFonts w:cs="Arial"/>
                <w:szCs w:val="18"/>
                <w:lang w:eastAsia="zh-CN"/>
              </w:rPr>
            </w:pPr>
            <w:r w:rsidRPr="000A0A5F">
              <w:rPr>
                <w:rFonts w:cs="Arial"/>
                <w:szCs w:val="18"/>
              </w:rPr>
              <w:t xml:space="preserve">The delivery of notifications over Websocket is supported according to clause 5.2.5.4. This feature requires that the </w:t>
            </w:r>
            <w:r w:rsidRPr="000A0A5F">
              <w:t>Notification_test_event featute is also supported.</w:t>
            </w:r>
          </w:p>
        </w:tc>
      </w:tr>
      <w:tr w:rsidR="00CB0DD7" w:rsidRPr="000A0A5F" w:rsidTr="00542565">
        <w:trPr>
          <w:gridAfter w:val="1"/>
          <w:wAfter w:w="116" w:type="dxa"/>
          <w:cantSplit/>
          <w:jc w:val="center"/>
        </w:trPr>
        <w:tc>
          <w:tcPr>
            <w:tcW w:w="993" w:type="dxa"/>
            <w:gridSpan w:val="2"/>
          </w:tcPr>
          <w:p w:rsidR="00CB0DD7" w:rsidRPr="000A0A5F" w:rsidRDefault="00CB0DD7">
            <w:pPr>
              <w:pStyle w:val="TAL"/>
              <w:jc w:val="center"/>
              <w:rPr>
                <w:rFonts w:cs="Arial"/>
              </w:rPr>
            </w:pPr>
            <w:r w:rsidRPr="000A0A5F">
              <w:rPr>
                <w:rFonts w:cs="Arial"/>
              </w:rPr>
              <w:t>10</w:t>
            </w:r>
          </w:p>
        </w:tc>
        <w:tc>
          <w:tcPr>
            <w:tcW w:w="4110" w:type="dxa"/>
            <w:gridSpan w:val="2"/>
          </w:tcPr>
          <w:p w:rsidR="00CB0DD7" w:rsidRPr="000A0A5F" w:rsidRDefault="00CB0DD7">
            <w:pPr>
              <w:pStyle w:val="TAL"/>
              <w:rPr>
                <w:rFonts w:hint="eastAsia"/>
                <w:lang w:eastAsia="zh-CN"/>
              </w:rPr>
            </w:pPr>
            <w:r w:rsidRPr="000A0A5F">
              <w:rPr>
                <w:rFonts w:cs="Arial"/>
              </w:rPr>
              <w:t>Notification_test_event</w:t>
            </w:r>
          </w:p>
        </w:tc>
        <w:tc>
          <w:tcPr>
            <w:tcW w:w="4536" w:type="dxa"/>
            <w:gridSpan w:val="2"/>
          </w:tcPr>
          <w:p w:rsidR="00CB0DD7" w:rsidRPr="000A0A5F" w:rsidRDefault="00CB0DD7">
            <w:pPr>
              <w:pStyle w:val="TAL"/>
              <w:rPr>
                <w:rFonts w:cs="Arial"/>
                <w:szCs w:val="18"/>
                <w:lang w:eastAsia="zh-CN"/>
              </w:rPr>
            </w:pPr>
            <w:r w:rsidRPr="000A0A5F">
              <w:rPr>
                <w:rFonts w:cs="Arial"/>
                <w:szCs w:val="18"/>
              </w:rPr>
              <w:t>The testing of notification connection is supported according to clause 5.2.5.3.</w:t>
            </w:r>
          </w:p>
        </w:tc>
      </w:tr>
      <w:tr w:rsidR="00CB0DD7" w:rsidRPr="000A0A5F" w:rsidTr="00542565">
        <w:trPr>
          <w:gridAfter w:val="1"/>
          <w:wAfter w:w="116" w:type="dxa"/>
          <w:cantSplit/>
          <w:jc w:val="center"/>
        </w:trPr>
        <w:tc>
          <w:tcPr>
            <w:tcW w:w="993" w:type="dxa"/>
            <w:gridSpan w:val="2"/>
          </w:tcPr>
          <w:p w:rsidR="00CB0DD7" w:rsidRPr="000A0A5F" w:rsidRDefault="00CB0DD7">
            <w:pPr>
              <w:pStyle w:val="TAL"/>
              <w:jc w:val="center"/>
              <w:rPr>
                <w:rFonts w:cs="Arial" w:hint="eastAsia"/>
                <w:lang w:eastAsia="zh-CN"/>
              </w:rPr>
            </w:pPr>
            <w:r w:rsidRPr="000A0A5F">
              <w:rPr>
                <w:rFonts w:cs="Arial" w:hint="eastAsia"/>
                <w:lang w:eastAsia="zh-CN"/>
              </w:rPr>
              <w:t>11</w:t>
            </w:r>
          </w:p>
        </w:tc>
        <w:tc>
          <w:tcPr>
            <w:tcW w:w="4110" w:type="dxa"/>
            <w:gridSpan w:val="2"/>
          </w:tcPr>
          <w:p w:rsidR="00CB0DD7" w:rsidRPr="000A0A5F" w:rsidRDefault="00CB0DD7">
            <w:pPr>
              <w:pStyle w:val="TAL"/>
              <w:rPr>
                <w:rFonts w:cs="Arial"/>
              </w:rPr>
            </w:pPr>
            <w:r w:rsidRPr="000A0A5F">
              <w:rPr>
                <w:rFonts w:cs="Arial"/>
              </w:rPr>
              <w:t>Subscription_modification</w:t>
            </w:r>
          </w:p>
        </w:tc>
        <w:tc>
          <w:tcPr>
            <w:tcW w:w="4536" w:type="dxa"/>
            <w:gridSpan w:val="2"/>
          </w:tcPr>
          <w:p w:rsidR="00CB0DD7" w:rsidRPr="000A0A5F" w:rsidRDefault="00CB0DD7">
            <w:pPr>
              <w:pStyle w:val="TAL"/>
              <w:rPr>
                <w:rFonts w:cs="Arial"/>
                <w:szCs w:val="18"/>
              </w:rPr>
            </w:pPr>
            <w:r w:rsidRPr="000A0A5F">
              <w:rPr>
                <w:rFonts w:cs="Arial"/>
                <w:szCs w:val="18"/>
              </w:rPr>
              <w:t>Modifications of an individual subscription resource.</w:t>
            </w:r>
          </w:p>
        </w:tc>
      </w:tr>
      <w:tr w:rsidR="00CB0DD7" w:rsidRPr="000A0A5F" w:rsidTr="00542565">
        <w:trPr>
          <w:gridAfter w:val="1"/>
          <w:wAfter w:w="116" w:type="dxa"/>
          <w:cantSplit/>
          <w:jc w:val="center"/>
        </w:trPr>
        <w:tc>
          <w:tcPr>
            <w:tcW w:w="993" w:type="dxa"/>
            <w:gridSpan w:val="2"/>
          </w:tcPr>
          <w:p w:rsidR="00CB0DD7" w:rsidRPr="000A0A5F" w:rsidRDefault="00CB0DD7">
            <w:pPr>
              <w:pStyle w:val="TAL"/>
              <w:jc w:val="center"/>
              <w:rPr>
                <w:rFonts w:cs="Arial" w:hint="eastAsia"/>
                <w:lang w:eastAsia="zh-CN"/>
              </w:rPr>
            </w:pPr>
            <w:r w:rsidRPr="000A0A5F">
              <w:rPr>
                <w:rFonts w:cs="Arial"/>
                <w:lang w:eastAsia="zh-CN"/>
              </w:rPr>
              <w:t>12</w:t>
            </w:r>
          </w:p>
        </w:tc>
        <w:tc>
          <w:tcPr>
            <w:tcW w:w="4110" w:type="dxa"/>
            <w:gridSpan w:val="2"/>
          </w:tcPr>
          <w:p w:rsidR="00CB0DD7" w:rsidRPr="000A0A5F" w:rsidRDefault="00CB0DD7">
            <w:pPr>
              <w:pStyle w:val="TAL"/>
              <w:rPr>
                <w:rFonts w:cs="Arial"/>
              </w:rPr>
            </w:pPr>
            <w:r w:rsidRPr="000A0A5F">
              <w:rPr>
                <w:rFonts w:hint="eastAsia"/>
                <w:lang w:eastAsia="zh-CN"/>
              </w:rPr>
              <w:t>Number_of_U</w:t>
            </w:r>
            <w:r w:rsidRPr="000A0A5F">
              <w:rPr>
                <w:lang w:eastAsia="zh-CN"/>
              </w:rPr>
              <w:t>E</w:t>
            </w:r>
            <w:r w:rsidRPr="000A0A5F">
              <w:rPr>
                <w:rFonts w:hint="eastAsia"/>
                <w:lang w:eastAsia="zh-CN"/>
              </w:rPr>
              <w:t>s</w:t>
            </w:r>
            <w:r w:rsidRPr="000A0A5F">
              <w:rPr>
                <w:lang w:eastAsia="zh-CN"/>
              </w:rPr>
              <w:t>_in_an_area_notification_5G</w:t>
            </w:r>
          </w:p>
        </w:tc>
        <w:tc>
          <w:tcPr>
            <w:tcW w:w="4536" w:type="dxa"/>
            <w:gridSpan w:val="2"/>
          </w:tcPr>
          <w:p w:rsidR="00CB0DD7" w:rsidRPr="000A0A5F" w:rsidRDefault="00CB0DD7">
            <w:pPr>
              <w:pStyle w:val="TAL"/>
              <w:rPr>
                <w:rFonts w:cs="Arial"/>
                <w:szCs w:val="18"/>
                <w:lang w:eastAsia="zh-CN"/>
              </w:rPr>
            </w:pPr>
            <w:r w:rsidRPr="000A0A5F">
              <w:rPr>
                <w:rFonts w:cs="Arial"/>
                <w:szCs w:val="18"/>
                <w:lang w:eastAsia="zh-CN"/>
              </w:rPr>
              <w:t xml:space="preserve">The AF is notified </w:t>
            </w:r>
            <w:r w:rsidRPr="000A0A5F">
              <w:rPr>
                <w:rFonts w:cs="Arial" w:hint="eastAsia"/>
                <w:szCs w:val="18"/>
                <w:lang w:eastAsia="zh-CN"/>
              </w:rPr>
              <w:t>the number of U</w:t>
            </w:r>
            <w:r w:rsidRPr="000A0A5F">
              <w:rPr>
                <w:rFonts w:cs="Arial"/>
                <w:szCs w:val="18"/>
                <w:lang w:eastAsia="zh-CN"/>
              </w:rPr>
              <w:t>E</w:t>
            </w:r>
            <w:r w:rsidRPr="000A0A5F">
              <w:rPr>
                <w:rFonts w:cs="Arial" w:hint="eastAsia"/>
                <w:szCs w:val="18"/>
                <w:lang w:eastAsia="zh-CN"/>
              </w:rPr>
              <w:t>s</w:t>
            </w:r>
            <w:r w:rsidRPr="000A0A5F">
              <w:rPr>
                <w:rFonts w:cs="Arial"/>
                <w:szCs w:val="18"/>
                <w:lang w:eastAsia="zh-CN"/>
              </w:rPr>
              <w:t xml:space="preserve"> present in a given geographic area.</w:t>
            </w:r>
          </w:p>
          <w:p w:rsidR="00CB0DD7" w:rsidRPr="000A0A5F" w:rsidRDefault="00CB0DD7">
            <w:pPr>
              <w:pStyle w:val="TAL"/>
              <w:rPr>
                <w:rFonts w:cs="Arial"/>
                <w:szCs w:val="18"/>
              </w:rPr>
            </w:pPr>
            <w:r w:rsidRPr="000A0A5F">
              <w:rPr>
                <w:rFonts w:eastAsia="Malgun Gothic"/>
                <w:lang w:eastAsia="ja-JP"/>
              </w:rPr>
              <w:t>The feature supports the 5G requirement. This feature may only be supported in 5G.</w:t>
            </w:r>
          </w:p>
        </w:tc>
      </w:tr>
      <w:tr w:rsidR="00CB0DD7" w:rsidRPr="000A0A5F" w:rsidTr="00542565">
        <w:trPr>
          <w:gridAfter w:val="1"/>
          <w:wAfter w:w="116" w:type="dxa"/>
          <w:cantSplit/>
          <w:jc w:val="center"/>
        </w:trPr>
        <w:tc>
          <w:tcPr>
            <w:tcW w:w="993" w:type="dxa"/>
            <w:gridSpan w:val="2"/>
          </w:tcPr>
          <w:p w:rsidR="00CB0DD7" w:rsidRPr="000A0A5F" w:rsidRDefault="00CB0DD7">
            <w:pPr>
              <w:pStyle w:val="TAL"/>
              <w:jc w:val="center"/>
              <w:rPr>
                <w:rFonts w:cs="Arial"/>
                <w:lang w:eastAsia="zh-CN"/>
              </w:rPr>
            </w:pPr>
            <w:r w:rsidRPr="000A0A5F">
              <w:rPr>
                <w:rFonts w:cs="Arial"/>
                <w:lang w:eastAsia="zh-CN"/>
              </w:rPr>
              <w:t>13</w:t>
            </w:r>
          </w:p>
        </w:tc>
        <w:tc>
          <w:tcPr>
            <w:tcW w:w="4110" w:type="dxa"/>
            <w:gridSpan w:val="2"/>
          </w:tcPr>
          <w:p w:rsidR="00CB0DD7" w:rsidRPr="000A0A5F" w:rsidRDefault="00CB0DD7">
            <w:pPr>
              <w:pStyle w:val="TAL"/>
              <w:rPr>
                <w:rFonts w:hint="eastAsia"/>
                <w:lang w:eastAsia="zh-CN"/>
              </w:rPr>
            </w:pPr>
            <w:r w:rsidRPr="000A0A5F">
              <w:rPr>
                <w:lang w:eastAsia="zh-CN"/>
              </w:rPr>
              <w:t>Pdn_connectivity_status</w:t>
            </w:r>
          </w:p>
        </w:tc>
        <w:tc>
          <w:tcPr>
            <w:tcW w:w="4536" w:type="dxa"/>
            <w:gridSpan w:val="2"/>
          </w:tcPr>
          <w:p w:rsidR="00CB0DD7" w:rsidRPr="000A0A5F" w:rsidRDefault="00CB0DD7">
            <w:pPr>
              <w:pStyle w:val="TAL"/>
              <w:rPr>
                <w:rFonts w:cs="Arial"/>
                <w:szCs w:val="18"/>
                <w:lang w:eastAsia="zh-CN"/>
              </w:rPr>
            </w:pPr>
            <w:r w:rsidRPr="000A0A5F">
              <w:rPr>
                <w:rFonts w:cs="Arial"/>
                <w:szCs w:val="18"/>
                <w:lang w:eastAsia="zh-CN"/>
              </w:rPr>
              <w:t>The SCS/AS requests to be notified when the 3GPP network detects that the UE’s PDN connection is set up or torn down.</w:t>
            </w:r>
          </w:p>
        </w:tc>
      </w:tr>
      <w:tr w:rsidR="00CB0DD7" w:rsidRPr="000A0A5F" w:rsidTr="00542565">
        <w:trPr>
          <w:gridAfter w:val="1"/>
          <w:wAfter w:w="116" w:type="dxa"/>
          <w:cantSplit/>
          <w:jc w:val="center"/>
        </w:trPr>
        <w:tc>
          <w:tcPr>
            <w:tcW w:w="993" w:type="dxa"/>
            <w:gridSpan w:val="2"/>
          </w:tcPr>
          <w:p w:rsidR="00CB0DD7" w:rsidRPr="000A0A5F" w:rsidRDefault="00CB0DD7">
            <w:pPr>
              <w:pStyle w:val="TAL"/>
              <w:jc w:val="center"/>
              <w:rPr>
                <w:rFonts w:cs="Arial"/>
                <w:lang w:eastAsia="zh-CN"/>
              </w:rPr>
            </w:pPr>
            <w:r w:rsidRPr="000A0A5F">
              <w:rPr>
                <w:rFonts w:cs="Arial"/>
                <w:lang w:eastAsia="zh-CN"/>
              </w:rPr>
              <w:t>14</w:t>
            </w:r>
          </w:p>
        </w:tc>
        <w:tc>
          <w:tcPr>
            <w:tcW w:w="4110" w:type="dxa"/>
            <w:gridSpan w:val="2"/>
          </w:tcPr>
          <w:p w:rsidR="00CB0DD7" w:rsidRPr="000A0A5F" w:rsidRDefault="00CB0DD7">
            <w:pPr>
              <w:pStyle w:val="TAL"/>
              <w:rPr>
                <w:lang w:eastAsia="zh-CN"/>
              </w:rPr>
            </w:pPr>
            <w:r w:rsidRPr="000A0A5F">
              <w:rPr>
                <w:rFonts w:hint="eastAsia"/>
                <w:lang w:eastAsia="zh-CN"/>
              </w:rPr>
              <w:t>Downlink_data</w:t>
            </w:r>
            <w:r w:rsidRPr="000A0A5F">
              <w:rPr>
                <w:lang w:eastAsia="zh-CN"/>
              </w:rPr>
              <w:t>_delivery_status_5G</w:t>
            </w:r>
          </w:p>
        </w:tc>
        <w:tc>
          <w:tcPr>
            <w:tcW w:w="4536" w:type="dxa"/>
            <w:gridSpan w:val="2"/>
          </w:tcPr>
          <w:p w:rsidR="00CB0DD7" w:rsidRPr="000A0A5F" w:rsidRDefault="00CB0DD7">
            <w:pPr>
              <w:pStyle w:val="TAL"/>
              <w:rPr>
                <w:rFonts w:cs="Arial"/>
                <w:szCs w:val="18"/>
                <w:lang w:eastAsia="zh-CN"/>
              </w:rPr>
            </w:pPr>
            <w:r w:rsidRPr="000A0A5F">
              <w:rPr>
                <w:rFonts w:cs="Arial"/>
                <w:szCs w:val="18"/>
                <w:lang w:eastAsia="zh-CN"/>
              </w:rPr>
              <w:t xml:space="preserve">The AF requests to be notified when the 3GPP network detects that the downlink data delivery status is changed. </w:t>
            </w:r>
            <w:r w:rsidRPr="000A0A5F">
              <w:rPr>
                <w:rFonts w:eastAsia="Malgun Gothic"/>
                <w:lang w:eastAsia="ja-JP"/>
              </w:rPr>
              <w:t>The feature is not applicable to pre-5G.</w:t>
            </w:r>
          </w:p>
        </w:tc>
      </w:tr>
      <w:tr w:rsidR="00CB0DD7" w:rsidRPr="000A0A5F" w:rsidTr="00542565">
        <w:trPr>
          <w:gridAfter w:val="1"/>
          <w:wAfter w:w="116" w:type="dxa"/>
          <w:cantSplit/>
          <w:jc w:val="center"/>
        </w:trPr>
        <w:tc>
          <w:tcPr>
            <w:tcW w:w="993" w:type="dxa"/>
            <w:gridSpan w:val="2"/>
          </w:tcPr>
          <w:p w:rsidR="00CB0DD7" w:rsidRPr="000A0A5F" w:rsidRDefault="00CB0DD7">
            <w:pPr>
              <w:pStyle w:val="TAL"/>
              <w:jc w:val="center"/>
              <w:rPr>
                <w:rFonts w:cs="Arial"/>
                <w:lang w:eastAsia="zh-CN"/>
              </w:rPr>
            </w:pPr>
            <w:r w:rsidRPr="000A0A5F">
              <w:rPr>
                <w:rFonts w:cs="Arial"/>
                <w:lang w:eastAsia="zh-CN"/>
              </w:rPr>
              <w:t>15</w:t>
            </w:r>
          </w:p>
        </w:tc>
        <w:tc>
          <w:tcPr>
            <w:tcW w:w="4110" w:type="dxa"/>
            <w:gridSpan w:val="2"/>
          </w:tcPr>
          <w:p w:rsidR="00CB0DD7" w:rsidRPr="000A0A5F" w:rsidRDefault="00CB0DD7">
            <w:pPr>
              <w:pStyle w:val="TAL"/>
              <w:rPr>
                <w:lang w:eastAsia="zh-CN"/>
              </w:rPr>
            </w:pPr>
            <w:r w:rsidRPr="000A0A5F">
              <w:t>Availability_after_DDN_failure_notification_enhancement</w:t>
            </w:r>
          </w:p>
        </w:tc>
        <w:tc>
          <w:tcPr>
            <w:tcW w:w="4536" w:type="dxa"/>
            <w:gridSpan w:val="2"/>
          </w:tcPr>
          <w:p w:rsidR="00CB0DD7" w:rsidRPr="000A0A5F" w:rsidRDefault="00CB0DD7">
            <w:pPr>
              <w:pStyle w:val="TAL"/>
              <w:rPr>
                <w:rFonts w:cs="Arial"/>
                <w:szCs w:val="18"/>
                <w:lang w:eastAsia="zh-CN"/>
              </w:rPr>
            </w:pPr>
            <w:r w:rsidRPr="000A0A5F">
              <w:rPr>
                <w:rFonts w:cs="Arial"/>
                <w:szCs w:val="18"/>
                <w:lang w:eastAsia="zh-CN"/>
              </w:rPr>
              <w:t xml:space="preserve">The AF is notified when the UE has become available after a DDN failure and the traffic matches the packet filter provided by the AF. </w:t>
            </w:r>
            <w:r w:rsidRPr="000A0A5F">
              <w:rPr>
                <w:rFonts w:eastAsia="Malgun Gothic"/>
                <w:lang w:eastAsia="ja-JP"/>
              </w:rPr>
              <w:t>The feature is not applicable to pre-5G.</w:t>
            </w:r>
          </w:p>
        </w:tc>
      </w:tr>
      <w:tr w:rsidR="00CB0DD7" w:rsidRPr="000A0A5F" w:rsidTr="00542565">
        <w:trPr>
          <w:gridAfter w:val="1"/>
          <w:wAfter w:w="116" w:type="dxa"/>
          <w:cantSplit/>
          <w:jc w:val="center"/>
        </w:trPr>
        <w:tc>
          <w:tcPr>
            <w:tcW w:w="993" w:type="dxa"/>
            <w:gridSpan w:val="2"/>
          </w:tcPr>
          <w:p w:rsidR="00CB0DD7" w:rsidRPr="000A0A5F" w:rsidRDefault="00CB0DD7">
            <w:pPr>
              <w:pStyle w:val="TAL"/>
              <w:jc w:val="center"/>
              <w:rPr>
                <w:rFonts w:cs="Arial"/>
                <w:lang w:eastAsia="zh-CN"/>
              </w:rPr>
            </w:pPr>
            <w:r w:rsidRPr="000A0A5F">
              <w:rPr>
                <w:lang w:eastAsia="zh-CN"/>
              </w:rPr>
              <w:t>16</w:t>
            </w:r>
          </w:p>
        </w:tc>
        <w:tc>
          <w:tcPr>
            <w:tcW w:w="4110" w:type="dxa"/>
            <w:gridSpan w:val="2"/>
          </w:tcPr>
          <w:p w:rsidR="00CB0DD7" w:rsidRPr="000A0A5F" w:rsidRDefault="00CB0DD7">
            <w:pPr>
              <w:pStyle w:val="TAL"/>
            </w:pPr>
            <w:r w:rsidRPr="000A0A5F">
              <w:rPr>
                <w:lang w:eastAsia="zh-CN"/>
              </w:rPr>
              <w:t>Enhanced_param_config</w:t>
            </w:r>
          </w:p>
        </w:tc>
        <w:tc>
          <w:tcPr>
            <w:tcW w:w="4536" w:type="dxa"/>
            <w:gridSpan w:val="2"/>
          </w:tcPr>
          <w:p w:rsidR="00CB0DD7" w:rsidRPr="000A0A5F" w:rsidRDefault="00CB0DD7">
            <w:pPr>
              <w:pStyle w:val="TAL"/>
              <w:rPr>
                <w:rFonts w:cs="Arial"/>
                <w:szCs w:val="18"/>
                <w:lang w:eastAsia="zh-CN"/>
              </w:rPr>
            </w:pPr>
            <w:r w:rsidRPr="000A0A5F">
              <w:rPr>
                <w:rFonts w:cs="Arial"/>
                <w:szCs w:val="18"/>
                <w:lang w:eastAsia="zh-CN"/>
              </w:rPr>
              <w:t xml:space="preserve">This feature supports the co-existence of multiple event configurations for target UE(s) if there are parameters affecting </w:t>
            </w:r>
            <w:r w:rsidRPr="000A0A5F">
              <w:t>periodic RAU/TAU</w:t>
            </w:r>
            <w:r w:rsidRPr="000A0A5F">
              <w:rPr>
                <w:rFonts w:cs="Arial"/>
                <w:szCs w:val="18"/>
                <w:lang w:eastAsia="zh-CN"/>
              </w:rPr>
              <w:t xml:space="preserve"> timer and/or Active Time. Supporting this feature also requires the support of feature number 1 or 2.</w:t>
            </w:r>
          </w:p>
        </w:tc>
      </w:tr>
      <w:tr w:rsidR="00CB0DD7" w:rsidRPr="000A0A5F" w:rsidTr="00542565">
        <w:trPr>
          <w:gridAfter w:val="1"/>
          <w:wAfter w:w="116" w:type="dxa"/>
          <w:cantSplit/>
          <w:jc w:val="center"/>
        </w:trPr>
        <w:tc>
          <w:tcPr>
            <w:tcW w:w="993" w:type="dxa"/>
            <w:gridSpan w:val="2"/>
          </w:tcPr>
          <w:p w:rsidR="00CB0DD7" w:rsidRPr="000A0A5F" w:rsidRDefault="00CB0DD7">
            <w:pPr>
              <w:pStyle w:val="TAL"/>
              <w:jc w:val="center"/>
              <w:rPr>
                <w:lang w:eastAsia="zh-CN"/>
              </w:rPr>
            </w:pPr>
            <w:r w:rsidRPr="000A0A5F">
              <w:rPr>
                <w:rFonts w:cs="Arial"/>
                <w:lang w:eastAsia="zh-CN"/>
              </w:rPr>
              <w:t>17</w:t>
            </w:r>
          </w:p>
        </w:tc>
        <w:tc>
          <w:tcPr>
            <w:tcW w:w="4110" w:type="dxa"/>
            <w:gridSpan w:val="2"/>
          </w:tcPr>
          <w:p w:rsidR="00CB0DD7" w:rsidRPr="000A0A5F" w:rsidRDefault="00CB0DD7">
            <w:pPr>
              <w:pStyle w:val="TAL"/>
              <w:rPr>
                <w:lang w:eastAsia="zh-CN"/>
              </w:rPr>
            </w:pPr>
            <w:r w:rsidRPr="000A0A5F">
              <w:t>API_support_capability_notification</w:t>
            </w:r>
          </w:p>
        </w:tc>
        <w:tc>
          <w:tcPr>
            <w:tcW w:w="4536" w:type="dxa"/>
            <w:gridSpan w:val="2"/>
          </w:tcPr>
          <w:p w:rsidR="00CB0DD7" w:rsidRPr="000A0A5F" w:rsidRDefault="00CB0DD7">
            <w:pPr>
              <w:pStyle w:val="TAL"/>
              <w:rPr>
                <w:rFonts w:cs="Arial"/>
                <w:szCs w:val="18"/>
                <w:lang w:eastAsia="zh-CN"/>
              </w:rPr>
            </w:pPr>
            <w:r w:rsidRPr="000A0A5F">
              <w:rPr>
                <w:rFonts w:cs="Arial"/>
                <w:szCs w:val="18"/>
                <w:lang w:eastAsia="zh-CN"/>
              </w:rPr>
              <w:t>The SCS/AS is notified of the availability of support of service APIs. This feature is only applicable in interworking SCEF+NEF scenario.</w:t>
            </w:r>
          </w:p>
        </w:tc>
      </w:tr>
      <w:tr w:rsidR="00CB0DD7" w:rsidRPr="000A0A5F" w:rsidTr="00542565">
        <w:trPr>
          <w:gridAfter w:val="1"/>
          <w:wAfter w:w="116" w:type="dxa"/>
          <w:cantSplit/>
          <w:jc w:val="center"/>
        </w:trPr>
        <w:tc>
          <w:tcPr>
            <w:tcW w:w="993" w:type="dxa"/>
            <w:gridSpan w:val="2"/>
          </w:tcPr>
          <w:p w:rsidR="00CB0DD7" w:rsidRPr="000A0A5F" w:rsidRDefault="00CB0DD7">
            <w:pPr>
              <w:pStyle w:val="TAL"/>
              <w:jc w:val="center"/>
              <w:rPr>
                <w:rFonts w:cs="Arial"/>
                <w:lang w:eastAsia="zh-CN"/>
              </w:rPr>
            </w:pPr>
            <w:r w:rsidRPr="000A0A5F">
              <w:rPr>
                <w:rFonts w:cs="Arial"/>
                <w:lang w:eastAsia="zh-CN"/>
              </w:rPr>
              <w:t>18</w:t>
            </w:r>
          </w:p>
        </w:tc>
        <w:tc>
          <w:tcPr>
            <w:tcW w:w="4110" w:type="dxa"/>
            <w:gridSpan w:val="2"/>
          </w:tcPr>
          <w:p w:rsidR="00CB0DD7" w:rsidRPr="000A0A5F" w:rsidRDefault="00CB0DD7">
            <w:pPr>
              <w:pStyle w:val="TAL"/>
              <w:rPr>
                <w:rFonts w:cs="Arial"/>
                <w:szCs w:val="18"/>
                <w:lang w:eastAsia="zh-CN"/>
              </w:rPr>
            </w:pPr>
            <w:r w:rsidRPr="000A0A5F">
              <w:rPr>
                <w:rFonts w:cs="Arial" w:hint="eastAsia"/>
                <w:szCs w:val="18"/>
                <w:lang w:eastAsia="zh-CN"/>
              </w:rPr>
              <w:t>eLCS</w:t>
            </w:r>
          </w:p>
        </w:tc>
        <w:tc>
          <w:tcPr>
            <w:tcW w:w="4536" w:type="dxa"/>
            <w:gridSpan w:val="2"/>
          </w:tcPr>
          <w:p w:rsidR="00CB0DD7" w:rsidRPr="000A0A5F" w:rsidRDefault="00CB0DD7">
            <w:pPr>
              <w:pStyle w:val="TAL"/>
              <w:rPr>
                <w:lang w:eastAsia="zh-CN"/>
              </w:rPr>
            </w:pPr>
            <w:r w:rsidRPr="000A0A5F">
              <w:rPr>
                <w:lang w:eastAsia="zh-CN"/>
              </w:rPr>
              <w:t>This feature supports the enhanced location exposure service (e.g. location information preciser than cell level)</w:t>
            </w:r>
            <w:r w:rsidRPr="000A0A5F">
              <w:rPr>
                <w:rFonts w:hint="eastAsia"/>
                <w:lang w:eastAsia="zh-CN"/>
              </w:rPr>
              <w:t>.</w:t>
            </w:r>
          </w:p>
          <w:p w:rsidR="00CB0DD7" w:rsidRPr="000A0A5F" w:rsidRDefault="00CB0DD7">
            <w:pPr>
              <w:pStyle w:val="TAL"/>
              <w:rPr>
                <w:rFonts w:cs="Arial"/>
                <w:szCs w:val="18"/>
                <w:lang w:eastAsia="zh-CN"/>
              </w:rPr>
            </w:pPr>
            <w:r w:rsidRPr="000A0A5F">
              <w:rPr>
                <w:rFonts w:cs="Arial"/>
                <w:szCs w:val="18"/>
                <w:lang w:eastAsia="zh-CN"/>
              </w:rPr>
              <w:t>The feature is not applicable to pre-5G (e.g. 4G).</w:t>
            </w:r>
          </w:p>
        </w:tc>
      </w:tr>
      <w:tr w:rsidR="00CB0DD7" w:rsidRPr="000A0A5F" w:rsidTr="00542565">
        <w:trPr>
          <w:gridAfter w:val="1"/>
          <w:wAfter w:w="116" w:type="dxa"/>
          <w:cantSplit/>
          <w:jc w:val="center"/>
        </w:trPr>
        <w:tc>
          <w:tcPr>
            <w:tcW w:w="993" w:type="dxa"/>
            <w:gridSpan w:val="2"/>
          </w:tcPr>
          <w:p w:rsidR="00CB0DD7" w:rsidRPr="000A0A5F" w:rsidRDefault="00CB0DD7">
            <w:pPr>
              <w:pStyle w:val="TAL"/>
              <w:jc w:val="center"/>
              <w:rPr>
                <w:rFonts w:cs="Arial"/>
                <w:lang w:eastAsia="zh-CN"/>
              </w:rPr>
            </w:pPr>
            <w:r w:rsidRPr="000A0A5F">
              <w:rPr>
                <w:rFonts w:cs="Arial"/>
                <w:lang w:eastAsia="zh-CN"/>
              </w:rPr>
              <w:t>19</w:t>
            </w:r>
          </w:p>
        </w:tc>
        <w:tc>
          <w:tcPr>
            <w:tcW w:w="4110" w:type="dxa"/>
            <w:gridSpan w:val="2"/>
          </w:tcPr>
          <w:p w:rsidR="00CB0DD7" w:rsidRPr="000A0A5F" w:rsidRDefault="00CB0DD7">
            <w:pPr>
              <w:pStyle w:val="TAL"/>
              <w:rPr>
                <w:rFonts w:cs="Arial" w:hint="eastAsia"/>
                <w:szCs w:val="18"/>
                <w:lang w:eastAsia="zh-CN"/>
              </w:rPr>
            </w:pPr>
            <w:r w:rsidRPr="000A0A5F">
              <w:rPr>
                <w:rFonts w:cs="Arial"/>
                <w:szCs w:val="18"/>
                <w:lang w:eastAsia="zh-CN"/>
              </w:rPr>
              <w:t>NSAC</w:t>
            </w:r>
          </w:p>
        </w:tc>
        <w:tc>
          <w:tcPr>
            <w:tcW w:w="4536" w:type="dxa"/>
            <w:gridSpan w:val="2"/>
          </w:tcPr>
          <w:p w:rsidR="00CB0DD7" w:rsidRPr="000A0A5F" w:rsidRDefault="00CB0DD7">
            <w:pPr>
              <w:pStyle w:val="TAL"/>
              <w:rPr>
                <w:lang w:eastAsia="zh-CN"/>
              </w:rPr>
            </w:pPr>
            <w:r w:rsidRPr="000A0A5F">
              <w:rPr>
                <w:lang w:eastAsia="zh-CN"/>
              </w:rPr>
              <w:t>This feature controls the support of the Network Slice Admission Control (NSAC) functionalities.</w:t>
            </w:r>
          </w:p>
          <w:p w:rsidR="00CB0DD7" w:rsidRPr="000A0A5F" w:rsidRDefault="00CB0DD7">
            <w:pPr>
              <w:pStyle w:val="TAL"/>
              <w:rPr>
                <w:lang w:eastAsia="zh-CN"/>
              </w:rPr>
            </w:pPr>
            <w:r w:rsidRPr="000A0A5F">
              <w:rPr>
                <w:rFonts w:cs="Arial"/>
                <w:szCs w:val="18"/>
                <w:lang w:eastAsia="zh-CN"/>
              </w:rPr>
              <w:t>The feature is not applicable to pre-5G (e.g. 4G).</w:t>
            </w:r>
          </w:p>
        </w:tc>
      </w:tr>
      <w:tr w:rsidR="00CB0DD7" w:rsidRPr="000A0A5F" w:rsidTr="00542565">
        <w:trPr>
          <w:gridAfter w:val="1"/>
          <w:wAfter w:w="116" w:type="dxa"/>
          <w:cantSplit/>
          <w:jc w:val="center"/>
        </w:trPr>
        <w:tc>
          <w:tcPr>
            <w:tcW w:w="993" w:type="dxa"/>
            <w:gridSpan w:val="2"/>
          </w:tcPr>
          <w:p w:rsidR="00CB0DD7" w:rsidRPr="000A0A5F" w:rsidRDefault="00CB0DD7">
            <w:pPr>
              <w:pStyle w:val="TAL"/>
              <w:jc w:val="center"/>
              <w:rPr>
                <w:rFonts w:cs="Arial"/>
                <w:lang w:eastAsia="zh-CN"/>
              </w:rPr>
            </w:pPr>
            <w:r w:rsidRPr="000A0A5F">
              <w:rPr>
                <w:rFonts w:cs="Arial"/>
                <w:lang w:eastAsia="zh-CN"/>
              </w:rPr>
              <w:t>20</w:t>
            </w:r>
          </w:p>
        </w:tc>
        <w:tc>
          <w:tcPr>
            <w:tcW w:w="4110" w:type="dxa"/>
            <w:gridSpan w:val="2"/>
          </w:tcPr>
          <w:p w:rsidR="00CB0DD7" w:rsidRPr="000A0A5F" w:rsidRDefault="00CB0DD7" w:rsidP="00BC6E27">
            <w:pPr>
              <w:pStyle w:val="TAL"/>
              <w:rPr>
                <w:rFonts w:cs="Arial"/>
                <w:szCs w:val="18"/>
                <w:lang w:eastAsia="zh-CN"/>
              </w:rPr>
            </w:pPr>
            <w:r w:rsidRPr="000A0A5F">
              <w:rPr>
                <w:rFonts w:cs="Arial"/>
                <w:szCs w:val="18"/>
                <w:lang w:eastAsia="zh-CN"/>
              </w:rPr>
              <w:t>Partial_group_</w:t>
            </w:r>
            <w:r w:rsidR="00BC6E27" w:rsidRPr="000A0A5F">
              <w:rPr>
                <w:rFonts w:cs="Arial"/>
                <w:szCs w:val="18"/>
                <w:lang w:eastAsia="zh-CN"/>
              </w:rPr>
              <w:t>modification</w:t>
            </w:r>
          </w:p>
        </w:tc>
        <w:tc>
          <w:tcPr>
            <w:tcW w:w="4536" w:type="dxa"/>
            <w:gridSpan w:val="2"/>
          </w:tcPr>
          <w:p w:rsidR="00CB0DD7" w:rsidRPr="000A0A5F" w:rsidRDefault="00CB0DD7" w:rsidP="00BC6E27">
            <w:pPr>
              <w:pStyle w:val="TAL"/>
              <w:rPr>
                <w:lang w:eastAsia="zh-CN"/>
              </w:rPr>
            </w:pPr>
            <w:r w:rsidRPr="000A0A5F">
              <w:rPr>
                <w:lang w:eastAsia="zh-CN"/>
              </w:rPr>
              <w:t xml:space="preserve">This feature supports the partial cancellation </w:t>
            </w:r>
            <w:r w:rsidR="00BC6E27" w:rsidRPr="000A0A5F">
              <w:rPr>
                <w:lang w:eastAsia="zh-CN"/>
              </w:rPr>
              <w:t xml:space="preserve">and/or partial addition </w:t>
            </w:r>
            <w:r w:rsidRPr="000A0A5F">
              <w:rPr>
                <w:lang w:eastAsia="zh-CN"/>
              </w:rPr>
              <w:t>to the group member(s) within the grouped event monitoring subscription.</w:t>
            </w:r>
          </w:p>
        </w:tc>
      </w:tr>
      <w:tr w:rsidR="008A177C" w:rsidRPr="000A0A5F" w:rsidTr="00542565">
        <w:trPr>
          <w:gridAfter w:val="1"/>
          <w:wAfter w:w="116" w:type="dxa"/>
          <w:cantSplit/>
          <w:jc w:val="center"/>
        </w:trPr>
        <w:tc>
          <w:tcPr>
            <w:tcW w:w="993" w:type="dxa"/>
            <w:gridSpan w:val="2"/>
          </w:tcPr>
          <w:p w:rsidR="008A177C" w:rsidRPr="000A0A5F" w:rsidRDefault="008A177C" w:rsidP="008A177C">
            <w:pPr>
              <w:pStyle w:val="TAL"/>
              <w:jc w:val="center"/>
              <w:rPr>
                <w:rFonts w:cs="Arial"/>
                <w:lang w:eastAsia="zh-CN"/>
              </w:rPr>
            </w:pPr>
            <w:r w:rsidRPr="000A0A5F">
              <w:rPr>
                <w:rFonts w:cs="Arial"/>
                <w:lang w:eastAsia="zh-CN"/>
              </w:rPr>
              <w:t>21</w:t>
            </w:r>
          </w:p>
        </w:tc>
        <w:tc>
          <w:tcPr>
            <w:tcW w:w="4110" w:type="dxa"/>
            <w:gridSpan w:val="2"/>
          </w:tcPr>
          <w:p w:rsidR="008A177C" w:rsidRPr="000A0A5F" w:rsidRDefault="008A177C" w:rsidP="008A177C">
            <w:pPr>
              <w:pStyle w:val="TAL"/>
              <w:rPr>
                <w:rFonts w:cs="Arial"/>
                <w:szCs w:val="18"/>
                <w:lang w:eastAsia="zh-CN"/>
              </w:rPr>
            </w:pPr>
            <w:r w:rsidRPr="000A0A5F">
              <w:rPr>
                <w:lang w:eastAsia="zh-CN"/>
              </w:rPr>
              <w:t>UAV</w:t>
            </w:r>
          </w:p>
        </w:tc>
        <w:tc>
          <w:tcPr>
            <w:tcW w:w="4536" w:type="dxa"/>
            <w:gridSpan w:val="2"/>
          </w:tcPr>
          <w:p w:rsidR="00A313ED" w:rsidRPr="000A0A5F" w:rsidRDefault="008A177C" w:rsidP="00A313ED">
            <w:pPr>
              <w:pStyle w:val="TAL"/>
            </w:pPr>
            <w:r w:rsidRPr="000A0A5F">
              <w:t>Th</w:t>
            </w:r>
            <w:r w:rsidRPr="000A0A5F">
              <w:rPr>
                <w:rFonts w:hint="eastAsia"/>
              </w:rPr>
              <w:t>e</w:t>
            </w:r>
            <w:r w:rsidRPr="000A0A5F">
              <w:t xml:space="preserve"> SCS/AS requests to be notified of t</w:t>
            </w:r>
            <w:r w:rsidRPr="000A0A5F">
              <w:rPr>
                <w:rFonts w:hint="eastAsia"/>
              </w:rPr>
              <w:t>he</w:t>
            </w:r>
            <w:r w:rsidRPr="000A0A5F">
              <w:t xml:space="preserve"> UAV presence status in a specific geographic area. This feature is only applicable in interworking SCEF+NEF scenario, or standalone 5G scenario.</w:t>
            </w:r>
          </w:p>
          <w:p w:rsidR="00A313ED" w:rsidRPr="000A0A5F" w:rsidRDefault="00A313ED" w:rsidP="00A313ED">
            <w:pPr>
              <w:pStyle w:val="TAL"/>
              <w:rPr>
                <w:color w:val="0070C0"/>
              </w:rPr>
            </w:pPr>
          </w:p>
          <w:p w:rsidR="008A177C" w:rsidRPr="000A0A5F" w:rsidRDefault="00A313ED" w:rsidP="00A313ED">
            <w:pPr>
              <w:pStyle w:val="TAL"/>
            </w:pPr>
            <w:r w:rsidRPr="000A0A5F">
              <w:rPr>
                <w:lang w:eastAsia="zh-CN"/>
              </w:rPr>
              <w:t>This feature requires that Number_of_UEs_in_an_area_notification and Number_of_UEs_in_an_area_notification_5G features are also supported.</w:t>
            </w:r>
          </w:p>
        </w:tc>
      </w:tr>
      <w:tr w:rsidR="00C0139B" w:rsidRPr="000A0A5F" w:rsidTr="00542565">
        <w:trPr>
          <w:gridAfter w:val="1"/>
          <w:wAfter w:w="116" w:type="dxa"/>
          <w:cantSplit/>
          <w:jc w:val="center"/>
        </w:trPr>
        <w:tc>
          <w:tcPr>
            <w:tcW w:w="993" w:type="dxa"/>
            <w:gridSpan w:val="2"/>
          </w:tcPr>
          <w:p w:rsidR="00C0139B" w:rsidRPr="000A0A5F" w:rsidRDefault="00C0139B" w:rsidP="00C0139B">
            <w:pPr>
              <w:pStyle w:val="TAL"/>
              <w:jc w:val="center"/>
              <w:rPr>
                <w:rFonts w:cs="Arial"/>
                <w:lang w:eastAsia="zh-CN"/>
              </w:rPr>
            </w:pPr>
            <w:r w:rsidRPr="000A0A5F">
              <w:rPr>
                <w:rFonts w:cs="Arial"/>
                <w:lang w:eastAsia="zh-CN"/>
              </w:rPr>
              <w:t>22</w:t>
            </w:r>
          </w:p>
        </w:tc>
        <w:tc>
          <w:tcPr>
            <w:tcW w:w="4110" w:type="dxa"/>
            <w:gridSpan w:val="2"/>
          </w:tcPr>
          <w:p w:rsidR="00C0139B" w:rsidRPr="000A0A5F" w:rsidRDefault="00C0139B" w:rsidP="00C0139B">
            <w:pPr>
              <w:pStyle w:val="TAL"/>
              <w:rPr>
                <w:lang w:eastAsia="zh-CN"/>
              </w:rPr>
            </w:pPr>
            <w:r w:rsidRPr="000A0A5F">
              <w:rPr>
                <w:rFonts w:cs="Arial"/>
                <w:szCs w:val="18"/>
                <w:lang w:eastAsia="zh-CN"/>
              </w:rPr>
              <w:t>MULTIQOS</w:t>
            </w:r>
          </w:p>
        </w:tc>
        <w:tc>
          <w:tcPr>
            <w:tcW w:w="4536" w:type="dxa"/>
            <w:gridSpan w:val="2"/>
          </w:tcPr>
          <w:p w:rsidR="00C0139B" w:rsidRPr="000A0A5F" w:rsidRDefault="00C0139B" w:rsidP="00A313ED">
            <w:pPr>
              <w:pStyle w:val="TAL"/>
            </w:pPr>
            <w:r w:rsidRPr="000A0A5F">
              <w:t>This feature indicates the support for "Multiple QoS Class" which enables to support more than one Location QoS during LCS procedures.</w:t>
            </w:r>
          </w:p>
          <w:p w:rsidR="00C0139B" w:rsidRPr="000A0A5F" w:rsidRDefault="00C0139B" w:rsidP="00A313ED">
            <w:pPr>
              <w:pStyle w:val="TAL"/>
            </w:pPr>
          </w:p>
          <w:p w:rsidR="00C0139B" w:rsidRPr="000A0A5F" w:rsidRDefault="00C0139B" w:rsidP="00A313ED">
            <w:pPr>
              <w:pStyle w:val="TAL"/>
            </w:pPr>
            <w:r w:rsidRPr="000A0A5F">
              <w:t>This feature requires that the eLCS feature is also supported.</w:t>
            </w:r>
          </w:p>
        </w:tc>
      </w:tr>
      <w:tr w:rsidR="0086156B" w:rsidRPr="000A0A5F" w:rsidTr="00542565">
        <w:trPr>
          <w:gridAfter w:val="1"/>
          <w:wAfter w:w="116" w:type="dxa"/>
          <w:cantSplit/>
          <w:jc w:val="center"/>
        </w:trPr>
        <w:tc>
          <w:tcPr>
            <w:tcW w:w="993" w:type="dxa"/>
            <w:gridSpan w:val="2"/>
          </w:tcPr>
          <w:p w:rsidR="0086156B" w:rsidRPr="000A0A5F" w:rsidRDefault="0086156B" w:rsidP="0086156B">
            <w:pPr>
              <w:pStyle w:val="TAL"/>
              <w:jc w:val="center"/>
              <w:rPr>
                <w:rFonts w:cs="Arial"/>
                <w:lang w:eastAsia="zh-CN"/>
              </w:rPr>
            </w:pPr>
            <w:r w:rsidRPr="000A0A5F">
              <w:rPr>
                <w:rFonts w:cs="Arial"/>
                <w:lang w:eastAsia="zh-CN"/>
              </w:rPr>
              <w:t>23</w:t>
            </w:r>
          </w:p>
        </w:tc>
        <w:tc>
          <w:tcPr>
            <w:tcW w:w="4110" w:type="dxa"/>
            <w:gridSpan w:val="2"/>
          </w:tcPr>
          <w:p w:rsidR="0086156B" w:rsidRPr="000A0A5F" w:rsidRDefault="0086156B" w:rsidP="0086156B">
            <w:pPr>
              <w:pStyle w:val="TAL"/>
              <w:rPr>
                <w:rFonts w:cs="Arial"/>
                <w:szCs w:val="18"/>
                <w:lang w:eastAsia="zh-CN"/>
              </w:rPr>
            </w:pPr>
            <w:r w:rsidRPr="000A0A5F">
              <w:rPr>
                <w:rFonts w:cs="Arial"/>
                <w:szCs w:val="18"/>
                <w:lang w:eastAsia="zh-CN"/>
              </w:rPr>
              <w:t>Session_Management_Enhancement</w:t>
            </w:r>
          </w:p>
        </w:tc>
        <w:tc>
          <w:tcPr>
            <w:tcW w:w="4536" w:type="dxa"/>
            <w:gridSpan w:val="2"/>
          </w:tcPr>
          <w:p w:rsidR="0086156B" w:rsidRPr="000A0A5F" w:rsidRDefault="0086156B" w:rsidP="0086156B">
            <w:pPr>
              <w:pStyle w:val="TAL"/>
              <w:rPr>
                <w:lang w:eastAsia="zh-CN"/>
              </w:rPr>
            </w:pPr>
            <w:r w:rsidRPr="000A0A5F">
              <w:rPr>
                <w:lang w:eastAsia="zh-CN"/>
              </w:rPr>
              <w:t>This feature supports Session Management enhancement with requested DNN and/or S-NSSAI.</w:t>
            </w:r>
            <w:r w:rsidRPr="000A0A5F">
              <w:t xml:space="preserve"> </w:t>
            </w:r>
            <w:r w:rsidRPr="000A0A5F">
              <w:rPr>
                <w:lang w:eastAsia="zh-CN"/>
              </w:rPr>
              <w:t>This feature requires that the Pdn_connectivity_status feature or Downlink_data_delivery_status_5G feature is also supported.</w:t>
            </w:r>
          </w:p>
        </w:tc>
      </w:tr>
      <w:tr w:rsidR="00A84DCA" w:rsidRPr="000A0A5F" w:rsidTr="00542565">
        <w:trPr>
          <w:gridAfter w:val="1"/>
          <w:wAfter w:w="116" w:type="dxa"/>
          <w:cantSplit/>
          <w:jc w:val="center"/>
        </w:trPr>
        <w:tc>
          <w:tcPr>
            <w:tcW w:w="993" w:type="dxa"/>
            <w:gridSpan w:val="2"/>
          </w:tcPr>
          <w:p w:rsidR="00A84DCA" w:rsidRPr="000A0A5F" w:rsidRDefault="00A84DCA" w:rsidP="00A84DCA">
            <w:pPr>
              <w:pStyle w:val="TAL"/>
              <w:jc w:val="center"/>
              <w:rPr>
                <w:rFonts w:cs="Arial"/>
                <w:lang w:eastAsia="zh-CN"/>
              </w:rPr>
            </w:pPr>
            <w:r w:rsidRPr="000A0A5F">
              <w:rPr>
                <w:rFonts w:cs="Arial"/>
                <w:lang w:eastAsia="zh-CN"/>
              </w:rPr>
              <w:t>24</w:t>
            </w:r>
          </w:p>
        </w:tc>
        <w:tc>
          <w:tcPr>
            <w:tcW w:w="4110" w:type="dxa"/>
            <w:gridSpan w:val="2"/>
          </w:tcPr>
          <w:p w:rsidR="00A84DCA" w:rsidRPr="000A0A5F" w:rsidRDefault="00A84DCA" w:rsidP="00A84DCA">
            <w:pPr>
              <w:pStyle w:val="TAL"/>
              <w:rPr>
                <w:rFonts w:cs="Arial"/>
                <w:szCs w:val="18"/>
                <w:lang w:eastAsia="zh-CN"/>
              </w:rPr>
            </w:pPr>
            <w:r w:rsidRPr="000A0A5F">
              <w:rPr>
                <w:rFonts w:cs="Arial"/>
                <w:szCs w:val="18"/>
                <w:lang w:eastAsia="zh-CN"/>
              </w:rPr>
              <w:t>enNB</w:t>
            </w:r>
          </w:p>
        </w:tc>
        <w:tc>
          <w:tcPr>
            <w:tcW w:w="4536" w:type="dxa"/>
            <w:gridSpan w:val="2"/>
          </w:tcPr>
          <w:p w:rsidR="00A84DCA" w:rsidRPr="000A0A5F" w:rsidRDefault="00A84DCA" w:rsidP="00A84DCA">
            <w:pPr>
              <w:pStyle w:val="TAL"/>
              <w:rPr>
                <w:lang w:eastAsia="zh-CN"/>
              </w:rPr>
            </w:pPr>
            <w:r w:rsidRPr="000A0A5F">
              <w:rPr>
                <w:lang w:eastAsia="zh-CN"/>
              </w:rPr>
              <w:t>Indicates the support of enhancements to the northbound interfaces.</w:t>
            </w:r>
          </w:p>
        </w:tc>
      </w:tr>
      <w:tr w:rsidR="00F20E75" w:rsidRPr="000A0A5F" w:rsidTr="00542565">
        <w:trPr>
          <w:gridAfter w:val="1"/>
          <w:wAfter w:w="116" w:type="dxa"/>
          <w:cantSplit/>
          <w:jc w:val="center"/>
        </w:trPr>
        <w:tc>
          <w:tcPr>
            <w:tcW w:w="993" w:type="dxa"/>
            <w:gridSpan w:val="2"/>
          </w:tcPr>
          <w:p w:rsidR="00F20E75" w:rsidRPr="000A0A5F" w:rsidRDefault="00F20E75" w:rsidP="00F20E75">
            <w:pPr>
              <w:pStyle w:val="TAL"/>
              <w:jc w:val="center"/>
              <w:rPr>
                <w:rFonts w:cs="Arial"/>
                <w:lang w:eastAsia="zh-CN"/>
              </w:rPr>
            </w:pPr>
            <w:r w:rsidRPr="000A0A5F">
              <w:rPr>
                <w:rFonts w:cs="Arial"/>
                <w:lang w:eastAsia="zh-CN"/>
              </w:rPr>
              <w:t>25</w:t>
            </w:r>
          </w:p>
        </w:tc>
        <w:tc>
          <w:tcPr>
            <w:tcW w:w="4110" w:type="dxa"/>
            <w:gridSpan w:val="2"/>
          </w:tcPr>
          <w:p w:rsidR="00F20E75" w:rsidRPr="000A0A5F" w:rsidRDefault="00F20E75" w:rsidP="00F20E75">
            <w:pPr>
              <w:pStyle w:val="TAL"/>
              <w:rPr>
                <w:rFonts w:cs="Arial"/>
                <w:szCs w:val="18"/>
                <w:lang w:eastAsia="zh-CN"/>
              </w:rPr>
            </w:pPr>
            <w:r w:rsidRPr="000A0A5F">
              <w:rPr>
                <w:rFonts w:cs="Arial"/>
                <w:szCs w:val="18"/>
                <w:lang w:eastAsia="zh-CN"/>
              </w:rPr>
              <w:t>EDGEAPP</w:t>
            </w:r>
          </w:p>
        </w:tc>
        <w:tc>
          <w:tcPr>
            <w:tcW w:w="4536" w:type="dxa"/>
            <w:gridSpan w:val="2"/>
          </w:tcPr>
          <w:p w:rsidR="00F20E75" w:rsidRPr="000A0A5F" w:rsidRDefault="00F20E75" w:rsidP="00F20E75">
            <w:pPr>
              <w:pStyle w:val="TAL"/>
              <w:rPr>
                <w:lang w:eastAsia="zh-CN"/>
              </w:rPr>
            </w:pPr>
            <w:r w:rsidRPr="000A0A5F">
              <w:rPr>
                <w:lang w:eastAsia="zh-CN"/>
              </w:rPr>
              <w:t>This feature controls the support of EDGE applications related functionalities (e.g. support the civic address as a possible location granularity).</w:t>
            </w:r>
          </w:p>
          <w:p w:rsidR="00F20E75" w:rsidRPr="000A0A5F" w:rsidRDefault="00F20E75" w:rsidP="00F20E75">
            <w:pPr>
              <w:pStyle w:val="TAL"/>
              <w:rPr>
                <w:lang w:eastAsia="zh-CN"/>
              </w:rPr>
            </w:pPr>
            <w:r w:rsidRPr="000A0A5F">
              <w:rPr>
                <w:rFonts w:cs="Arial"/>
                <w:szCs w:val="18"/>
                <w:lang w:eastAsia="zh-CN"/>
              </w:rPr>
              <w:t>The feature is not applicable to pre-5G (e.g. 4G).</w:t>
            </w:r>
          </w:p>
        </w:tc>
      </w:tr>
      <w:tr w:rsidR="008D34A0" w:rsidRPr="000A0A5F" w:rsidTr="00542565">
        <w:trPr>
          <w:gridAfter w:val="1"/>
          <w:wAfter w:w="116" w:type="dxa"/>
          <w:cantSplit/>
          <w:jc w:val="center"/>
        </w:trPr>
        <w:tc>
          <w:tcPr>
            <w:tcW w:w="993" w:type="dxa"/>
            <w:gridSpan w:val="2"/>
          </w:tcPr>
          <w:p w:rsidR="008D34A0" w:rsidRPr="000A0A5F" w:rsidRDefault="008D34A0" w:rsidP="008D34A0">
            <w:pPr>
              <w:pStyle w:val="TAL"/>
              <w:jc w:val="center"/>
              <w:rPr>
                <w:rFonts w:cs="Arial"/>
                <w:lang w:eastAsia="zh-CN"/>
              </w:rPr>
            </w:pPr>
            <w:r w:rsidRPr="000A0A5F">
              <w:rPr>
                <w:rFonts w:cs="Arial"/>
                <w:lang w:eastAsia="zh-CN"/>
              </w:rPr>
              <w:t>26</w:t>
            </w:r>
          </w:p>
        </w:tc>
        <w:tc>
          <w:tcPr>
            <w:tcW w:w="4110" w:type="dxa"/>
            <w:gridSpan w:val="2"/>
          </w:tcPr>
          <w:p w:rsidR="008D34A0" w:rsidRPr="000A0A5F" w:rsidRDefault="008D34A0" w:rsidP="008D34A0">
            <w:pPr>
              <w:pStyle w:val="TAL"/>
              <w:rPr>
                <w:rFonts w:cs="Arial"/>
                <w:szCs w:val="18"/>
                <w:lang w:eastAsia="zh-CN"/>
              </w:rPr>
            </w:pPr>
            <w:r w:rsidRPr="000A0A5F">
              <w:rPr>
                <w:rFonts w:cs="Arial"/>
                <w:szCs w:val="18"/>
                <w:lang w:eastAsia="zh-CN"/>
              </w:rPr>
              <w:t>UEId_retrieval</w:t>
            </w:r>
          </w:p>
        </w:tc>
        <w:tc>
          <w:tcPr>
            <w:tcW w:w="4536" w:type="dxa"/>
            <w:gridSpan w:val="2"/>
          </w:tcPr>
          <w:p w:rsidR="008D34A0" w:rsidRPr="000A0A5F" w:rsidRDefault="008D34A0" w:rsidP="008D34A0">
            <w:pPr>
              <w:pStyle w:val="TAL"/>
              <w:rPr>
                <w:lang w:eastAsia="zh-CN"/>
              </w:rPr>
            </w:pPr>
            <w:r w:rsidRPr="000A0A5F">
              <w:rPr>
                <w:lang w:eastAsia="zh-CN"/>
              </w:rPr>
              <w:t>This feature supports AF specific UE ID retrieval which is not applicable to pre-5G (e.g. 4G).</w:t>
            </w:r>
          </w:p>
        </w:tc>
      </w:tr>
      <w:tr w:rsidR="00E37664" w:rsidRPr="000A0A5F" w:rsidTr="00542565">
        <w:trPr>
          <w:gridAfter w:val="1"/>
          <w:wAfter w:w="116" w:type="dxa"/>
          <w:cantSplit/>
          <w:jc w:val="center"/>
        </w:trPr>
        <w:tc>
          <w:tcPr>
            <w:tcW w:w="993" w:type="dxa"/>
            <w:gridSpan w:val="2"/>
          </w:tcPr>
          <w:p w:rsidR="00E37664" w:rsidRPr="000A0A5F" w:rsidRDefault="00AC79C0" w:rsidP="00E37664">
            <w:pPr>
              <w:pStyle w:val="TAL"/>
              <w:jc w:val="center"/>
              <w:rPr>
                <w:rFonts w:cs="Arial"/>
                <w:lang w:eastAsia="zh-CN"/>
              </w:rPr>
            </w:pPr>
            <w:r w:rsidRPr="000A0A5F">
              <w:rPr>
                <w:rFonts w:cs="Arial"/>
                <w:lang w:eastAsia="zh-CN"/>
              </w:rPr>
              <w:t>27</w:t>
            </w:r>
          </w:p>
        </w:tc>
        <w:tc>
          <w:tcPr>
            <w:tcW w:w="4110" w:type="dxa"/>
            <w:gridSpan w:val="2"/>
          </w:tcPr>
          <w:p w:rsidR="00E37664" w:rsidRPr="000A0A5F" w:rsidRDefault="00E37664" w:rsidP="00E37664">
            <w:pPr>
              <w:pStyle w:val="TAL"/>
              <w:rPr>
                <w:rFonts w:cs="Arial"/>
                <w:szCs w:val="18"/>
                <w:lang w:eastAsia="zh-CN"/>
              </w:rPr>
            </w:pPr>
            <w:r w:rsidRPr="000A0A5F">
              <w:rPr>
                <w:lang w:eastAsia="zh-CN"/>
              </w:rPr>
              <w:t>UserConsentRevocation</w:t>
            </w:r>
          </w:p>
        </w:tc>
        <w:tc>
          <w:tcPr>
            <w:tcW w:w="4536" w:type="dxa"/>
            <w:gridSpan w:val="2"/>
          </w:tcPr>
          <w:p w:rsidR="00E37664" w:rsidRPr="000A0A5F" w:rsidRDefault="00E37664" w:rsidP="00E37664">
            <w:pPr>
              <w:pStyle w:val="TAL"/>
              <w:rPr>
                <w:lang w:eastAsia="zh-CN"/>
              </w:rPr>
            </w:pPr>
            <w:r w:rsidRPr="000A0A5F">
              <w:rPr>
                <w:bCs/>
              </w:rPr>
              <w:t>This feature indicates the support of user consent revocation management and enforcement (e.g. stop data processing) for EDGE applications.</w:t>
            </w:r>
          </w:p>
        </w:tc>
      </w:tr>
      <w:tr w:rsidR="003D2058" w:rsidRPr="000A0A5F" w:rsidTr="00542565">
        <w:trPr>
          <w:gridAfter w:val="1"/>
          <w:wAfter w:w="116" w:type="dxa"/>
          <w:cantSplit/>
          <w:jc w:val="center"/>
        </w:trPr>
        <w:tc>
          <w:tcPr>
            <w:tcW w:w="993" w:type="dxa"/>
            <w:gridSpan w:val="2"/>
          </w:tcPr>
          <w:p w:rsidR="003D2058" w:rsidRPr="000A0A5F" w:rsidRDefault="003D2058" w:rsidP="003D2058">
            <w:pPr>
              <w:pStyle w:val="TAL"/>
              <w:jc w:val="center"/>
              <w:rPr>
                <w:rFonts w:cs="Arial"/>
                <w:lang w:eastAsia="zh-CN"/>
              </w:rPr>
            </w:pPr>
            <w:r w:rsidRPr="000A0A5F">
              <w:rPr>
                <w:rFonts w:cs="Arial"/>
                <w:lang w:eastAsia="zh-CN"/>
              </w:rPr>
              <w:t>28</w:t>
            </w:r>
          </w:p>
        </w:tc>
        <w:tc>
          <w:tcPr>
            <w:tcW w:w="4110" w:type="dxa"/>
            <w:gridSpan w:val="2"/>
          </w:tcPr>
          <w:p w:rsidR="003D2058" w:rsidRPr="000A0A5F" w:rsidRDefault="003D2058" w:rsidP="003D2058">
            <w:pPr>
              <w:pStyle w:val="TAL"/>
              <w:rPr>
                <w:lang w:eastAsia="zh-CN"/>
              </w:rPr>
            </w:pPr>
            <w:r w:rsidRPr="000A0A5F">
              <w:rPr>
                <w:lang w:eastAsia="zh-CN"/>
              </w:rPr>
              <w:t>Subscription_Patch</w:t>
            </w:r>
          </w:p>
        </w:tc>
        <w:tc>
          <w:tcPr>
            <w:tcW w:w="4536" w:type="dxa"/>
            <w:gridSpan w:val="2"/>
          </w:tcPr>
          <w:p w:rsidR="003D2058" w:rsidRPr="000A0A5F" w:rsidRDefault="003D2058" w:rsidP="003D2058">
            <w:pPr>
              <w:pStyle w:val="TAL"/>
              <w:rPr>
                <w:bCs/>
              </w:rPr>
            </w:pPr>
            <w:r w:rsidRPr="000A0A5F">
              <w:rPr>
                <w:bCs/>
              </w:rPr>
              <w:t>This feature indicates the support of the PATCH method for partial modification of an existing event monitoring subscription.</w:t>
            </w:r>
          </w:p>
        </w:tc>
      </w:tr>
      <w:tr w:rsidR="00542565" w:rsidRPr="000A0A5F" w:rsidTr="00542565">
        <w:trPr>
          <w:gridBefore w:val="1"/>
          <w:wBefore w:w="116" w:type="dxa"/>
          <w:cantSplit/>
          <w:jc w:val="center"/>
        </w:trPr>
        <w:tc>
          <w:tcPr>
            <w:tcW w:w="993" w:type="dxa"/>
            <w:gridSpan w:val="2"/>
          </w:tcPr>
          <w:p w:rsidR="00542565" w:rsidRPr="000A0A5F" w:rsidRDefault="00542565" w:rsidP="0037730B">
            <w:pPr>
              <w:pStyle w:val="TAL"/>
              <w:jc w:val="center"/>
              <w:rPr>
                <w:rFonts w:cs="Arial"/>
                <w:lang w:eastAsia="zh-CN"/>
              </w:rPr>
            </w:pPr>
            <w:r w:rsidRPr="000A0A5F">
              <w:rPr>
                <w:rFonts w:cs="Arial"/>
                <w:lang w:eastAsia="zh-CN"/>
              </w:rPr>
              <w:t>29</w:t>
            </w:r>
          </w:p>
        </w:tc>
        <w:tc>
          <w:tcPr>
            <w:tcW w:w="4110" w:type="dxa"/>
            <w:gridSpan w:val="2"/>
          </w:tcPr>
          <w:p w:rsidR="00542565" w:rsidRPr="000A0A5F" w:rsidRDefault="00542565" w:rsidP="0037730B">
            <w:pPr>
              <w:pStyle w:val="TAL"/>
              <w:rPr>
                <w:lang w:eastAsia="zh-CN"/>
              </w:rPr>
            </w:pPr>
            <w:r w:rsidRPr="000A0A5F">
              <w:t>GMEC</w:t>
            </w:r>
          </w:p>
        </w:tc>
        <w:tc>
          <w:tcPr>
            <w:tcW w:w="4536" w:type="dxa"/>
            <w:gridSpan w:val="2"/>
          </w:tcPr>
          <w:p w:rsidR="00542565" w:rsidRPr="000A0A5F" w:rsidRDefault="00542565" w:rsidP="0037730B">
            <w:pPr>
              <w:pStyle w:val="TAL"/>
              <w:rPr>
                <w:bCs/>
              </w:rPr>
            </w:pPr>
            <w:r w:rsidRPr="000A0A5F">
              <w:rPr>
                <w:bCs/>
              </w:rPr>
              <w:t xml:space="preserve">This feature indicates the support of </w:t>
            </w:r>
            <w:r w:rsidRPr="000A0A5F">
              <w:t>Generic Group Management, Exposure and Communication Enhancements</w:t>
            </w:r>
            <w:r w:rsidRPr="000A0A5F">
              <w:rPr>
                <w:bCs/>
              </w:rPr>
              <w:t xml:space="preserve"> (e.g. G</w:t>
            </w:r>
            <w:r w:rsidRPr="000A0A5F" w:rsidDel="0097796C">
              <w:rPr>
                <w:bCs/>
              </w:rPr>
              <w:t>g</w:t>
            </w:r>
            <w:r w:rsidRPr="000A0A5F">
              <w:rPr>
                <w:bCs/>
              </w:rPr>
              <w:t>roup Member List Change event reporting).</w:t>
            </w:r>
          </w:p>
          <w:p w:rsidR="00542565" w:rsidRPr="000A0A5F" w:rsidRDefault="00542565" w:rsidP="0037730B">
            <w:pPr>
              <w:pStyle w:val="TAL"/>
              <w:rPr>
                <w:lang w:eastAsia="zh-CN"/>
              </w:rPr>
            </w:pPr>
          </w:p>
          <w:p w:rsidR="00542565" w:rsidRPr="000A0A5F" w:rsidRDefault="00542565" w:rsidP="0037730B">
            <w:pPr>
              <w:pStyle w:val="TAL"/>
              <w:rPr>
                <w:bCs/>
              </w:rPr>
            </w:pPr>
            <w:r w:rsidRPr="000A0A5F">
              <w:rPr>
                <w:lang w:eastAsia="zh-CN"/>
              </w:rPr>
              <w:t>This feature is not applicable to pre-5G (e.g. 4G)</w:t>
            </w:r>
            <w:r w:rsidRPr="000A0A5F">
              <w:rPr>
                <w:bCs/>
              </w:rPr>
              <w:t>.</w:t>
            </w:r>
          </w:p>
        </w:tc>
      </w:tr>
      <w:tr w:rsidR="005A6CD8" w:rsidRPr="000A0A5F" w:rsidTr="00542565">
        <w:trPr>
          <w:gridBefore w:val="1"/>
          <w:wBefore w:w="116" w:type="dxa"/>
          <w:cantSplit/>
          <w:jc w:val="center"/>
        </w:trPr>
        <w:tc>
          <w:tcPr>
            <w:tcW w:w="993" w:type="dxa"/>
            <w:gridSpan w:val="2"/>
          </w:tcPr>
          <w:p w:rsidR="005A6CD8" w:rsidRPr="000A0A5F" w:rsidRDefault="005A6CD8" w:rsidP="005A6CD8">
            <w:pPr>
              <w:pStyle w:val="TAL"/>
              <w:jc w:val="center"/>
              <w:rPr>
                <w:rFonts w:cs="Arial"/>
                <w:lang w:eastAsia="zh-CN"/>
              </w:rPr>
            </w:pPr>
            <w:r w:rsidRPr="000A0A5F">
              <w:rPr>
                <w:rFonts w:cs="Arial"/>
                <w:lang w:eastAsia="zh-CN"/>
              </w:rPr>
              <w:t>30</w:t>
            </w:r>
          </w:p>
        </w:tc>
        <w:tc>
          <w:tcPr>
            <w:tcW w:w="4110" w:type="dxa"/>
            <w:gridSpan w:val="2"/>
          </w:tcPr>
          <w:p w:rsidR="005A6CD8" w:rsidRPr="000A0A5F" w:rsidRDefault="005A6CD8" w:rsidP="005A6CD8">
            <w:pPr>
              <w:pStyle w:val="TAL"/>
            </w:pPr>
            <w:r w:rsidRPr="000A0A5F">
              <w:t>Loss_of_connectivity_notification_5G</w:t>
            </w:r>
          </w:p>
        </w:tc>
        <w:tc>
          <w:tcPr>
            <w:tcW w:w="4536" w:type="dxa"/>
            <w:gridSpan w:val="2"/>
          </w:tcPr>
          <w:p w:rsidR="005A6CD8" w:rsidRPr="000A0A5F" w:rsidRDefault="005A6CD8" w:rsidP="005A6CD8">
            <w:pPr>
              <w:pStyle w:val="TAL"/>
              <w:rPr>
                <w:rFonts w:cs="Arial"/>
                <w:szCs w:val="18"/>
                <w:lang w:eastAsia="zh-CN"/>
              </w:rPr>
            </w:pPr>
            <w:r w:rsidRPr="000A0A5F">
              <w:rPr>
                <w:rFonts w:cs="Arial"/>
                <w:szCs w:val="18"/>
                <w:lang w:eastAsia="zh-CN"/>
              </w:rPr>
              <w:t>The AF is notified when the 3GPP network detects that the UE is no longer reachable for signalling or user plane communication.</w:t>
            </w:r>
          </w:p>
          <w:p w:rsidR="0072301C" w:rsidRPr="000A0A5F" w:rsidRDefault="0072301C" w:rsidP="005A6CD8">
            <w:pPr>
              <w:pStyle w:val="TAL"/>
              <w:rPr>
                <w:bCs/>
              </w:rPr>
            </w:pPr>
            <w:r w:rsidRPr="000A0A5F">
              <w:rPr>
                <w:lang w:eastAsia="zh-CN"/>
              </w:rPr>
              <w:t>This feature is not applicable to pre-5G (e.g. 4G)</w:t>
            </w:r>
            <w:r w:rsidRPr="000A0A5F">
              <w:rPr>
                <w:bCs/>
              </w:rPr>
              <w:t>.</w:t>
            </w:r>
          </w:p>
        </w:tc>
      </w:tr>
      <w:tr w:rsidR="003E21C2" w:rsidRPr="000A0A5F" w:rsidTr="00542565">
        <w:trPr>
          <w:gridBefore w:val="1"/>
          <w:wBefore w:w="116" w:type="dxa"/>
          <w:cantSplit/>
          <w:jc w:val="center"/>
        </w:trPr>
        <w:tc>
          <w:tcPr>
            <w:tcW w:w="993" w:type="dxa"/>
            <w:gridSpan w:val="2"/>
          </w:tcPr>
          <w:p w:rsidR="003E21C2" w:rsidRPr="000A0A5F" w:rsidRDefault="003E21C2" w:rsidP="003E21C2">
            <w:pPr>
              <w:pStyle w:val="TAL"/>
              <w:jc w:val="center"/>
              <w:rPr>
                <w:rFonts w:cs="Arial"/>
                <w:lang w:eastAsia="zh-CN"/>
              </w:rPr>
            </w:pPr>
            <w:r w:rsidRPr="000A0A5F">
              <w:rPr>
                <w:rFonts w:cs="Arial"/>
                <w:lang w:eastAsia="zh-CN"/>
              </w:rPr>
              <w:t>31</w:t>
            </w:r>
          </w:p>
        </w:tc>
        <w:tc>
          <w:tcPr>
            <w:tcW w:w="4110" w:type="dxa"/>
            <w:gridSpan w:val="2"/>
          </w:tcPr>
          <w:p w:rsidR="003E21C2" w:rsidRPr="000A0A5F" w:rsidRDefault="003E21C2" w:rsidP="003E21C2">
            <w:pPr>
              <w:pStyle w:val="TAL"/>
            </w:pPr>
            <w:r w:rsidRPr="000A0A5F">
              <w:rPr>
                <w:lang w:eastAsia="zh-CN"/>
              </w:rPr>
              <w:t>enNB1</w:t>
            </w:r>
          </w:p>
        </w:tc>
        <w:tc>
          <w:tcPr>
            <w:tcW w:w="4536" w:type="dxa"/>
            <w:gridSpan w:val="2"/>
          </w:tcPr>
          <w:p w:rsidR="003E21C2" w:rsidRPr="000A0A5F" w:rsidRDefault="003E21C2" w:rsidP="003E21C2">
            <w:pPr>
              <w:pStyle w:val="TAL"/>
              <w:rPr>
                <w:rFonts w:cs="Arial"/>
                <w:szCs w:val="18"/>
                <w:lang w:eastAsia="zh-CN"/>
              </w:rPr>
            </w:pPr>
            <w:r w:rsidRPr="000A0A5F">
              <w:rPr>
                <w:lang w:eastAsia="zh-CN"/>
              </w:rPr>
              <w:t>Indicates the support of enhancements to this northbound API in Rel-18.</w:t>
            </w:r>
          </w:p>
        </w:tc>
      </w:tr>
      <w:tr w:rsidR="008F09E4" w:rsidRPr="000A0A5F" w:rsidTr="00542565">
        <w:trPr>
          <w:gridBefore w:val="1"/>
          <w:wBefore w:w="116" w:type="dxa"/>
          <w:cantSplit/>
          <w:jc w:val="center"/>
        </w:trPr>
        <w:tc>
          <w:tcPr>
            <w:tcW w:w="993" w:type="dxa"/>
            <w:gridSpan w:val="2"/>
          </w:tcPr>
          <w:p w:rsidR="008F09E4" w:rsidRPr="000A0A5F" w:rsidRDefault="008F09E4" w:rsidP="008F09E4">
            <w:pPr>
              <w:pStyle w:val="TAL"/>
              <w:jc w:val="center"/>
              <w:rPr>
                <w:rFonts w:cs="Arial"/>
                <w:lang w:eastAsia="zh-CN"/>
              </w:rPr>
            </w:pPr>
            <w:r w:rsidRPr="000A0A5F">
              <w:rPr>
                <w:rFonts w:cs="Arial"/>
                <w:lang w:eastAsia="zh-CN"/>
              </w:rPr>
              <w:t>32</w:t>
            </w:r>
          </w:p>
        </w:tc>
        <w:tc>
          <w:tcPr>
            <w:tcW w:w="4110" w:type="dxa"/>
            <w:gridSpan w:val="2"/>
          </w:tcPr>
          <w:p w:rsidR="008F09E4" w:rsidRPr="000A0A5F" w:rsidRDefault="008F09E4" w:rsidP="008F09E4">
            <w:pPr>
              <w:pStyle w:val="TAL"/>
              <w:rPr>
                <w:lang w:eastAsia="zh-CN"/>
              </w:rPr>
            </w:pPr>
            <w:r w:rsidRPr="000A0A5F">
              <w:rPr>
                <w:lang w:eastAsia="zh-CN"/>
              </w:rPr>
              <w:t>AppDetection_5G</w:t>
            </w:r>
          </w:p>
        </w:tc>
        <w:tc>
          <w:tcPr>
            <w:tcW w:w="4536" w:type="dxa"/>
            <w:gridSpan w:val="2"/>
          </w:tcPr>
          <w:p w:rsidR="008F09E4" w:rsidRPr="000A0A5F" w:rsidRDefault="008F09E4" w:rsidP="008F09E4">
            <w:pPr>
              <w:pStyle w:val="TAL"/>
              <w:rPr>
                <w:lang w:eastAsia="zh-CN"/>
              </w:rPr>
            </w:pPr>
            <w:r w:rsidRPr="000A0A5F">
              <w:rPr>
                <w:lang w:eastAsia="zh-CN"/>
              </w:rPr>
              <w:t xml:space="preserve">This feature indicates the support of Application traffic detection (start and stop) monitoring event. </w:t>
            </w:r>
          </w:p>
          <w:p w:rsidR="008F09E4" w:rsidRPr="000A0A5F" w:rsidRDefault="008F09E4" w:rsidP="008F09E4">
            <w:pPr>
              <w:pStyle w:val="TAL"/>
              <w:rPr>
                <w:lang w:eastAsia="zh-CN"/>
              </w:rPr>
            </w:pPr>
            <w:r w:rsidRPr="000A0A5F">
              <w:rPr>
                <w:lang w:eastAsia="zh-CN"/>
              </w:rPr>
              <w:t>This feature is not applicable to pre-5G (e.g. 4G)</w:t>
            </w:r>
            <w:r w:rsidRPr="000A0A5F">
              <w:rPr>
                <w:bCs/>
              </w:rPr>
              <w:t>.</w:t>
            </w:r>
          </w:p>
        </w:tc>
      </w:tr>
      <w:tr w:rsidR="00B61C3B" w:rsidRPr="000A0A5F" w:rsidTr="00542565">
        <w:trPr>
          <w:gridBefore w:val="1"/>
          <w:wBefore w:w="116" w:type="dxa"/>
          <w:cantSplit/>
          <w:jc w:val="center"/>
        </w:trPr>
        <w:tc>
          <w:tcPr>
            <w:tcW w:w="993" w:type="dxa"/>
            <w:gridSpan w:val="2"/>
          </w:tcPr>
          <w:p w:rsidR="00B61C3B" w:rsidRPr="000A0A5F" w:rsidRDefault="00B61C3B" w:rsidP="00B61C3B">
            <w:pPr>
              <w:pStyle w:val="TAL"/>
              <w:jc w:val="center"/>
              <w:rPr>
                <w:rFonts w:cs="Arial"/>
                <w:lang w:eastAsia="zh-CN"/>
              </w:rPr>
            </w:pPr>
            <w:r w:rsidRPr="000A0A5F">
              <w:rPr>
                <w:rFonts w:cs="Arial"/>
                <w:lang w:eastAsia="zh-CN"/>
              </w:rPr>
              <w:t>33</w:t>
            </w:r>
          </w:p>
        </w:tc>
        <w:tc>
          <w:tcPr>
            <w:tcW w:w="4110" w:type="dxa"/>
            <w:gridSpan w:val="2"/>
          </w:tcPr>
          <w:p w:rsidR="00B61C3B" w:rsidRPr="000A0A5F" w:rsidRDefault="00B61C3B" w:rsidP="00B61C3B">
            <w:pPr>
              <w:pStyle w:val="TAL"/>
              <w:rPr>
                <w:lang w:eastAsia="zh-CN"/>
              </w:rPr>
            </w:pPr>
            <w:r w:rsidRPr="000A0A5F">
              <w:rPr>
                <w:lang w:eastAsia="zh-CN"/>
              </w:rPr>
              <w:t>enNB1_5G</w:t>
            </w:r>
          </w:p>
        </w:tc>
        <w:tc>
          <w:tcPr>
            <w:tcW w:w="4536" w:type="dxa"/>
            <w:gridSpan w:val="2"/>
          </w:tcPr>
          <w:p w:rsidR="00B61C3B" w:rsidRPr="000A0A5F" w:rsidRDefault="00B61C3B" w:rsidP="00B61C3B">
            <w:pPr>
              <w:pStyle w:val="TAL"/>
              <w:rPr>
                <w:bCs/>
              </w:rPr>
            </w:pPr>
            <w:r w:rsidRPr="000A0A5F">
              <w:rPr>
                <w:bCs/>
              </w:rPr>
              <w:t>Indicates the support of enhancements to this northbound API for 5G in Rel-18.</w:t>
            </w:r>
          </w:p>
          <w:p w:rsidR="00B61C3B" w:rsidRPr="000A0A5F" w:rsidRDefault="00B61C3B" w:rsidP="00B61C3B">
            <w:pPr>
              <w:pStyle w:val="TAL"/>
              <w:rPr>
                <w:lang w:eastAsia="zh-CN"/>
              </w:rPr>
            </w:pPr>
            <w:r w:rsidRPr="000A0A5F">
              <w:rPr>
                <w:bCs/>
              </w:rPr>
              <w:t>This feature is not applicable to pre-5G (e.g. 4G).</w:t>
            </w:r>
          </w:p>
        </w:tc>
      </w:tr>
      <w:tr w:rsidR="00C462FF" w:rsidRPr="000A0A5F" w:rsidTr="00542565">
        <w:trPr>
          <w:gridBefore w:val="1"/>
          <w:wBefore w:w="116" w:type="dxa"/>
          <w:cantSplit/>
          <w:jc w:val="center"/>
        </w:trPr>
        <w:tc>
          <w:tcPr>
            <w:tcW w:w="993" w:type="dxa"/>
            <w:gridSpan w:val="2"/>
          </w:tcPr>
          <w:p w:rsidR="00C462FF" w:rsidRPr="000A0A5F" w:rsidRDefault="00C462FF" w:rsidP="00C462FF">
            <w:pPr>
              <w:pStyle w:val="TAL"/>
              <w:jc w:val="center"/>
              <w:rPr>
                <w:rFonts w:cs="Arial"/>
                <w:lang w:eastAsia="zh-CN"/>
              </w:rPr>
            </w:pPr>
            <w:r w:rsidRPr="000A0A5F">
              <w:rPr>
                <w:rFonts w:cs="Arial"/>
                <w:lang w:eastAsia="zh-CN"/>
              </w:rPr>
              <w:t>34</w:t>
            </w:r>
          </w:p>
        </w:tc>
        <w:tc>
          <w:tcPr>
            <w:tcW w:w="4110" w:type="dxa"/>
            <w:gridSpan w:val="2"/>
          </w:tcPr>
          <w:p w:rsidR="00C462FF" w:rsidRPr="000A0A5F" w:rsidRDefault="00C462FF" w:rsidP="00C462FF">
            <w:pPr>
              <w:pStyle w:val="TAL"/>
              <w:rPr>
                <w:lang w:eastAsia="zh-CN"/>
              </w:rPr>
            </w:pPr>
            <w:r w:rsidRPr="000A0A5F">
              <w:rPr>
                <w:lang w:eastAsia="zh-CN"/>
              </w:rPr>
              <w:t>eLCS_en</w:t>
            </w:r>
          </w:p>
        </w:tc>
        <w:tc>
          <w:tcPr>
            <w:tcW w:w="4536" w:type="dxa"/>
            <w:gridSpan w:val="2"/>
          </w:tcPr>
          <w:p w:rsidR="001F6018" w:rsidRPr="000A0A5F" w:rsidRDefault="001F6018" w:rsidP="001F6018">
            <w:pPr>
              <w:pStyle w:val="TAL"/>
              <w:rPr>
                <w:bCs/>
                <w:lang w:eastAsia="fr-FR"/>
              </w:rPr>
            </w:pPr>
            <w:r w:rsidRPr="000A0A5F">
              <w:rPr>
                <w:bCs/>
                <w:lang w:eastAsia="fr-FR"/>
              </w:rPr>
              <w:t>This feature indicates the support of the enhancements to the eLCS feature</w:t>
            </w:r>
            <w:r w:rsidRPr="000A0A5F">
              <w:t>.</w:t>
            </w:r>
          </w:p>
          <w:p w:rsidR="001F6018" w:rsidRPr="000A0A5F" w:rsidRDefault="001F6018" w:rsidP="001F6018">
            <w:pPr>
              <w:pStyle w:val="TAL"/>
              <w:rPr>
                <w:bCs/>
                <w:lang w:eastAsia="fr-FR"/>
              </w:rPr>
            </w:pPr>
          </w:p>
          <w:p w:rsidR="001F6018" w:rsidRPr="000A0A5F" w:rsidRDefault="001F6018" w:rsidP="001F6018">
            <w:pPr>
              <w:pStyle w:val="TAL"/>
              <w:rPr>
                <w:rFonts w:eastAsia="Times New Roman"/>
                <w:bCs/>
                <w:lang w:eastAsia="fr-FR"/>
              </w:rPr>
            </w:pPr>
            <w:r w:rsidRPr="000A0A5F">
              <w:rPr>
                <w:rFonts w:eastAsia="Times New Roman"/>
                <w:bCs/>
                <w:lang w:eastAsia="fr-FR"/>
              </w:rPr>
              <w:t>The following functionalities are supported:</w:t>
            </w:r>
          </w:p>
          <w:p w:rsidR="001F6018" w:rsidRPr="000A0A5F" w:rsidRDefault="001F6018" w:rsidP="001F6018">
            <w:pPr>
              <w:pStyle w:val="TAL"/>
              <w:ind w:left="284" w:hanging="284"/>
              <w:rPr>
                <w:noProof/>
              </w:rPr>
            </w:pPr>
            <w:r w:rsidRPr="000A0A5F">
              <w:rPr>
                <w:noProof/>
              </w:rPr>
              <w:t>-</w:t>
            </w:r>
            <w:r w:rsidRPr="000A0A5F">
              <w:rPr>
                <w:noProof/>
              </w:rPr>
              <w:tab/>
              <w:t>Support the error handling related to the area event reporting for the case where the requested location area is not allowed.</w:t>
            </w:r>
          </w:p>
          <w:p w:rsidR="001F6018" w:rsidRPr="000A0A5F" w:rsidRDefault="001F6018" w:rsidP="001F6018">
            <w:pPr>
              <w:pStyle w:val="TAL"/>
              <w:ind w:left="284" w:hanging="284"/>
              <w:rPr>
                <w:noProof/>
              </w:rPr>
            </w:pPr>
            <w:r w:rsidRPr="000A0A5F">
              <w:rPr>
                <w:noProof/>
              </w:rPr>
              <w:t>-</w:t>
            </w:r>
            <w:r w:rsidRPr="000A0A5F">
              <w:rPr>
                <w:noProof/>
              </w:rPr>
              <w:tab/>
              <w:t xml:space="preserve">Support </w:t>
            </w:r>
            <w:r w:rsidRPr="000A0A5F">
              <w:rPr>
                <w:rFonts w:cs="Arial"/>
                <w:szCs w:val="18"/>
                <w:lang w:eastAsia="zh-CN"/>
              </w:rPr>
              <w:t>location reporting over user plane</w:t>
            </w:r>
            <w:r w:rsidRPr="000A0A5F">
              <w:rPr>
                <w:bCs/>
              </w:rPr>
              <w:t xml:space="preserve"> between UE and AF.</w:t>
            </w:r>
          </w:p>
          <w:p w:rsidR="001F6018" w:rsidRPr="000A0A5F" w:rsidRDefault="001F6018" w:rsidP="001F6018">
            <w:pPr>
              <w:pStyle w:val="TAL"/>
              <w:rPr>
                <w:bCs/>
                <w:lang w:eastAsia="fr-FR"/>
              </w:rPr>
            </w:pPr>
          </w:p>
          <w:p w:rsidR="00C462FF" w:rsidRPr="000A0A5F" w:rsidRDefault="001F6018" w:rsidP="001F6018">
            <w:pPr>
              <w:pStyle w:val="TAL"/>
              <w:rPr>
                <w:bCs/>
                <w:lang w:eastAsia="fr-FR"/>
              </w:rPr>
            </w:pPr>
            <w:r w:rsidRPr="000A0A5F">
              <w:rPr>
                <w:lang w:eastAsia="zh-CN"/>
              </w:rPr>
              <w:t>This feature is not applicable to pre-5G (e.g. 4G)</w:t>
            </w:r>
            <w:r w:rsidRPr="000A0A5F">
              <w:rPr>
                <w:bCs/>
                <w:lang w:eastAsia="fr-FR"/>
              </w:rPr>
              <w:t>.</w:t>
            </w:r>
          </w:p>
        </w:tc>
      </w:tr>
      <w:tr w:rsidR="00155C75" w:rsidRPr="000A0A5F" w:rsidTr="00542565">
        <w:trPr>
          <w:gridBefore w:val="1"/>
          <w:wBefore w:w="116" w:type="dxa"/>
          <w:cantSplit/>
          <w:jc w:val="center"/>
        </w:trPr>
        <w:tc>
          <w:tcPr>
            <w:tcW w:w="993" w:type="dxa"/>
            <w:gridSpan w:val="2"/>
          </w:tcPr>
          <w:p w:rsidR="00155C75" w:rsidRPr="000A0A5F" w:rsidRDefault="00155C75" w:rsidP="00155C75">
            <w:pPr>
              <w:pStyle w:val="TAL"/>
              <w:jc w:val="center"/>
              <w:rPr>
                <w:rFonts w:cs="Arial"/>
                <w:lang w:eastAsia="zh-CN"/>
              </w:rPr>
            </w:pPr>
            <w:r w:rsidRPr="000A0A5F">
              <w:rPr>
                <w:rFonts w:cs="Arial"/>
                <w:lang w:eastAsia="zh-CN"/>
              </w:rPr>
              <w:t>35</w:t>
            </w:r>
          </w:p>
        </w:tc>
        <w:tc>
          <w:tcPr>
            <w:tcW w:w="4110" w:type="dxa"/>
            <w:gridSpan w:val="2"/>
          </w:tcPr>
          <w:p w:rsidR="00155C75" w:rsidRPr="000A0A5F" w:rsidRDefault="00155C75" w:rsidP="00155C75">
            <w:pPr>
              <w:pStyle w:val="TAL"/>
              <w:rPr>
                <w:lang w:eastAsia="zh-CN"/>
              </w:rPr>
            </w:pPr>
            <w:r w:rsidRPr="000A0A5F">
              <w:rPr>
                <w:lang w:eastAsia="zh-CN"/>
              </w:rPr>
              <w:t>e</w:t>
            </w:r>
            <w:r w:rsidRPr="000A0A5F">
              <w:rPr>
                <w:rFonts w:hint="eastAsia"/>
                <w:lang w:eastAsia="zh-CN"/>
              </w:rPr>
              <w:t>NSAC</w:t>
            </w:r>
          </w:p>
        </w:tc>
        <w:tc>
          <w:tcPr>
            <w:tcW w:w="4536" w:type="dxa"/>
            <w:gridSpan w:val="2"/>
          </w:tcPr>
          <w:p w:rsidR="00155C75" w:rsidRPr="000A0A5F" w:rsidRDefault="00155C75" w:rsidP="00155C75">
            <w:pPr>
              <w:pStyle w:val="TAL"/>
              <w:rPr>
                <w:bCs/>
                <w:lang w:eastAsia="fr-FR"/>
              </w:rPr>
            </w:pPr>
            <w:r w:rsidRPr="000A0A5F">
              <w:rPr>
                <w:bCs/>
                <w:lang w:eastAsia="fr-FR"/>
              </w:rPr>
              <w:t xml:space="preserve">This feature indicates the support of the enhancements to the NSAC feature. </w:t>
            </w:r>
          </w:p>
          <w:p w:rsidR="00155C75" w:rsidRPr="000A0A5F" w:rsidRDefault="00155C75" w:rsidP="00155C75">
            <w:pPr>
              <w:pStyle w:val="TAL"/>
              <w:rPr>
                <w:lang w:eastAsia="zh-CN"/>
              </w:rPr>
            </w:pPr>
          </w:p>
          <w:p w:rsidR="00155C75" w:rsidRPr="000A0A5F" w:rsidRDefault="00155C75" w:rsidP="00155C75">
            <w:pPr>
              <w:pStyle w:val="TAL"/>
              <w:rPr>
                <w:noProof/>
              </w:rPr>
            </w:pPr>
            <w:r w:rsidRPr="000A0A5F">
              <w:rPr>
                <w:bCs/>
                <w:lang w:eastAsia="fr-FR"/>
              </w:rPr>
              <w:t>The following functionalities are supported:</w:t>
            </w:r>
          </w:p>
          <w:p w:rsidR="00155C75" w:rsidRPr="000A0A5F" w:rsidRDefault="00155C75" w:rsidP="00155C75">
            <w:pPr>
              <w:pStyle w:val="TAL"/>
              <w:rPr>
                <w:bCs/>
              </w:rPr>
            </w:pPr>
            <w:r w:rsidRPr="000A0A5F">
              <w:rPr>
                <w:noProof/>
              </w:rPr>
              <w:t>-</w:t>
            </w:r>
            <w:r w:rsidRPr="000A0A5F">
              <w:rPr>
                <w:noProof/>
              </w:rPr>
              <w:tab/>
              <w:t xml:space="preserve">Support the </w:t>
            </w:r>
            <w:r w:rsidRPr="000A0A5F">
              <w:rPr>
                <w:bCs/>
                <w:lang w:eastAsia="fr-FR"/>
              </w:rPr>
              <w:t>status notification of the current number of UEs with at least one PDU session/PDN connection.</w:t>
            </w:r>
            <w:r w:rsidRPr="000A0A5F">
              <w:rPr>
                <w:lang w:eastAsia="zh-CN"/>
              </w:rPr>
              <w:t>This feature is not applicable to pre-5G (e.g. 4G)</w:t>
            </w:r>
            <w:r w:rsidRPr="000A0A5F">
              <w:rPr>
                <w:bCs/>
                <w:lang w:eastAsia="fr-FR"/>
              </w:rPr>
              <w:t>.</w:t>
            </w:r>
          </w:p>
        </w:tc>
      </w:tr>
      <w:tr w:rsidR="00BC037A" w:rsidRPr="000A0A5F" w:rsidTr="00542565">
        <w:trPr>
          <w:gridBefore w:val="1"/>
          <w:wBefore w:w="116" w:type="dxa"/>
          <w:cantSplit/>
          <w:jc w:val="center"/>
        </w:trPr>
        <w:tc>
          <w:tcPr>
            <w:tcW w:w="993" w:type="dxa"/>
            <w:gridSpan w:val="2"/>
          </w:tcPr>
          <w:p w:rsidR="00BC037A" w:rsidRPr="000A0A5F" w:rsidRDefault="00BC037A" w:rsidP="00BC037A">
            <w:pPr>
              <w:pStyle w:val="TAL"/>
              <w:jc w:val="center"/>
              <w:rPr>
                <w:rFonts w:cs="Arial"/>
                <w:lang w:eastAsia="zh-CN"/>
              </w:rPr>
            </w:pPr>
            <w:r w:rsidRPr="000A0A5F">
              <w:rPr>
                <w:rFonts w:cs="Arial"/>
                <w:lang w:eastAsia="zh-CN"/>
              </w:rPr>
              <w:t>36</w:t>
            </w:r>
          </w:p>
        </w:tc>
        <w:tc>
          <w:tcPr>
            <w:tcW w:w="4110" w:type="dxa"/>
            <w:gridSpan w:val="2"/>
          </w:tcPr>
          <w:p w:rsidR="00BC037A" w:rsidRPr="000A0A5F" w:rsidRDefault="00BC037A" w:rsidP="00BC037A">
            <w:pPr>
              <w:pStyle w:val="TAL"/>
              <w:rPr>
                <w:lang w:eastAsia="zh-CN"/>
              </w:rPr>
            </w:pPr>
            <w:r w:rsidRPr="000A0A5F">
              <w:rPr>
                <w:rFonts w:cs="Arial"/>
                <w:szCs w:val="18"/>
                <w:lang w:eastAsia="zh-CN"/>
              </w:rPr>
              <w:t>Ranging_SL</w:t>
            </w:r>
          </w:p>
        </w:tc>
        <w:tc>
          <w:tcPr>
            <w:tcW w:w="4536" w:type="dxa"/>
            <w:gridSpan w:val="2"/>
          </w:tcPr>
          <w:p w:rsidR="00BC037A" w:rsidRPr="000A0A5F" w:rsidRDefault="00BC037A" w:rsidP="00BC037A">
            <w:pPr>
              <w:pStyle w:val="TAL"/>
              <w:rPr>
                <w:lang w:eastAsia="zh-CN"/>
              </w:rPr>
            </w:pPr>
            <w:r w:rsidRPr="000A0A5F">
              <w:rPr>
                <w:lang w:eastAsia="zh-CN"/>
              </w:rPr>
              <w:t>This feature supports the enhanced location exposure service (e.g. location information for ranging and sidelink positioning), and requires the support of eLCS feature</w:t>
            </w:r>
            <w:r w:rsidRPr="000A0A5F">
              <w:rPr>
                <w:rFonts w:hint="eastAsia"/>
                <w:lang w:eastAsia="zh-CN"/>
              </w:rPr>
              <w:t>.</w:t>
            </w:r>
          </w:p>
          <w:p w:rsidR="00BC037A" w:rsidRPr="000A0A5F" w:rsidRDefault="00BC037A" w:rsidP="00BC037A">
            <w:pPr>
              <w:pStyle w:val="TAL"/>
              <w:rPr>
                <w:bCs/>
              </w:rPr>
            </w:pPr>
            <w:r w:rsidRPr="000A0A5F">
              <w:rPr>
                <w:rFonts w:cs="Arial"/>
                <w:szCs w:val="18"/>
                <w:lang w:eastAsia="zh-CN"/>
              </w:rPr>
              <w:t>The feature is not applicable to pre-5G (e.g. 4G).</w:t>
            </w:r>
          </w:p>
        </w:tc>
      </w:tr>
      <w:tr w:rsidR="00BC037A" w:rsidRPr="000A0A5F" w:rsidTr="00542565">
        <w:trPr>
          <w:gridAfter w:val="1"/>
          <w:wAfter w:w="116" w:type="dxa"/>
          <w:cantSplit/>
          <w:jc w:val="center"/>
        </w:trPr>
        <w:tc>
          <w:tcPr>
            <w:tcW w:w="9639" w:type="dxa"/>
            <w:gridSpan w:val="6"/>
          </w:tcPr>
          <w:p w:rsidR="00BC037A" w:rsidRPr="000A0A5F" w:rsidRDefault="00BC037A" w:rsidP="00BC037A">
            <w:pPr>
              <w:pStyle w:val="TAN"/>
            </w:pPr>
            <w:r w:rsidRPr="000A0A5F">
              <w:t>Feature:</w:t>
            </w:r>
            <w:r w:rsidRPr="000A0A5F">
              <w:tab/>
              <w:t>A short name that can be used to refer to the bit and to the feature, e.g. "</w:t>
            </w:r>
            <w:r w:rsidRPr="000A0A5F">
              <w:rPr>
                <w:rFonts w:hint="eastAsia"/>
                <w:lang w:eastAsia="zh-CN"/>
              </w:rPr>
              <w:t>Notification</w:t>
            </w:r>
            <w:r w:rsidRPr="000A0A5F">
              <w:t>".</w:t>
            </w:r>
          </w:p>
          <w:p w:rsidR="00BC037A" w:rsidRPr="000A0A5F" w:rsidRDefault="00BC037A" w:rsidP="00BC037A">
            <w:pPr>
              <w:pStyle w:val="TAN"/>
              <w:rPr>
                <w:rFonts w:cs="Arial"/>
                <w:szCs w:val="18"/>
              </w:rPr>
            </w:pPr>
            <w:r w:rsidRPr="000A0A5F">
              <w:t>Description:</w:t>
            </w:r>
            <w:r w:rsidRPr="000A0A5F">
              <w:tab/>
              <w:t>A clear textual description of the feature.</w:t>
            </w:r>
          </w:p>
        </w:tc>
      </w:tr>
    </w:tbl>
    <w:p w:rsidR="00CB0DD7" w:rsidRPr="000A0A5F" w:rsidRDefault="00CB0DD7"/>
    <w:p w:rsidR="003C0782" w:rsidRPr="000A0A5F" w:rsidRDefault="003C0782">
      <w:pPr>
        <w:rPr>
          <w:lang w:val="en-US"/>
        </w:rPr>
      </w:pPr>
    </w:p>
    <w:p w:rsidR="00CB0DD7" w:rsidRPr="000A0A5F" w:rsidRDefault="00CB0DD7">
      <w:pPr>
        <w:pStyle w:val="Heading3"/>
      </w:pPr>
      <w:bookmarkStart w:id="2547" w:name="_Toc11247359"/>
      <w:bookmarkStart w:id="2548" w:name="_Toc27044481"/>
      <w:bookmarkStart w:id="2549" w:name="_Toc36033523"/>
      <w:bookmarkStart w:id="2550" w:name="_Toc45131655"/>
      <w:bookmarkStart w:id="2551" w:name="_Toc49775940"/>
      <w:bookmarkStart w:id="2552" w:name="_Toc51746860"/>
      <w:bookmarkStart w:id="2553" w:name="_Toc66360408"/>
      <w:bookmarkStart w:id="2554" w:name="_Toc68104913"/>
      <w:bookmarkStart w:id="2555" w:name="_Toc74755543"/>
      <w:bookmarkStart w:id="2556" w:name="_Toc105674416"/>
      <w:bookmarkStart w:id="2557" w:name="_Toc130502456"/>
      <w:bookmarkStart w:id="2558" w:name="_Toc153625243"/>
      <w:r w:rsidRPr="000A0A5F">
        <w:t>5.3.5</w:t>
      </w:r>
      <w:r w:rsidRPr="000A0A5F">
        <w:tab/>
        <w:t>Error handling</w:t>
      </w:r>
      <w:bookmarkEnd w:id="2547"/>
      <w:bookmarkEnd w:id="2548"/>
      <w:bookmarkEnd w:id="2549"/>
      <w:bookmarkEnd w:id="2550"/>
      <w:bookmarkEnd w:id="2551"/>
      <w:bookmarkEnd w:id="2552"/>
      <w:bookmarkEnd w:id="2553"/>
      <w:bookmarkEnd w:id="2554"/>
      <w:bookmarkEnd w:id="2555"/>
      <w:bookmarkEnd w:id="2556"/>
      <w:bookmarkEnd w:id="2557"/>
      <w:bookmarkEnd w:id="2558"/>
    </w:p>
    <w:p w:rsidR="00CB0DD7" w:rsidRPr="000A0A5F" w:rsidRDefault="00CB0DD7">
      <w:pPr>
        <w:pStyle w:val="Heading4"/>
      </w:pPr>
      <w:bookmarkStart w:id="2559" w:name="_Toc11247360"/>
      <w:bookmarkStart w:id="2560" w:name="_Toc27044482"/>
      <w:bookmarkStart w:id="2561" w:name="_Toc36033524"/>
      <w:bookmarkStart w:id="2562" w:name="_Toc45131656"/>
      <w:bookmarkStart w:id="2563" w:name="_Toc49775941"/>
      <w:bookmarkStart w:id="2564" w:name="_Toc51746861"/>
      <w:bookmarkStart w:id="2565" w:name="_Toc66360409"/>
      <w:bookmarkStart w:id="2566" w:name="_Toc68104914"/>
      <w:bookmarkStart w:id="2567" w:name="_Toc74755544"/>
      <w:bookmarkStart w:id="2568" w:name="_Toc105674417"/>
      <w:bookmarkStart w:id="2569" w:name="_Toc130502457"/>
      <w:bookmarkStart w:id="2570" w:name="_Toc153625244"/>
      <w:r w:rsidRPr="000A0A5F">
        <w:t>5.3.5.1</w:t>
      </w:r>
      <w:r w:rsidRPr="000A0A5F">
        <w:tab/>
        <w:t>General</w:t>
      </w:r>
      <w:bookmarkEnd w:id="2559"/>
      <w:bookmarkEnd w:id="2560"/>
      <w:bookmarkEnd w:id="2561"/>
      <w:bookmarkEnd w:id="2562"/>
      <w:bookmarkEnd w:id="2563"/>
      <w:bookmarkEnd w:id="2564"/>
      <w:bookmarkEnd w:id="2565"/>
      <w:bookmarkEnd w:id="2566"/>
      <w:bookmarkEnd w:id="2567"/>
      <w:bookmarkEnd w:id="2568"/>
      <w:bookmarkEnd w:id="2569"/>
      <w:bookmarkEnd w:id="2570"/>
    </w:p>
    <w:p w:rsidR="00CB0DD7" w:rsidRPr="000A0A5F" w:rsidRDefault="00CB0DD7">
      <w:r w:rsidRPr="000A0A5F">
        <w:t>HTTP error handling shall be supported as specified in clause 5.2.6.</w:t>
      </w:r>
    </w:p>
    <w:p w:rsidR="00CB0DD7" w:rsidRPr="000A0A5F" w:rsidRDefault="00CB0DD7">
      <w:r w:rsidRPr="000A0A5F">
        <w:t>In addition, the requirements in the following clauses shall apply.</w:t>
      </w:r>
    </w:p>
    <w:p w:rsidR="00CB0DD7" w:rsidRPr="000A0A5F" w:rsidRDefault="00CB0DD7">
      <w:pPr>
        <w:pStyle w:val="Heading4"/>
      </w:pPr>
      <w:bookmarkStart w:id="2571" w:name="_Toc11247361"/>
      <w:bookmarkStart w:id="2572" w:name="_Toc27044483"/>
      <w:bookmarkStart w:id="2573" w:name="_Toc36033525"/>
      <w:bookmarkStart w:id="2574" w:name="_Toc45131657"/>
      <w:bookmarkStart w:id="2575" w:name="_Toc49775942"/>
      <w:bookmarkStart w:id="2576" w:name="_Toc51746862"/>
      <w:bookmarkStart w:id="2577" w:name="_Toc66360410"/>
      <w:bookmarkStart w:id="2578" w:name="_Toc68104915"/>
      <w:bookmarkStart w:id="2579" w:name="_Toc74755545"/>
      <w:bookmarkStart w:id="2580" w:name="_Toc105674418"/>
      <w:bookmarkStart w:id="2581" w:name="_Toc130502458"/>
      <w:bookmarkStart w:id="2582" w:name="_Toc153625245"/>
      <w:r w:rsidRPr="000A0A5F">
        <w:t>5.3.5.2</w:t>
      </w:r>
      <w:r w:rsidRPr="000A0A5F">
        <w:tab/>
        <w:t>Protocol Errors</w:t>
      </w:r>
      <w:bookmarkEnd w:id="2571"/>
      <w:bookmarkEnd w:id="2572"/>
      <w:bookmarkEnd w:id="2573"/>
      <w:bookmarkEnd w:id="2574"/>
      <w:bookmarkEnd w:id="2575"/>
      <w:bookmarkEnd w:id="2576"/>
      <w:bookmarkEnd w:id="2577"/>
      <w:bookmarkEnd w:id="2578"/>
      <w:bookmarkEnd w:id="2579"/>
      <w:bookmarkEnd w:id="2580"/>
      <w:bookmarkEnd w:id="2581"/>
      <w:bookmarkEnd w:id="2582"/>
    </w:p>
    <w:p w:rsidR="00CB0DD7" w:rsidRPr="000A0A5F" w:rsidRDefault="00CB0DD7">
      <w:r w:rsidRPr="000A0A5F">
        <w:rPr>
          <w:lang w:eastAsia="zh-CN"/>
        </w:rPr>
        <w:t xml:space="preserve">In this Release </w:t>
      </w:r>
      <w:r w:rsidRPr="000A0A5F">
        <w:t>of the specification, there are no additional protocol errors applicable for the MonitoringEvent API.</w:t>
      </w:r>
    </w:p>
    <w:p w:rsidR="00CB0DD7" w:rsidRPr="000A0A5F" w:rsidRDefault="00CB0DD7">
      <w:pPr>
        <w:pStyle w:val="Heading4"/>
      </w:pPr>
      <w:bookmarkStart w:id="2583" w:name="_Toc11247362"/>
      <w:bookmarkStart w:id="2584" w:name="_Toc27044484"/>
      <w:bookmarkStart w:id="2585" w:name="_Toc36033526"/>
      <w:bookmarkStart w:id="2586" w:name="_Toc45131658"/>
      <w:bookmarkStart w:id="2587" w:name="_Toc49775943"/>
      <w:bookmarkStart w:id="2588" w:name="_Toc51746863"/>
      <w:bookmarkStart w:id="2589" w:name="_Toc66360411"/>
      <w:bookmarkStart w:id="2590" w:name="_Toc68104916"/>
      <w:bookmarkStart w:id="2591" w:name="_Toc74755546"/>
      <w:bookmarkStart w:id="2592" w:name="_Toc105674419"/>
      <w:bookmarkStart w:id="2593" w:name="_Toc130502459"/>
      <w:bookmarkStart w:id="2594" w:name="_Toc153625246"/>
      <w:r w:rsidRPr="000A0A5F">
        <w:t>5.3.5.3</w:t>
      </w:r>
      <w:r w:rsidRPr="000A0A5F">
        <w:tab/>
        <w:t>Application Errors</w:t>
      </w:r>
      <w:bookmarkEnd w:id="2583"/>
      <w:bookmarkEnd w:id="2584"/>
      <w:bookmarkEnd w:id="2585"/>
      <w:bookmarkEnd w:id="2586"/>
      <w:bookmarkEnd w:id="2587"/>
      <w:bookmarkEnd w:id="2588"/>
      <w:bookmarkEnd w:id="2589"/>
      <w:bookmarkEnd w:id="2590"/>
      <w:bookmarkEnd w:id="2591"/>
      <w:bookmarkEnd w:id="2592"/>
      <w:bookmarkEnd w:id="2593"/>
      <w:bookmarkEnd w:id="2594"/>
    </w:p>
    <w:p w:rsidR="00CB0DD7" w:rsidRPr="000A0A5F" w:rsidRDefault="00CB0DD7">
      <w:r w:rsidRPr="000A0A5F">
        <w:t>The application errors defined for</w:t>
      </w:r>
      <w:r w:rsidR="00BB0406" w:rsidRPr="000A0A5F">
        <w:t xml:space="preserve"> the</w:t>
      </w:r>
      <w:r w:rsidRPr="000A0A5F">
        <w:t xml:space="preserve"> MonitoringEvent API are listed in table 5.3.5.3-1.</w:t>
      </w:r>
    </w:p>
    <w:p w:rsidR="00CB0DD7" w:rsidRPr="000A0A5F" w:rsidRDefault="00B004CD">
      <w:pPr>
        <w:pStyle w:val="TH"/>
      </w:pPr>
      <w:r w:rsidRPr="000A0A5F">
        <w:t>Table </w:t>
      </w:r>
      <w:r w:rsidR="00CB0DD7" w:rsidRPr="000A0A5F">
        <w:t>5.3.5.3-1: Application errors</w:t>
      </w:r>
    </w:p>
    <w:tbl>
      <w:tblPr>
        <w:tblW w:w="97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4007"/>
        <w:gridCol w:w="1088"/>
        <w:gridCol w:w="2056"/>
        <w:gridCol w:w="2626"/>
        <w:tblGridChange w:id="2595">
          <w:tblGrid>
            <w:gridCol w:w="4007"/>
            <w:gridCol w:w="1088"/>
            <w:gridCol w:w="2056"/>
            <w:gridCol w:w="2626"/>
          </w:tblGrid>
        </w:tblGridChange>
      </w:tblGrid>
      <w:tr w:rsidR="00C11AB8" w:rsidRPr="000A0A5F" w:rsidTr="00BB0406">
        <w:trPr>
          <w:jc w:val="center"/>
        </w:trPr>
        <w:tc>
          <w:tcPr>
            <w:tcW w:w="3109" w:type="dxa"/>
            <w:shd w:val="clear" w:color="auto" w:fill="C0C0C0"/>
            <w:hideMark/>
          </w:tcPr>
          <w:p w:rsidR="00C11AB8" w:rsidRPr="000A0A5F" w:rsidRDefault="00C11AB8">
            <w:pPr>
              <w:pStyle w:val="TAH"/>
            </w:pPr>
            <w:r w:rsidRPr="000A0A5F">
              <w:t>Application Error</w:t>
            </w:r>
          </w:p>
        </w:tc>
        <w:tc>
          <w:tcPr>
            <w:tcW w:w="1176" w:type="dxa"/>
            <w:shd w:val="clear" w:color="auto" w:fill="C0C0C0"/>
            <w:hideMark/>
          </w:tcPr>
          <w:p w:rsidR="00C11AB8" w:rsidRPr="000A0A5F" w:rsidRDefault="00C11AB8">
            <w:pPr>
              <w:pStyle w:val="TAH"/>
            </w:pPr>
            <w:r w:rsidRPr="000A0A5F">
              <w:t>HTTP status code</w:t>
            </w:r>
          </w:p>
        </w:tc>
        <w:tc>
          <w:tcPr>
            <w:tcW w:w="2535" w:type="dxa"/>
            <w:shd w:val="clear" w:color="auto" w:fill="C0C0C0"/>
            <w:hideMark/>
          </w:tcPr>
          <w:p w:rsidR="00C11AB8" w:rsidRPr="000A0A5F" w:rsidRDefault="00C11AB8">
            <w:pPr>
              <w:pStyle w:val="TAH"/>
            </w:pPr>
            <w:r w:rsidRPr="000A0A5F">
              <w:t>Description</w:t>
            </w:r>
          </w:p>
        </w:tc>
        <w:tc>
          <w:tcPr>
            <w:tcW w:w="2957" w:type="dxa"/>
            <w:shd w:val="clear" w:color="auto" w:fill="C0C0C0"/>
          </w:tcPr>
          <w:p w:rsidR="00C11AB8" w:rsidRPr="000A0A5F" w:rsidRDefault="00C11AB8">
            <w:pPr>
              <w:pStyle w:val="TAH"/>
            </w:pPr>
            <w:r w:rsidRPr="000A0A5F">
              <w:t>Applicability</w:t>
            </w:r>
          </w:p>
        </w:tc>
      </w:tr>
      <w:tr w:rsidR="00BB0406" w:rsidRPr="000A0A5F" w:rsidTr="00926D64">
        <w:trPr>
          <w:jc w:val="center"/>
        </w:trPr>
        <w:tc>
          <w:tcPr>
            <w:tcW w:w="3109" w:type="dxa"/>
            <w:shd w:val="clear" w:color="auto" w:fill="auto"/>
          </w:tcPr>
          <w:p w:rsidR="00BB0406" w:rsidRPr="000A0A5F" w:rsidRDefault="00BB0406" w:rsidP="00BB0406">
            <w:pPr>
              <w:pStyle w:val="TAL"/>
              <w:rPr>
                <w:lang w:eastAsia="zh-CN"/>
              </w:rPr>
            </w:pPr>
            <w:r w:rsidRPr="000A0A5F">
              <w:rPr>
                <w:lang w:eastAsia="zh-CN"/>
              </w:rPr>
              <w:t>EVENT_FEATURE_MISMATCH</w:t>
            </w:r>
          </w:p>
        </w:tc>
        <w:tc>
          <w:tcPr>
            <w:tcW w:w="1176" w:type="dxa"/>
            <w:shd w:val="clear" w:color="auto" w:fill="auto"/>
          </w:tcPr>
          <w:p w:rsidR="00BB0406" w:rsidRPr="000A0A5F" w:rsidRDefault="00BB0406" w:rsidP="00BB0406">
            <w:pPr>
              <w:pStyle w:val="TAL"/>
              <w:rPr>
                <w:lang w:eastAsia="zh-CN"/>
              </w:rPr>
            </w:pPr>
            <w:r w:rsidRPr="000A0A5F">
              <w:rPr>
                <w:lang w:eastAsia="zh-CN"/>
              </w:rPr>
              <w:t>400 Bad Request</w:t>
            </w:r>
          </w:p>
        </w:tc>
        <w:tc>
          <w:tcPr>
            <w:tcW w:w="2535" w:type="dxa"/>
            <w:shd w:val="clear" w:color="auto" w:fill="auto"/>
          </w:tcPr>
          <w:p w:rsidR="00BB0406" w:rsidRPr="000A0A5F" w:rsidRDefault="00BB0406" w:rsidP="00BB0406">
            <w:pPr>
              <w:pStyle w:val="TAL"/>
              <w:rPr>
                <w:lang w:eastAsia="zh-CN"/>
              </w:rPr>
            </w:pPr>
            <w:r w:rsidRPr="000A0A5F">
              <w:rPr>
                <w:lang w:eastAsia="zh-CN"/>
              </w:rPr>
              <w:t>Indicates the resource creation is not allowed since the supported feature corresponding to the monitoring event is not supported by the client.</w:t>
            </w:r>
          </w:p>
        </w:tc>
        <w:tc>
          <w:tcPr>
            <w:tcW w:w="2957" w:type="dxa"/>
            <w:shd w:val="clear" w:color="auto" w:fill="auto"/>
          </w:tcPr>
          <w:p w:rsidR="00BB0406" w:rsidRPr="000A0A5F" w:rsidRDefault="00BB0406" w:rsidP="00BB0406">
            <w:pPr>
              <w:pStyle w:val="TAL"/>
              <w:rPr>
                <w:lang w:eastAsia="zh-CN"/>
              </w:rPr>
            </w:pPr>
          </w:p>
        </w:tc>
      </w:tr>
      <w:tr w:rsidR="00BB0406" w:rsidRPr="000A0A5F" w:rsidTr="00926D64">
        <w:trPr>
          <w:jc w:val="center"/>
        </w:trPr>
        <w:tc>
          <w:tcPr>
            <w:tcW w:w="3109" w:type="dxa"/>
            <w:shd w:val="clear" w:color="auto" w:fill="auto"/>
          </w:tcPr>
          <w:p w:rsidR="00BB0406" w:rsidRPr="000A0A5F" w:rsidRDefault="00BB0406" w:rsidP="00BB0406">
            <w:pPr>
              <w:pStyle w:val="TAL"/>
              <w:rPr>
                <w:lang w:eastAsia="zh-CN"/>
              </w:rPr>
            </w:pPr>
            <w:r w:rsidRPr="000A0A5F">
              <w:rPr>
                <w:lang w:eastAsia="zh-CN"/>
              </w:rPr>
              <w:t>DUPLICATE_REQUEST</w:t>
            </w:r>
          </w:p>
        </w:tc>
        <w:tc>
          <w:tcPr>
            <w:tcW w:w="1176" w:type="dxa"/>
            <w:shd w:val="clear" w:color="auto" w:fill="auto"/>
          </w:tcPr>
          <w:p w:rsidR="00BB0406" w:rsidRPr="000A0A5F" w:rsidRDefault="00BB0406" w:rsidP="00BB0406">
            <w:pPr>
              <w:pStyle w:val="TAL"/>
              <w:rPr>
                <w:lang w:eastAsia="zh-CN"/>
              </w:rPr>
            </w:pPr>
            <w:r w:rsidRPr="000A0A5F">
              <w:rPr>
                <w:lang w:eastAsia="zh-CN"/>
              </w:rPr>
              <w:t>400 Bad Request</w:t>
            </w:r>
          </w:p>
        </w:tc>
        <w:tc>
          <w:tcPr>
            <w:tcW w:w="2535" w:type="dxa"/>
            <w:shd w:val="clear" w:color="auto" w:fill="auto"/>
          </w:tcPr>
          <w:p w:rsidR="00BB0406" w:rsidRPr="000A0A5F" w:rsidRDefault="00BB0406" w:rsidP="00BB0406">
            <w:pPr>
              <w:pStyle w:val="TAL"/>
              <w:rPr>
                <w:lang w:eastAsia="zh-CN"/>
              </w:rPr>
            </w:pPr>
            <w:r w:rsidRPr="000A0A5F">
              <w:rPr>
                <w:lang w:eastAsia="zh-CN"/>
              </w:rPr>
              <w:t>Indicates that a duplicate subscription already exists for this client.</w:t>
            </w:r>
          </w:p>
        </w:tc>
        <w:tc>
          <w:tcPr>
            <w:tcW w:w="2957" w:type="dxa"/>
            <w:shd w:val="clear" w:color="auto" w:fill="auto"/>
          </w:tcPr>
          <w:p w:rsidR="00BB0406" w:rsidRPr="000A0A5F" w:rsidRDefault="00BB0406" w:rsidP="00BB0406">
            <w:pPr>
              <w:pStyle w:val="TAL"/>
              <w:rPr>
                <w:lang w:eastAsia="zh-CN"/>
              </w:rPr>
            </w:pPr>
            <w:r w:rsidRPr="000A0A5F">
              <w:rPr>
                <w:lang w:eastAsia="zh-CN"/>
              </w:rPr>
              <w:t>enNB</w:t>
            </w:r>
          </w:p>
        </w:tc>
      </w:tr>
      <w:tr w:rsidR="00BB0406" w:rsidRPr="000A0A5F" w:rsidTr="00BB0406">
        <w:trPr>
          <w:jc w:val="center"/>
        </w:trPr>
        <w:tc>
          <w:tcPr>
            <w:tcW w:w="3109" w:type="dxa"/>
          </w:tcPr>
          <w:p w:rsidR="00BB0406" w:rsidRPr="000A0A5F" w:rsidRDefault="00BB0406" w:rsidP="00BB0406">
            <w:pPr>
              <w:pStyle w:val="TAL"/>
              <w:rPr>
                <w:lang w:eastAsia="zh-CN"/>
              </w:rPr>
            </w:pPr>
            <w:r w:rsidRPr="000A0A5F">
              <w:rPr>
                <w:lang w:eastAsia="zh-CN"/>
              </w:rPr>
              <w:t>PARAMETER_OUT_OF_RANGE</w:t>
            </w:r>
          </w:p>
        </w:tc>
        <w:tc>
          <w:tcPr>
            <w:tcW w:w="1176" w:type="dxa"/>
          </w:tcPr>
          <w:p w:rsidR="00BB0406" w:rsidRPr="000A0A5F" w:rsidRDefault="00BB0406" w:rsidP="00BB0406">
            <w:pPr>
              <w:pStyle w:val="TAL"/>
              <w:rPr>
                <w:rFonts w:hint="eastAsia"/>
                <w:lang w:eastAsia="zh-CN"/>
              </w:rPr>
            </w:pPr>
            <w:r w:rsidRPr="000A0A5F">
              <w:rPr>
                <w:rFonts w:hint="eastAsia"/>
                <w:lang w:eastAsia="zh-CN"/>
              </w:rPr>
              <w:t>403 Forbidden</w:t>
            </w:r>
          </w:p>
        </w:tc>
        <w:tc>
          <w:tcPr>
            <w:tcW w:w="2535" w:type="dxa"/>
          </w:tcPr>
          <w:p w:rsidR="00BB0406" w:rsidRPr="000A0A5F" w:rsidRDefault="00BB0406" w:rsidP="00BB0406">
            <w:pPr>
              <w:pStyle w:val="TAL"/>
            </w:pPr>
            <w:r w:rsidRPr="000A0A5F">
              <w:t xml:space="preserve">Indicates that </w:t>
            </w:r>
            <w:r w:rsidRPr="000A0A5F">
              <w:rPr>
                <w:rFonts w:hint="eastAsia"/>
                <w:lang w:eastAsia="zh-CN"/>
              </w:rPr>
              <w:t xml:space="preserve">the resource </w:t>
            </w:r>
            <w:r w:rsidRPr="000A0A5F">
              <w:rPr>
                <w:lang w:eastAsia="zh-CN"/>
              </w:rPr>
              <w:t xml:space="preserve">is </w:t>
            </w:r>
            <w:r w:rsidRPr="000A0A5F">
              <w:rPr>
                <w:rFonts w:hint="eastAsia"/>
                <w:lang w:eastAsia="zh-CN"/>
              </w:rPr>
              <w:t xml:space="preserve">not allowed to </w:t>
            </w:r>
            <w:r w:rsidRPr="000A0A5F">
              <w:rPr>
                <w:lang w:eastAsia="zh-CN"/>
              </w:rPr>
              <w:t>be created since one or more of the received parameter are out of range defined by operator policies</w:t>
            </w:r>
            <w:r w:rsidRPr="000A0A5F">
              <w:rPr>
                <w:rFonts w:hint="eastAsia"/>
                <w:lang w:eastAsia="zh-CN"/>
              </w:rPr>
              <w:t>.</w:t>
            </w:r>
          </w:p>
        </w:tc>
        <w:tc>
          <w:tcPr>
            <w:tcW w:w="2957" w:type="dxa"/>
          </w:tcPr>
          <w:p w:rsidR="00BB0406" w:rsidRPr="000A0A5F" w:rsidRDefault="00BB0406" w:rsidP="00BB0406">
            <w:pPr>
              <w:pStyle w:val="TAL"/>
            </w:pPr>
          </w:p>
        </w:tc>
      </w:tr>
      <w:tr w:rsidR="00BB0406" w:rsidRPr="000A0A5F" w:rsidTr="00BB0406">
        <w:trPr>
          <w:jc w:val="center"/>
        </w:trPr>
        <w:tc>
          <w:tcPr>
            <w:tcW w:w="3109" w:type="dxa"/>
          </w:tcPr>
          <w:p w:rsidR="00BB0406" w:rsidRPr="000A0A5F" w:rsidRDefault="00BB0406" w:rsidP="00BB0406">
            <w:pPr>
              <w:pStyle w:val="TAL"/>
              <w:rPr>
                <w:lang w:eastAsia="zh-CN"/>
              </w:rPr>
            </w:pPr>
            <w:r w:rsidRPr="000A0A5F">
              <w:rPr>
                <w:lang w:eastAsia="zh-CN"/>
              </w:rPr>
              <w:t>IDLE_STATUS_UNSUPPORTED</w:t>
            </w:r>
          </w:p>
        </w:tc>
        <w:tc>
          <w:tcPr>
            <w:tcW w:w="1176" w:type="dxa"/>
          </w:tcPr>
          <w:p w:rsidR="00BB0406" w:rsidRPr="000A0A5F" w:rsidRDefault="00BB0406" w:rsidP="00BB0406">
            <w:pPr>
              <w:pStyle w:val="TAL"/>
              <w:rPr>
                <w:rFonts w:hint="eastAsia"/>
                <w:lang w:eastAsia="zh-CN"/>
              </w:rPr>
            </w:pPr>
            <w:r w:rsidRPr="000A0A5F">
              <w:rPr>
                <w:rFonts w:hint="eastAsia"/>
                <w:lang w:eastAsia="zh-CN"/>
              </w:rPr>
              <w:t>403 Forbidden</w:t>
            </w:r>
          </w:p>
        </w:tc>
        <w:tc>
          <w:tcPr>
            <w:tcW w:w="2535" w:type="dxa"/>
          </w:tcPr>
          <w:p w:rsidR="00BB0406" w:rsidRPr="000A0A5F" w:rsidRDefault="00BB0406" w:rsidP="00BB0406">
            <w:pPr>
              <w:pStyle w:val="TAL"/>
            </w:pPr>
            <w:r w:rsidRPr="000A0A5F">
              <w:t xml:space="preserve">Indicates that </w:t>
            </w:r>
            <w:r w:rsidRPr="000A0A5F">
              <w:rPr>
                <w:rFonts w:hint="eastAsia"/>
                <w:lang w:eastAsia="zh-CN"/>
              </w:rPr>
              <w:t xml:space="preserve">the resource </w:t>
            </w:r>
            <w:r w:rsidRPr="000A0A5F">
              <w:rPr>
                <w:lang w:eastAsia="zh-CN"/>
              </w:rPr>
              <w:t xml:space="preserve">is </w:t>
            </w:r>
            <w:r w:rsidRPr="000A0A5F">
              <w:rPr>
                <w:rFonts w:hint="eastAsia"/>
                <w:lang w:eastAsia="zh-CN"/>
              </w:rPr>
              <w:t xml:space="preserve">not allowed to </w:t>
            </w:r>
            <w:r w:rsidRPr="000A0A5F">
              <w:rPr>
                <w:lang w:eastAsia="zh-CN"/>
              </w:rPr>
              <w:t xml:space="preserve">be created since the </w:t>
            </w:r>
            <w:r w:rsidRPr="000A0A5F">
              <w:t>Idle Status Indication is received in the request but not supported by the network.</w:t>
            </w:r>
          </w:p>
        </w:tc>
        <w:tc>
          <w:tcPr>
            <w:tcW w:w="2957" w:type="dxa"/>
          </w:tcPr>
          <w:p w:rsidR="00BB0406" w:rsidRPr="000A0A5F" w:rsidRDefault="00BB0406" w:rsidP="00BB0406">
            <w:pPr>
              <w:pStyle w:val="TAL"/>
            </w:pPr>
          </w:p>
        </w:tc>
      </w:tr>
      <w:tr w:rsidR="00BB0406" w:rsidRPr="000A0A5F" w:rsidTr="00BB0406">
        <w:trPr>
          <w:jc w:val="center"/>
        </w:trPr>
        <w:tc>
          <w:tcPr>
            <w:tcW w:w="3109" w:type="dxa"/>
          </w:tcPr>
          <w:p w:rsidR="00BB0406" w:rsidRPr="000A0A5F" w:rsidRDefault="00BB0406" w:rsidP="00BB0406">
            <w:pPr>
              <w:pStyle w:val="TAL"/>
              <w:rPr>
                <w:lang w:eastAsia="zh-CN"/>
              </w:rPr>
            </w:pPr>
            <w:r w:rsidRPr="000A0A5F">
              <w:rPr>
                <w:noProof/>
                <w:lang w:eastAsia="zh-CN"/>
              </w:rPr>
              <w:t>OPERATION_PROHIBITED</w:t>
            </w:r>
          </w:p>
        </w:tc>
        <w:tc>
          <w:tcPr>
            <w:tcW w:w="1176" w:type="dxa"/>
          </w:tcPr>
          <w:p w:rsidR="00BB0406" w:rsidRPr="000A0A5F" w:rsidRDefault="00BB0406" w:rsidP="00BB0406">
            <w:pPr>
              <w:pStyle w:val="TAL"/>
              <w:rPr>
                <w:rFonts w:hint="eastAsia"/>
                <w:lang w:eastAsia="zh-CN"/>
              </w:rPr>
            </w:pPr>
            <w:r w:rsidRPr="000A0A5F">
              <w:rPr>
                <w:rFonts w:hint="eastAsia"/>
                <w:lang w:eastAsia="zh-CN"/>
              </w:rPr>
              <w:t>403 Forbidden</w:t>
            </w:r>
          </w:p>
        </w:tc>
        <w:tc>
          <w:tcPr>
            <w:tcW w:w="2535" w:type="dxa"/>
          </w:tcPr>
          <w:p w:rsidR="00BB0406" w:rsidRPr="000A0A5F" w:rsidRDefault="00BB0406" w:rsidP="00BB0406">
            <w:pPr>
              <w:pStyle w:val="TAL"/>
            </w:pPr>
            <w:r w:rsidRPr="000A0A5F">
              <w:t>Indicates the HTTP method is not supported.</w:t>
            </w:r>
          </w:p>
        </w:tc>
        <w:tc>
          <w:tcPr>
            <w:tcW w:w="2957" w:type="dxa"/>
          </w:tcPr>
          <w:p w:rsidR="00BB0406" w:rsidRPr="000A0A5F" w:rsidRDefault="00BB0406" w:rsidP="00BB0406">
            <w:pPr>
              <w:pStyle w:val="TAL"/>
            </w:pPr>
          </w:p>
        </w:tc>
      </w:tr>
      <w:tr w:rsidR="00BB0406" w:rsidRPr="000A0A5F" w:rsidTr="00BB0406">
        <w:trPr>
          <w:jc w:val="center"/>
        </w:trPr>
        <w:tc>
          <w:tcPr>
            <w:tcW w:w="3109" w:type="dxa"/>
          </w:tcPr>
          <w:p w:rsidR="00BB0406" w:rsidRPr="000A0A5F" w:rsidRDefault="00BB0406" w:rsidP="00BB0406">
            <w:pPr>
              <w:pStyle w:val="TAL"/>
              <w:rPr>
                <w:noProof/>
                <w:lang w:eastAsia="zh-CN"/>
              </w:rPr>
            </w:pPr>
            <w:r w:rsidRPr="000A0A5F">
              <w:t>CONSENT_REVOCATION_NOT</w:t>
            </w:r>
            <w:r w:rsidR="00080988" w:rsidRPr="000A0A5F">
              <w:t>_</w:t>
            </w:r>
            <w:r w:rsidRPr="000A0A5F">
              <w:t>SUPPORTED</w:t>
            </w:r>
          </w:p>
        </w:tc>
        <w:tc>
          <w:tcPr>
            <w:tcW w:w="1176" w:type="dxa"/>
          </w:tcPr>
          <w:p w:rsidR="00BB0406" w:rsidRPr="000A0A5F" w:rsidRDefault="00BB0406" w:rsidP="00BB0406">
            <w:pPr>
              <w:pStyle w:val="TAL"/>
              <w:rPr>
                <w:rFonts w:hint="eastAsia"/>
                <w:lang w:eastAsia="zh-CN"/>
              </w:rPr>
            </w:pPr>
            <w:r w:rsidRPr="000A0A5F">
              <w:t>403 Forbidden</w:t>
            </w:r>
          </w:p>
        </w:tc>
        <w:tc>
          <w:tcPr>
            <w:tcW w:w="2535" w:type="dxa"/>
          </w:tcPr>
          <w:p w:rsidR="00BB0406" w:rsidRPr="000A0A5F" w:rsidRDefault="00BB0406" w:rsidP="00BB0406">
            <w:pPr>
              <w:pStyle w:val="TAL"/>
            </w:pPr>
            <w:r w:rsidRPr="000A0A5F">
              <w:t>Indicates that the request is rejected because user consent management and enforcement is not supported by the client.</w:t>
            </w:r>
          </w:p>
        </w:tc>
        <w:tc>
          <w:tcPr>
            <w:tcW w:w="2957" w:type="dxa"/>
          </w:tcPr>
          <w:p w:rsidR="00BB0406" w:rsidRPr="000A0A5F" w:rsidRDefault="00BB0406" w:rsidP="00BB0406">
            <w:pPr>
              <w:pStyle w:val="TAL"/>
            </w:pPr>
            <w:r w:rsidRPr="000A0A5F">
              <w:rPr>
                <w:lang w:eastAsia="zh-CN"/>
              </w:rPr>
              <w:t>UserConsentRevocation</w:t>
            </w:r>
          </w:p>
        </w:tc>
      </w:tr>
      <w:tr w:rsidR="00BB0406" w:rsidRPr="000A0A5F" w:rsidTr="00BB0406">
        <w:trPr>
          <w:jc w:val="center"/>
        </w:trPr>
        <w:tc>
          <w:tcPr>
            <w:tcW w:w="3109" w:type="dxa"/>
          </w:tcPr>
          <w:p w:rsidR="00BB0406" w:rsidRPr="000A0A5F" w:rsidRDefault="00BB0406" w:rsidP="00BB0406">
            <w:pPr>
              <w:pStyle w:val="TAL"/>
              <w:rPr>
                <w:noProof/>
                <w:lang w:eastAsia="zh-CN"/>
              </w:rPr>
            </w:pPr>
            <w:r w:rsidRPr="000A0A5F">
              <w:t>USER_CONSENT_NOT_GRANTED</w:t>
            </w:r>
          </w:p>
        </w:tc>
        <w:tc>
          <w:tcPr>
            <w:tcW w:w="1176" w:type="dxa"/>
          </w:tcPr>
          <w:p w:rsidR="00BB0406" w:rsidRPr="000A0A5F" w:rsidRDefault="00BB0406" w:rsidP="00BB0406">
            <w:pPr>
              <w:pStyle w:val="TAL"/>
              <w:rPr>
                <w:rFonts w:hint="eastAsia"/>
                <w:lang w:eastAsia="zh-CN"/>
              </w:rPr>
            </w:pPr>
            <w:r w:rsidRPr="000A0A5F">
              <w:t>403 Forbidden</w:t>
            </w:r>
          </w:p>
        </w:tc>
        <w:tc>
          <w:tcPr>
            <w:tcW w:w="2535" w:type="dxa"/>
          </w:tcPr>
          <w:p w:rsidR="00BB0406" w:rsidRPr="000A0A5F" w:rsidRDefault="00BB0406" w:rsidP="00BB0406">
            <w:pPr>
              <w:pStyle w:val="TAL"/>
            </w:pPr>
            <w:r w:rsidRPr="000A0A5F">
              <w:t>Indicates that the request is rejected because user consent is not granted.</w:t>
            </w:r>
          </w:p>
        </w:tc>
        <w:tc>
          <w:tcPr>
            <w:tcW w:w="2957" w:type="dxa"/>
          </w:tcPr>
          <w:p w:rsidR="00BB0406" w:rsidRPr="000A0A5F" w:rsidRDefault="00BB0406" w:rsidP="00BB0406">
            <w:pPr>
              <w:pStyle w:val="TAL"/>
            </w:pPr>
            <w:r w:rsidRPr="000A0A5F">
              <w:rPr>
                <w:lang w:eastAsia="zh-CN"/>
              </w:rPr>
              <w:t>UserConsentRevocation</w:t>
            </w:r>
          </w:p>
        </w:tc>
      </w:tr>
      <w:tr w:rsidR="00BB0406" w:rsidRPr="000A0A5F" w:rsidTr="00BB0406">
        <w:trPr>
          <w:jc w:val="center"/>
        </w:trPr>
        <w:tc>
          <w:tcPr>
            <w:tcW w:w="3109" w:type="dxa"/>
          </w:tcPr>
          <w:p w:rsidR="00BB0406" w:rsidRPr="000A0A5F" w:rsidRDefault="00BB0406" w:rsidP="00BB0406">
            <w:pPr>
              <w:pStyle w:val="TAL"/>
            </w:pPr>
            <w:r w:rsidRPr="000A0A5F">
              <w:rPr>
                <w:lang w:eastAsia="zh-CN"/>
              </w:rPr>
              <w:t>RESOURCES_EXCEEDED</w:t>
            </w:r>
          </w:p>
        </w:tc>
        <w:tc>
          <w:tcPr>
            <w:tcW w:w="1176" w:type="dxa"/>
          </w:tcPr>
          <w:p w:rsidR="00BB0406" w:rsidRPr="000A0A5F" w:rsidRDefault="00BB0406" w:rsidP="00BB0406">
            <w:pPr>
              <w:pStyle w:val="TAL"/>
            </w:pPr>
            <w:r w:rsidRPr="000A0A5F">
              <w:rPr>
                <w:rFonts w:hint="eastAsia"/>
                <w:lang w:eastAsia="zh-CN"/>
              </w:rPr>
              <w:t>403 Forbidden</w:t>
            </w:r>
          </w:p>
        </w:tc>
        <w:tc>
          <w:tcPr>
            <w:tcW w:w="2535" w:type="dxa"/>
          </w:tcPr>
          <w:p w:rsidR="00BB0406" w:rsidRPr="000A0A5F" w:rsidRDefault="00BB0406" w:rsidP="00BB0406">
            <w:pPr>
              <w:pStyle w:val="TAL"/>
            </w:pPr>
            <w:r w:rsidRPr="000A0A5F">
              <w:t>Indicates that no more subscriptions are allowed for this client.</w:t>
            </w:r>
          </w:p>
        </w:tc>
        <w:tc>
          <w:tcPr>
            <w:tcW w:w="2957" w:type="dxa"/>
          </w:tcPr>
          <w:p w:rsidR="00BB0406" w:rsidRPr="000A0A5F" w:rsidRDefault="00BB0406" w:rsidP="00BB0406">
            <w:pPr>
              <w:pStyle w:val="TAL"/>
            </w:pPr>
            <w:r w:rsidRPr="000A0A5F">
              <w:t>enNB</w:t>
            </w:r>
          </w:p>
        </w:tc>
      </w:tr>
      <w:tr w:rsidR="00BB0406" w:rsidRPr="000A0A5F" w:rsidTr="00BB0406">
        <w:trPr>
          <w:jc w:val="center"/>
        </w:trPr>
        <w:tc>
          <w:tcPr>
            <w:tcW w:w="3109" w:type="dxa"/>
          </w:tcPr>
          <w:p w:rsidR="00BB0406" w:rsidRPr="000A0A5F" w:rsidRDefault="00BB0406" w:rsidP="00BB0406">
            <w:pPr>
              <w:pStyle w:val="TAL"/>
              <w:rPr>
                <w:lang w:eastAsia="zh-CN"/>
              </w:rPr>
            </w:pPr>
            <w:r w:rsidRPr="000A0A5F">
              <w:t>REQUEST_NOT_AUTHORIZED</w:t>
            </w:r>
          </w:p>
        </w:tc>
        <w:tc>
          <w:tcPr>
            <w:tcW w:w="1176" w:type="dxa"/>
          </w:tcPr>
          <w:p w:rsidR="00BB0406" w:rsidRPr="000A0A5F" w:rsidRDefault="00BB0406" w:rsidP="00BB0406">
            <w:pPr>
              <w:pStyle w:val="TAL"/>
              <w:rPr>
                <w:lang w:eastAsia="zh-CN"/>
              </w:rPr>
            </w:pPr>
            <w:r w:rsidRPr="000A0A5F">
              <w:t>403 Forbidden</w:t>
            </w:r>
          </w:p>
        </w:tc>
        <w:tc>
          <w:tcPr>
            <w:tcW w:w="2535" w:type="dxa"/>
          </w:tcPr>
          <w:p w:rsidR="00BB0406" w:rsidRPr="000A0A5F" w:rsidRDefault="00BB0406" w:rsidP="00BB0406">
            <w:pPr>
              <w:pStyle w:val="TAL"/>
            </w:pPr>
            <w:r w:rsidRPr="000A0A5F">
              <w:t>Indicates that the AF specific UE ID retrieval request is not authorized</w:t>
            </w:r>
            <w:r w:rsidR="008F09E4" w:rsidRPr="000A0A5F">
              <w:t xml:space="preserve"> or the AF request to application detection is not authorized</w:t>
            </w:r>
            <w:r w:rsidRPr="000A0A5F">
              <w:t>.</w:t>
            </w:r>
          </w:p>
        </w:tc>
        <w:tc>
          <w:tcPr>
            <w:tcW w:w="2957" w:type="dxa"/>
          </w:tcPr>
          <w:p w:rsidR="00BB0406" w:rsidRPr="000A0A5F" w:rsidRDefault="00BB0406" w:rsidP="00BB0406">
            <w:pPr>
              <w:pStyle w:val="TAL"/>
            </w:pPr>
            <w:r w:rsidRPr="000A0A5F">
              <w:t>UEId_retrieval</w:t>
            </w:r>
            <w:r w:rsidR="008F09E4" w:rsidRPr="000A0A5F">
              <w:t>, AppDetection_5G</w:t>
            </w:r>
          </w:p>
        </w:tc>
      </w:tr>
      <w:tr w:rsidR="00FC4199" w:rsidRPr="000A0A5F" w:rsidTr="00BB0406">
        <w:trPr>
          <w:jc w:val="center"/>
        </w:trPr>
        <w:tc>
          <w:tcPr>
            <w:tcW w:w="3109" w:type="dxa"/>
          </w:tcPr>
          <w:p w:rsidR="00FC4199" w:rsidRPr="000A0A5F" w:rsidRDefault="00FC4199" w:rsidP="00FC4199">
            <w:pPr>
              <w:pStyle w:val="TAL"/>
            </w:pPr>
            <w:r w:rsidRPr="000A0A5F">
              <w:t>REQUESTED_AREA_NOT_ALLOWED</w:t>
            </w:r>
          </w:p>
        </w:tc>
        <w:tc>
          <w:tcPr>
            <w:tcW w:w="1176" w:type="dxa"/>
          </w:tcPr>
          <w:p w:rsidR="00FC4199" w:rsidRPr="000A0A5F" w:rsidRDefault="00FC4199" w:rsidP="00FC4199">
            <w:pPr>
              <w:pStyle w:val="TAL"/>
            </w:pPr>
            <w:r w:rsidRPr="000A0A5F">
              <w:rPr>
                <w:rFonts w:hint="eastAsia"/>
                <w:lang w:eastAsia="zh-CN"/>
              </w:rPr>
              <w:t>403 Forbidden</w:t>
            </w:r>
          </w:p>
        </w:tc>
        <w:tc>
          <w:tcPr>
            <w:tcW w:w="2535" w:type="dxa"/>
          </w:tcPr>
          <w:p w:rsidR="00FC4199" w:rsidRPr="000A0A5F" w:rsidRDefault="00FC4199" w:rsidP="00FC4199">
            <w:pPr>
              <w:pStyle w:val="TAL"/>
            </w:pPr>
            <w:r w:rsidRPr="000A0A5F">
              <w:t>Indicates that the location request is rejected because the location area requested by the AF for an area event reporting is not allowed.</w:t>
            </w:r>
          </w:p>
        </w:tc>
        <w:tc>
          <w:tcPr>
            <w:tcW w:w="2957" w:type="dxa"/>
          </w:tcPr>
          <w:p w:rsidR="00FC4199" w:rsidRPr="000A0A5F" w:rsidRDefault="00FC4199" w:rsidP="00FC4199">
            <w:pPr>
              <w:pStyle w:val="TAL"/>
            </w:pPr>
            <w:r w:rsidRPr="000A0A5F">
              <w:t>eLCS_en</w:t>
            </w:r>
          </w:p>
        </w:tc>
      </w:tr>
      <w:tr w:rsidR="00FC4199" w:rsidRPr="000A0A5F" w:rsidTr="00BB0406">
        <w:trPr>
          <w:jc w:val="center"/>
        </w:trPr>
        <w:tc>
          <w:tcPr>
            <w:tcW w:w="3109" w:type="dxa"/>
          </w:tcPr>
          <w:p w:rsidR="00FC4199" w:rsidRPr="000A0A5F" w:rsidRDefault="00FC4199" w:rsidP="00FC4199">
            <w:pPr>
              <w:pStyle w:val="TAL"/>
            </w:pPr>
            <w:r w:rsidRPr="000A0A5F">
              <w:t>UE_ID_NOT_AV</w:t>
            </w:r>
            <w:r w:rsidRPr="000A0A5F">
              <w:rPr>
                <w:rFonts w:hint="eastAsia"/>
                <w:lang w:eastAsia="zh-CN"/>
              </w:rPr>
              <w:t>A</w:t>
            </w:r>
            <w:r w:rsidRPr="000A0A5F">
              <w:t>ILABLE</w:t>
            </w:r>
          </w:p>
        </w:tc>
        <w:tc>
          <w:tcPr>
            <w:tcW w:w="1176" w:type="dxa"/>
          </w:tcPr>
          <w:p w:rsidR="00FC4199" w:rsidRPr="000A0A5F" w:rsidRDefault="00FC4199" w:rsidP="00FC4199">
            <w:pPr>
              <w:pStyle w:val="TAL"/>
            </w:pPr>
            <w:r w:rsidRPr="000A0A5F">
              <w:t>404 Not Found</w:t>
            </w:r>
          </w:p>
        </w:tc>
        <w:tc>
          <w:tcPr>
            <w:tcW w:w="2535" w:type="dxa"/>
          </w:tcPr>
          <w:p w:rsidR="00FC4199" w:rsidRPr="000A0A5F" w:rsidRDefault="00FC4199" w:rsidP="00FC4199">
            <w:pPr>
              <w:pStyle w:val="TAL"/>
            </w:pPr>
            <w:r w:rsidRPr="000A0A5F">
              <w:t>Indicates that the AF specific UE ID is not available.</w:t>
            </w:r>
          </w:p>
        </w:tc>
        <w:tc>
          <w:tcPr>
            <w:tcW w:w="2957" w:type="dxa"/>
          </w:tcPr>
          <w:p w:rsidR="00FC4199" w:rsidRPr="000A0A5F" w:rsidRDefault="00FC4199" w:rsidP="00FC4199">
            <w:pPr>
              <w:pStyle w:val="TAL"/>
            </w:pPr>
            <w:r w:rsidRPr="000A0A5F">
              <w:t>UEId_retrieval</w:t>
            </w:r>
          </w:p>
        </w:tc>
      </w:tr>
      <w:tr w:rsidR="00FC4199" w:rsidRPr="000A0A5F" w:rsidTr="00BB0406">
        <w:trPr>
          <w:jc w:val="center"/>
        </w:trPr>
        <w:tc>
          <w:tcPr>
            <w:tcW w:w="3109" w:type="dxa"/>
          </w:tcPr>
          <w:p w:rsidR="00FC4199" w:rsidRPr="000A0A5F" w:rsidRDefault="00FC4199" w:rsidP="00FC4199">
            <w:pPr>
              <w:pStyle w:val="TAL"/>
            </w:pPr>
            <w:r w:rsidRPr="000A0A5F">
              <w:t>UE_NOT_FOUND</w:t>
            </w:r>
          </w:p>
        </w:tc>
        <w:tc>
          <w:tcPr>
            <w:tcW w:w="1176" w:type="dxa"/>
          </w:tcPr>
          <w:p w:rsidR="00FC4199" w:rsidRPr="000A0A5F" w:rsidRDefault="00FC4199" w:rsidP="00FC4199">
            <w:pPr>
              <w:pStyle w:val="TAL"/>
            </w:pPr>
            <w:r w:rsidRPr="000A0A5F">
              <w:t>404 Not Found</w:t>
            </w:r>
          </w:p>
        </w:tc>
        <w:tc>
          <w:tcPr>
            <w:tcW w:w="2535" w:type="dxa"/>
          </w:tcPr>
          <w:p w:rsidR="00FC4199" w:rsidRPr="000A0A5F" w:rsidRDefault="00FC4199" w:rsidP="00FC4199">
            <w:pPr>
              <w:pStyle w:val="TAL"/>
            </w:pPr>
            <w:r w:rsidRPr="000A0A5F">
              <w:t>Indicates that the requested UE address is not found.</w:t>
            </w:r>
          </w:p>
        </w:tc>
        <w:tc>
          <w:tcPr>
            <w:tcW w:w="2957" w:type="dxa"/>
          </w:tcPr>
          <w:p w:rsidR="00FC4199" w:rsidRPr="000A0A5F" w:rsidRDefault="00FC4199" w:rsidP="00FC4199">
            <w:pPr>
              <w:pStyle w:val="TAL"/>
            </w:pPr>
            <w:r w:rsidRPr="000A0A5F">
              <w:t>UEId_retrieval</w:t>
            </w:r>
          </w:p>
        </w:tc>
      </w:tr>
      <w:tr w:rsidR="00FC4199" w:rsidRPr="000A0A5F" w:rsidTr="00BB0406">
        <w:trPr>
          <w:jc w:val="center"/>
        </w:trPr>
        <w:tc>
          <w:tcPr>
            <w:tcW w:w="3109" w:type="dxa"/>
          </w:tcPr>
          <w:p w:rsidR="00FC4199" w:rsidRPr="000A0A5F" w:rsidRDefault="00FC4199" w:rsidP="00FC4199">
            <w:pPr>
              <w:pStyle w:val="TAL"/>
            </w:pPr>
            <w:r w:rsidRPr="000A0A5F">
              <w:rPr>
                <w:lang w:eastAsia="zh-CN"/>
              </w:rPr>
              <w:t>EVENT_UNSUPPORTED</w:t>
            </w:r>
          </w:p>
        </w:tc>
        <w:tc>
          <w:tcPr>
            <w:tcW w:w="1176" w:type="dxa"/>
          </w:tcPr>
          <w:p w:rsidR="00FC4199" w:rsidRPr="000A0A5F" w:rsidRDefault="00FC4199" w:rsidP="00FC4199">
            <w:pPr>
              <w:pStyle w:val="TAL"/>
            </w:pPr>
            <w:r w:rsidRPr="000A0A5F">
              <w:rPr>
                <w:lang w:eastAsia="zh-CN"/>
              </w:rPr>
              <w:t>500 Internal Server Error</w:t>
            </w:r>
          </w:p>
        </w:tc>
        <w:tc>
          <w:tcPr>
            <w:tcW w:w="2535" w:type="dxa"/>
          </w:tcPr>
          <w:p w:rsidR="00FC4199" w:rsidRPr="000A0A5F" w:rsidRDefault="00FC4199" w:rsidP="00FC4199">
            <w:pPr>
              <w:pStyle w:val="TAL"/>
            </w:pPr>
            <w:r w:rsidRPr="000A0A5F">
              <w:t>Indicates the required monitoring event is not supported by the server.</w:t>
            </w:r>
          </w:p>
        </w:tc>
        <w:tc>
          <w:tcPr>
            <w:tcW w:w="2957" w:type="dxa"/>
          </w:tcPr>
          <w:p w:rsidR="00FC4199" w:rsidRPr="000A0A5F" w:rsidRDefault="00FC4199" w:rsidP="00FC4199">
            <w:pPr>
              <w:pStyle w:val="TAL"/>
            </w:pPr>
          </w:p>
        </w:tc>
      </w:tr>
    </w:tbl>
    <w:p w:rsidR="00CB0DD7" w:rsidRPr="000A0A5F" w:rsidRDefault="00CB0DD7"/>
    <w:p w:rsidR="00CB0DD7" w:rsidRPr="000A0A5F" w:rsidRDefault="00CB0DD7">
      <w:pPr>
        <w:pStyle w:val="Heading2"/>
        <w:rPr>
          <w:lang w:eastAsia="zh-CN"/>
        </w:rPr>
      </w:pPr>
      <w:bookmarkStart w:id="2596" w:name="_Toc11247363"/>
      <w:bookmarkStart w:id="2597" w:name="_Toc27044485"/>
      <w:bookmarkStart w:id="2598" w:name="_Toc36033527"/>
      <w:bookmarkStart w:id="2599" w:name="_Toc45131659"/>
      <w:bookmarkStart w:id="2600" w:name="_Toc49775944"/>
      <w:bookmarkStart w:id="2601" w:name="_Toc51746864"/>
      <w:bookmarkStart w:id="2602" w:name="_Toc66360412"/>
      <w:bookmarkStart w:id="2603" w:name="_Toc68104917"/>
      <w:bookmarkStart w:id="2604" w:name="_Toc74755547"/>
      <w:bookmarkStart w:id="2605" w:name="_Toc105674420"/>
      <w:bookmarkStart w:id="2606" w:name="_Toc130502460"/>
      <w:bookmarkStart w:id="2607" w:name="_Toc153625247"/>
      <w:r w:rsidRPr="000A0A5F">
        <w:t>5.4</w:t>
      </w:r>
      <w:r w:rsidRPr="000A0A5F">
        <w:tab/>
        <w:t>ResourceManagementOfBdt API</w:t>
      </w:r>
      <w:bookmarkEnd w:id="2596"/>
      <w:bookmarkEnd w:id="2597"/>
      <w:bookmarkEnd w:id="2598"/>
      <w:bookmarkEnd w:id="2599"/>
      <w:bookmarkEnd w:id="2600"/>
      <w:bookmarkEnd w:id="2601"/>
      <w:bookmarkEnd w:id="2602"/>
      <w:bookmarkEnd w:id="2603"/>
      <w:bookmarkEnd w:id="2604"/>
      <w:bookmarkEnd w:id="2605"/>
      <w:bookmarkEnd w:id="2606"/>
      <w:bookmarkEnd w:id="2607"/>
    </w:p>
    <w:p w:rsidR="00CB0DD7" w:rsidRPr="000A0A5F" w:rsidRDefault="00CB0DD7">
      <w:pPr>
        <w:pStyle w:val="Heading3"/>
      </w:pPr>
      <w:bookmarkStart w:id="2608" w:name="_Toc11247364"/>
      <w:bookmarkStart w:id="2609" w:name="_Toc27044486"/>
      <w:bookmarkStart w:id="2610" w:name="_Toc36033528"/>
      <w:bookmarkStart w:id="2611" w:name="_Toc45131660"/>
      <w:bookmarkStart w:id="2612" w:name="_Toc49775945"/>
      <w:bookmarkStart w:id="2613" w:name="_Toc51746865"/>
      <w:bookmarkStart w:id="2614" w:name="_Toc66360413"/>
      <w:bookmarkStart w:id="2615" w:name="_Toc68104918"/>
      <w:bookmarkStart w:id="2616" w:name="_Toc74755548"/>
      <w:bookmarkStart w:id="2617" w:name="_Toc105674421"/>
      <w:bookmarkStart w:id="2618" w:name="_Toc130502461"/>
      <w:bookmarkStart w:id="2619" w:name="_Toc153625248"/>
      <w:r w:rsidRPr="000A0A5F">
        <w:t>5.4.1</w:t>
      </w:r>
      <w:r w:rsidRPr="000A0A5F">
        <w:tab/>
        <w:t>Overview</w:t>
      </w:r>
      <w:bookmarkEnd w:id="2608"/>
      <w:bookmarkEnd w:id="2609"/>
      <w:bookmarkEnd w:id="2610"/>
      <w:bookmarkEnd w:id="2611"/>
      <w:bookmarkEnd w:id="2612"/>
      <w:bookmarkEnd w:id="2613"/>
      <w:bookmarkEnd w:id="2614"/>
      <w:bookmarkEnd w:id="2615"/>
      <w:bookmarkEnd w:id="2616"/>
      <w:bookmarkEnd w:id="2617"/>
      <w:bookmarkEnd w:id="2618"/>
      <w:bookmarkEnd w:id="2619"/>
    </w:p>
    <w:p w:rsidR="00CB0DD7" w:rsidRPr="000A0A5F" w:rsidRDefault="00CB0DD7">
      <w:r w:rsidRPr="000A0A5F">
        <w:rPr>
          <w:rFonts w:hint="eastAsia"/>
          <w:noProof/>
          <w:lang w:eastAsia="zh-CN"/>
        </w:rPr>
        <w:t>The</w:t>
      </w:r>
      <w:r w:rsidRPr="000A0A5F">
        <w:rPr>
          <w:noProof/>
          <w:lang w:eastAsia="zh-CN"/>
        </w:rPr>
        <w:t xml:space="preserve"> </w:t>
      </w:r>
      <w:r w:rsidRPr="000A0A5F">
        <w:t>ResourceManagementOfBdt</w:t>
      </w:r>
      <w:r w:rsidRPr="000A0A5F">
        <w:rPr>
          <w:noProof/>
          <w:lang w:eastAsia="zh-CN"/>
        </w:rPr>
        <w:t xml:space="preserve"> API is a RESTful API that allows the SCS/AS to request background data transfer related conditions for a set of UEs.</w:t>
      </w:r>
      <w:r w:rsidRPr="000A0A5F">
        <w:rPr>
          <w:noProof/>
          <w:lang w:val="en-US" w:eastAsia="zh-CN"/>
        </w:rPr>
        <w:t xml:space="preserve"> </w:t>
      </w:r>
      <w:r w:rsidRPr="000A0A5F">
        <w:t>The ResourceManagementOfBdt API defines a set of data models, resources and the related procedures for the creation and management of the background data transfer request. The corresponding JSON schema for the representation of the resources and operations defined by the ResourceManagementOfBdt API is provided in its complete form in Annex A.4.</w:t>
      </w:r>
    </w:p>
    <w:p w:rsidR="00CB0DD7" w:rsidRPr="000A0A5F" w:rsidRDefault="00CB0DD7">
      <w:pPr>
        <w:pStyle w:val="Heading3"/>
      </w:pPr>
      <w:bookmarkStart w:id="2620" w:name="_Toc11247365"/>
      <w:bookmarkStart w:id="2621" w:name="_Toc27044487"/>
      <w:bookmarkStart w:id="2622" w:name="_Toc36033529"/>
      <w:bookmarkStart w:id="2623" w:name="_Toc45131661"/>
      <w:bookmarkStart w:id="2624" w:name="_Toc49775946"/>
      <w:bookmarkStart w:id="2625" w:name="_Toc51746866"/>
      <w:bookmarkStart w:id="2626" w:name="_Toc66360414"/>
      <w:bookmarkStart w:id="2627" w:name="_Toc68104919"/>
      <w:bookmarkStart w:id="2628" w:name="_Toc74755549"/>
      <w:bookmarkStart w:id="2629" w:name="_Toc105674422"/>
      <w:bookmarkStart w:id="2630" w:name="_Toc130502462"/>
      <w:bookmarkStart w:id="2631" w:name="_Toc153625249"/>
      <w:r w:rsidRPr="000A0A5F">
        <w:t>5.4.2</w:t>
      </w:r>
      <w:r w:rsidRPr="000A0A5F">
        <w:tab/>
        <w:t>Data model</w:t>
      </w:r>
      <w:bookmarkEnd w:id="2620"/>
      <w:bookmarkEnd w:id="2621"/>
      <w:bookmarkEnd w:id="2622"/>
      <w:bookmarkEnd w:id="2623"/>
      <w:bookmarkEnd w:id="2624"/>
      <w:bookmarkEnd w:id="2625"/>
      <w:bookmarkEnd w:id="2626"/>
      <w:bookmarkEnd w:id="2627"/>
      <w:bookmarkEnd w:id="2628"/>
      <w:bookmarkEnd w:id="2629"/>
      <w:bookmarkEnd w:id="2630"/>
      <w:bookmarkEnd w:id="2631"/>
    </w:p>
    <w:p w:rsidR="00CB0DD7" w:rsidRPr="000A0A5F" w:rsidRDefault="00CB0DD7">
      <w:pPr>
        <w:pStyle w:val="Heading4"/>
      </w:pPr>
      <w:bookmarkStart w:id="2632" w:name="_Toc11247366"/>
      <w:bookmarkStart w:id="2633" w:name="_Toc27044488"/>
      <w:bookmarkStart w:id="2634" w:name="_Toc36033530"/>
      <w:bookmarkStart w:id="2635" w:name="_Toc45131662"/>
      <w:bookmarkStart w:id="2636" w:name="_Toc49775947"/>
      <w:bookmarkStart w:id="2637" w:name="_Toc51746867"/>
      <w:bookmarkStart w:id="2638" w:name="_Toc66360415"/>
      <w:bookmarkStart w:id="2639" w:name="_Toc68104920"/>
      <w:bookmarkStart w:id="2640" w:name="_Toc74755550"/>
      <w:bookmarkStart w:id="2641" w:name="_Toc105674423"/>
      <w:bookmarkStart w:id="2642" w:name="_Toc130502463"/>
      <w:bookmarkStart w:id="2643" w:name="_Toc153625250"/>
      <w:r w:rsidRPr="000A0A5F">
        <w:t>5.4.2.1</w:t>
      </w:r>
      <w:r w:rsidRPr="000A0A5F">
        <w:tab/>
        <w:t>Resource data types</w:t>
      </w:r>
      <w:bookmarkEnd w:id="2632"/>
      <w:bookmarkEnd w:id="2633"/>
      <w:bookmarkEnd w:id="2634"/>
      <w:bookmarkEnd w:id="2635"/>
      <w:bookmarkEnd w:id="2636"/>
      <w:bookmarkEnd w:id="2637"/>
      <w:bookmarkEnd w:id="2638"/>
      <w:bookmarkEnd w:id="2639"/>
      <w:bookmarkEnd w:id="2640"/>
      <w:bookmarkEnd w:id="2641"/>
      <w:bookmarkEnd w:id="2642"/>
      <w:bookmarkEnd w:id="2643"/>
    </w:p>
    <w:p w:rsidR="00CB0DD7" w:rsidRPr="000A0A5F" w:rsidRDefault="00CB0DD7">
      <w:pPr>
        <w:pStyle w:val="Heading5"/>
      </w:pPr>
      <w:bookmarkStart w:id="2644" w:name="_Toc11247367"/>
      <w:bookmarkStart w:id="2645" w:name="_Toc27044489"/>
      <w:bookmarkStart w:id="2646" w:name="_Toc36033531"/>
      <w:bookmarkStart w:id="2647" w:name="_Toc45131663"/>
      <w:bookmarkStart w:id="2648" w:name="_Toc49775948"/>
      <w:bookmarkStart w:id="2649" w:name="_Toc51746868"/>
      <w:bookmarkStart w:id="2650" w:name="_Toc66360416"/>
      <w:bookmarkStart w:id="2651" w:name="_Toc68104921"/>
      <w:bookmarkStart w:id="2652" w:name="_Toc74755551"/>
      <w:bookmarkStart w:id="2653" w:name="_Toc105674424"/>
      <w:bookmarkStart w:id="2654" w:name="_Toc130502464"/>
      <w:bookmarkStart w:id="2655" w:name="_Toc153625251"/>
      <w:r w:rsidRPr="000A0A5F">
        <w:t>5.4.2.1.1</w:t>
      </w:r>
      <w:r w:rsidRPr="000A0A5F">
        <w:tab/>
        <w:t>Introduction</w:t>
      </w:r>
      <w:bookmarkEnd w:id="2644"/>
      <w:bookmarkEnd w:id="2645"/>
      <w:bookmarkEnd w:id="2646"/>
      <w:bookmarkEnd w:id="2647"/>
      <w:bookmarkEnd w:id="2648"/>
      <w:bookmarkEnd w:id="2649"/>
      <w:bookmarkEnd w:id="2650"/>
      <w:bookmarkEnd w:id="2651"/>
      <w:bookmarkEnd w:id="2652"/>
      <w:bookmarkEnd w:id="2653"/>
      <w:bookmarkEnd w:id="2654"/>
      <w:bookmarkEnd w:id="2655"/>
    </w:p>
    <w:p w:rsidR="00CB0DD7" w:rsidRPr="000A0A5F" w:rsidRDefault="00CB0DD7">
      <w:r w:rsidRPr="000A0A5F">
        <w:t>This clause defines data structures to be used in resource representations.</w:t>
      </w:r>
    </w:p>
    <w:p w:rsidR="00CB0DD7" w:rsidRPr="000A0A5F" w:rsidRDefault="00CB0DD7">
      <w:r w:rsidRPr="000A0A5F">
        <w:t xml:space="preserve">Table 5.4.2.1.1-1 specifies data types re-used by the ResourceManagementOfBdt API from other specifications, including a reference to their respective specifications and when needed, a short description of their use within the ResourceManagementOfBdt API. </w:t>
      </w:r>
    </w:p>
    <w:p w:rsidR="00CB0DD7" w:rsidRPr="000A0A5F" w:rsidRDefault="00CB0DD7">
      <w:pPr>
        <w:pStyle w:val="TH"/>
      </w:pPr>
      <w:r w:rsidRPr="000A0A5F">
        <w:t>Table 5.4.2.1.1-1: ResourceManagementOfBdt API re-used Data Types</w:t>
      </w:r>
    </w:p>
    <w:tbl>
      <w:tblPr>
        <w:tblW w:w="954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391"/>
        <w:gridCol w:w="1958"/>
        <w:gridCol w:w="5200"/>
      </w:tblGrid>
      <w:tr w:rsidR="00CB0DD7" w:rsidRPr="000A0A5F" w:rsidTr="00FF0AF8">
        <w:trPr>
          <w:jc w:val="center"/>
        </w:trPr>
        <w:tc>
          <w:tcPr>
            <w:tcW w:w="2391" w:type="dxa"/>
            <w:shd w:val="clear" w:color="auto" w:fill="C0C0C0"/>
            <w:hideMark/>
          </w:tcPr>
          <w:p w:rsidR="00CB0DD7" w:rsidRPr="000A0A5F" w:rsidRDefault="00CB0DD7">
            <w:pPr>
              <w:pStyle w:val="TAH"/>
            </w:pPr>
            <w:r w:rsidRPr="000A0A5F">
              <w:t>Data type</w:t>
            </w:r>
          </w:p>
        </w:tc>
        <w:tc>
          <w:tcPr>
            <w:tcW w:w="1958" w:type="dxa"/>
            <w:shd w:val="clear" w:color="auto" w:fill="C0C0C0"/>
          </w:tcPr>
          <w:p w:rsidR="00CB0DD7" w:rsidRPr="000A0A5F" w:rsidRDefault="00CB0DD7">
            <w:pPr>
              <w:pStyle w:val="TAH"/>
            </w:pPr>
            <w:r w:rsidRPr="000A0A5F">
              <w:t>Reference</w:t>
            </w:r>
          </w:p>
        </w:tc>
        <w:tc>
          <w:tcPr>
            <w:tcW w:w="5200" w:type="dxa"/>
            <w:shd w:val="clear" w:color="auto" w:fill="C0C0C0"/>
            <w:hideMark/>
          </w:tcPr>
          <w:p w:rsidR="00CB0DD7" w:rsidRPr="000A0A5F" w:rsidRDefault="00CB0DD7">
            <w:pPr>
              <w:pStyle w:val="TAH"/>
            </w:pPr>
            <w:r w:rsidRPr="000A0A5F">
              <w:t>Comments</w:t>
            </w:r>
          </w:p>
        </w:tc>
      </w:tr>
      <w:tr w:rsidR="00CB0DD7" w:rsidRPr="000A0A5F" w:rsidTr="00FF0AF8">
        <w:trPr>
          <w:jc w:val="center"/>
        </w:trPr>
        <w:tc>
          <w:tcPr>
            <w:tcW w:w="2391" w:type="dxa"/>
          </w:tcPr>
          <w:p w:rsidR="00CB0DD7" w:rsidRPr="000A0A5F" w:rsidRDefault="00CB0DD7">
            <w:pPr>
              <w:pStyle w:val="TAL"/>
              <w:rPr>
                <w:rFonts w:hint="eastAsia"/>
                <w:lang w:eastAsia="zh-CN"/>
              </w:rPr>
            </w:pPr>
            <w:r w:rsidRPr="000A0A5F">
              <w:rPr>
                <w:rFonts w:hint="eastAsia"/>
                <w:lang w:eastAsia="zh-CN"/>
              </w:rPr>
              <w:t>GeographicArea</w:t>
            </w:r>
          </w:p>
        </w:tc>
        <w:tc>
          <w:tcPr>
            <w:tcW w:w="1958" w:type="dxa"/>
          </w:tcPr>
          <w:p w:rsidR="00CB0DD7" w:rsidRPr="000A0A5F" w:rsidRDefault="00CB0DD7">
            <w:pPr>
              <w:pStyle w:val="TAL"/>
              <w:rPr>
                <w:rFonts w:hint="eastAsia"/>
                <w:lang w:val="en-US" w:eastAsia="zh-CN"/>
              </w:rPr>
            </w:pPr>
            <w:r w:rsidRPr="000A0A5F">
              <w:rPr>
                <w:rFonts w:hint="eastAsia"/>
                <w:lang w:eastAsia="zh-CN"/>
              </w:rPr>
              <w:t>3GPP TS 29.572 [</w:t>
            </w:r>
            <w:r w:rsidRPr="000A0A5F">
              <w:rPr>
                <w:lang w:eastAsia="zh-CN"/>
              </w:rPr>
              <w:t>42]</w:t>
            </w:r>
          </w:p>
        </w:tc>
        <w:tc>
          <w:tcPr>
            <w:tcW w:w="5200" w:type="dxa"/>
          </w:tcPr>
          <w:p w:rsidR="00CB0DD7" w:rsidRPr="000A0A5F" w:rsidRDefault="00CB0DD7">
            <w:pPr>
              <w:pStyle w:val="TAL"/>
              <w:rPr>
                <w:rFonts w:cs="Arial"/>
                <w:szCs w:val="18"/>
              </w:rPr>
            </w:pPr>
            <w:r w:rsidRPr="000A0A5F">
              <w:rPr>
                <w:lang w:eastAsia="zh-CN"/>
              </w:rPr>
              <w:t>Identifies the geographical information of the user(s).</w:t>
            </w:r>
          </w:p>
        </w:tc>
      </w:tr>
      <w:tr w:rsidR="00CB0DD7" w:rsidRPr="000A0A5F" w:rsidTr="00FF0AF8">
        <w:trPr>
          <w:jc w:val="center"/>
        </w:trPr>
        <w:tc>
          <w:tcPr>
            <w:tcW w:w="2391" w:type="dxa"/>
          </w:tcPr>
          <w:p w:rsidR="00CB0DD7" w:rsidRPr="000A0A5F" w:rsidRDefault="00CB0DD7">
            <w:pPr>
              <w:pStyle w:val="TAL"/>
              <w:rPr>
                <w:rFonts w:hint="eastAsia"/>
                <w:lang w:eastAsia="zh-CN"/>
              </w:rPr>
            </w:pPr>
            <w:r w:rsidRPr="000A0A5F">
              <w:t>CivicAddress</w:t>
            </w:r>
          </w:p>
        </w:tc>
        <w:tc>
          <w:tcPr>
            <w:tcW w:w="1958" w:type="dxa"/>
          </w:tcPr>
          <w:p w:rsidR="00CB0DD7" w:rsidRPr="000A0A5F" w:rsidRDefault="00CB0DD7">
            <w:pPr>
              <w:pStyle w:val="TAL"/>
              <w:rPr>
                <w:rFonts w:hint="eastAsia"/>
                <w:lang w:eastAsia="zh-CN"/>
              </w:rPr>
            </w:pPr>
            <w:r w:rsidRPr="000A0A5F">
              <w:rPr>
                <w:rFonts w:hint="eastAsia"/>
                <w:lang w:eastAsia="zh-CN"/>
              </w:rPr>
              <w:t>3GPP TS 29.572 [</w:t>
            </w:r>
            <w:r w:rsidRPr="000A0A5F">
              <w:rPr>
                <w:lang w:eastAsia="zh-CN"/>
              </w:rPr>
              <w:t>42]</w:t>
            </w:r>
          </w:p>
        </w:tc>
        <w:tc>
          <w:tcPr>
            <w:tcW w:w="5200" w:type="dxa"/>
          </w:tcPr>
          <w:p w:rsidR="00CB0DD7" w:rsidRPr="000A0A5F" w:rsidRDefault="00CB0DD7">
            <w:pPr>
              <w:pStyle w:val="TAL"/>
              <w:rPr>
                <w:lang w:eastAsia="zh-CN"/>
              </w:rPr>
            </w:pPr>
            <w:r w:rsidRPr="000A0A5F">
              <w:rPr>
                <w:lang w:eastAsia="zh-CN"/>
              </w:rPr>
              <w:t>Identifies the civic address information of the user(s).</w:t>
            </w:r>
          </w:p>
        </w:tc>
      </w:tr>
      <w:tr w:rsidR="00CB0DD7" w:rsidRPr="000A0A5F" w:rsidTr="00FF0AF8">
        <w:trPr>
          <w:jc w:val="center"/>
        </w:trPr>
        <w:tc>
          <w:tcPr>
            <w:tcW w:w="2391" w:type="dxa"/>
          </w:tcPr>
          <w:p w:rsidR="00CB0DD7" w:rsidRPr="000A0A5F" w:rsidRDefault="00CB0DD7">
            <w:pPr>
              <w:pStyle w:val="TAL"/>
            </w:pPr>
            <w:r w:rsidRPr="000A0A5F">
              <w:t>NetworkAreaInfo</w:t>
            </w:r>
          </w:p>
        </w:tc>
        <w:tc>
          <w:tcPr>
            <w:tcW w:w="1958" w:type="dxa"/>
          </w:tcPr>
          <w:p w:rsidR="00CB0DD7" w:rsidRPr="000A0A5F" w:rsidRDefault="00CB0DD7">
            <w:pPr>
              <w:pStyle w:val="TAL"/>
              <w:rPr>
                <w:lang w:eastAsia="zh-CN"/>
              </w:rPr>
            </w:pPr>
            <w:r w:rsidRPr="000A0A5F">
              <w:rPr>
                <w:noProof/>
              </w:rPr>
              <w:t>3GPP TS 29.554 [50]</w:t>
            </w:r>
          </w:p>
        </w:tc>
        <w:tc>
          <w:tcPr>
            <w:tcW w:w="5200" w:type="dxa"/>
          </w:tcPr>
          <w:p w:rsidR="00CB0DD7" w:rsidRPr="000A0A5F" w:rsidRDefault="00CB0DD7">
            <w:pPr>
              <w:pStyle w:val="TAL"/>
              <w:rPr>
                <w:lang w:eastAsia="zh-CN"/>
              </w:rPr>
            </w:pPr>
            <w:r w:rsidRPr="000A0A5F">
              <w:rPr>
                <w:rFonts w:cs="Arial"/>
                <w:noProof/>
                <w:szCs w:val="18"/>
              </w:rPr>
              <w:t xml:space="preserve">Identifies </w:t>
            </w:r>
            <w:r w:rsidRPr="000A0A5F">
              <w:rPr>
                <w:rFonts w:cs="Arial"/>
                <w:szCs w:val="18"/>
                <w:lang w:eastAsia="zh-CN"/>
              </w:rPr>
              <w:t>a</w:t>
            </w:r>
            <w:r w:rsidRPr="000A0A5F">
              <w:rPr>
                <w:rFonts w:cs="Arial"/>
              </w:rPr>
              <w:t xml:space="preserve"> network area information</w:t>
            </w:r>
            <w:r w:rsidRPr="000A0A5F">
              <w:rPr>
                <w:rFonts w:cs="Arial"/>
                <w:noProof/>
                <w:szCs w:val="18"/>
              </w:rPr>
              <w:t>.</w:t>
            </w:r>
          </w:p>
        </w:tc>
      </w:tr>
      <w:tr w:rsidR="00CB0DD7" w:rsidRPr="000A0A5F" w:rsidTr="00FF0AF8">
        <w:trPr>
          <w:jc w:val="center"/>
        </w:trPr>
        <w:tc>
          <w:tcPr>
            <w:tcW w:w="2391" w:type="dxa"/>
          </w:tcPr>
          <w:p w:rsidR="00CB0DD7" w:rsidRPr="000A0A5F" w:rsidRDefault="00CB0DD7">
            <w:pPr>
              <w:pStyle w:val="TAL"/>
            </w:pPr>
            <w:r w:rsidRPr="000A0A5F">
              <w:t>SupportedFeatures</w:t>
            </w:r>
          </w:p>
        </w:tc>
        <w:tc>
          <w:tcPr>
            <w:tcW w:w="1958" w:type="dxa"/>
          </w:tcPr>
          <w:p w:rsidR="00CB0DD7" w:rsidRPr="000A0A5F" w:rsidRDefault="00CB0DD7">
            <w:pPr>
              <w:pStyle w:val="TAL"/>
              <w:rPr>
                <w:rFonts w:hint="eastAsia"/>
                <w:lang w:eastAsia="zh-CN"/>
              </w:rPr>
            </w:pPr>
            <w:r w:rsidRPr="000A0A5F">
              <w:rPr>
                <w:lang w:eastAsia="zh-CN"/>
              </w:rPr>
              <w:t>3GPP TS 29.571 [45]</w:t>
            </w:r>
          </w:p>
        </w:tc>
        <w:tc>
          <w:tcPr>
            <w:tcW w:w="5200" w:type="dxa"/>
          </w:tcPr>
          <w:p w:rsidR="00CB0DD7" w:rsidRPr="000A0A5F" w:rsidRDefault="00CB0DD7">
            <w:pPr>
              <w:pStyle w:val="TAL"/>
              <w:rPr>
                <w:lang w:eastAsia="zh-CN"/>
              </w:rPr>
            </w:pPr>
            <w:r w:rsidRPr="000A0A5F">
              <w:rPr>
                <w:lang w:eastAsia="zh-CN"/>
              </w:rPr>
              <w:t>Used to negotiate the applicability of the optional features defined in table 5.4.4-1.</w:t>
            </w:r>
          </w:p>
        </w:tc>
      </w:tr>
    </w:tbl>
    <w:p w:rsidR="00092CDF" w:rsidRPr="000A0A5F" w:rsidRDefault="00092CDF" w:rsidP="00092CDF"/>
    <w:p w:rsidR="00092CDF" w:rsidRPr="000A0A5F" w:rsidRDefault="00092CDF" w:rsidP="00092CDF">
      <w:r w:rsidRPr="000A0A5F">
        <w:t>Table 5.4.2.1.1-2 specifies the data types defined for the ResourceManagementOfBdt API.</w:t>
      </w:r>
    </w:p>
    <w:p w:rsidR="00092CDF" w:rsidRPr="000A0A5F" w:rsidRDefault="00092CDF" w:rsidP="00092CDF">
      <w:pPr>
        <w:pStyle w:val="TH"/>
      </w:pPr>
      <w:r w:rsidRPr="000A0A5F">
        <w:t>Table 5.4.2.1.1-2: ResourceManagementOfBdt API specific Data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888"/>
        <w:gridCol w:w="964"/>
        <w:gridCol w:w="4365"/>
        <w:gridCol w:w="1412"/>
      </w:tblGrid>
      <w:tr w:rsidR="00092CDF" w:rsidRPr="000A0A5F" w:rsidTr="00FF0AF8">
        <w:trPr>
          <w:jc w:val="center"/>
        </w:trPr>
        <w:tc>
          <w:tcPr>
            <w:tcW w:w="2888" w:type="dxa"/>
            <w:shd w:val="clear" w:color="auto" w:fill="C0C0C0"/>
            <w:vAlign w:val="center"/>
            <w:hideMark/>
          </w:tcPr>
          <w:p w:rsidR="00092CDF" w:rsidRPr="000A0A5F" w:rsidRDefault="00092CDF" w:rsidP="00B97EBD">
            <w:pPr>
              <w:pStyle w:val="TAH"/>
            </w:pPr>
            <w:r w:rsidRPr="000A0A5F">
              <w:t>Data type</w:t>
            </w:r>
          </w:p>
        </w:tc>
        <w:tc>
          <w:tcPr>
            <w:tcW w:w="964" w:type="dxa"/>
            <w:shd w:val="clear" w:color="auto" w:fill="C0C0C0"/>
            <w:vAlign w:val="center"/>
          </w:tcPr>
          <w:p w:rsidR="00092CDF" w:rsidRPr="000A0A5F" w:rsidRDefault="00092CDF" w:rsidP="00B97EBD">
            <w:pPr>
              <w:pStyle w:val="TAH"/>
            </w:pPr>
            <w:r w:rsidRPr="000A0A5F">
              <w:t>Clause defined</w:t>
            </w:r>
          </w:p>
        </w:tc>
        <w:tc>
          <w:tcPr>
            <w:tcW w:w="4365" w:type="dxa"/>
            <w:shd w:val="clear" w:color="auto" w:fill="C0C0C0"/>
            <w:vAlign w:val="center"/>
            <w:hideMark/>
          </w:tcPr>
          <w:p w:rsidR="00092CDF" w:rsidRPr="000A0A5F" w:rsidRDefault="00092CDF" w:rsidP="00B97EBD">
            <w:pPr>
              <w:pStyle w:val="TAH"/>
            </w:pPr>
            <w:r w:rsidRPr="000A0A5F">
              <w:t>Description</w:t>
            </w:r>
          </w:p>
        </w:tc>
        <w:tc>
          <w:tcPr>
            <w:tcW w:w="1412" w:type="dxa"/>
            <w:shd w:val="clear" w:color="auto" w:fill="C0C0C0"/>
            <w:vAlign w:val="center"/>
          </w:tcPr>
          <w:p w:rsidR="00092CDF" w:rsidRPr="000A0A5F" w:rsidRDefault="00092CDF" w:rsidP="00B97EBD">
            <w:pPr>
              <w:pStyle w:val="TAH"/>
            </w:pPr>
            <w:r w:rsidRPr="000A0A5F">
              <w:t>Applicability</w:t>
            </w:r>
          </w:p>
        </w:tc>
      </w:tr>
      <w:tr w:rsidR="00092CDF" w:rsidRPr="000A0A5F" w:rsidTr="00FF0AF8">
        <w:trPr>
          <w:jc w:val="center"/>
        </w:trPr>
        <w:tc>
          <w:tcPr>
            <w:tcW w:w="2888" w:type="dxa"/>
            <w:vAlign w:val="center"/>
          </w:tcPr>
          <w:p w:rsidR="00092CDF" w:rsidRPr="000A0A5F" w:rsidRDefault="00092CDF" w:rsidP="00B97EBD">
            <w:pPr>
              <w:pStyle w:val="TAL"/>
              <w:rPr>
                <w:lang w:eastAsia="ja-JP"/>
              </w:rPr>
            </w:pPr>
            <w:r w:rsidRPr="000A0A5F">
              <w:rPr>
                <w:rFonts w:hint="eastAsia"/>
                <w:lang w:eastAsia="ja-JP"/>
              </w:rPr>
              <w:t>B</w:t>
            </w:r>
            <w:r w:rsidRPr="000A0A5F">
              <w:rPr>
                <w:lang w:eastAsia="ja-JP"/>
              </w:rPr>
              <w:t>dt</w:t>
            </w:r>
          </w:p>
        </w:tc>
        <w:tc>
          <w:tcPr>
            <w:tcW w:w="964" w:type="dxa"/>
            <w:vAlign w:val="center"/>
          </w:tcPr>
          <w:p w:rsidR="00092CDF" w:rsidRPr="000A0A5F" w:rsidRDefault="00092CDF" w:rsidP="00B97EBD">
            <w:pPr>
              <w:pStyle w:val="TAC"/>
              <w:rPr>
                <w:lang w:eastAsia="ja-JP"/>
              </w:rPr>
            </w:pPr>
            <w:r w:rsidRPr="000A0A5F">
              <w:rPr>
                <w:rFonts w:hint="eastAsia"/>
                <w:lang w:eastAsia="ja-JP"/>
              </w:rPr>
              <w:t>5</w:t>
            </w:r>
            <w:r w:rsidRPr="000A0A5F">
              <w:rPr>
                <w:lang w:eastAsia="ja-JP"/>
              </w:rPr>
              <w:t>.4.2.1.2</w:t>
            </w:r>
          </w:p>
        </w:tc>
        <w:tc>
          <w:tcPr>
            <w:tcW w:w="4365" w:type="dxa"/>
            <w:vAlign w:val="center"/>
          </w:tcPr>
          <w:p w:rsidR="00092CDF" w:rsidRPr="000A0A5F" w:rsidRDefault="00092CDF" w:rsidP="00B97EBD">
            <w:pPr>
              <w:pStyle w:val="TAL"/>
            </w:pPr>
            <w:r w:rsidRPr="000A0A5F">
              <w:t>Represents a Background Data Transfer subscription.</w:t>
            </w:r>
          </w:p>
        </w:tc>
        <w:tc>
          <w:tcPr>
            <w:tcW w:w="1412" w:type="dxa"/>
            <w:vAlign w:val="center"/>
          </w:tcPr>
          <w:p w:rsidR="00092CDF" w:rsidRPr="000A0A5F" w:rsidRDefault="00092CDF" w:rsidP="00B97EBD">
            <w:pPr>
              <w:pStyle w:val="TAL"/>
              <w:rPr>
                <w:rFonts w:cs="Arial"/>
                <w:szCs w:val="18"/>
                <w:lang w:eastAsia="ja-JP"/>
              </w:rPr>
            </w:pPr>
          </w:p>
        </w:tc>
      </w:tr>
      <w:tr w:rsidR="00092CDF" w:rsidRPr="000A0A5F" w:rsidTr="00FF0AF8">
        <w:trPr>
          <w:jc w:val="center"/>
        </w:trPr>
        <w:tc>
          <w:tcPr>
            <w:tcW w:w="2888" w:type="dxa"/>
            <w:vAlign w:val="center"/>
          </w:tcPr>
          <w:p w:rsidR="00092CDF" w:rsidRPr="000A0A5F" w:rsidRDefault="00092CDF" w:rsidP="00B97EBD">
            <w:pPr>
              <w:pStyle w:val="TAL"/>
            </w:pPr>
            <w:r w:rsidRPr="000A0A5F">
              <w:rPr>
                <w:rFonts w:hint="eastAsia"/>
                <w:lang w:eastAsia="ja-JP"/>
              </w:rPr>
              <w:t>B</w:t>
            </w:r>
            <w:r w:rsidRPr="000A0A5F">
              <w:rPr>
                <w:lang w:eastAsia="ja-JP"/>
              </w:rPr>
              <w:t>dtPatch</w:t>
            </w:r>
          </w:p>
        </w:tc>
        <w:tc>
          <w:tcPr>
            <w:tcW w:w="964" w:type="dxa"/>
            <w:vAlign w:val="center"/>
          </w:tcPr>
          <w:p w:rsidR="00092CDF" w:rsidRPr="000A0A5F" w:rsidRDefault="00092CDF" w:rsidP="00B97EBD">
            <w:pPr>
              <w:pStyle w:val="TAC"/>
            </w:pPr>
            <w:r w:rsidRPr="000A0A5F">
              <w:t>5.4.2.1.3</w:t>
            </w:r>
          </w:p>
        </w:tc>
        <w:tc>
          <w:tcPr>
            <w:tcW w:w="4365" w:type="dxa"/>
            <w:vAlign w:val="center"/>
          </w:tcPr>
          <w:p w:rsidR="00092CDF" w:rsidRPr="000A0A5F" w:rsidRDefault="00092CDF" w:rsidP="00B97EBD">
            <w:pPr>
              <w:pStyle w:val="TAL"/>
            </w:pPr>
            <w:r w:rsidRPr="000A0A5F">
              <w:t>Represents a Background Data Transfer subscription modification request.</w:t>
            </w:r>
          </w:p>
        </w:tc>
        <w:tc>
          <w:tcPr>
            <w:tcW w:w="1412" w:type="dxa"/>
            <w:vAlign w:val="center"/>
          </w:tcPr>
          <w:p w:rsidR="00092CDF" w:rsidRPr="000A0A5F" w:rsidRDefault="00092CDF" w:rsidP="00B97EBD">
            <w:pPr>
              <w:pStyle w:val="TAL"/>
              <w:rPr>
                <w:rFonts w:cs="Arial"/>
                <w:szCs w:val="18"/>
                <w:lang w:eastAsia="ja-JP"/>
              </w:rPr>
            </w:pPr>
          </w:p>
        </w:tc>
      </w:tr>
      <w:tr w:rsidR="00092CDF" w:rsidRPr="000A0A5F" w:rsidTr="00FF0AF8">
        <w:trPr>
          <w:jc w:val="center"/>
        </w:trPr>
        <w:tc>
          <w:tcPr>
            <w:tcW w:w="2888" w:type="dxa"/>
            <w:vAlign w:val="center"/>
          </w:tcPr>
          <w:p w:rsidR="00092CDF" w:rsidRPr="000A0A5F" w:rsidRDefault="00092CDF" w:rsidP="00B97EBD">
            <w:pPr>
              <w:pStyle w:val="TAL"/>
            </w:pPr>
            <w:r w:rsidRPr="000A0A5F">
              <w:t>ExNotification</w:t>
            </w:r>
          </w:p>
        </w:tc>
        <w:tc>
          <w:tcPr>
            <w:tcW w:w="964" w:type="dxa"/>
            <w:vAlign w:val="center"/>
          </w:tcPr>
          <w:p w:rsidR="00092CDF" w:rsidRPr="000A0A5F" w:rsidRDefault="00092CDF" w:rsidP="00B97EBD">
            <w:pPr>
              <w:pStyle w:val="TAC"/>
            </w:pPr>
            <w:r w:rsidRPr="000A0A5F">
              <w:t>5.4.2.1.4</w:t>
            </w:r>
          </w:p>
        </w:tc>
        <w:tc>
          <w:tcPr>
            <w:tcW w:w="4365" w:type="dxa"/>
            <w:vAlign w:val="center"/>
          </w:tcPr>
          <w:p w:rsidR="00092CDF" w:rsidRPr="000A0A5F" w:rsidRDefault="00092CDF" w:rsidP="00B97EBD">
            <w:pPr>
              <w:pStyle w:val="TAL"/>
            </w:pPr>
            <w:r w:rsidRPr="000A0A5F">
              <w:t>Represents a Background Data Transfer notification</w:t>
            </w:r>
            <w:r w:rsidRPr="000A0A5F">
              <w:rPr>
                <w:lang w:val="en-US" w:eastAsia="zh-CN"/>
              </w:rPr>
              <w:t>.</w:t>
            </w:r>
          </w:p>
        </w:tc>
        <w:tc>
          <w:tcPr>
            <w:tcW w:w="1412" w:type="dxa"/>
            <w:vAlign w:val="center"/>
          </w:tcPr>
          <w:p w:rsidR="00092CDF" w:rsidRPr="000A0A5F" w:rsidRDefault="00092CDF" w:rsidP="00B97EBD">
            <w:pPr>
              <w:pStyle w:val="TAL"/>
              <w:rPr>
                <w:rFonts w:cs="Arial"/>
                <w:szCs w:val="18"/>
                <w:lang w:eastAsia="ja-JP"/>
              </w:rPr>
            </w:pPr>
          </w:p>
        </w:tc>
      </w:tr>
      <w:tr w:rsidR="00092CDF" w:rsidRPr="000A0A5F" w:rsidTr="00FF0AF8">
        <w:trPr>
          <w:jc w:val="center"/>
        </w:trPr>
        <w:tc>
          <w:tcPr>
            <w:tcW w:w="2888" w:type="dxa"/>
            <w:vAlign w:val="center"/>
          </w:tcPr>
          <w:p w:rsidR="00092CDF" w:rsidRPr="000A0A5F" w:rsidRDefault="00092CDF" w:rsidP="00B97EBD">
            <w:pPr>
              <w:pStyle w:val="TAL"/>
            </w:pPr>
            <w:r w:rsidRPr="000A0A5F">
              <w:rPr>
                <w:rFonts w:hint="eastAsia"/>
                <w:lang w:eastAsia="zh-CN"/>
              </w:rPr>
              <w:t>T</w:t>
            </w:r>
            <w:r w:rsidRPr="000A0A5F">
              <w:rPr>
                <w:lang w:eastAsia="zh-CN"/>
              </w:rPr>
              <w:t>rafficDescriptor</w:t>
            </w:r>
          </w:p>
        </w:tc>
        <w:tc>
          <w:tcPr>
            <w:tcW w:w="964" w:type="dxa"/>
            <w:vAlign w:val="center"/>
          </w:tcPr>
          <w:p w:rsidR="00092CDF" w:rsidRPr="000A0A5F" w:rsidRDefault="00092CDF" w:rsidP="00B97EBD">
            <w:pPr>
              <w:pStyle w:val="TAC"/>
            </w:pPr>
            <w:r w:rsidRPr="000A0A5F">
              <w:t>5.4.2.3.2</w:t>
            </w:r>
          </w:p>
        </w:tc>
        <w:tc>
          <w:tcPr>
            <w:tcW w:w="4365" w:type="dxa"/>
            <w:vAlign w:val="center"/>
          </w:tcPr>
          <w:p w:rsidR="00092CDF" w:rsidRPr="000A0A5F" w:rsidRDefault="00092CDF" w:rsidP="00B97EBD">
            <w:pPr>
              <w:pStyle w:val="TAL"/>
            </w:pPr>
            <w:r w:rsidRPr="000A0A5F">
              <w:t xml:space="preserve">Identify a traffic descriptor as defined in Figure 5.2.2 of </w:t>
            </w:r>
            <w:r w:rsidRPr="000A0A5F">
              <w:rPr>
                <w:lang w:eastAsia="zh-CN"/>
              </w:rPr>
              <w:t>3GPP TS 24.526 [64]</w:t>
            </w:r>
            <w:r w:rsidRPr="000A0A5F">
              <w:t>.</w:t>
            </w:r>
          </w:p>
        </w:tc>
        <w:tc>
          <w:tcPr>
            <w:tcW w:w="1412" w:type="dxa"/>
            <w:vAlign w:val="center"/>
          </w:tcPr>
          <w:p w:rsidR="00092CDF" w:rsidRPr="000A0A5F" w:rsidRDefault="00092CDF" w:rsidP="00B97EBD">
            <w:pPr>
              <w:pStyle w:val="TAL"/>
              <w:rPr>
                <w:rFonts w:cs="Arial"/>
                <w:szCs w:val="18"/>
              </w:rPr>
            </w:pPr>
          </w:p>
        </w:tc>
      </w:tr>
      <w:tr w:rsidR="00092CDF" w:rsidRPr="000A0A5F" w:rsidTr="00FF0AF8">
        <w:trPr>
          <w:jc w:val="center"/>
        </w:trPr>
        <w:tc>
          <w:tcPr>
            <w:tcW w:w="2888" w:type="dxa"/>
            <w:vAlign w:val="center"/>
          </w:tcPr>
          <w:p w:rsidR="00092CDF" w:rsidRPr="000A0A5F" w:rsidRDefault="00092CDF" w:rsidP="00B97EBD">
            <w:pPr>
              <w:pStyle w:val="TAL"/>
            </w:pPr>
            <w:r w:rsidRPr="000A0A5F">
              <w:rPr>
                <w:rFonts w:eastAsia="Times New Roman"/>
              </w:rPr>
              <w:t>TransferPolicy</w:t>
            </w:r>
          </w:p>
        </w:tc>
        <w:tc>
          <w:tcPr>
            <w:tcW w:w="964" w:type="dxa"/>
            <w:vAlign w:val="center"/>
          </w:tcPr>
          <w:p w:rsidR="00092CDF" w:rsidRPr="000A0A5F" w:rsidRDefault="00092CDF" w:rsidP="00B97EBD">
            <w:pPr>
              <w:pStyle w:val="TAC"/>
            </w:pPr>
            <w:r w:rsidRPr="000A0A5F">
              <w:t>5.4.2.2.2</w:t>
            </w:r>
          </w:p>
        </w:tc>
        <w:tc>
          <w:tcPr>
            <w:tcW w:w="4365" w:type="dxa"/>
            <w:vAlign w:val="center"/>
          </w:tcPr>
          <w:p w:rsidR="00092CDF" w:rsidRPr="000A0A5F" w:rsidRDefault="00092CDF" w:rsidP="00B97EBD">
            <w:pPr>
              <w:pStyle w:val="TAL"/>
            </w:pPr>
            <w:r w:rsidRPr="000A0A5F">
              <w:t>Represents an offered transfer policy sent from the SCEF to the SCS/AS, or a selected transfer policy sent from the SCS/AS to the SCEF</w:t>
            </w:r>
            <w:r w:rsidRPr="000A0A5F">
              <w:rPr>
                <w:lang w:val="en-US" w:eastAsia="zh-CN"/>
              </w:rPr>
              <w:t>.</w:t>
            </w:r>
          </w:p>
        </w:tc>
        <w:tc>
          <w:tcPr>
            <w:tcW w:w="1412" w:type="dxa"/>
            <w:vAlign w:val="center"/>
          </w:tcPr>
          <w:p w:rsidR="00092CDF" w:rsidRPr="000A0A5F" w:rsidRDefault="00092CDF" w:rsidP="00B97EBD">
            <w:pPr>
              <w:pStyle w:val="TAL"/>
              <w:rPr>
                <w:rFonts w:cs="Arial"/>
                <w:szCs w:val="18"/>
              </w:rPr>
            </w:pPr>
          </w:p>
        </w:tc>
      </w:tr>
    </w:tbl>
    <w:p w:rsidR="00CB0DD7" w:rsidRPr="000A0A5F" w:rsidRDefault="00CB0DD7"/>
    <w:p w:rsidR="00CB0DD7" w:rsidRPr="000A0A5F" w:rsidRDefault="00CB0DD7">
      <w:pPr>
        <w:pStyle w:val="Heading5"/>
      </w:pPr>
      <w:bookmarkStart w:id="2656" w:name="_Toc11247368"/>
      <w:bookmarkStart w:id="2657" w:name="_Toc27044490"/>
      <w:bookmarkStart w:id="2658" w:name="_Toc36033532"/>
      <w:bookmarkStart w:id="2659" w:name="_Toc45131664"/>
      <w:bookmarkStart w:id="2660" w:name="_Toc49775949"/>
      <w:bookmarkStart w:id="2661" w:name="_Toc51746869"/>
      <w:bookmarkStart w:id="2662" w:name="_Toc66360417"/>
      <w:bookmarkStart w:id="2663" w:name="_Toc68104922"/>
      <w:bookmarkStart w:id="2664" w:name="_Toc74755552"/>
      <w:bookmarkStart w:id="2665" w:name="_Toc105674425"/>
      <w:bookmarkStart w:id="2666" w:name="_Toc130502465"/>
      <w:bookmarkStart w:id="2667" w:name="_Toc153625252"/>
      <w:r w:rsidRPr="000A0A5F">
        <w:t>5.4.2.1.2</w:t>
      </w:r>
      <w:r w:rsidRPr="000A0A5F">
        <w:tab/>
        <w:t>Type: Bdt</w:t>
      </w:r>
      <w:bookmarkEnd w:id="2656"/>
      <w:bookmarkEnd w:id="2657"/>
      <w:bookmarkEnd w:id="2658"/>
      <w:bookmarkEnd w:id="2659"/>
      <w:bookmarkEnd w:id="2660"/>
      <w:bookmarkEnd w:id="2661"/>
      <w:bookmarkEnd w:id="2662"/>
      <w:bookmarkEnd w:id="2663"/>
      <w:bookmarkEnd w:id="2664"/>
      <w:bookmarkEnd w:id="2665"/>
      <w:bookmarkEnd w:id="2666"/>
      <w:bookmarkEnd w:id="2667"/>
    </w:p>
    <w:p w:rsidR="00CB0DD7" w:rsidRPr="000A0A5F" w:rsidRDefault="00CB0DD7">
      <w:r w:rsidRPr="000A0A5F">
        <w:t>This type represents a BDT subscription. The same structure is used in the subscription request and subscription response.</w:t>
      </w:r>
    </w:p>
    <w:p w:rsidR="00CB0DD7" w:rsidRPr="000A0A5F" w:rsidRDefault="00CB0DD7">
      <w:pPr>
        <w:pStyle w:val="TH"/>
      </w:pPr>
      <w:r w:rsidRPr="000A0A5F">
        <w:rPr>
          <w:noProof/>
        </w:rPr>
        <w:t>Table </w:t>
      </w:r>
      <w:r w:rsidRPr="000A0A5F">
        <w:t xml:space="preserve">5.4.2.1.2-1: </w:t>
      </w:r>
      <w:r w:rsidRPr="000A0A5F">
        <w:rPr>
          <w:noProof/>
        </w:rPr>
        <w:t>Definition of type Bdt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948"/>
        <w:gridCol w:w="2126"/>
        <w:gridCol w:w="1276"/>
        <w:gridCol w:w="2995"/>
        <w:gridCol w:w="1257"/>
      </w:tblGrid>
      <w:tr w:rsidR="00CB0DD7" w:rsidRPr="000A0A5F" w:rsidTr="00FF0AF8">
        <w:trPr>
          <w:jc w:val="center"/>
        </w:trPr>
        <w:tc>
          <w:tcPr>
            <w:tcW w:w="1948" w:type="dxa"/>
            <w:shd w:val="clear" w:color="auto" w:fill="C0C0C0"/>
          </w:tcPr>
          <w:p w:rsidR="00CB0DD7" w:rsidRPr="000A0A5F" w:rsidRDefault="00CB0DD7">
            <w:pPr>
              <w:pStyle w:val="TAH"/>
              <w:rPr>
                <w:rFonts w:eastAsia="Times New Roman"/>
              </w:rPr>
            </w:pPr>
            <w:r w:rsidRPr="000A0A5F">
              <w:rPr>
                <w:rFonts w:eastAsia="Times New Roman"/>
              </w:rPr>
              <w:t>Attribute name</w:t>
            </w:r>
          </w:p>
        </w:tc>
        <w:tc>
          <w:tcPr>
            <w:tcW w:w="2126" w:type="dxa"/>
            <w:shd w:val="clear" w:color="auto" w:fill="C0C0C0"/>
          </w:tcPr>
          <w:p w:rsidR="00CB0DD7" w:rsidRPr="000A0A5F" w:rsidRDefault="00CB0DD7">
            <w:pPr>
              <w:pStyle w:val="TAH"/>
              <w:rPr>
                <w:rFonts w:eastAsia="Times New Roman"/>
              </w:rPr>
            </w:pPr>
            <w:r w:rsidRPr="000A0A5F">
              <w:rPr>
                <w:rFonts w:eastAsia="Times New Roman"/>
              </w:rPr>
              <w:t>Data type</w:t>
            </w:r>
          </w:p>
        </w:tc>
        <w:tc>
          <w:tcPr>
            <w:tcW w:w="1276" w:type="dxa"/>
            <w:shd w:val="clear" w:color="auto" w:fill="C0C0C0"/>
          </w:tcPr>
          <w:p w:rsidR="00CB0DD7" w:rsidRPr="000A0A5F" w:rsidRDefault="00CB0DD7">
            <w:pPr>
              <w:pStyle w:val="TAH"/>
              <w:jc w:val="left"/>
              <w:rPr>
                <w:rFonts w:eastAsia="Times New Roman"/>
              </w:rPr>
            </w:pPr>
            <w:r w:rsidRPr="000A0A5F">
              <w:rPr>
                <w:rFonts w:eastAsia="Times New Roman"/>
              </w:rPr>
              <w:t>Cardinality</w:t>
            </w:r>
          </w:p>
        </w:tc>
        <w:tc>
          <w:tcPr>
            <w:tcW w:w="2995"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Description</w:t>
            </w:r>
          </w:p>
        </w:tc>
        <w:tc>
          <w:tcPr>
            <w:tcW w:w="1257"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Applicability (NOTE 1)</w:t>
            </w:r>
          </w:p>
        </w:tc>
      </w:tr>
      <w:tr w:rsidR="00CB0DD7" w:rsidRPr="000A0A5F" w:rsidTr="00FF0AF8">
        <w:trPr>
          <w:jc w:val="center"/>
        </w:trPr>
        <w:tc>
          <w:tcPr>
            <w:tcW w:w="1948" w:type="dxa"/>
            <w:shd w:val="clear" w:color="auto" w:fill="auto"/>
          </w:tcPr>
          <w:p w:rsidR="00CB0DD7" w:rsidRPr="000A0A5F" w:rsidRDefault="00CB0DD7">
            <w:pPr>
              <w:pStyle w:val="TAL"/>
              <w:rPr>
                <w:rFonts w:eastAsia="Times New Roman"/>
              </w:rPr>
            </w:pPr>
            <w:r w:rsidRPr="000A0A5F">
              <w:rPr>
                <w:rFonts w:eastAsia="Times New Roman"/>
              </w:rPr>
              <w:t>self</w:t>
            </w:r>
          </w:p>
        </w:tc>
        <w:tc>
          <w:tcPr>
            <w:tcW w:w="2126" w:type="dxa"/>
            <w:shd w:val="clear" w:color="auto" w:fill="auto"/>
          </w:tcPr>
          <w:p w:rsidR="00CB0DD7" w:rsidRPr="000A0A5F" w:rsidRDefault="00CB0DD7">
            <w:pPr>
              <w:pStyle w:val="TAL"/>
              <w:rPr>
                <w:rFonts w:eastAsia="Times New Roman"/>
              </w:rPr>
            </w:pPr>
            <w:r w:rsidRPr="000A0A5F">
              <w:rPr>
                <w:rFonts w:eastAsia="Times New Roman"/>
              </w:rPr>
              <w:t>Link</w:t>
            </w:r>
          </w:p>
        </w:tc>
        <w:tc>
          <w:tcPr>
            <w:tcW w:w="1276" w:type="dxa"/>
            <w:shd w:val="clear" w:color="auto" w:fill="auto"/>
          </w:tcPr>
          <w:p w:rsidR="00CB0DD7" w:rsidRPr="000A0A5F" w:rsidRDefault="00CB0DD7">
            <w:pPr>
              <w:pStyle w:val="TAL"/>
              <w:rPr>
                <w:rFonts w:eastAsia="Times New Roman"/>
              </w:rPr>
            </w:pPr>
            <w:r w:rsidRPr="000A0A5F">
              <w:rPr>
                <w:rFonts w:eastAsia="Times New Roman"/>
              </w:rPr>
              <w:t>0..1</w:t>
            </w:r>
          </w:p>
        </w:tc>
        <w:tc>
          <w:tcPr>
            <w:tcW w:w="2995" w:type="dxa"/>
            <w:shd w:val="clear" w:color="auto" w:fill="auto"/>
          </w:tcPr>
          <w:p w:rsidR="00CB0DD7" w:rsidRPr="000A0A5F" w:rsidRDefault="00CB0DD7">
            <w:pPr>
              <w:pStyle w:val="TAL"/>
              <w:rPr>
                <w:rFonts w:eastAsia="Times New Roman" w:cs="Arial"/>
                <w:szCs w:val="18"/>
              </w:rPr>
            </w:pPr>
            <w:r w:rsidRPr="000A0A5F">
              <w:rPr>
                <w:rFonts w:eastAsia="Times New Roman" w:cs="Arial"/>
                <w:szCs w:val="18"/>
              </w:rPr>
              <w:t xml:space="preserve">Link to the resource </w:t>
            </w:r>
            <w:r w:rsidRPr="000A0A5F">
              <w:t>"Individual BDT Subscription"</w:t>
            </w:r>
            <w:r w:rsidRPr="000A0A5F">
              <w:rPr>
                <w:rFonts w:eastAsia="Times New Roman" w:cs="Arial"/>
                <w:szCs w:val="18"/>
              </w:rPr>
              <w:t>. This parameter shall be supplied by the SCEF in HTTP responses.</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rPr>
                <w:rFonts w:eastAsia="Times New Roman"/>
              </w:rPr>
            </w:pPr>
            <w:r w:rsidRPr="000A0A5F">
              <w:t>supportedFeatures</w:t>
            </w:r>
          </w:p>
        </w:tc>
        <w:tc>
          <w:tcPr>
            <w:tcW w:w="2126" w:type="dxa"/>
            <w:shd w:val="clear" w:color="auto" w:fill="auto"/>
          </w:tcPr>
          <w:p w:rsidR="00CB0DD7" w:rsidRPr="000A0A5F" w:rsidRDefault="00CB0DD7">
            <w:pPr>
              <w:pStyle w:val="TAL"/>
              <w:rPr>
                <w:rFonts w:eastAsia="Times New Roman"/>
              </w:rPr>
            </w:pPr>
            <w:r w:rsidRPr="000A0A5F">
              <w:t>SupportedFeatures</w:t>
            </w:r>
          </w:p>
        </w:tc>
        <w:tc>
          <w:tcPr>
            <w:tcW w:w="1276" w:type="dxa"/>
            <w:shd w:val="clear" w:color="auto" w:fill="auto"/>
          </w:tcPr>
          <w:p w:rsidR="00CB0DD7" w:rsidRPr="000A0A5F" w:rsidRDefault="00CB0DD7">
            <w:pPr>
              <w:pStyle w:val="TAL"/>
              <w:rPr>
                <w:rFonts w:eastAsia="Times New Roman"/>
              </w:rPr>
            </w:pPr>
            <w:r w:rsidRPr="000A0A5F">
              <w:t>0..1</w:t>
            </w:r>
          </w:p>
        </w:tc>
        <w:tc>
          <w:tcPr>
            <w:tcW w:w="2995" w:type="dxa"/>
            <w:shd w:val="clear" w:color="auto" w:fill="auto"/>
          </w:tcPr>
          <w:p w:rsidR="00CB0DD7" w:rsidRPr="000A0A5F" w:rsidRDefault="00CB0DD7">
            <w:pPr>
              <w:pStyle w:val="TAL"/>
            </w:pPr>
            <w:r w:rsidRPr="000A0A5F">
              <w:t>Used to negotiate the supported optional features of the API as described in clause 5.2.7.</w:t>
            </w:r>
          </w:p>
          <w:p w:rsidR="00CB0DD7" w:rsidRPr="000A0A5F" w:rsidRDefault="00CB0DD7">
            <w:pPr>
              <w:pStyle w:val="TAL"/>
              <w:rPr>
                <w:rFonts w:eastAsia="Times New Roman" w:cs="Arial"/>
                <w:szCs w:val="18"/>
              </w:rPr>
            </w:pPr>
            <w:r w:rsidRPr="000A0A5F">
              <w:t>This attribute shall be provided in the POST request and in the response of successful resource creation.</w:t>
            </w:r>
          </w:p>
        </w:tc>
        <w:tc>
          <w:tcPr>
            <w:tcW w:w="1257" w:type="dxa"/>
          </w:tcPr>
          <w:p w:rsidR="00CB0DD7" w:rsidRPr="000A0A5F" w:rsidRDefault="00CB0DD7">
            <w:pPr>
              <w:pStyle w:val="TAL"/>
              <w:rPr>
                <w:rFonts w:eastAsia="Times New Roman" w:cs="Arial"/>
                <w:szCs w:val="18"/>
              </w:rPr>
            </w:pPr>
          </w:p>
        </w:tc>
      </w:tr>
      <w:tr w:rsidR="00985056" w:rsidRPr="000A0A5F" w:rsidTr="00FF0AF8">
        <w:trPr>
          <w:jc w:val="center"/>
        </w:trPr>
        <w:tc>
          <w:tcPr>
            <w:tcW w:w="1948" w:type="dxa"/>
            <w:shd w:val="clear" w:color="auto" w:fill="auto"/>
          </w:tcPr>
          <w:p w:rsidR="00985056" w:rsidRPr="000A0A5F" w:rsidRDefault="00985056" w:rsidP="00985056">
            <w:pPr>
              <w:pStyle w:val="TAL"/>
            </w:pPr>
            <w:r w:rsidRPr="000A0A5F">
              <w:t>aspId</w:t>
            </w:r>
          </w:p>
        </w:tc>
        <w:tc>
          <w:tcPr>
            <w:tcW w:w="2126" w:type="dxa"/>
            <w:shd w:val="clear" w:color="auto" w:fill="auto"/>
          </w:tcPr>
          <w:p w:rsidR="00985056" w:rsidRPr="000A0A5F" w:rsidRDefault="00985056" w:rsidP="00985056">
            <w:pPr>
              <w:pStyle w:val="TAL"/>
            </w:pPr>
            <w:r w:rsidRPr="000A0A5F">
              <w:t>string</w:t>
            </w:r>
          </w:p>
        </w:tc>
        <w:tc>
          <w:tcPr>
            <w:tcW w:w="1276" w:type="dxa"/>
            <w:shd w:val="clear" w:color="auto" w:fill="auto"/>
          </w:tcPr>
          <w:p w:rsidR="00985056" w:rsidRPr="000A0A5F" w:rsidRDefault="00985056" w:rsidP="00985056">
            <w:pPr>
              <w:pStyle w:val="TAL"/>
            </w:pPr>
            <w:r w:rsidRPr="000A0A5F">
              <w:t>0..1</w:t>
            </w:r>
          </w:p>
        </w:tc>
        <w:tc>
          <w:tcPr>
            <w:tcW w:w="2995" w:type="dxa"/>
            <w:shd w:val="clear" w:color="auto" w:fill="auto"/>
          </w:tcPr>
          <w:p w:rsidR="00985056" w:rsidRPr="000A0A5F" w:rsidRDefault="00985056" w:rsidP="00985056">
            <w:pPr>
              <w:pStyle w:val="TAL"/>
            </w:pPr>
            <w:r w:rsidRPr="000A0A5F">
              <w:t>Identifies an application service provider.</w:t>
            </w:r>
          </w:p>
        </w:tc>
        <w:tc>
          <w:tcPr>
            <w:tcW w:w="1257" w:type="dxa"/>
          </w:tcPr>
          <w:p w:rsidR="00985056" w:rsidRPr="000A0A5F" w:rsidRDefault="00985056" w:rsidP="00985056">
            <w:pPr>
              <w:pStyle w:val="TAL"/>
              <w:rPr>
                <w:rFonts w:eastAsia="Times New Roman" w:cs="Arial"/>
                <w:szCs w:val="18"/>
              </w:rPr>
            </w:pPr>
            <w:r w:rsidRPr="000A0A5F">
              <w:rPr>
                <w:rFonts w:eastAsia="Times New Roman" w:cs="Arial"/>
                <w:szCs w:val="18"/>
              </w:rPr>
              <w:t>AspId_5G</w:t>
            </w:r>
          </w:p>
        </w:tc>
      </w:tr>
      <w:tr w:rsidR="00985056" w:rsidRPr="000A0A5F" w:rsidTr="00FF0AF8">
        <w:trPr>
          <w:jc w:val="center"/>
        </w:trPr>
        <w:tc>
          <w:tcPr>
            <w:tcW w:w="1948" w:type="dxa"/>
            <w:shd w:val="clear" w:color="auto" w:fill="auto"/>
          </w:tcPr>
          <w:p w:rsidR="00985056" w:rsidRPr="000A0A5F" w:rsidRDefault="00985056" w:rsidP="00985056">
            <w:pPr>
              <w:pStyle w:val="TAL"/>
              <w:rPr>
                <w:rFonts w:eastAsia="Times New Roman"/>
              </w:rPr>
            </w:pPr>
            <w:r w:rsidRPr="000A0A5F">
              <w:rPr>
                <w:rFonts w:eastAsia="Times New Roman"/>
              </w:rPr>
              <w:t>volumePerUE</w:t>
            </w:r>
          </w:p>
        </w:tc>
        <w:tc>
          <w:tcPr>
            <w:tcW w:w="2126" w:type="dxa"/>
            <w:shd w:val="clear" w:color="auto" w:fill="auto"/>
          </w:tcPr>
          <w:p w:rsidR="00985056" w:rsidRPr="000A0A5F" w:rsidRDefault="00985056" w:rsidP="00985056">
            <w:pPr>
              <w:pStyle w:val="TAL"/>
              <w:rPr>
                <w:rFonts w:eastAsia="Times New Roman"/>
              </w:rPr>
            </w:pPr>
            <w:r w:rsidRPr="000A0A5F">
              <w:t>UsageThreshold</w:t>
            </w:r>
          </w:p>
        </w:tc>
        <w:tc>
          <w:tcPr>
            <w:tcW w:w="1276" w:type="dxa"/>
            <w:shd w:val="clear" w:color="auto" w:fill="auto"/>
          </w:tcPr>
          <w:p w:rsidR="00985056" w:rsidRPr="000A0A5F" w:rsidRDefault="00985056" w:rsidP="00985056">
            <w:pPr>
              <w:pStyle w:val="TAL"/>
              <w:rPr>
                <w:rFonts w:eastAsia="Times New Roman"/>
              </w:rPr>
            </w:pPr>
            <w:r w:rsidRPr="000A0A5F">
              <w:rPr>
                <w:rFonts w:eastAsia="Times New Roman"/>
              </w:rPr>
              <w:t>1</w:t>
            </w:r>
          </w:p>
        </w:tc>
        <w:tc>
          <w:tcPr>
            <w:tcW w:w="2995" w:type="dxa"/>
            <w:shd w:val="clear" w:color="auto" w:fill="auto"/>
          </w:tcPr>
          <w:p w:rsidR="00985056" w:rsidRPr="000A0A5F" w:rsidRDefault="00985056" w:rsidP="00985056">
            <w:pPr>
              <w:pStyle w:val="TAL"/>
              <w:rPr>
                <w:rFonts w:eastAsia="Times New Roman" w:cs="Arial"/>
                <w:szCs w:val="18"/>
              </w:rPr>
            </w:pPr>
            <w:r w:rsidRPr="000A0A5F">
              <w:rPr>
                <w:rFonts w:cs="Arial" w:hint="eastAsia"/>
                <w:szCs w:val="18"/>
                <w:lang w:eastAsia="zh-CN"/>
              </w:rPr>
              <w:t xml:space="preserve">Identifies the data volume expected to be </w:t>
            </w:r>
            <w:r w:rsidRPr="000A0A5F">
              <w:rPr>
                <w:rFonts w:cs="Arial"/>
                <w:szCs w:val="18"/>
                <w:lang w:eastAsia="zh-CN"/>
              </w:rPr>
              <w:t>transferred</w:t>
            </w:r>
            <w:r w:rsidRPr="000A0A5F">
              <w:rPr>
                <w:rFonts w:cs="Arial" w:hint="eastAsia"/>
                <w:szCs w:val="18"/>
                <w:lang w:eastAsia="zh-CN"/>
              </w:rPr>
              <w:t xml:space="preserve"> </w:t>
            </w:r>
            <w:r w:rsidRPr="000A0A5F">
              <w:rPr>
                <w:rFonts w:cs="Arial"/>
                <w:szCs w:val="18"/>
                <w:lang w:eastAsia="zh-CN"/>
              </w:rPr>
              <w:t>per UE.</w:t>
            </w:r>
          </w:p>
        </w:tc>
        <w:tc>
          <w:tcPr>
            <w:tcW w:w="1257" w:type="dxa"/>
          </w:tcPr>
          <w:p w:rsidR="00985056" w:rsidRPr="000A0A5F" w:rsidRDefault="00985056" w:rsidP="00985056">
            <w:pPr>
              <w:pStyle w:val="TAL"/>
              <w:rPr>
                <w:rFonts w:eastAsia="Times New Roman" w:cs="Arial"/>
                <w:szCs w:val="18"/>
              </w:rPr>
            </w:pPr>
          </w:p>
        </w:tc>
      </w:tr>
      <w:tr w:rsidR="00985056" w:rsidRPr="000A0A5F" w:rsidTr="00FF0AF8">
        <w:trPr>
          <w:jc w:val="center"/>
        </w:trPr>
        <w:tc>
          <w:tcPr>
            <w:tcW w:w="1948" w:type="dxa"/>
            <w:shd w:val="clear" w:color="auto" w:fill="auto"/>
          </w:tcPr>
          <w:p w:rsidR="00985056" w:rsidRPr="000A0A5F" w:rsidRDefault="00985056" w:rsidP="00985056">
            <w:pPr>
              <w:pStyle w:val="TAL"/>
              <w:rPr>
                <w:rFonts w:eastAsia="Times New Roman"/>
              </w:rPr>
            </w:pPr>
            <w:r w:rsidRPr="000A0A5F">
              <w:rPr>
                <w:rFonts w:eastAsia="Times New Roman"/>
              </w:rPr>
              <w:t>numberOfUEs</w:t>
            </w:r>
          </w:p>
        </w:tc>
        <w:tc>
          <w:tcPr>
            <w:tcW w:w="2126" w:type="dxa"/>
            <w:shd w:val="clear" w:color="auto" w:fill="auto"/>
          </w:tcPr>
          <w:p w:rsidR="00985056" w:rsidRPr="000A0A5F" w:rsidRDefault="00985056" w:rsidP="00985056">
            <w:pPr>
              <w:pStyle w:val="TAL"/>
              <w:rPr>
                <w:rFonts w:eastAsia="Times New Roman"/>
              </w:rPr>
            </w:pPr>
            <w:r w:rsidRPr="000A0A5F">
              <w:rPr>
                <w:rFonts w:eastAsia="Times New Roman"/>
              </w:rPr>
              <w:t>integer</w:t>
            </w:r>
          </w:p>
        </w:tc>
        <w:tc>
          <w:tcPr>
            <w:tcW w:w="1276" w:type="dxa"/>
            <w:shd w:val="clear" w:color="auto" w:fill="auto"/>
          </w:tcPr>
          <w:p w:rsidR="00985056" w:rsidRPr="000A0A5F" w:rsidRDefault="00985056" w:rsidP="00985056">
            <w:pPr>
              <w:pStyle w:val="TAL"/>
              <w:rPr>
                <w:rFonts w:eastAsia="Times New Roman"/>
              </w:rPr>
            </w:pPr>
            <w:r w:rsidRPr="000A0A5F">
              <w:rPr>
                <w:rFonts w:eastAsia="Times New Roman"/>
              </w:rPr>
              <w:t>1</w:t>
            </w:r>
          </w:p>
        </w:tc>
        <w:tc>
          <w:tcPr>
            <w:tcW w:w="2995" w:type="dxa"/>
            <w:shd w:val="clear" w:color="auto" w:fill="auto"/>
          </w:tcPr>
          <w:p w:rsidR="00985056" w:rsidRPr="000A0A5F" w:rsidRDefault="00985056" w:rsidP="00985056">
            <w:pPr>
              <w:pStyle w:val="TAL"/>
              <w:rPr>
                <w:rFonts w:eastAsia="Times New Roman" w:cs="Arial"/>
                <w:szCs w:val="18"/>
              </w:rPr>
            </w:pPr>
            <w:r w:rsidRPr="000A0A5F">
              <w:rPr>
                <w:rFonts w:cs="Arial" w:hint="eastAsia"/>
                <w:szCs w:val="18"/>
                <w:lang w:eastAsia="zh-CN"/>
              </w:rPr>
              <w:t>Identifies the number of U</w:t>
            </w:r>
            <w:r w:rsidRPr="000A0A5F">
              <w:rPr>
                <w:rFonts w:cs="Arial"/>
                <w:szCs w:val="18"/>
                <w:lang w:eastAsia="zh-CN"/>
              </w:rPr>
              <w:t>E</w:t>
            </w:r>
            <w:r w:rsidRPr="000A0A5F">
              <w:rPr>
                <w:rFonts w:cs="Arial" w:hint="eastAsia"/>
                <w:szCs w:val="18"/>
                <w:lang w:eastAsia="zh-CN"/>
              </w:rPr>
              <w:t>s</w:t>
            </w:r>
            <w:r w:rsidRPr="000A0A5F">
              <w:rPr>
                <w:rFonts w:cs="Arial"/>
                <w:szCs w:val="18"/>
                <w:lang w:eastAsia="zh-CN"/>
              </w:rPr>
              <w:t>.</w:t>
            </w:r>
          </w:p>
        </w:tc>
        <w:tc>
          <w:tcPr>
            <w:tcW w:w="1257" w:type="dxa"/>
          </w:tcPr>
          <w:p w:rsidR="00985056" w:rsidRPr="000A0A5F" w:rsidRDefault="00985056" w:rsidP="00985056">
            <w:pPr>
              <w:pStyle w:val="TAL"/>
              <w:rPr>
                <w:rFonts w:eastAsia="Times New Roman" w:cs="Arial"/>
                <w:szCs w:val="18"/>
              </w:rPr>
            </w:pPr>
          </w:p>
        </w:tc>
      </w:tr>
      <w:tr w:rsidR="00985056" w:rsidRPr="000A0A5F" w:rsidTr="00FF0AF8">
        <w:trPr>
          <w:jc w:val="center"/>
        </w:trPr>
        <w:tc>
          <w:tcPr>
            <w:tcW w:w="1948" w:type="dxa"/>
            <w:shd w:val="clear" w:color="auto" w:fill="auto"/>
          </w:tcPr>
          <w:p w:rsidR="00985056" w:rsidRPr="000A0A5F" w:rsidRDefault="00985056" w:rsidP="00985056">
            <w:pPr>
              <w:pStyle w:val="TAL"/>
              <w:rPr>
                <w:rFonts w:eastAsia="Times New Roman"/>
              </w:rPr>
            </w:pPr>
            <w:r w:rsidRPr="000A0A5F">
              <w:rPr>
                <w:rFonts w:eastAsia="Times New Roman"/>
              </w:rPr>
              <w:t>desiredTimeWindow</w:t>
            </w:r>
          </w:p>
        </w:tc>
        <w:tc>
          <w:tcPr>
            <w:tcW w:w="2126" w:type="dxa"/>
            <w:shd w:val="clear" w:color="auto" w:fill="auto"/>
          </w:tcPr>
          <w:p w:rsidR="00985056" w:rsidRPr="000A0A5F" w:rsidRDefault="00985056" w:rsidP="00985056">
            <w:pPr>
              <w:pStyle w:val="TAL"/>
              <w:rPr>
                <w:rFonts w:eastAsia="Times New Roman"/>
              </w:rPr>
            </w:pPr>
            <w:r w:rsidRPr="000A0A5F">
              <w:t>TimeWindow</w:t>
            </w:r>
          </w:p>
        </w:tc>
        <w:tc>
          <w:tcPr>
            <w:tcW w:w="1276" w:type="dxa"/>
            <w:shd w:val="clear" w:color="auto" w:fill="auto"/>
          </w:tcPr>
          <w:p w:rsidR="00985056" w:rsidRPr="000A0A5F" w:rsidRDefault="00985056" w:rsidP="00985056">
            <w:pPr>
              <w:pStyle w:val="TAL"/>
              <w:rPr>
                <w:rFonts w:eastAsia="Times New Roman"/>
              </w:rPr>
            </w:pPr>
            <w:r w:rsidRPr="000A0A5F">
              <w:rPr>
                <w:rFonts w:eastAsia="Times New Roman"/>
              </w:rPr>
              <w:t>1</w:t>
            </w:r>
          </w:p>
        </w:tc>
        <w:tc>
          <w:tcPr>
            <w:tcW w:w="2995" w:type="dxa"/>
            <w:shd w:val="clear" w:color="auto" w:fill="auto"/>
          </w:tcPr>
          <w:p w:rsidR="00985056" w:rsidRPr="000A0A5F" w:rsidRDefault="00985056" w:rsidP="00985056">
            <w:pPr>
              <w:pStyle w:val="TAL"/>
              <w:rPr>
                <w:rFonts w:eastAsia="Times New Roman" w:cs="Arial"/>
                <w:szCs w:val="18"/>
              </w:rPr>
            </w:pPr>
            <w:r w:rsidRPr="000A0A5F">
              <w:rPr>
                <w:rFonts w:cs="Arial" w:hint="eastAsia"/>
                <w:szCs w:val="18"/>
                <w:lang w:eastAsia="zh-CN"/>
              </w:rPr>
              <w:t>Identifies the time interval</w:t>
            </w:r>
            <w:r w:rsidRPr="000A0A5F">
              <w:rPr>
                <w:rFonts w:cs="Arial"/>
                <w:szCs w:val="18"/>
                <w:lang w:eastAsia="zh-CN"/>
              </w:rPr>
              <w:t>.</w:t>
            </w:r>
          </w:p>
        </w:tc>
        <w:tc>
          <w:tcPr>
            <w:tcW w:w="1257" w:type="dxa"/>
          </w:tcPr>
          <w:p w:rsidR="00985056" w:rsidRPr="000A0A5F" w:rsidRDefault="00985056" w:rsidP="00985056">
            <w:pPr>
              <w:pStyle w:val="TAL"/>
              <w:rPr>
                <w:rFonts w:eastAsia="Times New Roman" w:cs="Arial"/>
                <w:szCs w:val="18"/>
              </w:rPr>
            </w:pPr>
          </w:p>
        </w:tc>
      </w:tr>
      <w:tr w:rsidR="00985056" w:rsidRPr="000A0A5F" w:rsidTr="00FF0AF8">
        <w:trPr>
          <w:jc w:val="center"/>
        </w:trPr>
        <w:tc>
          <w:tcPr>
            <w:tcW w:w="1948" w:type="dxa"/>
            <w:shd w:val="clear" w:color="auto" w:fill="auto"/>
          </w:tcPr>
          <w:p w:rsidR="00985056" w:rsidRPr="000A0A5F" w:rsidRDefault="00985056" w:rsidP="00985056">
            <w:pPr>
              <w:pStyle w:val="TAL"/>
              <w:rPr>
                <w:rFonts w:eastAsia="Times New Roman"/>
              </w:rPr>
            </w:pPr>
            <w:r w:rsidRPr="000A0A5F">
              <w:rPr>
                <w:rFonts w:eastAsia="Times New Roman"/>
              </w:rPr>
              <w:t>locationArea</w:t>
            </w:r>
          </w:p>
        </w:tc>
        <w:tc>
          <w:tcPr>
            <w:tcW w:w="2126" w:type="dxa"/>
            <w:shd w:val="clear" w:color="auto" w:fill="auto"/>
          </w:tcPr>
          <w:p w:rsidR="00985056" w:rsidRPr="000A0A5F" w:rsidRDefault="00985056" w:rsidP="00985056">
            <w:pPr>
              <w:pStyle w:val="TAL"/>
              <w:rPr>
                <w:rFonts w:eastAsia="Times New Roman"/>
              </w:rPr>
            </w:pPr>
            <w:r w:rsidRPr="000A0A5F">
              <w:rPr>
                <w:lang w:eastAsia="zh-CN"/>
              </w:rPr>
              <w:t>Location</w:t>
            </w:r>
            <w:r w:rsidRPr="000A0A5F">
              <w:rPr>
                <w:rFonts w:hint="eastAsia"/>
                <w:lang w:eastAsia="zh-CN"/>
              </w:rPr>
              <w:t>Area</w:t>
            </w:r>
          </w:p>
        </w:tc>
        <w:tc>
          <w:tcPr>
            <w:tcW w:w="1276" w:type="dxa"/>
            <w:shd w:val="clear" w:color="auto" w:fill="auto"/>
          </w:tcPr>
          <w:p w:rsidR="00985056" w:rsidRPr="000A0A5F" w:rsidRDefault="00985056" w:rsidP="00985056">
            <w:pPr>
              <w:pStyle w:val="TAL"/>
              <w:rPr>
                <w:rFonts w:eastAsia="Times New Roman"/>
              </w:rPr>
            </w:pPr>
            <w:r w:rsidRPr="000A0A5F">
              <w:rPr>
                <w:rFonts w:eastAsia="Times New Roman"/>
              </w:rPr>
              <w:t>0..1</w:t>
            </w:r>
          </w:p>
        </w:tc>
        <w:tc>
          <w:tcPr>
            <w:tcW w:w="2995" w:type="dxa"/>
            <w:shd w:val="clear" w:color="auto" w:fill="auto"/>
          </w:tcPr>
          <w:p w:rsidR="00985056" w:rsidRPr="000A0A5F" w:rsidRDefault="00985056" w:rsidP="00985056">
            <w:pPr>
              <w:pStyle w:val="TAL"/>
              <w:rPr>
                <w:rFonts w:eastAsia="Times New Roman" w:cs="Arial"/>
                <w:szCs w:val="18"/>
              </w:rPr>
            </w:pPr>
            <w:r w:rsidRPr="000A0A5F">
              <w:rPr>
                <w:rFonts w:cs="Arial" w:hint="eastAsia"/>
                <w:szCs w:val="18"/>
                <w:lang w:eastAsia="zh-CN"/>
              </w:rPr>
              <w:t xml:space="preserve">Identifies </w:t>
            </w:r>
            <w:r w:rsidRPr="000A0A5F">
              <w:rPr>
                <w:rFonts w:cs="Arial"/>
                <w:szCs w:val="18"/>
                <w:lang w:eastAsia="zh-CN"/>
              </w:rPr>
              <w:t>the area within which the SCS/AS requests the number of UE.</w:t>
            </w:r>
          </w:p>
        </w:tc>
        <w:tc>
          <w:tcPr>
            <w:tcW w:w="1257" w:type="dxa"/>
          </w:tcPr>
          <w:p w:rsidR="00985056" w:rsidRPr="000A0A5F" w:rsidRDefault="00985056" w:rsidP="00985056">
            <w:pPr>
              <w:pStyle w:val="TAL"/>
              <w:rPr>
                <w:rFonts w:cs="Arial" w:hint="eastAsia"/>
                <w:szCs w:val="18"/>
                <w:lang w:eastAsia="zh-CN"/>
              </w:rPr>
            </w:pPr>
            <w:r w:rsidRPr="000A0A5F">
              <w:rPr>
                <w:rFonts w:cs="Arial" w:hint="eastAsia"/>
                <w:szCs w:val="18"/>
                <w:lang w:eastAsia="zh-CN"/>
              </w:rPr>
              <w:t>Bdt</w:t>
            </w:r>
          </w:p>
        </w:tc>
      </w:tr>
      <w:tr w:rsidR="00985056" w:rsidRPr="000A0A5F" w:rsidTr="00FF0AF8">
        <w:trPr>
          <w:jc w:val="center"/>
        </w:trPr>
        <w:tc>
          <w:tcPr>
            <w:tcW w:w="1948" w:type="dxa"/>
            <w:shd w:val="clear" w:color="auto" w:fill="auto"/>
          </w:tcPr>
          <w:p w:rsidR="00985056" w:rsidRPr="000A0A5F" w:rsidRDefault="00985056" w:rsidP="00985056">
            <w:pPr>
              <w:pStyle w:val="TAL"/>
              <w:rPr>
                <w:rFonts w:eastAsia="Times New Roman"/>
              </w:rPr>
            </w:pPr>
            <w:r w:rsidRPr="000A0A5F">
              <w:rPr>
                <w:rFonts w:eastAsia="Times New Roman"/>
              </w:rPr>
              <w:t>locationArea5G</w:t>
            </w:r>
          </w:p>
        </w:tc>
        <w:tc>
          <w:tcPr>
            <w:tcW w:w="2126" w:type="dxa"/>
            <w:shd w:val="clear" w:color="auto" w:fill="auto"/>
          </w:tcPr>
          <w:p w:rsidR="00985056" w:rsidRPr="000A0A5F" w:rsidRDefault="00985056" w:rsidP="00985056">
            <w:pPr>
              <w:pStyle w:val="TAL"/>
              <w:rPr>
                <w:lang w:eastAsia="zh-CN"/>
              </w:rPr>
            </w:pPr>
            <w:r w:rsidRPr="000A0A5F">
              <w:rPr>
                <w:lang w:eastAsia="zh-CN"/>
              </w:rPr>
              <w:t>Location</w:t>
            </w:r>
            <w:r w:rsidRPr="000A0A5F">
              <w:rPr>
                <w:rFonts w:hint="eastAsia"/>
                <w:lang w:eastAsia="zh-CN"/>
              </w:rPr>
              <w:t>Area</w:t>
            </w:r>
            <w:r w:rsidRPr="000A0A5F">
              <w:rPr>
                <w:lang w:eastAsia="zh-CN"/>
              </w:rPr>
              <w:t>5G</w:t>
            </w:r>
          </w:p>
        </w:tc>
        <w:tc>
          <w:tcPr>
            <w:tcW w:w="1276" w:type="dxa"/>
            <w:shd w:val="clear" w:color="auto" w:fill="auto"/>
          </w:tcPr>
          <w:p w:rsidR="00985056" w:rsidRPr="000A0A5F" w:rsidRDefault="00985056" w:rsidP="00985056">
            <w:pPr>
              <w:pStyle w:val="TAL"/>
              <w:rPr>
                <w:rFonts w:eastAsia="Times New Roman"/>
              </w:rPr>
            </w:pPr>
            <w:r w:rsidRPr="000A0A5F">
              <w:rPr>
                <w:rFonts w:eastAsia="Times New Roman"/>
              </w:rPr>
              <w:t>0..1</w:t>
            </w:r>
          </w:p>
        </w:tc>
        <w:tc>
          <w:tcPr>
            <w:tcW w:w="2995" w:type="dxa"/>
            <w:shd w:val="clear" w:color="auto" w:fill="auto"/>
          </w:tcPr>
          <w:p w:rsidR="00985056" w:rsidRPr="000A0A5F" w:rsidRDefault="00985056" w:rsidP="00985056">
            <w:pPr>
              <w:pStyle w:val="TAL"/>
              <w:rPr>
                <w:rFonts w:cs="Arial" w:hint="eastAsia"/>
                <w:szCs w:val="18"/>
                <w:lang w:eastAsia="zh-CN"/>
              </w:rPr>
            </w:pPr>
            <w:r w:rsidRPr="000A0A5F">
              <w:rPr>
                <w:rFonts w:cs="Arial" w:hint="eastAsia"/>
                <w:szCs w:val="18"/>
                <w:lang w:eastAsia="zh-CN"/>
              </w:rPr>
              <w:t xml:space="preserve">Identifies </w:t>
            </w:r>
            <w:r w:rsidRPr="000A0A5F">
              <w:rPr>
                <w:rFonts w:cs="Arial"/>
                <w:szCs w:val="18"/>
                <w:lang w:eastAsia="zh-CN"/>
              </w:rPr>
              <w:t>the area within which the AF requests the number of UE.</w:t>
            </w:r>
          </w:p>
        </w:tc>
        <w:tc>
          <w:tcPr>
            <w:tcW w:w="1257" w:type="dxa"/>
          </w:tcPr>
          <w:p w:rsidR="00985056" w:rsidRPr="000A0A5F" w:rsidRDefault="00985056" w:rsidP="00985056">
            <w:pPr>
              <w:pStyle w:val="TAL"/>
              <w:rPr>
                <w:rFonts w:cs="Arial" w:hint="eastAsia"/>
                <w:szCs w:val="18"/>
                <w:lang w:eastAsia="zh-CN"/>
              </w:rPr>
            </w:pPr>
            <w:r w:rsidRPr="000A0A5F">
              <w:rPr>
                <w:rFonts w:eastAsia="Times New Roman" w:cs="Arial"/>
                <w:szCs w:val="18"/>
              </w:rPr>
              <w:t>LocBdt_5G</w:t>
            </w:r>
          </w:p>
        </w:tc>
      </w:tr>
      <w:tr w:rsidR="00985056" w:rsidRPr="000A0A5F" w:rsidTr="00FF0AF8">
        <w:trPr>
          <w:jc w:val="center"/>
        </w:trPr>
        <w:tc>
          <w:tcPr>
            <w:tcW w:w="1948" w:type="dxa"/>
            <w:shd w:val="clear" w:color="auto" w:fill="auto"/>
          </w:tcPr>
          <w:p w:rsidR="00985056" w:rsidRPr="000A0A5F" w:rsidRDefault="00985056" w:rsidP="00985056">
            <w:pPr>
              <w:pStyle w:val="TAL"/>
              <w:rPr>
                <w:rFonts w:eastAsia="Times New Roman"/>
              </w:rPr>
            </w:pPr>
            <w:r w:rsidRPr="000A0A5F">
              <w:rPr>
                <w:rFonts w:eastAsia="Times New Roman"/>
              </w:rPr>
              <w:t>referenceId</w:t>
            </w:r>
          </w:p>
        </w:tc>
        <w:tc>
          <w:tcPr>
            <w:tcW w:w="2126" w:type="dxa"/>
            <w:shd w:val="clear" w:color="auto" w:fill="auto"/>
          </w:tcPr>
          <w:p w:rsidR="00985056" w:rsidRPr="000A0A5F" w:rsidRDefault="00985056" w:rsidP="00985056">
            <w:pPr>
              <w:pStyle w:val="TAL"/>
              <w:rPr>
                <w:rFonts w:eastAsia="Times New Roman"/>
              </w:rPr>
            </w:pPr>
            <w:r w:rsidRPr="000A0A5F">
              <w:rPr>
                <w:rFonts w:eastAsia="Times New Roman"/>
              </w:rPr>
              <w:t>BdtReferenceId</w:t>
            </w:r>
          </w:p>
        </w:tc>
        <w:tc>
          <w:tcPr>
            <w:tcW w:w="1276" w:type="dxa"/>
            <w:shd w:val="clear" w:color="auto" w:fill="auto"/>
          </w:tcPr>
          <w:p w:rsidR="00985056" w:rsidRPr="000A0A5F" w:rsidRDefault="00985056" w:rsidP="00985056">
            <w:pPr>
              <w:pStyle w:val="TAL"/>
              <w:rPr>
                <w:rFonts w:eastAsia="Times New Roman"/>
              </w:rPr>
            </w:pPr>
            <w:r w:rsidRPr="000A0A5F">
              <w:rPr>
                <w:rFonts w:eastAsia="Times New Roman"/>
              </w:rPr>
              <w:t>0..1</w:t>
            </w:r>
          </w:p>
        </w:tc>
        <w:tc>
          <w:tcPr>
            <w:tcW w:w="2995" w:type="dxa"/>
            <w:shd w:val="clear" w:color="auto" w:fill="auto"/>
          </w:tcPr>
          <w:p w:rsidR="00985056" w:rsidRPr="000A0A5F" w:rsidRDefault="00985056" w:rsidP="00985056">
            <w:pPr>
              <w:pStyle w:val="TAL"/>
              <w:rPr>
                <w:rFonts w:eastAsia="Times New Roman" w:cs="Arial"/>
                <w:szCs w:val="18"/>
              </w:rPr>
            </w:pPr>
            <w:r w:rsidRPr="000A0A5F">
              <w:rPr>
                <w:rFonts w:eastAsia="Times New Roman" w:cs="Arial"/>
                <w:szCs w:val="18"/>
              </w:rPr>
              <w:t>Identifies a selected policy of background data transfer.</w:t>
            </w:r>
          </w:p>
        </w:tc>
        <w:tc>
          <w:tcPr>
            <w:tcW w:w="1257" w:type="dxa"/>
          </w:tcPr>
          <w:p w:rsidR="00985056" w:rsidRPr="000A0A5F" w:rsidRDefault="00985056" w:rsidP="00985056">
            <w:pPr>
              <w:pStyle w:val="TAL"/>
              <w:rPr>
                <w:rFonts w:eastAsia="Times New Roman" w:cs="Arial"/>
                <w:szCs w:val="18"/>
              </w:rPr>
            </w:pPr>
          </w:p>
        </w:tc>
      </w:tr>
      <w:tr w:rsidR="00985056" w:rsidRPr="000A0A5F" w:rsidTr="00FF0AF8">
        <w:trPr>
          <w:jc w:val="center"/>
        </w:trPr>
        <w:tc>
          <w:tcPr>
            <w:tcW w:w="1948" w:type="dxa"/>
            <w:shd w:val="clear" w:color="auto" w:fill="auto"/>
          </w:tcPr>
          <w:p w:rsidR="00985056" w:rsidRPr="000A0A5F" w:rsidRDefault="00985056" w:rsidP="00985056">
            <w:pPr>
              <w:pStyle w:val="TAL"/>
              <w:rPr>
                <w:rFonts w:eastAsia="Times New Roman"/>
              </w:rPr>
            </w:pPr>
            <w:r w:rsidRPr="000A0A5F">
              <w:rPr>
                <w:rFonts w:eastAsia="Times New Roman"/>
              </w:rPr>
              <w:t>transferPolicies</w:t>
            </w:r>
          </w:p>
        </w:tc>
        <w:tc>
          <w:tcPr>
            <w:tcW w:w="2126" w:type="dxa"/>
            <w:shd w:val="clear" w:color="auto" w:fill="auto"/>
          </w:tcPr>
          <w:p w:rsidR="00985056" w:rsidRPr="000A0A5F" w:rsidRDefault="00985056" w:rsidP="00985056">
            <w:pPr>
              <w:pStyle w:val="TAL"/>
              <w:rPr>
                <w:rFonts w:eastAsia="Times New Roman"/>
              </w:rPr>
            </w:pPr>
            <w:r w:rsidRPr="000A0A5F">
              <w:rPr>
                <w:rFonts w:eastAsia="Times New Roman"/>
              </w:rPr>
              <w:t>array(TransferPolicy)</w:t>
            </w:r>
          </w:p>
        </w:tc>
        <w:tc>
          <w:tcPr>
            <w:tcW w:w="1276" w:type="dxa"/>
            <w:shd w:val="clear" w:color="auto" w:fill="auto"/>
          </w:tcPr>
          <w:p w:rsidR="00985056" w:rsidRPr="000A0A5F" w:rsidRDefault="00985056" w:rsidP="00985056">
            <w:pPr>
              <w:pStyle w:val="TAL"/>
              <w:rPr>
                <w:rFonts w:eastAsia="Times New Roman"/>
              </w:rPr>
            </w:pPr>
            <w:r w:rsidRPr="000A0A5F">
              <w:rPr>
                <w:rFonts w:eastAsia="Times New Roman"/>
              </w:rPr>
              <w:t>0..N</w:t>
            </w:r>
          </w:p>
        </w:tc>
        <w:tc>
          <w:tcPr>
            <w:tcW w:w="2995" w:type="dxa"/>
            <w:shd w:val="clear" w:color="auto" w:fill="auto"/>
          </w:tcPr>
          <w:p w:rsidR="00985056" w:rsidRPr="000A0A5F" w:rsidRDefault="00985056" w:rsidP="00985056">
            <w:pPr>
              <w:pStyle w:val="TAL"/>
              <w:rPr>
                <w:rFonts w:eastAsia="Times New Roman" w:cs="Arial"/>
                <w:szCs w:val="18"/>
              </w:rPr>
            </w:pPr>
            <w:r w:rsidRPr="000A0A5F">
              <w:rPr>
                <w:rFonts w:cs="Arial" w:hint="eastAsia"/>
                <w:szCs w:val="18"/>
                <w:lang w:eastAsia="zh-CN"/>
              </w:rPr>
              <w:t xml:space="preserve">Identifies </w:t>
            </w:r>
            <w:r w:rsidRPr="000A0A5F">
              <w:t>an offered transfer policy.</w:t>
            </w:r>
          </w:p>
        </w:tc>
        <w:tc>
          <w:tcPr>
            <w:tcW w:w="1257" w:type="dxa"/>
          </w:tcPr>
          <w:p w:rsidR="00985056" w:rsidRPr="000A0A5F" w:rsidRDefault="00985056" w:rsidP="00985056">
            <w:pPr>
              <w:pStyle w:val="TAL"/>
              <w:rPr>
                <w:rFonts w:eastAsia="Times New Roman" w:cs="Arial"/>
                <w:szCs w:val="18"/>
              </w:rPr>
            </w:pPr>
          </w:p>
        </w:tc>
      </w:tr>
      <w:tr w:rsidR="00985056" w:rsidRPr="000A0A5F" w:rsidTr="00FF0AF8">
        <w:trPr>
          <w:jc w:val="center"/>
        </w:trPr>
        <w:tc>
          <w:tcPr>
            <w:tcW w:w="1948" w:type="dxa"/>
            <w:shd w:val="clear" w:color="auto" w:fill="auto"/>
          </w:tcPr>
          <w:p w:rsidR="00985056" w:rsidRPr="000A0A5F" w:rsidRDefault="00985056" w:rsidP="00985056">
            <w:pPr>
              <w:pStyle w:val="TAL"/>
              <w:rPr>
                <w:rFonts w:eastAsia="Times New Roman"/>
              </w:rPr>
            </w:pPr>
            <w:r w:rsidRPr="000A0A5F">
              <w:rPr>
                <w:rFonts w:eastAsia="Times New Roman"/>
              </w:rPr>
              <w:t>selectedPolicy</w:t>
            </w:r>
          </w:p>
        </w:tc>
        <w:tc>
          <w:tcPr>
            <w:tcW w:w="2126" w:type="dxa"/>
            <w:shd w:val="clear" w:color="auto" w:fill="auto"/>
          </w:tcPr>
          <w:p w:rsidR="00985056" w:rsidRPr="000A0A5F" w:rsidRDefault="00985056" w:rsidP="00985056">
            <w:pPr>
              <w:pStyle w:val="TAL"/>
              <w:rPr>
                <w:rFonts w:eastAsia="Times New Roman"/>
              </w:rPr>
            </w:pPr>
            <w:r w:rsidRPr="000A0A5F">
              <w:rPr>
                <w:rFonts w:eastAsia="Times New Roman"/>
              </w:rPr>
              <w:t>integer</w:t>
            </w:r>
          </w:p>
        </w:tc>
        <w:tc>
          <w:tcPr>
            <w:tcW w:w="1276" w:type="dxa"/>
            <w:shd w:val="clear" w:color="auto" w:fill="auto"/>
          </w:tcPr>
          <w:p w:rsidR="00985056" w:rsidRPr="000A0A5F" w:rsidRDefault="00985056" w:rsidP="00985056">
            <w:pPr>
              <w:pStyle w:val="TAL"/>
              <w:rPr>
                <w:rFonts w:eastAsia="Times New Roman"/>
              </w:rPr>
            </w:pPr>
            <w:r w:rsidRPr="000A0A5F">
              <w:rPr>
                <w:rFonts w:eastAsia="Times New Roman"/>
              </w:rPr>
              <w:t>0..1</w:t>
            </w:r>
          </w:p>
        </w:tc>
        <w:tc>
          <w:tcPr>
            <w:tcW w:w="2995" w:type="dxa"/>
            <w:shd w:val="clear" w:color="auto" w:fill="auto"/>
          </w:tcPr>
          <w:p w:rsidR="00985056" w:rsidRPr="000A0A5F" w:rsidRDefault="00985056" w:rsidP="00985056">
            <w:pPr>
              <w:pStyle w:val="TAL"/>
              <w:rPr>
                <w:rFonts w:cs="Arial" w:hint="eastAsia"/>
                <w:szCs w:val="18"/>
                <w:lang w:eastAsia="zh-CN"/>
              </w:rPr>
            </w:pPr>
            <w:r w:rsidRPr="000A0A5F">
              <w:rPr>
                <w:rFonts w:cs="Arial"/>
                <w:szCs w:val="18"/>
                <w:lang w:eastAsia="zh-CN"/>
              </w:rPr>
              <w:t>Identity of the selected background data transfer policy. Shall not be present in initial message exchange, can be provided by NF service consumer in a subsequent message exchange.</w:t>
            </w:r>
          </w:p>
        </w:tc>
        <w:tc>
          <w:tcPr>
            <w:tcW w:w="1257" w:type="dxa"/>
          </w:tcPr>
          <w:p w:rsidR="00985056" w:rsidRPr="000A0A5F" w:rsidRDefault="00985056" w:rsidP="00985056">
            <w:pPr>
              <w:pStyle w:val="TAL"/>
              <w:rPr>
                <w:rFonts w:eastAsia="Times New Roman" w:cs="Arial"/>
                <w:szCs w:val="18"/>
              </w:rPr>
            </w:pPr>
          </w:p>
        </w:tc>
      </w:tr>
      <w:tr w:rsidR="00985056" w:rsidRPr="000A0A5F" w:rsidTr="00FF0AF8">
        <w:trPr>
          <w:jc w:val="center"/>
        </w:trPr>
        <w:tc>
          <w:tcPr>
            <w:tcW w:w="1948" w:type="dxa"/>
            <w:shd w:val="clear" w:color="auto" w:fill="auto"/>
          </w:tcPr>
          <w:p w:rsidR="00985056" w:rsidRPr="000A0A5F" w:rsidRDefault="00985056" w:rsidP="00985056">
            <w:pPr>
              <w:pStyle w:val="TAL"/>
              <w:rPr>
                <w:rFonts w:eastAsia="Times New Roman"/>
              </w:rPr>
            </w:pPr>
            <w:r w:rsidRPr="000A0A5F">
              <w:rPr>
                <w:lang w:eastAsia="zh-CN"/>
              </w:rPr>
              <w:t>e</w:t>
            </w:r>
            <w:r w:rsidRPr="000A0A5F">
              <w:rPr>
                <w:rFonts w:hint="eastAsia"/>
                <w:lang w:eastAsia="zh-CN"/>
              </w:rPr>
              <w:t>xternalGroup</w:t>
            </w:r>
            <w:r w:rsidRPr="000A0A5F">
              <w:rPr>
                <w:lang w:eastAsia="zh-CN"/>
              </w:rPr>
              <w:t>Id</w:t>
            </w:r>
          </w:p>
        </w:tc>
        <w:tc>
          <w:tcPr>
            <w:tcW w:w="2126" w:type="dxa"/>
            <w:shd w:val="clear" w:color="auto" w:fill="auto"/>
          </w:tcPr>
          <w:p w:rsidR="00985056" w:rsidRPr="000A0A5F" w:rsidRDefault="00985056" w:rsidP="00985056">
            <w:pPr>
              <w:pStyle w:val="TAL"/>
              <w:rPr>
                <w:rFonts w:eastAsia="Times New Roman"/>
              </w:rPr>
            </w:pPr>
            <w:r w:rsidRPr="000A0A5F">
              <w:rPr>
                <w:lang w:eastAsia="zh-CN"/>
              </w:rPr>
              <w:t>ExternalGroupId</w:t>
            </w:r>
          </w:p>
        </w:tc>
        <w:tc>
          <w:tcPr>
            <w:tcW w:w="1276" w:type="dxa"/>
            <w:shd w:val="clear" w:color="auto" w:fill="auto"/>
          </w:tcPr>
          <w:p w:rsidR="00985056" w:rsidRPr="000A0A5F" w:rsidRDefault="00985056" w:rsidP="00985056">
            <w:pPr>
              <w:pStyle w:val="TAL"/>
              <w:rPr>
                <w:rFonts w:eastAsia="Times New Roman"/>
              </w:rPr>
            </w:pPr>
            <w:r w:rsidRPr="000A0A5F">
              <w:rPr>
                <w:rFonts w:eastAsia="Times New Roman"/>
              </w:rPr>
              <w:t>0..1</w:t>
            </w:r>
          </w:p>
        </w:tc>
        <w:tc>
          <w:tcPr>
            <w:tcW w:w="2995" w:type="dxa"/>
            <w:shd w:val="clear" w:color="auto" w:fill="auto"/>
          </w:tcPr>
          <w:p w:rsidR="00985056" w:rsidRPr="000A0A5F" w:rsidRDefault="00985056" w:rsidP="00985056">
            <w:pPr>
              <w:pStyle w:val="TAL"/>
              <w:rPr>
                <w:rFonts w:cs="Arial"/>
                <w:szCs w:val="18"/>
                <w:lang w:eastAsia="zh-CN"/>
              </w:rPr>
            </w:pPr>
            <w:r w:rsidRPr="000A0A5F">
              <w:rPr>
                <w:rFonts w:eastAsia="Times New Roman" w:cs="Arial"/>
                <w:szCs w:val="18"/>
              </w:rPr>
              <w:t xml:space="preserve">Identifies a group of users. </w:t>
            </w:r>
            <w:r w:rsidRPr="000A0A5F">
              <w:rPr>
                <w:rFonts w:cs="Arial"/>
                <w:szCs w:val="18"/>
                <w:lang w:eastAsia="zh-CN"/>
              </w:rPr>
              <w:t>(NOTE</w:t>
            </w:r>
            <w:r w:rsidRPr="000A0A5F">
              <w:rPr>
                <w:rFonts w:cs="Arial"/>
                <w:szCs w:val="18"/>
                <w:lang w:val="en-US" w:eastAsia="zh-CN"/>
              </w:rPr>
              <w:t> 2</w:t>
            </w:r>
            <w:r w:rsidRPr="000A0A5F">
              <w:rPr>
                <w:rFonts w:cs="Arial" w:hint="eastAsia"/>
                <w:szCs w:val="18"/>
                <w:lang w:val="en-US" w:eastAsia="zh-CN"/>
              </w:rPr>
              <w:t>)</w:t>
            </w:r>
          </w:p>
        </w:tc>
        <w:tc>
          <w:tcPr>
            <w:tcW w:w="1257" w:type="dxa"/>
          </w:tcPr>
          <w:p w:rsidR="00985056" w:rsidRPr="000A0A5F" w:rsidRDefault="00985056" w:rsidP="00985056">
            <w:pPr>
              <w:pStyle w:val="TAL"/>
              <w:rPr>
                <w:rFonts w:eastAsia="Times New Roman" w:cs="Arial"/>
                <w:szCs w:val="18"/>
              </w:rPr>
            </w:pPr>
            <w:r w:rsidRPr="000A0A5F">
              <w:rPr>
                <w:rFonts w:eastAsia="Times New Roman" w:cs="Arial"/>
                <w:szCs w:val="18"/>
              </w:rPr>
              <w:t>Group_Id</w:t>
            </w:r>
          </w:p>
        </w:tc>
      </w:tr>
      <w:tr w:rsidR="00985056" w:rsidRPr="000A0A5F" w:rsidTr="00FF0AF8">
        <w:trPr>
          <w:jc w:val="center"/>
        </w:trPr>
        <w:tc>
          <w:tcPr>
            <w:tcW w:w="1948" w:type="dxa"/>
            <w:shd w:val="clear" w:color="auto" w:fill="auto"/>
          </w:tcPr>
          <w:p w:rsidR="00985056" w:rsidRPr="000A0A5F" w:rsidRDefault="00985056" w:rsidP="00985056">
            <w:pPr>
              <w:pStyle w:val="TAL"/>
              <w:rPr>
                <w:lang w:eastAsia="zh-CN"/>
              </w:rPr>
            </w:pPr>
            <w:r w:rsidRPr="000A0A5F">
              <w:t>notificationDestination</w:t>
            </w:r>
          </w:p>
        </w:tc>
        <w:tc>
          <w:tcPr>
            <w:tcW w:w="2126" w:type="dxa"/>
            <w:shd w:val="clear" w:color="auto" w:fill="auto"/>
          </w:tcPr>
          <w:p w:rsidR="00985056" w:rsidRPr="000A0A5F" w:rsidRDefault="00985056" w:rsidP="00985056">
            <w:pPr>
              <w:pStyle w:val="TAL"/>
              <w:rPr>
                <w:lang w:eastAsia="zh-CN"/>
              </w:rPr>
            </w:pPr>
            <w:r w:rsidRPr="000A0A5F">
              <w:rPr>
                <w:rFonts w:hint="eastAsia"/>
                <w:lang w:eastAsia="zh-CN"/>
              </w:rPr>
              <w:t>Link</w:t>
            </w:r>
          </w:p>
        </w:tc>
        <w:tc>
          <w:tcPr>
            <w:tcW w:w="1276" w:type="dxa"/>
            <w:shd w:val="clear" w:color="auto" w:fill="auto"/>
          </w:tcPr>
          <w:p w:rsidR="00985056" w:rsidRPr="000A0A5F" w:rsidRDefault="00985056" w:rsidP="00985056">
            <w:pPr>
              <w:pStyle w:val="TAL"/>
              <w:rPr>
                <w:rFonts w:eastAsia="Times New Roman"/>
              </w:rPr>
            </w:pPr>
            <w:r w:rsidRPr="000A0A5F">
              <w:rPr>
                <w:lang w:eastAsia="zh-CN"/>
              </w:rPr>
              <w:t>0..</w:t>
            </w:r>
            <w:r w:rsidRPr="000A0A5F">
              <w:rPr>
                <w:rFonts w:hint="eastAsia"/>
                <w:lang w:eastAsia="zh-CN"/>
              </w:rPr>
              <w:t>1</w:t>
            </w:r>
          </w:p>
        </w:tc>
        <w:tc>
          <w:tcPr>
            <w:tcW w:w="2995" w:type="dxa"/>
            <w:shd w:val="clear" w:color="auto" w:fill="auto"/>
          </w:tcPr>
          <w:p w:rsidR="00985056" w:rsidRPr="000A0A5F" w:rsidRDefault="00985056" w:rsidP="00985056">
            <w:pPr>
              <w:pStyle w:val="TAL"/>
              <w:rPr>
                <w:rFonts w:eastAsia="Times New Roman" w:cs="Arial"/>
                <w:szCs w:val="18"/>
              </w:rPr>
            </w:pPr>
            <w:r w:rsidRPr="000A0A5F">
              <w:rPr>
                <w:rFonts w:cs="Arial" w:hint="eastAsia"/>
                <w:szCs w:val="18"/>
                <w:lang w:eastAsia="zh-CN"/>
              </w:rPr>
              <w:t>Contains the UR</w:t>
            </w:r>
            <w:r w:rsidRPr="000A0A5F">
              <w:rPr>
                <w:rFonts w:cs="Arial"/>
                <w:szCs w:val="18"/>
                <w:lang w:eastAsia="zh-CN"/>
              </w:rPr>
              <w:t>I</w:t>
            </w:r>
            <w:r w:rsidRPr="000A0A5F">
              <w:rPr>
                <w:rFonts w:cs="Arial" w:hint="eastAsia"/>
                <w:szCs w:val="18"/>
                <w:lang w:eastAsia="zh-CN"/>
              </w:rPr>
              <w:t xml:space="preserve"> to receive the </w:t>
            </w:r>
            <w:r w:rsidRPr="000A0A5F">
              <w:rPr>
                <w:rFonts w:cs="Arial"/>
                <w:szCs w:val="18"/>
                <w:lang w:eastAsia="zh-CN"/>
              </w:rPr>
              <w:t xml:space="preserve">BDT </w:t>
            </w:r>
            <w:r w:rsidRPr="000A0A5F">
              <w:rPr>
                <w:rFonts w:cs="Arial" w:hint="eastAsia"/>
                <w:szCs w:val="18"/>
                <w:lang w:eastAsia="zh-CN"/>
              </w:rPr>
              <w:t>notification</w:t>
            </w:r>
            <w:r w:rsidRPr="000A0A5F">
              <w:rPr>
                <w:rFonts w:cs="Arial"/>
                <w:szCs w:val="18"/>
                <w:lang w:eastAsia="zh-CN"/>
              </w:rPr>
              <w:t xml:space="preserve"> from the NEF.</w:t>
            </w:r>
          </w:p>
        </w:tc>
        <w:tc>
          <w:tcPr>
            <w:tcW w:w="1257" w:type="dxa"/>
          </w:tcPr>
          <w:p w:rsidR="00985056" w:rsidRPr="000A0A5F" w:rsidRDefault="00985056" w:rsidP="00985056">
            <w:pPr>
              <w:pStyle w:val="TAL"/>
              <w:rPr>
                <w:rFonts w:eastAsia="Times New Roman" w:cs="Arial"/>
                <w:szCs w:val="18"/>
              </w:rPr>
            </w:pPr>
            <w:r w:rsidRPr="000A0A5F">
              <w:rPr>
                <w:rFonts w:cs="Arial"/>
                <w:szCs w:val="18"/>
                <w:lang w:eastAsia="zh-CN"/>
              </w:rPr>
              <w:t>BdtNotification</w:t>
            </w:r>
            <w:r w:rsidRPr="000A0A5F">
              <w:rPr>
                <w:rFonts w:cs="Arial" w:hint="eastAsia"/>
                <w:szCs w:val="18"/>
                <w:lang w:eastAsia="zh-CN"/>
              </w:rPr>
              <w:t>_5G</w:t>
            </w:r>
          </w:p>
        </w:tc>
      </w:tr>
      <w:tr w:rsidR="00985056" w:rsidRPr="000A0A5F" w:rsidTr="00FF0AF8">
        <w:trPr>
          <w:jc w:val="center"/>
        </w:trPr>
        <w:tc>
          <w:tcPr>
            <w:tcW w:w="1948" w:type="dxa"/>
            <w:shd w:val="clear" w:color="auto" w:fill="auto"/>
          </w:tcPr>
          <w:p w:rsidR="00985056" w:rsidRPr="000A0A5F" w:rsidRDefault="00985056" w:rsidP="00985056">
            <w:pPr>
              <w:pStyle w:val="TAL"/>
            </w:pPr>
            <w:r w:rsidRPr="000A0A5F">
              <w:t>warnNotifEnabled</w:t>
            </w:r>
          </w:p>
        </w:tc>
        <w:tc>
          <w:tcPr>
            <w:tcW w:w="2126" w:type="dxa"/>
            <w:shd w:val="clear" w:color="auto" w:fill="auto"/>
          </w:tcPr>
          <w:p w:rsidR="00985056" w:rsidRPr="000A0A5F" w:rsidRDefault="00985056" w:rsidP="00985056">
            <w:pPr>
              <w:pStyle w:val="TAL"/>
              <w:rPr>
                <w:rFonts w:hint="eastAsia"/>
                <w:lang w:eastAsia="zh-CN"/>
              </w:rPr>
            </w:pPr>
            <w:r w:rsidRPr="000A0A5F">
              <w:rPr>
                <w:lang w:eastAsia="zh-CN"/>
              </w:rPr>
              <w:t>boolean</w:t>
            </w:r>
          </w:p>
        </w:tc>
        <w:tc>
          <w:tcPr>
            <w:tcW w:w="1276" w:type="dxa"/>
            <w:shd w:val="clear" w:color="auto" w:fill="auto"/>
          </w:tcPr>
          <w:p w:rsidR="00985056" w:rsidRPr="000A0A5F" w:rsidRDefault="00985056" w:rsidP="00985056">
            <w:pPr>
              <w:pStyle w:val="TAL"/>
              <w:rPr>
                <w:lang w:eastAsia="zh-CN"/>
              </w:rPr>
            </w:pPr>
            <w:r w:rsidRPr="000A0A5F">
              <w:rPr>
                <w:lang w:eastAsia="zh-CN"/>
              </w:rPr>
              <w:t>0..1</w:t>
            </w:r>
          </w:p>
        </w:tc>
        <w:tc>
          <w:tcPr>
            <w:tcW w:w="2995" w:type="dxa"/>
            <w:shd w:val="clear" w:color="auto" w:fill="auto"/>
          </w:tcPr>
          <w:p w:rsidR="00985056" w:rsidRPr="000A0A5F" w:rsidRDefault="00985056" w:rsidP="00985056">
            <w:pPr>
              <w:pStyle w:val="TAL"/>
              <w:rPr>
                <w:rFonts w:cs="Arial" w:hint="eastAsia"/>
                <w:szCs w:val="18"/>
                <w:lang w:eastAsia="zh-CN"/>
              </w:rPr>
            </w:pPr>
            <w:r w:rsidRPr="000A0A5F">
              <w:rPr>
                <w:rFonts w:cs="Arial"/>
                <w:szCs w:val="18"/>
                <w:lang w:eastAsia="zh-CN"/>
              </w:rPr>
              <w:t>Indicates whether the BDT warning notification is enabled or not.</w:t>
            </w:r>
          </w:p>
          <w:p w:rsidR="00985056" w:rsidRPr="000A0A5F" w:rsidRDefault="00985056" w:rsidP="00985056">
            <w:pPr>
              <w:pStyle w:val="TAL"/>
              <w:rPr>
                <w:rFonts w:cs="Arial" w:hint="eastAsia"/>
                <w:szCs w:val="18"/>
                <w:lang w:eastAsia="zh-CN"/>
              </w:rPr>
            </w:pPr>
            <w:r w:rsidRPr="000A0A5F">
              <w:rPr>
                <w:rFonts w:cs="Arial"/>
                <w:szCs w:val="18"/>
                <w:lang w:eastAsia="zh-CN"/>
              </w:rPr>
              <w:t>If it is set to true, the BDT warning notification is enabled; if it is set to false or absent, the BDT warning notification is disabled.</w:t>
            </w:r>
          </w:p>
        </w:tc>
        <w:tc>
          <w:tcPr>
            <w:tcW w:w="1257" w:type="dxa"/>
          </w:tcPr>
          <w:p w:rsidR="00985056" w:rsidRPr="000A0A5F" w:rsidRDefault="00985056" w:rsidP="00985056">
            <w:pPr>
              <w:pStyle w:val="TAL"/>
              <w:rPr>
                <w:rFonts w:cs="Arial" w:hint="eastAsia"/>
                <w:szCs w:val="18"/>
                <w:lang w:eastAsia="zh-CN"/>
              </w:rPr>
            </w:pPr>
            <w:r w:rsidRPr="000A0A5F">
              <w:rPr>
                <w:rFonts w:cs="Arial"/>
                <w:szCs w:val="18"/>
                <w:lang w:eastAsia="zh-CN"/>
              </w:rPr>
              <w:t>BdtNotification</w:t>
            </w:r>
            <w:r w:rsidRPr="000A0A5F">
              <w:rPr>
                <w:rFonts w:cs="Arial" w:hint="eastAsia"/>
                <w:szCs w:val="18"/>
                <w:lang w:eastAsia="zh-CN"/>
              </w:rPr>
              <w:t>_5G</w:t>
            </w:r>
          </w:p>
        </w:tc>
      </w:tr>
      <w:tr w:rsidR="00985056" w:rsidRPr="000A0A5F" w:rsidTr="00FF0AF8">
        <w:trPr>
          <w:jc w:val="center"/>
        </w:trPr>
        <w:tc>
          <w:tcPr>
            <w:tcW w:w="1948" w:type="dxa"/>
            <w:shd w:val="clear" w:color="auto" w:fill="auto"/>
          </w:tcPr>
          <w:p w:rsidR="00985056" w:rsidRPr="000A0A5F" w:rsidRDefault="00985056" w:rsidP="00985056">
            <w:pPr>
              <w:pStyle w:val="TAL"/>
            </w:pPr>
            <w:r w:rsidRPr="000A0A5F">
              <w:rPr>
                <w:rFonts w:hint="eastAsia"/>
                <w:lang w:eastAsia="zh-CN"/>
              </w:rPr>
              <w:t>t</w:t>
            </w:r>
            <w:r w:rsidRPr="000A0A5F">
              <w:rPr>
                <w:lang w:eastAsia="zh-CN"/>
              </w:rPr>
              <w:t>rafficDes</w:t>
            </w:r>
          </w:p>
        </w:tc>
        <w:tc>
          <w:tcPr>
            <w:tcW w:w="2126" w:type="dxa"/>
            <w:shd w:val="clear" w:color="auto" w:fill="auto"/>
          </w:tcPr>
          <w:p w:rsidR="00985056" w:rsidRPr="000A0A5F" w:rsidRDefault="00985056" w:rsidP="00985056">
            <w:pPr>
              <w:pStyle w:val="TAL"/>
              <w:rPr>
                <w:lang w:eastAsia="zh-CN"/>
              </w:rPr>
            </w:pPr>
            <w:r w:rsidRPr="000A0A5F">
              <w:rPr>
                <w:rFonts w:hint="eastAsia"/>
                <w:lang w:eastAsia="zh-CN"/>
              </w:rPr>
              <w:t>T</w:t>
            </w:r>
            <w:r w:rsidRPr="000A0A5F">
              <w:rPr>
                <w:lang w:eastAsia="zh-CN"/>
              </w:rPr>
              <w:t>rafficDescriptor</w:t>
            </w:r>
          </w:p>
        </w:tc>
        <w:tc>
          <w:tcPr>
            <w:tcW w:w="1276" w:type="dxa"/>
            <w:shd w:val="clear" w:color="auto" w:fill="auto"/>
          </w:tcPr>
          <w:p w:rsidR="00985056" w:rsidRPr="000A0A5F" w:rsidRDefault="00985056" w:rsidP="00985056">
            <w:pPr>
              <w:pStyle w:val="TAL"/>
              <w:rPr>
                <w:lang w:eastAsia="zh-CN"/>
              </w:rPr>
            </w:pPr>
            <w:r w:rsidRPr="000A0A5F">
              <w:rPr>
                <w:lang w:eastAsia="zh-CN"/>
              </w:rPr>
              <w:t>0..1</w:t>
            </w:r>
          </w:p>
        </w:tc>
        <w:tc>
          <w:tcPr>
            <w:tcW w:w="2995" w:type="dxa"/>
            <w:shd w:val="clear" w:color="auto" w:fill="auto"/>
          </w:tcPr>
          <w:p w:rsidR="00985056" w:rsidRPr="000A0A5F" w:rsidRDefault="00985056" w:rsidP="00985056">
            <w:pPr>
              <w:pStyle w:val="TAL"/>
              <w:rPr>
                <w:rFonts w:cs="Arial"/>
                <w:szCs w:val="18"/>
                <w:lang w:eastAsia="zh-CN"/>
              </w:rPr>
            </w:pPr>
            <w:r w:rsidRPr="000A0A5F">
              <w:rPr>
                <w:rFonts w:cs="Arial" w:hint="eastAsia"/>
                <w:szCs w:val="18"/>
                <w:lang w:eastAsia="zh-CN"/>
              </w:rPr>
              <w:t>C</w:t>
            </w:r>
            <w:r w:rsidRPr="000A0A5F">
              <w:rPr>
                <w:rFonts w:cs="Arial"/>
                <w:szCs w:val="18"/>
                <w:lang w:eastAsia="zh-CN"/>
              </w:rPr>
              <w:t>ontains the traffic descriptor of the background data. (NOTE</w:t>
            </w:r>
            <w:r w:rsidRPr="000A0A5F">
              <w:rPr>
                <w:rFonts w:cs="Arial"/>
                <w:szCs w:val="18"/>
                <w:lang w:val="en-US" w:eastAsia="zh-CN"/>
              </w:rPr>
              <w:t> 2</w:t>
            </w:r>
            <w:r w:rsidRPr="000A0A5F">
              <w:rPr>
                <w:rFonts w:cs="Arial" w:hint="eastAsia"/>
                <w:szCs w:val="18"/>
                <w:lang w:val="en-US" w:eastAsia="zh-CN"/>
              </w:rPr>
              <w:t>)</w:t>
            </w:r>
          </w:p>
        </w:tc>
        <w:tc>
          <w:tcPr>
            <w:tcW w:w="1257" w:type="dxa"/>
          </w:tcPr>
          <w:p w:rsidR="00985056" w:rsidRPr="000A0A5F" w:rsidRDefault="00985056" w:rsidP="00985056">
            <w:pPr>
              <w:pStyle w:val="TAL"/>
              <w:rPr>
                <w:rFonts w:cs="Arial"/>
                <w:szCs w:val="18"/>
                <w:lang w:eastAsia="zh-CN"/>
              </w:rPr>
            </w:pPr>
          </w:p>
        </w:tc>
      </w:tr>
      <w:tr w:rsidR="00985056" w:rsidRPr="000A0A5F" w:rsidTr="00FF0AF8">
        <w:trPr>
          <w:jc w:val="center"/>
        </w:trPr>
        <w:tc>
          <w:tcPr>
            <w:tcW w:w="9602" w:type="dxa"/>
            <w:gridSpan w:val="5"/>
            <w:shd w:val="clear" w:color="auto" w:fill="auto"/>
          </w:tcPr>
          <w:p w:rsidR="00985056" w:rsidRPr="000A0A5F" w:rsidRDefault="00985056" w:rsidP="00985056">
            <w:pPr>
              <w:pStyle w:val="TAN"/>
            </w:pPr>
            <w:r w:rsidRPr="000A0A5F">
              <w:t>NOTE 1:</w:t>
            </w:r>
            <w:r w:rsidRPr="000A0A5F">
              <w:tab/>
              <w:t>Properties marked with a feature as defined in clause 5.4.4 are applicable as described in clause 5.2.7. If no feature are indicated, the related property applies for all the features.</w:t>
            </w:r>
          </w:p>
          <w:p w:rsidR="00985056" w:rsidRPr="000A0A5F" w:rsidRDefault="00985056" w:rsidP="00985056">
            <w:pPr>
              <w:pStyle w:val="TAN"/>
            </w:pPr>
            <w:r w:rsidRPr="000A0A5F">
              <w:t>NOTE 2:</w:t>
            </w:r>
            <w:r w:rsidRPr="000A0A5F">
              <w:tab/>
              <w:t>The attribute is only applicable to the NEF.</w:t>
            </w:r>
          </w:p>
        </w:tc>
      </w:tr>
    </w:tbl>
    <w:p w:rsidR="00CB0DD7" w:rsidRPr="000A0A5F" w:rsidRDefault="00CB0DD7"/>
    <w:p w:rsidR="00CB0DD7" w:rsidRPr="000A0A5F" w:rsidRDefault="00CB0DD7">
      <w:pPr>
        <w:pStyle w:val="Heading5"/>
      </w:pPr>
      <w:bookmarkStart w:id="2668" w:name="_Toc11247369"/>
      <w:bookmarkStart w:id="2669" w:name="_Toc27044491"/>
      <w:bookmarkStart w:id="2670" w:name="_Toc36033533"/>
      <w:bookmarkStart w:id="2671" w:name="_Toc45131665"/>
      <w:bookmarkStart w:id="2672" w:name="_Toc49775950"/>
      <w:bookmarkStart w:id="2673" w:name="_Toc51746870"/>
      <w:bookmarkStart w:id="2674" w:name="_Toc66360418"/>
      <w:bookmarkStart w:id="2675" w:name="_Toc68104923"/>
      <w:bookmarkStart w:id="2676" w:name="_Toc74755553"/>
      <w:bookmarkStart w:id="2677" w:name="_Toc105674426"/>
      <w:bookmarkStart w:id="2678" w:name="_Toc130502466"/>
      <w:bookmarkStart w:id="2679" w:name="_Toc153625253"/>
      <w:r w:rsidRPr="000A0A5F">
        <w:t>5.4.2.1.3</w:t>
      </w:r>
      <w:r w:rsidRPr="000A0A5F">
        <w:tab/>
        <w:t>Type: BdtPatch</w:t>
      </w:r>
      <w:bookmarkEnd w:id="2668"/>
      <w:bookmarkEnd w:id="2669"/>
      <w:bookmarkEnd w:id="2670"/>
      <w:bookmarkEnd w:id="2671"/>
      <w:bookmarkEnd w:id="2672"/>
      <w:bookmarkEnd w:id="2673"/>
      <w:bookmarkEnd w:id="2674"/>
      <w:bookmarkEnd w:id="2675"/>
      <w:bookmarkEnd w:id="2676"/>
      <w:bookmarkEnd w:id="2677"/>
      <w:bookmarkEnd w:id="2678"/>
      <w:bookmarkEnd w:id="2679"/>
    </w:p>
    <w:p w:rsidR="00CB0DD7" w:rsidRPr="000A0A5F" w:rsidRDefault="00CB0DD7">
      <w:r w:rsidRPr="000A0A5F">
        <w:t>This type represents a BDT request for the service provided by the SCS/AS to the SCEF via T8 interface. The structure is used for PATCH request.</w:t>
      </w:r>
    </w:p>
    <w:p w:rsidR="00CB0DD7" w:rsidRPr="000A0A5F" w:rsidRDefault="00CB0DD7">
      <w:pPr>
        <w:pStyle w:val="TH"/>
      </w:pPr>
      <w:r w:rsidRPr="000A0A5F">
        <w:rPr>
          <w:noProof/>
        </w:rPr>
        <w:t>Table </w:t>
      </w:r>
      <w:r w:rsidRPr="000A0A5F">
        <w:t xml:space="preserve">5.4.2.1.3-1: </w:t>
      </w:r>
      <w:r w:rsidRPr="000A0A5F">
        <w:rPr>
          <w:noProof/>
        </w:rPr>
        <w:t>Definition of type BdtPatch</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948"/>
        <w:gridCol w:w="2126"/>
        <w:gridCol w:w="1276"/>
        <w:gridCol w:w="2995"/>
        <w:gridCol w:w="1257"/>
      </w:tblGrid>
      <w:tr w:rsidR="00CB0DD7" w:rsidRPr="000A0A5F" w:rsidTr="00FF0AF8">
        <w:trPr>
          <w:jc w:val="center"/>
        </w:trPr>
        <w:tc>
          <w:tcPr>
            <w:tcW w:w="1948" w:type="dxa"/>
            <w:shd w:val="clear" w:color="auto" w:fill="C0C0C0"/>
          </w:tcPr>
          <w:p w:rsidR="00CB0DD7" w:rsidRPr="000A0A5F" w:rsidRDefault="00CB0DD7">
            <w:pPr>
              <w:pStyle w:val="TAH"/>
              <w:rPr>
                <w:rFonts w:eastAsia="Times New Roman"/>
              </w:rPr>
            </w:pPr>
            <w:r w:rsidRPr="000A0A5F">
              <w:rPr>
                <w:rFonts w:eastAsia="Times New Roman"/>
              </w:rPr>
              <w:t>Attribute name</w:t>
            </w:r>
          </w:p>
        </w:tc>
        <w:tc>
          <w:tcPr>
            <w:tcW w:w="2126" w:type="dxa"/>
            <w:shd w:val="clear" w:color="auto" w:fill="C0C0C0"/>
          </w:tcPr>
          <w:p w:rsidR="00CB0DD7" w:rsidRPr="000A0A5F" w:rsidRDefault="00CB0DD7">
            <w:pPr>
              <w:pStyle w:val="TAH"/>
              <w:rPr>
                <w:rFonts w:eastAsia="Times New Roman"/>
              </w:rPr>
            </w:pPr>
            <w:r w:rsidRPr="000A0A5F">
              <w:rPr>
                <w:rFonts w:eastAsia="Times New Roman"/>
              </w:rPr>
              <w:t>Data type</w:t>
            </w:r>
          </w:p>
        </w:tc>
        <w:tc>
          <w:tcPr>
            <w:tcW w:w="1276" w:type="dxa"/>
            <w:shd w:val="clear" w:color="auto" w:fill="C0C0C0"/>
          </w:tcPr>
          <w:p w:rsidR="00CB0DD7" w:rsidRPr="000A0A5F" w:rsidRDefault="00CB0DD7">
            <w:pPr>
              <w:pStyle w:val="TAH"/>
              <w:jc w:val="left"/>
              <w:rPr>
                <w:rFonts w:eastAsia="Times New Roman"/>
              </w:rPr>
            </w:pPr>
            <w:r w:rsidRPr="000A0A5F">
              <w:rPr>
                <w:rFonts w:eastAsia="Times New Roman"/>
              </w:rPr>
              <w:t>Cardinality</w:t>
            </w:r>
          </w:p>
        </w:tc>
        <w:tc>
          <w:tcPr>
            <w:tcW w:w="2995"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Description</w:t>
            </w:r>
          </w:p>
        </w:tc>
        <w:tc>
          <w:tcPr>
            <w:tcW w:w="1257"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Applicability (NOTE)</w:t>
            </w:r>
          </w:p>
        </w:tc>
      </w:tr>
      <w:tr w:rsidR="00CB0DD7" w:rsidRPr="000A0A5F" w:rsidTr="00FF0AF8">
        <w:trPr>
          <w:jc w:val="center"/>
        </w:trPr>
        <w:tc>
          <w:tcPr>
            <w:tcW w:w="1948" w:type="dxa"/>
            <w:shd w:val="clear" w:color="auto" w:fill="auto"/>
          </w:tcPr>
          <w:p w:rsidR="00CB0DD7" w:rsidRPr="000A0A5F" w:rsidRDefault="00CB0DD7">
            <w:pPr>
              <w:pStyle w:val="TAL"/>
              <w:rPr>
                <w:rFonts w:eastAsia="Times New Roman"/>
              </w:rPr>
            </w:pPr>
            <w:r w:rsidRPr="000A0A5F">
              <w:rPr>
                <w:rFonts w:eastAsia="Times New Roman"/>
              </w:rPr>
              <w:t>selectedPolicy</w:t>
            </w:r>
          </w:p>
        </w:tc>
        <w:tc>
          <w:tcPr>
            <w:tcW w:w="2126" w:type="dxa"/>
            <w:shd w:val="clear" w:color="auto" w:fill="auto"/>
          </w:tcPr>
          <w:p w:rsidR="00CB0DD7" w:rsidRPr="000A0A5F" w:rsidRDefault="00CB0DD7">
            <w:pPr>
              <w:pStyle w:val="TAL"/>
              <w:rPr>
                <w:rFonts w:eastAsia="Times New Roman"/>
              </w:rPr>
            </w:pPr>
            <w:r w:rsidRPr="000A0A5F">
              <w:rPr>
                <w:rFonts w:eastAsia="Times New Roman"/>
              </w:rPr>
              <w:t>integer</w:t>
            </w:r>
          </w:p>
        </w:tc>
        <w:tc>
          <w:tcPr>
            <w:tcW w:w="1276" w:type="dxa"/>
            <w:shd w:val="clear" w:color="auto" w:fill="auto"/>
          </w:tcPr>
          <w:p w:rsidR="00CB0DD7" w:rsidRPr="000A0A5F" w:rsidRDefault="00CB0DD7">
            <w:pPr>
              <w:pStyle w:val="TAL"/>
              <w:rPr>
                <w:rFonts w:eastAsia="Times New Roman"/>
              </w:rPr>
            </w:pPr>
            <w:r w:rsidRPr="000A0A5F">
              <w:rPr>
                <w:rFonts w:eastAsia="Times New Roman"/>
              </w:rPr>
              <w:t>1</w:t>
            </w:r>
          </w:p>
        </w:tc>
        <w:tc>
          <w:tcPr>
            <w:tcW w:w="2995" w:type="dxa"/>
            <w:shd w:val="clear" w:color="auto" w:fill="auto"/>
          </w:tcPr>
          <w:p w:rsidR="00CB0DD7" w:rsidRPr="000A0A5F" w:rsidRDefault="00CB0DD7">
            <w:pPr>
              <w:pStyle w:val="TAL"/>
              <w:rPr>
                <w:rFonts w:cs="Arial" w:hint="eastAsia"/>
                <w:szCs w:val="18"/>
                <w:lang w:eastAsia="zh-CN"/>
              </w:rPr>
            </w:pPr>
            <w:r w:rsidRPr="000A0A5F">
              <w:rPr>
                <w:rFonts w:cs="Arial"/>
                <w:szCs w:val="18"/>
                <w:lang w:eastAsia="zh-CN"/>
              </w:rPr>
              <w:t>Identity of the selected background data transfer policy.</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rPr>
                <w:rFonts w:eastAsia="Times New Roman"/>
              </w:rPr>
            </w:pPr>
            <w:r w:rsidRPr="000A0A5F">
              <w:t>warnNotifEnabled</w:t>
            </w:r>
          </w:p>
        </w:tc>
        <w:tc>
          <w:tcPr>
            <w:tcW w:w="2126" w:type="dxa"/>
            <w:shd w:val="clear" w:color="auto" w:fill="auto"/>
          </w:tcPr>
          <w:p w:rsidR="00CB0DD7" w:rsidRPr="000A0A5F" w:rsidRDefault="00CB0DD7">
            <w:pPr>
              <w:pStyle w:val="TAL"/>
              <w:rPr>
                <w:rFonts w:eastAsia="Times New Roman"/>
              </w:rPr>
            </w:pPr>
            <w:r w:rsidRPr="000A0A5F">
              <w:rPr>
                <w:lang w:eastAsia="zh-CN"/>
              </w:rPr>
              <w:t>boolean</w:t>
            </w:r>
          </w:p>
        </w:tc>
        <w:tc>
          <w:tcPr>
            <w:tcW w:w="1276" w:type="dxa"/>
            <w:shd w:val="clear" w:color="auto" w:fill="auto"/>
          </w:tcPr>
          <w:p w:rsidR="00CB0DD7" w:rsidRPr="000A0A5F" w:rsidRDefault="00CB0DD7">
            <w:pPr>
              <w:pStyle w:val="TAL"/>
              <w:rPr>
                <w:rFonts w:eastAsia="Times New Roman"/>
              </w:rPr>
            </w:pPr>
            <w:r w:rsidRPr="000A0A5F">
              <w:rPr>
                <w:lang w:eastAsia="zh-CN"/>
              </w:rPr>
              <w:t>0..1</w:t>
            </w:r>
          </w:p>
        </w:tc>
        <w:tc>
          <w:tcPr>
            <w:tcW w:w="2995" w:type="dxa"/>
            <w:shd w:val="clear" w:color="auto" w:fill="auto"/>
          </w:tcPr>
          <w:p w:rsidR="00A66584" w:rsidRPr="000A0A5F" w:rsidRDefault="00CB0DD7" w:rsidP="00A66584">
            <w:pPr>
              <w:pStyle w:val="TAL"/>
              <w:rPr>
                <w:rFonts w:cs="Arial"/>
                <w:szCs w:val="18"/>
                <w:lang w:eastAsia="zh-CN"/>
              </w:rPr>
            </w:pPr>
            <w:r w:rsidRPr="000A0A5F">
              <w:rPr>
                <w:rFonts w:cs="Arial"/>
                <w:szCs w:val="18"/>
                <w:lang w:eastAsia="zh-CN"/>
              </w:rPr>
              <w:t>Indicates whether the BDT warning notification is enabled</w:t>
            </w:r>
            <w:r w:rsidR="00A66584" w:rsidRPr="000A0A5F">
              <w:rPr>
                <w:rFonts w:cs="Arial"/>
                <w:szCs w:val="18"/>
                <w:lang w:eastAsia="zh-CN"/>
              </w:rPr>
              <w:t>.</w:t>
            </w:r>
          </w:p>
          <w:p w:rsidR="00A66584" w:rsidRPr="000A0A5F" w:rsidRDefault="00A66584" w:rsidP="00A66584">
            <w:pPr>
              <w:pStyle w:val="TAL"/>
              <w:rPr>
                <w:rFonts w:cs="Arial"/>
                <w:szCs w:val="18"/>
                <w:lang w:eastAsia="zh-CN"/>
              </w:rPr>
            </w:pPr>
          </w:p>
          <w:p w:rsidR="00A66584" w:rsidRPr="000A0A5F" w:rsidRDefault="00A66584" w:rsidP="00A66584">
            <w:pPr>
              <w:pStyle w:val="TAL"/>
            </w:pPr>
            <w:r w:rsidRPr="000A0A5F">
              <w:rPr>
                <w:lang w:eastAsia="zh-CN"/>
              </w:rPr>
              <w:t>- true: the BDT warning notification</w:t>
            </w:r>
            <w:r w:rsidRPr="000A0A5F">
              <w:t xml:space="preserve"> is enabled;</w:t>
            </w:r>
          </w:p>
          <w:p w:rsidR="00CB0DD7" w:rsidRPr="000A0A5F" w:rsidRDefault="00A66584" w:rsidP="00A66584">
            <w:pPr>
              <w:pStyle w:val="TAL"/>
              <w:rPr>
                <w:rFonts w:cs="Arial"/>
                <w:szCs w:val="18"/>
                <w:lang w:eastAsia="zh-CN"/>
              </w:rPr>
            </w:pPr>
            <w:r w:rsidRPr="000A0A5F">
              <w:rPr>
                <w:lang w:eastAsia="zh-CN"/>
              </w:rPr>
              <w:t>- false: the BDT warning notification</w:t>
            </w:r>
            <w:r w:rsidRPr="000A0A5F">
              <w:t xml:space="preserve"> is not enabled.</w:t>
            </w:r>
          </w:p>
        </w:tc>
        <w:tc>
          <w:tcPr>
            <w:tcW w:w="1257" w:type="dxa"/>
          </w:tcPr>
          <w:p w:rsidR="00CB0DD7" w:rsidRPr="000A0A5F" w:rsidRDefault="00CB0DD7">
            <w:pPr>
              <w:pStyle w:val="TAL"/>
              <w:rPr>
                <w:rFonts w:eastAsia="Times New Roman" w:cs="Arial"/>
                <w:szCs w:val="18"/>
              </w:rPr>
            </w:pPr>
            <w:r w:rsidRPr="000A0A5F">
              <w:rPr>
                <w:rFonts w:cs="Arial"/>
                <w:szCs w:val="18"/>
                <w:lang w:eastAsia="zh-CN"/>
              </w:rPr>
              <w:t>BdtNotification</w:t>
            </w:r>
            <w:r w:rsidRPr="000A0A5F">
              <w:rPr>
                <w:rFonts w:cs="Arial" w:hint="eastAsia"/>
                <w:szCs w:val="18"/>
                <w:lang w:eastAsia="zh-CN"/>
              </w:rPr>
              <w:t>_5G</w:t>
            </w:r>
          </w:p>
        </w:tc>
      </w:tr>
      <w:tr w:rsidR="00CB0DD7" w:rsidRPr="000A0A5F" w:rsidTr="00FF0AF8">
        <w:trPr>
          <w:jc w:val="center"/>
        </w:trPr>
        <w:tc>
          <w:tcPr>
            <w:tcW w:w="1948" w:type="dxa"/>
            <w:shd w:val="clear" w:color="auto" w:fill="auto"/>
          </w:tcPr>
          <w:p w:rsidR="00CB0DD7" w:rsidRPr="000A0A5F" w:rsidRDefault="00CB0DD7">
            <w:pPr>
              <w:pStyle w:val="TAL"/>
            </w:pPr>
            <w:r w:rsidRPr="000A0A5F">
              <w:t>notificationDestination</w:t>
            </w:r>
          </w:p>
        </w:tc>
        <w:tc>
          <w:tcPr>
            <w:tcW w:w="2126" w:type="dxa"/>
            <w:shd w:val="clear" w:color="auto" w:fill="auto"/>
          </w:tcPr>
          <w:p w:rsidR="00CB0DD7" w:rsidRPr="000A0A5F" w:rsidRDefault="00CB0DD7">
            <w:pPr>
              <w:pStyle w:val="TAL"/>
              <w:rPr>
                <w:lang w:eastAsia="zh-CN"/>
              </w:rPr>
            </w:pPr>
            <w:r w:rsidRPr="000A0A5F">
              <w:rPr>
                <w:rFonts w:hint="eastAsia"/>
                <w:lang w:eastAsia="zh-CN"/>
              </w:rPr>
              <w:t>Link</w:t>
            </w:r>
          </w:p>
        </w:tc>
        <w:tc>
          <w:tcPr>
            <w:tcW w:w="1276" w:type="dxa"/>
            <w:shd w:val="clear" w:color="auto" w:fill="auto"/>
          </w:tcPr>
          <w:p w:rsidR="00CB0DD7" w:rsidRPr="000A0A5F" w:rsidRDefault="00CB0DD7">
            <w:pPr>
              <w:pStyle w:val="TAL"/>
              <w:rPr>
                <w:lang w:eastAsia="zh-CN"/>
              </w:rPr>
            </w:pPr>
            <w:r w:rsidRPr="000A0A5F">
              <w:rPr>
                <w:lang w:eastAsia="zh-CN"/>
              </w:rPr>
              <w:t>0..</w:t>
            </w:r>
            <w:r w:rsidRPr="000A0A5F">
              <w:rPr>
                <w:rFonts w:hint="eastAsia"/>
                <w:lang w:eastAsia="zh-CN"/>
              </w:rPr>
              <w:t>1</w:t>
            </w:r>
          </w:p>
        </w:tc>
        <w:tc>
          <w:tcPr>
            <w:tcW w:w="2995" w:type="dxa"/>
            <w:shd w:val="clear" w:color="auto" w:fill="auto"/>
          </w:tcPr>
          <w:p w:rsidR="00CB0DD7" w:rsidRPr="000A0A5F" w:rsidRDefault="00CB0DD7">
            <w:pPr>
              <w:pStyle w:val="TAL"/>
              <w:rPr>
                <w:rFonts w:cs="Arial"/>
                <w:szCs w:val="18"/>
                <w:lang w:eastAsia="zh-CN"/>
              </w:rPr>
            </w:pPr>
            <w:r w:rsidRPr="000A0A5F">
              <w:rPr>
                <w:rFonts w:cs="Arial" w:hint="eastAsia"/>
                <w:szCs w:val="18"/>
                <w:lang w:eastAsia="zh-CN"/>
              </w:rPr>
              <w:t>Contains the UR</w:t>
            </w:r>
            <w:r w:rsidRPr="000A0A5F">
              <w:rPr>
                <w:rFonts w:cs="Arial"/>
                <w:szCs w:val="18"/>
                <w:lang w:eastAsia="zh-CN"/>
              </w:rPr>
              <w:t>I</w:t>
            </w:r>
            <w:r w:rsidRPr="000A0A5F">
              <w:rPr>
                <w:rFonts w:cs="Arial" w:hint="eastAsia"/>
                <w:szCs w:val="18"/>
                <w:lang w:eastAsia="zh-CN"/>
              </w:rPr>
              <w:t xml:space="preserve"> to receive the </w:t>
            </w:r>
            <w:r w:rsidRPr="000A0A5F">
              <w:rPr>
                <w:rFonts w:cs="Arial"/>
                <w:szCs w:val="18"/>
                <w:lang w:eastAsia="zh-CN"/>
              </w:rPr>
              <w:t xml:space="preserve">BDT </w:t>
            </w:r>
            <w:r w:rsidRPr="000A0A5F">
              <w:rPr>
                <w:rFonts w:cs="Arial" w:hint="eastAsia"/>
                <w:szCs w:val="18"/>
                <w:lang w:eastAsia="zh-CN"/>
              </w:rPr>
              <w:t>notification</w:t>
            </w:r>
            <w:r w:rsidRPr="000A0A5F">
              <w:rPr>
                <w:rFonts w:cs="Arial"/>
                <w:szCs w:val="18"/>
                <w:lang w:eastAsia="zh-CN"/>
              </w:rPr>
              <w:t xml:space="preserve"> from the NEF.</w:t>
            </w:r>
          </w:p>
        </w:tc>
        <w:tc>
          <w:tcPr>
            <w:tcW w:w="1257" w:type="dxa"/>
          </w:tcPr>
          <w:p w:rsidR="00CB0DD7" w:rsidRPr="000A0A5F" w:rsidRDefault="00CB0DD7">
            <w:pPr>
              <w:pStyle w:val="TAL"/>
              <w:rPr>
                <w:rFonts w:cs="Arial"/>
                <w:szCs w:val="18"/>
                <w:lang w:eastAsia="zh-CN"/>
              </w:rPr>
            </w:pPr>
            <w:r w:rsidRPr="000A0A5F">
              <w:rPr>
                <w:rFonts w:cs="Arial" w:hint="eastAsia"/>
                <w:szCs w:val="18"/>
                <w:lang w:eastAsia="zh-CN"/>
              </w:rPr>
              <w:t>e</w:t>
            </w:r>
            <w:r w:rsidRPr="000A0A5F">
              <w:rPr>
                <w:rFonts w:cs="Arial"/>
                <w:szCs w:val="18"/>
                <w:lang w:eastAsia="zh-CN"/>
              </w:rPr>
              <w:t>nNB</w:t>
            </w:r>
          </w:p>
        </w:tc>
      </w:tr>
      <w:tr w:rsidR="00CB0DD7" w:rsidRPr="000A0A5F" w:rsidTr="00FF0AF8">
        <w:trPr>
          <w:jc w:val="center"/>
        </w:trPr>
        <w:tc>
          <w:tcPr>
            <w:tcW w:w="9602" w:type="dxa"/>
            <w:gridSpan w:val="5"/>
            <w:shd w:val="clear" w:color="auto" w:fill="auto"/>
          </w:tcPr>
          <w:p w:rsidR="00CB0DD7" w:rsidRPr="000A0A5F" w:rsidRDefault="00CB0DD7">
            <w:pPr>
              <w:pStyle w:val="TAN"/>
            </w:pPr>
            <w:r w:rsidRPr="000A0A5F">
              <w:t>NOTE:</w:t>
            </w:r>
            <w:r w:rsidRPr="000A0A5F">
              <w:tab/>
              <w:t>Properties marked with a feature as defined in clause 5.4.4 are applicable as described in clause 5.2.7. If no feature are indicated, the related property applies for all the features.</w:t>
            </w:r>
          </w:p>
        </w:tc>
      </w:tr>
    </w:tbl>
    <w:p w:rsidR="00CB0DD7" w:rsidRPr="000A0A5F" w:rsidRDefault="00CB0DD7"/>
    <w:p w:rsidR="00CB0DD7" w:rsidRPr="000A0A5F" w:rsidRDefault="00CB0DD7">
      <w:pPr>
        <w:pStyle w:val="Heading5"/>
      </w:pPr>
      <w:bookmarkStart w:id="2680" w:name="_Toc11247370"/>
      <w:bookmarkStart w:id="2681" w:name="_Toc27044492"/>
      <w:bookmarkStart w:id="2682" w:name="_Toc36033534"/>
      <w:bookmarkStart w:id="2683" w:name="_Toc45131666"/>
      <w:bookmarkStart w:id="2684" w:name="_Toc49775951"/>
      <w:bookmarkStart w:id="2685" w:name="_Toc51746871"/>
      <w:bookmarkStart w:id="2686" w:name="_Toc66360419"/>
      <w:bookmarkStart w:id="2687" w:name="_Toc68104924"/>
      <w:bookmarkStart w:id="2688" w:name="_Toc74755554"/>
      <w:bookmarkStart w:id="2689" w:name="_Toc105674427"/>
      <w:bookmarkStart w:id="2690" w:name="_Toc130502467"/>
      <w:bookmarkStart w:id="2691" w:name="_Toc153625254"/>
      <w:r w:rsidRPr="000A0A5F">
        <w:t>5.4.2.1.4</w:t>
      </w:r>
      <w:r w:rsidRPr="000A0A5F">
        <w:tab/>
        <w:t>Type: ExNotification</w:t>
      </w:r>
      <w:bookmarkEnd w:id="2680"/>
      <w:bookmarkEnd w:id="2681"/>
      <w:bookmarkEnd w:id="2682"/>
      <w:bookmarkEnd w:id="2683"/>
      <w:bookmarkEnd w:id="2684"/>
      <w:bookmarkEnd w:id="2685"/>
      <w:bookmarkEnd w:id="2686"/>
      <w:bookmarkEnd w:id="2687"/>
      <w:bookmarkEnd w:id="2688"/>
      <w:bookmarkEnd w:id="2689"/>
      <w:bookmarkEnd w:id="2690"/>
      <w:bookmarkEnd w:id="2691"/>
    </w:p>
    <w:p w:rsidR="00CB0DD7" w:rsidRPr="000A0A5F" w:rsidRDefault="00CB0DD7">
      <w:r w:rsidRPr="000A0A5F">
        <w:t>This type represents a BDT notification provided by the NEF to the AF. The structure is used for POST request.</w:t>
      </w:r>
    </w:p>
    <w:p w:rsidR="00CB0DD7" w:rsidRPr="000A0A5F" w:rsidRDefault="00CB0DD7">
      <w:pPr>
        <w:pStyle w:val="TH"/>
      </w:pPr>
      <w:r w:rsidRPr="000A0A5F">
        <w:rPr>
          <w:noProof/>
        </w:rPr>
        <w:t>Table </w:t>
      </w:r>
      <w:r w:rsidRPr="000A0A5F">
        <w:t xml:space="preserve">5.4.2.1.4-1: </w:t>
      </w:r>
      <w:r w:rsidRPr="000A0A5F">
        <w:rPr>
          <w:noProof/>
        </w:rPr>
        <w:t>Definition of type ExNotification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948"/>
        <w:gridCol w:w="2126"/>
        <w:gridCol w:w="1276"/>
        <w:gridCol w:w="2995"/>
        <w:gridCol w:w="1257"/>
      </w:tblGrid>
      <w:tr w:rsidR="00CB0DD7" w:rsidRPr="000A0A5F" w:rsidTr="00FF0AF8">
        <w:trPr>
          <w:jc w:val="center"/>
        </w:trPr>
        <w:tc>
          <w:tcPr>
            <w:tcW w:w="1948" w:type="dxa"/>
            <w:shd w:val="clear" w:color="auto" w:fill="C0C0C0"/>
          </w:tcPr>
          <w:p w:rsidR="00CB0DD7" w:rsidRPr="000A0A5F" w:rsidRDefault="00CB0DD7">
            <w:pPr>
              <w:pStyle w:val="TAH"/>
              <w:rPr>
                <w:rFonts w:eastAsia="Times New Roman"/>
              </w:rPr>
            </w:pPr>
            <w:r w:rsidRPr="000A0A5F">
              <w:rPr>
                <w:rFonts w:eastAsia="Times New Roman"/>
              </w:rPr>
              <w:t>Attribute name</w:t>
            </w:r>
          </w:p>
        </w:tc>
        <w:tc>
          <w:tcPr>
            <w:tcW w:w="2126" w:type="dxa"/>
            <w:shd w:val="clear" w:color="auto" w:fill="C0C0C0"/>
          </w:tcPr>
          <w:p w:rsidR="00CB0DD7" w:rsidRPr="000A0A5F" w:rsidRDefault="00CB0DD7">
            <w:pPr>
              <w:pStyle w:val="TAH"/>
              <w:rPr>
                <w:rFonts w:eastAsia="Times New Roman"/>
              </w:rPr>
            </w:pPr>
            <w:r w:rsidRPr="000A0A5F">
              <w:rPr>
                <w:rFonts w:eastAsia="Times New Roman"/>
              </w:rPr>
              <w:t>Data type</w:t>
            </w:r>
          </w:p>
        </w:tc>
        <w:tc>
          <w:tcPr>
            <w:tcW w:w="1276" w:type="dxa"/>
            <w:shd w:val="clear" w:color="auto" w:fill="C0C0C0"/>
          </w:tcPr>
          <w:p w:rsidR="00CB0DD7" w:rsidRPr="000A0A5F" w:rsidRDefault="00CB0DD7">
            <w:pPr>
              <w:pStyle w:val="TAH"/>
              <w:jc w:val="left"/>
              <w:rPr>
                <w:rFonts w:eastAsia="Times New Roman"/>
              </w:rPr>
            </w:pPr>
            <w:r w:rsidRPr="000A0A5F">
              <w:rPr>
                <w:rFonts w:eastAsia="Times New Roman"/>
              </w:rPr>
              <w:t>Cardinality</w:t>
            </w:r>
          </w:p>
        </w:tc>
        <w:tc>
          <w:tcPr>
            <w:tcW w:w="2995"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Description</w:t>
            </w:r>
          </w:p>
        </w:tc>
        <w:tc>
          <w:tcPr>
            <w:tcW w:w="1257"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Applicability (NOTE)</w:t>
            </w:r>
          </w:p>
        </w:tc>
      </w:tr>
      <w:tr w:rsidR="00CB0DD7" w:rsidRPr="000A0A5F" w:rsidTr="00FF0AF8">
        <w:trPr>
          <w:jc w:val="center"/>
        </w:trPr>
        <w:tc>
          <w:tcPr>
            <w:tcW w:w="1948" w:type="dxa"/>
            <w:shd w:val="clear" w:color="auto" w:fill="auto"/>
          </w:tcPr>
          <w:p w:rsidR="00CB0DD7" w:rsidRPr="000A0A5F" w:rsidRDefault="00CB0DD7">
            <w:pPr>
              <w:pStyle w:val="TAL"/>
              <w:rPr>
                <w:rFonts w:eastAsia="Times New Roman"/>
              </w:rPr>
            </w:pPr>
            <w:r w:rsidRPr="000A0A5F">
              <w:t>bdtRefId</w:t>
            </w:r>
          </w:p>
        </w:tc>
        <w:tc>
          <w:tcPr>
            <w:tcW w:w="2126" w:type="dxa"/>
            <w:shd w:val="clear" w:color="auto" w:fill="auto"/>
          </w:tcPr>
          <w:p w:rsidR="00CB0DD7" w:rsidRPr="000A0A5F" w:rsidRDefault="00CB0DD7">
            <w:pPr>
              <w:pStyle w:val="TAL"/>
              <w:rPr>
                <w:rFonts w:eastAsia="Times New Roman"/>
              </w:rPr>
            </w:pPr>
            <w:r w:rsidRPr="000A0A5F">
              <w:t>BdtReferenceId</w:t>
            </w:r>
          </w:p>
        </w:tc>
        <w:tc>
          <w:tcPr>
            <w:tcW w:w="1276" w:type="dxa"/>
            <w:shd w:val="clear" w:color="auto" w:fill="auto"/>
          </w:tcPr>
          <w:p w:rsidR="00CB0DD7" w:rsidRPr="000A0A5F" w:rsidRDefault="00CB0DD7">
            <w:pPr>
              <w:pStyle w:val="TAL"/>
              <w:rPr>
                <w:rFonts w:eastAsia="Times New Roman"/>
              </w:rPr>
            </w:pPr>
            <w:r w:rsidRPr="000A0A5F">
              <w:rPr>
                <w:rFonts w:eastAsia="Times New Roman"/>
              </w:rPr>
              <w:t>1</w:t>
            </w:r>
          </w:p>
        </w:tc>
        <w:tc>
          <w:tcPr>
            <w:tcW w:w="2995" w:type="dxa"/>
            <w:shd w:val="clear" w:color="auto" w:fill="auto"/>
          </w:tcPr>
          <w:p w:rsidR="00CB0DD7" w:rsidRPr="000A0A5F" w:rsidRDefault="00CB0DD7">
            <w:pPr>
              <w:pStyle w:val="TAL"/>
              <w:rPr>
                <w:rFonts w:cs="Arial"/>
                <w:szCs w:val="18"/>
                <w:lang w:eastAsia="zh-CN"/>
              </w:rPr>
            </w:pPr>
            <w:r w:rsidRPr="000A0A5F">
              <w:t>This IE indicates transfer policies of background data transfer which the notification corresponds to.</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rPr>
                <w:rFonts w:eastAsia="Times New Roman"/>
              </w:rPr>
            </w:pPr>
            <w:r w:rsidRPr="000A0A5F">
              <w:t>locationArea5G</w:t>
            </w:r>
          </w:p>
        </w:tc>
        <w:tc>
          <w:tcPr>
            <w:tcW w:w="2126" w:type="dxa"/>
            <w:shd w:val="clear" w:color="auto" w:fill="auto"/>
          </w:tcPr>
          <w:p w:rsidR="00CB0DD7" w:rsidRPr="000A0A5F" w:rsidRDefault="00CB0DD7">
            <w:pPr>
              <w:pStyle w:val="TAL"/>
              <w:rPr>
                <w:rFonts w:eastAsia="Times New Roman"/>
              </w:rPr>
            </w:pPr>
            <w:r w:rsidRPr="000A0A5F">
              <w:rPr>
                <w:lang w:eastAsia="zh-CN"/>
              </w:rPr>
              <w:t>Location</w:t>
            </w:r>
            <w:r w:rsidRPr="000A0A5F">
              <w:rPr>
                <w:rFonts w:hint="eastAsia"/>
                <w:lang w:eastAsia="zh-CN"/>
              </w:rPr>
              <w:t>Area</w:t>
            </w:r>
            <w:r w:rsidRPr="000A0A5F">
              <w:rPr>
                <w:lang w:eastAsia="zh-CN"/>
              </w:rPr>
              <w:t>5G</w:t>
            </w:r>
          </w:p>
        </w:tc>
        <w:tc>
          <w:tcPr>
            <w:tcW w:w="1276" w:type="dxa"/>
            <w:shd w:val="clear" w:color="auto" w:fill="auto"/>
          </w:tcPr>
          <w:p w:rsidR="00CB0DD7" w:rsidRPr="000A0A5F" w:rsidRDefault="00CB0DD7">
            <w:pPr>
              <w:pStyle w:val="TAL"/>
              <w:rPr>
                <w:lang w:eastAsia="zh-CN"/>
              </w:rPr>
            </w:pPr>
            <w:r w:rsidRPr="000A0A5F">
              <w:rPr>
                <w:rFonts w:hint="eastAsia"/>
                <w:lang w:eastAsia="zh-CN"/>
              </w:rPr>
              <w:t>0</w:t>
            </w:r>
            <w:r w:rsidRPr="000A0A5F">
              <w:rPr>
                <w:lang w:eastAsia="zh-CN"/>
              </w:rPr>
              <w:t>..1</w:t>
            </w:r>
          </w:p>
        </w:tc>
        <w:tc>
          <w:tcPr>
            <w:tcW w:w="2995" w:type="dxa"/>
            <w:shd w:val="clear" w:color="auto" w:fill="auto"/>
          </w:tcPr>
          <w:p w:rsidR="00CB0DD7" w:rsidRPr="000A0A5F" w:rsidRDefault="00CB0DD7">
            <w:pPr>
              <w:pStyle w:val="TAL"/>
              <w:rPr>
                <w:rFonts w:cs="Arial"/>
                <w:szCs w:val="18"/>
                <w:lang w:eastAsia="zh-CN"/>
              </w:rPr>
            </w:pPr>
            <w:r w:rsidRPr="000A0A5F">
              <w:t>This IE represents a network area where a network performance will go below the criteria set by the operator.</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rPr>
                <w:rFonts w:eastAsia="Times New Roman"/>
              </w:rPr>
            </w:pPr>
            <w:r w:rsidRPr="000A0A5F">
              <w:t>timeWindow</w:t>
            </w:r>
          </w:p>
        </w:tc>
        <w:tc>
          <w:tcPr>
            <w:tcW w:w="2126" w:type="dxa"/>
            <w:shd w:val="clear" w:color="auto" w:fill="auto"/>
          </w:tcPr>
          <w:p w:rsidR="00CB0DD7" w:rsidRPr="000A0A5F" w:rsidRDefault="00CB0DD7">
            <w:pPr>
              <w:pStyle w:val="TAL"/>
              <w:rPr>
                <w:rFonts w:eastAsia="Times New Roman"/>
              </w:rPr>
            </w:pPr>
            <w:r w:rsidRPr="000A0A5F">
              <w:t>TimeWindow</w:t>
            </w:r>
          </w:p>
        </w:tc>
        <w:tc>
          <w:tcPr>
            <w:tcW w:w="1276" w:type="dxa"/>
            <w:shd w:val="clear" w:color="auto" w:fill="auto"/>
          </w:tcPr>
          <w:p w:rsidR="00CB0DD7" w:rsidRPr="000A0A5F" w:rsidRDefault="00CB0DD7">
            <w:pPr>
              <w:pStyle w:val="TAL"/>
              <w:rPr>
                <w:lang w:eastAsia="zh-CN"/>
              </w:rPr>
            </w:pPr>
            <w:r w:rsidRPr="000A0A5F">
              <w:rPr>
                <w:rFonts w:hint="eastAsia"/>
                <w:lang w:eastAsia="zh-CN"/>
              </w:rPr>
              <w:t>0</w:t>
            </w:r>
            <w:r w:rsidRPr="000A0A5F">
              <w:rPr>
                <w:lang w:eastAsia="zh-CN"/>
              </w:rPr>
              <w:t>..1</w:t>
            </w:r>
          </w:p>
        </w:tc>
        <w:tc>
          <w:tcPr>
            <w:tcW w:w="2995" w:type="dxa"/>
            <w:shd w:val="clear" w:color="auto" w:fill="auto"/>
          </w:tcPr>
          <w:p w:rsidR="00CB0DD7" w:rsidRPr="000A0A5F" w:rsidRDefault="00CB0DD7">
            <w:pPr>
              <w:pStyle w:val="TAL"/>
              <w:rPr>
                <w:rFonts w:cs="Arial"/>
                <w:szCs w:val="18"/>
                <w:lang w:eastAsia="zh-CN"/>
              </w:rPr>
            </w:pPr>
            <w:r w:rsidRPr="000A0A5F">
              <w:t>This IE indicates a time window when a network performance will go below the criteria set by the operator.</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pPr>
            <w:r w:rsidRPr="000A0A5F">
              <w:t>candPolicies</w:t>
            </w:r>
          </w:p>
        </w:tc>
        <w:tc>
          <w:tcPr>
            <w:tcW w:w="2126" w:type="dxa"/>
            <w:shd w:val="clear" w:color="auto" w:fill="auto"/>
          </w:tcPr>
          <w:p w:rsidR="00CB0DD7" w:rsidRPr="000A0A5F" w:rsidRDefault="00CB0DD7">
            <w:pPr>
              <w:pStyle w:val="TAL"/>
            </w:pPr>
            <w:r w:rsidRPr="000A0A5F">
              <w:t>array(TransferPolicy)</w:t>
            </w:r>
          </w:p>
        </w:tc>
        <w:tc>
          <w:tcPr>
            <w:tcW w:w="1276" w:type="dxa"/>
            <w:shd w:val="clear" w:color="auto" w:fill="auto"/>
          </w:tcPr>
          <w:p w:rsidR="00CB0DD7" w:rsidRPr="000A0A5F" w:rsidRDefault="00CB0DD7">
            <w:pPr>
              <w:pStyle w:val="TAL"/>
              <w:rPr>
                <w:rFonts w:hint="eastAsia"/>
                <w:lang w:eastAsia="zh-CN"/>
              </w:rPr>
            </w:pPr>
            <w:r w:rsidRPr="000A0A5F">
              <w:rPr>
                <w:lang w:eastAsia="zh-CN"/>
              </w:rPr>
              <w:t>0..N</w:t>
            </w:r>
          </w:p>
        </w:tc>
        <w:tc>
          <w:tcPr>
            <w:tcW w:w="2995" w:type="dxa"/>
            <w:shd w:val="clear" w:color="auto" w:fill="auto"/>
          </w:tcPr>
          <w:p w:rsidR="00CB0DD7" w:rsidRPr="000A0A5F" w:rsidRDefault="00CB0DD7">
            <w:pPr>
              <w:pStyle w:val="TAL"/>
            </w:pPr>
            <w:r w:rsidRPr="000A0A5F">
              <w:t xml:space="preserve">This IE indicates </w:t>
            </w:r>
            <w:r w:rsidRPr="000A0A5F">
              <w:rPr>
                <w:lang w:eastAsia="zh-CN"/>
              </w:rPr>
              <w:t xml:space="preserve">a list of the candidate transfer policies from which the AF may select a new transfer policy </w:t>
            </w:r>
            <w:r w:rsidRPr="000A0A5F">
              <w:t>due to network performance degradation</w:t>
            </w:r>
            <w:r w:rsidRPr="000A0A5F">
              <w:rPr>
                <w:lang w:eastAsia="zh-CN"/>
              </w:rPr>
              <w:t>.</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9602" w:type="dxa"/>
            <w:gridSpan w:val="5"/>
            <w:shd w:val="clear" w:color="auto" w:fill="auto"/>
          </w:tcPr>
          <w:p w:rsidR="00CB0DD7" w:rsidRPr="000A0A5F" w:rsidRDefault="00CB0DD7">
            <w:pPr>
              <w:pStyle w:val="TAN"/>
            </w:pPr>
            <w:r w:rsidRPr="000A0A5F">
              <w:t>NOTE:</w:t>
            </w:r>
            <w:r w:rsidRPr="000A0A5F">
              <w:tab/>
              <w:t>Properties marked with a feature as defined in clause 5.4.4 are applicable as described in clause 5.2.7. If no features are indicated, the related property applies for all the features.</w:t>
            </w:r>
          </w:p>
        </w:tc>
      </w:tr>
    </w:tbl>
    <w:p w:rsidR="00CB0DD7" w:rsidRPr="000A0A5F" w:rsidRDefault="00CB0DD7"/>
    <w:p w:rsidR="00CB0DD7" w:rsidRPr="000A0A5F" w:rsidRDefault="00CB0DD7">
      <w:pPr>
        <w:pStyle w:val="Heading4"/>
      </w:pPr>
      <w:bookmarkStart w:id="2692" w:name="_Toc11247371"/>
      <w:bookmarkStart w:id="2693" w:name="_Toc27044493"/>
      <w:bookmarkStart w:id="2694" w:name="_Toc36033535"/>
      <w:bookmarkStart w:id="2695" w:name="_Toc45131667"/>
      <w:bookmarkStart w:id="2696" w:name="_Toc49775952"/>
      <w:bookmarkStart w:id="2697" w:name="_Toc51746872"/>
      <w:bookmarkStart w:id="2698" w:name="_Toc66360420"/>
      <w:bookmarkStart w:id="2699" w:name="_Toc68104925"/>
      <w:bookmarkStart w:id="2700" w:name="_Toc74755555"/>
      <w:bookmarkStart w:id="2701" w:name="_Toc105674428"/>
      <w:bookmarkStart w:id="2702" w:name="_Toc130502468"/>
      <w:bookmarkStart w:id="2703" w:name="_Toc153625255"/>
      <w:r w:rsidRPr="000A0A5F">
        <w:t>5.4.2.2</w:t>
      </w:r>
      <w:r w:rsidRPr="000A0A5F">
        <w:tab/>
        <w:t>Referenced structured data types</w:t>
      </w:r>
      <w:bookmarkEnd w:id="2692"/>
      <w:bookmarkEnd w:id="2693"/>
      <w:bookmarkEnd w:id="2694"/>
      <w:bookmarkEnd w:id="2695"/>
      <w:bookmarkEnd w:id="2696"/>
      <w:bookmarkEnd w:id="2697"/>
      <w:bookmarkEnd w:id="2698"/>
      <w:bookmarkEnd w:id="2699"/>
      <w:bookmarkEnd w:id="2700"/>
      <w:bookmarkEnd w:id="2701"/>
      <w:bookmarkEnd w:id="2702"/>
      <w:bookmarkEnd w:id="2703"/>
    </w:p>
    <w:p w:rsidR="00CB0DD7" w:rsidRPr="000A0A5F" w:rsidRDefault="00CB0DD7">
      <w:pPr>
        <w:pStyle w:val="Heading5"/>
      </w:pPr>
      <w:bookmarkStart w:id="2704" w:name="_Toc11247372"/>
      <w:bookmarkStart w:id="2705" w:name="_Toc27044494"/>
      <w:bookmarkStart w:id="2706" w:name="_Toc36033536"/>
      <w:bookmarkStart w:id="2707" w:name="_Toc45131668"/>
      <w:bookmarkStart w:id="2708" w:name="_Toc49775953"/>
      <w:bookmarkStart w:id="2709" w:name="_Toc51746873"/>
      <w:bookmarkStart w:id="2710" w:name="_Toc66360421"/>
      <w:bookmarkStart w:id="2711" w:name="_Toc68104926"/>
      <w:bookmarkStart w:id="2712" w:name="_Toc74755556"/>
      <w:bookmarkStart w:id="2713" w:name="_Toc105674429"/>
      <w:bookmarkStart w:id="2714" w:name="_Toc130502469"/>
      <w:bookmarkStart w:id="2715" w:name="_Toc153625256"/>
      <w:r w:rsidRPr="000A0A5F">
        <w:t>5.4.2.2.1</w:t>
      </w:r>
      <w:r w:rsidRPr="000A0A5F">
        <w:tab/>
        <w:t>Introduction</w:t>
      </w:r>
      <w:bookmarkEnd w:id="2704"/>
      <w:bookmarkEnd w:id="2705"/>
      <w:bookmarkEnd w:id="2706"/>
      <w:bookmarkEnd w:id="2707"/>
      <w:bookmarkEnd w:id="2708"/>
      <w:bookmarkEnd w:id="2709"/>
      <w:bookmarkEnd w:id="2710"/>
      <w:bookmarkEnd w:id="2711"/>
      <w:bookmarkEnd w:id="2712"/>
      <w:bookmarkEnd w:id="2713"/>
      <w:bookmarkEnd w:id="2714"/>
      <w:bookmarkEnd w:id="2715"/>
    </w:p>
    <w:p w:rsidR="00CB0DD7" w:rsidRPr="000A0A5F" w:rsidRDefault="00CB0DD7">
      <w:r w:rsidRPr="000A0A5F">
        <w:t>This clause defines structured data types that are referenced from data structures defined in the previous clauses.</w:t>
      </w:r>
    </w:p>
    <w:p w:rsidR="00CB0DD7" w:rsidRPr="000A0A5F" w:rsidRDefault="00CB0DD7">
      <w:pPr>
        <w:pStyle w:val="Heading5"/>
      </w:pPr>
      <w:bookmarkStart w:id="2716" w:name="_Toc11247373"/>
      <w:bookmarkStart w:id="2717" w:name="_Toc27044495"/>
      <w:bookmarkStart w:id="2718" w:name="_Toc36033537"/>
      <w:bookmarkStart w:id="2719" w:name="_Toc45131669"/>
      <w:bookmarkStart w:id="2720" w:name="_Toc49775954"/>
      <w:bookmarkStart w:id="2721" w:name="_Toc51746874"/>
      <w:bookmarkStart w:id="2722" w:name="_Toc66360422"/>
      <w:bookmarkStart w:id="2723" w:name="_Toc68104927"/>
      <w:bookmarkStart w:id="2724" w:name="_Toc74755557"/>
      <w:bookmarkStart w:id="2725" w:name="_Toc105674430"/>
      <w:bookmarkStart w:id="2726" w:name="_Toc130502470"/>
      <w:bookmarkStart w:id="2727" w:name="_Toc153625257"/>
      <w:r w:rsidRPr="000A0A5F">
        <w:t>5.4.2.2.2</w:t>
      </w:r>
      <w:r w:rsidRPr="000A0A5F">
        <w:tab/>
        <w:t xml:space="preserve">Type: </w:t>
      </w:r>
      <w:r w:rsidRPr="000A0A5F">
        <w:rPr>
          <w:rFonts w:eastAsia="Times New Roman"/>
        </w:rPr>
        <w:t>TransferPolicy</w:t>
      </w:r>
      <w:bookmarkEnd w:id="2716"/>
      <w:bookmarkEnd w:id="2717"/>
      <w:bookmarkEnd w:id="2718"/>
      <w:bookmarkEnd w:id="2719"/>
      <w:bookmarkEnd w:id="2720"/>
      <w:bookmarkEnd w:id="2721"/>
      <w:bookmarkEnd w:id="2722"/>
      <w:bookmarkEnd w:id="2723"/>
      <w:bookmarkEnd w:id="2724"/>
      <w:bookmarkEnd w:id="2725"/>
      <w:bookmarkEnd w:id="2726"/>
      <w:bookmarkEnd w:id="2727"/>
    </w:p>
    <w:p w:rsidR="00CB0DD7" w:rsidRPr="000A0A5F" w:rsidRDefault="00CB0DD7">
      <w:r w:rsidRPr="000A0A5F">
        <w:t>This data type represents an offered transfer policy sent from the SCEF to the SCS/AS, or a selected transfer policy sent from the SCS/AS to the SCEF.</w:t>
      </w:r>
    </w:p>
    <w:p w:rsidR="00CB0DD7" w:rsidRPr="000A0A5F" w:rsidRDefault="00CB0DD7">
      <w:pPr>
        <w:pStyle w:val="TH"/>
      </w:pPr>
      <w:r w:rsidRPr="000A0A5F">
        <w:rPr>
          <w:noProof/>
        </w:rPr>
        <w:t>Table </w:t>
      </w:r>
      <w:r w:rsidRPr="000A0A5F">
        <w:t xml:space="preserve">5.4.2.2.2-1: </w:t>
      </w:r>
      <w:r w:rsidRPr="000A0A5F">
        <w:rPr>
          <w:noProof/>
        </w:rPr>
        <w:t xml:space="preserve">Definition of type </w:t>
      </w:r>
      <w:r w:rsidRPr="000A0A5F">
        <w:t>TransferPolicy</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948"/>
        <w:gridCol w:w="1577"/>
        <w:gridCol w:w="1276"/>
        <w:gridCol w:w="3544"/>
        <w:gridCol w:w="1257"/>
      </w:tblGrid>
      <w:tr w:rsidR="00CB0DD7" w:rsidRPr="000A0A5F" w:rsidTr="00FF0AF8">
        <w:trPr>
          <w:jc w:val="center"/>
        </w:trPr>
        <w:tc>
          <w:tcPr>
            <w:tcW w:w="1948" w:type="dxa"/>
            <w:shd w:val="clear" w:color="auto" w:fill="C0C0C0"/>
          </w:tcPr>
          <w:p w:rsidR="00CB0DD7" w:rsidRPr="000A0A5F" w:rsidRDefault="00CB0DD7">
            <w:pPr>
              <w:pStyle w:val="TAH"/>
              <w:rPr>
                <w:rFonts w:eastAsia="Times New Roman"/>
              </w:rPr>
            </w:pPr>
            <w:r w:rsidRPr="000A0A5F">
              <w:rPr>
                <w:rFonts w:eastAsia="Times New Roman"/>
              </w:rPr>
              <w:t>Attribute name</w:t>
            </w:r>
          </w:p>
        </w:tc>
        <w:tc>
          <w:tcPr>
            <w:tcW w:w="1577" w:type="dxa"/>
            <w:shd w:val="clear" w:color="auto" w:fill="C0C0C0"/>
          </w:tcPr>
          <w:p w:rsidR="00CB0DD7" w:rsidRPr="000A0A5F" w:rsidRDefault="00CB0DD7">
            <w:pPr>
              <w:pStyle w:val="TAH"/>
              <w:rPr>
                <w:rFonts w:eastAsia="Times New Roman"/>
              </w:rPr>
            </w:pPr>
            <w:r w:rsidRPr="000A0A5F">
              <w:rPr>
                <w:rFonts w:eastAsia="Times New Roman"/>
              </w:rPr>
              <w:t>Data type</w:t>
            </w:r>
          </w:p>
        </w:tc>
        <w:tc>
          <w:tcPr>
            <w:tcW w:w="1276" w:type="dxa"/>
            <w:shd w:val="clear" w:color="auto" w:fill="C0C0C0"/>
          </w:tcPr>
          <w:p w:rsidR="00CB0DD7" w:rsidRPr="000A0A5F" w:rsidRDefault="00CB0DD7">
            <w:pPr>
              <w:pStyle w:val="TAH"/>
              <w:jc w:val="left"/>
              <w:rPr>
                <w:rFonts w:eastAsia="Times New Roman"/>
              </w:rPr>
            </w:pPr>
            <w:r w:rsidRPr="000A0A5F">
              <w:rPr>
                <w:rFonts w:eastAsia="Times New Roman"/>
              </w:rPr>
              <w:t>Cardinality</w:t>
            </w:r>
          </w:p>
        </w:tc>
        <w:tc>
          <w:tcPr>
            <w:tcW w:w="3544"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Description</w:t>
            </w:r>
          </w:p>
        </w:tc>
        <w:tc>
          <w:tcPr>
            <w:tcW w:w="1257"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Applicability (NOTE)</w:t>
            </w:r>
          </w:p>
        </w:tc>
      </w:tr>
      <w:tr w:rsidR="00CB0DD7" w:rsidRPr="000A0A5F" w:rsidTr="00FF0AF8">
        <w:trPr>
          <w:jc w:val="center"/>
        </w:trPr>
        <w:tc>
          <w:tcPr>
            <w:tcW w:w="1948" w:type="dxa"/>
            <w:shd w:val="clear" w:color="auto" w:fill="auto"/>
          </w:tcPr>
          <w:p w:rsidR="00CB0DD7" w:rsidRPr="000A0A5F" w:rsidRDefault="00CB0DD7">
            <w:pPr>
              <w:pStyle w:val="TAH"/>
              <w:jc w:val="left"/>
              <w:rPr>
                <w:rFonts w:eastAsia="Times New Roman"/>
                <w:b w:val="0"/>
              </w:rPr>
            </w:pPr>
            <w:r w:rsidRPr="000A0A5F">
              <w:rPr>
                <w:b w:val="0"/>
                <w:lang w:eastAsia="zh-CN"/>
              </w:rPr>
              <w:t>bdtPolicyId</w:t>
            </w:r>
          </w:p>
        </w:tc>
        <w:tc>
          <w:tcPr>
            <w:tcW w:w="1577" w:type="dxa"/>
            <w:shd w:val="clear" w:color="auto" w:fill="auto"/>
          </w:tcPr>
          <w:p w:rsidR="00CB0DD7" w:rsidRPr="000A0A5F" w:rsidRDefault="00CB0DD7">
            <w:pPr>
              <w:pStyle w:val="TAH"/>
              <w:jc w:val="left"/>
              <w:rPr>
                <w:rFonts w:eastAsia="Times New Roman"/>
                <w:b w:val="0"/>
              </w:rPr>
            </w:pPr>
            <w:r w:rsidRPr="000A0A5F">
              <w:rPr>
                <w:b w:val="0"/>
                <w:lang w:eastAsia="zh-CN"/>
              </w:rPr>
              <w:t>integer</w:t>
            </w:r>
          </w:p>
        </w:tc>
        <w:tc>
          <w:tcPr>
            <w:tcW w:w="1276" w:type="dxa"/>
            <w:shd w:val="clear" w:color="auto" w:fill="auto"/>
          </w:tcPr>
          <w:p w:rsidR="00CB0DD7" w:rsidRPr="000A0A5F" w:rsidRDefault="00CB0DD7">
            <w:pPr>
              <w:pStyle w:val="TAH"/>
              <w:jc w:val="left"/>
              <w:rPr>
                <w:rFonts w:eastAsia="Times New Roman"/>
                <w:b w:val="0"/>
              </w:rPr>
            </w:pPr>
            <w:r w:rsidRPr="000A0A5F">
              <w:rPr>
                <w:b w:val="0"/>
                <w:lang w:eastAsia="zh-CN"/>
              </w:rPr>
              <w:t>1</w:t>
            </w:r>
          </w:p>
        </w:tc>
        <w:tc>
          <w:tcPr>
            <w:tcW w:w="3544" w:type="dxa"/>
            <w:shd w:val="clear" w:color="auto" w:fill="auto"/>
          </w:tcPr>
          <w:p w:rsidR="00CB0DD7" w:rsidRPr="000A0A5F" w:rsidRDefault="00CB0DD7">
            <w:pPr>
              <w:pStyle w:val="TAH"/>
              <w:jc w:val="left"/>
              <w:rPr>
                <w:rFonts w:eastAsia="Times New Roman" w:cs="Arial"/>
                <w:b w:val="0"/>
                <w:szCs w:val="18"/>
              </w:rPr>
            </w:pPr>
            <w:r w:rsidRPr="000A0A5F">
              <w:rPr>
                <w:b w:val="0"/>
                <w:lang w:eastAsia="zh-CN"/>
              </w:rPr>
              <w:t>Identifier for the transfer policy</w:t>
            </w:r>
          </w:p>
        </w:tc>
        <w:tc>
          <w:tcPr>
            <w:tcW w:w="1257" w:type="dxa"/>
            <w:shd w:val="clear" w:color="auto" w:fill="auto"/>
          </w:tcPr>
          <w:p w:rsidR="00CB0DD7" w:rsidRPr="000A0A5F" w:rsidRDefault="00CB0DD7">
            <w:pPr>
              <w:pStyle w:val="TAH"/>
              <w:jc w:val="left"/>
              <w:rPr>
                <w:rFonts w:eastAsia="Times New Roman" w:cs="Arial"/>
                <w:b w:val="0"/>
                <w:szCs w:val="18"/>
              </w:rPr>
            </w:pPr>
          </w:p>
        </w:tc>
      </w:tr>
      <w:tr w:rsidR="00CB0DD7" w:rsidRPr="000A0A5F" w:rsidTr="00FF0AF8">
        <w:trPr>
          <w:jc w:val="center"/>
        </w:trPr>
        <w:tc>
          <w:tcPr>
            <w:tcW w:w="1948" w:type="dxa"/>
            <w:shd w:val="clear" w:color="auto" w:fill="auto"/>
            <w:vAlign w:val="center"/>
          </w:tcPr>
          <w:p w:rsidR="00CB0DD7" w:rsidRPr="000A0A5F" w:rsidRDefault="00CB0DD7">
            <w:pPr>
              <w:pStyle w:val="TAL"/>
              <w:rPr>
                <w:rFonts w:eastAsia="Times New Roman"/>
              </w:rPr>
            </w:pPr>
            <w:r w:rsidRPr="000A0A5F">
              <w:rPr>
                <w:lang w:eastAsia="zh-CN"/>
              </w:rPr>
              <w:t>maxUplinkBandwidth</w:t>
            </w:r>
          </w:p>
        </w:tc>
        <w:tc>
          <w:tcPr>
            <w:tcW w:w="1577" w:type="dxa"/>
            <w:shd w:val="clear" w:color="auto" w:fill="auto"/>
          </w:tcPr>
          <w:p w:rsidR="00CB0DD7" w:rsidRPr="000A0A5F" w:rsidRDefault="00CB0DD7">
            <w:pPr>
              <w:pStyle w:val="TAL"/>
              <w:rPr>
                <w:rFonts w:eastAsia="Times New Roman"/>
              </w:rPr>
            </w:pPr>
            <w:r w:rsidRPr="000A0A5F">
              <w:rPr>
                <w:rFonts w:hint="eastAsia"/>
                <w:lang w:eastAsia="zh-CN"/>
              </w:rPr>
              <w:t>Bandwidth</w:t>
            </w:r>
          </w:p>
        </w:tc>
        <w:tc>
          <w:tcPr>
            <w:tcW w:w="1276" w:type="dxa"/>
            <w:shd w:val="clear" w:color="auto" w:fill="auto"/>
          </w:tcPr>
          <w:p w:rsidR="00CB0DD7" w:rsidRPr="000A0A5F" w:rsidRDefault="00CB0DD7">
            <w:pPr>
              <w:pStyle w:val="TAL"/>
              <w:rPr>
                <w:rFonts w:eastAsia="Times New Roman"/>
              </w:rPr>
            </w:pPr>
            <w:r w:rsidRPr="000A0A5F">
              <w:rPr>
                <w:rFonts w:eastAsia="Times New Roman"/>
              </w:rPr>
              <w:t>0..1</w:t>
            </w:r>
          </w:p>
        </w:tc>
        <w:tc>
          <w:tcPr>
            <w:tcW w:w="3544" w:type="dxa"/>
            <w:shd w:val="clear" w:color="auto" w:fill="auto"/>
          </w:tcPr>
          <w:p w:rsidR="00CB0DD7" w:rsidRPr="000A0A5F" w:rsidRDefault="00CB0DD7">
            <w:pPr>
              <w:pStyle w:val="TAL"/>
              <w:rPr>
                <w:rFonts w:eastAsia="Times New Roman" w:cs="Arial"/>
                <w:szCs w:val="18"/>
              </w:rPr>
            </w:pPr>
            <w:r w:rsidRPr="000A0A5F">
              <w:rPr>
                <w:rFonts w:cs="Arial" w:hint="eastAsia"/>
                <w:szCs w:val="18"/>
                <w:lang w:eastAsia="zh-CN"/>
              </w:rPr>
              <w:t>Indicates the maximum aggregated bitrate in the uplink</w:t>
            </w:r>
            <w:r w:rsidRPr="000A0A5F">
              <w:rPr>
                <w:rFonts w:cs="Arial"/>
                <w:szCs w:val="18"/>
                <w:lang w:eastAsia="zh-CN"/>
              </w:rPr>
              <w:t xml:space="preserve"> authorized by the PCRF.</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vAlign w:val="center"/>
          </w:tcPr>
          <w:p w:rsidR="00CB0DD7" w:rsidRPr="000A0A5F" w:rsidRDefault="00CB0DD7">
            <w:pPr>
              <w:pStyle w:val="TAL"/>
              <w:rPr>
                <w:rFonts w:eastAsia="Times New Roman"/>
              </w:rPr>
            </w:pPr>
            <w:r w:rsidRPr="000A0A5F">
              <w:rPr>
                <w:lang w:eastAsia="zh-CN"/>
              </w:rPr>
              <w:t>maxDownlinkBandwidth</w:t>
            </w:r>
          </w:p>
        </w:tc>
        <w:tc>
          <w:tcPr>
            <w:tcW w:w="1577" w:type="dxa"/>
            <w:shd w:val="clear" w:color="auto" w:fill="auto"/>
          </w:tcPr>
          <w:p w:rsidR="00CB0DD7" w:rsidRPr="000A0A5F" w:rsidRDefault="00CB0DD7">
            <w:pPr>
              <w:pStyle w:val="TAL"/>
              <w:rPr>
                <w:rFonts w:eastAsia="Times New Roman"/>
              </w:rPr>
            </w:pPr>
            <w:r w:rsidRPr="000A0A5F">
              <w:rPr>
                <w:lang w:eastAsia="zh-CN"/>
              </w:rPr>
              <w:t>Bandwidth</w:t>
            </w:r>
          </w:p>
        </w:tc>
        <w:tc>
          <w:tcPr>
            <w:tcW w:w="1276" w:type="dxa"/>
            <w:shd w:val="clear" w:color="auto" w:fill="auto"/>
          </w:tcPr>
          <w:p w:rsidR="00CB0DD7" w:rsidRPr="000A0A5F" w:rsidRDefault="00CB0DD7">
            <w:pPr>
              <w:pStyle w:val="TAL"/>
              <w:rPr>
                <w:rFonts w:eastAsia="Times New Roman"/>
              </w:rPr>
            </w:pPr>
            <w:r w:rsidRPr="000A0A5F">
              <w:rPr>
                <w:rFonts w:eastAsia="Times New Roman"/>
              </w:rPr>
              <w:t>0..1</w:t>
            </w:r>
          </w:p>
        </w:tc>
        <w:tc>
          <w:tcPr>
            <w:tcW w:w="3544" w:type="dxa"/>
            <w:shd w:val="clear" w:color="auto" w:fill="auto"/>
          </w:tcPr>
          <w:p w:rsidR="00CB0DD7" w:rsidRPr="000A0A5F" w:rsidRDefault="00CB0DD7">
            <w:pPr>
              <w:pStyle w:val="TAL"/>
              <w:rPr>
                <w:rFonts w:eastAsia="Times New Roman" w:cs="Arial"/>
                <w:szCs w:val="18"/>
              </w:rPr>
            </w:pPr>
            <w:r w:rsidRPr="000A0A5F">
              <w:rPr>
                <w:rFonts w:cs="Arial" w:hint="eastAsia"/>
                <w:szCs w:val="18"/>
                <w:lang w:eastAsia="zh-CN"/>
              </w:rPr>
              <w:t xml:space="preserve">Indicates the maximum aggregated bitrate in the </w:t>
            </w:r>
            <w:r w:rsidRPr="000A0A5F">
              <w:rPr>
                <w:rFonts w:cs="Arial"/>
                <w:szCs w:val="18"/>
                <w:lang w:eastAsia="zh-CN"/>
              </w:rPr>
              <w:t>down</w:t>
            </w:r>
            <w:r w:rsidRPr="000A0A5F">
              <w:rPr>
                <w:rFonts w:cs="Arial" w:hint="eastAsia"/>
                <w:szCs w:val="18"/>
                <w:lang w:eastAsia="zh-CN"/>
              </w:rPr>
              <w:t>link</w:t>
            </w:r>
            <w:r w:rsidRPr="000A0A5F">
              <w:rPr>
                <w:rFonts w:cs="Arial"/>
                <w:szCs w:val="18"/>
                <w:lang w:eastAsia="zh-CN"/>
              </w:rPr>
              <w:t xml:space="preserve"> authorized by the PCRF.</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vAlign w:val="center"/>
          </w:tcPr>
          <w:p w:rsidR="00CB0DD7" w:rsidRPr="000A0A5F" w:rsidRDefault="00CB0DD7">
            <w:pPr>
              <w:pStyle w:val="TAL"/>
              <w:rPr>
                <w:rFonts w:eastAsia="Times New Roman"/>
              </w:rPr>
            </w:pPr>
            <w:r w:rsidRPr="000A0A5F">
              <w:rPr>
                <w:lang w:eastAsia="zh-CN"/>
              </w:rPr>
              <w:t>ratingGroup</w:t>
            </w:r>
          </w:p>
        </w:tc>
        <w:tc>
          <w:tcPr>
            <w:tcW w:w="1577" w:type="dxa"/>
            <w:shd w:val="clear" w:color="auto" w:fill="auto"/>
          </w:tcPr>
          <w:p w:rsidR="00CB0DD7" w:rsidRPr="000A0A5F" w:rsidRDefault="00CB0DD7">
            <w:pPr>
              <w:pStyle w:val="TAL"/>
              <w:rPr>
                <w:rFonts w:eastAsia="Times New Roman"/>
              </w:rPr>
            </w:pPr>
            <w:r w:rsidRPr="000A0A5F">
              <w:rPr>
                <w:rFonts w:hint="eastAsia"/>
                <w:lang w:eastAsia="zh-CN"/>
              </w:rPr>
              <w:t>integer</w:t>
            </w:r>
          </w:p>
        </w:tc>
        <w:tc>
          <w:tcPr>
            <w:tcW w:w="1276" w:type="dxa"/>
            <w:shd w:val="clear" w:color="auto" w:fill="auto"/>
          </w:tcPr>
          <w:p w:rsidR="00CB0DD7" w:rsidRPr="000A0A5F" w:rsidRDefault="00CB0DD7">
            <w:pPr>
              <w:pStyle w:val="TAL"/>
              <w:rPr>
                <w:rFonts w:eastAsia="Times New Roman"/>
              </w:rPr>
            </w:pPr>
            <w:r w:rsidRPr="000A0A5F">
              <w:rPr>
                <w:rFonts w:eastAsia="Times New Roman"/>
              </w:rPr>
              <w:t>1</w:t>
            </w:r>
          </w:p>
        </w:tc>
        <w:tc>
          <w:tcPr>
            <w:tcW w:w="3544" w:type="dxa"/>
            <w:shd w:val="clear" w:color="auto" w:fill="auto"/>
          </w:tcPr>
          <w:p w:rsidR="00CB0DD7" w:rsidRPr="000A0A5F" w:rsidRDefault="00CB0DD7">
            <w:pPr>
              <w:pStyle w:val="TAL"/>
              <w:rPr>
                <w:rFonts w:eastAsia="Times New Roman" w:cs="Arial"/>
                <w:szCs w:val="18"/>
              </w:rPr>
            </w:pPr>
            <w:r w:rsidRPr="000A0A5F">
              <w:rPr>
                <w:rFonts w:cs="Arial" w:hint="eastAsia"/>
                <w:szCs w:val="18"/>
                <w:lang w:eastAsia="zh-CN"/>
              </w:rPr>
              <w:t xml:space="preserve">Indicates the </w:t>
            </w:r>
            <w:r w:rsidRPr="000A0A5F">
              <w:rPr>
                <w:rFonts w:cs="Arial"/>
                <w:szCs w:val="18"/>
                <w:lang w:eastAsia="zh-CN"/>
              </w:rPr>
              <w:t xml:space="preserve">rating group </w:t>
            </w:r>
            <w:r w:rsidRPr="000A0A5F">
              <w:rPr>
                <w:rFonts w:cs="Arial" w:hint="eastAsia"/>
                <w:szCs w:val="18"/>
                <w:lang w:eastAsia="zh-CN"/>
              </w:rPr>
              <w:t>during the time window.</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vAlign w:val="center"/>
          </w:tcPr>
          <w:p w:rsidR="00CB0DD7" w:rsidRPr="000A0A5F" w:rsidRDefault="00CB0DD7">
            <w:pPr>
              <w:pStyle w:val="TAL"/>
              <w:rPr>
                <w:rFonts w:eastAsia="Times New Roman"/>
              </w:rPr>
            </w:pPr>
            <w:r w:rsidRPr="000A0A5F">
              <w:rPr>
                <w:lang w:eastAsia="zh-CN"/>
              </w:rPr>
              <w:t>timeWindow</w:t>
            </w:r>
          </w:p>
        </w:tc>
        <w:tc>
          <w:tcPr>
            <w:tcW w:w="1577" w:type="dxa"/>
            <w:shd w:val="clear" w:color="auto" w:fill="auto"/>
          </w:tcPr>
          <w:p w:rsidR="00CB0DD7" w:rsidRPr="000A0A5F" w:rsidRDefault="00CB0DD7">
            <w:pPr>
              <w:pStyle w:val="TAL"/>
              <w:rPr>
                <w:rFonts w:eastAsia="Times New Roman"/>
              </w:rPr>
            </w:pPr>
            <w:r w:rsidRPr="000A0A5F">
              <w:rPr>
                <w:rFonts w:eastAsia="Times New Roman"/>
              </w:rPr>
              <w:t>TimeWindow</w:t>
            </w:r>
          </w:p>
        </w:tc>
        <w:tc>
          <w:tcPr>
            <w:tcW w:w="1276" w:type="dxa"/>
            <w:shd w:val="clear" w:color="auto" w:fill="auto"/>
          </w:tcPr>
          <w:p w:rsidR="00CB0DD7" w:rsidRPr="000A0A5F" w:rsidRDefault="00CB0DD7">
            <w:pPr>
              <w:pStyle w:val="TAL"/>
              <w:rPr>
                <w:rFonts w:eastAsia="Times New Roman"/>
              </w:rPr>
            </w:pPr>
            <w:r w:rsidRPr="000A0A5F">
              <w:rPr>
                <w:rFonts w:eastAsia="Times New Roman"/>
              </w:rPr>
              <w:t>1</w:t>
            </w:r>
          </w:p>
        </w:tc>
        <w:tc>
          <w:tcPr>
            <w:tcW w:w="3544" w:type="dxa"/>
            <w:shd w:val="clear" w:color="auto" w:fill="auto"/>
          </w:tcPr>
          <w:p w:rsidR="00CB0DD7" w:rsidRPr="000A0A5F" w:rsidRDefault="00CB0DD7">
            <w:pPr>
              <w:pStyle w:val="TAL"/>
              <w:rPr>
                <w:rFonts w:eastAsia="Times New Roman" w:cs="Arial"/>
                <w:szCs w:val="18"/>
              </w:rPr>
            </w:pPr>
            <w:r w:rsidRPr="000A0A5F">
              <w:rPr>
                <w:rFonts w:cs="Arial" w:hint="eastAsia"/>
                <w:szCs w:val="18"/>
                <w:lang w:eastAsia="zh-CN"/>
              </w:rPr>
              <w:t>Indicates the recommended time window of the transfer policy</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9602" w:type="dxa"/>
            <w:gridSpan w:val="5"/>
            <w:shd w:val="clear" w:color="auto" w:fill="auto"/>
          </w:tcPr>
          <w:p w:rsidR="00CB0DD7" w:rsidRPr="000A0A5F" w:rsidRDefault="00CB0DD7">
            <w:pPr>
              <w:pStyle w:val="TAN"/>
            </w:pPr>
            <w:r w:rsidRPr="000A0A5F">
              <w:t>NOTE:</w:t>
            </w:r>
            <w:r w:rsidRPr="000A0A5F">
              <w:tab/>
              <w:t>Properties marked with a feature as defined in clause 5.4.4 are applicable as described in clause 5.2.7. If no feature are indicated, the related property applies for all the features.</w:t>
            </w:r>
          </w:p>
        </w:tc>
      </w:tr>
    </w:tbl>
    <w:p w:rsidR="00CB0DD7" w:rsidRPr="000A0A5F" w:rsidRDefault="00CB0DD7"/>
    <w:p w:rsidR="00CB0DD7" w:rsidRPr="000A0A5F" w:rsidRDefault="00CB0DD7">
      <w:pPr>
        <w:pStyle w:val="Heading4"/>
      </w:pPr>
      <w:bookmarkStart w:id="2728" w:name="_Toc45131670"/>
      <w:bookmarkStart w:id="2729" w:name="_Toc49775955"/>
      <w:bookmarkStart w:id="2730" w:name="_Toc51746875"/>
      <w:bookmarkStart w:id="2731" w:name="_Toc66360423"/>
      <w:bookmarkStart w:id="2732" w:name="_Toc68104928"/>
      <w:bookmarkStart w:id="2733" w:name="_Toc74755558"/>
      <w:bookmarkStart w:id="2734" w:name="_Toc105674431"/>
      <w:bookmarkStart w:id="2735" w:name="_Toc130502471"/>
      <w:bookmarkStart w:id="2736" w:name="_Toc153625258"/>
      <w:r w:rsidRPr="000A0A5F">
        <w:t>5.4.2.3</w:t>
      </w:r>
      <w:r w:rsidRPr="000A0A5F">
        <w:tab/>
        <w:t>Referenced simple data types and enumerations</w:t>
      </w:r>
      <w:bookmarkEnd w:id="2728"/>
      <w:bookmarkEnd w:id="2729"/>
      <w:bookmarkEnd w:id="2730"/>
      <w:bookmarkEnd w:id="2731"/>
      <w:bookmarkEnd w:id="2732"/>
      <w:bookmarkEnd w:id="2733"/>
      <w:bookmarkEnd w:id="2734"/>
      <w:bookmarkEnd w:id="2735"/>
      <w:bookmarkEnd w:id="2736"/>
    </w:p>
    <w:p w:rsidR="00CB0DD7" w:rsidRPr="000A0A5F" w:rsidRDefault="00CB0DD7">
      <w:pPr>
        <w:pStyle w:val="Heading5"/>
      </w:pPr>
      <w:bookmarkStart w:id="2737" w:name="_Toc45131671"/>
      <w:bookmarkStart w:id="2738" w:name="_Toc49775956"/>
      <w:bookmarkStart w:id="2739" w:name="_Toc51746876"/>
      <w:bookmarkStart w:id="2740" w:name="_Toc66360424"/>
      <w:bookmarkStart w:id="2741" w:name="_Toc68104929"/>
      <w:bookmarkStart w:id="2742" w:name="_Toc74755559"/>
      <w:bookmarkStart w:id="2743" w:name="_Toc105674432"/>
      <w:bookmarkStart w:id="2744" w:name="_Toc130502472"/>
      <w:bookmarkStart w:id="2745" w:name="_Toc153625259"/>
      <w:r w:rsidRPr="000A0A5F">
        <w:t>5.4.2.3.1</w:t>
      </w:r>
      <w:r w:rsidRPr="000A0A5F">
        <w:tab/>
        <w:t>Introduction</w:t>
      </w:r>
      <w:bookmarkEnd w:id="2737"/>
      <w:bookmarkEnd w:id="2738"/>
      <w:bookmarkEnd w:id="2739"/>
      <w:bookmarkEnd w:id="2740"/>
      <w:bookmarkEnd w:id="2741"/>
      <w:bookmarkEnd w:id="2742"/>
      <w:bookmarkEnd w:id="2743"/>
      <w:bookmarkEnd w:id="2744"/>
      <w:bookmarkEnd w:id="2745"/>
    </w:p>
    <w:p w:rsidR="00CB0DD7" w:rsidRPr="000A0A5F" w:rsidRDefault="00CB0DD7">
      <w:r w:rsidRPr="000A0A5F">
        <w:t>This clause defines simple data types and enumerations that can be referenced from data structures defined in the previous clauses. In addition, data types and enumerations defined in clause</w:t>
      </w:r>
      <w:r w:rsidRPr="000A0A5F">
        <w:rPr>
          <w:rFonts w:ascii="Segoe UI Symbol" w:hAnsi="Segoe UI Symbol"/>
        </w:rPr>
        <w:t> </w:t>
      </w:r>
      <w:r w:rsidRPr="000A0A5F">
        <w:t>5.2.1 can be referenced.</w:t>
      </w:r>
    </w:p>
    <w:p w:rsidR="00CB0DD7" w:rsidRPr="000A0A5F" w:rsidRDefault="00CB0DD7">
      <w:pPr>
        <w:pStyle w:val="Heading5"/>
      </w:pPr>
      <w:bookmarkStart w:id="2746" w:name="_Toc45131672"/>
      <w:bookmarkStart w:id="2747" w:name="_Toc49775957"/>
      <w:bookmarkStart w:id="2748" w:name="_Toc51746877"/>
      <w:bookmarkStart w:id="2749" w:name="_Toc66360425"/>
      <w:bookmarkStart w:id="2750" w:name="_Toc68104930"/>
      <w:bookmarkStart w:id="2751" w:name="_Toc74755560"/>
      <w:bookmarkStart w:id="2752" w:name="_Toc105674433"/>
      <w:bookmarkStart w:id="2753" w:name="_Toc130502473"/>
      <w:bookmarkStart w:id="2754" w:name="_Toc153625260"/>
      <w:r w:rsidRPr="000A0A5F">
        <w:t>5.4.2.3.2</w:t>
      </w:r>
      <w:r w:rsidRPr="000A0A5F">
        <w:tab/>
        <w:t>Simple data types</w:t>
      </w:r>
      <w:bookmarkEnd w:id="2746"/>
      <w:bookmarkEnd w:id="2747"/>
      <w:bookmarkEnd w:id="2748"/>
      <w:bookmarkEnd w:id="2749"/>
      <w:bookmarkEnd w:id="2750"/>
      <w:bookmarkEnd w:id="2751"/>
      <w:bookmarkEnd w:id="2752"/>
      <w:bookmarkEnd w:id="2753"/>
      <w:bookmarkEnd w:id="2754"/>
      <w:r w:rsidRPr="000A0A5F">
        <w:t xml:space="preserve"> </w:t>
      </w:r>
    </w:p>
    <w:p w:rsidR="00CB0DD7" w:rsidRPr="000A0A5F" w:rsidRDefault="00CB0DD7">
      <w:r w:rsidRPr="000A0A5F">
        <w:t>The simple data types defined in table 5.4.2.</w:t>
      </w:r>
      <w:r w:rsidRPr="000A0A5F">
        <w:rPr>
          <w:rFonts w:hint="eastAsia"/>
          <w:lang w:eastAsia="zh-CN"/>
        </w:rPr>
        <w:t>3</w:t>
      </w:r>
      <w:r w:rsidRPr="000A0A5F">
        <w:t>.2-1 shall be supported.</w:t>
      </w:r>
    </w:p>
    <w:p w:rsidR="00CB0DD7" w:rsidRPr="000A0A5F" w:rsidRDefault="00CB0DD7">
      <w:pPr>
        <w:pStyle w:val="TH"/>
      </w:pPr>
      <w:r w:rsidRPr="000A0A5F">
        <w:t>Table 5.4.2.3.2-1: Simple data types</w:t>
      </w:r>
    </w:p>
    <w:tbl>
      <w:tblPr>
        <w:tblW w:w="4603"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760"/>
        <w:gridCol w:w="7314"/>
      </w:tblGrid>
      <w:tr w:rsidR="00CB0DD7" w:rsidRPr="000A0A5F" w:rsidTr="00FF0AF8">
        <w:tc>
          <w:tcPr>
            <w:tcW w:w="970" w:type="pct"/>
            <w:shd w:val="clear" w:color="auto" w:fill="C0C0C0"/>
            <w:tcMar>
              <w:top w:w="0" w:type="dxa"/>
              <w:left w:w="108" w:type="dxa"/>
              <w:bottom w:w="0" w:type="dxa"/>
              <w:right w:w="108" w:type="dxa"/>
            </w:tcMar>
          </w:tcPr>
          <w:p w:rsidR="00CB0DD7" w:rsidRPr="000A0A5F" w:rsidRDefault="00CB0DD7">
            <w:pPr>
              <w:pStyle w:val="TAH"/>
            </w:pPr>
            <w:r w:rsidRPr="000A0A5F">
              <w:t>Type name</w:t>
            </w:r>
          </w:p>
        </w:tc>
        <w:tc>
          <w:tcPr>
            <w:tcW w:w="4030" w:type="pct"/>
            <w:shd w:val="clear" w:color="auto" w:fill="C0C0C0"/>
            <w:tcMar>
              <w:top w:w="0" w:type="dxa"/>
              <w:left w:w="108" w:type="dxa"/>
              <w:bottom w:w="0" w:type="dxa"/>
              <w:right w:w="108" w:type="dxa"/>
            </w:tcMar>
          </w:tcPr>
          <w:p w:rsidR="00CB0DD7" w:rsidRPr="000A0A5F" w:rsidRDefault="00CB0DD7">
            <w:pPr>
              <w:pStyle w:val="TAH"/>
            </w:pPr>
            <w:r w:rsidRPr="000A0A5F">
              <w:t>Description</w:t>
            </w:r>
          </w:p>
        </w:tc>
      </w:tr>
      <w:tr w:rsidR="00CB0DD7" w:rsidRPr="000A0A5F" w:rsidTr="00FF0AF8">
        <w:tc>
          <w:tcPr>
            <w:tcW w:w="970" w:type="pct"/>
            <w:tcMar>
              <w:top w:w="0" w:type="dxa"/>
              <w:left w:w="108" w:type="dxa"/>
              <w:bottom w:w="0" w:type="dxa"/>
              <w:right w:w="108" w:type="dxa"/>
            </w:tcMar>
          </w:tcPr>
          <w:p w:rsidR="00CB0DD7" w:rsidRPr="000A0A5F" w:rsidRDefault="00CB0DD7">
            <w:pPr>
              <w:pStyle w:val="TAL"/>
            </w:pPr>
            <w:r w:rsidRPr="000A0A5F">
              <w:rPr>
                <w:rFonts w:hint="eastAsia"/>
                <w:lang w:eastAsia="zh-CN"/>
              </w:rPr>
              <w:t>T</w:t>
            </w:r>
            <w:r w:rsidRPr="000A0A5F">
              <w:rPr>
                <w:lang w:eastAsia="zh-CN"/>
              </w:rPr>
              <w:t>rafficDescriptor</w:t>
            </w:r>
          </w:p>
        </w:tc>
        <w:tc>
          <w:tcPr>
            <w:tcW w:w="4030" w:type="pct"/>
            <w:tcMar>
              <w:top w:w="0" w:type="dxa"/>
              <w:left w:w="108" w:type="dxa"/>
              <w:bottom w:w="0" w:type="dxa"/>
              <w:right w:w="108" w:type="dxa"/>
            </w:tcMar>
          </w:tcPr>
          <w:p w:rsidR="00CB0DD7" w:rsidRPr="000A0A5F" w:rsidRDefault="00CB0DD7">
            <w:pPr>
              <w:pStyle w:val="TAL"/>
              <w:rPr>
                <w:lang w:eastAsia="zh-CN"/>
              </w:rPr>
            </w:pPr>
            <w:r w:rsidRPr="000A0A5F">
              <w:rPr>
                <w:rFonts w:hint="eastAsia"/>
                <w:lang w:eastAsia="zh-CN"/>
              </w:rPr>
              <w:t>S</w:t>
            </w:r>
            <w:r w:rsidRPr="000A0A5F">
              <w:rPr>
                <w:lang w:eastAsia="zh-CN"/>
              </w:rPr>
              <w:t>tring identifying a traffic descriptor as defined in table</w:t>
            </w:r>
            <w:r w:rsidRPr="000A0A5F">
              <w:rPr>
                <w:lang w:val="en-US" w:eastAsia="zh-CN"/>
              </w:rPr>
              <w:t> 5.2.1</w:t>
            </w:r>
            <w:r w:rsidRPr="000A0A5F">
              <w:rPr>
                <w:lang w:eastAsia="zh-CN"/>
              </w:rPr>
              <w:t xml:space="preserve"> of 3GPP TS 24.526 [64]</w:t>
            </w:r>
            <w:r w:rsidRPr="000A0A5F">
              <w:rPr>
                <w:lang w:val="en-US" w:eastAsia="zh-CN"/>
              </w:rPr>
              <w:t>.</w:t>
            </w:r>
          </w:p>
        </w:tc>
      </w:tr>
    </w:tbl>
    <w:p w:rsidR="00CB0DD7" w:rsidRPr="000A0A5F" w:rsidRDefault="00CB0DD7"/>
    <w:p w:rsidR="00CB0DD7" w:rsidRPr="000A0A5F" w:rsidRDefault="00CB0DD7">
      <w:pPr>
        <w:pStyle w:val="Heading3"/>
      </w:pPr>
      <w:bookmarkStart w:id="2755" w:name="_Toc11247374"/>
      <w:bookmarkStart w:id="2756" w:name="_Toc27044496"/>
      <w:bookmarkStart w:id="2757" w:name="_Toc36033538"/>
      <w:bookmarkStart w:id="2758" w:name="_Toc45131673"/>
      <w:bookmarkStart w:id="2759" w:name="_Toc49775958"/>
      <w:bookmarkStart w:id="2760" w:name="_Toc51746878"/>
      <w:bookmarkStart w:id="2761" w:name="_Toc66360426"/>
      <w:bookmarkStart w:id="2762" w:name="_Toc68104931"/>
      <w:bookmarkStart w:id="2763" w:name="_Toc74755561"/>
      <w:bookmarkStart w:id="2764" w:name="_Toc105674434"/>
      <w:bookmarkStart w:id="2765" w:name="_Toc130502474"/>
      <w:bookmarkStart w:id="2766" w:name="_Toc153625261"/>
      <w:r w:rsidRPr="000A0A5F">
        <w:t>5.4.3</w:t>
      </w:r>
      <w:r w:rsidRPr="000A0A5F">
        <w:tab/>
        <w:t>Resource structure</w:t>
      </w:r>
      <w:bookmarkEnd w:id="2755"/>
      <w:bookmarkEnd w:id="2756"/>
      <w:bookmarkEnd w:id="2757"/>
      <w:bookmarkEnd w:id="2758"/>
      <w:bookmarkEnd w:id="2759"/>
      <w:bookmarkEnd w:id="2760"/>
      <w:bookmarkEnd w:id="2761"/>
      <w:bookmarkEnd w:id="2762"/>
      <w:bookmarkEnd w:id="2763"/>
      <w:bookmarkEnd w:id="2764"/>
      <w:bookmarkEnd w:id="2765"/>
      <w:bookmarkEnd w:id="2766"/>
    </w:p>
    <w:p w:rsidR="00CB0DD7" w:rsidRPr="000A0A5F" w:rsidRDefault="00CB0DD7">
      <w:pPr>
        <w:pStyle w:val="Heading4"/>
      </w:pPr>
      <w:bookmarkStart w:id="2767" w:name="_Toc11247375"/>
      <w:bookmarkStart w:id="2768" w:name="_Toc27044497"/>
      <w:bookmarkStart w:id="2769" w:name="_Toc36033539"/>
      <w:bookmarkStart w:id="2770" w:name="_Toc45131674"/>
      <w:bookmarkStart w:id="2771" w:name="_Toc49775959"/>
      <w:bookmarkStart w:id="2772" w:name="_Toc51746879"/>
      <w:bookmarkStart w:id="2773" w:name="_Toc66360427"/>
      <w:bookmarkStart w:id="2774" w:name="_Toc68104932"/>
      <w:bookmarkStart w:id="2775" w:name="_Toc74755562"/>
      <w:bookmarkStart w:id="2776" w:name="_Toc105674435"/>
      <w:bookmarkStart w:id="2777" w:name="_Toc130502475"/>
      <w:bookmarkStart w:id="2778" w:name="_Toc153625262"/>
      <w:r w:rsidRPr="000A0A5F">
        <w:t>5.4.3.1</w:t>
      </w:r>
      <w:r w:rsidRPr="000A0A5F">
        <w:tab/>
        <w:t>General</w:t>
      </w:r>
      <w:bookmarkEnd w:id="2767"/>
      <w:bookmarkEnd w:id="2768"/>
      <w:bookmarkEnd w:id="2769"/>
      <w:bookmarkEnd w:id="2770"/>
      <w:bookmarkEnd w:id="2771"/>
      <w:bookmarkEnd w:id="2772"/>
      <w:bookmarkEnd w:id="2773"/>
      <w:bookmarkEnd w:id="2774"/>
      <w:bookmarkEnd w:id="2775"/>
      <w:bookmarkEnd w:id="2776"/>
      <w:bookmarkEnd w:id="2777"/>
      <w:bookmarkEnd w:id="2778"/>
    </w:p>
    <w:p w:rsidR="00CB0DD7" w:rsidRPr="000A0A5F" w:rsidRDefault="00CB0DD7">
      <w:r w:rsidRPr="000A0A5F">
        <w:t>All resource URIs of this API should have the following root:</w:t>
      </w:r>
    </w:p>
    <w:p w:rsidR="00CB0DD7" w:rsidRPr="000A0A5F" w:rsidRDefault="00CB0DD7">
      <w:pPr>
        <w:pStyle w:val="B1"/>
        <w:numPr>
          <w:ilvl w:val="0"/>
          <w:numId w:val="0"/>
        </w:numPr>
        <w:ind w:left="737"/>
        <w:rPr>
          <w:b/>
        </w:rPr>
      </w:pPr>
      <w:r w:rsidRPr="000A0A5F">
        <w:rPr>
          <w:b/>
        </w:rPr>
        <w:t>{apiRoot}/3gpp-bdt/v1</w:t>
      </w:r>
    </w:p>
    <w:p w:rsidR="00CB0DD7" w:rsidRPr="000A0A5F" w:rsidRDefault="00CB0DD7">
      <w:r w:rsidRPr="000A0A5F">
        <w:t>"apiRoot" is set as described in clause 5.2.4. All resource URIs in the clauses below are defined relative to the above root URI.</w:t>
      </w:r>
    </w:p>
    <w:p w:rsidR="00CB0DD7" w:rsidRPr="000A0A5F" w:rsidRDefault="00CB0DD7">
      <w:r w:rsidRPr="000A0A5F">
        <w:t>The following resources and HTTP methods are supported for this API:</w:t>
      </w:r>
    </w:p>
    <w:p w:rsidR="00CB0DD7" w:rsidRPr="000A0A5F" w:rsidRDefault="00CB0DD7">
      <w:pPr>
        <w:pStyle w:val="TH"/>
      </w:pPr>
      <w:r w:rsidRPr="000A0A5F">
        <w:t>Table 5.4.3.1-1: Resources and methods overview</w:t>
      </w:r>
    </w:p>
    <w:tbl>
      <w:tblPr>
        <w:tblW w:w="494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1E0" w:firstRow="1" w:lastRow="1" w:firstColumn="1" w:lastColumn="1" w:noHBand="0" w:noVBand="0"/>
      </w:tblPr>
      <w:tblGrid>
        <w:gridCol w:w="1142"/>
        <w:gridCol w:w="3748"/>
        <w:gridCol w:w="1074"/>
        <w:gridCol w:w="3696"/>
      </w:tblGrid>
      <w:tr w:rsidR="00CB0DD7" w:rsidRPr="000A0A5F" w:rsidTr="00FF0AF8">
        <w:trPr>
          <w:jc w:val="center"/>
        </w:trPr>
        <w:tc>
          <w:tcPr>
            <w:tcW w:w="591" w:type="pct"/>
            <w:shd w:val="clear" w:color="auto" w:fill="C0C0C0"/>
            <w:vAlign w:val="center"/>
            <w:hideMark/>
          </w:tcPr>
          <w:p w:rsidR="00CB0DD7" w:rsidRPr="000A0A5F" w:rsidRDefault="00CB0DD7">
            <w:pPr>
              <w:pStyle w:val="TAH"/>
              <w:spacing w:line="276" w:lineRule="auto"/>
            </w:pPr>
            <w:r w:rsidRPr="000A0A5F">
              <w:t>Resource name</w:t>
            </w:r>
          </w:p>
        </w:tc>
        <w:tc>
          <w:tcPr>
            <w:tcW w:w="1940" w:type="pct"/>
            <w:shd w:val="clear" w:color="auto" w:fill="C0C0C0"/>
            <w:vAlign w:val="center"/>
            <w:hideMark/>
          </w:tcPr>
          <w:p w:rsidR="00CB0DD7" w:rsidRPr="000A0A5F" w:rsidRDefault="00CB0DD7">
            <w:pPr>
              <w:pStyle w:val="TAH"/>
              <w:spacing w:line="276" w:lineRule="auto"/>
            </w:pPr>
            <w:r w:rsidRPr="000A0A5F">
              <w:t>Resource URI</w:t>
            </w:r>
          </w:p>
        </w:tc>
        <w:tc>
          <w:tcPr>
            <w:tcW w:w="556" w:type="pct"/>
            <w:shd w:val="clear" w:color="auto" w:fill="C0C0C0"/>
            <w:vAlign w:val="center"/>
            <w:hideMark/>
          </w:tcPr>
          <w:p w:rsidR="00CB0DD7" w:rsidRPr="000A0A5F" w:rsidRDefault="00CB0DD7">
            <w:pPr>
              <w:pStyle w:val="TAH"/>
              <w:spacing w:line="276" w:lineRule="auto"/>
            </w:pPr>
            <w:r w:rsidRPr="000A0A5F">
              <w:t>HTTP method</w:t>
            </w:r>
          </w:p>
        </w:tc>
        <w:tc>
          <w:tcPr>
            <w:tcW w:w="1913" w:type="pct"/>
            <w:shd w:val="clear" w:color="auto" w:fill="C0C0C0"/>
            <w:vAlign w:val="center"/>
            <w:hideMark/>
          </w:tcPr>
          <w:p w:rsidR="00CB0DD7" w:rsidRPr="000A0A5F" w:rsidRDefault="00CB0DD7">
            <w:pPr>
              <w:pStyle w:val="TAH"/>
              <w:spacing w:line="276" w:lineRule="auto"/>
            </w:pPr>
            <w:r w:rsidRPr="000A0A5F">
              <w:t>Meaning</w:t>
            </w:r>
          </w:p>
        </w:tc>
      </w:tr>
      <w:tr w:rsidR="00CB0DD7" w:rsidRPr="000A0A5F" w:rsidTr="00FF0AF8">
        <w:trPr>
          <w:jc w:val="center"/>
        </w:trPr>
        <w:tc>
          <w:tcPr>
            <w:tcW w:w="591" w:type="pct"/>
            <w:vMerge w:val="restart"/>
            <w:shd w:val="clear" w:color="auto" w:fill="auto"/>
          </w:tcPr>
          <w:p w:rsidR="00CB0DD7" w:rsidRPr="000A0A5F" w:rsidRDefault="00CB0DD7">
            <w:pPr>
              <w:pStyle w:val="TAL"/>
            </w:pPr>
            <w:r w:rsidRPr="000A0A5F">
              <w:t>BDT Subscription</w:t>
            </w:r>
          </w:p>
        </w:tc>
        <w:tc>
          <w:tcPr>
            <w:tcW w:w="1940" w:type="pct"/>
            <w:vMerge w:val="restart"/>
            <w:shd w:val="clear" w:color="auto" w:fill="auto"/>
          </w:tcPr>
          <w:p w:rsidR="00CB0DD7" w:rsidRPr="000A0A5F" w:rsidRDefault="00CB0DD7">
            <w:pPr>
              <w:pStyle w:val="TAL"/>
            </w:pPr>
            <w:r w:rsidRPr="000A0A5F">
              <w:t>/{scsAsId}/subscriptions</w:t>
            </w:r>
          </w:p>
        </w:tc>
        <w:tc>
          <w:tcPr>
            <w:tcW w:w="556" w:type="pct"/>
            <w:shd w:val="clear" w:color="auto" w:fill="auto"/>
          </w:tcPr>
          <w:p w:rsidR="00CB0DD7" w:rsidRPr="000A0A5F" w:rsidRDefault="00CB0DD7">
            <w:pPr>
              <w:pStyle w:val="TAL"/>
            </w:pPr>
            <w:r w:rsidRPr="000A0A5F">
              <w:t>GET</w:t>
            </w:r>
          </w:p>
        </w:tc>
        <w:tc>
          <w:tcPr>
            <w:tcW w:w="1913" w:type="pct"/>
            <w:shd w:val="clear" w:color="auto" w:fill="auto"/>
          </w:tcPr>
          <w:p w:rsidR="00CB0DD7" w:rsidRPr="000A0A5F" w:rsidRDefault="00CB0DD7">
            <w:pPr>
              <w:pStyle w:val="TAL"/>
            </w:pPr>
            <w:r w:rsidRPr="000A0A5F">
              <w:t xml:space="preserve">Read all active background data transfer subscription </w:t>
            </w:r>
            <w:r w:rsidRPr="000A0A5F">
              <w:rPr>
                <w:noProof/>
                <w:lang w:eastAsia="zh-CN"/>
              </w:rPr>
              <w:t>resources for a given SCS/AS</w:t>
            </w:r>
          </w:p>
        </w:tc>
      </w:tr>
      <w:tr w:rsidR="00CB0DD7" w:rsidRPr="000A0A5F" w:rsidTr="00FF0AF8">
        <w:trPr>
          <w:jc w:val="center"/>
        </w:trPr>
        <w:tc>
          <w:tcPr>
            <w:tcW w:w="591" w:type="pct"/>
            <w:vMerge/>
            <w:shd w:val="clear" w:color="auto" w:fill="auto"/>
          </w:tcPr>
          <w:p w:rsidR="00CB0DD7" w:rsidRPr="000A0A5F" w:rsidRDefault="00CB0DD7">
            <w:pPr>
              <w:pStyle w:val="TAL"/>
            </w:pPr>
          </w:p>
        </w:tc>
        <w:tc>
          <w:tcPr>
            <w:tcW w:w="1940" w:type="pct"/>
            <w:vMerge/>
            <w:shd w:val="clear" w:color="auto" w:fill="auto"/>
          </w:tcPr>
          <w:p w:rsidR="00CB0DD7" w:rsidRPr="000A0A5F" w:rsidRDefault="00CB0DD7">
            <w:pPr>
              <w:pStyle w:val="TAL"/>
            </w:pPr>
          </w:p>
        </w:tc>
        <w:tc>
          <w:tcPr>
            <w:tcW w:w="556" w:type="pct"/>
            <w:shd w:val="clear" w:color="auto" w:fill="auto"/>
          </w:tcPr>
          <w:p w:rsidR="00CB0DD7" w:rsidRPr="000A0A5F" w:rsidRDefault="00CB0DD7">
            <w:pPr>
              <w:pStyle w:val="TAL"/>
            </w:pPr>
            <w:r w:rsidRPr="000A0A5F">
              <w:t>POST</w:t>
            </w:r>
          </w:p>
        </w:tc>
        <w:tc>
          <w:tcPr>
            <w:tcW w:w="1913" w:type="pct"/>
            <w:shd w:val="clear" w:color="auto" w:fill="auto"/>
          </w:tcPr>
          <w:p w:rsidR="00CB0DD7" w:rsidRPr="000A0A5F" w:rsidRDefault="00CB0DD7">
            <w:pPr>
              <w:pStyle w:val="TAL"/>
            </w:pPr>
            <w:r w:rsidRPr="000A0A5F">
              <w:t xml:space="preserve">Create a new background data transfer subscription </w:t>
            </w:r>
            <w:r w:rsidRPr="000A0A5F">
              <w:rPr>
                <w:noProof/>
                <w:lang w:eastAsia="zh-CN"/>
              </w:rPr>
              <w:t>resource</w:t>
            </w:r>
          </w:p>
        </w:tc>
      </w:tr>
      <w:tr w:rsidR="00CB0DD7" w:rsidRPr="000A0A5F" w:rsidTr="00FF0AF8">
        <w:trPr>
          <w:jc w:val="center"/>
        </w:trPr>
        <w:tc>
          <w:tcPr>
            <w:tcW w:w="591" w:type="pct"/>
            <w:vMerge w:val="restart"/>
            <w:hideMark/>
          </w:tcPr>
          <w:p w:rsidR="00CB0DD7" w:rsidRPr="000A0A5F" w:rsidRDefault="00CB0DD7">
            <w:pPr>
              <w:pStyle w:val="TAL"/>
              <w:rPr>
                <w:lang w:eastAsia="zh-CN"/>
              </w:rPr>
            </w:pPr>
            <w:r w:rsidRPr="000A0A5F">
              <w:t>Individual BDT Subscription</w:t>
            </w:r>
          </w:p>
        </w:tc>
        <w:tc>
          <w:tcPr>
            <w:tcW w:w="1940" w:type="pct"/>
            <w:vMerge w:val="restart"/>
            <w:hideMark/>
          </w:tcPr>
          <w:p w:rsidR="00CB0DD7" w:rsidRPr="000A0A5F" w:rsidRDefault="00CB0DD7">
            <w:pPr>
              <w:pStyle w:val="TAL"/>
            </w:pPr>
            <w:r w:rsidRPr="000A0A5F">
              <w:t>/{scsAsId}/subscriptions/{subscriptionId}</w:t>
            </w:r>
          </w:p>
        </w:tc>
        <w:tc>
          <w:tcPr>
            <w:tcW w:w="556" w:type="pct"/>
          </w:tcPr>
          <w:p w:rsidR="00CB0DD7" w:rsidRPr="000A0A5F" w:rsidRDefault="00CB0DD7">
            <w:pPr>
              <w:pStyle w:val="TAL"/>
            </w:pPr>
            <w:r w:rsidRPr="000A0A5F">
              <w:t>PATCH</w:t>
            </w:r>
          </w:p>
        </w:tc>
        <w:tc>
          <w:tcPr>
            <w:tcW w:w="1913" w:type="pct"/>
          </w:tcPr>
          <w:p w:rsidR="00CB0DD7" w:rsidRPr="000A0A5F" w:rsidRDefault="00CB0DD7">
            <w:pPr>
              <w:pStyle w:val="TAL"/>
            </w:pPr>
            <w:r w:rsidRPr="000A0A5F">
              <w:t>Modify a background data transfer subscription resource to select one of the transfer policies offered by the SCEF</w:t>
            </w:r>
          </w:p>
        </w:tc>
      </w:tr>
      <w:tr w:rsidR="00CB0DD7" w:rsidRPr="000A0A5F" w:rsidTr="00FF0AF8">
        <w:trPr>
          <w:jc w:val="center"/>
        </w:trPr>
        <w:tc>
          <w:tcPr>
            <w:tcW w:w="591" w:type="pct"/>
            <w:vMerge/>
          </w:tcPr>
          <w:p w:rsidR="00CB0DD7" w:rsidRPr="000A0A5F" w:rsidRDefault="00CB0DD7">
            <w:pPr>
              <w:pStyle w:val="TAL"/>
            </w:pPr>
          </w:p>
        </w:tc>
        <w:tc>
          <w:tcPr>
            <w:tcW w:w="1940" w:type="pct"/>
            <w:vMerge/>
          </w:tcPr>
          <w:p w:rsidR="00CB0DD7" w:rsidRPr="000A0A5F" w:rsidRDefault="00CB0DD7">
            <w:pPr>
              <w:pStyle w:val="TAL"/>
            </w:pPr>
          </w:p>
        </w:tc>
        <w:tc>
          <w:tcPr>
            <w:tcW w:w="556" w:type="pct"/>
          </w:tcPr>
          <w:p w:rsidR="00CB0DD7" w:rsidRPr="000A0A5F" w:rsidRDefault="00CB0DD7">
            <w:pPr>
              <w:pStyle w:val="TAL"/>
            </w:pPr>
            <w:r w:rsidRPr="000A0A5F">
              <w:rPr>
                <w:rFonts w:hint="eastAsia"/>
                <w:lang w:eastAsia="zh-CN"/>
              </w:rPr>
              <w:t>PUT</w:t>
            </w:r>
          </w:p>
        </w:tc>
        <w:tc>
          <w:tcPr>
            <w:tcW w:w="1913" w:type="pct"/>
          </w:tcPr>
          <w:p w:rsidR="00CB0DD7" w:rsidRPr="000A0A5F" w:rsidRDefault="00CB0DD7">
            <w:pPr>
              <w:pStyle w:val="TAL"/>
            </w:pPr>
            <w:r w:rsidRPr="000A0A5F">
              <w:rPr>
                <w:noProof/>
                <w:lang w:eastAsia="zh-CN"/>
              </w:rPr>
              <w:t xml:space="preserve">Update </w:t>
            </w:r>
            <w:r w:rsidRPr="000A0A5F">
              <w:t>a background data transfer subscription resource</w:t>
            </w:r>
            <w:r w:rsidRPr="000A0A5F">
              <w:rPr>
                <w:noProof/>
                <w:lang w:eastAsia="zh-CN"/>
              </w:rPr>
              <w:t xml:space="preserve"> for negotiation of background data transfer policy</w:t>
            </w:r>
          </w:p>
        </w:tc>
      </w:tr>
      <w:tr w:rsidR="00CB0DD7" w:rsidRPr="000A0A5F" w:rsidTr="00FF0AF8">
        <w:trPr>
          <w:jc w:val="center"/>
        </w:trPr>
        <w:tc>
          <w:tcPr>
            <w:tcW w:w="591" w:type="pct"/>
            <w:vMerge/>
          </w:tcPr>
          <w:p w:rsidR="00CB0DD7" w:rsidRPr="000A0A5F" w:rsidRDefault="00CB0DD7">
            <w:pPr>
              <w:pStyle w:val="TAL"/>
              <w:spacing w:line="276" w:lineRule="auto"/>
            </w:pPr>
          </w:p>
        </w:tc>
        <w:tc>
          <w:tcPr>
            <w:tcW w:w="1940" w:type="pct"/>
            <w:vMerge/>
          </w:tcPr>
          <w:p w:rsidR="00CB0DD7" w:rsidRPr="000A0A5F" w:rsidRDefault="00CB0DD7">
            <w:pPr>
              <w:pStyle w:val="TAL"/>
              <w:spacing w:line="276" w:lineRule="auto"/>
            </w:pPr>
          </w:p>
        </w:tc>
        <w:tc>
          <w:tcPr>
            <w:tcW w:w="556" w:type="pct"/>
          </w:tcPr>
          <w:p w:rsidR="00CB0DD7" w:rsidRPr="000A0A5F" w:rsidRDefault="00CB0DD7">
            <w:pPr>
              <w:pStyle w:val="TAL"/>
            </w:pPr>
            <w:r w:rsidRPr="000A0A5F">
              <w:t>GET</w:t>
            </w:r>
          </w:p>
        </w:tc>
        <w:tc>
          <w:tcPr>
            <w:tcW w:w="1913" w:type="pct"/>
          </w:tcPr>
          <w:p w:rsidR="00CB0DD7" w:rsidRPr="000A0A5F" w:rsidRDefault="00CB0DD7">
            <w:pPr>
              <w:pStyle w:val="TAL"/>
            </w:pPr>
            <w:r w:rsidRPr="000A0A5F">
              <w:t xml:space="preserve">Read a background data transfer subscription </w:t>
            </w:r>
            <w:r w:rsidRPr="000A0A5F">
              <w:rPr>
                <w:noProof/>
                <w:lang w:eastAsia="zh-CN"/>
              </w:rPr>
              <w:t>resource</w:t>
            </w:r>
          </w:p>
        </w:tc>
      </w:tr>
      <w:tr w:rsidR="00CB0DD7" w:rsidRPr="000A0A5F" w:rsidTr="00FF0AF8">
        <w:trPr>
          <w:jc w:val="center"/>
        </w:trPr>
        <w:tc>
          <w:tcPr>
            <w:tcW w:w="591" w:type="pct"/>
            <w:vMerge/>
          </w:tcPr>
          <w:p w:rsidR="00CB0DD7" w:rsidRPr="000A0A5F" w:rsidRDefault="00CB0DD7">
            <w:pPr>
              <w:pStyle w:val="TAL"/>
              <w:spacing w:line="276" w:lineRule="auto"/>
            </w:pPr>
          </w:p>
        </w:tc>
        <w:tc>
          <w:tcPr>
            <w:tcW w:w="1940" w:type="pct"/>
            <w:vMerge/>
          </w:tcPr>
          <w:p w:rsidR="00CB0DD7" w:rsidRPr="000A0A5F" w:rsidRDefault="00CB0DD7">
            <w:pPr>
              <w:pStyle w:val="TAL"/>
              <w:spacing w:line="276" w:lineRule="auto"/>
            </w:pPr>
          </w:p>
        </w:tc>
        <w:tc>
          <w:tcPr>
            <w:tcW w:w="556" w:type="pct"/>
          </w:tcPr>
          <w:p w:rsidR="00CB0DD7" w:rsidRPr="000A0A5F" w:rsidRDefault="00CB0DD7">
            <w:pPr>
              <w:pStyle w:val="TAL"/>
            </w:pPr>
            <w:r w:rsidRPr="000A0A5F">
              <w:t>DELETE</w:t>
            </w:r>
          </w:p>
        </w:tc>
        <w:tc>
          <w:tcPr>
            <w:tcW w:w="1913" w:type="pct"/>
          </w:tcPr>
          <w:p w:rsidR="00CB0DD7" w:rsidRPr="000A0A5F" w:rsidRDefault="00CB0DD7">
            <w:pPr>
              <w:pStyle w:val="TAL"/>
            </w:pPr>
            <w:r w:rsidRPr="000A0A5F">
              <w:t xml:space="preserve">Delete a background data transfer </w:t>
            </w:r>
            <w:r w:rsidRPr="000A0A5F">
              <w:rPr>
                <w:noProof/>
                <w:lang w:eastAsia="zh-CN"/>
              </w:rPr>
              <w:t>resources</w:t>
            </w:r>
          </w:p>
        </w:tc>
      </w:tr>
    </w:tbl>
    <w:p w:rsidR="00CB0DD7" w:rsidRPr="000A0A5F" w:rsidRDefault="00CB0DD7"/>
    <w:p w:rsidR="00CB0DD7" w:rsidRPr="000A0A5F" w:rsidRDefault="00CB0DD7">
      <w:pPr>
        <w:pStyle w:val="Heading4"/>
      </w:pPr>
      <w:bookmarkStart w:id="2779" w:name="_Toc11247376"/>
      <w:bookmarkStart w:id="2780" w:name="_Toc27044498"/>
      <w:bookmarkStart w:id="2781" w:name="_Toc36033540"/>
      <w:bookmarkStart w:id="2782" w:name="_Toc45131675"/>
      <w:bookmarkStart w:id="2783" w:name="_Toc49775960"/>
      <w:bookmarkStart w:id="2784" w:name="_Toc51746880"/>
      <w:bookmarkStart w:id="2785" w:name="_Toc66360428"/>
      <w:bookmarkStart w:id="2786" w:name="_Toc68104933"/>
      <w:bookmarkStart w:id="2787" w:name="_Toc74755563"/>
      <w:bookmarkStart w:id="2788" w:name="_Toc105674436"/>
      <w:bookmarkStart w:id="2789" w:name="_Toc130502476"/>
      <w:bookmarkStart w:id="2790" w:name="_Toc153625263"/>
      <w:r w:rsidRPr="000A0A5F">
        <w:t>5.4.3.2</w:t>
      </w:r>
      <w:r w:rsidRPr="000A0A5F">
        <w:tab/>
        <w:t>Resource: BDT Subscriptions</w:t>
      </w:r>
      <w:bookmarkEnd w:id="2779"/>
      <w:bookmarkEnd w:id="2780"/>
      <w:bookmarkEnd w:id="2781"/>
      <w:bookmarkEnd w:id="2782"/>
      <w:bookmarkEnd w:id="2783"/>
      <w:bookmarkEnd w:id="2784"/>
      <w:bookmarkEnd w:id="2785"/>
      <w:bookmarkEnd w:id="2786"/>
      <w:bookmarkEnd w:id="2787"/>
      <w:bookmarkEnd w:id="2788"/>
      <w:bookmarkEnd w:id="2789"/>
      <w:bookmarkEnd w:id="2790"/>
    </w:p>
    <w:p w:rsidR="00CB0DD7" w:rsidRPr="000A0A5F" w:rsidRDefault="00CB0DD7">
      <w:pPr>
        <w:pStyle w:val="Heading5"/>
      </w:pPr>
      <w:bookmarkStart w:id="2791" w:name="_Toc11247377"/>
      <w:bookmarkStart w:id="2792" w:name="_Toc27044499"/>
      <w:bookmarkStart w:id="2793" w:name="_Toc36033541"/>
      <w:bookmarkStart w:id="2794" w:name="_Toc45131676"/>
      <w:bookmarkStart w:id="2795" w:name="_Toc49775961"/>
      <w:bookmarkStart w:id="2796" w:name="_Toc51746881"/>
      <w:bookmarkStart w:id="2797" w:name="_Toc66360429"/>
      <w:bookmarkStart w:id="2798" w:name="_Toc68104934"/>
      <w:bookmarkStart w:id="2799" w:name="_Toc74755564"/>
      <w:bookmarkStart w:id="2800" w:name="_Toc105674437"/>
      <w:bookmarkStart w:id="2801" w:name="_Toc130502477"/>
      <w:bookmarkStart w:id="2802" w:name="_Toc153625264"/>
      <w:r w:rsidRPr="000A0A5F">
        <w:t>5.4.3.2.1</w:t>
      </w:r>
      <w:r w:rsidRPr="000A0A5F">
        <w:tab/>
        <w:t>Introduction</w:t>
      </w:r>
      <w:bookmarkEnd w:id="2791"/>
      <w:bookmarkEnd w:id="2792"/>
      <w:bookmarkEnd w:id="2793"/>
      <w:bookmarkEnd w:id="2794"/>
      <w:bookmarkEnd w:id="2795"/>
      <w:bookmarkEnd w:id="2796"/>
      <w:bookmarkEnd w:id="2797"/>
      <w:bookmarkEnd w:id="2798"/>
      <w:bookmarkEnd w:id="2799"/>
      <w:bookmarkEnd w:id="2800"/>
      <w:bookmarkEnd w:id="2801"/>
      <w:bookmarkEnd w:id="2802"/>
    </w:p>
    <w:p w:rsidR="00CB0DD7" w:rsidRPr="000A0A5F" w:rsidRDefault="00CB0DD7">
      <w:pPr>
        <w:rPr>
          <w:noProof/>
          <w:lang w:eastAsia="zh-CN"/>
        </w:rPr>
      </w:pPr>
      <w:r w:rsidRPr="000A0A5F">
        <w:rPr>
          <w:noProof/>
          <w:lang w:eastAsia="zh-CN"/>
        </w:rPr>
        <w:t>This resource allows t</w:t>
      </w:r>
      <w:r w:rsidRPr="000A0A5F">
        <w:rPr>
          <w:rFonts w:hint="eastAsia"/>
          <w:noProof/>
          <w:lang w:eastAsia="zh-CN"/>
        </w:rPr>
        <w:t xml:space="preserve">he SCS/AS </w:t>
      </w:r>
      <w:r w:rsidRPr="000A0A5F">
        <w:rPr>
          <w:noProof/>
          <w:lang w:eastAsia="zh-CN"/>
        </w:rPr>
        <w:t>to read all active long-term transactions related to BDT resource management.</w:t>
      </w:r>
    </w:p>
    <w:p w:rsidR="00CB0DD7" w:rsidRPr="000A0A5F" w:rsidRDefault="00CB0DD7">
      <w:pPr>
        <w:pStyle w:val="Heading5"/>
      </w:pPr>
      <w:bookmarkStart w:id="2803" w:name="_Toc11247378"/>
      <w:bookmarkStart w:id="2804" w:name="_Toc27044500"/>
      <w:bookmarkStart w:id="2805" w:name="_Toc36033542"/>
      <w:bookmarkStart w:id="2806" w:name="_Toc45131677"/>
      <w:bookmarkStart w:id="2807" w:name="_Toc49775962"/>
      <w:bookmarkStart w:id="2808" w:name="_Toc51746882"/>
      <w:bookmarkStart w:id="2809" w:name="_Toc66360430"/>
      <w:bookmarkStart w:id="2810" w:name="_Toc68104935"/>
      <w:bookmarkStart w:id="2811" w:name="_Toc74755565"/>
      <w:bookmarkStart w:id="2812" w:name="_Toc105674438"/>
      <w:bookmarkStart w:id="2813" w:name="_Toc130502478"/>
      <w:bookmarkStart w:id="2814" w:name="_Toc153625265"/>
      <w:r w:rsidRPr="000A0A5F">
        <w:t>5.4.3.2.2</w:t>
      </w:r>
      <w:r w:rsidRPr="000A0A5F">
        <w:tab/>
        <w:t>Resource definition</w:t>
      </w:r>
      <w:bookmarkEnd w:id="2803"/>
      <w:bookmarkEnd w:id="2804"/>
      <w:bookmarkEnd w:id="2805"/>
      <w:bookmarkEnd w:id="2806"/>
      <w:bookmarkEnd w:id="2807"/>
      <w:bookmarkEnd w:id="2808"/>
      <w:bookmarkEnd w:id="2809"/>
      <w:bookmarkEnd w:id="2810"/>
      <w:bookmarkEnd w:id="2811"/>
      <w:bookmarkEnd w:id="2812"/>
      <w:bookmarkEnd w:id="2813"/>
      <w:bookmarkEnd w:id="2814"/>
    </w:p>
    <w:p w:rsidR="00CB0DD7" w:rsidRPr="000A0A5F" w:rsidRDefault="00CB0DD7">
      <w:r w:rsidRPr="000A0A5F">
        <w:t xml:space="preserve">Resource URI: </w:t>
      </w:r>
      <w:r w:rsidRPr="000A0A5F">
        <w:rPr>
          <w:b/>
        </w:rPr>
        <w:t>{apiRoot}/3gpp-bdt/v1/{scsAsId}/subscriptions</w:t>
      </w:r>
    </w:p>
    <w:p w:rsidR="00CB0DD7" w:rsidRPr="000A0A5F" w:rsidRDefault="00CB0DD7">
      <w:pPr>
        <w:rPr>
          <w:rFonts w:ascii="Arial" w:hAnsi="Arial" w:cs="Arial"/>
        </w:rPr>
      </w:pPr>
      <w:r w:rsidRPr="000A0A5F">
        <w:t>This resource shall support the resource URI variables defined in table 5.4.3.2.2-1</w:t>
      </w:r>
      <w:r w:rsidRPr="000A0A5F">
        <w:rPr>
          <w:rFonts w:ascii="Arial" w:hAnsi="Arial" w:cs="Arial"/>
        </w:rPr>
        <w:t>.</w:t>
      </w:r>
    </w:p>
    <w:p w:rsidR="00CB0DD7" w:rsidRPr="000A0A5F" w:rsidRDefault="00CB0DD7">
      <w:pPr>
        <w:pStyle w:val="TH"/>
        <w:rPr>
          <w:rFonts w:cs="Arial"/>
        </w:rPr>
      </w:pPr>
      <w:r w:rsidRPr="000A0A5F">
        <w:t>Table 5.4.3.2.2-1: Resource URI variables for resource "BDT Subscriptions"</w:t>
      </w:r>
    </w:p>
    <w:tbl>
      <w:tblPr>
        <w:tblW w:w="4868"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970"/>
        <w:gridCol w:w="1453"/>
        <w:gridCol w:w="6096"/>
      </w:tblGrid>
      <w:tr w:rsidR="00CB0DD7" w:rsidRPr="000A0A5F" w:rsidTr="00FF0AF8">
        <w:trPr>
          <w:jc w:val="center"/>
        </w:trPr>
        <w:tc>
          <w:tcPr>
            <w:tcW w:w="1035" w:type="pct"/>
            <w:shd w:val="clear" w:color="000000" w:fill="C0C0C0"/>
          </w:tcPr>
          <w:p w:rsidR="00CB0DD7" w:rsidRPr="000A0A5F" w:rsidRDefault="00CB0DD7">
            <w:pPr>
              <w:pStyle w:val="TAH"/>
            </w:pPr>
            <w:r w:rsidRPr="000A0A5F">
              <w:t>Name</w:t>
            </w:r>
          </w:p>
        </w:tc>
        <w:tc>
          <w:tcPr>
            <w:tcW w:w="763" w:type="pct"/>
            <w:shd w:val="clear" w:color="000000" w:fill="C0C0C0"/>
          </w:tcPr>
          <w:p w:rsidR="00CB0DD7" w:rsidRPr="000A0A5F" w:rsidRDefault="00CB0DD7">
            <w:pPr>
              <w:pStyle w:val="TAH"/>
            </w:pPr>
            <w:r w:rsidRPr="000A0A5F">
              <w:rPr>
                <w:rFonts w:hint="eastAsia"/>
                <w:lang w:eastAsia="zh-CN"/>
              </w:rPr>
              <w:t>D</w:t>
            </w:r>
            <w:r w:rsidRPr="000A0A5F">
              <w:rPr>
                <w:lang w:eastAsia="zh-CN"/>
              </w:rPr>
              <w:t>ata type</w:t>
            </w:r>
          </w:p>
        </w:tc>
        <w:tc>
          <w:tcPr>
            <w:tcW w:w="3203" w:type="pct"/>
            <w:shd w:val="clear" w:color="000000" w:fill="C0C0C0"/>
            <w:vAlign w:val="center"/>
          </w:tcPr>
          <w:p w:rsidR="00CB0DD7" w:rsidRPr="000A0A5F" w:rsidRDefault="00CB0DD7">
            <w:pPr>
              <w:pStyle w:val="TAH"/>
            </w:pPr>
            <w:r w:rsidRPr="000A0A5F">
              <w:t>Definition</w:t>
            </w:r>
          </w:p>
        </w:tc>
      </w:tr>
      <w:tr w:rsidR="00CB0DD7" w:rsidRPr="000A0A5F" w:rsidTr="00FF0AF8">
        <w:trPr>
          <w:jc w:val="center"/>
        </w:trPr>
        <w:tc>
          <w:tcPr>
            <w:tcW w:w="1035" w:type="pct"/>
            <w:shd w:val="clear" w:color="auto" w:fill="auto"/>
          </w:tcPr>
          <w:p w:rsidR="00CB0DD7" w:rsidRPr="000A0A5F" w:rsidRDefault="00CB0DD7">
            <w:pPr>
              <w:pStyle w:val="TAL"/>
            </w:pPr>
            <w:r w:rsidRPr="000A0A5F">
              <w:t>apiRoot</w:t>
            </w:r>
          </w:p>
        </w:tc>
        <w:tc>
          <w:tcPr>
            <w:tcW w:w="763" w:type="pct"/>
          </w:tcPr>
          <w:p w:rsidR="00CB0DD7" w:rsidRPr="000A0A5F" w:rsidRDefault="00CB0DD7">
            <w:pPr>
              <w:pStyle w:val="TAL"/>
            </w:pPr>
            <w:r w:rsidRPr="000A0A5F">
              <w:rPr>
                <w:lang w:eastAsia="zh-CN"/>
              </w:rPr>
              <w:t>string</w:t>
            </w:r>
          </w:p>
        </w:tc>
        <w:tc>
          <w:tcPr>
            <w:tcW w:w="3203" w:type="pct"/>
            <w:shd w:val="clear" w:color="auto" w:fill="auto"/>
            <w:vAlign w:val="center"/>
          </w:tcPr>
          <w:p w:rsidR="00CB0DD7" w:rsidRPr="000A0A5F" w:rsidRDefault="00CB0DD7">
            <w:pPr>
              <w:pStyle w:val="TAL"/>
            </w:pPr>
            <w:r w:rsidRPr="000A0A5F">
              <w:t>See clause</w:t>
            </w:r>
            <w:r w:rsidRPr="000A0A5F">
              <w:rPr>
                <w:lang w:val="en-US" w:eastAsia="zh-CN"/>
              </w:rPr>
              <w:t> </w:t>
            </w:r>
            <w:r w:rsidRPr="000A0A5F">
              <w:t>5.2.4.</w:t>
            </w:r>
          </w:p>
        </w:tc>
      </w:tr>
      <w:tr w:rsidR="00CB0DD7" w:rsidRPr="000A0A5F" w:rsidTr="00FF0AF8">
        <w:trPr>
          <w:jc w:val="center"/>
        </w:trPr>
        <w:tc>
          <w:tcPr>
            <w:tcW w:w="1035" w:type="pct"/>
            <w:shd w:val="clear" w:color="auto" w:fill="auto"/>
          </w:tcPr>
          <w:p w:rsidR="00CB0DD7" w:rsidRPr="000A0A5F" w:rsidRDefault="00CB0DD7">
            <w:pPr>
              <w:pStyle w:val="TAL"/>
            </w:pPr>
            <w:r w:rsidRPr="000A0A5F">
              <w:t>scsAsId</w:t>
            </w:r>
          </w:p>
        </w:tc>
        <w:tc>
          <w:tcPr>
            <w:tcW w:w="763" w:type="pct"/>
          </w:tcPr>
          <w:p w:rsidR="00CB0DD7" w:rsidRPr="000A0A5F" w:rsidRDefault="00CB0DD7">
            <w:pPr>
              <w:pStyle w:val="TAL"/>
            </w:pPr>
            <w:r w:rsidRPr="000A0A5F">
              <w:rPr>
                <w:rFonts w:hint="eastAsia"/>
                <w:lang w:eastAsia="zh-CN"/>
              </w:rPr>
              <w:t>s</w:t>
            </w:r>
            <w:r w:rsidRPr="000A0A5F">
              <w:rPr>
                <w:lang w:eastAsia="zh-CN"/>
              </w:rPr>
              <w:t>tring</w:t>
            </w:r>
          </w:p>
        </w:tc>
        <w:tc>
          <w:tcPr>
            <w:tcW w:w="3203" w:type="pct"/>
            <w:shd w:val="clear" w:color="auto" w:fill="auto"/>
            <w:vAlign w:val="center"/>
          </w:tcPr>
          <w:p w:rsidR="00CB0DD7" w:rsidRPr="000A0A5F" w:rsidRDefault="00CB0DD7">
            <w:pPr>
              <w:pStyle w:val="TAL"/>
            </w:pPr>
            <w:r w:rsidRPr="000A0A5F">
              <w:t>Identifier of the SCS/AS.</w:t>
            </w:r>
          </w:p>
        </w:tc>
      </w:tr>
    </w:tbl>
    <w:p w:rsidR="00CB0DD7" w:rsidRPr="000A0A5F" w:rsidRDefault="00CB0DD7"/>
    <w:p w:rsidR="00CB0DD7" w:rsidRPr="000A0A5F" w:rsidRDefault="00CB0DD7">
      <w:pPr>
        <w:pStyle w:val="Heading5"/>
      </w:pPr>
      <w:bookmarkStart w:id="2815" w:name="_Toc11247379"/>
      <w:bookmarkStart w:id="2816" w:name="_Toc27044501"/>
      <w:bookmarkStart w:id="2817" w:name="_Toc36033543"/>
      <w:bookmarkStart w:id="2818" w:name="_Toc45131678"/>
      <w:bookmarkStart w:id="2819" w:name="_Toc49775963"/>
      <w:bookmarkStart w:id="2820" w:name="_Toc51746883"/>
      <w:bookmarkStart w:id="2821" w:name="_Toc66360431"/>
      <w:bookmarkStart w:id="2822" w:name="_Toc68104936"/>
      <w:bookmarkStart w:id="2823" w:name="_Toc74755566"/>
      <w:bookmarkStart w:id="2824" w:name="_Toc105674439"/>
      <w:bookmarkStart w:id="2825" w:name="_Toc130502479"/>
      <w:bookmarkStart w:id="2826" w:name="_Toc153625266"/>
      <w:r w:rsidRPr="000A0A5F">
        <w:t>5.4.3.2.3</w:t>
      </w:r>
      <w:r w:rsidRPr="000A0A5F">
        <w:tab/>
        <w:t>Resource methods</w:t>
      </w:r>
      <w:bookmarkEnd w:id="2815"/>
      <w:bookmarkEnd w:id="2816"/>
      <w:bookmarkEnd w:id="2817"/>
      <w:bookmarkEnd w:id="2818"/>
      <w:bookmarkEnd w:id="2819"/>
      <w:bookmarkEnd w:id="2820"/>
      <w:bookmarkEnd w:id="2821"/>
      <w:bookmarkEnd w:id="2822"/>
      <w:bookmarkEnd w:id="2823"/>
      <w:bookmarkEnd w:id="2824"/>
      <w:bookmarkEnd w:id="2825"/>
      <w:bookmarkEnd w:id="2826"/>
    </w:p>
    <w:p w:rsidR="00CB0DD7" w:rsidRPr="000A0A5F" w:rsidRDefault="00CB0DD7">
      <w:pPr>
        <w:pStyle w:val="Heading6"/>
      </w:pPr>
      <w:bookmarkStart w:id="2827" w:name="_Toc11247380"/>
      <w:bookmarkStart w:id="2828" w:name="_Toc27044502"/>
      <w:bookmarkStart w:id="2829" w:name="_Toc36033544"/>
      <w:bookmarkStart w:id="2830" w:name="_Toc45131679"/>
      <w:bookmarkStart w:id="2831" w:name="_Toc49775964"/>
      <w:bookmarkStart w:id="2832" w:name="_Toc51746884"/>
      <w:bookmarkStart w:id="2833" w:name="_Toc66360432"/>
      <w:bookmarkStart w:id="2834" w:name="_Toc68104937"/>
      <w:bookmarkStart w:id="2835" w:name="_Toc74755567"/>
      <w:bookmarkStart w:id="2836" w:name="_Toc105674440"/>
      <w:bookmarkStart w:id="2837" w:name="_Toc130502480"/>
      <w:bookmarkStart w:id="2838" w:name="_Toc153625267"/>
      <w:r w:rsidRPr="000A0A5F">
        <w:t>5.4.3.2.3.1</w:t>
      </w:r>
      <w:r w:rsidRPr="000A0A5F">
        <w:tab/>
        <w:t>GET</w:t>
      </w:r>
      <w:bookmarkEnd w:id="2827"/>
      <w:bookmarkEnd w:id="2828"/>
      <w:bookmarkEnd w:id="2829"/>
      <w:bookmarkEnd w:id="2830"/>
      <w:bookmarkEnd w:id="2831"/>
      <w:bookmarkEnd w:id="2832"/>
      <w:bookmarkEnd w:id="2833"/>
      <w:bookmarkEnd w:id="2834"/>
      <w:bookmarkEnd w:id="2835"/>
      <w:bookmarkEnd w:id="2836"/>
      <w:bookmarkEnd w:id="2837"/>
      <w:bookmarkEnd w:id="2838"/>
    </w:p>
    <w:p w:rsidR="00CB0DD7" w:rsidRPr="000A0A5F" w:rsidRDefault="00CB0DD7">
      <w:pPr>
        <w:rPr>
          <w:noProof/>
          <w:lang w:eastAsia="zh-CN"/>
        </w:rPr>
      </w:pPr>
      <w:r w:rsidRPr="000A0A5F">
        <w:rPr>
          <w:noProof/>
          <w:lang w:eastAsia="zh-CN"/>
        </w:rPr>
        <w:t xml:space="preserve">The GET method allows to read all active resources for a given SCS/AS. The SCS/AS shall initiate the HTTP GET request message and the SCEF shall respond to the message. </w:t>
      </w:r>
    </w:p>
    <w:p w:rsidR="00CB0DD7" w:rsidRPr="000A0A5F" w:rsidRDefault="00CB0DD7">
      <w:r w:rsidRPr="000A0A5F">
        <w:t>This method shall support the URI query parameters, request and response data structures, and response codes, as specified in the table 5.4.3.2.3.1-1 and table 5.4.3.2.3.1-2.</w:t>
      </w:r>
    </w:p>
    <w:p w:rsidR="00CB0DD7" w:rsidRPr="000A0A5F" w:rsidRDefault="00CB0DD7">
      <w:pPr>
        <w:pStyle w:val="TH"/>
        <w:rPr>
          <w:rFonts w:cs="Arial"/>
        </w:rPr>
      </w:pPr>
      <w:r w:rsidRPr="000A0A5F">
        <w:t xml:space="preserve">Table 5.4.3.2.3.1-1: URI query parameters supported by the GET method on this resource </w:t>
      </w:r>
    </w:p>
    <w:tbl>
      <w:tblPr>
        <w:tblW w:w="4999"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612"/>
        <w:gridCol w:w="1709"/>
        <w:gridCol w:w="1140"/>
        <w:gridCol w:w="5314"/>
      </w:tblGrid>
      <w:tr w:rsidR="00CB0DD7" w:rsidRPr="000A0A5F" w:rsidTr="00FF0AF8">
        <w:trPr>
          <w:jc w:val="center"/>
        </w:trPr>
        <w:tc>
          <w:tcPr>
            <w:tcW w:w="825" w:type="pct"/>
            <w:shd w:val="clear" w:color="000000" w:fill="C0C0C0"/>
          </w:tcPr>
          <w:p w:rsidR="00CB0DD7" w:rsidRPr="000A0A5F" w:rsidRDefault="00CB0DD7">
            <w:pPr>
              <w:pStyle w:val="TAH"/>
            </w:pPr>
            <w:r w:rsidRPr="000A0A5F">
              <w:t>Name</w:t>
            </w:r>
          </w:p>
        </w:tc>
        <w:tc>
          <w:tcPr>
            <w:tcW w:w="874" w:type="pct"/>
            <w:shd w:val="clear" w:color="000000" w:fill="C0C0C0"/>
          </w:tcPr>
          <w:p w:rsidR="00CB0DD7" w:rsidRPr="000A0A5F" w:rsidRDefault="00CB0DD7">
            <w:pPr>
              <w:pStyle w:val="TAH"/>
            </w:pPr>
            <w:r w:rsidRPr="000A0A5F">
              <w:t>Data type</w:t>
            </w:r>
          </w:p>
        </w:tc>
        <w:tc>
          <w:tcPr>
            <w:tcW w:w="583" w:type="pct"/>
            <w:shd w:val="clear" w:color="000000" w:fill="C0C0C0"/>
          </w:tcPr>
          <w:p w:rsidR="00CB0DD7" w:rsidRPr="000A0A5F" w:rsidRDefault="00CB0DD7">
            <w:pPr>
              <w:pStyle w:val="TAH"/>
            </w:pPr>
            <w:r w:rsidRPr="000A0A5F">
              <w:t>Cardinality</w:t>
            </w:r>
          </w:p>
        </w:tc>
        <w:tc>
          <w:tcPr>
            <w:tcW w:w="2718" w:type="pct"/>
            <w:shd w:val="clear" w:color="000000" w:fill="C0C0C0"/>
            <w:vAlign w:val="center"/>
          </w:tcPr>
          <w:p w:rsidR="00CB0DD7" w:rsidRPr="000A0A5F" w:rsidRDefault="00CB0DD7">
            <w:pPr>
              <w:pStyle w:val="TAH"/>
            </w:pPr>
            <w:r w:rsidRPr="000A0A5F">
              <w:t>Remarks</w:t>
            </w:r>
          </w:p>
        </w:tc>
      </w:tr>
      <w:tr w:rsidR="00CB0DD7" w:rsidRPr="000A0A5F" w:rsidTr="00FF0AF8">
        <w:trPr>
          <w:jc w:val="center"/>
        </w:trPr>
        <w:tc>
          <w:tcPr>
            <w:tcW w:w="825" w:type="pct"/>
            <w:shd w:val="clear" w:color="auto" w:fill="auto"/>
          </w:tcPr>
          <w:p w:rsidR="00CB0DD7" w:rsidRPr="000A0A5F" w:rsidRDefault="00CB0DD7">
            <w:pPr>
              <w:pStyle w:val="TAL"/>
            </w:pPr>
            <w:r w:rsidRPr="000A0A5F">
              <w:t>none specified</w:t>
            </w:r>
          </w:p>
        </w:tc>
        <w:tc>
          <w:tcPr>
            <w:tcW w:w="874" w:type="pct"/>
          </w:tcPr>
          <w:p w:rsidR="00CB0DD7" w:rsidRPr="000A0A5F" w:rsidRDefault="00CB0DD7">
            <w:pPr>
              <w:pStyle w:val="TAL"/>
            </w:pPr>
          </w:p>
        </w:tc>
        <w:tc>
          <w:tcPr>
            <w:tcW w:w="583" w:type="pct"/>
          </w:tcPr>
          <w:p w:rsidR="00CB0DD7" w:rsidRPr="000A0A5F" w:rsidRDefault="00CB0DD7">
            <w:pPr>
              <w:pStyle w:val="TAL"/>
            </w:pPr>
          </w:p>
        </w:tc>
        <w:tc>
          <w:tcPr>
            <w:tcW w:w="2718" w:type="pct"/>
            <w:shd w:val="clear" w:color="auto" w:fill="auto"/>
            <w:vAlign w:val="center"/>
          </w:tcPr>
          <w:p w:rsidR="00CB0DD7" w:rsidRPr="000A0A5F" w:rsidRDefault="00CB0DD7">
            <w:pPr>
              <w:pStyle w:val="TAL"/>
            </w:pPr>
          </w:p>
        </w:tc>
      </w:tr>
    </w:tbl>
    <w:p w:rsidR="00CB0DD7" w:rsidRPr="000A0A5F" w:rsidRDefault="00CB0DD7"/>
    <w:p w:rsidR="00CB0DD7" w:rsidRPr="000A0A5F" w:rsidRDefault="00CB0DD7">
      <w:pPr>
        <w:pStyle w:val="TH"/>
        <w:spacing w:before="120"/>
      </w:pPr>
      <w:r w:rsidRPr="000A0A5F">
        <w:t>Table 5.4.3.2.3.1-2: Data structures supported by the GET request/response by the resource</w:t>
      </w:r>
    </w:p>
    <w:tbl>
      <w:tblPr>
        <w:tblW w:w="4999" w:type="pct"/>
        <w:tblInd w:w="1"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top w:w="45" w:type="dxa"/>
          <w:left w:w="45" w:type="dxa"/>
          <w:bottom w:w="45" w:type="dxa"/>
          <w:right w:w="45" w:type="dxa"/>
        </w:tblCellMar>
        <w:tblLook w:val="0000" w:firstRow="0" w:lastRow="0" w:firstColumn="0" w:lastColumn="0" w:noHBand="0" w:noVBand="0"/>
      </w:tblPr>
      <w:tblGrid>
        <w:gridCol w:w="1035"/>
        <w:gridCol w:w="2127"/>
        <w:gridCol w:w="1053"/>
        <w:gridCol w:w="973"/>
        <w:gridCol w:w="4541"/>
      </w:tblGrid>
      <w:tr w:rsidR="00CB0DD7" w:rsidRPr="000A0A5F" w:rsidTr="00B40D37">
        <w:tc>
          <w:tcPr>
            <w:tcW w:w="532" w:type="pct"/>
            <w:vMerge w:val="restart"/>
            <w:shd w:val="clear" w:color="auto" w:fill="C0C0C0"/>
            <w:vAlign w:val="center"/>
          </w:tcPr>
          <w:p w:rsidR="00CB0DD7" w:rsidRPr="000A0A5F" w:rsidRDefault="00CB0DD7">
            <w:pPr>
              <w:pStyle w:val="TAH"/>
            </w:pPr>
            <w:r w:rsidRPr="000A0A5F">
              <w:t>Request body</w:t>
            </w:r>
          </w:p>
        </w:tc>
        <w:tc>
          <w:tcPr>
            <w:tcW w:w="1093" w:type="pct"/>
            <w:shd w:val="clear" w:color="auto" w:fill="C0C0C0"/>
          </w:tcPr>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r w:rsidRPr="000A0A5F">
              <w:t>Cardinality</w:t>
            </w:r>
          </w:p>
        </w:tc>
        <w:tc>
          <w:tcPr>
            <w:tcW w:w="2834" w:type="pct"/>
            <w:gridSpan w:val="2"/>
            <w:shd w:val="clear" w:color="auto" w:fill="C0C0C0"/>
          </w:tcPr>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none</w:t>
            </w:r>
          </w:p>
        </w:tc>
        <w:tc>
          <w:tcPr>
            <w:tcW w:w="541" w:type="pct"/>
          </w:tcPr>
          <w:p w:rsidR="00CB0DD7" w:rsidRPr="000A0A5F" w:rsidRDefault="00CB0DD7">
            <w:pPr>
              <w:pStyle w:val="TAL"/>
            </w:pPr>
          </w:p>
        </w:tc>
        <w:tc>
          <w:tcPr>
            <w:tcW w:w="2834" w:type="pct"/>
            <w:gridSpan w:val="2"/>
          </w:tcPr>
          <w:p w:rsidR="00CB0DD7" w:rsidRPr="000A0A5F" w:rsidRDefault="00CB0DD7">
            <w:pPr>
              <w:pStyle w:val="TAL"/>
            </w:pPr>
          </w:p>
        </w:tc>
      </w:tr>
      <w:tr w:rsidR="00CB0DD7" w:rsidRPr="000A0A5F" w:rsidTr="00B40D37">
        <w:tc>
          <w:tcPr>
            <w:tcW w:w="532" w:type="pct"/>
            <w:vMerge w:val="restart"/>
            <w:shd w:val="clear" w:color="auto" w:fill="C0C0C0"/>
            <w:vAlign w:val="center"/>
          </w:tcPr>
          <w:p w:rsidR="00CB0DD7" w:rsidRPr="000A0A5F" w:rsidRDefault="00CB0DD7">
            <w:pPr>
              <w:pStyle w:val="TAH"/>
            </w:pPr>
            <w:r w:rsidRPr="000A0A5F">
              <w:t>Response body</w:t>
            </w:r>
          </w:p>
        </w:tc>
        <w:tc>
          <w:tcPr>
            <w:tcW w:w="1093" w:type="pct"/>
            <w:shd w:val="clear" w:color="auto" w:fill="C0C0C0"/>
          </w:tcPr>
          <w:p w:rsidR="00CB0DD7" w:rsidRPr="000A0A5F" w:rsidRDefault="00CB0DD7">
            <w:pPr>
              <w:pStyle w:val="TAH"/>
            </w:pPr>
          </w:p>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p>
          <w:p w:rsidR="00CB0DD7" w:rsidRPr="000A0A5F" w:rsidRDefault="00CB0DD7">
            <w:pPr>
              <w:pStyle w:val="TAH"/>
            </w:pPr>
            <w:r w:rsidRPr="000A0A5F">
              <w:t>Cardinality</w:t>
            </w:r>
          </w:p>
        </w:tc>
        <w:tc>
          <w:tcPr>
            <w:tcW w:w="500" w:type="pct"/>
            <w:shd w:val="clear" w:color="auto" w:fill="C0C0C0"/>
          </w:tcPr>
          <w:p w:rsidR="00CB0DD7" w:rsidRPr="000A0A5F" w:rsidRDefault="00CB0DD7">
            <w:pPr>
              <w:pStyle w:val="TAH"/>
            </w:pPr>
            <w:r w:rsidRPr="000A0A5F">
              <w:t>Response</w:t>
            </w:r>
          </w:p>
          <w:p w:rsidR="00CB0DD7" w:rsidRPr="000A0A5F" w:rsidRDefault="00CB0DD7">
            <w:pPr>
              <w:pStyle w:val="TAH"/>
            </w:pPr>
            <w:r w:rsidRPr="000A0A5F">
              <w:t>codes</w:t>
            </w:r>
          </w:p>
        </w:tc>
        <w:tc>
          <w:tcPr>
            <w:tcW w:w="2334" w:type="pct"/>
            <w:shd w:val="clear" w:color="auto" w:fill="C0C0C0"/>
          </w:tcPr>
          <w:p w:rsidR="00CB0DD7" w:rsidRPr="000A0A5F" w:rsidRDefault="00CB0DD7">
            <w:pPr>
              <w:pStyle w:val="TAH"/>
            </w:pPr>
          </w:p>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rPr>
                <w:lang w:eastAsia="zh-CN"/>
              </w:rPr>
              <w:t>array(</w:t>
            </w:r>
            <w:r w:rsidRPr="000A0A5F">
              <w:rPr>
                <w:rFonts w:hint="eastAsia"/>
                <w:lang w:eastAsia="zh-CN"/>
              </w:rPr>
              <w:t>Bdt</w:t>
            </w:r>
            <w:r w:rsidRPr="000A0A5F">
              <w:rPr>
                <w:lang w:eastAsia="zh-CN"/>
              </w:rPr>
              <w:t>)</w:t>
            </w:r>
          </w:p>
        </w:tc>
        <w:tc>
          <w:tcPr>
            <w:tcW w:w="541" w:type="pct"/>
          </w:tcPr>
          <w:p w:rsidR="00CB0DD7" w:rsidRPr="000A0A5F" w:rsidRDefault="00CB0DD7">
            <w:pPr>
              <w:pStyle w:val="TAL"/>
            </w:pPr>
            <w:r w:rsidRPr="000A0A5F">
              <w:t>0..N</w:t>
            </w:r>
          </w:p>
        </w:tc>
        <w:tc>
          <w:tcPr>
            <w:tcW w:w="500" w:type="pct"/>
          </w:tcPr>
          <w:p w:rsidR="00CB0DD7" w:rsidRPr="000A0A5F" w:rsidRDefault="00CB0DD7">
            <w:pPr>
              <w:pStyle w:val="TAL"/>
            </w:pPr>
            <w:r w:rsidRPr="000A0A5F">
              <w:t>200 OK</w:t>
            </w:r>
          </w:p>
        </w:tc>
        <w:tc>
          <w:tcPr>
            <w:tcW w:w="2334" w:type="pct"/>
          </w:tcPr>
          <w:p w:rsidR="00CB0DD7" w:rsidRPr="000A0A5F" w:rsidRDefault="00CB0DD7">
            <w:pPr>
              <w:pStyle w:val="TAL"/>
            </w:pPr>
            <w:r w:rsidRPr="000A0A5F">
              <w:t>The resource information for the SCS/AS in the request URI are returned.</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lang w:eastAsia="zh-CN"/>
              </w:rPr>
            </w:pPr>
            <w:r w:rsidRPr="000A0A5F">
              <w:t>none</w:t>
            </w:r>
          </w:p>
        </w:tc>
        <w:tc>
          <w:tcPr>
            <w:tcW w:w="541" w:type="pct"/>
          </w:tcPr>
          <w:p w:rsidR="00CB0DD7" w:rsidRPr="000A0A5F" w:rsidRDefault="00CB0DD7">
            <w:pPr>
              <w:pStyle w:val="TAL"/>
            </w:pPr>
          </w:p>
        </w:tc>
        <w:tc>
          <w:tcPr>
            <w:tcW w:w="500" w:type="pct"/>
          </w:tcPr>
          <w:p w:rsidR="00CB0DD7" w:rsidRPr="000A0A5F" w:rsidRDefault="00CB0DD7">
            <w:pPr>
              <w:pStyle w:val="TAL"/>
            </w:pPr>
            <w:r w:rsidRPr="000A0A5F">
              <w:t>307 Temporary Redirect</w:t>
            </w:r>
          </w:p>
        </w:tc>
        <w:tc>
          <w:tcPr>
            <w:tcW w:w="2334" w:type="pct"/>
          </w:tcPr>
          <w:p w:rsidR="00CB0DD7" w:rsidRPr="000A0A5F" w:rsidRDefault="00CB0DD7">
            <w:pPr>
              <w:pStyle w:val="TAL"/>
            </w:pPr>
            <w:r w:rsidRPr="000A0A5F">
              <w:t>Temporary redirection, during subscription retrieval. The response shall include a Location header field containing an alternative URI of the resource located in an alternative SCEF.</w:t>
            </w:r>
          </w:p>
          <w:p w:rsidR="00CB0DD7" w:rsidRPr="000A0A5F" w:rsidRDefault="00CB0DD7">
            <w:pPr>
              <w:pStyle w:val="TAL"/>
            </w:pPr>
            <w:r w:rsidRPr="000A0A5F">
              <w:t>Redirection handling is described in clause 5.2.10.</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lang w:eastAsia="zh-CN"/>
              </w:rPr>
            </w:pPr>
            <w:r w:rsidRPr="000A0A5F">
              <w:t>none</w:t>
            </w:r>
          </w:p>
        </w:tc>
        <w:tc>
          <w:tcPr>
            <w:tcW w:w="541" w:type="pct"/>
          </w:tcPr>
          <w:p w:rsidR="00CB0DD7" w:rsidRPr="000A0A5F" w:rsidRDefault="00CB0DD7">
            <w:pPr>
              <w:pStyle w:val="TAL"/>
            </w:pPr>
          </w:p>
        </w:tc>
        <w:tc>
          <w:tcPr>
            <w:tcW w:w="500" w:type="pct"/>
          </w:tcPr>
          <w:p w:rsidR="00CB0DD7" w:rsidRPr="000A0A5F" w:rsidRDefault="00CB0DD7">
            <w:pPr>
              <w:pStyle w:val="TAL"/>
            </w:pPr>
            <w:r w:rsidRPr="000A0A5F">
              <w:t>308 Permanent Redirect</w:t>
            </w:r>
          </w:p>
        </w:tc>
        <w:tc>
          <w:tcPr>
            <w:tcW w:w="2334" w:type="pct"/>
          </w:tcPr>
          <w:p w:rsidR="00CB0DD7" w:rsidRPr="000A0A5F" w:rsidRDefault="00CB0DD7">
            <w:pPr>
              <w:pStyle w:val="TAL"/>
            </w:pPr>
            <w:r w:rsidRPr="000A0A5F">
              <w:t>Permanent redirection, during subscription retrieval. The response shall include a Location header field containing an alternative URI of the resource located in an alternative SCEF.</w:t>
            </w:r>
          </w:p>
          <w:p w:rsidR="00CB0DD7" w:rsidRPr="000A0A5F" w:rsidRDefault="00CB0DD7">
            <w:pPr>
              <w:pStyle w:val="TAL"/>
            </w:pPr>
            <w:r w:rsidRPr="000A0A5F">
              <w:t>Redirection handling is described in clause 5.2.10.</w:t>
            </w:r>
          </w:p>
        </w:tc>
      </w:tr>
      <w:tr w:rsidR="00CB0DD7" w:rsidRPr="000A0A5F" w:rsidTr="00FF0AF8">
        <w:tc>
          <w:tcPr>
            <w:tcW w:w="5000" w:type="pct"/>
            <w:gridSpan w:val="5"/>
            <w:shd w:val="clear" w:color="auto" w:fill="auto"/>
            <w:vAlign w:val="center"/>
          </w:tcPr>
          <w:p w:rsidR="00CB0DD7" w:rsidRPr="000A0A5F" w:rsidRDefault="00CB0DD7">
            <w:pPr>
              <w:pStyle w:val="TAN"/>
            </w:pPr>
            <w:r w:rsidRPr="000A0A5F">
              <w:t>NOTE:</w:t>
            </w:r>
            <w:r w:rsidRPr="000A0A5F">
              <w:tab/>
              <w:t>The mandatory HTTP error status codes for the GET method listed in table 5.2.6-1 also apply.</w:t>
            </w:r>
          </w:p>
        </w:tc>
      </w:tr>
    </w:tbl>
    <w:p w:rsidR="00CB0DD7" w:rsidRPr="000A0A5F" w:rsidRDefault="00CB0DD7"/>
    <w:p w:rsidR="00CB0DD7" w:rsidRPr="000A0A5F" w:rsidRDefault="00B004CD">
      <w:pPr>
        <w:pStyle w:val="TH"/>
      </w:pPr>
      <w:r w:rsidRPr="000A0A5F">
        <w:t>Table </w:t>
      </w:r>
      <w:r w:rsidR="00CB0DD7" w:rsidRPr="000A0A5F">
        <w:t>5.4.3.2.3.1-3: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B004CD">
      <w:pPr>
        <w:pStyle w:val="TH"/>
      </w:pPr>
      <w:r w:rsidRPr="000A0A5F">
        <w:t>Table </w:t>
      </w:r>
      <w:r w:rsidR="00CB0DD7" w:rsidRPr="000A0A5F">
        <w:t>5.4.3.2.3.1-4: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CB0DD7">
      <w:pPr>
        <w:pStyle w:val="Heading6"/>
      </w:pPr>
      <w:bookmarkStart w:id="2839" w:name="_Toc11247381"/>
      <w:bookmarkStart w:id="2840" w:name="_Toc27044503"/>
      <w:bookmarkStart w:id="2841" w:name="_Toc36033545"/>
      <w:bookmarkStart w:id="2842" w:name="_Toc45131680"/>
      <w:bookmarkStart w:id="2843" w:name="_Toc49775965"/>
      <w:bookmarkStart w:id="2844" w:name="_Toc51746885"/>
      <w:bookmarkStart w:id="2845" w:name="_Toc66360433"/>
      <w:bookmarkStart w:id="2846" w:name="_Toc68104938"/>
      <w:bookmarkStart w:id="2847" w:name="_Toc74755568"/>
      <w:bookmarkStart w:id="2848" w:name="_Toc105674441"/>
      <w:bookmarkStart w:id="2849" w:name="_Toc130502481"/>
      <w:bookmarkStart w:id="2850" w:name="_Toc153625268"/>
      <w:r w:rsidRPr="000A0A5F">
        <w:t>5.4.3.2.3.2</w:t>
      </w:r>
      <w:r w:rsidRPr="000A0A5F">
        <w:tab/>
        <w:t>PUT</w:t>
      </w:r>
      <w:bookmarkEnd w:id="2839"/>
      <w:bookmarkEnd w:id="2840"/>
      <w:bookmarkEnd w:id="2841"/>
      <w:bookmarkEnd w:id="2842"/>
      <w:bookmarkEnd w:id="2843"/>
      <w:bookmarkEnd w:id="2844"/>
      <w:bookmarkEnd w:id="2845"/>
      <w:bookmarkEnd w:id="2846"/>
      <w:bookmarkEnd w:id="2847"/>
      <w:bookmarkEnd w:id="2848"/>
      <w:bookmarkEnd w:id="2849"/>
      <w:bookmarkEnd w:id="2850"/>
    </w:p>
    <w:p w:rsidR="00CB0DD7" w:rsidRPr="000A0A5F" w:rsidRDefault="00CB0DD7">
      <w:pPr>
        <w:rPr>
          <w:lang w:eastAsia="zh-CN"/>
        </w:rPr>
      </w:pPr>
      <w:r w:rsidRPr="000A0A5F">
        <w:rPr>
          <w:rFonts w:hint="eastAsia"/>
          <w:lang w:eastAsia="zh-CN"/>
        </w:rPr>
        <w:t xml:space="preserve">This </w:t>
      </w:r>
      <w:r w:rsidRPr="000A0A5F">
        <w:rPr>
          <w:lang w:eastAsia="zh-CN"/>
        </w:rPr>
        <w:t>HTTP method is not supported for the resource.</w:t>
      </w:r>
    </w:p>
    <w:p w:rsidR="00CB0DD7" w:rsidRPr="000A0A5F" w:rsidRDefault="00CB0DD7">
      <w:pPr>
        <w:pStyle w:val="Heading6"/>
      </w:pPr>
      <w:bookmarkStart w:id="2851" w:name="_Toc11247382"/>
      <w:bookmarkStart w:id="2852" w:name="_Toc27044504"/>
      <w:bookmarkStart w:id="2853" w:name="_Toc36033546"/>
      <w:bookmarkStart w:id="2854" w:name="_Toc45131681"/>
      <w:bookmarkStart w:id="2855" w:name="_Toc49775966"/>
      <w:bookmarkStart w:id="2856" w:name="_Toc51746886"/>
      <w:bookmarkStart w:id="2857" w:name="_Toc66360434"/>
      <w:bookmarkStart w:id="2858" w:name="_Toc68104939"/>
      <w:bookmarkStart w:id="2859" w:name="_Toc74755569"/>
      <w:bookmarkStart w:id="2860" w:name="_Toc105674442"/>
      <w:bookmarkStart w:id="2861" w:name="_Toc130502482"/>
      <w:bookmarkStart w:id="2862" w:name="_Toc153625269"/>
      <w:r w:rsidRPr="000A0A5F">
        <w:t>5.4.3.2.3.3</w:t>
      </w:r>
      <w:r w:rsidRPr="000A0A5F">
        <w:tab/>
        <w:t>PATCH</w:t>
      </w:r>
      <w:bookmarkEnd w:id="2851"/>
      <w:bookmarkEnd w:id="2852"/>
      <w:bookmarkEnd w:id="2853"/>
      <w:bookmarkEnd w:id="2854"/>
      <w:bookmarkEnd w:id="2855"/>
      <w:bookmarkEnd w:id="2856"/>
      <w:bookmarkEnd w:id="2857"/>
      <w:bookmarkEnd w:id="2858"/>
      <w:bookmarkEnd w:id="2859"/>
      <w:bookmarkEnd w:id="2860"/>
      <w:bookmarkEnd w:id="2861"/>
      <w:bookmarkEnd w:id="2862"/>
    </w:p>
    <w:p w:rsidR="00CB0DD7" w:rsidRPr="000A0A5F" w:rsidRDefault="00CB0DD7">
      <w:pPr>
        <w:rPr>
          <w:lang w:eastAsia="zh-CN"/>
        </w:rPr>
      </w:pPr>
      <w:r w:rsidRPr="000A0A5F">
        <w:rPr>
          <w:rFonts w:hint="eastAsia"/>
          <w:lang w:eastAsia="zh-CN"/>
        </w:rPr>
        <w:t xml:space="preserve">This </w:t>
      </w:r>
      <w:r w:rsidRPr="000A0A5F">
        <w:rPr>
          <w:lang w:eastAsia="zh-CN"/>
        </w:rPr>
        <w:t>HTTP method is not supported for the resource.</w:t>
      </w:r>
    </w:p>
    <w:p w:rsidR="00CB0DD7" w:rsidRPr="000A0A5F" w:rsidRDefault="00CB0DD7">
      <w:pPr>
        <w:pStyle w:val="Heading6"/>
      </w:pPr>
      <w:bookmarkStart w:id="2863" w:name="_Toc11247383"/>
      <w:bookmarkStart w:id="2864" w:name="_Toc27044505"/>
      <w:bookmarkStart w:id="2865" w:name="_Toc36033547"/>
      <w:bookmarkStart w:id="2866" w:name="_Toc45131682"/>
      <w:bookmarkStart w:id="2867" w:name="_Toc49775967"/>
      <w:bookmarkStart w:id="2868" w:name="_Toc51746887"/>
      <w:bookmarkStart w:id="2869" w:name="_Toc66360435"/>
      <w:bookmarkStart w:id="2870" w:name="_Toc68104940"/>
      <w:bookmarkStart w:id="2871" w:name="_Toc74755570"/>
      <w:bookmarkStart w:id="2872" w:name="_Toc105674443"/>
      <w:bookmarkStart w:id="2873" w:name="_Toc130502483"/>
      <w:bookmarkStart w:id="2874" w:name="_Toc153625270"/>
      <w:r w:rsidRPr="000A0A5F">
        <w:t>5.4.3.2.3.4</w:t>
      </w:r>
      <w:r w:rsidRPr="000A0A5F">
        <w:tab/>
        <w:t>POST</w:t>
      </w:r>
      <w:bookmarkEnd w:id="2863"/>
      <w:bookmarkEnd w:id="2864"/>
      <w:bookmarkEnd w:id="2865"/>
      <w:bookmarkEnd w:id="2866"/>
      <w:bookmarkEnd w:id="2867"/>
      <w:bookmarkEnd w:id="2868"/>
      <w:bookmarkEnd w:id="2869"/>
      <w:bookmarkEnd w:id="2870"/>
      <w:bookmarkEnd w:id="2871"/>
      <w:bookmarkEnd w:id="2872"/>
      <w:bookmarkEnd w:id="2873"/>
      <w:bookmarkEnd w:id="2874"/>
    </w:p>
    <w:p w:rsidR="00CB0DD7" w:rsidRPr="000A0A5F" w:rsidRDefault="00CB0DD7">
      <w:pPr>
        <w:rPr>
          <w:noProof/>
          <w:lang w:eastAsia="zh-CN"/>
        </w:rPr>
      </w:pPr>
      <w:r w:rsidRPr="000A0A5F">
        <w:rPr>
          <w:noProof/>
          <w:lang w:eastAsia="zh-CN"/>
        </w:rPr>
        <w:t>The POST method creates a new background data transfer subscription resource for a given SCS/AS. The SCS/AS shall initiate the HTTP POST request message and the SCEF shall respond to the message.</w:t>
      </w:r>
    </w:p>
    <w:p w:rsidR="00CB0DD7" w:rsidRPr="000A0A5F" w:rsidRDefault="00CB0DD7">
      <w:r w:rsidRPr="000A0A5F">
        <w:t>This method shall support the URI query parameters, request and response data structures, and response codes, as specified in the table 5.4.3.2.3.4-1 and table 5.4.3.2.3.4-2.</w:t>
      </w:r>
    </w:p>
    <w:p w:rsidR="00CB0DD7" w:rsidRPr="000A0A5F" w:rsidRDefault="00CB0DD7">
      <w:pPr>
        <w:pStyle w:val="TH"/>
        <w:rPr>
          <w:rFonts w:cs="Arial"/>
        </w:rPr>
      </w:pPr>
      <w:r w:rsidRPr="000A0A5F">
        <w:t xml:space="preserve">Table 5.4.3.2.3.4-1: URI query parameters supported by the POST method on this resource </w:t>
      </w:r>
    </w:p>
    <w:tbl>
      <w:tblPr>
        <w:tblW w:w="4999"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612"/>
        <w:gridCol w:w="1709"/>
        <w:gridCol w:w="1140"/>
        <w:gridCol w:w="5314"/>
      </w:tblGrid>
      <w:tr w:rsidR="00CB0DD7" w:rsidRPr="000A0A5F" w:rsidTr="00FF0AF8">
        <w:trPr>
          <w:jc w:val="center"/>
        </w:trPr>
        <w:tc>
          <w:tcPr>
            <w:tcW w:w="825" w:type="pct"/>
            <w:shd w:val="clear" w:color="000000" w:fill="C0C0C0"/>
          </w:tcPr>
          <w:p w:rsidR="00CB0DD7" w:rsidRPr="000A0A5F" w:rsidRDefault="00CB0DD7">
            <w:pPr>
              <w:pStyle w:val="TAH"/>
            </w:pPr>
            <w:r w:rsidRPr="000A0A5F">
              <w:t>Name</w:t>
            </w:r>
          </w:p>
        </w:tc>
        <w:tc>
          <w:tcPr>
            <w:tcW w:w="874" w:type="pct"/>
            <w:shd w:val="clear" w:color="000000" w:fill="C0C0C0"/>
          </w:tcPr>
          <w:p w:rsidR="00CB0DD7" w:rsidRPr="000A0A5F" w:rsidRDefault="00CB0DD7">
            <w:pPr>
              <w:pStyle w:val="TAH"/>
            </w:pPr>
            <w:r w:rsidRPr="000A0A5F">
              <w:t>Data type</w:t>
            </w:r>
          </w:p>
        </w:tc>
        <w:tc>
          <w:tcPr>
            <w:tcW w:w="583" w:type="pct"/>
            <w:shd w:val="clear" w:color="000000" w:fill="C0C0C0"/>
          </w:tcPr>
          <w:p w:rsidR="00CB0DD7" w:rsidRPr="000A0A5F" w:rsidRDefault="00CB0DD7">
            <w:pPr>
              <w:pStyle w:val="TAH"/>
            </w:pPr>
            <w:r w:rsidRPr="000A0A5F">
              <w:t>Cardinality</w:t>
            </w:r>
          </w:p>
        </w:tc>
        <w:tc>
          <w:tcPr>
            <w:tcW w:w="2718" w:type="pct"/>
            <w:shd w:val="clear" w:color="000000" w:fill="C0C0C0"/>
            <w:vAlign w:val="center"/>
          </w:tcPr>
          <w:p w:rsidR="00CB0DD7" w:rsidRPr="000A0A5F" w:rsidRDefault="00CB0DD7">
            <w:pPr>
              <w:pStyle w:val="TAH"/>
            </w:pPr>
            <w:r w:rsidRPr="000A0A5F">
              <w:t>Remarks</w:t>
            </w:r>
          </w:p>
        </w:tc>
      </w:tr>
      <w:tr w:rsidR="00CB0DD7" w:rsidRPr="000A0A5F" w:rsidTr="00FF0AF8">
        <w:trPr>
          <w:jc w:val="center"/>
        </w:trPr>
        <w:tc>
          <w:tcPr>
            <w:tcW w:w="825" w:type="pct"/>
            <w:shd w:val="clear" w:color="auto" w:fill="auto"/>
          </w:tcPr>
          <w:p w:rsidR="00CB0DD7" w:rsidRPr="000A0A5F" w:rsidRDefault="00CB0DD7">
            <w:pPr>
              <w:pStyle w:val="TAL"/>
            </w:pPr>
            <w:r w:rsidRPr="000A0A5F">
              <w:t>none specified</w:t>
            </w:r>
          </w:p>
        </w:tc>
        <w:tc>
          <w:tcPr>
            <w:tcW w:w="874" w:type="pct"/>
          </w:tcPr>
          <w:p w:rsidR="00CB0DD7" w:rsidRPr="000A0A5F" w:rsidRDefault="00CB0DD7">
            <w:pPr>
              <w:pStyle w:val="TAL"/>
            </w:pPr>
          </w:p>
        </w:tc>
        <w:tc>
          <w:tcPr>
            <w:tcW w:w="583" w:type="pct"/>
          </w:tcPr>
          <w:p w:rsidR="00CB0DD7" w:rsidRPr="000A0A5F" w:rsidRDefault="00CB0DD7">
            <w:pPr>
              <w:pStyle w:val="TAL"/>
            </w:pPr>
          </w:p>
        </w:tc>
        <w:tc>
          <w:tcPr>
            <w:tcW w:w="2718" w:type="pct"/>
            <w:shd w:val="clear" w:color="auto" w:fill="auto"/>
            <w:vAlign w:val="center"/>
          </w:tcPr>
          <w:p w:rsidR="00CB0DD7" w:rsidRPr="000A0A5F" w:rsidRDefault="00CB0DD7">
            <w:pPr>
              <w:pStyle w:val="TAL"/>
            </w:pPr>
          </w:p>
        </w:tc>
      </w:tr>
    </w:tbl>
    <w:p w:rsidR="00CB0DD7" w:rsidRPr="000A0A5F" w:rsidRDefault="00CB0DD7"/>
    <w:p w:rsidR="00CB0DD7" w:rsidRPr="000A0A5F" w:rsidRDefault="00CB0DD7">
      <w:pPr>
        <w:pStyle w:val="TH"/>
      </w:pPr>
      <w:r w:rsidRPr="000A0A5F">
        <w:t>Table 5.4.3.2.3.4-2: Data structures supported by the POST request/response by the resource</w:t>
      </w:r>
    </w:p>
    <w:tbl>
      <w:tblPr>
        <w:tblW w:w="4999" w:type="pct"/>
        <w:tblInd w:w="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45" w:type="dxa"/>
          <w:left w:w="45" w:type="dxa"/>
          <w:bottom w:w="45" w:type="dxa"/>
          <w:right w:w="45" w:type="dxa"/>
        </w:tblCellMar>
        <w:tblLook w:val="0000" w:firstRow="0" w:lastRow="0" w:firstColumn="0" w:lastColumn="0" w:noHBand="0" w:noVBand="0"/>
      </w:tblPr>
      <w:tblGrid>
        <w:gridCol w:w="1035"/>
        <w:gridCol w:w="2127"/>
        <w:gridCol w:w="1053"/>
        <w:gridCol w:w="973"/>
        <w:gridCol w:w="4541"/>
      </w:tblGrid>
      <w:tr w:rsidR="00CB0DD7" w:rsidRPr="000A0A5F" w:rsidTr="00B40D37">
        <w:tc>
          <w:tcPr>
            <w:tcW w:w="532" w:type="pct"/>
            <w:vMerge w:val="restart"/>
            <w:shd w:val="clear" w:color="auto" w:fill="C0C0C0"/>
            <w:vAlign w:val="center"/>
          </w:tcPr>
          <w:p w:rsidR="00CB0DD7" w:rsidRPr="000A0A5F" w:rsidRDefault="00CB0DD7">
            <w:pPr>
              <w:pStyle w:val="TAH"/>
            </w:pPr>
            <w:r w:rsidRPr="000A0A5F">
              <w:t>Request body</w:t>
            </w:r>
          </w:p>
        </w:tc>
        <w:tc>
          <w:tcPr>
            <w:tcW w:w="1093" w:type="pct"/>
            <w:shd w:val="clear" w:color="auto" w:fill="C0C0C0"/>
          </w:tcPr>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r w:rsidRPr="000A0A5F">
              <w:t>Cardinality</w:t>
            </w:r>
          </w:p>
        </w:tc>
        <w:tc>
          <w:tcPr>
            <w:tcW w:w="2834" w:type="pct"/>
            <w:gridSpan w:val="2"/>
            <w:shd w:val="clear" w:color="auto" w:fill="C0C0C0"/>
          </w:tcPr>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Bdt</w:t>
            </w:r>
          </w:p>
        </w:tc>
        <w:tc>
          <w:tcPr>
            <w:tcW w:w="541" w:type="pct"/>
          </w:tcPr>
          <w:p w:rsidR="00CB0DD7" w:rsidRPr="000A0A5F" w:rsidRDefault="00CB0DD7">
            <w:pPr>
              <w:pStyle w:val="TAL"/>
            </w:pPr>
            <w:r w:rsidRPr="000A0A5F">
              <w:t>1</w:t>
            </w:r>
          </w:p>
        </w:tc>
        <w:tc>
          <w:tcPr>
            <w:tcW w:w="2834" w:type="pct"/>
            <w:gridSpan w:val="2"/>
          </w:tcPr>
          <w:p w:rsidR="00CB0DD7" w:rsidRPr="000A0A5F" w:rsidRDefault="00CB0DD7">
            <w:pPr>
              <w:pStyle w:val="TAL"/>
            </w:pPr>
            <w:r w:rsidRPr="000A0A5F">
              <w:t>Parameters to register a subscription to request background data transfer related information with the SCEF.</w:t>
            </w:r>
          </w:p>
        </w:tc>
      </w:tr>
      <w:tr w:rsidR="00CB0DD7" w:rsidRPr="000A0A5F" w:rsidTr="00B40D37">
        <w:tc>
          <w:tcPr>
            <w:tcW w:w="532" w:type="pct"/>
            <w:vMerge w:val="restart"/>
            <w:shd w:val="clear" w:color="auto" w:fill="C0C0C0"/>
            <w:vAlign w:val="center"/>
          </w:tcPr>
          <w:p w:rsidR="00CB0DD7" w:rsidRPr="000A0A5F" w:rsidRDefault="00CB0DD7">
            <w:pPr>
              <w:pStyle w:val="TAH"/>
            </w:pPr>
            <w:r w:rsidRPr="000A0A5F">
              <w:t>Response body</w:t>
            </w:r>
          </w:p>
        </w:tc>
        <w:tc>
          <w:tcPr>
            <w:tcW w:w="1093" w:type="pct"/>
            <w:shd w:val="clear" w:color="auto" w:fill="C0C0C0"/>
          </w:tcPr>
          <w:p w:rsidR="00CB0DD7" w:rsidRPr="000A0A5F" w:rsidRDefault="00CB0DD7">
            <w:pPr>
              <w:pStyle w:val="TAH"/>
            </w:pPr>
          </w:p>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p>
          <w:p w:rsidR="00CB0DD7" w:rsidRPr="000A0A5F" w:rsidRDefault="00CB0DD7">
            <w:pPr>
              <w:pStyle w:val="TAH"/>
            </w:pPr>
            <w:r w:rsidRPr="000A0A5F">
              <w:t>Cardinality</w:t>
            </w:r>
          </w:p>
        </w:tc>
        <w:tc>
          <w:tcPr>
            <w:tcW w:w="500" w:type="pct"/>
            <w:shd w:val="clear" w:color="auto" w:fill="C0C0C0"/>
          </w:tcPr>
          <w:p w:rsidR="00CB0DD7" w:rsidRPr="000A0A5F" w:rsidRDefault="00CB0DD7">
            <w:pPr>
              <w:pStyle w:val="TAH"/>
            </w:pPr>
            <w:r w:rsidRPr="000A0A5F">
              <w:t>Response</w:t>
            </w:r>
          </w:p>
          <w:p w:rsidR="00CB0DD7" w:rsidRPr="000A0A5F" w:rsidRDefault="00CB0DD7">
            <w:pPr>
              <w:pStyle w:val="TAH"/>
            </w:pPr>
            <w:r w:rsidRPr="000A0A5F">
              <w:t>codes</w:t>
            </w:r>
          </w:p>
        </w:tc>
        <w:tc>
          <w:tcPr>
            <w:tcW w:w="2334" w:type="pct"/>
            <w:shd w:val="clear" w:color="auto" w:fill="C0C0C0"/>
          </w:tcPr>
          <w:p w:rsidR="00CB0DD7" w:rsidRPr="000A0A5F" w:rsidRDefault="00CB0DD7">
            <w:pPr>
              <w:pStyle w:val="TAH"/>
            </w:pPr>
          </w:p>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rPr>
                <w:rFonts w:hint="eastAsia"/>
                <w:lang w:eastAsia="zh-CN"/>
              </w:rPr>
              <w:t>Bdt</w:t>
            </w:r>
          </w:p>
        </w:tc>
        <w:tc>
          <w:tcPr>
            <w:tcW w:w="541" w:type="pct"/>
          </w:tcPr>
          <w:p w:rsidR="00CB0DD7" w:rsidRPr="000A0A5F" w:rsidRDefault="00CB0DD7">
            <w:pPr>
              <w:pStyle w:val="TAL"/>
            </w:pPr>
            <w:r w:rsidRPr="000A0A5F">
              <w:t>1</w:t>
            </w:r>
          </w:p>
        </w:tc>
        <w:tc>
          <w:tcPr>
            <w:tcW w:w="500" w:type="pct"/>
          </w:tcPr>
          <w:p w:rsidR="00CB0DD7" w:rsidRPr="000A0A5F" w:rsidRDefault="00CB0DD7">
            <w:pPr>
              <w:pStyle w:val="TAL"/>
            </w:pPr>
            <w:r w:rsidRPr="000A0A5F">
              <w:t>201 Created</w:t>
            </w:r>
          </w:p>
        </w:tc>
        <w:tc>
          <w:tcPr>
            <w:tcW w:w="2334" w:type="pct"/>
          </w:tcPr>
          <w:p w:rsidR="00CB0DD7" w:rsidRPr="000A0A5F" w:rsidRDefault="00CB0DD7">
            <w:pPr>
              <w:pStyle w:val="TAL"/>
              <w:spacing w:afterLines="50" w:after="120"/>
            </w:pPr>
            <w:r w:rsidRPr="000A0A5F">
              <w:t>The resource was created successfully.</w:t>
            </w:r>
          </w:p>
          <w:p w:rsidR="00CB0DD7" w:rsidRPr="000A0A5F" w:rsidRDefault="00CB0DD7">
            <w:pPr>
              <w:pStyle w:val="TAL"/>
            </w:pPr>
            <w:r w:rsidRPr="000A0A5F">
              <w:t>The URI of the created resource shall be returned in the "Location" HTTP header.</w:t>
            </w:r>
          </w:p>
        </w:tc>
      </w:tr>
      <w:tr w:rsidR="00CB0DD7" w:rsidRPr="000A0A5F" w:rsidTr="00FF0AF8">
        <w:tc>
          <w:tcPr>
            <w:tcW w:w="5000" w:type="pct"/>
            <w:gridSpan w:val="5"/>
            <w:shd w:val="clear" w:color="auto" w:fill="auto"/>
            <w:vAlign w:val="center"/>
          </w:tcPr>
          <w:p w:rsidR="00CB0DD7" w:rsidRPr="000A0A5F" w:rsidRDefault="00CB0DD7">
            <w:pPr>
              <w:pStyle w:val="TAN"/>
            </w:pPr>
            <w:r w:rsidRPr="000A0A5F">
              <w:t>NOTE:</w:t>
            </w:r>
            <w:r w:rsidRPr="000A0A5F">
              <w:tab/>
              <w:t>The mandatory HTTP error status codes for the POST method listed in table 5.2.6-1 also apply.</w:t>
            </w:r>
          </w:p>
        </w:tc>
      </w:tr>
    </w:tbl>
    <w:p w:rsidR="00CB0DD7" w:rsidRPr="000A0A5F" w:rsidRDefault="00CB0DD7">
      <w:pPr>
        <w:rPr>
          <w:noProof/>
        </w:rPr>
      </w:pPr>
    </w:p>
    <w:p w:rsidR="00CB0DD7" w:rsidRPr="000A0A5F" w:rsidRDefault="00CB0DD7">
      <w:pPr>
        <w:pStyle w:val="TH"/>
      </w:pPr>
      <w:r w:rsidRPr="000A0A5F">
        <w:t>Table</w:t>
      </w:r>
      <w:r w:rsidRPr="000A0A5F">
        <w:rPr>
          <w:noProof/>
        </w:rPr>
        <w:t> </w:t>
      </w:r>
      <w:r w:rsidRPr="000A0A5F">
        <w:t xml:space="preserve">5.4.3.2.3.4-3: Headers supported by the 201 Response Code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846044">
        <w:trPr>
          <w:jc w:val="center"/>
        </w:trPr>
        <w:tc>
          <w:tcPr>
            <w:tcW w:w="825" w:type="pct"/>
            <w:tcBorders>
              <w:bottom w:val="single" w:sz="6" w:space="0" w:color="auto"/>
            </w:tcBorders>
            <w:shd w:val="clear" w:color="auto" w:fill="C0C0C0"/>
          </w:tcPr>
          <w:p w:rsidR="00CB0DD7" w:rsidRPr="000A0A5F" w:rsidRDefault="00CB0DD7">
            <w:pPr>
              <w:pStyle w:val="TAH"/>
            </w:pPr>
            <w:r w:rsidRPr="000A0A5F">
              <w:t>Name</w:t>
            </w:r>
          </w:p>
        </w:tc>
        <w:tc>
          <w:tcPr>
            <w:tcW w:w="732" w:type="pct"/>
            <w:tcBorders>
              <w:bottom w:val="single" w:sz="6" w:space="0" w:color="auto"/>
            </w:tcBorders>
            <w:shd w:val="clear" w:color="auto" w:fill="C0C0C0"/>
          </w:tcPr>
          <w:p w:rsidR="00CB0DD7" w:rsidRPr="000A0A5F" w:rsidRDefault="00CB0DD7">
            <w:pPr>
              <w:pStyle w:val="TAH"/>
            </w:pPr>
            <w:r w:rsidRPr="000A0A5F">
              <w:t>Data type</w:t>
            </w:r>
          </w:p>
        </w:tc>
        <w:tc>
          <w:tcPr>
            <w:tcW w:w="217" w:type="pct"/>
            <w:tcBorders>
              <w:bottom w:val="single" w:sz="6" w:space="0" w:color="auto"/>
            </w:tcBorders>
            <w:shd w:val="clear" w:color="auto" w:fill="C0C0C0"/>
          </w:tcPr>
          <w:p w:rsidR="00CB0DD7" w:rsidRPr="000A0A5F" w:rsidRDefault="00CB0DD7">
            <w:pPr>
              <w:pStyle w:val="TAH"/>
            </w:pPr>
            <w:r w:rsidRPr="000A0A5F">
              <w:t>P</w:t>
            </w:r>
          </w:p>
        </w:tc>
        <w:tc>
          <w:tcPr>
            <w:tcW w:w="581" w:type="pct"/>
            <w:tcBorders>
              <w:bottom w:val="single" w:sz="6" w:space="0" w:color="auto"/>
            </w:tcBorders>
            <w:shd w:val="clear" w:color="auto" w:fill="C0C0C0"/>
          </w:tcPr>
          <w:p w:rsidR="00CB0DD7" w:rsidRPr="000A0A5F" w:rsidRDefault="00CB0DD7">
            <w:pPr>
              <w:pStyle w:val="TAH"/>
            </w:pPr>
            <w:r w:rsidRPr="000A0A5F">
              <w:t>Cardinality</w:t>
            </w:r>
          </w:p>
        </w:tc>
        <w:tc>
          <w:tcPr>
            <w:tcW w:w="2645" w:type="pct"/>
            <w:tcBorders>
              <w:bottom w:val="single" w:sz="6" w:space="0" w:color="auto"/>
            </w:tcBorders>
            <w:shd w:val="clear" w:color="auto" w:fill="C0C0C0"/>
            <w:vAlign w:val="center"/>
          </w:tcPr>
          <w:p w:rsidR="00CB0DD7" w:rsidRPr="000A0A5F" w:rsidRDefault="00CB0DD7">
            <w:pPr>
              <w:pStyle w:val="TAH"/>
            </w:pPr>
            <w:r w:rsidRPr="000A0A5F">
              <w:t>Description</w:t>
            </w:r>
          </w:p>
        </w:tc>
      </w:tr>
      <w:tr w:rsidR="00CB0DD7" w:rsidRPr="000A0A5F" w:rsidTr="00846044">
        <w:trPr>
          <w:jc w:val="center"/>
        </w:trPr>
        <w:tc>
          <w:tcPr>
            <w:tcW w:w="825" w:type="pct"/>
            <w:tcBorders>
              <w:top w:val="single" w:sz="6" w:space="0" w:color="auto"/>
            </w:tcBorders>
            <w:shd w:val="clear" w:color="auto" w:fill="auto"/>
          </w:tcPr>
          <w:p w:rsidR="00CB0DD7" w:rsidRPr="000A0A5F" w:rsidRDefault="00CB0DD7">
            <w:pPr>
              <w:pStyle w:val="TAL"/>
            </w:pPr>
            <w:r w:rsidRPr="000A0A5F">
              <w:t>Location</w:t>
            </w:r>
          </w:p>
        </w:tc>
        <w:tc>
          <w:tcPr>
            <w:tcW w:w="732" w:type="pct"/>
            <w:tcBorders>
              <w:top w:val="single" w:sz="6" w:space="0" w:color="auto"/>
            </w:tcBorders>
          </w:tcPr>
          <w:p w:rsidR="00CB0DD7" w:rsidRPr="000A0A5F" w:rsidRDefault="00CB0DD7">
            <w:pPr>
              <w:pStyle w:val="TAL"/>
            </w:pPr>
            <w:r w:rsidRPr="000A0A5F">
              <w:t>string</w:t>
            </w:r>
          </w:p>
        </w:tc>
        <w:tc>
          <w:tcPr>
            <w:tcW w:w="217" w:type="pct"/>
            <w:tcBorders>
              <w:top w:val="single" w:sz="6" w:space="0" w:color="auto"/>
            </w:tcBorders>
          </w:tcPr>
          <w:p w:rsidR="00CB0DD7" w:rsidRPr="000A0A5F" w:rsidRDefault="00CB0DD7">
            <w:pPr>
              <w:pStyle w:val="TAC"/>
            </w:pPr>
            <w:r w:rsidRPr="000A0A5F">
              <w:t>M</w:t>
            </w:r>
          </w:p>
        </w:tc>
        <w:tc>
          <w:tcPr>
            <w:tcW w:w="581" w:type="pct"/>
            <w:tcBorders>
              <w:top w:val="single" w:sz="6" w:space="0" w:color="auto"/>
            </w:tcBorders>
          </w:tcPr>
          <w:p w:rsidR="00CB0DD7" w:rsidRPr="000A0A5F" w:rsidRDefault="00CB0DD7">
            <w:pPr>
              <w:pStyle w:val="TAL"/>
            </w:pPr>
            <w:r w:rsidRPr="000A0A5F">
              <w:t>1</w:t>
            </w:r>
          </w:p>
        </w:tc>
        <w:tc>
          <w:tcPr>
            <w:tcW w:w="2645" w:type="pct"/>
            <w:tcBorders>
              <w:top w:val="single" w:sz="6" w:space="0" w:color="auto"/>
            </w:tcBorders>
            <w:shd w:val="clear" w:color="auto" w:fill="auto"/>
            <w:vAlign w:val="center"/>
          </w:tcPr>
          <w:p w:rsidR="00CB0DD7" w:rsidRPr="000A0A5F" w:rsidRDefault="00CB0DD7">
            <w:pPr>
              <w:pStyle w:val="TAL"/>
            </w:pPr>
            <w:r w:rsidRPr="000A0A5F">
              <w:t>Contains the URI of the newly created resource, according to the structure:</w:t>
            </w:r>
            <w:r w:rsidRPr="000A0A5F">
              <w:rPr>
                <w:noProof/>
              </w:rPr>
              <w:t xml:space="preserve"> </w:t>
            </w:r>
            <w:r w:rsidRPr="000A0A5F">
              <w:t>{apiRoot}/3gpp-bdt/v1/{scsAsId}/subscriptions/{subscriptionId}</w:t>
            </w:r>
          </w:p>
        </w:tc>
      </w:tr>
    </w:tbl>
    <w:p w:rsidR="00CB0DD7" w:rsidRPr="000A0A5F" w:rsidRDefault="00CB0DD7"/>
    <w:p w:rsidR="00CB0DD7" w:rsidRPr="000A0A5F" w:rsidRDefault="00CB0DD7">
      <w:pPr>
        <w:pStyle w:val="Heading6"/>
      </w:pPr>
      <w:bookmarkStart w:id="2875" w:name="_Toc11247384"/>
      <w:bookmarkStart w:id="2876" w:name="_Toc27044506"/>
      <w:bookmarkStart w:id="2877" w:name="_Toc36033548"/>
      <w:bookmarkStart w:id="2878" w:name="_Toc45131683"/>
      <w:bookmarkStart w:id="2879" w:name="_Toc49775968"/>
      <w:bookmarkStart w:id="2880" w:name="_Toc51746888"/>
      <w:bookmarkStart w:id="2881" w:name="_Toc66360436"/>
      <w:bookmarkStart w:id="2882" w:name="_Toc68104941"/>
      <w:bookmarkStart w:id="2883" w:name="_Toc74755571"/>
      <w:bookmarkStart w:id="2884" w:name="_Toc105674444"/>
      <w:bookmarkStart w:id="2885" w:name="_Toc130502484"/>
      <w:bookmarkStart w:id="2886" w:name="_Toc153625271"/>
      <w:r w:rsidRPr="000A0A5F">
        <w:t>5.4.3.2.3.5</w:t>
      </w:r>
      <w:r w:rsidRPr="000A0A5F">
        <w:tab/>
        <w:t>DELETE</w:t>
      </w:r>
      <w:bookmarkEnd w:id="2875"/>
      <w:bookmarkEnd w:id="2876"/>
      <w:bookmarkEnd w:id="2877"/>
      <w:bookmarkEnd w:id="2878"/>
      <w:bookmarkEnd w:id="2879"/>
      <w:bookmarkEnd w:id="2880"/>
      <w:bookmarkEnd w:id="2881"/>
      <w:bookmarkEnd w:id="2882"/>
      <w:bookmarkEnd w:id="2883"/>
      <w:bookmarkEnd w:id="2884"/>
      <w:bookmarkEnd w:id="2885"/>
      <w:bookmarkEnd w:id="2886"/>
    </w:p>
    <w:p w:rsidR="00CB0DD7" w:rsidRPr="000A0A5F" w:rsidRDefault="00CB0DD7">
      <w:pPr>
        <w:rPr>
          <w:lang w:eastAsia="zh-CN"/>
        </w:rPr>
      </w:pPr>
      <w:r w:rsidRPr="000A0A5F">
        <w:rPr>
          <w:rFonts w:hint="eastAsia"/>
          <w:lang w:eastAsia="zh-CN"/>
        </w:rPr>
        <w:t xml:space="preserve">This </w:t>
      </w:r>
      <w:r w:rsidRPr="000A0A5F">
        <w:rPr>
          <w:lang w:eastAsia="zh-CN"/>
        </w:rPr>
        <w:t>HTTP method is not supported for the resource.</w:t>
      </w:r>
    </w:p>
    <w:p w:rsidR="00CB0DD7" w:rsidRPr="000A0A5F" w:rsidRDefault="00CB0DD7">
      <w:pPr>
        <w:pStyle w:val="Heading4"/>
      </w:pPr>
      <w:bookmarkStart w:id="2887" w:name="_Toc11247385"/>
      <w:bookmarkStart w:id="2888" w:name="_Toc27044507"/>
      <w:bookmarkStart w:id="2889" w:name="_Toc36033549"/>
      <w:bookmarkStart w:id="2890" w:name="_Toc45131684"/>
      <w:bookmarkStart w:id="2891" w:name="_Toc49775969"/>
      <w:bookmarkStart w:id="2892" w:name="_Toc51746889"/>
      <w:bookmarkStart w:id="2893" w:name="_Toc66360437"/>
      <w:bookmarkStart w:id="2894" w:name="_Toc68104942"/>
      <w:bookmarkStart w:id="2895" w:name="_Toc74755572"/>
      <w:bookmarkStart w:id="2896" w:name="_Toc105674445"/>
      <w:bookmarkStart w:id="2897" w:name="_Toc130502485"/>
      <w:bookmarkStart w:id="2898" w:name="_Toc153625272"/>
      <w:r w:rsidRPr="000A0A5F">
        <w:t>5.4.3.3</w:t>
      </w:r>
      <w:r w:rsidRPr="000A0A5F">
        <w:tab/>
        <w:t>Resource: Individual BDT Subscription</w:t>
      </w:r>
      <w:bookmarkEnd w:id="2887"/>
      <w:bookmarkEnd w:id="2888"/>
      <w:bookmarkEnd w:id="2889"/>
      <w:bookmarkEnd w:id="2890"/>
      <w:bookmarkEnd w:id="2891"/>
      <w:bookmarkEnd w:id="2892"/>
      <w:bookmarkEnd w:id="2893"/>
      <w:bookmarkEnd w:id="2894"/>
      <w:bookmarkEnd w:id="2895"/>
      <w:bookmarkEnd w:id="2896"/>
      <w:bookmarkEnd w:id="2897"/>
      <w:bookmarkEnd w:id="2898"/>
    </w:p>
    <w:p w:rsidR="00CB0DD7" w:rsidRPr="000A0A5F" w:rsidRDefault="00CB0DD7">
      <w:pPr>
        <w:pStyle w:val="Heading5"/>
      </w:pPr>
      <w:bookmarkStart w:id="2899" w:name="_Toc11247386"/>
      <w:bookmarkStart w:id="2900" w:name="_Toc27044508"/>
      <w:bookmarkStart w:id="2901" w:name="_Toc36033550"/>
      <w:bookmarkStart w:id="2902" w:name="_Toc45131685"/>
      <w:bookmarkStart w:id="2903" w:name="_Toc49775970"/>
      <w:bookmarkStart w:id="2904" w:name="_Toc51746890"/>
      <w:bookmarkStart w:id="2905" w:name="_Toc66360438"/>
      <w:bookmarkStart w:id="2906" w:name="_Toc68104943"/>
      <w:bookmarkStart w:id="2907" w:name="_Toc74755573"/>
      <w:bookmarkStart w:id="2908" w:name="_Toc105674446"/>
      <w:bookmarkStart w:id="2909" w:name="_Toc130502486"/>
      <w:bookmarkStart w:id="2910" w:name="_Toc153625273"/>
      <w:r w:rsidRPr="000A0A5F">
        <w:t>5.4.3.3.1</w:t>
      </w:r>
      <w:r w:rsidRPr="000A0A5F">
        <w:tab/>
        <w:t>Introduction</w:t>
      </w:r>
      <w:bookmarkEnd w:id="2899"/>
      <w:bookmarkEnd w:id="2900"/>
      <w:bookmarkEnd w:id="2901"/>
      <w:bookmarkEnd w:id="2902"/>
      <w:bookmarkEnd w:id="2903"/>
      <w:bookmarkEnd w:id="2904"/>
      <w:bookmarkEnd w:id="2905"/>
      <w:bookmarkEnd w:id="2906"/>
      <w:bookmarkEnd w:id="2907"/>
      <w:bookmarkEnd w:id="2908"/>
      <w:bookmarkEnd w:id="2909"/>
      <w:bookmarkEnd w:id="2910"/>
    </w:p>
    <w:p w:rsidR="00CB0DD7" w:rsidRPr="000A0A5F" w:rsidRDefault="00CB0DD7">
      <w:pPr>
        <w:rPr>
          <w:noProof/>
          <w:lang w:eastAsia="zh-CN"/>
        </w:rPr>
      </w:pPr>
      <w:r w:rsidRPr="000A0A5F">
        <w:rPr>
          <w:noProof/>
          <w:lang w:eastAsia="zh-CN"/>
        </w:rPr>
        <w:t>This resource allows t</w:t>
      </w:r>
      <w:r w:rsidRPr="000A0A5F">
        <w:rPr>
          <w:rFonts w:hint="eastAsia"/>
          <w:noProof/>
          <w:lang w:eastAsia="zh-CN"/>
        </w:rPr>
        <w:t xml:space="preserve">he SCS/AS </w:t>
      </w:r>
      <w:r w:rsidRPr="000A0A5F">
        <w:rPr>
          <w:noProof/>
          <w:lang w:eastAsia="zh-CN"/>
        </w:rPr>
        <w:t>to manage resources for BDT using a long-term transaction.</w:t>
      </w:r>
    </w:p>
    <w:p w:rsidR="00CB0DD7" w:rsidRPr="000A0A5F" w:rsidRDefault="00CB0DD7">
      <w:pPr>
        <w:pStyle w:val="Heading5"/>
      </w:pPr>
      <w:bookmarkStart w:id="2911" w:name="_Toc11247387"/>
      <w:bookmarkStart w:id="2912" w:name="_Toc27044509"/>
      <w:bookmarkStart w:id="2913" w:name="_Toc36033551"/>
      <w:bookmarkStart w:id="2914" w:name="_Toc45131686"/>
      <w:bookmarkStart w:id="2915" w:name="_Toc49775971"/>
      <w:bookmarkStart w:id="2916" w:name="_Toc51746891"/>
      <w:bookmarkStart w:id="2917" w:name="_Toc66360439"/>
      <w:bookmarkStart w:id="2918" w:name="_Toc68104944"/>
      <w:bookmarkStart w:id="2919" w:name="_Toc74755574"/>
      <w:bookmarkStart w:id="2920" w:name="_Toc105674447"/>
      <w:bookmarkStart w:id="2921" w:name="_Toc130502487"/>
      <w:bookmarkStart w:id="2922" w:name="_Toc153625274"/>
      <w:r w:rsidRPr="000A0A5F">
        <w:t>5.4.3.3.2</w:t>
      </w:r>
      <w:r w:rsidRPr="000A0A5F">
        <w:tab/>
        <w:t>Resource definition</w:t>
      </w:r>
      <w:bookmarkEnd w:id="2911"/>
      <w:bookmarkEnd w:id="2912"/>
      <w:bookmarkEnd w:id="2913"/>
      <w:bookmarkEnd w:id="2914"/>
      <w:bookmarkEnd w:id="2915"/>
      <w:bookmarkEnd w:id="2916"/>
      <w:bookmarkEnd w:id="2917"/>
      <w:bookmarkEnd w:id="2918"/>
      <w:bookmarkEnd w:id="2919"/>
      <w:bookmarkEnd w:id="2920"/>
      <w:bookmarkEnd w:id="2921"/>
      <w:bookmarkEnd w:id="2922"/>
    </w:p>
    <w:p w:rsidR="00CB0DD7" w:rsidRPr="000A0A5F" w:rsidRDefault="00CB0DD7">
      <w:r w:rsidRPr="000A0A5F">
        <w:t xml:space="preserve">Resource URI: </w:t>
      </w:r>
      <w:r w:rsidRPr="000A0A5F">
        <w:rPr>
          <w:b/>
        </w:rPr>
        <w:t>{apiRoot}/3gpp-bdt/v1/{scsAsId}/subscriptions/{subscriptionId}</w:t>
      </w:r>
    </w:p>
    <w:p w:rsidR="00CB0DD7" w:rsidRPr="000A0A5F" w:rsidRDefault="00CB0DD7">
      <w:pPr>
        <w:rPr>
          <w:rFonts w:ascii="Arial" w:hAnsi="Arial" w:cs="Arial"/>
        </w:rPr>
      </w:pPr>
      <w:r w:rsidRPr="000A0A5F">
        <w:t>This resource shall support the resource URI variables defined in table 5.4.3.3.2-1</w:t>
      </w:r>
      <w:r w:rsidRPr="000A0A5F">
        <w:rPr>
          <w:rFonts w:ascii="Arial" w:hAnsi="Arial" w:cs="Arial"/>
        </w:rPr>
        <w:t>.</w:t>
      </w:r>
    </w:p>
    <w:p w:rsidR="00CB0DD7" w:rsidRPr="000A0A5F" w:rsidRDefault="00CB0DD7">
      <w:pPr>
        <w:pStyle w:val="TH"/>
        <w:rPr>
          <w:rFonts w:cs="Arial"/>
        </w:rPr>
      </w:pPr>
      <w:r w:rsidRPr="000A0A5F">
        <w:t>Table 5.4.3.3.2-1: Resource URI variables for resource "Individual BDT Subscription"</w:t>
      </w:r>
    </w:p>
    <w:tbl>
      <w:tblPr>
        <w:tblW w:w="494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970"/>
        <w:gridCol w:w="1312"/>
        <w:gridCol w:w="6378"/>
      </w:tblGrid>
      <w:tr w:rsidR="00CB0DD7" w:rsidRPr="000A0A5F" w:rsidTr="00FF0AF8">
        <w:trPr>
          <w:jc w:val="center"/>
        </w:trPr>
        <w:tc>
          <w:tcPr>
            <w:tcW w:w="1020" w:type="pct"/>
            <w:shd w:val="clear" w:color="000000" w:fill="C0C0C0"/>
          </w:tcPr>
          <w:p w:rsidR="00CB0DD7" w:rsidRPr="000A0A5F" w:rsidRDefault="00CB0DD7">
            <w:pPr>
              <w:pStyle w:val="TAH"/>
            </w:pPr>
            <w:r w:rsidRPr="000A0A5F">
              <w:t>Name</w:t>
            </w:r>
          </w:p>
        </w:tc>
        <w:tc>
          <w:tcPr>
            <w:tcW w:w="679" w:type="pct"/>
            <w:shd w:val="clear" w:color="000000" w:fill="C0C0C0"/>
          </w:tcPr>
          <w:p w:rsidR="00CB0DD7" w:rsidRPr="000A0A5F" w:rsidRDefault="00CB0DD7">
            <w:pPr>
              <w:pStyle w:val="TAH"/>
            </w:pPr>
            <w:r w:rsidRPr="000A0A5F">
              <w:t>Data type</w:t>
            </w:r>
          </w:p>
        </w:tc>
        <w:tc>
          <w:tcPr>
            <w:tcW w:w="3302" w:type="pct"/>
            <w:shd w:val="clear" w:color="000000" w:fill="C0C0C0"/>
            <w:vAlign w:val="center"/>
          </w:tcPr>
          <w:p w:rsidR="00CB0DD7" w:rsidRPr="000A0A5F" w:rsidRDefault="00CB0DD7">
            <w:pPr>
              <w:pStyle w:val="TAH"/>
            </w:pPr>
            <w:r w:rsidRPr="000A0A5F">
              <w:t>Definition</w:t>
            </w:r>
          </w:p>
        </w:tc>
      </w:tr>
      <w:tr w:rsidR="00CB0DD7" w:rsidRPr="000A0A5F" w:rsidTr="00FF0AF8">
        <w:trPr>
          <w:jc w:val="center"/>
        </w:trPr>
        <w:tc>
          <w:tcPr>
            <w:tcW w:w="1020" w:type="pct"/>
            <w:shd w:val="clear" w:color="auto" w:fill="auto"/>
          </w:tcPr>
          <w:p w:rsidR="00CB0DD7" w:rsidRPr="000A0A5F" w:rsidRDefault="00CB0DD7">
            <w:pPr>
              <w:pStyle w:val="TAL"/>
            </w:pPr>
            <w:r w:rsidRPr="000A0A5F">
              <w:t>apiRoot</w:t>
            </w:r>
          </w:p>
        </w:tc>
        <w:tc>
          <w:tcPr>
            <w:tcW w:w="679" w:type="pct"/>
          </w:tcPr>
          <w:p w:rsidR="00CB0DD7" w:rsidRPr="000A0A5F" w:rsidRDefault="00CB0DD7">
            <w:pPr>
              <w:pStyle w:val="TAL"/>
            </w:pPr>
            <w:r w:rsidRPr="000A0A5F">
              <w:t>string</w:t>
            </w:r>
          </w:p>
        </w:tc>
        <w:tc>
          <w:tcPr>
            <w:tcW w:w="3302" w:type="pct"/>
            <w:shd w:val="clear" w:color="auto" w:fill="auto"/>
            <w:vAlign w:val="center"/>
          </w:tcPr>
          <w:p w:rsidR="00CB0DD7" w:rsidRPr="000A0A5F" w:rsidRDefault="00CB0DD7">
            <w:pPr>
              <w:pStyle w:val="TAL"/>
            </w:pPr>
            <w:r w:rsidRPr="000A0A5F">
              <w:t>See clause</w:t>
            </w:r>
            <w:r w:rsidRPr="000A0A5F">
              <w:rPr>
                <w:lang w:val="en-US" w:eastAsia="zh-CN"/>
              </w:rPr>
              <w:t> </w:t>
            </w:r>
            <w:r w:rsidRPr="000A0A5F">
              <w:t>5.2.4.</w:t>
            </w:r>
          </w:p>
        </w:tc>
      </w:tr>
      <w:tr w:rsidR="00CB0DD7" w:rsidRPr="000A0A5F" w:rsidTr="00FF0AF8">
        <w:trPr>
          <w:jc w:val="center"/>
        </w:trPr>
        <w:tc>
          <w:tcPr>
            <w:tcW w:w="1020" w:type="pct"/>
            <w:shd w:val="clear" w:color="auto" w:fill="auto"/>
          </w:tcPr>
          <w:p w:rsidR="00CB0DD7" w:rsidRPr="000A0A5F" w:rsidRDefault="00CB0DD7">
            <w:pPr>
              <w:pStyle w:val="TAL"/>
            </w:pPr>
            <w:r w:rsidRPr="000A0A5F">
              <w:t>scsAsId</w:t>
            </w:r>
          </w:p>
        </w:tc>
        <w:tc>
          <w:tcPr>
            <w:tcW w:w="679" w:type="pct"/>
          </w:tcPr>
          <w:p w:rsidR="00CB0DD7" w:rsidRPr="000A0A5F" w:rsidRDefault="00CB0DD7">
            <w:pPr>
              <w:pStyle w:val="TAL"/>
            </w:pPr>
            <w:r w:rsidRPr="000A0A5F">
              <w:rPr>
                <w:rFonts w:hint="eastAsia"/>
                <w:lang w:eastAsia="zh-CN"/>
              </w:rPr>
              <w:t>s</w:t>
            </w:r>
            <w:r w:rsidRPr="000A0A5F">
              <w:rPr>
                <w:lang w:eastAsia="zh-CN"/>
              </w:rPr>
              <w:t>tring</w:t>
            </w:r>
          </w:p>
        </w:tc>
        <w:tc>
          <w:tcPr>
            <w:tcW w:w="3302" w:type="pct"/>
            <w:shd w:val="clear" w:color="auto" w:fill="auto"/>
            <w:vAlign w:val="center"/>
          </w:tcPr>
          <w:p w:rsidR="00CB0DD7" w:rsidRPr="000A0A5F" w:rsidRDefault="00CB0DD7">
            <w:pPr>
              <w:pStyle w:val="TAL"/>
            </w:pPr>
            <w:r w:rsidRPr="000A0A5F">
              <w:t>Identifier of the SCS/AS.</w:t>
            </w:r>
          </w:p>
        </w:tc>
      </w:tr>
      <w:tr w:rsidR="00CB0DD7" w:rsidRPr="000A0A5F" w:rsidTr="00FF0AF8">
        <w:trPr>
          <w:jc w:val="center"/>
        </w:trPr>
        <w:tc>
          <w:tcPr>
            <w:tcW w:w="1020" w:type="pct"/>
            <w:shd w:val="clear" w:color="auto" w:fill="auto"/>
          </w:tcPr>
          <w:p w:rsidR="00CB0DD7" w:rsidRPr="000A0A5F" w:rsidRDefault="00CB0DD7">
            <w:pPr>
              <w:pStyle w:val="TAL"/>
            </w:pPr>
            <w:r w:rsidRPr="000A0A5F">
              <w:t>subscriptionId</w:t>
            </w:r>
          </w:p>
        </w:tc>
        <w:tc>
          <w:tcPr>
            <w:tcW w:w="679" w:type="pct"/>
          </w:tcPr>
          <w:p w:rsidR="00CB0DD7" w:rsidRPr="000A0A5F" w:rsidRDefault="00CB0DD7">
            <w:pPr>
              <w:pStyle w:val="TAL"/>
            </w:pPr>
            <w:r w:rsidRPr="000A0A5F">
              <w:t>string</w:t>
            </w:r>
          </w:p>
        </w:tc>
        <w:tc>
          <w:tcPr>
            <w:tcW w:w="3302" w:type="pct"/>
            <w:shd w:val="clear" w:color="auto" w:fill="auto"/>
            <w:vAlign w:val="center"/>
          </w:tcPr>
          <w:p w:rsidR="00CB0DD7" w:rsidRPr="000A0A5F" w:rsidRDefault="00CB0DD7">
            <w:pPr>
              <w:pStyle w:val="TAL"/>
            </w:pPr>
            <w:r w:rsidRPr="000A0A5F">
              <w:t>Identifier of the subscription resource. The subscriptionId corresponds to the stage 2 TLTRI.</w:t>
            </w:r>
          </w:p>
        </w:tc>
      </w:tr>
    </w:tbl>
    <w:p w:rsidR="00CB0DD7" w:rsidRPr="000A0A5F" w:rsidRDefault="00CB0DD7"/>
    <w:p w:rsidR="00CB0DD7" w:rsidRPr="000A0A5F" w:rsidRDefault="00CB0DD7">
      <w:pPr>
        <w:pStyle w:val="Heading5"/>
      </w:pPr>
      <w:bookmarkStart w:id="2923" w:name="_Toc11247388"/>
      <w:bookmarkStart w:id="2924" w:name="_Toc27044510"/>
      <w:bookmarkStart w:id="2925" w:name="_Toc36033552"/>
      <w:bookmarkStart w:id="2926" w:name="_Toc45131687"/>
      <w:bookmarkStart w:id="2927" w:name="_Toc49775972"/>
      <w:bookmarkStart w:id="2928" w:name="_Toc51746892"/>
      <w:bookmarkStart w:id="2929" w:name="_Toc66360440"/>
      <w:bookmarkStart w:id="2930" w:name="_Toc68104945"/>
      <w:bookmarkStart w:id="2931" w:name="_Toc74755575"/>
      <w:bookmarkStart w:id="2932" w:name="_Toc105674448"/>
      <w:bookmarkStart w:id="2933" w:name="_Toc130502488"/>
      <w:bookmarkStart w:id="2934" w:name="_Toc153625275"/>
      <w:r w:rsidRPr="000A0A5F">
        <w:t>5.4.3.3.3</w:t>
      </w:r>
      <w:r w:rsidRPr="000A0A5F">
        <w:tab/>
        <w:t>Resource methods</w:t>
      </w:r>
      <w:bookmarkEnd w:id="2923"/>
      <w:bookmarkEnd w:id="2924"/>
      <w:bookmarkEnd w:id="2925"/>
      <w:bookmarkEnd w:id="2926"/>
      <w:bookmarkEnd w:id="2927"/>
      <w:bookmarkEnd w:id="2928"/>
      <w:bookmarkEnd w:id="2929"/>
      <w:bookmarkEnd w:id="2930"/>
      <w:bookmarkEnd w:id="2931"/>
      <w:bookmarkEnd w:id="2932"/>
      <w:bookmarkEnd w:id="2933"/>
      <w:bookmarkEnd w:id="2934"/>
    </w:p>
    <w:p w:rsidR="00CB0DD7" w:rsidRPr="000A0A5F" w:rsidRDefault="00CB0DD7">
      <w:pPr>
        <w:pStyle w:val="Heading6"/>
      </w:pPr>
      <w:bookmarkStart w:id="2935" w:name="_Toc11247389"/>
      <w:bookmarkStart w:id="2936" w:name="_Toc27044511"/>
      <w:bookmarkStart w:id="2937" w:name="_Toc36033553"/>
      <w:bookmarkStart w:id="2938" w:name="_Toc45131688"/>
      <w:bookmarkStart w:id="2939" w:name="_Toc49775973"/>
      <w:bookmarkStart w:id="2940" w:name="_Toc51746893"/>
      <w:bookmarkStart w:id="2941" w:name="_Toc66360441"/>
      <w:bookmarkStart w:id="2942" w:name="_Toc68104946"/>
      <w:bookmarkStart w:id="2943" w:name="_Toc74755576"/>
      <w:bookmarkStart w:id="2944" w:name="_Toc105674449"/>
      <w:bookmarkStart w:id="2945" w:name="_Toc130502489"/>
      <w:bookmarkStart w:id="2946" w:name="_Toc153625276"/>
      <w:r w:rsidRPr="000A0A5F">
        <w:t>5.4.3.3.3.1</w:t>
      </w:r>
      <w:r w:rsidRPr="000A0A5F">
        <w:tab/>
        <w:t>GET</w:t>
      </w:r>
      <w:bookmarkEnd w:id="2935"/>
      <w:bookmarkEnd w:id="2936"/>
      <w:bookmarkEnd w:id="2937"/>
      <w:bookmarkEnd w:id="2938"/>
      <w:bookmarkEnd w:id="2939"/>
      <w:bookmarkEnd w:id="2940"/>
      <w:bookmarkEnd w:id="2941"/>
      <w:bookmarkEnd w:id="2942"/>
      <w:bookmarkEnd w:id="2943"/>
      <w:bookmarkEnd w:id="2944"/>
      <w:bookmarkEnd w:id="2945"/>
      <w:bookmarkEnd w:id="2946"/>
    </w:p>
    <w:p w:rsidR="00CB0DD7" w:rsidRPr="000A0A5F" w:rsidRDefault="00CB0DD7">
      <w:pPr>
        <w:rPr>
          <w:noProof/>
          <w:lang w:eastAsia="zh-CN"/>
        </w:rPr>
      </w:pPr>
      <w:r w:rsidRPr="000A0A5F">
        <w:rPr>
          <w:noProof/>
          <w:lang w:eastAsia="zh-CN"/>
        </w:rPr>
        <w:t>The GET method allows to read an individual BDT subscription resource to obtain details of an active resource BDT subscription. The SCS/AS shall initiate the HTTP GET request message and the SCEF shall respond to the message.</w:t>
      </w:r>
    </w:p>
    <w:p w:rsidR="00CB0DD7" w:rsidRPr="000A0A5F" w:rsidRDefault="00CB0DD7">
      <w:r w:rsidRPr="000A0A5F">
        <w:t>This method shall support the URI query parameters, request and response data structures, and response codes, as specified in the table 5.4.3.3.3.1-1 and table 5.4.3.3.3.1-2.</w:t>
      </w:r>
    </w:p>
    <w:p w:rsidR="00CB0DD7" w:rsidRPr="000A0A5F" w:rsidRDefault="00CB0DD7">
      <w:pPr>
        <w:pStyle w:val="TH"/>
        <w:rPr>
          <w:rFonts w:cs="Arial"/>
        </w:rPr>
      </w:pPr>
      <w:r w:rsidRPr="000A0A5F">
        <w:t xml:space="preserve">Table 5.4.3.3.3.1-1: URI query parameters supported by the GET method on this resource </w:t>
      </w:r>
    </w:p>
    <w:tbl>
      <w:tblPr>
        <w:tblW w:w="4999"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612"/>
        <w:gridCol w:w="1709"/>
        <w:gridCol w:w="1140"/>
        <w:gridCol w:w="5314"/>
      </w:tblGrid>
      <w:tr w:rsidR="00CB0DD7" w:rsidRPr="000A0A5F" w:rsidTr="00FF0AF8">
        <w:trPr>
          <w:jc w:val="center"/>
        </w:trPr>
        <w:tc>
          <w:tcPr>
            <w:tcW w:w="825" w:type="pct"/>
            <w:shd w:val="clear" w:color="000000" w:fill="C0C0C0"/>
          </w:tcPr>
          <w:p w:rsidR="00CB0DD7" w:rsidRPr="000A0A5F" w:rsidRDefault="00CB0DD7">
            <w:pPr>
              <w:pStyle w:val="TAH"/>
            </w:pPr>
            <w:r w:rsidRPr="000A0A5F">
              <w:t>Name</w:t>
            </w:r>
          </w:p>
        </w:tc>
        <w:tc>
          <w:tcPr>
            <w:tcW w:w="874" w:type="pct"/>
            <w:shd w:val="clear" w:color="000000" w:fill="C0C0C0"/>
          </w:tcPr>
          <w:p w:rsidR="00CB0DD7" w:rsidRPr="000A0A5F" w:rsidRDefault="00CB0DD7">
            <w:pPr>
              <w:pStyle w:val="TAH"/>
            </w:pPr>
            <w:r w:rsidRPr="000A0A5F">
              <w:t>Data type</w:t>
            </w:r>
          </w:p>
        </w:tc>
        <w:tc>
          <w:tcPr>
            <w:tcW w:w="583" w:type="pct"/>
            <w:shd w:val="clear" w:color="000000" w:fill="C0C0C0"/>
          </w:tcPr>
          <w:p w:rsidR="00CB0DD7" w:rsidRPr="000A0A5F" w:rsidRDefault="00CB0DD7">
            <w:pPr>
              <w:pStyle w:val="TAH"/>
            </w:pPr>
            <w:r w:rsidRPr="000A0A5F">
              <w:t>Cardinality</w:t>
            </w:r>
          </w:p>
        </w:tc>
        <w:tc>
          <w:tcPr>
            <w:tcW w:w="2718" w:type="pct"/>
            <w:shd w:val="clear" w:color="000000" w:fill="C0C0C0"/>
            <w:vAlign w:val="center"/>
          </w:tcPr>
          <w:p w:rsidR="00CB0DD7" w:rsidRPr="000A0A5F" w:rsidRDefault="00CB0DD7">
            <w:pPr>
              <w:pStyle w:val="TAH"/>
            </w:pPr>
            <w:r w:rsidRPr="000A0A5F">
              <w:t>Remarks</w:t>
            </w:r>
          </w:p>
        </w:tc>
      </w:tr>
      <w:tr w:rsidR="00CB0DD7" w:rsidRPr="000A0A5F" w:rsidTr="00FF0AF8">
        <w:trPr>
          <w:jc w:val="center"/>
        </w:trPr>
        <w:tc>
          <w:tcPr>
            <w:tcW w:w="825" w:type="pct"/>
            <w:shd w:val="clear" w:color="auto" w:fill="auto"/>
          </w:tcPr>
          <w:p w:rsidR="00CB0DD7" w:rsidRPr="000A0A5F" w:rsidRDefault="00CB0DD7">
            <w:pPr>
              <w:pStyle w:val="TAL"/>
            </w:pPr>
            <w:r w:rsidRPr="000A0A5F">
              <w:t>none specified</w:t>
            </w:r>
          </w:p>
        </w:tc>
        <w:tc>
          <w:tcPr>
            <w:tcW w:w="874" w:type="pct"/>
          </w:tcPr>
          <w:p w:rsidR="00CB0DD7" w:rsidRPr="000A0A5F" w:rsidRDefault="00CB0DD7">
            <w:pPr>
              <w:pStyle w:val="TAL"/>
            </w:pPr>
          </w:p>
        </w:tc>
        <w:tc>
          <w:tcPr>
            <w:tcW w:w="583" w:type="pct"/>
          </w:tcPr>
          <w:p w:rsidR="00CB0DD7" w:rsidRPr="000A0A5F" w:rsidRDefault="00CB0DD7">
            <w:pPr>
              <w:pStyle w:val="TAL"/>
            </w:pPr>
          </w:p>
        </w:tc>
        <w:tc>
          <w:tcPr>
            <w:tcW w:w="2718" w:type="pct"/>
            <w:shd w:val="clear" w:color="auto" w:fill="auto"/>
            <w:vAlign w:val="center"/>
          </w:tcPr>
          <w:p w:rsidR="00CB0DD7" w:rsidRPr="000A0A5F" w:rsidRDefault="00CB0DD7">
            <w:pPr>
              <w:pStyle w:val="TAL"/>
            </w:pPr>
          </w:p>
        </w:tc>
      </w:tr>
    </w:tbl>
    <w:p w:rsidR="00CB0DD7" w:rsidRPr="000A0A5F" w:rsidRDefault="00CB0DD7"/>
    <w:p w:rsidR="00CB0DD7" w:rsidRPr="000A0A5F" w:rsidRDefault="00CB0DD7">
      <w:pPr>
        <w:pStyle w:val="TH"/>
      </w:pPr>
      <w:r w:rsidRPr="000A0A5F">
        <w:t>Table 5.4.3.3.3.1-2: Data structures supported by the GET request/response by the resource</w:t>
      </w:r>
    </w:p>
    <w:tbl>
      <w:tblPr>
        <w:tblW w:w="4999" w:type="pct"/>
        <w:tblInd w:w="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45" w:type="dxa"/>
          <w:left w:w="45" w:type="dxa"/>
          <w:bottom w:w="45" w:type="dxa"/>
          <w:right w:w="45" w:type="dxa"/>
        </w:tblCellMar>
        <w:tblLook w:val="0000" w:firstRow="0" w:lastRow="0" w:firstColumn="0" w:lastColumn="0" w:noHBand="0" w:noVBand="0"/>
      </w:tblPr>
      <w:tblGrid>
        <w:gridCol w:w="1035"/>
        <w:gridCol w:w="2127"/>
        <w:gridCol w:w="1053"/>
        <w:gridCol w:w="973"/>
        <w:gridCol w:w="4541"/>
      </w:tblGrid>
      <w:tr w:rsidR="00CB0DD7" w:rsidRPr="000A0A5F" w:rsidTr="00B40D37">
        <w:tc>
          <w:tcPr>
            <w:tcW w:w="532" w:type="pct"/>
            <w:vMerge w:val="restart"/>
            <w:shd w:val="clear" w:color="auto" w:fill="BFBFBF"/>
            <w:vAlign w:val="center"/>
          </w:tcPr>
          <w:p w:rsidR="00CB0DD7" w:rsidRPr="000A0A5F" w:rsidRDefault="00CB0DD7">
            <w:pPr>
              <w:pStyle w:val="TAH"/>
            </w:pPr>
            <w:r w:rsidRPr="000A0A5F">
              <w:t>Request body</w:t>
            </w:r>
          </w:p>
        </w:tc>
        <w:tc>
          <w:tcPr>
            <w:tcW w:w="1093" w:type="pct"/>
            <w:shd w:val="clear" w:color="auto" w:fill="C0C0C0"/>
          </w:tcPr>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r w:rsidRPr="000A0A5F">
              <w:t>Cardinality</w:t>
            </w:r>
          </w:p>
        </w:tc>
        <w:tc>
          <w:tcPr>
            <w:tcW w:w="2834" w:type="pct"/>
            <w:gridSpan w:val="2"/>
            <w:shd w:val="clear" w:color="auto" w:fill="C0C0C0"/>
          </w:tcPr>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none</w:t>
            </w:r>
          </w:p>
        </w:tc>
        <w:tc>
          <w:tcPr>
            <w:tcW w:w="541" w:type="pct"/>
          </w:tcPr>
          <w:p w:rsidR="00CB0DD7" w:rsidRPr="000A0A5F" w:rsidRDefault="00CB0DD7">
            <w:pPr>
              <w:pStyle w:val="TAL"/>
            </w:pPr>
          </w:p>
        </w:tc>
        <w:tc>
          <w:tcPr>
            <w:tcW w:w="2834" w:type="pct"/>
            <w:gridSpan w:val="2"/>
          </w:tcPr>
          <w:p w:rsidR="00CB0DD7" w:rsidRPr="000A0A5F" w:rsidRDefault="00CB0DD7">
            <w:pPr>
              <w:pStyle w:val="TAL"/>
            </w:pPr>
          </w:p>
        </w:tc>
      </w:tr>
      <w:tr w:rsidR="00CB0DD7" w:rsidRPr="000A0A5F" w:rsidTr="00B40D37">
        <w:tc>
          <w:tcPr>
            <w:tcW w:w="532" w:type="pct"/>
            <w:vMerge w:val="restart"/>
            <w:shd w:val="clear" w:color="auto" w:fill="C0C0C0"/>
            <w:vAlign w:val="center"/>
          </w:tcPr>
          <w:p w:rsidR="00CB0DD7" w:rsidRPr="000A0A5F" w:rsidRDefault="00CB0DD7">
            <w:pPr>
              <w:pStyle w:val="TAH"/>
            </w:pPr>
            <w:r w:rsidRPr="000A0A5F">
              <w:t>Response body</w:t>
            </w:r>
          </w:p>
        </w:tc>
        <w:tc>
          <w:tcPr>
            <w:tcW w:w="1093" w:type="pct"/>
            <w:shd w:val="clear" w:color="auto" w:fill="C0C0C0"/>
          </w:tcPr>
          <w:p w:rsidR="00CB0DD7" w:rsidRPr="000A0A5F" w:rsidRDefault="00CB0DD7">
            <w:pPr>
              <w:pStyle w:val="TAH"/>
            </w:pPr>
          </w:p>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p>
          <w:p w:rsidR="00CB0DD7" w:rsidRPr="000A0A5F" w:rsidRDefault="00CB0DD7">
            <w:pPr>
              <w:pStyle w:val="TAH"/>
            </w:pPr>
            <w:r w:rsidRPr="000A0A5F">
              <w:t>Cardinality</w:t>
            </w:r>
          </w:p>
        </w:tc>
        <w:tc>
          <w:tcPr>
            <w:tcW w:w="500" w:type="pct"/>
            <w:shd w:val="clear" w:color="auto" w:fill="C0C0C0"/>
          </w:tcPr>
          <w:p w:rsidR="00CB0DD7" w:rsidRPr="000A0A5F" w:rsidRDefault="00CB0DD7">
            <w:pPr>
              <w:pStyle w:val="TAH"/>
            </w:pPr>
            <w:r w:rsidRPr="000A0A5F">
              <w:t>Response</w:t>
            </w:r>
          </w:p>
          <w:p w:rsidR="00CB0DD7" w:rsidRPr="000A0A5F" w:rsidRDefault="00CB0DD7">
            <w:pPr>
              <w:pStyle w:val="TAH"/>
            </w:pPr>
            <w:r w:rsidRPr="000A0A5F">
              <w:t>codes</w:t>
            </w:r>
          </w:p>
        </w:tc>
        <w:tc>
          <w:tcPr>
            <w:tcW w:w="2334" w:type="pct"/>
            <w:shd w:val="clear" w:color="auto" w:fill="C0C0C0"/>
          </w:tcPr>
          <w:p w:rsidR="00CB0DD7" w:rsidRPr="000A0A5F" w:rsidRDefault="00CB0DD7">
            <w:pPr>
              <w:pStyle w:val="TAH"/>
            </w:pPr>
          </w:p>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Bdt</w:t>
            </w:r>
          </w:p>
        </w:tc>
        <w:tc>
          <w:tcPr>
            <w:tcW w:w="541" w:type="pct"/>
          </w:tcPr>
          <w:p w:rsidR="00CB0DD7" w:rsidRPr="000A0A5F" w:rsidRDefault="00CB0DD7">
            <w:pPr>
              <w:pStyle w:val="TAL"/>
            </w:pPr>
            <w:r w:rsidRPr="000A0A5F">
              <w:t>1</w:t>
            </w:r>
          </w:p>
        </w:tc>
        <w:tc>
          <w:tcPr>
            <w:tcW w:w="500" w:type="pct"/>
          </w:tcPr>
          <w:p w:rsidR="00CB0DD7" w:rsidRPr="000A0A5F" w:rsidRDefault="00CB0DD7">
            <w:pPr>
              <w:pStyle w:val="TAL"/>
            </w:pPr>
            <w:r w:rsidRPr="000A0A5F">
              <w:t>200 OK</w:t>
            </w:r>
          </w:p>
        </w:tc>
        <w:tc>
          <w:tcPr>
            <w:tcW w:w="2334" w:type="pct"/>
          </w:tcPr>
          <w:p w:rsidR="00CB0DD7" w:rsidRPr="000A0A5F" w:rsidRDefault="00CB0DD7">
            <w:pPr>
              <w:pStyle w:val="TAL"/>
            </w:pPr>
            <w:r w:rsidRPr="000A0A5F">
              <w:t>The resource information related to the request URI is returned.</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none</w:t>
            </w:r>
          </w:p>
        </w:tc>
        <w:tc>
          <w:tcPr>
            <w:tcW w:w="541" w:type="pct"/>
          </w:tcPr>
          <w:p w:rsidR="00CB0DD7" w:rsidRPr="000A0A5F" w:rsidRDefault="00CB0DD7">
            <w:pPr>
              <w:pStyle w:val="TAL"/>
            </w:pPr>
          </w:p>
        </w:tc>
        <w:tc>
          <w:tcPr>
            <w:tcW w:w="500" w:type="pct"/>
          </w:tcPr>
          <w:p w:rsidR="00CB0DD7" w:rsidRPr="000A0A5F" w:rsidRDefault="00CB0DD7">
            <w:pPr>
              <w:pStyle w:val="TAL"/>
            </w:pPr>
            <w:r w:rsidRPr="000A0A5F">
              <w:t>307 Temporary Redirect</w:t>
            </w:r>
          </w:p>
        </w:tc>
        <w:tc>
          <w:tcPr>
            <w:tcW w:w="2334" w:type="pct"/>
          </w:tcPr>
          <w:p w:rsidR="00CB0DD7" w:rsidRPr="000A0A5F" w:rsidRDefault="00CB0DD7">
            <w:pPr>
              <w:pStyle w:val="TAL"/>
            </w:pPr>
            <w:r w:rsidRPr="000A0A5F">
              <w:t>Temporary redirection, during subscription retrieval. The response shall include a Location header field containing an alternative URI of the resource located in an alternative SCEF.</w:t>
            </w:r>
          </w:p>
          <w:p w:rsidR="00CB0DD7" w:rsidRPr="000A0A5F" w:rsidRDefault="00CB0DD7">
            <w:pPr>
              <w:pStyle w:val="TAL"/>
            </w:pPr>
            <w:r w:rsidRPr="000A0A5F">
              <w:t>Redirection handling is described in clause 5.2.10.</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none</w:t>
            </w:r>
          </w:p>
        </w:tc>
        <w:tc>
          <w:tcPr>
            <w:tcW w:w="541" w:type="pct"/>
          </w:tcPr>
          <w:p w:rsidR="00CB0DD7" w:rsidRPr="000A0A5F" w:rsidRDefault="00CB0DD7">
            <w:pPr>
              <w:pStyle w:val="TAL"/>
            </w:pPr>
          </w:p>
        </w:tc>
        <w:tc>
          <w:tcPr>
            <w:tcW w:w="500" w:type="pct"/>
          </w:tcPr>
          <w:p w:rsidR="00CB0DD7" w:rsidRPr="000A0A5F" w:rsidRDefault="00CB0DD7">
            <w:pPr>
              <w:pStyle w:val="TAL"/>
            </w:pPr>
            <w:r w:rsidRPr="000A0A5F">
              <w:t>308 Permanent Redirect</w:t>
            </w:r>
          </w:p>
        </w:tc>
        <w:tc>
          <w:tcPr>
            <w:tcW w:w="2334" w:type="pct"/>
          </w:tcPr>
          <w:p w:rsidR="00CB0DD7" w:rsidRPr="000A0A5F" w:rsidRDefault="00CB0DD7">
            <w:pPr>
              <w:pStyle w:val="TAL"/>
            </w:pPr>
            <w:r w:rsidRPr="000A0A5F">
              <w:t>Permanent redirection, during subscription retrieval. The response shall include a Location header field containing an alternative URI of the resource located in an alternative SCEF.</w:t>
            </w:r>
          </w:p>
          <w:p w:rsidR="00CB0DD7" w:rsidRPr="000A0A5F" w:rsidRDefault="00CB0DD7">
            <w:pPr>
              <w:pStyle w:val="TAL"/>
            </w:pPr>
            <w:r w:rsidRPr="000A0A5F">
              <w:t>Redirection handling is described in clause 5.2.10.</w:t>
            </w:r>
          </w:p>
        </w:tc>
      </w:tr>
      <w:tr w:rsidR="00CB0DD7" w:rsidRPr="000A0A5F" w:rsidTr="00FF0AF8">
        <w:tc>
          <w:tcPr>
            <w:tcW w:w="5000" w:type="pct"/>
            <w:gridSpan w:val="5"/>
            <w:shd w:val="clear" w:color="auto" w:fill="auto"/>
            <w:vAlign w:val="center"/>
          </w:tcPr>
          <w:p w:rsidR="00CB0DD7" w:rsidRPr="000A0A5F" w:rsidRDefault="00CB0DD7">
            <w:pPr>
              <w:pStyle w:val="TAN"/>
            </w:pPr>
            <w:r w:rsidRPr="000A0A5F">
              <w:t>NOTE:</w:t>
            </w:r>
            <w:r w:rsidRPr="000A0A5F">
              <w:tab/>
              <w:t>The mandatory HTTP error status codes for the GET method listed in table 5.2.6-1 also apply.</w:t>
            </w:r>
          </w:p>
        </w:tc>
      </w:tr>
    </w:tbl>
    <w:p w:rsidR="00CB0DD7" w:rsidRPr="000A0A5F" w:rsidRDefault="00CB0DD7"/>
    <w:p w:rsidR="00CB0DD7" w:rsidRPr="000A0A5F" w:rsidRDefault="00B004CD">
      <w:pPr>
        <w:pStyle w:val="TH"/>
      </w:pPr>
      <w:r w:rsidRPr="000A0A5F">
        <w:t>Table </w:t>
      </w:r>
      <w:r w:rsidR="00CB0DD7" w:rsidRPr="000A0A5F">
        <w:t>5.4.3.3.3.1-3: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B004CD">
      <w:pPr>
        <w:pStyle w:val="TH"/>
      </w:pPr>
      <w:r w:rsidRPr="000A0A5F">
        <w:t>Table </w:t>
      </w:r>
      <w:r w:rsidR="00CB0DD7" w:rsidRPr="000A0A5F">
        <w:t>5.4.3.3.3.1-4: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CB0DD7">
      <w:pPr>
        <w:pStyle w:val="Heading6"/>
      </w:pPr>
      <w:bookmarkStart w:id="2947" w:name="_Toc11247390"/>
      <w:bookmarkStart w:id="2948" w:name="_Toc27044512"/>
      <w:bookmarkStart w:id="2949" w:name="_Toc36033554"/>
      <w:bookmarkStart w:id="2950" w:name="_Toc45131689"/>
      <w:bookmarkStart w:id="2951" w:name="_Toc49775974"/>
      <w:bookmarkStart w:id="2952" w:name="_Toc51746894"/>
      <w:bookmarkStart w:id="2953" w:name="_Toc66360442"/>
      <w:bookmarkStart w:id="2954" w:name="_Toc68104947"/>
      <w:bookmarkStart w:id="2955" w:name="_Toc74755577"/>
      <w:bookmarkStart w:id="2956" w:name="_Toc105674450"/>
      <w:bookmarkStart w:id="2957" w:name="_Toc130502490"/>
      <w:bookmarkStart w:id="2958" w:name="_Toc153625277"/>
      <w:r w:rsidRPr="000A0A5F">
        <w:t>5.4.3.3.3.2</w:t>
      </w:r>
      <w:r w:rsidRPr="000A0A5F">
        <w:tab/>
        <w:t>PUT</w:t>
      </w:r>
      <w:bookmarkEnd w:id="2947"/>
      <w:bookmarkEnd w:id="2948"/>
      <w:bookmarkEnd w:id="2949"/>
      <w:bookmarkEnd w:id="2950"/>
      <w:bookmarkEnd w:id="2951"/>
      <w:bookmarkEnd w:id="2952"/>
      <w:bookmarkEnd w:id="2953"/>
      <w:bookmarkEnd w:id="2954"/>
      <w:bookmarkEnd w:id="2955"/>
      <w:bookmarkEnd w:id="2956"/>
      <w:bookmarkEnd w:id="2957"/>
      <w:bookmarkEnd w:id="2958"/>
    </w:p>
    <w:p w:rsidR="00CB0DD7" w:rsidRPr="000A0A5F" w:rsidRDefault="00CB0DD7">
      <w:pPr>
        <w:rPr>
          <w:noProof/>
          <w:lang w:eastAsia="zh-CN"/>
        </w:rPr>
      </w:pPr>
      <w:r w:rsidRPr="000A0A5F">
        <w:t xml:space="preserve">The PUT method allows the SCS/AS to modify an existing subscription resource completely. </w:t>
      </w:r>
      <w:r w:rsidRPr="000A0A5F">
        <w:rPr>
          <w:noProof/>
          <w:lang w:eastAsia="zh-CN"/>
        </w:rPr>
        <w:t>It is initiated by the SCS/AS and answered by the SCEF.</w:t>
      </w:r>
    </w:p>
    <w:p w:rsidR="00CB0DD7" w:rsidRPr="000A0A5F" w:rsidRDefault="00CB0DD7">
      <w:r w:rsidRPr="000A0A5F">
        <w:t>This method shall support request and response data structures, and response codes, as specified in the table 5.4.3.3.3.2-1.</w:t>
      </w:r>
    </w:p>
    <w:p w:rsidR="00CB0DD7" w:rsidRPr="000A0A5F" w:rsidRDefault="00CB0DD7">
      <w:pPr>
        <w:pStyle w:val="TH"/>
      </w:pPr>
      <w:r w:rsidRPr="000A0A5F">
        <w:t>Table 5.4.3.3.3.2</w:t>
      </w:r>
      <w:r w:rsidRPr="000A0A5F">
        <w:rPr>
          <w:rFonts w:hint="eastAsia"/>
          <w:lang w:eastAsia="zh-CN"/>
        </w:rPr>
        <w:t>-1</w:t>
      </w:r>
      <w:r w:rsidRPr="000A0A5F">
        <w:t xml:space="preserve">: Data structures supported by the </w:t>
      </w:r>
      <w:r w:rsidRPr="000A0A5F">
        <w:rPr>
          <w:rFonts w:hint="eastAsia"/>
          <w:lang w:eastAsia="zh-CN"/>
        </w:rPr>
        <w:t>PUT</w:t>
      </w:r>
      <w:r w:rsidRPr="000A0A5F">
        <w:t xml:space="preserve"> request/response by the resource</w:t>
      </w:r>
    </w:p>
    <w:tbl>
      <w:tblPr>
        <w:tblW w:w="4999" w:type="pct"/>
        <w:tblInd w:w="1" w:type="dxa"/>
        <w:tblBorders>
          <w:top w:val="single" w:sz="6" w:space="0" w:color="000000"/>
          <w:left w:val="single" w:sz="6" w:space="0" w:color="000000"/>
          <w:bottom w:val="single" w:sz="6" w:space="0" w:color="000000"/>
          <w:right w:val="single" w:sz="6" w:space="0" w:color="000000"/>
          <w:insideH w:val="single" w:sz="6" w:space="0" w:color="auto"/>
          <w:insideV w:val="single" w:sz="6" w:space="0" w:color="000000"/>
        </w:tblBorders>
        <w:tblLayout w:type="fixed"/>
        <w:tblCellMar>
          <w:top w:w="45" w:type="dxa"/>
          <w:left w:w="45" w:type="dxa"/>
          <w:bottom w:w="45" w:type="dxa"/>
          <w:right w:w="45" w:type="dxa"/>
        </w:tblCellMar>
        <w:tblLook w:val="0000" w:firstRow="0" w:lastRow="0" w:firstColumn="0" w:lastColumn="0" w:noHBand="0" w:noVBand="0"/>
      </w:tblPr>
      <w:tblGrid>
        <w:gridCol w:w="1035"/>
        <w:gridCol w:w="2127"/>
        <w:gridCol w:w="1053"/>
        <w:gridCol w:w="973"/>
        <w:gridCol w:w="4541"/>
      </w:tblGrid>
      <w:tr w:rsidR="00CB0DD7" w:rsidRPr="000A0A5F" w:rsidTr="00B40D37">
        <w:tc>
          <w:tcPr>
            <w:tcW w:w="532" w:type="pct"/>
            <w:vMerge w:val="restart"/>
            <w:shd w:val="clear" w:color="auto" w:fill="C0C0C0"/>
            <w:vAlign w:val="center"/>
          </w:tcPr>
          <w:p w:rsidR="00CB0DD7" w:rsidRPr="000A0A5F" w:rsidRDefault="00CB0DD7">
            <w:pPr>
              <w:pStyle w:val="TAH"/>
            </w:pPr>
            <w:r w:rsidRPr="000A0A5F">
              <w:t>Request body</w:t>
            </w:r>
          </w:p>
        </w:tc>
        <w:tc>
          <w:tcPr>
            <w:tcW w:w="1093" w:type="pct"/>
            <w:shd w:val="clear" w:color="auto" w:fill="C0C0C0"/>
          </w:tcPr>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r w:rsidRPr="000A0A5F">
              <w:t>Cardinality</w:t>
            </w:r>
          </w:p>
        </w:tc>
        <w:tc>
          <w:tcPr>
            <w:tcW w:w="2834" w:type="pct"/>
            <w:gridSpan w:val="2"/>
            <w:shd w:val="clear" w:color="auto" w:fill="C0C0C0"/>
          </w:tcPr>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t>Bdt</w:t>
            </w:r>
          </w:p>
        </w:tc>
        <w:tc>
          <w:tcPr>
            <w:tcW w:w="541" w:type="pct"/>
          </w:tcPr>
          <w:p w:rsidR="00CB0DD7" w:rsidRPr="000A0A5F" w:rsidRDefault="00CB0DD7">
            <w:pPr>
              <w:pStyle w:val="TAL"/>
            </w:pPr>
            <w:r w:rsidRPr="000A0A5F">
              <w:t>1</w:t>
            </w:r>
          </w:p>
        </w:tc>
        <w:tc>
          <w:tcPr>
            <w:tcW w:w="2834" w:type="pct"/>
            <w:gridSpan w:val="2"/>
          </w:tcPr>
          <w:p w:rsidR="00CB0DD7" w:rsidRPr="000A0A5F" w:rsidRDefault="00CB0DD7">
            <w:pPr>
              <w:pStyle w:val="TAL"/>
            </w:pPr>
            <w:r w:rsidRPr="000A0A5F">
              <w:t>The SCS/AS requests to update the BDT policy subscription.</w:t>
            </w:r>
          </w:p>
        </w:tc>
      </w:tr>
      <w:tr w:rsidR="00CB0DD7" w:rsidRPr="000A0A5F" w:rsidTr="00B40D37">
        <w:tc>
          <w:tcPr>
            <w:tcW w:w="532" w:type="pct"/>
            <w:vMerge w:val="restart"/>
            <w:shd w:val="clear" w:color="auto" w:fill="C0C0C0"/>
            <w:vAlign w:val="center"/>
          </w:tcPr>
          <w:p w:rsidR="00CB0DD7" w:rsidRPr="000A0A5F" w:rsidRDefault="00CB0DD7">
            <w:pPr>
              <w:pStyle w:val="TAH"/>
            </w:pPr>
            <w:r w:rsidRPr="000A0A5F">
              <w:t>Response body</w:t>
            </w:r>
          </w:p>
        </w:tc>
        <w:tc>
          <w:tcPr>
            <w:tcW w:w="1093" w:type="pct"/>
            <w:shd w:val="clear" w:color="auto" w:fill="C0C0C0"/>
          </w:tcPr>
          <w:p w:rsidR="00CB0DD7" w:rsidRPr="000A0A5F" w:rsidRDefault="00CB0DD7">
            <w:pPr>
              <w:pStyle w:val="TAH"/>
            </w:pPr>
          </w:p>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p>
          <w:p w:rsidR="00CB0DD7" w:rsidRPr="000A0A5F" w:rsidRDefault="00CB0DD7">
            <w:pPr>
              <w:pStyle w:val="TAH"/>
            </w:pPr>
            <w:r w:rsidRPr="000A0A5F">
              <w:t>Cardinality</w:t>
            </w:r>
          </w:p>
        </w:tc>
        <w:tc>
          <w:tcPr>
            <w:tcW w:w="500" w:type="pct"/>
            <w:shd w:val="clear" w:color="auto" w:fill="C0C0C0"/>
          </w:tcPr>
          <w:p w:rsidR="00CB0DD7" w:rsidRPr="000A0A5F" w:rsidRDefault="00CB0DD7">
            <w:pPr>
              <w:pStyle w:val="TAH"/>
            </w:pPr>
            <w:r w:rsidRPr="000A0A5F">
              <w:t>Response</w:t>
            </w:r>
          </w:p>
          <w:p w:rsidR="00CB0DD7" w:rsidRPr="000A0A5F" w:rsidRDefault="00CB0DD7">
            <w:pPr>
              <w:pStyle w:val="TAH"/>
            </w:pPr>
            <w:r w:rsidRPr="000A0A5F">
              <w:t>codes</w:t>
            </w:r>
          </w:p>
        </w:tc>
        <w:tc>
          <w:tcPr>
            <w:tcW w:w="2334" w:type="pct"/>
            <w:shd w:val="clear" w:color="auto" w:fill="C0C0C0"/>
          </w:tcPr>
          <w:p w:rsidR="00CB0DD7" w:rsidRPr="000A0A5F" w:rsidRDefault="00CB0DD7">
            <w:pPr>
              <w:pStyle w:val="TAH"/>
            </w:pPr>
          </w:p>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t>Bdt</w:t>
            </w:r>
          </w:p>
        </w:tc>
        <w:tc>
          <w:tcPr>
            <w:tcW w:w="541" w:type="pct"/>
          </w:tcPr>
          <w:p w:rsidR="00CB0DD7" w:rsidRPr="000A0A5F" w:rsidRDefault="00CB0DD7">
            <w:pPr>
              <w:pStyle w:val="TAL"/>
              <w:rPr>
                <w:rFonts w:hint="eastAsia"/>
                <w:lang w:eastAsia="zh-CN"/>
              </w:rPr>
            </w:pPr>
            <w:r w:rsidRPr="000A0A5F">
              <w:rPr>
                <w:rFonts w:hint="eastAsia"/>
                <w:lang w:eastAsia="zh-CN"/>
              </w:rPr>
              <w:t>1</w:t>
            </w:r>
          </w:p>
        </w:tc>
        <w:tc>
          <w:tcPr>
            <w:tcW w:w="500" w:type="pct"/>
          </w:tcPr>
          <w:p w:rsidR="00CB0DD7" w:rsidRPr="000A0A5F" w:rsidRDefault="00CB0DD7">
            <w:pPr>
              <w:pStyle w:val="TAL"/>
              <w:rPr>
                <w:rFonts w:hint="eastAsia"/>
                <w:lang w:eastAsia="zh-CN"/>
              </w:rPr>
            </w:pPr>
            <w:r w:rsidRPr="000A0A5F">
              <w:t>20</w:t>
            </w:r>
            <w:r w:rsidRPr="000A0A5F">
              <w:rPr>
                <w:rFonts w:hint="eastAsia"/>
                <w:lang w:eastAsia="zh-CN"/>
              </w:rPr>
              <w:t>0 OK</w:t>
            </w:r>
          </w:p>
        </w:tc>
        <w:tc>
          <w:tcPr>
            <w:tcW w:w="2334" w:type="pct"/>
          </w:tcPr>
          <w:p w:rsidR="00CB0DD7" w:rsidRPr="000A0A5F" w:rsidRDefault="00CB0DD7">
            <w:pPr>
              <w:pStyle w:val="TAL"/>
            </w:pPr>
            <w:r w:rsidRPr="000A0A5F">
              <w:t xml:space="preserve">The </w:t>
            </w:r>
            <w:r w:rsidRPr="000A0A5F">
              <w:rPr>
                <w:rFonts w:hint="eastAsia"/>
                <w:lang w:eastAsia="zh-CN"/>
              </w:rPr>
              <w:t>subscription</w:t>
            </w:r>
            <w:r w:rsidRPr="000A0A5F">
              <w:t xml:space="preserve"> was </w:t>
            </w:r>
            <w:r w:rsidRPr="000A0A5F">
              <w:rPr>
                <w:rFonts w:hint="eastAsia"/>
                <w:lang w:eastAsia="zh-CN"/>
              </w:rPr>
              <w:t>modified</w:t>
            </w:r>
            <w:r w:rsidRPr="000A0A5F">
              <w:t xml:space="preserve"> successfully. </w:t>
            </w:r>
          </w:p>
          <w:p w:rsidR="00CB0DD7" w:rsidRPr="000A0A5F" w:rsidRDefault="00CB0DD7">
            <w:pPr>
              <w:pStyle w:val="TAL"/>
            </w:pPr>
          </w:p>
          <w:p w:rsidR="00CB0DD7" w:rsidRPr="000A0A5F" w:rsidRDefault="009805D1">
            <w:pPr>
              <w:pStyle w:val="TAL"/>
              <w:rPr>
                <w:rFonts w:hint="eastAsia"/>
                <w:lang w:eastAsia="zh-CN"/>
              </w:rPr>
            </w:pPr>
            <w:r w:rsidRPr="000A0A5F">
              <w:t xml:space="preserve">The SCEF </w:t>
            </w:r>
            <w:r w:rsidRPr="000A0A5F">
              <w:rPr>
                <w:rFonts w:hint="eastAsia"/>
                <w:lang w:eastAsia="zh-CN"/>
              </w:rPr>
              <w:t>shall</w:t>
            </w:r>
            <w:r w:rsidRPr="000A0A5F">
              <w:t xml:space="preserve"> return an updated subscription in the response content.</w:t>
            </w:r>
          </w:p>
        </w:tc>
      </w:tr>
      <w:tr w:rsidR="00BD2AFC" w:rsidRPr="000A0A5F" w:rsidTr="00FF0AF8">
        <w:tc>
          <w:tcPr>
            <w:tcW w:w="532" w:type="pct"/>
            <w:vMerge/>
            <w:shd w:val="clear" w:color="auto" w:fill="BFBFBF"/>
            <w:vAlign w:val="center"/>
          </w:tcPr>
          <w:p w:rsidR="00BD2AFC" w:rsidRPr="000A0A5F" w:rsidRDefault="00BD2AFC" w:rsidP="00BD2AFC">
            <w:pPr>
              <w:pStyle w:val="TAL"/>
              <w:jc w:val="center"/>
            </w:pPr>
          </w:p>
        </w:tc>
        <w:tc>
          <w:tcPr>
            <w:tcW w:w="1093" w:type="pct"/>
            <w:shd w:val="clear" w:color="auto" w:fill="auto"/>
          </w:tcPr>
          <w:p w:rsidR="00BD2AFC" w:rsidRPr="000A0A5F" w:rsidRDefault="00BD2AFC" w:rsidP="00BD2AFC">
            <w:pPr>
              <w:pStyle w:val="TAL"/>
            </w:pPr>
            <w:r w:rsidRPr="000A0A5F">
              <w:t>none</w:t>
            </w:r>
          </w:p>
        </w:tc>
        <w:tc>
          <w:tcPr>
            <w:tcW w:w="541" w:type="pct"/>
          </w:tcPr>
          <w:p w:rsidR="00BD2AFC" w:rsidRPr="000A0A5F" w:rsidRDefault="00BD2AFC" w:rsidP="00BD2AFC">
            <w:pPr>
              <w:pStyle w:val="TAL"/>
              <w:rPr>
                <w:rFonts w:hint="eastAsia"/>
                <w:lang w:eastAsia="zh-CN"/>
              </w:rPr>
            </w:pPr>
          </w:p>
        </w:tc>
        <w:tc>
          <w:tcPr>
            <w:tcW w:w="500" w:type="pct"/>
          </w:tcPr>
          <w:p w:rsidR="00BD2AFC" w:rsidRPr="000A0A5F" w:rsidRDefault="00BD2AFC" w:rsidP="00BD2AFC">
            <w:pPr>
              <w:pStyle w:val="TAL"/>
            </w:pPr>
            <w:r w:rsidRPr="000A0A5F">
              <w:rPr>
                <w:rFonts w:hint="eastAsia"/>
                <w:lang w:eastAsia="zh-CN"/>
              </w:rPr>
              <w:t>20</w:t>
            </w:r>
            <w:r w:rsidRPr="000A0A5F">
              <w:rPr>
                <w:lang w:eastAsia="zh-CN"/>
              </w:rPr>
              <w:t>4 No Content</w:t>
            </w:r>
          </w:p>
        </w:tc>
        <w:tc>
          <w:tcPr>
            <w:tcW w:w="2334" w:type="pct"/>
          </w:tcPr>
          <w:p w:rsidR="00BD2AFC" w:rsidRPr="000A0A5F" w:rsidRDefault="00BD2AFC" w:rsidP="00BD2AFC">
            <w:pPr>
              <w:pStyle w:val="TAL"/>
            </w:pPr>
            <w:r w:rsidRPr="000A0A5F">
              <w:t xml:space="preserve">The </w:t>
            </w:r>
            <w:r w:rsidRPr="000A0A5F">
              <w:rPr>
                <w:rFonts w:hint="eastAsia"/>
                <w:lang w:eastAsia="zh-CN"/>
              </w:rPr>
              <w:t>subscription</w:t>
            </w:r>
            <w:r w:rsidRPr="000A0A5F">
              <w:t xml:space="preserve"> was </w:t>
            </w:r>
            <w:r w:rsidRPr="000A0A5F">
              <w:rPr>
                <w:lang w:eastAsia="zh-CN"/>
              </w:rPr>
              <w:t>updated</w:t>
            </w:r>
            <w:r w:rsidRPr="000A0A5F">
              <w:t xml:space="preserve"> successfully.</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none</w:t>
            </w:r>
          </w:p>
        </w:tc>
        <w:tc>
          <w:tcPr>
            <w:tcW w:w="541" w:type="pct"/>
          </w:tcPr>
          <w:p w:rsidR="00CB0DD7" w:rsidRPr="000A0A5F" w:rsidRDefault="00CB0DD7">
            <w:pPr>
              <w:pStyle w:val="TAL"/>
              <w:rPr>
                <w:rFonts w:hint="eastAsia"/>
                <w:lang w:eastAsia="zh-CN"/>
              </w:rPr>
            </w:pPr>
          </w:p>
        </w:tc>
        <w:tc>
          <w:tcPr>
            <w:tcW w:w="500" w:type="pct"/>
          </w:tcPr>
          <w:p w:rsidR="00CB0DD7" w:rsidRPr="000A0A5F" w:rsidRDefault="00CB0DD7">
            <w:pPr>
              <w:pStyle w:val="TAL"/>
            </w:pPr>
            <w:r w:rsidRPr="000A0A5F">
              <w:t>307 Temporary Redirect</w:t>
            </w:r>
          </w:p>
        </w:tc>
        <w:tc>
          <w:tcPr>
            <w:tcW w:w="2334" w:type="pct"/>
          </w:tcPr>
          <w:p w:rsidR="00CB0DD7" w:rsidRPr="000A0A5F" w:rsidRDefault="00CB0DD7">
            <w:pPr>
              <w:pStyle w:val="TAL"/>
            </w:pPr>
            <w:r w:rsidRPr="000A0A5F">
              <w:t>Temporary redirection, during subscription modification. The response shall include a Location header field containing an alternative URI of the resource located in an alternative SCEF.</w:t>
            </w:r>
          </w:p>
          <w:p w:rsidR="00CB0DD7" w:rsidRPr="000A0A5F" w:rsidRDefault="00CB0DD7">
            <w:pPr>
              <w:pStyle w:val="TAL"/>
            </w:pPr>
            <w:r w:rsidRPr="000A0A5F">
              <w:t>Redirection handling is described in clause 5.2.10.</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none</w:t>
            </w:r>
          </w:p>
        </w:tc>
        <w:tc>
          <w:tcPr>
            <w:tcW w:w="541" w:type="pct"/>
          </w:tcPr>
          <w:p w:rsidR="00CB0DD7" w:rsidRPr="000A0A5F" w:rsidRDefault="00CB0DD7">
            <w:pPr>
              <w:pStyle w:val="TAL"/>
              <w:rPr>
                <w:rFonts w:hint="eastAsia"/>
                <w:lang w:eastAsia="zh-CN"/>
              </w:rPr>
            </w:pPr>
          </w:p>
        </w:tc>
        <w:tc>
          <w:tcPr>
            <w:tcW w:w="500" w:type="pct"/>
          </w:tcPr>
          <w:p w:rsidR="00CB0DD7" w:rsidRPr="000A0A5F" w:rsidRDefault="00CB0DD7">
            <w:pPr>
              <w:pStyle w:val="TAL"/>
            </w:pPr>
            <w:r w:rsidRPr="000A0A5F">
              <w:t>308 Permanent Redirect</w:t>
            </w:r>
          </w:p>
        </w:tc>
        <w:tc>
          <w:tcPr>
            <w:tcW w:w="2334" w:type="pct"/>
          </w:tcPr>
          <w:p w:rsidR="00CB0DD7" w:rsidRPr="000A0A5F" w:rsidRDefault="00CB0DD7">
            <w:pPr>
              <w:pStyle w:val="TAL"/>
            </w:pPr>
            <w:r w:rsidRPr="000A0A5F">
              <w:t>Permanent redirection, during subscription modification. The response shall include a Location header field containing an alternative URI of the resource located in an alternative SCEF.</w:t>
            </w:r>
          </w:p>
          <w:p w:rsidR="00CB0DD7" w:rsidRPr="000A0A5F" w:rsidRDefault="00CB0DD7">
            <w:pPr>
              <w:pStyle w:val="TAL"/>
            </w:pPr>
            <w:r w:rsidRPr="000A0A5F">
              <w:t>Redirection handling is described in clause 5.2.10.</w:t>
            </w:r>
          </w:p>
        </w:tc>
      </w:tr>
      <w:tr w:rsidR="00CB0DD7" w:rsidRPr="000A0A5F" w:rsidTr="00FF0AF8">
        <w:tc>
          <w:tcPr>
            <w:tcW w:w="5000" w:type="pct"/>
            <w:gridSpan w:val="5"/>
            <w:shd w:val="clear" w:color="auto" w:fill="auto"/>
            <w:vAlign w:val="center"/>
          </w:tcPr>
          <w:p w:rsidR="00CB0DD7" w:rsidRPr="000A0A5F" w:rsidRDefault="00CB0DD7">
            <w:pPr>
              <w:pStyle w:val="TAN"/>
              <w:rPr>
                <w:rFonts w:hint="eastAsia"/>
                <w:lang w:eastAsia="zh-CN"/>
              </w:rPr>
            </w:pPr>
            <w:r w:rsidRPr="000A0A5F">
              <w:t>NOTE:</w:t>
            </w:r>
            <w:r w:rsidRPr="000A0A5F">
              <w:tab/>
              <w:t>The mandatory HTTP error status codes for the GET method listed in table 5.2.6-1 also apply.</w:t>
            </w:r>
          </w:p>
        </w:tc>
      </w:tr>
    </w:tbl>
    <w:p w:rsidR="00CB0DD7" w:rsidRPr="000A0A5F" w:rsidRDefault="00CB0DD7"/>
    <w:p w:rsidR="00CB0DD7" w:rsidRPr="000A0A5F" w:rsidRDefault="00B004CD">
      <w:pPr>
        <w:pStyle w:val="TH"/>
      </w:pPr>
      <w:r w:rsidRPr="000A0A5F">
        <w:t>Table </w:t>
      </w:r>
      <w:r w:rsidR="00CB0DD7" w:rsidRPr="000A0A5F">
        <w:t>5.4.3.3.3.2-2: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B004CD">
      <w:pPr>
        <w:pStyle w:val="TH"/>
      </w:pPr>
      <w:r w:rsidRPr="000A0A5F">
        <w:t>Table </w:t>
      </w:r>
      <w:r w:rsidR="00CB0DD7" w:rsidRPr="000A0A5F">
        <w:t>5.4.3.3.3.2-3: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CB0DD7">
      <w:pPr>
        <w:pStyle w:val="Heading6"/>
      </w:pPr>
      <w:bookmarkStart w:id="2959" w:name="_Toc11247391"/>
      <w:bookmarkStart w:id="2960" w:name="_Toc27044513"/>
      <w:bookmarkStart w:id="2961" w:name="_Toc36033555"/>
      <w:bookmarkStart w:id="2962" w:name="_Toc45131690"/>
      <w:bookmarkStart w:id="2963" w:name="_Toc49775975"/>
      <w:bookmarkStart w:id="2964" w:name="_Toc51746895"/>
      <w:bookmarkStart w:id="2965" w:name="_Toc66360443"/>
      <w:bookmarkStart w:id="2966" w:name="_Toc68104948"/>
      <w:bookmarkStart w:id="2967" w:name="_Toc74755578"/>
      <w:bookmarkStart w:id="2968" w:name="_Toc105674451"/>
      <w:bookmarkStart w:id="2969" w:name="_Toc130502491"/>
      <w:bookmarkStart w:id="2970" w:name="_Toc153625278"/>
      <w:r w:rsidRPr="000A0A5F">
        <w:t>5.4.3.3.3.3</w:t>
      </w:r>
      <w:r w:rsidRPr="000A0A5F">
        <w:tab/>
        <w:t>PATCH</w:t>
      </w:r>
      <w:bookmarkEnd w:id="2959"/>
      <w:bookmarkEnd w:id="2960"/>
      <w:bookmarkEnd w:id="2961"/>
      <w:bookmarkEnd w:id="2962"/>
      <w:bookmarkEnd w:id="2963"/>
      <w:bookmarkEnd w:id="2964"/>
      <w:bookmarkEnd w:id="2965"/>
      <w:bookmarkEnd w:id="2966"/>
      <w:bookmarkEnd w:id="2967"/>
      <w:bookmarkEnd w:id="2968"/>
      <w:bookmarkEnd w:id="2969"/>
      <w:bookmarkEnd w:id="2970"/>
    </w:p>
    <w:p w:rsidR="00CB0DD7" w:rsidRPr="000A0A5F" w:rsidRDefault="00CB0DD7">
      <w:pPr>
        <w:rPr>
          <w:noProof/>
          <w:lang w:eastAsia="zh-CN"/>
        </w:rPr>
      </w:pPr>
      <w:r w:rsidRPr="000A0A5F">
        <w:rPr>
          <w:noProof/>
          <w:lang w:eastAsia="zh-CN"/>
        </w:rPr>
        <w:t>The PATCH method allows the SCS/AS to modify an existing subscription resource, in order to notify the SCEF about the selected transfer policy. The SCS/AS shall initiate the HTTP PATCH message and the SCEF shall respond to the message.</w:t>
      </w:r>
    </w:p>
    <w:p w:rsidR="00CB0DD7" w:rsidRPr="000A0A5F" w:rsidRDefault="00CB0DD7">
      <w:r w:rsidRPr="000A0A5F">
        <w:t>This method shall support request and response data structures, and response codes, as specified in the table 5.4.3.3.3.3-1.</w:t>
      </w:r>
    </w:p>
    <w:p w:rsidR="00CB0DD7" w:rsidRPr="000A0A5F" w:rsidRDefault="00CB0DD7">
      <w:pPr>
        <w:pStyle w:val="TH"/>
      </w:pPr>
      <w:r w:rsidRPr="000A0A5F">
        <w:t>Table 5.4.3.3.3.3</w:t>
      </w:r>
      <w:r w:rsidRPr="000A0A5F">
        <w:rPr>
          <w:rFonts w:hint="eastAsia"/>
          <w:lang w:eastAsia="zh-CN"/>
        </w:rPr>
        <w:t>-1</w:t>
      </w:r>
      <w:r w:rsidRPr="000A0A5F">
        <w:t xml:space="preserve">: Data structures supported by the </w:t>
      </w:r>
      <w:r w:rsidRPr="000A0A5F">
        <w:rPr>
          <w:rFonts w:hint="eastAsia"/>
          <w:lang w:eastAsia="zh-CN"/>
        </w:rPr>
        <w:t>PATCH</w:t>
      </w:r>
      <w:r w:rsidRPr="000A0A5F">
        <w:t xml:space="preserve"> request/response by the resource</w:t>
      </w:r>
    </w:p>
    <w:tbl>
      <w:tblPr>
        <w:tblW w:w="4999" w:type="pct"/>
        <w:tblInd w:w="1" w:type="dxa"/>
        <w:tblBorders>
          <w:top w:val="single" w:sz="6" w:space="0" w:color="000000"/>
          <w:left w:val="single" w:sz="6" w:space="0" w:color="000000"/>
          <w:bottom w:val="single" w:sz="6" w:space="0" w:color="000000"/>
          <w:right w:val="single" w:sz="6" w:space="0" w:color="000000"/>
          <w:insideH w:val="single" w:sz="6" w:space="0" w:color="auto"/>
          <w:insideV w:val="single" w:sz="6" w:space="0" w:color="000000"/>
        </w:tblBorders>
        <w:tblLayout w:type="fixed"/>
        <w:tblCellMar>
          <w:top w:w="45" w:type="dxa"/>
          <w:left w:w="45" w:type="dxa"/>
          <w:bottom w:w="45" w:type="dxa"/>
          <w:right w:w="45" w:type="dxa"/>
        </w:tblCellMar>
        <w:tblLook w:val="0000" w:firstRow="0" w:lastRow="0" w:firstColumn="0" w:lastColumn="0" w:noHBand="0" w:noVBand="0"/>
      </w:tblPr>
      <w:tblGrid>
        <w:gridCol w:w="1035"/>
        <w:gridCol w:w="2127"/>
        <w:gridCol w:w="1053"/>
        <w:gridCol w:w="973"/>
        <w:gridCol w:w="4541"/>
      </w:tblGrid>
      <w:tr w:rsidR="00CB0DD7" w:rsidRPr="000A0A5F" w:rsidTr="00B40D37">
        <w:tc>
          <w:tcPr>
            <w:tcW w:w="532" w:type="pct"/>
            <w:vMerge w:val="restart"/>
            <w:shd w:val="clear" w:color="auto" w:fill="C0C0C0"/>
            <w:vAlign w:val="center"/>
          </w:tcPr>
          <w:p w:rsidR="00CB0DD7" w:rsidRPr="000A0A5F" w:rsidRDefault="00CB0DD7">
            <w:pPr>
              <w:pStyle w:val="TAH"/>
            </w:pPr>
            <w:r w:rsidRPr="000A0A5F">
              <w:t>Request body</w:t>
            </w:r>
          </w:p>
        </w:tc>
        <w:tc>
          <w:tcPr>
            <w:tcW w:w="1093" w:type="pct"/>
            <w:shd w:val="clear" w:color="auto" w:fill="C0C0C0"/>
          </w:tcPr>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r w:rsidRPr="000A0A5F">
              <w:t>Cardinality</w:t>
            </w:r>
          </w:p>
        </w:tc>
        <w:tc>
          <w:tcPr>
            <w:tcW w:w="2834" w:type="pct"/>
            <w:gridSpan w:val="2"/>
            <w:shd w:val="clear" w:color="auto" w:fill="C0C0C0"/>
          </w:tcPr>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rPr>
                <w:lang w:eastAsia="zh-CN"/>
              </w:rPr>
              <w:t>BdtPatch</w:t>
            </w:r>
          </w:p>
        </w:tc>
        <w:tc>
          <w:tcPr>
            <w:tcW w:w="541" w:type="pct"/>
          </w:tcPr>
          <w:p w:rsidR="00CB0DD7" w:rsidRPr="000A0A5F" w:rsidRDefault="00CB0DD7">
            <w:pPr>
              <w:pStyle w:val="TAL"/>
            </w:pPr>
            <w:r w:rsidRPr="000A0A5F">
              <w:t>1</w:t>
            </w:r>
          </w:p>
        </w:tc>
        <w:tc>
          <w:tcPr>
            <w:tcW w:w="2834" w:type="pct"/>
            <w:gridSpan w:val="2"/>
          </w:tcPr>
          <w:p w:rsidR="00CB0DD7" w:rsidRPr="000A0A5F" w:rsidRDefault="00CB0DD7">
            <w:pPr>
              <w:pStyle w:val="TAL"/>
            </w:pPr>
            <w:r w:rsidRPr="000A0A5F">
              <w:t>Background data transfer policy selected by the SCS/AS.</w:t>
            </w:r>
          </w:p>
        </w:tc>
      </w:tr>
      <w:tr w:rsidR="00CB0DD7" w:rsidRPr="000A0A5F" w:rsidTr="00B40D37">
        <w:tc>
          <w:tcPr>
            <w:tcW w:w="532" w:type="pct"/>
            <w:vMerge w:val="restart"/>
            <w:shd w:val="clear" w:color="auto" w:fill="C0C0C0"/>
            <w:vAlign w:val="center"/>
          </w:tcPr>
          <w:p w:rsidR="00CB0DD7" w:rsidRPr="000A0A5F" w:rsidRDefault="00CB0DD7">
            <w:pPr>
              <w:pStyle w:val="TAH"/>
            </w:pPr>
            <w:r w:rsidRPr="000A0A5F">
              <w:t>Response body</w:t>
            </w:r>
          </w:p>
        </w:tc>
        <w:tc>
          <w:tcPr>
            <w:tcW w:w="1093" w:type="pct"/>
            <w:shd w:val="clear" w:color="auto" w:fill="C0C0C0"/>
          </w:tcPr>
          <w:p w:rsidR="00CB0DD7" w:rsidRPr="000A0A5F" w:rsidRDefault="00CB0DD7">
            <w:pPr>
              <w:pStyle w:val="TAH"/>
            </w:pPr>
          </w:p>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p>
          <w:p w:rsidR="00CB0DD7" w:rsidRPr="000A0A5F" w:rsidRDefault="00CB0DD7">
            <w:pPr>
              <w:pStyle w:val="TAH"/>
            </w:pPr>
            <w:r w:rsidRPr="000A0A5F">
              <w:t>Cardinality</w:t>
            </w:r>
          </w:p>
        </w:tc>
        <w:tc>
          <w:tcPr>
            <w:tcW w:w="500" w:type="pct"/>
            <w:shd w:val="clear" w:color="auto" w:fill="C0C0C0"/>
          </w:tcPr>
          <w:p w:rsidR="00CB0DD7" w:rsidRPr="000A0A5F" w:rsidRDefault="00CB0DD7">
            <w:pPr>
              <w:pStyle w:val="TAH"/>
            </w:pPr>
            <w:r w:rsidRPr="000A0A5F">
              <w:t>Response</w:t>
            </w:r>
          </w:p>
          <w:p w:rsidR="00CB0DD7" w:rsidRPr="000A0A5F" w:rsidRDefault="00CB0DD7">
            <w:pPr>
              <w:pStyle w:val="TAH"/>
            </w:pPr>
            <w:r w:rsidRPr="000A0A5F">
              <w:t>codes</w:t>
            </w:r>
          </w:p>
        </w:tc>
        <w:tc>
          <w:tcPr>
            <w:tcW w:w="2334" w:type="pct"/>
            <w:shd w:val="clear" w:color="auto" w:fill="C0C0C0"/>
          </w:tcPr>
          <w:p w:rsidR="00CB0DD7" w:rsidRPr="000A0A5F" w:rsidRDefault="00CB0DD7">
            <w:pPr>
              <w:pStyle w:val="TAH"/>
            </w:pPr>
          </w:p>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rPr>
                <w:lang w:eastAsia="zh-CN"/>
              </w:rPr>
              <w:t>Bdt</w:t>
            </w:r>
          </w:p>
        </w:tc>
        <w:tc>
          <w:tcPr>
            <w:tcW w:w="541" w:type="pct"/>
          </w:tcPr>
          <w:p w:rsidR="00CB0DD7" w:rsidRPr="000A0A5F" w:rsidRDefault="00CB0DD7">
            <w:pPr>
              <w:pStyle w:val="TAL"/>
              <w:rPr>
                <w:rFonts w:hint="eastAsia"/>
                <w:lang w:eastAsia="zh-CN"/>
              </w:rPr>
            </w:pPr>
            <w:r w:rsidRPr="000A0A5F">
              <w:rPr>
                <w:rFonts w:hint="eastAsia"/>
                <w:lang w:eastAsia="zh-CN"/>
              </w:rPr>
              <w:t>1</w:t>
            </w:r>
          </w:p>
        </w:tc>
        <w:tc>
          <w:tcPr>
            <w:tcW w:w="500" w:type="pct"/>
          </w:tcPr>
          <w:p w:rsidR="00CB0DD7" w:rsidRPr="000A0A5F" w:rsidRDefault="00CB0DD7">
            <w:pPr>
              <w:pStyle w:val="TAL"/>
              <w:rPr>
                <w:rFonts w:hint="eastAsia"/>
                <w:lang w:eastAsia="zh-CN"/>
              </w:rPr>
            </w:pPr>
            <w:r w:rsidRPr="000A0A5F">
              <w:rPr>
                <w:lang w:eastAsia="zh-CN"/>
              </w:rPr>
              <w:t>200 OK</w:t>
            </w:r>
          </w:p>
        </w:tc>
        <w:tc>
          <w:tcPr>
            <w:tcW w:w="2334" w:type="pct"/>
          </w:tcPr>
          <w:p w:rsidR="00CB0DD7" w:rsidRPr="000A0A5F" w:rsidRDefault="00CB0DD7">
            <w:pPr>
              <w:pStyle w:val="TAL"/>
              <w:spacing w:afterLines="50" w:after="120"/>
            </w:pPr>
            <w:r w:rsidRPr="000A0A5F">
              <w:t xml:space="preserve">The resource was </w:t>
            </w:r>
            <w:r w:rsidRPr="000A0A5F">
              <w:rPr>
                <w:rFonts w:hint="eastAsia"/>
                <w:lang w:eastAsia="zh-CN"/>
              </w:rPr>
              <w:t>modified</w:t>
            </w:r>
            <w:r w:rsidRPr="000A0A5F">
              <w:t xml:space="preserve"> successfully.</w:t>
            </w:r>
          </w:p>
          <w:p w:rsidR="00CB0DD7" w:rsidRPr="000A0A5F" w:rsidRDefault="009805D1">
            <w:pPr>
              <w:pStyle w:val="TAL"/>
              <w:rPr>
                <w:rFonts w:hint="eastAsia"/>
              </w:rPr>
            </w:pPr>
            <w:r w:rsidRPr="000A0A5F">
              <w:t xml:space="preserve">The SCEF </w:t>
            </w:r>
            <w:r w:rsidRPr="000A0A5F">
              <w:rPr>
                <w:rFonts w:hint="eastAsia"/>
                <w:lang w:eastAsia="zh-CN"/>
              </w:rPr>
              <w:t>shall</w:t>
            </w:r>
            <w:r w:rsidRPr="000A0A5F">
              <w:t xml:space="preserve"> return an updated subscription in the response content.</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lang w:eastAsia="zh-CN"/>
              </w:rPr>
            </w:pPr>
            <w:r w:rsidRPr="000A0A5F">
              <w:rPr>
                <w:lang w:eastAsia="zh-CN"/>
              </w:rPr>
              <w:t>none</w:t>
            </w:r>
          </w:p>
        </w:tc>
        <w:tc>
          <w:tcPr>
            <w:tcW w:w="541" w:type="pct"/>
          </w:tcPr>
          <w:p w:rsidR="00CB0DD7" w:rsidRPr="000A0A5F" w:rsidRDefault="00CB0DD7">
            <w:pPr>
              <w:pStyle w:val="TAL"/>
              <w:rPr>
                <w:rFonts w:hint="eastAsia"/>
                <w:lang w:eastAsia="zh-CN"/>
              </w:rPr>
            </w:pPr>
          </w:p>
        </w:tc>
        <w:tc>
          <w:tcPr>
            <w:tcW w:w="500" w:type="pct"/>
          </w:tcPr>
          <w:p w:rsidR="00CB0DD7" w:rsidRPr="000A0A5F" w:rsidRDefault="00CB0DD7">
            <w:pPr>
              <w:pStyle w:val="TAL"/>
              <w:rPr>
                <w:lang w:eastAsia="zh-CN"/>
              </w:rPr>
            </w:pPr>
            <w:r w:rsidRPr="000A0A5F">
              <w:rPr>
                <w:rFonts w:hint="eastAsia"/>
                <w:lang w:eastAsia="zh-CN"/>
              </w:rPr>
              <w:t>20</w:t>
            </w:r>
            <w:r w:rsidRPr="000A0A5F">
              <w:rPr>
                <w:lang w:eastAsia="zh-CN"/>
              </w:rPr>
              <w:t>4 No Content</w:t>
            </w:r>
          </w:p>
        </w:tc>
        <w:tc>
          <w:tcPr>
            <w:tcW w:w="2334" w:type="pct"/>
          </w:tcPr>
          <w:p w:rsidR="00CB0DD7" w:rsidRPr="000A0A5F" w:rsidRDefault="00CB0DD7">
            <w:pPr>
              <w:pStyle w:val="TAL"/>
              <w:spacing w:afterLines="50" w:after="120"/>
            </w:pPr>
            <w:r w:rsidRPr="000A0A5F">
              <w:t xml:space="preserve">The resource was </w:t>
            </w:r>
            <w:r w:rsidRPr="000A0A5F">
              <w:rPr>
                <w:rFonts w:hint="eastAsia"/>
                <w:lang w:eastAsia="zh-CN"/>
              </w:rPr>
              <w:t>modified</w:t>
            </w:r>
            <w:r w:rsidRPr="000A0A5F">
              <w:t xml:space="preserve"> successfully.</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lang w:eastAsia="zh-CN"/>
              </w:rPr>
            </w:pPr>
            <w:r w:rsidRPr="000A0A5F">
              <w:t>none</w:t>
            </w:r>
          </w:p>
        </w:tc>
        <w:tc>
          <w:tcPr>
            <w:tcW w:w="541" w:type="pct"/>
          </w:tcPr>
          <w:p w:rsidR="00CB0DD7" w:rsidRPr="000A0A5F" w:rsidRDefault="00CB0DD7">
            <w:pPr>
              <w:pStyle w:val="TAL"/>
              <w:rPr>
                <w:rFonts w:hint="eastAsia"/>
                <w:lang w:eastAsia="zh-CN"/>
              </w:rPr>
            </w:pPr>
          </w:p>
        </w:tc>
        <w:tc>
          <w:tcPr>
            <w:tcW w:w="500" w:type="pct"/>
          </w:tcPr>
          <w:p w:rsidR="00CB0DD7" w:rsidRPr="000A0A5F" w:rsidRDefault="00CB0DD7">
            <w:pPr>
              <w:pStyle w:val="TAL"/>
              <w:rPr>
                <w:lang w:eastAsia="zh-CN"/>
              </w:rPr>
            </w:pPr>
            <w:r w:rsidRPr="000A0A5F">
              <w:t>307 Temporary Redirect</w:t>
            </w:r>
          </w:p>
        </w:tc>
        <w:tc>
          <w:tcPr>
            <w:tcW w:w="2334" w:type="pct"/>
          </w:tcPr>
          <w:p w:rsidR="00CB0DD7" w:rsidRPr="000A0A5F" w:rsidRDefault="00CB0DD7">
            <w:pPr>
              <w:pStyle w:val="TAL"/>
            </w:pPr>
            <w:r w:rsidRPr="000A0A5F">
              <w:t>Temporary redirection, during subscription modification. The response shall include a Location header field containing an alternative URI of the resource located in an alternative SCEF.</w:t>
            </w:r>
          </w:p>
          <w:p w:rsidR="00CB0DD7" w:rsidRPr="000A0A5F" w:rsidRDefault="00CB0DD7">
            <w:pPr>
              <w:pStyle w:val="TAL"/>
              <w:spacing w:afterLines="50" w:after="120"/>
            </w:pPr>
            <w:r w:rsidRPr="000A0A5F">
              <w:t>Redirection handling is described in clause 5.2.10.</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lang w:eastAsia="zh-CN"/>
              </w:rPr>
            </w:pPr>
            <w:r w:rsidRPr="000A0A5F">
              <w:t>none</w:t>
            </w:r>
          </w:p>
        </w:tc>
        <w:tc>
          <w:tcPr>
            <w:tcW w:w="541" w:type="pct"/>
          </w:tcPr>
          <w:p w:rsidR="00CB0DD7" w:rsidRPr="000A0A5F" w:rsidRDefault="00CB0DD7">
            <w:pPr>
              <w:pStyle w:val="TAL"/>
              <w:rPr>
                <w:rFonts w:hint="eastAsia"/>
                <w:lang w:eastAsia="zh-CN"/>
              </w:rPr>
            </w:pPr>
          </w:p>
        </w:tc>
        <w:tc>
          <w:tcPr>
            <w:tcW w:w="500" w:type="pct"/>
          </w:tcPr>
          <w:p w:rsidR="00CB0DD7" w:rsidRPr="000A0A5F" w:rsidRDefault="00CB0DD7">
            <w:pPr>
              <w:pStyle w:val="TAL"/>
              <w:rPr>
                <w:lang w:eastAsia="zh-CN"/>
              </w:rPr>
            </w:pPr>
            <w:r w:rsidRPr="000A0A5F">
              <w:t>308 Permanent Redirect</w:t>
            </w:r>
          </w:p>
        </w:tc>
        <w:tc>
          <w:tcPr>
            <w:tcW w:w="2334" w:type="pct"/>
          </w:tcPr>
          <w:p w:rsidR="00CB0DD7" w:rsidRPr="000A0A5F" w:rsidRDefault="00CB0DD7">
            <w:pPr>
              <w:pStyle w:val="TAL"/>
            </w:pPr>
            <w:r w:rsidRPr="000A0A5F">
              <w:t>Permanent redirection, during subscription modification. The response shall include a Location header field containing an alternative URI of the resource located in an alternative SCEF.</w:t>
            </w:r>
          </w:p>
          <w:p w:rsidR="00CB0DD7" w:rsidRPr="000A0A5F" w:rsidRDefault="00CB0DD7">
            <w:pPr>
              <w:pStyle w:val="TAL"/>
              <w:spacing w:afterLines="50" w:after="120"/>
            </w:pPr>
            <w:r w:rsidRPr="000A0A5F">
              <w:t>Redirection handling is described in clause 5.2.10.</w:t>
            </w:r>
          </w:p>
        </w:tc>
      </w:tr>
      <w:tr w:rsidR="00CB0DD7" w:rsidRPr="000A0A5F" w:rsidTr="00FF0AF8">
        <w:tc>
          <w:tcPr>
            <w:tcW w:w="5000" w:type="pct"/>
            <w:gridSpan w:val="5"/>
            <w:shd w:val="clear" w:color="auto" w:fill="auto"/>
            <w:vAlign w:val="center"/>
          </w:tcPr>
          <w:p w:rsidR="00CB0DD7" w:rsidRPr="000A0A5F" w:rsidRDefault="00CB0DD7">
            <w:pPr>
              <w:pStyle w:val="TAN"/>
              <w:rPr>
                <w:rFonts w:hint="eastAsia"/>
                <w:lang w:eastAsia="zh-CN"/>
              </w:rPr>
            </w:pPr>
            <w:r w:rsidRPr="000A0A5F">
              <w:t>NOTE:</w:t>
            </w:r>
            <w:r w:rsidRPr="000A0A5F">
              <w:tab/>
              <w:t>The mandatory HTTP error status codes for the GET method listed in table 5.2.6-1 also apply.</w:t>
            </w:r>
          </w:p>
        </w:tc>
      </w:tr>
    </w:tbl>
    <w:p w:rsidR="00CB0DD7" w:rsidRPr="000A0A5F" w:rsidRDefault="00CB0DD7"/>
    <w:p w:rsidR="00CB0DD7" w:rsidRPr="000A0A5F" w:rsidRDefault="00B004CD">
      <w:pPr>
        <w:pStyle w:val="TH"/>
      </w:pPr>
      <w:r w:rsidRPr="000A0A5F">
        <w:t>Table </w:t>
      </w:r>
      <w:r w:rsidR="00CB0DD7" w:rsidRPr="000A0A5F">
        <w:t>5.4.3.3.3.3-2: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B004CD">
      <w:pPr>
        <w:pStyle w:val="TH"/>
      </w:pPr>
      <w:r w:rsidRPr="000A0A5F">
        <w:t>Table </w:t>
      </w:r>
      <w:r w:rsidR="00CB0DD7" w:rsidRPr="000A0A5F">
        <w:t>5.4.3.3.3.3-3: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CB0DD7">
      <w:pPr>
        <w:pStyle w:val="Heading6"/>
      </w:pPr>
      <w:bookmarkStart w:id="2971" w:name="_Toc11247392"/>
      <w:bookmarkStart w:id="2972" w:name="_Toc27044514"/>
      <w:bookmarkStart w:id="2973" w:name="_Toc36033556"/>
      <w:bookmarkStart w:id="2974" w:name="_Toc45131691"/>
      <w:bookmarkStart w:id="2975" w:name="_Toc49775976"/>
      <w:bookmarkStart w:id="2976" w:name="_Toc51746896"/>
      <w:bookmarkStart w:id="2977" w:name="_Toc66360444"/>
      <w:bookmarkStart w:id="2978" w:name="_Toc68104949"/>
      <w:bookmarkStart w:id="2979" w:name="_Toc74755579"/>
      <w:bookmarkStart w:id="2980" w:name="_Toc105674452"/>
      <w:bookmarkStart w:id="2981" w:name="_Toc130502492"/>
      <w:bookmarkStart w:id="2982" w:name="_Toc153625279"/>
      <w:r w:rsidRPr="000A0A5F">
        <w:t>5.4.3.3.3.4</w:t>
      </w:r>
      <w:r w:rsidRPr="000A0A5F">
        <w:tab/>
        <w:t>POST</w:t>
      </w:r>
      <w:bookmarkEnd w:id="2971"/>
      <w:bookmarkEnd w:id="2972"/>
      <w:bookmarkEnd w:id="2973"/>
      <w:bookmarkEnd w:id="2974"/>
      <w:bookmarkEnd w:id="2975"/>
      <w:bookmarkEnd w:id="2976"/>
      <w:bookmarkEnd w:id="2977"/>
      <w:bookmarkEnd w:id="2978"/>
      <w:bookmarkEnd w:id="2979"/>
      <w:bookmarkEnd w:id="2980"/>
      <w:bookmarkEnd w:id="2981"/>
      <w:bookmarkEnd w:id="2982"/>
    </w:p>
    <w:p w:rsidR="00CB0DD7" w:rsidRPr="000A0A5F" w:rsidRDefault="00CB0DD7">
      <w:pPr>
        <w:rPr>
          <w:lang w:eastAsia="zh-CN"/>
        </w:rPr>
      </w:pPr>
      <w:r w:rsidRPr="000A0A5F">
        <w:rPr>
          <w:rFonts w:hint="eastAsia"/>
          <w:lang w:eastAsia="zh-CN"/>
        </w:rPr>
        <w:t xml:space="preserve">This </w:t>
      </w:r>
      <w:r w:rsidRPr="000A0A5F">
        <w:rPr>
          <w:lang w:eastAsia="zh-CN"/>
        </w:rPr>
        <w:t>HTTP method is not supported for the resource.</w:t>
      </w:r>
    </w:p>
    <w:p w:rsidR="00CB0DD7" w:rsidRPr="000A0A5F" w:rsidRDefault="00CB0DD7">
      <w:pPr>
        <w:pStyle w:val="Heading6"/>
      </w:pPr>
      <w:bookmarkStart w:id="2983" w:name="_Toc11247393"/>
      <w:bookmarkStart w:id="2984" w:name="_Toc27044515"/>
      <w:bookmarkStart w:id="2985" w:name="_Toc36033557"/>
      <w:bookmarkStart w:id="2986" w:name="_Toc45131692"/>
      <w:bookmarkStart w:id="2987" w:name="_Toc49775977"/>
      <w:bookmarkStart w:id="2988" w:name="_Toc51746897"/>
      <w:bookmarkStart w:id="2989" w:name="_Toc66360445"/>
      <w:bookmarkStart w:id="2990" w:name="_Toc68104950"/>
      <w:bookmarkStart w:id="2991" w:name="_Toc74755580"/>
      <w:bookmarkStart w:id="2992" w:name="_Toc105674453"/>
      <w:bookmarkStart w:id="2993" w:name="_Toc130502493"/>
      <w:bookmarkStart w:id="2994" w:name="_Toc153625280"/>
      <w:r w:rsidRPr="000A0A5F">
        <w:t>5.4.3.3.3.5</w:t>
      </w:r>
      <w:r w:rsidRPr="000A0A5F">
        <w:tab/>
        <w:t>DELETE</w:t>
      </w:r>
      <w:bookmarkEnd w:id="2983"/>
      <w:bookmarkEnd w:id="2984"/>
      <w:bookmarkEnd w:id="2985"/>
      <w:bookmarkEnd w:id="2986"/>
      <w:bookmarkEnd w:id="2987"/>
      <w:bookmarkEnd w:id="2988"/>
      <w:bookmarkEnd w:id="2989"/>
      <w:bookmarkEnd w:id="2990"/>
      <w:bookmarkEnd w:id="2991"/>
      <w:bookmarkEnd w:id="2992"/>
      <w:bookmarkEnd w:id="2993"/>
      <w:bookmarkEnd w:id="2994"/>
    </w:p>
    <w:p w:rsidR="00CB0DD7" w:rsidRPr="000A0A5F" w:rsidRDefault="00CB0DD7">
      <w:pPr>
        <w:rPr>
          <w:noProof/>
          <w:lang w:eastAsia="zh-CN"/>
        </w:rPr>
      </w:pPr>
      <w:r w:rsidRPr="000A0A5F">
        <w:rPr>
          <w:noProof/>
          <w:lang w:eastAsia="zh-CN"/>
        </w:rPr>
        <w:t>The DELETE method deletes the resource and terminates the BDT subscription. The SCS/AS shall initiate the HTTP DELETE message and the SCEF shall respond to the message.</w:t>
      </w:r>
    </w:p>
    <w:p w:rsidR="00CB0DD7" w:rsidRPr="000A0A5F" w:rsidRDefault="00CB0DD7">
      <w:r w:rsidRPr="000A0A5F">
        <w:t>This method shall support the URI query parameters, request and response data structures, and response codes, as specified in the table 5.4.3.3.3.5-1 and table 5.4.3.3.3.5-2.</w:t>
      </w:r>
    </w:p>
    <w:p w:rsidR="00CB0DD7" w:rsidRPr="000A0A5F" w:rsidRDefault="00CB0DD7">
      <w:pPr>
        <w:pStyle w:val="TH"/>
        <w:rPr>
          <w:rFonts w:cs="Arial"/>
        </w:rPr>
      </w:pPr>
      <w:r w:rsidRPr="000A0A5F">
        <w:t xml:space="preserve">Table 5.4.3.3.3.5-1: URI query parameters supported by the DELETE method on this resource </w:t>
      </w:r>
    </w:p>
    <w:tbl>
      <w:tblPr>
        <w:tblW w:w="4999"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612"/>
        <w:gridCol w:w="1709"/>
        <w:gridCol w:w="1140"/>
        <w:gridCol w:w="5314"/>
      </w:tblGrid>
      <w:tr w:rsidR="00CB0DD7" w:rsidRPr="000A0A5F" w:rsidTr="00FF0AF8">
        <w:trPr>
          <w:jc w:val="center"/>
        </w:trPr>
        <w:tc>
          <w:tcPr>
            <w:tcW w:w="825" w:type="pct"/>
            <w:shd w:val="clear" w:color="000000" w:fill="C0C0C0"/>
          </w:tcPr>
          <w:p w:rsidR="00CB0DD7" w:rsidRPr="000A0A5F" w:rsidRDefault="00CB0DD7">
            <w:pPr>
              <w:pStyle w:val="TAH"/>
            </w:pPr>
            <w:r w:rsidRPr="000A0A5F">
              <w:t>Name</w:t>
            </w:r>
          </w:p>
        </w:tc>
        <w:tc>
          <w:tcPr>
            <w:tcW w:w="874" w:type="pct"/>
            <w:shd w:val="clear" w:color="000000" w:fill="C0C0C0"/>
          </w:tcPr>
          <w:p w:rsidR="00CB0DD7" w:rsidRPr="000A0A5F" w:rsidRDefault="00CB0DD7">
            <w:pPr>
              <w:pStyle w:val="TAH"/>
            </w:pPr>
            <w:r w:rsidRPr="000A0A5F">
              <w:t>Data type</w:t>
            </w:r>
          </w:p>
        </w:tc>
        <w:tc>
          <w:tcPr>
            <w:tcW w:w="583" w:type="pct"/>
            <w:shd w:val="clear" w:color="000000" w:fill="C0C0C0"/>
          </w:tcPr>
          <w:p w:rsidR="00CB0DD7" w:rsidRPr="000A0A5F" w:rsidRDefault="00CB0DD7">
            <w:pPr>
              <w:pStyle w:val="TAH"/>
            </w:pPr>
            <w:r w:rsidRPr="000A0A5F">
              <w:t>Cardinality</w:t>
            </w:r>
          </w:p>
        </w:tc>
        <w:tc>
          <w:tcPr>
            <w:tcW w:w="2718" w:type="pct"/>
            <w:shd w:val="clear" w:color="000000" w:fill="C0C0C0"/>
            <w:vAlign w:val="center"/>
          </w:tcPr>
          <w:p w:rsidR="00CB0DD7" w:rsidRPr="000A0A5F" w:rsidRDefault="00CB0DD7">
            <w:pPr>
              <w:pStyle w:val="TAH"/>
            </w:pPr>
            <w:r w:rsidRPr="000A0A5F">
              <w:t>Remarks</w:t>
            </w:r>
          </w:p>
        </w:tc>
      </w:tr>
      <w:tr w:rsidR="00CB0DD7" w:rsidRPr="000A0A5F" w:rsidTr="00FF0AF8">
        <w:trPr>
          <w:jc w:val="center"/>
        </w:trPr>
        <w:tc>
          <w:tcPr>
            <w:tcW w:w="825" w:type="pct"/>
            <w:shd w:val="clear" w:color="auto" w:fill="auto"/>
          </w:tcPr>
          <w:p w:rsidR="00CB0DD7" w:rsidRPr="000A0A5F" w:rsidRDefault="00CB0DD7">
            <w:pPr>
              <w:pStyle w:val="TAL"/>
            </w:pPr>
            <w:r w:rsidRPr="000A0A5F">
              <w:t>none specified</w:t>
            </w:r>
          </w:p>
        </w:tc>
        <w:tc>
          <w:tcPr>
            <w:tcW w:w="874" w:type="pct"/>
          </w:tcPr>
          <w:p w:rsidR="00CB0DD7" w:rsidRPr="000A0A5F" w:rsidRDefault="00CB0DD7">
            <w:pPr>
              <w:pStyle w:val="TAL"/>
            </w:pPr>
          </w:p>
        </w:tc>
        <w:tc>
          <w:tcPr>
            <w:tcW w:w="583" w:type="pct"/>
          </w:tcPr>
          <w:p w:rsidR="00CB0DD7" w:rsidRPr="000A0A5F" w:rsidRDefault="00CB0DD7">
            <w:pPr>
              <w:pStyle w:val="TAL"/>
            </w:pPr>
          </w:p>
        </w:tc>
        <w:tc>
          <w:tcPr>
            <w:tcW w:w="2718" w:type="pct"/>
            <w:shd w:val="clear" w:color="auto" w:fill="auto"/>
            <w:vAlign w:val="center"/>
          </w:tcPr>
          <w:p w:rsidR="00CB0DD7" w:rsidRPr="000A0A5F" w:rsidRDefault="00CB0DD7">
            <w:pPr>
              <w:pStyle w:val="TAL"/>
            </w:pPr>
          </w:p>
        </w:tc>
      </w:tr>
    </w:tbl>
    <w:p w:rsidR="00CB0DD7" w:rsidRPr="000A0A5F" w:rsidRDefault="00CB0DD7"/>
    <w:p w:rsidR="00CB0DD7" w:rsidRPr="000A0A5F" w:rsidRDefault="00CB0DD7">
      <w:pPr>
        <w:pStyle w:val="TH"/>
      </w:pPr>
      <w:r w:rsidRPr="000A0A5F">
        <w:t>Table 5.4.3.3.3.5-2: Data structures supported by the DELETE request/response by the resource</w:t>
      </w:r>
    </w:p>
    <w:tbl>
      <w:tblPr>
        <w:tblW w:w="4999" w:type="pct"/>
        <w:tblInd w:w="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45" w:type="dxa"/>
          <w:left w:w="45" w:type="dxa"/>
          <w:bottom w:w="45" w:type="dxa"/>
          <w:right w:w="45" w:type="dxa"/>
        </w:tblCellMar>
        <w:tblLook w:val="0000" w:firstRow="0" w:lastRow="0" w:firstColumn="0" w:lastColumn="0" w:noHBand="0" w:noVBand="0"/>
      </w:tblPr>
      <w:tblGrid>
        <w:gridCol w:w="1035"/>
        <w:gridCol w:w="2127"/>
        <w:gridCol w:w="1053"/>
        <w:gridCol w:w="973"/>
        <w:gridCol w:w="4541"/>
      </w:tblGrid>
      <w:tr w:rsidR="00CB0DD7" w:rsidRPr="000A0A5F" w:rsidTr="00B40D37">
        <w:tc>
          <w:tcPr>
            <w:tcW w:w="532" w:type="pct"/>
            <w:vMerge w:val="restart"/>
            <w:shd w:val="clear" w:color="auto" w:fill="C0C0C0"/>
            <w:vAlign w:val="center"/>
          </w:tcPr>
          <w:p w:rsidR="00CB0DD7" w:rsidRPr="000A0A5F" w:rsidRDefault="00CB0DD7">
            <w:pPr>
              <w:pStyle w:val="TAH"/>
            </w:pPr>
            <w:r w:rsidRPr="000A0A5F">
              <w:t>Request body</w:t>
            </w:r>
          </w:p>
        </w:tc>
        <w:tc>
          <w:tcPr>
            <w:tcW w:w="1093" w:type="pct"/>
            <w:shd w:val="clear" w:color="auto" w:fill="C0C0C0"/>
          </w:tcPr>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r w:rsidRPr="000A0A5F">
              <w:t>Cardinality</w:t>
            </w:r>
          </w:p>
        </w:tc>
        <w:tc>
          <w:tcPr>
            <w:tcW w:w="2834" w:type="pct"/>
            <w:gridSpan w:val="2"/>
            <w:shd w:val="clear" w:color="auto" w:fill="C0C0C0"/>
          </w:tcPr>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none</w:t>
            </w:r>
          </w:p>
        </w:tc>
        <w:tc>
          <w:tcPr>
            <w:tcW w:w="541" w:type="pct"/>
          </w:tcPr>
          <w:p w:rsidR="00CB0DD7" w:rsidRPr="000A0A5F" w:rsidRDefault="00CB0DD7">
            <w:pPr>
              <w:pStyle w:val="TAL"/>
            </w:pPr>
          </w:p>
        </w:tc>
        <w:tc>
          <w:tcPr>
            <w:tcW w:w="2834" w:type="pct"/>
            <w:gridSpan w:val="2"/>
          </w:tcPr>
          <w:p w:rsidR="00CB0DD7" w:rsidRPr="000A0A5F" w:rsidRDefault="00CB0DD7">
            <w:pPr>
              <w:pStyle w:val="TAL"/>
            </w:pPr>
          </w:p>
        </w:tc>
      </w:tr>
      <w:tr w:rsidR="00CB0DD7" w:rsidRPr="000A0A5F" w:rsidTr="00B40D37">
        <w:tc>
          <w:tcPr>
            <w:tcW w:w="532" w:type="pct"/>
            <w:vMerge w:val="restart"/>
            <w:shd w:val="clear" w:color="auto" w:fill="C0C0C0"/>
            <w:vAlign w:val="center"/>
          </w:tcPr>
          <w:p w:rsidR="00CB0DD7" w:rsidRPr="000A0A5F" w:rsidRDefault="00CB0DD7">
            <w:pPr>
              <w:pStyle w:val="TAH"/>
            </w:pPr>
            <w:r w:rsidRPr="000A0A5F">
              <w:t>Response body</w:t>
            </w:r>
          </w:p>
        </w:tc>
        <w:tc>
          <w:tcPr>
            <w:tcW w:w="1093" w:type="pct"/>
            <w:shd w:val="clear" w:color="auto" w:fill="C0C0C0"/>
          </w:tcPr>
          <w:p w:rsidR="00CB0DD7" w:rsidRPr="000A0A5F" w:rsidRDefault="00CB0DD7">
            <w:pPr>
              <w:pStyle w:val="TAH"/>
            </w:pPr>
          </w:p>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p>
          <w:p w:rsidR="00CB0DD7" w:rsidRPr="000A0A5F" w:rsidRDefault="00CB0DD7">
            <w:pPr>
              <w:pStyle w:val="TAH"/>
            </w:pPr>
            <w:r w:rsidRPr="000A0A5F">
              <w:t>Cardinality</w:t>
            </w:r>
          </w:p>
        </w:tc>
        <w:tc>
          <w:tcPr>
            <w:tcW w:w="500" w:type="pct"/>
            <w:shd w:val="clear" w:color="auto" w:fill="C0C0C0"/>
          </w:tcPr>
          <w:p w:rsidR="00CB0DD7" w:rsidRPr="000A0A5F" w:rsidRDefault="00CB0DD7">
            <w:pPr>
              <w:pStyle w:val="TAH"/>
            </w:pPr>
            <w:r w:rsidRPr="000A0A5F">
              <w:t>Response</w:t>
            </w:r>
          </w:p>
          <w:p w:rsidR="00CB0DD7" w:rsidRPr="000A0A5F" w:rsidRDefault="00CB0DD7">
            <w:pPr>
              <w:pStyle w:val="TAH"/>
            </w:pPr>
            <w:r w:rsidRPr="000A0A5F">
              <w:t>codes</w:t>
            </w:r>
          </w:p>
        </w:tc>
        <w:tc>
          <w:tcPr>
            <w:tcW w:w="2334" w:type="pct"/>
            <w:shd w:val="clear" w:color="auto" w:fill="C0C0C0"/>
          </w:tcPr>
          <w:p w:rsidR="00CB0DD7" w:rsidRPr="000A0A5F" w:rsidRDefault="00CB0DD7">
            <w:pPr>
              <w:pStyle w:val="TAH"/>
            </w:pPr>
          </w:p>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none</w:t>
            </w:r>
          </w:p>
        </w:tc>
        <w:tc>
          <w:tcPr>
            <w:tcW w:w="541" w:type="pct"/>
          </w:tcPr>
          <w:p w:rsidR="00CB0DD7" w:rsidRPr="000A0A5F" w:rsidRDefault="00CB0DD7">
            <w:pPr>
              <w:pStyle w:val="TAL"/>
            </w:pPr>
          </w:p>
        </w:tc>
        <w:tc>
          <w:tcPr>
            <w:tcW w:w="500" w:type="pct"/>
          </w:tcPr>
          <w:p w:rsidR="00CB0DD7" w:rsidRPr="000A0A5F" w:rsidRDefault="00CB0DD7">
            <w:pPr>
              <w:pStyle w:val="TAL"/>
            </w:pPr>
            <w:r w:rsidRPr="000A0A5F">
              <w:t>204 No Content</w:t>
            </w:r>
          </w:p>
        </w:tc>
        <w:tc>
          <w:tcPr>
            <w:tcW w:w="2334" w:type="pct"/>
          </w:tcPr>
          <w:p w:rsidR="00CB0DD7" w:rsidRPr="000A0A5F" w:rsidRDefault="00CB0DD7">
            <w:pPr>
              <w:pStyle w:val="TAL"/>
            </w:pPr>
            <w:r w:rsidRPr="000A0A5F">
              <w:t>The resource was terminated successfully.</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none</w:t>
            </w:r>
          </w:p>
        </w:tc>
        <w:tc>
          <w:tcPr>
            <w:tcW w:w="541" w:type="pct"/>
          </w:tcPr>
          <w:p w:rsidR="00CB0DD7" w:rsidRPr="000A0A5F" w:rsidRDefault="00CB0DD7">
            <w:pPr>
              <w:pStyle w:val="TAL"/>
            </w:pPr>
          </w:p>
        </w:tc>
        <w:tc>
          <w:tcPr>
            <w:tcW w:w="500" w:type="pct"/>
          </w:tcPr>
          <w:p w:rsidR="00CB0DD7" w:rsidRPr="000A0A5F" w:rsidRDefault="00CB0DD7">
            <w:pPr>
              <w:pStyle w:val="TAL"/>
            </w:pPr>
            <w:r w:rsidRPr="000A0A5F">
              <w:t>307 Temporary Redirect</w:t>
            </w:r>
          </w:p>
        </w:tc>
        <w:tc>
          <w:tcPr>
            <w:tcW w:w="2334" w:type="pct"/>
          </w:tcPr>
          <w:p w:rsidR="00CB0DD7" w:rsidRPr="000A0A5F" w:rsidRDefault="00CB0DD7">
            <w:pPr>
              <w:pStyle w:val="TAL"/>
            </w:pPr>
            <w:r w:rsidRPr="000A0A5F">
              <w:t>Temporary redirection, during subscription termination. The response shall include a Location header field containing an alternative URI of the resource located in an alternative SCEF.</w:t>
            </w:r>
          </w:p>
          <w:p w:rsidR="00CB0DD7" w:rsidRPr="000A0A5F" w:rsidRDefault="00CB0DD7">
            <w:pPr>
              <w:pStyle w:val="TAL"/>
            </w:pPr>
            <w:r w:rsidRPr="000A0A5F">
              <w:t>Redirection handling is described in clause 5.2.10.</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none</w:t>
            </w:r>
          </w:p>
        </w:tc>
        <w:tc>
          <w:tcPr>
            <w:tcW w:w="541" w:type="pct"/>
          </w:tcPr>
          <w:p w:rsidR="00CB0DD7" w:rsidRPr="000A0A5F" w:rsidRDefault="00CB0DD7">
            <w:pPr>
              <w:pStyle w:val="TAL"/>
            </w:pPr>
          </w:p>
        </w:tc>
        <w:tc>
          <w:tcPr>
            <w:tcW w:w="500" w:type="pct"/>
          </w:tcPr>
          <w:p w:rsidR="00CB0DD7" w:rsidRPr="000A0A5F" w:rsidRDefault="00CB0DD7">
            <w:pPr>
              <w:pStyle w:val="TAL"/>
            </w:pPr>
            <w:r w:rsidRPr="000A0A5F">
              <w:t>308 Permanent Redirect</w:t>
            </w:r>
          </w:p>
        </w:tc>
        <w:tc>
          <w:tcPr>
            <w:tcW w:w="2334" w:type="pct"/>
          </w:tcPr>
          <w:p w:rsidR="00CB0DD7" w:rsidRPr="000A0A5F" w:rsidRDefault="00CB0DD7">
            <w:pPr>
              <w:pStyle w:val="TAL"/>
            </w:pPr>
            <w:r w:rsidRPr="000A0A5F">
              <w:t>Permanent redirection, during subscription termination. The response shall include a Location header field containing an alternative URI of the resource located in an alternative SCEF.</w:t>
            </w:r>
          </w:p>
          <w:p w:rsidR="00CB0DD7" w:rsidRPr="000A0A5F" w:rsidRDefault="00CB0DD7">
            <w:pPr>
              <w:pStyle w:val="TAL"/>
            </w:pPr>
            <w:r w:rsidRPr="000A0A5F">
              <w:t>Redirection handling is described in clause 5.2.10.</w:t>
            </w:r>
          </w:p>
        </w:tc>
      </w:tr>
      <w:tr w:rsidR="00CB0DD7" w:rsidRPr="000A0A5F" w:rsidTr="00FF0AF8">
        <w:tc>
          <w:tcPr>
            <w:tcW w:w="5000" w:type="pct"/>
            <w:gridSpan w:val="5"/>
            <w:shd w:val="clear" w:color="auto" w:fill="auto"/>
            <w:vAlign w:val="center"/>
          </w:tcPr>
          <w:p w:rsidR="00CB0DD7" w:rsidRPr="000A0A5F" w:rsidRDefault="00CB0DD7">
            <w:pPr>
              <w:pStyle w:val="TAN"/>
            </w:pPr>
            <w:r w:rsidRPr="000A0A5F">
              <w:t>NOTE:</w:t>
            </w:r>
            <w:r w:rsidRPr="000A0A5F">
              <w:tab/>
              <w:t>The mandatory HTTP error status codes for the GET method listed in table 5.2.6-1 also apply.</w:t>
            </w:r>
          </w:p>
        </w:tc>
      </w:tr>
    </w:tbl>
    <w:p w:rsidR="00CB0DD7" w:rsidRPr="000A0A5F" w:rsidRDefault="00CB0DD7"/>
    <w:p w:rsidR="00CB0DD7" w:rsidRPr="000A0A5F" w:rsidRDefault="00B004CD">
      <w:pPr>
        <w:pStyle w:val="TH"/>
      </w:pPr>
      <w:r w:rsidRPr="000A0A5F">
        <w:t>Table </w:t>
      </w:r>
      <w:r w:rsidR="00CB0DD7" w:rsidRPr="000A0A5F">
        <w:t>5.4.3.3.3.5-3: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B004CD">
      <w:pPr>
        <w:pStyle w:val="TH"/>
      </w:pPr>
      <w:r w:rsidRPr="000A0A5F">
        <w:t>Table </w:t>
      </w:r>
      <w:r w:rsidR="00CB0DD7" w:rsidRPr="000A0A5F">
        <w:t>5.4.3.3.3.5-4: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CB0DD7">
      <w:pPr>
        <w:pStyle w:val="Heading4"/>
      </w:pPr>
      <w:bookmarkStart w:id="2995" w:name="_Toc11247394"/>
      <w:bookmarkStart w:id="2996" w:name="_Toc27044516"/>
      <w:bookmarkStart w:id="2997" w:name="_Toc36033558"/>
      <w:bookmarkStart w:id="2998" w:name="_Toc45131693"/>
      <w:bookmarkStart w:id="2999" w:name="_Toc49775978"/>
      <w:bookmarkStart w:id="3000" w:name="_Toc51746898"/>
      <w:bookmarkStart w:id="3001" w:name="_Toc66360446"/>
      <w:bookmarkStart w:id="3002" w:name="_Toc68104951"/>
      <w:bookmarkStart w:id="3003" w:name="_Toc74755581"/>
      <w:bookmarkStart w:id="3004" w:name="_Toc105674454"/>
      <w:bookmarkStart w:id="3005" w:name="_Toc130502494"/>
      <w:bookmarkStart w:id="3006" w:name="_Toc153625281"/>
      <w:r w:rsidRPr="000A0A5F">
        <w:t>5.4.3.4</w:t>
      </w:r>
      <w:r w:rsidRPr="000A0A5F">
        <w:tab/>
        <w:t>Void</w:t>
      </w:r>
      <w:bookmarkEnd w:id="2995"/>
      <w:bookmarkEnd w:id="2996"/>
      <w:bookmarkEnd w:id="2997"/>
      <w:bookmarkEnd w:id="2998"/>
      <w:bookmarkEnd w:id="2999"/>
      <w:bookmarkEnd w:id="3000"/>
      <w:bookmarkEnd w:id="3001"/>
      <w:bookmarkEnd w:id="3002"/>
      <w:bookmarkEnd w:id="3003"/>
      <w:bookmarkEnd w:id="3004"/>
      <w:bookmarkEnd w:id="3005"/>
      <w:bookmarkEnd w:id="3006"/>
    </w:p>
    <w:p w:rsidR="00CB0DD7" w:rsidRPr="000A0A5F" w:rsidRDefault="00CB0DD7">
      <w:pPr>
        <w:pStyle w:val="Heading3"/>
      </w:pPr>
      <w:bookmarkStart w:id="3007" w:name="_Toc66360447"/>
      <w:bookmarkStart w:id="3008" w:name="_Toc68104952"/>
      <w:bookmarkStart w:id="3009" w:name="_Toc74755582"/>
      <w:bookmarkStart w:id="3010" w:name="_Toc105674455"/>
      <w:bookmarkStart w:id="3011" w:name="_Toc130502495"/>
      <w:bookmarkStart w:id="3012" w:name="_Toc153625282"/>
      <w:r w:rsidRPr="000A0A5F">
        <w:t>5.4.</w:t>
      </w:r>
      <w:r w:rsidR="00B40D37" w:rsidRPr="000A0A5F">
        <w:t>3A</w:t>
      </w:r>
      <w:r w:rsidRPr="000A0A5F">
        <w:tab/>
        <w:t>Notifications</w:t>
      </w:r>
      <w:bookmarkEnd w:id="3007"/>
      <w:bookmarkEnd w:id="3008"/>
      <w:bookmarkEnd w:id="3009"/>
      <w:bookmarkEnd w:id="3010"/>
      <w:bookmarkEnd w:id="3011"/>
      <w:bookmarkEnd w:id="3012"/>
    </w:p>
    <w:p w:rsidR="00CB0DD7" w:rsidRPr="000A0A5F" w:rsidRDefault="00CB0DD7">
      <w:pPr>
        <w:pStyle w:val="Heading4"/>
      </w:pPr>
      <w:bookmarkStart w:id="3013" w:name="_Toc66360448"/>
      <w:bookmarkStart w:id="3014" w:name="_Toc68104953"/>
      <w:bookmarkStart w:id="3015" w:name="_Toc74755583"/>
      <w:bookmarkStart w:id="3016" w:name="_Toc105674456"/>
      <w:bookmarkStart w:id="3017" w:name="_Toc130502496"/>
      <w:bookmarkStart w:id="3018" w:name="_Toc153625283"/>
      <w:r w:rsidRPr="000A0A5F">
        <w:t>5.4.</w:t>
      </w:r>
      <w:r w:rsidR="00B40D37" w:rsidRPr="000A0A5F">
        <w:t>3A</w:t>
      </w:r>
      <w:r w:rsidRPr="000A0A5F">
        <w:t>.1</w:t>
      </w:r>
      <w:r w:rsidRPr="000A0A5F">
        <w:tab/>
        <w:t>General</w:t>
      </w:r>
      <w:bookmarkEnd w:id="3013"/>
      <w:bookmarkEnd w:id="3014"/>
      <w:bookmarkEnd w:id="3015"/>
      <w:bookmarkEnd w:id="3016"/>
      <w:bookmarkEnd w:id="3017"/>
      <w:bookmarkEnd w:id="3018"/>
    </w:p>
    <w:p w:rsidR="00CB0DD7" w:rsidRPr="000A0A5F" w:rsidRDefault="00CB0DD7">
      <w:r w:rsidRPr="000A0A5F">
        <w:t>The notifications provided by the ResourceManagementOfBdt API are specified in this clause.</w:t>
      </w:r>
    </w:p>
    <w:p w:rsidR="00CB0DD7" w:rsidRPr="000A0A5F" w:rsidRDefault="00B004CD">
      <w:pPr>
        <w:pStyle w:val="TH"/>
      </w:pPr>
      <w:r w:rsidRPr="000A0A5F">
        <w:t>Table </w:t>
      </w:r>
      <w:r w:rsidR="00CB0DD7" w:rsidRPr="000A0A5F">
        <w:t>5.4.</w:t>
      </w:r>
      <w:r w:rsidR="00B40D37" w:rsidRPr="000A0A5F">
        <w:t>3A</w:t>
      </w:r>
      <w:r w:rsidR="00CB0DD7" w:rsidRPr="000A0A5F">
        <w:t>-1: Notifications overview</w:t>
      </w:r>
    </w:p>
    <w:tbl>
      <w:tblPr>
        <w:tblW w:w="4484"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1913"/>
        <w:gridCol w:w="3653"/>
        <w:gridCol w:w="1243"/>
        <w:gridCol w:w="1959"/>
      </w:tblGrid>
      <w:tr w:rsidR="00CB0DD7" w:rsidRPr="000A0A5F" w:rsidTr="00FF0AF8">
        <w:trPr>
          <w:jc w:val="center"/>
        </w:trPr>
        <w:tc>
          <w:tcPr>
            <w:tcW w:w="1091" w:type="pct"/>
            <w:shd w:val="clear" w:color="auto" w:fill="C0C0C0"/>
            <w:vAlign w:val="center"/>
            <w:hideMark/>
          </w:tcPr>
          <w:p w:rsidR="00CB0DD7" w:rsidRPr="000A0A5F" w:rsidRDefault="00CB0DD7">
            <w:pPr>
              <w:pStyle w:val="TAH"/>
            </w:pPr>
            <w:r w:rsidRPr="000A0A5F">
              <w:t>Notification</w:t>
            </w:r>
          </w:p>
        </w:tc>
        <w:tc>
          <w:tcPr>
            <w:tcW w:w="2083" w:type="pct"/>
            <w:shd w:val="clear" w:color="auto" w:fill="C0C0C0"/>
            <w:vAlign w:val="center"/>
            <w:hideMark/>
          </w:tcPr>
          <w:p w:rsidR="00CB0DD7" w:rsidRPr="000A0A5F" w:rsidRDefault="00CB0DD7">
            <w:pPr>
              <w:pStyle w:val="TAH"/>
            </w:pPr>
            <w:r w:rsidRPr="000A0A5F">
              <w:t>Callback URI</w:t>
            </w:r>
          </w:p>
        </w:tc>
        <w:tc>
          <w:tcPr>
            <w:tcW w:w="709" w:type="pct"/>
            <w:shd w:val="clear" w:color="auto" w:fill="C0C0C0"/>
            <w:vAlign w:val="center"/>
            <w:hideMark/>
          </w:tcPr>
          <w:p w:rsidR="00CB0DD7" w:rsidRPr="000A0A5F" w:rsidRDefault="00CB0DD7">
            <w:pPr>
              <w:pStyle w:val="TAH"/>
            </w:pPr>
            <w:r w:rsidRPr="000A0A5F">
              <w:t>HTTP method or custom operation</w:t>
            </w:r>
          </w:p>
        </w:tc>
        <w:tc>
          <w:tcPr>
            <w:tcW w:w="1116" w:type="pct"/>
            <w:shd w:val="clear" w:color="auto" w:fill="C0C0C0"/>
            <w:vAlign w:val="center"/>
            <w:hideMark/>
          </w:tcPr>
          <w:p w:rsidR="00CB0DD7" w:rsidRPr="000A0A5F" w:rsidRDefault="00CB0DD7">
            <w:pPr>
              <w:pStyle w:val="TAH"/>
            </w:pPr>
            <w:r w:rsidRPr="000A0A5F">
              <w:t>Description</w:t>
            </w:r>
          </w:p>
          <w:p w:rsidR="00CB0DD7" w:rsidRPr="000A0A5F" w:rsidRDefault="00CB0DD7">
            <w:pPr>
              <w:pStyle w:val="TAH"/>
            </w:pPr>
            <w:r w:rsidRPr="000A0A5F">
              <w:t>(service operation)</w:t>
            </w:r>
          </w:p>
        </w:tc>
      </w:tr>
      <w:tr w:rsidR="00CB0DD7" w:rsidRPr="000A0A5F" w:rsidTr="00FF0AF8">
        <w:trPr>
          <w:jc w:val="center"/>
        </w:trPr>
        <w:tc>
          <w:tcPr>
            <w:tcW w:w="1091" w:type="pct"/>
          </w:tcPr>
          <w:p w:rsidR="00CB0DD7" w:rsidRPr="000A0A5F" w:rsidRDefault="00CB0DD7">
            <w:pPr>
              <w:pStyle w:val="TAC"/>
              <w:jc w:val="left"/>
              <w:rPr>
                <w:lang w:val="en-US"/>
              </w:rPr>
            </w:pPr>
            <w:r w:rsidRPr="000A0A5F">
              <w:rPr>
                <w:lang w:eastAsia="zh-CN"/>
              </w:rPr>
              <w:t>BDT Warning</w:t>
            </w:r>
            <w:r w:rsidRPr="000A0A5F">
              <w:rPr>
                <w:rFonts w:hint="eastAsia"/>
                <w:lang w:eastAsia="zh-CN"/>
              </w:rPr>
              <w:t xml:space="preserve"> Notification</w:t>
            </w:r>
          </w:p>
        </w:tc>
        <w:tc>
          <w:tcPr>
            <w:tcW w:w="2083" w:type="pct"/>
          </w:tcPr>
          <w:p w:rsidR="00CB0DD7" w:rsidRPr="000A0A5F" w:rsidRDefault="00CB0DD7">
            <w:pPr>
              <w:pStyle w:val="TAL"/>
              <w:rPr>
                <w:lang w:val="en-US"/>
              </w:rPr>
            </w:pPr>
            <w:r w:rsidRPr="000A0A5F">
              <w:rPr>
                <w:rFonts w:hint="eastAsia"/>
                <w:lang w:eastAsia="zh-CN"/>
              </w:rPr>
              <w:t>{notification</w:t>
            </w:r>
            <w:r w:rsidRPr="000A0A5F">
              <w:t>Destination</w:t>
            </w:r>
            <w:r w:rsidRPr="000A0A5F">
              <w:rPr>
                <w:lang w:eastAsia="zh-CN"/>
              </w:rPr>
              <w:t>}</w:t>
            </w:r>
          </w:p>
        </w:tc>
        <w:tc>
          <w:tcPr>
            <w:tcW w:w="709" w:type="pct"/>
          </w:tcPr>
          <w:p w:rsidR="00CB0DD7" w:rsidRPr="000A0A5F" w:rsidRDefault="00CB0DD7">
            <w:pPr>
              <w:pStyle w:val="TAC"/>
              <w:rPr>
                <w:lang w:val="fr-FR"/>
              </w:rPr>
            </w:pPr>
            <w:r w:rsidRPr="000A0A5F">
              <w:rPr>
                <w:rFonts w:hint="eastAsia"/>
                <w:lang w:eastAsia="zh-CN"/>
              </w:rPr>
              <w:t>POST</w:t>
            </w:r>
          </w:p>
        </w:tc>
        <w:tc>
          <w:tcPr>
            <w:tcW w:w="1116" w:type="pct"/>
          </w:tcPr>
          <w:p w:rsidR="00CB0DD7" w:rsidRPr="000A0A5F" w:rsidRDefault="00CB0DD7">
            <w:pPr>
              <w:pStyle w:val="TAL"/>
              <w:rPr>
                <w:lang w:val="en-US"/>
              </w:rPr>
            </w:pPr>
            <w:r w:rsidRPr="000A0A5F">
              <w:rPr>
                <w:rFonts w:hint="eastAsia"/>
                <w:noProof/>
                <w:lang w:eastAsia="zh-CN"/>
              </w:rPr>
              <w:t xml:space="preserve">Notify the </w:t>
            </w:r>
            <w:r w:rsidRPr="000A0A5F">
              <w:rPr>
                <w:noProof/>
                <w:lang w:eastAsia="zh-CN"/>
              </w:rPr>
              <w:t xml:space="preserve">BDT warning </w:t>
            </w:r>
            <w:r w:rsidRPr="000A0A5F">
              <w:t>from the NEF to the AF identified by the notification destination URI (NOTE)</w:t>
            </w:r>
          </w:p>
        </w:tc>
      </w:tr>
      <w:tr w:rsidR="00CB0DD7" w:rsidRPr="000A0A5F" w:rsidTr="00FF0AF8">
        <w:trPr>
          <w:jc w:val="center"/>
        </w:trPr>
        <w:tc>
          <w:tcPr>
            <w:tcW w:w="5000" w:type="pct"/>
            <w:gridSpan w:val="4"/>
          </w:tcPr>
          <w:p w:rsidR="00CB0DD7" w:rsidRPr="000A0A5F" w:rsidRDefault="00CB0DD7">
            <w:pPr>
              <w:pStyle w:val="TAN"/>
              <w:rPr>
                <w:noProof/>
                <w:lang w:eastAsia="zh-CN"/>
              </w:rPr>
            </w:pPr>
            <w:r w:rsidRPr="000A0A5F">
              <w:t>NOTE:</w:t>
            </w:r>
            <w:r w:rsidRPr="000A0A5F">
              <w:tab/>
              <w:t>This notification may only be supported in 5G.</w:t>
            </w:r>
          </w:p>
        </w:tc>
      </w:tr>
    </w:tbl>
    <w:p w:rsidR="00CB0DD7" w:rsidRPr="000A0A5F" w:rsidRDefault="00CB0DD7"/>
    <w:p w:rsidR="00CB0DD7" w:rsidRPr="000A0A5F" w:rsidRDefault="00CB0DD7">
      <w:pPr>
        <w:pStyle w:val="Heading4"/>
      </w:pPr>
      <w:bookmarkStart w:id="3019" w:name="_Toc66360449"/>
      <w:bookmarkStart w:id="3020" w:name="_Toc68104954"/>
      <w:bookmarkStart w:id="3021" w:name="_Toc74755584"/>
      <w:bookmarkStart w:id="3022" w:name="_Toc105674457"/>
      <w:bookmarkStart w:id="3023" w:name="_Toc130502497"/>
      <w:bookmarkStart w:id="3024" w:name="_Toc153625284"/>
      <w:r w:rsidRPr="000A0A5F">
        <w:t>5.4.</w:t>
      </w:r>
      <w:r w:rsidR="00B40D37" w:rsidRPr="000A0A5F">
        <w:t>3A</w:t>
      </w:r>
      <w:r w:rsidRPr="000A0A5F">
        <w:t>.2</w:t>
      </w:r>
      <w:r w:rsidRPr="000A0A5F">
        <w:tab/>
        <w:t>BDT Warning Notification</w:t>
      </w:r>
      <w:bookmarkEnd w:id="3019"/>
      <w:bookmarkEnd w:id="3020"/>
      <w:bookmarkEnd w:id="3021"/>
      <w:bookmarkEnd w:id="3022"/>
      <w:bookmarkEnd w:id="3023"/>
      <w:bookmarkEnd w:id="3024"/>
    </w:p>
    <w:p w:rsidR="00CB0DD7" w:rsidRPr="000A0A5F" w:rsidRDefault="00CB0DD7">
      <w:pPr>
        <w:pStyle w:val="Heading5"/>
        <w:rPr>
          <w:noProof/>
        </w:rPr>
      </w:pPr>
      <w:bookmarkStart w:id="3025" w:name="_Toc66360450"/>
      <w:bookmarkStart w:id="3026" w:name="_Toc68104955"/>
      <w:bookmarkStart w:id="3027" w:name="_Toc74755585"/>
      <w:bookmarkStart w:id="3028" w:name="_Toc105674458"/>
      <w:bookmarkStart w:id="3029" w:name="_Toc130502498"/>
      <w:bookmarkStart w:id="3030" w:name="_Toc153625285"/>
      <w:r w:rsidRPr="000A0A5F">
        <w:t>5.4.</w:t>
      </w:r>
      <w:r w:rsidR="00B40D37" w:rsidRPr="000A0A5F">
        <w:t>3A</w:t>
      </w:r>
      <w:r w:rsidRPr="000A0A5F">
        <w:t>.2</w:t>
      </w:r>
      <w:r w:rsidRPr="000A0A5F">
        <w:rPr>
          <w:noProof/>
        </w:rPr>
        <w:t>.1</w:t>
      </w:r>
      <w:r w:rsidRPr="000A0A5F">
        <w:rPr>
          <w:noProof/>
        </w:rPr>
        <w:tab/>
        <w:t>Description</w:t>
      </w:r>
      <w:bookmarkEnd w:id="3025"/>
      <w:bookmarkEnd w:id="3026"/>
      <w:bookmarkEnd w:id="3027"/>
      <w:bookmarkEnd w:id="3028"/>
      <w:bookmarkEnd w:id="3029"/>
      <w:bookmarkEnd w:id="3030"/>
    </w:p>
    <w:p w:rsidR="00CB0DD7" w:rsidRPr="000A0A5F" w:rsidRDefault="00CB0DD7">
      <w:pPr>
        <w:rPr>
          <w:noProof/>
          <w:lang w:eastAsia="zh-CN"/>
        </w:rPr>
      </w:pPr>
      <w:r w:rsidRPr="000A0A5F">
        <w:rPr>
          <w:noProof/>
          <w:lang w:eastAsia="zh-CN"/>
        </w:rPr>
        <w:t>The BDT warning notification allows t</w:t>
      </w:r>
      <w:r w:rsidRPr="000A0A5F">
        <w:rPr>
          <w:rFonts w:hint="eastAsia"/>
          <w:noProof/>
          <w:lang w:eastAsia="zh-CN"/>
        </w:rPr>
        <w:t xml:space="preserve">he </w:t>
      </w:r>
      <w:r w:rsidRPr="000A0A5F">
        <w:rPr>
          <w:noProof/>
          <w:lang w:eastAsia="zh-CN"/>
        </w:rPr>
        <w:t xml:space="preserve">NEF to notify the AF of the BDT warning notification. The notification may only be supported in 5G. </w:t>
      </w:r>
    </w:p>
    <w:p w:rsidR="00CB0DD7" w:rsidRPr="000A0A5F" w:rsidRDefault="00CB0DD7">
      <w:pPr>
        <w:pStyle w:val="Heading5"/>
        <w:rPr>
          <w:noProof/>
        </w:rPr>
      </w:pPr>
      <w:bookmarkStart w:id="3031" w:name="_Toc66360451"/>
      <w:bookmarkStart w:id="3032" w:name="_Toc68104956"/>
      <w:bookmarkStart w:id="3033" w:name="_Toc74755586"/>
      <w:bookmarkStart w:id="3034" w:name="_Toc105674459"/>
      <w:bookmarkStart w:id="3035" w:name="_Toc130502499"/>
      <w:bookmarkStart w:id="3036" w:name="_Toc153625286"/>
      <w:r w:rsidRPr="000A0A5F">
        <w:t>5.4.</w:t>
      </w:r>
      <w:r w:rsidR="00B40D37" w:rsidRPr="000A0A5F">
        <w:t>3A</w:t>
      </w:r>
      <w:r w:rsidRPr="000A0A5F">
        <w:t>.2</w:t>
      </w:r>
      <w:r w:rsidRPr="000A0A5F">
        <w:rPr>
          <w:noProof/>
        </w:rPr>
        <w:t>.2</w:t>
      </w:r>
      <w:r w:rsidRPr="000A0A5F">
        <w:rPr>
          <w:noProof/>
        </w:rPr>
        <w:tab/>
        <w:t>Target URI</w:t>
      </w:r>
      <w:bookmarkEnd w:id="3031"/>
      <w:bookmarkEnd w:id="3032"/>
      <w:bookmarkEnd w:id="3033"/>
      <w:bookmarkEnd w:id="3034"/>
      <w:bookmarkEnd w:id="3035"/>
      <w:bookmarkEnd w:id="3036"/>
    </w:p>
    <w:p w:rsidR="00CB0DD7" w:rsidRPr="000A0A5F" w:rsidRDefault="00CB0DD7">
      <w:pPr>
        <w:rPr>
          <w:rFonts w:ascii="Arial" w:hAnsi="Arial" w:cs="Arial"/>
          <w:noProof/>
        </w:rPr>
      </w:pPr>
      <w:r w:rsidRPr="000A0A5F">
        <w:rPr>
          <w:noProof/>
        </w:rPr>
        <w:t xml:space="preserve">The Callback URI </w:t>
      </w:r>
      <w:r w:rsidRPr="000A0A5F">
        <w:rPr>
          <w:b/>
          <w:noProof/>
        </w:rPr>
        <w:t>"{</w:t>
      </w:r>
      <w:r w:rsidRPr="000A0A5F">
        <w:rPr>
          <w:lang w:eastAsia="zh-CN"/>
        </w:rPr>
        <w:t>n</w:t>
      </w:r>
      <w:r w:rsidRPr="000A0A5F">
        <w:rPr>
          <w:rFonts w:hint="eastAsia"/>
          <w:lang w:eastAsia="zh-CN"/>
        </w:rPr>
        <w:t>otificationDestination</w:t>
      </w:r>
      <w:r w:rsidRPr="000A0A5F">
        <w:rPr>
          <w:b/>
          <w:noProof/>
        </w:rPr>
        <w:t>}"</w:t>
      </w:r>
      <w:r w:rsidRPr="000A0A5F">
        <w:rPr>
          <w:noProof/>
        </w:rPr>
        <w:t xml:space="preserve"> shall be used with the callback URI variables defined in table </w:t>
      </w:r>
      <w:r w:rsidRPr="000A0A5F">
        <w:t>5.4.</w:t>
      </w:r>
      <w:r w:rsidR="00B40D37" w:rsidRPr="000A0A5F">
        <w:t>3A</w:t>
      </w:r>
      <w:r w:rsidRPr="000A0A5F">
        <w:t>.2</w:t>
      </w:r>
      <w:r w:rsidRPr="000A0A5F">
        <w:rPr>
          <w:noProof/>
        </w:rPr>
        <w:t>.2-1</w:t>
      </w:r>
      <w:r w:rsidRPr="000A0A5F">
        <w:rPr>
          <w:rFonts w:ascii="Arial" w:hAnsi="Arial" w:cs="Arial"/>
          <w:noProof/>
        </w:rPr>
        <w:t>.</w:t>
      </w:r>
    </w:p>
    <w:p w:rsidR="00CB0DD7" w:rsidRPr="000A0A5F" w:rsidRDefault="00CB0DD7">
      <w:pPr>
        <w:pStyle w:val="TH"/>
        <w:rPr>
          <w:rFonts w:cs="Arial"/>
          <w:noProof/>
        </w:rPr>
      </w:pPr>
      <w:r w:rsidRPr="000A0A5F">
        <w:rPr>
          <w:noProof/>
        </w:rPr>
        <w:t>Table </w:t>
      </w:r>
      <w:r w:rsidRPr="000A0A5F">
        <w:t>5.4.</w:t>
      </w:r>
      <w:r w:rsidR="00B40D37" w:rsidRPr="000A0A5F">
        <w:t>3A</w:t>
      </w:r>
      <w:r w:rsidRPr="000A0A5F">
        <w:t>.2</w:t>
      </w:r>
      <w:r w:rsidRPr="000A0A5F">
        <w:rPr>
          <w:noProof/>
        </w:rPr>
        <w:t>.2-1: Callback URI variables</w:t>
      </w:r>
    </w:p>
    <w:tbl>
      <w:tblPr>
        <w:tblW w:w="494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970"/>
        <w:gridCol w:w="1312"/>
        <w:gridCol w:w="6378"/>
      </w:tblGrid>
      <w:tr w:rsidR="00CB0DD7" w:rsidRPr="000A0A5F" w:rsidTr="00FF0AF8">
        <w:trPr>
          <w:jc w:val="center"/>
        </w:trPr>
        <w:tc>
          <w:tcPr>
            <w:tcW w:w="1020" w:type="pct"/>
            <w:shd w:val="clear" w:color="000000" w:fill="C0C0C0"/>
          </w:tcPr>
          <w:p w:rsidR="00CB0DD7" w:rsidRPr="000A0A5F" w:rsidRDefault="00CB0DD7">
            <w:pPr>
              <w:pStyle w:val="TAH"/>
            </w:pPr>
            <w:r w:rsidRPr="000A0A5F">
              <w:t>Name</w:t>
            </w:r>
          </w:p>
        </w:tc>
        <w:tc>
          <w:tcPr>
            <w:tcW w:w="679" w:type="pct"/>
            <w:shd w:val="clear" w:color="000000" w:fill="C0C0C0"/>
          </w:tcPr>
          <w:p w:rsidR="00CB0DD7" w:rsidRPr="000A0A5F" w:rsidRDefault="00CB0DD7">
            <w:pPr>
              <w:pStyle w:val="TAH"/>
            </w:pPr>
            <w:r w:rsidRPr="000A0A5F">
              <w:rPr>
                <w:rFonts w:hint="eastAsia"/>
                <w:lang w:eastAsia="zh-CN"/>
              </w:rPr>
              <w:t>D</w:t>
            </w:r>
            <w:r w:rsidRPr="000A0A5F">
              <w:rPr>
                <w:lang w:eastAsia="zh-CN"/>
              </w:rPr>
              <w:t>ata type</w:t>
            </w:r>
          </w:p>
        </w:tc>
        <w:tc>
          <w:tcPr>
            <w:tcW w:w="3301" w:type="pct"/>
            <w:shd w:val="clear" w:color="000000" w:fill="C0C0C0"/>
            <w:vAlign w:val="center"/>
          </w:tcPr>
          <w:p w:rsidR="00CB0DD7" w:rsidRPr="000A0A5F" w:rsidRDefault="00CB0DD7">
            <w:pPr>
              <w:pStyle w:val="TAH"/>
            </w:pPr>
            <w:r w:rsidRPr="000A0A5F">
              <w:t>Definition</w:t>
            </w:r>
          </w:p>
        </w:tc>
      </w:tr>
      <w:tr w:rsidR="00CB0DD7" w:rsidRPr="000A0A5F" w:rsidTr="00FF0AF8">
        <w:trPr>
          <w:jc w:val="center"/>
        </w:trPr>
        <w:tc>
          <w:tcPr>
            <w:tcW w:w="1020" w:type="pct"/>
            <w:shd w:val="clear" w:color="auto" w:fill="auto"/>
          </w:tcPr>
          <w:p w:rsidR="00CB0DD7" w:rsidRPr="000A0A5F" w:rsidRDefault="00CB0DD7">
            <w:pPr>
              <w:pStyle w:val="TAL"/>
              <w:rPr>
                <w:lang w:eastAsia="zh-CN"/>
              </w:rPr>
            </w:pPr>
            <w:r w:rsidRPr="000A0A5F">
              <w:rPr>
                <w:rFonts w:hint="eastAsia"/>
                <w:lang w:eastAsia="zh-CN"/>
              </w:rPr>
              <w:t>notificationDestination</w:t>
            </w:r>
          </w:p>
        </w:tc>
        <w:tc>
          <w:tcPr>
            <w:tcW w:w="679" w:type="pct"/>
          </w:tcPr>
          <w:p w:rsidR="00CB0DD7" w:rsidRPr="000A0A5F" w:rsidRDefault="00CB0DD7">
            <w:pPr>
              <w:pStyle w:val="TAL"/>
            </w:pPr>
            <w:r w:rsidRPr="000A0A5F">
              <w:rPr>
                <w:rFonts w:hint="eastAsia"/>
                <w:lang w:eastAsia="zh-CN"/>
              </w:rPr>
              <w:t>L</w:t>
            </w:r>
            <w:r w:rsidRPr="000A0A5F">
              <w:rPr>
                <w:lang w:eastAsia="zh-CN"/>
              </w:rPr>
              <w:t>ink</w:t>
            </w:r>
          </w:p>
        </w:tc>
        <w:tc>
          <w:tcPr>
            <w:tcW w:w="3301" w:type="pct"/>
            <w:shd w:val="clear" w:color="auto" w:fill="auto"/>
            <w:vAlign w:val="center"/>
          </w:tcPr>
          <w:p w:rsidR="00CB0DD7" w:rsidRPr="000A0A5F" w:rsidRDefault="00CB0DD7">
            <w:pPr>
              <w:pStyle w:val="TAL"/>
            </w:pPr>
            <w:r w:rsidRPr="000A0A5F">
              <w:t>Reference provided by the AF when the AF requests to send a BDT warning notification when the network performance in the area of interest goes below the criteria set by the operator.</w:t>
            </w:r>
          </w:p>
          <w:p w:rsidR="00CB0DD7" w:rsidRPr="000A0A5F" w:rsidRDefault="00CB0DD7">
            <w:pPr>
              <w:pStyle w:val="TAL"/>
            </w:pPr>
            <w:r w:rsidRPr="000A0A5F">
              <w:rPr>
                <w:rFonts w:cs="Arial"/>
                <w:szCs w:val="18"/>
                <w:lang w:eastAsia="zh-CN"/>
              </w:rPr>
              <w:t>This URI shall be provided within the "notification</w:t>
            </w:r>
            <w:r w:rsidRPr="000A0A5F">
              <w:t>Destination</w:t>
            </w:r>
            <w:r w:rsidRPr="000A0A5F">
              <w:rPr>
                <w:rFonts w:cs="Arial"/>
                <w:szCs w:val="18"/>
                <w:lang w:eastAsia="zh-CN"/>
              </w:rPr>
              <w:t>" attribute in the Bdt data type.</w:t>
            </w:r>
          </w:p>
        </w:tc>
      </w:tr>
    </w:tbl>
    <w:p w:rsidR="00CB0DD7" w:rsidRPr="000A0A5F" w:rsidRDefault="00CB0DD7">
      <w:pPr>
        <w:rPr>
          <w:noProof/>
        </w:rPr>
      </w:pPr>
    </w:p>
    <w:p w:rsidR="00CB0DD7" w:rsidRPr="000A0A5F" w:rsidRDefault="00CB0DD7">
      <w:pPr>
        <w:pStyle w:val="Heading5"/>
        <w:rPr>
          <w:noProof/>
        </w:rPr>
      </w:pPr>
      <w:bookmarkStart w:id="3037" w:name="_Toc66360452"/>
      <w:bookmarkStart w:id="3038" w:name="_Toc68104957"/>
      <w:bookmarkStart w:id="3039" w:name="_Toc74755587"/>
      <w:bookmarkStart w:id="3040" w:name="_Toc105674460"/>
      <w:bookmarkStart w:id="3041" w:name="_Toc130502500"/>
      <w:bookmarkStart w:id="3042" w:name="_Toc153625287"/>
      <w:r w:rsidRPr="000A0A5F">
        <w:t>5.4.</w:t>
      </w:r>
      <w:r w:rsidR="00B40D37" w:rsidRPr="000A0A5F">
        <w:t>3A</w:t>
      </w:r>
      <w:r w:rsidRPr="000A0A5F">
        <w:t>.2</w:t>
      </w:r>
      <w:r w:rsidRPr="000A0A5F">
        <w:rPr>
          <w:noProof/>
        </w:rPr>
        <w:t>.3</w:t>
      </w:r>
      <w:r w:rsidRPr="000A0A5F">
        <w:rPr>
          <w:noProof/>
        </w:rPr>
        <w:tab/>
        <w:t>Standard Methods</w:t>
      </w:r>
      <w:bookmarkEnd w:id="3037"/>
      <w:bookmarkEnd w:id="3038"/>
      <w:bookmarkEnd w:id="3039"/>
      <w:bookmarkEnd w:id="3040"/>
      <w:bookmarkEnd w:id="3041"/>
      <w:bookmarkEnd w:id="3042"/>
    </w:p>
    <w:p w:rsidR="00CB0DD7" w:rsidRPr="000A0A5F" w:rsidRDefault="00CB0DD7">
      <w:pPr>
        <w:pStyle w:val="Heading6"/>
        <w:rPr>
          <w:noProof/>
        </w:rPr>
      </w:pPr>
      <w:bookmarkStart w:id="3043" w:name="_Toc66360453"/>
      <w:bookmarkStart w:id="3044" w:name="_Toc68104958"/>
      <w:bookmarkStart w:id="3045" w:name="_Toc74755588"/>
      <w:bookmarkStart w:id="3046" w:name="_Toc105674461"/>
      <w:bookmarkStart w:id="3047" w:name="_Toc130502501"/>
      <w:bookmarkStart w:id="3048" w:name="_Toc153625288"/>
      <w:r w:rsidRPr="000A0A5F">
        <w:t>5.4.</w:t>
      </w:r>
      <w:r w:rsidR="00B40D37" w:rsidRPr="000A0A5F">
        <w:t>3A</w:t>
      </w:r>
      <w:r w:rsidRPr="000A0A5F">
        <w:t>.2.3</w:t>
      </w:r>
      <w:r w:rsidRPr="000A0A5F">
        <w:rPr>
          <w:noProof/>
        </w:rPr>
        <w:t>.1</w:t>
      </w:r>
      <w:r w:rsidRPr="000A0A5F">
        <w:rPr>
          <w:noProof/>
        </w:rPr>
        <w:tab/>
      </w:r>
      <w:r w:rsidRPr="000A0A5F">
        <w:t>Notification via POST</w:t>
      </w:r>
      <w:bookmarkEnd w:id="3043"/>
      <w:bookmarkEnd w:id="3044"/>
      <w:bookmarkEnd w:id="3045"/>
      <w:bookmarkEnd w:id="3046"/>
      <w:bookmarkEnd w:id="3047"/>
      <w:bookmarkEnd w:id="3048"/>
    </w:p>
    <w:p w:rsidR="00CB0DD7" w:rsidRPr="000A0A5F" w:rsidRDefault="00CB0DD7">
      <w:pPr>
        <w:rPr>
          <w:noProof/>
          <w:lang w:eastAsia="zh-CN"/>
        </w:rPr>
      </w:pPr>
      <w:r w:rsidRPr="000A0A5F">
        <w:rPr>
          <w:noProof/>
          <w:lang w:eastAsia="zh-CN"/>
        </w:rPr>
        <w:t xml:space="preserve">The POST method allows to notify AS </w:t>
      </w:r>
      <w:r w:rsidRPr="000A0A5F">
        <w:t>identified by the notification destination URI</w:t>
      </w:r>
      <w:r w:rsidRPr="000A0A5F">
        <w:rPr>
          <w:noProof/>
          <w:lang w:eastAsia="zh-CN"/>
        </w:rPr>
        <w:t xml:space="preserve"> of the BDT warning by the NEF and the AF shall respond to the message. </w:t>
      </w:r>
    </w:p>
    <w:p w:rsidR="00CB0DD7" w:rsidRPr="000A0A5F" w:rsidRDefault="00CB0DD7">
      <w:pPr>
        <w:rPr>
          <w:noProof/>
        </w:rPr>
      </w:pPr>
      <w:r w:rsidRPr="000A0A5F">
        <w:rPr>
          <w:noProof/>
        </w:rPr>
        <w:t>This method shall support the request data structures specified in table </w:t>
      </w:r>
      <w:r w:rsidRPr="000A0A5F">
        <w:t>5.4.</w:t>
      </w:r>
      <w:r w:rsidR="00B40D37" w:rsidRPr="000A0A5F">
        <w:t>3A</w:t>
      </w:r>
      <w:r w:rsidRPr="000A0A5F">
        <w:t>.2</w:t>
      </w:r>
      <w:r w:rsidRPr="000A0A5F">
        <w:rPr>
          <w:noProof/>
        </w:rPr>
        <w:t>.3.1-1 and the response data structures and response codes specified in table </w:t>
      </w:r>
      <w:r w:rsidRPr="000A0A5F">
        <w:t>5.4.</w:t>
      </w:r>
      <w:r w:rsidR="00B40D37" w:rsidRPr="000A0A5F">
        <w:t>3A</w:t>
      </w:r>
      <w:r w:rsidRPr="000A0A5F">
        <w:t>.2</w:t>
      </w:r>
      <w:r w:rsidRPr="000A0A5F">
        <w:rPr>
          <w:noProof/>
        </w:rPr>
        <w:t>.3.1-2.</w:t>
      </w:r>
    </w:p>
    <w:p w:rsidR="00CB0DD7" w:rsidRPr="000A0A5F" w:rsidRDefault="00CB0DD7">
      <w:pPr>
        <w:pStyle w:val="TH"/>
        <w:rPr>
          <w:noProof/>
        </w:rPr>
      </w:pPr>
      <w:r w:rsidRPr="000A0A5F">
        <w:rPr>
          <w:noProof/>
        </w:rPr>
        <w:t>Table </w:t>
      </w:r>
      <w:r w:rsidRPr="000A0A5F">
        <w:t>5.4.</w:t>
      </w:r>
      <w:r w:rsidR="00B40D37" w:rsidRPr="000A0A5F">
        <w:t>3A</w:t>
      </w:r>
      <w:r w:rsidRPr="000A0A5F">
        <w:t>.2</w:t>
      </w:r>
      <w:r w:rsidRPr="000A0A5F">
        <w:rPr>
          <w:noProof/>
        </w:rPr>
        <w:t>.3.1-1: Data structures supported by the POST Request Body</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3340"/>
        <w:gridCol w:w="1170"/>
        <w:gridCol w:w="5160"/>
      </w:tblGrid>
      <w:tr w:rsidR="00CB0DD7" w:rsidRPr="000A0A5F" w:rsidTr="00846044">
        <w:trPr>
          <w:jc w:val="center"/>
        </w:trPr>
        <w:tc>
          <w:tcPr>
            <w:tcW w:w="3340" w:type="dxa"/>
            <w:tcBorders>
              <w:bottom w:val="single" w:sz="6" w:space="0" w:color="auto"/>
            </w:tcBorders>
            <w:shd w:val="clear" w:color="auto" w:fill="C0C0C0"/>
            <w:hideMark/>
          </w:tcPr>
          <w:p w:rsidR="00CB0DD7" w:rsidRPr="000A0A5F" w:rsidRDefault="00CB0DD7">
            <w:pPr>
              <w:pStyle w:val="TAH"/>
              <w:rPr>
                <w:noProof/>
              </w:rPr>
            </w:pPr>
            <w:r w:rsidRPr="000A0A5F">
              <w:rPr>
                <w:noProof/>
              </w:rPr>
              <w:t>Data type</w:t>
            </w:r>
          </w:p>
        </w:tc>
        <w:tc>
          <w:tcPr>
            <w:tcW w:w="1170" w:type="dxa"/>
            <w:tcBorders>
              <w:bottom w:val="single" w:sz="6" w:space="0" w:color="auto"/>
            </w:tcBorders>
            <w:shd w:val="clear" w:color="auto" w:fill="C0C0C0"/>
            <w:hideMark/>
          </w:tcPr>
          <w:p w:rsidR="00CB0DD7" w:rsidRPr="000A0A5F" w:rsidRDefault="00CB0DD7">
            <w:pPr>
              <w:pStyle w:val="TAH"/>
              <w:rPr>
                <w:noProof/>
              </w:rPr>
            </w:pPr>
            <w:r w:rsidRPr="000A0A5F">
              <w:rPr>
                <w:noProof/>
              </w:rPr>
              <w:t>Cardinality</w:t>
            </w:r>
          </w:p>
        </w:tc>
        <w:tc>
          <w:tcPr>
            <w:tcW w:w="5160" w:type="dxa"/>
            <w:tcBorders>
              <w:bottom w:val="single" w:sz="6" w:space="0" w:color="auto"/>
            </w:tcBorders>
            <w:shd w:val="clear" w:color="auto" w:fill="C0C0C0"/>
            <w:vAlign w:val="center"/>
            <w:hideMark/>
          </w:tcPr>
          <w:p w:rsidR="00CB0DD7" w:rsidRPr="000A0A5F" w:rsidRDefault="00CB0DD7">
            <w:pPr>
              <w:pStyle w:val="TAH"/>
              <w:rPr>
                <w:noProof/>
              </w:rPr>
            </w:pPr>
            <w:r w:rsidRPr="000A0A5F">
              <w:rPr>
                <w:noProof/>
              </w:rPr>
              <w:t>Description</w:t>
            </w:r>
          </w:p>
        </w:tc>
      </w:tr>
      <w:tr w:rsidR="00CB0DD7" w:rsidRPr="000A0A5F" w:rsidTr="00846044">
        <w:trPr>
          <w:jc w:val="center"/>
        </w:trPr>
        <w:tc>
          <w:tcPr>
            <w:tcW w:w="3340" w:type="dxa"/>
            <w:tcBorders>
              <w:top w:val="single" w:sz="6" w:space="0" w:color="auto"/>
            </w:tcBorders>
          </w:tcPr>
          <w:p w:rsidR="00CB0DD7" w:rsidRPr="000A0A5F" w:rsidRDefault="00CB0DD7">
            <w:pPr>
              <w:pStyle w:val="TAL"/>
              <w:rPr>
                <w:noProof/>
              </w:rPr>
            </w:pPr>
            <w:r w:rsidRPr="000A0A5F">
              <w:rPr>
                <w:lang w:eastAsia="zh-CN"/>
              </w:rPr>
              <w:t>Ex</w:t>
            </w:r>
            <w:r w:rsidRPr="000A0A5F">
              <w:rPr>
                <w:rFonts w:hint="eastAsia"/>
                <w:lang w:eastAsia="zh-CN"/>
              </w:rPr>
              <w:t>Notification</w:t>
            </w:r>
          </w:p>
        </w:tc>
        <w:tc>
          <w:tcPr>
            <w:tcW w:w="1170" w:type="dxa"/>
            <w:tcBorders>
              <w:top w:val="single" w:sz="6" w:space="0" w:color="auto"/>
            </w:tcBorders>
          </w:tcPr>
          <w:p w:rsidR="00CB0DD7" w:rsidRPr="000A0A5F" w:rsidRDefault="00CB0DD7">
            <w:pPr>
              <w:pStyle w:val="TAC"/>
              <w:rPr>
                <w:noProof/>
                <w:lang w:eastAsia="zh-CN"/>
              </w:rPr>
            </w:pPr>
            <w:r w:rsidRPr="000A0A5F">
              <w:rPr>
                <w:rFonts w:hint="eastAsia"/>
                <w:noProof/>
                <w:lang w:eastAsia="zh-CN"/>
              </w:rPr>
              <w:t>1</w:t>
            </w:r>
          </w:p>
        </w:tc>
        <w:tc>
          <w:tcPr>
            <w:tcW w:w="5160" w:type="dxa"/>
            <w:tcBorders>
              <w:top w:val="single" w:sz="6" w:space="0" w:color="auto"/>
            </w:tcBorders>
          </w:tcPr>
          <w:p w:rsidR="00CB0DD7" w:rsidRPr="000A0A5F" w:rsidRDefault="00CB0DD7">
            <w:pPr>
              <w:pStyle w:val="TAL"/>
              <w:rPr>
                <w:noProof/>
              </w:rPr>
            </w:pPr>
            <w:r w:rsidRPr="000A0A5F">
              <w:t>Representation of the BDT warning notification.</w:t>
            </w:r>
          </w:p>
        </w:tc>
      </w:tr>
    </w:tbl>
    <w:p w:rsidR="00CB0DD7" w:rsidRPr="000A0A5F" w:rsidRDefault="00CB0DD7">
      <w:pPr>
        <w:rPr>
          <w:noProof/>
        </w:rPr>
      </w:pPr>
    </w:p>
    <w:p w:rsidR="00CB0DD7" w:rsidRPr="000A0A5F" w:rsidRDefault="00CB0DD7">
      <w:pPr>
        <w:pStyle w:val="TH"/>
        <w:rPr>
          <w:noProof/>
        </w:rPr>
      </w:pPr>
      <w:r w:rsidRPr="000A0A5F">
        <w:rPr>
          <w:noProof/>
        </w:rPr>
        <w:t>Table </w:t>
      </w:r>
      <w:r w:rsidRPr="000A0A5F">
        <w:t>5.4.</w:t>
      </w:r>
      <w:r w:rsidR="00B40D37" w:rsidRPr="000A0A5F">
        <w:t>3A</w:t>
      </w:r>
      <w:r w:rsidRPr="000A0A5F">
        <w:t>.2</w:t>
      </w:r>
      <w:r w:rsidRPr="000A0A5F">
        <w:rPr>
          <w:noProof/>
        </w:rPr>
        <w:t>.3.1-2: Data structures supported by the POST Response Body</w:t>
      </w:r>
    </w:p>
    <w:tbl>
      <w:tblPr>
        <w:tblW w:w="961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293"/>
        <w:gridCol w:w="1259"/>
        <w:gridCol w:w="1441"/>
        <w:gridCol w:w="4619"/>
      </w:tblGrid>
      <w:tr w:rsidR="00CB0DD7" w:rsidRPr="000A0A5F" w:rsidTr="00FF0AF8">
        <w:trPr>
          <w:jc w:val="center"/>
        </w:trPr>
        <w:tc>
          <w:tcPr>
            <w:tcW w:w="2293" w:type="dxa"/>
            <w:shd w:val="clear" w:color="auto" w:fill="C0C0C0"/>
            <w:hideMark/>
          </w:tcPr>
          <w:p w:rsidR="00CB0DD7" w:rsidRPr="000A0A5F" w:rsidRDefault="00CB0DD7">
            <w:pPr>
              <w:pStyle w:val="TAH"/>
              <w:rPr>
                <w:noProof/>
              </w:rPr>
            </w:pPr>
            <w:r w:rsidRPr="000A0A5F">
              <w:rPr>
                <w:noProof/>
              </w:rPr>
              <w:t>Data type</w:t>
            </w:r>
          </w:p>
        </w:tc>
        <w:tc>
          <w:tcPr>
            <w:tcW w:w="1259" w:type="dxa"/>
            <w:shd w:val="clear" w:color="auto" w:fill="C0C0C0"/>
            <w:hideMark/>
          </w:tcPr>
          <w:p w:rsidR="00CB0DD7" w:rsidRPr="000A0A5F" w:rsidRDefault="00CB0DD7">
            <w:pPr>
              <w:pStyle w:val="TAH"/>
              <w:rPr>
                <w:noProof/>
              </w:rPr>
            </w:pPr>
            <w:r w:rsidRPr="000A0A5F">
              <w:rPr>
                <w:noProof/>
              </w:rPr>
              <w:t>Cardinality</w:t>
            </w:r>
          </w:p>
        </w:tc>
        <w:tc>
          <w:tcPr>
            <w:tcW w:w="1441" w:type="dxa"/>
            <w:shd w:val="clear" w:color="auto" w:fill="C0C0C0"/>
            <w:hideMark/>
          </w:tcPr>
          <w:p w:rsidR="00CB0DD7" w:rsidRPr="000A0A5F" w:rsidRDefault="00CB0DD7">
            <w:pPr>
              <w:pStyle w:val="TAH"/>
              <w:rPr>
                <w:noProof/>
              </w:rPr>
            </w:pPr>
            <w:r w:rsidRPr="000A0A5F">
              <w:rPr>
                <w:noProof/>
              </w:rPr>
              <w:t>Response codes</w:t>
            </w:r>
          </w:p>
        </w:tc>
        <w:tc>
          <w:tcPr>
            <w:tcW w:w="4619" w:type="dxa"/>
            <w:shd w:val="clear" w:color="auto" w:fill="C0C0C0"/>
            <w:hideMark/>
          </w:tcPr>
          <w:p w:rsidR="00CB0DD7" w:rsidRPr="000A0A5F" w:rsidRDefault="00CB0DD7">
            <w:pPr>
              <w:pStyle w:val="TAH"/>
              <w:rPr>
                <w:noProof/>
              </w:rPr>
            </w:pPr>
            <w:r w:rsidRPr="000A0A5F">
              <w:rPr>
                <w:noProof/>
              </w:rPr>
              <w:t>Description</w:t>
            </w:r>
          </w:p>
        </w:tc>
      </w:tr>
      <w:tr w:rsidR="00CB0DD7" w:rsidRPr="000A0A5F" w:rsidTr="00FF0AF8">
        <w:trPr>
          <w:jc w:val="center"/>
        </w:trPr>
        <w:tc>
          <w:tcPr>
            <w:tcW w:w="2293" w:type="dxa"/>
          </w:tcPr>
          <w:p w:rsidR="00CB0DD7" w:rsidRPr="000A0A5F" w:rsidRDefault="00CB0DD7">
            <w:pPr>
              <w:pStyle w:val="TAL"/>
              <w:rPr>
                <w:noProof/>
              </w:rPr>
            </w:pPr>
            <w:r w:rsidRPr="000A0A5F">
              <w:t>none</w:t>
            </w:r>
          </w:p>
        </w:tc>
        <w:tc>
          <w:tcPr>
            <w:tcW w:w="1259" w:type="dxa"/>
          </w:tcPr>
          <w:p w:rsidR="00CB0DD7" w:rsidRPr="000A0A5F" w:rsidRDefault="00CB0DD7">
            <w:pPr>
              <w:pStyle w:val="TAC"/>
              <w:rPr>
                <w:noProof/>
              </w:rPr>
            </w:pPr>
          </w:p>
        </w:tc>
        <w:tc>
          <w:tcPr>
            <w:tcW w:w="1441" w:type="dxa"/>
          </w:tcPr>
          <w:p w:rsidR="00CB0DD7" w:rsidRPr="000A0A5F" w:rsidRDefault="00CB0DD7">
            <w:pPr>
              <w:pStyle w:val="TAL"/>
              <w:rPr>
                <w:noProof/>
              </w:rPr>
            </w:pPr>
            <w:r w:rsidRPr="000A0A5F">
              <w:t>204 No Content</w:t>
            </w:r>
          </w:p>
        </w:tc>
        <w:tc>
          <w:tcPr>
            <w:tcW w:w="4619" w:type="dxa"/>
          </w:tcPr>
          <w:p w:rsidR="00CB0DD7" w:rsidRPr="000A0A5F" w:rsidRDefault="00CB0DD7">
            <w:pPr>
              <w:pStyle w:val="TAL"/>
              <w:rPr>
                <w:noProof/>
              </w:rPr>
            </w:pPr>
            <w:r w:rsidRPr="000A0A5F">
              <w:t>This case represents a successful notification of BDT warning notification</w:t>
            </w:r>
            <w:r w:rsidRPr="000A0A5F">
              <w:rPr>
                <w:rFonts w:hint="eastAsia"/>
                <w:lang w:eastAsia="zh-CN"/>
              </w:rPr>
              <w:t>.</w:t>
            </w:r>
          </w:p>
        </w:tc>
      </w:tr>
      <w:tr w:rsidR="00CB0DD7" w:rsidRPr="000A0A5F" w:rsidTr="00FF0AF8">
        <w:trPr>
          <w:jc w:val="center"/>
        </w:trPr>
        <w:tc>
          <w:tcPr>
            <w:tcW w:w="2293" w:type="dxa"/>
          </w:tcPr>
          <w:p w:rsidR="00CB0DD7" w:rsidRPr="000A0A5F" w:rsidRDefault="00CB0DD7">
            <w:pPr>
              <w:pStyle w:val="TAL"/>
            </w:pPr>
            <w:r w:rsidRPr="000A0A5F">
              <w:t>none</w:t>
            </w:r>
          </w:p>
        </w:tc>
        <w:tc>
          <w:tcPr>
            <w:tcW w:w="1259" w:type="dxa"/>
          </w:tcPr>
          <w:p w:rsidR="00CB0DD7" w:rsidRPr="000A0A5F" w:rsidRDefault="00CB0DD7">
            <w:pPr>
              <w:pStyle w:val="TAC"/>
              <w:rPr>
                <w:noProof/>
              </w:rPr>
            </w:pPr>
          </w:p>
        </w:tc>
        <w:tc>
          <w:tcPr>
            <w:tcW w:w="1441" w:type="dxa"/>
          </w:tcPr>
          <w:p w:rsidR="00CB0DD7" w:rsidRPr="000A0A5F" w:rsidRDefault="00CB0DD7">
            <w:pPr>
              <w:pStyle w:val="TAL"/>
            </w:pPr>
            <w:r w:rsidRPr="000A0A5F">
              <w:t>307 Temporary Redirect</w:t>
            </w:r>
          </w:p>
        </w:tc>
        <w:tc>
          <w:tcPr>
            <w:tcW w:w="4619" w:type="dxa"/>
          </w:tcPr>
          <w:p w:rsidR="00CB0DD7" w:rsidRPr="000A0A5F" w:rsidRDefault="00CB0DD7">
            <w:pPr>
              <w:pStyle w:val="TAL"/>
            </w:pPr>
            <w:r w:rsidRPr="000A0A5F">
              <w:t>Temporary redirection, during event notification. The response shall include a Location header field containing an alternative URI representing the end point of an alternative SCS/AS where the notification should be sent.</w:t>
            </w:r>
          </w:p>
          <w:p w:rsidR="00CB0DD7" w:rsidRPr="000A0A5F" w:rsidRDefault="00CB0DD7">
            <w:pPr>
              <w:pStyle w:val="TAL"/>
            </w:pPr>
            <w:r w:rsidRPr="000A0A5F">
              <w:t>Redirection handling is described in clause 5.2.10.</w:t>
            </w:r>
          </w:p>
        </w:tc>
      </w:tr>
      <w:tr w:rsidR="00CB0DD7" w:rsidRPr="000A0A5F" w:rsidTr="00FF0AF8">
        <w:trPr>
          <w:jc w:val="center"/>
        </w:trPr>
        <w:tc>
          <w:tcPr>
            <w:tcW w:w="2293" w:type="dxa"/>
          </w:tcPr>
          <w:p w:rsidR="00CB0DD7" w:rsidRPr="000A0A5F" w:rsidRDefault="00CB0DD7">
            <w:pPr>
              <w:pStyle w:val="TAL"/>
            </w:pPr>
            <w:r w:rsidRPr="000A0A5F">
              <w:t>none</w:t>
            </w:r>
          </w:p>
        </w:tc>
        <w:tc>
          <w:tcPr>
            <w:tcW w:w="1259" w:type="dxa"/>
          </w:tcPr>
          <w:p w:rsidR="00CB0DD7" w:rsidRPr="000A0A5F" w:rsidRDefault="00CB0DD7">
            <w:pPr>
              <w:pStyle w:val="TAC"/>
              <w:rPr>
                <w:noProof/>
              </w:rPr>
            </w:pPr>
          </w:p>
        </w:tc>
        <w:tc>
          <w:tcPr>
            <w:tcW w:w="1441" w:type="dxa"/>
          </w:tcPr>
          <w:p w:rsidR="00CB0DD7" w:rsidRPr="000A0A5F" w:rsidRDefault="00CB0DD7">
            <w:pPr>
              <w:pStyle w:val="TAL"/>
            </w:pPr>
            <w:r w:rsidRPr="000A0A5F">
              <w:t>308 Permanent Redirect</w:t>
            </w:r>
          </w:p>
        </w:tc>
        <w:tc>
          <w:tcPr>
            <w:tcW w:w="4619" w:type="dxa"/>
          </w:tcPr>
          <w:p w:rsidR="00CB0DD7" w:rsidRPr="000A0A5F" w:rsidRDefault="00CB0DD7">
            <w:pPr>
              <w:pStyle w:val="TAL"/>
            </w:pPr>
            <w:r w:rsidRPr="000A0A5F">
              <w:t>Permanent redirection, during event notification. The response shall include a Location header field containing an alternative URI representing the end point of an alternative SCS/AS where the notification should be sent.</w:t>
            </w:r>
          </w:p>
          <w:p w:rsidR="00CB0DD7" w:rsidRPr="000A0A5F" w:rsidRDefault="00CB0DD7">
            <w:pPr>
              <w:pStyle w:val="TAL"/>
            </w:pPr>
            <w:r w:rsidRPr="000A0A5F">
              <w:t>Redirection handling is described in clause 5.2.10.</w:t>
            </w:r>
          </w:p>
        </w:tc>
      </w:tr>
      <w:tr w:rsidR="00CB0DD7" w:rsidRPr="000A0A5F" w:rsidTr="00FF0AF8">
        <w:trPr>
          <w:jc w:val="center"/>
        </w:trPr>
        <w:tc>
          <w:tcPr>
            <w:tcW w:w="9612" w:type="dxa"/>
            <w:gridSpan w:val="4"/>
          </w:tcPr>
          <w:p w:rsidR="00CB0DD7" w:rsidRPr="000A0A5F" w:rsidRDefault="00CB0DD7">
            <w:pPr>
              <w:pStyle w:val="TAN"/>
            </w:pPr>
            <w:r w:rsidRPr="000A0A5F">
              <w:t>NOTE:</w:t>
            </w:r>
            <w:r w:rsidRPr="000A0A5F">
              <w:tab/>
              <w:t>The mandatory HTTP error status codes for the POST method listed in table 5.2.6-1 also apply.</w:t>
            </w:r>
          </w:p>
        </w:tc>
      </w:tr>
    </w:tbl>
    <w:p w:rsidR="00CB0DD7" w:rsidRPr="000A0A5F" w:rsidRDefault="00CB0DD7">
      <w:pPr>
        <w:rPr>
          <w:noProof/>
        </w:rPr>
      </w:pPr>
    </w:p>
    <w:p w:rsidR="00CB0DD7" w:rsidRPr="000A0A5F" w:rsidRDefault="00B004CD">
      <w:pPr>
        <w:pStyle w:val="TH"/>
      </w:pPr>
      <w:r w:rsidRPr="000A0A5F">
        <w:t>Table </w:t>
      </w:r>
      <w:r w:rsidR="00CB0DD7" w:rsidRPr="000A0A5F">
        <w:t>5.4.</w:t>
      </w:r>
      <w:r w:rsidR="00B40D37" w:rsidRPr="000A0A5F">
        <w:t>3A</w:t>
      </w:r>
      <w:r w:rsidR="00CB0DD7" w:rsidRPr="000A0A5F">
        <w:t>.2</w:t>
      </w:r>
      <w:r w:rsidR="00CB0DD7" w:rsidRPr="000A0A5F">
        <w:rPr>
          <w:noProof/>
        </w:rPr>
        <w:t>.3.1</w:t>
      </w:r>
      <w:r w:rsidR="00CB0DD7" w:rsidRPr="000A0A5F">
        <w:t>-3: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representing the end point of an alternative SCS/AS towards which the notification should be redirected.</w:t>
            </w:r>
          </w:p>
        </w:tc>
      </w:tr>
    </w:tbl>
    <w:p w:rsidR="00CB0DD7" w:rsidRPr="000A0A5F" w:rsidRDefault="00CB0DD7"/>
    <w:p w:rsidR="00CB0DD7" w:rsidRPr="000A0A5F" w:rsidRDefault="00B004CD">
      <w:pPr>
        <w:pStyle w:val="TH"/>
      </w:pPr>
      <w:r w:rsidRPr="000A0A5F">
        <w:t>Table </w:t>
      </w:r>
      <w:r w:rsidR="00CB0DD7" w:rsidRPr="000A0A5F">
        <w:t>5.4.</w:t>
      </w:r>
      <w:r w:rsidR="00B40D37" w:rsidRPr="000A0A5F">
        <w:t>3A</w:t>
      </w:r>
      <w:r w:rsidR="00CB0DD7" w:rsidRPr="000A0A5F">
        <w:t>.2</w:t>
      </w:r>
      <w:r w:rsidR="00CB0DD7" w:rsidRPr="000A0A5F">
        <w:rPr>
          <w:noProof/>
        </w:rPr>
        <w:t>.3.1</w:t>
      </w:r>
      <w:r w:rsidR="00CB0DD7" w:rsidRPr="000A0A5F">
        <w:t>-4: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representing the end point of an alternative SCS/AS towards which the notification should be redirected.</w:t>
            </w:r>
          </w:p>
        </w:tc>
      </w:tr>
    </w:tbl>
    <w:p w:rsidR="00CB0DD7" w:rsidRPr="000A0A5F" w:rsidRDefault="00CB0DD7">
      <w:pPr>
        <w:rPr>
          <w:noProof/>
        </w:rPr>
      </w:pPr>
    </w:p>
    <w:p w:rsidR="00CB0DD7" w:rsidRPr="000A0A5F" w:rsidRDefault="00CB0DD7">
      <w:pPr>
        <w:pStyle w:val="Heading6"/>
      </w:pPr>
      <w:bookmarkStart w:id="3049" w:name="_Toc66360454"/>
      <w:bookmarkStart w:id="3050" w:name="_Toc68104959"/>
      <w:bookmarkStart w:id="3051" w:name="_Toc74755589"/>
      <w:bookmarkStart w:id="3052" w:name="_Toc105674462"/>
      <w:bookmarkStart w:id="3053" w:name="_Toc130502502"/>
      <w:bookmarkStart w:id="3054" w:name="_Toc153625289"/>
      <w:r w:rsidRPr="000A0A5F">
        <w:t>5.4.</w:t>
      </w:r>
      <w:r w:rsidR="00B40D37" w:rsidRPr="000A0A5F">
        <w:t>3A</w:t>
      </w:r>
      <w:r w:rsidRPr="000A0A5F">
        <w:t>.2.3.2</w:t>
      </w:r>
      <w:r w:rsidRPr="000A0A5F">
        <w:tab/>
        <w:t>Notification via Websocket</w:t>
      </w:r>
      <w:bookmarkEnd w:id="3049"/>
      <w:bookmarkEnd w:id="3050"/>
      <w:bookmarkEnd w:id="3051"/>
      <w:bookmarkEnd w:id="3052"/>
      <w:bookmarkEnd w:id="3053"/>
      <w:bookmarkEnd w:id="3054"/>
    </w:p>
    <w:p w:rsidR="00CB0DD7" w:rsidRPr="000A0A5F" w:rsidRDefault="00CB0DD7">
      <w:pPr>
        <w:rPr>
          <w:lang w:eastAsia="zh-CN"/>
        </w:rPr>
      </w:pPr>
      <w:r w:rsidRPr="000A0A5F">
        <w:t>If supported by both AF and NEF and successfully negotiated</w:t>
      </w:r>
      <w:r w:rsidRPr="000A0A5F">
        <w:rPr>
          <w:lang w:eastAsia="zh-CN"/>
        </w:rPr>
        <w:t>, the Ex</w:t>
      </w:r>
      <w:r w:rsidRPr="000A0A5F">
        <w:rPr>
          <w:rFonts w:hint="eastAsia"/>
          <w:lang w:eastAsia="zh-CN"/>
        </w:rPr>
        <w:t>Notification</w:t>
      </w:r>
      <w:r w:rsidRPr="000A0A5F">
        <w:rPr>
          <w:lang w:eastAsia="zh-CN"/>
        </w:rPr>
        <w:t xml:space="preserve"> may alternatively be delivered through the Websocket mechanism as defined in clause</w:t>
      </w:r>
      <w:r w:rsidRPr="000A0A5F">
        <w:rPr>
          <w:lang w:val="en-US" w:eastAsia="zh-CN"/>
        </w:rPr>
        <w:t> </w:t>
      </w:r>
      <w:r w:rsidRPr="000A0A5F">
        <w:rPr>
          <w:lang w:eastAsia="zh-CN"/>
        </w:rPr>
        <w:t>5.2.5.4.</w:t>
      </w:r>
      <w:bookmarkStart w:id="3055" w:name="_Toc11247400"/>
      <w:bookmarkStart w:id="3056" w:name="_Toc27044522"/>
      <w:bookmarkStart w:id="3057" w:name="_Toc36033564"/>
      <w:bookmarkStart w:id="3058" w:name="_Toc45131699"/>
      <w:bookmarkStart w:id="3059" w:name="_Toc49775984"/>
      <w:bookmarkStart w:id="3060" w:name="_Toc51746904"/>
    </w:p>
    <w:p w:rsidR="00CB0DD7" w:rsidRPr="000A0A5F" w:rsidRDefault="00CB0DD7">
      <w:pPr>
        <w:pStyle w:val="Heading3"/>
      </w:pPr>
      <w:bookmarkStart w:id="3061" w:name="_Toc66360455"/>
      <w:bookmarkStart w:id="3062" w:name="_Toc68104960"/>
      <w:bookmarkStart w:id="3063" w:name="_Toc74755590"/>
      <w:bookmarkStart w:id="3064" w:name="_Toc105674463"/>
      <w:bookmarkStart w:id="3065" w:name="_Toc130502503"/>
      <w:bookmarkStart w:id="3066" w:name="_Toc153625290"/>
      <w:r w:rsidRPr="000A0A5F">
        <w:t>5.4.4</w:t>
      </w:r>
      <w:r w:rsidRPr="000A0A5F">
        <w:tab/>
        <w:t>Used Features</w:t>
      </w:r>
      <w:bookmarkEnd w:id="3055"/>
      <w:bookmarkEnd w:id="3056"/>
      <w:bookmarkEnd w:id="3057"/>
      <w:bookmarkEnd w:id="3058"/>
      <w:bookmarkEnd w:id="3059"/>
      <w:bookmarkEnd w:id="3060"/>
      <w:bookmarkEnd w:id="3061"/>
      <w:bookmarkEnd w:id="3062"/>
      <w:bookmarkEnd w:id="3063"/>
      <w:bookmarkEnd w:id="3064"/>
      <w:bookmarkEnd w:id="3065"/>
      <w:bookmarkEnd w:id="3066"/>
    </w:p>
    <w:p w:rsidR="00CB0DD7" w:rsidRPr="000A0A5F" w:rsidRDefault="00CB0DD7">
      <w:r w:rsidRPr="000A0A5F">
        <w:t>The table below defines the features applicable to the ResourceManagementOfBdt API. Those features are negotiated as described in clause 5.2.7.</w:t>
      </w:r>
    </w:p>
    <w:p w:rsidR="00CB0DD7" w:rsidRPr="000A0A5F" w:rsidRDefault="00B004CD">
      <w:pPr>
        <w:pStyle w:val="TH"/>
      </w:pPr>
      <w:r w:rsidRPr="000A0A5F">
        <w:t>Table </w:t>
      </w:r>
      <w:r w:rsidR="00CB0DD7" w:rsidRPr="000A0A5F">
        <w:t>5.4.4-1: Features used by ResourceManagementOfBdt API</w:t>
      </w:r>
    </w:p>
    <w:tbl>
      <w:tblPr>
        <w:tblW w:w="9781"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6"/>
        <w:gridCol w:w="1843"/>
        <w:gridCol w:w="6662"/>
      </w:tblGrid>
      <w:tr w:rsidR="00CB0DD7" w:rsidRPr="000A0A5F" w:rsidTr="00FF0AF8">
        <w:trPr>
          <w:cantSplit/>
        </w:trPr>
        <w:tc>
          <w:tcPr>
            <w:tcW w:w="1276" w:type="dxa"/>
            <w:shd w:val="clear" w:color="auto" w:fill="C0C0C0"/>
          </w:tcPr>
          <w:p w:rsidR="00CB0DD7" w:rsidRPr="000A0A5F" w:rsidRDefault="00CB0DD7">
            <w:pPr>
              <w:pStyle w:val="TAH"/>
              <w:rPr>
                <w:rFonts w:eastAsia="Times New Roman"/>
              </w:rPr>
            </w:pPr>
            <w:r w:rsidRPr="000A0A5F">
              <w:rPr>
                <w:rFonts w:eastAsia="Times New Roman"/>
              </w:rPr>
              <w:t>Feature Number</w:t>
            </w:r>
          </w:p>
        </w:tc>
        <w:tc>
          <w:tcPr>
            <w:tcW w:w="1843" w:type="dxa"/>
            <w:shd w:val="clear" w:color="auto" w:fill="C0C0C0"/>
          </w:tcPr>
          <w:p w:rsidR="00CB0DD7" w:rsidRPr="000A0A5F" w:rsidRDefault="00CB0DD7">
            <w:pPr>
              <w:pStyle w:val="TAH"/>
              <w:rPr>
                <w:rFonts w:eastAsia="Times New Roman"/>
              </w:rPr>
            </w:pPr>
            <w:r w:rsidRPr="000A0A5F">
              <w:rPr>
                <w:rFonts w:eastAsia="Times New Roman"/>
              </w:rPr>
              <w:t>Feature</w:t>
            </w:r>
          </w:p>
        </w:tc>
        <w:tc>
          <w:tcPr>
            <w:tcW w:w="6662" w:type="dxa"/>
            <w:shd w:val="clear" w:color="auto" w:fill="C0C0C0"/>
          </w:tcPr>
          <w:p w:rsidR="00CB0DD7" w:rsidRPr="000A0A5F" w:rsidRDefault="00CB0DD7">
            <w:pPr>
              <w:pStyle w:val="TAH"/>
              <w:rPr>
                <w:rFonts w:eastAsia="Batang"/>
                <w:lang w:eastAsia="ko-KR"/>
              </w:rPr>
            </w:pPr>
            <w:r w:rsidRPr="000A0A5F">
              <w:rPr>
                <w:rFonts w:eastAsia="Times New Roman"/>
              </w:rPr>
              <w:t>Description</w:t>
            </w:r>
          </w:p>
        </w:tc>
      </w:tr>
      <w:tr w:rsidR="00CB0DD7" w:rsidRPr="000A0A5F" w:rsidTr="00FF0AF8">
        <w:trPr>
          <w:cantSplit/>
        </w:trPr>
        <w:tc>
          <w:tcPr>
            <w:tcW w:w="1276" w:type="dxa"/>
          </w:tcPr>
          <w:p w:rsidR="00CB0DD7" w:rsidRPr="000A0A5F" w:rsidRDefault="00CB0DD7">
            <w:pPr>
              <w:pStyle w:val="TAC"/>
              <w:rPr>
                <w:lang w:eastAsia="zh-CN"/>
              </w:rPr>
            </w:pPr>
            <w:r w:rsidRPr="000A0A5F">
              <w:rPr>
                <w:lang w:eastAsia="zh-CN"/>
              </w:rPr>
              <w:t>1</w:t>
            </w:r>
          </w:p>
        </w:tc>
        <w:tc>
          <w:tcPr>
            <w:tcW w:w="1843" w:type="dxa"/>
          </w:tcPr>
          <w:p w:rsidR="00CB0DD7" w:rsidRPr="000A0A5F" w:rsidRDefault="00CB0DD7">
            <w:pPr>
              <w:pStyle w:val="TAC"/>
              <w:rPr>
                <w:lang w:eastAsia="zh-CN"/>
              </w:rPr>
            </w:pPr>
            <w:r w:rsidRPr="000A0A5F">
              <w:rPr>
                <w:rFonts w:cs="Arial"/>
                <w:szCs w:val="18"/>
                <w:lang w:eastAsia="zh-CN"/>
              </w:rPr>
              <w:t>Bdt</w:t>
            </w:r>
          </w:p>
        </w:tc>
        <w:tc>
          <w:tcPr>
            <w:tcW w:w="6662" w:type="dxa"/>
          </w:tcPr>
          <w:p w:rsidR="00CB0DD7" w:rsidRPr="000A0A5F" w:rsidRDefault="00CB0DD7">
            <w:pPr>
              <w:pStyle w:val="TAL"/>
              <w:rPr>
                <w:lang w:eastAsia="zh-CN"/>
              </w:rPr>
            </w:pPr>
            <w:r w:rsidRPr="000A0A5F">
              <w:rPr>
                <w:rFonts w:eastAsia="Malgun Gothic"/>
                <w:lang w:eastAsia="ja-JP"/>
              </w:rPr>
              <w:t xml:space="preserve">The feature supports the pre-5G (e.g. 4G) requirement. </w:t>
            </w:r>
          </w:p>
        </w:tc>
      </w:tr>
      <w:tr w:rsidR="00CB0DD7" w:rsidRPr="000A0A5F" w:rsidTr="00FF0AF8">
        <w:trPr>
          <w:cantSplit/>
        </w:trPr>
        <w:tc>
          <w:tcPr>
            <w:tcW w:w="1276" w:type="dxa"/>
          </w:tcPr>
          <w:p w:rsidR="00CB0DD7" w:rsidRPr="000A0A5F" w:rsidRDefault="00CB0DD7">
            <w:pPr>
              <w:pStyle w:val="TAC"/>
              <w:rPr>
                <w:lang w:eastAsia="zh-CN"/>
              </w:rPr>
            </w:pPr>
            <w:r w:rsidRPr="000A0A5F">
              <w:rPr>
                <w:rFonts w:hint="eastAsia"/>
                <w:lang w:eastAsia="zh-CN"/>
              </w:rPr>
              <w:t>2</w:t>
            </w:r>
          </w:p>
        </w:tc>
        <w:tc>
          <w:tcPr>
            <w:tcW w:w="1843" w:type="dxa"/>
          </w:tcPr>
          <w:p w:rsidR="00CB0DD7" w:rsidRPr="000A0A5F" w:rsidRDefault="00CB0DD7">
            <w:pPr>
              <w:pStyle w:val="TAC"/>
              <w:rPr>
                <w:lang w:eastAsia="zh-CN"/>
              </w:rPr>
            </w:pPr>
            <w:r w:rsidRPr="000A0A5F">
              <w:rPr>
                <w:rFonts w:cs="Arial"/>
                <w:szCs w:val="18"/>
                <w:lang w:eastAsia="zh-CN"/>
              </w:rPr>
              <w:t>LocBdt_5G</w:t>
            </w:r>
          </w:p>
        </w:tc>
        <w:tc>
          <w:tcPr>
            <w:tcW w:w="6662" w:type="dxa"/>
          </w:tcPr>
          <w:p w:rsidR="00CB0DD7" w:rsidRPr="000A0A5F" w:rsidRDefault="00CB0DD7">
            <w:pPr>
              <w:pStyle w:val="TAL"/>
              <w:rPr>
                <w:lang w:eastAsia="zh-CN"/>
              </w:rPr>
            </w:pPr>
            <w:r w:rsidRPr="000A0A5F">
              <w:rPr>
                <w:rFonts w:eastAsia="Malgun Gothic"/>
                <w:lang w:eastAsia="ja-JP"/>
              </w:rPr>
              <w:t>The feature supports the 5G requirement. This feature may only be supported in 5G.</w:t>
            </w:r>
          </w:p>
        </w:tc>
      </w:tr>
      <w:tr w:rsidR="00CB0DD7" w:rsidRPr="000A0A5F" w:rsidTr="00FF0AF8">
        <w:trPr>
          <w:cantSplit/>
        </w:trPr>
        <w:tc>
          <w:tcPr>
            <w:tcW w:w="1276" w:type="dxa"/>
          </w:tcPr>
          <w:p w:rsidR="00CB0DD7" w:rsidRPr="000A0A5F" w:rsidRDefault="00CB0DD7">
            <w:pPr>
              <w:pStyle w:val="TAC"/>
              <w:rPr>
                <w:rFonts w:hint="eastAsia"/>
                <w:lang w:eastAsia="zh-CN"/>
              </w:rPr>
            </w:pPr>
            <w:r w:rsidRPr="000A0A5F">
              <w:rPr>
                <w:lang w:eastAsia="zh-CN"/>
              </w:rPr>
              <w:t>3</w:t>
            </w:r>
          </w:p>
        </w:tc>
        <w:tc>
          <w:tcPr>
            <w:tcW w:w="1843" w:type="dxa"/>
          </w:tcPr>
          <w:p w:rsidR="00CB0DD7" w:rsidRPr="000A0A5F" w:rsidRDefault="00CB0DD7">
            <w:pPr>
              <w:pStyle w:val="TAC"/>
              <w:rPr>
                <w:rFonts w:cs="Arial"/>
                <w:szCs w:val="18"/>
                <w:lang w:eastAsia="zh-CN"/>
              </w:rPr>
            </w:pPr>
            <w:r w:rsidRPr="000A0A5F">
              <w:rPr>
                <w:rFonts w:cs="Arial"/>
                <w:szCs w:val="18"/>
                <w:lang w:eastAsia="zh-CN"/>
              </w:rPr>
              <w:t>Group_Id</w:t>
            </w:r>
          </w:p>
        </w:tc>
        <w:tc>
          <w:tcPr>
            <w:tcW w:w="6662" w:type="dxa"/>
          </w:tcPr>
          <w:p w:rsidR="00CB0DD7" w:rsidRPr="000A0A5F" w:rsidRDefault="00CB0DD7">
            <w:pPr>
              <w:pStyle w:val="TAL"/>
              <w:rPr>
                <w:rFonts w:eastAsia="Malgun Gothic"/>
                <w:lang w:eastAsia="ja-JP"/>
              </w:rPr>
            </w:pPr>
            <w:r w:rsidRPr="000A0A5F">
              <w:rPr>
                <w:rFonts w:eastAsia="Malgun Gothic"/>
                <w:lang w:eastAsia="ja-JP"/>
              </w:rPr>
              <w:t>The feature supports forwarding an external group identifier of the user. This feature shall not be supported in pre-5G.</w:t>
            </w:r>
          </w:p>
        </w:tc>
      </w:tr>
      <w:tr w:rsidR="00CB0DD7" w:rsidRPr="000A0A5F" w:rsidTr="00FF0AF8">
        <w:trPr>
          <w:cantSplit/>
        </w:trPr>
        <w:tc>
          <w:tcPr>
            <w:tcW w:w="1276" w:type="dxa"/>
          </w:tcPr>
          <w:p w:rsidR="00CB0DD7" w:rsidRPr="000A0A5F" w:rsidRDefault="00CB0DD7">
            <w:pPr>
              <w:pStyle w:val="TAC"/>
              <w:rPr>
                <w:lang w:eastAsia="zh-CN"/>
              </w:rPr>
            </w:pPr>
            <w:r w:rsidRPr="000A0A5F">
              <w:rPr>
                <w:lang w:eastAsia="zh-CN"/>
              </w:rPr>
              <w:t>4</w:t>
            </w:r>
          </w:p>
        </w:tc>
        <w:tc>
          <w:tcPr>
            <w:tcW w:w="1843" w:type="dxa"/>
          </w:tcPr>
          <w:p w:rsidR="00CB0DD7" w:rsidRPr="000A0A5F" w:rsidRDefault="00CB0DD7">
            <w:pPr>
              <w:pStyle w:val="TAC"/>
              <w:rPr>
                <w:rFonts w:cs="Arial"/>
                <w:szCs w:val="18"/>
                <w:lang w:eastAsia="zh-CN"/>
              </w:rPr>
            </w:pPr>
            <w:r w:rsidRPr="000A0A5F">
              <w:rPr>
                <w:rFonts w:cs="Arial"/>
                <w:szCs w:val="18"/>
                <w:lang w:eastAsia="zh-CN"/>
              </w:rPr>
              <w:t>BdtNotification</w:t>
            </w:r>
            <w:r w:rsidRPr="000A0A5F">
              <w:rPr>
                <w:rFonts w:cs="Arial" w:hint="eastAsia"/>
                <w:szCs w:val="18"/>
                <w:lang w:eastAsia="zh-CN"/>
              </w:rPr>
              <w:t>_5G</w:t>
            </w:r>
          </w:p>
        </w:tc>
        <w:tc>
          <w:tcPr>
            <w:tcW w:w="6662" w:type="dxa"/>
          </w:tcPr>
          <w:p w:rsidR="00CB0DD7" w:rsidRPr="000A0A5F" w:rsidRDefault="00CB0DD7">
            <w:pPr>
              <w:pStyle w:val="TAL"/>
              <w:rPr>
                <w:rFonts w:eastAsia="Malgun Gothic"/>
                <w:lang w:eastAsia="ja-JP"/>
              </w:rPr>
            </w:pPr>
            <w:r w:rsidRPr="000A0A5F">
              <w:rPr>
                <w:rFonts w:eastAsia="Malgun Gothic"/>
                <w:lang w:eastAsia="ja-JP"/>
              </w:rPr>
              <w:t xml:space="preserve">The feature supports the sending of BDT notification. </w:t>
            </w:r>
            <w:r w:rsidRPr="000A0A5F">
              <w:rPr>
                <w:lang w:eastAsia="zh-CN"/>
              </w:rPr>
              <w:t xml:space="preserve">This feature includes sending of the </w:t>
            </w:r>
            <w:r w:rsidRPr="000A0A5F">
              <w:t xml:space="preserve">BDT warning notification to the AF. </w:t>
            </w:r>
            <w:r w:rsidRPr="000A0A5F">
              <w:rPr>
                <w:rFonts w:eastAsia="Malgun Gothic"/>
                <w:lang w:eastAsia="ja-JP"/>
              </w:rPr>
              <w:t>This feature may only be supported in 5G.</w:t>
            </w:r>
          </w:p>
        </w:tc>
      </w:tr>
      <w:tr w:rsidR="00CB0DD7" w:rsidRPr="000A0A5F" w:rsidTr="00FF0AF8">
        <w:trPr>
          <w:cantSplit/>
        </w:trPr>
        <w:tc>
          <w:tcPr>
            <w:tcW w:w="1276" w:type="dxa"/>
          </w:tcPr>
          <w:p w:rsidR="00CB0DD7" w:rsidRPr="000A0A5F" w:rsidRDefault="00CB0DD7">
            <w:pPr>
              <w:pStyle w:val="TAC"/>
              <w:rPr>
                <w:lang w:eastAsia="zh-CN"/>
              </w:rPr>
            </w:pPr>
            <w:r w:rsidRPr="000A0A5F">
              <w:rPr>
                <w:lang w:eastAsia="zh-CN"/>
              </w:rPr>
              <w:t>5</w:t>
            </w:r>
          </w:p>
        </w:tc>
        <w:tc>
          <w:tcPr>
            <w:tcW w:w="1843" w:type="dxa"/>
          </w:tcPr>
          <w:p w:rsidR="00CB0DD7" w:rsidRPr="000A0A5F" w:rsidRDefault="00CB0DD7">
            <w:pPr>
              <w:pStyle w:val="TAC"/>
              <w:rPr>
                <w:rFonts w:cs="Arial"/>
                <w:szCs w:val="18"/>
                <w:lang w:eastAsia="zh-CN"/>
              </w:rPr>
            </w:pPr>
            <w:r w:rsidRPr="000A0A5F">
              <w:rPr>
                <w:rFonts w:cs="Arial" w:hint="eastAsia"/>
                <w:szCs w:val="18"/>
                <w:lang w:eastAsia="zh-CN"/>
              </w:rPr>
              <w:t>e</w:t>
            </w:r>
            <w:r w:rsidRPr="000A0A5F">
              <w:rPr>
                <w:rFonts w:cs="Arial"/>
                <w:szCs w:val="18"/>
                <w:lang w:eastAsia="zh-CN"/>
              </w:rPr>
              <w:t>nNB</w:t>
            </w:r>
          </w:p>
        </w:tc>
        <w:tc>
          <w:tcPr>
            <w:tcW w:w="6662" w:type="dxa"/>
          </w:tcPr>
          <w:p w:rsidR="00CB0DD7" w:rsidRPr="000A0A5F" w:rsidRDefault="00CB0DD7">
            <w:pPr>
              <w:pStyle w:val="TAL"/>
              <w:rPr>
                <w:rFonts w:eastAsia="Malgun Gothic"/>
                <w:lang w:eastAsia="ja-JP"/>
              </w:rPr>
            </w:pPr>
            <w:r w:rsidRPr="000A0A5F">
              <w:rPr>
                <w:rFonts w:eastAsia="Malgun Gothic"/>
                <w:lang w:eastAsia="ja-JP"/>
              </w:rPr>
              <w:t>The feature supports enhancement of northbound interfaces, e.g. enable the SCS/AS to update notification destination during modification procedure.</w:t>
            </w:r>
          </w:p>
        </w:tc>
      </w:tr>
      <w:tr w:rsidR="00985056" w:rsidRPr="000A0A5F" w:rsidTr="00FF0AF8">
        <w:trPr>
          <w:cantSplit/>
        </w:trPr>
        <w:tc>
          <w:tcPr>
            <w:tcW w:w="1276" w:type="dxa"/>
          </w:tcPr>
          <w:p w:rsidR="00985056" w:rsidRPr="000A0A5F" w:rsidRDefault="00985056" w:rsidP="00985056">
            <w:pPr>
              <w:pStyle w:val="TAC"/>
              <w:rPr>
                <w:lang w:eastAsia="zh-CN"/>
              </w:rPr>
            </w:pPr>
            <w:r w:rsidRPr="000A0A5F">
              <w:rPr>
                <w:lang w:eastAsia="zh-CN"/>
              </w:rPr>
              <w:t>6</w:t>
            </w:r>
          </w:p>
        </w:tc>
        <w:tc>
          <w:tcPr>
            <w:tcW w:w="1843" w:type="dxa"/>
          </w:tcPr>
          <w:p w:rsidR="00985056" w:rsidRPr="000A0A5F" w:rsidRDefault="00985056" w:rsidP="00985056">
            <w:pPr>
              <w:pStyle w:val="TAC"/>
              <w:rPr>
                <w:rFonts w:cs="Arial" w:hint="eastAsia"/>
                <w:szCs w:val="18"/>
                <w:lang w:eastAsia="zh-CN"/>
              </w:rPr>
            </w:pPr>
            <w:r w:rsidRPr="000A0A5F">
              <w:rPr>
                <w:lang w:eastAsia="zh-CN"/>
              </w:rPr>
              <w:t>AspId_5G</w:t>
            </w:r>
          </w:p>
        </w:tc>
        <w:tc>
          <w:tcPr>
            <w:tcW w:w="6662" w:type="dxa"/>
          </w:tcPr>
          <w:p w:rsidR="00985056" w:rsidRPr="000A0A5F" w:rsidRDefault="00985056" w:rsidP="00985056">
            <w:pPr>
              <w:keepNext/>
              <w:keepLines/>
              <w:spacing w:after="0"/>
              <w:rPr>
                <w:rFonts w:ascii="Arial" w:hAnsi="Arial" w:cs="Arial"/>
                <w:sz w:val="18"/>
                <w:szCs w:val="18"/>
                <w:lang w:eastAsia="zh-CN"/>
              </w:rPr>
            </w:pPr>
            <w:r w:rsidRPr="000A0A5F">
              <w:rPr>
                <w:rFonts w:ascii="Arial" w:hAnsi="Arial" w:cs="Arial"/>
                <w:sz w:val="18"/>
                <w:szCs w:val="18"/>
                <w:lang w:eastAsia="zh-CN"/>
              </w:rPr>
              <w:t>Indicates the support of application service provider.</w:t>
            </w:r>
          </w:p>
          <w:p w:rsidR="00985056" w:rsidRPr="000A0A5F" w:rsidRDefault="00985056" w:rsidP="00985056">
            <w:pPr>
              <w:pStyle w:val="TAL"/>
              <w:rPr>
                <w:rFonts w:eastAsia="Malgun Gothic"/>
                <w:lang w:eastAsia="ja-JP"/>
              </w:rPr>
            </w:pPr>
            <w:r w:rsidRPr="000A0A5F">
              <w:rPr>
                <w:lang w:eastAsia="zh-CN"/>
              </w:rPr>
              <w:t>This feature is not applicable to pre-5G (e.g. 4G).</w:t>
            </w:r>
          </w:p>
        </w:tc>
      </w:tr>
      <w:tr w:rsidR="00985056" w:rsidRPr="000A0A5F" w:rsidTr="00FF0AF8">
        <w:tblPrEx>
          <w:tblLook w:val="04A0" w:firstRow="1" w:lastRow="0" w:firstColumn="1" w:lastColumn="0" w:noHBand="0" w:noVBand="1"/>
        </w:tblPrEx>
        <w:trPr>
          <w:cantSplit/>
        </w:trPr>
        <w:tc>
          <w:tcPr>
            <w:tcW w:w="9781" w:type="dxa"/>
            <w:gridSpan w:val="3"/>
          </w:tcPr>
          <w:p w:rsidR="00985056" w:rsidRPr="000A0A5F" w:rsidRDefault="00985056" w:rsidP="00985056">
            <w:pPr>
              <w:pStyle w:val="TAN"/>
              <w:rPr>
                <w:rFonts w:eastAsia="Times New Roman"/>
              </w:rPr>
            </w:pPr>
            <w:r w:rsidRPr="000A0A5F">
              <w:rPr>
                <w:rFonts w:eastAsia="Times New Roman"/>
              </w:rPr>
              <w:t>Feature:</w:t>
            </w:r>
            <w:r w:rsidRPr="000A0A5F">
              <w:rPr>
                <w:rFonts w:eastAsia="Times New Roman"/>
              </w:rPr>
              <w:tab/>
              <w:t>A short name that can be used to refer to the bit and to the feature, e.g. "</w:t>
            </w:r>
            <w:r w:rsidRPr="000A0A5F">
              <w:rPr>
                <w:rFonts w:hint="eastAsia"/>
                <w:lang w:eastAsia="zh-CN"/>
              </w:rPr>
              <w:t>Notification</w:t>
            </w:r>
            <w:r w:rsidRPr="000A0A5F">
              <w:rPr>
                <w:rFonts w:eastAsia="Times New Roman"/>
              </w:rPr>
              <w:t>".</w:t>
            </w:r>
          </w:p>
          <w:p w:rsidR="00985056" w:rsidRPr="000A0A5F" w:rsidRDefault="00985056" w:rsidP="00985056">
            <w:pPr>
              <w:pStyle w:val="TAN"/>
              <w:rPr>
                <w:color w:val="000000"/>
                <w:lang w:eastAsia="zh-CN"/>
              </w:rPr>
            </w:pPr>
            <w:r w:rsidRPr="000A0A5F">
              <w:rPr>
                <w:rFonts w:eastAsia="Times New Roman"/>
              </w:rPr>
              <w:t>Description:</w:t>
            </w:r>
            <w:r w:rsidRPr="000A0A5F">
              <w:rPr>
                <w:rFonts w:eastAsia="Times New Roman"/>
              </w:rPr>
              <w:tab/>
              <w:t>A clear textual description of the feature.</w:t>
            </w:r>
          </w:p>
        </w:tc>
      </w:tr>
    </w:tbl>
    <w:p w:rsidR="00DC285A" w:rsidRPr="000A0A5F" w:rsidRDefault="00DC285A" w:rsidP="00DC285A"/>
    <w:p w:rsidR="00DC285A" w:rsidRPr="000A0A5F" w:rsidRDefault="00DC285A" w:rsidP="00DC285A">
      <w:pPr>
        <w:pStyle w:val="Heading3"/>
      </w:pPr>
      <w:bookmarkStart w:id="3067" w:name="_Toc130502504"/>
      <w:bookmarkStart w:id="3068" w:name="_Toc153625291"/>
      <w:r w:rsidRPr="000A0A5F">
        <w:t>5.4.5</w:t>
      </w:r>
      <w:r w:rsidRPr="000A0A5F">
        <w:tab/>
        <w:t>Error handling</w:t>
      </w:r>
      <w:bookmarkEnd w:id="3067"/>
      <w:bookmarkEnd w:id="3068"/>
    </w:p>
    <w:p w:rsidR="00DC285A" w:rsidRPr="000A0A5F" w:rsidRDefault="00DC285A" w:rsidP="00DC285A">
      <w:pPr>
        <w:pStyle w:val="Heading4"/>
      </w:pPr>
      <w:bookmarkStart w:id="3069" w:name="_Toc130502505"/>
      <w:bookmarkStart w:id="3070" w:name="_Toc153625292"/>
      <w:r w:rsidRPr="000A0A5F">
        <w:t>5.4.5.1</w:t>
      </w:r>
      <w:r w:rsidRPr="000A0A5F">
        <w:tab/>
        <w:t>General</w:t>
      </w:r>
      <w:bookmarkEnd w:id="3069"/>
      <w:bookmarkEnd w:id="3070"/>
    </w:p>
    <w:p w:rsidR="00DC285A" w:rsidRPr="000A0A5F" w:rsidRDefault="00DC285A" w:rsidP="00DC285A">
      <w:r w:rsidRPr="000A0A5F">
        <w:t>HTTP error handling shall be supported as specified in clause 5.2.6.</w:t>
      </w:r>
    </w:p>
    <w:p w:rsidR="00DC285A" w:rsidRPr="000A0A5F" w:rsidRDefault="00DC285A" w:rsidP="00DC285A">
      <w:r w:rsidRPr="000A0A5F">
        <w:t>In addition, the requirements in the following clauses shall apply.</w:t>
      </w:r>
    </w:p>
    <w:p w:rsidR="00DC285A" w:rsidRPr="000A0A5F" w:rsidRDefault="00DC285A" w:rsidP="00DC285A">
      <w:pPr>
        <w:pStyle w:val="Heading4"/>
      </w:pPr>
      <w:bookmarkStart w:id="3071" w:name="_Toc130502506"/>
      <w:bookmarkStart w:id="3072" w:name="_Toc153625293"/>
      <w:r w:rsidRPr="000A0A5F">
        <w:t>5.4.5.2</w:t>
      </w:r>
      <w:r w:rsidRPr="000A0A5F">
        <w:tab/>
        <w:t>Protocol Errors</w:t>
      </w:r>
      <w:bookmarkEnd w:id="3071"/>
      <w:bookmarkEnd w:id="3072"/>
    </w:p>
    <w:p w:rsidR="00DC285A" w:rsidRPr="000A0A5F" w:rsidRDefault="00DC285A" w:rsidP="00DC285A">
      <w:r w:rsidRPr="000A0A5F">
        <w:rPr>
          <w:lang w:eastAsia="zh-CN"/>
        </w:rPr>
        <w:t xml:space="preserve">In this Release </w:t>
      </w:r>
      <w:r w:rsidRPr="000A0A5F">
        <w:t>of the specification, there are no additional protocol errors applicable for the ResourceManagementOfBdt API.</w:t>
      </w:r>
    </w:p>
    <w:p w:rsidR="00DC285A" w:rsidRPr="000A0A5F" w:rsidRDefault="00DC285A" w:rsidP="00DC285A">
      <w:pPr>
        <w:pStyle w:val="Heading4"/>
      </w:pPr>
      <w:bookmarkStart w:id="3073" w:name="_Toc130502507"/>
      <w:bookmarkStart w:id="3074" w:name="_Toc153625294"/>
      <w:r w:rsidRPr="000A0A5F">
        <w:t>5.4.5.3</w:t>
      </w:r>
      <w:r w:rsidRPr="000A0A5F">
        <w:tab/>
        <w:t>Application Errors</w:t>
      </w:r>
      <w:bookmarkEnd w:id="3073"/>
      <w:bookmarkEnd w:id="3074"/>
    </w:p>
    <w:p w:rsidR="00DC285A" w:rsidRPr="000A0A5F" w:rsidRDefault="00DC285A" w:rsidP="00DC285A">
      <w:r w:rsidRPr="000A0A5F">
        <w:t>The application errors defined for ResourceManagementOfBdt API are listed in table 5.4.5.3-1.</w:t>
      </w:r>
    </w:p>
    <w:p w:rsidR="00DC285A" w:rsidRPr="000A0A5F" w:rsidRDefault="00DC285A" w:rsidP="00DC285A">
      <w:pPr>
        <w:pStyle w:val="TH"/>
      </w:pPr>
      <w:r w:rsidRPr="000A0A5F">
        <w:t>Table 5.4.5.3-1: Application errors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686"/>
        <w:gridCol w:w="1275"/>
        <w:gridCol w:w="3289"/>
        <w:gridCol w:w="2373"/>
      </w:tblGrid>
      <w:tr w:rsidR="00DC285A" w:rsidRPr="000A0A5F" w:rsidTr="004C13CC">
        <w:trPr>
          <w:cantSplit/>
          <w:jc w:val="center"/>
        </w:trPr>
        <w:tc>
          <w:tcPr>
            <w:tcW w:w="2686" w:type="dxa"/>
            <w:shd w:val="clear" w:color="auto" w:fill="C0C0C0"/>
            <w:hideMark/>
          </w:tcPr>
          <w:p w:rsidR="00DC285A" w:rsidRPr="000A0A5F" w:rsidRDefault="00DC285A" w:rsidP="004C13CC">
            <w:pPr>
              <w:pStyle w:val="TAH"/>
            </w:pPr>
            <w:r w:rsidRPr="000A0A5F">
              <w:t>Application Error</w:t>
            </w:r>
          </w:p>
        </w:tc>
        <w:tc>
          <w:tcPr>
            <w:tcW w:w="1275" w:type="dxa"/>
            <w:shd w:val="clear" w:color="auto" w:fill="C0C0C0"/>
            <w:hideMark/>
          </w:tcPr>
          <w:p w:rsidR="00DC285A" w:rsidRPr="000A0A5F" w:rsidRDefault="00DC285A" w:rsidP="004C13CC">
            <w:pPr>
              <w:pStyle w:val="TAH"/>
            </w:pPr>
            <w:r w:rsidRPr="000A0A5F">
              <w:t>HTTP status code</w:t>
            </w:r>
          </w:p>
        </w:tc>
        <w:tc>
          <w:tcPr>
            <w:tcW w:w="3289" w:type="dxa"/>
            <w:shd w:val="clear" w:color="auto" w:fill="C0C0C0"/>
            <w:hideMark/>
          </w:tcPr>
          <w:p w:rsidR="00DC285A" w:rsidRPr="000A0A5F" w:rsidRDefault="00DC285A" w:rsidP="004C13CC">
            <w:pPr>
              <w:pStyle w:val="TAH"/>
            </w:pPr>
            <w:r w:rsidRPr="000A0A5F">
              <w:t>Description</w:t>
            </w:r>
          </w:p>
        </w:tc>
        <w:tc>
          <w:tcPr>
            <w:tcW w:w="2373" w:type="dxa"/>
            <w:shd w:val="clear" w:color="auto" w:fill="C0C0C0"/>
          </w:tcPr>
          <w:p w:rsidR="00DC285A" w:rsidRPr="000A0A5F" w:rsidRDefault="00DC285A" w:rsidP="004C13CC">
            <w:pPr>
              <w:pStyle w:val="TAH"/>
            </w:pPr>
            <w:r w:rsidRPr="000A0A5F">
              <w:t>Applicability</w:t>
            </w:r>
          </w:p>
        </w:tc>
      </w:tr>
      <w:tr w:rsidR="00DC285A" w:rsidRPr="000A0A5F" w:rsidTr="004C13CC">
        <w:trPr>
          <w:cantSplit/>
          <w:jc w:val="center"/>
        </w:trPr>
        <w:tc>
          <w:tcPr>
            <w:tcW w:w="2686" w:type="dxa"/>
          </w:tcPr>
          <w:p w:rsidR="00DC285A" w:rsidRPr="000A0A5F" w:rsidRDefault="00DC285A" w:rsidP="004C13CC">
            <w:pPr>
              <w:pStyle w:val="TAL"/>
              <w:rPr>
                <w:lang w:eastAsia="zh-CN"/>
              </w:rPr>
            </w:pPr>
          </w:p>
        </w:tc>
        <w:tc>
          <w:tcPr>
            <w:tcW w:w="1275" w:type="dxa"/>
          </w:tcPr>
          <w:p w:rsidR="00DC285A" w:rsidRPr="000A0A5F" w:rsidRDefault="00DC285A" w:rsidP="004C13CC">
            <w:pPr>
              <w:pStyle w:val="TAL"/>
              <w:rPr>
                <w:lang w:eastAsia="zh-CN"/>
              </w:rPr>
            </w:pPr>
          </w:p>
        </w:tc>
        <w:tc>
          <w:tcPr>
            <w:tcW w:w="3289" w:type="dxa"/>
          </w:tcPr>
          <w:p w:rsidR="00DC285A" w:rsidRPr="000A0A5F" w:rsidRDefault="00DC285A" w:rsidP="004C13CC">
            <w:pPr>
              <w:pStyle w:val="TAL"/>
            </w:pPr>
          </w:p>
        </w:tc>
        <w:tc>
          <w:tcPr>
            <w:tcW w:w="2373" w:type="dxa"/>
          </w:tcPr>
          <w:p w:rsidR="00DC285A" w:rsidRPr="000A0A5F" w:rsidRDefault="00DC285A" w:rsidP="004C13CC">
            <w:pPr>
              <w:pStyle w:val="TAL"/>
            </w:pPr>
          </w:p>
        </w:tc>
      </w:tr>
    </w:tbl>
    <w:p w:rsidR="00CB0DD7" w:rsidRPr="000A0A5F" w:rsidRDefault="00CB0DD7"/>
    <w:p w:rsidR="00CB0DD7" w:rsidRPr="000A0A5F" w:rsidRDefault="00CB0DD7">
      <w:pPr>
        <w:pStyle w:val="Heading2"/>
        <w:rPr>
          <w:lang w:eastAsia="zh-CN"/>
        </w:rPr>
      </w:pPr>
      <w:bookmarkStart w:id="3075" w:name="_Toc11247401"/>
      <w:bookmarkStart w:id="3076" w:name="_Toc27044523"/>
      <w:bookmarkStart w:id="3077" w:name="_Toc36033565"/>
      <w:bookmarkStart w:id="3078" w:name="_Toc45131700"/>
      <w:bookmarkStart w:id="3079" w:name="_Toc49775985"/>
      <w:bookmarkStart w:id="3080" w:name="_Toc51746905"/>
      <w:bookmarkStart w:id="3081" w:name="_Toc66360456"/>
      <w:bookmarkStart w:id="3082" w:name="_Toc68104961"/>
      <w:bookmarkStart w:id="3083" w:name="_Toc74755591"/>
      <w:bookmarkStart w:id="3084" w:name="_Toc105674464"/>
      <w:bookmarkStart w:id="3085" w:name="_Toc130502508"/>
      <w:bookmarkStart w:id="3086" w:name="_Toc153625295"/>
      <w:r w:rsidRPr="000A0A5F">
        <w:t>5.5</w:t>
      </w:r>
      <w:r w:rsidRPr="000A0A5F">
        <w:tab/>
        <w:t>ChargeableParty API</w:t>
      </w:r>
      <w:bookmarkEnd w:id="3075"/>
      <w:bookmarkEnd w:id="3076"/>
      <w:bookmarkEnd w:id="3077"/>
      <w:bookmarkEnd w:id="3078"/>
      <w:bookmarkEnd w:id="3079"/>
      <w:bookmarkEnd w:id="3080"/>
      <w:bookmarkEnd w:id="3081"/>
      <w:bookmarkEnd w:id="3082"/>
      <w:bookmarkEnd w:id="3083"/>
      <w:bookmarkEnd w:id="3084"/>
      <w:bookmarkEnd w:id="3085"/>
      <w:bookmarkEnd w:id="3086"/>
    </w:p>
    <w:p w:rsidR="00CB0DD7" w:rsidRPr="000A0A5F" w:rsidRDefault="00CB0DD7">
      <w:pPr>
        <w:pStyle w:val="Heading3"/>
      </w:pPr>
      <w:bookmarkStart w:id="3087" w:name="_Toc11247402"/>
      <w:bookmarkStart w:id="3088" w:name="_Toc27044524"/>
      <w:bookmarkStart w:id="3089" w:name="_Toc36033566"/>
      <w:bookmarkStart w:id="3090" w:name="_Toc45131701"/>
      <w:bookmarkStart w:id="3091" w:name="_Toc49775986"/>
      <w:bookmarkStart w:id="3092" w:name="_Toc51746906"/>
      <w:bookmarkStart w:id="3093" w:name="_Toc66360457"/>
      <w:bookmarkStart w:id="3094" w:name="_Toc68104962"/>
      <w:bookmarkStart w:id="3095" w:name="_Toc74755592"/>
      <w:bookmarkStart w:id="3096" w:name="_Toc105674465"/>
      <w:bookmarkStart w:id="3097" w:name="_Toc130502509"/>
      <w:bookmarkStart w:id="3098" w:name="_Toc153625296"/>
      <w:r w:rsidRPr="000A0A5F">
        <w:t>5.5.1</w:t>
      </w:r>
      <w:r w:rsidRPr="000A0A5F">
        <w:tab/>
        <w:t>Overview</w:t>
      </w:r>
      <w:bookmarkEnd w:id="3087"/>
      <w:bookmarkEnd w:id="3088"/>
      <w:bookmarkEnd w:id="3089"/>
      <w:bookmarkEnd w:id="3090"/>
      <w:bookmarkEnd w:id="3091"/>
      <w:bookmarkEnd w:id="3092"/>
      <w:bookmarkEnd w:id="3093"/>
      <w:bookmarkEnd w:id="3094"/>
      <w:bookmarkEnd w:id="3095"/>
      <w:bookmarkEnd w:id="3096"/>
      <w:bookmarkEnd w:id="3097"/>
      <w:bookmarkEnd w:id="3098"/>
    </w:p>
    <w:p w:rsidR="00CB0DD7" w:rsidRPr="000A0A5F" w:rsidRDefault="00CB0DD7">
      <w:r w:rsidRPr="000A0A5F">
        <w:rPr>
          <w:rFonts w:hint="eastAsia"/>
          <w:noProof/>
          <w:lang w:eastAsia="zh-CN"/>
        </w:rPr>
        <w:t xml:space="preserve">The </w:t>
      </w:r>
      <w:r w:rsidRPr="000A0A5F">
        <w:rPr>
          <w:noProof/>
          <w:lang w:eastAsia="zh-CN"/>
        </w:rPr>
        <w:t>ChargeableParty</w:t>
      </w:r>
      <w:r w:rsidRPr="000A0A5F">
        <w:rPr>
          <w:rFonts w:hint="eastAsia"/>
          <w:noProof/>
          <w:lang w:eastAsia="zh-CN"/>
        </w:rPr>
        <w:t xml:space="preserve"> API </w:t>
      </w:r>
      <w:r w:rsidRPr="000A0A5F">
        <w:rPr>
          <w:noProof/>
          <w:lang w:eastAsia="zh-CN"/>
        </w:rPr>
        <w:t xml:space="preserve">is a RESTful API that </w:t>
      </w:r>
      <w:r w:rsidRPr="000A0A5F">
        <w:rPr>
          <w:rFonts w:hint="eastAsia"/>
          <w:noProof/>
          <w:lang w:eastAsia="zh-CN"/>
        </w:rPr>
        <w:t xml:space="preserve">allows the SCS/AS to </w:t>
      </w:r>
      <w:r w:rsidRPr="000A0A5F">
        <w:t xml:space="preserve">either request to sponsor the traffic from the beginning or </w:t>
      </w:r>
      <w:r w:rsidRPr="000A0A5F">
        <w:rPr>
          <w:rFonts w:hint="eastAsia"/>
          <w:lang w:eastAsia="zh-CN"/>
        </w:rPr>
        <w:t>to</w:t>
      </w:r>
      <w:r w:rsidRPr="000A0A5F">
        <w:t xml:space="preserve"> request becom</w:t>
      </w:r>
      <w:r w:rsidRPr="000A0A5F">
        <w:rPr>
          <w:rFonts w:hint="eastAsia"/>
          <w:lang w:eastAsia="zh-CN"/>
        </w:rPr>
        <w:t>ing</w:t>
      </w:r>
      <w:r w:rsidRPr="000A0A5F">
        <w:t xml:space="preserve"> the chargeable party at a later point in time via the </w:t>
      </w:r>
      <w:r w:rsidRPr="000A0A5F">
        <w:rPr>
          <w:rFonts w:hint="eastAsia"/>
          <w:lang w:eastAsia="zh-CN"/>
        </w:rPr>
        <w:t>T8</w:t>
      </w:r>
      <w:r w:rsidRPr="000A0A5F">
        <w:t xml:space="preserve"> interface. The </w:t>
      </w:r>
      <w:r w:rsidRPr="000A0A5F">
        <w:rPr>
          <w:noProof/>
          <w:lang w:eastAsia="zh-CN"/>
        </w:rPr>
        <w:t>ChargeableParty</w:t>
      </w:r>
      <w:r w:rsidRPr="000A0A5F">
        <w:t xml:space="preserve"> API defines a set of data models, resources and the related procedures for the creation and management of the AS sessions with chargeable party change. The corresponding JSON schema for the representation of the resources and operations defined by the </w:t>
      </w:r>
      <w:r w:rsidRPr="000A0A5F">
        <w:rPr>
          <w:noProof/>
          <w:lang w:eastAsia="zh-CN"/>
        </w:rPr>
        <w:t>Chargeable</w:t>
      </w:r>
      <w:r w:rsidRPr="000A0A5F">
        <w:t xml:space="preserve"> API is provided in its complete form in Annex A.5.</w:t>
      </w:r>
    </w:p>
    <w:p w:rsidR="00CB0DD7" w:rsidRPr="000A0A5F" w:rsidRDefault="00CB0DD7">
      <w:pPr>
        <w:pStyle w:val="Heading3"/>
      </w:pPr>
      <w:bookmarkStart w:id="3099" w:name="_Toc11247403"/>
      <w:bookmarkStart w:id="3100" w:name="_Toc27044525"/>
      <w:bookmarkStart w:id="3101" w:name="_Toc36033567"/>
      <w:bookmarkStart w:id="3102" w:name="_Toc45131702"/>
      <w:bookmarkStart w:id="3103" w:name="_Toc49775987"/>
      <w:bookmarkStart w:id="3104" w:name="_Toc51746907"/>
      <w:bookmarkStart w:id="3105" w:name="_Toc66360458"/>
      <w:bookmarkStart w:id="3106" w:name="_Toc68104963"/>
      <w:bookmarkStart w:id="3107" w:name="_Toc74755593"/>
      <w:bookmarkStart w:id="3108" w:name="_Toc105674466"/>
      <w:bookmarkStart w:id="3109" w:name="_Toc130502510"/>
      <w:bookmarkStart w:id="3110" w:name="_Toc153625297"/>
      <w:r w:rsidRPr="000A0A5F">
        <w:t>5.5.2</w:t>
      </w:r>
      <w:r w:rsidRPr="000A0A5F">
        <w:tab/>
        <w:t>Data model</w:t>
      </w:r>
      <w:bookmarkEnd w:id="3099"/>
      <w:bookmarkEnd w:id="3100"/>
      <w:bookmarkEnd w:id="3101"/>
      <w:bookmarkEnd w:id="3102"/>
      <w:bookmarkEnd w:id="3103"/>
      <w:bookmarkEnd w:id="3104"/>
      <w:bookmarkEnd w:id="3105"/>
      <w:bookmarkEnd w:id="3106"/>
      <w:bookmarkEnd w:id="3107"/>
      <w:bookmarkEnd w:id="3108"/>
      <w:bookmarkEnd w:id="3109"/>
      <w:bookmarkEnd w:id="3110"/>
    </w:p>
    <w:p w:rsidR="00CB0DD7" w:rsidRPr="000A0A5F" w:rsidRDefault="00CB0DD7">
      <w:pPr>
        <w:pStyle w:val="Heading4"/>
      </w:pPr>
      <w:bookmarkStart w:id="3111" w:name="_Toc11247404"/>
      <w:bookmarkStart w:id="3112" w:name="_Toc27044526"/>
      <w:bookmarkStart w:id="3113" w:name="_Toc36033568"/>
      <w:bookmarkStart w:id="3114" w:name="_Toc45131703"/>
      <w:bookmarkStart w:id="3115" w:name="_Toc49775988"/>
      <w:bookmarkStart w:id="3116" w:name="_Toc51746908"/>
      <w:bookmarkStart w:id="3117" w:name="_Toc66360459"/>
      <w:bookmarkStart w:id="3118" w:name="_Toc68104964"/>
      <w:bookmarkStart w:id="3119" w:name="_Toc74755594"/>
      <w:bookmarkStart w:id="3120" w:name="_Toc105674467"/>
      <w:bookmarkStart w:id="3121" w:name="_Toc130502511"/>
      <w:bookmarkStart w:id="3122" w:name="_Toc153625298"/>
      <w:r w:rsidRPr="000A0A5F">
        <w:t>5.5.2.1</w:t>
      </w:r>
      <w:r w:rsidRPr="000A0A5F">
        <w:tab/>
        <w:t>Resource data types</w:t>
      </w:r>
      <w:bookmarkEnd w:id="3111"/>
      <w:bookmarkEnd w:id="3112"/>
      <w:bookmarkEnd w:id="3113"/>
      <w:bookmarkEnd w:id="3114"/>
      <w:bookmarkEnd w:id="3115"/>
      <w:bookmarkEnd w:id="3116"/>
      <w:bookmarkEnd w:id="3117"/>
      <w:bookmarkEnd w:id="3118"/>
      <w:bookmarkEnd w:id="3119"/>
      <w:bookmarkEnd w:id="3120"/>
      <w:bookmarkEnd w:id="3121"/>
      <w:bookmarkEnd w:id="3122"/>
    </w:p>
    <w:p w:rsidR="00CB0DD7" w:rsidRPr="000A0A5F" w:rsidRDefault="00CB0DD7">
      <w:pPr>
        <w:pStyle w:val="Heading5"/>
      </w:pPr>
      <w:bookmarkStart w:id="3123" w:name="_Toc11247405"/>
      <w:bookmarkStart w:id="3124" w:name="_Toc27044527"/>
      <w:bookmarkStart w:id="3125" w:name="_Toc36033569"/>
      <w:bookmarkStart w:id="3126" w:name="_Toc45131704"/>
      <w:bookmarkStart w:id="3127" w:name="_Toc49775989"/>
      <w:bookmarkStart w:id="3128" w:name="_Toc51746909"/>
      <w:bookmarkStart w:id="3129" w:name="_Toc66360460"/>
      <w:bookmarkStart w:id="3130" w:name="_Toc68104965"/>
      <w:bookmarkStart w:id="3131" w:name="_Toc74755595"/>
      <w:bookmarkStart w:id="3132" w:name="_Toc105674468"/>
      <w:bookmarkStart w:id="3133" w:name="_Toc130502512"/>
      <w:bookmarkStart w:id="3134" w:name="_Toc153625299"/>
      <w:r w:rsidRPr="000A0A5F">
        <w:t>5.5.2.1.1</w:t>
      </w:r>
      <w:r w:rsidRPr="000A0A5F">
        <w:tab/>
        <w:t>Introduction</w:t>
      </w:r>
      <w:bookmarkEnd w:id="3123"/>
      <w:bookmarkEnd w:id="3124"/>
      <w:bookmarkEnd w:id="3125"/>
      <w:bookmarkEnd w:id="3126"/>
      <w:bookmarkEnd w:id="3127"/>
      <w:bookmarkEnd w:id="3128"/>
      <w:bookmarkEnd w:id="3129"/>
      <w:bookmarkEnd w:id="3130"/>
      <w:bookmarkEnd w:id="3131"/>
      <w:bookmarkEnd w:id="3132"/>
      <w:bookmarkEnd w:id="3133"/>
      <w:bookmarkEnd w:id="3134"/>
    </w:p>
    <w:p w:rsidR="00CB0DD7" w:rsidRPr="000A0A5F" w:rsidRDefault="00CB0DD7">
      <w:r w:rsidRPr="000A0A5F">
        <w:t>This clause defines data structures to be used in resource representations.</w:t>
      </w:r>
    </w:p>
    <w:p w:rsidR="00CB0DD7" w:rsidRPr="000A0A5F" w:rsidRDefault="00CB0DD7">
      <w:r w:rsidRPr="000A0A5F">
        <w:t xml:space="preserve">Table 5.5.2.1.1-1 specifies data types re-used by the ChargeableParty API from other specifications, including a reference to their respective specifications and when needed, a short description of their use within the ChargeableParty API. </w:t>
      </w:r>
    </w:p>
    <w:p w:rsidR="00CB0DD7" w:rsidRPr="000A0A5F" w:rsidRDefault="00CB0DD7">
      <w:pPr>
        <w:pStyle w:val="TH"/>
      </w:pPr>
      <w:r w:rsidRPr="000A0A5F">
        <w:t>Table 5.5.2.1.1-1: ChargeableParty API re-used Data Types</w:t>
      </w:r>
    </w:p>
    <w:tbl>
      <w:tblPr>
        <w:tblW w:w="917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018"/>
        <w:gridCol w:w="2002"/>
        <w:gridCol w:w="5154"/>
      </w:tblGrid>
      <w:tr w:rsidR="00CB0DD7" w:rsidRPr="000A0A5F" w:rsidTr="00FF0AF8">
        <w:trPr>
          <w:jc w:val="center"/>
        </w:trPr>
        <w:tc>
          <w:tcPr>
            <w:tcW w:w="2018" w:type="dxa"/>
            <w:shd w:val="clear" w:color="auto" w:fill="C0C0C0"/>
            <w:hideMark/>
          </w:tcPr>
          <w:p w:rsidR="00CB0DD7" w:rsidRPr="000A0A5F" w:rsidRDefault="00CB0DD7">
            <w:pPr>
              <w:pStyle w:val="TAH"/>
            </w:pPr>
            <w:r w:rsidRPr="000A0A5F">
              <w:t>Data type</w:t>
            </w:r>
          </w:p>
        </w:tc>
        <w:tc>
          <w:tcPr>
            <w:tcW w:w="2002" w:type="dxa"/>
            <w:shd w:val="clear" w:color="auto" w:fill="C0C0C0"/>
          </w:tcPr>
          <w:p w:rsidR="00CB0DD7" w:rsidRPr="000A0A5F" w:rsidRDefault="00CB0DD7">
            <w:pPr>
              <w:pStyle w:val="TAH"/>
            </w:pPr>
            <w:r w:rsidRPr="000A0A5F">
              <w:t>Reference</w:t>
            </w:r>
          </w:p>
        </w:tc>
        <w:tc>
          <w:tcPr>
            <w:tcW w:w="5154" w:type="dxa"/>
            <w:shd w:val="clear" w:color="auto" w:fill="C0C0C0"/>
            <w:hideMark/>
          </w:tcPr>
          <w:p w:rsidR="00CB0DD7" w:rsidRPr="000A0A5F" w:rsidRDefault="00CB0DD7">
            <w:pPr>
              <w:pStyle w:val="TAH"/>
            </w:pPr>
            <w:r w:rsidRPr="000A0A5F">
              <w:t>Comments</w:t>
            </w:r>
          </w:p>
        </w:tc>
      </w:tr>
      <w:tr w:rsidR="00CB0DD7" w:rsidRPr="000A0A5F" w:rsidTr="00FF0AF8">
        <w:trPr>
          <w:jc w:val="center"/>
        </w:trPr>
        <w:tc>
          <w:tcPr>
            <w:tcW w:w="2018" w:type="dxa"/>
          </w:tcPr>
          <w:p w:rsidR="00CB0DD7" w:rsidRPr="000A0A5F" w:rsidRDefault="00CB0DD7">
            <w:pPr>
              <w:pStyle w:val="TAL"/>
            </w:pPr>
            <w:r w:rsidRPr="000A0A5F">
              <w:t>Dnn</w:t>
            </w:r>
          </w:p>
        </w:tc>
        <w:tc>
          <w:tcPr>
            <w:tcW w:w="2002" w:type="dxa"/>
          </w:tcPr>
          <w:p w:rsidR="00CB0DD7" w:rsidRPr="000A0A5F" w:rsidRDefault="00CB0DD7">
            <w:pPr>
              <w:pStyle w:val="TAL"/>
            </w:pPr>
            <w:r w:rsidRPr="000A0A5F">
              <w:t>3GPP TS 29.571 [45]</w:t>
            </w:r>
          </w:p>
        </w:tc>
        <w:tc>
          <w:tcPr>
            <w:tcW w:w="5154" w:type="dxa"/>
          </w:tcPr>
          <w:p w:rsidR="00CB0DD7" w:rsidRPr="000A0A5F" w:rsidRDefault="00CB0DD7">
            <w:pPr>
              <w:pStyle w:val="TAL"/>
              <w:rPr>
                <w:rFonts w:cs="Arial"/>
                <w:szCs w:val="18"/>
              </w:rPr>
            </w:pPr>
            <w:r w:rsidRPr="000A0A5F">
              <w:rPr>
                <w:rFonts w:cs="Arial"/>
                <w:szCs w:val="18"/>
              </w:rPr>
              <w:t>Identifies a DNN.</w:t>
            </w:r>
          </w:p>
        </w:tc>
      </w:tr>
      <w:tr w:rsidR="00CB0DD7" w:rsidRPr="000A0A5F" w:rsidTr="00FF0AF8">
        <w:trPr>
          <w:jc w:val="center"/>
        </w:trPr>
        <w:tc>
          <w:tcPr>
            <w:tcW w:w="2018" w:type="dxa"/>
          </w:tcPr>
          <w:p w:rsidR="00CB0DD7" w:rsidRPr="000A0A5F" w:rsidRDefault="00CB0DD7">
            <w:pPr>
              <w:pStyle w:val="TAL"/>
              <w:rPr>
                <w:noProof/>
                <w:lang w:eastAsia="zh-CN"/>
              </w:rPr>
            </w:pPr>
            <w:r w:rsidRPr="000A0A5F">
              <w:t>EthFlowDescription</w:t>
            </w:r>
          </w:p>
        </w:tc>
        <w:tc>
          <w:tcPr>
            <w:tcW w:w="2002" w:type="dxa"/>
          </w:tcPr>
          <w:p w:rsidR="00CB0DD7" w:rsidRPr="000A0A5F" w:rsidRDefault="00CB0DD7">
            <w:pPr>
              <w:pStyle w:val="TAL"/>
              <w:rPr>
                <w:noProof/>
              </w:rPr>
            </w:pPr>
            <w:r w:rsidRPr="000A0A5F">
              <w:t>3GPP TS 29.514 [52]</w:t>
            </w:r>
          </w:p>
        </w:tc>
        <w:tc>
          <w:tcPr>
            <w:tcW w:w="5154" w:type="dxa"/>
          </w:tcPr>
          <w:p w:rsidR="00CB0DD7" w:rsidRPr="000A0A5F" w:rsidRDefault="00CB0DD7">
            <w:pPr>
              <w:pStyle w:val="TAL"/>
              <w:rPr>
                <w:rFonts w:cs="Arial"/>
                <w:noProof/>
                <w:szCs w:val="18"/>
              </w:rPr>
            </w:pPr>
            <w:r w:rsidRPr="000A0A5F">
              <w:rPr>
                <w:rFonts w:cs="Arial"/>
                <w:szCs w:val="18"/>
              </w:rPr>
              <w:t>Defines a packet filter for an Ethernet flow.(NOTE)</w:t>
            </w:r>
          </w:p>
        </w:tc>
      </w:tr>
      <w:tr w:rsidR="00AD10F3" w:rsidRPr="000A0A5F" w:rsidTr="00FF0AF8">
        <w:trPr>
          <w:jc w:val="center"/>
        </w:trPr>
        <w:tc>
          <w:tcPr>
            <w:tcW w:w="2018" w:type="dxa"/>
          </w:tcPr>
          <w:p w:rsidR="00AD10F3" w:rsidRPr="000A0A5F" w:rsidRDefault="00AD10F3" w:rsidP="00AD10F3">
            <w:pPr>
              <w:pStyle w:val="TAL"/>
            </w:pPr>
            <w:r w:rsidRPr="000A0A5F">
              <w:t>IpAddr</w:t>
            </w:r>
          </w:p>
        </w:tc>
        <w:tc>
          <w:tcPr>
            <w:tcW w:w="2002" w:type="dxa"/>
          </w:tcPr>
          <w:p w:rsidR="00AD10F3" w:rsidRPr="000A0A5F" w:rsidRDefault="00AD10F3" w:rsidP="00AD10F3">
            <w:pPr>
              <w:pStyle w:val="TAL"/>
            </w:pPr>
            <w:r w:rsidRPr="000A0A5F">
              <w:t>3GPP TS 29.571 [45]</w:t>
            </w:r>
          </w:p>
        </w:tc>
        <w:tc>
          <w:tcPr>
            <w:tcW w:w="5154" w:type="dxa"/>
          </w:tcPr>
          <w:p w:rsidR="00AD10F3" w:rsidRPr="000A0A5F" w:rsidRDefault="00AD10F3" w:rsidP="00AD10F3">
            <w:pPr>
              <w:pStyle w:val="TAL"/>
              <w:rPr>
                <w:rFonts w:cs="Arial"/>
                <w:szCs w:val="18"/>
              </w:rPr>
            </w:pPr>
            <w:r w:rsidRPr="000A0A5F">
              <w:rPr>
                <w:rFonts w:cs="Arial"/>
                <w:szCs w:val="18"/>
              </w:rPr>
              <w:t>UE IP Address.</w:t>
            </w:r>
          </w:p>
        </w:tc>
      </w:tr>
      <w:tr w:rsidR="00CB0DD7" w:rsidRPr="000A0A5F" w:rsidTr="00FF0AF8">
        <w:trPr>
          <w:jc w:val="center"/>
        </w:trPr>
        <w:tc>
          <w:tcPr>
            <w:tcW w:w="2018" w:type="dxa"/>
          </w:tcPr>
          <w:p w:rsidR="00CB0DD7" w:rsidRPr="000A0A5F" w:rsidRDefault="00CB0DD7">
            <w:pPr>
              <w:pStyle w:val="TAL"/>
              <w:rPr>
                <w:noProof/>
                <w:lang w:eastAsia="zh-CN"/>
              </w:rPr>
            </w:pPr>
            <w:r w:rsidRPr="000A0A5F">
              <w:t>MacAddr48</w:t>
            </w:r>
          </w:p>
        </w:tc>
        <w:tc>
          <w:tcPr>
            <w:tcW w:w="2002" w:type="dxa"/>
          </w:tcPr>
          <w:p w:rsidR="00CB0DD7" w:rsidRPr="000A0A5F" w:rsidRDefault="00CB0DD7">
            <w:pPr>
              <w:pStyle w:val="TAL"/>
              <w:rPr>
                <w:noProof/>
              </w:rPr>
            </w:pPr>
            <w:r w:rsidRPr="000A0A5F">
              <w:t>3GPP TS 29.571 [45]</w:t>
            </w:r>
          </w:p>
        </w:tc>
        <w:tc>
          <w:tcPr>
            <w:tcW w:w="5154" w:type="dxa"/>
          </w:tcPr>
          <w:p w:rsidR="00CB0DD7" w:rsidRPr="000A0A5F" w:rsidRDefault="00CB0DD7">
            <w:pPr>
              <w:pStyle w:val="TAL"/>
              <w:rPr>
                <w:rFonts w:cs="Arial"/>
                <w:noProof/>
                <w:szCs w:val="18"/>
              </w:rPr>
            </w:pPr>
            <w:r w:rsidRPr="000A0A5F">
              <w:rPr>
                <w:rFonts w:cs="Arial"/>
                <w:szCs w:val="18"/>
              </w:rPr>
              <w:t>MAC Address.</w:t>
            </w:r>
          </w:p>
        </w:tc>
      </w:tr>
      <w:tr w:rsidR="00CB0DD7" w:rsidRPr="000A0A5F" w:rsidTr="00FF0AF8">
        <w:trPr>
          <w:jc w:val="center"/>
        </w:trPr>
        <w:tc>
          <w:tcPr>
            <w:tcW w:w="2018" w:type="dxa"/>
          </w:tcPr>
          <w:p w:rsidR="00CB0DD7" w:rsidRPr="000A0A5F" w:rsidRDefault="00CB0DD7">
            <w:pPr>
              <w:pStyle w:val="TAL"/>
            </w:pPr>
            <w:r w:rsidRPr="000A0A5F">
              <w:t>ServAuthInfo</w:t>
            </w:r>
          </w:p>
        </w:tc>
        <w:tc>
          <w:tcPr>
            <w:tcW w:w="2002" w:type="dxa"/>
          </w:tcPr>
          <w:p w:rsidR="00CB0DD7" w:rsidRPr="000A0A5F" w:rsidRDefault="00CB0DD7">
            <w:pPr>
              <w:pStyle w:val="TAL"/>
            </w:pPr>
            <w:r w:rsidRPr="000A0A5F">
              <w:t>3GPP TS 29.514 [52]</w:t>
            </w:r>
          </w:p>
        </w:tc>
        <w:tc>
          <w:tcPr>
            <w:tcW w:w="5154" w:type="dxa"/>
          </w:tcPr>
          <w:p w:rsidR="00CB0DD7" w:rsidRPr="000A0A5F" w:rsidRDefault="00CB0DD7">
            <w:pPr>
              <w:pStyle w:val="TAL"/>
              <w:rPr>
                <w:rFonts w:cs="Arial"/>
                <w:szCs w:val="18"/>
              </w:rPr>
            </w:pPr>
            <w:r w:rsidRPr="000A0A5F">
              <w:rPr>
                <w:rFonts w:cs="Arial" w:hint="eastAsia"/>
                <w:szCs w:val="18"/>
                <w:lang w:eastAsia="zh-CN"/>
              </w:rPr>
              <w:t>T</w:t>
            </w:r>
            <w:r w:rsidRPr="000A0A5F">
              <w:rPr>
                <w:rFonts w:cs="Arial"/>
                <w:szCs w:val="18"/>
                <w:lang w:eastAsia="zh-CN"/>
              </w:rPr>
              <w:t xml:space="preserve">he authorization result of </w:t>
            </w:r>
            <w:r w:rsidRPr="000A0A5F">
              <w:rPr>
                <w:rFonts w:cs="Arial"/>
                <w:szCs w:val="18"/>
              </w:rPr>
              <w:t>a request bound to a transfer policy.</w:t>
            </w:r>
          </w:p>
        </w:tc>
      </w:tr>
      <w:tr w:rsidR="00CB0DD7" w:rsidRPr="000A0A5F" w:rsidTr="00FF0AF8">
        <w:trPr>
          <w:jc w:val="center"/>
        </w:trPr>
        <w:tc>
          <w:tcPr>
            <w:tcW w:w="2018" w:type="dxa"/>
          </w:tcPr>
          <w:p w:rsidR="00CB0DD7" w:rsidRPr="000A0A5F" w:rsidRDefault="00CB0DD7">
            <w:pPr>
              <w:pStyle w:val="TAL"/>
            </w:pPr>
            <w:r w:rsidRPr="000A0A5F">
              <w:t>Snssai</w:t>
            </w:r>
          </w:p>
        </w:tc>
        <w:tc>
          <w:tcPr>
            <w:tcW w:w="2002" w:type="dxa"/>
          </w:tcPr>
          <w:p w:rsidR="00CB0DD7" w:rsidRPr="000A0A5F" w:rsidRDefault="00CB0DD7">
            <w:pPr>
              <w:pStyle w:val="TAL"/>
            </w:pPr>
            <w:r w:rsidRPr="000A0A5F">
              <w:rPr>
                <w:rFonts w:hint="eastAsia"/>
              </w:rPr>
              <w:t>3GPP TS 29.</w:t>
            </w:r>
            <w:r w:rsidRPr="000A0A5F">
              <w:t>571</w:t>
            </w:r>
            <w:r w:rsidRPr="000A0A5F">
              <w:rPr>
                <w:rFonts w:hint="eastAsia"/>
              </w:rPr>
              <w:t> [</w:t>
            </w:r>
            <w:r w:rsidRPr="000A0A5F">
              <w:t>45</w:t>
            </w:r>
            <w:r w:rsidRPr="000A0A5F">
              <w:rPr>
                <w:rFonts w:hint="eastAsia"/>
              </w:rPr>
              <w:t>]</w:t>
            </w:r>
          </w:p>
        </w:tc>
        <w:tc>
          <w:tcPr>
            <w:tcW w:w="5154" w:type="dxa"/>
          </w:tcPr>
          <w:p w:rsidR="00CB0DD7" w:rsidRPr="000A0A5F" w:rsidRDefault="00CB0DD7">
            <w:pPr>
              <w:pStyle w:val="TAL"/>
              <w:rPr>
                <w:rFonts w:cs="Arial" w:hint="eastAsia"/>
                <w:szCs w:val="18"/>
                <w:lang w:eastAsia="zh-CN"/>
              </w:rPr>
            </w:pPr>
            <w:r w:rsidRPr="000A0A5F">
              <w:rPr>
                <w:rFonts w:cs="Arial" w:hint="eastAsia"/>
                <w:szCs w:val="18"/>
                <w:lang w:eastAsia="zh-CN"/>
              </w:rPr>
              <w:t xml:space="preserve">Identifies the </w:t>
            </w:r>
            <w:r w:rsidRPr="000A0A5F">
              <w:rPr>
                <w:rFonts w:cs="Arial"/>
                <w:szCs w:val="18"/>
                <w:lang w:eastAsia="zh-CN"/>
              </w:rPr>
              <w:t>S-NSSAI.</w:t>
            </w:r>
          </w:p>
        </w:tc>
      </w:tr>
      <w:tr w:rsidR="00CB0DD7" w:rsidRPr="000A0A5F" w:rsidTr="00FF0AF8">
        <w:trPr>
          <w:jc w:val="center"/>
        </w:trPr>
        <w:tc>
          <w:tcPr>
            <w:tcW w:w="2018" w:type="dxa"/>
          </w:tcPr>
          <w:p w:rsidR="00CB0DD7" w:rsidRPr="000A0A5F" w:rsidRDefault="00CB0DD7">
            <w:pPr>
              <w:pStyle w:val="TAL"/>
            </w:pPr>
            <w:r w:rsidRPr="000A0A5F">
              <w:rPr>
                <w:noProof/>
                <w:lang w:eastAsia="zh-CN"/>
              </w:rPr>
              <w:t>SupportedFeatures</w:t>
            </w:r>
          </w:p>
        </w:tc>
        <w:tc>
          <w:tcPr>
            <w:tcW w:w="2002" w:type="dxa"/>
          </w:tcPr>
          <w:p w:rsidR="00CB0DD7" w:rsidRPr="000A0A5F" w:rsidRDefault="00CB0DD7">
            <w:pPr>
              <w:pStyle w:val="TAL"/>
              <w:rPr>
                <w:rFonts w:hint="eastAsia"/>
                <w:lang w:eastAsia="zh-CN"/>
              </w:rPr>
            </w:pPr>
            <w:r w:rsidRPr="000A0A5F">
              <w:rPr>
                <w:noProof/>
              </w:rPr>
              <w:t>3GPP TS 29.571 [45]</w:t>
            </w:r>
          </w:p>
        </w:tc>
        <w:tc>
          <w:tcPr>
            <w:tcW w:w="5154" w:type="dxa"/>
          </w:tcPr>
          <w:p w:rsidR="00CB0DD7" w:rsidRPr="000A0A5F" w:rsidRDefault="00CB0DD7">
            <w:pPr>
              <w:pStyle w:val="TAL"/>
              <w:rPr>
                <w:lang w:eastAsia="zh-CN"/>
              </w:rPr>
            </w:pPr>
            <w:r w:rsidRPr="000A0A5F">
              <w:rPr>
                <w:rFonts w:cs="Arial"/>
                <w:noProof/>
                <w:szCs w:val="18"/>
              </w:rPr>
              <w:t xml:space="preserve">Used to negotiate the applicability of the optional features defined in </w:t>
            </w:r>
            <w:r w:rsidRPr="000A0A5F">
              <w:rPr>
                <w:noProof/>
              </w:rPr>
              <w:t>table </w:t>
            </w:r>
            <w:r w:rsidRPr="000A0A5F">
              <w:t>5.5.4-1</w:t>
            </w:r>
            <w:r w:rsidRPr="000A0A5F">
              <w:rPr>
                <w:noProof/>
              </w:rPr>
              <w:t>.</w:t>
            </w:r>
          </w:p>
        </w:tc>
      </w:tr>
      <w:tr w:rsidR="00CB0DD7" w:rsidRPr="000A0A5F" w:rsidTr="00FF0AF8">
        <w:trPr>
          <w:jc w:val="center"/>
        </w:trPr>
        <w:tc>
          <w:tcPr>
            <w:tcW w:w="9174" w:type="dxa"/>
            <w:gridSpan w:val="3"/>
          </w:tcPr>
          <w:p w:rsidR="00CB0DD7" w:rsidRPr="000A0A5F" w:rsidRDefault="00CB0DD7">
            <w:pPr>
              <w:pStyle w:val="TAN"/>
              <w:rPr>
                <w:rFonts w:cs="Arial"/>
                <w:noProof/>
                <w:szCs w:val="18"/>
              </w:rPr>
            </w:pPr>
            <w:r w:rsidRPr="000A0A5F">
              <w:t>NOTE:</w:t>
            </w:r>
            <w:r w:rsidRPr="000A0A5F">
              <w:tab/>
            </w:r>
            <w:r w:rsidRPr="000A0A5F">
              <w:rPr>
                <w:lang w:eastAsia="zh-CN"/>
              </w:rPr>
              <w:t>In order to support a set of MAC addresses with a specific range in the traffic filter, feature MacAddressRange</w:t>
            </w:r>
            <w:r w:rsidRPr="000A0A5F">
              <w:t>_5G</w:t>
            </w:r>
            <w:r w:rsidRPr="000A0A5F">
              <w:rPr>
                <w:lang w:eastAsia="zh-CN"/>
              </w:rPr>
              <w:t xml:space="preserve"> as specified in clause 5.5.4 shall be supported.</w:t>
            </w:r>
          </w:p>
        </w:tc>
      </w:tr>
    </w:tbl>
    <w:p w:rsidR="00B803CC" w:rsidRPr="000A0A5F" w:rsidRDefault="00B803CC" w:rsidP="00B803CC"/>
    <w:p w:rsidR="00B803CC" w:rsidRPr="000A0A5F" w:rsidRDefault="00B803CC" w:rsidP="00B803CC">
      <w:r w:rsidRPr="000A0A5F">
        <w:t>Table 5.5.2.1.1-2 specifies the data types defined for the ChargeableParty API.</w:t>
      </w:r>
    </w:p>
    <w:p w:rsidR="00B803CC" w:rsidRPr="000A0A5F" w:rsidRDefault="00B803CC" w:rsidP="00B803CC">
      <w:pPr>
        <w:pStyle w:val="TH"/>
      </w:pPr>
      <w:r w:rsidRPr="000A0A5F">
        <w:t>Table 5.5.2.1.1-2: ChargeableParty API specific Data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888"/>
        <w:gridCol w:w="964"/>
        <w:gridCol w:w="4365"/>
        <w:gridCol w:w="1412"/>
      </w:tblGrid>
      <w:tr w:rsidR="00B803CC" w:rsidRPr="000A0A5F" w:rsidTr="00FF0AF8">
        <w:trPr>
          <w:jc w:val="center"/>
        </w:trPr>
        <w:tc>
          <w:tcPr>
            <w:tcW w:w="2888" w:type="dxa"/>
            <w:shd w:val="clear" w:color="auto" w:fill="C0C0C0"/>
            <w:vAlign w:val="center"/>
            <w:hideMark/>
          </w:tcPr>
          <w:p w:rsidR="00B803CC" w:rsidRPr="000A0A5F" w:rsidRDefault="00B803CC" w:rsidP="00B97EBD">
            <w:pPr>
              <w:pStyle w:val="TAH"/>
            </w:pPr>
            <w:r w:rsidRPr="000A0A5F">
              <w:t>Data type</w:t>
            </w:r>
          </w:p>
        </w:tc>
        <w:tc>
          <w:tcPr>
            <w:tcW w:w="964" w:type="dxa"/>
            <w:shd w:val="clear" w:color="auto" w:fill="C0C0C0"/>
            <w:vAlign w:val="center"/>
          </w:tcPr>
          <w:p w:rsidR="00B803CC" w:rsidRPr="000A0A5F" w:rsidRDefault="00B803CC" w:rsidP="00B97EBD">
            <w:pPr>
              <w:pStyle w:val="TAH"/>
            </w:pPr>
            <w:r w:rsidRPr="000A0A5F">
              <w:t>Clause defined</w:t>
            </w:r>
          </w:p>
        </w:tc>
        <w:tc>
          <w:tcPr>
            <w:tcW w:w="4365" w:type="dxa"/>
            <w:shd w:val="clear" w:color="auto" w:fill="C0C0C0"/>
            <w:vAlign w:val="center"/>
            <w:hideMark/>
          </w:tcPr>
          <w:p w:rsidR="00B803CC" w:rsidRPr="000A0A5F" w:rsidRDefault="00B803CC" w:rsidP="00B97EBD">
            <w:pPr>
              <w:pStyle w:val="TAH"/>
            </w:pPr>
            <w:r w:rsidRPr="000A0A5F">
              <w:t>Description</w:t>
            </w:r>
          </w:p>
        </w:tc>
        <w:tc>
          <w:tcPr>
            <w:tcW w:w="1412" w:type="dxa"/>
            <w:shd w:val="clear" w:color="auto" w:fill="C0C0C0"/>
            <w:vAlign w:val="center"/>
          </w:tcPr>
          <w:p w:rsidR="00B803CC" w:rsidRPr="000A0A5F" w:rsidRDefault="00B803CC" w:rsidP="00B97EBD">
            <w:pPr>
              <w:pStyle w:val="TAH"/>
            </w:pPr>
            <w:r w:rsidRPr="000A0A5F">
              <w:t>Applicability</w:t>
            </w:r>
          </w:p>
        </w:tc>
      </w:tr>
      <w:tr w:rsidR="00B803CC" w:rsidRPr="000A0A5F" w:rsidTr="00FF0AF8">
        <w:trPr>
          <w:jc w:val="center"/>
        </w:trPr>
        <w:tc>
          <w:tcPr>
            <w:tcW w:w="2888" w:type="dxa"/>
            <w:vAlign w:val="center"/>
          </w:tcPr>
          <w:p w:rsidR="00B803CC" w:rsidRPr="000A0A5F" w:rsidRDefault="00B803CC" w:rsidP="00B97EBD">
            <w:pPr>
              <w:pStyle w:val="TAL"/>
              <w:rPr>
                <w:lang w:eastAsia="ja-JP"/>
              </w:rPr>
            </w:pPr>
            <w:r w:rsidRPr="000A0A5F">
              <w:t>ChargeableParty</w:t>
            </w:r>
          </w:p>
        </w:tc>
        <w:tc>
          <w:tcPr>
            <w:tcW w:w="964" w:type="dxa"/>
            <w:vAlign w:val="center"/>
          </w:tcPr>
          <w:p w:rsidR="00B803CC" w:rsidRPr="000A0A5F" w:rsidRDefault="00B803CC" w:rsidP="00B97EBD">
            <w:pPr>
              <w:pStyle w:val="TAC"/>
              <w:rPr>
                <w:lang w:eastAsia="ja-JP"/>
              </w:rPr>
            </w:pPr>
            <w:r w:rsidRPr="000A0A5F">
              <w:rPr>
                <w:rFonts w:hint="eastAsia"/>
                <w:lang w:eastAsia="ja-JP"/>
              </w:rPr>
              <w:t>5</w:t>
            </w:r>
            <w:r w:rsidRPr="000A0A5F">
              <w:rPr>
                <w:lang w:eastAsia="ja-JP"/>
              </w:rPr>
              <w:t>.5.2.1.2</w:t>
            </w:r>
          </w:p>
        </w:tc>
        <w:tc>
          <w:tcPr>
            <w:tcW w:w="4365" w:type="dxa"/>
            <w:vAlign w:val="center"/>
          </w:tcPr>
          <w:p w:rsidR="00B803CC" w:rsidRPr="000A0A5F" w:rsidRDefault="00B803CC" w:rsidP="00B97EBD">
            <w:pPr>
              <w:pStyle w:val="TAL"/>
            </w:pPr>
            <w:r w:rsidRPr="000A0A5F">
              <w:t>Represents the configuration of a chargeable party</w:t>
            </w:r>
            <w:r w:rsidRPr="000A0A5F">
              <w:rPr>
                <w:lang w:val="en-US" w:eastAsia="zh-CN"/>
              </w:rPr>
              <w:t>.</w:t>
            </w:r>
          </w:p>
        </w:tc>
        <w:tc>
          <w:tcPr>
            <w:tcW w:w="1412" w:type="dxa"/>
            <w:vAlign w:val="center"/>
          </w:tcPr>
          <w:p w:rsidR="00B803CC" w:rsidRPr="000A0A5F" w:rsidRDefault="00B803CC" w:rsidP="00B97EBD">
            <w:pPr>
              <w:pStyle w:val="TAL"/>
              <w:rPr>
                <w:rFonts w:cs="Arial"/>
                <w:szCs w:val="18"/>
                <w:lang w:eastAsia="ja-JP"/>
              </w:rPr>
            </w:pPr>
          </w:p>
        </w:tc>
      </w:tr>
      <w:tr w:rsidR="00B803CC" w:rsidRPr="000A0A5F" w:rsidTr="00FF0AF8">
        <w:trPr>
          <w:jc w:val="center"/>
        </w:trPr>
        <w:tc>
          <w:tcPr>
            <w:tcW w:w="2888" w:type="dxa"/>
            <w:vAlign w:val="center"/>
          </w:tcPr>
          <w:p w:rsidR="00B803CC" w:rsidRPr="000A0A5F" w:rsidRDefault="00B803CC" w:rsidP="00B97EBD">
            <w:pPr>
              <w:pStyle w:val="TAL"/>
            </w:pPr>
            <w:r w:rsidRPr="000A0A5F">
              <w:t>ChargeableParty</w:t>
            </w:r>
            <w:r w:rsidRPr="000A0A5F">
              <w:rPr>
                <w:lang w:eastAsia="ja-JP"/>
              </w:rPr>
              <w:t>Patch</w:t>
            </w:r>
          </w:p>
        </w:tc>
        <w:tc>
          <w:tcPr>
            <w:tcW w:w="964" w:type="dxa"/>
            <w:vAlign w:val="center"/>
          </w:tcPr>
          <w:p w:rsidR="00B803CC" w:rsidRPr="000A0A5F" w:rsidRDefault="00B803CC" w:rsidP="00B97EBD">
            <w:pPr>
              <w:pStyle w:val="TAC"/>
            </w:pPr>
            <w:r w:rsidRPr="000A0A5F">
              <w:t>5.5.2.1.3</w:t>
            </w:r>
          </w:p>
        </w:tc>
        <w:tc>
          <w:tcPr>
            <w:tcW w:w="4365" w:type="dxa"/>
            <w:vAlign w:val="center"/>
          </w:tcPr>
          <w:p w:rsidR="00B803CC" w:rsidRPr="000A0A5F" w:rsidRDefault="00B803CC" w:rsidP="00B97EBD">
            <w:pPr>
              <w:pStyle w:val="TAL"/>
            </w:pPr>
            <w:r w:rsidRPr="000A0A5F">
              <w:t>Represents a modification request of a chargeable party resource</w:t>
            </w:r>
            <w:r w:rsidRPr="000A0A5F">
              <w:rPr>
                <w:lang w:val="en-US" w:eastAsia="zh-CN"/>
              </w:rPr>
              <w:t>.</w:t>
            </w:r>
          </w:p>
        </w:tc>
        <w:tc>
          <w:tcPr>
            <w:tcW w:w="1412" w:type="dxa"/>
            <w:vAlign w:val="center"/>
          </w:tcPr>
          <w:p w:rsidR="00B803CC" w:rsidRPr="000A0A5F" w:rsidRDefault="00B803CC" w:rsidP="00B97EBD">
            <w:pPr>
              <w:pStyle w:val="TAL"/>
              <w:rPr>
                <w:rFonts w:cs="Arial"/>
                <w:szCs w:val="18"/>
                <w:lang w:eastAsia="ja-JP"/>
              </w:rPr>
            </w:pPr>
          </w:p>
        </w:tc>
      </w:tr>
    </w:tbl>
    <w:p w:rsidR="00CB0DD7" w:rsidRPr="000A0A5F" w:rsidRDefault="00CB0DD7"/>
    <w:p w:rsidR="00CB0DD7" w:rsidRPr="000A0A5F" w:rsidRDefault="00CB0DD7">
      <w:pPr>
        <w:pStyle w:val="Heading5"/>
      </w:pPr>
      <w:bookmarkStart w:id="3135" w:name="_Toc11247406"/>
      <w:bookmarkStart w:id="3136" w:name="_Toc27044528"/>
      <w:bookmarkStart w:id="3137" w:name="_Toc36033570"/>
      <w:bookmarkStart w:id="3138" w:name="_Toc45131705"/>
      <w:bookmarkStart w:id="3139" w:name="_Toc49775990"/>
      <w:bookmarkStart w:id="3140" w:name="_Toc51746910"/>
      <w:bookmarkStart w:id="3141" w:name="_Toc66360461"/>
      <w:bookmarkStart w:id="3142" w:name="_Toc68104966"/>
      <w:bookmarkStart w:id="3143" w:name="_Toc74755596"/>
      <w:bookmarkStart w:id="3144" w:name="_Toc105674469"/>
      <w:bookmarkStart w:id="3145" w:name="_Toc130502513"/>
      <w:bookmarkStart w:id="3146" w:name="_Toc153625300"/>
      <w:r w:rsidRPr="000A0A5F">
        <w:t>5.5.2.1.2</w:t>
      </w:r>
      <w:r w:rsidRPr="000A0A5F">
        <w:tab/>
        <w:t>Type: ChargeableParty</w:t>
      </w:r>
      <w:bookmarkEnd w:id="3135"/>
      <w:bookmarkEnd w:id="3136"/>
      <w:bookmarkEnd w:id="3137"/>
      <w:bookmarkEnd w:id="3138"/>
      <w:bookmarkEnd w:id="3139"/>
      <w:bookmarkEnd w:id="3140"/>
      <w:bookmarkEnd w:id="3141"/>
      <w:bookmarkEnd w:id="3142"/>
      <w:bookmarkEnd w:id="3143"/>
      <w:bookmarkEnd w:id="3144"/>
      <w:bookmarkEnd w:id="3145"/>
      <w:bookmarkEnd w:id="3146"/>
    </w:p>
    <w:p w:rsidR="00CB0DD7" w:rsidRPr="000A0A5F" w:rsidRDefault="00CB0DD7">
      <w:r w:rsidRPr="000A0A5F">
        <w:t>This type represents the configuration of a chargeable party. The same structure is used in the configuration request and configuration response.</w:t>
      </w:r>
    </w:p>
    <w:p w:rsidR="00CB0DD7" w:rsidRPr="000A0A5F" w:rsidRDefault="00CB0DD7">
      <w:pPr>
        <w:pStyle w:val="TH"/>
      </w:pPr>
      <w:r w:rsidRPr="000A0A5F">
        <w:rPr>
          <w:noProof/>
        </w:rPr>
        <w:t>Table </w:t>
      </w:r>
      <w:r w:rsidRPr="000A0A5F">
        <w:t xml:space="preserve">5.5.2.1.2-1: </w:t>
      </w:r>
      <w:r w:rsidRPr="000A0A5F">
        <w:rPr>
          <w:noProof/>
        </w:rPr>
        <w:t xml:space="preserve">Definition of type </w:t>
      </w:r>
      <w:r w:rsidRPr="000A0A5F">
        <w:t>ChargeableParty</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948"/>
        <w:gridCol w:w="1861"/>
        <w:gridCol w:w="1134"/>
        <w:gridCol w:w="3402"/>
        <w:gridCol w:w="1257"/>
      </w:tblGrid>
      <w:tr w:rsidR="00CB0DD7" w:rsidRPr="000A0A5F" w:rsidTr="00FF0AF8">
        <w:trPr>
          <w:jc w:val="center"/>
        </w:trPr>
        <w:tc>
          <w:tcPr>
            <w:tcW w:w="1948" w:type="dxa"/>
            <w:shd w:val="clear" w:color="auto" w:fill="C0C0C0"/>
          </w:tcPr>
          <w:p w:rsidR="00CB0DD7" w:rsidRPr="000A0A5F" w:rsidRDefault="00CB0DD7">
            <w:pPr>
              <w:pStyle w:val="TAH"/>
              <w:rPr>
                <w:rFonts w:eastAsia="Times New Roman"/>
              </w:rPr>
            </w:pPr>
            <w:r w:rsidRPr="000A0A5F">
              <w:rPr>
                <w:rFonts w:eastAsia="Times New Roman"/>
              </w:rPr>
              <w:t>Attribute name</w:t>
            </w:r>
          </w:p>
        </w:tc>
        <w:tc>
          <w:tcPr>
            <w:tcW w:w="1861" w:type="dxa"/>
            <w:shd w:val="clear" w:color="auto" w:fill="C0C0C0"/>
          </w:tcPr>
          <w:p w:rsidR="00CB0DD7" w:rsidRPr="000A0A5F" w:rsidRDefault="00CB0DD7">
            <w:pPr>
              <w:pStyle w:val="TAH"/>
              <w:rPr>
                <w:rFonts w:eastAsia="Times New Roman"/>
              </w:rPr>
            </w:pPr>
            <w:r w:rsidRPr="000A0A5F">
              <w:rPr>
                <w:rFonts w:eastAsia="Times New Roman"/>
              </w:rPr>
              <w:t>Data type</w:t>
            </w:r>
          </w:p>
        </w:tc>
        <w:tc>
          <w:tcPr>
            <w:tcW w:w="1134" w:type="dxa"/>
            <w:shd w:val="clear" w:color="auto" w:fill="C0C0C0"/>
          </w:tcPr>
          <w:p w:rsidR="00CB0DD7" w:rsidRPr="000A0A5F" w:rsidRDefault="00CB0DD7">
            <w:pPr>
              <w:pStyle w:val="TAH"/>
              <w:jc w:val="left"/>
              <w:rPr>
                <w:rFonts w:eastAsia="Times New Roman"/>
              </w:rPr>
            </w:pPr>
            <w:r w:rsidRPr="000A0A5F">
              <w:rPr>
                <w:rFonts w:eastAsia="Times New Roman"/>
              </w:rPr>
              <w:t>Cardinality</w:t>
            </w:r>
          </w:p>
        </w:tc>
        <w:tc>
          <w:tcPr>
            <w:tcW w:w="3402"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Description</w:t>
            </w:r>
          </w:p>
        </w:tc>
        <w:tc>
          <w:tcPr>
            <w:tcW w:w="1257"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Applicability (NOTE 1)</w:t>
            </w:r>
          </w:p>
        </w:tc>
      </w:tr>
      <w:tr w:rsidR="00CB0DD7" w:rsidRPr="000A0A5F" w:rsidTr="00FF0AF8">
        <w:trPr>
          <w:jc w:val="center"/>
        </w:trPr>
        <w:tc>
          <w:tcPr>
            <w:tcW w:w="1948" w:type="dxa"/>
            <w:shd w:val="clear" w:color="auto" w:fill="auto"/>
          </w:tcPr>
          <w:p w:rsidR="00CB0DD7" w:rsidRPr="000A0A5F" w:rsidRDefault="00CB0DD7">
            <w:pPr>
              <w:pStyle w:val="TAL"/>
              <w:rPr>
                <w:rFonts w:eastAsia="Times New Roman"/>
              </w:rPr>
            </w:pPr>
            <w:r w:rsidRPr="000A0A5F">
              <w:rPr>
                <w:rFonts w:eastAsia="Times New Roman"/>
              </w:rPr>
              <w:t>self</w:t>
            </w:r>
          </w:p>
        </w:tc>
        <w:tc>
          <w:tcPr>
            <w:tcW w:w="1861" w:type="dxa"/>
            <w:shd w:val="clear" w:color="auto" w:fill="auto"/>
          </w:tcPr>
          <w:p w:rsidR="00CB0DD7" w:rsidRPr="000A0A5F" w:rsidRDefault="00CB0DD7">
            <w:pPr>
              <w:pStyle w:val="TAL"/>
              <w:rPr>
                <w:rFonts w:eastAsia="Times New Roman"/>
              </w:rPr>
            </w:pPr>
            <w:r w:rsidRPr="000A0A5F">
              <w:rPr>
                <w:rFonts w:eastAsia="Times New Roman"/>
              </w:rPr>
              <w:t>Link</w:t>
            </w:r>
          </w:p>
        </w:tc>
        <w:tc>
          <w:tcPr>
            <w:tcW w:w="1134" w:type="dxa"/>
            <w:shd w:val="clear" w:color="auto" w:fill="auto"/>
          </w:tcPr>
          <w:p w:rsidR="00CB0DD7" w:rsidRPr="000A0A5F" w:rsidRDefault="00CB0DD7">
            <w:pPr>
              <w:pStyle w:val="TAL"/>
              <w:rPr>
                <w:rFonts w:eastAsia="Times New Roman"/>
              </w:rPr>
            </w:pPr>
            <w:r w:rsidRPr="000A0A5F">
              <w:rPr>
                <w:rFonts w:eastAsia="Times New Roman"/>
              </w:rPr>
              <w:t>0..1</w:t>
            </w:r>
          </w:p>
        </w:tc>
        <w:tc>
          <w:tcPr>
            <w:tcW w:w="3402" w:type="dxa"/>
            <w:shd w:val="clear" w:color="auto" w:fill="auto"/>
          </w:tcPr>
          <w:p w:rsidR="00CB0DD7" w:rsidRPr="000A0A5F" w:rsidRDefault="00CB0DD7">
            <w:pPr>
              <w:pStyle w:val="TAL"/>
              <w:rPr>
                <w:rFonts w:eastAsia="Times New Roman" w:cs="Arial"/>
                <w:szCs w:val="18"/>
              </w:rPr>
            </w:pPr>
            <w:r w:rsidRPr="000A0A5F">
              <w:rPr>
                <w:rFonts w:eastAsia="Times New Roman" w:cs="Arial"/>
                <w:szCs w:val="18"/>
              </w:rPr>
              <w:t xml:space="preserve">Link to the resource </w:t>
            </w:r>
            <w:r w:rsidRPr="000A0A5F">
              <w:t>"Individual Chargeable Party Transaction"</w:t>
            </w:r>
            <w:r w:rsidRPr="000A0A5F">
              <w:rPr>
                <w:rFonts w:eastAsia="Times New Roman" w:cs="Arial"/>
                <w:szCs w:val="18"/>
              </w:rPr>
              <w:t>. This parameter shall be supplied by the SCEF in HTTP responses</w:t>
            </w:r>
            <w:r w:rsidRPr="000A0A5F">
              <w:t>.</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rPr>
                <w:rFonts w:eastAsia="Times New Roman"/>
              </w:rPr>
            </w:pPr>
            <w:r w:rsidRPr="000A0A5F">
              <w:rPr>
                <w:rFonts w:eastAsia="Times New Roman"/>
              </w:rPr>
              <w:t>dnn</w:t>
            </w:r>
          </w:p>
        </w:tc>
        <w:tc>
          <w:tcPr>
            <w:tcW w:w="1861" w:type="dxa"/>
            <w:shd w:val="clear" w:color="auto" w:fill="auto"/>
          </w:tcPr>
          <w:p w:rsidR="00CB0DD7" w:rsidRPr="000A0A5F" w:rsidRDefault="00CB0DD7">
            <w:pPr>
              <w:pStyle w:val="TAL"/>
              <w:rPr>
                <w:rFonts w:eastAsia="Times New Roman"/>
              </w:rPr>
            </w:pPr>
            <w:r w:rsidRPr="000A0A5F">
              <w:rPr>
                <w:rFonts w:eastAsia="Times New Roman"/>
              </w:rPr>
              <w:t>Dnn</w:t>
            </w:r>
          </w:p>
        </w:tc>
        <w:tc>
          <w:tcPr>
            <w:tcW w:w="1134" w:type="dxa"/>
            <w:shd w:val="clear" w:color="auto" w:fill="auto"/>
          </w:tcPr>
          <w:p w:rsidR="00CB0DD7" w:rsidRPr="000A0A5F" w:rsidRDefault="00CB0DD7">
            <w:pPr>
              <w:pStyle w:val="TAL"/>
              <w:rPr>
                <w:rFonts w:eastAsia="Times New Roman"/>
              </w:rPr>
            </w:pPr>
            <w:r w:rsidRPr="000A0A5F">
              <w:rPr>
                <w:rFonts w:eastAsia="Times New Roman"/>
              </w:rPr>
              <w:t>0..1</w:t>
            </w:r>
          </w:p>
        </w:tc>
        <w:tc>
          <w:tcPr>
            <w:tcW w:w="3402" w:type="dxa"/>
            <w:shd w:val="clear" w:color="auto" w:fill="auto"/>
          </w:tcPr>
          <w:p w:rsidR="00CB0DD7" w:rsidRPr="000A0A5F" w:rsidRDefault="00CB0DD7">
            <w:pPr>
              <w:pStyle w:val="TAL"/>
              <w:rPr>
                <w:rFonts w:eastAsia="Times New Roman" w:cs="Arial"/>
                <w:szCs w:val="18"/>
              </w:rPr>
            </w:pPr>
            <w:r w:rsidRPr="000A0A5F">
              <w:rPr>
                <w:rFonts w:eastAsia="Times New Roman" w:cs="Arial"/>
                <w:szCs w:val="18"/>
              </w:rPr>
              <w:t>Identifies a DNN, a full DNN with both the Network Identifier and Operator Identifier, or a DNN with the Network Identifier only.</w:t>
            </w:r>
            <w:r w:rsidRPr="000A0A5F">
              <w:rPr>
                <w:rFonts w:eastAsia="Times New Roman"/>
              </w:rPr>
              <w:t xml:space="preserve"> (NOTE 3)</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rPr>
                <w:rFonts w:eastAsia="Times New Roman"/>
              </w:rPr>
            </w:pPr>
            <w:r w:rsidRPr="000A0A5F">
              <w:rPr>
                <w:rFonts w:eastAsia="Times New Roman"/>
              </w:rPr>
              <w:t>snssai</w:t>
            </w:r>
          </w:p>
        </w:tc>
        <w:tc>
          <w:tcPr>
            <w:tcW w:w="1861" w:type="dxa"/>
            <w:shd w:val="clear" w:color="auto" w:fill="auto"/>
          </w:tcPr>
          <w:p w:rsidR="00CB0DD7" w:rsidRPr="000A0A5F" w:rsidRDefault="00CB0DD7">
            <w:pPr>
              <w:pStyle w:val="TAL"/>
              <w:rPr>
                <w:rFonts w:eastAsia="Times New Roman"/>
              </w:rPr>
            </w:pPr>
            <w:r w:rsidRPr="000A0A5F">
              <w:rPr>
                <w:rFonts w:eastAsia="Times New Roman"/>
              </w:rPr>
              <w:t>Snssai</w:t>
            </w:r>
          </w:p>
        </w:tc>
        <w:tc>
          <w:tcPr>
            <w:tcW w:w="1134" w:type="dxa"/>
            <w:shd w:val="clear" w:color="auto" w:fill="auto"/>
          </w:tcPr>
          <w:p w:rsidR="00CB0DD7" w:rsidRPr="000A0A5F" w:rsidRDefault="00CB0DD7">
            <w:pPr>
              <w:pStyle w:val="TAL"/>
              <w:rPr>
                <w:rFonts w:eastAsia="Times New Roman"/>
              </w:rPr>
            </w:pPr>
            <w:r w:rsidRPr="000A0A5F">
              <w:rPr>
                <w:rFonts w:eastAsia="Times New Roman"/>
              </w:rPr>
              <w:t>0..1</w:t>
            </w:r>
          </w:p>
        </w:tc>
        <w:tc>
          <w:tcPr>
            <w:tcW w:w="3402" w:type="dxa"/>
            <w:shd w:val="clear" w:color="auto" w:fill="auto"/>
          </w:tcPr>
          <w:p w:rsidR="00CB0DD7" w:rsidRPr="000A0A5F" w:rsidRDefault="00CB0DD7">
            <w:pPr>
              <w:pStyle w:val="TAL"/>
              <w:rPr>
                <w:rFonts w:eastAsia="Times New Roman" w:cs="Arial"/>
                <w:szCs w:val="18"/>
              </w:rPr>
            </w:pPr>
            <w:r w:rsidRPr="000A0A5F">
              <w:rPr>
                <w:rFonts w:eastAsia="Times New Roman" w:cs="Arial"/>
                <w:szCs w:val="18"/>
              </w:rPr>
              <w:t xml:space="preserve">Identifies an S-NSSAI. </w:t>
            </w:r>
            <w:r w:rsidRPr="000A0A5F">
              <w:rPr>
                <w:rFonts w:eastAsia="Times New Roman"/>
              </w:rPr>
              <w:t>(NOTE 3)</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rPr>
                <w:rFonts w:eastAsia="Times New Roman"/>
              </w:rPr>
            </w:pPr>
            <w:r w:rsidRPr="000A0A5F">
              <w:t>supportedFeatures</w:t>
            </w:r>
          </w:p>
        </w:tc>
        <w:tc>
          <w:tcPr>
            <w:tcW w:w="1861" w:type="dxa"/>
            <w:shd w:val="clear" w:color="auto" w:fill="auto"/>
          </w:tcPr>
          <w:p w:rsidR="00CB0DD7" w:rsidRPr="000A0A5F" w:rsidRDefault="00CB0DD7">
            <w:pPr>
              <w:pStyle w:val="TAL"/>
              <w:rPr>
                <w:rFonts w:eastAsia="Times New Roman"/>
              </w:rPr>
            </w:pPr>
            <w:r w:rsidRPr="000A0A5F">
              <w:t>SupportedFeatures</w:t>
            </w:r>
          </w:p>
        </w:tc>
        <w:tc>
          <w:tcPr>
            <w:tcW w:w="1134" w:type="dxa"/>
            <w:shd w:val="clear" w:color="auto" w:fill="auto"/>
          </w:tcPr>
          <w:p w:rsidR="00CB0DD7" w:rsidRPr="000A0A5F" w:rsidRDefault="00CB0DD7">
            <w:pPr>
              <w:pStyle w:val="TAL"/>
              <w:rPr>
                <w:rFonts w:eastAsia="Times New Roman"/>
              </w:rPr>
            </w:pPr>
            <w:r w:rsidRPr="000A0A5F">
              <w:t>0..1</w:t>
            </w:r>
          </w:p>
        </w:tc>
        <w:tc>
          <w:tcPr>
            <w:tcW w:w="3402" w:type="dxa"/>
            <w:shd w:val="clear" w:color="auto" w:fill="auto"/>
          </w:tcPr>
          <w:p w:rsidR="00CB0DD7" w:rsidRPr="000A0A5F" w:rsidRDefault="00CB0DD7">
            <w:pPr>
              <w:pStyle w:val="TAL"/>
            </w:pPr>
            <w:r w:rsidRPr="000A0A5F">
              <w:t>Used to negotiate the supported optional features of the API as described in clause 5.2.7.</w:t>
            </w:r>
          </w:p>
          <w:p w:rsidR="00CB0DD7" w:rsidRPr="000A0A5F" w:rsidRDefault="00CB0DD7">
            <w:pPr>
              <w:pStyle w:val="TAL"/>
              <w:rPr>
                <w:rFonts w:eastAsia="Times New Roman" w:cs="Arial"/>
                <w:szCs w:val="18"/>
              </w:rPr>
            </w:pPr>
            <w:r w:rsidRPr="000A0A5F">
              <w:t>This attribute shall be provided in the POST request and in the response of successful resource creation.</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rPr>
                <w:rFonts w:eastAsia="Times New Roman"/>
              </w:rPr>
            </w:pPr>
            <w:r w:rsidRPr="000A0A5F">
              <w:rPr>
                <w:rFonts w:hint="eastAsia"/>
                <w:lang w:eastAsia="zh-CN"/>
              </w:rPr>
              <w:t>notifica</w:t>
            </w:r>
            <w:r w:rsidRPr="000A0A5F">
              <w:rPr>
                <w:lang w:eastAsia="zh-CN"/>
              </w:rPr>
              <w:t>t</w:t>
            </w:r>
            <w:r w:rsidRPr="000A0A5F">
              <w:rPr>
                <w:rFonts w:hint="eastAsia"/>
                <w:lang w:eastAsia="zh-CN"/>
              </w:rPr>
              <w:t>ion</w:t>
            </w:r>
            <w:r w:rsidRPr="000A0A5F">
              <w:rPr>
                <w:lang w:eastAsia="zh-CN"/>
              </w:rPr>
              <w:t>Destination</w:t>
            </w:r>
          </w:p>
        </w:tc>
        <w:tc>
          <w:tcPr>
            <w:tcW w:w="1861" w:type="dxa"/>
            <w:shd w:val="clear" w:color="auto" w:fill="auto"/>
          </w:tcPr>
          <w:p w:rsidR="00CB0DD7" w:rsidRPr="000A0A5F" w:rsidRDefault="00CB0DD7">
            <w:pPr>
              <w:pStyle w:val="TAL"/>
              <w:rPr>
                <w:rFonts w:eastAsia="Times New Roman"/>
              </w:rPr>
            </w:pPr>
            <w:r w:rsidRPr="000A0A5F">
              <w:rPr>
                <w:rFonts w:hint="eastAsia"/>
                <w:lang w:eastAsia="zh-CN"/>
              </w:rPr>
              <w:t>Link</w:t>
            </w:r>
          </w:p>
        </w:tc>
        <w:tc>
          <w:tcPr>
            <w:tcW w:w="1134" w:type="dxa"/>
            <w:shd w:val="clear" w:color="auto" w:fill="auto"/>
          </w:tcPr>
          <w:p w:rsidR="00CB0DD7" w:rsidRPr="000A0A5F" w:rsidRDefault="00CB0DD7">
            <w:pPr>
              <w:pStyle w:val="TAL"/>
              <w:rPr>
                <w:rFonts w:eastAsia="Times New Roman"/>
              </w:rPr>
            </w:pPr>
            <w:r w:rsidRPr="000A0A5F">
              <w:rPr>
                <w:rFonts w:hint="eastAsia"/>
                <w:lang w:eastAsia="zh-CN"/>
              </w:rPr>
              <w:t>1</w:t>
            </w:r>
          </w:p>
        </w:tc>
        <w:tc>
          <w:tcPr>
            <w:tcW w:w="3402" w:type="dxa"/>
            <w:shd w:val="clear" w:color="auto" w:fill="auto"/>
          </w:tcPr>
          <w:p w:rsidR="00CB0DD7" w:rsidRPr="000A0A5F" w:rsidRDefault="00CB0DD7">
            <w:pPr>
              <w:pStyle w:val="TAL"/>
              <w:rPr>
                <w:rFonts w:eastAsia="Times New Roman" w:cs="Arial"/>
                <w:szCs w:val="18"/>
              </w:rPr>
            </w:pPr>
            <w:r w:rsidRPr="000A0A5F">
              <w:rPr>
                <w:rFonts w:cs="Arial" w:hint="eastAsia"/>
                <w:szCs w:val="18"/>
                <w:lang w:eastAsia="zh-CN"/>
              </w:rPr>
              <w:t>Contains the UR</w:t>
            </w:r>
            <w:r w:rsidRPr="000A0A5F">
              <w:rPr>
                <w:rFonts w:cs="Arial"/>
                <w:szCs w:val="18"/>
                <w:lang w:eastAsia="zh-CN"/>
              </w:rPr>
              <w:t>I</w:t>
            </w:r>
            <w:r w:rsidRPr="000A0A5F">
              <w:rPr>
                <w:rFonts w:cs="Arial" w:hint="eastAsia"/>
                <w:szCs w:val="18"/>
                <w:lang w:eastAsia="zh-CN"/>
              </w:rPr>
              <w:t xml:space="preserve"> to receive the notification </w:t>
            </w:r>
            <w:r w:rsidRPr="000A0A5F">
              <w:rPr>
                <w:rFonts w:cs="Arial"/>
                <w:szCs w:val="18"/>
                <w:lang w:eastAsia="zh-CN"/>
              </w:rPr>
              <w:t>of bearer level event(s) from the SCEF.</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rPr>
                <w:rFonts w:hint="eastAsia"/>
                <w:lang w:eastAsia="zh-CN"/>
              </w:rPr>
            </w:pPr>
            <w:r w:rsidRPr="000A0A5F">
              <w:t>requestTestNotification</w:t>
            </w:r>
          </w:p>
        </w:tc>
        <w:tc>
          <w:tcPr>
            <w:tcW w:w="1861" w:type="dxa"/>
            <w:shd w:val="clear" w:color="auto" w:fill="auto"/>
          </w:tcPr>
          <w:p w:rsidR="00CB0DD7" w:rsidRPr="000A0A5F" w:rsidRDefault="00CB0DD7">
            <w:pPr>
              <w:pStyle w:val="TAL"/>
              <w:rPr>
                <w:rFonts w:hint="eastAsia"/>
                <w:lang w:eastAsia="zh-CN"/>
              </w:rPr>
            </w:pPr>
            <w:r w:rsidRPr="000A0A5F">
              <w:t>boolean</w:t>
            </w:r>
          </w:p>
        </w:tc>
        <w:tc>
          <w:tcPr>
            <w:tcW w:w="1134" w:type="dxa"/>
            <w:shd w:val="clear" w:color="auto" w:fill="auto"/>
          </w:tcPr>
          <w:p w:rsidR="00CB0DD7" w:rsidRPr="000A0A5F" w:rsidRDefault="00CB0DD7">
            <w:pPr>
              <w:pStyle w:val="TAL"/>
              <w:rPr>
                <w:rFonts w:hint="eastAsia"/>
                <w:lang w:eastAsia="zh-CN"/>
              </w:rPr>
            </w:pPr>
            <w:r w:rsidRPr="000A0A5F">
              <w:t>0..1</w:t>
            </w:r>
          </w:p>
        </w:tc>
        <w:tc>
          <w:tcPr>
            <w:tcW w:w="3402" w:type="dxa"/>
            <w:shd w:val="clear" w:color="auto" w:fill="auto"/>
          </w:tcPr>
          <w:p w:rsidR="00CB0DD7" w:rsidRPr="000A0A5F" w:rsidRDefault="00CB0DD7">
            <w:pPr>
              <w:pageBreakBefo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hAnsi="Arial" w:hint="eastAsia"/>
                <w:sz w:val="18"/>
                <w:lang w:eastAsia="zh-CN"/>
              </w:rPr>
            </w:pPr>
            <w:r w:rsidRPr="000A0A5F">
              <w:rPr>
                <w:rFonts w:ascii="Arial" w:hAnsi="Arial"/>
                <w:sz w:val="18"/>
                <w:lang w:eastAsia="zh-CN"/>
              </w:rPr>
              <w:t>Set to true by the SCS/AS to request the SCEF to send a test notification as defined in clause</w:t>
            </w:r>
            <w:r w:rsidRPr="000A0A5F">
              <w:rPr>
                <w:rFonts w:ascii="Arial" w:hAnsi="Arial"/>
                <w:sz w:val="18"/>
                <w:lang w:val="en-US" w:eastAsia="zh-CN"/>
              </w:rPr>
              <w:t> </w:t>
            </w:r>
            <w:r w:rsidRPr="000A0A5F">
              <w:rPr>
                <w:rFonts w:ascii="Arial" w:hAnsi="Arial"/>
                <w:sz w:val="18"/>
                <w:lang w:eastAsia="zh-CN"/>
              </w:rPr>
              <w:t>5.2.5.3. Set to false or omitted otherwise.</w:t>
            </w:r>
          </w:p>
        </w:tc>
        <w:tc>
          <w:tcPr>
            <w:tcW w:w="1257" w:type="dxa"/>
          </w:tcPr>
          <w:p w:rsidR="00CB0DD7" w:rsidRPr="000A0A5F" w:rsidRDefault="00CB0DD7">
            <w:pPr>
              <w:pStyle w:val="TAL"/>
              <w:rPr>
                <w:rFonts w:eastAsia="Times New Roman" w:cs="Arial"/>
                <w:szCs w:val="18"/>
              </w:rPr>
            </w:pPr>
            <w:r w:rsidRPr="000A0A5F">
              <w:t>Notification_test_event</w:t>
            </w:r>
          </w:p>
        </w:tc>
      </w:tr>
      <w:tr w:rsidR="00CB0DD7" w:rsidRPr="000A0A5F" w:rsidTr="00FF0AF8">
        <w:trPr>
          <w:jc w:val="center"/>
        </w:trPr>
        <w:tc>
          <w:tcPr>
            <w:tcW w:w="1948" w:type="dxa"/>
            <w:shd w:val="clear" w:color="auto" w:fill="auto"/>
          </w:tcPr>
          <w:p w:rsidR="00CB0DD7" w:rsidRPr="000A0A5F" w:rsidRDefault="00CB0DD7">
            <w:pPr>
              <w:pStyle w:val="TAL"/>
              <w:rPr>
                <w:rFonts w:hint="eastAsia"/>
                <w:lang w:eastAsia="zh-CN"/>
              </w:rPr>
            </w:pPr>
            <w:r w:rsidRPr="000A0A5F">
              <w:rPr>
                <w:lang w:eastAsia="zh-CN"/>
              </w:rPr>
              <w:t>websockNotifConfig</w:t>
            </w:r>
          </w:p>
        </w:tc>
        <w:tc>
          <w:tcPr>
            <w:tcW w:w="1861" w:type="dxa"/>
            <w:shd w:val="clear" w:color="auto" w:fill="auto"/>
          </w:tcPr>
          <w:p w:rsidR="00CB0DD7" w:rsidRPr="000A0A5F" w:rsidRDefault="00CB0DD7">
            <w:pPr>
              <w:pStyle w:val="TAL"/>
              <w:rPr>
                <w:rFonts w:hint="eastAsia"/>
                <w:lang w:eastAsia="zh-CN"/>
              </w:rPr>
            </w:pPr>
            <w:r w:rsidRPr="000A0A5F">
              <w:rPr>
                <w:lang w:eastAsia="zh-CN"/>
              </w:rPr>
              <w:t>WebsockNotifConfig</w:t>
            </w:r>
          </w:p>
        </w:tc>
        <w:tc>
          <w:tcPr>
            <w:tcW w:w="1134" w:type="dxa"/>
            <w:shd w:val="clear" w:color="auto" w:fill="auto"/>
          </w:tcPr>
          <w:p w:rsidR="00CB0DD7" w:rsidRPr="000A0A5F" w:rsidRDefault="00CB0DD7">
            <w:pPr>
              <w:pStyle w:val="TAL"/>
              <w:rPr>
                <w:rFonts w:hint="eastAsia"/>
                <w:lang w:eastAsia="zh-CN"/>
              </w:rPr>
            </w:pPr>
            <w:r w:rsidRPr="000A0A5F">
              <w:rPr>
                <w:lang w:eastAsia="zh-CN"/>
              </w:rPr>
              <w:t>0..1</w:t>
            </w:r>
          </w:p>
        </w:tc>
        <w:tc>
          <w:tcPr>
            <w:tcW w:w="3402" w:type="dxa"/>
            <w:shd w:val="clear" w:color="auto" w:fill="auto"/>
          </w:tcPr>
          <w:p w:rsidR="00CB0DD7" w:rsidRPr="000A0A5F" w:rsidRDefault="00CB0DD7">
            <w:pPr>
              <w:pStyle w:val="TAL"/>
              <w:rPr>
                <w:rFonts w:cs="Arial" w:hint="eastAsia"/>
                <w:szCs w:val="18"/>
                <w:lang w:eastAsia="zh-CN"/>
              </w:rPr>
            </w:pPr>
            <w:r w:rsidRPr="000A0A5F">
              <w:rPr>
                <w:rFonts w:cs="Arial"/>
                <w:szCs w:val="18"/>
                <w:lang w:eastAsia="zh-CN"/>
              </w:rPr>
              <w:t>Configuration parameters to set up notification delivery over Websocket protocol as defined in clause</w:t>
            </w:r>
            <w:r w:rsidRPr="000A0A5F">
              <w:rPr>
                <w:rFonts w:cs="Arial"/>
                <w:szCs w:val="18"/>
                <w:lang w:val="en-US" w:eastAsia="zh-CN"/>
              </w:rPr>
              <w:t> </w:t>
            </w:r>
            <w:r w:rsidRPr="000A0A5F">
              <w:rPr>
                <w:rFonts w:cs="Arial"/>
                <w:szCs w:val="18"/>
                <w:lang w:eastAsia="zh-CN"/>
              </w:rPr>
              <w:t>5.2.5.4.</w:t>
            </w:r>
          </w:p>
        </w:tc>
        <w:tc>
          <w:tcPr>
            <w:tcW w:w="1257" w:type="dxa"/>
          </w:tcPr>
          <w:p w:rsidR="00CB0DD7" w:rsidRPr="000A0A5F" w:rsidRDefault="00CB0DD7">
            <w:pPr>
              <w:pStyle w:val="TAL"/>
              <w:rPr>
                <w:rFonts w:eastAsia="Times New Roman" w:cs="Arial"/>
                <w:szCs w:val="18"/>
              </w:rPr>
            </w:pPr>
            <w:r w:rsidRPr="000A0A5F">
              <w:rPr>
                <w:lang w:eastAsia="zh-CN"/>
              </w:rPr>
              <w:t>Notification_websocket</w:t>
            </w:r>
          </w:p>
        </w:tc>
      </w:tr>
      <w:tr w:rsidR="00CB0DD7" w:rsidRPr="000A0A5F" w:rsidTr="00FF0AF8">
        <w:trPr>
          <w:jc w:val="center"/>
        </w:trPr>
        <w:tc>
          <w:tcPr>
            <w:tcW w:w="1948" w:type="dxa"/>
            <w:shd w:val="clear" w:color="auto" w:fill="auto"/>
          </w:tcPr>
          <w:p w:rsidR="00CB0DD7" w:rsidRPr="000A0A5F" w:rsidRDefault="00CB0DD7">
            <w:pPr>
              <w:pStyle w:val="TAL"/>
              <w:rPr>
                <w:lang w:eastAsia="zh-CN"/>
              </w:rPr>
            </w:pPr>
            <w:r w:rsidRPr="000A0A5F">
              <w:t>exterAppId</w:t>
            </w:r>
          </w:p>
        </w:tc>
        <w:tc>
          <w:tcPr>
            <w:tcW w:w="1861" w:type="dxa"/>
            <w:shd w:val="clear" w:color="auto" w:fill="auto"/>
          </w:tcPr>
          <w:p w:rsidR="00CB0DD7" w:rsidRPr="000A0A5F" w:rsidRDefault="00CB0DD7">
            <w:pPr>
              <w:pStyle w:val="TAL"/>
              <w:rPr>
                <w:lang w:eastAsia="zh-CN"/>
              </w:rPr>
            </w:pPr>
            <w:r w:rsidRPr="000A0A5F">
              <w:t>string</w:t>
            </w:r>
          </w:p>
        </w:tc>
        <w:tc>
          <w:tcPr>
            <w:tcW w:w="1134" w:type="dxa"/>
            <w:shd w:val="clear" w:color="auto" w:fill="auto"/>
          </w:tcPr>
          <w:p w:rsidR="00CB0DD7" w:rsidRPr="000A0A5F" w:rsidRDefault="00CB0DD7">
            <w:pPr>
              <w:pStyle w:val="TAL"/>
              <w:rPr>
                <w:lang w:eastAsia="zh-CN"/>
              </w:rPr>
            </w:pPr>
            <w:r w:rsidRPr="000A0A5F">
              <w:t>0..1</w:t>
            </w:r>
          </w:p>
        </w:tc>
        <w:tc>
          <w:tcPr>
            <w:tcW w:w="3402" w:type="dxa"/>
            <w:shd w:val="clear" w:color="auto" w:fill="auto"/>
          </w:tcPr>
          <w:p w:rsidR="00CB0DD7" w:rsidRPr="000A0A5F" w:rsidRDefault="00CB0DD7">
            <w:pPr>
              <w:pStyle w:val="TAL"/>
              <w:rPr>
                <w:rFonts w:cs="Arial"/>
                <w:szCs w:val="18"/>
                <w:lang w:eastAsia="zh-CN"/>
              </w:rPr>
            </w:pPr>
            <w:r w:rsidRPr="000A0A5F">
              <w:t>Identifies the external Application Identifier.</w:t>
            </w:r>
            <w:r w:rsidRPr="000A0A5F">
              <w:rPr>
                <w:rFonts w:eastAsia="Times New Roman"/>
              </w:rPr>
              <w:t xml:space="preserve"> (NOTE 2)</w:t>
            </w:r>
          </w:p>
        </w:tc>
        <w:tc>
          <w:tcPr>
            <w:tcW w:w="1257" w:type="dxa"/>
          </w:tcPr>
          <w:p w:rsidR="00CB0DD7" w:rsidRPr="000A0A5F" w:rsidRDefault="00CB0DD7">
            <w:pPr>
              <w:pStyle w:val="TAL"/>
              <w:rPr>
                <w:lang w:eastAsia="zh-CN"/>
              </w:rPr>
            </w:pPr>
            <w:r w:rsidRPr="000A0A5F">
              <w:rPr>
                <w:lang w:eastAsia="zh-CN"/>
              </w:rPr>
              <w:t>AppId</w:t>
            </w:r>
          </w:p>
        </w:tc>
      </w:tr>
      <w:tr w:rsidR="00CB0DD7" w:rsidRPr="000A0A5F" w:rsidTr="00FF0AF8">
        <w:trPr>
          <w:jc w:val="center"/>
        </w:trPr>
        <w:tc>
          <w:tcPr>
            <w:tcW w:w="1948" w:type="dxa"/>
            <w:shd w:val="clear" w:color="auto" w:fill="auto"/>
          </w:tcPr>
          <w:p w:rsidR="00CB0DD7" w:rsidRPr="000A0A5F" w:rsidRDefault="00CB0DD7">
            <w:pPr>
              <w:pStyle w:val="TAL"/>
              <w:spacing w:afterLines="50" w:after="120"/>
              <w:rPr>
                <w:rFonts w:eastAsia="Times New Roman"/>
              </w:rPr>
            </w:pPr>
            <w:r w:rsidRPr="000A0A5F">
              <w:rPr>
                <w:rFonts w:eastAsia="Times New Roman"/>
              </w:rPr>
              <w:t>ipv4Addr</w:t>
            </w:r>
          </w:p>
        </w:tc>
        <w:tc>
          <w:tcPr>
            <w:tcW w:w="1861" w:type="dxa"/>
            <w:shd w:val="clear" w:color="auto" w:fill="auto"/>
          </w:tcPr>
          <w:p w:rsidR="00CB0DD7" w:rsidRPr="000A0A5F" w:rsidRDefault="00CB0DD7">
            <w:pPr>
              <w:pStyle w:val="TAL"/>
              <w:rPr>
                <w:rFonts w:eastAsia="Times New Roman"/>
              </w:rPr>
            </w:pPr>
            <w:r w:rsidRPr="000A0A5F">
              <w:rPr>
                <w:rFonts w:eastAsia="Times New Roman"/>
              </w:rPr>
              <w:t>Ipv4Addr</w:t>
            </w:r>
          </w:p>
        </w:tc>
        <w:tc>
          <w:tcPr>
            <w:tcW w:w="1134" w:type="dxa"/>
            <w:shd w:val="clear" w:color="auto" w:fill="auto"/>
          </w:tcPr>
          <w:p w:rsidR="00CB0DD7" w:rsidRPr="000A0A5F" w:rsidRDefault="00CB0DD7">
            <w:pPr>
              <w:pStyle w:val="TAL"/>
              <w:rPr>
                <w:rFonts w:eastAsia="Times New Roman"/>
              </w:rPr>
            </w:pPr>
            <w:r w:rsidRPr="000A0A5F">
              <w:rPr>
                <w:rFonts w:eastAsia="Times New Roman"/>
              </w:rPr>
              <w:t>0..1</w:t>
            </w:r>
          </w:p>
        </w:tc>
        <w:tc>
          <w:tcPr>
            <w:tcW w:w="3402" w:type="dxa"/>
            <w:shd w:val="clear" w:color="auto" w:fill="auto"/>
          </w:tcPr>
          <w:p w:rsidR="00CB0DD7" w:rsidRPr="000A0A5F" w:rsidRDefault="00CB0DD7">
            <w:pPr>
              <w:pStyle w:val="TAL"/>
              <w:spacing w:afterLines="50" w:after="120"/>
              <w:rPr>
                <w:rFonts w:eastAsia="Times New Roman" w:cs="Arial"/>
                <w:szCs w:val="18"/>
              </w:rPr>
            </w:pPr>
            <w:r w:rsidRPr="000A0A5F">
              <w:rPr>
                <w:rFonts w:eastAsia="Times New Roman" w:cs="Arial"/>
                <w:szCs w:val="18"/>
              </w:rPr>
              <w:t>Identifies the Ipv4 address.</w:t>
            </w:r>
          </w:p>
          <w:p w:rsidR="00CB0DD7" w:rsidRPr="000A0A5F" w:rsidRDefault="00CB0DD7">
            <w:pPr>
              <w:pStyle w:val="TAL"/>
              <w:rPr>
                <w:rFonts w:eastAsia="Times New Roman" w:cs="Arial"/>
                <w:szCs w:val="18"/>
              </w:rPr>
            </w:pPr>
            <w:r w:rsidRPr="000A0A5F">
              <w:rPr>
                <w:rFonts w:eastAsia="Times New Roman"/>
              </w:rPr>
              <w:t>(NOTE 2)</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spacing w:afterLines="50" w:after="120"/>
              <w:rPr>
                <w:rFonts w:eastAsia="Times New Roman"/>
              </w:rPr>
            </w:pPr>
            <w:r w:rsidRPr="000A0A5F">
              <w:t>ipDomain</w:t>
            </w:r>
          </w:p>
        </w:tc>
        <w:tc>
          <w:tcPr>
            <w:tcW w:w="1861" w:type="dxa"/>
            <w:shd w:val="clear" w:color="auto" w:fill="auto"/>
          </w:tcPr>
          <w:p w:rsidR="00CB0DD7" w:rsidRPr="000A0A5F" w:rsidRDefault="00CB0DD7">
            <w:pPr>
              <w:pStyle w:val="TAL"/>
              <w:rPr>
                <w:rFonts w:eastAsia="Times New Roman"/>
              </w:rPr>
            </w:pPr>
            <w:r w:rsidRPr="000A0A5F">
              <w:rPr>
                <w:color w:val="000000"/>
              </w:rPr>
              <w:t>s</w:t>
            </w:r>
            <w:r w:rsidRPr="000A0A5F">
              <w:rPr>
                <w:rFonts w:hint="eastAsia"/>
                <w:color w:val="000000"/>
              </w:rPr>
              <w:t>tring</w:t>
            </w:r>
          </w:p>
        </w:tc>
        <w:tc>
          <w:tcPr>
            <w:tcW w:w="1134" w:type="dxa"/>
            <w:shd w:val="clear" w:color="auto" w:fill="auto"/>
          </w:tcPr>
          <w:p w:rsidR="00CB0DD7" w:rsidRPr="000A0A5F" w:rsidRDefault="00CB0DD7">
            <w:pPr>
              <w:pStyle w:val="TAL"/>
              <w:rPr>
                <w:rFonts w:eastAsia="Times New Roman"/>
              </w:rPr>
            </w:pPr>
            <w:r w:rsidRPr="000A0A5F">
              <w:rPr>
                <w:rFonts w:eastAsia="Times New Roman"/>
              </w:rPr>
              <w:t>0..1</w:t>
            </w:r>
          </w:p>
        </w:tc>
        <w:tc>
          <w:tcPr>
            <w:tcW w:w="3402" w:type="dxa"/>
            <w:shd w:val="clear" w:color="auto" w:fill="auto"/>
          </w:tcPr>
          <w:p w:rsidR="00CB0DD7" w:rsidRPr="000A0A5F" w:rsidRDefault="00CB0DD7">
            <w:pPr>
              <w:pStyle w:val="TAL"/>
              <w:rPr>
                <w:noProof/>
              </w:rPr>
            </w:pPr>
            <w:r w:rsidRPr="000A0A5F">
              <w:rPr>
                <w:noProof/>
              </w:rPr>
              <w:t>The IPv4 address domain identifier.</w:t>
            </w:r>
          </w:p>
          <w:p w:rsidR="00CB0DD7" w:rsidRPr="000A0A5F" w:rsidRDefault="00CB0DD7">
            <w:pPr>
              <w:pStyle w:val="TAL"/>
              <w:spacing w:afterLines="50" w:after="120"/>
              <w:rPr>
                <w:rFonts w:eastAsia="Times New Roman" w:cs="Arial"/>
                <w:szCs w:val="18"/>
              </w:rPr>
            </w:pPr>
            <w:r w:rsidRPr="000A0A5F">
              <w:rPr>
                <w:noProof/>
              </w:rPr>
              <w:t xml:space="preserve">The attribute </w:t>
            </w:r>
            <w:r w:rsidRPr="000A0A5F">
              <w:t>may only be provided if the i</w:t>
            </w:r>
            <w:r w:rsidRPr="000A0A5F">
              <w:rPr>
                <w:rFonts w:hint="eastAsia"/>
                <w:lang w:eastAsia="zh-CN"/>
              </w:rPr>
              <w:t>p</w:t>
            </w:r>
            <w:r w:rsidRPr="000A0A5F">
              <w:rPr>
                <w:lang w:eastAsia="zh-CN"/>
              </w:rPr>
              <w:t>v4</w:t>
            </w:r>
            <w:r w:rsidRPr="000A0A5F">
              <w:rPr>
                <w:rFonts w:hint="eastAsia"/>
                <w:lang w:eastAsia="zh-CN"/>
              </w:rPr>
              <w:t>Add</w:t>
            </w:r>
            <w:r w:rsidRPr="000A0A5F">
              <w:rPr>
                <w:lang w:eastAsia="zh-CN"/>
              </w:rPr>
              <w:t>r</w:t>
            </w:r>
            <w:r w:rsidRPr="000A0A5F">
              <w:t xml:space="preserve"> attribute is present.</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spacing w:afterLines="50" w:after="120"/>
              <w:rPr>
                <w:rFonts w:eastAsia="Times New Roman"/>
              </w:rPr>
            </w:pPr>
            <w:r w:rsidRPr="000A0A5F">
              <w:rPr>
                <w:rFonts w:eastAsia="Times New Roman"/>
              </w:rPr>
              <w:t xml:space="preserve">ipv6Addr </w:t>
            </w:r>
          </w:p>
        </w:tc>
        <w:tc>
          <w:tcPr>
            <w:tcW w:w="1861" w:type="dxa"/>
            <w:shd w:val="clear" w:color="auto" w:fill="auto"/>
          </w:tcPr>
          <w:p w:rsidR="00CB0DD7" w:rsidRPr="000A0A5F" w:rsidRDefault="00CB0DD7">
            <w:pPr>
              <w:pStyle w:val="TAL"/>
              <w:rPr>
                <w:rFonts w:eastAsia="Times New Roman"/>
              </w:rPr>
            </w:pPr>
            <w:r w:rsidRPr="000A0A5F">
              <w:rPr>
                <w:rFonts w:eastAsia="Times New Roman"/>
              </w:rPr>
              <w:t>Ipv6Addr</w:t>
            </w:r>
          </w:p>
        </w:tc>
        <w:tc>
          <w:tcPr>
            <w:tcW w:w="1134" w:type="dxa"/>
            <w:shd w:val="clear" w:color="auto" w:fill="auto"/>
          </w:tcPr>
          <w:p w:rsidR="00CB0DD7" w:rsidRPr="000A0A5F" w:rsidRDefault="00CB0DD7">
            <w:pPr>
              <w:pStyle w:val="TAL"/>
              <w:rPr>
                <w:rFonts w:eastAsia="Times New Roman"/>
              </w:rPr>
            </w:pPr>
            <w:r w:rsidRPr="000A0A5F">
              <w:rPr>
                <w:rFonts w:eastAsia="Times New Roman"/>
              </w:rPr>
              <w:t>0..1</w:t>
            </w:r>
          </w:p>
        </w:tc>
        <w:tc>
          <w:tcPr>
            <w:tcW w:w="3402" w:type="dxa"/>
            <w:shd w:val="clear" w:color="auto" w:fill="auto"/>
          </w:tcPr>
          <w:p w:rsidR="00CB0DD7" w:rsidRPr="000A0A5F" w:rsidRDefault="00CB0DD7">
            <w:pPr>
              <w:pStyle w:val="TAL"/>
              <w:spacing w:afterLines="50" w:after="120"/>
              <w:rPr>
                <w:rFonts w:eastAsia="Times New Roman" w:cs="Arial"/>
                <w:szCs w:val="18"/>
              </w:rPr>
            </w:pPr>
            <w:r w:rsidRPr="000A0A5F">
              <w:rPr>
                <w:rFonts w:eastAsia="Times New Roman" w:cs="Arial"/>
                <w:szCs w:val="18"/>
              </w:rPr>
              <w:t>Identifies the Ipv6 address.</w:t>
            </w:r>
          </w:p>
          <w:p w:rsidR="00CB0DD7" w:rsidRPr="000A0A5F" w:rsidRDefault="00CB0DD7">
            <w:pPr>
              <w:pStyle w:val="TAL"/>
              <w:rPr>
                <w:rFonts w:eastAsia="Times New Roman" w:cs="Arial"/>
                <w:szCs w:val="18"/>
              </w:rPr>
            </w:pPr>
            <w:r w:rsidRPr="000A0A5F">
              <w:rPr>
                <w:rFonts w:eastAsia="Times New Roman"/>
              </w:rPr>
              <w:t>(NOTE 2)</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spacing w:afterLines="50" w:after="120"/>
              <w:rPr>
                <w:rFonts w:eastAsia="Times New Roman"/>
              </w:rPr>
            </w:pPr>
            <w:r w:rsidRPr="000A0A5F">
              <w:rPr>
                <w:rFonts w:hint="eastAsia"/>
                <w:lang w:eastAsia="zh-CN"/>
              </w:rPr>
              <w:t>macAddr</w:t>
            </w:r>
          </w:p>
        </w:tc>
        <w:tc>
          <w:tcPr>
            <w:tcW w:w="1861" w:type="dxa"/>
            <w:shd w:val="clear" w:color="auto" w:fill="auto"/>
          </w:tcPr>
          <w:p w:rsidR="00CB0DD7" w:rsidRPr="000A0A5F" w:rsidRDefault="00CB0DD7">
            <w:pPr>
              <w:pStyle w:val="TAL"/>
              <w:rPr>
                <w:rFonts w:eastAsia="Times New Roman"/>
              </w:rPr>
            </w:pPr>
            <w:r w:rsidRPr="000A0A5F">
              <w:rPr>
                <w:rFonts w:hint="eastAsia"/>
                <w:lang w:eastAsia="zh-CN"/>
              </w:rPr>
              <w:t>M</w:t>
            </w:r>
            <w:r w:rsidRPr="000A0A5F">
              <w:rPr>
                <w:lang w:eastAsia="zh-CN"/>
              </w:rPr>
              <w:t>acAddr48</w:t>
            </w:r>
          </w:p>
        </w:tc>
        <w:tc>
          <w:tcPr>
            <w:tcW w:w="1134" w:type="dxa"/>
            <w:shd w:val="clear" w:color="auto" w:fill="auto"/>
          </w:tcPr>
          <w:p w:rsidR="00CB0DD7" w:rsidRPr="000A0A5F" w:rsidRDefault="00CB0DD7">
            <w:pPr>
              <w:pStyle w:val="TAL"/>
              <w:rPr>
                <w:rFonts w:eastAsia="Times New Roman"/>
              </w:rPr>
            </w:pPr>
            <w:r w:rsidRPr="000A0A5F">
              <w:rPr>
                <w:rFonts w:eastAsia="Times New Roman"/>
              </w:rPr>
              <w:t>0..1</w:t>
            </w:r>
          </w:p>
        </w:tc>
        <w:tc>
          <w:tcPr>
            <w:tcW w:w="3402" w:type="dxa"/>
            <w:shd w:val="clear" w:color="auto" w:fill="auto"/>
          </w:tcPr>
          <w:p w:rsidR="00CB0DD7" w:rsidRPr="000A0A5F" w:rsidRDefault="00CB0DD7">
            <w:pPr>
              <w:pStyle w:val="TAL"/>
              <w:spacing w:afterLines="50" w:after="120"/>
              <w:rPr>
                <w:rFonts w:eastAsia="Times New Roman" w:cs="Arial"/>
                <w:szCs w:val="18"/>
              </w:rPr>
            </w:pPr>
            <w:r w:rsidRPr="000A0A5F">
              <w:rPr>
                <w:rFonts w:eastAsia="Times New Roman" w:cs="Arial"/>
                <w:szCs w:val="18"/>
              </w:rPr>
              <w:t>Identifies the MAC address.</w:t>
            </w:r>
          </w:p>
          <w:p w:rsidR="00CB0DD7" w:rsidRPr="000A0A5F" w:rsidRDefault="00CB0DD7">
            <w:pPr>
              <w:pStyle w:val="TAL"/>
              <w:spacing w:afterLines="50" w:after="120"/>
              <w:rPr>
                <w:rFonts w:eastAsia="Times New Roman" w:cs="Arial"/>
                <w:szCs w:val="18"/>
              </w:rPr>
            </w:pPr>
            <w:r w:rsidRPr="000A0A5F">
              <w:rPr>
                <w:rFonts w:eastAsia="Times New Roman"/>
              </w:rPr>
              <w:t>(NOTE 2)</w:t>
            </w:r>
          </w:p>
        </w:tc>
        <w:tc>
          <w:tcPr>
            <w:tcW w:w="1257" w:type="dxa"/>
          </w:tcPr>
          <w:p w:rsidR="00CB0DD7" w:rsidRPr="000A0A5F" w:rsidRDefault="00CB0DD7">
            <w:pPr>
              <w:pStyle w:val="TAL"/>
              <w:rPr>
                <w:rFonts w:eastAsia="Times New Roman" w:cs="Arial"/>
                <w:szCs w:val="18"/>
              </w:rPr>
            </w:pPr>
            <w:r w:rsidRPr="000A0A5F">
              <w:t>EthChgParty_5G</w:t>
            </w:r>
          </w:p>
        </w:tc>
      </w:tr>
      <w:tr w:rsidR="00CB0DD7" w:rsidRPr="000A0A5F" w:rsidTr="00FF0AF8">
        <w:trPr>
          <w:jc w:val="center"/>
        </w:trPr>
        <w:tc>
          <w:tcPr>
            <w:tcW w:w="1948" w:type="dxa"/>
            <w:shd w:val="clear" w:color="auto" w:fill="auto"/>
          </w:tcPr>
          <w:p w:rsidR="00CB0DD7" w:rsidRPr="000A0A5F" w:rsidRDefault="00CB0DD7">
            <w:pPr>
              <w:pStyle w:val="TAL"/>
              <w:rPr>
                <w:rFonts w:eastAsia="Times New Roman"/>
              </w:rPr>
            </w:pPr>
            <w:r w:rsidRPr="000A0A5F">
              <w:rPr>
                <w:rFonts w:eastAsia="Times New Roman"/>
              </w:rPr>
              <w:t>flowInfo</w:t>
            </w:r>
          </w:p>
        </w:tc>
        <w:tc>
          <w:tcPr>
            <w:tcW w:w="1861" w:type="dxa"/>
            <w:shd w:val="clear" w:color="auto" w:fill="auto"/>
          </w:tcPr>
          <w:p w:rsidR="00CB0DD7" w:rsidRPr="000A0A5F" w:rsidRDefault="00CB0DD7">
            <w:pPr>
              <w:pStyle w:val="TAL"/>
              <w:rPr>
                <w:rFonts w:eastAsia="Times New Roman"/>
              </w:rPr>
            </w:pPr>
            <w:r w:rsidRPr="000A0A5F">
              <w:rPr>
                <w:rFonts w:eastAsia="Times New Roman"/>
              </w:rPr>
              <w:t>array(FlowInfo)</w:t>
            </w:r>
          </w:p>
        </w:tc>
        <w:tc>
          <w:tcPr>
            <w:tcW w:w="1134" w:type="dxa"/>
            <w:shd w:val="clear" w:color="auto" w:fill="auto"/>
          </w:tcPr>
          <w:p w:rsidR="00CB0DD7" w:rsidRPr="000A0A5F" w:rsidRDefault="00CB0DD7">
            <w:pPr>
              <w:pStyle w:val="TAL"/>
              <w:rPr>
                <w:rFonts w:eastAsia="Times New Roman"/>
              </w:rPr>
            </w:pPr>
            <w:r w:rsidRPr="000A0A5F">
              <w:rPr>
                <w:rFonts w:eastAsia="Times New Roman"/>
              </w:rPr>
              <w:t>0..N</w:t>
            </w:r>
          </w:p>
        </w:tc>
        <w:tc>
          <w:tcPr>
            <w:tcW w:w="3402" w:type="dxa"/>
            <w:shd w:val="clear" w:color="auto" w:fill="auto"/>
          </w:tcPr>
          <w:p w:rsidR="00CB0DD7" w:rsidRPr="000A0A5F" w:rsidRDefault="00CB0DD7">
            <w:pPr>
              <w:pStyle w:val="TAL"/>
              <w:rPr>
                <w:rFonts w:eastAsia="Times New Roman" w:cs="Arial"/>
                <w:szCs w:val="18"/>
              </w:rPr>
            </w:pPr>
            <w:r w:rsidRPr="000A0A5F">
              <w:rPr>
                <w:rFonts w:eastAsia="Times New Roman" w:cs="Arial"/>
                <w:szCs w:val="18"/>
              </w:rPr>
              <w:t>Describes the IP flows.</w:t>
            </w:r>
          </w:p>
          <w:p w:rsidR="00CB0DD7" w:rsidRPr="000A0A5F" w:rsidRDefault="00CB0DD7">
            <w:pPr>
              <w:pStyle w:val="TAL"/>
              <w:rPr>
                <w:rFonts w:eastAsia="Times New Roman" w:cs="Arial"/>
                <w:szCs w:val="18"/>
              </w:rPr>
            </w:pPr>
            <w:r w:rsidRPr="000A0A5F">
              <w:rPr>
                <w:rFonts w:eastAsia="Times New Roman" w:cs="Arial"/>
                <w:szCs w:val="18"/>
              </w:rPr>
              <w:t>(NOTE 2)</w:t>
            </w:r>
            <w:r w:rsidR="00D617C4" w:rsidRPr="000A0A5F">
              <w:rPr>
                <w:rFonts w:cs="Arial"/>
                <w:szCs w:val="18"/>
              </w:rPr>
              <w:t xml:space="preserve"> (NOTE 4)</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rPr>
                <w:rFonts w:eastAsia="Times New Roman"/>
              </w:rPr>
            </w:pPr>
            <w:r w:rsidRPr="000A0A5F">
              <w:rPr>
                <w:lang w:eastAsia="zh-CN"/>
              </w:rPr>
              <w:t>ethFlowInfo</w:t>
            </w:r>
          </w:p>
        </w:tc>
        <w:tc>
          <w:tcPr>
            <w:tcW w:w="1861" w:type="dxa"/>
            <w:shd w:val="clear" w:color="auto" w:fill="auto"/>
          </w:tcPr>
          <w:p w:rsidR="00CB0DD7" w:rsidRPr="000A0A5F" w:rsidRDefault="00CB0DD7">
            <w:pPr>
              <w:pStyle w:val="TAL"/>
              <w:rPr>
                <w:rFonts w:eastAsia="Times New Roman"/>
              </w:rPr>
            </w:pPr>
            <w:r w:rsidRPr="000A0A5F">
              <w:t>array(EthFlowDescription)</w:t>
            </w:r>
          </w:p>
        </w:tc>
        <w:tc>
          <w:tcPr>
            <w:tcW w:w="1134" w:type="dxa"/>
            <w:shd w:val="clear" w:color="auto" w:fill="auto"/>
          </w:tcPr>
          <w:p w:rsidR="00CB0DD7" w:rsidRPr="000A0A5F" w:rsidRDefault="00CB0DD7">
            <w:pPr>
              <w:pStyle w:val="TAL"/>
              <w:rPr>
                <w:rFonts w:eastAsia="Times New Roman"/>
              </w:rPr>
            </w:pPr>
            <w:r w:rsidRPr="000A0A5F">
              <w:rPr>
                <w:rFonts w:eastAsia="Times New Roman"/>
              </w:rPr>
              <w:t>0..N</w:t>
            </w:r>
          </w:p>
        </w:tc>
        <w:tc>
          <w:tcPr>
            <w:tcW w:w="3402" w:type="dxa"/>
            <w:shd w:val="clear" w:color="auto" w:fill="auto"/>
          </w:tcPr>
          <w:p w:rsidR="00CB0DD7" w:rsidRPr="000A0A5F" w:rsidRDefault="00CB0DD7">
            <w:pPr>
              <w:pStyle w:val="TAL"/>
              <w:rPr>
                <w:rFonts w:cs="Arial"/>
                <w:szCs w:val="18"/>
                <w:lang w:eastAsia="zh-CN"/>
              </w:rPr>
            </w:pPr>
            <w:r w:rsidRPr="000A0A5F">
              <w:rPr>
                <w:rFonts w:cs="Arial" w:hint="eastAsia"/>
                <w:szCs w:val="18"/>
                <w:lang w:eastAsia="zh-CN"/>
              </w:rPr>
              <w:t xml:space="preserve">Identifies </w:t>
            </w:r>
            <w:r w:rsidRPr="000A0A5F">
              <w:rPr>
                <w:rFonts w:cs="Arial"/>
                <w:szCs w:val="18"/>
                <w:lang w:eastAsia="zh-CN"/>
              </w:rPr>
              <w:t xml:space="preserve">Ethernet </w:t>
            </w:r>
            <w:r w:rsidRPr="000A0A5F">
              <w:rPr>
                <w:rFonts w:cs="Arial" w:hint="eastAsia"/>
                <w:szCs w:val="18"/>
                <w:lang w:eastAsia="zh-CN"/>
              </w:rPr>
              <w:t>packet f</w:t>
            </w:r>
            <w:r w:rsidRPr="000A0A5F">
              <w:rPr>
                <w:rFonts w:cs="Arial"/>
                <w:szCs w:val="18"/>
                <w:lang w:eastAsia="zh-CN"/>
              </w:rPr>
              <w:t>lows</w:t>
            </w:r>
            <w:r w:rsidRPr="000A0A5F">
              <w:rPr>
                <w:rFonts w:cs="Arial" w:hint="eastAsia"/>
                <w:szCs w:val="18"/>
                <w:lang w:eastAsia="zh-CN"/>
              </w:rPr>
              <w:t>.</w:t>
            </w:r>
          </w:p>
          <w:p w:rsidR="00CB0DD7" w:rsidRPr="000A0A5F" w:rsidRDefault="00CB0DD7">
            <w:pPr>
              <w:pStyle w:val="TAL"/>
              <w:rPr>
                <w:rFonts w:eastAsia="Times New Roman" w:cs="Arial"/>
                <w:szCs w:val="18"/>
              </w:rPr>
            </w:pPr>
            <w:r w:rsidRPr="000A0A5F">
              <w:rPr>
                <w:rFonts w:cs="Arial"/>
                <w:szCs w:val="18"/>
              </w:rPr>
              <w:t>(NOTE 2)</w:t>
            </w:r>
          </w:p>
        </w:tc>
        <w:tc>
          <w:tcPr>
            <w:tcW w:w="1257" w:type="dxa"/>
          </w:tcPr>
          <w:p w:rsidR="00CB0DD7" w:rsidRPr="000A0A5F" w:rsidRDefault="00CB0DD7">
            <w:pPr>
              <w:pStyle w:val="TAL"/>
              <w:rPr>
                <w:rFonts w:eastAsia="Times New Roman" w:cs="Arial"/>
                <w:szCs w:val="18"/>
              </w:rPr>
            </w:pPr>
            <w:r w:rsidRPr="000A0A5F">
              <w:t>EthChgParty_5G</w:t>
            </w:r>
          </w:p>
        </w:tc>
      </w:tr>
      <w:tr w:rsidR="00CB0DD7" w:rsidRPr="000A0A5F" w:rsidTr="00FF0AF8">
        <w:trPr>
          <w:jc w:val="center"/>
        </w:trPr>
        <w:tc>
          <w:tcPr>
            <w:tcW w:w="1948" w:type="dxa"/>
            <w:shd w:val="clear" w:color="auto" w:fill="auto"/>
          </w:tcPr>
          <w:p w:rsidR="00CB0DD7" w:rsidRPr="000A0A5F" w:rsidRDefault="00CB0DD7">
            <w:pPr>
              <w:pStyle w:val="TAL"/>
              <w:rPr>
                <w:rFonts w:eastAsia="Times New Roman"/>
              </w:rPr>
            </w:pPr>
            <w:r w:rsidRPr="000A0A5F">
              <w:rPr>
                <w:rFonts w:eastAsia="Times New Roman"/>
              </w:rPr>
              <w:t>sponsorInformation</w:t>
            </w:r>
          </w:p>
        </w:tc>
        <w:tc>
          <w:tcPr>
            <w:tcW w:w="1861" w:type="dxa"/>
            <w:shd w:val="clear" w:color="auto" w:fill="auto"/>
          </w:tcPr>
          <w:p w:rsidR="00CB0DD7" w:rsidRPr="000A0A5F" w:rsidRDefault="00CB0DD7">
            <w:pPr>
              <w:pStyle w:val="TAL"/>
              <w:rPr>
                <w:rFonts w:eastAsia="Times New Roman"/>
              </w:rPr>
            </w:pPr>
            <w:r w:rsidRPr="000A0A5F">
              <w:rPr>
                <w:rFonts w:eastAsia="Times New Roman"/>
              </w:rPr>
              <w:t>SponsorInformation</w:t>
            </w:r>
          </w:p>
        </w:tc>
        <w:tc>
          <w:tcPr>
            <w:tcW w:w="1134" w:type="dxa"/>
            <w:shd w:val="clear" w:color="auto" w:fill="auto"/>
          </w:tcPr>
          <w:p w:rsidR="00CB0DD7" w:rsidRPr="000A0A5F" w:rsidRDefault="00CB0DD7">
            <w:pPr>
              <w:pStyle w:val="TAL"/>
              <w:rPr>
                <w:rFonts w:eastAsia="Times New Roman"/>
              </w:rPr>
            </w:pPr>
            <w:r w:rsidRPr="000A0A5F">
              <w:rPr>
                <w:rFonts w:eastAsia="Times New Roman"/>
              </w:rPr>
              <w:t>1</w:t>
            </w:r>
          </w:p>
        </w:tc>
        <w:tc>
          <w:tcPr>
            <w:tcW w:w="3402" w:type="dxa"/>
            <w:shd w:val="clear" w:color="auto" w:fill="auto"/>
          </w:tcPr>
          <w:p w:rsidR="00CB0DD7" w:rsidRPr="000A0A5F" w:rsidRDefault="00CB0DD7">
            <w:pPr>
              <w:pStyle w:val="TAL"/>
              <w:rPr>
                <w:rFonts w:eastAsia="Times New Roman" w:cs="Arial"/>
                <w:szCs w:val="18"/>
              </w:rPr>
            </w:pPr>
            <w:r w:rsidRPr="000A0A5F">
              <w:rPr>
                <w:rFonts w:eastAsia="Times New Roman" w:cs="Arial"/>
                <w:szCs w:val="18"/>
              </w:rPr>
              <w:t>Describes the sponsor information such as who is sponsoring the traffic.</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rPr>
                <w:rFonts w:eastAsia="Times New Roman"/>
              </w:rPr>
            </w:pPr>
            <w:r w:rsidRPr="000A0A5F">
              <w:rPr>
                <w:rFonts w:eastAsia="Times New Roman"/>
              </w:rPr>
              <w:t>sponsoringEnabled</w:t>
            </w:r>
          </w:p>
        </w:tc>
        <w:tc>
          <w:tcPr>
            <w:tcW w:w="1861" w:type="dxa"/>
            <w:shd w:val="clear" w:color="auto" w:fill="auto"/>
          </w:tcPr>
          <w:p w:rsidR="00CB0DD7" w:rsidRPr="000A0A5F" w:rsidRDefault="00CB0DD7">
            <w:pPr>
              <w:pStyle w:val="TAL"/>
              <w:rPr>
                <w:rFonts w:eastAsia="Times New Roman"/>
              </w:rPr>
            </w:pPr>
            <w:r w:rsidRPr="000A0A5F">
              <w:rPr>
                <w:rFonts w:eastAsia="Times New Roman"/>
              </w:rPr>
              <w:t>boolean</w:t>
            </w:r>
          </w:p>
        </w:tc>
        <w:tc>
          <w:tcPr>
            <w:tcW w:w="1134" w:type="dxa"/>
            <w:shd w:val="clear" w:color="auto" w:fill="auto"/>
          </w:tcPr>
          <w:p w:rsidR="00CB0DD7" w:rsidRPr="000A0A5F" w:rsidRDefault="00CB0DD7">
            <w:pPr>
              <w:pStyle w:val="TAL"/>
              <w:rPr>
                <w:rFonts w:eastAsia="Times New Roman"/>
              </w:rPr>
            </w:pPr>
            <w:r w:rsidRPr="000A0A5F">
              <w:rPr>
                <w:rFonts w:eastAsia="Times New Roman"/>
              </w:rPr>
              <w:t>1</w:t>
            </w:r>
          </w:p>
        </w:tc>
        <w:tc>
          <w:tcPr>
            <w:tcW w:w="3402" w:type="dxa"/>
            <w:shd w:val="clear" w:color="auto" w:fill="auto"/>
          </w:tcPr>
          <w:p w:rsidR="00A66584" w:rsidRPr="000A0A5F" w:rsidRDefault="00CB0DD7" w:rsidP="00A66584">
            <w:pPr>
              <w:pStyle w:val="TAL"/>
            </w:pPr>
            <w:r w:rsidRPr="000A0A5F">
              <w:rPr>
                <w:rFonts w:eastAsia="Times New Roman" w:cs="Arial"/>
                <w:szCs w:val="18"/>
              </w:rPr>
              <w:t xml:space="preserve">Indicates </w:t>
            </w:r>
            <w:r w:rsidR="00A66584" w:rsidRPr="000A0A5F">
              <w:rPr>
                <w:lang w:eastAsia="zh-CN"/>
              </w:rPr>
              <w:t xml:space="preserve">whether the </w:t>
            </w:r>
            <w:r w:rsidRPr="000A0A5F">
              <w:rPr>
                <w:rFonts w:eastAsia="Times New Roman" w:cs="Arial"/>
                <w:szCs w:val="18"/>
              </w:rPr>
              <w:t xml:space="preserve">sponsoring </w:t>
            </w:r>
            <w:r w:rsidR="00A66584" w:rsidRPr="000A0A5F">
              <w:t>data connectivity is enabled.</w:t>
            </w:r>
          </w:p>
          <w:p w:rsidR="00A66584" w:rsidRPr="000A0A5F" w:rsidRDefault="00A66584" w:rsidP="00A66584">
            <w:pPr>
              <w:pStyle w:val="TAL"/>
            </w:pPr>
          </w:p>
          <w:p w:rsidR="00A66584" w:rsidRPr="000A0A5F" w:rsidRDefault="00A66584" w:rsidP="00A66584">
            <w:pPr>
              <w:pStyle w:val="TAL"/>
            </w:pPr>
            <w:r w:rsidRPr="000A0A5F">
              <w:rPr>
                <w:lang w:eastAsia="zh-CN"/>
              </w:rPr>
              <w:t xml:space="preserve">- true: the </w:t>
            </w:r>
            <w:r w:rsidRPr="000A0A5F">
              <w:rPr>
                <w:rFonts w:eastAsia="Times New Roman"/>
              </w:rPr>
              <w:t xml:space="preserve">sponsoring </w:t>
            </w:r>
            <w:r w:rsidRPr="000A0A5F">
              <w:t>data connectivity is enabled;</w:t>
            </w:r>
          </w:p>
          <w:p w:rsidR="00CB0DD7" w:rsidRPr="000A0A5F" w:rsidRDefault="00A66584" w:rsidP="00A66584">
            <w:pPr>
              <w:pStyle w:val="TAL"/>
              <w:rPr>
                <w:rFonts w:eastAsia="Times New Roman" w:cs="Arial"/>
                <w:szCs w:val="18"/>
              </w:rPr>
            </w:pPr>
            <w:r w:rsidRPr="000A0A5F">
              <w:rPr>
                <w:lang w:eastAsia="zh-CN"/>
              </w:rPr>
              <w:t xml:space="preserve">- false: the </w:t>
            </w:r>
            <w:r w:rsidRPr="000A0A5F">
              <w:rPr>
                <w:rFonts w:eastAsia="Times New Roman"/>
              </w:rPr>
              <w:t xml:space="preserve">sponsoring </w:t>
            </w:r>
            <w:r w:rsidRPr="000A0A5F">
              <w:t>data connectivity is not enabled</w:t>
            </w:r>
            <w:r w:rsidRPr="000A0A5F">
              <w:rPr>
                <w:rFonts w:eastAsia="Times New Roman" w:cs="Arial"/>
                <w:szCs w:val="18"/>
              </w:rPr>
              <w:t>.</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rPr>
                <w:rFonts w:eastAsia="Times New Roman"/>
              </w:rPr>
            </w:pPr>
            <w:r w:rsidRPr="000A0A5F">
              <w:rPr>
                <w:rFonts w:eastAsia="Times New Roman"/>
              </w:rPr>
              <w:t>referenceId</w:t>
            </w:r>
          </w:p>
        </w:tc>
        <w:tc>
          <w:tcPr>
            <w:tcW w:w="1861" w:type="dxa"/>
            <w:shd w:val="clear" w:color="auto" w:fill="auto"/>
          </w:tcPr>
          <w:p w:rsidR="00CB0DD7" w:rsidRPr="000A0A5F" w:rsidRDefault="00CB0DD7">
            <w:pPr>
              <w:pStyle w:val="TAL"/>
              <w:rPr>
                <w:rFonts w:eastAsia="Times New Roman"/>
              </w:rPr>
            </w:pPr>
            <w:r w:rsidRPr="000A0A5F">
              <w:rPr>
                <w:rFonts w:eastAsia="Times New Roman"/>
              </w:rPr>
              <w:t>BdtReferenceId</w:t>
            </w:r>
          </w:p>
        </w:tc>
        <w:tc>
          <w:tcPr>
            <w:tcW w:w="1134" w:type="dxa"/>
            <w:shd w:val="clear" w:color="auto" w:fill="auto"/>
          </w:tcPr>
          <w:p w:rsidR="00CB0DD7" w:rsidRPr="000A0A5F" w:rsidRDefault="00CB0DD7">
            <w:pPr>
              <w:pStyle w:val="TAL"/>
              <w:rPr>
                <w:rFonts w:eastAsia="Times New Roman"/>
              </w:rPr>
            </w:pPr>
            <w:r w:rsidRPr="000A0A5F">
              <w:rPr>
                <w:rFonts w:eastAsia="Times New Roman"/>
              </w:rPr>
              <w:t>0..1</w:t>
            </w:r>
          </w:p>
        </w:tc>
        <w:tc>
          <w:tcPr>
            <w:tcW w:w="3402" w:type="dxa"/>
            <w:shd w:val="clear" w:color="auto" w:fill="auto"/>
          </w:tcPr>
          <w:p w:rsidR="00CB0DD7" w:rsidRPr="000A0A5F" w:rsidRDefault="00CB0DD7">
            <w:pPr>
              <w:pStyle w:val="TAL"/>
              <w:rPr>
                <w:rFonts w:eastAsia="Times New Roman" w:cs="Arial"/>
                <w:szCs w:val="18"/>
              </w:rPr>
            </w:pPr>
            <w:r w:rsidRPr="000A0A5F">
              <w:rPr>
                <w:rFonts w:eastAsia="Times New Roman" w:cs="Arial"/>
                <w:szCs w:val="18"/>
              </w:rPr>
              <w:t>The reference ID for a previously selected policy of background data transfer.</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rPr>
                <w:rFonts w:eastAsia="Times New Roman"/>
              </w:rPr>
            </w:pPr>
            <w:r w:rsidRPr="000A0A5F">
              <w:t>servAuthInfo</w:t>
            </w:r>
          </w:p>
        </w:tc>
        <w:tc>
          <w:tcPr>
            <w:tcW w:w="1861" w:type="dxa"/>
            <w:shd w:val="clear" w:color="auto" w:fill="auto"/>
          </w:tcPr>
          <w:p w:rsidR="00CB0DD7" w:rsidRPr="000A0A5F" w:rsidRDefault="00CB0DD7">
            <w:pPr>
              <w:pStyle w:val="TAL"/>
              <w:rPr>
                <w:rFonts w:eastAsia="Times New Roman"/>
              </w:rPr>
            </w:pPr>
            <w:r w:rsidRPr="000A0A5F">
              <w:t>ServAuthInfo</w:t>
            </w:r>
          </w:p>
        </w:tc>
        <w:tc>
          <w:tcPr>
            <w:tcW w:w="1134" w:type="dxa"/>
            <w:shd w:val="clear" w:color="auto" w:fill="auto"/>
          </w:tcPr>
          <w:p w:rsidR="00CB0DD7" w:rsidRPr="000A0A5F" w:rsidRDefault="00CB0DD7">
            <w:pPr>
              <w:pStyle w:val="TAL"/>
              <w:rPr>
                <w:rFonts w:eastAsia="Times New Roman"/>
              </w:rPr>
            </w:pPr>
            <w:r w:rsidRPr="000A0A5F">
              <w:rPr>
                <w:rFonts w:hint="eastAsia"/>
                <w:lang w:eastAsia="zh-CN"/>
              </w:rPr>
              <w:t>0</w:t>
            </w:r>
            <w:r w:rsidRPr="000A0A5F">
              <w:rPr>
                <w:lang w:eastAsia="zh-CN"/>
              </w:rPr>
              <w:t>..1</w:t>
            </w:r>
          </w:p>
        </w:tc>
        <w:tc>
          <w:tcPr>
            <w:tcW w:w="3402" w:type="dxa"/>
            <w:shd w:val="clear" w:color="auto" w:fill="auto"/>
          </w:tcPr>
          <w:p w:rsidR="00CB0DD7" w:rsidRPr="000A0A5F" w:rsidRDefault="00CB0DD7">
            <w:pPr>
              <w:pStyle w:val="TAL"/>
              <w:rPr>
                <w:rFonts w:cs="Arial"/>
                <w:szCs w:val="18"/>
              </w:rPr>
            </w:pPr>
            <w:r w:rsidRPr="000A0A5F">
              <w:rPr>
                <w:rFonts w:cs="Arial"/>
                <w:szCs w:val="18"/>
              </w:rPr>
              <w:t xml:space="preserve">Indicates the authorization result for the request bound to the transfer policy indicated by the </w:t>
            </w:r>
            <w:r w:rsidRPr="000A0A5F">
              <w:t>"</w:t>
            </w:r>
            <w:r w:rsidRPr="000A0A5F">
              <w:rPr>
                <w:rFonts w:eastAsia="Times New Roman"/>
              </w:rPr>
              <w:t>referenceId</w:t>
            </w:r>
            <w:r w:rsidRPr="000A0A5F">
              <w:t>"</w:t>
            </w:r>
            <w:r w:rsidRPr="000A0A5F">
              <w:rPr>
                <w:rFonts w:eastAsia="Times New Roman"/>
              </w:rPr>
              <w:t xml:space="preserve"> attribute</w:t>
            </w:r>
            <w:r w:rsidRPr="000A0A5F">
              <w:rPr>
                <w:rFonts w:cs="Arial"/>
                <w:szCs w:val="18"/>
              </w:rPr>
              <w:t>.</w:t>
            </w:r>
          </w:p>
          <w:p w:rsidR="00CB0DD7" w:rsidRPr="000A0A5F" w:rsidRDefault="00CB0DD7">
            <w:pPr>
              <w:pStyle w:val="TAL"/>
              <w:rPr>
                <w:rFonts w:eastAsia="Times New Roman" w:cs="Arial"/>
                <w:szCs w:val="18"/>
              </w:rPr>
            </w:pPr>
            <w:r w:rsidRPr="000A0A5F">
              <w:t>Supplied by the SCEF</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rPr>
                <w:rFonts w:eastAsia="Times New Roman"/>
              </w:rPr>
            </w:pPr>
            <w:r w:rsidRPr="000A0A5F">
              <w:rPr>
                <w:rFonts w:eastAsia="Times New Roman"/>
              </w:rPr>
              <w:t>usageThreshold</w:t>
            </w:r>
          </w:p>
        </w:tc>
        <w:tc>
          <w:tcPr>
            <w:tcW w:w="1861" w:type="dxa"/>
            <w:shd w:val="clear" w:color="auto" w:fill="auto"/>
          </w:tcPr>
          <w:p w:rsidR="00CB0DD7" w:rsidRPr="000A0A5F" w:rsidRDefault="00CB0DD7">
            <w:pPr>
              <w:pStyle w:val="TAL"/>
              <w:rPr>
                <w:rFonts w:eastAsia="Times New Roman"/>
              </w:rPr>
            </w:pPr>
            <w:r w:rsidRPr="000A0A5F">
              <w:rPr>
                <w:rFonts w:eastAsia="Times New Roman"/>
              </w:rPr>
              <w:t>UsageThreshold</w:t>
            </w:r>
          </w:p>
        </w:tc>
        <w:tc>
          <w:tcPr>
            <w:tcW w:w="1134" w:type="dxa"/>
            <w:shd w:val="clear" w:color="auto" w:fill="auto"/>
          </w:tcPr>
          <w:p w:rsidR="00CB0DD7" w:rsidRPr="000A0A5F" w:rsidRDefault="00CB0DD7">
            <w:pPr>
              <w:pStyle w:val="TAL"/>
              <w:rPr>
                <w:rFonts w:eastAsia="Times New Roman"/>
              </w:rPr>
            </w:pPr>
            <w:r w:rsidRPr="000A0A5F">
              <w:rPr>
                <w:rFonts w:eastAsia="Times New Roman"/>
              </w:rPr>
              <w:t>0..1</w:t>
            </w:r>
          </w:p>
        </w:tc>
        <w:tc>
          <w:tcPr>
            <w:tcW w:w="3402" w:type="dxa"/>
            <w:shd w:val="clear" w:color="auto" w:fill="auto"/>
          </w:tcPr>
          <w:p w:rsidR="00CB0DD7" w:rsidRPr="000A0A5F" w:rsidRDefault="00CB0DD7">
            <w:pPr>
              <w:pStyle w:val="TAL"/>
              <w:rPr>
                <w:rFonts w:eastAsia="Times New Roman" w:cs="Arial"/>
                <w:szCs w:val="18"/>
              </w:rPr>
            </w:pPr>
            <w:r w:rsidRPr="000A0A5F">
              <w:rPr>
                <w:rFonts w:eastAsia="Times New Roman" w:cs="Arial"/>
                <w:szCs w:val="18"/>
              </w:rPr>
              <w:t>Time period and/or traffic volume.</w:t>
            </w:r>
          </w:p>
        </w:tc>
        <w:tc>
          <w:tcPr>
            <w:tcW w:w="1257" w:type="dxa"/>
          </w:tcPr>
          <w:p w:rsidR="00CB0DD7" w:rsidRPr="000A0A5F" w:rsidRDefault="00CB0DD7">
            <w:pPr>
              <w:pStyle w:val="TAL"/>
              <w:rPr>
                <w:rFonts w:eastAsia="Times New Roman" w:cs="Arial"/>
                <w:szCs w:val="18"/>
              </w:rPr>
            </w:pPr>
          </w:p>
        </w:tc>
      </w:tr>
      <w:tr w:rsidR="0022396D" w:rsidRPr="000A0A5F" w:rsidTr="00FF0AF8">
        <w:trPr>
          <w:jc w:val="center"/>
        </w:trPr>
        <w:tc>
          <w:tcPr>
            <w:tcW w:w="1948" w:type="dxa"/>
            <w:shd w:val="clear" w:color="auto" w:fill="auto"/>
          </w:tcPr>
          <w:p w:rsidR="0022396D" w:rsidRPr="000A0A5F" w:rsidRDefault="0022396D" w:rsidP="0022396D">
            <w:pPr>
              <w:pStyle w:val="TAL"/>
              <w:rPr>
                <w:rFonts w:eastAsia="Times New Roman"/>
              </w:rPr>
            </w:pPr>
            <w:r w:rsidRPr="000A0A5F">
              <w:rPr>
                <w:rFonts w:eastAsia="Times New Roman"/>
              </w:rPr>
              <w:t>events</w:t>
            </w:r>
          </w:p>
        </w:tc>
        <w:tc>
          <w:tcPr>
            <w:tcW w:w="1861" w:type="dxa"/>
            <w:shd w:val="clear" w:color="auto" w:fill="auto"/>
          </w:tcPr>
          <w:p w:rsidR="0022396D" w:rsidRPr="000A0A5F" w:rsidRDefault="0022396D" w:rsidP="0022396D">
            <w:pPr>
              <w:pStyle w:val="TAL"/>
              <w:rPr>
                <w:rFonts w:eastAsia="Times New Roman"/>
              </w:rPr>
            </w:pPr>
            <w:r w:rsidRPr="000A0A5F">
              <w:rPr>
                <w:rFonts w:eastAsia="Times New Roman"/>
              </w:rPr>
              <w:t>array(Event)</w:t>
            </w:r>
          </w:p>
        </w:tc>
        <w:tc>
          <w:tcPr>
            <w:tcW w:w="1134" w:type="dxa"/>
            <w:shd w:val="clear" w:color="auto" w:fill="auto"/>
          </w:tcPr>
          <w:p w:rsidR="0022396D" w:rsidRPr="000A0A5F" w:rsidRDefault="0022396D" w:rsidP="0022396D">
            <w:pPr>
              <w:pStyle w:val="TAL"/>
              <w:rPr>
                <w:rFonts w:eastAsia="Times New Roman"/>
              </w:rPr>
            </w:pPr>
            <w:r w:rsidRPr="000A0A5F">
              <w:rPr>
                <w:rFonts w:eastAsia="Times New Roman"/>
              </w:rPr>
              <w:t>0..N</w:t>
            </w:r>
          </w:p>
        </w:tc>
        <w:tc>
          <w:tcPr>
            <w:tcW w:w="3402" w:type="dxa"/>
            <w:shd w:val="clear" w:color="auto" w:fill="auto"/>
          </w:tcPr>
          <w:p w:rsidR="0022396D" w:rsidRPr="000A0A5F" w:rsidRDefault="0022396D" w:rsidP="0022396D">
            <w:pPr>
              <w:pStyle w:val="TAL"/>
              <w:rPr>
                <w:rFonts w:eastAsia="Times New Roman" w:cs="Arial"/>
                <w:szCs w:val="18"/>
              </w:rPr>
            </w:pPr>
            <w:r w:rsidRPr="000A0A5F">
              <w:rPr>
                <w:rFonts w:eastAsia="Times New Roman" w:cs="Arial"/>
                <w:szCs w:val="18"/>
              </w:rPr>
              <w:t>Corresponds to the event(s) to which the SCS/AS requests to subscribe.</w:t>
            </w:r>
          </w:p>
        </w:tc>
        <w:tc>
          <w:tcPr>
            <w:tcW w:w="1257" w:type="dxa"/>
          </w:tcPr>
          <w:p w:rsidR="0022396D" w:rsidRPr="000A0A5F" w:rsidRDefault="0022396D" w:rsidP="0022396D">
            <w:pPr>
              <w:pStyle w:val="TAL"/>
              <w:rPr>
                <w:rFonts w:eastAsia="Times New Roman" w:cs="Arial"/>
                <w:szCs w:val="18"/>
              </w:rPr>
            </w:pPr>
            <w:r w:rsidRPr="000A0A5F">
              <w:rPr>
                <w:rFonts w:eastAsia="Times New Roman" w:cs="Arial"/>
                <w:szCs w:val="18"/>
              </w:rPr>
              <w:t>enNB</w:t>
            </w:r>
          </w:p>
        </w:tc>
      </w:tr>
      <w:tr w:rsidR="00CB0DD7" w:rsidRPr="000A0A5F" w:rsidTr="00FF0AF8">
        <w:trPr>
          <w:jc w:val="center"/>
        </w:trPr>
        <w:tc>
          <w:tcPr>
            <w:tcW w:w="9602" w:type="dxa"/>
            <w:gridSpan w:val="5"/>
            <w:shd w:val="clear" w:color="auto" w:fill="auto"/>
          </w:tcPr>
          <w:p w:rsidR="00CB0DD7" w:rsidRPr="000A0A5F" w:rsidRDefault="00CB0DD7">
            <w:pPr>
              <w:pStyle w:val="TAN"/>
            </w:pPr>
            <w:r w:rsidRPr="000A0A5F">
              <w:t>NOTE 1:</w:t>
            </w:r>
            <w:r w:rsidRPr="000A0A5F">
              <w:tab/>
              <w:t>Properties marked with a feature as defined in clause 5.5.4 are applicable as described in clause 5.2.7. If no feature are indicated, the related property applies for all the features.</w:t>
            </w:r>
          </w:p>
          <w:p w:rsidR="00CB0DD7" w:rsidRPr="000A0A5F" w:rsidRDefault="00CB0DD7">
            <w:pPr>
              <w:pStyle w:val="TAN"/>
            </w:pPr>
            <w:r w:rsidRPr="000A0A5F">
              <w:t>NOTE 2:</w:t>
            </w:r>
            <w:r w:rsidRPr="000A0A5F">
              <w:tab/>
              <w:t>One of the "ipv4Addr", "ipv6Addr", or "macAddr" attribute shall be provided.</w:t>
            </w:r>
            <w:r w:rsidRPr="000A0A5F">
              <w:rPr>
                <w:lang w:eastAsia="zh-CN"/>
              </w:rPr>
              <w:t xml:space="preserve"> If ipv4 or ipv6 address is provided, IP flow information shall be provided. If MAC address is provided</w:t>
            </w:r>
            <w:r w:rsidR="0086156B" w:rsidRPr="000A0A5F">
              <w:rPr>
                <w:lang w:eastAsia="zh-CN"/>
              </w:rPr>
              <w:t xml:space="preserve"> and the AppId feature is not supported</w:t>
            </w:r>
            <w:r w:rsidRPr="000A0A5F">
              <w:rPr>
                <w:lang w:eastAsia="zh-CN"/>
              </w:rPr>
              <w:t xml:space="preserve">, </w:t>
            </w:r>
            <w:r w:rsidRPr="000A0A5F">
              <w:t xml:space="preserve">Ethernet flow information shall be provided. If the AppId feature is supported, one of </w:t>
            </w:r>
            <w:r w:rsidR="0086156B" w:rsidRPr="000A0A5F">
              <w:rPr>
                <w:lang w:eastAsia="zh-CN"/>
              </w:rPr>
              <w:t>IP flow information, Ethernet flow information (if EthChgParty_5G is supported) or External Application Identifier</w:t>
            </w:r>
            <w:r w:rsidRPr="000A0A5F">
              <w:t xml:space="preserve"> shall be provided.</w:t>
            </w:r>
          </w:p>
          <w:p w:rsidR="00CB0DD7" w:rsidRPr="000A0A5F" w:rsidRDefault="00CB0DD7">
            <w:pPr>
              <w:pStyle w:val="TAN"/>
            </w:pPr>
            <w:r w:rsidRPr="000A0A5F">
              <w:t>NOTE 3:</w:t>
            </w:r>
            <w:r w:rsidRPr="000A0A5F">
              <w:tab/>
              <w:t>The property is only applicable for the NEF.</w:t>
            </w:r>
          </w:p>
          <w:p w:rsidR="00D617C4" w:rsidRPr="000A0A5F" w:rsidRDefault="00D617C4">
            <w:pPr>
              <w:pStyle w:val="TAN"/>
            </w:pPr>
            <w:r w:rsidRPr="000A0A5F">
              <w:t>NOTE 4:</w:t>
            </w:r>
            <w:r w:rsidRPr="000A0A5F">
              <w:tab/>
              <w:t>The "tosTC" attribute of the "flowInfo" attribute may only be present if the "ToSTC_5G" feature is supported.</w:t>
            </w:r>
          </w:p>
        </w:tc>
      </w:tr>
    </w:tbl>
    <w:p w:rsidR="00CB0DD7" w:rsidRPr="000A0A5F" w:rsidRDefault="00CB0DD7"/>
    <w:p w:rsidR="00CB0DD7" w:rsidRPr="000A0A5F" w:rsidRDefault="00CB0DD7">
      <w:pPr>
        <w:pStyle w:val="Heading5"/>
      </w:pPr>
      <w:bookmarkStart w:id="3147" w:name="_Toc11247407"/>
      <w:bookmarkStart w:id="3148" w:name="_Toc27044529"/>
      <w:bookmarkStart w:id="3149" w:name="_Toc36033571"/>
      <w:bookmarkStart w:id="3150" w:name="_Toc45131706"/>
      <w:bookmarkStart w:id="3151" w:name="_Toc49775991"/>
      <w:bookmarkStart w:id="3152" w:name="_Toc51746911"/>
      <w:bookmarkStart w:id="3153" w:name="_Toc66360462"/>
      <w:bookmarkStart w:id="3154" w:name="_Toc68104967"/>
      <w:bookmarkStart w:id="3155" w:name="_Toc74755597"/>
      <w:bookmarkStart w:id="3156" w:name="_Toc105674470"/>
      <w:bookmarkStart w:id="3157" w:name="_Toc130502514"/>
      <w:bookmarkStart w:id="3158" w:name="_Toc153625301"/>
      <w:r w:rsidRPr="000A0A5F">
        <w:t>5.5.2.1.3</w:t>
      </w:r>
      <w:r w:rsidRPr="000A0A5F">
        <w:tab/>
        <w:t>Type: ChargeablePartyPatch</w:t>
      </w:r>
      <w:bookmarkEnd w:id="3147"/>
      <w:bookmarkEnd w:id="3148"/>
      <w:bookmarkEnd w:id="3149"/>
      <w:bookmarkEnd w:id="3150"/>
      <w:bookmarkEnd w:id="3151"/>
      <w:bookmarkEnd w:id="3152"/>
      <w:bookmarkEnd w:id="3153"/>
      <w:bookmarkEnd w:id="3154"/>
      <w:bookmarkEnd w:id="3155"/>
      <w:bookmarkEnd w:id="3156"/>
      <w:bookmarkEnd w:id="3157"/>
      <w:bookmarkEnd w:id="3158"/>
    </w:p>
    <w:p w:rsidR="00CB0DD7" w:rsidRPr="000A0A5F" w:rsidRDefault="00CB0DD7">
      <w:r w:rsidRPr="000A0A5F">
        <w:t>This type represents the configuration of a chargeable party. The structure is used for PATCH request.</w:t>
      </w:r>
    </w:p>
    <w:p w:rsidR="00CB0DD7" w:rsidRPr="000A0A5F" w:rsidRDefault="00CB0DD7">
      <w:pPr>
        <w:pStyle w:val="TH"/>
      </w:pPr>
      <w:r w:rsidRPr="000A0A5F">
        <w:rPr>
          <w:noProof/>
        </w:rPr>
        <w:t>Table </w:t>
      </w:r>
      <w:r w:rsidRPr="000A0A5F">
        <w:t xml:space="preserve">5.5.2.1.3-1: </w:t>
      </w:r>
      <w:r w:rsidRPr="000A0A5F">
        <w:rPr>
          <w:noProof/>
        </w:rPr>
        <w:t xml:space="preserve">Definition of type </w:t>
      </w:r>
      <w:r w:rsidRPr="000A0A5F">
        <w:t>ChargeablePartyPatch</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948"/>
        <w:gridCol w:w="1861"/>
        <w:gridCol w:w="1134"/>
        <w:gridCol w:w="3402"/>
        <w:gridCol w:w="1257"/>
      </w:tblGrid>
      <w:tr w:rsidR="00CB0DD7" w:rsidRPr="000A0A5F" w:rsidTr="00FF0AF8">
        <w:trPr>
          <w:jc w:val="center"/>
        </w:trPr>
        <w:tc>
          <w:tcPr>
            <w:tcW w:w="1948" w:type="dxa"/>
            <w:shd w:val="clear" w:color="auto" w:fill="C0C0C0"/>
          </w:tcPr>
          <w:p w:rsidR="00CB0DD7" w:rsidRPr="000A0A5F" w:rsidRDefault="00CB0DD7">
            <w:pPr>
              <w:pStyle w:val="TAH"/>
              <w:rPr>
                <w:rFonts w:eastAsia="Times New Roman"/>
              </w:rPr>
            </w:pPr>
            <w:r w:rsidRPr="000A0A5F">
              <w:rPr>
                <w:rFonts w:eastAsia="Times New Roman"/>
              </w:rPr>
              <w:t>Attribute name</w:t>
            </w:r>
          </w:p>
        </w:tc>
        <w:tc>
          <w:tcPr>
            <w:tcW w:w="1861" w:type="dxa"/>
            <w:shd w:val="clear" w:color="auto" w:fill="C0C0C0"/>
          </w:tcPr>
          <w:p w:rsidR="00CB0DD7" w:rsidRPr="000A0A5F" w:rsidRDefault="00CB0DD7">
            <w:pPr>
              <w:pStyle w:val="TAH"/>
              <w:rPr>
                <w:rFonts w:eastAsia="Times New Roman"/>
              </w:rPr>
            </w:pPr>
            <w:r w:rsidRPr="000A0A5F">
              <w:rPr>
                <w:rFonts w:eastAsia="Times New Roman"/>
              </w:rPr>
              <w:t>Data type</w:t>
            </w:r>
          </w:p>
        </w:tc>
        <w:tc>
          <w:tcPr>
            <w:tcW w:w="1134" w:type="dxa"/>
            <w:shd w:val="clear" w:color="auto" w:fill="C0C0C0"/>
          </w:tcPr>
          <w:p w:rsidR="00CB0DD7" w:rsidRPr="000A0A5F" w:rsidRDefault="00CB0DD7">
            <w:pPr>
              <w:pStyle w:val="TAH"/>
              <w:jc w:val="left"/>
              <w:rPr>
                <w:rFonts w:eastAsia="Times New Roman"/>
              </w:rPr>
            </w:pPr>
            <w:r w:rsidRPr="000A0A5F">
              <w:rPr>
                <w:rFonts w:eastAsia="Times New Roman"/>
              </w:rPr>
              <w:t>Cardinality</w:t>
            </w:r>
          </w:p>
        </w:tc>
        <w:tc>
          <w:tcPr>
            <w:tcW w:w="3402"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Description</w:t>
            </w:r>
          </w:p>
        </w:tc>
        <w:tc>
          <w:tcPr>
            <w:tcW w:w="1257"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Applicability (NOTE)</w:t>
            </w:r>
          </w:p>
        </w:tc>
      </w:tr>
      <w:tr w:rsidR="00CB0DD7" w:rsidRPr="000A0A5F" w:rsidTr="00FF0AF8">
        <w:trPr>
          <w:jc w:val="center"/>
        </w:trPr>
        <w:tc>
          <w:tcPr>
            <w:tcW w:w="1948" w:type="dxa"/>
            <w:shd w:val="clear" w:color="auto" w:fill="auto"/>
          </w:tcPr>
          <w:p w:rsidR="00CB0DD7" w:rsidRPr="000A0A5F" w:rsidRDefault="00CB0DD7">
            <w:pPr>
              <w:pStyle w:val="TAL"/>
              <w:rPr>
                <w:rFonts w:eastAsia="Times New Roman"/>
              </w:rPr>
            </w:pPr>
            <w:r w:rsidRPr="000A0A5F">
              <w:rPr>
                <w:rFonts w:eastAsia="Times New Roman"/>
              </w:rPr>
              <w:t>flowInfo</w:t>
            </w:r>
          </w:p>
        </w:tc>
        <w:tc>
          <w:tcPr>
            <w:tcW w:w="1861" w:type="dxa"/>
            <w:shd w:val="clear" w:color="auto" w:fill="auto"/>
          </w:tcPr>
          <w:p w:rsidR="00CB0DD7" w:rsidRPr="000A0A5F" w:rsidRDefault="00CB0DD7">
            <w:pPr>
              <w:pStyle w:val="TAL"/>
              <w:rPr>
                <w:rFonts w:eastAsia="Times New Roman"/>
              </w:rPr>
            </w:pPr>
            <w:r w:rsidRPr="000A0A5F">
              <w:rPr>
                <w:rFonts w:eastAsia="Times New Roman"/>
              </w:rPr>
              <w:t>array(FlowInfo)</w:t>
            </w:r>
          </w:p>
        </w:tc>
        <w:tc>
          <w:tcPr>
            <w:tcW w:w="1134" w:type="dxa"/>
            <w:shd w:val="clear" w:color="auto" w:fill="auto"/>
          </w:tcPr>
          <w:p w:rsidR="00CB0DD7" w:rsidRPr="000A0A5F" w:rsidRDefault="00CB0DD7">
            <w:pPr>
              <w:pStyle w:val="TAL"/>
              <w:rPr>
                <w:rFonts w:eastAsia="Times New Roman"/>
              </w:rPr>
            </w:pPr>
            <w:r w:rsidRPr="000A0A5F">
              <w:t>0</w:t>
            </w:r>
            <w:r w:rsidRPr="000A0A5F">
              <w:rPr>
                <w:rFonts w:eastAsia="Times New Roman"/>
              </w:rPr>
              <w:t>..N</w:t>
            </w:r>
          </w:p>
        </w:tc>
        <w:tc>
          <w:tcPr>
            <w:tcW w:w="3402" w:type="dxa"/>
            <w:shd w:val="clear" w:color="auto" w:fill="auto"/>
          </w:tcPr>
          <w:p w:rsidR="00CB0DD7" w:rsidRPr="000A0A5F" w:rsidRDefault="00CB0DD7">
            <w:pPr>
              <w:pStyle w:val="TAL"/>
              <w:rPr>
                <w:rFonts w:cs="Arial" w:hint="eastAsia"/>
                <w:szCs w:val="18"/>
              </w:rPr>
            </w:pPr>
            <w:r w:rsidRPr="000A0A5F">
              <w:rPr>
                <w:rFonts w:eastAsia="Times New Roman" w:cs="Arial"/>
                <w:szCs w:val="18"/>
              </w:rPr>
              <w:t>Describes the IP flows. (NOTE 2)</w:t>
            </w:r>
            <w:r w:rsidR="000334E2" w:rsidRPr="000A0A5F">
              <w:rPr>
                <w:rFonts w:cs="Arial"/>
                <w:szCs w:val="18"/>
              </w:rPr>
              <w:t>(NOTE 3)</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rPr>
                <w:rFonts w:eastAsia="Times New Roman"/>
              </w:rPr>
            </w:pPr>
            <w:r w:rsidRPr="000A0A5F">
              <w:rPr>
                <w:rFonts w:eastAsia="Times New Roman"/>
              </w:rPr>
              <w:t>exterAppId</w:t>
            </w:r>
          </w:p>
        </w:tc>
        <w:tc>
          <w:tcPr>
            <w:tcW w:w="1861" w:type="dxa"/>
            <w:shd w:val="clear" w:color="auto" w:fill="auto"/>
          </w:tcPr>
          <w:p w:rsidR="00CB0DD7" w:rsidRPr="000A0A5F" w:rsidRDefault="00CB0DD7">
            <w:pPr>
              <w:pStyle w:val="TAL"/>
              <w:rPr>
                <w:rFonts w:eastAsia="Times New Roman"/>
              </w:rPr>
            </w:pPr>
            <w:r w:rsidRPr="000A0A5F">
              <w:rPr>
                <w:rFonts w:eastAsia="Times New Roman"/>
              </w:rPr>
              <w:t>string</w:t>
            </w:r>
          </w:p>
        </w:tc>
        <w:tc>
          <w:tcPr>
            <w:tcW w:w="1134" w:type="dxa"/>
            <w:shd w:val="clear" w:color="auto" w:fill="auto"/>
          </w:tcPr>
          <w:p w:rsidR="00CB0DD7" w:rsidRPr="000A0A5F" w:rsidRDefault="00CB0DD7">
            <w:pPr>
              <w:pStyle w:val="TAL"/>
            </w:pPr>
            <w:r w:rsidRPr="000A0A5F">
              <w:t>0..1</w:t>
            </w:r>
          </w:p>
        </w:tc>
        <w:tc>
          <w:tcPr>
            <w:tcW w:w="3402" w:type="dxa"/>
            <w:shd w:val="clear" w:color="auto" w:fill="auto"/>
          </w:tcPr>
          <w:p w:rsidR="00CB0DD7" w:rsidRPr="000A0A5F" w:rsidRDefault="00CB0DD7">
            <w:pPr>
              <w:pStyle w:val="TAL"/>
              <w:rPr>
                <w:rFonts w:eastAsia="Times New Roman" w:cs="Arial"/>
                <w:szCs w:val="18"/>
              </w:rPr>
            </w:pPr>
            <w:r w:rsidRPr="000A0A5F">
              <w:rPr>
                <w:rFonts w:eastAsia="Times New Roman" w:cs="Arial"/>
                <w:szCs w:val="18"/>
              </w:rPr>
              <w:t>Identifies the AF Application Identifier. (NOTE 2)</w:t>
            </w:r>
          </w:p>
        </w:tc>
        <w:tc>
          <w:tcPr>
            <w:tcW w:w="1257" w:type="dxa"/>
          </w:tcPr>
          <w:p w:rsidR="00CB0DD7" w:rsidRPr="000A0A5F" w:rsidRDefault="00CB0DD7">
            <w:pPr>
              <w:pStyle w:val="TAL"/>
              <w:rPr>
                <w:rFonts w:eastAsia="Times New Roman" w:cs="Arial"/>
                <w:szCs w:val="18"/>
              </w:rPr>
            </w:pPr>
            <w:r w:rsidRPr="000A0A5F">
              <w:rPr>
                <w:rFonts w:eastAsia="Times New Roman" w:cs="Arial"/>
                <w:szCs w:val="18"/>
              </w:rPr>
              <w:t>AppId</w:t>
            </w:r>
          </w:p>
        </w:tc>
      </w:tr>
      <w:tr w:rsidR="00CB0DD7" w:rsidRPr="000A0A5F" w:rsidTr="00FF0AF8">
        <w:trPr>
          <w:jc w:val="center"/>
        </w:trPr>
        <w:tc>
          <w:tcPr>
            <w:tcW w:w="1948" w:type="dxa"/>
            <w:shd w:val="clear" w:color="auto" w:fill="auto"/>
          </w:tcPr>
          <w:p w:rsidR="00CB0DD7" w:rsidRPr="000A0A5F" w:rsidRDefault="00CB0DD7">
            <w:pPr>
              <w:pStyle w:val="TAL"/>
              <w:rPr>
                <w:rFonts w:eastAsia="Times New Roman"/>
              </w:rPr>
            </w:pPr>
            <w:r w:rsidRPr="000A0A5F">
              <w:rPr>
                <w:lang w:eastAsia="zh-CN"/>
              </w:rPr>
              <w:t>ethFlowInfo</w:t>
            </w:r>
          </w:p>
        </w:tc>
        <w:tc>
          <w:tcPr>
            <w:tcW w:w="1861" w:type="dxa"/>
            <w:shd w:val="clear" w:color="auto" w:fill="auto"/>
          </w:tcPr>
          <w:p w:rsidR="00CB0DD7" w:rsidRPr="000A0A5F" w:rsidRDefault="00CB0DD7">
            <w:pPr>
              <w:pStyle w:val="TAL"/>
              <w:rPr>
                <w:rFonts w:eastAsia="Times New Roman"/>
              </w:rPr>
            </w:pPr>
            <w:r w:rsidRPr="000A0A5F">
              <w:t>array(EthFlowDescription)</w:t>
            </w:r>
          </w:p>
        </w:tc>
        <w:tc>
          <w:tcPr>
            <w:tcW w:w="1134" w:type="dxa"/>
            <w:shd w:val="clear" w:color="auto" w:fill="auto"/>
          </w:tcPr>
          <w:p w:rsidR="00CB0DD7" w:rsidRPr="000A0A5F" w:rsidRDefault="00CB0DD7">
            <w:pPr>
              <w:pStyle w:val="TAL"/>
            </w:pPr>
            <w:r w:rsidRPr="000A0A5F">
              <w:rPr>
                <w:rFonts w:eastAsia="Times New Roman"/>
              </w:rPr>
              <w:t>0..N</w:t>
            </w:r>
          </w:p>
        </w:tc>
        <w:tc>
          <w:tcPr>
            <w:tcW w:w="3402" w:type="dxa"/>
            <w:shd w:val="clear" w:color="auto" w:fill="auto"/>
          </w:tcPr>
          <w:p w:rsidR="00CB0DD7" w:rsidRPr="000A0A5F" w:rsidRDefault="00CB0DD7">
            <w:pPr>
              <w:pStyle w:val="TAL"/>
              <w:rPr>
                <w:rFonts w:eastAsia="Times New Roman" w:cs="Arial"/>
                <w:szCs w:val="18"/>
              </w:rPr>
            </w:pPr>
            <w:r w:rsidRPr="000A0A5F">
              <w:rPr>
                <w:rFonts w:cs="Arial"/>
                <w:szCs w:val="18"/>
                <w:lang w:eastAsia="zh-CN"/>
              </w:rPr>
              <w:t>Describe</w:t>
            </w:r>
            <w:r w:rsidRPr="000A0A5F">
              <w:rPr>
                <w:rFonts w:cs="Arial" w:hint="eastAsia"/>
                <w:szCs w:val="18"/>
                <w:lang w:eastAsia="zh-CN"/>
              </w:rPr>
              <w:t xml:space="preserve">s </w:t>
            </w:r>
            <w:r w:rsidRPr="000A0A5F">
              <w:rPr>
                <w:rFonts w:cs="Arial"/>
                <w:szCs w:val="18"/>
                <w:lang w:eastAsia="zh-CN"/>
              </w:rPr>
              <w:t xml:space="preserve">Ethernet </w:t>
            </w:r>
            <w:r w:rsidRPr="000A0A5F">
              <w:rPr>
                <w:rFonts w:cs="Arial" w:hint="eastAsia"/>
                <w:szCs w:val="18"/>
                <w:lang w:eastAsia="zh-CN"/>
              </w:rPr>
              <w:t>packet f</w:t>
            </w:r>
            <w:r w:rsidRPr="000A0A5F">
              <w:rPr>
                <w:rFonts w:cs="Arial"/>
                <w:szCs w:val="18"/>
                <w:lang w:eastAsia="zh-CN"/>
              </w:rPr>
              <w:t>lows</w:t>
            </w:r>
            <w:r w:rsidRPr="000A0A5F">
              <w:rPr>
                <w:rFonts w:cs="Arial" w:hint="eastAsia"/>
                <w:szCs w:val="18"/>
                <w:lang w:eastAsia="zh-CN"/>
              </w:rPr>
              <w:t>.</w:t>
            </w:r>
            <w:r w:rsidRPr="000A0A5F">
              <w:rPr>
                <w:rFonts w:eastAsia="Times New Roman" w:cs="Arial"/>
                <w:szCs w:val="18"/>
              </w:rPr>
              <w:t xml:space="preserve"> (NOTE 2)</w:t>
            </w:r>
          </w:p>
        </w:tc>
        <w:tc>
          <w:tcPr>
            <w:tcW w:w="1257" w:type="dxa"/>
          </w:tcPr>
          <w:p w:rsidR="00CB0DD7" w:rsidRPr="000A0A5F" w:rsidRDefault="00CB0DD7">
            <w:pPr>
              <w:pStyle w:val="TAL"/>
              <w:rPr>
                <w:rFonts w:eastAsia="Times New Roman" w:cs="Arial"/>
                <w:szCs w:val="18"/>
              </w:rPr>
            </w:pPr>
            <w:r w:rsidRPr="000A0A5F">
              <w:t>EthChgParty_5G</w:t>
            </w:r>
          </w:p>
        </w:tc>
      </w:tr>
      <w:tr w:rsidR="00CB0DD7" w:rsidRPr="000A0A5F" w:rsidTr="00FF0AF8">
        <w:trPr>
          <w:jc w:val="center"/>
        </w:trPr>
        <w:tc>
          <w:tcPr>
            <w:tcW w:w="1948" w:type="dxa"/>
            <w:shd w:val="clear" w:color="auto" w:fill="auto"/>
          </w:tcPr>
          <w:p w:rsidR="00CB0DD7" w:rsidRPr="000A0A5F" w:rsidRDefault="00CB0DD7">
            <w:pPr>
              <w:pStyle w:val="TAL"/>
              <w:rPr>
                <w:rFonts w:eastAsia="Times New Roman"/>
              </w:rPr>
            </w:pPr>
            <w:r w:rsidRPr="000A0A5F">
              <w:rPr>
                <w:rFonts w:eastAsia="Times New Roman"/>
              </w:rPr>
              <w:t>sponsoringEnabled</w:t>
            </w:r>
          </w:p>
        </w:tc>
        <w:tc>
          <w:tcPr>
            <w:tcW w:w="1861" w:type="dxa"/>
            <w:shd w:val="clear" w:color="auto" w:fill="auto"/>
          </w:tcPr>
          <w:p w:rsidR="00CB0DD7" w:rsidRPr="000A0A5F" w:rsidRDefault="00CB0DD7">
            <w:pPr>
              <w:pStyle w:val="TAL"/>
              <w:rPr>
                <w:rFonts w:eastAsia="Times New Roman"/>
              </w:rPr>
            </w:pPr>
            <w:r w:rsidRPr="000A0A5F">
              <w:rPr>
                <w:rFonts w:eastAsia="Times New Roman"/>
              </w:rPr>
              <w:t>boolean</w:t>
            </w:r>
          </w:p>
        </w:tc>
        <w:tc>
          <w:tcPr>
            <w:tcW w:w="1134" w:type="dxa"/>
            <w:shd w:val="clear" w:color="auto" w:fill="auto"/>
          </w:tcPr>
          <w:p w:rsidR="00CB0DD7" w:rsidRPr="000A0A5F" w:rsidRDefault="00CB0DD7">
            <w:pPr>
              <w:pStyle w:val="TAL"/>
              <w:rPr>
                <w:rFonts w:eastAsia="Times New Roman"/>
              </w:rPr>
            </w:pPr>
            <w:r w:rsidRPr="000A0A5F">
              <w:rPr>
                <w:rFonts w:eastAsia="Times New Roman"/>
              </w:rPr>
              <w:t>0..1</w:t>
            </w:r>
          </w:p>
        </w:tc>
        <w:tc>
          <w:tcPr>
            <w:tcW w:w="3402" w:type="dxa"/>
            <w:shd w:val="clear" w:color="auto" w:fill="auto"/>
          </w:tcPr>
          <w:p w:rsidR="00A66584" w:rsidRPr="000A0A5F" w:rsidRDefault="00CB0DD7" w:rsidP="00A66584">
            <w:pPr>
              <w:pStyle w:val="TAL"/>
            </w:pPr>
            <w:r w:rsidRPr="000A0A5F">
              <w:rPr>
                <w:rFonts w:eastAsia="Times New Roman" w:cs="Arial"/>
                <w:szCs w:val="18"/>
              </w:rPr>
              <w:t xml:space="preserve">Indicates </w:t>
            </w:r>
            <w:r w:rsidR="00A66584" w:rsidRPr="000A0A5F">
              <w:rPr>
                <w:lang w:eastAsia="zh-CN"/>
              </w:rPr>
              <w:t xml:space="preserve">whether the </w:t>
            </w:r>
            <w:r w:rsidRPr="000A0A5F">
              <w:rPr>
                <w:rFonts w:eastAsia="Times New Roman" w:cs="Arial"/>
                <w:szCs w:val="18"/>
              </w:rPr>
              <w:t xml:space="preserve">sponsoring </w:t>
            </w:r>
            <w:r w:rsidR="00A66584" w:rsidRPr="000A0A5F">
              <w:t>data connectivity is enabled.</w:t>
            </w:r>
          </w:p>
          <w:p w:rsidR="00A66584" w:rsidRPr="000A0A5F" w:rsidRDefault="00A66584" w:rsidP="00A66584">
            <w:pPr>
              <w:pStyle w:val="TAL"/>
            </w:pPr>
          </w:p>
          <w:p w:rsidR="00A66584" w:rsidRPr="000A0A5F" w:rsidRDefault="00A66584" w:rsidP="00A66584">
            <w:pPr>
              <w:pStyle w:val="TAL"/>
            </w:pPr>
            <w:r w:rsidRPr="000A0A5F">
              <w:rPr>
                <w:lang w:eastAsia="zh-CN"/>
              </w:rPr>
              <w:t xml:space="preserve">- true: the </w:t>
            </w:r>
            <w:r w:rsidRPr="000A0A5F">
              <w:rPr>
                <w:rFonts w:eastAsia="Times New Roman"/>
              </w:rPr>
              <w:t xml:space="preserve">sponsoring </w:t>
            </w:r>
            <w:r w:rsidRPr="000A0A5F">
              <w:t>data connectivity is enabled;</w:t>
            </w:r>
          </w:p>
          <w:p w:rsidR="00CB0DD7" w:rsidRPr="000A0A5F" w:rsidRDefault="00A66584" w:rsidP="00A66584">
            <w:pPr>
              <w:pStyle w:val="TAL"/>
              <w:rPr>
                <w:rFonts w:eastAsia="Times New Roman" w:cs="Arial"/>
                <w:szCs w:val="18"/>
              </w:rPr>
            </w:pPr>
            <w:r w:rsidRPr="000A0A5F">
              <w:rPr>
                <w:lang w:eastAsia="zh-CN"/>
              </w:rPr>
              <w:t xml:space="preserve">- false: the </w:t>
            </w:r>
            <w:r w:rsidRPr="000A0A5F">
              <w:rPr>
                <w:rFonts w:eastAsia="Times New Roman"/>
              </w:rPr>
              <w:t xml:space="preserve">sponsoring </w:t>
            </w:r>
            <w:r w:rsidRPr="000A0A5F">
              <w:t>data connectivity is not enabled</w:t>
            </w:r>
            <w:r w:rsidRPr="000A0A5F">
              <w:rPr>
                <w:rFonts w:eastAsia="Times New Roman" w:cs="Arial"/>
                <w:szCs w:val="18"/>
              </w:rPr>
              <w:t>.</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rPr>
                <w:rFonts w:eastAsia="Times New Roman"/>
              </w:rPr>
            </w:pPr>
            <w:r w:rsidRPr="000A0A5F">
              <w:rPr>
                <w:rFonts w:eastAsia="Times New Roman"/>
              </w:rPr>
              <w:t>referenceId</w:t>
            </w:r>
          </w:p>
        </w:tc>
        <w:tc>
          <w:tcPr>
            <w:tcW w:w="1861" w:type="dxa"/>
            <w:shd w:val="clear" w:color="auto" w:fill="auto"/>
          </w:tcPr>
          <w:p w:rsidR="00CB0DD7" w:rsidRPr="000A0A5F" w:rsidRDefault="00CB0DD7">
            <w:pPr>
              <w:pStyle w:val="TAL"/>
              <w:rPr>
                <w:rFonts w:eastAsia="Times New Roman"/>
              </w:rPr>
            </w:pPr>
            <w:r w:rsidRPr="000A0A5F">
              <w:rPr>
                <w:rFonts w:eastAsia="Times New Roman"/>
              </w:rPr>
              <w:t>BdtReferenceId</w:t>
            </w:r>
          </w:p>
        </w:tc>
        <w:tc>
          <w:tcPr>
            <w:tcW w:w="1134" w:type="dxa"/>
            <w:shd w:val="clear" w:color="auto" w:fill="auto"/>
          </w:tcPr>
          <w:p w:rsidR="00CB0DD7" w:rsidRPr="000A0A5F" w:rsidRDefault="00CB0DD7">
            <w:pPr>
              <w:pStyle w:val="TAL"/>
              <w:rPr>
                <w:rFonts w:eastAsia="Times New Roman"/>
              </w:rPr>
            </w:pPr>
            <w:r w:rsidRPr="000A0A5F">
              <w:rPr>
                <w:rFonts w:eastAsia="Times New Roman"/>
              </w:rPr>
              <w:t>0..1</w:t>
            </w:r>
          </w:p>
        </w:tc>
        <w:tc>
          <w:tcPr>
            <w:tcW w:w="3402" w:type="dxa"/>
            <w:shd w:val="clear" w:color="auto" w:fill="auto"/>
          </w:tcPr>
          <w:p w:rsidR="00CB0DD7" w:rsidRPr="000A0A5F" w:rsidRDefault="00CB0DD7">
            <w:pPr>
              <w:pStyle w:val="TAL"/>
              <w:rPr>
                <w:rFonts w:eastAsia="Times New Roman" w:cs="Arial"/>
                <w:szCs w:val="18"/>
              </w:rPr>
            </w:pPr>
            <w:r w:rsidRPr="000A0A5F">
              <w:rPr>
                <w:rFonts w:eastAsia="Times New Roman" w:cs="Arial"/>
                <w:szCs w:val="18"/>
              </w:rPr>
              <w:t>The reference ID for a previously selected policy of background data transfer.</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rPr>
                <w:rFonts w:eastAsia="Times New Roman"/>
              </w:rPr>
            </w:pPr>
            <w:r w:rsidRPr="000A0A5F">
              <w:rPr>
                <w:rFonts w:eastAsia="Times New Roman"/>
              </w:rPr>
              <w:t>usageThreshold</w:t>
            </w:r>
          </w:p>
        </w:tc>
        <w:tc>
          <w:tcPr>
            <w:tcW w:w="1861" w:type="dxa"/>
            <w:shd w:val="clear" w:color="auto" w:fill="auto"/>
          </w:tcPr>
          <w:p w:rsidR="00CB0DD7" w:rsidRPr="000A0A5F" w:rsidRDefault="00CB0DD7">
            <w:pPr>
              <w:pStyle w:val="TAL"/>
              <w:rPr>
                <w:rFonts w:eastAsia="Times New Roman"/>
              </w:rPr>
            </w:pPr>
            <w:r w:rsidRPr="000A0A5F">
              <w:rPr>
                <w:rFonts w:eastAsia="Times New Roman"/>
              </w:rPr>
              <w:t>UsageThresholdRm</w:t>
            </w:r>
          </w:p>
        </w:tc>
        <w:tc>
          <w:tcPr>
            <w:tcW w:w="1134" w:type="dxa"/>
            <w:shd w:val="clear" w:color="auto" w:fill="auto"/>
          </w:tcPr>
          <w:p w:rsidR="00CB0DD7" w:rsidRPr="000A0A5F" w:rsidRDefault="00CB0DD7">
            <w:pPr>
              <w:pStyle w:val="TAL"/>
              <w:rPr>
                <w:rFonts w:eastAsia="Times New Roman"/>
              </w:rPr>
            </w:pPr>
            <w:r w:rsidRPr="000A0A5F">
              <w:rPr>
                <w:rFonts w:eastAsia="Times New Roman"/>
              </w:rPr>
              <w:t>0..1</w:t>
            </w:r>
          </w:p>
        </w:tc>
        <w:tc>
          <w:tcPr>
            <w:tcW w:w="3402" w:type="dxa"/>
            <w:shd w:val="clear" w:color="auto" w:fill="auto"/>
          </w:tcPr>
          <w:p w:rsidR="00CB0DD7" w:rsidRPr="000A0A5F" w:rsidRDefault="00CB0DD7">
            <w:pPr>
              <w:pStyle w:val="TAL"/>
              <w:rPr>
                <w:rFonts w:eastAsia="Times New Roman" w:cs="Arial"/>
                <w:szCs w:val="18"/>
              </w:rPr>
            </w:pPr>
            <w:r w:rsidRPr="000A0A5F">
              <w:rPr>
                <w:rFonts w:eastAsia="Times New Roman" w:cs="Arial"/>
                <w:szCs w:val="18"/>
              </w:rPr>
              <w:t>Time period and/or traffic volume.</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rPr>
                <w:rFonts w:eastAsia="Times New Roman"/>
              </w:rPr>
            </w:pPr>
            <w:r w:rsidRPr="000A0A5F">
              <w:rPr>
                <w:rFonts w:hint="eastAsia"/>
                <w:lang w:eastAsia="zh-CN"/>
              </w:rPr>
              <w:t>notification</w:t>
            </w:r>
            <w:r w:rsidRPr="000A0A5F">
              <w:rPr>
                <w:lang w:eastAsia="zh-CN"/>
              </w:rPr>
              <w:t>Destination</w:t>
            </w:r>
          </w:p>
        </w:tc>
        <w:tc>
          <w:tcPr>
            <w:tcW w:w="1861" w:type="dxa"/>
            <w:shd w:val="clear" w:color="auto" w:fill="auto"/>
          </w:tcPr>
          <w:p w:rsidR="00CB0DD7" w:rsidRPr="000A0A5F" w:rsidRDefault="00CB0DD7">
            <w:pPr>
              <w:pStyle w:val="TAL"/>
              <w:rPr>
                <w:rFonts w:eastAsia="Times New Roman"/>
              </w:rPr>
            </w:pPr>
            <w:r w:rsidRPr="000A0A5F">
              <w:rPr>
                <w:rFonts w:hint="eastAsia"/>
                <w:lang w:eastAsia="zh-CN"/>
              </w:rPr>
              <w:t>Link</w:t>
            </w:r>
          </w:p>
        </w:tc>
        <w:tc>
          <w:tcPr>
            <w:tcW w:w="1134" w:type="dxa"/>
            <w:shd w:val="clear" w:color="auto" w:fill="auto"/>
          </w:tcPr>
          <w:p w:rsidR="00CB0DD7" w:rsidRPr="000A0A5F" w:rsidRDefault="00CB0DD7">
            <w:pPr>
              <w:pStyle w:val="TAL"/>
              <w:rPr>
                <w:rFonts w:eastAsia="Times New Roman"/>
              </w:rPr>
            </w:pPr>
            <w:r w:rsidRPr="000A0A5F">
              <w:rPr>
                <w:lang w:eastAsia="zh-CN"/>
              </w:rPr>
              <w:t>0..</w:t>
            </w:r>
            <w:r w:rsidRPr="000A0A5F">
              <w:rPr>
                <w:rFonts w:hint="eastAsia"/>
                <w:lang w:eastAsia="zh-CN"/>
              </w:rPr>
              <w:t>1</w:t>
            </w:r>
          </w:p>
        </w:tc>
        <w:tc>
          <w:tcPr>
            <w:tcW w:w="3402" w:type="dxa"/>
            <w:shd w:val="clear" w:color="auto" w:fill="auto"/>
          </w:tcPr>
          <w:p w:rsidR="00CB0DD7" w:rsidRPr="000A0A5F" w:rsidRDefault="00CB0DD7">
            <w:pPr>
              <w:pStyle w:val="TAL"/>
              <w:rPr>
                <w:rFonts w:eastAsia="Times New Roman" w:cs="Arial"/>
                <w:szCs w:val="18"/>
              </w:rPr>
            </w:pPr>
            <w:r w:rsidRPr="000A0A5F">
              <w:rPr>
                <w:rFonts w:cs="Arial" w:hint="eastAsia"/>
                <w:szCs w:val="18"/>
                <w:lang w:eastAsia="zh-CN"/>
              </w:rPr>
              <w:t xml:space="preserve">Contains the URL to receive the notification </w:t>
            </w:r>
            <w:r w:rsidRPr="000A0A5F">
              <w:rPr>
                <w:rFonts w:cs="Arial"/>
                <w:szCs w:val="18"/>
                <w:lang w:eastAsia="zh-CN"/>
              </w:rPr>
              <w:t>event(s) from the SCEF.</w:t>
            </w:r>
          </w:p>
        </w:tc>
        <w:tc>
          <w:tcPr>
            <w:tcW w:w="1257" w:type="dxa"/>
          </w:tcPr>
          <w:p w:rsidR="00CB0DD7" w:rsidRPr="000A0A5F" w:rsidRDefault="00CB0DD7">
            <w:pPr>
              <w:pStyle w:val="TAL"/>
              <w:rPr>
                <w:rFonts w:eastAsia="Times New Roman" w:cs="Arial"/>
                <w:szCs w:val="18"/>
              </w:rPr>
            </w:pPr>
          </w:p>
        </w:tc>
      </w:tr>
      <w:tr w:rsidR="00BD2AFC" w:rsidRPr="000A0A5F" w:rsidTr="00FF0AF8">
        <w:trPr>
          <w:jc w:val="center"/>
        </w:trPr>
        <w:tc>
          <w:tcPr>
            <w:tcW w:w="1948" w:type="dxa"/>
            <w:shd w:val="clear" w:color="auto" w:fill="auto"/>
          </w:tcPr>
          <w:p w:rsidR="00BD2AFC" w:rsidRPr="000A0A5F" w:rsidRDefault="00BD2AFC" w:rsidP="00BD2AFC">
            <w:pPr>
              <w:pStyle w:val="TAL"/>
              <w:rPr>
                <w:rFonts w:hint="eastAsia"/>
                <w:lang w:eastAsia="zh-CN"/>
              </w:rPr>
            </w:pPr>
            <w:r w:rsidRPr="000A0A5F">
              <w:t>events</w:t>
            </w:r>
          </w:p>
        </w:tc>
        <w:tc>
          <w:tcPr>
            <w:tcW w:w="1861" w:type="dxa"/>
            <w:shd w:val="clear" w:color="auto" w:fill="auto"/>
          </w:tcPr>
          <w:p w:rsidR="00BD2AFC" w:rsidRPr="000A0A5F" w:rsidRDefault="00BD2AFC" w:rsidP="00BD2AFC">
            <w:pPr>
              <w:pStyle w:val="TAL"/>
              <w:rPr>
                <w:rFonts w:hint="eastAsia"/>
                <w:lang w:eastAsia="zh-CN"/>
              </w:rPr>
            </w:pPr>
            <w:r w:rsidRPr="000A0A5F">
              <w:t>array(Event)</w:t>
            </w:r>
          </w:p>
        </w:tc>
        <w:tc>
          <w:tcPr>
            <w:tcW w:w="1134" w:type="dxa"/>
            <w:shd w:val="clear" w:color="auto" w:fill="auto"/>
          </w:tcPr>
          <w:p w:rsidR="00BD2AFC" w:rsidRPr="000A0A5F" w:rsidRDefault="00BD2AFC" w:rsidP="00BD2AFC">
            <w:pPr>
              <w:pStyle w:val="TAL"/>
              <w:rPr>
                <w:lang w:eastAsia="zh-CN"/>
              </w:rPr>
            </w:pPr>
            <w:r w:rsidRPr="000A0A5F">
              <w:t>0..N</w:t>
            </w:r>
          </w:p>
        </w:tc>
        <w:tc>
          <w:tcPr>
            <w:tcW w:w="3402" w:type="dxa"/>
            <w:shd w:val="clear" w:color="auto" w:fill="auto"/>
          </w:tcPr>
          <w:p w:rsidR="00BD2AFC" w:rsidRPr="000A0A5F" w:rsidRDefault="00BD2AFC" w:rsidP="00BD2AFC">
            <w:pPr>
              <w:pStyle w:val="TAL"/>
              <w:rPr>
                <w:rFonts w:cs="Arial" w:hint="eastAsia"/>
                <w:szCs w:val="18"/>
                <w:lang w:eastAsia="zh-CN"/>
              </w:rPr>
            </w:pPr>
            <w:r w:rsidRPr="000A0A5F">
              <w:rPr>
                <w:rFonts w:cs="Arial"/>
                <w:szCs w:val="18"/>
              </w:rPr>
              <w:t>Corresponds to the event(s) to which the SCS/AS requests to subscribe to.</w:t>
            </w:r>
          </w:p>
        </w:tc>
        <w:tc>
          <w:tcPr>
            <w:tcW w:w="1257" w:type="dxa"/>
          </w:tcPr>
          <w:p w:rsidR="00BD2AFC" w:rsidRPr="000A0A5F" w:rsidRDefault="00BD2AFC" w:rsidP="00BD2AFC">
            <w:pPr>
              <w:pStyle w:val="TAL"/>
              <w:rPr>
                <w:rFonts w:eastAsia="Times New Roman" w:cs="Arial"/>
                <w:szCs w:val="18"/>
              </w:rPr>
            </w:pPr>
            <w:r w:rsidRPr="000A0A5F">
              <w:rPr>
                <w:rFonts w:cs="Arial"/>
                <w:szCs w:val="18"/>
              </w:rPr>
              <w:t>enNB</w:t>
            </w:r>
          </w:p>
        </w:tc>
      </w:tr>
      <w:tr w:rsidR="00CB0DD7" w:rsidRPr="000A0A5F" w:rsidTr="00FF0AF8">
        <w:trPr>
          <w:jc w:val="center"/>
        </w:trPr>
        <w:tc>
          <w:tcPr>
            <w:tcW w:w="9602" w:type="dxa"/>
            <w:gridSpan w:val="5"/>
            <w:shd w:val="clear" w:color="auto" w:fill="auto"/>
          </w:tcPr>
          <w:p w:rsidR="00CB0DD7" w:rsidRPr="000A0A5F" w:rsidRDefault="00CB0DD7">
            <w:pPr>
              <w:pStyle w:val="TAN"/>
            </w:pPr>
            <w:r w:rsidRPr="000A0A5F">
              <w:t>NOTE 1:</w:t>
            </w:r>
            <w:r w:rsidRPr="000A0A5F">
              <w:tab/>
              <w:t>Properties marked with a feature as defined in clause 5.5.4 are applicable as described in clause 5.2.7. If no features are indicated, the related property applies for all the features.</w:t>
            </w:r>
          </w:p>
          <w:p w:rsidR="00CB0DD7" w:rsidRPr="000A0A5F" w:rsidRDefault="00CB0DD7">
            <w:pPr>
              <w:pStyle w:val="TAN"/>
            </w:pPr>
            <w:r w:rsidRPr="000A0A5F">
              <w:t>NOTE 2:</w:t>
            </w:r>
            <w:r w:rsidRPr="000A0A5F">
              <w:tab/>
              <w:t>One of "flowInfo", "exterAppId" or "ethFlowInfo" may be provided.</w:t>
            </w:r>
          </w:p>
          <w:p w:rsidR="000334E2" w:rsidRPr="000A0A5F" w:rsidRDefault="000334E2">
            <w:pPr>
              <w:pStyle w:val="TAN"/>
            </w:pPr>
            <w:r w:rsidRPr="000A0A5F">
              <w:t>NOTE 3:</w:t>
            </w:r>
            <w:r w:rsidRPr="000A0A5F">
              <w:tab/>
              <w:t>The "tosTC" attribute of the "flowInfo" attribute may only be present if the "ToSTC_5G" feature is supported.</w:t>
            </w:r>
          </w:p>
        </w:tc>
      </w:tr>
    </w:tbl>
    <w:p w:rsidR="00CB0DD7" w:rsidRPr="000A0A5F" w:rsidRDefault="00CB0DD7"/>
    <w:p w:rsidR="00CB0DD7" w:rsidRPr="000A0A5F" w:rsidRDefault="00CB0DD7">
      <w:pPr>
        <w:pStyle w:val="Heading3"/>
      </w:pPr>
      <w:bookmarkStart w:id="3159" w:name="_Toc11247408"/>
      <w:bookmarkStart w:id="3160" w:name="_Toc27044530"/>
      <w:bookmarkStart w:id="3161" w:name="_Toc36033572"/>
      <w:bookmarkStart w:id="3162" w:name="_Toc45131707"/>
      <w:bookmarkStart w:id="3163" w:name="_Toc49775992"/>
      <w:bookmarkStart w:id="3164" w:name="_Toc51746912"/>
      <w:bookmarkStart w:id="3165" w:name="_Toc66360463"/>
      <w:bookmarkStart w:id="3166" w:name="_Toc68104968"/>
      <w:bookmarkStart w:id="3167" w:name="_Toc74755598"/>
      <w:bookmarkStart w:id="3168" w:name="_Toc105674471"/>
      <w:bookmarkStart w:id="3169" w:name="_Toc130502515"/>
      <w:bookmarkStart w:id="3170" w:name="_Toc153625302"/>
      <w:r w:rsidRPr="000A0A5F">
        <w:t>5.5.3</w:t>
      </w:r>
      <w:r w:rsidRPr="000A0A5F">
        <w:tab/>
        <w:t>Resource structure</w:t>
      </w:r>
      <w:bookmarkEnd w:id="3159"/>
      <w:bookmarkEnd w:id="3160"/>
      <w:bookmarkEnd w:id="3161"/>
      <w:bookmarkEnd w:id="3162"/>
      <w:bookmarkEnd w:id="3163"/>
      <w:bookmarkEnd w:id="3164"/>
      <w:bookmarkEnd w:id="3165"/>
      <w:bookmarkEnd w:id="3166"/>
      <w:bookmarkEnd w:id="3167"/>
      <w:bookmarkEnd w:id="3168"/>
      <w:bookmarkEnd w:id="3169"/>
      <w:bookmarkEnd w:id="3170"/>
    </w:p>
    <w:p w:rsidR="00CB0DD7" w:rsidRPr="000A0A5F" w:rsidRDefault="00CB0DD7">
      <w:pPr>
        <w:pStyle w:val="Heading4"/>
      </w:pPr>
      <w:bookmarkStart w:id="3171" w:name="_Toc11247409"/>
      <w:bookmarkStart w:id="3172" w:name="_Toc27044531"/>
      <w:bookmarkStart w:id="3173" w:name="_Toc36033573"/>
      <w:bookmarkStart w:id="3174" w:name="_Toc45131708"/>
      <w:bookmarkStart w:id="3175" w:name="_Toc49775993"/>
      <w:bookmarkStart w:id="3176" w:name="_Toc51746913"/>
      <w:bookmarkStart w:id="3177" w:name="_Toc66360464"/>
      <w:bookmarkStart w:id="3178" w:name="_Toc68104969"/>
      <w:bookmarkStart w:id="3179" w:name="_Toc74755599"/>
      <w:bookmarkStart w:id="3180" w:name="_Toc105674472"/>
      <w:bookmarkStart w:id="3181" w:name="_Toc130502516"/>
      <w:bookmarkStart w:id="3182" w:name="_Toc153625303"/>
      <w:r w:rsidRPr="000A0A5F">
        <w:t>5.5.3.1</w:t>
      </w:r>
      <w:r w:rsidRPr="000A0A5F">
        <w:tab/>
        <w:t>General</w:t>
      </w:r>
      <w:bookmarkEnd w:id="3171"/>
      <w:bookmarkEnd w:id="3172"/>
      <w:bookmarkEnd w:id="3173"/>
      <w:bookmarkEnd w:id="3174"/>
      <w:bookmarkEnd w:id="3175"/>
      <w:bookmarkEnd w:id="3176"/>
      <w:bookmarkEnd w:id="3177"/>
      <w:bookmarkEnd w:id="3178"/>
      <w:bookmarkEnd w:id="3179"/>
      <w:bookmarkEnd w:id="3180"/>
      <w:bookmarkEnd w:id="3181"/>
      <w:bookmarkEnd w:id="3182"/>
    </w:p>
    <w:p w:rsidR="00CB0DD7" w:rsidRPr="000A0A5F" w:rsidRDefault="00CB0DD7">
      <w:r w:rsidRPr="000A0A5F">
        <w:t>All resource URIs of this API should have the following root:</w:t>
      </w:r>
    </w:p>
    <w:p w:rsidR="00CB0DD7" w:rsidRPr="000A0A5F" w:rsidRDefault="00CB0DD7">
      <w:pPr>
        <w:pStyle w:val="B1"/>
        <w:numPr>
          <w:ilvl w:val="0"/>
          <w:numId w:val="0"/>
        </w:numPr>
        <w:ind w:left="737"/>
        <w:rPr>
          <w:b/>
        </w:rPr>
      </w:pPr>
      <w:r w:rsidRPr="000A0A5F">
        <w:rPr>
          <w:b/>
        </w:rPr>
        <w:t>{apiRoot}/3gpp-chargeable-party/v1</w:t>
      </w:r>
    </w:p>
    <w:p w:rsidR="00CB0DD7" w:rsidRPr="000A0A5F" w:rsidRDefault="00CB0DD7">
      <w:r w:rsidRPr="000A0A5F">
        <w:t>"apiRoot" is set as described in clause 5.2.4. All resource URIs in the clauses below are defined relative to the above root URI.</w:t>
      </w:r>
    </w:p>
    <w:p w:rsidR="00CB0DD7" w:rsidRPr="000A0A5F" w:rsidRDefault="00CB0DD7">
      <w:r w:rsidRPr="000A0A5F">
        <w:t>The following resources and HTTP methods are supported for this API:</w:t>
      </w:r>
    </w:p>
    <w:p w:rsidR="00CB0DD7" w:rsidRPr="000A0A5F" w:rsidRDefault="00CB0DD7">
      <w:pPr>
        <w:pStyle w:val="TH"/>
      </w:pPr>
      <w:r w:rsidRPr="000A0A5F">
        <w:t>Table 5.5.3.1-1: Resources and methods overview</w:t>
      </w:r>
    </w:p>
    <w:tbl>
      <w:tblPr>
        <w:tblW w:w="4787"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1E0" w:firstRow="1" w:lastRow="1" w:firstColumn="1" w:lastColumn="1" w:noHBand="0" w:noVBand="0"/>
      </w:tblPr>
      <w:tblGrid>
        <w:gridCol w:w="1166"/>
        <w:gridCol w:w="4081"/>
        <w:gridCol w:w="850"/>
        <w:gridCol w:w="3263"/>
      </w:tblGrid>
      <w:tr w:rsidR="00CB0DD7" w:rsidRPr="000A0A5F" w:rsidTr="00FF0AF8">
        <w:trPr>
          <w:jc w:val="center"/>
        </w:trPr>
        <w:tc>
          <w:tcPr>
            <w:tcW w:w="623" w:type="pct"/>
            <w:shd w:val="clear" w:color="auto" w:fill="C0C0C0"/>
            <w:vAlign w:val="center"/>
            <w:hideMark/>
          </w:tcPr>
          <w:p w:rsidR="00CB0DD7" w:rsidRPr="000A0A5F" w:rsidRDefault="00CB0DD7">
            <w:pPr>
              <w:pStyle w:val="TAH"/>
              <w:spacing w:line="276" w:lineRule="auto"/>
            </w:pPr>
            <w:r w:rsidRPr="000A0A5F">
              <w:t>Resource name</w:t>
            </w:r>
          </w:p>
        </w:tc>
        <w:tc>
          <w:tcPr>
            <w:tcW w:w="2180" w:type="pct"/>
            <w:shd w:val="clear" w:color="auto" w:fill="C0C0C0"/>
            <w:vAlign w:val="center"/>
            <w:hideMark/>
          </w:tcPr>
          <w:p w:rsidR="00CB0DD7" w:rsidRPr="000A0A5F" w:rsidRDefault="00CB0DD7">
            <w:pPr>
              <w:pStyle w:val="TAH"/>
              <w:spacing w:line="276" w:lineRule="auto"/>
            </w:pPr>
            <w:r w:rsidRPr="000A0A5F">
              <w:t>Resource URI</w:t>
            </w:r>
          </w:p>
        </w:tc>
        <w:tc>
          <w:tcPr>
            <w:tcW w:w="454" w:type="pct"/>
            <w:shd w:val="clear" w:color="auto" w:fill="C0C0C0"/>
            <w:vAlign w:val="center"/>
            <w:hideMark/>
          </w:tcPr>
          <w:p w:rsidR="00CB0DD7" w:rsidRPr="000A0A5F" w:rsidRDefault="00CB0DD7">
            <w:pPr>
              <w:pStyle w:val="TAH"/>
              <w:spacing w:line="276" w:lineRule="auto"/>
            </w:pPr>
            <w:r w:rsidRPr="000A0A5F">
              <w:t>HTTP method</w:t>
            </w:r>
          </w:p>
        </w:tc>
        <w:tc>
          <w:tcPr>
            <w:tcW w:w="1743" w:type="pct"/>
            <w:shd w:val="clear" w:color="auto" w:fill="C0C0C0"/>
            <w:vAlign w:val="center"/>
            <w:hideMark/>
          </w:tcPr>
          <w:p w:rsidR="00CB0DD7" w:rsidRPr="000A0A5F" w:rsidRDefault="00CB0DD7">
            <w:pPr>
              <w:pStyle w:val="TAH"/>
              <w:spacing w:line="276" w:lineRule="auto"/>
            </w:pPr>
            <w:r w:rsidRPr="000A0A5F">
              <w:t>Meaning</w:t>
            </w:r>
          </w:p>
        </w:tc>
      </w:tr>
      <w:tr w:rsidR="00CB0DD7" w:rsidRPr="000A0A5F" w:rsidTr="00FF0AF8">
        <w:trPr>
          <w:jc w:val="center"/>
        </w:trPr>
        <w:tc>
          <w:tcPr>
            <w:tcW w:w="623" w:type="pct"/>
            <w:vMerge w:val="restart"/>
            <w:shd w:val="clear" w:color="auto" w:fill="auto"/>
          </w:tcPr>
          <w:p w:rsidR="00CB0DD7" w:rsidRPr="000A0A5F" w:rsidRDefault="00CB0DD7">
            <w:pPr>
              <w:pStyle w:val="TAL"/>
            </w:pPr>
            <w:r w:rsidRPr="000A0A5F">
              <w:t>Chargeable Party Transactions</w:t>
            </w:r>
          </w:p>
        </w:tc>
        <w:tc>
          <w:tcPr>
            <w:tcW w:w="2180" w:type="pct"/>
            <w:vMerge w:val="restart"/>
            <w:shd w:val="clear" w:color="auto" w:fill="auto"/>
          </w:tcPr>
          <w:p w:rsidR="00CB0DD7" w:rsidRPr="000A0A5F" w:rsidRDefault="00CB0DD7">
            <w:pPr>
              <w:pStyle w:val="TAL"/>
            </w:pPr>
            <w:r w:rsidRPr="000A0A5F">
              <w:t>/{scsAsId}/transactions</w:t>
            </w:r>
          </w:p>
        </w:tc>
        <w:tc>
          <w:tcPr>
            <w:tcW w:w="454" w:type="pct"/>
            <w:shd w:val="clear" w:color="auto" w:fill="auto"/>
          </w:tcPr>
          <w:p w:rsidR="00CB0DD7" w:rsidRPr="000A0A5F" w:rsidRDefault="00CB0DD7">
            <w:pPr>
              <w:pStyle w:val="TAL"/>
            </w:pPr>
            <w:r w:rsidRPr="000A0A5F">
              <w:t>GET</w:t>
            </w:r>
          </w:p>
        </w:tc>
        <w:tc>
          <w:tcPr>
            <w:tcW w:w="1743" w:type="pct"/>
            <w:shd w:val="clear" w:color="auto" w:fill="auto"/>
          </w:tcPr>
          <w:p w:rsidR="00CB0DD7" w:rsidRPr="000A0A5F" w:rsidRDefault="00CB0DD7">
            <w:pPr>
              <w:pStyle w:val="TAL"/>
            </w:pPr>
            <w:r w:rsidRPr="000A0A5F">
              <w:t xml:space="preserve">Read all </w:t>
            </w:r>
            <w:r w:rsidR="009E4BF4" w:rsidRPr="000A0A5F">
              <w:t xml:space="preserve">or queried </w:t>
            </w:r>
            <w:r w:rsidRPr="000A0A5F">
              <w:t>chargeable party transaction</w:t>
            </w:r>
            <w:r w:rsidRPr="000A0A5F">
              <w:rPr>
                <w:noProof/>
                <w:lang w:eastAsia="zh-CN"/>
              </w:rPr>
              <w:t xml:space="preserve"> resources for a given SCS/AS </w:t>
            </w:r>
          </w:p>
        </w:tc>
      </w:tr>
      <w:tr w:rsidR="00CB0DD7" w:rsidRPr="000A0A5F" w:rsidTr="00FF0AF8">
        <w:trPr>
          <w:jc w:val="center"/>
        </w:trPr>
        <w:tc>
          <w:tcPr>
            <w:tcW w:w="623" w:type="pct"/>
            <w:vMerge/>
          </w:tcPr>
          <w:p w:rsidR="00CB0DD7" w:rsidRPr="000A0A5F" w:rsidRDefault="00CB0DD7">
            <w:pPr>
              <w:pStyle w:val="TAL"/>
            </w:pPr>
          </w:p>
        </w:tc>
        <w:tc>
          <w:tcPr>
            <w:tcW w:w="2180" w:type="pct"/>
            <w:vMerge/>
          </w:tcPr>
          <w:p w:rsidR="00CB0DD7" w:rsidRPr="000A0A5F" w:rsidRDefault="00CB0DD7">
            <w:pPr>
              <w:pStyle w:val="TAL"/>
            </w:pPr>
          </w:p>
        </w:tc>
        <w:tc>
          <w:tcPr>
            <w:tcW w:w="454" w:type="pct"/>
          </w:tcPr>
          <w:p w:rsidR="00CB0DD7" w:rsidRPr="000A0A5F" w:rsidRDefault="00CB0DD7">
            <w:pPr>
              <w:pStyle w:val="TAL"/>
            </w:pPr>
            <w:r w:rsidRPr="000A0A5F">
              <w:t>POST</w:t>
            </w:r>
          </w:p>
        </w:tc>
        <w:tc>
          <w:tcPr>
            <w:tcW w:w="1743" w:type="pct"/>
          </w:tcPr>
          <w:p w:rsidR="00CB0DD7" w:rsidRPr="000A0A5F" w:rsidRDefault="00CB0DD7">
            <w:pPr>
              <w:pStyle w:val="TAL"/>
            </w:pPr>
            <w:r w:rsidRPr="000A0A5F">
              <w:t>Create a new chargeable party transaction resource</w:t>
            </w:r>
          </w:p>
        </w:tc>
      </w:tr>
      <w:tr w:rsidR="00CB0DD7" w:rsidRPr="000A0A5F" w:rsidTr="00FF0AF8">
        <w:trPr>
          <w:jc w:val="center"/>
        </w:trPr>
        <w:tc>
          <w:tcPr>
            <w:tcW w:w="623" w:type="pct"/>
            <w:vMerge w:val="restart"/>
            <w:hideMark/>
          </w:tcPr>
          <w:p w:rsidR="00CB0DD7" w:rsidRPr="000A0A5F" w:rsidRDefault="00CB0DD7">
            <w:pPr>
              <w:pStyle w:val="TAL"/>
              <w:rPr>
                <w:lang w:eastAsia="zh-CN"/>
              </w:rPr>
            </w:pPr>
            <w:r w:rsidRPr="000A0A5F">
              <w:t>Individual Chargeable Party Transaction</w:t>
            </w:r>
          </w:p>
        </w:tc>
        <w:tc>
          <w:tcPr>
            <w:tcW w:w="2180" w:type="pct"/>
            <w:vMerge w:val="restart"/>
            <w:hideMark/>
          </w:tcPr>
          <w:p w:rsidR="00CB0DD7" w:rsidRPr="000A0A5F" w:rsidRDefault="00CB0DD7">
            <w:pPr>
              <w:pStyle w:val="TAL"/>
            </w:pPr>
            <w:r w:rsidRPr="000A0A5F">
              <w:t>/{scsAsId}/transactions/{transactionId}</w:t>
            </w:r>
          </w:p>
        </w:tc>
        <w:tc>
          <w:tcPr>
            <w:tcW w:w="454" w:type="pct"/>
          </w:tcPr>
          <w:p w:rsidR="00CB0DD7" w:rsidRPr="000A0A5F" w:rsidRDefault="00CB0DD7">
            <w:pPr>
              <w:pStyle w:val="TAL"/>
            </w:pPr>
            <w:r w:rsidRPr="000A0A5F">
              <w:t>GET</w:t>
            </w:r>
          </w:p>
        </w:tc>
        <w:tc>
          <w:tcPr>
            <w:tcW w:w="1743" w:type="pct"/>
          </w:tcPr>
          <w:p w:rsidR="00CB0DD7" w:rsidRPr="000A0A5F" w:rsidRDefault="00CB0DD7">
            <w:pPr>
              <w:pStyle w:val="TAL"/>
            </w:pPr>
            <w:r w:rsidRPr="000A0A5F">
              <w:t>Read a chargeable party transaction</w:t>
            </w:r>
            <w:r w:rsidRPr="000A0A5F">
              <w:rPr>
                <w:noProof/>
                <w:lang w:eastAsia="zh-CN"/>
              </w:rPr>
              <w:t xml:space="preserve"> resource</w:t>
            </w:r>
          </w:p>
        </w:tc>
      </w:tr>
      <w:tr w:rsidR="00CB0DD7" w:rsidRPr="000A0A5F" w:rsidTr="00FF0AF8">
        <w:trPr>
          <w:jc w:val="center"/>
        </w:trPr>
        <w:tc>
          <w:tcPr>
            <w:tcW w:w="623" w:type="pct"/>
            <w:vMerge/>
          </w:tcPr>
          <w:p w:rsidR="00CB0DD7" w:rsidRPr="000A0A5F" w:rsidRDefault="00CB0DD7">
            <w:pPr>
              <w:pStyle w:val="TAL"/>
            </w:pPr>
          </w:p>
        </w:tc>
        <w:tc>
          <w:tcPr>
            <w:tcW w:w="2180" w:type="pct"/>
            <w:vMerge/>
          </w:tcPr>
          <w:p w:rsidR="00CB0DD7" w:rsidRPr="000A0A5F" w:rsidRDefault="00CB0DD7">
            <w:pPr>
              <w:pStyle w:val="TAL"/>
            </w:pPr>
          </w:p>
        </w:tc>
        <w:tc>
          <w:tcPr>
            <w:tcW w:w="454" w:type="pct"/>
          </w:tcPr>
          <w:p w:rsidR="00CB0DD7" w:rsidRPr="000A0A5F" w:rsidRDefault="00CB0DD7">
            <w:pPr>
              <w:pStyle w:val="TAL"/>
            </w:pPr>
            <w:r w:rsidRPr="000A0A5F">
              <w:t>PATCH</w:t>
            </w:r>
          </w:p>
        </w:tc>
        <w:tc>
          <w:tcPr>
            <w:tcW w:w="1743" w:type="pct"/>
          </w:tcPr>
          <w:p w:rsidR="00CB0DD7" w:rsidRPr="000A0A5F" w:rsidRDefault="00CB0DD7">
            <w:pPr>
              <w:pStyle w:val="TAL"/>
            </w:pPr>
            <w:r w:rsidRPr="000A0A5F">
              <w:t>Partial update a chargeable party transaction</w:t>
            </w:r>
            <w:r w:rsidRPr="000A0A5F">
              <w:rPr>
                <w:noProof/>
                <w:lang w:eastAsia="zh-CN"/>
              </w:rPr>
              <w:t xml:space="preserve"> resource</w:t>
            </w:r>
            <w:r w:rsidRPr="000A0A5F">
              <w:t>.</w:t>
            </w:r>
          </w:p>
        </w:tc>
      </w:tr>
      <w:tr w:rsidR="00CB0DD7" w:rsidRPr="000A0A5F" w:rsidTr="00FF0AF8">
        <w:trPr>
          <w:jc w:val="center"/>
        </w:trPr>
        <w:tc>
          <w:tcPr>
            <w:tcW w:w="623" w:type="pct"/>
            <w:vMerge/>
          </w:tcPr>
          <w:p w:rsidR="00CB0DD7" w:rsidRPr="000A0A5F" w:rsidRDefault="00CB0DD7">
            <w:pPr>
              <w:pStyle w:val="TAL"/>
              <w:spacing w:line="276" w:lineRule="auto"/>
            </w:pPr>
          </w:p>
        </w:tc>
        <w:tc>
          <w:tcPr>
            <w:tcW w:w="2180" w:type="pct"/>
            <w:vMerge/>
          </w:tcPr>
          <w:p w:rsidR="00CB0DD7" w:rsidRPr="000A0A5F" w:rsidRDefault="00CB0DD7">
            <w:pPr>
              <w:pStyle w:val="TAL"/>
              <w:spacing w:line="276" w:lineRule="auto"/>
            </w:pPr>
          </w:p>
        </w:tc>
        <w:tc>
          <w:tcPr>
            <w:tcW w:w="454" w:type="pct"/>
          </w:tcPr>
          <w:p w:rsidR="00CB0DD7" w:rsidRPr="000A0A5F" w:rsidRDefault="00CB0DD7">
            <w:pPr>
              <w:pStyle w:val="TAL"/>
            </w:pPr>
            <w:r w:rsidRPr="000A0A5F">
              <w:t>DELETE</w:t>
            </w:r>
          </w:p>
        </w:tc>
        <w:tc>
          <w:tcPr>
            <w:tcW w:w="1743" w:type="pct"/>
          </w:tcPr>
          <w:p w:rsidR="00CB0DD7" w:rsidRPr="000A0A5F" w:rsidRDefault="00CB0DD7">
            <w:pPr>
              <w:pStyle w:val="TAL"/>
            </w:pPr>
            <w:r w:rsidRPr="000A0A5F">
              <w:rPr>
                <w:noProof/>
                <w:lang w:eastAsia="zh-CN"/>
              </w:rPr>
              <w:t>Delete an existing chargeable party transaction resource</w:t>
            </w:r>
          </w:p>
        </w:tc>
      </w:tr>
    </w:tbl>
    <w:p w:rsidR="00CB0DD7" w:rsidRPr="000A0A5F" w:rsidRDefault="00CB0DD7"/>
    <w:p w:rsidR="00CB0DD7" w:rsidRPr="000A0A5F" w:rsidRDefault="00CB0DD7">
      <w:pPr>
        <w:pStyle w:val="Heading4"/>
      </w:pPr>
      <w:bookmarkStart w:id="3183" w:name="_Toc11247410"/>
      <w:bookmarkStart w:id="3184" w:name="_Toc27044532"/>
      <w:bookmarkStart w:id="3185" w:name="_Toc36033574"/>
      <w:bookmarkStart w:id="3186" w:name="_Toc45131709"/>
      <w:bookmarkStart w:id="3187" w:name="_Toc49775994"/>
      <w:bookmarkStart w:id="3188" w:name="_Toc51746914"/>
      <w:bookmarkStart w:id="3189" w:name="_Toc66360465"/>
      <w:bookmarkStart w:id="3190" w:name="_Toc68104970"/>
      <w:bookmarkStart w:id="3191" w:name="_Toc74755600"/>
      <w:bookmarkStart w:id="3192" w:name="_Toc105674473"/>
      <w:bookmarkStart w:id="3193" w:name="_Toc130502517"/>
      <w:bookmarkStart w:id="3194" w:name="_Toc153625304"/>
      <w:r w:rsidRPr="000A0A5F">
        <w:t>5.5.3.2</w:t>
      </w:r>
      <w:r w:rsidRPr="000A0A5F">
        <w:tab/>
        <w:t>Resource: Chargeable Party Transactions</w:t>
      </w:r>
      <w:bookmarkEnd w:id="3183"/>
      <w:bookmarkEnd w:id="3184"/>
      <w:bookmarkEnd w:id="3185"/>
      <w:bookmarkEnd w:id="3186"/>
      <w:bookmarkEnd w:id="3187"/>
      <w:bookmarkEnd w:id="3188"/>
      <w:bookmarkEnd w:id="3189"/>
      <w:bookmarkEnd w:id="3190"/>
      <w:bookmarkEnd w:id="3191"/>
      <w:bookmarkEnd w:id="3192"/>
      <w:bookmarkEnd w:id="3193"/>
      <w:bookmarkEnd w:id="3194"/>
    </w:p>
    <w:p w:rsidR="00CB0DD7" w:rsidRPr="000A0A5F" w:rsidRDefault="00CB0DD7">
      <w:pPr>
        <w:pStyle w:val="Heading5"/>
      </w:pPr>
      <w:bookmarkStart w:id="3195" w:name="_Toc11247411"/>
      <w:bookmarkStart w:id="3196" w:name="_Toc27044533"/>
      <w:bookmarkStart w:id="3197" w:name="_Toc36033575"/>
      <w:bookmarkStart w:id="3198" w:name="_Toc45131710"/>
      <w:bookmarkStart w:id="3199" w:name="_Toc49775995"/>
      <w:bookmarkStart w:id="3200" w:name="_Toc51746915"/>
      <w:bookmarkStart w:id="3201" w:name="_Toc66360466"/>
      <w:bookmarkStart w:id="3202" w:name="_Toc68104971"/>
      <w:bookmarkStart w:id="3203" w:name="_Toc74755601"/>
      <w:bookmarkStart w:id="3204" w:name="_Toc105674474"/>
      <w:bookmarkStart w:id="3205" w:name="_Toc130502518"/>
      <w:bookmarkStart w:id="3206" w:name="_Toc153625305"/>
      <w:r w:rsidRPr="000A0A5F">
        <w:t>5.5.3.2.1</w:t>
      </w:r>
      <w:r w:rsidRPr="000A0A5F">
        <w:tab/>
        <w:t>Introduction</w:t>
      </w:r>
      <w:bookmarkEnd w:id="3195"/>
      <w:bookmarkEnd w:id="3196"/>
      <w:bookmarkEnd w:id="3197"/>
      <w:bookmarkEnd w:id="3198"/>
      <w:bookmarkEnd w:id="3199"/>
      <w:bookmarkEnd w:id="3200"/>
      <w:bookmarkEnd w:id="3201"/>
      <w:bookmarkEnd w:id="3202"/>
      <w:bookmarkEnd w:id="3203"/>
      <w:bookmarkEnd w:id="3204"/>
      <w:bookmarkEnd w:id="3205"/>
      <w:bookmarkEnd w:id="3206"/>
    </w:p>
    <w:p w:rsidR="00CB0DD7" w:rsidRPr="000A0A5F" w:rsidRDefault="00CB0DD7">
      <w:pPr>
        <w:rPr>
          <w:noProof/>
          <w:lang w:eastAsia="zh-CN"/>
        </w:rPr>
      </w:pPr>
      <w:r w:rsidRPr="000A0A5F">
        <w:rPr>
          <w:noProof/>
          <w:lang w:eastAsia="zh-CN"/>
        </w:rPr>
        <w:t>This resource allows t</w:t>
      </w:r>
      <w:r w:rsidRPr="000A0A5F">
        <w:rPr>
          <w:rFonts w:hint="eastAsia"/>
          <w:noProof/>
          <w:lang w:eastAsia="zh-CN"/>
        </w:rPr>
        <w:t xml:space="preserve">he SCS/AS </w:t>
      </w:r>
      <w:r w:rsidRPr="000A0A5F">
        <w:rPr>
          <w:noProof/>
          <w:lang w:eastAsia="zh-CN"/>
        </w:rPr>
        <w:t>to read all active long-term transactions related to setting a chargeable party and create individual long-term transactions.</w:t>
      </w:r>
    </w:p>
    <w:p w:rsidR="00CB0DD7" w:rsidRPr="000A0A5F" w:rsidRDefault="00CB0DD7">
      <w:pPr>
        <w:pStyle w:val="Heading5"/>
      </w:pPr>
      <w:bookmarkStart w:id="3207" w:name="_Toc11247412"/>
      <w:bookmarkStart w:id="3208" w:name="_Toc27044534"/>
      <w:bookmarkStart w:id="3209" w:name="_Toc36033576"/>
      <w:bookmarkStart w:id="3210" w:name="_Toc45131711"/>
      <w:bookmarkStart w:id="3211" w:name="_Toc49775996"/>
      <w:bookmarkStart w:id="3212" w:name="_Toc51746916"/>
      <w:bookmarkStart w:id="3213" w:name="_Toc66360467"/>
      <w:bookmarkStart w:id="3214" w:name="_Toc68104972"/>
      <w:bookmarkStart w:id="3215" w:name="_Toc74755602"/>
      <w:bookmarkStart w:id="3216" w:name="_Toc105674475"/>
      <w:bookmarkStart w:id="3217" w:name="_Toc130502519"/>
      <w:bookmarkStart w:id="3218" w:name="_Toc153625306"/>
      <w:r w:rsidRPr="000A0A5F">
        <w:t>5.5.3.2.2</w:t>
      </w:r>
      <w:r w:rsidRPr="000A0A5F">
        <w:tab/>
        <w:t>Resource definition</w:t>
      </w:r>
      <w:bookmarkEnd w:id="3207"/>
      <w:bookmarkEnd w:id="3208"/>
      <w:bookmarkEnd w:id="3209"/>
      <w:bookmarkEnd w:id="3210"/>
      <w:bookmarkEnd w:id="3211"/>
      <w:bookmarkEnd w:id="3212"/>
      <w:bookmarkEnd w:id="3213"/>
      <w:bookmarkEnd w:id="3214"/>
      <w:bookmarkEnd w:id="3215"/>
      <w:bookmarkEnd w:id="3216"/>
      <w:bookmarkEnd w:id="3217"/>
      <w:bookmarkEnd w:id="3218"/>
    </w:p>
    <w:p w:rsidR="00CB0DD7" w:rsidRPr="000A0A5F" w:rsidRDefault="00CB0DD7">
      <w:r w:rsidRPr="000A0A5F">
        <w:t xml:space="preserve">Resource URI: </w:t>
      </w:r>
      <w:r w:rsidRPr="000A0A5F">
        <w:rPr>
          <w:b/>
        </w:rPr>
        <w:t>{apiRoot}/3gpp-chargeable-party/v1/{scsAsId}/transactions</w:t>
      </w:r>
    </w:p>
    <w:p w:rsidR="00CB0DD7" w:rsidRPr="000A0A5F" w:rsidRDefault="00CB0DD7">
      <w:pPr>
        <w:rPr>
          <w:rFonts w:ascii="Arial" w:hAnsi="Arial" w:cs="Arial"/>
        </w:rPr>
      </w:pPr>
      <w:r w:rsidRPr="000A0A5F">
        <w:t>This resource shall support the resource URI variables defined in table 5.5.3.2.2-1</w:t>
      </w:r>
      <w:r w:rsidRPr="000A0A5F">
        <w:rPr>
          <w:rFonts w:ascii="Arial" w:hAnsi="Arial" w:cs="Arial"/>
        </w:rPr>
        <w:t>.</w:t>
      </w:r>
    </w:p>
    <w:p w:rsidR="00CB0DD7" w:rsidRPr="000A0A5F" w:rsidRDefault="00CB0DD7">
      <w:pPr>
        <w:pStyle w:val="TH"/>
        <w:rPr>
          <w:rFonts w:cs="Arial"/>
        </w:rPr>
      </w:pPr>
      <w:r w:rsidRPr="000A0A5F">
        <w:t>Table 5.5.3.2.2-1: Resource URI variables for resource "Chargeable Party Transactions"</w:t>
      </w:r>
    </w:p>
    <w:tbl>
      <w:tblPr>
        <w:tblW w:w="4868"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970"/>
        <w:gridCol w:w="1171"/>
        <w:gridCol w:w="6378"/>
      </w:tblGrid>
      <w:tr w:rsidR="00CB0DD7" w:rsidRPr="000A0A5F" w:rsidTr="00FF0AF8">
        <w:trPr>
          <w:jc w:val="center"/>
        </w:trPr>
        <w:tc>
          <w:tcPr>
            <w:tcW w:w="1035" w:type="pct"/>
            <w:shd w:val="clear" w:color="000000" w:fill="C0C0C0"/>
          </w:tcPr>
          <w:p w:rsidR="00CB0DD7" w:rsidRPr="000A0A5F" w:rsidRDefault="00CB0DD7">
            <w:pPr>
              <w:pStyle w:val="TAH"/>
            </w:pPr>
            <w:r w:rsidRPr="000A0A5F">
              <w:t>Name</w:t>
            </w:r>
          </w:p>
        </w:tc>
        <w:tc>
          <w:tcPr>
            <w:tcW w:w="615" w:type="pct"/>
            <w:shd w:val="clear" w:color="000000" w:fill="C0C0C0"/>
          </w:tcPr>
          <w:p w:rsidR="00CB0DD7" w:rsidRPr="000A0A5F" w:rsidRDefault="00CB0DD7">
            <w:pPr>
              <w:pStyle w:val="TAH"/>
            </w:pPr>
            <w:r w:rsidRPr="000A0A5F">
              <w:t>Data type</w:t>
            </w:r>
          </w:p>
        </w:tc>
        <w:tc>
          <w:tcPr>
            <w:tcW w:w="3351" w:type="pct"/>
            <w:shd w:val="clear" w:color="000000" w:fill="C0C0C0"/>
            <w:vAlign w:val="center"/>
          </w:tcPr>
          <w:p w:rsidR="00CB0DD7" w:rsidRPr="000A0A5F" w:rsidRDefault="00CB0DD7">
            <w:pPr>
              <w:pStyle w:val="TAH"/>
            </w:pPr>
            <w:r w:rsidRPr="000A0A5F">
              <w:t>Definition</w:t>
            </w:r>
          </w:p>
        </w:tc>
      </w:tr>
      <w:tr w:rsidR="00CB0DD7" w:rsidRPr="000A0A5F" w:rsidTr="00FF0AF8">
        <w:trPr>
          <w:jc w:val="center"/>
        </w:trPr>
        <w:tc>
          <w:tcPr>
            <w:tcW w:w="1035" w:type="pct"/>
            <w:shd w:val="clear" w:color="auto" w:fill="auto"/>
          </w:tcPr>
          <w:p w:rsidR="00CB0DD7" w:rsidRPr="000A0A5F" w:rsidRDefault="00CB0DD7">
            <w:pPr>
              <w:pStyle w:val="TAL"/>
            </w:pPr>
            <w:r w:rsidRPr="000A0A5F">
              <w:t>apiRoot</w:t>
            </w:r>
          </w:p>
        </w:tc>
        <w:tc>
          <w:tcPr>
            <w:tcW w:w="615" w:type="pct"/>
          </w:tcPr>
          <w:p w:rsidR="00CB0DD7" w:rsidRPr="000A0A5F" w:rsidRDefault="00CB0DD7">
            <w:pPr>
              <w:pStyle w:val="TAL"/>
            </w:pPr>
            <w:r w:rsidRPr="000A0A5F">
              <w:rPr>
                <w:rFonts w:hint="eastAsia"/>
                <w:lang w:eastAsia="zh-CN"/>
              </w:rPr>
              <w:t>s</w:t>
            </w:r>
            <w:r w:rsidRPr="000A0A5F">
              <w:rPr>
                <w:lang w:eastAsia="zh-CN"/>
              </w:rPr>
              <w:t>tring</w:t>
            </w:r>
          </w:p>
        </w:tc>
        <w:tc>
          <w:tcPr>
            <w:tcW w:w="3351" w:type="pct"/>
            <w:shd w:val="clear" w:color="auto" w:fill="auto"/>
            <w:vAlign w:val="center"/>
          </w:tcPr>
          <w:p w:rsidR="00CB0DD7" w:rsidRPr="000A0A5F" w:rsidRDefault="00CB0DD7">
            <w:pPr>
              <w:pStyle w:val="TAL"/>
            </w:pPr>
            <w:r w:rsidRPr="000A0A5F">
              <w:t>See clause</w:t>
            </w:r>
            <w:r w:rsidRPr="000A0A5F">
              <w:rPr>
                <w:lang w:val="en-US" w:eastAsia="zh-CN"/>
              </w:rPr>
              <w:t> </w:t>
            </w:r>
            <w:r w:rsidRPr="000A0A5F">
              <w:t>5.2.4.</w:t>
            </w:r>
          </w:p>
        </w:tc>
      </w:tr>
      <w:tr w:rsidR="00CB0DD7" w:rsidRPr="000A0A5F" w:rsidTr="00FF0AF8">
        <w:trPr>
          <w:jc w:val="center"/>
        </w:trPr>
        <w:tc>
          <w:tcPr>
            <w:tcW w:w="1035" w:type="pct"/>
            <w:shd w:val="clear" w:color="auto" w:fill="auto"/>
          </w:tcPr>
          <w:p w:rsidR="00CB0DD7" w:rsidRPr="000A0A5F" w:rsidRDefault="00CB0DD7">
            <w:pPr>
              <w:pStyle w:val="TAL"/>
            </w:pPr>
            <w:r w:rsidRPr="000A0A5F">
              <w:t>scsAsId</w:t>
            </w:r>
          </w:p>
        </w:tc>
        <w:tc>
          <w:tcPr>
            <w:tcW w:w="615" w:type="pct"/>
          </w:tcPr>
          <w:p w:rsidR="00CB0DD7" w:rsidRPr="000A0A5F" w:rsidRDefault="00CB0DD7">
            <w:pPr>
              <w:pStyle w:val="TAL"/>
            </w:pPr>
            <w:r w:rsidRPr="000A0A5F">
              <w:rPr>
                <w:rFonts w:hint="eastAsia"/>
                <w:lang w:eastAsia="zh-CN"/>
              </w:rPr>
              <w:t>s</w:t>
            </w:r>
            <w:r w:rsidRPr="000A0A5F">
              <w:rPr>
                <w:lang w:eastAsia="zh-CN"/>
              </w:rPr>
              <w:t>tring</w:t>
            </w:r>
          </w:p>
        </w:tc>
        <w:tc>
          <w:tcPr>
            <w:tcW w:w="3351" w:type="pct"/>
            <w:shd w:val="clear" w:color="auto" w:fill="auto"/>
            <w:vAlign w:val="center"/>
          </w:tcPr>
          <w:p w:rsidR="00CB0DD7" w:rsidRPr="000A0A5F" w:rsidRDefault="00CB0DD7">
            <w:pPr>
              <w:pStyle w:val="TAL"/>
            </w:pPr>
            <w:r w:rsidRPr="000A0A5F">
              <w:t>Identifier of the SCS/AS.</w:t>
            </w:r>
          </w:p>
        </w:tc>
      </w:tr>
    </w:tbl>
    <w:p w:rsidR="00CB0DD7" w:rsidRPr="000A0A5F" w:rsidRDefault="00CB0DD7"/>
    <w:p w:rsidR="00CB0DD7" w:rsidRPr="000A0A5F" w:rsidRDefault="00CB0DD7">
      <w:pPr>
        <w:pStyle w:val="Heading5"/>
      </w:pPr>
      <w:bookmarkStart w:id="3219" w:name="_Toc11247413"/>
      <w:bookmarkStart w:id="3220" w:name="_Toc27044535"/>
      <w:bookmarkStart w:id="3221" w:name="_Toc36033577"/>
      <w:bookmarkStart w:id="3222" w:name="_Toc45131712"/>
      <w:bookmarkStart w:id="3223" w:name="_Toc49775997"/>
      <w:bookmarkStart w:id="3224" w:name="_Toc51746917"/>
      <w:bookmarkStart w:id="3225" w:name="_Toc66360468"/>
      <w:bookmarkStart w:id="3226" w:name="_Toc68104973"/>
      <w:bookmarkStart w:id="3227" w:name="_Toc74755603"/>
      <w:bookmarkStart w:id="3228" w:name="_Toc105674476"/>
      <w:bookmarkStart w:id="3229" w:name="_Toc130502520"/>
      <w:bookmarkStart w:id="3230" w:name="_Toc153625307"/>
      <w:r w:rsidRPr="000A0A5F">
        <w:t>5.5.3.2.3</w:t>
      </w:r>
      <w:r w:rsidRPr="000A0A5F">
        <w:tab/>
        <w:t>Resource methods</w:t>
      </w:r>
      <w:bookmarkEnd w:id="3219"/>
      <w:bookmarkEnd w:id="3220"/>
      <w:bookmarkEnd w:id="3221"/>
      <w:bookmarkEnd w:id="3222"/>
      <w:bookmarkEnd w:id="3223"/>
      <w:bookmarkEnd w:id="3224"/>
      <w:bookmarkEnd w:id="3225"/>
      <w:bookmarkEnd w:id="3226"/>
      <w:bookmarkEnd w:id="3227"/>
      <w:bookmarkEnd w:id="3228"/>
      <w:bookmarkEnd w:id="3229"/>
      <w:bookmarkEnd w:id="3230"/>
    </w:p>
    <w:p w:rsidR="00CB0DD7" w:rsidRPr="000A0A5F" w:rsidRDefault="00CB0DD7">
      <w:pPr>
        <w:pStyle w:val="Heading6"/>
      </w:pPr>
      <w:bookmarkStart w:id="3231" w:name="_Toc11247414"/>
      <w:bookmarkStart w:id="3232" w:name="_Toc27044536"/>
      <w:bookmarkStart w:id="3233" w:name="_Toc36033578"/>
      <w:bookmarkStart w:id="3234" w:name="_Toc45131713"/>
      <w:bookmarkStart w:id="3235" w:name="_Toc49775998"/>
      <w:bookmarkStart w:id="3236" w:name="_Toc51746918"/>
      <w:bookmarkStart w:id="3237" w:name="_Toc66360469"/>
      <w:bookmarkStart w:id="3238" w:name="_Toc68104974"/>
      <w:bookmarkStart w:id="3239" w:name="_Toc74755604"/>
      <w:bookmarkStart w:id="3240" w:name="_Toc105674477"/>
      <w:bookmarkStart w:id="3241" w:name="_Toc130502521"/>
      <w:bookmarkStart w:id="3242" w:name="_Toc153625308"/>
      <w:r w:rsidRPr="000A0A5F">
        <w:t>5.5.3.2.3.1</w:t>
      </w:r>
      <w:r w:rsidRPr="000A0A5F">
        <w:tab/>
        <w:t>GET</w:t>
      </w:r>
      <w:bookmarkEnd w:id="3231"/>
      <w:bookmarkEnd w:id="3232"/>
      <w:bookmarkEnd w:id="3233"/>
      <w:bookmarkEnd w:id="3234"/>
      <w:bookmarkEnd w:id="3235"/>
      <w:bookmarkEnd w:id="3236"/>
      <w:bookmarkEnd w:id="3237"/>
      <w:bookmarkEnd w:id="3238"/>
      <w:bookmarkEnd w:id="3239"/>
      <w:bookmarkEnd w:id="3240"/>
      <w:bookmarkEnd w:id="3241"/>
      <w:bookmarkEnd w:id="3242"/>
    </w:p>
    <w:p w:rsidR="00CB0DD7" w:rsidRPr="000A0A5F" w:rsidRDefault="00CB0DD7">
      <w:pPr>
        <w:rPr>
          <w:noProof/>
          <w:lang w:eastAsia="zh-CN"/>
        </w:rPr>
      </w:pPr>
      <w:r w:rsidRPr="000A0A5F">
        <w:rPr>
          <w:noProof/>
          <w:lang w:eastAsia="zh-CN"/>
        </w:rPr>
        <w:t xml:space="preserve">The GET method allows to read all </w:t>
      </w:r>
      <w:r w:rsidR="009E4BF4" w:rsidRPr="000A0A5F">
        <w:t xml:space="preserve">or queried </w:t>
      </w:r>
      <w:r w:rsidRPr="000A0A5F">
        <w:rPr>
          <w:noProof/>
          <w:lang w:eastAsia="zh-CN"/>
        </w:rPr>
        <w:t xml:space="preserve">active chargeable party transactions for a given SCS/AS. The SCS/AS shall initiate the HTTP GET request message and the SCEF shall respond to the message. </w:t>
      </w:r>
    </w:p>
    <w:p w:rsidR="00CB0DD7" w:rsidRPr="000A0A5F" w:rsidRDefault="00CB0DD7">
      <w:r w:rsidRPr="000A0A5F">
        <w:t>This method shall support the URI query parameters, request and response data structures, and response codes, as specified in the table 5.5.3.2.3.1-1 and table 5.5.3.2.3.1-2.</w:t>
      </w:r>
    </w:p>
    <w:p w:rsidR="00CB0DD7" w:rsidRPr="000A0A5F" w:rsidRDefault="00CB0DD7">
      <w:pPr>
        <w:pStyle w:val="TH"/>
        <w:rPr>
          <w:rFonts w:cs="Arial"/>
        </w:rPr>
      </w:pPr>
      <w:r w:rsidRPr="000A0A5F">
        <w:t xml:space="preserve">Table 5.5.3.2.3.1-1: URI query parameters supported by the GET method on this resource </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044"/>
        <w:gridCol w:w="1107"/>
        <w:gridCol w:w="739"/>
        <w:gridCol w:w="5542"/>
        <w:gridCol w:w="1345"/>
        <w:tblGridChange w:id="3243">
          <w:tblGrid>
            <w:gridCol w:w="1044"/>
            <w:gridCol w:w="1107"/>
            <w:gridCol w:w="739"/>
            <w:gridCol w:w="5542"/>
            <w:gridCol w:w="1345"/>
          </w:tblGrid>
        </w:tblGridChange>
      </w:tblGrid>
      <w:tr w:rsidR="00AD10F3" w:rsidRPr="000A0A5F" w:rsidTr="00FF0AF8">
        <w:trPr>
          <w:jc w:val="center"/>
        </w:trPr>
        <w:tc>
          <w:tcPr>
            <w:tcW w:w="534" w:type="pct"/>
            <w:shd w:val="clear" w:color="000000" w:fill="C0C0C0"/>
          </w:tcPr>
          <w:p w:rsidR="00AD10F3" w:rsidRPr="000A0A5F" w:rsidRDefault="00AD10F3">
            <w:pPr>
              <w:pStyle w:val="TAH"/>
            </w:pPr>
            <w:r w:rsidRPr="000A0A5F">
              <w:t>Name</w:t>
            </w:r>
          </w:p>
        </w:tc>
        <w:tc>
          <w:tcPr>
            <w:tcW w:w="566" w:type="pct"/>
            <w:shd w:val="clear" w:color="000000" w:fill="C0C0C0"/>
          </w:tcPr>
          <w:p w:rsidR="00AD10F3" w:rsidRPr="000A0A5F" w:rsidRDefault="00AD10F3">
            <w:pPr>
              <w:pStyle w:val="TAH"/>
            </w:pPr>
            <w:r w:rsidRPr="000A0A5F">
              <w:t>Data type</w:t>
            </w:r>
          </w:p>
        </w:tc>
        <w:tc>
          <w:tcPr>
            <w:tcW w:w="378" w:type="pct"/>
            <w:shd w:val="clear" w:color="000000" w:fill="C0C0C0"/>
          </w:tcPr>
          <w:p w:rsidR="00AD10F3" w:rsidRPr="000A0A5F" w:rsidRDefault="00AD10F3">
            <w:pPr>
              <w:pStyle w:val="TAH"/>
            </w:pPr>
            <w:r w:rsidRPr="000A0A5F">
              <w:t>Cardinality</w:t>
            </w:r>
          </w:p>
        </w:tc>
        <w:tc>
          <w:tcPr>
            <w:tcW w:w="2834" w:type="pct"/>
            <w:shd w:val="clear" w:color="000000" w:fill="C0C0C0"/>
            <w:vAlign w:val="center"/>
          </w:tcPr>
          <w:p w:rsidR="00AD10F3" w:rsidRPr="000A0A5F" w:rsidRDefault="00AD10F3">
            <w:pPr>
              <w:pStyle w:val="TAH"/>
            </w:pPr>
            <w:r w:rsidRPr="000A0A5F">
              <w:t>Remarks</w:t>
            </w:r>
          </w:p>
        </w:tc>
        <w:tc>
          <w:tcPr>
            <w:tcW w:w="688" w:type="pct"/>
            <w:shd w:val="clear" w:color="000000" w:fill="C0C0C0"/>
          </w:tcPr>
          <w:p w:rsidR="00AD10F3" w:rsidRPr="000A0A5F" w:rsidRDefault="00AD10F3">
            <w:pPr>
              <w:pStyle w:val="TAH"/>
            </w:pPr>
            <w:r w:rsidRPr="000A0A5F">
              <w:t>Applicability</w:t>
            </w:r>
          </w:p>
        </w:tc>
      </w:tr>
      <w:tr w:rsidR="00304356" w:rsidRPr="000A0A5F" w:rsidTr="00FF0AF8">
        <w:trPr>
          <w:jc w:val="center"/>
        </w:trPr>
        <w:tc>
          <w:tcPr>
            <w:tcW w:w="534" w:type="pct"/>
            <w:shd w:val="clear" w:color="auto" w:fill="auto"/>
            <w:vAlign w:val="center"/>
          </w:tcPr>
          <w:p w:rsidR="00304356" w:rsidRPr="000A0A5F" w:rsidRDefault="00304356" w:rsidP="00304356">
            <w:pPr>
              <w:pStyle w:val="TAL"/>
            </w:pPr>
            <w:r w:rsidRPr="000A0A5F">
              <w:t>ip-addr</w:t>
            </w:r>
            <w:r w:rsidR="009E4BF4" w:rsidRPr="000A0A5F">
              <w:t>s</w:t>
            </w:r>
          </w:p>
        </w:tc>
        <w:tc>
          <w:tcPr>
            <w:tcW w:w="566" w:type="pct"/>
            <w:vAlign w:val="center"/>
          </w:tcPr>
          <w:p w:rsidR="00304356" w:rsidRPr="000A0A5F" w:rsidRDefault="00304356" w:rsidP="00304356">
            <w:pPr>
              <w:pStyle w:val="TAL"/>
            </w:pPr>
            <w:r w:rsidRPr="000A0A5F">
              <w:t>array(IpAddr)</w:t>
            </w:r>
          </w:p>
        </w:tc>
        <w:tc>
          <w:tcPr>
            <w:tcW w:w="378" w:type="pct"/>
            <w:vAlign w:val="center"/>
          </w:tcPr>
          <w:p w:rsidR="00304356" w:rsidRPr="000A0A5F" w:rsidRDefault="00304356" w:rsidP="00304356">
            <w:pPr>
              <w:pStyle w:val="TAL"/>
            </w:pPr>
            <w:r w:rsidRPr="000A0A5F">
              <w:t>0..N</w:t>
            </w:r>
          </w:p>
        </w:tc>
        <w:tc>
          <w:tcPr>
            <w:tcW w:w="2834" w:type="pct"/>
            <w:shd w:val="clear" w:color="auto" w:fill="auto"/>
            <w:vAlign w:val="center"/>
          </w:tcPr>
          <w:p w:rsidR="00304356" w:rsidRPr="000A0A5F" w:rsidRDefault="00304356" w:rsidP="00304356">
            <w:pPr>
              <w:pStyle w:val="TAL"/>
            </w:pPr>
            <w:r w:rsidRPr="000A0A5F">
              <w:t>The IP address(es) of the requested UE(s).</w:t>
            </w:r>
          </w:p>
        </w:tc>
        <w:tc>
          <w:tcPr>
            <w:tcW w:w="688" w:type="pct"/>
            <w:vAlign w:val="center"/>
          </w:tcPr>
          <w:p w:rsidR="00304356" w:rsidRPr="000A0A5F" w:rsidRDefault="00304356" w:rsidP="00304356">
            <w:pPr>
              <w:pStyle w:val="TAL"/>
            </w:pPr>
            <w:r w:rsidRPr="000A0A5F">
              <w:t>enNB</w:t>
            </w:r>
          </w:p>
        </w:tc>
      </w:tr>
      <w:tr w:rsidR="00304356" w:rsidRPr="000A0A5F" w:rsidTr="00FF0AF8">
        <w:trPr>
          <w:jc w:val="center"/>
        </w:trPr>
        <w:tc>
          <w:tcPr>
            <w:tcW w:w="534" w:type="pct"/>
            <w:shd w:val="clear" w:color="auto" w:fill="auto"/>
            <w:vAlign w:val="center"/>
          </w:tcPr>
          <w:p w:rsidR="00304356" w:rsidRPr="000A0A5F" w:rsidRDefault="00304356" w:rsidP="00304356">
            <w:pPr>
              <w:pStyle w:val="TAL"/>
            </w:pPr>
            <w:r w:rsidRPr="000A0A5F">
              <w:t>ip-domain</w:t>
            </w:r>
          </w:p>
        </w:tc>
        <w:tc>
          <w:tcPr>
            <w:tcW w:w="566" w:type="pct"/>
            <w:vAlign w:val="center"/>
          </w:tcPr>
          <w:p w:rsidR="00304356" w:rsidRPr="000A0A5F" w:rsidRDefault="00304356" w:rsidP="00304356">
            <w:pPr>
              <w:pStyle w:val="TAL"/>
            </w:pPr>
            <w:r w:rsidRPr="000A0A5F">
              <w:t>string</w:t>
            </w:r>
          </w:p>
        </w:tc>
        <w:tc>
          <w:tcPr>
            <w:tcW w:w="378" w:type="pct"/>
            <w:vAlign w:val="center"/>
          </w:tcPr>
          <w:p w:rsidR="00304356" w:rsidRPr="000A0A5F" w:rsidRDefault="00304356" w:rsidP="00304356">
            <w:pPr>
              <w:pStyle w:val="TAL"/>
            </w:pPr>
            <w:r w:rsidRPr="000A0A5F">
              <w:t>0..1</w:t>
            </w:r>
          </w:p>
        </w:tc>
        <w:tc>
          <w:tcPr>
            <w:tcW w:w="2834" w:type="pct"/>
            <w:shd w:val="clear" w:color="auto" w:fill="auto"/>
            <w:vAlign w:val="center"/>
          </w:tcPr>
          <w:p w:rsidR="00304356" w:rsidRPr="000A0A5F" w:rsidRDefault="00304356" w:rsidP="00304356">
            <w:pPr>
              <w:pStyle w:val="TAL"/>
            </w:pPr>
            <w:r w:rsidRPr="000A0A5F">
              <w:t>The IPv4 address domain identifier.</w:t>
            </w:r>
          </w:p>
          <w:p w:rsidR="00304356" w:rsidRPr="000A0A5F" w:rsidRDefault="00304356" w:rsidP="00304356">
            <w:pPr>
              <w:pStyle w:val="TAL"/>
            </w:pPr>
            <w:r w:rsidRPr="000A0A5F">
              <w:t>The attribute may only be provided if IPv4 address is included in the ip-addrs query parameter.</w:t>
            </w:r>
          </w:p>
        </w:tc>
        <w:tc>
          <w:tcPr>
            <w:tcW w:w="688" w:type="pct"/>
            <w:vAlign w:val="center"/>
          </w:tcPr>
          <w:p w:rsidR="00304356" w:rsidRPr="000A0A5F" w:rsidRDefault="00304356" w:rsidP="00304356">
            <w:pPr>
              <w:pStyle w:val="TAL"/>
            </w:pPr>
            <w:r w:rsidRPr="000A0A5F">
              <w:t>enNB</w:t>
            </w:r>
          </w:p>
        </w:tc>
      </w:tr>
      <w:tr w:rsidR="00304356" w:rsidRPr="000A0A5F" w:rsidTr="00FF0AF8">
        <w:trPr>
          <w:jc w:val="center"/>
        </w:trPr>
        <w:tc>
          <w:tcPr>
            <w:tcW w:w="534" w:type="pct"/>
            <w:shd w:val="clear" w:color="auto" w:fill="auto"/>
            <w:vAlign w:val="center"/>
          </w:tcPr>
          <w:p w:rsidR="00304356" w:rsidRPr="000A0A5F" w:rsidRDefault="00304356" w:rsidP="00304356">
            <w:pPr>
              <w:pStyle w:val="TAL"/>
            </w:pPr>
            <w:r w:rsidRPr="000A0A5F">
              <w:t>mac-addrs</w:t>
            </w:r>
          </w:p>
        </w:tc>
        <w:tc>
          <w:tcPr>
            <w:tcW w:w="566" w:type="pct"/>
            <w:vAlign w:val="center"/>
          </w:tcPr>
          <w:p w:rsidR="00304356" w:rsidRPr="000A0A5F" w:rsidRDefault="00304356" w:rsidP="00304356">
            <w:pPr>
              <w:pStyle w:val="TAL"/>
            </w:pPr>
            <w:r w:rsidRPr="000A0A5F">
              <w:t>array(MacAddr48)</w:t>
            </w:r>
          </w:p>
        </w:tc>
        <w:tc>
          <w:tcPr>
            <w:tcW w:w="378" w:type="pct"/>
            <w:vAlign w:val="center"/>
          </w:tcPr>
          <w:p w:rsidR="00304356" w:rsidRPr="000A0A5F" w:rsidRDefault="00304356" w:rsidP="00304356">
            <w:pPr>
              <w:pStyle w:val="TAL"/>
            </w:pPr>
            <w:r w:rsidRPr="000A0A5F">
              <w:t>0..N</w:t>
            </w:r>
          </w:p>
        </w:tc>
        <w:tc>
          <w:tcPr>
            <w:tcW w:w="2834" w:type="pct"/>
            <w:shd w:val="clear" w:color="auto" w:fill="auto"/>
            <w:vAlign w:val="center"/>
          </w:tcPr>
          <w:p w:rsidR="00304356" w:rsidRPr="000A0A5F" w:rsidRDefault="00304356" w:rsidP="00304356">
            <w:pPr>
              <w:pStyle w:val="TAL"/>
            </w:pPr>
            <w:r w:rsidRPr="000A0A5F">
              <w:t>The MAC address(es) of the requested UE(s).</w:t>
            </w:r>
          </w:p>
        </w:tc>
        <w:tc>
          <w:tcPr>
            <w:tcW w:w="688" w:type="pct"/>
            <w:vAlign w:val="center"/>
          </w:tcPr>
          <w:p w:rsidR="00304356" w:rsidRPr="000A0A5F" w:rsidRDefault="00304356" w:rsidP="00304356">
            <w:pPr>
              <w:pStyle w:val="TAL"/>
            </w:pPr>
            <w:r w:rsidRPr="000A0A5F">
              <w:t>enNB</w:t>
            </w:r>
          </w:p>
        </w:tc>
      </w:tr>
      <w:tr w:rsidR="00E34307" w:rsidRPr="000A0A5F" w:rsidTr="00E34307">
        <w:trPr>
          <w:jc w:val="center"/>
        </w:trPr>
        <w:tc>
          <w:tcPr>
            <w:tcW w:w="5000" w:type="pct"/>
            <w:gridSpan w:val="5"/>
            <w:shd w:val="clear" w:color="auto" w:fill="auto"/>
            <w:vAlign w:val="center"/>
          </w:tcPr>
          <w:p w:rsidR="00E34307" w:rsidRPr="000A0A5F" w:rsidRDefault="00E34307" w:rsidP="00E34307">
            <w:pPr>
              <w:pStyle w:val="TAN"/>
            </w:pPr>
            <w:r w:rsidRPr="000A0A5F">
              <w:t>NOTE:</w:t>
            </w:r>
            <w:r w:rsidRPr="000A0A5F">
              <w:tab/>
              <w:t>Either the "ip-addrs" parameter or the "mac-addrs" parameter may be provided at the same time. If multiple elements are provided in the array data structure, then each element shall be treated as a separate query parameter.</w:t>
            </w:r>
          </w:p>
        </w:tc>
      </w:tr>
    </w:tbl>
    <w:p w:rsidR="00CB0DD7" w:rsidRPr="000A0A5F" w:rsidRDefault="00CB0DD7"/>
    <w:p w:rsidR="00CB0DD7" w:rsidRPr="000A0A5F" w:rsidRDefault="00CB0DD7">
      <w:pPr>
        <w:pStyle w:val="TH"/>
      </w:pPr>
      <w:r w:rsidRPr="000A0A5F">
        <w:t>Table 5.5.3.2.3.1-2: Data structures supported by the GET request/response by the resource</w:t>
      </w:r>
    </w:p>
    <w:tbl>
      <w:tblPr>
        <w:tblW w:w="4999" w:type="pct"/>
        <w:tblInd w:w="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45" w:type="dxa"/>
          <w:left w:w="45" w:type="dxa"/>
          <w:bottom w:w="45" w:type="dxa"/>
          <w:right w:w="45" w:type="dxa"/>
        </w:tblCellMar>
        <w:tblLook w:val="0000" w:firstRow="0" w:lastRow="0" w:firstColumn="0" w:lastColumn="0" w:noHBand="0" w:noVBand="0"/>
      </w:tblPr>
      <w:tblGrid>
        <w:gridCol w:w="1035"/>
        <w:gridCol w:w="2127"/>
        <w:gridCol w:w="1053"/>
        <w:gridCol w:w="973"/>
        <w:gridCol w:w="4541"/>
      </w:tblGrid>
      <w:tr w:rsidR="00CB0DD7" w:rsidRPr="000A0A5F" w:rsidTr="00B40D37">
        <w:tc>
          <w:tcPr>
            <w:tcW w:w="532" w:type="pct"/>
            <w:vMerge w:val="restart"/>
            <w:shd w:val="clear" w:color="auto" w:fill="C0C0C0"/>
            <w:vAlign w:val="center"/>
          </w:tcPr>
          <w:p w:rsidR="00CB0DD7" w:rsidRPr="000A0A5F" w:rsidRDefault="00CB0DD7">
            <w:pPr>
              <w:pStyle w:val="TAH"/>
            </w:pPr>
            <w:r w:rsidRPr="000A0A5F">
              <w:t>Request body</w:t>
            </w:r>
          </w:p>
        </w:tc>
        <w:tc>
          <w:tcPr>
            <w:tcW w:w="1093" w:type="pct"/>
            <w:shd w:val="clear" w:color="auto" w:fill="C0C0C0"/>
          </w:tcPr>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r w:rsidRPr="000A0A5F">
              <w:t>Cardinality</w:t>
            </w:r>
          </w:p>
        </w:tc>
        <w:tc>
          <w:tcPr>
            <w:tcW w:w="2834" w:type="pct"/>
            <w:gridSpan w:val="2"/>
            <w:shd w:val="clear" w:color="auto" w:fill="C0C0C0"/>
          </w:tcPr>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none</w:t>
            </w:r>
          </w:p>
        </w:tc>
        <w:tc>
          <w:tcPr>
            <w:tcW w:w="541" w:type="pct"/>
          </w:tcPr>
          <w:p w:rsidR="00CB0DD7" w:rsidRPr="000A0A5F" w:rsidRDefault="00CB0DD7">
            <w:pPr>
              <w:pStyle w:val="TAL"/>
            </w:pPr>
          </w:p>
        </w:tc>
        <w:tc>
          <w:tcPr>
            <w:tcW w:w="2834" w:type="pct"/>
            <w:gridSpan w:val="2"/>
          </w:tcPr>
          <w:p w:rsidR="00CB0DD7" w:rsidRPr="000A0A5F" w:rsidRDefault="00CB0DD7">
            <w:pPr>
              <w:pStyle w:val="TAL"/>
            </w:pPr>
          </w:p>
        </w:tc>
      </w:tr>
      <w:tr w:rsidR="00CB0DD7" w:rsidRPr="000A0A5F" w:rsidTr="00B40D37">
        <w:tc>
          <w:tcPr>
            <w:tcW w:w="532" w:type="pct"/>
            <w:vMerge w:val="restart"/>
            <w:shd w:val="clear" w:color="auto" w:fill="C0C0C0"/>
            <w:vAlign w:val="center"/>
          </w:tcPr>
          <w:p w:rsidR="00CB0DD7" w:rsidRPr="000A0A5F" w:rsidRDefault="00CB0DD7">
            <w:pPr>
              <w:pStyle w:val="TAH"/>
            </w:pPr>
            <w:r w:rsidRPr="000A0A5F">
              <w:t>Response body</w:t>
            </w:r>
          </w:p>
        </w:tc>
        <w:tc>
          <w:tcPr>
            <w:tcW w:w="1093" w:type="pct"/>
            <w:shd w:val="clear" w:color="auto" w:fill="C0C0C0"/>
          </w:tcPr>
          <w:p w:rsidR="00CB0DD7" w:rsidRPr="000A0A5F" w:rsidRDefault="00CB0DD7">
            <w:pPr>
              <w:pStyle w:val="TAH"/>
            </w:pPr>
          </w:p>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p>
          <w:p w:rsidR="00CB0DD7" w:rsidRPr="000A0A5F" w:rsidRDefault="00CB0DD7">
            <w:pPr>
              <w:pStyle w:val="TAH"/>
            </w:pPr>
            <w:r w:rsidRPr="000A0A5F">
              <w:t>Cardinality</w:t>
            </w:r>
          </w:p>
        </w:tc>
        <w:tc>
          <w:tcPr>
            <w:tcW w:w="500" w:type="pct"/>
            <w:shd w:val="clear" w:color="auto" w:fill="C0C0C0"/>
          </w:tcPr>
          <w:p w:rsidR="00CB0DD7" w:rsidRPr="000A0A5F" w:rsidRDefault="00CB0DD7">
            <w:pPr>
              <w:pStyle w:val="TAH"/>
            </w:pPr>
            <w:r w:rsidRPr="000A0A5F">
              <w:t>Response</w:t>
            </w:r>
          </w:p>
          <w:p w:rsidR="00CB0DD7" w:rsidRPr="000A0A5F" w:rsidRDefault="00CB0DD7">
            <w:pPr>
              <w:pStyle w:val="TAH"/>
            </w:pPr>
            <w:r w:rsidRPr="000A0A5F">
              <w:t>codes</w:t>
            </w:r>
          </w:p>
        </w:tc>
        <w:tc>
          <w:tcPr>
            <w:tcW w:w="2334" w:type="pct"/>
            <w:shd w:val="clear" w:color="auto" w:fill="C0C0C0"/>
          </w:tcPr>
          <w:p w:rsidR="00CB0DD7" w:rsidRPr="000A0A5F" w:rsidRDefault="00CB0DD7">
            <w:pPr>
              <w:pStyle w:val="TAH"/>
            </w:pPr>
          </w:p>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array(ChargeableParty)</w:t>
            </w:r>
          </w:p>
        </w:tc>
        <w:tc>
          <w:tcPr>
            <w:tcW w:w="541" w:type="pct"/>
          </w:tcPr>
          <w:p w:rsidR="00CB0DD7" w:rsidRPr="000A0A5F" w:rsidRDefault="00CB0DD7">
            <w:pPr>
              <w:pStyle w:val="TAL"/>
            </w:pPr>
            <w:r w:rsidRPr="000A0A5F">
              <w:t>0..N</w:t>
            </w:r>
          </w:p>
        </w:tc>
        <w:tc>
          <w:tcPr>
            <w:tcW w:w="500" w:type="pct"/>
          </w:tcPr>
          <w:p w:rsidR="00CB0DD7" w:rsidRPr="000A0A5F" w:rsidRDefault="00CB0DD7">
            <w:pPr>
              <w:pStyle w:val="TAL"/>
            </w:pPr>
            <w:r w:rsidRPr="000A0A5F">
              <w:t>200 OK</w:t>
            </w:r>
          </w:p>
        </w:tc>
        <w:tc>
          <w:tcPr>
            <w:tcW w:w="2334" w:type="pct"/>
          </w:tcPr>
          <w:p w:rsidR="00CB0DD7" w:rsidRPr="000A0A5F" w:rsidRDefault="00CB0DD7">
            <w:pPr>
              <w:pStyle w:val="TAL"/>
            </w:pPr>
            <w:r w:rsidRPr="000A0A5F">
              <w:t>The chargeable party transactions information for the SCS/AS in the request URI are returned.</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none</w:t>
            </w:r>
          </w:p>
        </w:tc>
        <w:tc>
          <w:tcPr>
            <w:tcW w:w="541" w:type="pct"/>
          </w:tcPr>
          <w:p w:rsidR="00CB0DD7" w:rsidRPr="000A0A5F" w:rsidRDefault="00CB0DD7">
            <w:pPr>
              <w:pStyle w:val="TAL"/>
            </w:pPr>
          </w:p>
        </w:tc>
        <w:tc>
          <w:tcPr>
            <w:tcW w:w="500" w:type="pct"/>
          </w:tcPr>
          <w:p w:rsidR="00CB0DD7" w:rsidRPr="000A0A5F" w:rsidRDefault="00CB0DD7">
            <w:pPr>
              <w:pStyle w:val="TAL"/>
            </w:pPr>
            <w:r w:rsidRPr="000A0A5F">
              <w:t>307 Temporary Redirect</w:t>
            </w:r>
          </w:p>
        </w:tc>
        <w:tc>
          <w:tcPr>
            <w:tcW w:w="2334" w:type="pct"/>
          </w:tcPr>
          <w:p w:rsidR="00CB0DD7" w:rsidRPr="000A0A5F" w:rsidRDefault="00CB0DD7">
            <w:pPr>
              <w:pStyle w:val="TAL"/>
            </w:pPr>
            <w:r w:rsidRPr="000A0A5F">
              <w:t>Temporary redirection, during transaction retrieval. The response shall include a Location header field containing an alternative URI of the resource located in an alternative SCEF.</w:t>
            </w:r>
          </w:p>
          <w:p w:rsidR="00CB0DD7" w:rsidRPr="000A0A5F" w:rsidRDefault="00CB0DD7">
            <w:pPr>
              <w:pStyle w:val="TAL"/>
            </w:pPr>
            <w:r w:rsidRPr="000A0A5F">
              <w:t>Redirection handling is described in clause 5.2.10.</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none</w:t>
            </w:r>
          </w:p>
        </w:tc>
        <w:tc>
          <w:tcPr>
            <w:tcW w:w="541" w:type="pct"/>
          </w:tcPr>
          <w:p w:rsidR="00CB0DD7" w:rsidRPr="000A0A5F" w:rsidRDefault="00CB0DD7">
            <w:pPr>
              <w:pStyle w:val="TAL"/>
            </w:pPr>
          </w:p>
        </w:tc>
        <w:tc>
          <w:tcPr>
            <w:tcW w:w="500" w:type="pct"/>
          </w:tcPr>
          <w:p w:rsidR="00CB0DD7" w:rsidRPr="000A0A5F" w:rsidRDefault="00CB0DD7">
            <w:pPr>
              <w:pStyle w:val="TAL"/>
            </w:pPr>
            <w:r w:rsidRPr="000A0A5F">
              <w:t>308 Permanent Redirect</w:t>
            </w:r>
          </w:p>
        </w:tc>
        <w:tc>
          <w:tcPr>
            <w:tcW w:w="2334" w:type="pct"/>
          </w:tcPr>
          <w:p w:rsidR="00CB0DD7" w:rsidRPr="000A0A5F" w:rsidRDefault="00CB0DD7">
            <w:pPr>
              <w:pStyle w:val="TAL"/>
            </w:pPr>
            <w:r w:rsidRPr="000A0A5F">
              <w:t>Permanent redirection, during transaction retrieval. The response shall include a Location header field containing an alternative URI of the resource located in an alternative SCEF.</w:t>
            </w:r>
          </w:p>
          <w:p w:rsidR="00CB0DD7" w:rsidRPr="000A0A5F" w:rsidRDefault="00CB0DD7">
            <w:pPr>
              <w:pStyle w:val="TAL"/>
            </w:pPr>
            <w:r w:rsidRPr="000A0A5F">
              <w:t>Redirection handling is described in clause 5.2.10.</w:t>
            </w:r>
          </w:p>
        </w:tc>
      </w:tr>
      <w:tr w:rsidR="00CB0DD7" w:rsidRPr="000A0A5F" w:rsidTr="00FF0AF8">
        <w:tc>
          <w:tcPr>
            <w:tcW w:w="5000" w:type="pct"/>
            <w:gridSpan w:val="5"/>
            <w:shd w:val="clear" w:color="auto" w:fill="auto"/>
            <w:vAlign w:val="center"/>
          </w:tcPr>
          <w:p w:rsidR="00CB0DD7" w:rsidRPr="000A0A5F" w:rsidRDefault="00CB0DD7">
            <w:pPr>
              <w:pStyle w:val="TAN"/>
            </w:pPr>
            <w:r w:rsidRPr="000A0A5F">
              <w:t>NOTE:</w:t>
            </w:r>
            <w:r w:rsidRPr="000A0A5F">
              <w:tab/>
              <w:t>The mandatory HTTP error status codes for the GET method listed in table 5.2.6-1 also apply.</w:t>
            </w:r>
          </w:p>
        </w:tc>
      </w:tr>
    </w:tbl>
    <w:p w:rsidR="00CB0DD7" w:rsidRPr="000A0A5F" w:rsidRDefault="00CB0DD7"/>
    <w:p w:rsidR="00CB0DD7" w:rsidRPr="000A0A5F" w:rsidRDefault="00B004CD">
      <w:pPr>
        <w:pStyle w:val="TH"/>
      </w:pPr>
      <w:r w:rsidRPr="000A0A5F">
        <w:t>Table </w:t>
      </w:r>
      <w:r w:rsidR="00CB0DD7" w:rsidRPr="000A0A5F">
        <w:t>5.5.3.2.3.1-3: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B004CD">
      <w:pPr>
        <w:pStyle w:val="TH"/>
      </w:pPr>
      <w:r w:rsidRPr="000A0A5F">
        <w:t>Table </w:t>
      </w:r>
      <w:r w:rsidR="00CB0DD7" w:rsidRPr="000A0A5F">
        <w:t>5.5.3.2.3.1-4: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CB0DD7">
      <w:pPr>
        <w:pStyle w:val="Heading6"/>
        <w:rPr>
          <w:rFonts w:hint="eastAsia"/>
        </w:rPr>
      </w:pPr>
      <w:bookmarkStart w:id="3244" w:name="_Toc11247415"/>
      <w:bookmarkStart w:id="3245" w:name="_Toc27044537"/>
      <w:bookmarkStart w:id="3246" w:name="_Toc36033579"/>
      <w:bookmarkStart w:id="3247" w:name="_Toc45131714"/>
      <w:bookmarkStart w:id="3248" w:name="_Toc49775999"/>
      <w:bookmarkStart w:id="3249" w:name="_Toc51746919"/>
      <w:bookmarkStart w:id="3250" w:name="_Toc66360470"/>
      <w:bookmarkStart w:id="3251" w:name="_Toc68104975"/>
      <w:bookmarkStart w:id="3252" w:name="_Toc74755605"/>
      <w:bookmarkStart w:id="3253" w:name="_Toc105674478"/>
      <w:bookmarkStart w:id="3254" w:name="_Toc130502522"/>
      <w:bookmarkStart w:id="3255" w:name="_Toc153625309"/>
      <w:r w:rsidRPr="000A0A5F">
        <w:t>5.5.3.2.3.2</w:t>
      </w:r>
      <w:r w:rsidRPr="000A0A5F">
        <w:tab/>
        <w:t>PUT</w:t>
      </w:r>
      <w:bookmarkEnd w:id="3244"/>
      <w:bookmarkEnd w:id="3245"/>
      <w:bookmarkEnd w:id="3246"/>
      <w:bookmarkEnd w:id="3247"/>
      <w:bookmarkEnd w:id="3248"/>
      <w:bookmarkEnd w:id="3249"/>
      <w:bookmarkEnd w:id="3250"/>
      <w:bookmarkEnd w:id="3251"/>
      <w:bookmarkEnd w:id="3252"/>
      <w:bookmarkEnd w:id="3253"/>
      <w:bookmarkEnd w:id="3254"/>
      <w:bookmarkEnd w:id="3255"/>
    </w:p>
    <w:p w:rsidR="00CB0DD7" w:rsidRPr="000A0A5F" w:rsidRDefault="00CB0DD7">
      <w:pPr>
        <w:rPr>
          <w:lang w:eastAsia="zh-CN"/>
        </w:rPr>
      </w:pPr>
      <w:r w:rsidRPr="000A0A5F">
        <w:rPr>
          <w:rFonts w:hint="eastAsia"/>
          <w:lang w:eastAsia="zh-CN"/>
        </w:rPr>
        <w:t xml:space="preserve">This </w:t>
      </w:r>
      <w:r w:rsidRPr="000A0A5F">
        <w:rPr>
          <w:lang w:eastAsia="zh-CN"/>
        </w:rPr>
        <w:t>HTTP method is not supported for the resource.</w:t>
      </w:r>
    </w:p>
    <w:p w:rsidR="00CB0DD7" w:rsidRPr="000A0A5F" w:rsidRDefault="00CB0DD7">
      <w:pPr>
        <w:pStyle w:val="Heading6"/>
      </w:pPr>
      <w:bookmarkStart w:id="3256" w:name="_Toc11247416"/>
      <w:bookmarkStart w:id="3257" w:name="_Toc27044538"/>
      <w:bookmarkStart w:id="3258" w:name="_Toc36033580"/>
      <w:bookmarkStart w:id="3259" w:name="_Toc45131715"/>
      <w:bookmarkStart w:id="3260" w:name="_Toc49776000"/>
      <w:bookmarkStart w:id="3261" w:name="_Toc51746920"/>
      <w:bookmarkStart w:id="3262" w:name="_Toc66360471"/>
      <w:bookmarkStart w:id="3263" w:name="_Toc68104976"/>
      <w:bookmarkStart w:id="3264" w:name="_Toc74755606"/>
      <w:bookmarkStart w:id="3265" w:name="_Toc105674479"/>
      <w:bookmarkStart w:id="3266" w:name="_Toc130502523"/>
      <w:bookmarkStart w:id="3267" w:name="_Toc153625310"/>
      <w:r w:rsidRPr="000A0A5F">
        <w:t>5.5.3.2.3.3</w:t>
      </w:r>
      <w:r w:rsidRPr="000A0A5F">
        <w:tab/>
        <w:t>PATCH</w:t>
      </w:r>
      <w:bookmarkEnd w:id="3256"/>
      <w:bookmarkEnd w:id="3257"/>
      <w:bookmarkEnd w:id="3258"/>
      <w:bookmarkEnd w:id="3259"/>
      <w:bookmarkEnd w:id="3260"/>
      <w:bookmarkEnd w:id="3261"/>
      <w:bookmarkEnd w:id="3262"/>
      <w:bookmarkEnd w:id="3263"/>
      <w:bookmarkEnd w:id="3264"/>
      <w:bookmarkEnd w:id="3265"/>
      <w:bookmarkEnd w:id="3266"/>
      <w:bookmarkEnd w:id="3267"/>
    </w:p>
    <w:p w:rsidR="00CB0DD7" w:rsidRPr="000A0A5F" w:rsidRDefault="00CB0DD7">
      <w:pPr>
        <w:rPr>
          <w:lang w:eastAsia="zh-CN"/>
        </w:rPr>
      </w:pPr>
      <w:r w:rsidRPr="000A0A5F">
        <w:rPr>
          <w:rFonts w:hint="eastAsia"/>
          <w:lang w:eastAsia="zh-CN"/>
        </w:rPr>
        <w:t xml:space="preserve">This </w:t>
      </w:r>
      <w:r w:rsidRPr="000A0A5F">
        <w:rPr>
          <w:lang w:eastAsia="zh-CN"/>
        </w:rPr>
        <w:t>HTTP method is not supported for the resource.</w:t>
      </w:r>
    </w:p>
    <w:p w:rsidR="00CB0DD7" w:rsidRPr="000A0A5F" w:rsidRDefault="00CB0DD7">
      <w:pPr>
        <w:pStyle w:val="Heading6"/>
      </w:pPr>
      <w:bookmarkStart w:id="3268" w:name="_Toc11247417"/>
      <w:bookmarkStart w:id="3269" w:name="_Toc27044539"/>
      <w:bookmarkStart w:id="3270" w:name="_Toc36033581"/>
      <w:bookmarkStart w:id="3271" w:name="_Toc45131716"/>
      <w:bookmarkStart w:id="3272" w:name="_Toc49776001"/>
      <w:bookmarkStart w:id="3273" w:name="_Toc51746921"/>
      <w:bookmarkStart w:id="3274" w:name="_Toc66360472"/>
      <w:bookmarkStart w:id="3275" w:name="_Toc68104977"/>
      <w:bookmarkStart w:id="3276" w:name="_Toc74755607"/>
      <w:bookmarkStart w:id="3277" w:name="_Toc105674480"/>
      <w:bookmarkStart w:id="3278" w:name="_Toc130502524"/>
      <w:bookmarkStart w:id="3279" w:name="_Toc153625311"/>
      <w:r w:rsidRPr="000A0A5F">
        <w:t>5.5.3.2.3.4</w:t>
      </w:r>
      <w:r w:rsidRPr="000A0A5F">
        <w:tab/>
        <w:t>POST</w:t>
      </w:r>
      <w:bookmarkEnd w:id="3268"/>
      <w:bookmarkEnd w:id="3269"/>
      <w:bookmarkEnd w:id="3270"/>
      <w:bookmarkEnd w:id="3271"/>
      <w:bookmarkEnd w:id="3272"/>
      <w:bookmarkEnd w:id="3273"/>
      <w:bookmarkEnd w:id="3274"/>
      <w:bookmarkEnd w:id="3275"/>
      <w:bookmarkEnd w:id="3276"/>
      <w:bookmarkEnd w:id="3277"/>
      <w:bookmarkEnd w:id="3278"/>
      <w:bookmarkEnd w:id="3279"/>
    </w:p>
    <w:p w:rsidR="00CB0DD7" w:rsidRPr="000A0A5F" w:rsidRDefault="00CB0DD7">
      <w:pPr>
        <w:rPr>
          <w:noProof/>
          <w:lang w:eastAsia="zh-CN"/>
        </w:rPr>
      </w:pPr>
      <w:r w:rsidRPr="000A0A5F">
        <w:rPr>
          <w:noProof/>
          <w:lang w:eastAsia="zh-CN"/>
        </w:rPr>
        <w:t>The POST method creates a new chargeable party transaction resource for a given SCS/AS. The SCS/AS shall initiate the HTTP POST request message and the SCEF shall respond to the message. The SCEF shall construct the URI of the created resource.</w:t>
      </w:r>
    </w:p>
    <w:p w:rsidR="00CB0DD7" w:rsidRPr="000A0A5F" w:rsidRDefault="00CB0DD7">
      <w:r w:rsidRPr="000A0A5F">
        <w:t>This method shall support request and response data structures, and response codes, as specified in the table 5.5.3.2.3.4-1.</w:t>
      </w:r>
    </w:p>
    <w:p w:rsidR="00CB0DD7" w:rsidRPr="000A0A5F" w:rsidRDefault="00CB0DD7">
      <w:pPr>
        <w:pStyle w:val="TH"/>
      </w:pPr>
      <w:r w:rsidRPr="000A0A5F">
        <w:t>Table 5.5.3.2.3.4-1: Data structures supported by the POST request/response by the resource</w:t>
      </w:r>
    </w:p>
    <w:tbl>
      <w:tblPr>
        <w:tblW w:w="4999" w:type="pct"/>
        <w:tblInd w:w="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45" w:type="dxa"/>
          <w:left w:w="45" w:type="dxa"/>
          <w:bottom w:w="45" w:type="dxa"/>
          <w:right w:w="45" w:type="dxa"/>
        </w:tblCellMar>
        <w:tblLook w:val="0000" w:firstRow="0" w:lastRow="0" w:firstColumn="0" w:lastColumn="0" w:noHBand="0" w:noVBand="0"/>
      </w:tblPr>
      <w:tblGrid>
        <w:gridCol w:w="1035"/>
        <w:gridCol w:w="2127"/>
        <w:gridCol w:w="1053"/>
        <w:gridCol w:w="973"/>
        <w:gridCol w:w="4541"/>
      </w:tblGrid>
      <w:tr w:rsidR="00CB0DD7" w:rsidRPr="000A0A5F" w:rsidTr="00B40D37">
        <w:tc>
          <w:tcPr>
            <w:tcW w:w="532" w:type="pct"/>
            <w:vMerge w:val="restart"/>
            <w:shd w:val="clear" w:color="auto" w:fill="C0C0C0"/>
            <w:vAlign w:val="center"/>
          </w:tcPr>
          <w:p w:rsidR="00CB0DD7" w:rsidRPr="000A0A5F" w:rsidRDefault="00CB0DD7">
            <w:pPr>
              <w:pStyle w:val="TAH"/>
            </w:pPr>
            <w:r w:rsidRPr="000A0A5F">
              <w:t>Request body</w:t>
            </w:r>
          </w:p>
        </w:tc>
        <w:tc>
          <w:tcPr>
            <w:tcW w:w="1093" w:type="pct"/>
            <w:shd w:val="clear" w:color="auto" w:fill="C0C0C0"/>
          </w:tcPr>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r w:rsidRPr="000A0A5F">
              <w:t>Cardinality</w:t>
            </w:r>
          </w:p>
        </w:tc>
        <w:tc>
          <w:tcPr>
            <w:tcW w:w="2834" w:type="pct"/>
            <w:gridSpan w:val="2"/>
            <w:shd w:val="clear" w:color="auto" w:fill="C0C0C0"/>
          </w:tcPr>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ChargeableParty</w:t>
            </w:r>
          </w:p>
        </w:tc>
        <w:tc>
          <w:tcPr>
            <w:tcW w:w="541" w:type="pct"/>
          </w:tcPr>
          <w:p w:rsidR="00CB0DD7" w:rsidRPr="000A0A5F" w:rsidRDefault="00CB0DD7">
            <w:pPr>
              <w:pStyle w:val="TAL"/>
            </w:pPr>
            <w:r w:rsidRPr="000A0A5F">
              <w:t>1</w:t>
            </w:r>
          </w:p>
        </w:tc>
        <w:tc>
          <w:tcPr>
            <w:tcW w:w="2834" w:type="pct"/>
            <w:gridSpan w:val="2"/>
          </w:tcPr>
          <w:p w:rsidR="00CB0DD7" w:rsidRPr="000A0A5F" w:rsidRDefault="00CB0DD7">
            <w:pPr>
              <w:pStyle w:val="TAL"/>
            </w:pPr>
            <w:r w:rsidRPr="000A0A5F">
              <w:t>Parameters to create a chargeable party transaction with the SCEF.</w:t>
            </w:r>
          </w:p>
        </w:tc>
      </w:tr>
      <w:tr w:rsidR="00CB0DD7" w:rsidRPr="000A0A5F" w:rsidTr="00B40D37">
        <w:tc>
          <w:tcPr>
            <w:tcW w:w="532" w:type="pct"/>
            <w:vMerge w:val="restart"/>
            <w:shd w:val="clear" w:color="auto" w:fill="C0C0C0"/>
            <w:vAlign w:val="center"/>
          </w:tcPr>
          <w:p w:rsidR="00CB0DD7" w:rsidRPr="000A0A5F" w:rsidRDefault="00CB0DD7">
            <w:pPr>
              <w:pStyle w:val="TAH"/>
            </w:pPr>
            <w:r w:rsidRPr="000A0A5F">
              <w:t>Response body</w:t>
            </w:r>
          </w:p>
        </w:tc>
        <w:tc>
          <w:tcPr>
            <w:tcW w:w="1093" w:type="pct"/>
            <w:shd w:val="clear" w:color="auto" w:fill="C0C0C0"/>
          </w:tcPr>
          <w:p w:rsidR="00CB0DD7" w:rsidRPr="000A0A5F" w:rsidRDefault="00CB0DD7">
            <w:pPr>
              <w:pStyle w:val="TAH"/>
            </w:pPr>
          </w:p>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p>
          <w:p w:rsidR="00CB0DD7" w:rsidRPr="000A0A5F" w:rsidRDefault="00CB0DD7">
            <w:pPr>
              <w:pStyle w:val="TAH"/>
            </w:pPr>
            <w:r w:rsidRPr="000A0A5F">
              <w:t>Cardinality</w:t>
            </w:r>
          </w:p>
        </w:tc>
        <w:tc>
          <w:tcPr>
            <w:tcW w:w="500" w:type="pct"/>
            <w:shd w:val="clear" w:color="auto" w:fill="C0C0C0"/>
          </w:tcPr>
          <w:p w:rsidR="00CB0DD7" w:rsidRPr="000A0A5F" w:rsidRDefault="00CB0DD7">
            <w:pPr>
              <w:pStyle w:val="TAH"/>
            </w:pPr>
            <w:r w:rsidRPr="000A0A5F">
              <w:t>Response</w:t>
            </w:r>
          </w:p>
          <w:p w:rsidR="00CB0DD7" w:rsidRPr="000A0A5F" w:rsidRDefault="00CB0DD7">
            <w:pPr>
              <w:pStyle w:val="TAH"/>
            </w:pPr>
            <w:r w:rsidRPr="000A0A5F">
              <w:t>codes</w:t>
            </w:r>
          </w:p>
        </w:tc>
        <w:tc>
          <w:tcPr>
            <w:tcW w:w="2334" w:type="pct"/>
            <w:shd w:val="clear" w:color="auto" w:fill="C0C0C0"/>
          </w:tcPr>
          <w:p w:rsidR="00CB0DD7" w:rsidRPr="000A0A5F" w:rsidRDefault="00CB0DD7">
            <w:pPr>
              <w:pStyle w:val="TAH"/>
            </w:pPr>
          </w:p>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ChargeableParty</w:t>
            </w:r>
          </w:p>
        </w:tc>
        <w:tc>
          <w:tcPr>
            <w:tcW w:w="541" w:type="pct"/>
          </w:tcPr>
          <w:p w:rsidR="00CB0DD7" w:rsidRPr="000A0A5F" w:rsidRDefault="00CB0DD7">
            <w:pPr>
              <w:pStyle w:val="TAL"/>
            </w:pPr>
            <w:r w:rsidRPr="000A0A5F">
              <w:t>1</w:t>
            </w:r>
          </w:p>
        </w:tc>
        <w:tc>
          <w:tcPr>
            <w:tcW w:w="500" w:type="pct"/>
          </w:tcPr>
          <w:p w:rsidR="00CB0DD7" w:rsidRPr="000A0A5F" w:rsidRDefault="00CB0DD7">
            <w:pPr>
              <w:pStyle w:val="TAL"/>
            </w:pPr>
            <w:r w:rsidRPr="000A0A5F">
              <w:t>201 Created</w:t>
            </w:r>
          </w:p>
        </w:tc>
        <w:tc>
          <w:tcPr>
            <w:tcW w:w="2334" w:type="pct"/>
          </w:tcPr>
          <w:p w:rsidR="00CB0DD7" w:rsidRPr="000A0A5F" w:rsidRDefault="00CB0DD7">
            <w:pPr>
              <w:pStyle w:val="TAL"/>
              <w:spacing w:afterLines="50" w:after="120"/>
            </w:pPr>
            <w:r w:rsidRPr="000A0A5F">
              <w:t xml:space="preserve">The transaction was created successfully. </w:t>
            </w:r>
          </w:p>
          <w:p w:rsidR="00CB0DD7" w:rsidRPr="000A0A5F" w:rsidRDefault="00CB0DD7">
            <w:pPr>
              <w:pStyle w:val="TAL"/>
            </w:pPr>
            <w:r w:rsidRPr="000A0A5F">
              <w:t>The URI of the created resource shall be returned in the "Location" HTTP header.</w:t>
            </w:r>
          </w:p>
        </w:tc>
      </w:tr>
      <w:tr w:rsidR="00CB0DD7" w:rsidRPr="000A0A5F" w:rsidTr="00FF0AF8">
        <w:tc>
          <w:tcPr>
            <w:tcW w:w="5000" w:type="pct"/>
            <w:gridSpan w:val="5"/>
            <w:shd w:val="clear" w:color="auto" w:fill="auto"/>
            <w:vAlign w:val="center"/>
          </w:tcPr>
          <w:p w:rsidR="00CB0DD7" w:rsidRPr="000A0A5F" w:rsidRDefault="00CB0DD7">
            <w:pPr>
              <w:pStyle w:val="TAN"/>
            </w:pPr>
            <w:r w:rsidRPr="000A0A5F">
              <w:t>NOTE:</w:t>
            </w:r>
            <w:r w:rsidRPr="000A0A5F">
              <w:tab/>
              <w:t>The mandatory HTTP error status codes for the POST method listed in table 5.2.6-1 also apply.</w:t>
            </w:r>
          </w:p>
        </w:tc>
      </w:tr>
    </w:tbl>
    <w:p w:rsidR="00CB0DD7" w:rsidRPr="000A0A5F" w:rsidRDefault="00CB0DD7">
      <w:pPr>
        <w:rPr>
          <w:noProof/>
        </w:rPr>
      </w:pPr>
    </w:p>
    <w:p w:rsidR="00CB0DD7" w:rsidRPr="000A0A5F" w:rsidRDefault="00CB0DD7">
      <w:pPr>
        <w:pStyle w:val="TH"/>
      </w:pPr>
      <w:r w:rsidRPr="000A0A5F">
        <w:t>Table</w:t>
      </w:r>
      <w:r w:rsidRPr="000A0A5F">
        <w:rPr>
          <w:noProof/>
        </w:rPr>
        <w:t> </w:t>
      </w:r>
      <w:r w:rsidRPr="000A0A5F">
        <w:t xml:space="preserve">5.5.3.2.3.4-2: Headers supported by the 201 Response Code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846044">
        <w:trPr>
          <w:jc w:val="center"/>
        </w:trPr>
        <w:tc>
          <w:tcPr>
            <w:tcW w:w="825" w:type="pct"/>
            <w:tcBorders>
              <w:bottom w:val="single" w:sz="6" w:space="0" w:color="auto"/>
            </w:tcBorders>
            <w:shd w:val="clear" w:color="auto" w:fill="C0C0C0"/>
          </w:tcPr>
          <w:p w:rsidR="00CB0DD7" w:rsidRPr="000A0A5F" w:rsidRDefault="00CB0DD7">
            <w:pPr>
              <w:pStyle w:val="TAH"/>
            </w:pPr>
            <w:r w:rsidRPr="000A0A5F">
              <w:t>Name</w:t>
            </w:r>
          </w:p>
        </w:tc>
        <w:tc>
          <w:tcPr>
            <w:tcW w:w="732" w:type="pct"/>
            <w:tcBorders>
              <w:bottom w:val="single" w:sz="6" w:space="0" w:color="auto"/>
            </w:tcBorders>
            <w:shd w:val="clear" w:color="auto" w:fill="C0C0C0"/>
          </w:tcPr>
          <w:p w:rsidR="00CB0DD7" w:rsidRPr="000A0A5F" w:rsidRDefault="00CB0DD7">
            <w:pPr>
              <w:pStyle w:val="TAH"/>
            </w:pPr>
            <w:r w:rsidRPr="000A0A5F">
              <w:t>Data type</w:t>
            </w:r>
          </w:p>
        </w:tc>
        <w:tc>
          <w:tcPr>
            <w:tcW w:w="217" w:type="pct"/>
            <w:tcBorders>
              <w:bottom w:val="single" w:sz="6" w:space="0" w:color="auto"/>
            </w:tcBorders>
            <w:shd w:val="clear" w:color="auto" w:fill="C0C0C0"/>
          </w:tcPr>
          <w:p w:rsidR="00CB0DD7" w:rsidRPr="000A0A5F" w:rsidRDefault="00CB0DD7">
            <w:pPr>
              <w:pStyle w:val="TAH"/>
            </w:pPr>
            <w:r w:rsidRPr="000A0A5F">
              <w:t>P</w:t>
            </w:r>
          </w:p>
        </w:tc>
        <w:tc>
          <w:tcPr>
            <w:tcW w:w="581" w:type="pct"/>
            <w:tcBorders>
              <w:bottom w:val="single" w:sz="6" w:space="0" w:color="auto"/>
            </w:tcBorders>
            <w:shd w:val="clear" w:color="auto" w:fill="C0C0C0"/>
          </w:tcPr>
          <w:p w:rsidR="00CB0DD7" w:rsidRPr="000A0A5F" w:rsidRDefault="00CB0DD7">
            <w:pPr>
              <w:pStyle w:val="TAH"/>
            </w:pPr>
            <w:r w:rsidRPr="000A0A5F">
              <w:t>Cardinality</w:t>
            </w:r>
          </w:p>
        </w:tc>
        <w:tc>
          <w:tcPr>
            <w:tcW w:w="2645" w:type="pct"/>
            <w:tcBorders>
              <w:bottom w:val="single" w:sz="6" w:space="0" w:color="auto"/>
            </w:tcBorders>
            <w:shd w:val="clear" w:color="auto" w:fill="C0C0C0"/>
            <w:vAlign w:val="center"/>
          </w:tcPr>
          <w:p w:rsidR="00CB0DD7" w:rsidRPr="000A0A5F" w:rsidRDefault="00CB0DD7">
            <w:pPr>
              <w:pStyle w:val="TAH"/>
            </w:pPr>
            <w:r w:rsidRPr="000A0A5F">
              <w:t>Description</w:t>
            </w:r>
          </w:p>
        </w:tc>
      </w:tr>
      <w:tr w:rsidR="00CB0DD7" w:rsidRPr="000A0A5F" w:rsidTr="00846044">
        <w:trPr>
          <w:jc w:val="center"/>
        </w:trPr>
        <w:tc>
          <w:tcPr>
            <w:tcW w:w="825" w:type="pct"/>
            <w:tcBorders>
              <w:top w:val="single" w:sz="6" w:space="0" w:color="auto"/>
            </w:tcBorders>
            <w:shd w:val="clear" w:color="auto" w:fill="auto"/>
          </w:tcPr>
          <w:p w:rsidR="00CB0DD7" w:rsidRPr="000A0A5F" w:rsidRDefault="00CB0DD7">
            <w:pPr>
              <w:pStyle w:val="TAL"/>
            </w:pPr>
            <w:r w:rsidRPr="000A0A5F">
              <w:t>Location</w:t>
            </w:r>
          </w:p>
        </w:tc>
        <w:tc>
          <w:tcPr>
            <w:tcW w:w="732" w:type="pct"/>
            <w:tcBorders>
              <w:top w:val="single" w:sz="6" w:space="0" w:color="auto"/>
            </w:tcBorders>
          </w:tcPr>
          <w:p w:rsidR="00CB0DD7" w:rsidRPr="000A0A5F" w:rsidRDefault="00CB0DD7">
            <w:pPr>
              <w:pStyle w:val="TAL"/>
            </w:pPr>
            <w:r w:rsidRPr="000A0A5F">
              <w:t>string</w:t>
            </w:r>
          </w:p>
        </w:tc>
        <w:tc>
          <w:tcPr>
            <w:tcW w:w="217" w:type="pct"/>
            <w:tcBorders>
              <w:top w:val="single" w:sz="6" w:space="0" w:color="auto"/>
            </w:tcBorders>
          </w:tcPr>
          <w:p w:rsidR="00CB0DD7" w:rsidRPr="000A0A5F" w:rsidRDefault="00CB0DD7">
            <w:pPr>
              <w:pStyle w:val="TAC"/>
            </w:pPr>
            <w:r w:rsidRPr="000A0A5F">
              <w:t>M</w:t>
            </w:r>
          </w:p>
        </w:tc>
        <w:tc>
          <w:tcPr>
            <w:tcW w:w="581" w:type="pct"/>
            <w:tcBorders>
              <w:top w:val="single" w:sz="6" w:space="0" w:color="auto"/>
            </w:tcBorders>
          </w:tcPr>
          <w:p w:rsidR="00CB0DD7" w:rsidRPr="000A0A5F" w:rsidRDefault="00CB0DD7">
            <w:pPr>
              <w:pStyle w:val="TAL"/>
            </w:pPr>
            <w:r w:rsidRPr="000A0A5F">
              <w:t>1</w:t>
            </w:r>
          </w:p>
        </w:tc>
        <w:tc>
          <w:tcPr>
            <w:tcW w:w="2645" w:type="pct"/>
            <w:tcBorders>
              <w:top w:val="single" w:sz="6" w:space="0" w:color="auto"/>
            </w:tcBorders>
            <w:shd w:val="clear" w:color="auto" w:fill="auto"/>
            <w:vAlign w:val="center"/>
          </w:tcPr>
          <w:p w:rsidR="00CB0DD7" w:rsidRPr="000A0A5F" w:rsidRDefault="00CB0DD7">
            <w:pPr>
              <w:pStyle w:val="TAL"/>
            </w:pPr>
            <w:r w:rsidRPr="000A0A5F">
              <w:t>Contains the URI of the newly created resource, according to the structure:</w:t>
            </w:r>
            <w:r w:rsidRPr="000A0A5F">
              <w:rPr>
                <w:noProof/>
              </w:rPr>
              <w:t xml:space="preserve"> </w:t>
            </w:r>
            <w:r w:rsidRPr="000A0A5F">
              <w:t>{apiRoot}/3gpp-chargeable-party/v1/{scsAsId}/transactions/{transactionId}</w:t>
            </w:r>
          </w:p>
        </w:tc>
      </w:tr>
    </w:tbl>
    <w:p w:rsidR="00CB0DD7" w:rsidRPr="000A0A5F" w:rsidRDefault="00CB0DD7"/>
    <w:p w:rsidR="00CB0DD7" w:rsidRPr="000A0A5F" w:rsidRDefault="00CB0DD7">
      <w:pPr>
        <w:pStyle w:val="Heading6"/>
      </w:pPr>
      <w:bookmarkStart w:id="3280" w:name="_Toc11247418"/>
      <w:bookmarkStart w:id="3281" w:name="_Toc27044540"/>
      <w:bookmarkStart w:id="3282" w:name="_Toc36033582"/>
      <w:bookmarkStart w:id="3283" w:name="_Toc45131717"/>
      <w:bookmarkStart w:id="3284" w:name="_Toc49776002"/>
      <w:bookmarkStart w:id="3285" w:name="_Toc51746922"/>
      <w:bookmarkStart w:id="3286" w:name="_Toc66360473"/>
      <w:bookmarkStart w:id="3287" w:name="_Toc68104978"/>
      <w:bookmarkStart w:id="3288" w:name="_Toc74755608"/>
      <w:bookmarkStart w:id="3289" w:name="_Toc105674481"/>
      <w:bookmarkStart w:id="3290" w:name="_Toc130502525"/>
      <w:bookmarkStart w:id="3291" w:name="_Toc153625312"/>
      <w:r w:rsidRPr="000A0A5F">
        <w:t>5.5.3.2.3.5</w:t>
      </w:r>
      <w:r w:rsidRPr="000A0A5F">
        <w:tab/>
        <w:t>DELETE</w:t>
      </w:r>
      <w:bookmarkEnd w:id="3280"/>
      <w:bookmarkEnd w:id="3281"/>
      <w:bookmarkEnd w:id="3282"/>
      <w:bookmarkEnd w:id="3283"/>
      <w:bookmarkEnd w:id="3284"/>
      <w:bookmarkEnd w:id="3285"/>
      <w:bookmarkEnd w:id="3286"/>
      <w:bookmarkEnd w:id="3287"/>
      <w:bookmarkEnd w:id="3288"/>
      <w:bookmarkEnd w:id="3289"/>
      <w:bookmarkEnd w:id="3290"/>
      <w:bookmarkEnd w:id="3291"/>
    </w:p>
    <w:p w:rsidR="00CB0DD7" w:rsidRPr="000A0A5F" w:rsidRDefault="00CB0DD7">
      <w:pPr>
        <w:rPr>
          <w:lang w:eastAsia="zh-CN"/>
        </w:rPr>
      </w:pPr>
      <w:r w:rsidRPr="000A0A5F">
        <w:rPr>
          <w:rFonts w:hint="eastAsia"/>
          <w:lang w:eastAsia="zh-CN"/>
        </w:rPr>
        <w:t xml:space="preserve">This </w:t>
      </w:r>
      <w:r w:rsidRPr="000A0A5F">
        <w:rPr>
          <w:lang w:eastAsia="zh-CN"/>
        </w:rPr>
        <w:t>HTTP method is not supported for the resource.</w:t>
      </w:r>
    </w:p>
    <w:p w:rsidR="00CB0DD7" w:rsidRPr="000A0A5F" w:rsidRDefault="00CB0DD7">
      <w:pPr>
        <w:pStyle w:val="Heading4"/>
      </w:pPr>
      <w:bookmarkStart w:id="3292" w:name="_Toc11247419"/>
      <w:bookmarkStart w:id="3293" w:name="_Toc27044541"/>
      <w:bookmarkStart w:id="3294" w:name="_Toc36033583"/>
      <w:bookmarkStart w:id="3295" w:name="_Toc45131718"/>
      <w:bookmarkStart w:id="3296" w:name="_Toc49776003"/>
      <w:bookmarkStart w:id="3297" w:name="_Toc51746923"/>
      <w:bookmarkStart w:id="3298" w:name="_Toc66360474"/>
      <w:bookmarkStart w:id="3299" w:name="_Toc68104979"/>
      <w:bookmarkStart w:id="3300" w:name="_Toc74755609"/>
      <w:bookmarkStart w:id="3301" w:name="_Toc105674482"/>
      <w:bookmarkStart w:id="3302" w:name="_Toc130502526"/>
      <w:bookmarkStart w:id="3303" w:name="_Toc153625313"/>
      <w:r w:rsidRPr="000A0A5F">
        <w:t>5.5.3.3</w:t>
      </w:r>
      <w:r w:rsidRPr="000A0A5F">
        <w:tab/>
        <w:t>Resource: Individual Chargeable Party Transaction</w:t>
      </w:r>
      <w:bookmarkEnd w:id="3292"/>
      <w:bookmarkEnd w:id="3293"/>
      <w:bookmarkEnd w:id="3294"/>
      <w:bookmarkEnd w:id="3295"/>
      <w:bookmarkEnd w:id="3296"/>
      <w:bookmarkEnd w:id="3297"/>
      <w:bookmarkEnd w:id="3298"/>
      <w:bookmarkEnd w:id="3299"/>
      <w:bookmarkEnd w:id="3300"/>
      <w:bookmarkEnd w:id="3301"/>
      <w:bookmarkEnd w:id="3302"/>
      <w:bookmarkEnd w:id="3303"/>
    </w:p>
    <w:p w:rsidR="00CB0DD7" w:rsidRPr="000A0A5F" w:rsidRDefault="00CB0DD7">
      <w:pPr>
        <w:pStyle w:val="Heading5"/>
      </w:pPr>
      <w:bookmarkStart w:id="3304" w:name="_Toc11247420"/>
      <w:bookmarkStart w:id="3305" w:name="_Toc27044542"/>
      <w:bookmarkStart w:id="3306" w:name="_Toc36033584"/>
      <w:bookmarkStart w:id="3307" w:name="_Toc45131719"/>
      <w:bookmarkStart w:id="3308" w:name="_Toc49776004"/>
      <w:bookmarkStart w:id="3309" w:name="_Toc51746924"/>
      <w:bookmarkStart w:id="3310" w:name="_Toc66360475"/>
      <w:bookmarkStart w:id="3311" w:name="_Toc68104980"/>
      <w:bookmarkStart w:id="3312" w:name="_Toc74755610"/>
      <w:bookmarkStart w:id="3313" w:name="_Toc105674483"/>
      <w:bookmarkStart w:id="3314" w:name="_Toc130502527"/>
      <w:bookmarkStart w:id="3315" w:name="_Toc153625314"/>
      <w:r w:rsidRPr="000A0A5F">
        <w:t>5.5.3.3.1</w:t>
      </w:r>
      <w:r w:rsidRPr="000A0A5F">
        <w:tab/>
        <w:t>Introduction</w:t>
      </w:r>
      <w:bookmarkEnd w:id="3304"/>
      <w:bookmarkEnd w:id="3305"/>
      <w:bookmarkEnd w:id="3306"/>
      <w:bookmarkEnd w:id="3307"/>
      <w:bookmarkEnd w:id="3308"/>
      <w:bookmarkEnd w:id="3309"/>
      <w:bookmarkEnd w:id="3310"/>
      <w:bookmarkEnd w:id="3311"/>
      <w:bookmarkEnd w:id="3312"/>
      <w:bookmarkEnd w:id="3313"/>
      <w:bookmarkEnd w:id="3314"/>
      <w:bookmarkEnd w:id="3315"/>
    </w:p>
    <w:p w:rsidR="00CB0DD7" w:rsidRPr="000A0A5F" w:rsidRDefault="00CB0DD7">
      <w:pPr>
        <w:rPr>
          <w:noProof/>
          <w:lang w:eastAsia="zh-CN"/>
        </w:rPr>
      </w:pPr>
      <w:r w:rsidRPr="000A0A5F">
        <w:rPr>
          <w:noProof/>
          <w:lang w:eastAsia="zh-CN"/>
        </w:rPr>
        <w:t>This resource allows t</w:t>
      </w:r>
      <w:r w:rsidRPr="000A0A5F">
        <w:rPr>
          <w:rFonts w:hint="eastAsia"/>
          <w:noProof/>
          <w:lang w:eastAsia="zh-CN"/>
        </w:rPr>
        <w:t xml:space="preserve">he SCS/AS </w:t>
      </w:r>
      <w:r w:rsidRPr="000A0A5F">
        <w:rPr>
          <w:noProof/>
          <w:lang w:eastAsia="zh-CN"/>
        </w:rPr>
        <w:t>to configure a chargeable party for some application flows using a long-term transaction.</w:t>
      </w:r>
    </w:p>
    <w:p w:rsidR="00CB0DD7" w:rsidRPr="000A0A5F" w:rsidRDefault="00CB0DD7">
      <w:pPr>
        <w:pStyle w:val="Heading5"/>
      </w:pPr>
      <w:bookmarkStart w:id="3316" w:name="_Toc11247421"/>
      <w:bookmarkStart w:id="3317" w:name="_Toc27044543"/>
      <w:bookmarkStart w:id="3318" w:name="_Toc36033585"/>
      <w:bookmarkStart w:id="3319" w:name="_Toc45131720"/>
      <w:bookmarkStart w:id="3320" w:name="_Toc49776005"/>
      <w:bookmarkStart w:id="3321" w:name="_Toc51746925"/>
      <w:bookmarkStart w:id="3322" w:name="_Toc66360476"/>
      <w:bookmarkStart w:id="3323" w:name="_Toc68104981"/>
      <w:bookmarkStart w:id="3324" w:name="_Toc74755611"/>
      <w:bookmarkStart w:id="3325" w:name="_Toc105674484"/>
      <w:bookmarkStart w:id="3326" w:name="_Toc130502528"/>
      <w:bookmarkStart w:id="3327" w:name="_Toc153625315"/>
      <w:r w:rsidRPr="000A0A5F">
        <w:t>5.5.3.3.2</w:t>
      </w:r>
      <w:r w:rsidRPr="000A0A5F">
        <w:tab/>
        <w:t>Resource definition</w:t>
      </w:r>
      <w:bookmarkEnd w:id="3316"/>
      <w:bookmarkEnd w:id="3317"/>
      <w:bookmarkEnd w:id="3318"/>
      <w:bookmarkEnd w:id="3319"/>
      <w:bookmarkEnd w:id="3320"/>
      <w:bookmarkEnd w:id="3321"/>
      <w:bookmarkEnd w:id="3322"/>
      <w:bookmarkEnd w:id="3323"/>
      <w:bookmarkEnd w:id="3324"/>
      <w:bookmarkEnd w:id="3325"/>
      <w:bookmarkEnd w:id="3326"/>
      <w:bookmarkEnd w:id="3327"/>
    </w:p>
    <w:p w:rsidR="00CB0DD7" w:rsidRPr="000A0A5F" w:rsidRDefault="00CB0DD7">
      <w:r w:rsidRPr="000A0A5F">
        <w:t xml:space="preserve">Resource URI: </w:t>
      </w:r>
      <w:r w:rsidRPr="000A0A5F">
        <w:rPr>
          <w:b/>
        </w:rPr>
        <w:t>{apiRoot}/3gpp-chargeable-party/v1/{scsAsId}/transactions/{transactionId}</w:t>
      </w:r>
    </w:p>
    <w:p w:rsidR="00CB0DD7" w:rsidRPr="000A0A5F" w:rsidRDefault="00CB0DD7">
      <w:pPr>
        <w:rPr>
          <w:rFonts w:ascii="Arial" w:hAnsi="Arial" w:cs="Arial"/>
        </w:rPr>
      </w:pPr>
      <w:r w:rsidRPr="000A0A5F">
        <w:t>This resource shall support the resource URI variables defined in table 5.5.3.3.2-1</w:t>
      </w:r>
      <w:r w:rsidRPr="000A0A5F">
        <w:rPr>
          <w:rFonts w:ascii="Arial" w:hAnsi="Arial" w:cs="Arial"/>
        </w:rPr>
        <w:t>.</w:t>
      </w:r>
    </w:p>
    <w:p w:rsidR="00CB0DD7" w:rsidRPr="000A0A5F" w:rsidRDefault="00CB0DD7">
      <w:pPr>
        <w:pStyle w:val="TH"/>
        <w:rPr>
          <w:rFonts w:cs="Arial"/>
        </w:rPr>
      </w:pPr>
      <w:r w:rsidRPr="000A0A5F">
        <w:t>Table 5.5.3.3.2-1: Resource URI variables for resource "Individual Chargeable Party Transaction"</w:t>
      </w:r>
    </w:p>
    <w:tbl>
      <w:tblPr>
        <w:tblW w:w="5013"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970"/>
        <w:gridCol w:w="1312"/>
        <w:gridCol w:w="6520"/>
      </w:tblGrid>
      <w:tr w:rsidR="00CB0DD7" w:rsidRPr="000A0A5F" w:rsidTr="00B40D37">
        <w:trPr>
          <w:jc w:val="center"/>
        </w:trPr>
        <w:tc>
          <w:tcPr>
            <w:tcW w:w="1005" w:type="pct"/>
            <w:shd w:val="clear" w:color="auto" w:fill="C0C0C0"/>
          </w:tcPr>
          <w:p w:rsidR="00CB0DD7" w:rsidRPr="000A0A5F" w:rsidRDefault="00CB0DD7">
            <w:pPr>
              <w:pStyle w:val="TAH"/>
            </w:pPr>
            <w:r w:rsidRPr="000A0A5F">
              <w:t>Name</w:t>
            </w:r>
          </w:p>
        </w:tc>
        <w:tc>
          <w:tcPr>
            <w:tcW w:w="669" w:type="pct"/>
            <w:shd w:val="clear" w:color="auto" w:fill="C0C0C0"/>
          </w:tcPr>
          <w:p w:rsidR="00CB0DD7" w:rsidRPr="000A0A5F" w:rsidRDefault="00CB0DD7">
            <w:pPr>
              <w:pStyle w:val="TAH"/>
            </w:pPr>
            <w:r w:rsidRPr="000A0A5F">
              <w:t>Data type</w:t>
            </w:r>
          </w:p>
        </w:tc>
        <w:tc>
          <w:tcPr>
            <w:tcW w:w="3326" w:type="pct"/>
            <w:shd w:val="clear" w:color="auto" w:fill="C0C0C0"/>
            <w:vAlign w:val="center"/>
          </w:tcPr>
          <w:p w:rsidR="00CB0DD7" w:rsidRPr="000A0A5F" w:rsidRDefault="00CB0DD7">
            <w:pPr>
              <w:pStyle w:val="TAH"/>
            </w:pPr>
            <w:r w:rsidRPr="000A0A5F">
              <w:t>Definition</w:t>
            </w:r>
          </w:p>
        </w:tc>
      </w:tr>
      <w:tr w:rsidR="00CB0DD7" w:rsidRPr="000A0A5F" w:rsidTr="00FF0AF8">
        <w:trPr>
          <w:jc w:val="center"/>
        </w:trPr>
        <w:tc>
          <w:tcPr>
            <w:tcW w:w="1005" w:type="pct"/>
            <w:shd w:val="clear" w:color="auto" w:fill="auto"/>
          </w:tcPr>
          <w:p w:rsidR="00CB0DD7" w:rsidRPr="000A0A5F" w:rsidRDefault="00CB0DD7">
            <w:pPr>
              <w:pStyle w:val="TAL"/>
            </w:pPr>
            <w:r w:rsidRPr="000A0A5F">
              <w:t>apiRoot</w:t>
            </w:r>
          </w:p>
        </w:tc>
        <w:tc>
          <w:tcPr>
            <w:tcW w:w="669" w:type="pct"/>
          </w:tcPr>
          <w:p w:rsidR="00CB0DD7" w:rsidRPr="000A0A5F" w:rsidRDefault="00CB0DD7">
            <w:pPr>
              <w:pStyle w:val="TAL"/>
            </w:pPr>
            <w:r w:rsidRPr="000A0A5F">
              <w:t>string</w:t>
            </w:r>
          </w:p>
        </w:tc>
        <w:tc>
          <w:tcPr>
            <w:tcW w:w="3326" w:type="pct"/>
            <w:shd w:val="clear" w:color="auto" w:fill="auto"/>
            <w:vAlign w:val="center"/>
          </w:tcPr>
          <w:p w:rsidR="00CB0DD7" w:rsidRPr="000A0A5F" w:rsidRDefault="00CB0DD7">
            <w:pPr>
              <w:pStyle w:val="TAL"/>
            </w:pPr>
            <w:r w:rsidRPr="000A0A5F">
              <w:t>See clause</w:t>
            </w:r>
            <w:r w:rsidRPr="000A0A5F">
              <w:rPr>
                <w:lang w:val="en-US" w:eastAsia="zh-CN"/>
              </w:rPr>
              <w:t> </w:t>
            </w:r>
            <w:r w:rsidRPr="000A0A5F">
              <w:t>5.2.4.</w:t>
            </w:r>
          </w:p>
        </w:tc>
      </w:tr>
      <w:tr w:rsidR="00CB0DD7" w:rsidRPr="000A0A5F" w:rsidTr="00FF0AF8">
        <w:trPr>
          <w:jc w:val="center"/>
        </w:trPr>
        <w:tc>
          <w:tcPr>
            <w:tcW w:w="1005" w:type="pct"/>
            <w:shd w:val="clear" w:color="auto" w:fill="auto"/>
          </w:tcPr>
          <w:p w:rsidR="00CB0DD7" w:rsidRPr="000A0A5F" w:rsidRDefault="00CB0DD7">
            <w:pPr>
              <w:pStyle w:val="TAL"/>
            </w:pPr>
            <w:r w:rsidRPr="000A0A5F">
              <w:t>scsAsId</w:t>
            </w:r>
          </w:p>
        </w:tc>
        <w:tc>
          <w:tcPr>
            <w:tcW w:w="669" w:type="pct"/>
          </w:tcPr>
          <w:p w:rsidR="00CB0DD7" w:rsidRPr="000A0A5F" w:rsidRDefault="00CB0DD7">
            <w:pPr>
              <w:pStyle w:val="TAL"/>
            </w:pPr>
            <w:r w:rsidRPr="000A0A5F">
              <w:rPr>
                <w:rFonts w:hint="eastAsia"/>
                <w:lang w:eastAsia="zh-CN"/>
              </w:rPr>
              <w:t>s</w:t>
            </w:r>
            <w:r w:rsidRPr="000A0A5F">
              <w:rPr>
                <w:lang w:eastAsia="zh-CN"/>
              </w:rPr>
              <w:t>tring</w:t>
            </w:r>
          </w:p>
        </w:tc>
        <w:tc>
          <w:tcPr>
            <w:tcW w:w="3326" w:type="pct"/>
            <w:shd w:val="clear" w:color="auto" w:fill="auto"/>
            <w:vAlign w:val="center"/>
          </w:tcPr>
          <w:p w:rsidR="00CB0DD7" w:rsidRPr="000A0A5F" w:rsidRDefault="00CB0DD7">
            <w:pPr>
              <w:pStyle w:val="TAL"/>
            </w:pPr>
            <w:r w:rsidRPr="000A0A5F">
              <w:t>Identifier of the SCS/AS.</w:t>
            </w:r>
          </w:p>
        </w:tc>
      </w:tr>
      <w:tr w:rsidR="00CB0DD7" w:rsidRPr="000A0A5F" w:rsidTr="00FF0AF8">
        <w:trPr>
          <w:jc w:val="center"/>
        </w:trPr>
        <w:tc>
          <w:tcPr>
            <w:tcW w:w="1005" w:type="pct"/>
            <w:shd w:val="clear" w:color="auto" w:fill="auto"/>
          </w:tcPr>
          <w:p w:rsidR="00CB0DD7" w:rsidRPr="000A0A5F" w:rsidRDefault="00CB0DD7">
            <w:pPr>
              <w:pStyle w:val="TAL"/>
            </w:pPr>
            <w:r w:rsidRPr="000A0A5F">
              <w:t>transactionId</w:t>
            </w:r>
          </w:p>
        </w:tc>
        <w:tc>
          <w:tcPr>
            <w:tcW w:w="669" w:type="pct"/>
          </w:tcPr>
          <w:p w:rsidR="00CB0DD7" w:rsidRPr="000A0A5F" w:rsidRDefault="00CB0DD7">
            <w:pPr>
              <w:pStyle w:val="TAL"/>
            </w:pPr>
            <w:r w:rsidRPr="000A0A5F">
              <w:t>string</w:t>
            </w:r>
          </w:p>
        </w:tc>
        <w:tc>
          <w:tcPr>
            <w:tcW w:w="3326" w:type="pct"/>
            <w:shd w:val="clear" w:color="auto" w:fill="auto"/>
            <w:vAlign w:val="center"/>
          </w:tcPr>
          <w:p w:rsidR="00CB0DD7" w:rsidRPr="000A0A5F" w:rsidRDefault="00CB0DD7">
            <w:pPr>
              <w:pStyle w:val="TAL"/>
            </w:pPr>
            <w:r w:rsidRPr="000A0A5F">
              <w:t>Identifier of the transaction. The transactionId corresponds to the stage 2 TLTRI.</w:t>
            </w:r>
          </w:p>
        </w:tc>
      </w:tr>
    </w:tbl>
    <w:p w:rsidR="00CB0DD7" w:rsidRPr="000A0A5F" w:rsidRDefault="00CB0DD7"/>
    <w:p w:rsidR="00CB0DD7" w:rsidRPr="000A0A5F" w:rsidRDefault="00CB0DD7">
      <w:pPr>
        <w:pStyle w:val="Heading5"/>
      </w:pPr>
      <w:bookmarkStart w:id="3328" w:name="_Toc11247422"/>
      <w:bookmarkStart w:id="3329" w:name="_Toc27044544"/>
      <w:bookmarkStart w:id="3330" w:name="_Toc36033586"/>
      <w:bookmarkStart w:id="3331" w:name="_Toc45131721"/>
      <w:bookmarkStart w:id="3332" w:name="_Toc49776006"/>
      <w:bookmarkStart w:id="3333" w:name="_Toc51746926"/>
      <w:bookmarkStart w:id="3334" w:name="_Toc66360477"/>
      <w:bookmarkStart w:id="3335" w:name="_Toc68104982"/>
      <w:bookmarkStart w:id="3336" w:name="_Toc74755612"/>
      <w:bookmarkStart w:id="3337" w:name="_Toc105674485"/>
      <w:bookmarkStart w:id="3338" w:name="_Toc130502529"/>
      <w:bookmarkStart w:id="3339" w:name="_Toc153625316"/>
      <w:r w:rsidRPr="000A0A5F">
        <w:t>5.5.3.3.3</w:t>
      </w:r>
      <w:r w:rsidRPr="000A0A5F">
        <w:tab/>
        <w:t>Resource methods</w:t>
      </w:r>
      <w:bookmarkEnd w:id="3328"/>
      <w:bookmarkEnd w:id="3329"/>
      <w:bookmarkEnd w:id="3330"/>
      <w:bookmarkEnd w:id="3331"/>
      <w:bookmarkEnd w:id="3332"/>
      <w:bookmarkEnd w:id="3333"/>
      <w:bookmarkEnd w:id="3334"/>
      <w:bookmarkEnd w:id="3335"/>
      <w:bookmarkEnd w:id="3336"/>
      <w:bookmarkEnd w:id="3337"/>
      <w:bookmarkEnd w:id="3338"/>
      <w:bookmarkEnd w:id="3339"/>
    </w:p>
    <w:p w:rsidR="00CB0DD7" w:rsidRPr="000A0A5F" w:rsidRDefault="00CB0DD7">
      <w:pPr>
        <w:pStyle w:val="Heading6"/>
      </w:pPr>
      <w:bookmarkStart w:id="3340" w:name="_Toc11247423"/>
      <w:bookmarkStart w:id="3341" w:name="_Toc27044545"/>
      <w:bookmarkStart w:id="3342" w:name="_Toc36033587"/>
      <w:bookmarkStart w:id="3343" w:name="_Toc45131722"/>
      <w:bookmarkStart w:id="3344" w:name="_Toc49776007"/>
      <w:bookmarkStart w:id="3345" w:name="_Toc51746927"/>
      <w:bookmarkStart w:id="3346" w:name="_Toc66360478"/>
      <w:bookmarkStart w:id="3347" w:name="_Toc68104983"/>
      <w:bookmarkStart w:id="3348" w:name="_Toc74755613"/>
      <w:bookmarkStart w:id="3349" w:name="_Toc105674486"/>
      <w:bookmarkStart w:id="3350" w:name="_Toc130502530"/>
      <w:bookmarkStart w:id="3351" w:name="_Toc153625317"/>
      <w:r w:rsidRPr="000A0A5F">
        <w:t>5.5.3.3.3.1</w:t>
      </w:r>
      <w:r w:rsidRPr="000A0A5F">
        <w:tab/>
        <w:t>GET</w:t>
      </w:r>
      <w:bookmarkEnd w:id="3340"/>
      <w:bookmarkEnd w:id="3341"/>
      <w:bookmarkEnd w:id="3342"/>
      <w:bookmarkEnd w:id="3343"/>
      <w:bookmarkEnd w:id="3344"/>
      <w:bookmarkEnd w:id="3345"/>
      <w:bookmarkEnd w:id="3346"/>
      <w:bookmarkEnd w:id="3347"/>
      <w:bookmarkEnd w:id="3348"/>
      <w:bookmarkEnd w:id="3349"/>
      <w:bookmarkEnd w:id="3350"/>
      <w:bookmarkEnd w:id="3351"/>
    </w:p>
    <w:p w:rsidR="00CB0DD7" w:rsidRPr="000A0A5F" w:rsidRDefault="00CB0DD7">
      <w:pPr>
        <w:rPr>
          <w:noProof/>
          <w:lang w:eastAsia="zh-CN"/>
        </w:rPr>
      </w:pPr>
      <w:r w:rsidRPr="000A0A5F">
        <w:rPr>
          <w:noProof/>
          <w:lang w:eastAsia="zh-CN"/>
        </w:rPr>
        <w:t xml:space="preserve">The GET method allows to read a transaction resource to obtain details of an active. The SCS/AS shall initiate the HTTP GET request message and the SCEF shall respond to the message. </w:t>
      </w:r>
    </w:p>
    <w:p w:rsidR="00CB0DD7" w:rsidRPr="000A0A5F" w:rsidRDefault="00CB0DD7">
      <w:r w:rsidRPr="000A0A5F">
        <w:t>This method shall support the URI query parameters, request and response data structures, and response codes, as specified in the table 5.5.3.3.3.1-1 and table 5.5.3.3.3.1-2.</w:t>
      </w:r>
    </w:p>
    <w:p w:rsidR="00CB0DD7" w:rsidRPr="000A0A5F" w:rsidRDefault="00CB0DD7">
      <w:pPr>
        <w:pStyle w:val="TH"/>
        <w:rPr>
          <w:rFonts w:cs="Arial"/>
        </w:rPr>
      </w:pPr>
      <w:r w:rsidRPr="000A0A5F">
        <w:t xml:space="preserve">Table 5.5.3.3.3.1-1: URI query parameters supported by the GET method on this resource </w:t>
      </w:r>
    </w:p>
    <w:tbl>
      <w:tblPr>
        <w:tblW w:w="4999"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612"/>
        <w:gridCol w:w="1709"/>
        <w:gridCol w:w="1140"/>
        <w:gridCol w:w="5314"/>
      </w:tblGrid>
      <w:tr w:rsidR="00CB0DD7" w:rsidRPr="000A0A5F" w:rsidTr="00FF0AF8">
        <w:trPr>
          <w:jc w:val="center"/>
        </w:trPr>
        <w:tc>
          <w:tcPr>
            <w:tcW w:w="825" w:type="pct"/>
            <w:shd w:val="clear" w:color="000000" w:fill="C0C0C0"/>
          </w:tcPr>
          <w:p w:rsidR="00CB0DD7" w:rsidRPr="000A0A5F" w:rsidRDefault="00CB0DD7">
            <w:pPr>
              <w:pStyle w:val="TAH"/>
            </w:pPr>
            <w:r w:rsidRPr="000A0A5F">
              <w:t>Name</w:t>
            </w:r>
          </w:p>
        </w:tc>
        <w:tc>
          <w:tcPr>
            <w:tcW w:w="874" w:type="pct"/>
            <w:shd w:val="clear" w:color="000000" w:fill="C0C0C0"/>
          </w:tcPr>
          <w:p w:rsidR="00CB0DD7" w:rsidRPr="000A0A5F" w:rsidRDefault="00CB0DD7">
            <w:pPr>
              <w:pStyle w:val="TAH"/>
            </w:pPr>
            <w:r w:rsidRPr="000A0A5F">
              <w:t>Data type</w:t>
            </w:r>
          </w:p>
        </w:tc>
        <w:tc>
          <w:tcPr>
            <w:tcW w:w="583" w:type="pct"/>
            <w:shd w:val="clear" w:color="000000" w:fill="C0C0C0"/>
          </w:tcPr>
          <w:p w:rsidR="00CB0DD7" w:rsidRPr="000A0A5F" w:rsidRDefault="00CB0DD7">
            <w:pPr>
              <w:pStyle w:val="TAH"/>
            </w:pPr>
            <w:r w:rsidRPr="000A0A5F">
              <w:t>Cardinality</w:t>
            </w:r>
          </w:p>
        </w:tc>
        <w:tc>
          <w:tcPr>
            <w:tcW w:w="2718" w:type="pct"/>
            <w:shd w:val="clear" w:color="000000" w:fill="C0C0C0"/>
            <w:vAlign w:val="center"/>
          </w:tcPr>
          <w:p w:rsidR="00CB0DD7" w:rsidRPr="000A0A5F" w:rsidRDefault="00CB0DD7">
            <w:pPr>
              <w:pStyle w:val="TAH"/>
            </w:pPr>
            <w:r w:rsidRPr="000A0A5F">
              <w:t>Remarks</w:t>
            </w:r>
          </w:p>
        </w:tc>
      </w:tr>
      <w:tr w:rsidR="00CB0DD7" w:rsidRPr="000A0A5F" w:rsidTr="00FF0AF8">
        <w:trPr>
          <w:jc w:val="center"/>
        </w:trPr>
        <w:tc>
          <w:tcPr>
            <w:tcW w:w="825" w:type="pct"/>
            <w:shd w:val="clear" w:color="auto" w:fill="auto"/>
          </w:tcPr>
          <w:p w:rsidR="00CB0DD7" w:rsidRPr="000A0A5F" w:rsidRDefault="00CB0DD7">
            <w:pPr>
              <w:pStyle w:val="TAL"/>
            </w:pPr>
            <w:r w:rsidRPr="000A0A5F">
              <w:t>none specified</w:t>
            </w:r>
          </w:p>
        </w:tc>
        <w:tc>
          <w:tcPr>
            <w:tcW w:w="874" w:type="pct"/>
          </w:tcPr>
          <w:p w:rsidR="00CB0DD7" w:rsidRPr="000A0A5F" w:rsidRDefault="00CB0DD7">
            <w:pPr>
              <w:pStyle w:val="TAL"/>
            </w:pPr>
          </w:p>
        </w:tc>
        <w:tc>
          <w:tcPr>
            <w:tcW w:w="583" w:type="pct"/>
          </w:tcPr>
          <w:p w:rsidR="00CB0DD7" w:rsidRPr="000A0A5F" w:rsidRDefault="00CB0DD7">
            <w:pPr>
              <w:pStyle w:val="TAL"/>
            </w:pPr>
          </w:p>
        </w:tc>
        <w:tc>
          <w:tcPr>
            <w:tcW w:w="2718" w:type="pct"/>
            <w:shd w:val="clear" w:color="auto" w:fill="auto"/>
            <w:vAlign w:val="center"/>
          </w:tcPr>
          <w:p w:rsidR="00CB0DD7" w:rsidRPr="000A0A5F" w:rsidRDefault="00CB0DD7">
            <w:pPr>
              <w:pStyle w:val="TAL"/>
            </w:pPr>
          </w:p>
        </w:tc>
      </w:tr>
    </w:tbl>
    <w:p w:rsidR="00CB0DD7" w:rsidRPr="000A0A5F" w:rsidRDefault="00CB0DD7"/>
    <w:p w:rsidR="00CB0DD7" w:rsidRPr="000A0A5F" w:rsidRDefault="00CB0DD7">
      <w:pPr>
        <w:pStyle w:val="TH"/>
        <w:spacing w:before="120"/>
      </w:pPr>
      <w:r w:rsidRPr="000A0A5F">
        <w:t>Table 5.5.3.3.3.1-2: Data structures supported by the GET request/response by the resource</w:t>
      </w:r>
    </w:p>
    <w:tbl>
      <w:tblPr>
        <w:tblW w:w="4999" w:type="pct"/>
        <w:tblInd w:w="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45" w:type="dxa"/>
          <w:left w:w="45" w:type="dxa"/>
          <w:bottom w:w="45" w:type="dxa"/>
          <w:right w:w="45" w:type="dxa"/>
        </w:tblCellMar>
        <w:tblLook w:val="0000" w:firstRow="0" w:lastRow="0" w:firstColumn="0" w:lastColumn="0" w:noHBand="0" w:noVBand="0"/>
      </w:tblPr>
      <w:tblGrid>
        <w:gridCol w:w="1035"/>
        <w:gridCol w:w="2127"/>
        <w:gridCol w:w="1053"/>
        <w:gridCol w:w="973"/>
        <w:gridCol w:w="4541"/>
      </w:tblGrid>
      <w:tr w:rsidR="00CB0DD7" w:rsidRPr="000A0A5F" w:rsidTr="00B40D37">
        <w:tc>
          <w:tcPr>
            <w:tcW w:w="532" w:type="pct"/>
            <w:vMerge w:val="restart"/>
            <w:shd w:val="clear" w:color="auto" w:fill="C0C0C0"/>
            <w:vAlign w:val="center"/>
          </w:tcPr>
          <w:p w:rsidR="00CB0DD7" w:rsidRPr="000A0A5F" w:rsidRDefault="00CB0DD7">
            <w:pPr>
              <w:pStyle w:val="TAH"/>
            </w:pPr>
            <w:r w:rsidRPr="000A0A5F">
              <w:t>Request body</w:t>
            </w:r>
          </w:p>
        </w:tc>
        <w:tc>
          <w:tcPr>
            <w:tcW w:w="1093" w:type="pct"/>
            <w:shd w:val="clear" w:color="auto" w:fill="C0C0C0"/>
          </w:tcPr>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r w:rsidRPr="000A0A5F">
              <w:t>Cardinality</w:t>
            </w:r>
          </w:p>
        </w:tc>
        <w:tc>
          <w:tcPr>
            <w:tcW w:w="2834" w:type="pct"/>
            <w:gridSpan w:val="2"/>
            <w:shd w:val="clear" w:color="auto" w:fill="C0C0C0"/>
          </w:tcPr>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none</w:t>
            </w:r>
          </w:p>
        </w:tc>
        <w:tc>
          <w:tcPr>
            <w:tcW w:w="541" w:type="pct"/>
          </w:tcPr>
          <w:p w:rsidR="00CB0DD7" w:rsidRPr="000A0A5F" w:rsidRDefault="00CB0DD7">
            <w:pPr>
              <w:pStyle w:val="TAL"/>
            </w:pPr>
          </w:p>
        </w:tc>
        <w:tc>
          <w:tcPr>
            <w:tcW w:w="2834" w:type="pct"/>
            <w:gridSpan w:val="2"/>
          </w:tcPr>
          <w:p w:rsidR="00CB0DD7" w:rsidRPr="000A0A5F" w:rsidRDefault="00CB0DD7">
            <w:pPr>
              <w:pStyle w:val="TAL"/>
            </w:pPr>
          </w:p>
        </w:tc>
      </w:tr>
      <w:tr w:rsidR="00CB0DD7" w:rsidRPr="000A0A5F" w:rsidTr="00B40D37">
        <w:tc>
          <w:tcPr>
            <w:tcW w:w="532" w:type="pct"/>
            <w:vMerge w:val="restart"/>
            <w:shd w:val="clear" w:color="auto" w:fill="C0C0C0"/>
            <w:vAlign w:val="center"/>
          </w:tcPr>
          <w:p w:rsidR="00CB0DD7" w:rsidRPr="000A0A5F" w:rsidRDefault="00CB0DD7">
            <w:pPr>
              <w:pStyle w:val="TAH"/>
            </w:pPr>
            <w:r w:rsidRPr="000A0A5F">
              <w:t>Response body</w:t>
            </w:r>
          </w:p>
        </w:tc>
        <w:tc>
          <w:tcPr>
            <w:tcW w:w="1093" w:type="pct"/>
            <w:shd w:val="clear" w:color="auto" w:fill="C0C0C0"/>
          </w:tcPr>
          <w:p w:rsidR="00CB0DD7" w:rsidRPr="000A0A5F" w:rsidRDefault="00CB0DD7">
            <w:pPr>
              <w:pStyle w:val="TAH"/>
            </w:pPr>
          </w:p>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p>
          <w:p w:rsidR="00CB0DD7" w:rsidRPr="000A0A5F" w:rsidRDefault="00CB0DD7">
            <w:pPr>
              <w:pStyle w:val="TAH"/>
            </w:pPr>
            <w:r w:rsidRPr="000A0A5F">
              <w:t>Cardinality</w:t>
            </w:r>
          </w:p>
        </w:tc>
        <w:tc>
          <w:tcPr>
            <w:tcW w:w="500" w:type="pct"/>
            <w:shd w:val="clear" w:color="auto" w:fill="C0C0C0"/>
          </w:tcPr>
          <w:p w:rsidR="00CB0DD7" w:rsidRPr="000A0A5F" w:rsidRDefault="00CB0DD7">
            <w:pPr>
              <w:pStyle w:val="TAH"/>
            </w:pPr>
            <w:r w:rsidRPr="000A0A5F">
              <w:t>Response</w:t>
            </w:r>
          </w:p>
          <w:p w:rsidR="00CB0DD7" w:rsidRPr="000A0A5F" w:rsidRDefault="00CB0DD7">
            <w:pPr>
              <w:pStyle w:val="TAH"/>
            </w:pPr>
            <w:r w:rsidRPr="000A0A5F">
              <w:t>codes</w:t>
            </w:r>
          </w:p>
        </w:tc>
        <w:tc>
          <w:tcPr>
            <w:tcW w:w="2334" w:type="pct"/>
            <w:shd w:val="clear" w:color="auto" w:fill="C0C0C0"/>
          </w:tcPr>
          <w:p w:rsidR="00CB0DD7" w:rsidRPr="000A0A5F" w:rsidRDefault="00CB0DD7">
            <w:pPr>
              <w:pStyle w:val="TAH"/>
            </w:pPr>
          </w:p>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ChargeableParty</w:t>
            </w:r>
          </w:p>
        </w:tc>
        <w:tc>
          <w:tcPr>
            <w:tcW w:w="541" w:type="pct"/>
          </w:tcPr>
          <w:p w:rsidR="00CB0DD7" w:rsidRPr="000A0A5F" w:rsidRDefault="00CB0DD7">
            <w:pPr>
              <w:pStyle w:val="TAL"/>
            </w:pPr>
            <w:r w:rsidRPr="000A0A5F">
              <w:t>1</w:t>
            </w:r>
          </w:p>
        </w:tc>
        <w:tc>
          <w:tcPr>
            <w:tcW w:w="500" w:type="pct"/>
          </w:tcPr>
          <w:p w:rsidR="00CB0DD7" w:rsidRPr="000A0A5F" w:rsidRDefault="00CB0DD7">
            <w:pPr>
              <w:pStyle w:val="TAL"/>
            </w:pPr>
            <w:r w:rsidRPr="000A0A5F">
              <w:t>200 OK</w:t>
            </w:r>
          </w:p>
        </w:tc>
        <w:tc>
          <w:tcPr>
            <w:tcW w:w="2334" w:type="pct"/>
          </w:tcPr>
          <w:p w:rsidR="00CB0DD7" w:rsidRPr="000A0A5F" w:rsidRDefault="00CB0DD7">
            <w:pPr>
              <w:pStyle w:val="TAL"/>
            </w:pPr>
            <w:r w:rsidRPr="000A0A5F">
              <w:t>The chargeable party transactions information related to the request URI is returned.</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none</w:t>
            </w:r>
          </w:p>
        </w:tc>
        <w:tc>
          <w:tcPr>
            <w:tcW w:w="541" w:type="pct"/>
          </w:tcPr>
          <w:p w:rsidR="00CB0DD7" w:rsidRPr="000A0A5F" w:rsidRDefault="00CB0DD7">
            <w:pPr>
              <w:pStyle w:val="TAL"/>
            </w:pPr>
          </w:p>
        </w:tc>
        <w:tc>
          <w:tcPr>
            <w:tcW w:w="500" w:type="pct"/>
          </w:tcPr>
          <w:p w:rsidR="00CB0DD7" w:rsidRPr="000A0A5F" w:rsidRDefault="00CB0DD7">
            <w:pPr>
              <w:pStyle w:val="TAL"/>
            </w:pPr>
            <w:r w:rsidRPr="000A0A5F">
              <w:t>307 Temporary Redirect</w:t>
            </w:r>
          </w:p>
        </w:tc>
        <w:tc>
          <w:tcPr>
            <w:tcW w:w="2334" w:type="pct"/>
          </w:tcPr>
          <w:p w:rsidR="00CB0DD7" w:rsidRPr="000A0A5F" w:rsidRDefault="00CB0DD7">
            <w:pPr>
              <w:pStyle w:val="TAL"/>
            </w:pPr>
            <w:r w:rsidRPr="000A0A5F">
              <w:t>Temporary redirection, during transaction retrieval. The response shall include a Location header field containing an alternative URI of the resource located in an alternative SCEF.</w:t>
            </w:r>
          </w:p>
          <w:p w:rsidR="00CB0DD7" w:rsidRPr="000A0A5F" w:rsidRDefault="00CB0DD7">
            <w:pPr>
              <w:pStyle w:val="TAL"/>
            </w:pPr>
            <w:r w:rsidRPr="000A0A5F">
              <w:t>Redirection handling is described in clause 5.2.10.</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none</w:t>
            </w:r>
          </w:p>
        </w:tc>
        <w:tc>
          <w:tcPr>
            <w:tcW w:w="541" w:type="pct"/>
          </w:tcPr>
          <w:p w:rsidR="00CB0DD7" w:rsidRPr="000A0A5F" w:rsidRDefault="00CB0DD7">
            <w:pPr>
              <w:pStyle w:val="TAL"/>
            </w:pPr>
          </w:p>
        </w:tc>
        <w:tc>
          <w:tcPr>
            <w:tcW w:w="500" w:type="pct"/>
          </w:tcPr>
          <w:p w:rsidR="00CB0DD7" w:rsidRPr="000A0A5F" w:rsidRDefault="00CB0DD7">
            <w:pPr>
              <w:pStyle w:val="TAL"/>
            </w:pPr>
            <w:r w:rsidRPr="000A0A5F">
              <w:t>308 Permanent Redirect</w:t>
            </w:r>
          </w:p>
        </w:tc>
        <w:tc>
          <w:tcPr>
            <w:tcW w:w="2334" w:type="pct"/>
          </w:tcPr>
          <w:p w:rsidR="00CB0DD7" w:rsidRPr="000A0A5F" w:rsidRDefault="00CB0DD7">
            <w:pPr>
              <w:pStyle w:val="TAL"/>
            </w:pPr>
            <w:r w:rsidRPr="000A0A5F">
              <w:t>Permanent redirection, during transaction retrieval. The response shall include a Location header field containing an alternative URI of the resource located in an alternative SCEF.</w:t>
            </w:r>
          </w:p>
          <w:p w:rsidR="00CB0DD7" w:rsidRPr="000A0A5F" w:rsidRDefault="00CB0DD7">
            <w:pPr>
              <w:pStyle w:val="TAL"/>
            </w:pPr>
            <w:r w:rsidRPr="000A0A5F">
              <w:t>Redirection handling is described in clause 5.2.10.</w:t>
            </w:r>
          </w:p>
        </w:tc>
      </w:tr>
      <w:tr w:rsidR="00CB0DD7" w:rsidRPr="000A0A5F" w:rsidTr="00FF0AF8">
        <w:tc>
          <w:tcPr>
            <w:tcW w:w="5000" w:type="pct"/>
            <w:gridSpan w:val="5"/>
            <w:shd w:val="clear" w:color="auto" w:fill="auto"/>
            <w:vAlign w:val="center"/>
          </w:tcPr>
          <w:p w:rsidR="00CB0DD7" w:rsidRPr="000A0A5F" w:rsidRDefault="00CB0DD7">
            <w:pPr>
              <w:pStyle w:val="TAN"/>
            </w:pPr>
            <w:r w:rsidRPr="000A0A5F">
              <w:t>NOTE:</w:t>
            </w:r>
            <w:r w:rsidRPr="000A0A5F">
              <w:tab/>
              <w:t>The mandatory HTTP error status codes for the GET method listed in table 5.2.6-1 also apply.</w:t>
            </w:r>
          </w:p>
        </w:tc>
      </w:tr>
    </w:tbl>
    <w:p w:rsidR="00CB0DD7" w:rsidRPr="000A0A5F" w:rsidRDefault="00CB0DD7"/>
    <w:p w:rsidR="00CB0DD7" w:rsidRPr="000A0A5F" w:rsidRDefault="00B004CD">
      <w:pPr>
        <w:pStyle w:val="TH"/>
      </w:pPr>
      <w:r w:rsidRPr="000A0A5F">
        <w:t>Table </w:t>
      </w:r>
      <w:r w:rsidR="00CB0DD7" w:rsidRPr="000A0A5F">
        <w:t>5.5.3.3.3.1-3: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B004CD">
      <w:pPr>
        <w:pStyle w:val="TH"/>
      </w:pPr>
      <w:r w:rsidRPr="000A0A5F">
        <w:t>Table </w:t>
      </w:r>
      <w:r w:rsidR="00CB0DD7" w:rsidRPr="000A0A5F">
        <w:t>5.5.3.3.3.1-4: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CB0DD7">
      <w:pPr>
        <w:pStyle w:val="Heading6"/>
      </w:pPr>
      <w:bookmarkStart w:id="3352" w:name="_Toc11247424"/>
      <w:bookmarkStart w:id="3353" w:name="_Toc27044546"/>
      <w:bookmarkStart w:id="3354" w:name="_Toc36033588"/>
      <w:bookmarkStart w:id="3355" w:name="_Toc45131723"/>
      <w:bookmarkStart w:id="3356" w:name="_Toc49776008"/>
      <w:bookmarkStart w:id="3357" w:name="_Toc51746928"/>
      <w:bookmarkStart w:id="3358" w:name="_Toc66360479"/>
      <w:bookmarkStart w:id="3359" w:name="_Toc68104984"/>
      <w:bookmarkStart w:id="3360" w:name="_Toc74755614"/>
      <w:bookmarkStart w:id="3361" w:name="_Toc105674487"/>
      <w:bookmarkStart w:id="3362" w:name="_Toc130502531"/>
      <w:bookmarkStart w:id="3363" w:name="_Toc153625318"/>
      <w:r w:rsidRPr="000A0A5F">
        <w:t>5.5.3.3.3.2</w:t>
      </w:r>
      <w:r w:rsidRPr="000A0A5F">
        <w:tab/>
        <w:t>PUT</w:t>
      </w:r>
      <w:bookmarkEnd w:id="3352"/>
      <w:bookmarkEnd w:id="3353"/>
      <w:bookmarkEnd w:id="3354"/>
      <w:bookmarkEnd w:id="3355"/>
      <w:bookmarkEnd w:id="3356"/>
      <w:bookmarkEnd w:id="3357"/>
      <w:bookmarkEnd w:id="3358"/>
      <w:bookmarkEnd w:id="3359"/>
      <w:bookmarkEnd w:id="3360"/>
      <w:bookmarkEnd w:id="3361"/>
      <w:bookmarkEnd w:id="3362"/>
      <w:bookmarkEnd w:id="3363"/>
    </w:p>
    <w:p w:rsidR="00CB0DD7" w:rsidRPr="000A0A5F" w:rsidRDefault="00CB0DD7">
      <w:pPr>
        <w:rPr>
          <w:lang w:eastAsia="zh-CN"/>
        </w:rPr>
      </w:pPr>
      <w:r w:rsidRPr="000A0A5F">
        <w:rPr>
          <w:rFonts w:hint="eastAsia"/>
          <w:lang w:eastAsia="zh-CN"/>
        </w:rPr>
        <w:t xml:space="preserve">This </w:t>
      </w:r>
      <w:r w:rsidRPr="000A0A5F">
        <w:rPr>
          <w:lang w:eastAsia="zh-CN"/>
        </w:rPr>
        <w:t>HTTP method is not supported for the resource.</w:t>
      </w:r>
    </w:p>
    <w:p w:rsidR="00CB0DD7" w:rsidRPr="000A0A5F" w:rsidRDefault="00CB0DD7">
      <w:pPr>
        <w:pStyle w:val="Heading6"/>
      </w:pPr>
      <w:bookmarkStart w:id="3364" w:name="_Toc11247425"/>
      <w:bookmarkStart w:id="3365" w:name="_Toc27044547"/>
      <w:bookmarkStart w:id="3366" w:name="_Toc36033589"/>
      <w:bookmarkStart w:id="3367" w:name="_Toc45131724"/>
      <w:bookmarkStart w:id="3368" w:name="_Toc49776009"/>
      <w:bookmarkStart w:id="3369" w:name="_Toc51746929"/>
      <w:bookmarkStart w:id="3370" w:name="_Toc66360480"/>
      <w:bookmarkStart w:id="3371" w:name="_Toc68104985"/>
      <w:bookmarkStart w:id="3372" w:name="_Toc74755615"/>
      <w:bookmarkStart w:id="3373" w:name="_Toc105674488"/>
      <w:bookmarkStart w:id="3374" w:name="_Toc130502532"/>
      <w:bookmarkStart w:id="3375" w:name="_Toc153625319"/>
      <w:r w:rsidRPr="000A0A5F">
        <w:t>5.5.3.3.3.3</w:t>
      </w:r>
      <w:r w:rsidRPr="000A0A5F">
        <w:tab/>
        <w:t>PATCH</w:t>
      </w:r>
      <w:bookmarkEnd w:id="3364"/>
      <w:bookmarkEnd w:id="3365"/>
      <w:bookmarkEnd w:id="3366"/>
      <w:bookmarkEnd w:id="3367"/>
      <w:bookmarkEnd w:id="3368"/>
      <w:bookmarkEnd w:id="3369"/>
      <w:bookmarkEnd w:id="3370"/>
      <w:bookmarkEnd w:id="3371"/>
      <w:bookmarkEnd w:id="3372"/>
      <w:bookmarkEnd w:id="3373"/>
      <w:bookmarkEnd w:id="3374"/>
      <w:bookmarkEnd w:id="3375"/>
    </w:p>
    <w:p w:rsidR="00CB0DD7" w:rsidRPr="000A0A5F" w:rsidRDefault="00CB0DD7">
      <w:r w:rsidRPr="000A0A5F">
        <w:rPr>
          <w:noProof/>
          <w:lang w:eastAsia="zh-CN"/>
        </w:rPr>
        <w:t>The PATCH method allows to change the sponsoring status of an active chargeable party transaction. It also allows to activate a background data tranfer policy. The SCS/AS shall initiate the HTTP PATCH request message and the SCEF shall respond to the message.</w:t>
      </w:r>
      <w:r w:rsidRPr="000A0A5F">
        <w:t>This method shall support request and response data structures, and response codes, as specified in the table 5.5.3.3.3.3-1.</w:t>
      </w:r>
    </w:p>
    <w:p w:rsidR="00CB0DD7" w:rsidRPr="000A0A5F" w:rsidRDefault="00CB0DD7">
      <w:pPr>
        <w:pStyle w:val="TH"/>
      </w:pPr>
      <w:r w:rsidRPr="000A0A5F">
        <w:t>Table 5.5.3.3.3.3</w:t>
      </w:r>
      <w:r w:rsidRPr="000A0A5F">
        <w:rPr>
          <w:rFonts w:hint="eastAsia"/>
          <w:lang w:eastAsia="zh-CN"/>
        </w:rPr>
        <w:t>-1</w:t>
      </w:r>
      <w:r w:rsidRPr="000A0A5F">
        <w:t xml:space="preserve">: Data structures supported by the </w:t>
      </w:r>
      <w:r w:rsidRPr="000A0A5F">
        <w:rPr>
          <w:rFonts w:hint="eastAsia"/>
          <w:lang w:eastAsia="zh-CN"/>
        </w:rPr>
        <w:t>PATCH</w:t>
      </w:r>
      <w:r w:rsidRPr="000A0A5F">
        <w:t xml:space="preserve"> request/response by the resource</w:t>
      </w:r>
    </w:p>
    <w:tbl>
      <w:tblPr>
        <w:tblW w:w="4999" w:type="pct"/>
        <w:tblInd w:w="1" w:type="dxa"/>
        <w:tblBorders>
          <w:top w:val="single" w:sz="6" w:space="0" w:color="000000"/>
          <w:left w:val="single" w:sz="6" w:space="0" w:color="000000"/>
          <w:bottom w:val="single" w:sz="6" w:space="0" w:color="000000"/>
          <w:right w:val="single" w:sz="6" w:space="0" w:color="000000"/>
          <w:insideH w:val="single" w:sz="6" w:space="0" w:color="auto"/>
          <w:insideV w:val="single" w:sz="6" w:space="0" w:color="000000"/>
        </w:tblBorders>
        <w:tblLayout w:type="fixed"/>
        <w:tblCellMar>
          <w:top w:w="45" w:type="dxa"/>
          <w:left w:w="45" w:type="dxa"/>
          <w:bottom w:w="45" w:type="dxa"/>
          <w:right w:w="45" w:type="dxa"/>
        </w:tblCellMar>
        <w:tblLook w:val="0000" w:firstRow="0" w:lastRow="0" w:firstColumn="0" w:lastColumn="0" w:noHBand="0" w:noVBand="0"/>
      </w:tblPr>
      <w:tblGrid>
        <w:gridCol w:w="1035"/>
        <w:gridCol w:w="2127"/>
        <w:gridCol w:w="1053"/>
        <w:gridCol w:w="973"/>
        <w:gridCol w:w="4541"/>
      </w:tblGrid>
      <w:tr w:rsidR="00CB0DD7" w:rsidRPr="000A0A5F" w:rsidTr="00B40D37">
        <w:tc>
          <w:tcPr>
            <w:tcW w:w="532" w:type="pct"/>
            <w:vMerge w:val="restart"/>
            <w:shd w:val="clear" w:color="auto" w:fill="C0C0C0"/>
            <w:vAlign w:val="center"/>
          </w:tcPr>
          <w:p w:rsidR="00CB0DD7" w:rsidRPr="000A0A5F" w:rsidRDefault="00CB0DD7">
            <w:pPr>
              <w:pStyle w:val="TAH"/>
            </w:pPr>
            <w:r w:rsidRPr="000A0A5F">
              <w:t>Request body</w:t>
            </w:r>
          </w:p>
        </w:tc>
        <w:tc>
          <w:tcPr>
            <w:tcW w:w="1093" w:type="pct"/>
            <w:shd w:val="clear" w:color="auto" w:fill="C0C0C0"/>
          </w:tcPr>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r w:rsidRPr="000A0A5F">
              <w:t>Cardinality</w:t>
            </w:r>
          </w:p>
        </w:tc>
        <w:tc>
          <w:tcPr>
            <w:tcW w:w="2834" w:type="pct"/>
            <w:gridSpan w:val="2"/>
            <w:shd w:val="clear" w:color="auto" w:fill="C0C0C0"/>
          </w:tcPr>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rPr>
                <w:lang w:eastAsia="zh-CN"/>
              </w:rPr>
              <w:t>ChargeablePartyPatch</w:t>
            </w:r>
          </w:p>
        </w:tc>
        <w:tc>
          <w:tcPr>
            <w:tcW w:w="541" w:type="pct"/>
          </w:tcPr>
          <w:p w:rsidR="00CB0DD7" w:rsidRPr="000A0A5F" w:rsidRDefault="00CB0DD7">
            <w:pPr>
              <w:pStyle w:val="TAL"/>
            </w:pPr>
            <w:r w:rsidRPr="000A0A5F">
              <w:t>1</w:t>
            </w:r>
          </w:p>
        </w:tc>
        <w:tc>
          <w:tcPr>
            <w:tcW w:w="2834" w:type="pct"/>
            <w:gridSpan w:val="2"/>
          </w:tcPr>
          <w:p w:rsidR="00CB0DD7" w:rsidRPr="000A0A5F" w:rsidRDefault="00CB0DD7">
            <w:pPr>
              <w:pStyle w:val="TAL"/>
            </w:pPr>
            <w:r w:rsidRPr="000A0A5F">
              <w:t>Sponsor status change, usage threshold change and/or background data transfer policy activation.</w:t>
            </w:r>
          </w:p>
        </w:tc>
      </w:tr>
      <w:tr w:rsidR="00CB0DD7" w:rsidRPr="000A0A5F" w:rsidTr="00B40D37">
        <w:tc>
          <w:tcPr>
            <w:tcW w:w="532" w:type="pct"/>
            <w:vMerge w:val="restart"/>
            <w:shd w:val="clear" w:color="auto" w:fill="C0C0C0"/>
            <w:vAlign w:val="center"/>
          </w:tcPr>
          <w:p w:rsidR="00CB0DD7" w:rsidRPr="000A0A5F" w:rsidRDefault="00CB0DD7">
            <w:pPr>
              <w:pStyle w:val="TAH"/>
            </w:pPr>
            <w:r w:rsidRPr="000A0A5F">
              <w:t>Response body</w:t>
            </w:r>
          </w:p>
        </w:tc>
        <w:tc>
          <w:tcPr>
            <w:tcW w:w="1093" w:type="pct"/>
            <w:shd w:val="clear" w:color="auto" w:fill="C0C0C0"/>
          </w:tcPr>
          <w:p w:rsidR="00CB0DD7" w:rsidRPr="000A0A5F" w:rsidRDefault="00CB0DD7">
            <w:pPr>
              <w:pStyle w:val="TAH"/>
            </w:pPr>
          </w:p>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p>
          <w:p w:rsidR="00CB0DD7" w:rsidRPr="000A0A5F" w:rsidRDefault="00CB0DD7">
            <w:pPr>
              <w:pStyle w:val="TAH"/>
            </w:pPr>
            <w:r w:rsidRPr="000A0A5F">
              <w:t>Cardinality</w:t>
            </w:r>
          </w:p>
        </w:tc>
        <w:tc>
          <w:tcPr>
            <w:tcW w:w="500" w:type="pct"/>
            <w:shd w:val="clear" w:color="auto" w:fill="C0C0C0"/>
          </w:tcPr>
          <w:p w:rsidR="00CB0DD7" w:rsidRPr="000A0A5F" w:rsidRDefault="00CB0DD7">
            <w:pPr>
              <w:pStyle w:val="TAH"/>
            </w:pPr>
            <w:r w:rsidRPr="000A0A5F">
              <w:t>Response</w:t>
            </w:r>
          </w:p>
          <w:p w:rsidR="00CB0DD7" w:rsidRPr="000A0A5F" w:rsidRDefault="00CB0DD7">
            <w:pPr>
              <w:pStyle w:val="TAH"/>
            </w:pPr>
            <w:r w:rsidRPr="000A0A5F">
              <w:t>codes</w:t>
            </w:r>
          </w:p>
        </w:tc>
        <w:tc>
          <w:tcPr>
            <w:tcW w:w="2334" w:type="pct"/>
            <w:shd w:val="clear" w:color="auto" w:fill="C0C0C0"/>
          </w:tcPr>
          <w:p w:rsidR="00CB0DD7" w:rsidRPr="000A0A5F" w:rsidRDefault="00CB0DD7">
            <w:pPr>
              <w:pStyle w:val="TAH"/>
            </w:pPr>
          </w:p>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rPr>
                <w:lang w:eastAsia="zh-CN"/>
              </w:rPr>
              <w:t>ChargeableParty</w:t>
            </w:r>
          </w:p>
        </w:tc>
        <w:tc>
          <w:tcPr>
            <w:tcW w:w="541" w:type="pct"/>
          </w:tcPr>
          <w:p w:rsidR="00CB0DD7" w:rsidRPr="000A0A5F" w:rsidRDefault="00CB0DD7">
            <w:pPr>
              <w:pStyle w:val="TAL"/>
              <w:rPr>
                <w:rFonts w:hint="eastAsia"/>
                <w:lang w:eastAsia="zh-CN"/>
              </w:rPr>
            </w:pPr>
            <w:r w:rsidRPr="000A0A5F">
              <w:rPr>
                <w:rFonts w:hint="eastAsia"/>
                <w:lang w:eastAsia="zh-CN"/>
              </w:rPr>
              <w:t>1</w:t>
            </w:r>
          </w:p>
        </w:tc>
        <w:tc>
          <w:tcPr>
            <w:tcW w:w="500" w:type="pct"/>
          </w:tcPr>
          <w:p w:rsidR="00CB0DD7" w:rsidRPr="000A0A5F" w:rsidRDefault="00CB0DD7">
            <w:pPr>
              <w:pStyle w:val="TAL"/>
              <w:rPr>
                <w:rFonts w:hint="eastAsia"/>
                <w:lang w:eastAsia="zh-CN"/>
              </w:rPr>
            </w:pPr>
            <w:r w:rsidRPr="000A0A5F">
              <w:t>20</w:t>
            </w:r>
            <w:r w:rsidRPr="000A0A5F">
              <w:rPr>
                <w:rFonts w:hint="eastAsia"/>
                <w:lang w:eastAsia="zh-CN"/>
              </w:rPr>
              <w:t>0 OK</w:t>
            </w:r>
          </w:p>
        </w:tc>
        <w:tc>
          <w:tcPr>
            <w:tcW w:w="2334" w:type="pct"/>
          </w:tcPr>
          <w:p w:rsidR="00CB0DD7" w:rsidRPr="000A0A5F" w:rsidRDefault="00CB0DD7">
            <w:pPr>
              <w:pStyle w:val="TAL"/>
              <w:spacing w:afterLines="50" w:after="120"/>
            </w:pPr>
            <w:r w:rsidRPr="000A0A5F">
              <w:t xml:space="preserve">The chargeable party </w:t>
            </w:r>
            <w:r w:rsidRPr="000A0A5F">
              <w:rPr>
                <w:lang w:eastAsia="zh-CN"/>
              </w:rPr>
              <w:t>transaction resource</w:t>
            </w:r>
            <w:r w:rsidRPr="000A0A5F">
              <w:t xml:space="preserve"> was </w:t>
            </w:r>
            <w:r w:rsidRPr="000A0A5F">
              <w:rPr>
                <w:rFonts w:hint="eastAsia"/>
                <w:lang w:eastAsia="zh-CN"/>
              </w:rPr>
              <w:t>modified</w:t>
            </w:r>
            <w:r w:rsidRPr="000A0A5F">
              <w:t xml:space="preserve"> successfully. </w:t>
            </w:r>
          </w:p>
          <w:p w:rsidR="00CB0DD7" w:rsidRPr="000A0A5F" w:rsidRDefault="009F3663">
            <w:pPr>
              <w:pStyle w:val="TAL"/>
              <w:rPr>
                <w:rFonts w:hint="eastAsia"/>
                <w:lang w:eastAsia="zh-CN"/>
              </w:rPr>
            </w:pPr>
            <w:r w:rsidRPr="000A0A5F">
              <w:t xml:space="preserve">The SCEF </w:t>
            </w:r>
            <w:r w:rsidRPr="000A0A5F">
              <w:rPr>
                <w:rFonts w:hint="eastAsia"/>
                <w:lang w:eastAsia="zh-CN"/>
              </w:rPr>
              <w:t>shall</w:t>
            </w:r>
            <w:r w:rsidRPr="000A0A5F">
              <w:t xml:space="preserve"> return a representation of the updated chargeable party transaction resource in the response content.</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lang w:eastAsia="zh-CN"/>
              </w:rPr>
            </w:pPr>
            <w:r w:rsidRPr="000A0A5F">
              <w:rPr>
                <w:lang w:eastAsia="zh-CN"/>
              </w:rPr>
              <w:t>none</w:t>
            </w:r>
          </w:p>
        </w:tc>
        <w:tc>
          <w:tcPr>
            <w:tcW w:w="541" w:type="pct"/>
          </w:tcPr>
          <w:p w:rsidR="00CB0DD7" w:rsidRPr="000A0A5F" w:rsidRDefault="00CB0DD7">
            <w:pPr>
              <w:pStyle w:val="TAL"/>
              <w:rPr>
                <w:rFonts w:hint="eastAsia"/>
                <w:lang w:eastAsia="zh-CN"/>
              </w:rPr>
            </w:pPr>
          </w:p>
        </w:tc>
        <w:tc>
          <w:tcPr>
            <w:tcW w:w="500" w:type="pct"/>
          </w:tcPr>
          <w:p w:rsidR="00CB0DD7" w:rsidRPr="000A0A5F" w:rsidRDefault="00CB0DD7">
            <w:pPr>
              <w:pStyle w:val="TAL"/>
            </w:pPr>
            <w:r w:rsidRPr="000A0A5F">
              <w:t>20</w:t>
            </w:r>
            <w:r w:rsidRPr="000A0A5F">
              <w:rPr>
                <w:lang w:eastAsia="zh-CN"/>
              </w:rPr>
              <w:t>4 No Content</w:t>
            </w:r>
          </w:p>
        </w:tc>
        <w:tc>
          <w:tcPr>
            <w:tcW w:w="2334" w:type="pct"/>
          </w:tcPr>
          <w:p w:rsidR="00CB0DD7" w:rsidRPr="000A0A5F" w:rsidRDefault="00CB0DD7">
            <w:pPr>
              <w:pStyle w:val="TAL"/>
              <w:spacing w:afterLines="50" w:after="120"/>
            </w:pPr>
            <w:r w:rsidRPr="000A0A5F">
              <w:t xml:space="preserve">The chargeable party </w:t>
            </w:r>
            <w:r w:rsidRPr="000A0A5F">
              <w:rPr>
                <w:lang w:eastAsia="zh-CN"/>
              </w:rPr>
              <w:t>transaction resource</w:t>
            </w:r>
            <w:r w:rsidRPr="000A0A5F">
              <w:t xml:space="preserve"> was </w:t>
            </w:r>
            <w:r w:rsidRPr="000A0A5F">
              <w:rPr>
                <w:rFonts w:hint="eastAsia"/>
                <w:lang w:eastAsia="zh-CN"/>
              </w:rPr>
              <w:t>modified</w:t>
            </w:r>
            <w:r w:rsidRPr="000A0A5F">
              <w:t xml:space="preserve"> successfully. </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lang w:eastAsia="zh-CN"/>
              </w:rPr>
            </w:pPr>
            <w:r w:rsidRPr="000A0A5F">
              <w:t>none</w:t>
            </w:r>
          </w:p>
        </w:tc>
        <w:tc>
          <w:tcPr>
            <w:tcW w:w="541" w:type="pct"/>
          </w:tcPr>
          <w:p w:rsidR="00CB0DD7" w:rsidRPr="000A0A5F" w:rsidRDefault="00CB0DD7">
            <w:pPr>
              <w:pStyle w:val="TAL"/>
              <w:rPr>
                <w:rFonts w:hint="eastAsia"/>
                <w:lang w:eastAsia="zh-CN"/>
              </w:rPr>
            </w:pPr>
          </w:p>
        </w:tc>
        <w:tc>
          <w:tcPr>
            <w:tcW w:w="500" w:type="pct"/>
          </w:tcPr>
          <w:p w:rsidR="00CB0DD7" w:rsidRPr="000A0A5F" w:rsidRDefault="00CB0DD7">
            <w:pPr>
              <w:pStyle w:val="TAL"/>
            </w:pPr>
            <w:r w:rsidRPr="000A0A5F">
              <w:t>307 Temporary Redirect</w:t>
            </w:r>
          </w:p>
        </w:tc>
        <w:tc>
          <w:tcPr>
            <w:tcW w:w="2334" w:type="pct"/>
          </w:tcPr>
          <w:p w:rsidR="00CB0DD7" w:rsidRPr="000A0A5F" w:rsidRDefault="00CB0DD7">
            <w:pPr>
              <w:pStyle w:val="TAL"/>
            </w:pPr>
            <w:r w:rsidRPr="000A0A5F">
              <w:t>Temporary redirection, during transaction modification. The response shall include a Location header field containing an alternative URI of the resource located in an alternative SCEF.</w:t>
            </w:r>
          </w:p>
          <w:p w:rsidR="00CB0DD7" w:rsidRPr="000A0A5F" w:rsidRDefault="00CB0DD7">
            <w:pPr>
              <w:pStyle w:val="TAL"/>
              <w:spacing w:afterLines="50" w:after="120"/>
            </w:pPr>
            <w:r w:rsidRPr="000A0A5F">
              <w:t>Redirection handling is described in clause 5.2.10.</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lang w:eastAsia="zh-CN"/>
              </w:rPr>
            </w:pPr>
            <w:r w:rsidRPr="000A0A5F">
              <w:t>none</w:t>
            </w:r>
          </w:p>
        </w:tc>
        <w:tc>
          <w:tcPr>
            <w:tcW w:w="541" w:type="pct"/>
          </w:tcPr>
          <w:p w:rsidR="00CB0DD7" w:rsidRPr="000A0A5F" w:rsidRDefault="00CB0DD7">
            <w:pPr>
              <w:pStyle w:val="TAL"/>
              <w:rPr>
                <w:rFonts w:hint="eastAsia"/>
                <w:lang w:eastAsia="zh-CN"/>
              </w:rPr>
            </w:pPr>
          </w:p>
        </w:tc>
        <w:tc>
          <w:tcPr>
            <w:tcW w:w="500" w:type="pct"/>
          </w:tcPr>
          <w:p w:rsidR="00CB0DD7" w:rsidRPr="000A0A5F" w:rsidRDefault="00CB0DD7">
            <w:pPr>
              <w:pStyle w:val="TAL"/>
            </w:pPr>
            <w:r w:rsidRPr="000A0A5F">
              <w:t>308 Permanent Redirect</w:t>
            </w:r>
          </w:p>
        </w:tc>
        <w:tc>
          <w:tcPr>
            <w:tcW w:w="2334" w:type="pct"/>
          </w:tcPr>
          <w:p w:rsidR="00CB0DD7" w:rsidRPr="000A0A5F" w:rsidRDefault="00CB0DD7">
            <w:pPr>
              <w:pStyle w:val="TAL"/>
            </w:pPr>
            <w:r w:rsidRPr="000A0A5F">
              <w:t>Permanent redirection, during transaction modification. The response shall include a Location header field containing an alternative URI of the resource located in an alternative SCEF.</w:t>
            </w:r>
          </w:p>
          <w:p w:rsidR="00CB0DD7" w:rsidRPr="000A0A5F" w:rsidRDefault="00CB0DD7">
            <w:pPr>
              <w:pStyle w:val="TAL"/>
              <w:spacing w:afterLines="50" w:after="120"/>
            </w:pPr>
            <w:r w:rsidRPr="000A0A5F">
              <w:t>Redirection handling is described in clause 5.2.10.</w:t>
            </w:r>
          </w:p>
        </w:tc>
      </w:tr>
      <w:tr w:rsidR="00CB0DD7" w:rsidRPr="000A0A5F" w:rsidTr="00FF0AF8">
        <w:tc>
          <w:tcPr>
            <w:tcW w:w="5000" w:type="pct"/>
            <w:gridSpan w:val="5"/>
            <w:shd w:val="clear" w:color="auto" w:fill="auto"/>
            <w:vAlign w:val="center"/>
          </w:tcPr>
          <w:p w:rsidR="00CB0DD7" w:rsidRPr="000A0A5F" w:rsidRDefault="00CB0DD7">
            <w:pPr>
              <w:pStyle w:val="TAN"/>
              <w:rPr>
                <w:rFonts w:hint="eastAsia"/>
                <w:lang w:eastAsia="zh-CN"/>
              </w:rPr>
            </w:pPr>
            <w:r w:rsidRPr="000A0A5F">
              <w:t>NOTE:</w:t>
            </w:r>
            <w:r w:rsidRPr="000A0A5F">
              <w:tab/>
              <w:t>The mandatory HTTP error status codes for the PATCH method listed in table 5.2.6-1 also apply.</w:t>
            </w:r>
          </w:p>
        </w:tc>
      </w:tr>
    </w:tbl>
    <w:p w:rsidR="00CB0DD7" w:rsidRPr="000A0A5F" w:rsidRDefault="00CB0DD7"/>
    <w:p w:rsidR="00CB0DD7" w:rsidRPr="000A0A5F" w:rsidRDefault="00B004CD">
      <w:pPr>
        <w:pStyle w:val="TH"/>
      </w:pPr>
      <w:r w:rsidRPr="000A0A5F">
        <w:t>Table </w:t>
      </w:r>
      <w:r w:rsidR="00CB0DD7" w:rsidRPr="000A0A5F">
        <w:t>5.5.3.3.3.3-2: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B004CD">
      <w:pPr>
        <w:pStyle w:val="TH"/>
      </w:pPr>
      <w:r w:rsidRPr="000A0A5F">
        <w:t>Table </w:t>
      </w:r>
      <w:r w:rsidR="00CB0DD7" w:rsidRPr="000A0A5F">
        <w:t>5.5.3.3.3.3-3: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CB0DD7">
      <w:pPr>
        <w:pStyle w:val="Heading6"/>
      </w:pPr>
      <w:bookmarkStart w:id="3376" w:name="_Toc11247426"/>
      <w:bookmarkStart w:id="3377" w:name="_Toc27044548"/>
      <w:bookmarkStart w:id="3378" w:name="_Toc36033590"/>
      <w:bookmarkStart w:id="3379" w:name="_Toc45131725"/>
      <w:bookmarkStart w:id="3380" w:name="_Toc49776010"/>
      <w:bookmarkStart w:id="3381" w:name="_Toc51746930"/>
      <w:bookmarkStart w:id="3382" w:name="_Toc66360481"/>
      <w:bookmarkStart w:id="3383" w:name="_Toc68104986"/>
      <w:bookmarkStart w:id="3384" w:name="_Toc74755616"/>
      <w:bookmarkStart w:id="3385" w:name="_Toc105674489"/>
      <w:bookmarkStart w:id="3386" w:name="_Toc130502533"/>
      <w:bookmarkStart w:id="3387" w:name="_Toc153625320"/>
      <w:r w:rsidRPr="000A0A5F">
        <w:t>5.5.3.3.3.4</w:t>
      </w:r>
      <w:r w:rsidRPr="000A0A5F">
        <w:tab/>
        <w:t>POST</w:t>
      </w:r>
      <w:bookmarkEnd w:id="3376"/>
      <w:bookmarkEnd w:id="3377"/>
      <w:bookmarkEnd w:id="3378"/>
      <w:bookmarkEnd w:id="3379"/>
      <w:bookmarkEnd w:id="3380"/>
      <w:bookmarkEnd w:id="3381"/>
      <w:bookmarkEnd w:id="3382"/>
      <w:bookmarkEnd w:id="3383"/>
      <w:bookmarkEnd w:id="3384"/>
      <w:bookmarkEnd w:id="3385"/>
      <w:bookmarkEnd w:id="3386"/>
      <w:bookmarkEnd w:id="3387"/>
    </w:p>
    <w:p w:rsidR="00CB0DD7" w:rsidRPr="000A0A5F" w:rsidRDefault="00CB0DD7">
      <w:pPr>
        <w:rPr>
          <w:lang w:eastAsia="zh-CN"/>
        </w:rPr>
      </w:pPr>
      <w:r w:rsidRPr="000A0A5F">
        <w:rPr>
          <w:rFonts w:hint="eastAsia"/>
          <w:lang w:eastAsia="zh-CN"/>
        </w:rPr>
        <w:t xml:space="preserve">This </w:t>
      </w:r>
      <w:r w:rsidRPr="000A0A5F">
        <w:rPr>
          <w:lang w:eastAsia="zh-CN"/>
        </w:rPr>
        <w:t>HTTP method is not supported for the resource.</w:t>
      </w:r>
    </w:p>
    <w:p w:rsidR="00CB0DD7" w:rsidRPr="000A0A5F" w:rsidRDefault="00CB0DD7">
      <w:pPr>
        <w:pStyle w:val="Heading6"/>
      </w:pPr>
      <w:bookmarkStart w:id="3388" w:name="_Toc11247427"/>
      <w:bookmarkStart w:id="3389" w:name="_Toc27044549"/>
      <w:bookmarkStart w:id="3390" w:name="_Toc36033591"/>
      <w:bookmarkStart w:id="3391" w:name="_Toc45131726"/>
      <w:bookmarkStart w:id="3392" w:name="_Toc49776011"/>
      <w:bookmarkStart w:id="3393" w:name="_Toc51746931"/>
      <w:bookmarkStart w:id="3394" w:name="_Toc66360482"/>
      <w:bookmarkStart w:id="3395" w:name="_Toc68104987"/>
      <w:bookmarkStart w:id="3396" w:name="_Toc74755617"/>
      <w:bookmarkStart w:id="3397" w:name="_Toc105674490"/>
      <w:bookmarkStart w:id="3398" w:name="_Toc130502534"/>
      <w:bookmarkStart w:id="3399" w:name="_Toc153625321"/>
      <w:r w:rsidRPr="000A0A5F">
        <w:t>5.5.3.3.3.5</w:t>
      </w:r>
      <w:r w:rsidRPr="000A0A5F">
        <w:tab/>
        <w:t>DELETE</w:t>
      </w:r>
      <w:bookmarkEnd w:id="3388"/>
      <w:bookmarkEnd w:id="3389"/>
      <w:bookmarkEnd w:id="3390"/>
      <w:bookmarkEnd w:id="3391"/>
      <w:bookmarkEnd w:id="3392"/>
      <w:bookmarkEnd w:id="3393"/>
      <w:bookmarkEnd w:id="3394"/>
      <w:bookmarkEnd w:id="3395"/>
      <w:bookmarkEnd w:id="3396"/>
      <w:bookmarkEnd w:id="3397"/>
      <w:bookmarkEnd w:id="3398"/>
      <w:bookmarkEnd w:id="3399"/>
    </w:p>
    <w:p w:rsidR="00CB0DD7" w:rsidRPr="000A0A5F" w:rsidRDefault="00CB0DD7">
      <w:pPr>
        <w:rPr>
          <w:noProof/>
          <w:lang w:eastAsia="zh-CN"/>
        </w:rPr>
      </w:pPr>
      <w:r w:rsidRPr="000A0A5F">
        <w:rPr>
          <w:noProof/>
          <w:lang w:eastAsia="zh-CN"/>
        </w:rPr>
        <w:t xml:space="preserve">The DELETE method allows to delete an active chargeable party transaction resource and to terminate the related chargeable party transaction. The SCS/AS shall initiate the HTTP DELETE request message and the SCEF shall respond to the message. </w:t>
      </w:r>
    </w:p>
    <w:p w:rsidR="00CB0DD7" w:rsidRPr="000A0A5F" w:rsidRDefault="00CB0DD7">
      <w:r w:rsidRPr="000A0A5F">
        <w:t>This method shall support request and response data structures, and response codes, as specified in the table 5.5.3.3.3.5-1.</w:t>
      </w:r>
    </w:p>
    <w:p w:rsidR="00CB0DD7" w:rsidRPr="000A0A5F" w:rsidRDefault="00CB0DD7">
      <w:pPr>
        <w:pStyle w:val="TH"/>
      </w:pPr>
      <w:r w:rsidRPr="000A0A5F">
        <w:t>Table 5.</w:t>
      </w:r>
      <w:r w:rsidRPr="000A0A5F">
        <w:rPr>
          <w:lang w:eastAsia="zh-CN"/>
        </w:rPr>
        <w:t>5</w:t>
      </w:r>
      <w:r w:rsidRPr="000A0A5F">
        <w:t>.3.3.3.5</w:t>
      </w:r>
      <w:r w:rsidRPr="000A0A5F">
        <w:rPr>
          <w:rFonts w:hint="eastAsia"/>
          <w:lang w:eastAsia="zh-CN"/>
        </w:rPr>
        <w:t>-1.</w:t>
      </w:r>
      <w:r w:rsidRPr="000A0A5F">
        <w:t xml:space="preserve">: Data structures supported by the </w:t>
      </w:r>
      <w:r w:rsidRPr="000A0A5F">
        <w:rPr>
          <w:rFonts w:hint="eastAsia"/>
          <w:lang w:eastAsia="zh-CN"/>
        </w:rPr>
        <w:t>DELETE</w:t>
      </w:r>
      <w:r w:rsidRPr="000A0A5F">
        <w:t xml:space="preserve"> request/response by the resource</w:t>
      </w:r>
    </w:p>
    <w:tbl>
      <w:tblPr>
        <w:tblW w:w="4999" w:type="pct"/>
        <w:tblInd w:w="1" w:type="dxa"/>
        <w:tblBorders>
          <w:top w:val="single" w:sz="6" w:space="0" w:color="000000"/>
          <w:left w:val="single" w:sz="6" w:space="0" w:color="000000"/>
          <w:bottom w:val="single" w:sz="6" w:space="0" w:color="000000"/>
          <w:right w:val="single" w:sz="6" w:space="0" w:color="000000"/>
          <w:insideH w:val="single" w:sz="6" w:space="0" w:color="auto"/>
          <w:insideV w:val="single" w:sz="6" w:space="0" w:color="000000"/>
        </w:tblBorders>
        <w:tblLayout w:type="fixed"/>
        <w:tblCellMar>
          <w:top w:w="45" w:type="dxa"/>
          <w:left w:w="45" w:type="dxa"/>
          <w:bottom w:w="45" w:type="dxa"/>
          <w:right w:w="45" w:type="dxa"/>
        </w:tblCellMar>
        <w:tblLook w:val="0000" w:firstRow="0" w:lastRow="0" w:firstColumn="0" w:lastColumn="0" w:noHBand="0" w:noVBand="0"/>
      </w:tblPr>
      <w:tblGrid>
        <w:gridCol w:w="1035"/>
        <w:gridCol w:w="2127"/>
        <w:gridCol w:w="1053"/>
        <w:gridCol w:w="973"/>
        <w:gridCol w:w="4541"/>
      </w:tblGrid>
      <w:tr w:rsidR="00CB0DD7" w:rsidRPr="000A0A5F" w:rsidTr="00B40D37">
        <w:tc>
          <w:tcPr>
            <w:tcW w:w="532" w:type="pct"/>
            <w:vMerge w:val="restart"/>
            <w:shd w:val="clear" w:color="auto" w:fill="C0C0C0"/>
            <w:vAlign w:val="center"/>
          </w:tcPr>
          <w:p w:rsidR="00CB0DD7" w:rsidRPr="000A0A5F" w:rsidRDefault="00CB0DD7">
            <w:pPr>
              <w:pStyle w:val="TAH"/>
            </w:pPr>
            <w:r w:rsidRPr="000A0A5F">
              <w:t>Request body</w:t>
            </w:r>
          </w:p>
        </w:tc>
        <w:tc>
          <w:tcPr>
            <w:tcW w:w="1093" w:type="pct"/>
            <w:shd w:val="clear" w:color="auto" w:fill="C0C0C0"/>
          </w:tcPr>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r w:rsidRPr="000A0A5F">
              <w:t>Cardinality</w:t>
            </w:r>
          </w:p>
        </w:tc>
        <w:tc>
          <w:tcPr>
            <w:tcW w:w="2834" w:type="pct"/>
            <w:gridSpan w:val="2"/>
            <w:shd w:val="clear" w:color="auto" w:fill="C0C0C0"/>
          </w:tcPr>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rPr>
                <w:rFonts w:hint="eastAsia"/>
                <w:lang w:eastAsia="zh-CN"/>
              </w:rPr>
              <w:t>none</w:t>
            </w:r>
          </w:p>
        </w:tc>
        <w:tc>
          <w:tcPr>
            <w:tcW w:w="541" w:type="pct"/>
          </w:tcPr>
          <w:p w:rsidR="00CB0DD7" w:rsidRPr="000A0A5F" w:rsidRDefault="00CB0DD7">
            <w:pPr>
              <w:pStyle w:val="TAL"/>
              <w:rPr>
                <w:rFonts w:hint="eastAsia"/>
                <w:lang w:eastAsia="zh-CN"/>
              </w:rPr>
            </w:pPr>
          </w:p>
        </w:tc>
        <w:tc>
          <w:tcPr>
            <w:tcW w:w="2834" w:type="pct"/>
            <w:gridSpan w:val="2"/>
          </w:tcPr>
          <w:p w:rsidR="00CB0DD7" w:rsidRPr="000A0A5F" w:rsidRDefault="00CB0DD7">
            <w:pPr>
              <w:pStyle w:val="TAL"/>
              <w:rPr>
                <w:rFonts w:hint="eastAsia"/>
                <w:lang w:eastAsia="zh-CN"/>
              </w:rPr>
            </w:pPr>
          </w:p>
        </w:tc>
      </w:tr>
      <w:tr w:rsidR="00CB0DD7" w:rsidRPr="000A0A5F" w:rsidTr="00B40D37">
        <w:tc>
          <w:tcPr>
            <w:tcW w:w="532" w:type="pct"/>
            <w:vMerge w:val="restart"/>
            <w:shd w:val="clear" w:color="auto" w:fill="C0C0C0"/>
            <w:vAlign w:val="center"/>
          </w:tcPr>
          <w:p w:rsidR="00CB0DD7" w:rsidRPr="000A0A5F" w:rsidRDefault="00CB0DD7">
            <w:pPr>
              <w:pStyle w:val="TAH"/>
            </w:pPr>
            <w:r w:rsidRPr="000A0A5F">
              <w:t>Response body</w:t>
            </w:r>
          </w:p>
        </w:tc>
        <w:tc>
          <w:tcPr>
            <w:tcW w:w="1093" w:type="pct"/>
            <w:shd w:val="clear" w:color="auto" w:fill="C0C0C0"/>
          </w:tcPr>
          <w:p w:rsidR="00CB0DD7" w:rsidRPr="000A0A5F" w:rsidRDefault="00CB0DD7">
            <w:pPr>
              <w:pStyle w:val="TAH"/>
            </w:pPr>
          </w:p>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p>
          <w:p w:rsidR="00CB0DD7" w:rsidRPr="000A0A5F" w:rsidRDefault="00CB0DD7">
            <w:pPr>
              <w:pStyle w:val="TAH"/>
            </w:pPr>
            <w:r w:rsidRPr="000A0A5F">
              <w:t>Cardinality</w:t>
            </w:r>
          </w:p>
        </w:tc>
        <w:tc>
          <w:tcPr>
            <w:tcW w:w="500" w:type="pct"/>
            <w:shd w:val="clear" w:color="auto" w:fill="C0C0C0"/>
          </w:tcPr>
          <w:p w:rsidR="00CB0DD7" w:rsidRPr="000A0A5F" w:rsidRDefault="00CB0DD7">
            <w:pPr>
              <w:pStyle w:val="TAH"/>
            </w:pPr>
            <w:r w:rsidRPr="000A0A5F">
              <w:t>Response</w:t>
            </w:r>
          </w:p>
          <w:p w:rsidR="00CB0DD7" w:rsidRPr="000A0A5F" w:rsidRDefault="00CB0DD7">
            <w:pPr>
              <w:pStyle w:val="TAH"/>
            </w:pPr>
            <w:r w:rsidRPr="000A0A5F">
              <w:t>codes</w:t>
            </w:r>
          </w:p>
        </w:tc>
        <w:tc>
          <w:tcPr>
            <w:tcW w:w="2334" w:type="pct"/>
            <w:shd w:val="clear" w:color="auto" w:fill="C0C0C0"/>
          </w:tcPr>
          <w:p w:rsidR="00CB0DD7" w:rsidRPr="000A0A5F" w:rsidRDefault="00CB0DD7">
            <w:pPr>
              <w:pStyle w:val="TAH"/>
            </w:pPr>
          </w:p>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rPr>
                <w:rFonts w:hint="eastAsia"/>
                <w:lang w:eastAsia="zh-CN"/>
              </w:rPr>
              <w:t>none</w:t>
            </w:r>
          </w:p>
        </w:tc>
        <w:tc>
          <w:tcPr>
            <w:tcW w:w="541" w:type="pct"/>
          </w:tcPr>
          <w:p w:rsidR="00CB0DD7" w:rsidRPr="000A0A5F" w:rsidRDefault="00CB0DD7">
            <w:pPr>
              <w:pStyle w:val="TAL"/>
              <w:rPr>
                <w:rFonts w:hint="eastAsia"/>
                <w:lang w:eastAsia="zh-CN"/>
              </w:rPr>
            </w:pPr>
          </w:p>
        </w:tc>
        <w:tc>
          <w:tcPr>
            <w:tcW w:w="500" w:type="pct"/>
          </w:tcPr>
          <w:p w:rsidR="00CB0DD7" w:rsidRPr="000A0A5F" w:rsidRDefault="00CB0DD7">
            <w:pPr>
              <w:pStyle w:val="TAL"/>
              <w:rPr>
                <w:rFonts w:hint="eastAsia"/>
                <w:lang w:eastAsia="zh-CN"/>
              </w:rPr>
            </w:pPr>
            <w:r w:rsidRPr="000A0A5F">
              <w:rPr>
                <w:rFonts w:hint="eastAsia"/>
                <w:lang w:eastAsia="zh-CN"/>
              </w:rPr>
              <w:t>204 No Content</w:t>
            </w:r>
          </w:p>
        </w:tc>
        <w:tc>
          <w:tcPr>
            <w:tcW w:w="2334" w:type="pct"/>
          </w:tcPr>
          <w:p w:rsidR="00CB0DD7" w:rsidRPr="000A0A5F" w:rsidRDefault="00CB0DD7">
            <w:pPr>
              <w:pStyle w:val="TAL"/>
            </w:pPr>
            <w:r w:rsidRPr="000A0A5F">
              <w:t xml:space="preserve">The </w:t>
            </w:r>
            <w:r w:rsidRPr="000A0A5F">
              <w:rPr>
                <w:lang w:eastAsia="zh-CN"/>
              </w:rPr>
              <w:t>subscription</w:t>
            </w:r>
            <w:r w:rsidRPr="000A0A5F">
              <w:t xml:space="preserve"> was </w:t>
            </w:r>
            <w:r w:rsidRPr="000A0A5F">
              <w:rPr>
                <w:lang w:eastAsia="zh-CN"/>
              </w:rPr>
              <w:t>deleted</w:t>
            </w:r>
            <w:r w:rsidRPr="000A0A5F">
              <w:t xml:space="preserve"> successfully</w:t>
            </w:r>
            <w:r w:rsidRPr="000A0A5F">
              <w:rPr>
                <w:rFonts w:hint="eastAsia"/>
                <w:lang w:eastAsia="zh-CN"/>
              </w:rPr>
              <w:t>.</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t>NotificationData</w:t>
            </w:r>
          </w:p>
        </w:tc>
        <w:tc>
          <w:tcPr>
            <w:tcW w:w="541" w:type="pct"/>
          </w:tcPr>
          <w:p w:rsidR="00CB0DD7" w:rsidRPr="000A0A5F" w:rsidRDefault="00CB0DD7">
            <w:pPr>
              <w:pStyle w:val="TAL"/>
              <w:rPr>
                <w:rFonts w:hint="eastAsia"/>
                <w:lang w:eastAsia="zh-CN"/>
              </w:rPr>
            </w:pPr>
            <w:r w:rsidRPr="000A0A5F">
              <w:rPr>
                <w:rFonts w:hint="eastAsia"/>
                <w:lang w:eastAsia="zh-CN"/>
              </w:rPr>
              <w:t>1</w:t>
            </w:r>
          </w:p>
        </w:tc>
        <w:tc>
          <w:tcPr>
            <w:tcW w:w="500" w:type="pct"/>
          </w:tcPr>
          <w:p w:rsidR="00CB0DD7" w:rsidRPr="000A0A5F" w:rsidRDefault="00CB0DD7">
            <w:pPr>
              <w:pStyle w:val="TAL"/>
              <w:rPr>
                <w:rFonts w:hint="eastAsia"/>
                <w:lang w:eastAsia="zh-CN"/>
              </w:rPr>
            </w:pPr>
            <w:r w:rsidRPr="000A0A5F">
              <w:rPr>
                <w:rFonts w:hint="eastAsia"/>
                <w:lang w:eastAsia="zh-CN"/>
              </w:rPr>
              <w:t>2</w:t>
            </w:r>
            <w:r w:rsidRPr="000A0A5F">
              <w:rPr>
                <w:lang w:eastAsia="zh-CN"/>
              </w:rPr>
              <w:t>00 OK</w:t>
            </w:r>
          </w:p>
        </w:tc>
        <w:tc>
          <w:tcPr>
            <w:tcW w:w="2334" w:type="pct"/>
          </w:tcPr>
          <w:p w:rsidR="00CB0DD7" w:rsidRPr="000A0A5F" w:rsidRDefault="00CB0DD7">
            <w:pPr>
              <w:pStyle w:val="TAL"/>
            </w:pPr>
            <w:r w:rsidRPr="000A0A5F">
              <w:t>The subscription was deleted successfully.</w:t>
            </w:r>
            <w:r w:rsidRPr="000A0A5F">
              <w:rPr>
                <w:rFonts w:hint="eastAsia"/>
                <w:lang w:eastAsia="zh-CN"/>
              </w:rPr>
              <w:t xml:space="preserve"> </w:t>
            </w:r>
            <w:r w:rsidRPr="000A0A5F">
              <w:rPr>
                <w:lang w:eastAsia="zh-CN"/>
              </w:rPr>
              <w:t>The notification data shall be included in the response.</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none</w:t>
            </w:r>
          </w:p>
        </w:tc>
        <w:tc>
          <w:tcPr>
            <w:tcW w:w="541" w:type="pct"/>
          </w:tcPr>
          <w:p w:rsidR="00CB0DD7" w:rsidRPr="000A0A5F" w:rsidRDefault="00CB0DD7">
            <w:pPr>
              <w:pStyle w:val="TAL"/>
              <w:rPr>
                <w:rFonts w:hint="eastAsia"/>
                <w:lang w:eastAsia="zh-CN"/>
              </w:rPr>
            </w:pPr>
          </w:p>
        </w:tc>
        <w:tc>
          <w:tcPr>
            <w:tcW w:w="500" w:type="pct"/>
          </w:tcPr>
          <w:p w:rsidR="00CB0DD7" w:rsidRPr="000A0A5F" w:rsidRDefault="00CB0DD7">
            <w:pPr>
              <w:pStyle w:val="TAL"/>
              <w:rPr>
                <w:rFonts w:hint="eastAsia"/>
                <w:lang w:eastAsia="zh-CN"/>
              </w:rPr>
            </w:pPr>
            <w:r w:rsidRPr="000A0A5F">
              <w:t>307 Temporary Redirect</w:t>
            </w:r>
          </w:p>
        </w:tc>
        <w:tc>
          <w:tcPr>
            <w:tcW w:w="2334" w:type="pct"/>
          </w:tcPr>
          <w:p w:rsidR="00CB0DD7" w:rsidRPr="000A0A5F" w:rsidRDefault="00CB0DD7">
            <w:pPr>
              <w:pStyle w:val="TAL"/>
            </w:pPr>
            <w:r w:rsidRPr="000A0A5F">
              <w:t>Temporary redirection, during transaction termination. The response shall include a Location header field containing an alternative URI of the resource located in an alternative SCEF.</w:t>
            </w:r>
          </w:p>
          <w:p w:rsidR="00CB0DD7" w:rsidRPr="000A0A5F" w:rsidRDefault="00CB0DD7">
            <w:pPr>
              <w:pStyle w:val="TAL"/>
            </w:pPr>
            <w:r w:rsidRPr="000A0A5F">
              <w:t>Redirection handling is described in clause 5.2.10.</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none</w:t>
            </w:r>
          </w:p>
        </w:tc>
        <w:tc>
          <w:tcPr>
            <w:tcW w:w="541" w:type="pct"/>
          </w:tcPr>
          <w:p w:rsidR="00CB0DD7" w:rsidRPr="000A0A5F" w:rsidRDefault="00CB0DD7">
            <w:pPr>
              <w:pStyle w:val="TAL"/>
              <w:rPr>
                <w:rFonts w:hint="eastAsia"/>
                <w:lang w:eastAsia="zh-CN"/>
              </w:rPr>
            </w:pPr>
          </w:p>
        </w:tc>
        <w:tc>
          <w:tcPr>
            <w:tcW w:w="500" w:type="pct"/>
          </w:tcPr>
          <w:p w:rsidR="00CB0DD7" w:rsidRPr="000A0A5F" w:rsidRDefault="00CB0DD7">
            <w:pPr>
              <w:pStyle w:val="TAL"/>
              <w:rPr>
                <w:rFonts w:hint="eastAsia"/>
                <w:lang w:eastAsia="zh-CN"/>
              </w:rPr>
            </w:pPr>
            <w:r w:rsidRPr="000A0A5F">
              <w:t>308 Permanent Redirect</w:t>
            </w:r>
          </w:p>
        </w:tc>
        <w:tc>
          <w:tcPr>
            <w:tcW w:w="2334" w:type="pct"/>
          </w:tcPr>
          <w:p w:rsidR="00CB0DD7" w:rsidRPr="000A0A5F" w:rsidRDefault="00CB0DD7">
            <w:pPr>
              <w:pStyle w:val="TAL"/>
            </w:pPr>
            <w:r w:rsidRPr="000A0A5F">
              <w:t>Permanent redirection, during transaction termination. The response shall include a Location header field containing an alternative URI of the resource located in an alternative SCEF.</w:t>
            </w:r>
          </w:p>
          <w:p w:rsidR="00CB0DD7" w:rsidRPr="000A0A5F" w:rsidRDefault="00CB0DD7">
            <w:pPr>
              <w:pStyle w:val="TAL"/>
            </w:pPr>
            <w:r w:rsidRPr="000A0A5F">
              <w:t>Redirection handling is described in clause 5.2.10.</w:t>
            </w:r>
          </w:p>
        </w:tc>
      </w:tr>
      <w:tr w:rsidR="00CB0DD7" w:rsidRPr="000A0A5F" w:rsidTr="00FF0AF8">
        <w:tc>
          <w:tcPr>
            <w:tcW w:w="5000" w:type="pct"/>
            <w:gridSpan w:val="5"/>
            <w:shd w:val="clear" w:color="auto" w:fill="auto"/>
            <w:vAlign w:val="center"/>
          </w:tcPr>
          <w:p w:rsidR="00CB0DD7" w:rsidRPr="000A0A5F" w:rsidRDefault="00CB0DD7">
            <w:pPr>
              <w:pStyle w:val="TAN"/>
            </w:pPr>
            <w:r w:rsidRPr="000A0A5F">
              <w:t>NOTE:</w:t>
            </w:r>
            <w:r w:rsidRPr="000A0A5F">
              <w:tab/>
              <w:t>The mandatory HTTP error status codes for the DELETE method listed in table 5.2.6-1 also apply.</w:t>
            </w:r>
          </w:p>
        </w:tc>
      </w:tr>
    </w:tbl>
    <w:p w:rsidR="00CB0DD7" w:rsidRPr="000A0A5F" w:rsidRDefault="00CB0DD7"/>
    <w:p w:rsidR="00CB0DD7" w:rsidRPr="000A0A5F" w:rsidRDefault="00B004CD">
      <w:pPr>
        <w:pStyle w:val="TH"/>
      </w:pPr>
      <w:r w:rsidRPr="000A0A5F">
        <w:t>Table </w:t>
      </w:r>
      <w:r w:rsidR="00CB0DD7" w:rsidRPr="000A0A5F">
        <w:t>5.5.3.3.3.5-2: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B004CD">
      <w:pPr>
        <w:pStyle w:val="TH"/>
      </w:pPr>
      <w:r w:rsidRPr="000A0A5F">
        <w:t>Table </w:t>
      </w:r>
      <w:r w:rsidR="00CB0DD7" w:rsidRPr="000A0A5F">
        <w:t>5.5.3.3.3.5-3: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CB0DD7">
      <w:pPr>
        <w:pStyle w:val="Heading4"/>
      </w:pPr>
      <w:bookmarkStart w:id="3400" w:name="_Toc11247428"/>
      <w:bookmarkStart w:id="3401" w:name="_Toc27044550"/>
      <w:bookmarkStart w:id="3402" w:name="_Toc36033592"/>
      <w:bookmarkStart w:id="3403" w:name="_Toc45131727"/>
      <w:bookmarkStart w:id="3404" w:name="_Toc49776012"/>
      <w:bookmarkStart w:id="3405" w:name="_Toc51746932"/>
      <w:bookmarkStart w:id="3406" w:name="_Toc66360483"/>
      <w:bookmarkStart w:id="3407" w:name="_Toc68104988"/>
      <w:bookmarkStart w:id="3408" w:name="_Toc74755618"/>
      <w:bookmarkStart w:id="3409" w:name="_Toc105674491"/>
      <w:bookmarkStart w:id="3410" w:name="_Toc130502535"/>
      <w:bookmarkStart w:id="3411" w:name="_Toc153625322"/>
      <w:r w:rsidRPr="000A0A5F">
        <w:t>5.5.3.4</w:t>
      </w:r>
      <w:r w:rsidRPr="000A0A5F">
        <w:tab/>
        <w:t>Void</w:t>
      </w:r>
      <w:bookmarkEnd w:id="3400"/>
      <w:bookmarkEnd w:id="3401"/>
      <w:bookmarkEnd w:id="3402"/>
      <w:bookmarkEnd w:id="3403"/>
      <w:bookmarkEnd w:id="3404"/>
      <w:bookmarkEnd w:id="3405"/>
      <w:bookmarkEnd w:id="3406"/>
      <w:bookmarkEnd w:id="3407"/>
      <w:bookmarkEnd w:id="3408"/>
      <w:bookmarkEnd w:id="3409"/>
      <w:bookmarkEnd w:id="3410"/>
      <w:bookmarkEnd w:id="3411"/>
    </w:p>
    <w:p w:rsidR="00CB0DD7" w:rsidRPr="000A0A5F" w:rsidRDefault="00CB0DD7">
      <w:pPr>
        <w:pStyle w:val="Heading3"/>
      </w:pPr>
      <w:bookmarkStart w:id="3412" w:name="_Toc66360484"/>
      <w:bookmarkStart w:id="3413" w:name="_Toc68104989"/>
      <w:bookmarkStart w:id="3414" w:name="_Toc74755619"/>
      <w:bookmarkStart w:id="3415" w:name="_Toc105674492"/>
      <w:bookmarkStart w:id="3416" w:name="_Toc130502536"/>
      <w:bookmarkStart w:id="3417" w:name="_Toc153625323"/>
      <w:r w:rsidRPr="000A0A5F">
        <w:t>5.5.</w:t>
      </w:r>
      <w:r w:rsidR="00B40D37" w:rsidRPr="000A0A5F">
        <w:t>3A</w:t>
      </w:r>
      <w:r w:rsidRPr="000A0A5F">
        <w:tab/>
        <w:t>Notifications</w:t>
      </w:r>
      <w:bookmarkEnd w:id="3412"/>
      <w:bookmarkEnd w:id="3413"/>
      <w:bookmarkEnd w:id="3414"/>
      <w:bookmarkEnd w:id="3415"/>
      <w:bookmarkEnd w:id="3416"/>
      <w:bookmarkEnd w:id="3417"/>
    </w:p>
    <w:p w:rsidR="00CB0DD7" w:rsidRPr="000A0A5F" w:rsidRDefault="00CB0DD7">
      <w:pPr>
        <w:pStyle w:val="Heading4"/>
      </w:pPr>
      <w:bookmarkStart w:id="3418" w:name="_Toc66360485"/>
      <w:bookmarkStart w:id="3419" w:name="_Toc68104990"/>
      <w:bookmarkStart w:id="3420" w:name="_Toc74755620"/>
      <w:bookmarkStart w:id="3421" w:name="_Toc105674493"/>
      <w:bookmarkStart w:id="3422" w:name="_Toc130502537"/>
      <w:bookmarkStart w:id="3423" w:name="_Toc153625324"/>
      <w:r w:rsidRPr="000A0A5F">
        <w:t>5.5.</w:t>
      </w:r>
      <w:r w:rsidR="00B40D37" w:rsidRPr="000A0A5F">
        <w:t>3A</w:t>
      </w:r>
      <w:r w:rsidRPr="000A0A5F">
        <w:t>.1</w:t>
      </w:r>
      <w:r w:rsidRPr="000A0A5F">
        <w:tab/>
        <w:t>General</w:t>
      </w:r>
      <w:bookmarkEnd w:id="3418"/>
      <w:bookmarkEnd w:id="3419"/>
      <w:bookmarkEnd w:id="3420"/>
      <w:bookmarkEnd w:id="3421"/>
      <w:bookmarkEnd w:id="3422"/>
      <w:bookmarkEnd w:id="3423"/>
    </w:p>
    <w:p w:rsidR="00CB0DD7" w:rsidRPr="000A0A5F" w:rsidRDefault="00CB0DD7">
      <w:r w:rsidRPr="000A0A5F">
        <w:t xml:space="preserve">The notifications provided by the </w:t>
      </w:r>
      <w:r w:rsidRPr="000A0A5F">
        <w:rPr>
          <w:noProof/>
          <w:lang w:eastAsia="zh-CN"/>
        </w:rPr>
        <w:t>ChargeableParty</w:t>
      </w:r>
      <w:r w:rsidRPr="000A0A5F">
        <w:t xml:space="preserve"> API are specified in this clause.</w:t>
      </w:r>
    </w:p>
    <w:p w:rsidR="00CB0DD7" w:rsidRPr="000A0A5F" w:rsidRDefault="00771F41">
      <w:pPr>
        <w:pStyle w:val="TH"/>
      </w:pPr>
      <w:r w:rsidRPr="000A0A5F">
        <w:t>Table </w:t>
      </w:r>
      <w:r w:rsidR="00CB0DD7" w:rsidRPr="000A0A5F">
        <w:t>5.5.</w:t>
      </w:r>
      <w:r w:rsidR="00B40D37" w:rsidRPr="000A0A5F">
        <w:t>3A</w:t>
      </w:r>
      <w:r w:rsidR="00CB0DD7" w:rsidRPr="000A0A5F">
        <w:t>-1: Notifications overview</w:t>
      </w:r>
    </w:p>
    <w:tbl>
      <w:tblPr>
        <w:tblW w:w="4484"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1914"/>
        <w:gridCol w:w="3654"/>
        <w:gridCol w:w="1243"/>
        <w:gridCol w:w="1957"/>
      </w:tblGrid>
      <w:tr w:rsidR="00CB0DD7" w:rsidRPr="000A0A5F" w:rsidTr="00FF0AF8">
        <w:trPr>
          <w:jc w:val="center"/>
        </w:trPr>
        <w:tc>
          <w:tcPr>
            <w:tcW w:w="1091" w:type="pct"/>
            <w:shd w:val="clear" w:color="auto" w:fill="C0C0C0"/>
            <w:vAlign w:val="center"/>
            <w:hideMark/>
          </w:tcPr>
          <w:p w:rsidR="00CB0DD7" w:rsidRPr="000A0A5F" w:rsidRDefault="00CB0DD7">
            <w:pPr>
              <w:pStyle w:val="TAH"/>
            </w:pPr>
            <w:r w:rsidRPr="000A0A5F">
              <w:t>Notification</w:t>
            </w:r>
          </w:p>
        </w:tc>
        <w:tc>
          <w:tcPr>
            <w:tcW w:w="2083" w:type="pct"/>
            <w:shd w:val="clear" w:color="auto" w:fill="C0C0C0"/>
            <w:vAlign w:val="center"/>
            <w:hideMark/>
          </w:tcPr>
          <w:p w:rsidR="00CB0DD7" w:rsidRPr="000A0A5F" w:rsidRDefault="00CB0DD7">
            <w:pPr>
              <w:pStyle w:val="TAH"/>
            </w:pPr>
            <w:r w:rsidRPr="000A0A5F">
              <w:t>Callback URI</w:t>
            </w:r>
          </w:p>
        </w:tc>
        <w:tc>
          <w:tcPr>
            <w:tcW w:w="709" w:type="pct"/>
            <w:shd w:val="clear" w:color="auto" w:fill="C0C0C0"/>
            <w:vAlign w:val="center"/>
            <w:hideMark/>
          </w:tcPr>
          <w:p w:rsidR="00CB0DD7" w:rsidRPr="000A0A5F" w:rsidRDefault="00CB0DD7">
            <w:pPr>
              <w:pStyle w:val="TAH"/>
            </w:pPr>
            <w:r w:rsidRPr="000A0A5F">
              <w:t>HTTP method or custom operation</w:t>
            </w:r>
          </w:p>
        </w:tc>
        <w:tc>
          <w:tcPr>
            <w:tcW w:w="1116" w:type="pct"/>
            <w:shd w:val="clear" w:color="auto" w:fill="C0C0C0"/>
            <w:vAlign w:val="center"/>
            <w:hideMark/>
          </w:tcPr>
          <w:p w:rsidR="00CB0DD7" w:rsidRPr="000A0A5F" w:rsidRDefault="00CB0DD7">
            <w:pPr>
              <w:pStyle w:val="TAH"/>
            </w:pPr>
            <w:r w:rsidRPr="000A0A5F">
              <w:t>Description</w:t>
            </w:r>
          </w:p>
          <w:p w:rsidR="00CB0DD7" w:rsidRPr="000A0A5F" w:rsidRDefault="00CB0DD7">
            <w:pPr>
              <w:pStyle w:val="TAH"/>
            </w:pPr>
            <w:r w:rsidRPr="000A0A5F">
              <w:t>(service operation)</w:t>
            </w:r>
          </w:p>
        </w:tc>
      </w:tr>
      <w:tr w:rsidR="00CB0DD7" w:rsidRPr="000A0A5F" w:rsidTr="00FF0AF8">
        <w:trPr>
          <w:jc w:val="center"/>
        </w:trPr>
        <w:tc>
          <w:tcPr>
            <w:tcW w:w="1091" w:type="pct"/>
          </w:tcPr>
          <w:p w:rsidR="00CB0DD7" w:rsidRPr="000A0A5F" w:rsidRDefault="00CB0DD7">
            <w:pPr>
              <w:pStyle w:val="TAC"/>
              <w:jc w:val="left"/>
              <w:rPr>
                <w:lang w:val="en-US"/>
              </w:rPr>
            </w:pPr>
            <w:r w:rsidRPr="000A0A5F">
              <w:rPr>
                <w:rFonts w:hint="eastAsia"/>
                <w:lang w:eastAsia="zh-CN"/>
              </w:rPr>
              <w:t>Event Notification</w:t>
            </w:r>
          </w:p>
        </w:tc>
        <w:tc>
          <w:tcPr>
            <w:tcW w:w="2083" w:type="pct"/>
          </w:tcPr>
          <w:p w:rsidR="00CB0DD7" w:rsidRPr="000A0A5F" w:rsidRDefault="00CB0DD7">
            <w:pPr>
              <w:pStyle w:val="TAL"/>
              <w:rPr>
                <w:lang w:val="en-US"/>
              </w:rPr>
            </w:pPr>
            <w:r w:rsidRPr="000A0A5F">
              <w:rPr>
                <w:rFonts w:hint="eastAsia"/>
                <w:lang w:eastAsia="zh-CN"/>
              </w:rPr>
              <w:t>{notification</w:t>
            </w:r>
            <w:r w:rsidRPr="000A0A5F">
              <w:t>Destination</w:t>
            </w:r>
            <w:r w:rsidRPr="000A0A5F">
              <w:rPr>
                <w:lang w:eastAsia="zh-CN"/>
              </w:rPr>
              <w:t>}</w:t>
            </w:r>
          </w:p>
        </w:tc>
        <w:tc>
          <w:tcPr>
            <w:tcW w:w="709" w:type="pct"/>
          </w:tcPr>
          <w:p w:rsidR="00CB0DD7" w:rsidRPr="000A0A5F" w:rsidRDefault="00CB0DD7">
            <w:pPr>
              <w:pStyle w:val="TAC"/>
              <w:rPr>
                <w:lang w:val="fr-FR"/>
              </w:rPr>
            </w:pPr>
            <w:r w:rsidRPr="000A0A5F">
              <w:rPr>
                <w:rFonts w:hint="eastAsia"/>
                <w:lang w:eastAsia="zh-CN"/>
              </w:rPr>
              <w:t>POST</w:t>
            </w:r>
          </w:p>
        </w:tc>
        <w:tc>
          <w:tcPr>
            <w:tcW w:w="1116" w:type="pct"/>
          </w:tcPr>
          <w:p w:rsidR="00CB0DD7" w:rsidRPr="000A0A5F" w:rsidRDefault="00CB0DD7">
            <w:pPr>
              <w:pStyle w:val="TAL"/>
              <w:rPr>
                <w:lang w:val="en-US"/>
              </w:rPr>
            </w:pPr>
            <w:r w:rsidRPr="000A0A5F">
              <w:rPr>
                <w:rFonts w:hint="eastAsia"/>
                <w:noProof/>
                <w:lang w:eastAsia="zh-CN"/>
              </w:rPr>
              <w:t xml:space="preserve">Notify the </w:t>
            </w:r>
            <w:r w:rsidRPr="000A0A5F">
              <w:t>bearer level event(s) from the SCEF to the SCS/AS identified by the notification destination URI</w:t>
            </w:r>
          </w:p>
        </w:tc>
      </w:tr>
    </w:tbl>
    <w:p w:rsidR="00CB0DD7" w:rsidRPr="000A0A5F" w:rsidRDefault="00CB0DD7"/>
    <w:p w:rsidR="00CB0DD7" w:rsidRPr="000A0A5F" w:rsidRDefault="00CB0DD7">
      <w:pPr>
        <w:pStyle w:val="Heading4"/>
      </w:pPr>
      <w:bookmarkStart w:id="3424" w:name="_Toc66360486"/>
      <w:bookmarkStart w:id="3425" w:name="_Toc68104991"/>
      <w:bookmarkStart w:id="3426" w:name="_Toc74755621"/>
      <w:bookmarkStart w:id="3427" w:name="_Toc105674494"/>
      <w:bookmarkStart w:id="3428" w:name="_Toc130502538"/>
      <w:bookmarkStart w:id="3429" w:name="_Toc153625325"/>
      <w:r w:rsidRPr="000A0A5F">
        <w:t>5.5.</w:t>
      </w:r>
      <w:r w:rsidR="00B40D37" w:rsidRPr="000A0A5F">
        <w:t>3A</w:t>
      </w:r>
      <w:r w:rsidRPr="000A0A5F">
        <w:t>.2</w:t>
      </w:r>
      <w:r w:rsidRPr="000A0A5F">
        <w:tab/>
        <w:t>Event Notification</w:t>
      </w:r>
      <w:bookmarkEnd w:id="3424"/>
      <w:bookmarkEnd w:id="3425"/>
      <w:bookmarkEnd w:id="3426"/>
      <w:bookmarkEnd w:id="3427"/>
      <w:bookmarkEnd w:id="3428"/>
      <w:bookmarkEnd w:id="3429"/>
    </w:p>
    <w:p w:rsidR="00CB0DD7" w:rsidRPr="000A0A5F" w:rsidRDefault="00CB0DD7">
      <w:pPr>
        <w:pStyle w:val="Heading5"/>
        <w:rPr>
          <w:noProof/>
        </w:rPr>
      </w:pPr>
      <w:bookmarkStart w:id="3430" w:name="_Toc66360487"/>
      <w:bookmarkStart w:id="3431" w:name="_Toc68104992"/>
      <w:bookmarkStart w:id="3432" w:name="_Toc74755622"/>
      <w:bookmarkStart w:id="3433" w:name="_Toc105674495"/>
      <w:bookmarkStart w:id="3434" w:name="_Toc130502539"/>
      <w:bookmarkStart w:id="3435" w:name="_Toc153625326"/>
      <w:r w:rsidRPr="000A0A5F">
        <w:t>5.5.</w:t>
      </w:r>
      <w:r w:rsidR="00B40D37" w:rsidRPr="000A0A5F">
        <w:t>3A</w:t>
      </w:r>
      <w:r w:rsidRPr="000A0A5F">
        <w:t>.2</w:t>
      </w:r>
      <w:r w:rsidRPr="000A0A5F">
        <w:rPr>
          <w:noProof/>
        </w:rPr>
        <w:t>.1</w:t>
      </w:r>
      <w:r w:rsidRPr="000A0A5F">
        <w:rPr>
          <w:noProof/>
        </w:rPr>
        <w:tab/>
        <w:t>Description</w:t>
      </w:r>
      <w:bookmarkEnd w:id="3430"/>
      <w:bookmarkEnd w:id="3431"/>
      <w:bookmarkEnd w:id="3432"/>
      <w:bookmarkEnd w:id="3433"/>
      <w:bookmarkEnd w:id="3434"/>
      <w:bookmarkEnd w:id="3435"/>
    </w:p>
    <w:p w:rsidR="00CB0DD7" w:rsidRPr="000A0A5F" w:rsidRDefault="00CB0DD7">
      <w:pPr>
        <w:rPr>
          <w:noProof/>
          <w:lang w:eastAsia="zh-CN"/>
        </w:rPr>
      </w:pPr>
      <w:r w:rsidRPr="000A0A5F">
        <w:rPr>
          <w:noProof/>
          <w:lang w:eastAsia="zh-CN"/>
        </w:rPr>
        <w:t>The Event Notification allows t</w:t>
      </w:r>
      <w:r w:rsidRPr="000A0A5F">
        <w:rPr>
          <w:rFonts w:hint="eastAsia"/>
          <w:noProof/>
          <w:lang w:eastAsia="zh-CN"/>
        </w:rPr>
        <w:t xml:space="preserve">he </w:t>
      </w:r>
      <w:r w:rsidRPr="000A0A5F">
        <w:rPr>
          <w:noProof/>
          <w:lang w:eastAsia="zh-CN"/>
        </w:rPr>
        <w:t xml:space="preserve">SCEF to notify the SCS/AS of the bearer level event(s). </w:t>
      </w:r>
    </w:p>
    <w:p w:rsidR="00CB0DD7" w:rsidRPr="000A0A5F" w:rsidRDefault="00CB0DD7">
      <w:pPr>
        <w:pStyle w:val="Heading5"/>
        <w:rPr>
          <w:noProof/>
        </w:rPr>
      </w:pPr>
      <w:bookmarkStart w:id="3436" w:name="_Toc66360488"/>
      <w:bookmarkStart w:id="3437" w:name="_Toc68104993"/>
      <w:bookmarkStart w:id="3438" w:name="_Toc74755623"/>
      <w:bookmarkStart w:id="3439" w:name="_Toc105674496"/>
      <w:bookmarkStart w:id="3440" w:name="_Toc130502540"/>
      <w:bookmarkStart w:id="3441" w:name="_Toc153625327"/>
      <w:r w:rsidRPr="000A0A5F">
        <w:t>5.5.</w:t>
      </w:r>
      <w:r w:rsidR="00B40D37" w:rsidRPr="000A0A5F">
        <w:t>3A</w:t>
      </w:r>
      <w:r w:rsidRPr="000A0A5F">
        <w:t>.2</w:t>
      </w:r>
      <w:r w:rsidRPr="000A0A5F">
        <w:rPr>
          <w:noProof/>
        </w:rPr>
        <w:t>.2</w:t>
      </w:r>
      <w:r w:rsidRPr="000A0A5F">
        <w:rPr>
          <w:noProof/>
        </w:rPr>
        <w:tab/>
        <w:t>Target URI</w:t>
      </w:r>
      <w:bookmarkEnd w:id="3436"/>
      <w:bookmarkEnd w:id="3437"/>
      <w:bookmarkEnd w:id="3438"/>
      <w:bookmarkEnd w:id="3439"/>
      <w:bookmarkEnd w:id="3440"/>
      <w:bookmarkEnd w:id="3441"/>
    </w:p>
    <w:p w:rsidR="00CB0DD7" w:rsidRPr="000A0A5F" w:rsidRDefault="00CB0DD7">
      <w:pPr>
        <w:rPr>
          <w:rFonts w:ascii="Arial" w:hAnsi="Arial" w:cs="Arial"/>
          <w:noProof/>
        </w:rPr>
      </w:pPr>
      <w:r w:rsidRPr="000A0A5F">
        <w:rPr>
          <w:noProof/>
        </w:rPr>
        <w:t xml:space="preserve">The Callback URI </w:t>
      </w:r>
      <w:r w:rsidRPr="000A0A5F">
        <w:rPr>
          <w:b/>
          <w:noProof/>
        </w:rPr>
        <w:t>"{</w:t>
      </w:r>
      <w:r w:rsidRPr="000A0A5F">
        <w:rPr>
          <w:lang w:eastAsia="zh-CN"/>
        </w:rPr>
        <w:t>n</w:t>
      </w:r>
      <w:r w:rsidRPr="000A0A5F">
        <w:rPr>
          <w:rFonts w:hint="eastAsia"/>
          <w:lang w:eastAsia="zh-CN"/>
        </w:rPr>
        <w:t>otificationDestination</w:t>
      </w:r>
      <w:r w:rsidRPr="000A0A5F">
        <w:rPr>
          <w:b/>
          <w:noProof/>
        </w:rPr>
        <w:t>}"</w:t>
      </w:r>
      <w:r w:rsidRPr="000A0A5F">
        <w:rPr>
          <w:noProof/>
        </w:rPr>
        <w:t xml:space="preserve"> shall be used with the callback URI variables defined in table </w:t>
      </w:r>
      <w:r w:rsidRPr="000A0A5F">
        <w:t>5.5.</w:t>
      </w:r>
      <w:r w:rsidR="00B40D37" w:rsidRPr="000A0A5F">
        <w:t>3A</w:t>
      </w:r>
      <w:r w:rsidRPr="000A0A5F">
        <w:t>.2</w:t>
      </w:r>
      <w:r w:rsidRPr="000A0A5F">
        <w:rPr>
          <w:noProof/>
        </w:rPr>
        <w:t>.2-1</w:t>
      </w:r>
      <w:r w:rsidRPr="000A0A5F">
        <w:rPr>
          <w:rFonts w:ascii="Arial" w:hAnsi="Arial" w:cs="Arial"/>
          <w:noProof/>
        </w:rPr>
        <w:t>.</w:t>
      </w:r>
    </w:p>
    <w:p w:rsidR="00CB0DD7" w:rsidRPr="000A0A5F" w:rsidRDefault="00CB0DD7">
      <w:pPr>
        <w:pStyle w:val="TH"/>
        <w:rPr>
          <w:rFonts w:cs="Arial"/>
          <w:noProof/>
        </w:rPr>
      </w:pPr>
      <w:r w:rsidRPr="000A0A5F">
        <w:rPr>
          <w:noProof/>
        </w:rPr>
        <w:t>Table </w:t>
      </w:r>
      <w:r w:rsidRPr="000A0A5F">
        <w:t>5.5.</w:t>
      </w:r>
      <w:r w:rsidR="00B40D37" w:rsidRPr="000A0A5F">
        <w:t>3A</w:t>
      </w:r>
      <w:r w:rsidRPr="000A0A5F">
        <w:t>.2</w:t>
      </w:r>
      <w:r w:rsidRPr="000A0A5F">
        <w:rPr>
          <w:noProof/>
        </w:rPr>
        <w:t>.2-1: Callback URI variables</w:t>
      </w:r>
    </w:p>
    <w:tbl>
      <w:tblPr>
        <w:tblW w:w="494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970"/>
        <w:gridCol w:w="1312"/>
        <w:gridCol w:w="6378"/>
      </w:tblGrid>
      <w:tr w:rsidR="00CB0DD7" w:rsidRPr="000A0A5F" w:rsidTr="00FF0AF8">
        <w:trPr>
          <w:jc w:val="center"/>
        </w:trPr>
        <w:tc>
          <w:tcPr>
            <w:tcW w:w="1020" w:type="pct"/>
            <w:shd w:val="clear" w:color="000000" w:fill="C0C0C0"/>
          </w:tcPr>
          <w:p w:rsidR="00CB0DD7" w:rsidRPr="000A0A5F" w:rsidRDefault="00CB0DD7">
            <w:pPr>
              <w:pStyle w:val="TAH"/>
            </w:pPr>
            <w:r w:rsidRPr="000A0A5F">
              <w:t>Name</w:t>
            </w:r>
          </w:p>
        </w:tc>
        <w:tc>
          <w:tcPr>
            <w:tcW w:w="679" w:type="pct"/>
            <w:shd w:val="clear" w:color="000000" w:fill="C0C0C0"/>
          </w:tcPr>
          <w:p w:rsidR="00CB0DD7" w:rsidRPr="000A0A5F" w:rsidRDefault="00CB0DD7">
            <w:pPr>
              <w:pStyle w:val="TAH"/>
            </w:pPr>
            <w:r w:rsidRPr="000A0A5F">
              <w:rPr>
                <w:rFonts w:hint="eastAsia"/>
                <w:lang w:eastAsia="zh-CN"/>
              </w:rPr>
              <w:t>D</w:t>
            </w:r>
            <w:r w:rsidRPr="000A0A5F">
              <w:rPr>
                <w:lang w:eastAsia="zh-CN"/>
              </w:rPr>
              <w:t>ata type</w:t>
            </w:r>
          </w:p>
        </w:tc>
        <w:tc>
          <w:tcPr>
            <w:tcW w:w="3301" w:type="pct"/>
            <w:shd w:val="clear" w:color="000000" w:fill="C0C0C0"/>
            <w:vAlign w:val="center"/>
          </w:tcPr>
          <w:p w:rsidR="00CB0DD7" w:rsidRPr="000A0A5F" w:rsidRDefault="00CB0DD7">
            <w:pPr>
              <w:pStyle w:val="TAH"/>
            </w:pPr>
            <w:r w:rsidRPr="000A0A5F">
              <w:t>Definition</w:t>
            </w:r>
          </w:p>
        </w:tc>
      </w:tr>
      <w:tr w:rsidR="00CB0DD7" w:rsidRPr="000A0A5F" w:rsidTr="00FF0AF8">
        <w:trPr>
          <w:jc w:val="center"/>
        </w:trPr>
        <w:tc>
          <w:tcPr>
            <w:tcW w:w="1020" w:type="pct"/>
            <w:shd w:val="clear" w:color="auto" w:fill="auto"/>
          </w:tcPr>
          <w:p w:rsidR="00CB0DD7" w:rsidRPr="000A0A5F" w:rsidRDefault="00CB0DD7">
            <w:pPr>
              <w:pStyle w:val="TAL"/>
              <w:rPr>
                <w:lang w:eastAsia="zh-CN"/>
              </w:rPr>
            </w:pPr>
            <w:r w:rsidRPr="000A0A5F">
              <w:rPr>
                <w:rFonts w:hint="eastAsia"/>
                <w:lang w:eastAsia="zh-CN"/>
              </w:rPr>
              <w:t>notificationDestination</w:t>
            </w:r>
          </w:p>
        </w:tc>
        <w:tc>
          <w:tcPr>
            <w:tcW w:w="679" w:type="pct"/>
          </w:tcPr>
          <w:p w:rsidR="00CB0DD7" w:rsidRPr="000A0A5F" w:rsidRDefault="00CB0DD7">
            <w:pPr>
              <w:pStyle w:val="TAL"/>
            </w:pPr>
            <w:r w:rsidRPr="000A0A5F">
              <w:rPr>
                <w:rFonts w:hint="eastAsia"/>
                <w:lang w:eastAsia="zh-CN"/>
              </w:rPr>
              <w:t>L</w:t>
            </w:r>
            <w:r w:rsidRPr="000A0A5F">
              <w:rPr>
                <w:lang w:eastAsia="zh-CN"/>
              </w:rPr>
              <w:t>ink</w:t>
            </w:r>
          </w:p>
        </w:tc>
        <w:tc>
          <w:tcPr>
            <w:tcW w:w="3301" w:type="pct"/>
            <w:shd w:val="clear" w:color="auto" w:fill="auto"/>
            <w:vAlign w:val="center"/>
          </w:tcPr>
          <w:p w:rsidR="00CB0DD7" w:rsidRPr="000A0A5F" w:rsidRDefault="00CB0DD7">
            <w:pPr>
              <w:pStyle w:val="TAL"/>
            </w:pPr>
            <w:r w:rsidRPr="000A0A5F">
              <w:t>Reference provided by the SCS/AS when the SCS/AS requests to sponsor the traffic from the beginning or to become the chargeable party at a later point.</w:t>
            </w:r>
          </w:p>
          <w:p w:rsidR="00CB0DD7" w:rsidRPr="000A0A5F" w:rsidRDefault="00CB0DD7">
            <w:pPr>
              <w:pStyle w:val="TAL"/>
            </w:pPr>
            <w:r w:rsidRPr="000A0A5F">
              <w:rPr>
                <w:rFonts w:cs="Arial"/>
                <w:szCs w:val="18"/>
                <w:lang w:eastAsia="zh-CN"/>
              </w:rPr>
              <w:t>This URI shall be provided within the "notification</w:t>
            </w:r>
            <w:r w:rsidRPr="000A0A5F">
              <w:t>Destination</w:t>
            </w:r>
            <w:r w:rsidRPr="000A0A5F">
              <w:rPr>
                <w:rFonts w:cs="Arial"/>
                <w:szCs w:val="18"/>
                <w:lang w:eastAsia="zh-CN"/>
              </w:rPr>
              <w:t>" attribute in the ChargeableParty type.</w:t>
            </w:r>
          </w:p>
        </w:tc>
      </w:tr>
    </w:tbl>
    <w:p w:rsidR="00CB0DD7" w:rsidRPr="000A0A5F" w:rsidRDefault="00CB0DD7">
      <w:pPr>
        <w:rPr>
          <w:noProof/>
        </w:rPr>
      </w:pPr>
    </w:p>
    <w:p w:rsidR="00CB0DD7" w:rsidRPr="000A0A5F" w:rsidRDefault="00CB0DD7">
      <w:pPr>
        <w:pStyle w:val="Heading5"/>
        <w:rPr>
          <w:noProof/>
        </w:rPr>
      </w:pPr>
      <w:bookmarkStart w:id="3442" w:name="_Toc66360489"/>
      <w:bookmarkStart w:id="3443" w:name="_Toc68104994"/>
      <w:bookmarkStart w:id="3444" w:name="_Toc74755624"/>
      <w:bookmarkStart w:id="3445" w:name="_Toc105674497"/>
      <w:bookmarkStart w:id="3446" w:name="_Toc130502541"/>
      <w:bookmarkStart w:id="3447" w:name="_Toc153625328"/>
      <w:r w:rsidRPr="000A0A5F">
        <w:t>5.5.</w:t>
      </w:r>
      <w:r w:rsidR="00B40D37" w:rsidRPr="000A0A5F">
        <w:t>3A</w:t>
      </w:r>
      <w:r w:rsidRPr="000A0A5F">
        <w:t>.2</w:t>
      </w:r>
      <w:r w:rsidRPr="000A0A5F">
        <w:rPr>
          <w:noProof/>
        </w:rPr>
        <w:t>.3</w:t>
      </w:r>
      <w:r w:rsidRPr="000A0A5F">
        <w:rPr>
          <w:noProof/>
        </w:rPr>
        <w:tab/>
        <w:t>Standard Methods</w:t>
      </w:r>
      <w:bookmarkEnd w:id="3442"/>
      <w:bookmarkEnd w:id="3443"/>
      <w:bookmarkEnd w:id="3444"/>
      <w:bookmarkEnd w:id="3445"/>
      <w:bookmarkEnd w:id="3446"/>
      <w:bookmarkEnd w:id="3447"/>
    </w:p>
    <w:p w:rsidR="00CB0DD7" w:rsidRPr="000A0A5F" w:rsidRDefault="00CB0DD7">
      <w:pPr>
        <w:pStyle w:val="Heading6"/>
        <w:rPr>
          <w:noProof/>
        </w:rPr>
      </w:pPr>
      <w:bookmarkStart w:id="3448" w:name="_Toc66360490"/>
      <w:bookmarkStart w:id="3449" w:name="_Toc68104995"/>
      <w:bookmarkStart w:id="3450" w:name="_Toc74755625"/>
      <w:bookmarkStart w:id="3451" w:name="_Toc105674498"/>
      <w:bookmarkStart w:id="3452" w:name="_Toc130502542"/>
      <w:bookmarkStart w:id="3453" w:name="_Toc153625329"/>
      <w:r w:rsidRPr="000A0A5F">
        <w:t>5.5.</w:t>
      </w:r>
      <w:r w:rsidR="00B40D37" w:rsidRPr="000A0A5F">
        <w:t>3A</w:t>
      </w:r>
      <w:r w:rsidRPr="000A0A5F">
        <w:t>.2.3</w:t>
      </w:r>
      <w:r w:rsidRPr="000A0A5F">
        <w:rPr>
          <w:noProof/>
        </w:rPr>
        <w:t>.1</w:t>
      </w:r>
      <w:r w:rsidRPr="000A0A5F">
        <w:rPr>
          <w:noProof/>
        </w:rPr>
        <w:tab/>
      </w:r>
      <w:r w:rsidRPr="000A0A5F">
        <w:t>Notification via POST</w:t>
      </w:r>
      <w:bookmarkEnd w:id="3448"/>
      <w:bookmarkEnd w:id="3449"/>
      <w:bookmarkEnd w:id="3450"/>
      <w:bookmarkEnd w:id="3451"/>
      <w:bookmarkEnd w:id="3452"/>
      <w:bookmarkEnd w:id="3453"/>
    </w:p>
    <w:p w:rsidR="00CB0DD7" w:rsidRPr="000A0A5F" w:rsidRDefault="00CB0DD7">
      <w:pPr>
        <w:rPr>
          <w:noProof/>
          <w:lang w:eastAsia="zh-CN"/>
        </w:rPr>
      </w:pPr>
      <w:r w:rsidRPr="000A0A5F">
        <w:rPr>
          <w:noProof/>
          <w:lang w:eastAsia="zh-CN"/>
        </w:rPr>
        <w:t xml:space="preserve">The POST method allows to notify SCS/AS </w:t>
      </w:r>
      <w:r w:rsidRPr="000A0A5F">
        <w:t>identified by the notification destination URI</w:t>
      </w:r>
      <w:r w:rsidRPr="000A0A5F">
        <w:rPr>
          <w:noProof/>
          <w:lang w:eastAsia="zh-CN"/>
        </w:rPr>
        <w:t xml:space="preserve"> of the bearer level event(s) by the SCEF and the SCS/AS shall respond to the message. </w:t>
      </w:r>
    </w:p>
    <w:p w:rsidR="00CB0DD7" w:rsidRPr="000A0A5F" w:rsidRDefault="00CB0DD7">
      <w:pPr>
        <w:rPr>
          <w:noProof/>
        </w:rPr>
      </w:pPr>
      <w:r w:rsidRPr="000A0A5F">
        <w:rPr>
          <w:noProof/>
        </w:rPr>
        <w:t>This method shall support the request data structures specified in table </w:t>
      </w:r>
      <w:r w:rsidRPr="000A0A5F">
        <w:t>5.5.</w:t>
      </w:r>
      <w:r w:rsidR="00B40D37" w:rsidRPr="000A0A5F">
        <w:t>3A</w:t>
      </w:r>
      <w:r w:rsidRPr="000A0A5F">
        <w:t>.2</w:t>
      </w:r>
      <w:r w:rsidRPr="000A0A5F">
        <w:rPr>
          <w:noProof/>
        </w:rPr>
        <w:t>.3.1-1 and the response data structures and response codes specified in table </w:t>
      </w:r>
      <w:r w:rsidRPr="000A0A5F">
        <w:t>5.5.</w:t>
      </w:r>
      <w:r w:rsidR="00B40D37" w:rsidRPr="000A0A5F">
        <w:t>3A</w:t>
      </w:r>
      <w:r w:rsidRPr="000A0A5F">
        <w:t>.2</w:t>
      </w:r>
      <w:r w:rsidRPr="000A0A5F">
        <w:rPr>
          <w:noProof/>
        </w:rPr>
        <w:t>.3.1-2.</w:t>
      </w:r>
    </w:p>
    <w:p w:rsidR="00CB0DD7" w:rsidRPr="000A0A5F" w:rsidRDefault="00CB0DD7">
      <w:pPr>
        <w:pStyle w:val="TH"/>
        <w:rPr>
          <w:noProof/>
        </w:rPr>
      </w:pPr>
      <w:r w:rsidRPr="000A0A5F">
        <w:rPr>
          <w:noProof/>
        </w:rPr>
        <w:t>Table </w:t>
      </w:r>
      <w:r w:rsidRPr="000A0A5F">
        <w:t>5.5.</w:t>
      </w:r>
      <w:r w:rsidR="00B40D37" w:rsidRPr="000A0A5F">
        <w:t>3A</w:t>
      </w:r>
      <w:r w:rsidRPr="000A0A5F">
        <w:t>.2</w:t>
      </w:r>
      <w:r w:rsidRPr="000A0A5F">
        <w:rPr>
          <w:noProof/>
        </w:rPr>
        <w:t>.3.1-1: Data structures supported by the POST Request Body</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3340"/>
        <w:gridCol w:w="1170"/>
        <w:gridCol w:w="5160"/>
      </w:tblGrid>
      <w:tr w:rsidR="00CB0DD7" w:rsidRPr="000A0A5F" w:rsidTr="00846044">
        <w:trPr>
          <w:jc w:val="center"/>
        </w:trPr>
        <w:tc>
          <w:tcPr>
            <w:tcW w:w="3340" w:type="dxa"/>
            <w:tcBorders>
              <w:bottom w:val="single" w:sz="6" w:space="0" w:color="auto"/>
            </w:tcBorders>
            <w:shd w:val="clear" w:color="auto" w:fill="C0C0C0"/>
            <w:hideMark/>
          </w:tcPr>
          <w:p w:rsidR="00CB0DD7" w:rsidRPr="000A0A5F" w:rsidRDefault="00CB0DD7">
            <w:pPr>
              <w:pStyle w:val="TAH"/>
              <w:rPr>
                <w:noProof/>
              </w:rPr>
            </w:pPr>
            <w:r w:rsidRPr="000A0A5F">
              <w:rPr>
                <w:noProof/>
              </w:rPr>
              <w:t>Data type</w:t>
            </w:r>
          </w:p>
        </w:tc>
        <w:tc>
          <w:tcPr>
            <w:tcW w:w="1170" w:type="dxa"/>
            <w:tcBorders>
              <w:bottom w:val="single" w:sz="6" w:space="0" w:color="auto"/>
            </w:tcBorders>
            <w:shd w:val="clear" w:color="auto" w:fill="C0C0C0"/>
            <w:hideMark/>
          </w:tcPr>
          <w:p w:rsidR="00CB0DD7" w:rsidRPr="000A0A5F" w:rsidRDefault="00CB0DD7">
            <w:pPr>
              <w:pStyle w:val="TAH"/>
              <w:rPr>
                <w:noProof/>
              </w:rPr>
            </w:pPr>
            <w:r w:rsidRPr="000A0A5F">
              <w:rPr>
                <w:noProof/>
              </w:rPr>
              <w:t>Cardinality</w:t>
            </w:r>
          </w:p>
        </w:tc>
        <w:tc>
          <w:tcPr>
            <w:tcW w:w="5160" w:type="dxa"/>
            <w:tcBorders>
              <w:bottom w:val="single" w:sz="6" w:space="0" w:color="auto"/>
            </w:tcBorders>
            <w:shd w:val="clear" w:color="auto" w:fill="C0C0C0"/>
            <w:vAlign w:val="center"/>
            <w:hideMark/>
          </w:tcPr>
          <w:p w:rsidR="00CB0DD7" w:rsidRPr="000A0A5F" w:rsidRDefault="00CB0DD7">
            <w:pPr>
              <w:pStyle w:val="TAH"/>
              <w:rPr>
                <w:noProof/>
              </w:rPr>
            </w:pPr>
            <w:r w:rsidRPr="000A0A5F">
              <w:rPr>
                <w:noProof/>
              </w:rPr>
              <w:t>Description</w:t>
            </w:r>
          </w:p>
        </w:tc>
      </w:tr>
      <w:tr w:rsidR="00CB0DD7" w:rsidRPr="000A0A5F" w:rsidTr="00846044">
        <w:trPr>
          <w:jc w:val="center"/>
        </w:trPr>
        <w:tc>
          <w:tcPr>
            <w:tcW w:w="3340" w:type="dxa"/>
            <w:tcBorders>
              <w:top w:val="single" w:sz="6" w:space="0" w:color="auto"/>
            </w:tcBorders>
          </w:tcPr>
          <w:p w:rsidR="00CB0DD7" w:rsidRPr="000A0A5F" w:rsidRDefault="00CB0DD7">
            <w:pPr>
              <w:pStyle w:val="TAL"/>
              <w:rPr>
                <w:noProof/>
              </w:rPr>
            </w:pPr>
            <w:r w:rsidRPr="000A0A5F">
              <w:rPr>
                <w:rFonts w:hint="eastAsia"/>
                <w:lang w:eastAsia="zh-CN"/>
              </w:rPr>
              <w:t>NotificationData</w:t>
            </w:r>
          </w:p>
        </w:tc>
        <w:tc>
          <w:tcPr>
            <w:tcW w:w="1170" w:type="dxa"/>
            <w:tcBorders>
              <w:top w:val="single" w:sz="6" w:space="0" w:color="auto"/>
            </w:tcBorders>
          </w:tcPr>
          <w:p w:rsidR="00CB0DD7" w:rsidRPr="000A0A5F" w:rsidRDefault="00CB0DD7">
            <w:pPr>
              <w:pStyle w:val="TAC"/>
              <w:rPr>
                <w:noProof/>
                <w:lang w:eastAsia="zh-CN"/>
              </w:rPr>
            </w:pPr>
            <w:r w:rsidRPr="000A0A5F">
              <w:rPr>
                <w:rFonts w:hint="eastAsia"/>
                <w:noProof/>
                <w:lang w:eastAsia="zh-CN"/>
              </w:rPr>
              <w:t>1</w:t>
            </w:r>
          </w:p>
        </w:tc>
        <w:tc>
          <w:tcPr>
            <w:tcW w:w="5160" w:type="dxa"/>
            <w:tcBorders>
              <w:top w:val="single" w:sz="6" w:space="0" w:color="auto"/>
            </w:tcBorders>
          </w:tcPr>
          <w:p w:rsidR="00CB0DD7" w:rsidRPr="000A0A5F" w:rsidRDefault="00CB0DD7">
            <w:pPr>
              <w:pStyle w:val="TAL"/>
              <w:rPr>
                <w:noProof/>
              </w:rPr>
            </w:pPr>
            <w:r w:rsidRPr="000A0A5F">
              <w:t>Representation of the bearer level notification.</w:t>
            </w:r>
          </w:p>
        </w:tc>
      </w:tr>
    </w:tbl>
    <w:p w:rsidR="00CB0DD7" w:rsidRPr="000A0A5F" w:rsidRDefault="00CB0DD7">
      <w:pPr>
        <w:rPr>
          <w:noProof/>
        </w:rPr>
      </w:pPr>
    </w:p>
    <w:p w:rsidR="00CB0DD7" w:rsidRPr="000A0A5F" w:rsidRDefault="00CB0DD7">
      <w:pPr>
        <w:pStyle w:val="TH"/>
        <w:rPr>
          <w:noProof/>
        </w:rPr>
      </w:pPr>
      <w:r w:rsidRPr="000A0A5F">
        <w:rPr>
          <w:noProof/>
        </w:rPr>
        <w:t>Table </w:t>
      </w:r>
      <w:r w:rsidRPr="000A0A5F">
        <w:t>5.5.</w:t>
      </w:r>
      <w:r w:rsidR="00B40D37" w:rsidRPr="000A0A5F">
        <w:t>3A</w:t>
      </w:r>
      <w:r w:rsidRPr="000A0A5F">
        <w:t>.2</w:t>
      </w:r>
      <w:r w:rsidRPr="000A0A5F">
        <w:rPr>
          <w:noProof/>
        </w:rPr>
        <w:t>.3.1-2: Data structures supported by the POST Response Body</w:t>
      </w:r>
    </w:p>
    <w:tbl>
      <w:tblPr>
        <w:tblW w:w="961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293"/>
        <w:gridCol w:w="1259"/>
        <w:gridCol w:w="1441"/>
        <w:gridCol w:w="4619"/>
      </w:tblGrid>
      <w:tr w:rsidR="00CB0DD7" w:rsidRPr="000A0A5F" w:rsidTr="00FF0AF8">
        <w:trPr>
          <w:jc w:val="center"/>
        </w:trPr>
        <w:tc>
          <w:tcPr>
            <w:tcW w:w="2293" w:type="dxa"/>
            <w:shd w:val="clear" w:color="auto" w:fill="C0C0C0"/>
            <w:hideMark/>
          </w:tcPr>
          <w:p w:rsidR="00CB0DD7" w:rsidRPr="000A0A5F" w:rsidRDefault="00CB0DD7">
            <w:pPr>
              <w:pStyle w:val="TAH"/>
              <w:rPr>
                <w:noProof/>
              </w:rPr>
            </w:pPr>
            <w:r w:rsidRPr="000A0A5F">
              <w:rPr>
                <w:noProof/>
              </w:rPr>
              <w:t>Data type</w:t>
            </w:r>
          </w:p>
        </w:tc>
        <w:tc>
          <w:tcPr>
            <w:tcW w:w="1259" w:type="dxa"/>
            <w:shd w:val="clear" w:color="auto" w:fill="C0C0C0"/>
            <w:hideMark/>
          </w:tcPr>
          <w:p w:rsidR="00CB0DD7" w:rsidRPr="000A0A5F" w:rsidRDefault="00CB0DD7">
            <w:pPr>
              <w:pStyle w:val="TAH"/>
              <w:rPr>
                <w:noProof/>
              </w:rPr>
            </w:pPr>
            <w:r w:rsidRPr="000A0A5F">
              <w:rPr>
                <w:noProof/>
              </w:rPr>
              <w:t>Cardinality</w:t>
            </w:r>
          </w:p>
        </w:tc>
        <w:tc>
          <w:tcPr>
            <w:tcW w:w="1441" w:type="dxa"/>
            <w:shd w:val="clear" w:color="auto" w:fill="C0C0C0"/>
            <w:hideMark/>
          </w:tcPr>
          <w:p w:rsidR="00CB0DD7" w:rsidRPr="000A0A5F" w:rsidRDefault="00CB0DD7">
            <w:pPr>
              <w:pStyle w:val="TAH"/>
              <w:rPr>
                <w:noProof/>
              </w:rPr>
            </w:pPr>
            <w:r w:rsidRPr="000A0A5F">
              <w:rPr>
                <w:noProof/>
              </w:rPr>
              <w:t>Response codes</w:t>
            </w:r>
          </w:p>
        </w:tc>
        <w:tc>
          <w:tcPr>
            <w:tcW w:w="4619" w:type="dxa"/>
            <w:shd w:val="clear" w:color="auto" w:fill="C0C0C0"/>
            <w:hideMark/>
          </w:tcPr>
          <w:p w:rsidR="00CB0DD7" w:rsidRPr="000A0A5F" w:rsidRDefault="00CB0DD7">
            <w:pPr>
              <w:pStyle w:val="TAH"/>
              <w:rPr>
                <w:noProof/>
              </w:rPr>
            </w:pPr>
            <w:r w:rsidRPr="000A0A5F">
              <w:rPr>
                <w:noProof/>
              </w:rPr>
              <w:t>Description</w:t>
            </w:r>
          </w:p>
        </w:tc>
      </w:tr>
      <w:tr w:rsidR="00CB0DD7" w:rsidRPr="000A0A5F" w:rsidTr="00FF0AF8">
        <w:trPr>
          <w:jc w:val="center"/>
        </w:trPr>
        <w:tc>
          <w:tcPr>
            <w:tcW w:w="2293" w:type="dxa"/>
          </w:tcPr>
          <w:p w:rsidR="00CB0DD7" w:rsidRPr="000A0A5F" w:rsidRDefault="00CB0DD7">
            <w:pPr>
              <w:pStyle w:val="TAL"/>
              <w:rPr>
                <w:noProof/>
              </w:rPr>
            </w:pPr>
            <w:r w:rsidRPr="000A0A5F">
              <w:t>none</w:t>
            </w:r>
          </w:p>
        </w:tc>
        <w:tc>
          <w:tcPr>
            <w:tcW w:w="1259" w:type="dxa"/>
          </w:tcPr>
          <w:p w:rsidR="00CB0DD7" w:rsidRPr="000A0A5F" w:rsidRDefault="00CB0DD7">
            <w:pPr>
              <w:pStyle w:val="TAC"/>
              <w:rPr>
                <w:noProof/>
              </w:rPr>
            </w:pPr>
          </w:p>
        </w:tc>
        <w:tc>
          <w:tcPr>
            <w:tcW w:w="1441" w:type="dxa"/>
          </w:tcPr>
          <w:p w:rsidR="00CB0DD7" w:rsidRPr="000A0A5F" w:rsidRDefault="00CB0DD7">
            <w:pPr>
              <w:pStyle w:val="TAL"/>
              <w:rPr>
                <w:noProof/>
              </w:rPr>
            </w:pPr>
            <w:r w:rsidRPr="000A0A5F">
              <w:t>204 No Content</w:t>
            </w:r>
          </w:p>
        </w:tc>
        <w:tc>
          <w:tcPr>
            <w:tcW w:w="4619" w:type="dxa"/>
          </w:tcPr>
          <w:p w:rsidR="00CB0DD7" w:rsidRPr="000A0A5F" w:rsidRDefault="00CB0DD7">
            <w:pPr>
              <w:pStyle w:val="TAL"/>
              <w:rPr>
                <w:noProof/>
              </w:rPr>
            </w:pPr>
            <w:r w:rsidRPr="000A0A5F">
              <w:t>This case represents a successful notification of bearer level event(s)</w:t>
            </w:r>
            <w:r w:rsidRPr="000A0A5F">
              <w:rPr>
                <w:rFonts w:hint="eastAsia"/>
                <w:lang w:eastAsia="zh-CN"/>
              </w:rPr>
              <w:t>.</w:t>
            </w:r>
          </w:p>
        </w:tc>
      </w:tr>
      <w:tr w:rsidR="00CB0DD7" w:rsidRPr="000A0A5F" w:rsidTr="00FF0AF8">
        <w:trPr>
          <w:jc w:val="center"/>
        </w:trPr>
        <w:tc>
          <w:tcPr>
            <w:tcW w:w="2293" w:type="dxa"/>
          </w:tcPr>
          <w:p w:rsidR="00CB0DD7" w:rsidRPr="000A0A5F" w:rsidRDefault="00CB0DD7">
            <w:pPr>
              <w:pStyle w:val="TAL"/>
            </w:pPr>
            <w:r w:rsidRPr="000A0A5F">
              <w:t>none</w:t>
            </w:r>
          </w:p>
        </w:tc>
        <w:tc>
          <w:tcPr>
            <w:tcW w:w="1259" w:type="dxa"/>
          </w:tcPr>
          <w:p w:rsidR="00CB0DD7" w:rsidRPr="000A0A5F" w:rsidRDefault="00CB0DD7">
            <w:pPr>
              <w:pStyle w:val="TAC"/>
              <w:rPr>
                <w:noProof/>
              </w:rPr>
            </w:pPr>
          </w:p>
        </w:tc>
        <w:tc>
          <w:tcPr>
            <w:tcW w:w="1441" w:type="dxa"/>
          </w:tcPr>
          <w:p w:rsidR="00CB0DD7" w:rsidRPr="000A0A5F" w:rsidRDefault="00CB0DD7">
            <w:pPr>
              <w:pStyle w:val="TAL"/>
            </w:pPr>
            <w:r w:rsidRPr="000A0A5F">
              <w:t>307 Temporary Redirect</w:t>
            </w:r>
          </w:p>
        </w:tc>
        <w:tc>
          <w:tcPr>
            <w:tcW w:w="4619" w:type="dxa"/>
          </w:tcPr>
          <w:p w:rsidR="00CB0DD7" w:rsidRPr="000A0A5F" w:rsidRDefault="00CB0DD7">
            <w:pPr>
              <w:pStyle w:val="TAL"/>
            </w:pPr>
            <w:r w:rsidRPr="000A0A5F">
              <w:t>Temporary redirection, during event notification. The response shall include a Location header field containing an alternative URI representing the end point of an alternative SCS/AS where the notification should be sent.</w:t>
            </w:r>
          </w:p>
          <w:p w:rsidR="00CB0DD7" w:rsidRPr="000A0A5F" w:rsidRDefault="00CB0DD7">
            <w:pPr>
              <w:pStyle w:val="TAL"/>
            </w:pPr>
            <w:r w:rsidRPr="000A0A5F">
              <w:t>Redirection handling is described in clause 5.2.10.</w:t>
            </w:r>
          </w:p>
        </w:tc>
      </w:tr>
      <w:tr w:rsidR="00CB0DD7" w:rsidRPr="000A0A5F" w:rsidTr="00FF0AF8">
        <w:trPr>
          <w:jc w:val="center"/>
        </w:trPr>
        <w:tc>
          <w:tcPr>
            <w:tcW w:w="2293" w:type="dxa"/>
          </w:tcPr>
          <w:p w:rsidR="00CB0DD7" w:rsidRPr="000A0A5F" w:rsidRDefault="00CB0DD7">
            <w:pPr>
              <w:pStyle w:val="TAL"/>
            </w:pPr>
            <w:r w:rsidRPr="000A0A5F">
              <w:t>none</w:t>
            </w:r>
          </w:p>
        </w:tc>
        <w:tc>
          <w:tcPr>
            <w:tcW w:w="1259" w:type="dxa"/>
          </w:tcPr>
          <w:p w:rsidR="00CB0DD7" w:rsidRPr="000A0A5F" w:rsidRDefault="00CB0DD7">
            <w:pPr>
              <w:pStyle w:val="TAC"/>
              <w:rPr>
                <w:noProof/>
              </w:rPr>
            </w:pPr>
          </w:p>
        </w:tc>
        <w:tc>
          <w:tcPr>
            <w:tcW w:w="1441" w:type="dxa"/>
          </w:tcPr>
          <w:p w:rsidR="00CB0DD7" w:rsidRPr="000A0A5F" w:rsidRDefault="00CB0DD7">
            <w:pPr>
              <w:pStyle w:val="TAL"/>
            </w:pPr>
            <w:r w:rsidRPr="000A0A5F">
              <w:t>308 Permanent Redirect</w:t>
            </w:r>
          </w:p>
        </w:tc>
        <w:tc>
          <w:tcPr>
            <w:tcW w:w="4619" w:type="dxa"/>
          </w:tcPr>
          <w:p w:rsidR="00CB0DD7" w:rsidRPr="000A0A5F" w:rsidRDefault="00CB0DD7">
            <w:pPr>
              <w:pStyle w:val="TAL"/>
            </w:pPr>
            <w:r w:rsidRPr="000A0A5F">
              <w:t>Permanent redirection, during event notification. The response shall include a Location header field containing an alternative URI representing the end point of an alternative SCS/AS where the notification should be sent.</w:t>
            </w:r>
          </w:p>
          <w:p w:rsidR="00CB0DD7" w:rsidRPr="000A0A5F" w:rsidRDefault="00CB0DD7">
            <w:pPr>
              <w:pStyle w:val="TAL"/>
            </w:pPr>
            <w:r w:rsidRPr="000A0A5F">
              <w:t>Redirection handling is described in clause 5.2.10.</w:t>
            </w:r>
          </w:p>
        </w:tc>
      </w:tr>
      <w:tr w:rsidR="00CB0DD7" w:rsidRPr="000A0A5F" w:rsidTr="00FF0AF8">
        <w:trPr>
          <w:jc w:val="center"/>
        </w:trPr>
        <w:tc>
          <w:tcPr>
            <w:tcW w:w="9612" w:type="dxa"/>
            <w:gridSpan w:val="4"/>
          </w:tcPr>
          <w:p w:rsidR="00CB0DD7" w:rsidRPr="000A0A5F" w:rsidRDefault="00CB0DD7">
            <w:pPr>
              <w:pStyle w:val="TAN"/>
            </w:pPr>
            <w:r w:rsidRPr="000A0A5F">
              <w:t>NOTE:</w:t>
            </w:r>
            <w:r w:rsidRPr="000A0A5F">
              <w:tab/>
              <w:t>The mandatory HTTP error status codes for the POST method listed in table 5.2.6-1 also apply.</w:t>
            </w:r>
          </w:p>
        </w:tc>
      </w:tr>
    </w:tbl>
    <w:p w:rsidR="00CB0DD7" w:rsidRPr="000A0A5F" w:rsidRDefault="00CB0DD7">
      <w:pPr>
        <w:rPr>
          <w:noProof/>
        </w:rPr>
      </w:pPr>
    </w:p>
    <w:p w:rsidR="00CB0DD7" w:rsidRPr="000A0A5F" w:rsidRDefault="00771F41">
      <w:pPr>
        <w:pStyle w:val="TH"/>
      </w:pPr>
      <w:r w:rsidRPr="000A0A5F">
        <w:t>Table </w:t>
      </w:r>
      <w:r w:rsidR="00CB0DD7" w:rsidRPr="000A0A5F">
        <w:t>5.5.</w:t>
      </w:r>
      <w:r w:rsidR="00B40D37" w:rsidRPr="000A0A5F">
        <w:t>3A</w:t>
      </w:r>
      <w:r w:rsidR="00CB0DD7" w:rsidRPr="000A0A5F">
        <w:t>.2</w:t>
      </w:r>
      <w:r w:rsidR="00CB0DD7" w:rsidRPr="000A0A5F">
        <w:rPr>
          <w:noProof/>
        </w:rPr>
        <w:t>.3.1</w:t>
      </w:r>
      <w:r w:rsidR="00CB0DD7" w:rsidRPr="000A0A5F">
        <w:t>-3: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representing the end point of an alternative SCS/AS towards which the notification should be redirected.</w:t>
            </w:r>
          </w:p>
        </w:tc>
      </w:tr>
    </w:tbl>
    <w:p w:rsidR="00CB0DD7" w:rsidRPr="000A0A5F" w:rsidRDefault="00CB0DD7"/>
    <w:p w:rsidR="00CB0DD7" w:rsidRPr="000A0A5F" w:rsidRDefault="00771F41">
      <w:pPr>
        <w:pStyle w:val="TH"/>
      </w:pPr>
      <w:r w:rsidRPr="000A0A5F">
        <w:t>Table </w:t>
      </w:r>
      <w:r w:rsidR="00CB0DD7" w:rsidRPr="000A0A5F">
        <w:t>5.5.</w:t>
      </w:r>
      <w:r w:rsidR="00B40D37" w:rsidRPr="000A0A5F">
        <w:t>3A</w:t>
      </w:r>
      <w:r w:rsidR="00CB0DD7" w:rsidRPr="000A0A5F">
        <w:t>.2</w:t>
      </w:r>
      <w:r w:rsidR="00CB0DD7" w:rsidRPr="000A0A5F">
        <w:rPr>
          <w:noProof/>
        </w:rPr>
        <w:t>.3.1</w:t>
      </w:r>
      <w:r w:rsidR="00CB0DD7" w:rsidRPr="000A0A5F">
        <w:t>-4: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representing the end point of an alternative SCS/AS towards which the notification should be redirected.</w:t>
            </w:r>
          </w:p>
        </w:tc>
      </w:tr>
    </w:tbl>
    <w:p w:rsidR="00CB0DD7" w:rsidRPr="000A0A5F" w:rsidRDefault="00CB0DD7">
      <w:pPr>
        <w:rPr>
          <w:noProof/>
        </w:rPr>
      </w:pPr>
    </w:p>
    <w:p w:rsidR="00CB0DD7" w:rsidRPr="000A0A5F" w:rsidRDefault="00CB0DD7">
      <w:pPr>
        <w:pStyle w:val="Heading6"/>
        <w:rPr>
          <w:noProof/>
        </w:rPr>
      </w:pPr>
      <w:bookmarkStart w:id="3454" w:name="_Toc66360491"/>
      <w:bookmarkStart w:id="3455" w:name="_Toc68104996"/>
      <w:bookmarkStart w:id="3456" w:name="_Toc74755626"/>
      <w:bookmarkStart w:id="3457" w:name="_Toc105674499"/>
      <w:bookmarkStart w:id="3458" w:name="_Toc130502543"/>
      <w:bookmarkStart w:id="3459" w:name="_Toc153625330"/>
      <w:r w:rsidRPr="000A0A5F">
        <w:t>5.5.</w:t>
      </w:r>
      <w:r w:rsidR="00B40D37" w:rsidRPr="000A0A5F">
        <w:t>3A</w:t>
      </w:r>
      <w:r w:rsidRPr="000A0A5F">
        <w:t>.2.3</w:t>
      </w:r>
      <w:r w:rsidRPr="000A0A5F">
        <w:rPr>
          <w:noProof/>
        </w:rPr>
        <w:t>.2</w:t>
      </w:r>
      <w:r w:rsidRPr="000A0A5F">
        <w:rPr>
          <w:noProof/>
        </w:rPr>
        <w:tab/>
      </w:r>
      <w:r w:rsidRPr="000A0A5F">
        <w:t>Notification via Websocket</w:t>
      </w:r>
      <w:bookmarkEnd w:id="3454"/>
      <w:bookmarkEnd w:id="3455"/>
      <w:bookmarkEnd w:id="3456"/>
      <w:bookmarkEnd w:id="3457"/>
      <w:bookmarkEnd w:id="3458"/>
      <w:bookmarkEnd w:id="3459"/>
    </w:p>
    <w:p w:rsidR="00CB0DD7" w:rsidRPr="000A0A5F" w:rsidRDefault="00CB0DD7">
      <w:r w:rsidRPr="000A0A5F">
        <w:t>If supported by both SCS/AS and SCEF and successfully negotiated</w:t>
      </w:r>
      <w:r w:rsidRPr="000A0A5F">
        <w:rPr>
          <w:lang w:eastAsia="zh-CN"/>
        </w:rPr>
        <w:t xml:space="preserve">, the </w:t>
      </w:r>
      <w:r w:rsidRPr="000A0A5F">
        <w:rPr>
          <w:rFonts w:hint="eastAsia"/>
          <w:lang w:eastAsia="zh-CN"/>
        </w:rPr>
        <w:t>NotificationData</w:t>
      </w:r>
      <w:r w:rsidRPr="000A0A5F">
        <w:rPr>
          <w:lang w:eastAsia="zh-CN"/>
        </w:rPr>
        <w:t xml:space="preserve"> may alternatively be delivered through the Websocket mechanism as defined in clause</w:t>
      </w:r>
      <w:r w:rsidRPr="000A0A5F">
        <w:rPr>
          <w:lang w:val="en-US" w:eastAsia="zh-CN"/>
        </w:rPr>
        <w:t> </w:t>
      </w:r>
      <w:r w:rsidRPr="000A0A5F">
        <w:rPr>
          <w:lang w:eastAsia="zh-CN"/>
        </w:rPr>
        <w:t>5.2.5.4.</w:t>
      </w:r>
    </w:p>
    <w:p w:rsidR="00CB0DD7" w:rsidRPr="000A0A5F" w:rsidRDefault="00CB0DD7">
      <w:pPr>
        <w:pStyle w:val="Heading3"/>
      </w:pPr>
      <w:bookmarkStart w:id="3460" w:name="_Toc11247434"/>
      <w:bookmarkStart w:id="3461" w:name="_Toc27044556"/>
      <w:bookmarkStart w:id="3462" w:name="_Toc36033598"/>
      <w:bookmarkStart w:id="3463" w:name="_Toc45131733"/>
      <w:bookmarkStart w:id="3464" w:name="_Toc49776018"/>
      <w:bookmarkStart w:id="3465" w:name="_Toc51746938"/>
      <w:bookmarkStart w:id="3466" w:name="_Toc66360492"/>
      <w:bookmarkStart w:id="3467" w:name="_Toc68104997"/>
      <w:bookmarkStart w:id="3468" w:name="_Toc74755627"/>
      <w:bookmarkStart w:id="3469" w:name="_Toc105674500"/>
      <w:bookmarkStart w:id="3470" w:name="_Toc130502544"/>
      <w:bookmarkStart w:id="3471" w:name="_Toc153625331"/>
      <w:r w:rsidRPr="000A0A5F">
        <w:t>5.5.4</w:t>
      </w:r>
      <w:r w:rsidRPr="000A0A5F">
        <w:tab/>
        <w:t>Used Features</w:t>
      </w:r>
      <w:bookmarkEnd w:id="3460"/>
      <w:bookmarkEnd w:id="3461"/>
      <w:bookmarkEnd w:id="3462"/>
      <w:bookmarkEnd w:id="3463"/>
      <w:bookmarkEnd w:id="3464"/>
      <w:bookmarkEnd w:id="3465"/>
      <w:bookmarkEnd w:id="3466"/>
      <w:bookmarkEnd w:id="3467"/>
      <w:bookmarkEnd w:id="3468"/>
      <w:bookmarkEnd w:id="3469"/>
      <w:bookmarkEnd w:id="3470"/>
      <w:bookmarkEnd w:id="3471"/>
    </w:p>
    <w:p w:rsidR="00CB0DD7" w:rsidRPr="000A0A5F" w:rsidRDefault="00CB0DD7">
      <w:r w:rsidRPr="000A0A5F">
        <w:t>The table below defines the features applicable to the ChargeableParty API. Those features are negotiated as described in clause 5.2.7.</w:t>
      </w:r>
    </w:p>
    <w:p w:rsidR="00CB0DD7" w:rsidRPr="000A0A5F" w:rsidRDefault="00771F41">
      <w:pPr>
        <w:pStyle w:val="TH"/>
      </w:pPr>
      <w:r w:rsidRPr="000A0A5F">
        <w:t>Table </w:t>
      </w:r>
      <w:r w:rsidR="00CB0DD7" w:rsidRPr="000A0A5F">
        <w:t>5.5.4-1: Features used by ChargeableParty API</w:t>
      </w:r>
    </w:p>
    <w:tbl>
      <w:tblPr>
        <w:tblW w:w="963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3"/>
        <w:gridCol w:w="2126"/>
        <w:gridCol w:w="6520"/>
      </w:tblGrid>
      <w:tr w:rsidR="00CB0DD7" w:rsidRPr="000A0A5F" w:rsidTr="00FF0AF8">
        <w:trPr>
          <w:cantSplit/>
        </w:trPr>
        <w:tc>
          <w:tcPr>
            <w:tcW w:w="993" w:type="dxa"/>
            <w:shd w:val="clear" w:color="auto" w:fill="C0C0C0"/>
          </w:tcPr>
          <w:p w:rsidR="00CB0DD7" w:rsidRPr="000A0A5F" w:rsidRDefault="00CB0DD7">
            <w:pPr>
              <w:pStyle w:val="TAH"/>
              <w:rPr>
                <w:rFonts w:hint="eastAsia"/>
                <w:lang w:eastAsia="zh-CN"/>
              </w:rPr>
            </w:pPr>
            <w:r w:rsidRPr="000A0A5F">
              <w:rPr>
                <w:rFonts w:hint="eastAsia"/>
                <w:lang w:eastAsia="zh-CN"/>
              </w:rPr>
              <w:t>Feature Number</w:t>
            </w:r>
          </w:p>
        </w:tc>
        <w:tc>
          <w:tcPr>
            <w:tcW w:w="2126" w:type="dxa"/>
            <w:shd w:val="clear" w:color="auto" w:fill="C0C0C0"/>
          </w:tcPr>
          <w:p w:rsidR="00CB0DD7" w:rsidRPr="000A0A5F" w:rsidRDefault="00CB0DD7">
            <w:pPr>
              <w:pStyle w:val="TAH"/>
              <w:rPr>
                <w:rFonts w:eastAsia="Times New Roman"/>
              </w:rPr>
            </w:pPr>
            <w:r w:rsidRPr="000A0A5F">
              <w:rPr>
                <w:rFonts w:eastAsia="Times New Roman"/>
              </w:rPr>
              <w:t>Feature</w:t>
            </w:r>
          </w:p>
        </w:tc>
        <w:tc>
          <w:tcPr>
            <w:tcW w:w="6520" w:type="dxa"/>
            <w:shd w:val="clear" w:color="auto" w:fill="C0C0C0"/>
          </w:tcPr>
          <w:p w:rsidR="00CB0DD7" w:rsidRPr="000A0A5F" w:rsidRDefault="00CB0DD7">
            <w:pPr>
              <w:pStyle w:val="TAH"/>
              <w:rPr>
                <w:rFonts w:eastAsia="Batang"/>
                <w:lang w:eastAsia="ko-KR"/>
              </w:rPr>
            </w:pPr>
            <w:r w:rsidRPr="000A0A5F">
              <w:rPr>
                <w:rFonts w:eastAsia="Times New Roman"/>
              </w:rPr>
              <w:t>Description</w:t>
            </w:r>
          </w:p>
        </w:tc>
      </w:tr>
      <w:tr w:rsidR="00CB0DD7" w:rsidRPr="000A0A5F" w:rsidTr="00FF0AF8">
        <w:trPr>
          <w:cantSplit/>
        </w:trPr>
        <w:tc>
          <w:tcPr>
            <w:tcW w:w="993" w:type="dxa"/>
          </w:tcPr>
          <w:p w:rsidR="00CB0DD7" w:rsidRPr="000A0A5F" w:rsidRDefault="00CB0DD7">
            <w:pPr>
              <w:pStyle w:val="TAC"/>
              <w:rPr>
                <w:lang w:eastAsia="zh-CN"/>
              </w:rPr>
            </w:pPr>
            <w:r w:rsidRPr="000A0A5F">
              <w:rPr>
                <w:rFonts w:hint="eastAsia"/>
                <w:lang w:eastAsia="zh-CN"/>
              </w:rPr>
              <w:t>1</w:t>
            </w:r>
          </w:p>
        </w:tc>
        <w:tc>
          <w:tcPr>
            <w:tcW w:w="2126" w:type="dxa"/>
          </w:tcPr>
          <w:p w:rsidR="00CB0DD7" w:rsidRPr="000A0A5F" w:rsidRDefault="00CB0DD7">
            <w:pPr>
              <w:pStyle w:val="TAC"/>
              <w:rPr>
                <w:lang w:eastAsia="zh-CN"/>
              </w:rPr>
            </w:pPr>
            <w:r w:rsidRPr="000A0A5F">
              <w:rPr>
                <w:lang w:eastAsia="zh-CN"/>
              </w:rPr>
              <w:t>Notification_websocket</w:t>
            </w:r>
          </w:p>
        </w:tc>
        <w:tc>
          <w:tcPr>
            <w:tcW w:w="6520" w:type="dxa"/>
          </w:tcPr>
          <w:p w:rsidR="00CB0DD7" w:rsidRPr="000A0A5F" w:rsidRDefault="00CB0DD7">
            <w:pPr>
              <w:pStyle w:val="TAL"/>
              <w:rPr>
                <w:lang w:eastAsia="zh-CN"/>
              </w:rPr>
            </w:pPr>
            <w:r w:rsidRPr="000A0A5F">
              <w:rPr>
                <w:rFonts w:cs="Arial"/>
                <w:szCs w:val="18"/>
                <w:lang w:eastAsia="zh-CN"/>
              </w:rPr>
              <w:t>The delivery of notifications over Websocket is supported according to clause</w:t>
            </w:r>
            <w:r w:rsidRPr="000A0A5F">
              <w:rPr>
                <w:rFonts w:ascii="Times New Roman" w:eastAsia="Times New Roman" w:hAnsi="Times New Roman"/>
                <w:szCs w:val="18"/>
                <w:lang w:val="en-US" w:eastAsia="zh-CN"/>
              </w:rPr>
              <w:t> </w:t>
            </w:r>
            <w:r w:rsidRPr="000A0A5F">
              <w:rPr>
                <w:rFonts w:cs="Arial"/>
                <w:szCs w:val="18"/>
                <w:lang w:eastAsia="zh-CN"/>
              </w:rPr>
              <w:t xml:space="preserve">5.2.5.4. This feature requires that the </w:t>
            </w:r>
            <w:r w:rsidRPr="000A0A5F">
              <w:t>Notification_test_event feature is also supported.</w:t>
            </w:r>
          </w:p>
        </w:tc>
      </w:tr>
      <w:tr w:rsidR="00CB0DD7" w:rsidRPr="000A0A5F" w:rsidTr="00FF0AF8">
        <w:trPr>
          <w:cantSplit/>
        </w:trPr>
        <w:tc>
          <w:tcPr>
            <w:tcW w:w="993" w:type="dxa"/>
          </w:tcPr>
          <w:p w:rsidR="00CB0DD7" w:rsidRPr="000A0A5F" w:rsidRDefault="00CB0DD7">
            <w:pPr>
              <w:pStyle w:val="TAC"/>
              <w:rPr>
                <w:rFonts w:hint="eastAsia"/>
                <w:lang w:eastAsia="zh-CN"/>
              </w:rPr>
            </w:pPr>
            <w:r w:rsidRPr="000A0A5F">
              <w:rPr>
                <w:rFonts w:hint="eastAsia"/>
                <w:lang w:eastAsia="zh-CN"/>
              </w:rPr>
              <w:t>2</w:t>
            </w:r>
          </w:p>
        </w:tc>
        <w:tc>
          <w:tcPr>
            <w:tcW w:w="2126" w:type="dxa"/>
          </w:tcPr>
          <w:p w:rsidR="00CB0DD7" w:rsidRPr="000A0A5F" w:rsidRDefault="00CB0DD7">
            <w:pPr>
              <w:pStyle w:val="TAC"/>
              <w:rPr>
                <w:lang w:eastAsia="zh-CN"/>
              </w:rPr>
            </w:pPr>
            <w:r w:rsidRPr="000A0A5F">
              <w:t>Notification_test_event</w:t>
            </w:r>
          </w:p>
        </w:tc>
        <w:tc>
          <w:tcPr>
            <w:tcW w:w="6520" w:type="dxa"/>
          </w:tcPr>
          <w:p w:rsidR="00CB0DD7" w:rsidRPr="000A0A5F" w:rsidRDefault="00CB0DD7">
            <w:pPr>
              <w:pStyle w:val="TAL"/>
              <w:rPr>
                <w:lang w:eastAsia="zh-CN"/>
              </w:rPr>
            </w:pPr>
            <w:r w:rsidRPr="000A0A5F">
              <w:rPr>
                <w:rFonts w:cs="Arial"/>
                <w:szCs w:val="18"/>
                <w:lang w:eastAsia="zh-CN"/>
              </w:rPr>
              <w:t>The testing of notification connection is supported according to clause</w:t>
            </w:r>
            <w:r w:rsidRPr="000A0A5F">
              <w:rPr>
                <w:rFonts w:cs="Arial"/>
                <w:szCs w:val="18"/>
                <w:lang w:val="en-US" w:eastAsia="zh-CN"/>
              </w:rPr>
              <w:t> </w:t>
            </w:r>
            <w:r w:rsidRPr="000A0A5F">
              <w:rPr>
                <w:rFonts w:cs="Arial"/>
                <w:szCs w:val="18"/>
                <w:lang w:eastAsia="zh-CN"/>
              </w:rPr>
              <w:t>5.2.5.3.</w:t>
            </w:r>
          </w:p>
        </w:tc>
      </w:tr>
      <w:tr w:rsidR="00CB0DD7" w:rsidRPr="000A0A5F" w:rsidTr="00FF0AF8">
        <w:trPr>
          <w:cantSplit/>
        </w:trPr>
        <w:tc>
          <w:tcPr>
            <w:tcW w:w="993" w:type="dxa"/>
          </w:tcPr>
          <w:p w:rsidR="00CB0DD7" w:rsidRPr="000A0A5F" w:rsidRDefault="00CB0DD7">
            <w:pPr>
              <w:pStyle w:val="TAC"/>
              <w:rPr>
                <w:rFonts w:hint="eastAsia"/>
                <w:lang w:eastAsia="zh-CN"/>
              </w:rPr>
            </w:pPr>
            <w:r w:rsidRPr="000A0A5F">
              <w:rPr>
                <w:lang w:eastAsia="zh-CN"/>
              </w:rPr>
              <w:t>3</w:t>
            </w:r>
          </w:p>
        </w:tc>
        <w:tc>
          <w:tcPr>
            <w:tcW w:w="2126" w:type="dxa"/>
          </w:tcPr>
          <w:p w:rsidR="00CB0DD7" w:rsidRPr="000A0A5F" w:rsidRDefault="00CB0DD7">
            <w:pPr>
              <w:pStyle w:val="TAC"/>
            </w:pPr>
            <w:r w:rsidRPr="000A0A5F">
              <w:t>EthChgParty_5G</w:t>
            </w:r>
          </w:p>
        </w:tc>
        <w:tc>
          <w:tcPr>
            <w:tcW w:w="6520" w:type="dxa"/>
          </w:tcPr>
          <w:p w:rsidR="00CB0DD7" w:rsidRPr="000A0A5F" w:rsidRDefault="00CB0DD7">
            <w:pPr>
              <w:pStyle w:val="TAL"/>
              <w:rPr>
                <w:rFonts w:cs="Arial"/>
                <w:szCs w:val="18"/>
                <w:lang w:eastAsia="zh-CN"/>
              </w:rPr>
            </w:pPr>
            <w:r w:rsidRPr="000A0A5F">
              <w:rPr>
                <w:rFonts w:cs="Arial"/>
                <w:szCs w:val="18"/>
                <w:lang w:eastAsia="zh-CN"/>
              </w:rPr>
              <w:t xml:space="preserve">Chargeable Party for Ethernet UE. </w:t>
            </w:r>
            <w:r w:rsidRPr="000A0A5F">
              <w:rPr>
                <w:rFonts w:eastAsia="Malgun Gothic"/>
                <w:lang w:eastAsia="ja-JP"/>
              </w:rPr>
              <w:t>This feature may only be supported in 5G.</w:t>
            </w:r>
          </w:p>
        </w:tc>
      </w:tr>
      <w:tr w:rsidR="00CB0DD7" w:rsidRPr="000A0A5F" w:rsidTr="00FF0AF8">
        <w:trPr>
          <w:cantSplit/>
        </w:trPr>
        <w:tc>
          <w:tcPr>
            <w:tcW w:w="993" w:type="dxa"/>
          </w:tcPr>
          <w:p w:rsidR="00CB0DD7" w:rsidRPr="000A0A5F" w:rsidRDefault="00CB0DD7">
            <w:pPr>
              <w:pStyle w:val="TAC"/>
              <w:rPr>
                <w:lang w:eastAsia="zh-CN"/>
              </w:rPr>
            </w:pPr>
            <w:r w:rsidRPr="000A0A5F">
              <w:rPr>
                <w:lang w:eastAsia="zh-CN"/>
              </w:rPr>
              <w:t>4</w:t>
            </w:r>
          </w:p>
        </w:tc>
        <w:tc>
          <w:tcPr>
            <w:tcW w:w="2126" w:type="dxa"/>
          </w:tcPr>
          <w:p w:rsidR="00CB0DD7" w:rsidRPr="000A0A5F" w:rsidRDefault="00CB0DD7">
            <w:pPr>
              <w:pStyle w:val="TAC"/>
            </w:pPr>
            <w:r w:rsidRPr="000A0A5F">
              <w:t>MacAddressRange_5G</w:t>
            </w:r>
          </w:p>
        </w:tc>
        <w:tc>
          <w:tcPr>
            <w:tcW w:w="6520" w:type="dxa"/>
          </w:tcPr>
          <w:p w:rsidR="00CB0DD7" w:rsidRPr="000A0A5F" w:rsidRDefault="00CB0DD7">
            <w:pPr>
              <w:pStyle w:val="TAL"/>
              <w:rPr>
                <w:rFonts w:cs="Arial"/>
                <w:szCs w:val="18"/>
                <w:lang w:eastAsia="zh-CN"/>
              </w:rPr>
            </w:pPr>
            <w:r w:rsidRPr="000A0A5F">
              <w:rPr>
                <w:lang w:eastAsia="zh-CN"/>
              </w:rPr>
              <w:t>Indicates the support of a set of MAC addresses with a specific range in the traffic filter.</w:t>
            </w:r>
            <w:r w:rsidRPr="000A0A5F">
              <w:rPr>
                <w:rFonts w:eastAsia="Malgun Gothic"/>
                <w:lang w:eastAsia="ja-JP"/>
              </w:rPr>
              <w:t xml:space="preserve"> This feature may only be supported in 5G.</w:t>
            </w:r>
          </w:p>
        </w:tc>
      </w:tr>
      <w:tr w:rsidR="00CB0DD7" w:rsidRPr="000A0A5F" w:rsidTr="00FF0AF8">
        <w:trPr>
          <w:cantSplit/>
        </w:trPr>
        <w:tc>
          <w:tcPr>
            <w:tcW w:w="993" w:type="dxa"/>
          </w:tcPr>
          <w:p w:rsidR="00CB0DD7" w:rsidRPr="000A0A5F" w:rsidRDefault="00CB0DD7">
            <w:pPr>
              <w:pStyle w:val="TAC"/>
              <w:rPr>
                <w:lang w:eastAsia="zh-CN"/>
              </w:rPr>
            </w:pPr>
            <w:r w:rsidRPr="000A0A5F">
              <w:rPr>
                <w:lang w:eastAsia="zh-CN"/>
              </w:rPr>
              <w:t>5</w:t>
            </w:r>
          </w:p>
        </w:tc>
        <w:tc>
          <w:tcPr>
            <w:tcW w:w="2126" w:type="dxa"/>
          </w:tcPr>
          <w:p w:rsidR="00CB0DD7" w:rsidRPr="000A0A5F" w:rsidRDefault="00CB0DD7">
            <w:pPr>
              <w:pStyle w:val="TAC"/>
            </w:pPr>
            <w:r w:rsidRPr="000A0A5F">
              <w:t>AppId</w:t>
            </w:r>
          </w:p>
        </w:tc>
        <w:tc>
          <w:tcPr>
            <w:tcW w:w="6520" w:type="dxa"/>
          </w:tcPr>
          <w:p w:rsidR="00CB0DD7" w:rsidRPr="000A0A5F" w:rsidRDefault="00CB0DD7">
            <w:pPr>
              <w:pStyle w:val="TAL"/>
              <w:rPr>
                <w:lang w:eastAsia="zh-CN"/>
              </w:rPr>
            </w:pPr>
            <w:r w:rsidRPr="000A0A5F">
              <w:rPr>
                <w:lang w:eastAsia="zh-CN"/>
              </w:rPr>
              <w:t>Indicates the support of dynamically providing the Application Identifier via the API.</w:t>
            </w:r>
          </w:p>
        </w:tc>
      </w:tr>
      <w:tr w:rsidR="0022396D" w:rsidRPr="000A0A5F" w:rsidTr="00FF0AF8">
        <w:trPr>
          <w:cantSplit/>
        </w:trPr>
        <w:tc>
          <w:tcPr>
            <w:tcW w:w="993" w:type="dxa"/>
          </w:tcPr>
          <w:p w:rsidR="0022396D" w:rsidRPr="000A0A5F" w:rsidRDefault="0022396D" w:rsidP="0022396D">
            <w:pPr>
              <w:pStyle w:val="TAC"/>
              <w:rPr>
                <w:lang w:eastAsia="zh-CN"/>
              </w:rPr>
            </w:pPr>
            <w:r w:rsidRPr="000A0A5F">
              <w:rPr>
                <w:lang w:eastAsia="zh-CN"/>
              </w:rPr>
              <w:t>6</w:t>
            </w:r>
          </w:p>
        </w:tc>
        <w:tc>
          <w:tcPr>
            <w:tcW w:w="2126" w:type="dxa"/>
          </w:tcPr>
          <w:p w:rsidR="0022396D" w:rsidRPr="000A0A5F" w:rsidRDefault="0022396D" w:rsidP="0022396D">
            <w:pPr>
              <w:pStyle w:val="TAC"/>
            </w:pPr>
            <w:r w:rsidRPr="000A0A5F">
              <w:rPr>
                <w:lang w:eastAsia="zh-CN"/>
              </w:rPr>
              <w:t>enNB</w:t>
            </w:r>
          </w:p>
        </w:tc>
        <w:tc>
          <w:tcPr>
            <w:tcW w:w="6520" w:type="dxa"/>
          </w:tcPr>
          <w:p w:rsidR="0022396D" w:rsidRPr="000A0A5F" w:rsidRDefault="0022396D" w:rsidP="0022396D">
            <w:pPr>
              <w:pStyle w:val="TAL"/>
              <w:rPr>
                <w:lang w:eastAsia="zh-CN"/>
              </w:rPr>
            </w:pPr>
            <w:r w:rsidRPr="000A0A5F">
              <w:rPr>
                <w:lang w:eastAsia="zh-CN"/>
              </w:rPr>
              <w:t>Indicates the support of enhancements to the northbound interfaces, e.g. enable an SCS/AS to explicitly indicate the event(s) that it would like to subscribe to.</w:t>
            </w:r>
          </w:p>
        </w:tc>
      </w:tr>
      <w:tr w:rsidR="00824266" w:rsidRPr="000A0A5F" w:rsidTr="00FF0AF8">
        <w:trPr>
          <w:cantSplit/>
        </w:trPr>
        <w:tc>
          <w:tcPr>
            <w:tcW w:w="993" w:type="dxa"/>
          </w:tcPr>
          <w:p w:rsidR="00824266" w:rsidRPr="000A0A5F" w:rsidRDefault="00824266" w:rsidP="00824266">
            <w:pPr>
              <w:pStyle w:val="TAC"/>
              <w:rPr>
                <w:lang w:eastAsia="zh-CN"/>
              </w:rPr>
            </w:pPr>
            <w:r w:rsidRPr="000A0A5F">
              <w:rPr>
                <w:lang w:eastAsia="zh-CN"/>
              </w:rPr>
              <w:t>7</w:t>
            </w:r>
          </w:p>
        </w:tc>
        <w:tc>
          <w:tcPr>
            <w:tcW w:w="2126" w:type="dxa"/>
          </w:tcPr>
          <w:p w:rsidR="00824266" w:rsidRPr="000A0A5F" w:rsidRDefault="00824266" w:rsidP="00824266">
            <w:pPr>
              <w:pStyle w:val="TAC"/>
              <w:rPr>
                <w:lang w:eastAsia="zh-CN"/>
              </w:rPr>
            </w:pPr>
            <w:r w:rsidRPr="000A0A5F">
              <w:rPr>
                <w:lang w:eastAsia="zh-CN"/>
              </w:rPr>
              <w:t>ToSTC</w:t>
            </w:r>
            <w:r w:rsidRPr="000A0A5F">
              <w:rPr>
                <w:rFonts w:hint="eastAsia"/>
                <w:lang w:eastAsia="zh-CN"/>
              </w:rPr>
              <w:t>_</w:t>
            </w:r>
            <w:r w:rsidRPr="000A0A5F">
              <w:rPr>
                <w:lang w:eastAsia="zh-CN"/>
              </w:rPr>
              <w:t>5G</w:t>
            </w:r>
          </w:p>
        </w:tc>
        <w:tc>
          <w:tcPr>
            <w:tcW w:w="6520" w:type="dxa"/>
          </w:tcPr>
          <w:p w:rsidR="00824266" w:rsidRPr="000A0A5F" w:rsidRDefault="00824266" w:rsidP="00824266">
            <w:pPr>
              <w:pStyle w:val="TAL"/>
              <w:rPr>
                <w:lang w:eastAsia="zh-CN"/>
              </w:rPr>
            </w:pPr>
            <w:r w:rsidRPr="000A0A5F">
              <w:rPr>
                <w:lang w:eastAsia="zh-CN"/>
              </w:rPr>
              <w:t>Indicates the support of Type of Service or Traffic Class. This feature may only be supported in 5G.</w:t>
            </w:r>
          </w:p>
        </w:tc>
      </w:tr>
      <w:tr w:rsidR="00824266" w:rsidRPr="000A0A5F" w:rsidTr="00FF0AF8">
        <w:tblPrEx>
          <w:tblLook w:val="04A0" w:firstRow="1" w:lastRow="0" w:firstColumn="1" w:lastColumn="0" w:noHBand="0" w:noVBand="1"/>
        </w:tblPrEx>
        <w:trPr>
          <w:cantSplit/>
        </w:trPr>
        <w:tc>
          <w:tcPr>
            <w:tcW w:w="9639" w:type="dxa"/>
            <w:gridSpan w:val="3"/>
          </w:tcPr>
          <w:p w:rsidR="00824266" w:rsidRPr="000A0A5F" w:rsidRDefault="00824266" w:rsidP="00824266">
            <w:pPr>
              <w:pStyle w:val="TAN"/>
              <w:rPr>
                <w:rFonts w:eastAsia="Times New Roman"/>
              </w:rPr>
            </w:pPr>
            <w:r w:rsidRPr="000A0A5F">
              <w:rPr>
                <w:rFonts w:eastAsia="Times New Roman"/>
              </w:rPr>
              <w:t>Feature:</w:t>
            </w:r>
            <w:r w:rsidRPr="000A0A5F">
              <w:rPr>
                <w:rFonts w:eastAsia="Times New Roman"/>
              </w:rPr>
              <w:tab/>
              <w:t>A short name that can be used to refer to the bit and to the feature, e.g. "</w:t>
            </w:r>
            <w:r w:rsidRPr="000A0A5F">
              <w:rPr>
                <w:rFonts w:hint="eastAsia"/>
                <w:lang w:eastAsia="zh-CN"/>
              </w:rPr>
              <w:t>Notification</w:t>
            </w:r>
            <w:r w:rsidRPr="000A0A5F">
              <w:rPr>
                <w:rFonts w:eastAsia="Times New Roman"/>
              </w:rPr>
              <w:t>".</w:t>
            </w:r>
          </w:p>
          <w:p w:rsidR="00824266" w:rsidRPr="000A0A5F" w:rsidRDefault="00824266" w:rsidP="00824266">
            <w:pPr>
              <w:pStyle w:val="TAN"/>
              <w:rPr>
                <w:color w:val="000000"/>
                <w:lang w:eastAsia="zh-CN"/>
              </w:rPr>
            </w:pPr>
            <w:r w:rsidRPr="000A0A5F">
              <w:rPr>
                <w:rFonts w:eastAsia="Times New Roman"/>
              </w:rPr>
              <w:t>Description:</w:t>
            </w:r>
            <w:r w:rsidRPr="000A0A5F">
              <w:rPr>
                <w:rFonts w:eastAsia="Times New Roman"/>
              </w:rPr>
              <w:tab/>
              <w:t>A clear textual description of the feature.</w:t>
            </w:r>
          </w:p>
        </w:tc>
      </w:tr>
    </w:tbl>
    <w:p w:rsidR="00BD183D" w:rsidRPr="000A0A5F" w:rsidRDefault="00BD183D" w:rsidP="00BD183D"/>
    <w:p w:rsidR="00DC285A" w:rsidRPr="000A0A5F" w:rsidRDefault="00DC285A" w:rsidP="00DC285A">
      <w:pPr>
        <w:pStyle w:val="Heading3"/>
      </w:pPr>
      <w:bookmarkStart w:id="3472" w:name="_Toc130502545"/>
      <w:bookmarkStart w:id="3473" w:name="_Toc153625332"/>
      <w:r w:rsidRPr="000A0A5F">
        <w:t>5.5.5</w:t>
      </w:r>
      <w:r w:rsidRPr="000A0A5F">
        <w:tab/>
        <w:t>Error handling</w:t>
      </w:r>
      <w:bookmarkEnd w:id="3472"/>
      <w:bookmarkEnd w:id="3473"/>
    </w:p>
    <w:p w:rsidR="00DC285A" w:rsidRPr="000A0A5F" w:rsidRDefault="00DC285A" w:rsidP="00DC285A">
      <w:pPr>
        <w:pStyle w:val="Heading4"/>
      </w:pPr>
      <w:bookmarkStart w:id="3474" w:name="_Toc130502546"/>
      <w:bookmarkStart w:id="3475" w:name="_Toc153625333"/>
      <w:r w:rsidRPr="000A0A5F">
        <w:t>5.5.5.1</w:t>
      </w:r>
      <w:r w:rsidRPr="000A0A5F">
        <w:tab/>
        <w:t>General</w:t>
      </w:r>
      <w:bookmarkEnd w:id="3474"/>
      <w:bookmarkEnd w:id="3475"/>
    </w:p>
    <w:p w:rsidR="00DC285A" w:rsidRPr="000A0A5F" w:rsidRDefault="00DC285A" w:rsidP="00DC285A">
      <w:r w:rsidRPr="000A0A5F">
        <w:t>HTTP error handling shall be supported as specified in clause 5.2.6.</w:t>
      </w:r>
    </w:p>
    <w:p w:rsidR="00DC285A" w:rsidRPr="000A0A5F" w:rsidRDefault="00DC285A" w:rsidP="00DC285A">
      <w:r w:rsidRPr="000A0A5F">
        <w:t>In addition, the requirements in the following clauses shall apply.</w:t>
      </w:r>
    </w:p>
    <w:p w:rsidR="00DC285A" w:rsidRPr="000A0A5F" w:rsidRDefault="00DC285A" w:rsidP="00DC285A">
      <w:pPr>
        <w:pStyle w:val="Heading4"/>
      </w:pPr>
      <w:bookmarkStart w:id="3476" w:name="_Toc130502547"/>
      <w:bookmarkStart w:id="3477" w:name="_Toc153625334"/>
      <w:r w:rsidRPr="000A0A5F">
        <w:t>5.5.5.2</w:t>
      </w:r>
      <w:r w:rsidRPr="000A0A5F">
        <w:tab/>
        <w:t>Protocol Errors</w:t>
      </w:r>
      <w:bookmarkEnd w:id="3476"/>
      <w:bookmarkEnd w:id="3477"/>
    </w:p>
    <w:p w:rsidR="00DC285A" w:rsidRPr="000A0A5F" w:rsidRDefault="00DC285A" w:rsidP="00DC285A">
      <w:r w:rsidRPr="000A0A5F">
        <w:rPr>
          <w:lang w:eastAsia="zh-CN"/>
        </w:rPr>
        <w:t xml:space="preserve">In this Release </w:t>
      </w:r>
      <w:r w:rsidRPr="000A0A5F">
        <w:t xml:space="preserve">of the specification, there are no additional protocol errors applicable for the </w:t>
      </w:r>
      <w:r w:rsidRPr="000A0A5F">
        <w:rPr>
          <w:noProof/>
          <w:lang w:eastAsia="zh-CN"/>
        </w:rPr>
        <w:t>ChargeableParty</w:t>
      </w:r>
      <w:r w:rsidRPr="000A0A5F">
        <w:t xml:space="preserve"> API.</w:t>
      </w:r>
    </w:p>
    <w:p w:rsidR="00DC285A" w:rsidRPr="000A0A5F" w:rsidRDefault="00DC285A" w:rsidP="00DC285A">
      <w:pPr>
        <w:pStyle w:val="Heading4"/>
      </w:pPr>
      <w:bookmarkStart w:id="3478" w:name="_Toc130502548"/>
      <w:bookmarkStart w:id="3479" w:name="_Toc153625335"/>
      <w:r w:rsidRPr="000A0A5F">
        <w:t>5.5.5.3</w:t>
      </w:r>
      <w:r w:rsidRPr="000A0A5F">
        <w:tab/>
        <w:t>Application Errors</w:t>
      </w:r>
      <w:bookmarkEnd w:id="3478"/>
      <w:bookmarkEnd w:id="3479"/>
    </w:p>
    <w:p w:rsidR="00DC285A" w:rsidRPr="000A0A5F" w:rsidRDefault="00DC285A" w:rsidP="00DC285A">
      <w:r w:rsidRPr="000A0A5F">
        <w:t xml:space="preserve">The application errors defined for </w:t>
      </w:r>
      <w:r w:rsidRPr="000A0A5F">
        <w:rPr>
          <w:noProof/>
          <w:lang w:eastAsia="zh-CN"/>
        </w:rPr>
        <w:t>ChargeableParty</w:t>
      </w:r>
      <w:r w:rsidRPr="000A0A5F">
        <w:t xml:space="preserve"> API are listed in table 5.5.5.3-1.</w:t>
      </w:r>
    </w:p>
    <w:p w:rsidR="00DC285A" w:rsidRPr="000A0A5F" w:rsidRDefault="00DC285A" w:rsidP="00DC285A">
      <w:pPr>
        <w:pStyle w:val="TH"/>
      </w:pPr>
      <w:r w:rsidRPr="000A0A5F">
        <w:t>Table 5.5.5.3-1: Application errors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686"/>
        <w:gridCol w:w="1275"/>
        <w:gridCol w:w="3289"/>
        <w:gridCol w:w="2373"/>
      </w:tblGrid>
      <w:tr w:rsidR="00DC285A" w:rsidRPr="000A0A5F" w:rsidTr="004C13CC">
        <w:trPr>
          <w:cantSplit/>
          <w:jc w:val="center"/>
        </w:trPr>
        <w:tc>
          <w:tcPr>
            <w:tcW w:w="2686" w:type="dxa"/>
            <w:shd w:val="clear" w:color="auto" w:fill="C0C0C0"/>
            <w:hideMark/>
          </w:tcPr>
          <w:p w:rsidR="00DC285A" w:rsidRPr="000A0A5F" w:rsidRDefault="00DC285A" w:rsidP="004C13CC">
            <w:pPr>
              <w:pStyle w:val="TAH"/>
            </w:pPr>
            <w:r w:rsidRPr="000A0A5F">
              <w:t>Application Error</w:t>
            </w:r>
          </w:p>
        </w:tc>
        <w:tc>
          <w:tcPr>
            <w:tcW w:w="1275" w:type="dxa"/>
            <w:shd w:val="clear" w:color="auto" w:fill="C0C0C0"/>
            <w:hideMark/>
          </w:tcPr>
          <w:p w:rsidR="00DC285A" w:rsidRPr="000A0A5F" w:rsidRDefault="00DC285A" w:rsidP="004C13CC">
            <w:pPr>
              <w:pStyle w:val="TAH"/>
            </w:pPr>
            <w:r w:rsidRPr="000A0A5F">
              <w:t>HTTP status code</w:t>
            </w:r>
          </w:p>
        </w:tc>
        <w:tc>
          <w:tcPr>
            <w:tcW w:w="3289" w:type="dxa"/>
            <w:shd w:val="clear" w:color="auto" w:fill="C0C0C0"/>
            <w:hideMark/>
          </w:tcPr>
          <w:p w:rsidR="00DC285A" w:rsidRPr="000A0A5F" w:rsidRDefault="00DC285A" w:rsidP="004C13CC">
            <w:pPr>
              <w:pStyle w:val="TAH"/>
            </w:pPr>
            <w:r w:rsidRPr="000A0A5F">
              <w:t>Description</w:t>
            </w:r>
          </w:p>
        </w:tc>
        <w:tc>
          <w:tcPr>
            <w:tcW w:w="2373" w:type="dxa"/>
            <w:shd w:val="clear" w:color="auto" w:fill="C0C0C0"/>
          </w:tcPr>
          <w:p w:rsidR="00DC285A" w:rsidRPr="000A0A5F" w:rsidRDefault="00DC285A" w:rsidP="004C13CC">
            <w:pPr>
              <w:pStyle w:val="TAH"/>
            </w:pPr>
            <w:r w:rsidRPr="000A0A5F">
              <w:t>Applicability</w:t>
            </w:r>
          </w:p>
        </w:tc>
      </w:tr>
      <w:tr w:rsidR="00DC285A" w:rsidRPr="000A0A5F" w:rsidTr="004C13CC">
        <w:trPr>
          <w:cantSplit/>
          <w:jc w:val="center"/>
        </w:trPr>
        <w:tc>
          <w:tcPr>
            <w:tcW w:w="2686" w:type="dxa"/>
          </w:tcPr>
          <w:p w:rsidR="00DC285A" w:rsidRPr="000A0A5F" w:rsidRDefault="00DC285A" w:rsidP="004C13CC">
            <w:pPr>
              <w:pStyle w:val="TAL"/>
              <w:rPr>
                <w:lang w:eastAsia="zh-CN"/>
              </w:rPr>
            </w:pPr>
          </w:p>
        </w:tc>
        <w:tc>
          <w:tcPr>
            <w:tcW w:w="1275" w:type="dxa"/>
          </w:tcPr>
          <w:p w:rsidR="00DC285A" w:rsidRPr="000A0A5F" w:rsidRDefault="00DC285A" w:rsidP="004C13CC">
            <w:pPr>
              <w:pStyle w:val="TAL"/>
              <w:rPr>
                <w:lang w:eastAsia="zh-CN"/>
              </w:rPr>
            </w:pPr>
          </w:p>
        </w:tc>
        <w:tc>
          <w:tcPr>
            <w:tcW w:w="3289" w:type="dxa"/>
          </w:tcPr>
          <w:p w:rsidR="00DC285A" w:rsidRPr="000A0A5F" w:rsidRDefault="00DC285A" w:rsidP="004C13CC">
            <w:pPr>
              <w:pStyle w:val="TAL"/>
            </w:pPr>
          </w:p>
        </w:tc>
        <w:tc>
          <w:tcPr>
            <w:tcW w:w="2373" w:type="dxa"/>
          </w:tcPr>
          <w:p w:rsidR="00DC285A" w:rsidRPr="000A0A5F" w:rsidRDefault="00DC285A" w:rsidP="004C13CC">
            <w:pPr>
              <w:pStyle w:val="TAL"/>
            </w:pPr>
          </w:p>
        </w:tc>
      </w:tr>
    </w:tbl>
    <w:p w:rsidR="00CB0DD7" w:rsidRPr="000A0A5F" w:rsidRDefault="00CB0DD7"/>
    <w:p w:rsidR="00CB0DD7" w:rsidRPr="000A0A5F" w:rsidRDefault="00CB0DD7">
      <w:pPr>
        <w:pStyle w:val="Heading2"/>
      </w:pPr>
      <w:bookmarkStart w:id="3480" w:name="_Toc11247435"/>
      <w:bookmarkStart w:id="3481" w:name="_Toc27044557"/>
      <w:bookmarkStart w:id="3482" w:name="_Toc36033599"/>
      <w:bookmarkStart w:id="3483" w:name="_Toc45131734"/>
      <w:bookmarkStart w:id="3484" w:name="_Toc49776019"/>
      <w:bookmarkStart w:id="3485" w:name="_Toc51746939"/>
      <w:bookmarkStart w:id="3486" w:name="_Toc66360493"/>
      <w:bookmarkStart w:id="3487" w:name="_Toc68104998"/>
      <w:bookmarkStart w:id="3488" w:name="_Toc74755628"/>
      <w:bookmarkStart w:id="3489" w:name="_Toc105674501"/>
      <w:bookmarkStart w:id="3490" w:name="_Toc130502549"/>
      <w:bookmarkStart w:id="3491" w:name="_Toc153625336"/>
      <w:r w:rsidRPr="000A0A5F">
        <w:t>5.6</w:t>
      </w:r>
      <w:r w:rsidRPr="000A0A5F">
        <w:tab/>
        <w:t>NIDD API</w:t>
      </w:r>
      <w:bookmarkEnd w:id="3480"/>
      <w:bookmarkEnd w:id="3481"/>
      <w:bookmarkEnd w:id="3482"/>
      <w:bookmarkEnd w:id="3483"/>
      <w:bookmarkEnd w:id="3484"/>
      <w:bookmarkEnd w:id="3485"/>
      <w:bookmarkEnd w:id="3486"/>
      <w:bookmarkEnd w:id="3487"/>
      <w:bookmarkEnd w:id="3488"/>
      <w:bookmarkEnd w:id="3489"/>
      <w:bookmarkEnd w:id="3490"/>
      <w:bookmarkEnd w:id="3491"/>
    </w:p>
    <w:p w:rsidR="00CB0DD7" w:rsidRPr="000A0A5F" w:rsidRDefault="00CB0DD7">
      <w:pPr>
        <w:pStyle w:val="Heading3"/>
      </w:pPr>
      <w:bookmarkStart w:id="3492" w:name="_Toc11247436"/>
      <w:bookmarkStart w:id="3493" w:name="_Toc27044558"/>
      <w:bookmarkStart w:id="3494" w:name="_Toc36033600"/>
      <w:bookmarkStart w:id="3495" w:name="_Toc45131735"/>
      <w:bookmarkStart w:id="3496" w:name="_Toc49776020"/>
      <w:bookmarkStart w:id="3497" w:name="_Toc51746940"/>
      <w:bookmarkStart w:id="3498" w:name="_Toc66360494"/>
      <w:bookmarkStart w:id="3499" w:name="_Toc68104999"/>
      <w:bookmarkStart w:id="3500" w:name="_Toc74755629"/>
      <w:bookmarkStart w:id="3501" w:name="_Toc105674502"/>
      <w:bookmarkStart w:id="3502" w:name="_Toc130502550"/>
      <w:bookmarkStart w:id="3503" w:name="_Toc153625337"/>
      <w:r w:rsidRPr="000A0A5F">
        <w:t>5.6.1</w:t>
      </w:r>
      <w:r w:rsidRPr="000A0A5F">
        <w:tab/>
        <w:t>Overview</w:t>
      </w:r>
      <w:bookmarkEnd w:id="3492"/>
      <w:bookmarkEnd w:id="3493"/>
      <w:bookmarkEnd w:id="3494"/>
      <w:bookmarkEnd w:id="3495"/>
      <w:bookmarkEnd w:id="3496"/>
      <w:bookmarkEnd w:id="3497"/>
      <w:bookmarkEnd w:id="3498"/>
      <w:bookmarkEnd w:id="3499"/>
      <w:bookmarkEnd w:id="3500"/>
      <w:bookmarkEnd w:id="3501"/>
      <w:bookmarkEnd w:id="3502"/>
      <w:bookmarkEnd w:id="3503"/>
    </w:p>
    <w:p w:rsidR="00CB0DD7" w:rsidRPr="000A0A5F" w:rsidRDefault="00CB0DD7">
      <w:r w:rsidRPr="000A0A5F">
        <w:rPr>
          <w:rFonts w:hint="eastAsia"/>
          <w:noProof/>
          <w:lang w:eastAsia="zh-CN"/>
        </w:rPr>
        <w:t>The</w:t>
      </w:r>
      <w:r w:rsidRPr="000A0A5F">
        <w:rPr>
          <w:noProof/>
          <w:lang w:eastAsia="zh-CN"/>
        </w:rPr>
        <w:t xml:space="preserve"> </w:t>
      </w:r>
      <w:r w:rsidRPr="000A0A5F">
        <w:t>NIDD</w:t>
      </w:r>
      <w:r w:rsidRPr="000A0A5F">
        <w:rPr>
          <w:noProof/>
          <w:lang w:eastAsia="zh-CN"/>
        </w:rPr>
        <w:t xml:space="preserve"> API is a RESTful API that allows the SCS/AS to send non-IP data to the UE or receive non-IP data from the UE.</w:t>
      </w:r>
      <w:r w:rsidRPr="000A0A5F">
        <w:rPr>
          <w:noProof/>
          <w:lang w:val="en-US" w:eastAsia="zh-CN"/>
        </w:rPr>
        <w:t xml:space="preserve"> </w:t>
      </w:r>
      <w:r w:rsidRPr="000A0A5F">
        <w:t>The NIDD API defines a set of data models, resources and the related procedures for the non-IP data transfer. The corresponding JSON schema for the representation of the resources and operations defined by the NIDD API is provided in its complete form in Annex A.6.</w:t>
      </w:r>
    </w:p>
    <w:p w:rsidR="00CB0DD7" w:rsidRPr="000A0A5F" w:rsidRDefault="00CB0DD7">
      <w:pPr>
        <w:pStyle w:val="Heading3"/>
      </w:pPr>
      <w:bookmarkStart w:id="3504" w:name="_Toc11247437"/>
      <w:bookmarkStart w:id="3505" w:name="_Toc27044559"/>
      <w:bookmarkStart w:id="3506" w:name="_Toc36033601"/>
      <w:bookmarkStart w:id="3507" w:name="_Toc45131736"/>
      <w:bookmarkStart w:id="3508" w:name="_Toc49776021"/>
      <w:bookmarkStart w:id="3509" w:name="_Toc51746941"/>
      <w:bookmarkStart w:id="3510" w:name="_Toc66360495"/>
      <w:bookmarkStart w:id="3511" w:name="_Toc68105000"/>
      <w:bookmarkStart w:id="3512" w:name="_Toc74755630"/>
      <w:bookmarkStart w:id="3513" w:name="_Toc105674503"/>
      <w:bookmarkStart w:id="3514" w:name="_Toc130502551"/>
      <w:bookmarkStart w:id="3515" w:name="_Toc153625338"/>
      <w:r w:rsidRPr="000A0A5F">
        <w:t>5.6.2</w:t>
      </w:r>
      <w:r w:rsidRPr="000A0A5F">
        <w:tab/>
        <w:t>Data model</w:t>
      </w:r>
      <w:bookmarkEnd w:id="3504"/>
      <w:bookmarkEnd w:id="3505"/>
      <w:bookmarkEnd w:id="3506"/>
      <w:bookmarkEnd w:id="3507"/>
      <w:bookmarkEnd w:id="3508"/>
      <w:bookmarkEnd w:id="3509"/>
      <w:bookmarkEnd w:id="3510"/>
      <w:bookmarkEnd w:id="3511"/>
      <w:bookmarkEnd w:id="3512"/>
      <w:bookmarkEnd w:id="3513"/>
      <w:bookmarkEnd w:id="3514"/>
      <w:bookmarkEnd w:id="3515"/>
    </w:p>
    <w:p w:rsidR="00CB0DD7" w:rsidRPr="000A0A5F" w:rsidRDefault="00CB0DD7">
      <w:pPr>
        <w:pStyle w:val="Heading4"/>
      </w:pPr>
      <w:bookmarkStart w:id="3516" w:name="_Toc11247438"/>
      <w:bookmarkStart w:id="3517" w:name="_Toc27044560"/>
      <w:bookmarkStart w:id="3518" w:name="_Toc36033602"/>
      <w:bookmarkStart w:id="3519" w:name="_Toc45131737"/>
      <w:bookmarkStart w:id="3520" w:name="_Toc49776022"/>
      <w:bookmarkStart w:id="3521" w:name="_Toc51746942"/>
      <w:bookmarkStart w:id="3522" w:name="_Toc66360496"/>
      <w:bookmarkStart w:id="3523" w:name="_Toc68105001"/>
      <w:bookmarkStart w:id="3524" w:name="_Toc74755631"/>
      <w:bookmarkStart w:id="3525" w:name="_Toc105674504"/>
      <w:bookmarkStart w:id="3526" w:name="_Toc130502552"/>
      <w:bookmarkStart w:id="3527" w:name="_Toc153625339"/>
      <w:r w:rsidRPr="000A0A5F">
        <w:t>5.6.2.1</w:t>
      </w:r>
      <w:r w:rsidRPr="000A0A5F">
        <w:tab/>
        <w:t>Resource data types</w:t>
      </w:r>
      <w:bookmarkEnd w:id="3516"/>
      <w:bookmarkEnd w:id="3517"/>
      <w:bookmarkEnd w:id="3518"/>
      <w:bookmarkEnd w:id="3519"/>
      <w:bookmarkEnd w:id="3520"/>
      <w:bookmarkEnd w:id="3521"/>
      <w:bookmarkEnd w:id="3522"/>
      <w:bookmarkEnd w:id="3523"/>
      <w:bookmarkEnd w:id="3524"/>
      <w:bookmarkEnd w:id="3525"/>
      <w:bookmarkEnd w:id="3526"/>
      <w:bookmarkEnd w:id="3527"/>
    </w:p>
    <w:p w:rsidR="00CB0DD7" w:rsidRPr="000A0A5F" w:rsidRDefault="00CB0DD7">
      <w:pPr>
        <w:pStyle w:val="Heading5"/>
      </w:pPr>
      <w:bookmarkStart w:id="3528" w:name="_Toc11247439"/>
      <w:bookmarkStart w:id="3529" w:name="_Toc27044561"/>
      <w:bookmarkStart w:id="3530" w:name="_Toc36033603"/>
      <w:bookmarkStart w:id="3531" w:name="_Toc45131738"/>
      <w:bookmarkStart w:id="3532" w:name="_Toc49776023"/>
      <w:bookmarkStart w:id="3533" w:name="_Toc51746943"/>
      <w:bookmarkStart w:id="3534" w:name="_Toc66360497"/>
      <w:bookmarkStart w:id="3535" w:name="_Toc68105002"/>
      <w:bookmarkStart w:id="3536" w:name="_Toc74755632"/>
      <w:bookmarkStart w:id="3537" w:name="_Toc105674505"/>
      <w:bookmarkStart w:id="3538" w:name="_Toc130502553"/>
      <w:bookmarkStart w:id="3539" w:name="_Toc153625340"/>
      <w:r w:rsidRPr="000A0A5F">
        <w:t>5.6.2.1.1</w:t>
      </w:r>
      <w:r w:rsidRPr="000A0A5F">
        <w:tab/>
        <w:t>Introduction</w:t>
      </w:r>
      <w:bookmarkEnd w:id="3528"/>
      <w:bookmarkEnd w:id="3529"/>
      <w:bookmarkEnd w:id="3530"/>
      <w:bookmarkEnd w:id="3531"/>
      <w:bookmarkEnd w:id="3532"/>
      <w:bookmarkEnd w:id="3533"/>
      <w:bookmarkEnd w:id="3534"/>
      <w:bookmarkEnd w:id="3535"/>
      <w:bookmarkEnd w:id="3536"/>
      <w:bookmarkEnd w:id="3537"/>
      <w:bookmarkEnd w:id="3538"/>
      <w:bookmarkEnd w:id="3539"/>
    </w:p>
    <w:p w:rsidR="00CB0DD7" w:rsidRPr="000A0A5F" w:rsidRDefault="00CB0DD7">
      <w:r w:rsidRPr="000A0A5F">
        <w:t>This clause defines data structures to be used in resource representations, including subscription resources.</w:t>
      </w:r>
    </w:p>
    <w:p w:rsidR="00CB0DD7" w:rsidRPr="000A0A5F" w:rsidRDefault="00CB0DD7">
      <w:r w:rsidRPr="000A0A5F">
        <w:t xml:space="preserve">Table 5.6.2.1.1-1 specifies data types re-used by the NIDD API from other specifications, including a reference to their respective specifications and when needed, a short description of their use within the NIDD API. </w:t>
      </w:r>
    </w:p>
    <w:p w:rsidR="00CB0DD7" w:rsidRPr="000A0A5F" w:rsidRDefault="00CB0DD7">
      <w:pPr>
        <w:pStyle w:val="TH"/>
      </w:pPr>
      <w:r w:rsidRPr="000A0A5F">
        <w:t>Table 5.5.2.1.1-1: NIDD API re-used Data Types</w:t>
      </w:r>
    </w:p>
    <w:tbl>
      <w:tblPr>
        <w:tblW w:w="917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018"/>
        <w:gridCol w:w="1848"/>
        <w:gridCol w:w="5308"/>
      </w:tblGrid>
      <w:tr w:rsidR="00CB0DD7" w:rsidRPr="000A0A5F" w:rsidTr="00FF0AF8">
        <w:trPr>
          <w:jc w:val="center"/>
        </w:trPr>
        <w:tc>
          <w:tcPr>
            <w:tcW w:w="2018" w:type="dxa"/>
            <w:shd w:val="clear" w:color="auto" w:fill="C0C0C0"/>
            <w:hideMark/>
          </w:tcPr>
          <w:p w:rsidR="00CB0DD7" w:rsidRPr="000A0A5F" w:rsidRDefault="00CB0DD7">
            <w:pPr>
              <w:pStyle w:val="TAH"/>
            </w:pPr>
            <w:r w:rsidRPr="000A0A5F">
              <w:t>Data type</w:t>
            </w:r>
          </w:p>
        </w:tc>
        <w:tc>
          <w:tcPr>
            <w:tcW w:w="1848" w:type="dxa"/>
            <w:shd w:val="clear" w:color="auto" w:fill="C0C0C0"/>
          </w:tcPr>
          <w:p w:rsidR="00CB0DD7" w:rsidRPr="000A0A5F" w:rsidRDefault="00CB0DD7">
            <w:pPr>
              <w:pStyle w:val="TAH"/>
            </w:pPr>
            <w:r w:rsidRPr="000A0A5F">
              <w:t>Reference</w:t>
            </w:r>
          </w:p>
        </w:tc>
        <w:tc>
          <w:tcPr>
            <w:tcW w:w="5308" w:type="dxa"/>
            <w:shd w:val="clear" w:color="auto" w:fill="C0C0C0"/>
            <w:hideMark/>
          </w:tcPr>
          <w:p w:rsidR="00CB0DD7" w:rsidRPr="000A0A5F" w:rsidRDefault="00CB0DD7">
            <w:pPr>
              <w:pStyle w:val="TAH"/>
            </w:pPr>
            <w:r w:rsidRPr="000A0A5F">
              <w:t>Comments</w:t>
            </w:r>
          </w:p>
        </w:tc>
      </w:tr>
      <w:tr w:rsidR="00CB0DD7" w:rsidRPr="000A0A5F" w:rsidTr="00FF0AF8">
        <w:trPr>
          <w:jc w:val="center"/>
        </w:trPr>
        <w:tc>
          <w:tcPr>
            <w:tcW w:w="2018" w:type="dxa"/>
          </w:tcPr>
          <w:p w:rsidR="00CB0DD7" w:rsidRPr="000A0A5F" w:rsidRDefault="00CB0DD7">
            <w:pPr>
              <w:pStyle w:val="TAL"/>
              <w:rPr>
                <w:noProof/>
                <w:lang w:eastAsia="zh-CN"/>
              </w:rPr>
            </w:pPr>
            <w:r w:rsidRPr="000A0A5F">
              <w:rPr>
                <w:lang w:eastAsia="zh-CN"/>
              </w:rPr>
              <w:t>NullValue</w:t>
            </w:r>
          </w:p>
        </w:tc>
        <w:tc>
          <w:tcPr>
            <w:tcW w:w="1848" w:type="dxa"/>
          </w:tcPr>
          <w:p w:rsidR="00CB0DD7" w:rsidRPr="000A0A5F" w:rsidRDefault="00CB0DD7">
            <w:pPr>
              <w:pStyle w:val="TAL"/>
              <w:rPr>
                <w:noProof/>
              </w:rPr>
            </w:pPr>
            <w:r w:rsidRPr="000A0A5F">
              <w:rPr>
                <w:rFonts w:cs="Arial"/>
                <w:szCs w:val="18"/>
              </w:rPr>
              <w:t>3GPP TS 29.571 [45]</w:t>
            </w:r>
          </w:p>
        </w:tc>
        <w:tc>
          <w:tcPr>
            <w:tcW w:w="5308" w:type="dxa"/>
          </w:tcPr>
          <w:p w:rsidR="00CB0DD7" w:rsidRPr="000A0A5F" w:rsidRDefault="00CB0DD7">
            <w:pPr>
              <w:pStyle w:val="TAL"/>
              <w:rPr>
                <w:rFonts w:cs="Arial"/>
                <w:noProof/>
                <w:szCs w:val="18"/>
              </w:rPr>
            </w:pPr>
            <w:r w:rsidRPr="000A0A5F">
              <w:rPr>
                <w:lang w:eastAsia="zh-CN"/>
              </w:rPr>
              <w:t xml:space="preserve">JSON's null value, used </w:t>
            </w:r>
            <w:r w:rsidRPr="000A0A5F">
              <w:t>as an explicit value of an enumeration.</w:t>
            </w:r>
          </w:p>
        </w:tc>
      </w:tr>
      <w:tr w:rsidR="00CB0DD7" w:rsidRPr="000A0A5F" w:rsidTr="00FF0AF8">
        <w:trPr>
          <w:jc w:val="center"/>
        </w:trPr>
        <w:tc>
          <w:tcPr>
            <w:tcW w:w="2018" w:type="dxa"/>
          </w:tcPr>
          <w:p w:rsidR="00CB0DD7" w:rsidRPr="000A0A5F" w:rsidRDefault="00CB0DD7">
            <w:pPr>
              <w:pStyle w:val="TAL"/>
            </w:pPr>
            <w:r w:rsidRPr="000A0A5F">
              <w:rPr>
                <w:noProof/>
                <w:lang w:eastAsia="zh-CN"/>
              </w:rPr>
              <w:t>SupportedFeatures</w:t>
            </w:r>
          </w:p>
        </w:tc>
        <w:tc>
          <w:tcPr>
            <w:tcW w:w="1848" w:type="dxa"/>
          </w:tcPr>
          <w:p w:rsidR="00CB0DD7" w:rsidRPr="000A0A5F" w:rsidRDefault="00CB0DD7">
            <w:pPr>
              <w:pStyle w:val="TAL"/>
              <w:rPr>
                <w:rFonts w:hint="eastAsia"/>
                <w:lang w:eastAsia="zh-CN"/>
              </w:rPr>
            </w:pPr>
            <w:r w:rsidRPr="000A0A5F">
              <w:rPr>
                <w:noProof/>
              </w:rPr>
              <w:t>3GPP TS 29.571 [45]</w:t>
            </w:r>
          </w:p>
        </w:tc>
        <w:tc>
          <w:tcPr>
            <w:tcW w:w="5308" w:type="dxa"/>
          </w:tcPr>
          <w:p w:rsidR="00CB0DD7" w:rsidRPr="000A0A5F" w:rsidRDefault="00CB0DD7">
            <w:pPr>
              <w:pStyle w:val="TAL"/>
              <w:rPr>
                <w:lang w:eastAsia="zh-CN"/>
              </w:rPr>
            </w:pPr>
            <w:r w:rsidRPr="000A0A5F">
              <w:rPr>
                <w:rFonts w:cs="Arial"/>
                <w:noProof/>
                <w:szCs w:val="18"/>
              </w:rPr>
              <w:t xml:space="preserve">Used to negotiate the applicability of the optional features defined in </w:t>
            </w:r>
            <w:r w:rsidRPr="000A0A5F">
              <w:rPr>
                <w:noProof/>
              </w:rPr>
              <w:t>table </w:t>
            </w:r>
            <w:r w:rsidRPr="000A0A5F">
              <w:t>5.6.4-1</w:t>
            </w:r>
            <w:r w:rsidRPr="000A0A5F">
              <w:rPr>
                <w:noProof/>
              </w:rPr>
              <w:t>.</w:t>
            </w:r>
          </w:p>
        </w:tc>
      </w:tr>
    </w:tbl>
    <w:p w:rsidR="00CB0DD7" w:rsidRPr="000A0A5F" w:rsidRDefault="00CB0DD7"/>
    <w:p w:rsidR="00486293" w:rsidRPr="000A0A5F" w:rsidRDefault="00486293" w:rsidP="00486293">
      <w:bookmarkStart w:id="3540" w:name="_Toc11247440"/>
      <w:bookmarkStart w:id="3541" w:name="_Toc27044562"/>
      <w:bookmarkStart w:id="3542" w:name="_Toc36033604"/>
      <w:bookmarkStart w:id="3543" w:name="_Toc45131739"/>
      <w:bookmarkStart w:id="3544" w:name="_Toc49776024"/>
      <w:bookmarkStart w:id="3545" w:name="_Toc51746944"/>
      <w:bookmarkStart w:id="3546" w:name="_Toc66360498"/>
      <w:bookmarkStart w:id="3547" w:name="_Toc68105003"/>
      <w:bookmarkStart w:id="3548" w:name="_Toc74755633"/>
      <w:r w:rsidRPr="000A0A5F">
        <w:t>Table 5.6.2.1.1-2 specifies the data types defined for the NIDD API.</w:t>
      </w:r>
    </w:p>
    <w:p w:rsidR="00486293" w:rsidRPr="000A0A5F" w:rsidRDefault="00486293" w:rsidP="00486293">
      <w:pPr>
        <w:pStyle w:val="TH"/>
      </w:pPr>
      <w:r w:rsidRPr="000A0A5F">
        <w:t>Table 5.6.2.1.1-2: NIDD API specific Data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888"/>
        <w:gridCol w:w="964"/>
        <w:gridCol w:w="4365"/>
        <w:gridCol w:w="1412"/>
      </w:tblGrid>
      <w:tr w:rsidR="00486293" w:rsidRPr="000A0A5F" w:rsidTr="00FF0AF8">
        <w:trPr>
          <w:jc w:val="center"/>
        </w:trPr>
        <w:tc>
          <w:tcPr>
            <w:tcW w:w="2888" w:type="dxa"/>
            <w:shd w:val="clear" w:color="auto" w:fill="C0C0C0"/>
            <w:vAlign w:val="center"/>
            <w:hideMark/>
          </w:tcPr>
          <w:p w:rsidR="00486293" w:rsidRPr="000A0A5F" w:rsidRDefault="00486293" w:rsidP="00D513D3">
            <w:pPr>
              <w:pStyle w:val="TAH"/>
            </w:pPr>
            <w:r w:rsidRPr="000A0A5F">
              <w:t>Data type</w:t>
            </w:r>
          </w:p>
        </w:tc>
        <w:tc>
          <w:tcPr>
            <w:tcW w:w="964" w:type="dxa"/>
            <w:shd w:val="clear" w:color="auto" w:fill="C0C0C0"/>
            <w:vAlign w:val="center"/>
          </w:tcPr>
          <w:p w:rsidR="00486293" w:rsidRPr="000A0A5F" w:rsidRDefault="00486293" w:rsidP="00D513D3">
            <w:pPr>
              <w:pStyle w:val="TAH"/>
            </w:pPr>
            <w:r w:rsidRPr="000A0A5F">
              <w:t>Clause defined</w:t>
            </w:r>
          </w:p>
        </w:tc>
        <w:tc>
          <w:tcPr>
            <w:tcW w:w="4365" w:type="dxa"/>
            <w:shd w:val="clear" w:color="auto" w:fill="C0C0C0"/>
            <w:vAlign w:val="center"/>
            <w:hideMark/>
          </w:tcPr>
          <w:p w:rsidR="00486293" w:rsidRPr="000A0A5F" w:rsidRDefault="00486293" w:rsidP="00D513D3">
            <w:pPr>
              <w:pStyle w:val="TAH"/>
            </w:pPr>
            <w:r w:rsidRPr="000A0A5F">
              <w:t>Description</w:t>
            </w:r>
          </w:p>
        </w:tc>
        <w:tc>
          <w:tcPr>
            <w:tcW w:w="1412" w:type="dxa"/>
            <w:shd w:val="clear" w:color="auto" w:fill="C0C0C0"/>
            <w:vAlign w:val="center"/>
          </w:tcPr>
          <w:p w:rsidR="00486293" w:rsidRPr="000A0A5F" w:rsidRDefault="00486293" w:rsidP="00D513D3">
            <w:pPr>
              <w:pStyle w:val="TAH"/>
            </w:pPr>
            <w:r w:rsidRPr="000A0A5F">
              <w:t>Applicability</w:t>
            </w:r>
          </w:p>
        </w:tc>
      </w:tr>
      <w:tr w:rsidR="00486293" w:rsidRPr="000A0A5F" w:rsidTr="00FF0AF8">
        <w:trPr>
          <w:jc w:val="center"/>
        </w:trPr>
        <w:tc>
          <w:tcPr>
            <w:tcW w:w="2888" w:type="dxa"/>
            <w:vAlign w:val="center"/>
          </w:tcPr>
          <w:p w:rsidR="00486293" w:rsidRPr="000A0A5F" w:rsidRDefault="00486293" w:rsidP="00D513D3">
            <w:pPr>
              <w:pStyle w:val="TAL"/>
            </w:pPr>
            <w:r w:rsidRPr="000A0A5F">
              <w:t>DeliveryStatus</w:t>
            </w:r>
          </w:p>
        </w:tc>
        <w:tc>
          <w:tcPr>
            <w:tcW w:w="964" w:type="dxa"/>
            <w:vAlign w:val="center"/>
          </w:tcPr>
          <w:p w:rsidR="00486293" w:rsidRPr="000A0A5F" w:rsidRDefault="00486293" w:rsidP="00D513D3">
            <w:pPr>
              <w:pStyle w:val="TAC"/>
            </w:pPr>
            <w:r w:rsidRPr="000A0A5F">
              <w:t>5.6.2.3.4</w:t>
            </w:r>
          </w:p>
        </w:tc>
        <w:tc>
          <w:tcPr>
            <w:tcW w:w="4365" w:type="dxa"/>
            <w:vAlign w:val="center"/>
          </w:tcPr>
          <w:p w:rsidR="00486293" w:rsidRPr="000A0A5F" w:rsidRDefault="00486293" w:rsidP="00D513D3">
            <w:pPr>
              <w:pStyle w:val="TAL"/>
            </w:pPr>
            <w:r w:rsidRPr="000A0A5F">
              <w:t>Represents the status of a downlink NIDD data delivery.</w:t>
            </w:r>
          </w:p>
        </w:tc>
        <w:tc>
          <w:tcPr>
            <w:tcW w:w="1412" w:type="dxa"/>
            <w:vAlign w:val="center"/>
          </w:tcPr>
          <w:p w:rsidR="00486293" w:rsidRPr="000A0A5F" w:rsidRDefault="00486293" w:rsidP="00D513D3">
            <w:pPr>
              <w:pStyle w:val="TAL"/>
              <w:rPr>
                <w:rFonts w:cs="Arial"/>
                <w:szCs w:val="18"/>
              </w:rPr>
            </w:pPr>
          </w:p>
        </w:tc>
      </w:tr>
      <w:tr w:rsidR="00486293" w:rsidRPr="000A0A5F" w:rsidTr="00FF0AF8">
        <w:trPr>
          <w:jc w:val="center"/>
        </w:trPr>
        <w:tc>
          <w:tcPr>
            <w:tcW w:w="2888" w:type="dxa"/>
            <w:vAlign w:val="center"/>
          </w:tcPr>
          <w:p w:rsidR="00486293" w:rsidRPr="000A0A5F" w:rsidRDefault="00486293" w:rsidP="00D513D3">
            <w:pPr>
              <w:pStyle w:val="TAL"/>
            </w:pPr>
            <w:r w:rsidRPr="000A0A5F">
              <w:t>GmdNiddDownlinkDataDeliveryNotification</w:t>
            </w:r>
          </w:p>
        </w:tc>
        <w:tc>
          <w:tcPr>
            <w:tcW w:w="964" w:type="dxa"/>
            <w:vAlign w:val="center"/>
          </w:tcPr>
          <w:p w:rsidR="00486293" w:rsidRPr="000A0A5F" w:rsidRDefault="00486293" w:rsidP="00D513D3">
            <w:pPr>
              <w:pStyle w:val="TAC"/>
            </w:pPr>
            <w:r w:rsidRPr="000A0A5F">
              <w:t>5.6.2.1.8</w:t>
            </w:r>
          </w:p>
        </w:tc>
        <w:tc>
          <w:tcPr>
            <w:tcW w:w="4365" w:type="dxa"/>
            <w:vAlign w:val="center"/>
          </w:tcPr>
          <w:p w:rsidR="00486293" w:rsidRPr="000A0A5F" w:rsidRDefault="00486293" w:rsidP="00D513D3">
            <w:pPr>
              <w:pStyle w:val="TAL"/>
            </w:pPr>
            <w:r w:rsidRPr="000A0A5F">
              <w:t>Represents the delivery status of a specific group NIDD downlink data delivery.</w:t>
            </w:r>
          </w:p>
        </w:tc>
        <w:tc>
          <w:tcPr>
            <w:tcW w:w="1412" w:type="dxa"/>
            <w:vAlign w:val="center"/>
          </w:tcPr>
          <w:p w:rsidR="00486293" w:rsidRPr="000A0A5F" w:rsidRDefault="00486293" w:rsidP="00D513D3">
            <w:pPr>
              <w:pStyle w:val="TAL"/>
              <w:rPr>
                <w:rFonts w:cs="Arial"/>
                <w:szCs w:val="18"/>
              </w:rPr>
            </w:pPr>
          </w:p>
        </w:tc>
      </w:tr>
      <w:tr w:rsidR="00486293" w:rsidRPr="000A0A5F" w:rsidTr="00FF0AF8">
        <w:trPr>
          <w:jc w:val="center"/>
        </w:trPr>
        <w:tc>
          <w:tcPr>
            <w:tcW w:w="2888" w:type="dxa"/>
            <w:vAlign w:val="center"/>
          </w:tcPr>
          <w:p w:rsidR="00486293" w:rsidRPr="000A0A5F" w:rsidRDefault="00486293" w:rsidP="00D513D3">
            <w:pPr>
              <w:pStyle w:val="TAL"/>
            </w:pPr>
            <w:r w:rsidRPr="000A0A5F">
              <w:t>GmdResult</w:t>
            </w:r>
          </w:p>
        </w:tc>
        <w:tc>
          <w:tcPr>
            <w:tcW w:w="964" w:type="dxa"/>
            <w:vAlign w:val="center"/>
          </w:tcPr>
          <w:p w:rsidR="00486293" w:rsidRPr="000A0A5F" w:rsidRDefault="00486293" w:rsidP="00D513D3">
            <w:pPr>
              <w:pStyle w:val="TAC"/>
            </w:pPr>
            <w:r w:rsidRPr="000A0A5F">
              <w:t>5.6.2.2.3</w:t>
            </w:r>
          </w:p>
        </w:tc>
        <w:tc>
          <w:tcPr>
            <w:tcW w:w="4365" w:type="dxa"/>
            <w:vAlign w:val="center"/>
          </w:tcPr>
          <w:p w:rsidR="00486293" w:rsidRPr="000A0A5F" w:rsidRDefault="00486293" w:rsidP="00D513D3">
            <w:pPr>
              <w:pStyle w:val="TAL"/>
            </w:pPr>
            <w:r w:rsidRPr="000A0A5F">
              <w:t>Represents the group message delivery result</w:t>
            </w:r>
            <w:r w:rsidRPr="000A0A5F">
              <w:rPr>
                <w:rFonts w:eastAsia="Batang"/>
              </w:rPr>
              <w:t>.</w:t>
            </w:r>
          </w:p>
        </w:tc>
        <w:tc>
          <w:tcPr>
            <w:tcW w:w="1412" w:type="dxa"/>
            <w:vAlign w:val="center"/>
          </w:tcPr>
          <w:p w:rsidR="00486293" w:rsidRPr="000A0A5F" w:rsidRDefault="00486293" w:rsidP="00D513D3">
            <w:pPr>
              <w:pStyle w:val="TAL"/>
              <w:rPr>
                <w:rFonts w:cs="Arial"/>
                <w:szCs w:val="18"/>
              </w:rPr>
            </w:pPr>
            <w:r w:rsidRPr="000A0A5F">
              <w:rPr>
                <w:rFonts w:hint="eastAsia"/>
                <w:lang w:eastAsia="zh-CN"/>
              </w:rPr>
              <w:t>GroupMessageDelivery</w:t>
            </w:r>
          </w:p>
        </w:tc>
      </w:tr>
      <w:tr w:rsidR="00486293" w:rsidRPr="000A0A5F" w:rsidTr="00FF0AF8">
        <w:trPr>
          <w:jc w:val="center"/>
        </w:trPr>
        <w:tc>
          <w:tcPr>
            <w:tcW w:w="2888" w:type="dxa"/>
            <w:vAlign w:val="center"/>
          </w:tcPr>
          <w:p w:rsidR="00486293" w:rsidRPr="000A0A5F" w:rsidRDefault="00486293" w:rsidP="00D513D3">
            <w:pPr>
              <w:pStyle w:val="TAL"/>
            </w:pPr>
            <w:r w:rsidRPr="000A0A5F">
              <w:t>ManageEntity</w:t>
            </w:r>
          </w:p>
        </w:tc>
        <w:tc>
          <w:tcPr>
            <w:tcW w:w="964" w:type="dxa"/>
            <w:vAlign w:val="center"/>
          </w:tcPr>
          <w:p w:rsidR="00486293" w:rsidRPr="000A0A5F" w:rsidRDefault="00486293" w:rsidP="00D513D3">
            <w:pPr>
              <w:pStyle w:val="TAC"/>
            </w:pPr>
            <w:r w:rsidRPr="000A0A5F">
              <w:t>5.6.2.3.7</w:t>
            </w:r>
          </w:p>
        </w:tc>
        <w:tc>
          <w:tcPr>
            <w:tcW w:w="4365" w:type="dxa"/>
            <w:vAlign w:val="center"/>
          </w:tcPr>
          <w:p w:rsidR="00486293" w:rsidRPr="000A0A5F" w:rsidRDefault="00486293" w:rsidP="00D513D3">
            <w:pPr>
              <w:pStyle w:val="TAL"/>
            </w:pPr>
            <w:r w:rsidRPr="000A0A5F">
              <w:t>Represents the origin that manages the RDS port.</w:t>
            </w:r>
          </w:p>
        </w:tc>
        <w:tc>
          <w:tcPr>
            <w:tcW w:w="1412" w:type="dxa"/>
            <w:vAlign w:val="center"/>
          </w:tcPr>
          <w:p w:rsidR="00486293" w:rsidRPr="000A0A5F" w:rsidRDefault="00486293" w:rsidP="00D513D3">
            <w:pPr>
              <w:pStyle w:val="TAL"/>
              <w:rPr>
                <w:rFonts w:cs="Arial"/>
                <w:szCs w:val="18"/>
              </w:rPr>
            </w:pPr>
          </w:p>
        </w:tc>
      </w:tr>
      <w:tr w:rsidR="00486293" w:rsidRPr="000A0A5F" w:rsidTr="00FF0AF8">
        <w:trPr>
          <w:jc w:val="center"/>
        </w:trPr>
        <w:tc>
          <w:tcPr>
            <w:tcW w:w="2888" w:type="dxa"/>
            <w:vAlign w:val="center"/>
          </w:tcPr>
          <w:p w:rsidR="00486293" w:rsidRPr="000A0A5F" w:rsidRDefault="00486293" w:rsidP="00D513D3">
            <w:pPr>
              <w:pStyle w:val="TAL"/>
            </w:pPr>
            <w:r w:rsidRPr="000A0A5F">
              <w:t>ManagePort</w:t>
            </w:r>
          </w:p>
        </w:tc>
        <w:tc>
          <w:tcPr>
            <w:tcW w:w="964" w:type="dxa"/>
            <w:vAlign w:val="center"/>
          </w:tcPr>
          <w:p w:rsidR="00486293" w:rsidRPr="000A0A5F" w:rsidRDefault="00486293" w:rsidP="00D513D3">
            <w:pPr>
              <w:pStyle w:val="TAC"/>
            </w:pPr>
            <w:r w:rsidRPr="000A0A5F">
              <w:t>5.6.2.1.9</w:t>
            </w:r>
          </w:p>
        </w:tc>
        <w:tc>
          <w:tcPr>
            <w:tcW w:w="4365" w:type="dxa"/>
            <w:vAlign w:val="center"/>
          </w:tcPr>
          <w:p w:rsidR="00486293" w:rsidRPr="000A0A5F" w:rsidRDefault="00486293" w:rsidP="00D513D3">
            <w:pPr>
              <w:pStyle w:val="TAL"/>
            </w:pPr>
            <w:r w:rsidRPr="000A0A5F">
              <w:t>Represents the configuration of a RDS dynamic port management.</w:t>
            </w:r>
          </w:p>
        </w:tc>
        <w:tc>
          <w:tcPr>
            <w:tcW w:w="1412" w:type="dxa"/>
            <w:vAlign w:val="center"/>
          </w:tcPr>
          <w:p w:rsidR="00486293" w:rsidRPr="000A0A5F" w:rsidRDefault="00486293" w:rsidP="00D513D3">
            <w:pPr>
              <w:pStyle w:val="TAL"/>
              <w:rPr>
                <w:rFonts w:cs="Arial"/>
                <w:szCs w:val="18"/>
              </w:rPr>
            </w:pPr>
            <w:r w:rsidRPr="000A0A5F">
              <w:t>Rds_dynamic_port</w:t>
            </w:r>
          </w:p>
        </w:tc>
      </w:tr>
      <w:tr w:rsidR="00486293" w:rsidRPr="000A0A5F" w:rsidTr="00FF0AF8">
        <w:trPr>
          <w:jc w:val="center"/>
        </w:trPr>
        <w:tc>
          <w:tcPr>
            <w:tcW w:w="2888" w:type="dxa"/>
            <w:vAlign w:val="center"/>
          </w:tcPr>
          <w:p w:rsidR="00486293" w:rsidRPr="000A0A5F" w:rsidRDefault="00486293" w:rsidP="00D513D3">
            <w:pPr>
              <w:pStyle w:val="TAL"/>
            </w:pPr>
            <w:r w:rsidRPr="000A0A5F">
              <w:rPr>
                <w:lang w:eastAsia="zh-CN"/>
              </w:rPr>
              <w:t>ManagePort</w:t>
            </w:r>
            <w:r w:rsidRPr="000A0A5F">
              <w:rPr>
                <w:rFonts w:hint="eastAsia"/>
                <w:lang w:eastAsia="zh-CN"/>
              </w:rPr>
              <w:t>Notifi</w:t>
            </w:r>
            <w:r w:rsidRPr="000A0A5F">
              <w:rPr>
                <w:lang w:eastAsia="zh-CN"/>
              </w:rPr>
              <w:t>c</w:t>
            </w:r>
            <w:r w:rsidRPr="000A0A5F">
              <w:rPr>
                <w:rFonts w:hint="eastAsia"/>
                <w:lang w:eastAsia="zh-CN"/>
              </w:rPr>
              <w:t>ation</w:t>
            </w:r>
          </w:p>
        </w:tc>
        <w:tc>
          <w:tcPr>
            <w:tcW w:w="964" w:type="dxa"/>
            <w:vAlign w:val="center"/>
          </w:tcPr>
          <w:p w:rsidR="00486293" w:rsidRPr="000A0A5F" w:rsidRDefault="00486293" w:rsidP="00D513D3">
            <w:pPr>
              <w:pStyle w:val="TAC"/>
            </w:pPr>
            <w:r w:rsidRPr="000A0A5F">
              <w:t>5.6.2.1.10</w:t>
            </w:r>
          </w:p>
        </w:tc>
        <w:tc>
          <w:tcPr>
            <w:tcW w:w="4365" w:type="dxa"/>
            <w:vAlign w:val="center"/>
          </w:tcPr>
          <w:p w:rsidR="00486293" w:rsidRPr="000A0A5F" w:rsidRDefault="00486293" w:rsidP="00D513D3">
            <w:pPr>
              <w:pStyle w:val="TAL"/>
            </w:pPr>
            <w:r w:rsidRPr="000A0A5F">
              <w:t xml:space="preserve">Represents </w:t>
            </w:r>
            <w:r w:rsidRPr="000A0A5F">
              <w:rPr>
                <w:rFonts w:hint="eastAsia"/>
                <w:lang w:eastAsia="zh-CN"/>
              </w:rPr>
              <w:t xml:space="preserve">a </w:t>
            </w:r>
            <w:r w:rsidRPr="000A0A5F">
              <w:rPr>
                <w:lang w:eastAsia="zh-CN"/>
              </w:rPr>
              <w:t>ManagePort</w:t>
            </w:r>
            <w:r w:rsidRPr="000A0A5F">
              <w:rPr>
                <w:rFonts w:hint="eastAsia"/>
                <w:lang w:eastAsia="zh-CN"/>
              </w:rPr>
              <w:t xml:space="preserve"> </w:t>
            </w:r>
            <w:r w:rsidRPr="000A0A5F">
              <w:rPr>
                <w:lang w:eastAsia="zh-CN"/>
              </w:rPr>
              <w:t>notification of port numbers that are reserved</w:t>
            </w:r>
            <w:r w:rsidRPr="000A0A5F">
              <w:t>.</w:t>
            </w:r>
          </w:p>
        </w:tc>
        <w:tc>
          <w:tcPr>
            <w:tcW w:w="1412" w:type="dxa"/>
            <w:vAlign w:val="center"/>
          </w:tcPr>
          <w:p w:rsidR="00486293" w:rsidRPr="000A0A5F" w:rsidRDefault="00486293" w:rsidP="00D513D3">
            <w:pPr>
              <w:pStyle w:val="TAL"/>
              <w:rPr>
                <w:rFonts w:cs="Arial"/>
                <w:szCs w:val="18"/>
              </w:rPr>
            </w:pPr>
          </w:p>
        </w:tc>
      </w:tr>
      <w:tr w:rsidR="00486293" w:rsidRPr="000A0A5F" w:rsidTr="00FF0AF8">
        <w:trPr>
          <w:jc w:val="center"/>
        </w:trPr>
        <w:tc>
          <w:tcPr>
            <w:tcW w:w="2888" w:type="dxa"/>
            <w:vAlign w:val="center"/>
          </w:tcPr>
          <w:p w:rsidR="00486293" w:rsidRPr="000A0A5F" w:rsidRDefault="00486293" w:rsidP="00D513D3">
            <w:pPr>
              <w:pStyle w:val="TAL"/>
              <w:rPr>
                <w:lang w:eastAsia="zh-CN"/>
              </w:rPr>
            </w:pPr>
            <w:r w:rsidRPr="000A0A5F">
              <w:t>Nidd</w:t>
            </w:r>
            <w:r w:rsidRPr="000A0A5F">
              <w:rPr>
                <w:rFonts w:hint="eastAsia"/>
                <w:lang w:eastAsia="zh-CN"/>
              </w:rPr>
              <w:t>Configuration</w:t>
            </w:r>
          </w:p>
        </w:tc>
        <w:tc>
          <w:tcPr>
            <w:tcW w:w="964" w:type="dxa"/>
            <w:vAlign w:val="center"/>
          </w:tcPr>
          <w:p w:rsidR="00486293" w:rsidRPr="000A0A5F" w:rsidRDefault="00486293" w:rsidP="00D513D3">
            <w:pPr>
              <w:pStyle w:val="TAC"/>
            </w:pPr>
            <w:r w:rsidRPr="000A0A5F">
              <w:t>5.6.2.1.2</w:t>
            </w:r>
          </w:p>
        </w:tc>
        <w:tc>
          <w:tcPr>
            <w:tcW w:w="4365" w:type="dxa"/>
            <w:vAlign w:val="center"/>
          </w:tcPr>
          <w:p w:rsidR="00486293" w:rsidRPr="000A0A5F" w:rsidRDefault="00486293" w:rsidP="00D513D3">
            <w:pPr>
              <w:pStyle w:val="TAL"/>
            </w:pPr>
            <w:r w:rsidRPr="000A0A5F">
              <w:t>Represents the configuration for NIDD.</w:t>
            </w:r>
          </w:p>
        </w:tc>
        <w:tc>
          <w:tcPr>
            <w:tcW w:w="1412" w:type="dxa"/>
            <w:vAlign w:val="center"/>
          </w:tcPr>
          <w:p w:rsidR="00486293" w:rsidRPr="000A0A5F" w:rsidRDefault="00486293" w:rsidP="00D513D3">
            <w:pPr>
              <w:pStyle w:val="TAL"/>
              <w:rPr>
                <w:rFonts w:cs="Arial"/>
                <w:szCs w:val="18"/>
              </w:rPr>
            </w:pPr>
          </w:p>
        </w:tc>
      </w:tr>
      <w:tr w:rsidR="00486293" w:rsidRPr="000A0A5F" w:rsidTr="00FF0AF8">
        <w:trPr>
          <w:jc w:val="center"/>
        </w:trPr>
        <w:tc>
          <w:tcPr>
            <w:tcW w:w="2888" w:type="dxa"/>
            <w:vAlign w:val="center"/>
          </w:tcPr>
          <w:p w:rsidR="00486293" w:rsidRPr="000A0A5F" w:rsidRDefault="00486293" w:rsidP="00D513D3">
            <w:pPr>
              <w:pStyle w:val="TAL"/>
            </w:pPr>
            <w:r w:rsidRPr="000A0A5F">
              <w:rPr>
                <w:rFonts w:hint="eastAsia"/>
                <w:lang w:eastAsia="zh-CN"/>
              </w:rPr>
              <w:t>NiddConfiguration</w:t>
            </w:r>
            <w:r w:rsidRPr="000A0A5F">
              <w:rPr>
                <w:lang w:eastAsia="zh-CN"/>
              </w:rPr>
              <w:t>Patch</w:t>
            </w:r>
          </w:p>
        </w:tc>
        <w:tc>
          <w:tcPr>
            <w:tcW w:w="964" w:type="dxa"/>
            <w:vAlign w:val="center"/>
          </w:tcPr>
          <w:p w:rsidR="00486293" w:rsidRPr="000A0A5F" w:rsidRDefault="00486293" w:rsidP="00D513D3">
            <w:pPr>
              <w:pStyle w:val="TAC"/>
            </w:pPr>
            <w:r w:rsidRPr="000A0A5F">
              <w:t>5.6.2.1.7</w:t>
            </w:r>
          </w:p>
        </w:tc>
        <w:tc>
          <w:tcPr>
            <w:tcW w:w="4365" w:type="dxa"/>
            <w:vAlign w:val="center"/>
          </w:tcPr>
          <w:p w:rsidR="00486293" w:rsidRPr="000A0A5F" w:rsidRDefault="00486293" w:rsidP="00D513D3">
            <w:pPr>
              <w:pStyle w:val="TAL"/>
            </w:pPr>
            <w:r w:rsidRPr="000A0A5F">
              <w:t xml:space="preserve">Represents the parameters to </w:t>
            </w:r>
            <w:r w:rsidRPr="000A0A5F">
              <w:rPr>
                <w:rFonts w:hint="eastAsia"/>
                <w:lang w:eastAsia="zh-CN"/>
              </w:rPr>
              <w:t>update a NIDD configuration</w:t>
            </w:r>
            <w:r w:rsidRPr="000A0A5F">
              <w:t>.</w:t>
            </w:r>
          </w:p>
        </w:tc>
        <w:tc>
          <w:tcPr>
            <w:tcW w:w="1412" w:type="dxa"/>
            <w:vAlign w:val="center"/>
          </w:tcPr>
          <w:p w:rsidR="00486293" w:rsidRPr="000A0A5F" w:rsidRDefault="00486293" w:rsidP="00D513D3">
            <w:pPr>
              <w:pStyle w:val="TAL"/>
              <w:rPr>
                <w:rFonts w:cs="Arial"/>
                <w:szCs w:val="18"/>
              </w:rPr>
            </w:pPr>
          </w:p>
        </w:tc>
      </w:tr>
      <w:tr w:rsidR="00486293" w:rsidRPr="000A0A5F" w:rsidTr="00FF0AF8">
        <w:trPr>
          <w:jc w:val="center"/>
        </w:trPr>
        <w:tc>
          <w:tcPr>
            <w:tcW w:w="2888" w:type="dxa"/>
            <w:vAlign w:val="center"/>
          </w:tcPr>
          <w:p w:rsidR="00486293" w:rsidRPr="000A0A5F" w:rsidRDefault="00486293" w:rsidP="00D513D3">
            <w:pPr>
              <w:pStyle w:val="TAL"/>
            </w:pPr>
            <w:r w:rsidRPr="000A0A5F">
              <w:rPr>
                <w:rFonts w:hint="eastAsia"/>
                <w:lang w:eastAsia="zh-CN"/>
              </w:rPr>
              <w:t>NiddConfigurationStatusNotifi</w:t>
            </w:r>
            <w:r w:rsidRPr="000A0A5F">
              <w:rPr>
                <w:lang w:eastAsia="zh-CN"/>
              </w:rPr>
              <w:t>c</w:t>
            </w:r>
            <w:r w:rsidRPr="000A0A5F">
              <w:rPr>
                <w:rFonts w:hint="eastAsia"/>
                <w:lang w:eastAsia="zh-CN"/>
              </w:rPr>
              <w:t>ation</w:t>
            </w:r>
          </w:p>
        </w:tc>
        <w:tc>
          <w:tcPr>
            <w:tcW w:w="964" w:type="dxa"/>
            <w:vAlign w:val="center"/>
          </w:tcPr>
          <w:p w:rsidR="00486293" w:rsidRPr="000A0A5F" w:rsidRDefault="00486293" w:rsidP="00D513D3">
            <w:pPr>
              <w:pStyle w:val="TAC"/>
            </w:pPr>
            <w:r w:rsidRPr="000A0A5F">
              <w:t>5.6.2.1.6</w:t>
            </w:r>
          </w:p>
        </w:tc>
        <w:tc>
          <w:tcPr>
            <w:tcW w:w="4365" w:type="dxa"/>
            <w:vAlign w:val="center"/>
          </w:tcPr>
          <w:p w:rsidR="00486293" w:rsidRPr="000A0A5F" w:rsidRDefault="00486293" w:rsidP="00D513D3">
            <w:pPr>
              <w:pStyle w:val="TAL"/>
            </w:pPr>
            <w:r w:rsidRPr="000A0A5F">
              <w:t xml:space="preserve">Represents </w:t>
            </w:r>
            <w:r w:rsidRPr="000A0A5F">
              <w:rPr>
                <w:rFonts w:hint="eastAsia"/>
                <w:lang w:eastAsia="zh-CN"/>
              </w:rPr>
              <w:t xml:space="preserve">an NIDD configuration status </w:t>
            </w:r>
            <w:r w:rsidRPr="000A0A5F">
              <w:rPr>
                <w:lang w:eastAsia="zh-CN"/>
              </w:rPr>
              <w:t>notification</w:t>
            </w:r>
            <w:r w:rsidRPr="000A0A5F">
              <w:rPr>
                <w:rFonts w:eastAsia="Batang"/>
              </w:rPr>
              <w:t>.</w:t>
            </w:r>
          </w:p>
        </w:tc>
        <w:tc>
          <w:tcPr>
            <w:tcW w:w="1412" w:type="dxa"/>
            <w:vAlign w:val="center"/>
          </w:tcPr>
          <w:p w:rsidR="00486293" w:rsidRPr="000A0A5F" w:rsidRDefault="00486293" w:rsidP="00D513D3">
            <w:pPr>
              <w:pStyle w:val="TAL"/>
              <w:rPr>
                <w:rFonts w:cs="Arial"/>
                <w:szCs w:val="18"/>
              </w:rPr>
            </w:pPr>
          </w:p>
        </w:tc>
      </w:tr>
      <w:tr w:rsidR="00486293" w:rsidRPr="000A0A5F" w:rsidTr="00FF0AF8">
        <w:trPr>
          <w:jc w:val="center"/>
        </w:trPr>
        <w:tc>
          <w:tcPr>
            <w:tcW w:w="2888" w:type="dxa"/>
            <w:vAlign w:val="center"/>
          </w:tcPr>
          <w:p w:rsidR="00486293" w:rsidRPr="000A0A5F" w:rsidRDefault="00486293" w:rsidP="00D513D3">
            <w:pPr>
              <w:pStyle w:val="TAL"/>
            </w:pPr>
            <w:r w:rsidRPr="000A0A5F">
              <w:t>NiddDownlinkDataDeliveryFailure</w:t>
            </w:r>
          </w:p>
        </w:tc>
        <w:tc>
          <w:tcPr>
            <w:tcW w:w="964" w:type="dxa"/>
            <w:vAlign w:val="center"/>
          </w:tcPr>
          <w:p w:rsidR="00486293" w:rsidRPr="000A0A5F" w:rsidRDefault="00486293" w:rsidP="00D513D3">
            <w:pPr>
              <w:pStyle w:val="TAC"/>
            </w:pPr>
            <w:r w:rsidRPr="000A0A5F">
              <w:t>5.6.2.2.4</w:t>
            </w:r>
          </w:p>
        </w:tc>
        <w:tc>
          <w:tcPr>
            <w:tcW w:w="4365" w:type="dxa"/>
            <w:vAlign w:val="center"/>
          </w:tcPr>
          <w:p w:rsidR="00486293" w:rsidRPr="000A0A5F" w:rsidRDefault="00486293" w:rsidP="00D513D3">
            <w:pPr>
              <w:pStyle w:val="TAL"/>
            </w:pPr>
            <w:r w:rsidRPr="000A0A5F">
              <w:t>Represents information related to a failure delivery result</w:t>
            </w:r>
            <w:r w:rsidRPr="000A0A5F">
              <w:rPr>
                <w:rFonts w:eastAsia="Batang"/>
              </w:rPr>
              <w:t>.</w:t>
            </w:r>
          </w:p>
        </w:tc>
        <w:tc>
          <w:tcPr>
            <w:tcW w:w="1412" w:type="dxa"/>
            <w:vAlign w:val="center"/>
          </w:tcPr>
          <w:p w:rsidR="00486293" w:rsidRPr="000A0A5F" w:rsidRDefault="00486293" w:rsidP="00D513D3">
            <w:pPr>
              <w:pStyle w:val="TAL"/>
              <w:rPr>
                <w:rFonts w:cs="Arial"/>
                <w:szCs w:val="18"/>
              </w:rPr>
            </w:pPr>
          </w:p>
        </w:tc>
      </w:tr>
      <w:tr w:rsidR="00486293" w:rsidRPr="000A0A5F" w:rsidTr="00FF0AF8">
        <w:trPr>
          <w:jc w:val="center"/>
        </w:trPr>
        <w:tc>
          <w:tcPr>
            <w:tcW w:w="2888" w:type="dxa"/>
            <w:vAlign w:val="center"/>
          </w:tcPr>
          <w:p w:rsidR="00486293" w:rsidRPr="000A0A5F" w:rsidRDefault="00486293" w:rsidP="00D513D3">
            <w:pPr>
              <w:pStyle w:val="TAL"/>
            </w:pPr>
            <w:r w:rsidRPr="000A0A5F">
              <w:t>NiddDownlinkDataDeliveryStatusNotification</w:t>
            </w:r>
          </w:p>
        </w:tc>
        <w:tc>
          <w:tcPr>
            <w:tcW w:w="964" w:type="dxa"/>
            <w:vAlign w:val="center"/>
          </w:tcPr>
          <w:p w:rsidR="00486293" w:rsidRPr="000A0A5F" w:rsidRDefault="00486293" w:rsidP="00D513D3">
            <w:pPr>
              <w:pStyle w:val="TAC"/>
            </w:pPr>
            <w:r w:rsidRPr="000A0A5F">
              <w:t>5.6.2.1.5</w:t>
            </w:r>
          </w:p>
        </w:tc>
        <w:tc>
          <w:tcPr>
            <w:tcW w:w="4365" w:type="dxa"/>
            <w:vAlign w:val="center"/>
          </w:tcPr>
          <w:p w:rsidR="00486293" w:rsidRPr="000A0A5F" w:rsidRDefault="00486293" w:rsidP="00D513D3">
            <w:pPr>
              <w:pStyle w:val="TAL"/>
            </w:pPr>
            <w:r w:rsidRPr="000A0A5F">
              <w:t>Represents the delivery status of a specific NIDD downlink data delivery.</w:t>
            </w:r>
          </w:p>
        </w:tc>
        <w:tc>
          <w:tcPr>
            <w:tcW w:w="1412" w:type="dxa"/>
            <w:vAlign w:val="center"/>
          </w:tcPr>
          <w:p w:rsidR="00486293" w:rsidRPr="000A0A5F" w:rsidRDefault="00486293" w:rsidP="00D513D3">
            <w:pPr>
              <w:pStyle w:val="TAL"/>
              <w:rPr>
                <w:rFonts w:cs="Arial"/>
                <w:szCs w:val="18"/>
              </w:rPr>
            </w:pPr>
          </w:p>
        </w:tc>
      </w:tr>
      <w:tr w:rsidR="00486293" w:rsidRPr="000A0A5F" w:rsidTr="00FF0AF8">
        <w:trPr>
          <w:jc w:val="center"/>
        </w:trPr>
        <w:tc>
          <w:tcPr>
            <w:tcW w:w="2888" w:type="dxa"/>
            <w:vAlign w:val="center"/>
          </w:tcPr>
          <w:p w:rsidR="00486293" w:rsidRPr="000A0A5F" w:rsidRDefault="00486293" w:rsidP="00D513D3">
            <w:pPr>
              <w:pStyle w:val="TAL"/>
            </w:pPr>
            <w:r w:rsidRPr="000A0A5F">
              <w:t>NiddDownlinkDataTransfer</w:t>
            </w:r>
          </w:p>
        </w:tc>
        <w:tc>
          <w:tcPr>
            <w:tcW w:w="964" w:type="dxa"/>
            <w:vAlign w:val="center"/>
          </w:tcPr>
          <w:p w:rsidR="00486293" w:rsidRPr="000A0A5F" w:rsidRDefault="00486293" w:rsidP="00D513D3">
            <w:pPr>
              <w:pStyle w:val="TAC"/>
            </w:pPr>
            <w:r w:rsidRPr="000A0A5F">
              <w:t>5.6.2.1.3</w:t>
            </w:r>
          </w:p>
        </w:tc>
        <w:tc>
          <w:tcPr>
            <w:tcW w:w="4365" w:type="dxa"/>
            <w:vAlign w:val="center"/>
          </w:tcPr>
          <w:p w:rsidR="00486293" w:rsidRPr="000A0A5F" w:rsidRDefault="00486293" w:rsidP="00D513D3">
            <w:pPr>
              <w:pStyle w:val="TAL"/>
            </w:pPr>
            <w:r w:rsidRPr="000A0A5F">
              <w:t>Represents the received NIDD downlink data from the SCS/AS.</w:t>
            </w:r>
          </w:p>
        </w:tc>
        <w:tc>
          <w:tcPr>
            <w:tcW w:w="1412" w:type="dxa"/>
            <w:vAlign w:val="center"/>
          </w:tcPr>
          <w:p w:rsidR="00486293" w:rsidRPr="000A0A5F" w:rsidRDefault="00486293" w:rsidP="00D513D3">
            <w:pPr>
              <w:pStyle w:val="TAL"/>
              <w:rPr>
                <w:rFonts w:cs="Arial"/>
                <w:szCs w:val="18"/>
              </w:rPr>
            </w:pPr>
          </w:p>
        </w:tc>
      </w:tr>
      <w:tr w:rsidR="00125191" w:rsidRPr="000A0A5F" w:rsidTr="00FF0AF8">
        <w:trPr>
          <w:jc w:val="center"/>
        </w:trPr>
        <w:tc>
          <w:tcPr>
            <w:tcW w:w="2888" w:type="dxa"/>
            <w:vAlign w:val="center"/>
          </w:tcPr>
          <w:p w:rsidR="00125191" w:rsidRPr="000A0A5F" w:rsidRDefault="00125191" w:rsidP="00125191">
            <w:pPr>
              <w:pStyle w:val="TAL"/>
            </w:pPr>
            <w:r w:rsidRPr="000A0A5F">
              <w:t>NiddDownlinkDataTransferPatch</w:t>
            </w:r>
          </w:p>
        </w:tc>
        <w:tc>
          <w:tcPr>
            <w:tcW w:w="964" w:type="dxa"/>
            <w:vAlign w:val="center"/>
          </w:tcPr>
          <w:p w:rsidR="00125191" w:rsidRPr="000A0A5F" w:rsidRDefault="00125191" w:rsidP="00125191">
            <w:pPr>
              <w:pStyle w:val="TAC"/>
            </w:pPr>
            <w:r w:rsidRPr="000A0A5F">
              <w:t>5.6.2.1.11</w:t>
            </w:r>
          </w:p>
        </w:tc>
        <w:tc>
          <w:tcPr>
            <w:tcW w:w="4365" w:type="dxa"/>
            <w:vAlign w:val="center"/>
          </w:tcPr>
          <w:p w:rsidR="00125191" w:rsidRPr="000A0A5F" w:rsidRDefault="00125191" w:rsidP="00125191">
            <w:pPr>
              <w:pStyle w:val="TAL"/>
            </w:pPr>
            <w:r w:rsidRPr="000A0A5F">
              <w:t>Represents the parameters to request the modification of an Individual NIDD Downlink Data Delivery resource.</w:t>
            </w:r>
          </w:p>
        </w:tc>
        <w:tc>
          <w:tcPr>
            <w:tcW w:w="1412" w:type="dxa"/>
            <w:vAlign w:val="center"/>
          </w:tcPr>
          <w:p w:rsidR="00125191" w:rsidRPr="000A0A5F" w:rsidRDefault="00125191" w:rsidP="00125191">
            <w:pPr>
              <w:pStyle w:val="TAL"/>
              <w:rPr>
                <w:rFonts w:cs="Arial"/>
                <w:szCs w:val="18"/>
              </w:rPr>
            </w:pPr>
            <w:r w:rsidRPr="000A0A5F">
              <w:rPr>
                <w:rFonts w:cs="Arial"/>
                <w:szCs w:val="18"/>
              </w:rPr>
              <w:t>PatchUpdate</w:t>
            </w:r>
          </w:p>
        </w:tc>
      </w:tr>
      <w:tr w:rsidR="00486293" w:rsidRPr="000A0A5F" w:rsidTr="00FF0AF8">
        <w:trPr>
          <w:jc w:val="center"/>
        </w:trPr>
        <w:tc>
          <w:tcPr>
            <w:tcW w:w="2888" w:type="dxa"/>
            <w:vAlign w:val="center"/>
          </w:tcPr>
          <w:p w:rsidR="00486293" w:rsidRPr="000A0A5F" w:rsidRDefault="00486293" w:rsidP="00D513D3">
            <w:pPr>
              <w:pStyle w:val="TAL"/>
            </w:pPr>
            <w:r w:rsidRPr="000A0A5F">
              <w:rPr>
                <w:rFonts w:eastAsia="Times New Roman"/>
              </w:rPr>
              <w:t>NiddStatus</w:t>
            </w:r>
          </w:p>
        </w:tc>
        <w:tc>
          <w:tcPr>
            <w:tcW w:w="964" w:type="dxa"/>
            <w:vAlign w:val="center"/>
          </w:tcPr>
          <w:p w:rsidR="00486293" w:rsidRPr="000A0A5F" w:rsidRDefault="00486293" w:rsidP="00D513D3">
            <w:pPr>
              <w:pStyle w:val="TAC"/>
            </w:pPr>
            <w:r w:rsidRPr="000A0A5F">
              <w:t>5.6.2.3.5</w:t>
            </w:r>
          </w:p>
        </w:tc>
        <w:tc>
          <w:tcPr>
            <w:tcW w:w="4365" w:type="dxa"/>
            <w:vAlign w:val="center"/>
          </w:tcPr>
          <w:p w:rsidR="00486293" w:rsidRPr="000A0A5F" w:rsidRDefault="00486293" w:rsidP="00D513D3">
            <w:pPr>
              <w:pStyle w:val="TAL"/>
            </w:pPr>
            <w:r w:rsidRPr="000A0A5F">
              <w:t>Represents the status of a NIDD</w:t>
            </w:r>
            <w:r w:rsidRPr="000A0A5F">
              <w:rPr>
                <w:rFonts w:hint="eastAsia"/>
                <w:lang w:eastAsia="zh-CN"/>
              </w:rPr>
              <w:t xml:space="preserve"> configuration</w:t>
            </w:r>
            <w:r w:rsidRPr="000A0A5F">
              <w:t>.</w:t>
            </w:r>
          </w:p>
        </w:tc>
        <w:tc>
          <w:tcPr>
            <w:tcW w:w="1412" w:type="dxa"/>
            <w:vAlign w:val="center"/>
          </w:tcPr>
          <w:p w:rsidR="00486293" w:rsidRPr="000A0A5F" w:rsidRDefault="00486293" w:rsidP="00D513D3">
            <w:pPr>
              <w:pStyle w:val="TAL"/>
              <w:rPr>
                <w:rFonts w:cs="Arial"/>
                <w:szCs w:val="18"/>
              </w:rPr>
            </w:pPr>
          </w:p>
        </w:tc>
      </w:tr>
      <w:tr w:rsidR="00486293" w:rsidRPr="000A0A5F" w:rsidTr="00FF0AF8">
        <w:trPr>
          <w:jc w:val="center"/>
        </w:trPr>
        <w:tc>
          <w:tcPr>
            <w:tcW w:w="2888" w:type="dxa"/>
            <w:vAlign w:val="center"/>
          </w:tcPr>
          <w:p w:rsidR="00486293" w:rsidRPr="000A0A5F" w:rsidRDefault="00486293" w:rsidP="00D513D3">
            <w:pPr>
              <w:pStyle w:val="TAL"/>
              <w:rPr>
                <w:rFonts w:eastAsia="Times New Roman"/>
              </w:rPr>
            </w:pPr>
            <w:r w:rsidRPr="000A0A5F">
              <w:t>Nidd</w:t>
            </w:r>
            <w:r w:rsidRPr="000A0A5F">
              <w:rPr>
                <w:rFonts w:hint="eastAsia"/>
                <w:lang w:eastAsia="zh-CN"/>
              </w:rPr>
              <w:t>Uplink</w:t>
            </w:r>
            <w:r w:rsidRPr="000A0A5F">
              <w:t>DataNotification</w:t>
            </w:r>
          </w:p>
        </w:tc>
        <w:tc>
          <w:tcPr>
            <w:tcW w:w="964" w:type="dxa"/>
            <w:vAlign w:val="center"/>
          </w:tcPr>
          <w:p w:rsidR="00486293" w:rsidRPr="000A0A5F" w:rsidRDefault="00486293" w:rsidP="00D513D3">
            <w:pPr>
              <w:pStyle w:val="TAC"/>
            </w:pPr>
            <w:r w:rsidRPr="000A0A5F">
              <w:t>5.6.2.1.4</w:t>
            </w:r>
          </w:p>
        </w:tc>
        <w:tc>
          <w:tcPr>
            <w:tcW w:w="4365" w:type="dxa"/>
            <w:vAlign w:val="center"/>
          </w:tcPr>
          <w:p w:rsidR="00486293" w:rsidRPr="000A0A5F" w:rsidRDefault="00486293" w:rsidP="00D513D3">
            <w:pPr>
              <w:pStyle w:val="TAL"/>
            </w:pPr>
            <w:r w:rsidRPr="000A0A5F">
              <w:t>Represents NIDD uplink data to be notified to the SCS/AS.</w:t>
            </w:r>
          </w:p>
        </w:tc>
        <w:tc>
          <w:tcPr>
            <w:tcW w:w="1412" w:type="dxa"/>
            <w:vAlign w:val="center"/>
          </w:tcPr>
          <w:p w:rsidR="00486293" w:rsidRPr="000A0A5F" w:rsidRDefault="00486293" w:rsidP="00D513D3">
            <w:pPr>
              <w:pStyle w:val="TAL"/>
              <w:rPr>
                <w:rFonts w:cs="Arial"/>
                <w:szCs w:val="18"/>
              </w:rPr>
            </w:pPr>
          </w:p>
        </w:tc>
      </w:tr>
      <w:tr w:rsidR="00486293" w:rsidRPr="000A0A5F" w:rsidTr="00FF0AF8">
        <w:trPr>
          <w:jc w:val="center"/>
        </w:trPr>
        <w:tc>
          <w:tcPr>
            <w:tcW w:w="2888" w:type="dxa"/>
            <w:shd w:val="clear" w:color="auto" w:fill="auto"/>
            <w:vAlign w:val="center"/>
          </w:tcPr>
          <w:p w:rsidR="00486293" w:rsidRPr="000A0A5F" w:rsidRDefault="00486293" w:rsidP="00D513D3">
            <w:pPr>
              <w:pStyle w:val="TAL"/>
              <w:rPr>
                <w:rFonts w:eastAsia="Times New Roman"/>
              </w:rPr>
            </w:pPr>
            <w:r w:rsidRPr="000A0A5F">
              <w:rPr>
                <w:rFonts w:eastAsia="Times New Roman"/>
              </w:rPr>
              <w:t>PdnEstablishmentOptions</w:t>
            </w:r>
          </w:p>
        </w:tc>
        <w:tc>
          <w:tcPr>
            <w:tcW w:w="964" w:type="dxa"/>
            <w:vAlign w:val="center"/>
          </w:tcPr>
          <w:p w:rsidR="00486293" w:rsidRPr="000A0A5F" w:rsidRDefault="00486293" w:rsidP="00D513D3">
            <w:pPr>
              <w:pStyle w:val="TAC"/>
            </w:pPr>
            <w:r w:rsidRPr="000A0A5F">
              <w:t>5.6.2.3.3</w:t>
            </w:r>
          </w:p>
        </w:tc>
        <w:tc>
          <w:tcPr>
            <w:tcW w:w="4365" w:type="dxa"/>
            <w:vAlign w:val="center"/>
          </w:tcPr>
          <w:p w:rsidR="00486293" w:rsidRPr="000A0A5F" w:rsidRDefault="00486293" w:rsidP="00D513D3">
            <w:pPr>
              <w:pStyle w:val="TAL"/>
            </w:pPr>
            <w:r w:rsidRPr="000A0A5F">
              <w:t>Represents PDN establishment options that describe the network behaviour when there is no PDN connection towards the addressed UE</w:t>
            </w:r>
            <w:r w:rsidRPr="000A0A5F">
              <w:rPr>
                <w:rFonts w:eastAsia="Batang"/>
              </w:rPr>
              <w:t>.</w:t>
            </w:r>
          </w:p>
        </w:tc>
        <w:tc>
          <w:tcPr>
            <w:tcW w:w="1412" w:type="dxa"/>
            <w:vAlign w:val="center"/>
          </w:tcPr>
          <w:p w:rsidR="00486293" w:rsidRPr="000A0A5F" w:rsidRDefault="00486293" w:rsidP="00D513D3">
            <w:pPr>
              <w:pStyle w:val="TAL"/>
              <w:rPr>
                <w:rFonts w:cs="Arial"/>
                <w:szCs w:val="18"/>
              </w:rPr>
            </w:pPr>
          </w:p>
        </w:tc>
      </w:tr>
      <w:tr w:rsidR="00486293" w:rsidRPr="000A0A5F" w:rsidTr="00FF0AF8">
        <w:trPr>
          <w:jc w:val="center"/>
        </w:trPr>
        <w:tc>
          <w:tcPr>
            <w:tcW w:w="2888" w:type="dxa"/>
            <w:vAlign w:val="center"/>
          </w:tcPr>
          <w:p w:rsidR="00486293" w:rsidRPr="000A0A5F" w:rsidRDefault="00486293" w:rsidP="00D513D3">
            <w:pPr>
              <w:pStyle w:val="TAL"/>
              <w:rPr>
                <w:rFonts w:eastAsia="Times New Roman"/>
              </w:rPr>
            </w:pPr>
            <w:r w:rsidRPr="000A0A5F">
              <w:rPr>
                <w:rFonts w:eastAsia="Times New Roman"/>
              </w:rPr>
              <w:t>PdnEstablishmentOptionsRm</w:t>
            </w:r>
          </w:p>
        </w:tc>
        <w:tc>
          <w:tcPr>
            <w:tcW w:w="964" w:type="dxa"/>
            <w:vAlign w:val="center"/>
          </w:tcPr>
          <w:p w:rsidR="00486293" w:rsidRPr="000A0A5F" w:rsidRDefault="00486293" w:rsidP="00D513D3">
            <w:pPr>
              <w:pStyle w:val="TAC"/>
            </w:pPr>
            <w:r w:rsidRPr="000A0A5F">
              <w:t>5.6.2.3.6</w:t>
            </w:r>
          </w:p>
        </w:tc>
        <w:tc>
          <w:tcPr>
            <w:tcW w:w="4365" w:type="dxa"/>
            <w:vAlign w:val="center"/>
          </w:tcPr>
          <w:p w:rsidR="00486293" w:rsidRPr="000A0A5F" w:rsidRDefault="00486293" w:rsidP="00D513D3">
            <w:pPr>
              <w:pStyle w:val="TAL"/>
            </w:pPr>
            <w:r w:rsidRPr="000A0A5F">
              <w:t>Represents the same information as the PdnEstablishmentOptions but with the "nullable: true" property.</w:t>
            </w:r>
          </w:p>
        </w:tc>
        <w:tc>
          <w:tcPr>
            <w:tcW w:w="1412" w:type="dxa"/>
            <w:vAlign w:val="center"/>
          </w:tcPr>
          <w:p w:rsidR="00486293" w:rsidRPr="000A0A5F" w:rsidRDefault="00486293" w:rsidP="00D513D3">
            <w:pPr>
              <w:pStyle w:val="TAL"/>
              <w:rPr>
                <w:rFonts w:cs="Arial"/>
                <w:szCs w:val="18"/>
              </w:rPr>
            </w:pPr>
          </w:p>
        </w:tc>
      </w:tr>
      <w:tr w:rsidR="00486293" w:rsidRPr="000A0A5F" w:rsidTr="00FF0AF8">
        <w:trPr>
          <w:jc w:val="center"/>
        </w:trPr>
        <w:tc>
          <w:tcPr>
            <w:tcW w:w="2888" w:type="dxa"/>
            <w:vAlign w:val="center"/>
          </w:tcPr>
          <w:p w:rsidR="00486293" w:rsidRPr="000A0A5F" w:rsidRDefault="00486293" w:rsidP="00D513D3">
            <w:pPr>
              <w:pStyle w:val="TAL"/>
            </w:pPr>
            <w:r w:rsidRPr="000A0A5F">
              <w:t>RdsDownlinkDataDeliveryFailure</w:t>
            </w:r>
          </w:p>
        </w:tc>
        <w:tc>
          <w:tcPr>
            <w:tcW w:w="964" w:type="dxa"/>
            <w:vAlign w:val="center"/>
          </w:tcPr>
          <w:p w:rsidR="00486293" w:rsidRPr="000A0A5F" w:rsidRDefault="00486293" w:rsidP="00D513D3">
            <w:pPr>
              <w:pStyle w:val="TAC"/>
            </w:pPr>
            <w:r w:rsidRPr="000A0A5F">
              <w:t>5.6.2.2.5</w:t>
            </w:r>
          </w:p>
        </w:tc>
        <w:tc>
          <w:tcPr>
            <w:tcW w:w="4365" w:type="dxa"/>
            <w:vAlign w:val="center"/>
          </w:tcPr>
          <w:p w:rsidR="00486293" w:rsidRPr="000A0A5F" w:rsidRDefault="00486293" w:rsidP="00D513D3">
            <w:pPr>
              <w:pStyle w:val="TAL"/>
            </w:pPr>
            <w:r w:rsidRPr="000A0A5F">
              <w:t>Represents the failure delivery result for RDS</w:t>
            </w:r>
            <w:r w:rsidRPr="000A0A5F">
              <w:rPr>
                <w:rFonts w:eastAsia="Batang"/>
              </w:rPr>
              <w:t>.</w:t>
            </w:r>
          </w:p>
        </w:tc>
        <w:tc>
          <w:tcPr>
            <w:tcW w:w="1412" w:type="dxa"/>
            <w:vAlign w:val="center"/>
          </w:tcPr>
          <w:p w:rsidR="00486293" w:rsidRPr="000A0A5F" w:rsidRDefault="00486293" w:rsidP="00D513D3">
            <w:pPr>
              <w:pStyle w:val="TAL"/>
              <w:rPr>
                <w:rFonts w:cs="Arial"/>
                <w:szCs w:val="18"/>
              </w:rPr>
            </w:pPr>
          </w:p>
        </w:tc>
      </w:tr>
      <w:tr w:rsidR="00486293" w:rsidRPr="000A0A5F" w:rsidTr="00FF0AF8">
        <w:trPr>
          <w:jc w:val="center"/>
        </w:trPr>
        <w:tc>
          <w:tcPr>
            <w:tcW w:w="2888" w:type="dxa"/>
            <w:vAlign w:val="center"/>
          </w:tcPr>
          <w:p w:rsidR="00486293" w:rsidRPr="000A0A5F" w:rsidRDefault="00486293" w:rsidP="00D513D3">
            <w:pPr>
              <w:pStyle w:val="TAL"/>
            </w:pPr>
            <w:r w:rsidRPr="000A0A5F">
              <w:t>RdsPort</w:t>
            </w:r>
          </w:p>
        </w:tc>
        <w:tc>
          <w:tcPr>
            <w:tcW w:w="964" w:type="dxa"/>
            <w:vAlign w:val="center"/>
          </w:tcPr>
          <w:p w:rsidR="00486293" w:rsidRPr="000A0A5F" w:rsidRDefault="00486293" w:rsidP="00D513D3">
            <w:pPr>
              <w:pStyle w:val="TAC"/>
            </w:pPr>
            <w:r w:rsidRPr="000A0A5F">
              <w:t>5.6.2.2.2</w:t>
            </w:r>
          </w:p>
        </w:tc>
        <w:tc>
          <w:tcPr>
            <w:tcW w:w="4365" w:type="dxa"/>
            <w:vAlign w:val="center"/>
          </w:tcPr>
          <w:p w:rsidR="00486293" w:rsidRPr="000A0A5F" w:rsidRDefault="00486293" w:rsidP="00D513D3">
            <w:pPr>
              <w:pStyle w:val="TAL"/>
            </w:pPr>
            <w:r w:rsidRPr="000A0A5F">
              <w:t>Represents the port configuration for Reliable Data Transfer</w:t>
            </w:r>
            <w:r w:rsidRPr="000A0A5F">
              <w:rPr>
                <w:rFonts w:eastAsia="Batang"/>
              </w:rPr>
              <w:t>.</w:t>
            </w:r>
          </w:p>
        </w:tc>
        <w:tc>
          <w:tcPr>
            <w:tcW w:w="1412" w:type="dxa"/>
            <w:vAlign w:val="center"/>
          </w:tcPr>
          <w:p w:rsidR="00486293" w:rsidRPr="000A0A5F" w:rsidRDefault="00486293" w:rsidP="00D513D3">
            <w:pPr>
              <w:pStyle w:val="TAL"/>
              <w:rPr>
                <w:rFonts w:cs="Arial"/>
                <w:szCs w:val="18"/>
              </w:rPr>
            </w:pPr>
          </w:p>
        </w:tc>
      </w:tr>
      <w:tr w:rsidR="00486293" w:rsidRPr="000A0A5F" w:rsidTr="00FF0AF8">
        <w:trPr>
          <w:jc w:val="center"/>
        </w:trPr>
        <w:tc>
          <w:tcPr>
            <w:tcW w:w="2888" w:type="dxa"/>
            <w:vAlign w:val="center"/>
          </w:tcPr>
          <w:p w:rsidR="00486293" w:rsidRPr="000A0A5F" w:rsidRDefault="00486293" w:rsidP="00D513D3">
            <w:pPr>
              <w:pStyle w:val="TAL"/>
            </w:pPr>
            <w:r w:rsidRPr="000A0A5F">
              <w:t>SerializationFormat</w:t>
            </w:r>
          </w:p>
        </w:tc>
        <w:tc>
          <w:tcPr>
            <w:tcW w:w="964" w:type="dxa"/>
            <w:vAlign w:val="center"/>
          </w:tcPr>
          <w:p w:rsidR="00486293" w:rsidRPr="000A0A5F" w:rsidRDefault="00486293" w:rsidP="00D513D3">
            <w:pPr>
              <w:pStyle w:val="TAC"/>
            </w:pPr>
            <w:r w:rsidRPr="000A0A5F">
              <w:t>5.6.2.3.8</w:t>
            </w:r>
          </w:p>
        </w:tc>
        <w:tc>
          <w:tcPr>
            <w:tcW w:w="4365" w:type="dxa"/>
            <w:vAlign w:val="center"/>
          </w:tcPr>
          <w:p w:rsidR="00486293" w:rsidRPr="000A0A5F" w:rsidRDefault="00486293" w:rsidP="00D513D3">
            <w:pPr>
              <w:pStyle w:val="TAL"/>
            </w:pPr>
            <w:r w:rsidRPr="000A0A5F">
              <w:t>Represents a serialization format associated with an RDS port.</w:t>
            </w:r>
          </w:p>
        </w:tc>
        <w:tc>
          <w:tcPr>
            <w:tcW w:w="1412" w:type="dxa"/>
            <w:vAlign w:val="center"/>
          </w:tcPr>
          <w:p w:rsidR="00486293" w:rsidRPr="000A0A5F" w:rsidRDefault="00486293" w:rsidP="00D513D3">
            <w:pPr>
              <w:pStyle w:val="TAL"/>
              <w:rPr>
                <w:rFonts w:cs="Arial"/>
                <w:szCs w:val="18"/>
              </w:rPr>
            </w:pPr>
            <w:r w:rsidRPr="000A0A5F">
              <w:t>Rds_serialization_format</w:t>
            </w:r>
          </w:p>
        </w:tc>
      </w:tr>
    </w:tbl>
    <w:p w:rsidR="00486293" w:rsidRPr="000A0A5F" w:rsidRDefault="00486293" w:rsidP="00486293"/>
    <w:p w:rsidR="00CB0DD7" w:rsidRPr="000A0A5F" w:rsidRDefault="00CB0DD7">
      <w:pPr>
        <w:pStyle w:val="Heading5"/>
        <w:rPr>
          <w:rFonts w:hint="eastAsia"/>
          <w:lang w:eastAsia="zh-CN"/>
        </w:rPr>
      </w:pPr>
      <w:bookmarkStart w:id="3549" w:name="_Toc105674506"/>
      <w:bookmarkStart w:id="3550" w:name="_Toc130502554"/>
      <w:bookmarkStart w:id="3551" w:name="_Toc153625341"/>
      <w:r w:rsidRPr="000A0A5F">
        <w:t>5.6.2.1.2</w:t>
      </w:r>
      <w:r w:rsidRPr="000A0A5F">
        <w:tab/>
        <w:t>Type: Nidd</w:t>
      </w:r>
      <w:r w:rsidRPr="000A0A5F">
        <w:rPr>
          <w:rFonts w:hint="eastAsia"/>
          <w:lang w:eastAsia="zh-CN"/>
        </w:rPr>
        <w:t>Configuration</w:t>
      </w:r>
      <w:bookmarkEnd w:id="3540"/>
      <w:bookmarkEnd w:id="3541"/>
      <w:bookmarkEnd w:id="3542"/>
      <w:bookmarkEnd w:id="3543"/>
      <w:bookmarkEnd w:id="3544"/>
      <w:bookmarkEnd w:id="3545"/>
      <w:bookmarkEnd w:id="3546"/>
      <w:bookmarkEnd w:id="3547"/>
      <w:bookmarkEnd w:id="3548"/>
      <w:bookmarkEnd w:id="3549"/>
      <w:bookmarkEnd w:id="3550"/>
      <w:bookmarkEnd w:id="3551"/>
    </w:p>
    <w:p w:rsidR="00CB0DD7" w:rsidRPr="000A0A5F" w:rsidRDefault="00CB0DD7">
      <w:r w:rsidRPr="000A0A5F">
        <w:t>This type represents the configuration for NIDD. The same structure is used in the configuration request and configuration response.</w:t>
      </w:r>
    </w:p>
    <w:p w:rsidR="00CB0DD7" w:rsidRPr="000A0A5F" w:rsidRDefault="00CB0DD7">
      <w:pPr>
        <w:pStyle w:val="TH"/>
        <w:rPr>
          <w:rFonts w:hint="eastAsia"/>
          <w:lang w:eastAsia="zh-CN"/>
        </w:rPr>
      </w:pPr>
      <w:r w:rsidRPr="000A0A5F">
        <w:rPr>
          <w:noProof/>
        </w:rPr>
        <w:t>Table </w:t>
      </w:r>
      <w:r w:rsidRPr="000A0A5F">
        <w:t xml:space="preserve">5.6.2.1.2-1: </w:t>
      </w:r>
      <w:r w:rsidRPr="000A0A5F">
        <w:rPr>
          <w:noProof/>
        </w:rPr>
        <w:t xml:space="preserve">Definition of type </w:t>
      </w:r>
      <w:r w:rsidRPr="000A0A5F">
        <w:t>Nidd</w:t>
      </w:r>
      <w:r w:rsidRPr="000A0A5F">
        <w:rPr>
          <w:rFonts w:hint="eastAsia"/>
          <w:lang w:eastAsia="zh-CN"/>
        </w:rPr>
        <w:t>Configuration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948"/>
        <w:gridCol w:w="1719"/>
        <w:gridCol w:w="1134"/>
        <w:gridCol w:w="3544"/>
        <w:gridCol w:w="1257"/>
      </w:tblGrid>
      <w:tr w:rsidR="00CB0DD7" w:rsidRPr="000A0A5F" w:rsidTr="00FF0AF8">
        <w:trPr>
          <w:jc w:val="center"/>
        </w:trPr>
        <w:tc>
          <w:tcPr>
            <w:tcW w:w="1948" w:type="dxa"/>
            <w:shd w:val="clear" w:color="auto" w:fill="C0C0C0"/>
          </w:tcPr>
          <w:p w:rsidR="00CB0DD7" w:rsidRPr="000A0A5F" w:rsidRDefault="00CB0DD7">
            <w:pPr>
              <w:pStyle w:val="TAH"/>
              <w:rPr>
                <w:rFonts w:eastAsia="Times New Roman"/>
              </w:rPr>
            </w:pPr>
            <w:r w:rsidRPr="000A0A5F">
              <w:rPr>
                <w:rFonts w:eastAsia="Times New Roman"/>
              </w:rPr>
              <w:t>Attribute name</w:t>
            </w:r>
          </w:p>
        </w:tc>
        <w:tc>
          <w:tcPr>
            <w:tcW w:w="1719" w:type="dxa"/>
            <w:shd w:val="clear" w:color="auto" w:fill="C0C0C0"/>
          </w:tcPr>
          <w:p w:rsidR="00CB0DD7" w:rsidRPr="000A0A5F" w:rsidRDefault="00CB0DD7">
            <w:pPr>
              <w:pStyle w:val="TAH"/>
              <w:rPr>
                <w:rFonts w:eastAsia="Times New Roman"/>
              </w:rPr>
            </w:pPr>
            <w:r w:rsidRPr="000A0A5F">
              <w:rPr>
                <w:rFonts w:eastAsia="Times New Roman"/>
              </w:rPr>
              <w:t>Data type</w:t>
            </w:r>
          </w:p>
        </w:tc>
        <w:tc>
          <w:tcPr>
            <w:tcW w:w="1134" w:type="dxa"/>
            <w:shd w:val="clear" w:color="auto" w:fill="C0C0C0"/>
          </w:tcPr>
          <w:p w:rsidR="00CB0DD7" w:rsidRPr="000A0A5F" w:rsidRDefault="00CB0DD7">
            <w:pPr>
              <w:pStyle w:val="TAH"/>
              <w:jc w:val="left"/>
              <w:rPr>
                <w:rFonts w:eastAsia="Times New Roman"/>
              </w:rPr>
            </w:pPr>
            <w:r w:rsidRPr="000A0A5F">
              <w:rPr>
                <w:rFonts w:eastAsia="Times New Roman"/>
              </w:rPr>
              <w:t>Cardinality</w:t>
            </w:r>
          </w:p>
        </w:tc>
        <w:tc>
          <w:tcPr>
            <w:tcW w:w="3544"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Description</w:t>
            </w:r>
          </w:p>
        </w:tc>
        <w:tc>
          <w:tcPr>
            <w:tcW w:w="1257"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Applicability (NOTE 1)</w:t>
            </w:r>
          </w:p>
        </w:tc>
      </w:tr>
      <w:tr w:rsidR="00CB0DD7" w:rsidRPr="000A0A5F" w:rsidTr="00FF0AF8">
        <w:trPr>
          <w:jc w:val="center"/>
        </w:trPr>
        <w:tc>
          <w:tcPr>
            <w:tcW w:w="1948" w:type="dxa"/>
            <w:shd w:val="clear" w:color="auto" w:fill="auto"/>
          </w:tcPr>
          <w:p w:rsidR="00CB0DD7" w:rsidRPr="000A0A5F" w:rsidRDefault="00CB0DD7">
            <w:pPr>
              <w:pStyle w:val="TAL"/>
              <w:rPr>
                <w:rFonts w:eastAsia="Times New Roman"/>
              </w:rPr>
            </w:pPr>
            <w:r w:rsidRPr="000A0A5F">
              <w:rPr>
                <w:rFonts w:eastAsia="Times New Roman"/>
              </w:rPr>
              <w:t>self</w:t>
            </w:r>
          </w:p>
        </w:tc>
        <w:tc>
          <w:tcPr>
            <w:tcW w:w="1719" w:type="dxa"/>
            <w:shd w:val="clear" w:color="auto" w:fill="auto"/>
          </w:tcPr>
          <w:p w:rsidR="00CB0DD7" w:rsidRPr="000A0A5F" w:rsidRDefault="00CB0DD7">
            <w:pPr>
              <w:pStyle w:val="TAL"/>
              <w:rPr>
                <w:rFonts w:eastAsia="Times New Roman"/>
              </w:rPr>
            </w:pPr>
            <w:r w:rsidRPr="000A0A5F">
              <w:rPr>
                <w:rFonts w:eastAsia="Times New Roman"/>
              </w:rPr>
              <w:t>Link</w:t>
            </w:r>
          </w:p>
        </w:tc>
        <w:tc>
          <w:tcPr>
            <w:tcW w:w="1134" w:type="dxa"/>
            <w:shd w:val="clear" w:color="auto" w:fill="auto"/>
          </w:tcPr>
          <w:p w:rsidR="00CB0DD7" w:rsidRPr="000A0A5F" w:rsidRDefault="00CB0DD7">
            <w:pPr>
              <w:pStyle w:val="TAL"/>
              <w:rPr>
                <w:rFonts w:eastAsia="Times New Roman"/>
              </w:rPr>
            </w:pPr>
            <w:r w:rsidRPr="000A0A5F">
              <w:rPr>
                <w:rFonts w:eastAsia="Times New Roman"/>
              </w:rPr>
              <w:t>0..1</w:t>
            </w:r>
          </w:p>
        </w:tc>
        <w:tc>
          <w:tcPr>
            <w:tcW w:w="3544" w:type="dxa"/>
            <w:shd w:val="clear" w:color="auto" w:fill="auto"/>
          </w:tcPr>
          <w:p w:rsidR="00CB0DD7" w:rsidRPr="000A0A5F" w:rsidRDefault="00CB0DD7">
            <w:pPr>
              <w:pStyle w:val="TAL"/>
              <w:rPr>
                <w:rFonts w:eastAsia="Times New Roman" w:cs="Arial"/>
                <w:szCs w:val="18"/>
              </w:rPr>
            </w:pPr>
            <w:r w:rsidRPr="000A0A5F">
              <w:rPr>
                <w:rFonts w:eastAsia="Times New Roman" w:cs="Arial"/>
                <w:szCs w:val="18"/>
              </w:rPr>
              <w:t xml:space="preserve">Link to the resource </w:t>
            </w:r>
            <w:r w:rsidRPr="000A0A5F">
              <w:t xml:space="preserve">"Individual NIDD </w:t>
            </w:r>
            <w:r w:rsidRPr="000A0A5F">
              <w:rPr>
                <w:rFonts w:hint="eastAsia"/>
                <w:lang w:eastAsia="zh-CN"/>
              </w:rPr>
              <w:t>configuration</w:t>
            </w:r>
            <w:r w:rsidRPr="000A0A5F">
              <w:t>"</w:t>
            </w:r>
            <w:r w:rsidRPr="000A0A5F">
              <w:rPr>
                <w:rFonts w:eastAsia="Times New Roman" w:cs="Arial"/>
                <w:szCs w:val="18"/>
              </w:rPr>
              <w:t>. This parameter shall be supplied by the SCEF in HTTP responses</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rPr>
                <w:rFonts w:eastAsia="Times New Roman"/>
              </w:rPr>
            </w:pPr>
            <w:r w:rsidRPr="000A0A5F">
              <w:t>supportedFeatures</w:t>
            </w:r>
          </w:p>
        </w:tc>
        <w:tc>
          <w:tcPr>
            <w:tcW w:w="1719" w:type="dxa"/>
            <w:shd w:val="clear" w:color="auto" w:fill="auto"/>
          </w:tcPr>
          <w:p w:rsidR="00CB0DD7" w:rsidRPr="000A0A5F" w:rsidRDefault="00CB0DD7">
            <w:pPr>
              <w:pStyle w:val="TAL"/>
              <w:rPr>
                <w:rFonts w:eastAsia="Times New Roman"/>
              </w:rPr>
            </w:pPr>
            <w:r w:rsidRPr="000A0A5F">
              <w:t>SupportedFeatures</w:t>
            </w:r>
          </w:p>
        </w:tc>
        <w:tc>
          <w:tcPr>
            <w:tcW w:w="1134" w:type="dxa"/>
            <w:shd w:val="clear" w:color="auto" w:fill="auto"/>
          </w:tcPr>
          <w:p w:rsidR="00CB0DD7" w:rsidRPr="000A0A5F" w:rsidRDefault="00CB0DD7">
            <w:pPr>
              <w:pStyle w:val="TAL"/>
              <w:rPr>
                <w:rFonts w:eastAsia="Times New Roman"/>
              </w:rPr>
            </w:pPr>
            <w:r w:rsidRPr="000A0A5F">
              <w:t>0..1</w:t>
            </w:r>
          </w:p>
        </w:tc>
        <w:tc>
          <w:tcPr>
            <w:tcW w:w="3544" w:type="dxa"/>
            <w:shd w:val="clear" w:color="auto" w:fill="auto"/>
          </w:tcPr>
          <w:p w:rsidR="00CB0DD7" w:rsidRPr="000A0A5F" w:rsidRDefault="00CB0DD7">
            <w:pPr>
              <w:pStyle w:val="TAL"/>
            </w:pPr>
            <w:r w:rsidRPr="000A0A5F">
              <w:t>Used to negotiate the supported optional features of the API as described in clause 5.2.7.</w:t>
            </w:r>
          </w:p>
          <w:p w:rsidR="00CB0DD7" w:rsidRPr="000A0A5F" w:rsidRDefault="00CB0DD7">
            <w:pPr>
              <w:pStyle w:val="TAL"/>
              <w:rPr>
                <w:rFonts w:eastAsia="Times New Roman" w:cs="Arial"/>
                <w:szCs w:val="18"/>
              </w:rPr>
            </w:pPr>
            <w:r w:rsidRPr="000A0A5F">
              <w:t>This attribute shall be provided in the POST request and in the response of successful resource creation.</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pPr>
            <w:r w:rsidRPr="000A0A5F">
              <w:rPr>
                <w:lang w:eastAsia="zh-CN"/>
              </w:rPr>
              <w:t>mtcProviderId</w:t>
            </w:r>
          </w:p>
        </w:tc>
        <w:tc>
          <w:tcPr>
            <w:tcW w:w="1719" w:type="dxa"/>
            <w:shd w:val="clear" w:color="auto" w:fill="auto"/>
          </w:tcPr>
          <w:p w:rsidR="00CB0DD7" w:rsidRPr="000A0A5F" w:rsidRDefault="00CB0DD7">
            <w:pPr>
              <w:pStyle w:val="TAL"/>
            </w:pPr>
            <w:r w:rsidRPr="000A0A5F">
              <w:rPr>
                <w:lang w:eastAsia="zh-CN"/>
              </w:rPr>
              <w:t>string</w:t>
            </w:r>
          </w:p>
        </w:tc>
        <w:tc>
          <w:tcPr>
            <w:tcW w:w="1134" w:type="dxa"/>
            <w:shd w:val="clear" w:color="auto" w:fill="auto"/>
          </w:tcPr>
          <w:p w:rsidR="00CB0DD7" w:rsidRPr="000A0A5F" w:rsidRDefault="00CB0DD7">
            <w:pPr>
              <w:pStyle w:val="TAL"/>
            </w:pPr>
            <w:r w:rsidRPr="000A0A5F">
              <w:rPr>
                <w:rFonts w:eastAsia="Times New Roman"/>
              </w:rPr>
              <w:t>0..1</w:t>
            </w:r>
          </w:p>
        </w:tc>
        <w:tc>
          <w:tcPr>
            <w:tcW w:w="3544" w:type="dxa"/>
            <w:shd w:val="clear" w:color="auto" w:fill="auto"/>
          </w:tcPr>
          <w:p w:rsidR="00CB0DD7" w:rsidRPr="000A0A5F" w:rsidRDefault="00CB0DD7">
            <w:pPr>
              <w:pStyle w:val="TAL"/>
            </w:pPr>
            <w:r w:rsidRPr="000A0A5F">
              <w:t>Identifies the MTC Service Provider and/or MTC Application. (NOTE 3)</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rPr>
                <w:lang w:eastAsia="zh-CN"/>
              </w:rPr>
            </w:pPr>
            <w:r w:rsidRPr="000A0A5F">
              <w:rPr>
                <w:lang w:eastAsia="zh-CN"/>
              </w:rPr>
              <w:t>e</w:t>
            </w:r>
            <w:r w:rsidRPr="000A0A5F">
              <w:rPr>
                <w:rFonts w:hint="eastAsia"/>
                <w:lang w:eastAsia="zh-CN"/>
              </w:rPr>
              <w:t>xternal</w:t>
            </w:r>
            <w:r w:rsidRPr="000A0A5F">
              <w:rPr>
                <w:lang w:eastAsia="zh-CN"/>
              </w:rPr>
              <w:t>Id</w:t>
            </w:r>
          </w:p>
        </w:tc>
        <w:tc>
          <w:tcPr>
            <w:tcW w:w="1719" w:type="dxa"/>
            <w:shd w:val="clear" w:color="auto" w:fill="auto"/>
          </w:tcPr>
          <w:p w:rsidR="00CB0DD7" w:rsidRPr="000A0A5F" w:rsidRDefault="00CB0DD7">
            <w:pPr>
              <w:pStyle w:val="TAL"/>
              <w:rPr>
                <w:rFonts w:eastAsia="Times New Roman"/>
              </w:rPr>
            </w:pPr>
            <w:r w:rsidRPr="000A0A5F">
              <w:rPr>
                <w:lang w:eastAsia="zh-CN"/>
              </w:rPr>
              <w:t>ExternalId</w:t>
            </w:r>
          </w:p>
        </w:tc>
        <w:tc>
          <w:tcPr>
            <w:tcW w:w="1134" w:type="dxa"/>
            <w:shd w:val="clear" w:color="auto" w:fill="auto"/>
          </w:tcPr>
          <w:p w:rsidR="00CB0DD7" w:rsidRPr="000A0A5F" w:rsidRDefault="00CB0DD7">
            <w:pPr>
              <w:pStyle w:val="TAL"/>
              <w:rPr>
                <w:rFonts w:eastAsia="Times New Roman"/>
              </w:rPr>
            </w:pPr>
            <w:r w:rsidRPr="000A0A5F">
              <w:rPr>
                <w:rFonts w:eastAsia="Times New Roman"/>
              </w:rPr>
              <w:t>0..1</w:t>
            </w:r>
          </w:p>
        </w:tc>
        <w:tc>
          <w:tcPr>
            <w:tcW w:w="3544" w:type="dxa"/>
            <w:shd w:val="clear" w:color="auto" w:fill="auto"/>
          </w:tcPr>
          <w:p w:rsidR="00CB0DD7" w:rsidRPr="000A0A5F" w:rsidRDefault="00CB0DD7">
            <w:pPr>
              <w:pStyle w:val="TAL"/>
              <w:spacing w:afterLines="50" w:after="120"/>
              <w:rPr>
                <w:rFonts w:eastAsia="Times New Roman" w:cs="Arial"/>
                <w:szCs w:val="18"/>
              </w:rPr>
            </w:pPr>
            <w:r w:rsidRPr="000A0A5F">
              <w:rPr>
                <w:rFonts w:eastAsia="Times New Roman" w:cs="Arial"/>
                <w:szCs w:val="18"/>
              </w:rPr>
              <w:t>Each element uniquely identifies a user as defined in clause 4.6.2 of 3GPP TS 23.682 [2].</w:t>
            </w:r>
          </w:p>
          <w:p w:rsidR="00CB0DD7" w:rsidRPr="000A0A5F" w:rsidRDefault="00CB0DD7">
            <w:pPr>
              <w:pStyle w:val="TAL"/>
              <w:rPr>
                <w:rFonts w:eastAsia="Times New Roman" w:cs="Arial"/>
                <w:szCs w:val="18"/>
              </w:rPr>
            </w:pPr>
            <w:r w:rsidRPr="000A0A5F">
              <w:rPr>
                <w:rFonts w:cs="Arial" w:hint="eastAsia"/>
                <w:szCs w:val="18"/>
                <w:lang w:eastAsia="zh-CN"/>
              </w:rPr>
              <w:t>(</w:t>
            </w:r>
            <w:r w:rsidRPr="000A0A5F">
              <w:rPr>
                <w:rFonts w:cs="Arial"/>
                <w:szCs w:val="18"/>
                <w:lang w:eastAsia="zh-CN"/>
              </w:rPr>
              <w:t>NOTE 2</w:t>
            </w:r>
            <w:r w:rsidRPr="000A0A5F">
              <w:rPr>
                <w:rFonts w:cs="Arial" w:hint="eastAsia"/>
                <w:szCs w:val="18"/>
                <w:lang w:eastAsia="zh-CN"/>
              </w:rPr>
              <w:t>)</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rPr>
                <w:rFonts w:eastAsia="Times New Roman"/>
              </w:rPr>
            </w:pPr>
            <w:r w:rsidRPr="000A0A5F">
              <w:rPr>
                <w:lang w:eastAsia="zh-CN"/>
              </w:rPr>
              <w:t>msisdn</w:t>
            </w:r>
          </w:p>
        </w:tc>
        <w:tc>
          <w:tcPr>
            <w:tcW w:w="1719" w:type="dxa"/>
            <w:shd w:val="clear" w:color="auto" w:fill="auto"/>
          </w:tcPr>
          <w:p w:rsidR="00CB0DD7" w:rsidRPr="000A0A5F" w:rsidRDefault="00CB0DD7">
            <w:pPr>
              <w:pStyle w:val="TAL"/>
              <w:rPr>
                <w:rFonts w:eastAsia="Times New Roman"/>
              </w:rPr>
            </w:pPr>
            <w:r w:rsidRPr="000A0A5F">
              <w:rPr>
                <w:lang w:eastAsia="zh-CN"/>
              </w:rPr>
              <w:t>Msisdn</w:t>
            </w:r>
          </w:p>
        </w:tc>
        <w:tc>
          <w:tcPr>
            <w:tcW w:w="1134" w:type="dxa"/>
            <w:shd w:val="clear" w:color="auto" w:fill="auto"/>
          </w:tcPr>
          <w:p w:rsidR="00CB0DD7" w:rsidRPr="000A0A5F" w:rsidRDefault="00CB0DD7">
            <w:pPr>
              <w:pStyle w:val="TAL"/>
              <w:rPr>
                <w:rFonts w:eastAsia="Times New Roman"/>
              </w:rPr>
            </w:pPr>
            <w:r w:rsidRPr="000A0A5F">
              <w:rPr>
                <w:rFonts w:eastAsia="Times New Roman"/>
              </w:rPr>
              <w:t>0..1</w:t>
            </w:r>
          </w:p>
        </w:tc>
        <w:tc>
          <w:tcPr>
            <w:tcW w:w="3544" w:type="dxa"/>
            <w:shd w:val="clear" w:color="auto" w:fill="auto"/>
          </w:tcPr>
          <w:p w:rsidR="00CB0DD7" w:rsidRPr="000A0A5F" w:rsidRDefault="00CB0DD7">
            <w:pPr>
              <w:pStyle w:val="TAL"/>
              <w:spacing w:afterLines="50" w:after="120"/>
              <w:rPr>
                <w:rFonts w:cs="Arial"/>
                <w:szCs w:val="18"/>
                <w:lang w:eastAsia="zh-CN"/>
              </w:rPr>
            </w:pPr>
            <w:r w:rsidRPr="000A0A5F">
              <w:rPr>
                <w:rFonts w:eastAsia="Times New Roman" w:cs="Arial"/>
                <w:szCs w:val="18"/>
              </w:rPr>
              <w:t>Each element</w:t>
            </w:r>
            <w:r w:rsidRPr="000A0A5F">
              <w:rPr>
                <w:rFonts w:cs="Arial"/>
                <w:szCs w:val="18"/>
                <w:lang w:eastAsia="zh-CN"/>
              </w:rPr>
              <w:t xml:space="preserve"> identifies the MS internal PSTN/ISDN number allocated for a UE.</w:t>
            </w:r>
          </w:p>
          <w:p w:rsidR="00CB0DD7" w:rsidRPr="000A0A5F" w:rsidRDefault="00CB0DD7">
            <w:pPr>
              <w:pStyle w:val="TAL"/>
              <w:rPr>
                <w:rFonts w:eastAsia="Times New Roman" w:cs="Arial"/>
                <w:szCs w:val="18"/>
              </w:rPr>
            </w:pPr>
            <w:r w:rsidRPr="000A0A5F">
              <w:rPr>
                <w:rFonts w:cs="Arial" w:hint="eastAsia"/>
                <w:szCs w:val="18"/>
                <w:lang w:eastAsia="zh-CN"/>
              </w:rPr>
              <w:t>(</w:t>
            </w:r>
            <w:r w:rsidRPr="000A0A5F">
              <w:rPr>
                <w:rFonts w:cs="Arial"/>
                <w:szCs w:val="18"/>
                <w:lang w:eastAsia="zh-CN"/>
              </w:rPr>
              <w:t>NOTE 2</w:t>
            </w:r>
            <w:r w:rsidRPr="000A0A5F">
              <w:rPr>
                <w:rFonts w:cs="Arial" w:hint="eastAsia"/>
                <w:szCs w:val="18"/>
                <w:lang w:eastAsia="zh-CN"/>
              </w:rPr>
              <w:t>)</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rPr>
                <w:lang w:eastAsia="zh-CN"/>
              </w:rPr>
            </w:pPr>
            <w:r w:rsidRPr="000A0A5F">
              <w:rPr>
                <w:lang w:eastAsia="zh-CN"/>
              </w:rPr>
              <w:t>e</w:t>
            </w:r>
            <w:r w:rsidRPr="000A0A5F">
              <w:rPr>
                <w:rFonts w:hint="eastAsia"/>
                <w:lang w:eastAsia="zh-CN"/>
              </w:rPr>
              <w:t>xternalGroup</w:t>
            </w:r>
            <w:r w:rsidRPr="000A0A5F">
              <w:rPr>
                <w:lang w:eastAsia="zh-CN"/>
              </w:rPr>
              <w:t>Id</w:t>
            </w:r>
          </w:p>
        </w:tc>
        <w:tc>
          <w:tcPr>
            <w:tcW w:w="1719" w:type="dxa"/>
            <w:shd w:val="clear" w:color="auto" w:fill="auto"/>
          </w:tcPr>
          <w:p w:rsidR="00CB0DD7" w:rsidRPr="000A0A5F" w:rsidRDefault="00CB0DD7">
            <w:pPr>
              <w:pStyle w:val="TAL"/>
              <w:rPr>
                <w:lang w:eastAsia="zh-CN"/>
              </w:rPr>
            </w:pPr>
            <w:r w:rsidRPr="000A0A5F">
              <w:rPr>
                <w:lang w:eastAsia="zh-CN"/>
              </w:rPr>
              <w:t>ExternalGroupId</w:t>
            </w:r>
          </w:p>
        </w:tc>
        <w:tc>
          <w:tcPr>
            <w:tcW w:w="1134" w:type="dxa"/>
            <w:shd w:val="clear" w:color="auto" w:fill="auto"/>
          </w:tcPr>
          <w:p w:rsidR="00CB0DD7" w:rsidRPr="000A0A5F" w:rsidRDefault="00CB0DD7">
            <w:pPr>
              <w:pStyle w:val="TAL"/>
              <w:rPr>
                <w:rFonts w:eastAsia="Times New Roman"/>
              </w:rPr>
            </w:pPr>
            <w:r w:rsidRPr="000A0A5F">
              <w:rPr>
                <w:rFonts w:eastAsia="Times New Roman"/>
              </w:rPr>
              <w:t>0..1</w:t>
            </w:r>
          </w:p>
        </w:tc>
        <w:tc>
          <w:tcPr>
            <w:tcW w:w="3544" w:type="dxa"/>
            <w:shd w:val="clear" w:color="auto" w:fill="auto"/>
          </w:tcPr>
          <w:p w:rsidR="00CB0DD7" w:rsidRPr="000A0A5F" w:rsidRDefault="00CB0DD7">
            <w:pPr>
              <w:pStyle w:val="TAL"/>
              <w:spacing w:afterLines="50" w:after="120"/>
              <w:rPr>
                <w:rFonts w:eastAsia="Times New Roman" w:cs="Arial"/>
                <w:szCs w:val="18"/>
              </w:rPr>
            </w:pPr>
            <w:r w:rsidRPr="000A0A5F">
              <w:rPr>
                <w:rFonts w:eastAsia="Times New Roman" w:cs="Arial"/>
                <w:szCs w:val="18"/>
              </w:rPr>
              <w:t>Identifies a user group as defined in clause 4.6.3 of 3GPP TS 23.682 [2].</w:t>
            </w:r>
          </w:p>
          <w:p w:rsidR="00CB0DD7" w:rsidRPr="000A0A5F" w:rsidRDefault="00CB0DD7">
            <w:pPr>
              <w:pStyle w:val="TAL"/>
              <w:rPr>
                <w:rFonts w:eastAsia="Times New Roman" w:cs="Arial"/>
                <w:szCs w:val="18"/>
              </w:rPr>
            </w:pPr>
            <w:r w:rsidRPr="000A0A5F">
              <w:rPr>
                <w:rFonts w:cs="Arial" w:hint="eastAsia"/>
                <w:szCs w:val="18"/>
                <w:lang w:eastAsia="zh-CN"/>
              </w:rPr>
              <w:t>(</w:t>
            </w:r>
            <w:r w:rsidRPr="000A0A5F">
              <w:rPr>
                <w:rFonts w:cs="Arial"/>
                <w:szCs w:val="18"/>
                <w:lang w:eastAsia="zh-CN"/>
              </w:rPr>
              <w:t>NOTE 2</w:t>
            </w:r>
            <w:r w:rsidRPr="000A0A5F">
              <w:rPr>
                <w:rFonts w:cs="Arial" w:hint="eastAsia"/>
                <w:szCs w:val="18"/>
                <w:lang w:eastAsia="zh-CN"/>
              </w:rPr>
              <w:t>)</w:t>
            </w:r>
          </w:p>
        </w:tc>
        <w:tc>
          <w:tcPr>
            <w:tcW w:w="1257" w:type="dxa"/>
          </w:tcPr>
          <w:p w:rsidR="00CB0DD7" w:rsidRPr="000A0A5F" w:rsidRDefault="00CB0DD7">
            <w:pPr>
              <w:pStyle w:val="TAL"/>
              <w:rPr>
                <w:rFonts w:eastAsia="Times New Roman" w:cs="Arial"/>
                <w:szCs w:val="18"/>
              </w:rPr>
            </w:pPr>
            <w:r w:rsidRPr="000A0A5F">
              <w:rPr>
                <w:rFonts w:hint="eastAsia"/>
                <w:lang w:eastAsia="zh-CN"/>
              </w:rPr>
              <w:t>GroupMessageDelivery</w:t>
            </w:r>
          </w:p>
        </w:tc>
      </w:tr>
      <w:tr w:rsidR="00CB0DD7" w:rsidRPr="000A0A5F" w:rsidTr="00FF0AF8">
        <w:trPr>
          <w:jc w:val="center"/>
        </w:trPr>
        <w:tc>
          <w:tcPr>
            <w:tcW w:w="1948" w:type="dxa"/>
            <w:shd w:val="clear" w:color="auto" w:fill="auto"/>
          </w:tcPr>
          <w:p w:rsidR="00CB0DD7" w:rsidRPr="000A0A5F" w:rsidRDefault="00CB0DD7">
            <w:pPr>
              <w:pStyle w:val="TAL"/>
              <w:rPr>
                <w:rFonts w:eastAsia="Times New Roman"/>
              </w:rPr>
            </w:pPr>
            <w:r w:rsidRPr="000A0A5F">
              <w:rPr>
                <w:rFonts w:eastAsia="Times New Roman"/>
              </w:rPr>
              <w:t>duration</w:t>
            </w:r>
          </w:p>
        </w:tc>
        <w:tc>
          <w:tcPr>
            <w:tcW w:w="1719" w:type="dxa"/>
            <w:shd w:val="clear" w:color="auto" w:fill="auto"/>
          </w:tcPr>
          <w:p w:rsidR="00CB0DD7" w:rsidRPr="000A0A5F" w:rsidRDefault="00CB0DD7">
            <w:pPr>
              <w:pStyle w:val="TAL"/>
              <w:rPr>
                <w:rFonts w:eastAsia="Times New Roman"/>
              </w:rPr>
            </w:pPr>
            <w:r w:rsidRPr="000A0A5F">
              <w:rPr>
                <w:rFonts w:eastAsia="Times New Roman"/>
              </w:rPr>
              <w:t>DateTime</w:t>
            </w:r>
          </w:p>
        </w:tc>
        <w:tc>
          <w:tcPr>
            <w:tcW w:w="1134" w:type="dxa"/>
            <w:shd w:val="clear" w:color="auto" w:fill="auto"/>
          </w:tcPr>
          <w:p w:rsidR="00CB0DD7" w:rsidRPr="000A0A5F" w:rsidRDefault="00CB0DD7">
            <w:pPr>
              <w:pStyle w:val="TAL"/>
              <w:rPr>
                <w:rFonts w:eastAsia="Times New Roman"/>
              </w:rPr>
            </w:pPr>
            <w:r w:rsidRPr="000A0A5F">
              <w:rPr>
                <w:rFonts w:eastAsia="Times New Roman"/>
              </w:rPr>
              <w:t>0..1</w:t>
            </w:r>
          </w:p>
        </w:tc>
        <w:tc>
          <w:tcPr>
            <w:tcW w:w="3544" w:type="dxa"/>
            <w:shd w:val="clear" w:color="auto" w:fill="auto"/>
          </w:tcPr>
          <w:p w:rsidR="00CB0DD7" w:rsidRPr="000A0A5F" w:rsidRDefault="00CB0DD7">
            <w:pPr>
              <w:pStyle w:val="TAL"/>
              <w:rPr>
                <w:rFonts w:eastAsia="Times New Roman" w:cs="Arial"/>
                <w:szCs w:val="18"/>
              </w:rPr>
            </w:pPr>
            <w:r w:rsidRPr="000A0A5F">
              <w:rPr>
                <w:rFonts w:cs="Arial"/>
              </w:rPr>
              <w:t>Identifies the absolute time at which the related NIDD Configuration request is considered to expire</w:t>
            </w:r>
            <w:r w:rsidRPr="000A0A5F">
              <w:rPr>
                <w:rFonts w:cs="Arial"/>
                <w:szCs w:val="18"/>
                <w:lang w:eastAsia="zh-CN"/>
              </w:rPr>
              <w:t>, as specified in clause 5.13.2 of 3GPP TS 23.682 [</w:t>
            </w:r>
            <w:r w:rsidRPr="000A0A5F">
              <w:rPr>
                <w:rFonts w:cs="Arial"/>
                <w:szCs w:val="18"/>
                <w:lang w:val="en-US" w:eastAsia="zh-CN"/>
              </w:rPr>
              <w:t>2</w:t>
            </w:r>
            <w:r w:rsidRPr="000A0A5F">
              <w:rPr>
                <w:rFonts w:cs="Arial"/>
                <w:szCs w:val="18"/>
                <w:lang w:eastAsia="zh-CN"/>
              </w:rPr>
              <w:t>]. When omitted in the request, it indicates the configuration is requested to be valid forever by the SCS/AS. When omitted in the response, it indicates the configuration is set to valid forever by the SCEF.</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rPr>
                <w:rFonts w:hint="eastAsia"/>
                <w:lang w:eastAsia="zh-CN"/>
              </w:rPr>
            </w:pPr>
            <w:r w:rsidRPr="000A0A5F">
              <w:rPr>
                <w:rFonts w:eastAsia="Times New Roman"/>
              </w:rPr>
              <w:t>reliableDataService</w:t>
            </w:r>
          </w:p>
        </w:tc>
        <w:tc>
          <w:tcPr>
            <w:tcW w:w="1719" w:type="dxa"/>
            <w:shd w:val="clear" w:color="auto" w:fill="auto"/>
          </w:tcPr>
          <w:p w:rsidR="00CB0DD7" w:rsidRPr="000A0A5F" w:rsidRDefault="00CB0DD7">
            <w:pPr>
              <w:pStyle w:val="TAL"/>
              <w:rPr>
                <w:rFonts w:eastAsia="Times New Roman"/>
              </w:rPr>
            </w:pPr>
            <w:r w:rsidRPr="000A0A5F">
              <w:rPr>
                <w:rFonts w:eastAsia="Times New Roman"/>
              </w:rPr>
              <w:t>boolean</w:t>
            </w:r>
          </w:p>
        </w:tc>
        <w:tc>
          <w:tcPr>
            <w:tcW w:w="1134" w:type="dxa"/>
            <w:shd w:val="clear" w:color="auto" w:fill="auto"/>
          </w:tcPr>
          <w:p w:rsidR="00CB0DD7" w:rsidRPr="000A0A5F" w:rsidRDefault="00CB0DD7">
            <w:pPr>
              <w:pStyle w:val="TAL"/>
              <w:rPr>
                <w:rFonts w:eastAsia="Times New Roman"/>
              </w:rPr>
            </w:pPr>
            <w:r w:rsidRPr="000A0A5F">
              <w:rPr>
                <w:rFonts w:eastAsia="Times New Roman"/>
              </w:rPr>
              <w:t>0..1</w:t>
            </w:r>
          </w:p>
        </w:tc>
        <w:tc>
          <w:tcPr>
            <w:tcW w:w="3544" w:type="dxa"/>
            <w:shd w:val="clear" w:color="auto" w:fill="auto"/>
          </w:tcPr>
          <w:p w:rsidR="009B7A6E" w:rsidRPr="000A0A5F" w:rsidRDefault="009B7A6E" w:rsidP="009B7A6E">
            <w:pPr>
              <w:pStyle w:val="TAL"/>
              <w:rPr>
                <w:lang w:eastAsia="zh-CN"/>
              </w:rPr>
            </w:pPr>
            <w:r w:rsidRPr="000A0A5F">
              <w:t xml:space="preserve">Indicates </w:t>
            </w:r>
            <w:r w:rsidRPr="000A0A5F">
              <w:rPr>
                <w:lang w:eastAsia="zh-CN"/>
              </w:rPr>
              <w:t>whether t</w:t>
            </w:r>
            <w:r w:rsidR="00CB0DD7" w:rsidRPr="000A0A5F">
              <w:rPr>
                <w:rFonts w:cs="Arial"/>
                <w:szCs w:val="18"/>
                <w:lang w:eastAsia="zh-CN"/>
              </w:rPr>
              <w:t>he reliable data service (as defined in clause 4.5.1</w:t>
            </w:r>
            <w:r w:rsidRPr="000A0A5F">
              <w:rPr>
                <w:rFonts w:cs="Arial"/>
                <w:szCs w:val="18"/>
                <w:lang w:eastAsia="zh-CN"/>
              </w:rPr>
              <w:t>4</w:t>
            </w:r>
            <w:r w:rsidR="00CB0DD7" w:rsidRPr="000A0A5F">
              <w:rPr>
                <w:rFonts w:cs="Arial"/>
                <w:szCs w:val="18"/>
                <w:lang w:eastAsia="zh-CN"/>
              </w:rPr>
              <w:t xml:space="preserve">.3 of 3GPP TS 23.682 [2]) </w:t>
            </w:r>
            <w:r w:rsidRPr="000A0A5F">
              <w:rPr>
                <w:lang w:eastAsia="zh-CN"/>
              </w:rPr>
              <w:t>acknowledg</w:t>
            </w:r>
            <w:r w:rsidR="0076414F" w:rsidRPr="000A0A5F">
              <w:rPr>
                <w:lang w:eastAsia="zh-CN"/>
              </w:rPr>
              <w:t>e</w:t>
            </w:r>
            <w:r w:rsidRPr="000A0A5F">
              <w:rPr>
                <w:lang w:eastAsia="zh-CN"/>
              </w:rPr>
              <w:t>ment is requested.</w:t>
            </w:r>
          </w:p>
          <w:p w:rsidR="009B7A6E" w:rsidRPr="000A0A5F" w:rsidRDefault="009B7A6E" w:rsidP="009B7A6E">
            <w:pPr>
              <w:pStyle w:val="TAL"/>
            </w:pPr>
          </w:p>
          <w:p w:rsidR="009B7A6E" w:rsidRPr="000A0A5F" w:rsidRDefault="009B7A6E" w:rsidP="009B7A6E">
            <w:pPr>
              <w:pStyle w:val="TAL"/>
              <w:rPr>
                <w:lang w:eastAsia="zh-CN"/>
              </w:rPr>
            </w:pPr>
            <w:r w:rsidRPr="000A0A5F">
              <w:rPr>
                <w:lang w:eastAsia="zh-CN"/>
              </w:rPr>
              <w:t>- true: reliable data service acknowledg</w:t>
            </w:r>
            <w:r w:rsidR="0076414F" w:rsidRPr="000A0A5F">
              <w:rPr>
                <w:lang w:eastAsia="zh-CN"/>
              </w:rPr>
              <w:t>e</w:t>
            </w:r>
            <w:r w:rsidRPr="000A0A5F">
              <w:rPr>
                <w:lang w:eastAsia="zh-CN"/>
              </w:rPr>
              <w:t>ment is requested;</w:t>
            </w:r>
          </w:p>
          <w:p w:rsidR="00CB0DD7" w:rsidRPr="000A0A5F" w:rsidRDefault="009B7A6E" w:rsidP="009B7A6E">
            <w:pPr>
              <w:pStyle w:val="TAL"/>
              <w:rPr>
                <w:rFonts w:cs="Arial"/>
                <w:szCs w:val="18"/>
                <w:lang w:eastAsia="zh-CN"/>
              </w:rPr>
            </w:pPr>
            <w:r w:rsidRPr="000A0A5F">
              <w:rPr>
                <w:lang w:eastAsia="zh-CN"/>
              </w:rPr>
              <w:t>- false (default): reliable data service acknowledg</w:t>
            </w:r>
            <w:r w:rsidR="0076414F" w:rsidRPr="000A0A5F">
              <w:rPr>
                <w:lang w:eastAsia="zh-CN"/>
              </w:rPr>
              <w:t>e</w:t>
            </w:r>
            <w:r w:rsidRPr="000A0A5F">
              <w:rPr>
                <w:lang w:eastAsia="zh-CN"/>
              </w:rPr>
              <w:t>ment</w:t>
            </w:r>
            <w:r w:rsidRPr="000A0A5F">
              <w:t xml:space="preserve"> is not requested.</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rPr>
                <w:rFonts w:eastAsia="Times New Roman"/>
              </w:rPr>
            </w:pPr>
            <w:r w:rsidRPr="000A0A5F">
              <w:rPr>
                <w:rFonts w:eastAsia="Times New Roman"/>
              </w:rPr>
              <w:t>rdsPorts</w:t>
            </w:r>
          </w:p>
        </w:tc>
        <w:tc>
          <w:tcPr>
            <w:tcW w:w="1719" w:type="dxa"/>
            <w:shd w:val="clear" w:color="auto" w:fill="auto"/>
          </w:tcPr>
          <w:p w:rsidR="00CB0DD7" w:rsidRPr="000A0A5F" w:rsidRDefault="00CB0DD7">
            <w:pPr>
              <w:pStyle w:val="TAL"/>
              <w:rPr>
                <w:rFonts w:eastAsia="Times New Roman"/>
              </w:rPr>
            </w:pPr>
            <w:r w:rsidRPr="000A0A5F">
              <w:rPr>
                <w:rFonts w:eastAsia="Times New Roman"/>
              </w:rPr>
              <w:t>array(RdsPort)</w:t>
            </w:r>
          </w:p>
        </w:tc>
        <w:tc>
          <w:tcPr>
            <w:tcW w:w="1134" w:type="dxa"/>
            <w:shd w:val="clear" w:color="auto" w:fill="auto"/>
          </w:tcPr>
          <w:p w:rsidR="00CB0DD7" w:rsidRPr="000A0A5F" w:rsidRDefault="00CB0DD7">
            <w:pPr>
              <w:pStyle w:val="TAL"/>
              <w:rPr>
                <w:rFonts w:eastAsia="Times New Roman"/>
              </w:rPr>
            </w:pPr>
            <w:r w:rsidRPr="000A0A5F">
              <w:rPr>
                <w:rFonts w:eastAsia="Times New Roman"/>
              </w:rPr>
              <w:t>0..N</w:t>
            </w:r>
          </w:p>
        </w:tc>
        <w:tc>
          <w:tcPr>
            <w:tcW w:w="3544" w:type="dxa"/>
            <w:shd w:val="clear" w:color="auto" w:fill="auto"/>
          </w:tcPr>
          <w:p w:rsidR="00CB0DD7" w:rsidRPr="000A0A5F" w:rsidRDefault="00CB0DD7">
            <w:pPr>
              <w:pStyle w:val="TAL"/>
              <w:rPr>
                <w:rFonts w:cs="Arial" w:hint="eastAsia"/>
                <w:szCs w:val="18"/>
                <w:lang w:eastAsia="zh-CN"/>
              </w:rPr>
            </w:pPr>
            <w:r w:rsidRPr="000A0A5F">
              <w:rPr>
                <w:rFonts w:cs="Arial"/>
                <w:szCs w:val="18"/>
                <w:lang w:eastAsia="zh-CN"/>
              </w:rPr>
              <w:t>Indicates the static port configuration that is used for reliable data transfer between specific applications using RDS (as defined in clause</w:t>
            </w:r>
            <w:r w:rsidRPr="000A0A5F">
              <w:rPr>
                <w:rFonts w:cs="Arial"/>
                <w:szCs w:val="18"/>
                <w:lang w:val="en-US" w:eastAsia="zh-CN"/>
              </w:rPr>
              <w:t> 5.2</w:t>
            </w:r>
            <w:r w:rsidRPr="000A0A5F">
              <w:rPr>
                <w:rFonts w:cs="Arial"/>
                <w:szCs w:val="18"/>
                <w:lang w:eastAsia="zh-CN"/>
              </w:rPr>
              <w:t>.4 and 5.2.5 of 3GPP TS 24.250 [31]).</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rPr>
                <w:rFonts w:eastAsia="Times New Roman"/>
              </w:rPr>
            </w:pPr>
            <w:r w:rsidRPr="000A0A5F">
              <w:rPr>
                <w:rFonts w:eastAsia="Times New Roman"/>
              </w:rPr>
              <w:t>pdnEstablishmentOption</w:t>
            </w:r>
          </w:p>
        </w:tc>
        <w:tc>
          <w:tcPr>
            <w:tcW w:w="1719" w:type="dxa"/>
            <w:shd w:val="clear" w:color="auto" w:fill="auto"/>
          </w:tcPr>
          <w:p w:rsidR="00CB0DD7" w:rsidRPr="000A0A5F" w:rsidRDefault="00CB0DD7">
            <w:pPr>
              <w:pStyle w:val="TAL"/>
              <w:rPr>
                <w:rFonts w:eastAsia="Times New Roman"/>
              </w:rPr>
            </w:pPr>
            <w:r w:rsidRPr="000A0A5F">
              <w:rPr>
                <w:rFonts w:eastAsia="Times New Roman"/>
              </w:rPr>
              <w:t>PdnEstablishmentOptions</w:t>
            </w:r>
          </w:p>
        </w:tc>
        <w:tc>
          <w:tcPr>
            <w:tcW w:w="1134" w:type="dxa"/>
            <w:shd w:val="clear" w:color="auto" w:fill="auto"/>
          </w:tcPr>
          <w:p w:rsidR="00CB0DD7" w:rsidRPr="000A0A5F" w:rsidRDefault="00CB0DD7">
            <w:pPr>
              <w:pStyle w:val="TAL"/>
              <w:rPr>
                <w:rFonts w:hint="eastAsia"/>
                <w:lang w:eastAsia="zh-CN"/>
              </w:rPr>
            </w:pPr>
            <w:r w:rsidRPr="000A0A5F">
              <w:rPr>
                <w:rFonts w:hint="eastAsia"/>
                <w:lang w:eastAsia="zh-CN"/>
              </w:rPr>
              <w:t>0..1</w:t>
            </w:r>
          </w:p>
        </w:tc>
        <w:tc>
          <w:tcPr>
            <w:tcW w:w="3544" w:type="dxa"/>
            <w:shd w:val="clear" w:color="auto" w:fill="auto"/>
          </w:tcPr>
          <w:p w:rsidR="00CB0DD7" w:rsidRPr="000A0A5F" w:rsidRDefault="00CB0DD7">
            <w:pPr>
              <w:pStyle w:val="TAL"/>
              <w:rPr>
                <w:rFonts w:cs="Arial" w:hint="eastAsia"/>
                <w:szCs w:val="18"/>
                <w:lang w:eastAsia="zh-CN"/>
              </w:rPr>
            </w:pPr>
            <w:r w:rsidRPr="000A0A5F">
              <w:rPr>
                <w:rFonts w:cs="Arial"/>
                <w:szCs w:val="18"/>
                <w:lang w:eastAsia="zh-CN"/>
              </w:rPr>
              <w:t>I</w:t>
            </w:r>
            <w:r w:rsidRPr="000A0A5F">
              <w:rPr>
                <w:rFonts w:cs="Arial"/>
                <w:szCs w:val="18"/>
              </w:rPr>
              <w:t>ndicate what the SCEF should do if the UE has not established the PDN connection and MT non-IP data needs to be sent</w:t>
            </w:r>
            <w:r w:rsidRPr="000A0A5F">
              <w:rPr>
                <w:rFonts w:cs="Arial" w:hint="eastAsia"/>
                <w:szCs w:val="18"/>
                <w:lang w:eastAsia="zh-CN"/>
              </w:rPr>
              <w:t xml:space="preserve">. </w:t>
            </w:r>
            <w:r w:rsidRPr="000A0A5F">
              <w:rPr>
                <w:rFonts w:cs="Arial"/>
                <w:szCs w:val="18"/>
              </w:rPr>
              <w:t>(wait for the UE to establish the PDN connection, respond with an error cause, or send a device trigger; see step 2 of the MT NIDD Procedure in clause 5.13.3</w:t>
            </w:r>
            <w:r w:rsidRPr="000A0A5F">
              <w:rPr>
                <w:rFonts w:cs="Arial"/>
                <w:szCs w:val="18"/>
                <w:lang w:eastAsia="zh-CN"/>
              </w:rPr>
              <w:t xml:space="preserve"> of 3GPP TS 23.682 [</w:t>
            </w:r>
            <w:r w:rsidRPr="000A0A5F">
              <w:rPr>
                <w:rFonts w:cs="Arial"/>
                <w:szCs w:val="18"/>
                <w:lang w:val="en-US" w:eastAsia="zh-CN"/>
              </w:rPr>
              <w:t>2</w:t>
            </w:r>
            <w:r w:rsidRPr="000A0A5F">
              <w:rPr>
                <w:rFonts w:cs="Arial"/>
                <w:szCs w:val="18"/>
                <w:lang w:eastAsia="zh-CN"/>
              </w:rPr>
              <w:t>]</w:t>
            </w:r>
            <w:r w:rsidRPr="000A0A5F">
              <w:rPr>
                <w:rFonts w:cs="Arial"/>
                <w:szCs w:val="18"/>
              </w:rPr>
              <w:t>)</w:t>
            </w:r>
          </w:p>
          <w:p w:rsidR="00CB0DD7" w:rsidRPr="000A0A5F" w:rsidRDefault="00CB0DD7">
            <w:pPr>
              <w:pStyle w:val="TAL"/>
              <w:rPr>
                <w:rFonts w:cs="Arial" w:hint="eastAsia"/>
                <w:lang w:eastAsia="zh-CN"/>
              </w:rPr>
            </w:pPr>
            <w:r w:rsidRPr="000A0A5F">
              <w:rPr>
                <w:rFonts w:cs="Arial"/>
                <w:lang w:eastAsia="zh-CN"/>
              </w:rPr>
              <w:t>T</w:t>
            </w:r>
            <w:r w:rsidRPr="000A0A5F">
              <w:rPr>
                <w:rFonts w:cs="Arial"/>
              </w:rPr>
              <w:t>he SCEF will use the value as the default preference from the SCS/AS when handling all MT non-IP packets associated with the NIDD connection</w:t>
            </w:r>
            <w:r w:rsidRPr="000A0A5F">
              <w:rPr>
                <w:rFonts w:cs="Arial" w:hint="eastAsia"/>
                <w:lang w:eastAsia="zh-CN"/>
              </w:rPr>
              <w:t>.</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rPr>
                <w:rFonts w:hint="eastAsia"/>
                <w:lang w:eastAsia="zh-CN"/>
              </w:rPr>
            </w:pPr>
            <w:r w:rsidRPr="000A0A5F">
              <w:rPr>
                <w:rFonts w:hint="eastAsia"/>
                <w:lang w:eastAsia="zh-CN"/>
              </w:rPr>
              <w:t>notificationDestination</w:t>
            </w:r>
          </w:p>
        </w:tc>
        <w:tc>
          <w:tcPr>
            <w:tcW w:w="1719" w:type="dxa"/>
            <w:shd w:val="clear" w:color="auto" w:fill="auto"/>
          </w:tcPr>
          <w:p w:rsidR="00CB0DD7" w:rsidRPr="000A0A5F" w:rsidRDefault="00CB0DD7">
            <w:pPr>
              <w:pStyle w:val="TAL"/>
              <w:rPr>
                <w:rFonts w:hint="eastAsia"/>
                <w:lang w:eastAsia="zh-CN"/>
              </w:rPr>
            </w:pPr>
            <w:r w:rsidRPr="000A0A5F">
              <w:rPr>
                <w:rFonts w:hint="eastAsia"/>
                <w:lang w:eastAsia="zh-CN"/>
              </w:rPr>
              <w:t>Link</w:t>
            </w:r>
          </w:p>
        </w:tc>
        <w:tc>
          <w:tcPr>
            <w:tcW w:w="1134" w:type="dxa"/>
            <w:shd w:val="clear" w:color="auto" w:fill="auto"/>
          </w:tcPr>
          <w:p w:rsidR="00CB0DD7" w:rsidRPr="000A0A5F" w:rsidRDefault="00CB0DD7">
            <w:pPr>
              <w:pStyle w:val="TAL"/>
              <w:rPr>
                <w:rFonts w:hint="eastAsia"/>
                <w:lang w:eastAsia="zh-CN"/>
              </w:rPr>
            </w:pPr>
            <w:r w:rsidRPr="000A0A5F">
              <w:rPr>
                <w:rFonts w:hint="eastAsia"/>
                <w:lang w:eastAsia="zh-CN"/>
              </w:rPr>
              <w:t>1</w:t>
            </w:r>
          </w:p>
        </w:tc>
        <w:tc>
          <w:tcPr>
            <w:tcW w:w="3544" w:type="dxa"/>
            <w:shd w:val="clear" w:color="auto" w:fill="auto"/>
          </w:tcPr>
          <w:p w:rsidR="00CB0DD7" w:rsidRPr="000A0A5F" w:rsidRDefault="00CB0DD7">
            <w:pPr>
              <w:rPr>
                <w:rFonts w:eastAsia="Times New Roman" w:cs="Arial"/>
                <w:color w:val="FF0000"/>
                <w:szCs w:val="18"/>
              </w:rPr>
            </w:pPr>
            <w:r w:rsidRPr="000A0A5F">
              <w:rPr>
                <w:rFonts w:ascii="Arial" w:hAnsi="Arial" w:cs="Arial" w:hint="eastAsia"/>
                <w:sz w:val="18"/>
                <w:szCs w:val="18"/>
                <w:lang w:eastAsia="zh-CN"/>
              </w:rPr>
              <w:t xml:space="preserve">An URI of a notification destination that T8 message shall be </w:t>
            </w:r>
            <w:r w:rsidRPr="000A0A5F">
              <w:rPr>
                <w:rFonts w:ascii="Arial" w:eastAsia="Times New Roman" w:hAnsi="Arial" w:cs="Arial"/>
                <w:sz w:val="18"/>
                <w:szCs w:val="18"/>
              </w:rPr>
              <w:t>delivered to</w:t>
            </w:r>
            <w:r w:rsidRPr="000A0A5F">
              <w:rPr>
                <w:rFonts w:ascii="Arial" w:hAnsi="Arial" w:cs="Arial" w:hint="eastAsia"/>
                <w:sz w:val="18"/>
                <w:szCs w:val="18"/>
                <w:lang w:eastAsia="zh-CN"/>
              </w:rPr>
              <w:t>.</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rPr>
                <w:rFonts w:hint="eastAsia"/>
                <w:lang w:eastAsia="zh-CN"/>
              </w:rPr>
            </w:pPr>
            <w:r w:rsidRPr="000A0A5F">
              <w:t>requestTestNotification</w:t>
            </w:r>
          </w:p>
        </w:tc>
        <w:tc>
          <w:tcPr>
            <w:tcW w:w="1719" w:type="dxa"/>
            <w:shd w:val="clear" w:color="auto" w:fill="auto"/>
          </w:tcPr>
          <w:p w:rsidR="00CB0DD7" w:rsidRPr="000A0A5F" w:rsidRDefault="00CB0DD7">
            <w:pPr>
              <w:pStyle w:val="TAL"/>
              <w:rPr>
                <w:rFonts w:hint="eastAsia"/>
                <w:lang w:eastAsia="zh-CN"/>
              </w:rPr>
            </w:pPr>
            <w:r w:rsidRPr="000A0A5F">
              <w:t>boolean</w:t>
            </w:r>
          </w:p>
        </w:tc>
        <w:tc>
          <w:tcPr>
            <w:tcW w:w="1134" w:type="dxa"/>
            <w:shd w:val="clear" w:color="auto" w:fill="auto"/>
          </w:tcPr>
          <w:p w:rsidR="00CB0DD7" w:rsidRPr="000A0A5F" w:rsidRDefault="00CB0DD7">
            <w:pPr>
              <w:pStyle w:val="TAL"/>
              <w:rPr>
                <w:lang w:val="en-US" w:eastAsia="zh-CN"/>
              </w:rPr>
            </w:pPr>
            <w:r w:rsidRPr="000A0A5F">
              <w:t>0..1</w:t>
            </w:r>
          </w:p>
        </w:tc>
        <w:tc>
          <w:tcPr>
            <w:tcW w:w="3544" w:type="dxa"/>
            <w:shd w:val="clear" w:color="auto" w:fill="auto"/>
          </w:tcPr>
          <w:p w:rsidR="00CB0DD7" w:rsidRPr="000A0A5F" w:rsidRDefault="00CB0DD7">
            <w:pPr>
              <w:pageBreakBefo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hAnsi="Arial" w:cs="Arial" w:hint="eastAsia"/>
                <w:sz w:val="18"/>
                <w:szCs w:val="18"/>
                <w:lang w:val="en-US" w:eastAsia="zh-CN"/>
              </w:rPr>
            </w:pPr>
            <w:r w:rsidRPr="000A0A5F">
              <w:rPr>
                <w:rFonts w:ascii="Arial" w:hAnsi="Arial"/>
                <w:sz w:val="18"/>
                <w:lang w:eastAsia="zh-CN"/>
              </w:rPr>
              <w:t>Set to true by the SCS/AS to request the SCEF to send a test notification as defined in clause</w:t>
            </w:r>
            <w:r w:rsidRPr="000A0A5F">
              <w:rPr>
                <w:rFonts w:ascii="Arial" w:hAnsi="Arial"/>
                <w:sz w:val="18"/>
                <w:lang w:val="en-US" w:eastAsia="zh-CN"/>
              </w:rPr>
              <w:t> </w:t>
            </w:r>
            <w:r w:rsidRPr="000A0A5F">
              <w:rPr>
                <w:rFonts w:ascii="Arial" w:hAnsi="Arial"/>
                <w:sz w:val="18"/>
                <w:lang w:eastAsia="zh-CN"/>
              </w:rPr>
              <w:t>5.2.5.3. Set to false or omitted otherwise.</w:t>
            </w:r>
          </w:p>
        </w:tc>
        <w:tc>
          <w:tcPr>
            <w:tcW w:w="1257" w:type="dxa"/>
          </w:tcPr>
          <w:p w:rsidR="00CB0DD7" w:rsidRPr="000A0A5F" w:rsidRDefault="00CB0DD7">
            <w:pPr>
              <w:pStyle w:val="TAL"/>
              <w:rPr>
                <w:rFonts w:eastAsia="Times New Roman" w:cs="Arial"/>
                <w:szCs w:val="18"/>
              </w:rPr>
            </w:pPr>
            <w:r w:rsidRPr="000A0A5F">
              <w:t>Notification_test_event</w:t>
            </w:r>
          </w:p>
        </w:tc>
      </w:tr>
      <w:tr w:rsidR="00CB0DD7" w:rsidRPr="000A0A5F" w:rsidTr="00FF0AF8">
        <w:trPr>
          <w:jc w:val="center"/>
        </w:trPr>
        <w:tc>
          <w:tcPr>
            <w:tcW w:w="1948" w:type="dxa"/>
            <w:shd w:val="clear" w:color="auto" w:fill="auto"/>
          </w:tcPr>
          <w:p w:rsidR="00CB0DD7" w:rsidRPr="000A0A5F" w:rsidRDefault="00CB0DD7">
            <w:pPr>
              <w:pStyle w:val="TAL"/>
              <w:rPr>
                <w:rFonts w:hint="eastAsia"/>
                <w:lang w:eastAsia="zh-CN"/>
              </w:rPr>
            </w:pPr>
            <w:r w:rsidRPr="000A0A5F">
              <w:rPr>
                <w:lang w:eastAsia="zh-CN"/>
              </w:rPr>
              <w:t>websockNotifConfig</w:t>
            </w:r>
          </w:p>
        </w:tc>
        <w:tc>
          <w:tcPr>
            <w:tcW w:w="1719" w:type="dxa"/>
            <w:shd w:val="clear" w:color="auto" w:fill="auto"/>
          </w:tcPr>
          <w:p w:rsidR="00CB0DD7" w:rsidRPr="000A0A5F" w:rsidRDefault="00CB0DD7">
            <w:pPr>
              <w:pStyle w:val="TAL"/>
              <w:rPr>
                <w:rFonts w:hint="eastAsia"/>
                <w:lang w:eastAsia="zh-CN"/>
              </w:rPr>
            </w:pPr>
            <w:r w:rsidRPr="000A0A5F">
              <w:rPr>
                <w:lang w:eastAsia="zh-CN"/>
              </w:rPr>
              <w:t>WebsockNotifConfig</w:t>
            </w:r>
          </w:p>
        </w:tc>
        <w:tc>
          <w:tcPr>
            <w:tcW w:w="1134" w:type="dxa"/>
            <w:shd w:val="clear" w:color="auto" w:fill="auto"/>
          </w:tcPr>
          <w:p w:rsidR="00CB0DD7" w:rsidRPr="000A0A5F" w:rsidRDefault="00CB0DD7">
            <w:pPr>
              <w:pStyle w:val="TAL"/>
              <w:rPr>
                <w:lang w:val="en-US" w:eastAsia="zh-CN"/>
              </w:rPr>
            </w:pPr>
            <w:r w:rsidRPr="000A0A5F">
              <w:rPr>
                <w:lang w:eastAsia="zh-CN"/>
              </w:rPr>
              <w:t>0..1</w:t>
            </w:r>
          </w:p>
        </w:tc>
        <w:tc>
          <w:tcPr>
            <w:tcW w:w="3544" w:type="dxa"/>
            <w:shd w:val="clear" w:color="auto" w:fill="auto"/>
          </w:tcPr>
          <w:p w:rsidR="00CB0DD7" w:rsidRPr="000A0A5F" w:rsidRDefault="00CB0DD7">
            <w:pPr>
              <w:spacing w:after="0"/>
              <w:rPr>
                <w:rFonts w:ascii="Arial" w:hAnsi="Arial" w:cs="Arial" w:hint="eastAsia"/>
                <w:sz w:val="18"/>
                <w:szCs w:val="18"/>
                <w:lang w:eastAsia="zh-CN"/>
              </w:rPr>
            </w:pPr>
            <w:r w:rsidRPr="000A0A5F">
              <w:rPr>
                <w:rFonts w:ascii="Arial" w:hAnsi="Arial"/>
                <w:sz w:val="18"/>
                <w:lang w:eastAsia="zh-CN"/>
              </w:rPr>
              <w:t>Configuration parameters to set up notification delivery over Websocket protocol as defined in clause 5.2.5.4.</w:t>
            </w:r>
          </w:p>
        </w:tc>
        <w:tc>
          <w:tcPr>
            <w:tcW w:w="1257" w:type="dxa"/>
          </w:tcPr>
          <w:p w:rsidR="00CB0DD7" w:rsidRPr="000A0A5F" w:rsidRDefault="00CB0DD7">
            <w:pPr>
              <w:pStyle w:val="TAL"/>
              <w:rPr>
                <w:rFonts w:eastAsia="Times New Roman" w:cs="Arial"/>
                <w:szCs w:val="18"/>
              </w:rPr>
            </w:pPr>
            <w:r w:rsidRPr="000A0A5F">
              <w:rPr>
                <w:lang w:eastAsia="zh-CN"/>
              </w:rPr>
              <w:t>Notification_websocket</w:t>
            </w:r>
          </w:p>
        </w:tc>
      </w:tr>
      <w:tr w:rsidR="00CB0DD7" w:rsidRPr="000A0A5F" w:rsidTr="00FF0AF8">
        <w:trPr>
          <w:jc w:val="center"/>
        </w:trPr>
        <w:tc>
          <w:tcPr>
            <w:tcW w:w="1948" w:type="dxa"/>
            <w:shd w:val="clear" w:color="auto" w:fill="auto"/>
          </w:tcPr>
          <w:p w:rsidR="00CB0DD7" w:rsidRPr="000A0A5F" w:rsidRDefault="00CB0DD7">
            <w:pPr>
              <w:pStyle w:val="TAL"/>
              <w:rPr>
                <w:rFonts w:eastAsia="Times New Roman"/>
              </w:rPr>
            </w:pPr>
            <w:r w:rsidRPr="000A0A5F">
              <w:rPr>
                <w:rFonts w:eastAsia="Times New Roman"/>
              </w:rPr>
              <w:t>maximumPacketSize</w:t>
            </w:r>
          </w:p>
        </w:tc>
        <w:tc>
          <w:tcPr>
            <w:tcW w:w="1719" w:type="dxa"/>
            <w:shd w:val="clear" w:color="auto" w:fill="auto"/>
          </w:tcPr>
          <w:p w:rsidR="00CB0DD7" w:rsidRPr="000A0A5F" w:rsidRDefault="00CB0DD7">
            <w:pPr>
              <w:pStyle w:val="TAL"/>
              <w:rPr>
                <w:rFonts w:hint="eastAsia"/>
                <w:lang w:eastAsia="zh-CN"/>
              </w:rPr>
            </w:pPr>
            <w:r w:rsidRPr="000A0A5F">
              <w:rPr>
                <w:rFonts w:hint="eastAsia"/>
                <w:lang w:eastAsia="zh-CN"/>
              </w:rPr>
              <w:t>integer</w:t>
            </w:r>
          </w:p>
        </w:tc>
        <w:tc>
          <w:tcPr>
            <w:tcW w:w="1134" w:type="dxa"/>
            <w:shd w:val="clear" w:color="auto" w:fill="auto"/>
          </w:tcPr>
          <w:p w:rsidR="00CB0DD7" w:rsidRPr="000A0A5F" w:rsidRDefault="00CB0DD7">
            <w:pPr>
              <w:pStyle w:val="TAL"/>
              <w:rPr>
                <w:rFonts w:eastAsia="Times New Roman"/>
              </w:rPr>
            </w:pPr>
            <w:r w:rsidRPr="000A0A5F">
              <w:rPr>
                <w:rFonts w:eastAsia="Times New Roman"/>
              </w:rPr>
              <w:t>0..1</w:t>
            </w:r>
          </w:p>
        </w:tc>
        <w:tc>
          <w:tcPr>
            <w:tcW w:w="3544" w:type="dxa"/>
            <w:shd w:val="clear" w:color="auto" w:fill="auto"/>
          </w:tcPr>
          <w:p w:rsidR="00CB0DD7" w:rsidRPr="000A0A5F" w:rsidRDefault="00CB0DD7">
            <w:pPr>
              <w:rPr>
                <w:rFonts w:ascii="Arial" w:hAnsi="Arial" w:cs="Arial" w:hint="eastAsia"/>
                <w:sz w:val="18"/>
                <w:szCs w:val="18"/>
                <w:lang w:eastAsia="zh-CN"/>
              </w:rPr>
            </w:pPr>
            <w:r w:rsidRPr="000A0A5F">
              <w:rPr>
                <w:rFonts w:ascii="Arial" w:hAnsi="Arial" w:cs="Arial"/>
                <w:sz w:val="18"/>
                <w:szCs w:val="18"/>
              </w:rPr>
              <w:t>The Maximum Packet Size is the maximum NIDD packet size that was transferred to the UE by the SCEF in the PCO, see clause 4.5.14.1</w:t>
            </w:r>
            <w:r w:rsidRPr="000A0A5F">
              <w:rPr>
                <w:rFonts w:ascii="Arial" w:hAnsi="Arial" w:cs="Arial"/>
                <w:sz w:val="18"/>
                <w:szCs w:val="18"/>
                <w:lang w:eastAsia="zh-CN"/>
              </w:rPr>
              <w:t xml:space="preserve"> of 3GPP TS 23.682 [</w:t>
            </w:r>
            <w:r w:rsidRPr="000A0A5F">
              <w:rPr>
                <w:rFonts w:ascii="Arial" w:hAnsi="Arial" w:cs="Arial"/>
                <w:sz w:val="18"/>
                <w:szCs w:val="18"/>
                <w:lang w:val="en-US" w:eastAsia="zh-CN"/>
              </w:rPr>
              <w:t>2</w:t>
            </w:r>
            <w:r w:rsidRPr="000A0A5F">
              <w:rPr>
                <w:rFonts w:ascii="Arial" w:hAnsi="Arial" w:cs="Arial"/>
                <w:sz w:val="18"/>
                <w:szCs w:val="18"/>
                <w:lang w:eastAsia="zh-CN"/>
              </w:rPr>
              <w:t>]</w:t>
            </w:r>
            <w:r w:rsidRPr="000A0A5F">
              <w:rPr>
                <w:rFonts w:ascii="Arial" w:hAnsi="Arial" w:cs="Arial"/>
                <w:sz w:val="18"/>
                <w:szCs w:val="18"/>
              </w:rPr>
              <w:t>. If no maximum packet size was provided to the UE by the SCEF, the SCEF sends a default configured max packet size to SCS/AS.</w:t>
            </w:r>
          </w:p>
          <w:p w:rsidR="00CB0DD7" w:rsidRPr="000A0A5F" w:rsidRDefault="00CB0DD7">
            <w:pPr>
              <w:spacing w:after="0"/>
              <w:rPr>
                <w:rFonts w:ascii="Arial" w:hAnsi="Arial" w:cs="Arial" w:hint="eastAsia"/>
                <w:sz w:val="18"/>
                <w:szCs w:val="18"/>
                <w:lang w:eastAsia="zh-CN"/>
              </w:rPr>
            </w:pPr>
            <w:r w:rsidRPr="000A0A5F">
              <w:rPr>
                <w:rFonts w:ascii="Arial" w:hAnsi="Arial" w:cs="Arial"/>
                <w:sz w:val="18"/>
                <w:szCs w:val="18"/>
                <w:lang w:eastAsia="zh-CN"/>
              </w:rPr>
              <w:t>U</w:t>
            </w:r>
            <w:r w:rsidRPr="000A0A5F">
              <w:rPr>
                <w:rFonts w:ascii="Arial" w:hAnsi="Arial" w:cs="Arial" w:hint="eastAsia"/>
                <w:sz w:val="18"/>
                <w:szCs w:val="18"/>
                <w:lang w:eastAsia="zh-CN"/>
              </w:rPr>
              <w:t>nit</w:t>
            </w:r>
            <w:r w:rsidRPr="000A0A5F">
              <w:rPr>
                <w:rFonts w:ascii="Arial" w:hAnsi="Arial" w:cs="Arial"/>
                <w:sz w:val="18"/>
                <w:szCs w:val="18"/>
                <w:lang w:eastAsia="zh-CN"/>
              </w:rPr>
              <w:t>:</w:t>
            </w:r>
            <w:r w:rsidRPr="000A0A5F">
              <w:rPr>
                <w:rFonts w:ascii="Arial" w:hAnsi="Arial" w:cs="Arial" w:hint="eastAsia"/>
                <w:sz w:val="18"/>
                <w:szCs w:val="18"/>
                <w:lang w:eastAsia="zh-CN"/>
              </w:rPr>
              <w:t xml:space="preserve"> bit.</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rPr>
                <w:rFonts w:eastAsia="Times New Roman" w:hint="eastAsia"/>
                <w:lang w:eastAsia="zh-CN"/>
              </w:rPr>
            </w:pPr>
            <w:r w:rsidRPr="000A0A5F">
              <w:rPr>
                <w:rFonts w:hint="eastAsia"/>
                <w:lang w:eastAsia="zh-CN"/>
              </w:rPr>
              <w:t>n</w:t>
            </w:r>
            <w:r w:rsidRPr="000A0A5F">
              <w:t>idd</w:t>
            </w:r>
            <w:r w:rsidRPr="000A0A5F">
              <w:rPr>
                <w:rFonts w:hint="eastAsia"/>
                <w:lang w:eastAsia="zh-CN"/>
              </w:rPr>
              <w:t>Downlink</w:t>
            </w:r>
            <w:r w:rsidRPr="000A0A5F">
              <w:t>DataTransfer</w:t>
            </w:r>
            <w:r w:rsidRPr="000A0A5F">
              <w:rPr>
                <w:rFonts w:hint="eastAsia"/>
                <w:lang w:eastAsia="zh-CN"/>
              </w:rPr>
              <w:t>s</w:t>
            </w:r>
          </w:p>
        </w:tc>
        <w:tc>
          <w:tcPr>
            <w:tcW w:w="1719" w:type="dxa"/>
            <w:shd w:val="clear" w:color="auto" w:fill="auto"/>
          </w:tcPr>
          <w:p w:rsidR="00CB0DD7" w:rsidRPr="000A0A5F" w:rsidRDefault="00CB0DD7">
            <w:pPr>
              <w:pStyle w:val="TAL"/>
              <w:rPr>
                <w:rFonts w:eastAsia="Times New Roman"/>
              </w:rPr>
            </w:pPr>
            <w:r w:rsidRPr="000A0A5F">
              <w:t>array(Nidd</w:t>
            </w:r>
            <w:r w:rsidRPr="000A0A5F">
              <w:rPr>
                <w:rFonts w:hint="eastAsia"/>
                <w:lang w:eastAsia="zh-CN"/>
              </w:rPr>
              <w:t>Downlink</w:t>
            </w:r>
            <w:r w:rsidRPr="000A0A5F">
              <w:t>DataTransfer)</w:t>
            </w:r>
          </w:p>
        </w:tc>
        <w:tc>
          <w:tcPr>
            <w:tcW w:w="1134" w:type="dxa"/>
            <w:shd w:val="clear" w:color="auto" w:fill="auto"/>
          </w:tcPr>
          <w:p w:rsidR="00CB0DD7" w:rsidRPr="000A0A5F" w:rsidRDefault="00CB0DD7">
            <w:pPr>
              <w:pStyle w:val="TAL"/>
              <w:rPr>
                <w:rFonts w:hint="eastAsia"/>
                <w:lang w:eastAsia="zh-CN"/>
              </w:rPr>
            </w:pPr>
            <w:r w:rsidRPr="000A0A5F">
              <w:rPr>
                <w:rFonts w:eastAsia="Times New Roman"/>
              </w:rPr>
              <w:t>0..N</w:t>
            </w:r>
          </w:p>
        </w:tc>
        <w:tc>
          <w:tcPr>
            <w:tcW w:w="3544" w:type="dxa"/>
            <w:shd w:val="clear" w:color="auto" w:fill="auto"/>
          </w:tcPr>
          <w:p w:rsidR="00CB0DD7" w:rsidRPr="000A0A5F" w:rsidRDefault="00CB0DD7">
            <w:pPr>
              <w:pStyle w:val="TAL"/>
              <w:spacing w:afterLines="50" w:after="120"/>
              <w:rPr>
                <w:rFonts w:cs="Arial"/>
                <w:szCs w:val="18"/>
                <w:lang w:val="en-US" w:eastAsia="zh-CN"/>
              </w:rPr>
            </w:pPr>
            <w:r w:rsidRPr="000A0A5F">
              <w:rPr>
                <w:rFonts w:cs="Arial"/>
                <w:szCs w:val="18"/>
                <w:lang w:val="en-US" w:eastAsia="zh-CN"/>
              </w:rPr>
              <w:t xml:space="preserve">The </w:t>
            </w:r>
            <w:r w:rsidRPr="000A0A5F">
              <w:rPr>
                <w:rFonts w:cs="Arial" w:hint="eastAsia"/>
                <w:szCs w:val="18"/>
                <w:lang w:val="en-US" w:eastAsia="zh-CN"/>
              </w:rPr>
              <w:t xml:space="preserve">downlink data </w:t>
            </w:r>
            <w:r w:rsidRPr="000A0A5F">
              <w:rPr>
                <w:rFonts w:cs="Arial"/>
                <w:szCs w:val="18"/>
                <w:lang w:val="en-US" w:eastAsia="zh-CN"/>
              </w:rPr>
              <w:t>deliveries</w:t>
            </w:r>
            <w:r w:rsidRPr="000A0A5F">
              <w:rPr>
                <w:rFonts w:cs="Arial" w:hint="eastAsia"/>
                <w:szCs w:val="18"/>
                <w:lang w:val="en-US" w:eastAsia="zh-CN"/>
              </w:rPr>
              <w:t xml:space="preserve"> </w:t>
            </w:r>
            <w:r w:rsidRPr="000A0A5F">
              <w:rPr>
                <w:rFonts w:cs="Arial"/>
                <w:szCs w:val="18"/>
                <w:lang w:val="en-US" w:eastAsia="zh-CN"/>
              </w:rPr>
              <w:t xml:space="preserve">that needed to be </w:t>
            </w:r>
            <w:r w:rsidRPr="000A0A5F">
              <w:rPr>
                <w:rFonts w:cs="Arial" w:hint="eastAsia"/>
                <w:szCs w:val="18"/>
                <w:lang w:val="en-US" w:eastAsia="zh-CN"/>
              </w:rPr>
              <w:t xml:space="preserve">executed by the SCEF. </w:t>
            </w:r>
            <w:r w:rsidRPr="000A0A5F">
              <w:rPr>
                <w:rFonts w:cs="Arial"/>
                <w:szCs w:val="18"/>
                <w:lang w:val="en-US" w:eastAsia="zh-CN"/>
              </w:rPr>
              <w:t>The cardinality of the property shall be 0..1 in the request and 0..N in the response (i.e. response may contain multiple buffered MT NIDD).</w:t>
            </w:r>
          </w:p>
          <w:p w:rsidR="00CB0DD7" w:rsidRPr="000A0A5F" w:rsidRDefault="00CB0DD7">
            <w:pPr>
              <w:pStyle w:val="TAL"/>
              <w:spacing w:afterLines="50" w:after="120"/>
              <w:rPr>
                <w:rFonts w:cs="Arial" w:hint="eastAsia"/>
                <w:szCs w:val="18"/>
                <w:lang w:val="en-US" w:eastAsia="zh-CN"/>
              </w:rPr>
            </w:pPr>
            <w:r w:rsidRPr="000A0A5F">
              <w:rPr>
                <w:rFonts w:cs="Arial"/>
                <w:szCs w:val="18"/>
                <w:lang w:val="en-US" w:eastAsia="zh-CN"/>
              </w:rPr>
              <w:t xml:space="preserve">For </w:t>
            </w:r>
            <w:r w:rsidRPr="000A0A5F">
              <w:rPr>
                <w:rFonts w:hint="eastAsia"/>
                <w:lang w:eastAsia="zh-CN"/>
              </w:rPr>
              <w:t>GroupMessageDelivery</w:t>
            </w:r>
            <w:r w:rsidRPr="000A0A5F">
              <w:rPr>
                <w:lang w:eastAsia="zh-CN"/>
              </w:rPr>
              <w:t xml:space="preserve"> feature, this property is only applicable for the configuration response to GET request.</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rPr>
                <w:rFonts w:eastAsia="Times New Roman"/>
              </w:rPr>
            </w:pPr>
            <w:r w:rsidRPr="000A0A5F">
              <w:rPr>
                <w:rFonts w:eastAsia="Times New Roman"/>
              </w:rPr>
              <w:t>status</w:t>
            </w:r>
          </w:p>
        </w:tc>
        <w:tc>
          <w:tcPr>
            <w:tcW w:w="1719" w:type="dxa"/>
            <w:shd w:val="clear" w:color="auto" w:fill="auto"/>
          </w:tcPr>
          <w:p w:rsidR="00CB0DD7" w:rsidRPr="000A0A5F" w:rsidRDefault="00CB0DD7">
            <w:pPr>
              <w:pStyle w:val="TAL"/>
              <w:rPr>
                <w:rFonts w:eastAsia="Times New Roman"/>
              </w:rPr>
            </w:pPr>
            <w:r w:rsidRPr="000A0A5F">
              <w:rPr>
                <w:rFonts w:eastAsia="Times New Roman"/>
              </w:rPr>
              <w:t>NiddStatus</w:t>
            </w:r>
          </w:p>
        </w:tc>
        <w:tc>
          <w:tcPr>
            <w:tcW w:w="1134" w:type="dxa"/>
            <w:shd w:val="clear" w:color="auto" w:fill="auto"/>
          </w:tcPr>
          <w:p w:rsidR="00CB0DD7" w:rsidRPr="000A0A5F" w:rsidRDefault="00CB0DD7">
            <w:pPr>
              <w:pStyle w:val="TAL"/>
              <w:rPr>
                <w:rFonts w:eastAsia="Times New Roman"/>
              </w:rPr>
            </w:pPr>
            <w:r w:rsidRPr="000A0A5F">
              <w:rPr>
                <w:rFonts w:eastAsia="Times New Roman"/>
              </w:rPr>
              <w:t>0..1</w:t>
            </w:r>
          </w:p>
        </w:tc>
        <w:tc>
          <w:tcPr>
            <w:tcW w:w="3544" w:type="dxa"/>
            <w:shd w:val="clear" w:color="auto" w:fill="auto"/>
          </w:tcPr>
          <w:p w:rsidR="00CB0DD7" w:rsidRPr="000A0A5F" w:rsidRDefault="00CB0DD7">
            <w:pPr>
              <w:pStyle w:val="TAL"/>
              <w:rPr>
                <w:rFonts w:eastAsia="Times New Roman" w:cs="Arial"/>
                <w:szCs w:val="18"/>
              </w:rPr>
            </w:pPr>
            <w:r w:rsidRPr="000A0A5F">
              <w:rPr>
                <w:rFonts w:cs="Arial" w:hint="eastAsia"/>
                <w:szCs w:val="18"/>
                <w:lang w:eastAsia="zh-CN"/>
              </w:rPr>
              <w:t>May</w:t>
            </w:r>
            <w:r w:rsidRPr="000A0A5F">
              <w:rPr>
                <w:rFonts w:eastAsia="Times New Roman" w:cs="Arial"/>
                <w:szCs w:val="18"/>
              </w:rPr>
              <w:t xml:space="preserve"> be supplied by the SCEF</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9602" w:type="dxa"/>
            <w:gridSpan w:val="5"/>
            <w:shd w:val="clear" w:color="auto" w:fill="auto"/>
          </w:tcPr>
          <w:p w:rsidR="00CB0DD7" w:rsidRPr="000A0A5F" w:rsidRDefault="00CB0DD7">
            <w:pPr>
              <w:pStyle w:val="TAN"/>
            </w:pPr>
            <w:r w:rsidRPr="000A0A5F">
              <w:t>NOTE 1:</w:t>
            </w:r>
            <w:r w:rsidRPr="000A0A5F">
              <w:tab/>
              <w:t>Properties marked with a feature as defined in clause 5.6.4 are applicable as described in clause 5.2.7. If no features are indicated, the related property applies for all the features unless stated otherwise.</w:t>
            </w:r>
          </w:p>
          <w:p w:rsidR="00CB0DD7" w:rsidRPr="000A0A5F" w:rsidRDefault="00CB0DD7">
            <w:pPr>
              <w:pStyle w:val="TAN"/>
              <w:rPr>
                <w:noProof/>
                <w:lang w:eastAsia="zh-CN"/>
              </w:rPr>
            </w:pPr>
            <w:r w:rsidRPr="000A0A5F">
              <w:rPr>
                <w:noProof/>
                <w:lang w:eastAsia="zh-CN"/>
              </w:rPr>
              <w:t>NOTE</w:t>
            </w:r>
            <w:r w:rsidRPr="000A0A5F">
              <w:t> 2</w:t>
            </w:r>
            <w:r w:rsidRPr="000A0A5F">
              <w:rPr>
                <w:noProof/>
                <w:lang w:eastAsia="zh-CN"/>
              </w:rPr>
              <w:t>:</w:t>
            </w:r>
            <w:r w:rsidRPr="000A0A5F">
              <w:rPr>
                <w:noProof/>
                <w:lang w:eastAsia="zh-CN"/>
              </w:rPr>
              <w:tab/>
              <w:t>One of the properties</w:t>
            </w:r>
            <w:r w:rsidRPr="000A0A5F">
              <w:rPr>
                <w:rFonts w:hint="eastAsia"/>
                <w:noProof/>
                <w:lang w:eastAsia="zh-CN"/>
              </w:rPr>
              <w:t xml:space="preserve"> </w:t>
            </w:r>
            <w:r w:rsidRPr="000A0A5F">
              <w:rPr>
                <w:noProof/>
                <w:lang w:eastAsia="zh-CN"/>
              </w:rPr>
              <w:t>"externalId", "msisdn" or "</w:t>
            </w:r>
            <w:r w:rsidRPr="000A0A5F">
              <w:rPr>
                <w:lang w:eastAsia="zh-CN"/>
              </w:rPr>
              <w:t>e</w:t>
            </w:r>
            <w:r w:rsidRPr="000A0A5F">
              <w:rPr>
                <w:rFonts w:hint="eastAsia"/>
                <w:lang w:eastAsia="zh-CN"/>
              </w:rPr>
              <w:t>xternalGroup</w:t>
            </w:r>
            <w:r w:rsidRPr="000A0A5F">
              <w:rPr>
                <w:lang w:eastAsia="zh-CN"/>
              </w:rPr>
              <w:t>Id</w:t>
            </w:r>
            <w:r w:rsidRPr="000A0A5F">
              <w:rPr>
                <w:noProof/>
                <w:lang w:eastAsia="zh-CN"/>
              </w:rPr>
              <w:t>" shall be included.</w:t>
            </w:r>
          </w:p>
          <w:p w:rsidR="00CB0DD7" w:rsidRPr="000A0A5F" w:rsidRDefault="00CB0DD7">
            <w:pPr>
              <w:pStyle w:val="TAN"/>
            </w:pPr>
            <w:r w:rsidRPr="000A0A5F">
              <w:rPr>
                <w:rFonts w:eastAsia="Times New Roman"/>
              </w:rPr>
              <w:t>NOTE 3:</w:t>
            </w:r>
            <w:r w:rsidRPr="000A0A5F">
              <w:rPr>
                <w:rFonts w:eastAsia="Times New Roman"/>
              </w:rPr>
              <w:tab/>
              <w:t xml:space="preserve">The SCEF should check received MTC provider identifier and then the SCEF may: </w:t>
            </w:r>
            <w:r w:rsidRPr="000A0A5F">
              <w:rPr>
                <w:rFonts w:eastAsia="Times New Roman"/>
              </w:rPr>
              <w:br/>
              <w:t>-</w:t>
            </w:r>
            <w:r w:rsidRPr="000A0A5F">
              <w:rPr>
                <w:rFonts w:eastAsia="Times New Roman"/>
              </w:rPr>
              <w:tab/>
              <w:t>override it with local configured value and send it to HSS;</w:t>
            </w:r>
            <w:r w:rsidRPr="000A0A5F">
              <w:rPr>
                <w:rFonts w:eastAsia="Times New Roman"/>
              </w:rPr>
              <w:br/>
              <w:t>-</w:t>
            </w:r>
            <w:r w:rsidRPr="000A0A5F">
              <w:rPr>
                <w:rFonts w:eastAsia="Times New Roman"/>
              </w:rPr>
              <w:tab/>
              <w:t>send it directly to the HSS; or</w:t>
            </w:r>
            <w:r w:rsidRPr="000A0A5F">
              <w:rPr>
                <w:rFonts w:eastAsia="Times New Roman"/>
              </w:rPr>
              <w:br/>
              <w:t>-</w:t>
            </w:r>
            <w:r w:rsidRPr="000A0A5F">
              <w:rPr>
                <w:rFonts w:eastAsia="Times New Roman"/>
              </w:rPr>
              <w:tab/>
              <w:t>reject the NIDD configuration request.</w:t>
            </w:r>
          </w:p>
        </w:tc>
      </w:tr>
    </w:tbl>
    <w:p w:rsidR="00CB0DD7" w:rsidRPr="000A0A5F" w:rsidRDefault="00CB0DD7"/>
    <w:p w:rsidR="00CB0DD7" w:rsidRPr="000A0A5F" w:rsidRDefault="00CB0DD7">
      <w:pPr>
        <w:pStyle w:val="Heading5"/>
      </w:pPr>
      <w:bookmarkStart w:id="3552" w:name="_Toc11247441"/>
      <w:bookmarkStart w:id="3553" w:name="_Toc27044563"/>
      <w:bookmarkStart w:id="3554" w:name="_Toc36033605"/>
      <w:bookmarkStart w:id="3555" w:name="_Toc45131740"/>
      <w:bookmarkStart w:id="3556" w:name="_Toc49776025"/>
      <w:bookmarkStart w:id="3557" w:name="_Toc51746945"/>
      <w:bookmarkStart w:id="3558" w:name="_Toc66360499"/>
      <w:bookmarkStart w:id="3559" w:name="_Toc68105004"/>
      <w:bookmarkStart w:id="3560" w:name="_Toc74755634"/>
      <w:bookmarkStart w:id="3561" w:name="_Toc105674507"/>
      <w:bookmarkStart w:id="3562" w:name="_Toc130502555"/>
      <w:bookmarkStart w:id="3563" w:name="_Toc153625342"/>
      <w:r w:rsidRPr="000A0A5F">
        <w:t>5.6.2.1.3</w:t>
      </w:r>
      <w:r w:rsidRPr="000A0A5F">
        <w:tab/>
        <w:t>Type: NiddDownlinkDataTransfer</w:t>
      </w:r>
      <w:bookmarkEnd w:id="3552"/>
      <w:bookmarkEnd w:id="3553"/>
      <w:bookmarkEnd w:id="3554"/>
      <w:bookmarkEnd w:id="3555"/>
      <w:bookmarkEnd w:id="3556"/>
      <w:bookmarkEnd w:id="3557"/>
      <w:bookmarkEnd w:id="3558"/>
      <w:bookmarkEnd w:id="3559"/>
      <w:bookmarkEnd w:id="3560"/>
      <w:bookmarkEnd w:id="3561"/>
      <w:bookmarkEnd w:id="3562"/>
      <w:bookmarkEnd w:id="3563"/>
    </w:p>
    <w:p w:rsidR="00CB0DD7" w:rsidRPr="000A0A5F" w:rsidRDefault="00CB0DD7">
      <w:r w:rsidRPr="000A0A5F">
        <w:t>This type represents received NIDD downlin</w:t>
      </w:r>
      <w:r w:rsidRPr="000A0A5F">
        <w:rPr>
          <w:rFonts w:hint="eastAsia"/>
          <w:lang w:eastAsia="zh-CN"/>
        </w:rPr>
        <w:t>k data from the SCS/AS</w:t>
      </w:r>
      <w:r w:rsidRPr="000A0A5F">
        <w:t>.</w:t>
      </w:r>
    </w:p>
    <w:p w:rsidR="00CB0DD7" w:rsidRPr="000A0A5F" w:rsidRDefault="00CB0DD7">
      <w:pPr>
        <w:pStyle w:val="TH"/>
      </w:pPr>
      <w:r w:rsidRPr="000A0A5F">
        <w:rPr>
          <w:noProof/>
        </w:rPr>
        <w:t>Table </w:t>
      </w:r>
      <w:r w:rsidRPr="000A0A5F">
        <w:t xml:space="preserve">5.6.2.1.3-1: </w:t>
      </w:r>
      <w:r w:rsidRPr="000A0A5F">
        <w:rPr>
          <w:noProof/>
        </w:rPr>
        <w:t xml:space="preserve">Definition of type </w:t>
      </w:r>
      <w:r w:rsidRPr="000A0A5F">
        <w:t>NiddDownlinkDataTransfer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948"/>
        <w:gridCol w:w="1577"/>
        <w:gridCol w:w="1134"/>
        <w:gridCol w:w="3686"/>
        <w:gridCol w:w="1257"/>
      </w:tblGrid>
      <w:tr w:rsidR="00CB0DD7" w:rsidRPr="000A0A5F" w:rsidTr="00FF0AF8">
        <w:trPr>
          <w:jc w:val="center"/>
        </w:trPr>
        <w:tc>
          <w:tcPr>
            <w:tcW w:w="1948" w:type="dxa"/>
            <w:shd w:val="clear" w:color="auto" w:fill="C0C0C0"/>
          </w:tcPr>
          <w:p w:rsidR="00CB0DD7" w:rsidRPr="000A0A5F" w:rsidRDefault="00CB0DD7">
            <w:pPr>
              <w:pStyle w:val="TAH"/>
              <w:rPr>
                <w:rFonts w:eastAsia="Times New Roman"/>
              </w:rPr>
            </w:pPr>
            <w:r w:rsidRPr="000A0A5F">
              <w:rPr>
                <w:rFonts w:eastAsia="Times New Roman"/>
              </w:rPr>
              <w:t>Attribute name</w:t>
            </w:r>
          </w:p>
        </w:tc>
        <w:tc>
          <w:tcPr>
            <w:tcW w:w="1577" w:type="dxa"/>
            <w:shd w:val="clear" w:color="auto" w:fill="C0C0C0"/>
          </w:tcPr>
          <w:p w:rsidR="00CB0DD7" w:rsidRPr="000A0A5F" w:rsidRDefault="00CB0DD7">
            <w:pPr>
              <w:pStyle w:val="TAH"/>
              <w:rPr>
                <w:rFonts w:eastAsia="Times New Roman"/>
              </w:rPr>
            </w:pPr>
            <w:r w:rsidRPr="000A0A5F">
              <w:rPr>
                <w:rFonts w:eastAsia="Times New Roman"/>
              </w:rPr>
              <w:t>Data type</w:t>
            </w:r>
          </w:p>
        </w:tc>
        <w:tc>
          <w:tcPr>
            <w:tcW w:w="1134" w:type="dxa"/>
            <w:shd w:val="clear" w:color="auto" w:fill="C0C0C0"/>
          </w:tcPr>
          <w:p w:rsidR="00CB0DD7" w:rsidRPr="000A0A5F" w:rsidRDefault="00CB0DD7">
            <w:pPr>
              <w:pStyle w:val="TAH"/>
              <w:jc w:val="left"/>
              <w:rPr>
                <w:rFonts w:eastAsia="Times New Roman"/>
              </w:rPr>
            </w:pPr>
            <w:r w:rsidRPr="000A0A5F">
              <w:rPr>
                <w:rFonts w:eastAsia="Times New Roman"/>
              </w:rPr>
              <w:t>Cardinality</w:t>
            </w:r>
          </w:p>
        </w:tc>
        <w:tc>
          <w:tcPr>
            <w:tcW w:w="3686"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Description</w:t>
            </w:r>
          </w:p>
        </w:tc>
        <w:tc>
          <w:tcPr>
            <w:tcW w:w="1257"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Applicability (NOTE 1)</w:t>
            </w:r>
          </w:p>
        </w:tc>
      </w:tr>
      <w:tr w:rsidR="00CB0DD7" w:rsidRPr="000A0A5F" w:rsidTr="00FF0AF8">
        <w:trPr>
          <w:jc w:val="center"/>
        </w:trPr>
        <w:tc>
          <w:tcPr>
            <w:tcW w:w="1948" w:type="dxa"/>
            <w:shd w:val="clear" w:color="auto" w:fill="auto"/>
          </w:tcPr>
          <w:p w:rsidR="00CB0DD7" w:rsidRPr="000A0A5F" w:rsidRDefault="00CB0DD7">
            <w:pPr>
              <w:pStyle w:val="TAL"/>
              <w:rPr>
                <w:lang w:eastAsia="zh-CN"/>
              </w:rPr>
            </w:pPr>
            <w:r w:rsidRPr="000A0A5F">
              <w:rPr>
                <w:lang w:eastAsia="zh-CN"/>
              </w:rPr>
              <w:t>e</w:t>
            </w:r>
            <w:r w:rsidRPr="000A0A5F">
              <w:rPr>
                <w:rFonts w:hint="eastAsia"/>
                <w:lang w:eastAsia="zh-CN"/>
              </w:rPr>
              <w:t>xternal</w:t>
            </w:r>
            <w:r w:rsidRPr="000A0A5F">
              <w:rPr>
                <w:lang w:eastAsia="zh-CN"/>
              </w:rPr>
              <w:t>Id</w:t>
            </w:r>
          </w:p>
        </w:tc>
        <w:tc>
          <w:tcPr>
            <w:tcW w:w="1577" w:type="dxa"/>
            <w:shd w:val="clear" w:color="auto" w:fill="auto"/>
          </w:tcPr>
          <w:p w:rsidR="00CB0DD7" w:rsidRPr="000A0A5F" w:rsidRDefault="00CB0DD7">
            <w:pPr>
              <w:pStyle w:val="TAL"/>
              <w:rPr>
                <w:rFonts w:eastAsia="Times New Roman"/>
              </w:rPr>
            </w:pPr>
            <w:r w:rsidRPr="000A0A5F">
              <w:rPr>
                <w:lang w:eastAsia="zh-CN"/>
              </w:rPr>
              <w:t>ExternalId</w:t>
            </w:r>
          </w:p>
        </w:tc>
        <w:tc>
          <w:tcPr>
            <w:tcW w:w="1134" w:type="dxa"/>
            <w:shd w:val="clear" w:color="auto" w:fill="auto"/>
          </w:tcPr>
          <w:p w:rsidR="00CB0DD7" w:rsidRPr="000A0A5F" w:rsidRDefault="00CB0DD7">
            <w:pPr>
              <w:pStyle w:val="TAL"/>
              <w:rPr>
                <w:rFonts w:eastAsia="Times New Roman"/>
              </w:rPr>
            </w:pPr>
            <w:r w:rsidRPr="000A0A5F">
              <w:rPr>
                <w:rFonts w:eastAsia="Times New Roman"/>
              </w:rPr>
              <w:t>0..1</w:t>
            </w:r>
          </w:p>
        </w:tc>
        <w:tc>
          <w:tcPr>
            <w:tcW w:w="3686" w:type="dxa"/>
            <w:shd w:val="clear" w:color="auto" w:fill="auto"/>
          </w:tcPr>
          <w:p w:rsidR="00CB0DD7" w:rsidRPr="000A0A5F" w:rsidRDefault="00CB0DD7">
            <w:pPr>
              <w:pStyle w:val="TAL"/>
              <w:rPr>
                <w:rFonts w:eastAsia="Times New Roman" w:cs="Arial"/>
                <w:szCs w:val="18"/>
              </w:rPr>
            </w:pPr>
            <w:r w:rsidRPr="000A0A5F">
              <w:rPr>
                <w:rFonts w:eastAsia="Times New Roman" w:cs="Arial"/>
                <w:szCs w:val="18"/>
              </w:rPr>
              <w:t>Each element uniquely identifies a user as defined in clause 4.6.2 of 3GPP TS 23.682 [2].</w:t>
            </w:r>
          </w:p>
          <w:p w:rsidR="00CB0DD7" w:rsidRPr="000A0A5F" w:rsidRDefault="00CB0DD7">
            <w:pPr>
              <w:pStyle w:val="TAL"/>
              <w:rPr>
                <w:rFonts w:cs="Arial" w:hint="eastAsia"/>
                <w:szCs w:val="18"/>
                <w:lang w:eastAsia="zh-CN"/>
              </w:rPr>
            </w:pPr>
            <w:r w:rsidRPr="000A0A5F">
              <w:rPr>
                <w:rFonts w:cs="Arial" w:hint="eastAsia"/>
                <w:szCs w:val="18"/>
                <w:lang w:eastAsia="zh-CN"/>
              </w:rPr>
              <w:t>(</w:t>
            </w:r>
            <w:r w:rsidRPr="000A0A5F">
              <w:rPr>
                <w:rFonts w:cs="Arial"/>
                <w:szCs w:val="18"/>
                <w:lang w:eastAsia="zh-CN"/>
              </w:rPr>
              <w:t>NOTE 2</w:t>
            </w:r>
            <w:r w:rsidRPr="000A0A5F">
              <w:rPr>
                <w:rFonts w:cs="Arial" w:hint="eastAsia"/>
                <w:szCs w:val="18"/>
                <w:lang w:eastAsia="zh-CN"/>
              </w:rPr>
              <w:t>)</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rPr>
                <w:lang w:eastAsia="zh-CN"/>
              </w:rPr>
            </w:pPr>
            <w:r w:rsidRPr="000A0A5F">
              <w:rPr>
                <w:lang w:eastAsia="zh-CN"/>
              </w:rPr>
              <w:t>e</w:t>
            </w:r>
            <w:r w:rsidRPr="000A0A5F">
              <w:rPr>
                <w:rFonts w:hint="eastAsia"/>
                <w:lang w:eastAsia="zh-CN"/>
              </w:rPr>
              <w:t>xternalGroup</w:t>
            </w:r>
            <w:r w:rsidRPr="000A0A5F">
              <w:rPr>
                <w:lang w:eastAsia="zh-CN"/>
              </w:rPr>
              <w:t>Id</w:t>
            </w:r>
          </w:p>
        </w:tc>
        <w:tc>
          <w:tcPr>
            <w:tcW w:w="1577" w:type="dxa"/>
            <w:shd w:val="clear" w:color="auto" w:fill="auto"/>
          </w:tcPr>
          <w:p w:rsidR="00CB0DD7" w:rsidRPr="000A0A5F" w:rsidRDefault="00CB0DD7">
            <w:pPr>
              <w:pStyle w:val="TAL"/>
              <w:rPr>
                <w:lang w:eastAsia="zh-CN"/>
              </w:rPr>
            </w:pPr>
            <w:r w:rsidRPr="000A0A5F">
              <w:rPr>
                <w:lang w:eastAsia="zh-CN"/>
              </w:rPr>
              <w:t>ExternalGroupId</w:t>
            </w:r>
          </w:p>
        </w:tc>
        <w:tc>
          <w:tcPr>
            <w:tcW w:w="1134" w:type="dxa"/>
            <w:shd w:val="clear" w:color="auto" w:fill="auto"/>
          </w:tcPr>
          <w:p w:rsidR="00CB0DD7" w:rsidRPr="000A0A5F" w:rsidRDefault="00CB0DD7">
            <w:pPr>
              <w:pStyle w:val="TAL"/>
              <w:rPr>
                <w:rFonts w:eastAsia="Times New Roman"/>
              </w:rPr>
            </w:pPr>
            <w:r w:rsidRPr="000A0A5F">
              <w:rPr>
                <w:rFonts w:eastAsia="Times New Roman"/>
              </w:rPr>
              <w:t>0..1</w:t>
            </w:r>
          </w:p>
        </w:tc>
        <w:tc>
          <w:tcPr>
            <w:tcW w:w="3686" w:type="dxa"/>
            <w:shd w:val="clear" w:color="auto" w:fill="auto"/>
          </w:tcPr>
          <w:p w:rsidR="00CB0DD7" w:rsidRPr="000A0A5F" w:rsidRDefault="00CB0DD7">
            <w:pPr>
              <w:pStyle w:val="TAL"/>
              <w:rPr>
                <w:rFonts w:eastAsia="Times New Roman" w:cs="Arial"/>
                <w:szCs w:val="18"/>
              </w:rPr>
            </w:pPr>
            <w:r w:rsidRPr="000A0A5F">
              <w:rPr>
                <w:rFonts w:eastAsia="Times New Roman" w:cs="Arial"/>
                <w:szCs w:val="18"/>
              </w:rPr>
              <w:t>Identifies a user group as defined in clause 4.6.3 of 3GPP TS 23.682 [2].</w:t>
            </w:r>
          </w:p>
          <w:p w:rsidR="00CB0DD7" w:rsidRPr="000A0A5F" w:rsidRDefault="00CB0DD7">
            <w:pPr>
              <w:pStyle w:val="TAL"/>
              <w:rPr>
                <w:rFonts w:eastAsia="Times New Roman" w:cs="Arial"/>
                <w:szCs w:val="18"/>
              </w:rPr>
            </w:pPr>
            <w:r w:rsidRPr="000A0A5F">
              <w:rPr>
                <w:rFonts w:cs="Arial" w:hint="eastAsia"/>
                <w:szCs w:val="18"/>
                <w:lang w:eastAsia="zh-CN"/>
              </w:rPr>
              <w:t>(</w:t>
            </w:r>
            <w:r w:rsidRPr="000A0A5F">
              <w:rPr>
                <w:rFonts w:cs="Arial"/>
                <w:szCs w:val="18"/>
                <w:lang w:eastAsia="zh-CN"/>
              </w:rPr>
              <w:t>NOTE 2</w:t>
            </w:r>
            <w:r w:rsidRPr="000A0A5F">
              <w:rPr>
                <w:rFonts w:cs="Arial" w:hint="eastAsia"/>
                <w:szCs w:val="18"/>
                <w:lang w:eastAsia="zh-CN"/>
              </w:rPr>
              <w:t>)</w:t>
            </w:r>
          </w:p>
        </w:tc>
        <w:tc>
          <w:tcPr>
            <w:tcW w:w="1257" w:type="dxa"/>
          </w:tcPr>
          <w:p w:rsidR="00CB0DD7" w:rsidRPr="000A0A5F" w:rsidRDefault="00CB0DD7">
            <w:pPr>
              <w:pStyle w:val="TAL"/>
              <w:rPr>
                <w:rFonts w:eastAsia="Times New Roman" w:cs="Arial"/>
                <w:szCs w:val="18"/>
              </w:rPr>
            </w:pPr>
            <w:r w:rsidRPr="000A0A5F">
              <w:rPr>
                <w:rFonts w:hint="eastAsia"/>
                <w:lang w:eastAsia="zh-CN"/>
              </w:rPr>
              <w:t>GroupMessageDelivery</w:t>
            </w:r>
          </w:p>
        </w:tc>
      </w:tr>
      <w:tr w:rsidR="00CB0DD7" w:rsidRPr="000A0A5F" w:rsidTr="00FF0AF8">
        <w:trPr>
          <w:jc w:val="center"/>
        </w:trPr>
        <w:tc>
          <w:tcPr>
            <w:tcW w:w="1948" w:type="dxa"/>
            <w:shd w:val="clear" w:color="auto" w:fill="auto"/>
          </w:tcPr>
          <w:p w:rsidR="00CB0DD7" w:rsidRPr="000A0A5F" w:rsidRDefault="00CB0DD7">
            <w:pPr>
              <w:pStyle w:val="TAL"/>
              <w:rPr>
                <w:rFonts w:eastAsia="Times New Roman"/>
              </w:rPr>
            </w:pPr>
            <w:r w:rsidRPr="000A0A5F">
              <w:rPr>
                <w:lang w:eastAsia="zh-CN"/>
              </w:rPr>
              <w:t>msisdn</w:t>
            </w:r>
          </w:p>
        </w:tc>
        <w:tc>
          <w:tcPr>
            <w:tcW w:w="1577" w:type="dxa"/>
            <w:shd w:val="clear" w:color="auto" w:fill="auto"/>
          </w:tcPr>
          <w:p w:rsidR="00CB0DD7" w:rsidRPr="000A0A5F" w:rsidRDefault="00CB0DD7">
            <w:pPr>
              <w:pStyle w:val="TAL"/>
              <w:rPr>
                <w:rFonts w:eastAsia="Times New Roman"/>
              </w:rPr>
            </w:pPr>
            <w:r w:rsidRPr="000A0A5F">
              <w:rPr>
                <w:lang w:eastAsia="zh-CN"/>
              </w:rPr>
              <w:t>Msisdn</w:t>
            </w:r>
          </w:p>
        </w:tc>
        <w:tc>
          <w:tcPr>
            <w:tcW w:w="1134" w:type="dxa"/>
            <w:shd w:val="clear" w:color="auto" w:fill="auto"/>
          </w:tcPr>
          <w:p w:rsidR="00CB0DD7" w:rsidRPr="000A0A5F" w:rsidRDefault="00CB0DD7">
            <w:pPr>
              <w:pStyle w:val="TAL"/>
              <w:rPr>
                <w:rFonts w:eastAsia="Times New Roman"/>
              </w:rPr>
            </w:pPr>
            <w:r w:rsidRPr="000A0A5F">
              <w:rPr>
                <w:rFonts w:eastAsia="Times New Roman"/>
              </w:rPr>
              <w:t>0..1</w:t>
            </w:r>
          </w:p>
        </w:tc>
        <w:tc>
          <w:tcPr>
            <w:tcW w:w="3686" w:type="dxa"/>
            <w:shd w:val="clear" w:color="auto" w:fill="auto"/>
          </w:tcPr>
          <w:p w:rsidR="00CB0DD7" w:rsidRPr="000A0A5F" w:rsidRDefault="00CB0DD7">
            <w:pPr>
              <w:pStyle w:val="TAL"/>
              <w:rPr>
                <w:rFonts w:cs="Arial"/>
                <w:szCs w:val="18"/>
                <w:lang w:eastAsia="zh-CN"/>
              </w:rPr>
            </w:pPr>
            <w:r w:rsidRPr="000A0A5F">
              <w:rPr>
                <w:rFonts w:eastAsia="Times New Roman" w:cs="Arial"/>
                <w:szCs w:val="18"/>
              </w:rPr>
              <w:t>Each element</w:t>
            </w:r>
            <w:r w:rsidRPr="000A0A5F">
              <w:rPr>
                <w:rFonts w:cs="Arial"/>
                <w:szCs w:val="18"/>
                <w:lang w:eastAsia="zh-CN"/>
              </w:rPr>
              <w:t xml:space="preserve"> identifies the MS internal PSTN/ISDN number allocated for a UE.</w:t>
            </w:r>
          </w:p>
          <w:p w:rsidR="00CB0DD7" w:rsidRPr="000A0A5F" w:rsidRDefault="00CB0DD7">
            <w:pPr>
              <w:pStyle w:val="TAL"/>
              <w:rPr>
                <w:rFonts w:cs="Arial"/>
                <w:szCs w:val="18"/>
                <w:lang w:eastAsia="zh-CN"/>
              </w:rPr>
            </w:pPr>
            <w:r w:rsidRPr="000A0A5F">
              <w:rPr>
                <w:rFonts w:cs="Arial" w:hint="eastAsia"/>
                <w:szCs w:val="18"/>
                <w:lang w:eastAsia="zh-CN"/>
              </w:rPr>
              <w:t>(</w:t>
            </w:r>
            <w:r w:rsidRPr="000A0A5F">
              <w:rPr>
                <w:rFonts w:cs="Arial"/>
                <w:szCs w:val="18"/>
                <w:lang w:eastAsia="zh-CN"/>
              </w:rPr>
              <w:t>NOTE 2</w:t>
            </w:r>
            <w:r w:rsidRPr="000A0A5F">
              <w:rPr>
                <w:rFonts w:cs="Arial" w:hint="eastAsia"/>
                <w:szCs w:val="18"/>
                <w:lang w:eastAsia="zh-CN"/>
              </w:rPr>
              <w:t>)</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rPr>
                <w:rFonts w:eastAsia="Times New Roman"/>
              </w:rPr>
            </w:pPr>
            <w:r w:rsidRPr="000A0A5F">
              <w:rPr>
                <w:rFonts w:eastAsia="Times New Roman"/>
              </w:rPr>
              <w:t>self</w:t>
            </w:r>
          </w:p>
        </w:tc>
        <w:tc>
          <w:tcPr>
            <w:tcW w:w="1577" w:type="dxa"/>
            <w:shd w:val="clear" w:color="auto" w:fill="auto"/>
          </w:tcPr>
          <w:p w:rsidR="00CB0DD7" w:rsidRPr="000A0A5F" w:rsidRDefault="00CB0DD7">
            <w:pPr>
              <w:pStyle w:val="TAL"/>
              <w:rPr>
                <w:rFonts w:eastAsia="Times New Roman"/>
              </w:rPr>
            </w:pPr>
            <w:r w:rsidRPr="000A0A5F">
              <w:rPr>
                <w:rFonts w:eastAsia="Times New Roman"/>
              </w:rPr>
              <w:t>Link</w:t>
            </w:r>
          </w:p>
        </w:tc>
        <w:tc>
          <w:tcPr>
            <w:tcW w:w="1134" w:type="dxa"/>
            <w:shd w:val="clear" w:color="auto" w:fill="auto"/>
          </w:tcPr>
          <w:p w:rsidR="00CB0DD7" w:rsidRPr="000A0A5F" w:rsidRDefault="00CB0DD7">
            <w:pPr>
              <w:pStyle w:val="TAL"/>
              <w:rPr>
                <w:rFonts w:eastAsia="Times New Roman"/>
              </w:rPr>
            </w:pPr>
            <w:r w:rsidRPr="000A0A5F">
              <w:rPr>
                <w:rFonts w:eastAsia="Times New Roman"/>
              </w:rPr>
              <w:t>0..1</w:t>
            </w:r>
          </w:p>
        </w:tc>
        <w:tc>
          <w:tcPr>
            <w:tcW w:w="3686" w:type="dxa"/>
            <w:shd w:val="clear" w:color="auto" w:fill="auto"/>
          </w:tcPr>
          <w:p w:rsidR="00CB0DD7" w:rsidRPr="000A0A5F" w:rsidRDefault="00CB0DD7">
            <w:pPr>
              <w:pStyle w:val="TAL"/>
              <w:rPr>
                <w:rFonts w:eastAsia="Times New Roman" w:cs="Arial"/>
                <w:szCs w:val="18"/>
              </w:rPr>
            </w:pPr>
            <w:r w:rsidRPr="000A0A5F">
              <w:rPr>
                <w:rFonts w:eastAsia="Times New Roman" w:cs="Arial"/>
                <w:szCs w:val="18"/>
              </w:rPr>
              <w:t xml:space="preserve">Link to the resource </w:t>
            </w:r>
            <w:r w:rsidRPr="000A0A5F">
              <w:t>"Individual NIDD downlink data</w:t>
            </w:r>
            <w:r w:rsidRPr="000A0A5F">
              <w:rPr>
                <w:rFonts w:hint="eastAsia"/>
                <w:lang w:eastAsia="zh-CN"/>
              </w:rPr>
              <w:t xml:space="preserve"> delivery</w:t>
            </w:r>
            <w:r w:rsidRPr="000A0A5F">
              <w:t>"</w:t>
            </w:r>
            <w:r w:rsidRPr="000A0A5F">
              <w:rPr>
                <w:rFonts w:eastAsia="Times New Roman" w:cs="Arial"/>
                <w:szCs w:val="18"/>
              </w:rPr>
              <w:t>. This parameter shall be supplied by the SCEF in HTTP responses.</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rPr>
                <w:rFonts w:eastAsia="Times New Roman"/>
              </w:rPr>
            </w:pPr>
            <w:r w:rsidRPr="000A0A5F">
              <w:rPr>
                <w:rFonts w:eastAsia="Times New Roman"/>
              </w:rPr>
              <w:t>data</w:t>
            </w:r>
          </w:p>
        </w:tc>
        <w:tc>
          <w:tcPr>
            <w:tcW w:w="1577" w:type="dxa"/>
            <w:shd w:val="clear" w:color="auto" w:fill="auto"/>
          </w:tcPr>
          <w:p w:rsidR="00CB0DD7" w:rsidRPr="000A0A5F" w:rsidRDefault="00CB0DD7">
            <w:pPr>
              <w:pStyle w:val="TAL"/>
              <w:rPr>
                <w:rFonts w:eastAsia="Times New Roman"/>
              </w:rPr>
            </w:pPr>
            <w:r w:rsidRPr="000A0A5F">
              <w:rPr>
                <w:lang w:eastAsia="zh-CN"/>
              </w:rPr>
              <w:t>Bytes</w:t>
            </w:r>
          </w:p>
        </w:tc>
        <w:tc>
          <w:tcPr>
            <w:tcW w:w="1134" w:type="dxa"/>
            <w:shd w:val="clear" w:color="auto" w:fill="auto"/>
          </w:tcPr>
          <w:p w:rsidR="00CB0DD7" w:rsidRPr="000A0A5F" w:rsidRDefault="00CB0DD7">
            <w:pPr>
              <w:pStyle w:val="TAL"/>
              <w:rPr>
                <w:rFonts w:eastAsia="Times New Roman"/>
              </w:rPr>
            </w:pPr>
            <w:r w:rsidRPr="000A0A5F">
              <w:rPr>
                <w:rFonts w:eastAsia="Times New Roman"/>
              </w:rPr>
              <w:t>1</w:t>
            </w:r>
          </w:p>
        </w:tc>
        <w:tc>
          <w:tcPr>
            <w:tcW w:w="3686" w:type="dxa"/>
            <w:shd w:val="clear" w:color="auto" w:fill="auto"/>
          </w:tcPr>
          <w:p w:rsidR="00CB0DD7" w:rsidRPr="000A0A5F" w:rsidRDefault="00CB0DD7">
            <w:pPr>
              <w:pStyle w:val="TAL"/>
              <w:rPr>
                <w:rFonts w:cs="Arial" w:hint="eastAsia"/>
                <w:szCs w:val="18"/>
                <w:lang w:val="en-US" w:eastAsia="zh-CN"/>
              </w:rPr>
            </w:pPr>
            <w:r w:rsidRPr="000A0A5F">
              <w:rPr>
                <w:rFonts w:cs="Arial"/>
                <w:szCs w:val="18"/>
                <w:lang w:val="en-US" w:eastAsia="zh-CN"/>
              </w:rPr>
              <w:t>The non-IP data that needed to be delivered to UE from the SCS/AS.</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rPr>
                <w:rFonts w:hint="eastAsia"/>
                <w:lang w:eastAsia="zh-CN"/>
              </w:rPr>
            </w:pPr>
            <w:r w:rsidRPr="000A0A5F">
              <w:rPr>
                <w:rFonts w:eastAsia="Times New Roman"/>
              </w:rPr>
              <w:t>reliableDataService</w:t>
            </w:r>
          </w:p>
        </w:tc>
        <w:tc>
          <w:tcPr>
            <w:tcW w:w="1577" w:type="dxa"/>
            <w:shd w:val="clear" w:color="auto" w:fill="auto"/>
          </w:tcPr>
          <w:p w:rsidR="00CB0DD7" w:rsidRPr="000A0A5F" w:rsidRDefault="00CB0DD7">
            <w:pPr>
              <w:pStyle w:val="TAL"/>
              <w:rPr>
                <w:rFonts w:eastAsia="Times New Roman"/>
              </w:rPr>
            </w:pPr>
            <w:r w:rsidRPr="000A0A5F">
              <w:rPr>
                <w:rFonts w:eastAsia="Times New Roman"/>
              </w:rPr>
              <w:t>boolean</w:t>
            </w:r>
          </w:p>
        </w:tc>
        <w:tc>
          <w:tcPr>
            <w:tcW w:w="1134" w:type="dxa"/>
            <w:shd w:val="clear" w:color="auto" w:fill="auto"/>
          </w:tcPr>
          <w:p w:rsidR="00CB0DD7" w:rsidRPr="000A0A5F" w:rsidRDefault="00CB0DD7">
            <w:pPr>
              <w:pStyle w:val="TAL"/>
              <w:rPr>
                <w:rFonts w:hint="eastAsia"/>
                <w:lang w:eastAsia="zh-CN"/>
              </w:rPr>
            </w:pPr>
            <w:r w:rsidRPr="000A0A5F">
              <w:rPr>
                <w:rFonts w:hint="eastAsia"/>
                <w:lang w:eastAsia="zh-CN"/>
              </w:rPr>
              <w:t>0..1</w:t>
            </w:r>
          </w:p>
        </w:tc>
        <w:tc>
          <w:tcPr>
            <w:tcW w:w="3686" w:type="dxa"/>
            <w:shd w:val="clear" w:color="auto" w:fill="auto"/>
          </w:tcPr>
          <w:p w:rsidR="005475C6" w:rsidRPr="000A0A5F" w:rsidRDefault="005475C6" w:rsidP="005475C6">
            <w:pPr>
              <w:pStyle w:val="TAL"/>
              <w:rPr>
                <w:lang w:eastAsia="zh-CN"/>
              </w:rPr>
            </w:pPr>
            <w:r w:rsidRPr="000A0A5F">
              <w:rPr>
                <w:rFonts w:cs="Arial"/>
                <w:szCs w:val="18"/>
                <w:lang w:eastAsia="zh-CN"/>
              </w:rPr>
              <w:t>Indicates whether t</w:t>
            </w:r>
            <w:r w:rsidR="00CB0DD7" w:rsidRPr="000A0A5F">
              <w:rPr>
                <w:rFonts w:cs="Arial"/>
                <w:szCs w:val="18"/>
                <w:lang w:eastAsia="zh-CN"/>
              </w:rPr>
              <w:t>he reliable data service (as defined in clause</w:t>
            </w:r>
            <w:r w:rsidR="00CB0DD7" w:rsidRPr="000A0A5F">
              <w:rPr>
                <w:rFonts w:cs="Arial"/>
                <w:szCs w:val="18"/>
                <w:lang w:val="en-US" w:eastAsia="zh-CN"/>
              </w:rPr>
              <w:t> </w:t>
            </w:r>
            <w:r w:rsidR="00CB0DD7" w:rsidRPr="000A0A5F">
              <w:rPr>
                <w:rFonts w:cs="Arial"/>
                <w:szCs w:val="18"/>
                <w:lang w:eastAsia="zh-CN"/>
              </w:rPr>
              <w:t>4.5.1</w:t>
            </w:r>
            <w:r w:rsidRPr="000A0A5F">
              <w:rPr>
                <w:rFonts w:cs="Arial"/>
                <w:szCs w:val="18"/>
                <w:lang w:eastAsia="zh-CN"/>
              </w:rPr>
              <w:t>4</w:t>
            </w:r>
            <w:r w:rsidR="00CB0DD7" w:rsidRPr="000A0A5F">
              <w:rPr>
                <w:rFonts w:cs="Arial"/>
                <w:szCs w:val="18"/>
                <w:lang w:eastAsia="zh-CN"/>
              </w:rPr>
              <w:t>.3 of 3GPP TS 23.682 [</w:t>
            </w:r>
            <w:r w:rsidR="00CB0DD7" w:rsidRPr="000A0A5F">
              <w:rPr>
                <w:rFonts w:cs="Arial"/>
                <w:szCs w:val="18"/>
                <w:lang w:val="en-US" w:eastAsia="zh-CN"/>
              </w:rPr>
              <w:t>2</w:t>
            </w:r>
            <w:r w:rsidR="00CB0DD7" w:rsidRPr="000A0A5F">
              <w:rPr>
                <w:rFonts w:cs="Arial"/>
                <w:szCs w:val="18"/>
                <w:lang w:eastAsia="zh-CN"/>
              </w:rPr>
              <w:t xml:space="preserve">]) </w:t>
            </w:r>
            <w:r w:rsidRPr="000A0A5F">
              <w:rPr>
                <w:lang w:eastAsia="zh-CN"/>
              </w:rPr>
              <w:t>acknowledg</w:t>
            </w:r>
            <w:r w:rsidR="00C9553A" w:rsidRPr="000A0A5F">
              <w:rPr>
                <w:lang w:eastAsia="zh-CN"/>
              </w:rPr>
              <w:t>e</w:t>
            </w:r>
            <w:r w:rsidRPr="000A0A5F">
              <w:rPr>
                <w:lang w:eastAsia="zh-CN"/>
              </w:rPr>
              <w:t>ment is requested.</w:t>
            </w:r>
          </w:p>
          <w:p w:rsidR="005475C6" w:rsidRPr="000A0A5F" w:rsidRDefault="005475C6" w:rsidP="005475C6">
            <w:pPr>
              <w:pStyle w:val="TAL"/>
            </w:pPr>
          </w:p>
          <w:p w:rsidR="005475C6" w:rsidRPr="000A0A5F" w:rsidRDefault="005475C6" w:rsidP="005475C6">
            <w:pPr>
              <w:pStyle w:val="TAL"/>
              <w:rPr>
                <w:lang w:eastAsia="zh-CN"/>
              </w:rPr>
            </w:pPr>
            <w:r w:rsidRPr="000A0A5F">
              <w:rPr>
                <w:lang w:eastAsia="zh-CN"/>
              </w:rPr>
              <w:t>- true: reliable data service acknowledg</w:t>
            </w:r>
            <w:r w:rsidR="00C9553A" w:rsidRPr="000A0A5F">
              <w:rPr>
                <w:lang w:eastAsia="zh-CN"/>
              </w:rPr>
              <w:t>e</w:t>
            </w:r>
            <w:r w:rsidRPr="000A0A5F">
              <w:rPr>
                <w:lang w:eastAsia="zh-CN"/>
              </w:rPr>
              <w:t>ment is requested;</w:t>
            </w:r>
          </w:p>
          <w:p w:rsidR="00CB0DD7" w:rsidRPr="000A0A5F" w:rsidRDefault="005475C6" w:rsidP="005475C6">
            <w:pPr>
              <w:rPr>
                <w:rFonts w:ascii="Arial" w:hAnsi="Arial" w:cs="Arial"/>
                <w:sz w:val="18"/>
                <w:szCs w:val="18"/>
                <w:lang w:eastAsia="zh-CN"/>
              </w:rPr>
            </w:pPr>
            <w:r w:rsidRPr="000A0A5F">
              <w:rPr>
                <w:lang w:eastAsia="zh-CN"/>
              </w:rPr>
              <w:t xml:space="preserve">- </w:t>
            </w:r>
            <w:r w:rsidRPr="000A0A5F">
              <w:rPr>
                <w:rFonts w:ascii="Arial" w:hAnsi="Arial"/>
                <w:sz w:val="18"/>
                <w:lang w:eastAsia="zh-CN"/>
              </w:rPr>
              <w:t>false (default): reliable data service acknowledg</w:t>
            </w:r>
            <w:r w:rsidR="00C9553A" w:rsidRPr="000A0A5F">
              <w:rPr>
                <w:rFonts w:ascii="Arial" w:hAnsi="Arial"/>
                <w:sz w:val="18"/>
                <w:lang w:eastAsia="zh-CN"/>
              </w:rPr>
              <w:t>e</w:t>
            </w:r>
            <w:r w:rsidRPr="000A0A5F">
              <w:rPr>
                <w:rFonts w:ascii="Arial" w:hAnsi="Arial"/>
                <w:sz w:val="18"/>
                <w:lang w:eastAsia="zh-CN"/>
              </w:rPr>
              <w:t>ment is not requested.</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rPr>
                <w:rFonts w:eastAsia="Times New Roman"/>
              </w:rPr>
            </w:pPr>
            <w:r w:rsidRPr="000A0A5F">
              <w:rPr>
                <w:rFonts w:eastAsia="Times New Roman" w:cs="Arial"/>
                <w:szCs w:val="18"/>
              </w:rPr>
              <w:t>rdsPort</w:t>
            </w:r>
          </w:p>
        </w:tc>
        <w:tc>
          <w:tcPr>
            <w:tcW w:w="1577" w:type="dxa"/>
            <w:shd w:val="clear" w:color="auto" w:fill="auto"/>
          </w:tcPr>
          <w:p w:rsidR="00CB0DD7" w:rsidRPr="000A0A5F" w:rsidRDefault="00CB0DD7">
            <w:pPr>
              <w:pStyle w:val="TAL"/>
              <w:rPr>
                <w:rFonts w:eastAsia="Times New Roman"/>
              </w:rPr>
            </w:pPr>
            <w:r w:rsidRPr="000A0A5F">
              <w:rPr>
                <w:rFonts w:eastAsia="Times New Roman" w:cs="Arial"/>
                <w:szCs w:val="18"/>
              </w:rPr>
              <w:t>RdsPort</w:t>
            </w:r>
          </w:p>
        </w:tc>
        <w:tc>
          <w:tcPr>
            <w:tcW w:w="1134" w:type="dxa"/>
            <w:shd w:val="clear" w:color="auto" w:fill="auto"/>
          </w:tcPr>
          <w:p w:rsidR="00CB0DD7" w:rsidRPr="000A0A5F" w:rsidRDefault="00CB0DD7">
            <w:pPr>
              <w:pStyle w:val="TAL"/>
              <w:rPr>
                <w:rFonts w:hint="eastAsia"/>
                <w:lang w:eastAsia="zh-CN"/>
              </w:rPr>
            </w:pPr>
            <w:r w:rsidRPr="000A0A5F">
              <w:rPr>
                <w:rFonts w:eastAsia="Times New Roman" w:cs="Arial"/>
                <w:szCs w:val="18"/>
              </w:rPr>
              <w:t>0..1</w:t>
            </w:r>
          </w:p>
        </w:tc>
        <w:tc>
          <w:tcPr>
            <w:tcW w:w="3686" w:type="dxa"/>
            <w:shd w:val="clear" w:color="auto" w:fill="auto"/>
          </w:tcPr>
          <w:p w:rsidR="00CB0DD7" w:rsidRPr="000A0A5F" w:rsidRDefault="00CB0DD7">
            <w:pPr>
              <w:rPr>
                <w:rFonts w:ascii="Arial" w:hAnsi="Arial" w:cs="Arial" w:hint="eastAsia"/>
                <w:sz w:val="18"/>
                <w:szCs w:val="18"/>
                <w:lang w:eastAsia="zh-CN"/>
              </w:rPr>
            </w:pPr>
            <w:r w:rsidRPr="000A0A5F">
              <w:rPr>
                <w:rFonts w:ascii="Arial" w:hAnsi="Arial" w:cs="Arial"/>
                <w:sz w:val="18"/>
                <w:szCs w:val="18"/>
                <w:lang w:eastAsia="zh-CN"/>
              </w:rPr>
              <w:t>Indicates the port configuration that is used for reliable data transfer between specific applications using RDS (as defined in clause</w:t>
            </w:r>
            <w:r w:rsidRPr="000A0A5F">
              <w:rPr>
                <w:rFonts w:ascii="Arial" w:hAnsi="Arial" w:cs="Arial"/>
                <w:sz w:val="18"/>
                <w:szCs w:val="18"/>
                <w:lang w:val="en-US" w:eastAsia="zh-CN"/>
              </w:rPr>
              <w:t> 5.2</w:t>
            </w:r>
            <w:r w:rsidRPr="000A0A5F">
              <w:rPr>
                <w:rFonts w:ascii="Arial" w:hAnsi="Arial" w:cs="Arial"/>
                <w:sz w:val="18"/>
                <w:szCs w:val="18"/>
                <w:lang w:eastAsia="zh-CN"/>
              </w:rPr>
              <w:t>.4 and 5.2.5 of 3GPP TS 24.250 [31]).</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rPr>
                <w:rFonts w:eastAsia="Times New Roman"/>
              </w:rPr>
            </w:pPr>
            <w:r w:rsidRPr="000A0A5F">
              <w:rPr>
                <w:rFonts w:eastAsia="Times New Roman"/>
              </w:rPr>
              <w:t>maximumLatency</w:t>
            </w:r>
          </w:p>
        </w:tc>
        <w:tc>
          <w:tcPr>
            <w:tcW w:w="1577" w:type="dxa"/>
            <w:shd w:val="clear" w:color="auto" w:fill="auto"/>
          </w:tcPr>
          <w:p w:rsidR="00CB0DD7" w:rsidRPr="000A0A5F" w:rsidRDefault="00CB0DD7">
            <w:pPr>
              <w:pStyle w:val="TAL"/>
              <w:rPr>
                <w:rFonts w:hint="eastAsia"/>
                <w:lang w:eastAsia="zh-CN"/>
              </w:rPr>
            </w:pPr>
            <w:r w:rsidRPr="000A0A5F">
              <w:rPr>
                <w:lang w:eastAsia="zh-CN"/>
              </w:rPr>
              <w:t>DurationSec</w:t>
            </w:r>
          </w:p>
        </w:tc>
        <w:tc>
          <w:tcPr>
            <w:tcW w:w="1134" w:type="dxa"/>
            <w:shd w:val="clear" w:color="auto" w:fill="auto"/>
          </w:tcPr>
          <w:p w:rsidR="00CB0DD7" w:rsidRPr="000A0A5F" w:rsidRDefault="00CB0DD7">
            <w:pPr>
              <w:pStyle w:val="TAL"/>
              <w:rPr>
                <w:rFonts w:eastAsia="Times New Roman"/>
              </w:rPr>
            </w:pPr>
            <w:r w:rsidRPr="000A0A5F">
              <w:rPr>
                <w:rFonts w:eastAsia="Times New Roman"/>
              </w:rPr>
              <w:t>0..1</w:t>
            </w:r>
          </w:p>
        </w:tc>
        <w:tc>
          <w:tcPr>
            <w:tcW w:w="3686" w:type="dxa"/>
            <w:shd w:val="clear" w:color="auto" w:fill="auto"/>
          </w:tcPr>
          <w:p w:rsidR="00CB0DD7" w:rsidRPr="000A0A5F" w:rsidRDefault="00CB0DD7">
            <w:pPr>
              <w:pStyle w:val="TAL"/>
              <w:rPr>
                <w:rFonts w:eastAsia="Times New Roman" w:cs="Arial"/>
                <w:szCs w:val="18"/>
              </w:rPr>
            </w:pPr>
            <w:r w:rsidRPr="000A0A5F">
              <w:t>It is used to indicate maximum delay acceptable for downlink data and may be used to configure the buffer duration; a Maximum Latency of 0 indicates that buffering is not allowed. If not provided, the SCEF determines the acceptable delay based on local polices.</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rPr>
                <w:rFonts w:eastAsia="Times New Roman"/>
              </w:rPr>
            </w:pPr>
            <w:r w:rsidRPr="000A0A5F">
              <w:rPr>
                <w:rFonts w:eastAsia="Times New Roman"/>
              </w:rPr>
              <w:t>priority</w:t>
            </w:r>
          </w:p>
        </w:tc>
        <w:tc>
          <w:tcPr>
            <w:tcW w:w="1577" w:type="dxa"/>
            <w:shd w:val="clear" w:color="auto" w:fill="auto"/>
          </w:tcPr>
          <w:p w:rsidR="00CB0DD7" w:rsidRPr="000A0A5F" w:rsidRDefault="00CB0DD7">
            <w:pPr>
              <w:pStyle w:val="TAL"/>
              <w:rPr>
                <w:rFonts w:hint="eastAsia"/>
                <w:lang w:eastAsia="zh-CN"/>
              </w:rPr>
            </w:pPr>
            <w:r w:rsidRPr="000A0A5F">
              <w:rPr>
                <w:rFonts w:hint="eastAsia"/>
                <w:lang w:eastAsia="zh-CN"/>
              </w:rPr>
              <w:t>integer</w:t>
            </w:r>
          </w:p>
        </w:tc>
        <w:tc>
          <w:tcPr>
            <w:tcW w:w="1134" w:type="dxa"/>
            <w:shd w:val="clear" w:color="auto" w:fill="auto"/>
          </w:tcPr>
          <w:p w:rsidR="00CB0DD7" w:rsidRPr="000A0A5F" w:rsidRDefault="00CB0DD7">
            <w:pPr>
              <w:pStyle w:val="TAL"/>
              <w:rPr>
                <w:rFonts w:eastAsia="Times New Roman"/>
              </w:rPr>
            </w:pPr>
            <w:r w:rsidRPr="000A0A5F">
              <w:rPr>
                <w:rFonts w:eastAsia="Times New Roman"/>
              </w:rPr>
              <w:t>0..1</w:t>
            </w:r>
          </w:p>
        </w:tc>
        <w:tc>
          <w:tcPr>
            <w:tcW w:w="3686" w:type="dxa"/>
            <w:shd w:val="clear" w:color="auto" w:fill="auto"/>
          </w:tcPr>
          <w:p w:rsidR="00CB0DD7" w:rsidRPr="000A0A5F" w:rsidRDefault="00CB0DD7">
            <w:pPr>
              <w:pStyle w:val="TAL"/>
            </w:pPr>
            <w:r w:rsidRPr="000A0A5F">
              <w:t>It is used to indicate the priority of the non-IP data packet relative to other non-IP data packets.</w:t>
            </w:r>
          </w:p>
          <w:p w:rsidR="00CB0DD7" w:rsidRPr="000A0A5F" w:rsidRDefault="00CB0DD7">
            <w:pPr>
              <w:pStyle w:val="TAL"/>
              <w:rPr>
                <w:rFonts w:eastAsia="Times New Roman" w:cs="Arial"/>
                <w:szCs w:val="18"/>
              </w:rPr>
            </w:pPr>
            <w:r w:rsidRPr="000A0A5F">
              <w:rPr>
                <w:lang w:eastAsia="zh-CN"/>
              </w:rPr>
              <w:t xml:space="preserve">For </w:t>
            </w:r>
            <w:r w:rsidRPr="000A0A5F">
              <w:rPr>
                <w:rFonts w:hint="eastAsia"/>
                <w:lang w:eastAsia="zh-CN"/>
              </w:rPr>
              <w:t>GroupMessageDelivery</w:t>
            </w:r>
            <w:r w:rsidRPr="000A0A5F">
              <w:rPr>
                <w:lang w:eastAsia="zh-CN"/>
              </w:rPr>
              <w:t xml:space="preserve"> feature, this property is not applicable.</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rPr>
                <w:rFonts w:eastAsia="Times New Roman"/>
              </w:rPr>
            </w:pPr>
            <w:r w:rsidRPr="000A0A5F">
              <w:rPr>
                <w:rFonts w:eastAsia="Times New Roman"/>
              </w:rPr>
              <w:t>pdnEstablishmentOption</w:t>
            </w:r>
          </w:p>
        </w:tc>
        <w:tc>
          <w:tcPr>
            <w:tcW w:w="1577" w:type="dxa"/>
            <w:shd w:val="clear" w:color="auto" w:fill="auto"/>
          </w:tcPr>
          <w:p w:rsidR="00CB0DD7" w:rsidRPr="000A0A5F" w:rsidRDefault="00CB0DD7">
            <w:pPr>
              <w:pStyle w:val="TAL"/>
              <w:rPr>
                <w:rFonts w:eastAsia="Times New Roman"/>
              </w:rPr>
            </w:pPr>
            <w:r w:rsidRPr="000A0A5F">
              <w:rPr>
                <w:rFonts w:eastAsia="Times New Roman"/>
              </w:rPr>
              <w:t>PdnEstablishmentOptions</w:t>
            </w:r>
          </w:p>
        </w:tc>
        <w:tc>
          <w:tcPr>
            <w:tcW w:w="1134" w:type="dxa"/>
            <w:shd w:val="clear" w:color="auto" w:fill="auto"/>
          </w:tcPr>
          <w:p w:rsidR="00CB0DD7" w:rsidRPr="000A0A5F" w:rsidRDefault="00CB0DD7">
            <w:pPr>
              <w:pStyle w:val="TAL"/>
              <w:rPr>
                <w:rFonts w:eastAsia="Times New Roman"/>
              </w:rPr>
            </w:pPr>
            <w:r w:rsidRPr="000A0A5F">
              <w:rPr>
                <w:rFonts w:eastAsia="Times New Roman"/>
              </w:rPr>
              <w:t>0..1</w:t>
            </w:r>
          </w:p>
        </w:tc>
        <w:tc>
          <w:tcPr>
            <w:tcW w:w="3686" w:type="dxa"/>
            <w:shd w:val="clear" w:color="auto" w:fill="auto"/>
          </w:tcPr>
          <w:p w:rsidR="00CB0DD7" w:rsidRPr="000A0A5F" w:rsidRDefault="00CB0DD7">
            <w:pPr>
              <w:pStyle w:val="TAL"/>
              <w:rPr>
                <w:rFonts w:cs="Arial"/>
                <w:szCs w:val="18"/>
              </w:rPr>
            </w:pPr>
            <w:r w:rsidRPr="000A0A5F">
              <w:rPr>
                <w:rFonts w:cs="Arial" w:hint="eastAsia"/>
                <w:szCs w:val="18"/>
                <w:lang w:eastAsia="zh-CN"/>
              </w:rPr>
              <w:t>I</w:t>
            </w:r>
            <w:r w:rsidRPr="000A0A5F">
              <w:rPr>
                <w:rFonts w:cs="Arial"/>
                <w:szCs w:val="18"/>
              </w:rPr>
              <w:t>ndicate what the SCEF should do if the UE has not established the PDN connection and MT non-IP data needs to be sent (wait for the UE to establish the PDN connection, respond with an error cause, or send a device trigger; see step 2 of the MT NIDD Procedure in clause 5.13.3</w:t>
            </w:r>
            <w:r w:rsidRPr="000A0A5F">
              <w:rPr>
                <w:rFonts w:cs="Arial"/>
                <w:szCs w:val="18"/>
                <w:lang w:eastAsia="zh-CN"/>
              </w:rPr>
              <w:t xml:space="preserve"> of 3GPP TS 23.682 [</w:t>
            </w:r>
            <w:r w:rsidRPr="000A0A5F">
              <w:rPr>
                <w:rFonts w:cs="Arial"/>
                <w:szCs w:val="18"/>
                <w:lang w:val="en-US" w:eastAsia="zh-CN"/>
              </w:rPr>
              <w:t>2</w:t>
            </w:r>
            <w:r w:rsidRPr="000A0A5F">
              <w:rPr>
                <w:rFonts w:cs="Arial"/>
                <w:szCs w:val="18"/>
                <w:lang w:eastAsia="zh-CN"/>
              </w:rPr>
              <w:t>]</w:t>
            </w:r>
            <w:r w:rsidRPr="000A0A5F">
              <w:rPr>
                <w:rFonts w:cs="Arial"/>
                <w:szCs w:val="18"/>
              </w:rPr>
              <w:t>)</w:t>
            </w:r>
          </w:p>
          <w:p w:rsidR="00CB0DD7" w:rsidRPr="000A0A5F" w:rsidRDefault="00CB0DD7">
            <w:pPr>
              <w:pStyle w:val="TAL"/>
              <w:rPr>
                <w:rFonts w:cs="Arial" w:hint="eastAsia"/>
                <w:szCs w:val="18"/>
                <w:lang w:eastAsia="zh-CN"/>
              </w:rPr>
            </w:pPr>
          </w:p>
          <w:p w:rsidR="00CB0DD7" w:rsidRPr="000A0A5F" w:rsidRDefault="00CB0DD7">
            <w:pPr>
              <w:pStyle w:val="TAL"/>
              <w:rPr>
                <w:rFonts w:eastAsia="Times New Roman" w:cs="Arial"/>
                <w:szCs w:val="18"/>
              </w:rPr>
            </w:pPr>
            <w:r w:rsidRPr="000A0A5F">
              <w:rPr>
                <w:rFonts w:cs="Arial"/>
              </w:rPr>
              <w:t>If PDN Connection Establishment Option is not provided with the non-IP packet, the SCEF uses the PDN Connection Establishment Option that was provided during NIDD Configuration to decide how to handle the absence of a PDN connection.</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rPr>
                <w:rFonts w:eastAsia="Times New Roman"/>
              </w:rPr>
            </w:pPr>
            <w:r w:rsidRPr="000A0A5F">
              <w:rPr>
                <w:rFonts w:eastAsia="Times New Roman"/>
              </w:rPr>
              <w:t>deliveryStatus</w:t>
            </w:r>
          </w:p>
        </w:tc>
        <w:tc>
          <w:tcPr>
            <w:tcW w:w="1577" w:type="dxa"/>
            <w:shd w:val="clear" w:color="auto" w:fill="auto"/>
          </w:tcPr>
          <w:p w:rsidR="00CB0DD7" w:rsidRPr="000A0A5F" w:rsidRDefault="00CB0DD7">
            <w:pPr>
              <w:pStyle w:val="TAL"/>
              <w:rPr>
                <w:rFonts w:eastAsia="Times New Roman"/>
              </w:rPr>
            </w:pPr>
            <w:r w:rsidRPr="000A0A5F">
              <w:rPr>
                <w:rFonts w:eastAsia="Times New Roman"/>
              </w:rPr>
              <w:t>DeliveryStatus</w:t>
            </w:r>
          </w:p>
        </w:tc>
        <w:tc>
          <w:tcPr>
            <w:tcW w:w="1134" w:type="dxa"/>
            <w:shd w:val="clear" w:color="auto" w:fill="auto"/>
          </w:tcPr>
          <w:p w:rsidR="00CB0DD7" w:rsidRPr="000A0A5F" w:rsidRDefault="00CB0DD7">
            <w:pPr>
              <w:pStyle w:val="TAL"/>
              <w:rPr>
                <w:rFonts w:eastAsia="Times New Roman"/>
              </w:rPr>
            </w:pPr>
            <w:r w:rsidRPr="000A0A5F">
              <w:rPr>
                <w:rFonts w:eastAsia="Times New Roman"/>
              </w:rPr>
              <w:t>0..1</w:t>
            </w:r>
          </w:p>
        </w:tc>
        <w:tc>
          <w:tcPr>
            <w:tcW w:w="3686" w:type="dxa"/>
            <w:shd w:val="clear" w:color="auto" w:fill="auto"/>
          </w:tcPr>
          <w:p w:rsidR="00CB0DD7" w:rsidRPr="000A0A5F" w:rsidRDefault="00CB0DD7">
            <w:pPr>
              <w:pStyle w:val="TAL"/>
              <w:rPr>
                <w:rFonts w:eastAsia="Times New Roman" w:cs="Arial"/>
                <w:szCs w:val="18"/>
              </w:rPr>
            </w:pPr>
            <w:r w:rsidRPr="000A0A5F">
              <w:rPr>
                <w:rFonts w:eastAsia="Times New Roman" w:cs="Arial"/>
                <w:szCs w:val="18"/>
              </w:rPr>
              <w:t>Indicates the MT NIDD delivery status.</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rPr>
                <w:rFonts w:eastAsia="Times New Roman"/>
              </w:rPr>
            </w:pPr>
            <w:r w:rsidRPr="000A0A5F">
              <w:rPr>
                <w:rFonts w:eastAsia="Times New Roman"/>
              </w:rPr>
              <w:t>requestedRetransmissionTime</w:t>
            </w:r>
          </w:p>
        </w:tc>
        <w:tc>
          <w:tcPr>
            <w:tcW w:w="1577" w:type="dxa"/>
            <w:shd w:val="clear" w:color="auto" w:fill="auto"/>
          </w:tcPr>
          <w:p w:rsidR="00CB0DD7" w:rsidRPr="000A0A5F" w:rsidRDefault="00CB0DD7">
            <w:pPr>
              <w:pStyle w:val="TAL"/>
              <w:rPr>
                <w:rFonts w:hint="eastAsia"/>
                <w:lang w:eastAsia="zh-CN"/>
              </w:rPr>
            </w:pPr>
            <w:r w:rsidRPr="000A0A5F">
              <w:rPr>
                <w:lang w:eastAsia="zh-CN"/>
              </w:rPr>
              <w:t>D</w:t>
            </w:r>
            <w:r w:rsidRPr="000A0A5F">
              <w:rPr>
                <w:rFonts w:hint="eastAsia"/>
                <w:lang w:eastAsia="zh-CN"/>
              </w:rPr>
              <w:t>ateTime</w:t>
            </w:r>
          </w:p>
        </w:tc>
        <w:tc>
          <w:tcPr>
            <w:tcW w:w="1134" w:type="dxa"/>
            <w:shd w:val="clear" w:color="auto" w:fill="auto"/>
          </w:tcPr>
          <w:p w:rsidR="00CB0DD7" w:rsidRPr="000A0A5F" w:rsidRDefault="00CB0DD7">
            <w:pPr>
              <w:pStyle w:val="TAL"/>
              <w:rPr>
                <w:rFonts w:eastAsia="Times New Roman"/>
              </w:rPr>
            </w:pPr>
            <w:r w:rsidRPr="000A0A5F">
              <w:rPr>
                <w:rFonts w:eastAsia="Times New Roman"/>
              </w:rPr>
              <w:t>0..1</w:t>
            </w:r>
          </w:p>
        </w:tc>
        <w:tc>
          <w:tcPr>
            <w:tcW w:w="3686" w:type="dxa"/>
            <w:shd w:val="clear" w:color="auto" w:fill="auto"/>
          </w:tcPr>
          <w:p w:rsidR="00CB0DD7" w:rsidRPr="000A0A5F" w:rsidRDefault="00CB0DD7">
            <w:pPr>
              <w:pStyle w:val="TAL"/>
              <w:rPr>
                <w:rFonts w:eastAsia="Times New Roman" w:cs="Arial" w:hint="eastAsia"/>
                <w:szCs w:val="18"/>
                <w:lang w:eastAsia="zh-CN"/>
              </w:rPr>
            </w:pPr>
            <w:r w:rsidRPr="000A0A5F">
              <w:rPr>
                <w:rFonts w:cs="Arial"/>
                <w:lang w:eastAsia="zh-CN"/>
              </w:rPr>
              <w:t>I</w:t>
            </w:r>
            <w:r w:rsidRPr="000A0A5F">
              <w:rPr>
                <w:rFonts w:cs="Arial"/>
              </w:rPr>
              <w:t>dentifies the absolute time at which the</w:t>
            </w:r>
            <w:r w:rsidRPr="000A0A5F">
              <w:rPr>
                <w:rFonts w:cs="Arial"/>
                <w:lang w:eastAsia="zh-CN"/>
              </w:rPr>
              <w:t xml:space="preserve"> SCEF is expected to retransmit the non-IP data when the deliveryStatus indicates that the non-IP data is buffered in the SCEF. </w:t>
            </w:r>
            <w:r w:rsidRPr="000A0A5F">
              <w:rPr>
                <w:rFonts w:eastAsia="Times New Roman" w:cs="Arial"/>
                <w:szCs w:val="18"/>
              </w:rPr>
              <w:t>This parameter may be supplied by the SCEF for delivery status "</w:t>
            </w:r>
            <w:r w:rsidRPr="000A0A5F">
              <w:t>BUFFERING_TEMPORARILY_NOT_REACHABLE"</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9602" w:type="dxa"/>
            <w:gridSpan w:val="5"/>
            <w:shd w:val="clear" w:color="auto" w:fill="auto"/>
          </w:tcPr>
          <w:p w:rsidR="00CB0DD7" w:rsidRPr="000A0A5F" w:rsidRDefault="00CB0DD7">
            <w:pPr>
              <w:pStyle w:val="TAN"/>
            </w:pPr>
            <w:r w:rsidRPr="000A0A5F">
              <w:t>NOTE 1:</w:t>
            </w:r>
            <w:r w:rsidRPr="000A0A5F">
              <w:tab/>
              <w:t>Properties marked with a feature as defined in clause 5.6.4 are applicable as described in clause 5.2.7. If no features are indicated, the related property applies for all the features unless stated otherwise.</w:t>
            </w:r>
          </w:p>
          <w:p w:rsidR="00CB0DD7" w:rsidRPr="000A0A5F" w:rsidRDefault="00CB0DD7">
            <w:pPr>
              <w:pStyle w:val="TAN"/>
            </w:pPr>
            <w:r w:rsidRPr="000A0A5F">
              <w:rPr>
                <w:noProof/>
                <w:lang w:eastAsia="zh-CN"/>
              </w:rPr>
              <w:t>NOTE</w:t>
            </w:r>
            <w:r w:rsidRPr="000A0A5F">
              <w:t> 2</w:t>
            </w:r>
            <w:r w:rsidRPr="000A0A5F">
              <w:rPr>
                <w:noProof/>
                <w:lang w:eastAsia="zh-CN"/>
              </w:rPr>
              <w:t>:</w:t>
            </w:r>
            <w:r w:rsidRPr="000A0A5F">
              <w:rPr>
                <w:noProof/>
                <w:lang w:eastAsia="zh-CN"/>
              </w:rPr>
              <w:tab/>
              <w:t>One of the properties</w:t>
            </w:r>
            <w:r w:rsidRPr="000A0A5F">
              <w:rPr>
                <w:rFonts w:hint="eastAsia"/>
                <w:noProof/>
                <w:lang w:eastAsia="zh-CN"/>
              </w:rPr>
              <w:t xml:space="preserve"> </w:t>
            </w:r>
            <w:r w:rsidRPr="000A0A5F">
              <w:rPr>
                <w:noProof/>
                <w:lang w:eastAsia="zh-CN"/>
              </w:rPr>
              <w:t>"externalId", "msisdn" or "</w:t>
            </w:r>
            <w:r w:rsidRPr="000A0A5F">
              <w:rPr>
                <w:lang w:eastAsia="zh-CN"/>
              </w:rPr>
              <w:t>e</w:t>
            </w:r>
            <w:r w:rsidRPr="000A0A5F">
              <w:rPr>
                <w:rFonts w:hint="eastAsia"/>
                <w:lang w:eastAsia="zh-CN"/>
              </w:rPr>
              <w:t>xternalGroup</w:t>
            </w:r>
            <w:r w:rsidRPr="000A0A5F">
              <w:rPr>
                <w:lang w:eastAsia="zh-CN"/>
              </w:rPr>
              <w:t>Id</w:t>
            </w:r>
            <w:r w:rsidRPr="000A0A5F">
              <w:rPr>
                <w:noProof/>
                <w:lang w:eastAsia="zh-CN"/>
              </w:rPr>
              <w:t>" shall be included.</w:t>
            </w:r>
          </w:p>
        </w:tc>
      </w:tr>
    </w:tbl>
    <w:p w:rsidR="00CB0DD7" w:rsidRPr="000A0A5F" w:rsidRDefault="00CB0DD7"/>
    <w:p w:rsidR="00CB0DD7" w:rsidRPr="000A0A5F" w:rsidRDefault="00CB0DD7">
      <w:pPr>
        <w:pStyle w:val="Heading5"/>
      </w:pPr>
      <w:bookmarkStart w:id="3564" w:name="_Toc11247442"/>
      <w:bookmarkStart w:id="3565" w:name="_Toc27044564"/>
      <w:bookmarkStart w:id="3566" w:name="_Toc36033606"/>
      <w:bookmarkStart w:id="3567" w:name="_Toc45131741"/>
      <w:bookmarkStart w:id="3568" w:name="_Toc49776026"/>
      <w:bookmarkStart w:id="3569" w:name="_Toc51746946"/>
      <w:bookmarkStart w:id="3570" w:name="_Toc66360500"/>
      <w:bookmarkStart w:id="3571" w:name="_Toc68105005"/>
      <w:bookmarkStart w:id="3572" w:name="_Toc74755635"/>
      <w:bookmarkStart w:id="3573" w:name="_Toc105674508"/>
      <w:bookmarkStart w:id="3574" w:name="_Toc130502556"/>
      <w:bookmarkStart w:id="3575" w:name="_Toc153625343"/>
      <w:r w:rsidRPr="000A0A5F">
        <w:t>5.6.2.1.</w:t>
      </w:r>
      <w:r w:rsidRPr="000A0A5F">
        <w:rPr>
          <w:rFonts w:hint="eastAsia"/>
          <w:lang w:eastAsia="zh-CN"/>
        </w:rPr>
        <w:t>4</w:t>
      </w:r>
      <w:r w:rsidRPr="000A0A5F">
        <w:tab/>
        <w:t>Type: Nidd</w:t>
      </w:r>
      <w:r w:rsidRPr="000A0A5F">
        <w:rPr>
          <w:rFonts w:hint="eastAsia"/>
          <w:lang w:eastAsia="zh-CN"/>
        </w:rPr>
        <w:t>Uplink</w:t>
      </w:r>
      <w:r w:rsidRPr="000A0A5F">
        <w:t>DataNotification</w:t>
      </w:r>
      <w:bookmarkEnd w:id="3564"/>
      <w:bookmarkEnd w:id="3565"/>
      <w:bookmarkEnd w:id="3566"/>
      <w:bookmarkEnd w:id="3567"/>
      <w:bookmarkEnd w:id="3568"/>
      <w:bookmarkEnd w:id="3569"/>
      <w:bookmarkEnd w:id="3570"/>
      <w:bookmarkEnd w:id="3571"/>
      <w:bookmarkEnd w:id="3572"/>
      <w:bookmarkEnd w:id="3573"/>
      <w:bookmarkEnd w:id="3574"/>
      <w:bookmarkEnd w:id="3575"/>
    </w:p>
    <w:p w:rsidR="00CB0DD7" w:rsidRPr="000A0A5F" w:rsidRDefault="00CB0DD7">
      <w:r w:rsidRPr="000A0A5F">
        <w:t xml:space="preserve">This type represents NIDD uplink data to be </w:t>
      </w:r>
      <w:r w:rsidRPr="000A0A5F">
        <w:rPr>
          <w:rFonts w:hint="eastAsia"/>
          <w:lang w:eastAsia="zh-CN"/>
        </w:rPr>
        <w:t>notified to the SCS/AS</w:t>
      </w:r>
      <w:r w:rsidRPr="000A0A5F">
        <w:t>.</w:t>
      </w:r>
    </w:p>
    <w:p w:rsidR="00CB0DD7" w:rsidRPr="000A0A5F" w:rsidRDefault="00CB0DD7">
      <w:pPr>
        <w:pStyle w:val="TH"/>
      </w:pPr>
      <w:r w:rsidRPr="000A0A5F">
        <w:rPr>
          <w:noProof/>
        </w:rPr>
        <w:t>Table </w:t>
      </w:r>
      <w:r w:rsidRPr="000A0A5F">
        <w:t>5.6.2.1.</w:t>
      </w:r>
      <w:r w:rsidRPr="000A0A5F">
        <w:rPr>
          <w:rFonts w:hint="eastAsia"/>
          <w:lang w:eastAsia="zh-CN"/>
        </w:rPr>
        <w:t>4</w:t>
      </w:r>
      <w:r w:rsidRPr="000A0A5F">
        <w:t xml:space="preserve">-1: </w:t>
      </w:r>
      <w:r w:rsidRPr="000A0A5F">
        <w:rPr>
          <w:noProof/>
        </w:rPr>
        <w:t xml:space="preserve">Definition of type </w:t>
      </w:r>
      <w:r w:rsidRPr="000A0A5F">
        <w:t>Nidd</w:t>
      </w:r>
      <w:r w:rsidRPr="000A0A5F">
        <w:rPr>
          <w:rFonts w:hint="eastAsia"/>
          <w:lang w:eastAsia="zh-CN"/>
        </w:rPr>
        <w:t>Uplink</w:t>
      </w:r>
      <w:r w:rsidRPr="000A0A5F">
        <w:t>DataNotification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948"/>
        <w:gridCol w:w="1152"/>
        <w:gridCol w:w="1134"/>
        <w:gridCol w:w="4111"/>
        <w:gridCol w:w="1257"/>
      </w:tblGrid>
      <w:tr w:rsidR="00CB0DD7" w:rsidRPr="000A0A5F" w:rsidTr="00FF0AF8">
        <w:trPr>
          <w:jc w:val="center"/>
        </w:trPr>
        <w:tc>
          <w:tcPr>
            <w:tcW w:w="1948" w:type="dxa"/>
            <w:shd w:val="clear" w:color="auto" w:fill="C0C0C0"/>
          </w:tcPr>
          <w:p w:rsidR="00CB0DD7" w:rsidRPr="000A0A5F" w:rsidRDefault="00CB0DD7">
            <w:pPr>
              <w:pStyle w:val="TAH"/>
              <w:rPr>
                <w:rFonts w:eastAsia="Times New Roman"/>
              </w:rPr>
            </w:pPr>
            <w:r w:rsidRPr="000A0A5F">
              <w:rPr>
                <w:rFonts w:eastAsia="Times New Roman"/>
              </w:rPr>
              <w:t>Attribute name</w:t>
            </w:r>
          </w:p>
        </w:tc>
        <w:tc>
          <w:tcPr>
            <w:tcW w:w="1152" w:type="dxa"/>
            <w:shd w:val="clear" w:color="auto" w:fill="C0C0C0"/>
          </w:tcPr>
          <w:p w:rsidR="00CB0DD7" w:rsidRPr="000A0A5F" w:rsidRDefault="00CB0DD7">
            <w:pPr>
              <w:pStyle w:val="TAH"/>
              <w:rPr>
                <w:rFonts w:eastAsia="Times New Roman"/>
              </w:rPr>
            </w:pPr>
            <w:r w:rsidRPr="000A0A5F">
              <w:rPr>
                <w:rFonts w:eastAsia="Times New Roman"/>
              </w:rPr>
              <w:t>Data type</w:t>
            </w:r>
          </w:p>
        </w:tc>
        <w:tc>
          <w:tcPr>
            <w:tcW w:w="1134" w:type="dxa"/>
            <w:shd w:val="clear" w:color="auto" w:fill="C0C0C0"/>
          </w:tcPr>
          <w:p w:rsidR="00CB0DD7" w:rsidRPr="000A0A5F" w:rsidRDefault="00CB0DD7">
            <w:pPr>
              <w:pStyle w:val="TAH"/>
              <w:jc w:val="left"/>
              <w:rPr>
                <w:rFonts w:eastAsia="Times New Roman"/>
              </w:rPr>
            </w:pPr>
            <w:r w:rsidRPr="000A0A5F">
              <w:rPr>
                <w:rFonts w:eastAsia="Times New Roman"/>
              </w:rPr>
              <w:t>Cardinality</w:t>
            </w:r>
          </w:p>
        </w:tc>
        <w:tc>
          <w:tcPr>
            <w:tcW w:w="4111"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Description</w:t>
            </w:r>
          </w:p>
        </w:tc>
        <w:tc>
          <w:tcPr>
            <w:tcW w:w="1257"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Applicability (NOTE 1)</w:t>
            </w:r>
          </w:p>
        </w:tc>
      </w:tr>
      <w:tr w:rsidR="00CB0DD7" w:rsidRPr="000A0A5F" w:rsidTr="00FF0AF8">
        <w:trPr>
          <w:jc w:val="center"/>
        </w:trPr>
        <w:tc>
          <w:tcPr>
            <w:tcW w:w="1948" w:type="dxa"/>
            <w:shd w:val="clear" w:color="auto" w:fill="auto"/>
          </w:tcPr>
          <w:p w:rsidR="00CB0DD7" w:rsidRPr="000A0A5F" w:rsidRDefault="00CB0DD7">
            <w:pPr>
              <w:pStyle w:val="TAH"/>
              <w:jc w:val="left"/>
              <w:rPr>
                <w:rFonts w:eastAsia="Times New Roman"/>
                <w:b w:val="0"/>
              </w:rPr>
            </w:pPr>
            <w:r w:rsidRPr="000A0A5F">
              <w:rPr>
                <w:b w:val="0"/>
              </w:rPr>
              <w:t>niddConfiguration</w:t>
            </w:r>
          </w:p>
        </w:tc>
        <w:tc>
          <w:tcPr>
            <w:tcW w:w="1152" w:type="dxa"/>
            <w:shd w:val="clear" w:color="auto" w:fill="auto"/>
          </w:tcPr>
          <w:p w:rsidR="00CB0DD7" w:rsidRPr="000A0A5F" w:rsidRDefault="00CB0DD7">
            <w:pPr>
              <w:pStyle w:val="TAH"/>
              <w:jc w:val="left"/>
              <w:rPr>
                <w:rFonts w:eastAsia="Times New Roman"/>
                <w:b w:val="0"/>
              </w:rPr>
            </w:pPr>
            <w:r w:rsidRPr="000A0A5F">
              <w:rPr>
                <w:b w:val="0"/>
              </w:rPr>
              <w:t>Link</w:t>
            </w:r>
          </w:p>
        </w:tc>
        <w:tc>
          <w:tcPr>
            <w:tcW w:w="1134" w:type="dxa"/>
            <w:shd w:val="clear" w:color="auto" w:fill="auto"/>
          </w:tcPr>
          <w:p w:rsidR="00CB0DD7" w:rsidRPr="000A0A5F" w:rsidRDefault="00CB0DD7">
            <w:pPr>
              <w:pStyle w:val="TAH"/>
              <w:jc w:val="left"/>
              <w:rPr>
                <w:rFonts w:eastAsia="Times New Roman"/>
                <w:b w:val="0"/>
              </w:rPr>
            </w:pPr>
            <w:r w:rsidRPr="000A0A5F">
              <w:rPr>
                <w:b w:val="0"/>
              </w:rPr>
              <w:t>1</w:t>
            </w:r>
          </w:p>
        </w:tc>
        <w:tc>
          <w:tcPr>
            <w:tcW w:w="4111" w:type="dxa"/>
            <w:shd w:val="clear" w:color="auto" w:fill="auto"/>
          </w:tcPr>
          <w:p w:rsidR="00CB0DD7" w:rsidRPr="000A0A5F" w:rsidRDefault="00CB0DD7">
            <w:pPr>
              <w:pStyle w:val="TAH"/>
              <w:jc w:val="left"/>
              <w:rPr>
                <w:rFonts w:eastAsia="Times New Roman" w:cs="Arial"/>
                <w:b w:val="0"/>
                <w:szCs w:val="18"/>
              </w:rPr>
            </w:pPr>
            <w:r w:rsidRPr="000A0A5F">
              <w:rPr>
                <w:rFonts w:cs="Arial"/>
                <w:b w:val="0"/>
                <w:szCs w:val="18"/>
              </w:rPr>
              <w:t>Link to the NIDD configuration resource to which this notification is related.</w:t>
            </w:r>
          </w:p>
        </w:tc>
        <w:tc>
          <w:tcPr>
            <w:tcW w:w="1257" w:type="dxa"/>
            <w:shd w:val="clear" w:color="auto" w:fill="auto"/>
          </w:tcPr>
          <w:p w:rsidR="00CB0DD7" w:rsidRPr="000A0A5F" w:rsidRDefault="00CB0DD7">
            <w:pPr>
              <w:pStyle w:val="TAH"/>
              <w:jc w:val="left"/>
              <w:rPr>
                <w:rFonts w:eastAsia="Times New Roman" w:cs="Arial"/>
                <w:b w:val="0"/>
                <w:szCs w:val="18"/>
              </w:rPr>
            </w:pPr>
          </w:p>
        </w:tc>
      </w:tr>
      <w:tr w:rsidR="00CB0DD7" w:rsidRPr="000A0A5F" w:rsidTr="00FF0AF8">
        <w:trPr>
          <w:jc w:val="center"/>
        </w:trPr>
        <w:tc>
          <w:tcPr>
            <w:tcW w:w="1948" w:type="dxa"/>
            <w:shd w:val="clear" w:color="auto" w:fill="auto"/>
          </w:tcPr>
          <w:p w:rsidR="00CB0DD7" w:rsidRPr="000A0A5F" w:rsidRDefault="00CB0DD7">
            <w:pPr>
              <w:pStyle w:val="TAL"/>
              <w:rPr>
                <w:rFonts w:eastAsia="Times New Roman"/>
              </w:rPr>
            </w:pPr>
            <w:r w:rsidRPr="000A0A5F">
              <w:rPr>
                <w:lang w:eastAsia="zh-CN"/>
              </w:rPr>
              <w:t>e</w:t>
            </w:r>
            <w:r w:rsidRPr="000A0A5F">
              <w:rPr>
                <w:rFonts w:hint="eastAsia"/>
                <w:lang w:eastAsia="zh-CN"/>
              </w:rPr>
              <w:t>xternal</w:t>
            </w:r>
            <w:r w:rsidRPr="000A0A5F">
              <w:rPr>
                <w:lang w:eastAsia="zh-CN"/>
              </w:rPr>
              <w:t>Id</w:t>
            </w:r>
          </w:p>
        </w:tc>
        <w:tc>
          <w:tcPr>
            <w:tcW w:w="1152" w:type="dxa"/>
            <w:shd w:val="clear" w:color="auto" w:fill="auto"/>
          </w:tcPr>
          <w:p w:rsidR="00CB0DD7" w:rsidRPr="000A0A5F" w:rsidRDefault="00CB0DD7">
            <w:pPr>
              <w:pStyle w:val="TAL"/>
              <w:rPr>
                <w:rFonts w:eastAsia="Times New Roman"/>
              </w:rPr>
            </w:pPr>
            <w:r w:rsidRPr="000A0A5F">
              <w:rPr>
                <w:lang w:eastAsia="zh-CN"/>
              </w:rPr>
              <w:t>ExternalId</w:t>
            </w:r>
          </w:p>
        </w:tc>
        <w:tc>
          <w:tcPr>
            <w:tcW w:w="1134" w:type="dxa"/>
            <w:shd w:val="clear" w:color="auto" w:fill="auto"/>
          </w:tcPr>
          <w:p w:rsidR="00CB0DD7" w:rsidRPr="000A0A5F" w:rsidRDefault="00CB0DD7">
            <w:pPr>
              <w:pStyle w:val="TAL"/>
              <w:rPr>
                <w:rFonts w:eastAsia="Times New Roman"/>
              </w:rPr>
            </w:pPr>
            <w:r w:rsidRPr="000A0A5F">
              <w:rPr>
                <w:rFonts w:eastAsia="Times New Roman"/>
              </w:rPr>
              <w:t>0..1</w:t>
            </w:r>
          </w:p>
        </w:tc>
        <w:tc>
          <w:tcPr>
            <w:tcW w:w="4111" w:type="dxa"/>
            <w:shd w:val="clear" w:color="auto" w:fill="auto"/>
          </w:tcPr>
          <w:p w:rsidR="00CB0DD7" w:rsidRPr="000A0A5F" w:rsidRDefault="00CB0DD7">
            <w:pPr>
              <w:pStyle w:val="TAL"/>
              <w:spacing w:afterLines="50" w:after="120"/>
              <w:rPr>
                <w:rFonts w:eastAsia="Times New Roman" w:cs="Arial"/>
                <w:szCs w:val="18"/>
              </w:rPr>
            </w:pPr>
            <w:r w:rsidRPr="000A0A5F">
              <w:rPr>
                <w:rFonts w:eastAsia="Times New Roman" w:cs="Arial"/>
                <w:szCs w:val="18"/>
              </w:rPr>
              <w:t xml:space="preserve">Each element uniquely identifies a user as defined in </w:t>
            </w:r>
            <w:r w:rsidR="00400CBC" w:rsidRPr="000A0A5F">
              <w:rPr>
                <w:rFonts w:eastAsia="Times New Roman" w:cs="Arial"/>
                <w:szCs w:val="18"/>
              </w:rPr>
              <w:t>Clause </w:t>
            </w:r>
            <w:r w:rsidRPr="000A0A5F">
              <w:rPr>
                <w:rFonts w:eastAsia="Times New Roman" w:cs="Arial"/>
                <w:szCs w:val="18"/>
              </w:rPr>
              <w:t>4.6.2 of 3GPP TS 23.682 [2].</w:t>
            </w:r>
          </w:p>
          <w:p w:rsidR="00CB0DD7" w:rsidRPr="000A0A5F" w:rsidRDefault="00CB0DD7">
            <w:pPr>
              <w:pStyle w:val="TAL"/>
              <w:rPr>
                <w:rFonts w:eastAsia="Times New Roman" w:cs="Arial"/>
                <w:szCs w:val="18"/>
              </w:rPr>
            </w:pPr>
            <w:r w:rsidRPr="000A0A5F">
              <w:rPr>
                <w:rFonts w:cs="Arial" w:hint="eastAsia"/>
                <w:szCs w:val="18"/>
                <w:lang w:eastAsia="zh-CN"/>
              </w:rPr>
              <w:t>(</w:t>
            </w:r>
            <w:r w:rsidRPr="000A0A5F">
              <w:rPr>
                <w:rFonts w:cs="Arial"/>
                <w:szCs w:val="18"/>
                <w:lang w:eastAsia="zh-CN"/>
              </w:rPr>
              <w:t>NOTE 2</w:t>
            </w:r>
            <w:r w:rsidRPr="000A0A5F">
              <w:rPr>
                <w:rFonts w:cs="Arial" w:hint="eastAsia"/>
                <w:szCs w:val="18"/>
                <w:lang w:eastAsia="zh-CN"/>
              </w:rPr>
              <w:t>)</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rPr>
                <w:rFonts w:eastAsia="Times New Roman"/>
              </w:rPr>
            </w:pPr>
            <w:r w:rsidRPr="000A0A5F">
              <w:rPr>
                <w:lang w:eastAsia="zh-CN"/>
              </w:rPr>
              <w:t>msisdn</w:t>
            </w:r>
          </w:p>
        </w:tc>
        <w:tc>
          <w:tcPr>
            <w:tcW w:w="1152" w:type="dxa"/>
            <w:shd w:val="clear" w:color="auto" w:fill="auto"/>
          </w:tcPr>
          <w:p w:rsidR="00CB0DD7" w:rsidRPr="000A0A5F" w:rsidRDefault="00CB0DD7">
            <w:pPr>
              <w:pStyle w:val="TAL"/>
              <w:rPr>
                <w:rFonts w:eastAsia="Times New Roman"/>
              </w:rPr>
            </w:pPr>
            <w:r w:rsidRPr="000A0A5F">
              <w:rPr>
                <w:lang w:eastAsia="zh-CN"/>
              </w:rPr>
              <w:t>Msisdn</w:t>
            </w:r>
          </w:p>
        </w:tc>
        <w:tc>
          <w:tcPr>
            <w:tcW w:w="1134" w:type="dxa"/>
            <w:shd w:val="clear" w:color="auto" w:fill="auto"/>
          </w:tcPr>
          <w:p w:rsidR="00CB0DD7" w:rsidRPr="000A0A5F" w:rsidRDefault="00CB0DD7">
            <w:pPr>
              <w:pStyle w:val="TAL"/>
              <w:rPr>
                <w:rFonts w:eastAsia="Times New Roman"/>
              </w:rPr>
            </w:pPr>
            <w:r w:rsidRPr="000A0A5F">
              <w:rPr>
                <w:rFonts w:eastAsia="Times New Roman"/>
              </w:rPr>
              <w:t>0..1</w:t>
            </w:r>
          </w:p>
        </w:tc>
        <w:tc>
          <w:tcPr>
            <w:tcW w:w="4111" w:type="dxa"/>
            <w:shd w:val="clear" w:color="auto" w:fill="auto"/>
          </w:tcPr>
          <w:p w:rsidR="00CB0DD7" w:rsidRPr="000A0A5F" w:rsidRDefault="00CB0DD7">
            <w:pPr>
              <w:pStyle w:val="TAL"/>
              <w:spacing w:afterLines="50" w:after="120"/>
              <w:rPr>
                <w:rFonts w:cs="Arial"/>
                <w:szCs w:val="18"/>
                <w:lang w:eastAsia="zh-CN"/>
              </w:rPr>
            </w:pPr>
            <w:r w:rsidRPr="000A0A5F">
              <w:rPr>
                <w:rFonts w:eastAsia="Times New Roman" w:cs="Arial"/>
                <w:szCs w:val="18"/>
              </w:rPr>
              <w:t>Each element</w:t>
            </w:r>
            <w:r w:rsidRPr="000A0A5F">
              <w:rPr>
                <w:rFonts w:cs="Arial"/>
                <w:szCs w:val="18"/>
                <w:lang w:eastAsia="zh-CN"/>
              </w:rPr>
              <w:t xml:space="preserve"> identifies the MS internal PSTN/ISDN number allocated for a UE.</w:t>
            </w:r>
          </w:p>
          <w:p w:rsidR="00CB0DD7" w:rsidRPr="000A0A5F" w:rsidRDefault="00CB0DD7">
            <w:pPr>
              <w:pStyle w:val="TAL"/>
              <w:rPr>
                <w:rFonts w:eastAsia="Times New Roman" w:cs="Arial"/>
                <w:szCs w:val="18"/>
              </w:rPr>
            </w:pPr>
            <w:r w:rsidRPr="000A0A5F">
              <w:rPr>
                <w:rFonts w:cs="Arial" w:hint="eastAsia"/>
                <w:szCs w:val="18"/>
                <w:lang w:eastAsia="zh-CN"/>
              </w:rPr>
              <w:t>(</w:t>
            </w:r>
            <w:r w:rsidRPr="000A0A5F">
              <w:rPr>
                <w:rFonts w:cs="Arial"/>
                <w:szCs w:val="18"/>
                <w:lang w:eastAsia="zh-CN"/>
              </w:rPr>
              <w:t>NOTE 2</w:t>
            </w:r>
            <w:r w:rsidRPr="000A0A5F">
              <w:rPr>
                <w:rFonts w:cs="Arial" w:hint="eastAsia"/>
                <w:szCs w:val="18"/>
                <w:lang w:eastAsia="zh-CN"/>
              </w:rPr>
              <w:t>)</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rPr>
                <w:rFonts w:eastAsia="Times New Roman"/>
              </w:rPr>
            </w:pPr>
            <w:r w:rsidRPr="000A0A5F">
              <w:rPr>
                <w:rFonts w:eastAsia="Times New Roman"/>
              </w:rPr>
              <w:t>data</w:t>
            </w:r>
          </w:p>
        </w:tc>
        <w:tc>
          <w:tcPr>
            <w:tcW w:w="1152" w:type="dxa"/>
            <w:shd w:val="clear" w:color="auto" w:fill="auto"/>
          </w:tcPr>
          <w:p w:rsidR="00CB0DD7" w:rsidRPr="000A0A5F" w:rsidRDefault="00CB0DD7">
            <w:pPr>
              <w:pStyle w:val="TAL"/>
              <w:rPr>
                <w:rFonts w:eastAsia="Times New Roman"/>
              </w:rPr>
            </w:pPr>
            <w:r w:rsidRPr="000A0A5F">
              <w:rPr>
                <w:lang w:eastAsia="zh-CN"/>
              </w:rPr>
              <w:t>Bytes</w:t>
            </w:r>
          </w:p>
        </w:tc>
        <w:tc>
          <w:tcPr>
            <w:tcW w:w="1134" w:type="dxa"/>
            <w:shd w:val="clear" w:color="auto" w:fill="auto"/>
          </w:tcPr>
          <w:p w:rsidR="00CB0DD7" w:rsidRPr="000A0A5F" w:rsidRDefault="00CB0DD7">
            <w:pPr>
              <w:pStyle w:val="TAL"/>
              <w:rPr>
                <w:rFonts w:eastAsia="Times New Roman"/>
              </w:rPr>
            </w:pPr>
            <w:r w:rsidRPr="000A0A5F">
              <w:rPr>
                <w:rFonts w:eastAsia="Times New Roman"/>
              </w:rPr>
              <w:t>1</w:t>
            </w:r>
          </w:p>
        </w:tc>
        <w:tc>
          <w:tcPr>
            <w:tcW w:w="4111" w:type="dxa"/>
            <w:shd w:val="clear" w:color="auto" w:fill="auto"/>
          </w:tcPr>
          <w:p w:rsidR="00CB0DD7" w:rsidRPr="000A0A5F" w:rsidRDefault="00CB0DD7">
            <w:pPr>
              <w:pStyle w:val="TAL"/>
              <w:rPr>
                <w:rFonts w:cs="Arial" w:hint="eastAsia"/>
                <w:szCs w:val="18"/>
                <w:lang w:val="en-US" w:eastAsia="zh-CN"/>
              </w:rPr>
            </w:pPr>
            <w:r w:rsidRPr="000A0A5F">
              <w:rPr>
                <w:rFonts w:cs="Arial"/>
                <w:szCs w:val="18"/>
                <w:lang w:val="en-US" w:eastAsia="zh-CN"/>
              </w:rPr>
              <w:t>The non IP data that needed to be delivered from the UE to the SCS/AS.</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rPr>
                <w:rFonts w:eastAsia="Times New Roman"/>
              </w:rPr>
            </w:pPr>
            <w:r w:rsidRPr="000A0A5F">
              <w:rPr>
                <w:rFonts w:eastAsia="Times New Roman"/>
              </w:rPr>
              <w:t>reliableDataService</w:t>
            </w:r>
          </w:p>
        </w:tc>
        <w:tc>
          <w:tcPr>
            <w:tcW w:w="1152" w:type="dxa"/>
            <w:shd w:val="clear" w:color="auto" w:fill="auto"/>
          </w:tcPr>
          <w:p w:rsidR="00CB0DD7" w:rsidRPr="000A0A5F" w:rsidRDefault="00CB0DD7">
            <w:pPr>
              <w:pStyle w:val="TAL"/>
              <w:rPr>
                <w:rFonts w:eastAsia="Times New Roman"/>
              </w:rPr>
            </w:pPr>
            <w:r w:rsidRPr="000A0A5F">
              <w:rPr>
                <w:rFonts w:eastAsia="Times New Roman"/>
              </w:rPr>
              <w:t>boolean</w:t>
            </w:r>
          </w:p>
        </w:tc>
        <w:tc>
          <w:tcPr>
            <w:tcW w:w="1134" w:type="dxa"/>
            <w:shd w:val="clear" w:color="auto" w:fill="auto"/>
          </w:tcPr>
          <w:p w:rsidR="00CB0DD7" w:rsidRPr="000A0A5F" w:rsidRDefault="00CB0DD7">
            <w:pPr>
              <w:pStyle w:val="TAL"/>
              <w:rPr>
                <w:rFonts w:eastAsia="Times New Roman"/>
              </w:rPr>
            </w:pPr>
            <w:r w:rsidRPr="000A0A5F">
              <w:rPr>
                <w:rFonts w:eastAsia="Times New Roman"/>
              </w:rPr>
              <w:t>0..1</w:t>
            </w:r>
          </w:p>
        </w:tc>
        <w:tc>
          <w:tcPr>
            <w:tcW w:w="4111" w:type="dxa"/>
            <w:shd w:val="clear" w:color="auto" w:fill="auto"/>
          </w:tcPr>
          <w:p w:rsidR="00434B8C" w:rsidRPr="000A0A5F" w:rsidRDefault="00CB0DD7" w:rsidP="00434B8C">
            <w:pPr>
              <w:pStyle w:val="TAL"/>
              <w:rPr>
                <w:lang w:eastAsia="zh-CN"/>
              </w:rPr>
            </w:pPr>
            <w:r w:rsidRPr="000A0A5F">
              <w:rPr>
                <w:rFonts w:eastAsia="Times New Roman" w:cs="Arial"/>
                <w:szCs w:val="18"/>
              </w:rPr>
              <w:t xml:space="preserve">Indicates whether the reliable data service </w:t>
            </w:r>
            <w:r w:rsidR="00434B8C" w:rsidRPr="000A0A5F">
              <w:rPr>
                <w:lang w:eastAsia="zh-CN"/>
              </w:rPr>
              <w:t>acknowledg</w:t>
            </w:r>
            <w:r w:rsidR="00E356BF" w:rsidRPr="000A0A5F">
              <w:rPr>
                <w:lang w:eastAsia="zh-CN"/>
              </w:rPr>
              <w:t>e</w:t>
            </w:r>
            <w:r w:rsidR="00434B8C" w:rsidRPr="000A0A5F">
              <w:rPr>
                <w:lang w:eastAsia="zh-CN"/>
              </w:rPr>
              <w:t>ment is requested.</w:t>
            </w:r>
          </w:p>
          <w:p w:rsidR="00434B8C" w:rsidRPr="000A0A5F" w:rsidRDefault="00434B8C" w:rsidP="00434B8C">
            <w:pPr>
              <w:pStyle w:val="TAL"/>
            </w:pPr>
          </w:p>
          <w:p w:rsidR="00434B8C" w:rsidRPr="000A0A5F" w:rsidRDefault="00434B8C" w:rsidP="00434B8C">
            <w:pPr>
              <w:pStyle w:val="TAL"/>
              <w:rPr>
                <w:lang w:eastAsia="zh-CN"/>
              </w:rPr>
            </w:pPr>
            <w:r w:rsidRPr="000A0A5F">
              <w:rPr>
                <w:lang w:eastAsia="zh-CN"/>
              </w:rPr>
              <w:t>- true: reliable data service acknowledg</w:t>
            </w:r>
            <w:r w:rsidR="00E356BF" w:rsidRPr="000A0A5F">
              <w:rPr>
                <w:lang w:eastAsia="zh-CN"/>
              </w:rPr>
              <w:t>e</w:t>
            </w:r>
            <w:r w:rsidRPr="000A0A5F">
              <w:rPr>
                <w:lang w:eastAsia="zh-CN"/>
              </w:rPr>
              <w:t>ment is requested;</w:t>
            </w:r>
          </w:p>
          <w:p w:rsidR="00CB0DD7" w:rsidRPr="000A0A5F" w:rsidRDefault="00434B8C" w:rsidP="00434B8C">
            <w:pPr>
              <w:pStyle w:val="TAL"/>
              <w:rPr>
                <w:rFonts w:eastAsia="Times New Roman" w:cs="Arial"/>
                <w:szCs w:val="18"/>
              </w:rPr>
            </w:pPr>
            <w:r w:rsidRPr="000A0A5F">
              <w:rPr>
                <w:lang w:eastAsia="zh-CN"/>
              </w:rPr>
              <w:t>- false: reliable data service acknowledg</w:t>
            </w:r>
            <w:r w:rsidR="00E356BF" w:rsidRPr="000A0A5F">
              <w:rPr>
                <w:lang w:eastAsia="zh-CN"/>
              </w:rPr>
              <w:t>e</w:t>
            </w:r>
            <w:r w:rsidRPr="000A0A5F">
              <w:rPr>
                <w:lang w:eastAsia="zh-CN"/>
              </w:rPr>
              <w:t>ment</w:t>
            </w:r>
            <w:r w:rsidRPr="000A0A5F">
              <w:t xml:space="preserve"> is not requested.</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rPr>
                <w:rFonts w:eastAsia="Times New Roman"/>
              </w:rPr>
            </w:pPr>
            <w:r w:rsidRPr="000A0A5F">
              <w:rPr>
                <w:rFonts w:eastAsia="Times New Roman"/>
              </w:rPr>
              <w:t>rdsPort</w:t>
            </w:r>
          </w:p>
        </w:tc>
        <w:tc>
          <w:tcPr>
            <w:tcW w:w="1152" w:type="dxa"/>
            <w:shd w:val="clear" w:color="auto" w:fill="auto"/>
          </w:tcPr>
          <w:p w:rsidR="00CB0DD7" w:rsidRPr="000A0A5F" w:rsidRDefault="00CB0DD7">
            <w:pPr>
              <w:pStyle w:val="TAL"/>
              <w:rPr>
                <w:rFonts w:eastAsia="Times New Roman"/>
              </w:rPr>
            </w:pPr>
            <w:r w:rsidRPr="000A0A5F">
              <w:rPr>
                <w:rFonts w:eastAsia="Times New Roman"/>
              </w:rPr>
              <w:t>RdsPort</w:t>
            </w:r>
          </w:p>
        </w:tc>
        <w:tc>
          <w:tcPr>
            <w:tcW w:w="1134" w:type="dxa"/>
            <w:shd w:val="clear" w:color="auto" w:fill="auto"/>
          </w:tcPr>
          <w:p w:rsidR="00CB0DD7" w:rsidRPr="000A0A5F" w:rsidRDefault="00CB0DD7">
            <w:pPr>
              <w:pStyle w:val="TAL"/>
              <w:rPr>
                <w:rFonts w:eastAsia="Times New Roman"/>
              </w:rPr>
            </w:pPr>
            <w:r w:rsidRPr="000A0A5F">
              <w:rPr>
                <w:rFonts w:eastAsia="Times New Roman"/>
              </w:rPr>
              <w:t>0..1</w:t>
            </w:r>
          </w:p>
        </w:tc>
        <w:tc>
          <w:tcPr>
            <w:tcW w:w="4111" w:type="dxa"/>
            <w:shd w:val="clear" w:color="auto" w:fill="auto"/>
          </w:tcPr>
          <w:p w:rsidR="00CB0DD7" w:rsidRPr="000A0A5F" w:rsidRDefault="00CB0DD7">
            <w:pPr>
              <w:pStyle w:val="TAL"/>
              <w:rPr>
                <w:rFonts w:eastAsia="Times New Roman" w:cs="Arial"/>
                <w:szCs w:val="18"/>
              </w:rPr>
            </w:pPr>
            <w:r w:rsidRPr="000A0A5F">
              <w:rPr>
                <w:rFonts w:cs="Arial"/>
                <w:szCs w:val="18"/>
                <w:lang w:eastAsia="zh-CN"/>
              </w:rPr>
              <w:t>Indicates the port configuration that is used for reliable data transfer between specific applications using RDS (as defined in clause</w:t>
            </w:r>
            <w:r w:rsidRPr="000A0A5F">
              <w:rPr>
                <w:rFonts w:cs="Arial"/>
                <w:szCs w:val="18"/>
                <w:lang w:val="en-US" w:eastAsia="zh-CN"/>
              </w:rPr>
              <w:t> 5.2</w:t>
            </w:r>
            <w:r w:rsidRPr="000A0A5F">
              <w:rPr>
                <w:rFonts w:cs="Arial"/>
                <w:szCs w:val="18"/>
                <w:lang w:eastAsia="zh-CN"/>
              </w:rPr>
              <w:t>.4 and 5.2.5 of 3GPP TS 24.250 [31]).</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9602" w:type="dxa"/>
            <w:gridSpan w:val="5"/>
            <w:shd w:val="clear" w:color="auto" w:fill="auto"/>
          </w:tcPr>
          <w:p w:rsidR="00CB0DD7" w:rsidRPr="000A0A5F" w:rsidRDefault="00CB0DD7">
            <w:pPr>
              <w:pStyle w:val="TAN"/>
            </w:pPr>
            <w:r w:rsidRPr="000A0A5F">
              <w:t>NOTE 1:</w:t>
            </w:r>
            <w:r w:rsidRPr="000A0A5F">
              <w:tab/>
              <w:t>Properties marked with a feature as defined in clause 5.6.4 are applicable as described in clause 5.2.7. If no features are indicated, the related property applies for all the features.</w:t>
            </w:r>
          </w:p>
          <w:p w:rsidR="00CB0DD7" w:rsidRPr="000A0A5F" w:rsidRDefault="00CB0DD7">
            <w:pPr>
              <w:pStyle w:val="TAN"/>
            </w:pPr>
            <w:r w:rsidRPr="000A0A5F">
              <w:rPr>
                <w:noProof/>
                <w:lang w:eastAsia="zh-CN"/>
              </w:rPr>
              <w:t>NOTE</w:t>
            </w:r>
            <w:r w:rsidRPr="000A0A5F">
              <w:t> 2</w:t>
            </w:r>
            <w:r w:rsidRPr="000A0A5F">
              <w:rPr>
                <w:noProof/>
                <w:lang w:eastAsia="zh-CN"/>
              </w:rPr>
              <w:t>:</w:t>
            </w:r>
            <w:r w:rsidRPr="000A0A5F">
              <w:rPr>
                <w:noProof/>
                <w:lang w:eastAsia="zh-CN"/>
              </w:rPr>
              <w:tab/>
              <w:t>One of the properties</w:t>
            </w:r>
            <w:r w:rsidRPr="000A0A5F">
              <w:rPr>
                <w:rFonts w:hint="eastAsia"/>
                <w:noProof/>
                <w:lang w:eastAsia="zh-CN"/>
              </w:rPr>
              <w:t xml:space="preserve"> </w:t>
            </w:r>
            <w:r w:rsidRPr="000A0A5F">
              <w:rPr>
                <w:noProof/>
                <w:lang w:eastAsia="zh-CN"/>
              </w:rPr>
              <w:t>"externalId" or "msisdn" shall be included.</w:t>
            </w:r>
          </w:p>
        </w:tc>
      </w:tr>
    </w:tbl>
    <w:p w:rsidR="00CB0DD7" w:rsidRPr="000A0A5F" w:rsidRDefault="00CB0DD7"/>
    <w:p w:rsidR="00CB0DD7" w:rsidRPr="000A0A5F" w:rsidRDefault="00CB0DD7">
      <w:pPr>
        <w:pStyle w:val="Heading5"/>
      </w:pPr>
      <w:bookmarkStart w:id="3576" w:name="_Toc11247443"/>
      <w:bookmarkStart w:id="3577" w:name="_Toc27044565"/>
      <w:bookmarkStart w:id="3578" w:name="_Toc36033607"/>
      <w:bookmarkStart w:id="3579" w:name="_Toc45131742"/>
      <w:bookmarkStart w:id="3580" w:name="_Toc49776027"/>
      <w:bookmarkStart w:id="3581" w:name="_Toc51746947"/>
      <w:bookmarkStart w:id="3582" w:name="_Toc66360501"/>
      <w:bookmarkStart w:id="3583" w:name="_Toc68105006"/>
      <w:bookmarkStart w:id="3584" w:name="_Toc74755636"/>
      <w:bookmarkStart w:id="3585" w:name="_Toc105674509"/>
      <w:bookmarkStart w:id="3586" w:name="_Toc130502557"/>
      <w:bookmarkStart w:id="3587" w:name="_Toc153625344"/>
      <w:r w:rsidRPr="000A0A5F">
        <w:t>5.6.2.1.</w:t>
      </w:r>
      <w:r w:rsidRPr="000A0A5F">
        <w:rPr>
          <w:rFonts w:hint="eastAsia"/>
          <w:lang w:eastAsia="zh-CN"/>
        </w:rPr>
        <w:t>5</w:t>
      </w:r>
      <w:r w:rsidRPr="000A0A5F">
        <w:tab/>
        <w:t>Type: NiddDownlinkDataDeliveryStatusNotification</w:t>
      </w:r>
      <w:bookmarkEnd w:id="3576"/>
      <w:bookmarkEnd w:id="3577"/>
      <w:bookmarkEnd w:id="3578"/>
      <w:bookmarkEnd w:id="3579"/>
      <w:bookmarkEnd w:id="3580"/>
      <w:bookmarkEnd w:id="3581"/>
      <w:bookmarkEnd w:id="3582"/>
      <w:bookmarkEnd w:id="3583"/>
      <w:bookmarkEnd w:id="3584"/>
      <w:bookmarkEnd w:id="3585"/>
      <w:bookmarkEnd w:id="3586"/>
      <w:bookmarkEnd w:id="3587"/>
    </w:p>
    <w:p w:rsidR="00CB0DD7" w:rsidRPr="000A0A5F" w:rsidRDefault="00CB0DD7">
      <w:r w:rsidRPr="000A0A5F">
        <w:t xml:space="preserve">This type represents </w:t>
      </w:r>
      <w:r w:rsidRPr="000A0A5F">
        <w:rPr>
          <w:rFonts w:hint="eastAsia"/>
          <w:lang w:eastAsia="zh-CN"/>
        </w:rPr>
        <w:t xml:space="preserve">the delivery status for a specific </w:t>
      </w:r>
      <w:r w:rsidRPr="000A0A5F">
        <w:t>NIDD downlink</w:t>
      </w:r>
      <w:r w:rsidRPr="000A0A5F">
        <w:rPr>
          <w:rFonts w:hint="eastAsia"/>
          <w:lang w:eastAsia="zh-CN"/>
        </w:rPr>
        <w:t xml:space="preserve"> data </w:t>
      </w:r>
      <w:r w:rsidRPr="000A0A5F">
        <w:rPr>
          <w:lang w:eastAsia="zh-CN"/>
        </w:rPr>
        <w:t>delivery</w:t>
      </w:r>
      <w:r w:rsidRPr="000A0A5F">
        <w:t>.</w:t>
      </w:r>
    </w:p>
    <w:p w:rsidR="00CB0DD7" w:rsidRPr="000A0A5F" w:rsidRDefault="00CB0DD7">
      <w:pPr>
        <w:pStyle w:val="TH"/>
      </w:pPr>
      <w:r w:rsidRPr="000A0A5F">
        <w:rPr>
          <w:noProof/>
        </w:rPr>
        <w:t>Table </w:t>
      </w:r>
      <w:r w:rsidRPr="000A0A5F">
        <w:t>5.6.2.1.</w:t>
      </w:r>
      <w:r w:rsidRPr="000A0A5F">
        <w:rPr>
          <w:rFonts w:hint="eastAsia"/>
          <w:lang w:eastAsia="zh-CN"/>
        </w:rPr>
        <w:t>5</w:t>
      </w:r>
      <w:r w:rsidRPr="000A0A5F">
        <w:t xml:space="preserve">-1: </w:t>
      </w:r>
      <w:r w:rsidRPr="000A0A5F">
        <w:rPr>
          <w:noProof/>
        </w:rPr>
        <w:t xml:space="preserve">Definition of type </w:t>
      </w:r>
      <w:r w:rsidRPr="000A0A5F">
        <w:t>Nidd</w:t>
      </w:r>
      <w:r w:rsidRPr="000A0A5F">
        <w:rPr>
          <w:rFonts w:hint="eastAsia"/>
          <w:lang w:eastAsia="zh-CN"/>
        </w:rPr>
        <w:t>Downlink</w:t>
      </w:r>
      <w:r w:rsidRPr="000A0A5F">
        <w:t>DataDeliveryStatusNotification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948"/>
        <w:gridCol w:w="1435"/>
        <w:gridCol w:w="1134"/>
        <w:gridCol w:w="3828"/>
        <w:gridCol w:w="1257"/>
      </w:tblGrid>
      <w:tr w:rsidR="00CB0DD7" w:rsidRPr="000A0A5F" w:rsidTr="00FF0AF8">
        <w:trPr>
          <w:jc w:val="center"/>
        </w:trPr>
        <w:tc>
          <w:tcPr>
            <w:tcW w:w="1948" w:type="dxa"/>
            <w:shd w:val="clear" w:color="auto" w:fill="C0C0C0"/>
          </w:tcPr>
          <w:p w:rsidR="00CB0DD7" w:rsidRPr="000A0A5F" w:rsidRDefault="00CB0DD7">
            <w:pPr>
              <w:pStyle w:val="TAH"/>
              <w:rPr>
                <w:rFonts w:eastAsia="Times New Roman"/>
              </w:rPr>
            </w:pPr>
            <w:r w:rsidRPr="000A0A5F">
              <w:rPr>
                <w:rFonts w:eastAsia="Times New Roman"/>
              </w:rPr>
              <w:t>Attribute name</w:t>
            </w:r>
          </w:p>
        </w:tc>
        <w:tc>
          <w:tcPr>
            <w:tcW w:w="1435" w:type="dxa"/>
            <w:shd w:val="clear" w:color="auto" w:fill="C0C0C0"/>
          </w:tcPr>
          <w:p w:rsidR="00CB0DD7" w:rsidRPr="000A0A5F" w:rsidRDefault="00CB0DD7">
            <w:pPr>
              <w:pStyle w:val="TAH"/>
              <w:rPr>
                <w:rFonts w:eastAsia="Times New Roman"/>
              </w:rPr>
            </w:pPr>
            <w:r w:rsidRPr="000A0A5F">
              <w:rPr>
                <w:rFonts w:eastAsia="Times New Roman"/>
              </w:rPr>
              <w:t>Data type</w:t>
            </w:r>
          </w:p>
        </w:tc>
        <w:tc>
          <w:tcPr>
            <w:tcW w:w="1134" w:type="dxa"/>
            <w:shd w:val="clear" w:color="auto" w:fill="C0C0C0"/>
          </w:tcPr>
          <w:p w:rsidR="00CB0DD7" w:rsidRPr="000A0A5F" w:rsidRDefault="00CB0DD7">
            <w:pPr>
              <w:pStyle w:val="TAH"/>
              <w:jc w:val="left"/>
              <w:rPr>
                <w:rFonts w:eastAsia="Times New Roman"/>
              </w:rPr>
            </w:pPr>
            <w:r w:rsidRPr="000A0A5F">
              <w:rPr>
                <w:rFonts w:eastAsia="Times New Roman"/>
              </w:rPr>
              <w:t>Cardinality</w:t>
            </w:r>
          </w:p>
        </w:tc>
        <w:tc>
          <w:tcPr>
            <w:tcW w:w="3828"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Description</w:t>
            </w:r>
          </w:p>
        </w:tc>
        <w:tc>
          <w:tcPr>
            <w:tcW w:w="1257"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Applicability (NOTE)</w:t>
            </w:r>
          </w:p>
        </w:tc>
      </w:tr>
      <w:tr w:rsidR="00CB0DD7" w:rsidRPr="000A0A5F" w:rsidTr="00FF0AF8">
        <w:trPr>
          <w:jc w:val="center"/>
        </w:trPr>
        <w:tc>
          <w:tcPr>
            <w:tcW w:w="1948" w:type="dxa"/>
            <w:shd w:val="clear" w:color="auto" w:fill="auto"/>
          </w:tcPr>
          <w:p w:rsidR="00CB0DD7" w:rsidRPr="000A0A5F" w:rsidRDefault="00CB0DD7">
            <w:pPr>
              <w:pStyle w:val="TAH"/>
              <w:jc w:val="left"/>
              <w:rPr>
                <w:rFonts w:eastAsia="Times New Roman"/>
                <w:b w:val="0"/>
              </w:rPr>
            </w:pPr>
            <w:r w:rsidRPr="000A0A5F">
              <w:rPr>
                <w:b w:val="0"/>
              </w:rPr>
              <w:t>niddDownlinkDataTransfer</w:t>
            </w:r>
          </w:p>
        </w:tc>
        <w:tc>
          <w:tcPr>
            <w:tcW w:w="1435" w:type="dxa"/>
            <w:shd w:val="clear" w:color="auto" w:fill="auto"/>
          </w:tcPr>
          <w:p w:rsidR="00CB0DD7" w:rsidRPr="000A0A5F" w:rsidRDefault="00CB0DD7">
            <w:pPr>
              <w:pStyle w:val="TAH"/>
              <w:jc w:val="left"/>
              <w:rPr>
                <w:rFonts w:eastAsia="Times New Roman"/>
                <w:b w:val="0"/>
              </w:rPr>
            </w:pPr>
            <w:r w:rsidRPr="000A0A5F">
              <w:rPr>
                <w:b w:val="0"/>
              </w:rPr>
              <w:t>Link</w:t>
            </w:r>
          </w:p>
        </w:tc>
        <w:tc>
          <w:tcPr>
            <w:tcW w:w="1134" w:type="dxa"/>
            <w:shd w:val="clear" w:color="auto" w:fill="auto"/>
          </w:tcPr>
          <w:p w:rsidR="00CB0DD7" w:rsidRPr="000A0A5F" w:rsidRDefault="00CB0DD7">
            <w:pPr>
              <w:pStyle w:val="TAH"/>
              <w:jc w:val="left"/>
              <w:rPr>
                <w:rFonts w:eastAsia="Times New Roman"/>
                <w:b w:val="0"/>
              </w:rPr>
            </w:pPr>
            <w:r w:rsidRPr="000A0A5F">
              <w:rPr>
                <w:b w:val="0"/>
              </w:rPr>
              <w:t>1</w:t>
            </w:r>
          </w:p>
        </w:tc>
        <w:tc>
          <w:tcPr>
            <w:tcW w:w="3828" w:type="dxa"/>
            <w:shd w:val="clear" w:color="auto" w:fill="auto"/>
          </w:tcPr>
          <w:p w:rsidR="00CB0DD7" w:rsidRPr="000A0A5F" w:rsidRDefault="00CB0DD7">
            <w:pPr>
              <w:pStyle w:val="TAH"/>
              <w:jc w:val="left"/>
              <w:rPr>
                <w:rFonts w:eastAsia="Times New Roman" w:cs="Arial"/>
                <w:b w:val="0"/>
                <w:szCs w:val="18"/>
              </w:rPr>
            </w:pPr>
            <w:r w:rsidRPr="000A0A5F">
              <w:rPr>
                <w:rFonts w:cs="Arial"/>
                <w:b w:val="0"/>
                <w:szCs w:val="18"/>
              </w:rPr>
              <w:t>Link to the NIDD downlink data transfer resource to which this notification is related.</w:t>
            </w:r>
          </w:p>
        </w:tc>
        <w:tc>
          <w:tcPr>
            <w:tcW w:w="1257" w:type="dxa"/>
            <w:shd w:val="clear" w:color="auto" w:fill="auto"/>
          </w:tcPr>
          <w:p w:rsidR="00CB0DD7" w:rsidRPr="000A0A5F" w:rsidRDefault="00CB0DD7">
            <w:pPr>
              <w:pStyle w:val="TAH"/>
              <w:jc w:val="left"/>
              <w:rPr>
                <w:rFonts w:eastAsia="Times New Roman" w:cs="Arial"/>
                <w:b w:val="0"/>
                <w:szCs w:val="18"/>
              </w:rPr>
            </w:pPr>
          </w:p>
        </w:tc>
      </w:tr>
      <w:tr w:rsidR="00CB0DD7" w:rsidRPr="000A0A5F" w:rsidTr="00FF0AF8">
        <w:trPr>
          <w:jc w:val="center"/>
        </w:trPr>
        <w:tc>
          <w:tcPr>
            <w:tcW w:w="1948" w:type="dxa"/>
            <w:shd w:val="clear" w:color="auto" w:fill="auto"/>
          </w:tcPr>
          <w:p w:rsidR="00CB0DD7" w:rsidRPr="000A0A5F" w:rsidRDefault="00CB0DD7">
            <w:pPr>
              <w:pStyle w:val="TAL"/>
              <w:rPr>
                <w:rFonts w:eastAsia="Times New Roman"/>
              </w:rPr>
            </w:pPr>
            <w:r w:rsidRPr="000A0A5F">
              <w:rPr>
                <w:rFonts w:eastAsia="Times New Roman"/>
              </w:rPr>
              <w:t>deliveryStatus</w:t>
            </w:r>
          </w:p>
        </w:tc>
        <w:tc>
          <w:tcPr>
            <w:tcW w:w="1435" w:type="dxa"/>
            <w:shd w:val="clear" w:color="auto" w:fill="auto"/>
          </w:tcPr>
          <w:p w:rsidR="00CB0DD7" w:rsidRPr="000A0A5F" w:rsidRDefault="00CB0DD7">
            <w:pPr>
              <w:pStyle w:val="TAL"/>
              <w:rPr>
                <w:rFonts w:eastAsia="Times New Roman"/>
              </w:rPr>
            </w:pPr>
            <w:r w:rsidRPr="000A0A5F">
              <w:rPr>
                <w:rFonts w:eastAsia="Times New Roman"/>
              </w:rPr>
              <w:t>DeliveryStatus</w:t>
            </w:r>
          </w:p>
        </w:tc>
        <w:tc>
          <w:tcPr>
            <w:tcW w:w="1134" w:type="dxa"/>
            <w:shd w:val="clear" w:color="auto" w:fill="auto"/>
          </w:tcPr>
          <w:p w:rsidR="00CB0DD7" w:rsidRPr="000A0A5F" w:rsidRDefault="00CB0DD7">
            <w:pPr>
              <w:pStyle w:val="TAL"/>
              <w:rPr>
                <w:rFonts w:eastAsia="Times New Roman"/>
              </w:rPr>
            </w:pPr>
            <w:r w:rsidRPr="000A0A5F">
              <w:rPr>
                <w:rFonts w:eastAsia="Times New Roman"/>
              </w:rPr>
              <w:t>1</w:t>
            </w:r>
          </w:p>
        </w:tc>
        <w:tc>
          <w:tcPr>
            <w:tcW w:w="3828" w:type="dxa"/>
            <w:shd w:val="clear" w:color="auto" w:fill="auto"/>
          </w:tcPr>
          <w:p w:rsidR="00CB0DD7" w:rsidRPr="000A0A5F" w:rsidRDefault="00CB0DD7">
            <w:pPr>
              <w:pStyle w:val="TAL"/>
              <w:rPr>
                <w:rFonts w:eastAsia="Times New Roman" w:cs="Arial"/>
                <w:szCs w:val="18"/>
              </w:rPr>
            </w:pPr>
            <w:r w:rsidRPr="000A0A5F">
              <w:rPr>
                <w:rFonts w:eastAsia="Times New Roman" w:cs="Arial"/>
                <w:szCs w:val="18"/>
              </w:rPr>
              <w:t>Indicates the MT NIDD delivery status.</w:t>
            </w:r>
          </w:p>
        </w:tc>
        <w:tc>
          <w:tcPr>
            <w:tcW w:w="1257" w:type="dxa"/>
          </w:tcPr>
          <w:p w:rsidR="00CB0DD7" w:rsidRPr="000A0A5F" w:rsidRDefault="00CB0DD7">
            <w:pPr>
              <w:pStyle w:val="TAL"/>
              <w:rPr>
                <w:rFonts w:eastAsia="Times New Roman" w:cs="Arial"/>
                <w:szCs w:val="18"/>
              </w:rPr>
            </w:pPr>
          </w:p>
        </w:tc>
      </w:tr>
      <w:tr w:rsidR="00CB0DD7" w:rsidRPr="000A0A5F" w:rsidTr="00FF0AF8">
        <w:trPr>
          <w:trHeight w:val="1459"/>
          <w:jc w:val="center"/>
        </w:trPr>
        <w:tc>
          <w:tcPr>
            <w:tcW w:w="1948" w:type="dxa"/>
            <w:shd w:val="clear" w:color="auto" w:fill="auto"/>
          </w:tcPr>
          <w:p w:rsidR="00CB0DD7" w:rsidRPr="000A0A5F" w:rsidRDefault="00CB0DD7">
            <w:pPr>
              <w:pStyle w:val="TAL"/>
              <w:rPr>
                <w:rFonts w:eastAsia="Times New Roman"/>
              </w:rPr>
            </w:pPr>
            <w:r w:rsidRPr="000A0A5F">
              <w:rPr>
                <w:rFonts w:eastAsia="Times New Roman"/>
              </w:rPr>
              <w:t>requestedRetransmissionTime</w:t>
            </w:r>
          </w:p>
        </w:tc>
        <w:tc>
          <w:tcPr>
            <w:tcW w:w="1435" w:type="dxa"/>
            <w:shd w:val="clear" w:color="auto" w:fill="auto"/>
          </w:tcPr>
          <w:p w:rsidR="00CB0DD7" w:rsidRPr="000A0A5F" w:rsidRDefault="00CB0DD7">
            <w:pPr>
              <w:pStyle w:val="TAL"/>
              <w:rPr>
                <w:rFonts w:hint="eastAsia"/>
                <w:lang w:eastAsia="zh-CN"/>
              </w:rPr>
            </w:pPr>
            <w:r w:rsidRPr="000A0A5F">
              <w:rPr>
                <w:lang w:eastAsia="zh-CN"/>
              </w:rPr>
              <w:t>D</w:t>
            </w:r>
            <w:r w:rsidRPr="000A0A5F">
              <w:rPr>
                <w:rFonts w:hint="eastAsia"/>
                <w:lang w:eastAsia="zh-CN"/>
              </w:rPr>
              <w:t>at</w:t>
            </w:r>
            <w:r w:rsidRPr="000A0A5F">
              <w:rPr>
                <w:lang w:eastAsia="zh-CN"/>
              </w:rPr>
              <w:t>e</w:t>
            </w:r>
            <w:r w:rsidRPr="000A0A5F">
              <w:rPr>
                <w:rFonts w:hint="eastAsia"/>
                <w:lang w:eastAsia="zh-CN"/>
              </w:rPr>
              <w:t>Time</w:t>
            </w:r>
          </w:p>
        </w:tc>
        <w:tc>
          <w:tcPr>
            <w:tcW w:w="1134" w:type="dxa"/>
            <w:shd w:val="clear" w:color="auto" w:fill="auto"/>
          </w:tcPr>
          <w:p w:rsidR="00CB0DD7" w:rsidRPr="000A0A5F" w:rsidRDefault="00CB0DD7">
            <w:pPr>
              <w:pStyle w:val="TAL"/>
              <w:rPr>
                <w:rFonts w:eastAsia="Times New Roman"/>
              </w:rPr>
            </w:pPr>
            <w:r w:rsidRPr="000A0A5F">
              <w:rPr>
                <w:rFonts w:eastAsia="Times New Roman"/>
              </w:rPr>
              <w:t>0..1</w:t>
            </w:r>
          </w:p>
        </w:tc>
        <w:tc>
          <w:tcPr>
            <w:tcW w:w="3828" w:type="dxa"/>
            <w:shd w:val="clear" w:color="auto" w:fill="auto"/>
          </w:tcPr>
          <w:p w:rsidR="00CB0DD7" w:rsidRPr="000A0A5F" w:rsidRDefault="00CB0DD7">
            <w:pPr>
              <w:pStyle w:val="TAL"/>
              <w:rPr>
                <w:rFonts w:cs="Arial" w:hint="eastAsia"/>
                <w:lang w:eastAsia="zh-CN"/>
              </w:rPr>
            </w:pPr>
            <w:r w:rsidRPr="000A0A5F">
              <w:rPr>
                <w:rFonts w:cs="Arial"/>
                <w:lang w:eastAsia="zh-CN"/>
              </w:rPr>
              <w:t>I</w:t>
            </w:r>
            <w:r w:rsidRPr="000A0A5F">
              <w:rPr>
                <w:rFonts w:cs="Arial"/>
              </w:rPr>
              <w:t>dentifies the absolute time at which the</w:t>
            </w:r>
            <w:r w:rsidRPr="000A0A5F">
              <w:rPr>
                <w:rFonts w:cs="Arial"/>
                <w:lang w:eastAsia="zh-CN"/>
              </w:rPr>
              <w:t xml:space="preserve"> UE will be reachable.</w:t>
            </w:r>
          </w:p>
          <w:p w:rsidR="00CB0DD7" w:rsidRPr="000A0A5F" w:rsidRDefault="00CB0DD7">
            <w:pPr>
              <w:pStyle w:val="TAL"/>
              <w:rPr>
                <w:rFonts w:eastAsia="Times New Roman" w:cs="Arial"/>
                <w:szCs w:val="18"/>
              </w:rPr>
            </w:pPr>
            <w:r w:rsidRPr="000A0A5F">
              <w:rPr>
                <w:rFonts w:eastAsia="Times New Roman" w:cs="Arial"/>
                <w:szCs w:val="18"/>
              </w:rPr>
              <w:t>This parameter may be supplied by the SCEF for delivery status "</w:t>
            </w:r>
            <w:r w:rsidRPr="000A0A5F">
              <w:t>FAILURE_TEMPORARILY_NOT_REACHABLE"</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9602" w:type="dxa"/>
            <w:gridSpan w:val="5"/>
            <w:shd w:val="clear" w:color="auto" w:fill="auto"/>
          </w:tcPr>
          <w:p w:rsidR="00CB0DD7" w:rsidRPr="000A0A5F" w:rsidRDefault="00CB0DD7">
            <w:pPr>
              <w:pStyle w:val="TAN"/>
            </w:pPr>
            <w:r w:rsidRPr="000A0A5F">
              <w:t>NOTE:</w:t>
            </w:r>
            <w:r w:rsidRPr="000A0A5F">
              <w:tab/>
              <w:t>Properties marked with a feature as defined in clause 5.6.4 are applicable as described in clause 5.2.7. If no feature are indicated, the related property applies for all the features.</w:t>
            </w:r>
          </w:p>
        </w:tc>
      </w:tr>
    </w:tbl>
    <w:p w:rsidR="00CB0DD7" w:rsidRPr="000A0A5F" w:rsidRDefault="00CB0DD7"/>
    <w:p w:rsidR="00CB0DD7" w:rsidRPr="000A0A5F" w:rsidRDefault="00CB0DD7">
      <w:pPr>
        <w:pStyle w:val="Heading5"/>
        <w:rPr>
          <w:rFonts w:hint="eastAsia"/>
          <w:lang w:eastAsia="zh-CN"/>
        </w:rPr>
      </w:pPr>
      <w:bookmarkStart w:id="3588" w:name="_Toc11247444"/>
      <w:bookmarkStart w:id="3589" w:name="_Toc27044566"/>
      <w:bookmarkStart w:id="3590" w:name="_Toc36033608"/>
      <w:bookmarkStart w:id="3591" w:name="_Toc45131743"/>
      <w:bookmarkStart w:id="3592" w:name="_Toc49776028"/>
      <w:bookmarkStart w:id="3593" w:name="_Toc51746948"/>
      <w:bookmarkStart w:id="3594" w:name="_Toc66360502"/>
      <w:bookmarkStart w:id="3595" w:name="_Toc68105007"/>
      <w:bookmarkStart w:id="3596" w:name="_Toc74755637"/>
      <w:bookmarkStart w:id="3597" w:name="_Toc105674510"/>
      <w:bookmarkStart w:id="3598" w:name="_Toc130502558"/>
      <w:bookmarkStart w:id="3599" w:name="_Toc153625345"/>
      <w:r w:rsidRPr="000A0A5F">
        <w:t>5.6.2.1.</w:t>
      </w:r>
      <w:r w:rsidRPr="000A0A5F">
        <w:rPr>
          <w:rFonts w:hint="eastAsia"/>
          <w:lang w:eastAsia="zh-CN"/>
        </w:rPr>
        <w:t>6</w:t>
      </w:r>
      <w:r w:rsidRPr="000A0A5F">
        <w:tab/>
        <w:t xml:space="preserve">Type: </w:t>
      </w:r>
      <w:r w:rsidRPr="000A0A5F">
        <w:rPr>
          <w:rFonts w:hint="eastAsia"/>
          <w:lang w:eastAsia="zh-CN"/>
        </w:rPr>
        <w:t>NiddConfigurationStatusNotifiation</w:t>
      </w:r>
      <w:bookmarkEnd w:id="3588"/>
      <w:bookmarkEnd w:id="3589"/>
      <w:bookmarkEnd w:id="3590"/>
      <w:bookmarkEnd w:id="3591"/>
      <w:bookmarkEnd w:id="3592"/>
      <w:bookmarkEnd w:id="3593"/>
      <w:bookmarkEnd w:id="3594"/>
      <w:bookmarkEnd w:id="3595"/>
      <w:bookmarkEnd w:id="3596"/>
      <w:bookmarkEnd w:id="3597"/>
      <w:bookmarkEnd w:id="3598"/>
      <w:bookmarkEnd w:id="3599"/>
    </w:p>
    <w:p w:rsidR="00CB0DD7" w:rsidRPr="000A0A5F" w:rsidRDefault="00CB0DD7">
      <w:r w:rsidRPr="000A0A5F">
        <w:t xml:space="preserve">This type represents </w:t>
      </w:r>
      <w:r w:rsidRPr="000A0A5F">
        <w:rPr>
          <w:rFonts w:hint="eastAsia"/>
          <w:lang w:eastAsia="zh-CN"/>
        </w:rPr>
        <w:t xml:space="preserve">an NIDD configuration status </w:t>
      </w:r>
      <w:r w:rsidRPr="000A0A5F">
        <w:rPr>
          <w:lang w:eastAsia="zh-CN"/>
        </w:rPr>
        <w:t>notification</w:t>
      </w:r>
      <w:r w:rsidRPr="000A0A5F">
        <w:rPr>
          <w:rFonts w:hint="eastAsia"/>
          <w:lang w:eastAsia="zh-CN"/>
        </w:rPr>
        <w:t>.</w:t>
      </w:r>
    </w:p>
    <w:p w:rsidR="00CB0DD7" w:rsidRPr="000A0A5F" w:rsidRDefault="00CB0DD7">
      <w:pPr>
        <w:pStyle w:val="TH"/>
        <w:rPr>
          <w:rFonts w:hint="eastAsia"/>
          <w:lang w:eastAsia="zh-CN"/>
        </w:rPr>
      </w:pPr>
      <w:r w:rsidRPr="000A0A5F">
        <w:rPr>
          <w:noProof/>
        </w:rPr>
        <w:t>Table </w:t>
      </w:r>
      <w:r w:rsidRPr="000A0A5F">
        <w:t>5.6.2.1.</w:t>
      </w:r>
      <w:r w:rsidRPr="000A0A5F">
        <w:rPr>
          <w:rFonts w:hint="eastAsia"/>
          <w:lang w:eastAsia="zh-CN"/>
        </w:rPr>
        <w:t>6</w:t>
      </w:r>
      <w:r w:rsidRPr="000A0A5F">
        <w:t xml:space="preserve">-1: </w:t>
      </w:r>
      <w:r w:rsidRPr="000A0A5F">
        <w:rPr>
          <w:noProof/>
        </w:rPr>
        <w:t xml:space="preserve">Definition of type </w:t>
      </w:r>
      <w:r w:rsidRPr="000A0A5F">
        <w:rPr>
          <w:rFonts w:hint="eastAsia"/>
          <w:noProof/>
          <w:lang w:eastAsia="zh-CN"/>
        </w:rPr>
        <w:t>NiddConfigurationStatusNotification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948"/>
        <w:gridCol w:w="1152"/>
        <w:gridCol w:w="1134"/>
        <w:gridCol w:w="4111"/>
        <w:gridCol w:w="1257"/>
      </w:tblGrid>
      <w:tr w:rsidR="00CB0DD7" w:rsidRPr="000A0A5F" w:rsidTr="00FF0AF8">
        <w:trPr>
          <w:jc w:val="center"/>
        </w:trPr>
        <w:tc>
          <w:tcPr>
            <w:tcW w:w="1948" w:type="dxa"/>
            <w:shd w:val="clear" w:color="auto" w:fill="C0C0C0"/>
          </w:tcPr>
          <w:p w:rsidR="00CB0DD7" w:rsidRPr="000A0A5F" w:rsidRDefault="00CB0DD7">
            <w:pPr>
              <w:pStyle w:val="TAH"/>
              <w:rPr>
                <w:rFonts w:eastAsia="Times New Roman"/>
              </w:rPr>
            </w:pPr>
            <w:r w:rsidRPr="000A0A5F">
              <w:rPr>
                <w:rFonts w:eastAsia="Times New Roman"/>
              </w:rPr>
              <w:t>Attribute name</w:t>
            </w:r>
          </w:p>
        </w:tc>
        <w:tc>
          <w:tcPr>
            <w:tcW w:w="1152" w:type="dxa"/>
            <w:shd w:val="clear" w:color="auto" w:fill="C0C0C0"/>
          </w:tcPr>
          <w:p w:rsidR="00CB0DD7" w:rsidRPr="000A0A5F" w:rsidRDefault="00CB0DD7">
            <w:pPr>
              <w:pStyle w:val="TAH"/>
              <w:rPr>
                <w:rFonts w:eastAsia="Times New Roman"/>
              </w:rPr>
            </w:pPr>
            <w:r w:rsidRPr="000A0A5F">
              <w:rPr>
                <w:rFonts w:eastAsia="Times New Roman"/>
              </w:rPr>
              <w:t>Data type</w:t>
            </w:r>
          </w:p>
        </w:tc>
        <w:tc>
          <w:tcPr>
            <w:tcW w:w="1134" w:type="dxa"/>
            <w:shd w:val="clear" w:color="auto" w:fill="C0C0C0"/>
          </w:tcPr>
          <w:p w:rsidR="00CB0DD7" w:rsidRPr="000A0A5F" w:rsidRDefault="00CB0DD7">
            <w:pPr>
              <w:pStyle w:val="TAH"/>
              <w:jc w:val="left"/>
              <w:rPr>
                <w:rFonts w:eastAsia="Times New Roman"/>
              </w:rPr>
            </w:pPr>
            <w:r w:rsidRPr="000A0A5F">
              <w:rPr>
                <w:rFonts w:eastAsia="Times New Roman"/>
              </w:rPr>
              <w:t>Cardinality</w:t>
            </w:r>
          </w:p>
        </w:tc>
        <w:tc>
          <w:tcPr>
            <w:tcW w:w="4111"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Description</w:t>
            </w:r>
          </w:p>
        </w:tc>
        <w:tc>
          <w:tcPr>
            <w:tcW w:w="1257"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Applicability (NOTE 1)</w:t>
            </w:r>
          </w:p>
        </w:tc>
      </w:tr>
      <w:tr w:rsidR="00CB0DD7" w:rsidRPr="000A0A5F" w:rsidTr="00FF0AF8">
        <w:trPr>
          <w:jc w:val="center"/>
        </w:trPr>
        <w:tc>
          <w:tcPr>
            <w:tcW w:w="1948" w:type="dxa"/>
            <w:shd w:val="clear" w:color="auto" w:fill="auto"/>
          </w:tcPr>
          <w:p w:rsidR="00CB0DD7" w:rsidRPr="000A0A5F" w:rsidRDefault="00CB0DD7">
            <w:pPr>
              <w:pStyle w:val="TAH"/>
              <w:jc w:val="left"/>
              <w:rPr>
                <w:rFonts w:eastAsia="Times New Roman"/>
                <w:b w:val="0"/>
              </w:rPr>
            </w:pPr>
            <w:r w:rsidRPr="000A0A5F">
              <w:rPr>
                <w:b w:val="0"/>
              </w:rPr>
              <w:t>niddConfiguration</w:t>
            </w:r>
          </w:p>
        </w:tc>
        <w:tc>
          <w:tcPr>
            <w:tcW w:w="1152" w:type="dxa"/>
            <w:shd w:val="clear" w:color="auto" w:fill="auto"/>
          </w:tcPr>
          <w:p w:rsidR="00CB0DD7" w:rsidRPr="000A0A5F" w:rsidRDefault="00CB0DD7">
            <w:pPr>
              <w:pStyle w:val="TAH"/>
              <w:jc w:val="left"/>
              <w:rPr>
                <w:rFonts w:eastAsia="Times New Roman"/>
                <w:b w:val="0"/>
              </w:rPr>
            </w:pPr>
            <w:r w:rsidRPr="000A0A5F">
              <w:rPr>
                <w:b w:val="0"/>
              </w:rPr>
              <w:t>Link</w:t>
            </w:r>
          </w:p>
        </w:tc>
        <w:tc>
          <w:tcPr>
            <w:tcW w:w="1134" w:type="dxa"/>
            <w:shd w:val="clear" w:color="auto" w:fill="auto"/>
          </w:tcPr>
          <w:p w:rsidR="00CB0DD7" w:rsidRPr="000A0A5F" w:rsidRDefault="00CB0DD7">
            <w:pPr>
              <w:pStyle w:val="TAH"/>
              <w:jc w:val="left"/>
              <w:rPr>
                <w:rFonts w:eastAsia="Times New Roman"/>
                <w:b w:val="0"/>
              </w:rPr>
            </w:pPr>
            <w:r w:rsidRPr="000A0A5F">
              <w:rPr>
                <w:b w:val="0"/>
              </w:rPr>
              <w:t>1</w:t>
            </w:r>
          </w:p>
        </w:tc>
        <w:tc>
          <w:tcPr>
            <w:tcW w:w="4111" w:type="dxa"/>
            <w:shd w:val="clear" w:color="auto" w:fill="auto"/>
          </w:tcPr>
          <w:p w:rsidR="00CB0DD7" w:rsidRPr="000A0A5F" w:rsidRDefault="00CB0DD7">
            <w:pPr>
              <w:pStyle w:val="TAH"/>
              <w:jc w:val="left"/>
              <w:rPr>
                <w:rFonts w:eastAsia="Times New Roman" w:cs="Arial"/>
                <w:b w:val="0"/>
                <w:szCs w:val="18"/>
              </w:rPr>
            </w:pPr>
            <w:r w:rsidRPr="000A0A5F">
              <w:rPr>
                <w:rFonts w:cs="Arial"/>
                <w:b w:val="0"/>
                <w:szCs w:val="18"/>
              </w:rPr>
              <w:t>Link to the NIDD configuration resource to which this notification is related.</w:t>
            </w:r>
          </w:p>
        </w:tc>
        <w:tc>
          <w:tcPr>
            <w:tcW w:w="1257" w:type="dxa"/>
            <w:shd w:val="clear" w:color="auto" w:fill="auto"/>
          </w:tcPr>
          <w:p w:rsidR="00CB0DD7" w:rsidRPr="000A0A5F" w:rsidRDefault="00CB0DD7">
            <w:pPr>
              <w:pStyle w:val="TAH"/>
              <w:jc w:val="left"/>
              <w:rPr>
                <w:rFonts w:eastAsia="Times New Roman" w:cs="Arial"/>
                <w:b w:val="0"/>
                <w:szCs w:val="18"/>
              </w:rPr>
            </w:pPr>
          </w:p>
        </w:tc>
      </w:tr>
      <w:tr w:rsidR="00CB0DD7" w:rsidRPr="000A0A5F" w:rsidTr="00FF0AF8">
        <w:trPr>
          <w:jc w:val="center"/>
        </w:trPr>
        <w:tc>
          <w:tcPr>
            <w:tcW w:w="1948" w:type="dxa"/>
            <w:shd w:val="clear" w:color="auto" w:fill="auto"/>
          </w:tcPr>
          <w:p w:rsidR="00CB0DD7" w:rsidRPr="000A0A5F" w:rsidRDefault="00CB0DD7">
            <w:pPr>
              <w:pStyle w:val="TAL"/>
              <w:rPr>
                <w:lang w:eastAsia="zh-CN"/>
              </w:rPr>
            </w:pPr>
            <w:r w:rsidRPr="000A0A5F">
              <w:rPr>
                <w:lang w:eastAsia="zh-CN"/>
              </w:rPr>
              <w:t>e</w:t>
            </w:r>
            <w:r w:rsidRPr="000A0A5F">
              <w:rPr>
                <w:rFonts w:hint="eastAsia"/>
                <w:lang w:eastAsia="zh-CN"/>
              </w:rPr>
              <w:t>xternal</w:t>
            </w:r>
            <w:r w:rsidRPr="000A0A5F">
              <w:rPr>
                <w:lang w:eastAsia="zh-CN"/>
              </w:rPr>
              <w:t>Id</w:t>
            </w:r>
          </w:p>
        </w:tc>
        <w:tc>
          <w:tcPr>
            <w:tcW w:w="1152" w:type="dxa"/>
            <w:shd w:val="clear" w:color="auto" w:fill="auto"/>
          </w:tcPr>
          <w:p w:rsidR="00CB0DD7" w:rsidRPr="000A0A5F" w:rsidRDefault="00CB0DD7">
            <w:pPr>
              <w:pStyle w:val="TAL"/>
              <w:rPr>
                <w:rFonts w:eastAsia="Times New Roman"/>
              </w:rPr>
            </w:pPr>
            <w:r w:rsidRPr="000A0A5F">
              <w:rPr>
                <w:lang w:eastAsia="zh-CN"/>
              </w:rPr>
              <w:t>ExternalId</w:t>
            </w:r>
          </w:p>
        </w:tc>
        <w:tc>
          <w:tcPr>
            <w:tcW w:w="1134" w:type="dxa"/>
            <w:shd w:val="clear" w:color="auto" w:fill="auto"/>
          </w:tcPr>
          <w:p w:rsidR="00CB0DD7" w:rsidRPr="000A0A5F" w:rsidRDefault="00CB0DD7">
            <w:pPr>
              <w:pStyle w:val="TAL"/>
              <w:rPr>
                <w:rFonts w:eastAsia="Times New Roman"/>
              </w:rPr>
            </w:pPr>
            <w:r w:rsidRPr="000A0A5F">
              <w:rPr>
                <w:rFonts w:eastAsia="Times New Roman"/>
              </w:rPr>
              <w:t>0..1</w:t>
            </w:r>
          </w:p>
        </w:tc>
        <w:tc>
          <w:tcPr>
            <w:tcW w:w="4111" w:type="dxa"/>
            <w:shd w:val="clear" w:color="auto" w:fill="auto"/>
          </w:tcPr>
          <w:p w:rsidR="00CB0DD7" w:rsidRPr="000A0A5F" w:rsidRDefault="00CB0DD7">
            <w:pPr>
              <w:pStyle w:val="TAL"/>
              <w:spacing w:afterLines="50" w:after="120"/>
              <w:rPr>
                <w:rFonts w:eastAsia="Times New Roman" w:cs="Arial"/>
                <w:szCs w:val="18"/>
              </w:rPr>
            </w:pPr>
            <w:r w:rsidRPr="000A0A5F">
              <w:rPr>
                <w:rFonts w:eastAsia="Times New Roman" w:cs="Arial"/>
                <w:szCs w:val="18"/>
              </w:rPr>
              <w:t xml:space="preserve">Each element uniquely identifies a user as defined in </w:t>
            </w:r>
            <w:r w:rsidR="00400CBC" w:rsidRPr="000A0A5F">
              <w:rPr>
                <w:rFonts w:eastAsia="Times New Roman" w:cs="Arial"/>
                <w:szCs w:val="18"/>
              </w:rPr>
              <w:t>Clause </w:t>
            </w:r>
            <w:r w:rsidRPr="000A0A5F">
              <w:rPr>
                <w:rFonts w:eastAsia="Times New Roman" w:cs="Arial"/>
                <w:szCs w:val="18"/>
              </w:rPr>
              <w:t>4.6.2 of 3GPP TS 23.682 [2].</w:t>
            </w:r>
          </w:p>
          <w:p w:rsidR="00CB0DD7" w:rsidRPr="000A0A5F" w:rsidRDefault="00CB0DD7">
            <w:pPr>
              <w:pStyle w:val="TAL"/>
              <w:rPr>
                <w:rFonts w:eastAsia="Times New Roman" w:cs="Arial"/>
                <w:szCs w:val="18"/>
              </w:rPr>
            </w:pPr>
            <w:r w:rsidRPr="000A0A5F">
              <w:rPr>
                <w:rFonts w:cs="Arial" w:hint="eastAsia"/>
                <w:szCs w:val="18"/>
                <w:lang w:eastAsia="zh-CN"/>
              </w:rPr>
              <w:t>(</w:t>
            </w:r>
            <w:r w:rsidRPr="000A0A5F">
              <w:rPr>
                <w:rFonts w:cs="Arial"/>
                <w:szCs w:val="18"/>
                <w:lang w:eastAsia="zh-CN"/>
              </w:rPr>
              <w:t>NOTE 2</w:t>
            </w:r>
            <w:r w:rsidRPr="000A0A5F">
              <w:rPr>
                <w:rFonts w:cs="Arial" w:hint="eastAsia"/>
                <w:szCs w:val="18"/>
                <w:lang w:eastAsia="zh-CN"/>
              </w:rPr>
              <w:t>)</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rPr>
                <w:rFonts w:eastAsia="Times New Roman"/>
              </w:rPr>
            </w:pPr>
            <w:r w:rsidRPr="000A0A5F">
              <w:rPr>
                <w:lang w:eastAsia="zh-CN"/>
              </w:rPr>
              <w:t>msisdn</w:t>
            </w:r>
          </w:p>
        </w:tc>
        <w:tc>
          <w:tcPr>
            <w:tcW w:w="1152" w:type="dxa"/>
            <w:shd w:val="clear" w:color="auto" w:fill="auto"/>
          </w:tcPr>
          <w:p w:rsidR="00CB0DD7" w:rsidRPr="000A0A5F" w:rsidRDefault="00CB0DD7">
            <w:pPr>
              <w:pStyle w:val="TAL"/>
              <w:rPr>
                <w:rFonts w:eastAsia="Times New Roman"/>
              </w:rPr>
            </w:pPr>
            <w:r w:rsidRPr="000A0A5F">
              <w:rPr>
                <w:lang w:eastAsia="zh-CN"/>
              </w:rPr>
              <w:t>Msisdn</w:t>
            </w:r>
          </w:p>
        </w:tc>
        <w:tc>
          <w:tcPr>
            <w:tcW w:w="1134" w:type="dxa"/>
            <w:shd w:val="clear" w:color="auto" w:fill="auto"/>
          </w:tcPr>
          <w:p w:rsidR="00CB0DD7" w:rsidRPr="000A0A5F" w:rsidRDefault="00CB0DD7">
            <w:pPr>
              <w:pStyle w:val="TAL"/>
              <w:rPr>
                <w:rFonts w:eastAsia="Times New Roman"/>
              </w:rPr>
            </w:pPr>
            <w:r w:rsidRPr="000A0A5F">
              <w:rPr>
                <w:rFonts w:eastAsia="Times New Roman"/>
              </w:rPr>
              <w:t>0..1</w:t>
            </w:r>
          </w:p>
        </w:tc>
        <w:tc>
          <w:tcPr>
            <w:tcW w:w="4111" w:type="dxa"/>
            <w:shd w:val="clear" w:color="auto" w:fill="auto"/>
          </w:tcPr>
          <w:p w:rsidR="00CB0DD7" w:rsidRPr="000A0A5F" w:rsidRDefault="00CB0DD7">
            <w:pPr>
              <w:pStyle w:val="TAL"/>
              <w:spacing w:afterLines="50" w:after="120"/>
              <w:rPr>
                <w:rFonts w:cs="Arial"/>
                <w:szCs w:val="18"/>
                <w:lang w:eastAsia="zh-CN"/>
              </w:rPr>
            </w:pPr>
            <w:r w:rsidRPr="000A0A5F">
              <w:rPr>
                <w:rFonts w:eastAsia="Times New Roman" w:cs="Arial"/>
                <w:szCs w:val="18"/>
              </w:rPr>
              <w:t>Each element</w:t>
            </w:r>
            <w:r w:rsidRPr="000A0A5F">
              <w:rPr>
                <w:rFonts w:cs="Arial"/>
                <w:szCs w:val="18"/>
                <w:lang w:eastAsia="zh-CN"/>
              </w:rPr>
              <w:t xml:space="preserve"> identifies the MS internal PSTN/ISDN number allocated for a UE.</w:t>
            </w:r>
          </w:p>
          <w:p w:rsidR="00CB0DD7" w:rsidRPr="000A0A5F" w:rsidRDefault="00CB0DD7">
            <w:pPr>
              <w:pStyle w:val="TAL"/>
              <w:rPr>
                <w:rFonts w:eastAsia="Times New Roman" w:cs="Arial"/>
                <w:szCs w:val="18"/>
              </w:rPr>
            </w:pPr>
            <w:r w:rsidRPr="000A0A5F">
              <w:rPr>
                <w:rFonts w:cs="Arial" w:hint="eastAsia"/>
                <w:szCs w:val="18"/>
                <w:lang w:eastAsia="zh-CN"/>
              </w:rPr>
              <w:t>(</w:t>
            </w:r>
            <w:r w:rsidRPr="000A0A5F">
              <w:rPr>
                <w:rFonts w:cs="Arial"/>
                <w:szCs w:val="18"/>
                <w:lang w:eastAsia="zh-CN"/>
              </w:rPr>
              <w:t>NOTE 2</w:t>
            </w:r>
            <w:r w:rsidRPr="000A0A5F">
              <w:rPr>
                <w:rFonts w:cs="Arial" w:hint="eastAsia"/>
                <w:szCs w:val="18"/>
                <w:lang w:eastAsia="zh-CN"/>
              </w:rPr>
              <w:t>)</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rPr>
                <w:rFonts w:eastAsia="Times New Roman"/>
              </w:rPr>
            </w:pPr>
            <w:r w:rsidRPr="000A0A5F">
              <w:rPr>
                <w:rFonts w:eastAsia="Times New Roman"/>
              </w:rPr>
              <w:t>status</w:t>
            </w:r>
          </w:p>
        </w:tc>
        <w:tc>
          <w:tcPr>
            <w:tcW w:w="1152" w:type="dxa"/>
            <w:shd w:val="clear" w:color="auto" w:fill="auto"/>
          </w:tcPr>
          <w:p w:rsidR="00CB0DD7" w:rsidRPr="000A0A5F" w:rsidRDefault="00CB0DD7">
            <w:pPr>
              <w:pStyle w:val="TAL"/>
              <w:rPr>
                <w:rFonts w:hint="eastAsia"/>
                <w:lang w:eastAsia="zh-CN"/>
              </w:rPr>
            </w:pPr>
            <w:r w:rsidRPr="000A0A5F">
              <w:rPr>
                <w:rFonts w:eastAsia="Times New Roman"/>
              </w:rPr>
              <w:t>NiddStatus</w:t>
            </w:r>
          </w:p>
        </w:tc>
        <w:tc>
          <w:tcPr>
            <w:tcW w:w="1134" w:type="dxa"/>
            <w:shd w:val="clear" w:color="auto" w:fill="auto"/>
          </w:tcPr>
          <w:p w:rsidR="00CB0DD7" w:rsidRPr="000A0A5F" w:rsidRDefault="00CB0DD7">
            <w:pPr>
              <w:pStyle w:val="TAL"/>
              <w:rPr>
                <w:rFonts w:eastAsia="Times New Roman"/>
              </w:rPr>
            </w:pPr>
            <w:r w:rsidRPr="000A0A5F">
              <w:rPr>
                <w:rFonts w:eastAsia="Times New Roman"/>
              </w:rPr>
              <w:t>1</w:t>
            </w:r>
          </w:p>
        </w:tc>
        <w:tc>
          <w:tcPr>
            <w:tcW w:w="4111" w:type="dxa"/>
            <w:shd w:val="clear" w:color="auto" w:fill="auto"/>
          </w:tcPr>
          <w:p w:rsidR="00CB0DD7" w:rsidRPr="000A0A5F" w:rsidRDefault="00CB0DD7">
            <w:pPr>
              <w:pStyle w:val="TAL"/>
              <w:rPr>
                <w:rFonts w:cs="Arial" w:hint="eastAsia"/>
                <w:szCs w:val="18"/>
                <w:lang w:eastAsia="zh-CN"/>
              </w:rPr>
            </w:pPr>
            <w:r w:rsidRPr="000A0A5F">
              <w:rPr>
                <w:rFonts w:cs="Arial"/>
                <w:szCs w:val="18"/>
                <w:lang w:eastAsia="zh-CN"/>
              </w:rPr>
              <w:t>Indicates the NIDD configuration status.</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rPr>
                <w:rFonts w:eastAsia="Times New Roman"/>
              </w:rPr>
            </w:pPr>
            <w:r w:rsidRPr="000A0A5F">
              <w:rPr>
                <w:rFonts w:eastAsia="Times New Roman"/>
              </w:rPr>
              <w:t>rdsCapIndication</w:t>
            </w:r>
          </w:p>
        </w:tc>
        <w:tc>
          <w:tcPr>
            <w:tcW w:w="1152" w:type="dxa"/>
            <w:shd w:val="clear" w:color="auto" w:fill="auto"/>
          </w:tcPr>
          <w:p w:rsidR="00CB0DD7" w:rsidRPr="000A0A5F" w:rsidRDefault="00CB0DD7">
            <w:pPr>
              <w:pStyle w:val="TAL"/>
              <w:rPr>
                <w:rFonts w:eastAsia="Times New Roman"/>
              </w:rPr>
            </w:pPr>
            <w:r w:rsidRPr="000A0A5F">
              <w:rPr>
                <w:rFonts w:eastAsia="Times New Roman"/>
              </w:rPr>
              <w:t>boolean</w:t>
            </w:r>
          </w:p>
        </w:tc>
        <w:tc>
          <w:tcPr>
            <w:tcW w:w="1134" w:type="dxa"/>
            <w:shd w:val="clear" w:color="auto" w:fill="auto"/>
          </w:tcPr>
          <w:p w:rsidR="00CB0DD7" w:rsidRPr="000A0A5F" w:rsidRDefault="00CB0DD7">
            <w:pPr>
              <w:pStyle w:val="TAL"/>
              <w:rPr>
                <w:rFonts w:eastAsia="Times New Roman"/>
              </w:rPr>
            </w:pPr>
            <w:r w:rsidRPr="000A0A5F">
              <w:rPr>
                <w:rFonts w:hint="eastAsia"/>
                <w:lang w:eastAsia="zh-CN"/>
              </w:rPr>
              <w:t>0..1</w:t>
            </w:r>
          </w:p>
        </w:tc>
        <w:tc>
          <w:tcPr>
            <w:tcW w:w="4111" w:type="dxa"/>
            <w:shd w:val="clear" w:color="auto" w:fill="auto"/>
          </w:tcPr>
          <w:p w:rsidR="00CB0DD7" w:rsidRPr="000A0A5F" w:rsidRDefault="00CB0DD7">
            <w:pPr>
              <w:pStyle w:val="TAL"/>
              <w:rPr>
                <w:rFonts w:cs="Arial"/>
                <w:szCs w:val="18"/>
                <w:lang w:eastAsia="zh-CN"/>
              </w:rPr>
            </w:pPr>
            <w:r w:rsidRPr="000A0A5F">
              <w:rPr>
                <w:rFonts w:cs="Arial"/>
                <w:szCs w:val="18"/>
                <w:lang w:eastAsia="zh-CN"/>
              </w:rPr>
              <w:t>It indicates whether the network capability for the reliable data service is enabled or not.</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rPr>
                <w:rFonts w:eastAsia="Times New Roman"/>
              </w:rPr>
            </w:pPr>
            <w:r w:rsidRPr="000A0A5F">
              <w:rPr>
                <w:rFonts w:eastAsia="Times New Roman"/>
              </w:rPr>
              <w:t>rdsPort</w:t>
            </w:r>
          </w:p>
        </w:tc>
        <w:tc>
          <w:tcPr>
            <w:tcW w:w="1152" w:type="dxa"/>
            <w:shd w:val="clear" w:color="auto" w:fill="auto"/>
          </w:tcPr>
          <w:p w:rsidR="00CB0DD7" w:rsidRPr="000A0A5F" w:rsidRDefault="00CB0DD7">
            <w:pPr>
              <w:pStyle w:val="TAL"/>
              <w:rPr>
                <w:rFonts w:eastAsia="Times New Roman"/>
              </w:rPr>
            </w:pPr>
            <w:r w:rsidRPr="000A0A5F">
              <w:rPr>
                <w:rFonts w:eastAsia="Times New Roman"/>
              </w:rPr>
              <w:t>RdsPort</w:t>
            </w:r>
          </w:p>
        </w:tc>
        <w:tc>
          <w:tcPr>
            <w:tcW w:w="1134" w:type="dxa"/>
            <w:shd w:val="clear" w:color="auto" w:fill="auto"/>
          </w:tcPr>
          <w:p w:rsidR="00CB0DD7" w:rsidRPr="000A0A5F" w:rsidRDefault="00CB0DD7">
            <w:pPr>
              <w:pStyle w:val="TAL"/>
              <w:rPr>
                <w:rFonts w:hint="eastAsia"/>
                <w:lang w:eastAsia="zh-CN"/>
              </w:rPr>
            </w:pPr>
            <w:r w:rsidRPr="000A0A5F">
              <w:rPr>
                <w:rFonts w:eastAsia="Times New Roman"/>
              </w:rPr>
              <w:t>0..1</w:t>
            </w:r>
          </w:p>
        </w:tc>
        <w:tc>
          <w:tcPr>
            <w:tcW w:w="4111" w:type="dxa"/>
            <w:shd w:val="clear" w:color="auto" w:fill="auto"/>
          </w:tcPr>
          <w:p w:rsidR="00CB0DD7" w:rsidRPr="000A0A5F" w:rsidRDefault="00CB0DD7">
            <w:pPr>
              <w:pStyle w:val="TAL"/>
              <w:rPr>
                <w:rFonts w:cs="Arial"/>
                <w:szCs w:val="18"/>
                <w:lang w:eastAsia="zh-CN"/>
              </w:rPr>
            </w:pPr>
            <w:r w:rsidRPr="000A0A5F">
              <w:rPr>
                <w:rFonts w:cs="Arial"/>
                <w:szCs w:val="18"/>
                <w:lang w:eastAsia="zh-CN"/>
              </w:rPr>
              <w:t>Indicates the port configuration that is used for reliable data transfer between specific applications using RDS (as defined in clause</w:t>
            </w:r>
            <w:r w:rsidRPr="000A0A5F">
              <w:rPr>
                <w:rFonts w:cs="Arial"/>
                <w:szCs w:val="18"/>
                <w:lang w:val="en-US" w:eastAsia="zh-CN"/>
              </w:rPr>
              <w:t> 5.2</w:t>
            </w:r>
            <w:r w:rsidRPr="000A0A5F">
              <w:rPr>
                <w:rFonts w:cs="Arial"/>
                <w:szCs w:val="18"/>
                <w:lang w:eastAsia="zh-CN"/>
              </w:rPr>
              <w:t>.4 and 5.2.5 of 3GPP TS 24.250 [31]).</w:t>
            </w:r>
          </w:p>
        </w:tc>
        <w:tc>
          <w:tcPr>
            <w:tcW w:w="1257" w:type="dxa"/>
          </w:tcPr>
          <w:p w:rsidR="00CB0DD7" w:rsidRPr="000A0A5F" w:rsidRDefault="00CB0DD7">
            <w:pPr>
              <w:pStyle w:val="TAL"/>
              <w:rPr>
                <w:rFonts w:eastAsia="Times New Roman" w:cs="Arial"/>
                <w:szCs w:val="18"/>
              </w:rPr>
            </w:pPr>
            <w:r w:rsidRPr="000A0A5F">
              <w:t>Rds_port_verification</w:t>
            </w:r>
          </w:p>
        </w:tc>
      </w:tr>
      <w:tr w:rsidR="00CB0DD7" w:rsidRPr="000A0A5F" w:rsidTr="00FF0AF8">
        <w:trPr>
          <w:jc w:val="center"/>
        </w:trPr>
        <w:tc>
          <w:tcPr>
            <w:tcW w:w="9602" w:type="dxa"/>
            <w:gridSpan w:val="5"/>
            <w:shd w:val="clear" w:color="auto" w:fill="auto"/>
          </w:tcPr>
          <w:p w:rsidR="00CB0DD7" w:rsidRPr="000A0A5F" w:rsidRDefault="00CB0DD7">
            <w:pPr>
              <w:pStyle w:val="TAN"/>
            </w:pPr>
            <w:r w:rsidRPr="000A0A5F">
              <w:t>NOTE 1:</w:t>
            </w:r>
            <w:r w:rsidRPr="000A0A5F">
              <w:tab/>
              <w:t>Properties marked with a feature as defined in clause 5.6.4 are applicable as described in clause 5.2.7. If no feature are indicated, the related property applies for all the features.</w:t>
            </w:r>
          </w:p>
          <w:p w:rsidR="00CB0DD7" w:rsidRPr="000A0A5F" w:rsidRDefault="00CB0DD7">
            <w:pPr>
              <w:pStyle w:val="TAN"/>
            </w:pPr>
            <w:r w:rsidRPr="000A0A5F">
              <w:rPr>
                <w:noProof/>
                <w:lang w:eastAsia="zh-CN"/>
              </w:rPr>
              <w:t>NOTE</w:t>
            </w:r>
            <w:r w:rsidRPr="000A0A5F">
              <w:t> 2</w:t>
            </w:r>
            <w:r w:rsidRPr="000A0A5F">
              <w:rPr>
                <w:noProof/>
                <w:lang w:eastAsia="zh-CN"/>
              </w:rPr>
              <w:t>:</w:t>
            </w:r>
            <w:r w:rsidRPr="000A0A5F">
              <w:rPr>
                <w:noProof/>
                <w:lang w:eastAsia="zh-CN"/>
              </w:rPr>
              <w:tab/>
              <w:t>One of the properties</w:t>
            </w:r>
            <w:r w:rsidRPr="000A0A5F">
              <w:rPr>
                <w:rFonts w:hint="eastAsia"/>
                <w:noProof/>
                <w:lang w:eastAsia="zh-CN"/>
              </w:rPr>
              <w:t xml:space="preserve"> </w:t>
            </w:r>
            <w:r w:rsidRPr="000A0A5F">
              <w:rPr>
                <w:noProof/>
                <w:lang w:eastAsia="zh-CN"/>
              </w:rPr>
              <w:t>"externalId" or "msisdn" shall be included.</w:t>
            </w:r>
          </w:p>
        </w:tc>
      </w:tr>
    </w:tbl>
    <w:p w:rsidR="00CB0DD7" w:rsidRPr="000A0A5F" w:rsidRDefault="00CB0DD7"/>
    <w:p w:rsidR="00CB0DD7" w:rsidRPr="000A0A5F" w:rsidRDefault="00CB0DD7">
      <w:pPr>
        <w:pStyle w:val="Heading5"/>
        <w:rPr>
          <w:rFonts w:hint="eastAsia"/>
          <w:lang w:eastAsia="zh-CN"/>
        </w:rPr>
      </w:pPr>
      <w:bookmarkStart w:id="3600" w:name="_Toc11247445"/>
      <w:bookmarkStart w:id="3601" w:name="_Toc27044567"/>
      <w:bookmarkStart w:id="3602" w:name="_Toc36033609"/>
      <w:bookmarkStart w:id="3603" w:name="_Toc45131744"/>
      <w:bookmarkStart w:id="3604" w:name="_Toc49776029"/>
      <w:bookmarkStart w:id="3605" w:name="_Toc51746949"/>
      <w:bookmarkStart w:id="3606" w:name="_Toc66360503"/>
      <w:bookmarkStart w:id="3607" w:name="_Toc68105008"/>
      <w:bookmarkStart w:id="3608" w:name="_Toc74755638"/>
      <w:bookmarkStart w:id="3609" w:name="_Toc105674511"/>
      <w:bookmarkStart w:id="3610" w:name="_Toc130502559"/>
      <w:bookmarkStart w:id="3611" w:name="_Toc153625346"/>
      <w:r w:rsidRPr="000A0A5F">
        <w:t>5.6.2.1.</w:t>
      </w:r>
      <w:r w:rsidRPr="000A0A5F">
        <w:rPr>
          <w:lang w:eastAsia="zh-CN"/>
        </w:rPr>
        <w:t>7</w:t>
      </w:r>
      <w:r w:rsidRPr="000A0A5F">
        <w:tab/>
        <w:t xml:space="preserve">Type: </w:t>
      </w:r>
      <w:r w:rsidRPr="000A0A5F">
        <w:rPr>
          <w:rFonts w:hint="eastAsia"/>
          <w:lang w:eastAsia="zh-CN"/>
        </w:rPr>
        <w:t>NiddConfiguration</w:t>
      </w:r>
      <w:r w:rsidRPr="000A0A5F">
        <w:rPr>
          <w:lang w:eastAsia="zh-CN"/>
        </w:rPr>
        <w:t>Patch</w:t>
      </w:r>
      <w:bookmarkEnd w:id="3600"/>
      <w:bookmarkEnd w:id="3601"/>
      <w:bookmarkEnd w:id="3602"/>
      <w:bookmarkEnd w:id="3603"/>
      <w:bookmarkEnd w:id="3604"/>
      <w:bookmarkEnd w:id="3605"/>
      <w:bookmarkEnd w:id="3606"/>
      <w:bookmarkEnd w:id="3607"/>
      <w:bookmarkEnd w:id="3608"/>
      <w:bookmarkEnd w:id="3609"/>
      <w:bookmarkEnd w:id="3610"/>
      <w:bookmarkEnd w:id="3611"/>
    </w:p>
    <w:p w:rsidR="00CB0DD7" w:rsidRPr="000A0A5F" w:rsidRDefault="00CB0DD7">
      <w:r w:rsidRPr="000A0A5F">
        <w:t xml:space="preserve">This type represents </w:t>
      </w:r>
      <w:r w:rsidRPr="000A0A5F">
        <w:rPr>
          <w:rFonts w:hint="eastAsia"/>
        </w:rPr>
        <w:t xml:space="preserve">an NIDD configuration </w:t>
      </w:r>
      <w:r w:rsidRPr="000A0A5F">
        <w:t>used in PATCH</w:t>
      </w:r>
      <w:r w:rsidRPr="000A0A5F">
        <w:rPr>
          <w:rFonts w:hint="eastAsia"/>
        </w:rPr>
        <w:t>.</w:t>
      </w:r>
    </w:p>
    <w:p w:rsidR="00CB0DD7" w:rsidRPr="000A0A5F" w:rsidRDefault="00CB0DD7">
      <w:pPr>
        <w:pStyle w:val="TH"/>
        <w:rPr>
          <w:rFonts w:hint="eastAsia"/>
          <w:lang w:eastAsia="zh-CN"/>
        </w:rPr>
      </w:pPr>
      <w:r w:rsidRPr="000A0A5F">
        <w:rPr>
          <w:noProof/>
        </w:rPr>
        <w:t>Table </w:t>
      </w:r>
      <w:r w:rsidRPr="000A0A5F">
        <w:t xml:space="preserve">5.6.2.1.7-1: </w:t>
      </w:r>
      <w:r w:rsidRPr="000A0A5F">
        <w:rPr>
          <w:noProof/>
        </w:rPr>
        <w:t xml:space="preserve">Definition of type </w:t>
      </w:r>
      <w:r w:rsidRPr="000A0A5F">
        <w:t>Nidd</w:t>
      </w:r>
      <w:r w:rsidRPr="000A0A5F">
        <w:rPr>
          <w:rFonts w:hint="eastAsia"/>
          <w:lang w:eastAsia="zh-CN"/>
        </w:rPr>
        <w:t>Configuration</w:t>
      </w:r>
      <w:r w:rsidRPr="000A0A5F">
        <w:rPr>
          <w:lang w:eastAsia="zh-CN"/>
        </w:rPr>
        <w:t>Patch</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82"/>
        <w:gridCol w:w="1701"/>
        <w:gridCol w:w="1134"/>
        <w:gridCol w:w="3828"/>
        <w:gridCol w:w="1257"/>
      </w:tblGrid>
      <w:tr w:rsidR="00CB0DD7" w:rsidRPr="000A0A5F" w:rsidTr="00FF0AF8">
        <w:trPr>
          <w:jc w:val="center"/>
        </w:trPr>
        <w:tc>
          <w:tcPr>
            <w:tcW w:w="1682" w:type="dxa"/>
            <w:shd w:val="clear" w:color="auto" w:fill="C0C0C0"/>
          </w:tcPr>
          <w:p w:rsidR="00CB0DD7" w:rsidRPr="000A0A5F" w:rsidRDefault="00CB0DD7">
            <w:pPr>
              <w:pStyle w:val="TAH"/>
              <w:rPr>
                <w:rFonts w:eastAsia="Times New Roman"/>
              </w:rPr>
            </w:pPr>
            <w:r w:rsidRPr="000A0A5F">
              <w:rPr>
                <w:rFonts w:eastAsia="Times New Roman"/>
              </w:rPr>
              <w:t>Attribute name</w:t>
            </w:r>
          </w:p>
        </w:tc>
        <w:tc>
          <w:tcPr>
            <w:tcW w:w="1701" w:type="dxa"/>
            <w:shd w:val="clear" w:color="auto" w:fill="C0C0C0"/>
          </w:tcPr>
          <w:p w:rsidR="00CB0DD7" w:rsidRPr="000A0A5F" w:rsidRDefault="00CB0DD7">
            <w:pPr>
              <w:pStyle w:val="TAH"/>
              <w:rPr>
                <w:rFonts w:eastAsia="Times New Roman"/>
              </w:rPr>
            </w:pPr>
            <w:r w:rsidRPr="000A0A5F">
              <w:rPr>
                <w:rFonts w:eastAsia="Times New Roman"/>
              </w:rPr>
              <w:t>Data type</w:t>
            </w:r>
          </w:p>
        </w:tc>
        <w:tc>
          <w:tcPr>
            <w:tcW w:w="1134" w:type="dxa"/>
            <w:shd w:val="clear" w:color="auto" w:fill="C0C0C0"/>
          </w:tcPr>
          <w:p w:rsidR="00CB0DD7" w:rsidRPr="000A0A5F" w:rsidRDefault="00CB0DD7">
            <w:pPr>
              <w:pStyle w:val="TAH"/>
              <w:jc w:val="left"/>
              <w:rPr>
                <w:rFonts w:eastAsia="Times New Roman"/>
              </w:rPr>
            </w:pPr>
            <w:r w:rsidRPr="000A0A5F">
              <w:rPr>
                <w:rFonts w:eastAsia="Times New Roman"/>
              </w:rPr>
              <w:t>Cardinality</w:t>
            </w:r>
          </w:p>
        </w:tc>
        <w:tc>
          <w:tcPr>
            <w:tcW w:w="3828"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Description</w:t>
            </w:r>
          </w:p>
        </w:tc>
        <w:tc>
          <w:tcPr>
            <w:tcW w:w="1257"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Applicability (NOTE)</w:t>
            </w:r>
          </w:p>
        </w:tc>
      </w:tr>
      <w:tr w:rsidR="00CB0DD7" w:rsidRPr="000A0A5F" w:rsidTr="00FF0AF8">
        <w:trPr>
          <w:jc w:val="center"/>
        </w:trPr>
        <w:tc>
          <w:tcPr>
            <w:tcW w:w="1682" w:type="dxa"/>
            <w:shd w:val="clear" w:color="auto" w:fill="auto"/>
          </w:tcPr>
          <w:p w:rsidR="00CB0DD7" w:rsidRPr="000A0A5F" w:rsidRDefault="00CB0DD7">
            <w:pPr>
              <w:pStyle w:val="TAL"/>
              <w:rPr>
                <w:rFonts w:eastAsia="Times New Roman"/>
              </w:rPr>
            </w:pPr>
            <w:r w:rsidRPr="000A0A5F">
              <w:rPr>
                <w:rFonts w:eastAsia="Times New Roman"/>
              </w:rPr>
              <w:t>duration</w:t>
            </w:r>
          </w:p>
        </w:tc>
        <w:tc>
          <w:tcPr>
            <w:tcW w:w="1701" w:type="dxa"/>
            <w:shd w:val="clear" w:color="auto" w:fill="auto"/>
          </w:tcPr>
          <w:p w:rsidR="00CB0DD7" w:rsidRPr="000A0A5F" w:rsidRDefault="00CB0DD7">
            <w:pPr>
              <w:pStyle w:val="TAL"/>
              <w:rPr>
                <w:rFonts w:eastAsia="Times New Roman"/>
              </w:rPr>
            </w:pPr>
            <w:r w:rsidRPr="000A0A5F">
              <w:rPr>
                <w:rFonts w:eastAsia="Times New Roman"/>
              </w:rPr>
              <w:t>DateTimeRm</w:t>
            </w:r>
          </w:p>
        </w:tc>
        <w:tc>
          <w:tcPr>
            <w:tcW w:w="1134" w:type="dxa"/>
            <w:shd w:val="clear" w:color="auto" w:fill="auto"/>
          </w:tcPr>
          <w:p w:rsidR="00CB0DD7" w:rsidRPr="000A0A5F" w:rsidRDefault="00CB0DD7">
            <w:pPr>
              <w:pStyle w:val="TAL"/>
              <w:rPr>
                <w:rFonts w:eastAsia="Times New Roman"/>
              </w:rPr>
            </w:pPr>
            <w:r w:rsidRPr="000A0A5F">
              <w:rPr>
                <w:rFonts w:eastAsia="Times New Roman"/>
              </w:rPr>
              <w:t>0..1</w:t>
            </w:r>
          </w:p>
        </w:tc>
        <w:tc>
          <w:tcPr>
            <w:tcW w:w="3828" w:type="dxa"/>
            <w:shd w:val="clear" w:color="auto" w:fill="auto"/>
          </w:tcPr>
          <w:p w:rsidR="00CB0DD7" w:rsidRPr="000A0A5F" w:rsidRDefault="00CB0DD7">
            <w:pPr>
              <w:pStyle w:val="TAL"/>
              <w:rPr>
                <w:rFonts w:eastAsia="Times New Roman" w:cs="Arial"/>
                <w:szCs w:val="18"/>
              </w:rPr>
            </w:pPr>
            <w:r w:rsidRPr="000A0A5F">
              <w:rPr>
                <w:rFonts w:cs="Arial"/>
              </w:rPr>
              <w:t>Identifies the absolute time at which the related NIDD Configuration request is considered to expire</w:t>
            </w:r>
            <w:r w:rsidRPr="000A0A5F">
              <w:rPr>
                <w:rFonts w:cs="Arial"/>
                <w:szCs w:val="18"/>
                <w:lang w:eastAsia="zh-CN"/>
              </w:rPr>
              <w:t>, as specified in clause 5.13.2 of 3GPP TS 23.682 [</w:t>
            </w:r>
            <w:r w:rsidRPr="000A0A5F">
              <w:rPr>
                <w:rFonts w:cs="Arial"/>
                <w:szCs w:val="18"/>
                <w:lang w:val="en-US" w:eastAsia="zh-CN"/>
              </w:rPr>
              <w:t>2</w:t>
            </w:r>
            <w:r w:rsidRPr="000A0A5F">
              <w:rPr>
                <w:rFonts w:cs="Arial"/>
                <w:szCs w:val="18"/>
                <w:lang w:eastAsia="zh-CN"/>
              </w:rPr>
              <w:t>]. When set to null in the PATCH request, it indicates the configuration is requested to be valid forever by the SCS/AS. When omitted in the response, it indicates the configuration is set to valid forever by the SCEF.</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682" w:type="dxa"/>
            <w:shd w:val="clear" w:color="auto" w:fill="auto"/>
          </w:tcPr>
          <w:p w:rsidR="00CB0DD7" w:rsidRPr="000A0A5F" w:rsidRDefault="00CB0DD7">
            <w:pPr>
              <w:pStyle w:val="TAL"/>
              <w:rPr>
                <w:rFonts w:hint="eastAsia"/>
                <w:lang w:eastAsia="zh-CN"/>
              </w:rPr>
            </w:pPr>
            <w:r w:rsidRPr="000A0A5F">
              <w:rPr>
                <w:rFonts w:eastAsia="Times New Roman"/>
              </w:rPr>
              <w:t>reliableDataService</w:t>
            </w:r>
          </w:p>
        </w:tc>
        <w:tc>
          <w:tcPr>
            <w:tcW w:w="1701" w:type="dxa"/>
            <w:shd w:val="clear" w:color="auto" w:fill="auto"/>
          </w:tcPr>
          <w:p w:rsidR="00CB0DD7" w:rsidRPr="000A0A5F" w:rsidRDefault="00CB0DD7">
            <w:pPr>
              <w:pStyle w:val="TAL"/>
              <w:rPr>
                <w:rFonts w:eastAsia="Times New Roman"/>
              </w:rPr>
            </w:pPr>
            <w:r w:rsidRPr="000A0A5F">
              <w:rPr>
                <w:rFonts w:eastAsia="Times New Roman"/>
              </w:rPr>
              <w:t>boolean</w:t>
            </w:r>
          </w:p>
        </w:tc>
        <w:tc>
          <w:tcPr>
            <w:tcW w:w="1134" w:type="dxa"/>
            <w:shd w:val="clear" w:color="auto" w:fill="auto"/>
          </w:tcPr>
          <w:p w:rsidR="00CB0DD7" w:rsidRPr="000A0A5F" w:rsidRDefault="00CB0DD7">
            <w:pPr>
              <w:pStyle w:val="TAL"/>
              <w:rPr>
                <w:rFonts w:eastAsia="Times New Roman"/>
              </w:rPr>
            </w:pPr>
            <w:r w:rsidRPr="000A0A5F">
              <w:rPr>
                <w:rFonts w:eastAsia="Times New Roman"/>
              </w:rPr>
              <w:t>0..1</w:t>
            </w:r>
          </w:p>
        </w:tc>
        <w:tc>
          <w:tcPr>
            <w:tcW w:w="3828" w:type="dxa"/>
            <w:shd w:val="clear" w:color="auto" w:fill="auto"/>
          </w:tcPr>
          <w:p w:rsidR="00434B8C" w:rsidRPr="000A0A5F" w:rsidRDefault="00434B8C" w:rsidP="00434B8C">
            <w:pPr>
              <w:pStyle w:val="TAL"/>
              <w:rPr>
                <w:lang w:eastAsia="zh-CN"/>
              </w:rPr>
            </w:pPr>
            <w:r w:rsidRPr="000A0A5F">
              <w:t xml:space="preserve">Indicates </w:t>
            </w:r>
            <w:r w:rsidRPr="000A0A5F">
              <w:rPr>
                <w:lang w:eastAsia="zh-CN"/>
              </w:rPr>
              <w:t>whether t</w:t>
            </w:r>
            <w:r w:rsidR="00CB0DD7" w:rsidRPr="000A0A5F">
              <w:rPr>
                <w:rFonts w:cs="Arial"/>
                <w:szCs w:val="18"/>
                <w:lang w:eastAsia="zh-CN"/>
              </w:rPr>
              <w:t>he reliable data service (as defined in clause 4.5.1</w:t>
            </w:r>
            <w:r w:rsidRPr="000A0A5F">
              <w:rPr>
                <w:rFonts w:cs="Arial"/>
                <w:szCs w:val="18"/>
                <w:lang w:eastAsia="zh-CN"/>
              </w:rPr>
              <w:t>4</w:t>
            </w:r>
            <w:r w:rsidR="00CB0DD7" w:rsidRPr="000A0A5F">
              <w:rPr>
                <w:rFonts w:cs="Arial"/>
                <w:szCs w:val="18"/>
                <w:lang w:eastAsia="zh-CN"/>
              </w:rPr>
              <w:t xml:space="preserve">.3 of 3GPP TS 23.682 [2]) </w:t>
            </w:r>
            <w:r w:rsidRPr="000A0A5F">
              <w:rPr>
                <w:lang w:eastAsia="zh-CN"/>
              </w:rPr>
              <w:t>acknowledg</w:t>
            </w:r>
            <w:r w:rsidR="00E72E26" w:rsidRPr="000A0A5F">
              <w:rPr>
                <w:lang w:eastAsia="zh-CN"/>
              </w:rPr>
              <w:t>e</w:t>
            </w:r>
            <w:r w:rsidRPr="000A0A5F">
              <w:rPr>
                <w:lang w:eastAsia="zh-CN"/>
              </w:rPr>
              <w:t>ment is requested.</w:t>
            </w:r>
          </w:p>
          <w:p w:rsidR="00434B8C" w:rsidRPr="000A0A5F" w:rsidRDefault="00434B8C" w:rsidP="00434B8C">
            <w:pPr>
              <w:pStyle w:val="TAL"/>
            </w:pPr>
          </w:p>
          <w:p w:rsidR="00434B8C" w:rsidRPr="000A0A5F" w:rsidRDefault="00434B8C" w:rsidP="00434B8C">
            <w:pPr>
              <w:pStyle w:val="TAL"/>
              <w:rPr>
                <w:lang w:eastAsia="zh-CN"/>
              </w:rPr>
            </w:pPr>
            <w:r w:rsidRPr="000A0A5F">
              <w:rPr>
                <w:lang w:eastAsia="zh-CN"/>
              </w:rPr>
              <w:t>- true: reliable data service acknowledg</w:t>
            </w:r>
            <w:r w:rsidR="00E72E26" w:rsidRPr="000A0A5F">
              <w:rPr>
                <w:lang w:eastAsia="zh-CN"/>
              </w:rPr>
              <w:t>e</w:t>
            </w:r>
            <w:r w:rsidRPr="000A0A5F">
              <w:rPr>
                <w:lang w:eastAsia="zh-CN"/>
              </w:rPr>
              <w:t>ment is requested;</w:t>
            </w:r>
          </w:p>
          <w:p w:rsidR="00CB0DD7" w:rsidRPr="000A0A5F" w:rsidRDefault="00434B8C" w:rsidP="00434B8C">
            <w:pPr>
              <w:pStyle w:val="TAL"/>
              <w:rPr>
                <w:rFonts w:cs="Arial"/>
                <w:szCs w:val="18"/>
                <w:lang w:eastAsia="zh-CN"/>
              </w:rPr>
            </w:pPr>
            <w:r w:rsidRPr="000A0A5F">
              <w:rPr>
                <w:lang w:eastAsia="zh-CN"/>
              </w:rPr>
              <w:t>- false: reliable data service acknowledg</w:t>
            </w:r>
            <w:r w:rsidR="00E72E26" w:rsidRPr="000A0A5F">
              <w:rPr>
                <w:lang w:eastAsia="zh-CN"/>
              </w:rPr>
              <w:t>e</w:t>
            </w:r>
            <w:r w:rsidRPr="000A0A5F">
              <w:rPr>
                <w:lang w:eastAsia="zh-CN"/>
              </w:rPr>
              <w:t>ment</w:t>
            </w:r>
            <w:r w:rsidRPr="000A0A5F">
              <w:t xml:space="preserve"> is not requested.</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682" w:type="dxa"/>
            <w:shd w:val="clear" w:color="auto" w:fill="auto"/>
          </w:tcPr>
          <w:p w:rsidR="00CB0DD7" w:rsidRPr="000A0A5F" w:rsidRDefault="00CB0DD7">
            <w:pPr>
              <w:pStyle w:val="TAL"/>
              <w:rPr>
                <w:rFonts w:eastAsia="Times New Roman"/>
              </w:rPr>
            </w:pPr>
            <w:r w:rsidRPr="000A0A5F">
              <w:rPr>
                <w:rFonts w:eastAsia="Times New Roman"/>
              </w:rPr>
              <w:t>rdsPorts</w:t>
            </w:r>
          </w:p>
        </w:tc>
        <w:tc>
          <w:tcPr>
            <w:tcW w:w="1701" w:type="dxa"/>
            <w:shd w:val="clear" w:color="auto" w:fill="auto"/>
          </w:tcPr>
          <w:p w:rsidR="00CB0DD7" w:rsidRPr="000A0A5F" w:rsidRDefault="00CB0DD7">
            <w:pPr>
              <w:pStyle w:val="TAL"/>
              <w:rPr>
                <w:rFonts w:eastAsia="Times New Roman"/>
              </w:rPr>
            </w:pPr>
            <w:r w:rsidRPr="000A0A5F">
              <w:rPr>
                <w:rFonts w:eastAsia="Times New Roman"/>
              </w:rPr>
              <w:t>array(RdsPort)</w:t>
            </w:r>
          </w:p>
        </w:tc>
        <w:tc>
          <w:tcPr>
            <w:tcW w:w="1134" w:type="dxa"/>
            <w:shd w:val="clear" w:color="auto" w:fill="auto"/>
          </w:tcPr>
          <w:p w:rsidR="00CB0DD7" w:rsidRPr="000A0A5F" w:rsidRDefault="00CB0DD7">
            <w:pPr>
              <w:pStyle w:val="TAL"/>
              <w:rPr>
                <w:rFonts w:eastAsia="Times New Roman"/>
              </w:rPr>
            </w:pPr>
            <w:r w:rsidRPr="000A0A5F">
              <w:rPr>
                <w:rFonts w:eastAsia="Times New Roman"/>
              </w:rPr>
              <w:t>0..N</w:t>
            </w:r>
          </w:p>
        </w:tc>
        <w:tc>
          <w:tcPr>
            <w:tcW w:w="3828" w:type="dxa"/>
            <w:shd w:val="clear" w:color="auto" w:fill="auto"/>
          </w:tcPr>
          <w:p w:rsidR="00CB0DD7" w:rsidRPr="000A0A5F" w:rsidRDefault="00CB0DD7">
            <w:pPr>
              <w:pStyle w:val="TAL"/>
              <w:rPr>
                <w:rFonts w:cs="Arial" w:hint="eastAsia"/>
                <w:szCs w:val="18"/>
                <w:lang w:eastAsia="zh-CN"/>
              </w:rPr>
            </w:pPr>
            <w:r w:rsidRPr="000A0A5F">
              <w:rPr>
                <w:rFonts w:cs="Arial"/>
                <w:szCs w:val="18"/>
                <w:lang w:eastAsia="zh-CN"/>
              </w:rPr>
              <w:t>Indicates the static port configuration that is used for reliable data transfer between specific applications using RDS (as defined in clause</w:t>
            </w:r>
            <w:r w:rsidRPr="000A0A5F">
              <w:rPr>
                <w:rFonts w:cs="Arial"/>
                <w:szCs w:val="18"/>
                <w:lang w:val="en-US" w:eastAsia="zh-CN"/>
              </w:rPr>
              <w:t> 5.2</w:t>
            </w:r>
            <w:r w:rsidRPr="000A0A5F">
              <w:rPr>
                <w:rFonts w:cs="Arial"/>
                <w:szCs w:val="18"/>
                <w:lang w:eastAsia="zh-CN"/>
              </w:rPr>
              <w:t>.4 and 5.2.5 of 3GPP TS 24.250 [31]).</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682" w:type="dxa"/>
            <w:shd w:val="clear" w:color="auto" w:fill="auto"/>
          </w:tcPr>
          <w:p w:rsidR="00CB0DD7" w:rsidRPr="000A0A5F" w:rsidRDefault="00CB0DD7">
            <w:pPr>
              <w:pStyle w:val="TAL"/>
              <w:rPr>
                <w:rFonts w:eastAsia="Times New Roman"/>
              </w:rPr>
            </w:pPr>
            <w:r w:rsidRPr="000A0A5F">
              <w:rPr>
                <w:rFonts w:eastAsia="Times New Roman"/>
              </w:rPr>
              <w:t>pdnEstablishmentOption</w:t>
            </w:r>
          </w:p>
        </w:tc>
        <w:tc>
          <w:tcPr>
            <w:tcW w:w="1701" w:type="dxa"/>
            <w:shd w:val="clear" w:color="auto" w:fill="auto"/>
          </w:tcPr>
          <w:p w:rsidR="00CB0DD7" w:rsidRPr="000A0A5F" w:rsidRDefault="00CB0DD7">
            <w:pPr>
              <w:pStyle w:val="TAL"/>
              <w:rPr>
                <w:rFonts w:eastAsia="Times New Roman"/>
              </w:rPr>
            </w:pPr>
            <w:r w:rsidRPr="000A0A5F">
              <w:rPr>
                <w:rFonts w:eastAsia="Times New Roman"/>
              </w:rPr>
              <w:t>PdnEstablishmentOptionsRm</w:t>
            </w:r>
          </w:p>
        </w:tc>
        <w:tc>
          <w:tcPr>
            <w:tcW w:w="1134" w:type="dxa"/>
            <w:shd w:val="clear" w:color="auto" w:fill="auto"/>
          </w:tcPr>
          <w:p w:rsidR="00CB0DD7" w:rsidRPr="000A0A5F" w:rsidRDefault="00CB0DD7">
            <w:pPr>
              <w:pStyle w:val="TAL"/>
              <w:rPr>
                <w:rFonts w:hint="eastAsia"/>
                <w:lang w:eastAsia="zh-CN"/>
              </w:rPr>
            </w:pPr>
            <w:r w:rsidRPr="000A0A5F">
              <w:rPr>
                <w:rFonts w:hint="eastAsia"/>
                <w:lang w:eastAsia="zh-CN"/>
              </w:rPr>
              <w:t>0..1</w:t>
            </w:r>
          </w:p>
        </w:tc>
        <w:tc>
          <w:tcPr>
            <w:tcW w:w="3828" w:type="dxa"/>
            <w:shd w:val="clear" w:color="auto" w:fill="auto"/>
          </w:tcPr>
          <w:p w:rsidR="00CB0DD7" w:rsidRPr="000A0A5F" w:rsidRDefault="00CB0DD7">
            <w:pPr>
              <w:pStyle w:val="TAL"/>
              <w:rPr>
                <w:rFonts w:cs="Arial" w:hint="eastAsia"/>
                <w:szCs w:val="18"/>
                <w:lang w:eastAsia="zh-CN"/>
              </w:rPr>
            </w:pPr>
            <w:r w:rsidRPr="000A0A5F">
              <w:rPr>
                <w:rFonts w:cs="Arial"/>
                <w:szCs w:val="18"/>
                <w:lang w:eastAsia="zh-CN"/>
              </w:rPr>
              <w:t>I</w:t>
            </w:r>
            <w:r w:rsidRPr="000A0A5F">
              <w:rPr>
                <w:rFonts w:cs="Arial"/>
                <w:szCs w:val="18"/>
              </w:rPr>
              <w:t>ndicate what the SCEF should do if the UE has not established the PDN connection and MT non-IP data needs to be sent</w:t>
            </w:r>
            <w:r w:rsidRPr="000A0A5F">
              <w:rPr>
                <w:rFonts w:cs="Arial" w:hint="eastAsia"/>
                <w:szCs w:val="18"/>
                <w:lang w:eastAsia="zh-CN"/>
              </w:rPr>
              <w:t xml:space="preserve">. </w:t>
            </w:r>
            <w:r w:rsidRPr="000A0A5F">
              <w:rPr>
                <w:rFonts w:cs="Arial"/>
                <w:szCs w:val="18"/>
              </w:rPr>
              <w:t>(wait for the UE to establish the PDN connection, respond with an error cause, or send a device trigger; see step 2 of the MT NIDD Procedure in clause 5.13.3</w:t>
            </w:r>
            <w:r w:rsidRPr="000A0A5F">
              <w:rPr>
                <w:rFonts w:cs="Arial"/>
                <w:szCs w:val="18"/>
                <w:lang w:eastAsia="zh-CN"/>
              </w:rPr>
              <w:t xml:space="preserve"> of 3GPP TS 23.682 [</w:t>
            </w:r>
            <w:r w:rsidRPr="000A0A5F">
              <w:rPr>
                <w:rFonts w:cs="Arial"/>
                <w:szCs w:val="18"/>
                <w:lang w:val="en-US" w:eastAsia="zh-CN"/>
              </w:rPr>
              <w:t>2</w:t>
            </w:r>
            <w:r w:rsidRPr="000A0A5F">
              <w:rPr>
                <w:rFonts w:cs="Arial"/>
                <w:szCs w:val="18"/>
                <w:lang w:eastAsia="zh-CN"/>
              </w:rPr>
              <w:t>]</w:t>
            </w:r>
            <w:r w:rsidRPr="000A0A5F">
              <w:rPr>
                <w:rFonts w:cs="Arial"/>
                <w:szCs w:val="18"/>
              </w:rPr>
              <w:t>)</w:t>
            </w:r>
          </w:p>
          <w:p w:rsidR="00CB0DD7" w:rsidRPr="000A0A5F" w:rsidRDefault="00CB0DD7">
            <w:pPr>
              <w:pStyle w:val="TAL"/>
              <w:rPr>
                <w:rFonts w:cs="Arial" w:hint="eastAsia"/>
                <w:lang w:eastAsia="zh-CN"/>
              </w:rPr>
            </w:pPr>
            <w:r w:rsidRPr="000A0A5F">
              <w:rPr>
                <w:rFonts w:cs="Arial"/>
                <w:lang w:eastAsia="zh-CN"/>
              </w:rPr>
              <w:t>T</w:t>
            </w:r>
            <w:r w:rsidRPr="000A0A5F">
              <w:rPr>
                <w:rFonts w:cs="Arial"/>
              </w:rPr>
              <w:t>he SCEF will use the value as the default preference from the SCS/AS when handling all MT non-IP packets associated with the NIDD connection</w:t>
            </w:r>
            <w:r w:rsidRPr="000A0A5F">
              <w:rPr>
                <w:rFonts w:cs="Arial" w:hint="eastAsia"/>
                <w:lang w:eastAsia="zh-CN"/>
              </w:rPr>
              <w:t>.</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682" w:type="dxa"/>
            <w:shd w:val="clear" w:color="auto" w:fill="auto"/>
          </w:tcPr>
          <w:p w:rsidR="00CB0DD7" w:rsidRPr="000A0A5F" w:rsidRDefault="00CB0DD7">
            <w:pPr>
              <w:pStyle w:val="TAL"/>
              <w:rPr>
                <w:rFonts w:eastAsia="Times New Roman"/>
              </w:rPr>
            </w:pPr>
            <w:r w:rsidRPr="000A0A5F">
              <w:rPr>
                <w:rFonts w:eastAsia="Times New Roman" w:hint="eastAsia"/>
              </w:rPr>
              <w:t>notificationDestination</w:t>
            </w:r>
          </w:p>
        </w:tc>
        <w:tc>
          <w:tcPr>
            <w:tcW w:w="1701" w:type="dxa"/>
            <w:shd w:val="clear" w:color="auto" w:fill="auto"/>
          </w:tcPr>
          <w:p w:rsidR="00CB0DD7" w:rsidRPr="000A0A5F" w:rsidRDefault="00CB0DD7">
            <w:pPr>
              <w:pStyle w:val="TAL"/>
              <w:rPr>
                <w:rFonts w:eastAsia="Times New Roman"/>
              </w:rPr>
            </w:pPr>
            <w:r w:rsidRPr="000A0A5F">
              <w:rPr>
                <w:rFonts w:eastAsia="Times New Roman" w:hint="eastAsia"/>
              </w:rPr>
              <w:t>Link</w:t>
            </w:r>
          </w:p>
        </w:tc>
        <w:tc>
          <w:tcPr>
            <w:tcW w:w="1134" w:type="dxa"/>
            <w:shd w:val="clear" w:color="auto" w:fill="auto"/>
          </w:tcPr>
          <w:p w:rsidR="00CB0DD7" w:rsidRPr="000A0A5F" w:rsidRDefault="00CB0DD7">
            <w:pPr>
              <w:pStyle w:val="TAL"/>
              <w:rPr>
                <w:rFonts w:hint="eastAsia"/>
                <w:lang w:eastAsia="zh-CN"/>
              </w:rPr>
            </w:pPr>
            <w:r w:rsidRPr="000A0A5F">
              <w:rPr>
                <w:lang w:eastAsia="zh-CN"/>
              </w:rPr>
              <w:t>0..</w:t>
            </w:r>
            <w:r w:rsidRPr="000A0A5F">
              <w:rPr>
                <w:rFonts w:hint="eastAsia"/>
                <w:lang w:eastAsia="zh-CN"/>
              </w:rPr>
              <w:t>1</w:t>
            </w:r>
          </w:p>
        </w:tc>
        <w:tc>
          <w:tcPr>
            <w:tcW w:w="3828" w:type="dxa"/>
            <w:shd w:val="clear" w:color="auto" w:fill="auto"/>
          </w:tcPr>
          <w:p w:rsidR="00CB0DD7" w:rsidRPr="000A0A5F" w:rsidRDefault="00CB0DD7">
            <w:pPr>
              <w:pStyle w:val="TAL"/>
              <w:rPr>
                <w:rFonts w:cs="Arial"/>
                <w:szCs w:val="18"/>
                <w:lang w:eastAsia="zh-CN"/>
              </w:rPr>
            </w:pPr>
            <w:r w:rsidRPr="000A0A5F">
              <w:rPr>
                <w:rFonts w:cs="Arial" w:hint="eastAsia"/>
                <w:szCs w:val="18"/>
                <w:lang w:eastAsia="zh-CN"/>
              </w:rPr>
              <w:t xml:space="preserve">An URI of a notification destination that </w:t>
            </w:r>
            <w:r w:rsidRPr="000A0A5F">
              <w:rPr>
                <w:rFonts w:cs="Arial"/>
                <w:szCs w:val="18"/>
                <w:lang w:eastAsia="zh-CN"/>
              </w:rPr>
              <w:t>the</w:t>
            </w:r>
            <w:r w:rsidRPr="000A0A5F">
              <w:rPr>
                <w:rFonts w:cs="Arial" w:hint="eastAsia"/>
                <w:szCs w:val="18"/>
                <w:lang w:eastAsia="zh-CN"/>
              </w:rPr>
              <w:t xml:space="preserve"> message shall be </w:t>
            </w:r>
            <w:r w:rsidRPr="000A0A5F">
              <w:rPr>
                <w:rFonts w:cs="Arial"/>
                <w:szCs w:val="18"/>
                <w:lang w:eastAsia="zh-CN"/>
              </w:rPr>
              <w:t>delivered to</w:t>
            </w:r>
            <w:r w:rsidRPr="000A0A5F">
              <w:rPr>
                <w:rFonts w:cs="Arial" w:hint="eastAsia"/>
                <w:szCs w:val="18"/>
                <w:lang w:eastAsia="zh-CN"/>
              </w:rPr>
              <w:t>.</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9602" w:type="dxa"/>
            <w:gridSpan w:val="5"/>
            <w:shd w:val="clear" w:color="auto" w:fill="auto"/>
          </w:tcPr>
          <w:p w:rsidR="00CB0DD7" w:rsidRPr="000A0A5F" w:rsidRDefault="00CB0DD7">
            <w:pPr>
              <w:pStyle w:val="TAN"/>
            </w:pPr>
            <w:r w:rsidRPr="000A0A5F">
              <w:t>NOTE:</w:t>
            </w:r>
            <w:r w:rsidRPr="000A0A5F">
              <w:tab/>
              <w:t>Properties marked with a feature as defined in clause 5.6.4 are applicable as described in clause 5.2.7. If no feature are indicated, the related property applies for all the features.</w:t>
            </w:r>
          </w:p>
        </w:tc>
      </w:tr>
    </w:tbl>
    <w:p w:rsidR="00CB0DD7" w:rsidRPr="000A0A5F" w:rsidRDefault="00CB0DD7"/>
    <w:p w:rsidR="00CB0DD7" w:rsidRPr="000A0A5F" w:rsidRDefault="00CB0DD7">
      <w:pPr>
        <w:pStyle w:val="Heading5"/>
      </w:pPr>
      <w:bookmarkStart w:id="3612" w:name="_Toc11247446"/>
      <w:bookmarkStart w:id="3613" w:name="_Toc27044568"/>
      <w:bookmarkStart w:id="3614" w:name="_Toc36033610"/>
      <w:bookmarkStart w:id="3615" w:name="_Toc45131745"/>
      <w:bookmarkStart w:id="3616" w:name="_Toc49776030"/>
      <w:bookmarkStart w:id="3617" w:name="_Toc51746950"/>
      <w:bookmarkStart w:id="3618" w:name="_Toc66360504"/>
      <w:bookmarkStart w:id="3619" w:name="_Toc68105009"/>
      <w:bookmarkStart w:id="3620" w:name="_Toc74755639"/>
      <w:bookmarkStart w:id="3621" w:name="_Toc105674512"/>
      <w:bookmarkStart w:id="3622" w:name="_Toc130502560"/>
      <w:bookmarkStart w:id="3623" w:name="_Toc153625347"/>
      <w:r w:rsidRPr="000A0A5F">
        <w:t>5.6.2.1.</w:t>
      </w:r>
      <w:r w:rsidRPr="000A0A5F">
        <w:rPr>
          <w:lang w:eastAsia="zh-CN"/>
        </w:rPr>
        <w:t>8</w:t>
      </w:r>
      <w:r w:rsidRPr="000A0A5F">
        <w:tab/>
        <w:t>Type: GmdNiddDownlinkDataDeliveryNotification</w:t>
      </w:r>
      <w:bookmarkEnd w:id="3612"/>
      <w:bookmarkEnd w:id="3613"/>
      <w:bookmarkEnd w:id="3614"/>
      <w:bookmarkEnd w:id="3615"/>
      <w:bookmarkEnd w:id="3616"/>
      <w:bookmarkEnd w:id="3617"/>
      <w:bookmarkEnd w:id="3618"/>
      <w:bookmarkEnd w:id="3619"/>
      <w:bookmarkEnd w:id="3620"/>
      <w:bookmarkEnd w:id="3621"/>
      <w:bookmarkEnd w:id="3622"/>
      <w:bookmarkEnd w:id="3623"/>
    </w:p>
    <w:p w:rsidR="00CB0DD7" w:rsidRPr="000A0A5F" w:rsidRDefault="00CB0DD7">
      <w:r w:rsidRPr="000A0A5F">
        <w:t xml:space="preserve">This type represents </w:t>
      </w:r>
      <w:r w:rsidRPr="000A0A5F">
        <w:rPr>
          <w:rFonts w:hint="eastAsia"/>
          <w:lang w:eastAsia="zh-CN"/>
        </w:rPr>
        <w:t xml:space="preserve">the delivery status for a specific </w:t>
      </w:r>
      <w:r w:rsidRPr="000A0A5F">
        <w:rPr>
          <w:lang w:eastAsia="zh-CN"/>
        </w:rPr>
        <w:t xml:space="preserve">group </w:t>
      </w:r>
      <w:r w:rsidRPr="000A0A5F">
        <w:t>NIDD downlink</w:t>
      </w:r>
      <w:r w:rsidRPr="000A0A5F">
        <w:rPr>
          <w:rFonts w:hint="eastAsia"/>
          <w:lang w:eastAsia="zh-CN"/>
        </w:rPr>
        <w:t xml:space="preserve"> data </w:t>
      </w:r>
      <w:r w:rsidRPr="000A0A5F">
        <w:rPr>
          <w:lang w:eastAsia="zh-CN"/>
        </w:rPr>
        <w:t>delivery</w:t>
      </w:r>
      <w:r w:rsidRPr="000A0A5F">
        <w:t>.</w:t>
      </w:r>
    </w:p>
    <w:p w:rsidR="00CB0DD7" w:rsidRPr="000A0A5F" w:rsidRDefault="00CB0DD7">
      <w:pPr>
        <w:pStyle w:val="TH"/>
      </w:pPr>
      <w:r w:rsidRPr="000A0A5F">
        <w:rPr>
          <w:noProof/>
        </w:rPr>
        <w:t>Table </w:t>
      </w:r>
      <w:r w:rsidRPr="000A0A5F">
        <w:t>5.6.2.1.</w:t>
      </w:r>
      <w:r w:rsidRPr="000A0A5F">
        <w:rPr>
          <w:lang w:eastAsia="zh-CN"/>
        </w:rPr>
        <w:t>8</w:t>
      </w:r>
      <w:r w:rsidRPr="000A0A5F">
        <w:t xml:space="preserve">-1: </w:t>
      </w:r>
      <w:r w:rsidRPr="000A0A5F">
        <w:rPr>
          <w:noProof/>
        </w:rPr>
        <w:t>Definition of type Gmd</w:t>
      </w:r>
      <w:r w:rsidRPr="000A0A5F">
        <w:t>Nidd</w:t>
      </w:r>
      <w:r w:rsidRPr="000A0A5F">
        <w:rPr>
          <w:rFonts w:hint="eastAsia"/>
          <w:lang w:eastAsia="zh-CN"/>
        </w:rPr>
        <w:t>Downlink</w:t>
      </w:r>
      <w:r w:rsidRPr="000A0A5F">
        <w:t>DataDeliveryNotification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948"/>
        <w:gridCol w:w="1435"/>
        <w:gridCol w:w="1134"/>
        <w:gridCol w:w="3828"/>
        <w:gridCol w:w="1257"/>
      </w:tblGrid>
      <w:tr w:rsidR="00CB0DD7" w:rsidRPr="000A0A5F" w:rsidTr="00FF0AF8">
        <w:trPr>
          <w:jc w:val="center"/>
        </w:trPr>
        <w:tc>
          <w:tcPr>
            <w:tcW w:w="1948" w:type="dxa"/>
            <w:shd w:val="clear" w:color="auto" w:fill="C0C0C0"/>
          </w:tcPr>
          <w:p w:rsidR="00CB0DD7" w:rsidRPr="000A0A5F" w:rsidRDefault="00CB0DD7">
            <w:pPr>
              <w:pStyle w:val="TAH"/>
              <w:rPr>
                <w:rFonts w:eastAsia="Times New Roman"/>
              </w:rPr>
            </w:pPr>
            <w:r w:rsidRPr="000A0A5F">
              <w:rPr>
                <w:rFonts w:eastAsia="Times New Roman"/>
              </w:rPr>
              <w:t>Attribute name</w:t>
            </w:r>
          </w:p>
        </w:tc>
        <w:tc>
          <w:tcPr>
            <w:tcW w:w="1435" w:type="dxa"/>
            <w:shd w:val="clear" w:color="auto" w:fill="C0C0C0"/>
          </w:tcPr>
          <w:p w:rsidR="00CB0DD7" w:rsidRPr="000A0A5F" w:rsidRDefault="00CB0DD7">
            <w:pPr>
              <w:pStyle w:val="TAH"/>
              <w:rPr>
                <w:rFonts w:eastAsia="Times New Roman"/>
              </w:rPr>
            </w:pPr>
            <w:r w:rsidRPr="000A0A5F">
              <w:rPr>
                <w:rFonts w:eastAsia="Times New Roman"/>
              </w:rPr>
              <w:t>Data type</w:t>
            </w:r>
          </w:p>
        </w:tc>
        <w:tc>
          <w:tcPr>
            <w:tcW w:w="1134" w:type="dxa"/>
            <w:shd w:val="clear" w:color="auto" w:fill="C0C0C0"/>
          </w:tcPr>
          <w:p w:rsidR="00CB0DD7" w:rsidRPr="000A0A5F" w:rsidRDefault="00CB0DD7">
            <w:pPr>
              <w:pStyle w:val="TAH"/>
              <w:jc w:val="left"/>
              <w:rPr>
                <w:rFonts w:eastAsia="Times New Roman"/>
              </w:rPr>
            </w:pPr>
            <w:r w:rsidRPr="000A0A5F">
              <w:rPr>
                <w:rFonts w:eastAsia="Times New Roman"/>
              </w:rPr>
              <w:t>Cardinality</w:t>
            </w:r>
          </w:p>
        </w:tc>
        <w:tc>
          <w:tcPr>
            <w:tcW w:w="3828"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Description</w:t>
            </w:r>
          </w:p>
        </w:tc>
        <w:tc>
          <w:tcPr>
            <w:tcW w:w="1257"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Applicability (NOTE)</w:t>
            </w:r>
          </w:p>
        </w:tc>
      </w:tr>
      <w:tr w:rsidR="00CB0DD7" w:rsidRPr="000A0A5F" w:rsidTr="00FF0AF8">
        <w:trPr>
          <w:jc w:val="center"/>
        </w:trPr>
        <w:tc>
          <w:tcPr>
            <w:tcW w:w="1948" w:type="dxa"/>
            <w:shd w:val="clear" w:color="auto" w:fill="auto"/>
          </w:tcPr>
          <w:p w:rsidR="00CB0DD7" w:rsidRPr="000A0A5F" w:rsidRDefault="00CB0DD7">
            <w:pPr>
              <w:pStyle w:val="TAH"/>
              <w:jc w:val="left"/>
              <w:rPr>
                <w:rFonts w:eastAsia="Times New Roman"/>
                <w:b w:val="0"/>
              </w:rPr>
            </w:pPr>
            <w:r w:rsidRPr="000A0A5F">
              <w:rPr>
                <w:b w:val="0"/>
              </w:rPr>
              <w:t>niddDownlinkDataTransfer</w:t>
            </w:r>
          </w:p>
        </w:tc>
        <w:tc>
          <w:tcPr>
            <w:tcW w:w="1435" w:type="dxa"/>
            <w:shd w:val="clear" w:color="auto" w:fill="auto"/>
          </w:tcPr>
          <w:p w:rsidR="00CB0DD7" w:rsidRPr="000A0A5F" w:rsidRDefault="00CB0DD7">
            <w:pPr>
              <w:pStyle w:val="TAH"/>
              <w:jc w:val="left"/>
              <w:rPr>
                <w:rFonts w:eastAsia="Times New Roman"/>
                <w:b w:val="0"/>
              </w:rPr>
            </w:pPr>
            <w:r w:rsidRPr="000A0A5F">
              <w:rPr>
                <w:b w:val="0"/>
              </w:rPr>
              <w:t>Link</w:t>
            </w:r>
          </w:p>
        </w:tc>
        <w:tc>
          <w:tcPr>
            <w:tcW w:w="1134" w:type="dxa"/>
            <w:shd w:val="clear" w:color="auto" w:fill="auto"/>
          </w:tcPr>
          <w:p w:rsidR="00CB0DD7" w:rsidRPr="000A0A5F" w:rsidRDefault="00CB0DD7">
            <w:pPr>
              <w:pStyle w:val="TAH"/>
              <w:jc w:val="left"/>
              <w:rPr>
                <w:rFonts w:eastAsia="Times New Roman"/>
                <w:b w:val="0"/>
              </w:rPr>
            </w:pPr>
            <w:r w:rsidRPr="000A0A5F">
              <w:rPr>
                <w:b w:val="0"/>
              </w:rPr>
              <w:t>1</w:t>
            </w:r>
          </w:p>
        </w:tc>
        <w:tc>
          <w:tcPr>
            <w:tcW w:w="3828" w:type="dxa"/>
            <w:shd w:val="clear" w:color="auto" w:fill="auto"/>
          </w:tcPr>
          <w:p w:rsidR="00CB0DD7" w:rsidRPr="000A0A5F" w:rsidRDefault="00CB0DD7">
            <w:pPr>
              <w:pStyle w:val="TAH"/>
              <w:jc w:val="left"/>
              <w:rPr>
                <w:rFonts w:eastAsia="Times New Roman" w:cs="Arial"/>
                <w:b w:val="0"/>
                <w:szCs w:val="18"/>
              </w:rPr>
            </w:pPr>
            <w:r w:rsidRPr="000A0A5F">
              <w:rPr>
                <w:rFonts w:cs="Arial"/>
                <w:b w:val="0"/>
                <w:szCs w:val="18"/>
              </w:rPr>
              <w:t>Link to the NIDD downlink data transfer resource to which this notification is related.</w:t>
            </w:r>
          </w:p>
        </w:tc>
        <w:tc>
          <w:tcPr>
            <w:tcW w:w="1257" w:type="dxa"/>
            <w:shd w:val="clear" w:color="auto" w:fill="auto"/>
          </w:tcPr>
          <w:p w:rsidR="00CB0DD7" w:rsidRPr="000A0A5F" w:rsidRDefault="00CB0DD7">
            <w:pPr>
              <w:pStyle w:val="TAH"/>
              <w:jc w:val="left"/>
              <w:rPr>
                <w:rFonts w:eastAsia="Times New Roman" w:cs="Arial"/>
                <w:b w:val="0"/>
                <w:szCs w:val="18"/>
              </w:rPr>
            </w:pPr>
          </w:p>
        </w:tc>
      </w:tr>
      <w:tr w:rsidR="00CB0DD7" w:rsidRPr="000A0A5F" w:rsidTr="00FF0AF8">
        <w:trPr>
          <w:jc w:val="center"/>
        </w:trPr>
        <w:tc>
          <w:tcPr>
            <w:tcW w:w="1948" w:type="dxa"/>
            <w:shd w:val="clear" w:color="auto" w:fill="auto"/>
          </w:tcPr>
          <w:p w:rsidR="00CB0DD7" w:rsidRPr="000A0A5F" w:rsidRDefault="00CB0DD7">
            <w:pPr>
              <w:pStyle w:val="TAL"/>
              <w:rPr>
                <w:rFonts w:eastAsia="Times New Roman"/>
              </w:rPr>
            </w:pPr>
            <w:r w:rsidRPr="000A0A5F">
              <w:rPr>
                <w:rFonts w:eastAsia="Times New Roman"/>
              </w:rPr>
              <w:t>gmdResults</w:t>
            </w:r>
          </w:p>
        </w:tc>
        <w:tc>
          <w:tcPr>
            <w:tcW w:w="1435" w:type="dxa"/>
            <w:shd w:val="clear" w:color="auto" w:fill="auto"/>
          </w:tcPr>
          <w:p w:rsidR="00CB0DD7" w:rsidRPr="000A0A5F" w:rsidRDefault="00CB0DD7">
            <w:pPr>
              <w:pStyle w:val="TAL"/>
              <w:rPr>
                <w:rFonts w:eastAsia="Times New Roman"/>
              </w:rPr>
            </w:pPr>
            <w:r w:rsidRPr="000A0A5F">
              <w:rPr>
                <w:rFonts w:eastAsia="Times New Roman"/>
              </w:rPr>
              <w:t>array(GmdResult)</w:t>
            </w:r>
          </w:p>
        </w:tc>
        <w:tc>
          <w:tcPr>
            <w:tcW w:w="1134" w:type="dxa"/>
            <w:shd w:val="clear" w:color="auto" w:fill="auto"/>
          </w:tcPr>
          <w:p w:rsidR="00CB0DD7" w:rsidRPr="000A0A5F" w:rsidRDefault="00CB0DD7">
            <w:pPr>
              <w:pStyle w:val="TAL"/>
              <w:rPr>
                <w:rFonts w:eastAsia="Times New Roman"/>
              </w:rPr>
            </w:pPr>
            <w:r w:rsidRPr="000A0A5F">
              <w:rPr>
                <w:rFonts w:eastAsia="Times New Roman"/>
              </w:rPr>
              <w:t>1..N</w:t>
            </w:r>
          </w:p>
        </w:tc>
        <w:tc>
          <w:tcPr>
            <w:tcW w:w="3828" w:type="dxa"/>
            <w:shd w:val="clear" w:color="auto" w:fill="auto"/>
          </w:tcPr>
          <w:p w:rsidR="00CB0DD7" w:rsidRPr="000A0A5F" w:rsidRDefault="00CB0DD7">
            <w:pPr>
              <w:pStyle w:val="TAL"/>
              <w:rPr>
                <w:rFonts w:eastAsia="Times New Roman" w:cs="Arial"/>
                <w:szCs w:val="18"/>
              </w:rPr>
            </w:pPr>
            <w:r w:rsidRPr="000A0A5F">
              <w:rPr>
                <w:rFonts w:eastAsia="Times New Roman" w:cs="Arial"/>
                <w:szCs w:val="18"/>
              </w:rPr>
              <w:t>Indicates the group message delivery result.</w:t>
            </w:r>
          </w:p>
        </w:tc>
        <w:tc>
          <w:tcPr>
            <w:tcW w:w="1257" w:type="dxa"/>
          </w:tcPr>
          <w:p w:rsidR="00CB0DD7" w:rsidRPr="000A0A5F" w:rsidRDefault="00CB0DD7">
            <w:pPr>
              <w:pStyle w:val="TAL"/>
              <w:rPr>
                <w:rFonts w:eastAsia="Times New Roman" w:cs="Arial"/>
                <w:szCs w:val="18"/>
              </w:rPr>
            </w:pPr>
            <w:r w:rsidRPr="000A0A5F">
              <w:rPr>
                <w:rFonts w:hint="eastAsia"/>
                <w:lang w:eastAsia="zh-CN"/>
              </w:rPr>
              <w:t>GroupMessageDelivery</w:t>
            </w:r>
          </w:p>
        </w:tc>
      </w:tr>
      <w:tr w:rsidR="00CB0DD7" w:rsidRPr="000A0A5F" w:rsidTr="00FF0AF8">
        <w:trPr>
          <w:jc w:val="center"/>
        </w:trPr>
        <w:tc>
          <w:tcPr>
            <w:tcW w:w="9602" w:type="dxa"/>
            <w:gridSpan w:val="5"/>
            <w:shd w:val="clear" w:color="auto" w:fill="auto"/>
          </w:tcPr>
          <w:p w:rsidR="00CB0DD7" w:rsidRPr="000A0A5F" w:rsidRDefault="00CB0DD7">
            <w:pPr>
              <w:pStyle w:val="TAN"/>
            </w:pPr>
            <w:r w:rsidRPr="000A0A5F">
              <w:t>NOTE:</w:t>
            </w:r>
            <w:r w:rsidRPr="000A0A5F">
              <w:tab/>
              <w:t>Properties marked with a feature as defined in clause 5.6.4 are applicable as described in clause 5.2.7. If no feature are indicated, the related property applies for all the features.</w:t>
            </w:r>
          </w:p>
        </w:tc>
      </w:tr>
    </w:tbl>
    <w:p w:rsidR="00CB0DD7" w:rsidRPr="000A0A5F" w:rsidRDefault="00CB0DD7"/>
    <w:p w:rsidR="00CB0DD7" w:rsidRPr="000A0A5F" w:rsidRDefault="00CB0DD7">
      <w:pPr>
        <w:pStyle w:val="Heading5"/>
        <w:rPr>
          <w:rFonts w:hint="eastAsia"/>
          <w:lang w:eastAsia="zh-CN"/>
        </w:rPr>
      </w:pPr>
      <w:bookmarkStart w:id="3624" w:name="_Toc27044569"/>
      <w:bookmarkStart w:id="3625" w:name="_Toc36033611"/>
      <w:bookmarkStart w:id="3626" w:name="_Toc45131746"/>
      <w:bookmarkStart w:id="3627" w:name="_Toc49776031"/>
      <w:bookmarkStart w:id="3628" w:name="_Toc51746951"/>
      <w:bookmarkStart w:id="3629" w:name="_Toc66360505"/>
      <w:bookmarkStart w:id="3630" w:name="_Toc68105010"/>
      <w:bookmarkStart w:id="3631" w:name="_Toc74755640"/>
      <w:bookmarkStart w:id="3632" w:name="_Toc105674513"/>
      <w:bookmarkStart w:id="3633" w:name="_Toc130502561"/>
      <w:bookmarkStart w:id="3634" w:name="_Toc153625348"/>
      <w:r w:rsidRPr="000A0A5F">
        <w:t>5.6.2.1.9</w:t>
      </w:r>
      <w:r w:rsidRPr="000A0A5F">
        <w:tab/>
        <w:t>Type: ManagePort</w:t>
      </w:r>
      <w:bookmarkEnd w:id="3624"/>
      <w:bookmarkEnd w:id="3625"/>
      <w:bookmarkEnd w:id="3626"/>
      <w:bookmarkEnd w:id="3627"/>
      <w:bookmarkEnd w:id="3628"/>
      <w:bookmarkEnd w:id="3629"/>
      <w:bookmarkEnd w:id="3630"/>
      <w:bookmarkEnd w:id="3631"/>
      <w:bookmarkEnd w:id="3632"/>
      <w:bookmarkEnd w:id="3633"/>
      <w:bookmarkEnd w:id="3634"/>
    </w:p>
    <w:p w:rsidR="00CB0DD7" w:rsidRPr="000A0A5F" w:rsidRDefault="00CB0DD7">
      <w:r w:rsidRPr="000A0A5F">
        <w:t xml:space="preserve">This type represents the configuration for RDS dynamic port management which is applicable for Rds_dynamic_port feature. </w:t>
      </w:r>
    </w:p>
    <w:p w:rsidR="00CB0DD7" w:rsidRPr="000A0A5F" w:rsidRDefault="00CB0DD7">
      <w:pPr>
        <w:pStyle w:val="TH"/>
        <w:rPr>
          <w:rFonts w:hint="eastAsia"/>
          <w:lang w:eastAsia="zh-CN"/>
        </w:rPr>
      </w:pPr>
      <w:r w:rsidRPr="000A0A5F">
        <w:rPr>
          <w:noProof/>
        </w:rPr>
        <w:t>Table </w:t>
      </w:r>
      <w:r w:rsidRPr="000A0A5F">
        <w:t xml:space="preserve">5.6.2.1.9-1: </w:t>
      </w:r>
      <w:r w:rsidRPr="000A0A5F">
        <w:rPr>
          <w:noProof/>
        </w:rPr>
        <w:t xml:space="preserve">Definition of type </w:t>
      </w:r>
      <w:r w:rsidRPr="000A0A5F">
        <w:t>ManagePort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948"/>
        <w:gridCol w:w="1814"/>
        <w:gridCol w:w="1080"/>
        <w:gridCol w:w="3503"/>
        <w:gridCol w:w="1257"/>
      </w:tblGrid>
      <w:tr w:rsidR="00CB0DD7" w:rsidRPr="000A0A5F" w:rsidTr="00FF0AF8">
        <w:trPr>
          <w:jc w:val="center"/>
        </w:trPr>
        <w:tc>
          <w:tcPr>
            <w:tcW w:w="1948" w:type="dxa"/>
            <w:shd w:val="clear" w:color="auto" w:fill="C0C0C0"/>
          </w:tcPr>
          <w:p w:rsidR="00CB0DD7" w:rsidRPr="000A0A5F" w:rsidRDefault="00CB0DD7">
            <w:pPr>
              <w:pStyle w:val="TAH"/>
            </w:pPr>
            <w:r w:rsidRPr="000A0A5F">
              <w:t>Attribute name</w:t>
            </w:r>
          </w:p>
        </w:tc>
        <w:tc>
          <w:tcPr>
            <w:tcW w:w="1814" w:type="dxa"/>
            <w:shd w:val="clear" w:color="auto" w:fill="C0C0C0"/>
          </w:tcPr>
          <w:p w:rsidR="00CB0DD7" w:rsidRPr="000A0A5F" w:rsidRDefault="00CB0DD7">
            <w:pPr>
              <w:pStyle w:val="TAH"/>
            </w:pPr>
            <w:r w:rsidRPr="000A0A5F">
              <w:t>Data type</w:t>
            </w:r>
          </w:p>
        </w:tc>
        <w:tc>
          <w:tcPr>
            <w:tcW w:w="1080" w:type="dxa"/>
            <w:shd w:val="clear" w:color="auto" w:fill="C0C0C0"/>
          </w:tcPr>
          <w:p w:rsidR="00CB0DD7" w:rsidRPr="000A0A5F" w:rsidRDefault="00CB0DD7">
            <w:pPr>
              <w:pStyle w:val="TAH"/>
              <w:jc w:val="left"/>
            </w:pPr>
            <w:r w:rsidRPr="000A0A5F">
              <w:t>Cardinality</w:t>
            </w:r>
          </w:p>
        </w:tc>
        <w:tc>
          <w:tcPr>
            <w:tcW w:w="3503" w:type="dxa"/>
            <w:shd w:val="clear" w:color="auto" w:fill="C0C0C0"/>
          </w:tcPr>
          <w:p w:rsidR="00CB0DD7" w:rsidRPr="000A0A5F" w:rsidRDefault="00CB0DD7">
            <w:pPr>
              <w:pStyle w:val="TAH"/>
              <w:rPr>
                <w:rFonts w:cs="Arial"/>
                <w:szCs w:val="18"/>
              </w:rPr>
            </w:pPr>
            <w:r w:rsidRPr="000A0A5F">
              <w:rPr>
                <w:rFonts w:cs="Arial"/>
                <w:szCs w:val="18"/>
              </w:rPr>
              <w:t>Description</w:t>
            </w:r>
          </w:p>
        </w:tc>
        <w:tc>
          <w:tcPr>
            <w:tcW w:w="1257" w:type="dxa"/>
            <w:shd w:val="clear" w:color="auto" w:fill="C0C0C0"/>
          </w:tcPr>
          <w:p w:rsidR="00CB0DD7" w:rsidRPr="000A0A5F" w:rsidRDefault="00CB0DD7">
            <w:pPr>
              <w:pStyle w:val="TAH"/>
              <w:rPr>
                <w:rFonts w:cs="Arial"/>
                <w:szCs w:val="18"/>
              </w:rPr>
            </w:pPr>
            <w:r w:rsidRPr="000A0A5F">
              <w:rPr>
                <w:rFonts w:cs="Arial"/>
                <w:szCs w:val="18"/>
              </w:rPr>
              <w:t>Applicability</w:t>
            </w:r>
          </w:p>
        </w:tc>
      </w:tr>
      <w:tr w:rsidR="00CB0DD7" w:rsidRPr="000A0A5F" w:rsidTr="00FF0AF8">
        <w:trPr>
          <w:jc w:val="center"/>
        </w:trPr>
        <w:tc>
          <w:tcPr>
            <w:tcW w:w="1948" w:type="dxa"/>
            <w:shd w:val="clear" w:color="auto" w:fill="auto"/>
          </w:tcPr>
          <w:p w:rsidR="00CB0DD7" w:rsidRPr="000A0A5F" w:rsidRDefault="00CB0DD7">
            <w:pPr>
              <w:pStyle w:val="TAL"/>
            </w:pPr>
            <w:r w:rsidRPr="000A0A5F">
              <w:t>self</w:t>
            </w:r>
          </w:p>
        </w:tc>
        <w:tc>
          <w:tcPr>
            <w:tcW w:w="1814" w:type="dxa"/>
            <w:shd w:val="clear" w:color="auto" w:fill="auto"/>
          </w:tcPr>
          <w:p w:rsidR="00CB0DD7" w:rsidRPr="000A0A5F" w:rsidRDefault="00CB0DD7">
            <w:pPr>
              <w:pStyle w:val="TAL"/>
            </w:pPr>
            <w:r w:rsidRPr="000A0A5F">
              <w:t>Link</w:t>
            </w:r>
          </w:p>
        </w:tc>
        <w:tc>
          <w:tcPr>
            <w:tcW w:w="1080" w:type="dxa"/>
            <w:shd w:val="clear" w:color="auto" w:fill="auto"/>
          </w:tcPr>
          <w:p w:rsidR="00CB0DD7" w:rsidRPr="000A0A5F" w:rsidRDefault="00CB0DD7">
            <w:pPr>
              <w:pStyle w:val="TAL"/>
            </w:pPr>
            <w:r w:rsidRPr="000A0A5F">
              <w:t>0..1</w:t>
            </w:r>
          </w:p>
        </w:tc>
        <w:tc>
          <w:tcPr>
            <w:tcW w:w="3503" w:type="dxa"/>
            <w:shd w:val="clear" w:color="auto" w:fill="auto"/>
          </w:tcPr>
          <w:p w:rsidR="00CB0DD7" w:rsidRPr="000A0A5F" w:rsidRDefault="00CB0DD7">
            <w:pPr>
              <w:pStyle w:val="TAL"/>
              <w:rPr>
                <w:rFonts w:cs="Arial"/>
                <w:szCs w:val="18"/>
              </w:rPr>
            </w:pPr>
            <w:r w:rsidRPr="000A0A5F">
              <w:rPr>
                <w:rFonts w:cs="Arial"/>
                <w:szCs w:val="18"/>
              </w:rPr>
              <w:t xml:space="preserve">Link to the resource </w:t>
            </w:r>
            <w:r w:rsidRPr="000A0A5F">
              <w:t>"Individual ManagePort Configuration"</w:t>
            </w:r>
            <w:r w:rsidRPr="000A0A5F">
              <w:rPr>
                <w:rFonts w:cs="Arial"/>
                <w:szCs w:val="18"/>
              </w:rPr>
              <w:t>. This parameter shall be supplied by the SCEF in HTTP PUT/GET responses and in the notification POST request.</w:t>
            </w:r>
          </w:p>
        </w:tc>
        <w:tc>
          <w:tcPr>
            <w:tcW w:w="1257" w:type="dxa"/>
          </w:tcPr>
          <w:p w:rsidR="00CB0DD7" w:rsidRPr="000A0A5F" w:rsidRDefault="00CB0DD7">
            <w:pPr>
              <w:pStyle w:val="TAL"/>
              <w:rPr>
                <w:rFonts w:cs="Arial"/>
                <w:szCs w:val="18"/>
              </w:rPr>
            </w:pPr>
          </w:p>
        </w:tc>
      </w:tr>
      <w:tr w:rsidR="00CB0DD7" w:rsidRPr="000A0A5F" w:rsidTr="00FF0AF8">
        <w:trPr>
          <w:jc w:val="center"/>
        </w:trPr>
        <w:tc>
          <w:tcPr>
            <w:tcW w:w="1948" w:type="dxa"/>
            <w:shd w:val="clear" w:color="auto" w:fill="auto"/>
          </w:tcPr>
          <w:p w:rsidR="00CB0DD7" w:rsidRPr="000A0A5F" w:rsidRDefault="00CB0DD7">
            <w:pPr>
              <w:pStyle w:val="TAL"/>
              <w:rPr>
                <w:lang w:eastAsia="zh-CN"/>
              </w:rPr>
            </w:pPr>
            <w:r w:rsidRPr="000A0A5F">
              <w:rPr>
                <w:lang w:eastAsia="zh-CN"/>
              </w:rPr>
              <w:t>applicationId</w:t>
            </w:r>
          </w:p>
        </w:tc>
        <w:tc>
          <w:tcPr>
            <w:tcW w:w="1814" w:type="dxa"/>
            <w:shd w:val="clear" w:color="auto" w:fill="auto"/>
          </w:tcPr>
          <w:p w:rsidR="00CB0DD7" w:rsidRPr="000A0A5F" w:rsidRDefault="00CB0DD7">
            <w:pPr>
              <w:pStyle w:val="TAL"/>
            </w:pPr>
            <w:r w:rsidRPr="000A0A5F">
              <w:t>string</w:t>
            </w:r>
          </w:p>
        </w:tc>
        <w:tc>
          <w:tcPr>
            <w:tcW w:w="1080" w:type="dxa"/>
            <w:shd w:val="clear" w:color="auto" w:fill="auto"/>
          </w:tcPr>
          <w:p w:rsidR="00CB0DD7" w:rsidRPr="000A0A5F" w:rsidRDefault="00CB0DD7">
            <w:pPr>
              <w:pStyle w:val="TAL"/>
            </w:pPr>
            <w:r w:rsidRPr="000A0A5F">
              <w:t>1</w:t>
            </w:r>
          </w:p>
        </w:tc>
        <w:tc>
          <w:tcPr>
            <w:tcW w:w="3503" w:type="dxa"/>
            <w:shd w:val="clear" w:color="auto" w:fill="auto"/>
          </w:tcPr>
          <w:p w:rsidR="00CB0DD7" w:rsidRPr="000A0A5F" w:rsidRDefault="00CB0DD7">
            <w:pPr>
              <w:pStyle w:val="TAL"/>
              <w:rPr>
                <w:rFonts w:cs="Arial"/>
                <w:szCs w:val="18"/>
                <w:lang w:eastAsia="zh-CN"/>
              </w:rPr>
            </w:pPr>
            <w:r w:rsidRPr="000A0A5F">
              <w:rPr>
                <w:rFonts w:cs="Arial"/>
                <w:szCs w:val="18"/>
                <w:lang w:eastAsia="zh-CN"/>
              </w:rPr>
              <w:t>Indicates the application that is associated with port configuration specified above (as defined in clause</w:t>
            </w:r>
            <w:r w:rsidRPr="000A0A5F">
              <w:rPr>
                <w:rFonts w:cs="Arial"/>
                <w:szCs w:val="18"/>
                <w:lang w:val="en-US" w:eastAsia="zh-CN"/>
              </w:rPr>
              <w:t> 5</w:t>
            </w:r>
            <w:r w:rsidRPr="000A0A5F">
              <w:rPr>
                <w:rFonts w:cs="Arial"/>
                <w:szCs w:val="18"/>
                <w:lang w:eastAsia="zh-CN"/>
              </w:rPr>
              <w:t>.4.2.6 of 3GPP TS 24.250 [31]).</w:t>
            </w:r>
          </w:p>
        </w:tc>
        <w:tc>
          <w:tcPr>
            <w:tcW w:w="1257" w:type="dxa"/>
          </w:tcPr>
          <w:p w:rsidR="00CB0DD7" w:rsidRPr="000A0A5F" w:rsidRDefault="00CB0DD7">
            <w:pPr>
              <w:pStyle w:val="TAL"/>
              <w:rPr>
                <w:rFonts w:cs="Arial"/>
                <w:szCs w:val="18"/>
              </w:rPr>
            </w:pPr>
          </w:p>
        </w:tc>
      </w:tr>
      <w:tr w:rsidR="00CB0DD7" w:rsidRPr="000A0A5F" w:rsidTr="00FF0AF8">
        <w:trPr>
          <w:jc w:val="center"/>
        </w:trPr>
        <w:tc>
          <w:tcPr>
            <w:tcW w:w="1948" w:type="dxa"/>
            <w:shd w:val="clear" w:color="auto" w:fill="auto"/>
          </w:tcPr>
          <w:p w:rsidR="00CB0DD7" w:rsidRPr="000A0A5F" w:rsidRDefault="00CB0DD7">
            <w:pPr>
              <w:pStyle w:val="TAL"/>
              <w:rPr>
                <w:lang w:eastAsia="zh-CN"/>
              </w:rPr>
            </w:pPr>
            <w:r w:rsidRPr="000A0A5F">
              <w:rPr>
                <w:lang w:eastAsia="zh-CN"/>
              </w:rPr>
              <w:t>manageEntity</w:t>
            </w:r>
          </w:p>
        </w:tc>
        <w:tc>
          <w:tcPr>
            <w:tcW w:w="1814" w:type="dxa"/>
            <w:shd w:val="clear" w:color="auto" w:fill="auto"/>
          </w:tcPr>
          <w:p w:rsidR="00CB0DD7" w:rsidRPr="000A0A5F" w:rsidRDefault="00CB0DD7">
            <w:pPr>
              <w:pStyle w:val="TAL"/>
            </w:pPr>
            <w:r w:rsidRPr="000A0A5F">
              <w:t>ManageEntity</w:t>
            </w:r>
          </w:p>
        </w:tc>
        <w:tc>
          <w:tcPr>
            <w:tcW w:w="1080" w:type="dxa"/>
            <w:shd w:val="clear" w:color="auto" w:fill="auto"/>
          </w:tcPr>
          <w:p w:rsidR="00CB0DD7" w:rsidRPr="000A0A5F" w:rsidRDefault="00CB0DD7">
            <w:pPr>
              <w:pStyle w:val="TAL"/>
            </w:pPr>
            <w:r w:rsidRPr="000A0A5F">
              <w:t>0..1</w:t>
            </w:r>
          </w:p>
        </w:tc>
        <w:tc>
          <w:tcPr>
            <w:tcW w:w="3503" w:type="dxa"/>
            <w:shd w:val="clear" w:color="auto" w:fill="auto"/>
          </w:tcPr>
          <w:p w:rsidR="00CB0DD7" w:rsidRPr="000A0A5F" w:rsidRDefault="00CB0DD7">
            <w:pPr>
              <w:pStyle w:val="TAL"/>
              <w:rPr>
                <w:rFonts w:cs="Arial"/>
                <w:szCs w:val="18"/>
                <w:lang w:eastAsia="zh-CN"/>
              </w:rPr>
            </w:pPr>
            <w:r w:rsidRPr="000A0A5F">
              <w:rPr>
                <w:rFonts w:cs="Arial"/>
                <w:szCs w:val="18"/>
                <w:lang w:eastAsia="zh-CN"/>
              </w:rPr>
              <w:t xml:space="preserve">Indicates the </w:t>
            </w:r>
            <w:r w:rsidRPr="000A0A5F">
              <w:t>"Individual ManagePort Configuration"</w:t>
            </w:r>
            <w:r w:rsidRPr="000A0A5F">
              <w:rPr>
                <w:rFonts w:cs="Arial"/>
                <w:szCs w:val="18"/>
                <w:lang w:eastAsia="zh-CN"/>
              </w:rPr>
              <w:t xml:space="preserve"> resource is created by which function entity (UE or the AS). This attribute is supplied by the SCEF.</w:t>
            </w:r>
          </w:p>
        </w:tc>
        <w:tc>
          <w:tcPr>
            <w:tcW w:w="1257" w:type="dxa"/>
          </w:tcPr>
          <w:p w:rsidR="00CB0DD7" w:rsidRPr="000A0A5F" w:rsidRDefault="00CB0DD7">
            <w:pPr>
              <w:pStyle w:val="TAL"/>
              <w:rPr>
                <w:rFonts w:cs="Arial"/>
                <w:szCs w:val="18"/>
              </w:rPr>
            </w:pPr>
          </w:p>
        </w:tc>
      </w:tr>
      <w:tr w:rsidR="00CB0DD7" w:rsidRPr="000A0A5F" w:rsidTr="00FF0AF8">
        <w:trPr>
          <w:jc w:val="center"/>
        </w:trPr>
        <w:tc>
          <w:tcPr>
            <w:tcW w:w="1948" w:type="dxa"/>
            <w:shd w:val="clear" w:color="auto" w:fill="auto"/>
          </w:tcPr>
          <w:p w:rsidR="00CB0DD7" w:rsidRPr="000A0A5F" w:rsidRDefault="00CB0DD7">
            <w:pPr>
              <w:pStyle w:val="TAL"/>
              <w:rPr>
                <w:lang w:eastAsia="zh-CN"/>
              </w:rPr>
            </w:pPr>
            <w:r w:rsidRPr="000A0A5F">
              <w:t>skipUeInquiry</w:t>
            </w:r>
          </w:p>
        </w:tc>
        <w:tc>
          <w:tcPr>
            <w:tcW w:w="1814" w:type="dxa"/>
            <w:shd w:val="clear" w:color="auto" w:fill="auto"/>
          </w:tcPr>
          <w:p w:rsidR="00CB0DD7" w:rsidRPr="000A0A5F" w:rsidRDefault="00CB0DD7">
            <w:pPr>
              <w:pStyle w:val="TAL"/>
            </w:pPr>
            <w:r w:rsidRPr="000A0A5F">
              <w:t>boolean</w:t>
            </w:r>
          </w:p>
        </w:tc>
        <w:tc>
          <w:tcPr>
            <w:tcW w:w="1080" w:type="dxa"/>
            <w:shd w:val="clear" w:color="auto" w:fill="auto"/>
          </w:tcPr>
          <w:p w:rsidR="00CB0DD7" w:rsidRPr="000A0A5F" w:rsidRDefault="00CB0DD7">
            <w:pPr>
              <w:pStyle w:val="TAL"/>
            </w:pPr>
            <w:r w:rsidRPr="000A0A5F">
              <w:t>0..1</w:t>
            </w:r>
          </w:p>
        </w:tc>
        <w:tc>
          <w:tcPr>
            <w:tcW w:w="3503" w:type="dxa"/>
            <w:shd w:val="clear" w:color="auto" w:fill="auto"/>
          </w:tcPr>
          <w:p w:rsidR="00CB0DD7" w:rsidRPr="000A0A5F" w:rsidRDefault="00CB0DD7">
            <w:pPr>
              <w:pStyle w:val="TAL"/>
              <w:rPr>
                <w:rFonts w:cs="Arial"/>
                <w:szCs w:val="18"/>
                <w:lang w:eastAsia="zh-CN"/>
              </w:rPr>
            </w:pPr>
            <w:r w:rsidRPr="000A0A5F">
              <w:rPr>
                <w:rFonts w:cs="Arial"/>
                <w:szCs w:val="18"/>
                <w:lang w:eastAsia="zh-CN"/>
              </w:rPr>
              <w:t>Indicate whether to skip UE inquiry. S</w:t>
            </w:r>
            <w:r w:rsidRPr="000A0A5F">
              <w:rPr>
                <w:rFonts w:cs="Arial"/>
                <w:szCs w:val="18"/>
              </w:rPr>
              <w:t xml:space="preserve">et to </w:t>
            </w:r>
            <w:r w:rsidRPr="000A0A5F">
              <w:rPr>
                <w:lang w:eastAsia="zh-CN"/>
              </w:rPr>
              <w:t>"true</w:t>
            </w:r>
            <w:r w:rsidRPr="000A0A5F">
              <w:t xml:space="preserve">" if the SCS/AS decides to reserve port on the SCEF without confirming with the UE; otherwise set to "false". </w:t>
            </w:r>
            <w:r w:rsidRPr="000A0A5F">
              <w:rPr>
                <w:rFonts w:cs="Arial"/>
                <w:szCs w:val="18"/>
                <w:lang w:eastAsia="zh-CN"/>
              </w:rPr>
              <w:t xml:space="preserve">Default value is </w:t>
            </w:r>
            <w:r w:rsidRPr="000A0A5F">
              <w:rPr>
                <w:lang w:eastAsia="zh-CN"/>
              </w:rPr>
              <w:t>"false"</w:t>
            </w:r>
            <w:r w:rsidRPr="000A0A5F">
              <w:rPr>
                <w:rFonts w:cs="Arial"/>
                <w:szCs w:val="18"/>
                <w:lang w:eastAsia="zh-CN"/>
              </w:rPr>
              <w:t xml:space="preserve"> if omitted.</w:t>
            </w:r>
          </w:p>
        </w:tc>
        <w:tc>
          <w:tcPr>
            <w:tcW w:w="1257" w:type="dxa"/>
          </w:tcPr>
          <w:p w:rsidR="00CB0DD7" w:rsidRPr="000A0A5F" w:rsidRDefault="00CB0DD7">
            <w:pPr>
              <w:pStyle w:val="TAL"/>
              <w:rPr>
                <w:rFonts w:cs="Arial"/>
                <w:szCs w:val="18"/>
              </w:rPr>
            </w:pPr>
          </w:p>
        </w:tc>
      </w:tr>
      <w:tr w:rsidR="00CB0DD7" w:rsidRPr="000A0A5F" w:rsidTr="00FF0AF8">
        <w:trPr>
          <w:jc w:val="center"/>
        </w:trPr>
        <w:tc>
          <w:tcPr>
            <w:tcW w:w="1948" w:type="dxa"/>
            <w:shd w:val="clear" w:color="auto" w:fill="auto"/>
          </w:tcPr>
          <w:p w:rsidR="00CB0DD7" w:rsidRPr="000A0A5F" w:rsidRDefault="00CB0DD7">
            <w:pPr>
              <w:pStyle w:val="TAL"/>
            </w:pPr>
            <w:bookmarkStart w:id="3635" w:name="_Hlk49316942"/>
            <w:r w:rsidRPr="000A0A5F">
              <w:rPr>
                <w:lang w:eastAsia="zh-CN"/>
              </w:rPr>
              <w:t>supportedFormat</w:t>
            </w:r>
            <w:bookmarkEnd w:id="3635"/>
            <w:r w:rsidRPr="000A0A5F">
              <w:rPr>
                <w:lang w:eastAsia="zh-CN"/>
              </w:rPr>
              <w:t>s</w:t>
            </w:r>
          </w:p>
        </w:tc>
        <w:tc>
          <w:tcPr>
            <w:tcW w:w="1814" w:type="dxa"/>
            <w:shd w:val="clear" w:color="auto" w:fill="auto"/>
          </w:tcPr>
          <w:p w:rsidR="00CB0DD7" w:rsidRPr="000A0A5F" w:rsidRDefault="00CB0DD7">
            <w:pPr>
              <w:pStyle w:val="TAL"/>
            </w:pPr>
            <w:r w:rsidRPr="000A0A5F">
              <w:rPr>
                <w:lang w:eastAsia="zh-CN"/>
              </w:rPr>
              <w:t>array(</w:t>
            </w:r>
            <w:r w:rsidRPr="000A0A5F">
              <w:t>SerializationFormat</w:t>
            </w:r>
            <w:r w:rsidRPr="000A0A5F">
              <w:rPr>
                <w:lang w:eastAsia="zh-CN"/>
              </w:rPr>
              <w:t>)</w:t>
            </w:r>
          </w:p>
        </w:tc>
        <w:tc>
          <w:tcPr>
            <w:tcW w:w="1080" w:type="dxa"/>
            <w:shd w:val="clear" w:color="auto" w:fill="auto"/>
          </w:tcPr>
          <w:p w:rsidR="00CB0DD7" w:rsidRPr="000A0A5F" w:rsidRDefault="00CB0DD7">
            <w:pPr>
              <w:pStyle w:val="TAL"/>
            </w:pPr>
            <w:r w:rsidRPr="000A0A5F">
              <w:t>0..N</w:t>
            </w:r>
          </w:p>
        </w:tc>
        <w:tc>
          <w:tcPr>
            <w:tcW w:w="3503" w:type="dxa"/>
            <w:shd w:val="clear" w:color="auto" w:fill="auto"/>
            <w:vAlign w:val="center"/>
          </w:tcPr>
          <w:p w:rsidR="00CB0DD7" w:rsidRPr="000A0A5F" w:rsidRDefault="00CB0DD7">
            <w:pPr>
              <w:pStyle w:val="TAL"/>
            </w:pPr>
            <w:r w:rsidRPr="000A0A5F">
              <w:rPr>
                <w:rFonts w:cs="Arial"/>
                <w:szCs w:val="18"/>
                <w:lang w:eastAsia="zh-CN"/>
              </w:rPr>
              <w:t xml:space="preserve">Indicates the serialization format(s) that are supported by the SCS/AS on the associated RDS port. </w:t>
            </w:r>
          </w:p>
          <w:p w:rsidR="00CB0DD7" w:rsidRPr="000A0A5F" w:rsidRDefault="00CB0DD7">
            <w:pPr>
              <w:pStyle w:val="TAL"/>
              <w:rPr>
                <w:rFonts w:cs="Arial"/>
                <w:szCs w:val="18"/>
                <w:lang w:eastAsia="zh-CN"/>
              </w:rPr>
            </w:pPr>
            <w:r w:rsidRPr="000A0A5F">
              <w:rPr>
                <w:rFonts w:cs="Arial"/>
                <w:szCs w:val="18"/>
                <w:lang w:eastAsia="zh-CN"/>
              </w:rPr>
              <w:t>This attribute is supplied by the SCS/AS.</w:t>
            </w:r>
          </w:p>
        </w:tc>
        <w:tc>
          <w:tcPr>
            <w:tcW w:w="1257" w:type="dxa"/>
          </w:tcPr>
          <w:p w:rsidR="00CB0DD7" w:rsidRPr="000A0A5F" w:rsidRDefault="00CB0DD7">
            <w:pPr>
              <w:pStyle w:val="TAL"/>
              <w:rPr>
                <w:rFonts w:cs="Arial"/>
                <w:szCs w:val="18"/>
              </w:rPr>
            </w:pPr>
            <w:r w:rsidRPr="000A0A5F">
              <w:rPr>
                <w:lang w:eastAsia="zh-CN"/>
              </w:rPr>
              <w:t>Rds_serialization_format</w:t>
            </w:r>
          </w:p>
        </w:tc>
      </w:tr>
      <w:tr w:rsidR="00CB0DD7" w:rsidRPr="000A0A5F" w:rsidTr="00FF0AF8">
        <w:trPr>
          <w:jc w:val="center"/>
        </w:trPr>
        <w:tc>
          <w:tcPr>
            <w:tcW w:w="1948" w:type="dxa"/>
            <w:shd w:val="clear" w:color="auto" w:fill="auto"/>
          </w:tcPr>
          <w:p w:rsidR="00CB0DD7" w:rsidRPr="000A0A5F" w:rsidRDefault="00CB0DD7">
            <w:pPr>
              <w:pStyle w:val="TAL"/>
            </w:pPr>
            <w:bookmarkStart w:id="3636" w:name="_Hlk49316979"/>
            <w:r w:rsidRPr="000A0A5F">
              <w:rPr>
                <w:lang w:eastAsia="zh-CN"/>
              </w:rPr>
              <w:t>configuredFormat</w:t>
            </w:r>
            <w:bookmarkEnd w:id="3636"/>
          </w:p>
        </w:tc>
        <w:tc>
          <w:tcPr>
            <w:tcW w:w="1814" w:type="dxa"/>
            <w:shd w:val="clear" w:color="auto" w:fill="auto"/>
          </w:tcPr>
          <w:p w:rsidR="00CB0DD7" w:rsidRPr="000A0A5F" w:rsidRDefault="00CB0DD7">
            <w:pPr>
              <w:pStyle w:val="TAL"/>
            </w:pPr>
            <w:r w:rsidRPr="000A0A5F">
              <w:t>SerializationFormat</w:t>
            </w:r>
          </w:p>
        </w:tc>
        <w:tc>
          <w:tcPr>
            <w:tcW w:w="1080" w:type="dxa"/>
            <w:shd w:val="clear" w:color="auto" w:fill="auto"/>
          </w:tcPr>
          <w:p w:rsidR="00CB0DD7" w:rsidRPr="000A0A5F" w:rsidRDefault="00CB0DD7">
            <w:pPr>
              <w:pStyle w:val="TAL"/>
            </w:pPr>
            <w:r w:rsidRPr="000A0A5F">
              <w:t>0..1</w:t>
            </w:r>
          </w:p>
        </w:tc>
        <w:tc>
          <w:tcPr>
            <w:tcW w:w="3503" w:type="dxa"/>
            <w:shd w:val="clear" w:color="auto" w:fill="auto"/>
            <w:vAlign w:val="center"/>
          </w:tcPr>
          <w:p w:rsidR="00CB0DD7" w:rsidRPr="000A0A5F" w:rsidRDefault="00CB0DD7">
            <w:pPr>
              <w:pStyle w:val="TAL"/>
            </w:pPr>
            <w:r w:rsidRPr="000A0A5F">
              <w:rPr>
                <w:rFonts w:cs="Arial"/>
                <w:szCs w:val="18"/>
                <w:lang w:eastAsia="zh-CN"/>
              </w:rPr>
              <w:t xml:space="preserve">Indicates the serialization format that has been configured/negotiated for the RDS port. </w:t>
            </w:r>
          </w:p>
          <w:p w:rsidR="00CB0DD7" w:rsidRPr="000A0A5F" w:rsidRDefault="00CB0DD7">
            <w:pPr>
              <w:pStyle w:val="TAL"/>
              <w:rPr>
                <w:rFonts w:cs="Arial"/>
                <w:szCs w:val="18"/>
                <w:lang w:eastAsia="zh-CN"/>
              </w:rPr>
            </w:pPr>
            <w:r w:rsidRPr="000A0A5F">
              <w:rPr>
                <w:rFonts w:cs="Arial"/>
                <w:szCs w:val="18"/>
                <w:lang w:eastAsia="zh-CN"/>
              </w:rPr>
              <w:t>This attribute is supplied by the SCEF.</w:t>
            </w:r>
          </w:p>
          <w:p w:rsidR="00CB0DD7" w:rsidRPr="000A0A5F" w:rsidRDefault="00CB0DD7">
            <w:pPr>
              <w:pStyle w:val="TAL"/>
              <w:rPr>
                <w:rFonts w:cs="Arial"/>
                <w:szCs w:val="18"/>
                <w:lang w:eastAsia="zh-CN"/>
              </w:rPr>
            </w:pPr>
            <w:r w:rsidRPr="000A0A5F">
              <w:rPr>
                <w:rFonts w:cs="Arial"/>
                <w:szCs w:val="18"/>
                <w:lang w:eastAsia="zh-CN"/>
              </w:rPr>
              <w:t>(NOTE)</w:t>
            </w:r>
          </w:p>
        </w:tc>
        <w:tc>
          <w:tcPr>
            <w:tcW w:w="1257" w:type="dxa"/>
          </w:tcPr>
          <w:p w:rsidR="00CB0DD7" w:rsidRPr="000A0A5F" w:rsidRDefault="00CB0DD7">
            <w:pPr>
              <w:pStyle w:val="TAL"/>
              <w:rPr>
                <w:rFonts w:cs="Arial"/>
                <w:szCs w:val="18"/>
              </w:rPr>
            </w:pPr>
            <w:r w:rsidRPr="000A0A5F">
              <w:rPr>
                <w:lang w:eastAsia="zh-CN"/>
              </w:rPr>
              <w:t>Rds_serialization_format</w:t>
            </w:r>
          </w:p>
        </w:tc>
      </w:tr>
      <w:tr w:rsidR="00CB0DD7" w:rsidRPr="000A0A5F" w:rsidTr="00FF0AF8">
        <w:trPr>
          <w:jc w:val="center"/>
        </w:trPr>
        <w:tc>
          <w:tcPr>
            <w:tcW w:w="9602" w:type="dxa"/>
            <w:gridSpan w:val="5"/>
            <w:shd w:val="clear" w:color="auto" w:fill="auto"/>
          </w:tcPr>
          <w:p w:rsidR="00CB0DD7" w:rsidRPr="000A0A5F" w:rsidRDefault="00CB0DD7">
            <w:pPr>
              <w:pStyle w:val="TAN"/>
              <w:rPr>
                <w:rFonts w:cs="Arial"/>
                <w:szCs w:val="18"/>
              </w:rPr>
            </w:pPr>
            <w:r w:rsidRPr="000A0A5F">
              <w:rPr>
                <w:lang w:eastAsia="zh-CN"/>
              </w:rPr>
              <w:t>NOTE:</w:t>
            </w:r>
            <w:r w:rsidRPr="000A0A5F">
              <w:rPr>
                <w:lang w:eastAsia="zh-CN"/>
              </w:rPr>
              <w:tab/>
              <w:t>The same serialization format is used in the MO and MT directions.</w:t>
            </w:r>
          </w:p>
        </w:tc>
      </w:tr>
    </w:tbl>
    <w:p w:rsidR="00CB0DD7" w:rsidRPr="000A0A5F" w:rsidRDefault="00CB0DD7"/>
    <w:p w:rsidR="00CB0DD7" w:rsidRPr="000A0A5F" w:rsidRDefault="00CB0DD7">
      <w:pPr>
        <w:pStyle w:val="Heading5"/>
        <w:rPr>
          <w:rFonts w:hint="eastAsia"/>
          <w:lang w:eastAsia="zh-CN"/>
        </w:rPr>
      </w:pPr>
      <w:bookmarkStart w:id="3637" w:name="_Toc27044570"/>
      <w:bookmarkStart w:id="3638" w:name="_Toc36033612"/>
      <w:bookmarkStart w:id="3639" w:name="_Toc45131747"/>
      <w:bookmarkStart w:id="3640" w:name="_Toc49776032"/>
      <w:bookmarkStart w:id="3641" w:name="_Toc51746952"/>
      <w:bookmarkStart w:id="3642" w:name="_Toc66360506"/>
      <w:bookmarkStart w:id="3643" w:name="_Toc68105011"/>
      <w:bookmarkStart w:id="3644" w:name="_Toc74755641"/>
      <w:bookmarkStart w:id="3645" w:name="_Toc105674514"/>
      <w:bookmarkStart w:id="3646" w:name="_Toc130502562"/>
      <w:bookmarkStart w:id="3647" w:name="_Toc153625349"/>
      <w:r w:rsidRPr="000A0A5F">
        <w:t>5.6.2.1.</w:t>
      </w:r>
      <w:r w:rsidRPr="000A0A5F">
        <w:rPr>
          <w:lang w:eastAsia="zh-CN"/>
        </w:rPr>
        <w:t>10</w:t>
      </w:r>
      <w:r w:rsidRPr="000A0A5F">
        <w:tab/>
        <w:t xml:space="preserve">Type: </w:t>
      </w:r>
      <w:r w:rsidRPr="000A0A5F">
        <w:rPr>
          <w:lang w:eastAsia="zh-CN"/>
        </w:rPr>
        <w:t>ManagePort</w:t>
      </w:r>
      <w:r w:rsidRPr="000A0A5F">
        <w:rPr>
          <w:rFonts w:hint="eastAsia"/>
          <w:lang w:eastAsia="zh-CN"/>
        </w:rPr>
        <w:t>Notifi</w:t>
      </w:r>
      <w:r w:rsidRPr="000A0A5F">
        <w:rPr>
          <w:lang w:eastAsia="zh-CN"/>
        </w:rPr>
        <w:t>c</w:t>
      </w:r>
      <w:r w:rsidRPr="000A0A5F">
        <w:rPr>
          <w:rFonts w:hint="eastAsia"/>
          <w:lang w:eastAsia="zh-CN"/>
        </w:rPr>
        <w:t>ation</w:t>
      </w:r>
      <w:bookmarkEnd w:id="3637"/>
      <w:bookmarkEnd w:id="3638"/>
      <w:bookmarkEnd w:id="3639"/>
      <w:bookmarkEnd w:id="3640"/>
      <w:bookmarkEnd w:id="3641"/>
      <w:bookmarkEnd w:id="3642"/>
      <w:bookmarkEnd w:id="3643"/>
      <w:bookmarkEnd w:id="3644"/>
      <w:bookmarkEnd w:id="3645"/>
      <w:bookmarkEnd w:id="3646"/>
      <w:bookmarkEnd w:id="3647"/>
    </w:p>
    <w:p w:rsidR="00CB0DD7" w:rsidRPr="000A0A5F" w:rsidRDefault="00CB0DD7">
      <w:r w:rsidRPr="000A0A5F">
        <w:t xml:space="preserve">This type represents </w:t>
      </w:r>
      <w:r w:rsidRPr="000A0A5F">
        <w:rPr>
          <w:rFonts w:hint="eastAsia"/>
          <w:lang w:eastAsia="zh-CN"/>
        </w:rPr>
        <w:t xml:space="preserve">a </w:t>
      </w:r>
      <w:r w:rsidRPr="000A0A5F">
        <w:rPr>
          <w:lang w:eastAsia="zh-CN"/>
        </w:rPr>
        <w:t>ManagePort</w:t>
      </w:r>
      <w:r w:rsidRPr="000A0A5F">
        <w:rPr>
          <w:rFonts w:hint="eastAsia"/>
          <w:lang w:eastAsia="zh-CN"/>
        </w:rPr>
        <w:t xml:space="preserve"> </w:t>
      </w:r>
      <w:r w:rsidRPr="000A0A5F">
        <w:rPr>
          <w:lang w:eastAsia="zh-CN"/>
        </w:rPr>
        <w:t>notification of port numbers that are reserved</w:t>
      </w:r>
      <w:r w:rsidRPr="000A0A5F">
        <w:rPr>
          <w:rFonts w:hint="eastAsia"/>
          <w:lang w:eastAsia="zh-CN"/>
        </w:rPr>
        <w:t>.</w:t>
      </w:r>
    </w:p>
    <w:p w:rsidR="00CB0DD7" w:rsidRPr="000A0A5F" w:rsidRDefault="00CB0DD7">
      <w:pPr>
        <w:pStyle w:val="TH"/>
        <w:rPr>
          <w:rFonts w:hint="eastAsia"/>
          <w:lang w:eastAsia="zh-CN"/>
        </w:rPr>
      </w:pPr>
      <w:r w:rsidRPr="000A0A5F">
        <w:rPr>
          <w:noProof/>
        </w:rPr>
        <w:t>Table </w:t>
      </w:r>
      <w:r w:rsidRPr="000A0A5F">
        <w:t>5.6.2.1.</w:t>
      </w:r>
      <w:r w:rsidRPr="000A0A5F">
        <w:rPr>
          <w:lang w:eastAsia="zh-CN"/>
        </w:rPr>
        <w:t>10</w:t>
      </w:r>
      <w:r w:rsidRPr="000A0A5F">
        <w:t xml:space="preserve">-1: </w:t>
      </w:r>
      <w:r w:rsidRPr="000A0A5F">
        <w:rPr>
          <w:noProof/>
        </w:rPr>
        <w:t xml:space="preserve">Definition of type </w:t>
      </w:r>
      <w:r w:rsidRPr="000A0A5F">
        <w:rPr>
          <w:noProof/>
          <w:lang w:eastAsia="zh-CN"/>
        </w:rPr>
        <w:t>ManagePort</w:t>
      </w:r>
      <w:r w:rsidRPr="000A0A5F">
        <w:rPr>
          <w:rFonts w:hint="eastAsia"/>
          <w:noProof/>
          <w:lang w:eastAsia="zh-CN"/>
        </w:rPr>
        <w:t>Notification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948"/>
        <w:gridCol w:w="1152"/>
        <w:gridCol w:w="1134"/>
        <w:gridCol w:w="4111"/>
        <w:gridCol w:w="1257"/>
      </w:tblGrid>
      <w:tr w:rsidR="00CB0DD7" w:rsidRPr="000A0A5F" w:rsidTr="00FF0AF8">
        <w:trPr>
          <w:jc w:val="center"/>
        </w:trPr>
        <w:tc>
          <w:tcPr>
            <w:tcW w:w="1948" w:type="dxa"/>
            <w:shd w:val="clear" w:color="auto" w:fill="C0C0C0"/>
          </w:tcPr>
          <w:p w:rsidR="00CB0DD7" w:rsidRPr="000A0A5F" w:rsidRDefault="00CB0DD7">
            <w:pPr>
              <w:pStyle w:val="TAH"/>
            </w:pPr>
            <w:r w:rsidRPr="000A0A5F">
              <w:t>Attribute name</w:t>
            </w:r>
          </w:p>
        </w:tc>
        <w:tc>
          <w:tcPr>
            <w:tcW w:w="1152" w:type="dxa"/>
            <w:shd w:val="clear" w:color="auto" w:fill="C0C0C0"/>
          </w:tcPr>
          <w:p w:rsidR="00CB0DD7" w:rsidRPr="000A0A5F" w:rsidRDefault="00CB0DD7">
            <w:pPr>
              <w:pStyle w:val="TAH"/>
            </w:pPr>
            <w:r w:rsidRPr="000A0A5F">
              <w:t>Data type</w:t>
            </w:r>
          </w:p>
        </w:tc>
        <w:tc>
          <w:tcPr>
            <w:tcW w:w="1134" w:type="dxa"/>
            <w:shd w:val="clear" w:color="auto" w:fill="C0C0C0"/>
          </w:tcPr>
          <w:p w:rsidR="00CB0DD7" w:rsidRPr="000A0A5F" w:rsidRDefault="00CB0DD7">
            <w:pPr>
              <w:pStyle w:val="TAH"/>
              <w:jc w:val="left"/>
            </w:pPr>
            <w:r w:rsidRPr="000A0A5F">
              <w:t>Cardinality</w:t>
            </w:r>
          </w:p>
        </w:tc>
        <w:tc>
          <w:tcPr>
            <w:tcW w:w="4111" w:type="dxa"/>
            <w:shd w:val="clear" w:color="auto" w:fill="C0C0C0"/>
          </w:tcPr>
          <w:p w:rsidR="00CB0DD7" w:rsidRPr="000A0A5F" w:rsidRDefault="00CB0DD7">
            <w:pPr>
              <w:pStyle w:val="TAH"/>
              <w:rPr>
                <w:rFonts w:cs="Arial"/>
                <w:szCs w:val="18"/>
              </w:rPr>
            </w:pPr>
            <w:r w:rsidRPr="000A0A5F">
              <w:rPr>
                <w:rFonts w:cs="Arial"/>
                <w:szCs w:val="18"/>
              </w:rPr>
              <w:t>Description</w:t>
            </w:r>
          </w:p>
        </w:tc>
        <w:tc>
          <w:tcPr>
            <w:tcW w:w="1257" w:type="dxa"/>
            <w:shd w:val="clear" w:color="auto" w:fill="C0C0C0"/>
          </w:tcPr>
          <w:p w:rsidR="00CB0DD7" w:rsidRPr="000A0A5F" w:rsidRDefault="00CB0DD7">
            <w:pPr>
              <w:pStyle w:val="TAH"/>
              <w:rPr>
                <w:rFonts w:cs="Arial"/>
                <w:szCs w:val="18"/>
              </w:rPr>
            </w:pPr>
            <w:r w:rsidRPr="000A0A5F">
              <w:rPr>
                <w:rFonts w:cs="Arial"/>
                <w:szCs w:val="18"/>
              </w:rPr>
              <w:t>Applicability</w:t>
            </w:r>
          </w:p>
        </w:tc>
      </w:tr>
      <w:tr w:rsidR="00CB0DD7" w:rsidRPr="000A0A5F" w:rsidTr="00FF0AF8">
        <w:trPr>
          <w:jc w:val="center"/>
        </w:trPr>
        <w:tc>
          <w:tcPr>
            <w:tcW w:w="1948" w:type="dxa"/>
            <w:shd w:val="clear" w:color="auto" w:fill="auto"/>
          </w:tcPr>
          <w:p w:rsidR="00CB0DD7" w:rsidRPr="000A0A5F" w:rsidRDefault="00CB0DD7">
            <w:pPr>
              <w:pStyle w:val="TAH"/>
              <w:jc w:val="left"/>
              <w:rPr>
                <w:b w:val="0"/>
              </w:rPr>
            </w:pPr>
            <w:r w:rsidRPr="000A0A5F">
              <w:rPr>
                <w:b w:val="0"/>
              </w:rPr>
              <w:t>niddConfiguration</w:t>
            </w:r>
          </w:p>
        </w:tc>
        <w:tc>
          <w:tcPr>
            <w:tcW w:w="1152" w:type="dxa"/>
            <w:shd w:val="clear" w:color="auto" w:fill="auto"/>
          </w:tcPr>
          <w:p w:rsidR="00CB0DD7" w:rsidRPr="000A0A5F" w:rsidRDefault="00CB0DD7">
            <w:pPr>
              <w:pStyle w:val="TAH"/>
              <w:jc w:val="left"/>
              <w:rPr>
                <w:b w:val="0"/>
              </w:rPr>
            </w:pPr>
            <w:r w:rsidRPr="000A0A5F">
              <w:rPr>
                <w:b w:val="0"/>
              </w:rPr>
              <w:t>Link</w:t>
            </w:r>
          </w:p>
        </w:tc>
        <w:tc>
          <w:tcPr>
            <w:tcW w:w="1134" w:type="dxa"/>
            <w:shd w:val="clear" w:color="auto" w:fill="auto"/>
          </w:tcPr>
          <w:p w:rsidR="00CB0DD7" w:rsidRPr="000A0A5F" w:rsidRDefault="00CB0DD7">
            <w:pPr>
              <w:pStyle w:val="TAH"/>
              <w:jc w:val="left"/>
              <w:rPr>
                <w:b w:val="0"/>
              </w:rPr>
            </w:pPr>
            <w:r w:rsidRPr="000A0A5F">
              <w:rPr>
                <w:b w:val="0"/>
              </w:rPr>
              <w:t>1</w:t>
            </w:r>
          </w:p>
        </w:tc>
        <w:tc>
          <w:tcPr>
            <w:tcW w:w="4111" w:type="dxa"/>
            <w:shd w:val="clear" w:color="auto" w:fill="auto"/>
          </w:tcPr>
          <w:p w:rsidR="00CB0DD7" w:rsidRPr="000A0A5F" w:rsidRDefault="00CB0DD7">
            <w:pPr>
              <w:pStyle w:val="TAH"/>
              <w:jc w:val="left"/>
              <w:rPr>
                <w:rFonts w:cs="Arial"/>
                <w:b w:val="0"/>
                <w:szCs w:val="18"/>
              </w:rPr>
            </w:pPr>
            <w:r w:rsidRPr="000A0A5F">
              <w:rPr>
                <w:rFonts w:cs="Arial"/>
                <w:b w:val="0"/>
                <w:szCs w:val="18"/>
              </w:rPr>
              <w:t>Link to the NIDD configuration resource to which this notification is related.</w:t>
            </w:r>
          </w:p>
        </w:tc>
        <w:tc>
          <w:tcPr>
            <w:tcW w:w="1257" w:type="dxa"/>
            <w:shd w:val="clear" w:color="auto" w:fill="auto"/>
          </w:tcPr>
          <w:p w:rsidR="00CB0DD7" w:rsidRPr="000A0A5F" w:rsidRDefault="00CB0DD7">
            <w:pPr>
              <w:pStyle w:val="TAH"/>
              <w:jc w:val="left"/>
              <w:rPr>
                <w:rFonts w:cs="Arial"/>
                <w:b w:val="0"/>
                <w:szCs w:val="18"/>
              </w:rPr>
            </w:pPr>
          </w:p>
        </w:tc>
      </w:tr>
      <w:tr w:rsidR="00CB0DD7" w:rsidRPr="000A0A5F" w:rsidTr="00FF0AF8">
        <w:trPr>
          <w:jc w:val="center"/>
        </w:trPr>
        <w:tc>
          <w:tcPr>
            <w:tcW w:w="1948" w:type="dxa"/>
            <w:shd w:val="clear" w:color="auto" w:fill="auto"/>
          </w:tcPr>
          <w:p w:rsidR="00CB0DD7" w:rsidRPr="000A0A5F" w:rsidRDefault="00CB0DD7">
            <w:pPr>
              <w:pStyle w:val="TAL"/>
              <w:rPr>
                <w:lang w:eastAsia="zh-CN"/>
              </w:rPr>
            </w:pPr>
            <w:r w:rsidRPr="000A0A5F">
              <w:rPr>
                <w:lang w:eastAsia="zh-CN"/>
              </w:rPr>
              <w:t>e</w:t>
            </w:r>
            <w:r w:rsidRPr="000A0A5F">
              <w:rPr>
                <w:rFonts w:hint="eastAsia"/>
                <w:lang w:eastAsia="zh-CN"/>
              </w:rPr>
              <w:t>xternal</w:t>
            </w:r>
            <w:r w:rsidRPr="000A0A5F">
              <w:rPr>
                <w:lang w:eastAsia="zh-CN"/>
              </w:rPr>
              <w:t>Id</w:t>
            </w:r>
          </w:p>
        </w:tc>
        <w:tc>
          <w:tcPr>
            <w:tcW w:w="1152" w:type="dxa"/>
            <w:shd w:val="clear" w:color="auto" w:fill="auto"/>
          </w:tcPr>
          <w:p w:rsidR="00CB0DD7" w:rsidRPr="000A0A5F" w:rsidRDefault="00CB0DD7">
            <w:pPr>
              <w:pStyle w:val="TAL"/>
            </w:pPr>
            <w:r w:rsidRPr="000A0A5F">
              <w:rPr>
                <w:lang w:eastAsia="zh-CN"/>
              </w:rPr>
              <w:t>ExternalId</w:t>
            </w:r>
          </w:p>
        </w:tc>
        <w:tc>
          <w:tcPr>
            <w:tcW w:w="1134" w:type="dxa"/>
            <w:shd w:val="clear" w:color="auto" w:fill="auto"/>
          </w:tcPr>
          <w:p w:rsidR="00CB0DD7" w:rsidRPr="000A0A5F" w:rsidRDefault="00CB0DD7">
            <w:pPr>
              <w:pStyle w:val="TAL"/>
            </w:pPr>
            <w:r w:rsidRPr="000A0A5F">
              <w:t>0..1</w:t>
            </w:r>
          </w:p>
        </w:tc>
        <w:tc>
          <w:tcPr>
            <w:tcW w:w="4111" w:type="dxa"/>
            <w:shd w:val="clear" w:color="auto" w:fill="auto"/>
          </w:tcPr>
          <w:p w:rsidR="00CB0DD7" w:rsidRPr="000A0A5F" w:rsidRDefault="00CB0DD7">
            <w:pPr>
              <w:pStyle w:val="TAL"/>
              <w:spacing w:afterLines="50" w:after="120"/>
              <w:rPr>
                <w:rFonts w:cs="Arial"/>
                <w:szCs w:val="18"/>
              </w:rPr>
            </w:pPr>
            <w:r w:rsidRPr="000A0A5F">
              <w:rPr>
                <w:rFonts w:cs="Arial"/>
                <w:szCs w:val="18"/>
              </w:rPr>
              <w:t xml:space="preserve">Each element uniquely identifies a user as defined in </w:t>
            </w:r>
            <w:r w:rsidR="00400CBC" w:rsidRPr="000A0A5F">
              <w:rPr>
                <w:rFonts w:cs="Arial"/>
                <w:szCs w:val="18"/>
              </w:rPr>
              <w:t>Clause </w:t>
            </w:r>
            <w:r w:rsidRPr="000A0A5F">
              <w:rPr>
                <w:rFonts w:cs="Arial"/>
                <w:szCs w:val="18"/>
              </w:rPr>
              <w:t>4.6.2 of 3GPP TS 23.682 [2].</w:t>
            </w:r>
          </w:p>
          <w:p w:rsidR="00CB0DD7" w:rsidRPr="000A0A5F" w:rsidRDefault="00CB0DD7">
            <w:pPr>
              <w:pStyle w:val="TAL"/>
              <w:rPr>
                <w:rFonts w:cs="Arial"/>
                <w:szCs w:val="18"/>
              </w:rPr>
            </w:pPr>
            <w:r w:rsidRPr="000A0A5F">
              <w:rPr>
                <w:rFonts w:cs="Arial" w:hint="eastAsia"/>
                <w:szCs w:val="18"/>
                <w:lang w:eastAsia="zh-CN"/>
              </w:rPr>
              <w:t>(</w:t>
            </w:r>
            <w:r w:rsidRPr="000A0A5F">
              <w:rPr>
                <w:rFonts w:cs="Arial"/>
                <w:szCs w:val="18"/>
                <w:lang w:eastAsia="zh-CN"/>
              </w:rPr>
              <w:t>NOTE</w:t>
            </w:r>
            <w:r w:rsidRPr="000A0A5F">
              <w:rPr>
                <w:rFonts w:cs="Arial" w:hint="eastAsia"/>
                <w:szCs w:val="18"/>
                <w:lang w:eastAsia="zh-CN"/>
              </w:rPr>
              <w:t>)</w:t>
            </w:r>
          </w:p>
        </w:tc>
        <w:tc>
          <w:tcPr>
            <w:tcW w:w="1257" w:type="dxa"/>
          </w:tcPr>
          <w:p w:rsidR="00CB0DD7" w:rsidRPr="000A0A5F" w:rsidRDefault="00CB0DD7">
            <w:pPr>
              <w:pStyle w:val="TAL"/>
              <w:rPr>
                <w:rFonts w:cs="Arial"/>
                <w:szCs w:val="18"/>
              </w:rPr>
            </w:pPr>
          </w:p>
        </w:tc>
      </w:tr>
      <w:tr w:rsidR="00CB0DD7" w:rsidRPr="000A0A5F" w:rsidTr="00FF0AF8">
        <w:trPr>
          <w:jc w:val="center"/>
        </w:trPr>
        <w:tc>
          <w:tcPr>
            <w:tcW w:w="1948" w:type="dxa"/>
            <w:shd w:val="clear" w:color="auto" w:fill="auto"/>
          </w:tcPr>
          <w:p w:rsidR="00CB0DD7" w:rsidRPr="000A0A5F" w:rsidRDefault="00CB0DD7">
            <w:pPr>
              <w:pStyle w:val="TAL"/>
            </w:pPr>
            <w:r w:rsidRPr="000A0A5F">
              <w:rPr>
                <w:lang w:eastAsia="zh-CN"/>
              </w:rPr>
              <w:t>msisdn</w:t>
            </w:r>
          </w:p>
        </w:tc>
        <w:tc>
          <w:tcPr>
            <w:tcW w:w="1152" w:type="dxa"/>
            <w:shd w:val="clear" w:color="auto" w:fill="auto"/>
          </w:tcPr>
          <w:p w:rsidR="00CB0DD7" w:rsidRPr="000A0A5F" w:rsidRDefault="00CB0DD7">
            <w:pPr>
              <w:pStyle w:val="TAL"/>
            </w:pPr>
            <w:r w:rsidRPr="000A0A5F">
              <w:rPr>
                <w:lang w:eastAsia="zh-CN"/>
              </w:rPr>
              <w:t>Msisdn</w:t>
            </w:r>
          </w:p>
        </w:tc>
        <w:tc>
          <w:tcPr>
            <w:tcW w:w="1134" w:type="dxa"/>
            <w:shd w:val="clear" w:color="auto" w:fill="auto"/>
          </w:tcPr>
          <w:p w:rsidR="00CB0DD7" w:rsidRPr="000A0A5F" w:rsidRDefault="00CB0DD7">
            <w:pPr>
              <w:pStyle w:val="TAL"/>
            </w:pPr>
            <w:r w:rsidRPr="000A0A5F">
              <w:t>0..1</w:t>
            </w:r>
          </w:p>
        </w:tc>
        <w:tc>
          <w:tcPr>
            <w:tcW w:w="4111" w:type="dxa"/>
            <w:shd w:val="clear" w:color="auto" w:fill="auto"/>
          </w:tcPr>
          <w:p w:rsidR="00CB0DD7" w:rsidRPr="000A0A5F" w:rsidRDefault="00CB0DD7">
            <w:pPr>
              <w:pStyle w:val="TAL"/>
              <w:spacing w:afterLines="50" w:after="120"/>
              <w:rPr>
                <w:rFonts w:cs="Arial"/>
                <w:szCs w:val="18"/>
                <w:lang w:eastAsia="zh-CN"/>
              </w:rPr>
            </w:pPr>
            <w:r w:rsidRPr="000A0A5F">
              <w:rPr>
                <w:rFonts w:cs="Arial"/>
                <w:szCs w:val="18"/>
              </w:rPr>
              <w:t>Each element</w:t>
            </w:r>
            <w:r w:rsidRPr="000A0A5F">
              <w:rPr>
                <w:rFonts w:cs="Arial"/>
                <w:szCs w:val="18"/>
                <w:lang w:eastAsia="zh-CN"/>
              </w:rPr>
              <w:t xml:space="preserve"> identifies the MS internal PSTN/ISDN number allocated for a UE.</w:t>
            </w:r>
          </w:p>
          <w:p w:rsidR="00CB0DD7" w:rsidRPr="000A0A5F" w:rsidRDefault="00CB0DD7">
            <w:pPr>
              <w:pStyle w:val="TAL"/>
              <w:rPr>
                <w:rFonts w:cs="Arial"/>
                <w:szCs w:val="18"/>
              </w:rPr>
            </w:pPr>
            <w:r w:rsidRPr="000A0A5F">
              <w:rPr>
                <w:rFonts w:cs="Arial" w:hint="eastAsia"/>
                <w:szCs w:val="18"/>
                <w:lang w:eastAsia="zh-CN"/>
              </w:rPr>
              <w:t>(</w:t>
            </w:r>
            <w:r w:rsidRPr="000A0A5F">
              <w:rPr>
                <w:rFonts w:cs="Arial"/>
                <w:szCs w:val="18"/>
                <w:lang w:eastAsia="zh-CN"/>
              </w:rPr>
              <w:t>NOTE</w:t>
            </w:r>
            <w:r w:rsidRPr="000A0A5F">
              <w:rPr>
                <w:rFonts w:cs="Arial" w:hint="eastAsia"/>
                <w:szCs w:val="18"/>
                <w:lang w:eastAsia="zh-CN"/>
              </w:rPr>
              <w:t>)</w:t>
            </w:r>
          </w:p>
        </w:tc>
        <w:tc>
          <w:tcPr>
            <w:tcW w:w="1257" w:type="dxa"/>
          </w:tcPr>
          <w:p w:rsidR="00CB0DD7" w:rsidRPr="000A0A5F" w:rsidRDefault="00CB0DD7">
            <w:pPr>
              <w:pStyle w:val="TAL"/>
              <w:rPr>
                <w:rFonts w:cs="Arial"/>
                <w:szCs w:val="18"/>
              </w:rPr>
            </w:pPr>
          </w:p>
        </w:tc>
      </w:tr>
      <w:tr w:rsidR="00CB0DD7" w:rsidRPr="000A0A5F" w:rsidTr="00FF0AF8">
        <w:trPr>
          <w:jc w:val="center"/>
        </w:trPr>
        <w:tc>
          <w:tcPr>
            <w:tcW w:w="1948" w:type="dxa"/>
            <w:shd w:val="clear" w:color="auto" w:fill="auto"/>
          </w:tcPr>
          <w:p w:rsidR="00CB0DD7" w:rsidRPr="000A0A5F" w:rsidRDefault="00CB0DD7">
            <w:pPr>
              <w:pStyle w:val="TAL"/>
              <w:rPr>
                <w:lang w:eastAsia="zh-CN"/>
              </w:rPr>
            </w:pPr>
            <w:r w:rsidRPr="000A0A5F">
              <w:rPr>
                <w:lang w:eastAsia="zh-CN"/>
              </w:rPr>
              <w:t>managedPorts</w:t>
            </w:r>
          </w:p>
        </w:tc>
        <w:tc>
          <w:tcPr>
            <w:tcW w:w="1152" w:type="dxa"/>
            <w:shd w:val="clear" w:color="auto" w:fill="auto"/>
          </w:tcPr>
          <w:p w:rsidR="00CB0DD7" w:rsidRPr="000A0A5F" w:rsidRDefault="00CB0DD7">
            <w:pPr>
              <w:pStyle w:val="TAL"/>
              <w:rPr>
                <w:lang w:eastAsia="zh-CN"/>
              </w:rPr>
            </w:pPr>
            <w:r w:rsidRPr="000A0A5F">
              <w:rPr>
                <w:lang w:eastAsia="zh-CN"/>
              </w:rPr>
              <w:t>array(ManagePort)</w:t>
            </w:r>
          </w:p>
        </w:tc>
        <w:tc>
          <w:tcPr>
            <w:tcW w:w="1134" w:type="dxa"/>
            <w:shd w:val="clear" w:color="auto" w:fill="auto"/>
          </w:tcPr>
          <w:p w:rsidR="00CB0DD7" w:rsidRPr="000A0A5F" w:rsidRDefault="00CB0DD7">
            <w:pPr>
              <w:pStyle w:val="TAL"/>
            </w:pPr>
            <w:r w:rsidRPr="000A0A5F">
              <w:t>0..N</w:t>
            </w:r>
          </w:p>
        </w:tc>
        <w:tc>
          <w:tcPr>
            <w:tcW w:w="4111" w:type="dxa"/>
            <w:shd w:val="clear" w:color="auto" w:fill="auto"/>
          </w:tcPr>
          <w:p w:rsidR="00CB0DD7" w:rsidRPr="000A0A5F" w:rsidRDefault="00CB0DD7">
            <w:pPr>
              <w:pStyle w:val="TAL"/>
              <w:spacing w:afterLines="50" w:after="120"/>
              <w:rPr>
                <w:rFonts w:cs="Arial"/>
                <w:szCs w:val="18"/>
              </w:rPr>
            </w:pPr>
            <w:r w:rsidRPr="000A0A5F">
              <w:rPr>
                <w:rFonts w:cs="Arial"/>
                <w:szCs w:val="18"/>
              </w:rPr>
              <w:t>Indicates the reserved RDS port configuration information.</w:t>
            </w:r>
          </w:p>
        </w:tc>
        <w:tc>
          <w:tcPr>
            <w:tcW w:w="1257" w:type="dxa"/>
          </w:tcPr>
          <w:p w:rsidR="00CB0DD7" w:rsidRPr="000A0A5F" w:rsidRDefault="00CB0DD7">
            <w:pPr>
              <w:pStyle w:val="TAL"/>
              <w:rPr>
                <w:rFonts w:cs="Arial"/>
                <w:szCs w:val="18"/>
              </w:rPr>
            </w:pPr>
          </w:p>
        </w:tc>
      </w:tr>
      <w:tr w:rsidR="00CB0DD7" w:rsidRPr="000A0A5F" w:rsidTr="00FF0AF8">
        <w:trPr>
          <w:jc w:val="center"/>
        </w:trPr>
        <w:tc>
          <w:tcPr>
            <w:tcW w:w="9602" w:type="dxa"/>
            <w:gridSpan w:val="5"/>
            <w:shd w:val="clear" w:color="auto" w:fill="auto"/>
          </w:tcPr>
          <w:p w:rsidR="00CB0DD7" w:rsidRPr="000A0A5F" w:rsidRDefault="00CB0DD7">
            <w:pPr>
              <w:pStyle w:val="TAN"/>
            </w:pPr>
            <w:r w:rsidRPr="000A0A5F">
              <w:rPr>
                <w:noProof/>
                <w:lang w:eastAsia="zh-CN"/>
              </w:rPr>
              <w:t>NOTE:</w:t>
            </w:r>
            <w:r w:rsidRPr="000A0A5F">
              <w:rPr>
                <w:noProof/>
                <w:lang w:eastAsia="zh-CN"/>
              </w:rPr>
              <w:tab/>
              <w:t>One of the properties</w:t>
            </w:r>
            <w:r w:rsidRPr="000A0A5F">
              <w:rPr>
                <w:rFonts w:hint="eastAsia"/>
                <w:noProof/>
                <w:lang w:eastAsia="zh-CN"/>
              </w:rPr>
              <w:t xml:space="preserve"> </w:t>
            </w:r>
            <w:r w:rsidRPr="000A0A5F">
              <w:rPr>
                <w:noProof/>
                <w:lang w:eastAsia="zh-CN"/>
              </w:rPr>
              <w:t>"externalId" or "msisdn" shall be included.</w:t>
            </w:r>
          </w:p>
        </w:tc>
      </w:tr>
    </w:tbl>
    <w:p w:rsidR="00CB0DD7" w:rsidRPr="000A0A5F" w:rsidRDefault="00CB0DD7"/>
    <w:p w:rsidR="00136C72" w:rsidRPr="000A0A5F" w:rsidRDefault="00136C72" w:rsidP="00136C72">
      <w:pPr>
        <w:pStyle w:val="Heading5"/>
      </w:pPr>
      <w:bookmarkStart w:id="3648" w:name="_Toc11247447"/>
      <w:bookmarkStart w:id="3649" w:name="_Toc27044571"/>
      <w:bookmarkStart w:id="3650" w:name="_Toc36033613"/>
      <w:bookmarkStart w:id="3651" w:name="_Toc45131748"/>
      <w:bookmarkStart w:id="3652" w:name="_Toc49776033"/>
      <w:bookmarkStart w:id="3653" w:name="_Toc51746953"/>
      <w:bookmarkStart w:id="3654" w:name="_Toc66360507"/>
      <w:bookmarkStart w:id="3655" w:name="_Toc68105012"/>
      <w:bookmarkStart w:id="3656" w:name="_Toc74755642"/>
      <w:bookmarkStart w:id="3657" w:name="_Toc105674515"/>
      <w:bookmarkStart w:id="3658" w:name="_Toc130502563"/>
      <w:bookmarkStart w:id="3659" w:name="_Toc153625350"/>
      <w:r w:rsidRPr="000A0A5F">
        <w:t>5.6.2.1.11</w:t>
      </w:r>
      <w:r w:rsidRPr="000A0A5F">
        <w:tab/>
        <w:t>Type: NiddDownlinkDataTransferPatch</w:t>
      </w:r>
      <w:bookmarkEnd w:id="3657"/>
      <w:bookmarkEnd w:id="3658"/>
      <w:bookmarkEnd w:id="3659"/>
    </w:p>
    <w:p w:rsidR="00136C72" w:rsidRPr="000A0A5F" w:rsidRDefault="00136C72" w:rsidP="00136C72">
      <w:r w:rsidRPr="000A0A5F">
        <w:t>This data type represents the parameters to request the modification of an Individual NIDD Downlink Data Delivery resource.</w:t>
      </w:r>
    </w:p>
    <w:p w:rsidR="00136C72" w:rsidRPr="000A0A5F" w:rsidRDefault="00136C72" w:rsidP="00136C72">
      <w:pPr>
        <w:pStyle w:val="TH"/>
      </w:pPr>
      <w:r w:rsidRPr="000A0A5F">
        <w:rPr>
          <w:noProof/>
        </w:rPr>
        <w:t>Table </w:t>
      </w:r>
      <w:r w:rsidRPr="000A0A5F">
        <w:t xml:space="preserve">5.6.2.1.11-1: </w:t>
      </w:r>
      <w:r w:rsidRPr="000A0A5F">
        <w:rPr>
          <w:noProof/>
        </w:rPr>
        <w:t xml:space="preserve">Definition of type </w:t>
      </w:r>
      <w:r w:rsidRPr="000A0A5F">
        <w:t>NiddDownlinkDataTransferPatch</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948"/>
        <w:gridCol w:w="1577"/>
        <w:gridCol w:w="1134"/>
        <w:gridCol w:w="3686"/>
        <w:gridCol w:w="1257"/>
      </w:tblGrid>
      <w:tr w:rsidR="00136C72" w:rsidRPr="000A0A5F" w:rsidTr="00FF0AF8">
        <w:trPr>
          <w:jc w:val="center"/>
        </w:trPr>
        <w:tc>
          <w:tcPr>
            <w:tcW w:w="1948" w:type="dxa"/>
            <w:shd w:val="clear" w:color="auto" w:fill="C0C0C0"/>
          </w:tcPr>
          <w:p w:rsidR="00136C72" w:rsidRPr="000A0A5F" w:rsidRDefault="00136C72" w:rsidP="00B97EBD">
            <w:pPr>
              <w:pStyle w:val="TAH"/>
            </w:pPr>
            <w:r w:rsidRPr="000A0A5F">
              <w:t>Attribute name</w:t>
            </w:r>
          </w:p>
        </w:tc>
        <w:tc>
          <w:tcPr>
            <w:tcW w:w="1577" w:type="dxa"/>
            <w:shd w:val="clear" w:color="auto" w:fill="C0C0C0"/>
          </w:tcPr>
          <w:p w:rsidR="00136C72" w:rsidRPr="000A0A5F" w:rsidRDefault="00136C72" w:rsidP="00B97EBD">
            <w:pPr>
              <w:pStyle w:val="TAH"/>
            </w:pPr>
            <w:r w:rsidRPr="000A0A5F">
              <w:t>Data type</w:t>
            </w:r>
          </w:p>
        </w:tc>
        <w:tc>
          <w:tcPr>
            <w:tcW w:w="1134" w:type="dxa"/>
            <w:shd w:val="clear" w:color="auto" w:fill="C0C0C0"/>
          </w:tcPr>
          <w:p w:rsidR="00136C72" w:rsidRPr="000A0A5F" w:rsidRDefault="00136C72" w:rsidP="00B97EBD">
            <w:pPr>
              <w:pStyle w:val="TAH"/>
              <w:jc w:val="left"/>
            </w:pPr>
            <w:r w:rsidRPr="000A0A5F">
              <w:t>Cardinality</w:t>
            </w:r>
          </w:p>
        </w:tc>
        <w:tc>
          <w:tcPr>
            <w:tcW w:w="3686" w:type="dxa"/>
            <w:shd w:val="clear" w:color="auto" w:fill="C0C0C0"/>
          </w:tcPr>
          <w:p w:rsidR="00136C72" w:rsidRPr="000A0A5F" w:rsidRDefault="00136C72" w:rsidP="00B97EBD">
            <w:pPr>
              <w:pStyle w:val="TAH"/>
              <w:rPr>
                <w:rFonts w:cs="Arial"/>
                <w:szCs w:val="18"/>
              </w:rPr>
            </w:pPr>
            <w:r w:rsidRPr="000A0A5F">
              <w:rPr>
                <w:rFonts w:cs="Arial"/>
                <w:szCs w:val="18"/>
              </w:rPr>
              <w:t>Description</w:t>
            </w:r>
          </w:p>
        </w:tc>
        <w:tc>
          <w:tcPr>
            <w:tcW w:w="1257" w:type="dxa"/>
            <w:shd w:val="clear" w:color="auto" w:fill="C0C0C0"/>
          </w:tcPr>
          <w:p w:rsidR="00136C72" w:rsidRPr="000A0A5F" w:rsidRDefault="00136C72" w:rsidP="00B97EBD">
            <w:pPr>
              <w:pStyle w:val="TAH"/>
              <w:rPr>
                <w:rFonts w:cs="Arial"/>
                <w:szCs w:val="18"/>
              </w:rPr>
            </w:pPr>
            <w:r w:rsidRPr="000A0A5F">
              <w:rPr>
                <w:rFonts w:cs="Arial"/>
                <w:szCs w:val="18"/>
              </w:rPr>
              <w:t>Applicability (NOTE 1)</w:t>
            </w:r>
          </w:p>
        </w:tc>
      </w:tr>
      <w:tr w:rsidR="00136C72" w:rsidRPr="000A0A5F" w:rsidTr="00FF0AF8">
        <w:trPr>
          <w:jc w:val="center"/>
        </w:trPr>
        <w:tc>
          <w:tcPr>
            <w:tcW w:w="1948" w:type="dxa"/>
            <w:shd w:val="clear" w:color="auto" w:fill="auto"/>
          </w:tcPr>
          <w:p w:rsidR="00136C72" w:rsidRPr="000A0A5F" w:rsidRDefault="00136C72" w:rsidP="00B97EBD">
            <w:pPr>
              <w:pStyle w:val="TAL"/>
            </w:pPr>
            <w:r w:rsidRPr="000A0A5F">
              <w:t>data</w:t>
            </w:r>
          </w:p>
        </w:tc>
        <w:tc>
          <w:tcPr>
            <w:tcW w:w="1577" w:type="dxa"/>
            <w:shd w:val="clear" w:color="auto" w:fill="auto"/>
          </w:tcPr>
          <w:p w:rsidR="00136C72" w:rsidRPr="000A0A5F" w:rsidRDefault="00136C72" w:rsidP="00B97EBD">
            <w:pPr>
              <w:pStyle w:val="TAL"/>
            </w:pPr>
            <w:r w:rsidRPr="000A0A5F">
              <w:rPr>
                <w:lang w:eastAsia="zh-CN"/>
              </w:rPr>
              <w:t>Bytes</w:t>
            </w:r>
          </w:p>
        </w:tc>
        <w:tc>
          <w:tcPr>
            <w:tcW w:w="1134" w:type="dxa"/>
            <w:shd w:val="clear" w:color="auto" w:fill="auto"/>
          </w:tcPr>
          <w:p w:rsidR="00136C72" w:rsidRPr="000A0A5F" w:rsidRDefault="00136C72" w:rsidP="00B97EBD">
            <w:pPr>
              <w:pStyle w:val="TAL"/>
            </w:pPr>
            <w:r w:rsidRPr="000A0A5F">
              <w:t>1</w:t>
            </w:r>
          </w:p>
        </w:tc>
        <w:tc>
          <w:tcPr>
            <w:tcW w:w="3686" w:type="dxa"/>
            <w:shd w:val="clear" w:color="auto" w:fill="auto"/>
          </w:tcPr>
          <w:p w:rsidR="00136C72" w:rsidRPr="000A0A5F" w:rsidRDefault="00136C72" w:rsidP="00B97EBD">
            <w:pPr>
              <w:pStyle w:val="TAL"/>
              <w:rPr>
                <w:rFonts w:cs="Arial"/>
                <w:szCs w:val="18"/>
                <w:lang w:val="en-US" w:eastAsia="zh-CN"/>
              </w:rPr>
            </w:pPr>
            <w:r w:rsidRPr="000A0A5F">
              <w:rPr>
                <w:rFonts w:cs="Arial"/>
                <w:szCs w:val="18"/>
                <w:lang w:val="en-US" w:eastAsia="zh-CN"/>
              </w:rPr>
              <w:t>The updated non-IP data that needs to be delivered to the UE from the SCS/AS.</w:t>
            </w:r>
          </w:p>
        </w:tc>
        <w:tc>
          <w:tcPr>
            <w:tcW w:w="1257" w:type="dxa"/>
          </w:tcPr>
          <w:p w:rsidR="00136C72" w:rsidRPr="000A0A5F" w:rsidRDefault="00136C72" w:rsidP="00B97EBD">
            <w:pPr>
              <w:pStyle w:val="TAL"/>
              <w:rPr>
                <w:rFonts w:cs="Arial"/>
                <w:szCs w:val="18"/>
              </w:rPr>
            </w:pPr>
          </w:p>
        </w:tc>
      </w:tr>
      <w:tr w:rsidR="00136C72" w:rsidRPr="000A0A5F" w:rsidTr="00FF0AF8">
        <w:trPr>
          <w:jc w:val="center"/>
        </w:trPr>
        <w:tc>
          <w:tcPr>
            <w:tcW w:w="1948" w:type="dxa"/>
            <w:shd w:val="clear" w:color="auto" w:fill="auto"/>
          </w:tcPr>
          <w:p w:rsidR="00136C72" w:rsidRPr="000A0A5F" w:rsidRDefault="00136C72" w:rsidP="00B97EBD">
            <w:pPr>
              <w:pStyle w:val="TAL"/>
              <w:rPr>
                <w:lang w:eastAsia="zh-CN"/>
              </w:rPr>
            </w:pPr>
            <w:r w:rsidRPr="000A0A5F">
              <w:t>reliableDataService</w:t>
            </w:r>
          </w:p>
        </w:tc>
        <w:tc>
          <w:tcPr>
            <w:tcW w:w="1577" w:type="dxa"/>
            <w:shd w:val="clear" w:color="auto" w:fill="auto"/>
          </w:tcPr>
          <w:p w:rsidR="00136C72" w:rsidRPr="000A0A5F" w:rsidRDefault="00136C72" w:rsidP="00B97EBD">
            <w:pPr>
              <w:pStyle w:val="TAL"/>
            </w:pPr>
            <w:r w:rsidRPr="000A0A5F">
              <w:t>boolean</w:t>
            </w:r>
          </w:p>
        </w:tc>
        <w:tc>
          <w:tcPr>
            <w:tcW w:w="1134" w:type="dxa"/>
            <w:shd w:val="clear" w:color="auto" w:fill="auto"/>
          </w:tcPr>
          <w:p w:rsidR="00136C72" w:rsidRPr="000A0A5F" w:rsidRDefault="00136C72" w:rsidP="00B97EBD">
            <w:pPr>
              <w:pStyle w:val="TAL"/>
              <w:rPr>
                <w:lang w:eastAsia="zh-CN"/>
              </w:rPr>
            </w:pPr>
            <w:r w:rsidRPr="000A0A5F">
              <w:rPr>
                <w:rFonts w:hint="eastAsia"/>
                <w:lang w:eastAsia="zh-CN"/>
              </w:rPr>
              <w:t>0..1</w:t>
            </w:r>
          </w:p>
        </w:tc>
        <w:tc>
          <w:tcPr>
            <w:tcW w:w="3686" w:type="dxa"/>
            <w:shd w:val="clear" w:color="auto" w:fill="auto"/>
          </w:tcPr>
          <w:p w:rsidR="006A5554" w:rsidRPr="000A0A5F" w:rsidRDefault="006A5554" w:rsidP="006A5554">
            <w:pPr>
              <w:pStyle w:val="TAL"/>
              <w:rPr>
                <w:lang w:eastAsia="zh-CN"/>
              </w:rPr>
            </w:pPr>
            <w:r w:rsidRPr="000A0A5F">
              <w:rPr>
                <w:rFonts w:cs="Arial"/>
                <w:szCs w:val="18"/>
                <w:lang w:eastAsia="zh-CN"/>
              </w:rPr>
              <w:t>Indicates whether t</w:t>
            </w:r>
            <w:r w:rsidR="00136C72" w:rsidRPr="000A0A5F">
              <w:rPr>
                <w:rFonts w:cs="Arial"/>
                <w:szCs w:val="18"/>
                <w:lang w:eastAsia="zh-CN"/>
              </w:rPr>
              <w:t>he reliable data service (as defined in clause</w:t>
            </w:r>
            <w:r w:rsidR="00136C72" w:rsidRPr="000A0A5F">
              <w:rPr>
                <w:rFonts w:cs="Arial"/>
                <w:szCs w:val="18"/>
                <w:lang w:val="en-US" w:eastAsia="zh-CN"/>
              </w:rPr>
              <w:t> </w:t>
            </w:r>
            <w:r w:rsidR="00136C72" w:rsidRPr="000A0A5F">
              <w:rPr>
                <w:rFonts w:cs="Arial"/>
                <w:szCs w:val="18"/>
                <w:lang w:eastAsia="zh-CN"/>
              </w:rPr>
              <w:t>4.5.1</w:t>
            </w:r>
            <w:r w:rsidRPr="000A0A5F">
              <w:rPr>
                <w:rFonts w:cs="Arial"/>
                <w:szCs w:val="18"/>
                <w:lang w:eastAsia="zh-CN"/>
              </w:rPr>
              <w:t>4</w:t>
            </w:r>
            <w:r w:rsidR="00136C72" w:rsidRPr="000A0A5F">
              <w:rPr>
                <w:rFonts w:cs="Arial"/>
                <w:szCs w:val="18"/>
                <w:lang w:eastAsia="zh-CN"/>
              </w:rPr>
              <w:t>.3 of 3GPP TS 23.682 [</w:t>
            </w:r>
            <w:r w:rsidR="00136C72" w:rsidRPr="000A0A5F">
              <w:rPr>
                <w:rFonts w:cs="Arial"/>
                <w:szCs w:val="18"/>
                <w:lang w:val="en-US" w:eastAsia="zh-CN"/>
              </w:rPr>
              <w:t>2</w:t>
            </w:r>
            <w:r w:rsidR="00136C72" w:rsidRPr="000A0A5F">
              <w:rPr>
                <w:rFonts w:cs="Arial"/>
                <w:szCs w:val="18"/>
                <w:lang w:eastAsia="zh-CN"/>
              </w:rPr>
              <w:t xml:space="preserve">]) </w:t>
            </w:r>
            <w:r w:rsidRPr="000A0A5F">
              <w:rPr>
                <w:lang w:eastAsia="zh-CN"/>
              </w:rPr>
              <w:t>acknowledg</w:t>
            </w:r>
            <w:r w:rsidR="002C31F8" w:rsidRPr="000A0A5F">
              <w:rPr>
                <w:lang w:eastAsia="zh-CN"/>
              </w:rPr>
              <w:t>e</w:t>
            </w:r>
            <w:r w:rsidRPr="000A0A5F">
              <w:rPr>
                <w:lang w:eastAsia="zh-CN"/>
              </w:rPr>
              <w:t>ment is requested.</w:t>
            </w:r>
          </w:p>
          <w:p w:rsidR="006A5554" w:rsidRPr="000A0A5F" w:rsidRDefault="006A5554" w:rsidP="006A5554">
            <w:pPr>
              <w:pStyle w:val="TAL"/>
            </w:pPr>
          </w:p>
          <w:p w:rsidR="006A5554" w:rsidRPr="000A0A5F" w:rsidRDefault="006A5554" w:rsidP="006A5554">
            <w:pPr>
              <w:pStyle w:val="TAL"/>
              <w:rPr>
                <w:lang w:eastAsia="zh-CN"/>
              </w:rPr>
            </w:pPr>
            <w:r w:rsidRPr="000A0A5F">
              <w:rPr>
                <w:lang w:eastAsia="zh-CN"/>
              </w:rPr>
              <w:t>- true: reliable data service acknowledg</w:t>
            </w:r>
            <w:r w:rsidR="002C31F8" w:rsidRPr="000A0A5F">
              <w:rPr>
                <w:lang w:eastAsia="zh-CN"/>
              </w:rPr>
              <w:t>e</w:t>
            </w:r>
            <w:r w:rsidRPr="000A0A5F">
              <w:rPr>
                <w:lang w:eastAsia="zh-CN"/>
              </w:rPr>
              <w:t>ment is requested;</w:t>
            </w:r>
          </w:p>
          <w:p w:rsidR="00136C72" w:rsidRPr="000A0A5F" w:rsidRDefault="006A5554" w:rsidP="006A5554">
            <w:pPr>
              <w:rPr>
                <w:rFonts w:ascii="Arial" w:hAnsi="Arial" w:cs="Arial"/>
                <w:sz w:val="18"/>
                <w:szCs w:val="18"/>
                <w:lang w:eastAsia="zh-CN"/>
              </w:rPr>
            </w:pPr>
            <w:r w:rsidRPr="000A0A5F">
              <w:rPr>
                <w:rFonts w:ascii="Arial" w:hAnsi="Arial" w:cs="Arial"/>
                <w:sz w:val="18"/>
                <w:szCs w:val="18"/>
                <w:lang w:eastAsia="zh-CN"/>
              </w:rPr>
              <w:t>- false: reliable data service acknowledg</w:t>
            </w:r>
            <w:r w:rsidR="002C31F8" w:rsidRPr="000A0A5F">
              <w:rPr>
                <w:rFonts w:ascii="Arial" w:hAnsi="Arial" w:cs="Arial"/>
                <w:sz w:val="18"/>
                <w:szCs w:val="18"/>
                <w:lang w:eastAsia="zh-CN"/>
              </w:rPr>
              <w:t>e</w:t>
            </w:r>
            <w:r w:rsidRPr="000A0A5F">
              <w:rPr>
                <w:rFonts w:ascii="Arial" w:hAnsi="Arial" w:cs="Arial"/>
                <w:sz w:val="18"/>
                <w:szCs w:val="18"/>
                <w:lang w:eastAsia="zh-CN"/>
              </w:rPr>
              <w:t>ment is not requested.</w:t>
            </w:r>
          </w:p>
        </w:tc>
        <w:tc>
          <w:tcPr>
            <w:tcW w:w="1257" w:type="dxa"/>
          </w:tcPr>
          <w:p w:rsidR="00136C72" w:rsidRPr="000A0A5F" w:rsidRDefault="00136C72" w:rsidP="00B97EBD">
            <w:pPr>
              <w:pStyle w:val="TAL"/>
              <w:rPr>
                <w:rFonts w:cs="Arial"/>
                <w:szCs w:val="18"/>
              </w:rPr>
            </w:pPr>
          </w:p>
        </w:tc>
      </w:tr>
      <w:tr w:rsidR="00136C72" w:rsidRPr="000A0A5F" w:rsidTr="00FF0AF8">
        <w:trPr>
          <w:jc w:val="center"/>
        </w:trPr>
        <w:tc>
          <w:tcPr>
            <w:tcW w:w="1948" w:type="dxa"/>
            <w:shd w:val="clear" w:color="auto" w:fill="auto"/>
          </w:tcPr>
          <w:p w:rsidR="00136C72" w:rsidRPr="000A0A5F" w:rsidRDefault="00136C72" w:rsidP="00B97EBD">
            <w:pPr>
              <w:pStyle w:val="TAL"/>
            </w:pPr>
            <w:r w:rsidRPr="000A0A5F">
              <w:rPr>
                <w:rFonts w:cs="Arial"/>
                <w:szCs w:val="18"/>
              </w:rPr>
              <w:t>rdsPort</w:t>
            </w:r>
          </w:p>
        </w:tc>
        <w:tc>
          <w:tcPr>
            <w:tcW w:w="1577" w:type="dxa"/>
            <w:shd w:val="clear" w:color="auto" w:fill="auto"/>
          </w:tcPr>
          <w:p w:rsidR="00136C72" w:rsidRPr="000A0A5F" w:rsidRDefault="00136C72" w:rsidP="00B97EBD">
            <w:pPr>
              <w:pStyle w:val="TAL"/>
            </w:pPr>
            <w:r w:rsidRPr="000A0A5F">
              <w:rPr>
                <w:rFonts w:cs="Arial"/>
                <w:szCs w:val="18"/>
              </w:rPr>
              <w:t>RdsPort</w:t>
            </w:r>
          </w:p>
        </w:tc>
        <w:tc>
          <w:tcPr>
            <w:tcW w:w="1134" w:type="dxa"/>
            <w:shd w:val="clear" w:color="auto" w:fill="auto"/>
          </w:tcPr>
          <w:p w:rsidR="00136C72" w:rsidRPr="000A0A5F" w:rsidRDefault="00136C72" w:rsidP="00B97EBD">
            <w:pPr>
              <w:pStyle w:val="TAL"/>
              <w:rPr>
                <w:lang w:eastAsia="zh-CN"/>
              </w:rPr>
            </w:pPr>
            <w:r w:rsidRPr="000A0A5F">
              <w:rPr>
                <w:rFonts w:cs="Arial"/>
                <w:szCs w:val="18"/>
              </w:rPr>
              <w:t>0..1</w:t>
            </w:r>
          </w:p>
        </w:tc>
        <w:tc>
          <w:tcPr>
            <w:tcW w:w="3686" w:type="dxa"/>
            <w:shd w:val="clear" w:color="auto" w:fill="auto"/>
          </w:tcPr>
          <w:p w:rsidR="00136C72" w:rsidRPr="000A0A5F" w:rsidRDefault="00136C72" w:rsidP="00B97EBD">
            <w:pPr>
              <w:rPr>
                <w:rFonts w:ascii="Arial" w:hAnsi="Arial" w:cs="Arial"/>
                <w:sz w:val="18"/>
                <w:szCs w:val="18"/>
                <w:lang w:eastAsia="zh-CN"/>
              </w:rPr>
            </w:pPr>
            <w:r w:rsidRPr="000A0A5F">
              <w:rPr>
                <w:rFonts w:ascii="Arial" w:hAnsi="Arial" w:cs="Arial"/>
                <w:sz w:val="18"/>
                <w:szCs w:val="18"/>
                <w:lang w:eastAsia="zh-CN"/>
              </w:rPr>
              <w:t>Indicates the port configuration that is used for reliable data transfer between specific applications using RDS (as defined in clause</w:t>
            </w:r>
            <w:r w:rsidRPr="000A0A5F">
              <w:rPr>
                <w:rFonts w:ascii="Arial" w:hAnsi="Arial" w:cs="Arial"/>
                <w:sz w:val="18"/>
                <w:szCs w:val="18"/>
                <w:lang w:val="en-US" w:eastAsia="zh-CN"/>
              </w:rPr>
              <w:t> 5.2</w:t>
            </w:r>
            <w:r w:rsidRPr="000A0A5F">
              <w:rPr>
                <w:rFonts w:ascii="Arial" w:hAnsi="Arial" w:cs="Arial"/>
                <w:sz w:val="18"/>
                <w:szCs w:val="18"/>
                <w:lang w:eastAsia="zh-CN"/>
              </w:rPr>
              <w:t>.4 and 5.2.5 of 3GPP TS 24.250 [31]).</w:t>
            </w:r>
          </w:p>
        </w:tc>
        <w:tc>
          <w:tcPr>
            <w:tcW w:w="1257" w:type="dxa"/>
          </w:tcPr>
          <w:p w:rsidR="00136C72" w:rsidRPr="000A0A5F" w:rsidRDefault="00136C72" w:rsidP="00B97EBD">
            <w:pPr>
              <w:pStyle w:val="TAL"/>
              <w:rPr>
                <w:rFonts w:cs="Arial"/>
                <w:szCs w:val="18"/>
              </w:rPr>
            </w:pPr>
          </w:p>
        </w:tc>
      </w:tr>
      <w:tr w:rsidR="00136C72" w:rsidRPr="000A0A5F" w:rsidTr="00FF0AF8">
        <w:trPr>
          <w:jc w:val="center"/>
        </w:trPr>
        <w:tc>
          <w:tcPr>
            <w:tcW w:w="1948" w:type="dxa"/>
            <w:shd w:val="clear" w:color="auto" w:fill="auto"/>
          </w:tcPr>
          <w:p w:rsidR="00136C72" w:rsidRPr="000A0A5F" w:rsidRDefault="00136C72" w:rsidP="00B97EBD">
            <w:pPr>
              <w:pStyle w:val="TAL"/>
            </w:pPr>
            <w:r w:rsidRPr="000A0A5F">
              <w:t>maximumLatency</w:t>
            </w:r>
          </w:p>
        </w:tc>
        <w:tc>
          <w:tcPr>
            <w:tcW w:w="1577" w:type="dxa"/>
            <w:shd w:val="clear" w:color="auto" w:fill="auto"/>
          </w:tcPr>
          <w:p w:rsidR="00136C72" w:rsidRPr="000A0A5F" w:rsidRDefault="00136C72" w:rsidP="00B97EBD">
            <w:pPr>
              <w:pStyle w:val="TAL"/>
              <w:rPr>
                <w:lang w:eastAsia="zh-CN"/>
              </w:rPr>
            </w:pPr>
            <w:r w:rsidRPr="000A0A5F">
              <w:rPr>
                <w:lang w:eastAsia="zh-CN"/>
              </w:rPr>
              <w:t>DurationSec</w:t>
            </w:r>
          </w:p>
        </w:tc>
        <w:tc>
          <w:tcPr>
            <w:tcW w:w="1134" w:type="dxa"/>
            <w:shd w:val="clear" w:color="auto" w:fill="auto"/>
          </w:tcPr>
          <w:p w:rsidR="00136C72" w:rsidRPr="000A0A5F" w:rsidRDefault="00136C72" w:rsidP="00B97EBD">
            <w:pPr>
              <w:pStyle w:val="TAL"/>
            </w:pPr>
            <w:r w:rsidRPr="000A0A5F">
              <w:t>0..1</w:t>
            </w:r>
          </w:p>
        </w:tc>
        <w:tc>
          <w:tcPr>
            <w:tcW w:w="3686" w:type="dxa"/>
            <w:shd w:val="clear" w:color="auto" w:fill="auto"/>
          </w:tcPr>
          <w:p w:rsidR="00136C72" w:rsidRPr="000A0A5F" w:rsidRDefault="00136C72" w:rsidP="00B97EBD">
            <w:pPr>
              <w:pStyle w:val="TAL"/>
            </w:pPr>
            <w:r w:rsidRPr="000A0A5F">
              <w:t>It is used to indicate the maximum delay acceptable for downlink data delivery. It may be used to configure the buffer duration. A Maximum Latency of 0 indicates that buffering is not allowed.</w:t>
            </w:r>
          </w:p>
          <w:p w:rsidR="00136C72" w:rsidRPr="000A0A5F" w:rsidRDefault="00136C72" w:rsidP="00B97EBD">
            <w:pPr>
              <w:pStyle w:val="TAL"/>
              <w:rPr>
                <w:rFonts w:cs="Arial"/>
                <w:szCs w:val="18"/>
              </w:rPr>
            </w:pPr>
            <w:r w:rsidRPr="000A0A5F">
              <w:t>If not provided, the SCEF determines the acceptable delay based on local polices.</w:t>
            </w:r>
          </w:p>
        </w:tc>
        <w:tc>
          <w:tcPr>
            <w:tcW w:w="1257" w:type="dxa"/>
          </w:tcPr>
          <w:p w:rsidR="00136C72" w:rsidRPr="000A0A5F" w:rsidRDefault="00136C72" w:rsidP="00B97EBD">
            <w:pPr>
              <w:pStyle w:val="TAL"/>
              <w:rPr>
                <w:rFonts w:cs="Arial"/>
                <w:szCs w:val="18"/>
              </w:rPr>
            </w:pPr>
          </w:p>
        </w:tc>
      </w:tr>
      <w:tr w:rsidR="00136C72" w:rsidRPr="000A0A5F" w:rsidTr="00FF0AF8">
        <w:trPr>
          <w:jc w:val="center"/>
        </w:trPr>
        <w:tc>
          <w:tcPr>
            <w:tcW w:w="1948" w:type="dxa"/>
            <w:shd w:val="clear" w:color="auto" w:fill="auto"/>
          </w:tcPr>
          <w:p w:rsidR="00136C72" w:rsidRPr="000A0A5F" w:rsidRDefault="00136C72" w:rsidP="00B97EBD">
            <w:pPr>
              <w:pStyle w:val="TAL"/>
            </w:pPr>
            <w:r w:rsidRPr="000A0A5F">
              <w:t>priority</w:t>
            </w:r>
          </w:p>
        </w:tc>
        <w:tc>
          <w:tcPr>
            <w:tcW w:w="1577" w:type="dxa"/>
            <w:shd w:val="clear" w:color="auto" w:fill="auto"/>
          </w:tcPr>
          <w:p w:rsidR="00136C72" w:rsidRPr="000A0A5F" w:rsidRDefault="00136C72" w:rsidP="00B97EBD">
            <w:pPr>
              <w:pStyle w:val="TAL"/>
              <w:rPr>
                <w:lang w:eastAsia="zh-CN"/>
              </w:rPr>
            </w:pPr>
            <w:r w:rsidRPr="000A0A5F">
              <w:rPr>
                <w:rFonts w:hint="eastAsia"/>
                <w:lang w:eastAsia="zh-CN"/>
              </w:rPr>
              <w:t>integer</w:t>
            </w:r>
          </w:p>
        </w:tc>
        <w:tc>
          <w:tcPr>
            <w:tcW w:w="1134" w:type="dxa"/>
            <w:shd w:val="clear" w:color="auto" w:fill="auto"/>
          </w:tcPr>
          <w:p w:rsidR="00136C72" w:rsidRPr="000A0A5F" w:rsidRDefault="00136C72" w:rsidP="00B97EBD">
            <w:pPr>
              <w:pStyle w:val="TAL"/>
            </w:pPr>
            <w:r w:rsidRPr="000A0A5F">
              <w:t>0..1</w:t>
            </w:r>
          </w:p>
        </w:tc>
        <w:tc>
          <w:tcPr>
            <w:tcW w:w="3686" w:type="dxa"/>
            <w:shd w:val="clear" w:color="auto" w:fill="auto"/>
          </w:tcPr>
          <w:p w:rsidR="00136C72" w:rsidRPr="000A0A5F" w:rsidRDefault="00136C72" w:rsidP="00B97EBD">
            <w:pPr>
              <w:pStyle w:val="TAL"/>
            </w:pPr>
            <w:r w:rsidRPr="000A0A5F">
              <w:t>It is used to indicate the priority of these non-IP data packets relative to other non-IP data packets.</w:t>
            </w:r>
          </w:p>
        </w:tc>
        <w:tc>
          <w:tcPr>
            <w:tcW w:w="1257" w:type="dxa"/>
          </w:tcPr>
          <w:p w:rsidR="00136C72" w:rsidRPr="000A0A5F" w:rsidRDefault="00136C72" w:rsidP="00B97EBD">
            <w:pPr>
              <w:pStyle w:val="TAL"/>
              <w:rPr>
                <w:rFonts w:cs="Arial"/>
                <w:szCs w:val="18"/>
              </w:rPr>
            </w:pPr>
          </w:p>
        </w:tc>
      </w:tr>
      <w:tr w:rsidR="00136C72" w:rsidRPr="000A0A5F" w:rsidTr="00FF0AF8">
        <w:trPr>
          <w:jc w:val="center"/>
        </w:trPr>
        <w:tc>
          <w:tcPr>
            <w:tcW w:w="1948" w:type="dxa"/>
            <w:shd w:val="clear" w:color="auto" w:fill="auto"/>
          </w:tcPr>
          <w:p w:rsidR="00136C72" w:rsidRPr="000A0A5F" w:rsidRDefault="00136C72" w:rsidP="00B97EBD">
            <w:pPr>
              <w:pStyle w:val="TAL"/>
            </w:pPr>
            <w:r w:rsidRPr="000A0A5F">
              <w:t>pdnEstablishmentOption</w:t>
            </w:r>
          </w:p>
        </w:tc>
        <w:tc>
          <w:tcPr>
            <w:tcW w:w="1577" w:type="dxa"/>
            <w:shd w:val="clear" w:color="auto" w:fill="auto"/>
          </w:tcPr>
          <w:p w:rsidR="00136C72" w:rsidRPr="000A0A5F" w:rsidRDefault="00136C72" w:rsidP="00B97EBD">
            <w:pPr>
              <w:pStyle w:val="TAL"/>
            </w:pPr>
            <w:r w:rsidRPr="000A0A5F">
              <w:t>PdnEstablishmentOptions</w:t>
            </w:r>
          </w:p>
        </w:tc>
        <w:tc>
          <w:tcPr>
            <w:tcW w:w="1134" w:type="dxa"/>
            <w:shd w:val="clear" w:color="auto" w:fill="auto"/>
          </w:tcPr>
          <w:p w:rsidR="00136C72" w:rsidRPr="000A0A5F" w:rsidRDefault="00136C72" w:rsidP="00B97EBD">
            <w:pPr>
              <w:pStyle w:val="TAL"/>
            </w:pPr>
            <w:r w:rsidRPr="000A0A5F">
              <w:t>0..1</w:t>
            </w:r>
          </w:p>
        </w:tc>
        <w:tc>
          <w:tcPr>
            <w:tcW w:w="3686" w:type="dxa"/>
            <w:shd w:val="clear" w:color="auto" w:fill="auto"/>
          </w:tcPr>
          <w:p w:rsidR="00136C72" w:rsidRPr="000A0A5F" w:rsidRDefault="00136C72" w:rsidP="00B97EBD">
            <w:pPr>
              <w:pStyle w:val="TAL"/>
              <w:rPr>
                <w:rFonts w:cs="Arial"/>
                <w:szCs w:val="18"/>
              </w:rPr>
            </w:pPr>
            <w:r w:rsidRPr="000A0A5F">
              <w:rPr>
                <w:rFonts w:cs="Arial" w:hint="eastAsia"/>
                <w:szCs w:val="18"/>
                <w:lang w:eastAsia="zh-CN"/>
              </w:rPr>
              <w:t>I</w:t>
            </w:r>
            <w:r w:rsidRPr="000A0A5F">
              <w:rPr>
                <w:rFonts w:cs="Arial"/>
                <w:szCs w:val="18"/>
              </w:rPr>
              <w:t>ndicates what the SCEF should do if the UE has not established the PDN connection and MT non-IP data needs to be sent (wait for the UE to establish the PDN connection, respond with an error cause, or send a device trigger; see step 2 of the MT NIDD Procedure in clause 5.13.3</w:t>
            </w:r>
            <w:r w:rsidRPr="000A0A5F">
              <w:rPr>
                <w:rFonts w:cs="Arial"/>
                <w:szCs w:val="18"/>
                <w:lang w:eastAsia="zh-CN"/>
              </w:rPr>
              <w:t xml:space="preserve"> of 3GPP TS 23.682 [</w:t>
            </w:r>
            <w:r w:rsidRPr="000A0A5F">
              <w:rPr>
                <w:rFonts w:cs="Arial"/>
                <w:szCs w:val="18"/>
                <w:lang w:val="en-US" w:eastAsia="zh-CN"/>
              </w:rPr>
              <w:t>2</w:t>
            </w:r>
            <w:r w:rsidRPr="000A0A5F">
              <w:rPr>
                <w:rFonts w:cs="Arial"/>
                <w:szCs w:val="18"/>
                <w:lang w:eastAsia="zh-CN"/>
              </w:rPr>
              <w:t>]</w:t>
            </w:r>
            <w:r w:rsidRPr="000A0A5F">
              <w:rPr>
                <w:rFonts w:cs="Arial"/>
                <w:szCs w:val="18"/>
              </w:rPr>
              <w:t>)</w:t>
            </w:r>
          </w:p>
          <w:p w:rsidR="00136C72" w:rsidRPr="000A0A5F" w:rsidRDefault="00136C72" w:rsidP="00B97EBD">
            <w:pPr>
              <w:pStyle w:val="TAL"/>
              <w:rPr>
                <w:rFonts w:cs="Arial"/>
                <w:szCs w:val="18"/>
                <w:lang w:eastAsia="zh-CN"/>
              </w:rPr>
            </w:pPr>
          </w:p>
          <w:p w:rsidR="00136C72" w:rsidRPr="000A0A5F" w:rsidRDefault="00136C72" w:rsidP="00B97EBD">
            <w:pPr>
              <w:pStyle w:val="TAL"/>
              <w:rPr>
                <w:rFonts w:cs="Arial"/>
                <w:szCs w:val="18"/>
              </w:rPr>
            </w:pPr>
            <w:r w:rsidRPr="000A0A5F">
              <w:rPr>
                <w:rFonts w:cs="Arial"/>
              </w:rPr>
              <w:t>If PDN Connection Establishment Option is not provided with the non-IP packets, the SCEF uses the PDN Connection Establishment Option that was provided during NIDD Configuration to decide how to handle the absence of a PDN connection.</w:t>
            </w:r>
          </w:p>
        </w:tc>
        <w:tc>
          <w:tcPr>
            <w:tcW w:w="1257" w:type="dxa"/>
          </w:tcPr>
          <w:p w:rsidR="00136C72" w:rsidRPr="000A0A5F" w:rsidRDefault="00136C72" w:rsidP="00B97EBD">
            <w:pPr>
              <w:pStyle w:val="TAL"/>
              <w:rPr>
                <w:rFonts w:cs="Arial"/>
                <w:szCs w:val="18"/>
              </w:rPr>
            </w:pPr>
          </w:p>
        </w:tc>
      </w:tr>
      <w:tr w:rsidR="00136C72" w:rsidRPr="000A0A5F" w:rsidTr="00FF0AF8">
        <w:trPr>
          <w:jc w:val="center"/>
        </w:trPr>
        <w:tc>
          <w:tcPr>
            <w:tcW w:w="9602" w:type="dxa"/>
            <w:gridSpan w:val="5"/>
            <w:shd w:val="clear" w:color="auto" w:fill="auto"/>
          </w:tcPr>
          <w:p w:rsidR="00136C72" w:rsidRPr="000A0A5F" w:rsidRDefault="00136C72" w:rsidP="00B97EBD">
            <w:pPr>
              <w:pStyle w:val="TAN"/>
            </w:pPr>
            <w:r w:rsidRPr="000A0A5F">
              <w:t>NOTE 1:</w:t>
            </w:r>
            <w:r w:rsidRPr="000A0A5F">
              <w:tab/>
              <w:t>Properties marked with a feature as defined in clause 5.6.4 are applicable as described in clause 5.2.7. If no features are indicated, the related property applies for all the features unless stated otherwise.</w:t>
            </w:r>
          </w:p>
        </w:tc>
      </w:tr>
    </w:tbl>
    <w:p w:rsidR="00136C72" w:rsidRPr="000A0A5F" w:rsidRDefault="00136C72" w:rsidP="00136C72"/>
    <w:p w:rsidR="00CB0DD7" w:rsidRPr="000A0A5F" w:rsidRDefault="00CB0DD7">
      <w:pPr>
        <w:pStyle w:val="Heading4"/>
      </w:pPr>
      <w:bookmarkStart w:id="3660" w:name="_Toc105674516"/>
      <w:bookmarkStart w:id="3661" w:name="_Toc130502564"/>
      <w:bookmarkStart w:id="3662" w:name="_Toc153625351"/>
      <w:r w:rsidRPr="000A0A5F">
        <w:t>5.6.2.2</w:t>
      </w:r>
      <w:r w:rsidRPr="000A0A5F">
        <w:tab/>
        <w:t>Referenced structured data types</w:t>
      </w:r>
      <w:bookmarkEnd w:id="3648"/>
      <w:bookmarkEnd w:id="3649"/>
      <w:bookmarkEnd w:id="3650"/>
      <w:bookmarkEnd w:id="3651"/>
      <w:bookmarkEnd w:id="3652"/>
      <w:bookmarkEnd w:id="3653"/>
      <w:bookmarkEnd w:id="3654"/>
      <w:bookmarkEnd w:id="3655"/>
      <w:bookmarkEnd w:id="3656"/>
      <w:bookmarkEnd w:id="3660"/>
      <w:bookmarkEnd w:id="3661"/>
      <w:bookmarkEnd w:id="3662"/>
    </w:p>
    <w:p w:rsidR="00CB0DD7" w:rsidRPr="000A0A5F" w:rsidRDefault="00CB0DD7">
      <w:pPr>
        <w:pStyle w:val="Heading5"/>
      </w:pPr>
      <w:bookmarkStart w:id="3663" w:name="_Toc11247448"/>
      <w:bookmarkStart w:id="3664" w:name="_Toc27044572"/>
      <w:bookmarkStart w:id="3665" w:name="_Toc36033614"/>
      <w:bookmarkStart w:id="3666" w:name="_Toc45131749"/>
      <w:bookmarkStart w:id="3667" w:name="_Toc49776034"/>
      <w:bookmarkStart w:id="3668" w:name="_Toc51746954"/>
      <w:bookmarkStart w:id="3669" w:name="_Toc66360508"/>
      <w:bookmarkStart w:id="3670" w:name="_Toc68105013"/>
      <w:bookmarkStart w:id="3671" w:name="_Toc74755643"/>
      <w:bookmarkStart w:id="3672" w:name="_Toc105674517"/>
      <w:bookmarkStart w:id="3673" w:name="_Toc130502565"/>
      <w:bookmarkStart w:id="3674" w:name="_Toc153625352"/>
      <w:r w:rsidRPr="000A0A5F">
        <w:t>5.6.2.2.1</w:t>
      </w:r>
      <w:r w:rsidRPr="000A0A5F">
        <w:tab/>
        <w:t>Introduction</w:t>
      </w:r>
      <w:bookmarkEnd w:id="3663"/>
      <w:bookmarkEnd w:id="3664"/>
      <w:bookmarkEnd w:id="3665"/>
      <w:bookmarkEnd w:id="3666"/>
      <w:bookmarkEnd w:id="3667"/>
      <w:bookmarkEnd w:id="3668"/>
      <w:bookmarkEnd w:id="3669"/>
      <w:bookmarkEnd w:id="3670"/>
      <w:bookmarkEnd w:id="3671"/>
      <w:bookmarkEnd w:id="3672"/>
      <w:bookmarkEnd w:id="3673"/>
      <w:bookmarkEnd w:id="3674"/>
    </w:p>
    <w:p w:rsidR="00CB0DD7" w:rsidRPr="000A0A5F" w:rsidRDefault="00CB0DD7">
      <w:r w:rsidRPr="000A0A5F">
        <w:t>This clause defines structured data types that are referenced from data structures defined in the previous clauses.</w:t>
      </w:r>
    </w:p>
    <w:p w:rsidR="00CB0DD7" w:rsidRPr="000A0A5F" w:rsidRDefault="00CB0DD7">
      <w:pPr>
        <w:pStyle w:val="Heading5"/>
      </w:pPr>
      <w:bookmarkStart w:id="3675" w:name="_Toc11247449"/>
      <w:bookmarkStart w:id="3676" w:name="_Toc27044573"/>
      <w:bookmarkStart w:id="3677" w:name="_Toc36033615"/>
      <w:bookmarkStart w:id="3678" w:name="_Toc45131750"/>
      <w:bookmarkStart w:id="3679" w:name="_Toc49776035"/>
      <w:bookmarkStart w:id="3680" w:name="_Toc51746955"/>
      <w:bookmarkStart w:id="3681" w:name="_Toc66360509"/>
      <w:bookmarkStart w:id="3682" w:name="_Toc68105014"/>
      <w:bookmarkStart w:id="3683" w:name="_Toc74755644"/>
      <w:bookmarkStart w:id="3684" w:name="_Toc105674518"/>
      <w:bookmarkStart w:id="3685" w:name="_Toc130502566"/>
      <w:bookmarkStart w:id="3686" w:name="_Toc153625353"/>
      <w:r w:rsidRPr="000A0A5F">
        <w:t>5.6.2.2.2</w:t>
      </w:r>
      <w:r w:rsidRPr="000A0A5F">
        <w:tab/>
        <w:t>Type: RdsPort</w:t>
      </w:r>
      <w:bookmarkEnd w:id="3675"/>
      <w:bookmarkEnd w:id="3676"/>
      <w:bookmarkEnd w:id="3677"/>
      <w:bookmarkEnd w:id="3678"/>
      <w:bookmarkEnd w:id="3679"/>
      <w:bookmarkEnd w:id="3680"/>
      <w:bookmarkEnd w:id="3681"/>
      <w:bookmarkEnd w:id="3682"/>
      <w:bookmarkEnd w:id="3683"/>
      <w:bookmarkEnd w:id="3684"/>
      <w:bookmarkEnd w:id="3685"/>
      <w:bookmarkEnd w:id="3686"/>
    </w:p>
    <w:p w:rsidR="00CB0DD7" w:rsidRPr="000A0A5F" w:rsidRDefault="00CB0DD7">
      <w:r w:rsidRPr="000A0A5F">
        <w:t>This type represents the port configuration for Reliable Data Transfer. It shall comply with the provisions defined in table 5.6.2.2.2-1.</w:t>
      </w:r>
    </w:p>
    <w:p w:rsidR="00CB0DD7" w:rsidRPr="000A0A5F" w:rsidRDefault="00CB0DD7">
      <w:pPr>
        <w:pStyle w:val="TH"/>
      </w:pPr>
      <w:r w:rsidRPr="000A0A5F">
        <w:t>Table 5.6.2.2.2-1: Definition of RdsPort data Type</w:t>
      </w:r>
    </w:p>
    <w:tbl>
      <w:tblPr>
        <w:tblW w:w="5122"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870"/>
        <w:gridCol w:w="1216"/>
        <w:gridCol w:w="1274"/>
        <w:gridCol w:w="5738"/>
      </w:tblGrid>
      <w:tr w:rsidR="00CB0DD7" w:rsidRPr="000A0A5F" w:rsidTr="00FF0AF8">
        <w:tc>
          <w:tcPr>
            <w:tcW w:w="926" w:type="pct"/>
            <w:shd w:val="clear" w:color="auto" w:fill="C0C0C0"/>
            <w:tcMar>
              <w:top w:w="0" w:type="dxa"/>
              <w:left w:w="108" w:type="dxa"/>
              <w:bottom w:w="0" w:type="dxa"/>
              <w:right w:w="108" w:type="dxa"/>
            </w:tcMar>
          </w:tcPr>
          <w:p w:rsidR="00CB0DD7" w:rsidRPr="000A0A5F" w:rsidRDefault="00CB0DD7">
            <w:pPr>
              <w:pStyle w:val="TAH"/>
            </w:pPr>
            <w:r w:rsidRPr="000A0A5F">
              <w:t>Attribute name</w:t>
            </w:r>
          </w:p>
        </w:tc>
        <w:tc>
          <w:tcPr>
            <w:tcW w:w="602" w:type="pct"/>
            <w:shd w:val="clear" w:color="auto" w:fill="C0C0C0"/>
            <w:tcMar>
              <w:top w:w="0" w:type="dxa"/>
              <w:left w:w="108" w:type="dxa"/>
              <w:bottom w:w="0" w:type="dxa"/>
              <w:right w:w="108" w:type="dxa"/>
            </w:tcMar>
          </w:tcPr>
          <w:p w:rsidR="00CB0DD7" w:rsidRPr="000A0A5F" w:rsidRDefault="00CB0DD7">
            <w:pPr>
              <w:pStyle w:val="TAH"/>
            </w:pPr>
            <w:r w:rsidRPr="000A0A5F">
              <w:t>Data type</w:t>
            </w:r>
          </w:p>
        </w:tc>
        <w:tc>
          <w:tcPr>
            <w:tcW w:w="631" w:type="pct"/>
            <w:shd w:val="clear" w:color="auto" w:fill="C0C0C0"/>
            <w:tcMar>
              <w:top w:w="0" w:type="dxa"/>
              <w:left w:w="108" w:type="dxa"/>
              <w:bottom w:w="0" w:type="dxa"/>
              <w:right w:w="108" w:type="dxa"/>
            </w:tcMar>
          </w:tcPr>
          <w:p w:rsidR="00CB0DD7" w:rsidRPr="000A0A5F" w:rsidRDefault="00CB0DD7">
            <w:pPr>
              <w:pStyle w:val="TAH"/>
            </w:pPr>
            <w:r w:rsidRPr="000A0A5F">
              <w:t>Cardinality</w:t>
            </w:r>
          </w:p>
        </w:tc>
        <w:tc>
          <w:tcPr>
            <w:tcW w:w="2841" w:type="pct"/>
            <w:shd w:val="clear" w:color="auto" w:fill="C0C0C0"/>
            <w:tcMar>
              <w:top w:w="0" w:type="dxa"/>
              <w:left w:w="108" w:type="dxa"/>
              <w:bottom w:w="0" w:type="dxa"/>
              <w:right w:w="108" w:type="dxa"/>
            </w:tcMar>
          </w:tcPr>
          <w:p w:rsidR="00CB0DD7" w:rsidRPr="000A0A5F" w:rsidRDefault="00CB0DD7">
            <w:pPr>
              <w:pStyle w:val="TAH"/>
            </w:pPr>
            <w:r w:rsidRPr="000A0A5F">
              <w:t>Description</w:t>
            </w:r>
          </w:p>
        </w:tc>
      </w:tr>
      <w:tr w:rsidR="00CB0DD7" w:rsidRPr="000A0A5F" w:rsidTr="00FF0AF8">
        <w:tc>
          <w:tcPr>
            <w:tcW w:w="926" w:type="pct"/>
            <w:shd w:val="clear" w:color="auto" w:fill="auto"/>
            <w:tcMar>
              <w:top w:w="0" w:type="dxa"/>
              <w:left w:w="108" w:type="dxa"/>
              <w:bottom w:w="0" w:type="dxa"/>
              <w:right w:w="108" w:type="dxa"/>
            </w:tcMar>
          </w:tcPr>
          <w:p w:rsidR="00CB0DD7" w:rsidRPr="000A0A5F" w:rsidRDefault="00CB0DD7">
            <w:pPr>
              <w:pStyle w:val="TAL"/>
            </w:pPr>
            <w:r w:rsidRPr="000A0A5F">
              <w:t>portUE</w:t>
            </w:r>
          </w:p>
        </w:tc>
        <w:tc>
          <w:tcPr>
            <w:tcW w:w="602" w:type="pct"/>
            <w:shd w:val="clear" w:color="auto" w:fill="auto"/>
            <w:tcMar>
              <w:top w:w="0" w:type="dxa"/>
              <w:left w:w="108" w:type="dxa"/>
              <w:bottom w:w="0" w:type="dxa"/>
              <w:right w:w="108" w:type="dxa"/>
            </w:tcMar>
          </w:tcPr>
          <w:p w:rsidR="00CB0DD7" w:rsidRPr="000A0A5F" w:rsidRDefault="00CB0DD7">
            <w:pPr>
              <w:pStyle w:val="TAL"/>
            </w:pPr>
            <w:r w:rsidRPr="000A0A5F">
              <w:t>Port</w:t>
            </w:r>
          </w:p>
        </w:tc>
        <w:tc>
          <w:tcPr>
            <w:tcW w:w="631" w:type="pct"/>
            <w:shd w:val="clear" w:color="auto" w:fill="auto"/>
            <w:tcMar>
              <w:top w:w="0" w:type="dxa"/>
              <w:left w:w="108" w:type="dxa"/>
              <w:bottom w:w="0" w:type="dxa"/>
              <w:right w:w="108" w:type="dxa"/>
            </w:tcMar>
          </w:tcPr>
          <w:p w:rsidR="00CB0DD7" w:rsidRPr="000A0A5F" w:rsidRDefault="00CB0DD7">
            <w:pPr>
              <w:pStyle w:val="TAL"/>
            </w:pPr>
            <w:r w:rsidRPr="000A0A5F">
              <w:t>1</w:t>
            </w:r>
          </w:p>
        </w:tc>
        <w:tc>
          <w:tcPr>
            <w:tcW w:w="2841" w:type="pct"/>
            <w:shd w:val="clear" w:color="auto" w:fill="auto"/>
            <w:tcMar>
              <w:top w:w="0" w:type="dxa"/>
              <w:left w:w="108" w:type="dxa"/>
              <w:bottom w:w="0" w:type="dxa"/>
              <w:right w:w="108" w:type="dxa"/>
            </w:tcMar>
          </w:tcPr>
          <w:p w:rsidR="00CB0DD7" w:rsidRPr="000A0A5F" w:rsidRDefault="00CB0DD7">
            <w:pPr>
              <w:pStyle w:val="TAL"/>
              <w:rPr>
                <w:rFonts w:eastAsia="Times New Roman" w:cs="Arial"/>
                <w:szCs w:val="18"/>
              </w:rPr>
            </w:pPr>
            <w:r w:rsidRPr="000A0A5F">
              <w:rPr>
                <w:rFonts w:cs="Arial"/>
                <w:szCs w:val="18"/>
                <w:lang w:eastAsia="zh-CN"/>
              </w:rPr>
              <w:t>Indicates the port number on UE that is used for reliable data transfer with a specific application on UE using RDS (as defined in clause</w:t>
            </w:r>
            <w:r w:rsidRPr="000A0A5F">
              <w:rPr>
                <w:rFonts w:cs="Arial"/>
                <w:szCs w:val="18"/>
                <w:lang w:val="en-US" w:eastAsia="zh-CN"/>
              </w:rPr>
              <w:t> 5.2</w:t>
            </w:r>
            <w:r w:rsidRPr="000A0A5F">
              <w:rPr>
                <w:rFonts w:cs="Arial"/>
                <w:szCs w:val="18"/>
                <w:lang w:eastAsia="zh-CN"/>
              </w:rPr>
              <w:t>.4 and 5.2.5 of 3GPP TS 24.250 [31]).</w:t>
            </w:r>
          </w:p>
        </w:tc>
      </w:tr>
      <w:tr w:rsidR="00CB0DD7" w:rsidRPr="000A0A5F" w:rsidTr="00FF0AF8">
        <w:tc>
          <w:tcPr>
            <w:tcW w:w="926" w:type="pct"/>
            <w:shd w:val="clear" w:color="auto" w:fill="auto"/>
            <w:tcMar>
              <w:top w:w="0" w:type="dxa"/>
              <w:left w:w="108" w:type="dxa"/>
              <w:bottom w:w="0" w:type="dxa"/>
              <w:right w:w="108" w:type="dxa"/>
            </w:tcMar>
          </w:tcPr>
          <w:p w:rsidR="00CB0DD7" w:rsidRPr="000A0A5F" w:rsidRDefault="00CB0DD7">
            <w:pPr>
              <w:pStyle w:val="TAL"/>
            </w:pPr>
            <w:r w:rsidRPr="000A0A5F">
              <w:t>portSCEF</w:t>
            </w:r>
          </w:p>
        </w:tc>
        <w:tc>
          <w:tcPr>
            <w:tcW w:w="602" w:type="pct"/>
            <w:shd w:val="clear" w:color="auto" w:fill="auto"/>
            <w:tcMar>
              <w:top w:w="0" w:type="dxa"/>
              <w:left w:w="108" w:type="dxa"/>
              <w:bottom w:w="0" w:type="dxa"/>
              <w:right w:w="108" w:type="dxa"/>
            </w:tcMar>
          </w:tcPr>
          <w:p w:rsidR="00CB0DD7" w:rsidRPr="000A0A5F" w:rsidRDefault="00CB0DD7">
            <w:pPr>
              <w:pStyle w:val="TAL"/>
            </w:pPr>
            <w:r w:rsidRPr="000A0A5F">
              <w:t>Port</w:t>
            </w:r>
          </w:p>
        </w:tc>
        <w:tc>
          <w:tcPr>
            <w:tcW w:w="631" w:type="pct"/>
            <w:shd w:val="clear" w:color="auto" w:fill="auto"/>
            <w:tcMar>
              <w:top w:w="0" w:type="dxa"/>
              <w:left w:w="108" w:type="dxa"/>
              <w:bottom w:w="0" w:type="dxa"/>
              <w:right w:w="108" w:type="dxa"/>
            </w:tcMar>
          </w:tcPr>
          <w:p w:rsidR="00CB0DD7" w:rsidRPr="000A0A5F" w:rsidRDefault="00CB0DD7">
            <w:pPr>
              <w:pStyle w:val="TAL"/>
            </w:pPr>
            <w:r w:rsidRPr="000A0A5F">
              <w:t>1</w:t>
            </w:r>
          </w:p>
        </w:tc>
        <w:tc>
          <w:tcPr>
            <w:tcW w:w="2841" w:type="pct"/>
            <w:shd w:val="clear" w:color="auto" w:fill="auto"/>
            <w:tcMar>
              <w:top w:w="0" w:type="dxa"/>
              <w:left w:w="108" w:type="dxa"/>
              <w:bottom w:w="0" w:type="dxa"/>
              <w:right w:w="108" w:type="dxa"/>
            </w:tcMar>
          </w:tcPr>
          <w:p w:rsidR="00CB0DD7" w:rsidRPr="000A0A5F" w:rsidRDefault="00CB0DD7">
            <w:pPr>
              <w:pStyle w:val="TAL"/>
              <w:rPr>
                <w:rFonts w:cs="Arial" w:hint="eastAsia"/>
                <w:szCs w:val="18"/>
                <w:lang w:eastAsia="zh-CN"/>
              </w:rPr>
            </w:pPr>
            <w:r w:rsidRPr="000A0A5F">
              <w:rPr>
                <w:rFonts w:cs="Arial"/>
                <w:szCs w:val="18"/>
                <w:lang w:eastAsia="zh-CN"/>
              </w:rPr>
              <w:t>Indicates the port number on SCEF that is used for reliable data transfer with a specific application on SCEF using RDS</w:t>
            </w:r>
            <w:r w:rsidRPr="000A0A5F">
              <w:rPr>
                <w:rFonts w:cs="Arial" w:hint="eastAsia"/>
                <w:szCs w:val="18"/>
                <w:lang w:eastAsia="zh-CN"/>
              </w:rPr>
              <w:t xml:space="preserve"> </w:t>
            </w:r>
            <w:r w:rsidRPr="000A0A5F">
              <w:rPr>
                <w:rFonts w:cs="Arial"/>
                <w:szCs w:val="18"/>
                <w:lang w:eastAsia="zh-CN"/>
              </w:rPr>
              <w:t>(as defined in clause</w:t>
            </w:r>
            <w:r w:rsidRPr="000A0A5F">
              <w:rPr>
                <w:rFonts w:cs="Arial"/>
                <w:szCs w:val="18"/>
                <w:lang w:val="en-US" w:eastAsia="zh-CN"/>
              </w:rPr>
              <w:t> 5.2</w:t>
            </w:r>
            <w:r w:rsidRPr="000A0A5F">
              <w:rPr>
                <w:rFonts w:cs="Arial"/>
                <w:szCs w:val="18"/>
                <w:lang w:eastAsia="zh-CN"/>
              </w:rPr>
              <w:t>.4 and 5.2.5 of 3GPP TS 24.250 [31])</w:t>
            </w:r>
            <w:r w:rsidRPr="000A0A5F">
              <w:rPr>
                <w:rFonts w:cs="Arial" w:hint="eastAsia"/>
                <w:szCs w:val="18"/>
                <w:lang w:eastAsia="zh-CN"/>
              </w:rPr>
              <w:t>.</w:t>
            </w:r>
          </w:p>
        </w:tc>
      </w:tr>
    </w:tbl>
    <w:p w:rsidR="00CB0DD7" w:rsidRPr="000A0A5F" w:rsidRDefault="00CB0DD7"/>
    <w:p w:rsidR="00CB0DD7" w:rsidRPr="000A0A5F" w:rsidRDefault="00CB0DD7">
      <w:pPr>
        <w:pStyle w:val="Heading5"/>
      </w:pPr>
      <w:bookmarkStart w:id="3687" w:name="_Toc11247450"/>
      <w:bookmarkStart w:id="3688" w:name="_Toc27044574"/>
      <w:bookmarkStart w:id="3689" w:name="_Toc36033616"/>
      <w:bookmarkStart w:id="3690" w:name="_Toc45131751"/>
      <w:bookmarkStart w:id="3691" w:name="_Toc49776036"/>
      <w:bookmarkStart w:id="3692" w:name="_Toc51746956"/>
      <w:bookmarkStart w:id="3693" w:name="_Toc66360510"/>
      <w:bookmarkStart w:id="3694" w:name="_Toc68105015"/>
      <w:bookmarkStart w:id="3695" w:name="_Toc74755645"/>
      <w:bookmarkStart w:id="3696" w:name="_Toc105674519"/>
      <w:bookmarkStart w:id="3697" w:name="_Toc130502567"/>
      <w:bookmarkStart w:id="3698" w:name="_Toc153625354"/>
      <w:r w:rsidRPr="000A0A5F">
        <w:t>5.6.2.2.3</w:t>
      </w:r>
      <w:r w:rsidRPr="000A0A5F">
        <w:tab/>
        <w:t>Type: GmdResult</w:t>
      </w:r>
      <w:bookmarkEnd w:id="3687"/>
      <w:bookmarkEnd w:id="3688"/>
      <w:bookmarkEnd w:id="3689"/>
      <w:bookmarkEnd w:id="3690"/>
      <w:bookmarkEnd w:id="3691"/>
      <w:bookmarkEnd w:id="3692"/>
      <w:bookmarkEnd w:id="3693"/>
      <w:bookmarkEnd w:id="3694"/>
      <w:bookmarkEnd w:id="3695"/>
      <w:bookmarkEnd w:id="3696"/>
      <w:bookmarkEnd w:id="3697"/>
      <w:bookmarkEnd w:id="3698"/>
    </w:p>
    <w:p w:rsidR="00CB0DD7" w:rsidRPr="000A0A5F" w:rsidRDefault="00CB0DD7">
      <w:r w:rsidRPr="000A0A5F">
        <w:t>This type represents the group message delivery result. It shall comply with the provisions defined in table 5.6.2.2.3-1.</w:t>
      </w:r>
    </w:p>
    <w:p w:rsidR="00CB0DD7" w:rsidRPr="000A0A5F" w:rsidRDefault="00CB0DD7">
      <w:pPr>
        <w:pStyle w:val="TH"/>
      </w:pPr>
      <w:r w:rsidRPr="000A0A5F">
        <w:t>Table 5.6.2.2.3-1: Definition of GmdResult data Type</w:t>
      </w:r>
    </w:p>
    <w:tbl>
      <w:tblPr>
        <w:tblW w:w="5122"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870"/>
        <w:gridCol w:w="1216"/>
        <w:gridCol w:w="1274"/>
        <w:gridCol w:w="5738"/>
      </w:tblGrid>
      <w:tr w:rsidR="00CB0DD7" w:rsidRPr="000A0A5F" w:rsidTr="00FF0AF8">
        <w:tc>
          <w:tcPr>
            <w:tcW w:w="926" w:type="pct"/>
            <w:shd w:val="clear" w:color="auto" w:fill="C0C0C0"/>
            <w:tcMar>
              <w:top w:w="0" w:type="dxa"/>
              <w:left w:w="108" w:type="dxa"/>
              <w:bottom w:w="0" w:type="dxa"/>
              <w:right w:w="108" w:type="dxa"/>
            </w:tcMar>
          </w:tcPr>
          <w:p w:rsidR="00CB0DD7" w:rsidRPr="000A0A5F" w:rsidRDefault="00CB0DD7">
            <w:pPr>
              <w:pStyle w:val="TAH"/>
            </w:pPr>
            <w:r w:rsidRPr="000A0A5F">
              <w:t>Attribute name</w:t>
            </w:r>
          </w:p>
        </w:tc>
        <w:tc>
          <w:tcPr>
            <w:tcW w:w="602" w:type="pct"/>
            <w:shd w:val="clear" w:color="auto" w:fill="C0C0C0"/>
            <w:tcMar>
              <w:top w:w="0" w:type="dxa"/>
              <w:left w:w="108" w:type="dxa"/>
              <w:bottom w:w="0" w:type="dxa"/>
              <w:right w:w="108" w:type="dxa"/>
            </w:tcMar>
          </w:tcPr>
          <w:p w:rsidR="00CB0DD7" w:rsidRPr="000A0A5F" w:rsidRDefault="00CB0DD7">
            <w:pPr>
              <w:pStyle w:val="TAH"/>
            </w:pPr>
            <w:r w:rsidRPr="000A0A5F">
              <w:t>Data type</w:t>
            </w:r>
          </w:p>
        </w:tc>
        <w:tc>
          <w:tcPr>
            <w:tcW w:w="631" w:type="pct"/>
            <w:shd w:val="clear" w:color="auto" w:fill="C0C0C0"/>
            <w:tcMar>
              <w:top w:w="0" w:type="dxa"/>
              <w:left w:w="108" w:type="dxa"/>
              <w:bottom w:w="0" w:type="dxa"/>
              <w:right w:w="108" w:type="dxa"/>
            </w:tcMar>
          </w:tcPr>
          <w:p w:rsidR="00CB0DD7" w:rsidRPr="000A0A5F" w:rsidRDefault="00CB0DD7">
            <w:pPr>
              <w:pStyle w:val="TAH"/>
            </w:pPr>
            <w:r w:rsidRPr="000A0A5F">
              <w:t>Cardinality</w:t>
            </w:r>
          </w:p>
        </w:tc>
        <w:tc>
          <w:tcPr>
            <w:tcW w:w="2841" w:type="pct"/>
            <w:shd w:val="clear" w:color="auto" w:fill="C0C0C0"/>
            <w:tcMar>
              <w:top w:w="0" w:type="dxa"/>
              <w:left w:w="108" w:type="dxa"/>
              <w:bottom w:w="0" w:type="dxa"/>
              <w:right w:w="108" w:type="dxa"/>
            </w:tcMar>
          </w:tcPr>
          <w:p w:rsidR="00CB0DD7" w:rsidRPr="000A0A5F" w:rsidRDefault="00CB0DD7">
            <w:pPr>
              <w:pStyle w:val="TAH"/>
            </w:pPr>
            <w:r w:rsidRPr="000A0A5F">
              <w:t>Description</w:t>
            </w:r>
          </w:p>
        </w:tc>
      </w:tr>
      <w:tr w:rsidR="00CB0DD7" w:rsidRPr="000A0A5F" w:rsidTr="00FF0AF8">
        <w:tc>
          <w:tcPr>
            <w:tcW w:w="926" w:type="pct"/>
            <w:shd w:val="clear" w:color="auto" w:fill="auto"/>
            <w:tcMar>
              <w:top w:w="0" w:type="dxa"/>
              <w:left w:w="108" w:type="dxa"/>
              <w:bottom w:w="0" w:type="dxa"/>
              <w:right w:w="108" w:type="dxa"/>
            </w:tcMar>
          </w:tcPr>
          <w:p w:rsidR="00CB0DD7" w:rsidRPr="000A0A5F" w:rsidRDefault="00CB0DD7">
            <w:pPr>
              <w:pStyle w:val="TAL"/>
            </w:pPr>
            <w:r w:rsidRPr="000A0A5F">
              <w:rPr>
                <w:lang w:eastAsia="zh-CN"/>
              </w:rPr>
              <w:t>e</w:t>
            </w:r>
            <w:r w:rsidRPr="000A0A5F">
              <w:rPr>
                <w:rFonts w:hint="eastAsia"/>
                <w:lang w:eastAsia="zh-CN"/>
              </w:rPr>
              <w:t>xternal</w:t>
            </w:r>
            <w:r w:rsidRPr="000A0A5F">
              <w:rPr>
                <w:lang w:eastAsia="zh-CN"/>
              </w:rPr>
              <w:t>Id</w:t>
            </w:r>
          </w:p>
        </w:tc>
        <w:tc>
          <w:tcPr>
            <w:tcW w:w="602" w:type="pct"/>
            <w:shd w:val="clear" w:color="auto" w:fill="auto"/>
            <w:tcMar>
              <w:top w:w="0" w:type="dxa"/>
              <w:left w:w="108" w:type="dxa"/>
              <w:bottom w:w="0" w:type="dxa"/>
              <w:right w:w="108" w:type="dxa"/>
            </w:tcMar>
          </w:tcPr>
          <w:p w:rsidR="00CB0DD7" w:rsidRPr="000A0A5F" w:rsidRDefault="00CB0DD7">
            <w:pPr>
              <w:pStyle w:val="TAL"/>
            </w:pPr>
            <w:r w:rsidRPr="000A0A5F">
              <w:rPr>
                <w:lang w:eastAsia="zh-CN"/>
              </w:rPr>
              <w:t>ExternalId</w:t>
            </w:r>
          </w:p>
        </w:tc>
        <w:tc>
          <w:tcPr>
            <w:tcW w:w="631" w:type="pct"/>
            <w:shd w:val="clear" w:color="auto" w:fill="auto"/>
            <w:tcMar>
              <w:top w:w="0" w:type="dxa"/>
              <w:left w:w="108" w:type="dxa"/>
              <w:bottom w:w="0" w:type="dxa"/>
              <w:right w:w="108" w:type="dxa"/>
            </w:tcMar>
          </w:tcPr>
          <w:p w:rsidR="00CB0DD7" w:rsidRPr="000A0A5F" w:rsidRDefault="00CB0DD7">
            <w:pPr>
              <w:pStyle w:val="TAL"/>
            </w:pPr>
            <w:r w:rsidRPr="000A0A5F">
              <w:rPr>
                <w:rFonts w:eastAsia="Times New Roman"/>
              </w:rPr>
              <w:t>0..1</w:t>
            </w:r>
          </w:p>
        </w:tc>
        <w:tc>
          <w:tcPr>
            <w:tcW w:w="2841" w:type="pct"/>
            <w:shd w:val="clear" w:color="auto" w:fill="auto"/>
            <w:tcMar>
              <w:top w:w="0" w:type="dxa"/>
              <w:left w:w="108" w:type="dxa"/>
              <w:bottom w:w="0" w:type="dxa"/>
              <w:right w:w="108" w:type="dxa"/>
            </w:tcMar>
          </w:tcPr>
          <w:p w:rsidR="00CB0DD7" w:rsidRPr="000A0A5F" w:rsidRDefault="00CB0DD7">
            <w:pPr>
              <w:pStyle w:val="TAL"/>
              <w:spacing w:afterLines="50" w:after="120"/>
              <w:rPr>
                <w:rFonts w:eastAsia="Times New Roman" w:cs="Arial"/>
                <w:szCs w:val="18"/>
              </w:rPr>
            </w:pPr>
            <w:r w:rsidRPr="000A0A5F">
              <w:rPr>
                <w:rFonts w:eastAsia="Times New Roman" w:cs="Arial"/>
                <w:szCs w:val="18"/>
              </w:rPr>
              <w:t>Each element uniquely identifies a user as defined in sublause 4.6.2 of 3GPP TS 23.682 [2].</w:t>
            </w:r>
          </w:p>
          <w:p w:rsidR="00CB0DD7" w:rsidRPr="000A0A5F" w:rsidRDefault="00CB0DD7">
            <w:pPr>
              <w:pStyle w:val="TAL"/>
              <w:rPr>
                <w:rFonts w:eastAsia="Times New Roman" w:cs="Arial"/>
                <w:szCs w:val="18"/>
              </w:rPr>
            </w:pPr>
            <w:r w:rsidRPr="000A0A5F">
              <w:rPr>
                <w:rFonts w:cs="Arial" w:hint="eastAsia"/>
                <w:szCs w:val="18"/>
                <w:lang w:eastAsia="zh-CN"/>
              </w:rPr>
              <w:t>(</w:t>
            </w:r>
            <w:r w:rsidRPr="000A0A5F">
              <w:rPr>
                <w:rFonts w:cs="Arial"/>
                <w:szCs w:val="18"/>
                <w:lang w:eastAsia="zh-CN"/>
              </w:rPr>
              <w:t>NOTE</w:t>
            </w:r>
            <w:r w:rsidRPr="000A0A5F">
              <w:rPr>
                <w:rFonts w:cs="Arial" w:hint="eastAsia"/>
                <w:szCs w:val="18"/>
                <w:lang w:eastAsia="zh-CN"/>
              </w:rPr>
              <w:t>)</w:t>
            </w:r>
          </w:p>
        </w:tc>
      </w:tr>
      <w:tr w:rsidR="00CB0DD7" w:rsidRPr="000A0A5F" w:rsidTr="00FF0AF8">
        <w:tc>
          <w:tcPr>
            <w:tcW w:w="926" w:type="pct"/>
            <w:shd w:val="clear" w:color="auto" w:fill="auto"/>
            <w:tcMar>
              <w:top w:w="0" w:type="dxa"/>
              <w:left w:w="108" w:type="dxa"/>
              <w:bottom w:w="0" w:type="dxa"/>
              <w:right w:w="108" w:type="dxa"/>
            </w:tcMar>
          </w:tcPr>
          <w:p w:rsidR="00CB0DD7" w:rsidRPr="000A0A5F" w:rsidRDefault="00CB0DD7">
            <w:pPr>
              <w:pStyle w:val="TAL"/>
              <w:rPr>
                <w:rFonts w:eastAsia="Times New Roman"/>
              </w:rPr>
            </w:pPr>
            <w:r w:rsidRPr="000A0A5F">
              <w:rPr>
                <w:lang w:eastAsia="zh-CN"/>
              </w:rPr>
              <w:t>msisdn</w:t>
            </w:r>
          </w:p>
        </w:tc>
        <w:tc>
          <w:tcPr>
            <w:tcW w:w="602" w:type="pct"/>
            <w:shd w:val="clear" w:color="auto" w:fill="auto"/>
            <w:tcMar>
              <w:top w:w="0" w:type="dxa"/>
              <w:left w:w="108" w:type="dxa"/>
              <w:bottom w:w="0" w:type="dxa"/>
              <w:right w:w="108" w:type="dxa"/>
            </w:tcMar>
          </w:tcPr>
          <w:p w:rsidR="00CB0DD7" w:rsidRPr="000A0A5F" w:rsidRDefault="00CB0DD7">
            <w:pPr>
              <w:pStyle w:val="TAL"/>
              <w:rPr>
                <w:rFonts w:eastAsia="Times New Roman"/>
              </w:rPr>
            </w:pPr>
            <w:r w:rsidRPr="000A0A5F">
              <w:rPr>
                <w:lang w:eastAsia="zh-CN"/>
              </w:rPr>
              <w:t>Msisdn</w:t>
            </w:r>
          </w:p>
        </w:tc>
        <w:tc>
          <w:tcPr>
            <w:tcW w:w="631" w:type="pct"/>
            <w:shd w:val="clear" w:color="auto" w:fill="auto"/>
            <w:tcMar>
              <w:top w:w="0" w:type="dxa"/>
              <w:left w:w="108" w:type="dxa"/>
              <w:bottom w:w="0" w:type="dxa"/>
              <w:right w:w="108" w:type="dxa"/>
            </w:tcMar>
          </w:tcPr>
          <w:p w:rsidR="00CB0DD7" w:rsidRPr="000A0A5F" w:rsidRDefault="00CB0DD7">
            <w:pPr>
              <w:pStyle w:val="TAL"/>
              <w:rPr>
                <w:rFonts w:eastAsia="Times New Roman"/>
              </w:rPr>
            </w:pPr>
            <w:r w:rsidRPr="000A0A5F">
              <w:rPr>
                <w:rFonts w:eastAsia="Times New Roman"/>
              </w:rPr>
              <w:t>0..1</w:t>
            </w:r>
          </w:p>
        </w:tc>
        <w:tc>
          <w:tcPr>
            <w:tcW w:w="2841" w:type="pct"/>
            <w:shd w:val="clear" w:color="auto" w:fill="auto"/>
            <w:tcMar>
              <w:top w:w="0" w:type="dxa"/>
              <w:left w:w="108" w:type="dxa"/>
              <w:bottom w:w="0" w:type="dxa"/>
              <w:right w:w="108" w:type="dxa"/>
            </w:tcMar>
          </w:tcPr>
          <w:p w:rsidR="00CB0DD7" w:rsidRPr="000A0A5F" w:rsidRDefault="00CB0DD7">
            <w:pPr>
              <w:pStyle w:val="TAL"/>
              <w:spacing w:afterLines="50" w:after="120"/>
              <w:rPr>
                <w:rFonts w:cs="Arial"/>
                <w:szCs w:val="18"/>
                <w:lang w:eastAsia="zh-CN"/>
              </w:rPr>
            </w:pPr>
            <w:r w:rsidRPr="000A0A5F">
              <w:rPr>
                <w:rFonts w:eastAsia="Times New Roman" w:cs="Arial"/>
                <w:szCs w:val="18"/>
              </w:rPr>
              <w:t>Each element</w:t>
            </w:r>
            <w:r w:rsidRPr="000A0A5F">
              <w:rPr>
                <w:rFonts w:cs="Arial"/>
                <w:szCs w:val="18"/>
                <w:lang w:eastAsia="zh-CN"/>
              </w:rPr>
              <w:t xml:space="preserve"> identifies the MS internal PSTN/ISDN number allocated for a UE.</w:t>
            </w:r>
          </w:p>
          <w:p w:rsidR="00CB0DD7" w:rsidRPr="000A0A5F" w:rsidRDefault="00CB0DD7">
            <w:pPr>
              <w:pStyle w:val="TAL"/>
              <w:rPr>
                <w:rFonts w:eastAsia="Times New Roman" w:cs="Arial"/>
                <w:szCs w:val="18"/>
              </w:rPr>
            </w:pPr>
            <w:r w:rsidRPr="000A0A5F">
              <w:rPr>
                <w:rFonts w:cs="Arial" w:hint="eastAsia"/>
                <w:szCs w:val="18"/>
                <w:lang w:eastAsia="zh-CN"/>
              </w:rPr>
              <w:t>(</w:t>
            </w:r>
            <w:r w:rsidRPr="000A0A5F">
              <w:rPr>
                <w:rFonts w:cs="Arial"/>
                <w:szCs w:val="18"/>
                <w:lang w:eastAsia="zh-CN"/>
              </w:rPr>
              <w:t>NOTE</w:t>
            </w:r>
            <w:r w:rsidRPr="000A0A5F">
              <w:rPr>
                <w:rFonts w:cs="Arial" w:hint="eastAsia"/>
                <w:szCs w:val="18"/>
                <w:lang w:eastAsia="zh-CN"/>
              </w:rPr>
              <w:t>)</w:t>
            </w:r>
          </w:p>
        </w:tc>
      </w:tr>
      <w:tr w:rsidR="00CB0DD7" w:rsidRPr="000A0A5F" w:rsidTr="00FF0AF8">
        <w:tc>
          <w:tcPr>
            <w:tcW w:w="926" w:type="pct"/>
            <w:shd w:val="clear" w:color="auto" w:fill="auto"/>
            <w:tcMar>
              <w:top w:w="0" w:type="dxa"/>
              <w:left w:w="108" w:type="dxa"/>
              <w:bottom w:w="0" w:type="dxa"/>
              <w:right w:w="108" w:type="dxa"/>
            </w:tcMar>
          </w:tcPr>
          <w:p w:rsidR="00CB0DD7" w:rsidRPr="000A0A5F" w:rsidRDefault="00CB0DD7">
            <w:pPr>
              <w:pStyle w:val="TAL"/>
              <w:rPr>
                <w:rFonts w:eastAsia="Times New Roman"/>
              </w:rPr>
            </w:pPr>
            <w:r w:rsidRPr="000A0A5F">
              <w:rPr>
                <w:rFonts w:eastAsia="Times New Roman"/>
              </w:rPr>
              <w:t>deliveryStatus</w:t>
            </w:r>
          </w:p>
        </w:tc>
        <w:tc>
          <w:tcPr>
            <w:tcW w:w="602" w:type="pct"/>
            <w:shd w:val="clear" w:color="auto" w:fill="auto"/>
            <w:tcMar>
              <w:top w:w="0" w:type="dxa"/>
              <w:left w:w="108" w:type="dxa"/>
              <w:bottom w:w="0" w:type="dxa"/>
              <w:right w:w="108" w:type="dxa"/>
            </w:tcMar>
          </w:tcPr>
          <w:p w:rsidR="00CB0DD7" w:rsidRPr="000A0A5F" w:rsidRDefault="00CB0DD7">
            <w:pPr>
              <w:pStyle w:val="TAL"/>
              <w:rPr>
                <w:rFonts w:eastAsia="Times New Roman"/>
              </w:rPr>
            </w:pPr>
            <w:r w:rsidRPr="000A0A5F">
              <w:rPr>
                <w:rFonts w:eastAsia="Times New Roman"/>
              </w:rPr>
              <w:t>DeliveryStatus</w:t>
            </w:r>
          </w:p>
        </w:tc>
        <w:tc>
          <w:tcPr>
            <w:tcW w:w="631" w:type="pct"/>
            <w:shd w:val="clear" w:color="auto" w:fill="auto"/>
            <w:tcMar>
              <w:top w:w="0" w:type="dxa"/>
              <w:left w:w="108" w:type="dxa"/>
              <w:bottom w:w="0" w:type="dxa"/>
              <w:right w:w="108" w:type="dxa"/>
            </w:tcMar>
          </w:tcPr>
          <w:p w:rsidR="00CB0DD7" w:rsidRPr="000A0A5F" w:rsidRDefault="00CB0DD7">
            <w:pPr>
              <w:pStyle w:val="TAL"/>
              <w:rPr>
                <w:rFonts w:eastAsia="Times New Roman"/>
              </w:rPr>
            </w:pPr>
            <w:r w:rsidRPr="000A0A5F">
              <w:rPr>
                <w:rFonts w:eastAsia="Times New Roman"/>
              </w:rPr>
              <w:t>1</w:t>
            </w:r>
          </w:p>
        </w:tc>
        <w:tc>
          <w:tcPr>
            <w:tcW w:w="2841" w:type="pct"/>
            <w:shd w:val="clear" w:color="auto" w:fill="auto"/>
            <w:tcMar>
              <w:top w:w="0" w:type="dxa"/>
              <w:left w:w="108" w:type="dxa"/>
              <w:bottom w:w="0" w:type="dxa"/>
              <w:right w:w="108" w:type="dxa"/>
            </w:tcMar>
          </w:tcPr>
          <w:p w:rsidR="00CB0DD7" w:rsidRPr="000A0A5F" w:rsidRDefault="00CB0DD7">
            <w:pPr>
              <w:pStyle w:val="TAL"/>
              <w:rPr>
                <w:rFonts w:eastAsia="Times New Roman" w:cs="Arial"/>
                <w:szCs w:val="18"/>
              </w:rPr>
            </w:pPr>
            <w:r w:rsidRPr="000A0A5F">
              <w:rPr>
                <w:rFonts w:eastAsia="Times New Roman" w:cs="Arial"/>
                <w:szCs w:val="18"/>
              </w:rPr>
              <w:t>Indicates the MT NIDD delivery status.</w:t>
            </w:r>
          </w:p>
        </w:tc>
      </w:tr>
      <w:tr w:rsidR="00CB0DD7" w:rsidRPr="000A0A5F" w:rsidTr="00FF0AF8">
        <w:tc>
          <w:tcPr>
            <w:tcW w:w="926" w:type="pct"/>
            <w:shd w:val="clear" w:color="auto" w:fill="auto"/>
            <w:tcMar>
              <w:top w:w="0" w:type="dxa"/>
              <w:left w:w="108" w:type="dxa"/>
              <w:bottom w:w="0" w:type="dxa"/>
              <w:right w:w="108" w:type="dxa"/>
            </w:tcMar>
          </w:tcPr>
          <w:p w:rsidR="00CB0DD7" w:rsidRPr="000A0A5F" w:rsidRDefault="00CB0DD7">
            <w:pPr>
              <w:pStyle w:val="TAL"/>
            </w:pPr>
            <w:r w:rsidRPr="000A0A5F">
              <w:rPr>
                <w:rFonts w:eastAsia="Times New Roman"/>
              </w:rPr>
              <w:t>requestedRetransmissionTime</w:t>
            </w:r>
          </w:p>
        </w:tc>
        <w:tc>
          <w:tcPr>
            <w:tcW w:w="602" w:type="pct"/>
            <w:shd w:val="clear" w:color="auto" w:fill="auto"/>
            <w:tcMar>
              <w:top w:w="0" w:type="dxa"/>
              <w:left w:w="108" w:type="dxa"/>
              <w:bottom w:w="0" w:type="dxa"/>
              <w:right w:w="108" w:type="dxa"/>
            </w:tcMar>
          </w:tcPr>
          <w:p w:rsidR="00CB0DD7" w:rsidRPr="000A0A5F" w:rsidRDefault="00CB0DD7">
            <w:pPr>
              <w:pStyle w:val="TAL"/>
            </w:pPr>
            <w:r w:rsidRPr="000A0A5F">
              <w:rPr>
                <w:lang w:eastAsia="zh-CN"/>
              </w:rPr>
              <w:t>D</w:t>
            </w:r>
            <w:r w:rsidRPr="000A0A5F">
              <w:rPr>
                <w:rFonts w:hint="eastAsia"/>
                <w:lang w:eastAsia="zh-CN"/>
              </w:rPr>
              <w:t>at</w:t>
            </w:r>
            <w:r w:rsidRPr="000A0A5F">
              <w:rPr>
                <w:lang w:eastAsia="zh-CN"/>
              </w:rPr>
              <w:t>e</w:t>
            </w:r>
            <w:r w:rsidRPr="000A0A5F">
              <w:rPr>
                <w:rFonts w:hint="eastAsia"/>
                <w:lang w:eastAsia="zh-CN"/>
              </w:rPr>
              <w:t>Time</w:t>
            </w:r>
          </w:p>
        </w:tc>
        <w:tc>
          <w:tcPr>
            <w:tcW w:w="631" w:type="pct"/>
            <w:shd w:val="clear" w:color="auto" w:fill="auto"/>
            <w:tcMar>
              <w:top w:w="0" w:type="dxa"/>
              <w:left w:w="108" w:type="dxa"/>
              <w:bottom w:w="0" w:type="dxa"/>
              <w:right w:w="108" w:type="dxa"/>
            </w:tcMar>
          </w:tcPr>
          <w:p w:rsidR="00CB0DD7" w:rsidRPr="000A0A5F" w:rsidRDefault="00CB0DD7">
            <w:pPr>
              <w:pStyle w:val="TAL"/>
            </w:pPr>
            <w:r w:rsidRPr="000A0A5F">
              <w:rPr>
                <w:rFonts w:eastAsia="Times New Roman"/>
              </w:rPr>
              <w:t>0..1</w:t>
            </w:r>
          </w:p>
        </w:tc>
        <w:tc>
          <w:tcPr>
            <w:tcW w:w="2841" w:type="pct"/>
            <w:shd w:val="clear" w:color="auto" w:fill="auto"/>
            <w:tcMar>
              <w:top w:w="0" w:type="dxa"/>
              <w:left w:w="108" w:type="dxa"/>
              <w:bottom w:w="0" w:type="dxa"/>
              <w:right w:w="108" w:type="dxa"/>
            </w:tcMar>
          </w:tcPr>
          <w:p w:rsidR="00CB0DD7" w:rsidRPr="000A0A5F" w:rsidRDefault="00CB0DD7">
            <w:pPr>
              <w:pStyle w:val="TAL"/>
              <w:rPr>
                <w:rFonts w:cs="Arial" w:hint="eastAsia"/>
                <w:lang w:eastAsia="zh-CN"/>
              </w:rPr>
            </w:pPr>
            <w:r w:rsidRPr="000A0A5F">
              <w:rPr>
                <w:rFonts w:cs="Arial"/>
                <w:lang w:eastAsia="zh-CN"/>
              </w:rPr>
              <w:t>I</w:t>
            </w:r>
            <w:r w:rsidRPr="000A0A5F">
              <w:rPr>
                <w:rFonts w:cs="Arial"/>
              </w:rPr>
              <w:t>dentifies the absolute time at which the</w:t>
            </w:r>
            <w:r w:rsidRPr="000A0A5F">
              <w:rPr>
                <w:rFonts w:cs="Arial"/>
                <w:lang w:eastAsia="zh-CN"/>
              </w:rPr>
              <w:t xml:space="preserve"> UE will be reachable.</w:t>
            </w:r>
          </w:p>
          <w:p w:rsidR="00CB0DD7" w:rsidRPr="000A0A5F" w:rsidRDefault="00CB0DD7">
            <w:pPr>
              <w:pStyle w:val="TAL"/>
              <w:rPr>
                <w:rFonts w:cs="Arial" w:hint="eastAsia"/>
                <w:szCs w:val="18"/>
                <w:lang w:eastAsia="zh-CN"/>
              </w:rPr>
            </w:pPr>
            <w:r w:rsidRPr="000A0A5F">
              <w:rPr>
                <w:rFonts w:eastAsia="Times New Roman" w:cs="Arial"/>
                <w:szCs w:val="18"/>
              </w:rPr>
              <w:t>This parameter may be supplied by the SCEF for delivery status "</w:t>
            </w:r>
            <w:r w:rsidRPr="000A0A5F">
              <w:t>FAILURE_TEMPORARILY_NOT_REACHABLE"</w:t>
            </w:r>
          </w:p>
        </w:tc>
      </w:tr>
      <w:tr w:rsidR="00CB0DD7" w:rsidRPr="000A0A5F" w:rsidTr="00FF0AF8">
        <w:tc>
          <w:tcPr>
            <w:tcW w:w="5000" w:type="pct"/>
            <w:gridSpan w:val="4"/>
            <w:shd w:val="clear" w:color="auto" w:fill="auto"/>
            <w:tcMar>
              <w:top w:w="0" w:type="dxa"/>
              <w:left w:w="108" w:type="dxa"/>
              <w:bottom w:w="0" w:type="dxa"/>
              <w:right w:w="108" w:type="dxa"/>
            </w:tcMar>
          </w:tcPr>
          <w:p w:rsidR="00CB0DD7" w:rsidRPr="000A0A5F" w:rsidRDefault="00CB0DD7">
            <w:pPr>
              <w:pStyle w:val="TAN"/>
              <w:rPr>
                <w:rFonts w:cs="Arial"/>
                <w:lang w:eastAsia="zh-CN"/>
              </w:rPr>
            </w:pPr>
            <w:r w:rsidRPr="000A0A5F">
              <w:rPr>
                <w:noProof/>
                <w:lang w:eastAsia="zh-CN"/>
              </w:rPr>
              <w:t>NOTE:</w:t>
            </w:r>
            <w:r w:rsidRPr="000A0A5F">
              <w:rPr>
                <w:noProof/>
                <w:lang w:eastAsia="zh-CN"/>
              </w:rPr>
              <w:tab/>
              <w:t>One of the properties</w:t>
            </w:r>
            <w:r w:rsidRPr="000A0A5F">
              <w:rPr>
                <w:rFonts w:hint="eastAsia"/>
                <w:noProof/>
                <w:lang w:eastAsia="zh-CN"/>
              </w:rPr>
              <w:t xml:space="preserve"> </w:t>
            </w:r>
            <w:r w:rsidRPr="000A0A5F">
              <w:rPr>
                <w:noProof/>
                <w:lang w:eastAsia="zh-CN"/>
              </w:rPr>
              <w:t>"externalId" or "msisdn" shall be included.</w:t>
            </w:r>
          </w:p>
        </w:tc>
      </w:tr>
    </w:tbl>
    <w:p w:rsidR="00CB0DD7" w:rsidRPr="000A0A5F" w:rsidRDefault="00CB0DD7"/>
    <w:p w:rsidR="00CB0DD7" w:rsidRPr="000A0A5F" w:rsidRDefault="00CB0DD7">
      <w:pPr>
        <w:pStyle w:val="Heading5"/>
      </w:pPr>
      <w:bookmarkStart w:id="3699" w:name="_Hlk529650948"/>
      <w:bookmarkStart w:id="3700" w:name="_Toc11247451"/>
      <w:bookmarkStart w:id="3701" w:name="_Toc27044575"/>
      <w:bookmarkStart w:id="3702" w:name="_Toc36033617"/>
      <w:bookmarkStart w:id="3703" w:name="_Toc45131752"/>
      <w:bookmarkStart w:id="3704" w:name="_Toc49776037"/>
      <w:bookmarkStart w:id="3705" w:name="_Toc51746957"/>
      <w:bookmarkStart w:id="3706" w:name="_Toc66360511"/>
      <w:bookmarkStart w:id="3707" w:name="_Toc68105016"/>
      <w:bookmarkStart w:id="3708" w:name="_Toc74755646"/>
      <w:bookmarkStart w:id="3709" w:name="_Toc105674520"/>
      <w:bookmarkStart w:id="3710" w:name="_Toc130502568"/>
      <w:bookmarkStart w:id="3711" w:name="_Toc153625355"/>
      <w:r w:rsidRPr="000A0A5F">
        <w:t>5.6.2.2.4</w:t>
      </w:r>
      <w:r w:rsidRPr="000A0A5F">
        <w:tab/>
        <w:t>Type: NiddDownlinkDataDeliveryFailure</w:t>
      </w:r>
      <w:bookmarkEnd w:id="3700"/>
      <w:bookmarkEnd w:id="3701"/>
      <w:bookmarkEnd w:id="3702"/>
      <w:bookmarkEnd w:id="3703"/>
      <w:bookmarkEnd w:id="3704"/>
      <w:bookmarkEnd w:id="3705"/>
      <w:bookmarkEnd w:id="3706"/>
      <w:bookmarkEnd w:id="3707"/>
      <w:bookmarkEnd w:id="3708"/>
      <w:bookmarkEnd w:id="3709"/>
      <w:bookmarkEnd w:id="3710"/>
      <w:bookmarkEnd w:id="3711"/>
    </w:p>
    <w:p w:rsidR="00CB0DD7" w:rsidRPr="000A0A5F" w:rsidRDefault="00CB0DD7">
      <w:r w:rsidRPr="000A0A5F">
        <w:t>This type represents the failure delivery result. It shall comply with the provisions defined in table 5.6.2.2.4-1.</w:t>
      </w:r>
    </w:p>
    <w:p w:rsidR="00CB0DD7" w:rsidRPr="000A0A5F" w:rsidRDefault="00CB0DD7">
      <w:pPr>
        <w:pStyle w:val="TH"/>
      </w:pPr>
      <w:r w:rsidRPr="000A0A5F">
        <w:t>Table 5.6.2.2.4-1: Definition of NiddDownlinkDataDeliveryFailure data Type</w:t>
      </w:r>
    </w:p>
    <w:tbl>
      <w:tblPr>
        <w:tblW w:w="5122"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870"/>
        <w:gridCol w:w="1216"/>
        <w:gridCol w:w="1274"/>
        <w:gridCol w:w="5738"/>
      </w:tblGrid>
      <w:tr w:rsidR="00CB0DD7" w:rsidRPr="000A0A5F" w:rsidTr="00FF0AF8">
        <w:tc>
          <w:tcPr>
            <w:tcW w:w="926" w:type="pct"/>
            <w:shd w:val="clear" w:color="auto" w:fill="C0C0C0"/>
            <w:tcMar>
              <w:top w:w="0" w:type="dxa"/>
              <w:left w:w="108" w:type="dxa"/>
              <w:bottom w:w="0" w:type="dxa"/>
              <w:right w:w="108" w:type="dxa"/>
            </w:tcMar>
          </w:tcPr>
          <w:p w:rsidR="00CB0DD7" w:rsidRPr="000A0A5F" w:rsidRDefault="00CB0DD7">
            <w:pPr>
              <w:pStyle w:val="TAH"/>
            </w:pPr>
            <w:r w:rsidRPr="000A0A5F">
              <w:t>Attribute name</w:t>
            </w:r>
          </w:p>
        </w:tc>
        <w:tc>
          <w:tcPr>
            <w:tcW w:w="602" w:type="pct"/>
            <w:shd w:val="clear" w:color="auto" w:fill="C0C0C0"/>
            <w:tcMar>
              <w:top w:w="0" w:type="dxa"/>
              <w:left w:w="108" w:type="dxa"/>
              <w:bottom w:w="0" w:type="dxa"/>
              <w:right w:w="108" w:type="dxa"/>
            </w:tcMar>
          </w:tcPr>
          <w:p w:rsidR="00CB0DD7" w:rsidRPr="000A0A5F" w:rsidRDefault="00CB0DD7">
            <w:pPr>
              <w:pStyle w:val="TAH"/>
            </w:pPr>
            <w:r w:rsidRPr="000A0A5F">
              <w:t>Data type</w:t>
            </w:r>
          </w:p>
        </w:tc>
        <w:tc>
          <w:tcPr>
            <w:tcW w:w="631" w:type="pct"/>
            <w:shd w:val="clear" w:color="auto" w:fill="C0C0C0"/>
            <w:tcMar>
              <w:top w:w="0" w:type="dxa"/>
              <w:left w:w="108" w:type="dxa"/>
              <w:bottom w:w="0" w:type="dxa"/>
              <w:right w:w="108" w:type="dxa"/>
            </w:tcMar>
          </w:tcPr>
          <w:p w:rsidR="00CB0DD7" w:rsidRPr="000A0A5F" w:rsidRDefault="00CB0DD7">
            <w:pPr>
              <w:pStyle w:val="TAH"/>
            </w:pPr>
            <w:r w:rsidRPr="000A0A5F">
              <w:t>Cardinality</w:t>
            </w:r>
          </w:p>
        </w:tc>
        <w:tc>
          <w:tcPr>
            <w:tcW w:w="2841" w:type="pct"/>
            <w:shd w:val="clear" w:color="auto" w:fill="C0C0C0"/>
            <w:tcMar>
              <w:top w:w="0" w:type="dxa"/>
              <w:left w:w="108" w:type="dxa"/>
              <w:bottom w:w="0" w:type="dxa"/>
              <w:right w:w="108" w:type="dxa"/>
            </w:tcMar>
          </w:tcPr>
          <w:p w:rsidR="00CB0DD7" w:rsidRPr="000A0A5F" w:rsidRDefault="00CB0DD7">
            <w:pPr>
              <w:pStyle w:val="TAH"/>
            </w:pPr>
            <w:r w:rsidRPr="000A0A5F">
              <w:t>Description</w:t>
            </w:r>
          </w:p>
        </w:tc>
      </w:tr>
      <w:tr w:rsidR="00CB0DD7" w:rsidRPr="000A0A5F" w:rsidTr="00FF0AF8">
        <w:tc>
          <w:tcPr>
            <w:tcW w:w="926" w:type="pct"/>
            <w:shd w:val="clear" w:color="auto" w:fill="auto"/>
            <w:tcMar>
              <w:top w:w="0" w:type="dxa"/>
              <w:left w:w="108" w:type="dxa"/>
              <w:bottom w:w="0" w:type="dxa"/>
              <w:right w:w="108" w:type="dxa"/>
            </w:tcMar>
          </w:tcPr>
          <w:p w:rsidR="00CB0DD7" w:rsidRPr="000A0A5F" w:rsidRDefault="00CB0DD7">
            <w:pPr>
              <w:pStyle w:val="TAL"/>
            </w:pPr>
            <w:r w:rsidRPr="000A0A5F">
              <w:t>problemDetail</w:t>
            </w:r>
          </w:p>
        </w:tc>
        <w:tc>
          <w:tcPr>
            <w:tcW w:w="602" w:type="pct"/>
            <w:shd w:val="clear" w:color="auto" w:fill="auto"/>
            <w:tcMar>
              <w:top w:w="0" w:type="dxa"/>
              <w:left w:w="108" w:type="dxa"/>
              <w:bottom w:w="0" w:type="dxa"/>
              <w:right w:w="108" w:type="dxa"/>
            </w:tcMar>
          </w:tcPr>
          <w:p w:rsidR="00CB0DD7" w:rsidRPr="000A0A5F" w:rsidRDefault="00CB0DD7">
            <w:pPr>
              <w:pStyle w:val="TAL"/>
            </w:pPr>
            <w:r w:rsidRPr="000A0A5F">
              <w:rPr>
                <w:lang w:eastAsia="zh-CN"/>
              </w:rPr>
              <w:t>ProblemDetails</w:t>
            </w:r>
          </w:p>
        </w:tc>
        <w:tc>
          <w:tcPr>
            <w:tcW w:w="631" w:type="pct"/>
            <w:shd w:val="clear" w:color="auto" w:fill="auto"/>
            <w:tcMar>
              <w:top w:w="0" w:type="dxa"/>
              <w:left w:w="108" w:type="dxa"/>
              <w:bottom w:w="0" w:type="dxa"/>
              <w:right w:w="108" w:type="dxa"/>
            </w:tcMar>
          </w:tcPr>
          <w:p w:rsidR="00CB0DD7" w:rsidRPr="000A0A5F" w:rsidRDefault="00CB0DD7">
            <w:pPr>
              <w:pStyle w:val="TAL"/>
            </w:pPr>
            <w:r w:rsidRPr="000A0A5F">
              <w:rPr>
                <w:rFonts w:eastAsia="Times New Roman"/>
              </w:rPr>
              <w:t>1</w:t>
            </w:r>
          </w:p>
        </w:tc>
        <w:tc>
          <w:tcPr>
            <w:tcW w:w="2841" w:type="pct"/>
            <w:shd w:val="clear" w:color="auto" w:fill="auto"/>
            <w:tcMar>
              <w:top w:w="0" w:type="dxa"/>
              <w:left w:w="108" w:type="dxa"/>
              <w:bottom w:w="0" w:type="dxa"/>
              <w:right w:w="108" w:type="dxa"/>
            </w:tcMar>
          </w:tcPr>
          <w:p w:rsidR="00CB0DD7" w:rsidRPr="000A0A5F" w:rsidRDefault="00CB0DD7">
            <w:pPr>
              <w:pStyle w:val="TAL"/>
              <w:rPr>
                <w:rFonts w:eastAsia="Times New Roman" w:cs="Arial"/>
                <w:szCs w:val="18"/>
              </w:rPr>
            </w:pPr>
            <w:r w:rsidRPr="000A0A5F">
              <w:rPr>
                <w:rFonts w:eastAsia="Times New Roman" w:cs="Arial"/>
                <w:szCs w:val="18"/>
              </w:rPr>
              <w:t xml:space="preserve">Detailed problem </w:t>
            </w:r>
            <w:r w:rsidRPr="000A0A5F">
              <w:rPr>
                <w:lang w:eastAsia="zh-CN"/>
              </w:rPr>
              <w:t>as defined in clause</w:t>
            </w:r>
            <w:r w:rsidRPr="000A0A5F">
              <w:rPr>
                <w:lang w:val="en-US" w:eastAsia="zh-CN"/>
              </w:rPr>
              <w:t> 5.2.1.2.12.</w:t>
            </w:r>
          </w:p>
        </w:tc>
      </w:tr>
      <w:tr w:rsidR="00CB0DD7" w:rsidRPr="000A0A5F" w:rsidTr="00FF0AF8">
        <w:tc>
          <w:tcPr>
            <w:tcW w:w="926" w:type="pct"/>
            <w:shd w:val="clear" w:color="auto" w:fill="auto"/>
            <w:tcMar>
              <w:top w:w="0" w:type="dxa"/>
              <w:left w:w="108" w:type="dxa"/>
              <w:bottom w:w="0" w:type="dxa"/>
              <w:right w:w="108" w:type="dxa"/>
            </w:tcMar>
          </w:tcPr>
          <w:p w:rsidR="00CB0DD7" w:rsidRPr="000A0A5F" w:rsidRDefault="00CB0DD7">
            <w:pPr>
              <w:pStyle w:val="TAL"/>
            </w:pPr>
            <w:r w:rsidRPr="000A0A5F">
              <w:rPr>
                <w:rFonts w:eastAsia="Times New Roman"/>
              </w:rPr>
              <w:t>requestedRetransmissionTime</w:t>
            </w:r>
          </w:p>
        </w:tc>
        <w:tc>
          <w:tcPr>
            <w:tcW w:w="602" w:type="pct"/>
            <w:shd w:val="clear" w:color="auto" w:fill="auto"/>
            <w:tcMar>
              <w:top w:w="0" w:type="dxa"/>
              <w:left w:w="108" w:type="dxa"/>
              <w:bottom w:w="0" w:type="dxa"/>
              <w:right w:w="108" w:type="dxa"/>
            </w:tcMar>
          </w:tcPr>
          <w:p w:rsidR="00CB0DD7" w:rsidRPr="000A0A5F" w:rsidRDefault="00CB0DD7">
            <w:pPr>
              <w:pStyle w:val="TAL"/>
            </w:pPr>
            <w:r w:rsidRPr="000A0A5F">
              <w:rPr>
                <w:lang w:eastAsia="zh-CN"/>
              </w:rPr>
              <w:t>D</w:t>
            </w:r>
            <w:r w:rsidRPr="000A0A5F">
              <w:rPr>
                <w:rFonts w:hint="eastAsia"/>
                <w:lang w:eastAsia="zh-CN"/>
              </w:rPr>
              <w:t>at</w:t>
            </w:r>
            <w:r w:rsidRPr="000A0A5F">
              <w:rPr>
                <w:lang w:eastAsia="zh-CN"/>
              </w:rPr>
              <w:t>e</w:t>
            </w:r>
            <w:r w:rsidRPr="000A0A5F">
              <w:rPr>
                <w:rFonts w:hint="eastAsia"/>
                <w:lang w:eastAsia="zh-CN"/>
              </w:rPr>
              <w:t>Time</w:t>
            </w:r>
          </w:p>
        </w:tc>
        <w:tc>
          <w:tcPr>
            <w:tcW w:w="631" w:type="pct"/>
            <w:shd w:val="clear" w:color="auto" w:fill="auto"/>
            <w:tcMar>
              <w:top w:w="0" w:type="dxa"/>
              <w:left w:w="108" w:type="dxa"/>
              <w:bottom w:w="0" w:type="dxa"/>
              <w:right w:w="108" w:type="dxa"/>
            </w:tcMar>
          </w:tcPr>
          <w:p w:rsidR="00CB0DD7" w:rsidRPr="000A0A5F" w:rsidRDefault="00CB0DD7">
            <w:pPr>
              <w:pStyle w:val="TAL"/>
            </w:pPr>
            <w:r w:rsidRPr="000A0A5F">
              <w:rPr>
                <w:rFonts w:eastAsia="Times New Roman"/>
              </w:rPr>
              <w:t>0..1</w:t>
            </w:r>
          </w:p>
        </w:tc>
        <w:tc>
          <w:tcPr>
            <w:tcW w:w="2841" w:type="pct"/>
            <w:shd w:val="clear" w:color="auto" w:fill="auto"/>
            <w:tcMar>
              <w:top w:w="0" w:type="dxa"/>
              <w:left w:w="108" w:type="dxa"/>
              <w:bottom w:w="0" w:type="dxa"/>
              <w:right w:w="108" w:type="dxa"/>
            </w:tcMar>
          </w:tcPr>
          <w:p w:rsidR="00CB0DD7" w:rsidRPr="000A0A5F" w:rsidRDefault="00CB0DD7">
            <w:pPr>
              <w:pStyle w:val="TAL"/>
              <w:rPr>
                <w:rFonts w:cs="Arial" w:hint="eastAsia"/>
                <w:lang w:eastAsia="zh-CN"/>
              </w:rPr>
            </w:pPr>
            <w:r w:rsidRPr="000A0A5F">
              <w:rPr>
                <w:rFonts w:cs="Arial"/>
                <w:lang w:eastAsia="zh-CN"/>
              </w:rPr>
              <w:t>I</w:t>
            </w:r>
            <w:r w:rsidRPr="000A0A5F">
              <w:rPr>
                <w:rFonts w:cs="Arial"/>
              </w:rPr>
              <w:t>dentifies the absolute time at which the</w:t>
            </w:r>
            <w:r w:rsidRPr="000A0A5F">
              <w:rPr>
                <w:rFonts w:cs="Arial"/>
                <w:lang w:eastAsia="zh-CN"/>
              </w:rPr>
              <w:t xml:space="preserve"> UE will be reachable.</w:t>
            </w:r>
          </w:p>
          <w:p w:rsidR="00CB0DD7" w:rsidRPr="000A0A5F" w:rsidRDefault="00CB0DD7">
            <w:pPr>
              <w:pStyle w:val="TAL"/>
              <w:rPr>
                <w:rFonts w:cs="Arial" w:hint="eastAsia"/>
                <w:szCs w:val="18"/>
                <w:lang w:eastAsia="zh-CN"/>
              </w:rPr>
            </w:pPr>
            <w:r w:rsidRPr="000A0A5F">
              <w:rPr>
                <w:rFonts w:eastAsia="Times New Roman" w:cs="Arial"/>
                <w:szCs w:val="18"/>
              </w:rPr>
              <w:t>This parameter may be supplied by the SCEF for error indicating "</w:t>
            </w:r>
            <w:r w:rsidRPr="000A0A5F">
              <w:t>TEMPORARILY_NOT_REACHABLE"</w:t>
            </w:r>
          </w:p>
        </w:tc>
      </w:tr>
      <w:bookmarkEnd w:id="3699"/>
    </w:tbl>
    <w:p w:rsidR="00CB0DD7" w:rsidRPr="000A0A5F" w:rsidRDefault="00CB0DD7"/>
    <w:p w:rsidR="00CB0DD7" w:rsidRPr="000A0A5F" w:rsidRDefault="00CB0DD7">
      <w:pPr>
        <w:pStyle w:val="Heading5"/>
      </w:pPr>
      <w:bookmarkStart w:id="3712" w:name="_Toc45131753"/>
      <w:bookmarkStart w:id="3713" w:name="_Toc49776038"/>
      <w:bookmarkStart w:id="3714" w:name="_Toc51746958"/>
      <w:bookmarkStart w:id="3715" w:name="_Toc66360512"/>
      <w:bookmarkStart w:id="3716" w:name="_Toc68105017"/>
      <w:bookmarkStart w:id="3717" w:name="_Toc74755647"/>
      <w:bookmarkStart w:id="3718" w:name="_Toc105674521"/>
      <w:bookmarkStart w:id="3719" w:name="_Toc130502569"/>
      <w:bookmarkStart w:id="3720" w:name="_Toc153625356"/>
      <w:r w:rsidRPr="000A0A5F">
        <w:t>5.6.2.2.5</w:t>
      </w:r>
      <w:r w:rsidRPr="000A0A5F">
        <w:tab/>
        <w:t>Type: RdsDownlinkDataDeliveryFailure</w:t>
      </w:r>
      <w:bookmarkEnd w:id="3712"/>
      <w:bookmarkEnd w:id="3713"/>
      <w:bookmarkEnd w:id="3714"/>
      <w:bookmarkEnd w:id="3715"/>
      <w:bookmarkEnd w:id="3716"/>
      <w:bookmarkEnd w:id="3717"/>
      <w:bookmarkEnd w:id="3718"/>
      <w:bookmarkEnd w:id="3719"/>
      <w:bookmarkEnd w:id="3720"/>
    </w:p>
    <w:p w:rsidR="00CB0DD7" w:rsidRPr="000A0A5F" w:rsidRDefault="00CB0DD7">
      <w:r w:rsidRPr="000A0A5F">
        <w:t>This type represents the failure delivery result for RDS. It shall comply with the provisions defined in table 5.6.2.2.5-1.</w:t>
      </w:r>
    </w:p>
    <w:p w:rsidR="00CB0DD7" w:rsidRPr="000A0A5F" w:rsidRDefault="00CB0DD7">
      <w:pPr>
        <w:pStyle w:val="TH"/>
      </w:pPr>
      <w:r w:rsidRPr="000A0A5F">
        <w:t>Table 5.6.2.2.5-1: Definition of RdsDownlinkDataDeliveryFailure data Type</w:t>
      </w:r>
    </w:p>
    <w:tbl>
      <w:tblPr>
        <w:tblW w:w="5122"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870"/>
        <w:gridCol w:w="1216"/>
        <w:gridCol w:w="1274"/>
        <w:gridCol w:w="5738"/>
      </w:tblGrid>
      <w:tr w:rsidR="00CB0DD7" w:rsidRPr="000A0A5F" w:rsidTr="00FF0AF8">
        <w:tc>
          <w:tcPr>
            <w:tcW w:w="926" w:type="pct"/>
            <w:shd w:val="clear" w:color="auto" w:fill="C0C0C0"/>
            <w:tcMar>
              <w:top w:w="0" w:type="dxa"/>
              <w:left w:w="108" w:type="dxa"/>
              <w:bottom w:w="0" w:type="dxa"/>
              <w:right w:w="108" w:type="dxa"/>
            </w:tcMar>
          </w:tcPr>
          <w:p w:rsidR="00CB0DD7" w:rsidRPr="000A0A5F" w:rsidRDefault="00CB0DD7">
            <w:pPr>
              <w:pStyle w:val="TAH"/>
            </w:pPr>
            <w:r w:rsidRPr="000A0A5F">
              <w:t>Attribute name</w:t>
            </w:r>
          </w:p>
        </w:tc>
        <w:tc>
          <w:tcPr>
            <w:tcW w:w="602" w:type="pct"/>
            <w:shd w:val="clear" w:color="auto" w:fill="C0C0C0"/>
            <w:tcMar>
              <w:top w:w="0" w:type="dxa"/>
              <w:left w:w="108" w:type="dxa"/>
              <w:bottom w:w="0" w:type="dxa"/>
              <w:right w:w="108" w:type="dxa"/>
            </w:tcMar>
          </w:tcPr>
          <w:p w:rsidR="00CB0DD7" w:rsidRPr="000A0A5F" w:rsidRDefault="00CB0DD7">
            <w:pPr>
              <w:pStyle w:val="TAH"/>
            </w:pPr>
            <w:r w:rsidRPr="000A0A5F">
              <w:t>Data type</w:t>
            </w:r>
          </w:p>
        </w:tc>
        <w:tc>
          <w:tcPr>
            <w:tcW w:w="631" w:type="pct"/>
            <w:shd w:val="clear" w:color="auto" w:fill="C0C0C0"/>
            <w:tcMar>
              <w:top w:w="0" w:type="dxa"/>
              <w:left w:w="108" w:type="dxa"/>
              <w:bottom w:w="0" w:type="dxa"/>
              <w:right w:w="108" w:type="dxa"/>
            </w:tcMar>
          </w:tcPr>
          <w:p w:rsidR="00CB0DD7" w:rsidRPr="000A0A5F" w:rsidRDefault="00CB0DD7">
            <w:pPr>
              <w:pStyle w:val="TAH"/>
            </w:pPr>
            <w:r w:rsidRPr="000A0A5F">
              <w:t>Cardinality</w:t>
            </w:r>
          </w:p>
        </w:tc>
        <w:tc>
          <w:tcPr>
            <w:tcW w:w="2841" w:type="pct"/>
            <w:shd w:val="clear" w:color="auto" w:fill="C0C0C0"/>
            <w:tcMar>
              <w:top w:w="0" w:type="dxa"/>
              <w:left w:w="108" w:type="dxa"/>
              <w:bottom w:w="0" w:type="dxa"/>
              <w:right w:w="108" w:type="dxa"/>
            </w:tcMar>
          </w:tcPr>
          <w:p w:rsidR="00CB0DD7" w:rsidRPr="000A0A5F" w:rsidRDefault="00CB0DD7">
            <w:pPr>
              <w:pStyle w:val="TAH"/>
            </w:pPr>
            <w:r w:rsidRPr="000A0A5F">
              <w:t>Description</w:t>
            </w:r>
          </w:p>
        </w:tc>
      </w:tr>
      <w:tr w:rsidR="00CB0DD7" w:rsidRPr="000A0A5F" w:rsidTr="00FF0AF8">
        <w:tc>
          <w:tcPr>
            <w:tcW w:w="926" w:type="pct"/>
            <w:shd w:val="clear" w:color="auto" w:fill="auto"/>
            <w:tcMar>
              <w:top w:w="0" w:type="dxa"/>
              <w:left w:w="108" w:type="dxa"/>
              <w:bottom w:w="0" w:type="dxa"/>
              <w:right w:w="108" w:type="dxa"/>
            </w:tcMar>
          </w:tcPr>
          <w:p w:rsidR="00CB0DD7" w:rsidRPr="000A0A5F" w:rsidRDefault="00CB0DD7">
            <w:pPr>
              <w:pStyle w:val="TAL"/>
            </w:pPr>
            <w:r w:rsidRPr="000A0A5F">
              <w:rPr>
                <w:rFonts w:eastAsia="Times New Roman"/>
              </w:rPr>
              <w:t>requestedRetransmissionTime</w:t>
            </w:r>
          </w:p>
        </w:tc>
        <w:tc>
          <w:tcPr>
            <w:tcW w:w="602" w:type="pct"/>
            <w:shd w:val="clear" w:color="auto" w:fill="auto"/>
            <w:tcMar>
              <w:top w:w="0" w:type="dxa"/>
              <w:left w:w="108" w:type="dxa"/>
              <w:bottom w:w="0" w:type="dxa"/>
              <w:right w:w="108" w:type="dxa"/>
            </w:tcMar>
          </w:tcPr>
          <w:p w:rsidR="00CB0DD7" w:rsidRPr="000A0A5F" w:rsidRDefault="00CB0DD7">
            <w:pPr>
              <w:pStyle w:val="TAL"/>
            </w:pPr>
            <w:r w:rsidRPr="000A0A5F">
              <w:rPr>
                <w:lang w:eastAsia="zh-CN"/>
              </w:rPr>
              <w:t>D</w:t>
            </w:r>
            <w:r w:rsidRPr="000A0A5F">
              <w:rPr>
                <w:rFonts w:hint="eastAsia"/>
                <w:lang w:eastAsia="zh-CN"/>
              </w:rPr>
              <w:t>at</w:t>
            </w:r>
            <w:r w:rsidRPr="000A0A5F">
              <w:rPr>
                <w:lang w:eastAsia="zh-CN"/>
              </w:rPr>
              <w:t>e</w:t>
            </w:r>
            <w:r w:rsidRPr="000A0A5F">
              <w:rPr>
                <w:rFonts w:hint="eastAsia"/>
                <w:lang w:eastAsia="zh-CN"/>
              </w:rPr>
              <w:t>Time</w:t>
            </w:r>
          </w:p>
        </w:tc>
        <w:tc>
          <w:tcPr>
            <w:tcW w:w="631" w:type="pct"/>
            <w:shd w:val="clear" w:color="auto" w:fill="auto"/>
            <w:tcMar>
              <w:top w:w="0" w:type="dxa"/>
              <w:left w:w="108" w:type="dxa"/>
              <w:bottom w:w="0" w:type="dxa"/>
              <w:right w:w="108" w:type="dxa"/>
            </w:tcMar>
          </w:tcPr>
          <w:p w:rsidR="00CB0DD7" w:rsidRPr="000A0A5F" w:rsidRDefault="00CB0DD7">
            <w:pPr>
              <w:pStyle w:val="TAL"/>
            </w:pPr>
            <w:r w:rsidRPr="000A0A5F">
              <w:rPr>
                <w:rFonts w:eastAsia="Times New Roman"/>
              </w:rPr>
              <w:t>0..1</w:t>
            </w:r>
          </w:p>
        </w:tc>
        <w:tc>
          <w:tcPr>
            <w:tcW w:w="2841" w:type="pct"/>
            <w:shd w:val="clear" w:color="auto" w:fill="auto"/>
            <w:tcMar>
              <w:top w:w="0" w:type="dxa"/>
              <w:left w:w="108" w:type="dxa"/>
              <w:bottom w:w="0" w:type="dxa"/>
              <w:right w:w="108" w:type="dxa"/>
            </w:tcMar>
          </w:tcPr>
          <w:p w:rsidR="00CB0DD7" w:rsidRPr="000A0A5F" w:rsidRDefault="00CB0DD7">
            <w:pPr>
              <w:pStyle w:val="TAL"/>
              <w:rPr>
                <w:rFonts w:cs="Arial" w:hint="eastAsia"/>
                <w:lang w:eastAsia="zh-CN"/>
              </w:rPr>
            </w:pPr>
            <w:r w:rsidRPr="000A0A5F">
              <w:rPr>
                <w:rFonts w:cs="Arial"/>
                <w:lang w:eastAsia="zh-CN"/>
              </w:rPr>
              <w:t>I</w:t>
            </w:r>
            <w:r w:rsidRPr="000A0A5F">
              <w:rPr>
                <w:rFonts w:cs="Arial"/>
              </w:rPr>
              <w:t>dentifies the absolute time at which the</w:t>
            </w:r>
            <w:r w:rsidRPr="000A0A5F">
              <w:rPr>
                <w:rFonts w:cs="Arial"/>
                <w:lang w:eastAsia="zh-CN"/>
              </w:rPr>
              <w:t xml:space="preserve"> UE will be reachable.</w:t>
            </w:r>
          </w:p>
          <w:p w:rsidR="00CB0DD7" w:rsidRPr="000A0A5F" w:rsidRDefault="00CB0DD7">
            <w:pPr>
              <w:pStyle w:val="TAL"/>
              <w:rPr>
                <w:rFonts w:cs="Arial" w:hint="eastAsia"/>
                <w:szCs w:val="18"/>
                <w:lang w:eastAsia="zh-CN"/>
              </w:rPr>
            </w:pPr>
            <w:r w:rsidRPr="000A0A5F">
              <w:rPr>
                <w:rFonts w:eastAsia="Times New Roman" w:cs="Arial"/>
                <w:szCs w:val="18"/>
              </w:rPr>
              <w:t>This parameter may be supplied by the SCEF for error indicating "</w:t>
            </w:r>
            <w:r w:rsidRPr="000A0A5F">
              <w:t>TEMPORARILY_NOT_REACHABLE"</w:t>
            </w:r>
          </w:p>
        </w:tc>
      </w:tr>
      <w:tr w:rsidR="00CB0DD7" w:rsidRPr="000A0A5F" w:rsidTr="00FF0AF8">
        <w:tc>
          <w:tcPr>
            <w:tcW w:w="926" w:type="pct"/>
            <w:shd w:val="clear" w:color="auto" w:fill="auto"/>
            <w:tcMar>
              <w:top w:w="0" w:type="dxa"/>
              <w:left w:w="108" w:type="dxa"/>
              <w:bottom w:w="0" w:type="dxa"/>
              <w:right w:w="108" w:type="dxa"/>
            </w:tcMar>
          </w:tcPr>
          <w:p w:rsidR="00CB0DD7" w:rsidRPr="000A0A5F" w:rsidRDefault="00CB0DD7">
            <w:pPr>
              <w:pStyle w:val="TAL"/>
              <w:rPr>
                <w:rFonts w:eastAsia="Times New Roman"/>
              </w:rPr>
            </w:pPr>
            <w:r w:rsidRPr="000A0A5F">
              <w:t>supportedUeFormats</w:t>
            </w:r>
          </w:p>
        </w:tc>
        <w:tc>
          <w:tcPr>
            <w:tcW w:w="602" w:type="pct"/>
            <w:shd w:val="clear" w:color="auto" w:fill="auto"/>
            <w:tcMar>
              <w:top w:w="0" w:type="dxa"/>
              <w:left w:w="108" w:type="dxa"/>
              <w:bottom w:w="0" w:type="dxa"/>
              <w:right w:w="108" w:type="dxa"/>
            </w:tcMar>
          </w:tcPr>
          <w:p w:rsidR="00CB0DD7" w:rsidRPr="000A0A5F" w:rsidRDefault="00CB0DD7">
            <w:pPr>
              <w:pStyle w:val="TAL"/>
              <w:rPr>
                <w:lang w:eastAsia="zh-CN"/>
              </w:rPr>
            </w:pPr>
            <w:r w:rsidRPr="000A0A5F">
              <w:rPr>
                <w:lang w:eastAsia="zh-CN"/>
              </w:rPr>
              <w:t>array(</w:t>
            </w:r>
            <w:r w:rsidRPr="000A0A5F">
              <w:t>SerializationFormat</w:t>
            </w:r>
            <w:r w:rsidRPr="000A0A5F">
              <w:rPr>
                <w:lang w:eastAsia="zh-CN"/>
              </w:rPr>
              <w:t>)</w:t>
            </w:r>
          </w:p>
        </w:tc>
        <w:tc>
          <w:tcPr>
            <w:tcW w:w="631" w:type="pct"/>
            <w:shd w:val="clear" w:color="auto" w:fill="auto"/>
            <w:tcMar>
              <w:top w:w="0" w:type="dxa"/>
              <w:left w:w="108" w:type="dxa"/>
              <w:bottom w:w="0" w:type="dxa"/>
              <w:right w:w="108" w:type="dxa"/>
            </w:tcMar>
          </w:tcPr>
          <w:p w:rsidR="00CB0DD7" w:rsidRPr="000A0A5F" w:rsidRDefault="00CB0DD7">
            <w:pPr>
              <w:pStyle w:val="TAL"/>
              <w:rPr>
                <w:rFonts w:eastAsia="Times New Roman"/>
              </w:rPr>
            </w:pPr>
            <w:r w:rsidRPr="000A0A5F">
              <w:t>0..N</w:t>
            </w:r>
          </w:p>
        </w:tc>
        <w:tc>
          <w:tcPr>
            <w:tcW w:w="2841" w:type="pct"/>
            <w:shd w:val="clear" w:color="auto" w:fill="auto"/>
            <w:tcMar>
              <w:top w:w="0" w:type="dxa"/>
              <w:left w:w="108" w:type="dxa"/>
              <w:bottom w:w="0" w:type="dxa"/>
              <w:right w:w="108" w:type="dxa"/>
            </w:tcMar>
            <w:vAlign w:val="center"/>
          </w:tcPr>
          <w:p w:rsidR="00CB0DD7" w:rsidRPr="000A0A5F" w:rsidRDefault="00CB0DD7">
            <w:pPr>
              <w:pStyle w:val="TAL"/>
            </w:pPr>
            <w:r w:rsidRPr="000A0A5F">
              <w:rPr>
                <w:rFonts w:cs="Arial"/>
                <w:szCs w:val="18"/>
                <w:lang w:eastAsia="zh-CN"/>
              </w:rPr>
              <w:t xml:space="preserve">Indicates the serialization format(s) that are supported by the UE on the associated RDS port. </w:t>
            </w:r>
          </w:p>
          <w:p w:rsidR="00CB0DD7" w:rsidRPr="000A0A5F" w:rsidRDefault="00CB0DD7">
            <w:pPr>
              <w:pStyle w:val="TAL"/>
              <w:rPr>
                <w:rFonts w:cs="Arial"/>
                <w:lang w:eastAsia="zh-CN"/>
              </w:rPr>
            </w:pPr>
            <w:r w:rsidRPr="000A0A5F">
              <w:rPr>
                <w:rFonts w:cs="Arial"/>
                <w:szCs w:val="18"/>
              </w:rPr>
              <w:t>This parameter may be supplied by the SCEF for error indicating "</w:t>
            </w:r>
            <w:r w:rsidRPr="000A0A5F">
              <w:t xml:space="preserve"> SERIALIZATION_FORMAT_NOT_SUPPORTED"</w:t>
            </w:r>
          </w:p>
        </w:tc>
      </w:tr>
      <w:tr w:rsidR="00CB0DD7" w:rsidRPr="000A0A5F" w:rsidTr="00FF0AF8">
        <w:tc>
          <w:tcPr>
            <w:tcW w:w="5000" w:type="pct"/>
            <w:gridSpan w:val="4"/>
            <w:shd w:val="clear" w:color="auto" w:fill="auto"/>
            <w:tcMar>
              <w:top w:w="0" w:type="dxa"/>
              <w:left w:w="108" w:type="dxa"/>
              <w:bottom w:w="0" w:type="dxa"/>
              <w:right w:w="108" w:type="dxa"/>
            </w:tcMar>
          </w:tcPr>
          <w:p w:rsidR="00CB0DD7" w:rsidRPr="000A0A5F" w:rsidRDefault="00CB0DD7">
            <w:pPr>
              <w:pStyle w:val="TAL"/>
              <w:rPr>
                <w:rFonts w:cs="Arial"/>
                <w:lang w:eastAsia="zh-CN"/>
              </w:rPr>
            </w:pPr>
            <w:r w:rsidRPr="000A0A5F">
              <w:rPr>
                <w:rFonts w:cs="Arial"/>
                <w:szCs w:val="18"/>
              </w:rPr>
              <w:t>NOTE:</w:t>
            </w:r>
            <w:r w:rsidRPr="000A0A5F">
              <w:rPr>
                <w:rStyle w:val="TANChar"/>
              </w:rPr>
              <w:tab/>
            </w:r>
            <w:r w:rsidRPr="000A0A5F">
              <w:t>This data type also contains all the properties defined for ProblemDetails data type in clause 5.2.1.2.12.</w:t>
            </w:r>
          </w:p>
        </w:tc>
      </w:tr>
    </w:tbl>
    <w:p w:rsidR="00CB0DD7" w:rsidRPr="000A0A5F" w:rsidRDefault="00CB0DD7"/>
    <w:p w:rsidR="00CB0DD7" w:rsidRPr="000A0A5F" w:rsidRDefault="00CB0DD7">
      <w:pPr>
        <w:pStyle w:val="Heading4"/>
      </w:pPr>
      <w:bookmarkStart w:id="3721" w:name="_Toc11247452"/>
      <w:bookmarkStart w:id="3722" w:name="_Toc27044576"/>
      <w:bookmarkStart w:id="3723" w:name="_Toc36033618"/>
      <w:bookmarkStart w:id="3724" w:name="_Toc45131754"/>
      <w:bookmarkStart w:id="3725" w:name="_Toc49776039"/>
      <w:bookmarkStart w:id="3726" w:name="_Toc51746959"/>
      <w:bookmarkStart w:id="3727" w:name="_Toc66360513"/>
      <w:bookmarkStart w:id="3728" w:name="_Toc68105018"/>
      <w:bookmarkStart w:id="3729" w:name="_Toc74755648"/>
      <w:bookmarkStart w:id="3730" w:name="_Toc105674522"/>
      <w:bookmarkStart w:id="3731" w:name="_Toc130502570"/>
      <w:bookmarkStart w:id="3732" w:name="_Toc153625357"/>
      <w:r w:rsidRPr="000A0A5F">
        <w:t>5.6.2.3</w:t>
      </w:r>
      <w:r w:rsidRPr="000A0A5F">
        <w:tab/>
        <w:t>Referenced simple data types and enumerations</w:t>
      </w:r>
      <w:bookmarkEnd w:id="3721"/>
      <w:bookmarkEnd w:id="3722"/>
      <w:bookmarkEnd w:id="3723"/>
      <w:bookmarkEnd w:id="3724"/>
      <w:bookmarkEnd w:id="3725"/>
      <w:bookmarkEnd w:id="3726"/>
      <w:bookmarkEnd w:id="3727"/>
      <w:bookmarkEnd w:id="3728"/>
      <w:bookmarkEnd w:id="3729"/>
      <w:bookmarkEnd w:id="3730"/>
      <w:bookmarkEnd w:id="3731"/>
      <w:bookmarkEnd w:id="3732"/>
    </w:p>
    <w:p w:rsidR="00CB0DD7" w:rsidRPr="000A0A5F" w:rsidRDefault="00CB0DD7">
      <w:pPr>
        <w:pStyle w:val="Heading5"/>
      </w:pPr>
      <w:bookmarkStart w:id="3733" w:name="_Toc11247453"/>
      <w:bookmarkStart w:id="3734" w:name="_Toc27044577"/>
      <w:bookmarkStart w:id="3735" w:name="_Toc36033619"/>
      <w:bookmarkStart w:id="3736" w:name="_Toc45131755"/>
      <w:bookmarkStart w:id="3737" w:name="_Toc49776040"/>
      <w:bookmarkStart w:id="3738" w:name="_Toc51746960"/>
      <w:bookmarkStart w:id="3739" w:name="_Toc66360514"/>
      <w:bookmarkStart w:id="3740" w:name="_Toc68105019"/>
      <w:bookmarkStart w:id="3741" w:name="_Toc74755649"/>
      <w:bookmarkStart w:id="3742" w:name="_Toc105674523"/>
      <w:bookmarkStart w:id="3743" w:name="_Toc130502571"/>
      <w:bookmarkStart w:id="3744" w:name="_Toc153625358"/>
      <w:r w:rsidRPr="000A0A5F">
        <w:t>5.6.2.3.1</w:t>
      </w:r>
      <w:r w:rsidRPr="000A0A5F">
        <w:tab/>
        <w:t>Introduction</w:t>
      </w:r>
      <w:bookmarkEnd w:id="3733"/>
      <w:bookmarkEnd w:id="3734"/>
      <w:bookmarkEnd w:id="3735"/>
      <w:bookmarkEnd w:id="3736"/>
      <w:bookmarkEnd w:id="3737"/>
      <w:bookmarkEnd w:id="3738"/>
      <w:bookmarkEnd w:id="3739"/>
      <w:bookmarkEnd w:id="3740"/>
      <w:bookmarkEnd w:id="3741"/>
      <w:bookmarkEnd w:id="3742"/>
      <w:bookmarkEnd w:id="3743"/>
      <w:bookmarkEnd w:id="3744"/>
    </w:p>
    <w:p w:rsidR="00CB0DD7" w:rsidRPr="000A0A5F" w:rsidRDefault="00CB0DD7">
      <w:r w:rsidRPr="000A0A5F">
        <w:t>This clause defines simple data types and enumerations that can be referenced from data structures defined in the previous clauses. In addition, data types and enumerations defined in clause</w:t>
      </w:r>
      <w:r w:rsidRPr="000A0A5F">
        <w:rPr>
          <w:rFonts w:ascii="Segoe UI Symbol" w:hAnsi="Segoe UI Symbol"/>
        </w:rPr>
        <w:t> </w:t>
      </w:r>
      <w:r w:rsidRPr="000A0A5F">
        <w:t>5.2.1 can be referenced.</w:t>
      </w:r>
    </w:p>
    <w:p w:rsidR="00CB0DD7" w:rsidRPr="000A0A5F" w:rsidRDefault="00CB0DD7">
      <w:pPr>
        <w:pStyle w:val="Heading5"/>
      </w:pPr>
      <w:bookmarkStart w:id="3745" w:name="_Toc11247454"/>
      <w:bookmarkStart w:id="3746" w:name="_Toc27044578"/>
      <w:bookmarkStart w:id="3747" w:name="_Toc36033620"/>
      <w:bookmarkStart w:id="3748" w:name="_Toc45131756"/>
      <w:bookmarkStart w:id="3749" w:name="_Toc49776041"/>
      <w:bookmarkStart w:id="3750" w:name="_Toc51746961"/>
      <w:bookmarkStart w:id="3751" w:name="_Toc66360515"/>
      <w:bookmarkStart w:id="3752" w:name="_Toc68105020"/>
      <w:bookmarkStart w:id="3753" w:name="_Toc74755650"/>
      <w:bookmarkStart w:id="3754" w:name="_Toc105674524"/>
      <w:bookmarkStart w:id="3755" w:name="_Toc130502572"/>
      <w:bookmarkStart w:id="3756" w:name="_Toc153625359"/>
      <w:r w:rsidRPr="000A0A5F">
        <w:t>5.6.2.3.2</w:t>
      </w:r>
      <w:r w:rsidRPr="000A0A5F">
        <w:tab/>
        <w:t>Simple data types</w:t>
      </w:r>
      <w:bookmarkEnd w:id="3745"/>
      <w:bookmarkEnd w:id="3746"/>
      <w:bookmarkEnd w:id="3747"/>
      <w:bookmarkEnd w:id="3748"/>
      <w:bookmarkEnd w:id="3749"/>
      <w:bookmarkEnd w:id="3750"/>
      <w:bookmarkEnd w:id="3751"/>
      <w:bookmarkEnd w:id="3752"/>
      <w:bookmarkEnd w:id="3753"/>
      <w:bookmarkEnd w:id="3754"/>
      <w:bookmarkEnd w:id="3755"/>
      <w:bookmarkEnd w:id="3756"/>
      <w:r w:rsidRPr="000A0A5F">
        <w:t xml:space="preserve"> </w:t>
      </w:r>
    </w:p>
    <w:p w:rsidR="00CB0DD7" w:rsidRPr="000A0A5F" w:rsidRDefault="00CB0DD7">
      <w:r w:rsidRPr="000A0A5F">
        <w:t>The simple data types defined in table 5.6.2.</w:t>
      </w:r>
      <w:r w:rsidRPr="000A0A5F">
        <w:rPr>
          <w:rFonts w:hint="eastAsia"/>
          <w:lang w:eastAsia="zh-CN"/>
        </w:rPr>
        <w:t>3</w:t>
      </w:r>
      <w:r w:rsidRPr="000A0A5F">
        <w:t>.2-1 shall be supported.</w:t>
      </w:r>
    </w:p>
    <w:p w:rsidR="00CB0DD7" w:rsidRPr="000A0A5F" w:rsidRDefault="00CB0DD7">
      <w:pPr>
        <w:pStyle w:val="TH"/>
      </w:pPr>
      <w:r w:rsidRPr="000A0A5F">
        <w:t>Table 5.6.2.3.2-1: Simple data types</w:t>
      </w:r>
    </w:p>
    <w:tbl>
      <w:tblPr>
        <w:tblW w:w="4603"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760"/>
        <w:gridCol w:w="7314"/>
      </w:tblGrid>
      <w:tr w:rsidR="00CB0DD7" w:rsidRPr="000A0A5F" w:rsidTr="00FF0AF8">
        <w:tc>
          <w:tcPr>
            <w:tcW w:w="970" w:type="pct"/>
            <w:shd w:val="clear" w:color="auto" w:fill="C0C0C0"/>
            <w:tcMar>
              <w:top w:w="0" w:type="dxa"/>
              <w:left w:w="108" w:type="dxa"/>
              <w:bottom w:w="0" w:type="dxa"/>
              <w:right w:w="108" w:type="dxa"/>
            </w:tcMar>
          </w:tcPr>
          <w:p w:rsidR="00CB0DD7" w:rsidRPr="000A0A5F" w:rsidRDefault="00CB0DD7">
            <w:pPr>
              <w:pStyle w:val="TAH"/>
            </w:pPr>
            <w:r w:rsidRPr="000A0A5F">
              <w:t>Type name</w:t>
            </w:r>
          </w:p>
        </w:tc>
        <w:tc>
          <w:tcPr>
            <w:tcW w:w="4030" w:type="pct"/>
            <w:shd w:val="clear" w:color="auto" w:fill="C0C0C0"/>
            <w:tcMar>
              <w:top w:w="0" w:type="dxa"/>
              <w:left w:w="108" w:type="dxa"/>
              <w:bottom w:w="0" w:type="dxa"/>
              <w:right w:w="108" w:type="dxa"/>
            </w:tcMar>
          </w:tcPr>
          <w:p w:rsidR="00CB0DD7" w:rsidRPr="000A0A5F" w:rsidRDefault="00CB0DD7">
            <w:pPr>
              <w:pStyle w:val="TAH"/>
            </w:pPr>
            <w:r w:rsidRPr="000A0A5F">
              <w:t>Description</w:t>
            </w:r>
          </w:p>
        </w:tc>
      </w:tr>
      <w:tr w:rsidR="00CB0DD7" w:rsidRPr="000A0A5F" w:rsidTr="00FF0AF8">
        <w:tc>
          <w:tcPr>
            <w:tcW w:w="970" w:type="pct"/>
            <w:tcMar>
              <w:top w:w="0" w:type="dxa"/>
              <w:left w:w="108" w:type="dxa"/>
              <w:bottom w:w="0" w:type="dxa"/>
              <w:right w:w="108" w:type="dxa"/>
            </w:tcMar>
          </w:tcPr>
          <w:p w:rsidR="00CB0DD7" w:rsidRPr="000A0A5F" w:rsidRDefault="00CB0DD7">
            <w:pPr>
              <w:pStyle w:val="TAL"/>
            </w:pPr>
          </w:p>
        </w:tc>
        <w:tc>
          <w:tcPr>
            <w:tcW w:w="4030" w:type="pct"/>
            <w:tcMar>
              <w:top w:w="0" w:type="dxa"/>
              <w:left w:w="108" w:type="dxa"/>
              <w:bottom w:w="0" w:type="dxa"/>
              <w:right w:w="108" w:type="dxa"/>
            </w:tcMar>
          </w:tcPr>
          <w:p w:rsidR="00CB0DD7" w:rsidRPr="000A0A5F" w:rsidRDefault="00CB0DD7">
            <w:pPr>
              <w:pStyle w:val="TAL"/>
            </w:pPr>
          </w:p>
        </w:tc>
      </w:tr>
    </w:tbl>
    <w:p w:rsidR="00CB0DD7" w:rsidRPr="000A0A5F" w:rsidRDefault="00CB0DD7"/>
    <w:p w:rsidR="00CB0DD7" w:rsidRPr="000A0A5F" w:rsidRDefault="00CB0DD7">
      <w:pPr>
        <w:pStyle w:val="Heading5"/>
      </w:pPr>
      <w:bookmarkStart w:id="3757" w:name="_Toc11247455"/>
      <w:bookmarkStart w:id="3758" w:name="_Toc27044579"/>
      <w:bookmarkStart w:id="3759" w:name="_Toc36033621"/>
      <w:bookmarkStart w:id="3760" w:name="_Toc45131757"/>
      <w:bookmarkStart w:id="3761" w:name="_Toc49776042"/>
      <w:bookmarkStart w:id="3762" w:name="_Toc51746962"/>
      <w:bookmarkStart w:id="3763" w:name="_Toc66360516"/>
      <w:bookmarkStart w:id="3764" w:name="_Toc68105021"/>
      <w:bookmarkStart w:id="3765" w:name="_Toc74755651"/>
      <w:bookmarkStart w:id="3766" w:name="_Toc105674525"/>
      <w:bookmarkStart w:id="3767" w:name="_Toc130502573"/>
      <w:bookmarkStart w:id="3768" w:name="_Toc153625360"/>
      <w:r w:rsidRPr="000A0A5F">
        <w:t>5.6.2.3.3</w:t>
      </w:r>
      <w:r w:rsidRPr="000A0A5F">
        <w:tab/>
        <w:t xml:space="preserve">Enumeration: </w:t>
      </w:r>
      <w:r w:rsidRPr="000A0A5F">
        <w:rPr>
          <w:rFonts w:eastAsia="Times New Roman"/>
        </w:rPr>
        <w:t>PdnEstablishmentOptions</w:t>
      </w:r>
      <w:bookmarkEnd w:id="3757"/>
      <w:bookmarkEnd w:id="3758"/>
      <w:bookmarkEnd w:id="3759"/>
      <w:bookmarkEnd w:id="3760"/>
      <w:bookmarkEnd w:id="3761"/>
      <w:bookmarkEnd w:id="3762"/>
      <w:bookmarkEnd w:id="3763"/>
      <w:bookmarkEnd w:id="3764"/>
      <w:bookmarkEnd w:id="3765"/>
      <w:bookmarkEnd w:id="3766"/>
      <w:bookmarkEnd w:id="3767"/>
      <w:bookmarkEnd w:id="3768"/>
    </w:p>
    <w:p w:rsidR="00CB0DD7" w:rsidRPr="000A0A5F" w:rsidRDefault="00CB0DD7">
      <w:r w:rsidRPr="000A0A5F">
        <w:t xml:space="preserve">The enumeration </w:t>
      </w:r>
      <w:r w:rsidRPr="000A0A5F">
        <w:rPr>
          <w:rFonts w:eastAsia="Times New Roman"/>
        </w:rPr>
        <w:t>PdnEstablishmentOption</w:t>
      </w:r>
      <w:r w:rsidRPr="000A0A5F">
        <w:t>s represents PDN establishment options that describe the network behaviour when there is no PDN connection towards the addressed UE.</w:t>
      </w:r>
    </w:p>
    <w:p w:rsidR="00CB0DD7" w:rsidRPr="000A0A5F" w:rsidRDefault="00CB0DD7">
      <w:pPr>
        <w:pStyle w:val="TH"/>
      </w:pPr>
      <w:r w:rsidRPr="000A0A5F">
        <w:t xml:space="preserve">Table 5.6.2.3.3-1: Enumeration </w:t>
      </w:r>
      <w:r w:rsidRPr="000A0A5F">
        <w:rPr>
          <w:rFonts w:eastAsia="Times New Roman"/>
        </w:rPr>
        <w:t>PdnEstablishmentOptions</w:t>
      </w:r>
    </w:p>
    <w:tbl>
      <w:tblPr>
        <w:tblW w:w="4648"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267"/>
        <w:gridCol w:w="5103"/>
        <w:gridCol w:w="1700"/>
      </w:tblGrid>
      <w:tr w:rsidR="00CB0DD7" w:rsidRPr="000A0A5F" w:rsidTr="00FF0AF8">
        <w:tc>
          <w:tcPr>
            <w:tcW w:w="1250" w:type="pct"/>
            <w:shd w:val="clear" w:color="auto" w:fill="C0C0C0"/>
            <w:tcMar>
              <w:top w:w="0" w:type="dxa"/>
              <w:left w:w="108" w:type="dxa"/>
              <w:bottom w:w="0" w:type="dxa"/>
              <w:right w:w="108" w:type="dxa"/>
            </w:tcMar>
          </w:tcPr>
          <w:p w:rsidR="00CB0DD7" w:rsidRPr="000A0A5F" w:rsidRDefault="00CB0DD7">
            <w:pPr>
              <w:pStyle w:val="TAH"/>
            </w:pPr>
            <w:r w:rsidRPr="000A0A5F">
              <w:t>Enumeration value</w:t>
            </w:r>
          </w:p>
        </w:tc>
        <w:tc>
          <w:tcPr>
            <w:tcW w:w="2813" w:type="pct"/>
            <w:shd w:val="clear" w:color="auto" w:fill="C0C0C0"/>
            <w:tcMar>
              <w:top w:w="0" w:type="dxa"/>
              <w:left w:w="108" w:type="dxa"/>
              <w:bottom w:w="0" w:type="dxa"/>
              <w:right w:w="108" w:type="dxa"/>
            </w:tcMar>
          </w:tcPr>
          <w:p w:rsidR="00CB0DD7" w:rsidRPr="000A0A5F" w:rsidRDefault="00CB0DD7">
            <w:pPr>
              <w:pStyle w:val="TAH"/>
            </w:pPr>
            <w:r w:rsidRPr="000A0A5F">
              <w:t>Description</w:t>
            </w:r>
          </w:p>
        </w:tc>
        <w:tc>
          <w:tcPr>
            <w:tcW w:w="937" w:type="pct"/>
            <w:shd w:val="clear" w:color="auto" w:fill="C0C0C0"/>
          </w:tcPr>
          <w:p w:rsidR="00CB0DD7" w:rsidRPr="000A0A5F" w:rsidRDefault="00CB0DD7">
            <w:pPr>
              <w:pStyle w:val="TAH"/>
            </w:pPr>
            <w:r w:rsidRPr="000A0A5F">
              <w:rPr>
                <w:rFonts w:eastAsia="Times New Roman" w:cs="Arial"/>
                <w:szCs w:val="18"/>
              </w:rPr>
              <w:t>Applicability (NOTE)</w:t>
            </w:r>
          </w:p>
        </w:tc>
      </w:tr>
      <w:tr w:rsidR="00CB0DD7" w:rsidRPr="000A0A5F" w:rsidTr="00FF0AF8">
        <w:tc>
          <w:tcPr>
            <w:tcW w:w="1250" w:type="pct"/>
            <w:tcMar>
              <w:top w:w="0" w:type="dxa"/>
              <w:left w:w="108" w:type="dxa"/>
              <w:bottom w:w="0" w:type="dxa"/>
              <w:right w:w="108" w:type="dxa"/>
            </w:tcMar>
          </w:tcPr>
          <w:p w:rsidR="00CB0DD7" w:rsidRPr="000A0A5F" w:rsidRDefault="00CB0DD7">
            <w:pPr>
              <w:pStyle w:val="TAL"/>
            </w:pPr>
            <w:r w:rsidRPr="000A0A5F">
              <w:t>WAIT_FOR_UE</w:t>
            </w:r>
          </w:p>
        </w:tc>
        <w:tc>
          <w:tcPr>
            <w:tcW w:w="2813" w:type="pct"/>
            <w:tcMar>
              <w:top w:w="0" w:type="dxa"/>
              <w:left w:w="108" w:type="dxa"/>
              <w:bottom w:w="0" w:type="dxa"/>
              <w:right w:w="108" w:type="dxa"/>
            </w:tcMar>
          </w:tcPr>
          <w:p w:rsidR="00CB0DD7" w:rsidRPr="000A0A5F" w:rsidRDefault="00CB0DD7">
            <w:pPr>
              <w:pStyle w:val="TAL"/>
            </w:pPr>
            <w:r w:rsidRPr="000A0A5F">
              <w:t xml:space="preserve">wait for the UE to establish the PDN connection </w:t>
            </w:r>
          </w:p>
        </w:tc>
        <w:tc>
          <w:tcPr>
            <w:tcW w:w="937" w:type="pct"/>
          </w:tcPr>
          <w:p w:rsidR="00CB0DD7" w:rsidRPr="000A0A5F" w:rsidRDefault="00CB0DD7">
            <w:pPr>
              <w:pStyle w:val="TAL"/>
              <w:rPr>
                <w:rFonts w:cs="Arial"/>
                <w:szCs w:val="18"/>
                <w:lang w:eastAsia="zh-CN"/>
              </w:rPr>
            </w:pPr>
          </w:p>
        </w:tc>
      </w:tr>
      <w:tr w:rsidR="00CB0DD7" w:rsidRPr="000A0A5F" w:rsidTr="00FF0AF8">
        <w:tc>
          <w:tcPr>
            <w:tcW w:w="1250" w:type="pct"/>
            <w:tcMar>
              <w:top w:w="0" w:type="dxa"/>
              <w:left w:w="108" w:type="dxa"/>
              <w:bottom w:w="0" w:type="dxa"/>
              <w:right w:w="108" w:type="dxa"/>
            </w:tcMar>
          </w:tcPr>
          <w:p w:rsidR="00CB0DD7" w:rsidRPr="000A0A5F" w:rsidRDefault="00CB0DD7">
            <w:pPr>
              <w:pStyle w:val="TAL"/>
            </w:pPr>
            <w:r w:rsidRPr="000A0A5F">
              <w:t>INDICATE_ERROR</w:t>
            </w:r>
          </w:p>
        </w:tc>
        <w:tc>
          <w:tcPr>
            <w:tcW w:w="2813" w:type="pct"/>
            <w:tcMar>
              <w:top w:w="0" w:type="dxa"/>
              <w:left w:w="108" w:type="dxa"/>
              <w:bottom w:w="0" w:type="dxa"/>
              <w:right w:w="108" w:type="dxa"/>
            </w:tcMar>
          </w:tcPr>
          <w:p w:rsidR="00CB0DD7" w:rsidRPr="000A0A5F" w:rsidRDefault="00CB0DD7">
            <w:pPr>
              <w:pStyle w:val="TAL"/>
            </w:pPr>
            <w:r w:rsidRPr="000A0A5F">
              <w:t>respond with an error cause</w:t>
            </w:r>
          </w:p>
        </w:tc>
        <w:tc>
          <w:tcPr>
            <w:tcW w:w="937" w:type="pct"/>
          </w:tcPr>
          <w:p w:rsidR="00CB0DD7" w:rsidRPr="000A0A5F" w:rsidRDefault="00CB0DD7">
            <w:pPr>
              <w:pStyle w:val="TAL"/>
              <w:rPr>
                <w:rFonts w:cs="Arial"/>
                <w:szCs w:val="18"/>
                <w:lang w:eastAsia="zh-CN"/>
              </w:rPr>
            </w:pPr>
          </w:p>
        </w:tc>
      </w:tr>
      <w:tr w:rsidR="00CB0DD7" w:rsidRPr="000A0A5F" w:rsidTr="00FF0AF8">
        <w:tc>
          <w:tcPr>
            <w:tcW w:w="1250" w:type="pct"/>
            <w:tcMar>
              <w:top w:w="0" w:type="dxa"/>
              <w:left w:w="108" w:type="dxa"/>
              <w:bottom w:w="0" w:type="dxa"/>
              <w:right w:w="108" w:type="dxa"/>
            </w:tcMar>
          </w:tcPr>
          <w:p w:rsidR="00CB0DD7" w:rsidRPr="000A0A5F" w:rsidRDefault="00CB0DD7">
            <w:pPr>
              <w:pStyle w:val="TAL"/>
            </w:pPr>
            <w:r w:rsidRPr="000A0A5F">
              <w:t>SEND_TRIGGER</w:t>
            </w:r>
          </w:p>
        </w:tc>
        <w:tc>
          <w:tcPr>
            <w:tcW w:w="2813" w:type="pct"/>
            <w:tcMar>
              <w:top w:w="0" w:type="dxa"/>
              <w:left w:w="108" w:type="dxa"/>
              <w:bottom w:w="0" w:type="dxa"/>
              <w:right w:w="108" w:type="dxa"/>
            </w:tcMar>
          </w:tcPr>
          <w:p w:rsidR="00CB0DD7" w:rsidRPr="000A0A5F" w:rsidRDefault="00CB0DD7">
            <w:pPr>
              <w:pStyle w:val="TAL"/>
            </w:pPr>
            <w:r w:rsidRPr="000A0A5F">
              <w:t>send a device trigger</w:t>
            </w:r>
          </w:p>
        </w:tc>
        <w:tc>
          <w:tcPr>
            <w:tcW w:w="937" w:type="pct"/>
          </w:tcPr>
          <w:p w:rsidR="00CB0DD7" w:rsidRPr="000A0A5F" w:rsidRDefault="00CB0DD7">
            <w:pPr>
              <w:pStyle w:val="TAL"/>
              <w:rPr>
                <w:rFonts w:cs="Arial"/>
                <w:szCs w:val="18"/>
                <w:lang w:eastAsia="zh-CN"/>
              </w:rPr>
            </w:pPr>
          </w:p>
        </w:tc>
      </w:tr>
      <w:tr w:rsidR="00CB0DD7" w:rsidRPr="000A0A5F" w:rsidTr="00FF0AF8">
        <w:tc>
          <w:tcPr>
            <w:tcW w:w="5000" w:type="pct"/>
            <w:gridSpan w:val="3"/>
            <w:tcMar>
              <w:top w:w="0" w:type="dxa"/>
              <w:left w:w="108" w:type="dxa"/>
              <w:bottom w:w="0" w:type="dxa"/>
              <w:right w:w="108" w:type="dxa"/>
            </w:tcMar>
          </w:tcPr>
          <w:p w:rsidR="00CB0DD7" w:rsidRPr="000A0A5F" w:rsidRDefault="00CB0DD7">
            <w:pPr>
              <w:pStyle w:val="TAN"/>
            </w:pPr>
            <w:r w:rsidRPr="000A0A5F">
              <w:t>NOTE:</w:t>
            </w:r>
            <w:r w:rsidRPr="000A0A5F">
              <w:tab/>
              <w:t>Properties marked with a feature as defined in clause 5.6.4 are applicable as described in clause 5.2.7. If no feature are indicated, the related property applies for all the features.</w:t>
            </w:r>
          </w:p>
        </w:tc>
      </w:tr>
    </w:tbl>
    <w:p w:rsidR="00CB0DD7" w:rsidRPr="000A0A5F" w:rsidRDefault="00CB0DD7"/>
    <w:p w:rsidR="00CB0DD7" w:rsidRPr="000A0A5F" w:rsidRDefault="00CB0DD7">
      <w:pPr>
        <w:pStyle w:val="Heading5"/>
      </w:pPr>
      <w:bookmarkStart w:id="3769" w:name="_Toc11247456"/>
      <w:bookmarkStart w:id="3770" w:name="_Toc27044580"/>
      <w:bookmarkStart w:id="3771" w:name="_Toc36033622"/>
      <w:bookmarkStart w:id="3772" w:name="_Toc45131758"/>
      <w:bookmarkStart w:id="3773" w:name="_Toc49776043"/>
      <w:bookmarkStart w:id="3774" w:name="_Toc51746963"/>
      <w:bookmarkStart w:id="3775" w:name="_Toc66360517"/>
      <w:bookmarkStart w:id="3776" w:name="_Toc68105022"/>
      <w:bookmarkStart w:id="3777" w:name="_Toc74755652"/>
      <w:bookmarkStart w:id="3778" w:name="_Toc105674526"/>
      <w:bookmarkStart w:id="3779" w:name="_Toc130502574"/>
      <w:bookmarkStart w:id="3780" w:name="_Toc153625361"/>
      <w:r w:rsidRPr="000A0A5F">
        <w:t>5.6.2.3.4</w:t>
      </w:r>
      <w:r w:rsidRPr="000A0A5F">
        <w:tab/>
        <w:t xml:space="preserve">Enumeration: </w:t>
      </w:r>
      <w:r w:rsidRPr="000A0A5F">
        <w:rPr>
          <w:rFonts w:eastAsia="Times New Roman"/>
        </w:rPr>
        <w:t>DeliveryStatus</w:t>
      </w:r>
      <w:bookmarkEnd w:id="3769"/>
      <w:bookmarkEnd w:id="3770"/>
      <w:bookmarkEnd w:id="3771"/>
      <w:bookmarkEnd w:id="3772"/>
      <w:bookmarkEnd w:id="3773"/>
      <w:bookmarkEnd w:id="3774"/>
      <w:bookmarkEnd w:id="3775"/>
      <w:bookmarkEnd w:id="3776"/>
      <w:bookmarkEnd w:id="3777"/>
      <w:bookmarkEnd w:id="3778"/>
      <w:bookmarkEnd w:id="3779"/>
      <w:bookmarkEnd w:id="3780"/>
    </w:p>
    <w:p w:rsidR="00CB0DD7" w:rsidRPr="000A0A5F" w:rsidRDefault="00CB0DD7">
      <w:r w:rsidRPr="000A0A5F">
        <w:t xml:space="preserve">The enumeration </w:t>
      </w:r>
      <w:r w:rsidRPr="000A0A5F">
        <w:rPr>
          <w:rFonts w:eastAsia="Times New Roman"/>
        </w:rPr>
        <w:t>DeliveryStatus</w:t>
      </w:r>
      <w:r w:rsidRPr="000A0A5F">
        <w:t xml:space="preserve"> represents the status of a downlink NIDD data delivery resource.</w:t>
      </w:r>
    </w:p>
    <w:p w:rsidR="00CB0DD7" w:rsidRPr="000A0A5F" w:rsidRDefault="00CB0DD7">
      <w:pPr>
        <w:pStyle w:val="TH"/>
      </w:pPr>
      <w:r w:rsidRPr="000A0A5F">
        <w:t xml:space="preserve">Table 5.6.2.3.4-1: Enumeration </w:t>
      </w:r>
      <w:r w:rsidRPr="000A0A5F">
        <w:rPr>
          <w:rFonts w:eastAsia="Times New Roman"/>
        </w:rPr>
        <w:t>DeliveryStatus</w:t>
      </w:r>
    </w:p>
    <w:tbl>
      <w:tblPr>
        <w:tblW w:w="4939"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3402"/>
        <w:gridCol w:w="4534"/>
        <w:gridCol w:w="1702"/>
        <w:tblGridChange w:id="3781">
          <w:tblGrid>
            <w:gridCol w:w="3402"/>
            <w:gridCol w:w="4534"/>
            <w:gridCol w:w="1702"/>
          </w:tblGrid>
        </w:tblGridChange>
      </w:tblGrid>
      <w:tr w:rsidR="00CB0DD7" w:rsidRPr="000A0A5F" w:rsidTr="00FF0AF8">
        <w:tc>
          <w:tcPr>
            <w:tcW w:w="1765" w:type="pct"/>
            <w:shd w:val="clear" w:color="auto" w:fill="C0C0C0"/>
            <w:tcMar>
              <w:top w:w="0" w:type="dxa"/>
              <w:left w:w="108" w:type="dxa"/>
              <w:bottom w:w="0" w:type="dxa"/>
              <w:right w:w="108" w:type="dxa"/>
            </w:tcMar>
          </w:tcPr>
          <w:p w:rsidR="00CB0DD7" w:rsidRPr="000A0A5F" w:rsidRDefault="00CB0DD7">
            <w:pPr>
              <w:pStyle w:val="TAH"/>
            </w:pPr>
            <w:r w:rsidRPr="000A0A5F">
              <w:t>Enumeration value</w:t>
            </w:r>
          </w:p>
        </w:tc>
        <w:tc>
          <w:tcPr>
            <w:tcW w:w="2352" w:type="pct"/>
            <w:shd w:val="clear" w:color="auto" w:fill="C0C0C0"/>
            <w:tcMar>
              <w:top w:w="0" w:type="dxa"/>
              <w:left w:w="108" w:type="dxa"/>
              <w:bottom w:w="0" w:type="dxa"/>
              <w:right w:w="108" w:type="dxa"/>
            </w:tcMar>
          </w:tcPr>
          <w:p w:rsidR="00CB0DD7" w:rsidRPr="000A0A5F" w:rsidRDefault="00CB0DD7">
            <w:pPr>
              <w:pStyle w:val="TAH"/>
            </w:pPr>
            <w:r w:rsidRPr="000A0A5F">
              <w:t>Description</w:t>
            </w:r>
          </w:p>
        </w:tc>
        <w:tc>
          <w:tcPr>
            <w:tcW w:w="883" w:type="pct"/>
            <w:shd w:val="clear" w:color="auto" w:fill="C0C0C0"/>
          </w:tcPr>
          <w:p w:rsidR="00CB0DD7" w:rsidRPr="000A0A5F" w:rsidRDefault="00CB0DD7">
            <w:pPr>
              <w:pStyle w:val="TAH"/>
            </w:pPr>
            <w:r w:rsidRPr="000A0A5F">
              <w:rPr>
                <w:rFonts w:eastAsia="Times New Roman" w:cs="Arial"/>
                <w:szCs w:val="18"/>
              </w:rPr>
              <w:t>Applicability (NOTE)</w:t>
            </w:r>
          </w:p>
        </w:tc>
      </w:tr>
      <w:tr w:rsidR="00CB0DD7" w:rsidRPr="000A0A5F" w:rsidTr="00FF0AF8">
        <w:tc>
          <w:tcPr>
            <w:tcW w:w="1765" w:type="pct"/>
            <w:tcMar>
              <w:top w:w="0" w:type="dxa"/>
              <w:left w:w="108" w:type="dxa"/>
              <w:bottom w:w="0" w:type="dxa"/>
              <w:right w:w="108" w:type="dxa"/>
            </w:tcMar>
          </w:tcPr>
          <w:p w:rsidR="00CB0DD7" w:rsidRPr="000A0A5F" w:rsidRDefault="00CB0DD7">
            <w:pPr>
              <w:pStyle w:val="TAL"/>
            </w:pPr>
            <w:r w:rsidRPr="000A0A5F">
              <w:t>SUCCESS</w:t>
            </w:r>
          </w:p>
        </w:tc>
        <w:tc>
          <w:tcPr>
            <w:tcW w:w="2352" w:type="pct"/>
            <w:tcMar>
              <w:top w:w="0" w:type="dxa"/>
              <w:left w:w="108" w:type="dxa"/>
              <w:bottom w:w="0" w:type="dxa"/>
              <w:right w:w="108" w:type="dxa"/>
            </w:tcMar>
          </w:tcPr>
          <w:p w:rsidR="00CB0DD7" w:rsidRPr="000A0A5F" w:rsidRDefault="00CB0DD7">
            <w:pPr>
              <w:pStyle w:val="TAL"/>
            </w:pPr>
            <w:r w:rsidRPr="000A0A5F">
              <w:t>Success but details not provided</w:t>
            </w:r>
          </w:p>
        </w:tc>
        <w:tc>
          <w:tcPr>
            <w:tcW w:w="883" w:type="pct"/>
          </w:tcPr>
          <w:p w:rsidR="00CB0DD7" w:rsidRPr="000A0A5F" w:rsidRDefault="00CB0DD7">
            <w:pPr>
              <w:pStyle w:val="TAL"/>
              <w:rPr>
                <w:rFonts w:cs="Arial"/>
                <w:szCs w:val="18"/>
                <w:lang w:eastAsia="zh-CN"/>
              </w:rPr>
            </w:pPr>
          </w:p>
        </w:tc>
      </w:tr>
      <w:tr w:rsidR="00CB0DD7" w:rsidRPr="000A0A5F" w:rsidTr="00FF0AF8">
        <w:tc>
          <w:tcPr>
            <w:tcW w:w="1765" w:type="pct"/>
            <w:tcMar>
              <w:top w:w="0" w:type="dxa"/>
              <w:left w:w="108" w:type="dxa"/>
              <w:bottom w:w="0" w:type="dxa"/>
              <w:right w:w="108" w:type="dxa"/>
            </w:tcMar>
          </w:tcPr>
          <w:p w:rsidR="00CB0DD7" w:rsidRPr="000A0A5F" w:rsidRDefault="00CB0DD7">
            <w:pPr>
              <w:pStyle w:val="TAL"/>
            </w:pPr>
            <w:r w:rsidRPr="000A0A5F">
              <w:t>SUCCESS_NEXT_HOP_ACKNOWLEDGED</w:t>
            </w:r>
          </w:p>
        </w:tc>
        <w:tc>
          <w:tcPr>
            <w:tcW w:w="2352" w:type="pct"/>
            <w:tcMar>
              <w:top w:w="0" w:type="dxa"/>
              <w:left w:w="108" w:type="dxa"/>
              <w:bottom w:w="0" w:type="dxa"/>
              <w:right w:w="108" w:type="dxa"/>
            </w:tcMar>
          </w:tcPr>
          <w:p w:rsidR="00CB0DD7" w:rsidRPr="000A0A5F" w:rsidRDefault="00CB0DD7">
            <w:pPr>
              <w:pStyle w:val="TAL"/>
            </w:pPr>
            <w:r w:rsidRPr="000A0A5F">
              <w:t>Successful delivery to the next hop with acknowledgment.</w:t>
            </w:r>
          </w:p>
        </w:tc>
        <w:tc>
          <w:tcPr>
            <w:tcW w:w="883" w:type="pct"/>
          </w:tcPr>
          <w:p w:rsidR="00CB0DD7" w:rsidRPr="000A0A5F" w:rsidRDefault="00CB0DD7">
            <w:pPr>
              <w:pStyle w:val="TAL"/>
              <w:rPr>
                <w:rFonts w:cs="Arial"/>
                <w:szCs w:val="18"/>
                <w:lang w:eastAsia="zh-CN"/>
              </w:rPr>
            </w:pPr>
          </w:p>
        </w:tc>
      </w:tr>
      <w:tr w:rsidR="00CB0DD7" w:rsidRPr="000A0A5F" w:rsidTr="00FF0AF8">
        <w:tc>
          <w:tcPr>
            <w:tcW w:w="1765" w:type="pct"/>
            <w:tcMar>
              <w:top w:w="0" w:type="dxa"/>
              <w:left w:w="108" w:type="dxa"/>
              <w:bottom w:w="0" w:type="dxa"/>
              <w:right w:w="108" w:type="dxa"/>
            </w:tcMar>
          </w:tcPr>
          <w:p w:rsidR="00CB0DD7" w:rsidRPr="000A0A5F" w:rsidRDefault="00CB0DD7">
            <w:pPr>
              <w:pStyle w:val="TAL"/>
            </w:pPr>
            <w:r w:rsidRPr="000A0A5F">
              <w:t>SUCCESS_NEXT_HOP_UNACKNOWLEDGED</w:t>
            </w:r>
          </w:p>
        </w:tc>
        <w:tc>
          <w:tcPr>
            <w:tcW w:w="2352" w:type="pct"/>
            <w:tcMar>
              <w:top w:w="0" w:type="dxa"/>
              <w:left w:w="108" w:type="dxa"/>
              <w:bottom w:w="0" w:type="dxa"/>
              <w:right w:w="108" w:type="dxa"/>
            </w:tcMar>
          </w:tcPr>
          <w:p w:rsidR="00CB0DD7" w:rsidRPr="000A0A5F" w:rsidRDefault="00CB0DD7">
            <w:pPr>
              <w:pStyle w:val="TAL"/>
            </w:pPr>
            <w:r w:rsidRPr="000A0A5F">
              <w:t>Successful delivery to the next hop without acknowledgment</w:t>
            </w:r>
          </w:p>
        </w:tc>
        <w:tc>
          <w:tcPr>
            <w:tcW w:w="883" w:type="pct"/>
          </w:tcPr>
          <w:p w:rsidR="00CB0DD7" w:rsidRPr="000A0A5F" w:rsidRDefault="00CB0DD7">
            <w:pPr>
              <w:pStyle w:val="TAL"/>
              <w:rPr>
                <w:rFonts w:cs="Arial"/>
                <w:szCs w:val="18"/>
                <w:lang w:eastAsia="zh-CN"/>
              </w:rPr>
            </w:pPr>
          </w:p>
        </w:tc>
      </w:tr>
      <w:tr w:rsidR="00CB0DD7" w:rsidRPr="000A0A5F" w:rsidTr="00FF0AF8">
        <w:tc>
          <w:tcPr>
            <w:tcW w:w="1765" w:type="pct"/>
            <w:tcMar>
              <w:top w:w="0" w:type="dxa"/>
              <w:left w:w="108" w:type="dxa"/>
              <w:bottom w:w="0" w:type="dxa"/>
              <w:right w:w="108" w:type="dxa"/>
            </w:tcMar>
          </w:tcPr>
          <w:p w:rsidR="00CB0DD7" w:rsidRPr="000A0A5F" w:rsidRDefault="00CB0DD7">
            <w:pPr>
              <w:pStyle w:val="TAL"/>
            </w:pPr>
            <w:r w:rsidRPr="000A0A5F">
              <w:t>SUCCESS_ACKNOWLEDGED</w:t>
            </w:r>
          </w:p>
        </w:tc>
        <w:tc>
          <w:tcPr>
            <w:tcW w:w="2352" w:type="pct"/>
            <w:tcMar>
              <w:top w:w="0" w:type="dxa"/>
              <w:left w:w="108" w:type="dxa"/>
              <w:bottom w:w="0" w:type="dxa"/>
              <w:right w:w="108" w:type="dxa"/>
            </w:tcMar>
          </w:tcPr>
          <w:p w:rsidR="00CB0DD7" w:rsidRPr="000A0A5F" w:rsidRDefault="00CB0DD7">
            <w:pPr>
              <w:pStyle w:val="TAL"/>
            </w:pPr>
            <w:r w:rsidRPr="000A0A5F">
              <w:t>Reliable delivery was acknowledged by the UE</w:t>
            </w:r>
          </w:p>
        </w:tc>
        <w:tc>
          <w:tcPr>
            <w:tcW w:w="883" w:type="pct"/>
          </w:tcPr>
          <w:p w:rsidR="00CB0DD7" w:rsidRPr="000A0A5F" w:rsidRDefault="00CB0DD7">
            <w:pPr>
              <w:pStyle w:val="TAL"/>
              <w:rPr>
                <w:rFonts w:cs="Arial"/>
                <w:szCs w:val="18"/>
                <w:lang w:eastAsia="zh-CN"/>
              </w:rPr>
            </w:pPr>
          </w:p>
        </w:tc>
      </w:tr>
      <w:tr w:rsidR="00CB0DD7" w:rsidRPr="000A0A5F" w:rsidTr="00FF0AF8">
        <w:tc>
          <w:tcPr>
            <w:tcW w:w="1765" w:type="pct"/>
            <w:tcMar>
              <w:top w:w="0" w:type="dxa"/>
              <w:left w:w="108" w:type="dxa"/>
              <w:bottom w:w="0" w:type="dxa"/>
              <w:right w:w="108" w:type="dxa"/>
            </w:tcMar>
          </w:tcPr>
          <w:p w:rsidR="00CB0DD7" w:rsidRPr="000A0A5F" w:rsidRDefault="00CB0DD7">
            <w:pPr>
              <w:pStyle w:val="TAL"/>
            </w:pPr>
            <w:r w:rsidRPr="000A0A5F">
              <w:t>SUCCESS_UNACKNOWLEDGED</w:t>
            </w:r>
          </w:p>
        </w:tc>
        <w:tc>
          <w:tcPr>
            <w:tcW w:w="2352" w:type="pct"/>
            <w:tcMar>
              <w:top w:w="0" w:type="dxa"/>
              <w:left w:w="108" w:type="dxa"/>
              <w:bottom w:w="0" w:type="dxa"/>
              <w:right w:w="108" w:type="dxa"/>
            </w:tcMar>
          </w:tcPr>
          <w:p w:rsidR="00CB0DD7" w:rsidRPr="000A0A5F" w:rsidRDefault="00CB0DD7">
            <w:pPr>
              <w:pStyle w:val="TAL"/>
            </w:pPr>
            <w:r w:rsidRPr="000A0A5F">
              <w:t>Reliable delivery was not acknowledged by the UE</w:t>
            </w:r>
          </w:p>
        </w:tc>
        <w:tc>
          <w:tcPr>
            <w:tcW w:w="883" w:type="pct"/>
          </w:tcPr>
          <w:p w:rsidR="00CB0DD7" w:rsidRPr="000A0A5F" w:rsidRDefault="00CB0DD7">
            <w:pPr>
              <w:pStyle w:val="TAL"/>
              <w:rPr>
                <w:rFonts w:cs="Arial"/>
                <w:szCs w:val="18"/>
                <w:lang w:eastAsia="zh-CN"/>
              </w:rPr>
            </w:pPr>
          </w:p>
        </w:tc>
      </w:tr>
      <w:tr w:rsidR="00CB0DD7" w:rsidRPr="000A0A5F" w:rsidTr="00FF0AF8">
        <w:tc>
          <w:tcPr>
            <w:tcW w:w="1765" w:type="pct"/>
            <w:tcMar>
              <w:top w:w="0" w:type="dxa"/>
              <w:left w:w="108" w:type="dxa"/>
              <w:bottom w:w="0" w:type="dxa"/>
              <w:right w:w="108" w:type="dxa"/>
            </w:tcMar>
          </w:tcPr>
          <w:p w:rsidR="00CB0DD7" w:rsidRPr="000A0A5F" w:rsidRDefault="00CB0DD7">
            <w:pPr>
              <w:pStyle w:val="TAL"/>
            </w:pPr>
            <w:r w:rsidRPr="000A0A5F">
              <w:t>TRIGGERED</w:t>
            </w:r>
          </w:p>
        </w:tc>
        <w:tc>
          <w:tcPr>
            <w:tcW w:w="2352" w:type="pct"/>
            <w:tcMar>
              <w:top w:w="0" w:type="dxa"/>
              <w:left w:w="108" w:type="dxa"/>
              <w:bottom w:w="0" w:type="dxa"/>
              <w:right w:w="108" w:type="dxa"/>
            </w:tcMar>
          </w:tcPr>
          <w:p w:rsidR="00CB0DD7" w:rsidRPr="000A0A5F" w:rsidRDefault="00CB0DD7">
            <w:pPr>
              <w:pStyle w:val="TAL"/>
            </w:pPr>
            <w:r w:rsidRPr="000A0A5F">
              <w:t>The SCEF triggered the device and is buffering the data.</w:t>
            </w:r>
          </w:p>
        </w:tc>
        <w:tc>
          <w:tcPr>
            <w:tcW w:w="883" w:type="pct"/>
          </w:tcPr>
          <w:p w:rsidR="00CB0DD7" w:rsidRPr="000A0A5F" w:rsidRDefault="00CB0DD7">
            <w:pPr>
              <w:pStyle w:val="TAL"/>
              <w:rPr>
                <w:rFonts w:cs="Arial"/>
                <w:szCs w:val="18"/>
                <w:lang w:eastAsia="zh-CN"/>
              </w:rPr>
            </w:pPr>
          </w:p>
        </w:tc>
      </w:tr>
      <w:tr w:rsidR="00CB0DD7" w:rsidRPr="000A0A5F" w:rsidTr="00FF0AF8">
        <w:tc>
          <w:tcPr>
            <w:tcW w:w="1765" w:type="pct"/>
            <w:tcMar>
              <w:top w:w="0" w:type="dxa"/>
              <w:left w:w="108" w:type="dxa"/>
              <w:bottom w:w="0" w:type="dxa"/>
              <w:right w:w="108" w:type="dxa"/>
            </w:tcMar>
          </w:tcPr>
          <w:p w:rsidR="00CB0DD7" w:rsidRPr="000A0A5F" w:rsidRDefault="00CB0DD7">
            <w:pPr>
              <w:pStyle w:val="TAL"/>
            </w:pPr>
            <w:r w:rsidRPr="000A0A5F">
              <w:t>BUFFERING</w:t>
            </w:r>
          </w:p>
        </w:tc>
        <w:tc>
          <w:tcPr>
            <w:tcW w:w="2352" w:type="pct"/>
            <w:tcMar>
              <w:top w:w="0" w:type="dxa"/>
              <w:left w:w="108" w:type="dxa"/>
              <w:bottom w:w="0" w:type="dxa"/>
              <w:right w:w="108" w:type="dxa"/>
            </w:tcMar>
          </w:tcPr>
          <w:p w:rsidR="00CB0DD7" w:rsidRPr="000A0A5F" w:rsidRDefault="00CB0DD7">
            <w:pPr>
              <w:pStyle w:val="TAL"/>
            </w:pPr>
            <w:r w:rsidRPr="000A0A5F">
              <w:t>The SCEF is buffering the data due to no PDN connection established.</w:t>
            </w:r>
          </w:p>
        </w:tc>
        <w:tc>
          <w:tcPr>
            <w:tcW w:w="883" w:type="pct"/>
          </w:tcPr>
          <w:p w:rsidR="00CB0DD7" w:rsidRPr="000A0A5F" w:rsidRDefault="00CB0DD7">
            <w:pPr>
              <w:pStyle w:val="TAL"/>
              <w:rPr>
                <w:rFonts w:cs="Arial"/>
                <w:szCs w:val="18"/>
                <w:lang w:eastAsia="zh-CN"/>
              </w:rPr>
            </w:pPr>
          </w:p>
        </w:tc>
      </w:tr>
      <w:tr w:rsidR="00CB0DD7" w:rsidRPr="000A0A5F" w:rsidTr="00FF0AF8">
        <w:tc>
          <w:tcPr>
            <w:tcW w:w="1765" w:type="pct"/>
            <w:tcMar>
              <w:top w:w="0" w:type="dxa"/>
              <w:left w:w="108" w:type="dxa"/>
              <w:bottom w:w="0" w:type="dxa"/>
              <w:right w:w="108" w:type="dxa"/>
            </w:tcMar>
          </w:tcPr>
          <w:p w:rsidR="00CB0DD7" w:rsidRPr="000A0A5F" w:rsidRDefault="00CB0DD7">
            <w:pPr>
              <w:pStyle w:val="TAL"/>
            </w:pPr>
            <w:r w:rsidRPr="000A0A5F">
              <w:t>BUFFERING_TEMPORARILY_NOT_REACHABLE</w:t>
            </w:r>
          </w:p>
        </w:tc>
        <w:tc>
          <w:tcPr>
            <w:tcW w:w="2352" w:type="pct"/>
            <w:tcMar>
              <w:top w:w="0" w:type="dxa"/>
              <w:left w:w="108" w:type="dxa"/>
              <w:bottom w:w="0" w:type="dxa"/>
              <w:right w:w="108" w:type="dxa"/>
            </w:tcMar>
          </w:tcPr>
          <w:p w:rsidR="00CB0DD7" w:rsidRPr="000A0A5F" w:rsidRDefault="00CB0DD7">
            <w:pPr>
              <w:pStyle w:val="TAL"/>
            </w:pPr>
            <w:r w:rsidRPr="000A0A5F">
              <w:t>The SCEF has been informed that the UE is temporarily not reachable but is buffering the data</w:t>
            </w:r>
          </w:p>
        </w:tc>
        <w:tc>
          <w:tcPr>
            <w:tcW w:w="883" w:type="pct"/>
          </w:tcPr>
          <w:p w:rsidR="00CB0DD7" w:rsidRPr="000A0A5F" w:rsidRDefault="00CB0DD7">
            <w:pPr>
              <w:pStyle w:val="TAL"/>
              <w:rPr>
                <w:rFonts w:cs="Arial"/>
                <w:szCs w:val="18"/>
                <w:lang w:eastAsia="zh-CN"/>
              </w:rPr>
            </w:pPr>
          </w:p>
        </w:tc>
      </w:tr>
      <w:tr w:rsidR="00CB0DD7" w:rsidRPr="000A0A5F" w:rsidTr="00FF0AF8">
        <w:tc>
          <w:tcPr>
            <w:tcW w:w="1765" w:type="pct"/>
            <w:tcMar>
              <w:top w:w="0" w:type="dxa"/>
              <w:left w:w="108" w:type="dxa"/>
              <w:bottom w:w="0" w:type="dxa"/>
              <w:right w:w="108" w:type="dxa"/>
            </w:tcMar>
          </w:tcPr>
          <w:p w:rsidR="00CB0DD7" w:rsidRPr="000A0A5F" w:rsidRDefault="00CB0DD7">
            <w:pPr>
              <w:pStyle w:val="TAL"/>
            </w:pPr>
            <w:r w:rsidRPr="000A0A5F">
              <w:t>SENDING</w:t>
            </w:r>
          </w:p>
        </w:tc>
        <w:tc>
          <w:tcPr>
            <w:tcW w:w="2352" w:type="pct"/>
            <w:tcMar>
              <w:top w:w="0" w:type="dxa"/>
              <w:left w:w="108" w:type="dxa"/>
              <w:bottom w:w="0" w:type="dxa"/>
              <w:right w:w="108" w:type="dxa"/>
            </w:tcMar>
          </w:tcPr>
          <w:p w:rsidR="00CB0DD7" w:rsidRPr="000A0A5F" w:rsidRDefault="00CB0DD7">
            <w:pPr>
              <w:pStyle w:val="TAL"/>
            </w:pPr>
            <w:r w:rsidRPr="000A0A5F">
              <w:t>The SCEF has forwarded the data, but they may be stored elsewhere.</w:t>
            </w:r>
          </w:p>
        </w:tc>
        <w:tc>
          <w:tcPr>
            <w:tcW w:w="883" w:type="pct"/>
          </w:tcPr>
          <w:p w:rsidR="00CB0DD7" w:rsidRPr="000A0A5F" w:rsidRDefault="00CB0DD7">
            <w:pPr>
              <w:pStyle w:val="TAL"/>
              <w:rPr>
                <w:rFonts w:cs="Arial"/>
                <w:szCs w:val="18"/>
                <w:lang w:eastAsia="zh-CN"/>
              </w:rPr>
            </w:pPr>
          </w:p>
        </w:tc>
      </w:tr>
      <w:tr w:rsidR="00CB0DD7" w:rsidRPr="000A0A5F" w:rsidTr="00FF0AF8">
        <w:tc>
          <w:tcPr>
            <w:tcW w:w="1765" w:type="pct"/>
            <w:tcMar>
              <w:top w:w="0" w:type="dxa"/>
              <w:left w:w="108" w:type="dxa"/>
              <w:bottom w:w="0" w:type="dxa"/>
              <w:right w:w="108" w:type="dxa"/>
            </w:tcMar>
          </w:tcPr>
          <w:p w:rsidR="00CB0DD7" w:rsidRPr="000A0A5F" w:rsidRDefault="00CB0DD7">
            <w:pPr>
              <w:pStyle w:val="TAL"/>
            </w:pPr>
            <w:r w:rsidRPr="000A0A5F">
              <w:t>FAILURE</w:t>
            </w:r>
          </w:p>
        </w:tc>
        <w:tc>
          <w:tcPr>
            <w:tcW w:w="2352" w:type="pct"/>
            <w:tcMar>
              <w:top w:w="0" w:type="dxa"/>
              <w:left w:w="108" w:type="dxa"/>
              <w:bottom w:w="0" w:type="dxa"/>
              <w:right w:w="108" w:type="dxa"/>
            </w:tcMar>
          </w:tcPr>
          <w:p w:rsidR="00CB0DD7" w:rsidRPr="000A0A5F" w:rsidRDefault="00CB0DD7">
            <w:pPr>
              <w:pStyle w:val="TAL"/>
            </w:pPr>
            <w:r w:rsidRPr="000A0A5F">
              <w:t>Delivery failure but details not provided</w:t>
            </w:r>
          </w:p>
        </w:tc>
        <w:tc>
          <w:tcPr>
            <w:tcW w:w="883" w:type="pct"/>
          </w:tcPr>
          <w:p w:rsidR="00CB0DD7" w:rsidRPr="000A0A5F" w:rsidRDefault="00CB0DD7">
            <w:pPr>
              <w:pStyle w:val="TAL"/>
              <w:rPr>
                <w:rFonts w:cs="Arial"/>
                <w:szCs w:val="18"/>
                <w:lang w:eastAsia="zh-CN"/>
              </w:rPr>
            </w:pPr>
          </w:p>
        </w:tc>
      </w:tr>
      <w:tr w:rsidR="00CB0DD7" w:rsidRPr="000A0A5F" w:rsidTr="00FF0AF8">
        <w:tc>
          <w:tcPr>
            <w:tcW w:w="1765" w:type="pct"/>
            <w:tcMar>
              <w:top w:w="0" w:type="dxa"/>
              <w:left w:w="108" w:type="dxa"/>
              <w:bottom w:w="0" w:type="dxa"/>
              <w:right w:w="108" w:type="dxa"/>
            </w:tcMar>
          </w:tcPr>
          <w:p w:rsidR="00CB0DD7" w:rsidRPr="000A0A5F" w:rsidRDefault="00CB0DD7">
            <w:pPr>
              <w:pStyle w:val="TAL"/>
            </w:pPr>
            <w:r w:rsidRPr="000A0A5F">
              <w:t>FAILURE_RDS_DISABLED</w:t>
            </w:r>
          </w:p>
        </w:tc>
        <w:tc>
          <w:tcPr>
            <w:tcW w:w="2352" w:type="pct"/>
            <w:tcMar>
              <w:top w:w="0" w:type="dxa"/>
              <w:left w:w="108" w:type="dxa"/>
              <w:bottom w:w="0" w:type="dxa"/>
              <w:right w:w="108" w:type="dxa"/>
            </w:tcMar>
          </w:tcPr>
          <w:p w:rsidR="00CB0DD7" w:rsidRPr="000A0A5F" w:rsidRDefault="00CB0DD7">
            <w:pPr>
              <w:pStyle w:val="TAL"/>
            </w:pPr>
            <w:r w:rsidRPr="000A0A5F">
              <w:t>RDS was disabled.</w:t>
            </w:r>
          </w:p>
        </w:tc>
        <w:tc>
          <w:tcPr>
            <w:tcW w:w="883" w:type="pct"/>
          </w:tcPr>
          <w:p w:rsidR="00CB0DD7" w:rsidRPr="000A0A5F" w:rsidRDefault="00CB0DD7">
            <w:pPr>
              <w:pStyle w:val="TAL"/>
              <w:rPr>
                <w:rFonts w:cs="Arial"/>
                <w:szCs w:val="18"/>
                <w:lang w:eastAsia="zh-CN"/>
              </w:rPr>
            </w:pPr>
          </w:p>
        </w:tc>
      </w:tr>
      <w:tr w:rsidR="00CB0DD7" w:rsidRPr="000A0A5F" w:rsidTr="00FF0AF8">
        <w:tc>
          <w:tcPr>
            <w:tcW w:w="1765" w:type="pct"/>
            <w:tcMar>
              <w:top w:w="0" w:type="dxa"/>
              <w:left w:w="108" w:type="dxa"/>
              <w:bottom w:w="0" w:type="dxa"/>
              <w:right w:w="108" w:type="dxa"/>
            </w:tcMar>
          </w:tcPr>
          <w:p w:rsidR="00CB0DD7" w:rsidRPr="000A0A5F" w:rsidRDefault="00CB0DD7">
            <w:pPr>
              <w:pStyle w:val="TAL"/>
            </w:pPr>
            <w:r w:rsidRPr="000A0A5F">
              <w:t>FAILURE_NEXT_HOP</w:t>
            </w:r>
          </w:p>
        </w:tc>
        <w:tc>
          <w:tcPr>
            <w:tcW w:w="2352" w:type="pct"/>
            <w:tcMar>
              <w:top w:w="0" w:type="dxa"/>
              <w:left w:w="108" w:type="dxa"/>
              <w:bottom w:w="0" w:type="dxa"/>
              <w:right w:w="108" w:type="dxa"/>
            </w:tcMar>
          </w:tcPr>
          <w:p w:rsidR="00CB0DD7" w:rsidRPr="000A0A5F" w:rsidRDefault="00CB0DD7">
            <w:pPr>
              <w:pStyle w:val="TAL"/>
            </w:pPr>
            <w:r w:rsidRPr="000A0A5F">
              <w:t>Unsuccessful delivery to the next hop.</w:t>
            </w:r>
          </w:p>
        </w:tc>
        <w:tc>
          <w:tcPr>
            <w:tcW w:w="883" w:type="pct"/>
          </w:tcPr>
          <w:p w:rsidR="00CB0DD7" w:rsidRPr="000A0A5F" w:rsidRDefault="00CB0DD7">
            <w:pPr>
              <w:pStyle w:val="TAL"/>
              <w:rPr>
                <w:rFonts w:cs="Arial"/>
                <w:szCs w:val="18"/>
                <w:lang w:eastAsia="zh-CN"/>
              </w:rPr>
            </w:pPr>
          </w:p>
        </w:tc>
      </w:tr>
      <w:tr w:rsidR="00CB0DD7" w:rsidRPr="000A0A5F" w:rsidTr="00FF0AF8">
        <w:tc>
          <w:tcPr>
            <w:tcW w:w="1765" w:type="pct"/>
            <w:tcMar>
              <w:top w:w="0" w:type="dxa"/>
              <w:left w:w="108" w:type="dxa"/>
              <w:bottom w:w="0" w:type="dxa"/>
              <w:right w:w="108" w:type="dxa"/>
            </w:tcMar>
          </w:tcPr>
          <w:p w:rsidR="00CB0DD7" w:rsidRPr="000A0A5F" w:rsidRDefault="00CB0DD7">
            <w:pPr>
              <w:pStyle w:val="TAL"/>
            </w:pPr>
            <w:r w:rsidRPr="000A0A5F">
              <w:t>FAILURE_TIMEOUT</w:t>
            </w:r>
          </w:p>
        </w:tc>
        <w:tc>
          <w:tcPr>
            <w:tcW w:w="2352" w:type="pct"/>
            <w:tcMar>
              <w:top w:w="0" w:type="dxa"/>
              <w:left w:w="108" w:type="dxa"/>
              <w:bottom w:w="0" w:type="dxa"/>
              <w:right w:w="108" w:type="dxa"/>
            </w:tcMar>
          </w:tcPr>
          <w:p w:rsidR="00CB0DD7" w:rsidRPr="000A0A5F" w:rsidRDefault="00CB0DD7">
            <w:pPr>
              <w:pStyle w:val="TAL"/>
            </w:pPr>
            <w:r w:rsidRPr="000A0A5F">
              <w:t>Unsuccessful delivery due to timeout.</w:t>
            </w:r>
          </w:p>
        </w:tc>
        <w:tc>
          <w:tcPr>
            <w:tcW w:w="883" w:type="pct"/>
          </w:tcPr>
          <w:p w:rsidR="00CB0DD7" w:rsidRPr="000A0A5F" w:rsidRDefault="00CB0DD7">
            <w:pPr>
              <w:pStyle w:val="TAL"/>
              <w:rPr>
                <w:rFonts w:cs="Arial"/>
                <w:szCs w:val="18"/>
                <w:lang w:eastAsia="zh-CN"/>
              </w:rPr>
            </w:pPr>
          </w:p>
        </w:tc>
      </w:tr>
      <w:tr w:rsidR="00CB0DD7" w:rsidRPr="000A0A5F" w:rsidTr="00FF0AF8">
        <w:tc>
          <w:tcPr>
            <w:tcW w:w="1765" w:type="pct"/>
            <w:tcMar>
              <w:top w:w="0" w:type="dxa"/>
              <w:left w:w="108" w:type="dxa"/>
              <w:bottom w:w="0" w:type="dxa"/>
              <w:right w:w="108" w:type="dxa"/>
            </w:tcMar>
          </w:tcPr>
          <w:p w:rsidR="00CB0DD7" w:rsidRPr="000A0A5F" w:rsidRDefault="00CB0DD7">
            <w:pPr>
              <w:pStyle w:val="TAL"/>
            </w:pPr>
            <w:r w:rsidRPr="000A0A5F">
              <w:t>FAILURE_TEMPORARILY_NOT_REACHABLE</w:t>
            </w:r>
          </w:p>
        </w:tc>
        <w:tc>
          <w:tcPr>
            <w:tcW w:w="2352" w:type="pct"/>
            <w:tcMar>
              <w:top w:w="0" w:type="dxa"/>
              <w:left w:w="108" w:type="dxa"/>
              <w:bottom w:w="0" w:type="dxa"/>
              <w:right w:w="108" w:type="dxa"/>
            </w:tcMar>
          </w:tcPr>
          <w:p w:rsidR="00CB0DD7" w:rsidRPr="000A0A5F" w:rsidRDefault="00CB0DD7">
            <w:pPr>
              <w:pStyle w:val="TAL"/>
            </w:pPr>
            <w:r w:rsidRPr="000A0A5F">
              <w:t>The SCEF has been informed that the UE is temporarily not reachable without buffering the data.</w:t>
            </w:r>
          </w:p>
        </w:tc>
        <w:tc>
          <w:tcPr>
            <w:tcW w:w="883" w:type="pct"/>
          </w:tcPr>
          <w:p w:rsidR="00CB0DD7" w:rsidRPr="000A0A5F" w:rsidRDefault="00CB0DD7">
            <w:pPr>
              <w:pStyle w:val="TAL"/>
              <w:rPr>
                <w:rFonts w:cs="Arial"/>
                <w:szCs w:val="18"/>
                <w:lang w:eastAsia="zh-CN"/>
              </w:rPr>
            </w:pPr>
          </w:p>
        </w:tc>
      </w:tr>
      <w:tr w:rsidR="00CB0DD7" w:rsidRPr="000A0A5F" w:rsidTr="00FF0AF8">
        <w:tc>
          <w:tcPr>
            <w:tcW w:w="5000" w:type="pct"/>
            <w:gridSpan w:val="3"/>
            <w:tcMar>
              <w:top w:w="0" w:type="dxa"/>
              <w:left w:w="108" w:type="dxa"/>
              <w:bottom w:w="0" w:type="dxa"/>
              <w:right w:w="108" w:type="dxa"/>
            </w:tcMar>
          </w:tcPr>
          <w:p w:rsidR="00CB0DD7" w:rsidRPr="000A0A5F" w:rsidRDefault="00CB0DD7">
            <w:pPr>
              <w:pStyle w:val="TAN"/>
            </w:pPr>
            <w:r w:rsidRPr="000A0A5F">
              <w:t>NOTE:</w:t>
            </w:r>
            <w:r w:rsidRPr="000A0A5F">
              <w:tab/>
              <w:t>Properties marked with a feature as defined in clause 5.6.4 are applicable as described in clause 5.2.7. If no features are indicated, the related property applies for all the features.</w:t>
            </w:r>
          </w:p>
        </w:tc>
      </w:tr>
    </w:tbl>
    <w:p w:rsidR="00CB0DD7" w:rsidRPr="000A0A5F" w:rsidRDefault="00CB0DD7"/>
    <w:p w:rsidR="00CB0DD7" w:rsidRPr="000A0A5F" w:rsidRDefault="00CB0DD7">
      <w:pPr>
        <w:pStyle w:val="Heading5"/>
      </w:pPr>
      <w:bookmarkStart w:id="3782" w:name="_Toc11247457"/>
      <w:bookmarkStart w:id="3783" w:name="_Toc27044581"/>
      <w:bookmarkStart w:id="3784" w:name="_Toc36033623"/>
      <w:bookmarkStart w:id="3785" w:name="_Toc45131759"/>
      <w:bookmarkStart w:id="3786" w:name="_Toc49776044"/>
      <w:bookmarkStart w:id="3787" w:name="_Toc51746964"/>
      <w:bookmarkStart w:id="3788" w:name="_Toc66360518"/>
      <w:bookmarkStart w:id="3789" w:name="_Toc68105023"/>
      <w:bookmarkStart w:id="3790" w:name="_Toc74755653"/>
      <w:bookmarkStart w:id="3791" w:name="_Toc105674527"/>
      <w:bookmarkStart w:id="3792" w:name="_Toc130502575"/>
      <w:bookmarkStart w:id="3793" w:name="_Toc153625362"/>
      <w:r w:rsidRPr="000A0A5F">
        <w:t>5.6.2.3.5</w:t>
      </w:r>
      <w:r w:rsidRPr="000A0A5F">
        <w:tab/>
        <w:t xml:space="preserve">Enumeration: </w:t>
      </w:r>
      <w:r w:rsidRPr="000A0A5F">
        <w:rPr>
          <w:rFonts w:eastAsia="Times New Roman"/>
        </w:rPr>
        <w:t>NiddStatus</w:t>
      </w:r>
      <w:bookmarkEnd w:id="3782"/>
      <w:bookmarkEnd w:id="3783"/>
      <w:bookmarkEnd w:id="3784"/>
      <w:bookmarkEnd w:id="3785"/>
      <w:bookmarkEnd w:id="3786"/>
      <w:bookmarkEnd w:id="3787"/>
      <w:bookmarkEnd w:id="3788"/>
      <w:bookmarkEnd w:id="3789"/>
      <w:bookmarkEnd w:id="3790"/>
      <w:bookmarkEnd w:id="3791"/>
      <w:bookmarkEnd w:id="3792"/>
      <w:bookmarkEnd w:id="3793"/>
    </w:p>
    <w:p w:rsidR="00CB0DD7" w:rsidRPr="000A0A5F" w:rsidRDefault="00CB0DD7">
      <w:r w:rsidRPr="000A0A5F">
        <w:t xml:space="preserve">The enumeration </w:t>
      </w:r>
      <w:r w:rsidRPr="000A0A5F">
        <w:rPr>
          <w:rFonts w:eastAsia="Times New Roman"/>
        </w:rPr>
        <w:t>NiddStatus</w:t>
      </w:r>
      <w:r w:rsidRPr="000A0A5F">
        <w:t xml:space="preserve"> represents the status of a NIDD</w:t>
      </w:r>
      <w:r w:rsidRPr="000A0A5F">
        <w:rPr>
          <w:rFonts w:hint="eastAsia"/>
          <w:lang w:eastAsia="zh-CN"/>
        </w:rPr>
        <w:t xml:space="preserve"> configuration</w:t>
      </w:r>
      <w:r w:rsidRPr="000A0A5F">
        <w:t>.</w:t>
      </w:r>
    </w:p>
    <w:p w:rsidR="00CB0DD7" w:rsidRPr="000A0A5F" w:rsidRDefault="00CB0DD7">
      <w:pPr>
        <w:pStyle w:val="TH"/>
      </w:pPr>
      <w:r w:rsidRPr="000A0A5F">
        <w:t xml:space="preserve">Table 5.6.2.3.5-1: Enumeration </w:t>
      </w:r>
      <w:r w:rsidRPr="000A0A5F">
        <w:rPr>
          <w:rFonts w:eastAsia="Times New Roman"/>
        </w:rPr>
        <w:t>NiddStatus</w:t>
      </w:r>
    </w:p>
    <w:tbl>
      <w:tblPr>
        <w:tblW w:w="4648"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409"/>
        <w:gridCol w:w="4961"/>
        <w:gridCol w:w="1700"/>
      </w:tblGrid>
      <w:tr w:rsidR="00CB0DD7" w:rsidRPr="000A0A5F" w:rsidTr="00FF0AF8">
        <w:tc>
          <w:tcPr>
            <w:tcW w:w="1328" w:type="pct"/>
            <w:shd w:val="clear" w:color="auto" w:fill="C0C0C0"/>
            <w:tcMar>
              <w:top w:w="0" w:type="dxa"/>
              <w:left w:w="108" w:type="dxa"/>
              <w:bottom w:w="0" w:type="dxa"/>
              <w:right w:w="108" w:type="dxa"/>
            </w:tcMar>
          </w:tcPr>
          <w:p w:rsidR="00CB0DD7" w:rsidRPr="000A0A5F" w:rsidRDefault="00CB0DD7">
            <w:pPr>
              <w:pStyle w:val="TAH"/>
            </w:pPr>
            <w:r w:rsidRPr="000A0A5F">
              <w:t>Enumeration value</w:t>
            </w:r>
          </w:p>
        </w:tc>
        <w:tc>
          <w:tcPr>
            <w:tcW w:w="2735" w:type="pct"/>
            <w:shd w:val="clear" w:color="auto" w:fill="C0C0C0"/>
            <w:tcMar>
              <w:top w:w="0" w:type="dxa"/>
              <w:left w:w="108" w:type="dxa"/>
              <w:bottom w:w="0" w:type="dxa"/>
              <w:right w:w="108" w:type="dxa"/>
            </w:tcMar>
          </w:tcPr>
          <w:p w:rsidR="00CB0DD7" w:rsidRPr="000A0A5F" w:rsidRDefault="00CB0DD7">
            <w:pPr>
              <w:pStyle w:val="TAH"/>
            </w:pPr>
            <w:r w:rsidRPr="000A0A5F">
              <w:t>Description</w:t>
            </w:r>
          </w:p>
        </w:tc>
        <w:tc>
          <w:tcPr>
            <w:tcW w:w="937" w:type="pct"/>
            <w:shd w:val="clear" w:color="auto" w:fill="C0C0C0"/>
          </w:tcPr>
          <w:p w:rsidR="00CB0DD7" w:rsidRPr="000A0A5F" w:rsidRDefault="00CB0DD7">
            <w:pPr>
              <w:pStyle w:val="TAH"/>
            </w:pPr>
            <w:r w:rsidRPr="000A0A5F">
              <w:rPr>
                <w:rFonts w:eastAsia="Times New Roman" w:cs="Arial"/>
                <w:szCs w:val="18"/>
              </w:rPr>
              <w:t>Applicability (NOTE)</w:t>
            </w:r>
          </w:p>
        </w:tc>
      </w:tr>
      <w:tr w:rsidR="00CB0DD7" w:rsidRPr="000A0A5F" w:rsidTr="00FF0AF8">
        <w:tc>
          <w:tcPr>
            <w:tcW w:w="1328" w:type="pct"/>
            <w:tcMar>
              <w:top w:w="0" w:type="dxa"/>
              <w:left w:w="108" w:type="dxa"/>
              <w:bottom w:w="0" w:type="dxa"/>
              <w:right w:w="108" w:type="dxa"/>
            </w:tcMar>
          </w:tcPr>
          <w:p w:rsidR="00CB0DD7" w:rsidRPr="000A0A5F" w:rsidRDefault="00CB0DD7">
            <w:pPr>
              <w:pStyle w:val="TAL"/>
            </w:pPr>
            <w:r w:rsidRPr="000A0A5F">
              <w:t>ACTIVE</w:t>
            </w:r>
          </w:p>
        </w:tc>
        <w:tc>
          <w:tcPr>
            <w:tcW w:w="2735" w:type="pct"/>
            <w:tcMar>
              <w:top w:w="0" w:type="dxa"/>
              <w:left w:w="108" w:type="dxa"/>
              <w:bottom w:w="0" w:type="dxa"/>
              <w:right w:w="108" w:type="dxa"/>
            </w:tcMar>
          </w:tcPr>
          <w:p w:rsidR="00CB0DD7" w:rsidRPr="000A0A5F" w:rsidRDefault="00CB0DD7">
            <w:pPr>
              <w:pStyle w:val="TAL"/>
            </w:pPr>
            <w:r w:rsidRPr="000A0A5F">
              <w:t xml:space="preserve">The </w:t>
            </w:r>
            <w:r w:rsidRPr="000A0A5F">
              <w:rPr>
                <w:rFonts w:hint="eastAsia"/>
                <w:lang w:eastAsia="zh-CN"/>
              </w:rPr>
              <w:t xml:space="preserve">NIDD configuration </w:t>
            </w:r>
            <w:r w:rsidRPr="000A0A5F">
              <w:t>is active.</w:t>
            </w:r>
          </w:p>
        </w:tc>
        <w:tc>
          <w:tcPr>
            <w:tcW w:w="937" w:type="pct"/>
          </w:tcPr>
          <w:p w:rsidR="00CB0DD7" w:rsidRPr="000A0A5F" w:rsidRDefault="00CB0DD7">
            <w:pPr>
              <w:pStyle w:val="TAL"/>
              <w:rPr>
                <w:rFonts w:cs="Arial"/>
                <w:szCs w:val="18"/>
                <w:lang w:eastAsia="zh-CN"/>
              </w:rPr>
            </w:pPr>
          </w:p>
        </w:tc>
      </w:tr>
      <w:tr w:rsidR="00CB0DD7" w:rsidRPr="000A0A5F" w:rsidTr="00FF0AF8">
        <w:tc>
          <w:tcPr>
            <w:tcW w:w="1328" w:type="pct"/>
            <w:tcMar>
              <w:top w:w="0" w:type="dxa"/>
              <w:left w:w="108" w:type="dxa"/>
              <w:bottom w:w="0" w:type="dxa"/>
              <w:right w:w="108" w:type="dxa"/>
            </w:tcMar>
          </w:tcPr>
          <w:p w:rsidR="00CB0DD7" w:rsidRPr="000A0A5F" w:rsidRDefault="00CB0DD7">
            <w:pPr>
              <w:pStyle w:val="TAL"/>
            </w:pPr>
            <w:r w:rsidRPr="000A0A5F">
              <w:t>TERMINATED_UE_NOT_AUTHORIZED</w:t>
            </w:r>
          </w:p>
        </w:tc>
        <w:tc>
          <w:tcPr>
            <w:tcW w:w="2735" w:type="pct"/>
            <w:tcMar>
              <w:top w:w="0" w:type="dxa"/>
              <w:left w:w="108" w:type="dxa"/>
              <w:bottom w:w="0" w:type="dxa"/>
              <w:right w:w="108" w:type="dxa"/>
            </w:tcMar>
          </w:tcPr>
          <w:p w:rsidR="00CB0DD7" w:rsidRPr="000A0A5F" w:rsidRDefault="00CB0DD7">
            <w:pPr>
              <w:pStyle w:val="TAL"/>
            </w:pPr>
            <w:r w:rsidRPr="000A0A5F">
              <w:t xml:space="preserve">The </w:t>
            </w:r>
            <w:r w:rsidRPr="000A0A5F">
              <w:rPr>
                <w:rFonts w:hint="eastAsia"/>
                <w:lang w:eastAsia="zh-CN"/>
              </w:rPr>
              <w:t>NIDD configuration</w:t>
            </w:r>
            <w:r w:rsidRPr="000A0A5F">
              <w:t xml:space="preserve"> was terminated because the UE´s authorisation was revoked.</w:t>
            </w:r>
          </w:p>
        </w:tc>
        <w:tc>
          <w:tcPr>
            <w:tcW w:w="937" w:type="pct"/>
          </w:tcPr>
          <w:p w:rsidR="00CB0DD7" w:rsidRPr="000A0A5F" w:rsidRDefault="00CB0DD7">
            <w:pPr>
              <w:pStyle w:val="TAL"/>
              <w:rPr>
                <w:rFonts w:cs="Arial"/>
                <w:szCs w:val="18"/>
                <w:lang w:eastAsia="zh-CN"/>
              </w:rPr>
            </w:pPr>
          </w:p>
        </w:tc>
      </w:tr>
      <w:tr w:rsidR="00CB0DD7" w:rsidRPr="000A0A5F" w:rsidTr="00FF0AF8">
        <w:tc>
          <w:tcPr>
            <w:tcW w:w="1328" w:type="pct"/>
            <w:tcMar>
              <w:top w:w="0" w:type="dxa"/>
              <w:left w:w="108" w:type="dxa"/>
              <w:bottom w:w="0" w:type="dxa"/>
              <w:right w:w="108" w:type="dxa"/>
            </w:tcMar>
          </w:tcPr>
          <w:p w:rsidR="00CB0DD7" w:rsidRPr="000A0A5F" w:rsidRDefault="00CB0DD7">
            <w:pPr>
              <w:pStyle w:val="TAL"/>
            </w:pPr>
            <w:r w:rsidRPr="000A0A5F">
              <w:t>TERMINATED</w:t>
            </w:r>
          </w:p>
        </w:tc>
        <w:tc>
          <w:tcPr>
            <w:tcW w:w="2735" w:type="pct"/>
            <w:tcMar>
              <w:top w:w="0" w:type="dxa"/>
              <w:left w:w="108" w:type="dxa"/>
              <w:bottom w:w="0" w:type="dxa"/>
              <w:right w:w="108" w:type="dxa"/>
            </w:tcMar>
          </w:tcPr>
          <w:p w:rsidR="00CB0DD7" w:rsidRPr="000A0A5F" w:rsidRDefault="00CB0DD7">
            <w:pPr>
              <w:pStyle w:val="TAL"/>
            </w:pPr>
            <w:r w:rsidRPr="000A0A5F">
              <w:t xml:space="preserve">The </w:t>
            </w:r>
            <w:r w:rsidRPr="000A0A5F">
              <w:rPr>
                <w:rFonts w:hint="eastAsia"/>
                <w:lang w:eastAsia="zh-CN"/>
              </w:rPr>
              <w:t>NIDD configuration</w:t>
            </w:r>
            <w:r w:rsidRPr="000A0A5F">
              <w:t xml:space="preserve"> was terminated.</w:t>
            </w:r>
          </w:p>
        </w:tc>
        <w:tc>
          <w:tcPr>
            <w:tcW w:w="937" w:type="pct"/>
          </w:tcPr>
          <w:p w:rsidR="00CB0DD7" w:rsidRPr="000A0A5F" w:rsidRDefault="00CB0DD7">
            <w:pPr>
              <w:pStyle w:val="TAL"/>
              <w:rPr>
                <w:rFonts w:cs="Arial"/>
                <w:szCs w:val="18"/>
                <w:lang w:eastAsia="zh-CN"/>
              </w:rPr>
            </w:pPr>
          </w:p>
        </w:tc>
      </w:tr>
      <w:tr w:rsidR="00CB0DD7" w:rsidRPr="000A0A5F" w:rsidTr="00FF0AF8">
        <w:tc>
          <w:tcPr>
            <w:tcW w:w="1328" w:type="pct"/>
            <w:tcMar>
              <w:top w:w="0" w:type="dxa"/>
              <w:left w:w="108" w:type="dxa"/>
              <w:bottom w:w="0" w:type="dxa"/>
              <w:right w:w="108" w:type="dxa"/>
            </w:tcMar>
          </w:tcPr>
          <w:p w:rsidR="00CB0DD7" w:rsidRPr="000A0A5F" w:rsidRDefault="00CB0DD7">
            <w:pPr>
              <w:pStyle w:val="TAL"/>
            </w:pPr>
            <w:r w:rsidRPr="000A0A5F">
              <w:t>RDS_PORT_UNKNOWN</w:t>
            </w:r>
          </w:p>
        </w:tc>
        <w:tc>
          <w:tcPr>
            <w:tcW w:w="2735" w:type="pct"/>
            <w:tcMar>
              <w:top w:w="0" w:type="dxa"/>
              <w:left w:w="108" w:type="dxa"/>
              <w:bottom w:w="0" w:type="dxa"/>
              <w:right w:w="108" w:type="dxa"/>
            </w:tcMar>
          </w:tcPr>
          <w:p w:rsidR="00CB0DD7" w:rsidRPr="000A0A5F" w:rsidRDefault="00CB0DD7">
            <w:pPr>
              <w:pStyle w:val="TAL"/>
            </w:pPr>
            <w:r w:rsidRPr="000A0A5F">
              <w:t>The RDS port is unknown.</w:t>
            </w:r>
          </w:p>
        </w:tc>
        <w:tc>
          <w:tcPr>
            <w:tcW w:w="937" w:type="pct"/>
          </w:tcPr>
          <w:p w:rsidR="00CB0DD7" w:rsidRPr="000A0A5F" w:rsidRDefault="00CB0DD7">
            <w:pPr>
              <w:pStyle w:val="TAL"/>
              <w:rPr>
                <w:rFonts w:cs="Arial"/>
                <w:szCs w:val="18"/>
                <w:lang w:eastAsia="zh-CN"/>
              </w:rPr>
            </w:pPr>
            <w:r w:rsidRPr="000A0A5F">
              <w:t>Rds_port_verification</w:t>
            </w:r>
          </w:p>
        </w:tc>
      </w:tr>
      <w:tr w:rsidR="00CB0DD7" w:rsidRPr="000A0A5F" w:rsidTr="00FF0AF8">
        <w:tc>
          <w:tcPr>
            <w:tcW w:w="5000" w:type="pct"/>
            <w:gridSpan w:val="3"/>
            <w:tcMar>
              <w:top w:w="0" w:type="dxa"/>
              <w:left w:w="108" w:type="dxa"/>
              <w:bottom w:w="0" w:type="dxa"/>
              <w:right w:w="108" w:type="dxa"/>
            </w:tcMar>
          </w:tcPr>
          <w:p w:rsidR="00CB0DD7" w:rsidRPr="000A0A5F" w:rsidRDefault="00CB0DD7">
            <w:pPr>
              <w:pStyle w:val="TAN"/>
            </w:pPr>
            <w:r w:rsidRPr="000A0A5F">
              <w:t>NOTE:</w:t>
            </w:r>
            <w:r w:rsidRPr="000A0A5F">
              <w:tab/>
              <w:t>Properties marked with a feature as defined in clause 5.6.4 are applicable as described in clause 5.2.7. If no feature are indicated, the related property applies for all the features.</w:t>
            </w:r>
          </w:p>
        </w:tc>
      </w:tr>
    </w:tbl>
    <w:p w:rsidR="00CB0DD7" w:rsidRPr="000A0A5F" w:rsidRDefault="00CB0DD7"/>
    <w:p w:rsidR="00CB0DD7" w:rsidRPr="000A0A5F" w:rsidRDefault="00CB0DD7">
      <w:pPr>
        <w:pStyle w:val="Heading5"/>
      </w:pPr>
      <w:bookmarkStart w:id="3794" w:name="_Toc11247458"/>
      <w:bookmarkStart w:id="3795" w:name="_Toc27044582"/>
      <w:bookmarkStart w:id="3796" w:name="_Toc36033624"/>
      <w:bookmarkStart w:id="3797" w:name="_Toc45131760"/>
      <w:bookmarkStart w:id="3798" w:name="_Toc49776045"/>
      <w:bookmarkStart w:id="3799" w:name="_Toc51746965"/>
      <w:bookmarkStart w:id="3800" w:name="_Toc66360519"/>
      <w:bookmarkStart w:id="3801" w:name="_Toc68105024"/>
      <w:bookmarkStart w:id="3802" w:name="_Toc74755654"/>
      <w:bookmarkStart w:id="3803" w:name="_Toc105674528"/>
      <w:bookmarkStart w:id="3804" w:name="_Toc130502576"/>
      <w:bookmarkStart w:id="3805" w:name="_Toc153625363"/>
      <w:r w:rsidRPr="000A0A5F">
        <w:t>5.6.2.3.6</w:t>
      </w:r>
      <w:r w:rsidRPr="000A0A5F">
        <w:tab/>
        <w:t xml:space="preserve">Enumeration: </w:t>
      </w:r>
      <w:r w:rsidRPr="000A0A5F">
        <w:rPr>
          <w:rFonts w:eastAsia="Times New Roman"/>
        </w:rPr>
        <w:t>PdnEstablishmentOptionsRm</w:t>
      </w:r>
      <w:bookmarkEnd w:id="3794"/>
      <w:bookmarkEnd w:id="3795"/>
      <w:bookmarkEnd w:id="3796"/>
      <w:bookmarkEnd w:id="3797"/>
      <w:bookmarkEnd w:id="3798"/>
      <w:bookmarkEnd w:id="3799"/>
      <w:bookmarkEnd w:id="3800"/>
      <w:bookmarkEnd w:id="3801"/>
      <w:bookmarkEnd w:id="3802"/>
      <w:bookmarkEnd w:id="3803"/>
      <w:bookmarkEnd w:id="3804"/>
      <w:bookmarkEnd w:id="3805"/>
    </w:p>
    <w:p w:rsidR="00CB0DD7" w:rsidRPr="000A0A5F" w:rsidRDefault="00CB0DD7">
      <w:r w:rsidRPr="000A0A5F">
        <w:t xml:space="preserve">The enumeration </w:t>
      </w:r>
      <w:r w:rsidRPr="000A0A5F">
        <w:rPr>
          <w:rFonts w:eastAsia="Times New Roman"/>
        </w:rPr>
        <w:t>PdnEstablishmentOption</w:t>
      </w:r>
      <w:r w:rsidRPr="000A0A5F">
        <w:t xml:space="preserve">sRm represents PDN establishment options that describe the network behaviour when there is no PDN connection towards the addressed UE. It is defined in clause 5.6.2.3.3 but also allows </w:t>
      </w:r>
      <w:r w:rsidRPr="000A0A5F">
        <w:rPr>
          <w:lang w:eastAsia="zh-CN"/>
        </w:rPr>
        <w:t xml:space="preserve">null value (specified as </w:t>
      </w:r>
      <w:r w:rsidRPr="000A0A5F">
        <w:t>"</w:t>
      </w:r>
      <w:r w:rsidRPr="000A0A5F">
        <w:rPr>
          <w:lang w:eastAsia="zh-CN"/>
        </w:rPr>
        <w:t>NullValue" data type)</w:t>
      </w:r>
      <w:r w:rsidRPr="000A0A5F">
        <w:t xml:space="preserve"> so it can be removed in "JSON Merge Patch", as defined in IETF RFC 7396 [39].</w:t>
      </w:r>
    </w:p>
    <w:p w:rsidR="00CB0DD7" w:rsidRPr="000A0A5F" w:rsidRDefault="00CB0DD7">
      <w:pPr>
        <w:pStyle w:val="TH"/>
      </w:pPr>
      <w:r w:rsidRPr="000A0A5F">
        <w:t xml:space="preserve">Table 5.6.2.3.6-1: Enumeration </w:t>
      </w:r>
      <w:r w:rsidRPr="000A0A5F">
        <w:rPr>
          <w:rFonts w:eastAsia="Times New Roman"/>
        </w:rPr>
        <w:t>PdnEstablishmentOptionsRm</w:t>
      </w:r>
    </w:p>
    <w:tbl>
      <w:tblPr>
        <w:tblW w:w="4648"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267"/>
        <w:gridCol w:w="5103"/>
        <w:gridCol w:w="1700"/>
      </w:tblGrid>
      <w:tr w:rsidR="00CB0DD7" w:rsidRPr="000A0A5F" w:rsidTr="00FF0AF8">
        <w:tc>
          <w:tcPr>
            <w:tcW w:w="1250" w:type="pct"/>
            <w:shd w:val="clear" w:color="auto" w:fill="C0C0C0"/>
            <w:tcMar>
              <w:top w:w="0" w:type="dxa"/>
              <w:left w:w="108" w:type="dxa"/>
              <w:bottom w:w="0" w:type="dxa"/>
              <w:right w:w="108" w:type="dxa"/>
            </w:tcMar>
          </w:tcPr>
          <w:p w:rsidR="00CB0DD7" w:rsidRPr="000A0A5F" w:rsidRDefault="00CB0DD7">
            <w:pPr>
              <w:pStyle w:val="TAH"/>
            </w:pPr>
            <w:r w:rsidRPr="000A0A5F">
              <w:t>Enumeration value</w:t>
            </w:r>
          </w:p>
        </w:tc>
        <w:tc>
          <w:tcPr>
            <w:tcW w:w="2813" w:type="pct"/>
            <w:shd w:val="clear" w:color="auto" w:fill="C0C0C0"/>
            <w:tcMar>
              <w:top w:w="0" w:type="dxa"/>
              <w:left w:w="108" w:type="dxa"/>
              <w:bottom w:w="0" w:type="dxa"/>
              <w:right w:w="108" w:type="dxa"/>
            </w:tcMar>
          </w:tcPr>
          <w:p w:rsidR="00CB0DD7" w:rsidRPr="000A0A5F" w:rsidRDefault="00CB0DD7">
            <w:pPr>
              <w:pStyle w:val="TAH"/>
            </w:pPr>
            <w:r w:rsidRPr="000A0A5F">
              <w:t>Description</w:t>
            </w:r>
          </w:p>
        </w:tc>
        <w:tc>
          <w:tcPr>
            <w:tcW w:w="937" w:type="pct"/>
            <w:shd w:val="clear" w:color="auto" w:fill="C0C0C0"/>
          </w:tcPr>
          <w:p w:rsidR="00CB0DD7" w:rsidRPr="000A0A5F" w:rsidRDefault="00CB0DD7">
            <w:pPr>
              <w:pStyle w:val="TAH"/>
            </w:pPr>
            <w:r w:rsidRPr="000A0A5F">
              <w:rPr>
                <w:rFonts w:eastAsia="Times New Roman" w:cs="Arial"/>
                <w:szCs w:val="18"/>
              </w:rPr>
              <w:t>Applicability (NOTE)</w:t>
            </w:r>
          </w:p>
        </w:tc>
      </w:tr>
      <w:tr w:rsidR="00CB0DD7" w:rsidRPr="000A0A5F" w:rsidTr="00FF0AF8">
        <w:tc>
          <w:tcPr>
            <w:tcW w:w="1250" w:type="pct"/>
            <w:tcMar>
              <w:top w:w="0" w:type="dxa"/>
              <w:left w:w="108" w:type="dxa"/>
              <w:bottom w:w="0" w:type="dxa"/>
              <w:right w:w="108" w:type="dxa"/>
            </w:tcMar>
          </w:tcPr>
          <w:p w:rsidR="00CB0DD7" w:rsidRPr="000A0A5F" w:rsidRDefault="00CB0DD7">
            <w:pPr>
              <w:pStyle w:val="TAL"/>
            </w:pPr>
            <w:r w:rsidRPr="000A0A5F">
              <w:t>WAIT_FOR_UE</w:t>
            </w:r>
          </w:p>
        </w:tc>
        <w:tc>
          <w:tcPr>
            <w:tcW w:w="2813" w:type="pct"/>
            <w:tcMar>
              <w:top w:w="0" w:type="dxa"/>
              <w:left w:w="108" w:type="dxa"/>
              <w:bottom w:w="0" w:type="dxa"/>
              <w:right w:w="108" w:type="dxa"/>
            </w:tcMar>
          </w:tcPr>
          <w:p w:rsidR="00CB0DD7" w:rsidRPr="000A0A5F" w:rsidRDefault="00CB0DD7">
            <w:pPr>
              <w:pStyle w:val="TAL"/>
            </w:pPr>
            <w:r w:rsidRPr="000A0A5F">
              <w:t xml:space="preserve">wait for the UE to establish the PDN connection </w:t>
            </w:r>
          </w:p>
        </w:tc>
        <w:tc>
          <w:tcPr>
            <w:tcW w:w="937" w:type="pct"/>
          </w:tcPr>
          <w:p w:rsidR="00CB0DD7" w:rsidRPr="000A0A5F" w:rsidRDefault="00CB0DD7">
            <w:pPr>
              <w:pStyle w:val="TAL"/>
              <w:rPr>
                <w:rFonts w:cs="Arial"/>
                <w:szCs w:val="18"/>
                <w:lang w:eastAsia="zh-CN"/>
              </w:rPr>
            </w:pPr>
          </w:p>
        </w:tc>
      </w:tr>
      <w:tr w:rsidR="00CB0DD7" w:rsidRPr="000A0A5F" w:rsidTr="00FF0AF8">
        <w:tc>
          <w:tcPr>
            <w:tcW w:w="1250" w:type="pct"/>
            <w:tcMar>
              <w:top w:w="0" w:type="dxa"/>
              <w:left w:w="108" w:type="dxa"/>
              <w:bottom w:w="0" w:type="dxa"/>
              <w:right w:w="108" w:type="dxa"/>
            </w:tcMar>
          </w:tcPr>
          <w:p w:rsidR="00CB0DD7" w:rsidRPr="000A0A5F" w:rsidRDefault="00CB0DD7">
            <w:pPr>
              <w:pStyle w:val="TAL"/>
            </w:pPr>
            <w:r w:rsidRPr="000A0A5F">
              <w:t>INDICATE_ERROR</w:t>
            </w:r>
          </w:p>
        </w:tc>
        <w:tc>
          <w:tcPr>
            <w:tcW w:w="2813" w:type="pct"/>
            <w:tcMar>
              <w:top w:w="0" w:type="dxa"/>
              <w:left w:w="108" w:type="dxa"/>
              <w:bottom w:w="0" w:type="dxa"/>
              <w:right w:w="108" w:type="dxa"/>
            </w:tcMar>
          </w:tcPr>
          <w:p w:rsidR="00CB0DD7" w:rsidRPr="000A0A5F" w:rsidRDefault="00CB0DD7">
            <w:pPr>
              <w:pStyle w:val="TAL"/>
            </w:pPr>
            <w:r w:rsidRPr="000A0A5F">
              <w:t>respond with an error cause</w:t>
            </w:r>
          </w:p>
        </w:tc>
        <w:tc>
          <w:tcPr>
            <w:tcW w:w="937" w:type="pct"/>
          </w:tcPr>
          <w:p w:rsidR="00CB0DD7" w:rsidRPr="000A0A5F" w:rsidRDefault="00CB0DD7">
            <w:pPr>
              <w:pStyle w:val="TAL"/>
              <w:rPr>
                <w:rFonts w:cs="Arial"/>
                <w:szCs w:val="18"/>
                <w:lang w:eastAsia="zh-CN"/>
              </w:rPr>
            </w:pPr>
          </w:p>
        </w:tc>
      </w:tr>
      <w:tr w:rsidR="00CB0DD7" w:rsidRPr="000A0A5F" w:rsidTr="00FF0AF8">
        <w:tc>
          <w:tcPr>
            <w:tcW w:w="1250" w:type="pct"/>
            <w:tcMar>
              <w:top w:w="0" w:type="dxa"/>
              <w:left w:w="108" w:type="dxa"/>
              <w:bottom w:w="0" w:type="dxa"/>
              <w:right w:w="108" w:type="dxa"/>
            </w:tcMar>
          </w:tcPr>
          <w:p w:rsidR="00CB0DD7" w:rsidRPr="000A0A5F" w:rsidRDefault="00CB0DD7">
            <w:pPr>
              <w:pStyle w:val="TAL"/>
            </w:pPr>
            <w:r w:rsidRPr="000A0A5F">
              <w:t>SEND_TRIGGER</w:t>
            </w:r>
          </w:p>
        </w:tc>
        <w:tc>
          <w:tcPr>
            <w:tcW w:w="2813" w:type="pct"/>
            <w:tcMar>
              <w:top w:w="0" w:type="dxa"/>
              <w:left w:w="108" w:type="dxa"/>
              <w:bottom w:w="0" w:type="dxa"/>
              <w:right w:w="108" w:type="dxa"/>
            </w:tcMar>
          </w:tcPr>
          <w:p w:rsidR="00CB0DD7" w:rsidRPr="000A0A5F" w:rsidRDefault="00CB0DD7">
            <w:pPr>
              <w:pStyle w:val="TAL"/>
            </w:pPr>
            <w:r w:rsidRPr="000A0A5F">
              <w:t>send a device trigger</w:t>
            </w:r>
          </w:p>
        </w:tc>
        <w:tc>
          <w:tcPr>
            <w:tcW w:w="937" w:type="pct"/>
          </w:tcPr>
          <w:p w:rsidR="00CB0DD7" w:rsidRPr="000A0A5F" w:rsidRDefault="00CB0DD7">
            <w:pPr>
              <w:pStyle w:val="TAL"/>
              <w:rPr>
                <w:rFonts w:cs="Arial"/>
                <w:szCs w:val="18"/>
                <w:lang w:eastAsia="zh-CN"/>
              </w:rPr>
            </w:pPr>
          </w:p>
        </w:tc>
      </w:tr>
      <w:tr w:rsidR="00CB0DD7" w:rsidRPr="000A0A5F" w:rsidTr="00FF0AF8">
        <w:tc>
          <w:tcPr>
            <w:tcW w:w="5000" w:type="pct"/>
            <w:gridSpan w:val="3"/>
            <w:tcMar>
              <w:top w:w="0" w:type="dxa"/>
              <w:left w:w="108" w:type="dxa"/>
              <w:bottom w:w="0" w:type="dxa"/>
              <w:right w:w="108" w:type="dxa"/>
            </w:tcMar>
          </w:tcPr>
          <w:p w:rsidR="00CB0DD7" w:rsidRPr="000A0A5F" w:rsidRDefault="00CB0DD7">
            <w:pPr>
              <w:pStyle w:val="TAN"/>
            </w:pPr>
            <w:r w:rsidRPr="000A0A5F">
              <w:t>NOTE:</w:t>
            </w:r>
            <w:r w:rsidRPr="000A0A5F">
              <w:tab/>
              <w:t>Properties marked with a feature as defined in clause 5.6.4 are applicable as described in clause 5.2.7. If no features are indicated, the related property applies for all the features.</w:t>
            </w:r>
          </w:p>
        </w:tc>
      </w:tr>
    </w:tbl>
    <w:p w:rsidR="00CB0DD7" w:rsidRPr="000A0A5F" w:rsidRDefault="00CB0DD7"/>
    <w:p w:rsidR="00CB0DD7" w:rsidRPr="000A0A5F" w:rsidRDefault="00CB0DD7">
      <w:pPr>
        <w:pStyle w:val="Heading5"/>
      </w:pPr>
      <w:bookmarkStart w:id="3806" w:name="_Toc45131761"/>
      <w:bookmarkStart w:id="3807" w:name="_Toc49776046"/>
      <w:bookmarkStart w:id="3808" w:name="_Toc51746966"/>
      <w:bookmarkStart w:id="3809" w:name="_Toc66360520"/>
      <w:bookmarkStart w:id="3810" w:name="_Toc68105025"/>
      <w:bookmarkStart w:id="3811" w:name="_Toc74755655"/>
      <w:bookmarkStart w:id="3812" w:name="_Toc105674529"/>
      <w:bookmarkStart w:id="3813" w:name="_Toc130502577"/>
      <w:bookmarkStart w:id="3814" w:name="_Toc153625364"/>
      <w:r w:rsidRPr="000A0A5F">
        <w:t>5.6.2.3.7</w:t>
      </w:r>
      <w:r w:rsidRPr="000A0A5F">
        <w:tab/>
        <w:t>Enumeration: ManageEntity</w:t>
      </w:r>
      <w:bookmarkEnd w:id="3806"/>
      <w:bookmarkEnd w:id="3807"/>
      <w:bookmarkEnd w:id="3808"/>
      <w:bookmarkEnd w:id="3809"/>
      <w:bookmarkEnd w:id="3810"/>
      <w:bookmarkEnd w:id="3811"/>
      <w:bookmarkEnd w:id="3812"/>
      <w:bookmarkEnd w:id="3813"/>
      <w:bookmarkEnd w:id="3814"/>
    </w:p>
    <w:p w:rsidR="00CB0DD7" w:rsidRPr="000A0A5F" w:rsidRDefault="00CB0DD7">
      <w:r w:rsidRPr="000A0A5F">
        <w:t>The enumeration ManageEntity represents the origin that manages the RDS port.</w:t>
      </w:r>
    </w:p>
    <w:p w:rsidR="00CB0DD7" w:rsidRPr="000A0A5F" w:rsidRDefault="00CB0DD7">
      <w:pPr>
        <w:pStyle w:val="TH"/>
      </w:pPr>
      <w:r w:rsidRPr="000A0A5F">
        <w:t>Table 5.6.2.3.7-1: Enumeration ManageEntity</w:t>
      </w:r>
    </w:p>
    <w:tbl>
      <w:tblPr>
        <w:tblW w:w="4648"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267"/>
        <w:gridCol w:w="5103"/>
        <w:gridCol w:w="1700"/>
      </w:tblGrid>
      <w:tr w:rsidR="00CB0DD7" w:rsidRPr="000A0A5F" w:rsidTr="00FF0AF8">
        <w:tc>
          <w:tcPr>
            <w:tcW w:w="1250" w:type="pct"/>
            <w:shd w:val="clear" w:color="auto" w:fill="C0C0C0"/>
            <w:tcMar>
              <w:top w:w="0" w:type="dxa"/>
              <w:left w:w="108" w:type="dxa"/>
              <w:bottom w:w="0" w:type="dxa"/>
              <w:right w:w="108" w:type="dxa"/>
            </w:tcMar>
          </w:tcPr>
          <w:p w:rsidR="00CB0DD7" w:rsidRPr="000A0A5F" w:rsidRDefault="00CB0DD7">
            <w:pPr>
              <w:pStyle w:val="TAH"/>
            </w:pPr>
            <w:r w:rsidRPr="000A0A5F">
              <w:t>Enumeration value</w:t>
            </w:r>
          </w:p>
        </w:tc>
        <w:tc>
          <w:tcPr>
            <w:tcW w:w="2813" w:type="pct"/>
            <w:shd w:val="clear" w:color="auto" w:fill="C0C0C0"/>
            <w:tcMar>
              <w:top w:w="0" w:type="dxa"/>
              <w:left w:w="108" w:type="dxa"/>
              <w:bottom w:w="0" w:type="dxa"/>
              <w:right w:w="108" w:type="dxa"/>
            </w:tcMar>
          </w:tcPr>
          <w:p w:rsidR="00CB0DD7" w:rsidRPr="000A0A5F" w:rsidRDefault="00CB0DD7">
            <w:pPr>
              <w:pStyle w:val="TAH"/>
            </w:pPr>
            <w:r w:rsidRPr="000A0A5F">
              <w:t>Description</w:t>
            </w:r>
          </w:p>
        </w:tc>
        <w:tc>
          <w:tcPr>
            <w:tcW w:w="937" w:type="pct"/>
            <w:shd w:val="clear" w:color="auto" w:fill="C0C0C0"/>
          </w:tcPr>
          <w:p w:rsidR="00CB0DD7" w:rsidRPr="000A0A5F" w:rsidRDefault="00CB0DD7">
            <w:pPr>
              <w:pStyle w:val="TAH"/>
            </w:pPr>
            <w:r w:rsidRPr="000A0A5F">
              <w:rPr>
                <w:rFonts w:cs="Arial"/>
                <w:szCs w:val="18"/>
              </w:rPr>
              <w:t>Applicability</w:t>
            </w:r>
          </w:p>
        </w:tc>
      </w:tr>
      <w:tr w:rsidR="00CB0DD7" w:rsidRPr="000A0A5F" w:rsidTr="00FF0AF8">
        <w:tc>
          <w:tcPr>
            <w:tcW w:w="1250" w:type="pct"/>
            <w:tcMar>
              <w:top w:w="0" w:type="dxa"/>
              <w:left w:w="108" w:type="dxa"/>
              <w:bottom w:w="0" w:type="dxa"/>
              <w:right w:w="108" w:type="dxa"/>
            </w:tcMar>
          </w:tcPr>
          <w:p w:rsidR="00CB0DD7" w:rsidRPr="000A0A5F" w:rsidRDefault="00CB0DD7">
            <w:pPr>
              <w:pStyle w:val="TAL"/>
            </w:pPr>
            <w:r w:rsidRPr="000A0A5F">
              <w:t>UE</w:t>
            </w:r>
          </w:p>
        </w:tc>
        <w:tc>
          <w:tcPr>
            <w:tcW w:w="2813" w:type="pct"/>
            <w:tcMar>
              <w:top w:w="0" w:type="dxa"/>
              <w:left w:w="108" w:type="dxa"/>
              <w:bottom w:w="0" w:type="dxa"/>
              <w:right w:w="108" w:type="dxa"/>
            </w:tcMar>
          </w:tcPr>
          <w:p w:rsidR="00CB0DD7" w:rsidRPr="000A0A5F" w:rsidRDefault="00CB0DD7">
            <w:pPr>
              <w:pStyle w:val="TAL"/>
            </w:pPr>
            <w:r w:rsidRPr="000A0A5F">
              <w:t xml:space="preserve">Representing the UE. </w:t>
            </w:r>
          </w:p>
        </w:tc>
        <w:tc>
          <w:tcPr>
            <w:tcW w:w="937" w:type="pct"/>
          </w:tcPr>
          <w:p w:rsidR="00CB0DD7" w:rsidRPr="000A0A5F" w:rsidRDefault="00CB0DD7">
            <w:pPr>
              <w:pStyle w:val="TAL"/>
              <w:rPr>
                <w:rFonts w:cs="Arial"/>
                <w:szCs w:val="18"/>
                <w:lang w:eastAsia="zh-CN"/>
              </w:rPr>
            </w:pPr>
          </w:p>
        </w:tc>
      </w:tr>
      <w:tr w:rsidR="00CB0DD7" w:rsidRPr="000A0A5F" w:rsidTr="00FF0AF8">
        <w:tc>
          <w:tcPr>
            <w:tcW w:w="1250" w:type="pct"/>
            <w:tcMar>
              <w:top w:w="0" w:type="dxa"/>
              <w:left w:w="108" w:type="dxa"/>
              <w:bottom w:w="0" w:type="dxa"/>
              <w:right w:w="108" w:type="dxa"/>
            </w:tcMar>
          </w:tcPr>
          <w:p w:rsidR="00CB0DD7" w:rsidRPr="000A0A5F" w:rsidRDefault="00CB0DD7">
            <w:pPr>
              <w:pStyle w:val="TAL"/>
            </w:pPr>
            <w:r w:rsidRPr="000A0A5F">
              <w:t>AS</w:t>
            </w:r>
          </w:p>
        </w:tc>
        <w:tc>
          <w:tcPr>
            <w:tcW w:w="2813" w:type="pct"/>
            <w:tcMar>
              <w:top w:w="0" w:type="dxa"/>
              <w:left w:w="108" w:type="dxa"/>
              <w:bottom w:w="0" w:type="dxa"/>
              <w:right w:w="108" w:type="dxa"/>
            </w:tcMar>
          </w:tcPr>
          <w:p w:rsidR="00CB0DD7" w:rsidRPr="000A0A5F" w:rsidRDefault="00CB0DD7">
            <w:pPr>
              <w:pStyle w:val="TAL"/>
            </w:pPr>
            <w:r w:rsidRPr="000A0A5F">
              <w:t>Representing the Application Server</w:t>
            </w:r>
          </w:p>
        </w:tc>
        <w:tc>
          <w:tcPr>
            <w:tcW w:w="937" w:type="pct"/>
          </w:tcPr>
          <w:p w:rsidR="00CB0DD7" w:rsidRPr="000A0A5F" w:rsidRDefault="00CB0DD7">
            <w:pPr>
              <w:pStyle w:val="TAL"/>
              <w:rPr>
                <w:rFonts w:cs="Arial"/>
                <w:szCs w:val="18"/>
                <w:lang w:eastAsia="zh-CN"/>
              </w:rPr>
            </w:pPr>
          </w:p>
        </w:tc>
      </w:tr>
    </w:tbl>
    <w:p w:rsidR="00CB0DD7" w:rsidRPr="000A0A5F" w:rsidRDefault="00CB0DD7"/>
    <w:p w:rsidR="00CB0DD7" w:rsidRPr="000A0A5F" w:rsidRDefault="00CB0DD7">
      <w:pPr>
        <w:pStyle w:val="Heading5"/>
      </w:pPr>
      <w:bookmarkStart w:id="3815" w:name="_Toc66360521"/>
      <w:bookmarkStart w:id="3816" w:name="_Toc68105026"/>
      <w:bookmarkStart w:id="3817" w:name="_Toc74755656"/>
      <w:bookmarkStart w:id="3818" w:name="_Toc105674530"/>
      <w:bookmarkStart w:id="3819" w:name="_Toc130502578"/>
      <w:bookmarkStart w:id="3820" w:name="_Toc153625365"/>
      <w:r w:rsidRPr="000A0A5F">
        <w:t>5.6.2.3.8</w:t>
      </w:r>
      <w:r w:rsidRPr="000A0A5F">
        <w:tab/>
        <w:t xml:space="preserve">Enumeration: </w:t>
      </w:r>
      <w:bookmarkStart w:id="3821" w:name="_Hlk48769944"/>
      <w:r w:rsidRPr="000A0A5F">
        <w:t>SerializationFormat</w:t>
      </w:r>
      <w:bookmarkEnd w:id="3815"/>
      <w:bookmarkEnd w:id="3816"/>
      <w:bookmarkEnd w:id="3817"/>
      <w:bookmarkEnd w:id="3818"/>
      <w:bookmarkEnd w:id="3819"/>
      <w:bookmarkEnd w:id="3820"/>
      <w:bookmarkEnd w:id="3821"/>
    </w:p>
    <w:p w:rsidR="00CB0DD7" w:rsidRPr="000A0A5F" w:rsidRDefault="00CB0DD7">
      <w:r w:rsidRPr="000A0A5F">
        <w:t>The enumeration SerializationFormat represents a serialization format associated with an RDS port which is applicable for the Rds_serialization_format feature.</w:t>
      </w:r>
    </w:p>
    <w:p w:rsidR="00CB0DD7" w:rsidRPr="000A0A5F" w:rsidRDefault="00CB0DD7">
      <w:pPr>
        <w:pStyle w:val="TH"/>
      </w:pPr>
      <w:r w:rsidRPr="000A0A5F">
        <w:t>Table 5.6.2.3.8-1: Enumeration SerializationFormat</w:t>
      </w:r>
    </w:p>
    <w:tbl>
      <w:tblPr>
        <w:tblW w:w="4648"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409"/>
        <w:gridCol w:w="4961"/>
        <w:gridCol w:w="1700"/>
      </w:tblGrid>
      <w:tr w:rsidR="00CB0DD7" w:rsidRPr="000A0A5F" w:rsidTr="00FF0AF8">
        <w:tc>
          <w:tcPr>
            <w:tcW w:w="1328" w:type="pct"/>
            <w:shd w:val="clear" w:color="auto" w:fill="C0C0C0"/>
            <w:tcMar>
              <w:top w:w="0" w:type="dxa"/>
              <w:left w:w="108" w:type="dxa"/>
              <w:bottom w:w="0" w:type="dxa"/>
              <w:right w:w="108" w:type="dxa"/>
            </w:tcMar>
          </w:tcPr>
          <w:p w:rsidR="00CB0DD7" w:rsidRPr="000A0A5F" w:rsidRDefault="00CB0DD7">
            <w:pPr>
              <w:pStyle w:val="TAH"/>
            </w:pPr>
            <w:r w:rsidRPr="000A0A5F">
              <w:t>Enumeration value</w:t>
            </w:r>
          </w:p>
        </w:tc>
        <w:tc>
          <w:tcPr>
            <w:tcW w:w="2735" w:type="pct"/>
            <w:shd w:val="clear" w:color="auto" w:fill="C0C0C0"/>
            <w:tcMar>
              <w:top w:w="0" w:type="dxa"/>
              <w:left w:w="108" w:type="dxa"/>
              <w:bottom w:w="0" w:type="dxa"/>
              <w:right w:w="108" w:type="dxa"/>
            </w:tcMar>
          </w:tcPr>
          <w:p w:rsidR="00CB0DD7" w:rsidRPr="000A0A5F" w:rsidRDefault="00CB0DD7">
            <w:pPr>
              <w:pStyle w:val="TAH"/>
            </w:pPr>
            <w:r w:rsidRPr="000A0A5F">
              <w:t>Description</w:t>
            </w:r>
          </w:p>
        </w:tc>
        <w:tc>
          <w:tcPr>
            <w:tcW w:w="937" w:type="pct"/>
            <w:shd w:val="clear" w:color="auto" w:fill="C0C0C0"/>
          </w:tcPr>
          <w:p w:rsidR="00CB0DD7" w:rsidRPr="000A0A5F" w:rsidRDefault="00CB0DD7">
            <w:pPr>
              <w:pStyle w:val="TAH"/>
            </w:pPr>
            <w:r w:rsidRPr="000A0A5F">
              <w:rPr>
                <w:rFonts w:cs="Arial"/>
                <w:szCs w:val="18"/>
              </w:rPr>
              <w:t>Applicability (NOTE)</w:t>
            </w:r>
          </w:p>
        </w:tc>
      </w:tr>
      <w:tr w:rsidR="00CB0DD7" w:rsidRPr="000A0A5F" w:rsidTr="00FF0AF8">
        <w:tc>
          <w:tcPr>
            <w:tcW w:w="1328" w:type="pct"/>
            <w:tcMar>
              <w:top w:w="0" w:type="dxa"/>
              <w:left w:w="108" w:type="dxa"/>
              <w:bottom w:w="0" w:type="dxa"/>
              <w:right w:w="108" w:type="dxa"/>
            </w:tcMar>
          </w:tcPr>
          <w:p w:rsidR="00CB0DD7" w:rsidRPr="000A0A5F" w:rsidRDefault="00CB0DD7">
            <w:pPr>
              <w:pStyle w:val="TAL"/>
            </w:pPr>
            <w:r w:rsidRPr="000A0A5F">
              <w:t>CBOR</w:t>
            </w:r>
          </w:p>
        </w:tc>
        <w:tc>
          <w:tcPr>
            <w:tcW w:w="2735" w:type="pct"/>
            <w:tcMar>
              <w:top w:w="0" w:type="dxa"/>
              <w:left w:w="108" w:type="dxa"/>
              <w:bottom w:w="0" w:type="dxa"/>
              <w:right w:w="108" w:type="dxa"/>
            </w:tcMar>
          </w:tcPr>
          <w:p w:rsidR="00CB0DD7" w:rsidRPr="000A0A5F" w:rsidRDefault="00CB0DD7">
            <w:pPr>
              <w:pStyle w:val="TAL"/>
            </w:pPr>
            <w:r w:rsidRPr="000A0A5F">
              <w:t>The CBOR Serialzition format</w:t>
            </w:r>
          </w:p>
        </w:tc>
        <w:tc>
          <w:tcPr>
            <w:tcW w:w="937" w:type="pct"/>
          </w:tcPr>
          <w:p w:rsidR="00CB0DD7" w:rsidRPr="000A0A5F" w:rsidRDefault="00CB0DD7">
            <w:pPr>
              <w:pStyle w:val="TAL"/>
              <w:rPr>
                <w:rFonts w:cs="Arial"/>
                <w:szCs w:val="18"/>
                <w:lang w:eastAsia="zh-CN"/>
              </w:rPr>
            </w:pPr>
          </w:p>
        </w:tc>
      </w:tr>
      <w:tr w:rsidR="00CB0DD7" w:rsidRPr="000A0A5F" w:rsidTr="00FF0AF8">
        <w:tc>
          <w:tcPr>
            <w:tcW w:w="1328" w:type="pct"/>
            <w:tcMar>
              <w:top w:w="0" w:type="dxa"/>
              <w:left w:w="108" w:type="dxa"/>
              <w:bottom w:w="0" w:type="dxa"/>
              <w:right w:w="108" w:type="dxa"/>
            </w:tcMar>
          </w:tcPr>
          <w:p w:rsidR="00CB0DD7" w:rsidRPr="000A0A5F" w:rsidRDefault="00CB0DD7">
            <w:pPr>
              <w:pStyle w:val="TAL"/>
            </w:pPr>
            <w:r w:rsidRPr="000A0A5F">
              <w:t>JSON</w:t>
            </w:r>
          </w:p>
        </w:tc>
        <w:tc>
          <w:tcPr>
            <w:tcW w:w="2735" w:type="pct"/>
            <w:tcMar>
              <w:top w:w="0" w:type="dxa"/>
              <w:left w:w="108" w:type="dxa"/>
              <w:bottom w:w="0" w:type="dxa"/>
              <w:right w:w="108" w:type="dxa"/>
            </w:tcMar>
          </w:tcPr>
          <w:p w:rsidR="00CB0DD7" w:rsidRPr="000A0A5F" w:rsidRDefault="00CB0DD7">
            <w:pPr>
              <w:pStyle w:val="TAL"/>
            </w:pPr>
            <w:r w:rsidRPr="000A0A5F">
              <w:t>The JSON Serialzition format</w:t>
            </w:r>
          </w:p>
        </w:tc>
        <w:tc>
          <w:tcPr>
            <w:tcW w:w="937" w:type="pct"/>
          </w:tcPr>
          <w:p w:rsidR="00CB0DD7" w:rsidRPr="000A0A5F" w:rsidRDefault="00CB0DD7">
            <w:pPr>
              <w:pStyle w:val="TAL"/>
              <w:rPr>
                <w:rFonts w:cs="Arial"/>
                <w:szCs w:val="18"/>
                <w:lang w:eastAsia="zh-CN"/>
              </w:rPr>
            </w:pPr>
          </w:p>
        </w:tc>
      </w:tr>
      <w:tr w:rsidR="00CB0DD7" w:rsidRPr="000A0A5F" w:rsidTr="00FF0AF8">
        <w:tc>
          <w:tcPr>
            <w:tcW w:w="1328" w:type="pct"/>
            <w:tcMar>
              <w:top w:w="0" w:type="dxa"/>
              <w:left w:w="108" w:type="dxa"/>
              <w:bottom w:w="0" w:type="dxa"/>
              <w:right w:w="108" w:type="dxa"/>
            </w:tcMar>
          </w:tcPr>
          <w:p w:rsidR="00CB0DD7" w:rsidRPr="000A0A5F" w:rsidRDefault="00CB0DD7">
            <w:pPr>
              <w:pStyle w:val="TAL"/>
            </w:pPr>
            <w:r w:rsidRPr="000A0A5F">
              <w:t>XML</w:t>
            </w:r>
          </w:p>
        </w:tc>
        <w:tc>
          <w:tcPr>
            <w:tcW w:w="2735" w:type="pct"/>
            <w:tcMar>
              <w:top w:w="0" w:type="dxa"/>
              <w:left w:w="108" w:type="dxa"/>
              <w:bottom w:w="0" w:type="dxa"/>
              <w:right w:w="108" w:type="dxa"/>
            </w:tcMar>
          </w:tcPr>
          <w:p w:rsidR="00CB0DD7" w:rsidRPr="000A0A5F" w:rsidRDefault="00CB0DD7">
            <w:pPr>
              <w:pStyle w:val="TAL"/>
            </w:pPr>
            <w:r w:rsidRPr="000A0A5F">
              <w:t>The XML Serialzition format</w:t>
            </w:r>
          </w:p>
        </w:tc>
        <w:tc>
          <w:tcPr>
            <w:tcW w:w="937" w:type="pct"/>
          </w:tcPr>
          <w:p w:rsidR="00CB0DD7" w:rsidRPr="000A0A5F" w:rsidRDefault="00CB0DD7">
            <w:pPr>
              <w:pStyle w:val="TAL"/>
              <w:rPr>
                <w:rFonts w:cs="Arial"/>
                <w:szCs w:val="18"/>
                <w:lang w:eastAsia="zh-CN"/>
              </w:rPr>
            </w:pPr>
          </w:p>
        </w:tc>
      </w:tr>
    </w:tbl>
    <w:p w:rsidR="00CB0DD7" w:rsidRPr="000A0A5F" w:rsidRDefault="00CB0DD7"/>
    <w:p w:rsidR="00CB0DD7" w:rsidRPr="000A0A5F" w:rsidRDefault="00CB0DD7">
      <w:pPr>
        <w:pStyle w:val="Heading3"/>
      </w:pPr>
      <w:bookmarkStart w:id="3822" w:name="_Toc11247459"/>
      <w:bookmarkStart w:id="3823" w:name="_Toc27044583"/>
      <w:bookmarkStart w:id="3824" w:name="_Toc36033625"/>
      <w:bookmarkStart w:id="3825" w:name="_Toc45131762"/>
      <w:bookmarkStart w:id="3826" w:name="_Toc49776047"/>
      <w:bookmarkStart w:id="3827" w:name="_Toc51746967"/>
      <w:bookmarkStart w:id="3828" w:name="_Toc66360522"/>
      <w:bookmarkStart w:id="3829" w:name="_Toc68105027"/>
      <w:bookmarkStart w:id="3830" w:name="_Toc74755657"/>
      <w:bookmarkStart w:id="3831" w:name="_Toc105674531"/>
      <w:bookmarkStart w:id="3832" w:name="_Toc130502579"/>
      <w:bookmarkStart w:id="3833" w:name="_Toc153625366"/>
      <w:r w:rsidRPr="000A0A5F">
        <w:t>5.6.3</w:t>
      </w:r>
      <w:r w:rsidRPr="000A0A5F">
        <w:tab/>
        <w:t>Resource structure</w:t>
      </w:r>
      <w:bookmarkEnd w:id="3822"/>
      <w:bookmarkEnd w:id="3823"/>
      <w:bookmarkEnd w:id="3824"/>
      <w:bookmarkEnd w:id="3825"/>
      <w:bookmarkEnd w:id="3826"/>
      <w:bookmarkEnd w:id="3827"/>
      <w:bookmarkEnd w:id="3828"/>
      <w:bookmarkEnd w:id="3829"/>
      <w:bookmarkEnd w:id="3830"/>
      <w:bookmarkEnd w:id="3831"/>
      <w:bookmarkEnd w:id="3832"/>
      <w:bookmarkEnd w:id="3833"/>
    </w:p>
    <w:p w:rsidR="00CB0DD7" w:rsidRPr="000A0A5F" w:rsidRDefault="00CB0DD7">
      <w:pPr>
        <w:pStyle w:val="Heading4"/>
      </w:pPr>
      <w:bookmarkStart w:id="3834" w:name="_Toc11247460"/>
      <w:bookmarkStart w:id="3835" w:name="_Toc27044584"/>
      <w:bookmarkStart w:id="3836" w:name="_Toc36033626"/>
      <w:bookmarkStart w:id="3837" w:name="_Toc45131763"/>
      <w:bookmarkStart w:id="3838" w:name="_Toc49776048"/>
      <w:bookmarkStart w:id="3839" w:name="_Toc51746968"/>
      <w:bookmarkStart w:id="3840" w:name="_Toc66360523"/>
      <w:bookmarkStart w:id="3841" w:name="_Toc68105028"/>
      <w:bookmarkStart w:id="3842" w:name="_Toc74755658"/>
      <w:bookmarkStart w:id="3843" w:name="_Toc105674532"/>
      <w:bookmarkStart w:id="3844" w:name="_Toc130502580"/>
      <w:bookmarkStart w:id="3845" w:name="_Toc153625367"/>
      <w:r w:rsidRPr="000A0A5F">
        <w:t>5.6.3.1</w:t>
      </w:r>
      <w:r w:rsidRPr="000A0A5F">
        <w:tab/>
        <w:t>General</w:t>
      </w:r>
      <w:bookmarkEnd w:id="3834"/>
      <w:bookmarkEnd w:id="3835"/>
      <w:bookmarkEnd w:id="3836"/>
      <w:bookmarkEnd w:id="3837"/>
      <w:bookmarkEnd w:id="3838"/>
      <w:bookmarkEnd w:id="3839"/>
      <w:bookmarkEnd w:id="3840"/>
      <w:bookmarkEnd w:id="3841"/>
      <w:bookmarkEnd w:id="3842"/>
      <w:bookmarkEnd w:id="3843"/>
      <w:bookmarkEnd w:id="3844"/>
      <w:bookmarkEnd w:id="3845"/>
    </w:p>
    <w:p w:rsidR="00CB0DD7" w:rsidRPr="000A0A5F" w:rsidRDefault="00CB0DD7">
      <w:r w:rsidRPr="000A0A5F">
        <w:t xml:space="preserve">All resource URIs of this API </w:t>
      </w:r>
      <w:r w:rsidRPr="000A0A5F">
        <w:rPr>
          <w:rFonts w:hint="eastAsia"/>
          <w:lang w:eastAsia="zh-CN"/>
        </w:rPr>
        <w:t>should</w:t>
      </w:r>
      <w:r w:rsidRPr="000A0A5F">
        <w:t xml:space="preserve"> have the following root:</w:t>
      </w:r>
    </w:p>
    <w:p w:rsidR="00CB0DD7" w:rsidRPr="000A0A5F" w:rsidRDefault="00CB0DD7">
      <w:pPr>
        <w:pStyle w:val="B1"/>
        <w:numPr>
          <w:ilvl w:val="0"/>
          <w:numId w:val="0"/>
        </w:numPr>
        <w:ind w:left="737"/>
        <w:rPr>
          <w:b/>
        </w:rPr>
      </w:pPr>
      <w:r w:rsidRPr="000A0A5F">
        <w:rPr>
          <w:b/>
        </w:rPr>
        <w:t>{apiRoot}/3gpp-nidd/v1</w:t>
      </w:r>
    </w:p>
    <w:p w:rsidR="00CB0DD7" w:rsidRPr="000A0A5F" w:rsidRDefault="00CB0DD7">
      <w:r w:rsidRPr="000A0A5F">
        <w:t>"apiRoot" is set as described in clause 5.2.4. "apiName" shall be set to "3gpp-nidd" and "apiVersion" shall be set to "v1" for the version defined in the present document. All resource URIs in the clauses below are defined relative to the above root URI.</w:t>
      </w:r>
    </w:p>
    <w:p w:rsidR="00CB0DD7" w:rsidRPr="000A0A5F" w:rsidRDefault="00CB0DD7">
      <w:r w:rsidRPr="000A0A5F">
        <w:t>The following resources and HTTP methods are supported for this API:</w:t>
      </w:r>
    </w:p>
    <w:p w:rsidR="00CB0DD7" w:rsidRPr="000A0A5F" w:rsidRDefault="00CB0DD7">
      <w:pPr>
        <w:pStyle w:val="TH"/>
        <w:rPr>
          <w:rFonts w:hint="eastAsia"/>
          <w:lang w:eastAsia="zh-CN"/>
        </w:rPr>
      </w:pPr>
      <w:r w:rsidRPr="000A0A5F">
        <w:t>Table 5.6.3.1-1: Resources and methods overview</w:t>
      </w:r>
    </w:p>
    <w:tbl>
      <w:tblPr>
        <w:tblW w:w="96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1E0" w:firstRow="1" w:lastRow="1" w:firstColumn="1" w:lastColumn="1" w:noHBand="0" w:noVBand="0"/>
      </w:tblPr>
      <w:tblGrid>
        <w:gridCol w:w="1257"/>
        <w:gridCol w:w="4423"/>
        <w:gridCol w:w="851"/>
        <w:gridCol w:w="914"/>
        <w:gridCol w:w="2215"/>
      </w:tblGrid>
      <w:tr w:rsidR="00CB0DD7" w:rsidRPr="000A0A5F" w:rsidTr="00FF0AF8">
        <w:trPr>
          <w:jc w:val="center"/>
        </w:trPr>
        <w:tc>
          <w:tcPr>
            <w:tcW w:w="1257" w:type="dxa"/>
            <w:shd w:val="clear" w:color="auto" w:fill="C0C0C0"/>
            <w:vAlign w:val="center"/>
            <w:hideMark/>
          </w:tcPr>
          <w:p w:rsidR="00CB0DD7" w:rsidRPr="000A0A5F" w:rsidRDefault="00CB0DD7">
            <w:pPr>
              <w:pStyle w:val="TAH"/>
              <w:spacing w:line="276" w:lineRule="auto"/>
            </w:pPr>
            <w:r w:rsidRPr="000A0A5F">
              <w:t>Resource name</w:t>
            </w:r>
          </w:p>
        </w:tc>
        <w:tc>
          <w:tcPr>
            <w:tcW w:w="4423" w:type="dxa"/>
            <w:shd w:val="clear" w:color="auto" w:fill="C0C0C0"/>
            <w:vAlign w:val="center"/>
            <w:hideMark/>
          </w:tcPr>
          <w:p w:rsidR="00CB0DD7" w:rsidRPr="000A0A5F" w:rsidRDefault="00CB0DD7">
            <w:pPr>
              <w:pStyle w:val="TAH"/>
              <w:spacing w:line="276" w:lineRule="auto"/>
            </w:pPr>
            <w:r w:rsidRPr="000A0A5F">
              <w:t>Resource URI</w:t>
            </w:r>
          </w:p>
        </w:tc>
        <w:tc>
          <w:tcPr>
            <w:tcW w:w="851" w:type="dxa"/>
            <w:shd w:val="clear" w:color="auto" w:fill="C0C0C0"/>
            <w:vAlign w:val="center"/>
            <w:hideMark/>
          </w:tcPr>
          <w:p w:rsidR="00CB0DD7" w:rsidRPr="000A0A5F" w:rsidRDefault="00CB0DD7">
            <w:pPr>
              <w:pStyle w:val="TAH"/>
              <w:spacing w:line="276" w:lineRule="auto"/>
            </w:pPr>
            <w:r w:rsidRPr="000A0A5F">
              <w:t>HTTP method</w:t>
            </w:r>
          </w:p>
        </w:tc>
        <w:tc>
          <w:tcPr>
            <w:tcW w:w="914" w:type="dxa"/>
            <w:shd w:val="clear" w:color="auto" w:fill="C0C0C0"/>
            <w:vAlign w:val="center"/>
          </w:tcPr>
          <w:p w:rsidR="00CB0DD7" w:rsidRPr="000A0A5F" w:rsidRDefault="00CB0DD7">
            <w:pPr>
              <w:pStyle w:val="TAH"/>
              <w:spacing w:line="276" w:lineRule="auto"/>
            </w:pPr>
            <w:r w:rsidRPr="000A0A5F">
              <w:rPr>
                <w:rFonts w:hint="eastAsia"/>
                <w:lang w:eastAsia="zh-CN"/>
              </w:rPr>
              <w:t xml:space="preserve">HTTP </w:t>
            </w:r>
            <w:r w:rsidRPr="000A0A5F">
              <w:rPr>
                <w:lang w:eastAsia="zh-CN"/>
              </w:rPr>
              <w:t>initiator</w:t>
            </w:r>
          </w:p>
        </w:tc>
        <w:tc>
          <w:tcPr>
            <w:tcW w:w="2215" w:type="dxa"/>
            <w:shd w:val="clear" w:color="auto" w:fill="C0C0C0"/>
            <w:vAlign w:val="center"/>
            <w:hideMark/>
          </w:tcPr>
          <w:p w:rsidR="00CB0DD7" w:rsidRPr="000A0A5F" w:rsidRDefault="00CB0DD7">
            <w:pPr>
              <w:pStyle w:val="TAH"/>
              <w:spacing w:line="276" w:lineRule="auto"/>
            </w:pPr>
            <w:r w:rsidRPr="000A0A5F">
              <w:t>Meaning</w:t>
            </w:r>
          </w:p>
        </w:tc>
      </w:tr>
      <w:tr w:rsidR="00CB0DD7" w:rsidRPr="000A0A5F" w:rsidTr="00FF0AF8">
        <w:trPr>
          <w:jc w:val="center"/>
        </w:trPr>
        <w:tc>
          <w:tcPr>
            <w:tcW w:w="1257" w:type="dxa"/>
            <w:vMerge w:val="restart"/>
            <w:shd w:val="clear" w:color="auto" w:fill="auto"/>
          </w:tcPr>
          <w:p w:rsidR="00CB0DD7" w:rsidRPr="000A0A5F" w:rsidRDefault="00CB0DD7">
            <w:pPr>
              <w:pStyle w:val="TAL"/>
              <w:rPr>
                <w:rFonts w:hint="eastAsia"/>
                <w:lang w:eastAsia="zh-CN"/>
              </w:rPr>
            </w:pPr>
            <w:r w:rsidRPr="000A0A5F">
              <w:t xml:space="preserve">NIDD </w:t>
            </w:r>
            <w:r w:rsidRPr="000A0A5F">
              <w:rPr>
                <w:rFonts w:hint="eastAsia"/>
                <w:lang w:eastAsia="zh-CN"/>
              </w:rPr>
              <w:t>configurations</w:t>
            </w:r>
          </w:p>
        </w:tc>
        <w:tc>
          <w:tcPr>
            <w:tcW w:w="4423" w:type="dxa"/>
            <w:vMerge w:val="restart"/>
            <w:shd w:val="clear" w:color="auto" w:fill="auto"/>
          </w:tcPr>
          <w:p w:rsidR="00CB0DD7" w:rsidRPr="000A0A5F" w:rsidRDefault="00CB0DD7">
            <w:pPr>
              <w:pStyle w:val="TAL"/>
              <w:rPr>
                <w:rFonts w:hint="eastAsia"/>
                <w:lang w:eastAsia="zh-CN"/>
              </w:rPr>
            </w:pPr>
            <w:r w:rsidRPr="000A0A5F">
              <w:t>/{scsAsId}/</w:t>
            </w:r>
            <w:r w:rsidRPr="000A0A5F">
              <w:rPr>
                <w:rFonts w:hint="eastAsia"/>
                <w:lang w:eastAsia="zh-CN"/>
              </w:rPr>
              <w:t>configurations</w:t>
            </w:r>
          </w:p>
        </w:tc>
        <w:tc>
          <w:tcPr>
            <w:tcW w:w="851" w:type="dxa"/>
            <w:shd w:val="clear" w:color="auto" w:fill="auto"/>
          </w:tcPr>
          <w:p w:rsidR="00CB0DD7" w:rsidRPr="000A0A5F" w:rsidRDefault="00CB0DD7">
            <w:pPr>
              <w:pStyle w:val="TAL"/>
            </w:pPr>
            <w:r w:rsidRPr="000A0A5F">
              <w:t>GET</w:t>
            </w:r>
          </w:p>
        </w:tc>
        <w:tc>
          <w:tcPr>
            <w:tcW w:w="914" w:type="dxa"/>
            <w:shd w:val="clear" w:color="auto" w:fill="auto"/>
          </w:tcPr>
          <w:p w:rsidR="00CB0DD7" w:rsidRPr="000A0A5F" w:rsidRDefault="00CB0DD7">
            <w:pPr>
              <w:pStyle w:val="TAL"/>
              <w:rPr>
                <w:rFonts w:hint="eastAsia"/>
                <w:lang w:eastAsia="zh-CN"/>
              </w:rPr>
            </w:pPr>
            <w:r w:rsidRPr="000A0A5F">
              <w:rPr>
                <w:rFonts w:hint="eastAsia"/>
                <w:lang w:eastAsia="zh-CN"/>
              </w:rPr>
              <w:t>SCS/AS</w:t>
            </w:r>
          </w:p>
        </w:tc>
        <w:tc>
          <w:tcPr>
            <w:tcW w:w="2215" w:type="dxa"/>
            <w:shd w:val="clear" w:color="auto" w:fill="auto"/>
          </w:tcPr>
          <w:p w:rsidR="00CB0DD7" w:rsidRPr="000A0A5F" w:rsidRDefault="00CB0DD7" w:rsidP="00304356">
            <w:pPr>
              <w:pStyle w:val="TAL"/>
            </w:pPr>
            <w:r w:rsidRPr="000A0A5F">
              <w:t xml:space="preserve">Read all NIDD </w:t>
            </w:r>
            <w:r w:rsidRPr="000A0A5F">
              <w:rPr>
                <w:rFonts w:hint="eastAsia"/>
                <w:lang w:eastAsia="zh-CN"/>
              </w:rPr>
              <w:t>configuration</w:t>
            </w:r>
            <w:r w:rsidRPr="000A0A5F">
              <w:rPr>
                <w:noProof/>
                <w:lang w:eastAsia="zh-CN"/>
              </w:rPr>
              <w:t xml:space="preserve"> resources for a given SCS/AS</w:t>
            </w:r>
            <w:r w:rsidR="00304356" w:rsidRPr="000A0A5F">
              <w:rPr>
                <w:noProof/>
                <w:lang w:eastAsia="zh-CN"/>
              </w:rPr>
              <w:t>.</w:t>
            </w:r>
          </w:p>
        </w:tc>
      </w:tr>
      <w:tr w:rsidR="00CB0DD7" w:rsidRPr="000A0A5F" w:rsidTr="00FF0AF8">
        <w:trPr>
          <w:jc w:val="center"/>
        </w:trPr>
        <w:tc>
          <w:tcPr>
            <w:tcW w:w="1257" w:type="dxa"/>
            <w:vMerge/>
            <w:shd w:val="clear" w:color="auto" w:fill="auto"/>
          </w:tcPr>
          <w:p w:rsidR="00CB0DD7" w:rsidRPr="000A0A5F" w:rsidRDefault="00CB0DD7">
            <w:pPr>
              <w:pStyle w:val="TAL"/>
            </w:pPr>
          </w:p>
        </w:tc>
        <w:tc>
          <w:tcPr>
            <w:tcW w:w="4423" w:type="dxa"/>
            <w:vMerge/>
            <w:shd w:val="clear" w:color="auto" w:fill="auto"/>
          </w:tcPr>
          <w:p w:rsidR="00CB0DD7" w:rsidRPr="000A0A5F" w:rsidRDefault="00CB0DD7">
            <w:pPr>
              <w:pStyle w:val="TAL"/>
            </w:pPr>
          </w:p>
        </w:tc>
        <w:tc>
          <w:tcPr>
            <w:tcW w:w="851" w:type="dxa"/>
            <w:shd w:val="clear" w:color="auto" w:fill="auto"/>
          </w:tcPr>
          <w:p w:rsidR="00CB0DD7" w:rsidRPr="000A0A5F" w:rsidRDefault="00CB0DD7">
            <w:pPr>
              <w:pStyle w:val="TAL"/>
              <w:rPr>
                <w:rFonts w:hint="eastAsia"/>
                <w:lang w:eastAsia="zh-CN"/>
              </w:rPr>
            </w:pPr>
            <w:r w:rsidRPr="000A0A5F">
              <w:rPr>
                <w:rFonts w:hint="eastAsia"/>
              </w:rPr>
              <w:t>POST</w:t>
            </w:r>
          </w:p>
        </w:tc>
        <w:tc>
          <w:tcPr>
            <w:tcW w:w="914" w:type="dxa"/>
            <w:shd w:val="clear" w:color="auto" w:fill="auto"/>
          </w:tcPr>
          <w:p w:rsidR="00CB0DD7" w:rsidRPr="000A0A5F" w:rsidRDefault="00CB0DD7">
            <w:pPr>
              <w:rPr>
                <w:rFonts w:hint="eastAsia"/>
                <w:lang w:eastAsia="zh-CN"/>
              </w:rPr>
            </w:pPr>
            <w:r w:rsidRPr="000A0A5F">
              <w:rPr>
                <w:rFonts w:ascii="Arial" w:hAnsi="Arial" w:hint="eastAsia"/>
                <w:sz w:val="18"/>
                <w:lang w:eastAsia="zh-CN"/>
              </w:rPr>
              <w:t>SCS/AS</w:t>
            </w:r>
          </w:p>
        </w:tc>
        <w:tc>
          <w:tcPr>
            <w:tcW w:w="2215" w:type="dxa"/>
            <w:shd w:val="clear" w:color="auto" w:fill="auto"/>
          </w:tcPr>
          <w:p w:rsidR="00CB0DD7" w:rsidRPr="000A0A5F" w:rsidRDefault="00CB0DD7">
            <w:pPr>
              <w:pStyle w:val="TAL"/>
            </w:pPr>
            <w:r w:rsidRPr="000A0A5F">
              <w:t xml:space="preserve">Create a new NIDD </w:t>
            </w:r>
            <w:r w:rsidRPr="000A0A5F">
              <w:rPr>
                <w:rFonts w:hint="eastAsia"/>
                <w:lang w:eastAsia="zh-CN"/>
              </w:rPr>
              <w:t>configuration</w:t>
            </w:r>
            <w:r w:rsidRPr="000A0A5F">
              <w:rPr>
                <w:noProof/>
                <w:lang w:eastAsia="zh-CN"/>
              </w:rPr>
              <w:t xml:space="preserve"> </w:t>
            </w:r>
            <w:r w:rsidRPr="000A0A5F">
              <w:t>resource</w:t>
            </w:r>
            <w:r w:rsidRPr="000A0A5F">
              <w:rPr>
                <w:noProof/>
                <w:lang w:eastAsia="zh-CN"/>
              </w:rPr>
              <w:t>.</w:t>
            </w:r>
          </w:p>
        </w:tc>
      </w:tr>
      <w:tr w:rsidR="00CB0DD7" w:rsidRPr="000A0A5F" w:rsidTr="00FF0AF8">
        <w:trPr>
          <w:jc w:val="center"/>
        </w:trPr>
        <w:tc>
          <w:tcPr>
            <w:tcW w:w="1257" w:type="dxa"/>
            <w:vMerge w:val="restart"/>
            <w:hideMark/>
          </w:tcPr>
          <w:p w:rsidR="00CB0DD7" w:rsidRPr="000A0A5F" w:rsidRDefault="00CB0DD7">
            <w:pPr>
              <w:pStyle w:val="TAL"/>
              <w:rPr>
                <w:rFonts w:hint="eastAsia"/>
                <w:lang w:eastAsia="zh-CN"/>
              </w:rPr>
            </w:pPr>
            <w:r w:rsidRPr="000A0A5F">
              <w:t xml:space="preserve">Individual NIDD </w:t>
            </w:r>
            <w:r w:rsidRPr="000A0A5F">
              <w:rPr>
                <w:rFonts w:hint="eastAsia"/>
                <w:lang w:eastAsia="zh-CN"/>
              </w:rPr>
              <w:t>configuration</w:t>
            </w:r>
          </w:p>
        </w:tc>
        <w:tc>
          <w:tcPr>
            <w:tcW w:w="4423" w:type="dxa"/>
            <w:vMerge w:val="restart"/>
            <w:hideMark/>
          </w:tcPr>
          <w:p w:rsidR="00CB0DD7" w:rsidRPr="000A0A5F" w:rsidRDefault="00CB0DD7">
            <w:pPr>
              <w:pStyle w:val="TAL"/>
            </w:pPr>
            <w:r w:rsidRPr="000A0A5F">
              <w:t>/{scsAsId}/</w:t>
            </w:r>
            <w:r w:rsidRPr="000A0A5F">
              <w:rPr>
                <w:rFonts w:hint="eastAsia"/>
                <w:lang w:eastAsia="zh-CN"/>
              </w:rPr>
              <w:t>configurations</w:t>
            </w:r>
            <w:r w:rsidRPr="000A0A5F">
              <w:t>/{configurationId}</w:t>
            </w:r>
          </w:p>
        </w:tc>
        <w:tc>
          <w:tcPr>
            <w:tcW w:w="851" w:type="dxa"/>
          </w:tcPr>
          <w:p w:rsidR="00CB0DD7" w:rsidRPr="000A0A5F" w:rsidRDefault="00CB0DD7">
            <w:pPr>
              <w:pStyle w:val="TAL"/>
              <w:rPr>
                <w:rFonts w:hint="eastAsia"/>
                <w:lang w:eastAsia="zh-CN"/>
              </w:rPr>
            </w:pPr>
            <w:r w:rsidRPr="000A0A5F">
              <w:rPr>
                <w:rFonts w:hint="eastAsia"/>
                <w:lang w:eastAsia="zh-CN"/>
              </w:rPr>
              <w:t>PATCH</w:t>
            </w:r>
          </w:p>
        </w:tc>
        <w:tc>
          <w:tcPr>
            <w:tcW w:w="914" w:type="dxa"/>
          </w:tcPr>
          <w:p w:rsidR="00CB0DD7" w:rsidRPr="000A0A5F" w:rsidRDefault="00CB0DD7">
            <w:pPr>
              <w:pStyle w:val="TAL"/>
              <w:rPr>
                <w:rFonts w:hint="eastAsia"/>
                <w:lang w:eastAsia="zh-CN"/>
              </w:rPr>
            </w:pPr>
            <w:r w:rsidRPr="000A0A5F">
              <w:rPr>
                <w:rFonts w:hint="eastAsia"/>
                <w:lang w:eastAsia="zh-CN"/>
              </w:rPr>
              <w:t>SCS/AS</w:t>
            </w:r>
          </w:p>
        </w:tc>
        <w:tc>
          <w:tcPr>
            <w:tcW w:w="2215" w:type="dxa"/>
          </w:tcPr>
          <w:p w:rsidR="00CB0DD7" w:rsidRPr="000A0A5F" w:rsidRDefault="00CB0DD7">
            <w:pPr>
              <w:pStyle w:val="TAL"/>
            </w:pPr>
            <w:r w:rsidRPr="000A0A5F">
              <w:rPr>
                <w:rFonts w:hint="eastAsia"/>
                <w:lang w:eastAsia="zh-CN"/>
              </w:rPr>
              <w:t xml:space="preserve">Modify </w:t>
            </w:r>
            <w:r w:rsidRPr="000A0A5F">
              <w:t xml:space="preserve">an existing NIDD </w:t>
            </w:r>
            <w:r w:rsidRPr="000A0A5F">
              <w:rPr>
                <w:rFonts w:hint="eastAsia"/>
                <w:lang w:eastAsia="zh-CN"/>
              </w:rPr>
              <w:t>configuration</w:t>
            </w:r>
            <w:r w:rsidRPr="000A0A5F">
              <w:rPr>
                <w:noProof/>
                <w:lang w:eastAsia="zh-CN"/>
              </w:rPr>
              <w:t xml:space="preserve"> </w:t>
            </w:r>
            <w:r w:rsidRPr="000A0A5F">
              <w:t>resource</w:t>
            </w:r>
            <w:r w:rsidR="00304356" w:rsidRPr="000A0A5F">
              <w:t>.</w:t>
            </w:r>
          </w:p>
        </w:tc>
      </w:tr>
      <w:tr w:rsidR="00CB0DD7" w:rsidRPr="000A0A5F" w:rsidTr="00FF0AF8">
        <w:trPr>
          <w:jc w:val="center"/>
        </w:trPr>
        <w:tc>
          <w:tcPr>
            <w:tcW w:w="1257" w:type="dxa"/>
            <w:vMerge/>
          </w:tcPr>
          <w:p w:rsidR="00CB0DD7" w:rsidRPr="000A0A5F" w:rsidRDefault="00CB0DD7">
            <w:pPr>
              <w:pStyle w:val="TAL"/>
              <w:spacing w:line="276" w:lineRule="auto"/>
            </w:pPr>
          </w:p>
        </w:tc>
        <w:tc>
          <w:tcPr>
            <w:tcW w:w="4423" w:type="dxa"/>
            <w:vMerge/>
          </w:tcPr>
          <w:p w:rsidR="00CB0DD7" w:rsidRPr="000A0A5F" w:rsidRDefault="00CB0DD7">
            <w:pPr>
              <w:pStyle w:val="TAL"/>
              <w:spacing w:line="276" w:lineRule="auto"/>
            </w:pPr>
          </w:p>
        </w:tc>
        <w:tc>
          <w:tcPr>
            <w:tcW w:w="851" w:type="dxa"/>
          </w:tcPr>
          <w:p w:rsidR="00CB0DD7" w:rsidRPr="000A0A5F" w:rsidRDefault="00CB0DD7">
            <w:pPr>
              <w:pStyle w:val="TAL"/>
            </w:pPr>
            <w:r w:rsidRPr="000A0A5F">
              <w:t>GET</w:t>
            </w:r>
          </w:p>
        </w:tc>
        <w:tc>
          <w:tcPr>
            <w:tcW w:w="914" w:type="dxa"/>
          </w:tcPr>
          <w:p w:rsidR="00CB0DD7" w:rsidRPr="000A0A5F" w:rsidRDefault="00CB0DD7">
            <w:pPr>
              <w:pStyle w:val="TAL"/>
            </w:pPr>
            <w:r w:rsidRPr="000A0A5F">
              <w:rPr>
                <w:rFonts w:hint="eastAsia"/>
                <w:lang w:eastAsia="zh-CN"/>
              </w:rPr>
              <w:t>SCS/AS</w:t>
            </w:r>
          </w:p>
        </w:tc>
        <w:tc>
          <w:tcPr>
            <w:tcW w:w="2215" w:type="dxa"/>
          </w:tcPr>
          <w:p w:rsidR="00CB0DD7" w:rsidRPr="000A0A5F" w:rsidRDefault="00CB0DD7">
            <w:pPr>
              <w:pStyle w:val="TAL"/>
            </w:pPr>
            <w:r w:rsidRPr="000A0A5F">
              <w:t>Read a</w:t>
            </w:r>
            <w:r w:rsidRPr="000A0A5F">
              <w:rPr>
                <w:rFonts w:hint="eastAsia"/>
                <w:lang w:eastAsia="zh-CN"/>
              </w:rPr>
              <w:t xml:space="preserve">n NIDD configuration </w:t>
            </w:r>
            <w:r w:rsidRPr="000A0A5F">
              <w:rPr>
                <w:noProof/>
                <w:lang w:eastAsia="zh-CN"/>
              </w:rPr>
              <w:t>resource</w:t>
            </w:r>
            <w:r w:rsidR="00304356" w:rsidRPr="000A0A5F">
              <w:rPr>
                <w:noProof/>
                <w:lang w:eastAsia="zh-CN"/>
              </w:rPr>
              <w:t>.</w:t>
            </w:r>
          </w:p>
        </w:tc>
      </w:tr>
      <w:tr w:rsidR="00CB0DD7" w:rsidRPr="000A0A5F" w:rsidTr="00FF0AF8">
        <w:trPr>
          <w:jc w:val="center"/>
        </w:trPr>
        <w:tc>
          <w:tcPr>
            <w:tcW w:w="1257" w:type="dxa"/>
            <w:vMerge/>
          </w:tcPr>
          <w:p w:rsidR="00CB0DD7" w:rsidRPr="000A0A5F" w:rsidRDefault="00CB0DD7">
            <w:pPr>
              <w:pStyle w:val="TAL"/>
              <w:spacing w:line="276" w:lineRule="auto"/>
            </w:pPr>
          </w:p>
        </w:tc>
        <w:tc>
          <w:tcPr>
            <w:tcW w:w="4423" w:type="dxa"/>
            <w:vMerge/>
          </w:tcPr>
          <w:p w:rsidR="00CB0DD7" w:rsidRPr="000A0A5F" w:rsidRDefault="00CB0DD7">
            <w:pPr>
              <w:pStyle w:val="TAL"/>
              <w:spacing w:line="276" w:lineRule="auto"/>
            </w:pPr>
          </w:p>
        </w:tc>
        <w:tc>
          <w:tcPr>
            <w:tcW w:w="851" w:type="dxa"/>
          </w:tcPr>
          <w:p w:rsidR="00CB0DD7" w:rsidRPr="000A0A5F" w:rsidRDefault="00CB0DD7">
            <w:pPr>
              <w:pStyle w:val="TAL"/>
            </w:pPr>
            <w:r w:rsidRPr="000A0A5F">
              <w:t>DELETE</w:t>
            </w:r>
          </w:p>
        </w:tc>
        <w:tc>
          <w:tcPr>
            <w:tcW w:w="914" w:type="dxa"/>
          </w:tcPr>
          <w:p w:rsidR="00CB0DD7" w:rsidRPr="000A0A5F" w:rsidRDefault="00CB0DD7">
            <w:pPr>
              <w:pStyle w:val="TAL"/>
            </w:pPr>
            <w:r w:rsidRPr="000A0A5F">
              <w:rPr>
                <w:rFonts w:hint="eastAsia"/>
                <w:lang w:eastAsia="zh-CN"/>
              </w:rPr>
              <w:t>SCS/AS</w:t>
            </w:r>
          </w:p>
        </w:tc>
        <w:tc>
          <w:tcPr>
            <w:tcW w:w="2215" w:type="dxa"/>
          </w:tcPr>
          <w:p w:rsidR="00CB0DD7" w:rsidRPr="000A0A5F" w:rsidRDefault="00CB0DD7">
            <w:pPr>
              <w:pStyle w:val="TAL"/>
            </w:pPr>
            <w:r w:rsidRPr="000A0A5F">
              <w:rPr>
                <w:noProof/>
                <w:lang w:eastAsia="zh-CN"/>
              </w:rPr>
              <w:t xml:space="preserve">Delete an existing NIDD </w:t>
            </w:r>
            <w:r w:rsidRPr="000A0A5F">
              <w:rPr>
                <w:rFonts w:hint="eastAsia"/>
                <w:noProof/>
                <w:lang w:eastAsia="zh-CN"/>
              </w:rPr>
              <w:t>configuration</w:t>
            </w:r>
            <w:r w:rsidRPr="000A0A5F">
              <w:rPr>
                <w:noProof/>
                <w:lang w:eastAsia="zh-CN"/>
              </w:rPr>
              <w:t xml:space="preserve"> resource</w:t>
            </w:r>
            <w:r w:rsidR="00304356" w:rsidRPr="000A0A5F">
              <w:rPr>
                <w:noProof/>
                <w:lang w:eastAsia="zh-CN"/>
              </w:rPr>
              <w:t>.</w:t>
            </w:r>
          </w:p>
        </w:tc>
      </w:tr>
      <w:tr w:rsidR="00CB0DD7" w:rsidRPr="000A0A5F" w:rsidTr="00FF0AF8">
        <w:trPr>
          <w:trHeight w:val="438"/>
          <w:jc w:val="center"/>
        </w:trPr>
        <w:tc>
          <w:tcPr>
            <w:tcW w:w="1257" w:type="dxa"/>
            <w:vMerge w:val="restart"/>
          </w:tcPr>
          <w:p w:rsidR="00CB0DD7" w:rsidRPr="000A0A5F" w:rsidRDefault="00CB0DD7">
            <w:pPr>
              <w:pStyle w:val="TAL"/>
              <w:rPr>
                <w:rFonts w:hint="eastAsia"/>
                <w:lang w:eastAsia="zh-CN"/>
              </w:rPr>
            </w:pPr>
            <w:r w:rsidRPr="000A0A5F">
              <w:t>NIDD downlink data</w:t>
            </w:r>
            <w:r w:rsidRPr="000A0A5F">
              <w:rPr>
                <w:rFonts w:hint="eastAsia"/>
                <w:lang w:eastAsia="zh-CN"/>
              </w:rPr>
              <w:t xml:space="preserve"> deliveries</w:t>
            </w:r>
          </w:p>
        </w:tc>
        <w:tc>
          <w:tcPr>
            <w:tcW w:w="4423" w:type="dxa"/>
            <w:vMerge w:val="restart"/>
          </w:tcPr>
          <w:p w:rsidR="00CB0DD7" w:rsidRPr="000A0A5F" w:rsidRDefault="00CB0DD7">
            <w:pPr>
              <w:pStyle w:val="TAL"/>
              <w:rPr>
                <w:rFonts w:hint="eastAsia"/>
                <w:lang w:eastAsia="zh-CN"/>
              </w:rPr>
            </w:pPr>
            <w:r w:rsidRPr="000A0A5F">
              <w:t>/{scsAsId}/</w:t>
            </w:r>
            <w:r w:rsidRPr="000A0A5F">
              <w:rPr>
                <w:rFonts w:hint="eastAsia"/>
                <w:lang w:eastAsia="zh-CN"/>
              </w:rPr>
              <w:t>configurations</w:t>
            </w:r>
            <w:r w:rsidRPr="000A0A5F">
              <w:t>/{configurationId}/</w:t>
            </w:r>
            <w:r w:rsidRPr="000A0A5F">
              <w:rPr>
                <w:rFonts w:hint="eastAsia"/>
                <w:lang w:eastAsia="zh-CN"/>
              </w:rPr>
              <w:t>downlink</w:t>
            </w:r>
            <w:r w:rsidRPr="000A0A5F">
              <w:rPr>
                <w:lang w:eastAsia="zh-CN"/>
              </w:rPr>
              <w:t>-</w:t>
            </w:r>
            <w:r w:rsidRPr="000A0A5F">
              <w:rPr>
                <w:rFonts w:hint="eastAsia"/>
                <w:lang w:eastAsia="zh-CN"/>
              </w:rPr>
              <w:t>data</w:t>
            </w:r>
            <w:r w:rsidRPr="000A0A5F">
              <w:rPr>
                <w:lang w:eastAsia="zh-CN"/>
              </w:rPr>
              <w:t>-</w:t>
            </w:r>
            <w:r w:rsidRPr="000A0A5F">
              <w:rPr>
                <w:rFonts w:hint="eastAsia"/>
                <w:lang w:eastAsia="zh-CN"/>
              </w:rPr>
              <w:t>deliveries</w:t>
            </w:r>
          </w:p>
        </w:tc>
        <w:tc>
          <w:tcPr>
            <w:tcW w:w="851" w:type="dxa"/>
          </w:tcPr>
          <w:p w:rsidR="00CB0DD7" w:rsidRPr="000A0A5F" w:rsidRDefault="00CB0DD7">
            <w:pPr>
              <w:pStyle w:val="TAL"/>
            </w:pPr>
            <w:r w:rsidRPr="000A0A5F">
              <w:t>GET</w:t>
            </w:r>
          </w:p>
        </w:tc>
        <w:tc>
          <w:tcPr>
            <w:tcW w:w="914" w:type="dxa"/>
          </w:tcPr>
          <w:p w:rsidR="00CB0DD7" w:rsidRPr="000A0A5F" w:rsidRDefault="00CB0DD7">
            <w:pPr>
              <w:pStyle w:val="TAL"/>
            </w:pPr>
            <w:r w:rsidRPr="000A0A5F">
              <w:rPr>
                <w:rFonts w:hint="eastAsia"/>
                <w:lang w:eastAsia="zh-CN"/>
              </w:rPr>
              <w:t>SCS/AS</w:t>
            </w:r>
          </w:p>
        </w:tc>
        <w:tc>
          <w:tcPr>
            <w:tcW w:w="2215" w:type="dxa"/>
          </w:tcPr>
          <w:p w:rsidR="00CB0DD7" w:rsidRPr="000A0A5F" w:rsidRDefault="00CB0DD7">
            <w:pPr>
              <w:pStyle w:val="TAL"/>
              <w:spacing w:line="276" w:lineRule="auto"/>
              <w:rPr>
                <w:noProof/>
                <w:lang w:eastAsia="zh-CN"/>
              </w:rPr>
            </w:pPr>
            <w:r w:rsidRPr="000A0A5F">
              <w:t>Read all pending NIDD downlink data delivery</w:t>
            </w:r>
            <w:r w:rsidRPr="000A0A5F">
              <w:rPr>
                <w:noProof/>
                <w:lang w:eastAsia="zh-CN"/>
              </w:rPr>
              <w:t xml:space="preserve"> resources related to a particular NIDD configuration resource</w:t>
            </w:r>
            <w:r w:rsidRPr="000A0A5F">
              <w:rPr>
                <w:rFonts w:hint="eastAsia"/>
                <w:noProof/>
                <w:lang w:eastAsia="zh-CN"/>
              </w:rPr>
              <w:t>.</w:t>
            </w:r>
          </w:p>
        </w:tc>
      </w:tr>
      <w:tr w:rsidR="00CB0DD7" w:rsidRPr="000A0A5F" w:rsidTr="00FF0AF8">
        <w:trPr>
          <w:trHeight w:val="518"/>
          <w:jc w:val="center"/>
        </w:trPr>
        <w:tc>
          <w:tcPr>
            <w:tcW w:w="1257" w:type="dxa"/>
            <w:vMerge/>
          </w:tcPr>
          <w:p w:rsidR="00CB0DD7" w:rsidRPr="000A0A5F" w:rsidRDefault="00CB0DD7">
            <w:pPr>
              <w:pStyle w:val="TAL"/>
            </w:pPr>
          </w:p>
        </w:tc>
        <w:tc>
          <w:tcPr>
            <w:tcW w:w="4423" w:type="dxa"/>
            <w:vMerge/>
          </w:tcPr>
          <w:p w:rsidR="00CB0DD7" w:rsidRPr="000A0A5F" w:rsidRDefault="00CB0DD7">
            <w:pPr>
              <w:pStyle w:val="TAL"/>
            </w:pPr>
          </w:p>
        </w:tc>
        <w:tc>
          <w:tcPr>
            <w:tcW w:w="851" w:type="dxa"/>
          </w:tcPr>
          <w:p w:rsidR="00CB0DD7" w:rsidRPr="000A0A5F" w:rsidRDefault="00CB0DD7">
            <w:pPr>
              <w:pStyle w:val="TAL"/>
              <w:rPr>
                <w:rFonts w:hint="eastAsia"/>
                <w:lang w:eastAsia="zh-CN"/>
              </w:rPr>
            </w:pPr>
            <w:r w:rsidRPr="000A0A5F">
              <w:rPr>
                <w:rFonts w:hint="eastAsia"/>
                <w:lang w:eastAsia="zh-CN"/>
              </w:rPr>
              <w:t>POST</w:t>
            </w:r>
          </w:p>
        </w:tc>
        <w:tc>
          <w:tcPr>
            <w:tcW w:w="914" w:type="dxa"/>
          </w:tcPr>
          <w:p w:rsidR="00CB0DD7" w:rsidRPr="000A0A5F" w:rsidRDefault="00CB0DD7">
            <w:pPr>
              <w:pStyle w:val="TAL"/>
              <w:rPr>
                <w:rFonts w:hint="eastAsia"/>
                <w:lang w:eastAsia="zh-CN"/>
              </w:rPr>
            </w:pPr>
            <w:r w:rsidRPr="000A0A5F">
              <w:rPr>
                <w:rFonts w:hint="eastAsia"/>
                <w:lang w:eastAsia="zh-CN"/>
              </w:rPr>
              <w:t>SCS/AS</w:t>
            </w:r>
          </w:p>
        </w:tc>
        <w:tc>
          <w:tcPr>
            <w:tcW w:w="2215" w:type="dxa"/>
          </w:tcPr>
          <w:p w:rsidR="00CB0DD7" w:rsidRPr="000A0A5F" w:rsidRDefault="00CB0DD7">
            <w:pPr>
              <w:pStyle w:val="TAL"/>
              <w:spacing w:line="276" w:lineRule="auto"/>
            </w:pPr>
            <w:r w:rsidRPr="000A0A5F">
              <w:rPr>
                <w:rFonts w:hint="eastAsia"/>
                <w:lang w:eastAsia="zh-CN"/>
              </w:rPr>
              <w:t xml:space="preserve">Create an </w:t>
            </w:r>
            <w:r w:rsidRPr="000A0A5F">
              <w:t>NIDD downlink data delivery</w:t>
            </w:r>
            <w:r w:rsidRPr="000A0A5F">
              <w:rPr>
                <w:noProof/>
                <w:lang w:eastAsia="zh-CN"/>
              </w:rPr>
              <w:t xml:space="preserve"> resource related to a particular NIDD configuration resource.</w:t>
            </w:r>
          </w:p>
        </w:tc>
      </w:tr>
      <w:tr w:rsidR="00CB0DD7" w:rsidRPr="000A0A5F" w:rsidTr="00FF0AF8">
        <w:trPr>
          <w:trHeight w:val="518"/>
          <w:jc w:val="center"/>
        </w:trPr>
        <w:tc>
          <w:tcPr>
            <w:tcW w:w="1257" w:type="dxa"/>
            <w:vMerge w:val="restart"/>
          </w:tcPr>
          <w:p w:rsidR="00CB0DD7" w:rsidRPr="000A0A5F" w:rsidRDefault="00CB0DD7">
            <w:pPr>
              <w:pStyle w:val="TAL"/>
            </w:pPr>
            <w:r w:rsidRPr="000A0A5F">
              <w:t>Individual NIDD downlink data</w:t>
            </w:r>
            <w:r w:rsidRPr="000A0A5F">
              <w:rPr>
                <w:rFonts w:hint="eastAsia"/>
                <w:lang w:eastAsia="zh-CN"/>
              </w:rPr>
              <w:t xml:space="preserve"> delivery</w:t>
            </w:r>
          </w:p>
        </w:tc>
        <w:tc>
          <w:tcPr>
            <w:tcW w:w="4423" w:type="dxa"/>
            <w:vMerge w:val="restart"/>
          </w:tcPr>
          <w:p w:rsidR="00CB0DD7" w:rsidRPr="000A0A5F" w:rsidRDefault="00CB0DD7">
            <w:pPr>
              <w:pStyle w:val="TAL"/>
            </w:pPr>
            <w:r w:rsidRPr="000A0A5F">
              <w:t>/{scsAsId}/</w:t>
            </w:r>
            <w:r w:rsidRPr="000A0A5F">
              <w:rPr>
                <w:rFonts w:hint="eastAsia"/>
                <w:lang w:eastAsia="zh-CN"/>
              </w:rPr>
              <w:t>configurations</w:t>
            </w:r>
            <w:r w:rsidRPr="000A0A5F">
              <w:t>/{configurationId}/</w:t>
            </w:r>
            <w:r w:rsidRPr="000A0A5F">
              <w:rPr>
                <w:rFonts w:hint="eastAsia"/>
                <w:lang w:eastAsia="zh-CN"/>
              </w:rPr>
              <w:t>downlink</w:t>
            </w:r>
            <w:r w:rsidRPr="000A0A5F">
              <w:rPr>
                <w:lang w:eastAsia="zh-CN"/>
              </w:rPr>
              <w:t>-</w:t>
            </w:r>
            <w:r w:rsidRPr="000A0A5F">
              <w:rPr>
                <w:rFonts w:hint="eastAsia"/>
                <w:lang w:eastAsia="zh-CN"/>
              </w:rPr>
              <w:t>data</w:t>
            </w:r>
            <w:r w:rsidRPr="000A0A5F">
              <w:rPr>
                <w:lang w:eastAsia="zh-CN"/>
              </w:rPr>
              <w:t>-</w:t>
            </w:r>
            <w:r w:rsidRPr="000A0A5F">
              <w:rPr>
                <w:rFonts w:hint="eastAsia"/>
                <w:lang w:eastAsia="zh-CN"/>
              </w:rPr>
              <w:t>deliveries</w:t>
            </w:r>
            <w:r w:rsidRPr="000A0A5F">
              <w:t>/{downlinkDataDeliveryId}</w:t>
            </w:r>
          </w:p>
        </w:tc>
        <w:tc>
          <w:tcPr>
            <w:tcW w:w="851" w:type="dxa"/>
          </w:tcPr>
          <w:p w:rsidR="00CB0DD7" w:rsidRPr="000A0A5F" w:rsidRDefault="00CB0DD7">
            <w:pPr>
              <w:pStyle w:val="TAL"/>
              <w:rPr>
                <w:rFonts w:hint="eastAsia"/>
                <w:lang w:eastAsia="zh-CN"/>
              </w:rPr>
            </w:pPr>
            <w:r w:rsidRPr="000A0A5F">
              <w:t>PUT</w:t>
            </w:r>
          </w:p>
        </w:tc>
        <w:tc>
          <w:tcPr>
            <w:tcW w:w="914" w:type="dxa"/>
          </w:tcPr>
          <w:p w:rsidR="00CB0DD7" w:rsidRPr="000A0A5F" w:rsidRDefault="00CB0DD7">
            <w:pPr>
              <w:pStyle w:val="TAL"/>
              <w:rPr>
                <w:rFonts w:hint="eastAsia"/>
                <w:lang w:eastAsia="zh-CN"/>
              </w:rPr>
            </w:pPr>
            <w:r w:rsidRPr="000A0A5F">
              <w:rPr>
                <w:rFonts w:hint="eastAsia"/>
                <w:lang w:eastAsia="zh-CN"/>
              </w:rPr>
              <w:t>SCS/AS</w:t>
            </w:r>
          </w:p>
        </w:tc>
        <w:tc>
          <w:tcPr>
            <w:tcW w:w="2215" w:type="dxa"/>
          </w:tcPr>
          <w:p w:rsidR="00CB0DD7" w:rsidRPr="000A0A5F" w:rsidRDefault="00CB0DD7">
            <w:pPr>
              <w:pStyle w:val="TAL"/>
              <w:spacing w:line="276" w:lineRule="auto"/>
              <w:rPr>
                <w:rFonts w:hint="eastAsia"/>
                <w:lang w:eastAsia="zh-CN"/>
              </w:rPr>
            </w:pPr>
            <w:r w:rsidRPr="000A0A5F">
              <w:rPr>
                <w:rFonts w:hint="eastAsia"/>
                <w:lang w:eastAsia="zh-CN"/>
              </w:rPr>
              <w:t xml:space="preserve">Replace an </w:t>
            </w:r>
            <w:r w:rsidR="00BD3D12" w:rsidRPr="000A0A5F">
              <w:rPr>
                <w:lang w:eastAsia="zh-CN"/>
              </w:rPr>
              <w:t xml:space="preserve">Individual </w:t>
            </w:r>
            <w:r w:rsidRPr="000A0A5F">
              <w:t>NIDD downlink data delivery</w:t>
            </w:r>
            <w:r w:rsidRPr="000A0A5F">
              <w:rPr>
                <w:noProof/>
                <w:lang w:eastAsia="zh-CN"/>
              </w:rPr>
              <w:t xml:space="preserve"> resource.</w:t>
            </w:r>
          </w:p>
        </w:tc>
      </w:tr>
      <w:tr w:rsidR="00BD3D12" w:rsidRPr="000A0A5F" w:rsidTr="00FF0AF8">
        <w:trPr>
          <w:trHeight w:val="518"/>
          <w:jc w:val="center"/>
        </w:trPr>
        <w:tc>
          <w:tcPr>
            <w:tcW w:w="1257" w:type="dxa"/>
            <w:vMerge/>
          </w:tcPr>
          <w:p w:rsidR="00BD3D12" w:rsidRPr="000A0A5F" w:rsidRDefault="00BD3D12">
            <w:pPr>
              <w:pStyle w:val="TAL"/>
            </w:pPr>
          </w:p>
        </w:tc>
        <w:tc>
          <w:tcPr>
            <w:tcW w:w="4423" w:type="dxa"/>
            <w:vMerge/>
          </w:tcPr>
          <w:p w:rsidR="00BD3D12" w:rsidRPr="000A0A5F" w:rsidRDefault="00BD3D12">
            <w:pPr>
              <w:pStyle w:val="TAL"/>
            </w:pPr>
          </w:p>
        </w:tc>
        <w:tc>
          <w:tcPr>
            <w:tcW w:w="851" w:type="dxa"/>
          </w:tcPr>
          <w:p w:rsidR="00BD3D12" w:rsidRPr="000A0A5F" w:rsidRDefault="00BD3D12">
            <w:pPr>
              <w:pStyle w:val="TAL"/>
            </w:pPr>
            <w:r w:rsidRPr="000A0A5F">
              <w:t>PATCH</w:t>
            </w:r>
          </w:p>
        </w:tc>
        <w:tc>
          <w:tcPr>
            <w:tcW w:w="914" w:type="dxa"/>
          </w:tcPr>
          <w:p w:rsidR="00BD3D12" w:rsidRPr="000A0A5F" w:rsidRDefault="00BD3D12">
            <w:pPr>
              <w:pStyle w:val="TAL"/>
              <w:rPr>
                <w:rFonts w:hint="eastAsia"/>
                <w:lang w:eastAsia="zh-CN"/>
              </w:rPr>
            </w:pPr>
            <w:r w:rsidRPr="000A0A5F">
              <w:rPr>
                <w:lang w:eastAsia="zh-CN"/>
              </w:rPr>
              <w:t>SCS/AS</w:t>
            </w:r>
          </w:p>
        </w:tc>
        <w:tc>
          <w:tcPr>
            <w:tcW w:w="2215" w:type="dxa"/>
          </w:tcPr>
          <w:p w:rsidR="00BD3D12" w:rsidRPr="000A0A5F" w:rsidRDefault="00BD3D12">
            <w:pPr>
              <w:pStyle w:val="TAL"/>
              <w:spacing w:line="276" w:lineRule="auto"/>
              <w:rPr>
                <w:rFonts w:hint="eastAsia"/>
                <w:lang w:eastAsia="zh-CN"/>
              </w:rPr>
            </w:pPr>
            <w:r w:rsidRPr="000A0A5F">
              <w:rPr>
                <w:lang w:eastAsia="zh-CN"/>
              </w:rPr>
              <w:t>Modify</w:t>
            </w:r>
            <w:r w:rsidRPr="000A0A5F">
              <w:rPr>
                <w:rFonts w:hint="eastAsia"/>
                <w:lang w:eastAsia="zh-CN"/>
              </w:rPr>
              <w:t xml:space="preserve"> an </w:t>
            </w:r>
            <w:r w:rsidRPr="000A0A5F">
              <w:rPr>
                <w:lang w:eastAsia="zh-CN"/>
              </w:rPr>
              <w:t xml:space="preserve">Individual </w:t>
            </w:r>
            <w:r w:rsidRPr="000A0A5F">
              <w:t>NIDD downlink data delivery</w:t>
            </w:r>
            <w:r w:rsidRPr="000A0A5F">
              <w:rPr>
                <w:noProof/>
                <w:lang w:eastAsia="zh-CN"/>
              </w:rPr>
              <w:t xml:space="preserve"> resource.</w:t>
            </w:r>
          </w:p>
        </w:tc>
      </w:tr>
      <w:tr w:rsidR="00CB0DD7" w:rsidRPr="000A0A5F" w:rsidTr="00FF0AF8">
        <w:trPr>
          <w:jc w:val="center"/>
        </w:trPr>
        <w:tc>
          <w:tcPr>
            <w:tcW w:w="1257" w:type="dxa"/>
            <w:vMerge/>
          </w:tcPr>
          <w:p w:rsidR="00CB0DD7" w:rsidRPr="000A0A5F" w:rsidRDefault="00CB0DD7">
            <w:pPr>
              <w:pStyle w:val="TAL"/>
              <w:rPr>
                <w:rFonts w:hint="eastAsia"/>
                <w:lang w:eastAsia="zh-CN"/>
              </w:rPr>
            </w:pPr>
          </w:p>
        </w:tc>
        <w:tc>
          <w:tcPr>
            <w:tcW w:w="4423" w:type="dxa"/>
            <w:vMerge/>
          </w:tcPr>
          <w:p w:rsidR="00CB0DD7" w:rsidRPr="000A0A5F" w:rsidRDefault="00CB0DD7">
            <w:pPr>
              <w:pStyle w:val="TAL"/>
            </w:pPr>
          </w:p>
        </w:tc>
        <w:tc>
          <w:tcPr>
            <w:tcW w:w="851" w:type="dxa"/>
          </w:tcPr>
          <w:p w:rsidR="00CB0DD7" w:rsidRPr="000A0A5F" w:rsidRDefault="00CB0DD7">
            <w:pPr>
              <w:pStyle w:val="TAL"/>
            </w:pPr>
            <w:r w:rsidRPr="000A0A5F">
              <w:t>DELETE</w:t>
            </w:r>
          </w:p>
        </w:tc>
        <w:tc>
          <w:tcPr>
            <w:tcW w:w="914" w:type="dxa"/>
          </w:tcPr>
          <w:p w:rsidR="00CB0DD7" w:rsidRPr="000A0A5F" w:rsidRDefault="00CB0DD7">
            <w:pPr>
              <w:pStyle w:val="TAL"/>
            </w:pPr>
            <w:r w:rsidRPr="000A0A5F">
              <w:rPr>
                <w:lang w:eastAsia="zh-CN"/>
              </w:rPr>
              <w:t>SCS/AS</w:t>
            </w:r>
          </w:p>
        </w:tc>
        <w:tc>
          <w:tcPr>
            <w:tcW w:w="2215" w:type="dxa"/>
          </w:tcPr>
          <w:p w:rsidR="00CB0DD7" w:rsidRPr="000A0A5F" w:rsidRDefault="00CB0DD7">
            <w:pPr>
              <w:pStyle w:val="TAL"/>
              <w:spacing w:line="276" w:lineRule="auto"/>
            </w:pPr>
            <w:r w:rsidRPr="000A0A5F">
              <w:rPr>
                <w:lang w:eastAsia="zh-CN"/>
              </w:rPr>
              <w:t>Delete an NIDD downlink data delivery resource.</w:t>
            </w:r>
          </w:p>
        </w:tc>
      </w:tr>
      <w:tr w:rsidR="00CB0DD7" w:rsidRPr="000A0A5F" w:rsidTr="00FF0AF8">
        <w:trPr>
          <w:jc w:val="center"/>
        </w:trPr>
        <w:tc>
          <w:tcPr>
            <w:tcW w:w="1257" w:type="dxa"/>
            <w:vMerge/>
          </w:tcPr>
          <w:p w:rsidR="00CB0DD7" w:rsidRPr="000A0A5F" w:rsidRDefault="00CB0DD7">
            <w:pPr>
              <w:pStyle w:val="TAL"/>
              <w:rPr>
                <w:rFonts w:hint="eastAsia"/>
                <w:lang w:eastAsia="zh-CN"/>
              </w:rPr>
            </w:pPr>
          </w:p>
        </w:tc>
        <w:tc>
          <w:tcPr>
            <w:tcW w:w="4423" w:type="dxa"/>
            <w:vMerge/>
          </w:tcPr>
          <w:p w:rsidR="00CB0DD7" w:rsidRPr="000A0A5F" w:rsidRDefault="00CB0DD7">
            <w:pPr>
              <w:pStyle w:val="TAL"/>
            </w:pPr>
          </w:p>
        </w:tc>
        <w:tc>
          <w:tcPr>
            <w:tcW w:w="851" w:type="dxa"/>
          </w:tcPr>
          <w:p w:rsidR="00CB0DD7" w:rsidRPr="000A0A5F" w:rsidRDefault="00CB0DD7">
            <w:pPr>
              <w:pStyle w:val="TAL"/>
            </w:pPr>
            <w:r w:rsidRPr="000A0A5F">
              <w:t>GET</w:t>
            </w:r>
          </w:p>
        </w:tc>
        <w:tc>
          <w:tcPr>
            <w:tcW w:w="914" w:type="dxa"/>
          </w:tcPr>
          <w:p w:rsidR="00CB0DD7" w:rsidRPr="000A0A5F" w:rsidRDefault="00CB0DD7">
            <w:pPr>
              <w:pStyle w:val="TAL"/>
              <w:rPr>
                <w:rFonts w:hint="eastAsia"/>
                <w:lang w:eastAsia="zh-CN"/>
              </w:rPr>
            </w:pPr>
            <w:r w:rsidRPr="000A0A5F">
              <w:rPr>
                <w:rFonts w:hint="eastAsia"/>
                <w:lang w:eastAsia="zh-CN"/>
              </w:rPr>
              <w:t>SCS/AS</w:t>
            </w:r>
          </w:p>
        </w:tc>
        <w:tc>
          <w:tcPr>
            <w:tcW w:w="2215" w:type="dxa"/>
          </w:tcPr>
          <w:p w:rsidR="00CB0DD7" w:rsidRPr="000A0A5F" w:rsidRDefault="00CB0DD7">
            <w:pPr>
              <w:pStyle w:val="TAL"/>
              <w:spacing w:line="276" w:lineRule="auto"/>
              <w:rPr>
                <w:rFonts w:hint="eastAsia"/>
                <w:lang w:eastAsia="zh-CN"/>
              </w:rPr>
            </w:pPr>
            <w:r w:rsidRPr="000A0A5F">
              <w:t>Read pending NIDD downlink data delivery</w:t>
            </w:r>
            <w:r w:rsidRPr="000A0A5F">
              <w:rPr>
                <w:noProof/>
                <w:lang w:eastAsia="zh-CN"/>
              </w:rPr>
              <w:t xml:space="preserve"> resource</w:t>
            </w:r>
            <w:r w:rsidR="00304356" w:rsidRPr="000A0A5F">
              <w:rPr>
                <w:noProof/>
                <w:lang w:eastAsia="zh-CN"/>
              </w:rPr>
              <w:t>.</w:t>
            </w:r>
          </w:p>
        </w:tc>
      </w:tr>
      <w:tr w:rsidR="00CB0DD7" w:rsidRPr="000A0A5F" w:rsidTr="00FF0AF8">
        <w:trPr>
          <w:jc w:val="center"/>
        </w:trPr>
        <w:tc>
          <w:tcPr>
            <w:tcW w:w="1257" w:type="dxa"/>
          </w:tcPr>
          <w:p w:rsidR="00CB0DD7" w:rsidRPr="000A0A5F" w:rsidRDefault="00CB0DD7">
            <w:pPr>
              <w:pStyle w:val="TAL"/>
              <w:rPr>
                <w:rFonts w:hint="eastAsia"/>
                <w:lang w:eastAsia="zh-CN"/>
              </w:rPr>
            </w:pPr>
            <w:r w:rsidRPr="000A0A5F">
              <w:rPr>
                <w:lang w:eastAsia="zh-CN"/>
              </w:rPr>
              <w:t>ManagePort Configurations</w:t>
            </w:r>
          </w:p>
        </w:tc>
        <w:tc>
          <w:tcPr>
            <w:tcW w:w="4423" w:type="dxa"/>
          </w:tcPr>
          <w:p w:rsidR="00CB0DD7" w:rsidRPr="000A0A5F" w:rsidRDefault="00CB0DD7">
            <w:pPr>
              <w:pStyle w:val="TAL"/>
            </w:pPr>
            <w:r w:rsidRPr="000A0A5F">
              <w:t>/{scsAsId}/</w:t>
            </w:r>
            <w:r w:rsidRPr="000A0A5F">
              <w:rPr>
                <w:rFonts w:hint="eastAsia"/>
                <w:lang w:eastAsia="zh-CN"/>
              </w:rPr>
              <w:t>configurations</w:t>
            </w:r>
            <w:r w:rsidRPr="000A0A5F">
              <w:t>/{configurationId}/rds-ports</w:t>
            </w:r>
          </w:p>
        </w:tc>
        <w:tc>
          <w:tcPr>
            <w:tcW w:w="851" w:type="dxa"/>
          </w:tcPr>
          <w:p w:rsidR="00CB0DD7" w:rsidRPr="000A0A5F" w:rsidRDefault="00CB0DD7">
            <w:pPr>
              <w:pStyle w:val="TAL"/>
              <w:rPr>
                <w:rFonts w:hint="eastAsia"/>
                <w:lang w:eastAsia="zh-CN"/>
              </w:rPr>
            </w:pPr>
            <w:r w:rsidRPr="000A0A5F">
              <w:rPr>
                <w:lang w:eastAsia="zh-CN"/>
              </w:rPr>
              <w:t>GET</w:t>
            </w:r>
          </w:p>
        </w:tc>
        <w:tc>
          <w:tcPr>
            <w:tcW w:w="914" w:type="dxa"/>
          </w:tcPr>
          <w:p w:rsidR="00CB0DD7" w:rsidRPr="000A0A5F" w:rsidRDefault="00CB0DD7">
            <w:pPr>
              <w:pStyle w:val="TAL"/>
              <w:rPr>
                <w:rFonts w:hint="eastAsia"/>
                <w:lang w:eastAsia="zh-CN"/>
              </w:rPr>
            </w:pPr>
            <w:r w:rsidRPr="000A0A5F">
              <w:rPr>
                <w:lang w:eastAsia="zh-CN"/>
              </w:rPr>
              <w:t>SCS/AS</w:t>
            </w:r>
          </w:p>
        </w:tc>
        <w:tc>
          <w:tcPr>
            <w:tcW w:w="2215" w:type="dxa"/>
          </w:tcPr>
          <w:p w:rsidR="00CB0DD7" w:rsidRPr="000A0A5F" w:rsidRDefault="00CB0DD7">
            <w:pPr>
              <w:pStyle w:val="TAL"/>
              <w:spacing w:line="276" w:lineRule="auto"/>
              <w:rPr>
                <w:rFonts w:hint="eastAsia"/>
                <w:lang w:eastAsia="zh-CN"/>
              </w:rPr>
            </w:pPr>
            <w:r w:rsidRPr="000A0A5F">
              <w:rPr>
                <w:lang w:eastAsia="zh-CN"/>
              </w:rPr>
              <w:t>Read all RDS ManagePort Configurations.</w:t>
            </w:r>
          </w:p>
        </w:tc>
      </w:tr>
      <w:tr w:rsidR="00CB0DD7" w:rsidRPr="000A0A5F" w:rsidTr="00FF0AF8">
        <w:trPr>
          <w:jc w:val="center"/>
        </w:trPr>
        <w:tc>
          <w:tcPr>
            <w:tcW w:w="1257" w:type="dxa"/>
            <w:vMerge w:val="restart"/>
          </w:tcPr>
          <w:p w:rsidR="00CB0DD7" w:rsidRPr="000A0A5F" w:rsidRDefault="00CB0DD7">
            <w:pPr>
              <w:pStyle w:val="TAL"/>
              <w:rPr>
                <w:rFonts w:hint="eastAsia"/>
                <w:lang w:eastAsia="zh-CN"/>
              </w:rPr>
            </w:pPr>
            <w:r w:rsidRPr="000A0A5F">
              <w:t>Individual ManagePort Configuration</w:t>
            </w:r>
          </w:p>
        </w:tc>
        <w:tc>
          <w:tcPr>
            <w:tcW w:w="4423" w:type="dxa"/>
            <w:vMerge w:val="restart"/>
          </w:tcPr>
          <w:p w:rsidR="00CB0DD7" w:rsidRPr="000A0A5F" w:rsidRDefault="00CB0DD7">
            <w:pPr>
              <w:pStyle w:val="TAL"/>
            </w:pPr>
            <w:r w:rsidRPr="000A0A5F">
              <w:t>/{scsAsId}/</w:t>
            </w:r>
            <w:r w:rsidRPr="000A0A5F">
              <w:rPr>
                <w:rFonts w:hint="eastAsia"/>
                <w:lang w:eastAsia="zh-CN"/>
              </w:rPr>
              <w:t>configurations</w:t>
            </w:r>
            <w:r w:rsidRPr="000A0A5F">
              <w:t>/{configurationId}/rds-ports/{portId}</w:t>
            </w:r>
          </w:p>
        </w:tc>
        <w:tc>
          <w:tcPr>
            <w:tcW w:w="851" w:type="dxa"/>
          </w:tcPr>
          <w:p w:rsidR="00CB0DD7" w:rsidRPr="000A0A5F" w:rsidRDefault="00CB0DD7">
            <w:pPr>
              <w:pStyle w:val="TAL"/>
              <w:rPr>
                <w:rFonts w:hint="eastAsia"/>
                <w:lang w:eastAsia="zh-CN"/>
              </w:rPr>
            </w:pPr>
            <w:r w:rsidRPr="000A0A5F">
              <w:t>PUT</w:t>
            </w:r>
          </w:p>
        </w:tc>
        <w:tc>
          <w:tcPr>
            <w:tcW w:w="914" w:type="dxa"/>
          </w:tcPr>
          <w:p w:rsidR="00CB0DD7" w:rsidRPr="000A0A5F" w:rsidRDefault="00CB0DD7">
            <w:pPr>
              <w:pStyle w:val="TAL"/>
              <w:rPr>
                <w:rFonts w:hint="eastAsia"/>
                <w:lang w:eastAsia="zh-CN"/>
              </w:rPr>
            </w:pPr>
            <w:r w:rsidRPr="000A0A5F">
              <w:rPr>
                <w:rFonts w:hint="eastAsia"/>
                <w:lang w:eastAsia="zh-CN"/>
              </w:rPr>
              <w:t>SCS/AS</w:t>
            </w:r>
          </w:p>
        </w:tc>
        <w:tc>
          <w:tcPr>
            <w:tcW w:w="2215" w:type="dxa"/>
          </w:tcPr>
          <w:p w:rsidR="00CB0DD7" w:rsidRPr="000A0A5F" w:rsidRDefault="00CB0DD7" w:rsidP="00304356">
            <w:pPr>
              <w:pStyle w:val="TAL"/>
              <w:spacing w:line="276" w:lineRule="auto"/>
              <w:rPr>
                <w:rFonts w:hint="eastAsia"/>
                <w:lang w:eastAsia="zh-CN"/>
              </w:rPr>
            </w:pPr>
            <w:r w:rsidRPr="000A0A5F">
              <w:t>Create a new Individual ManagePort Configuration resource</w:t>
            </w:r>
            <w:r w:rsidRPr="000A0A5F">
              <w:rPr>
                <w:noProof/>
                <w:lang w:eastAsia="zh-CN"/>
              </w:rPr>
              <w:t xml:space="preserve"> to r</w:t>
            </w:r>
            <w:r w:rsidRPr="000A0A5F">
              <w:rPr>
                <w:lang w:eastAsia="zh-CN"/>
              </w:rPr>
              <w:t>eserve port numbers</w:t>
            </w:r>
            <w:r w:rsidR="00304356" w:rsidRPr="000A0A5F">
              <w:rPr>
                <w:lang w:eastAsia="zh-CN"/>
              </w:rPr>
              <w:t>.</w:t>
            </w:r>
          </w:p>
        </w:tc>
      </w:tr>
      <w:tr w:rsidR="00CB0DD7" w:rsidRPr="000A0A5F" w:rsidTr="00FF0AF8">
        <w:trPr>
          <w:jc w:val="center"/>
        </w:trPr>
        <w:tc>
          <w:tcPr>
            <w:tcW w:w="1257" w:type="dxa"/>
            <w:vMerge/>
          </w:tcPr>
          <w:p w:rsidR="00CB0DD7" w:rsidRPr="000A0A5F" w:rsidRDefault="00CB0DD7">
            <w:pPr>
              <w:pStyle w:val="TAL"/>
              <w:rPr>
                <w:rFonts w:hint="eastAsia"/>
                <w:lang w:eastAsia="zh-CN"/>
              </w:rPr>
            </w:pPr>
          </w:p>
        </w:tc>
        <w:tc>
          <w:tcPr>
            <w:tcW w:w="4423" w:type="dxa"/>
            <w:vMerge/>
          </w:tcPr>
          <w:p w:rsidR="00CB0DD7" w:rsidRPr="000A0A5F" w:rsidRDefault="00CB0DD7">
            <w:pPr>
              <w:pStyle w:val="TAL"/>
            </w:pPr>
          </w:p>
        </w:tc>
        <w:tc>
          <w:tcPr>
            <w:tcW w:w="851" w:type="dxa"/>
          </w:tcPr>
          <w:p w:rsidR="00CB0DD7" w:rsidRPr="000A0A5F" w:rsidRDefault="00CB0DD7">
            <w:pPr>
              <w:pStyle w:val="TAL"/>
              <w:rPr>
                <w:rFonts w:hint="eastAsia"/>
                <w:lang w:eastAsia="zh-CN"/>
              </w:rPr>
            </w:pPr>
            <w:r w:rsidRPr="000A0A5F">
              <w:t>DELETE</w:t>
            </w:r>
          </w:p>
        </w:tc>
        <w:tc>
          <w:tcPr>
            <w:tcW w:w="914" w:type="dxa"/>
          </w:tcPr>
          <w:p w:rsidR="00CB0DD7" w:rsidRPr="000A0A5F" w:rsidRDefault="00CB0DD7">
            <w:pPr>
              <w:pStyle w:val="TAL"/>
              <w:rPr>
                <w:rFonts w:hint="eastAsia"/>
                <w:lang w:eastAsia="zh-CN"/>
              </w:rPr>
            </w:pPr>
            <w:r w:rsidRPr="000A0A5F">
              <w:rPr>
                <w:lang w:eastAsia="zh-CN"/>
              </w:rPr>
              <w:t>SCS/AS</w:t>
            </w:r>
          </w:p>
        </w:tc>
        <w:tc>
          <w:tcPr>
            <w:tcW w:w="2215" w:type="dxa"/>
          </w:tcPr>
          <w:p w:rsidR="00CB0DD7" w:rsidRPr="000A0A5F" w:rsidRDefault="00CB0DD7">
            <w:pPr>
              <w:pStyle w:val="TAL"/>
              <w:spacing w:line="276" w:lineRule="auto"/>
              <w:rPr>
                <w:rFonts w:hint="eastAsia"/>
                <w:lang w:eastAsia="zh-CN"/>
              </w:rPr>
            </w:pPr>
            <w:r w:rsidRPr="000A0A5F">
              <w:t>Delete an Individual ManagePort Configuration resource</w:t>
            </w:r>
            <w:r w:rsidRPr="000A0A5F">
              <w:rPr>
                <w:noProof/>
                <w:lang w:eastAsia="zh-CN"/>
              </w:rPr>
              <w:t xml:space="preserve"> to r</w:t>
            </w:r>
            <w:r w:rsidRPr="000A0A5F">
              <w:rPr>
                <w:lang w:eastAsia="zh-CN"/>
              </w:rPr>
              <w:t>elease port numbers</w:t>
            </w:r>
            <w:r w:rsidR="00304356" w:rsidRPr="000A0A5F">
              <w:rPr>
                <w:lang w:eastAsia="zh-CN"/>
              </w:rPr>
              <w:t>.</w:t>
            </w:r>
          </w:p>
        </w:tc>
      </w:tr>
      <w:tr w:rsidR="00CB0DD7" w:rsidRPr="000A0A5F" w:rsidTr="00FF0AF8">
        <w:trPr>
          <w:jc w:val="center"/>
        </w:trPr>
        <w:tc>
          <w:tcPr>
            <w:tcW w:w="1257" w:type="dxa"/>
            <w:vMerge/>
          </w:tcPr>
          <w:p w:rsidR="00CB0DD7" w:rsidRPr="000A0A5F" w:rsidRDefault="00CB0DD7">
            <w:pPr>
              <w:pStyle w:val="TAL"/>
              <w:rPr>
                <w:rFonts w:hint="eastAsia"/>
                <w:lang w:eastAsia="zh-CN"/>
              </w:rPr>
            </w:pPr>
          </w:p>
        </w:tc>
        <w:tc>
          <w:tcPr>
            <w:tcW w:w="4423" w:type="dxa"/>
            <w:vMerge/>
          </w:tcPr>
          <w:p w:rsidR="00CB0DD7" w:rsidRPr="000A0A5F" w:rsidRDefault="00CB0DD7">
            <w:pPr>
              <w:pStyle w:val="TAL"/>
            </w:pPr>
          </w:p>
        </w:tc>
        <w:tc>
          <w:tcPr>
            <w:tcW w:w="851" w:type="dxa"/>
          </w:tcPr>
          <w:p w:rsidR="00CB0DD7" w:rsidRPr="000A0A5F" w:rsidRDefault="00CB0DD7">
            <w:pPr>
              <w:pStyle w:val="TAL"/>
              <w:rPr>
                <w:rFonts w:hint="eastAsia"/>
                <w:lang w:eastAsia="zh-CN"/>
              </w:rPr>
            </w:pPr>
            <w:r w:rsidRPr="000A0A5F">
              <w:t>GET</w:t>
            </w:r>
          </w:p>
        </w:tc>
        <w:tc>
          <w:tcPr>
            <w:tcW w:w="914" w:type="dxa"/>
          </w:tcPr>
          <w:p w:rsidR="00CB0DD7" w:rsidRPr="000A0A5F" w:rsidRDefault="00CB0DD7">
            <w:pPr>
              <w:pStyle w:val="TAL"/>
              <w:rPr>
                <w:rFonts w:hint="eastAsia"/>
                <w:lang w:eastAsia="zh-CN"/>
              </w:rPr>
            </w:pPr>
            <w:r w:rsidRPr="000A0A5F">
              <w:rPr>
                <w:lang w:eastAsia="zh-CN"/>
              </w:rPr>
              <w:t>SCS/AS</w:t>
            </w:r>
          </w:p>
        </w:tc>
        <w:tc>
          <w:tcPr>
            <w:tcW w:w="2215" w:type="dxa"/>
          </w:tcPr>
          <w:p w:rsidR="00CB0DD7" w:rsidRPr="000A0A5F" w:rsidRDefault="00CB0DD7" w:rsidP="00304356">
            <w:pPr>
              <w:pStyle w:val="TAL"/>
              <w:spacing w:line="276" w:lineRule="auto"/>
              <w:rPr>
                <w:rFonts w:hint="eastAsia"/>
                <w:lang w:eastAsia="zh-CN"/>
              </w:rPr>
            </w:pPr>
            <w:r w:rsidRPr="000A0A5F">
              <w:rPr>
                <w:lang w:eastAsia="zh-CN"/>
              </w:rPr>
              <w:t xml:space="preserve">Read </w:t>
            </w:r>
            <w:r w:rsidRPr="000A0A5F">
              <w:t>an Individual ManagePort Configuration resource</w:t>
            </w:r>
            <w:r w:rsidRPr="000A0A5F">
              <w:rPr>
                <w:lang w:eastAsia="zh-CN"/>
              </w:rPr>
              <w:t xml:space="preserve"> to query port numbers</w:t>
            </w:r>
            <w:r w:rsidR="00304356" w:rsidRPr="000A0A5F">
              <w:rPr>
                <w:lang w:eastAsia="zh-CN"/>
              </w:rPr>
              <w:t>.</w:t>
            </w:r>
          </w:p>
        </w:tc>
      </w:tr>
    </w:tbl>
    <w:p w:rsidR="00CB0DD7" w:rsidRPr="000A0A5F" w:rsidRDefault="00CB0DD7"/>
    <w:p w:rsidR="00CB0DD7" w:rsidRPr="000A0A5F" w:rsidRDefault="00CB0DD7">
      <w:pPr>
        <w:pStyle w:val="Heading4"/>
        <w:rPr>
          <w:rFonts w:hint="eastAsia"/>
          <w:lang w:eastAsia="zh-CN"/>
        </w:rPr>
      </w:pPr>
      <w:bookmarkStart w:id="3846" w:name="_Toc11247461"/>
      <w:bookmarkStart w:id="3847" w:name="_Toc27044585"/>
      <w:bookmarkStart w:id="3848" w:name="_Toc36033627"/>
      <w:bookmarkStart w:id="3849" w:name="_Toc45131764"/>
      <w:bookmarkStart w:id="3850" w:name="_Toc49776049"/>
      <w:bookmarkStart w:id="3851" w:name="_Toc51746969"/>
      <w:bookmarkStart w:id="3852" w:name="_Toc66360524"/>
      <w:bookmarkStart w:id="3853" w:name="_Toc68105029"/>
      <w:bookmarkStart w:id="3854" w:name="_Toc74755659"/>
      <w:bookmarkStart w:id="3855" w:name="_Toc105674533"/>
      <w:bookmarkStart w:id="3856" w:name="_Toc130502581"/>
      <w:bookmarkStart w:id="3857" w:name="_Toc153625368"/>
      <w:r w:rsidRPr="000A0A5F">
        <w:t>5.6.3.2</w:t>
      </w:r>
      <w:r w:rsidRPr="000A0A5F">
        <w:tab/>
        <w:t xml:space="preserve">Resource: NIDD </w:t>
      </w:r>
      <w:r w:rsidRPr="000A0A5F">
        <w:rPr>
          <w:rFonts w:hint="eastAsia"/>
          <w:lang w:eastAsia="zh-CN"/>
        </w:rPr>
        <w:t>Configurations</w:t>
      </w:r>
      <w:bookmarkEnd w:id="3846"/>
      <w:bookmarkEnd w:id="3847"/>
      <w:bookmarkEnd w:id="3848"/>
      <w:bookmarkEnd w:id="3849"/>
      <w:bookmarkEnd w:id="3850"/>
      <w:bookmarkEnd w:id="3851"/>
      <w:bookmarkEnd w:id="3852"/>
      <w:bookmarkEnd w:id="3853"/>
      <w:bookmarkEnd w:id="3854"/>
      <w:bookmarkEnd w:id="3855"/>
      <w:bookmarkEnd w:id="3856"/>
      <w:bookmarkEnd w:id="3857"/>
    </w:p>
    <w:p w:rsidR="00CB0DD7" w:rsidRPr="000A0A5F" w:rsidRDefault="00CB0DD7">
      <w:pPr>
        <w:pStyle w:val="Heading5"/>
      </w:pPr>
      <w:bookmarkStart w:id="3858" w:name="_Toc11247462"/>
      <w:bookmarkStart w:id="3859" w:name="_Toc27044586"/>
      <w:bookmarkStart w:id="3860" w:name="_Toc36033628"/>
      <w:bookmarkStart w:id="3861" w:name="_Toc45131765"/>
      <w:bookmarkStart w:id="3862" w:name="_Toc49776050"/>
      <w:bookmarkStart w:id="3863" w:name="_Toc51746970"/>
      <w:bookmarkStart w:id="3864" w:name="_Toc66360525"/>
      <w:bookmarkStart w:id="3865" w:name="_Toc68105030"/>
      <w:bookmarkStart w:id="3866" w:name="_Toc74755660"/>
      <w:bookmarkStart w:id="3867" w:name="_Toc105674534"/>
      <w:bookmarkStart w:id="3868" w:name="_Toc130502582"/>
      <w:bookmarkStart w:id="3869" w:name="_Toc153625369"/>
      <w:r w:rsidRPr="000A0A5F">
        <w:t>5.6.3.2.1</w:t>
      </w:r>
      <w:r w:rsidRPr="000A0A5F">
        <w:tab/>
        <w:t>Introduction</w:t>
      </w:r>
      <w:bookmarkEnd w:id="3858"/>
      <w:bookmarkEnd w:id="3859"/>
      <w:bookmarkEnd w:id="3860"/>
      <w:bookmarkEnd w:id="3861"/>
      <w:bookmarkEnd w:id="3862"/>
      <w:bookmarkEnd w:id="3863"/>
      <w:bookmarkEnd w:id="3864"/>
      <w:bookmarkEnd w:id="3865"/>
      <w:bookmarkEnd w:id="3866"/>
      <w:bookmarkEnd w:id="3867"/>
      <w:bookmarkEnd w:id="3868"/>
      <w:bookmarkEnd w:id="3869"/>
    </w:p>
    <w:p w:rsidR="00CB0DD7" w:rsidRPr="000A0A5F" w:rsidRDefault="00CB0DD7">
      <w:pPr>
        <w:rPr>
          <w:noProof/>
          <w:lang w:eastAsia="zh-CN"/>
        </w:rPr>
      </w:pPr>
      <w:r w:rsidRPr="000A0A5F">
        <w:rPr>
          <w:noProof/>
          <w:lang w:eastAsia="zh-CN"/>
        </w:rPr>
        <w:t>This resource allows t</w:t>
      </w:r>
      <w:r w:rsidRPr="000A0A5F">
        <w:rPr>
          <w:rFonts w:hint="eastAsia"/>
          <w:noProof/>
          <w:lang w:eastAsia="zh-CN"/>
        </w:rPr>
        <w:t>he SCS/AS to create an NIDD configuration</w:t>
      </w:r>
      <w:r w:rsidRPr="000A0A5F">
        <w:rPr>
          <w:noProof/>
          <w:lang w:eastAsia="zh-CN"/>
        </w:rPr>
        <w:t xml:space="preserve"> at the SCEF</w:t>
      </w:r>
      <w:r w:rsidRPr="000A0A5F">
        <w:rPr>
          <w:rFonts w:hint="eastAsia"/>
          <w:noProof/>
          <w:lang w:eastAsia="zh-CN"/>
        </w:rPr>
        <w:t xml:space="preserve">, and </w:t>
      </w:r>
      <w:r w:rsidRPr="000A0A5F">
        <w:rPr>
          <w:noProof/>
          <w:lang w:eastAsia="zh-CN"/>
        </w:rPr>
        <w:t xml:space="preserve">read all </w:t>
      </w:r>
      <w:r w:rsidRPr="000A0A5F">
        <w:rPr>
          <w:rFonts w:hint="eastAsia"/>
          <w:noProof/>
          <w:lang w:eastAsia="zh-CN"/>
        </w:rPr>
        <w:t>NIDD configurations in the SCEF.</w:t>
      </w:r>
    </w:p>
    <w:p w:rsidR="00CB0DD7" w:rsidRPr="000A0A5F" w:rsidRDefault="00CB0DD7">
      <w:pPr>
        <w:pStyle w:val="Heading5"/>
      </w:pPr>
      <w:bookmarkStart w:id="3870" w:name="_Toc11247463"/>
      <w:bookmarkStart w:id="3871" w:name="_Toc27044587"/>
      <w:bookmarkStart w:id="3872" w:name="_Toc36033629"/>
      <w:bookmarkStart w:id="3873" w:name="_Toc45131766"/>
      <w:bookmarkStart w:id="3874" w:name="_Toc49776051"/>
      <w:bookmarkStart w:id="3875" w:name="_Toc51746971"/>
      <w:bookmarkStart w:id="3876" w:name="_Toc66360526"/>
      <w:bookmarkStart w:id="3877" w:name="_Toc68105031"/>
      <w:bookmarkStart w:id="3878" w:name="_Toc74755661"/>
      <w:bookmarkStart w:id="3879" w:name="_Toc105674535"/>
      <w:bookmarkStart w:id="3880" w:name="_Toc130502583"/>
      <w:bookmarkStart w:id="3881" w:name="_Toc153625370"/>
      <w:r w:rsidRPr="000A0A5F">
        <w:t>5.6.3.2.2</w:t>
      </w:r>
      <w:r w:rsidRPr="000A0A5F">
        <w:tab/>
        <w:t>Resource definition</w:t>
      </w:r>
      <w:bookmarkEnd w:id="3870"/>
      <w:bookmarkEnd w:id="3871"/>
      <w:bookmarkEnd w:id="3872"/>
      <w:bookmarkEnd w:id="3873"/>
      <w:bookmarkEnd w:id="3874"/>
      <w:bookmarkEnd w:id="3875"/>
      <w:bookmarkEnd w:id="3876"/>
      <w:bookmarkEnd w:id="3877"/>
      <w:bookmarkEnd w:id="3878"/>
      <w:bookmarkEnd w:id="3879"/>
      <w:bookmarkEnd w:id="3880"/>
      <w:bookmarkEnd w:id="3881"/>
    </w:p>
    <w:p w:rsidR="00CB0DD7" w:rsidRPr="000A0A5F" w:rsidRDefault="00CB0DD7">
      <w:r w:rsidRPr="000A0A5F">
        <w:t xml:space="preserve">Resource URI: </w:t>
      </w:r>
      <w:r w:rsidRPr="000A0A5F">
        <w:rPr>
          <w:b/>
        </w:rPr>
        <w:t>{apiRoot}/3gpp-nidd/v1/{scsAsId}/</w:t>
      </w:r>
      <w:r w:rsidRPr="000A0A5F">
        <w:rPr>
          <w:rFonts w:hint="eastAsia"/>
          <w:b/>
          <w:lang w:eastAsia="zh-CN"/>
        </w:rPr>
        <w:t>configurations</w:t>
      </w:r>
    </w:p>
    <w:p w:rsidR="00CB0DD7" w:rsidRPr="000A0A5F" w:rsidRDefault="00CB0DD7">
      <w:pPr>
        <w:rPr>
          <w:rFonts w:ascii="Arial" w:hAnsi="Arial" w:cs="Arial"/>
        </w:rPr>
      </w:pPr>
      <w:r w:rsidRPr="000A0A5F">
        <w:t>This resource shall support the resource URI variables defined in table 5.6.3.2.2-1</w:t>
      </w:r>
      <w:r w:rsidRPr="000A0A5F">
        <w:rPr>
          <w:rFonts w:ascii="Arial" w:hAnsi="Arial" w:cs="Arial"/>
        </w:rPr>
        <w:t>.</w:t>
      </w:r>
    </w:p>
    <w:p w:rsidR="00CB0DD7" w:rsidRPr="000A0A5F" w:rsidRDefault="00CB0DD7">
      <w:pPr>
        <w:pStyle w:val="TH"/>
        <w:rPr>
          <w:rFonts w:cs="Arial"/>
        </w:rPr>
      </w:pPr>
      <w:r w:rsidRPr="000A0A5F">
        <w:t>Table 5.6.3.2.2-1: Resource URI variables for resource "NIDD Configurations"</w:t>
      </w:r>
    </w:p>
    <w:tbl>
      <w:tblPr>
        <w:tblW w:w="494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970"/>
        <w:gridCol w:w="1312"/>
        <w:gridCol w:w="6378"/>
      </w:tblGrid>
      <w:tr w:rsidR="00CB0DD7" w:rsidRPr="000A0A5F" w:rsidTr="00FF0AF8">
        <w:trPr>
          <w:jc w:val="center"/>
        </w:trPr>
        <w:tc>
          <w:tcPr>
            <w:tcW w:w="1020" w:type="pct"/>
            <w:shd w:val="clear" w:color="000000" w:fill="C0C0C0"/>
          </w:tcPr>
          <w:p w:rsidR="00CB0DD7" w:rsidRPr="000A0A5F" w:rsidRDefault="00CB0DD7">
            <w:pPr>
              <w:pStyle w:val="TAH"/>
            </w:pPr>
            <w:r w:rsidRPr="000A0A5F">
              <w:t>Name</w:t>
            </w:r>
          </w:p>
        </w:tc>
        <w:tc>
          <w:tcPr>
            <w:tcW w:w="679" w:type="pct"/>
            <w:shd w:val="clear" w:color="000000" w:fill="C0C0C0"/>
          </w:tcPr>
          <w:p w:rsidR="00CB0DD7" w:rsidRPr="000A0A5F" w:rsidRDefault="00CB0DD7">
            <w:pPr>
              <w:pStyle w:val="TAH"/>
            </w:pPr>
            <w:r w:rsidRPr="000A0A5F">
              <w:t>Data type</w:t>
            </w:r>
          </w:p>
        </w:tc>
        <w:tc>
          <w:tcPr>
            <w:tcW w:w="3302" w:type="pct"/>
            <w:shd w:val="clear" w:color="000000" w:fill="C0C0C0"/>
            <w:vAlign w:val="center"/>
          </w:tcPr>
          <w:p w:rsidR="00CB0DD7" w:rsidRPr="000A0A5F" w:rsidRDefault="00CB0DD7">
            <w:pPr>
              <w:pStyle w:val="TAH"/>
            </w:pPr>
            <w:r w:rsidRPr="000A0A5F">
              <w:t>Definition</w:t>
            </w:r>
          </w:p>
        </w:tc>
      </w:tr>
      <w:tr w:rsidR="00CB0DD7" w:rsidRPr="000A0A5F" w:rsidTr="00FF0AF8">
        <w:trPr>
          <w:jc w:val="center"/>
        </w:trPr>
        <w:tc>
          <w:tcPr>
            <w:tcW w:w="1020" w:type="pct"/>
            <w:shd w:val="clear" w:color="auto" w:fill="auto"/>
          </w:tcPr>
          <w:p w:rsidR="00CB0DD7" w:rsidRPr="000A0A5F" w:rsidRDefault="00CB0DD7">
            <w:pPr>
              <w:pStyle w:val="TAL"/>
            </w:pPr>
            <w:r w:rsidRPr="000A0A5F">
              <w:t>apiRoot</w:t>
            </w:r>
          </w:p>
        </w:tc>
        <w:tc>
          <w:tcPr>
            <w:tcW w:w="679" w:type="pct"/>
          </w:tcPr>
          <w:p w:rsidR="00CB0DD7" w:rsidRPr="000A0A5F" w:rsidRDefault="00CB0DD7">
            <w:pPr>
              <w:pStyle w:val="TAL"/>
            </w:pPr>
            <w:r w:rsidRPr="000A0A5F">
              <w:rPr>
                <w:rFonts w:hint="eastAsia"/>
                <w:lang w:eastAsia="zh-CN"/>
              </w:rPr>
              <w:t>s</w:t>
            </w:r>
            <w:r w:rsidRPr="000A0A5F">
              <w:rPr>
                <w:lang w:eastAsia="zh-CN"/>
              </w:rPr>
              <w:t>tring</w:t>
            </w:r>
          </w:p>
        </w:tc>
        <w:tc>
          <w:tcPr>
            <w:tcW w:w="3302" w:type="pct"/>
            <w:shd w:val="clear" w:color="auto" w:fill="auto"/>
            <w:vAlign w:val="center"/>
          </w:tcPr>
          <w:p w:rsidR="00CB0DD7" w:rsidRPr="000A0A5F" w:rsidRDefault="00CB0DD7">
            <w:pPr>
              <w:pStyle w:val="TAL"/>
            </w:pPr>
            <w:r w:rsidRPr="000A0A5F">
              <w:t>See clause</w:t>
            </w:r>
            <w:r w:rsidRPr="000A0A5F">
              <w:rPr>
                <w:lang w:val="en-US" w:eastAsia="zh-CN"/>
              </w:rPr>
              <w:t> </w:t>
            </w:r>
            <w:r w:rsidRPr="000A0A5F">
              <w:t>5.2.4.</w:t>
            </w:r>
          </w:p>
        </w:tc>
      </w:tr>
      <w:tr w:rsidR="00CB0DD7" w:rsidRPr="000A0A5F" w:rsidTr="00FF0AF8">
        <w:trPr>
          <w:jc w:val="center"/>
        </w:trPr>
        <w:tc>
          <w:tcPr>
            <w:tcW w:w="1020" w:type="pct"/>
            <w:shd w:val="clear" w:color="auto" w:fill="auto"/>
          </w:tcPr>
          <w:p w:rsidR="00CB0DD7" w:rsidRPr="000A0A5F" w:rsidRDefault="00CB0DD7">
            <w:pPr>
              <w:pStyle w:val="TAL"/>
            </w:pPr>
            <w:r w:rsidRPr="000A0A5F">
              <w:t>scsAsId</w:t>
            </w:r>
          </w:p>
        </w:tc>
        <w:tc>
          <w:tcPr>
            <w:tcW w:w="679" w:type="pct"/>
          </w:tcPr>
          <w:p w:rsidR="00CB0DD7" w:rsidRPr="000A0A5F" w:rsidRDefault="00CB0DD7">
            <w:pPr>
              <w:pStyle w:val="TAL"/>
            </w:pPr>
            <w:r w:rsidRPr="000A0A5F">
              <w:rPr>
                <w:rFonts w:hint="eastAsia"/>
                <w:lang w:eastAsia="zh-CN"/>
              </w:rPr>
              <w:t>s</w:t>
            </w:r>
            <w:r w:rsidRPr="000A0A5F">
              <w:rPr>
                <w:lang w:eastAsia="zh-CN"/>
              </w:rPr>
              <w:t>tring</w:t>
            </w:r>
          </w:p>
        </w:tc>
        <w:tc>
          <w:tcPr>
            <w:tcW w:w="3302" w:type="pct"/>
            <w:shd w:val="clear" w:color="auto" w:fill="auto"/>
            <w:vAlign w:val="center"/>
          </w:tcPr>
          <w:p w:rsidR="00CB0DD7" w:rsidRPr="000A0A5F" w:rsidRDefault="00CB0DD7">
            <w:pPr>
              <w:pStyle w:val="TAL"/>
            </w:pPr>
            <w:r w:rsidRPr="000A0A5F">
              <w:t>Identifier of the SCS/AS.</w:t>
            </w:r>
          </w:p>
        </w:tc>
      </w:tr>
    </w:tbl>
    <w:p w:rsidR="00CB0DD7" w:rsidRPr="000A0A5F" w:rsidRDefault="00CB0DD7"/>
    <w:p w:rsidR="00CB0DD7" w:rsidRPr="000A0A5F" w:rsidRDefault="00CB0DD7">
      <w:pPr>
        <w:pStyle w:val="Heading5"/>
      </w:pPr>
      <w:bookmarkStart w:id="3882" w:name="_Toc11247464"/>
      <w:bookmarkStart w:id="3883" w:name="_Toc27044588"/>
      <w:bookmarkStart w:id="3884" w:name="_Toc36033630"/>
      <w:bookmarkStart w:id="3885" w:name="_Toc45131767"/>
      <w:bookmarkStart w:id="3886" w:name="_Toc49776052"/>
      <w:bookmarkStart w:id="3887" w:name="_Toc51746972"/>
      <w:bookmarkStart w:id="3888" w:name="_Toc66360527"/>
      <w:bookmarkStart w:id="3889" w:name="_Toc68105032"/>
      <w:bookmarkStart w:id="3890" w:name="_Toc74755662"/>
      <w:bookmarkStart w:id="3891" w:name="_Toc105674536"/>
      <w:bookmarkStart w:id="3892" w:name="_Toc130502584"/>
      <w:bookmarkStart w:id="3893" w:name="_Toc153625371"/>
      <w:r w:rsidRPr="000A0A5F">
        <w:t>5.6.3.2.3</w:t>
      </w:r>
      <w:r w:rsidRPr="000A0A5F">
        <w:tab/>
        <w:t>Resource methods</w:t>
      </w:r>
      <w:bookmarkEnd w:id="3882"/>
      <w:bookmarkEnd w:id="3883"/>
      <w:bookmarkEnd w:id="3884"/>
      <w:bookmarkEnd w:id="3885"/>
      <w:bookmarkEnd w:id="3886"/>
      <w:bookmarkEnd w:id="3887"/>
      <w:bookmarkEnd w:id="3888"/>
      <w:bookmarkEnd w:id="3889"/>
      <w:bookmarkEnd w:id="3890"/>
      <w:bookmarkEnd w:id="3891"/>
      <w:bookmarkEnd w:id="3892"/>
      <w:bookmarkEnd w:id="3893"/>
    </w:p>
    <w:p w:rsidR="00CB0DD7" w:rsidRPr="000A0A5F" w:rsidRDefault="00CB0DD7">
      <w:pPr>
        <w:pStyle w:val="Heading6"/>
      </w:pPr>
      <w:bookmarkStart w:id="3894" w:name="_Toc11247465"/>
      <w:bookmarkStart w:id="3895" w:name="_Toc27044589"/>
      <w:bookmarkStart w:id="3896" w:name="_Toc36033631"/>
      <w:bookmarkStart w:id="3897" w:name="_Toc45131768"/>
      <w:bookmarkStart w:id="3898" w:name="_Toc49776053"/>
      <w:bookmarkStart w:id="3899" w:name="_Toc51746973"/>
      <w:bookmarkStart w:id="3900" w:name="_Toc66360528"/>
      <w:bookmarkStart w:id="3901" w:name="_Toc68105033"/>
      <w:bookmarkStart w:id="3902" w:name="_Toc74755663"/>
      <w:bookmarkStart w:id="3903" w:name="_Toc105674537"/>
      <w:bookmarkStart w:id="3904" w:name="_Toc130502585"/>
      <w:bookmarkStart w:id="3905" w:name="_Toc153625372"/>
      <w:r w:rsidRPr="000A0A5F">
        <w:t>5.6.3.2.3.1</w:t>
      </w:r>
      <w:r w:rsidRPr="000A0A5F">
        <w:tab/>
        <w:t>GET</w:t>
      </w:r>
      <w:bookmarkEnd w:id="3894"/>
      <w:bookmarkEnd w:id="3895"/>
      <w:bookmarkEnd w:id="3896"/>
      <w:bookmarkEnd w:id="3897"/>
      <w:bookmarkEnd w:id="3898"/>
      <w:bookmarkEnd w:id="3899"/>
      <w:bookmarkEnd w:id="3900"/>
      <w:bookmarkEnd w:id="3901"/>
      <w:bookmarkEnd w:id="3902"/>
      <w:bookmarkEnd w:id="3903"/>
      <w:bookmarkEnd w:id="3904"/>
      <w:bookmarkEnd w:id="3905"/>
    </w:p>
    <w:p w:rsidR="00CB0DD7" w:rsidRPr="000A0A5F" w:rsidRDefault="00CB0DD7">
      <w:pPr>
        <w:rPr>
          <w:noProof/>
          <w:lang w:eastAsia="zh-CN"/>
        </w:rPr>
      </w:pPr>
      <w:r w:rsidRPr="000A0A5F">
        <w:rPr>
          <w:noProof/>
          <w:lang w:eastAsia="zh-CN"/>
        </w:rPr>
        <w:t xml:space="preserve">The GET method allows to read all active NIDD configurations for a given SCS/AS. The SCS/AS shall initiate the HTTP GET request message and the SCEF shall respond to the message. </w:t>
      </w:r>
    </w:p>
    <w:p w:rsidR="00CB0DD7" w:rsidRPr="000A0A5F" w:rsidRDefault="00CB0DD7">
      <w:r w:rsidRPr="000A0A5F">
        <w:t>This method shall support the URI query parameters, request and response data structures, and response codes, as specified in the table 5.6.3.2.3.1-1 and table 5.6.3.2.3.1-2.</w:t>
      </w:r>
    </w:p>
    <w:p w:rsidR="00CB0DD7" w:rsidRPr="000A0A5F" w:rsidRDefault="00CB0DD7">
      <w:pPr>
        <w:pStyle w:val="TH"/>
        <w:rPr>
          <w:rFonts w:cs="Arial"/>
        </w:rPr>
      </w:pPr>
      <w:r w:rsidRPr="000A0A5F">
        <w:t xml:space="preserve">Table 5.6.3.2.3.1-1: URI query parameters supported by the GET method on this resource </w:t>
      </w:r>
    </w:p>
    <w:tbl>
      <w:tblPr>
        <w:tblW w:w="4999"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612"/>
        <w:gridCol w:w="1709"/>
        <w:gridCol w:w="1140"/>
        <w:gridCol w:w="5314"/>
      </w:tblGrid>
      <w:tr w:rsidR="00CB0DD7" w:rsidRPr="000A0A5F" w:rsidTr="00FF0AF8">
        <w:trPr>
          <w:jc w:val="center"/>
        </w:trPr>
        <w:tc>
          <w:tcPr>
            <w:tcW w:w="825" w:type="pct"/>
            <w:shd w:val="clear" w:color="000000" w:fill="C0C0C0"/>
          </w:tcPr>
          <w:p w:rsidR="00CB0DD7" w:rsidRPr="000A0A5F" w:rsidRDefault="00CB0DD7">
            <w:pPr>
              <w:pStyle w:val="TAH"/>
            </w:pPr>
            <w:r w:rsidRPr="000A0A5F">
              <w:t>Name</w:t>
            </w:r>
          </w:p>
        </w:tc>
        <w:tc>
          <w:tcPr>
            <w:tcW w:w="874" w:type="pct"/>
            <w:shd w:val="clear" w:color="000000" w:fill="C0C0C0"/>
          </w:tcPr>
          <w:p w:rsidR="00CB0DD7" w:rsidRPr="000A0A5F" w:rsidRDefault="00CB0DD7">
            <w:pPr>
              <w:pStyle w:val="TAH"/>
            </w:pPr>
            <w:r w:rsidRPr="000A0A5F">
              <w:t>Data type</w:t>
            </w:r>
          </w:p>
        </w:tc>
        <w:tc>
          <w:tcPr>
            <w:tcW w:w="583" w:type="pct"/>
            <w:shd w:val="clear" w:color="000000" w:fill="C0C0C0"/>
          </w:tcPr>
          <w:p w:rsidR="00CB0DD7" w:rsidRPr="000A0A5F" w:rsidRDefault="00CB0DD7">
            <w:pPr>
              <w:pStyle w:val="TAH"/>
            </w:pPr>
            <w:r w:rsidRPr="000A0A5F">
              <w:t>Cardinality</w:t>
            </w:r>
          </w:p>
        </w:tc>
        <w:tc>
          <w:tcPr>
            <w:tcW w:w="2718" w:type="pct"/>
            <w:shd w:val="clear" w:color="000000" w:fill="C0C0C0"/>
            <w:vAlign w:val="center"/>
          </w:tcPr>
          <w:p w:rsidR="00CB0DD7" w:rsidRPr="000A0A5F" w:rsidRDefault="00CB0DD7">
            <w:pPr>
              <w:pStyle w:val="TAH"/>
            </w:pPr>
            <w:r w:rsidRPr="000A0A5F">
              <w:t>Remarks</w:t>
            </w:r>
          </w:p>
        </w:tc>
      </w:tr>
      <w:tr w:rsidR="00CB0DD7" w:rsidRPr="000A0A5F" w:rsidTr="00FF0AF8">
        <w:trPr>
          <w:jc w:val="center"/>
        </w:trPr>
        <w:tc>
          <w:tcPr>
            <w:tcW w:w="825" w:type="pct"/>
            <w:shd w:val="clear" w:color="auto" w:fill="auto"/>
          </w:tcPr>
          <w:p w:rsidR="00CB0DD7" w:rsidRPr="000A0A5F" w:rsidRDefault="00CB0DD7">
            <w:pPr>
              <w:pStyle w:val="TAL"/>
            </w:pPr>
            <w:r w:rsidRPr="000A0A5F">
              <w:t>none specified</w:t>
            </w:r>
          </w:p>
        </w:tc>
        <w:tc>
          <w:tcPr>
            <w:tcW w:w="874" w:type="pct"/>
          </w:tcPr>
          <w:p w:rsidR="00CB0DD7" w:rsidRPr="000A0A5F" w:rsidRDefault="00CB0DD7">
            <w:pPr>
              <w:pStyle w:val="TAL"/>
            </w:pPr>
          </w:p>
        </w:tc>
        <w:tc>
          <w:tcPr>
            <w:tcW w:w="583" w:type="pct"/>
          </w:tcPr>
          <w:p w:rsidR="00CB0DD7" w:rsidRPr="000A0A5F" w:rsidRDefault="00CB0DD7">
            <w:pPr>
              <w:pStyle w:val="TAL"/>
            </w:pPr>
          </w:p>
        </w:tc>
        <w:tc>
          <w:tcPr>
            <w:tcW w:w="2718" w:type="pct"/>
            <w:shd w:val="clear" w:color="auto" w:fill="auto"/>
            <w:vAlign w:val="center"/>
          </w:tcPr>
          <w:p w:rsidR="00CB0DD7" w:rsidRPr="000A0A5F" w:rsidRDefault="00CB0DD7">
            <w:pPr>
              <w:pStyle w:val="TAL"/>
            </w:pPr>
          </w:p>
        </w:tc>
      </w:tr>
    </w:tbl>
    <w:p w:rsidR="00CB0DD7" w:rsidRPr="000A0A5F" w:rsidRDefault="00CB0DD7"/>
    <w:p w:rsidR="00CB0DD7" w:rsidRPr="000A0A5F" w:rsidRDefault="00CB0DD7">
      <w:pPr>
        <w:pStyle w:val="TH"/>
      </w:pPr>
      <w:r w:rsidRPr="000A0A5F">
        <w:t>Table 5.6.3.2.3.1-2: Data structures supported by the GET request/response by the resource</w:t>
      </w:r>
    </w:p>
    <w:tbl>
      <w:tblPr>
        <w:tblW w:w="4999" w:type="pct"/>
        <w:tblInd w:w="1"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top w:w="45" w:type="dxa"/>
          <w:left w:w="45" w:type="dxa"/>
          <w:bottom w:w="45" w:type="dxa"/>
          <w:right w:w="45" w:type="dxa"/>
        </w:tblCellMar>
        <w:tblLook w:val="0000" w:firstRow="0" w:lastRow="0" w:firstColumn="0" w:lastColumn="0" w:noHBand="0" w:noVBand="0"/>
      </w:tblPr>
      <w:tblGrid>
        <w:gridCol w:w="1035"/>
        <w:gridCol w:w="2127"/>
        <w:gridCol w:w="1053"/>
        <w:gridCol w:w="973"/>
        <w:gridCol w:w="4541"/>
      </w:tblGrid>
      <w:tr w:rsidR="00CB0DD7" w:rsidRPr="000A0A5F" w:rsidTr="0086706F">
        <w:tc>
          <w:tcPr>
            <w:tcW w:w="532" w:type="pct"/>
            <w:vMerge w:val="restart"/>
            <w:shd w:val="clear" w:color="auto" w:fill="C0C0C0"/>
            <w:vAlign w:val="center"/>
          </w:tcPr>
          <w:p w:rsidR="00CB0DD7" w:rsidRPr="000A0A5F" w:rsidRDefault="00CB0DD7">
            <w:pPr>
              <w:pStyle w:val="TAH"/>
            </w:pPr>
            <w:r w:rsidRPr="000A0A5F">
              <w:t>Request body</w:t>
            </w:r>
          </w:p>
        </w:tc>
        <w:tc>
          <w:tcPr>
            <w:tcW w:w="1093" w:type="pct"/>
            <w:shd w:val="clear" w:color="auto" w:fill="C0C0C0"/>
          </w:tcPr>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r w:rsidRPr="000A0A5F">
              <w:t>Cardinality</w:t>
            </w:r>
          </w:p>
        </w:tc>
        <w:tc>
          <w:tcPr>
            <w:tcW w:w="2834" w:type="pct"/>
            <w:gridSpan w:val="2"/>
            <w:shd w:val="clear" w:color="auto" w:fill="C0C0C0"/>
          </w:tcPr>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none</w:t>
            </w:r>
          </w:p>
        </w:tc>
        <w:tc>
          <w:tcPr>
            <w:tcW w:w="541" w:type="pct"/>
          </w:tcPr>
          <w:p w:rsidR="00CB0DD7" w:rsidRPr="000A0A5F" w:rsidRDefault="00CB0DD7">
            <w:pPr>
              <w:pStyle w:val="TAL"/>
            </w:pPr>
          </w:p>
        </w:tc>
        <w:tc>
          <w:tcPr>
            <w:tcW w:w="2834" w:type="pct"/>
            <w:gridSpan w:val="2"/>
          </w:tcPr>
          <w:p w:rsidR="00CB0DD7" w:rsidRPr="000A0A5F" w:rsidRDefault="00CB0DD7">
            <w:pPr>
              <w:pStyle w:val="TAL"/>
            </w:pPr>
          </w:p>
        </w:tc>
      </w:tr>
      <w:tr w:rsidR="00CB0DD7" w:rsidRPr="000A0A5F" w:rsidTr="0086706F">
        <w:tc>
          <w:tcPr>
            <w:tcW w:w="532" w:type="pct"/>
            <w:vMerge w:val="restart"/>
            <w:shd w:val="clear" w:color="auto" w:fill="C0C0C0"/>
            <w:vAlign w:val="center"/>
          </w:tcPr>
          <w:p w:rsidR="00CB0DD7" w:rsidRPr="000A0A5F" w:rsidRDefault="00CB0DD7">
            <w:pPr>
              <w:pStyle w:val="TAH"/>
            </w:pPr>
            <w:r w:rsidRPr="000A0A5F">
              <w:t>Response body</w:t>
            </w:r>
          </w:p>
        </w:tc>
        <w:tc>
          <w:tcPr>
            <w:tcW w:w="1093" w:type="pct"/>
            <w:shd w:val="clear" w:color="auto" w:fill="C0C0C0"/>
          </w:tcPr>
          <w:p w:rsidR="00CB0DD7" w:rsidRPr="000A0A5F" w:rsidRDefault="00CB0DD7">
            <w:pPr>
              <w:pStyle w:val="TAH"/>
            </w:pPr>
          </w:p>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p>
          <w:p w:rsidR="00CB0DD7" w:rsidRPr="000A0A5F" w:rsidRDefault="00CB0DD7">
            <w:pPr>
              <w:pStyle w:val="TAH"/>
            </w:pPr>
            <w:r w:rsidRPr="000A0A5F">
              <w:t>Cardinality</w:t>
            </w:r>
          </w:p>
        </w:tc>
        <w:tc>
          <w:tcPr>
            <w:tcW w:w="500" w:type="pct"/>
            <w:shd w:val="clear" w:color="auto" w:fill="C0C0C0"/>
          </w:tcPr>
          <w:p w:rsidR="00CB0DD7" w:rsidRPr="000A0A5F" w:rsidRDefault="00CB0DD7">
            <w:pPr>
              <w:pStyle w:val="TAH"/>
            </w:pPr>
            <w:r w:rsidRPr="000A0A5F">
              <w:t>Response</w:t>
            </w:r>
          </w:p>
          <w:p w:rsidR="00CB0DD7" w:rsidRPr="000A0A5F" w:rsidRDefault="00CB0DD7">
            <w:pPr>
              <w:pStyle w:val="TAH"/>
            </w:pPr>
            <w:r w:rsidRPr="000A0A5F">
              <w:t>codes</w:t>
            </w:r>
          </w:p>
        </w:tc>
        <w:tc>
          <w:tcPr>
            <w:tcW w:w="2334" w:type="pct"/>
            <w:shd w:val="clear" w:color="auto" w:fill="C0C0C0"/>
          </w:tcPr>
          <w:p w:rsidR="00CB0DD7" w:rsidRPr="000A0A5F" w:rsidRDefault="00CB0DD7">
            <w:pPr>
              <w:pStyle w:val="TAH"/>
            </w:pPr>
          </w:p>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array(NiddConfiguration)</w:t>
            </w:r>
          </w:p>
        </w:tc>
        <w:tc>
          <w:tcPr>
            <w:tcW w:w="541" w:type="pct"/>
          </w:tcPr>
          <w:p w:rsidR="00CB0DD7" w:rsidRPr="000A0A5F" w:rsidRDefault="00CB0DD7">
            <w:pPr>
              <w:pStyle w:val="TAL"/>
            </w:pPr>
            <w:r w:rsidRPr="000A0A5F">
              <w:t>0..N</w:t>
            </w:r>
          </w:p>
        </w:tc>
        <w:tc>
          <w:tcPr>
            <w:tcW w:w="500" w:type="pct"/>
          </w:tcPr>
          <w:p w:rsidR="00CB0DD7" w:rsidRPr="000A0A5F" w:rsidRDefault="00CB0DD7">
            <w:pPr>
              <w:pStyle w:val="TAL"/>
            </w:pPr>
            <w:r w:rsidRPr="000A0A5F">
              <w:t>200 OK</w:t>
            </w:r>
          </w:p>
        </w:tc>
        <w:tc>
          <w:tcPr>
            <w:tcW w:w="2334" w:type="pct"/>
          </w:tcPr>
          <w:p w:rsidR="00CB0DD7" w:rsidRPr="000A0A5F" w:rsidRDefault="00CB0DD7">
            <w:pPr>
              <w:pStyle w:val="TAL"/>
            </w:pPr>
            <w:r w:rsidRPr="000A0A5F">
              <w:t>The configuration information for the SCS/AS in the request URI are returned.</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None</w:t>
            </w:r>
          </w:p>
        </w:tc>
        <w:tc>
          <w:tcPr>
            <w:tcW w:w="541" w:type="pct"/>
          </w:tcPr>
          <w:p w:rsidR="00CB0DD7" w:rsidRPr="000A0A5F" w:rsidRDefault="00CB0DD7">
            <w:pPr>
              <w:pStyle w:val="TAL"/>
            </w:pPr>
          </w:p>
        </w:tc>
        <w:tc>
          <w:tcPr>
            <w:tcW w:w="500" w:type="pct"/>
          </w:tcPr>
          <w:p w:rsidR="00CB0DD7" w:rsidRPr="000A0A5F" w:rsidRDefault="00CB0DD7">
            <w:pPr>
              <w:pStyle w:val="TAL"/>
            </w:pPr>
            <w:r w:rsidRPr="000A0A5F">
              <w:t>307 Temporary Redirect</w:t>
            </w:r>
          </w:p>
        </w:tc>
        <w:tc>
          <w:tcPr>
            <w:tcW w:w="2334" w:type="pct"/>
          </w:tcPr>
          <w:p w:rsidR="00CB0DD7" w:rsidRPr="000A0A5F" w:rsidRDefault="00CB0DD7">
            <w:pPr>
              <w:pStyle w:val="TAL"/>
            </w:pPr>
            <w:r w:rsidRPr="000A0A5F">
              <w:t>Temporary redirection, during configuration retrieval. The response shall include a Location header field containing an alternative URI of the resource located in an alternative SCEF.</w:t>
            </w:r>
          </w:p>
          <w:p w:rsidR="00CB0DD7" w:rsidRPr="000A0A5F" w:rsidRDefault="00CB0DD7">
            <w:pPr>
              <w:pStyle w:val="TAL"/>
            </w:pPr>
            <w:r w:rsidRPr="000A0A5F">
              <w:t>Redirection handling is described in clause 5.2.10.</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None</w:t>
            </w:r>
          </w:p>
        </w:tc>
        <w:tc>
          <w:tcPr>
            <w:tcW w:w="541" w:type="pct"/>
          </w:tcPr>
          <w:p w:rsidR="00CB0DD7" w:rsidRPr="000A0A5F" w:rsidRDefault="00CB0DD7">
            <w:pPr>
              <w:pStyle w:val="TAL"/>
            </w:pPr>
          </w:p>
        </w:tc>
        <w:tc>
          <w:tcPr>
            <w:tcW w:w="500" w:type="pct"/>
          </w:tcPr>
          <w:p w:rsidR="00CB0DD7" w:rsidRPr="000A0A5F" w:rsidRDefault="00CB0DD7">
            <w:pPr>
              <w:pStyle w:val="TAL"/>
            </w:pPr>
            <w:r w:rsidRPr="000A0A5F">
              <w:t>308 Permanent Redirect</w:t>
            </w:r>
          </w:p>
        </w:tc>
        <w:tc>
          <w:tcPr>
            <w:tcW w:w="2334" w:type="pct"/>
          </w:tcPr>
          <w:p w:rsidR="00CB0DD7" w:rsidRPr="000A0A5F" w:rsidRDefault="00CB0DD7">
            <w:pPr>
              <w:pStyle w:val="TAL"/>
            </w:pPr>
            <w:r w:rsidRPr="000A0A5F">
              <w:t>Permanent redirection, during configuration retrieval. The response shall include a Location header field containing an alternative URI of the resource located in an alternative SCEF.</w:t>
            </w:r>
          </w:p>
          <w:p w:rsidR="00CB0DD7" w:rsidRPr="000A0A5F" w:rsidRDefault="00CB0DD7">
            <w:pPr>
              <w:pStyle w:val="TAL"/>
            </w:pPr>
            <w:r w:rsidRPr="000A0A5F">
              <w:t>Redirection handling is described in clause 5.2.10.</w:t>
            </w:r>
          </w:p>
        </w:tc>
      </w:tr>
      <w:tr w:rsidR="00CB0DD7" w:rsidRPr="000A0A5F" w:rsidTr="00FF0AF8">
        <w:tc>
          <w:tcPr>
            <w:tcW w:w="5000" w:type="pct"/>
            <w:gridSpan w:val="5"/>
            <w:shd w:val="clear" w:color="auto" w:fill="auto"/>
            <w:vAlign w:val="center"/>
          </w:tcPr>
          <w:p w:rsidR="00CB0DD7" w:rsidRPr="000A0A5F" w:rsidRDefault="00CB0DD7">
            <w:pPr>
              <w:pStyle w:val="TAN"/>
            </w:pPr>
            <w:r w:rsidRPr="000A0A5F">
              <w:t>NOTE:</w:t>
            </w:r>
            <w:r w:rsidRPr="000A0A5F">
              <w:tab/>
              <w:t>The mandatory HTTP error status codes for the GET method listed in table 5.2.6-1 also apply.</w:t>
            </w:r>
          </w:p>
        </w:tc>
      </w:tr>
    </w:tbl>
    <w:p w:rsidR="00CB0DD7" w:rsidRPr="000A0A5F" w:rsidRDefault="00CB0DD7"/>
    <w:p w:rsidR="00CB0DD7" w:rsidRPr="000A0A5F" w:rsidRDefault="00771F41">
      <w:pPr>
        <w:pStyle w:val="TH"/>
      </w:pPr>
      <w:r w:rsidRPr="000A0A5F">
        <w:t>Table </w:t>
      </w:r>
      <w:r w:rsidR="00CB0DD7" w:rsidRPr="000A0A5F">
        <w:t>5.6.3.2.3.1-3: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771F41">
      <w:pPr>
        <w:pStyle w:val="TH"/>
      </w:pPr>
      <w:r w:rsidRPr="000A0A5F">
        <w:t>Table </w:t>
      </w:r>
      <w:r w:rsidR="00CB0DD7" w:rsidRPr="000A0A5F">
        <w:t>5.6.3.2.3.1-4: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CB0DD7">
      <w:pPr>
        <w:pStyle w:val="Heading6"/>
      </w:pPr>
      <w:bookmarkStart w:id="3906" w:name="_Toc11247466"/>
      <w:bookmarkStart w:id="3907" w:name="_Toc27044590"/>
      <w:bookmarkStart w:id="3908" w:name="_Toc36033632"/>
      <w:bookmarkStart w:id="3909" w:name="_Toc45131769"/>
      <w:bookmarkStart w:id="3910" w:name="_Toc49776054"/>
      <w:bookmarkStart w:id="3911" w:name="_Toc51746974"/>
      <w:bookmarkStart w:id="3912" w:name="_Toc66360529"/>
      <w:bookmarkStart w:id="3913" w:name="_Toc68105034"/>
      <w:bookmarkStart w:id="3914" w:name="_Toc74755664"/>
      <w:bookmarkStart w:id="3915" w:name="_Toc105674538"/>
      <w:bookmarkStart w:id="3916" w:name="_Toc130502586"/>
      <w:bookmarkStart w:id="3917" w:name="_Toc153625373"/>
      <w:r w:rsidRPr="000A0A5F">
        <w:t>5.6.3.2.3.2</w:t>
      </w:r>
      <w:r w:rsidRPr="000A0A5F">
        <w:tab/>
        <w:t>PUT</w:t>
      </w:r>
      <w:bookmarkEnd w:id="3906"/>
      <w:bookmarkEnd w:id="3907"/>
      <w:bookmarkEnd w:id="3908"/>
      <w:bookmarkEnd w:id="3909"/>
      <w:bookmarkEnd w:id="3910"/>
      <w:bookmarkEnd w:id="3911"/>
      <w:bookmarkEnd w:id="3912"/>
      <w:bookmarkEnd w:id="3913"/>
      <w:bookmarkEnd w:id="3914"/>
      <w:bookmarkEnd w:id="3915"/>
      <w:bookmarkEnd w:id="3916"/>
      <w:bookmarkEnd w:id="3917"/>
    </w:p>
    <w:p w:rsidR="00CB0DD7" w:rsidRPr="000A0A5F" w:rsidRDefault="00CB0DD7">
      <w:pPr>
        <w:rPr>
          <w:rFonts w:hint="eastAsia"/>
          <w:lang w:eastAsia="zh-CN"/>
        </w:rPr>
      </w:pPr>
      <w:r w:rsidRPr="000A0A5F">
        <w:rPr>
          <w:rFonts w:hint="eastAsia"/>
          <w:lang w:eastAsia="zh-CN"/>
        </w:rPr>
        <w:t xml:space="preserve">This </w:t>
      </w:r>
      <w:r w:rsidRPr="000A0A5F">
        <w:rPr>
          <w:lang w:eastAsia="zh-CN"/>
        </w:rPr>
        <w:t>HTTP method is not supported for the resource.</w:t>
      </w:r>
    </w:p>
    <w:p w:rsidR="00CB0DD7" w:rsidRPr="000A0A5F" w:rsidRDefault="00CB0DD7">
      <w:pPr>
        <w:pStyle w:val="Heading6"/>
      </w:pPr>
      <w:bookmarkStart w:id="3918" w:name="_Toc11247467"/>
      <w:bookmarkStart w:id="3919" w:name="_Toc27044591"/>
      <w:bookmarkStart w:id="3920" w:name="_Toc36033633"/>
      <w:bookmarkStart w:id="3921" w:name="_Toc45131770"/>
      <w:bookmarkStart w:id="3922" w:name="_Toc49776055"/>
      <w:bookmarkStart w:id="3923" w:name="_Toc51746975"/>
      <w:bookmarkStart w:id="3924" w:name="_Toc66360530"/>
      <w:bookmarkStart w:id="3925" w:name="_Toc68105035"/>
      <w:bookmarkStart w:id="3926" w:name="_Toc74755665"/>
      <w:bookmarkStart w:id="3927" w:name="_Toc105674539"/>
      <w:bookmarkStart w:id="3928" w:name="_Toc130502587"/>
      <w:bookmarkStart w:id="3929" w:name="_Toc153625374"/>
      <w:r w:rsidRPr="000A0A5F">
        <w:t>5.6.3.2.3.3</w:t>
      </w:r>
      <w:r w:rsidRPr="000A0A5F">
        <w:tab/>
        <w:t>PATCH</w:t>
      </w:r>
      <w:bookmarkEnd w:id="3918"/>
      <w:bookmarkEnd w:id="3919"/>
      <w:bookmarkEnd w:id="3920"/>
      <w:bookmarkEnd w:id="3921"/>
      <w:bookmarkEnd w:id="3922"/>
      <w:bookmarkEnd w:id="3923"/>
      <w:bookmarkEnd w:id="3924"/>
      <w:bookmarkEnd w:id="3925"/>
      <w:bookmarkEnd w:id="3926"/>
      <w:bookmarkEnd w:id="3927"/>
      <w:bookmarkEnd w:id="3928"/>
      <w:bookmarkEnd w:id="3929"/>
    </w:p>
    <w:p w:rsidR="00CB0DD7" w:rsidRPr="000A0A5F" w:rsidRDefault="00CB0DD7">
      <w:pPr>
        <w:rPr>
          <w:rFonts w:hint="eastAsia"/>
          <w:lang w:eastAsia="zh-CN"/>
        </w:rPr>
      </w:pPr>
      <w:r w:rsidRPr="000A0A5F">
        <w:rPr>
          <w:rFonts w:hint="eastAsia"/>
          <w:lang w:eastAsia="zh-CN"/>
        </w:rPr>
        <w:t xml:space="preserve">This </w:t>
      </w:r>
      <w:r w:rsidRPr="000A0A5F">
        <w:rPr>
          <w:lang w:eastAsia="zh-CN"/>
        </w:rPr>
        <w:t>HTTP method is not supported for the resource.</w:t>
      </w:r>
    </w:p>
    <w:p w:rsidR="00CB0DD7" w:rsidRPr="000A0A5F" w:rsidRDefault="00CB0DD7">
      <w:pPr>
        <w:pStyle w:val="Heading6"/>
        <w:rPr>
          <w:rFonts w:hint="eastAsia"/>
          <w:lang w:eastAsia="zh-CN"/>
        </w:rPr>
      </w:pPr>
      <w:bookmarkStart w:id="3930" w:name="_Toc11247468"/>
      <w:bookmarkStart w:id="3931" w:name="_Toc27044592"/>
      <w:bookmarkStart w:id="3932" w:name="_Toc36033634"/>
      <w:bookmarkStart w:id="3933" w:name="_Toc45131771"/>
      <w:bookmarkStart w:id="3934" w:name="_Toc49776056"/>
      <w:bookmarkStart w:id="3935" w:name="_Toc51746976"/>
      <w:bookmarkStart w:id="3936" w:name="_Toc66360531"/>
      <w:bookmarkStart w:id="3937" w:name="_Toc68105036"/>
      <w:bookmarkStart w:id="3938" w:name="_Toc74755666"/>
      <w:bookmarkStart w:id="3939" w:name="_Toc105674540"/>
      <w:bookmarkStart w:id="3940" w:name="_Toc130502588"/>
      <w:bookmarkStart w:id="3941" w:name="_Toc153625375"/>
      <w:r w:rsidRPr="000A0A5F">
        <w:t>5.6.3.2.3.4</w:t>
      </w:r>
      <w:r w:rsidRPr="000A0A5F">
        <w:tab/>
        <w:t>POST</w:t>
      </w:r>
      <w:bookmarkEnd w:id="3930"/>
      <w:bookmarkEnd w:id="3931"/>
      <w:bookmarkEnd w:id="3932"/>
      <w:bookmarkEnd w:id="3933"/>
      <w:bookmarkEnd w:id="3934"/>
      <w:bookmarkEnd w:id="3935"/>
      <w:bookmarkEnd w:id="3936"/>
      <w:bookmarkEnd w:id="3937"/>
      <w:bookmarkEnd w:id="3938"/>
      <w:bookmarkEnd w:id="3939"/>
      <w:bookmarkEnd w:id="3940"/>
      <w:bookmarkEnd w:id="3941"/>
    </w:p>
    <w:p w:rsidR="00CB0DD7" w:rsidRPr="000A0A5F" w:rsidRDefault="00CB0DD7">
      <w:r w:rsidRPr="000A0A5F">
        <w:t xml:space="preserve">To create a </w:t>
      </w:r>
      <w:r w:rsidRPr="000A0A5F">
        <w:rPr>
          <w:rFonts w:hint="eastAsia"/>
          <w:lang w:eastAsia="zh-CN"/>
        </w:rPr>
        <w:t>NIDD configuration</w:t>
      </w:r>
      <w:r w:rsidRPr="000A0A5F">
        <w:t xml:space="preserve">, the </w:t>
      </w:r>
      <w:r w:rsidRPr="000A0A5F">
        <w:rPr>
          <w:rFonts w:hint="eastAsia"/>
          <w:lang w:eastAsia="zh-CN"/>
        </w:rPr>
        <w:t xml:space="preserve">SCS/AS </w:t>
      </w:r>
      <w:r w:rsidRPr="000A0A5F">
        <w:t>shall use the HTTP POST method on the "</w:t>
      </w:r>
      <w:r w:rsidRPr="000A0A5F">
        <w:rPr>
          <w:rFonts w:hint="eastAsia"/>
          <w:lang w:eastAsia="zh-CN"/>
        </w:rPr>
        <w:t>configurations</w:t>
      </w:r>
      <w:r w:rsidRPr="000A0A5F">
        <w:t>" collection resource as follows:</w:t>
      </w:r>
    </w:p>
    <w:p w:rsidR="00CB0DD7" w:rsidRPr="000A0A5F" w:rsidRDefault="00CB0DD7">
      <w:pPr>
        <w:ind w:firstLine="284"/>
        <w:rPr>
          <w:rFonts w:hint="eastAsia"/>
          <w:lang w:eastAsia="zh-CN"/>
        </w:rPr>
      </w:pPr>
      <w:r w:rsidRPr="000A0A5F">
        <w:t>-</w:t>
      </w:r>
      <w:r w:rsidRPr="000A0A5F">
        <w:tab/>
        <w:t>the body of the message is encoded in JSON format</w:t>
      </w:r>
      <w:r w:rsidRPr="000A0A5F">
        <w:rPr>
          <w:rFonts w:hint="eastAsia"/>
          <w:lang w:eastAsia="zh-CN"/>
        </w:rPr>
        <w:t xml:space="preserve"> with the data structure defined in </w:t>
      </w:r>
      <w:r w:rsidR="00771F41" w:rsidRPr="000A0A5F">
        <w:rPr>
          <w:rFonts w:hint="eastAsia"/>
          <w:lang w:eastAsia="zh-CN"/>
        </w:rPr>
        <w:t>table</w:t>
      </w:r>
      <w:r w:rsidR="00771F41" w:rsidRPr="000A0A5F">
        <w:rPr>
          <w:lang w:val="en-US" w:eastAsia="zh-CN"/>
        </w:rPr>
        <w:t> </w:t>
      </w:r>
      <w:r w:rsidRPr="000A0A5F">
        <w:t>5.</w:t>
      </w:r>
      <w:r w:rsidRPr="000A0A5F">
        <w:rPr>
          <w:rFonts w:hint="eastAsia"/>
          <w:lang w:eastAsia="zh-CN"/>
        </w:rPr>
        <w:t>6</w:t>
      </w:r>
      <w:r w:rsidRPr="000A0A5F">
        <w:t>.2.</w:t>
      </w:r>
      <w:r w:rsidRPr="000A0A5F">
        <w:rPr>
          <w:rFonts w:hint="eastAsia"/>
          <w:lang w:eastAsia="zh-CN"/>
        </w:rPr>
        <w:t>1</w:t>
      </w:r>
      <w:r w:rsidRPr="000A0A5F">
        <w:t>.</w:t>
      </w:r>
      <w:r w:rsidRPr="000A0A5F">
        <w:rPr>
          <w:rFonts w:hint="eastAsia"/>
          <w:lang w:eastAsia="zh-CN"/>
        </w:rPr>
        <w:t>2-1.</w:t>
      </w:r>
    </w:p>
    <w:p w:rsidR="00CB0DD7" w:rsidRPr="000A0A5F" w:rsidRDefault="00CB0DD7">
      <w:pPr>
        <w:rPr>
          <w:rFonts w:hint="eastAsia"/>
          <w:lang w:eastAsia="zh-CN"/>
        </w:rPr>
      </w:pPr>
      <w:r w:rsidRPr="000A0A5F">
        <w:t>The possible response messages from the</w:t>
      </w:r>
      <w:r w:rsidRPr="000A0A5F">
        <w:rPr>
          <w:rFonts w:hint="eastAsia"/>
          <w:lang w:eastAsia="zh-CN"/>
        </w:rPr>
        <w:t xml:space="preserve"> SCEF</w:t>
      </w:r>
      <w:r w:rsidRPr="000A0A5F">
        <w:t xml:space="preserve">, depending on whether the POST request is successful or unsuccessful, are shown in </w:t>
      </w:r>
      <w:r w:rsidR="00771F41" w:rsidRPr="000A0A5F">
        <w:t>table </w:t>
      </w:r>
      <w:r w:rsidRPr="000A0A5F">
        <w:t>5</w:t>
      </w:r>
      <w:r w:rsidRPr="000A0A5F">
        <w:rPr>
          <w:rFonts w:hint="eastAsia"/>
          <w:lang w:eastAsia="zh-CN"/>
        </w:rPr>
        <w:t>.6</w:t>
      </w:r>
      <w:r w:rsidRPr="000A0A5F">
        <w:t>.</w:t>
      </w:r>
      <w:r w:rsidRPr="000A0A5F">
        <w:rPr>
          <w:rFonts w:hint="eastAsia"/>
          <w:lang w:eastAsia="zh-CN"/>
        </w:rPr>
        <w:t>3</w:t>
      </w:r>
      <w:r w:rsidRPr="000A0A5F">
        <w:t>.2.3.</w:t>
      </w:r>
      <w:r w:rsidRPr="000A0A5F">
        <w:rPr>
          <w:rFonts w:hint="eastAsia"/>
          <w:lang w:eastAsia="zh-CN"/>
        </w:rPr>
        <w:t>4-1.</w:t>
      </w:r>
    </w:p>
    <w:p w:rsidR="00CB0DD7" w:rsidRPr="000A0A5F" w:rsidRDefault="00CB0DD7">
      <w:pPr>
        <w:pStyle w:val="TH"/>
        <w:rPr>
          <w:rFonts w:hint="eastAsia"/>
          <w:lang w:eastAsia="zh-CN"/>
        </w:rPr>
      </w:pPr>
      <w:r w:rsidRPr="000A0A5F">
        <w:t>Table 5.</w:t>
      </w:r>
      <w:r w:rsidRPr="000A0A5F">
        <w:rPr>
          <w:rFonts w:hint="eastAsia"/>
          <w:lang w:eastAsia="zh-CN"/>
        </w:rPr>
        <w:t>6</w:t>
      </w:r>
      <w:r w:rsidRPr="000A0A5F">
        <w:t>.</w:t>
      </w:r>
      <w:r w:rsidRPr="000A0A5F">
        <w:rPr>
          <w:rFonts w:hint="eastAsia"/>
          <w:lang w:eastAsia="zh-CN"/>
        </w:rPr>
        <w:t>3</w:t>
      </w:r>
      <w:r w:rsidRPr="000A0A5F">
        <w:t>.2.3.</w:t>
      </w:r>
      <w:r w:rsidRPr="000A0A5F">
        <w:rPr>
          <w:rFonts w:hint="eastAsia"/>
          <w:lang w:eastAsia="zh-CN"/>
        </w:rPr>
        <w:t>4-1</w:t>
      </w:r>
      <w:r w:rsidRPr="000A0A5F">
        <w:t>: Data structures supported by the POST request/response by the resource</w:t>
      </w:r>
    </w:p>
    <w:tbl>
      <w:tblPr>
        <w:tblW w:w="4999" w:type="pct"/>
        <w:tblInd w:w="1" w:type="dxa"/>
        <w:tblBorders>
          <w:top w:val="single" w:sz="6" w:space="0" w:color="000000"/>
          <w:left w:val="single" w:sz="6" w:space="0" w:color="000000"/>
          <w:bottom w:val="single" w:sz="6" w:space="0" w:color="000000"/>
          <w:right w:val="single" w:sz="6" w:space="0" w:color="000000"/>
          <w:insideH w:val="single" w:sz="6" w:space="0" w:color="auto"/>
          <w:insideV w:val="single" w:sz="6" w:space="0" w:color="000000"/>
        </w:tblBorders>
        <w:tblLayout w:type="fixed"/>
        <w:tblCellMar>
          <w:top w:w="45" w:type="dxa"/>
          <w:left w:w="45" w:type="dxa"/>
          <w:bottom w:w="45" w:type="dxa"/>
          <w:right w:w="45" w:type="dxa"/>
        </w:tblCellMar>
        <w:tblLook w:val="0000" w:firstRow="0" w:lastRow="0" w:firstColumn="0" w:lastColumn="0" w:noHBand="0" w:noVBand="0"/>
      </w:tblPr>
      <w:tblGrid>
        <w:gridCol w:w="1033"/>
        <w:gridCol w:w="2127"/>
        <w:gridCol w:w="1053"/>
        <w:gridCol w:w="973"/>
        <w:gridCol w:w="4543"/>
        <w:tblGridChange w:id="3942">
          <w:tblGrid>
            <w:gridCol w:w="1033"/>
            <w:gridCol w:w="2127"/>
            <w:gridCol w:w="1053"/>
            <w:gridCol w:w="973"/>
            <w:gridCol w:w="4543"/>
          </w:tblGrid>
        </w:tblGridChange>
      </w:tblGrid>
      <w:tr w:rsidR="00CB0DD7" w:rsidRPr="000A0A5F" w:rsidTr="0086706F">
        <w:tc>
          <w:tcPr>
            <w:tcW w:w="531" w:type="pct"/>
            <w:vMerge w:val="restart"/>
            <w:shd w:val="clear" w:color="auto" w:fill="C0C0C0"/>
            <w:vAlign w:val="center"/>
          </w:tcPr>
          <w:p w:rsidR="00CB0DD7" w:rsidRPr="000A0A5F" w:rsidRDefault="00CB0DD7">
            <w:pPr>
              <w:pStyle w:val="TAH"/>
            </w:pPr>
            <w:r w:rsidRPr="000A0A5F">
              <w:t>Request body</w:t>
            </w:r>
          </w:p>
        </w:tc>
        <w:tc>
          <w:tcPr>
            <w:tcW w:w="1093" w:type="pct"/>
            <w:shd w:val="clear" w:color="auto" w:fill="C0C0C0"/>
          </w:tcPr>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r w:rsidRPr="000A0A5F">
              <w:t>Cardinality</w:t>
            </w:r>
          </w:p>
        </w:tc>
        <w:tc>
          <w:tcPr>
            <w:tcW w:w="2835" w:type="pct"/>
            <w:gridSpan w:val="2"/>
            <w:shd w:val="clear" w:color="auto" w:fill="C0C0C0"/>
          </w:tcPr>
          <w:p w:rsidR="00CB0DD7" w:rsidRPr="000A0A5F" w:rsidRDefault="00CB0DD7">
            <w:pPr>
              <w:pStyle w:val="TAH"/>
            </w:pPr>
            <w:r w:rsidRPr="000A0A5F">
              <w:t>Remarks</w:t>
            </w:r>
          </w:p>
        </w:tc>
      </w:tr>
      <w:tr w:rsidR="00CB0DD7" w:rsidRPr="000A0A5F" w:rsidTr="00FF0AF8">
        <w:tc>
          <w:tcPr>
            <w:tcW w:w="531"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t>Nidd</w:t>
            </w:r>
            <w:r w:rsidRPr="000A0A5F">
              <w:rPr>
                <w:rFonts w:hint="eastAsia"/>
                <w:lang w:eastAsia="zh-CN"/>
              </w:rPr>
              <w:t>Configuration</w:t>
            </w:r>
          </w:p>
        </w:tc>
        <w:tc>
          <w:tcPr>
            <w:tcW w:w="541" w:type="pct"/>
          </w:tcPr>
          <w:p w:rsidR="00CB0DD7" w:rsidRPr="000A0A5F" w:rsidRDefault="00CB0DD7">
            <w:pPr>
              <w:pStyle w:val="TAL"/>
            </w:pPr>
            <w:r w:rsidRPr="000A0A5F">
              <w:t>1</w:t>
            </w:r>
          </w:p>
        </w:tc>
        <w:tc>
          <w:tcPr>
            <w:tcW w:w="2835" w:type="pct"/>
            <w:gridSpan w:val="2"/>
          </w:tcPr>
          <w:p w:rsidR="00CB0DD7" w:rsidRPr="000A0A5F" w:rsidRDefault="00CB0DD7">
            <w:pPr>
              <w:pStyle w:val="TAL"/>
            </w:pPr>
            <w:r w:rsidRPr="000A0A5F">
              <w:t xml:space="preserve">Parameters to </w:t>
            </w:r>
            <w:r w:rsidRPr="000A0A5F">
              <w:rPr>
                <w:rFonts w:hint="eastAsia"/>
                <w:lang w:eastAsia="zh-CN"/>
              </w:rPr>
              <w:t xml:space="preserve">create and authorize a NIDD configuration </w:t>
            </w:r>
            <w:r w:rsidRPr="000A0A5F">
              <w:t>with the SCEF.</w:t>
            </w:r>
          </w:p>
        </w:tc>
      </w:tr>
      <w:tr w:rsidR="00CB0DD7" w:rsidRPr="000A0A5F" w:rsidTr="0086706F">
        <w:tc>
          <w:tcPr>
            <w:tcW w:w="531" w:type="pct"/>
            <w:vMerge w:val="restart"/>
            <w:shd w:val="clear" w:color="auto" w:fill="C0C0C0"/>
            <w:vAlign w:val="center"/>
          </w:tcPr>
          <w:p w:rsidR="00CB0DD7" w:rsidRPr="000A0A5F" w:rsidRDefault="00CB0DD7">
            <w:pPr>
              <w:pStyle w:val="TAH"/>
            </w:pPr>
            <w:r w:rsidRPr="000A0A5F">
              <w:t>Response body</w:t>
            </w:r>
          </w:p>
        </w:tc>
        <w:tc>
          <w:tcPr>
            <w:tcW w:w="1093" w:type="pct"/>
            <w:shd w:val="clear" w:color="auto" w:fill="C0C0C0"/>
          </w:tcPr>
          <w:p w:rsidR="00CB0DD7" w:rsidRPr="000A0A5F" w:rsidRDefault="00CB0DD7">
            <w:pPr>
              <w:pStyle w:val="TAH"/>
            </w:pPr>
          </w:p>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p>
          <w:p w:rsidR="00CB0DD7" w:rsidRPr="000A0A5F" w:rsidRDefault="00CB0DD7">
            <w:pPr>
              <w:pStyle w:val="TAH"/>
            </w:pPr>
            <w:r w:rsidRPr="000A0A5F">
              <w:t>Cardinality</w:t>
            </w:r>
          </w:p>
        </w:tc>
        <w:tc>
          <w:tcPr>
            <w:tcW w:w="500" w:type="pct"/>
            <w:shd w:val="clear" w:color="auto" w:fill="C0C0C0"/>
          </w:tcPr>
          <w:p w:rsidR="00CB0DD7" w:rsidRPr="000A0A5F" w:rsidRDefault="00CB0DD7">
            <w:pPr>
              <w:pStyle w:val="TAH"/>
            </w:pPr>
            <w:r w:rsidRPr="000A0A5F">
              <w:t>Response</w:t>
            </w:r>
          </w:p>
          <w:p w:rsidR="00CB0DD7" w:rsidRPr="000A0A5F" w:rsidRDefault="00CB0DD7">
            <w:pPr>
              <w:pStyle w:val="TAH"/>
            </w:pPr>
            <w:r w:rsidRPr="000A0A5F">
              <w:t>codes</w:t>
            </w:r>
          </w:p>
        </w:tc>
        <w:tc>
          <w:tcPr>
            <w:tcW w:w="2335" w:type="pct"/>
            <w:shd w:val="clear" w:color="auto" w:fill="C0C0C0"/>
          </w:tcPr>
          <w:p w:rsidR="00CB0DD7" w:rsidRPr="000A0A5F" w:rsidRDefault="00CB0DD7">
            <w:pPr>
              <w:pStyle w:val="TAH"/>
            </w:pPr>
          </w:p>
          <w:p w:rsidR="00CB0DD7" w:rsidRPr="000A0A5F" w:rsidRDefault="00CB0DD7">
            <w:pPr>
              <w:pStyle w:val="TAH"/>
            </w:pPr>
            <w:r w:rsidRPr="000A0A5F">
              <w:t>Remarks</w:t>
            </w:r>
          </w:p>
        </w:tc>
      </w:tr>
      <w:tr w:rsidR="00CB0DD7" w:rsidRPr="000A0A5F" w:rsidTr="00FF0AF8">
        <w:tc>
          <w:tcPr>
            <w:tcW w:w="531"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t>Nidd</w:t>
            </w:r>
            <w:r w:rsidRPr="000A0A5F">
              <w:rPr>
                <w:rFonts w:hint="eastAsia"/>
                <w:lang w:eastAsia="zh-CN"/>
              </w:rPr>
              <w:t>Configuration</w:t>
            </w:r>
          </w:p>
        </w:tc>
        <w:tc>
          <w:tcPr>
            <w:tcW w:w="541" w:type="pct"/>
          </w:tcPr>
          <w:p w:rsidR="00CB0DD7" w:rsidRPr="000A0A5F" w:rsidRDefault="00CB0DD7">
            <w:pPr>
              <w:pStyle w:val="TAL"/>
              <w:rPr>
                <w:rFonts w:hint="eastAsia"/>
                <w:lang w:eastAsia="zh-CN"/>
              </w:rPr>
            </w:pPr>
            <w:r w:rsidRPr="000A0A5F">
              <w:rPr>
                <w:rFonts w:hint="eastAsia"/>
                <w:lang w:eastAsia="zh-CN"/>
              </w:rPr>
              <w:t>1</w:t>
            </w:r>
          </w:p>
        </w:tc>
        <w:tc>
          <w:tcPr>
            <w:tcW w:w="500" w:type="pct"/>
          </w:tcPr>
          <w:p w:rsidR="00CB0DD7" w:rsidRPr="000A0A5F" w:rsidRDefault="00CB0DD7">
            <w:pPr>
              <w:pStyle w:val="TAL"/>
            </w:pPr>
            <w:r w:rsidRPr="000A0A5F">
              <w:t>201 Created</w:t>
            </w:r>
          </w:p>
        </w:tc>
        <w:tc>
          <w:tcPr>
            <w:tcW w:w="2335" w:type="pct"/>
          </w:tcPr>
          <w:p w:rsidR="00CB0DD7" w:rsidRPr="000A0A5F" w:rsidRDefault="00CB0DD7">
            <w:pPr>
              <w:pStyle w:val="TAL"/>
            </w:pPr>
            <w:r w:rsidRPr="000A0A5F">
              <w:t xml:space="preserve">The </w:t>
            </w:r>
            <w:r w:rsidRPr="000A0A5F">
              <w:rPr>
                <w:rFonts w:hint="eastAsia"/>
                <w:lang w:eastAsia="zh-CN"/>
              </w:rPr>
              <w:t>NIDD configuration</w:t>
            </w:r>
            <w:r w:rsidRPr="000A0A5F">
              <w:t xml:space="preserve"> was created successfully. </w:t>
            </w:r>
          </w:p>
          <w:p w:rsidR="00CB0DD7" w:rsidRPr="000A0A5F" w:rsidRDefault="00CB0DD7">
            <w:pPr>
              <w:pStyle w:val="TAL"/>
            </w:pPr>
          </w:p>
          <w:p w:rsidR="009F3663" w:rsidRPr="000A0A5F" w:rsidRDefault="009F3663" w:rsidP="009F3663">
            <w:pPr>
              <w:pStyle w:val="TAL"/>
            </w:pPr>
            <w:r w:rsidRPr="000A0A5F">
              <w:t xml:space="preserve">The SCEF </w:t>
            </w:r>
            <w:r w:rsidRPr="000A0A5F">
              <w:rPr>
                <w:rFonts w:hint="eastAsia"/>
                <w:lang w:eastAsia="zh-CN"/>
              </w:rPr>
              <w:t>shall</w:t>
            </w:r>
            <w:r w:rsidRPr="000A0A5F">
              <w:t xml:space="preserve"> return a data structure of type "Nidd</w:t>
            </w:r>
            <w:r w:rsidRPr="000A0A5F">
              <w:rPr>
                <w:rFonts w:hint="eastAsia"/>
                <w:lang w:eastAsia="zh-CN"/>
              </w:rPr>
              <w:t>Configuration</w:t>
            </w:r>
            <w:r w:rsidRPr="000A0A5F">
              <w:t>" in the response content.</w:t>
            </w:r>
          </w:p>
          <w:p w:rsidR="009F3663" w:rsidRPr="000A0A5F" w:rsidRDefault="009F3663" w:rsidP="009F3663">
            <w:pPr>
              <w:pStyle w:val="TAL"/>
            </w:pPr>
          </w:p>
          <w:p w:rsidR="00CB0DD7" w:rsidRPr="000A0A5F" w:rsidRDefault="00CB0DD7">
            <w:pPr>
              <w:pStyle w:val="TAL"/>
              <w:rPr>
                <w:rFonts w:hint="eastAsia"/>
                <w:lang w:eastAsia="zh-CN"/>
              </w:rPr>
            </w:pPr>
            <w:r w:rsidRPr="000A0A5F">
              <w:t>The URI of the created resource shall be returned in the "Location" HTTP header.</w:t>
            </w:r>
          </w:p>
        </w:tc>
      </w:tr>
      <w:tr w:rsidR="00CB0DD7" w:rsidRPr="000A0A5F" w:rsidTr="00FF0AF8">
        <w:tc>
          <w:tcPr>
            <w:tcW w:w="5000" w:type="pct"/>
            <w:gridSpan w:val="5"/>
            <w:shd w:val="clear" w:color="auto" w:fill="auto"/>
            <w:vAlign w:val="center"/>
          </w:tcPr>
          <w:p w:rsidR="00CB0DD7" w:rsidRPr="000A0A5F" w:rsidRDefault="00CB0DD7">
            <w:pPr>
              <w:pStyle w:val="TAN"/>
            </w:pPr>
            <w:r w:rsidRPr="000A0A5F">
              <w:t>NOTE:</w:t>
            </w:r>
            <w:r w:rsidRPr="000A0A5F">
              <w:tab/>
              <w:t>The mandatory HTTP error status codes for the POST method listed in table 5.2.6-1 also apply.</w:t>
            </w:r>
          </w:p>
        </w:tc>
      </w:tr>
    </w:tbl>
    <w:p w:rsidR="00CB0DD7" w:rsidRPr="000A0A5F" w:rsidRDefault="00CB0DD7">
      <w:pPr>
        <w:rPr>
          <w:noProof/>
        </w:rPr>
      </w:pPr>
    </w:p>
    <w:p w:rsidR="00CB0DD7" w:rsidRPr="000A0A5F" w:rsidRDefault="00CB0DD7">
      <w:pPr>
        <w:pStyle w:val="TH"/>
      </w:pPr>
      <w:r w:rsidRPr="000A0A5F">
        <w:t>Table</w:t>
      </w:r>
      <w:r w:rsidRPr="000A0A5F">
        <w:rPr>
          <w:noProof/>
        </w:rPr>
        <w:t> </w:t>
      </w:r>
      <w:r w:rsidRPr="000A0A5F">
        <w:t>5.</w:t>
      </w:r>
      <w:r w:rsidRPr="000A0A5F">
        <w:rPr>
          <w:rFonts w:hint="eastAsia"/>
          <w:lang w:eastAsia="zh-CN"/>
        </w:rPr>
        <w:t>6</w:t>
      </w:r>
      <w:r w:rsidRPr="000A0A5F">
        <w:t>.</w:t>
      </w:r>
      <w:r w:rsidRPr="000A0A5F">
        <w:rPr>
          <w:rFonts w:hint="eastAsia"/>
          <w:lang w:eastAsia="zh-CN"/>
        </w:rPr>
        <w:t>3</w:t>
      </w:r>
      <w:r w:rsidRPr="000A0A5F">
        <w:t>.2.3.</w:t>
      </w:r>
      <w:r w:rsidRPr="000A0A5F">
        <w:rPr>
          <w:rFonts w:hint="eastAsia"/>
          <w:lang w:eastAsia="zh-CN"/>
        </w:rPr>
        <w:t>4</w:t>
      </w:r>
      <w:r w:rsidRPr="000A0A5F">
        <w:t xml:space="preserve">-2: Headers supported by the 201 Response Code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846044">
        <w:trPr>
          <w:jc w:val="center"/>
        </w:trPr>
        <w:tc>
          <w:tcPr>
            <w:tcW w:w="825" w:type="pct"/>
            <w:tcBorders>
              <w:bottom w:val="single" w:sz="6" w:space="0" w:color="auto"/>
            </w:tcBorders>
            <w:shd w:val="clear" w:color="auto" w:fill="C0C0C0"/>
          </w:tcPr>
          <w:p w:rsidR="00CB0DD7" w:rsidRPr="000A0A5F" w:rsidRDefault="00CB0DD7">
            <w:pPr>
              <w:pStyle w:val="TAH"/>
            </w:pPr>
            <w:r w:rsidRPr="000A0A5F">
              <w:t>Name</w:t>
            </w:r>
          </w:p>
        </w:tc>
        <w:tc>
          <w:tcPr>
            <w:tcW w:w="732" w:type="pct"/>
            <w:tcBorders>
              <w:bottom w:val="single" w:sz="6" w:space="0" w:color="auto"/>
            </w:tcBorders>
            <w:shd w:val="clear" w:color="auto" w:fill="C0C0C0"/>
          </w:tcPr>
          <w:p w:rsidR="00CB0DD7" w:rsidRPr="000A0A5F" w:rsidRDefault="00CB0DD7">
            <w:pPr>
              <w:pStyle w:val="TAH"/>
            </w:pPr>
            <w:r w:rsidRPr="000A0A5F">
              <w:t>Data type</w:t>
            </w:r>
          </w:p>
        </w:tc>
        <w:tc>
          <w:tcPr>
            <w:tcW w:w="217" w:type="pct"/>
            <w:tcBorders>
              <w:bottom w:val="single" w:sz="6" w:space="0" w:color="auto"/>
            </w:tcBorders>
            <w:shd w:val="clear" w:color="auto" w:fill="C0C0C0"/>
          </w:tcPr>
          <w:p w:rsidR="00CB0DD7" w:rsidRPr="000A0A5F" w:rsidRDefault="00CB0DD7">
            <w:pPr>
              <w:pStyle w:val="TAH"/>
            </w:pPr>
            <w:r w:rsidRPr="000A0A5F">
              <w:t>P</w:t>
            </w:r>
          </w:p>
        </w:tc>
        <w:tc>
          <w:tcPr>
            <w:tcW w:w="581" w:type="pct"/>
            <w:tcBorders>
              <w:bottom w:val="single" w:sz="6" w:space="0" w:color="auto"/>
            </w:tcBorders>
            <w:shd w:val="clear" w:color="auto" w:fill="C0C0C0"/>
          </w:tcPr>
          <w:p w:rsidR="00CB0DD7" w:rsidRPr="000A0A5F" w:rsidRDefault="00CB0DD7">
            <w:pPr>
              <w:pStyle w:val="TAH"/>
            </w:pPr>
            <w:r w:rsidRPr="000A0A5F">
              <w:t>Cardinality</w:t>
            </w:r>
          </w:p>
        </w:tc>
        <w:tc>
          <w:tcPr>
            <w:tcW w:w="2645" w:type="pct"/>
            <w:tcBorders>
              <w:bottom w:val="single" w:sz="6" w:space="0" w:color="auto"/>
            </w:tcBorders>
            <w:shd w:val="clear" w:color="auto" w:fill="C0C0C0"/>
            <w:vAlign w:val="center"/>
          </w:tcPr>
          <w:p w:rsidR="00CB0DD7" w:rsidRPr="000A0A5F" w:rsidRDefault="00CB0DD7">
            <w:pPr>
              <w:pStyle w:val="TAH"/>
            </w:pPr>
            <w:r w:rsidRPr="000A0A5F">
              <w:t>Description</w:t>
            </w:r>
          </w:p>
        </w:tc>
      </w:tr>
      <w:tr w:rsidR="00CB0DD7" w:rsidRPr="000A0A5F" w:rsidTr="00846044">
        <w:trPr>
          <w:jc w:val="center"/>
        </w:trPr>
        <w:tc>
          <w:tcPr>
            <w:tcW w:w="825" w:type="pct"/>
            <w:tcBorders>
              <w:top w:val="single" w:sz="6" w:space="0" w:color="auto"/>
            </w:tcBorders>
            <w:shd w:val="clear" w:color="auto" w:fill="auto"/>
          </w:tcPr>
          <w:p w:rsidR="00CB0DD7" w:rsidRPr="000A0A5F" w:rsidRDefault="00CB0DD7">
            <w:pPr>
              <w:pStyle w:val="TAL"/>
            </w:pPr>
            <w:r w:rsidRPr="000A0A5F">
              <w:t>Location</w:t>
            </w:r>
          </w:p>
        </w:tc>
        <w:tc>
          <w:tcPr>
            <w:tcW w:w="732" w:type="pct"/>
            <w:tcBorders>
              <w:top w:val="single" w:sz="6" w:space="0" w:color="auto"/>
            </w:tcBorders>
          </w:tcPr>
          <w:p w:rsidR="00CB0DD7" w:rsidRPr="000A0A5F" w:rsidRDefault="00CB0DD7">
            <w:pPr>
              <w:pStyle w:val="TAL"/>
            </w:pPr>
            <w:r w:rsidRPr="000A0A5F">
              <w:t>string</w:t>
            </w:r>
          </w:p>
        </w:tc>
        <w:tc>
          <w:tcPr>
            <w:tcW w:w="217" w:type="pct"/>
            <w:tcBorders>
              <w:top w:val="single" w:sz="6" w:space="0" w:color="auto"/>
            </w:tcBorders>
          </w:tcPr>
          <w:p w:rsidR="00CB0DD7" w:rsidRPr="000A0A5F" w:rsidRDefault="00CB0DD7">
            <w:pPr>
              <w:pStyle w:val="TAC"/>
            </w:pPr>
            <w:r w:rsidRPr="000A0A5F">
              <w:t>M</w:t>
            </w:r>
          </w:p>
        </w:tc>
        <w:tc>
          <w:tcPr>
            <w:tcW w:w="581" w:type="pct"/>
            <w:tcBorders>
              <w:top w:val="single" w:sz="6" w:space="0" w:color="auto"/>
            </w:tcBorders>
          </w:tcPr>
          <w:p w:rsidR="00CB0DD7" w:rsidRPr="000A0A5F" w:rsidRDefault="00CB0DD7">
            <w:pPr>
              <w:pStyle w:val="TAL"/>
            </w:pPr>
            <w:r w:rsidRPr="000A0A5F">
              <w:t>1</w:t>
            </w:r>
          </w:p>
        </w:tc>
        <w:tc>
          <w:tcPr>
            <w:tcW w:w="2645" w:type="pct"/>
            <w:tcBorders>
              <w:top w:val="single" w:sz="6" w:space="0" w:color="auto"/>
            </w:tcBorders>
            <w:shd w:val="clear" w:color="auto" w:fill="auto"/>
            <w:vAlign w:val="center"/>
          </w:tcPr>
          <w:p w:rsidR="00CB0DD7" w:rsidRPr="000A0A5F" w:rsidRDefault="00CB0DD7">
            <w:pPr>
              <w:pStyle w:val="TAL"/>
            </w:pPr>
            <w:r w:rsidRPr="000A0A5F">
              <w:t>Contains the URI of the newly created resource, according to the structure:</w:t>
            </w:r>
            <w:r w:rsidRPr="000A0A5F">
              <w:rPr>
                <w:noProof/>
              </w:rPr>
              <w:t xml:space="preserve"> </w:t>
            </w:r>
            <w:r w:rsidRPr="000A0A5F">
              <w:t>{apiRoot}/3gpp-nidd/v1/{scsAsId}/</w:t>
            </w:r>
            <w:r w:rsidRPr="000A0A5F">
              <w:rPr>
                <w:rFonts w:hint="eastAsia"/>
                <w:lang w:eastAsia="zh-CN"/>
              </w:rPr>
              <w:t>configurations</w:t>
            </w:r>
            <w:r w:rsidRPr="000A0A5F">
              <w:t>/{configurationId}</w:t>
            </w:r>
          </w:p>
        </w:tc>
      </w:tr>
    </w:tbl>
    <w:p w:rsidR="00CB0DD7" w:rsidRPr="000A0A5F" w:rsidRDefault="00CB0DD7"/>
    <w:p w:rsidR="00CB0DD7" w:rsidRPr="000A0A5F" w:rsidRDefault="00CB0DD7">
      <w:pPr>
        <w:pStyle w:val="Heading6"/>
      </w:pPr>
      <w:bookmarkStart w:id="3943" w:name="_Toc11247469"/>
      <w:bookmarkStart w:id="3944" w:name="_Toc27044593"/>
      <w:bookmarkStart w:id="3945" w:name="_Toc36033635"/>
      <w:bookmarkStart w:id="3946" w:name="_Toc45131772"/>
      <w:bookmarkStart w:id="3947" w:name="_Toc49776057"/>
      <w:bookmarkStart w:id="3948" w:name="_Toc51746977"/>
      <w:bookmarkStart w:id="3949" w:name="_Toc66360532"/>
      <w:bookmarkStart w:id="3950" w:name="_Toc68105037"/>
      <w:bookmarkStart w:id="3951" w:name="_Toc74755667"/>
      <w:bookmarkStart w:id="3952" w:name="_Toc105674541"/>
      <w:bookmarkStart w:id="3953" w:name="_Toc130502589"/>
      <w:bookmarkStart w:id="3954" w:name="_Toc153625376"/>
      <w:r w:rsidRPr="000A0A5F">
        <w:t>5.6.3.2.3.5</w:t>
      </w:r>
      <w:r w:rsidRPr="000A0A5F">
        <w:tab/>
        <w:t>DELETE</w:t>
      </w:r>
      <w:bookmarkEnd w:id="3943"/>
      <w:bookmarkEnd w:id="3944"/>
      <w:bookmarkEnd w:id="3945"/>
      <w:bookmarkEnd w:id="3946"/>
      <w:bookmarkEnd w:id="3947"/>
      <w:bookmarkEnd w:id="3948"/>
      <w:bookmarkEnd w:id="3949"/>
      <w:bookmarkEnd w:id="3950"/>
      <w:bookmarkEnd w:id="3951"/>
      <w:bookmarkEnd w:id="3952"/>
      <w:bookmarkEnd w:id="3953"/>
      <w:bookmarkEnd w:id="3954"/>
    </w:p>
    <w:p w:rsidR="00CB0DD7" w:rsidRPr="000A0A5F" w:rsidRDefault="00CB0DD7">
      <w:pPr>
        <w:rPr>
          <w:rFonts w:hint="eastAsia"/>
          <w:lang w:eastAsia="zh-CN"/>
        </w:rPr>
      </w:pPr>
      <w:r w:rsidRPr="000A0A5F">
        <w:rPr>
          <w:rFonts w:hint="eastAsia"/>
          <w:lang w:eastAsia="zh-CN"/>
        </w:rPr>
        <w:t xml:space="preserve">This </w:t>
      </w:r>
      <w:r w:rsidRPr="000A0A5F">
        <w:rPr>
          <w:lang w:eastAsia="zh-CN"/>
        </w:rPr>
        <w:t>HTTP method is not supported for the resource.</w:t>
      </w:r>
    </w:p>
    <w:p w:rsidR="00CB0DD7" w:rsidRPr="000A0A5F" w:rsidRDefault="00CB0DD7">
      <w:pPr>
        <w:pStyle w:val="Heading4"/>
        <w:rPr>
          <w:rFonts w:hint="eastAsia"/>
          <w:lang w:eastAsia="zh-CN"/>
        </w:rPr>
      </w:pPr>
      <w:bookmarkStart w:id="3955" w:name="_Toc11247470"/>
      <w:bookmarkStart w:id="3956" w:name="_Toc27044594"/>
      <w:bookmarkStart w:id="3957" w:name="_Toc36033636"/>
      <w:bookmarkStart w:id="3958" w:name="_Toc45131773"/>
      <w:bookmarkStart w:id="3959" w:name="_Toc49776058"/>
      <w:bookmarkStart w:id="3960" w:name="_Toc51746978"/>
      <w:bookmarkStart w:id="3961" w:name="_Toc66360533"/>
      <w:bookmarkStart w:id="3962" w:name="_Toc68105038"/>
      <w:bookmarkStart w:id="3963" w:name="_Toc74755668"/>
      <w:bookmarkStart w:id="3964" w:name="_Toc105674542"/>
      <w:bookmarkStart w:id="3965" w:name="_Toc130502590"/>
      <w:bookmarkStart w:id="3966" w:name="_Toc153625377"/>
      <w:r w:rsidRPr="000A0A5F">
        <w:t>5.6.3.3</w:t>
      </w:r>
      <w:r w:rsidRPr="000A0A5F">
        <w:tab/>
        <w:t xml:space="preserve">Resource: Individual NIDD </w:t>
      </w:r>
      <w:r w:rsidRPr="000A0A5F">
        <w:rPr>
          <w:rFonts w:hint="eastAsia"/>
          <w:lang w:eastAsia="zh-CN"/>
        </w:rPr>
        <w:t>Configuration</w:t>
      </w:r>
      <w:bookmarkEnd w:id="3955"/>
      <w:bookmarkEnd w:id="3956"/>
      <w:bookmarkEnd w:id="3957"/>
      <w:bookmarkEnd w:id="3958"/>
      <w:bookmarkEnd w:id="3959"/>
      <w:bookmarkEnd w:id="3960"/>
      <w:bookmarkEnd w:id="3961"/>
      <w:bookmarkEnd w:id="3962"/>
      <w:bookmarkEnd w:id="3963"/>
      <w:bookmarkEnd w:id="3964"/>
      <w:bookmarkEnd w:id="3965"/>
      <w:bookmarkEnd w:id="3966"/>
    </w:p>
    <w:p w:rsidR="00CB0DD7" w:rsidRPr="000A0A5F" w:rsidRDefault="00CB0DD7">
      <w:pPr>
        <w:pStyle w:val="Heading5"/>
      </w:pPr>
      <w:bookmarkStart w:id="3967" w:name="_Toc11247471"/>
      <w:bookmarkStart w:id="3968" w:name="_Toc27044595"/>
      <w:bookmarkStart w:id="3969" w:name="_Toc36033637"/>
      <w:bookmarkStart w:id="3970" w:name="_Toc45131774"/>
      <w:bookmarkStart w:id="3971" w:name="_Toc49776059"/>
      <w:bookmarkStart w:id="3972" w:name="_Toc51746979"/>
      <w:bookmarkStart w:id="3973" w:name="_Toc66360534"/>
      <w:bookmarkStart w:id="3974" w:name="_Toc68105039"/>
      <w:bookmarkStart w:id="3975" w:name="_Toc74755669"/>
      <w:bookmarkStart w:id="3976" w:name="_Toc105674543"/>
      <w:bookmarkStart w:id="3977" w:name="_Toc130502591"/>
      <w:bookmarkStart w:id="3978" w:name="_Toc153625378"/>
      <w:r w:rsidRPr="000A0A5F">
        <w:t>5.6.3.3.1</w:t>
      </w:r>
      <w:r w:rsidRPr="000A0A5F">
        <w:tab/>
        <w:t>Introduction</w:t>
      </w:r>
      <w:bookmarkEnd w:id="3967"/>
      <w:bookmarkEnd w:id="3968"/>
      <w:bookmarkEnd w:id="3969"/>
      <w:bookmarkEnd w:id="3970"/>
      <w:bookmarkEnd w:id="3971"/>
      <w:bookmarkEnd w:id="3972"/>
      <w:bookmarkEnd w:id="3973"/>
      <w:bookmarkEnd w:id="3974"/>
      <w:bookmarkEnd w:id="3975"/>
      <w:bookmarkEnd w:id="3976"/>
      <w:bookmarkEnd w:id="3977"/>
      <w:bookmarkEnd w:id="3978"/>
    </w:p>
    <w:p w:rsidR="00CB0DD7" w:rsidRPr="000A0A5F" w:rsidRDefault="00CB0DD7">
      <w:pPr>
        <w:rPr>
          <w:noProof/>
          <w:lang w:eastAsia="zh-CN"/>
        </w:rPr>
      </w:pPr>
      <w:r w:rsidRPr="000A0A5F">
        <w:rPr>
          <w:noProof/>
          <w:lang w:eastAsia="zh-CN"/>
        </w:rPr>
        <w:t>This resource allows t</w:t>
      </w:r>
      <w:r w:rsidRPr="000A0A5F">
        <w:rPr>
          <w:rFonts w:hint="eastAsia"/>
          <w:noProof/>
          <w:lang w:eastAsia="zh-CN"/>
        </w:rPr>
        <w:t xml:space="preserve">he SCS/AS </w:t>
      </w:r>
      <w:r w:rsidRPr="000A0A5F">
        <w:rPr>
          <w:noProof/>
          <w:lang w:eastAsia="zh-CN"/>
        </w:rPr>
        <w:t xml:space="preserve">to </w:t>
      </w:r>
      <w:r w:rsidRPr="000A0A5F">
        <w:rPr>
          <w:rFonts w:hint="eastAsia"/>
          <w:noProof/>
          <w:lang w:eastAsia="zh-CN"/>
        </w:rPr>
        <w:t>query/update/cancel the specific NIDD configuration</w:t>
      </w:r>
      <w:r w:rsidRPr="000A0A5F">
        <w:rPr>
          <w:noProof/>
          <w:lang w:eastAsia="zh-CN"/>
        </w:rPr>
        <w:t xml:space="preserve"> at the SCEF.  </w:t>
      </w:r>
    </w:p>
    <w:p w:rsidR="00CB0DD7" w:rsidRPr="000A0A5F" w:rsidRDefault="00CB0DD7">
      <w:pPr>
        <w:pStyle w:val="Heading5"/>
      </w:pPr>
      <w:bookmarkStart w:id="3979" w:name="_Toc11247472"/>
      <w:bookmarkStart w:id="3980" w:name="_Toc27044596"/>
      <w:bookmarkStart w:id="3981" w:name="_Toc36033638"/>
      <w:bookmarkStart w:id="3982" w:name="_Toc45131775"/>
      <w:bookmarkStart w:id="3983" w:name="_Toc49776060"/>
      <w:bookmarkStart w:id="3984" w:name="_Toc51746980"/>
      <w:bookmarkStart w:id="3985" w:name="_Toc66360535"/>
      <w:bookmarkStart w:id="3986" w:name="_Toc68105040"/>
      <w:bookmarkStart w:id="3987" w:name="_Toc74755670"/>
      <w:bookmarkStart w:id="3988" w:name="_Toc105674544"/>
      <w:bookmarkStart w:id="3989" w:name="_Toc130502592"/>
      <w:bookmarkStart w:id="3990" w:name="_Toc153625379"/>
      <w:r w:rsidRPr="000A0A5F">
        <w:t>5.6.3.3.2</w:t>
      </w:r>
      <w:r w:rsidRPr="000A0A5F">
        <w:tab/>
        <w:t>Resource definition</w:t>
      </w:r>
      <w:bookmarkEnd w:id="3979"/>
      <w:bookmarkEnd w:id="3980"/>
      <w:bookmarkEnd w:id="3981"/>
      <w:bookmarkEnd w:id="3982"/>
      <w:bookmarkEnd w:id="3983"/>
      <w:bookmarkEnd w:id="3984"/>
      <w:bookmarkEnd w:id="3985"/>
      <w:bookmarkEnd w:id="3986"/>
      <w:bookmarkEnd w:id="3987"/>
      <w:bookmarkEnd w:id="3988"/>
      <w:bookmarkEnd w:id="3989"/>
      <w:bookmarkEnd w:id="3990"/>
    </w:p>
    <w:p w:rsidR="00CB0DD7" w:rsidRPr="000A0A5F" w:rsidRDefault="00CB0DD7">
      <w:r w:rsidRPr="000A0A5F">
        <w:t xml:space="preserve">Resource URI: </w:t>
      </w:r>
      <w:r w:rsidRPr="000A0A5F">
        <w:rPr>
          <w:b/>
        </w:rPr>
        <w:t>{apiRoot}/3gpp-nidd/v1/{scsAsId}/</w:t>
      </w:r>
      <w:r w:rsidRPr="000A0A5F">
        <w:rPr>
          <w:rFonts w:hint="eastAsia"/>
          <w:b/>
          <w:lang w:eastAsia="zh-CN"/>
        </w:rPr>
        <w:t>configurations</w:t>
      </w:r>
      <w:r w:rsidRPr="000A0A5F">
        <w:rPr>
          <w:b/>
        </w:rPr>
        <w:t>/{configurationId}</w:t>
      </w:r>
    </w:p>
    <w:p w:rsidR="00CB0DD7" w:rsidRPr="000A0A5F" w:rsidRDefault="00CB0DD7">
      <w:pPr>
        <w:rPr>
          <w:rFonts w:ascii="Arial" w:hAnsi="Arial" w:cs="Arial"/>
        </w:rPr>
      </w:pPr>
      <w:r w:rsidRPr="000A0A5F">
        <w:t>This resource shall support the resource URI variables defined in table 5.6.3.3.2-1</w:t>
      </w:r>
      <w:r w:rsidRPr="000A0A5F">
        <w:rPr>
          <w:rFonts w:ascii="Arial" w:hAnsi="Arial" w:cs="Arial"/>
        </w:rPr>
        <w:t>.</w:t>
      </w:r>
    </w:p>
    <w:p w:rsidR="00CB0DD7" w:rsidRPr="000A0A5F" w:rsidRDefault="00CB0DD7">
      <w:pPr>
        <w:pStyle w:val="TH"/>
        <w:rPr>
          <w:rFonts w:cs="Arial"/>
        </w:rPr>
      </w:pPr>
      <w:r w:rsidRPr="000A0A5F">
        <w:t>Table 5.6.3.3.2-1: Resource URI variables for resource "Individual NIDD Configuration"</w:t>
      </w:r>
    </w:p>
    <w:tbl>
      <w:tblPr>
        <w:tblW w:w="5013"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970"/>
        <w:gridCol w:w="1312"/>
        <w:gridCol w:w="6520"/>
      </w:tblGrid>
      <w:tr w:rsidR="00CB0DD7" w:rsidRPr="000A0A5F" w:rsidTr="00FF0AF8">
        <w:trPr>
          <w:jc w:val="center"/>
        </w:trPr>
        <w:tc>
          <w:tcPr>
            <w:tcW w:w="1005" w:type="pct"/>
            <w:shd w:val="clear" w:color="000000" w:fill="C0C0C0"/>
          </w:tcPr>
          <w:p w:rsidR="00CB0DD7" w:rsidRPr="000A0A5F" w:rsidRDefault="00CB0DD7">
            <w:pPr>
              <w:pStyle w:val="TAH"/>
            </w:pPr>
            <w:r w:rsidRPr="000A0A5F">
              <w:t>Name</w:t>
            </w:r>
          </w:p>
        </w:tc>
        <w:tc>
          <w:tcPr>
            <w:tcW w:w="669" w:type="pct"/>
            <w:shd w:val="clear" w:color="000000" w:fill="C0C0C0"/>
          </w:tcPr>
          <w:p w:rsidR="00CB0DD7" w:rsidRPr="000A0A5F" w:rsidRDefault="00CB0DD7">
            <w:pPr>
              <w:pStyle w:val="TAH"/>
            </w:pPr>
            <w:r w:rsidRPr="000A0A5F">
              <w:t>Data type</w:t>
            </w:r>
          </w:p>
        </w:tc>
        <w:tc>
          <w:tcPr>
            <w:tcW w:w="3326" w:type="pct"/>
            <w:shd w:val="clear" w:color="000000" w:fill="C0C0C0"/>
            <w:vAlign w:val="center"/>
          </w:tcPr>
          <w:p w:rsidR="00CB0DD7" w:rsidRPr="000A0A5F" w:rsidRDefault="00CB0DD7">
            <w:pPr>
              <w:pStyle w:val="TAH"/>
            </w:pPr>
            <w:r w:rsidRPr="000A0A5F">
              <w:t>Definition</w:t>
            </w:r>
          </w:p>
        </w:tc>
      </w:tr>
      <w:tr w:rsidR="00CB0DD7" w:rsidRPr="000A0A5F" w:rsidTr="00FF0AF8">
        <w:trPr>
          <w:jc w:val="center"/>
        </w:trPr>
        <w:tc>
          <w:tcPr>
            <w:tcW w:w="1005" w:type="pct"/>
            <w:shd w:val="clear" w:color="auto" w:fill="auto"/>
          </w:tcPr>
          <w:p w:rsidR="00CB0DD7" w:rsidRPr="000A0A5F" w:rsidRDefault="00CB0DD7">
            <w:pPr>
              <w:pStyle w:val="TAL"/>
            </w:pPr>
            <w:r w:rsidRPr="000A0A5F">
              <w:t>apiRoot</w:t>
            </w:r>
          </w:p>
        </w:tc>
        <w:tc>
          <w:tcPr>
            <w:tcW w:w="669" w:type="pct"/>
          </w:tcPr>
          <w:p w:rsidR="00CB0DD7" w:rsidRPr="000A0A5F" w:rsidRDefault="00CB0DD7">
            <w:pPr>
              <w:pStyle w:val="TAL"/>
            </w:pPr>
            <w:r w:rsidRPr="000A0A5F">
              <w:rPr>
                <w:rFonts w:hint="eastAsia"/>
                <w:lang w:eastAsia="zh-CN"/>
              </w:rPr>
              <w:t>s</w:t>
            </w:r>
            <w:r w:rsidRPr="000A0A5F">
              <w:rPr>
                <w:lang w:eastAsia="zh-CN"/>
              </w:rPr>
              <w:t>tring</w:t>
            </w:r>
          </w:p>
        </w:tc>
        <w:tc>
          <w:tcPr>
            <w:tcW w:w="3326" w:type="pct"/>
            <w:shd w:val="clear" w:color="auto" w:fill="auto"/>
            <w:vAlign w:val="center"/>
          </w:tcPr>
          <w:p w:rsidR="00CB0DD7" w:rsidRPr="000A0A5F" w:rsidRDefault="00CB0DD7">
            <w:pPr>
              <w:pStyle w:val="TAL"/>
            </w:pPr>
            <w:r w:rsidRPr="000A0A5F">
              <w:t>See clause</w:t>
            </w:r>
            <w:r w:rsidRPr="000A0A5F">
              <w:rPr>
                <w:lang w:val="en-US" w:eastAsia="zh-CN"/>
              </w:rPr>
              <w:t> </w:t>
            </w:r>
            <w:r w:rsidRPr="000A0A5F">
              <w:t>5.2.4.</w:t>
            </w:r>
          </w:p>
        </w:tc>
      </w:tr>
      <w:tr w:rsidR="00CB0DD7" w:rsidRPr="000A0A5F" w:rsidTr="00FF0AF8">
        <w:trPr>
          <w:jc w:val="center"/>
        </w:trPr>
        <w:tc>
          <w:tcPr>
            <w:tcW w:w="1005" w:type="pct"/>
            <w:shd w:val="clear" w:color="auto" w:fill="auto"/>
          </w:tcPr>
          <w:p w:rsidR="00CB0DD7" w:rsidRPr="000A0A5F" w:rsidRDefault="00CB0DD7">
            <w:pPr>
              <w:pStyle w:val="TAL"/>
            </w:pPr>
            <w:r w:rsidRPr="000A0A5F">
              <w:t>scsAsId</w:t>
            </w:r>
          </w:p>
        </w:tc>
        <w:tc>
          <w:tcPr>
            <w:tcW w:w="669" w:type="pct"/>
          </w:tcPr>
          <w:p w:rsidR="00CB0DD7" w:rsidRPr="000A0A5F" w:rsidRDefault="00CB0DD7">
            <w:pPr>
              <w:pStyle w:val="TAL"/>
            </w:pPr>
            <w:r w:rsidRPr="000A0A5F">
              <w:rPr>
                <w:rFonts w:hint="eastAsia"/>
                <w:lang w:eastAsia="zh-CN"/>
              </w:rPr>
              <w:t>s</w:t>
            </w:r>
            <w:r w:rsidRPr="000A0A5F">
              <w:rPr>
                <w:lang w:eastAsia="zh-CN"/>
              </w:rPr>
              <w:t>tring</w:t>
            </w:r>
          </w:p>
        </w:tc>
        <w:tc>
          <w:tcPr>
            <w:tcW w:w="3326" w:type="pct"/>
            <w:shd w:val="clear" w:color="auto" w:fill="auto"/>
            <w:vAlign w:val="center"/>
          </w:tcPr>
          <w:p w:rsidR="00CB0DD7" w:rsidRPr="000A0A5F" w:rsidRDefault="00CB0DD7">
            <w:pPr>
              <w:pStyle w:val="TAL"/>
            </w:pPr>
            <w:r w:rsidRPr="000A0A5F">
              <w:t>Identifier of the SCS/AS.</w:t>
            </w:r>
          </w:p>
        </w:tc>
      </w:tr>
      <w:tr w:rsidR="00CB0DD7" w:rsidRPr="000A0A5F" w:rsidTr="00FF0AF8">
        <w:trPr>
          <w:jc w:val="center"/>
        </w:trPr>
        <w:tc>
          <w:tcPr>
            <w:tcW w:w="1005" w:type="pct"/>
            <w:shd w:val="clear" w:color="auto" w:fill="auto"/>
          </w:tcPr>
          <w:p w:rsidR="00CB0DD7" w:rsidRPr="000A0A5F" w:rsidRDefault="00CB0DD7">
            <w:pPr>
              <w:pStyle w:val="TAL"/>
            </w:pPr>
            <w:r w:rsidRPr="000A0A5F">
              <w:rPr>
                <w:lang w:eastAsia="zh-CN"/>
              </w:rPr>
              <w:t>configuration</w:t>
            </w:r>
            <w:r w:rsidRPr="000A0A5F">
              <w:t>Id</w:t>
            </w:r>
          </w:p>
        </w:tc>
        <w:tc>
          <w:tcPr>
            <w:tcW w:w="669" w:type="pct"/>
          </w:tcPr>
          <w:p w:rsidR="00CB0DD7" w:rsidRPr="000A0A5F" w:rsidRDefault="00CB0DD7">
            <w:pPr>
              <w:pStyle w:val="TAL"/>
            </w:pPr>
            <w:r w:rsidRPr="000A0A5F">
              <w:rPr>
                <w:rFonts w:hint="eastAsia"/>
                <w:lang w:eastAsia="zh-CN"/>
              </w:rPr>
              <w:t>s</w:t>
            </w:r>
            <w:r w:rsidRPr="000A0A5F">
              <w:rPr>
                <w:lang w:eastAsia="zh-CN"/>
              </w:rPr>
              <w:t>tring</w:t>
            </w:r>
          </w:p>
        </w:tc>
        <w:tc>
          <w:tcPr>
            <w:tcW w:w="3326" w:type="pct"/>
            <w:shd w:val="clear" w:color="auto" w:fill="auto"/>
            <w:vAlign w:val="center"/>
          </w:tcPr>
          <w:p w:rsidR="00CB0DD7" w:rsidRPr="000A0A5F" w:rsidRDefault="00CB0DD7">
            <w:pPr>
              <w:pStyle w:val="TAL"/>
            </w:pPr>
            <w:r w:rsidRPr="000A0A5F">
              <w:t>Identifier of the configuration. The configurationId corresponds to the stage 2 TLTRI.</w:t>
            </w:r>
          </w:p>
        </w:tc>
      </w:tr>
    </w:tbl>
    <w:p w:rsidR="00CB0DD7" w:rsidRPr="000A0A5F" w:rsidRDefault="00CB0DD7"/>
    <w:p w:rsidR="00CB0DD7" w:rsidRPr="000A0A5F" w:rsidRDefault="00CB0DD7">
      <w:pPr>
        <w:pStyle w:val="Heading5"/>
      </w:pPr>
      <w:bookmarkStart w:id="3991" w:name="_Toc11247473"/>
      <w:bookmarkStart w:id="3992" w:name="_Toc27044597"/>
      <w:bookmarkStart w:id="3993" w:name="_Toc36033639"/>
      <w:bookmarkStart w:id="3994" w:name="_Toc45131776"/>
      <w:bookmarkStart w:id="3995" w:name="_Toc49776061"/>
      <w:bookmarkStart w:id="3996" w:name="_Toc51746981"/>
      <w:bookmarkStart w:id="3997" w:name="_Toc66360536"/>
      <w:bookmarkStart w:id="3998" w:name="_Toc68105041"/>
      <w:bookmarkStart w:id="3999" w:name="_Toc74755671"/>
      <w:bookmarkStart w:id="4000" w:name="_Toc105674545"/>
      <w:bookmarkStart w:id="4001" w:name="_Toc130502593"/>
      <w:bookmarkStart w:id="4002" w:name="_Toc153625380"/>
      <w:r w:rsidRPr="000A0A5F">
        <w:t>5.6.3.3.3</w:t>
      </w:r>
      <w:r w:rsidRPr="000A0A5F">
        <w:tab/>
        <w:t>Resource methods</w:t>
      </w:r>
      <w:bookmarkEnd w:id="3991"/>
      <w:bookmarkEnd w:id="3992"/>
      <w:bookmarkEnd w:id="3993"/>
      <w:bookmarkEnd w:id="3994"/>
      <w:bookmarkEnd w:id="3995"/>
      <w:bookmarkEnd w:id="3996"/>
      <w:bookmarkEnd w:id="3997"/>
      <w:bookmarkEnd w:id="3998"/>
      <w:bookmarkEnd w:id="3999"/>
      <w:bookmarkEnd w:id="4000"/>
      <w:bookmarkEnd w:id="4001"/>
      <w:bookmarkEnd w:id="4002"/>
    </w:p>
    <w:p w:rsidR="00CB0DD7" w:rsidRPr="000A0A5F" w:rsidRDefault="00CB0DD7">
      <w:pPr>
        <w:pStyle w:val="Heading6"/>
      </w:pPr>
      <w:bookmarkStart w:id="4003" w:name="_Toc11247474"/>
      <w:bookmarkStart w:id="4004" w:name="_Toc27044598"/>
      <w:bookmarkStart w:id="4005" w:name="_Toc36033640"/>
      <w:bookmarkStart w:id="4006" w:name="_Toc45131777"/>
      <w:bookmarkStart w:id="4007" w:name="_Toc49776062"/>
      <w:bookmarkStart w:id="4008" w:name="_Toc51746982"/>
      <w:bookmarkStart w:id="4009" w:name="_Toc66360537"/>
      <w:bookmarkStart w:id="4010" w:name="_Toc68105042"/>
      <w:bookmarkStart w:id="4011" w:name="_Toc74755672"/>
      <w:bookmarkStart w:id="4012" w:name="_Toc105674546"/>
      <w:bookmarkStart w:id="4013" w:name="_Toc130502594"/>
      <w:bookmarkStart w:id="4014" w:name="_Toc153625381"/>
      <w:r w:rsidRPr="000A0A5F">
        <w:t>5.6.3.3.3.1</w:t>
      </w:r>
      <w:r w:rsidRPr="000A0A5F">
        <w:tab/>
        <w:t>GET</w:t>
      </w:r>
      <w:bookmarkEnd w:id="4003"/>
      <w:bookmarkEnd w:id="4004"/>
      <w:bookmarkEnd w:id="4005"/>
      <w:bookmarkEnd w:id="4006"/>
      <w:bookmarkEnd w:id="4007"/>
      <w:bookmarkEnd w:id="4008"/>
      <w:bookmarkEnd w:id="4009"/>
      <w:bookmarkEnd w:id="4010"/>
      <w:bookmarkEnd w:id="4011"/>
      <w:bookmarkEnd w:id="4012"/>
      <w:bookmarkEnd w:id="4013"/>
      <w:bookmarkEnd w:id="4014"/>
    </w:p>
    <w:p w:rsidR="00CB0DD7" w:rsidRPr="000A0A5F" w:rsidRDefault="00CB0DD7">
      <w:pPr>
        <w:rPr>
          <w:noProof/>
          <w:lang w:eastAsia="zh-CN"/>
        </w:rPr>
      </w:pPr>
      <w:r w:rsidRPr="000A0A5F">
        <w:rPr>
          <w:noProof/>
          <w:lang w:eastAsia="zh-CN"/>
        </w:rPr>
        <w:t xml:space="preserve">The GET method allows to read a NIDD configuration resource to obtain details of an active configuration. The SCS/AS shall initiate the HTTP GET request message and the SCEF shall respond to the message. </w:t>
      </w:r>
    </w:p>
    <w:p w:rsidR="00CB0DD7" w:rsidRPr="000A0A5F" w:rsidRDefault="00CB0DD7">
      <w:r w:rsidRPr="000A0A5F">
        <w:t>This method shall support the URI query parameters, request and response data structures, and response codes, as specified in the table 5.6.3.3.3.1-1 and table 5.6.3.3.3.1-2.</w:t>
      </w:r>
    </w:p>
    <w:p w:rsidR="00CB0DD7" w:rsidRPr="000A0A5F" w:rsidRDefault="00CB0DD7">
      <w:pPr>
        <w:pStyle w:val="TH"/>
        <w:rPr>
          <w:rFonts w:cs="Arial"/>
        </w:rPr>
      </w:pPr>
      <w:r w:rsidRPr="000A0A5F">
        <w:t xml:space="preserve">Table 5.6.3.3.3.1-1: URI query parameters supported by the GET method on this resource </w:t>
      </w:r>
    </w:p>
    <w:tbl>
      <w:tblPr>
        <w:tblW w:w="4999"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612"/>
        <w:gridCol w:w="1709"/>
        <w:gridCol w:w="1140"/>
        <w:gridCol w:w="5314"/>
      </w:tblGrid>
      <w:tr w:rsidR="00CB0DD7" w:rsidRPr="000A0A5F" w:rsidTr="00FF0AF8">
        <w:trPr>
          <w:jc w:val="center"/>
        </w:trPr>
        <w:tc>
          <w:tcPr>
            <w:tcW w:w="825" w:type="pct"/>
            <w:shd w:val="clear" w:color="000000" w:fill="C0C0C0"/>
          </w:tcPr>
          <w:p w:rsidR="00CB0DD7" w:rsidRPr="000A0A5F" w:rsidRDefault="00CB0DD7">
            <w:pPr>
              <w:pStyle w:val="TAH"/>
            </w:pPr>
            <w:r w:rsidRPr="000A0A5F">
              <w:t>Name</w:t>
            </w:r>
          </w:p>
        </w:tc>
        <w:tc>
          <w:tcPr>
            <w:tcW w:w="874" w:type="pct"/>
            <w:shd w:val="clear" w:color="000000" w:fill="C0C0C0"/>
          </w:tcPr>
          <w:p w:rsidR="00CB0DD7" w:rsidRPr="000A0A5F" w:rsidRDefault="00CB0DD7">
            <w:pPr>
              <w:pStyle w:val="TAH"/>
            </w:pPr>
            <w:r w:rsidRPr="000A0A5F">
              <w:t>Data type</w:t>
            </w:r>
          </w:p>
        </w:tc>
        <w:tc>
          <w:tcPr>
            <w:tcW w:w="583" w:type="pct"/>
            <w:shd w:val="clear" w:color="000000" w:fill="C0C0C0"/>
          </w:tcPr>
          <w:p w:rsidR="00CB0DD7" w:rsidRPr="000A0A5F" w:rsidRDefault="00CB0DD7">
            <w:pPr>
              <w:pStyle w:val="TAH"/>
            </w:pPr>
            <w:r w:rsidRPr="000A0A5F">
              <w:t>Cardinality</w:t>
            </w:r>
          </w:p>
        </w:tc>
        <w:tc>
          <w:tcPr>
            <w:tcW w:w="2718" w:type="pct"/>
            <w:shd w:val="clear" w:color="000000" w:fill="C0C0C0"/>
            <w:vAlign w:val="center"/>
          </w:tcPr>
          <w:p w:rsidR="00CB0DD7" w:rsidRPr="000A0A5F" w:rsidRDefault="00CB0DD7">
            <w:pPr>
              <w:pStyle w:val="TAH"/>
            </w:pPr>
            <w:r w:rsidRPr="000A0A5F">
              <w:t>Remarks</w:t>
            </w:r>
          </w:p>
        </w:tc>
      </w:tr>
      <w:tr w:rsidR="00CB0DD7" w:rsidRPr="000A0A5F" w:rsidTr="00FF0AF8">
        <w:trPr>
          <w:jc w:val="center"/>
        </w:trPr>
        <w:tc>
          <w:tcPr>
            <w:tcW w:w="825" w:type="pct"/>
            <w:shd w:val="clear" w:color="auto" w:fill="auto"/>
          </w:tcPr>
          <w:p w:rsidR="00CB0DD7" w:rsidRPr="000A0A5F" w:rsidRDefault="00CB0DD7">
            <w:pPr>
              <w:pStyle w:val="TAL"/>
            </w:pPr>
            <w:r w:rsidRPr="000A0A5F">
              <w:t>none specified</w:t>
            </w:r>
          </w:p>
        </w:tc>
        <w:tc>
          <w:tcPr>
            <w:tcW w:w="874" w:type="pct"/>
          </w:tcPr>
          <w:p w:rsidR="00CB0DD7" w:rsidRPr="000A0A5F" w:rsidRDefault="00CB0DD7">
            <w:pPr>
              <w:pStyle w:val="TAL"/>
            </w:pPr>
          </w:p>
        </w:tc>
        <w:tc>
          <w:tcPr>
            <w:tcW w:w="583" w:type="pct"/>
          </w:tcPr>
          <w:p w:rsidR="00CB0DD7" w:rsidRPr="000A0A5F" w:rsidRDefault="00CB0DD7">
            <w:pPr>
              <w:pStyle w:val="TAL"/>
            </w:pPr>
          </w:p>
        </w:tc>
        <w:tc>
          <w:tcPr>
            <w:tcW w:w="2718" w:type="pct"/>
            <w:shd w:val="clear" w:color="auto" w:fill="auto"/>
            <w:vAlign w:val="center"/>
          </w:tcPr>
          <w:p w:rsidR="00CB0DD7" w:rsidRPr="000A0A5F" w:rsidRDefault="00CB0DD7">
            <w:pPr>
              <w:pStyle w:val="TAL"/>
            </w:pPr>
          </w:p>
        </w:tc>
      </w:tr>
    </w:tbl>
    <w:p w:rsidR="00CB0DD7" w:rsidRPr="000A0A5F" w:rsidRDefault="00CB0DD7"/>
    <w:p w:rsidR="00CB0DD7" w:rsidRPr="000A0A5F" w:rsidRDefault="00CB0DD7">
      <w:pPr>
        <w:pStyle w:val="TH"/>
        <w:spacing w:before="120"/>
      </w:pPr>
      <w:r w:rsidRPr="000A0A5F">
        <w:t>Table 5.6.3.3.3.1-2: Data structures supported by the GET request/response by the resource</w:t>
      </w:r>
    </w:p>
    <w:tbl>
      <w:tblPr>
        <w:tblW w:w="4999" w:type="pct"/>
        <w:tblInd w:w="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45" w:type="dxa"/>
          <w:left w:w="45" w:type="dxa"/>
          <w:bottom w:w="45" w:type="dxa"/>
          <w:right w:w="45" w:type="dxa"/>
        </w:tblCellMar>
        <w:tblLook w:val="0000" w:firstRow="0" w:lastRow="0" w:firstColumn="0" w:lastColumn="0" w:noHBand="0" w:noVBand="0"/>
      </w:tblPr>
      <w:tblGrid>
        <w:gridCol w:w="1035"/>
        <w:gridCol w:w="2127"/>
        <w:gridCol w:w="1053"/>
        <w:gridCol w:w="973"/>
        <w:gridCol w:w="4541"/>
      </w:tblGrid>
      <w:tr w:rsidR="00CB0DD7" w:rsidRPr="000A0A5F" w:rsidTr="0086706F">
        <w:tc>
          <w:tcPr>
            <w:tcW w:w="532" w:type="pct"/>
            <w:vMerge w:val="restart"/>
            <w:shd w:val="clear" w:color="auto" w:fill="C0C0C0"/>
            <w:vAlign w:val="center"/>
          </w:tcPr>
          <w:p w:rsidR="00CB0DD7" w:rsidRPr="000A0A5F" w:rsidRDefault="00CB0DD7">
            <w:pPr>
              <w:pStyle w:val="TAH"/>
            </w:pPr>
            <w:r w:rsidRPr="000A0A5F">
              <w:t>Request body</w:t>
            </w:r>
          </w:p>
        </w:tc>
        <w:tc>
          <w:tcPr>
            <w:tcW w:w="1093" w:type="pct"/>
            <w:shd w:val="clear" w:color="auto" w:fill="C0C0C0"/>
          </w:tcPr>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r w:rsidRPr="000A0A5F">
              <w:t>Cardinality</w:t>
            </w:r>
          </w:p>
        </w:tc>
        <w:tc>
          <w:tcPr>
            <w:tcW w:w="2834" w:type="pct"/>
            <w:gridSpan w:val="2"/>
            <w:shd w:val="clear" w:color="auto" w:fill="C0C0C0"/>
          </w:tcPr>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None</w:t>
            </w:r>
          </w:p>
        </w:tc>
        <w:tc>
          <w:tcPr>
            <w:tcW w:w="541" w:type="pct"/>
          </w:tcPr>
          <w:p w:rsidR="00CB0DD7" w:rsidRPr="000A0A5F" w:rsidRDefault="00CB0DD7">
            <w:pPr>
              <w:pStyle w:val="TAL"/>
            </w:pPr>
          </w:p>
        </w:tc>
        <w:tc>
          <w:tcPr>
            <w:tcW w:w="2834" w:type="pct"/>
            <w:gridSpan w:val="2"/>
          </w:tcPr>
          <w:p w:rsidR="00CB0DD7" w:rsidRPr="000A0A5F" w:rsidRDefault="00CB0DD7">
            <w:pPr>
              <w:pStyle w:val="TAL"/>
            </w:pPr>
          </w:p>
        </w:tc>
      </w:tr>
      <w:tr w:rsidR="00CB0DD7" w:rsidRPr="000A0A5F" w:rsidTr="0086706F">
        <w:tc>
          <w:tcPr>
            <w:tcW w:w="532" w:type="pct"/>
            <w:vMerge w:val="restart"/>
            <w:shd w:val="clear" w:color="auto" w:fill="C0C0C0"/>
            <w:vAlign w:val="center"/>
          </w:tcPr>
          <w:p w:rsidR="00CB0DD7" w:rsidRPr="000A0A5F" w:rsidRDefault="00CB0DD7">
            <w:pPr>
              <w:pStyle w:val="TAH"/>
            </w:pPr>
            <w:r w:rsidRPr="000A0A5F">
              <w:t>Response body</w:t>
            </w:r>
          </w:p>
        </w:tc>
        <w:tc>
          <w:tcPr>
            <w:tcW w:w="1093" w:type="pct"/>
            <w:shd w:val="clear" w:color="auto" w:fill="C0C0C0"/>
          </w:tcPr>
          <w:p w:rsidR="00CB0DD7" w:rsidRPr="000A0A5F" w:rsidRDefault="00CB0DD7">
            <w:pPr>
              <w:pStyle w:val="TAH"/>
            </w:pPr>
          </w:p>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p>
          <w:p w:rsidR="00CB0DD7" w:rsidRPr="000A0A5F" w:rsidRDefault="00CB0DD7">
            <w:pPr>
              <w:pStyle w:val="TAH"/>
            </w:pPr>
            <w:r w:rsidRPr="000A0A5F">
              <w:t>Cardinality</w:t>
            </w:r>
          </w:p>
        </w:tc>
        <w:tc>
          <w:tcPr>
            <w:tcW w:w="500" w:type="pct"/>
            <w:shd w:val="clear" w:color="auto" w:fill="C0C0C0"/>
          </w:tcPr>
          <w:p w:rsidR="00CB0DD7" w:rsidRPr="000A0A5F" w:rsidRDefault="00CB0DD7">
            <w:pPr>
              <w:pStyle w:val="TAH"/>
            </w:pPr>
            <w:r w:rsidRPr="000A0A5F">
              <w:t>Response</w:t>
            </w:r>
          </w:p>
          <w:p w:rsidR="00CB0DD7" w:rsidRPr="000A0A5F" w:rsidRDefault="00CB0DD7">
            <w:pPr>
              <w:pStyle w:val="TAH"/>
            </w:pPr>
            <w:r w:rsidRPr="000A0A5F">
              <w:t>codes</w:t>
            </w:r>
          </w:p>
        </w:tc>
        <w:tc>
          <w:tcPr>
            <w:tcW w:w="2334" w:type="pct"/>
            <w:shd w:val="clear" w:color="auto" w:fill="C0C0C0"/>
          </w:tcPr>
          <w:p w:rsidR="00CB0DD7" w:rsidRPr="000A0A5F" w:rsidRDefault="00CB0DD7">
            <w:pPr>
              <w:pStyle w:val="TAH"/>
            </w:pPr>
          </w:p>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NiddConfiguration</w:t>
            </w:r>
          </w:p>
        </w:tc>
        <w:tc>
          <w:tcPr>
            <w:tcW w:w="541" w:type="pct"/>
          </w:tcPr>
          <w:p w:rsidR="00CB0DD7" w:rsidRPr="000A0A5F" w:rsidRDefault="00CB0DD7">
            <w:pPr>
              <w:pStyle w:val="TAL"/>
            </w:pPr>
            <w:r w:rsidRPr="000A0A5F">
              <w:t>1</w:t>
            </w:r>
          </w:p>
        </w:tc>
        <w:tc>
          <w:tcPr>
            <w:tcW w:w="500" w:type="pct"/>
          </w:tcPr>
          <w:p w:rsidR="00CB0DD7" w:rsidRPr="000A0A5F" w:rsidRDefault="00CB0DD7">
            <w:pPr>
              <w:pStyle w:val="TAL"/>
            </w:pPr>
            <w:r w:rsidRPr="000A0A5F">
              <w:t>200 OK</w:t>
            </w:r>
          </w:p>
        </w:tc>
        <w:tc>
          <w:tcPr>
            <w:tcW w:w="2334" w:type="pct"/>
          </w:tcPr>
          <w:p w:rsidR="00CB0DD7" w:rsidRPr="000A0A5F" w:rsidRDefault="00CB0DD7">
            <w:pPr>
              <w:pStyle w:val="TAL"/>
            </w:pPr>
            <w:r w:rsidRPr="000A0A5F">
              <w:t>The configuration information related to the request URI is returned.</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None</w:t>
            </w:r>
          </w:p>
        </w:tc>
        <w:tc>
          <w:tcPr>
            <w:tcW w:w="541" w:type="pct"/>
          </w:tcPr>
          <w:p w:rsidR="00CB0DD7" w:rsidRPr="000A0A5F" w:rsidRDefault="00CB0DD7">
            <w:pPr>
              <w:pStyle w:val="TAL"/>
            </w:pPr>
          </w:p>
        </w:tc>
        <w:tc>
          <w:tcPr>
            <w:tcW w:w="500" w:type="pct"/>
          </w:tcPr>
          <w:p w:rsidR="00CB0DD7" w:rsidRPr="000A0A5F" w:rsidRDefault="00CB0DD7">
            <w:pPr>
              <w:pStyle w:val="TAL"/>
            </w:pPr>
            <w:r w:rsidRPr="000A0A5F">
              <w:t>307 Temporary Redirect</w:t>
            </w:r>
          </w:p>
        </w:tc>
        <w:tc>
          <w:tcPr>
            <w:tcW w:w="2334" w:type="pct"/>
          </w:tcPr>
          <w:p w:rsidR="00CB0DD7" w:rsidRPr="000A0A5F" w:rsidRDefault="00CB0DD7">
            <w:pPr>
              <w:pStyle w:val="TAL"/>
            </w:pPr>
            <w:r w:rsidRPr="000A0A5F">
              <w:t>Temporary redirection, during configuration retrieval. The response shall include a Location header field containing an alternative URI of the resource located in an alternative SCEF.</w:t>
            </w:r>
          </w:p>
          <w:p w:rsidR="00CB0DD7" w:rsidRPr="000A0A5F" w:rsidRDefault="00CB0DD7">
            <w:pPr>
              <w:pStyle w:val="TAL"/>
            </w:pPr>
            <w:r w:rsidRPr="000A0A5F">
              <w:t>Redirection handling is described in clause 5.2.10.</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None</w:t>
            </w:r>
          </w:p>
        </w:tc>
        <w:tc>
          <w:tcPr>
            <w:tcW w:w="541" w:type="pct"/>
          </w:tcPr>
          <w:p w:rsidR="00CB0DD7" w:rsidRPr="000A0A5F" w:rsidRDefault="00CB0DD7">
            <w:pPr>
              <w:pStyle w:val="TAL"/>
            </w:pPr>
          </w:p>
        </w:tc>
        <w:tc>
          <w:tcPr>
            <w:tcW w:w="500" w:type="pct"/>
          </w:tcPr>
          <w:p w:rsidR="00CB0DD7" w:rsidRPr="000A0A5F" w:rsidRDefault="00CB0DD7">
            <w:pPr>
              <w:pStyle w:val="TAL"/>
            </w:pPr>
            <w:r w:rsidRPr="000A0A5F">
              <w:t>308 Permanent Redirect</w:t>
            </w:r>
          </w:p>
        </w:tc>
        <w:tc>
          <w:tcPr>
            <w:tcW w:w="2334" w:type="pct"/>
          </w:tcPr>
          <w:p w:rsidR="00CB0DD7" w:rsidRPr="000A0A5F" w:rsidRDefault="00CB0DD7">
            <w:pPr>
              <w:pStyle w:val="TAL"/>
            </w:pPr>
            <w:r w:rsidRPr="000A0A5F">
              <w:t>Permanent redirection, during configuration retrieval. The response shall include a Location header field containing an alternative URI of the resource located in an alternative SCEF.</w:t>
            </w:r>
          </w:p>
          <w:p w:rsidR="00CB0DD7" w:rsidRPr="000A0A5F" w:rsidRDefault="00CB0DD7">
            <w:pPr>
              <w:pStyle w:val="TAL"/>
            </w:pPr>
            <w:r w:rsidRPr="000A0A5F">
              <w:t>Redirection handling is described in clause 5.2.10.</w:t>
            </w:r>
          </w:p>
        </w:tc>
      </w:tr>
      <w:tr w:rsidR="00CB0DD7" w:rsidRPr="000A0A5F" w:rsidTr="00FF0AF8">
        <w:tc>
          <w:tcPr>
            <w:tcW w:w="5000" w:type="pct"/>
            <w:gridSpan w:val="5"/>
            <w:shd w:val="clear" w:color="auto" w:fill="auto"/>
            <w:vAlign w:val="center"/>
          </w:tcPr>
          <w:p w:rsidR="00CB0DD7" w:rsidRPr="000A0A5F" w:rsidRDefault="00CB0DD7">
            <w:pPr>
              <w:pStyle w:val="TAN"/>
            </w:pPr>
            <w:r w:rsidRPr="000A0A5F">
              <w:t>NOTE:</w:t>
            </w:r>
            <w:r w:rsidRPr="000A0A5F">
              <w:tab/>
              <w:t>The mandatory HTTP error status codes for the GET method listed in table 5.2.6-1 also apply.</w:t>
            </w:r>
          </w:p>
        </w:tc>
      </w:tr>
    </w:tbl>
    <w:p w:rsidR="00CB0DD7" w:rsidRPr="000A0A5F" w:rsidRDefault="00CB0DD7"/>
    <w:p w:rsidR="00CB0DD7" w:rsidRPr="000A0A5F" w:rsidRDefault="00771F41">
      <w:pPr>
        <w:pStyle w:val="TH"/>
      </w:pPr>
      <w:r w:rsidRPr="000A0A5F">
        <w:t>Table </w:t>
      </w:r>
      <w:r w:rsidR="00CB0DD7" w:rsidRPr="000A0A5F">
        <w:t>5.6.3.3.3.1-3: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771F41">
      <w:pPr>
        <w:pStyle w:val="TH"/>
      </w:pPr>
      <w:r w:rsidRPr="000A0A5F">
        <w:t>Table </w:t>
      </w:r>
      <w:r w:rsidR="00CB0DD7" w:rsidRPr="000A0A5F">
        <w:t>5.6.3.3.3.1-4: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CB0DD7">
      <w:pPr>
        <w:pStyle w:val="Heading6"/>
      </w:pPr>
      <w:bookmarkStart w:id="4015" w:name="_Toc11247475"/>
      <w:bookmarkStart w:id="4016" w:name="_Toc27044599"/>
      <w:bookmarkStart w:id="4017" w:name="_Toc36033641"/>
      <w:bookmarkStart w:id="4018" w:name="_Toc45131778"/>
      <w:bookmarkStart w:id="4019" w:name="_Toc49776063"/>
      <w:bookmarkStart w:id="4020" w:name="_Toc51746983"/>
      <w:bookmarkStart w:id="4021" w:name="_Toc66360538"/>
      <w:bookmarkStart w:id="4022" w:name="_Toc68105043"/>
      <w:bookmarkStart w:id="4023" w:name="_Toc74755673"/>
      <w:bookmarkStart w:id="4024" w:name="_Toc105674547"/>
      <w:bookmarkStart w:id="4025" w:name="_Toc130502595"/>
      <w:bookmarkStart w:id="4026" w:name="_Toc153625382"/>
      <w:r w:rsidRPr="000A0A5F">
        <w:t>5.6.3.3.3.2</w:t>
      </w:r>
      <w:r w:rsidRPr="000A0A5F">
        <w:tab/>
        <w:t>PUT</w:t>
      </w:r>
      <w:bookmarkEnd w:id="4015"/>
      <w:bookmarkEnd w:id="4016"/>
      <w:bookmarkEnd w:id="4017"/>
      <w:bookmarkEnd w:id="4018"/>
      <w:bookmarkEnd w:id="4019"/>
      <w:bookmarkEnd w:id="4020"/>
      <w:bookmarkEnd w:id="4021"/>
      <w:bookmarkEnd w:id="4022"/>
      <w:bookmarkEnd w:id="4023"/>
      <w:bookmarkEnd w:id="4024"/>
      <w:bookmarkEnd w:id="4025"/>
      <w:bookmarkEnd w:id="4026"/>
    </w:p>
    <w:p w:rsidR="00CB0DD7" w:rsidRPr="000A0A5F" w:rsidRDefault="00CB0DD7">
      <w:pPr>
        <w:rPr>
          <w:rFonts w:hint="eastAsia"/>
          <w:lang w:eastAsia="zh-CN"/>
        </w:rPr>
      </w:pPr>
      <w:r w:rsidRPr="000A0A5F">
        <w:rPr>
          <w:rFonts w:hint="eastAsia"/>
          <w:lang w:eastAsia="zh-CN"/>
        </w:rPr>
        <w:t xml:space="preserve">This </w:t>
      </w:r>
      <w:r w:rsidRPr="000A0A5F">
        <w:rPr>
          <w:lang w:eastAsia="zh-CN"/>
        </w:rPr>
        <w:t>HTTP method is not supported for the resource.</w:t>
      </w:r>
    </w:p>
    <w:p w:rsidR="00CB0DD7" w:rsidRPr="000A0A5F" w:rsidRDefault="00CB0DD7">
      <w:pPr>
        <w:pStyle w:val="Heading6"/>
        <w:rPr>
          <w:rFonts w:hint="eastAsia"/>
          <w:lang w:eastAsia="zh-CN"/>
        </w:rPr>
      </w:pPr>
      <w:bookmarkStart w:id="4027" w:name="_Toc11247476"/>
      <w:bookmarkStart w:id="4028" w:name="_Toc27044600"/>
      <w:bookmarkStart w:id="4029" w:name="_Toc36033642"/>
      <w:bookmarkStart w:id="4030" w:name="_Toc45131779"/>
      <w:bookmarkStart w:id="4031" w:name="_Toc49776064"/>
      <w:bookmarkStart w:id="4032" w:name="_Toc51746984"/>
      <w:bookmarkStart w:id="4033" w:name="_Toc66360539"/>
      <w:bookmarkStart w:id="4034" w:name="_Toc68105044"/>
      <w:bookmarkStart w:id="4035" w:name="_Toc74755674"/>
      <w:bookmarkStart w:id="4036" w:name="_Toc105674548"/>
      <w:bookmarkStart w:id="4037" w:name="_Toc130502596"/>
      <w:bookmarkStart w:id="4038" w:name="_Toc153625383"/>
      <w:r w:rsidRPr="000A0A5F">
        <w:t>5.6.3.3.3.3</w:t>
      </w:r>
      <w:r w:rsidRPr="000A0A5F">
        <w:tab/>
        <w:t>PATCH</w:t>
      </w:r>
      <w:bookmarkEnd w:id="4027"/>
      <w:bookmarkEnd w:id="4028"/>
      <w:bookmarkEnd w:id="4029"/>
      <w:bookmarkEnd w:id="4030"/>
      <w:bookmarkEnd w:id="4031"/>
      <w:bookmarkEnd w:id="4032"/>
      <w:bookmarkEnd w:id="4033"/>
      <w:bookmarkEnd w:id="4034"/>
      <w:bookmarkEnd w:id="4035"/>
      <w:bookmarkEnd w:id="4036"/>
      <w:bookmarkEnd w:id="4037"/>
      <w:bookmarkEnd w:id="4038"/>
    </w:p>
    <w:p w:rsidR="00CB0DD7" w:rsidRPr="000A0A5F" w:rsidRDefault="00CB0DD7">
      <w:r w:rsidRPr="000A0A5F">
        <w:t>Assuming that a NIDD</w:t>
      </w:r>
      <w:r w:rsidRPr="000A0A5F">
        <w:rPr>
          <w:rFonts w:hint="eastAsia"/>
          <w:lang w:eastAsia="zh-CN"/>
        </w:rPr>
        <w:t xml:space="preserve"> </w:t>
      </w:r>
      <w:r w:rsidRPr="000A0A5F">
        <w:t xml:space="preserve">configuration has been created using the </w:t>
      </w:r>
      <w:r w:rsidRPr="000A0A5F">
        <w:rPr>
          <w:rFonts w:hint="eastAsia"/>
          <w:lang w:eastAsia="zh-CN"/>
        </w:rPr>
        <w:t>HTTP POST</w:t>
      </w:r>
      <w:r w:rsidRPr="000A0A5F">
        <w:t xml:space="preserve"> method described in clause 5.</w:t>
      </w:r>
      <w:r w:rsidRPr="000A0A5F">
        <w:rPr>
          <w:rFonts w:hint="eastAsia"/>
          <w:lang w:eastAsia="zh-CN"/>
        </w:rPr>
        <w:t>6.3.2.3.4</w:t>
      </w:r>
      <w:r w:rsidRPr="000A0A5F">
        <w:t xml:space="preserve">, partial updating of its properties can be performed by the </w:t>
      </w:r>
      <w:r w:rsidRPr="000A0A5F">
        <w:rPr>
          <w:rFonts w:hint="eastAsia"/>
          <w:lang w:eastAsia="zh-CN"/>
        </w:rPr>
        <w:t>SCS/AS</w:t>
      </w:r>
      <w:r w:rsidRPr="000A0A5F">
        <w:t xml:space="preserve"> by using the HTTP PATCH method on the "</w:t>
      </w:r>
      <w:r w:rsidRPr="000A0A5F">
        <w:rPr>
          <w:rFonts w:hint="eastAsia"/>
          <w:lang w:eastAsia="zh-CN"/>
        </w:rPr>
        <w:t>configuration</w:t>
      </w:r>
      <w:r w:rsidRPr="000A0A5F">
        <w:t>" instance resource as follows:</w:t>
      </w:r>
    </w:p>
    <w:p w:rsidR="00CB0DD7" w:rsidRPr="000A0A5F" w:rsidRDefault="00CB0DD7">
      <w:pPr>
        <w:pStyle w:val="B10"/>
        <w:rPr>
          <w:rFonts w:hint="eastAsia"/>
          <w:lang w:eastAsia="zh-CN"/>
        </w:rPr>
      </w:pPr>
      <w:r w:rsidRPr="000A0A5F">
        <w:t>-</w:t>
      </w:r>
      <w:r w:rsidRPr="000A0A5F">
        <w:tab/>
        <w:t>the body of the message is encoded in JSON format</w:t>
      </w:r>
      <w:r w:rsidRPr="000A0A5F">
        <w:rPr>
          <w:rFonts w:hint="eastAsia"/>
          <w:lang w:eastAsia="zh-CN"/>
        </w:rPr>
        <w:t xml:space="preserve"> with the data structure defined in table</w:t>
      </w:r>
      <w:r w:rsidRPr="000A0A5F">
        <w:rPr>
          <w:lang w:val="en-US" w:eastAsia="zh-CN"/>
        </w:rPr>
        <w:t> </w:t>
      </w:r>
      <w:r w:rsidRPr="000A0A5F">
        <w:rPr>
          <w:rFonts w:hint="eastAsia"/>
          <w:lang w:eastAsia="zh-CN"/>
        </w:rPr>
        <w:t>5.6.2.1.2-1</w:t>
      </w:r>
    </w:p>
    <w:p w:rsidR="00CB0DD7" w:rsidRPr="000A0A5F" w:rsidRDefault="00CB0DD7">
      <w:pPr>
        <w:rPr>
          <w:rFonts w:hint="eastAsia"/>
          <w:lang w:eastAsia="zh-CN"/>
        </w:rPr>
      </w:pPr>
      <w:r w:rsidRPr="000A0A5F">
        <w:t>The possible response messages from the</w:t>
      </w:r>
      <w:r w:rsidRPr="000A0A5F">
        <w:rPr>
          <w:rFonts w:hint="eastAsia"/>
          <w:lang w:eastAsia="zh-CN"/>
        </w:rPr>
        <w:t xml:space="preserve"> SCEF</w:t>
      </w:r>
      <w:r w:rsidRPr="000A0A5F">
        <w:t xml:space="preserve">, depending on whether the PATCH request is successful or unsuccessful, are shown in </w:t>
      </w:r>
      <w:r w:rsidR="00771F41" w:rsidRPr="000A0A5F">
        <w:t>table </w:t>
      </w:r>
      <w:r w:rsidRPr="000A0A5F">
        <w:t>5.6.3.3.3.3</w:t>
      </w:r>
      <w:r w:rsidRPr="000A0A5F">
        <w:rPr>
          <w:rFonts w:hint="eastAsia"/>
          <w:lang w:eastAsia="zh-CN"/>
        </w:rPr>
        <w:t>-1</w:t>
      </w:r>
      <w:r w:rsidRPr="000A0A5F">
        <w:t>.</w:t>
      </w:r>
    </w:p>
    <w:p w:rsidR="00CB0DD7" w:rsidRPr="000A0A5F" w:rsidRDefault="00CB0DD7">
      <w:pPr>
        <w:pStyle w:val="TH"/>
      </w:pPr>
      <w:r w:rsidRPr="000A0A5F">
        <w:t>Table 5.6.3.3.3.3</w:t>
      </w:r>
      <w:r w:rsidRPr="000A0A5F">
        <w:rPr>
          <w:rFonts w:hint="eastAsia"/>
          <w:lang w:eastAsia="zh-CN"/>
        </w:rPr>
        <w:t>-1</w:t>
      </w:r>
      <w:r w:rsidRPr="000A0A5F">
        <w:t xml:space="preserve">: Data structures supported by the </w:t>
      </w:r>
      <w:r w:rsidRPr="000A0A5F">
        <w:rPr>
          <w:rFonts w:hint="eastAsia"/>
          <w:lang w:eastAsia="zh-CN"/>
        </w:rPr>
        <w:t>PATCH</w:t>
      </w:r>
      <w:r w:rsidRPr="000A0A5F">
        <w:t xml:space="preserve"> request/response by the resource</w:t>
      </w:r>
    </w:p>
    <w:tbl>
      <w:tblPr>
        <w:tblW w:w="4999" w:type="pct"/>
        <w:tblInd w:w="1" w:type="dxa"/>
        <w:tblBorders>
          <w:top w:val="single" w:sz="6" w:space="0" w:color="000000"/>
          <w:left w:val="single" w:sz="6" w:space="0" w:color="000000"/>
          <w:bottom w:val="single" w:sz="6" w:space="0" w:color="000000"/>
          <w:right w:val="single" w:sz="6" w:space="0" w:color="000000"/>
          <w:insideH w:val="single" w:sz="6" w:space="0" w:color="auto"/>
          <w:insideV w:val="single" w:sz="6" w:space="0" w:color="000000"/>
        </w:tblBorders>
        <w:tblLayout w:type="fixed"/>
        <w:tblCellMar>
          <w:top w:w="45" w:type="dxa"/>
          <w:left w:w="45" w:type="dxa"/>
          <w:bottom w:w="45" w:type="dxa"/>
          <w:right w:w="45" w:type="dxa"/>
        </w:tblCellMar>
        <w:tblLook w:val="0000" w:firstRow="0" w:lastRow="0" w:firstColumn="0" w:lastColumn="0" w:noHBand="0" w:noVBand="0"/>
      </w:tblPr>
      <w:tblGrid>
        <w:gridCol w:w="1035"/>
        <w:gridCol w:w="2127"/>
        <w:gridCol w:w="1053"/>
        <w:gridCol w:w="973"/>
        <w:gridCol w:w="4541"/>
      </w:tblGrid>
      <w:tr w:rsidR="00CB0DD7" w:rsidRPr="000A0A5F" w:rsidTr="0086706F">
        <w:tc>
          <w:tcPr>
            <w:tcW w:w="532" w:type="pct"/>
            <w:vMerge w:val="restart"/>
            <w:shd w:val="clear" w:color="auto" w:fill="C0C0C0"/>
            <w:vAlign w:val="center"/>
          </w:tcPr>
          <w:p w:rsidR="00CB0DD7" w:rsidRPr="000A0A5F" w:rsidRDefault="00CB0DD7">
            <w:pPr>
              <w:pStyle w:val="TAH"/>
            </w:pPr>
            <w:r w:rsidRPr="000A0A5F">
              <w:t>Request body</w:t>
            </w:r>
          </w:p>
        </w:tc>
        <w:tc>
          <w:tcPr>
            <w:tcW w:w="1093" w:type="pct"/>
            <w:shd w:val="clear" w:color="auto" w:fill="C0C0C0"/>
          </w:tcPr>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r w:rsidRPr="000A0A5F">
              <w:t>Cardinality</w:t>
            </w:r>
          </w:p>
        </w:tc>
        <w:tc>
          <w:tcPr>
            <w:tcW w:w="2834" w:type="pct"/>
            <w:gridSpan w:val="2"/>
            <w:shd w:val="clear" w:color="auto" w:fill="C0C0C0"/>
          </w:tcPr>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rPr>
                <w:rFonts w:hint="eastAsia"/>
                <w:lang w:eastAsia="zh-CN"/>
              </w:rPr>
              <w:t>N</w:t>
            </w:r>
            <w:r w:rsidRPr="000A0A5F">
              <w:rPr>
                <w:lang w:eastAsia="zh-CN"/>
              </w:rPr>
              <w:t>idd</w:t>
            </w:r>
            <w:r w:rsidRPr="000A0A5F">
              <w:rPr>
                <w:rFonts w:hint="eastAsia"/>
                <w:lang w:eastAsia="zh-CN"/>
              </w:rPr>
              <w:t>Configuration</w:t>
            </w:r>
            <w:r w:rsidRPr="000A0A5F">
              <w:rPr>
                <w:lang w:eastAsia="zh-CN"/>
              </w:rPr>
              <w:t>Patch</w:t>
            </w:r>
          </w:p>
        </w:tc>
        <w:tc>
          <w:tcPr>
            <w:tcW w:w="541" w:type="pct"/>
          </w:tcPr>
          <w:p w:rsidR="00CB0DD7" w:rsidRPr="000A0A5F" w:rsidRDefault="00CB0DD7">
            <w:pPr>
              <w:pStyle w:val="TAL"/>
            </w:pPr>
            <w:r w:rsidRPr="000A0A5F">
              <w:t>1</w:t>
            </w:r>
          </w:p>
        </w:tc>
        <w:tc>
          <w:tcPr>
            <w:tcW w:w="2834" w:type="pct"/>
            <w:gridSpan w:val="2"/>
          </w:tcPr>
          <w:p w:rsidR="00CB0DD7" w:rsidRPr="000A0A5F" w:rsidRDefault="00CB0DD7">
            <w:pPr>
              <w:pStyle w:val="TAL"/>
            </w:pPr>
            <w:r w:rsidRPr="000A0A5F">
              <w:t xml:space="preserve">Parameters to </w:t>
            </w:r>
            <w:r w:rsidRPr="000A0A5F">
              <w:rPr>
                <w:rFonts w:hint="eastAsia"/>
                <w:lang w:eastAsia="zh-CN"/>
              </w:rPr>
              <w:t xml:space="preserve">update a NIDD configuration </w:t>
            </w:r>
            <w:r w:rsidRPr="000A0A5F">
              <w:t>with the SCEF.</w:t>
            </w:r>
          </w:p>
        </w:tc>
      </w:tr>
      <w:tr w:rsidR="00CB0DD7" w:rsidRPr="000A0A5F" w:rsidTr="0086706F">
        <w:tc>
          <w:tcPr>
            <w:tcW w:w="532" w:type="pct"/>
            <w:vMerge w:val="restart"/>
            <w:shd w:val="clear" w:color="auto" w:fill="C0C0C0"/>
            <w:vAlign w:val="center"/>
          </w:tcPr>
          <w:p w:rsidR="00CB0DD7" w:rsidRPr="000A0A5F" w:rsidRDefault="00CB0DD7">
            <w:pPr>
              <w:pStyle w:val="TAH"/>
            </w:pPr>
            <w:r w:rsidRPr="000A0A5F">
              <w:t>Response body</w:t>
            </w:r>
          </w:p>
        </w:tc>
        <w:tc>
          <w:tcPr>
            <w:tcW w:w="1093" w:type="pct"/>
            <w:shd w:val="clear" w:color="auto" w:fill="C0C0C0"/>
          </w:tcPr>
          <w:p w:rsidR="00CB0DD7" w:rsidRPr="000A0A5F" w:rsidRDefault="00CB0DD7">
            <w:pPr>
              <w:pStyle w:val="TAH"/>
            </w:pPr>
          </w:p>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p>
          <w:p w:rsidR="00CB0DD7" w:rsidRPr="000A0A5F" w:rsidRDefault="00CB0DD7">
            <w:pPr>
              <w:pStyle w:val="TAH"/>
            </w:pPr>
            <w:r w:rsidRPr="000A0A5F">
              <w:t>Cardinality</w:t>
            </w:r>
          </w:p>
        </w:tc>
        <w:tc>
          <w:tcPr>
            <w:tcW w:w="500" w:type="pct"/>
            <w:shd w:val="clear" w:color="auto" w:fill="C0C0C0"/>
          </w:tcPr>
          <w:p w:rsidR="00CB0DD7" w:rsidRPr="000A0A5F" w:rsidRDefault="00CB0DD7">
            <w:pPr>
              <w:pStyle w:val="TAH"/>
            </w:pPr>
            <w:r w:rsidRPr="000A0A5F">
              <w:t>Response</w:t>
            </w:r>
          </w:p>
          <w:p w:rsidR="00CB0DD7" w:rsidRPr="000A0A5F" w:rsidRDefault="00CB0DD7">
            <w:pPr>
              <w:pStyle w:val="TAH"/>
            </w:pPr>
            <w:r w:rsidRPr="000A0A5F">
              <w:t>codes</w:t>
            </w:r>
          </w:p>
        </w:tc>
        <w:tc>
          <w:tcPr>
            <w:tcW w:w="2334" w:type="pct"/>
            <w:shd w:val="clear" w:color="auto" w:fill="C0C0C0"/>
          </w:tcPr>
          <w:p w:rsidR="00CB0DD7" w:rsidRPr="000A0A5F" w:rsidRDefault="00CB0DD7">
            <w:pPr>
              <w:pStyle w:val="TAH"/>
            </w:pPr>
          </w:p>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rPr>
                <w:rFonts w:hint="eastAsia"/>
                <w:lang w:eastAsia="zh-CN"/>
              </w:rPr>
              <w:t>N</w:t>
            </w:r>
            <w:r w:rsidRPr="000A0A5F">
              <w:rPr>
                <w:lang w:eastAsia="zh-CN"/>
              </w:rPr>
              <w:t>idd</w:t>
            </w:r>
            <w:r w:rsidRPr="000A0A5F">
              <w:rPr>
                <w:rFonts w:hint="eastAsia"/>
                <w:lang w:eastAsia="zh-CN"/>
              </w:rPr>
              <w:t>Configuration</w:t>
            </w:r>
          </w:p>
        </w:tc>
        <w:tc>
          <w:tcPr>
            <w:tcW w:w="541" w:type="pct"/>
          </w:tcPr>
          <w:p w:rsidR="00CB0DD7" w:rsidRPr="000A0A5F" w:rsidRDefault="00CB0DD7">
            <w:pPr>
              <w:pStyle w:val="TAL"/>
              <w:rPr>
                <w:rFonts w:hint="eastAsia"/>
                <w:lang w:eastAsia="zh-CN"/>
              </w:rPr>
            </w:pPr>
            <w:r w:rsidRPr="000A0A5F">
              <w:rPr>
                <w:rFonts w:hint="eastAsia"/>
                <w:lang w:eastAsia="zh-CN"/>
              </w:rPr>
              <w:t>1</w:t>
            </w:r>
          </w:p>
        </w:tc>
        <w:tc>
          <w:tcPr>
            <w:tcW w:w="500" w:type="pct"/>
          </w:tcPr>
          <w:p w:rsidR="00CB0DD7" w:rsidRPr="000A0A5F" w:rsidRDefault="00CB0DD7">
            <w:pPr>
              <w:pStyle w:val="TAL"/>
              <w:rPr>
                <w:rFonts w:hint="eastAsia"/>
                <w:lang w:eastAsia="zh-CN"/>
              </w:rPr>
            </w:pPr>
            <w:r w:rsidRPr="000A0A5F">
              <w:t>20</w:t>
            </w:r>
            <w:r w:rsidRPr="000A0A5F">
              <w:rPr>
                <w:rFonts w:hint="eastAsia"/>
                <w:lang w:eastAsia="zh-CN"/>
              </w:rPr>
              <w:t>0 OK</w:t>
            </w:r>
          </w:p>
        </w:tc>
        <w:tc>
          <w:tcPr>
            <w:tcW w:w="2334" w:type="pct"/>
          </w:tcPr>
          <w:p w:rsidR="00CB0DD7" w:rsidRPr="000A0A5F" w:rsidRDefault="00CB0DD7">
            <w:pPr>
              <w:pStyle w:val="TAL"/>
            </w:pPr>
            <w:r w:rsidRPr="000A0A5F">
              <w:t xml:space="preserve">The </w:t>
            </w:r>
            <w:r w:rsidRPr="000A0A5F">
              <w:rPr>
                <w:rFonts w:hint="eastAsia"/>
                <w:lang w:eastAsia="zh-CN"/>
              </w:rPr>
              <w:t>NIDD configuration</w:t>
            </w:r>
            <w:r w:rsidRPr="000A0A5F">
              <w:t xml:space="preserve"> was </w:t>
            </w:r>
            <w:r w:rsidRPr="000A0A5F">
              <w:rPr>
                <w:rFonts w:hint="eastAsia"/>
                <w:lang w:eastAsia="zh-CN"/>
              </w:rPr>
              <w:t>modified</w:t>
            </w:r>
            <w:r w:rsidRPr="000A0A5F">
              <w:t xml:space="preserve"> successfully. </w:t>
            </w:r>
          </w:p>
          <w:p w:rsidR="00CB0DD7" w:rsidRPr="000A0A5F" w:rsidRDefault="00CB0DD7">
            <w:pPr>
              <w:pStyle w:val="TAL"/>
            </w:pPr>
          </w:p>
          <w:p w:rsidR="00CB0DD7" w:rsidRPr="000A0A5F" w:rsidRDefault="009F3663">
            <w:pPr>
              <w:pStyle w:val="TAL"/>
              <w:rPr>
                <w:rFonts w:hint="eastAsia"/>
                <w:lang w:eastAsia="zh-CN"/>
              </w:rPr>
            </w:pPr>
            <w:r w:rsidRPr="000A0A5F">
              <w:t xml:space="preserve">The SCEF </w:t>
            </w:r>
            <w:r w:rsidRPr="000A0A5F">
              <w:rPr>
                <w:rFonts w:hint="eastAsia"/>
                <w:lang w:eastAsia="zh-CN"/>
              </w:rPr>
              <w:t>shall</w:t>
            </w:r>
            <w:r w:rsidRPr="000A0A5F">
              <w:t xml:space="preserve"> return an updated data structure of type "</w:t>
            </w:r>
            <w:r w:rsidRPr="000A0A5F">
              <w:rPr>
                <w:rFonts w:hint="eastAsia"/>
                <w:lang w:eastAsia="zh-CN"/>
              </w:rPr>
              <w:t>N</w:t>
            </w:r>
            <w:r w:rsidRPr="000A0A5F">
              <w:rPr>
                <w:lang w:eastAsia="zh-CN"/>
              </w:rPr>
              <w:t>idd</w:t>
            </w:r>
            <w:r w:rsidRPr="000A0A5F">
              <w:rPr>
                <w:rFonts w:hint="eastAsia"/>
                <w:lang w:eastAsia="zh-CN"/>
              </w:rPr>
              <w:t>Configuration</w:t>
            </w:r>
            <w:r w:rsidRPr="000A0A5F">
              <w:t>" in the response content.</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rPr>
                <w:lang w:eastAsia="zh-CN"/>
              </w:rPr>
              <w:t>None</w:t>
            </w:r>
          </w:p>
        </w:tc>
        <w:tc>
          <w:tcPr>
            <w:tcW w:w="541" w:type="pct"/>
          </w:tcPr>
          <w:p w:rsidR="00CB0DD7" w:rsidRPr="000A0A5F" w:rsidRDefault="00CB0DD7">
            <w:pPr>
              <w:pStyle w:val="TAL"/>
              <w:rPr>
                <w:rFonts w:hint="eastAsia"/>
                <w:lang w:eastAsia="zh-CN"/>
              </w:rPr>
            </w:pPr>
          </w:p>
        </w:tc>
        <w:tc>
          <w:tcPr>
            <w:tcW w:w="500" w:type="pct"/>
          </w:tcPr>
          <w:p w:rsidR="00CB0DD7" w:rsidRPr="000A0A5F" w:rsidRDefault="00CB0DD7">
            <w:pPr>
              <w:pStyle w:val="TAL"/>
            </w:pPr>
            <w:r w:rsidRPr="000A0A5F">
              <w:t>204 No Content</w:t>
            </w:r>
          </w:p>
        </w:tc>
        <w:tc>
          <w:tcPr>
            <w:tcW w:w="2334" w:type="pct"/>
          </w:tcPr>
          <w:p w:rsidR="00CB0DD7" w:rsidRPr="000A0A5F" w:rsidRDefault="00CB0DD7">
            <w:pPr>
              <w:pStyle w:val="TAL"/>
            </w:pPr>
            <w:r w:rsidRPr="000A0A5F">
              <w:t>The NIDD configuration has been modified successfully and no content is to be sent in the response message body.</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t>None</w:t>
            </w:r>
          </w:p>
        </w:tc>
        <w:tc>
          <w:tcPr>
            <w:tcW w:w="541" w:type="pct"/>
          </w:tcPr>
          <w:p w:rsidR="00CB0DD7" w:rsidRPr="000A0A5F" w:rsidRDefault="00CB0DD7">
            <w:pPr>
              <w:pStyle w:val="TAL"/>
              <w:rPr>
                <w:rFonts w:hint="eastAsia"/>
                <w:lang w:eastAsia="zh-CN"/>
              </w:rPr>
            </w:pPr>
          </w:p>
        </w:tc>
        <w:tc>
          <w:tcPr>
            <w:tcW w:w="500" w:type="pct"/>
          </w:tcPr>
          <w:p w:rsidR="00CB0DD7" w:rsidRPr="000A0A5F" w:rsidRDefault="00CB0DD7">
            <w:pPr>
              <w:pStyle w:val="TAL"/>
            </w:pPr>
            <w:r w:rsidRPr="000A0A5F">
              <w:t>307 Temporary Redirect</w:t>
            </w:r>
          </w:p>
        </w:tc>
        <w:tc>
          <w:tcPr>
            <w:tcW w:w="2334" w:type="pct"/>
          </w:tcPr>
          <w:p w:rsidR="00CB0DD7" w:rsidRPr="000A0A5F" w:rsidRDefault="00CB0DD7">
            <w:pPr>
              <w:pStyle w:val="TAL"/>
            </w:pPr>
            <w:r w:rsidRPr="000A0A5F">
              <w:t>Temporary redirection, during configuration modification. The response shall include a Location header field containing an alternative URI of the resource located in an alternative SCEF.</w:t>
            </w:r>
          </w:p>
          <w:p w:rsidR="00CB0DD7" w:rsidRPr="000A0A5F" w:rsidRDefault="00CB0DD7">
            <w:pPr>
              <w:pStyle w:val="TAL"/>
            </w:pPr>
            <w:r w:rsidRPr="000A0A5F">
              <w:t>Redirection handling is described in clause 5.2.10.</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t>None</w:t>
            </w:r>
          </w:p>
        </w:tc>
        <w:tc>
          <w:tcPr>
            <w:tcW w:w="541" w:type="pct"/>
          </w:tcPr>
          <w:p w:rsidR="00CB0DD7" w:rsidRPr="000A0A5F" w:rsidRDefault="00CB0DD7">
            <w:pPr>
              <w:pStyle w:val="TAL"/>
              <w:rPr>
                <w:rFonts w:hint="eastAsia"/>
                <w:lang w:eastAsia="zh-CN"/>
              </w:rPr>
            </w:pPr>
          </w:p>
        </w:tc>
        <w:tc>
          <w:tcPr>
            <w:tcW w:w="500" w:type="pct"/>
          </w:tcPr>
          <w:p w:rsidR="00CB0DD7" w:rsidRPr="000A0A5F" w:rsidRDefault="00CB0DD7">
            <w:pPr>
              <w:pStyle w:val="TAL"/>
            </w:pPr>
            <w:r w:rsidRPr="000A0A5F">
              <w:t>308 Permanent Redirect</w:t>
            </w:r>
          </w:p>
        </w:tc>
        <w:tc>
          <w:tcPr>
            <w:tcW w:w="2334" w:type="pct"/>
          </w:tcPr>
          <w:p w:rsidR="00CB0DD7" w:rsidRPr="000A0A5F" w:rsidRDefault="00CB0DD7">
            <w:pPr>
              <w:pStyle w:val="TAL"/>
            </w:pPr>
            <w:r w:rsidRPr="000A0A5F">
              <w:t>Permanent redirection, during configuration modification. The response shall include a Location header field containing an alternative URI of the resource located in an alternative SCEF.</w:t>
            </w:r>
          </w:p>
          <w:p w:rsidR="00CB0DD7" w:rsidRPr="000A0A5F" w:rsidRDefault="00CB0DD7">
            <w:pPr>
              <w:pStyle w:val="TAL"/>
            </w:pPr>
            <w:r w:rsidRPr="000A0A5F">
              <w:t>Redirection handling is described in clause 5.2.10.</w:t>
            </w:r>
          </w:p>
        </w:tc>
      </w:tr>
      <w:tr w:rsidR="00CB0DD7" w:rsidRPr="000A0A5F" w:rsidTr="00FF0AF8">
        <w:tc>
          <w:tcPr>
            <w:tcW w:w="5000" w:type="pct"/>
            <w:gridSpan w:val="5"/>
            <w:shd w:val="clear" w:color="auto" w:fill="auto"/>
            <w:vAlign w:val="center"/>
          </w:tcPr>
          <w:p w:rsidR="00CB0DD7" w:rsidRPr="000A0A5F" w:rsidRDefault="00CB0DD7">
            <w:pPr>
              <w:pStyle w:val="TAN"/>
              <w:rPr>
                <w:rFonts w:hint="eastAsia"/>
                <w:lang w:eastAsia="zh-CN"/>
              </w:rPr>
            </w:pPr>
            <w:r w:rsidRPr="000A0A5F">
              <w:t>NOTE:</w:t>
            </w:r>
            <w:r w:rsidRPr="000A0A5F">
              <w:tab/>
              <w:t>The mandatory HTTP error status codes for the PATCH method listed in table 5.2.6-1 also apply.</w:t>
            </w:r>
          </w:p>
        </w:tc>
      </w:tr>
    </w:tbl>
    <w:p w:rsidR="00CB0DD7" w:rsidRPr="000A0A5F" w:rsidRDefault="00CB0DD7"/>
    <w:p w:rsidR="00CB0DD7" w:rsidRPr="000A0A5F" w:rsidRDefault="00771F41">
      <w:pPr>
        <w:pStyle w:val="TH"/>
      </w:pPr>
      <w:r w:rsidRPr="000A0A5F">
        <w:t>Table </w:t>
      </w:r>
      <w:r w:rsidR="00CB0DD7" w:rsidRPr="000A0A5F">
        <w:t>5.6.3.3.3.3-2: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771F41">
      <w:pPr>
        <w:pStyle w:val="TH"/>
      </w:pPr>
      <w:r w:rsidRPr="000A0A5F">
        <w:t>Table </w:t>
      </w:r>
      <w:r w:rsidR="00CB0DD7" w:rsidRPr="000A0A5F">
        <w:t>5.6.3.3.3.3-3: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CB0DD7">
      <w:pPr>
        <w:pStyle w:val="Heading6"/>
      </w:pPr>
      <w:bookmarkStart w:id="4039" w:name="_Toc11247477"/>
      <w:bookmarkStart w:id="4040" w:name="_Toc27044601"/>
      <w:bookmarkStart w:id="4041" w:name="_Toc36033643"/>
      <w:bookmarkStart w:id="4042" w:name="_Toc45131780"/>
      <w:bookmarkStart w:id="4043" w:name="_Toc49776065"/>
      <w:bookmarkStart w:id="4044" w:name="_Toc51746985"/>
      <w:bookmarkStart w:id="4045" w:name="_Toc66360540"/>
      <w:bookmarkStart w:id="4046" w:name="_Toc68105045"/>
      <w:bookmarkStart w:id="4047" w:name="_Toc74755675"/>
      <w:bookmarkStart w:id="4048" w:name="_Toc105674549"/>
      <w:bookmarkStart w:id="4049" w:name="_Toc130502597"/>
      <w:bookmarkStart w:id="4050" w:name="_Toc153625384"/>
      <w:r w:rsidRPr="000A0A5F">
        <w:t>5.6.3.3.3.4</w:t>
      </w:r>
      <w:r w:rsidRPr="000A0A5F">
        <w:tab/>
        <w:t>POST</w:t>
      </w:r>
      <w:bookmarkEnd w:id="4039"/>
      <w:bookmarkEnd w:id="4040"/>
      <w:bookmarkEnd w:id="4041"/>
      <w:bookmarkEnd w:id="4042"/>
      <w:bookmarkEnd w:id="4043"/>
      <w:bookmarkEnd w:id="4044"/>
      <w:bookmarkEnd w:id="4045"/>
      <w:bookmarkEnd w:id="4046"/>
      <w:bookmarkEnd w:id="4047"/>
      <w:bookmarkEnd w:id="4048"/>
      <w:bookmarkEnd w:id="4049"/>
      <w:bookmarkEnd w:id="4050"/>
    </w:p>
    <w:p w:rsidR="00CB0DD7" w:rsidRPr="000A0A5F" w:rsidRDefault="00CB0DD7">
      <w:pPr>
        <w:rPr>
          <w:rFonts w:hint="eastAsia"/>
          <w:lang w:eastAsia="zh-CN"/>
        </w:rPr>
      </w:pPr>
      <w:r w:rsidRPr="000A0A5F">
        <w:rPr>
          <w:rFonts w:hint="eastAsia"/>
          <w:lang w:eastAsia="zh-CN"/>
        </w:rPr>
        <w:t xml:space="preserve">This </w:t>
      </w:r>
      <w:r w:rsidRPr="000A0A5F">
        <w:rPr>
          <w:lang w:eastAsia="zh-CN"/>
        </w:rPr>
        <w:t>HTTP method is not supported for the resource.</w:t>
      </w:r>
    </w:p>
    <w:p w:rsidR="00CB0DD7" w:rsidRPr="000A0A5F" w:rsidRDefault="00CB0DD7">
      <w:pPr>
        <w:pStyle w:val="Heading6"/>
        <w:rPr>
          <w:rFonts w:hint="eastAsia"/>
          <w:lang w:eastAsia="zh-CN"/>
        </w:rPr>
      </w:pPr>
      <w:bookmarkStart w:id="4051" w:name="_Toc11247478"/>
      <w:bookmarkStart w:id="4052" w:name="_Toc27044602"/>
      <w:bookmarkStart w:id="4053" w:name="_Toc36033644"/>
      <w:bookmarkStart w:id="4054" w:name="_Toc45131781"/>
      <w:bookmarkStart w:id="4055" w:name="_Toc49776066"/>
      <w:bookmarkStart w:id="4056" w:name="_Toc51746986"/>
      <w:bookmarkStart w:id="4057" w:name="_Toc66360541"/>
      <w:bookmarkStart w:id="4058" w:name="_Toc68105046"/>
      <w:bookmarkStart w:id="4059" w:name="_Toc74755676"/>
      <w:bookmarkStart w:id="4060" w:name="_Toc105674550"/>
      <w:bookmarkStart w:id="4061" w:name="_Toc130502598"/>
      <w:bookmarkStart w:id="4062" w:name="_Toc153625385"/>
      <w:r w:rsidRPr="000A0A5F">
        <w:t>5.6.3.3.3.5</w:t>
      </w:r>
      <w:r w:rsidRPr="000A0A5F">
        <w:tab/>
        <w:t>DELETE</w:t>
      </w:r>
      <w:bookmarkEnd w:id="4051"/>
      <w:bookmarkEnd w:id="4052"/>
      <w:bookmarkEnd w:id="4053"/>
      <w:bookmarkEnd w:id="4054"/>
      <w:bookmarkEnd w:id="4055"/>
      <w:bookmarkEnd w:id="4056"/>
      <w:bookmarkEnd w:id="4057"/>
      <w:bookmarkEnd w:id="4058"/>
      <w:bookmarkEnd w:id="4059"/>
      <w:bookmarkEnd w:id="4060"/>
      <w:bookmarkEnd w:id="4061"/>
      <w:bookmarkEnd w:id="4062"/>
    </w:p>
    <w:p w:rsidR="00CB0DD7" w:rsidRPr="000A0A5F" w:rsidRDefault="00CB0DD7">
      <w:r w:rsidRPr="000A0A5F">
        <w:t xml:space="preserve">To </w:t>
      </w:r>
      <w:r w:rsidRPr="000A0A5F">
        <w:rPr>
          <w:rFonts w:hint="eastAsia"/>
          <w:lang w:eastAsia="zh-CN"/>
        </w:rPr>
        <w:t>cancel</w:t>
      </w:r>
      <w:r w:rsidRPr="000A0A5F">
        <w:t xml:space="preserve"> a</w:t>
      </w:r>
      <w:r w:rsidRPr="000A0A5F">
        <w:rPr>
          <w:rFonts w:hint="eastAsia"/>
          <w:lang w:eastAsia="zh-CN"/>
        </w:rPr>
        <w:t xml:space="preserve"> NIDD configuration</w:t>
      </w:r>
      <w:r w:rsidRPr="000A0A5F">
        <w:t xml:space="preserve">, the </w:t>
      </w:r>
      <w:r w:rsidRPr="000A0A5F">
        <w:rPr>
          <w:rFonts w:hint="eastAsia"/>
          <w:lang w:eastAsia="zh-CN"/>
        </w:rPr>
        <w:t xml:space="preserve">SCS/AS </w:t>
      </w:r>
      <w:r w:rsidRPr="000A0A5F">
        <w:t xml:space="preserve">shall use the HTTP DELETE method on the </w:t>
      </w:r>
      <w:r w:rsidRPr="000A0A5F">
        <w:rPr>
          <w:rFonts w:hint="eastAsia"/>
          <w:lang w:eastAsia="zh-CN"/>
        </w:rPr>
        <w:t xml:space="preserve">individual </w:t>
      </w:r>
      <w:r w:rsidRPr="000A0A5F">
        <w:t>"</w:t>
      </w:r>
      <w:r w:rsidRPr="000A0A5F">
        <w:rPr>
          <w:rFonts w:hint="eastAsia"/>
          <w:lang w:eastAsia="zh-CN"/>
        </w:rPr>
        <w:t>NIDD configuration</w:t>
      </w:r>
      <w:r w:rsidRPr="000A0A5F">
        <w:t xml:space="preserve">" resource </w:t>
      </w:r>
      <w:r w:rsidRPr="000A0A5F">
        <w:rPr>
          <w:rFonts w:hint="eastAsia"/>
          <w:lang w:eastAsia="zh-CN"/>
        </w:rPr>
        <w:t>which is indicated by the URI in the Location header of the HTTP POST response</w:t>
      </w:r>
      <w:r w:rsidRPr="000A0A5F">
        <w:t>:</w:t>
      </w:r>
    </w:p>
    <w:p w:rsidR="00CB0DD7" w:rsidRPr="000A0A5F" w:rsidRDefault="00CB0DD7">
      <w:pPr>
        <w:rPr>
          <w:rFonts w:hint="eastAsia"/>
          <w:lang w:eastAsia="zh-CN"/>
        </w:rPr>
      </w:pPr>
      <w:r w:rsidRPr="000A0A5F">
        <w:t xml:space="preserve">The possible response messages from the </w:t>
      </w:r>
      <w:r w:rsidRPr="000A0A5F">
        <w:rPr>
          <w:rFonts w:hint="eastAsia"/>
          <w:lang w:eastAsia="zh-CN"/>
        </w:rPr>
        <w:t>SCEF</w:t>
      </w:r>
      <w:r w:rsidRPr="000A0A5F">
        <w:t xml:space="preserve">, depending on whether the DELETE request is successful or unsuccessful, are shown in </w:t>
      </w:r>
      <w:r w:rsidR="00771F41" w:rsidRPr="000A0A5F">
        <w:t>Table</w:t>
      </w:r>
      <w:r w:rsidR="00771F41" w:rsidRPr="000A0A5F">
        <w:rPr>
          <w:lang w:val="en-US" w:eastAsia="zh-CN"/>
        </w:rPr>
        <w:t> </w:t>
      </w:r>
      <w:r w:rsidRPr="000A0A5F">
        <w:t>5.</w:t>
      </w:r>
      <w:r w:rsidRPr="000A0A5F">
        <w:rPr>
          <w:lang w:eastAsia="zh-CN"/>
        </w:rPr>
        <w:t>6</w:t>
      </w:r>
      <w:r w:rsidRPr="000A0A5F">
        <w:t>.3.3.3.</w:t>
      </w:r>
      <w:r w:rsidRPr="000A0A5F">
        <w:rPr>
          <w:lang w:eastAsia="zh-CN"/>
        </w:rPr>
        <w:t>5</w:t>
      </w:r>
      <w:r w:rsidRPr="000A0A5F">
        <w:rPr>
          <w:rFonts w:hint="eastAsia"/>
          <w:lang w:eastAsia="zh-CN"/>
        </w:rPr>
        <w:t>-1.</w:t>
      </w:r>
    </w:p>
    <w:p w:rsidR="00CB0DD7" w:rsidRPr="000A0A5F" w:rsidRDefault="00CB0DD7">
      <w:pPr>
        <w:pStyle w:val="TH"/>
      </w:pPr>
      <w:r w:rsidRPr="000A0A5F">
        <w:t>Table 5.</w:t>
      </w:r>
      <w:r w:rsidRPr="000A0A5F">
        <w:rPr>
          <w:lang w:eastAsia="zh-CN"/>
        </w:rPr>
        <w:t>6</w:t>
      </w:r>
      <w:r w:rsidRPr="000A0A5F">
        <w:t>.3.3.3.</w:t>
      </w:r>
      <w:r w:rsidRPr="000A0A5F">
        <w:rPr>
          <w:lang w:eastAsia="zh-CN"/>
        </w:rPr>
        <w:t>5</w:t>
      </w:r>
      <w:r w:rsidRPr="000A0A5F">
        <w:rPr>
          <w:rFonts w:hint="eastAsia"/>
          <w:lang w:eastAsia="zh-CN"/>
        </w:rPr>
        <w:t>-1.</w:t>
      </w:r>
      <w:r w:rsidRPr="000A0A5F">
        <w:t xml:space="preserve">: Data structures supported by the </w:t>
      </w:r>
      <w:r w:rsidRPr="000A0A5F">
        <w:rPr>
          <w:rFonts w:hint="eastAsia"/>
          <w:lang w:eastAsia="zh-CN"/>
        </w:rPr>
        <w:t>DELETE</w:t>
      </w:r>
      <w:r w:rsidRPr="000A0A5F">
        <w:t xml:space="preserve"> request/response by the resource</w:t>
      </w:r>
    </w:p>
    <w:tbl>
      <w:tblPr>
        <w:tblW w:w="4999" w:type="pct"/>
        <w:tblInd w:w="1" w:type="dxa"/>
        <w:tblBorders>
          <w:top w:val="single" w:sz="6" w:space="0" w:color="000000"/>
          <w:left w:val="single" w:sz="6" w:space="0" w:color="000000"/>
          <w:bottom w:val="single" w:sz="6" w:space="0" w:color="000000"/>
          <w:right w:val="single" w:sz="6" w:space="0" w:color="000000"/>
          <w:insideH w:val="single" w:sz="6" w:space="0" w:color="auto"/>
          <w:insideV w:val="single" w:sz="6" w:space="0" w:color="000000"/>
        </w:tblBorders>
        <w:tblLayout w:type="fixed"/>
        <w:tblCellMar>
          <w:top w:w="45" w:type="dxa"/>
          <w:left w:w="45" w:type="dxa"/>
          <w:bottom w:w="45" w:type="dxa"/>
          <w:right w:w="45" w:type="dxa"/>
        </w:tblCellMar>
        <w:tblLook w:val="0000" w:firstRow="0" w:lastRow="0" w:firstColumn="0" w:lastColumn="0" w:noHBand="0" w:noVBand="0"/>
      </w:tblPr>
      <w:tblGrid>
        <w:gridCol w:w="1035"/>
        <w:gridCol w:w="2127"/>
        <w:gridCol w:w="1053"/>
        <w:gridCol w:w="973"/>
        <w:gridCol w:w="4541"/>
      </w:tblGrid>
      <w:tr w:rsidR="00CB0DD7" w:rsidRPr="000A0A5F" w:rsidTr="0086706F">
        <w:tc>
          <w:tcPr>
            <w:tcW w:w="532" w:type="pct"/>
            <w:vMerge w:val="restart"/>
            <w:shd w:val="clear" w:color="auto" w:fill="C0C0C0"/>
            <w:vAlign w:val="center"/>
          </w:tcPr>
          <w:p w:rsidR="00CB0DD7" w:rsidRPr="000A0A5F" w:rsidRDefault="00CB0DD7">
            <w:pPr>
              <w:pStyle w:val="TAH"/>
            </w:pPr>
            <w:r w:rsidRPr="000A0A5F">
              <w:t>Request body</w:t>
            </w:r>
          </w:p>
        </w:tc>
        <w:tc>
          <w:tcPr>
            <w:tcW w:w="1093" w:type="pct"/>
            <w:shd w:val="clear" w:color="auto" w:fill="C0C0C0"/>
          </w:tcPr>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r w:rsidRPr="000A0A5F">
              <w:t>Cardinality</w:t>
            </w:r>
          </w:p>
        </w:tc>
        <w:tc>
          <w:tcPr>
            <w:tcW w:w="2834" w:type="pct"/>
            <w:gridSpan w:val="2"/>
            <w:shd w:val="clear" w:color="auto" w:fill="C0C0C0"/>
          </w:tcPr>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rPr>
                <w:rFonts w:hint="eastAsia"/>
                <w:lang w:eastAsia="zh-CN"/>
              </w:rPr>
              <w:t>none</w:t>
            </w:r>
          </w:p>
        </w:tc>
        <w:tc>
          <w:tcPr>
            <w:tcW w:w="541" w:type="pct"/>
          </w:tcPr>
          <w:p w:rsidR="00CB0DD7" w:rsidRPr="000A0A5F" w:rsidRDefault="00CB0DD7">
            <w:pPr>
              <w:pStyle w:val="TAL"/>
              <w:rPr>
                <w:rFonts w:hint="eastAsia"/>
                <w:lang w:eastAsia="zh-CN"/>
              </w:rPr>
            </w:pPr>
          </w:p>
        </w:tc>
        <w:tc>
          <w:tcPr>
            <w:tcW w:w="2834" w:type="pct"/>
            <w:gridSpan w:val="2"/>
          </w:tcPr>
          <w:p w:rsidR="00CB0DD7" w:rsidRPr="000A0A5F" w:rsidRDefault="00CB0DD7">
            <w:pPr>
              <w:pStyle w:val="TAL"/>
              <w:rPr>
                <w:rFonts w:hint="eastAsia"/>
                <w:lang w:eastAsia="zh-CN"/>
              </w:rPr>
            </w:pPr>
            <w:r w:rsidRPr="000A0A5F">
              <w:rPr>
                <w:rFonts w:hint="eastAsia"/>
                <w:lang w:eastAsia="zh-CN"/>
              </w:rPr>
              <w:t>.</w:t>
            </w:r>
          </w:p>
        </w:tc>
      </w:tr>
      <w:tr w:rsidR="00CB0DD7" w:rsidRPr="000A0A5F" w:rsidTr="0086706F">
        <w:tc>
          <w:tcPr>
            <w:tcW w:w="532" w:type="pct"/>
            <w:vMerge w:val="restart"/>
            <w:shd w:val="clear" w:color="auto" w:fill="C0C0C0"/>
            <w:vAlign w:val="center"/>
          </w:tcPr>
          <w:p w:rsidR="00CB0DD7" w:rsidRPr="000A0A5F" w:rsidRDefault="00CB0DD7">
            <w:pPr>
              <w:pStyle w:val="TAH"/>
            </w:pPr>
            <w:r w:rsidRPr="000A0A5F">
              <w:t>Response body</w:t>
            </w:r>
          </w:p>
        </w:tc>
        <w:tc>
          <w:tcPr>
            <w:tcW w:w="1093" w:type="pct"/>
            <w:shd w:val="clear" w:color="auto" w:fill="C0C0C0"/>
          </w:tcPr>
          <w:p w:rsidR="00CB0DD7" w:rsidRPr="000A0A5F" w:rsidRDefault="00CB0DD7">
            <w:pPr>
              <w:pStyle w:val="TAH"/>
            </w:pPr>
          </w:p>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p>
          <w:p w:rsidR="00CB0DD7" w:rsidRPr="000A0A5F" w:rsidRDefault="00CB0DD7">
            <w:pPr>
              <w:pStyle w:val="TAH"/>
            </w:pPr>
            <w:r w:rsidRPr="000A0A5F">
              <w:t>Cardinality</w:t>
            </w:r>
          </w:p>
        </w:tc>
        <w:tc>
          <w:tcPr>
            <w:tcW w:w="500" w:type="pct"/>
            <w:shd w:val="clear" w:color="auto" w:fill="C0C0C0"/>
          </w:tcPr>
          <w:p w:rsidR="00CB0DD7" w:rsidRPr="000A0A5F" w:rsidRDefault="00CB0DD7">
            <w:pPr>
              <w:pStyle w:val="TAH"/>
            </w:pPr>
            <w:r w:rsidRPr="000A0A5F">
              <w:t>Response</w:t>
            </w:r>
          </w:p>
          <w:p w:rsidR="00CB0DD7" w:rsidRPr="000A0A5F" w:rsidRDefault="00CB0DD7">
            <w:pPr>
              <w:pStyle w:val="TAH"/>
            </w:pPr>
            <w:r w:rsidRPr="000A0A5F">
              <w:t>codes</w:t>
            </w:r>
          </w:p>
        </w:tc>
        <w:tc>
          <w:tcPr>
            <w:tcW w:w="2334" w:type="pct"/>
            <w:shd w:val="clear" w:color="auto" w:fill="C0C0C0"/>
          </w:tcPr>
          <w:p w:rsidR="00CB0DD7" w:rsidRPr="000A0A5F" w:rsidRDefault="00CB0DD7">
            <w:pPr>
              <w:pStyle w:val="TAH"/>
            </w:pPr>
          </w:p>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rPr>
                <w:lang w:eastAsia="zh-CN"/>
              </w:rPr>
              <w:t>NiddConfiguration</w:t>
            </w:r>
            <w:r w:rsidRPr="000A0A5F">
              <w:rPr>
                <w:rFonts w:hint="eastAsia"/>
                <w:lang w:eastAsia="zh-CN"/>
              </w:rPr>
              <w:t xml:space="preserve"> </w:t>
            </w:r>
          </w:p>
        </w:tc>
        <w:tc>
          <w:tcPr>
            <w:tcW w:w="541" w:type="pct"/>
          </w:tcPr>
          <w:p w:rsidR="00CB0DD7" w:rsidRPr="000A0A5F" w:rsidRDefault="00CB0DD7">
            <w:pPr>
              <w:pStyle w:val="TAL"/>
              <w:rPr>
                <w:rFonts w:hint="eastAsia"/>
                <w:lang w:eastAsia="zh-CN"/>
              </w:rPr>
            </w:pPr>
            <w:r w:rsidRPr="000A0A5F">
              <w:rPr>
                <w:rFonts w:hint="eastAsia"/>
                <w:lang w:eastAsia="zh-CN"/>
              </w:rPr>
              <w:t>1</w:t>
            </w:r>
          </w:p>
        </w:tc>
        <w:tc>
          <w:tcPr>
            <w:tcW w:w="500" w:type="pct"/>
          </w:tcPr>
          <w:p w:rsidR="00CB0DD7" w:rsidRPr="000A0A5F" w:rsidRDefault="00CB0DD7">
            <w:pPr>
              <w:pStyle w:val="TAL"/>
              <w:rPr>
                <w:rFonts w:hint="eastAsia"/>
                <w:lang w:eastAsia="zh-CN"/>
              </w:rPr>
            </w:pPr>
            <w:r w:rsidRPr="000A0A5F">
              <w:t>20</w:t>
            </w:r>
            <w:r w:rsidRPr="000A0A5F">
              <w:rPr>
                <w:rFonts w:hint="eastAsia"/>
                <w:lang w:eastAsia="zh-CN"/>
              </w:rPr>
              <w:t>0</w:t>
            </w:r>
            <w:r w:rsidRPr="000A0A5F">
              <w:t xml:space="preserve"> </w:t>
            </w:r>
            <w:r w:rsidRPr="000A0A5F">
              <w:rPr>
                <w:rFonts w:hint="eastAsia"/>
                <w:lang w:eastAsia="zh-CN"/>
              </w:rPr>
              <w:t>OK</w:t>
            </w:r>
          </w:p>
        </w:tc>
        <w:tc>
          <w:tcPr>
            <w:tcW w:w="2334" w:type="pct"/>
          </w:tcPr>
          <w:p w:rsidR="00CB0DD7" w:rsidRPr="000A0A5F" w:rsidRDefault="00CB0DD7">
            <w:pPr>
              <w:pStyle w:val="TAL"/>
              <w:spacing w:afterLines="50" w:after="120"/>
              <w:rPr>
                <w:rFonts w:hint="eastAsia"/>
                <w:lang w:eastAsia="zh-CN"/>
              </w:rPr>
            </w:pPr>
            <w:r w:rsidRPr="000A0A5F">
              <w:t xml:space="preserve">The </w:t>
            </w:r>
            <w:r w:rsidRPr="000A0A5F">
              <w:rPr>
                <w:rFonts w:hint="eastAsia"/>
                <w:lang w:eastAsia="zh-CN"/>
              </w:rPr>
              <w:t>NIDD configuration</w:t>
            </w:r>
            <w:r w:rsidRPr="000A0A5F">
              <w:t xml:space="preserve"> was </w:t>
            </w:r>
            <w:r w:rsidRPr="000A0A5F">
              <w:rPr>
                <w:lang w:eastAsia="zh-CN"/>
              </w:rPr>
              <w:t>cancel</w:t>
            </w:r>
            <w:r w:rsidRPr="000A0A5F">
              <w:rPr>
                <w:rFonts w:hint="eastAsia"/>
                <w:lang w:eastAsia="zh-CN"/>
              </w:rPr>
              <w:t>l</w:t>
            </w:r>
            <w:r w:rsidRPr="000A0A5F">
              <w:rPr>
                <w:lang w:eastAsia="zh-CN"/>
              </w:rPr>
              <w:t>ed</w:t>
            </w:r>
            <w:r w:rsidRPr="000A0A5F">
              <w:t xml:space="preserve"> successfully</w:t>
            </w:r>
            <w:r w:rsidRPr="000A0A5F">
              <w:rPr>
                <w:rFonts w:hint="eastAsia"/>
                <w:lang w:eastAsia="zh-CN"/>
              </w:rPr>
              <w:t>.</w:t>
            </w:r>
          </w:p>
          <w:p w:rsidR="00CB0DD7" w:rsidRPr="000A0A5F" w:rsidRDefault="00CB0DD7">
            <w:pPr>
              <w:pStyle w:val="TAL"/>
              <w:rPr>
                <w:rFonts w:eastAsia="Batang" w:hint="eastAsia"/>
              </w:rPr>
            </w:pPr>
            <w:r w:rsidRPr="000A0A5F">
              <w:t xml:space="preserve">The SCEF </w:t>
            </w:r>
            <w:r w:rsidRPr="000A0A5F">
              <w:rPr>
                <w:rFonts w:hint="eastAsia"/>
                <w:lang w:eastAsia="zh-CN"/>
              </w:rPr>
              <w:t>shall</w:t>
            </w:r>
            <w:r w:rsidRPr="000A0A5F">
              <w:t xml:space="preserve"> return a full representation of the deleted resource including a data structure of type "</w:t>
            </w:r>
            <w:r w:rsidRPr="000A0A5F">
              <w:rPr>
                <w:lang w:eastAsia="zh-CN"/>
              </w:rPr>
              <w:t>NiddConfiguration</w:t>
            </w:r>
            <w:r w:rsidRPr="000A0A5F">
              <w:t xml:space="preserve">" </w:t>
            </w:r>
            <w:r w:rsidRPr="000A0A5F">
              <w:rPr>
                <w:rFonts w:hint="eastAsia"/>
                <w:lang w:eastAsia="zh-CN"/>
              </w:rPr>
              <w:t xml:space="preserve">with a </w:t>
            </w:r>
            <w:r w:rsidRPr="000A0A5F">
              <w:rPr>
                <w:lang w:eastAsia="zh-CN"/>
              </w:rPr>
              <w:t>"</w:t>
            </w:r>
            <w:r w:rsidRPr="000A0A5F">
              <w:rPr>
                <w:rFonts w:hint="eastAsia"/>
                <w:lang w:eastAsia="zh-CN"/>
              </w:rPr>
              <w:t>TERMINATE</w:t>
            </w:r>
            <w:r w:rsidRPr="000A0A5F">
              <w:rPr>
                <w:lang w:eastAsia="zh-CN"/>
              </w:rPr>
              <w:t>"</w:t>
            </w:r>
            <w:r w:rsidRPr="000A0A5F">
              <w:rPr>
                <w:rFonts w:hint="eastAsia"/>
                <w:lang w:eastAsia="zh-CN"/>
              </w:rPr>
              <w:t xml:space="preserve"> status in the response body.</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rPr>
                <w:lang w:eastAsia="zh-CN"/>
              </w:rPr>
              <w:t>N</w:t>
            </w:r>
            <w:r w:rsidRPr="000A0A5F">
              <w:rPr>
                <w:rFonts w:hint="eastAsia"/>
                <w:lang w:eastAsia="zh-CN"/>
              </w:rPr>
              <w:t>one</w:t>
            </w:r>
          </w:p>
        </w:tc>
        <w:tc>
          <w:tcPr>
            <w:tcW w:w="541" w:type="pct"/>
          </w:tcPr>
          <w:p w:rsidR="00CB0DD7" w:rsidRPr="000A0A5F" w:rsidRDefault="00CB0DD7">
            <w:pPr>
              <w:pStyle w:val="TAL"/>
              <w:rPr>
                <w:rFonts w:hint="eastAsia"/>
                <w:lang w:eastAsia="zh-CN"/>
              </w:rPr>
            </w:pPr>
          </w:p>
        </w:tc>
        <w:tc>
          <w:tcPr>
            <w:tcW w:w="500" w:type="pct"/>
          </w:tcPr>
          <w:p w:rsidR="00CB0DD7" w:rsidRPr="000A0A5F" w:rsidRDefault="00CB0DD7">
            <w:pPr>
              <w:pStyle w:val="TAL"/>
              <w:rPr>
                <w:rFonts w:hint="eastAsia"/>
                <w:lang w:eastAsia="zh-CN"/>
              </w:rPr>
            </w:pPr>
            <w:r w:rsidRPr="000A0A5F">
              <w:rPr>
                <w:rFonts w:hint="eastAsia"/>
                <w:lang w:eastAsia="zh-CN"/>
              </w:rPr>
              <w:t>204 No Content</w:t>
            </w:r>
          </w:p>
        </w:tc>
        <w:tc>
          <w:tcPr>
            <w:tcW w:w="2334" w:type="pct"/>
          </w:tcPr>
          <w:p w:rsidR="00CB0DD7" w:rsidRPr="000A0A5F" w:rsidRDefault="00CB0DD7">
            <w:pPr>
              <w:pStyle w:val="TAL"/>
              <w:spacing w:afterLines="50" w:after="120"/>
            </w:pPr>
            <w:r w:rsidRPr="000A0A5F">
              <w:t xml:space="preserve">The </w:t>
            </w:r>
            <w:r w:rsidRPr="000A0A5F">
              <w:rPr>
                <w:rFonts w:hint="eastAsia"/>
                <w:lang w:eastAsia="zh-CN"/>
              </w:rPr>
              <w:t>NIDD configuration</w:t>
            </w:r>
            <w:r w:rsidRPr="000A0A5F">
              <w:t xml:space="preserve"> was </w:t>
            </w:r>
            <w:r w:rsidRPr="000A0A5F">
              <w:rPr>
                <w:lang w:eastAsia="zh-CN"/>
              </w:rPr>
              <w:t>cancelled</w:t>
            </w:r>
            <w:r w:rsidRPr="000A0A5F">
              <w:t xml:space="preserve"> successfully.</w:t>
            </w:r>
          </w:p>
          <w:p w:rsidR="00CB0DD7" w:rsidRPr="000A0A5F" w:rsidRDefault="00CB0DD7">
            <w:pPr>
              <w:pStyle w:val="TAL"/>
            </w:pPr>
            <w:r w:rsidRPr="000A0A5F">
              <w:t>The response body shall be empty</w:t>
            </w:r>
            <w:r w:rsidRPr="000A0A5F">
              <w:rPr>
                <w:rFonts w:hint="eastAsia"/>
                <w:lang w:eastAsia="zh-CN"/>
              </w:rPr>
              <w:t>.</w:t>
            </w:r>
            <w:r w:rsidRPr="000A0A5F">
              <w:t xml:space="preserve"> </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lang w:eastAsia="zh-CN"/>
              </w:rPr>
            </w:pPr>
            <w:r w:rsidRPr="000A0A5F">
              <w:rPr>
                <w:lang w:eastAsia="zh-CN"/>
              </w:rPr>
              <w:t>N</w:t>
            </w:r>
            <w:r w:rsidRPr="000A0A5F">
              <w:rPr>
                <w:rFonts w:hint="eastAsia"/>
                <w:lang w:eastAsia="zh-CN"/>
              </w:rPr>
              <w:t>one</w:t>
            </w:r>
          </w:p>
        </w:tc>
        <w:tc>
          <w:tcPr>
            <w:tcW w:w="541" w:type="pct"/>
          </w:tcPr>
          <w:p w:rsidR="00CB0DD7" w:rsidRPr="000A0A5F" w:rsidRDefault="00CB0DD7">
            <w:pPr>
              <w:pStyle w:val="TAL"/>
              <w:rPr>
                <w:rFonts w:hint="eastAsia"/>
                <w:lang w:eastAsia="zh-CN"/>
              </w:rPr>
            </w:pPr>
          </w:p>
        </w:tc>
        <w:tc>
          <w:tcPr>
            <w:tcW w:w="500" w:type="pct"/>
          </w:tcPr>
          <w:p w:rsidR="00CB0DD7" w:rsidRPr="000A0A5F" w:rsidRDefault="00CB0DD7">
            <w:pPr>
              <w:pStyle w:val="TAL"/>
              <w:rPr>
                <w:rFonts w:hint="eastAsia"/>
                <w:lang w:eastAsia="zh-CN"/>
              </w:rPr>
            </w:pPr>
            <w:r w:rsidRPr="000A0A5F">
              <w:t>307 Temporary Redirect</w:t>
            </w:r>
          </w:p>
        </w:tc>
        <w:tc>
          <w:tcPr>
            <w:tcW w:w="2334" w:type="pct"/>
          </w:tcPr>
          <w:p w:rsidR="00CB0DD7" w:rsidRPr="000A0A5F" w:rsidRDefault="00CB0DD7">
            <w:pPr>
              <w:pStyle w:val="TAL"/>
            </w:pPr>
            <w:r w:rsidRPr="000A0A5F">
              <w:t>Temporary redirection, during configuration termination. The response shall include a Location header field containing an alternative URI of the resource located in an alternative SCEF.</w:t>
            </w:r>
          </w:p>
          <w:p w:rsidR="00CB0DD7" w:rsidRPr="000A0A5F" w:rsidRDefault="00CB0DD7">
            <w:pPr>
              <w:pStyle w:val="TAL"/>
              <w:spacing w:afterLines="50" w:after="120"/>
            </w:pPr>
            <w:r w:rsidRPr="000A0A5F">
              <w:t>Redirection handling is described in clause 5.2.10.</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lang w:eastAsia="zh-CN"/>
              </w:rPr>
            </w:pPr>
            <w:r w:rsidRPr="000A0A5F">
              <w:rPr>
                <w:lang w:eastAsia="zh-CN"/>
              </w:rPr>
              <w:t>N</w:t>
            </w:r>
            <w:r w:rsidRPr="000A0A5F">
              <w:rPr>
                <w:rFonts w:hint="eastAsia"/>
                <w:lang w:eastAsia="zh-CN"/>
              </w:rPr>
              <w:t>one</w:t>
            </w:r>
          </w:p>
        </w:tc>
        <w:tc>
          <w:tcPr>
            <w:tcW w:w="541" w:type="pct"/>
          </w:tcPr>
          <w:p w:rsidR="00CB0DD7" w:rsidRPr="000A0A5F" w:rsidRDefault="00CB0DD7">
            <w:pPr>
              <w:pStyle w:val="TAL"/>
              <w:rPr>
                <w:rFonts w:hint="eastAsia"/>
                <w:lang w:eastAsia="zh-CN"/>
              </w:rPr>
            </w:pPr>
          </w:p>
        </w:tc>
        <w:tc>
          <w:tcPr>
            <w:tcW w:w="500" w:type="pct"/>
          </w:tcPr>
          <w:p w:rsidR="00CB0DD7" w:rsidRPr="000A0A5F" w:rsidRDefault="00CB0DD7">
            <w:pPr>
              <w:pStyle w:val="TAL"/>
              <w:rPr>
                <w:rFonts w:hint="eastAsia"/>
                <w:lang w:eastAsia="zh-CN"/>
              </w:rPr>
            </w:pPr>
            <w:r w:rsidRPr="000A0A5F">
              <w:t>308 Permanent Redirect</w:t>
            </w:r>
          </w:p>
        </w:tc>
        <w:tc>
          <w:tcPr>
            <w:tcW w:w="2334" w:type="pct"/>
          </w:tcPr>
          <w:p w:rsidR="00CB0DD7" w:rsidRPr="000A0A5F" w:rsidRDefault="00CB0DD7">
            <w:pPr>
              <w:pStyle w:val="TAL"/>
            </w:pPr>
            <w:r w:rsidRPr="000A0A5F">
              <w:t>Permanent redirection, during configuration termination. The response shall include a Location header field containing an alternative URI of the resource located in an alternative SCEF.</w:t>
            </w:r>
          </w:p>
          <w:p w:rsidR="00CB0DD7" w:rsidRPr="000A0A5F" w:rsidRDefault="00CB0DD7">
            <w:pPr>
              <w:pStyle w:val="TAL"/>
              <w:spacing w:afterLines="50" w:after="120"/>
            </w:pPr>
            <w:r w:rsidRPr="000A0A5F">
              <w:t>Redirection handling is described in clause 5.2.10.</w:t>
            </w:r>
          </w:p>
        </w:tc>
      </w:tr>
      <w:tr w:rsidR="00CB0DD7" w:rsidRPr="000A0A5F" w:rsidTr="00FF0AF8">
        <w:tc>
          <w:tcPr>
            <w:tcW w:w="5000" w:type="pct"/>
            <w:gridSpan w:val="5"/>
            <w:shd w:val="clear" w:color="auto" w:fill="auto"/>
            <w:vAlign w:val="center"/>
          </w:tcPr>
          <w:p w:rsidR="00CB0DD7" w:rsidRPr="000A0A5F" w:rsidRDefault="00CB0DD7">
            <w:pPr>
              <w:pStyle w:val="TAN"/>
            </w:pPr>
            <w:r w:rsidRPr="000A0A5F">
              <w:t>NOTE:</w:t>
            </w:r>
            <w:r w:rsidRPr="000A0A5F">
              <w:tab/>
              <w:t>The mandatory HTTP error status codes for the DELETE method listed in table 5.2.6-1 also apply.</w:t>
            </w:r>
          </w:p>
        </w:tc>
      </w:tr>
    </w:tbl>
    <w:p w:rsidR="00CB0DD7" w:rsidRPr="000A0A5F" w:rsidRDefault="00CB0DD7"/>
    <w:p w:rsidR="00CB0DD7" w:rsidRPr="000A0A5F" w:rsidRDefault="00771F41">
      <w:pPr>
        <w:pStyle w:val="TH"/>
      </w:pPr>
      <w:r w:rsidRPr="000A0A5F">
        <w:t>Table </w:t>
      </w:r>
      <w:r w:rsidR="00CB0DD7" w:rsidRPr="000A0A5F">
        <w:t>5.6.3.3.3.5-2: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771F41">
      <w:pPr>
        <w:pStyle w:val="TH"/>
      </w:pPr>
      <w:r w:rsidRPr="000A0A5F">
        <w:t>Table </w:t>
      </w:r>
      <w:r w:rsidR="00CB0DD7" w:rsidRPr="000A0A5F">
        <w:t>5.6.3.3.3.5-3: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CB0DD7">
      <w:pPr>
        <w:pStyle w:val="Heading4"/>
        <w:rPr>
          <w:rFonts w:hint="eastAsia"/>
          <w:lang w:eastAsia="zh-CN"/>
        </w:rPr>
      </w:pPr>
      <w:bookmarkStart w:id="4063" w:name="_Toc11247479"/>
      <w:bookmarkStart w:id="4064" w:name="_Toc27044603"/>
      <w:bookmarkStart w:id="4065" w:name="_Toc36033645"/>
      <w:bookmarkStart w:id="4066" w:name="_Toc45131782"/>
      <w:bookmarkStart w:id="4067" w:name="_Toc49776067"/>
      <w:bookmarkStart w:id="4068" w:name="_Toc51746987"/>
      <w:bookmarkStart w:id="4069" w:name="_Toc66360542"/>
      <w:bookmarkStart w:id="4070" w:name="_Toc68105047"/>
      <w:bookmarkStart w:id="4071" w:name="_Toc74755677"/>
      <w:bookmarkStart w:id="4072" w:name="_Toc105674551"/>
      <w:bookmarkStart w:id="4073" w:name="_Toc130502599"/>
      <w:bookmarkStart w:id="4074" w:name="_Toc153625386"/>
      <w:r w:rsidRPr="000A0A5F">
        <w:t>5.6.3.4</w:t>
      </w:r>
      <w:r w:rsidRPr="000A0A5F">
        <w:tab/>
        <w:t>Resource: NIDD downlink data</w:t>
      </w:r>
      <w:r w:rsidRPr="000A0A5F">
        <w:rPr>
          <w:rFonts w:hint="eastAsia"/>
          <w:lang w:eastAsia="zh-CN"/>
        </w:rPr>
        <w:t xml:space="preserve"> deliveries</w:t>
      </w:r>
      <w:bookmarkEnd w:id="4063"/>
      <w:bookmarkEnd w:id="4064"/>
      <w:bookmarkEnd w:id="4065"/>
      <w:bookmarkEnd w:id="4066"/>
      <w:bookmarkEnd w:id="4067"/>
      <w:bookmarkEnd w:id="4068"/>
      <w:bookmarkEnd w:id="4069"/>
      <w:bookmarkEnd w:id="4070"/>
      <w:bookmarkEnd w:id="4071"/>
      <w:bookmarkEnd w:id="4072"/>
      <w:bookmarkEnd w:id="4073"/>
      <w:bookmarkEnd w:id="4074"/>
    </w:p>
    <w:p w:rsidR="00CB0DD7" w:rsidRPr="000A0A5F" w:rsidRDefault="00CB0DD7">
      <w:pPr>
        <w:pStyle w:val="Heading5"/>
      </w:pPr>
      <w:bookmarkStart w:id="4075" w:name="_Toc11247480"/>
      <w:bookmarkStart w:id="4076" w:name="_Toc27044604"/>
      <w:bookmarkStart w:id="4077" w:name="_Toc36033646"/>
      <w:bookmarkStart w:id="4078" w:name="_Toc45131783"/>
      <w:bookmarkStart w:id="4079" w:name="_Toc49776068"/>
      <w:bookmarkStart w:id="4080" w:name="_Toc51746988"/>
      <w:bookmarkStart w:id="4081" w:name="_Toc66360543"/>
      <w:bookmarkStart w:id="4082" w:name="_Toc68105048"/>
      <w:bookmarkStart w:id="4083" w:name="_Toc74755678"/>
      <w:bookmarkStart w:id="4084" w:name="_Toc105674552"/>
      <w:bookmarkStart w:id="4085" w:name="_Toc130502600"/>
      <w:bookmarkStart w:id="4086" w:name="_Toc153625387"/>
      <w:r w:rsidRPr="000A0A5F">
        <w:t>5.6.3.4.1</w:t>
      </w:r>
      <w:r w:rsidRPr="000A0A5F">
        <w:tab/>
        <w:t>Introduction</w:t>
      </w:r>
      <w:bookmarkEnd w:id="4075"/>
      <w:bookmarkEnd w:id="4076"/>
      <w:bookmarkEnd w:id="4077"/>
      <w:bookmarkEnd w:id="4078"/>
      <w:bookmarkEnd w:id="4079"/>
      <w:bookmarkEnd w:id="4080"/>
      <w:bookmarkEnd w:id="4081"/>
      <w:bookmarkEnd w:id="4082"/>
      <w:bookmarkEnd w:id="4083"/>
      <w:bookmarkEnd w:id="4084"/>
      <w:bookmarkEnd w:id="4085"/>
      <w:bookmarkEnd w:id="4086"/>
    </w:p>
    <w:p w:rsidR="00CB0DD7" w:rsidRPr="000A0A5F" w:rsidRDefault="00CB0DD7">
      <w:pPr>
        <w:rPr>
          <w:rFonts w:hint="eastAsia"/>
          <w:noProof/>
          <w:lang w:eastAsia="zh-CN"/>
        </w:rPr>
      </w:pPr>
      <w:r w:rsidRPr="000A0A5F">
        <w:rPr>
          <w:noProof/>
          <w:lang w:eastAsia="zh-CN"/>
        </w:rPr>
        <w:t>This resource allows t</w:t>
      </w:r>
      <w:r w:rsidRPr="000A0A5F">
        <w:rPr>
          <w:rFonts w:hint="eastAsia"/>
          <w:noProof/>
          <w:lang w:eastAsia="zh-CN"/>
        </w:rPr>
        <w:t xml:space="preserve">he SCS/AS </w:t>
      </w:r>
      <w:r w:rsidRPr="000A0A5F">
        <w:rPr>
          <w:noProof/>
          <w:lang w:eastAsia="zh-CN"/>
        </w:rPr>
        <w:t xml:space="preserve">to read all </w:t>
      </w:r>
      <w:r w:rsidRPr="000A0A5F">
        <w:t>pending NIDD downlink data deliver</w:t>
      </w:r>
      <w:r w:rsidRPr="000A0A5F">
        <w:rPr>
          <w:rFonts w:hint="eastAsia"/>
          <w:lang w:eastAsia="zh-CN"/>
        </w:rPr>
        <w:t>y</w:t>
      </w:r>
      <w:r w:rsidRPr="000A0A5F">
        <w:rPr>
          <w:noProof/>
          <w:lang w:eastAsia="zh-CN"/>
        </w:rPr>
        <w:t xml:space="preserve"> resource</w:t>
      </w:r>
      <w:r w:rsidRPr="000A0A5F">
        <w:rPr>
          <w:rFonts w:hint="eastAsia"/>
          <w:noProof/>
          <w:lang w:eastAsia="zh-CN"/>
        </w:rPr>
        <w:t>s</w:t>
      </w:r>
      <w:r w:rsidRPr="000A0A5F">
        <w:rPr>
          <w:noProof/>
          <w:lang w:eastAsia="zh-CN"/>
        </w:rPr>
        <w:t xml:space="preserve"> for a particular NIDD configuration resource.</w:t>
      </w:r>
    </w:p>
    <w:p w:rsidR="00CB0DD7" w:rsidRPr="000A0A5F" w:rsidRDefault="00CB0DD7">
      <w:pPr>
        <w:rPr>
          <w:noProof/>
          <w:lang w:eastAsia="zh-CN"/>
        </w:rPr>
      </w:pPr>
      <w:r w:rsidRPr="000A0A5F">
        <w:rPr>
          <w:rFonts w:hint="eastAsia"/>
          <w:noProof/>
          <w:lang w:eastAsia="zh-CN"/>
        </w:rPr>
        <w:t>This resource also allow</w:t>
      </w:r>
      <w:r w:rsidRPr="000A0A5F">
        <w:rPr>
          <w:noProof/>
          <w:lang w:eastAsia="zh-CN"/>
        </w:rPr>
        <w:t>s</w:t>
      </w:r>
      <w:r w:rsidRPr="000A0A5F">
        <w:rPr>
          <w:rFonts w:hint="eastAsia"/>
          <w:noProof/>
          <w:lang w:eastAsia="zh-CN"/>
        </w:rPr>
        <w:t xml:space="preserve"> the SCS/AS to create an NIDD downlink data delivery. </w:t>
      </w:r>
    </w:p>
    <w:p w:rsidR="00CB0DD7" w:rsidRPr="000A0A5F" w:rsidRDefault="00CB0DD7">
      <w:pPr>
        <w:rPr>
          <w:noProof/>
          <w:lang w:eastAsia="zh-CN"/>
        </w:rPr>
      </w:pPr>
      <w:r w:rsidRPr="000A0A5F">
        <w:rPr>
          <w:noProof/>
          <w:lang w:eastAsia="zh-CN"/>
        </w:rPr>
        <w:t>This resource is applicable for a single UE and a group of UEs NIDD MT delivery.</w:t>
      </w:r>
    </w:p>
    <w:p w:rsidR="00CB0DD7" w:rsidRPr="000A0A5F" w:rsidRDefault="00CB0DD7">
      <w:pPr>
        <w:pStyle w:val="Heading5"/>
      </w:pPr>
      <w:bookmarkStart w:id="4087" w:name="_Toc11247481"/>
      <w:bookmarkStart w:id="4088" w:name="_Toc27044605"/>
      <w:bookmarkStart w:id="4089" w:name="_Toc36033647"/>
      <w:bookmarkStart w:id="4090" w:name="_Toc45131784"/>
      <w:bookmarkStart w:id="4091" w:name="_Toc49776069"/>
      <w:bookmarkStart w:id="4092" w:name="_Toc51746989"/>
      <w:bookmarkStart w:id="4093" w:name="_Toc66360544"/>
      <w:bookmarkStart w:id="4094" w:name="_Toc68105049"/>
      <w:bookmarkStart w:id="4095" w:name="_Toc74755679"/>
      <w:bookmarkStart w:id="4096" w:name="_Toc105674553"/>
      <w:bookmarkStart w:id="4097" w:name="_Toc130502601"/>
      <w:bookmarkStart w:id="4098" w:name="_Toc153625388"/>
      <w:r w:rsidRPr="000A0A5F">
        <w:t>5.6.3.4.2</w:t>
      </w:r>
      <w:r w:rsidRPr="000A0A5F">
        <w:tab/>
        <w:t>Resource definition</w:t>
      </w:r>
      <w:bookmarkEnd w:id="4087"/>
      <w:bookmarkEnd w:id="4088"/>
      <w:bookmarkEnd w:id="4089"/>
      <w:bookmarkEnd w:id="4090"/>
      <w:bookmarkEnd w:id="4091"/>
      <w:bookmarkEnd w:id="4092"/>
      <w:bookmarkEnd w:id="4093"/>
      <w:bookmarkEnd w:id="4094"/>
      <w:bookmarkEnd w:id="4095"/>
      <w:bookmarkEnd w:id="4096"/>
      <w:bookmarkEnd w:id="4097"/>
      <w:bookmarkEnd w:id="4098"/>
    </w:p>
    <w:p w:rsidR="00CB0DD7" w:rsidRPr="000A0A5F" w:rsidRDefault="00CB0DD7">
      <w:pPr>
        <w:rPr>
          <w:rFonts w:hint="eastAsia"/>
          <w:lang w:eastAsia="zh-CN"/>
        </w:rPr>
      </w:pPr>
      <w:r w:rsidRPr="000A0A5F">
        <w:t xml:space="preserve">Resource URI: </w:t>
      </w:r>
      <w:r w:rsidRPr="000A0A5F">
        <w:rPr>
          <w:b/>
        </w:rPr>
        <w:t>{apiRoot}/3gpp-nidd/v1/{scsAsId}/</w:t>
      </w:r>
      <w:r w:rsidRPr="000A0A5F">
        <w:rPr>
          <w:rFonts w:hint="eastAsia"/>
          <w:b/>
          <w:lang w:eastAsia="zh-CN"/>
        </w:rPr>
        <w:t>configurations</w:t>
      </w:r>
      <w:r w:rsidRPr="000A0A5F">
        <w:rPr>
          <w:b/>
        </w:rPr>
        <w:t>/{configurationId}/downlink-data-</w:t>
      </w:r>
      <w:r w:rsidRPr="000A0A5F">
        <w:rPr>
          <w:rFonts w:hint="eastAsia"/>
          <w:b/>
          <w:lang w:eastAsia="zh-CN"/>
        </w:rPr>
        <w:t>deliveries</w:t>
      </w:r>
    </w:p>
    <w:p w:rsidR="00CB0DD7" w:rsidRPr="000A0A5F" w:rsidRDefault="00CB0DD7">
      <w:pPr>
        <w:rPr>
          <w:rFonts w:ascii="Arial" w:hAnsi="Arial" w:cs="Arial"/>
        </w:rPr>
      </w:pPr>
      <w:r w:rsidRPr="000A0A5F">
        <w:t>This resource shall support the resource URI variables defined in table 5.6.3.</w:t>
      </w:r>
      <w:r w:rsidRPr="000A0A5F">
        <w:rPr>
          <w:rFonts w:hint="eastAsia"/>
          <w:lang w:eastAsia="zh-CN"/>
        </w:rPr>
        <w:t>4</w:t>
      </w:r>
      <w:r w:rsidRPr="000A0A5F">
        <w:t>.2-1</w:t>
      </w:r>
      <w:r w:rsidRPr="000A0A5F">
        <w:rPr>
          <w:rFonts w:ascii="Arial" w:hAnsi="Arial" w:cs="Arial"/>
        </w:rPr>
        <w:t>.</w:t>
      </w:r>
    </w:p>
    <w:p w:rsidR="00CB0DD7" w:rsidRPr="000A0A5F" w:rsidRDefault="00CB0DD7">
      <w:pPr>
        <w:pStyle w:val="TH"/>
        <w:rPr>
          <w:rFonts w:cs="Arial"/>
        </w:rPr>
      </w:pPr>
      <w:r w:rsidRPr="000A0A5F">
        <w:t>Table 5.6.3.4.2-1: Resource URI variables for resource "NIDD Downlink Data</w:t>
      </w:r>
      <w:r w:rsidRPr="000A0A5F">
        <w:rPr>
          <w:rFonts w:hint="eastAsia"/>
          <w:lang w:eastAsia="zh-CN"/>
        </w:rPr>
        <w:t xml:space="preserve"> Deliveries</w:t>
      </w:r>
      <w:r w:rsidRPr="000A0A5F">
        <w:t>"</w:t>
      </w:r>
    </w:p>
    <w:tbl>
      <w:tblPr>
        <w:tblW w:w="494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970"/>
        <w:gridCol w:w="1312"/>
        <w:gridCol w:w="6378"/>
      </w:tblGrid>
      <w:tr w:rsidR="00CB0DD7" w:rsidRPr="000A0A5F" w:rsidTr="00FF0AF8">
        <w:trPr>
          <w:jc w:val="center"/>
        </w:trPr>
        <w:tc>
          <w:tcPr>
            <w:tcW w:w="1020" w:type="pct"/>
            <w:shd w:val="clear" w:color="000000" w:fill="C0C0C0"/>
          </w:tcPr>
          <w:p w:rsidR="00CB0DD7" w:rsidRPr="000A0A5F" w:rsidRDefault="00CB0DD7">
            <w:pPr>
              <w:pStyle w:val="TAH"/>
            </w:pPr>
            <w:r w:rsidRPr="000A0A5F">
              <w:t>Name</w:t>
            </w:r>
          </w:p>
        </w:tc>
        <w:tc>
          <w:tcPr>
            <w:tcW w:w="679" w:type="pct"/>
            <w:shd w:val="clear" w:color="000000" w:fill="C0C0C0"/>
          </w:tcPr>
          <w:p w:rsidR="00CB0DD7" w:rsidRPr="000A0A5F" w:rsidRDefault="00CB0DD7">
            <w:pPr>
              <w:pStyle w:val="TAH"/>
            </w:pPr>
            <w:r w:rsidRPr="000A0A5F">
              <w:t>Data type</w:t>
            </w:r>
          </w:p>
        </w:tc>
        <w:tc>
          <w:tcPr>
            <w:tcW w:w="3302" w:type="pct"/>
            <w:shd w:val="clear" w:color="000000" w:fill="C0C0C0"/>
            <w:vAlign w:val="center"/>
          </w:tcPr>
          <w:p w:rsidR="00CB0DD7" w:rsidRPr="000A0A5F" w:rsidRDefault="00CB0DD7">
            <w:pPr>
              <w:pStyle w:val="TAH"/>
            </w:pPr>
            <w:r w:rsidRPr="000A0A5F">
              <w:t>Definition</w:t>
            </w:r>
          </w:p>
        </w:tc>
      </w:tr>
      <w:tr w:rsidR="00CB0DD7" w:rsidRPr="000A0A5F" w:rsidTr="00FF0AF8">
        <w:trPr>
          <w:jc w:val="center"/>
        </w:trPr>
        <w:tc>
          <w:tcPr>
            <w:tcW w:w="1020" w:type="pct"/>
            <w:shd w:val="clear" w:color="auto" w:fill="auto"/>
          </w:tcPr>
          <w:p w:rsidR="00CB0DD7" w:rsidRPr="000A0A5F" w:rsidRDefault="00CB0DD7">
            <w:pPr>
              <w:pStyle w:val="TAL"/>
            </w:pPr>
            <w:r w:rsidRPr="000A0A5F">
              <w:t>apiRoot</w:t>
            </w:r>
          </w:p>
        </w:tc>
        <w:tc>
          <w:tcPr>
            <w:tcW w:w="679" w:type="pct"/>
          </w:tcPr>
          <w:p w:rsidR="00CB0DD7" w:rsidRPr="000A0A5F" w:rsidRDefault="00CB0DD7">
            <w:pPr>
              <w:pStyle w:val="TAL"/>
            </w:pPr>
            <w:r w:rsidRPr="000A0A5F">
              <w:rPr>
                <w:rFonts w:hint="eastAsia"/>
                <w:lang w:eastAsia="zh-CN"/>
              </w:rPr>
              <w:t>s</w:t>
            </w:r>
            <w:r w:rsidRPr="000A0A5F">
              <w:rPr>
                <w:lang w:eastAsia="zh-CN"/>
              </w:rPr>
              <w:t>tring</w:t>
            </w:r>
          </w:p>
        </w:tc>
        <w:tc>
          <w:tcPr>
            <w:tcW w:w="3302" w:type="pct"/>
            <w:shd w:val="clear" w:color="auto" w:fill="auto"/>
            <w:vAlign w:val="center"/>
          </w:tcPr>
          <w:p w:rsidR="00CB0DD7" w:rsidRPr="000A0A5F" w:rsidRDefault="00CB0DD7">
            <w:pPr>
              <w:pStyle w:val="TAL"/>
            </w:pPr>
            <w:r w:rsidRPr="000A0A5F">
              <w:t>See clause</w:t>
            </w:r>
            <w:r w:rsidRPr="000A0A5F">
              <w:rPr>
                <w:lang w:val="en-US" w:eastAsia="zh-CN"/>
              </w:rPr>
              <w:t> </w:t>
            </w:r>
            <w:r w:rsidRPr="000A0A5F">
              <w:t>5.2.4.</w:t>
            </w:r>
          </w:p>
        </w:tc>
      </w:tr>
      <w:tr w:rsidR="00CB0DD7" w:rsidRPr="000A0A5F" w:rsidTr="00FF0AF8">
        <w:trPr>
          <w:jc w:val="center"/>
        </w:trPr>
        <w:tc>
          <w:tcPr>
            <w:tcW w:w="1020" w:type="pct"/>
            <w:shd w:val="clear" w:color="auto" w:fill="auto"/>
          </w:tcPr>
          <w:p w:rsidR="00CB0DD7" w:rsidRPr="000A0A5F" w:rsidRDefault="00CB0DD7">
            <w:pPr>
              <w:pStyle w:val="TAL"/>
            </w:pPr>
            <w:r w:rsidRPr="000A0A5F">
              <w:t>scsAsId</w:t>
            </w:r>
          </w:p>
        </w:tc>
        <w:tc>
          <w:tcPr>
            <w:tcW w:w="679" w:type="pct"/>
          </w:tcPr>
          <w:p w:rsidR="00CB0DD7" w:rsidRPr="000A0A5F" w:rsidRDefault="00CB0DD7">
            <w:pPr>
              <w:pStyle w:val="TAL"/>
            </w:pPr>
            <w:r w:rsidRPr="000A0A5F">
              <w:rPr>
                <w:rFonts w:hint="eastAsia"/>
                <w:lang w:eastAsia="zh-CN"/>
              </w:rPr>
              <w:t>s</w:t>
            </w:r>
            <w:r w:rsidRPr="000A0A5F">
              <w:rPr>
                <w:lang w:eastAsia="zh-CN"/>
              </w:rPr>
              <w:t>tring</w:t>
            </w:r>
          </w:p>
        </w:tc>
        <w:tc>
          <w:tcPr>
            <w:tcW w:w="3302" w:type="pct"/>
            <w:shd w:val="clear" w:color="auto" w:fill="auto"/>
            <w:vAlign w:val="center"/>
          </w:tcPr>
          <w:p w:rsidR="00CB0DD7" w:rsidRPr="000A0A5F" w:rsidRDefault="00CB0DD7">
            <w:pPr>
              <w:pStyle w:val="TAL"/>
            </w:pPr>
            <w:r w:rsidRPr="000A0A5F">
              <w:t>Identifier of the SCS/AS.</w:t>
            </w:r>
          </w:p>
        </w:tc>
      </w:tr>
      <w:tr w:rsidR="00CB0DD7" w:rsidRPr="000A0A5F" w:rsidTr="00FF0AF8">
        <w:trPr>
          <w:jc w:val="center"/>
        </w:trPr>
        <w:tc>
          <w:tcPr>
            <w:tcW w:w="1020" w:type="pct"/>
            <w:shd w:val="clear" w:color="auto" w:fill="auto"/>
          </w:tcPr>
          <w:p w:rsidR="00CB0DD7" w:rsidRPr="000A0A5F" w:rsidRDefault="00CB0DD7">
            <w:pPr>
              <w:pStyle w:val="TAL"/>
            </w:pPr>
            <w:r w:rsidRPr="000A0A5F">
              <w:rPr>
                <w:lang w:eastAsia="zh-CN"/>
              </w:rPr>
              <w:t>configuration</w:t>
            </w:r>
            <w:r w:rsidRPr="000A0A5F">
              <w:t>Id</w:t>
            </w:r>
          </w:p>
        </w:tc>
        <w:tc>
          <w:tcPr>
            <w:tcW w:w="679" w:type="pct"/>
          </w:tcPr>
          <w:p w:rsidR="00CB0DD7" w:rsidRPr="000A0A5F" w:rsidRDefault="00CB0DD7">
            <w:pPr>
              <w:pStyle w:val="TAL"/>
            </w:pPr>
            <w:r w:rsidRPr="000A0A5F">
              <w:rPr>
                <w:rFonts w:hint="eastAsia"/>
                <w:lang w:eastAsia="zh-CN"/>
              </w:rPr>
              <w:t>s</w:t>
            </w:r>
            <w:r w:rsidRPr="000A0A5F">
              <w:rPr>
                <w:lang w:eastAsia="zh-CN"/>
              </w:rPr>
              <w:t>tring</w:t>
            </w:r>
          </w:p>
        </w:tc>
        <w:tc>
          <w:tcPr>
            <w:tcW w:w="3302" w:type="pct"/>
            <w:shd w:val="clear" w:color="auto" w:fill="auto"/>
            <w:vAlign w:val="center"/>
          </w:tcPr>
          <w:p w:rsidR="00CB0DD7" w:rsidRPr="000A0A5F" w:rsidRDefault="00CB0DD7">
            <w:pPr>
              <w:pStyle w:val="TAL"/>
            </w:pPr>
            <w:r w:rsidRPr="000A0A5F">
              <w:t>Identifier of the configuration.</w:t>
            </w:r>
          </w:p>
        </w:tc>
      </w:tr>
    </w:tbl>
    <w:p w:rsidR="00CB0DD7" w:rsidRPr="000A0A5F" w:rsidRDefault="00CB0DD7"/>
    <w:p w:rsidR="00CB0DD7" w:rsidRPr="000A0A5F" w:rsidRDefault="00CB0DD7">
      <w:pPr>
        <w:pStyle w:val="Heading5"/>
      </w:pPr>
      <w:bookmarkStart w:id="4099" w:name="_Toc11247482"/>
      <w:bookmarkStart w:id="4100" w:name="_Toc27044606"/>
      <w:bookmarkStart w:id="4101" w:name="_Toc36033648"/>
      <w:bookmarkStart w:id="4102" w:name="_Toc45131785"/>
      <w:bookmarkStart w:id="4103" w:name="_Toc49776070"/>
      <w:bookmarkStart w:id="4104" w:name="_Toc51746990"/>
      <w:bookmarkStart w:id="4105" w:name="_Toc66360545"/>
      <w:bookmarkStart w:id="4106" w:name="_Toc68105050"/>
      <w:bookmarkStart w:id="4107" w:name="_Toc74755680"/>
      <w:bookmarkStart w:id="4108" w:name="_Toc105674554"/>
      <w:bookmarkStart w:id="4109" w:name="_Toc130502602"/>
      <w:bookmarkStart w:id="4110" w:name="_Toc153625389"/>
      <w:r w:rsidRPr="000A0A5F">
        <w:t>5.6.3.4.3</w:t>
      </w:r>
      <w:r w:rsidRPr="000A0A5F">
        <w:tab/>
        <w:t>Resource methods</w:t>
      </w:r>
      <w:bookmarkEnd w:id="4099"/>
      <w:bookmarkEnd w:id="4100"/>
      <w:bookmarkEnd w:id="4101"/>
      <w:bookmarkEnd w:id="4102"/>
      <w:bookmarkEnd w:id="4103"/>
      <w:bookmarkEnd w:id="4104"/>
      <w:bookmarkEnd w:id="4105"/>
      <w:bookmarkEnd w:id="4106"/>
      <w:bookmarkEnd w:id="4107"/>
      <w:bookmarkEnd w:id="4108"/>
      <w:bookmarkEnd w:id="4109"/>
      <w:bookmarkEnd w:id="4110"/>
    </w:p>
    <w:p w:rsidR="00CB0DD7" w:rsidRPr="000A0A5F" w:rsidRDefault="00CB0DD7">
      <w:pPr>
        <w:pStyle w:val="Heading6"/>
      </w:pPr>
      <w:bookmarkStart w:id="4111" w:name="_Toc11247483"/>
      <w:bookmarkStart w:id="4112" w:name="_Toc27044607"/>
      <w:bookmarkStart w:id="4113" w:name="_Toc36033649"/>
      <w:bookmarkStart w:id="4114" w:name="_Toc45131786"/>
      <w:bookmarkStart w:id="4115" w:name="_Toc49776071"/>
      <w:bookmarkStart w:id="4116" w:name="_Toc51746991"/>
      <w:bookmarkStart w:id="4117" w:name="_Toc66360546"/>
      <w:bookmarkStart w:id="4118" w:name="_Toc68105051"/>
      <w:bookmarkStart w:id="4119" w:name="_Toc74755681"/>
      <w:bookmarkStart w:id="4120" w:name="_Toc105674555"/>
      <w:bookmarkStart w:id="4121" w:name="_Toc130502603"/>
      <w:bookmarkStart w:id="4122" w:name="_Toc153625390"/>
      <w:r w:rsidRPr="000A0A5F">
        <w:t>5.6.3.4.3.1</w:t>
      </w:r>
      <w:r w:rsidRPr="000A0A5F">
        <w:tab/>
        <w:t>GET</w:t>
      </w:r>
      <w:bookmarkEnd w:id="4111"/>
      <w:bookmarkEnd w:id="4112"/>
      <w:bookmarkEnd w:id="4113"/>
      <w:bookmarkEnd w:id="4114"/>
      <w:bookmarkEnd w:id="4115"/>
      <w:bookmarkEnd w:id="4116"/>
      <w:bookmarkEnd w:id="4117"/>
      <w:bookmarkEnd w:id="4118"/>
      <w:bookmarkEnd w:id="4119"/>
      <w:bookmarkEnd w:id="4120"/>
      <w:bookmarkEnd w:id="4121"/>
      <w:bookmarkEnd w:id="4122"/>
    </w:p>
    <w:p w:rsidR="00CB0DD7" w:rsidRPr="000A0A5F" w:rsidRDefault="00CB0DD7">
      <w:pPr>
        <w:rPr>
          <w:noProof/>
          <w:lang w:eastAsia="zh-CN"/>
        </w:rPr>
      </w:pPr>
      <w:r w:rsidRPr="000A0A5F">
        <w:rPr>
          <w:noProof/>
          <w:lang w:eastAsia="zh-CN"/>
        </w:rPr>
        <w:t xml:space="preserve">The GET method allows to read all pending NIDD downlink data deliveries for a given SCS/AS and NIDD configuration. The SCS/AS shall initiate the HTTP GET request message and the SCEF shall respond to the message. </w:t>
      </w:r>
    </w:p>
    <w:p w:rsidR="00CB0DD7" w:rsidRPr="000A0A5F" w:rsidRDefault="00CB0DD7">
      <w:r w:rsidRPr="000A0A5F">
        <w:t>This method shall support the URI query parameters, request and response data structures, and response codes, as specified in the table 5.6.3.4.3.1-1 and table 5.6.3.4.3.1-2.</w:t>
      </w:r>
    </w:p>
    <w:p w:rsidR="00CB0DD7" w:rsidRPr="000A0A5F" w:rsidRDefault="00CB0DD7">
      <w:pPr>
        <w:pStyle w:val="TH"/>
        <w:rPr>
          <w:rFonts w:cs="Arial"/>
        </w:rPr>
      </w:pPr>
      <w:r w:rsidRPr="000A0A5F">
        <w:t xml:space="preserve">Table 5.6.3.4.3.1-1: URI query parameters supported by the GET method on this resource </w:t>
      </w:r>
    </w:p>
    <w:tbl>
      <w:tblPr>
        <w:tblW w:w="4999"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612"/>
        <w:gridCol w:w="1709"/>
        <w:gridCol w:w="1140"/>
        <w:gridCol w:w="5314"/>
      </w:tblGrid>
      <w:tr w:rsidR="00CB0DD7" w:rsidRPr="000A0A5F" w:rsidTr="00FF0AF8">
        <w:trPr>
          <w:jc w:val="center"/>
        </w:trPr>
        <w:tc>
          <w:tcPr>
            <w:tcW w:w="825" w:type="pct"/>
            <w:shd w:val="clear" w:color="000000" w:fill="C0C0C0"/>
          </w:tcPr>
          <w:p w:rsidR="00CB0DD7" w:rsidRPr="000A0A5F" w:rsidRDefault="00CB0DD7">
            <w:pPr>
              <w:pStyle w:val="TAH"/>
            </w:pPr>
            <w:r w:rsidRPr="000A0A5F">
              <w:t>Name</w:t>
            </w:r>
          </w:p>
        </w:tc>
        <w:tc>
          <w:tcPr>
            <w:tcW w:w="874" w:type="pct"/>
            <w:shd w:val="clear" w:color="000000" w:fill="C0C0C0"/>
          </w:tcPr>
          <w:p w:rsidR="00CB0DD7" w:rsidRPr="000A0A5F" w:rsidRDefault="00CB0DD7">
            <w:pPr>
              <w:pStyle w:val="TAH"/>
            </w:pPr>
            <w:r w:rsidRPr="000A0A5F">
              <w:t>Data type</w:t>
            </w:r>
          </w:p>
        </w:tc>
        <w:tc>
          <w:tcPr>
            <w:tcW w:w="583" w:type="pct"/>
            <w:shd w:val="clear" w:color="000000" w:fill="C0C0C0"/>
          </w:tcPr>
          <w:p w:rsidR="00CB0DD7" w:rsidRPr="000A0A5F" w:rsidRDefault="00CB0DD7">
            <w:pPr>
              <w:pStyle w:val="TAH"/>
            </w:pPr>
            <w:r w:rsidRPr="000A0A5F">
              <w:t>Cardinality</w:t>
            </w:r>
          </w:p>
        </w:tc>
        <w:tc>
          <w:tcPr>
            <w:tcW w:w="2718" w:type="pct"/>
            <w:shd w:val="clear" w:color="000000" w:fill="C0C0C0"/>
            <w:vAlign w:val="center"/>
          </w:tcPr>
          <w:p w:rsidR="00CB0DD7" w:rsidRPr="000A0A5F" w:rsidRDefault="00CB0DD7">
            <w:pPr>
              <w:pStyle w:val="TAH"/>
            </w:pPr>
            <w:r w:rsidRPr="000A0A5F">
              <w:t>Remarks</w:t>
            </w:r>
          </w:p>
        </w:tc>
      </w:tr>
      <w:tr w:rsidR="00CB0DD7" w:rsidRPr="000A0A5F" w:rsidTr="00FF0AF8">
        <w:trPr>
          <w:jc w:val="center"/>
        </w:trPr>
        <w:tc>
          <w:tcPr>
            <w:tcW w:w="825" w:type="pct"/>
            <w:shd w:val="clear" w:color="auto" w:fill="auto"/>
          </w:tcPr>
          <w:p w:rsidR="00CB0DD7" w:rsidRPr="000A0A5F" w:rsidRDefault="00CB0DD7">
            <w:pPr>
              <w:pStyle w:val="TAL"/>
            </w:pPr>
            <w:r w:rsidRPr="000A0A5F">
              <w:t>none specified</w:t>
            </w:r>
          </w:p>
        </w:tc>
        <w:tc>
          <w:tcPr>
            <w:tcW w:w="874" w:type="pct"/>
          </w:tcPr>
          <w:p w:rsidR="00CB0DD7" w:rsidRPr="000A0A5F" w:rsidRDefault="00CB0DD7">
            <w:pPr>
              <w:pStyle w:val="TAL"/>
            </w:pPr>
          </w:p>
        </w:tc>
        <w:tc>
          <w:tcPr>
            <w:tcW w:w="583" w:type="pct"/>
          </w:tcPr>
          <w:p w:rsidR="00CB0DD7" w:rsidRPr="000A0A5F" w:rsidRDefault="00CB0DD7">
            <w:pPr>
              <w:pStyle w:val="TAL"/>
            </w:pPr>
          </w:p>
        </w:tc>
        <w:tc>
          <w:tcPr>
            <w:tcW w:w="2718" w:type="pct"/>
            <w:shd w:val="clear" w:color="auto" w:fill="auto"/>
            <w:vAlign w:val="center"/>
          </w:tcPr>
          <w:p w:rsidR="00CB0DD7" w:rsidRPr="000A0A5F" w:rsidRDefault="00CB0DD7">
            <w:pPr>
              <w:pStyle w:val="TAL"/>
            </w:pPr>
          </w:p>
        </w:tc>
      </w:tr>
    </w:tbl>
    <w:p w:rsidR="00CB0DD7" w:rsidRPr="000A0A5F" w:rsidRDefault="00CB0DD7"/>
    <w:p w:rsidR="00CB0DD7" w:rsidRPr="000A0A5F" w:rsidRDefault="00CB0DD7">
      <w:pPr>
        <w:pStyle w:val="TH"/>
      </w:pPr>
      <w:r w:rsidRPr="000A0A5F">
        <w:t>Table 5.6.3.4.3.1-2: Data structures supported by the GET request/response by the resource</w:t>
      </w:r>
    </w:p>
    <w:tbl>
      <w:tblPr>
        <w:tblW w:w="4999" w:type="pct"/>
        <w:tblInd w:w="1"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top w:w="45" w:type="dxa"/>
          <w:left w:w="45" w:type="dxa"/>
          <w:bottom w:w="45" w:type="dxa"/>
          <w:right w:w="45" w:type="dxa"/>
        </w:tblCellMar>
        <w:tblLook w:val="0000" w:firstRow="0" w:lastRow="0" w:firstColumn="0" w:lastColumn="0" w:noHBand="0" w:noVBand="0"/>
      </w:tblPr>
      <w:tblGrid>
        <w:gridCol w:w="1035"/>
        <w:gridCol w:w="2127"/>
        <w:gridCol w:w="1053"/>
        <w:gridCol w:w="973"/>
        <w:gridCol w:w="4541"/>
      </w:tblGrid>
      <w:tr w:rsidR="00CB0DD7" w:rsidRPr="000A0A5F" w:rsidTr="0086706F">
        <w:tc>
          <w:tcPr>
            <w:tcW w:w="532" w:type="pct"/>
            <w:vMerge w:val="restart"/>
            <w:shd w:val="clear" w:color="auto" w:fill="C0C0C0"/>
            <w:vAlign w:val="center"/>
          </w:tcPr>
          <w:p w:rsidR="00CB0DD7" w:rsidRPr="000A0A5F" w:rsidRDefault="00CB0DD7">
            <w:pPr>
              <w:pStyle w:val="TAH"/>
            </w:pPr>
            <w:r w:rsidRPr="000A0A5F">
              <w:t>Request body</w:t>
            </w:r>
          </w:p>
        </w:tc>
        <w:tc>
          <w:tcPr>
            <w:tcW w:w="1093" w:type="pct"/>
            <w:shd w:val="clear" w:color="auto" w:fill="C0C0C0"/>
          </w:tcPr>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r w:rsidRPr="000A0A5F">
              <w:t>Cardinality</w:t>
            </w:r>
          </w:p>
        </w:tc>
        <w:tc>
          <w:tcPr>
            <w:tcW w:w="2834" w:type="pct"/>
            <w:gridSpan w:val="2"/>
            <w:shd w:val="clear" w:color="auto" w:fill="C0C0C0"/>
          </w:tcPr>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None</w:t>
            </w:r>
          </w:p>
        </w:tc>
        <w:tc>
          <w:tcPr>
            <w:tcW w:w="541" w:type="pct"/>
          </w:tcPr>
          <w:p w:rsidR="00CB0DD7" w:rsidRPr="000A0A5F" w:rsidRDefault="00CB0DD7">
            <w:pPr>
              <w:pStyle w:val="TAL"/>
            </w:pPr>
          </w:p>
        </w:tc>
        <w:tc>
          <w:tcPr>
            <w:tcW w:w="2834" w:type="pct"/>
            <w:gridSpan w:val="2"/>
          </w:tcPr>
          <w:p w:rsidR="00CB0DD7" w:rsidRPr="000A0A5F" w:rsidRDefault="00CB0DD7">
            <w:pPr>
              <w:pStyle w:val="TAL"/>
            </w:pPr>
          </w:p>
        </w:tc>
      </w:tr>
      <w:tr w:rsidR="00CB0DD7" w:rsidRPr="000A0A5F" w:rsidTr="0086706F">
        <w:tc>
          <w:tcPr>
            <w:tcW w:w="532" w:type="pct"/>
            <w:vMerge w:val="restart"/>
            <w:shd w:val="clear" w:color="auto" w:fill="C0C0C0"/>
            <w:vAlign w:val="center"/>
          </w:tcPr>
          <w:p w:rsidR="00CB0DD7" w:rsidRPr="000A0A5F" w:rsidRDefault="00CB0DD7">
            <w:pPr>
              <w:pStyle w:val="TAH"/>
            </w:pPr>
            <w:r w:rsidRPr="000A0A5F">
              <w:t>Response body</w:t>
            </w:r>
          </w:p>
        </w:tc>
        <w:tc>
          <w:tcPr>
            <w:tcW w:w="1093" w:type="pct"/>
            <w:shd w:val="clear" w:color="auto" w:fill="C0C0C0"/>
          </w:tcPr>
          <w:p w:rsidR="00CB0DD7" w:rsidRPr="000A0A5F" w:rsidRDefault="00CB0DD7">
            <w:pPr>
              <w:pStyle w:val="TAH"/>
            </w:pPr>
          </w:p>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p>
          <w:p w:rsidR="00CB0DD7" w:rsidRPr="000A0A5F" w:rsidRDefault="00CB0DD7">
            <w:pPr>
              <w:pStyle w:val="TAH"/>
            </w:pPr>
            <w:r w:rsidRPr="000A0A5F">
              <w:t>Cardinality</w:t>
            </w:r>
          </w:p>
        </w:tc>
        <w:tc>
          <w:tcPr>
            <w:tcW w:w="500" w:type="pct"/>
            <w:shd w:val="clear" w:color="auto" w:fill="C0C0C0"/>
          </w:tcPr>
          <w:p w:rsidR="00CB0DD7" w:rsidRPr="000A0A5F" w:rsidRDefault="00CB0DD7">
            <w:pPr>
              <w:pStyle w:val="TAH"/>
            </w:pPr>
            <w:r w:rsidRPr="000A0A5F">
              <w:t>Response</w:t>
            </w:r>
          </w:p>
          <w:p w:rsidR="00CB0DD7" w:rsidRPr="000A0A5F" w:rsidRDefault="00CB0DD7">
            <w:pPr>
              <w:pStyle w:val="TAH"/>
            </w:pPr>
            <w:r w:rsidRPr="000A0A5F">
              <w:t>codes</w:t>
            </w:r>
          </w:p>
        </w:tc>
        <w:tc>
          <w:tcPr>
            <w:tcW w:w="2334" w:type="pct"/>
            <w:shd w:val="clear" w:color="auto" w:fill="C0C0C0"/>
          </w:tcPr>
          <w:p w:rsidR="00CB0DD7" w:rsidRPr="000A0A5F" w:rsidRDefault="00CB0DD7">
            <w:pPr>
              <w:pStyle w:val="TAH"/>
            </w:pPr>
          </w:p>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array(NiddDownlinkDataTransfer)</w:t>
            </w:r>
          </w:p>
        </w:tc>
        <w:tc>
          <w:tcPr>
            <w:tcW w:w="541" w:type="pct"/>
          </w:tcPr>
          <w:p w:rsidR="00CB0DD7" w:rsidRPr="000A0A5F" w:rsidRDefault="00CB0DD7">
            <w:pPr>
              <w:pStyle w:val="TAL"/>
            </w:pPr>
            <w:r w:rsidRPr="000A0A5F">
              <w:t>0..N</w:t>
            </w:r>
          </w:p>
        </w:tc>
        <w:tc>
          <w:tcPr>
            <w:tcW w:w="500" w:type="pct"/>
          </w:tcPr>
          <w:p w:rsidR="00CB0DD7" w:rsidRPr="000A0A5F" w:rsidRDefault="00CB0DD7">
            <w:pPr>
              <w:pStyle w:val="TAL"/>
            </w:pPr>
            <w:r w:rsidRPr="000A0A5F">
              <w:t>200 OK</w:t>
            </w:r>
          </w:p>
        </w:tc>
        <w:tc>
          <w:tcPr>
            <w:tcW w:w="2334" w:type="pct"/>
          </w:tcPr>
          <w:p w:rsidR="00CB0DD7" w:rsidRPr="000A0A5F" w:rsidRDefault="00CB0DD7">
            <w:pPr>
              <w:pStyle w:val="TAL"/>
            </w:pPr>
            <w:r w:rsidRPr="000A0A5F">
              <w:t>All pending NIDD downlink data deliveries for the SCS/AS and NIDD configuration in the request URI are returned.</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rPr>
                <w:lang w:eastAsia="zh-CN"/>
              </w:rPr>
              <w:t>N</w:t>
            </w:r>
            <w:r w:rsidRPr="000A0A5F">
              <w:rPr>
                <w:rFonts w:hint="eastAsia"/>
                <w:lang w:eastAsia="zh-CN"/>
              </w:rPr>
              <w:t>one</w:t>
            </w:r>
          </w:p>
        </w:tc>
        <w:tc>
          <w:tcPr>
            <w:tcW w:w="541" w:type="pct"/>
          </w:tcPr>
          <w:p w:rsidR="00CB0DD7" w:rsidRPr="000A0A5F" w:rsidRDefault="00CB0DD7">
            <w:pPr>
              <w:pStyle w:val="TAL"/>
            </w:pPr>
          </w:p>
        </w:tc>
        <w:tc>
          <w:tcPr>
            <w:tcW w:w="500" w:type="pct"/>
          </w:tcPr>
          <w:p w:rsidR="00CB0DD7" w:rsidRPr="000A0A5F" w:rsidRDefault="00CB0DD7">
            <w:pPr>
              <w:pStyle w:val="TAL"/>
            </w:pPr>
            <w:r w:rsidRPr="000A0A5F">
              <w:t>307 Temporary Redirect</w:t>
            </w:r>
          </w:p>
        </w:tc>
        <w:tc>
          <w:tcPr>
            <w:tcW w:w="2334" w:type="pct"/>
          </w:tcPr>
          <w:p w:rsidR="00CB0DD7" w:rsidRPr="000A0A5F" w:rsidRDefault="00CB0DD7">
            <w:pPr>
              <w:pStyle w:val="TAL"/>
            </w:pPr>
            <w:r w:rsidRPr="000A0A5F">
              <w:t>Temporary redirection, during configuration retrieval. The response shall include a Location header field containing an alternative URI of the resource located in an alternative SCEF.</w:t>
            </w:r>
          </w:p>
          <w:p w:rsidR="00CB0DD7" w:rsidRPr="000A0A5F" w:rsidRDefault="00CB0DD7">
            <w:pPr>
              <w:pStyle w:val="TAL"/>
            </w:pPr>
            <w:r w:rsidRPr="000A0A5F">
              <w:t>Redirection handling is described in clause 5.2.10.</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rPr>
                <w:lang w:eastAsia="zh-CN"/>
              </w:rPr>
              <w:t>N</w:t>
            </w:r>
            <w:r w:rsidRPr="000A0A5F">
              <w:rPr>
                <w:rFonts w:hint="eastAsia"/>
                <w:lang w:eastAsia="zh-CN"/>
              </w:rPr>
              <w:t>one</w:t>
            </w:r>
          </w:p>
        </w:tc>
        <w:tc>
          <w:tcPr>
            <w:tcW w:w="541" w:type="pct"/>
          </w:tcPr>
          <w:p w:rsidR="00CB0DD7" w:rsidRPr="000A0A5F" w:rsidRDefault="00CB0DD7">
            <w:pPr>
              <w:pStyle w:val="TAL"/>
            </w:pPr>
          </w:p>
        </w:tc>
        <w:tc>
          <w:tcPr>
            <w:tcW w:w="500" w:type="pct"/>
          </w:tcPr>
          <w:p w:rsidR="00CB0DD7" w:rsidRPr="000A0A5F" w:rsidRDefault="00CB0DD7">
            <w:pPr>
              <w:pStyle w:val="TAL"/>
            </w:pPr>
            <w:r w:rsidRPr="000A0A5F">
              <w:t>308 Permanent Redirect</w:t>
            </w:r>
          </w:p>
        </w:tc>
        <w:tc>
          <w:tcPr>
            <w:tcW w:w="2334" w:type="pct"/>
          </w:tcPr>
          <w:p w:rsidR="00CB0DD7" w:rsidRPr="000A0A5F" w:rsidRDefault="00CB0DD7">
            <w:pPr>
              <w:pStyle w:val="TAL"/>
            </w:pPr>
            <w:r w:rsidRPr="000A0A5F">
              <w:t>Permanent redirection, during configuration retrieval. The response shall include a Location header field containing an alternative URI of the resource located in an alternative SCEF.</w:t>
            </w:r>
          </w:p>
          <w:p w:rsidR="00CB0DD7" w:rsidRPr="000A0A5F" w:rsidRDefault="00CB0DD7">
            <w:pPr>
              <w:pStyle w:val="TAL"/>
            </w:pPr>
            <w:r w:rsidRPr="000A0A5F">
              <w:t>Redirection handling is described in clause 5.2.10.</w:t>
            </w:r>
          </w:p>
        </w:tc>
      </w:tr>
      <w:tr w:rsidR="00CB0DD7" w:rsidRPr="000A0A5F" w:rsidTr="00FF0AF8">
        <w:tc>
          <w:tcPr>
            <w:tcW w:w="5000" w:type="pct"/>
            <w:gridSpan w:val="5"/>
            <w:shd w:val="clear" w:color="auto" w:fill="auto"/>
            <w:vAlign w:val="center"/>
          </w:tcPr>
          <w:p w:rsidR="00CB0DD7" w:rsidRPr="000A0A5F" w:rsidRDefault="00CB0DD7">
            <w:pPr>
              <w:pStyle w:val="TAN"/>
            </w:pPr>
            <w:r w:rsidRPr="000A0A5F">
              <w:t>NOTE:</w:t>
            </w:r>
            <w:r w:rsidRPr="000A0A5F">
              <w:tab/>
              <w:t>The mandatory HTTP error status codes for the GET method listed in table 5.2.6-1 also apply.</w:t>
            </w:r>
          </w:p>
        </w:tc>
      </w:tr>
    </w:tbl>
    <w:p w:rsidR="00CB0DD7" w:rsidRPr="000A0A5F" w:rsidRDefault="00CB0DD7"/>
    <w:p w:rsidR="00CB0DD7" w:rsidRPr="000A0A5F" w:rsidRDefault="00771F41">
      <w:pPr>
        <w:pStyle w:val="TH"/>
      </w:pPr>
      <w:r w:rsidRPr="000A0A5F">
        <w:t>Table </w:t>
      </w:r>
      <w:r w:rsidR="00CB0DD7" w:rsidRPr="000A0A5F">
        <w:t>5.6.3.4.3.1-3: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771F41">
      <w:pPr>
        <w:pStyle w:val="TH"/>
      </w:pPr>
      <w:r w:rsidRPr="000A0A5F">
        <w:t>Table </w:t>
      </w:r>
      <w:r w:rsidR="00CB0DD7" w:rsidRPr="000A0A5F">
        <w:t>5.6.3.4.3.1-4: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CB0DD7">
      <w:pPr>
        <w:pStyle w:val="Heading6"/>
      </w:pPr>
      <w:bookmarkStart w:id="4123" w:name="_Toc11247484"/>
      <w:bookmarkStart w:id="4124" w:name="_Toc27044608"/>
      <w:bookmarkStart w:id="4125" w:name="_Toc36033650"/>
      <w:bookmarkStart w:id="4126" w:name="_Toc45131787"/>
      <w:bookmarkStart w:id="4127" w:name="_Toc49776072"/>
      <w:bookmarkStart w:id="4128" w:name="_Toc51746992"/>
      <w:bookmarkStart w:id="4129" w:name="_Toc66360547"/>
      <w:bookmarkStart w:id="4130" w:name="_Toc68105052"/>
      <w:bookmarkStart w:id="4131" w:name="_Toc74755682"/>
      <w:bookmarkStart w:id="4132" w:name="_Toc105674556"/>
      <w:bookmarkStart w:id="4133" w:name="_Toc130502604"/>
      <w:bookmarkStart w:id="4134" w:name="_Toc153625391"/>
      <w:r w:rsidRPr="000A0A5F">
        <w:t>5.6.3.4.3.2</w:t>
      </w:r>
      <w:r w:rsidRPr="000A0A5F">
        <w:tab/>
        <w:t>PUT</w:t>
      </w:r>
      <w:bookmarkEnd w:id="4123"/>
      <w:bookmarkEnd w:id="4124"/>
      <w:bookmarkEnd w:id="4125"/>
      <w:bookmarkEnd w:id="4126"/>
      <w:bookmarkEnd w:id="4127"/>
      <w:bookmarkEnd w:id="4128"/>
      <w:bookmarkEnd w:id="4129"/>
      <w:bookmarkEnd w:id="4130"/>
      <w:bookmarkEnd w:id="4131"/>
      <w:bookmarkEnd w:id="4132"/>
      <w:bookmarkEnd w:id="4133"/>
      <w:bookmarkEnd w:id="4134"/>
    </w:p>
    <w:p w:rsidR="00CB0DD7" w:rsidRPr="000A0A5F" w:rsidRDefault="00CB0DD7">
      <w:pPr>
        <w:rPr>
          <w:rFonts w:hint="eastAsia"/>
          <w:lang w:eastAsia="zh-CN"/>
        </w:rPr>
      </w:pPr>
      <w:r w:rsidRPr="000A0A5F">
        <w:rPr>
          <w:rFonts w:hint="eastAsia"/>
          <w:lang w:eastAsia="zh-CN"/>
        </w:rPr>
        <w:t xml:space="preserve">This </w:t>
      </w:r>
      <w:r w:rsidRPr="000A0A5F">
        <w:rPr>
          <w:lang w:eastAsia="zh-CN"/>
        </w:rPr>
        <w:t>HTTP method is not supported for the resource.</w:t>
      </w:r>
    </w:p>
    <w:p w:rsidR="00CB0DD7" w:rsidRPr="000A0A5F" w:rsidRDefault="00CB0DD7">
      <w:pPr>
        <w:pStyle w:val="Heading6"/>
      </w:pPr>
      <w:bookmarkStart w:id="4135" w:name="_Toc11247485"/>
      <w:bookmarkStart w:id="4136" w:name="_Toc27044609"/>
      <w:bookmarkStart w:id="4137" w:name="_Toc36033651"/>
      <w:bookmarkStart w:id="4138" w:name="_Toc45131788"/>
      <w:bookmarkStart w:id="4139" w:name="_Toc49776073"/>
      <w:bookmarkStart w:id="4140" w:name="_Toc51746993"/>
      <w:bookmarkStart w:id="4141" w:name="_Toc66360548"/>
      <w:bookmarkStart w:id="4142" w:name="_Toc68105053"/>
      <w:bookmarkStart w:id="4143" w:name="_Toc74755683"/>
      <w:bookmarkStart w:id="4144" w:name="_Toc105674557"/>
      <w:bookmarkStart w:id="4145" w:name="_Toc130502605"/>
      <w:bookmarkStart w:id="4146" w:name="_Toc153625392"/>
      <w:r w:rsidRPr="000A0A5F">
        <w:t>5.6.3.4.3.3</w:t>
      </w:r>
      <w:r w:rsidRPr="000A0A5F">
        <w:tab/>
        <w:t>PATCH</w:t>
      </w:r>
      <w:bookmarkEnd w:id="4135"/>
      <w:bookmarkEnd w:id="4136"/>
      <w:bookmarkEnd w:id="4137"/>
      <w:bookmarkEnd w:id="4138"/>
      <w:bookmarkEnd w:id="4139"/>
      <w:bookmarkEnd w:id="4140"/>
      <w:bookmarkEnd w:id="4141"/>
      <w:bookmarkEnd w:id="4142"/>
      <w:bookmarkEnd w:id="4143"/>
      <w:bookmarkEnd w:id="4144"/>
      <w:bookmarkEnd w:id="4145"/>
      <w:bookmarkEnd w:id="4146"/>
    </w:p>
    <w:p w:rsidR="00CB0DD7" w:rsidRPr="000A0A5F" w:rsidRDefault="00CB0DD7">
      <w:pPr>
        <w:rPr>
          <w:rFonts w:hint="eastAsia"/>
          <w:lang w:eastAsia="zh-CN"/>
        </w:rPr>
      </w:pPr>
      <w:r w:rsidRPr="000A0A5F">
        <w:rPr>
          <w:rFonts w:hint="eastAsia"/>
          <w:lang w:eastAsia="zh-CN"/>
        </w:rPr>
        <w:t xml:space="preserve">This </w:t>
      </w:r>
      <w:r w:rsidRPr="000A0A5F">
        <w:rPr>
          <w:lang w:eastAsia="zh-CN"/>
        </w:rPr>
        <w:t>HTTP method is not supported for the resource.</w:t>
      </w:r>
    </w:p>
    <w:p w:rsidR="00CB0DD7" w:rsidRPr="000A0A5F" w:rsidRDefault="00CB0DD7">
      <w:pPr>
        <w:pStyle w:val="Heading6"/>
        <w:rPr>
          <w:rFonts w:hint="eastAsia"/>
          <w:lang w:eastAsia="zh-CN"/>
        </w:rPr>
      </w:pPr>
      <w:bookmarkStart w:id="4147" w:name="_Toc11247486"/>
      <w:bookmarkStart w:id="4148" w:name="_Toc27044610"/>
      <w:bookmarkStart w:id="4149" w:name="_Toc36033652"/>
      <w:bookmarkStart w:id="4150" w:name="_Toc45131789"/>
      <w:bookmarkStart w:id="4151" w:name="_Toc49776074"/>
      <w:bookmarkStart w:id="4152" w:name="_Toc51746994"/>
      <w:bookmarkStart w:id="4153" w:name="_Toc66360549"/>
      <w:bookmarkStart w:id="4154" w:name="_Toc68105054"/>
      <w:bookmarkStart w:id="4155" w:name="_Toc74755684"/>
      <w:bookmarkStart w:id="4156" w:name="_Toc105674558"/>
      <w:bookmarkStart w:id="4157" w:name="_Toc130502606"/>
      <w:bookmarkStart w:id="4158" w:name="_Toc153625393"/>
      <w:r w:rsidRPr="000A0A5F">
        <w:t>5.6.3.4.3.4</w:t>
      </w:r>
      <w:r w:rsidRPr="000A0A5F">
        <w:tab/>
        <w:t>POST</w:t>
      </w:r>
      <w:bookmarkEnd w:id="4147"/>
      <w:bookmarkEnd w:id="4148"/>
      <w:bookmarkEnd w:id="4149"/>
      <w:bookmarkEnd w:id="4150"/>
      <w:bookmarkEnd w:id="4151"/>
      <w:bookmarkEnd w:id="4152"/>
      <w:bookmarkEnd w:id="4153"/>
      <w:bookmarkEnd w:id="4154"/>
      <w:bookmarkEnd w:id="4155"/>
      <w:bookmarkEnd w:id="4156"/>
      <w:bookmarkEnd w:id="4157"/>
      <w:bookmarkEnd w:id="4158"/>
    </w:p>
    <w:p w:rsidR="00CB0DD7" w:rsidRPr="000A0A5F" w:rsidRDefault="00CB0DD7">
      <w:pPr>
        <w:rPr>
          <w:rFonts w:hint="eastAsia"/>
          <w:lang w:eastAsia="zh-CN"/>
        </w:rPr>
      </w:pPr>
      <w:r w:rsidRPr="000A0A5F">
        <w:t xml:space="preserve">To </w:t>
      </w:r>
      <w:r w:rsidRPr="000A0A5F">
        <w:rPr>
          <w:rFonts w:hint="eastAsia"/>
          <w:lang w:eastAsia="zh-CN"/>
        </w:rPr>
        <w:t>deliver the downlink non-IP data</w:t>
      </w:r>
      <w:r w:rsidRPr="000A0A5F">
        <w:t xml:space="preserve">, the </w:t>
      </w:r>
      <w:r w:rsidRPr="000A0A5F">
        <w:rPr>
          <w:rFonts w:hint="eastAsia"/>
          <w:lang w:eastAsia="zh-CN"/>
        </w:rPr>
        <w:t xml:space="preserve">SCS/AS </w:t>
      </w:r>
      <w:r w:rsidRPr="000A0A5F">
        <w:t xml:space="preserve">shall use the HTTP </w:t>
      </w:r>
      <w:r w:rsidRPr="000A0A5F">
        <w:rPr>
          <w:rFonts w:hint="eastAsia"/>
          <w:lang w:eastAsia="zh-CN"/>
        </w:rPr>
        <w:t>POST</w:t>
      </w:r>
      <w:r w:rsidRPr="000A0A5F">
        <w:t xml:space="preserve"> method on the "NIDD downlink data</w:t>
      </w:r>
      <w:r w:rsidRPr="000A0A5F">
        <w:rPr>
          <w:rFonts w:hint="eastAsia"/>
          <w:lang w:eastAsia="zh-CN"/>
        </w:rPr>
        <w:t xml:space="preserve"> deliveries</w:t>
      </w:r>
      <w:r w:rsidRPr="000A0A5F">
        <w:t>"</w:t>
      </w:r>
      <w:r w:rsidRPr="000A0A5F">
        <w:rPr>
          <w:rFonts w:hint="eastAsia"/>
          <w:lang w:eastAsia="zh-CN"/>
        </w:rPr>
        <w:t xml:space="preserve"> </w:t>
      </w:r>
      <w:r w:rsidRPr="000A0A5F">
        <w:t>resource with the body of the message is encoded in JSON format</w:t>
      </w:r>
      <w:r w:rsidRPr="000A0A5F">
        <w:rPr>
          <w:rFonts w:hint="eastAsia"/>
          <w:lang w:eastAsia="zh-CN"/>
        </w:rPr>
        <w:t xml:space="preserve"> with the data structure defined in table</w:t>
      </w:r>
      <w:r w:rsidRPr="000A0A5F">
        <w:rPr>
          <w:lang w:val="en-US" w:eastAsia="zh-CN"/>
        </w:rPr>
        <w:t> </w:t>
      </w:r>
      <w:r w:rsidRPr="000A0A5F">
        <w:rPr>
          <w:rFonts w:hint="eastAsia"/>
          <w:lang w:eastAsia="zh-CN"/>
        </w:rPr>
        <w:t>5.6.2.1.3-1.</w:t>
      </w:r>
    </w:p>
    <w:p w:rsidR="00CB0DD7" w:rsidRPr="000A0A5F" w:rsidRDefault="00CB0DD7">
      <w:pPr>
        <w:rPr>
          <w:rFonts w:hint="eastAsia"/>
          <w:lang w:eastAsia="zh-CN"/>
        </w:rPr>
      </w:pPr>
      <w:r w:rsidRPr="000A0A5F">
        <w:t>The possible response messages from the</w:t>
      </w:r>
      <w:r w:rsidRPr="000A0A5F">
        <w:rPr>
          <w:rFonts w:hint="eastAsia"/>
          <w:lang w:eastAsia="zh-CN"/>
        </w:rPr>
        <w:t xml:space="preserve"> SCEF</w:t>
      </w:r>
      <w:r w:rsidRPr="000A0A5F">
        <w:t xml:space="preserve">, depending on whether the </w:t>
      </w:r>
      <w:r w:rsidRPr="000A0A5F">
        <w:rPr>
          <w:rFonts w:hint="eastAsia"/>
          <w:lang w:eastAsia="zh-CN"/>
        </w:rPr>
        <w:t>POST</w:t>
      </w:r>
      <w:r w:rsidRPr="000A0A5F">
        <w:t xml:space="preserve"> request is successful or unsuccessful, are shown in Table</w:t>
      </w:r>
      <w:r w:rsidRPr="000A0A5F">
        <w:rPr>
          <w:lang w:val="en-US" w:eastAsia="zh-CN"/>
        </w:rPr>
        <w:t> </w:t>
      </w:r>
      <w:r w:rsidRPr="000A0A5F">
        <w:rPr>
          <w:rFonts w:hint="eastAsia"/>
          <w:lang w:eastAsia="zh-CN"/>
        </w:rPr>
        <w:t>5.6.3.4.3.</w:t>
      </w:r>
      <w:r w:rsidRPr="000A0A5F">
        <w:rPr>
          <w:lang w:eastAsia="zh-CN"/>
        </w:rPr>
        <w:t>4</w:t>
      </w:r>
      <w:r w:rsidRPr="000A0A5F">
        <w:rPr>
          <w:rFonts w:hint="eastAsia"/>
          <w:lang w:eastAsia="zh-CN"/>
        </w:rPr>
        <w:t>-1.</w:t>
      </w:r>
    </w:p>
    <w:p w:rsidR="00CB0DD7" w:rsidRPr="000A0A5F" w:rsidRDefault="00CB0DD7">
      <w:pPr>
        <w:pStyle w:val="TH"/>
      </w:pPr>
      <w:r w:rsidRPr="000A0A5F">
        <w:t>Table 5.</w:t>
      </w:r>
      <w:r w:rsidRPr="000A0A5F">
        <w:rPr>
          <w:rFonts w:hint="eastAsia"/>
          <w:lang w:eastAsia="zh-CN"/>
        </w:rPr>
        <w:t>6</w:t>
      </w:r>
      <w:r w:rsidRPr="000A0A5F">
        <w:t>.</w:t>
      </w:r>
      <w:r w:rsidRPr="000A0A5F">
        <w:rPr>
          <w:rFonts w:hint="eastAsia"/>
          <w:lang w:eastAsia="zh-CN"/>
        </w:rPr>
        <w:t>3</w:t>
      </w:r>
      <w:r w:rsidRPr="000A0A5F">
        <w:t>.</w:t>
      </w:r>
      <w:r w:rsidRPr="000A0A5F">
        <w:rPr>
          <w:lang w:eastAsia="zh-CN"/>
        </w:rPr>
        <w:t>4</w:t>
      </w:r>
      <w:r w:rsidRPr="000A0A5F">
        <w:t>.3.</w:t>
      </w:r>
      <w:r w:rsidRPr="000A0A5F">
        <w:rPr>
          <w:lang w:eastAsia="zh-CN"/>
        </w:rPr>
        <w:t>4</w:t>
      </w:r>
      <w:r w:rsidRPr="000A0A5F">
        <w:t>-</w:t>
      </w:r>
      <w:r w:rsidRPr="000A0A5F">
        <w:rPr>
          <w:rFonts w:hint="eastAsia"/>
          <w:lang w:eastAsia="zh-CN"/>
        </w:rPr>
        <w:t>1</w:t>
      </w:r>
      <w:r w:rsidRPr="000A0A5F">
        <w:t>: Data structures supported by the POST request/response by the resource</w:t>
      </w:r>
    </w:p>
    <w:tbl>
      <w:tblPr>
        <w:tblW w:w="4999" w:type="pct"/>
        <w:tblInd w:w="1" w:type="dxa"/>
        <w:tblBorders>
          <w:top w:val="single" w:sz="6" w:space="0" w:color="000000"/>
          <w:left w:val="single" w:sz="6" w:space="0" w:color="000000"/>
          <w:bottom w:val="single" w:sz="6" w:space="0" w:color="000000"/>
          <w:right w:val="single" w:sz="6" w:space="0" w:color="000000"/>
          <w:insideH w:val="single" w:sz="6" w:space="0" w:color="auto"/>
          <w:insideV w:val="single" w:sz="6" w:space="0" w:color="000000"/>
        </w:tblBorders>
        <w:tblLayout w:type="fixed"/>
        <w:tblCellMar>
          <w:top w:w="45" w:type="dxa"/>
          <w:left w:w="45" w:type="dxa"/>
          <w:bottom w:w="45" w:type="dxa"/>
          <w:right w:w="45" w:type="dxa"/>
        </w:tblCellMar>
        <w:tblLook w:val="0000" w:firstRow="0" w:lastRow="0" w:firstColumn="0" w:lastColumn="0" w:noHBand="0" w:noVBand="0"/>
      </w:tblPr>
      <w:tblGrid>
        <w:gridCol w:w="1035"/>
        <w:gridCol w:w="2127"/>
        <w:gridCol w:w="1053"/>
        <w:gridCol w:w="973"/>
        <w:gridCol w:w="4541"/>
      </w:tblGrid>
      <w:tr w:rsidR="00CB0DD7" w:rsidRPr="000A0A5F" w:rsidTr="0086706F">
        <w:tc>
          <w:tcPr>
            <w:tcW w:w="532" w:type="pct"/>
            <w:vMerge w:val="restart"/>
            <w:shd w:val="clear" w:color="auto" w:fill="C0C0C0"/>
            <w:vAlign w:val="center"/>
          </w:tcPr>
          <w:p w:rsidR="00CB0DD7" w:rsidRPr="000A0A5F" w:rsidRDefault="00CB0DD7">
            <w:pPr>
              <w:pStyle w:val="TAH"/>
            </w:pPr>
            <w:r w:rsidRPr="000A0A5F">
              <w:t>Request body</w:t>
            </w:r>
          </w:p>
        </w:tc>
        <w:tc>
          <w:tcPr>
            <w:tcW w:w="1093" w:type="pct"/>
            <w:shd w:val="clear" w:color="auto" w:fill="C0C0C0"/>
          </w:tcPr>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r w:rsidRPr="000A0A5F">
              <w:t>Cardinality</w:t>
            </w:r>
          </w:p>
        </w:tc>
        <w:tc>
          <w:tcPr>
            <w:tcW w:w="2834" w:type="pct"/>
            <w:gridSpan w:val="2"/>
            <w:shd w:val="clear" w:color="auto" w:fill="C0C0C0"/>
          </w:tcPr>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t>NiddDownlinkDataTransfer</w:t>
            </w:r>
          </w:p>
        </w:tc>
        <w:tc>
          <w:tcPr>
            <w:tcW w:w="541" w:type="pct"/>
          </w:tcPr>
          <w:p w:rsidR="00CB0DD7" w:rsidRPr="000A0A5F" w:rsidRDefault="00CB0DD7">
            <w:pPr>
              <w:pStyle w:val="TAL"/>
            </w:pPr>
            <w:r w:rsidRPr="000A0A5F">
              <w:t>1</w:t>
            </w:r>
          </w:p>
        </w:tc>
        <w:tc>
          <w:tcPr>
            <w:tcW w:w="2834" w:type="pct"/>
            <w:gridSpan w:val="2"/>
          </w:tcPr>
          <w:p w:rsidR="00CB0DD7" w:rsidRPr="000A0A5F" w:rsidRDefault="00CB0DD7">
            <w:pPr>
              <w:pStyle w:val="TAL"/>
              <w:rPr>
                <w:rFonts w:hint="eastAsia"/>
                <w:lang w:eastAsia="zh-CN"/>
              </w:rPr>
            </w:pPr>
            <w:r w:rsidRPr="000A0A5F">
              <w:rPr>
                <w:rFonts w:hint="eastAsia"/>
                <w:lang w:eastAsia="zh-CN"/>
              </w:rPr>
              <w:t>The parameters and non-IP data for the MT delivery.</w:t>
            </w:r>
          </w:p>
        </w:tc>
      </w:tr>
      <w:tr w:rsidR="00A84191" w:rsidRPr="000A0A5F" w:rsidTr="0086706F">
        <w:tc>
          <w:tcPr>
            <w:tcW w:w="532" w:type="pct"/>
            <w:vMerge w:val="restart"/>
            <w:shd w:val="clear" w:color="auto" w:fill="C0C0C0"/>
            <w:vAlign w:val="center"/>
          </w:tcPr>
          <w:p w:rsidR="00A84191" w:rsidRPr="000A0A5F" w:rsidRDefault="00A84191">
            <w:pPr>
              <w:pStyle w:val="TAH"/>
            </w:pPr>
            <w:r w:rsidRPr="000A0A5F">
              <w:t>Response body</w:t>
            </w:r>
          </w:p>
        </w:tc>
        <w:tc>
          <w:tcPr>
            <w:tcW w:w="1093" w:type="pct"/>
            <w:shd w:val="clear" w:color="auto" w:fill="C0C0C0"/>
          </w:tcPr>
          <w:p w:rsidR="00A84191" w:rsidRPr="000A0A5F" w:rsidRDefault="00A84191">
            <w:pPr>
              <w:pStyle w:val="TAH"/>
            </w:pPr>
          </w:p>
          <w:p w:rsidR="00A84191" w:rsidRPr="000A0A5F" w:rsidRDefault="00A84191">
            <w:pPr>
              <w:pStyle w:val="TAH"/>
            </w:pPr>
            <w:r w:rsidRPr="000A0A5F">
              <w:t>Data type</w:t>
            </w:r>
          </w:p>
        </w:tc>
        <w:tc>
          <w:tcPr>
            <w:tcW w:w="541" w:type="pct"/>
            <w:shd w:val="clear" w:color="auto" w:fill="C0C0C0"/>
          </w:tcPr>
          <w:p w:rsidR="00A84191" w:rsidRPr="000A0A5F" w:rsidRDefault="00A84191">
            <w:pPr>
              <w:pStyle w:val="TAH"/>
            </w:pPr>
          </w:p>
          <w:p w:rsidR="00A84191" w:rsidRPr="000A0A5F" w:rsidRDefault="00A84191">
            <w:pPr>
              <w:pStyle w:val="TAH"/>
            </w:pPr>
            <w:r w:rsidRPr="000A0A5F">
              <w:t>Cardinality</w:t>
            </w:r>
          </w:p>
        </w:tc>
        <w:tc>
          <w:tcPr>
            <w:tcW w:w="500" w:type="pct"/>
            <w:shd w:val="clear" w:color="auto" w:fill="C0C0C0"/>
          </w:tcPr>
          <w:p w:rsidR="00A84191" w:rsidRPr="000A0A5F" w:rsidRDefault="00A84191">
            <w:pPr>
              <w:pStyle w:val="TAH"/>
            </w:pPr>
            <w:r w:rsidRPr="000A0A5F">
              <w:t>Response</w:t>
            </w:r>
          </w:p>
          <w:p w:rsidR="00A84191" w:rsidRPr="000A0A5F" w:rsidRDefault="00A84191">
            <w:pPr>
              <w:pStyle w:val="TAH"/>
            </w:pPr>
            <w:r w:rsidRPr="000A0A5F">
              <w:t>codes</w:t>
            </w:r>
          </w:p>
        </w:tc>
        <w:tc>
          <w:tcPr>
            <w:tcW w:w="2334" w:type="pct"/>
            <w:shd w:val="clear" w:color="auto" w:fill="C0C0C0"/>
          </w:tcPr>
          <w:p w:rsidR="00A84191" w:rsidRPr="000A0A5F" w:rsidRDefault="00A84191">
            <w:pPr>
              <w:pStyle w:val="TAH"/>
            </w:pPr>
          </w:p>
          <w:p w:rsidR="00A84191" w:rsidRPr="000A0A5F" w:rsidRDefault="00A84191">
            <w:pPr>
              <w:pStyle w:val="TAH"/>
            </w:pPr>
            <w:r w:rsidRPr="000A0A5F">
              <w:t>Remarks</w:t>
            </w:r>
          </w:p>
        </w:tc>
      </w:tr>
      <w:tr w:rsidR="009F3663" w:rsidRPr="000A0A5F" w:rsidTr="00A84191">
        <w:tc>
          <w:tcPr>
            <w:tcW w:w="532" w:type="pct"/>
            <w:vMerge/>
            <w:shd w:val="clear" w:color="auto" w:fill="C0C0C0"/>
            <w:vAlign w:val="center"/>
          </w:tcPr>
          <w:p w:rsidR="009F3663" w:rsidRPr="000A0A5F" w:rsidRDefault="009F3663" w:rsidP="009F3663">
            <w:pPr>
              <w:pStyle w:val="TAL"/>
              <w:jc w:val="center"/>
            </w:pPr>
          </w:p>
        </w:tc>
        <w:tc>
          <w:tcPr>
            <w:tcW w:w="1093" w:type="pct"/>
            <w:shd w:val="clear" w:color="auto" w:fill="auto"/>
          </w:tcPr>
          <w:p w:rsidR="009F3663" w:rsidRPr="000A0A5F" w:rsidRDefault="009F3663" w:rsidP="009F3663">
            <w:pPr>
              <w:pStyle w:val="TAL"/>
              <w:rPr>
                <w:rFonts w:hint="eastAsia"/>
                <w:lang w:eastAsia="zh-CN"/>
              </w:rPr>
            </w:pPr>
            <w:r w:rsidRPr="000A0A5F">
              <w:t>NiddDownlinkDataTransfer</w:t>
            </w:r>
          </w:p>
        </w:tc>
        <w:tc>
          <w:tcPr>
            <w:tcW w:w="541" w:type="pct"/>
          </w:tcPr>
          <w:p w:rsidR="009F3663" w:rsidRPr="000A0A5F" w:rsidRDefault="009F3663" w:rsidP="009F3663">
            <w:pPr>
              <w:pStyle w:val="TAL"/>
              <w:rPr>
                <w:rFonts w:hint="eastAsia"/>
                <w:lang w:eastAsia="zh-CN"/>
              </w:rPr>
            </w:pPr>
            <w:r w:rsidRPr="000A0A5F">
              <w:rPr>
                <w:rFonts w:hint="eastAsia"/>
                <w:lang w:eastAsia="zh-CN"/>
              </w:rPr>
              <w:t>1</w:t>
            </w:r>
          </w:p>
        </w:tc>
        <w:tc>
          <w:tcPr>
            <w:tcW w:w="500" w:type="pct"/>
          </w:tcPr>
          <w:p w:rsidR="009F3663" w:rsidRPr="000A0A5F" w:rsidRDefault="009F3663" w:rsidP="009F3663">
            <w:pPr>
              <w:pStyle w:val="TAL"/>
              <w:rPr>
                <w:rFonts w:hint="eastAsia"/>
                <w:lang w:eastAsia="zh-CN"/>
              </w:rPr>
            </w:pPr>
            <w:r w:rsidRPr="000A0A5F">
              <w:t>20</w:t>
            </w:r>
            <w:r w:rsidRPr="000A0A5F">
              <w:rPr>
                <w:rFonts w:hint="eastAsia"/>
                <w:lang w:eastAsia="zh-CN"/>
              </w:rPr>
              <w:t>0</w:t>
            </w:r>
            <w:r w:rsidRPr="000A0A5F">
              <w:t xml:space="preserve"> </w:t>
            </w:r>
            <w:r w:rsidRPr="000A0A5F">
              <w:rPr>
                <w:rFonts w:hint="eastAsia"/>
                <w:lang w:eastAsia="zh-CN"/>
              </w:rPr>
              <w:t>OK</w:t>
            </w:r>
          </w:p>
        </w:tc>
        <w:tc>
          <w:tcPr>
            <w:tcW w:w="2334" w:type="pct"/>
          </w:tcPr>
          <w:p w:rsidR="009F3663" w:rsidRPr="000A0A5F" w:rsidRDefault="009F3663" w:rsidP="009F3663">
            <w:pPr>
              <w:pStyle w:val="TAL"/>
            </w:pPr>
            <w:r w:rsidRPr="000A0A5F">
              <w:t xml:space="preserve">The </w:t>
            </w:r>
            <w:r w:rsidRPr="000A0A5F">
              <w:rPr>
                <w:rFonts w:hint="eastAsia"/>
                <w:lang w:eastAsia="zh-CN"/>
              </w:rPr>
              <w:t xml:space="preserve">NIDD downlink data delivery </w:t>
            </w:r>
            <w:r w:rsidRPr="000A0A5F">
              <w:t xml:space="preserve">was successful. </w:t>
            </w:r>
          </w:p>
          <w:p w:rsidR="009F3663" w:rsidRPr="000A0A5F" w:rsidRDefault="009F3663" w:rsidP="009F3663">
            <w:pPr>
              <w:pStyle w:val="TAL"/>
            </w:pPr>
          </w:p>
          <w:p w:rsidR="009F3663" w:rsidRPr="000A0A5F" w:rsidRDefault="009F3663" w:rsidP="009F3663">
            <w:pPr>
              <w:pStyle w:val="TAL"/>
            </w:pPr>
            <w:r w:rsidRPr="000A0A5F">
              <w:t xml:space="preserve">The SCEF </w:t>
            </w:r>
            <w:r w:rsidRPr="000A0A5F">
              <w:rPr>
                <w:rFonts w:hint="eastAsia"/>
                <w:lang w:eastAsia="zh-CN"/>
              </w:rPr>
              <w:t>shall</w:t>
            </w:r>
            <w:r w:rsidRPr="000A0A5F">
              <w:t xml:space="preserve"> return a data structure of type "NiddDownlinkDataTransfer" in the response content.</w:t>
            </w:r>
          </w:p>
        </w:tc>
      </w:tr>
      <w:tr w:rsidR="009F3663" w:rsidRPr="000A0A5F" w:rsidTr="00A84191">
        <w:tc>
          <w:tcPr>
            <w:tcW w:w="532" w:type="pct"/>
            <w:vMerge/>
            <w:shd w:val="clear" w:color="auto" w:fill="C0C0C0"/>
            <w:vAlign w:val="center"/>
          </w:tcPr>
          <w:p w:rsidR="009F3663" w:rsidRPr="000A0A5F" w:rsidRDefault="009F3663" w:rsidP="009F3663">
            <w:pPr>
              <w:pStyle w:val="TAL"/>
              <w:jc w:val="center"/>
            </w:pPr>
          </w:p>
        </w:tc>
        <w:tc>
          <w:tcPr>
            <w:tcW w:w="1093" w:type="pct"/>
            <w:shd w:val="clear" w:color="auto" w:fill="auto"/>
          </w:tcPr>
          <w:p w:rsidR="009F3663" w:rsidRPr="000A0A5F" w:rsidRDefault="009F3663" w:rsidP="009F3663">
            <w:pPr>
              <w:pStyle w:val="TAL"/>
              <w:rPr>
                <w:rFonts w:hint="eastAsia"/>
                <w:lang w:eastAsia="zh-CN"/>
              </w:rPr>
            </w:pPr>
            <w:r w:rsidRPr="000A0A5F">
              <w:t>NiddDownlinkDataTransfer</w:t>
            </w:r>
          </w:p>
        </w:tc>
        <w:tc>
          <w:tcPr>
            <w:tcW w:w="541" w:type="pct"/>
          </w:tcPr>
          <w:p w:rsidR="009F3663" w:rsidRPr="000A0A5F" w:rsidRDefault="009F3663" w:rsidP="009F3663">
            <w:pPr>
              <w:pStyle w:val="TAL"/>
              <w:rPr>
                <w:rFonts w:hint="eastAsia"/>
                <w:lang w:eastAsia="zh-CN"/>
              </w:rPr>
            </w:pPr>
            <w:r w:rsidRPr="000A0A5F">
              <w:rPr>
                <w:rFonts w:hint="eastAsia"/>
                <w:lang w:eastAsia="zh-CN"/>
              </w:rPr>
              <w:t>1</w:t>
            </w:r>
          </w:p>
        </w:tc>
        <w:tc>
          <w:tcPr>
            <w:tcW w:w="500" w:type="pct"/>
          </w:tcPr>
          <w:p w:rsidR="009F3663" w:rsidRPr="000A0A5F" w:rsidRDefault="009F3663" w:rsidP="009F3663">
            <w:pPr>
              <w:pStyle w:val="TAL"/>
              <w:rPr>
                <w:rFonts w:hint="eastAsia"/>
                <w:lang w:eastAsia="zh-CN"/>
              </w:rPr>
            </w:pPr>
            <w:r w:rsidRPr="000A0A5F">
              <w:rPr>
                <w:rFonts w:hint="eastAsia"/>
                <w:lang w:eastAsia="zh-CN"/>
              </w:rPr>
              <w:t>20</w:t>
            </w:r>
            <w:r w:rsidRPr="000A0A5F">
              <w:rPr>
                <w:lang w:eastAsia="zh-CN"/>
              </w:rPr>
              <w:t>1</w:t>
            </w:r>
            <w:r w:rsidRPr="000A0A5F">
              <w:rPr>
                <w:rFonts w:hint="eastAsia"/>
                <w:lang w:eastAsia="zh-CN"/>
              </w:rPr>
              <w:t xml:space="preserve"> </w:t>
            </w:r>
            <w:r w:rsidRPr="000A0A5F">
              <w:rPr>
                <w:lang w:eastAsia="zh-CN"/>
              </w:rPr>
              <w:t>Created</w:t>
            </w:r>
          </w:p>
        </w:tc>
        <w:tc>
          <w:tcPr>
            <w:tcW w:w="2334" w:type="pct"/>
          </w:tcPr>
          <w:p w:rsidR="009F3663" w:rsidRPr="000A0A5F" w:rsidRDefault="009F3663" w:rsidP="009F3663">
            <w:pPr>
              <w:pStyle w:val="TAL"/>
              <w:rPr>
                <w:lang w:eastAsia="zh-CN"/>
              </w:rPr>
            </w:pPr>
            <w:r w:rsidRPr="000A0A5F">
              <w:t xml:space="preserve">The </w:t>
            </w:r>
            <w:r w:rsidRPr="000A0A5F">
              <w:rPr>
                <w:rFonts w:hint="eastAsia"/>
                <w:lang w:eastAsia="zh-CN"/>
              </w:rPr>
              <w:t xml:space="preserve">NIDD downlink data delivery request </w:t>
            </w:r>
            <w:r w:rsidRPr="000A0A5F">
              <w:rPr>
                <w:lang w:eastAsia="zh-CN"/>
              </w:rPr>
              <w:t>was</w:t>
            </w:r>
            <w:r w:rsidRPr="000A0A5F">
              <w:rPr>
                <w:rFonts w:hint="eastAsia"/>
                <w:lang w:eastAsia="zh-CN"/>
              </w:rPr>
              <w:t xml:space="preserve"> accepted by the SCEF, the NIDD will be performed later.</w:t>
            </w:r>
          </w:p>
          <w:p w:rsidR="009F3663" w:rsidRPr="000A0A5F" w:rsidRDefault="009F3663" w:rsidP="009F3663">
            <w:pPr>
              <w:pStyle w:val="TAL"/>
              <w:rPr>
                <w:lang w:eastAsia="zh-CN"/>
              </w:rPr>
            </w:pPr>
          </w:p>
          <w:p w:rsidR="009F3663" w:rsidRPr="000A0A5F" w:rsidRDefault="009F3663" w:rsidP="009F3663">
            <w:pPr>
              <w:pStyle w:val="TAL"/>
              <w:rPr>
                <w:lang w:eastAsia="zh-CN"/>
              </w:rPr>
            </w:pPr>
            <w:r w:rsidRPr="000A0A5F">
              <w:t xml:space="preserve">The SCEF </w:t>
            </w:r>
            <w:r w:rsidRPr="000A0A5F">
              <w:rPr>
                <w:rFonts w:hint="eastAsia"/>
                <w:lang w:eastAsia="zh-CN"/>
              </w:rPr>
              <w:t>shall</w:t>
            </w:r>
            <w:r w:rsidRPr="000A0A5F">
              <w:t xml:space="preserve"> return a data structure of type "NiddDownlinkDataTransfer" in the response content, and shall return the URI of the resource representing the downlink data transfer in the "Location" header.</w:t>
            </w:r>
          </w:p>
        </w:tc>
      </w:tr>
      <w:tr w:rsidR="00A84191" w:rsidRPr="000A0A5F" w:rsidTr="00A84191">
        <w:tc>
          <w:tcPr>
            <w:tcW w:w="532" w:type="pct"/>
            <w:vMerge/>
            <w:shd w:val="clear" w:color="auto" w:fill="C0C0C0"/>
            <w:vAlign w:val="center"/>
          </w:tcPr>
          <w:p w:rsidR="00A84191" w:rsidRPr="000A0A5F" w:rsidRDefault="00A84191" w:rsidP="00A84191">
            <w:pPr>
              <w:pStyle w:val="TAL"/>
              <w:jc w:val="center"/>
            </w:pPr>
          </w:p>
        </w:tc>
        <w:tc>
          <w:tcPr>
            <w:tcW w:w="1093" w:type="pct"/>
            <w:shd w:val="clear" w:color="auto" w:fill="auto"/>
          </w:tcPr>
          <w:p w:rsidR="00A84191" w:rsidRPr="000A0A5F" w:rsidRDefault="00A84191" w:rsidP="00A84191">
            <w:pPr>
              <w:pStyle w:val="TAL"/>
            </w:pPr>
            <w:r w:rsidRPr="000A0A5F">
              <w:rPr>
                <w:lang w:eastAsia="zh-CN"/>
              </w:rPr>
              <w:t>None</w:t>
            </w:r>
          </w:p>
        </w:tc>
        <w:tc>
          <w:tcPr>
            <w:tcW w:w="541" w:type="pct"/>
          </w:tcPr>
          <w:p w:rsidR="00A84191" w:rsidRPr="000A0A5F" w:rsidRDefault="00A84191" w:rsidP="00A84191">
            <w:pPr>
              <w:pStyle w:val="TAL"/>
              <w:rPr>
                <w:rFonts w:hint="eastAsia"/>
                <w:lang w:eastAsia="zh-CN"/>
              </w:rPr>
            </w:pPr>
          </w:p>
        </w:tc>
        <w:tc>
          <w:tcPr>
            <w:tcW w:w="500" w:type="pct"/>
          </w:tcPr>
          <w:p w:rsidR="00A84191" w:rsidRPr="000A0A5F" w:rsidRDefault="00A84191" w:rsidP="00A84191">
            <w:pPr>
              <w:pStyle w:val="TAL"/>
              <w:rPr>
                <w:rFonts w:hint="eastAsia"/>
                <w:lang w:eastAsia="zh-CN"/>
              </w:rPr>
            </w:pPr>
            <w:r w:rsidRPr="000A0A5F">
              <w:t>307 Temporary Redirect</w:t>
            </w:r>
          </w:p>
        </w:tc>
        <w:tc>
          <w:tcPr>
            <w:tcW w:w="2334" w:type="pct"/>
          </w:tcPr>
          <w:p w:rsidR="00A84191" w:rsidRPr="000A0A5F" w:rsidRDefault="00A84191" w:rsidP="00A84191">
            <w:pPr>
              <w:pStyle w:val="TAL"/>
            </w:pPr>
            <w:r w:rsidRPr="000A0A5F">
              <w:t xml:space="preserve">Temporary redirection, during </w:t>
            </w:r>
            <w:r w:rsidRPr="000A0A5F">
              <w:rPr>
                <w:lang w:eastAsia="zh-CN"/>
              </w:rPr>
              <w:t>NIDD downlink data delivery</w:t>
            </w:r>
            <w:r w:rsidRPr="000A0A5F">
              <w:t>. The response shall include a Location header field containing an alternative URI of the resource located in an alternative SCEF.</w:t>
            </w:r>
          </w:p>
          <w:p w:rsidR="00A84191" w:rsidRPr="000A0A5F" w:rsidRDefault="00A84191" w:rsidP="00A84191">
            <w:pPr>
              <w:pStyle w:val="TAL"/>
            </w:pPr>
          </w:p>
          <w:p w:rsidR="00A84191" w:rsidRPr="000A0A5F" w:rsidRDefault="00A84191" w:rsidP="00A84191">
            <w:pPr>
              <w:pStyle w:val="TAL"/>
            </w:pPr>
            <w:r w:rsidRPr="000A0A5F">
              <w:t>Redirection handling is described in clause 5.2.10.</w:t>
            </w:r>
          </w:p>
        </w:tc>
      </w:tr>
      <w:tr w:rsidR="00A84191" w:rsidRPr="000A0A5F" w:rsidTr="00A84191">
        <w:tc>
          <w:tcPr>
            <w:tcW w:w="532" w:type="pct"/>
            <w:vMerge/>
            <w:shd w:val="clear" w:color="auto" w:fill="C0C0C0"/>
            <w:vAlign w:val="center"/>
          </w:tcPr>
          <w:p w:rsidR="00A84191" w:rsidRPr="000A0A5F" w:rsidRDefault="00A84191" w:rsidP="00A84191">
            <w:pPr>
              <w:pStyle w:val="TAL"/>
              <w:jc w:val="center"/>
            </w:pPr>
          </w:p>
        </w:tc>
        <w:tc>
          <w:tcPr>
            <w:tcW w:w="1093" w:type="pct"/>
            <w:shd w:val="clear" w:color="auto" w:fill="auto"/>
          </w:tcPr>
          <w:p w:rsidR="00A84191" w:rsidRPr="000A0A5F" w:rsidRDefault="00A84191" w:rsidP="00A84191">
            <w:pPr>
              <w:pStyle w:val="TAL"/>
            </w:pPr>
            <w:r w:rsidRPr="000A0A5F">
              <w:rPr>
                <w:lang w:eastAsia="zh-CN"/>
              </w:rPr>
              <w:t>None</w:t>
            </w:r>
          </w:p>
        </w:tc>
        <w:tc>
          <w:tcPr>
            <w:tcW w:w="541" w:type="pct"/>
          </w:tcPr>
          <w:p w:rsidR="00A84191" w:rsidRPr="000A0A5F" w:rsidRDefault="00A84191" w:rsidP="00A84191">
            <w:pPr>
              <w:pStyle w:val="TAL"/>
              <w:rPr>
                <w:rFonts w:hint="eastAsia"/>
                <w:lang w:eastAsia="zh-CN"/>
              </w:rPr>
            </w:pPr>
          </w:p>
        </w:tc>
        <w:tc>
          <w:tcPr>
            <w:tcW w:w="500" w:type="pct"/>
          </w:tcPr>
          <w:p w:rsidR="00A84191" w:rsidRPr="000A0A5F" w:rsidRDefault="00A84191" w:rsidP="00A84191">
            <w:pPr>
              <w:pStyle w:val="TAL"/>
              <w:rPr>
                <w:rFonts w:hint="eastAsia"/>
                <w:lang w:eastAsia="zh-CN"/>
              </w:rPr>
            </w:pPr>
            <w:r w:rsidRPr="000A0A5F">
              <w:t>308 Permanent Redirect</w:t>
            </w:r>
          </w:p>
        </w:tc>
        <w:tc>
          <w:tcPr>
            <w:tcW w:w="2334" w:type="pct"/>
          </w:tcPr>
          <w:p w:rsidR="00A84191" w:rsidRPr="000A0A5F" w:rsidRDefault="00A84191" w:rsidP="00A84191">
            <w:pPr>
              <w:pStyle w:val="TAL"/>
            </w:pPr>
            <w:r w:rsidRPr="000A0A5F">
              <w:t xml:space="preserve">Permanent redirection, during </w:t>
            </w:r>
            <w:r w:rsidRPr="000A0A5F">
              <w:rPr>
                <w:lang w:eastAsia="zh-CN"/>
              </w:rPr>
              <w:t>NIDD downlink data delivery</w:t>
            </w:r>
            <w:r w:rsidRPr="000A0A5F">
              <w:t>. The response shall include a Location header field containing an alternative URI of the resource located in an alternative SCEF.</w:t>
            </w:r>
          </w:p>
          <w:p w:rsidR="00A84191" w:rsidRPr="000A0A5F" w:rsidRDefault="00A84191" w:rsidP="00A84191">
            <w:pPr>
              <w:pStyle w:val="TAL"/>
            </w:pPr>
          </w:p>
          <w:p w:rsidR="00A84191" w:rsidRPr="000A0A5F" w:rsidRDefault="00A84191" w:rsidP="00A84191">
            <w:pPr>
              <w:pStyle w:val="TAL"/>
            </w:pPr>
            <w:r w:rsidRPr="000A0A5F">
              <w:t>Redirection handling is described in clause 5.2.10.</w:t>
            </w:r>
          </w:p>
        </w:tc>
      </w:tr>
      <w:tr w:rsidR="00A84191" w:rsidRPr="000A0A5F" w:rsidTr="00A84191">
        <w:tc>
          <w:tcPr>
            <w:tcW w:w="532" w:type="pct"/>
            <w:vMerge/>
            <w:shd w:val="clear" w:color="auto" w:fill="C0C0C0"/>
            <w:vAlign w:val="center"/>
          </w:tcPr>
          <w:p w:rsidR="00A84191" w:rsidRPr="000A0A5F" w:rsidRDefault="00A84191" w:rsidP="00A84191">
            <w:pPr>
              <w:pStyle w:val="TAL"/>
              <w:jc w:val="center"/>
            </w:pPr>
          </w:p>
        </w:tc>
        <w:tc>
          <w:tcPr>
            <w:tcW w:w="1093" w:type="pct"/>
            <w:shd w:val="clear" w:color="auto" w:fill="auto"/>
          </w:tcPr>
          <w:p w:rsidR="00A84191" w:rsidRPr="000A0A5F" w:rsidRDefault="00A84191" w:rsidP="00A84191">
            <w:pPr>
              <w:pStyle w:val="TAL"/>
            </w:pPr>
            <w:r w:rsidRPr="000A0A5F">
              <w:t>NiddDownlinkDataDeliveryFailure</w:t>
            </w:r>
          </w:p>
        </w:tc>
        <w:tc>
          <w:tcPr>
            <w:tcW w:w="541" w:type="pct"/>
          </w:tcPr>
          <w:p w:rsidR="00A84191" w:rsidRPr="000A0A5F" w:rsidRDefault="00A84191" w:rsidP="00A84191">
            <w:pPr>
              <w:pStyle w:val="TAL"/>
              <w:rPr>
                <w:rFonts w:hint="eastAsia"/>
                <w:lang w:eastAsia="zh-CN"/>
              </w:rPr>
            </w:pPr>
            <w:r w:rsidRPr="000A0A5F">
              <w:rPr>
                <w:lang w:eastAsia="zh-CN"/>
              </w:rPr>
              <w:t>0..1</w:t>
            </w:r>
          </w:p>
        </w:tc>
        <w:tc>
          <w:tcPr>
            <w:tcW w:w="500" w:type="pct"/>
          </w:tcPr>
          <w:p w:rsidR="00A84191" w:rsidRPr="000A0A5F" w:rsidRDefault="00A84191" w:rsidP="00A84191">
            <w:pPr>
              <w:pStyle w:val="TAL"/>
              <w:rPr>
                <w:rFonts w:hint="eastAsia"/>
                <w:lang w:eastAsia="zh-CN"/>
              </w:rPr>
            </w:pPr>
            <w:r w:rsidRPr="000A0A5F">
              <w:rPr>
                <w:lang w:eastAsia="zh-CN"/>
              </w:rPr>
              <w:t>500 Internal Server Error</w:t>
            </w:r>
          </w:p>
        </w:tc>
        <w:tc>
          <w:tcPr>
            <w:tcW w:w="2334" w:type="pct"/>
          </w:tcPr>
          <w:p w:rsidR="00A84191" w:rsidRPr="000A0A5F" w:rsidRDefault="00A84191" w:rsidP="00A84191">
            <w:pPr>
              <w:pStyle w:val="TAL"/>
            </w:pPr>
            <w:r w:rsidRPr="000A0A5F">
              <w:t>(NOTE 2)</w:t>
            </w:r>
          </w:p>
        </w:tc>
      </w:tr>
      <w:tr w:rsidR="00A84191" w:rsidRPr="000A0A5F" w:rsidTr="00FF0AF8">
        <w:tc>
          <w:tcPr>
            <w:tcW w:w="5000" w:type="pct"/>
            <w:gridSpan w:val="5"/>
            <w:shd w:val="clear" w:color="auto" w:fill="auto"/>
            <w:vAlign w:val="center"/>
          </w:tcPr>
          <w:p w:rsidR="00A84191" w:rsidRPr="000A0A5F" w:rsidRDefault="00A84191" w:rsidP="00A84191">
            <w:pPr>
              <w:pStyle w:val="TAN"/>
            </w:pPr>
            <w:r w:rsidRPr="000A0A5F">
              <w:t>NOTE</w:t>
            </w:r>
            <w:r w:rsidR="00F73158" w:rsidRPr="000A0A5F">
              <w:t> 1</w:t>
            </w:r>
            <w:r w:rsidRPr="000A0A5F">
              <w:t>:</w:t>
            </w:r>
            <w:r w:rsidRPr="000A0A5F">
              <w:tab/>
              <w:t>The mandatory HTTP error status codes for the POST method listed in table 5.2.6-1 also apply.</w:t>
            </w:r>
          </w:p>
          <w:p w:rsidR="00F73158" w:rsidRPr="000A0A5F" w:rsidRDefault="00F73158" w:rsidP="00A84191">
            <w:pPr>
              <w:pStyle w:val="TAN"/>
            </w:pPr>
            <w:r w:rsidRPr="000A0A5F">
              <w:t>NOTE 2:</w:t>
            </w:r>
            <w:r w:rsidRPr="000A0A5F">
              <w:tab/>
              <w:t xml:space="preserve">Failure cases are described in </w:t>
            </w:r>
            <w:r w:rsidRPr="000A0A5F">
              <w:rPr>
                <w:lang w:eastAsia="zh-CN"/>
              </w:rPr>
              <w:t>clause 5.6.5.3.</w:t>
            </w:r>
          </w:p>
        </w:tc>
      </w:tr>
    </w:tbl>
    <w:p w:rsidR="00CB0DD7" w:rsidRPr="000A0A5F" w:rsidRDefault="00CB0DD7"/>
    <w:p w:rsidR="00CB0DD7" w:rsidRPr="000A0A5F" w:rsidRDefault="00771F41">
      <w:pPr>
        <w:pStyle w:val="TH"/>
      </w:pPr>
      <w:r w:rsidRPr="000A0A5F">
        <w:t>Table </w:t>
      </w:r>
      <w:r w:rsidR="00CB0DD7" w:rsidRPr="000A0A5F">
        <w:t>5.6.3.4.3.4-2: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771F41">
      <w:pPr>
        <w:pStyle w:val="TH"/>
      </w:pPr>
      <w:r w:rsidRPr="000A0A5F">
        <w:t>Table </w:t>
      </w:r>
      <w:r w:rsidR="00CB0DD7" w:rsidRPr="000A0A5F">
        <w:t>5.6.3.4.3.4-3: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Pr>
        <w:rPr>
          <w:noProof/>
        </w:rPr>
      </w:pPr>
    </w:p>
    <w:p w:rsidR="00CB0DD7" w:rsidRPr="000A0A5F" w:rsidRDefault="00CB0DD7">
      <w:pPr>
        <w:pStyle w:val="TH"/>
      </w:pPr>
      <w:r w:rsidRPr="000A0A5F">
        <w:t>Table</w:t>
      </w:r>
      <w:r w:rsidRPr="000A0A5F">
        <w:rPr>
          <w:noProof/>
        </w:rPr>
        <w:t> </w:t>
      </w:r>
      <w:r w:rsidRPr="000A0A5F">
        <w:t>5.</w:t>
      </w:r>
      <w:r w:rsidRPr="000A0A5F">
        <w:rPr>
          <w:rFonts w:hint="eastAsia"/>
          <w:lang w:eastAsia="zh-CN"/>
        </w:rPr>
        <w:t>6</w:t>
      </w:r>
      <w:r w:rsidRPr="000A0A5F">
        <w:t>.</w:t>
      </w:r>
      <w:r w:rsidRPr="000A0A5F">
        <w:rPr>
          <w:rFonts w:hint="eastAsia"/>
          <w:lang w:eastAsia="zh-CN"/>
        </w:rPr>
        <w:t>3</w:t>
      </w:r>
      <w:r w:rsidRPr="000A0A5F">
        <w:t>.</w:t>
      </w:r>
      <w:r w:rsidRPr="000A0A5F">
        <w:rPr>
          <w:lang w:eastAsia="zh-CN"/>
        </w:rPr>
        <w:t>4</w:t>
      </w:r>
      <w:r w:rsidRPr="000A0A5F">
        <w:t>.3.</w:t>
      </w:r>
      <w:r w:rsidRPr="000A0A5F">
        <w:rPr>
          <w:lang w:eastAsia="zh-CN"/>
        </w:rPr>
        <w:t>4</w:t>
      </w:r>
      <w:r w:rsidRPr="000A0A5F">
        <w:t xml:space="preserve">-2: Headers supported by the 201 Response Code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846044">
        <w:trPr>
          <w:jc w:val="center"/>
        </w:trPr>
        <w:tc>
          <w:tcPr>
            <w:tcW w:w="825" w:type="pct"/>
            <w:tcBorders>
              <w:bottom w:val="single" w:sz="6" w:space="0" w:color="auto"/>
            </w:tcBorders>
            <w:shd w:val="clear" w:color="auto" w:fill="C0C0C0"/>
          </w:tcPr>
          <w:p w:rsidR="00CB0DD7" w:rsidRPr="000A0A5F" w:rsidRDefault="00CB0DD7">
            <w:pPr>
              <w:pStyle w:val="TAH"/>
            </w:pPr>
            <w:r w:rsidRPr="000A0A5F">
              <w:t>Name</w:t>
            </w:r>
          </w:p>
        </w:tc>
        <w:tc>
          <w:tcPr>
            <w:tcW w:w="732" w:type="pct"/>
            <w:tcBorders>
              <w:bottom w:val="single" w:sz="6" w:space="0" w:color="auto"/>
            </w:tcBorders>
            <w:shd w:val="clear" w:color="auto" w:fill="C0C0C0"/>
          </w:tcPr>
          <w:p w:rsidR="00CB0DD7" w:rsidRPr="000A0A5F" w:rsidRDefault="00CB0DD7">
            <w:pPr>
              <w:pStyle w:val="TAH"/>
            </w:pPr>
            <w:r w:rsidRPr="000A0A5F">
              <w:t>Data type</w:t>
            </w:r>
          </w:p>
        </w:tc>
        <w:tc>
          <w:tcPr>
            <w:tcW w:w="217" w:type="pct"/>
            <w:tcBorders>
              <w:bottom w:val="single" w:sz="6" w:space="0" w:color="auto"/>
            </w:tcBorders>
            <w:shd w:val="clear" w:color="auto" w:fill="C0C0C0"/>
          </w:tcPr>
          <w:p w:rsidR="00CB0DD7" w:rsidRPr="000A0A5F" w:rsidRDefault="00CB0DD7">
            <w:pPr>
              <w:pStyle w:val="TAH"/>
            </w:pPr>
            <w:r w:rsidRPr="000A0A5F">
              <w:t>P</w:t>
            </w:r>
          </w:p>
        </w:tc>
        <w:tc>
          <w:tcPr>
            <w:tcW w:w="581" w:type="pct"/>
            <w:tcBorders>
              <w:bottom w:val="single" w:sz="6" w:space="0" w:color="auto"/>
            </w:tcBorders>
            <w:shd w:val="clear" w:color="auto" w:fill="C0C0C0"/>
          </w:tcPr>
          <w:p w:rsidR="00CB0DD7" w:rsidRPr="000A0A5F" w:rsidRDefault="00CB0DD7">
            <w:pPr>
              <w:pStyle w:val="TAH"/>
            </w:pPr>
            <w:r w:rsidRPr="000A0A5F">
              <w:t>Cardinality</w:t>
            </w:r>
          </w:p>
        </w:tc>
        <w:tc>
          <w:tcPr>
            <w:tcW w:w="2645" w:type="pct"/>
            <w:tcBorders>
              <w:bottom w:val="single" w:sz="6" w:space="0" w:color="auto"/>
            </w:tcBorders>
            <w:shd w:val="clear" w:color="auto" w:fill="C0C0C0"/>
            <w:vAlign w:val="center"/>
          </w:tcPr>
          <w:p w:rsidR="00CB0DD7" w:rsidRPr="000A0A5F" w:rsidRDefault="00CB0DD7">
            <w:pPr>
              <w:pStyle w:val="TAH"/>
            </w:pPr>
            <w:r w:rsidRPr="000A0A5F">
              <w:t>Description</w:t>
            </w:r>
          </w:p>
        </w:tc>
      </w:tr>
      <w:tr w:rsidR="00CB0DD7" w:rsidRPr="000A0A5F" w:rsidTr="00846044">
        <w:trPr>
          <w:jc w:val="center"/>
        </w:trPr>
        <w:tc>
          <w:tcPr>
            <w:tcW w:w="825" w:type="pct"/>
            <w:tcBorders>
              <w:top w:val="single" w:sz="6" w:space="0" w:color="auto"/>
            </w:tcBorders>
            <w:shd w:val="clear" w:color="auto" w:fill="auto"/>
          </w:tcPr>
          <w:p w:rsidR="00CB0DD7" w:rsidRPr="000A0A5F" w:rsidRDefault="00CB0DD7">
            <w:pPr>
              <w:pStyle w:val="TAL"/>
            </w:pPr>
            <w:r w:rsidRPr="000A0A5F">
              <w:t>Location</w:t>
            </w:r>
          </w:p>
        </w:tc>
        <w:tc>
          <w:tcPr>
            <w:tcW w:w="732" w:type="pct"/>
            <w:tcBorders>
              <w:top w:val="single" w:sz="6" w:space="0" w:color="auto"/>
            </w:tcBorders>
          </w:tcPr>
          <w:p w:rsidR="00CB0DD7" w:rsidRPr="000A0A5F" w:rsidRDefault="00CB0DD7">
            <w:pPr>
              <w:pStyle w:val="TAL"/>
            </w:pPr>
            <w:r w:rsidRPr="000A0A5F">
              <w:t>string</w:t>
            </w:r>
          </w:p>
        </w:tc>
        <w:tc>
          <w:tcPr>
            <w:tcW w:w="217" w:type="pct"/>
            <w:tcBorders>
              <w:top w:val="single" w:sz="6" w:space="0" w:color="auto"/>
            </w:tcBorders>
          </w:tcPr>
          <w:p w:rsidR="00CB0DD7" w:rsidRPr="000A0A5F" w:rsidRDefault="00CB0DD7">
            <w:pPr>
              <w:pStyle w:val="TAC"/>
            </w:pPr>
            <w:r w:rsidRPr="000A0A5F">
              <w:t>M</w:t>
            </w:r>
          </w:p>
        </w:tc>
        <w:tc>
          <w:tcPr>
            <w:tcW w:w="581" w:type="pct"/>
            <w:tcBorders>
              <w:top w:val="single" w:sz="6" w:space="0" w:color="auto"/>
            </w:tcBorders>
          </w:tcPr>
          <w:p w:rsidR="00CB0DD7" w:rsidRPr="000A0A5F" w:rsidRDefault="00CB0DD7">
            <w:pPr>
              <w:pStyle w:val="TAL"/>
            </w:pPr>
            <w:r w:rsidRPr="000A0A5F">
              <w:t>1</w:t>
            </w:r>
          </w:p>
        </w:tc>
        <w:tc>
          <w:tcPr>
            <w:tcW w:w="2645" w:type="pct"/>
            <w:tcBorders>
              <w:top w:val="single" w:sz="6" w:space="0" w:color="auto"/>
            </w:tcBorders>
            <w:shd w:val="clear" w:color="auto" w:fill="auto"/>
            <w:vAlign w:val="center"/>
          </w:tcPr>
          <w:p w:rsidR="00CB0DD7" w:rsidRPr="000A0A5F" w:rsidRDefault="00CB0DD7">
            <w:pPr>
              <w:pStyle w:val="TAL"/>
            </w:pPr>
            <w:r w:rsidRPr="000A0A5F">
              <w:t>Contains the URI of the newly created resource, according to the structure:</w:t>
            </w:r>
            <w:r w:rsidRPr="000A0A5F">
              <w:rPr>
                <w:noProof/>
              </w:rPr>
              <w:t xml:space="preserve"> </w:t>
            </w:r>
            <w:r w:rsidRPr="000A0A5F">
              <w:t>{apiRoot}/3gpp-nidd/v1/{scsAsId}/</w:t>
            </w:r>
            <w:r w:rsidRPr="000A0A5F">
              <w:rPr>
                <w:rFonts w:hint="eastAsia"/>
                <w:lang w:eastAsia="zh-CN"/>
              </w:rPr>
              <w:t>configurations</w:t>
            </w:r>
            <w:r w:rsidRPr="000A0A5F">
              <w:t>/{configurationId}/downlink-data-</w:t>
            </w:r>
            <w:r w:rsidRPr="000A0A5F">
              <w:rPr>
                <w:rFonts w:hint="eastAsia"/>
                <w:lang w:eastAsia="zh-CN"/>
              </w:rPr>
              <w:t>deliveries/{</w:t>
            </w:r>
            <w:r w:rsidRPr="000A0A5F">
              <w:rPr>
                <w:lang w:eastAsia="zh-CN"/>
              </w:rPr>
              <w:t>downlinkDataDelivery</w:t>
            </w:r>
            <w:r w:rsidRPr="000A0A5F">
              <w:rPr>
                <w:rFonts w:hint="eastAsia"/>
                <w:lang w:eastAsia="zh-CN"/>
              </w:rPr>
              <w:t>Id}</w:t>
            </w:r>
          </w:p>
        </w:tc>
      </w:tr>
    </w:tbl>
    <w:p w:rsidR="00CB0DD7" w:rsidRPr="000A0A5F" w:rsidRDefault="00CB0DD7"/>
    <w:p w:rsidR="00CB0DD7" w:rsidRPr="000A0A5F" w:rsidRDefault="00CB0DD7">
      <w:pPr>
        <w:pStyle w:val="Heading6"/>
      </w:pPr>
      <w:bookmarkStart w:id="4159" w:name="_Toc11247487"/>
      <w:bookmarkStart w:id="4160" w:name="_Toc27044611"/>
      <w:bookmarkStart w:id="4161" w:name="_Toc36033653"/>
      <w:bookmarkStart w:id="4162" w:name="_Toc45131790"/>
      <w:bookmarkStart w:id="4163" w:name="_Toc49776075"/>
      <w:bookmarkStart w:id="4164" w:name="_Toc51746995"/>
      <w:bookmarkStart w:id="4165" w:name="_Toc66360550"/>
      <w:bookmarkStart w:id="4166" w:name="_Toc68105055"/>
      <w:bookmarkStart w:id="4167" w:name="_Toc74755685"/>
      <w:bookmarkStart w:id="4168" w:name="_Toc105674559"/>
      <w:bookmarkStart w:id="4169" w:name="_Toc130502607"/>
      <w:bookmarkStart w:id="4170" w:name="_Toc153625394"/>
      <w:r w:rsidRPr="000A0A5F">
        <w:t>5.6.3.4.3.5</w:t>
      </w:r>
      <w:r w:rsidRPr="000A0A5F">
        <w:tab/>
        <w:t>DELETE</w:t>
      </w:r>
      <w:bookmarkEnd w:id="4159"/>
      <w:bookmarkEnd w:id="4160"/>
      <w:bookmarkEnd w:id="4161"/>
      <w:bookmarkEnd w:id="4162"/>
      <w:bookmarkEnd w:id="4163"/>
      <w:bookmarkEnd w:id="4164"/>
      <w:bookmarkEnd w:id="4165"/>
      <w:bookmarkEnd w:id="4166"/>
      <w:bookmarkEnd w:id="4167"/>
      <w:bookmarkEnd w:id="4168"/>
      <w:bookmarkEnd w:id="4169"/>
      <w:bookmarkEnd w:id="4170"/>
    </w:p>
    <w:p w:rsidR="00CB0DD7" w:rsidRPr="000A0A5F" w:rsidRDefault="00CB0DD7">
      <w:pPr>
        <w:rPr>
          <w:rFonts w:hint="eastAsia"/>
          <w:lang w:eastAsia="zh-CN"/>
        </w:rPr>
      </w:pPr>
      <w:r w:rsidRPr="000A0A5F">
        <w:rPr>
          <w:rFonts w:hint="eastAsia"/>
          <w:lang w:eastAsia="zh-CN"/>
        </w:rPr>
        <w:t xml:space="preserve">This </w:t>
      </w:r>
      <w:r w:rsidRPr="000A0A5F">
        <w:rPr>
          <w:lang w:eastAsia="zh-CN"/>
        </w:rPr>
        <w:t>HTTP method is not supported for the resource.</w:t>
      </w:r>
    </w:p>
    <w:p w:rsidR="00CB0DD7" w:rsidRPr="000A0A5F" w:rsidRDefault="00CB0DD7">
      <w:pPr>
        <w:pStyle w:val="Heading4"/>
        <w:rPr>
          <w:rFonts w:hint="eastAsia"/>
          <w:lang w:eastAsia="zh-CN"/>
        </w:rPr>
      </w:pPr>
      <w:bookmarkStart w:id="4171" w:name="_Toc11247488"/>
      <w:bookmarkStart w:id="4172" w:name="_Toc27044612"/>
      <w:bookmarkStart w:id="4173" w:name="_Toc36033654"/>
      <w:bookmarkStart w:id="4174" w:name="_Toc45131791"/>
      <w:bookmarkStart w:id="4175" w:name="_Toc49776076"/>
      <w:bookmarkStart w:id="4176" w:name="_Toc51746996"/>
      <w:bookmarkStart w:id="4177" w:name="_Toc66360551"/>
      <w:bookmarkStart w:id="4178" w:name="_Toc68105056"/>
      <w:bookmarkStart w:id="4179" w:name="_Toc74755686"/>
      <w:bookmarkStart w:id="4180" w:name="_Toc105674560"/>
      <w:bookmarkStart w:id="4181" w:name="_Toc130502608"/>
      <w:bookmarkStart w:id="4182" w:name="_Toc153625395"/>
      <w:r w:rsidRPr="000A0A5F">
        <w:t>5.6.3.5</w:t>
      </w:r>
      <w:r w:rsidRPr="000A0A5F">
        <w:tab/>
        <w:t>Resource: Individual NIDD downlink data</w:t>
      </w:r>
      <w:r w:rsidRPr="000A0A5F">
        <w:rPr>
          <w:rFonts w:hint="eastAsia"/>
          <w:lang w:eastAsia="zh-CN"/>
        </w:rPr>
        <w:t xml:space="preserve"> delivery</w:t>
      </w:r>
      <w:bookmarkEnd w:id="4171"/>
      <w:bookmarkEnd w:id="4172"/>
      <w:bookmarkEnd w:id="4173"/>
      <w:bookmarkEnd w:id="4174"/>
      <w:bookmarkEnd w:id="4175"/>
      <w:bookmarkEnd w:id="4176"/>
      <w:bookmarkEnd w:id="4177"/>
      <w:bookmarkEnd w:id="4178"/>
      <w:bookmarkEnd w:id="4179"/>
      <w:bookmarkEnd w:id="4180"/>
      <w:bookmarkEnd w:id="4181"/>
      <w:bookmarkEnd w:id="4182"/>
    </w:p>
    <w:p w:rsidR="00CB0DD7" w:rsidRPr="000A0A5F" w:rsidRDefault="00CB0DD7">
      <w:pPr>
        <w:pStyle w:val="Heading5"/>
      </w:pPr>
      <w:bookmarkStart w:id="4183" w:name="_Toc11247489"/>
      <w:bookmarkStart w:id="4184" w:name="_Toc27044613"/>
      <w:bookmarkStart w:id="4185" w:name="_Toc36033655"/>
      <w:bookmarkStart w:id="4186" w:name="_Toc45131792"/>
      <w:bookmarkStart w:id="4187" w:name="_Toc49776077"/>
      <w:bookmarkStart w:id="4188" w:name="_Toc51746997"/>
      <w:bookmarkStart w:id="4189" w:name="_Toc66360552"/>
      <w:bookmarkStart w:id="4190" w:name="_Toc68105057"/>
      <w:bookmarkStart w:id="4191" w:name="_Toc74755687"/>
      <w:bookmarkStart w:id="4192" w:name="_Toc105674561"/>
      <w:bookmarkStart w:id="4193" w:name="_Toc130502609"/>
      <w:bookmarkStart w:id="4194" w:name="_Toc153625396"/>
      <w:r w:rsidRPr="000A0A5F">
        <w:t>5.6.3.5.1</w:t>
      </w:r>
      <w:r w:rsidRPr="000A0A5F">
        <w:tab/>
        <w:t>Introduction</w:t>
      </w:r>
      <w:bookmarkEnd w:id="4183"/>
      <w:bookmarkEnd w:id="4184"/>
      <w:bookmarkEnd w:id="4185"/>
      <w:bookmarkEnd w:id="4186"/>
      <w:bookmarkEnd w:id="4187"/>
      <w:bookmarkEnd w:id="4188"/>
      <w:bookmarkEnd w:id="4189"/>
      <w:bookmarkEnd w:id="4190"/>
      <w:bookmarkEnd w:id="4191"/>
      <w:bookmarkEnd w:id="4192"/>
      <w:bookmarkEnd w:id="4193"/>
      <w:bookmarkEnd w:id="4194"/>
    </w:p>
    <w:p w:rsidR="00CB0DD7" w:rsidRPr="000A0A5F" w:rsidRDefault="00CB0DD7">
      <w:pPr>
        <w:rPr>
          <w:noProof/>
          <w:lang w:eastAsia="zh-CN"/>
        </w:rPr>
      </w:pPr>
      <w:r w:rsidRPr="000A0A5F">
        <w:rPr>
          <w:noProof/>
          <w:lang w:eastAsia="zh-CN"/>
        </w:rPr>
        <w:t>For NIDD MT delivery for a single UE, this resource allows t</w:t>
      </w:r>
      <w:r w:rsidRPr="000A0A5F">
        <w:rPr>
          <w:rFonts w:hint="eastAsia"/>
          <w:noProof/>
          <w:lang w:eastAsia="zh-CN"/>
        </w:rPr>
        <w:t xml:space="preserve">he SCS/AS </w:t>
      </w:r>
      <w:r w:rsidRPr="000A0A5F">
        <w:rPr>
          <w:noProof/>
          <w:lang w:eastAsia="zh-CN"/>
        </w:rPr>
        <w:t xml:space="preserve">to </w:t>
      </w:r>
      <w:r w:rsidRPr="000A0A5F">
        <w:rPr>
          <w:rFonts w:hint="eastAsia"/>
          <w:noProof/>
          <w:lang w:eastAsia="zh-CN"/>
        </w:rPr>
        <w:t>read a pending NIDD downlink delivery</w:t>
      </w:r>
      <w:r w:rsidRPr="000A0A5F">
        <w:rPr>
          <w:noProof/>
          <w:lang w:eastAsia="zh-CN"/>
        </w:rPr>
        <w:t xml:space="preserve"> resource</w:t>
      </w:r>
      <w:r w:rsidRPr="000A0A5F">
        <w:rPr>
          <w:rFonts w:hint="eastAsia"/>
          <w:noProof/>
          <w:lang w:eastAsia="zh-CN"/>
        </w:rPr>
        <w:t xml:space="preserve">, or to replace </w:t>
      </w:r>
      <w:r w:rsidRPr="000A0A5F">
        <w:rPr>
          <w:noProof/>
          <w:lang w:eastAsia="zh-CN"/>
        </w:rPr>
        <w:t>or cancel</w:t>
      </w:r>
      <w:r w:rsidRPr="000A0A5F">
        <w:rPr>
          <w:rFonts w:hint="eastAsia"/>
          <w:noProof/>
          <w:lang w:eastAsia="zh-CN"/>
        </w:rPr>
        <w:t xml:space="preserve"> an NIDD downlink data delivery</w:t>
      </w:r>
      <w:r w:rsidRPr="000A0A5F">
        <w:rPr>
          <w:noProof/>
          <w:lang w:eastAsia="zh-CN"/>
        </w:rPr>
        <w:t xml:space="preserve"> resource related to an NIDD configuration resource. </w:t>
      </w:r>
    </w:p>
    <w:p w:rsidR="00CB0DD7" w:rsidRPr="000A0A5F" w:rsidRDefault="00CB0DD7">
      <w:pPr>
        <w:rPr>
          <w:rFonts w:hint="eastAsia"/>
          <w:noProof/>
          <w:lang w:eastAsia="zh-CN"/>
        </w:rPr>
      </w:pPr>
      <w:r w:rsidRPr="000A0A5F">
        <w:rPr>
          <w:noProof/>
          <w:lang w:eastAsia="zh-CN"/>
        </w:rPr>
        <w:t>For NIDD MT delivery for a group of UEs, this resource allows t</w:t>
      </w:r>
      <w:r w:rsidRPr="000A0A5F">
        <w:rPr>
          <w:rFonts w:hint="eastAsia"/>
          <w:noProof/>
          <w:lang w:eastAsia="zh-CN"/>
        </w:rPr>
        <w:t xml:space="preserve">he SCS/AS </w:t>
      </w:r>
      <w:r w:rsidRPr="000A0A5F">
        <w:rPr>
          <w:noProof/>
          <w:lang w:eastAsia="zh-CN"/>
        </w:rPr>
        <w:t xml:space="preserve">to </w:t>
      </w:r>
      <w:r w:rsidRPr="000A0A5F">
        <w:rPr>
          <w:rFonts w:hint="eastAsia"/>
          <w:noProof/>
          <w:lang w:eastAsia="zh-CN"/>
        </w:rPr>
        <w:t>read a pending NIDD downlink delivery</w:t>
      </w:r>
      <w:r w:rsidRPr="000A0A5F">
        <w:rPr>
          <w:noProof/>
          <w:lang w:eastAsia="zh-CN"/>
        </w:rPr>
        <w:t xml:space="preserve"> resource related to a NIDD configuration resource.</w:t>
      </w:r>
    </w:p>
    <w:p w:rsidR="00CB0DD7" w:rsidRPr="000A0A5F" w:rsidRDefault="00CB0DD7">
      <w:pPr>
        <w:pStyle w:val="Heading5"/>
      </w:pPr>
      <w:bookmarkStart w:id="4195" w:name="_Toc11247490"/>
      <w:bookmarkStart w:id="4196" w:name="_Toc27044614"/>
      <w:bookmarkStart w:id="4197" w:name="_Toc36033656"/>
      <w:bookmarkStart w:id="4198" w:name="_Toc45131793"/>
      <w:bookmarkStart w:id="4199" w:name="_Toc49776078"/>
      <w:bookmarkStart w:id="4200" w:name="_Toc51746998"/>
      <w:bookmarkStart w:id="4201" w:name="_Toc66360553"/>
      <w:bookmarkStart w:id="4202" w:name="_Toc68105058"/>
      <w:bookmarkStart w:id="4203" w:name="_Toc74755688"/>
      <w:bookmarkStart w:id="4204" w:name="_Toc105674562"/>
      <w:bookmarkStart w:id="4205" w:name="_Toc130502610"/>
      <w:bookmarkStart w:id="4206" w:name="_Toc153625397"/>
      <w:r w:rsidRPr="000A0A5F">
        <w:t>5.6.3.5.2</w:t>
      </w:r>
      <w:r w:rsidRPr="000A0A5F">
        <w:tab/>
        <w:t>Resource definition</w:t>
      </w:r>
      <w:bookmarkEnd w:id="4195"/>
      <w:bookmarkEnd w:id="4196"/>
      <w:bookmarkEnd w:id="4197"/>
      <w:bookmarkEnd w:id="4198"/>
      <w:bookmarkEnd w:id="4199"/>
      <w:bookmarkEnd w:id="4200"/>
      <w:bookmarkEnd w:id="4201"/>
      <w:bookmarkEnd w:id="4202"/>
      <w:bookmarkEnd w:id="4203"/>
      <w:bookmarkEnd w:id="4204"/>
      <w:bookmarkEnd w:id="4205"/>
      <w:bookmarkEnd w:id="4206"/>
    </w:p>
    <w:p w:rsidR="00CB0DD7" w:rsidRPr="000A0A5F" w:rsidRDefault="00CB0DD7">
      <w:pPr>
        <w:rPr>
          <w:rFonts w:hint="eastAsia"/>
          <w:lang w:eastAsia="zh-CN"/>
        </w:rPr>
      </w:pPr>
      <w:r w:rsidRPr="000A0A5F">
        <w:t xml:space="preserve">Resource URI: </w:t>
      </w:r>
      <w:r w:rsidRPr="000A0A5F">
        <w:rPr>
          <w:b/>
        </w:rPr>
        <w:t>{apiRoot}/3gpp-nidd/v1/{scsAsId}/</w:t>
      </w:r>
      <w:r w:rsidRPr="000A0A5F">
        <w:rPr>
          <w:rFonts w:hint="eastAsia"/>
          <w:b/>
          <w:lang w:eastAsia="zh-CN"/>
        </w:rPr>
        <w:t>configurations</w:t>
      </w:r>
      <w:r w:rsidRPr="000A0A5F">
        <w:rPr>
          <w:b/>
        </w:rPr>
        <w:t>/{configurationId}/downlink-data-</w:t>
      </w:r>
      <w:r w:rsidRPr="000A0A5F">
        <w:rPr>
          <w:rFonts w:hint="eastAsia"/>
          <w:b/>
          <w:lang w:eastAsia="zh-CN"/>
        </w:rPr>
        <w:t>deliveries/{</w:t>
      </w:r>
      <w:r w:rsidRPr="000A0A5F">
        <w:rPr>
          <w:b/>
          <w:lang w:eastAsia="zh-CN"/>
        </w:rPr>
        <w:t>downlinkDataDelivery</w:t>
      </w:r>
      <w:r w:rsidRPr="000A0A5F">
        <w:rPr>
          <w:rFonts w:hint="eastAsia"/>
          <w:b/>
          <w:lang w:eastAsia="zh-CN"/>
        </w:rPr>
        <w:t>Id}</w:t>
      </w:r>
    </w:p>
    <w:p w:rsidR="00CB0DD7" w:rsidRPr="000A0A5F" w:rsidRDefault="00CB0DD7">
      <w:pPr>
        <w:rPr>
          <w:rFonts w:ascii="Arial" w:hAnsi="Arial" w:cs="Arial"/>
        </w:rPr>
      </w:pPr>
      <w:r w:rsidRPr="000A0A5F">
        <w:t>This resource shall support the resource URI variables defined in table 5.6.3.</w:t>
      </w:r>
      <w:r w:rsidRPr="000A0A5F">
        <w:rPr>
          <w:rFonts w:hint="eastAsia"/>
          <w:lang w:eastAsia="zh-CN"/>
        </w:rPr>
        <w:t>5</w:t>
      </w:r>
      <w:r w:rsidRPr="000A0A5F">
        <w:t>.2-1</w:t>
      </w:r>
      <w:r w:rsidRPr="000A0A5F">
        <w:rPr>
          <w:rFonts w:ascii="Arial" w:hAnsi="Arial" w:cs="Arial"/>
        </w:rPr>
        <w:t>.</w:t>
      </w:r>
    </w:p>
    <w:p w:rsidR="00CB0DD7" w:rsidRPr="000A0A5F" w:rsidRDefault="00CB0DD7">
      <w:pPr>
        <w:pStyle w:val="TH"/>
        <w:rPr>
          <w:rFonts w:cs="Arial"/>
        </w:rPr>
      </w:pPr>
      <w:r w:rsidRPr="000A0A5F">
        <w:t>Table 5.6.3.4.2-1: Resource URI variables for resource "Individual NIDD Downlink Data</w:t>
      </w:r>
      <w:r w:rsidRPr="000A0A5F">
        <w:rPr>
          <w:rFonts w:hint="eastAsia"/>
          <w:lang w:eastAsia="zh-CN"/>
        </w:rPr>
        <w:t xml:space="preserve"> Delivery</w:t>
      </w:r>
      <w:r w:rsidRPr="000A0A5F">
        <w:t>"</w:t>
      </w:r>
    </w:p>
    <w:tbl>
      <w:tblPr>
        <w:tblW w:w="494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970"/>
        <w:gridCol w:w="1171"/>
        <w:gridCol w:w="6519"/>
      </w:tblGrid>
      <w:tr w:rsidR="00CB0DD7" w:rsidRPr="000A0A5F" w:rsidTr="00FF0AF8">
        <w:trPr>
          <w:jc w:val="center"/>
        </w:trPr>
        <w:tc>
          <w:tcPr>
            <w:tcW w:w="1020" w:type="pct"/>
            <w:shd w:val="clear" w:color="000000" w:fill="C0C0C0"/>
          </w:tcPr>
          <w:p w:rsidR="00CB0DD7" w:rsidRPr="000A0A5F" w:rsidRDefault="00CB0DD7">
            <w:pPr>
              <w:pStyle w:val="TAH"/>
            </w:pPr>
            <w:r w:rsidRPr="000A0A5F">
              <w:t>Name</w:t>
            </w:r>
          </w:p>
        </w:tc>
        <w:tc>
          <w:tcPr>
            <w:tcW w:w="606" w:type="pct"/>
            <w:shd w:val="clear" w:color="000000" w:fill="C0C0C0"/>
          </w:tcPr>
          <w:p w:rsidR="00CB0DD7" w:rsidRPr="000A0A5F" w:rsidRDefault="00CB0DD7">
            <w:pPr>
              <w:pStyle w:val="TAH"/>
            </w:pPr>
            <w:r w:rsidRPr="000A0A5F">
              <w:t>Data type</w:t>
            </w:r>
          </w:p>
        </w:tc>
        <w:tc>
          <w:tcPr>
            <w:tcW w:w="3375" w:type="pct"/>
            <w:shd w:val="clear" w:color="000000" w:fill="C0C0C0"/>
            <w:vAlign w:val="center"/>
          </w:tcPr>
          <w:p w:rsidR="00CB0DD7" w:rsidRPr="000A0A5F" w:rsidRDefault="00CB0DD7">
            <w:pPr>
              <w:pStyle w:val="TAH"/>
            </w:pPr>
            <w:r w:rsidRPr="000A0A5F">
              <w:t>Definition</w:t>
            </w:r>
          </w:p>
        </w:tc>
      </w:tr>
      <w:tr w:rsidR="00CB0DD7" w:rsidRPr="000A0A5F" w:rsidTr="00FF0AF8">
        <w:trPr>
          <w:jc w:val="center"/>
        </w:trPr>
        <w:tc>
          <w:tcPr>
            <w:tcW w:w="1020" w:type="pct"/>
            <w:shd w:val="clear" w:color="auto" w:fill="auto"/>
          </w:tcPr>
          <w:p w:rsidR="00CB0DD7" w:rsidRPr="000A0A5F" w:rsidRDefault="00CB0DD7">
            <w:pPr>
              <w:pStyle w:val="TAL"/>
              <w:rPr>
                <w:rFonts w:hint="eastAsia"/>
                <w:lang w:eastAsia="zh-CN"/>
              </w:rPr>
            </w:pPr>
            <w:r w:rsidRPr="000A0A5F">
              <w:t>apiRoot</w:t>
            </w:r>
          </w:p>
        </w:tc>
        <w:tc>
          <w:tcPr>
            <w:tcW w:w="606" w:type="pct"/>
          </w:tcPr>
          <w:p w:rsidR="00CB0DD7" w:rsidRPr="000A0A5F" w:rsidRDefault="00CB0DD7">
            <w:pPr>
              <w:pStyle w:val="TAL"/>
            </w:pPr>
            <w:r w:rsidRPr="000A0A5F">
              <w:rPr>
                <w:rFonts w:hint="eastAsia"/>
                <w:lang w:eastAsia="zh-CN"/>
              </w:rPr>
              <w:t>s</w:t>
            </w:r>
            <w:r w:rsidRPr="000A0A5F">
              <w:rPr>
                <w:lang w:eastAsia="zh-CN"/>
              </w:rPr>
              <w:t>tring</w:t>
            </w:r>
          </w:p>
        </w:tc>
        <w:tc>
          <w:tcPr>
            <w:tcW w:w="3375" w:type="pct"/>
            <w:shd w:val="clear" w:color="auto" w:fill="auto"/>
            <w:vAlign w:val="center"/>
          </w:tcPr>
          <w:p w:rsidR="00CB0DD7" w:rsidRPr="000A0A5F" w:rsidRDefault="00CB0DD7">
            <w:pPr>
              <w:pStyle w:val="TAL"/>
            </w:pPr>
            <w:r w:rsidRPr="000A0A5F">
              <w:t>See clause</w:t>
            </w:r>
            <w:r w:rsidRPr="000A0A5F">
              <w:rPr>
                <w:lang w:val="en-US" w:eastAsia="zh-CN"/>
              </w:rPr>
              <w:t> </w:t>
            </w:r>
            <w:r w:rsidRPr="000A0A5F">
              <w:t>5.2.4.</w:t>
            </w:r>
          </w:p>
        </w:tc>
      </w:tr>
      <w:tr w:rsidR="00CB0DD7" w:rsidRPr="000A0A5F" w:rsidTr="00FF0AF8">
        <w:trPr>
          <w:jc w:val="center"/>
        </w:trPr>
        <w:tc>
          <w:tcPr>
            <w:tcW w:w="1020" w:type="pct"/>
            <w:shd w:val="clear" w:color="auto" w:fill="auto"/>
          </w:tcPr>
          <w:p w:rsidR="00CB0DD7" w:rsidRPr="000A0A5F" w:rsidRDefault="00CB0DD7">
            <w:pPr>
              <w:pStyle w:val="TAL"/>
            </w:pPr>
            <w:r w:rsidRPr="000A0A5F">
              <w:t>scsAsId</w:t>
            </w:r>
          </w:p>
        </w:tc>
        <w:tc>
          <w:tcPr>
            <w:tcW w:w="606" w:type="pct"/>
          </w:tcPr>
          <w:p w:rsidR="00CB0DD7" w:rsidRPr="000A0A5F" w:rsidRDefault="00CB0DD7">
            <w:pPr>
              <w:pStyle w:val="TAL"/>
            </w:pPr>
            <w:r w:rsidRPr="000A0A5F">
              <w:rPr>
                <w:rFonts w:hint="eastAsia"/>
                <w:lang w:eastAsia="zh-CN"/>
              </w:rPr>
              <w:t>s</w:t>
            </w:r>
            <w:r w:rsidRPr="000A0A5F">
              <w:rPr>
                <w:lang w:eastAsia="zh-CN"/>
              </w:rPr>
              <w:t>tring</w:t>
            </w:r>
          </w:p>
        </w:tc>
        <w:tc>
          <w:tcPr>
            <w:tcW w:w="3375" w:type="pct"/>
            <w:shd w:val="clear" w:color="auto" w:fill="auto"/>
            <w:vAlign w:val="center"/>
          </w:tcPr>
          <w:p w:rsidR="00CB0DD7" w:rsidRPr="000A0A5F" w:rsidRDefault="00CB0DD7">
            <w:pPr>
              <w:pStyle w:val="TAL"/>
            </w:pPr>
            <w:r w:rsidRPr="000A0A5F">
              <w:t>Identifier of the SCS/AS.</w:t>
            </w:r>
          </w:p>
        </w:tc>
      </w:tr>
      <w:tr w:rsidR="00CB0DD7" w:rsidRPr="000A0A5F" w:rsidTr="00FF0AF8">
        <w:trPr>
          <w:jc w:val="center"/>
        </w:trPr>
        <w:tc>
          <w:tcPr>
            <w:tcW w:w="1020" w:type="pct"/>
            <w:shd w:val="clear" w:color="auto" w:fill="auto"/>
          </w:tcPr>
          <w:p w:rsidR="00CB0DD7" w:rsidRPr="000A0A5F" w:rsidRDefault="00CB0DD7">
            <w:pPr>
              <w:pStyle w:val="TAL"/>
            </w:pPr>
            <w:r w:rsidRPr="000A0A5F">
              <w:t>configurationId</w:t>
            </w:r>
          </w:p>
        </w:tc>
        <w:tc>
          <w:tcPr>
            <w:tcW w:w="606" w:type="pct"/>
          </w:tcPr>
          <w:p w:rsidR="00CB0DD7" w:rsidRPr="000A0A5F" w:rsidRDefault="00CB0DD7">
            <w:pPr>
              <w:pStyle w:val="TAL"/>
            </w:pPr>
            <w:r w:rsidRPr="000A0A5F">
              <w:rPr>
                <w:rFonts w:hint="eastAsia"/>
                <w:lang w:eastAsia="zh-CN"/>
              </w:rPr>
              <w:t>s</w:t>
            </w:r>
            <w:r w:rsidRPr="000A0A5F">
              <w:rPr>
                <w:lang w:eastAsia="zh-CN"/>
              </w:rPr>
              <w:t>tring</w:t>
            </w:r>
          </w:p>
        </w:tc>
        <w:tc>
          <w:tcPr>
            <w:tcW w:w="3375" w:type="pct"/>
            <w:shd w:val="clear" w:color="auto" w:fill="auto"/>
            <w:vAlign w:val="center"/>
          </w:tcPr>
          <w:p w:rsidR="00CB0DD7" w:rsidRPr="000A0A5F" w:rsidRDefault="00CB0DD7">
            <w:pPr>
              <w:pStyle w:val="TAL"/>
            </w:pPr>
            <w:r w:rsidRPr="000A0A5F">
              <w:t>Identifier of the configuration.</w:t>
            </w:r>
          </w:p>
        </w:tc>
      </w:tr>
      <w:tr w:rsidR="00CB0DD7" w:rsidRPr="000A0A5F" w:rsidTr="00FF0AF8">
        <w:trPr>
          <w:jc w:val="center"/>
        </w:trPr>
        <w:tc>
          <w:tcPr>
            <w:tcW w:w="1020" w:type="pct"/>
            <w:shd w:val="clear" w:color="auto" w:fill="auto"/>
          </w:tcPr>
          <w:p w:rsidR="00CB0DD7" w:rsidRPr="000A0A5F" w:rsidRDefault="00CB0DD7">
            <w:pPr>
              <w:pStyle w:val="TAL"/>
            </w:pPr>
            <w:r w:rsidRPr="000A0A5F">
              <w:t>downlinkDataDeliveryId</w:t>
            </w:r>
          </w:p>
        </w:tc>
        <w:tc>
          <w:tcPr>
            <w:tcW w:w="606" w:type="pct"/>
          </w:tcPr>
          <w:p w:rsidR="00CB0DD7" w:rsidRPr="000A0A5F" w:rsidRDefault="00CB0DD7">
            <w:pPr>
              <w:pStyle w:val="TAL"/>
            </w:pPr>
            <w:r w:rsidRPr="000A0A5F">
              <w:rPr>
                <w:rFonts w:hint="eastAsia"/>
                <w:lang w:eastAsia="zh-CN"/>
              </w:rPr>
              <w:t>s</w:t>
            </w:r>
            <w:r w:rsidRPr="000A0A5F">
              <w:rPr>
                <w:lang w:eastAsia="zh-CN"/>
              </w:rPr>
              <w:t>tring</w:t>
            </w:r>
          </w:p>
        </w:tc>
        <w:tc>
          <w:tcPr>
            <w:tcW w:w="3375" w:type="pct"/>
            <w:shd w:val="clear" w:color="auto" w:fill="auto"/>
            <w:vAlign w:val="center"/>
          </w:tcPr>
          <w:p w:rsidR="00CB0DD7" w:rsidRPr="000A0A5F" w:rsidRDefault="00CB0DD7">
            <w:pPr>
              <w:pStyle w:val="TAL"/>
            </w:pPr>
            <w:r w:rsidRPr="000A0A5F">
              <w:t>Identifier of the downlink data delivery.</w:t>
            </w:r>
          </w:p>
        </w:tc>
      </w:tr>
    </w:tbl>
    <w:p w:rsidR="00CB0DD7" w:rsidRPr="000A0A5F" w:rsidRDefault="00CB0DD7"/>
    <w:p w:rsidR="00CB0DD7" w:rsidRPr="000A0A5F" w:rsidRDefault="00CB0DD7">
      <w:pPr>
        <w:pStyle w:val="Heading5"/>
      </w:pPr>
      <w:bookmarkStart w:id="4207" w:name="_Toc11247491"/>
      <w:bookmarkStart w:id="4208" w:name="_Toc27044615"/>
      <w:bookmarkStart w:id="4209" w:name="_Toc36033657"/>
      <w:bookmarkStart w:id="4210" w:name="_Toc45131794"/>
      <w:bookmarkStart w:id="4211" w:name="_Toc49776079"/>
      <w:bookmarkStart w:id="4212" w:name="_Toc51746999"/>
      <w:bookmarkStart w:id="4213" w:name="_Toc66360554"/>
      <w:bookmarkStart w:id="4214" w:name="_Toc68105059"/>
      <w:bookmarkStart w:id="4215" w:name="_Toc74755689"/>
      <w:bookmarkStart w:id="4216" w:name="_Toc105674563"/>
      <w:bookmarkStart w:id="4217" w:name="_Toc130502611"/>
      <w:bookmarkStart w:id="4218" w:name="_Toc153625398"/>
      <w:r w:rsidRPr="000A0A5F">
        <w:t>5.6.3.5.3</w:t>
      </w:r>
      <w:r w:rsidRPr="000A0A5F">
        <w:tab/>
        <w:t>Resource methods</w:t>
      </w:r>
      <w:bookmarkEnd w:id="4207"/>
      <w:bookmarkEnd w:id="4208"/>
      <w:bookmarkEnd w:id="4209"/>
      <w:bookmarkEnd w:id="4210"/>
      <w:bookmarkEnd w:id="4211"/>
      <w:bookmarkEnd w:id="4212"/>
      <w:bookmarkEnd w:id="4213"/>
      <w:bookmarkEnd w:id="4214"/>
      <w:bookmarkEnd w:id="4215"/>
      <w:bookmarkEnd w:id="4216"/>
      <w:bookmarkEnd w:id="4217"/>
      <w:bookmarkEnd w:id="4218"/>
    </w:p>
    <w:p w:rsidR="00CB0DD7" w:rsidRPr="000A0A5F" w:rsidRDefault="00CB0DD7">
      <w:pPr>
        <w:pStyle w:val="Heading6"/>
      </w:pPr>
      <w:bookmarkStart w:id="4219" w:name="_Toc11247492"/>
      <w:bookmarkStart w:id="4220" w:name="_Toc27044616"/>
      <w:bookmarkStart w:id="4221" w:name="_Toc36033658"/>
      <w:bookmarkStart w:id="4222" w:name="_Toc45131795"/>
      <w:bookmarkStart w:id="4223" w:name="_Toc49776080"/>
      <w:bookmarkStart w:id="4224" w:name="_Toc51747000"/>
      <w:bookmarkStart w:id="4225" w:name="_Toc66360555"/>
      <w:bookmarkStart w:id="4226" w:name="_Toc68105060"/>
      <w:bookmarkStart w:id="4227" w:name="_Toc74755690"/>
      <w:bookmarkStart w:id="4228" w:name="_Toc105674564"/>
      <w:bookmarkStart w:id="4229" w:name="_Toc130502612"/>
      <w:bookmarkStart w:id="4230" w:name="_Toc153625399"/>
      <w:r w:rsidRPr="000A0A5F">
        <w:t>5.6.3.5.3.1</w:t>
      </w:r>
      <w:r w:rsidRPr="000A0A5F">
        <w:tab/>
        <w:t>GET</w:t>
      </w:r>
      <w:bookmarkEnd w:id="4219"/>
      <w:bookmarkEnd w:id="4220"/>
      <w:bookmarkEnd w:id="4221"/>
      <w:bookmarkEnd w:id="4222"/>
      <w:bookmarkEnd w:id="4223"/>
      <w:bookmarkEnd w:id="4224"/>
      <w:bookmarkEnd w:id="4225"/>
      <w:bookmarkEnd w:id="4226"/>
      <w:bookmarkEnd w:id="4227"/>
      <w:bookmarkEnd w:id="4228"/>
      <w:bookmarkEnd w:id="4229"/>
      <w:bookmarkEnd w:id="4230"/>
    </w:p>
    <w:p w:rsidR="00CB0DD7" w:rsidRPr="000A0A5F" w:rsidRDefault="00CB0DD7">
      <w:pPr>
        <w:rPr>
          <w:noProof/>
          <w:lang w:eastAsia="zh-CN"/>
        </w:rPr>
      </w:pPr>
      <w:r w:rsidRPr="000A0A5F">
        <w:rPr>
          <w:noProof/>
          <w:lang w:eastAsia="zh-CN"/>
        </w:rPr>
        <w:t xml:space="preserve">The GET method allows to read a NIDD downlink data delivery resource to obtain details. The SCS/AS shall initiate the HTTP GET request message and the SCEF shall respond to the message. </w:t>
      </w:r>
    </w:p>
    <w:p w:rsidR="00CB0DD7" w:rsidRPr="000A0A5F" w:rsidRDefault="00CB0DD7">
      <w:r w:rsidRPr="000A0A5F">
        <w:t>This method shall support the URI query parameters, request and response data structures, and response codes, as specified in the table 5.6.3.5.3.1-1 and table 5.6.3.5.3.1-2.</w:t>
      </w:r>
    </w:p>
    <w:p w:rsidR="00CB0DD7" w:rsidRPr="000A0A5F" w:rsidRDefault="00CB0DD7">
      <w:pPr>
        <w:pStyle w:val="TH"/>
        <w:rPr>
          <w:rFonts w:cs="Arial"/>
        </w:rPr>
      </w:pPr>
      <w:r w:rsidRPr="000A0A5F">
        <w:t xml:space="preserve">Table 5.6.3.5.3.1-1: URI query parameters supported by the GET method on this resource </w:t>
      </w:r>
    </w:p>
    <w:tbl>
      <w:tblPr>
        <w:tblW w:w="4999"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612"/>
        <w:gridCol w:w="1709"/>
        <w:gridCol w:w="1140"/>
        <w:gridCol w:w="5314"/>
      </w:tblGrid>
      <w:tr w:rsidR="00CB0DD7" w:rsidRPr="000A0A5F" w:rsidTr="00FF0AF8">
        <w:trPr>
          <w:jc w:val="center"/>
        </w:trPr>
        <w:tc>
          <w:tcPr>
            <w:tcW w:w="825" w:type="pct"/>
            <w:shd w:val="clear" w:color="000000" w:fill="C0C0C0"/>
          </w:tcPr>
          <w:p w:rsidR="00CB0DD7" w:rsidRPr="000A0A5F" w:rsidRDefault="00CB0DD7">
            <w:pPr>
              <w:pStyle w:val="TAH"/>
            </w:pPr>
            <w:r w:rsidRPr="000A0A5F">
              <w:t>Name</w:t>
            </w:r>
          </w:p>
        </w:tc>
        <w:tc>
          <w:tcPr>
            <w:tcW w:w="874" w:type="pct"/>
            <w:shd w:val="clear" w:color="000000" w:fill="C0C0C0"/>
          </w:tcPr>
          <w:p w:rsidR="00CB0DD7" w:rsidRPr="000A0A5F" w:rsidRDefault="00CB0DD7">
            <w:pPr>
              <w:pStyle w:val="TAH"/>
            </w:pPr>
            <w:r w:rsidRPr="000A0A5F">
              <w:t>Data type</w:t>
            </w:r>
          </w:p>
        </w:tc>
        <w:tc>
          <w:tcPr>
            <w:tcW w:w="583" w:type="pct"/>
            <w:shd w:val="clear" w:color="000000" w:fill="C0C0C0"/>
          </w:tcPr>
          <w:p w:rsidR="00CB0DD7" w:rsidRPr="000A0A5F" w:rsidRDefault="00CB0DD7">
            <w:pPr>
              <w:pStyle w:val="TAH"/>
            </w:pPr>
            <w:r w:rsidRPr="000A0A5F">
              <w:t>Cardinality</w:t>
            </w:r>
          </w:p>
        </w:tc>
        <w:tc>
          <w:tcPr>
            <w:tcW w:w="2718" w:type="pct"/>
            <w:shd w:val="clear" w:color="000000" w:fill="C0C0C0"/>
            <w:vAlign w:val="center"/>
          </w:tcPr>
          <w:p w:rsidR="00CB0DD7" w:rsidRPr="000A0A5F" w:rsidRDefault="00CB0DD7">
            <w:pPr>
              <w:pStyle w:val="TAH"/>
            </w:pPr>
            <w:r w:rsidRPr="000A0A5F">
              <w:t>Remarks</w:t>
            </w:r>
          </w:p>
        </w:tc>
      </w:tr>
      <w:tr w:rsidR="00CB0DD7" w:rsidRPr="000A0A5F" w:rsidTr="00FF0AF8">
        <w:trPr>
          <w:jc w:val="center"/>
        </w:trPr>
        <w:tc>
          <w:tcPr>
            <w:tcW w:w="825" w:type="pct"/>
            <w:shd w:val="clear" w:color="auto" w:fill="auto"/>
          </w:tcPr>
          <w:p w:rsidR="00CB0DD7" w:rsidRPr="000A0A5F" w:rsidRDefault="00CB0DD7">
            <w:pPr>
              <w:pStyle w:val="TAL"/>
            </w:pPr>
            <w:r w:rsidRPr="000A0A5F">
              <w:t>none specified</w:t>
            </w:r>
          </w:p>
        </w:tc>
        <w:tc>
          <w:tcPr>
            <w:tcW w:w="874" w:type="pct"/>
          </w:tcPr>
          <w:p w:rsidR="00CB0DD7" w:rsidRPr="000A0A5F" w:rsidRDefault="00CB0DD7">
            <w:pPr>
              <w:pStyle w:val="TAL"/>
            </w:pPr>
          </w:p>
        </w:tc>
        <w:tc>
          <w:tcPr>
            <w:tcW w:w="583" w:type="pct"/>
          </w:tcPr>
          <w:p w:rsidR="00CB0DD7" w:rsidRPr="000A0A5F" w:rsidRDefault="00CB0DD7">
            <w:pPr>
              <w:pStyle w:val="TAL"/>
            </w:pPr>
          </w:p>
        </w:tc>
        <w:tc>
          <w:tcPr>
            <w:tcW w:w="2718" w:type="pct"/>
            <w:shd w:val="clear" w:color="auto" w:fill="auto"/>
            <w:vAlign w:val="center"/>
          </w:tcPr>
          <w:p w:rsidR="00CB0DD7" w:rsidRPr="000A0A5F" w:rsidRDefault="00CB0DD7">
            <w:pPr>
              <w:pStyle w:val="TAL"/>
            </w:pPr>
          </w:p>
        </w:tc>
      </w:tr>
    </w:tbl>
    <w:p w:rsidR="00CB0DD7" w:rsidRPr="000A0A5F" w:rsidRDefault="00CB0DD7"/>
    <w:p w:rsidR="00CB0DD7" w:rsidRPr="000A0A5F" w:rsidRDefault="00CB0DD7">
      <w:pPr>
        <w:pStyle w:val="TH"/>
        <w:spacing w:before="120"/>
      </w:pPr>
      <w:r w:rsidRPr="000A0A5F">
        <w:t>Table 5.6.3.5.3.1-2: Data structures supported by the GET request/response by the resource</w:t>
      </w:r>
    </w:p>
    <w:tbl>
      <w:tblPr>
        <w:tblW w:w="4999" w:type="pct"/>
        <w:tblInd w:w="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45" w:type="dxa"/>
          <w:left w:w="45" w:type="dxa"/>
          <w:bottom w:w="45" w:type="dxa"/>
          <w:right w:w="45" w:type="dxa"/>
        </w:tblCellMar>
        <w:tblLook w:val="0000" w:firstRow="0" w:lastRow="0" w:firstColumn="0" w:lastColumn="0" w:noHBand="0" w:noVBand="0"/>
      </w:tblPr>
      <w:tblGrid>
        <w:gridCol w:w="1035"/>
        <w:gridCol w:w="2127"/>
        <w:gridCol w:w="1053"/>
        <w:gridCol w:w="973"/>
        <w:gridCol w:w="4541"/>
      </w:tblGrid>
      <w:tr w:rsidR="00CB0DD7" w:rsidRPr="000A0A5F" w:rsidTr="0086706F">
        <w:tc>
          <w:tcPr>
            <w:tcW w:w="532" w:type="pct"/>
            <w:vMerge w:val="restart"/>
            <w:shd w:val="clear" w:color="auto" w:fill="C0C0C0"/>
            <w:vAlign w:val="center"/>
          </w:tcPr>
          <w:p w:rsidR="00CB0DD7" w:rsidRPr="000A0A5F" w:rsidRDefault="00CB0DD7">
            <w:pPr>
              <w:pStyle w:val="TAH"/>
            </w:pPr>
            <w:r w:rsidRPr="000A0A5F">
              <w:t>Request body</w:t>
            </w:r>
          </w:p>
        </w:tc>
        <w:tc>
          <w:tcPr>
            <w:tcW w:w="1093" w:type="pct"/>
            <w:shd w:val="clear" w:color="auto" w:fill="C0C0C0"/>
          </w:tcPr>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r w:rsidRPr="000A0A5F">
              <w:t>Cardinality</w:t>
            </w:r>
          </w:p>
        </w:tc>
        <w:tc>
          <w:tcPr>
            <w:tcW w:w="2834" w:type="pct"/>
            <w:gridSpan w:val="2"/>
            <w:shd w:val="clear" w:color="auto" w:fill="C0C0C0"/>
          </w:tcPr>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none</w:t>
            </w:r>
          </w:p>
        </w:tc>
        <w:tc>
          <w:tcPr>
            <w:tcW w:w="541" w:type="pct"/>
          </w:tcPr>
          <w:p w:rsidR="00CB0DD7" w:rsidRPr="000A0A5F" w:rsidRDefault="00CB0DD7">
            <w:pPr>
              <w:pStyle w:val="TAL"/>
            </w:pPr>
          </w:p>
        </w:tc>
        <w:tc>
          <w:tcPr>
            <w:tcW w:w="2834" w:type="pct"/>
            <w:gridSpan w:val="2"/>
          </w:tcPr>
          <w:p w:rsidR="00CB0DD7" w:rsidRPr="000A0A5F" w:rsidRDefault="00CB0DD7">
            <w:pPr>
              <w:pStyle w:val="TAL"/>
            </w:pPr>
          </w:p>
        </w:tc>
      </w:tr>
      <w:tr w:rsidR="00CB0DD7" w:rsidRPr="000A0A5F" w:rsidTr="0086706F">
        <w:tc>
          <w:tcPr>
            <w:tcW w:w="532" w:type="pct"/>
            <w:vMerge w:val="restart"/>
            <w:shd w:val="clear" w:color="auto" w:fill="C0C0C0"/>
            <w:vAlign w:val="center"/>
          </w:tcPr>
          <w:p w:rsidR="00CB0DD7" w:rsidRPr="000A0A5F" w:rsidRDefault="00CB0DD7">
            <w:pPr>
              <w:pStyle w:val="TAH"/>
            </w:pPr>
            <w:r w:rsidRPr="000A0A5F">
              <w:t>Response body</w:t>
            </w:r>
          </w:p>
        </w:tc>
        <w:tc>
          <w:tcPr>
            <w:tcW w:w="1093" w:type="pct"/>
            <w:shd w:val="clear" w:color="auto" w:fill="C0C0C0"/>
          </w:tcPr>
          <w:p w:rsidR="00CB0DD7" w:rsidRPr="000A0A5F" w:rsidRDefault="00CB0DD7">
            <w:pPr>
              <w:pStyle w:val="TAH"/>
            </w:pPr>
          </w:p>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p>
          <w:p w:rsidR="00CB0DD7" w:rsidRPr="000A0A5F" w:rsidRDefault="00CB0DD7">
            <w:pPr>
              <w:pStyle w:val="TAH"/>
            </w:pPr>
            <w:r w:rsidRPr="000A0A5F">
              <w:t>Cardinality</w:t>
            </w:r>
          </w:p>
        </w:tc>
        <w:tc>
          <w:tcPr>
            <w:tcW w:w="500" w:type="pct"/>
            <w:shd w:val="clear" w:color="auto" w:fill="C0C0C0"/>
          </w:tcPr>
          <w:p w:rsidR="00CB0DD7" w:rsidRPr="000A0A5F" w:rsidRDefault="00CB0DD7">
            <w:pPr>
              <w:pStyle w:val="TAH"/>
            </w:pPr>
            <w:r w:rsidRPr="000A0A5F">
              <w:t>Response</w:t>
            </w:r>
          </w:p>
          <w:p w:rsidR="00CB0DD7" w:rsidRPr="000A0A5F" w:rsidRDefault="00CB0DD7">
            <w:pPr>
              <w:pStyle w:val="TAH"/>
            </w:pPr>
            <w:r w:rsidRPr="000A0A5F">
              <w:t>codes</w:t>
            </w:r>
          </w:p>
        </w:tc>
        <w:tc>
          <w:tcPr>
            <w:tcW w:w="2334" w:type="pct"/>
            <w:shd w:val="clear" w:color="auto" w:fill="C0C0C0"/>
          </w:tcPr>
          <w:p w:rsidR="00CB0DD7" w:rsidRPr="000A0A5F" w:rsidRDefault="00CB0DD7">
            <w:pPr>
              <w:pStyle w:val="TAH"/>
            </w:pPr>
          </w:p>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NiddDownlinkDataTransfer</w:t>
            </w:r>
          </w:p>
        </w:tc>
        <w:tc>
          <w:tcPr>
            <w:tcW w:w="541" w:type="pct"/>
          </w:tcPr>
          <w:p w:rsidR="00CB0DD7" w:rsidRPr="000A0A5F" w:rsidRDefault="00CB0DD7">
            <w:pPr>
              <w:pStyle w:val="TAL"/>
            </w:pPr>
            <w:r w:rsidRPr="000A0A5F">
              <w:t>1</w:t>
            </w:r>
          </w:p>
        </w:tc>
        <w:tc>
          <w:tcPr>
            <w:tcW w:w="500" w:type="pct"/>
          </w:tcPr>
          <w:p w:rsidR="00CB0DD7" w:rsidRPr="000A0A5F" w:rsidRDefault="00CB0DD7">
            <w:pPr>
              <w:pStyle w:val="TAL"/>
            </w:pPr>
            <w:r w:rsidRPr="000A0A5F">
              <w:t>200 OK</w:t>
            </w:r>
          </w:p>
        </w:tc>
        <w:tc>
          <w:tcPr>
            <w:tcW w:w="2334" w:type="pct"/>
          </w:tcPr>
          <w:p w:rsidR="00CB0DD7" w:rsidRPr="000A0A5F" w:rsidRDefault="00CB0DD7">
            <w:pPr>
              <w:pStyle w:val="TAL"/>
            </w:pPr>
            <w:r w:rsidRPr="000A0A5F">
              <w:t>Individual NIDD downlink data delivery resource is returned.</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rPr>
                <w:lang w:eastAsia="zh-CN"/>
              </w:rPr>
              <w:t>N</w:t>
            </w:r>
            <w:r w:rsidRPr="000A0A5F">
              <w:rPr>
                <w:rFonts w:hint="eastAsia"/>
                <w:lang w:eastAsia="zh-CN"/>
              </w:rPr>
              <w:t>one</w:t>
            </w:r>
          </w:p>
        </w:tc>
        <w:tc>
          <w:tcPr>
            <w:tcW w:w="541" w:type="pct"/>
          </w:tcPr>
          <w:p w:rsidR="00CB0DD7" w:rsidRPr="000A0A5F" w:rsidRDefault="00CB0DD7">
            <w:pPr>
              <w:pStyle w:val="TAL"/>
            </w:pPr>
          </w:p>
        </w:tc>
        <w:tc>
          <w:tcPr>
            <w:tcW w:w="500" w:type="pct"/>
          </w:tcPr>
          <w:p w:rsidR="00CB0DD7" w:rsidRPr="000A0A5F" w:rsidRDefault="00CB0DD7">
            <w:pPr>
              <w:pStyle w:val="TAL"/>
            </w:pPr>
            <w:r w:rsidRPr="000A0A5F">
              <w:t>307 Temporary Redirect</w:t>
            </w:r>
          </w:p>
        </w:tc>
        <w:tc>
          <w:tcPr>
            <w:tcW w:w="2334" w:type="pct"/>
          </w:tcPr>
          <w:p w:rsidR="00CB0DD7" w:rsidRPr="000A0A5F" w:rsidRDefault="00CB0DD7">
            <w:pPr>
              <w:pStyle w:val="TAL"/>
            </w:pPr>
            <w:r w:rsidRPr="000A0A5F">
              <w:t>Temporary redirection, during configuration retrieval. The response shall include a Location header field containing an alternative URI of the resource located in an alternative SCEF.</w:t>
            </w:r>
          </w:p>
          <w:p w:rsidR="00CB0DD7" w:rsidRPr="000A0A5F" w:rsidRDefault="00CB0DD7">
            <w:pPr>
              <w:pStyle w:val="TAL"/>
            </w:pPr>
            <w:r w:rsidRPr="000A0A5F">
              <w:t>Redirection handling is described in clause 5.2.10.</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rPr>
                <w:lang w:eastAsia="zh-CN"/>
              </w:rPr>
              <w:t>N</w:t>
            </w:r>
            <w:r w:rsidRPr="000A0A5F">
              <w:rPr>
                <w:rFonts w:hint="eastAsia"/>
                <w:lang w:eastAsia="zh-CN"/>
              </w:rPr>
              <w:t>one</w:t>
            </w:r>
          </w:p>
        </w:tc>
        <w:tc>
          <w:tcPr>
            <w:tcW w:w="541" w:type="pct"/>
          </w:tcPr>
          <w:p w:rsidR="00CB0DD7" w:rsidRPr="000A0A5F" w:rsidRDefault="00CB0DD7">
            <w:pPr>
              <w:pStyle w:val="TAL"/>
            </w:pPr>
          </w:p>
        </w:tc>
        <w:tc>
          <w:tcPr>
            <w:tcW w:w="500" w:type="pct"/>
          </w:tcPr>
          <w:p w:rsidR="00CB0DD7" w:rsidRPr="000A0A5F" w:rsidRDefault="00CB0DD7">
            <w:pPr>
              <w:pStyle w:val="TAL"/>
            </w:pPr>
            <w:r w:rsidRPr="000A0A5F">
              <w:t>308 Permanent Redirect</w:t>
            </w:r>
          </w:p>
        </w:tc>
        <w:tc>
          <w:tcPr>
            <w:tcW w:w="2334" w:type="pct"/>
          </w:tcPr>
          <w:p w:rsidR="00CB0DD7" w:rsidRPr="000A0A5F" w:rsidRDefault="00CB0DD7">
            <w:pPr>
              <w:pStyle w:val="TAL"/>
            </w:pPr>
            <w:r w:rsidRPr="000A0A5F">
              <w:t>Permanent redirection, during configuration retrieval. The response shall include a Location header field containing an alternative URI of the resource located in an alternative SCEF.</w:t>
            </w:r>
          </w:p>
          <w:p w:rsidR="00CB0DD7" w:rsidRPr="000A0A5F" w:rsidRDefault="00CB0DD7">
            <w:pPr>
              <w:pStyle w:val="TAL"/>
            </w:pPr>
            <w:r w:rsidRPr="000A0A5F">
              <w:t>Redirection handling is described in clause 5.2.10.</w:t>
            </w:r>
          </w:p>
        </w:tc>
      </w:tr>
      <w:tr w:rsidR="00CB0DD7" w:rsidRPr="000A0A5F" w:rsidTr="00FF0AF8">
        <w:tc>
          <w:tcPr>
            <w:tcW w:w="5000" w:type="pct"/>
            <w:gridSpan w:val="5"/>
            <w:shd w:val="clear" w:color="auto" w:fill="auto"/>
            <w:vAlign w:val="center"/>
          </w:tcPr>
          <w:p w:rsidR="00CB0DD7" w:rsidRPr="000A0A5F" w:rsidRDefault="00CB0DD7">
            <w:pPr>
              <w:pStyle w:val="TAN"/>
            </w:pPr>
            <w:r w:rsidRPr="000A0A5F">
              <w:t>NOTE:</w:t>
            </w:r>
            <w:r w:rsidRPr="000A0A5F">
              <w:tab/>
              <w:t>The mandatory HTTP error status codes for the GET method listed in table 5.2.6-1 also apply.</w:t>
            </w:r>
          </w:p>
        </w:tc>
      </w:tr>
    </w:tbl>
    <w:p w:rsidR="00CB0DD7" w:rsidRPr="000A0A5F" w:rsidRDefault="00CB0DD7"/>
    <w:p w:rsidR="00CB0DD7" w:rsidRPr="000A0A5F" w:rsidRDefault="002E466A">
      <w:pPr>
        <w:pStyle w:val="TH"/>
      </w:pPr>
      <w:r w:rsidRPr="000A0A5F">
        <w:t>Table </w:t>
      </w:r>
      <w:r w:rsidR="00CB0DD7" w:rsidRPr="000A0A5F">
        <w:t>5.6.3.5.3.1-3: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2E466A">
      <w:pPr>
        <w:pStyle w:val="TH"/>
      </w:pPr>
      <w:r w:rsidRPr="000A0A5F">
        <w:t>Table </w:t>
      </w:r>
      <w:r w:rsidR="00CB0DD7" w:rsidRPr="000A0A5F">
        <w:t>5.6.3.5.3.1-4: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CB0DD7">
      <w:pPr>
        <w:pStyle w:val="Heading6"/>
        <w:rPr>
          <w:rFonts w:hint="eastAsia"/>
          <w:lang w:eastAsia="zh-CN"/>
        </w:rPr>
      </w:pPr>
      <w:bookmarkStart w:id="4231" w:name="_Toc11247493"/>
      <w:bookmarkStart w:id="4232" w:name="_Toc27044617"/>
      <w:bookmarkStart w:id="4233" w:name="_Toc36033659"/>
      <w:bookmarkStart w:id="4234" w:name="_Toc45131796"/>
      <w:bookmarkStart w:id="4235" w:name="_Toc49776081"/>
      <w:bookmarkStart w:id="4236" w:name="_Toc51747001"/>
      <w:bookmarkStart w:id="4237" w:name="_Toc66360556"/>
      <w:bookmarkStart w:id="4238" w:name="_Toc68105061"/>
      <w:bookmarkStart w:id="4239" w:name="_Toc74755691"/>
      <w:bookmarkStart w:id="4240" w:name="_Toc105674565"/>
      <w:bookmarkStart w:id="4241" w:name="_Toc130502613"/>
      <w:bookmarkStart w:id="4242" w:name="_Toc153625400"/>
      <w:r w:rsidRPr="000A0A5F">
        <w:t>5.6.3.5.3.2</w:t>
      </w:r>
      <w:r w:rsidRPr="000A0A5F">
        <w:tab/>
        <w:t>PUT</w:t>
      </w:r>
      <w:bookmarkEnd w:id="4231"/>
      <w:bookmarkEnd w:id="4232"/>
      <w:bookmarkEnd w:id="4233"/>
      <w:bookmarkEnd w:id="4234"/>
      <w:bookmarkEnd w:id="4235"/>
      <w:bookmarkEnd w:id="4236"/>
      <w:bookmarkEnd w:id="4237"/>
      <w:bookmarkEnd w:id="4238"/>
      <w:bookmarkEnd w:id="4239"/>
      <w:bookmarkEnd w:id="4240"/>
      <w:bookmarkEnd w:id="4241"/>
      <w:bookmarkEnd w:id="4242"/>
    </w:p>
    <w:p w:rsidR="00CB0DD7" w:rsidRPr="000A0A5F" w:rsidRDefault="00CB0DD7">
      <w:pPr>
        <w:rPr>
          <w:rFonts w:hint="eastAsia"/>
          <w:lang w:eastAsia="zh-CN"/>
        </w:rPr>
      </w:pPr>
      <w:r w:rsidRPr="000A0A5F">
        <w:t xml:space="preserve">To </w:t>
      </w:r>
      <w:r w:rsidRPr="000A0A5F">
        <w:rPr>
          <w:rFonts w:hint="eastAsia"/>
          <w:lang w:eastAsia="zh-CN"/>
        </w:rPr>
        <w:t>replace the buffered downlink non-IP data</w:t>
      </w:r>
      <w:r w:rsidRPr="000A0A5F">
        <w:t xml:space="preserve">, the </w:t>
      </w:r>
      <w:r w:rsidRPr="000A0A5F">
        <w:rPr>
          <w:rFonts w:hint="eastAsia"/>
          <w:lang w:eastAsia="zh-CN"/>
        </w:rPr>
        <w:t xml:space="preserve">SCS/AS </w:t>
      </w:r>
      <w:r w:rsidRPr="000A0A5F">
        <w:t>shall use the HTTP P</w:t>
      </w:r>
      <w:r w:rsidRPr="000A0A5F">
        <w:rPr>
          <w:rFonts w:hint="eastAsia"/>
          <w:lang w:eastAsia="zh-CN"/>
        </w:rPr>
        <w:t>UT</w:t>
      </w:r>
      <w:r w:rsidRPr="000A0A5F">
        <w:t xml:space="preserve"> method on the</w:t>
      </w:r>
      <w:r w:rsidR="0041302A" w:rsidRPr="000A0A5F">
        <w:t xml:space="preserve"> </w:t>
      </w:r>
      <w:r w:rsidRPr="000A0A5F">
        <w:t>"Individual NIDD downlink data</w:t>
      </w:r>
      <w:r w:rsidRPr="000A0A5F">
        <w:rPr>
          <w:rFonts w:hint="eastAsia"/>
          <w:lang w:eastAsia="zh-CN"/>
        </w:rPr>
        <w:t xml:space="preserve"> delivery</w:t>
      </w:r>
      <w:r w:rsidRPr="000A0A5F">
        <w:t>"</w:t>
      </w:r>
      <w:r w:rsidRPr="000A0A5F">
        <w:rPr>
          <w:rFonts w:hint="eastAsia"/>
          <w:lang w:eastAsia="zh-CN"/>
        </w:rPr>
        <w:t xml:space="preserve"> </w:t>
      </w:r>
      <w:r w:rsidRPr="000A0A5F">
        <w:t>resource with the body of the message encoded in JSON format</w:t>
      </w:r>
      <w:r w:rsidRPr="000A0A5F">
        <w:rPr>
          <w:rFonts w:hint="eastAsia"/>
          <w:lang w:eastAsia="zh-CN"/>
        </w:rPr>
        <w:t xml:space="preserve"> with the data structure defined in table</w:t>
      </w:r>
      <w:r w:rsidRPr="000A0A5F">
        <w:rPr>
          <w:lang w:val="en-US" w:eastAsia="zh-CN"/>
        </w:rPr>
        <w:t> </w:t>
      </w:r>
      <w:r w:rsidRPr="000A0A5F">
        <w:rPr>
          <w:rFonts w:hint="eastAsia"/>
          <w:lang w:eastAsia="zh-CN"/>
        </w:rPr>
        <w:t>5.6.2.1.3-1.</w:t>
      </w:r>
    </w:p>
    <w:p w:rsidR="00CB0DD7" w:rsidRPr="000A0A5F" w:rsidRDefault="00CB0DD7">
      <w:pPr>
        <w:rPr>
          <w:rFonts w:hint="eastAsia"/>
          <w:lang w:eastAsia="zh-CN"/>
        </w:rPr>
      </w:pPr>
      <w:r w:rsidRPr="000A0A5F">
        <w:t>The possible response messages from the</w:t>
      </w:r>
      <w:r w:rsidRPr="000A0A5F">
        <w:rPr>
          <w:rFonts w:hint="eastAsia"/>
          <w:lang w:eastAsia="zh-CN"/>
        </w:rPr>
        <w:t xml:space="preserve"> SCEF</w:t>
      </w:r>
      <w:r w:rsidRPr="000A0A5F">
        <w:t xml:space="preserve">, depending on whether the </w:t>
      </w:r>
      <w:r w:rsidRPr="000A0A5F">
        <w:rPr>
          <w:rFonts w:hint="eastAsia"/>
          <w:lang w:eastAsia="zh-CN"/>
        </w:rPr>
        <w:t>PUT</w:t>
      </w:r>
      <w:r w:rsidRPr="000A0A5F">
        <w:t xml:space="preserve"> request is successful or unsuccessful, are shown in Table</w:t>
      </w:r>
      <w:r w:rsidRPr="000A0A5F">
        <w:rPr>
          <w:lang w:val="en-US" w:eastAsia="zh-CN"/>
        </w:rPr>
        <w:t> </w:t>
      </w:r>
      <w:r w:rsidRPr="000A0A5F">
        <w:rPr>
          <w:rFonts w:hint="eastAsia"/>
          <w:lang w:eastAsia="zh-CN"/>
        </w:rPr>
        <w:t>5.6.3.5.3.2-1.</w:t>
      </w:r>
    </w:p>
    <w:p w:rsidR="00CB0DD7" w:rsidRPr="000A0A5F" w:rsidRDefault="00CB0DD7">
      <w:pPr>
        <w:pStyle w:val="TH"/>
      </w:pPr>
      <w:r w:rsidRPr="000A0A5F">
        <w:t>Table 5.</w:t>
      </w:r>
      <w:r w:rsidRPr="000A0A5F">
        <w:rPr>
          <w:rFonts w:hint="eastAsia"/>
          <w:lang w:eastAsia="zh-CN"/>
        </w:rPr>
        <w:t>6</w:t>
      </w:r>
      <w:r w:rsidRPr="000A0A5F">
        <w:t>.</w:t>
      </w:r>
      <w:r w:rsidRPr="000A0A5F">
        <w:rPr>
          <w:rFonts w:hint="eastAsia"/>
          <w:lang w:eastAsia="zh-CN"/>
        </w:rPr>
        <w:t>3</w:t>
      </w:r>
      <w:r w:rsidRPr="000A0A5F">
        <w:t>.</w:t>
      </w:r>
      <w:r w:rsidRPr="000A0A5F">
        <w:rPr>
          <w:rFonts w:hint="eastAsia"/>
          <w:lang w:eastAsia="zh-CN"/>
        </w:rPr>
        <w:t>5</w:t>
      </w:r>
      <w:r w:rsidRPr="000A0A5F">
        <w:t>.3.</w:t>
      </w:r>
      <w:r w:rsidRPr="000A0A5F">
        <w:rPr>
          <w:rFonts w:hint="eastAsia"/>
          <w:lang w:eastAsia="zh-CN"/>
        </w:rPr>
        <w:t>2</w:t>
      </w:r>
      <w:r w:rsidRPr="000A0A5F">
        <w:t>-</w:t>
      </w:r>
      <w:r w:rsidRPr="000A0A5F">
        <w:rPr>
          <w:rFonts w:hint="eastAsia"/>
          <w:lang w:eastAsia="zh-CN"/>
        </w:rPr>
        <w:t>1</w:t>
      </w:r>
      <w:r w:rsidRPr="000A0A5F">
        <w:t xml:space="preserve">: Data structures supported by the </w:t>
      </w:r>
      <w:r w:rsidRPr="000A0A5F">
        <w:rPr>
          <w:rFonts w:hint="eastAsia"/>
          <w:lang w:eastAsia="zh-CN"/>
        </w:rPr>
        <w:t>PUT</w:t>
      </w:r>
      <w:r w:rsidRPr="000A0A5F">
        <w:t xml:space="preserve"> request/response by the resource</w:t>
      </w:r>
    </w:p>
    <w:tbl>
      <w:tblPr>
        <w:tblW w:w="4999" w:type="pct"/>
        <w:tblInd w:w="1" w:type="dxa"/>
        <w:tblBorders>
          <w:top w:val="single" w:sz="6" w:space="0" w:color="000000"/>
          <w:left w:val="single" w:sz="6" w:space="0" w:color="000000"/>
          <w:bottom w:val="single" w:sz="6" w:space="0" w:color="000000"/>
          <w:right w:val="single" w:sz="6" w:space="0" w:color="000000"/>
          <w:insideH w:val="single" w:sz="6" w:space="0" w:color="auto"/>
          <w:insideV w:val="single" w:sz="6" w:space="0" w:color="000000"/>
        </w:tblBorders>
        <w:tblLayout w:type="fixed"/>
        <w:tblCellMar>
          <w:top w:w="45" w:type="dxa"/>
          <w:left w:w="45" w:type="dxa"/>
          <w:bottom w:w="45" w:type="dxa"/>
          <w:right w:w="45" w:type="dxa"/>
        </w:tblCellMar>
        <w:tblLook w:val="0000" w:firstRow="0" w:lastRow="0" w:firstColumn="0" w:lastColumn="0" w:noHBand="0" w:noVBand="0"/>
      </w:tblPr>
      <w:tblGrid>
        <w:gridCol w:w="1035"/>
        <w:gridCol w:w="2127"/>
        <w:gridCol w:w="1053"/>
        <w:gridCol w:w="973"/>
        <w:gridCol w:w="4541"/>
      </w:tblGrid>
      <w:tr w:rsidR="00CB0DD7" w:rsidRPr="000A0A5F" w:rsidTr="0086706F">
        <w:tc>
          <w:tcPr>
            <w:tcW w:w="532" w:type="pct"/>
            <w:vMerge w:val="restart"/>
            <w:shd w:val="clear" w:color="auto" w:fill="C0C0C0"/>
            <w:vAlign w:val="center"/>
          </w:tcPr>
          <w:p w:rsidR="00CB0DD7" w:rsidRPr="000A0A5F" w:rsidRDefault="00CB0DD7">
            <w:pPr>
              <w:pStyle w:val="TAH"/>
            </w:pPr>
            <w:r w:rsidRPr="000A0A5F">
              <w:t>Request body</w:t>
            </w:r>
          </w:p>
        </w:tc>
        <w:tc>
          <w:tcPr>
            <w:tcW w:w="1093" w:type="pct"/>
            <w:shd w:val="clear" w:color="auto" w:fill="C0C0C0"/>
          </w:tcPr>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r w:rsidRPr="000A0A5F">
              <w:t>Cardinality</w:t>
            </w:r>
          </w:p>
        </w:tc>
        <w:tc>
          <w:tcPr>
            <w:tcW w:w="2834" w:type="pct"/>
            <w:gridSpan w:val="2"/>
            <w:shd w:val="clear" w:color="auto" w:fill="C0C0C0"/>
          </w:tcPr>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t>NiddDownlinkDataTransfer</w:t>
            </w:r>
          </w:p>
        </w:tc>
        <w:tc>
          <w:tcPr>
            <w:tcW w:w="541" w:type="pct"/>
          </w:tcPr>
          <w:p w:rsidR="00CB0DD7" w:rsidRPr="000A0A5F" w:rsidRDefault="00CB0DD7">
            <w:pPr>
              <w:pStyle w:val="TAL"/>
            </w:pPr>
            <w:r w:rsidRPr="000A0A5F">
              <w:t>1</w:t>
            </w:r>
          </w:p>
        </w:tc>
        <w:tc>
          <w:tcPr>
            <w:tcW w:w="2834" w:type="pct"/>
            <w:gridSpan w:val="2"/>
          </w:tcPr>
          <w:p w:rsidR="00CB0DD7" w:rsidRPr="000A0A5F" w:rsidRDefault="00CB0DD7">
            <w:pPr>
              <w:pStyle w:val="TAL"/>
              <w:rPr>
                <w:rFonts w:hint="eastAsia"/>
                <w:lang w:eastAsia="zh-CN"/>
              </w:rPr>
            </w:pPr>
            <w:r w:rsidRPr="000A0A5F">
              <w:rPr>
                <w:rFonts w:hint="eastAsia"/>
                <w:lang w:eastAsia="zh-CN"/>
              </w:rPr>
              <w:t>The parameters and non-IP data for the MT delivery.</w:t>
            </w:r>
          </w:p>
        </w:tc>
      </w:tr>
      <w:tr w:rsidR="007C50E0" w:rsidRPr="000A0A5F" w:rsidTr="0086706F">
        <w:tc>
          <w:tcPr>
            <w:tcW w:w="532" w:type="pct"/>
            <w:vMerge w:val="restart"/>
            <w:shd w:val="clear" w:color="auto" w:fill="C0C0C0"/>
            <w:vAlign w:val="center"/>
          </w:tcPr>
          <w:p w:rsidR="007C50E0" w:rsidRPr="000A0A5F" w:rsidRDefault="007C50E0">
            <w:pPr>
              <w:pStyle w:val="TAH"/>
            </w:pPr>
            <w:r w:rsidRPr="000A0A5F">
              <w:t>Response body</w:t>
            </w:r>
          </w:p>
        </w:tc>
        <w:tc>
          <w:tcPr>
            <w:tcW w:w="1093" w:type="pct"/>
            <w:shd w:val="clear" w:color="auto" w:fill="C0C0C0"/>
          </w:tcPr>
          <w:p w:rsidR="007C50E0" w:rsidRPr="000A0A5F" w:rsidRDefault="007C50E0">
            <w:pPr>
              <w:pStyle w:val="TAH"/>
            </w:pPr>
          </w:p>
          <w:p w:rsidR="007C50E0" w:rsidRPr="000A0A5F" w:rsidRDefault="007C50E0">
            <w:pPr>
              <w:pStyle w:val="TAH"/>
            </w:pPr>
            <w:r w:rsidRPr="000A0A5F">
              <w:t>Data type</w:t>
            </w:r>
          </w:p>
        </w:tc>
        <w:tc>
          <w:tcPr>
            <w:tcW w:w="541" w:type="pct"/>
            <w:shd w:val="clear" w:color="auto" w:fill="C0C0C0"/>
          </w:tcPr>
          <w:p w:rsidR="007C50E0" w:rsidRPr="000A0A5F" w:rsidRDefault="007C50E0">
            <w:pPr>
              <w:pStyle w:val="TAH"/>
            </w:pPr>
          </w:p>
          <w:p w:rsidR="007C50E0" w:rsidRPr="000A0A5F" w:rsidRDefault="007C50E0">
            <w:pPr>
              <w:pStyle w:val="TAH"/>
            </w:pPr>
            <w:r w:rsidRPr="000A0A5F">
              <w:t>Cardinality</w:t>
            </w:r>
          </w:p>
        </w:tc>
        <w:tc>
          <w:tcPr>
            <w:tcW w:w="500" w:type="pct"/>
            <w:shd w:val="clear" w:color="auto" w:fill="C0C0C0"/>
          </w:tcPr>
          <w:p w:rsidR="007C50E0" w:rsidRPr="000A0A5F" w:rsidRDefault="007C50E0">
            <w:pPr>
              <w:pStyle w:val="TAH"/>
            </w:pPr>
            <w:r w:rsidRPr="000A0A5F">
              <w:t>Response</w:t>
            </w:r>
          </w:p>
          <w:p w:rsidR="007C50E0" w:rsidRPr="000A0A5F" w:rsidRDefault="007C50E0">
            <w:pPr>
              <w:pStyle w:val="TAH"/>
            </w:pPr>
            <w:r w:rsidRPr="000A0A5F">
              <w:t>codes</w:t>
            </w:r>
          </w:p>
        </w:tc>
        <w:tc>
          <w:tcPr>
            <w:tcW w:w="2334" w:type="pct"/>
            <w:shd w:val="clear" w:color="auto" w:fill="C0C0C0"/>
          </w:tcPr>
          <w:p w:rsidR="007C50E0" w:rsidRPr="000A0A5F" w:rsidRDefault="007C50E0">
            <w:pPr>
              <w:pStyle w:val="TAH"/>
            </w:pPr>
          </w:p>
          <w:p w:rsidR="007C50E0" w:rsidRPr="000A0A5F" w:rsidRDefault="007C50E0">
            <w:pPr>
              <w:pStyle w:val="TAH"/>
            </w:pPr>
            <w:r w:rsidRPr="000A0A5F">
              <w:t>Remarks</w:t>
            </w:r>
          </w:p>
        </w:tc>
      </w:tr>
      <w:tr w:rsidR="007C50E0" w:rsidRPr="000A0A5F" w:rsidTr="007C50E0">
        <w:tc>
          <w:tcPr>
            <w:tcW w:w="532" w:type="pct"/>
            <w:vMerge/>
            <w:shd w:val="clear" w:color="auto" w:fill="C0C0C0"/>
            <w:vAlign w:val="center"/>
          </w:tcPr>
          <w:p w:rsidR="007C50E0" w:rsidRPr="000A0A5F" w:rsidRDefault="007C50E0">
            <w:pPr>
              <w:pStyle w:val="TAL"/>
              <w:jc w:val="center"/>
            </w:pPr>
          </w:p>
        </w:tc>
        <w:tc>
          <w:tcPr>
            <w:tcW w:w="1093" w:type="pct"/>
            <w:shd w:val="clear" w:color="auto" w:fill="auto"/>
          </w:tcPr>
          <w:p w:rsidR="007C50E0" w:rsidRPr="000A0A5F" w:rsidRDefault="007C50E0">
            <w:pPr>
              <w:pStyle w:val="TAL"/>
              <w:rPr>
                <w:rFonts w:hint="eastAsia"/>
                <w:lang w:eastAsia="zh-CN"/>
              </w:rPr>
            </w:pPr>
            <w:r w:rsidRPr="000A0A5F">
              <w:t>NiddDownlinkDataTransfer</w:t>
            </w:r>
          </w:p>
        </w:tc>
        <w:tc>
          <w:tcPr>
            <w:tcW w:w="541" w:type="pct"/>
          </w:tcPr>
          <w:p w:rsidR="007C50E0" w:rsidRPr="000A0A5F" w:rsidRDefault="007C50E0">
            <w:pPr>
              <w:pStyle w:val="TAL"/>
              <w:rPr>
                <w:rFonts w:hint="eastAsia"/>
                <w:lang w:eastAsia="zh-CN"/>
              </w:rPr>
            </w:pPr>
            <w:r w:rsidRPr="000A0A5F">
              <w:rPr>
                <w:rFonts w:hint="eastAsia"/>
                <w:lang w:eastAsia="zh-CN"/>
              </w:rPr>
              <w:t>1</w:t>
            </w:r>
          </w:p>
        </w:tc>
        <w:tc>
          <w:tcPr>
            <w:tcW w:w="500" w:type="pct"/>
          </w:tcPr>
          <w:p w:rsidR="007C50E0" w:rsidRPr="000A0A5F" w:rsidRDefault="007C50E0">
            <w:pPr>
              <w:pStyle w:val="TAL"/>
              <w:rPr>
                <w:rFonts w:hint="eastAsia"/>
                <w:lang w:eastAsia="zh-CN"/>
              </w:rPr>
            </w:pPr>
            <w:r w:rsidRPr="000A0A5F">
              <w:rPr>
                <w:rFonts w:hint="eastAsia"/>
                <w:lang w:eastAsia="zh-CN"/>
              </w:rPr>
              <w:t>20</w:t>
            </w:r>
            <w:r w:rsidRPr="000A0A5F">
              <w:rPr>
                <w:lang w:eastAsia="zh-CN"/>
              </w:rPr>
              <w:t>0</w:t>
            </w:r>
            <w:r w:rsidRPr="000A0A5F">
              <w:rPr>
                <w:rFonts w:hint="eastAsia"/>
                <w:lang w:eastAsia="zh-CN"/>
              </w:rPr>
              <w:t xml:space="preserve"> </w:t>
            </w:r>
            <w:r w:rsidRPr="000A0A5F">
              <w:rPr>
                <w:lang w:eastAsia="zh-CN"/>
              </w:rPr>
              <w:t>OK</w:t>
            </w:r>
          </w:p>
        </w:tc>
        <w:tc>
          <w:tcPr>
            <w:tcW w:w="2334" w:type="pct"/>
          </w:tcPr>
          <w:p w:rsidR="007C50E0" w:rsidRPr="000A0A5F" w:rsidRDefault="007C50E0">
            <w:pPr>
              <w:pStyle w:val="TAL"/>
              <w:rPr>
                <w:rFonts w:hint="eastAsia"/>
                <w:lang w:eastAsia="zh-CN"/>
              </w:rPr>
            </w:pPr>
            <w:r w:rsidRPr="000A0A5F">
              <w:rPr>
                <w:rFonts w:hint="eastAsia"/>
                <w:lang w:eastAsia="zh-CN"/>
              </w:rPr>
              <w:t xml:space="preserve">The </w:t>
            </w:r>
            <w:r w:rsidRPr="000A0A5F">
              <w:rPr>
                <w:lang w:eastAsia="zh-CN"/>
              </w:rPr>
              <w:t xml:space="preserve">update of the Individual </w:t>
            </w:r>
            <w:r w:rsidRPr="000A0A5F">
              <w:rPr>
                <w:rFonts w:hint="eastAsia"/>
                <w:lang w:eastAsia="zh-CN"/>
              </w:rPr>
              <w:t xml:space="preserve">NIDD downlink data delivery </w:t>
            </w:r>
            <w:r w:rsidRPr="000A0A5F">
              <w:rPr>
                <w:lang w:eastAsia="zh-CN"/>
              </w:rPr>
              <w:t>resource was</w:t>
            </w:r>
            <w:r w:rsidRPr="000A0A5F">
              <w:rPr>
                <w:rFonts w:hint="eastAsia"/>
                <w:lang w:eastAsia="zh-CN"/>
              </w:rPr>
              <w:t xml:space="preserve"> </w:t>
            </w:r>
            <w:r w:rsidRPr="000A0A5F">
              <w:rPr>
                <w:lang w:eastAsia="zh-CN"/>
              </w:rPr>
              <w:t>successful</w:t>
            </w:r>
            <w:r w:rsidRPr="000A0A5F">
              <w:rPr>
                <w:rFonts w:hint="eastAsia"/>
                <w:lang w:eastAsia="zh-CN"/>
              </w:rPr>
              <w:t>.</w:t>
            </w:r>
          </w:p>
          <w:p w:rsidR="007C50E0" w:rsidRPr="000A0A5F" w:rsidRDefault="007C50E0">
            <w:pPr>
              <w:pStyle w:val="TAL"/>
              <w:rPr>
                <w:rFonts w:hint="eastAsia"/>
                <w:lang w:eastAsia="zh-CN"/>
              </w:rPr>
            </w:pPr>
          </w:p>
          <w:p w:rsidR="007C50E0" w:rsidRPr="000A0A5F" w:rsidRDefault="007C50E0" w:rsidP="00BD3D12">
            <w:pPr>
              <w:pStyle w:val="TAL"/>
              <w:rPr>
                <w:rFonts w:hint="eastAsia"/>
                <w:lang w:eastAsia="zh-CN"/>
              </w:rPr>
            </w:pPr>
            <w:r w:rsidRPr="000A0A5F">
              <w:t xml:space="preserve">The SCEF </w:t>
            </w:r>
            <w:r w:rsidRPr="000A0A5F">
              <w:rPr>
                <w:rFonts w:hint="eastAsia"/>
                <w:lang w:eastAsia="zh-CN"/>
              </w:rPr>
              <w:t>shall</w:t>
            </w:r>
            <w:r w:rsidRPr="000A0A5F">
              <w:t xml:space="preserve"> return an updated representation of the resource within the NiddDownlinkDataTransfer data structure in the response message body.</w:t>
            </w:r>
          </w:p>
        </w:tc>
      </w:tr>
      <w:tr w:rsidR="007C50E0" w:rsidRPr="000A0A5F" w:rsidTr="007C50E0">
        <w:tc>
          <w:tcPr>
            <w:tcW w:w="532" w:type="pct"/>
            <w:vMerge/>
            <w:shd w:val="clear" w:color="auto" w:fill="C0C0C0"/>
            <w:vAlign w:val="center"/>
          </w:tcPr>
          <w:p w:rsidR="007C50E0" w:rsidRPr="000A0A5F" w:rsidRDefault="007C50E0">
            <w:pPr>
              <w:pStyle w:val="TAL"/>
              <w:jc w:val="center"/>
            </w:pPr>
          </w:p>
        </w:tc>
        <w:tc>
          <w:tcPr>
            <w:tcW w:w="1093" w:type="pct"/>
            <w:shd w:val="clear" w:color="auto" w:fill="auto"/>
          </w:tcPr>
          <w:p w:rsidR="007C50E0" w:rsidRPr="000A0A5F" w:rsidRDefault="007C50E0">
            <w:pPr>
              <w:pStyle w:val="TAL"/>
            </w:pPr>
            <w:r w:rsidRPr="000A0A5F">
              <w:t>None</w:t>
            </w:r>
          </w:p>
        </w:tc>
        <w:tc>
          <w:tcPr>
            <w:tcW w:w="541" w:type="pct"/>
          </w:tcPr>
          <w:p w:rsidR="007C50E0" w:rsidRPr="000A0A5F" w:rsidRDefault="007C50E0">
            <w:pPr>
              <w:pStyle w:val="TAL"/>
              <w:rPr>
                <w:rFonts w:hint="eastAsia"/>
                <w:lang w:eastAsia="zh-CN"/>
              </w:rPr>
            </w:pPr>
          </w:p>
        </w:tc>
        <w:tc>
          <w:tcPr>
            <w:tcW w:w="500" w:type="pct"/>
          </w:tcPr>
          <w:p w:rsidR="007C50E0" w:rsidRPr="000A0A5F" w:rsidRDefault="007C50E0">
            <w:pPr>
              <w:pStyle w:val="TAL"/>
              <w:rPr>
                <w:rFonts w:hint="eastAsia"/>
                <w:lang w:eastAsia="zh-CN"/>
              </w:rPr>
            </w:pPr>
            <w:r w:rsidRPr="000A0A5F">
              <w:rPr>
                <w:lang w:eastAsia="zh-CN"/>
              </w:rPr>
              <w:t>204 No Content</w:t>
            </w:r>
          </w:p>
        </w:tc>
        <w:tc>
          <w:tcPr>
            <w:tcW w:w="2334" w:type="pct"/>
          </w:tcPr>
          <w:p w:rsidR="007C50E0" w:rsidRPr="000A0A5F" w:rsidRDefault="007C50E0" w:rsidP="00BD3D12">
            <w:pPr>
              <w:pStyle w:val="TAL"/>
              <w:rPr>
                <w:rFonts w:hint="eastAsia"/>
                <w:lang w:eastAsia="zh-CN"/>
              </w:rPr>
            </w:pPr>
            <w:r w:rsidRPr="000A0A5F">
              <w:rPr>
                <w:lang w:eastAsia="zh-CN"/>
              </w:rPr>
              <w:t>The update of the Individual NIDD downlink data delivery was successful</w:t>
            </w:r>
            <w:r w:rsidRPr="000A0A5F">
              <w:t xml:space="preserve"> </w:t>
            </w:r>
            <w:r w:rsidRPr="000A0A5F">
              <w:rPr>
                <w:lang w:eastAsia="zh-CN"/>
              </w:rPr>
              <w:t>and no content is to be sent in the response message body.</w:t>
            </w:r>
          </w:p>
        </w:tc>
      </w:tr>
      <w:tr w:rsidR="007C50E0" w:rsidRPr="000A0A5F" w:rsidTr="007C50E0">
        <w:tc>
          <w:tcPr>
            <w:tcW w:w="532" w:type="pct"/>
            <w:vMerge/>
            <w:shd w:val="clear" w:color="auto" w:fill="C0C0C0"/>
            <w:vAlign w:val="center"/>
          </w:tcPr>
          <w:p w:rsidR="007C50E0" w:rsidRPr="000A0A5F" w:rsidRDefault="007C50E0" w:rsidP="007C50E0">
            <w:pPr>
              <w:pStyle w:val="TAL"/>
              <w:jc w:val="center"/>
            </w:pPr>
          </w:p>
        </w:tc>
        <w:tc>
          <w:tcPr>
            <w:tcW w:w="1093" w:type="pct"/>
            <w:shd w:val="clear" w:color="auto" w:fill="auto"/>
          </w:tcPr>
          <w:p w:rsidR="007C50E0" w:rsidRPr="000A0A5F" w:rsidRDefault="007C50E0" w:rsidP="007C50E0">
            <w:pPr>
              <w:pStyle w:val="TAL"/>
            </w:pPr>
            <w:r w:rsidRPr="000A0A5F">
              <w:rPr>
                <w:lang w:eastAsia="zh-CN"/>
              </w:rPr>
              <w:t>None</w:t>
            </w:r>
          </w:p>
        </w:tc>
        <w:tc>
          <w:tcPr>
            <w:tcW w:w="541" w:type="pct"/>
          </w:tcPr>
          <w:p w:rsidR="007C50E0" w:rsidRPr="000A0A5F" w:rsidRDefault="007C50E0" w:rsidP="007C50E0">
            <w:pPr>
              <w:pStyle w:val="TAL"/>
              <w:rPr>
                <w:rFonts w:hint="eastAsia"/>
                <w:lang w:eastAsia="zh-CN"/>
              </w:rPr>
            </w:pPr>
          </w:p>
        </w:tc>
        <w:tc>
          <w:tcPr>
            <w:tcW w:w="500" w:type="pct"/>
          </w:tcPr>
          <w:p w:rsidR="007C50E0" w:rsidRPr="000A0A5F" w:rsidRDefault="007C50E0" w:rsidP="007C50E0">
            <w:pPr>
              <w:pStyle w:val="TAL"/>
              <w:rPr>
                <w:lang w:eastAsia="zh-CN"/>
              </w:rPr>
            </w:pPr>
            <w:r w:rsidRPr="000A0A5F">
              <w:t>307 Temporary Redirect</w:t>
            </w:r>
          </w:p>
        </w:tc>
        <w:tc>
          <w:tcPr>
            <w:tcW w:w="2334" w:type="pct"/>
          </w:tcPr>
          <w:p w:rsidR="007C50E0" w:rsidRPr="000A0A5F" w:rsidRDefault="007C50E0" w:rsidP="007C50E0">
            <w:pPr>
              <w:pStyle w:val="TAL"/>
            </w:pPr>
            <w:r w:rsidRPr="000A0A5F">
              <w:t>Temporary redirection, during configuration modification. The response shall include a Location header field containing an alternative URI of the resource located in an alternative SCEF.</w:t>
            </w:r>
          </w:p>
          <w:p w:rsidR="007C50E0" w:rsidRPr="000A0A5F" w:rsidRDefault="007C50E0" w:rsidP="007C50E0">
            <w:pPr>
              <w:pStyle w:val="TAL"/>
            </w:pPr>
          </w:p>
          <w:p w:rsidR="007C50E0" w:rsidRPr="000A0A5F" w:rsidRDefault="007C50E0" w:rsidP="007C50E0">
            <w:pPr>
              <w:pStyle w:val="TAL"/>
              <w:rPr>
                <w:lang w:eastAsia="zh-CN"/>
              </w:rPr>
            </w:pPr>
            <w:r w:rsidRPr="000A0A5F">
              <w:t>Redirection handling is described in clause 5.2.10.</w:t>
            </w:r>
          </w:p>
        </w:tc>
      </w:tr>
      <w:tr w:rsidR="007C50E0" w:rsidRPr="000A0A5F" w:rsidTr="007C50E0">
        <w:tc>
          <w:tcPr>
            <w:tcW w:w="532" w:type="pct"/>
            <w:vMerge/>
            <w:shd w:val="clear" w:color="auto" w:fill="C0C0C0"/>
            <w:vAlign w:val="center"/>
          </w:tcPr>
          <w:p w:rsidR="007C50E0" w:rsidRPr="000A0A5F" w:rsidRDefault="007C50E0" w:rsidP="007C50E0">
            <w:pPr>
              <w:pStyle w:val="TAL"/>
              <w:jc w:val="center"/>
            </w:pPr>
          </w:p>
        </w:tc>
        <w:tc>
          <w:tcPr>
            <w:tcW w:w="1093" w:type="pct"/>
            <w:shd w:val="clear" w:color="auto" w:fill="auto"/>
          </w:tcPr>
          <w:p w:rsidR="007C50E0" w:rsidRPr="000A0A5F" w:rsidRDefault="007C50E0" w:rsidP="007C50E0">
            <w:pPr>
              <w:pStyle w:val="TAL"/>
            </w:pPr>
            <w:r w:rsidRPr="000A0A5F">
              <w:rPr>
                <w:lang w:eastAsia="zh-CN"/>
              </w:rPr>
              <w:t>None</w:t>
            </w:r>
          </w:p>
        </w:tc>
        <w:tc>
          <w:tcPr>
            <w:tcW w:w="541" w:type="pct"/>
          </w:tcPr>
          <w:p w:rsidR="007C50E0" w:rsidRPr="000A0A5F" w:rsidRDefault="007C50E0" w:rsidP="007C50E0">
            <w:pPr>
              <w:pStyle w:val="TAL"/>
              <w:rPr>
                <w:rFonts w:hint="eastAsia"/>
                <w:lang w:eastAsia="zh-CN"/>
              </w:rPr>
            </w:pPr>
          </w:p>
        </w:tc>
        <w:tc>
          <w:tcPr>
            <w:tcW w:w="500" w:type="pct"/>
          </w:tcPr>
          <w:p w:rsidR="007C50E0" w:rsidRPr="000A0A5F" w:rsidRDefault="007C50E0" w:rsidP="007C50E0">
            <w:pPr>
              <w:pStyle w:val="TAL"/>
              <w:rPr>
                <w:lang w:eastAsia="zh-CN"/>
              </w:rPr>
            </w:pPr>
            <w:r w:rsidRPr="000A0A5F">
              <w:t>308 Permanent Redirect</w:t>
            </w:r>
          </w:p>
        </w:tc>
        <w:tc>
          <w:tcPr>
            <w:tcW w:w="2334" w:type="pct"/>
          </w:tcPr>
          <w:p w:rsidR="007C50E0" w:rsidRPr="000A0A5F" w:rsidRDefault="007C50E0" w:rsidP="007C50E0">
            <w:pPr>
              <w:pStyle w:val="TAL"/>
            </w:pPr>
            <w:r w:rsidRPr="000A0A5F">
              <w:t>Permanent redirection, during configuration modification. The response shall include a Location header field containing an alternative URI of the resource located in an alternative SCEF.</w:t>
            </w:r>
          </w:p>
          <w:p w:rsidR="007C50E0" w:rsidRPr="000A0A5F" w:rsidRDefault="007C50E0" w:rsidP="007C50E0">
            <w:pPr>
              <w:pStyle w:val="TAL"/>
            </w:pPr>
          </w:p>
          <w:p w:rsidR="007C50E0" w:rsidRPr="000A0A5F" w:rsidRDefault="007C50E0" w:rsidP="007C50E0">
            <w:pPr>
              <w:pStyle w:val="TAL"/>
              <w:rPr>
                <w:lang w:eastAsia="zh-CN"/>
              </w:rPr>
            </w:pPr>
            <w:r w:rsidRPr="000A0A5F">
              <w:t>Redirection handling is described in clause 5.2.10.</w:t>
            </w:r>
          </w:p>
        </w:tc>
      </w:tr>
      <w:tr w:rsidR="007C50E0" w:rsidRPr="000A0A5F" w:rsidTr="007C50E0">
        <w:tc>
          <w:tcPr>
            <w:tcW w:w="532" w:type="pct"/>
            <w:vMerge/>
            <w:shd w:val="clear" w:color="auto" w:fill="C0C0C0"/>
            <w:vAlign w:val="center"/>
          </w:tcPr>
          <w:p w:rsidR="007C50E0" w:rsidRPr="000A0A5F" w:rsidRDefault="007C50E0" w:rsidP="007C50E0">
            <w:pPr>
              <w:pStyle w:val="TAL"/>
              <w:jc w:val="center"/>
            </w:pPr>
          </w:p>
        </w:tc>
        <w:tc>
          <w:tcPr>
            <w:tcW w:w="1093" w:type="pct"/>
            <w:shd w:val="clear" w:color="auto" w:fill="auto"/>
          </w:tcPr>
          <w:p w:rsidR="007C50E0" w:rsidRPr="000A0A5F" w:rsidRDefault="007C50E0" w:rsidP="007C50E0">
            <w:pPr>
              <w:pStyle w:val="TAL"/>
            </w:pPr>
            <w:r w:rsidRPr="000A0A5F">
              <w:t>ProblemDetails</w:t>
            </w:r>
          </w:p>
        </w:tc>
        <w:tc>
          <w:tcPr>
            <w:tcW w:w="541" w:type="pct"/>
          </w:tcPr>
          <w:p w:rsidR="007C50E0" w:rsidRPr="000A0A5F" w:rsidRDefault="007C50E0" w:rsidP="007C50E0">
            <w:pPr>
              <w:pStyle w:val="TAL"/>
              <w:rPr>
                <w:rFonts w:hint="eastAsia"/>
                <w:lang w:eastAsia="zh-CN"/>
              </w:rPr>
            </w:pPr>
            <w:r w:rsidRPr="000A0A5F">
              <w:t>0..1</w:t>
            </w:r>
          </w:p>
        </w:tc>
        <w:tc>
          <w:tcPr>
            <w:tcW w:w="500" w:type="pct"/>
          </w:tcPr>
          <w:p w:rsidR="007C50E0" w:rsidRPr="000A0A5F" w:rsidRDefault="007C50E0" w:rsidP="007C50E0">
            <w:pPr>
              <w:pStyle w:val="TAL"/>
              <w:rPr>
                <w:rFonts w:hint="eastAsia"/>
                <w:lang w:eastAsia="zh-CN"/>
              </w:rPr>
            </w:pPr>
            <w:r w:rsidRPr="000A0A5F">
              <w:rPr>
                <w:lang w:eastAsia="zh-CN"/>
              </w:rPr>
              <w:t>403 Forbidden</w:t>
            </w:r>
          </w:p>
        </w:tc>
        <w:tc>
          <w:tcPr>
            <w:tcW w:w="2334" w:type="pct"/>
          </w:tcPr>
          <w:p w:rsidR="007C50E0" w:rsidRPr="000A0A5F" w:rsidRDefault="007C50E0" w:rsidP="007C50E0">
            <w:pPr>
              <w:pStyle w:val="TAL"/>
              <w:rPr>
                <w:rFonts w:hint="eastAsia"/>
                <w:lang w:eastAsia="zh-CN"/>
              </w:rPr>
            </w:pPr>
            <w:r w:rsidRPr="000A0A5F">
              <w:t>(NOTE 2)</w:t>
            </w:r>
          </w:p>
        </w:tc>
      </w:tr>
      <w:tr w:rsidR="007C50E0" w:rsidRPr="000A0A5F" w:rsidTr="007C50E0">
        <w:tc>
          <w:tcPr>
            <w:tcW w:w="532" w:type="pct"/>
            <w:vMerge/>
            <w:shd w:val="clear" w:color="auto" w:fill="C0C0C0"/>
            <w:vAlign w:val="center"/>
          </w:tcPr>
          <w:p w:rsidR="007C50E0" w:rsidRPr="000A0A5F" w:rsidRDefault="007C50E0" w:rsidP="007C50E0">
            <w:pPr>
              <w:pStyle w:val="TAL"/>
              <w:jc w:val="center"/>
            </w:pPr>
          </w:p>
        </w:tc>
        <w:tc>
          <w:tcPr>
            <w:tcW w:w="1093" w:type="pct"/>
            <w:shd w:val="clear" w:color="auto" w:fill="auto"/>
          </w:tcPr>
          <w:p w:rsidR="007C50E0" w:rsidRPr="000A0A5F" w:rsidRDefault="007C50E0" w:rsidP="007C50E0">
            <w:pPr>
              <w:pStyle w:val="TAL"/>
            </w:pPr>
            <w:r w:rsidRPr="000A0A5F">
              <w:t>ProblemDetails</w:t>
            </w:r>
          </w:p>
        </w:tc>
        <w:tc>
          <w:tcPr>
            <w:tcW w:w="541" w:type="pct"/>
          </w:tcPr>
          <w:p w:rsidR="007C50E0" w:rsidRPr="000A0A5F" w:rsidRDefault="007C50E0" w:rsidP="007C50E0">
            <w:pPr>
              <w:pStyle w:val="TAL"/>
              <w:rPr>
                <w:rFonts w:hint="eastAsia"/>
                <w:lang w:eastAsia="zh-CN"/>
              </w:rPr>
            </w:pPr>
            <w:r w:rsidRPr="000A0A5F">
              <w:t>0..1</w:t>
            </w:r>
          </w:p>
        </w:tc>
        <w:tc>
          <w:tcPr>
            <w:tcW w:w="500" w:type="pct"/>
          </w:tcPr>
          <w:p w:rsidR="007C50E0" w:rsidRPr="000A0A5F" w:rsidRDefault="007C50E0" w:rsidP="007C50E0">
            <w:pPr>
              <w:pStyle w:val="TAL"/>
              <w:rPr>
                <w:rFonts w:hint="eastAsia"/>
                <w:lang w:eastAsia="zh-CN"/>
              </w:rPr>
            </w:pPr>
            <w:r w:rsidRPr="000A0A5F">
              <w:rPr>
                <w:lang w:eastAsia="zh-CN"/>
              </w:rPr>
              <w:t>404 Not Found</w:t>
            </w:r>
          </w:p>
        </w:tc>
        <w:tc>
          <w:tcPr>
            <w:tcW w:w="2334" w:type="pct"/>
          </w:tcPr>
          <w:p w:rsidR="007C50E0" w:rsidRPr="000A0A5F" w:rsidRDefault="007C50E0" w:rsidP="007C50E0">
            <w:pPr>
              <w:pStyle w:val="TAL"/>
              <w:rPr>
                <w:rFonts w:hint="eastAsia"/>
                <w:lang w:eastAsia="zh-CN"/>
              </w:rPr>
            </w:pPr>
            <w:r w:rsidRPr="000A0A5F">
              <w:t>(NOTE 2)</w:t>
            </w:r>
          </w:p>
        </w:tc>
      </w:tr>
      <w:tr w:rsidR="007C50E0" w:rsidRPr="000A0A5F" w:rsidTr="007C50E0">
        <w:tc>
          <w:tcPr>
            <w:tcW w:w="532" w:type="pct"/>
            <w:vMerge/>
            <w:shd w:val="clear" w:color="auto" w:fill="C0C0C0"/>
            <w:vAlign w:val="center"/>
          </w:tcPr>
          <w:p w:rsidR="007C50E0" w:rsidRPr="000A0A5F" w:rsidRDefault="007C50E0" w:rsidP="007C50E0">
            <w:pPr>
              <w:pStyle w:val="TAL"/>
              <w:jc w:val="center"/>
            </w:pPr>
          </w:p>
        </w:tc>
        <w:tc>
          <w:tcPr>
            <w:tcW w:w="1093" w:type="pct"/>
            <w:shd w:val="clear" w:color="auto" w:fill="auto"/>
          </w:tcPr>
          <w:p w:rsidR="007C50E0" w:rsidRPr="000A0A5F" w:rsidRDefault="007C50E0" w:rsidP="007C50E0">
            <w:pPr>
              <w:pStyle w:val="TAL"/>
            </w:pPr>
            <w:r w:rsidRPr="000A0A5F">
              <w:t>ProblemDetails</w:t>
            </w:r>
          </w:p>
        </w:tc>
        <w:tc>
          <w:tcPr>
            <w:tcW w:w="541" w:type="pct"/>
          </w:tcPr>
          <w:p w:rsidR="007C50E0" w:rsidRPr="000A0A5F" w:rsidRDefault="007C50E0" w:rsidP="007C50E0">
            <w:pPr>
              <w:pStyle w:val="TAL"/>
              <w:rPr>
                <w:rFonts w:hint="eastAsia"/>
                <w:lang w:eastAsia="zh-CN"/>
              </w:rPr>
            </w:pPr>
            <w:r w:rsidRPr="000A0A5F">
              <w:t>0..1</w:t>
            </w:r>
          </w:p>
        </w:tc>
        <w:tc>
          <w:tcPr>
            <w:tcW w:w="500" w:type="pct"/>
          </w:tcPr>
          <w:p w:rsidR="007C50E0" w:rsidRPr="000A0A5F" w:rsidRDefault="007C50E0" w:rsidP="007C50E0">
            <w:pPr>
              <w:pStyle w:val="TAL"/>
              <w:rPr>
                <w:rFonts w:hint="eastAsia"/>
                <w:lang w:eastAsia="zh-CN"/>
              </w:rPr>
            </w:pPr>
            <w:r w:rsidRPr="000A0A5F">
              <w:rPr>
                <w:lang w:eastAsia="zh-CN"/>
              </w:rPr>
              <w:t>409 Conflict</w:t>
            </w:r>
          </w:p>
        </w:tc>
        <w:tc>
          <w:tcPr>
            <w:tcW w:w="2334" w:type="pct"/>
          </w:tcPr>
          <w:p w:rsidR="007C50E0" w:rsidRPr="000A0A5F" w:rsidRDefault="007C50E0" w:rsidP="007C50E0">
            <w:pPr>
              <w:pStyle w:val="TAL"/>
              <w:rPr>
                <w:rFonts w:hint="eastAsia"/>
                <w:lang w:eastAsia="zh-CN"/>
              </w:rPr>
            </w:pPr>
            <w:r w:rsidRPr="000A0A5F">
              <w:t>(NOTE 2)</w:t>
            </w:r>
          </w:p>
        </w:tc>
      </w:tr>
      <w:tr w:rsidR="007C50E0" w:rsidRPr="000A0A5F" w:rsidTr="007C50E0">
        <w:tc>
          <w:tcPr>
            <w:tcW w:w="532" w:type="pct"/>
            <w:vMerge/>
            <w:shd w:val="clear" w:color="auto" w:fill="C0C0C0"/>
            <w:vAlign w:val="center"/>
          </w:tcPr>
          <w:p w:rsidR="007C50E0" w:rsidRPr="000A0A5F" w:rsidRDefault="007C50E0" w:rsidP="007C50E0">
            <w:pPr>
              <w:pStyle w:val="TAL"/>
              <w:jc w:val="center"/>
            </w:pPr>
          </w:p>
        </w:tc>
        <w:tc>
          <w:tcPr>
            <w:tcW w:w="1093" w:type="pct"/>
            <w:shd w:val="clear" w:color="auto" w:fill="auto"/>
          </w:tcPr>
          <w:p w:rsidR="007C50E0" w:rsidRPr="000A0A5F" w:rsidRDefault="007C50E0" w:rsidP="007C50E0">
            <w:pPr>
              <w:pStyle w:val="TAL"/>
            </w:pPr>
            <w:r w:rsidRPr="000A0A5F">
              <w:t>NiddDownlinkDataDeliveryFailure</w:t>
            </w:r>
          </w:p>
        </w:tc>
        <w:tc>
          <w:tcPr>
            <w:tcW w:w="541" w:type="pct"/>
          </w:tcPr>
          <w:p w:rsidR="007C50E0" w:rsidRPr="000A0A5F" w:rsidRDefault="007C50E0" w:rsidP="007C50E0">
            <w:pPr>
              <w:pStyle w:val="TAL"/>
              <w:rPr>
                <w:rFonts w:hint="eastAsia"/>
                <w:lang w:eastAsia="zh-CN"/>
              </w:rPr>
            </w:pPr>
            <w:r w:rsidRPr="000A0A5F">
              <w:rPr>
                <w:lang w:eastAsia="zh-CN"/>
              </w:rPr>
              <w:t>0..1</w:t>
            </w:r>
          </w:p>
        </w:tc>
        <w:tc>
          <w:tcPr>
            <w:tcW w:w="500" w:type="pct"/>
          </w:tcPr>
          <w:p w:rsidR="007C50E0" w:rsidRPr="000A0A5F" w:rsidRDefault="007C50E0" w:rsidP="007C50E0">
            <w:pPr>
              <w:pStyle w:val="TAL"/>
              <w:rPr>
                <w:rFonts w:hint="eastAsia"/>
                <w:lang w:eastAsia="zh-CN"/>
              </w:rPr>
            </w:pPr>
            <w:r w:rsidRPr="000A0A5F">
              <w:rPr>
                <w:lang w:eastAsia="zh-CN"/>
              </w:rPr>
              <w:t>500 Internal Server Error</w:t>
            </w:r>
          </w:p>
        </w:tc>
        <w:tc>
          <w:tcPr>
            <w:tcW w:w="2334" w:type="pct"/>
          </w:tcPr>
          <w:p w:rsidR="007C50E0" w:rsidRPr="000A0A5F" w:rsidRDefault="007C50E0" w:rsidP="007C50E0">
            <w:pPr>
              <w:pStyle w:val="TAL"/>
              <w:rPr>
                <w:rFonts w:hint="eastAsia"/>
                <w:lang w:eastAsia="zh-CN"/>
              </w:rPr>
            </w:pPr>
            <w:r w:rsidRPr="000A0A5F">
              <w:t>(NOTE 2)</w:t>
            </w:r>
          </w:p>
        </w:tc>
      </w:tr>
      <w:tr w:rsidR="007C50E0" w:rsidRPr="000A0A5F" w:rsidTr="00FF0AF8">
        <w:tc>
          <w:tcPr>
            <w:tcW w:w="5000" w:type="pct"/>
            <w:gridSpan w:val="5"/>
            <w:shd w:val="clear" w:color="auto" w:fill="auto"/>
            <w:vAlign w:val="center"/>
          </w:tcPr>
          <w:p w:rsidR="007C50E0" w:rsidRPr="000A0A5F" w:rsidRDefault="007C50E0" w:rsidP="007C50E0">
            <w:pPr>
              <w:pStyle w:val="TAN"/>
            </w:pPr>
            <w:r w:rsidRPr="000A0A5F">
              <w:t>NOTE 1:</w:t>
            </w:r>
            <w:r w:rsidRPr="000A0A5F">
              <w:tab/>
              <w:t>The mandatory HTTP error status codes for the PUT method listed in table 5.2.6-1 also apply.</w:t>
            </w:r>
          </w:p>
          <w:p w:rsidR="007C50E0" w:rsidRPr="000A0A5F" w:rsidRDefault="007C50E0" w:rsidP="007C50E0">
            <w:pPr>
              <w:pStyle w:val="TAN"/>
            </w:pPr>
            <w:r w:rsidRPr="000A0A5F">
              <w:t>NOTE 2:</w:t>
            </w:r>
            <w:r w:rsidRPr="000A0A5F">
              <w:tab/>
            </w:r>
            <w:r w:rsidR="00343D44" w:rsidRPr="000A0A5F">
              <w:t>Failure cases are described</w:t>
            </w:r>
            <w:r w:rsidRPr="000A0A5F">
              <w:t xml:space="preserve"> in clause 5.6.5.3.</w:t>
            </w:r>
          </w:p>
        </w:tc>
      </w:tr>
    </w:tbl>
    <w:p w:rsidR="00CB0DD7" w:rsidRPr="000A0A5F" w:rsidRDefault="00CB0DD7"/>
    <w:p w:rsidR="00CB0DD7" w:rsidRPr="000A0A5F" w:rsidRDefault="002E466A">
      <w:pPr>
        <w:pStyle w:val="TH"/>
      </w:pPr>
      <w:r w:rsidRPr="000A0A5F">
        <w:t>Table </w:t>
      </w:r>
      <w:r w:rsidR="00CB0DD7" w:rsidRPr="000A0A5F">
        <w:t>5.</w:t>
      </w:r>
      <w:r w:rsidR="00CB0DD7" w:rsidRPr="000A0A5F">
        <w:rPr>
          <w:rFonts w:hint="eastAsia"/>
          <w:lang w:eastAsia="zh-CN"/>
        </w:rPr>
        <w:t>6</w:t>
      </w:r>
      <w:r w:rsidR="00CB0DD7" w:rsidRPr="000A0A5F">
        <w:t>.</w:t>
      </w:r>
      <w:r w:rsidR="00CB0DD7" w:rsidRPr="000A0A5F">
        <w:rPr>
          <w:rFonts w:hint="eastAsia"/>
          <w:lang w:eastAsia="zh-CN"/>
        </w:rPr>
        <w:t>3</w:t>
      </w:r>
      <w:r w:rsidR="00CB0DD7" w:rsidRPr="000A0A5F">
        <w:t>.</w:t>
      </w:r>
      <w:r w:rsidR="00CB0DD7" w:rsidRPr="000A0A5F">
        <w:rPr>
          <w:rFonts w:hint="eastAsia"/>
          <w:lang w:eastAsia="zh-CN"/>
        </w:rPr>
        <w:t>5</w:t>
      </w:r>
      <w:r w:rsidR="00CB0DD7" w:rsidRPr="000A0A5F">
        <w:t>.3.</w:t>
      </w:r>
      <w:r w:rsidR="00CB0DD7" w:rsidRPr="000A0A5F">
        <w:rPr>
          <w:rFonts w:hint="eastAsia"/>
          <w:lang w:eastAsia="zh-CN"/>
        </w:rPr>
        <w:t>2</w:t>
      </w:r>
      <w:r w:rsidR="00CB0DD7" w:rsidRPr="000A0A5F">
        <w:t>-2: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2E466A">
      <w:pPr>
        <w:pStyle w:val="TH"/>
      </w:pPr>
      <w:r w:rsidRPr="000A0A5F">
        <w:t>Table </w:t>
      </w:r>
      <w:r w:rsidR="00CB0DD7" w:rsidRPr="000A0A5F">
        <w:t>5.</w:t>
      </w:r>
      <w:r w:rsidR="00CB0DD7" w:rsidRPr="000A0A5F">
        <w:rPr>
          <w:rFonts w:hint="eastAsia"/>
          <w:lang w:eastAsia="zh-CN"/>
        </w:rPr>
        <w:t>6</w:t>
      </w:r>
      <w:r w:rsidR="00CB0DD7" w:rsidRPr="000A0A5F">
        <w:t>.</w:t>
      </w:r>
      <w:r w:rsidR="00CB0DD7" w:rsidRPr="000A0A5F">
        <w:rPr>
          <w:rFonts w:hint="eastAsia"/>
          <w:lang w:eastAsia="zh-CN"/>
        </w:rPr>
        <w:t>3</w:t>
      </w:r>
      <w:r w:rsidR="00CB0DD7" w:rsidRPr="000A0A5F">
        <w:t>.</w:t>
      </w:r>
      <w:r w:rsidR="00CB0DD7" w:rsidRPr="000A0A5F">
        <w:rPr>
          <w:rFonts w:hint="eastAsia"/>
          <w:lang w:eastAsia="zh-CN"/>
        </w:rPr>
        <w:t>5</w:t>
      </w:r>
      <w:r w:rsidR="00CB0DD7" w:rsidRPr="000A0A5F">
        <w:t>.3.</w:t>
      </w:r>
      <w:r w:rsidR="00CB0DD7" w:rsidRPr="000A0A5F">
        <w:rPr>
          <w:rFonts w:hint="eastAsia"/>
          <w:lang w:eastAsia="zh-CN"/>
        </w:rPr>
        <w:t>2</w:t>
      </w:r>
      <w:r w:rsidR="00CB0DD7" w:rsidRPr="000A0A5F">
        <w:t>-3: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CB0DD7">
      <w:pPr>
        <w:pStyle w:val="Heading6"/>
      </w:pPr>
      <w:bookmarkStart w:id="4243" w:name="_Toc11247494"/>
      <w:bookmarkStart w:id="4244" w:name="_Toc27044618"/>
      <w:bookmarkStart w:id="4245" w:name="_Toc36033660"/>
      <w:bookmarkStart w:id="4246" w:name="_Toc45131797"/>
      <w:bookmarkStart w:id="4247" w:name="_Toc49776082"/>
      <w:bookmarkStart w:id="4248" w:name="_Toc51747002"/>
      <w:bookmarkStart w:id="4249" w:name="_Toc66360557"/>
      <w:bookmarkStart w:id="4250" w:name="_Toc68105062"/>
      <w:bookmarkStart w:id="4251" w:name="_Toc74755692"/>
      <w:bookmarkStart w:id="4252" w:name="_Toc105674566"/>
      <w:bookmarkStart w:id="4253" w:name="_Toc130502614"/>
      <w:bookmarkStart w:id="4254" w:name="_Toc153625401"/>
      <w:r w:rsidRPr="000A0A5F">
        <w:t>5.6.3.5.3.3</w:t>
      </w:r>
      <w:r w:rsidRPr="000A0A5F">
        <w:tab/>
        <w:t>PATCH</w:t>
      </w:r>
      <w:bookmarkEnd w:id="4243"/>
      <w:bookmarkEnd w:id="4244"/>
      <w:bookmarkEnd w:id="4245"/>
      <w:bookmarkEnd w:id="4246"/>
      <w:bookmarkEnd w:id="4247"/>
      <w:bookmarkEnd w:id="4248"/>
      <w:bookmarkEnd w:id="4249"/>
      <w:bookmarkEnd w:id="4250"/>
      <w:bookmarkEnd w:id="4251"/>
      <w:bookmarkEnd w:id="4252"/>
      <w:bookmarkEnd w:id="4253"/>
      <w:bookmarkEnd w:id="4254"/>
    </w:p>
    <w:p w:rsidR="00BD3D12" w:rsidRPr="000A0A5F" w:rsidRDefault="00BD3D12" w:rsidP="00BD3D12">
      <w:pPr>
        <w:rPr>
          <w:lang w:eastAsia="zh-CN"/>
        </w:rPr>
      </w:pPr>
      <w:bookmarkStart w:id="4255" w:name="_Toc11247495"/>
      <w:bookmarkStart w:id="4256" w:name="_Toc27044619"/>
      <w:bookmarkStart w:id="4257" w:name="_Toc36033661"/>
      <w:bookmarkStart w:id="4258" w:name="_Toc45131798"/>
      <w:bookmarkStart w:id="4259" w:name="_Toc49776083"/>
      <w:bookmarkStart w:id="4260" w:name="_Toc51747003"/>
      <w:bookmarkStart w:id="4261" w:name="_Toc66360558"/>
      <w:bookmarkStart w:id="4262" w:name="_Toc68105063"/>
      <w:bookmarkStart w:id="4263" w:name="_Toc74755693"/>
      <w:r w:rsidRPr="000A0A5F">
        <w:t xml:space="preserve">If the "PatchUpdate" feature defined in clause 5.7.4 is supported, to partially </w:t>
      </w:r>
      <w:r w:rsidRPr="000A0A5F">
        <w:rPr>
          <w:lang w:eastAsia="zh-CN"/>
        </w:rPr>
        <w:t>modify</w:t>
      </w:r>
      <w:r w:rsidRPr="000A0A5F">
        <w:rPr>
          <w:rFonts w:hint="eastAsia"/>
          <w:lang w:eastAsia="zh-CN"/>
        </w:rPr>
        <w:t xml:space="preserve"> the buffered downlink non-IP data</w:t>
      </w:r>
      <w:r w:rsidRPr="000A0A5F">
        <w:t xml:space="preserve">, the </w:t>
      </w:r>
      <w:r w:rsidRPr="000A0A5F">
        <w:rPr>
          <w:rFonts w:hint="eastAsia"/>
          <w:lang w:eastAsia="zh-CN"/>
        </w:rPr>
        <w:t xml:space="preserve">SCS/AS </w:t>
      </w:r>
      <w:r w:rsidRPr="000A0A5F">
        <w:t>shall use the HTTP PATCH method on the</w:t>
      </w:r>
      <w:r w:rsidR="004A276D" w:rsidRPr="000A0A5F">
        <w:t xml:space="preserve"> </w:t>
      </w:r>
      <w:r w:rsidRPr="000A0A5F">
        <w:t>"Individual NIDD downlink data</w:t>
      </w:r>
      <w:r w:rsidRPr="000A0A5F">
        <w:rPr>
          <w:rFonts w:hint="eastAsia"/>
          <w:lang w:eastAsia="zh-CN"/>
        </w:rPr>
        <w:t xml:space="preserve"> delivery</w:t>
      </w:r>
      <w:r w:rsidRPr="000A0A5F">
        <w:t>"</w:t>
      </w:r>
      <w:r w:rsidRPr="000A0A5F">
        <w:rPr>
          <w:rFonts w:hint="eastAsia"/>
          <w:lang w:eastAsia="zh-CN"/>
        </w:rPr>
        <w:t xml:space="preserve"> </w:t>
      </w:r>
      <w:r w:rsidRPr="000A0A5F">
        <w:t>resource with the body of the message encoded in JSON format</w:t>
      </w:r>
      <w:r w:rsidRPr="000A0A5F">
        <w:rPr>
          <w:rFonts w:hint="eastAsia"/>
          <w:lang w:eastAsia="zh-CN"/>
        </w:rPr>
        <w:t xml:space="preserve"> with the data structure defined in table</w:t>
      </w:r>
      <w:r w:rsidRPr="000A0A5F">
        <w:rPr>
          <w:lang w:val="en-US" w:eastAsia="zh-CN"/>
        </w:rPr>
        <w:t> </w:t>
      </w:r>
      <w:r w:rsidRPr="000A0A5F">
        <w:rPr>
          <w:rFonts w:hint="eastAsia"/>
          <w:lang w:eastAsia="zh-CN"/>
        </w:rPr>
        <w:t>5.6.2.1.</w:t>
      </w:r>
      <w:r w:rsidRPr="000A0A5F">
        <w:rPr>
          <w:lang w:eastAsia="zh-CN"/>
        </w:rPr>
        <w:t>11</w:t>
      </w:r>
      <w:r w:rsidRPr="000A0A5F">
        <w:rPr>
          <w:rFonts w:hint="eastAsia"/>
          <w:lang w:eastAsia="zh-CN"/>
        </w:rPr>
        <w:t>-1.</w:t>
      </w:r>
    </w:p>
    <w:p w:rsidR="00BD3D12" w:rsidRPr="000A0A5F" w:rsidRDefault="00BD3D12" w:rsidP="00BD3D12">
      <w:pPr>
        <w:rPr>
          <w:lang w:eastAsia="zh-CN"/>
        </w:rPr>
      </w:pPr>
      <w:r w:rsidRPr="000A0A5F">
        <w:t>The possible response messages from the</w:t>
      </w:r>
      <w:r w:rsidRPr="000A0A5F">
        <w:rPr>
          <w:rFonts w:hint="eastAsia"/>
          <w:lang w:eastAsia="zh-CN"/>
        </w:rPr>
        <w:t xml:space="preserve"> SCEF</w:t>
      </w:r>
      <w:r w:rsidRPr="000A0A5F">
        <w:t xml:space="preserve">, depending on whether the HTTP </w:t>
      </w:r>
      <w:r w:rsidRPr="000A0A5F">
        <w:rPr>
          <w:lang w:eastAsia="zh-CN"/>
        </w:rPr>
        <w:t>PATCH</w:t>
      </w:r>
      <w:r w:rsidRPr="000A0A5F">
        <w:t xml:space="preserve"> request is successful or unsuccessful, are shown in Table</w:t>
      </w:r>
      <w:r w:rsidRPr="000A0A5F">
        <w:rPr>
          <w:lang w:val="en-US" w:eastAsia="zh-CN"/>
        </w:rPr>
        <w:t> </w:t>
      </w:r>
      <w:r w:rsidRPr="000A0A5F">
        <w:rPr>
          <w:rFonts w:hint="eastAsia"/>
          <w:lang w:eastAsia="zh-CN"/>
        </w:rPr>
        <w:t>5.6.3.5.3.</w:t>
      </w:r>
      <w:r w:rsidRPr="000A0A5F">
        <w:rPr>
          <w:lang w:eastAsia="zh-CN"/>
        </w:rPr>
        <w:t>3</w:t>
      </w:r>
      <w:r w:rsidRPr="000A0A5F">
        <w:rPr>
          <w:rFonts w:hint="eastAsia"/>
          <w:lang w:eastAsia="zh-CN"/>
        </w:rPr>
        <w:t>-1.</w:t>
      </w:r>
    </w:p>
    <w:p w:rsidR="00BD3D12" w:rsidRPr="000A0A5F" w:rsidRDefault="00BD3D12" w:rsidP="00BD3D12">
      <w:pPr>
        <w:pStyle w:val="TH"/>
      </w:pPr>
      <w:r w:rsidRPr="000A0A5F">
        <w:t>Table 5.</w:t>
      </w:r>
      <w:r w:rsidRPr="000A0A5F">
        <w:rPr>
          <w:rFonts w:hint="eastAsia"/>
          <w:lang w:eastAsia="zh-CN"/>
        </w:rPr>
        <w:t>6</w:t>
      </w:r>
      <w:r w:rsidRPr="000A0A5F">
        <w:t>.</w:t>
      </w:r>
      <w:r w:rsidRPr="000A0A5F">
        <w:rPr>
          <w:rFonts w:hint="eastAsia"/>
          <w:lang w:eastAsia="zh-CN"/>
        </w:rPr>
        <w:t>3</w:t>
      </w:r>
      <w:r w:rsidRPr="000A0A5F">
        <w:t>.</w:t>
      </w:r>
      <w:r w:rsidRPr="000A0A5F">
        <w:rPr>
          <w:rFonts w:hint="eastAsia"/>
          <w:lang w:eastAsia="zh-CN"/>
        </w:rPr>
        <w:t>5</w:t>
      </w:r>
      <w:r w:rsidRPr="000A0A5F">
        <w:t>.3.3-</w:t>
      </w:r>
      <w:r w:rsidRPr="000A0A5F">
        <w:rPr>
          <w:rFonts w:hint="eastAsia"/>
          <w:lang w:eastAsia="zh-CN"/>
        </w:rPr>
        <w:t>1</w:t>
      </w:r>
      <w:r w:rsidRPr="000A0A5F">
        <w:t xml:space="preserve">: Data structures supported by the </w:t>
      </w:r>
      <w:r w:rsidRPr="000A0A5F">
        <w:rPr>
          <w:lang w:eastAsia="zh-CN"/>
        </w:rPr>
        <w:t>PATCH</w:t>
      </w:r>
      <w:r w:rsidRPr="000A0A5F">
        <w:t xml:space="preserve"> request/response by the resource</w:t>
      </w:r>
    </w:p>
    <w:tbl>
      <w:tblPr>
        <w:tblW w:w="4999" w:type="pct"/>
        <w:tblInd w:w="1" w:type="dxa"/>
        <w:tblBorders>
          <w:top w:val="single" w:sz="6" w:space="0" w:color="000000"/>
          <w:left w:val="single" w:sz="6" w:space="0" w:color="000000"/>
          <w:bottom w:val="single" w:sz="6" w:space="0" w:color="000000"/>
          <w:right w:val="single" w:sz="6" w:space="0" w:color="000000"/>
          <w:insideH w:val="single" w:sz="6" w:space="0" w:color="auto"/>
          <w:insideV w:val="single" w:sz="6" w:space="0" w:color="000000"/>
        </w:tblBorders>
        <w:tblLayout w:type="fixed"/>
        <w:tblCellMar>
          <w:top w:w="45" w:type="dxa"/>
          <w:left w:w="45" w:type="dxa"/>
          <w:bottom w:w="45" w:type="dxa"/>
          <w:right w:w="45" w:type="dxa"/>
        </w:tblCellMar>
        <w:tblLook w:val="0000" w:firstRow="0" w:lastRow="0" w:firstColumn="0" w:lastColumn="0" w:noHBand="0" w:noVBand="0"/>
      </w:tblPr>
      <w:tblGrid>
        <w:gridCol w:w="1035"/>
        <w:gridCol w:w="2127"/>
        <w:gridCol w:w="1053"/>
        <w:gridCol w:w="973"/>
        <w:gridCol w:w="4541"/>
      </w:tblGrid>
      <w:tr w:rsidR="00BD3D12" w:rsidRPr="000A0A5F" w:rsidTr="0086706F">
        <w:tc>
          <w:tcPr>
            <w:tcW w:w="532" w:type="pct"/>
            <w:vMerge w:val="restart"/>
            <w:shd w:val="clear" w:color="auto" w:fill="C0C0C0"/>
            <w:vAlign w:val="center"/>
          </w:tcPr>
          <w:p w:rsidR="00BD3D12" w:rsidRPr="000A0A5F" w:rsidRDefault="00BD3D12" w:rsidP="00B97EBD">
            <w:pPr>
              <w:pStyle w:val="TAH"/>
            </w:pPr>
            <w:r w:rsidRPr="000A0A5F">
              <w:t>Request body</w:t>
            </w:r>
          </w:p>
        </w:tc>
        <w:tc>
          <w:tcPr>
            <w:tcW w:w="1093" w:type="pct"/>
            <w:shd w:val="clear" w:color="auto" w:fill="C0C0C0"/>
          </w:tcPr>
          <w:p w:rsidR="00BD3D12" w:rsidRPr="000A0A5F" w:rsidRDefault="00BD3D12" w:rsidP="00B97EBD">
            <w:pPr>
              <w:pStyle w:val="TAH"/>
            </w:pPr>
            <w:r w:rsidRPr="000A0A5F">
              <w:t>Data type</w:t>
            </w:r>
          </w:p>
        </w:tc>
        <w:tc>
          <w:tcPr>
            <w:tcW w:w="541" w:type="pct"/>
            <w:shd w:val="clear" w:color="auto" w:fill="C0C0C0"/>
          </w:tcPr>
          <w:p w:rsidR="00BD3D12" w:rsidRPr="000A0A5F" w:rsidRDefault="00BD3D12" w:rsidP="00B97EBD">
            <w:pPr>
              <w:pStyle w:val="TAH"/>
            </w:pPr>
            <w:r w:rsidRPr="000A0A5F">
              <w:t>Cardinality</w:t>
            </w:r>
          </w:p>
        </w:tc>
        <w:tc>
          <w:tcPr>
            <w:tcW w:w="2834" w:type="pct"/>
            <w:gridSpan w:val="2"/>
            <w:shd w:val="clear" w:color="auto" w:fill="C0C0C0"/>
          </w:tcPr>
          <w:p w:rsidR="00BD3D12" w:rsidRPr="000A0A5F" w:rsidRDefault="00BD3D12" w:rsidP="00B97EBD">
            <w:pPr>
              <w:pStyle w:val="TAH"/>
            </w:pPr>
            <w:r w:rsidRPr="000A0A5F">
              <w:t>Remarks</w:t>
            </w:r>
          </w:p>
        </w:tc>
      </w:tr>
      <w:tr w:rsidR="00BD3D12" w:rsidRPr="000A0A5F" w:rsidTr="00FF0AF8">
        <w:tc>
          <w:tcPr>
            <w:tcW w:w="532" w:type="pct"/>
            <w:vMerge/>
            <w:shd w:val="clear" w:color="auto" w:fill="BFBFBF"/>
            <w:vAlign w:val="center"/>
          </w:tcPr>
          <w:p w:rsidR="00BD3D12" w:rsidRPr="000A0A5F" w:rsidRDefault="00BD3D12" w:rsidP="00B97EBD">
            <w:pPr>
              <w:pStyle w:val="TAL"/>
              <w:jc w:val="center"/>
            </w:pPr>
          </w:p>
        </w:tc>
        <w:tc>
          <w:tcPr>
            <w:tcW w:w="1093" w:type="pct"/>
            <w:shd w:val="clear" w:color="auto" w:fill="auto"/>
          </w:tcPr>
          <w:p w:rsidR="00BD3D12" w:rsidRPr="000A0A5F" w:rsidRDefault="00BD3D12" w:rsidP="00B97EBD">
            <w:pPr>
              <w:pStyle w:val="TAL"/>
              <w:rPr>
                <w:lang w:eastAsia="zh-CN"/>
              </w:rPr>
            </w:pPr>
            <w:r w:rsidRPr="000A0A5F">
              <w:t>NiddDownlinkDataTransferPatch</w:t>
            </w:r>
          </w:p>
        </w:tc>
        <w:tc>
          <w:tcPr>
            <w:tcW w:w="541" w:type="pct"/>
          </w:tcPr>
          <w:p w:rsidR="00BD3D12" w:rsidRPr="000A0A5F" w:rsidRDefault="00BD3D12" w:rsidP="00B97EBD">
            <w:pPr>
              <w:pStyle w:val="TAL"/>
            </w:pPr>
            <w:r w:rsidRPr="000A0A5F">
              <w:t>1</w:t>
            </w:r>
          </w:p>
        </w:tc>
        <w:tc>
          <w:tcPr>
            <w:tcW w:w="2834" w:type="pct"/>
            <w:gridSpan w:val="2"/>
          </w:tcPr>
          <w:p w:rsidR="00BD3D12" w:rsidRPr="000A0A5F" w:rsidRDefault="00BD3D12" w:rsidP="00B97EBD">
            <w:pPr>
              <w:pStyle w:val="TAL"/>
              <w:rPr>
                <w:lang w:eastAsia="zh-CN"/>
              </w:rPr>
            </w:pPr>
            <w:r w:rsidRPr="000A0A5F">
              <w:rPr>
                <w:rFonts w:hint="eastAsia"/>
                <w:lang w:eastAsia="zh-CN"/>
              </w:rPr>
              <w:t xml:space="preserve">The parameters </w:t>
            </w:r>
            <w:r w:rsidRPr="000A0A5F">
              <w:rPr>
                <w:lang w:eastAsia="zh-CN"/>
              </w:rPr>
              <w:t>to modify an existing Individual NIDD downlink data delivery resource</w:t>
            </w:r>
            <w:r w:rsidRPr="000A0A5F">
              <w:rPr>
                <w:rFonts w:hint="eastAsia"/>
                <w:lang w:eastAsia="zh-CN"/>
              </w:rPr>
              <w:t>.</w:t>
            </w:r>
          </w:p>
        </w:tc>
      </w:tr>
      <w:tr w:rsidR="004A276D" w:rsidRPr="000A0A5F" w:rsidTr="0086706F">
        <w:tc>
          <w:tcPr>
            <w:tcW w:w="532" w:type="pct"/>
            <w:vMerge w:val="restart"/>
            <w:shd w:val="clear" w:color="auto" w:fill="C0C0C0"/>
            <w:vAlign w:val="center"/>
          </w:tcPr>
          <w:p w:rsidR="004A276D" w:rsidRPr="000A0A5F" w:rsidRDefault="004A276D" w:rsidP="00B97EBD">
            <w:pPr>
              <w:pStyle w:val="TAH"/>
            </w:pPr>
            <w:r w:rsidRPr="000A0A5F">
              <w:t>Response body</w:t>
            </w:r>
          </w:p>
        </w:tc>
        <w:tc>
          <w:tcPr>
            <w:tcW w:w="1093" w:type="pct"/>
            <w:shd w:val="clear" w:color="auto" w:fill="C0C0C0"/>
          </w:tcPr>
          <w:p w:rsidR="004A276D" w:rsidRPr="000A0A5F" w:rsidRDefault="004A276D" w:rsidP="00B97EBD">
            <w:pPr>
              <w:pStyle w:val="TAH"/>
            </w:pPr>
            <w:r w:rsidRPr="000A0A5F">
              <w:t>Data type</w:t>
            </w:r>
          </w:p>
        </w:tc>
        <w:tc>
          <w:tcPr>
            <w:tcW w:w="541" w:type="pct"/>
            <w:shd w:val="clear" w:color="auto" w:fill="C0C0C0"/>
          </w:tcPr>
          <w:p w:rsidR="004A276D" w:rsidRPr="000A0A5F" w:rsidRDefault="004A276D" w:rsidP="00B97EBD">
            <w:pPr>
              <w:pStyle w:val="TAH"/>
            </w:pPr>
            <w:r w:rsidRPr="000A0A5F">
              <w:t>Cardinality</w:t>
            </w:r>
          </w:p>
        </w:tc>
        <w:tc>
          <w:tcPr>
            <w:tcW w:w="500" w:type="pct"/>
            <w:shd w:val="clear" w:color="auto" w:fill="C0C0C0"/>
          </w:tcPr>
          <w:p w:rsidR="004A276D" w:rsidRPr="000A0A5F" w:rsidRDefault="004A276D" w:rsidP="00B97EBD">
            <w:pPr>
              <w:pStyle w:val="TAH"/>
            </w:pPr>
            <w:r w:rsidRPr="000A0A5F">
              <w:t>Response</w:t>
            </w:r>
          </w:p>
          <w:p w:rsidR="004A276D" w:rsidRPr="000A0A5F" w:rsidRDefault="004A276D" w:rsidP="00B97EBD">
            <w:pPr>
              <w:pStyle w:val="TAH"/>
            </w:pPr>
            <w:r w:rsidRPr="000A0A5F">
              <w:t>codes</w:t>
            </w:r>
          </w:p>
        </w:tc>
        <w:tc>
          <w:tcPr>
            <w:tcW w:w="2334" w:type="pct"/>
            <w:shd w:val="clear" w:color="auto" w:fill="C0C0C0"/>
          </w:tcPr>
          <w:p w:rsidR="004A276D" w:rsidRPr="000A0A5F" w:rsidRDefault="004A276D" w:rsidP="00B97EBD">
            <w:pPr>
              <w:pStyle w:val="TAH"/>
            </w:pPr>
            <w:r w:rsidRPr="000A0A5F">
              <w:t>Remarks</w:t>
            </w:r>
          </w:p>
        </w:tc>
      </w:tr>
      <w:tr w:rsidR="004A276D" w:rsidRPr="000A0A5F" w:rsidTr="004A276D">
        <w:tc>
          <w:tcPr>
            <w:tcW w:w="532" w:type="pct"/>
            <w:vMerge/>
            <w:shd w:val="clear" w:color="auto" w:fill="C0C0C0"/>
            <w:vAlign w:val="center"/>
          </w:tcPr>
          <w:p w:rsidR="004A276D" w:rsidRPr="000A0A5F" w:rsidRDefault="004A276D" w:rsidP="00B97EBD">
            <w:pPr>
              <w:pStyle w:val="TAL"/>
              <w:jc w:val="center"/>
            </w:pPr>
          </w:p>
        </w:tc>
        <w:tc>
          <w:tcPr>
            <w:tcW w:w="1093" w:type="pct"/>
            <w:shd w:val="clear" w:color="auto" w:fill="auto"/>
          </w:tcPr>
          <w:p w:rsidR="004A276D" w:rsidRPr="000A0A5F" w:rsidRDefault="004A276D" w:rsidP="00B97EBD">
            <w:pPr>
              <w:pStyle w:val="TAL"/>
              <w:rPr>
                <w:lang w:eastAsia="zh-CN"/>
              </w:rPr>
            </w:pPr>
            <w:r w:rsidRPr="000A0A5F">
              <w:t>NiddDownlinkDataTransfer</w:t>
            </w:r>
          </w:p>
        </w:tc>
        <w:tc>
          <w:tcPr>
            <w:tcW w:w="541" w:type="pct"/>
          </w:tcPr>
          <w:p w:rsidR="004A276D" w:rsidRPr="000A0A5F" w:rsidRDefault="004A276D" w:rsidP="00B97EBD">
            <w:pPr>
              <w:pStyle w:val="TAL"/>
              <w:rPr>
                <w:lang w:eastAsia="zh-CN"/>
              </w:rPr>
            </w:pPr>
            <w:r w:rsidRPr="000A0A5F">
              <w:rPr>
                <w:rFonts w:hint="eastAsia"/>
                <w:lang w:eastAsia="zh-CN"/>
              </w:rPr>
              <w:t>1</w:t>
            </w:r>
          </w:p>
        </w:tc>
        <w:tc>
          <w:tcPr>
            <w:tcW w:w="500" w:type="pct"/>
          </w:tcPr>
          <w:p w:rsidR="004A276D" w:rsidRPr="000A0A5F" w:rsidRDefault="004A276D" w:rsidP="00B97EBD">
            <w:pPr>
              <w:pStyle w:val="TAL"/>
              <w:rPr>
                <w:lang w:eastAsia="zh-CN"/>
              </w:rPr>
            </w:pPr>
            <w:r w:rsidRPr="000A0A5F">
              <w:rPr>
                <w:rFonts w:hint="eastAsia"/>
                <w:lang w:eastAsia="zh-CN"/>
              </w:rPr>
              <w:t>20</w:t>
            </w:r>
            <w:r w:rsidRPr="000A0A5F">
              <w:rPr>
                <w:lang w:eastAsia="zh-CN"/>
              </w:rPr>
              <w:t>0</w:t>
            </w:r>
            <w:r w:rsidRPr="000A0A5F">
              <w:rPr>
                <w:rFonts w:hint="eastAsia"/>
                <w:lang w:eastAsia="zh-CN"/>
              </w:rPr>
              <w:t xml:space="preserve"> </w:t>
            </w:r>
            <w:r w:rsidRPr="000A0A5F">
              <w:rPr>
                <w:lang w:eastAsia="zh-CN"/>
              </w:rPr>
              <w:t>OK</w:t>
            </w:r>
          </w:p>
        </w:tc>
        <w:tc>
          <w:tcPr>
            <w:tcW w:w="2334" w:type="pct"/>
          </w:tcPr>
          <w:p w:rsidR="004A276D" w:rsidRPr="000A0A5F" w:rsidRDefault="004A276D" w:rsidP="00B97EBD">
            <w:pPr>
              <w:pStyle w:val="TAL"/>
              <w:rPr>
                <w:lang w:eastAsia="zh-CN"/>
              </w:rPr>
            </w:pPr>
            <w:r w:rsidRPr="000A0A5F">
              <w:rPr>
                <w:rFonts w:hint="eastAsia"/>
                <w:lang w:eastAsia="zh-CN"/>
              </w:rPr>
              <w:t xml:space="preserve">The </w:t>
            </w:r>
            <w:r w:rsidRPr="000A0A5F">
              <w:rPr>
                <w:lang w:eastAsia="zh-CN"/>
              </w:rPr>
              <w:t xml:space="preserve">modification of the Individual </w:t>
            </w:r>
            <w:r w:rsidRPr="000A0A5F">
              <w:rPr>
                <w:rFonts w:hint="eastAsia"/>
                <w:lang w:eastAsia="zh-CN"/>
              </w:rPr>
              <w:t xml:space="preserve">NIDD downlink data delivery </w:t>
            </w:r>
            <w:r w:rsidRPr="000A0A5F">
              <w:rPr>
                <w:lang w:eastAsia="zh-CN"/>
              </w:rPr>
              <w:t>resource was</w:t>
            </w:r>
            <w:r w:rsidRPr="000A0A5F">
              <w:rPr>
                <w:rFonts w:hint="eastAsia"/>
                <w:lang w:eastAsia="zh-CN"/>
              </w:rPr>
              <w:t xml:space="preserve"> </w:t>
            </w:r>
            <w:r w:rsidRPr="000A0A5F">
              <w:rPr>
                <w:lang w:eastAsia="zh-CN"/>
              </w:rPr>
              <w:t>successful</w:t>
            </w:r>
            <w:r w:rsidRPr="000A0A5F">
              <w:rPr>
                <w:rFonts w:hint="eastAsia"/>
                <w:lang w:eastAsia="zh-CN"/>
              </w:rPr>
              <w:t>.</w:t>
            </w:r>
          </w:p>
          <w:p w:rsidR="004A276D" w:rsidRPr="000A0A5F" w:rsidRDefault="004A276D" w:rsidP="00B97EBD">
            <w:pPr>
              <w:pStyle w:val="TAL"/>
              <w:rPr>
                <w:lang w:eastAsia="zh-CN"/>
              </w:rPr>
            </w:pPr>
          </w:p>
          <w:p w:rsidR="004A276D" w:rsidRPr="000A0A5F" w:rsidRDefault="004A276D" w:rsidP="00B97EBD">
            <w:pPr>
              <w:pStyle w:val="TAL"/>
              <w:rPr>
                <w:lang w:eastAsia="zh-CN"/>
              </w:rPr>
            </w:pPr>
            <w:r w:rsidRPr="000A0A5F">
              <w:t xml:space="preserve">The SCEF </w:t>
            </w:r>
            <w:r w:rsidRPr="000A0A5F">
              <w:rPr>
                <w:rFonts w:hint="eastAsia"/>
                <w:lang w:eastAsia="zh-CN"/>
              </w:rPr>
              <w:t>shall</w:t>
            </w:r>
            <w:r w:rsidRPr="000A0A5F">
              <w:t xml:space="preserve"> return an updated representation of the resource within the NiddDownlinkDataTransfer data structure in the response message body.</w:t>
            </w:r>
          </w:p>
        </w:tc>
      </w:tr>
      <w:tr w:rsidR="004A276D" w:rsidRPr="000A0A5F" w:rsidTr="004A276D">
        <w:tc>
          <w:tcPr>
            <w:tcW w:w="532" w:type="pct"/>
            <w:vMerge/>
            <w:shd w:val="clear" w:color="auto" w:fill="C0C0C0"/>
            <w:vAlign w:val="center"/>
          </w:tcPr>
          <w:p w:rsidR="004A276D" w:rsidRPr="000A0A5F" w:rsidRDefault="004A276D" w:rsidP="00B97EBD">
            <w:pPr>
              <w:pStyle w:val="TAL"/>
              <w:jc w:val="center"/>
            </w:pPr>
          </w:p>
        </w:tc>
        <w:tc>
          <w:tcPr>
            <w:tcW w:w="1093" w:type="pct"/>
            <w:shd w:val="clear" w:color="auto" w:fill="auto"/>
          </w:tcPr>
          <w:p w:rsidR="004A276D" w:rsidRPr="000A0A5F" w:rsidRDefault="004A276D" w:rsidP="00B97EBD">
            <w:pPr>
              <w:pStyle w:val="TAL"/>
            </w:pPr>
            <w:r w:rsidRPr="000A0A5F">
              <w:rPr>
                <w:lang w:eastAsia="zh-CN"/>
              </w:rPr>
              <w:t>n/a</w:t>
            </w:r>
          </w:p>
        </w:tc>
        <w:tc>
          <w:tcPr>
            <w:tcW w:w="541" w:type="pct"/>
          </w:tcPr>
          <w:p w:rsidR="004A276D" w:rsidRPr="000A0A5F" w:rsidRDefault="004A276D" w:rsidP="00B97EBD">
            <w:pPr>
              <w:pStyle w:val="TAL"/>
              <w:rPr>
                <w:lang w:eastAsia="zh-CN"/>
              </w:rPr>
            </w:pPr>
          </w:p>
        </w:tc>
        <w:tc>
          <w:tcPr>
            <w:tcW w:w="500" w:type="pct"/>
          </w:tcPr>
          <w:p w:rsidR="004A276D" w:rsidRPr="000A0A5F" w:rsidRDefault="004A276D" w:rsidP="00B97EBD">
            <w:pPr>
              <w:pStyle w:val="TAL"/>
              <w:rPr>
                <w:lang w:eastAsia="zh-CN"/>
              </w:rPr>
            </w:pPr>
            <w:r w:rsidRPr="000A0A5F">
              <w:rPr>
                <w:lang w:eastAsia="zh-CN"/>
              </w:rPr>
              <w:t>204 No Content</w:t>
            </w:r>
          </w:p>
        </w:tc>
        <w:tc>
          <w:tcPr>
            <w:tcW w:w="2334" w:type="pct"/>
          </w:tcPr>
          <w:p w:rsidR="004A276D" w:rsidRPr="000A0A5F" w:rsidRDefault="004A276D" w:rsidP="00B97EBD">
            <w:pPr>
              <w:pStyle w:val="TAL"/>
              <w:rPr>
                <w:lang w:eastAsia="zh-CN"/>
              </w:rPr>
            </w:pPr>
            <w:r w:rsidRPr="000A0A5F">
              <w:rPr>
                <w:lang w:eastAsia="zh-CN"/>
              </w:rPr>
              <w:t>The modification of the Individual NIDD downlink data delivery resource was successful</w:t>
            </w:r>
            <w:r w:rsidRPr="000A0A5F">
              <w:t xml:space="preserve"> </w:t>
            </w:r>
            <w:r w:rsidRPr="000A0A5F">
              <w:rPr>
                <w:lang w:eastAsia="zh-CN"/>
              </w:rPr>
              <w:t>and no content is to be sent in the response message body.</w:t>
            </w:r>
          </w:p>
        </w:tc>
      </w:tr>
      <w:tr w:rsidR="004A276D" w:rsidRPr="000A0A5F" w:rsidTr="004A276D">
        <w:tc>
          <w:tcPr>
            <w:tcW w:w="532" w:type="pct"/>
            <w:vMerge/>
            <w:shd w:val="clear" w:color="auto" w:fill="C0C0C0"/>
            <w:vAlign w:val="center"/>
          </w:tcPr>
          <w:p w:rsidR="004A276D" w:rsidRPr="000A0A5F" w:rsidRDefault="004A276D" w:rsidP="004A276D">
            <w:pPr>
              <w:pStyle w:val="TAL"/>
              <w:jc w:val="center"/>
            </w:pPr>
          </w:p>
        </w:tc>
        <w:tc>
          <w:tcPr>
            <w:tcW w:w="1093" w:type="pct"/>
            <w:shd w:val="clear" w:color="auto" w:fill="auto"/>
          </w:tcPr>
          <w:p w:rsidR="004A276D" w:rsidRPr="000A0A5F" w:rsidRDefault="004A276D" w:rsidP="004A276D">
            <w:pPr>
              <w:pStyle w:val="TAL"/>
              <w:rPr>
                <w:lang w:eastAsia="zh-CN"/>
              </w:rPr>
            </w:pPr>
            <w:r w:rsidRPr="000A0A5F">
              <w:rPr>
                <w:lang w:eastAsia="zh-CN"/>
              </w:rPr>
              <w:t>n/a</w:t>
            </w:r>
          </w:p>
        </w:tc>
        <w:tc>
          <w:tcPr>
            <w:tcW w:w="541" w:type="pct"/>
          </w:tcPr>
          <w:p w:rsidR="004A276D" w:rsidRPr="000A0A5F" w:rsidRDefault="004A276D" w:rsidP="004A276D">
            <w:pPr>
              <w:pStyle w:val="TAL"/>
              <w:rPr>
                <w:lang w:eastAsia="zh-CN"/>
              </w:rPr>
            </w:pPr>
          </w:p>
        </w:tc>
        <w:tc>
          <w:tcPr>
            <w:tcW w:w="500" w:type="pct"/>
          </w:tcPr>
          <w:p w:rsidR="004A276D" w:rsidRPr="000A0A5F" w:rsidRDefault="004A276D" w:rsidP="004A276D">
            <w:pPr>
              <w:pStyle w:val="TAL"/>
              <w:rPr>
                <w:lang w:eastAsia="zh-CN"/>
              </w:rPr>
            </w:pPr>
            <w:r w:rsidRPr="000A0A5F">
              <w:t>307 Temporary Redirect</w:t>
            </w:r>
          </w:p>
        </w:tc>
        <w:tc>
          <w:tcPr>
            <w:tcW w:w="2334" w:type="pct"/>
          </w:tcPr>
          <w:p w:rsidR="004A276D" w:rsidRPr="000A0A5F" w:rsidRDefault="004A276D" w:rsidP="004A276D">
            <w:pPr>
              <w:pStyle w:val="TAL"/>
            </w:pPr>
            <w:r w:rsidRPr="000A0A5F">
              <w:t>Temporary redirection. The response shall include a Location header field containing an alternative URI of the resource located in an alternative SCEF.</w:t>
            </w:r>
          </w:p>
          <w:p w:rsidR="004A276D" w:rsidRPr="000A0A5F" w:rsidRDefault="004A276D" w:rsidP="004A276D">
            <w:pPr>
              <w:pStyle w:val="TAL"/>
            </w:pPr>
          </w:p>
          <w:p w:rsidR="004A276D" w:rsidRPr="000A0A5F" w:rsidRDefault="004A276D" w:rsidP="004A276D">
            <w:pPr>
              <w:pStyle w:val="TAL"/>
              <w:rPr>
                <w:lang w:eastAsia="zh-CN"/>
              </w:rPr>
            </w:pPr>
            <w:r w:rsidRPr="000A0A5F">
              <w:t>Redirection handling is described in clause 5.2.10.</w:t>
            </w:r>
          </w:p>
        </w:tc>
      </w:tr>
      <w:tr w:rsidR="004A276D" w:rsidRPr="000A0A5F" w:rsidTr="004A276D">
        <w:tc>
          <w:tcPr>
            <w:tcW w:w="532" w:type="pct"/>
            <w:vMerge/>
            <w:shd w:val="clear" w:color="auto" w:fill="C0C0C0"/>
            <w:vAlign w:val="center"/>
          </w:tcPr>
          <w:p w:rsidR="004A276D" w:rsidRPr="000A0A5F" w:rsidRDefault="004A276D" w:rsidP="004A276D">
            <w:pPr>
              <w:pStyle w:val="TAL"/>
              <w:jc w:val="center"/>
            </w:pPr>
          </w:p>
        </w:tc>
        <w:tc>
          <w:tcPr>
            <w:tcW w:w="1093" w:type="pct"/>
            <w:shd w:val="clear" w:color="auto" w:fill="auto"/>
          </w:tcPr>
          <w:p w:rsidR="004A276D" w:rsidRPr="000A0A5F" w:rsidRDefault="004A276D" w:rsidP="004A276D">
            <w:pPr>
              <w:pStyle w:val="TAL"/>
              <w:rPr>
                <w:lang w:eastAsia="zh-CN"/>
              </w:rPr>
            </w:pPr>
            <w:r w:rsidRPr="000A0A5F">
              <w:rPr>
                <w:lang w:eastAsia="zh-CN"/>
              </w:rPr>
              <w:t>n/a</w:t>
            </w:r>
          </w:p>
        </w:tc>
        <w:tc>
          <w:tcPr>
            <w:tcW w:w="541" w:type="pct"/>
          </w:tcPr>
          <w:p w:rsidR="004A276D" w:rsidRPr="000A0A5F" w:rsidRDefault="004A276D" w:rsidP="004A276D">
            <w:pPr>
              <w:pStyle w:val="TAL"/>
              <w:rPr>
                <w:lang w:eastAsia="zh-CN"/>
              </w:rPr>
            </w:pPr>
          </w:p>
        </w:tc>
        <w:tc>
          <w:tcPr>
            <w:tcW w:w="500" w:type="pct"/>
          </w:tcPr>
          <w:p w:rsidR="004A276D" w:rsidRPr="000A0A5F" w:rsidRDefault="004A276D" w:rsidP="004A276D">
            <w:pPr>
              <w:pStyle w:val="TAL"/>
              <w:rPr>
                <w:lang w:eastAsia="zh-CN"/>
              </w:rPr>
            </w:pPr>
            <w:r w:rsidRPr="000A0A5F">
              <w:t>308 Permanent Redirect</w:t>
            </w:r>
          </w:p>
        </w:tc>
        <w:tc>
          <w:tcPr>
            <w:tcW w:w="2334" w:type="pct"/>
          </w:tcPr>
          <w:p w:rsidR="004A276D" w:rsidRPr="000A0A5F" w:rsidRDefault="004A276D" w:rsidP="004A276D">
            <w:pPr>
              <w:pStyle w:val="TAL"/>
            </w:pPr>
            <w:r w:rsidRPr="000A0A5F">
              <w:t>Permanent redirection. The response shall include a Location header field containing an alternative URI of the resource located in an alternative SCEF.</w:t>
            </w:r>
          </w:p>
          <w:p w:rsidR="004A276D" w:rsidRPr="000A0A5F" w:rsidRDefault="004A276D" w:rsidP="004A276D">
            <w:pPr>
              <w:pStyle w:val="TAL"/>
            </w:pPr>
          </w:p>
          <w:p w:rsidR="004A276D" w:rsidRPr="000A0A5F" w:rsidRDefault="004A276D" w:rsidP="004A276D">
            <w:pPr>
              <w:pStyle w:val="TAL"/>
              <w:rPr>
                <w:lang w:eastAsia="zh-CN"/>
              </w:rPr>
            </w:pPr>
            <w:r w:rsidRPr="000A0A5F">
              <w:t>Redirection handling is described in clause 5.2.10.</w:t>
            </w:r>
          </w:p>
        </w:tc>
      </w:tr>
      <w:tr w:rsidR="004A276D" w:rsidRPr="000A0A5F" w:rsidTr="004A276D">
        <w:tc>
          <w:tcPr>
            <w:tcW w:w="532" w:type="pct"/>
            <w:vMerge/>
            <w:shd w:val="clear" w:color="auto" w:fill="C0C0C0"/>
            <w:vAlign w:val="center"/>
          </w:tcPr>
          <w:p w:rsidR="004A276D" w:rsidRPr="000A0A5F" w:rsidRDefault="004A276D" w:rsidP="004A276D">
            <w:pPr>
              <w:pStyle w:val="TAL"/>
              <w:jc w:val="center"/>
            </w:pPr>
          </w:p>
        </w:tc>
        <w:tc>
          <w:tcPr>
            <w:tcW w:w="1093" w:type="pct"/>
            <w:shd w:val="clear" w:color="auto" w:fill="auto"/>
          </w:tcPr>
          <w:p w:rsidR="004A276D" w:rsidRPr="000A0A5F" w:rsidRDefault="004A276D" w:rsidP="004A276D">
            <w:pPr>
              <w:pStyle w:val="TAL"/>
            </w:pPr>
            <w:r w:rsidRPr="000A0A5F">
              <w:t>ProblemDetails</w:t>
            </w:r>
          </w:p>
        </w:tc>
        <w:tc>
          <w:tcPr>
            <w:tcW w:w="541" w:type="pct"/>
          </w:tcPr>
          <w:p w:rsidR="004A276D" w:rsidRPr="000A0A5F" w:rsidRDefault="004A276D" w:rsidP="004A276D">
            <w:pPr>
              <w:pStyle w:val="TAL"/>
              <w:rPr>
                <w:lang w:eastAsia="zh-CN"/>
              </w:rPr>
            </w:pPr>
            <w:r w:rsidRPr="000A0A5F">
              <w:t>0..1</w:t>
            </w:r>
          </w:p>
        </w:tc>
        <w:tc>
          <w:tcPr>
            <w:tcW w:w="500" w:type="pct"/>
          </w:tcPr>
          <w:p w:rsidR="004A276D" w:rsidRPr="000A0A5F" w:rsidRDefault="004A276D" w:rsidP="004A276D">
            <w:pPr>
              <w:pStyle w:val="TAL"/>
              <w:rPr>
                <w:lang w:eastAsia="zh-CN"/>
              </w:rPr>
            </w:pPr>
            <w:r w:rsidRPr="000A0A5F">
              <w:rPr>
                <w:lang w:eastAsia="zh-CN"/>
              </w:rPr>
              <w:t>403 Forbidden</w:t>
            </w:r>
          </w:p>
        </w:tc>
        <w:tc>
          <w:tcPr>
            <w:tcW w:w="2334" w:type="pct"/>
          </w:tcPr>
          <w:p w:rsidR="004A276D" w:rsidRPr="000A0A5F" w:rsidRDefault="004A276D" w:rsidP="004A276D">
            <w:pPr>
              <w:pStyle w:val="TAL"/>
              <w:rPr>
                <w:lang w:eastAsia="zh-CN"/>
              </w:rPr>
            </w:pPr>
            <w:r w:rsidRPr="000A0A5F">
              <w:t>(NOTE 2)</w:t>
            </w:r>
          </w:p>
        </w:tc>
      </w:tr>
      <w:tr w:rsidR="004A276D" w:rsidRPr="000A0A5F" w:rsidTr="004A276D">
        <w:tc>
          <w:tcPr>
            <w:tcW w:w="532" w:type="pct"/>
            <w:vMerge/>
            <w:shd w:val="clear" w:color="auto" w:fill="C0C0C0"/>
            <w:vAlign w:val="center"/>
          </w:tcPr>
          <w:p w:rsidR="004A276D" w:rsidRPr="000A0A5F" w:rsidRDefault="004A276D" w:rsidP="004A276D">
            <w:pPr>
              <w:pStyle w:val="TAL"/>
              <w:jc w:val="center"/>
            </w:pPr>
          </w:p>
        </w:tc>
        <w:tc>
          <w:tcPr>
            <w:tcW w:w="1093" w:type="pct"/>
            <w:shd w:val="clear" w:color="auto" w:fill="auto"/>
          </w:tcPr>
          <w:p w:rsidR="004A276D" w:rsidRPr="000A0A5F" w:rsidRDefault="004A276D" w:rsidP="004A276D">
            <w:pPr>
              <w:pStyle w:val="TAL"/>
            </w:pPr>
            <w:r w:rsidRPr="000A0A5F">
              <w:t>ProblemDetails</w:t>
            </w:r>
          </w:p>
        </w:tc>
        <w:tc>
          <w:tcPr>
            <w:tcW w:w="541" w:type="pct"/>
          </w:tcPr>
          <w:p w:rsidR="004A276D" w:rsidRPr="000A0A5F" w:rsidRDefault="004A276D" w:rsidP="004A276D">
            <w:pPr>
              <w:pStyle w:val="TAL"/>
              <w:rPr>
                <w:lang w:eastAsia="zh-CN"/>
              </w:rPr>
            </w:pPr>
            <w:r w:rsidRPr="000A0A5F">
              <w:t>0..1</w:t>
            </w:r>
          </w:p>
        </w:tc>
        <w:tc>
          <w:tcPr>
            <w:tcW w:w="500" w:type="pct"/>
          </w:tcPr>
          <w:p w:rsidR="004A276D" w:rsidRPr="000A0A5F" w:rsidRDefault="004A276D" w:rsidP="004A276D">
            <w:pPr>
              <w:pStyle w:val="TAL"/>
              <w:rPr>
                <w:lang w:eastAsia="zh-CN"/>
              </w:rPr>
            </w:pPr>
            <w:r w:rsidRPr="000A0A5F">
              <w:rPr>
                <w:lang w:eastAsia="zh-CN"/>
              </w:rPr>
              <w:t>404 Not Found</w:t>
            </w:r>
          </w:p>
        </w:tc>
        <w:tc>
          <w:tcPr>
            <w:tcW w:w="2334" w:type="pct"/>
          </w:tcPr>
          <w:p w:rsidR="004A276D" w:rsidRPr="000A0A5F" w:rsidRDefault="004A276D" w:rsidP="004A276D">
            <w:pPr>
              <w:pStyle w:val="TAL"/>
              <w:rPr>
                <w:lang w:eastAsia="zh-CN"/>
              </w:rPr>
            </w:pPr>
            <w:r w:rsidRPr="000A0A5F">
              <w:t>(NOTE 2)</w:t>
            </w:r>
          </w:p>
        </w:tc>
      </w:tr>
      <w:tr w:rsidR="004A276D" w:rsidRPr="000A0A5F" w:rsidTr="004A276D">
        <w:tc>
          <w:tcPr>
            <w:tcW w:w="532" w:type="pct"/>
            <w:vMerge/>
            <w:shd w:val="clear" w:color="auto" w:fill="C0C0C0"/>
            <w:vAlign w:val="center"/>
          </w:tcPr>
          <w:p w:rsidR="004A276D" w:rsidRPr="000A0A5F" w:rsidRDefault="004A276D" w:rsidP="004A276D">
            <w:pPr>
              <w:pStyle w:val="TAL"/>
              <w:jc w:val="center"/>
            </w:pPr>
          </w:p>
        </w:tc>
        <w:tc>
          <w:tcPr>
            <w:tcW w:w="1093" w:type="pct"/>
            <w:shd w:val="clear" w:color="auto" w:fill="auto"/>
          </w:tcPr>
          <w:p w:rsidR="004A276D" w:rsidRPr="000A0A5F" w:rsidRDefault="004A276D" w:rsidP="004A276D">
            <w:pPr>
              <w:pStyle w:val="TAL"/>
            </w:pPr>
            <w:r w:rsidRPr="000A0A5F">
              <w:t>ProblemDetails</w:t>
            </w:r>
          </w:p>
        </w:tc>
        <w:tc>
          <w:tcPr>
            <w:tcW w:w="541" w:type="pct"/>
          </w:tcPr>
          <w:p w:rsidR="004A276D" w:rsidRPr="000A0A5F" w:rsidRDefault="004A276D" w:rsidP="004A276D">
            <w:pPr>
              <w:pStyle w:val="TAL"/>
              <w:rPr>
                <w:lang w:eastAsia="zh-CN"/>
              </w:rPr>
            </w:pPr>
            <w:r w:rsidRPr="000A0A5F">
              <w:t>0..1</w:t>
            </w:r>
          </w:p>
        </w:tc>
        <w:tc>
          <w:tcPr>
            <w:tcW w:w="500" w:type="pct"/>
          </w:tcPr>
          <w:p w:rsidR="004A276D" w:rsidRPr="000A0A5F" w:rsidRDefault="004A276D" w:rsidP="004A276D">
            <w:pPr>
              <w:pStyle w:val="TAL"/>
              <w:rPr>
                <w:lang w:eastAsia="zh-CN"/>
              </w:rPr>
            </w:pPr>
            <w:r w:rsidRPr="000A0A5F">
              <w:rPr>
                <w:lang w:eastAsia="zh-CN"/>
              </w:rPr>
              <w:t>409 Conflict</w:t>
            </w:r>
          </w:p>
        </w:tc>
        <w:tc>
          <w:tcPr>
            <w:tcW w:w="2334" w:type="pct"/>
          </w:tcPr>
          <w:p w:rsidR="004A276D" w:rsidRPr="000A0A5F" w:rsidRDefault="004A276D" w:rsidP="004A276D">
            <w:pPr>
              <w:pStyle w:val="TAL"/>
              <w:rPr>
                <w:lang w:eastAsia="zh-CN"/>
              </w:rPr>
            </w:pPr>
            <w:r w:rsidRPr="000A0A5F">
              <w:t>(NOTE 2)</w:t>
            </w:r>
          </w:p>
        </w:tc>
      </w:tr>
      <w:tr w:rsidR="004A276D" w:rsidRPr="000A0A5F" w:rsidTr="004A276D">
        <w:tc>
          <w:tcPr>
            <w:tcW w:w="532" w:type="pct"/>
            <w:vMerge/>
            <w:shd w:val="clear" w:color="auto" w:fill="C0C0C0"/>
            <w:vAlign w:val="center"/>
          </w:tcPr>
          <w:p w:rsidR="004A276D" w:rsidRPr="000A0A5F" w:rsidRDefault="004A276D" w:rsidP="004A276D">
            <w:pPr>
              <w:pStyle w:val="TAL"/>
              <w:jc w:val="center"/>
            </w:pPr>
          </w:p>
        </w:tc>
        <w:tc>
          <w:tcPr>
            <w:tcW w:w="1093" w:type="pct"/>
            <w:shd w:val="clear" w:color="auto" w:fill="auto"/>
          </w:tcPr>
          <w:p w:rsidR="004A276D" w:rsidRPr="000A0A5F" w:rsidRDefault="004A276D" w:rsidP="004A276D">
            <w:pPr>
              <w:pStyle w:val="TAL"/>
            </w:pPr>
            <w:r w:rsidRPr="000A0A5F">
              <w:t>NiddDownlinkDataDeliveryFailure</w:t>
            </w:r>
          </w:p>
        </w:tc>
        <w:tc>
          <w:tcPr>
            <w:tcW w:w="541" w:type="pct"/>
          </w:tcPr>
          <w:p w:rsidR="004A276D" w:rsidRPr="000A0A5F" w:rsidRDefault="004A276D" w:rsidP="004A276D">
            <w:pPr>
              <w:pStyle w:val="TAL"/>
              <w:rPr>
                <w:lang w:eastAsia="zh-CN"/>
              </w:rPr>
            </w:pPr>
            <w:r w:rsidRPr="000A0A5F">
              <w:rPr>
                <w:lang w:eastAsia="zh-CN"/>
              </w:rPr>
              <w:t>0..1</w:t>
            </w:r>
          </w:p>
        </w:tc>
        <w:tc>
          <w:tcPr>
            <w:tcW w:w="500" w:type="pct"/>
          </w:tcPr>
          <w:p w:rsidR="004A276D" w:rsidRPr="000A0A5F" w:rsidRDefault="004A276D" w:rsidP="004A276D">
            <w:pPr>
              <w:pStyle w:val="TAL"/>
              <w:rPr>
                <w:lang w:eastAsia="zh-CN"/>
              </w:rPr>
            </w:pPr>
            <w:r w:rsidRPr="000A0A5F">
              <w:rPr>
                <w:lang w:eastAsia="zh-CN"/>
              </w:rPr>
              <w:t>500 Internal Server Error</w:t>
            </w:r>
          </w:p>
        </w:tc>
        <w:tc>
          <w:tcPr>
            <w:tcW w:w="2334" w:type="pct"/>
          </w:tcPr>
          <w:p w:rsidR="004A276D" w:rsidRPr="000A0A5F" w:rsidRDefault="004A276D" w:rsidP="004A276D">
            <w:pPr>
              <w:pStyle w:val="TAL"/>
              <w:rPr>
                <w:lang w:eastAsia="zh-CN"/>
              </w:rPr>
            </w:pPr>
            <w:r w:rsidRPr="000A0A5F">
              <w:t>(NOTE 2)</w:t>
            </w:r>
          </w:p>
        </w:tc>
      </w:tr>
      <w:tr w:rsidR="004A276D" w:rsidRPr="000A0A5F" w:rsidTr="00FF0AF8">
        <w:tc>
          <w:tcPr>
            <w:tcW w:w="5000" w:type="pct"/>
            <w:gridSpan w:val="5"/>
            <w:shd w:val="clear" w:color="auto" w:fill="auto"/>
            <w:vAlign w:val="center"/>
          </w:tcPr>
          <w:p w:rsidR="004A276D" w:rsidRPr="000A0A5F" w:rsidRDefault="004A276D" w:rsidP="004A276D">
            <w:pPr>
              <w:pStyle w:val="TAN"/>
            </w:pPr>
            <w:r w:rsidRPr="000A0A5F">
              <w:t>NOTE 1:</w:t>
            </w:r>
            <w:r w:rsidRPr="000A0A5F">
              <w:tab/>
              <w:t>The mandatory HTTP error status codes for the HTTP PATCH method listed in table 5.2.6-1 also apply.</w:t>
            </w:r>
          </w:p>
          <w:p w:rsidR="004A276D" w:rsidRPr="000A0A5F" w:rsidRDefault="004A276D" w:rsidP="004A276D">
            <w:pPr>
              <w:pStyle w:val="TAN"/>
            </w:pPr>
            <w:r w:rsidRPr="000A0A5F">
              <w:t>NOTE 2:</w:t>
            </w:r>
            <w:r w:rsidRPr="000A0A5F">
              <w:tab/>
              <w:t>Failure cases are described in clause 5.6.5.3.</w:t>
            </w:r>
          </w:p>
        </w:tc>
      </w:tr>
    </w:tbl>
    <w:p w:rsidR="00BD3D12" w:rsidRPr="000A0A5F" w:rsidRDefault="00BD3D12" w:rsidP="00BD3D12"/>
    <w:p w:rsidR="00BD3D12" w:rsidRPr="000A0A5F" w:rsidRDefault="002E466A" w:rsidP="00BD3D12">
      <w:pPr>
        <w:pStyle w:val="TH"/>
      </w:pPr>
      <w:r w:rsidRPr="000A0A5F">
        <w:t>Table </w:t>
      </w:r>
      <w:r w:rsidR="00BD3D12" w:rsidRPr="000A0A5F">
        <w:t>5.</w:t>
      </w:r>
      <w:r w:rsidR="00BD3D12" w:rsidRPr="000A0A5F">
        <w:rPr>
          <w:rFonts w:hint="eastAsia"/>
          <w:lang w:eastAsia="zh-CN"/>
        </w:rPr>
        <w:t>6</w:t>
      </w:r>
      <w:r w:rsidR="00BD3D12" w:rsidRPr="000A0A5F">
        <w:t>.</w:t>
      </w:r>
      <w:r w:rsidR="00BD3D12" w:rsidRPr="000A0A5F">
        <w:rPr>
          <w:rFonts w:hint="eastAsia"/>
          <w:lang w:eastAsia="zh-CN"/>
        </w:rPr>
        <w:t>3</w:t>
      </w:r>
      <w:r w:rsidR="00BD3D12" w:rsidRPr="000A0A5F">
        <w:t>.</w:t>
      </w:r>
      <w:r w:rsidR="00BD3D12" w:rsidRPr="000A0A5F">
        <w:rPr>
          <w:rFonts w:hint="eastAsia"/>
          <w:lang w:eastAsia="zh-CN"/>
        </w:rPr>
        <w:t>5</w:t>
      </w:r>
      <w:r w:rsidR="00BD3D12" w:rsidRPr="000A0A5F">
        <w:t>.3.</w:t>
      </w:r>
      <w:r w:rsidR="00BD3D12" w:rsidRPr="000A0A5F">
        <w:rPr>
          <w:lang w:eastAsia="zh-CN"/>
        </w:rPr>
        <w:t>3</w:t>
      </w:r>
      <w:r w:rsidR="00BD3D12" w:rsidRPr="000A0A5F">
        <w:t>-2: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BD3D12" w:rsidRPr="000A0A5F" w:rsidTr="00FF0AF8">
        <w:trPr>
          <w:jc w:val="center"/>
        </w:trPr>
        <w:tc>
          <w:tcPr>
            <w:tcW w:w="825" w:type="pct"/>
            <w:shd w:val="clear" w:color="auto" w:fill="C0C0C0"/>
          </w:tcPr>
          <w:p w:rsidR="00BD3D12" w:rsidRPr="000A0A5F" w:rsidRDefault="00BD3D12" w:rsidP="00B97EBD">
            <w:pPr>
              <w:pStyle w:val="TAH"/>
            </w:pPr>
            <w:r w:rsidRPr="000A0A5F">
              <w:t>Name</w:t>
            </w:r>
          </w:p>
        </w:tc>
        <w:tc>
          <w:tcPr>
            <w:tcW w:w="732" w:type="pct"/>
            <w:shd w:val="clear" w:color="auto" w:fill="C0C0C0"/>
          </w:tcPr>
          <w:p w:rsidR="00BD3D12" w:rsidRPr="000A0A5F" w:rsidRDefault="00BD3D12" w:rsidP="00B97EBD">
            <w:pPr>
              <w:pStyle w:val="TAH"/>
            </w:pPr>
            <w:r w:rsidRPr="000A0A5F">
              <w:t>Data type</w:t>
            </w:r>
          </w:p>
        </w:tc>
        <w:tc>
          <w:tcPr>
            <w:tcW w:w="217" w:type="pct"/>
            <w:shd w:val="clear" w:color="auto" w:fill="C0C0C0"/>
          </w:tcPr>
          <w:p w:rsidR="00BD3D12" w:rsidRPr="000A0A5F" w:rsidRDefault="00BD3D12" w:rsidP="00B97EBD">
            <w:pPr>
              <w:pStyle w:val="TAH"/>
            </w:pPr>
            <w:r w:rsidRPr="000A0A5F">
              <w:t>P</w:t>
            </w:r>
          </w:p>
        </w:tc>
        <w:tc>
          <w:tcPr>
            <w:tcW w:w="581" w:type="pct"/>
            <w:shd w:val="clear" w:color="auto" w:fill="C0C0C0"/>
          </w:tcPr>
          <w:p w:rsidR="00BD3D12" w:rsidRPr="000A0A5F" w:rsidRDefault="00BD3D12" w:rsidP="00B97EBD">
            <w:pPr>
              <w:pStyle w:val="TAH"/>
            </w:pPr>
            <w:r w:rsidRPr="000A0A5F">
              <w:t>Cardinality</w:t>
            </w:r>
          </w:p>
        </w:tc>
        <w:tc>
          <w:tcPr>
            <w:tcW w:w="2645" w:type="pct"/>
            <w:shd w:val="clear" w:color="auto" w:fill="C0C0C0"/>
            <w:vAlign w:val="center"/>
          </w:tcPr>
          <w:p w:rsidR="00BD3D12" w:rsidRPr="000A0A5F" w:rsidRDefault="00BD3D12" w:rsidP="00B97EBD">
            <w:pPr>
              <w:pStyle w:val="TAH"/>
            </w:pPr>
            <w:r w:rsidRPr="000A0A5F">
              <w:t>Description</w:t>
            </w:r>
          </w:p>
        </w:tc>
      </w:tr>
      <w:tr w:rsidR="00BD3D12" w:rsidRPr="000A0A5F" w:rsidTr="00FF0AF8">
        <w:trPr>
          <w:jc w:val="center"/>
        </w:trPr>
        <w:tc>
          <w:tcPr>
            <w:tcW w:w="825" w:type="pct"/>
            <w:shd w:val="clear" w:color="auto" w:fill="auto"/>
          </w:tcPr>
          <w:p w:rsidR="00BD3D12" w:rsidRPr="000A0A5F" w:rsidRDefault="00BD3D12" w:rsidP="00B97EBD">
            <w:pPr>
              <w:pStyle w:val="TAL"/>
            </w:pPr>
            <w:r w:rsidRPr="000A0A5F">
              <w:t>Location</w:t>
            </w:r>
          </w:p>
        </w:tc>
        <w:tc>
          <w:tcPr>
            <w:tcW w:w="732" w:type="pct"/>
          </w:tcPr>
          <w:p w:rsidR="00BD3D12" w:rsidRPr="000A0A5F" w:rsidRDefault="00BD3D12" w:rsidP="00B97EBD">
            <w:pPr>
              <w:pStyle w:val="TAL"/>
            </w:pPr>
            <w:r w:rsidRPr="000A0A5F">
              <w:t>String</w:t>
            </w:r>
          </w:p>
        </w:tc>
        <w:tc>
          <w:tcPr>
            <w:tcW w:w="217" w:type="pct"/>
          </w:tcPr>
          <w:p w:rsidR="00BD3D12" w:rsidRPr="000A0A5F" w:rsidRDefault="00BD3D12" w:rsidP="00B97EBD">
            <w:pPr>
              <w:pStyle w:val="TAC"/>
            </w:pPr>
            <w:r w:rsidRPr="000A0A5F">
              <w:t>M</w:t>
            </w:r>
          </w:p>
        </w:tc>
        <w:tc>
          <w:tcPr>
            <w:tcW w:w="581" w:type="pct"/>
          </w:tcPr>
          <w:p w:rsidR="00BD3D12" w:rsidRPr="000A0A5F" w:rsidRDefault="00BD3D12" w:rsidP="00B97EBD">
            <w:pPr>
              <w:pStyle w:val="TAL"/>
            </w:pPr>
            <w:r w:rsidRPr="000A0A5F">
              <w:t>1</w:t>
            </w:r>
          </w:p>
        </w:tc>
        <w:tc>
          <w:tcPr>
            <w:tcW w:w="2645" w:type="pct"/>
            <w:shd w:val="clear" w:color="auto" w:fill="auto"/>
            <w:vAlign w:val="center"/>
          </w:tcPr>
          <w:p w:rsidR="00BD3D12" w:rsidRPr="000A0A5F" w:rsidRDefault="00BD3D12" w:rsidP="00B97EBD">
            <w:pPr>
              <w:pStyle w:val="TAL"/>
            </w:pPr>
            <w:r w:rsidRPr="000A0A5F">
              <w:t>An alternative URI of the resource located in an alternative SCEF.</w:t>
            </w:r>
          </w:p>
        </w:tc>
      </w:tr>
    </w:tbl>
    <w:p w:rsidR="00BD3D12" w:rsidRPr="000A0A5F" w:rsidRDefault="00BD3D12" w:rsidP="00BD3D12"/>
    <w:p w:rsidR="00BD3D12" w:rsidRPr="000A0A5F" w:rsidRDefault="002E466A" w:rsidP="00BD3D12">
      <w:pPr>
        <w:pStyle w:val="TH"/>
      </w:pPr>
      <w:r w:rsidRPr="000A0A5F">
        <w:t>Table </w:t>
      </w:r>
      <w:r w:rsidR="00BD3D12" w:rsidRPr="000A0A5F">
        <w:t>5.</w:t>
      </w:r>
      <w:r w:rsidR="00BD3D12" w:rsidRPr="000A0A5F">
        <w:rPr>
          <w:rFonts w:hint="eastAsia"/>
          <w:lang w:eastAsia="zh-CN"/>
        </w:rPr>
        <w:t>6</w:t>
      </w:r>
      <w:r w:rsidR="00BD3D12" w:rsidRPr="000A0A5F">
        <w:t>.</w:t>
      </w:r>
      <w:r w:rsidR="00BD3D12" w:rsidRPr="000A0A5F">
        <w:rPr>
          <w:rFonts w:hint="eastAsia"/>
          <w:lang w:eastAsia="zh-CN"/>
        </w:rPr>
        <w:t>3</w:t>
      </w:r>
      <w:r w:rsidR="00BD3D12" w:rsidRPr="000A0A5F">
        <w:t>.</w:t>
      </w:r>
      <w:r w:rsidR="00BD3D12" w:rsidRPr="000A0A5F">
        <w:rPr>
          <w:rFonts w:hint="eastAsia"/>
          <w:lang w:eastAsia="zh-CN"/>
        </w:rPr>
        <w:t>5</w:t>
      </w:r>
      <w:r w:rsidR="00BD3D12" w:rsidRPr="000A0A5F">
        <w:t>.3.</w:t>
      </w:r>
      <w:r w:rsidR="00BD3D12" w:rsidRPr="000A0A5F">
        <w:rPr>
          <w:lang w:eastAsia="zh-CN"/>
        </w:rPr>
        <w:t>3</w:t>
      </w:r>
      <w:r w:rsidR="00BD3D12" w:rsidRPr="000A0A5F">
        <w:t>-3: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BD3D12" w:rsidRPr="000A0A5F" w:rsidTr="00FF0AF8">
        <w:trPr>
          <w:jc w:val="center"/>
        </w:trPr>
        <w:tc>
          <w:tcPr>
            <w:tcW w:w="825" w:type="pct"/>
            <w:shd w:val="clear" w:color="auto" w:fill="C0C0C0"/>
          </w:tcPr>
          <w:p w:rsidR="00BD3D12" w:rsidRPr="000A0A5F" w:rsidRDefault="00BD3D12" w:rsidP="00B97EBD">
            <w:pPr>
              <w:pStyle w:val="TAH"/>
            </w:pPr>
            <w:r w:rsidRPr="000A0A5F">
              <w:t>Name</w:t>
            </w:r>
          </w:p>
        </w:tc>
        <w:tc>
          <w:tcPr>
            <w:tcW w:w="732" w:type="pct"/>
            <w:shd w:val="clear" w:color="auto" w:fill="C0C0C0"/>
          </w:tcPr>
          <w:p w:rsidR="00BD3D12" w:rsidRPr="000A0A5F" w:rsidRDefault="00BD3D12" w:rsidP="00B97EBD">
            <w:pPr>
              <w:pStyle w:val="TAH"/>
            </w:pPr>
            <w:r w:rsidRPr="000A0A5F">
              <w:t>Data type</w:t>
            </w:r>
          </w:p>
        </w:tc>
        <w:tc>
          <w:tcPr>
            <w:tcW w:w="217" w:type="pct"/>
            <w:shd w:val="clear" w:color="auto" w:fill="C0C0C0"/>
          </w:tcPr>
          <w:p w:rsidR="00BD3D12" w:rsidRPr="000A0A5F" w:rsidRDefault="00BD3D12" w:rsidP="00B97EBD">
            <w:pPr>
              <w:pStyle w:val="TAH"/>
            </w:pPr>
            <w:r w:rsidRPr="000A0A5F">
              <w:t>P</w:t>
            </w:r>
          </w:p>
        </w:tc>
        <w:tc>
          <w:tcPr>
            <w:tcW w:w="581" w:type="pct"/>
            <w:shd w:val="clear" w:color="auto" w:fill="C0C0C0"/>
          </w:tcPr>
          <w:p w:rsidR="00BD3D12" w:rsidRPr="000A0A5F" w:rsidRDefault="00BD3D12" w:rsidP="00B97EBD">
            <w:pPr>
              <w:pStyle w:val="TAH"/>
            </w:pPr>
            <w:r w:rsidRPr="000A0A5F">
              <w:t>Cardinality</w:t>
            </w:r>
          </w:p>
        </w:tc>
        <w:tc>
          <w:tcPr>
            <w:tcW w:w="2645" w:type="pct"/>
            <w:shd w:val="clear" w:color="auto" w:fill="C0C0C0"/>
            <w:vAlign w:val="center"/>
          </w:tcPr>
          <w:p w:rsidR="00BD3D12" w:rsidRPr="000A0A5F" w:rsidRDefault="00BD3D12" w:rsidP="00B97EBD">
            <w:pPr>
              <w:pStyle w:val="TAH"/>
            </w:pPr>
            <w:r w:rsidRPr="000A0A5F">
              <w:t>Description</w:t>
            </w:r>
          </w:p>
        </w:tc>
      </w:tr>
      <w:tr w:rsidR="00BD3D12" w:rsidRPr="000A0A5F" w:rsidTr="00FF0AF8">
        <w:trPr>
          <w:jc w:val="center"/>
        </w:trPr>
        <w:tc>
          <w:tcPr>
            <w:tcW w:w="825" w:type="pct"/>
            <w:shd w:val="clear" w:color="auto" w:fill="auto"/>
          </w:tcPr>
          <w:p w:rsidR="00BD3D12" w:rsidRPr="000A0A5F" w:rsidRDefault="00BD3D12" w:rsidP="00B97EBD">
            <w:pPr>
              <w:pStyle w:val="TAL"/>
            </w:pPr>
            <w:r w:rsidRPr="000A0A5F">
              <w:t>Location</w:t>
            </w:r>
          </w:p>
        </w:tc>
        <w:tc>
          <w:tcPr>
            <w:tcW w:w="732" w:type="pct"/>
          </w:tcPr>
          <w:p w:rsidR="00BD3D12" w:rsidRPr="000A0A5F" w:rsidRDefault="00BD3D12" w:rsidP="00B97EBD">
            <w:pPr>
              <w:pStyle w:val="TAL"/>
            </w:pPr>
            <w:r w:rsidRPr="000A0A5F">
              <w:t>string</w:t>
            </w:r>
          </w:p>
        </w:tc>
        <w:tc>
          <w:tcPr>
            <w:tcW w:w="217" w:type="pct"/>
          </w:tcPr>
          <w:p w:rsidR="00BD3D12" w:rsidRPr="000A0A5F" w:rsidRDefault="00BD3D12" w:rsidP="00B97EBD">
            <w:pPr>
              <w:pStyle w:val="TAC"/>
            </w:pPr>
            <w:r w:rsidRPr="000A0A5F">
              <w:t>M</w:t>
            </w:r>
          </w:p>
        </w:tc>
        <w:tc>
          <w:tcPr>
            <w:tcW w:w="581" w:type="pct"/>
          </w:tcPr>
          <w:p w:rsidR="00BD3D12" w:rsidRPr="000A0A5F" w:rsidRDefault="00BD3D12" w:rsidP="00B97EBD">
            <w:pPr>
              <w:pStyle w:val="TAL"/>
            </w:pPr>
            <w:r w:rsidRPr="000A0A5F">
              <w:t>1</w:t>
            </w:r>
          </w:p>
        </w:tc>
        <w:tc>
          <w:tcPr>
            <w:tcW w:w="2645" w:type="pct"/>
            <w:shd w:val="clear" w:color="auto" w:fill="auto"/>
            <w:vAlign w:val="center"/>
          </w:tcPr>
          <w:p w:rsidR="00BD3D12" w:rsidRPr="000A0A5F" w:rsidRDefault="00BD3D12" w:rsidP="00B97EBD">
            <w:pPr>
              <w:pStyle w:val="TAL"/>
            </w:pPr>
            <w:r w:rsidRPr="000A0A5F">
              <w:t>An alternative URI of the resource located in an alternative SCEF.</w:t>
            </w:r>
          </w:p>
        </w:tc>
      </w:tr>
    </w:tbl>
    <w:p w:rsidR="00BD3D12" w:rsidRPr="000A0A5F" w:rsidRDefault="00BD3D12" w:rsidP="00BD3D12"/>
    <w:p w:rsidR="00CB0DD7" w:rsidRPr="000A0A5F" w:rsidRDefault="00CB0DD7">
      <w:pPr>
        <w:pStyle w:val="Heading6"/>
      </w:pPr>
      <w:bookmarkStart w:id="4264" w:name="_Toc105674567"/>
      <w:bookmarkStart w:id="4265" w:name="_Toc130502615"/>
      <w:bookmarkStart w:id="4266" w:name="_Toc153625402"/>
      <w:r w:rsidRPr="000A0A5F">
        <w:t>5.6.3.5.3.4</w:t>
      </w:r>
      <w:r w:rsidRPr="000A0A5F">
        <w:tab/>
        <w:t>POST</w:t>
      </w:r>
      <w:bookmarkEnd w:id="4255"/>
      <w:bookmarkEnd w:id="4256"/>
      <w:bookmarkEnd w:id="4257"/>
      <w:bookmarkEnd w:id="4258"/>
      <w:bookmarkEnd w:id="4259"/>
      <w:bookmarkEnd w:id="4260"/>
      <w:bookmarkEnd w:id="4261"/>
      <w:bookmarkEnd w:id="4262"/>
      <w:bookmarkEnd w:id="4263"/>
      <w:bookmarkEnd w:id="4264"/>
      <w:bookmarkEnd w:id="4265"/>
      <w:bookmarkEnd w:id="4266"/>
    </w:p>
    <w:p w:rsidR="00CB0DD7" w:rsidRPr="000A0A5F" w:rsidRDefault="00CB0DD7">
      <w:pPr>
        <w:rPr>
          <w:rFonts w:hint="eastAsia"/>
          <w:lang w:eastAsia="zh-CN"/>
        </w:rPr>
      </w:pPr>
      <w:r w:rsidRPr="000A0A5F">
        <w:rPr>
          <w:rFonts w:hint="eastAsia"/>
          <w:lang w:eastAsia="zh-CN"/>
        </w:rPr>
        <w:t xml:space="preserve">This </w:t>
      </w:r>
      <w:r w:rsidRPr="000A0A5F">
        <w:rPr>
          <w:lang w:eastAsia="zh-CN"/>
        </w:rPr>
        <w:t>HTTP method is not supported for the resource.</w:t>
      </w:r>
    </w:p>
    <w:p w:rsidR="00CB0DD7" w:rsidRPr="000A0A5F" w:rsidRDefault="00CB0DD7">
      <w:pPr>
        <w:pStyle w:val="Heading6"/>
      </w:pPr>
      <w:bookmarkStart w:id="4267" w:name="_Toc11247496"/>
      <w:bookmarkStart w:id="4268" w:name="_Toc27044620"/>
      <w:bookmarkStart w:id="4269" w:name="_Toc36033662"/>
      <w:bookmarkStart w:id="4270" w:name="_Toc45131799"/>
      <w:bookmarkStart w:id="4271" w:name="_Toc49776084"/>
      <w:bookmarkStart w:id="4272" w:name="_Toc51747004"/>
      <w:bookmarkStart w:id="4273" w:name="_Toc66360559"/>
      <w:bookmarkStart w:id="4274" w:name="_Toc68105064"/>
      <w:bookmarkStart w:id="4275" w:name="_Toc74755694"/>
      <w:bookmarkStart w:id="4276" w:name="_Toc105674568"/>
      <w:bookmarkStart w:id="4277" w:name="_Toc130502616"/>
      <w:bookmarkStart w:id="4278" w:name="_Toc153625403"/>
      <w:r w:rsidRPr="000A0A5F">
        <w:t>5.6.3.5.3.5</w:t>
      </w:r>
      <w:r w:rsidRPr="000A0A5F">
        <w:tab/>
        <w:t>DELETE</w:t>
      </w:r>
      <w:bookmarkEnd w:id="4267"/>
      <w:bookmarkEnd w:id="4268"/>
      <w:bookmarkEnd w:id="4269"/>
      <w:bookmarkEnd w:id="4270"/>
      <w:bookmarkEnd w:id="4271"/>
      <w:bookmarkEnd w:id="4272"/>
      <w:bookmarkEnd w:id="4273"/>
      <w:bookmarkEnd w:id="4274"/>
      <w:bookmarkEnd w:id="4275"/>
      <w:bookmarkEnd w:id="4276"/>
      <w:bookmarkEnd w:id="4277"/>
      <w:bookmarkEnd w:id="4278"/>
    </w:p>
    <w:p w:rsidR="00CB0DD7" w:rsidRPr="000A0A5F" w:rsidRDefault="00CB0DD7">
      <w:r w:rsidRPr="000A0A5F">
        <w:t xml:space="preserve">To </w:t>
      </w:r>
      <w:r w:rsidRPr="000A0A5F">
        <w:rPr>
          <w:rFonts w:hint="eastAsia"/>
          <w:lang w:eastAsia="zh-CN"/>
        </w:rPr>
        <w:t>cancel</w:t>
      </w:r>
      <w:r w:rsidRPr="000A0A5F">
        <w:t xml:space="preserve"> a</w:t>
      </w:r>
      <w:r w:rsidRPr="000A0A5F">
        <w:rPr>
          <w:rFonts w:hint="eastAsia"/>
          <w:lang w:eastAsia="zh-CN"/>
        </w:rPr>
        <w:t xml:space="preserve"> NIDD </w:t>
      </w:r>
      <w:r w:rsidRPr="000A0A5F">
        <w:rPr>
          <w:lang w:eastAsia="zh-CN"/>
        </w:rPr>
        <w:t>downlink data delivery</w:t>
      </w:r>
      <w:r w:rsidRPr="000A0A5F">
        <w:t xml:space="preserve">, the </w:t>
      </w:r>
      <w:r w:rsidRPr="000A0A5F">
        <w:rPr>
          <w:rFonts w:hint="eastAsia"/>
          <w:lang w:eastAsia="zh-CN"/>
        </w:rPr>
        <w:t xml:space="preserve">SCS/AS </w:t>
      </w:r>
      <w:r w:rsidRPr="000A0A5F">
        <w:t>shall use the HTTP DELETE method on the "Individual NIDD downlink data</w:t>
      </w:r>
      <w:r w:rsidRPr="000A0A5F">
        <w:rPr>
          <w:rFonts w:hint="eastAsia"/>
          <w:lang w:eastAsia="zh-CN"/>
        </w:rPr>
        <w:t xml:space="preserve"> delivery</w:t>
      </w:r>
      <w:r w:rsidRPr="000A0A5F">
        <w:t xml:space="preserve">" resource </w:t>
      </w:r>
      <w:r w:rsidRPr="000A0A5F">
        <w:rPr>
          <w:rFonts w:hint="eastAsia"/>
          <w:lang w:eastAsia="zh-CN"/>
        </w:rPr>
        <w:t>which is indicated by the URI in the Location header of the HTTP POST response</w:t>
      </w:r>
      <w:r w:rsidRPr="000A0A5F">
        <w:t>:</w:t>
      </w:r>
    </w:p>
    <w:p w:rsidR="00CB0DD7" w:rsidRPr="000A0A5F" w:rsidRDefault="00CB0DD7">
      <w:pPr>
        <w:rPr>
          <w:rFonts w:hint="eastAsia"/>
          <w:lang w:eastAsia="zh-CN"/>
        </w:rPr>
      </w:pPr>
      <w:r w:rsidRPr="000A0A5F">
        <w:t xml:space="preserve">The possible response messages from the </w:t>
      </w:r>
      <w:r w:rsidRPr="000A0A5F">
        <w:rPr>
          <w:rFonts w:hint="eastAsia"/>
          <w:lang w:eastAsia="zh-CN"/>
        </w:rPr>
        <w:t>SCEF</w:t>
      </w:r>
      <w:r w:rsidRPr="000A0A5F">
        <w:t>, depending on whether the DELETE request is successful or unsuccessful, are shown in table</w:t>
      </w:r>
      <w:r w:rsidRPr="000A0A5F">
        <w:rPr>
          <w:lang w:val="en-US" w:eastAsia="zh-CN"/>
        </w:rPr>
        <w:t> </w:t>
      </w:r>
      <w:r w:rsidRPr="000A0A5F">
        <w:t>5.</w:t>
      </w:r>
      <w:r w:rsidRPr="000A0A5F">
        <w:rPr>
          <w:lang w:eastAsia="zh-CN"/>
        </w:rPr>
        <w:t>6.3.3.3.5</w:t>
      </w:r>
      <w:r w:rsidRPr="000A0A5F">
        <w:rPr>
          <w:rFonts w:hint="eastAsia"/>
          <w:lang w:eastAsia="zh-CN"/>
        </w:rPr>
        <w:t>-1.</w:t>
      </w:r>
    </w:p>
    <w:p w:rsidR="00CB0DD7" w:rsidRPr="000A0A5F" w:rsidRDefault="00CB0DD7">
      <w:pPr>
        <w:pStyle w:val="TH"/>
      </w:pPr>
      <w:r w:rsidRPr="000A0A5F">
        <w:t>Table 5.</w:t>
      </w:r>
      <w:r w:rsidRPr="000A0A5F">
        <w:rPr>
          <w:lang w:eastAsia="zh-CN"/>
        </w:rPr>
        <w:t>6.3.5.3.5</w:t>
      </w:r>
      <w:r w:rsidRPr="000A0A5F">
        <w:rPr>
          <w:rFonts w:hint="eastAsia"/>
          <w:lang w:eastAsia="zh-CN"/>
        </w:rPr>
        <w:t>-1.</w:t>
      </w:r>
      <w:r w:rsidRPr="000A0A5F">
        <w:t xml:space="preserve">: Data structures supported by the </w:t>
      </w:r>
      <w:r w:rsidRPr="000A0A5F">
        <w:rPr>
          <w:rFonts w:hint="eastAsia"/>
          <w:lang w:eastAsia="zh-CN"/>
        </w:rPr>
        <w:t>DELETE</w:t>
      </w:r>
      <w:r w:rsidRPr="000A0A5F">
        <w:t xml:space="preserve"> request/response by the resource</w:t>
      </w:r>
    </w:p>
    <w:tbl>
      <w:tblPr>
        <w:tblW w:w="4999" w:type="pct"/>
        <w:tblInd w:w="1" w:type="dxa"/>
        <w:tblBorders>
          <w:top w:val="single" w:sz="6" w:space="0" w:color="000000"/>
          <w:left w:val="single" w:sz="6" w:space="0" w:color="000000"/>
          <w:bottom w:val="single" w:sz="6" w:space="0" w:color="000000"/>
          <w:right w:val="single" w:sz="6" w:space="0" w:color="000000"/>
          <w:insideH w:val="single" w:sz="6" w:space="0" w:color="auto"/>
          <w:insideV w:val="single" w:sz="6" w:space="0" w:color="000000"/>
        </w:tblBorders>
        <w:tblLayout w:type="fixed"/>
        <w:tblCellMar>
          <w:top w:w="45" w:type="dxa"/>
          <w:left w:w="45" w:type="dxa"/>
          <w:bottom w:w="45" w:type="dxa"/>
          <w:right w:w="45" w:type="dxa"/>
        </w:tblCellMar>
        <w:tblLook w:val="0000" w:firstRow="0" w:lastRow="0" w:firstColumn="0" w:lastColumn="0" w:noHBand="0" w:noVBand="0"/>
      </w:tblPr>
      <w:tblGrid>
        <w:gridCol w:w="1035"/>
        <w:gridCol w:w="2127"/>
        <w:gridCol w:w="1053"/>
        <w:gridCol w:w="973"/>
        <w:gridCol w:w="4541"/>
      </w:tblGrid>
      <w:tr w:rsidR="00CB0DD7" w:rsidRPr="000A0A5F" w:rsidTr="0086706F">
        <w:tc>
          <w:tcPr>
            <w:tcW w:w="532" w:type="pct"/>
            <w:vMerge w:val="restart"/>
            <w:shd w:val="clear" w:color="auto" w:fill="C0C0C0"/>
            <w:vAlign w:val="center"/>
          </w:tcPr>
          <w:p w:rsidR="00CB0DD7" w:rsidRPr="000A0A5F" w:rsidRDefault="00CB0DD7">
            <w:pPr>
              <w:pStyle w:val="TAH"/>
            </w:pPr>
            <w:r w:rsidRPr="000A0A5F">
              <w:t>Request body</w:t>
            </w:r>
          </w:p>
        </w:tc>
        <w:tc>
          <w:tcPr>
            <w:tcW w:w="1093" w:type="pct"/>
            <w:shd w:val="clear" w:color="auto" w:fill="C0C0C0"/>
          </w:tcPr>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r w:rsidRPr="000A0A5F">
              <w:t>Cardinality</w:t>
            </w:r>
          </w:p>
        </w:tc>
        <w:tc>
          <w:tcPr>
            <w:tcW w:w="2834" w:type="pct"/>
            <w:gridSpan w:val="2"/>
            <w:shd w:val="clear" w:color="auto" w:fill="C0C0C0"/>
          </w:tcPr>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rPr>
                <w:rFonts w:hint="eastAsia"/>
                <w:lang w:eastAsia="zh-CN"/>
              </w:rPr>
              <w:t>none</w:t>
            </w:r>
          </w:p>
        </w:tc>
        <w:tc>
          <w:tcPr>
            <w:tcW w:w="541" w:type="pct"/>
          </w:tcPr>
          <w:p w:rsidR="00CB0DD7" w:rsidRPr="000A0A5F" w:rsidRDefault="00CB0DD7">
            <w:pPr>
              <w:pStyle w:val="TAL"/>
              <w:rPr>
                <w:rFonts w:hint="eastAsia"/>
                <w:lang w:eastAsia="zh-CN"/>
              </w:rPr>
            </w:pPr>
          </w:p>
        </w:tc>
        <w:tc>
          <w:tcPr>
            <w:tcW w:w="2834" w:type="pct"/>
            <w:gridSpan w:val="2"/>
          </w:tcPr>
          <w:p w:rsidR="00CB0DD7" w:rsidRPr="000A0A5F" w:rsidRDefault="00CB0DD7">
            <w:pPr>
              <w:pStyle w:val="TAL"/>
              <w:rPr>
                <w:rFonts w:hint="eastAsia"/>
                <w:lang w:eastAsia="zh-CN"/>
              </w:rPr>
            </w:pPr>
            <w:r w:rsidRPr="000A0A5F">
              <w:rPr>
                <w:rFonts w:hint="eastAsia"/>
                <w:lang w:eastAsia="zh-CN"/>
              </w:rPr>
              <w:t>.</w:t>
            </w:r>
          </w:p>
        </w:tc>
      </w:tr>
      <w:tr w:rsidR="00F85630" w:rsidRPr="000A0A5F" w:rsidTr="0086706F">
        <w:tc>
          <w:tcPr>
            <w:tcW w:w="532" w:type="pct"/>
            <w:vMerge w:val="restart"/>
            <w:shd w:val="clear" w:color="auto" w:fill="C0C0C0"/>
            <w:vAlign w:val="center"/>
          </w:tcPr>
          <w:p w:rsidR="00F85630" w:rsidRPr="000A0A5F" w:rsidRDefault="00F85630">
            <w:pPr>
              <w:pStyle w:val="TAH"/>
            </w:pPr>
            <w:r w:rsidRPr="000A0A5F">
              <w:t>Response body</w:t>
            </w:r>
          </w:p>
        </w:tc>
        <w:tc>
          <w:tcPr>
            <w:tcW w:w="1093" w:type="pct"/>
            <w:shd w:val="clear" w:color="auto" w:fill="C0C0C0"/>
          </w:tcPr>
          <w:p w:rsidR="00F85630" w:rsidRPr="000A0A5F" w:rsidRDefault="00F85630">
            <w:pPr>
              <w:pStyle w:val="TAH"/>
            </w:pPr>
          </w:p>
          <w:p w:rsidR="00F85630" w:rsidRPr="000A0A5F" w:rsidRDefault="00F85630">
            <w:pPr>
              <w:pStyle w:val="TAH"/>
            </w:pPr>
            <w:r w:rsidRPr="000A0A5F">
              <w:t>Data type</w:t>
            </w:r>
          </w:p>
        </w:tc>
        <w:tc>
          <w:tcPr>
            <w:tcW w:w="541" w:type="pct"/>
            <w:shd w:val="clear" w:color="auto" w:fill="C0C0C0"/>
          </w:tcPr>
          <w:p w:rsidR="00F85630" w:rsidRPr="000A0A5F" w:rsidRDefault="00F85630">
            <w:pPr>
              <w:pStyle w:val="TAH"/>
            </w:pPr>
          </w:p>
          <w:p w:rsidR="00F85630" w:rsidRPr="000A0A5F" w:rsidRDefault="00F85630">
            <w:pPr>
              <w:pStyle w:val="TAH"/>
            </w:pPr>
            <w:r w:rsidRPr="000A0A5F">
              <w:t>Cardinality</w:t>
            </w:r>
          </w:p>
        </w:tc>
        <w:tc>
          <w:tcPr>
            <w:tcW w:w="500" w:type="pct"/>
            <w:shd w:val="clear" w:color="auto" w:fill="C0C0C0"/>
          </w:tcPr>
          <w:p w:rsidR="00F85630" w:rsidRPr="000A0A5F" w:rsidRDefault="00F85630">
            <w:pPr>
              <w:pStyle w:val="TAH"/>
            </w:pPr>
            <w:r w:rsidRPr="000A0A5F">
              <w:t>Response</w:t>
            </w:r>
          </w:p>
          <w:p w:rsidR="00F85630" w:rsidRPr="000A0A5F" w:rsidRDefault="00F85630">
            <w:pPr>
              <w:pStyle w:val="TAH"/>
            </w:pPr>
            <w:r w:rsidRPr="000A0A5F">
              <w:t>codes</w:t>
            </w:r>
          </w:p>
        </w:tc>
        <w:tc>
          <w:tcPr>
            <w:tcW w:w="2334" w:type="pct"/>
            <w:shd w:val="clear" w:color="auto" w:fill="C0C0C0"/>
          </w:tcPr>
          <w:p w:rsidR="00F85630" w:rsidRPr="000A0A5F" w:rsidRDefault="00F85630">
            <w:pPr>
              <w:pStyle w:val="TAH"/>
            </w:pPr>
          </w:p>
          <w:p w:rsidR="00F85630" w:rsidRPr="000A0A5F" w:rsidRDefault="00F85630">
            <w:pPr>
              <w:pStyle w:val="TAH"/>
            </w:pPr>
            <w:r w:rsidRPr="000A0A5F">
              <w:t>Remarks</w:t>
            </w:r>
          </w:p>
        </w:tc>
      </w:tr>
      <w:tr w:rsidR="00F85630" w:rsidRPr="000A0A5F" w:rsidTr="00F85630">
        <w:tc>
          <w:tcPr>
            <w:tcW w:w="532" w:type="pct"/>
            <w:vMerge/>
            <w:shd w:val="clear" w:color="auto" w:fill="C0C0C0"/>
            <w:vAlign w:val="center"/>
          </w:tcPr>
          <w:p w:rsidR="00F85630" w:rsidRPr="000A0A5F" w:rsidRDefault="00F85630">
            <w:pPr>
              <w:pStyle w:val="TAL"/>
              <w:jc w:val="center"/>
            </w:pPr>
          </w:p>
        </w:tc>
        <w:tc>
          <w:tcPr>
            <w:tcW w:w="1093" w:type="pct"/>
            <w:shd w:val="clear" w:color="auto" w:fill="auto"/>
          </w:tcPr>
          <w:p w:rsidR="00F85630" w:rsidRPr="000A0A5F" w:rsidRDefault="00F85630">
            <w:pPr>
              <w:pStyle w:val="TAL"/>
              <w:rPr>
                <w:rFonts w:hint="eastAsia"/>
                <w:lang w:eastAsia="zh-CN"/>
              </w:rPr>
            </w:pPr>
            <w:r w:rsidRPr="000A0A5F">
              <w:rPr>
                <w:rFonts w:hint="eastAsia"/>
                <w:lang w:eastAsia="zh-CN"/>
              </w:rPr>
              <w:t>none</w:t>
            </w:r>
          </w:p>
        </w:tc>
        <w:tc>
          <w:tcPr>
            <w:tcW w:w="541" w:type="pct"/>
          </w:tcPr>
          <w:p w:rsidR="00F85630" w:rsidRPr="000A0A5F" w:rsidRDefault="00F85630">
            <w:pPr>
              <w:pStyle w:val="TAL"/>
              <w:rPr>
                <w:rFonts w:hint="eastAsia"/>
                <w:lang w:eastAsia="zh-CN"/>
              </w:rPr>
            </w:pPr>
          </w:p>
        </w:tc>
        <w:tc>
          <w:tcPr>
            <w:tcW w:w="500" w:type="pct"/>
          </w:tcPr>
          <w:p w:rsidR="00F85630" w:rsidRPr="000A0A5F" w:rsidRDefault="00F85630">
            <w:pPr>
              <w:pStyle w:val="TAL"/>
              <w:rPr>
                <w:rFonts w:hint="eastAsia"/>
                <w:lang w:eastAsia="zh-CN"/>
              </w:rPr>
            </w:pPr>
            <w:r w:rsidRPr="000A0A5F">
              <w:rPr>
                <w:rFonts w:hint="eastAsia"/>
                <w:lang w:eastAsia="zh-CN"/>
              </w:rPr>
              <w:t>204 No Content</w:t>
            </w:r>
          </w:p>
        </w:tc>
        <w:tc>
          <w:tcPr>
            <w:tcW w:w="2334" w:type="pct"/>
          </w:tcPr>
          <w:p w:rsidR="00F85630" w:rsidRPr="000A0A5F" w:rsidRDefault="00F85630">
            <w:pPr>
              <w:pStyle w:val="TAL"/>
              <w:spacing w:afterLines="50" w:after="120"/>
            </w:pPr>
            <w:r w:rsidRPr="000A0A5F">
              <w:t xml:space="preserve">The </w:t>
            </w:r>
            <w:r w:rsidRPr="000A0A5F">
              <w:rPr>
                <w:rFonts w:hint="eastAsia"/>
                <w:lang w:eastAsia="zh-CN"/>
              </w:rPr>
              <w:t xml:space="preserve">NIDD </w:t>
            </w:r>
            <w:r w:rsidRPr="000A0A5F">
              <w:rPr>
                <w:lang w:eastAsia="zh-CN"/>
              </w:rPr>
              <w:t>downlink data delivery</w:t>
            </w:r>
            <w:r w:rsidRPr="000A0A5F">
              <w:t xml:space="preserve"> was </w:t>
            </w:r>
            <w:r w:rsidRPr="000A0A5F">
              <w:rPr>
                <w:lang w:eastAsia="zh-CN"/>
              </w:rPr>
              <w:t>cancelled</w:t>
            </w:r>
            <w:r w:rsidRPr="000A0A5F">
              <w:t xml:space="preserve"> successfully.</w:t>
            </w:r>
          </w:p>
          <w:p w:rsidR="00F85630" w:rsidRPr="000A0A5F" w:rsidRDefault="00F85630">
            <w:pPr>
              <w:pStyle w:val="TAL"/>
            </w:pPr>
            <w:r w:rsidRPr="000A0A5F">
              <w:t>The response body shall be empty</w:t>
            </w:r>
            <w:r w:rsidRPr="000A0A5F">
              <w:rPr>
                <w:rFonts w:hint="eastAsia"/>
                <w:lang w:eastAsia="zh-CN"/>
              </w:rPr>
              <w:t>.</w:t>
            </w:r>
            <w:r w:rsidRPr="000A0A5F">
              <w:t xml:space="preserve"> </w:t>
            </w:r>
          </w:p>
        </w:tc>
      </w:tr>
      <w:tr w:rsidR="00F85630" w:rsidRPr="000A0A5F" w:rsidTr="00F85630">
        <w:tc>
          <w:tcPr>
            <w:tcW w:w="532" w:type="pct"/>
            <w:vMerge/>
            <w:shd w:val="clear" w:color="auto" w:fill="C0C0C0"/>
            <w:vAlign w:val="center"/>
          </w:tcPr>
          <w:p w:rsidR="00F85630" w:rsidRPr="000A0A5F" w:rsidRDefault="00F85630" w:rsidP="00F85630">
            <w:pPr>
              <w:pStyle w:val="TAL"/>
              <w:jc w:val="center"/>
            </w:pPr>
          </w:p>
        </w:tc>
        <w:tc>
          <w:tcPr>
            <w:tcW w:w="1093" w:type="pct"/>
            <w:shd w:val="clear" w:color="auto" w:fill="auto"/>
          </w:tcPr>
          <w:p w:rsidR="00F85630" w:rsidRPr="000A0A5F" w:rsidRDefault="00F85630" w:rsidP="00F85630">
            <w:pPr>
              <w:pStyle w:val="TAL"/>
              <w:rPr>
                <w:rFonts w:hint="eastAsia"/>
                <w:lang w:eastAsia="zh-CN"/>
              </w:rPr>
            </w:pPr>
            <w:r w:rsidRPr="000A0A5F">
              <w:rPr>
                <w:lang w:eastAsia="zh-CN"/>
              </w:rPr>
              <w:t>None</w:t>
            </w:r>
          </w:p>
        </w:tc>
        <w:tc>
          <w:tcPr>
            <w:tcW w:w="541" w:type="pct"/>
          </w:tcPr>
          <w:p w:rsidR="00F85630" w:rsidRPr="000A0A5F" w:rsidRDefault="00F85630" w:rsidP="00F85630">
            <w:pPr>
              <w:pStyle w:val="TAL"/>
              <w:rPr>
                <w:rFonts w:hint="eastAsia"/>
                <w:lang w:eastAsia="zh-CN"/>
              </w:rPr>
            </w:pPr>
          </w:p>
        </w:tc>
        <w:tc>
          <w:tcPr>
            <w:tcW w:w="500" w:type="pct"/>
          </w:tcPr>
          <w:p w:rsidR="00F85630" w:rsidRPr="000A0A5F" w:rsidRDefault="00F85630" w:rsidP="00F85630">
            <w:pPr>
              <w:pStyle w:val="TAL"/>
              <w:rPr>
                <w:rFonts w:hint="eastAsia"/>
                <w:lang w:eastAsia="zh-CN"/>
              </w:rPr>
            </w:pPr>
            <w:r w:rsidRPr="000A0A5F">
              <w:t>307 Temporary Redirect</w:t>
            </w:r>
          </w:p>
        </w:tc>
        <w:tc>
          <w:tcPr>
            <w:tcW w:w="2334" w:type="pct"/>
          </w:tcPr>
          <w:p w:rsidR="00F85630" w:rsidRPr="000A0A5F" w:rsidRDefault="00F85630" w:rsidP="00F85630">
            <w:pPr>
              <w:pStyle w:val="TAL"/>
            </w:pPr>
            <w:r w:rsidRPr="000A0A5F">
              <w:t>Temporary redirection, during configuration termination. The response shall include a Location header field containing an alternative URI of the resource located in an alternative SCEF.</w:t>
            </w:r>
          </w:p>
          <w:p w:rsidR="00F85630" w:rsidRPr="000A0A5F" w:rsidRDefault="00F85630" w:rsidP="00F85630">
            <w:pPr>
              <w:pStyle w:val="TAL"/>
            </w:pPr>
          </w:p>
          <w:p w:rsidR="00F85630" w:rsidRPr="000A0A5F" w:rsidRDefault="00F85630" w:rsidP="00F85630">
            <w:pPr>
              <w:pStyle w:val="TAL"/>
              <w:spacing w:afterLines="50" w:after="120"/>
            </w:pPr>
            <w:r w:rsidRPr="000A0A5F">
              <w:t>Redirection handling is described in clause 5.2.10.</w:t>
            </w:r>
          </w:p>
        </w:tc>
      </w:tr>
      <w:tr w:rsidR="00F85630" w:rsidRPr="000A0A5F" w:rsidTr="00F85630">
        <w:tc>
          <w:tcPr>
            <w:tcW w:w="532" w:type="pct"/>
            <w:vMerge/>
            <w:shd w:val="clear" w:color="auto" w:fill="C0C0C0"/>
            <w:vAlign w:val="center"/>
          </w:tcPr>
          <w:p w:rsidR="00F85630" w:rsidRPr="000A0A5F" w:rsidRDefault="00F85630" w:rsidP="00F85630">
            <w:pPr>
              <w:pStyle w:val="TAL"/>
              <w:jc w:val="center"/>
            </w:pPr>
          </w:p>
        </w:tc>
        <w:tc>
          <w:tcPr>
            <w:tcW w:w="1093" w:type="pct"/>
            <w:shd w:val="clear" w:color="auto" w:fill="auto"/>
          </w:tcPr>
          <w:p w:rsidR="00F85630" w:rsidRPr="000A0A5F" w:rsidRDefault="00F85630" w:rsidP="00F85630">
            <w:pPr>
              <w:pStyle w:val="TAL"/>
              <w:rPr>
                <w:rFonts w:hint="eastAsia"/>
                <w:lang w:eastAsia="zh-CN"/>
              </w:rPr>
            </w:pPr>
            <w:r w:rsidRPr="000A0A5F">
              <w:rPr>
                <w:lang w:eastAsia="zh-CN"/>
              </w:rPr>
              <w:t>None</w:t>
            </w:r>
          </w:p>
        </w:tc>
        <w:tc>
          <w:tcPr>
            <w:tcW w:w="541" w:type="pct"/>
          </w:tcPr>
          <w:p w:rsidR="00F85630" w:rsidRPr="000A0A5F" w:rsidRDefault="00F85630" w:rsidP="00F85630">
            <w:pPr>
              <w:pStyle w:val="TAL"/>
              <w:rPr>
                <w:rFonts w:hint="eastAsia"/>
                <w:lang w:eastAsia="zh-CN"/>
              </w:rPr>
            </w:pPr>
          </w:p>
        </w:tc>
        <w:tc>
          <w:tcPr>
            <w:tcW w:w="500" w:type="pct"/>
          </w:tcPr>
          <w:p w:rsidR="00F85630" w:rsidRPr="000A0A5F" w:rsidRDefault="00F85630" w:rsidP="00F85630">
            <w:pPr>
              <w:pStyle w:val="TAL"/>
              <w:rPr>
                <w:rFonts w:hint="eastAsia"/>
                <w:lang w:eastAsia="zh-CN"/>
              </w:rPr>
            </w:pPr>
            <w:r w:rsidRPr="000A0A5F">
              <w:t>308 Permanent Redirect</w:t>
            </w:r>
          </w:p>
        </w:tc>
        <w:tc>
          <w:tcPr>
            <w:tcW w:w="2334" w:type="pct"/>
          </w:tcPr>
          <w:p w:rsidR="00F85630" w:rsidRPr="000A0A5F" w:rsidRDefault="00F85630" w:rsidP="00F85630">
            <w:pPr>
              <w:pStyle w:val="TAL"/>
            </w:pPr>
            <w:r w:rsidRPr="000A0A5F">
              <w:t>Permanent redirection, during configuration termination. The response shall include a Location header field containing an alternative URI of the resource located in an alternative SCEF.</w:t>
            </w:r>
          </w:p>
          <w:p w:rsidR="00F85630" w:rsidRPr="000A0A5F" w:rsidRDefault="00F85630" w:rsidP="00F85630">
            <w:pPr>
              <w:pStyle w:val="TAL"/>
            </w:pPr>
          </w:p>
          <w:p w:rsidR="00F85630" w:rsidRPr="000A0A5F" w:rsidRDefault="00F85630" w:rsidP="00F85630">
            <w:pPr>
              <w:pStyle w:val="TAL"/>
              <w:spacing w:afterLines="50" w:after="120"/>
            </w:pPr>
            <w:r w:rsidRPr="000A0A5F">
              <w:t>Redirection handling is described in clause 5.2.10.</w:t>
            </w:r>
          </w:p>
        </w:tc>
      </w:tr>
      <w:tr w:rsidR="00F85630" w:rsidRPr="000A0A5F" w:rsidTr="00F85630">
        <w:tc>
          <w:tcPr>
            <w:tcW w:w="532" w:type="pct"/>
            <w:vMerge/>
            <w:shd w:val="clear" w:color="auto" w:fill="C0C0C0"/>
            <w:vAlign w:val="center"/>
          </w:tcPr>
          <w:p w:rsidR="00F85630" w:rsidRPr="000A0A5F" w:rsidRDefault="00F85630" w:rsidP="00F85630">
            <w:pPr>
              <w:pStyle w:val="TAL"/>
              <w:jc w:val="center"/>
            </w:pPr>
          </w:p>
        </w:tc>
        <w:tc>
          <w:tcPr>
            <w:tcW w:w="1093" w:type="pct"/>
            <w:shd w:val="clear" w:color="auto" w:fill="auto"/>
          </w:tcPr>
          <w:p w:rsidR="00F85630" w:rsidRPr="000A0A5F" w:rsidRDefault="00F85630" w:rsidP="00F85630">
            <w:pPr>
              <w:pStyle w:val="TAL"/>
              <w:rPr>
                <w:rFonts w:hint="eastAsia"/>
                <w:lang w:eastAsia="zh-CN"/>
              </w:rPr>
            </w:pPr>
            <w:r w:rsidRPr="000A0A5F">
              <w:t>ProblemDetails</w:t>
            </w:r>
          </w:p>
        </w:tc>
        <w:tc>
          <w:tcPr>
            <w:tcW w:w="541" w:type="pct"/>
          </w:tcPr>
          <w:p w:rsidR="00F85630" w:rsidRPr="000A0A5F" w:rsidRDefault="00F85630" w:rsidP="00F85630">
            <w:pPr>
              <w:pStyle w:val="TAL"/>
              <w:rPr>
                <w:rFonts w:hint="eastAsia"/>
                <w:lang w:eastAsia="zh-CN"/>
              </w:rPr>
            </w:pPr>
            <w:r w:rsidRPr="000A0A5F">
              <w:t>0..1</w:t>
            </w:r>
          </w:p>
        </w:tc>
        <w:tc>
          <w:tcPr>
            <w:tcW w:w="500" w:type="pct"/>
          </w:tcPr>
          <w:p w:rsidR="00F85630" w:rsidRPr="000A0A5F" w:rsidRDefault="00F85630" w:rsidP="00F85630">
            <w:pPr>
              <w:pStyle w:val="TAL"/>
              <w:rPr>
                <w:rFonts w:hint="eastAsia"/>
                <w:lang w:eastAsia="zh-CN"/>
              </w:rPr>
            </w:pPr>
            <w:r w:rsidRPr="000A0A5F">
              <w:rPr>
                <w:lang w:eastAsia="zh-CN"/>
              </w:rPr>
              <w:t>403 Forbidden</w:t>
            </w:r>
          </w:p>
        </w:tc>
        <w:tc>
          <w:tcPr>
            <w:tcW w:w="2334" w:type="pct"/>
          </w:tcPr>
          <w:p w:rsidR="00F85630" w:rsidRPr="000A0A5F" w:rsidRDefault="00F85630" w:rsidP="00F85630">
            <w:pPr>
              <w:pStyle w:val="TAL"/>
              <w:spacing w:afterLines="50" w:after="120"/>
            </w:pPr>
            <w:r w:rsidRPr="000A0A5F">
              <w:t>(NOTE 2)</w:t>
            </w:r>
          </w:p>
        </w:tc>
      </w:tr>
      <w:tr w:rsidR="00F85630" w:rsidRPr="000A0A5F" w:rsidTr="00F85630">
        <w:tc>
          <w:tcPr>
            <w:tcW w:w="532" w:type="pct"/>
            <w:vMerge/>
            <w:shd w:val="clear" w:color="auto" w:fill="C0C0C0"/>
            <w:vAlign w:val="center"/>
          </w:tcPr>
          <w:p w:rsidR="00F85630" w:rsidRPr="000A0A5F" w:rsidRDefault="00F85630" w:rsidP="00F85630">
            <w:pPr>
              <w:pStyle w:val="TAL"/>
              <w:jc w:val="center"/>
            </w:pPr>
          </w:p>
        </w:tc>
        <w:tc>
          <w:tcPr>
            <w:tcW w:w="1093" w:type="pct"/>
            <w:shd w:val="clear" w:color="auto" w:fill="auto"/>
          </w:tcPr>
          <w:p w:rsidR="00F85630" w:rsidRPr="000A0A5F" w:rsidRDefault="00F85630" w:rsidP="00F85630">
            <w:pPr>
              <w:pStyle w:val="TAL"/>
              <w:rPr>
                <w:rFonts w:hint="eastAsia"/>
                <w:lang w:eastAsia="zh-CN"/>
              </w:rPr>
            </w:pPr>
            <w:r w:rsidRPr="000A0A5F">
              <w:t>ProblemDetails</w:t>
            </w:r>
          </w:p>
        </w:tc>
        <w:tc>
          <w:tcPr>
            <w:tcW w:w="541" w:type="pct"/>
          </w:tcPr>
          <w:p w:rsidR="00F85630" w:rsidRPr="000A0A5F" w:rsidRDefault="00F85630" w:rsidP="00F85630">
            <w:pPr>
              <w:pStyle w:val="TAL"/>
              <w:rPr>
                <w:rFonts w:hint="eastAsia"/>
                <w:lang w:eastAsia="zh-CN"/>
              </w:rPr>
            </w:pPr>
            <w:r w:rsidRPr="000A0A5F">
              <w:t>0..1</w:t>
            </w:r>
          </w:p>
        </w:tc>
        <w:tc>
          <w:tcPr>
            <w:tcW w:w="500" w:type="pct"/>
          </w:tcPr>
          <w:p w:rsidR="00F85630" w:rsidRPr="000A0A5F" w:rsidRDefault="00F85630" w:rsidP="00F85630">
            <w:pPr>
              <w:pStyle w:val="TAL"/>
              <w:rPr>
                <w:rFonts w:hint="eastAsia"/>
                <w:lang w:eastAsia="zh-CN"/>
              </w:rPr>
            </w:pPr>
            <w:r w:rsidRPr="000A0A5F">
              <w:rPr>
                <w:lang w:eastAsia="zh-CN"/>
              </w:rPr>
              <w:t>404 Not Found</w:t>
            </w:r>
          </w:p>
        </w:tc>
        <w:tc>
          <w:tcPr>
            <w:tcW w:w="2334" w:type="pct"/>
          </w:tcPr>
          <w:p w:rsidR="00F85630" w:rsidRPr="000A0A5F" w:rsidRDefault="00F85630" w:rsidP="00F85630">
            <w:pPr>
              <w:pStyle w:val="TAL"/>
              <w:spacing w:afterLines="50" w:after="120"/>
            </w:pPr>
            <w:r w:rsidRPr="000A0A5F">
              <w:t>(NOTE 2)</w:t>
            </w:r>
          </w:p>
        </w:tc>
      </w:tr>
      <w:tr w:rsidR="00F85630" w:rsidRPr="000A0A5F" w:rsidTr="00F85630">
        <w:tc>
          <w:tcPr>
            <w:tcW w:w="532" w:type="pct"/>
            <w:vMerge/>
            <w:shd w:val="clear" w:color="auto" w:fill="C0C0C0"/>
            <w:vAlign w:val="center"/>
          </w:tcPr>
          <w:p w:rsidR="00F85630" w:rsidRPr="000A0A5F" w:rsidRDefault="00F85630" w:rsidP="00F85630">
            <w:pPr>
              <w:pStyle w:val="TAL"/>
              <w:jc w:val="center"/>
            </w:pPr>
          </w:p>
        </w:tc>
        <w:tc>
          <w:tcPr>
            <w:tcW w:w="1093" w:type="pct"/>
            <w:shd w:val="clear" w:color="auto" w:fill="auto"/>
          </w:tcPr>
          <w:p w:rsidR="00F85630" w:rsidRPr="000A0A5F" w:rsidRDefault="00F85630" w:rsidP="00F85630">
            <w:pPr>
              <w:pStyle w:val="TAL"/>
              <w:rPr>
                <w:rFonts w:hint="eastAsia"/>
                <w:lang w:eastAsia="zh-CN"/>
              </w:rPr>
            </w:pPr>
            <w:r w:rsidRPr="000A0A5F">
              <w:t>ProblemDetails</w:t>
            </w:r>
          </w:p>
        </w:tc>
        <w:tc>
          <w:tcPr>
            <w:tcW w:w="541" w:type="pct"/>
          </w:tcPr>
          <w:p w:rsidR="00F85630" w:rsidRPr="000A0A5F" w:rsidRDefault="00F85630" w:rsidP="00F85630">
            <w:pPr>
              <w:pStyle w:val="TAL"/>
              <w:rPr>
                <w:rFonts w:hint="eastAsia"/>
                <w:lang w:eastAsia="zh-CN"/>
              </w:rPr>
            </w:pPr>
            <w:r w:rsidRPr="000A0A5F">
              <w:t>0..1</w:t>
            </w:r>
          </w:p>
        </w:tc>
        <w:tc>
          <w:tcPr>
            <w:tcW w:w="500" w:type="pct"/>
          </w:tcPr>
          <w:p w:rsidR="00F85630" w:rsidRPr="000A0A5F" w:rsidRDefault="00F85630" w:rsidP="00F85630">
            <w:pPr>
              <w:pStyle w:val="TAL"/>
              <w:rPr>
                <w:rFonts w:hint="eastAsia"/>
                <w:lang w:eastAsia="zh-CN"/>
              </w:rPr>
            </w:pPr>
            <w:r w:rsidRPr="000A0A5F">
              <w:rPr>
                <w:lang w:eastAsia="zh-CN"/>
              </w:rPr>
              <w:t>409 Conflict</w:t>
            </w:r>
          </w:p>
        </w:tc>
        <w:tc>
          <w:tcPr>
            <w:tcW w:w="2334" w:type="pct"/>
          </w:tcPr>
          <w:p w:rsidR="00F85630" w:rsidRPr="000A0A5F" w:rsidRDefault="00F85630" w:rsidP="00F85630">
            <w:pPr>
              <w:pStyle w:val="TAL"/>
              <w:spacing w:afterLines="50" w:after="120"/>
            </w:pPr>
            <w:r w:rsidRPr="000A0A5F">
              <w:t>(NOTE 2)</w:t>
            </w:r>
          </w:p>
        </w:tc>
      </w:tr>
      <w:tr w:rsidR="00F85630" w:rsidRPr="000A0A5F" w:rsidTr="00F85630">
        <w:tc>
          <w:tcPr>
            <w:tcW w:w="532" w:type="pct"/>
            <w:vMerge/>
            <w:shd w:val="clear" w:color="auto" w:fill="C0C0C0"/>
            <w:vAlign w:val="center"/>
          </w:tcPr>
          <w:p w:rsidR="00F85630" w:rsidRPr="000A0A5F" w:rsidRDefault="00F85630" w:rsidP="00F85630">
            <w:pPr>
              <w:pStyle w:val="TAL"/>
              <w:jc w:val="center"/>
            </w:pPr>
          </w:p>
        </w:tc>
        <w:tc>
          <w:tcPr>
            <w:tcW w:w="1093" w:type="pct"/>
            <w:shd w:val="clear" w:color="auto" w:fill="auto"/>
          </w:tcPr>
          <w:p w:rsidR="00F85630" w:rsidRPr="000A0A5F" w:rsidRDefault="00F85630" w:rsidP="00F85630">
            <w:pPr>
              <w:pStyle w:val="TAL"/>
              <w:rPr>
                <w:rFonts w:hint="eastAsia"/>
                <w:lang w:eastAsia="zh-CN"/>
              </w:rPr>
            </w:pPr>
            <w:r w:rsidRPr="000A0A5F">
              <w:t>NiddDownlinkDataDeliveryFailure</w:t>
            </w:r>
          </w:p>
        </w:tc>
        <w:tc>
          <w:tcPr>
            <w:tcW w:w="541" w:type="pct"/>
          </w:tcPr>
          <w:p w:rsidR="00F85630" w:rsidRPr="000A0A5F" w:rsidRDefault="00F85630" w:rsidP="00F85630">
            <w:pPr>
              <w:pStyle w:val="TAL"/>
              <w:rPr>
                <w:rFonts w:hint="eastAsia"/>
                <w:lang w:eastAsia="zh-CN"/>
              </w:rPr>
            </w:pPr>
            <w:r w:rsidRPr="000A0A5F">
              <w:rPr>
                <w:lang w:eastAsia="zh-CN"/>
              </w:rPr>
              <w:t>0..1</w:t>
            </w:r>
          </w:p>
        </w:tc>
        <w:tc>
          <w:tcPr>
            <w:tcW w:w="500" w:type="pct"/>
          </w:tcPr>
          <w:p w:rsidR="00F85630" w:rsidRPr="000A0A5F" w:rsidRDefault="00F85630" w:rsidP="00F85630">
            <w:pPr>
              <w:pStyle w:val="TAL"/>
              <w:rPr>
                <w:rFonts w:hint="eastAsia"/>
                <w:lang w:eastAsia="zh-CN"/>
              </w:rPr>
            </w:pPr>
            <w:r w:rsidRPr="000A0A5F">
              <w:rPr>
                <w:lang w:eastAsia="zh-CN"/>
              </w:rPr>
              <w:t>500 Internal Server Error</w:t>
            </w:r>
          </w:p>
        </w:tc>
        <w:tc>
          <w:tcPr>
            <w:tcW w:w="2334" w:type="pct"/>
          </w:tcPr>
          <w:p w:rsidR="00F85630" w:rsidRPr="000A0A5F" w:rsidRDefault="00F85630" w:rsidP="00F85630">
            <w:pPr>
              <w:pStyle w:val="TAL"/>
              <w:spacing w:afterLines="50" w:after="120"/>
            </w:pPr>
            <w:r w:rsidRPr="000A0A5F">
              <w:t>(NOTE 2)</w:t>
            </w:r>
          </w:p>
        </w:tc>
      </w:tr>
      <w:tr w:rsidR="00F85630" w:rsidRPr="000A0A5F" w:rsidTr="00FF0AF8">
        <w:tc>
          <w:tcPr>
            <w:tcW w:w="5000" w:type="pct"/>
            <w:gridSpan w:val="5"/>
            <w:shd w:val="clear" w:color="auto" w:fill="auto"/>
            <w:vAlign w:val="center"/>
          </w:tcPr>
          <w:p w:rsidR="00F85630" w:rsidRPr="000A0A5F" w:rsidRDefault="00F85630" w:rsidP="00F85630">
            <w:pPr>
              <w:pStyle w:val="TAN"/>
              <w:rPr>
                <w:lang w:eastAsia="zh-CN"/>
              </w:rPr>
            </w:pPr>
            <w:r w:rsidRPr="000A0A5F">
              <w:t>NOTE 1:</w:t>
            </w:r>
            <w:r w:rsidRPr="000A0A5F">
              <w:tab/>
              <w:t>The mandatory HTTP error status codes for the DELETE method listed in table 5.2.6-1 also apply.</w:t>
            </w:r>
          </w:p>
          <w:p w:rsidR="00F85630" w:rsidRPr="000A0A5F" w:rsidRDefault="00F85630" w:rsidP="00DC2C48">
            <w:pPr>
              <w:pStyle w:val="TAN"/>
            </w:pPr>
            <w:r w:rsidRPr="000A0A5F">
              <w:t>NOTE 2:</w:t>
            </w:r>
            <w:r w:rsidRPr="000A0A5F">
              <w:tab/>
            </w:r>
            <w:r w:rsidR="00DC2C48" w:rsidRPr="000A0A5F">
              <w:t>Failure cases are described</w:t>
            </w:r>
            <w:r w:rsidRPr="000A0A5F">
              <w:t xml:space="preserve"> in clause 5.6.5.3.</w:t>
            </w:r>
          </w:p>
        </w:tc>
      </w:tr>
    </w:tbl>
    <w:p w:rsidR="00CB0DD7" w:rsidRPr="000A0A5F" w:rsidRDefault="00CB0DD7"/>
    <w:p w:rsidR="00CB0DD7" w:rsidRPr="000A0A5F" w:rsidRDefault="002E466A">
      <w:pPr>
        <w:pStyle w:val="TH"/>
      </w:pPr>
      <w:r w:rsidRPr="000A0A5F">
        <w:t>Table </w:t>
      </w:r>
      <w:r w:rsidR="00CB0DD7" w:rsidRPr="000A0A5F">
        <w:t>5.</w:t>
      </w:r>
      <w:r w:rsidR="00CB0DD7" w:rsidRPr="000A0A5F">
        <w:rPr>
          <w:rFonts w:hint="eastAsia"/>
          <w:lang w:eastAsia="zh-CN"/>
        </w:rPr>
        <w:t>6</w:t>
      </w:r>
      <w:r w:rsidR="00CB0DD7" w:rsidRPr="000A0A5F">
        <w:t>.</w:t>
      </w:r>
      <w:r w:rsidR="00CB0DD7" w:rsidRPr="000A0A5F">
        <w:rPr>
          <w:rFonts w:hint="eastAsia"/>
          <w:lang w:eastAsia="zh-CN"/>
        </w:rPr>
        <w:t>3</w:t>
      </w:r>
      <w:r w:rsidR="00CB0DD7" w:rsidRPr="000A0A5F">
        <w:t>.</w:t>
      </w:r>
      <w:r w:rsidR="00CB0DD7" w:rsidRPr="000A0A5F">
        <w:rPr>
          <w:rFonts w:hint="eastAsia"/>
          <w:lang w:eastAsia="zh-CN"/>
        </w:rPr>
        <w:t>5</w:t>
      </w:r>
      <w:r w:rsidR="00CB0DD7" w:rsidRPr="000A0A5F">
        <w:t>.3.</w:t>
      </w:r>
      <w:r w:rsidR="00CB0DD7" w:rsidRPr="000A0A5F">
        <w:rPr>
          <w:lang w:eastAsia="zh-CN"/>
        </w:rPr>
        <w:t>5</w:t>
      </w:r>
      <w:r w:rsidR="00CB0DD7" w:rsidRPr="000A0A5F">
        <w:t>-2: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2E466A">
      <w:pPr>
        <w:pStyle w:val="TH"/>
      </w:pPr>
      <w:r w:rsidRPr="000A0A5F">
        <w:t>Table </w:t>
      </w:r>
      <w:r w:rsidR="00CB0DD7" w:rsidRPr="000A0A5F">
        <w:t>5.</w:t>
      </w:r>
      <w:r w:rsidR="00CB0DD7" w:rsidRPr="000A0A5F">
        <w:rPr>
          <w:rFonts w:hint="eastAsia"/>
          <w:lang w:eastAsia="zh-CN"/>
        </w:rPr>
        <w:t>6</w:t>
      </w:r>
      <w:r w:rsidR="00CB0DD7" w:rsidRPr="000A0A5F">
        <w:t>.</w:t>
      </w:r>
      <w:r w:rsidR="00CB0DD7" w:rsidRPr="000A0A5F">
        <w:rPr>
          <w:rFonts w:hint="eastAsia"/>
          <w:lang w:eastAsia="zh-CN"/>
        </w:rPr>
        <w:t>3</w:t>
      </w:r>
      <w:r w:rsidR="00CB0DD7" w:rsidRPr="000A0A5F">
        <w:t>.</w:t>
      </w:r>
      <w:r w:rsidR="00CB0DD7" w:rsidRPr="000A0A5F">
        <w:rPr>
          <w:rFonts w:hint="eastAsia"/>
          <w:lang w:eastAsia="zh-CN"/>
        </w:rPr>
        <w:t>5</w:t>
      </w:r>
      <w:r w:rsidR="00CB0DD7" w:rsidRPr="000A0A5F">
        <w:t>.3.</w:t>
      </w:r>
      <w:r w:rsidR="00CB0DD7" w:rsidRPr="000A0A5F">
        <w:rPr>
          <w:lang w:eastAsia="zh-CN"/>
        </w:rPr>
        <w:t>5</w:t>
      </w:r>
      <w:r w:rsidR="00CB0DD7" w:rsidRPr="000A0A5F">
        <w:t>-3: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CB0DD7">
      <w:pPr>
        <w:pStyle w:val="Heading4"/>
      </w:pPr>
      <w:bookmarkStart w:id="4279" w:name="_Toc11247497"/>
      <w:bookmarkStart w:id="4280" w:name="_Toc27044621"/>
      <w:bookmarkStart w:id="4281" w:name="_Toc36033663"/>
      <w:bookmarkStart w:id="4282" w:name="_Toc45131800"/>
      <w:bookmarkStart w:id="4283" w:name="_Toc49776085"/>
      <w:bookmarkStart w:id="4284" w:name="_Toc51747005"/>
      <w:bookmarkStart w:id="4285" w:name="_Toc66360560"/>
      <w:bookmarkStart w:id="4286" w:name="_Toc68105065"/>
      <w:bookmarkStart w:id="4287" w:name="_Toc74755695"/>
      <w:bookmarkStart w:id="4288" w:name="_Toc105674569"/>
      <w:bookmarkStart w:id="4289" w:name="_Toc130502617"/>
      <w:bookmarkStart w:id="4290" w:name="_Toc153625404"/>
      <w:r w:rsidRPr="000A0A5F">
        <w:t>5.6.3.6</w:t>
      </w:r>
      <w:r w:rsidRPr="000A0A5F">
        <w:tab/>
        <w:t>Void</w:t>
      </w:r>
      <w:bookmarkEnd w:id="4279"/>
      <w:bookmarkEnd w:id="4280"/>
      <w:bookmarkEnd w:id="4281"/>
      <w:bookmarkEnd w:id="4282"/>
      <w:bookmarkEnd w:id="4283"/>
      <w:bookmarkEnd w:id="4284"/>
      <w:bookmarkEnd w:id="4285"/>
      <w:bookmarkEnd w:id="4286"/>
      <w:bookmarkEnd w:id="4287"/>
      <w:bookmarkEnd w:id="4288"/>
      <w:bookmarkEnd w:id="4289"/>
      <w:bookmarkEnd w:id="4290"/>
    </w:p>
    <w:p w:rsidR="00CB0DD7" w:rsidRPr="000A0A5F" w:rsidRDefault="00CB0DD7">
      <w:pPr>
        <w:pStyle w:val="Heading4"/>
      </w:pPr>
      <w:bookmarkStart w:id="4291" w:name="_Toc11247503"/>
      <w:bookmarkStart w:id="4292" w:name="_Toc27044627"/>
      <w:bookmarkStart w:id="4293" w:name="_Toc36033669"/>
      <w:bookmarkStart w:id="4294" w:name="_Toc45131806"/>
      <w:bookmarkStart w:id="4295" w:name="_Toc49776091"/>
      <w:bookmarkStart w:id="4296" w:name="_Toc51747011"/>
      <w:bookmarkStart w:id="4297" w:name="_Toc66360561"/>
      <w:bookmarkStart w:id="4298" w:name="_Toc68105066"/>
      <w:bookmarkStart w:id="4299" w:name="_Toc74755696"/>
      <w:bookmarkStart w:id="4300" w:name="_Toc105674570"/>
      <w:bookmarkStart w:id="4301" w:name="_Toc130502618"/>
      <w:bookmarkStart w:id="4302" w:name="_Toc153625405"/>
      <w:r w:rsidRPr="000A0A5F">
        <w:t>5.6.3.7</w:t>
      </w:r>
      <w:r w:rsidRPr="000A0A5F">
        <w:tab/>
        <w:t>Void</w:t>
      </w:r>
      <w:bookmarkEnd w:id="4291"/>
      <w:bookmarkEnd w:id="4292"/>
      <w:bookmarkEnd w:id="4293"/>
      <w:bookmarkEnd w:id="4294"/>
      <w:bookmarkEnd w:id="4295"/>
      <w:bookmarkEnd w:id="4296"/>
      <w:bookmarkEnd w:id="4297"/>
      <w:bookmarkEnd w:id="4298"/>
      <w:bookmarkEnd w:id="4299"/>
      <w:bookmarkEnd w:id="4300"/>
      <w:bookmarkEnd w:id="4301"/>
      <w:bookmarkEnd w:id="4302"/>
    </w:p>
    <w:p w:rsidR="00CB0DD7" w:rsidRPr="000A0A5F" w:rsidRDefault="00CB0DD7">
      <w:pPr>
        <w:pStyle w:val="Heading4"/>
      </w:pPr>
      <w:bookmarkStart w:id="4303" w:name="_Toc11247509"/>
      <w:bookmarkStart w:id="4304" w:name="_Toc27044633"/>
      <w:bookmarkStart w:id="4305" w:name="_Toc36033675"/>
      <w:bookmarkStart w:id="4306" w:name="_Toc45131812"/>
      <w:bookmarkStart w:id="4307" w:name="_Toc49776097"/>
      <w:bookmarkStart w:id="4308" w:name="_Toc51747017"/>
      <w:bookmarkStart w:id="4309" w:name="_Toc66360562"/>
      <w:bookmarkStart w:id="4310" w:name="_Toc68105067"/>
      <w:bookmarkStart w:id="4311" w:name="_Toc74755697"/>
      <w:bookmarkStart w:id="4312" w:name="_Toc105674571"/>
      <w:bookmarkStart w:id="4313" w:name="_Toc130502619"/>
      <w:bookmarkStart w:id="4314" w:name="_Toc153625406"/>
      <w:r w:rsidRPr="000A0A5F">
        <w:t>5.6.3.8</w:t>
      </w:r>
      <w:r w:rsidRPr="000A0A5F">
        <w:tab/>
        <w:t>Void</w:t>
      </w:r>
      <w:bookmarkEnd w:id="4303"/>
      <w:bookmarkEnd w:id="4304"/>
      <w:bookmarkEnd w:id="4305"/>
      <w:bookmarkEnd w:id="4306"/>
      <w:bookmarkEnd w:id="4307"/>
      <w:bookmarkEnd w:id="4308"/>
      <w:bookmarkEnd w:id="4309"/>
      <w:bookmarkEnd w:id="4310"/>
      <w:bookmarkEnd w:id="4311"/>
      <w:bookmarkEnd w:id="4312"/>
      <w:bookmarkEnd w:id="4313"/>
      <w:bookmarkEnd w:id="4314"/>
    </w:p>
    <w:p w:rsidR="00CB0DD7" w:rsidRPr="000A0A5F" w:rsidRDefault="00CB0DD7">
      <w:pPr>
        <w:pStyle w:val="Heading4"/>
        <w:rPr>
          <w:rFonts w:hint="eastAsia"/>
          <w:lang w:eastAsia="zh-CN"/>
        </w:rPr>
      </w:pPr>
      <w:bookmarkStart w:id="4315" w:name="_Toc27044639"/>
      <w:bookmarkStart w:id="4316" w:name="_Toc36033681"/>
      <w:bookmarkStart w:id="4317" w:name="_Toc45131818"/>
      <w:bookmarkStart w:id="4318" w:name="_Toc49776103"/>
      <w:bookmarkStart w:id="4319" w:name="_Toc51747023"/>
      <w:bookmarkStart w:id="4320" w:name="_Toc66360563"/>
      <w:bookmarkStart w:id="4321" w:name="_Toc68105068"/>
      <w:bookmarkStart w:id="4322" w:name="_Toc74755698"/>
      <w:bookmarkStart w:id="4323" w:name="_Toc105674572"/>
      <w:bookmarkStart w:id="4324" w:name="_Toc130502620"/>
      <w:bookmarkStart w:id="4325" w:name="_Toc153625407"/>
      <w:r w:rsidRPr="000A0A5F">
        <w:t>5.6.3.9</w:t>
      </w:r>
      <w:r w:rsidRPr="000A0A5F">
        <w:tab/>
        <w:t xml:space="preserve">Resource: Individual ManagePort </w:t>
      </w:r>
      <w:r w:rsidRPr="000A0A5F">
        <w:rPr>
          <w:rFonts w:hint="eastAsia"/>
          <w:lang w:eastAsia="zh-CN"/>
        </w:rPr>
        <w:t>Configuration</w:t>
      </w:r>
      <w:bookmarkEnd w:id="4315"/>
      <w:bookmarkEnd w:id="4316"/>
      <w:bookmarkEnd w:id="4317"/>
      <w:bookmarkEnd w:id="4318"/>
      <w:bookmarkEnd w:id="4319"/>
      <w:bookmarkEnd w:id="4320"/>
      <w:bookmarkEnd w:id="4321"/>
      <w:bookmarkEnd w:id="4322"/>
      <w:bookmarkEnd w:id="4323"/>
      <w:bookmarkEnd w:id="4324"/>
      <w:bookmarkEnd w:id="4325"/>
    </w:p>
    <w:p w:rsidR="00CB0DD7" w:rsidRPr="000A0A5F" w:rsidRDefault="00CB0DD7">
      <w:pPr>
        <w:pStyle w:val="Heading5"/>
      </w:pPr>
      <w:bookmarkStart w:id="4326" w:name="_Toc27044640"/>
      <w:bookmarkStart w:id="4327" w:name="_Toc36033682"/>
      <w:bookmarkStart w:id="4328" w:name="_Toc45131819"/>
      <w:bookmarkStart w:id="4329" w:name="_Toc49776104"/>
      <w:bookmarkStart w:id="4330" w:name="_Toc51747024"/>
      <w:bookmarkStart w:id="4331" w:name="_Toc66360564"/>
      <w:bookmarkStart w:id="4332" w:name="_Toc68105069"/>
      <w:bookmarkStart w:id="4333" w:name="_Toc74755699"/>
      <w:bookmarkStart w:id="4334" w:name="_Toc105674573"/>
      <w:bookmarkStart w:id="4335" w:name="_Toc130502621"/>
      <w:bookmarkStart w:id="4336" w:name="_Toc153625408"/>
      <w:r w:rsidRPr="000A0A5F">
        <w:t>5.6.3.9.1</w:t>
      </w:r>
      <w:r w:rsidRPr="000A0A5F">
        <w:tab/>
        <w:t>Introduction</w:t>
      </w:r>
      <w:bookmarkEnd w:id="4326"/>
      <w:bookmarkEnd w:id="4327"/>
      <w:bookmarkEnd w:id="4328"/>
      <w:bookmarkEnd w:id="4329"/>
      <w:bookmarkEnd w:id="4330"/>
      <w:bookmarkEnd w:id="4331"/>
      <w:bookmarkEnd w:id="4332"/>
      <w:bookmarkEnd w:id="4333"/>
      <w:bookmarkEnd w:id="4334"/>
      <w:bookmarkEnd w:id="4335"/>
      <w:bookmarkEnd w:id="4336"/>
    </w:p>
    <w:p w:rsidR="00CB0DD7" w:rsidRPr="000A0A5F" w:rsidRDefault="00CB0DD7">
      <w:pPr>
        <w:rPr>
          <w:noProof/>
          <w:lang w:eastAsia="zh-CN"/>
        </w:rPr>
      </w:pPr>
      <w:r w:rsidRPr="000A0A5F">
        <w:rPr>
          <w:noProof/>
          <w:lang w:eastAsia="zh-CN"/>
        </w:rPr>
        <w:t>This resource allows t</w:t>
      </w:r>
      <w:r w:rsidRPr="000A0A5F">
        <w:rPr>
          <w:rFonts w:hint="eastAsia"/>
          <w:noProof/>
          <w:lang w:eastAsia="zh-CN"/>
        </w:rPr>
        <w:t xml:space="preserve">he SCS/AS </w:t>
      </w:r>
      <w:r w:rsidRPr="000A0A5F">
        <w:rPr>
          <w:noProof/>
          <w:lang w:eastAsia="zh-CN"/>
        </w:rPr>
        <w:t>to create, delete or read</w:t>
      </w:r>
      <w:r w:rsidRPr="000A0A5F">
        <w:rPr>
          <w:rFonts w:hint="eastAsia"/>
          <w:noProof/>
          <w:lang w:eastAsia="zh-CN"/>
        </w:rPr>
        <w:t xml:space="preserve"> the specific </w:t>
      </w:r>
      <w:r w:rsidRPr="000A0A5F">
        <w:rPr>
          <w:noProof/>
          <w:lang w:eastAsia="zh-CN"/>
        </w:rPr>
        <w:t>ManagePort</w:t>
      </w:r>
      <w:r w:rsidRPr="000A0A5F">
        <w:rPr>
          <w:rFonts w:hint="eastAsia"/>
          <w:noProof/>
          <w:lang w:eastAsia="zh-CN"/>
        </w:rPr>
        <w:t xml:space="preserve"> configuration</w:t>
      </w:r>
      <w:r w:rsidRPr="000A0A5F">
        <w:rPr>
          <w:noProof/>
          <w:lang w:eastAsia="zh-CN"/>
        </w:rPr>
        <w:t xml:space="preserve"> at the SCEF.  </w:t>
      </w:r>
    </w:p>
    <w:p w:rsidR="00CB0DD7" w:rsidRPr="000A0A5F" w:rsidRDefault="00CB0DD7">
      <w:pPr>
        <w:pStyle w:val="Heading5"/>
      </w:pPr>
      <w:bookmarkStart w:id="4337" w:name="_Toc27044641"/>
      <w:bookmarkStart w:id="4338" w:name="_Toc36033683"/>
      <w:bookmarkStart w:id="4339" w:name="_Toc45131820"/>
      <w:bookmarkStart w:id="4340" w:name="_Toc49776105"/>
      <w:bookmarkStart w:id="4341" w:name="_Toc51747025"/>
      <w:bookmarkStart w:id="4342" w:name="_Toc66360565"/>
      <w:bookmarkStart w:id="4343" w:name="_Toc68105070"/>
      <w:bookmarkStart w:id="4344" w:name="_Toc74755700"/>
      <w:bookmarkStart w:id="4345" w:name="_Toc105674574"/>
      <w:bookmarkStart w:id="4346" w:name="_Toc130502622"/>
      <w:bookmarkStart w:id="4347" w:name="_Toc153625409"/>
      <w:r w:rsidRPr="000A0A5F">
        <w:t>5.6.3.9.2</w:t>
      </w:r>
      <w:r w:rsidRPr="000A0A5F">
        <w:tab/>
        <w:t>Resource definition</w:t>
      </w:r>
      <w:bookmarkEnd w:id="4337"/>
      <w:bookmarkEnd w:id="4338"/>
      <w:bookmarkEnd w:id="4339"/>
      <w:bookmarkEnd w:id="4340"/>
      <w:bookmarkEnd w:id="4341"/>
      <w:bookmarkEnd w:id="4342"/>
      <w:bookmarkEnd w:id="4343"/>
      <w:bookmarkEnd w:id="4344"/>
      <w:bookmarkEnd w:id="4345"/>
      <w:bookmarkEnd w:id="4346"/>
      <w:bookmarkEnd w:id="4347"/>
    </w:p>
    <w:p w:rsidR="00CB0DD7" w:rsidRPr="000A0A5F" w:rsidRDefault="00CB0DD7">
      <w:r w:rsidRPr="000A0A5F">
        <w:t xml:space="preserve">Resource URI: </w:t>
      </w:r>
      <w:r w:rsidRPr="000A0A5F">
        <w:rPr>
          <w:b/>
        </w:rPr>
        <w:t>{apiRoot}/3gpp-nidd/v1/{scsAsId}/</w:t>
      </w:r>
      <w:r w:rsidRPr="000A0A5F">
        <w:rPr>
          <w:rFonts w:hint="eastAsia"/>
          <w:b/>
          <w:lang w:eastAsia="zh-CN"/>
        </w:rPr>
        <w:t>configurations</w:t>
      </w:r>
      <w:r w:rsidRPr="000A0A5F">
        <w:rPr>
          <w:b/>
        </w:rPr>
        <w:t>/{configurationId}/rds-ports/{portId}</w:t>
      </w:r>
    </w:p>
    <w:p w:rsidR="00CB0DD7" w:rsidRPr="000A0A5F" w:rsidRDefault="00CB0DD7">
      <w:pPr>
        <w:rPr>
          <w:rFonts w:ascii="Arial" w:hAnsi="Arial" w:cs="Arial"/>
        </w:rPr>
      </w:pPr>
      <w:r w:rsidRPr="000A0A5F">
        <w:t>This resource shall support the resource URI variables defined in table 5.6.3.9.2-1</w:t>
      </w:r>
      <w:r w:rsidRPr="000A0A5F">
        <w:rPr>
          <w:rFonts w:ascii="Arial" w:hAnsi="Arial" w:cs="Arial"/>
        </w:rPr>
        <w:t>.</w:t>
      </w:r>
    </w:p>
    <w:p w:rsidR="00CB0DD7" w:rsidRPr="000A0A5F" w:rsidRDefault="00CB0DD7">
      <w:pPr>
        <w:pStyle w:val="TH"/>
        <w:rPr>
          <w:rFonts w:cs="Arial"/>
        </w:rPr>
      </w:pPr>
      <w:r w:rsidRPr="000A0A5F">
        <w:t>Table 5.6.3.9.2-1: Resource URI variables for resource "Individual ManagePort Configuration"</w:t>
      </w:r>
    </w:p>
    <w:tbl>
      <w:tblPr>
        <w:tblW w:w="494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970"/>
        <w:gridCol w:w="1312"/>
        <w:gridCol w:w="6378"/>
        <w:tblGridChange w:id="4348">
          <w:tblGrid>
            <w:gridCol w:w="1970"/>
            <w:gridCol w:w="1312"/>
            <w:gridCol w:w="6378"/>
          </w:tblGrid>
        </w:tblGridChange>
      </w:tblGrid>
      <w:tr w:rsidR="00CB0DD7" w:rsidRPr="000A0A5F" w:rsidTr="00FF0AF8">
        <w:trPr>
          <w:jc w:val="center"/>
        </w:trPr>
        <w:tc>
          <w:tcPr>
            <w:tcW w:w="1020" w:type="pct"/>
            <w:shd w:val="clear" w:color="000000" w:fill="C0C0C0"/>
          </w:tcPr>
          <w:p w:rsidR="00CB0DD7" w:rsidRPr="000A0A5F" w:rsidRDefault="00CB0DD7">
            <w:pPr>
              <w:pStyle w:val="TAH"/>
            </w:pPr>
            <w:r w:rsidRPr="000A0A5F">
              <w:t>Name</w:t>
            </w:r>
          </w:p>
        </w:tc>
        <w:tc>
          <w:tcPr>
            <w:tcW w:w="679" w:type="pct"/>
            <w:shd w:val="clear" w:color="000000" w:fill="C0C0C0"/>
          </w:tcPr>
          <w:p w:rsidR="00CB0DD7" w:rsidRPr="000A0A5F" w:rsidRDefault="00CB0DD7">
            <w:pPr>
              <w:pStyle w:val="TAH"/>
            </w:pPr>
            <w:r w:rsidRPr="000A0A5F">
              <w:t>Data type</w:t>
            </w:r>
          </w:p>
        </w:tc>
        <w:tc>
          <w:tcPr>
            <w:tcW w:w="3301" w:type="pct"/>
            <w:shd w:val="clear" w:color="000000" w:fill="C0C0C0"/>
            <w:vAlign w:val="center"/>
          </w:tcPr>
          <w:p w:rsidR="00CB0DD7" w:rsidRPr="000A0A5F" w:rsidRDefault="00CB0DD7">
            <w:pPr>
              <w:pStyle w:val="TAH"/>
            </w:pPr>
            <w:r w:rsidRPr="000A0A5F">
              <w:t>Definition</w:t>
            </w:r>
          </w:p>
        </w:tc>
      </w:tr>
      <w:tr w:rsidR="00CB0DD7" w:rsidRPr="000A0A5F" w:rsidTr="00FF0AF8">
        <w:trPr>
          <w:jc w:val="center"/>
        </w:trPr>
        <w:tc>
          <w:tcPr>
            <w:tcW w:w="1020" w:type="pct"/>
            <w:shd w:val="clear" w:color="auto" w:fill="auto"/>
          </w:tcPr>
          <w:p w:rsidR="00CB0DD7" w:rsidRPr="000A0A5F" w:rsidRDefault="00CB0DD7">
            <w:pPr>
              <w:pStyle w:val="TAL"/>
            </w:pPr>
            <w:r w:rsidRPr="000A0A5F">
              <w:t>apiRoot</w:t>
            </w:r>
          </w:p>
        </w:tc>
        <w:tc>
          <w:tcPr>
            <w:tcW w:w="679" w:type="pct"/>
          </w:tcPr>
          <w:p w:rsidR="00CB0DD7" w:rsidRPr="000A0A5F" w:rsidRDefault="00CB0DD7">
            <w:pPr>
              <w:pStyle w:val="TAL"/>
            </w:pPr>
            <w:r w:rsidRPr="000A0A5F">
              <w:rPr>
                <w:rFonts w:hint="eastAsia"/>
                <w:lang w:eastAsia="zh-CN"/>
              </w:rPr>
              <w:t>s</w:t>
            </w:r>
            <w:r w:rsidRPr="000A0A5F">
              <w:rPr>
                <w:lang w:eastAsia="zh-CN"/>
              </w:rPr>
              <w:t>tring</w:t>
            </w:r>
          </w:p>
        </w:tc>
        <w:tc>
          <w:tcPr>
            <w:tcW w:w="3301" w:type="pct"/>
            <w:shd w:val="clear" w:color="auto" w:fill="auto"/>
            <w:vAlign w:val="center"/>
          </w:tcPr>
          <w:p w:rsidR="00CB0DD7" w:rsidRPr="000A0A5F" w:rsidRDefault="00CB0DD7">
            <w:pPr>
              <w:pStyle w:val="TAL"/>
            </w:pPr>
            <w:r w:rsidRPr="000A0A5F">
              <w:t>See clause</w:t>
            </w:r>
            <w:r w:rsidRPr="000A0A5F">
              <w:rPr>
                <w:lang w:val="en-US" w:eastAsia="zh-CN"/>
              </w:rPr>
              <w:t> </w:t>
            </w:r>
            <w:r w:rsidRPr="000A0A5F">
              <w:t>5.2.4.</w:t>
            </w:r>
          </w:p>
        </w:tc>
      </w:tr>
      <w:tr w:rsidR="00CB0DD7" w:rsidRPr="000A0A5F" w:rsidTr="00FF0AF8">
        <w:trPr>
          <w:jc w:val="center"/>
        </w:trPr>
        <w:tc>
          <w:tcPr>
            <w:tcW w:w="1020" w:type="pct"/>
            <w:shd w:val="clear" w:color="auto" w:fill="auto"/>
          </w:tcPr>
          <w:p w:rsidR="00CB0DD7" w:rsidRPr="000A0A5F" w:rsidRDefault="00CB0DD7">
            <w:pPr>
              <w:pStyle w:val="TAL"/>
            </w:pPr>
            <w:r w:rsidRPr="000A0A5F">
              <w:t>scsAsId</w:t>
            </w:r>
          </w:p>
        </w:tc>
        <w:tc>
          <w:tcPr>
            <w:tcW w:w="679" w:type="pct"/>
          </w:tcPr>
          <w:p w:rsidR="00CB0DD7" w:rsidRPr="000A0A5F" w:rsidRDefault="00CB0DD7">
            <w:pPr>
              <w:pStyle w:val="TAL"/>
            </w:pPr>
            <w:r w:rsidRPr="000A0A5F">
              <w:rPr>
                <w:rFonts w:hint="eastAsia"/>
                <w:lang w:eastAsia="zh-CN"/>
              </w:rPr>
              <w:t>s</w:t>
            </w:r>
            <w:r w:rsidRPr="000A0A5F">
              <w:rPr>
                <w:lang w:eastAsia="zh-CN"/>
              </w:rPr>
              <w:t>tring</w:t>
            </w:r>
          </w:p>
        </w:tc>
        <w:tc>
          <w:tcPr>
            <w:tcW w:w="3301" w:type="pct"/>
            <w:shd w:val="clear" w:color="auto" w:fill="auto"/>
            <w:vAlign w:val="center"/>
          </w:tcPr>
          <w:p w:rsidR="00CB0DD7" w:rsidRPr="000A0A5F" w:rsidRDefault="00CB0DD7">
            <w:pPr>
              <w:pStyle w:val="TAL"/>
            </w:pPr>
            <w:r w:rsidRPr="000A0A5F">
              <w:t>Identifier of the SCS/AS.</w:t>
            </w:r>
          </w:p>
        </w:tc>
      </w:tr>
      <w:tr w:rsidR="00CB0DD7" w:rsidRPr="000A0A5F" w:rsidTr="00FF0AF8">
        <w:trPr>
          <w:jc w:val="center"/>
        </w:trPr>
        <w:tc>
          <w:tcPr>
            <w:tcW w:w="1020" w:type="pct"/>
            <w:shd w:val="clear" w:color="auto" w:fill="auto"/>
          </w:tcPr>
          <w:p w:rsidR="00CB0DD7" w:rsidRPr="000A0A5F" w:rsidRDefault="00CB0DD7">
            <w:pPr>
              <w:pStyle w:val="TAL"/>
            </w:pPr>
            <w:r w:rsidRPr="000A0A5F">
              <w:rPr>
                <w:lang w:eastAsia="zh-CN"/>
              </w:rPr>
              <w:t>configuration</w:t>
            </w:r>
            <w:r w:rsidRPr="000A0A5F">
              <w:t>Id</w:t>
            </w:r>
          </w:p>
        </w:tc>
        <w:tc>
          <w:tcPr>
            <w:tcW w:w="679" w:type="pct"/>
          </w:tcPr>
          <w:p w:rsidR="00CB0DD7" w:rsidRPr="000A0A5F" w:rsidRDefault="00CB0DD7">
            <w:pPr>
              <w:pStyle w:val="TAL"/>
            </w:pPr>
            <w:r w:rsidRPr="000A0A5F">
              <w:rPr>
                <w:rFonts w:hint="eastAsia"/>
                <w:lang w:eastAsia="zh-CN"/>
              </w:rPr>
              <w:t>s</w:t>
            </w:r>
            <w:r w:rsidRPr="000A0A5F">
              <w:rPr>
                <w:lang w:eastAsia="zh-CN"/>
              </w:rPr>
              <w:t>tring</w:t>
            </w:r>
          </w:p>
        </w:tc>
        <w:tc>
          <w:tcPr>
            <w:tcW w:w="3301" w:type="pct"/>
            <w:shd w:val="clear" w:color="auto" w:fill="auto"/>
            <w:vAlign w:val="center"/>
          </w:tcPr>
          <w:p w:rsidR="00CB0DD7" w:rsidRPr="000A0A5F" w:rsidRDefault="00CB0DD7">
            <w:pPr>
              <w:pStyle w:val="TAL"/>
            </w:pPr>
            <w:r w:rsidRPr="000A0A5F">
              <w:t>Identifier of the configuration. The configurationId corresponds to the stage 2 TLTRI.</w:t>
            </w:r>
          </w:p>
        </w:tc>
      </w:tr>
      <w:tr w:rsidR="00CB0DD7" w:rsidRPr="000A0A5F" w:rsidTr="00FF0AF8">
        <w:trPr>
          <w:jc w:val="center"/>
        </w:trPr>
        <w:tc>
          <w:tcPr>
            <w:tcW w:w="1020" w:type="pct"/>
            <w:shd w:val="clear" w:color="auto" w:fill="auto"/>
          </w:tcPr>
          <w:p w:rsidR="00CB0DD7" w:rsidRPr="000A0A5F" w:rsidRDefault="00CB0DD7">
            <w:pPr>
              <w:pStyle w:val="TAL"/>
              <w:rPr>
                <w:lang w:eastAsia="zh-CN"/>
              </w:rPr>
            </w:pPr>
            <w:r w:rsidRPr="000A0A5F">
              <w:rPr>
                <w:lang w:eastAsia="zh-CN"/>
              </w:rPr>
              <w:t>portId</w:t>
            </w:r>
          </w:p>
        </w:tc>
        <w:tc>
          <w:tcPr>
            <w:tcW w:w="679" w:type="pct"/>
          </w:tcPr>
          <w:p w:rsidR="00CB0DD7" w:rsidRPr="000A0A5F" w:rsidRDefault="00CB0DD7">
            <w:pPr>
              <w:pStyle w:val="TAL"/>
              <w:rPr>
                <w:rFonts w:hint="eastAsia"/>
                <w:lang w:eastAsia="zh-CN"/>
              </w:rPr>
            </w:pPr>
            <w:r w:rsidRPr="000A0A5F">
              <w:rPr>
                <w:lang w:eastAsia="zh-CN"/>
              </w:rPr>
              <w:t>string</w:t>
            </w:r>
          </w:p>
        </w:tc>
        <w:tc>
          <w:tcPr>
            <w:tcW w:w="3301" w:type="pct"/>
            <w:shd w:val="clear" w:color="auto" w:fill="auto"/>
            <w:vAlign w:val="center"/>
          </w:tcPr>
          <w:p w:rsidR="00CB0DD7" w:rsidRPr="000A0A5F" w:rsidRDefault="00CB0DD7">
            <w:pPr>
              <w:pStyle w:val="TAL"/>
            </w:pPr>
            <w:r w:rsidRPr="000A0A5F">
              <w:t>UE port identifier including both UE port number and exposure function port number.</w:t>
            </w:r>
          </w:p>
          <w:p w:rsidR="00CB0DD7" w:rsidRPr="000A0A5F" w:rsidRDefault="00CB0DD7">
            <w:pPr>
              <w:pStyle w:val="TAL"/>
            </w:pPr>
            <w:r w:rsidRPr="000A0A5F">
              <w:t>Pattern: "^(ue([0-9]|(1[0-5]))-ef([0-9]|(1[0-5])))$".</w:t>
            </w:r>
          </w:p>
        </w:tc>
      </w:tr>
    </w:tbl>
    <w:p w:rsidR="00CB0DD7" w:rsidRPr="000A0A5F" w:rsidRDefault="00CB0DD7"/>
    <w:p w:rsidR="00CB0DD7" w:rsidRPr="000A0A5F" w:rsidRDefault="00CB0DD7">
      <w:pPr>
        <w:pStyle w:val="Heading5"/>
      </w:pPr>
      <w:bookmarkStart w:id="4349" w:name="_Toc27044642"/>
      <w:bookmarkStart w:id="4350" w:name="_Toc36033684"/>
      <w:bookmarkStart w:id="4351" w:name="_Toc45131821"/>
      <w:bookmarkStart w:id="4352" w:name="_Toc49776106"/>
      <w:bookmarkStart w:id="4353" w:name="_Toc51747026"/>
      <w:bookmarkStart w:id="4354" w:name="_Toc66360566"/>
      <w:bookmarkStart w:id="4355" w:name="_Toc68105071"/>
      <w:bookmarkStart w:id="4356" w:name="_Toc74755701"/>
      <w:bookmarkStart w:id="4357" w:name="_Toc105674575"/>
      <w:bookmarkStart w:id="4358" w:name="_Toc130502623"/>
      <w:bookmarkStart w:id="4359" w:name="_Toc153625410"/>
      <w:r w:rsidRPr="000A0A5F">
        <w:t>5.6.3.9.3</w:t>
      </w:r>
      <w:r w:rsidRPr="000A0A5F">
        <w:tab/>
        <w:t>Resource methods</w:t>
      </w:r>
      <w:bookmarkEnd w:id="4349"/>
      <w:bookmarkEnd w:id="4350"/>
      <w:bookmarkEnd w:id="4351"/>
      <w:bookmarkEnd w:id="4352"/>
      <w:bookmarkEnd w:id="4353"/>
      <w:bookmarkEnd w:id="4354"/>
      <w:bookmarkEnd w:id="4355"/>
      <w:bookmarkEnd w:id="4356"/>
      <w:bookmarkEnd w:id="4357"/>
      <w:bookmarkEnd w:id="4358"/>
      <w:bookmarkEnd w:id="4359"/>
    </w:p>
    <w:p w:rsidR="00CB0DD7" w:rsidRPr="000A0A5F" w:rsidRDefault="00CB0DD7">
      <w:pPr>
        <w:pStyle w:val="Heading6"/>
      </w:pPr>
      <w:bookmarkStart w:id="4360" w:name="_Toc27044643"/>
      <w:bookmarkStart w:id="4361" w:name="_Toc36033685"/>
      <w:bookmarkStart w:id="4362" w:name="_Toc45131822"/>
      <w:bookmarkStart w:id="4363" w:name="_Toc49776107"/>
      <w:bookmarkStart w:id="4364" w:name="_Toc51747027"/>
      <w:bookmarkStart w:id="4365" w:name="_Toc66360567"/>
      <w:bookmarkStart w:id="4366" w:name="_Toc68105072"/>
      <w:bookmarkStart w:id="4367" w:name="_Toc74755702"/>
      <w:bookmarkStart w:id="4368" w:name="_Toc105674576"/>
      <w:bookmarkStart w:id="4369" w:name="_Toc130502624"/>
      <w:bookmarkStart w:id="4370" w:name="_Toc153625411"/>
      <w:r w:rsidRPr="000A0A5F">
        <w:t>5.6.3.9.3.1</w:t>
      </w:r>
      <w:r w:rsidRPr="000A0A5F">
        <w:tab/>
        <w:t>GET</w:t>
      </w:r>
      <w:bookmarkEnd w:id="4360"/>
      <w:bookmarkEnd w:id="4361"/>
      <w:bookmarkEnd w:id="4362"/>
      <w:bookmarkEnd w:id="4363"/>
      <w:bookmarkEnd w:id="4364"/>
      <w:bookmarkEnd w:id="4365"/>
      <w:bookmarkEnd w:id="4366"/>
      <w:bookmarkEnd w:id="4367"/>
      <w:bookmarkEnd w:id="4368"/>
      <w:bookmarkEnd w:id="4369"/>
      <w:bookmarkEnd w:id="4370"/>
    </w:p>
    <w:p w:rsidR="00CB0DD7" w:rsidRPr="000A0A5F" w:rsidRDefault="00CB0DD7">
      <w:pPr>
        <w:rPr>
          <w:noProof/>
          <w:lang w:eastAsia="zh-CN"/>
        </w:rPr>
      </w:pPr>
      <w:r w:rsidRPr="000A0A5F">
        <w:rPr>
          <w:noProof/>
          <w:lang w:eastAsia="zh-CN"/>
        </w:rPr>
        <w:t xml:space="preserve">The GET method allows to read a ManagePort configuration resource to query the ports reserved. The SCS/AS shall initiate the HTTP GET request message and the SCEF shall respond to the message. </w:t>
      </w:r>
    </w:p>
    <w:p w:rsidR="00CB0DD7" w:rsidRPr="000A0A5F" w:rsidRDefault="00CB0DD7">
      <w:r w:rsidRPr="000A0A5F">
        <w:t>This method shall support the URI query parameters, request and response data structures, and response codes, as specified in the table 5.6.3.9.3.1-1 and table 5.6.3.9.3.1-2.</w:t>
      </w:r>
    </w:p>
    <w:p w:rsidR="00CB0DD7" w:rsidRPr="000A0A5F" w:rsidRDefault="00CB0DD7">
      <w:pPr>
        <w:pStyle w:val="TH"/>
        <w:rPr>
          <w:rFonts w:cs="Arial"/>
        </w:rPr>
      </w:pPr>
      <w:r w:rsidRPr="000A0A5F">
        <w:t xml:space="preserve">Table 5.6.3.9.3.1-1: URI query parameters supported by the GET method on this resource </w:t>
      </w:r>
    </w:p>
    <w:tbl>
      <w:tblPr>
        <w:tblW w:w="4999"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612"/>
        <w:gridCol w:w="1709"/>
        <w:gridCol w:w="1140"/>
        <w:gridCol w:w="5314"/>
      </w:tblGrid>
      <w:tr w:rsidR="00CB0DD7" w:rsidRPr="000A0A5F" w:rsidTr="00FF0AF8">
        <w:trPr>
          <w:jc w:val="center"/>
        </w:trPr>
        <w:tc>
          <w:tcPr>
            <w:tcW w:w="825" w:type="pct"/>
            <w:shd w:val="clear" w:color="000000" w:fill="C0C0C0"/>
          </w:tcPr>
          <w:p w:rsidR="00CB0DD7" w:rsidRPr="000A0A5F" w:rsidRDefault="00CB0DD7">
            <w:pPr>
              <w:pStyle w:val="TAH"/>
            </w:pPr>
            <w:r w:rsidRPr="000A0A5F">
              <w:t>Name</w:t>
            </w:r>
          </w:p>
        </w:tc>
        <w:tc>
          <w:tcPr>
            <w:tcW w:w="874" w:type="pct"/>
            <w:shd w:val="clear" w:color="000000" w:fill="C0C0C0"/>
          </w:tcPr>
          <w:p w:rsidR="00CB0DD7" w:rsidRPr="000A0A5F" w:rsidRDefault="00CB0DD7">
            <w:pPr>
              <w:pStyle w:val="TAH"/>
            </w:pPr>
            <w:r w:rsidRPr="000A0A5F">
              <w:t>Data type</w:t>
            </w:r>
          </w:p>
        </w:tc>
        <w:tc>
          <w:tcPr>
            <w:tcW w:w="583" w:type="pct"/>
            <w:shd w:val="clear" w:color="000000" w:fill="C0C0C0"/>
          </w:tcPr>
          <w:p w:rsidR="00CB0DD7" w:rsidRPr="000A0A5F" w:rsidRDefault="00CB0DD7">
            <w:pPr>
              <w:pStyle w:val="TAH"/>
            </w:pPr>
            <w:r w:rsidRPr="000A0A5F">
              <w:t>Cardinality</w:t>
            </w:r>
          </w:p>
        </w:tc>
        <w:tc>
          <w:tcPr>
            <w:tcW w:w="2718" w:type="pct"/>
            <w:shd w:val="clear" w:color="000000" w:fill="C0C0C0"/>
            <w:vAlign w:val="center"/>
          </w:tcPr>
          <w:p w:rsidR="00CB0DD7" w:rsidRPr="000A0A5F" w:rsidRDefault="00CB0DD7">
            <w:pPr>
              <w:pStyle w:val="TAH"/>
            </w:pPr>
            <w:r w:rsidRPr="000A0A5F">
              <w:t>Remarks</w:t>
            </w:r>
          </w:p>
        </w:tc>
      </w:tr>
      <w:tr w:rsidR="00CB0DD7" w:rsidRPr="000A0A5F" w:rsidTr="00FF0AF8">
        <w:trPr>
          <w:jc w:val="center"/>
        </w:trPr>
        <w:tc>
          <w:tcPr>
            <w:tcW w:w="825" w:type="pct"/>
            <w:shd w:val="clear" w:color="auto" w:fill="auto"/>
          </w:tcPr>
          <w:p w:rsidR="00CB0DD7" w:rsidRPr="000A0A5F" w:rsidRDefault="00CB0DD7">
            <w:pPr>
              <w:pStyle w:val="TAL"/>
            </w:pPr>
            <w:r w:rsidRPr="000A0A5F">
              <w:t>none specified</w:t>
            </w:r>
          </w:p>
        </w:tc>
        <w:tc>
          <w:tcPr>
            <w:tcW w:w="874" w:type="pct"/>
          </w:tcPr>
          <w:p w:rsidR="00CB0DD7" w:rsidRPr="000A0A5F" w:rsidRDefault="00CB0DD7">
            <w:pPr>
              <w:pStyle w:val="TAL"/>
            </w:pPr>
          </w:p>
        </w:tc>
        <w:tc>
          <w:tcPr>
            <w:tcW w:w="583" w:type="pct"/>
          </w:tcPr>
          <w:p w:rsidR="00CB0DD7" w:rsidRPr="000A0A5F" w:rsidRDefault="00CB0DD7">
            <w:pPr>
              <w:pStyle w:val="TAL"/>
            </w:pPr>
          </w:p>
        </w:tc>
        <w:tc>
          <w:tcPr>
            <w:tcW w:w="2718" w:type="pct"/>
            <w:shd w:val="clear" w:color="auto" w:fill="auto"/>
            <w:vAlign w:val="center"/>
          </w:tcPr>
          <w:p w:rsidR="00CB0DD7" w:rsidRPr="000A0A5F" w:rsidRDefault="00CB0DD7">
            <w:pPr>
              <w:pStyle w:val="TAL"/>
            </w:pPr>
          </w:p>
        </w:tc>
      </w:tr>
    </w:tbl>
    <w:p w:rsidR="00CB0DD7" w:rsidRPr="000A0A5F" w:rsidRDefault="00CB0DD7"/>
    <w:p w:rsidR="00CB0DD7" w:rsidRPr="000A0A5F" w:rsidRDefault="00CB0DD7">
      <w:pPr>
        <w:pStyle w:val="TH"/>
        <w:spacing w:before="120"/>
      </w:pPr>
      <w:r w:rsidRPr="000A0A5F">
        <w:t>Table 5.6.3.9.3.1-2: Data structures supported by the GET request/response by the resource</w:t>
      </w:r>
    </w:p>
    <w:tbl>
      <w:tblPr>
        <w:tblW w:w="4999" w:type="pct"/>
        <w:tblInd w:w="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45" w:type="dxa"/>
          <w:left w:w="45" w:type="dxa"/>
          <w:bottom w:w="45" w:type="dxa"/>
          <w:right w:w="45" w:type="dxa"/>
        </w:tblCellMar>
        <w:tblLook w:val="0000" w:firstRow="0" w:lastRow="0" w:firstColumn="0" w:lastColumn="0" w:noHBand="0" w:noVBand="0"/>
      </w:tblPr>
      <w:tblGrid>
        <w:gridCol w:w="1035"/>
        <w:gridCol w:w="2127"/>
        <w:gridCol w:w="1053"/>
        <w:gridCol w:w="973"/>
        <w:gridCol w:w="4541"/>
      </w:tblGrid>
      <w:tr w:rsidR="00CB0DD7" w:rsidRPr="000A0A5F" w:rsidTr="0086706F">
        <w:tc>
          <w:tcPr>
            <w:tcW w:w="532" w:type="pct"/>
            <w:vMerge w:val="restart"/>
            <w:shd w:val="clear" w:color="auto" w:fill="C0C0C0"/>
            <w:vAlign w:val="center"/>
          </w:tcPr>
          <w:p w:rsidR="00CB0DD7" w:rsidRPr="000A0A5F" w:rsidRDefault="00CB0DD7">
            <w:pPr>
              <w:pStyle w:val="TAH"/>
            </w:pPr>
            <w:r w:rsidRPr="000A0A5F">
              <w:t>Request body</w:t>
            </w:r>
          </w:p>
        </w:tc>
        <w:tc>
          <w:tcPr>
            <w:tcW w:w="1093" w:type="pct"/>
            <w:shd w:val="clear" w:color="auto" w:fill="C0C0C0"/>
          </w:tcPr>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r w:rsidRPr="000A0A5F">
              <w:t>Cardinality</w:t>
            </w:r>
          </w:p>
        </w:tc>
        <w:tc>
          <w:tcPr>
            <w:tcW w:w="2834" w:type="pct"/>
            <w:gridSpan w:val="2"/>
            <w:shd w:val="clear" w:color="auto" w:fill="C0C0C0"/>
          </w:tcPr>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None</w:t>
            </w:r>
          </w:p>
        </w:tc>
        <w:tc>
          <w:tcPr>
            <w:tcW w:w="541" w:type="pct"/>
          </w:tcPr>
          <w:p w:rsidR="00CB0DD7" w:rsidRPr="000A0A5F" w:rsidRDefault="00CB0DD7">
            <w:pPr>
              <w:pStyle w:val="TAL"/>
            </w:pPr>
          </w:p>
        </w:tc>
        <w:tc>
          <w:tcPr>
            <w:tcW w:w="2834" w:type="pct"/>
            <w:gridSpan w:val="2"/>
          </w:tcPr>
          <w:p w:rsidR="00CB0DD7" w:rsidRPr="000A0A5F" w:rsidRDefault="00CB0DD7">
            <w:pPr>
              <w:pStyle w:val="TAL"/>
            </w:pPr>
          </w:p>
        </w:tc>
      </w:tr>
      <w:tr w:rsidR="00CB0DD7" w:rsidRPr="000A0A5F" w:rsidTr="0086706F">
        <w:tc>
          <w:tcPr>
            <w:tcW w:w="532" w:type="pct"/>
            <w:vMerge w:val="restart"/>
            <w:shd w:val="clear" w:color="auto" w:fill="C0C0C0"/>
            <w:vAlign w:val="center"/>
          </w:tcPr>
          <w:p w:rsidR="00CB0DD7" w:rsidRPr="000A0A5F" w:rsidRDefault="00CB0DD7">
            <w:pPr>
              <w:pStyle w:val="TAH"/>
            </w:pPr>
            <w:r w:rsidRPr="000A0A5F">
              <w:t>Response body</w:t>
            </w:r>
          </w:p>
        </w:tc>
        <w:tc>
          <w:tcPr>
            <w:tcW w:w="1093" w:type="pct"/>
            <w:shd w:val="clear" w:color="auto" w:fill="C0C0C0"/>
          </w:tcPr>
          <w:p w:rsidR="00CB0DD7" w:rsidRPr="000A0A5F" w:rsidRDefault="00CB0DD7">
            <w:pPr>
              <w:pStyle w:val="TAH"/>
            </w:pPr>
          </w:p>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p>
          <w:p w:rsidR="00CB0DD7" w:rsidRPr="000A0A5F" w:rsidRDefault="00CB0DD7">
            <w:pPr>
              <w:pStyle w:val="TAH"/>
            </w:pPr>
            <w:r w:rsidRPr="000A0A5F">
              <w:t>Cardinality</w:t>
            </w:r>
          </w:p>
        </w:tc>
        <w:tc>
          <w:tcPr>
            <w:tcW w:w="500" w:type="pct"/>
            <w:shd w:val="clear" w:color="auto" w:fill="C0C0C0"/>
          </w:tcPr>
          <w:p w:rsidR="00CB0DD7" w:rsidRPr="000A0A5F" w:rsidRDefault="00CB0DD7">
            <w:pPr>
              <w:pStyle w:val="TAH"/>
            </w:pPr>
            <w:r w:rsidRPr="000A0A5F">
              <w:t>Response</w:t>
            </w:r>
          </w:p>
          <w:p w:rsidR="00CB0DD7" w:rsidRPr="000A0A5F" w:rsidRDefault="00CB0DD7">
            <w:pPr>
              <w:pStyle w:val="TAH"/>
            </w:pPr>
            <w:r w:rsidRPr="000A0A5F">
              <w:t>codes</w:t>
            </w:r>
          </w:p>
        </w:tc>
        <w:tc>
          <w:tcPr>
            <w:tcW w:w="2334" w:type="pct"/>
            <w:shd w:val="clear" w:color="auto" w:fill="C0C0C0"/>
          </w:tcPr>
          <w:p w:rsidR="00CB0DD7" w:rsidRPr="000A0A5F" w:rsidRDefault="00CB0DD7">
            <w:pPr>
              <w:pStyle w:val="TAH"/>
            </w:pPr>
          </w:p>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ManagePort</w:t>
            </w:r>
          </w:p>
        </w:tc>
        <w:tc>
          <w:tcPr>
            <w:tcW w:w="541" w:type="pct"/>
          </w:tcPr>
          <w:p w:rsidR="00CB0DD7" w:rsidRPr="000A0A5F" w:rsidRDefault="00CB0DD7">
            <w:pPr>
              <w:pStyle w:val="TAL"/>
            </w:pPr>
            <w:r w:rsidRPr="000A0A5F">
              <w:t>1</w:t>
            </w:r>
          </w:p>
        </w:tc>
        <w:tc>
          <w:tcPr>
            <w:tcW w:w="500" w:type="pct"/>
          </w:tcPr>
          <w:p w:rsidR="00CB0DD7" w:rsidRPr="000A0A5F" w:rsidRDefault="00CB0DD7">
            <w:pPr>
              <w:pStyle w:val="TAL"/>
            </w:pPr>
            <w:r w:rsidRPr="000A0A5F">
              <w:t>200 OK</w:t>
            </w:r>
          </w:p>
        </w:tc>
        <w:tc>
          <w:tcPr>
            <w:tcW w:w="2334" w:type="pct"/>
          </w:tcPr>
          <w:p w:rsidR="00CB0DD7" w:rsidRPr="000A0A5F" w:rsidRDefault="00CB0DD7">
            <w:pPr>
              <w:pStyle w:val="TAL"/>
            </w:pPr>
            <w:r w:rsidRPr="000A0A5F">
              <w:t>The configuration information related to the request URI is returned.</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rPr>
                <w:lang w:eastAsia="zh-CN"/>
              </w:rPr>
              <w:t>N</w:t>
            </w:r>
            <w:r w:rsidRPr="000A0A5F">
              <w:rPr>
                <w:rFonts w:hint="eastAsia"/>
                <w:lang w:eastAsia="zh-CN"/>
              </w:rPr>
              <w:t>one</w:t>
            </w:r>
          </w:p>
        </w:tc>
        <w:tc>
          <w:tcPr>
            <w:tcW w:w="541" w:type="pct"/>
          </w:tcPr>
          <w:p w:rsidR="00CB0DD7" w:rsidRPr="000A0A5F" w:rsidRDefault="00CB0DD7">
            <w:pPr>
              <w:pStyle w:val="TAL"/>
            </w:pPr>
          </w:p>
        </w:tc>
        <w:tc>
          <w:tcPr>
            <w:tcW w:w="500" w:type="pct"/>
          </w:tcPr>
          <w:p w:rsidR="00CB0DD7" w:rsidRPr="000A0A5F" w:rsidRDefault="00CB0DD7">
            <w:pPr>
              <w:pStyle w:val="TAL"/>
            </w:pPr>
            <w:r w:rsidRPr="000A0A5F">
              <w:t>307 Temporary Redirect</w:t>
            </w:r>
          </w:p>
        </w:tc>
        <w:tc>
          <w:tcPr>
            <w:tcW w:w="2334" w:type="pct"/>
          </w:tcPr>
          <w:p w:rsidR="00CB0DD7" w:rsidRPr="000A0A5F" w:rsidRDefault="00CB0DD7">
            <w:pPr>
              <w:pStyle w:val="TAL"/>
            </w:pPr>
            <w:r w:rsidRPr="000A0A5F">
              <w:t>Temporary redirection, during configuration retrieval. The response shall include a Location header field containing an alternative URI of the resource located in an alternative SCEF.</w:t>
            </w:r>
          </w:p>
          <w:p w:rsidR="00CB0DD7" w:rsidRPr="000A0A5F" w:rsidRDefault="00CB0DD7">
            <w:pPr>
              <w:pStyle w:val="TAL"/>
            </w:pPr>
            <w:r w:rsidRPr="000A0A5F">
              <w:t>Redirection handling is described in clause 5.2.10.</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rPr>
                <w:lang w:eastAsia="zh-CN"/>
              </w:rPr>
              <w:t>N</w:t>
            </w:r>
            <w:r w:rsidRPr="000A0A5F">
              <w:rPr>
                <w:rFonts w:hint="eastAsia"/>
                <w:lang w:eastAsia="zh-CN"/>
              </w:rPr>
              <w:t>one</w:t>
            </w:r>
          </w:p>
        </w:tc>
        <w:tc>
          <w:tcPr>
            <w:tcW w:w="541" w:type="pct"/>
          </w:tcPr>
          <w:p w:rsidR="00CB0DD7" w:rsidRPr="000A0A5F" w:rsidRDefault="00CB0DD7">
            <w:pPr>
              <w:pStyle w:val="TAL"/>
            </w:pPr>
          </w:p>
        </w:tc>
        <w:tc>
          <w:tcPr>
            <w:tcW w:w="500" w:type="pct"/>
          </w:tcPr>
          <w:p w:rsidR="00CB0DD7" w:rsidRPr="000A0A5F" w:rsidRDefault="00CB0DD7">
            <w:pPr>
              <w:pStyle w:val="TAL"/>
            </w:pPr>
            <w:r w:rsidRPr="000A0A5F">
              <w:t>308 Permanent Redirect</w:t>
            </w:r>
          </w:p>
        </w:tc>
        <w:tc>
          <w:tcPr>
            <w:tcW w:w="2334" w:type="pct"/>
          </w:tcPr>
          <w:p w:rsidR="00CB0DD7" w:rsidRPr="000A0A5F" w:rsidRDefault="00CB0DD7">
            <w:pPr>
              <w:pStyle w:val="TAL"/>
            </w:pPr>
            <w:r w:rsidRPr="000A0A5F">
              <w:t>Permanent redirection, during configuration retrieval. The response shall include a Location header field containing an alternative URI of the resource located in an alternative SCEF.</w:t>
            </w:r>
          </w:p>
          <w:p w:rsidR="00CB0DD7" w:rsidRPr="000A0A5F" w:rsidRDefault="00CB0DD7">
            <w:pPr>
              <w:pStyle w:val="TAL"/>
            </w:pPr>
            <w:r w:rsidRPr="000A0A5F">
              <w:t>Redirection handling is described in clause 5.2.10.</w:t>
            </w:r>
          </w:p>
        </w:tc>
      </w:tr>
      <w:tr w:rsidR="00CB0DD7" w:rsidRPr="000A0A5F" w:rsidTr="00FF0AF8">
        <w:tc>
          <w:tcPr>
            <w:tcW w:w="5000" w:type="pct"/>
            <w:gridSpan w:val="5"/>
            <w:shd w:val="clear" w:color="auto" w:fill="auto"/>
            <w:vAlign w:val="center"/>
          </w:tcPr>
          <w:p w:rsidR="00CB0DD7" w:rsidRPr="000A0A5F" w:rsidRDefault="00CB0DD7">
            <w:pPr>
              <w:pStyle w:val="TAN"/>
            </w:pPr>
            <w:r w:rsidRPr="000A0A5F">
              <w:t>NOTE:</w:t>
            </w:r>
            <w:r w:rsidRPr="000A0A5F">
              <w:tab/>
              <w:t>The mandatory HTTP error status codes for the GET method listed in table 5.2.6-1 also apply.</w:t>
            </w:r>
          </w:p>
        </w:tc>
      </w:tr>
    </w:tbl>
    <w:p w:rsidR="00CB0DD7" w:rsidRPr="000A0A5F" w:rsidRDefault="00CB0DD7"/>
    <w:p w:rsidR="00CB0DD7" w:rsidRPr="000A0A5F" w:rsidRDefault="002E466A">
      <w:pPr>
        <w:pStyle w:val="TH"/>
      </w:pPr>
      <w:r w:rsidRPr="000A0A5F">
        <w:t>Table </w:t>
      </w:r>
      <w:r w:rsidR="00CB0DD7" w:rsidRPr="000A0A5F">
        <w:t>5.6.3.9.3.1-3: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2E466A">
      <w:pPr>
        <w:pStyle w:val="TH"/>
      </w:pPr>
      <w:r w:rsidRPr="000A0A5F">
        <w:t>Table </w:t>
      </w:r>
      <w:r w:rsidR="00CB0DD7" w:rsidRPr="000A0A5F">
        <w:t>5.6.3.9.3.1-4: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CB0DD7">
      <w:pPr>
        <w:pStyle w:val="Heading6"/>
      </w:pPr>
      <w:bookmarkStart w:id="4371" w:name="_Toc27044644"/>
      <w:bookmarkStart w:id="4372" w:name="_Toc36033686"/>
      <w:bookmarkStart w:id="4373" w:name="_Toc45131823"/>
      <w:bookmarkStart w:id="4374" w:name="_Toc49776108"/>
      <w:bookmarkStart w:id="4375" w:name="_Toc51747028"/>
      <w:bookmarkStart w:id="4376" w:name="_Toc66360568"/>
      <w:bookmarkStart w:id="4377" w:name="_Toc68105073"/>
      <w:bookmarkStart w:id="4378" w:name="_Toc74755703"/>
      <w:bookmarkStart w:id="4379" w:name="_Toc105674577"/>
      <w:bookmarkStart w:id="4380" w:name="_Toc130502625"/>
      <w:bookmarkStart w:id="4381" w:name="_Toc153625412"/>
      <w:r w:rsidRPr="000A0A5F">
        <w:t>5.6.3.9.3.2</w:t>
      </w:r>
      <w:r w:rsidRPr="000A0A5F">
        <w:tab/>
        <w:t>PUT</w:t>
      </w:r>
      <w:bookmarkEnd w:id="4371"/>
      <w:bookmarkEnd w:id="4372"/>
      <w:bookmarkEnd w:id="4373"/>
      <w:bookmarkEnd w:id="4374"/>
      <w:bookmarkEnd w:id="4375"/>
      <w:bookmarkEnd w:id="4376"/>
      <w:bookmarkEnd w:id="4377"/>
      <w:bookmarkEnd w:id="4378"/>
      <w:bookmarkEnd w:id="4379"/>
      <w:bookmarkEnd w:id="4380"/>
      <w:bookmarkEnd w:id="4381"/>
    </w:p>
    <w:p w:rsidR="00CB0DD7" w:rsidRPr="000A0A5F" w:rsidRDefault="00CB0DD7">
      <w:pPr>
        <w:rPr>
          <w:rFonts w:hint="eastAsia"/>
          <w:lang w:eastAsia="zh-CN"/>
        </w:rPr>
      </w:pPr>
      <w:r w:rsidRPr="000A0A5F">
        <w:t xml:space="preserve">To </w:t>
      </w:r>
      <w:r w:rsidRPr="000A0A5F">
        <w:rPr>
          <w:lang w:eastAsia="zh-CN"/>
        </w:rPr>
        <w:t>create a ManagePort configuration and reserve a port number</w:t>
      </w:r>
      <w:r w:rsidRPr="000A0A5F">
        <w:t xml:space="preserve">, the </w:t>
      </w:r>
      <w:r w:rsidRPr="000A0A5F">
        <w:rPr>
          <w:rFonts w:hint="eastAsia"/>
          <w:lang w:eastAsia="zh-CN"/>
        </w:rPr>
        <w:t xml:space="preserve">SCS/AS </w:t>
      </w:r>
      <w:r w:rsidRPr="000A0A5F">
        <w:t>shall use the HTTP P</w:t>
      </w:r>
      <w:r w:rsidRPr="000A0A5F">
        <w:rPr>
          <w:rFonts w:hint="eastAsia"/>
          <w:lang w:eastAsia="zh-CN"/>
        </w:rPr>
        <w:t>UT</w:t>
      </w:r>
      <w:r w:rsidRPr="000A0A5F">
        <w:t xml:space="preserve"> method on the</w:t>
      </w:r>
      <w:r w:rsidR="00D50DCF" w:rsidRPr="000A0A5F">
        <w:t xml:space="preserve"> </w:t>
      </w:r>
      <w:r w:rsidRPr="000A0A5F">
        <w:t>"ManagePort"</w:t>
      </w:r>
      <w:r w:rsidRPr="000A0A5F">
        <w:rPr>
          <w:rFonts w:hint="eastAsia"/>
          <w:lang w:eastAsia="zh-CN"/>
        </w:rPr>
        <w:t xml:space="preserve"> </w:t>
      </w:r>
      <w:r w:rsidRPr="000A0A5F">
        <w:t>resource with the body of the message is encoded in JSON format</w:t>
      </w:r>
      <w:r w:rsidRPr="000A0A5F">
        <w:rPr>
          <w:rFonts w:hint="eastAsia"/>
          <w:lang w:eastAsia="zh-CN"/>
        </w:rPr>
        <w:t xml:space="preserve"> with the data structure defined in table</w:t>
      </w:r>
      <w:r w:rsidRPr="000A0A5F">
        <w:rPr>
          <w:lang w:val="en-US" w:eastAsia="zh-CN"/>
        </w:rPr>
        <w:t> </w:t>
      </w:r>
      <w:r w:rsidRPr="000A0A5F">
        <w:rPr>
          <w:rFonts w:hint="eastAsia"/>
          <w:lang w:eastAsia="zh-CN"/>
        </w:rPr>
        <w:t>5.6.3.</w:t>
      </w:r>
      <w:r w:rsidRPr="000A0A5F">
        <w:rPr>
          <w:lang w:eastAsia="zh-CN"/>
        </w:rPr>
        <w:t>9</w:t>
      </w:r>
      <w:r w:rsidRPr="000A0A5F">
        <w:rPr>
          <w:rFonts w:hint="eastAsia"/>
          <w:lang w:eastAsia="zh-CN"/>
        </w:rPr>
        <w:t>.3</w:t>
      </w:r>
      <w:r w:rsidRPr="000A0A5F">
        <w:rPr>
          <w:lang w:eastAsia="zh-CN"/>
        </w:rPr>
        <w:t>.2</w:t>
      </w:r>
      <w:r w:rsidRPr="000A0A5F">
        <w:rPr>
          <w:rFonts w:hint="eastAsia"/>
          <w:lang w:eastAsia="zh-CN"/>
        </w:rPr>
        <w:t>-1.</w:t>
      </w:r>
    </w:p>
    <w:p w:rsidR="00CB0DD7" w:rsidRPr="000A0A5F" w:rsidRDefault="00CB0DD7">
      <w:pPr>
        <w:rPr>
          <w:rFonts w:hint="eastAsia"/>
          <w:lang w:eastAsia="zh-CN"/>
        </w:rPr>
      </w:pPr>
      <w:r w:rsidRPr="000A0A5F">
        <w:t>The possible response messages from the</w:t>
      </w:r>
      <w:r w:rsidRPr="000A0A5F">
        <w:rPr>
          <w:rFonts w:hint="eastAsia"/>
          <w:lang w:eastAsia="zh-CN"/>
        </w:rPr>
        <w:t xml:space="preserve"> SCEF</w:t>
      </w:r>
      <w:r w:rsidRPr="000A0A5F">
        <w:t xml:space="preserve">, depending on whether the </w:t>
      </w:r>
      <w:r w:rsidRPr="000A0A5F">
        <w:rPr>
          <w:rFonts w:hint="eastAsia"/>
          <w:lang w:eastAsia="zh-CN"/>
        </w:rPr>
        <w:t>PUT</w:t>
      </w:r>
      <w:r w:rsidRPr="000A0A5F">
        <w:t xml:space="preserve"> request is successful or unsuccessful, are shown in Table</w:t>
      </w:r>
      <w:r w:rsidRPr="000A0A5F">
        <w:rPr>
          <w:lang w:val="en-US" w:eastAsia="zh-CN"/>
        </w:rPr>
        <w:t> </w:t>
      </w:r>
      <w:r w:rsidRPr="000A0A5F">
        <w:rPr>
          <w:rFonts w:hint="eastAsia"/>
          <w:lang w:eastAsia="zh-CN"/>
        </w:rPr>
        <w:t>5.6.3.</w:t>
      </w:r>
      <w:r w:rsidRPr="000A0A5F">
        <w:rPr>
          <w:lang w:eastAsia="zh-CN"/>
        </w:rPr>
        <w:t>9</w:t>
      </w:r>
      <w:r w:rsidRPr="000A0A5F">
        <w:rPr>
          <w:rFonts w:hint="eastAsia"/>
          <w:lang w:eastAsia="zh-CN"/>
        </w:rPr>
        <w:t>.3.2-1.</w:t>
      </w:r>
    </w:p>
    <w:p w:rsidR="00CB0DD7" w:rsidRPr="000A0A5F" w:rsidRDefault="00CB0DD7">
      <w:pPr>
        <w:pStyle w:val="TH"/>
      </w:pPr>
      <w:r w:rsidRPr="000A0A5F">
        <w:t>Table 5.</w:t>
      </w:r>
      <w:r w:rsidRPr="000A0A5F">
        <w:rPr>
          <w:rFonts w:hint="eastAsia"/>
          <w:lang w:eastAsia="zh-CN"/>
        </w:rPr>
        <w:t>6</w:t>
      </w:r>
      <w:r w:rsidRPr="000A0A5F">
        <w:t>.</w:t>
      </w:r>
      <w:r w:rsidRPr="000A0A5F">
        <w:rPr>
          <w:rFonts w:hint="eastAsia"/>
          <w:lang w:eastAsia="zh-CN"/>
        </w:rPr>
        <w:t>3</w:t>
      </w:r>
      <w:r w:rsidRPr="000A0A5F">
        <w:t>.</w:t>
      </w:r>
      <w:r w:rsidRPr="000A0A5F">
        <w:rPr>
          <w:lang w:eastAsia="zh-CN"/>
        </w:rPr>
        <w:t>9</w:t>
      </w:r>
      <w:r w:rsidRPr="000A0A5F">
        <w:t>.3.</w:t>
      </w:r>
      <w:r w:rsidRPr="000A0A5F">
        <w:rPr>
          <w:rFonts w:hint="eastAsia"/>
          <w:lang w:eastAsia="zh-CN"/>
        </w:rPr>
        <w:t>2</w:t>
      </w:r>
      <w:r w:rsidRPr="000A0A5F">
        <w:t>-</w:t>
      </w:r>
      <w:r w:rsidRPr="000A0A5F">
        <w:rPr>
          <w:rFonts w:hint="eastAsia"/>
          <w:lang w:eastAsia="zh-CN"/>
        </w:rPr>
        <w:t>1</w:t>
      </w:r>
      <w:r w:rsidRPr="000A0A5F">
        <w:t xml:space="preserve">: Data structures supported by the </w:t>
      </w:r>
      <w:r w:rsidRPr="000A0A5F">
        <w:rPr>
          <w:rFonts w:hint="eastAsia"/>
          <w:lang w:eastAsia="zh-CN"/>
        </w:rPr>
        <w:t>PUT</w:t>
      </w:r>
      <w:r w:rsidRPr="000A0A5F">
        <w:t xml:space="preserve"> request/response by the resource</w:t>
      </w:r>
    </w:p>
    <w:tbl>
      <w:tblPr>
        <w:tblW w:w="4999" w:type="pct"/>
        <w:tblInd w:w="1" w:type="dxa"/>
        <w:tblBorders>
          <w:top w:val="single" w:sz="6" w:space="0" w:color="000000"/>
          <w:left w:val="single" w:sz="6" w:space="0" w:color="000000"/>
          <w:bottom w:val="single" w:sz="6" w:space="0" w:color="000000"/>
          <w:right w:val="single" w:sz="6" w:space="0" w:color="000000"/>
          <w:insideH w:val="single" w:sz="6" w:space="0" w:color="auto"/>
          <w:insideV w:val="single" w:sz="6" w:space="0" w:color="000000"/>
        </w:tblBorders>
        <w:tblLayout w:type="fixed"/>
        <w:tblCellMar>
          <w:top w:w="45" w:type="dxa"/>
          <w:left w:w="45" w:type="dxa"/>
          <w:bottom w:w="45" w:type="dxa"/>
          <w:right w:w="45" w:type="dxa"/>
        </w:tblCellMar>
        <w:tblLook w:val="0000" w:firstRow="0" w:lastRow="0" w:firstColumn="0" w:lastColumn="0" w:noHBand="0" w:noVBand="0"/>
      </w:tblPr>
      <w:tblGrid>
        <w:gridCol w:w="1035"/>
        <w:gridCol w:w="2127"/>
        <w:gridCol w:w="1053"/>
        <w:gridCol w:w="973"/>
        <w:gridCol w:w="4541"/>
      </w:tblGrid>
      <w:tr w:rsidR="00CB0DD7" w:rsidRPr="000A0A5F" w:rsidTr="0086706F">
        <w:tc>
          <w:tcPr>
            <w:tcW w:w="532" w:type="pct"/>
            <w:vMerge w:val="restart"/>
            <w:shd w:val="clear" w:color="auto" w:fill="C0C0C0"/>
            <w:vAlign w:val="center"/>
          </w:tcPr>
          <w:p w:rsidR="00CB0DD7" w:rsidRPr="000A0A5F" w:rsidRDefault="00CB0DD7">
            <w:pPr>
              <w:pStyle w:val="TAH"/>
            </w:pPr>
            <w:r w:rsidRPr="000A0A5F">
              <w:t>Request body</w:t>
            </w:r>
          </w:p>
        </w:tc>
        <w:tc>
          <w:tcPr>
            <w:tcW w:w="1093" w:type="pct"/>
            <w:shd w:val="clear" w:color="auto" w:fill="C0C0C0"/>
          </w:tcPr>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r w:rsidRPr="000A0A5F">
              <w:t>Cardinality</w:t>
            </w:r>
          </w:p>
        </w:tc>
        <w:tc>
          <w:tcPr>
            <w:tcW w:w="2834" w:type="pct"/>
            <w:gridSpan w:val="2"/>
            <w:shd w:val="clear" w:color="auto" w:fill="C0C0C0"/>
          </w:tcPr>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t>ManagePort</w:t>
            </w:r>
          </w:p>
        </w:tc>
        <w:tc>
          <w:tcPr>
            <w:tcW w:w="541" w:type="pct"/>
          </w:tcPr>
          <w:p w:rsidR="00CB0DD7" w:rsidRPr="000A0A5F" w:rsidRDefault="00CB0DD7">
            <w:pPr>
              <w:pStyle w:val="TAL"/>
            </w:pPr>
            <w:r w:rsidRPr="000A0A5F">
              <w:t>1</w:t>
            </w:r>
          </w:p>
        </w:tc>
        <w:tc>
          <w:tcPr>
            <w:tcW w:w="2834" w:type="pct"/>
            <w:gridSpan w:val="2"/>
          </w:tcPr>
          <w:p w:rsidR="00CB0DD7" w:rsidRPr="000A0A5F" w:rsidRDefault="00CB0DD7">
            <w:pPr>
              <w:pStyle w:val="TAL"/>
              <w:rPr>
                <w:rFonts w:hint="eastAsia"/>
                <w:lang w:eastAsia="zh-CN"/>
              </w:rPr>
            </w:pPr>
            <w:r w:rsidRPr="000A0A5F">
              <w:rPr>
                <w:lang w:eastAsia="zh-CN"/>
              </w:rPr>
              <w:t>The ManagePort configuration to be created which represents the information used for reserving the port configuration for an application.</w:t>
            </w:r>
          </w:p>
        </w:tc>
      </w:tr>
      <w:tr w:rsidR="00CB0DD7" w:rsidRPr="000A0A5F" w:rsidTr="0086706F">
        <w:tc>
          <w:tcPr>
            <w:tcW w:w="532" w:type="pct"/>
            <w:vMerge w:val="restart"/>
            <w:shd w:val="clear" w:color="auto" w:fill="C0C0C0"/>
            <w:vAlign w:val="center"/>
          </w:tcPr>
          <w:p w:rsidR="00CB0DD7" w:rsidRPr="000A0A5F" w:rsidRDefault="00CB0DD7">
            <w:pPr>
              <w:pStyle w:val="TAH"/>
            </w:pPr>
            <w:r w:rsidRPr="000A0A5F">
              <w:t>Response body</w:t>
            </w:r>
          </w:p>
        </w:tc>
        <w:tc>
          <w:tcPr>
            <w:tcW w:w="1093" w:type="pct"/>
            <w:shd w:val="clear" w:color="auto" w:fill="C0C0C0"/>
          </w:tcPr>
          <w:p w:rsidR="00CB0DD7" w:rsidRPr="000A0A5F" w:rsidRDefault="00CB0DD7">
            <w:pPr>
              <w:pStyle w:val="TAH"/>
            </w:pPr>
          </w:p>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p>
          <w:p w:rsidR="00CB0DD7" w:rsidRPr="000A0A5F" w:rsidRDefault="00CB0DD7">
            <w:pPr>
              <w:pStyle w:val="TAH"/>
            </w:pPr>
            <w:r w:rsidRPr="000A0A5F">
              <w:t>Cardinality</w:t>
            </w:r>
          </w:p>
        </w:tc>
        <w:tc>
          <w:tcPr>
            <w:tcW w:w="500" w:type="pct"/>
            <w:shd w:val="clear" w:color="auto" w:fill="C0C0C0"/>
          </w:tcPr>
          <w:p w:rsidR="00CB0DD7" w:rsidRPr="000A0A5F" w:rsidRDefault="00CB0DD7">
            <w:pPr>
              <w:pStyle w:val="TAH"/>
            </w:pPr>
            <w:r w:rsidRPr="000A0A5F">
              <w:t>Response</w:t>
            </w:r>
          </w:p>
          <w:p w:rsidR="00CB0DD7" w:rsidRPr="000A0A5F" w:rsidRDefault="00CB0DD7">
            <w:pPr>
              <w:pStyle w:val="TAH"/>
            </w:pPr>
            <w:r w:rsidRPr="000A0A5F">
              <w:t>codes</w:t>
            </w:r>
          </w:p>
        </w:tc>
        <w:tc>
          <w:tcPr>
            <w:tcW w:w="2334" w:type="pct"/>
            <w:shd w:val="clear" w:color="auto" w:fill="C0C0C0"/>
          </w:tcPr>
          <w:p w:rsidR="00CB0DD7" w:rsidRPr="000A0A5F" w:rsidRDefault="00CB0DD7">
            <w:pPr>
              <w:pStyle w:val="TAH"/>
            </w:pPr>
          </w:p>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t>ManagePort</w:t>
            </w:r>
          </w:p>
        </w:tc>
        <w:tc>
          <w:tcPr>
            <w:tcW w:w="541" w:type="pct"/>
          </w:tcPr>
          <w:p w:rsidR="00CB0DD7" w:rsidRPr="000A0A5F" w:rsidRDefault="00CB0DD7">
            <w:pPr>
              <w:pStyle w:val="TAL"/>
              <w:rPr>
                <w:rFonts w:hint="eastAsia"/>
                <w:lang w:eastAsia="zh-CN"/>
              </w:rPr>
            </w:pPr>
            <w:r w:rsidRPr="000A0A5F">
              <w:rPr>
                <w:rFonts w:hint="eastAsia"/>
                <w:lang w:eastAsia="zh-CN"/>
              </w:rPr>
              <w:t>1</w:t>
            </w:r>
          </w:p>
        </w:tc>
        <w:tc>
          <w:tcPr>
            <w:tcW w:w="500" w:type="pct"/>
          </w:tcPr>
          <w:p w:rsidR="00CB0DD7" w:rsidRPr="000A0A5F" w:rsidRDefault="00CB0DD7">
            <w:pPr>
              <w:pStyle w:val="TAL"/>
              <w:rPr>
                <w:rFonts w:hint="eastAsia"/>
                <w:lang w:eastAsia="zh-CN"/>
              </w:rPr>
            </w:pPr>
            <w:r w:rsidRPr="000A0A5F">
              <w:rPr>
                <w:lang w:eastAsia="zh-CN"/>
              </w:rPr>
              <w:t>201 Created</w:t>
            </w:r>
          </w:p>
        </w:tc>
        <w:tc>
          <w:tcPr>
            <w:tcW w:w="2334" w:type="pct"/>
          </w:tcPr>
          <w:p w:rsidR="00CB0DD7" w:rsidRPr="000A0A5F" w:rsidRDefault="00CB0DD7">
            <w:pPr>
              <w:pStyle w:val="TAL"/>
              <w:rPr>
                <w:rFonts w:hint="eastAsia"/>
                <w:lang w:eastAsia="zh-CN"/>
              </w:rPr>
            </w:pPr>
            <w:r w:rsidRPr="000A0A5F">
              <w:t>This indicates the reservation of port configuration for specified application is successful.</w:t>
            </w:r>
            <w:r w:rsidRPr="000A0A5F">
              <w:rPr>
                <w:lang w:eastAsia="zh-CN"/>
              </w:rPr>
              <w:t xml:space="preserve"> </w:t>
            </w:r>
          </w:p>
          <w:p w:rsidR="00CB0DD7" w:rsidRPr="000A0A5F" w:rsidRDefault="00CB0DD7">
            <w:pPr>
              <w:pStyle w:val="TAL"/>
              <w:rPr>
                <w:rFonts w:hint="eastAsia"/>
                <w:lang w:eastAsia="zh-CN"/>
              </w:rPr>
            </w:pP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None</w:t>
            </w:r>
          </w:p>
        </w:tc>
        <w:tc>
          <w:tcPr>
            <w:tcW w:w="541" w:type="pct"/>
          </w:tcPr>
          <w:p w:rsidR="00CB0DD7" w:rsidRPr="000A0A5F" w:rsidRDefault="00CB0DD7">
            <w:pPr>
              <w:pStyle w:val="TAL"/>
              <w:rPr>
                <w:rFonts w:hint="eastAsia"/>
                <w:lang w:eastAsia="zh-CN"/>
              </w:rPr>
            </w:pPr>
          </w:p>
        </w:tc>
        <w:tc>
          <w:tcPr>
            <w:tcW w:w="500" w:type="pct"/>
          </w:tcPr>
          <w:p w:rsidR="00CB0DD7" w:rsidRPr="000A0A5F" w:rsidRDefault="00CB0DD7">
            <w:pPr>
              <w:pStyle w:val="TAL"/>
              <w:rPr>
                <w:lang w:eastAsia="zh-CN"/>
              </w:rPr>
            </w:pPr>
            <w:r w:rsidRPr="000A0A5F">
              <w:rPr>
                <w:lang w:eastAsia="zh-CN"/>
              </w:rPr>
              <w:t>202 Accepted</w:t>
            </w:r>
          </w:p>
        </w:tc>
        <w:tc>
          <w:tcPr>
            <w:tcW w:w="2334" w:type="pct"/>
          </w:tcPr>
          <w:p w:rsidR="00CB0DD7" w:rsidRPr="000A0A5F" w:rsidRDefault="00CB0DD7">
            <w:pPr>
              <w:pStyle w:val="TAL"/>
            </w:pPr>
            <w:r w:rsidRPr="000A0A5F">
              <w:t>This indicates the request for reservation of port configuration for specified application is accepted and under processing.</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rPr>
                <w:lang w:eastAsia="zh-CN"/>
              </w:rPr>
              <w:t>ProblemDetails</w:t>
            </w:r>
          </w:p>
        </w:tc>
        <w:tc>
          <w:tcPr>
            <w:tcW w:w="541" w:type="pct"/>
          </w:tcPr>
          <w:p w:rsidR="00CB0DD7" w:rsidRPr="000A0A5F" w:rsidRDefault="00CB0DD7">
            <w:pPr>
              <w:pStyle w:val="TAL"/>
              <w:rPr>
                <w:rFonts w:hint="eastAsia"/>
                <w:lang w:eastAsia="zh-CN"/>
              </w:rPr>
            </w:pPr>
            <w:r w:rsidRPr="000A0A5F">
              <w:rPr>
                <w:lang w:eastAsia="zh-CN"/>
              </w:rPr>
              <w:t>0..1</w:t>
            </w:r>
          </w:p>
        </w:tc>
        <w:tc>
          <w:tcPr>
            <w:tcW w:w="500" w:type="pct"/>
          </w:tcPr>
          <w:p w:rsidR="00CB0DD7" w:rsidRPr="000A0A5F" w:rsidRDefault="00CB0DD7">
            <w:pPr>
              <w:pStyle w:val="TAL"/>
              <w:rPr>
                <w:rFonts w:hint="eastAsia"/>
                <w:lang w:eastAsia="zh-CN"/>
              </w:rPr>
            </w:pPr>
            <w:r w:rsidRPr="000A0A5F">
              <w:rPr>
                <w:lang w:eastAsia="zh-CN"/>
              </w:rPr>
              <w:t>403 Forbidden</w:t>
            </w:r>
          </w:p>
        </w:tc>
        <w:tc>
          <w:tcPr>
            <w:tcW w:w="2334" w:type="pct"/>
          </w:tcPr>
          <w:p w:rsidR="00CB0DD7" w:rsidRPr="000A0A5F" w:rsidRDefault="00D50DCF">
            <w:pPr>
              <w:pStyle w:val="TAL"/>
            </w:pPr>
            <w:r w:rsidRPr="000A0A5F">
              <w:t>(NOTE 2)</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lang w:eastAsia="zh-CN"/>
              </w:rPr>
            </w:pPr>
            <w:r w:rsidRPr="000A0A5F">
              <w:t>RdsDownlinkDataDeliveryFailure</w:t>
            </w:r>
          </w:p>
        </w:tc>
        <w:tc>
          <w:tcPr>
            <w:tcW w:w="541" w:type="pct"/>
          </w:tcPr>
          <w:p w:rsidR="00CB0DD7" w:rsidRPr="000A0A5F" w:rsidRDefault="00CB0DD7">
            <w:pPr>
              <w:pStyle w:val="TAL"/>
              <w:rPr>
                <w:lang w:eastAsia="zh-CN"/>
              </w:rPr>
            </w:pPr>
            <w:r w:rsidRPr="000A0A5F">
              <w:rPr>
                <w:lang w:eastAsia="zh-CN"/>
              </w:rPr>
              <w:t>0..1</w:t>
            </w:r>
          </w:p>
        </w:tc>
        <w:tc>
          <w:tcPr>
            <w:tcW w:w="500" w:type="pct"/>
          </w:tcPr>
          <w:p w:rsidR="00CB0DD7" w:rsidRPr="000A0A5F" w:rsidRDefault="00CB0DD7">
            <w:pPr>
              <w:pStyle w:val="TAL"/>
              <w:rPr>
                <w:lang w:eastAsia="zh-CN"/>
              </w:rPr>
            </w:pPr>
            <w:r w:rsidRPr="000A0A5F">
              <w:rPr>
                <w:lang w:eastAsia="zh-CN"/>
              </w:rPr>
              <w:t>500 Internal Server Error</w:t>
            </w:r>
          </w:p>
        </w:tc>
        <w:tc>
          <w:tcPr>
            <w:tcW w:w="2334" w:type="pct"/>
          </w:tcPr>
          <w:p w:rsidR="00CB0DD7" w:rsidRPr="000A0A5F" w:rsidRDefault="00D50DCF">
            <w:pPr>
              <w:pStyle w:val="TAL"/>
            </w:pPr>
            <w:r w:rsidRPr="000A0A5F">
              <w:t>(NOTE 2)</w:t>
            </w:r>
          </w:p>
        </w:tc>
      </w:tr>
      <w:tr w:rsidR="00CB0DD7" w:rsidRPr="000A0A5F" w:rsidTr="00FF0AF8">
        <w:tc>
          <w:tcPr>
            <w:tcW w:w="5000" w:type="pct"/>
            <w:gridSpan w:val="5"/>
            <w:shd w:val="clear" w:color="auto" w:fill="auto"/>
            <w:vAlign w:val="center"/>
          </w:tcPr>
          <w:p w:rsidR="00CB0DD7" w:rsidRPr="000A0A5F" w:rsidRDefault="00CB0DD7">
            <w:pPr>
              <w:pStyle w:val="TAN"/>
            </w:pPr>
            <w:r w:rsidRPr="000A0A5F">
              <w:t>NOTE 1:</w:t>
            </w:r>
            <w:r w:rsidRPr="000A0A5F">
              <w:tab/>
              <w:t>The mandatory HTTP error status codes for the PUT method listed in table 5.2.6-1 also apply.</w:t>
            </w:r>
          </w:p>
          <w:p w:rsidR="00D50DCF" w:rsidRPr="000A0A5F" w:rsidRDefault="00D50DCF">
            <w:pPr>
              <w:pStyle w:val="TAN"/>
            </w:pPr>
            <w:r w:rsidRPr="000A0A5F">
              <w:t>NOTE 2:</w:t>
            </w:r>
            <w:r w:rsidRPr="000A0A5F">
              <w:tab/>
              <w:t>Failure cases are described in clause 5.6.5.3.</w:t>
            </w:r>
          </w:p>
        </w:tc>
      </w:tr>
    </w:tbl>
    <w:p w:rsidR="00CB0DD7" w:rsidRPr="000A0A5F" w:rsidRDefault="00CB0DD7"/>
    <w:p w:rsidR="00CB0DD7" w:rsidRPr="000A0A5F" w:rsidRDefault="00CB0DD7">
      <w:pPr>
        <w:pStyle w:val="Heading6"/>
        <w:rPr>
          <w:rFonts w:hint="eastAsia"/>
          <w:lang w:eastAsia="zh-CN"/>
        </w:rPr>
      </w:pPr>
      <w:bookmarkStart w:id="4382" w:name="_Toc27044645"/>
      <w:bookmarkStart w:id="4383" w:name="_Toc36033687"/>
      <w:bookmarkStart w:id="4384" w:name="_Toc45131824"/>
      <w:bookmarkStart w:id="4385" w:name="_Toc49776109"/>
      <w:bookmarkStart w:id="4386" w:name="_Toc51747029"/>
      <w:bookmarkStart w:id="4387" w:name="_Toc66360569"/>
      <w:bookmarkStart w:id="4388" w:name="_Toc68105074"/>
      <w:bookmarkStart w:id="4389" w:name="_Toc74755704"/>
      <w:bookmarkStart w:id="4390" w:name="_Toc105674578"/>
      <w:bookmarkStart w:id="4391" w:name="_Toc130502626"/>
      <w:bookmarkStart w:id="4392" w:name="_Toc153625413"/>
      <w:r w:rsidRPr="000A0A5F">
        <w:t>5.6.3.9.3.3</w:t>
      </w:r>
      <w:r w:rsidRPr="000A0A5F">
        <w:tab/>
        <w:t>PATCH</w:t>
      </w:r>
      <w:bookmarkEnd w:id="4382"/>
      <w:bookmarkEnd w:id="4383"/>
      <w:bookmarkEnd w:id="4384"/>
      <w:bookmarkEnd w:id="4385"/>
      <w:bookmarkEnd w:id="4386"/>
      <w:bookmarkEnd w:id="4387"/>
      <w:bookmarkEnd w:id="4388"/>
      <w:bookmarkEnd w:id="4389"/>
      <w:bookmarkEnd w:id="4390"/>
      <w:bookmarkEnd w:id="4391"/>
      <w:bookmarkEnd w:id="4392"/>
    </w:p>
    <w:p w:rsidR="00CB0DD7" w:rsidRPr="000A0A5F" w:rsidRDefault="00CB0DD7">
      <w:pPr>
        <w:rPr>
          <w:rFonts w:hint="eastAsia"/>
          <w:lang w:eastAsia="zh-CN"/>
        </w:rPr>
      </w:pPr>
      <w:r w:rsidRPr="000A0A5F">
        <w:rPr>
          <w:rFonts w:hint="eastAsia"/>
          <w:lang w:eastAsia="zh-CN"/>
        </w:rPr>
        <w:t xml:space="preserve">This </w:t>
      </w:r>
      <w:r w:rsidRPr="000A0A5F">
        <w:rPr>
          <w:lang w:eastAsia="zh-CN"/>
        </w:rPr>
        <w:t>HTTP method is not supported for the resource.</w:t>
      </w:r>
    </w:p>
    <w:p w:rsidR="00CB0DD7" w:rsidRPr="000A0A5F" w:rsidRDefault="00CB0DD7">
      <w:pPr>
        <w:pStyle w:val="Heading6"/>
      </w:pPr>
      <w:bookmarkStart w:id="4393" w:name="_Toc27044646"/>
      <w:bookmarkStart w:id="4394" w:name="_Toc36033688"/>
      <w:bookmarkStart w:id="4395" w:name="_Toc45131825"/>
      <w:bookmarkStart w:id="4396" w:name="_Toc49776110"/>
      <w:bookmarkStart w:id="4397" w:name="_Toc51747030"/>
      <w:bookmarkStart w:id="4398" w:name="_Toc66360570"/>
      <w:bookmarkStart w:id="4399" w:name="_Toc68105075"/>
      <w:bookmarkStart w:id="4400" w:name="_Toc74755705"/>
      <w:bookmarkStart w:id="4401" w:name="_Toc105674579"/>
      <w:bookmarkStart w:id="4402" w:name="_Toc130502627"/>
      <w:bookmarkStart w:id="4403" w:name="_Toc153625414"/>
      <w:r w:rsidRPr="000A0A5F">
        <w:t>5.6.3.9.3.4</w:t>
      </w:r>
      <w:r w:rsidRPr="000A0A5F">
        <w:tab/>
        <w:t>POST</w:t>
      </w:r>
      <w:bookmarkEnd w:id="4393"/>
      <w:bookmarkEnd w:id="4394"/>
      <w:bookmarkEnd w:id="4395"/>
      <w:bookmarkEnd w:id="4396"/>
      <w:bookmarkEnd w:id="4397"/>
      <w:bookmarkEnd w:id="4398"/>
      <w:bookmarkEnd w:id="4399"/>
      <w:bookmarkEnd w:id="4400"/>
      <w:bookmarkEnd w:id="4401"/>
      <w:bookmarkEnd w:id="4402"/>
      <w:bookmarkEnd w:id="4403"/>
    </w:p>
    <w:p w:rsidR="00CB0DD7" w:rsidRPr="000A0A5F" w:rsidRDefault="00CB0DD7">
      <w:pPr>
        <w:rPr>
          <w:rFonts w:hint="eastAsia"/>
          <w:lang w:eastAsia="zh-CN"/>
        </w:rPr>
      </w:pPr>
      <w:r w:rsidRPr="000A0A5F">
        <w:rPr>
          <w:rFonts w:hint="eastAsia"/>
          <w:lang w:eastAsia="zh-CN"/>
        </w:rPr>
        <w:t xml:space="preserve">This </w:t>
      </w:r>
      <w:r w:rsidRPr="000A0A5F">
        <w:rPr>
          <w:lang w:eastAsia="zh-CN"/>
        </w:rPr>
        <w:t>HTTP method is not supported for the resource.</w:t>
      </w:r>
    </w:p>
    <w:p w:rsidR="00CB0DD7" w:rsidRPr="000A0A5F" w:rsidRDefault="00CB0DD7">
      <w:pPr>
        <w:pStyle w:val="Heading6"/>
        <w:rPr>
          <w:rFonts w:hint="eastAsia"/>
          <w:lang w:eastAsia="zh-CN"/>
        </w:rPr>
      </w:pPr>
      <w:bookmarkStart w:id="4404" w:name="_Toc27044647"/>
      <w:bookmarkStart w:id="4405" w:name="_Toc36033689"/>
      <w:bookmarkStart w:id="4406" w:name="_Toc45131826"/>
      <w:bookmarkStart w:id="4407" w:name="_Toc49776111"/>
      <w:bookmarkStart w:id="4408" w:name="_Toc51747031"/>
      <w:bookmarkStart w:id="4409" w:name="_Toc66360571"/>
      <w:bookmarkStart w:id="4410" w:name="_Toc68105076"/>
      <w:bookmarkStart w:id="4411" w:name="_Toc74755706"/>
      <w:bookmarkStart w:id="4412" w:name="_Toc105674580"/>
      <w:bookmarkStart w:id="4413" w:name="_Toc130502628"/>
      <w:bookmarkStart w:id="4414" w:name="_Toc153625415"/>
      <w:r w:rsidRPr="000A0A5F">
        <w:t>5.6.3.9.3.5</w:t>
      </w:r>
      <w:r w:rsidRPr="000A0A5F">
        <w:tab/>
        <w:t>DELETE</w:t>
      </w:r>
      <w:bookmarkEnd w:id="4404"/>
      <w:bookmarkEnd w:id="4405"/>
      <w:bookmarkEnd w:id="4406"/>
      <w:bookmarkEnd w:id="4407"/>
      <w:bookmarkEnd w:id="4408"/>
      <w:bookmarkEnd w:id="4409"/>
      <w:bookmarkEnd w:id="4410"/>
      <w:bookmarkEnd w:id="4411"/>
      <w:bookmarkEnd w:id="4412"/>
      <w:bookmarkEnd w:id="4413"/>
      <w:bookmarkEnd w:id="4414"/>
    </w:p>
    <w:p w:rsidR="00CB0DD7" w:rsidRPr="000A0A5F" w:rsidRDefault="00CB0DD7">
      <w:r w:rsidRPr="000A0A5F">
        <w:t xml:space="preserve">To </w:t>
      </w:r>
      <w:r w:rsidRPr="000A0A5F">
        <w:rPr>
          <w:rFonts w:hint="eastAsia"/>
          <w:lang w:eastAsia="zh-CN"/>
        </w:rPr>
        <w:t>cancel</w:t>
      </w:r>
      <w:r w:rsidRPr="000A0A5F">
        <w:t xml:space="preserve"> a</w:t>
      </w:r>
      <w:r w:rsidRPr="000A0A5F">
        <w:rPr>
          <w:rFonts w:hint="eastAsia"/>
          <w:lang w:eastAsia="zh-CN"/>
        </w:rPr>
        <w:t xml:space="preserve"> </w:t>
      </w:r>
      <w:r w:rsidRPr="000A0A5F">
        <w:rPr>
          <w:lang w:eastAsia="zh-CN"/>
        </w:rPr>
        <w:t>ManagePort</w:t>
      </w:r>
      <w:r w:rsidRPr="000A0A5F">
        <w:rPr>
          <w:rFonts w:hint="eastAsia"/>
          <w:lang w:eastAsia="zh-CN"/>
        </w:rPr>
        <w:t xml:space="preserve"> configuration</w:t>
      </w:r>
      <w:r w:rsidRPr="000A0A5F">
        <w:rPr>
          <w:lang w:eastAsia="zh-CN"/>
        </w:rPr>
        <w:t xml:space="preserve"> and release port numbers</w:t>
      </w:r>
      <w:r w:rsidRPr="000A0A5F">
        <w:t xml:space="preserve">, the </w:t>
      </w:r>
      <w:r w:rsidRPr="000A0A5F">
        <w:rPr>
          <w:rFonts w:hint="eastAsia"/>
          <w:lang w:eastAsia="zh-CN"/>
        </w:rPr>
        <w:t xml:space="preserve">SCS/AS </w:t>
      </w:r>
      <w:r w:rsidRPr="000A0A5F">
        <w:t xml:space="preserve">shall use the HTTP DELETE method on the </w:t>
      </w:r>
      <w:r w:rsidRPr="000A0A5F">
        <w:rPr>
          <w:lang w:eastAsia="zh-CN"/>
        </w:rPr>
        <w:t>ManagePort</w:t>
      </w:r>
      <w:r w:rsidRPr="000A0A5F">
        <w:t xml:space="preserve"> resource </w:t>
      </w:r>
      <w:r w:rsidRPr="000A0A5F">
        <w:rPr>
          <w:rFonts w:hint="eastAsia"/>
          <w:lang w:eastAsia="zh-CN"/>
        </w:rPr>
        <w:t>which is indicated by the URI in the Location header of the HTTP POST response</w:t>
      </w:r>
      <w:r w:rsidRPr="000A0A5F">
        <w:t>:</w:t>
      </w:r>
    </w:p>
    <w:p w:rsidR="00CB0DD7" w:rsidRPr="000A0A5F" w:rsidRDefault="00CB0DD7">
      <w:pPr>
        <w:rPr>
          <w:rFonts w:hint="eastAsia"/>
          <w:lang w:eastAsia="zh-CN"/>
        </w:rPr>
      </w:pPr>
      <w:r w:rsidRPr="000A0A5F">
        <w:t xml:space="preserve">The possible response messages from the </w:t>
      </w:r>
      <w:r w:rsidRPr="000A0A5F">
        <w:rPr>
          <w:rFonts w:hint="eastAsia"/>
          <w:lang w:eastAsia="zh-CN"/>
        </w:rPr>
        <w:t>SCEF</w:t>
      </w:r>
      <w:r w:rsidRPr="000A0A5F">
        <w:t xml:space="preserve">, depending on whether the DELETE request is successful or unsuccessful, are shown in </w:t>
      </w:r>
      <w:r w:rsidR="002E466A" w:rsidRPr="000A0A5F">
        <w:t>Table</w:t>
      </w:r>
      <w:r w:rsidR="002E466A" w:rsidRPr="000A0A5F">
        <w:rPr>
          <w:lang w:val="en-US" w:eastAsia="zh-CN"/>
        </w:rPr>
        <w:t> </w:t>
      </w:r>
      <w:r w:rsidRPr="000A0A5F">
        <w:t>5.</w:t>
      </w:r>
      <w:r w:rsidRPr="000A0A5F">
        <w:rPr>
          <w:lang w:eastAsia="zh-CN"/>
        </w:rPr>
        <w:t>6</w:t>
      </w:r>
      <w:r w:rsidRPr="000A0A5F">
        <w:t>.3.9.3.</w:t>
      </w:r>
      <w:r w:rsidRPr="000A0A5F">
        <w:rPr>
          <w:lang w:eastAsia="zh-CN"/>
        </w:rPr>
        <w:t>5</w:t>
      </w:r>
      <w:r w:rsidRPr="000A0A5F">
        <w:rPr>
          <w:rFonts w:hint="eastAsia"/>
          <w:lang w:eastAsia="zh-CN"/>
        </w:rPr>
        <w:t>-1.</w:t>
      </w:r>
    </w:p>
    <w:p w:rsidR="00CB0DD7" w:rsidRPr="000A0A5F" w:rsidRDefault="00CB0DD7">
      <w:pPr>
        <w:pStyle w:val="TH"/>
      </w:pPr>
      <w:r w:rsidRPr="000A0A5F">
        <w:t>Table 5.</w:t>
      </w:r>
      <w:r w:rsidRPr="000A0A5F">
        <w:rPr>
          <w:lang w:eastAsia="zh-CN"/>
        </w:rPr>
        <w:t>6</w:t>
      </w:r>
      <w:r w:rsidRPr="000A0A5F">
        <w:t>.3.9.3.</w:t>
      </w:r>
      <w:r w:rsidRPr="000A0A5F">
        <w:rPr>
          <w:lang w:eastAsia="zh-CN"/>
        </w:rPr>
        <w:t>5</w:t>
      </w:r>
      <w:r w:rsidRPr="000A0A5F">
        <w:rPr>
          <w:rFonts w:hint="eastAsia"/>
          <w:lang w:eastAsia="zh-CN"/>
        </w:rPr>
        <w:t>-1.</w:t>
      </w:r>
      <w:r w:rsidRPr="000A0A5F">
        <w:t xml:space="preserve">: Data structures supported by the </w:t>
      </w:r>
      <w:r w:rsidRPr="000A0A5F">
        <w:rPr>
          <w:rFonts w:hint="eastAsia"/>
          <w:lang w:eastAsia="zh-CN"/>
        </w:rPr>
        <w:t>DELETE</w:t>
      </w:r>
      <w:r w:rsidRPr="000A0A5F">
        <w:t xml:space="preserve"> request/response by the resource</w:t>
      </w:r>
    </w:p>
    <w:tbl>
      <w:tblPr>
        <w:tblW w:w="4999" w:type="pct"/>
        <w:tblInd w:w="1" w:type="dxa"/>
        <w:tblBorders>
          <w:top w:val="single" w:sz="6" w:space="0" w:color="000000"/>
          <w:left w:val="single" w:sz="6" w:space="0" w:color="000000"/>
          <w:bottom w:val="single" w:sz="6" w:space="0" w:color="000000"/>
          <w:right w:val="single" w:sz="6" w:space="0" w:color="000000"/>
          <w:insideH w:val="single" w:sz="6" w:space="0" w:color="auto"/>
          <w:insideV w:val="single" w:sz="6" w:space="0" w:color="000000"/>
        </w:tblBorders>
        <w:tblLayout w:type="fixed"/>
        <w:tblCellMar>
          <w:top w:w="45" w:type="dxa"/>
          <w:left w:w="45" w:type="dxa"/>
          <w:bottom w:w="45" w:type="dxa"/>
          <w:right w:w="45" w:type="dxa"/>
        </w:tblCellMar>
        <w:tblLook w:val="0000" w:firstRow="0" w:lastRow="0" w:firstColumn="0" w:lastColumn="0" w:noHBand="0" w:noVBand="0"/>
      </w:tblPr>
      <w:tblGrid>
        <w:gridCol w:w="1035"/>
        <w:gridCol w:w="2127"/>
        <w:gridCol w:w="1053"/>
        <w:gridCol w:w="973"/>
        <w:gridCol w:w="4541"/>
      </w:tblGrid>
      <w:tr w:rsidR="00CB0DD7" w:rsidRPr="000A0A5F" w:rsidTr="0086706F">
        <w:tc>
          <w:tcPr>
            <w:tcW w:w="532" w:type="pct"/>
            <w:vMerge w:val="restart"/>
            <w:shd w:val="clear" w:color="auto" w:fill="C0C0C0"/>
            <w:vAlign w:val="center"/>
          </w:tcPr>
          <w:p w:rsidR="00CB0DD7" w:rsidRPr="000A0A5F" w:rsidRDefault="00CB0DD7">
            <w:pPr>
              <w:pStyle w:val="TAH"/>
            </w:pPr>
            <w:r w:rsidRPr="000A0A5F">
              <w:t>Request body</w:t>
            </w:r>
          </w:p>
        </w:tc>
        <w:tc>
          <w:tcPr>
            <w:tcW w:w="1093" w:type="pct"/>
            <w:shd w:val="clear" w:color="auto" w:fill="C0C0C0"/>
          </w:tcPr>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r w:rsidRPr="000A0A5F">
              <w:t>Cardinality</w:t>
            </w:r>
          </w:p>
        </w:tc>
        <w:tc>
          <w:tcPr>
            <w:tcW w:w="2834" w:type="pct"/>
            <w:gridSpan w:val="2"/>
            <w:shd w:val="clear" w:color="auto" w:fill="C0C0C0"/>
          </w:tcPr>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rPr>
                <w:lang w:eastAsia="zh-CN"/>
              </w:rPr>
              <w:t>ManagePort</w:t>
            </w:r>
            <w:r w:rsidRPr="000A0A5F">
              <w:rPr>
                <w:rFonts w:hint="eastAsia"/>
                <w:lang w:eastAsia="zh-CN"/>
              </w:rPr>
              <w:t xml:space="preserve"> </w:t>
            </w:r>
          </w:p>
        </w:tc>
        <w:tc>
          <w:tcPr>
            <w:tcW w:w="541" w:type="pct"/>
          </w:tcPr>
          <w:p w:rsidR="00CB0DD7" w:rsidRPr="000A0A5F" w:rsidRDefault="00CB0DD7">
            <w:pPr>
              <w:pStyle w:val="TAL"/>
              <w:rPr>
                <w:rFonts w:hint="eastAsia"/>
                <w:lang w:eastAsia="zh-CN"/>
              </w:rPr>
            </w:pPr>
            <w:r w:rsidRPr="000A0A5F">
              <w:rPr>
                <w:rFonts w:hint="eastAsia"/>
                <w:lang w:eastAsia="zh-CN"/>
              </w:rPr>
              <w:t>1</w:t>
            </w:r>
          </w:p>
        </w:tc>
        <w:tc>
          <w:tcPr>
            <w:tcW w:w="2834" w:type="pct"/>
            <w:gridSpan w:val="2"/>
          </w:tcPr>
          <w:p w:rsidR="00CB0DD7" w:rsidRPr="000A0A5F" w:rsidRDefault="00CB0DD7">
            <w:pPr>
              <w:pStyle w:val="TAL"/>
              <w:rPr>
                <w:rFonts w:hint="eastAsia"/>
                <w:lang w:eastAsia="zh-CN"/>
              </w:rPr>
            </w:pPr>
            <w:r w:rsidRPr="000A0A5F">
              <w:rPr>
                <w:lang w:eastAsia="zh-CN"/>
              </w:rPr>
              <w:t>The ManagePort configuration to be cancelled which represents the information used for releasing the port configuration for an application</w:t>
            </w:r>
          </w:p>
        </w:tc>
      </w:tr>
      <w:tr w:rsidR="00EA58C7" w:rsidRPr="000A0A5F" w:rsidTr="0086706F">
        <w:tc>
          <w:tcPr>
            <w:tcW w:w="532" w:type="pct"/>
            <w:vMerge w:val="restart"/>
            <w:shd w:val="clear" w:color="auto" w:fill="C0C0C0"/>
            <w:vAlign w:val="center"/>
          </w:tcPr>
          <w:p w:rsidR="00EA58C7" w:rsidRPr="000A0A5F" w:rsidRDefault="00EA58C7">
            <w:pPr>
              <w:pStyle w:val="TAH"/>
            </w:pPr>
            <w:r w:rsidRPr="000A0A5F">
              <w:t>Response body</w:t>
            </w:r>
          </w:p>
        </w:tc>
        <w:tc>
          <w:tcPr>
            <w:tcW w:w="1093" w:type="pct"/>
            <w:shd w:val="clear" w:color="auto" w:fill="C0C0C0"/>
          </w:tcPr>
          <w:p w:rsidR="00EA58C7" w:rsidRPr="000A0A5F" w:rsidRDefault="00EA58C7">
            <w:pPr>
              <w:pStyle w:val="TAH"/>
            </w:pPr>
          </w:p>
          <w:p w:rsidR="00EA58C7" w:rsidRPr="000A0A5F" w:rsidRDefault="00EA58C7">
            <w:pPr>
              <w:pStyle w:val="TAH"/>
            </w:pPr>
            <w:r w:rsidRPr="000A0A5F">
              <w:t>Data type</w:t>
            </w:r>
          </w:p>
        </w:tc>
        <w:tc>
          <w:tcPr>
            <w:tcW w:w="541" w:type="pct"/>
            <w:shd w:val="clear" w:color="auto" w:fill="C0C0C0"/>
          </w:tcPr>
          <w:p w:rsidR="00EA58C7" w:rsidRPr="000A0A5F" w:rsidRDefault="00EA58C7">
            <w:pPr>
              <w:pStyle w:val="TAH"/>
            </w:pPr>
          </w:p>
          <w:p w:rsidR="00EA58C7" w:rsidRPr="000A0A5F" w:rsidRDefault="00EA58C7">
            <w:pPr>
              <w:pStyle w:val="TAH"/>
            </w:pPr>
            <w:r w:rsidRPr="000A0A5F">
              <w:t>Cardinality</w:t>
            </w:r>
          </w:p>
        </w:tc>
        <w:tc>
          <w:tcPr>
            <w:tcW w:w="500" w:type="pct"/>
            <w:shd w:val="clear" w:color="auto" w:fill="C0C0C0"/>
          </w:tcPr>
          <w:p w:rsidR="00EA58C7" w:rsidRPr="000A0A5F" w:rsidRDefault="00EA58C7">
            <w:pPr>
              <w:pStyle w:val="TAH"/>
            </w:pPr>
            <w:r w:rsidRPr="000A0A5F">
              <w:t>Response</w:t>
            </w:r>
          </w:p>
          <w:p w:rsidR="00EA58C7" w:rsidRPr="000A0A5F" w:rsidRDefault="00EA58C7">
            <w:pPr>
              <w:pStyle w:val="TAH"/>
            </w:pPr>
            <w:r w:rsidRPr="000A0A5F">
              <w:t>codes</w:t>
            </w:r>
          </w:p>
        </w:tc>
        <w:tc>
          <w:tcPr>
            <w:tcW w:w="2334" w:type="pct"/>
            <w:shd w:val="clear" w:color="auto" w:fill="C0C0C0"/>
          </w:tcPr>
          <w:p w:rsidR="00EA58C7" w:rsidRPr="000A0A5F" w:rsidRDefault="00EA58C7">
            <w:pPr>
              <w:pStyle w:val="TAH"/>
            </w:pPr>
          </w:p>
          <w:p w:rsidR="00EA58C7" w:rsidRPr="000A0A5F" w:rsidRDefault="00EA58C7">
            <w:pPr>
              <w:pStyle w:val="TAH"/>
            </w:pPr>
            <w:r w:rsidRPr="000A0A5F">
              <w:t>Remarks</w:t>
            </w:r>
          </w:p>
        </w:tc>
      </w:tr>
      <w:tr w:rsidR="00EA58C7" w:rsidRPr="000A0A5F" w:rsidTr="00EA58C7">
        <w:tc>
          <w:tcPr>
            <w:tcW w:w="532" w:type="pct"/>
            <w:vMerge/>
            <w:shd w:val="clear" w:color="auto" w:fill="C0C0C0"/>
            <w:vAlign w:val="center"/>
          </w:tcPr>
          <w:p w:rsidR="00EA58C7" w:rsidRPr="000A0A5F" w:rsidRDefault="00EA58C7">
            <w:pPr>
              <w:pStyle w:val="TAL"/>
              <w:jc w:val="center"/>
            </w:pPr>
          </w:p>
        </w:tc>
        <w:tc>
          <w:tcPr>
            <w:tcW w:w="1093" w:type="pct"/>
            <w:shd w:val="clear" w:color="auto" w:fill="auto"/>
          </w:tcPr>
          <w:p w:rsidR="00EA58C7" w:rsidRPr="000A0A5F" w:rsidRDefault="00EA58C7">
            <w:pPr>
              <w:pStyle w:val="TAL"/>
              <w:rPr>
                <w:rFonts w:hint="eastAsia"/>
                <w:lang w:eastAsia="zh-CN"/>
              </w:rPr>
            </w:pPr>
            <w:r w:rsidRPr="000A0A5F">
              <w:rPr>
                <w:lang w:eastAsia="zh-CN"/>
              </w:rPr>
              <w:t>None</w:t>
            </w:r>
          </w:p>
        </w:tc>
        <w:tc>
          <w:tcPr>
            <w:tcW w:w="541" w:type="pct"/>
          </w:tcPr>
          <w:p w:rsidR="00EA58C7" w:rsidRPr="000A0A5F" w:rsidRDefault="00EA58C7">
            <w:pPr>
              <w:pStyle w:val="TAL"/>
              <w:rPr>
                <w:rFonts w:hint="eastAsia"/>
                <w:lang w:eastAsia="zh-CN"/>
              </w:rPr>
            </w:pPr>
          </w:p>
        </w:tc>
        <w:tc>
          <w:tcPr>
            <w:tcW w:w="500" w:type="pct"/>
          </w:tcPr>
          <w:p w:rsidR="00EA58C7" w:rsidRPr="000A0A5F" w:rsidRDefault="00EA58C7">
            <w:pPr>
              <w:pStyle w:val="TAL"/>
              <w:rPr>
                <w:rFonts w:hint="eastAsia"/>
                <w:lang w:eastAsia="zh-CN"/>
              </w:rPr>
            </w:pPr>
            <w:r w:rsidRPr="000A0A5F">
              <w:t>204 No Content</w:t>
            </w:r>
          </w:p>
        </w:tc>
        <w:tc>
          <w:tcPr>
            <w:tcW w:w="2334" w:type="pct"/>
          </w:tcPr>
          <w:p w:rsidR="00EA58C7" w:rsidRPr="000A0A5F" w:rsidRDefault="00EA58C7">
            <w:pPr>
              <w:pStyle w:val="TAL"/>
              <w:spacing w:afterLines="50" w:after="120"/>
              <w:rPr>
                <w:rFonts w:hint="eastAsia"/>
                <w:lang w:eastAsia="zh-CN"/>
              </w:rPr>
            </w:pPr>
            <w:r w:rsidRPr="000A0A5F">
              <w:t xml:space="preserve">The </w:t>
            </w:r>
            <w:r w:rsidRPr="000A0A5F">
              <w:rPr>
                <w:lang w:eastAsia="zh-CN"/>
              </w:rPr>
              <w:t>ManagePort</w:t>
            </w:r>
            <w:r w:rsidRPr="000A0A5F">
              <w:rPr>
                <w:rFonts w:hint="eastAsia"/>
                <w:lang w:eastAsia="zh-CN"/>
              </w:rPr>
              <w:t xml:space="preserve"> configuration</w:t>
            </w:r>
            <w:r w:rsidRPr="000A0A5F">
              <w:t xml:space="preserve"> was </w:t>
            </w:r>
            <w:r w:rsidRPr="000A0A5F">
              <w:rPr>
                <w:lang w:eastAsia="zh-CN"/>
              </w:rPr>
              <w:t>cancelled</w:t>
            </w:r>
            <w:r w:rsidRPr="000A0A5F">
              <w:t xml:space="preserve"> successfully and the port configuration was released</w:t>
            </w:r>
            <w:r w:rsidRPr="000A0A5F">
              <w:rPr>
                <w:rFonts w:hint="eastAsia"/>
                <w:lang w:eastAsia="zh-CN"/>
              </w:rPr>
              <w:t>.</w:t>
            </w:r>
          </w:p>
        </w:tc>
      </w:tr>
      <w:tr w:rsidR="00EA58C7" w:rsidRPr="000A0A5F" w:rsidTr="00EA58C7">
        <w:tc>
          <w:tcPr>
            <w:tcW w:w="532" w:type="pct"/>
            <w:vMerge/>
            <w:shd w:val="clear" w:color="auto" w:fill="C0C0C0"/>
            <w:vAlign w:val="center"/>
          </w:tcPr>
          <w:p w:rsidR="00EA58C7" w:rsidRPr="000A0A5F" w:rsidRDefault="00EA58C7">
            <w:pPr>
              <w:pStyle w:val="TAL"/>
              <w:jc w:val="center"/>
            </w:pPr>
          </w:p>
        </w:tc>
        <w:tc>
          <w:tcPr>
            <w:tcW w:w="1093" w:type="pct"/>
            <w:shd w:val="clear" w:color="auto" w:fill="auto"/>
          </w:tcPr>
          <w:p w:rsidR="00EA58C7" w:rsidRPr="000A0A5F" w:rsidRDefault="00EA58C7">
            <w:pPr>
              <w:pStyle w:val="TAL"/>
              <w:rPr>
                <w:lang w:eastAsia="zh-CN"/>
              </w:rPr>
            </w:pPr>
            <w:r w:rsidRPr="000A0A5F">
              <w:t>None</w:t>
            </w:r>
          </w:p>
        </w:tc>
        <w:tc>
          <w:tcPr>
            <w:tcW w:w="541" w:type="pct"/>
          </w:tcPr>
          <w:p w:rsidR="00EA58C7" w:rsidRPr="000A0A5F" w:rsidRDefault="00EA58C7">
            <w:pPr>
              <w:pStyle w:val="TAL"/>
              <w:rPr>
                <w:rFonts w:hint="eastAsia"/>
                <w:lang w:eastAsia="zh-CN"/>
              </w:rPr>
            </w:pPr>
          </w:p>
        </w:tc>
        <w:tc>
          <w:tcPr>
            <w:tcW w:w="500" w:type="pct"/>
          </w:tcPr>
          <w:p w:rsidR="00EA58C7" w:rsidRPr="000A0A5F" w:rsidRDefault="00EA58C7">
            <w:pPr>
              <w:pStyle w:val="TAL"/>
            </w:pPr>
            <w:r w:rsidRPr="000A0A5F">
              <w:rPr>
                <w:lang w:eastAsia="zh-CN"/>
              </w:rPr>
              <w:t>202 Accepted</w:t>
            </w:r>
          </w:p>
        </w:tc>
        <w:tc>
          <w:tcPr>
            <w:tcW w:w="2334" w:type="pct"/>
          </w:tcPr>
          <w:p w:rsidR="00EA58C7" w:rsidRPr="000A0A5F" w:rsidRDefault="00EA58C7">
            <w:pPr>
              <w:pStyle w:val="TAL"/>
              <w:spacing w:afterLines="50" w:after="120"/>
            </w:pPr>
            <w:r w:rsidRPr="000A0A5F">
              <w:t>This indicates the request for cancellation of port configuration for specified application is accepted and under processing.</w:t>
            </w:r>
          </w:p>
        </w:tc>
      </w:tr>
      <w:tr w:rsidR="00EA58C7" w:rsidRPr="000A0A5F" w:rsidTr="00EA58C7">
        <w:tc>
          <w:tcPr>
            <w:tcW w:w="532" w:type="pct"/>
            <w:vMerge/>
            <w:shd w:val="clear" w:color="auto" w:fill="C0C0C0"/>
            <w:vAlign w:val="center"/>
          </w:tcPr>
          <w:p w:rsidR="00EA58C7" w:rsidRPr="000A0A5F" w:rsidRDefault="00EA58C7" w:rsidP="00EA58C7">
            <w:pPr>
              <w:pStyle w:val="TAL"/>
              <w:jc w:val="center"/>
            </w:pPr>
          </w:p>
        </w:tc>
        <w:tc>
          <w:tcPr>
            <w:tcW w:w="1093" w:type="pct"/>
            <w:shd w:val="clear" w:color="auto" w:fill="auto"/>
          </w:tcPr>
          <w:p w:rsidR="00EA58C7" w:rsidRPr="000A0A5F" w:rsidRDefault="00EA58C7" w:rsidP="00EA58C7">
            <w:pPr>
              <w:pStyle w:val="TAL"/>
            </w:pPr>
            <w:r w:rsidRPr="000A0A5F">
              <w:rPr>
                <w:lang w:eastAsia="zh-CN"/>
              </w:rPr>
              <w:t>None</w:t>
            </w:r>
          </w:p>
        </w:tc>
        <w:tc>
          <w:tcPr>
            <w:tcW w:w="541" w:type="pct"/>
          </w:tcPr>
          <w:p w:rsidR="00EA58C7" w:rsidRPr="000A0A5F" w:rsidRDefault="00EA58C7" w:rsidP="00EA58C7">
            <w:pPr>
              <w:pStyle w:val="TAL"/>
              <w:rPr>
                <w:rFonts w:hint="eastAsia"/>
                <w:lang w:eastAsia="zh-CN"/>
              </w:rPr>
            </w:pPr>
          </w:p>
        </w:tc>
        <w:tc>
          <w:tcPr>
            <w:tcW w:w="500" w:type="pct"/>
          </w:tcPr>
          <w:p w:rsidR="00EA58C7" w:rsidRPr="000A0A5F" w:rsidRDefault="00EA58C7" w:rsidP="00EA58C7">
            <w:pPr>
              <w:pStyle w:val="TAL"/>
              <w:rPr>
                <w:lang w:eastAsia="zh-CN"/>
              </w:rPr>
            </w:pPr>
            <w:r w:rsidRPr="000A0A5F">
              <w:t>307 Temporary Redirect</w:t>
            </w:r>
          </w:p>
        </w:tc>
        <w:tc>
          <w:tcPr>
            <w:tcW w:w="2334" w:type="pct"/>
          </w:tcPr>
          <w:p w:rsidR="00EA58C7" w:rsidRPr="000A0A5F" w:rsidRDefault="00EA58C7" w:rsidP="00EA58C7">
            <w:pPr>
              <w:pStyle w:val="TAL"/>
            </w:pPr>
            <w:r w:rsidRPr="000A0A5F">
              <w:t>Temporary redirection, during configuration termination. The response shall include a Location header field containing an alternative URI of the resource located in an alternative SCEF.</w:t>
            </w:r>
          </w:p>
          <w:p w:rsidR="00EA58C7" w:rsidRPr="000A0A5F" w:rsidRDefault="00EA58C7" w:rsidP="00EA58C7">
            <w:pPr>
              <w:pStyle w:val="TAL"/>
            </w:pPr>
          </w:p>
          <w:p w:rsidR="00EA58C7" w:rsidRPr="000A0A5F" w:rsidRDefault="00EA58C7" w:rsidP="00EA58C7">
            <w:pPr>
              <w:pStyle w:val="TAL"/>
              <w:spacing w:afterLines="50" w:after="120"/>
            </w:pPr>
            <w:r w:rsidRPr="000A0A5F">
              <w:t>Redirection handling is described in clause 5.2.10.</w:t>
            </w:r>
          </w:p>
        </w:tc>
      </w:tr>
      <w:tr w:rsidR="00EA58C7" w:rsidRPr="000A0A5F" w:rsidTr="00EA58C7">
        <w:tc>
          <w:tcPr>
            <w:tcW w:w="532" w:type="pct"/>
            <w:vMerge/>
            <w:shd w:val="clear" w:color="auto" w:fill="C0C0C0"/>
            <w:vAlign w:val="center"/>
          </w:tcPr>
          <w:p w:rsidR="00EA58C7" w:rsidRPr="000A0A5F" w:rsidRDefault="00EA58C7" w:rsidP="00EA58C7">
            <w:pPr>
              <w:pStyle w:val="TAL"/>
              <w:jc w:val="center"/>
            </w:pPr>
          </w:p>
        </w:tc>
        <w:tc>
          <w:tcPr>
            <w:tcW w:w="1093" w:type="pct"/>
            <w:shd w:val="clear" w:color="auto" w:fill="auto"/>
          </w:tcPr>
          <w:p w:rsidR="00EA58C7" w:rsidRPr="000A0A5F" w:rsidRDefault="00EA58C7" w:rsidP="00EA58C7">
            <w:pPr>
              <w:pStyle w:val="TAL"/>
            </w:pPr>
            <w:r w:rsidRPr="000A0A5F">
              <w:rPr>
                <w:lang w:eastAsia="zh-CN"/>
              </w:rPr>
              <w:t>None</w:t>
            </w:r>
          </w:p>
        </w:tc>
        <w:tc>
          <w:tcPr>
            <w:tcW w:w="541" w:type="pct"/>
          </w:tcPr>
          <w:p w:rsidR="00EA58C7" w:rsidRPr="000A0A5F" w:rsidRDefault="00EA58C7" w:rsidP="00EA58C7">
            <w:pPr>
              <w:pStyle w:val="TAL"/>
              <w:rPr>
                <w:rFonts w:hint="eastAsia"/>
                <w:lang w:eastAsia="zh-CN"/>
              </w:rPr>
            </w:pPr>
          </w:p>
        </w:tc>
        <w:tc>
          <w:tcPr>
            <w:tcW w:w="500" w:type="pct"/>
          </w:tcPr>
          <w:p w:rsidR="00EA58C7" w:rsidRPr="000A0A5F" w:rsidRDefault="00EA58C7" w:rsidP="00EA58C7">
            <w:pPr>
              <w:pStyle w:val="TAL"/>
              <w:rPr>
                <w:lang w:eastAsia="zh-CN"/>
              </w:rPr>
            </w:pPr>
            <w:r w:rsidRPr="000A0A5F">
              <w:t>308 Permanent Redirect</w:t>
            </w:r>
          </w:p>
        </w:tc>
        <w:tc>
          <w:tcPr>
            <w:tcW w:w="2334" w:type="pct"/>
          </w:tcPr>
          <w:p w:rsidR="00EA58C7" w:rsidRPr="000A0A5F" w:rsidRDefault="00EA58C7" w:rsidP="00EA58C7">
            <w:pPr>
              <w:pStyle w:val="TAL"/>
            </w:pPr>
            <w:r w:rsidRPr="000A0A5F">
              <w:t>Permanent redirection, during configuration termination. The response shall include a Location header field containing an alternative URI of the resource located in an alternative SCEF.</w:t>
            </w:r>
          </w:p>
          <w:p w:rsidR="00EA58C7" w:rsidRPr="000A0A5F" w:rsidRDefault="00EA58C7" w:rsidP="00EA58C7">
            <w:pPr>
              <w:pStyle w:val="TAL"/>
            </w:pPr>
          </w:p>
          <w:p w:rsidR="00EA58C7" w:rsidRPr="000A0A5F" w:rsidRDefault="00EA58C7" w:rsidP="00EA58C7">
            <w:pPr>
              <w:pStyle w:val="TAL"/>
              <w:spacing w:afterLines="50" w:after="120"/>
            </w:pPr>
            <w:r w:rsidRPr="000A0A5F">
              <w:t>Redirection handling is described in clause 5.2.10.</w:t>
            </w:r>
          </w:p>
        </w:tc>
      </w:tr>
      <w:tr w:rsidR="00EA58C7" w:rsidRPr="000A0A5F" w:rsidTr="00EA58C7">
        <w:tc>
          <w:tcPr>
            <w:tcW w:w="532" w:type="pct"/>
            <w:vMerge/>
            <w:shd w:val="clear" w:color="auto" w:fill="C0C0C0"/>
            <w:vAlign w:val="center"/>
          </w:tcPr>
          <w:p w:rsidR="00EA58C7" w:rsidRPr="000A0A5F" w:rsidRDefault="00EA58C7" w:rsidP="00EA58C7">
            <w:pPr>
              <w:pStyle w:val="TAL"/>
              <w:jc w:val="center"/>
            </w:pPr>
          </w:p>
        </w:tc>
        <w:tc>
          <w:tcPr>
            <w:tcW w:w="1093" w:type="pct"/>
            <w:shd w:val="clear" w:color="auto" w:fill="auto"/>
          </w:tcPr>
          <w:p w:rsidR="00EA58C7" w:rsidRPr="000A0A5F" w:rsidRDefault="00EA58C7" w:rsidP="00EA58C7">
            <w:pPr>
              <w:pStyle w:val="TAL"/>
              <w:rPr>
                <w:rFonts w:hint="eastAsia"/>
                <w:lang w:eastAsia="zh-CN"/>
              </w:rPr>
            </w:pPr>
            <w:r w:rsidRPr="000A0A5F">
              <w:rPr>
                <w:lang w:eastAsia="zh-CN"/>
              </w:rPr>
              <w:t>ProblemDetails</w:t>
            </w:r>
          </w:p>
        </w:tc>
        <w:tc>
          <w:tcPr>
            <w:tcW w:w="541" w:type="pct"/>
          </w:tcPr>
          <w:p w:rsidR="00EA58C7" w:rsidRPr="000A0A5F" w:rsidRDefault="00EA58C7" w:rsidP="00EA58C7">
            <w:pPr>
              <w:pStyle w:val="TAL"/>
              <w:rPr>
                <w:rFonts w:hint="eastAsia"/>
                <w:lang w:eastAsia="zh-CN"/>
              </w:rPr>
            </w:pPr>
            <w:r w:rsidRPr="000A0A5F">
              <w:rPr>
                <w:lang w:eastAsia="zh-CN"/>
              </w:rPr>
              <w:t>0..1</w:t>
            </w:r>
          </w:p>
        </w:tc>
        <w:tc>
          <w:tcPr>
            <w:tcW w:w="500" w:type="pct"/>
          </w:tcPr>
          <w:p w:rsidR="00EA58C7" w:rsidRPr="000A0A5F" w:rsidRDefault="00EA58C7" w:rsidP="00EA58C7">
            <w:pPr>
              <w:pStyle w:val="TAL"/>
              <w:rPr>
                <w:rFonts w:hint="eastAsia"/>
                <w:lang w:eastAsia="zh-CN"/>
              </w:rPr>
            </w:pPr>
            <w:r w:rsidRPr="000A0A5F">
              <w:rPr>
                <w:lang w:eastAsia="zh-CN"/>
              </w:rPr>
              <w:t>404 Not Found</w:t>
            </w:r>
          </w:p>
        </w:tc>
        <w:tc>
          <w:tcPr>
            <w:tcW w:w="2334" w:type="pct"/>
          </w:tcPr>
          <w:p w:rsidR="00EA58C7" w:rsidRPr="000A0A5F" w:rsidRDefault="00AD22E3" w:rsidP="00EA58C7">
            <w:pPr>
              <w:pStyle w:val="TAL"/>
            </w:pPr>
            <w:r w:rsidRPr="000A0A5F">
              <w:t>(NOTE 2)</w:t>
            </w:r>
          </w:p>
        </w:tc>
      </w:tr>
      <w:tr w:rsidR="00EA58C7" w:rsidRPr="000A0A5F" w:rsidTr="00EA58C7">
        <w:tc>
          <w:tcPr>
            <w:tcW w:w="532" w:type="pct"/>
            <w:vMerge/>
            <w:shd w:val="clear" w:color="auto" w:fill="C0C0C0"/>
            <w:vAlign w:val="center"/>
          </w:tcPr>
          <w:p w:rsidR="00EA58C7" w:rsidRPr="000A0A5F" w:rsidRDefault="00EA58C7" w:rsidP="00EA58C7">
            <w:pPr>
              <w:pStyle w:val="TAL"/>
              <w:jc w:val="center"/>
            </w:pPr>
          </w:p>
        </w:tc>
        <w:tc>
          <w:tcPr>
            <w:tcW w:w="1093" w:type="pct"/>
            <w:shd w:val="clear" w:color="auto" w:fill="auto"/>
          </w:tcPr>
          <w:p w:rsidR="00EA58C7" w:rsidRPr="000A0A5F" w:rsidRDefault="00EA58C7" w:rsidP="00EA58C7">
            <w:pPr>
              <w:pStyle w:val="TAL"/>
              <w:rPr>
                <w:lang w:eastAsia="zh-CN"/>
              </w:rPr>
            </w:pPr>
            <w:r w:rsidRPr="000A0A5F">
              <w:t>RdsDownlinkDataDeliveryFailure</w:t>
            </w:r>
          </w:p>
        </w:tc>
        <w:tc>
          <w:tcPr>
            <w:tcW w:w="541" w:type="pct"/>
          </w:tcPr>
          <w:p w:rsidR="00EA58C7" w:rsidRPr="000A0A5F" w:rsidRDefault="00EA58C7" w:rsidP="00EA58C7">
            <w:pPr>
              <w:pStyle w:val="TAL"/>
              <w:rPr>
                <w:lang w:eastAsia="zh-CN"/>
              </w:rPr>
            </w:pPr>
            <w:r w:rsidRPr="000A0A5F">
              <w:rPr>
                <w:lang w:eastAsia="zh-CN"/>
              </w:rPr>
              <w:t>0..1</w:t>
            </w:r>
          </w:p>
        </w:tc>
        <w:tc>
          <w:tcPr>
            <w:tcW w:w="500" w:type="pct"/>
          </w:tcPr>
          <w:p w:rsidR="00EA58C7" w:rsidRPr="000A0A5F" w:rsidRDefault="00EA58C7" w:rsidP="00EA58C7">
            <w:pPr>
              <w:pStyle w:val="TAL"/>
              <w:rPr>
                <w:lang w:eastAsia="zh-CN"/>
              </w:rPr>
            </w:pPr>
            <w:r w:rsidRPr="000A0A5F">
              <w:rPr>
                <w:lang w:eastAsia="zh-CN"/>
              </w:rPr>
              <w:t>500 Internal Server Error</w:t>
            </w:r>
          </w:p>
        </w:tc>
        <w:tc>
          <w:tcPr>
            <w:tcW w:w="2334" w:type="pct"/>
          </w:tcPr>
          <w:p w:rsidR="00EA58C7" w:rsidRPr="000A0A5F" w:rsidRDefault="00AD22E3" w:rsidP="00EA58C7">
            <w:pPr>
              <w:pStyle w:val="TAL"/>
            </w:pPr>
            <w:r w:rsidRPr="000A0A5F">
              <w:t>(NOTE 2)</w:t>
            </w:r>
          </w:p>
        </w:tc>
      </w:tr>
      <w:tr w:rsidR="00EA58C7" w:rsidRPr="000A0A5F" w:rsidTr="00FF0AF8">
        <w:tc>
          <w:tcPr>
            <w:tcW w:w="5000" w:type="pct"/>
            <w:gridSpan w:val="5"/>
            <w:shd w:val="clear" w:color="auto" w:fill="auto"/>
            <w:vAlign w:val="center"/>
          </w:tcPr>
          <w:p w:rsidR="00EA58C7" w:rsidRPr="000A0A5F" w:rsidRDefault="00EA58C7" w:rsidP="00EA58C7">
            <w:pPr>
              <w:pStyle w:val="TAN"/>
            </w:pPr>
            <w:r w:rsidRPr="000A0A5F">
              <w:t>NOTE 1:</w:t>
            </w:r>
            <w:r w:rsidRPr="000A0A5F">
              <w:tab/>
              <w:t>The mandatory HTTP error status codes for the DELETE method listed in table 5.2.6-1 also apply.</w:t>
            </w:r>
          </w:p>
          <w:p w:rsidR="00EA58C7" w:rsidRPr="000A0A5F" w:rsidRDefault="00EA58C7" w:rsidP="00EA58C7">
            <w:pPr>
              <w:pStyle w:val="TAN"/>
            </w:pPr>
            <w:r w:rsidRPr="000A0A5F">
              <w:t>NOTE 2:</w:t>
            </w:r>
            <w:r w:rsidRPr="000A0A5F">
              <w:tab/>
              <w:t>Failure cases are described in clause 5.6.5.3.</w:t>
            </w:r>
          </w:p>
        </w:tc>
      </w:tr>
    </w:tbl>
    <w:p w:rsidR="00CB0DD7" w:rsidRPr="000A0A5F" w:rsidRDefault="00CB0DD7"/>
    <w:p w:rsidR="00CB0DD7" w:rsidRPr="000A0A5F" w:rsidRDefault="002E466A">
      <w:pPr>
        <w:pStyle w:val="TH"/>
      </w:pPr>
      <w:r w:rsidRPr="000A0A5F">
        <w:t>Table </w:t>
      </w:r>
      <w:r w:rsidR="00CB0DD7" w:rsidRPr="000A0A5F">
        <w:t>5.6.3.9.3.5-2: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2E466A">
      <w:pPr>
        <w:pStyle w:val="TH"/>
      </w:pPr>
      <w:r w:rsidRPr="000A0A5F">
        <w:t>Table </w:t>
      </w:r>
      <w:r w:rsidR="00CB0DD7" w:rsidRPr="000A0A5F">
        <w:t>5.6.3.9.3.5-3: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CB0DD7">
      <w:pPr>
        <w:pStyle w:val="Heading4"/>
      </w:pPr>
      <w:bookmarkStart w:id="4415" w:name="_Toc27044648"/>
      <w:bookmarkStart w:id="4416" w:name="_Toc36033690"/>
      <w:bookmarkStart w:id="4417" w:name="_Toc45131827"/>
      <w:bookmarkStart w:id="4418" w:name="_Toc49776112"/>
      <w:bookmarkStart w:id="4419" w:name="_Toc51747032"/>
      <w:bookmarkStart w:id="4420" w:name="_Toc66360572"/>
      <w:bookmarkStart w:id="4421" w:name="_Toc68105077"/>
      <w:bookmarkStart w:id="4422" w:name="_Toc74755707"/>
      <w:bookmarkStart w:id="4423" w:name="_Toc105674581"/>
      <w:bookmarkStart w:id="4424" w:name="_Toc130502629"/>
      <w:bookmarkStart w:id="4425" w:name="_Toc153625416"/>
      <w:r w:rsidRPr="000A0A5F">
        <w:t>5.6.3.10</w:t>
      </w:r>
      <w:r w:rsidRPr="000A0A5F">
        <w:tab/>
        <w:t>Void</w:t>
      </w:r>
      <w:bookmarkEnd w:id="4415"/>
      <w:bookmarkEnd w:id="4416"/>
      <w:bookmarkEnd w:id="4417"/>
      <w:bookmarkEnd w:id="4418"/>
      <w:bookmarkEnd w:id="4419"/>
      <w:bookmarkEnd w:id="4420"/>
      <w:bookmarkEnd w:id="4421"/>
      <w:bookmarkEnd w:id="4422"/>
      <w:bookmarkEnd w:id="4423"/>
      <w:bookmarkEnd w:id="4424"/>
      <w:bookmarkEnd w:id="4425"/>
    </w:p>
    <w:p w:rsidR="00CB0DD7" w:rsidRPr="000A0A5F" w:rsidRDefault="00CB0DD7">
      <w:pPr>
        <w:pStyle w:val="Heading4"/>
        <w:rPr>
          <w:rFonts w:hint="eastAsia"/>
          <w:lang w:eastAsia="zh-CN"/>
        </w:rPr>
      </w:pPr>
      <w:bookmarkStart w:id="4426" w:name="_Toc45131833"/>
      <w:bookmarkStart w:id="4427" w:name="_Toc49776118"/>
      <w:bookmarkStart w:id="4428" w:name="_Toc51747038"/>
      <w:bookmarkStart w:id="4429" w:name="_Toc66360573"/>
      <w:bookmarkStart w:id="4430" w:name="_Toc68105078"/>
      <w:bookmarkStart w:id="4431" w:name="_Toc74755708"/>
      <w:bookmarkStart w:id="4432" w:name="_Toc105674582"/>
      <w:bookmarkStart w:id="4433" w:name="_Toc130502630"/>
      <w:bookmarkStart w:id="4434" w:name="_Toc153625417"/>
      <w:r w:rsidRPr="000A0A5F">
        <w:t>5.6.3.11</w:t>
      </w:r>
      <w:r w:rsidRPr="000A0A5F">
        <w:tab/>
        <w:t xml:space="preserve">Resource: ManagePort </w:t>
      </w:r>
      <w:r w:rsidRPr="000A0A5F">
        <w:rPr>
          <w:rFonts w:hint="eastAsia"/>
          <w:lang w:eastAsia="zh-CN"/>
        </w:rPr>
        <w:t>Configuration</w:t>
      </w:r>
      <w:r w:rsidRPr="000A0A5F">
        <w:rPr>
          <w:lang w:eastAsia="zh-CN"/>
        </w:rPr>
        <w:t>s</w:t>
      </w:r>
      <w:bookmarkEnd w:id="4426"/>
      <w:bookmarkEnd w:id="4427"/>
      <w:bookmarkEnd w:id="4428"/>
      <w:bookmarkEnd w:id="4429"/>
      <w:bookmarkEnd w:id="4430"/>
      <w:bookmarkEnd w:id="4431"/>
      <w:bookmarkEnd w:id="4432"/>
      <w:bookmarkEnd w:id="4433"/>
      <w:bookmarkEnd w:id="4434"/>
    </w:p>
    <w:p w:rsidR="00CB0DD7" w:rsidRPr="000A0A5F" w:rsidRDefault="00CB0DD7">
      <w:pPr>
        <w:pStyle w:val="Heading5"/>
      </w:pPr>
      <w:bookmarkStart w:id="4435" w:name="_Toc45131834"/>
      <w:bookmarkStart w:id="4436" w:name="_Toc49776119"/>
      <w:bookmarkStart w:id="4437" w:name="_Toc51747039"/>
      <w:bookmarkStart w:id="4438" w:name="_Toc66360574"/>
      <w:bookmarkStart w:id="4439" w:name="_Toc68105079"/>
      <w:bookmarkStart w:id="4440" w:name="_Toc74755709"/>
      <w:bookmarkStart w:id="4441" w:name="_Toc105674583"/>
      <w:bookmarkStart w:id="4442" w:name="_Toc130502631"/>
      <w:bookmarkStart w:id="4443" w:name="_Toc153625418"/>
      <w:r w:rsidRPr="000A0A5F">
        <w:t>5.6.3.11.1</w:t>
      </w:r>
      <w:r w:rsidRPr="000A0A5F">
        <w:tab/>
        <w:t>Introduction</w:t>
      </w:r>
      <w:bookmarkEnd w:id="4435"/>
      <w:bookmarkEnd w:id="4436"/>
      <w:bookmarkEnd w:id="4437"/>
      <w:bookmarkEnd w:id="4438"/>
      <w:bookmarkEnd w:id="4439"/>
      <w:bookmarkEnd w:id="4440"/>
      <w:bookmarkEnd w:id="4441"/>
      <w:bookmarkEnd w:id="4442"/>
      <w:bookmarkEnd w:id="4443"/>
    </w:p>
    <w:p w:rsidR="00CB0DD7" w:rsidRPr="000A0A5F" w:rsidRDefault="00CB0DD7">
      <w:pPr>
        <w:rPr>
          <w:noProof/>
          <w:lang w:eastAsia="zh-CN"/>
        </w:rPr>
      </w:pPr>
      <w:r w:rsidRPr="000A0A5F">
        <w:rPr>
          <w:noProof/>
          <w:lang w:eastAsia="zh-CN"/>
        </w:rPr>
        <w:t>This resource allows t</w:t>
      </w:r>
      <w:r w:rsidRPr="000A0A5F">
        <w:rPr>
          <w:rFonts w:hint="eastAsia"/>
          <w:noProof/>
          <w:lang w:eastAsia="zh-CN"/>
        </w:rPr>
        <w:t xml:space="preserve">he SCS/AS </w:t>
      </w:r>
      <w:r w:rsidRPr="000A0A5F">
        <w:rPr>
          <w:noProof/>
          <w:lang w:eastAsia="zh-CN"/>
        </w:rPr>
        <w:t>to read</w:t>
      </w:r>
      <w:r w:rsidRPr="000A0A5F">
        <w:rPr>
          <w:rFonts w:hint="eastAsia"/>
          <w:noProof/>
          <w:lang w:eastAsia="zh-CN"/>
        </w:rPr>
        <w:t xml:space="preserve"> </w:t>
      </w:r>
      <w:r w:rsidRPr="000A0A5F">
        <w:rPr>
          <w:noProof/>
          <w:lang w:eastAsia="zh-CN"/>
        </w:rPr>
        <w:t>all</w:t>
      </w:r>
      <w:r w:rsidRPr="000A0A5F">
        <w:rPr>
          <w:rFonts w:hint="eastAsia"/>
          <w:noProof/>
          <w:lang w:eastAsia="zh-CN"/>
        </w:rPr>
        <w:t xml:space="preserve"> </w:t>
      </w:r>
      <w:r w:rsidRPr="000A0A5F">
        <w:rPr>
          <w:noProof/>
          <w:lang w:eastAsia="zh-CN"/>
        </w:rPr>
        <w:t>ManagePort</w:t>
      </w:r>
      <w:r w:rsidRPr="000A0A5F">
        <w:rPr>
          <w:rFonts w:hint="eastAsia"/>
          <w:noProof/>
          <w:lang w:eastAsia="zh-CN"/>
        </w:rPr>
        <w:t xml:space="preserve"> </w:t>
      </w:r>
      <w:r w:rsidRPr="000A0A5F">
        <w:rPr>
          <w:noProof/>
          <w:lang w:eastAsia="zh-CN"/>
        </w:rPr>
        <w:t xml:space="preserve">configurations for a given NIDD </w:t>
      </w:r>
      <w:r w:rsidRPr="000A0A5F">
        <w:rPr>
          <w:rFonts w:hint="eastAsia"/>
          <w:noProof/>
          <w:lang w:eastAsia="zh-CN"/>
        </w:rPr>
        <w:t>configuration</w:t>
      </w:r>
      <w:r w:rsidRPr="000A0A5F">
        <w:rPr>
          <w:noProof/>
          <w:lang w:eastAsia="zh-CN"/>
        </w:rPr>
        <w:t xml:space="preserve"> at the SCEF.  </w:t>
      </w:r>
    </w:p>
    <w:p w:rsidR="00CB0DD7" w:rsidRPr="000A0A5F" w:rsidRDefault="00CB0DD7">
      <w:pPr>
        <w:pStyle w:val="Heading5"/>
      </w:pPr>
      <w:bookmarkStart w:id="4444" w:name="_Toc45131835"/>
      <w:bookmarkStart w:id="4445" w:name="_Toc49776120"/>
      <w:bookmarkStart w:id="4446" w:name="_Toc51747040"/>
      <w:bookmarkStart w:id="4447" w:name="_Toc66360575"/>
      <w:bookmarkStart w:id="4448" w:name="_Toc68105080"/>
      <w:bookmarkStart w:id="4449" w:name="_Toc74755710"/>
      <w:bookmarkStart w:id="4450" w:name="_Toc105674584"/>
      <w:bookmarkStart w:id="4451" w:name="_Toc130502632"/>
      <w:bookmarkStart w:id="4452" w:name="_Toc153625419"/>
      <w:r w:rsidRPr="000A0A5F">
        <w:t>5.6.3.11.2</w:t>
      </w:r>
      <w:r w:rsidRPr="000A0A5F">
        <w:tab/>
        <w:t>Resource definition</w:t>
      </w:r>
      <w:bookmarkEnd w:id="4444"/>
      <w:bookmarkEnd w:id="4445"/>
      <w:bookmarkEnd w:id="4446"/>
      <w:bookmarkEnd w:id="4447"/>
      <w:bookmarkEnd w:id="4448"/>
      <w:bookmarkEnd w:id="4449"/>
      <w:bookmarkEnd w:id="4450"/>
      <w:bookmarkEnd w:id="4451"/>
      <w:bookmarkEnd w:id="4452"/>
    </w:p>
    <w:p w:rsidR="00CB0DD7" w:rsidRPr="000A0A5F" w:rsidRDefault="00CB0DD7">
      <w:r w:rsidRPr="000A0A5F">
        <w:t xml:space="preserve">Resource URI: </w:t>
      </w:r>
      <w:r w:rsidRPr="000A0A5F">
        <w:rPr>
          <w:b/>
        </w:rPr>
        <w:t>{apiRoot}/3gpp-nidd/v1/{scsAsId}/</w:t>
      </w:r>
      <w:r w:rsidRPr="000A0A5F">
        <w:rPr>
          <w:rFonts w:hint="eastAsia"/>
          <w:b/>
          <w:lang w:eastAsia="zh-CN"/>
        </w:rPr>
        <w:t>configurations</w:t>
      </w:r>
      <w:r w:rsidRPr="000A0A5F">
        <w:rPr>
          <w:b/>
        </w:rPr>
        <w:t>/{configurationId}/rds-ports</w:t>
      </w:r>
    </w:p>
    <w:p w:rsidR="00CB0DD7" w:rsidRPr="000A0A5F" w:rsidRDefault="00CB0DD7">
      <w:pPr>
        <w:rPr>
          <w:rFonts w:ascii="Arial" w:hAnsi="Arial" w:cs="Arial"/>
        </w:rPr>
      </w:pPr>
      <w:r w:rsidRPr="000A0A5F">
        <w:t>This resource shall support the resource URI variables defined in table 5.6.3.11.2-1</w:t>
      </w:r>
      <w:r w:rsidRPr="000A0A5F">
        <w:rPr>
          <w:rFonts w:ascii="Arial" w:hAnsi="Arial" w:cs="Arial"/>
        </w:rPr>
        <w:t>.</w:t>
      </w:r>
    </w:p>
    <w:p w:rsidR="00CB0DD7" w:rsidRPr="000A0A5F" w:rsidRDefault="00CB0DD7">
      <w:pPr>
        <w:pStyle w:val="TH"/>
        <w:rPr>
          <w:rFonts w:cs="Arial"/>
        </w:rPr>
      </w:pPr>
      <w:r w:rsidRPr="000A0A5F">
        <w:t>Table 5.6.3.11.2-1: Resource URI variables for resource "ManagePort Configurations"</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803"/>
        <w:gridCol w:w="1359"/>
        <w:gridCol w:w="6615"/>
      </w:tblGrid>
      <w:tr w:rsidR="00CB0DD7" w:rsidRPr="000A0A5F" w:rsidTr="00FF0AF8">
        <w:trPr>
          <w:jc w:val="center"/>
        </w:trPr>
        <w:tc>
          <w:tcPr>
            <w:tcW w:w="922" w:type="pct"/>
            <w:shd w:val="clear" w:color="000000" w:fill="C0C0C0"/>
          </w:tcPr>
          <w:p w:rsidR="00CB0DD7" w:rsidRPr="000A0A5F" w:rsidRDefault="00CB0DD7">
            <w:pPr>
              <w:pStyle w:val="TAH"/>
            </w:pPr>
            <w:r w:rsidRPr="000A0A5F">
              <w:t>Name</w:t>
            </w:r>
          </w:p>
        </w:tc>
        <w:tc>
          <w:tcPr>
            <w:tcW w:w="695" w:type="pct"/>
            <w:shd w:val="clear" w:color="000000" w:fill="C0C0C0"/>
          </w:tcPr>
          <w:p w:rsidR="00CB0DD7" w:rsidRPr="000A0A5F" w:rsidRDefault="00CB0DD7">
            <w:pPr>
              <w:pStyle w:val="TAH"/>
            </w:pPr>
            <w:r w:rsidRPr="000A0A5F">
              <w:t>Data type</w:t>
            </w:r>
          </w:p>
        </w:tc>
        <w:tc>
          <w:tcPr>
            <w:tcW w:w="3384" w:type="pct"/>
            <w:shd w:val="clear" w:color="000000" w:fill="C0C0C0"/>
            <w:vAlign w:val="center"/>
          </w:tcPr>
          <w:p w:rsidR="00CB0DD7" w:rsidRPr="000A0A5F" w:rsidRDefault="00CB0DD7">
            <w:pPr>
              <w:pStyle w:val="TAH"/>
            </w:pPr>
            <w:r w:rsidRPr="000A0A5F">
              <w:t>Definition</w:t>
            </w:r>
          </w:p>
        </w:tc>
      </w:tr>
      <w:tr w:rsidR="00CB0DD7" w:rsidRPr="000A0A5F" w:rsidTr="00FF0AF8">
        <w:trPr>
          <w:jc w:val="center"/>
        </w:trPr>
        <w:tc>
          <w:tcPr>
            <w:tcW w:w="922" w:type="pct"/>
            <w:shd w:val="clear" w:color="auto" w:fill="auto"/>
          </w:tcPr>
          <w:p w:rsidR="00CB0DD7" w:rsidRPr="000A0A5F" w:rsidRDefault="00CB0DD7">
            <w:pPr>
              <w:pStyle w:val="TAL"/>
            </w:pPr>
            <w:r w:rsidRPr="000A0A5F">
              <w:t>apiRoot</w:t>
            </w:r>
          </w:p>
        </w:tc>
        <w:tc>
          <w:tcPr>
            <w:tcW w:w="695" w:type="pct"/>
          </w:tcPr>
          <w:p w:rsidR="00CB0DD7" w:rsidRPr="000A0A5F" w:rsidRDefault="00CB0DD7">
            <w:pPr>
              <w:pStyle w:val="TAL"/>
              <w:rPr>
                <w:lang w:eastAsia="zh-CN"/>
              </w:rPr>
            </w:pPr>
            <w:r w:rsidRPr="000A0A5F">
              <w:rPr>
                <w:rFonts w:hint="eastAsia"/>
                <w:lang w:eastAsia="zh-CN"/>
              </w:rPr>
              <w:t>s</w:t>
            </w:r>
            <w:r w:rsidRPr="000A0A5F">
              <w:rPr>
                <w:lang w:eastAsia="zh-CN"/>
              </w:rPr>
              <w:t>tring</w:t>
            </w:r>
          </w:p>
        </w:tc>
        <w:tc>
          <w:tcPr>
            <w:tcW w:w="3384" w:type="pct"/>
            <w:shd w:val="clear" w:color="auto" w:fill="auto"/>
            <w:vAlign w:val="center"/>
          </w:tcPr>
          <w:p w:rsidR="00CB0DD7" w:rsidRPr="000A0A5F" w:rsidRDefault="00CB0DD7">
            <w:pPr>
              <w:pStyle w:val="TAL"/>
            </w:pPr>
            <w:r w:rsidRPr="000A0A5F">
              <w:t>See clause</w:t>
            </w:r>
            <w:r w:rsidRPr="000A0A5F">
              <w:rPr>
                <w:lang w:val="en-US" w:eastAsia="zh-CN"/>
              </w:rPr>
              <w:t> </w:t>
            </w:r>
            <w:r w:rsidRPr="000A0A5F">
              <w:t>5.2.4.</w:t>
            </w:r>
          </w:p>
        </w:tc>
      </w:tr>
      <w:tr w:rsidR="00CB0DD7" w:rsidRPr="000A0A5F" w:rsidTr="00FF0AF8">
        <w:trPr>
          <w:jc w:val="center"/>
        </w:trPr>
        <w:tc>
          <w:tcPr>
            <w:tcW w:w="922" w:type="pct"/>
            <w:shd w:val="clear" w:color="auto" w:fill="auto"/>
          </w:tcPr>
          <w:p w:rsidR="00CB0DD7" w:rsidRPr="000A0A5F" w:rsidRDefault="00CB0DD7">
            <w:pPr>
              <w:pStyle w:val="TAL"/>
            </w:pPr>
            <w:r w:rsidRPr="000A0A5F">
              <w:t>scsAsId</w:t>
            </w:r>
          </w:p>
        </w:tc>
        <w:tc>
          <w:tcPr>
            <w:tcW w:w="695" w:type="pct"/>
          </w:tcPr>
          <w:p w:rsidR="00CB0DD7" w:rsidRPr="000A0A5F" w:rsidRDefault="00CB0DD7">
            <w:pPr>
              <w:pStyle w:val="TAL"/>
            </w:pPr>
            <w:r w:rsidRPr="000A0A5F">
              <w:rPr>
                <w:rFonts w:hint="eastAsia"/>
                <w:lang w:eastAsia="zh-CN"/>
              </w:rPr>
              <w:t>s</w:t>
            </w:r>
            <w:r w:rsidRPr="000A0A5F">
              <w:rPr>
                <w:lang w:eastAsia="zh-CN"/>
              </w:rPr>
              <w:t>tring</w:t>
            </w:r>
          </w:p>
        </w:tc>
        <w:tc>
          <w:tcPr>
            <w:tcW w:w="3384" w:type="pct"/>
            <w:shd w:val="clear" w:color="auto" w:fill="auto"/>
            <w:vAlign w:val="center"/>
          </w:tcPr>
          <w:p w:rsidR="00CB0DD7" w:rsidRPr="000A0A5F" w:rsidRDefault="00CB0DD7">
            <w:pPr>
              <w:pStyle w:val="TAL"/>
            </w:pPr>
            <w:r w:rsidRPr="000A0A5F">
              <w:t>Identifier of the SCS/AS.</w:t>
            </w:r>
          </w:p>
        </w:tc>
      </w:tr>
      <w:tr w:rsidR="00CB0DD7" w:rsidRPr="000A0A5F" w:rsidTr="00FF0AF8">
        <w:trPr>
          <w:jc w:val="center"/>
        </w:trPr>
        <w:tc>
          <w:tcPr>
            <w:tcW w:w="922" w:type="pct"/>
            <w:shd w:val="clear" w:color="auto" w:fill="auto"/>
          </w:tcPr>
          <w:p w:rsidR="00CB0DD7" w:rsidRPr="000A0A5F" w:rsidRDefault="00CB0DD7">
            <w:pPr>
              <w:pStyle w:val="TAL"/>
            </w:pPr>
            <w:r w:rsidRPr="000A0A5F">
              <w:rPr>
                <w:lang w:eastAsia="zh-CN"/>
              </w:rPr>
              <w:t>configuration</w:t>
            </w:r>
            <w:r w:rsidRPr="000A0A5F">
              <w:t>Id</w:t>
            </w:r>
          </w:p>
        </w:tc>
        <w:tc>
          <w:tcPr>
            <w:tcW w:w="695" w:type="pct"/>
          </w:tcPr>
          <w:p w:rsidR="00CB0DD7" w:rsidRPr="000A0A5F" w:rsidRDefault="00CB0DD7">
            <w:pPr>
              <w:pStyle w:val="TAL"/>
              <w:rPr>
                <w:rFonts w:hint="eastAsia"/>
                <w:lang w:eastAsia="zh-CN"/>
              </w:rPr>
            </w:pPr>
            <w:r w:rsidRPr="000A0A5F">
              <w:rPr>
                <w:lang w:eastAsia="zh-CN"/>
              </w:rPr>
              <w:t>string</w:t>
            </w:r>
          </w:p>
        </w:tc>
        <w:tc>
          <w:tcPr>
            <w:tcW w:w="3384" w:type="pct"/>
            <w:shd w:val="clear" w:color="auto" w:fill="auto"/>
            <w:vAlign w:val="center"/>
          </w:tcPr>
          <w:p w:rsidR="00CB0DD7" w:rsidRPr="000A0A5F" w:rsidRDefault="00CB0DD7">
            <w:pPr>
              <w:pStyle w:val="TAL"/>
            </w:pPr>
            <w:r w:rsidRPr="000A0A5F">
              <w:t>Identifier of the configuration of type string. The configurationId corresponds to the stage 2 TLTRI.</w:t>
            </w:r>
          </w:p>
        </w:tc>
      </w:tr>
    </w:tbl>
    <w:p w:rsidR="00CB0DD7" w:rsidRPr="000A0A5F" w:rsidRDefault="00CB0DD7"/>
    <w:p w:rsidR="00CB0DD7" w:rsidRPr="000A0A5F" w:rsidRDefault="00CB0DD7">
      <w:pPr>
        <w:pStyle w:val="Heading5"/>
      </w:pPr>
      <w:bookmarkStart w:id="4453" w:name="_Toc45131836"/>
      <w:bookmarkStart w:id="4454" w:name="_Toc49776121"/>
      <w:bookmarkStart w:id="4455" w:name="_Toc51747041"/>
      <w:bookmarkStart w:id="4456" w:name="_Toc66360576"/>
      <w:bookmarkStart w:id="4457" w:name="_Toc68105081"/>
      <w:bookmarkStart w:id="4458" w:name="_Toc74755711"/>
      <w:bookmarkStart w:id="4459" w:name="_Toc105674585"/>
      <w:bookmarkStart w:id="4460" w:name="_Toc130502633"/>
      <w:bookmarkStart w:id="4461" w:name="_Toc153625420"/>
      <w:r w:rsidRPr="000A0A5F">
        <w:t>5.6.3.11.3</w:t>
      </w:r>
      <w:r w:rsidRPr="000A0A5F">
        <w:tab/>
        <w:t>Resource methods</w:t>
      </w:r>
      <w:bookmarkEnd w:id="4453"/>
      <w:bookmarkEnd w:id="4454"/>
      <w:bookmarkEnd w:id="4455"/>
      <w:bookmarkEnd w:id="4456"/>
      <w:bookmarkEnd w:id="4457"/>
      <w:bookmarkEnd w:id="4458"/>
      <w:bookmarkEnd w:id="4459"/>
      <w:bookmarkEnd w:id="4460"/>
      <w:bookmarkEnd w:id="4461"/>
    </w:p>
    <w:p w:rsidR="00CB0DD7" w:rsidRPr="000A0A5F" w:rsidRDefault="00CB0DD7">
      <w:pPr>
        <w:pStyle w:val="Heading6"/>
      </w:pPr>
      <w:bookmarkStart w:id="4462" w:name="_Toc45131837"/>
      <w:bookmarkStart w:id="4463" w:name="_Toc49776122"/>
      <w:bookmarkStart w:id="4464" w:name="_Toc51747042"/>
      <w:bookmarkStart w:id="4465" w:name="_Toc66360577"/>
      <w:bookmarkStart w:id="4466" w:name="_Toc68105082"/>
      <w:bookmarkStart w:id="4467" w:name="_Toc74755712"/>
      <w:bookmarkStart w:id="4468" w:name="_Toc105674586"/>
      <w:bookmarkStart w:id="4469" w:name="_Toc130502634"/>
      <w:bookmarkStart w:id="4470" w:name="_Toc153625421"/>
      <w:r w:rsidRPr="000A0A5F">
        <w:t>5.6.3.11.3.1</w:t>
      </w:r>
      <w:r w:rsidRPr="000A0A5F">
        <w:tab/>
        <w:t>GET</w:t>
      </w:r>
      <w:bookmarkEnd w:id="4462"/>
      <w:bookmarkEnd w:id="4463"/>
      <w:bookmarkEnd w:id="4464"/>
      <w:bookmarkEnd w:id="4465"/>
      <w:bookmarkEnd w:id="4466"/>
      <w:bookmarkEnd w:id="4467"/>
      <w:bookmarkEnd w:id="4468"/>
      <w:bookmarkEnd w:id="4469"/>
      <w:bookmarkEnd w:id="4470"/>
    </w:p>
    <w:p w:rsidR="00CB0DD7" w:rsidRPr="000A0A5F" w:rsidRDefault="00CB0DD7">
      <w:pPr>
        <w:rPr>
          <w:noProof/>
          <w:lang w:eastAsia="zh-CN"/>
        </w:rPr>
      </w:pPr>
      <w:r w:rsidRPr="000A0A5F">
        <w:rPr>
          <w:noProof/>
          <w:lang w:eastAsia="zh-CN"/>
        </w:rPr>
        <w:t xml:space="preserve">The GET method allows to read all ManagePort configurations on the SCEF. The SCS/AS shall initiate the HTTP GET request message and the SCEF shall respond to the message. </w:t>
      </w:r>
    </w:p>
    <w:p w:rsidR="00CB0DD7" w:rsidRPr="000A0A5F" w:rsidRDefault="00CB0DD7">
      <w:r w:rsidRPr="000A0A5F">
        <w:t>This method shall support the URI query parameters, request and response data structures, and response codes, as specified in the table 5.6.3.11.3.1-1 and table 5.6.3.11.3.1-2.</w:t>
      </w:r>
    </w:p>
    <w:p w:rsidR="00CB0DD7" w:rsidRPr="000A0A5F" w:rsidRDefault="00CB0DD7">
      <w:pPr>
        <w:pStyle w:val="TH"/>
        <w:rPr>
          <w:rFonts w:cs="Arial"/>
        </w:rPr>
      </w:pPr>
      <w:r w:rsidRPr="000A0A5F">
        <w:t xml:space="preserve">Table 5.6.3.11.3.1-1: URI query parameters supported by the GET method on this resource </w:t>
      </w:r>
    </w:p>
    <w:tbl>
      <w:tblPr>
        <w:tblW w:w="4999"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612"/>
        <w:gridCol w:w="1709"/>
        <w:gridCol w:w="1140"/>
        <w:gridCol w:w="5314"/>
      </w:tblGrid>
      <w:tr w:rsidR="00CB0DD7" w:rsidRPr="000A0A5F" w:rsidTr="00FF0AF8">
        <w:trPr>
          <w:jc w:val="center"/>
        </w:trPr>
        <w:tc>
          <w:tcPr>
            <w:tcW w:w="825" w:type="pct"/>
            <w:shd w:val="clear" w:color="000000" w:fill="C0C0C0"/>
          </w:tcPr>
          <w:p w:rsidR="00CB0DD7" w:rsidRPr="000A0A5F" w:rsidRDefault="00CB0DD7">
            <w:pPr>
              <w:pStyle w:val="TAH"/>
            </w:pPr>
            <w:r w:rsidRPr="000A0A5F">
              <w:t>Name</w:t>
            </w:r>
          </w:p>
        </w:tc>
        <w:tc>
          <w:tcPr>
            <w:tcW w:w="874" w:type="pct"/>
            <w:shd w:val="clear" w:color="000000" w:fill="C0C0C0"/>
          </w:tcPr>
          <w:p w:rsidR="00CB0DD7" w:rsidRPr="000A0A5F" w:rsidRDefault="00CB0DD7">
            <w:pPr>
              <w:pStyle w:val="TAH"/>
            </w:pPr>
            <w:r w:rsidRPr="000A0A5F">
              <w:t>Data type</w:t>
            </w:r>
          </w:p>
        </w:tc>
        <w:tc>
          <w:tcPr>
            <w:tcW w:w="583" w:type="pct"/>
            <w:shd w:val="clear" w:color="000000" w:fill="C0C0C0"/>
          </w:tcPr>
          <w:p w:rsidR="00CB0DD7" w:rsidRPr="000A0A5F" w:rsidRDefault="00CB0DD7">
            <w:pPr>
              <w:pStyle w:val="TAH"/>
            </w:pPr>
            <w:r w:rsidRPr="000A0A5F">
              <w:t>Cardinality</w:t>
            </w:r>
          </w:p>
        </w:tc>
        <w:tc>
          <w:tcPr>
            <w:tcW w:w="2718" w:type="pct"/>
            <w:shd w:val="clear" w:color="000000" w:fill="C0C0C0"/>
            <w:vAlign w:val="center"/>
          </w:tcPr>
          <w:p w:rsidR="00CB0DD7" w:rsidRPr="000A0A5F" w:rsidRDefault="00CB0DD7">
            <w:pPr>
              <w:pStyle w:val="TAH"/>
            </w:pPr>
            <w:r w:rsidRPr="000A0A5F">
              <w:t>Remarks</w:t>
            </w:r>
          </w:p>
        </w:tc>
      </w:tr>
      <w:tr w:rsidR="00CB0DD7" w:rsidRPr="000A0A5F" w:rsidTr="00FF0AF8">
        <w:trPr>
          <w:jc w:val="center"/>
        </w:trPr>
        <w:tc>
          <w:tcPr>
            <w:tcW w:w="825" w:type="pct"/>
            <w:shd w:val="clear" w:color="auto" w:fill="auto"/>
          </w:tcPr>
          <w:p w:rsidR="00CB0DD7" w:rsidRPr="000A0A5F" w:rsidRDefault="00CB0DD7">
            <w:pPr>
              <w:pStyle w:val="TAL"/>
            </w:pPr>
            <w:r w:rsidRPr="000A0A5F">
              <w:t>none specified</w:t>
            </w:r>
          </w:p>
        </w:tc>
        <w:tc>
          <w:tcPr>
            <w:tcW w:w="874" w:type="pct"/>
          </w:tcPr>
          <w:p w:rsidR="00CB0DD7" w:rsidRPr="000A0A5F" w:rsidRDefault="00CB0DD7">
            <w:pPr>
              <w:pStyle w:val="TAL"/>
            </w:pPr>
          </w:p>
        </w:tc>
        <w:tc>
          <w:tcPr>
            <w:tcW w:w="583" w:type="pct"/>
          </w:tcPr>
          <w:p w:rsidR="00CB0DD7" w:rsidRPr="000A0A5F" w:rsidRDefault="00CB0DD7">
            <w:pPr>
              <w:pStyle w:val="TAL"/>
            </w:pPr>
          </w:p>
        </w:tc>
        <w:tc>
          <w:tcPr>
            <w:tcW w:w="2718" w:type="pct"/>
            <w:shd w:val="clear" w:color="auto" w:fill="auto"/>
            <w:vAlign w:val="center"/>
          </w:tcPr>
          <w:p w:rsidR="00CB0DD7" w:rsidRPr="000A0A5F" w:rsidRDefault="00CB0DD7">
            <w:pPr>
              <w:pStyle w:val="TAL"/>
            </w:pPr>
          </w:p>
        </w:tc>
      </w:tr>
    </w:tbl>
    <w:p w:rsidR="00CB0DD7" w:rsidRPr="000A0A5F" w:rsidRDefault="00CB0DD7"/>
    <w:p w:rsidR="00CB0DD7" w:rsidRPr="000A0A5F" w:rsidRDefault="00CB0DD7">
      <w:pPr>
        <w:pStyle w:val="TH"/>
        <w:spacing w:before="120"/>
      </w:pPr>
      <w:r w:rsidRPr="000A0A5F">
        <w:t>Table 5.6.3.11.3.1-2: Data structures supported by the GET request/response by the resource</w:t>
      </w:r>
    </w:p>
    <w:tbl>
      <w:tblPr>
        <w:tblW w:w="4999" w:type="pct"/>
        <w:tblInd w:w="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45" w:type="dxa"/>
          <w:left w:w="45" w:type="dxa"/>
          <w:bottom w:w="45" w:type="dxa"/>
          <w:right w:w="45" w:type="dxa"/>
        </w:tblCellMar>
        <w:tblLook w:val="0000" w:firstRow="0" w:lastRow="0" w:firstColumn="0" w:lastColumn="0" w:noHBand="0" w:noVBand="0"/>
      </w:tblPr>
      <w:tblGrid>
        <w:gridCol w:w="1035"/>
        <w:gridCol w:w="2127"/>
        <w:gridCol w:w="1053"/>
        <w:gridCol w:w="973"/>
        <w:gridCol w:w="4541"/>
      </w:tblGrid>
      <w:tr w:rsidR="00CB0DD7" w:rsidRPr="000A0A5F" w:rsidTr="0086706F">
        <w:tc>
          <w:tcPr>
            <w:tcW w:w="532" w:type="pct"/>
            <w:vMerge w:val="restart"/>
            <w:shd w:val="clear" w:color="auto" w:fill="C0C0C0"/>
            <w:vAlign w:val="center"/>
          </w:tcPr>
          <w:p w:rsidR="00CB0DD7" w:rsidRPr="000A0A5F" w:rsidRDefault="00CB0DD7">
            <w:pPr>
              <w:pStyle w:val="TAH"/>
            </w:pPr>
            <w:r w:rsidRPr="000A0A5F">
              <w:t>Request body</w:t>
            </w:r>
          </w:p>
        </w:tc>
        <w:tc>
          <w:tcPr>
            <w:tcW w:w="1093" w:type="pct"/>
            <w:shd w:val="clear" w:color="auto" w:fill="C0C0C0"/>
          </w:tcPr>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r w:rsidRPr="000A0A5F">
              <w:t>Cardinality</w:t>
            </w:r>
          </w:p>
        </w:tc>
        <w:tc>
          <w:tcPr>
            <w:tcW w:w="2834" w:type="pct"/>
            <w:gridSpan w:val="2"/>
            <w:shd w:val="clear" w:color="auto" w:fill="C0C0C0"/>
          </w:tcPr>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None</w:t>
            </w:r>
          </w:p>
        </w:tc>
        <w:tc>
          <w:tcPr>
            <w:tcW w:w="541" w:type="pct"/>
          </w:tcPr>
          <w:p w:rsidR="00CB0DD7" w:rsidRPr="000A0A5F" w:rsidRDefault="00CB0DD7">
            <w:pPr>
              <w:pStyle w:val="TAL"/>
            </w:pPr>
          </w:p>
        </w:tc>
        <w:tc>
          <w:tcPr>
            <w:tcW w:w="2834" w:type="pct"/>
            <w:gridSpan w:val="2"/>
          </w:tcPr>
          <w:p w:rsidR="00CB0DD7" w:rsidRPr="000A0A5F" w:rsidRDefault="00CB0DD7">
            <w:pPr>
              <w:pStyle w:val="TAL"/>
            </w:pPr>
          </w:p>
        </w:tc>
      </w:tr>
      <w:tr w:rsidR="00CB0DD7" w:rsidRPr="000A0A5F" w:rsidTr="0086706F">
        <w:tc>
          <w:tcPr>
            <w:tcW w:w="532" w:type="pct"/>
            <w:vMerge w:val="restart"/>
            <w:shd w:val="clear" w:color="auto" w:fill="C0C0C0"/>
            <w:vAlign w:val="center"/>
          </w:tcPr>
          <w:p w:rsidR="00CB0DD7" w:rsidRPr="000A0A5F" w:rsidRDefault="00CB0DD7">
            <w:pPr>
              <w:pStyle w:val="TAH"/>
            </w:pPr>
            <w:r w:rsidRPr="000A0A5F">
              <w:t>Response body</w:t>
            </w:r>
          </w:p>
        </w:tc>
        <w:tc>
          <w:tcPr>
            <w:tcW w:w="1093" w:type="pct"/>
            <w:shd w:val="clear" w:color="auto" w:fill="C0C0C0"/>
          </w:tcPr>
          <w:p w:rsidR="00CB0DD7" w:rsidRPr="000A0A5F" w:rsidRDefault="00CB0DD7">
            <w:pPr>
              <w:pStyle w:val="TAH"/>
            </w:pPr>
          </w:p>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p>
          <w:p w:rsidR="00CB0DD7" w:rsidRPr="000A0A5F" w:rsidRDefault="00CB0DD7">
            <w:pPr>
              <w:pStyle w:val="TAH"/>
            </w:pPr>
            <w:r w:rsidRPr="000A0A5F">
              <w:t>Cardinality</w:t>
            </w:r>
          </w:p>
        </w:tc>
        <w:tc>
          <w:tcPr>
            <w:tcW w:w="500" w:type="pct"/>
            <w:shd w:val="clear" w:color="auto" w:fill="C0C0C0"/>
          </w:tcPr>
          <w:p w:rsidR="00CB0DD7" w:rsidRPr="000A0A5F" w:rsidRDefault="00CB0DD7">
            <w:pPr>
              <w:pStyle w:val="TAH"/>
            </w:pPr>
            <w:r w:rsidRPr="000A0A5F">
              <w:t>Response</w:t>
            </w:r>
          </w:p>
          <w:p w:rsidR="00CB0DD7" w:rsidRPr="000A0A5F" w:rsidRDefault="00CB0DD7">
            <w:pPr>
              <w:pStyle w:val="TAH"/>
            </w:pPr>
            <w:r w:rsidRPr="000A0A5F">
              <w:t>codes</w:t>
            </w:r>
          </w:p>
        </w:tc>
        <w:tc>
          <w:tcPr>
            <w:tcW w:w="2334" w:type="pct"/>
            <w:shd w:val="clear" w:color="auto" w:fill="C0C0C0"/>
          </w:tcPr>
          <w:p w:rsidR="00CB0DD7" w:rsidRPr="000A0A5F" w:rsidRDefault="00CB0DD7">
            <w:pPr>
              <w:pStyle w:val="TAH"/>
            </w:pPr>
          </w:p>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array(ManagePort)</w:t>
            </w:r>
          </w:p>
        </w:tc>
        <w:tc>
          <w:tcPr>
            <w:tcW w:w="541" w:type="pct"/>
          </w:tcPr>
          <w:p w:rsidR="00CB0DD7" w:rsidRPr="000A0A5F" w:rsidRDefault="00CB0DD7">
            <w:pPr>
              <w:pStyle w:val="TAL"/>
            </w:pPr>
            <w:r w:rsidRPr="000A0A5F">
              <w:t>0..N</w:t>
            </w:r>
          </w:p>
        </w:tc>
        <w:tc>
          <w:tcPr>
            <w:tcW w:w="500" w:type="pct"/>
          </w:tcPr>
          <w:p w:rsidR="00CB0DD7" w:rsidRPr="000A0A5F" w:rsidRDefault="00CB0DD7">
            <w:pPr>
              <w:pStyle w:val="TAL"/>
            </w:pPr>
            <w:r w:rsidRPr="000A0A5F">
              <w:t>200 OK</w:t>
            </w:r>
          </w:p>
        </w:tc>
        <w:tc>
          <w:tcPr>
            <w:tcW w:w="2334" w:type="pct"/>
          </w:tcPr>
          <w:p w:rsidR="00CB0DD7" w:rsidRPr="000A0A5F" w:rsidRDefault="00CB0DD7">
            <w:pPr>
              <w:pStyle w:val="TAL"/>
            </w:pPr>
            <w:r w:rsidRPr="000A0A5F">
              <w:t>All RDS dynamic port configuration information related to the request URI are returned.</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rPr>
                <w:lang w:eastAsia="zh-CN"/>
              </w:rPr>
              <w:t>N</w:t>
            </w:r>
            <w:r w:rsidRPr="000A0A5F">
              <w:rPr>
                <w:rFonts w:hint="eastAsia"/>
                <w:lang w:eastAsia="zh-CN"/>
              </w:rPr>
              <w:t>one</w:t>
            </w:r>
          </w:p>
        </w:tc>
        <w:tc>
          <w:tcPr>
            <w:tcW w:w="541" w:type="pct"/>
          </w:tcPr>
          <w:p w:rsidR="00CB0DD7" w:rsidRPr="000A0A5F" w:rsidRDefault="00CB0DD7">
            <w:pPr>
              <w:pStyle w:val="TAL"/>
            </w:pPr>
          </w:p>
        </w:tc>
        <w:tc>
          <w:tcPr>
            <w:tcW w:w="500" w:type="pct"/>
          </w:tcPr>
          <w:p w:rsidR="00CB0DD7" w:rsidRPr="000A0A5F" w:rsidRDefault="00CB0DD7">
            <w:pPr>
              <w:pStyle w:val="TAL"/>
            </w:pPr>
            <w:r w:rsidRPr="000A0A5F">
              <w:t>307 Temporary Redirect</w:t>
            </w:r>
          </w:p>
        </w:tc>
        <w:tc>
          <w:tcPr>
            <w:tcW w:w="2334" w:type="pct"/>
          </w:tcPr>
          <w:p w:rsidR="00CB0DD7" w:rsidRPr="000A0A5F" w:rsidRDefault="00CB0DD7">
            <w:pPr>
              <w:pStyle w:val="TAL"/>
            </w:pPr>
            <w:r w:rsidRPr="000A0A5F">
              <w:t>Temporary redirection, during configuration retrieval. The response shall include a Location header field containing an alternative URI of the resource located in an alternative SCEF.</w:t>
            </w:r>
          </w:p>
          <w:p w:rsidR="00CB0DD7" w:rsidRPr="000A0A5F" w:rsidRDefault="00CB0DD7">
            <w:pPr>
              <w:pStyle w:val="TAL"/>
            </w:pPr>
            <w:r w:rsidRPr="000A0A5F">
              <w:t>Redirection handling is described in clause 5.2.10.</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rPr>
                <w:lang w:eastAsia="zh-CN"/>
              </w:rPr>
              <w:t>N</w:t>
            </w:r>
            <w:r w:rsidRPr="000A0A5F">
              <w:rPr>
                <w:rFonts w:hint="eastAsia"/>
                <w:lang w:eastAsia="zh-CN"/>
              </w:rPr>
              <w:t>one</w:t>
            </w:r>
          </w:p>
        </w:tc>
        <w:tc>
          <w:tcPr>
            <w:tcW w:w="541" w:type="pct"/>
          </w:tcPr>
          <w:p w:rsidR="00CB0DD7" w:rsidRPr="000A0A5F" w:rsidRDefault="00CB0DD7">
            <w:pPr>
              <w:pStyle w:val="TAL"/>
            </w:pPr>
          </w:p>
        </w:tc>
        <w:tc>
          <w:tcPr>
            <w:tcW w:w="500" w:type="pct"/>
          </w:tcPr>
          <w:p w:rsidR="00CB0DD7" w:rsidRPr="000A0A5F" w:rsidRDefault="00CB0DD7">
            <w:pPr>
              <w:pStyle w:val="TAL"/>
            </w:pPr>
            <w:r w:rsidRPr="000A0A5F">
              <w:t>308 Permanent Redirect</w:t>
            </w:r>
          </w:p>
        </w:tc>
        <w:tc>
          <w:tcPr>
            <w:tcW w:w="2334" w:type="pct"/>
          </w:tcPr>
          <w:p w:rsidR="00CB0DD7" w:rsidRPr="000A0A5F" w:rsidRDefault="00CB0DD7">
            <w:pPr>
              <w:pStyle w:val="TAL"/>
            </w:pPr>
            <w:r w:rsidRPr="000A0A5F">
              <w:t>Permanent redirection, during configuration retrieval. The response shall include a Location header field containing an alternative URI of the resource located in an alternative SCEF.</w:t>
            </w:r>
          </w:p>
          <w:p w:rsidR="00CB0DD7" w:rsidRPr="000A0A5F" w:rsidRDefault="00CB0DD7">
            <w:pPr>
              <w:pStyle w:val="TAL"/>
            </w:pPr>
            <w:r w:rsidRPr="000A0A5F">
              <w:t>Redirection handling is described in clause 5.2.10.</w:t>
            </w:r>
          </w:p>
        </w:tc>
      </w:tr>
      <w:tr w:rsidR="00CB0DD7" w:rsidRPr="000A0A5F" w:rsidTr="00FF0AF8">
        <w:tc>
          <w:tcPr>
            <w:tcW w:w="5000" w:type="pct"/>
            <w:gridSpan w:val="5"/>
            <w:shd w:val="clear" w:color="auto" w:fill="auto"/>
            <w:vAlign w:val="center"/>
          </w:tcPr>
          <w:p w:rsidR="00CB0DD7" w:rsidRPr="000A0A5F" w:rsidRDefault="00CB0DD7">
            <w:pPr>
              <w:pStyle w:val="TAN"/>
            </w:pPr>
            <w:r w:rsidRPr="000A0A5F">
              <w:t>NOTE:</w:t>
            </w:r>
            <w:r w:rsidRPr="000A0A5F">
              <w:tab/>
              <w:t>The mandatory HTTP error status codes for the GET method listed in table 5.2.6-1 also apply.</w:t>
            </w:r>
          </w:p>
        </w:tc>
      </w:tr>
    </w:tbl>
    <w:p w:rsidR="00CB0DD7" w:rsidRPr="000A0A5F" w:rsidRDefault="00CB0DD7"/>
    <w:p w:rsidR="00CB0DD7" w:rsidRPr="000A0A5F" w:rsidRDefault="002E466A">
      <w:pPr>
        <w:pStyle w:val="TH"/>
      </w:pPr>
      <w:r w:rsidRPr="000A0A5F">
        <w:t>Table </w:t>
      </w:r>
      <w:r w:rsidR="00CB0DD7" w:rsidRPr="000A0A5F">
        <w:t>5.6.3.11.3.1-3: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2E466A">
      <w:pPr>
        <w:pStyle w:val="TH"/>
      </w:pPr>
      <w:r w:rsidRPr="000A0A5F">
        <w:t>Table </w:t>
      </w:r>
      <w:r w:rsidR="00CB0DD7" w:rsidRPr="000A0A5F">
        <w:t>5.6.3.11.3.1-4: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CB0DD7">
      <w:pPr>
        <w:pStyle w:val="Heading6"/>
      </w:pPr>
      <w:bookmarkStart w:id="4471" w:name="_Toc45131838"/>
      <w:bookmarkStart w:id="4472" w:name="_Toc49776123"/>
      <w:bookmarkStart w:id="4473" w:name="_Toc51747043"/>
      <w:bookmarkStart w:id="4474" w:name="_Toc66360578"/>
      <w:bookmarkStart w:id="4475" w:name="_Toc68105083"/>
      <w:bookmarkStart w:id="4476" w:name="_Toc74755713"/>
      <w:bookmarkStart w:id="4477" w:name="_Toc105674587"/>
      <w:bookmarkStart w:id="4478" w:name="_Toc130502635"/>
      <w:bookmarkStart w:id="4479" w:name="_Toc153625422"/>
      <w:r w:rsidRPr="000A0A5F">
        <w:t>5.6.3.11.3.2</w:t>
      </w:r>
      <w:r w:rsidRPr="000A0A5F">
        <w:tab/>
        <w:t>PUT</w:t>
      </w:r>
      <w:bookmarkEnd w:id="4471"/>
      <w:bookmarkEnd w:id="4472"/>
      <w:bookmarkEnd w:id="4473"/>
      <w:bookmarkEnd w:id="4474"/>
      <w:bookmarkEnd w:id="4475"/>
      <w:bookmarkEnd w:id="4476"/>
      <w:bookmarkEnd w:id="4477"/>
      <w:bookmarkEnd w:id="4478"/>
      <w:bookmarkEnd w:id="4479"/>
    </w:p>
    <w:p w:rsidR="00CB0DD7" w:rsidRPr="000A0A5F" w:rsidRDefault="00CB0DD7">
      <w:pPr>
        <w:rPr>
          <w:lang w:eastAsia="zh-CN"/>
        </w:rPr>
      </w:pPr>
      <w:r w:rsidRPr="000A0A5F">
        <w:rPr>
          <w:rFonts w:hint="eastAsia"/>
          <w:lang w:eastAsia="zh-CN"/>
        </w:rPr>
        <w:t xml:space="preserve">This </w:t>
      </w:r>
      <w:r w:rsidRPr="000A0A5F">
        <w:rPr>
          <w:lang w:eastAsia="zh-CN"/>
        </w:rPr>
        <w:t>HTTP method is not supported for the resource.</w:t>
      </w:r>
    </w:p>
    <w:p w:rsidR="00CB0DD7" w:rsidRPr="000A0A5F" w:rsidRDefault="00CB0DD7">
      <w:pPr>
        <w:pStyle w:val="Heading6"/>
        <w:rPr>
          <w:rFonts w:hint="eastAsia"/>
          <w:lang w:eastAsia="zh-CN"/>
        </w:rPr>
      </w:pPr>
      <w:bookmarkStart w:id="4480" w:name="_Toc45131839"/>
      <w:bookmarkStart w:id="4481" w:name="_Toc49776124"/>
      <w:bookmarkStart w:id="4482" w:name="_Toc51747044"/>
      <w:bookmarkStart w:id="4483" w:name="_Toc66360579"/>
      <w:bookmarkStart w:id="4484" w:name="_Toc68105084"/>
      <w:bookmarkStart w:id="4485" w:name="_Toc74755714"/>
      <w:bookmarkStart w:id="4486" w:name="_Toc105674588"/>
      <w:bookmarkStart w:id="4487" w:name="_Toc130502636"/>
      <w:bookmarkStart w:id="4488" w:name="_Toc153625423"/>
      <w:r w:rsidRPr="000A0A5F">
        <w:t>5.6.3.11.3.3</w:t>
      </w:r>
      <w:r w:rsidRPr="000A0A5F">
        <w:tab/>
        <w:t>PATCH</w:t>
      </w:r>
      <w:bookmarkEnd w:id="4480"/>
      <w:bookmarkEnd w:id="4481"/>
      <w:bookmarkEnd w:id="4482"/>
      <w:bookmarkEnd w:id="4483"/>
      <w:bookmarkEnd w:id="4484"/>
      <w:bookmarkEnd w:id="4485"/>
      <w:bookmarkEnd w:id="4486"/>
      <w:bookmarkEnd w:id="4487"/>
      <w:bookmarkEnd w:id="4488"/>
    </w:p>
    <w:p w:rsidR="00CB0DD7" w:rsidRPr="000A0A5F" w:rsidRDefault="00CB0DD7">
      <w:pPr>
        <w:rPr>
          <w:rFonts w:hint="eastAsia"/>
          <w:lang w:eastAsia="zh-CN"/>
        </w:rPr>
      </w:pPr>
      <w:r w:rsidRPr="000A0A5F">
        <w:rPr>
          <w:rFonts w:hint="eastAsia"/>
          <w:lang w:eastAsia="zh-CN"/>
        </w:rPr>
        <w:t xml:space="preserve">This </w:t>
      </w:r>
      <w:r w:rsidRPr="000A0A5F">
        <w:rPr>
          <w:lang w:eastAsia="zh-CN"/>
        </w:rPr>
        <w:t>HTTP method is not supported for the resource.</w:t>
      </w:r>
    </w:p>
    <w:p w:rsidR="00CB0DD7" w:rsidRPr="000A0A5F" w:rsidRDefault="00CB0DD7">
      <w:pPr>
        <w:pStyle w:val="Heading6"/>
      </w:pPr>
      <w:bookmarkStart w:id="4489" w:name="_Toc45131840"/>
      <w:bookmarkStart w:id="4490" w:name="_Toc49776125"/>
      <w:bookmarkStart w:id="4491" w:name="_Toc51747045"/>
      <w:bookmarkStart w:id="4492" w:name="_Toc66360580"/>
      <w:bookmarkStart w:id="4493" w:name="_Toc68105085"/>
      <w:bookmarkStart w:id="4494" w:name="_Toc74755715"/>
      <w:bookmarkStart w:id="4495" w:name="_Toc105674589"/>
      <w:bookmarkStart w:id="4496" w:name="_Toc130502637"/>
      <w:bookmarkStart w:id="4497" w:name="_Toc153625424"/>
      <w:r w:rsidRPr="000A0A5F">
        <w:t>5.6.3.11.3.4</w:t>
      </w:r>
      <w:r w:rsidRPr="000A0A5F">
        <w:tab/>
        <w:t>POST</w:t>
      </w:r>
      <w:bookmarkEnd w:id="4489"/>
      <w:bookmarkEnd w:id="4490"/>
      <w:bookmarkEnd w:id="4491"/>
      <w:bookmarkEnd w:id="4492"/>
      <w:bookmarkEnd w:id="4493"/>
      <w:bookmarkEnd w:id="4494"/>
      <w:bookmarkEnd w:id="4495"/>
      <w:bookmarkEnd w:id="4496"/>
      <w:bookmarkEnd w:id="4497"/>
    </w:p>
    <w:p w:rsidR="00CB0DD7" w:rsidRPr="000A0A5F" w:rsidRDefault="00CB0DD7">
      <w:pPr>
        <w:rPr>
          <w:rFonts w:hint="eastAsia"/>
          <w:lang w:eastAsia="zh-CN"/>
        </w:rPr>
      </w:pPr>
      <w:r w:rsidRPr="000A0A5F">
        <w:rPr>
          <w:rFonts w:hint="eastAsia"/>
          <w:lang w:eastAsia="zh-CN"/>
        </w:rPr>
        <w:t xml:space="preserve">This </w:t>
      </w:r>
      <w:r w:rsidRPr="000A0A5F">
        <w:rPr>
          <w:lang w:eastAsia="zh-CN"/>
        </w:rPr>
        <w:t>HTTP method is not supported for the resource.</w:t>
      </w:r>
    </w:p>
    <w:p w:rsidR="00CB0DD7" w:rsidRPr="000A0A5F" w:rsidRDefault="00CB0DD7">
      <w:pPr>
        <w:pStyle w:val="Heading6"/>
        <w:rPr>
          <w:rFonts w:hint="eastAsia"/>
          <w:lang w:eastAsia="zh-CN"/>
        </w:rPr>
      </w:pPr>
      <w:bookmarkStart w:id="4498" w:name="_Toc45131841"/>
      <w:bookmarkStart w:id="4499" w:name="_Toc49776126"/>
      <w:bookmarkStart w:id="4500" w:name="_Toc51747046"/>
      <w:bookmarkStart w:id="4501" w:name="_Toc66360581"/>
      <w:bookmarkStart w:id="4502" w:name="_Toc68105086"/>
      <w:bookmarkStart w:id="4503" w:name="_Toc74755716"/>
      <w:bookmarkStart w:id="4504" w:name="_Toc105674590"/>
      <w:bookmarkStart w:id="4505" w:name="_Toc130502638"/>
      <w:bookmarkStart w:id="4506" w:name="_Toc153625425"/>
      <w:r w:rsidRPr="000A0A5F">
        <w:t>5.6.3.11.3.5</w:t>
      </w:r>
      <w:r w:rsidRPr="000A0A5F">
        <w:tab/>
        <w:t>DELETE</w:t>
      </w:r>
      <w:bookmarkEnd w:id="4498"/>
      <w:bookmarkEnd w:id="4499"/>
      <w:bookmarkEnd w:id="4500"/>
      <w:bookmarkEnd w:id="4501"/>
      <w:bookmarkEnd w:id="4502"/>
      <w:bookmarkEnd w:id="4503"/>
      <w:bookmarkEnd w:id="4504"/>
      <w:bookmarkEnd w:id="4505"/>
      <w:bookmarkEnd w:id="4506"/>
    </w:p>
    <w:p w:rsidR="00CB0DD7" w:rsidRPr="000A0A5F" w:rsidRDefault="00CB0DD7">
      <w:pPr>
        <w:rPr>
          <w:lang w:eastAsia="zh-CN"/>
        </w:rPr>
      </w:pPr>
      <w:r w:rsidRPr="000A0A5F">
        <w:rPr>
          <w:rFonts w:hint="eastAsia"/>
          <w:lang w:eastAsia="zh-CN"/>
        </w:rPr>
        <w:t xml:space="preserve">This </w:t>
      </w:r>
      <w:r w:rsidRPr="000A0A5F">
        <w:rPr>
          <w:lang w:eastAsia="zh-CN"/>
        </w:rPr>
        <w:t>HTTP method is not supported for the resource.</w:t>
      </w:r>
    </w:p>
    <w:p w:rsidR="00CB0DD7" w:rsidRPr="000A0A5F" w:rsidRDefault="00CB0DD7">
      <w:pPr>
        <w:pStyle w:val="Heading3"/>
      </w:pPr>
      <w:bookmarkStart w:id="4507" w:name="_Toc66360582"/>
      <w:bookmarkStart w:id="4508" w:name="_Toc68105087"/>
      <w:bookmarkStart w:id="4509" w:name="_Toc74755717"/>
      <w:bookmarkStart w:id="4510" w:name="_Toc105674591"/>
      <w:bookmarkStart w:id="4511" w:name="_Toc130502639"/>
      <w:bookmarkStart w:id="4512" w:name="_Toc153625426"/>
      <w:r w:rsidRPr="000A0A5F">
        <w:t>5.6.</w:t>
      </w:r>
      <w:r w:rsidR="0086706F" w:rsidRPr="000A0A5F">
        <w:t>3A</w:t>
      </w:r>
      <w:r w:rsidRPr="000A0A5F">
        <w:tab/>
        <w:t>Notifications</w:t>
      </w:r>
      <w:bookmarkEnd w:id="4507"/>
      <w:bookmarkEnd w:id="4508"/>
      <w:bookmarkEnd w:id="4509"/>
      <w:bookmarkEnd w:id="4510"/>
      <w:bookmarkEnd w:id="4511"/>
      <w:bookmarkEnd w:id="4512"/>
    </w:p>
    <w:p w:rsidR="00CB0DD7" w:rsidRPr="000A0A5F" w:rsidRDefault="00CB0DD7">
      <w:pPr>
        <w:pStyle w:val="Heading4"/>
      </w:pPr>
      <w:bookmarkStart w:id="4513" w:name="_Toc66360583"/>
      <w:bookmarkStart w:id="4514" w:name="_Toc68105088"/>
      <w:bookmarkStart w:id="4515" w:name="_Toc74755718"/>
      <w:bookmarkStart w:id="4516" w:name="_Toc105674592"/>
      <w:bookmarkStart w:id="4517" w:name="_Toc130502640"/>
      <w:bookmarkStart w:id="4518" w:name="_Toc153625427"/>
      <w:r w:rsidRPr="000A0A5F">
        <w:t>5.6.</w:t>
      </w:r>
      <w:r w:rsidR="0086706F" w:rsidRPr="000A0A5F">
        <w:t>3A</w:t>
      </w:r>
      <w:r w:rsidRPr="000A0A5F">
        <w:t>.1</w:t>
      </w:r>
      <w:r w:rsidRPr="000A0A5F">
        <w:tab/>
        <w:t>General</w:t>
      </w:r>
      <w:bookmarkEnd w:id="4513"/>
      <w:bookmarkEnd w:id="4514"/>
      <w:bookmarkEnd w:id="4515"/>
      <w:bookmarkEnd w:id="4516"/>
      <w:bookmarkEnd w:id="4517"/>
      <w:bookmarkEnd w:id="4518"/>
    </w:p>
    <w:p w:rsidR="00CB0DD7" w:rsidRPr="000A0A5F" w:rsidRDefault="00CB0DD7">
      <w:r w:rsidRPr="000A0A5F">
        <w:t>The notifications provided by the NIDD API are specified in this clause.</w:t>
      </w:r>
    </w:p>
    <w:p w:rsidR="00CB0DD7" w:rsidRPr="000A0A5F" w:rsidRDefault="002E466A">
      <w:pPr>
        <w:pStyle w:val="TH"/>
      </w:pPr>
      <w:r w:rsidRPr="000A0A5F">
        <w:t>Table </w:t>
      </w:r>
      <w:r w:rsidR="00CB0DD7" w:rsidRPr="000A0A5F">
        <w:t>5.6.</w:t>
      </w:r>
      <w:r w:rsidR="0086706F" w:rsidRPr="000A0A5F">
        <w:t>3A</w:t>
      </w:r>
      <w:r w:rsidR="00CB0DD7" w:rsidRPr="000A0A5F">
        <w:t>-1: Notifications overview</w:t>
      </w:r>
    </w:p>
    <w:tbl>
      <w:tblPr>
        <w:tblW w:w="4484"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1914"/>
        <w:gridCol w:w="3654"/>
        <w:gridCol w:w="1243"/>
        <w:gridCol w:w="1957"/>
      </w:tblGrid>
      <w:tr w:rsidR="00CB0DD7" w:rsidRPr="000A0A5F" w:rsidTr="00FF0AF8">
        <w:trPr>
          <w:jc w:val="center"/>
        </w:trPr>
        <w:tc>
          <w:tcPr>
            <w:tcW w:w="1091" w:type="pct"/>
            <w:shd w:val="clear" w:color="auto" w:fill="C0C0C0"/>
            <w:vAlign w:val="center"/>
            <w:hideMark/>
          </w:tcPr>
          <w:p w:rsidR="00CB0DD7" w:rsidRPr="000A0A5F" w:rsidRDefault="00CB0DD7">
            <w:pPr>
              <w:pStyle w:val="TAH"/>
            </w:pPr>
            <w:r w:rsidRPr="000A0A5F">
              <w:t>Notification</w:t>
            </w:r>
          </w:p>
        </w:tc>
        <w:tc>
          <w:tcPr>
            <w:tcW w:w="2083" w:type="pct"/>
            <w:shd w:val="clear" w:color="auto" w:fill="C0C0C0"/>
            <w:vAlign w:val="center"/>
            <w:hideMark/>
          </w:tcPr>
          <w:p w:rsidR="00CB0DD7" w:rsidRPr="000A0A5F" w:rsidRDefault="00CB0DD7">
            <w:pPr>
              <w:pStyle w:val="TAH"/>
            </w:pPr>
            <w:r w:rsidRPr="000A0A5F">
              <w:t>Callback URI</w:t>
            </w:r>
          </w:p>
        </w:tc>
        <w:tc>
          <w:tcPr>
            <w:tcW w:w="709" w:type="pct"/>
            <w:shd w:val="clear" w:color="auto" w:fill="C0C0C0"/>
            <w:vAlign w:val="center"/>
            <w:hideMark/>
          </w:tcPr>
          <w:p w:rsidR="00CB0DD7" w:rsidRPr="000A0A5F" w:rsidRDefault="00CB0DD7">
            <w:pPr>
              <w:pStyle w:val="TAH"/>
            </w:pPr>
            <w:r w:rsidRPr="000A0A5F">
              <w:t>HTTP method or custom operation</w:t>
            </w:r>
          </w:p>
        </w:tc>
        <w:tc>
          <w:tcPr>
            <w:tcW w:w="1116" w:type="pct"/>
            <w:shd w:val="clear" w:color="auto" w:fill="C0C0C0"/>
            <w:vAlign w:val="center"/>
            <w:hideMark/>
          </w:tcPr>
          <w:p w:rsidR="00CB0DD7" w:rsidRPr="000A0A5F" w:rsidRDefault="00CB0DD7">
            <w:pPr>
              <w:pStyle w:val="TAH"/>
            </w:pPr>
            <w:r w:rsidRPr="000A0A5F">
              <w:t>Description</w:t>
            </w:r>
          </w:p>
          <w:p w:rsidR="00CB0DD7" w:rsidRPr="000A0A5F" w:rsidRDefault="00CB0DD7">
            <w:pPr>
              <w:pStyle w:val="TAH"/>
            </w:pPr>
            <w:r w:rsidRPr="000A0A5F">
              <w:t>(service operation)</w:t>
            </w:r>
          </w:p>
        </w:tc>
      </w:tr>
      <w:tr w:rsidR="00CB0DD7" w:rsidRPr="000A0A5F" w:rsidTr="00FF0AF8">
        <w:trPr>
          <w:jc w:val="center"/>
        </w:trPr>
        <w:tc>
          <w:tcPr>
            <w:tcW w:w="1091" w:type="pct"/>
          </w:tcPr>
          <w:p w:rsidR="00CB0DD7" w:rsidRPr="000A0A5F" w:rsidRDefault="00CB0DD7">
            <w:pPr>
              <w:pStyle w:val="TAC"/>
              <w:jc w:val="left"/>
              <w:rPr>
                <w:lang w:val="en-US"/>
              </w:rPr>
            </w:pPr>
            <w:r w:rsidRPr="000A0A5F">
              <w:t xml:space="preserve">NIDD </w:t>
            </w:r>
            <w:r w:rsidRPr="000A0A5F">
              <w:rPr>
                <w:lang w:eastAsia="zh-CN"/>
              </w:rPr>
              <w:t>Configuration</w:t>
            </w:r>
            <w:r w:rsidRPr="000A0A5F">
              <w:rPr>
                <w:rFonts w:hint="eastAsia"/>
                <w:lang w:eastAsia="zh-CN"/>
              </w:rPr>
              <w:t xml:space="preserve"> Update </w:t>
            </w:r>
            <w:r w:rsidRPr="000A0A5F">
              <w:t>Notification</w:t>
            </w:r>
          </w:p>
        </w:tc>
        <w:tc>
          <w:tcPr>
            <w:tcW w:w="2083" w:type="pct"/>
          </w:tcPr>
          <w:p w:rsidR="00CB0DD7" w:rsidRPr="000A0A5F" w:rsidRDefault="00CB0DD7">
            <w:pPr>
              <w:pStyle w:val="TAL"/>
              <w:rPr>
                <w:lang w:val="en-US"/>
              </w:rPr>
            </w:pPr>
            <w:r w:rsidRPr="000A0A5F">
              <w:t>{notification_uri}</w:t>
            </w:r>
          </w:p>
        </w:tc>
        <w:tc>
          <w:tcPr>
            <w:tcW w:w="709" w:type="pct"/>
          </w:tcPr>
          <w:p w:rsidR="00CB0DD7" w:rsidRPr="000A0A5F" w:rsidRDefault="00CB0DD7">
            <w:pPr>
              <w:pStyle w:val="TAC"/>
              <w:rPr>
                <w:lang w:val="fr-FR"/>
              </w:rPr>
            </w:pPr>
            <w:r w:rsidRPr="000A0A5F">
              <w:rPr>
                <w:rFonts w:hint="eastAsia"/>
                <w:lang w:eastAsia="zh-CN"/>
              </w:rPr>
              <w:t>POST</w:t>
            </w:r>
          </w:p>
        </w:tc>
        <w:tc>
          <w:tcPr>
            <w:tcW w:w="1116" w:type="pct"/>
          </w:tcPr>
          <w:p w:rsidR="00CB0DD7" w:rsidRPr="000A0A5F" w:rsidRDefault="00CB0DD7">
            <w:pPr>
              <w:pStyle w:val="TAL"/>
              <w:rPr>
                <w:lang w:val="en-US"/>
              </w:rPr>
            </w:pPr>
            <w:r w:rsidRPr="000A0A5F">
              <w:rPr>
                <w:rFonts w:hint="eastAsia"/>
                <w:noProof/>
                <w:lang w:eastAsia="zh-CN"/>
              </w:rPr>
              <w:t>S</w:t>
            </w:r>
            <w:r w:rsidRPr="000A0A5F">
              <w:rPr>
                <w:noProof/>
                <w:lang w:eastAsia="zh-CN"/>
              </w:rPr>
              <w:t>end notification</w:t>
            </w:r>
            <w:r w:rsidRPr="000A0A5F">
              <w:rPr>
                <w:rFonts w:hint="eastAsia"/>
                <w:noProof/>
                <w:lang w:eastAsia="zh-CN"/>
              </w:rPr>
              <w:t>s</w:t>
            </w:r>
            <w:r w:rsidRPr="000A0A5F">
              <w:rPr>
                <w:noProof/>
                <w:lang w:eastAsia="zh-CN"/>
              </w:rPr>
              <w:t xml:space="preserve"> about the st</w:t>
            </w:r>
            <w:r w:rsidRPr="000A0A5F">
              <w:rPr>
                <w:rFonts w:hint="eastAsia"/>
                <w:noProof/>
                <w:lang w:eastAsia="zh-CN"/>
              </w:rPr>
              <w:t>a</w:t>
            </w:r>
            <w:r w:rsidRPr="000A0A5F">
              <w:rPr>
                <w:noProof/>
                <w:lang w:eastAsia="zh-CN"/>
              </w:rPr>
              <w:t xml:space="preserve">tus of </w:t>
            </w:r>
            <w:r w:rsidRPr="000A0A5F">
              <w:rPr>
                <w:rFonts w:hint="eastAsia"/>
                <w:noProof/>
                <w:lang w:eastAsia="zh-CN"/>
              </w:rPr>
              <w:t>an NIDD configuration</w:t>
            </w:r>
            <w:r w:rsidRPr="000A0A5F">
              <w:rPr>
                <w:noProof/>
                <w:lang w:eastAsia="zh-CN"/>
              </w:rPr>
              <w:t xml:space="preserve"> to the </w:t>
            </w:r>
            <w:r w:rsidRPr="000A0A5F">
              <w:rPr>
                <w:rFonts w:hint="eastAsia"/>
                <w:noProof/>
                <w:lang w:eastAsia="zh-CN"/>
              </w:rPr>
              <w:t>SCS/AS.</w:t>
            </w:r>
          </w:p>
        </w:tc>
      </w:tr>
      <w:tr w:rsidR="00CB0DD7" w:rsidRPr="000A0A5F" w:rsidTr="00FF0AF8">
        <w:trPr>
          <w:jc w:val="center"/>
        </w:trPr>
        <w:tc>
          <w:tcPr>
            <w:tcW w:w="1091" w:type="pct"/>
          </w:tcPr>
          <w:p w:rsidR="00CB0DD7" w:rsidRPr="000A0A5F" w:rsidRDefault="00CB0DD7">
            <w:pPr>
              <w:pStyle w:val="TAC"/>
              <w:jc w:val="left"/>
            </w:pPr>
            <w:r w:rsidRPr="000A0A5F">
              <w:t>NIDD Downlink Data Delivery Status Notification</w:t>
            </w:r>
          </w:p>
        </w:tc>
        <w:tc>
          <w:tcPr>
            <w:tcW w:w="2083" w:type="pct"/>
          </w:tcPr>
          <w:p w:rsidR="00CB0DD7" w:rsidRPr="000A0A5F" w:rsidRDefault="00CB0DD7">
            <w:pPr>
              <w:pStyle w:val="TAL"/>
              <w:rPr>
                <w:lang w:eastAsia="zh-CN"/>
              </w:rPr>
            </w:pPr>
            <w:r w:rsidRPr="000A0A5F">
              <w:t>{notification_uri}</w:t>
            </w:r>
          </w:p>
        </w:tc>
        <w:tc>
          <w:tcPr>
            <w:tcW w:w="709" w:type="pct"/>
          </w:tcPr>
          <w:p w:rsidR="00CB0DD7" w:rsidRPr="000A0A5F" w:rsidRDefault="00CB0DD7">
            <w:pPr>
              <w:pStyle w:val="TAC"/>
              <w:rPr>
                <w:lang w:eastAsia="zh-CN"/>
              </w:rPr>
            </w:pPr>
            <w:r w:rsidRPr="000A0A5F">
              <w:rPr>
                <w:rFonts w:hint="eastAsia"/>
                <w:lang w:eastAsia="zh-CN"/>
              </w:rPr>
              <w:t>P</w:t>
            </w:r>
            <w:r w:rsidRPr="000A0A5F">
              <w:rPr>
                <w:lang w:eastAsia="zh-CN"/>
              </w:rPr>
              <w:t>OST</w:t>
            </w:r>
          </w:p>
        </w:tc>
        <w:tc>
          <w:tcPr>
            <w:tcW w:w="1116" w:type="pct"/>
          </w:tcPr>
          <w:p w:rsidR="00CB0DD7" w:rsidRPr="000A0A5F" w:rsidRDefault="00CB0DD7">
            <w:pPr>
              <w:pStyle w:val="TAL"/>
              <w:rPr>
                <w:lang w:eastAsia="zh-CN"/>
              </w:rPr>
            </w:pPr>
            <w:r w:rsidRPr="000A0A5F">
              <w:rPr>
                <w:rFonts w:hint="eastAsia"/>
                <w:lang w:eastAsia="zh-CN"/>
              </w:rPr>
              <w:t>Report a specific NIDD downlink data delivery result to the SCS/AS.</w:t>
            </w:r>
          </w:p>
        </w:tc>
      </w:tr>
      <w:tr w:rsidR="00CB0DD7" w:rsidRPr="000A0A5F" w:rsidTr="00FF0AF8">
        <w:trPr>
          <w:jc w:val="center"/>
        </w:trPr>
        <w:tc>
          <w:tcPr>
            <w:tcW w:w="1091" w:type="pct"/>
          </w:tcPr>
          <w:p w:rsidR="00CB0DD7" w:rsidRPr="000A0A5F" w:rsidRDefault="00CB0DD7">
            <w:pPr>
              <w:pStyle w:val="TAC"/>
              <w:jc w:val="left"/>
            </w:pPr>
            <w:r w:rsidRPr="000A0A5F">
              <w:rPr>
                <w:rFonts w:hint="eastAsia"/>
                <w:lang w:eastAsia="zh-CN"/>
              </w:rPr>
              <w:t>NIDD Uplink Data Notification</w:t>
            </w:r>
          </w:p>
        </w:tc>
        <w:tc>
          <w:tcPr>
            <w:tcW w:w="2083" w:type="pct"/>
          </w:tcPr>
          <w:p w:rsidR="00CB0DD7" w:rsidRPr="000A0A5F" w:rsidRDefault="00CB0DD7">
            <w:pPr>
              <w:pStyle w:val="TAL"/>
              <w:rPr>
                <w:lang w:eastAsia="zh-CN"/>
              </w:rPr>
            </w:pPr>
            <w:r w:rsidRPr="000A0A5F">
              <w:t>{notification_uri}</w:t>
            </w:r>
          </w:p>
        </w:tc>
        <w:tc>
          <w:tcPr>
            <w:tcW w:w="709" w:type="pct"/>
          </w:tcPr>
          <w:p w:rsidR="00CB0DD7" w:rsidRPr="000A0A5F" w:rsidRDefault="00CB0DD7">
            <w:pPr>
              <w:pStyle w:val="TAC"/>
              <w:rPr>
                <w:lang w:eastAsia="zh-CN"/>
              </w:rPr>
            </w:pPr>
            <w:r w:rsidRPr="000A0A5F">
              <w:rPr>
                <w:rFonts w:hint="eastAsia"/>
                <w:lang w:eastAsia="zh-CN"/>
              </w:rPr>
              <w:t>POST</w:t>
            </w:r>
          </w:p>
        </w:tc>
        <w:tc>
          <w:tcPr>
            <w:tcW w:w="1116" w:type="pct"/>
          </w:tcPr>
          <w:p w:rsidR="00CB0DD7" w:rsidRPr="000A0A5F" w:rsidRDefault="00CB0DD7">
            <w:pPr>
              <w:pStyle w:val="TAL"/>
              <w:rPr>
                <w:lang w:eastAsia="zh-CN"/>
              </w:rPr>
            </w:pPr>
            <w:r w:rsidRPr="000A0A5F">
              <w:rPr>
                <w:rFonts w:hint="eastAsia"/>
                <w:lang w:eastAsia="zh-CN"/>
              </w:rPr>
              <w:t>Send an uplink non-IP data notification from the SCEF to the SCS/AS.</w:t>
            </w:r>
          </w:p>
        </w:tc>
      </w:tr>
      <w:tr w:rsidR="00CB0DD7" w:rsidRPr="000A0A5F" w:rsidTr="00FF0AF8">
        <w:trPr>
          <w:jc w:val="center"/>
        </w:trPr>
        <w:tc>
          <w:tcPr>
            <w:tcW w:w="1091" w:type="pct"/>
          </w:tcPr>
          <w:p w:rsidR="00CB0DD7" w:rsidRPr="000A0A5F" w:rsidRDefault="00CB0DD7">
            <w:pPr>
              <w:pStyle w:val="TAC"/>
              <w:jc w:val="left"/>
            </w:pPr>
            <w:r w:rsidRPr="000A0A5F">
              <w:t>ManagePort</w:t>
            </w:r>
            <w:r w:rsidRPr="000A0A5F">
              <w:rPr>
                <w:rFonts w:hint="eastAsia"/>
                <w:lang w:eastAsia="zh-CN"/>
              </w:rPr>
              <w:t xml:space="preserve"> </w:t>
            </w:r>
            <w:r w:rsidRPr="000A0A5F">
              <w:t>Notification</w:t>
            </w:r>
          </w:p>
        </w:tc>
        <w:tc>
          <w:tcPr>
            <w:tcW w:w="2083" w:type="pct"/>
          </w:tcPr>
          <w:p w:rsidR="00CB0DD7" w:rsidRPr="000A0A5F" w:rsidRDefault="00CB0DD7">
            <w:pPr>
              <w:pStyle w:val="TAL"/>
              <w:rPr>
                <w:lang w:eastAsia="zh-CN"/>
              </w:rPr>
            </w:pPr>
            <w:r w:rsidRPr="000A0A5F">
              <w:t>{notification_uri}</w:t>
            </w:r>
          </w:p>
        </w:tc>
        <w:tc>
          <w:tcPr>
            <w:tcW w:w="709" w:type="pct"/>
          </w:tcPr>
          <w:p w:rsidR="00CB0DD7" w:rsidRPr="000A0A5F" w:rsidRDefault="00CB0DD7">
            <w:pPr>
              <w:pStyle w:val="TAC"/>
              <w:rPr>
                <w:lang w:eastAsia="zh-CN"/>
              </w:rPr>
            </w:pPr>
            <w:r w:rsidRPr="000A0A5F">
              <w:rPr>
                <w:lang w:eastAsia="zh-CN"/>
              </w:rPr>
              <w:t>POST</w:t>
            </w:r>
          </w:p>
        </w:tc>
        <w:tc>
          <w:tcPr>
            <w:tcW w:w="1116" w:type="pct"/>
          </w:tcPr>
          <w:p w:rsidR="00CB0DD7" w:rsidRPr="000A0A5F" w:rsidRDefault="00CB0DD7">
            <w:pPr>
              <w:pStyle w:val="TAL"/>
              <w:rPr>
                <w:lang w:eastAsia="zh-CN"/>
              </w:rPr>
            </w:pPr>
            <w:r w:rsidRPr="000A0A5F">
              <w:rPr>
                <w:rFonts w:hint="eastAsia"/>
                <w:noProof/>
                <w:lang w:eastAsia="zh-CN"/>
              </w:rPr>
              <w:t>S</w:t>
            </w:r>
            <w:r w:rsidRPr="000A0A5F">
              <w:rPr>
                <w:noProof/>
                <w:lang w:eastAsia="zh-CN"/>
              </w:rPr>
              <w:t>end notification</w:t>
            </w:r>
            <w:r w:rsidRPr="000A0A5F">
              <w:rPr>
                <w:rFonts w:hint="eastAsia"/>
                <w:noProof/>
                <w:lang w:eastAsia="zh-CN"/>
              </w:rPr>
              <w:t>s</w:t>
            </w:r>
            <w:r w:rsidRPr="000A0A5F">
              <w:rPr>
                <w:noProof/>
                <w:lang w:eastAsia="zh-CN"/>
              </w:rPr>
              <w:t xml:space="preserve"> about the port numbers that are reserved</w:t>
            </w:r>
            <w:r w:rsidRPr="000A0A5F">
              <w:rPr>
                <w:rFonts w:hint="eastAsia"/>
                <w:noProof/>
                <w:lang w:eastAsia="zh-CN"/>
              </w:rPr>
              <w:t>.</w:t>
            </w:r>
          </w:p>
        </w:tc>
      </w:tr>
    </w:tbl>
    <w:p w:rsidR="00CB0DD7" w:rsidRPr="000A0A5F" w:rsidRDefault="00CB0DD7"/>
    <w:p w:rsidR="00CB0DD7" w:rsidRPr="000A0A5F" w:rsidRDefault="00CB0DD7">
      <w:pPr>
        <w:pStyle w:val="Heading4"/>
      </w:pPr>
      <w:bookmarkStart w:id="4519" w:name="_Toc66360584"/>
      <w:bookmarkStart w:id="4520" w:name="_Toc68105089"/>
      <w:bookmarkStart w:id="4521" w:name="_Toc74755719"/>
      <w:bookmarkStart w:id="4522" w:name="_Toc105674593"/>
      <w:bookmarkStart w:id="4523" w:name="_Toc130502641"/>
      <w:bookmarkStart w:id="4524" w:name="_Toc153625428"/>
      <w:r w:rsidRPr="000A0A5F">
        <w:t>5.6.</w:t>
      </w:r>
      <w:r w:rsidR="0086706F" w:rsidRPr="000A0A5F">
        <w:t>3A</w:t>
      </w:r>
      <w:r w:rsidRPr="000A0A5F">
        <w:t>.2</w:t>
      </w:r>
      <w:r w:rsidRPr="000A0A5F">
        <w:tab/>
        <w:t xml:space="preserve">NIDD </w:t>
      </w:r>
      <w:r w:rsidRPr="000A0A5F">
        <w:rPr>
          <w:lang w:eastAsia="zh-CN"/>
        </w:rPr>
        <w:t>Configuration</w:t>
      </w:r>
      <w:r w:rsidRPr="000A0A5F">
        <w:rPr>
          <w:rFonts w:hint="eastAsia"/>
          <w:lang w:eastAsia="zh-CN"/>
        </w:rPr>
        <w:t xml:space="preserve"> Update </w:t>
      </w:r>
      <w:r w:rsidRPr="000A0A5F">
        <w:t>Notification</w:t>
      </w:r>
      <w:bookmarkEnd w:id="4519"/>
      <w:bookmarkEnd w:id="4520"/>
      <w:bookmarkEnd w:id="4521"/>
      <w:bookmarkEnd w:id="4522"/>
      <w:bookmarkEnd w:id="4523"/>
      <w:bookmarkEnd w:id="4524"/>
    </w:p>
    <w:p w:rsidR="00CB0DD7" w:rsidRPr="000A0A5F" w:rsidRDefault="00CB0DD7">
      <w:pPr>
        <w:pStyle w:val="Heading5"/>
        <w:rPr>
          <w:noProof/>
        </w:rPr>
      </w:pPr>
      <w:bookmarkStart w:id="4525" w:name="_Toc66360585"/>
      <w:bookmarkStart w:id="4526" w:name="_Toc68105090"/>
      <w:bookmarkStart w:id="4527" w:name="_Toc74755720"/>
      <w:bookmarkStart w:id="4528" w:name="_Toc105674594"/>
      <w:bookmarkStart w:id="4529" w:name="_Toc130502642"/>
      <w:bookmarkStart w:id="4530" w:name="_Toc153625429"/>
      <w:r w:rsidRPr="000A0A5F">
        <w:t>5.6.</w:t>
      </w:r>
      <w:r w:rsidR="0086706F" w:rsidRPr="000A0A5F">
        <w:t>3A</w:t>
      </w:r>
      <w:r w:rsidRPr="000A0A5F">
        <w:t>.2</w:t>
      </w:r>
      <w:r w:rsidRPr="000A0A5F">
        <w:rPr>
          <w:noProof/>
        </w:rPr>
        <w:t>.1</w:t>
      </w:r>
      <w:r w:rsidRPr="000A0A5F">
        <w:rPr>
          <w:noProof/>
        </w:rPr>
        <w:tab/>
        <w:t>Description</w:t>
      </w:r>
      <w:bookmarkEnd w:id="4525"/>
      <w:bookmarkEnd w:id="4526"/>
      <w:bookmarkEnd w:id="4527"/>
      <w:bookmarkEnd w:id="4528"/>
      <w:bookmarkEnd w:id="4529"/>
      <w:bookmarkEnd w:id="4530"/>
    </w:p>
    <w:p w:rsidR="00CB0DD7" w:rsidRPr="000A0A5F" w:rsidRDefault="00CB0DD7">
      <w:pPr>
        <w:rPr>
          <w:noProof/>
          <w:lang w:eastAsia="zh-CN"/>
        </w:rPr>
      </w:pPr>
      <w:r w:rsidRPr="000A0A5F">
        <w:rPr>
          <w:noProof/>
          <w:lang w:eastAsia="zh-CN"/>
        </w:rPr>
        <w:t>The NIDD Configuration Update Notification allows t</w:t>
      </w:r>
      <w:r w:rsidRPr="000A0A5F">
        <w:rPr>
          <w:rFonts w:hint="eastAsia"/>
          <w:noProof/>
          <w:lang w:eastAsia="zh-CN"/>
        </w:rPr>
        <w:t xml:space="preserve">he </w:t>
      </w:r>
      <w:r w:rsidRPr="000A0A5F">
        <w:rPr>
          <w:noProof/>
          <w:lang w:eastAsia="zh-CN"/>
        </w:rPr>
        <w:t>SCEF to send notifications about the st</w:t>
      </w:r>
      <w:r w:rsidRPr="000A0A5F">
        <w:rPr>
          <w:rFonts w:hint="eastAsia"/>
          <w:noProof/>
          <w:lang w:eastAsia="zh-CN"/>
        </w:rPr>
        <w:t>a</w:t>
      </w:r>
      <w:r w:rsidRPr="000A0A5F">
        <w:rPr>
          <w:noProof/>
          <w:lang w:eastAsia="zh-CN"/>
        </w:rPr>
        <w:t xml:space="preserve">tus of </w:t>
      </w:r>
      <w:r w:rsidRPr="000A0A5F">
        <w:rPr>
          <w:rFonts w:hint="eastAsia"/>
          <w:noProof/>
          <w:lang w:eastAsia="zh-CN"/>
        </w:rPr>
        <w:t>an NIDD configuration</w:t>
      </w:r>
      <w:r w:rsidRPr="000A0A5F">
        <w:rPr>
          <w:noProof/>
          <w:lang w:eastAsia="zh-CN"/>
        </w:rPr>
        <w:t xml:space="preserve"> to the </w:t>
      </w:r>
      <w:r w:rsidRPr="000A0A5F">
        <w:rPr>
          <w:rFonts w:hint="eastAsia"/>
          <w:noProof/>
          <w:lang w:eastAsia="zh-CN"/>
        </w:rPr>
        <w:t>SCS/AS</w:t>
      </w:r>
      <w:r w:rsidRPr="000A0A5F">
        <w:rPr>
          <w:noProof/>
          <w:lang w:eastAsia="zh-CN"/>
        </w:rPr>
        <w:t xml:space="preserve">. </w:t>
      </w:r>
    </w:p>
    <w:p w:rsidR="00CB0DD7" w:rsidRPr="000A0A5F" w:rsidRDefault="00CB0DD7">
      <w:pPr>
        <w:pStyle w:val="Heading5"/>
        <w:rPr>
          <w:noProof/>
        </w:rPr>
      </w:pPr>
      <w:bookmarkStart w:id="4531" w:name="_Toc66360586"/>
      <w:bookmarkStart w:id="4532" w:name="_Toc68105091"/>
      <w:bookmarkStart w:id="4533" w:name="_Toc74755721"/>
      <w:bookmarkStart w:id="4534" w:name="_Toc105674595"/>
      <w:bookmarkStart w:id="4535" w:name="_Toc130502643"/>
      <w:bookmarkStart w:id="4536" w:name="_Toc153625430"/>
      <w:r w:rsidRPr="000A0A5F">
        <w:t>5.6.</w:t>
      </w:r>
      <w:r w:rsidR="0086706F" w:rsidRPr="000A0A5F">
        <w:t>3A</w:t>
      </w:r>
      <w:r w:rsidRPr="000A0A5F">
        <w:t>.2</w:t>
      </w:r>
      <w:r w:rsidRPr="000A0A5F">
        <w:rPr>
          <w:noProof/>
        </w:rPr>
        <w:t>.2</w:t>
      </w:r>
      <w:r w:rsidRPr="000A0A5F">
        <w:rPr>
          <w:noProof/>
        </w:rPr>
        <w:tab/>
        <w:t>Target URI</w:t>
      </w:r>
      <w:bookmarkEnd w:id="4531"/>
      <w:bookmarkEnd w:id="4532"/>
      <w:bookmarkEnd w:id="4533"/>
      <w:bookmarkEnd w:id="4534"/>
      <w:bookmarkEnd w:id="4535"/>
      <w:bookmarkEnd w:id="4536"/>
    </w:p>
    <w:p w:rsidR="00CB0DD7" w:rsidRPr="000A0A5F" w:rsidRDefault="00CB0DD7">
      <w:pPr>
        <w:rPr>
          <w:rFonts w:ascii="Arial" w:hAnsi="Arial" w:cs="Arial"/>
          <w:noProof/>
        </w:rPr>
      </w:pPr>
      <w:r w:rsidRPr="000A0A5F">
        <w:rPr>
          <w:noProof/>
        </w:rPr>
        <w:t xml:space="preserve">The Callback URI </w:t>
      </w:r>
      <w:r w:rsidRPr="000A0A5F">
        <w:rPr>
          <w:b/>
          <w:noProof/>
        </w:rPr>
        <w:t>"{</w:t>
      </w:r>
      <w:r w:rsidRPr="000A0A5F">
        <w:t>notification_uri</w:t>
      </w:r>
      <w:r w:rsidRPr="000A0A5F">
        <w:rPr>
          <w:b/>
          <w:noProof/>
        </w:rPr>
        <w:t>}"</w:t>
      </w:r>
      <w:r w:rsidRPr="000A0A5F">
        <w:rPr>
          <w:noProof/>
        </w:rPr>
        <w:t xml:space="preserve"> shall be used with the callback URI variables defined in table </w:t>
      </w:r>
      <w:r w:rsidRPr="000A0A5F">
        <w:t>5.6.</w:t>
      </w:r>
      <w:r w:rsidR="0086706F" w:rsidRPr="000A0A5F">
        <w:t>3A</w:t>
      </w:r>
      <w:r w:rsidRPr="000A0A5F">
        <w:t>.2</w:t>
      </w:r>
      <w:r w:rsidRPr="000A0A5F">
        <w:rPr>
          <w:noProof/>
        </w:rPr>
        <w:t>.2-1</w:t>
      </w:r>
      <w:r w:rsidRPr="000A0A5F">
        <w:rPr>
          <w:rFonts w:ascii="Arial" w:hAnsi="Arial" w:cs="Arial"/>
          <w:noProof/>
        </w:rPr>
        <w:t>.</w:t>
      </w:r>
    </w:p>
    <w:p w:rsidR="00CB0DD7" w:rsidRPr="000A0A5F" w:rsidRDefault="00CB0DD7">
      <w:pPr>
        <w:pStyle w:val="TH"/>
        <w:rPr>
          <w:rFonts w:cs="Arial"/>
          <w:noProof/>
        </w:rPr>
      </w:pPr>
      <w:r w:rsidRPr="000A0A5F">
        <w:rPr>
          <w:noProof/>
        </w:rPr>
        <w:t>Table </w:t>
      </w:r>
      <w:r w:rsidRPr="000A0A5F">
        <w:t>5.6.</w:t>
      </w:r>
      <w:r w:rsidR="0086706F" w:rsidRPr="000A0A5F">
        <w:t>3A</w:t>
      </w:r>
      <w:r w:rsidRPr="000A0A5F">
        <w:t>.2</w:t>
      </w:r>
      <w:r w:rsidRPr="000A0A5F">
        <w:rPr>
          <w:noProof/>
        </w:rPr>
        <w:t>.2-1: Callback URI variables</w:t>
      </w:r>
    </w:p>
    <w:tbl>
      <w:tblPr>
        <w:tblW w:w="494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970"/>
        <w:gridCol w:w="1312"/>
        <w:gridCol w:w="6378"/>
      </w:tblGrid>
      <w:tr w:rsidR="00CB0DD7" w:rsidRPr="000A0A5F" w:rsidTr="00FF0AF8">
        <w:trPr>
          <w:jc w:val="center"/>
        </w:trPr>
        <w:tc>
          <w:tcPr>
            <w:tcW w:w="1020" w:type="pct"/>
            <w:shd w:val="clear" w:color="000000" w:fill="C0C0C0"/>
          </w:tcPr>
          <w:p w:rsidR="00CB0DD7" w:rsidRPr="000A0A5F" w:rsidRDefault="00CB0DD7">
            <w:pPr>
              <w:pStyle w:val="TAH"/>
            </w:pPr>
            <w:r w:rsidRPr="000A0A5F">
              <w:t>Name</w:t>
            </w:r>
          </w:p>
        </w:tc>
        <w:tc>
          <w:tcPr>
            <w:tcW w:w="679" w:type="pct"/>
            <w:shd w:val="clear" w:color="000000" w:fill="C0C0C0"/>
          </w:tcPr>
          <w:p w:rsidR="00CB0DD7" w:rsidRPr="000A0A5F" w:rsidRDefault="00CB0DD7">
            <w:pPr>
              <w:pStyle w:val="TAH"/>
            </w:pPr>
            <w:r w:rsidRPr="000A0A5F">
              <w:rPr>
                <w:rFonts w:hint="eastAsia"/>
                <w:lang w:eastAsia="zh-CN"/>
              </w:rPr>
              <w:t>D</w:t>
            </w:r>
            <w:r w:rsidRPr="000A0A5F">
              <w:rPr>
                <w:lang w:eastAsia="zh-CN"/>
              </w:rPr>
              <w:t>ata type</w:t>
            </w:r>
          </w:p>
        </w:tc>
        <w:tc>
          <w:tcPr>
            <w:tcW w:w="3301" w:type="pct"/>
            <w:shd w:val="clear" w:color="000000" w:fill="C0C0C0"/>
            <w:vAlign w:val="center"/>
          </w:tcPr>
          <w:p w:rsidR="00CB0DD7" w:rsidRPr="000A0A5F" w:rsidRDefault="00CB0DD7">
            <w:pPr>
              <w:pStyle w:val="TAH"/>
            </w:pPr>
            <w:r w:rsidRPr="000A0A5F">
              <w:t>Definition</w:t>
            </w:r>
          </w:p>
        </w:tc>
      </w:tr>
      <w:tr w:rsidR="00CB0DD7" w:rsidRPr="000A0A5F" w:rsidTr="00FF0AF8">
        <w:trPr>
          <w:jc w:val="center"/>
        </w:trPr>
        <w:tc>
          <w:tcPr>
            <w:tcW w:w="1020" w:type="pct"/>
            <w:shd w:val="clear" w:color="auto" w:fill="auto"/>
          </w:tcPr>
          <w:p w:rsidR="00CB0DD7" w:rsidRPr="000A0A5F" w:rsidRDefault="00CB0DD7">
            <w:pPr>
              <w:pStyle w:val="TAL"/>
              <w:rPr>
                <w:lang w:eastAsia="zh-CN"/>
              </w:rPr>
            </w:pPr>
            <w:r w:rsidRPr="000A0A5F">
              <w:t>notification_uri</w:t>
            </w:r>
          </w:p>
        </w:tc>
        <w:tc>
          <w:tcPr>
            <w:tcW w:w="679" w:type="pct"/>
          </w:tcPr>
          <w:p w:rsidR="00CB0DD7" w:rsidRPr="000A0A5F" w:rsidRDefault="00CB0DD7">
            <w:pPr>
              <w:pStyle w:val="TAL"/>
            </w:pPr>
            <w:r w:rsidRPr="000A0A5F">
              <w:rPr>
                <w:lang w:eastAsia="zh-CN"/>
              </w:rPr>
              <w:t>Link</w:t>
            </w:r>
          </w:p>
        </w:tc>
        <w:tc>
          <w:tcPr>
            <w:tcW w:w="3301" w:type="pct"/>
            <w:shd w:val="clear" w:color="auto" w:fill="auto"/>
            <w:vAlign w:val="center"/>
          </w:tcPr>
          <w:p w:rsidR="00CB0DD7" w:rsidRPr="000A0A5F" w:rsidRDefault="00CB0DD7">
            <w:pPr>
              <w:pStyle w:val="TAL"/>
              <w:rPr>
                <w:rFonts w:cs="Arial"/>
                <w:szCs w:val="18"/>
                <w:lang w:eastAsia="zh-CN"/>
              </w:rPr>
            </w:pPr>
            <w:r w:rsidRPr="000A0A5F">
              <w:rPr>
                <w:rFonts w:cs="Arial" w:hint="eastAsia"/>
                <w:szCs w:val="18"/>
                <w:lang w:eastAsia="zh-CN"/>
              </w:rPr>
              <w:t xml:space="preserve">A URI indicating the notification destination </w:t>
            </w:r>
            <w:r w:rsidRPr="000A0A5F">
              <w:rPr>
                <w:rFonts w:cs="Arial"/>
                <w:szCs w:val="18"/>
                <w:lang w:eastAsia="zh-CN"/>
              </w:rPr>
              <w:t xml:space="preserve">where </w:t>
            </w:r>
            <w:r w:rsidRPr="000A0A5F">
              <w:rPr>
                <w:rFonts w:cs="Arial" w:hint="eastAsia"/>
                <w:szCs w:val="18"/>
                <w:lang w:eastAsia="zh-CN"/>
              </w:rPr>
              <w:t xml:space="preserve">T8 </w:t>
            </w:r>
            <w:r w:rsidRPr="000A0A5F">
              <w:rPr>
                <w:rFonts w:cs="Arial"/>
                <w:szCs w:val="18"/>
                <w:lang w:eastAsia="zh-CN"/>
              </w:rPr>
              <w:t>notification requests shall be delivered</w:t>
            </w:r>
            <w:r w:rsidRPr="000A0A5F">
              <w:rPr>
                <w:rFonts w:cs="Arial" w:hint="eastAsia"/>
                <w:szCs w:val="18"/>
                <w:lang w:eastAsia="zh-CN"/>
              </w:rPr>
              <w:t>.</w:t>
            </w:r>
          </w:p>
          <w:p w:rsidR="00CB0DD7" w:rsidRPr="000A0A5F" w:rsidRDefault="00CB0DD7">
            <w:pPr>
              <w:pStyle w:val="TAL"/>
            </w:pPr>
            <w:r w:rsidRPr="000A0A5F">
              <w:rPr>
                <w:rFonts w:cs="Arial"/>
                <w:szCs w:val="18"/>
                <w:lang w:eastAsia="zh-CN"/>
              </w:rPr>
              <w:t>This URI shall be provided within the "notificationDestination" attribute in the NiddConfiguration type.</w:t>
            </w:r>
          </w:p>
        </w:tc>
      </w:tr>
    </w:tbl>
    <w:p w:rsidR="00CB0DD7" w:rsidRPr="000A0A5F" w:rsidRDefault="00CB0DD7"/>
    <w:p w:rsidR="00CB0DD7" w:rsidRPr="000A0A5F" w:rsidRDefault="00CB0DD7">
      <w:pPr>
        <w:pStyle w:val="Heading5"/>
        <w:rPr>
          <w:noProof/>
        </w:rPr>
      </w:pPr>
      <w:bookmarkStart w:id="4537" w:name="_Toc66360587"/>
      <w:bookmarkStart w:id="4538" w:name="_Toc68105092"/>
      <w:bookmarkStart w:id="4539" w:name="_Toc74755722"/>
      <w:bookmarkStart w:id="4540" w:name="_Toc105674596"/>
      <w:bookmarkStart w:id="4541" w:name="_Toc130502644"/>
      <w:bookmarkStart w:id="4542" w:name="_Toc153625431"/>
      <w:r w:rsidRPr="000A0A5F">
        <w:t>5.6.</w:t>
      </w:r>
      <w:r w:rsidR="0086706F" w:rsidRPr="000A0A5F">
        <w:t>3A</w:t>
      </w:r>
      <w:r w:rsidRPr="000A0A5F">
        <w:t>.2</w:t>
      </w:r>
      <w:r w:rsidRPr="000A0A5F">
        <w:rPr>
          <w:noProof/>
        </w:rPr>
        <w:t>.3</w:t>
      </w:r>
      <w:r w:rsidRPr="000A0A5F">
        <w:rPr>
          <w:noProof/>
        </w:rPr>
        <w:tab/>
        <w:t>Standard Methods</w:t>
      </w:r>
      <w:bookmarkEnd w:id="4537"/>
      <w:bookmarkEnd w:id="4538"/>
      <w:bookmarkEnd w:id="4539"/>
      <w:bookmarkEnd w:id="4540"/>
      <w:bookmarkEnd w:id="4541"/>
      <w:bookmarkEnd w:id="4542"/>
    </w:p>
    <w:p w:rsidR="00CB0DD7" w:rsidRPr="000A0A5F" w:rsidRDefault="00CB0DD7">
      <w:pPr>
        <w:pStyle w:val="Heading6"/>
        <w:rPr>
          <w:noProof/>
        </w:rPr>
      </w:pPr>
      <w:bookmarkStart w:id="4543" w:name="_Toc66360588"/>
      <w:bookmarkStart w:id="4544" w:name="_Toc68105093"/>
      <w:bookmarkStart w:id="4545" w:name="_Toc74755723"/>
      <w:bookmarkStart w:id="4546" w:name="_Toc105674597"/>
      <w:bookmarkStart w:id="4547" w:name="_Toc130502645"/>
      <w:bookmarkStart w:id="4548" w:name="_Toc153625432"/>
      <w:r w:rsidRPr="000A0A5F">
        <w:t>5.6.</w:t>
      </w:r>
      <w:r w:rsidR="0086706F" w:rsidRPr="000A0A5F">
        <w:t>3A</w:t>
      </w:r>
      <w:r w:rsidRPr="000A0A5F">
        <w:t>.2.3</w:t>
      </w:r>
      <w:r w:rsidRPr="000A0A5F">
        <w:rPr>
          <w:noProof/>
        </w:rPr>
        <w:t>.1</w:t>
      </w:r>
      <w:r w:rsidRPr="000A0A5F">
        <w:rPr>
          <w:noProof/>
        </w:rPr>
        <w:tab/>
      </w:r>
      <w:r w:rsidRPr="000A0A5F">
        <w:t>Notification via POST</w:t>
      </w:r>
      <w:bookmarkEnd w:id="4543"/>
      <w:bookmarkEnd w:id="4544"/>
      <w:bookmarkEnd w:id="4545"/>
      <w:bookmarkEnd w:id="4546"/>
      <w:bookmarkEnd w:id="4547"/>
      <w:bookmarkEnd w:id="4548"/>
    </w:p>
    <w:p w:rsidR="00CB0DD7" w:rsidRPr="000A0A5F" w:rsidRDefault="00CB0DD7">
      <w:pPr>
        <w:rPr>
          <w:lang w:eastAsia="zh-CN"/>
        </w:rPr>
      </w:pPr>
      <w:r w:rsidRPr="000A0A5F">
        <w:rPr>
          <w:rFonts w:hint="eastAsia"/>
          <w:lang w:eastAsia="zh-CN"/>
        </w:rPr>
        <w:t xml:space="preserve">To report the </w:t>
      </w:r>
      <w:r w:rsidRPr="000A0A5F">
        <w:rPr>
          <w:lang w:eastAsia="zh-CN"/>
        </w:rPr>
        <w:t>status of the NIDD configuration to the SCS/AS, the SCEF shall use the HTTP POST method on the notification point as follows:</w:t>
      </w:r>
    </w:p>
    <w:p w:rsidR="00CB0DD7" w:rsidRPr="000A0A5F" w:rsidRDefault="00CB0DD7">
      <w:pPr>
        <w:ind w:firstLine="284"/>
        <w:rPr>
          <w:lang w:eastAsia="zh-CN"/>
        </w:rPr>
      </w:pPr>
      <w:r w:rsidRPr="000A0A5F">
        <w:t>-</w:t>
      </w:r>
      <w:r w:rsidRPr="000A0A5F">
        <w:tab/>
        <w:t>the body of the message is encoded in JSON format</w:t>
      </w:r>
      <w:r w:rsidRPr="000A0A5F">
        <w:rPr>
          <w:rFonts w:hint="eastAsia"/>
          <w:lang w:eastAsia="zh-CN"/>
        </w:rPr>
        <w:t xml:space="preserve"> with the data structure defined in table</w:t>
      </w:r>
      <w:r w:rsidRPr="000A0A5F">
        <w:rPr>
          <w:rFonts w:ascii="Segoe UI Symbol" w:hAnsi="Segoe UI Symbol"/>
          <w:lang w:val="en-US" w:eastAsia="zh-CN"/>
        </w:rPr>
        <w:t> </w:t>
      </w:r>
      <w:r w:rsidRPr="000A0A5F">
        <w:rPr>
          <w:rFonts w:hint="eastAsia"/>
          <w:lang w:eastAsia="zh-CN"/>
        </w:rPr>
        <w:t>5.6.2.1.6-1.</w:t>
      </w:r>
    </w:p>
    <w:p w:rsidR="00CB0DD7" w:rsidRPr="000A0A5F" w:rsidRDefault="00CB0DD7">
      <w:pPr>
        <w:rPr>
          <w:noProof/>
        </w:rPr>
      </w:pPr>
      <w:r w:rsidRPr="000A0A5F">
        <w:rPr>
          <w:noProof/>
        </w:rPr>
        <w:t>This method shall support the request data structures specified in table </w:t>
      </w:r>
      <w:r w:rsidRPr="000A0A5F">
        <w:t>5.6.</w:t>
      </w:r>
      <w:r w:rsidR="0086706F" w:rsidRPr="000A0A5F">
        <w:t>3A</w:t>
      </w:r>
      <w:r w:rsidRPr="000A0A5F">
        <w:t>.2</w:t>
      </w:r>
      <w:r w:rsidRPr="000A0A5F">
        <w:rPr>
          <w:noProof/>
        </w:rPr>
        <w:t>.3.1-1 and the response data structures and response codes specified in table </w:t>
      </w:r>
      <w:r w:rsidRPr="000A0A5F">
        <w:t>5.6.</w:t>
      </w:r>
      <w:r w:rsidR="0086706F" w:rsidRPr="000A0A5F">
        <w:t>3A</w:t>
      </w:r>
      <w:r w:rsidRPr="000A0A5F">
        <w:t>.2</w:t>
      </w:r>
      <w:r w:rsidRPr="000A0A5F">
        <w:rPr>
          <w:noProof/>
        </w:rPr>
        <w:t>.3.1-2.</w:t>
      </w:r>
    </w:p>
    <w:p w:rsidR="00CB0DD7" w:rsidRPr="000A0A5F" w:rsidRDefault="00CB0DD7">
      <w:pPr>
        <w:pStyle w:val="TH"/>
        <w:rPr>
          <w:noProof/>
        </w:rPr>
      </w:pPr>
      <w:r w:rsidRPr="000A0A5F">
        <w:rPr>
          <w:noProof/>
        </w:rPr>
        <w:t>Table </w:t>
      </w:r>
      <w:r w:rsidRPr="000A0A5F">
        <w:t>5.6.</w:t>
      </w:r>
      <w:r w:rsidR="0086706F" w:rsidRPr="000A0A5F">
        <w:t>3A</w:t>
      </w:r>
      <w:r w:rsidRPr="000A0A5F">
        <w:t>.2</w:t>
      </w:r>
      <w:r w:rsidRPr="000A0A5F">
        <w:rPr>
          <w:noProof/>
        </w:rPr>
        <w:t>.3.1-1: Data structures supported by the POST Request Body</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3340"/>
        <w:gridCol w:w="1170"/>
        <w:gridCol w:w="5160"/>
      </w:tblGrid>
      <w:tr w:rsidR="00CB0DD7" w:rsidRPr="000A0A5F" w:rsidTr="00846044">
        <w:trPr>
          <w:jc w:val="center"/>
        </w:trPr>
        <w:tc>
          <w:tcPr>
            <w:tcW w:w="3340" w:type="dxa"/>
            <w:tcBorders>
              <w:bottom w:val="single" w:sz="6" w:space="0" w:color="auto"/>
            </w:tcBorders>
            <w:shd w:val="clear" w:color="auto" w:fill="C0C0C0"/>
            <w:hideMark/>
          </w:tcPr>
          <w:p w:rsidR="00CB0DD7" w:rsidRPr="000A0A5F" w:rsidRDefault="00CB0DD7">
            <w:pPr>
              <w:pStyle w:val="TAH"/>
              <w:rPr>
                <w:noProof/>
              </w:rPr>
            </w:pPr>
            <w:r w:rsidRPr="000A0A5F">
              <w:rPr>
                <w:noProof/>
              </w:rPr>
              <w:t>Data type</w:t>
            </w:r>
          </w:p>
        </w:tc>
        <w:tc>
          <w:tcPr>
            <w:tcW w:w="1170" w:type="dxa"/>
            <w:tcBorders>
              <w:bottom w:val="single" w:sz="6" w:space="0" w:color="auto"/>
            </w:tcBorders>
            <w:shd w:val="clear" w:color="auto" w:fill="C0C0C0"/>
            <w:hideMark/>
          </w:tcPr>
          <w:p w:rsidR="00CB0DD7" w:rsidRPr="000A0A5F" w:rsidRDefault="00CB0DD7">
            <w:pPr>
              <w:pStyle w:val="TAH"/>
              <w:rPr>
                <w:noProof/>
              </w:rPr>
            </w:pPr>
            <w:r w:rsidRPr="000A0A5F">
              <w:rPr>
                <w:noProof/>
              </w:rPr>
              <w:t>Cardinality</w:t>
            </w:r>
          </w:p>
        </w:tc>
        <w:tc>
          <w:tcPr>
            <w:tcW w:w="5160" w:type="dxa"/>
            <w:tcBorders>
              <w:bottom w:val="single" w:sz="6" w:space="0" w:color="auto"/>
            </w:tcBorders>
            <w:shd w:val="clear" w:color="auto" w:fill="C0C0C0"/>
            <w:vAlign w:val="center"/>
            <w:hideMark/>
          </w:tcPr>
          <w:p w:rsidR="00CB0DD7" w:rsidRPr="000A0A5F" w:rsidRDefault="00CB0DD7">
            <w:pPr>
              <w:pStyle w:val="TAH"/>
              <w:rPr>
                <w:noProof/>
              </w:rPr>
            </w:pPr>
            <w:r w:rsidRPr="000A0A5F">
              <w:rPr>
                <w:noProof/>
              </w:rPr>
              <w:t>Description</w:t>
            </w:r>
          </w:p>
        </w:tc>
      </w:tr>
      <w:tr w:rsidR="00CB0DD7" w:rsidRPr="000A0A5F" w:rsidTr="00846044">
        <w:trPr>
          <w:jc w:val="center"/>
        </w:trPr>
        <w:tc>
          <w:tcPr>
            <w:tcW w:w="3340" w:type="dxa"/>
            <w:tcBorders>
              <w:top w:val="single" w:sz="6" w:space="0" w:color="auto"/>
            </w:tcBorders>
          </w:tcPr>
          <w:p w:rsidR="00CB0DD7" w:rsidRPr="000A0A5F" w:rsidRDefault="00CB0DD7">
            <w:pPr>
              <w:pStyle w:val="TAL"/>
              <w:rPr>
                <w:noProof/>
              </w:rPr>
            </w:pPr>
            <w:r w:rsidRPr="000A0A5F">
              <w:t>NiddConfigurationStatusNotification</w:t>
            </w:r>
          </w:p>
        </w:tc>
        <w:tc>
          <w:tcPr>
            <w:tcW w:w="1170" w:type="dxa"/>
            <w:tcBorders>
              <w:top w:val="single" w:sz="6" w:space="0" w:color="auto"/>
            </w:tcBorders>
          </w:tcPr>
          <w:p w:rsidR="00CB0DD7" w:rsidRPr="000A0A5F" w:rsidRDefault="00CB0DD7">
            <w:pPr>
              <w:pStyle w:val="TAC"/>
              <w:rPr>
                <w:noProof/>
                <w:lang w:eastAsia="zh-CN"/>
              </w:rPr>
            </w:pPr>
            <w:r w:rsidRPr="000A0A5F">
              <w:rPr>
                <w:rFonts w:hint="eastAsia"/>
                <w:noProof/>
                <w:lang w:eastAsia="zh-CN"/>
              </w:rPr>
              <w:t>1</w:t>
            </w:r>
          </w:p>
        </w:tc>
        <w:tc>
          <w:tcPr>
            <w:tcW w:w="5160" w:type="dxa"/>
            <w:tcBorders>
              <w:top w:val="single" w:sz="6" w:space="0" w:color="auto"/>
            </w:tcBorders>
          </w:tcPr>
          <w:p w:rsidR="00CB0DD7" w:rsidRPr="000A0A5F" w:rsidRDefault="00CB0DD7">
            <w:pPr>
              <w:pStyle w:val="TAL"/>
              <w:rPr>
                <w:noProof/>
              </w:rPr>
            </w:pPr>
            <w:r w:rsidRPr="000A0A5F">
              <w:rPr>
                <w:rFonts w:hint="eastAsia"/>
                <w:lang w:eastAsia="zh-CN"/>
              </w:rPr>
              <w:t>The NIDD configuration status notification.</w:t>
            </w:r>
          </w:p>
        </w:tc>
      </w:tr>
    </w:tbl>
    <w:p w:rsidR="00CB0DD7" w:rsidRPr="000A0A5F" w:rsidRDefault="00CB0DD7">
      <w:pPr>
        <w:rPr>
          <w:noProof/>
        </w:rPr>
      </w:pPr>
    </w:p>
    <w:p w:rsidR="00CB0DD7" w:rsidRPr="000A0A5F" w:rsidRDefault="00CB0DD7">
      <w:pPr>
        <w:pStyle w:val="TH"/>
        <w:rPr>
          <w:noProof/>
        </w:rPr>
      </w:pPr>
      <w:r w:rsidRPr="000A0A5F">
        <w:rPr>
          <w:noProof/>
        </w:rPr>
        <w:t>Table </w:t>
      </w:r>
      <w:r w:rsidRPr="000A0A5F">
        <w:t>5.6.</w:t>
      </w:r>
      <w:r w:rsidR="0086706F" w:rsidRPr="000A0A5F">
        <w:t>3A</w:t>
      </w:r>
      <w:r w:rsidRPr="000A0A5F">
        <w:t>.2</w:t>
      </w:r>
      <w:r w:rsidRPr="000A0A5F">
        <w:rPr>
          <w:noProof/>
        </w:rPr>
        <w:t>.3.1-2: Data structures supported by the POST Response Body</w:t>
      </w:r>
    </w:p>
    <w:tbl>
      <w:tblPr>
        <w:tblW w:w="961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293"/>
        <w:gridCol w:w="1259"/>
        <w:gridCol w:w="1441"/>
        <w:gridCol w:w="4619"/>
      </w:tblGrid>
      <w:tr w:rsidR="00CB0DD7" w:rsidRPr="000A0A5F" w:rsidTr="00FF0AF8">
        <w:trPr>
          <w:jc w:val="center"/>
        </w:trPr>
        <w:tc>
          <w:tcPr>
            <w:tcW w:w="2293" w:type="dxa"/>
            <w:shd w:val="clear" w:color="auto" w:fill="C0C0C0"/>
            <w:hideMark/>
          </w:tcPr>
          <w:p w:rsidR="00CB0DD7" w:rsidRPr="000A0A5F" w:rsidRDefault="00CB0DD7">
            <w:pPr>
              <w:pStyle w:val="TAH"/>
              <w:rPr>
                <w:noProof/>
              </w:rPr>
            </w:pPr>
            <w:r w:rsidRPr="000A0A5F">
              <w:rPr>
                <w:noProof/>
              </w:rPr>
              <w:t>Data type</w:t>
            </w:r>
          </w:p>
        </w:tc>
        <w:tc>
          <w:tcPr>
            <w:tcW w:w="1259" w:type="dxa"/>
            <w:shd w:val="clear" w:color="auto" w:fill="C0C0C0"/>
            <w:hideMark/>
          </w:tcPr>
          <w:p w:rsidR="00CB0DD7" w:rsidRPr="000A0A5F" w:rsidRDefault="00CB0DD7">
            <w:pPr>
              <w:pStyle w:val="TAH"/>
              <w:rPr>
                <w:noProof/>
              </w:rPr>
            </w:pPr>
            <w:r w:rsidRPr="000A0A5F">
              <w:rPr>
                <w:noProof/>
              </w:rPr>
              <w:t>Cardinality</w:t>
            </w:r>
          </w:p>
        </w:tc>
        <w:tc>
          <w:tcPr>
            <w:tcW w:w="1441" w:type="dxa"/>
            <w:shd w:val="clear" w:color="auto" w:fill="C0C0C0"/>
            <w:hideMark/>
          </w:tcPr>
          <w:p w:rsidR="00CB0DD7" w:rsidRPr="000A0A5F" w:rsidRDefault="00CB0DD7">
            <w:pPr>
              <w:pStyle w:val="TAH"/>
              <w:rPr>
                <w:noProof/>
              </w:rPr>
            </w:pPr>
            <w:r w:rsidRPr="000A0A5F">
              <w:rPr>
                <w:noProof/>
              </w:rPr>
              <w:t>Response codes</w:t>
            </w:r>
          </w:p>
        </w:tc>
        <w:tc>
          <w:tcPr>
            <w:tcW w:w="4619" w:type="dxa"/>
            <w:shd w:val="clear" w:color="auto" w:fill="C0C0C0"/>
            <w:hideMark/>
          </w:tcPr>
          <w:p w:rsidR="00CB0DD7" w:rsidRPr="000A0A5F" w:rsidRDefault="00CB0DD7">
            <w:pPr>
              <w:pStyle w:val="TAH"/>
              <w:rPr>
                <w:noProof/>
              </w:rPr>
            </w:pPr>
            <w:r w:rsidRPr="000A0A5F">
              <w:rPr>
                <w:noProof/>
              </w:rPr>
              <w:t>Description</w:t>
            </w:r>
          </w:p>
        </w:tc>
      </w:tr>
      <w:tr w:rsidR="00CB0DD7" w:rsidRPr="000A0A5F" w:rsidTr="00FF0AF8">
        <w:trPr>
          <w:jc w:val="center"/>
        </w:trPr>
        <w:tc>
          <w:tcPr>
            <w:tcW w:w="2293" w:type="dxa"/>
          </w:tcPr>
          <w:p w:rsidR="00CB0DD7" w:rsidRPr="000A0A5F" w:rsidRDefault="00CB0DD7">
            <w:pPr>
              <w:pStyle w:val="TAL"/>
              <w:rPr>
                <w:noProof/>
              </w:rPr>
            </w:pPr>
            <w:r w:rsidRPr="000A0A5F">
              <w:t>Acknowledgement</w:t>
            </w:r>
          </w:p>
        </w:tc>
        <w:tc>
          <w:tcPr>
            <w:tcW w:w="1259" w:type="dxa"/>
          </w:tcPr>
          <w:p w:rsidR="00CB0DD7" w:rsidRPr="000A0A5F" w:rsidRDefault="00CB0DD7">
            <w:pPr>
              <w:pStyle w:val="TAC"/>
              <w:rPr>
                <w:noProof/>
              </w:rPr>
            </w:pPr>
            <w:r w:rsidRPr="000A0A5F">
              <w:rPr>
                <w:rFonts w:hint="eastAsia"/>
                <w:lang w:eastAsia="zh-CN"/>
              </w:rPr>
              <w:t>1</w:t>
            </w:r>
          </w:p>
        </w:tc>
        <w:tc>
          <w:tcPr>
            <w:tcW w:w="1441" w:type="dxa"/>
          </w:tcPr>
          <w:p w:rsidR="00CB0DD7" w:rsidRPr="000A0A5F" w:rsidRDefault="00CB0DD7">
            <w:pPr>
              <w:pStyle w:val="TAL"/>
              <w:rPr>
                <w:noProof/>
              </w:rPr>
            </w:pPr>
            <w:r w:rsidRPr="000A0A5F">
              <w:t>20</w:t>
            </w:r>
            <w:r w:rsidRPr="000A0A5F">
              <w:rPr>
                <w:rFonts w:hint="eastAsia"/>
                <w:lang w:eastAsia="zh-CN"/>
              </w:rPr>
              <w:t>0</w:t>
            </w:r>
            <w:r w:rsidRPr="000A0A5F">
              <w:t xml:space="preserve"> </w:t>
            </w:r>
            <w:r w:rsidRPr="000A0A5F">
              <w:rPr>
                <w:rFonts w:hint="eastAsia"/>
                <w:lang w:eastAsia="zh-CN"/>
              </w:rPr>
              <w:t>OK</w:t>
            </w:r>
          </w:p>
        </w:tc>
        <w:tc>
          <w:tcPr>
            <w:tcW w:w="4619" w:type="dxa"/>
          </w:tcPr>
          <w:p w:rsidR="00CB0DD7" w:rsidRPr="000A0A5F" w:rsidRDefault="00CB0DD7">
            <w:pPr>
              <w:pStyle w:val="TAL"/>
              <w:rPr>
                <w:noProof/>
              </w:rPr>
            </w:pPr>
            <w:r w:rsidRPr="000A0A5F">
              <w:t xml:space="preserve">The </w:t>
            </w:r>
            <w:r w:rsidRPr="000A0A5F">
              <w:rPr>
                <w:rFonts w:hint="eastAsia"/>
                <w:lang w:eastAsia="zh-CN"/>
              </w:rPr>
              <w:t>successful acknowledgement of the notification</w:t>
            </w:r>
            <w:r w:rsidRPr="000A0A5F">
              <w:rPr>
                <w:lang w:eastAsia="zh-CN"/>
              </w:rPr>
              <w:t xml:space="preserve"> with a body.</w:t>
            </w:r>
          </w:p>
        </w:tc>
      </w:tr>
      <w:tr w:rsidR="00CB0DD7" w:rsidRPr="000A0A5F" w:rsidTr="00FF0AF8">
        <w:trPr>
          <w:jc w:val="center"/>
        </w:trPr>
        <w:tc>
          <w:tcPr>
            <w:tcW w:w="2293" w:type="dxa"/>
          </w:tcPr>
          <w:p w:rsidR="00CB0DD7" w:rsidRPr="000A0A5F" w:rsidRDefault="00CB0DD7">
            <w:pPr>
              <w:pStyle w:val="TAL"/>
            </w:pPr>
            <w:r w:rsidRPr="000A0A5F">
              <w:t>(None)</w:t>
            </w:r>
          </w:p>
        </w:tc>
        <w:tc>
          <w:tcPr>
            <w:tcW w:w="1259" w:type="dxa"/>
          </w:tcPr>
          <w:p w:rsidR="00CB0DD7" w:rsidRPr="000A0A5F" w:rsidRDefault="00CB0DD7">
            <w:pPr>
              <w:pStyle w:val="TAC"/>
              <w:rPr>
                <w:noProof/>
              </w:rPr>
            </w:pPr>
          </w:p>
        </w:tc>
        <w:tc>
          <w:tcPr>
            <w:tcW w:w="1441" w:type="dxa"/>
          </w:tcPr>
          <w:p w:rsidR="00CB0DD7" w:rsidRPr="000A0A5F" w:rsidRDefault="00CB0DD7">
            <w:pPr>
              <w:pStyle w:val="TAL"/>
            </w:pPr>
            <w:r w:rsidRPr="000A0A5F">
              <w:t>20</w:t>
            </w:r>
            <w:r w:rsidRPr="000A0A5F">
              <w:rPr>
                <w:lang w:eastAsia="zh-CN"/>
              </w:rPr>
              <w:t>4 No Content</w:t>
            </w:r>
          </w:p>
        </w:tc>
        <w:tc>
          <w:tcPr>
            <w:tcW w:w="4619" w:type="dxa"/>
          </w:tcPr>
          <w:p w:rsidR="00CB0DD7" w:rsidRPr="000A0A5F" w:rsidRDefault="00CB0DD7">
            <w:pPr>
              <w:pStyle w:val="TAL"/>
            </w:pPr>
            <w:r w:rsidRPr="000A0A5F">
              <w:t xml:space="preserve">The </w:t>
            </w:r>
            <w:r w:rsidRPr="000A0A5F">
              <w:rPr>
                <w:rFonts w:hint="eastAsia"/>
                <w:lang w:eastAsia="zh-CN"/>
              </w:rPr>
              <w:t>successful acknowledgement of the notification without a body.</w:t>
            </w:r>
          </w:p>
        </w:tc>
      </w:tr>
      <w:tr w:rsidR="00CB0DD7" w:rsidRPr="000A0A5F" w:rsidTr="00FF0AF8">
        <w:trPr>
          <w:jc w:val="center"/>
        </w:trPr>
        <w:tc>
          <w:tcPr>
            <w:tcW w:w="2293" w:type="dxa"/>
          </w:tcPr>
          <w:p w:rsidR="00CB0DD7" w:rsidRPr="000A0A5F" w:rsidRDefault="00CB0DD7">
            <w:pPr>
              <w:pStyle w:val="TAL"/>
            </w:pPr>
            <w:r w:rsidRPr="000A0A5F">
              <w:rPr>
                <w:lang w:eastAsia="zh-CN"/>
              </w:rPr>
              <w:t>N</w:t>
            </w:r>
            <w:r w:rsidRPr="000A0A5F">
              <w:rPr>
                <w:rFonts w:hint="eastAsia"/>
                <w:lang w:eastAsia="zh-CN"/>
              </w:rPr>
              <w:t>one</w:t>
            </w:r>
          </w:p>
        </w:tc>
        <w:tc>
          <w:tcPr>
            <w:tcW w:w="1259" w:type="dxa"/>
          </w:tcPr>
          <w:p w:rsidR="00CB0DD7" w:rsidRPr="000A0A5F" w:rsidRDefault="00CB0DD7">
            <w:pPr>
              <w:pStyle w:val="TAC"/>
              <w:rPr>
                <w:noProof/>
              </w:rPr>
            </w:pPr>
          </w:p>
        </w:tc>
        <w:tc>
          <w:tcPr>
            <w:tcW w:w="1441" w:type="dxa"/>
          </w:tcPr>
          <w:p w:rsidR="00CB0DD7" w:rsidRPr="000A0A5F" w:rsidRDefault="00CB0DD7">
            <w:pPr>
              <w:pStyle w:val="TAL"/>
            </w:pPr>
            <w:r w:rsidRPr="000A0A5F">
              <w:t>307 Temporary Redirect</w:t>
            </w:r>
          </w:p>
        </w:tc>
        <w:tc>
          <w:tcPr>
            <w:tcW w:w="4619" w:type="dxa"/>
          </w:tcPr>
          <w:p w:rsidR="00CB0DD7" w:rsidRPr="000A0A5F" w:rsidRDefault="00CB0DD7">
            <w:pPr>
              <w:pStyle w:val="TAL"/>
            </w:pPr>
            <w:r w:rsidRPr="000A0A5F">
              <w:t>Temporary redirection, during notification. The response shall include a Location header field containing an alternative URI representing the end point of an alternative SCS/AS where the notification should be sent.</w:t>
            </w:r>
          </w:p>
          <w:p w:rsidR="00CB0DD7" w:rsidRPr="000A0A5F" w:rsidRDefault="00CB0DD7">
            <w:pPr>
              <w:pStyle w:val="TAL"/>
            </w:pPr>
            <w:r w:rsidRPr="000A0A5F">
              <w:t>Redirection handling is described in clause 5.2.10.</w:t>
            </w:r>
          </w:p>
        </w:tc>
      </w:tr>
      <w:tr w:rsidR="00CB0DD7" w:rsidRPr="000A0A5F" w:rsidTr="00FF0AF8">
        <w:trPr>
          <w:jc w:val="center"/>
        </w:trPr>
        <w:tc>
          <w:tcPr>
            <w:tcW w:w="2293" w:type="dxa"/>
          </w:tcPr>
          <w:p w:rsidR="00CB0DD7" w:rsidRPr="000A0A5F" w:rsidRDefault="00CB0DD7">
            <w:pPr>
              <w:pStyle w:val="TAL"/>
            </w:pPr>
            <w:r w:rsidRPr="000A0A5F">
              <w:rPr>
                <w:lang w:eastAsia="zh-CN"/>
              </w:rPr>
              <w:t>N</w:t>
            </w:r>
            <w:r w:rsidRPr="000A0A5F">
              <w:rPr>
                <w:rFonts w:hint="eastAsia"/>
                <w:lang w:eastAsia="zh-CN"/>
              </w:rPr>
              <w:t>one</w:t>
            </w:r>
          </w:p>
        </w:tc>
        <w:tc>
          <w:tcPr>
            <w:tcW w:w="1259" w:type="dxa"/>
          </w:tcPr>
          <w:p w:rsidR="00CB0DD7" w:rsidRPr="000A0A5F" w:rsidRDefault="00CB0DD7">
            <w:pPr>
              <w:pStyle w:val="TAC"/>
              <w:rPr>
                <w:noProof/>
              </w:rPr>
            </w:pPr>
          </w:p>
        </w:tc>
        <w:tc>
          <w:tcPr>
            <w:tcW w:w="1441" w:type="dxa"/>
          </w:tcPr>
          <w:p w:rsidR="00CB0DD7" w:rsidRPr="000A0A5F" w:rsidRDefault="00CB0DD7">
            <w:pPr>
              <w:pStyle w:val="TAL"/>
            </w:pPr>
            <w:r w:rsidRPr="000A0A5F">
              <w:t>308 Permanent Redirect</w:t>
            </w:r>
          </w:p>
        </w:tc>
        <w:tc>
          <w:tcPr>
            <w:tcW w:w="4619" w:type="dxa"/>
          </w:tcPr>
          <w:p w:rsidR="00CB0DD7" w:rsidRPr="000A0A5F" w:rsidRDefault="00CB0DD7">
            <w:pPr>
              <w:pStyle w:val="TAL"/>
            </w:pPr>
            <w:r w:rsidRPr="000A0A5F">
              <w:t>Permanent redirection, during notification. The response shall include a Location header field containing an alternative URI representing the end point of an alternative SCS/AS where the notification should be sent.</w:t>
            </w:r>
          </w:p>
          <w:p w:rsidR="00CB0DD7" w:rsidRPr="000A0A5F" w:rsidRDefault="00CB0DD7">
            <w:pPr>
              <w:pStyle w:val="TAL"/>
            </w:pPr>
            <w:r w:rsidRPr="000A0A5F">
              <w:t>Redirection handling is described in clause</w:t>
            </w:r>
            <w:r w:rsidRPr="000A0A5F">
              <w:rPr>
                <w:rFonts w:ascii="Cambria" w:eastAsia="Cambria" w:hAnsi="Cambria"/>
              </w:rPr>
              <w:t> </w:t>
            </w:r>
            <w:r w:rsidRPr="000A0A5F">
              <w:t>5.2.10.</w:t>
            </w:r>
          </w:p>
        </w:tc>
      </w:tr>
      <w:tr w:rsidR="00CB0DD7" w:rsidRPr="000A0A5F" w:rsidTr="00FF0AF8">
        <w:trPr>
          <w:jc w:val="center"/>
        </w:trPr>
        <w:tc>
          <w:tcPr>
            <w:tcW w:w="9612" w:type="dxa"/>
            <w:gridSpan w:val="4"/>
          </w:tcPr>
          <w:p w:rsidR="00CB0DD7" w:rsidRPr="000A0A5F" w:rsidRDefault="00CB0DD7">
            <w:pPr>
              <w:pStyle w:val="TAN"/>
            </w:pPr>
            <w:r w:rsidRPr="000A0A5F">
              <w:t>NOTE:</w:t>
            </w:r>
            <w:r w:rsidRPr="000A0A5F">
              <w:tab/>
              <w:t>The mandatory HTTP error status codes for the POST method listed in table 5.2.6-1 also apply.</w:t>
            </w:r>
          </w:p>
        </w:tc>
      </w:tr>
    </w:tbl>
    <w:p w:rsidR="00CB0DD7" w:rsidRPr="000A0A5F" w:rsidRDefault="00CB0DD7">
      <w:pPr>
        <w:rPr>
          <w:noProof/>
        </w:rPr>
      </w:pPr>
    </w:p>
    <w:p w:rsidR="00CB0DD7" w:rsidRPr="000A0A5F" w:rsidRDefault="002E466A">
      <w:pPr>
        <w:pStyle w:val="TH"/>
      </w:pPr>
      <w:r w:rsidRPr="000A0A5F">
        <w:t>Table </w:t>
      </w:r>
      <w:r w:rsidR="00CB0DD7" w:rsidRPr="000A0A5F">
        <w:t>5.6.</w:t>
      </w:r>
      <w:r w:rsidR="0086706F" w:rsidRPr="000A0A5F">
        <w:t>3A</w:t>
      </w:r>
      <w:r w:rsidR="00CB0DD7" w:rsidRPr="000A0A5F">
        <w:t>.2</w:t>
      </w:r>
      <w:r w:rsidR="00CB0DD7" w:rsidRPr="000A0A5F">
        <w:rPr>
          <w:noProof/>
        </w:rPr>
        <w:t>.3.1</w:t>
      </w:r>
      <w:r w:rsidR="00CB0DD7" w:rsidRPr="000A0A5F">
        <w:t>-3: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representing the end point of an alternative SCS/AS towards which the notification should be redirected.</w:t>
            </w:r>
          </w:p>
        </w:tc>
      </w:tr>
    </w:tbl>
    <w:p w:rsidR="00CB0DD7" w:rsidRPr="000A0A5F" w:rsidRDefault="00CB0DD7"/>
    <w:p w:rsidR="00CB0DD7" w:rsidRPr="000A0A5F" w:rsidRDefault="002E466A">
      <w:pPr>
        <w:pStyle w:val="TH"/>
      </w:pPr>
      <w:r w:rsidRPr="000A0A5F">
        <w:t>Table </w:t>
      </w:r>
      <w:r w:rsidR="00CB0DD7" w:rsidRPr="000A0A5F">
        <w:t>5.6.</w:t>
      </w:r>
      <w:r w:rsidR="0086706F" w:rsidRPr="000A0A5F">
        <w:t>3A</w:t>
      </w:r>
      <w:r w:rsidR="00CB0DD7" w:rsidRPr="000A0A5F">
        <w:t>.2</w:t>
      </w:r>
      <w:r w:rsidR="00CB0DD7" w:rsidRPr="000A0A5F">
        <w:rPr>
          <w:noProof/>
        </w:rPr>
        <w:t>.3.1</w:t>
      </w:r>
      <w:r w:rsidR="00CB0DD7" w:rsidRPr="000A0A5F">
        <w:t>-4: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representing the end point of an alternative SCS/AS towards which the notification should be redirected.</w:t>
            </w:r>
          </w:p>
        </w:tc>
      </w:tr>
    </w:tbl>
    <w:p w:rsidR="00CB0DD7" w:rsidRPr="000A0A5F" w:rsidRDefault="00CB0DD7">
      <w:pPr>
        <w:rPr>
          <w:noProof/>
        </w:rPr>
      </w:pPr>
    </w:p>
    <w:p w:rsidR="00CB0DD7" w:rsidRPr="000A0A5F" w:rsidRDefault="00CB0DD7">
      <w:pPr>
        <w:pStyle w:val="Heading6"/>
        <w:rPr>
          <w:noProof/>
        </w:rPr>
      </w:pPr>
      <w:bookmarkStart w:id="4549" w:name="_Toc66360589"/>
      <w:bookmarkStart w:id="4550" w:name="_Toc68105094"/>
      <w:bookmarkStart w:id="4551" w:name="_Toc74755724"/>
      <w:bookmarkStart w:id="4552" w:name="_Toc105674598"/>
      <w:bookmarkStart w:id="4553" w:name="_Toc130502646"/>
      <w:bookmarkStart w:id="4554" w:name="_Toc153625433"/>
      <w:r w:rsidRPr="000A0A5F">
        <w:t>5.6.</w:t>
      </w:r>
      <w:r w:rsidR="0086706F" w:rsidRPr="000A0A5F">
        <w:t>3A</w:t>
      </w:r>
      <w:r w:rsidRPr="000A0A5F">
        <w:t>.2.3</w:t>
      </w:r>
      <w:r w:rsidRPr="000A0A5F">
        <w:rPr>
          <w:noProof/>
        </w:rPr>
        <w:t>.2</w:t>
      </w:r>
      <w:r w:rsidRPr="000A0A5F">
        <w:rPr>
          <w:noProof/>
        </w:rPr>
        <w:tab/>
      </w:r>
      <w:r w:rsidRPr="000A0A5F">
        <w:t>Notification via Websocket</w:t>
      </w:r>
      <w:bookmarkEnd w:id="4549"/>
      <w:bookmarkEnd w:id="4550"/>
      <w:bookmarkEnd w:id="4551"/>
      <w:bookmarkEnd w:id="4552"/>
      <w:bookmarkEnd w:id="4553"/>
      <w:bookmarkEnd w:id="4554"/>
    </w:p>
    <w:p w:rsidR="00CB0DD7" w:rsidRPr="000A0A5F" w:rsidRDefault="00CB0DD7">
      <w:r w:rsidRPr="000A0A5F">
        <w:t>If supported by both SCS/AS and SCEF and successfully negotiated</w:t>
      </w:r>
      <w:r w:rsidRPr="000A0A5F">
        <w:rPr>
          <w:lang w:eastAsia="zh-CN"/>
        </w:rPr>
        <w:t xml:space="preserve">, the </w:t>
      </w:r>
      <w:r w:rsidRPr="000A0A5F">
        <w:t>NiddConfigurationStatusNotification</w:t>
      </w:r>
      <w:r w:rsidRPr="000A0A5F">
        <w:rPr>
          <w:lang w:eastAsia="zh-CN"/>
        </w:rPr>
        <w:t xml:space="preserve"> may alternatively be delivered through the Websocket mechanism as defined in clause 5.2.5.4.</w:t>
      </w:r>
    </w:p>
    <w:p w:rsidR="00CB0DD7" w:rsidRPr="000A0A5F" w:rsidRDefault="00CB0DD7">
      <w:pPr>
        <w:pStyle w:val="PL"/>
        <w:rPr>
          <w:lang w:eastAsia="zh-CN"/>
        </w:rPr>
      </w:pPr>
    </w:p>
    <w:p w:rsidR="00CB0DD7" w:rsidRPr="000A0A5F" w:rsidRDefault="00CB0DD7">
      <w:pPr>
        <w:pStyle w:val="Heading4"/>
      </w:pPr>
      <w:bookmarkStart w:id="4555" w:name="_Toc66360590"/>
      <w:bookmarkStart w:id="4556" w:name="_Toc68105095"/>
      <w:bookmarkStart w:id="4557" w:name="_Toc74755725"/>
      <w:bookmarkStart w:id="4558" w:name="_Toc105674599"/>
      <w:bookmarkStart w:id="4559" w:name="_Toc130502647"/>
      <w:bookmarkStart w:id="4560" w:name="_Toc153625434"/>
      <w:r w:rsidRPr="000A0A5F">
        <w:t>5.6.</w:t>
      </w:r>
      <w:r w:rsidR="0086706F" w:rsidRPr="000A0A5F">
        <w:t>3A</w:t>
      </w:r>
      <w:r w:rsidRPr="000A0A5F">
        <w:t>.3</w:t>
      </w:r>
      <w:r w:rsidRPr="000A0A5F">
        <w:tab/>
        <w:t>NIDD Downlink Data Delivery Status Notification</w:t>
      </w:r>
      <w:bookmarkEnd w:id="4555"/>
      <w:bookmarkEnd w:id="4556"/>
      <w:bookmarkEnd w:id="4557"/>
      <w:bookmarkEnd w:id="4558"/>
      <w:bookmarkEnd w:id="4559"/>
      <w:bookmarkEnd w:id="4560"/>
    </w:p>
    <w:p w:rsidR="00CB0DD7" w:rsidRPr="000A0A5F" w:rsidRDefault="00CB0DD7">
      <w:pPr>
        <w:pStyle w:val="Heading5"/>
        <w:rPr>
          <w:noProof/>
        </w:rPr>
      </w:pPr>
      <w:bookmarkStart w:id="4561" w:name="_Toc66360591"/>
      <w:bookmarkStart w:id="4562" w:name="_Toc68105096"/>
      <w:bookmarkStart w:id="4563" w:name="_Toc74755726"/>
      <w:bookmarkStart w:id="4564" w:name="_Toc105674600"/>
      <w:bookmarkStart w:id="4565" w:name="_Toc130502648"/>
      <w:bookmarkStart w:id="4566" w:name="_Toc153625435"/>
      <w:r w:rsidRPr="000A0A5F">
        <w:t>5.6.</w:t>
      </w:r>
      <w:r w:rsidR="0086706F" w:rsidRPr="000A0A5F">
        <w:t>3A</w:t>
      </w:r>
      <w:r w:rsidRPr="000A0A5F">
        <w:t>.3</w:t>
      </w:r>
      <w:r w:rsidRPr="000A0A5F">
        <w:rPr>
          <w:noProof/>
        </w:rPr>
        <w:t>.1</w:t>
      </w:r>
      <w:r w:rsidRPr="000A0A5F">
        <w:rPr>
          <w:noProof/>
        </w:rPr>
        <w:tab/>
        <w:t>Description</w:t>
      </w:r>
      <w:bookmarkEnd w:id="4561"/>
      <w:bookmarkEnd w:id="4562"/>
      <w:bookmarkEnd w:id="4563"/>
      <w:bookmarkEnd w:id="4564"/>
      <w:bookmarkEnd w:id="4565"/>
      <w:bookmarkEnd w:id="4566"/>
    </w:p>
    <w:p w:rsidR="00CB0DD7" w:rsidRPr="000A0A5F" w:rsidRDefault="00CB0DD7">
      <w:pPr>
        <w:rPr>
          <w:noProof/>
          <w:lang w:eastAsia="zh-CN"/>
        </w:rPr>
      </w:pPr>
      <w:r w:rsidRPr="000A0A5F">
        <w:rPr>
          <w:noProof/>
          <w:lang w:eastAsia="zh-CN"/>
        </w:rPr>
        <w:t>The NIDD Downlink Data Delivery Status Notification allows t</w:t>
      </w:r>
      <w:r w:rsidRPr="000A0A5F">
        <w:rPr>
          <w:rFonts w:hint="eastAsia"/>
          <w:noProof/>
          <w:lang w:eastAsia="zh-CN"/>
        </w:rPr>
        <w:t xml:space="preserve">he </w:t>
      </w:r>
      <w:r w:rsidRPr="000A0A5F">
        <w:rPr>
          <w:noProof/>
          <w:lang w:eastAsia="zh-CN"/>
        </w:rPr>
        <w:t xml:space="preserve">SCEF to send notifications about the status of downlink NIDD data delivery to the </w:t>
      </w:r>
      <w:r w:rsidRPr="000A0A5F">
        <w:rPr>
          <w:rFonts w:hint="eastAsia"/>
          <w:noProof/>
          <w:lang w:eastAsia="zh-CN"/>
        </w:rPr>
        <w:t>SCS/AS</w:t>
      </w:r>
      <w:r w:rsidRPr="000A0A5F">
        <w:rPr>
          <w:noProof/>
          <w:lang w:eastAsia="zh-CN"/>
        </w:rPr>
        <w:t>. This resource is applicable for a single UE and a group of UEs NIDD MT delivery.</w:t>
      </w:r>
    </w:p>
    <w:p w:rsidR="00CB0DD7" w:rsidRPr="000A0A5F" w:rsidRDefault="00CB0DD7">
      <w:pPr>
        <w:pStyle w:val="Heading5"/>
        <w:rPr>
          <w:noProof/>
        </w:rPr>
      </w:pPr>
      <w:bookmarkStart w:id="4567" w:name="_Toc66360592"/>
      <w:bookmarkStart w:id="4568" w:name="_Toc68105097"/>
      <w:bookmarkStart w:id="4569" w:name="_Toc74755727"/>
      <w:bookmarkStart w:id="4570" w:name="_Toc105674601"/>
      <w:bookmarkStart w:id="4571" w:name="_Toc130502649"/>
      <w:bookmarkStart w:id="4572" w:name="_Toc153625436"/>
      <w:r w:rsidRPr="000A0A5F">
        <w:t>5.6.</w:t>
      </w:r>
      <w:r w:rsidR="0086706F" w:rsidRPr="000A0A5F">
        <w:t>3A</w:t>
      </w:r>
      <w:r w:rsidRPr="000A0A5F">
        <w:t>.3</w:t>
      </w:r>
      <w:r w:rsidRPr="000A0A5F">
        <w:rPr>
          <w:noProof/>
        </w:rPr>
        <w:t>.2</w:t>
      </w:r>
      <w:r w:rsidRPr="000A0A5F">
        <w:rPr>
          <w:noProof/>
        </w:rPr>
        <w:tab/>
        <w:t>Target URI</w:t>
      </w:r>
      <w:bookmarkEnd w:id="4567"/>
      <w:bookmarkEnd w:id="4568"/>
      <w:bookmarkEnd w:id="4569"/>
      <w:bookmarkEnd w:id="4570"/>
      <w:bookmarkEnd w:id="4571"/>
      <w:bookmarkEnd w:id="4572"/>
    </w:p>
    <w:p w:rsidR="00CB0DD7" w:rsidRPr="000A0A5F" w:rsidRDefault="00CB0DD7">
      <w:pPr>
        <w:rPr>
          <w:rFonts w:ascii="Arial" w:hAnsi="Arial" w:cs="Arial"/>
          <w:noProof/>
        </w:rPr>
      </w:pPr>
      <w:r w:rsidRPr="000A0A5F">
        <w:rPr>
          <w:noProof/>
        </w:rPr>
        <w:t xml:space="preserve">The Callback URI </w:t>
      </w:r>
      <w:r w:rsidRPr="000A0A5F">
        <w:rPr>
          <w:b/>
          <w:noProof/>
        </w:rPr>
        <w:t>"{</w:t>
      </w:r>
      <w:r w:rsidRPr="000A0A5F">
        <w:t>notification_uri</w:t>
      </w:r>
      <w:r w:rsidRPr="000A0A5F">
        <w:rPr>
          <w:b/>
          <w:noProof/>
        </w:rPr>
        <w:t>}"</w:t>
      </w:r>
      <w:r w:rsidRPr="000A0A5F">
        <w:rPr>
          <w:noProof/>
        </w:rPr>
        <w:t xml:space="preserve"> shall be used with the callback URI variables defined in table </w:t>
      </w:r>
      <w:r w:rsidRPr="000A0A5F">
        <w:t>5.6.</w:t>
      </w:r>
      <w:r w:rsidR="0086706F" w:rsidRPr="000A0A5F">
        <w:t>3A</w:t>
      </w:r>
      <w:r w:rsidRPr="000A0A5F">
        <w:t>.3</w:t>
      </w:r>
      <w:r w:rsidRPr="000A0A5F">
        <w:rPr>
          <w:noProof/>
        </w:rPr>
        <w:t>.2-1</w:t>
      </w:r>
      <w:r w:rsidRPr="000A0A5F">
        <w:rPr>
          <w:rFonts w:ascii="Arial" w:hAnsi="Arial" w:cs="Arial"/>
          <w:noProof/>
        </w:rPr>
        <w:t>.</w:t>
      </w:r>
    </w:p>
    <w:p w:rsidR="00CB0DD7" w:rsidRPr="000A0A5F" w:rsidRDefault="00CB0DD7">
      <w:pPr>
        <w:pStyle w:val="TH"/>
        <w:rPr>
          <w:rFonts w:cs="Arial"/>
          <w:noProof/>
        </w:rPr>
      </w:pPr>
      <w:r w:rsidRPr="000A0A5F">
        <w:rPr>
          <w:noProof/>
        </w:rPr>
        <w:t>Table </w:t>
      </w:r>
      <w:r w:rsidRPr="000A0A5F">
        <w:t>5.6.</w:t>
      </w:r>
      <w:r w:rsidR="0086706F" w:rsidRPr="000A0A5F">
        <w:t>3A</w:t>
      </w:r>
      <w:r w:rsidRPr="000A0A5F">
        <w:t>.3</w:t>
      </w:r>
      <w:r w:rsidRPr="000A0A5F">
        <w:rPr>
          <w:noProof/>
        </w:rPr>
        <w:t>.2-1: Callback URI variables</w:t>
      </w:r>
    </w:p>
    <w:tbl>
      <w:tblPr>
        <w:tblW w:w="494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970"/>
        <w:gridCol w:w="1312"/>
        <w:gridCol w:w="6378"/>
      </w:tblGrid>
      <w:tr w:rsidR="00CB0DD7" w:rsidRPr="000A0A5F" w:rsidTr="00FF0AF8">
        <w:trPr>
          <w:jc w:val="center"/>
        </w:trPr>
        <w:tc>
          <w:tcPr>
            <w:tcW w:w="1020" w:type="pct"/>
            <w:shd w:val="clear" w:color="000000" w:fill="C0C0C0"/>
          </w:tcPr>
          <w:p w:rsidR="00CB0DD7" w:rsidRPr="000A0A5F" w:rsidRDefault="00CB0DD7">
            <w:pPr>
              <w:pStyle w:val="TAH"/>
            </w:pPr>
            <w:r w:rsidRPr="000A0A5F">
              <w:t>Name</w:t>
            </w:r>
          </w:p>
        </w:tc>
        <w:tc>
          <w:tcPr>
            <w:tcW w:w="679" w:type="pct"/>
            <w:shd w:val="clear" w:color="000000" w:fill="C0C0C0"/>
          </w:tcPr>
          <w:p w:rsidR="00CB0DD7" w:rsidRPr="000A0A5F" w:rsidRDefault="00CB0DD7">
            <w:pPr>
              <w:pStyle w:val="TAH"/>
            </w:pPr>
            <w:r w:rsidRPr="000A0A5F">
              <w:rPr>
                <w:rFonts w:hint="eastAsia"/>
                <w:lang w:eastAsia="zh-CN"/>
              </w:rPr>
              <w:t>D</w:t>
            </w:r>
            <w:r w:rsidRPr="000A0A5F">
              <w:rPr>
                <w:lang w:eastAsia="zh-CN"/>
              </w:rPr>
              <w:t>ata type</w:t>
            </w:r>
          </w:p>
        </w:tc>
        <w:tc>
          <w:tcPr>
            <w:tcW w:w="3301" w:type="pct"/>
            <w:shd w:val="clear" w:color="000000" w:fill="C0C0C0"/>
            <w:vAlign w:val="center"/>
          </w:tcPr>
          <w:p w:rsidR="00CB0DD7" w:rsidRPr="000A0A5F" w:rsidRDefault="00CB0DD7">
            <w:pPr>
              <w:pStyle w:val="TAH"/>
            </w:pPr>
            <w:r w:rsidRPr="000A0A5F">
              <w:t>Definition</w:t>
            </w:r>
          </w:p>
        </w:tc>
      </w:tr>
      <w:tr w:rsidR="00CB0DD7" w:rsidRPr="000A0A5F" w:rsidTr="00FF0AF8">
        <w:trPr>
          <w:jc w:val="center"/>
        </w:trPr>
        <w:tc>
          <w:tcPr>
            <w:tcW w:w="1020" w:type="pct"/>
            <w:shd w:val="clear" w:color="auto" w:fill="auto"/>
          </w:tcPr>
          <w:p w:rsidR="00CB0DD7" w:rsidRPr="000A0A5F" w:rsidRDefault="00CB0DD7">
            <w:pPr>
              <w:pStyle w:val="TAL"/>
              <w:rPr>
                <w:lang w:eastAsia="zh-CN"/>
              </w:rPr>
            </w:pPr>
            <w:r w:rsidRPr="000A0A5F">
              <w:t>notification_uri</w:t>
            </w:r>
          </w:p>
        </w:tc>
        <w:tc>
          <w:tcPr>
            <w:tcW w:w="679" w:type="pct"/>
          </w:tcPr>
          <w:p w:rsidR="00CB0DD7" w:rsidRPr="000A0A5F" w:rsidRDefault="00CB0DD7">
            <w:pPr>
              <w:pStyle w:val="TAL"/>
            </w:pPr>
            <w:r w:rsidRPr="000A0A5F">
              <w:rPr>
                <w:lang w:eastAsia="zh-CN"/>
              </w:rPr>
              <w:t>Link</w:t>
            </w:r>
          </w:p>
        </w:tc>
        <w:tc>
          <w:tcPr>
            <w:tcW w:w="3301" w:type="pct"/>
            <w:shd w:val="clear" w:color="auto" w:fill="auto"/>
            <w:vAlign w:val="center"/>
          </w:tcPr>
          <w:p w:rsidR="00CB0DD7" w:rsidRPr="000A0A5F" w:rsidRDefault="00CB0DD7">
            <w:pPr>
              <w:pStyle w:val="TAL"/>
              <w:rPr>
                <w:rFonts w:cs="Arial"/>
                <w:szCs w:val="18"/>
                <w:lang w:eastAsia="zh-CN"/>
              </w:rPr>
            </w:pPr>
            <w:r w:rsidRPr="000A0A5F">
              <w:rPr>
                <w:rFonts w:cs="Arial" w:hint="eastAsia"/>
                <w:szCs w:val="18"/>
                <w:lang w:eastAsia="zh-CN"/>
              </w:rPr>
              <w:t xml:space="preserve">A URI indicating the notification destination </w:t>
            </w:r>
            <w:r w:rsidRPr="000A0A5F">
              <w:rPr>
                <w:rFonts w:cs="Arial"/>
                <w:szCs w:val="18"/>
                <w:lang w:eastAsia="zh-CN"/>
              </w:rPr>
              <w:t xml:space="preserve">URI where </w:t>
            </w:r>
            <w:r w:rsidRPr="000A0A5F">
              <w:rPr>
                <w:rFonts w:cs="Arial" w:hint="eastAsia"/>
                <w:szCs w:val="18"/>
                <w:lang w:eastAsia="zh-CN"/>
              </w:rPr>
              <w:t xml:space="preserve">T8 </w:t>
            </w:r>
            <w:r w:rsidRPr="000A0A5F">
              <w:rPr>
                <w:rFonts w:cs="Arial"/>
                <w:szCs w:val="18"/>
                <w:lang w:eastAsia="zh-CN"/>
              </w:rPr>
              <w:t>notification requests shall be delivered</w:t>
            </w:r>
            <w:r w:rsidRPr="000A0A5F">
              <w:rPr>
                <w:rFonts w:cs="Arial" w:hint="eastAsia"/>
                <w:szCs w:val="18"/>
                <w:lang w:eastAsia="zh-CN"/>
              </w:rPr>
              <w:t>.</w:t>
            </w:r>
          </w:p>
          <w:p w:rsidR="00CB0DD7" w:rsidRPr="000A0A5F" w:rsidRDefault="00CB0DD7">
            <w:pPr>
              <w:pStyle w:val="TAL"/>
            </w:pPr>
            <w:r w:rsidRPr="000A0A5F">
              <w:rPr>
                <w:rFonts w:cs="Arial"/>
                <w:szCs w:val="18"/>
                <w:lang w:eastAsia="zh-CN"/>
              </w:rPr>
              <w:t>This URI shall be provided within the "notificationDestination" attribute in the NiddConfiguration type.</w:t>
            </w:r>
          </w:p>
        </w:tc>
      </w:tr>
    </w:tbl>
    <w:p w:rsidR="00CB0DD7" w:rsidRPr="000A0A5F" w:rsidRDefault="00CB0DD7"/>
    <w:p w:rsidR="00CB0DD7" w:rsidRPr="000A0A5F" w:rsidRDefault="00CB0DD7">
      <w:pPr>
        <w:pStyle w:val="Heading5"/>
        <w:rPr>
          <w:noProof/>
        </w:rPr>
      </w:pPr>
      <w:bookmarkStart w:id="4573" w:name="_Toc66360593"/>
      <w:bookmarkStart w:id="4574" w:name="_Toc68105098"/>
      <w:bookmarkStart w:id="4575" w:name="_Toc74755728"/>
      <w:bookmarkStart w:id="4576" w:name="_Toc105674602"/>
      <w:bookmarkStart w:id="4577" w:name="_Toc130502650"/>
      <w:bookmarkStart w:id="4578" w:name="_Toc153625437"/>
      <w:r w:rsidRPr="000A0A5F">
        <w:t>5.6.</w:t>
      </w:r>
      <w:r w:rsidR="0086706F" w:rsidRPr="000A0A5F">
        <w:t>3A</w:t>
      </w:r>
      <w:r w:rsidRPr="000A0A5F">
        <w:t>.3</w:t>
      </w:r>
      <w:r w:rsidRPr="000A0A5F">
        <w:rPr>
          <w:noProof/>
        </w:rPr>
        <w:t>.3</w:t>
      </w:r>
      <w:r w:rsidRPr="000A0A5F">
        <w:rPr>
          <w:noProof/>
        </w:rPr>
        <w:tab/>
        <w:t>Standard Methods</w:t>
      </w:r>
      <w:bookmarkEnd w:id="4573"/>
      <w:bookmarkEnd w:id="4574"/>
      <w:bookmarkEnd w:id="4575"/>
      <w:bookmarkEnd w:id="4576"/>
      <w:bookmarkEnd w:id="4577"/>
      <w:bookmarkEnd w:id="4578"/>
    </w:p>
    <w:p w:rsidR="00CB0DD7" w:rsidRPr="000A0A5F" w:rsidRDefault="00CB0DD7">
      <w:pPr>
        <w:pStyle w:val="Heading6"/>
        <w:rPr>
          <w:noProof/>
        </w:rPr>
      </w:pPr>
      <w:bookmarkStart w:id="4579" w:name="_Toc66360594"/>
      <w:bookmarkStart w:id="4580" w:name="_Toc68105099"/>
      <w:bookmarkStart w:id="4581" w:name="_Toc74755729"/>
      <w:bookmarkStart w:id="4582" w:name="_Toc105674603"/>
      <w:bookmarkStart w:id="4583" w:name="_Toc130502651"/>
      <w:bookmarkStart w:id="4584" w:name="_Toc153625438"/>
      <w:r w:rsidRPr="000A0A5F">
        <w:t>5.6.</w:t>
      </w:r>
      <w:r w:rsidR="0086706F" w:rsidRPr="000A0A5F">
        <w:t>3A</w:t>
      </w:r>
      <w:r w:rsidRPr="000A0A5F">
        <w:t>.3.3</w:t>
      </w:r>
      <w:r w:rsidRPr="000A0A5F">
        <w:rPr>
          <w:noProof/>
        </w:rPr>
        <w:t>.1</w:t>
      </w:r>
      <w:r w:rsidRPr="000A0A5F">
        <w:rPr>
          <w:noProof/>
        </w:rPr>
        <w:tab/>
      </w:r>
      <w:r w:rsidRPr="000A0A5F">
        <w:t>Notification via POST</w:t>
      </w:r>
      <w:bookmarkEnd w:id="4579"/>
      <w:bookmarkEnd w:id="4580"/>
      <w:bookmarkEnd w:id="4581"/>
      <w:bookmarkEnd w:id="4582"/>
      <w:bookmarkEnd w:id="4583"/>
      <w:bookmarkEnd w:id="4584"/>
    </w:p>
    <w:p w:rsidR="00CB0DD7" w:rsidRPr="000A0A5F" w:rsidRDefault="00CB0DD7">
      <w:r w:rsidRPr="000A0A5F">
        <w:t xml:space="preserve">To </w:t>
      </w:r>
      <w:r w:rsidRPr="000A0A5F">
        <w:rPr>
          <w:rFonts w:hint="eastAsia"/>
          <w:lang w:eastAsia="zh-CN"/>
        </w:rPr>
        <w:t xml:space="preserve">report the delivery status of the </w:t>
      </w:r>
      <w:r w:rsidRPr="000A0A5F">
        <w:rPr>
          <w:lang w:eastAsia="zh-CN"/>
        </w:rPr>
        <w:t>downlink</w:t>
      </w:r>
      <w:r w:rsidRPr="000A0A5F">
        <w:rPr>
          <w:rFonts w:hint="eastAsia"/>
          <w:lang w:eastAsia="zh-CN"/>
        </w:rPr>
        <w:t xml:space="preserve"> non-IP data delivery</w:t>
      </w:r>
      <w:r w:rsidRPr="000A0A5F">
        <w:t xml:space="preserve">, the </w:t>
      </w:r>
      <w:r w:rsidRPr="000A0A5F">
        <w:rPr>
          <w:rFonts w:hint="eastAsia"/>
          <w:lang w:eastAsia="zh-CN"/>
        </w:rPr>
        <w:t xml:space="preserve">SCEF </w:t>
      </w:r>
      <w:r w:rsidRPr="000A0A5F">
        <w:t xml:space="preserve">shall use the HTTP POST method on the </w:t>
      </w:r>
      <w:r w:rsidRPr="000A0A5F">
        <w:rPr>
          <w:rFonts w:hint="eastAsia"/>
          <w:lang w:eastAsia="zh-CN"/>
        </w:rPr>
        <w:t>notification endpoint</w:t>
      </w:r>
      <w:r w:rsidRPr="000A0A5F">
        <w:t xml:space="preserve"> with the body of the message encoded in JSON format</w:t>
      </w:r>
      <w:r w:rsidRPr="000A0A5F">
        <w:rPr>
          <w:rFonts w:hint="eastAsia"/>
          <w:lang w:eastAsia="zh-CN"/>
        </w:rPr>
        <w:t xml:space="preserve"> with the data structure defined in table</w:t>
      </w:r>
      <w:r w:rsidRPr="000A0A5F">
        <w:rPr>
          <w:rFonts w:ascii="Segoe UI Symbol" w:hAnsi="Segoe UI Symbol"/>
          <w:lang w:val="en-US" w:eastAsia="zh-CN"/>
        </w:rPr>
        <w:t> </w:t>
      </w:r>
      <w:r w:rsidRPr="000A0A5F">
        <w:rPr>
          <w:rFonts w:hint="eastAsia"/>
          <w:lang w:eastAsia="zh-CN"/>
        </w:rPr>
        <w:t>5.6.2.1.5-1</w:t>
      </w:r>
      <w:r w:rsidRPr="000A0A5F">
        <w:rPr>
          <w:lang w:eastAsia="zh-CN"/>
        </w:rPr>
        <w:t xml:space="preserve"> for a single UE or </w:t>
      </w:r>
      <w:r w:rsidRPr="000A0A5F">
        <w:rPr>
          <w:rFonts w:hint="eastAsia"/>
          <w:lang w:eastAsia="zh-CN"/>
        </w:rPr>
        <w:t>table</w:t>
      </w:r>
      <w:r w:rsidRPr="000A0A5F">
        <w:rPr>
          <w:rFonts w:ascii="Segoe UI Symbol" w:hAnsi="Segoe UI Symbol"/>
          <w:lang w:val="en-US" w:eastAsia="zh-CN"/>
        </w:rPr>
        <w:t> </w:t>
      </w:r>
      <w:r w:rsidRPr="000A0A5F">
        <w:rPr>
          <w:rFonts w:hint="eastAsia"/>
          <w:lang w:eastAsia="zh-CN"/>
        </w:rPr>
        <w:t>5.6.2.1.</w:t>
      </w:r>
      <w:r w:rsidRPr="000A0A5F">
        <w:rPr>
          <w:lang w:eastAsia="zh-CN"/>
        </w:rPr>
        <w:t>8</w:t>
      </w:r>
      <w:r w:rsidRPr="000A0A5F">
        <w:rPr>
          <w:rFonts w:hint="eastAsia"/>
          <w:lang w:eastAsia="zh-CN"/>
        </w:rPr>
        <w:t>-</w:t>
      </w:r>
      <w:r w:rsidRPr="000A0A5F">
        <w:rPr>
          <w:lang w:eastAsia="zh-CN"/>
        </w:rPr>
        <w:t>1 for a group of UEs</w:t>
      </w:r>
      <w:r w:rsidRPr="000A0A5F">
        <w:rPr>
          <w:rFonts w:hint="eastAsia"/>
          <w:lang w:eastAsia="zh-CN"/>
        </w:rPr>
        <w:t>.</w:t>
      </w:r>
    </w:p>
    <w:p w:rsidR="00CB0DD7" w:rsidRPr="000A0A5F" w:rsidRDefault="00CB0DD7">
      <w:pPr>
        <w:rPr>
          <w:noProof/>
        </w:rPr>
      </w:pPr>
      <w:r w:rsidRPr="000A0A5F">
        <w:rPr>
          <w:noProof/>
        </w:rPr>
        <w:t>This method shall support the request and response data structures specified in table </w:t>
      </w:r>
      <w:r w:rsidRPr="000A0A5F">
        <w:t>5.6.</w:t>
      </w:r>
      <w:r w:rsidR="0086706F" w:rsidRPr="000A0A5F">
        <w:t>3A</w:t>
      </w:r>
      <w:r w:rsidRPr="000A0A5F">
        <w:t>.3</w:t>
      </w:r>
      <w:r w:rsidRPr="000A0A5F">
        <w:rPr>
          <w:noProof/>
        </w:rPr>
        <w:t>.3.1-1 and table </w:t>
      </w:r>
      <w:r w:rsidRPr="000A0A5F">
        <w:t>5.6.</w:t>
      </w:r>
      <w:r w:rsidR="0086706F" w:rsidRPr="000A0A5F">
        <w:t>3A</w:t>
      </w:r>
      <w:r w:rsidRPr="000A0A5F">
        <w:t>.3</w:t>
      </w:r>
      <w:r w:rsidRPr="000A0A5F">
        <w:rPr>
          <w:noProof/>
        </w:rPr>
        <w:t>.3.1-2 for a single UE, and support the request and response data structures specified in table 5.6.</w:t>
      </w:r>
      <w:r w:rsidR="0086706F" w:rsidRPr="000A0A5F">
        <w:rPr>
          <w:noProof/>
        </w:rPr>
        <w:t>3A</w:t>
      </w:r>
      <w:r w:rsidRPr="000A0A5F">
        <w:rPr>
          <w:noProof/>
        </w:rPr>
        <w:t>.3.3.1-3 and table </w:t>
      </w:r>
      <w:r w:rsidRPr="000A0A5F">
        <w:t>5.6.</w:t>
      </w:r>
      <w:r w:rsidR="0086706F" w:rsidRPr="000A0A5F">
        <w:t>3A</w:t>
      </w:r>
      <w:r w:rsidRPr="000A0A5F">
        <w:t>.3</w:t>
      </w:r>
      <w:r w:rsidRPr="000A0A5F">
        <w:rPr>
          <w:noProof/>
        </w:rPr>
        <w:t>.3.1-4 for a group of UEs.</w:t>
      </w:r>
    </w:p>
    <w:p w:rsidR="00CB0DD7" w:rsidRPr="000A0A5F" w:rsidRDefault="00CB0DD7">
      <w:pPr>
        <w:pStyle w:val="TH"/>
        <w:rPr>
          <w:noProof/>
        </w:rPr>
      </w:pPr>
      <w:r w:rsidRPr="000A0A5F">
        <w:rPr>
          <w:noProof/>
        </w:rPr>
        <w:t>Table </w:t>
      </w:r>
      <w:r w:rsidRPr="000A0A5F">
        <w:t>5.6.</w:t>
      </w:r>
      <w:r w:rsidR="0086706F" w:rsidRPr="000A0A5F">
        <w:t>3A</w:t>
      </w:r>
      <w:r w:rsidRPr="000A0A5F">
        <w:t>.3</w:t>
      </w:r>
      <w:r w:rsidRPr="000A0A5F">
        <w:rPr>
          <w:noProof/>
        </w:rPr>
        <w:t>.3.1-1: Data structures supported by the POST Request Body</w:t>
      </w:r>
    </w:p>
    <w:tbl>
      <w:tblPr>
        <w:tblW w:w="9670" w:type="dxa"/>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3340"/>
        <w:gridCol w:w="1170"/>
        <w:gridCol w:w="5160"/>
      </w:tblGrid>
      <w:tr w:rsidR="00CB0DD7" w:rsidRPr="000A0A5F" w:rsidTr="00846044">
        <w:trPr>
          <w:jc w:val="center"/>
        </w:trPr>
        <w:tc>
          <w:tcPr>
            <w:tcW w:w="3340" w:type="dxa"/>
            <w:tcBorders>
              <w:bottom w:val="single" w:sz="6" w:space="0" w:color="auto"/>
            </w:tcBorders>
            <w:shd w:val="clear" w:color="auto" w:fill="C0C0C0"/>
            <w:hideMark/>
          </w:tcPr>
          <w:p w:rsidR="00CB0DD7" w:rsidRPr="000A0A5F" w:rsidRDefault="00CB0DD7">
            <w:pPr>
              <w:pStyle w:val="TAH"/>
              <w:rPr>
                <w:noProof/>
              </w:rPr>
            </w:pPr>
            <w:r w:rsidRPr="000A0A5F">
              <w:rPr>
                <w:noProof/>
              </w:rPr>
              <w:t>Data type</w:t>
            </w:r>
          </w:p>
        </w:tc>
        <w:tc>
          <w:tcPr>
            <w:tcW w:w="1170" w:type="dxa"/>
            <w:tcBorders>
              <w:bottom w:val="single" w:sz="6" w:space="0" w:color="auto"/>
            </w:tcBorders>
            <w:shd w:val="clear" w:color="auto" w:fill="C0C0C0"/>
            <w:hideMark/>
          </w:tcPr>
          <w:p w:rsidR="00CB0DD7" w:rsidRPr="000A0A5F" w:rsidRDefault="00CB0DD7">
            <w:pPr>
              <w:pStyle w:val="TAH"/>
              <w:rPr>
                <w:noProof/>
              </w:rPr>
            </w:pPr>
            <w:r w:rsidRPr="000A0A5F">
              <w:rPr>
                <w:noProof/>
              </w:rPr>
              <w:t>Cardinality</w:t>
            </w:r>
          </w:p>
        </w:tc>
        <w:tc>
          <w:tcPr>
            <w:tcW w:w="5160" w:type="dxa"/>
            <w:tcBorders>
              <w:bottom w:val="single" w:sz="6" w:space="0" w:color="auto"/>
            </w:tcBorders>
            <w:shd w:val="clear" w:color="auto" w:fill="C0C0C0"/>
            <w:vAlign w:val="center"/>
            <w:hideMark/>
          </w:tcPr>
          <w:p w:rsidR="00CB0DD7" w:rsidRPr="000A0A5F" w:rsidRDefault="00CB0DD7">
            <w:pPr>
              <w:pStyle w:val="TAH"/>
              <w:rPr>
                <w:noProof/>
              </w:rPr>
            </w:pPr>
            <w:r w:rsidRPr="000A0A5F">
              <w:rPr>
                <w:noProof/>
              </w:rPr>
              <w:t>Description</w:t>
            </w:r>
          </w:p>
        </w:tc>
      </w:tr>
      <w:tr w:rsidR="00CB0DD7" w:rsidRPr="000A0A5F" w:rsidTr="00846044">
        <w:trPr>
          <w:jc w:val="center"/>
        </w:trPr>
        <w:tc>
          <w:tcPr>
            <w:tcW w:w="3340" w:type="dxa"/>
            <w:tcBorders>
              <w:top w:val="single" w:sz="6" w:space="0" w:color="auto"/>
            </w:tcBorders>
          </w:tcPr>
          <w:p w:rsidR="00CB0DD7" w:rsidRPr="000A0A5F" w:rsidRDefault="00CB0DD7">
            <w:pPr>
              <w:pStyle w:val="TAL"/>
              <w:rPr>
                <w:noProof/>
              </w:rPr>
            </w:pPr>
            <w:r w:rsidRPr="000A0A5F">
              <w:t>NiddDownlinkDataDeliveryStatusNotification</w:t>
            </w:r>
          </w:p>
        </w:tc>
        <w:tc>
          <w:tcPr>
            <w:tcW w:w="1170" w:type="dxa"/>
            <w:tcBorders>
              <w:top w:val="single" w:sz="6" w:space="0" w:color="auto"/>
            </w:tcBorders>
          </w:tcPr>
          <w:p w:rsidR="00CB0DD7" w:rsidRPr="000A0A5F" w:rsidRDefault="00CB0DD7">
            <w:pPr>
              <w:pStyle w:val="TAC"/>
              <w:rPr>
                <w:noProof/>
                <w:lang w:eastAsia="zh-CN"/>
              </w:rPr>
            </w:pPr>
            <w:r w:rsidRPr="000A0A5F">
              <w:t>1</w:t>
            </w:r>
          </w:p>
        </w:tc>
        <w:tc>
          <w:tcPr>
            <w:tcW w:w="5160" w:type="dxa"/>
            <w:tcBorders>
              <w:top w:val="single" w:sz="6" w:space="0" w:color="auto"/>
            </w:tcBorders>
          </w:tcPr>
          <w:p w:rsidR="00CB0DD7" w:rsidRPr="000A0A5F" w:rsidRDefault="00CB0DD7">
            <w:pPr>
              <w:pStyle w:val="TAL"/>
              <w:rPr>
                <w:noProof/>
              </w:rPr>
            </w:pPr>
            <w:r w:rsidRPr="000A0A5F">
              <w:rPr>
                <w:rFonts w:hint="eastAsia"/>
                <w:lang w:eastAsia="zh-CN"/>
              </w:rPr>
              <w:t>The Down link data delivery status notification</w:t>
            </w:r>
            <w:r w:rsidRPr="000A0A5F">
              <w:rPr>
                <w:lang w:eastAsia="zh-CN"/>
              </w:rPr>
              <w:t xml:space="preserve"> for a single UE</w:t>
            </w:r>
            <w:r w:rsidRPr="000A0A5F">
              <w:rPr>
                <w:rFonts w:hint="eastAsia"/>
                <w:lang w:eastAsia="zh-CN"/>
              </w:rPr>
              <w:t>.</w:t>
            </w:r>
          </w:p>
        </w:tc>
      </w:tr>
    </w:tbl>
    <w:p w:rsidR="00CB0DD7" w:rsidRPr="000A0A5F" w:rsidRDefault="00CB0DD7">
      <w:pPr>
        <w:rPr>
          <w:noProof/>
        </w:rPr>
      </w:pPr>
    </w:p>
    <w:p w:rsidR="00CB0DD7" w:rsidRPr="000A0A5F" w:rsidRDefault="00CB0DD7">
      <w:pPr>
        <w:pStyle w:val="TH"/>
        <w:rPr>
          <w:noProof/>
        </w:rPr>
      </w:pPr>
      <w:r w:rsidRPr="000A0A5F">
        <w:rPr>
          <w:noProof/>
        </w:rPr>
        <w:t>Table </w:t>
      </w:r>
      <w:r w:rsidRPr="000A0A5F">
        <w:t>5.6.</w:t>
      </w:r>
      <w:r w:rsidR="0086706F" w:rsidRPr="000A0A5F">
        <w:t>3A</w:t>
      </w:r>
      <w:r w:rsidRPr="000A0A5F">
        <w:t>.3</w:t>
      </w:r>
      <w:r w:rsidRPr="000A0A5F">
        <w:rPr>
          <w:noProof/>
        </w:rPr>
        <w:t>.3.1-2: Data structures supported by the POST Response Body</w:t>
      </w:r>
    </w:p>
    <w:tbl>
      <w:tblPr>
        <w:tblW w:w="961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293"/>
        <w:gridCol w:w="1259"/>
        <w:gridCol w:w="1441"/>
        <w:gridCol w:w="4619"/>
      </w:tblGrid>
      <w:tr w:rsidR="00CB0DD7" w:rsidRPr="000A0A5F" w:rsidTr="00FF0AF8">
        <w:trPr>
          <w:jc w:val="center"/>
        </w:trPr>
        <w:tc>
          <w:tcPr>
            <w:tcW w:w="2293" w:type="dxa"/>
            <w:shd w:val="clear" w:color="auto" w:fill="C0C0C0"/>
            <w:hideMark/>
          </w:tcPr>
          <w:p w:rsidR="00CB0DD7" w:rsidRPr="000A0A5F" w:rsidRDefault="00CB0DD7">
            <w:pPr>
              <w:pStyle w:val="TAH"/>
              <w:rPr>
                <w:noProof/>
              </w:rPr>
            </w:pPr>
            <w:r w:rsidRPr="000A0A5F">
              <w:rPr>
                <w:noProof/>
              </w:rPr>
              <w:t>Data type</w:t>
            </w:r>
          </w:p>
        </w:tc>
        <w:tc>
          <w:tcPr>
            <w:tcW w:w="1259" w:type="dxa"/>
            <w:shd w:val="clear" w:color="auto" w:fill="C0C0C0"/>
            <w:hideMark/>
          </w:tcPr>
          <w:p w:rsidR="00CB0DD7" w:rsidRPr="000A0A5F" w:rsidRDefault="00CB0DD7">
            <w:pPr>
              <w:pStyle w:val="TAH"/>
              <w:rPr>
                <w:noProof/>
              </w:rPr>
            </w:pPr>
            <w:r w:rsidRPr="000A0A5F">
              <w:rPr>
                <w:noProof/>
              </w:rPr>
              <w:t>Cardinality</w:t>
            </w:r>
          </w:p>
        </w:tc>
        <w:tc>
          <w:tcPr>
            <w:tcW w:w="1441" w:type="dxa"/>
            <w:shd w:val="clear" w:color="auto" w:fill="C0C0C0"/>
            <w:hideMark/>
          </w:tcPr>
          <w:p w:rsidR="00CB0DD7" w:rsidRPr="000A0A5F" w:rsidRDefault="00CB0DD7">
            <w:pPr>
              <w:pStyle w:val="TAH"/>
              <w:rPr>
                <w:noProof/>
              </w:rPr>
            </w:pPr>
            <w:r w:rsidRPr="000A0A5F">
              <w:rPr>
                <w:noProof/>
              </w:rPr>
              <w:t>Response codes</w:t>
            </w:r>
          </w:p>
        </w:tc>
        <w:tc>
          <w:tcPr>
            <w:tcW w:w="4619" w:type="dxa"/>
            <w:shd w:val="clear" w:color="auto" w:fill="C0C0C0"/>
            <w:hideMark/>
          </w:tcPr>
          <w:p w:rsidR="00CB0DD7" w:rsidRPr="000A0A5F" w:rsidRDefault="00CB0DD7">
            <w:pPr>
              <w:pStyle w:val="TAH"/>
              <w:rPr>
                <w:noProof/>
              </w:rPr>
            </w:pPr>
            <w:r w:rsidRPr="000A0A5F">
              <w:rPr>
                <w:noProof/>
              </w:rPr>
              <w:t>Description</w:t>
            </w:r>
          </w:p>
        </w:tc>
      </w:tr>
      <w:tr w:rsidR="00CB0DD7" w:rsidRPr="000A0A5F" w:rsidTr="00FF0AF8">
        <w:trPr>
          <w:jc w:val="center"/>
        </w:trPr>
        <w:tc>
          <w:tcPr>
            <w:tcW w:w="2293" w:type="dxa"/>
          </w:tcPr>
          <w:p w:rsidR="00CB0DD7" w:rsidRPr="000A0A5F" w:rsidRDefault="00CB0DD7">
            <w:pPr>
              <w:pStyle w:val="TAL"/>
              <w:rPr>
                <w:noProof/>
              </w:rPr>
            </w:pPr>
            <w:r w:rsidRPr="000A0A5F">
              <w:t>Acknowledgement</w:t>
            </w:r>
          </w:p>
        </w:tc>
        <w:tc>
          <w:tcPr>
            <w:tcW w:w="1259" w:type="dxa"/>
          </w:tcPr>
          <w:p w:rsidR="00CB0DD7" w:rsidRPr="000A0A5F" w:rsidRDefault="00CB0DD7">
            <w:pPr>
              <w:pStyle w:val="TAC"/>
              <w:rPr>
                <w:noProof/>
              </w:rPr>
            </w:pPr>
            <w:r w:rsidRPr="000A0A5F">
              <w:rPr>
                <w:rFonts w:hint="eastAsia"/>
                <w:lang w:eastAsia="zh-CN"/>
              </w:rPr>
              <w:t>1</w:t>
            </w:r>
          </w:p>
        </w:tc>
        <w:tc>
          <w:tcPr>
            <w:tcW w:w="1441" w:type="dxa"/>
          </w:tcPr>
          <w:p w:rsidR="00CB0DD7" w:rsidRPr="000A0A5F" w:rsidRDefault="00CB0DD7">
            <w:pPr>
              <w:pStyle w:val="TAL"/>
              <w:rPr>
                <w:noProof/>
              </w:rPr>
            </w:pPr>
            <w:r w:rsidRPr="000A0A5F">
              <w:t>20</w:t>
            </w:r>
            <w:r w:rsidRPr="000A0A5F">
              <w:rPr>
                <w:rFonts w:hint="eastAsia"/>
                <w:lang w:eastAsia="zh-CN"/>
              </w:rPr>
              <w:t>0</w:t>
            </w:r>
            <w:r w:rsidRPr="000A0A5F">
              <w:t xml:space="preserve"> </w:t>
            </w:r>
            <w:r w:rsidRPr="000A0A5F">
              <w:rPr>
                <w:rFonts w:hint="eastAsia"/>
                <w:lang w:eastAsia="zh-CN"/>
              </w:rPr>
              <w:t>OK</w:t>
            </w:r>
          </w:p>
        </w:tc>
        <w:tc>
          <w:tcPr>
            <w:tcW w:w="4619" w:type="dxa"/>
          </w:tcPr>
          <w:p w:rsidR="00CB0DD7" w:rsidRPr="000A0A5F" w:rsidRDefault="00CB0DD7">
            <w:pPr>
              <w:pStyle w:val="TAL"/>
              <w:rPr>
                <w:noProof/>
              </w:rPr>
            </w:pPr>
            <w:r w:rsidRPr="000A0A5F">
              <w:t xml:space="preserve">The </w:t>
            </w:r>
            <w:r w:rsidRPr="000A0A5F">
              <w:rPr>
                <w:rFonts w:hint="eastAsia"/>
                <w:lang w:eastAsia="zh-CN"/>
              </w:rPr>
              <w:t>successful acknowledgement of the notification.</w:t>
            </w:r>
          </w:p>
        </w:tc>
      </w:tr>
      <w:tr w:rsidR="00CB0DD7" w:rsidRPr="000A0A5F" w:rsidTr="00FF0AF8">
        <w:trPr>
          <w:jc w:val="center"/>
        </w:trPr>
        <w:tc>
          <w:tcPr>
            <w:tcW w:w="2293" w:type="dxa"/>
          </w:tcPr>
          <w:p w:rsidR="00CB0DD7" w:rsidRPr="000A0A5F" w:rsidRDefault="00CB0DD7">
            <w:pPr>
              <w:pStyle w:val="TAL"/>
            </w:pPr>
            <w:r w:rsidRPr="000A0A5F">
              <w:t>(None)</w:t>
            </w:r>
          </w:p>
        </w:tc>
        <w:tc>
          <w:tcPr>
            <w:tcW w:w="1259" w:type="dxa"/>
          </w:tcPr>
          <w:p w:rsidR="00CB0DD7" w:rsidRPr="000A0A5F" w:rsidRDefault="00CB0DD7">
            <w:pPr>
              <w:pStyle w:val="TAC"/>
              <w:rPr>
                <w:noProof/>
              </w:rPr>
            </w:pPr>
          </w:p>
        </w:tc>
        <w:tc>
          <w:tcPr>
            <w:tcW w:w="1441" w:type="dxa"/>
          </w:tcPr>
          <w:p w:rsidR="00CB0DD7" w:rsidRPr="000A0A5F" w:rsidRDefault="00CB0DD7">
            <w:pPr>
              <w:pStyle w:val="TAL"/>
            </w:pPr>
            <w:r w:rsidRPr="000A0A5F">
              <w:t>20</w:t>
            </w:r>
            <w:r w:rsidRPr="000A0A5F">
              <w:rPr>
                <w:lang w:eastAsia="zh-CN"/>
              </w:rPr>
              <w:t>4 No Content</w:t>
            </w:r>
          </w:p>
        </w:tc>
        <w:tc>
          <w:tcPr>
            <w:tcW w:w="4619" w:type="dxa"/>
          </w:tcPr>
          <w:p w:rsidR="00CB0DD7" w:rsidRPr="000A0A5F" w:rsidRDefault="00CB0DD7">
            <w:pPr>
              <w:pStyle w:val="TAL"/>
            </w:pPr>
            <w:r w:rsidRPr="000A0A5F">
              <w:t xml:space="preserve">The </w:t>
            </w:r>
            <w:r w:rsidRPr="000A0A5F">
              <w:rPr>
                <w:rFonts w:hint="eastAsia"/>
                <w:lang w:eastAsia="zh-CN"/>
              </w:rPr>
              <w:t>successful acknowledgement of the notification without a body.</w:t>
            </w:r>
          </w:p>
        </w:tc>
      </w:tr>
      <w:tr w:rsidR="00CB0DD7" w:rsidRPr="000A0A5F" w:rsidTr="00FF0AF8">
        <w:trPr>
          <w:jc w:val="center"/>
        </w:trPr>
        <w:tc>
          <w:tcPr>
            <w:tcW w:w="2293" w:type="dxa"/>
          </w:tcPr>
          <w:p w:rsidR="00CB0DD7" w:rsidRPr="000A0A5F" w:rsidRDefault="00CB0DD7">
            <w:pPr>
              <w:pStyle w:val="TAL"/>
            </w:pPr>
            <w:r w:rsidRPr="000A0A5F">
              <w:rPr>
                <w:lang w:eastAsia="zh-CN"/>
              </w:rPr>
              <w:t>N</w:t>
            </w:r>
            <w:r w:rsidRPr="000A0A5F">
              <w:rPr>
                <w:rFonts w:hint="eastAsia"/>
                <w:lang w:eastAsia="zh-CN"/>
              </w:rPr>
              <w:t>one</w:t>
            </w:r>
          </w:p>
        </w:tc>
        <w:tc>
          <w:tcPr>
            <w:tcW w:w="1259" w:type="dxa"/>
          </w:tcPr>
          <w:p w:rsidR="00CB0DD7" w:rsidRPr="000A0A5F" w:rsidRDefault="00CB0DD7">
            <w:pPr>
              <w:pStyle w:val="TAC"/>
              <w:rPr>
                <w:noProof/>
              </w:rPr>
            </w:pPr>
          </w:p>
        </w:tc>
        <w:tc>
          <w:tcPr>
            <w:tcW w:w="1441" w:type="dxa"/>
          </w:tcPr>
          <w:p w:rsidR="00CB0DD7" w:rsidRPr="000A0A5F" w:rsidRDefault="00CB0DD7">
            <w:pPr>
              <w:pStyle w:val="TAL"/>
            </w:pPr>
            <w:r w:rsidRPr="000A0A5F">
              <w:t>307 Temporary Redirect</w:t>
            </w:r>
          </w:p>
        </w:tc>
        <w:tc>
          <w:tcPr>
            <w:tcW w:w="4619" w:type="dxa"/>
          </w:tcPr>
          <w:p w:rsidR="00CB0DD7" w:rsidRPr="000A0A5F" w:rsidRDefault="00CB0DD7">
            <w:pPr>
              <w:pStyle w:val="TAL"/>
            </w:pPr>
            <w:r w:rsidRPr="000A0A5F">
              <w:t>Temporary redirection, during event notification. The response shall include a Location header field containing an alternative URI representing the end point of an alternative SCS/AS where the notification should be sent.</w:t>
            </w:r>
          </w:p>
          <w:p w:rsidR="00CB0DD7" w:rsidRPr="000A0A5F" w:rsidRDefault="00CB0DD7">
            <w:pPr>
              <w:pStyle w:val="TAL"/>
            </w:pPr>
            <w:r w:rsidRPr="000A0A5F">
              <w:t>Redirection handling is described in clause 5.2.10.</w:t>
            </w:r>
          </w:p>
        </w:tc>
      </w:tr>
      <w:tr w:rsidR="00CB0DD7" w:rsidRPr="000A0A5F" w:rsidTr="00FF0AF8">
        <w:trPr>
          <w:jc w:val="center"/>
        </w:trPr>
        <w:tc>
          <w:tcPr>
            <w:tcW w:w="2293" w:type="dxa"/>
          </w:tcPr>
          <w:p w:rsidR="00CB0DD7" w:rsidRPr="000A0A5F" w:rsidRDefault="00CB0DD7">
            <w:pPr>
              <w:pStyle w:val="TAL"/>
            </w:pPr>
            <w:r w:rsidRPr="000A0A5F">
              <w:rPr>
                <w:lang w:eastAsia="zh-CN"/>
              </w:rPr>
              <w:t>N</w:t>
            </w:r>
            <w:r w:rsidRPr="000A0A5F">
              <w:rPr>
                <w:rFonts w:hint="eastAsia"/>
                <w:lang w:eastAsia="zh-CN"/>
              </w:rPr>
              <w:t>one</w:t>
            </w:r>
          </w:p>
        </w:tc>
        <w:tc>
          <w:tcPr>
            <w:tcW w:w="1259" w:type="dxa"/>
          </w:tcPr>
          <w:p w:rsidR="00CB0DD7" w:rsidRPr="000A0A5F" w:rsidRDefault="00CB0DD7">
            <w:pPr>
              <w:pStyle w:val="TAC"/>
              <w:rPr>
                <w:noProof/>
              </w:rPr>
            </w:pPr>
          </w:p>
        </w:tc>
        <w:tc>
          <w:tcPr>
            <w:tcW w:w="1441" w:type="dxa"/>
          </w:tcPr>
          <w:p w:rsidR="00CB0DD7" w:rsidRPr="000A0A5F" w:rsidRDefault="00CB0DD7">
            <w:pPr>
              <w:pStyle w:val="TAL"/>
            </w:pPr>
            <w:r w:rsidRPr="000A0A5F">
              <w:t>308 Permanent Redirect</w:t>
            </w:r>
          </w:p>
        </w:tc>
        <w:tc>
          <w:tcPr>
            <w:tcW w:w="4619" w:type="dxa"/>
          </w:tcPr>
          <w:p w:rsidR="00CB0DD7" w:rsidRPr="000A0A5F" w:rsidRDefault="00CB0DD7">
            <w:pPr>
              <w:pStyle w:val="TAL"/>
            </w:pPr>
            <w:r w:rsidRPr="000A0A5F">
              <w:t>Permanent redirection, during event notification. The response shall include a Location header field containing an alternative URI representing the end point of an alternative SCS/AS where the notification should be sent.</w:t>
            </w:r>
          </w:p>
          <w:p w:rsidR="00CB0DD7" w:rsidRPr="000A0A5F" w:rsidRDefault="00CB0DD7">
            <w:pPr>
              <w:pStyle w:val="TAL"/>
            </w:pPr>
            <w:r w:rsidRPr="000A0A5F">
              <w:t>Redirection handling is described in clause 5.2.10.</w:t>
            </w:r>
          </w:p>
        </w:tc>
      </w:tr>
      <w:tr w:rsidR="00CB0DD7" w:rsidRPr="000A0A5F" w:rsidTr="00FF0AF8">
        <w:trPr>
          <w:jc w:val="center"/>
        </w:trPr>
        <w:tc>
          <w:tcPr>
            <w:tcW w:w="9612" w:type="dxa"/>
            <w:gridSpan w:val="4"/>
          </w:tcPr>
          <w:p w:rsidR="00CB0DD7" w:rsidRPr="000A0A5F" w:rsidRDefault="00CB0DD7">
            <w:pPr>
              <w:pStyle w:val="TAN"/>
            </w:pPr>
            <w:r w:rsidRPr="000A0A5F">
              <w:t>NOTE:</w:t>
            </w:r>
            <w:r w:rsidRPr="000A0A5F">
              <w:tab/>
              <w:t>The mandatory HTTP error status codes for the POST method listed in table 5.2.6-1 also apply.</w:t>
            </w:r>
          </w:p>
        </w:tc>
      </w:tr>
    </w:tbl>
    <w:p w:rsidR="00CB0DD7" w:rsidRPr="000A0A5F" w:rsidRDefault="00CB0DD7">
      <w:pPr>
        <w:rPr>
          <w:noProof/>
        </w:rPr>
      </w:pPr>
    </w:p>
    <w:p w:rsidR="00CB0DD7" w:rsidRPr="000A0A5F" w:rsidRDefault="00CB0DD7">
      <w:pPr>
        <w:pStyle w:val="TH"/>
        <w:rPr>
          <w:noProof/>
        </w:rPr>
      </w:pPr>
      <w:r w:rsidRPr="000A0A5F">
        <w:rPr>
          <w:noProof/>
        </w:rPr>
        <w:t>Table </w:t>
      </w:r>
      <w:r w:rsidRPr="000A0A5F">
        <w:t>5.6.</w:t>
      </w:r>
      <w:r w:rsidR="0086706F" w:rsidRPr="000A0A5F">
        <w:t>3A</w:t>
      </w:r>
      <w:r w:rsidRPr="000A0A5F">
        <w:t>.3</w:t>
      </w:r>
      <w:r w:rsidRPr="000A0A5F">
        <w:rPr>
          <w:noProof/>
        </w:rPr>
        <w:t>.3.1-3: Data structures supported by the POST Request Body</w:t>
      </w:r>
    </w:p>
    <w:tbl>
      <w:tblPr>
        <w:tblW w:w="9670" w:type="dxa"/>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3340"/>
        <w:gridCol w:w="1170"/>
        <w:gridCol w:w="5160"/>
      </w:tblGrid>
      <w:tr w:rsidR="00CB0DD7" w:rsidRPr="000A0A5F" w:rsidTr="00846044">
        <w:trPr>
          <w:jc w:val="center"/>
        </w:trPr>
        <w:tc>
          <w:tcPr>
            <w:tcW w:w="3340" w:type="dxa"/>
            <w:tcBorders>
              <w:bottom w:val="single" w:sz="6" w:space="0" w:color="auto"/>
            </w:tcBorders>
            <w:shd w:val="clear" w:color="auto" w:fill="C0C0C0"/>
            <w:hideMark/>
          </w:tcPr>
          <w:p w:rsidR="00CB0DD7" w:rsidRPr="000A0A5F" w:rsidRDefault="00CB0DD7">
            <w:pPr>
              <w:pStyle w:val="TAH"/>
              <w:rPr>
                <w:noProof/>
              </w:rPr>
            </w:pPr>
            <w:r w:rsidRPr="000A0A5F">
              <w:rPr>
                <w:noProof/>
              </w:rPr>
              <w:t>Data type</w:t>
            </w:r>
          </w:p>
        </w:tc>
        <w:tc>
          <w:tcPr>
            <w:tcW w:w="1170" w:type="dxa"/>
            <w:tcBorders>
              <w:bottom w:val="single" w:sz="6" w:space="0" w:color="auto"/>
            </w:tcBorders>
            <w:shd w:val="clear" w:color="auto" w:fill="C0C0C0"/>
            <w:hideMark/>
          </w:tcPr>
          <w:p w:rsidR="00CB0DD7" w:rsidRPr="000A0A5F" w:rsidRDefault="00CB0DD7">
            <w:pPr>
              <w:pStyle w:val="TAH"/>
              <w:rPr>
                <w:noProof/>
              </w:rPr>
            </w:pPr>
            <w:r w:rsidRPr="000A0A5F">
              <w:rPr>
                <w:noProof/>
              </w:rPr>
              <w:t>Cardinality</w:t>
            </w:r>
          </w:p>
        </w:tc>
        <w:tc>
          <w:tcPr>
            <w:tcW w:w="5160" w:type="dxa"/>
            <w:tcBorders>
              <w:bottom w:val="single" w:sz="6" w:space="0" w:color="auto"/>
            </w:tcBorders>
            <w:shd w:val="clear" w:color="auto" w:fill="C0C0C0"/>
            <w:vAlign w:val="center"/>
            <w:hideMark/>
          </w:tcPr>
          <w:p w:rsidR="00CB0DD7" w:rsidRPr="000A0A5F" w:rsidRDefault="00CB0DD7">
            <w:pPr>
              <w:pStyle w:val="TAH"/>
              <w:rPr>
                <w:noProof/>
              </w:rPr>
            </w:pPr>
            <w:r w:rsidRPr="000A0A5F">
              <w:rPr>
                <w:noProof/>
              </w:rPr>
              <w:t>Description</w:t>
            </w:r>
          </w:p>
        </w:tc>
      </w:tr>
      <w:tr w:rsidR="00CB0DD7" w:rsidRPr="000A0A5F" w:rsidTr="00846044">
        <w:trPr>
          <w:jc w:val="center"/>
        </w:trPr>
        <w:tc>
          <w:tcPr>
            <w:tcW w:w="3340" w:type="dxa"/>
            <w:tcBorders>
              <w:top w:val="single" w:sz="6" w:space="0" w:color="auto"/>
            </w:tcBorders>
          </w:tcPr>
          <w:p w:rsidR="00CB0DD7" w:rsidRPr="000A0A5F" w:rsidRDefault="00CB0DD7">
            <w:pPr>
              <w:pStyle w:val="TAL"/>
              <w:rPr>
                <w:noProof/>
              </w:rPr>
            </w:pPr>
            <w:r w:rsidRPr="000A0A5F">
              <w:t>GmdNiddDownlinkDataDeliveryStatusNotification</w:t>
            </w:r>
          </w:p>
        </w:tc>
        <w:tc>
          <w:tcPr>
            <w:tcW w:w="1170" w:type="dxa"/>
            <w:tcBorders>
              <w:top w:val="single" w:sz="6" w:space="0" w:color="auto"/>
            </w:tcBorders>
          </w:tcPr>
          <w:p w:rsidR="00CB0DD7" w:rsidRPr="000A0A5F" w:rsidRDefault="00CB0DD7">
            <w:pPr>
              <w:pStyle w:val="TAC"/>
              <w:rPr>
                <w:noProof/>
                <w:lang w:eastAsia="zh-CN"/>
              </w:rPr>
            </w:pPr>
            <w:r w:rsidRPr="000A0A5F">
              <w:t>1</w:t>
            </w:r>
          </w:p>
        </w:tc>
        <w:tc>
          <w:tcPr>
            <w:tcW w:w="5160" w:type="dxa"/>
            <w:tcBorders>
              <w:top w:val="single" w:sz="6" w:space="0" w:color="auto"/>
            </w:tcBorders>
          </w:tcPr>
          <w:p w:rsidR="00CB0DD7" w:rsidRPr="000A0A5F" w:rsidRDefault="00CB0DD7">
            <w:pPr>
              <w:pStyle w:val="TAL"/>
              <w:rPr>
                <w:noProof/>
              </w:rPr>
            </w:pPr>
            <w:r w:rsidRPr="000A0A5F">
              <w:rPr>
                <w:rFonts w:hint="eastAsia"/>
                <w:lang w:eastAsia="zh-CN"/>
              </w:rPr>
              <w:t>The Down link data delivery status notification</w:t>
            </w:r>
            <w:r w:rsidRPr="000A0A5F">
              <w:rPr>
                <w:lang w:eastAsia="zh-CN"/>
              </w:rPr>
              <w:t xml:space="preserve"> for a group of UEs</w:t>
            </w:r>
            <w:r w:rsidRPr="000A0A5F">
              <w:rPr>
                <w:rFonts w:hint="eastAsia"/>
                <w:lang w:eastAsia="zh-CN"/>
              </w:rPr>
              <w:t>.</w:t>
            </w:r>
          </w:p>
        </w:tc>
      </w:tr>
    </w:tbl>
    <w:p w:rsidR="00CB0DD7" w:rsidRPr="000A0A5F" w:rsidRDefault="00CB0DD7">
      <w:pPr>
        <w:rPr>
          <w:noProof/>
        </w:rPr>
      </w:pPr>
    </w:p>
    <w:p w:rsidR="00CB0DD7" w:rsidRPr="000A0A5F" w:rsidRDefault="00CB0DD7">
      <w:pPr>
        <w:pStyle w:val="TH"/>
        <w:rPr>
          <w:noProof/>
        </w:rPr>
      </w:pPr>
      <w:r w:rsidRPr="000A0A5F">
        <w:rPr>
          <w:noProof/>
        </w:rPr>
        <w:t>Table </w:t>
      </w:r>
      <w:r w:rsidRPr="000A0A5F">
        <w:t>5.6.</w:t>
      </w:r>
      <w:r w:rsidR="0086706F" w:rsidRPr="000A0A5F">
        <w:t>3A</w:t>
      </w:r>
      <w:r w:rsidRPr="000A0A5F">
        <w:t>.3</w:t>
      </w:r>
      <w:r w:rsidRPr="000A0A5F">
        <w:rPr>
          <w:noProof/>
        </w:rPr>
        <w:t>.3.1-4: Data structures supported by the POST Response Body</w:t>
      </w:r>
    </w:p>
    <w:tbl>
      <w:tblPr>
        <w:tblW w:w="961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293"/>
        <w:gridCol w:w="1259"/>
        <w:gridCol w:w="1441"/>
        <w:gridCol w:w="4619"/>
      </w:tblGrid>
      <w:tr w:rsidR="00CB0DD7" w:rsidRPr="000A0A5F" w:rsidTr="00FF0AF8">
        <w:trPr>
          <w:jc w:val="center"/>
        </w:trPr>
        <w:tc>
          <w:tcPr>
            <w:tcW w:w="2293" w:type="dxa"/>
            <w:shd w:val="clear" w:color="auto" w:fill="C0C0C0"/>
            <w:hideMark/>
          </w:tcPr>
          <w:p w:rsidR="00CB0DD7" w:rsidRPr="000A0A5F" w:rsidRDefault="00CB0DD7">
            <w:pPr>
              <w:pStyle w:val="TAH"/>
              <w:rPr>
                <w:noProof/>
              </w:rPr>
            </w:pPr>
            <w:r w:rsidRPr="000A0A5F">
              <w:rPr>
                <w:noProof/>
              </w:rPr>
              <w:t>Data type</w:t>
            </w:r>
          </w:p>
        </w:tc>
        <w:tc>
          <w:tcPr>
            <w:tcW w:w="1259" w:type="dxa"/>
            <w:shd w:val="clear" w:color="auto" w:fill="C0C0C0"/>
            <w:hideMark/>
          </w:tcPr>
          <w:p w:rsidR="00CB0DD7" w:rsidRPr="000A0A5F" w:rsidRDefault="00CB0DD7">
            <w:pPr>
              <w:pStyle w:val="TAH"/>
              <w:rPr>
                <w:noProof/>
              </w:rPr>
            </w:pPr>
            <w:r w:rsidRPr="000A0A5F">
              <w:rPr>
                <w:noProof/>
              </w:rPr>
              <w:t>Cardinality</w:t>
            </w:r>
          </w:p>
        </w:tc>
        <w:tc>
          <w:tcPr>
            <w:tcW w:w="1441" w:type="dxa"/>
            <w:shd w:val="clear" w:color="auto" w:fill="C0C0C0"/>
            <w:hideMark/>
          </w:tcPr>
          <w:p w:rsidR="00CB0DD7" w:rsidRPr="000A0A5F" w:rsidRDefault="00CB0DD7">
            <w:pPr>
              <w:pStyle w:val="TAH"/>
              <w:rPr>
                <w:noProof/>
              </w:rPr>
            </w:pPr>
            <w:r w:rsidRPr="000A0A5F">
              <w:rPr>
                <w:noProof/>
              </w:rPr>
              <w:t>Response codes</w:t>
            </w:r>
          </w:p>
        </w:tc>
        <w:tc>
          <w:tcPr>
            <w:tcW w:w="4619" w:type="dxa"/>
            <w:shd w:val="clear" w:color="auto" w:fill="C0C0C0"/>
            <w:hideMark/>
          </w:tcPr>
          <w:p w:rsidR="00CB0DD7" w:rsidRPr="000A0A5F" w:rsidRDefault="00CB0DD7">
            <w:pPr>
              <w:pStyle w:val="TAH"/>
              <w:rPr>
                <w:noProof/>
              </w:rPr>
            </w:pPr>
            <w:r w:rsidRPr="000A0A5F">
              <w:rPr>
                <w:noProof/>
              </w:rPr>
              <w:t>Description</w:t>
            </w:r>
          </w:p>
        </w:tc>
      </w:tr>
      <w:tr w:rsidR="00CB0DD7" w:rsidRPr="000A0A5F" w:rsidTr="00FF0AF8">
        <w:trPr>
          <w:jc w:val="center"/>
        </w:trPr>
        <w:tc>
          <w:tcPr>
            <w:tcW w:w="2293" w:type="dxa"/>
          </w:tcPr>
          <w:p w:rsidR="00CB0DD7" w:rsidRPr="000A0A5F" w:rsidRDefault="00CB0DD7">
            <w:pPr>
              <w:pStyle w:val="TAL"/>
              <w:rPr>
                <w:noProof/>
              </w:rPr>
            </w:pPr>
            <w:r w:rsidRPr="000A0A5F">
              <w:t>Acknowledgement</w:t>
            </w:r>
          </w:p>
        </w:tc>
        <w:tc>
          <w:tcPr>
            <w:tcW w:w="1259" w:type="dxa"/>
          </w:tcPr>
          <w:p w:rsidR="00CB0DD7" w:rsidRPr="000A0A5F" w:rsidRDefault="00CB0DD7">
            <w:pPr>
              <w:pStyle w:val="TAC"/>
              <w:rPr>
                <w:noProof/>
              </w:rPr>
            </w:pPr>
            <w:r w:rsidRPr="000A0A5F">
              <w:rPr>
                <w:rFonts w:hint="eastAsia"/>
                <w:lang w:eastAsia="zh-CN"/>
              </w:rPr>
              <w:t>1</w:t>
            </w:r>
          </w:p>
        </w:tc>
        <w:tc>
          <w:tcPr>
            <w:tcW w:w="1441" w:type="dxa"/>
          </w:tcPr>
          <w:p w:rsidR="00CB0DD7" w:rsidRPr="000A0A5F" w:rsidRDefault="00CB0DD7">
            <w:pPr>
              <w:pStyle w:val="TAL"/>
              <w:rPr>
                <w:noProof/>
              </w:rPr>
            </w:pPr>
            <w:r w:rsidRPr="000A0A5F">
              <w:t>20</w:t>
            </w:r>
            <w:r w:rsidRPr="000A0A5F">
              <w:rPr>
                <w:rFonts w:hint="eastAsia"/>
                <w:lang w:eastAsia="zh-CN"/>
              </w:rPr>
              <w:t>0</w:t>
            </w:r>
            <w:r w:rsidRPr="000A0A5F">
              <w:t xml:space="preserve"> </w:t>
            </w:r>
            <w:r w:rsidRPr="000A0A5F">
              <w:rPr>
                <w:rFonts w:hint="eastAsia"/>
                <w:lang w:eastAsia="zh-CN"/>
              </w:rPr>
              <w:t>OK</w:t>
            </w:r>
          </w:p>
        </w:tc>
        <w:tc>
          <w:tcPr>
            <w:tcW w:w="4619" w:type="dxa"/>
          </w:tcPr>
          <w:p w:rsidR="00CB0DD7" w:rsidRPr="000A0A5F" w:rsidRDefault="00CB0DD7">
            <w:pPr>
              <w:pStyle w:val="TAL"/>
              <w:rPr>
                <w:noProof/>
              </w:rPr>
            </w:pPr>
            <w:r w:rsidRPr="000A0A5F">
              <w:t xml:space="preserve">The </w:t>
            </w:r>
            <w:r w:rsidRPr="000A0A5F">
              <w:rPr>
                <w:rFonts w:hint="eastAsia"/>
                <w:lang w:eastAsia="zh-CN"/>
              </w:rPr>
              <w:t>successful acknowledgement of the notification.</w:t>
            </w:r>
          </w:p>
        </w:tc>
      </w:tr>
      <w:tr w:rsidR="00CB0DD7" w:rsidRPr="000A0A5F" w:rsidTr="00FF0AF8">
        <w:trPr>
          <w:jc w:val="center"/>
        </w:trPr>
        <w:tc>
          <w:tcPr>
            <w:tcW w:w="2293" w:type="dxa"/>
          </w:tcPr>
          <w:p w:rsidR="00CB0DD7" w:rsidRPr="000A0A5F" w:rsidRDefault="00CB0DD7">
            <w:pPr>
              <w:pStyle w:val="TAL"/>
            </w:pPr>
            <w:r w:rsidRPr="000A0A5F">
              <w:t>(None)</w:t>
            </w:r>
          </w:p>
        </w:tc>
        <w:tc>
          <w:tcPr>
            <w:tcW w:w="1259" w:type="dxa"/>
          </w:tcPr>
          <w:p w:rsidR="00CB0DD7" w:rsidRPr="000A0A5F" w:rsidRDefault="00CB0DD7">
            <w:pPr>
              <w:pStyle w:val="TAC"/>
              <w:rPr>
                <w:noProof/>
              </w:rPr>
            </w:pPr>
          </w:p>
        </w:tc>
        <w:tc>
          <w:tcPr>
            <w:tcW w:w="1441" w:type="dxa"/>
          </w:tcPr>
          <w:p w:rsidR="00CB0DD7" w:rsidRPr="000A0A5F" w:rsidRDefault="00CB0DD7">
            <w:pPr>
              <w:pStyle w:val="TAL"/>
            </w:pPr>
            <w:r w:rsidRPr="000A0A5F">
              <w:t>20</w:t>
            </w:r>
            <w:r w:rsidRPr="000A0A5F">
              <w:rPr>
                <w:lang w:eastAsia="zh-CN"/>
              </w:rPr>
              <w:t>4 No Content</w:t>
            </w:r>
          </w:p>
        </w:tc>
        <w:tc>
          <w:tcPr>
            <w:tcW w:w="4619" w:type="dxa"/>
          </w:tcPr>
          <w:p w:rsidR="00CB0DD7" w:rsidRPr="000A0A5F" w:rsidRDefault="00CB0DD7">
            <w:pPr>
              <w:pStyle w:val="TAL"/>
            </w:pPr>
            <w:r w:rsidRPr="000A0A5F">
              <w:t xml:space="preserve">The </w:t>
            </w:r>
            <w:r w:rsidRPr="000A0A5F">
              <w:rPr>
                <w:rFonts w:hint="eastAsia"/>
                <w:lang w:eastAsia="zh-CN"/>
              </w:rPr>
              <w:t>successful acknowledgement of the notification without a body.</w:t>
            </w:r>
          </w:p>
        </w:tc>
      </w:tr>
      <w:tr w:rsidR="00CB0DD7" w:rsidRPr="000A0A5F" w:rsidTr="00FF0AF8">
        <w:trPr>
          <w:jc w:val="center"/>
        </w:trPr>
        <w:tc>
          <w:tcPr>
            <w:tcW w:w="2293" w:type="dxa"/>
          </w:tcPr>
          <w:p w:rsidR="00CB0DD7" w:rsidRPr="000A0A5F" w:rsidRDefault="00CB0DD7">
            <w:pPr>
              <w:pStyle w:val="TAL"/>
            </w:pPr>
            <w:r w:rsidRPr="000A0A5F">
              <w:rPr>
                <w:lang w:eastAsia="zh-CN"/>
              </w:rPr>
              <w:t>N</w:t>
            </w:r>
            <w:r w:rsidRPr="000A0A5F">
              <w:rPr>
                <w:rFonts w:hint="eastAsia"/>
                <w:lang w:eastAsia="zh-CN"/>
              </w:rPr>
              <w:t>one</w:t>
            </w:r>
          </w:p>
        </w:tc>
        <w:tc>
          <w:tcPr>
            <w:tcW w:w="1259" w:type="dxa"/>
          </w:tcPr>
          <w:p w:rsidR="00CB0DD7" w:rsidRPr="000A0A5F" w:rsidRDefault="00CB0DD7">
            <w:pPr>
              <w:pStyle w:val="TAC"/>
              <w:rPr>
                <w:noProof/>
              </w:rPr>
            </w:pPr>
          </w:p>
        </w:tc>
        <w:tc>
          <w:tcPr>
            <w:tcW w:w="1441" w:type="dxa"/>
          </w:tcPr>
          <w:p w:rsidR="00CB0DD7" w:rsidRPr="000A0A5F" w:rsidRDefault="00CB0DD7">
            <w:pPr>
              <w:pStyle w:val="TAL"/>
            </w:pPr>
            <w:r w:rsidRPr="000A0A5F">
              <w:t>307 Temporary Redirect</w:t>
            </w:r>
          </w:p>
        </w:tc>
        <w:tc>
          <w:tcPr>
            <w:tcW w:w="4619" w:type="dxa"/>
          </w:tcPr>
          <w:p w:rsidR="00CB0DD7" w:rsidRPr="000A0A5F" w:rsidRDefault="00CB0DD7">
            <w:pPr>
              <w:pStyle w:val="TAL"/>
            </w:pPr>
            <w:r w:rsidRPr="000A0A5F">
              <w:t>Temporary redirection, during event notification. The response shall include a Location header field containing an alternative URI representing the end point of an alternative SCS/AS where the notification should be sent.</w:t>
            </w:r>
          </w:p>
          <w:p w:rsidR="00CB0DD7" w:rsidRPr="000A0A5F" w:rsidRDefault="00CB0DD7">
            <w:pPr>
              <w:pStyle w:val="TAL"/>
            </w:pPr>
            <w:r w:rsidRPr="000A0A5F">
              <w:t>Redirection handling is described in clause 5.2.10.</w:t>
            </w:r>
          </w:p>
        </w:tc>
      </w:tr>
      <w:tr w:rsidR="00CB0DD7" w:rsidRPr="000A0A5F" w:rsidTr="00FF0AF8">
        <w:trPr>
          <w:jc w:val="center"/>
        </w:trPr>
        <w:tc>
          <w:tcPr>
            <w:tcW w:w="2293" w:type="dxa"/>
          </w:tcPr>
          <w:p w:rsidR="00CB0DD7" w:rsidRPr="000A0A5F" w:rsidRDefault="00CB0DD7">
            <w:pPr>
              <w:pStyle w:val="TAL"/>
            </w:pPr>
            <w:r w:rsidRPr="000A0A5F">
              <w:rPr>
                <w:lang w:eastAsia="zh-CN"/>
              </w:rPr>
              <w:t>N</w:t>
            </w:r>
            <w:r w:rsidRPr="000A0A5F">
              <w:rPr>
                <w:rFonts w:hint="eastAsia"/>
                <w:lang w:eastAsia="zh-CN"/>
              </w:rPr>
              <w:t>one</w:t>
            </w:r>
          </w:p>
        </w:tc>
        <w:tc>
          <w:tcPr>
            <w:tcW w:w="1259" w:type="dxa"/>
          </w:tcPr>
          <w:p w:rsidR="00CB0DD7" w:rsidRPr="000A0A5F" w:rsidRDefault="00CB0DD7">
            <w:pPr>
              <w:pStyle w:val="TAC"/>
              <w:rPr>
                <w:noProof/>
              </w:rPr>
            </w:pPr>
          </w:p>
        </w:tc>
        <w:tc>
          <w:tcPr>
            <w:tcW w:w="1441" w:type="dxa"/>
          </w:tcPr>
          <w:p w:rsidR="00CB0DD7" w:rsidRPr="000A0A5F" w:rsidRDefault="00CB0DD7">
            <w:pPr>
              <w:pStyle w:val="TAL"/>
            </w:pPr>
            <w:r w:rsidRPr="000A0A5F">
              <w:t>308 Permanent Redirect</w:t>
            </w:r>
          </w:p>
        </w:tc>
        <w:tc>
          <w:tcPr>
            <w:tcW w:w="4619" w:type="dxa"/>
          </w:tcPr>
          <w:p w:rsidR="00CB0DD7" w:rsidRPr="000A0A5F" w:rsidRDefault="00CB0DD7">
            <w:pPr>
              <w:pStyle w:val="TAL"/>
            </w:pPr>
            <w:r w:rsidRPr="000A0A5F">
              <w:t>Permanent redirection, during event notification. The response shall include a Location header field containing an alternative URI representing the end point of an alternative SCS/AS where the notification should be sent.</w:t>
            </w:r>
          </w:p>
          <w:p w:rsidR="00CB0DD7" w:rsidRPr="000A0A5F" w:rsidRDefault="00CB0DD7">
            <w:pPr>
              <w:pStyle w:val="TAL"/>
            </w:pPr>
            <w:r w:rsidRPr="000A0A5F">
              <w:t>Redirection handling is described in clause 5.2.10.</w:t>
            </w:r>
          </w:p>
        </w:tc>
      </w:tr>
      <w:tr w:rsidR="00CB0DD7" w:rsidRPr="000A0A5F" w:rsidTr="00FF0AF8">
        <w:trPr>
          <w:jc w:val="center"/>
        </w:trPr>
        <w:tc>
          <w:tcPr>
            <w:tcW w:w="9612" w:type="dxa"/>
            <w:gridSpan w:val="4"/>
          </w:tcPr>
          <w:p w:rsidR="00CB0DD7" w:rsidRPr="000A0A5F" w:rsidRDefault="00CB0DD7">
            <w:pPr>
              <w:pStyle w:val="TAN"/>
            </w:pPr>
            <w:r w:rsidRPr="000A0A5F">
              <w:t>NOTE:</w:t>
            </w:r>
            <w:r w:rsidRPr="000A0A5F">
              <w:tab/>
              <w:t>The mandatory HTTP error status codes for the POST method listed in table 5.2.6-1 also apply.</w:t>
            </w:r>
          </w:p>
        </w:tc>
      </w:tr>
    </w:tbl>
    <w:p w:rsidR="00CB0DD7" w:rsidRPr="000A0A5F" w:rsidRDefault="00CB0DD7">
      <w:pPr>
        <w:rPr>
          <w:noProof/>
        </w:rPr>
      </w:pPr>
    </w:p>
    <w:p w:rsidR="00CB0DD7" w:rsidRPr="000A0A5F" w:rsidRDefault="002E466A">
      <w:pPr>
        <w:pStyle w:val="TH"/>
      </w:pPr>
      <w:r w:rsidRPr="000A0A5F">
        <w:t>Table </w:t>
      </w:r>
      <w:r w:rsidR="00CB0DD7" w:rsidRPr="000A0A5F">
        <w:t>5.6.</w:t>
      </w:r>
      <w:r w:rsidR="0086706F" w:rsidRPr="000A0A5F">
        <w:t>3A</w:t>
      </w:r>
      <w:r w:rsidR="00CB0DD7" w:rsidRPr="000A0A5F">
        <w:t>.3</w:t>
      </w:r>
      <w:r w:rsidR="00CB0DD7" w:rsidRPr="000A0A5F">
        <w:rPr>
          <w:noProof/>
        </w:rPr>
        <w:t>.3.1</w:t>
      </w:r>
      <w:r w:rsidR="00CB0DD7" w:rsidRPr="000A0A5F">
        <w:t>-5: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representing the end point of an alternative SCS/AS towards which the notification should be redirected.</w:t>
            </w:r>
          </w:p>
        </w:tc>
      </w:tr>
    </w:tbl>
    <w:p w:rsidR="00CB0DD7" w:rsidRPr="000A0A5F" w:rsidRDefault="00CB0DD7"/>
    <w:p w:rsidR="00CB0DD7" w:rsidRPr="000A0A5F" w:rsidRDefault="002E466A">
      <w:pPr>
        <w:pStyle w:val="TH"/>
      </w:pPr>
      <w:r w:rsidRPr="000A0A5F">
        <w:t>Table </w:t>
      </w:r>
      <w:r w:rsidR="00CB0DD7" w:rsidRPr="000A0A5F">
        <w:t>5.6.</w:t>
      </w:r>
      <w:r w:rsidR="0086706F" w:rsidRPr="000A0A5F">
        <w:t>3A</w:t>
      </w:r>
      <w:r w:rsidR="00CB0DD7" w:rsidRPr="000A0A5F">
        <w:t>.3</w:t>
      </w:r>
      <w:r w:rsidR="00CB0DD7" w:rsidRPr="000A0A5F">
        <w:rPr>
          <w:noProof/>
        </w:rPr>
        <w:t>.3.1</w:t>
      </w:r>
      <w:r w:rsidR="00CB0DD7" w:rsidRPr="000A0A5F">
        <w:t>-6: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representing the end point of an alternative SCS/AS towards which the notification should be redirected.</w:t>
            </w:r>
          </w:p>
        </w:tc>
      </w:tr>
    </w:tbl>
    <w:p w:rsidR="00CB0DD7" w:rsidRPr="000A0A5F" w:rsidRDefault="00CB0DD7">
      <w:pPr>
        <w:rPr>
          <w:noProof/>
        </w:rPr>
      </w:pPr>
    </w:p>
    <w:p w:rsidR="00CB0DD7" w:rsidRPr="000A0A5F" w:rsidRDefault="00CB0DD7">
      <w:pPr>
        <w:pStyle w:val="Heading6"/>
        <w:rPr>
          <w:noProof/>
        </w:rPr>
      </w:pPr>
      <w:bookmarkStart w:id="4585" w:name="_Toc66360595"/>
      <w:bookmarkStart w:id="4586" w:name="_Toc68105100"/>
      <w:bookmarkStart w:id="4587" w:name="_Toc74755730"/>
      <w:bookmarkStart w:id="4588" w:name="_Toc105674604"/>
      <w:bookmarkStart w:id="4589" w:name="_Toc130502652"/>
      <w:bookmarkStart w:id="4590" w:name="_Toc153625439"/>
      <w:r w:rsidRPr="000A0A5F">
        <w:t>5.6.</w:t>
      </w:r>
      <w:r w:rsidR="0086706F" w:rsidRPr="000A0A5F">
        <w:t>3A</w:t>
      </w:r>
      <w:r w:rsidRPr="000A0A5F">
        <w:t>.3.3</w:t>
      </w:r>
      <w:r w:rsidRPr="000A0A5F">
        <w:rPr>
          <w:noProof/>
        </w:rPr>
        <w:t>.2</w:t>
      </w:r>
      <w:r w:rsidRPr="000A0A5F">
        <w:rPr>
          <w:noProof/>
        </w:rPr>
        <w:tab/>
      </w:r>
      <w:r w:rsidRPr="000A0A5F">
        <w:t>Notification via Websocket</w:t>
      </w:r>
      <w:bookmarkEnd w:id="4585"/>
      <w:bookmarkEnd w:id="4586"/>
      <w:bookmarkEnd w:id="4587"/>
      <w:bookmarkEnd w:id="4588"/>
      <w:bookmarkEnd w:id="4589"/>
      <w:bookmarkEnd w:id="4590"/>
    </w:p>
    <w:p w:rsidR="00CB0DD7" w:rsidRPr="000A0A5F" w:rsidRDefault="00CB0DD7">
      <w:pPr>
        <w:rPr>
          <w:lang w:eastAsia="zh-CN"/>
        </w:rPr>
      </w:pPr>
      <w:r w:rsidRPr="000A0A5F">
        <w:t>If supported by both SCS/AS and SCEF and successfully negotiated</w:t>
      </w:r>
      <w:r w:rsidRPr="000A0A5F">
        <w:rPr>
          <w:lang w:eastAsia="zh-CN"/>
        </w:rPr>
        <w:t xml:space="preserve">, the </w:t>
      </w:r>
      <w:r w:rsidRPr="000A0A5F">
        <w:t>NiddDownlinkDataDeliveryStatusNotification</w:t>
      </w:r>
      <w:r w:rsidRPr="000A0A5F">
        <w:rPr>
          <w:lang w:eastAsia="zh-CN"/>
        </w:rPr>
        <w:t xml:space="preserve"> or </w:t>
      </w:r>
      <w:r w:rsidRPr="000A0A5F">
        <w:t>GmdNiddDownlinkDataDeliveryStatusNotification</w:t>
      </w:r>
      <w:r w:rsidRPr="000A0A5F">
        <w:rPr>
          <w:lang w:eastAsia="zh-CN"/>
        </w:rPr>
        <w:t xml:space="preserve"> may alternatively be delivered for a single UE or a group of UEs through the Websocket mechanism as defined in clause 5.2.5.4.</w:t>
      </w:r>
    </w:p>
    <w:p w:rsidR="00CB0DD7" w:rsidRPr="000A0A5F" w:rsidRDefault="00CB0DD7">
      <w:pPr>
        <w:rPr>
          <w:lang w:eastAsia="zh-CN"/>
        </w:rPr>
      </w:pPr>
    </w:p>
    <w:p w:rsidR="00CB0DD7" w:rsidRPr="000A0A5F" w:rsidRDefault="00CB0DD7">
      <w:pPr>
        <w:pStyle w:val="Heading4"/>
      </w:pPr>
      <w:bookmarkStart w:id="4591" w:name="_Toc66360596"/>
      <w:bookmarkStart w:id="4592" w:name="_Toc68105101"/>
      <w:bookmarkStart w:id="4593" w:name="_Toc74755731"/>
      <w:bookmarkStart w:id="4594" w:name="_Toc105674605"/>
      <w:bookmarkStart w:id="4595" w:name="_Toc130502653"/>
      <w:bookmarkStart w:id="4596" w:name="_Toc153625440"/>
      <w:r w:rsidRPr="000A0A5F">
        <w:t>5.6.</w:t>
      </w:r>
      <w:r w:rsidR="0096153A" w:rsidRPr="000A0A5F">
        <w:t>3A</w:t>
      </w:r>
      <w:r w:rsidRPr="000A0A5F">
        <w:t>.4</w:t>
      </w:r>
      <w:r w:rsidRPr="000A0A5F">
        <w:tab/>
        <w:t>NIDD Uplink Data Notification</w:t>
      </w:r>
      <w:bookmarkEnd w:id="4591"/>
      <w:bookmarkEnd w:id="4592"/>
      <w:bookmarkEnd w:id="4593"/>
      <w:bookmarkEnd w:id="4594"/>
      <w:bookmarkEnd w:id="4595"/>
      <w:bookmarkEnd w:id="4596"/>
    </w:p>
    <w:p w:rsidR="00CB0DD7" w:rsidRPr="000A0A5F" w:rsidRDefault="00CB0DD7">
      <w:pPr>
        <w:pStyle w:val="Heading5"/>
        <w:rPr>
          <w:noProof/>
        </w:rPr>
      </w:pPr>
      <w:bookmarkStart w:id="4597" w:name="_Toc66360597"/>
      <w:bookmarkStart w:id="4598" w:name="_Toc68105102"/>
      <w:bookmarkStart w:id="4599" w:name="_Toc74755732"/>
      <w:bookmarkStart w:id="4600" w:name="_Toc105674606"/>
      <w:bookmarkStart w:id="4601" w:name="_Toc130502654"/>
      <w:bookmarkStart w:id="4602" w:name="_Toc153625441"/>
      <w:r w:rsidRPr="000A0A5F">
        <w:t>5.6.</w:t>
      </w:r>
      <w:r w:rsidR="0096153A" w:rsidRPr="000A0A5F">
        <w:t>3A</w:t>
      </w:r>
      <w:r w:rsidRPr="000A0A5F">
        <w:t>.4</w:t>
      </w:r>
      <w:r w:rsidRPr="000A0A5F">
        <w:rPr>
          <w:noProof/>
        </w:rPr>
        <w:t>.1</w:t>
      </w:r>
      <w:r w:rsidRPr="000A0A5F">
        <w:rPr>
          <w:noProof/>
        </w:rPr>
        <w:tab/>
        <w:t>Description</w:t>
      </w:r>
      <w:bookmarkEnd w:id="4597"/>
      <w:bookmarkEnd w:id="4598"/>
      <w:bookmarkEnd w:id="4599"/>
      <w:bookmarkEnd w:id="4600"/>
      <w:bookmarkEnd w:id="4601"/>
      <w:bookmarkEnd w:id="4602"/>
    </w:p>
    <w:p w:rsidR="00CB0DD7" w:rsidRPr="000A0A5F" w:rsidRDefault="00CB0DD7">
      <w:pPr>
        <w:rPr>
          <w:noProof/>
          <w:lang w:eastAsia="zh-CN"/>
        </w:rPr>
      </w:pPr>
      <w:r w:rsidRPr="000A0A5F">
        <w:rPr>
          <w:noProof/>
          <w:lang w:eastAsia="zh-CN"/>
        </w:rPr>
        <w:t>The NIDD Uplink Data Notification allows t</w:t>
      </w:r>
      <w:r w:rsidRPr="000A0A5F">
        <w:rPr>
          <w:rFonts w:hint="eastAsia"/>
          <w:noProof/>
          <w:lang w:eastAsia="zh-CN"/>
        </w:rPr>
        <w:t xml:space="preserve">he </w:t>
      </w:r>
      <w:r w:rsidRPr="000A0A5F">
        <w:rPr>
          <w:noProof/>
          <w:lang w:eastAsia="zh-CN"/>
        </w:rPr>
        <w:t>SCEF to send notifications about received NIDD uplink data..</w:t>
      </w:r>
    </w:p>
    <w:p w:rsidR="00CB0DD7" w:rsidRPr="000A0A5F" w:rsidRDefault="00CB0DD7">
      <w:pPr>
        <w:pStyle w:val="Heading5"/>
        <w:rPr>
          <w:noProof/>
        </w:rPr>
      </w:pPr>
      <w:bookmarkStart w:id="4603" w:name="_Toc66360598"/>
      <w:bookmarkStart w:id="4604" w:name="_Toc68105103"/>
      <w:bookmarkStart w:id="4605" w:name="_Toc74755733"/>
      <w:bookmarkStart w:id="4606" w:name="_Toc105674607"/>
      <w:bookmarkStart w:id="4607" w:name="_Toc130502655"/>
      <w:bookmarkStart w:id="4608" w:name="_Toc153625442"/>
      <w:r w:rsidRPr="000A0A5F">
        <w:t>5.6.</w:t>
      </w:r>
      <w:r w:rsidR="0096153A" w:rsidRPr="000A0A5F">
        <w:t>3A</w:t>
      </w:r>
      <w:r w:rsidRPr="000A0A5F">
        <w:t>.4</w:t>
      </w:r>
      <w:r w:rsidRPr="000A0A5F">
        <w:rPr>
          <w:noProof/>
        </w:rPr>
        <w:t>.2</w:t>
      </w:r>
      <w:r w:rsidRPr="000A0A5F">
        <w:rPr>
          <w:noProof/>
        </w:rPr>
        <w:tab/>
        <w:t>Target URI</w:t>
      </w:r>
      <w:bookmarkEnd w:id="4603"/>
      <w:bookmarkEnd w:id="4604"/>
      <w:bookmarkEnd w:id="4605"/>
      <w:bookmarkEnd w:id="4606"/>
      <w:bookmarkEnd w:id="4607"/>
      <w:bookmarkEnd w:id="4608"/>
    </w:p>
    <w:p w:rsidR="00CB0DD7" w:rsidRPr="000A0A5F" w:rsidRDefault="00CB0DD7">
      <w:pPr>
        <w:rPr>
          <w:rFonts w:ascii="Arial" w:hAnsi="Arial" w:cs="Arial"/>
          <w:noProof/>
        </w:rPr>
      </w:pPr>
      <w:r w:rsidRPr="000A0A5F">
        <w:rPr>
          <w:noProof/>
        </w:rPr>
        <w:t xml:space="preserve">The Callback URI </w:t>
      </w:r>
      <w:r w:rsidRPr="000A0A5F">
        <w:rPr>
          <w:b/>
          <w:noProof/>
        </w:rPr>
        <w:t>"{</w:t>
      </w:r>
      <w:r w:rsidRPr="000A0A5F">
        <w:t>notification_uri</w:t>
      </w:r>
      <w:r w:rsidRPr="000A0A5F">
        <w:rPr>
          <w:b/>
          <w:noProof/>
        </w:rPr>
        <w:t>}"</w:t>
      </w:r>
      <w:r w:rsidRPr="000A0A5F">
        <w:rPr>
          <w:noProof/>
        </w:rPr>
        <w:t xml:space="preserve"> shall be used with the callback URI variables defined in table </w:t>
      </w:r>
      <w:r w:rsidRPr="000A0A5F">
        <w:t>5.6.</w:t>
      </w:r>
      <w:r w:rsidR="0096153A" w:rsidRPr="000A0A5F">
        <w:t>3A</w:t>
      </w:r>
      <w:r w:rsidRPr="000A0A5F">
        <w:t>.4</w:t>
      </w:r>
      <w:r w:rsidRPr="000A0A5F">
        <w:rPr>
          <w:noProof/>
        </w:rPr>
        <w:t>.2-1</w:t>
      </w:r>
      <w:r w:rsidRPr="000A0A5F">
        <w:rPr>
          <w:rFonts w:ascii="Arial" w:hAnsi="Arial" w:cs="Arial"/>
          <w:noProof/>
        </w:rPr>
        <w:t>.</w:t>
      </w:r>
    </w:p>
    <w:p w:rsidR="00CB0DD7" w:rsidRPr="000A0A5F" w:rsidRDefault="00CB0DD7">
      <w:pPr>
        <w:pStyle w:val="TH"/>
        <w:rPr>
          <w:rFonts w:cs="Arial"/>
          <w:noProof/>
        </w:rPr>
      </w:pPr>
      <w:r w:rsidRPr="000A0A5F">
        <w:rPr>
          <w:noProof/>
        </w:rPr>
        <w:t>Table </w:t>
      </w:r>
      <w:r w:rsidRPr="000A0A5F">
        <w:t>5.6.</w:t>
      </w:r>
      <w:r w:rsidR="0096153A" w:rsidRPr="000A0A5F">
        <w:t>3A</w:t>
      </w:r>
      <w:r w:rsidRPr="000A0A5F">
        <w:t>.4</w:t>
      </w:r>
      <w:r w:rsidRPr="000A0A5F">
        <w:rPr>
          <w:noProof/>
        </w:rPr>
        <w:t>.2-1: Callback URI variables</w:t>
      </w:r>
    </w:p>
    <w:tbl>
      <w:tblPr>
        <w:tblW w:w="494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970"/>
        <w:gridCol w:w="1312"/>
        <w:gridCol w:w="6378"/>
      </w:tblGrid>
      <w:tr w:rsidR="00CB0DD7" w:rsidRPr="000A0A5F" w:rsidTr="0096153A">
        <w:trPr>
          <w:jc w:val="center"/>
        </w:trPr>
        <w:tc>
          <w:tcPr>
            <w:tcW w:w="1020" w:type="pct"/>
            <w:shd w:val="clear" w:color="auto" w:fill="C0C0C0"/>
          </w:tcPr>
          <w:p w:rsidR="00CB0DD7" w:rsidRPr="000A0A5F" w:rsidRDefault="00CB0DD7">
            <w:pPr>
              <w:pStyle w:val="TAH"/>
            </w:pPr>
            <w:r w:rsidRPr="000A0A5F">
              <w:t>Name</w:t>
            </w:r>
          </w:p>
        </w:tc>
        <w:tc>
          <w:tcPr>
            <w:tcW w:w="679" w:type="pct"/>
            <w:shd w:val="clear" w:color="auto" w:fill="C0C0C0"/>
          </w:tcPr>
          <w:p w:rsidR="00CB0DD7" w:rsidRPr="000A0A5F" w:rsidRDefault="00CB0DD7">
            <w:pPr>
              <w:pStyle w:val="TAH"/>
            </w:pPr>
            <w:r w:rsidRPr="000A0A5F">
              <w:rPr>
                <w:rFonts w:hint="eastAsia"/>
                <w:lang w:eastAsia="zh-CN"/>
              </w:rPr>
              <w:t>D</w:t>
            </w:r>
            <w:r w:rsidRPr="000A0A5F">
              <w:rPr>
                <w:lang w:eastAsia="zh-CN"/>
              </w:rPr>
              <w:t>ata type</w:t>
            </w:r>
          </w:p>
        </w:tc>
        <w:tc>
          <w:tcPr>
            <w:tcW w:w="3301" w:type="pct"/>
            <w:shd w:val="clear" w:color="auto" w:fill="C0C0C0"/>
            <w:vAlign w:val="center"/>
          </w:tcPr>
          <w:p w:rsidR="00CB0DD7" w:rsidRPr="000A0A5F" w:rsidRDefault="00CB0DD7">
            <w:pPr>
              <w:pStyle w:val="TAH"/>
            </w:pPr>
            <w:r w:rsidRPr="000A0A5F">
              <w:t>Definition</w:t>
            </w:r>
          </w:p>
        </w:tc>
      </w:tr>
      <w:tr w:rsidR="00CB0DD7" w:rsidRPr="000A0A5F" w:rsidTr="00FF0AF8">
        <w:trPr>
          <w:jc w:val="center"/>
        </w:trPr>
        <w:tc>
          <w:tcPr>
            <w:tcW w:w="1020" w:type="pct"/>
            <w:shd w:val="clear" w:color="auto" w:fill="auto"/>
          </w:tcPr>
          <w:p w:rsidR="00CB0DD7" w:rsidRPr="000A0A5F" w:rsidRDefault="00CB0DD7">
            <w:pPr>
              <w:pStyle w:val="TAL"/>
              <w:rPr>
                <w:lang w:eastAsia="zh-CN"/>
              </w:rPr>
            </w:pPr>
            <w:r w:rsidRPr="000A0A5F">
              <w:t>notification_uri</w:t>
            </w:r>
          </w:p>
        </w:tc>
        <w:tc>
          <w:tcPr>
            <w:tcW w:w="679" w:type="pct"/>
          </w:tcPr>
          <w:p w:rsidR="00CB0DD7" w:rsidRPr="000A0A5F" w:rsidRDefault="00CB0DD7">
            <w:pPr>
              <w:pStyle w:val="TAL"/>
            </w:pPr>
            <w:r w:rsidRPr="000A0A5F">
              <w:rPr>
                <w:lang w:eastAsia="zh-CN"/>
              </w:rPr>
              <w:t>Link</w:t>
            </w:r>
          </w:p>
        </w:tc>
        <w:tc>
          <w:tcPr>
            <w:tcW w:w="3301" w:type="pct"/>
            <w:shd w:val="clear" w:color="auto" w:fill="auto"/>
            <w:vAlign w:val="center"/>
          </w:tcPr>
          <w:p w:rsidR="00CB0DD7" w:rsidRPr="000A0A5F" w:rsidRDefault="00CB0DD7">
            <w:pPr>
              <w:pStyle w:val="TAL"/>
              <w:rPr>
                <w:rFonts w:cs="Arial"/>
                <w:szCs w:val="18"/>
                <w:lang w:eastAsia="zh-CN"/>
              </w:rPr>
            </w:pPr>
            <w:r w:rsidRPr="000A0A5F">
              <w:rPr>
                <w:rFonts w:cs="Arial" w:hint="eastAsia"/>
                <w:szCs w:val="18"/>
                <w:lang w:eastAsia="zh-CN"/>
              </w:rPr>
              <w:t xml:space="preserve">A URI indicating the notification destination </w:t>
            </w:r>
            <w:r w:rsidRPr="000A0A5F">
              <w:rPr>
                <w:rFonts w:cs="Arial"/>
                <w:szCs w:val="18"/>
                <w:lang w:eastAsia="zh-CN"/>
              </w:rPr>
              <w:t xml:space="preserve">URI where </w:t>
            </w:r>
            <w:r w:rsidRPr="000A0A5F">
              <w:rPr>
                <w:rFonts w:cs="Arial" w:hint="eastAsia"/>
                <w:szCs w:val="18"/>
                <w:lang w:eastAsia="zh-CN"/>
              </w:rPr>
              <w:t xml:space="preserve">T8 </w:t>
            </w:r>
            <w:r w:rsidRPr="000A0A5F">
              <w:rPr>
                <w:rFonts w:cs="Arial"/>
                <w:szCs w:val="18"/>
                <w:lang w:eastAsia="zh-CN"/>
              </w:rPr>
              <w:t>notification requests shall be delivered</w:t>
            </w:r>
            <w:r w:rsidRPr="000A0A5F">
              <w:rPr>
                <w:rFonts w:cs="Arial" w:hint="eastAsia"/>
                <w:szCs w:val="18"/>
                <w:lang w:eastAsia="zh-CN"/>
              </w:rPr>
              <w:t>.</w:t>
            </w:r>
          </w:p>
          <w:p w:rsidR="00CB0DD7" w:rsidRPr="000A0A5F" w:rsidRDefault="00CB0DD7">
            <w:pPr>
              <w:pStyle w:val="TAL"/>
            </w:pPr>
            <w:r w:rsidRPr="000A0A5F">
              <w:rPr>
                <w:rFonts w:cs="Arial"/>
                <w:szCs w:val="18"/>
                <w:lang w:eastAsia="zh-CN"/>
              </w:rPr>
              <w:t>This URI shall be provided within the "notificationDestination" attribute in the NiddConfiguration type.</w:t>
            </w:r>
          </w:p>
        </w:tc>
      </w:tr>
    </w:tbl>
    <w:p w:rsidR="00CB0DD7" w:rsidRPr="000A0A5F" w:rsidRDefault="00CB0DD7"/>
    <w:p w:rsidR="00CB0DD7" w:rsidRPr="000A0A5F" w:rsidRDefault="00CB0DD7">
      <w:pPr>
        <w:pStyle w:val="Heading5"/>
        <w:rPr>
          <w:noProof/>
        </w:rPr>
      </w:pPr>
      <w:bookmarkStart w:id="4609" w:name="_Toc66360599"/>
      <w:bookmarkStart w:id="4610" w:name="_Toc68105104"/>
      <w:bookmarkStart w:id="4611" w:name="_Toc74755734"/>
      <w:bookmarkStart w:id="4612" w:name="_Toc105674608"/>
      <w:bookmarkStart w:id="4613" w:name="_Toc130502656"/>
      <w:bookmarkStart w:id="4614" w:name="_Toc153625443"/>
      <w:r w:rsidRPr="000A0A5F">
        <w:t>5.6.</w:t>
      </w:r>
      <w:r w:rsidR="0096153A" w:rsidRPr="000A0A5F">
        <w:t>3A</w:t>
      </w:r>
      <w:r w:rsidRPr="000A0A5F">
        <w:t>.4</w:t>
      </w:r>
      <w:r w:rsidRPr="000A0A5F">
        <w:rPr>
          <w:noProof/>
        </w:rPr>
        <w:t>.3</w:t>
      </w:r>
      <w:r w:rsidRPr="000A0A5F">
        <w:rPr>
          <w:noProof/>
        </w:rPr>
        <w:tab/>
        <w:t>Standard Methods</w:t>
      </w:r>
      <w:bookmarkEnd w:id="4609"/>
      <w:bookmarkEnd w:id="4610"/>
      <w:bookmarkEnd w:id="4611"/>
      <w:bookmarkEnd w:id="4612"/>
      <w:bookmarkEnd w:id="4613"/>
      <w:bookmarkEnd w:id="4614"/>
    </w:p>
    <w:p w:rsidR="00CB0DD7" w:rsidRPr="000A0A5F" w:rsidRDefault="00CB0DD7">
      <w:pPr>
        <w:pStyle w:val="Heading6"/>
        <w:rPr>
          <w:noProof/>
        </w:rPr>
      </w:pPr>
      <w:bookmarkStart w:id="4615" w:name="_Toc66360600"/>
      <w:bookmarkStart w:id="4616" w:name="_Toc68105105"/>
      <w:bookmarkStart w:id="4617" w:name="_Toc74755735"/>
      <w:bookmarkStart w:id="4618" w:name="_Toc105674609"/>
      <w:bookmarkStart w:id="4619" w:name="_Toc130502657"/>
      <w:bookmarkStart w:id="4620" w:name="_Toc153625444"/>
      <w:r w:rsidRPr="000A0A5F">
        <w:t>5.6.</w:t>
      </w:r>
      <w:r w:rsidR="0096153A" w:rsidRPr="000A0A5F">
        <w:t>3A</w:t>
      </w:r>
      <w:r w:rsidRPr="000A0A5F">
        <w:t>.4.3</w:t>
      </w:r>
      <w:r w:rsidRPr="000A0A5F">
        <w:rPr>
          <w:noProof/>
        </w:rPr>
        <w:t>.1</w:t>
      </w:r>
      <w:r w:rsidRPr="000A0A5F">
        <w:rPr>
          <w:noProof/>
        </w:rPr>
        <w:tab/>
      </w:r>
      <w:r w:rsidRPr="000A0A5F">
        <w:t>Notification via POST</w:t>
      </w:r>
      <w:bookmarkEnd w:id="4615"/>
      <w:bookmarkEnd w:id="4616"/>
      <w:bookmarkEnd w:id="4617"/>
      <w:bookmarkEnd w:id="4618"/>
      <w:bookmarkEnd w:id="4619"/>
      <w:bookmarkEnd w:id="4620"/>
    </w:p>
    <w:p w:rsidR="00CB0DD7" w:rsidRPr="000A0A5F" w:rsidRDefault="00CB0DD7">
      <w:r w:rsidRPr="000A0A5F">
        <w:t xml:space="preserve">To </w:t>
      </w:r>
      <w:r w:rsidRPr="000A0A5F">
        <w:rPr>
          <w:rFonts w:hint="eastAsia"/>
          <w:lang w:eastAsia="zh-CN"/>
        </w:rPr>
        <w:t>send the uplink non-IP data to the SCS/AS</w:t>
      </w:r>
      <w:r w:rsidRPr="000A0A5F">
        <w:t xml:space="preserve">, the </w:t>
      </w:r>
      <w:r w:rsidRPr="000A0A5F">
        <w:rPr>
          <w:rFonts w:hint="eastAsia"/>
          <w:lang w:eastAsia="zh-CN"/>
        </w:rPr>
        <w:t xml:space="preserve">SCEF </w:t>
      </w:r>
      <w:r w:rsidRPr="000A0A5F">
        <w:t xml:space="preserve">shall use the HTTP POST method on the </w:t>
      </w:r>
      <w:r w:rsidRPr="000A0A5F">
        <w:rPr>
          <w:rFonts w:hint="eastAsia"/>
          <w:lang w:eastAsia="zh-CN"/>
        </w:rPr>
        <w:t>notification endpoint</w:t>
      </w:r>
      <w:r w:rsidRPr="000A0A5F">
        <w:t xml:space="preserve"> </w:t>
      </w:r>
      <w:r w:rsidRPr="000A0A5F">
        <w:rPr>
          <w:rFonts w:hint="eastAsia"/>
          <w:lang w:eastAsia="zh-CN"/>
        </w:rPr>
        <w:t xml:space="preserve">in SCS/AS </w:t>
      </w:r>
      <w:r w:rsidRPr="000A0A5F">
        <w:t>as follows:</w:t>
      </w:r>
    </w:p>
    <w:p w:rsidR="00CB0DD7" w:rsidRPr="000A0A5F" w:rsidRDefault="00CB0DD7">
      <w:pPr>
        <w:ind w:firstLine="284"/>
        <w:rPr>
          <w:lang w:eastAsia="zh-CN"/>
        </w:rPr>
      </w:pPr>
      <w:r w:rsidRPr="000A0A5F">
        <w:t>-</w:t>
      </w:r>
      <w:r w:rsidRPr="000A0A5F">
        <w:tab/>
        <w:t>the body of the message is encoded in JSON format</w:t>
      </w:r>
      <w:r w:rsidRPr="000A0A5F">
        <w:rPr>
          <w:rFonts w:hint="eastAsia"/>
          <w:lang w:eastAsia="zh-CN"/>
        </w:rPr>
        <w:t xml:space="preserve"> with the data structure defined in table</w:t>
      </w:r>
      <w:r w:rsidRPr="000A0A5F">
        <w:rPr>
          <w:lang w:val="en-US" w:eastAsia="zh-CN"/>
        </w:rPr>
        <w:t> </w:t>
      </w:r>
      <w:r w:rsidRPr="000A0A5F">
        <w:rPr>
          <w:rFonts w:hint="eastAsia"/>
          <w:lang w:eastAsia="zh-CN"/>
        </w:rPr>
        <w:t>5.6.2.1.4-1.</w:t>
      </w:r>
    </w:p>
    <w:p w:rsidR="00CB0DD7" w:rsidRPr="000A0A5F" w:rsidRDefault="00CB0DD7">
      <w:pPr>
        <w:rPr>
          <w:noProof/>
        </w:rPr>
      </w:pPr>
      <w:r w:rsidRPr="000A0A5F">
        <w:rPr>
          <w:noProof/>
        </w:rPr>
        <w:t>This method shall support the request data structures specified in table </w:t>
      </w:r>
      <w:r w:rsidRPr="000A0A5F">
        <w:t>5.6.</w:t>
      </w:r>
      <w:r w:rsidR="0096153A" w:rsidRPr="000A0A5F">
        <w:t>3A</w:t>
      </w:r>
      <w:r w:rsidRPr="000A0A5F">
        <w:t>.4</w:t>
      </w:r>
      <w:r w:rsidRPr="000A0A5F">
        <w:rPr>
          <w:noProof/>
        </w:rPr>
        <w:t>.3.1-1 and the response data structures and response codes specified in table </w:t>
      </w:r>
      <w:r w:rsidRPr="000A0A5F">
        <w:t>5.6.</w:t>
      </w:r>
      <w:r w:rsidR="0096153A" w:rsidRPr="000A0A5F">
        <w:t>3A</w:t>
      </w:r>
      <w:r w:rsidRPr="000A0A5F">
        <w:t>.4</w:t>
      </w:r>
      <w:r w:rsidRPr="000A0A5F">
        <w:rPr>
          <w:noProof/>
        </w:rPr>
        <w:t>.3.1-2.</w:t>
      </w:r>
    </w:p>
    <w:p w:rsidR="00CB0DD7" w:rsidRPr="000A0A5F" w:rsidRDefault="00CB0DD7">
      <w:pPr>
        <w:pStyle w:val="TH"/>
        <w:rPr>
          <w:noProof/>
        </w:rPr>
      </w:pPr>
      <w:r w:rsidRPr="000A0A5F">
        <w:rPr>
          <w:noProof/>
        </w:rPr>
        <w:t>Table </w:t>
      </w:r>
      <w:r w:rsidRPr="000A0A5F">
        <w:t>5.6.</w:t>
      </w:r>
      <w:r w:rsidR="0096153A" w:rsidRPr="000A0A5F">
        <w:t>3A</w:t>
      </w:r>
      <w:r w:rsidRPr="000A0A5F">
        <w:t>.4</w:t>
      </w:r>
      <w:r w:rsidRPr="000A0A5F">
        <w:rPr>
          <w:noProof/>
        </w:rPr>
        <w:t>.3.1-1: Data structures supported by the POST Request Body</w:t>
      </w:r>
    </w:p>
    <w:tbl>
      <w:tblPr>
        <w:tblW w:w="9670" w:type="dxa"/>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3340"/>
        <w:gridCol w:w="1170"/>
        <w:gridCol w:w="5160"/>
      </w:tblGrid>
      <w:tr w:rsidR="00CB0DD7" w:rsidRPr="000A0A5F" w:rsidTr="00846044">
        <w:trPr>
          <w:jc w:val="center"/>
        </w:trPr>
        <w:tc>
          <w:tcPr>
            <w:tcW w:w="3340" w:type="dxa"/>
            <w:tcBorders>
              <w:bottom w:val="single" w:sz="6" w:space="0" w:color="auto"/>
            </w:tcBorders>
            <w:shd w:val="clear" w:color="auto" w:fill="C0C0C0"/>
            <w:hideMark/>
          </w:tcPr>
          <w:p w:rsidR="00CB0DD7" w:rsidRPr="000A0A5F" w:rsidRDefault="00CB0DD7">
            <w:pPr>
              <w:pStyle w:val="TAH"/>
              <w:rPr>
                <w:noProof/>
              </w:rPr>
            </w:pPr>
            <w:r w:rsidRPr="000A0A5F">
              <w:rPr>
                <w:noProof/>
              </w:rPr>
              <w:t>Data type</w:t>
            </w:r>
          </w:p>
        </w:tc>
        <w:tc>
          <w:tcPr>
            <w:tcW w:w="1170" w:type="dxa"/>
            <w:tcBorders>
              <w:bottom w:val="single" w:sz="6" w:space="0" w:color="auto"/>
            </w:tcBorders>
            <w:shd w:val="clear" w:color="auto" w:fill="C0C0C0"/>
            <w:hideMark/>
          </w:tcPr>
          <w:p w:rsidR="00CB0DD7" w:rsidRPr="000A0A5F" w:rsidRDefault="00CB0DD7">
            <w:pPr>
              <w:pStyle w:val="TAH"/>
              <w:rPr>
                <w:noProof/>
              </w:rPr>
            </w:pPr>
            <w:r w:rsidRPr="000A0A5F">
              <w:rPr>
                <w:noProof/>
              </w:rPr>
              <w:t>Cardinality</w:t>
            </w:r>
          </w:p>
        </w:tc>
        <w:tc>
          <w:tcPr>
            <w:tcW w:w="5160" w:type="dxa"/>
            <w:tcBorders>
              <w:bottom w:val="single" w:sz="6" w:space="0" w:color="auto"/>
            </w:tcBorders>
            <w:shd w:val="clear" w:color="auto" w:fill="C0C0C0"/>
            <w:vAlign w:val="center"/>
            <w:hideMark/>
          </w:tcPr>
          <w:p w:rsidR="00CB0DD7" w:rsidRPr="000A0A5F" w:rsidRDefault="00CB0DD7">
            <w:pPr>
              <w:pStyle w:val="TAH"/>
              <w:rPr>
                <w:noProof/>
              </w:rPr>
            </w:pPr>
            <w:r w:rsidRPr="000A0A5F">
              <w:rPr>
                <w:noProof/>
              </w:rPr>
              <w:t>Description</w:t>
            </w:r>
          </w:p>
        </w:tc>
      </w:tr>
      <w:tr w:rsidR="00CB0DD7" w:rsidRPr="000A0A5F" w:rsidTr="00846044">
        <w:trPr>
          <w:jc w:val="center"/>
        </w:trPr>
        <w:tc>
          <w:tcPr>
            <w:tcW w:w="3340" w:type="dxa"/>
            <w:tcBorders>
              <w:top w:val="single" w:sz="6" w:space="0" w:color="auto"/>
            </w:tcBorders>
          </w:tcPr>
          <w:p w:rsidR="00CB0DD7" w:rsidRPr="000A0A5F" w:rsidRDefault="00CB0DD7">
            <w:pPr>
              <w:pStyle w:val="TAL"/>
              <w:rPr>
                <w:noProof/>
              </w:rPr>
            </w:pPr>
            <w:r w:rsidRPr="000A0A5F">
              <w:t>Nidd</w:t>
            </w:r>
            <w:r w:rsidRPr="000A0A5F">
              <w:rPr>
                <w:rFonts w:hint="eastAsia"/>
                <w:lang w:eastAsia="zh-CN"/>
              </w:rPr>
              <w:t>Uplink</w:t>
            </w:r>
            <w:r w:rsidRPr="000A0A5F">
              <w:t>DataNotification</w:t>
            </w:r>
          </w:p>
        </w:tc>
        <w:tc>
          <w:tcPr>
            <w:tcW w:w="1170" w:type="dxa"/>
            <w:tcBorders>
              <w:top w:val="single" w:sz="6" w:space="0" w:color="auto"/>
            </w:tcBorders>
          </w:tcPr>
          <w:p w:rsidR="00CB0DD7" w:rsidRPr="000A0A5F" w:rsidRDefault="00CB0DD7">
            <w:pPr>
              <w:pStyle w:val="TAC"/>
              <w:rPr>
                <w:noProof/>
                <w:lang w:eastAsia="zh-CN"/>
              </w:rPr>
            </w:pPr>
            <w:r w:rsidRPr="000A0A5F">
              <w:t>1</w:t>
            </w:r>
          </w:p>
        </w:tc>
        <w:tc>
          <w:tcPr>
            <w:tcW w:w="5160" w:type="dxa"/>
            <w:tcBorders>
              <w:top w:val="single" w:sz="6" w:space="0" w:color="auto"/>
            </w:tcBorders>
          </w:tcPr>
          <w:p w:rsidR="00CB0DD7" w:rsidRPr="000A0A5F" w:rsidRDefault="00CB0DD7">
            <w:pPr>
              <w:pStyle w:val="TAL"/>
              <w:rPr>
                <w:noProof/>
              </w:rPr>
            </w:pPr>
            <w:r w:rsidRPr="000A0A5F">
              <w:rPr>
                <w:rFonts w:hint="eastAsia"/>
                <w:lang w:eastAsia="zh-CN"/>
              </w:rPr>
              <w:t>The parameters and non-IP data for the NIDD uplink non-IP data notification.</w:t>
            </w:r>
          </w:p>
        </w:tc>
      </w:tr>
    </w:tbl>
    <w:p w:rsidR="00CB0DD7" w:rsidRPr="000A0A5F" w:rsidRDefault="00CB0DD7">
      <w:pPr>
        <w:rPr>
          <w:noProof/>
        </w:rPr>
      </w:pPr>
    </w:p>
    <w:p w:rsidR="00CB0DD7" w:rsidRPr="000A0A5F" w:rsidRDefault="00CB0DD7">
      <w:pPr>
        <w:pStyle w:val="TH"/>
        <w:rPr>
          <w:noProof/>
        </w:rPr>
      </w:pPr>
      <w:r w:rsidRPr="000A0A5F">
        <w:rPr>
          <w:noProof/>
        </w:rPr>
        <w:t>Table </w:t>
      </w:r>
      <w:r w:rsidRPr="000A0A5F">
        <w:t>5.6.</w:t>
      </w:r>
      <w:r w:rsidR="0096153A" w:rsidRPr="000A0A5F">
        <w:t>3A</w:t>
      </w:r>
      <w:r w:rsidRPr="000A0A5F">
        <w:t>.4</w:t>
      </w:r>
      <w:r w:rsidRPr="000A0A5F">
        <w:rPr>
          <w:noProof/>
        </w:rPr>
        <w:t>.3.1-2: Data structures supported by the POST Response Body</w:t>
      </w:r>
    </w:p>
    <w:tbl>
      <w:tblPr>
        <w:tblW w:w="961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293"/>
        <w:gridCol w:w="1259"/>
        <w:gridCol w:w="1441"/>
        <w:gridCol w:w="4619"/>
      </w:tblGrid>
      <w:tr w:rsidR="00CB0DD7" w:rsidRPr="000A0A5F" w:rsidTr="00FF0AF8">
        <w:trPr>
          <w:jc w:val="center"/>
        </w:trPr>
        <w:tc>
          <w:tcPr>
            <w:tcW w:w="2293" w:type="dxa"/>
            <w:shd w:val="clear" w:color="auto" w:fill="C0C0C0"/>
            <w:hideMark/>
          </w:tcPr>
          <w:p w:rsidR="00CB0DD7" w:rsidRPr="000A0A5F" w:rsidRDefault="00CB0DD7">
            <w:pPr>
              <w:pStyle w:val="TAH"/>
              <w:rPr>
                <w:noProof/>
              </w:rPr>
            </w:pPr>
            <w:r w:rsidRPr="000A0A5F">
              <w:rPr>
                <w:noProof/>
              </w:rPr>
              <w:t>Data type</w:t>
            </w:r>
          </w:p>
        </w:tc>
        <w:tc>
          <w:tcPr>
            <w:tcW w:w="1259" w:type="dxa"/>
            <w:shd w:val="clear" w:color="auto" w:fill="C0C0C0"/>
            <w:hideMark/>
          </w:tcPr>
          <w:p w:rsidR="00CB0DD7" w:rsidRPr="000A0A5F" w:rsidRDefault="00CB0DD7">
            <w:pPr>
              <w:pStyle w:val="TAH"/>
              <w:rPr>
                <w:noProof/>
              </w:rPr>
            </w:pPr>
            <w:r w:rsidRPr="000A0A5F">
              <w:rPr>
                <w:noProof/>
              </w:rPr>
              <w:t>Cardinality</w:t>
            </w:r>
          </w:p>
        </w:tc>
        <w:tc>
          <w:tcPr>
            <w:tcW w:w="1441" w:type="dxa"/>
            <w:shd w:val="clear" w:color="auto" w:fill="C0C0C0"/>
            <w:hideMark/>
          </w:tcPr>
          <w:p w:rsidR="00CB0DD7" w:rsidRPr="000A0A5F" w:rsidRDefault="00CB0DD7">
            <w:pPr>
              <w:pStyle w:val="TAH"/>
              <w:rPr>
                <w:noProof/>
              </w:rPr>
            </w:pPr>
            <w:r w:rsidRPr="000A0A5F">
              <w:rPr>
                <w:noProof/>
              </w:rPr>
              <w:t>Response codes</w:t>
            </w:r>
          </w:p>
        </w:tc>
        <w:tc>
          <w:tcPr>
            <w:tcW w:w="4619" w:type="dxa"/>
            <w:shd w:val="clear" w:color="auto" w:fill="C0C0C0"/>
            <w:hideMark/>
          </w:tcPr>
          <w:p w:rsidR="00CB0DD7" w:rsidRPr="000A0A5F" w:rsidRDefault="00CB0DD7">
            <w:pPr>
              <w:pStyle w:val="TAH"/>
              <w:rPr>
                <w:noProof/>
              </w:rPr>
            </w:pPr>
            <w:r w:rsidRPr="000A0A5F">
              <w:rPr>
                <w:noProof/>
              </w:rPr>
              <w:t>Description</w:t>
            </w:r>
          </w:p>
        </w:tc>
      </w:tr>
      <w:tr w:rsidR="00CB0DD7" w:rsidRPr="000A0A5F" w:rsidTr="00FF0AF8">
        <w:trPr>
          <w:jc w:val="center"/>
        </w:trPr>
        <w:tc>
          <w:tcPr>
            <w:tcW w:w="2293" w:type="dxa"/>
          </w:tcPr>
          <w:p w:rsidR="00CB0DD7" w:rsidRPr="000A0A5F" w:rsidRDefault="00CB0DD7">
            <w:pPr>
              <w:pStyle w:val="TAL"/>
              <w:rPr>
                <w:noProof/>
              </w:rPr>
            </w:pPr>
            <w:r w:rsidRPr="000A0A5F">
              <w:t>Acknowledgement</w:t>
            </w:r>
          </w:p>
        </w:tc>
        <w:tc>
          <w:tcPr>
            <w:tcW w:w="1259" w:type="dxa"/>
          </w:tcPr>
          <w:p w:rsidR="00CB0DD7" w:rsidRPr="000A0A5F" w:rsidRDefault="00CB0DD7">
            <w:pPr>
              <w:pStyle w:val="TAC"/>
              <w:rPr>
                <w:noProof/>
              </w:rPr>
            </w:pPr>
            <w:r w:rsidRPr="000A0A5F">
              <w:rPr>
                <w:rFonts w:hint="eastAsia"/>
                <w:lang w:eastAsia="zh-CN"/>
              </w:rPr>
              <w:t>1</w:t>
            </w:r>
          </w:p>
        </w:tc>
        <w:tc>
          <w:tcPr>
            <w:tcW w:w="1441" w:type="dxa"/>
          </w:tcPr>
          <w:p w:rsidR="00CB0DD7" w:rsidRPr="000A0A5F" w:rsidRDefault="00CB0DD7">
            <w:pPr>
              <w:pStyle w:val="TAL"/>
              <w:rPr>
                <w:noProof/>
              </w:rPr>
            </w:pPr>
            <w:r w:rsidRPr="000A0A5F">
              <w:t>20</w:t>
            </w:r>
            <w:r w:rsidRPr="000A0A5F">
              <w:rPr>
                <w:rFonts w:hint="eastAsia"/>
                <w:lang w:eastAsia="zh-CN"/>
              </w:rPr>
              <w:t>0</w:t>
            </w:r>
            <w:r w:rsidRPr="000A0A5F">
              <w:t xml:space="preserve"> </w:t>
            </w:r>
            <w:r w:rsidRPr="000A0A5F">
              <w:rPr>
                <w:rFonts w:hint="eastAsia"/>
                <w:lang w:eastAsia="zh-CN"/>
              </w:rPr>
              <w:t>OK</w:t>
            </w:r>
          </w:p>
        </w:tc>
        <w:tc>
          <w:tcPr>
            <w:tcW w:w="4619" w:type="dxa"/>
          </w:tcPr>
          <w:p w:rsidR="00CB0DD7" w:rsidRPr="000A0A5F" w:rsidRDefault="00CB0DD7">
            <w:pPr>
              <w:pStyle w:val="TAL"/>
              <w:rPr>
                <w:noProof/>
              </w:rPr>
            </w:pPr>
            <w:r w:rsidRPr="000A0A5F">
              <w:t xml:space="preserve">The </w:t>
            </w:r>
            <w:r w:rsidRPr="000A0A5F">
              <w:rPr>
                <w:rFonts w:hint="eastAsia"/>
                <w:lang w:eastAsia="zh-CN"/>
              </w:rPr>
              <w:t xml:space="preserve">successful acknowledgement of the uplink data </w:t>
            </w:r>
            <w:r w:rsidRPr="000A0A5F">
              <w:rPr>
                <w:lang w:eastAsia="zh-CN"/>
              </w:rPr>
              <w:t>notification</w:t>
            </w:r>
          </w:p>
        </w:tc>
      </w:tr>
      <w:tr w:rsidR="00CB0DD7" w:rsidRPr="000A0A5F" w:rsidTr="00FF0AF8">
        <w:trPr>
          <w:jc w:val="center"/>
        </w:trPr>
        <w:tc>
          <w:tcPr>
            <w:tcW w:w="2293" w:type="dxa"/>
          </w:tcPr>
          <w:p w:rsidR="00CB0DD7" w:rsidRPr="000A0A5F" w:rsidRDefault="00CB0DD7">
            <w:pPr>
              <w:pStyle w:val="TAL"/>
            </w:pPr>
            <w:r w:rsidRPr="000A0A5F">
              <w:t>(None)</w:t>
            </w:r>
          </w:p>
        </w:tc>
        <w:tc>
          <w:tcPr>
            <w:tcW w:w="1259" w:type="dxa"/>
          </w:tcPr>
          <w:p w:rsidR="00CB0DD7" w:rsidRPr="000A0A5F" w:rsidRDefault="00CB0DD7">
            <w:pPr>
              <w:pStyle w:val="TAC"/>
              <w:rPr>
                <w:noProof/>
              </w:rPr>
            </w:pPr>
          </w:p>
        </w:tc>
        <w:tc>
          <w:tcPr>
            <w:tcW w:w="1441" w:type="dxa"/>
          </w:tcPr>
          <w:p w:rsidR="00CB0DD7" w:rsidRPr="000A0A5F" w:rsidRDefault="00CB0DD7">
            <w:pPr>
              <w:pStyle w:val="TAL"/>
            </w:pPr>
            <w:r w:rsidRPr="000A0A5F">
              <w:t>20</w:t>
            </w:r>
            <w:r w:rsidRPr="000A0A5F">
              <w:rPr>
                <w:lang w:eastAsia="zh-CN"/>
              </w:rPr>
              <w:t>4 No Content</w:t>
            </w:r>
          </w:p>
        </w:tc>
        <w:tc>
          <w:tcPr>
            <w:tcW w:w="4619" w:type="dxa"/>
          </w:tcPr>
          <w:p w:rsidR="00CB0DD7" w:rsidRPr="000A0A5F" w:rsidRDefault="00CB0DD7">
            <w:pPr>
              <w:pStyle w:val="TAL"/>
            </w:pPr>
            <w:r w:rsidRPr="000A0A5F">
              <w:t xml:space="preserve">The </w:t>
            </w:r>
            <w:r w:rsidRPr="000A0A5F">
              <w:rPr>
                <w:rFonts w:hint="eastAsia"/>
                <w:lang w:eastAsia="zh-CN"/>
              </w:rPr>
              <w:t>successful acknowledgement of the notification without a body.</w:t>
            </w:r>
          </w:p>
        </w:tc>
      </w:tr>
      <w:tr w:rsidR="00CB0DD7" w:rsidRPr="000A0A5F" w:rsidTr="00FF0AF8">
        <w:trPr>
          <w:jc w:val="center"/>
        </w:trPr>
        <w:tc>
          <w:tcPr>
            <w:tcW w:w="2293" w:type="dxa"/>
          </w:tcPr>
          <w:p w:rsidR="00CB0DD7" w:rsidRPr="000A0A5F" w:rsidRDefault="00CB0DD7">
            <w:pPr>
              <w:pStyle w:val="TAL"/>
            </w:pPr>
            <w:r w:rsidRPr="000A0A5F">
              <w:rPr>
                <w:lang w:eastAsia="zh-CN"/>
              </w:rPr>
              <w:t>N</w:t>
            </w:r>
            <w:r w:rsidRPr="000A0A5F">
              <w:rPr>
                <w:rFonts w:hint="eastAsia"/>
                <w:lang w:eastAsia="zh-CN"/>
              </w:rPr>
              <w:t>one</w:t>
            </w:r>
          </w:p>
        </w:tc>
        <w:tc>
          <w:tcPr>
            <w:tcW w:w="1259" w:type="dxa"/>
          </w:tcPr>
          <w:p w:rsidR="00CB0DD7" w:rsidRPr="000A0A5F" w:rsidRDefault="00CB0DD7">
            <w:pPr>
              <w:pStyle w:val="TAC"/>
              <w:rPr>
                <w:noProof/>
              </w:rPr>
            </w:pPr>
          </w:p>
        </w:tc>
        <w:tc>
          <w:tcPr>
            <w:tcW w:w="1441" w:type="dxa"/>
          </w:tcPr>
          <w:p w:rsidR="00CB0DD7" w:rsidRPr="000A0A5F" w:rsidRDefault="00CB0DD7">
            <w:pPr>
              <w:pStyle w:val="TAL"/>
            </w:pPr>
            <w:r w:rsidRPr="000A0A5F">
              <w:t>307 Temporary Redirect</w:t>
            </w:r>
          </w:p>
        </w:tc>
        <w:tc>
          <w:tcPr>
            <w:tcW w:w="4619" w:type="dxa"/>
          </w:tcPr>
          <w:p w:rsidR="00CB0DD7" w:rsidRPr="000A0A5F" w:rsidRDefault="00CB0DD7">
            <w:pPr>
              <w:pStyle w:val="TAL"/>
            </w:pPr>
            <w:r w:rsidRPr="000A0A5F">
              <w:t>Temporary redirection, during event notification. The response shall include a Location header field containing an alternative URI representing the end point of an alternative SCS/AS where the notification should be sent.</w:t>
            </w:r>
          </w:p>
          <w:p w:rsidR="00CB0DD7" w:rsidRPr="000A0A5F" w:rsidRDefault="00CB0DD7">
            <w:pPr>
              <w:pStyle w:val="TAL"/>
            </w:pPr>
            <w:r w:rsidRPr="000A0A5F">
              <w:t>Redirection handling is described in clause 5.2.10.</w:t>
            </w:r>
          </w:p>
        </w:tc>
      </w:tr>
      <w:tr w:rsidR="00CB0DD7" w:rsidRPr="000A0A5F" w:rsidTr="00FF0AF8">
        <w:trPr>
          <w:jc w:val="center"/>
        </w:trPr>
        <w:tc>
          <w:tcPr>
            <w:tcW w:w="2293" w:type="dxa"/>
          </w:tcPr>
          <w:p w:rsidR="00CB0DD7" w:rsidRPr="000A0A5F" w:rsidRDefault="00CB0DD7">
            <w:pPr>
              <w:pStyle w:val="TAL"/>
            </w:pPr>
            <w:r w:rsidRPr="000A0A5F">
              <w:rPr>
                <w:lang w:eastAsia="zh-CN"/>
              </w:rPr>
              <w:t>N</w:t>
            </w:r>
            <w:r w:rsidRPr="000A0A5F">
              <w:rPr>
                <w:rFonts w:hint="eastAsia"/>
                <w:lang w:eastAsia="zh-CN"/>
              </w:rPr>
              <w:t>one</w:t>
            </w:r>
          </w:p>
        </w:tc>
        <w:tc>
          <w:tcPr>
            <w:tcW w:w="1259" w:type="dxa"/>
          </w:tcPr>
          <w:p w:rsidR="00CB0DD7" w:rsidRPr="000A0A5F" w:rsidRDefault="00CB0DD7">
            <w:pPr>
              <w:pStyle w:val="TAC"/>
              <w:rPr>
                <w:noProof/>
              </w:rPr>
            </w:pPr>
          </w:p>
        </w:tc>
        <w:tc>
          <w:tcPr>
            <w:tcW w:w="1441" w:type="dxa"/>
          </w:tcPr>
          <w:p w:rsidR="00CB0DD7" w:rsidRPr="000A0A5F" w:rsidRDefault="00CB0DD7">
            <w:pPr>
              <w:pStyle w:val="TAL"/>
            </w:pPr>
            <w:r w:rsidRPr="000A0A5F">
              <w:t>308 Permanent Redirect</w:t>
            </w:r>
          </w:p>
        </w:tc>
        <w:tc>
          <w:tcPr>
            <w:tcW w:w="4619" w:type="dxa"/>
          </w:tcPr>
          <w:p w:rsidR="00CB0DD7" w:rsidRPr="000A0A5F" w:rsidRDefault="00CB0DD7">
            <w:pPr>
              <w:pStyle w:val="TAL"/>
            </w:pPr>
            <w:r w:rsidRPr="000A0A5F">
              <w:t>Permanent redirection, during event notification. The response shall include a Location header field containing an alternative URI representing the end point of an alternative SCS/AS where the notification should be sent.</w:t>
            </w:r>
          </w:p>
          <w:p w:rsidR="00CB0DD7" w:rsidRPr="000A0A5F" w:rsidRDefault="00CB0DD7">
            <w:pPr>
              <w:pStyle w:val="TAL"/>
            </w:pPr>
            <w:r w:rsidRPr="000A0A5F">
              <w:t>Redirection handling is described in clause 5.2.10.</w:t>
            </w:r>
          </w:p>
        </w:tc>
      </w:tr>
      <w:tr w:rsidR="00CB0DD7" w:rsidRPr="000A0A5F" w:rsidTr="00FF0AF8">
        <w:trPr>
          <w:jc w:val="center"/>
        </w:trPr>
        <w:tc>
          <w:tcPr>
            <w:tcW w:w="9612" w:type="dxa"/>
            <w:gridSpan w:val="4"/>
          </w:tcPr>
          <w:p w:rsidR="00CB0DD7" w:rsidRPr="000A0A5F" w:rsidRDefault="00CB0DD7">
            <w:pPr>
              <w:pStyle w:val="TAN"/>
            </w:pPr>
            <w:r w:rsidRPr="000A0A5F">
              <w:t>NOTE:</w:t>
            </w:r>
            <w:r w:rsidRPr="000A0A5F">
              <w:tab/>
              <w:t>The mandatory HTTP error status codes for the POST method listed in table 5.2.6-1 also apply.</w:t>
            </w:r>
          </w:p>
        </w:tc>
      </w:tr>
    </w:tbl>
    <w:p w:rsidR="00CB0DD7" w:rsidRPr="000A0A5F" w:rsidRDefault="00CB0DD7">
      <w:pPr>
        <w:rPr>
          <w:noProof/>
        </w:rPr>
      </w:pPr>
    </w:p>
    <w:p w:rsidR="00CB0DD7" w:rsidRPr="000A0A5F" w:rsidRDefault="002E466A">
      <w:pPr>
        <w:pStyle w:val="TH"/>
      </w:pPr>
      <w:r w:rsidRPr="000A0A5F">
        <w:t>Table </w:t>
      </w:r>
      <w:r w:rsidR="00CB0DD7" w:rsidRPr="000A0A5F">
        <w:t>5.6.</w:t>
      </w:r>
      <w:r w:rsidR="0096153A" w:rsidRPr="000A0A5F">
        <w:t>3A</w:t>
      </w:r>
      <w:r w:rsidR="00CB0DD7" w:rsidRPr="000A0A5F">
        <w:t>.4</w:t>
      </w:r>
      <w:r w:rsidR="00CB0DD7" w:rsidRPr="000A0A5F">
        <w:rPr>
          <w:noProof/>
        </w:rPr>
        <w:t>.3.1</w:t>
      </w:r>
      <w:r w:rsidR="00CB0DD7" w:rsidRPr="000A0A5F">
        <w:t>-3: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representing the end point of an alternative SCS/AS towards which the notification should be redirected.</w:t>
            </w:r>
          </w:p>
        </w:tc>
      </w:tr>
    </w:tbl>
    <w:p w:rsidR="00CB0DD7" w:rsidRPr="000A0A5F" w:rsidRDefault="00CB0DD7"/>
    <w:p w:rsidR="00CB0DD7" w:rsidRPr="000A0A5F" w:rsidRDefault="002E466A">
      <w:pPr>
        <w:pStyle w:val="TH"/>
      </w:pPr>
      <w:r w:rsidRPr="000A0A5F">
        <w:t>Table </w:t>
      </w:r>
      <w:r w:rsidR="00CB0DD7" w:rsidRPr="000A0A5F">
        <w:t>5.6.</w:t>
      </w:r>
      <w:r w:rsidR="0096153A" w:rsidRPr="000A0A5F">
        <w:t>3A</w:t>
      </w:r>
      <w:r w:rsidR="00CB0DD7" w:rsidRPr="000A0A5F">
        <w:t>.4</w:t>
      </w:r>
      <w:r w:rsidR="00CB0DD7" w:rsidRPr="000A0A5F">
        <w:rPr>
          <w:noProof/>
        </w:rPr>
        <w:t>.3.1</w:t>
      </w:r>
      <w:r w:rsidR="00CB0DD7" w:rsidRPr="000A0A5F">
        <w:t>-4: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representing the end point of an alternative SCS/AS towards which the notification should be redirected.</w:t>
            </w:r>
          </w:p>
        </w:tc>
      </w:tr>
    </w:tbl>
    <w:p w:rsidR="00CB0DD7" w:rsidRPr="000A0A5F" w:rsidRDefault="00CB0DD7">
      <w:pPr>
        <w:rPr>
          <w:noProof/>
        </w:rPr>
      </w:pPr>
    </w:p>
    <w:p w:rsidR="00CB0DD7" w:rsidRPr="000A0A5F" w:rsidRDefault="00CB0DD7">
      <w:pPr>
        <w:pStyle w:val="Heading6"/>
        <w:rPr>
          <w:noProof/>
        </w:rPr>
      </w:pPr>
      <w:bookmarkStart w:id="4621" w:name="_Toc66360601"/>
      <w:bookmarkStart w:id="4622" w:name="_Toc68105106"/>
      <w:bookmarkStart w:id="4623" w:name="_Toc74755736"/>
      <w:bookmarkStart w:id="4624" w:name="_Toc105674610"/>
      <w:bookmarkStart w:id="4625" w:name="_Toc130502658"/>
      <w:bookmarkStart w:id="4626" w:name="_Toc153625445"/>
      <w:r w:rsidRPr="000A0A5F">
        <w:t>5.6.</w:t>
      </w:r>
      <w:r w:rsidR="0096153A" w:rsidRPr="000A0A5F">
        <w:t>3A</w:t>
      </w:r>
      <w:r w:rsidRPr="000A0A5F">
        <w:t>.4.3</w:t>
      </w:r>
      <w:r w:rsidRPr="000A0A5F">
        <w:rPr>
          <w:noProof/>
        </w:rPr>
        <w:t>.2</w:t>
      </w:r>
      <w:r w:rsidRPr="000A0A5F">
        <w:rPr>
          <w:noProof/>
        </w:rPr>
        <w:tab/>
      </w:r>
      <w:r w:rsidRPr="000A0A5F">
        <w:t>Notification via Websocket</w:t>
      </w:r>
      <w:bookmarkEnd w:id="4621"/>
      <w:bookmarkEnd w:id="4622"/>
      <w:bookmarkEnd w:id="4623"/>
      <w:bookmarkEnd w:id="4624"/>
      <w:bookmarkEnd w:id="4625"/>
      <w:bookmarkEnd w:id="4626"/>
    </w:p>
    <w:p w:rsidR="00CB0DD7" w:rsidRPr="000A0A5F" w:rsidRDefault="00CB0DD7">
      <w:r w:rsidRPr="000A0A5F">
        <w:t>If supported by both SCS/AS and SCEF and successfully negotiated</w:t>
      </w:r>
      <w:r w:rsidRPr="000A0A5F">
        <w:rPr>
          <w:lang w:eastAsia="zh-CN"/>
        </w:rPr>
        <w:t xml:space="preserve">, the </w:t>
      </w:r>
      <w:r w:rsidRPr="000A0A5F">
        <w:t>Nidd</w:t>
      </w:r>
      <w:r w:rsidRPr="000A0A5F">
        <w:rPr>
          <w:rFonts w:hint="eastAsia"/>
          <w:lang w:eastAsia="zh-CN"/>
        </w:rPr>
        <w:t>Uplink</w:t>
      </w:r>
      <w:r w:rsidRPr="000A0A5F">
        <w:t>DataNotification</w:t>
      </w:r>
      <w:r w:rsidRPr="000A0A5F">
        <w:rPr>
          <w:lang w:eastAsia="zh-CN"/>
        </w:rPr>
        <w:t xml:space="preserve"> may alternatively be delivered through the Websocket mechanism as defined in clause 5.2.5.4.</w:t>
      </w:r>
    </w:p>
    <w:p w:rsidR="00CB0DD7" w:rsidRPr="000A0A5F" w:rsidRDefault="00CB0DD7"/>
    <w:p w:rsidR="00CB0DD7" w:rsidRPr="000A0A5F" w:rsidRDefault="00CB0DD7">
      <w:pPr>
        <w:pStyle w:val="Heading4"/>
      </w:pPr>
      <w:bookmarkStart w:id="4627" w:name="_Toc66360602"/>
      <w:bookmarkStart w:id="4628" w:name="_Toc68105107"/>
      <w:bookmarkStart w:id="4629" w:name="_Toc74755737"/>
      <w:bookmarkStart w:id="4630" w:name="_Toc105674611"/>
      <w:bookmarkStart w:id="4631" w:name="_Toc130502659"/>
      <w:bookmarkStart w:id="4632" w:name="_Toc153625446"/>
      <w:r w:rsidRPr="000A0A5F">
        <w:t>5.6.</w:t>
      </w:r>
      <w:r w:rsidR="0096153A" w:rsidRPr="000A0A5F">
        <w:t>3A</w:t>
      </w:r>
      <w:r w:rsidRPr="000A0A5F">
        <w:t>.5</w:t>
      </w:r>
      <w:r w:rsidRPr="000A0A5F">
        <w:tab/>
        <w:t>ManagePort Notification</w:t>
      </w:r>
      <w:bookmarkEnd w:id="4627"/>
      <w:bookmarkEnd w:id="4628"/>
      <w:bookmarkEnd w:id="4629"/>
      <w:bookmarkEnd w:id="4630"/>
      <w:bookmarkEnd w:id="4631"/>
      <w:bookmarkEnd w:id="4632"/>
    </w:p>
    <w:p w:rsidR="00CB0DD7" w:rsidRPr="000A0A5F" w:rsidRDefault="00CB0DD7">
      <w:pPr>
        <w:pStyle w:val="Heading5"/>
        <w:rPr>
          <w:noProof/>
        </w:rPr>
      </w:pPr>
      <w:bookmarkStart w:id="4633" w:name="_Toc66360603"/>
      <w:bookmarkStart w:id="4634" w:name="_Toc68105108"/>
      <w:bookmarkStart w:id="4635" w:name="_Toc74755738"/>
      <w:bookmarkStart w:id="4636" w:name="_Toc105674612"/>
      <w:bookmarkStart w:id="4637" w:name="_Toc130502660"/>
      <w:bookmarkStart w:id="4638" w:name="_Toc153625447"/>
      <w:r w:rsidRPr="000A0A5F">
        <w:t>5.6.</w:t>
      </w:r>
      <w:r w:rsidR="0096153A" w:rsidRPr="000A0A5F">
        <w:t>3A</w:t>
      </w:r>
      <w:r w:rsidRPr="000A0A5F">
        <w:t>.5</w:t>
      </w:r>
      <w:r w:rsidRPr="000A0A5F">
        <w:rPr>
          <w:noProof/>
        </w:rPr>
        <w:t>.1</w:t>
      </w:r>
      <w:r w:rsidRPr="000A0A5F">
        <w:rPr>
          <w:noProof/>
        </w:rPr>
        <w:tab/>
        <w:t>Description</w:t>
      </w:r>
      <w:bookmarkEnd w:id="4633"/>
      <w:bookmarkEnd w:id="4634"/>
      <w:bookmarkEnd w:id="4635"/>
      <w:bookmarkEnd w:id="4636"/>
      <w:bookmarkEnd w:id="4637"/>
      <w:bookmarkEnd w:id="4638"/>
    </w:p>
    <w:p w:rsidR="00CB0DD7" w:rsidRPr="000A0A5F" w:rsidRDefault="00CB0DD7">
      <w:pPr>
        <w:rPr>
          <w:noProof/>
          <w:lang w:eastAsia="zh-CN"/>
        </w:rPr>
      </w:pPr>
      <w:r w:rsidRPr="000A0A5F">
        <w:rPr>
          <w:noProof/>
          <w:lang w:eastAsia="zh-CN"/>
        </w:rPr>
        <w:t xml:space="preserve">The </w:t>
      </w:r>
      <w:r w:rsidRPr="000A0A5F">
        <w:t>ManagePort Notification</w:t>
      </w:r>
      <w:r w:rsidRPr="000A0A5F">
        <w:rPr>
          <w:noProof/>
          <w:lang w:eastAsia="zh-CN"/>
        </w:rPr>
        <w:t xml:space="preserve"> allows t</w:t>
      </w:r>
      <w:r w:rsidRPr="000A0A5F">
        <w:rPr>
          <w:rFonts w:hint="eastAsia"/>
          <w:noProof/>
          <w:lang w:eastAsia="zh-CN"/>
        </w:rPr>
        <w:t xml:space="preserve">he </w:t>
      </w:r>
      <w:r w:rsidRPr="000A0A5F">
        <w:rPr>
          <w:noProof/>
          <w:lang w:eastAsia="zh-CN"/>
        </w:rPr>
        <w:t>SCEF to send notifications about the port numbers that are reserved.</w:t>
      </w:r>
    </w:p>
    <w:p w:rsidR="00CB0DD7" w:rsidRPr="000A0A5F" w:rsidRDefault="00CB0DD7">
      <w:pPr>
        <w:pStyle w:val="Heading5"/>
        <w:rPr>
          <w:noProof/>
        </w:rPr>
      </w:pPr>
      <w:bookmarkStart w:id="4639" w:name="_Toc66360604"/>
      <w:bookmarkStart w:id="4640" w:name="_Toc68105109"/>
      <w:bookmarkStart w:id="4641" w:name="_Toc74755739"/>
      <w:bookmarkStart w:id="4642" w:name="_Toc105674613"/>
      <w:bookmarkStart w:id="4643" w:name="_Toc130502661"/>
      <w:bookmarkStart w:id="4644" w:name="_Toc153625448"/>
      <w:r w:rsidRPr="000A0A5F">
        <w:t>5.6.</w:t>
      </w:r>
      <w:r w:rsidR="0096153A" w:rsidRPr="000A0A5F">
        <w:t>3A</w:t>
      </w:r>
      <w:r w:rsidRPr="000A0A5F">
        <w:t>.5</w:t>
      </w:r>
      <w:r w:rsidRPr="000A0A5F">
        <w:rPr>
          <w:noProof/>
        </w:rPr>
        <w:t>.2</w:t>
      </w:r>
      <w:r w:rsidRPr="000A0A5F">
        <w:rPr>
          <w:noProof/>
        </w:rPr>
        <w:tab/>
        <w:t>Target URI</w:t>
      </w:r>
      <w:bookmarkEnd w:id="4639"/>
      <w:bookmarkEnd w:id="4640"/>
      <w:bookmarkEnd w:id="4641"/>
      <w:bookmarkEnd w:id="4642"/>
      <w:bookmarkEnd w:id="4643"/>
      <w:bookmarkEnd w:id="4644"/>
    </w:p>
    <w:p w:rsidR="00CB0DD7" w:rsidRPr="000A0A5F" w:rsidRDefault="00CB0DD7">
      <w:pPr>
        <w:rPr>
          <w:rFonts w:ascii="Arial" w:hAnsi="Arial" w:cs="Arial"/>
          <w:noProof/>
        </w:rPr>
      </w:pPr>
      <w:r w:rsidRPr="000A0A5F">
        <w:rPr>
          <w:noProof/>
        </w:rPr>
        <w:t xml:space="preserve">The Callback URI </w:t>
      </w:r>
      <w:r w:rsidRPr="000A0A5F">
        <w:rPr>
          <w:b/>
          <w:noProof/>
        </w:rPr>
        <w:t>"{</w:t>
      </w:r>
      <w:r w:rsidRPr="000A0A5F">
        <w:t>notification_uri</w:t>
      </w:r>
      <w:r w:rsidRPr="000A0A5F">
        <w:rPr>
          <w:b/>
          <w:noProof/>
        </w:rPr>
        <w:t>}"</w:t>
      </w:r>
      <w:r w:rsidRPr="000A0A5F">
        <w:rPr>
          <w:noProof/>
        </w:rPr>
        <w:t xml:space="preserve"> shall be used with the callback URI variables defined in table </w:t>
      </w:r>
      <w:r w:rsidRPr="000A0A5F">
        <w:t>5.6.</w:t>
      </w:r>
      <w:r w:rsidR="0096153A" w:rsidRPr="000A0A5F">
        <w:t>3A</w:t>
      </w:r>
      <w:r w:rsidRPr="000A0A5F">
        <w:t>.5</w:t>
      </w:r>
      <w:r w:rsidRPr="000A0A5F">
        <w:rPr>
          <w:noProof/>
        </w:rPr>
        <w:t>.2-1</w:t>
      </w:r>
      <w:r w:rsidRPr="000A0A5F">
        <w:rPr>
          <w:rFonts w:ascii="Arial" w:hAnsi="Arial" w:cs="Arial"/>
          <w:noProof/>
        </w:rPr>
        <w:t>.</w:t>
      </w:r>
    </w:p>
    <w:p w:rsidR="00CB0DD7" w:rsidRPr="000A0A5F" w:rsidRDefault="00CB0DD7">
      <w:pPr>
        <w:pStyle w:val="TH"/>
        <w:rPr>
          <w:rFonts w:cs="Arial"/>
          <w:noProof/>
        </w:rPr>
      </w:pPr>
      <w:r w:rsidRPr="000A0A5F">
        <w:rPr>
          <w:noProof/>
        </w:rPr>
        <w:t>Table </w:t>
      </w:r>
      <w:r w:rsidRPr="000A0A5F">
        <w:t>5.6.</w:t>
      </w:r>
      <w:r w:rsidR="0096153A" w:rsidRPr="000A0A5F">
        <w:t>3A</w:t>
      </w:r>
      <w:r w:rsidRPr="000A0A5F">
        <w:t>.5</w:t>
      </w:r>
      <w:r w:rsidRPr="000A0A5F">
        <w:rPr>
          <w:noProof/>
        </w:rPr>
        <w:t>.2-1: Callback URI variables</w:t>
      </w:r>
    </w:p>
    <w:tbl>
      <w:tblPr>
        <w:tblW w:w="494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970"/>
        <w:gridCol w:w="1312"/>
        <w:gridCol w:w="6378"/>
      </w:tblGrid>
      <w:tr w:rsidR="00CB0DD7" w:rsidRPr="000A0A5F" w:rsidTr="00FF0AF8">
        <w:trPr>
          <w:jc w:val="center"/>
        </w:trPr>
        <w:tc>
          <w:tcPr>
            <w:tcW w:w="1020" w:type="pct"/>
            <w:shd w:val="clear" w:color="000000" w:fill="C0C0C0"/>
          </w:tcPr>
          <w:p w:rsidR="00CB0DD7" w:rsidRPr="000A0A5F" w:rsidRDefault="00CB0DD7">
            <w:pPr>
              <w:pStyle w:val="TAH"/>
            </w:pPr>
            <w:r w:rsidRPr="000A0A5F">
              <w:t>Name</w:t>
            </w:r>
          </w:p>
        </w:tc>
        <w:tc>
          <w:tcPr>
            <w:tcW w:w="679" w:type="pct"/>
            <w:shd w:val="clear" w:color="000000" w:fill="C0C0C0"/>
          </w:tcPr>
          <w:p w:rsidR="00CB0DD7" w:rsidRPr="000A0A5F" w:rsidRDefault="00CB0DD7">
            <w:pPr>
              <w:pStyle w:val="TAH"/>
            </w:pPr>
            <w:r w:rsidRPr="000A0A5F">
              <w:rPr>
                <w:rFonts w:hint="eastAsia"/>
                <w:lang w:eastAsia="zh-CN"/>
              </w:rPr>
              <w:t>D</w:t>
            </w:r>
            <w:r w:rsidRPr="000A0A5F">
              <w:rPr>
                <w:lang w:eastAsia="zh-CN"/>
              </w:rPr>
              <w:t>ata type</w:t>
            </w:r>
          </w:p>
        </w:tc>
        <w:tc>
          <w:tcPr>
            <w:tcW w:w="3301" w:type="pct"/>
            <w:shd w:val="clear" w:color="000000" w:fill="C0C0C0"/>
            <w:vAlign w:val="center"/>
          </w:tcPr>
          <w:p w:rsidR="00CB0DD7" w:rsidRPr="000A0A5F" w:rsidRDefault="00CB0DD7">
            <w:pPr>
              <w:pStyle w:val="TAH"/>
            </w:pPr>
            <w:r w:rsidRPr="000A0A5F">
              <w:t>Definition</w:t>
            </w:r>
          </w:p>
        </w:tc>
      </w:tr>
      <w:tr w:rsidR="00CB0DD7" w:rsidRPr="000A0A5F" w:rsidTr="00FF0AF8">
        <w:trPr>
          <w:jc w:val="center"/>
        </w:trPr>
        <w:tc>
          <w:tcPr>
            <w:tcW w:w="1020" w:type="pct"/>
            <w:shd w:val="clear" w:color="auto" w:fill="auto"/>
          </w:tcPr>
          <w:p w:rsidR="00CB0DD7" w:rsidRPr="000A0A5F" w:rsidRDefault="00CB0DD7">
            <w:pPr>
              <w:pStyle w:val="TAL"/>
              <w:rPr>
                <w:lang w:eastAsia="zh-CN"/>
              </w:rPr>
            </w:pPr>
            <w:r w:rsidRPr="000A0A5F">
              <w:t>notification_uri</w:t>
            </w:r>
          </w:p>
        </w:tc>
        <w:tc>
          <w:tcPr>
            <w:tcW w:w="679" w:type="pct"/>
          </w:tcPr>
          <w:p w:rsidR="00CB0DD7" w:rsidRPr="000A0A5F" w:rsidRDefault="00CB0DD7">
            <w:pPr>
              <w:pStyle w:val="TAL"/>
            </w:pPr>
            <w:r w:rsidRPr="000A0A5F">
              <w:rPr>
                <w:lang w:eastAsia="zh-CN"/>
              </w:rPr>
              <w:t>Link</w:t>
            </w:r>
          </w:p>
        </w:tc>
        <w:tc>
          <w:tcPr>
            <w:tcW w:w="3301" w:type="pct"/>
            <w:shd w:val="clear" w:color="auto" w:fill="auto"/>
            <w:vAlign w:val="center"/>
          </w:tcPr>
          <w:p w:rsidR="00CB0DD7" w:rsidRPr="000A0A5F" w:rsidRDefault="00CB0DD7">
            <w:pPr>
              <w:pStyle w:val="TAL"/>
              <w:rPr>
                <w:rFonts w:cs="Arial"/>
                <w:szCs w:val="18"/>
                <w:lang w:eastAsia="zh-CN"/>
              </w:rPr>
            </w:pPr>
            <w:r w:rsidRPr="000A0A5F">
              <w:rPr>
                <w:rFonts w:cs="Arial" w:hint="eastAsia"/>
                <w:szCs w:val="18"/>
                <w:lang w:eastAsia="zh-CN"/>
              </w:rPr>
              <w:t xml:space="preserve">A URI indicating the notification destination </w:t>
            </w:r>
            <w:r w:rsidRPr="000A0A5F">
              <w:rPr>
                <w:rFonts w:cs="Arial"/>
                <w:szCs w:val="18"/>
                <w:lang w:eastAsia="zh-CN"/>
              </w:rPr>
              <w:t xml:space="preserve">URI where </w:t>
            </w:r>
            <w:r w:rsidRPr="000A0A5F">
              <w:rPr>
                <w:rFonts w:cs="Arial" w:hint="eastAsia"/>
                <w:szCs w:val="18"/>
                <w:lang w:eastAsia="zh-CN"/>
              </w:rPr>
              <w:t xml:space="preserve">T8 </w:t>
            </w:r>
            <w:r w:rsidRPr="000A0A5F">
              <w:rPr>
                <w:rFonts w:cs="Arial"/>
                <w:szCs w:val="18"/>
                <w:lang w:eastAsia="zh-CN"/>
              </w:rPr>
              <w:t>notification requests shall be delivered</w:t>
            </w:r>
            <w:r w:rsidRPr="000A0A5F">
              <w:rPr>
                <w:rFonts w:cs="Arial" w:hint="eastAsia"/>
                <w:szCs w:val="18"/>
                <w:lang w:eastAsia="zh-CN"/>
              </w:rPr>
              <w:t>.</w:t>
            </w:r>
          </w:p>
          <w:p w:rsidR="00CB0DD7" w:rsidRPr="000A0A5F" w:rsidRDefault="00CB0DD7">
            <w:pPr>
              <w:pStyle w:val="TAL"/>
            </w:pPr>
            <w:r w:rsidRPr="000A0A5F">
              <w:rPr>
                <w:rFonts w:cs="Arial"/>
                <w:szCs w:val="18"/>
                <w:lang w:eastAsia="zh-CN"/>
              </w:rPr>
              <w:t>This URI shall be provided within the "notificationDestination" attribute in the NiddConfiguration type.</w:t>
            </w:r>
          </w:p>
        </w:tc>
      </w:tr>
    </w:tbl>
    <w:p w:rsidR="00CB0DD7" w:rsidRPr="000A0A5F" w:rsidRDefault="00CB0DD7"/>
    <w:p w:rsidR="00CB0DD7" w:rsidRPr="000A0A5F" w:rsidRDefault="00CB0DD7">
      <w:pPr>
        <w:pStyle w:val="Heading5"/>
        <w:rPr>
          <w:noProof/>
        </w:rPr>
      </w:pPr>
      <w:bookmarkStart w:id="4645" w:name="_Toc66360605"/>
      <w:bookmarkStart w:id="4646" w:name="_Toc68105110"/>
      <w:bookmarkStart w:id="4647" w:name="_Toc74755740"/>
      <w:bookmarkStart w:id="4648" w:name="_Toc105674614"/>
      <w:bookmarkStart w:id="4649" w:name="_Toc130502662"/>
      <w:bookmarkStart w:id="4650" w:name="_Toc153625449"/>
      <w:r w:rsidRPr="000A0A5F">
        <w:t>5.6.</w:t>
      </w:r>
      <w:r w:rsidR="0096153A" w:rsidRPr="000A0A5F">
        <w:t>3A</w:t>
      </w:r>
      <w:r w:rsidRPr="000A0A5F">
        <w:t>.5</w:t>
      </w:r>
      <w:r w:rsidRPr="000A0A5F">
        <w:rPr>
          <w:noProof/>
        </w:rPr>
        <w:t>.3</w:t>
      </w:r>
      <w:r w:rsidRPr="000A0A5F">
        <w:rPr>
          <w:noProof/>
        </w:rPr>
        <w:tab/>
        <w:t>Standard Methods</w:t>
      </w:r>
      <w:bookmarkEnd w:id="4645"/>
      <w:bookmarkEnd w:id="4646"/>
      <w:bookmarkEnd w:id="4647"/>
      <w:bookmarkEnd w:id="4648"/>
      <w:bookmarkEnd w:id="4649"/>
      <w:bookmarkEnd w:id="4650"/>
    </w:p>
    <w:p w:rsidR="00CB0DD7" w:rsidRPr="000A0A5F" w:rsidRDefault="00CB0DD7">
      <w:pPr>
        <w:pStyle w:val="Heading6"/>
        <w:rPr>
          <w:noProof/>
        </w:rPr>
      </w:pPr>
      <w:bookmarkStart w:id="4651" w:name="_Toc66360606"/>
      <w:bookmarkStart w:id="4652" w:name="_Toc68105111"/>
      <w:bookmarkStart w:id="4653" w:name="_Toc74755741"/>
      <w:bookmarkStart w:id="4654" w:name="_Toc105674615"/>
      <w:bookmarkStart w:id="4655" w:name="_Toc130502663"/>
      <w:bookmarkStart w:id="4656" w:name="_Toc153625450"/>
      <w:r w:rsidRPr="000A0A5F">
        <w:t>5.6.</w:t>
      </w:r>
      <w:r w:rsidR="0096153A" w:rsidRPr="000A0A5F">
        <w:t>3A</w:t>
      </w:r>
      <w:r w:rsidRPr="000A0A5F">
        <w:t>.5.3</w:t>
      </w:r>
      <w:r w:rsidRPr="000A0A5F">
        <w:rPr>
          <w:noProof/>
        </w:rPr>
        <w:t>.1</w:t>
      </w:r>
      <w:r w:rsidRPr="000A0A5F">
        <w:rPr>
          <w:noProof/>
        </w:rPr>
        <w:tab/>
      </w:r>
      <w:r w:rsidRPr="000A0A5F">
        <w:t>Notification via POST</w:t>
      </w:r>
      <w:bookmarkEnd w:id="4651"/>
      <w:bookmarkEnd w:id="4652"/>
      <w:bookmarkEnd w:id="4653"/>
      <w:bookmarkEnd w:id="4654"/>
      <w:bookmarkEnd w:id="4655"/>
      <w:bookmarkEnd w:id="4656"/>
    </w:p>
    <w:p w:rsidR="00CB0DD7" w:rsidRPr="000A0A5F" w:rsidRDefault="00CB0DD7">
      <w:r w:rsidRPr="000A0A5F">
        <w:t xml:space="preserve">To </w:t>
      </w:r>
      <w:r w:rsidRPr="000A0A5F">
        <w:rPr>
          <w:rFonts w:hint="eastAsia"/>
          <w:lang w:eastAsia="zh-CN"/>
        </w:rPr>
        <w:t xml:space="preserve">send the </w:t>
      </w:r>
      <w:r w:rsidRPr="000A0A5F">
        <w:rPr>
          <w:lang w:eastAsia="zh-CN"/>
        </w:rPr>
        <w:t>information about reserved ports and their configuration</w:t>
      </w:r>
      <w:r w:rsidRPr="000A0A5F">
        <w:rPr>
          <w:rFonts w:hint="eastAsia"/>
          <w:lang w:eastAsia="zh-CN"/>
        </w:rPr>
        <w:t xml:space="preserve"> to the SCS/AS</w:t>
      </w:r>
      <w:r w:rsidRPr="000A0A5F">
        <w:t xml:space="preserve">, the </w:t>
      </w:r>
      <w:r w:rsidRPr="000A0A5F">
        <w:rPr>
          <w:rFonts w:hint="eastAsia"/>
          <w:lang w:eastAsia="zh-CN"/>
        </w:rPr>
        <w:t xml:space="preserve">SCEF </w:t>
      </w:r>
      <w:r w:rsidRPr="000A0A5F">
        <w:t xml:space="preserve">shall use the HTTP POST method on the </w:t>
      </w:r>
      <w:r w:rsidRPr="000A0A5F">
        <w:rPr>
          <w:rFonts w:hint="eastAsia"/>
          <w:lang w:eastAsia="zh-CN"/>
        </w:rPr>
        <w:t>notification endpoint</w:t>
      </w:r>
      <w:r w:rsidRPr="000A0A5F">
        <w:t xml:space="preserve"> </w:t>
      </w:r>
      <w:r w:rsidRPr="000A0A5F">
        <w:rPr>
          <w:rFonts w:hint="eastAsia"/>
          <w:lang w:eastAsia="zh-CN"/>
        </w:rPr>
        <w:t xml:space="preserve">in SCS/AS </w:t>
      </w:r>
      <w:r w:rsidRPr="000A0A5F">
        <w:t>as follows:</w:t>
      </w:r>
    </w:p>
    <w:p w:rsidR="00CB0DD7" w:rsidRPr="000A0A5F" w:rsidRDefault="00CB0DD7">
      <w:pPr>
        <w:ind w:firstLine="284"/>
        <w:rPr>
          <w:lang w:eastAsia="zh-CN"/>
        </w:rPr>
      </w:pPr>
      <w:r w:rsidRPr="000A0A5F">
        <w:t>-</w:t>
      </w:r>
      <w:r w:rsidRPr="000A0A5F">
        <w:tab/>
        <w:t>the body of the message is encoded in JSON format</w:t>
      </w:r>
      <w:r w:rsidRPr="000A0A5F">
        <w:rPr>
          <w:rFonts w:hint="eastAsia"/>
          <w:lang w:eastAsia="zh-CN"/>
        </w:rPr>
        <w:t xml:space="preserve"> with the data structure defined in table</w:t>
      </w:r>
      <w:r w:rsidRPr="000A0A5F">
        <w:rPr>
          <w:lang w:val="en-US" w:eastAsia="zh-CN"/>
        </w:rPr>
        <w:t> </w:t>
      </w:r>
      <w:r w:rsidRPr="000A0A5F">
        <w:rPr>
          <w:rFonts w:hint="eastAsia"/>
          <w:lang w:eastAsia="zh-CN"/>
        </w:rPr>
        <w:t>5.6.2.1.</w:t>
      </w:r>
      <w:r w:rsidRPr="000A0A5F">
        <w:rPr>
          <w:lang w:eastAsia="zh-CN"/>
        </w:rPr>
        <w:t>10</w:t>
      </w:r>
      <w:r w:rsidRPr="000A0A5F">
        <w:rPr>
          <w:rFonts w:hint="eastAsia"/>
          <w:lang w:eastAsia="zh-CN"/>
        </w:rPr>
        <w:t>-1.</w:t>
      </w:r>
    </w:p>
    <w:p w:rsidR="00CB0DD7" w:rsidRPr="000A0A5F" w:rsidRDefault="00CB0DD7">
      <w:pPr>
        <w:rPr>
          <w:noProof/>
        </w:rPr>
      </w:pPr>
      <w:r w:rsidRPr="000A0A5F">
        <w:rPr>
          <w:noProof/>
        </w:rPr>
        <w:t>This method shall support the request data structures specified in table </w:t>
      </w:r>
      <w:r w:rsidRPr="000A0A5F">
        <w:t>5.6.</w:t>
      </w:r>
      <w:r w:rsidR="00C9682D" w:rsidRPr="000A0A5F">
        <w:t>3A</w:t>
      </w:r>
      <w:r w:rsidRPr="000A0A5F">
        <w:t>.5</w:t>
      </w:r>
      <w:r w:rsidRPr="000A0A5F">
        <w:rPr>
          <w:noProof/>
        </w:rPr>
        <w:t>.3.1-1 and the response data structures and response codes specified in table </w:t>
      </w:r>
      <w:r w:rsidRPr="000A0A5F">
        <w:t>5.6.</w:t>
      </w:r>
      <w:r w:rsidR="00C9682D" w:rsidRPr="000A0A5F">
        <w:t>3A</w:t>
      </w:r>
      <w:r w:rsidRPr="000A0A5F">
        <w:t>.5</w:t>
      </w:r>
      <w:r w:rsidRPr="000A0A5F">
        <w:rPr>
          <w:noProof/>
        </w:rPr>
        <w:t>.3.1-2.</w:t>
      </w:r>
    </w:p>
    <w:p w:rsidR="00CB0DD7" w:rsidRPr="000A0A5F" w:rsidRDefault="00CB0DD7">
      <w:pPr>
        <w:pStyle w:val="TH"/>
        <w:rPr>
          <w:noProof/>
        </w:rPr>
      </w:pPr>
      <w:r w:rsidRPr="000A0A5F">
        <w:rPr>
          <w:noProof/>
        </w:rPr>
        <w:t>Table </w:t>
      </w:r>
      <w:r w:rsidRPr="000A0A5F">
        <w:t>5.6.</w:t>
      </w:r>
      <w:r w:rsidR="00C9682D" w:rsidRPr="000A0A5F">
        <w:t>3A</w:t>
      </w:r>
      <w:r w:rsidRPr="000A0A5F">
        <w:t>.5</w:t>
      </w:r>
      <w:r w:rsidRPr="000A0A5F">
        <w:rPr>
          <w:noProof/>
        </w:rPr>
        <w:t>.3.1-1: Data structures supported by the POST Request Body</w:t>
      </w:r>
    </w:p>
    <w:tbl>
      <w:tblPr>
        <w:tblW w:w="9670" w:type="dxa"/>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3340"/>
        <w:gridCol w:w="1170"/>
        <w:gridCol w:w="5160"/>
      </w:tblGrid>
      <w:tr w:rsidR="00CB0DD7" w:rsidRPr="000A0A5F" w:rsidTr="00846044">
        <w:trPr>
          <w:jc w:val="center"/>
        </w:trPr>
        <w:tc>
          <w:tcPr>
            <w:tcW w:w="3340" w:type="dxa"/>
            <w:tcBorders>
              <w:bottom w:val="single" w:sz="6" w:space="0" w:color="auto"/>
            </w:tcBorders>
            <w:shd w:val="clear" w:color="auto" w:fill="C0C0C0"/>
            <w:hideMark/>
          </w:tcPr>
          <w:p w:rsidR="00CB0DD7" w:rsidRPr="000A0A5F" w:rsidRDefault="00CB0DD7">
            <w:pPr>
              <w:pStyle w:val="TAH"/>
              <w:rPr>
                <w:noProof/>
              </w:rPr>
            </w:pPr>
            <w:r w:rsidRPr="000A0A5F">
              <w:rPr>
                <w:noProof/>
              </w:rPr>
              <w:t>Data type</w:t>
            </w:r>
          </w:p>
        </w:tc>
        <w:tc>
          <w:tcPr>
            <w:tcW w:w="1170" w:type="dxa"/>
            <w:tcBorders>
              <w:bottom w:val="single" w:sz="6" w:space="0" w:color="auto"/>
            </w:tcBorders>
            <w:shd w:val="clear" w:color="auto" w:fill="C0C0C0"/>
            <w:hideMark/>
          </w:tcPr>
          <w:p w:rsidR="00CB0DD7" w:rsidRPr="000A0A5F" w:rsidRDefault="00CB0DD7">
            <w:pPr>
              <w:pStyle w:val="TAH"/>
              <w:rPr>
                <w:noProof/>
              </w:rPr>
            </w:pPr>
            <w:r w:rsidRPr="000A0A5F">
              <w:rPr>
                <w:noProof/>
              </w:rPr>
              <w:t>Cardinality</w:t>
            </w:r>
          </w:p>
        </w:tc>
        <w:tc>
          <w:tcPr>
            <w:tcW w:w="5160" w:type="dxa"/>
            <w:tcBorders>
              <w:bottom w:val="single" w:sz="6" w:space="0" w:color="auto"/>
            </w:tcBorders>
            <w:shd w:val="clear" w:color="auto" w:fill="C0C0C0"/>
            <w:vAlign w:val="center"/>
            <w:hideMark/>
          </w:tcPr>
          <w:p w:rsidR="00CB0DD7" w:rsidRPr="000A0A5F" w:rsidRDefault="00CB0DD7">
            <w:pPr>
              <w:pStyle w:val="TAH"/>
              <w:rPr>
                <w:noProof/>
              </w:rPr>
            </w:pPr>
            <w:r w:rsidRPr="000A0A5F">
              <w:rPr>
                <w:noProof/>
              </w:rPr>
              <w:t>Description</w:t>
            </w:r>
          </w:p>
        </w:tc>
      </w:tr>
      <w:tr w:rsidR="00CB0DD7" w:rsidRPr="000A0A5F" w:rsidTr="00846044">
        <w:trPr>
          <w:jc w:val="center"/>
        </w:trPr>
        <w:tc>
          <w:tcPr>
            <w:tcW w:w="3340" w:type="dxa"/>
            <w:tcBorders>
              <w:top w:val="single" w:sz="6" w:space="0" w:color="auto"/>
            </w:tcBorders>
          </w:tcPr>
          <w:p w:rsidR="00CB0DD7" w:rsidRPr="000A0A5F" w:rsidRDefault="00CB0DD7">
            <w:pPr>
              <w:pStyle w:val="TAL"/>
              <w:rPr>
                <w:noProof/>
              </w:rPr>
            </w:pPr>
            <w:r w:rsidRPr="000A0A5F">
              <w:t>ManagePortNotification</w:t>
            </w:r>
          </w:p>
        </w:tc>
        <w:tc>
          <w:tcPr>
            <w:tcW w:w="1170" w:type="dxa"/>
            <w:tcBorders>
              <w:top w:val="single" w:sz="6" w:space="0" w:color="auto"/>
            </w:tcBorders>
          </w:tcPr>
          <w:p w:rsidR="00CB0DD7" w:rsidRPr="000A0A5F" w:rsidRDefault="00CB0DD7">
            <w:pPr>
              <w:pStyle w:val="TAC"/>
              <w:rPr>
                <w:noProof/>
                <w:lang w:eastAsia="zh-CN"/>
              </w:rPr>
            </w:pPr>
            <w:r w:rsidRPr="000A0A5F">
              <w:t>1</w:t>
            </w:r>
          </w:p>
        </w:tc>
        <w:tc>
          <w:tcPr>
            <w:tcW w:w="5160" w:type="dxa"/>
            <w:tcBorders>
              <w:top w:val="single" w:sz="6" w:space="0" w:color="auto"/>
            </w:tcBorders>
          </w:tcPr>
          <w:p w:rsidR="00CB0DD7" w:rsidRPr="000A0A5F" w:rsidRDefault="00CB0DD7">
            <w:pPr>
              <w:pStyle w:val="TAL"/>
              <w:rPr>
                <w:noProof/>
              </w:rPr>
            </w:pPr>
            <w:r w:rsidRPr="000A0A5F">
              <w:rPr>
                <w:rFonts w:hint="eastAsia"/>
                <w:lang w:eastAsia="zh-CN"/>
              </w:rPr>
              <w:t xml:space="preserve">The parameters </w:t>
            </w:r>
            <w:r w:rsidRPr="000A0A5F">
              <w:rPr>
                <w:lang w:eastAsia="zh-CN"/>
              </w:rPr>
              <w:t>that represents the information about port numbers that are reserved for use with an application.</w:t>
            </w:r>
          </w:p>
        </w:tc>
      </w:tr>
    </w:tbl>
    <w:p w:rsidR="00CB0DD7" w:rsidRPr="000A0A5F" w:rsidRDefault="00CB0DD7">
      <w:pPr>
        <w:rPr>
          <w:noProof/>
        </w:rPr>
      </w:pPr>
    </w:p>
    <w:p w:rsidR="00CB0DD7" w:rsidRPr="000A0A5F" w:rsidRDefault="00CB0DD7">
      <w:pPr>
        <w:pStyle w:val="TH"/>
        <w:rPr>
          <w:noProof/>
        </w:rPr>
      </w:pPr>
      <w:r w:rsidRPr="000A0A5F">
        <w:rPr>
          <w:noProof/>
        </w:rPr>
        <w:t>Table </w:t>
      </w:r>
      <w:r w:rsidRPr="000A0A5F">
        <w:t>5.6.</w:t>
      </w:r>
      <w:r w:rsidR="00C9682D" w:rsidRPr="000A0A5F">
        <w:t>3A</w:t>
      </w:r>
      <w:r w:rsidRPr="000A0A5F">
        <w:t>.5</w:t>
      </w:r>
      <w:r w:rsidRPr="000A0A5F">
        <w:rPr>
          <w:noProof/>
        </w:rPr>
        <w:t>.3.1-2: Data structures supported by the POST Response Body</w:t>
      </w:r>
    </w:p>
    <w:tbl>
      <w:tblPr>
        <w:tblW w:w="961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293"/>
        <w:gridCol w:w="1259"/>
        <w:gridCol w:w="1441"/>
        <w:gridCol w:w="4619"/>
      </w:tblGrid>
      <w:tr w:rsidR="00CB0DD7" w:rsidRPr="000A0A5F" w:rsidTr="00FF0AF8">
        <w:trPr>
          <w:jc w:val="center"/>
        </w:trPr>
        <w:tc>
          <w:tcPr>
            <w:tcW w:w="2293" w:type="dxa"/>
            <w:shd w:val="clear" w:color="auto" w:fill="C0C0C0"/>
            <w:hideMark/>
          </w:tcPr>
          <w:p w:rsidR="00CB0DD7" w:rsidRPr="000A0A5F" w:rsidRDefault="00CB0DD7">
            <w:pPr>
              <w:pStyle w:val="TAH"/>
              <w:rPr>
                <w:noProof/>
              </w:rPr>
            </w:pPr>
            <w:r w:rsidRPr="000A0A5F">
              <w:rPr>
                <w:noProof/>
              </w:rPr>
              <w:t>Data type</w:t>
            </w:r>
          </w:p>
        </w:tc>
        <w:tc>
          <w:tcPr>
            <w:tcW w:w="1259" w:type="dxa"/>
            <w:shd w:val="clear" w:color="auto" w:fill="C0C0C0"/>
            <w:hideMark/>
          </w:tcPr>
          <w:p w:rsidR="00CB0DD7" w:rsidRPr="000A0A5F" w:rsidRDefault="00CB0DD7">
            <w:pPr>
              <w:pStyle w:val="TAH"/>
              <w:rPr>
                <w:noProof/>
              </w:rPr>
            </w:pPr>
            <w:r w:rsidRPr="000A0A5F">
              <w:rPr>
                <w:noProof/>
              </w:rPr>
              <w:t>Cardinality</w:t>
            </w:r>
          </w:p>
        </w:tc>
        <w:tc>
          <w:tcPr>
            <w:tcW w:w="1441" w:type="dxa"/>
            <w:shd w:val="clear" w:color="auto" w:fill="C0C0C0"/>
            <w:hideMark/>
          </w:tcPr>
          <w:p w:rsidR="00CB0DD7" w:rsidRPr="000A0A5F" w:rsidRDefault="00CB0DD7">
            <w:pPr>
              <w:pStyle w:val="TAH"/>
              <w:rPr>
                <w:noProof/>
              </w:rPr>
            </w:pPr>
            <w:r w:rsidRPr="000A0A5F">
              <w:rPr>
                <w:noProof/>
              </w:rPr>
              <w:t>Response codes</w:t>
            </w:r>
          </w:p>
        </w:tc>
        <w:tc>
          <w:tcPr>
            <w:tcW w:w="4619" w:type="dxa"/>
            <w:shd w:val="clear" w:color="auto" w:fill="C0C0C0"/>
            <w:hideMark/>
          </w:tcPr>
          <w:p w:rsidR="00CB0DD7" w:rsidRPr="000A0A5F" w:rsidRDefault="00CB0DD7">
            <w:pPr>
              <w:pStyle w:val="TAH"/>
              <w:rPr>
                <w:noProof/>
              </w:rPr>
            </w:pPr>
            <w:r w:rsidRPr="000A0A5F">
              <w:rPr>
                <w:noProof/>
              </w:rPr>
              <w:t>Description</w:t>
            </w:r>
          </w:p>
        </w:tc>
      </w:tr>
      <w:tr w:rsidR="00CB0DD7" w:rsidRPr="000A0A5F" w:rsidTr="00FF0AF8">
        <w:trPr>
          <w:jc w:val="center"/>
        </w:trPr>
        <w:tc>
          <w:tcPr>
            <w:tcW w:w="2293" w:type="dxa"/>
          </w:tcPr>
          <w:p w:rsidR="00CB0DD7" w:rsidRPr="000A0A5F" w:rsidRDefault="00CB0DD7">
            <w:pPr>
              <w:pStyle w:val="TAL"/>
              <w:rPr>
                <w:noProof/>
              </w:rPr>
            </w:pPr>
            <w:r w:rsidRPr="000A0A5F">
              <w:t>Acknowledgement</w:t>
            </w:r>
          </w:p>
        </w:tc>
        <w:tc>
          <w:tcPr>
            <w:tcW w:w="1259" w:type="dxa"/>
          </w:tcPr>
          <w:p w:rsidR="00CB0DD7" w:rsidRPr="000A0A5F" w:rsidRDefault="00CB0DD7">
            <w:pPr>
              <w:pStyle w:val="TAC"/>
              <w:rPr>
                <w:noProof/>
              </w:rPr>
            </w:pPr>
            <w:r w:rsidRPr="000A0A5F">
              <w:rPr>
                <w:rFonts w:hint="eastAsia"/>
                <w:lang w:eastAsia="zh-CN"/>
              </w:rPr>
              <w:t>1</w:t>
            </w:r>
          </w:p>
        </w:tc>
        <w:tc>
          <w:tcPr>
            <w:tcW w:w="1441" w:type="dxa"/>
          </w:tcPr>
          <w:p w:rsidR="00CB0DD7" w:rsidRPr="000A0A5F" w:rsidRDefault="00CB0DD7">
            <w:pPr>
              <w:pStyle w:val="TAL"/>
              <w:rPr>
                <w:noProof/>
              </w:rPr>
            </w:pPr>
            <w:r w:rsidRPr="000A0A5F">
              <w:t>20</w:t>
            </w:r>
            <w:r w:rsidRPr="000A0A5F">
              <w:rPr>
                <w:rFonts w:hint="eastAsia"/>
                <w:lang w:eastAsia="zh-CN"/>
              </w:rPr>
              <w:t>0</w:t>
            </w:r>
            <w:r w:rsidRPr="000A0A5F">
              <w:t xml:space="preserve"> </w:t>
            </w:r>
            <w:r w:rsidRPr="000A0A5F">
              <w:rPr>
                <w:rFonts w:hint="eastAsia"/>
                <w:lang w:eastAsia="zh-CN"/>
              </w:rPr>
              <w:t>OK</w:t>
            </w:r>
          </w:p>
        </w:tc>
        <w:tc>
          <w:tcPr>
            <w:tcW w:w="4619" w:type="dxa"/>
          </w:tcPr>
          <w:p w:rsidR="00CB0DD7" w:rsidRPr="000A0A5F" w:rsidRDefault="00CB0DD7">
            <w:pPr>
              <w:pStyle w:val="TAL"/>
              <w:rPr>
                <w:noProof/>
              </w:rPr>
            </w:pPr>
            <w:r w:rsidRPr="000A0A5F">
              <w:t xml:space="preserve">The </w:t>
            </w:r>
            <w:r w:rsidRPr="000A0A5F">
              <w:rPr>
                <w:rFonts w:hint="eastAsia"/>
                <w:lang w:eastAsia="zh-CN"/>
              </w:rPr>
              <w:t xml:space="preserve">successful </w:t>
            </w:r>
            <w:r w:rsidRPr="000A0A5F">
              <w:t>notification of reserved port configuration.</w:t>
            </w:r>
          </w:p>
        </w:tc>
      </w:tr>
      <w:tr w:rsidR="00CB0DD7" w:rsidRPr="000A0A5F" w:rsidTr="00FF0AF8">
        <w:trPr>
          <w:jc w:val="center"/>
        </w:trPr>
        <w:tc>
          <w:tcPr>
            <w:tcW w:w="2293" w:type="dxa"/>
          </w:tcPr>
          <w:p w:rsidR="00CB0DD7" w:rsidRPr="000A0A5F" w:rsidRDefault="00CB0DD7">
            <w:pPr>
              <w:pStyle w:val="TAL"/>
            </w:pPr>
            <w:r w:rsidRPr="000A0A5F">
              <w:t>(None)</w:t>
            </w:r>
          </w:p>
        </w:tc>
        <w:tc>
          <w:tcPr>
            <w:tcW w:w="1259" w:type="dxa"/>
          </w:tcPr>
          <w:p w:rsidR="00CB0DD7" w:rsidRPr="000A0A5F" w:rsidRDefault="00CB0DD7">
            <w:pPr>
              <w:pStyle w:val="TAC"/>
              <w:rPr>
                <w:noProof/>
              </w:rPr>
            </w:pPr>
          </w:p>
        </w:tc>
        <w:tc>
          <w:tcPr>
            <w:tcW w:w="1441" w:type="dxa"/>
          </w:tcPr>
          <w:p w:rsidR="00CB0DD7" w:rsidRPr="000A0A5F" w:rsidRDefault="00CB0DD7">
            <w:pPr>
              <w:pStyle w:val="TAL"/>
            </w:pPr>
            <w:r w:rsidRPr="000A0A5F">
              <w:t>20</w:t>
            </w:r>
            <w:r w:rsidRPr="000A0A5F">
              <w:rPr>
                <w:lang w:eastAsia="zh-CN"/>
              </w:rPr>
              <w:t>4 No Content</w:t>
            </w:r>
          </w:p>
        </w:tc>
        <w:tc>
          <w:tcPr>
            <w:tcW w:w="4619" w:type="dxa"/>
          </w:tcPr>
          <w:p w:rsidR="00CB0DD7" w:rsidRPr="000A0A5F" w:rsidRDefault="00CB0DD7">
            <w:pPr>
              <w:pStyle w:val="TAL"/>
            </w:pPr>
            <w:r w:rsidRPr="000A0A5F">
              <w:t xml:space="preserve">The </w:t>
            </w:r>
            <w:r w:rsidRPr="000A0A5F">
              <w:rPr>
                <w:rFonts w:hint="eastAsia"/>
                <w:lang w:eastAsia="zh-CN"/>
              </w:rPr>
              <w:t xml:space="preserve">successful acknowledgement of the </w:t>
            </w:r>
            <w:r w:rsidRPr="000A0A5F">
              <w:rPr>
                <w:lang w:eastAsia="zh-CN"/>
              </w:rPr>
              <w:t>reserved port configuration</w:t>
            </w:r>
            <w:r w:rsidRPr="000A0A5F">
              <w:rPr>
                <w:rFonts w:hint="eastAsia"/>
                <w:lang w:eastAsia="zh-CN"/>
              </w:rPr>
              <w:t xml:space="preserve"> without a body.</w:t>
            </w:r>
          </w:p>
        </w:tc>
      </w:tr>
      <w:tr w:rsidR="00CB0DD7" w:rsidRPr="000A0A5F" w:rsidTr="00FF0AF8">
        <w:trPr>
          <w:jc w:val="center"/>
        </w:trPr>
        <w:tc>
          <w:tcPr>
            <w:tcW w:w="2293" w:type="dxa"/>
          </w:tcPr>
          <w:p w:rsidR="00CB0DD7" w:rsidRPr="000A0A5F" w:rsidRDefault="00CB0DD7">
            <w:pPr>
              <w:pStyle w:val="TAL"/>
            </w:pPr>
            <w:r w:rsidRPr="000A0A5F">
              <w:rPr>
                <w:lang w:eastAsia="zh-CN"/>
              </w:rPr>
              <w:t>N</w:t>
            </w:r>
            <w:r w:rsidRPr="000A0A5F">
              <w:rPr>
                <w:rFonts w:hint="eastAsia"/>
                <w:lang w:eastAsia="zh-CN"/>
              </w:rPr>
              <w:t>one</w:t>
            </w:r>
          </w:p>
        </w:tc>
        <w:tc>
          <w:tcPr>
            <w:tcW w:w="1259" w:type="dxa"/>
          </w:tcPr>
          <w:p w:rsidR="00CB0DD7" w:rsidRPr="000A0A5F" w:rsidRDefault="00CB0DD7">
            <w:pPr>
              <w:pStyle w:val="TAC"/>
              <w:rPr>
                <w:noProof/>
              </w:rPr>
            </w:pPr>
          </w:p>
        </w:tc>
        <w:tc>
          <w:tcPr>
            <w:tcW w:w="1441" w:type="dxa"/>
          </w:tcPr>
          <w:p w:rsidR="00CB0DD7" w:rsidRPr="000A0A5F" w:rsidRDefault="00CB0DD7">
            <w:pPr>
              <w:pStyle w:val="TAL"/>
            </w:pPr>
            <w:r w:rsidRPr="000A0A5F">
              <w:t>307 Temporary Redirect</w:t>
            </w:r>
          </w:p>
        </w:tc>
        <w:tc>
          <w:tcPr>
            <w:tcW w:w="4619" w:type="dxa"/>
          </w:tcPr>
          <w:p w:rsidR="00CB0DD7" w:rsidRPr="000A0A5F" w:rsidRDefault="00CB0DD7">
            <w:pPr>
              <w:pStyle w:val="TAL"/>
            </w:pPr>
            <w:r w:rsidRPr="000A0A5F">
              <w:t>Temporary redirection, during event notification. The response shall include a Location header field containing an alternative URI representing the end point of an alternative SCS/AS where the notification should be sent.</w:t>
            </w:r>
          </w:p>
          <w:p w:rsidR="00CB0DD7" w:rsidRPr="000A0A5F" w:rsidRDefault="00CB0DD7">
            <w:pPr>
              <w:pStyle w:val="TAL"/>
            </w:pPr>
            <w:r w:rsidRPr="000A0A5F">
              <w:t>Redirection handling is described in clause 5.2.10.</w:t>
            </w:r>
          </w:p>
        </w:tc>
      </w:tr>
      <w:tr w:rsidR="00CB0DD7" w:rsidRPr="000A0A5F" w:rsidTr="00FF0AF8">
        <w:trPr>
          <w:jc w:val="center"/>
        </w:trPr>
        <w:tc>
          <w:tcPr>
            <w:tcW w:w="2293" w:type="dxa"/>
          </w:tcPr>
          <w:p w:rsidR="00CB0DD7" w:rsidRPr="000A0A5F" w:rsidRDefault="00CB0DD7">
            <w:pPr>
              <w:pStyle w:val="TAL"/>
            </w:pPr>
            <w:r w:rsidRPr="000A0A5F">
              <w:rPr>
                <w:lang w:eastAsia="zh-CN"/>
              </w:rPr>
              <w:t>N</w:t>
            </w:r>
            <w:r w:rsidRPr="000A0A5F">
              <w:rPr>
                <w:rFonts w:hint="eastAsia"/>
                <w:lang w:eastAsia="zh-CN"/>
              </w:rPr>
              <w:t>one</w:t>
            </w:r>
          </w:p>
        </w:tc>
        <w:tc>
          <w:tcPr>
            <w:tcW w:w="1259" w:type="dxa"/>
          </w:tcPr>
          <w:p w:rsidR="00CB0DD7" w:rsidRPr="000A0A5F" w:rsidRDefault="00CB0DD7">
            <w:pPr>
              <w:pStyle w:val="TAC"/>
              <w:rPr>
                <w:noProof/>
              </w:rPr>
            </w:pPr>
          </w:p>
        </w:tc>
        <w:tc>
          <w:tcPr>
            <w:tcW w:w="1441" w:type="dxa"/>
          </w:tcPr>
          <w:p w:rsidR="00CB0DD7" w:rsidRPr="000A0A5F" w:rsidRDefault="00CB0DD7">
            <w:pPr>
              <w:pStyle w:val="TAL"/>
            </w:pPr>
            <w:r w:rsidRPr="000A0A5F">
              <w:t>308 Permanent Redirect</w:t>
            </w:r>
          </w:p>
        </w:tc>
        <w:tc>
          <w:tcPr>
            <w:tcW w:w="4619" w:type="dxa"/>
          </w:tcPr>
          <w:p w:rsidR="00CB0DD7" w:rsidRPr="000A0A5F" w:rsidRDefault="00CB0DD7">
            <w:pPr>
              <w:pStyle w:val="TAL"/>
            </w:pPr>
            <w:r w:rsidRPr="000A0A5F">
              <w:t>Permanent redirection, during event notification. The response shall include a Location header field containing an alternative URI representing the end point of an alternative SCS/AS where the notification should be sent.</w:t>
            </w:r>
          </w:p>
          <w:p w:rsidR="00CB0DD7" w:rsidRPr="000A0A5F" w:rsidRDefault="00CB0DD7">
            <w:pPr>
              <w:pStyle w:val="TAL"/>
            </w:pPr>
            <w:r w:rsidRPr="000A0A5F">
              <w:t>Redirection handling is described in clause 5.2.10.</w:t>
            </w:r>
          </w:p>
        </w:tc>
      </w:tr>
      <w:tr w:rsidR="00CB0DD7" w:rsidRPr="000A0A5F" w:rsidTr="00FF0AF8">
        <w:trPr>
          <w:jc w:val="center"/>
        </w:trPr>
        <w:tc>
          <w:tcPr>
            <w:tcW w:w="9612" w:type="dxa"/>
            <w:gridSpan w:val="4"/>
          </w:tcPr>
          <w:p w:rsidR="00CB0DD7" w:rsidRPr="000A0A5F" w:rsidRDefault="00CB0DD7">
            <w:pPr>
              <w:pStyle w:val="TAN"/>
            </w:pPr>
            <w:r w:rsidRPr="000A0A5F">
              <w:t>NOTE:</w:t>
            </w:r>
            <w:r w:rsidRPr="000A0A5F">
              <w:tab/>
              <w:t>The mandatory HTTP error status codes for the POST method listed in table 5.2.6-1 also apply.</w:t>
            </w:r>
          </w:p>
        </w:tc>
      </w:tr>
    </w:tbl>
    <w:p w:rsidR="00CB0DD7" w:rsidRPr="000A0A5F" w:rsidRDefault="00CB0DD7">
      <w:pPr>
        <w:rPr>
          <w:noProof/>
        </w:rPr>
      </w:pPr>
    </w:p>
    <w:p w:rsidR="00CB0DD7" w:rsidRPr="000A0A5F" w:rsidRDefault="002E466A">
      <w:pPr>
        <w:pStyle w:val="TH"/>
      </w:pPr>
      <w:r w:rsidRPr="000A0A5F">
        <w:t>Table </w:t>
      </w:r>
      <w:r w:rsidR="00CB0DD7" w:rsidRPr="000A0A5F">
        <w:t>5.6.</w:t>
      </w:r>
      <w:r w:rsidR="00C9682D" w:rsidRPr="000A0A5F">
        <w:t>3A</w:t>
      </w:r>
      <w:r w:rsidR="00CB0DD7" w:rsidRPr="000A0A5F">
        <w:t>.5</w:t>
      </w:r>
      <w:r w:rsidR="00CB0DD7" w:rsidRPr="000A0A5F">
        <w:rPr>
          <w:noProof/>
        </w:rPr>
        <w:t>.3.1</w:t>
      </w:r>
      <w:r w:rsidR="00CB0DD7" w:rsidRPr="000A0A5F">
        <w:t>-3: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representing the end point of an alternative SCS/AS towards which the notification should be redirected.</w:t>
            </w:r>
          </w:p>
        </w:tc>
      </w:tr>
    </w:tbl>
    <w:p w:rsidR="00CB0DD7" w:rsidRPr="000A0A5F" w:rsidRDefault="00CB0DD7"/>
    <w:p w:rsidR="00CB0DD7" w:rsidRPr="000A0A5F" w:rsidRDefault="002E466A">
      <w:pPr>
        <w:pStyle w:val="TH"/>
      </w:pPr>
      <w:r w:rsidRPr="000A0A5F">
        <w:t>Table </w:t>
      </w:r>
      <w:r w:rsidR="00CB0DD7" w:rsidRPr="000A0A5F">
        <w:t>5.6.</w:t>
      </w:r>
      <w:r w:rsidR="00C9682D" w:rsidRPr="000A0A5F">
        <w:t>3A</w:t>
      </w:r>
      <w:r w:rsidR="00CB0DD7" w:rsidRPr="000A0A5F">
        <w:t>.5</w:t>
      </w:r>
      <w:r w:rsidR="00CB0DD7" w:rsidRPr="000A0A5F">
        <w:rPr>
          <w:noProof/>
        </w:rPr>
        <w:t>.3.1</w:t>
      </w:r>
      <w:r w:rsidR="00CB0DD7" w:rsidRPr="000A0A5F">
        <w:t>-4: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representing the end point of an alternative SCS/AS towards which the notification should be redirected.</w:t>
            </w:r>
          </w:p>
        </w:tc>
      </w:tr>
    </w:tbl>
    <w:p w:rsidR="00CB0DD7" w:rsidRPr="000A0A5F" w:rsidRDefault="00CB0DD7">
      <w:pPr>
        <w:rPr>
          <w:noProof/>
        </w:rPr>
      </w:pPr>
    </w:p>
    <w:p w:rsidR="00CB0DD7" w:rsidRPr="000A0A5F" w:rsidRDefault="00CB0DD7">
      <w:pPr>
        <w:pStyle w:val="Heading6"/>
        <w:rPr>
          <w:noProof/>
        </w:rPr>
      </w:pPr>
      <w:bookmarkStart w:id="4657" w:name="_Toc66360607"/>
      <w:bookmarkStart w:id="4658" w:name="_Toc68105112"/>
      <w:bookmarkStart w:id="4659" w:name="_Toc74755742"/>
      <w:bookmarkStart w:id="4660" w:name="_Toc105674616"/>
      <w:bookmarkStart w:id="4661" w:name="_Toc130502664"/>
      <w:bookmarkStart w:id="4662" w:name="_Toc153625451"/>
      <w:r w:rsidRPr="000A0A5F">
        <w:t>5.6.</w:t>
      </w:r>
      <w:r w:rsidR="00C9682D" w:rsidRPr="000A0A5F">
        <w:t>3A</w:t>
      </w:r>
      <w:r w:rsidRPr="000A0A5F">
        <w:t>.5.3</w:t>
      </w:r>
      <w:r w:rsidRPr="000A0A5F">
        <w:rPr>
          <w:noProof/>
        </w:rPr>
        <w:t>.2</w:t>
      </w:r>
      <w:r w:rsidRPr="000A0A5F">
        <w:rPr>
          <w:noProof/>
        </w:rPr>
        <w:tab/>
      </w:r>
      <w:r w:rsidRPr="000A0A5F">
        <w:t>Notification via Websocket</w:t>
      </w:r>
      <w:bookmarkEnd w:id="4657"/>
      <w:bookmarkEnd w:id="4658"/>
      <w:bookmarkEnd w:id="4659"/>
      <w:bookmarkEnd w:id="4660"/>
      <w:bookmarkEnd w:id="4661"/>
      <w:bookmarkEnd w:id="4662"/>
    </w:p>
    <w:p w:rsidR="00CB0DD7" w:rsidRPr="000A0A5F" w:rsidRDefault="00CB0DD7">
      <w:pPr>
        <w:rPr>
          <w:rFonts w:hint="eastAsia"/>
        </w:rPr>
      </w:pPr>
      <w:r w:rsidRPr="000A0A5F">
        <w:t>If supported by both SCS/AS and SCEF and successfully negotiated</w:t>
      </w:r>
      <w:r w:rsidRPr="000A0A5F">
        <w:rPr>
          <w:lang w:eastAsia="zh-CN"/>
        </w:rPr>
        <w:t xml:space="preserve">, the </w:t>
      </w:r>
      <w:r w:rsidRPr="000A0A5F">
        <w:t>ManagePortNotification</w:t>
      </w:r>
      <w:r w:rsidRPr="000A0A5F">
        <w:rPr>
          <w:lang w:eastAsia="zh-CN"/>
        </w:rPr>
        <w:t xml:space="preserve"> may alternatively be delivered through the Websocket mechanism as defined in clause 5.2.5.4.</w:t>
      </w:r>
    </w:p>
    <w:p w:rsidR="00CB0DD7" w:rsidRPr="000A0A5F" w:rsidRDefault="00CB0DD7">
      <w:pPr>
        <w:pStyle w:val="Heading3"/>
      </w:pPr>
      <w:bookmarkStart w:id="4663" w:name="_Toc11247515"/>
      <w:bookmarkStart w:id="4664" w:name="_Toc27044654"/>
      <w:bookmarkStart w:id="4665" w:name="_Toc36033696"/>
      <w:bookmarkStart w:id="4666" w:name="_Toc45131842"/>
      <w:bookmarkStart w:id="4667" w:name="_Toc49776127"/>
      <w:bookmarkStart w:id="4668" w:name="_Toc51747047"/>
      <w:bookmarkStart w:id="4669" w:name="_Toc66360608"/>
      <w:bookmarkStart w:id="4670" w:name="_Toc68105113"/>
      <w:bookmarkStart w:id="4671" w:name="_Toc74755743"/>
      <w:bookmarkStart w:id="4672" w:name="_Toc105674617"/>
      <w:bookmarkStart w:id="4673" w:name="_Toc130502665"/>
      <w:bookmarkStart w:id="4674" w:name="_Toc153625452"/>
      <w:r w:rsidRPr="000A0A5F">
        <w:t>5.6.4</w:t>
      </w:r>
      <w:r w:rsidRPr="000A0A5F">
        <w:tab/>
        <w:t>Used Features</w:t>
      </w:r>
      <w:bookmarkEnd w:id="4663"/>
      <w:bookmarkEnd w:id="4664"/>
      <w:bookmarkEnd w:id="4665"/>
      <w:bookmarkEnd w:id="4666"/>
      <w:bookmarkEnd w:id="4667"/>
      <w:bookmarkEnd w:id="4668"/>
      <w:bookmarkEnd w:id="4669"/>
      <w:bookmarkEnd w:id="4670"/>
      <w:bookmarkEnd w:id="4671"/>
      <w:bookmarkEnd w:id="4672"/>
      <w:bookmarkEnd w:id="4673"/>
      <w:bookmarkEnd w:id="4674"/>
    </w:p>
    <w:p w:rsidR="00CB0DD7" w:rsidRPr="000A0A5F" w:rsidRDefault="00CB0DD7">
      <w:r w:rsidRPr="000A0A5F">
        <w:t>The table below defines the features applicable to the NIDD API. Those features are negotiated as described in clause 5.2.7.</w:t>
      </w:r>
    </w:p>
    <w:p w:rsidR="00CB0DD7" w:rsidRPr="000A0A5F" w:rsidRDefault="00CB0DD7">
      <w:pPr>
        <w:pStyle w:val="TH"/>
      </w:pPr>
      <w:r w:rsidRPr="000A0A5F">
        <w:t>Table</w:t>
      </w:r>
      <w:r w:rsidRPr="000A0A5F">
        <w:rPr>
          <w:rFonts w:ascii="Segoe UI Symbol" w:hAnsi="Segoe UI Symbol"/>
        </w:rPr>
        <w:t> </w:t>
      </w:r>
      <w:r w:rsidRPr="000A0A5F">
        <w:t>5.6.4-1: Features used by NIDD API</w:t>
      </w:r>
    </w:p>
    <w:tbl>
      <w:tblPr>
        <w:tblW w:w="4945"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897"/>
        <w:gridCol w:w="3127"/>
        <w:gridCol w:w="5725"/>
      </w:tblGrid>
      <w:tr w:rsidR="00CB0DD7" w:rsidRPr="000A0A5F" w:rsidTr="00FF0AF8">
        <w:trPr>
          <w:cantSplit/>
        </w:trPr>
        <w:tc>
          <w:tcPr>
            <w:tcW w:w="460" w:type="pct"/>
            <w:shd w:val="clear" w:color="auto" w:fill="C0C0C0"/>
          </w:tcPr>
          <w:p w:rsidR="00CB0DD7" w:rsidRPr="000A0A5F" w:rsidRDefault="00CB0DD7">
            <w:pPr>
              <w:pStyle w:val="TAH"/>
              <w:rPr>
                <w:rFonts w:eastAsia="Times New Roman"/>
              </w:rPr>
            </w:pPr>
            <w:r w:rsidRPr="000A0A5F">
              <w:t>Feature Number</w:t>
            </w:r>
          </w:p>
        </w:tc>
        <w:tc>
          <w:tcPr>
            <w:tcW w:w="1604" w:type="pct"/>
            <w:shd w:val="clear" w:color="auto" w:fill="C0C0C0"/>
          </w:tcPr>
          <w:p w:rsidR="00CB0DD7" w:rsidRPr="000A0A5F" w:rsidRDefault="00CB0DD7">
            <w:pPr>
              <w:pStyle w:val="TAH"/>
              <w:rPr>
                <w:rFonts w:eastAsia="Times New Roman"/>
              </w:rPr>
            </w:pPr>
            <w:r w:rsidRPr="000A0A5F">
              <w:rPr>
                <w:rFonts w:eastAsia="Times New Roman"/>
              </w:rPr>
              <w:t>Feature</w:t>
            </w:r>
          </w:p>
        </w:tc>
        <w:tc>
          <w:tcPr>
            <w:tcW w:w="2936" w:type="pct"/>
            <w:shd w:val="clear" w:color="auto" w:fill="C0C0C0"/>
          </w:tcPr>
          <w:p w:rsidR="00CB0DD7" w:rsidRPr="000A0A5F" w:rsidRDefault="00CB0DD7">
            <w:pPr>
              <w:pStyle w:val="TAH"/>
              <w:rPr>
                <w:rFonts w:eastAsia="Batang"/>
                <w:lang w:eastAsia="ko-KR"/>
              </w:rPr>
            </w:pPr>
            <w:r w:rsidRPr="000A0A5F">
              <w:rPr>
                <w:rFonts w:eastAsia="Times New Roman"/>
              </w:rPr>
              <w:t>Description</w:t>
            </w:r>
          </w:p>
        </w:tc>
      </w:tr>
      <w:tr w:rsidR="00CB0DD7" w:rsidRPr="000A0A5F" w:rsidTr="00FF0AF8">
        <w:trPr>
          <w:cantSplit/>
        </w:trPr>
        <w:tc>
          <w:tcPr>
            <w:tcW w:w="460" w:type="pct"/>
          </w:tcPr>
          <w:p w:rsidR="00CB0DD7" w:rsidRPr="000A0A5F" w:rsidRDefault="00CB0DD7">
            <w:pPr>
              <w:pStyle w:val="TAC"/>
              <w:rPr>
                <w:rFonts w:hint="eastAsia"/>
                <w:lang w:eastAsia="zh-CN"/>
              </w:rPr>
            </w:pPr>
            <w:r w:rsidRPr="000A0A5F">
              <w:t>1</w:t>
            </w:r>
          </w:p>
        </w:tc>
        <w:tc>
          <w:tcPr>
            <w:tcW w:w="1604" w:type="pct"/>
          </w:tcPr>
          <w:p w:rsidR="00CB0DD7" w:rsidRPr="000A0A5F" w:rsidRDefault="00CB0DD7">
            <w:pPr>
              <w:pStyle w:val="TAC"/>
              <w:jc w:val="left"/>
              <w:rPr>
                <w:lang w:eastAsia="zh-CN"/>
              </w:rPr>
            </w:pPr>
            <w:r w:rsidRPr="000A0A5F">
              <w:rPr>
                <w:rFonts w:hint="eastAsia"/>
                <w:lang w:eastAsia="zh-CN"/>
              </w:rPr>
              <w:t>GroupMessageDelivery</w:t>
            </w:r>
          </w:p>
        </w:tc>
        <w:tc>
          <w:tcPr>
            <w:tcW w:w="2936" w:type="pct"/>
          </w:tcPr>
          <w:p w:rsidR="00CB0DD7" w:rsidRPr="000A0A5F" w:rsidRDefault="00CB0DD7">
            <w:pPr>
              <w:pStyle w:val="TAL"/>
              <w:rPr>
                <w:lang w:eastAsia="zh-CN"/>
              </w:rPr>
            </w:pPr>
            <w:r w:rsidRPr="000A0A5F">
              <w:rPr>
                <w:rFonts w:eastAsia="Times New Roman"/>
              </w:rPr>
              <w:t>This feature indicates the support of group message delivery via MT NIDD as defined in clause 5.5.3 of 3GPP TS 23.682 [2]</w:t>
            </w:r>
            <w:r w:rsidRPr="000A0A5F">
              <w:rPr>
                <w:rFonts w:ascii="SimSun" w:hAnsi="SimSun" w:hint="eastAsia"/>
                <w:lang w:eastAsia="zh-CN"/>
              </w:rPr>
              <w:t>.</w:t>
            </w:r>
          </w:p>
        </w:tc>
      </w:tr>
      <w:tr w:rsidR="00CB0DD7" w:rsidRPr="000A0A5F" w:rsidTr="00FF0AF8">
        <w:trPr>
          <w:cantSplit/>
        </w:trPr>
        <w:tc>
          <w:tcPr>
            <w:tcW w:w="460" w:type="pct"/>
          </w:tcPr>
          <w:p w:rsidR="00CB0DD7" w:rsidRPr="000A0A5F" w:rsidRDefault="00CB0DD7">
            <w:pPr>
              <w:pStyle w:val="TAC"/>
              <w:rPr>
                <w:lang w:eastAsia="zh-CN"/>
              </w:rPr>
            </w:pPr>
            <w:r w:rsidRPr="000A0A5F">
              <w:t>2</w:t>
            </w:r>
          </w:p>
        </w:tc>
        <w:tc>
          <w:tcPr>
            <w:tcW w:w="1604" w:type="pct"/>
          </w:tcPr>
          <w:p w:rsidR="00CB0DD7" w:rsidRPr="000A0A5F" w:rsidRDefault="00CB0DD7">
            <w:pPr>
              <w:pStyle w:val="TAC"/>
              <w:jc w:val="left"/>
              <w:rPr>
                <w:rFonts w:hint="eastAsia"/>
                <w:lang w:eastAsia="zh-CN"/>
              </w:rPr>
            </w:pPr>
            <w:r w:rsidRPr="000A0A5F">
              <w:rPr>
                <w:lang w:eastAsia="zh-CN"/>
              </w:rPr>
              <w:t>Notification_websocket</w:t>
            </w:r>
          </w:p>
        </w:tc>
        <w:tc>
          <w:tcPr>
            <w:tcW w:w="2936" w:type="pct"/>
          </w:tcPr>
          <w:p w:rsidR="00CB0DD7" w:rsidRPr="000A0A5F" w:rsidRDefault="00CB0DD7">
            <w:pPr>
              <w:pStyle w:val="TAL"/>
              <w:rPr>
                <w:rFonts w:eastAsia="Times New Roman"/>
              </w:rPr>
            </w:pPr>
            <w:r w:rsidRPr="000A0A5F">
              <w:rPr>
                <w:rFonts w:cs="Arial"/>
                <w:szCs w:val="18"/>
                <w:lang w:eastAsia="zh-CN"/>
              </w:rPr>
              <w:t>The delivery of notifications over Websocket is supported according to clause</w:t>
            </w:r>
            <w:r w:rsidRPr="000A0A5F">
              <w:rPr>
                <w:rFonts w:cs="Arial"/>
                <w:szCs w:val="18"/>
                <w:lang w:val="en-US" w:eastAsia="zh-CN"/>
              </w:rPr>
              <w:t> </w:t>
            </w:r>
            <w:r w:rsidRPr="000A0A5F">
              <w:rPr>
                <w:rFonts w:cs="Arial"/>
                <w:szCs w:val="18"/>
                <w:lang w:eastAsia="zh-CN"/>
              </w:rPr>
              <w:t xml:space="preserve">5.2.5.4. This feature requires that the </w:t>
            </w:r>
            <w:r w:rsidRPr="000A0A5F">
              <w:t>Notification_test_event featute is also supported.</w:t>
            </w:r>
          </w:p>
        </w:tc>
      </w:tr>
      <w:tr w:rsidR="00CB0DD7" w:rsidRPr="000A0A5F" w:rsidTr="00FF0AF8">
        <w:trPr>
          <w:cantSplit/>
        </w:trPr>
        <w:tc>
          <w:tcPr>
            <w:tcW w:w="460" w:type="pct"/>
          </w:tcPr>
          <w:p w:rsidR="00CB0DD7" w:rsidRPr="000A0A5F" w:rsidRDefault="00CB0DD7">
            <w:pPr>
              <w:pStyle w:val="TAC"/>
            </w:pPr>
            <w:r w:rsidRPr="000A0A5F">
              <w:t>3</w:t>
            </w:r>
          </w:p>
        </w:tc>
        <w:tc>
          <w:tcPr>
            <w:tcW w:w="1604" w:type="pct"/>
          </w:tcPr>
          <w:p w:rsidR="00CB0DD7" w:rsidRPr="000A0A5F" w:rsidRDefault="00CB0DD7">
            <w:pPr>
              <w:pStyle w:val="TAC"/>
              <w:jc w:val="left"/>
              <w:rPr>
                <w:rFonts w:hint="eastAsia"/>
                <w:lang w:eastAsia="zh-CN"/>
              </w:rPr>
            </w:pPr>
            <w:r w:rsidRPr="000A0A5F">
              <w:t>Notification_test_event</w:t>
            </w:r>
          </w:p>
        </w:tc>
        <w:tc>
          <w:tcPr>
            <w:tcW w:w="2936" w:type="pct"/>
          </w:tcPr>
          <w:p w:rsidR="00CB0DD7" w:rsidRPr="000A0A5F" w:rsidRDefault="00CB0DD7">
            <w:pPr>
              <w:pStyle w:val="TAL"/>
              <w:rPr>
                <w:rFonts w:eastAsia="Times New Roman"/>
              </w:rPr>
            </w:pPr>
            <w:r w:rsidRPr="000A0A5F">
              <w:rPr>
                <w:rFonts w:cs="Arial"/>
                <w:szCs w:val="18"/>
                <w:lang w:eastAsia="zh-CN"/>
              </w:rPr>
              <w:t>The testing of notification connection is supported according to clause</w:t>
            </w:r>
            <w:r w:rsidRPr="000A0A5F">
              <w:rPr>
                <w:rFonts w:cs="Arial"/>
                <w:szCs w:val="18"/>
                <w:lang w:val="en-US" w:eastAsia="zh-CN"/>
              </w:rPr>
              <w:t> </w:t>
            </w:r>
            <w:r w:rsidRPr="000A0A5F">
              <w:rPr>
                <w:rFonts w:cs="Arial"/>
                <w:szCs w:val="18"/>
                <w:lang w:eastAsia="zh-CN"/>
              </w:rPr>
              <w:t>5.2.5.3.</w:t>
            </w:r>
          </w:p>
        </w:tc>
      </w:tr>
      <w:tr w:rsidR="00CB0DD7" w:rsidRPr="000A0A5F" w:rsidTr="00FF0AF8">
        <w:trPr>
          <w:cantSplit/>
        </w:trPr>
        <w:tc>
          <w:tcPr>
            <w:tcW w:w="460" w:type="pct"/>
          </w:tcPr>
          <w:p w:rsidR="00CB0DD7" w:rsidRPr="000A0A5F" w:rsidRDefault="00CB0DD7">
            <w:pPr>
              <w:pStyle w:val="TAC"/>
            </w:pPr>
            <w:r w:rsidRPr="000A0A5F">
              <w:t>4</w:t>
            </w:r>
          </w:p>
        </w:tc>
        <w:tc>
          <w:tcPr>
            <w:tcW w:w="1604" w:type="pct"/>
          </w:tcPr>
          <w:p w:rsidR="00CB0DD7" w:rsidRPr="000A0A5F" w:rsidRDefault="00CB0DD7">
            <w:pPr>
              <w:pStyle w:val="TAC"/>
              <w:jc w:val="left"/>
            </w:pPr>
            <w:r w:rsidRPr="000A0A5F">
              <w:t>MT_NIDD_modification_cancellation</w:t>
            </w:r>
          </w:p>
        </w:tc>
        <w:tc>
          <w:tcPr>
            <w:tcW w:w="2936" w:type="pct"/>
          </w:tcPr>
          <w:p w:rsidR="00CB0DD7" w:rsidRPr="000A0A5F" w:rsidRDefault="00CB0DD7">
            <w:pPr>
              <w:pStyle w:val="TAL"/>
              <w:rPr>
                <w:rFonts w:cs="Arial"/>
                <w:szCs w:val="18"/>
                <w:lang w:eastAsia="zh-CN"/>
              </w:rPr>
            </w:pPr>
            <w:r w:rsidRPr="000A0A5F">
              <w:rPr>
                <w:rFonts w:cs="Arial"/>
                <w:szCs w:val="18"/>
              </w:rPr>
              <w:t>Modification and cancellation of an individual MT NIDD resource.</w:t>
            </w:r>
          </w:p>
        </w:tc>
      </w:tr>
      <w:tr w:rsidR="00CB0DD7" w:rsidRPr="000A0A5F" w:rsidTr="00FF0AF8">
        <w:trPr>
          <w:cantSplit/>
        </w:trPr>
        <w:tc>
          <w:tcPr>
            <w:tcW w:w="460" w:type="pct"/>
          </w:tcPr>
          <w:p w:rsidR="00CB0DD7" w:rsidRPr="000A0A5F" w:rsidRDefault="00CB0DD7">
            <w:pPr>
              <w:pStyle w:val="TAC"/>
            </w:pPr>
            <w:r w:rsidRPr="000A0A5F">
              <w:t>5</w:t>
            </w:r>
          </w:p>
        </w:tc>
        <w:tc>
          <w:tcPr>
            <w:tcW w:w="1604" w:type="pct"/>
          </w:tcPr>
          <w:p w:rsidR="00CB0DD7" w:rsidRPr="000A0A5F" w:rsidRDefault="00CB0DD7">
            <w:pPr>
              <w:pStyle w:val="TAC"/>
              <w:jc w:val="left"/>
            </w:pPr>
            <w:r w:rsidRPr="000A0A5F">
              <w:t>Rds_port_verification</w:t>
            </w:r>
          </w:p>
        </w:tc>
        <w:tc>
          <w:tcPr>
            <w:tcW w:w="2936" w:type="pct"/>
          </w:tcPr>
          <w:p w:rsidR="00CB0DD7" w:rsidRPr="000A0A5F" w:rsidRDefault="00CB0DD7">
            <w:pPr>
              <w:pStyle w:val="TAL"/>
              <w:rPr>
                <w:rFonts w:cs="Arial"/>
                <w:szCs w:val="18"/>
              </w:rPr>
            </w:pPr>
            <w:r w:rsidRPr="000A0A5F">
              <w:rPr>
                <w:rFonts w:cs="Arial"/>
                <w:szCs w:val="18"/>
              </w:rPr>
              <w:t>This feature indicates the support of RDS port verification in the MO/MT NIDD delivery.</w:t>
            </w:r>
          </w:p>
        </w:tc>
      </w:tr>
      <w:tr w:rsidR="00CB0DD7" w:rsidRPr="000A0A5F" w:rsidTr="00FF0AF8">
        <w:trPr>
          <w:cantSplit/>
        </w:trPr>
        <w:tc>
          <w:tcPr>
            <w:tcW w:w="460" w:type="pct"/>
          </w:tcPr>
          <w:p w:rsidR="00CB0DD7" w:rsidRPr="000A0A5F" w:rsidRDefault="00CB0DD7">
            <w:pPr>
              <w:pStyle w:val="TAC"/>
            </w:pPr>
            <w:r w:rsidRPr="000A0A5F">
              <w:t>6</w:t>
            </w:r>
          </w:p>
        </w:tc>
        <w:tc>
          <w:tcPr>
            <w:tcW w:w="1604" w:type="pct"/>
          </w:tcPr>
          <w:p w:rsidR="00CB0DD7" w:rsidRPr="000A0A5F" w:rsidRDefault="00CB0DD7">
            <w:pPr>
              <w:pStyle w:val="TAC"/>
              <w:jc w:val="left"/>
            </w:pPr>
            <w:r w:rsidRPr="000A0A5F">
              <w:t>Rds_dynamic_port</w:t>
            </w:r>
          </w:p>
        </w:tc>
        <w:tc>
          <w:tcPr>
            <w:tcW w:w="2936" w:type="pct"/>
          </w:tcPr>
          <w:p w:rsidR="00CB0DD7" w:rsidRPr="000A0A5F" w:rsidRDefault="00CB0DD7">
            <w:pPr>
              <w:pStyle w:val="TAL"/>
              <w:rPr>
                <w:rFonts w:cs="Arial"/>
                <w:szCs w:val="18"/>
              </w:rPr>
            </w:pPr>
            <w:r w:rsidRPr="000A0A5F">
              <w:rPr>
                <w:rFonts w:cs="Arial"/>
                <w:szCs w:val="18"/>
              </w:rPr>
              <w:t>This feature indicates the support of RDS dynamic port management.</w:t>
            </w:r>
          </w:p>
        </w:tc>
      </w:tr>
      <w:tr w:rsidR="00CB0DD7" w:rsidRPr="000A0A5F" w:rsidTr="00FF0AF8">
        <w:trPr>
          <w:cantSplit/>
        </w:trPr>
        <w:tc>
          <w:tcPr>
            <w:tcW w:w="460" w:type="pct"/>
          </w:tcPr>
          <w:p w:rsidR="00CB0DD7" w:rsidRPr="000A0A5F" w:rsidRDefault="00CB0DD7">
            <w:pPr>
              <w:pStyle w:val="TAC"/>
            </w:pPr>
            <w:r w:rsidRPr="000A0A5F">
              <w:t>7</w:t>
            </w:r>
          </w:p>
        </w:tc>
        <w:tc>
          <w:tcPr>
            <w:tcW w:w="1604" w:type="pct"/>
          </w:tcPr>
          <w:p w:rsidR="00CB0DD7" w:rsidRPr="000A0A5F" w:rsidRDefault="00CB0DD7">
            <w:pPr>
              <w:pStyle w:val="TAC"/>
              <w:jc w:val="left"/>
            </w:pPr>
            <w:r w:rsidRPr="000A0A5F">
              <w:rPr>
                <w:lang w:eastAsia="zh-CN"/>
              </w:rPr>
              <w:t>Rds_serialization_format</w:t>
            </w:r>
          </w:p>
        </w:tc>
        <w:tc>
          <w:tcPr>
            <w:tcW w:w="2936" w:type="pct"/>
          </w:tcPr>
          <w:p w:rsidR="00CB0DD7" w:rsidRPr="000A0A5F" w:rsidRDefault="00CB0DD7">
            <w:pPr>
              <w:pStyle w:val="TAL"/>
              <w:rPr>
                <w:rFonts w:cs="Arial"/>
                <w:szCs w:val="18"/>
              </w:rPr>
            </w:pPr>
            <w:r w:rsidRPr="000A0A5F">
              <w:rPr>
                <w:rFonts w:cs="Arial"/>
                <w:szCs w:val="18"/>
              </w:rPr>
              <w:t xml:space="preserve">This feature indicates the support of RDS Serialization Format reservation, notification, and query. </w:t>
            </w:r>
            <w:bookmarkStart w:id="4675" w:name="_Hlk55558101"/>
            <w:r w:rsidRPr="000A0A5F">
              <w:rPr>
                <w:rFonts w:cs="Arial"/>
                <w:szCs w:val="18"/>
                <w:lang w:eastAsia="zh-CN"/>
              </w:rPr>
              <w:t xml:space="preserve">This feature requires that the </w:t>
            </w:r>
            <w:r w:rsidRPr="000A0A5F">
              <w:t>Rds_dynamic_port is also supported.</w:t>
            </w:r>
            <w:bookmarkEnd w:id="4675"/>
          </w:p>
        </w:tc>
      </w:tr>
      <w:tr w:rsidR="00BD3D12" w:rsidRPr="000A0A5F" w:rsidTr="00FF0AF8">
        <w:trPr>
          <w:cantSplit/>
        </w:trPr>
        <w:tc>
          <w:tcPr>
            <w:tcW w:w="460" w:type="pct"/>
          </w:tcPr>
          <w:p w:rsidR="00BD3D12" w:rsidRPr="000A0A5F" w:rsidRDefault="00BD3D12" w:rsidP="00BD3D12">
            <w:pPr>
              <w:pStyle w:val="TAC"/>
            </w:pPr>
            <w:r w:rsidRPr="000A0A5F">
              <w:t>8</w:t>
            </w:r>
          </w:p>
        </w:tc>
        <w:tc>
          <w:tcPr>
            <w:tcW w:w="1604" w:type="pct"/>
          </w:tcPr>
          <w:p w:rsidR="00BD3D12" w:rsidRPr="000A0A5F" w:rsidRDefault="00BD3D12" w:rsidP="00BD3D12">
            <w:pPr>
              <w:pStyle w:val="TAC"/>
              <w:jc w:val="left"/>
              <w:rPr>
                <w:lang w:eastAsia="zh-CN"/>
              </w:rPr>
            </w:pPr>
            <w:r w:rsidRPr="000A0A5F">
              <w:rPr>
                <w:lang w:eastAsia="zh-CN"/>
              </w:rPr>
              <w:t>PatchUpdate</w:t>
            </w:r>
          </w:p>
        </w:tc>
        <w:tc>
          <w:tcPr>
            <w:tcW w:w="2936" w:type="pct"/>
          </w:tcPr>
          <w:p w:rsidR="00BD3D12" w:rsidRPr="000A0A5F" w:rsidRDefault="00BD3D12" w:rsidP="00BD3D12">
            <w:pPr>
              <w:pStyle w:val="TAL"/>
              <w:rPr>
                <w:rFonts w:cs="Arial"/>
                <w:szCs w:val="18"/>
              </w:rPr>
            </w:pPr>
            <w:r w:rsidRPr="000A0A5F">
              <w:rPr>
                <w:rFonts w:cs="Arial"/>
              </w:rPr>
              <w:t>Indicates the support of enhancements to the northbound interfaces (e.g. support the partial modification of an existing subscription resource).</w:t>
            </w:r>
          </w:p>
        </w:tc>
      </w:tr>
      <w:tr w:rsidR="00CB0DD7" w:rsidRPr="000A0A5F" w:rsidTr="00FF0AF8">
        <w:tblPrEx>
          <w:tblLook w:val="04A0" w:firstRow="1" w:lastRow="0" w:firstColumn="1" w:lastColumn="0" w:noHBand="0" w:noVBand="1"/>
        </w:tblPrEx>
        <w:trPr>
          <w:cantSplit/>
        </w:trPr>
        <w:tc>
          <w:tcPr>
            <w:tcW w:w="5000" w:type="pct"/>
            <w:gridSpan w:val="3"/>
          </w:tcPr>
          <w:p w:rsidR="00CB0DD7" w:rsidRPr="000A0A5F" w:rsidRDefault="00CB0DD7">
            <w:pPr>
              <w:pStyle w:val="TAN"/>
              <w:rPr>
                <w:rFonts w:eastAsia="Times New Roman"/>
              </w:rPr>
            </w:pPr>
            <w:r w:rsidRPr="000A0A5F">
              <w:rPr>
                <w:rFonts w:eastAsia="Times New Roman"/>
              </w:rPr>
              <w:t>Feature:</w:t>
            </w:r>
            <w:r w:rsidRPr="000A0A5F">
              <w:rPr>
                <w:rFonts w:eastAsia="Times New Roman"/>
              </w:rPr>
              <w:tab/>
              <w:t>A short name that can be used to refer to the bit and to the feature, e.g. "</w:t>
            </w:r>
            <w:r w:rsidRPr="000A0A5F">
              <w:rPr>
                <w:rFonts w:hint="eastAsia"/>
                <w:lang w:eastAsia="zh-CN"/>
              </w:rPr>
              <w:t>Notification</w:t>
            </w:r>
            <w:r w:rsidRPr="000A0A5F">
              <w:rPr>
                <w:rFonts w:eastAsia="Times New Roman"/>
              </w:rPr>
              <w:t>".</w:t>
            </w:r>
          </w:p>
          <w:p w:rsidR="00CB0DD7" w:rsidRPr="000A0A5F" w:rsidRDefault="00CB0DD7">
            <w:pPr>
              <w:pStyle w:val="TAN"/>
              <w:rPr>
                <w:color w:val="000000"/>
                <w:lang w:eastAsia="zh-CN"/>
              </w:rPr>
            </w:pPr>
            <w:r w:rsidRPr="000A0A5F">
              <w:rPr>
                <w:rFonts w:eastAsia="Times New Roman"/>
              </w:rPr>
              <w:t>Description:</w:t>
            </w:r>
            <w:r w:rsidRPr="000A0A5F">
              <w:rPr>
                <w:rFonts w:eastAsia="Times New Roman"/>
              </w:rPr>
              <w:tab/>
              <w:t>A clear textual description of the feature.</w:t>
            </w:r>
          </w:p>
        </w:tc>
      </w:tr>
    </w:tbl>
    <w:p w:rsidR="00CB0DD7" w:rsidRPr="000A0A5F" w:rsidRDefault="00CB0DD7"/>
    <w:p w:rsidR="00CB0DD7" w:rsidRPr="000A0A5F" w:rsidRDefault="00CB0DD7">
      <w:pPr>
        <w:pStyle w:val="Heading3"/>
      </w:pPr>
      <w:bookmarkStart w:id="4676" w:name="_Toc11247516"/>
      <w:bookmarkStart w:id="4677" w:name="_Toc27044655"/>
      <w:bookmarkStart w:id="4678" w:name="_Toc36033697"/>
      <w:bookmarkStart w:id="4679" w:name="_Toc45131843"/>
      <w:bookmarkStart w:id="4680" w:name="_Toc49776128"/>
      <w:bookmarkStart w:id="4681" w:name="_Toc51747048"/>
      <w:bookmarkStart w:id="4682" w:name="_Toc66360609"/>
      <w:bookmarkStart w:id="4683" w:name="_Toc68105114"/>
      <w:bookmarkStart w:id="4684" w:name="_Toc74755744"/>
      <w:bookmarkStart w:id="4685" w:name="_Toc105674618"/>
      <w:bookmarkStart w:id="4686" w:name="_Toc130502666"/>
      <w:bookmarkStart w:id="4687" w:name="_Toc153625453"/>
      <w:r w:rsidRPr="000A0A5F">
        <w:t>5.6.5</w:t>
      </w:r>
      <w:r w:rsidRPr="000A0A5F">
        <w:tab/>
        <w:t>Error handling</w:t>
      </w:r>
      <w:bookmarkEnd w:id="4676"/>
      <w:bookmarkEnd w:id="4677"/>
      <w:bookmarkEnd w:id="4678"/>
      <w:bookmarkEnd w:id="4679"/>
      <w:bookmarkEnd w:id="4680"/>
      <w:bookmarkEnd w:id="4681"/>
      <w:bookmarkEnd w:id="4682"/>
      <w:bookmarkEnd w:id="4683"/>
      <w:bookmarkEnd w:id="4684"/>
      <w:bookmarkEnd w:id="4685"/>
      <w:bookmarkEnd w:id="4686"/>
      <w:bookmarkEnd w:id="4687"/>
    </w:p>
    <w:p w:rsidR="00CB0DD7" w:rsidRPr="000A0A5F" w:rsidRDefault="00CB0DD7">
      <w:pPr>
        <w:pStyle w:val="Heading4"/>
      </w:pPr>
      <w:bookmarkStart w:id="4688" w:name="_Toc11247517"/>
      <w:bookmarkStart w:id="4689" w:name="_Toc27044656"/>
      <w:bookmarkStart w:id="4690" w:name="_Toc36033698"/>
      <w:bookmarkStart w:id="4691" w:name="_Toc45131844"/>
      <w:bookmarkStart w:id="4692" w:name="_Toc49776129"/>
      <w:bookmarkStart w:id="4693" w:name="_Toc51747049"/>
      <w:bookmarkStart w:id="4694" w:name="_Toc66360610"/>
      <w:bookmarkStart w:id="4695" w:name="_Toc68105115"/>
      <w:bookmarkStart w:id="4696" w:name="_Toc74755745"/>
      <w:bookmarkStart w:id="4697" w:name="_Toc105674619"/>
      <w:bookmarkStart w:id="4698" w:name="_Toc130502667"/>
      <w:bookmarkStart w:id="4699" w:name="_Toc153625454"/>
      <w:r w:rsidRPr="000A0A5F">
        <w:t>5.6.5.1</w:t>
      </w:r>
      <w:r w:rsidRPr="000A0A5F">
        <w:tab/>
        <w:t>General</w:t>
      </w:r>
      <w:bookmarkEnd w:id="4688"/>
      <w:bookmarkEnd w:id="4689"/>
      <w:bookmarkEnd w:id="4690"/>
      <w:bookmarkEnd w:id="4691"/>
      <w:bookmarkEnd w:id="4692"/>
      <w:bookmarkEnd w:id="4693"/>
      <w:bookmarkEnd w:id="4694"/>
      <w:bookmarkEnd w:id="4695"/>
      <w:bookmarkEnd w:id="4696"/>
      <w:bookmarkEnd w:id="4697"/>
      <w:bookmarkEnd w:id="4698"/>
      <w:bookmarkEnd w:id="4699"/>
    </w:p>
    <w:p w:rsidR="00CB0DD7" w:rsidRPr="000A0A5F" w:rsidRDefault="00CB0DD7">
      <w:r w:rsidRPr="000A0A5F">
        <w:t>HTTP error handling shall be supported as specified in clause 5.2.6.</w:t>
      </w:r>
    </w:p>
    <w:p w:rsidR="00CB0DD7" w:rsidRPr="000A0A5F" w:rsidRDefault="00CB0DD7">
      <w:r w:rsidRPr="000A0A5F">
        <w:t>In addition, the requirements in the following clauses shall apply.</w:t>
      </w:r>
    </w:p>
    <w:p w:rsidR="00CB0DD7" w:rsidRPr="000A0A5F" w:rsidRDefault="00CB0DD7">
      <w:pPr>
        <w:pStyle w:val="Heading4"/>
      </w:pPr>
      <w:bookmarkStart w:id="4700" w:name="_Toc11247518"/>
      <w:bookmarkStart w:id="4701" w:name="_Toc27044657"/>
      <w:bookmarkStart w:id="4702" w:name="_Toc36033699"/>
      <w:bookmarkStart w:id="4703" w:name="_Toc45131845"/>
      <w:bookmarkStart w:id="4704" w:name="_Toc49776130"/>
      <w:bookmarkStart w:id="4705" w:name="_Toc51747050"/>
      <w:bookmarkStart w:id="4706" w:name="_Toc66360611"/>
      <w:bookmarkStart w:id="4707" w:name="_Toc68105116"/>
      <w:bookmarkStart w:id="4708" w:name="_Toc74755746"/>
      <w:bookmarkStart w:id="4709" w:name="_Toc105674620"/>
      <w:bookmarkStart w:id="4710" w:name="_Toc130502668"/>
      <w:bookmarkStart w:id="4711" w:name="_Toc153625455"/>
      <w:r w:rsidRPr="000A0A5F">
        <w:t>5.6.5.2</w:t>
      </w:r>
      <w:r w:rsidRPr="000A0A5F">
        <w:tab/>
        <w:t>Protocol Errors</w:t>
      </w:r>
      <w:bookmarkEnd w:id="4700"/>
      <w:bookmarkEnd w:id="4701"/>
      <w:bookmarkEnd w:id="4702"/>
      <w:bookmarkEnd w:id="4703"/>
      <w:bookmarkEnd w:id="4704"/>
      <w:bookmarkEnd w:id="4705"/>
      <w:bookmarkEnd w:id="4706"/>
      <w:bookmarkEnd w:id="4707"/>
      <w:bookmarkEnd w:id="4708"/>
      <w:bookmarkEnd w:id="4709"/>
      <w:bookmarkEnd w:id="4710"/>
      <w:bookmarkEnd w:id="4711"/>
    </w:p>
    <w:p w:rsidR="00CB0DD7" w:rsidRPr="000A0A5F" w:rsidRDefault="00CB0DD7">
      <w:r w:rsidRPr="000A0A5F">
        <w:rPr>
          <w:lang w:eastAsia="zh-CN"/>
        </w:rPr>
        <w:t xml:space="preserve">In this Release </w:t>
      </w:r>
      <w:r w:rsidRPr="000A0A5F">
        <w:t>of the specification, there are no additional protocol errors applicable for the NIDD API.</w:t>
      </w:r>
    </w:p>
    <w:p w:rsidR="00CB0DD7" w:rsidRPr="000A0A5F" w:rsidRDefault="00CB0DD7">
      <w:pPr>
        <w:pStyle w:val="Heading4"/>
      </w:pPr>
      <w:bookmarkStart w:id="4712" w:name="_Toc11247519"/>
      <w:bookmarkStart w:id="4713" w:name="_Toc27044658"/>
      <w:bookmarkStart w:id="4714" w:name="_Toc36033700"/>
      <w:bookmarkStart w:id="4715" w:name="_Toc45131846"/>
      <w:bookmarkStart w:id="4716" w:name="_Toc49776131"/>
      <w:bookmarkStart w:id="4717" w:name="_Toc51747051"/>
      <w:bookmarkStart w:id="4718" w:name="_Toc66360612"/>
      <w:bookmarkStart w:id="4719" w:name="_Toc68105117"/>
      <w:bookmarkStart w:id="4720" w:name="_Toc74755747"/>
      <w:bookmarkStart w:id="4721" w:name="_Toc105674621"/>
      <w:bookmarkStart w:id="4722" w:name="_Toc130502669"/>
      <w:bookmarkStart w:id="4723" w:name="_Toc153625456"/>
      <w:r w:rsidRPr="000A0A5F">
        <w:t>5.6.5.3</w:t>
      </w:r>
      <w:r w:rsidRPr="000A0A5F">
        <w:tab/>
        <w:t>Application Errors</w:t>
      </w:r>
      <w:bookmarkEnd w:id="4712"/>
      <w:bookmarkEnd w:id="4713"/>
      <w:bookmarkEnd w:id="4714"/>
      <w:bookmarkEnd w:id="4715"/>
      <w:bookmarkEnd w:id="4716"/>
      <w:bookmarkEnd w:id="4717"/>
      <w:bookmarkEnd w:id="4718"/>
      <w:bookmarkEnd w:id="4719"/>
      <w:bookmarkEnd w:id="4720"/>
      <w:bookmarkEnd w:id="4721"/>
      <w:bookmarkEnd w:id="4722"/>
      <w:bookmarkEnd w:id="4723"/>
    </w:p>
    <w:p w:rsidR="00CB0DD7" w:rsidRPr="000A0A5F" w:rsidRDefault="00CB0DD7">
      <w:r w:rsidRPr="000A0A5F">
        <w:t>The application errors defined for the NIDD API are listed in table 5.6.5.3-1.</w:t>
      </w:r>
    </w:p>
    <w:p w:rsidR="00CB0DD7" w:rsidRPr="000A0A5F" w:rsidRDefault="002E466A">
      <w:pPr>
        <w:pStyle w:val="TH"/>
      </w:pPr>
      <w:r w:rsidRPr="000A0A5F">
        <w:t>Table </w:t>
      </w:r>
      <w:r w:rsidR="00CB0DD7" w:rsidRPr="000A0A5F">
        <w:t>5.6.5.3-1: Application errors</w:t>
      </w:r>
    </w:p>
    <w:tbl>
      <w:tblPr>
        <w:tblW w:w="1002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4A0" w:firstRow="1" w:lastRow="0" w:firstColumn="1" w:lastColumn="0" w:noHBand="0" w:noVBand="1"/>
      </w:tblPr>
      <w:tblGrid>
        <w:gridCol w:w="2939"/>
        <w:gridCol w:w="2244"/>
        <w:gridCol w:w="3426"/>
        <w:gridCol w:w="1417"/>
      </w:tblGrid>
      <w:tr w:rsidR="00CB0DD7" w:rsidRPr="000A0A5F" w:rsidTr="00FF0AF8">
        <w:trPr>
          <w:cantSplit/>
          <w:jc w:val="center"/>
        </w:trPr>
        <w:tc>
          <w:tcPr>
            <w:tcW w:w="2939" w:type="dxa"/>
            <w:shd w:val="clear" w:color="000000" w:fill="C0C0C0"/>
          </w:tcPr>
          <w:p w:rsidR="00CB0DD7" w:rsidRPr="000A0A5F" w:rsidRDefault="00CB0DD7">
            <w:pPr>
              <w:pStyle w:val="TAH"/>
            </w:pPr>
            <w:r w:rsidRPr="000A0A5F">
              <w:t>Application Error</w:t>
            </w:r>
          </w:p>
        </w:tc>
        <w:tc>
          <w:tcPr>
            <w:tcW w:w="2244" w:type="dxa"/>
            <w:shd w:val="clear" w:color="000000" w:fill="C0C0C0"/>
          </w:tcPr>
          <w:p w:rsidR="00CB0DD7" w:rsidRPr="000A0A5F" w:rsidRDefault="00CB0DD7">
            <w:pPr>
              <w:pStyle w:val="TAH"/>
            </w:pPr>
            <w:r w:rsidRPr="000A0A5F">
              <w:t>HTTP status code</w:t>
            </w:r>
          </w:p>
        </w:tc>
        <w:tc>
          <w:tcPr>
            <w:tcW w:w="3426" w:type="dxa"/>
            <w:shd w:val="clear" w:color="000000" w:fill="C0C0C0"/>
          </w:tcPr>
          <w:p w:rsidR="00CB0DD7" w:rsidRPr="000A0A5F" w:rsidRDefault="00CB0DD7">
            <w:pPr>
              <w:pStyle w:val="TAH"/>
            </w:pPr>
            <w:r w:rsidRPr="000A0A5F">
              <w:t>Description</w:t>
            </w:r>
          </w:p>
        </w:tc>
        <w:tc>
          <w:tcPr>
            <w:tcW w:w="1417" w:type="dxa"/>
            <w:shd w:val="clear" w:color="000000" w:fill="C0C0C0"/>
          </w:tcPr>
          <w:p w:rsidR="00CB0DD7" w:rsidRPr="000A0A5F" w:rsidRDefault="00CB0DD7">
            <w:pPr>
              <w:pStyle w:val="TAH"/>
            </w:pPr>
            <w:r w:rsidRPr="000A0A5F">
              <w:t>Applicability</w:t>
            </w:r>
          </w:p>
        </w:tc>
      </w:tr>
      <w:tr w:rsidR="00CB0DD7" w:rsidRPr="000A0A5F" w:rsidTr="00FF0AF8">
        <w:trPr>
          <w:cantSplit/>
          <w:jc w:val="center"/>
        </w:trPr>
        <w:tc>
          <w:tcPr>
            <w:tcW w:w="2939" w:type="dxa"/>
            <w:shd w:val="clear" w:color="auto" w:fill="auto"/>
          </w:tcPr>
          <w:p w:rsidR="00CB0DD7" w:rsidRPr="000A0A5F" w:rsidRDefault="00CB0DD7">
            <w:pPr>
              <w:pStyle w:val="TAL"/>
            </w:pPr>
            <w:r w:rsidRPr="000A0A5F">
              <w:t>QUOTA_EXCEEDED</w:t>
            </w:r>
          </w:p>
        </w:tc>
        <w:tc>
          <w:tcPr>
            <w:tcW w:w="2244" w:type="dxa"/>
            <w:shd w:val="clear" w:color="auto" w:fill="auto"/>
          </w:tcPr>
          <w:p w:rsidR="00CB0DD7" w:rsidRPr="000A0A5F" w:rsidRDefault="00CB0DD7">
            <w:pPr>
              <w:pStyle w:val="TAL"/>
            </w:pPr>
            <w:r w:rsidRPr="000A0A5F">
              <w:t>403 Forbidden</w:t>
            </w:r>
          </w:p>
        </w:tc>
        <w:tc>
          <w:tcPr>
            <w:tcW w:w="3426" w:type="dxa"/>
            <w:shd w:val="clear" w:color="auto" w:fill="auto"/>
          </w:tcPr>
          <w:p w:rsidR="00CB0DD7" w:rsidRPr="000A0A5F" w:rsidRDefault="00CB0DD7">
            <w:pPr>
              <w:pStyle w:val="TAL"/>
            </w:pPr>
            <w:r w:rsidRPr="000A0A5F">
              <w:t>Not enough quota for the MT NIDD</w:t>
            </w:r>
          </w:p>
        </w:tc>
        <w:tc>
          <w:tcPr>
            <w:tcW w:w="1417" w:type="dxa"/>
          </w:tcPr>
          <w:p w:rsidR="00CB0DD7" w:rsidRPr="000A0A5F" w:rsidRDefault="00CB0DD7">
            <w:pPr>
              <w:pStyle w:val="TAL"/>
            </w:pPr>
          </w:p>
        </w:tc>
      </w:tr>
      <w:tr w:rsidR="00CB0DD7" w:rsidRPr="000A0A5F" w:rsidTr="00FF0AF8">
        <w:trPr>
          <w:cantSplit/>
          <w:jc w:val="center"/>
        </w:trPr>
        <w:tc>
          <w:tcPr>
            <w:tcW w:w="2939" w:type="dxa"/>
            <w:shd w:val="clear" w:color="auto" w:fill="auto"/>
          </w:tcPr>
          <w:p w:rsidR="00CB0DD7" w:rsidRPr="000A0A5F" w:rsidRDefault="00CB0DD7">
            <w:pPr>
              <w:pStyle w:val="TAL"/>
            </w:pPr>
            <w:r w:rsidRPr="000A0A5F">
              <w:t>DATA_TOO_LARGE</w:t>
            </w:r>
          </w:p>
        </w:tc>
        <w:tc>
          <w:tcPr>
            <w:tcW w:w="2244" w:type="dxa"/>
            <w:shd w:val="clear" w:color="auto" w:fill="auto"/>
          </w:tcPr>
          <w:p w:rsidR="00CB0DD7" w:rsidRPr="000A0A5F" w:rsidRDefault="00CB0DD7">
            <w:pPr>
              <w:pStyle w:val="TAL"/>
            </w:pPr>
            <w:r w:rsidRPr="000A0A5F">
              <w:t>403 Forbidden</w:t>
            </w:r>
          </w:p>
        </w:tc>
        <w:tc>
          <w:tcPr>
            <w:tcW w:w="3426" w:type="dxa"/>
            <w:shd w:val="clear" w:color="auto" w:fill="auto"/>
          </w:tcPr>
          <w:p w:rsidR="00CB0DD7" w:rsidRPr="000A0A5F" w:rsidRDefault="00CB0DD7">
            <w:pPr>
              <w:pStyle w:val="TAL"/>
            </w:pPr>
            <w:r w:rsidRPr="000A0A5F">
              <w:t>The non-IP data size is larger than "</w:t>
            </w:r>
            <w:r w:rsidRPr="000A0A5F">
              <w:rPr>
                <w:rFonts w:eastAsia="Times New Roman"/>
              </w:rPr>
              <w:t>maximumPacketSize</w:t>
            </w:r>
            <w:r w:rsidRPr="000A0A5F">
              <w:t>"</w:t>
            </w:r>
            <w:r w:rsidRPr="000A0A5F">
              <w:rPr>
                <w:rFonts w:eastAsia="Times New Roman"/>
              </w:rPr>
              <w:t xml:space="preserve"> of the NIDD configuration.</w:t>
            </w:r>
          </w:p>
        </w:tc>
        <w:tc>
          <w:tcPr>
            <w:tcW w:w="1417" w:type="dxa"/>
          </w:tcPr>
          <w:p w:rsidR="00CB0DD7" w:rsidRPr="000A0A5F" w:rsidRDefault="00CB0DD7">
            <w:pPr>
              <w:pStyle w:val="TAL"/>
            </w:pPr>
          </w:p>
        </w:tc>
      </w:tr>
      <w:tr w:rsidR="00CB0DD7" w:rsidRPr="000A0A5F" w:rsidTr="00FF0AF8">
        <w:trPr>
          <w:cantSplit/>
          <w:jc w:val="center"/>
        </w:trPr>
        <w:tc>
          <w:tcPr>
            <w:tcW w:w="2939" w:type="dxa"/>
            <w:shd w:val="clear" w:color="auto" w:fill="auto"/>
          </w:tcPr>
          <w:p w:rsidR="00CB0DD7" w:rsidRPr="000A0A5F" w:rsidRDefault="00CB0DD7">
            <w:pPr>
              <w:pStyle w:val="TAL"/>
            </w:pPr>
            <w:r w:rsidRPr="000A0A5F">
              <w:t>RDS_PORT_UNKNOWN</w:t>
            </w:r>
          </w:p>
        </w:tc>
        <w:tc>
          <w:tcPr>
            <w:tcW w:w="2244" w:type="dxa"/>
            <w:shd w:val="clear" w:color="auto" w:fill="auto"/>
          </w:tcPr>
          <w:p w:rsidR="00CB0DD7" w:rsidRPr="000A0A5F" w:rsidRDefault="00CB0DD7">
            <w:pPr>
              <w:pStyle w:val="TAL"/>
            </w:pPr>
            <w:r w:rsidRPr="000A0A5F">
              <w:t>403 Forbidden</w:t>
            </w:r>
          </w:p>
        </w:tc>
        <w:tc>
          <w:tcPr>
            <w:tcW w:w="3426" w:type="dxa"/>
            <w:shd w:val="clear" w:color="auto" w:fill="auto"/>
          </w:tcPr>
          <w:p w:rsidR="00CB0DD7" w:rsidRPr="000A0A5F" w:rsidRDefault="00CB0DD7">
            <w:pPr>
              <w:pStyle w:val="TAL"/>
            </w:pPr>
            <w:r w:rsidRPr="000A0A5F">
              <w:t>The SCEF does not know the RDS port numbers in the MT NIDD, such port numbers does not match with the configured port numbers.</w:t>
            </w:r>
          </w:p>
        </w:tc>
        <w:tc>
          <w:tcPr>
            <w:tcW w:w="1417" w:type="dxa"/>
          </w:tcPr>
          <w:p w:rsidR="00CB0DD7" w:rsidRPr="000A0A5F" w:rsidRDefault="00CB0DD7">
            <w:pPr>
              <w:pStyle w:val="TAL"/>
            </w:pPr>
            <w:r w:rsidRPr="000A0A5F">
              <w:t>Rds_port_verification</w:t>
            </w:r>
          </w:p>
        </w:tc>
      </w:tr>
      <w:tr w:rsidR="00CB0DD7" w:rsidRPr="000A0A5F" w:rsidTr="00FF0AF8">
        <w:trPr>
          <w:cantSplit/>
          <w:jc w:val="center"/>
        </w:trPr>
        <w:tc>
          <w:tcPr>
            <w:tcW w:w="2939" w:type="dxa"/>
            <w:shd w:val="clear" w:color="auto" w:fill="auto"/>
          </w:tcPr>
          <w:p w:rsidR="00CB0DD7" w:rsidRPr="000A0A5F" w:rsidRDefault="00CB0DD7">
            <w:pPr>
              <w:pStyle w:val="TAL"/>
            </w:pPr>
            <w:r w:rsidRPr="000A0A5F">
              <w:t>OPERATION_PROHIBITED</w:t>
            </w:r>
          </w:p>
        </w:tc>
        <w:tc>
          <w:tcPr>
            <w:tcW w:w="2244" w:type="dxa"/>
            <w:shd w:val="clear" w:color="auto" w:fill="auto"/>
          </w:tcPr>
          <w:p w:rsidR="00CB0DD7" w:rsidRPr="000A0A5F" w:rsidRDefault="00CB0DD7">
            <w:pPr>
              <w:pStyle w:val="TAL"/>
            </w:pPr>
            <w:r w:rsidRPr="000A0A5F">
              <w:t>403 Forbidden</w:t>
            </w:r>
          </w:p>
        </w:tc>
        <w:tc>
          <w:tcPr>
            <w:tcW w:w="3426" w:type="dxa"/>
            <w:shd w:val="clear" w:color="auto" w:fill="auto"/>
          </w:tcPr>
          <w:p w:rsidR="00CB0DD7" w:rsidRPr="000A0A5F" w:rsidRDefault="00CB0DD7">
            <w:pPr>
              <w:pStyle w:val="TAL"/>
            </w:pPr>
            <w:r w:rsidRPr="000A0A5F">
              <w:t xml:space="preserve">Indicates the operation is </w:t>
            </w:r>
            <w:r w:rsidR="0050213F" w:rsidRPr="000A0A5F">
              <w:t>prohibited</w:t>
            </w:r>
            <w:r w:rsidRPr="000A0A5F">
              <w:t>.</w:t>
            </w:r>
          </w:p>
        </w:tc>
        <w:tc>
          <w:tcPr>
            <w:tcW w:w="1417" w:type="dxa"/>
          </w:tcPr>
          <w:p w:rsidR="00CB0DD7" w:rsidRPr="000A0A5F" w:rsidRDefault="00CB0DD7">
            <w:pPr>
              <w:pStyle w:val="TAL"/>
            </w:pPr>
          </w:p>
        </w:tc>
      </w:tr>
      <w:tr w:rsidR="00CB0DD7" w:rsidRPr="000A0A5F" w:rsidTr="00FF0AF8">
        <w:trPr>
          <w:cantSplit/>
          <w:jc w:val="center"/>
        </w:trPr>
        <w:tc>
          <w:tcPr>
            <w:tcW w:w="2939" w:type="dxa"/>
            <w:shd w:val="clear" w:color="auto" w:fill="auto"/>
          </w:tcPr>
          <w:p w:rsidR="00CB0DD7" w:rsidRPr="000A0A5F" w:rsidRDefault="00CB0DD7">
            <w:pPr>
              <w:pStyle w:val="TAL"/>
            </w:pPr>
            <w:r w:rsidRPr="000A0A5F">
              <w:t>PORT_NOT_FREE</w:t>
            </w:r>
          </w:p>
        </w:tc>
        <w:tc>
          <w:tcPr>
            <w:tcW w:w="2244" w:type="dxa"/>
            <w:shd w:val="clear" w:color="auto" w:fill="auto"/>
          </w:tcPr>
          <w:p w:rsidR="00CB0DD7" w:rsidRPr="000A0A5F" w:rsidRDefault="00CB0DD7">
            <w:pPr>
              <w:pStyle w:val="TAL"/>
            </w:pPr>
            <w:r w:rsidRPr="000A0A5F">
              <w:t>403 Forbidden</w:t>
            </w:r>
          </w:p>
        </w:tc>
        <w:tc>
          <w:tcPr>
            <w:tcW w:w="3426" w:type="dxa"/>
            <w:shd w:val="clear" w:color="auto" w:fill="auto"/>
          </w:tcPr>
          <w:p w:rsidR="00CB0DD7" w:rsidRPr="000A0A5F" w:rsidRDefault="00CB0DD7">
            <w:pPr>
              <w:pStyle w:val="TAL"/>
            </w:pPr>
            <w:r w:rsidRPr="000A0A5F">
              <w:t>Port is not free as it is already associated with an application</w:t>
            </w:r>
          </w:p>
        </w:tc>
        <w:tc>
          <w:tcPr>
            <w:tcW w:w="1417" w:type="dxa"/>
          </w:tcPr>
          <w:p w:rsidR="00CB0DD7" w:rsidRPr="000A0A5F" w:rsidRDefault="00CB0DD7">
            <w:pPr>
              <w:pStyle w:val="TAL"/>
            </w:pPr>
            <w:r w:rsidRPr="000A0A5F">
              <w:t>Rds_dynamic_port</w:t>
            </w:r>
          </w:p>
        </w:tc>
      </w:tr>
      <w:tr w:rsidR="00CB0DD7" w:rsidRPr="000A0A5F" w:rsidTr="00FF0AF8">
        <w:trPr>
          <w:cantSplit/>
          <w:jc w:val="center"/>
        </w:trPr>
        <w:tc>
          <w:tcPr>
            <w:tcW w:w="2939" w:type="dxa"/>
            <w:shd w:val="clear" w:color="auto" w:fill="auto"/>
          </w:tcPr>
          <w:p w:rsidR="00CB0DD7" w:rsidRPr="000A0A5F" w:rsidRDefault="00CB0DD7">
            <w:pPr>
              <w:pStyle w:val="TAL"/>
            </w:pPr>
            <w:r w:rsidRPr="000A0A5F">
              <w:t>ALREADY_DELIVERED</w:t>
            </w:r>
          </w:p>
        </w:tc>
        <w:tc>
          <w:tcPr>
            <w:tcW w:w="2244" w:type="dxa"/>
            <w:shd w:val="clear" w:color="auto" w:fill="auto"/>
          </w:tcPr>
          <w:p w:rsidR="00CB0DD7" w:rsidRPr="000A0A5F" w:rsidRDefault="00CB0DD7">
            <w:pPr>
              <w:pStyle w:val="TAL"/>
            </w:pPr>
            <w:r w:rsidRPr="000A0A5F">
              <w:t>404 Not Found</w:t>
            </w:r>
          </w:p>
        </w:tc>
        <w:tc>
          <w:tcPr>
            <w:tcW w:w="3426" w:type="dxa"/>
            <w:shd w:val="clear" w:color="auto" w:fill="auto"/>
          </w:tcPr>
          <w:p w:rsidR="00CB0DD7" w:rsidRPr="000A0A5F" w:rsidRDefault="00CB0DD7">
            <w:pPr>
              <w:pStyle w:val="TAL"/>
            </w:pPr>
            <w:r w:rsidRPr="000A0A5F">
              <w:t>The SCEF has already delivered the buffered data.</w:t>
            </w:r>
          </w:p>
        </w:tc>
        <w:tc>
          <w:tcPr>
            <w:tcW w:w="1417" w:type="dxa"/>
          </w:tcPr>
          <w:p w:rsidR="00CB0DD7" w:rsidRPr="000A0A5F" w:rsidRDefault="00CB0DD7">
            <w:pPr>
              <w:pStyle w:val="TAL"/>
            </w:pPr>
          </w:p>
        </w:tc>
      </w:tr>
      <w:tr w:rsidR="00CB0DD7" w:rsidRPr="000A0A5F" w:rsidTr="00FF0AF8">
        <w:trPr>
          <w:cantSplit/>
          <w:jc w:val="center"/>
        </w:trPr>
        <w:tc>
          <w:tcPr>
            <w:tcW w:w="2939" w:type="dxa"/>
            <w:shd w:val="clear" w:color="auto" w:fill="auto"/>
          </w:tcPr>
          <w:p w:rsidR="00CB0DD7" w:rsidRPr="000A0A5F" w:rsidRDefault="00CB0DD7">
            <w:pPr>
              <w:pStyle w:val="TAL"/>
            </w:pPr>
            <w:r w:rsidRPr="000A0A5F">
              <w:t>PORT_NOT_ASSOC_WITH_APP</w:t>
            </w:r>
          </w:p>
        </w:tc>
        <w:tc>
          <w:tcPr>
            <w:tcW w:w="2244" w:type="dxa"/>
            <w:shd w:val="clear" w:color="auto" w:fill="auto"/>
          </w:tcPr>
          <w:p w:rsidR="00CB0DD7" w:rsidRPr="000A0A5F" w:rsidRDefault="00CB0DD7">
            <w:pPr>
              <w:pStyle w:val="TAL"/>
            </w:pPr>
            <w:r w:rsidRPr="000A0A5F">
              <w:t>404 Not Found</w:t>
            </w:r>
          </w:p>
        </w:tc>
        <w:tc>
          <w:tcPr>
            <w:tcW w:w="3426" w:type="dxa"/>
            <w:shd w:val="clear" w:color="auto" w:fill="auto"/>
          </w:tcPr>
          <w:p w:rsidR="00CB0DD7" w:rsidRPr="000A0A5F" w:rsidRDefault="00CB0DD7">
            <w:pPr>
              <w:pStyle w:val="TAL"/>
            </w:pPr>
            <w:r w:rsidRPr="000A0A5F">
              <w:t>Port is free and is not associated with any application.</w:t>
            </w:r>
          </w:p>
        </w:tc>
        <w:tc>
          <w:tcPr>
            <w:tcW w:w="1417" w:type="dxa"/>
          </w:tcPr>
          <w:p w:rsidR="00CB0DD7" w:rsidRPr="000A0A5F" w:rsidRDefault="00CB0DD7">
            <w:pPr>
              <w:pStyle w:val="TAL"/>
            </w:pPr>
            <w:r w:rsidRPr="000A0A5F">
              <w:t>Rds_dynamic_port</w:t>
            </w:r>
          </w:p>
        </w:tc>
      </w:tr>
      <w:tr w:rsidR="00CB0DD7" w:rsidRPr="000A0A5F" w:rsidTr="00FF0AF8">
        <w:trPr>
          <w:cantSplit/>
          <w:jc w:val="center"/>
        </w:trPr>
        <w:tc>
          <w:tcPr>
            <w:tcW w:w="2939" w:type="dxa"/>
            <w:shd w:val="clear" w:color="auto" w:fill="auto"/>
          </w:tcPr>
          <w:p w:rsidR="00CB0DD7" w:rsidRPr="000A0A5F" w:rsidRDefault="00CB0DD7">
            <w:pPr>
              <w:pStyle w:val="TAL"/>
            </w:pPr>
            <w:r w:rsidRPr="000A0A5F">
              <w:t>SENDING</w:t>
            </w:r>
          </w:p>
        </w:tc>
        <w:tc>
          <w:tcPr>
            <w:tcW w:w="2244" w:type="dxa"/>
            <w:shd w:val="clear" w:color="auto" w:fill="auto"/>
          </w:tcPr>
          <w:p w:rsidR="00CB0DD7" w:rsidRPr="000A0A5F" w:rsidRDefault="00CB0DD7">
            <w:pPr>
              <w:pStyle w:val="TAL"/>
            </w:pPr>
            <w:r w:rsidRPr="000A0A5F">
              <w:t>409 Conflict</w:t>
            </w:r>
          </w:p>
        </w:tc>
        <w:tc>
          <w:tcPr>
            <w:tcW w:w="3426" w:type="dxa"/>
            <w:shd w:val="clear" w:color="auto" w:fill="auto"/>
          </w:tcPr>
          <w:p w:rsidR="00CB0DD7" w:rsidRPr="000A0A5F" w:rsidRDefault="00CB0DD7">
            <w:pPr>
              <w:pStyle w:val="TAL"/>
            </w:pPr>
            <w:r w:rsidRPr="000A0A5F">
              <w:t>The SCEF is already in sending the buffered non-IP data.</w:t>
            </w:r>
          </w:p>
        </w:tc>
        <w:tc>
          <w:tcPr>
            <w:tcW w:w="1417" w:type="dxa"/>
          </w:tcPr>
          <w:p w:rsidR="00CB0DD7" w:rsidRPr="000A0A5F" w:rsidRDefault="00CB0DD7">
            <w:pPr>
              <w:pStyle w:val="TAL"/>
            </w:pPr>
          </w:p>
        </w:tc>
      </w:tr>
      <w:tr w:rsidR="00CB0DD7" w:rsidRPr="000A0A5F" w:rsidTr="00FF0AF8">
        <w:trPr>
          <w:cantSplit/>
          <w:jc w:val="center"/>
        </w:trPr>
        <w:tc>
          <w:tcPr>
            <w:tcW w:w="2939" w:type="dxa"/>
            <w:shd w:val="clear" w:color="auto" w:fill="auto"/>
          </w:tcPr>
          <w:p w:rsidR="00CB0DD7" w:rsidRPr="000A0A5F" w:rsidRDefault="00CB0DD7">
            <w:pPr>
              <w:pStyle w:val="TAL"/>
            </w:pPr>
            <w:r w:rsidRPr="000A0A5F">
              <w:t>TRIGGERED</w:t>
            </w:r>
          </w:p>
        </w:tc>
        <w:tc>
          <w:tcPr>
            <w:tcW w:w="2244" w:type="dxa"/>
            <w:shd w:val="clear" w:color="auto" w:fill="auto"/>
          </w:tcPr>
          <w:p w:rsidR="00CB0DD7" w:rsidRPr="000A0A5F" w:rsidRDefault="00CB0DD7">
            <w:pPr>
              <w:pStyle w:val="TAL"/>
            </w:pPr>
            <w:r w:rsidRPr="000A0A5F">
              <w:t>500 Internal Server Error</w:t>
            </w:r>
          </w:p>
        </w:tc>
        <w:tc>
          <w:tcPr>
            <w:tcW w:w="3426" w:type="dxa"/>
            <w:shd w:val="clear" w:color="auto" w:fill="auto"/>
          </w:tcPr>
          <w:p w:rsidR="00CB0DD7" w:rsidRPr="000A0A5F" w:rsidRDefault="00CB0DD7">
            <w:pPr>
              <w:pStyle w:val="TAL"/>
            </w:pPr>
            <w:r w:rsidRPr="000A0A5F">
              <w:t>The SCEF triggered the device but did not buffer the data. The SCS AS may resubmit the data</w:t>
            </w:r>
          </w:p>
        </w:tc>
        <w:tc>
          <w:tcPr>
            <w:tcW w:w="1417" w:type="dxa"/>
          </w:tcPr>
          <w:p w:rsidR="00CB0DD7" w:rsidRPr="000A0A5F" w:rsidRDefault="00CB0DD7">
            <w:pPr>
              <w:pStyle w:val="TAL"/>
            </w:pPr>
          </w:p>
        </w:tc>
      </w:tr>
      <w:tr w:rsidR="00CB0DD7" w:rsidRPr="000A0A5F" w:rsidTr="00FF0AF8">
        <w:trPr>
          <w:cantSplit/>
          <w:jc w:val="center"/>
        </w:trPr>
        <w:tc>
          <w:tcPr>
            <w:tcW w:w="2939" w:type="dxa"/>
            <w:shd w:val="clear" w:color="auto" w:fill="auto"/>
          </w:tcPr>
          <w:p w:rsidR="00CB0DD7" w:rsidRPr="000A0A5F" w:rsidRDefault="00CB0DD7">
            <w:pPr>
              <w:pStyle w:val="TAL"/>
            </w:pPr>
            <w:r w:rsidRPr="000A0A5F">
              <w:t>TEMPORARILY_NOT_REACHABLE</w:t>
            </w:r>
          </w:p>
        </w:tc>
        <w:tc>
          <w:tcPr>
            <w:tcW w:w="2244" w:type="dxa"/>
            <w:shd w:val="clear" w:color="auto" w:fill="auto"/>
          </w:tcPr>
          <w:p w:rsidR="00CB0DD7" w:rsidRPr="000A0A5F" w:rsidRDefault="00CB0DD7">
            <w:pPr>
              <w:pStyle w:val="TAL"/>
            </w:pPr>
            <w:r w:rsidRPr="000A0A5F">
              <w:t>500 Internal Server Error</w:t>
            </w:r>
          </w:p>
        </w:tc>
        <w:tc>
          <w:tcPr>
            <w:tcW w:w="3426" w:type="dxa"/>
            <w:shd w:val="clear" w:color="auto" w:fill="auto"/>
          </w:tcPr>
          <w:p w:rsidR="00CB0DD7" w:rsidRPr="000A0A5F" w:rsidRDefault="00CB0DD7">
            <w:pPr>
              <w:pStyle w:val="TAL"/>
            </w:pPr>
            <w:r w:rsidRPr="000A0A5F">
              <w:t>The SCEF has aborted the delivery because the UE is temporarily not reachable. The SCEF may in addition indicate a requested re-submission time for the data.</w:t>
            </w:r>
          </w:p>
        </w:tc>
        <w:tc>
          <w:tcPr>
            <w:tcW w:w="1417" w:type="dxa"/>
          </w:tcPr>
          <w:p w:rsidR="00CB0DD7" w:rsidRPr="000A0A5F" w:rsidRDefault="00CB0DD7">
            <w:pPr>
              <w:pStyle w:val="TAL"/>
            </w:pPr>
          </w:p>
        </w:tc>
      </w:tr>
      <w:tr w:rsidR="00CB0DD7" w:rsidRPr="000A0A5F" w:rsidTr="00FF0AF8">
        <w:trPr>
          <w:cantSplit/>
          <w:jc w:val="center"/>
        </w:trPr>
        <w:tc>
          <w:tcPr>
            <w:tcW w:w="2939" w:type="dxa"/>
            <w:shd w:val="clear" w:color="auto" w:fill="auto"/>
          </w:tcPr>
          <w:p w:rsidR="00CB0DD7" w:rsidRPr="000A0A5F" w:rsidRDefault="00CB0DD7">
            <w:pPr>
              <w:pStyle w:val="TAL"/>
            </w:pPr>
            <w:r w:rsidRPr="000A0A5F">
              <w:t>NEXT_HOP</w:t>
            </w:r>
          </w:p>
        </w:tc>
        <w:tc>
          <w:tcPr>
            <w:tcW w:w="2244" w:type="dxa"/>
            <w:shd w:val="clear" w:color="auto" w:fill="auto"/>
          </w:tcPr>
          <w:p w:rsidR="00CB0DD7" w:rsidRPr="000A0A5F" w:rsidRDefault="00CB0DD7">
            <w:pPr>
              <w:pStyle w:val="TAL"/>
            </w:pPr>
            <w:r w:rsidRPr="000A0A5F">
              <w:t>500 Internal Server Error</w:t>
            </w:r>
          </w:p>
        </w:tc>
        <w:tc>
          <w:tcPr>
            <w:tcW w:w="3426" w:type="dxa"/>
            <w:shd w:val="clear" w:color="auto" w:fill="auto"/>
          </w:tcPr>
          <w:p w:rsidR="00CB0DD7" w:rsidRPr="000A0A5F" w:rsidRDefault="00CB0DD7">
            <w:pPr>
              <w:pStyle w:val="TAL"/>
            </w:pPr>
            <w:r w:rsidRPr="000A0A5F">
              <w:t>Unsuccessful delivery to the next hop.</w:t>
            </w:r>
          </w:p>
        </w:tc>
        <w:tc>
          <w:tcPr>
            <w:tcW w:w="1417" w:type="dxa"/>
          </w:tcPr>
          <w:p w:rsidR="00CB0DD7" w:rsidRPr="000A0A5F" w:rsidRDefault="00CB0DD7">
            <w:pPr>
              <w:pStyle w:val="TAL"/>
            </w:pPr>
          </w:p>
        </w:tc>
      </w:tr>
      <w:tr w:rsidR="00CB0DD7" w:rsidRPr="000A0A5F" w:rsidTr="00FF0AF8">
        <w:trPr>
          <w:cantSplit/>
          <w:jc w:val="center"/>
        </w:trPr>
        <w:tc>
          <w:tcPr>
            <w:tcW w:w="2939" w:type="dxa"/>
            <w:shd w:val="clear" w:color="auto" w:fill="auto"/>
          </w:tcPr>
          <w:p w:rsidR="00CB0DD7" w:rsidRPr="000A0A5F" w:rsidRDefault="00CB0DD7">
            <w:pPr>
              <w:pStyle w:val="TAL"/>
            </w:pPr>
            <w:r w:rsidRPr="000A0A5F">
              <w:t>TIMEOUT</w:t>
            </w:r>
          </w:p>
        </w:tc>
        <w:tc>
          <w:tcPr>
            <w:tcW w:w="2244" w:type="dxa"/>
            <w:shd w:val="clear" w:color="auto" w:fill="auto"/>
          </w:tcPr>
          <w:p w:rsidR="00CB0DD7" w:rsidRPr="000A0A5F" w:rsidRDefault="00CB0DD7">
            <w:pPr>
              <w:pStyle w:val="TAL"/>
            </w:pPr>
            <w:r w:rsidRPr="000A0A5F">
              <w:t>500 Internal Server Error</w:t>
            </w:r>
          </w:p>
        </w:tc>
        <w:tc>
          <w:tcPr>
            <w:tcW w:w="3426" w:type="dxa"/>
            <w:shd w:val="clear" w:color="auto" w:fill="auto"/>
          </w:tcPr>
          <w:p w:rsidR="00CB0DD7" w:rsidRPr="000A0A5F" w:rsidRDefault="00CB0DD7">
            <w:pPr>
              <w:pStyle w:val="TAL"/>
            </w:pPr>
            <w:r w:rsidRPr="000A0A5F">
              <w:t>Unsuccessful delivery due to timeout.</w:t>
            </w:r>
          </w:p>
        </w:tc>
        <w:tc>
          <w:tcPr>
            <w:tcW w:w="1417" w:type="dxa"/>
          </w:tcPr>
          <w:p w:rsidR="00CB0DD7" w:rsidRPr="000A0A5F" w:rsidRDefault="00CB0DD7">
            <w:pPr>
              <w:pStyle w:val="TAL"/>
            </w:pPr>
          </w:p>
        </w:tc>
      </w:tr>
      <w:tr w:rsidR="00CB0DD7" w:rsidRPr="000A0A5F" w:rsidTr="00FF0AF8">
        <w:trPr>
          <w:cantSplit/>
          <w:jc w:val="center"/>
        </w:trPr>
        <w:tc>
          <w:tcPr>
            <w:tcW w:w="2939" w:type="dxa"/>
            <w:shd w:val="clear" w:color="auto" w:fill="auto"/>
          </w:tcPr>
          <w:p w:rsidR="00CB0DD7" w:rsidRPr="000A0A5F" w:rsidRDefault="00CB0DD7">
            <w:pPr>
              <w:pStyle w:val="TAL"/>
            </w:pPr>
            <w:r w:rsidRPr="000A0A5F">
              <w:t>NO_PDN_CONNECTION</w:t>
            </w:r>
          </w:p>
        </w:tc>
        <w:tc>
          <w:tcPr>
            <w:tcW w:w="2244" w:type="dxa"/>
            <w:shd w:val="clear" w:color="auto" w:fill="auto"/>
          </w:tcPr>
          <w:p w:rsidR="00CB0DD7" w:rsidRPr="000A0A5F" w:rsidRDefault="00CB0DD7">
            <w:pPr>
              <w:pStyle w:val="TAL"/>
            </w:pPr>
            <w:r w:rsidRPr="000A0A5F">
              <w:t>500 Internal Server Error</w:t>
            </w:r>
          </w:p>
        </w:tc>
        <w:tc>
          <w:tcPr>
            <w:tcW w:w="3426" w:type="dxa"/>
            <w:shd w:val="clear" w:color="auto" w:fill="auto"/>
          </w:tcPr>
          <w:p w:rsidR="00CB0DD7" w:rsidRPr="000A0A5F" w:rsidRDefault="00CB0DD7">
            <w:pPr>
              <w:pStyle w:val="TAL"/>
            </w:pPr>
            <w:r w:rsidRPr="000A0A5F">
              <w:t>The SCEF cannot proceed since there is no PDN connection.</w:t>
            </w:r>
          </w:p>
        </w:tc>
        <w:tc>
          <w:tcPr>
            <w:tcW w:w="1417" w:type="dxa"/>
          </w:tcPr>
          <w:p w:rsidR="00CB0DD7" w:rsidRPr="000A0A5F" w:rsidRDefault="00CB0DD7">
            <w:pPr>
              <w:pStyle w:val="TAL"/>
            </w:pPr>
          </w:p>
        </w:tc>
      </w:tr>
      <w:tr w:rsidR="00CB0DD7" w:rsidRPr="000A0A5F" w:rsidTr="00FF0AF8">
        <w:trPr>
          <w:cantSplit/>
          <w:jc w:val="center"/>
        </w:trPr>
        <w:tc>
          <w:tcPr>
            <w:tcW w:w="2939" w:type="dxa"/>
            <w:shd w:val="clear" w:color="auto" w:fill="auto"/>
          </w:tcPr>
          <w:p w:rsidR="00CB0DD7" w:rsidRPr="000A0A5F" w:rsidRDefault="00CB0DD7">
            <w:pPr>
              <w:pStyle w:val="TAL"/>
            </w:pPr>
            <w:r w:rsidRPr="000A0A5F">
              <w:t>SERIALIZATION_FORMAT_NOT_SUPPORTED</w:t>
            </w:r>
          </w:p>
        </w:tc>
        <w:tc>
          <w:tcPr>
            <w:tcW w:w="2244" w:type="dxa"/>
            <w:shd w:val="clear" w:color="auto" w:fill="auto"/>
          </w:tcPr>
          <w:p w:rsidR="00CB0DD7" w:rsidRPr="000A0A5F" w:rsidRDefault="00CB0DD7">
            <w:pPr>
              <w:pStyle w:val="TAL"/>
            </w:pPr>
            <w:r w:rsidRPr="000A0A5F">
              <w:t>500 Internal Server Error</w:t>
            </w:r>
          </w:p>
        </w:tc>
        <w:tc>
          <w:tcPr>
            <w:tcW w:w="3426" w:type="dxa"/>
            <w:shd w:val="clear" w:color="auto" w:fill="auto"/>
          </w:tcPr>
          <w:p w:rsidR="00CB0DD7" w:rsidRPr="000A0A5F" w:rsidRDefault="00CB0DD7">
            <w:pPr>
              <w:pStyle w:val="TAL"/>
            </w:pPr>
            <w:r w:rsidRPr="000A0A5F">
              <w:t>The SCEF was not able to configure a Serialization Format for the port</w:t>
            </w:r>
          </w:p>
        </w:tc>
        <w:tc>
          <w:tcPr>
            <w:tcW w:w="1417" w:type="dxa"/>
          </w:tcPr>
          <w:p w:rsidR="00CB0DD7" w:rsidRPr="000A0A5F" w:rsidRDefault="00CB0DD7">
            <w:pPr>
              <w:pStyle w:val="TAL"/>
            </w:pPr>
            <w:r w:rsidRPr="000A0A5F">
              <w:rPr>
                <w:lang w:eastAsia="zh-CN"/>
              </w:rPr>
              <w:t>Rds_serialization_format</w:t>
            </w:r>
          </w:p>
        </w:tc>
      </w:tr>
    </w:tbl>
    <w:p w:rsidR="00CB0DD7" w:rsidRPr="000A0A5F" w:rsidRDefault="00CB0DD7"/>
    <w:p w:rsidR="00CB0DD7" w:rsidRPr="000A0A5F" w:rsidRDefault="00CB0DD7">
      <w:pPr>
        <w:pStyle w:val="Heading2"/>
      </w:pPr>
      <w:bookmarkStart w:id="4724" w:name="_Toc11247520"/>
      <w:bookmarkStart w:id="4725" w:name="_Toc27044659"/>
      <w:bookmarkStart w:id="4726" w:name="_Toc36033701"/>
      <w:bookmarkStart w:id="4727" w:name="_Toc45131847"/>
      <w:bookmarkStart w:id="4728" w:name="_Toc49776132"/>
      <w:bookmarkStart w:id="4729" w:name="_Toc51747052"/>
      <w:bookmarkStart w:id="4730" w:name="_Toc66360613"/>
      <w:bookmarkStart w:id="4731" w:name="_Toc68105118"/>
      <w:bookmarkStart w:id="4732" w:name="_Toc74755748"/>
      <w:bookmarkStart w:id="4733" w:name="_Toc105674622"/>
      <w:bookmarkStart w:id="4734" w:name="_Toc130502670"/>
      <w:bookmarkStart w:id="4735" w:name="_Toc153625457"/>
      <w:r w:rsidRPr="000A0A5F">
        <w:t>5.7</w:t>
      </w:r>
      <w:r w:rsidRPr="000A0A5F">
        <w:tab/>
        <w:t>DeviceTriggering API</w:t>
      </w:r>
      <w:bookmarkEnd w:id="4724"/>
      <w:bookmarkEnd w:id="4725"/>
      <w:bookmarkEnd w:id="4726"/>
      <w:bookmarkEnd w:id="4727"/>
      <w:bookmarkEnd w:id="4728"/>
      <w:bookmarkEnd w:id="4729"/>
      <w:bookmarkEnd w:id="4730"/>
      <w:bookmarkEnd w:id="4731"/>
      <w:bookmarkEnd w:id="4732"/>
      <w:bookmarkEnd w:id="4733"/>
      <w:bookmarkEnd w:id="4734"/>
      <w:bookmarkEnd w:id="4735"/>
    </w:p>
    <w:p w:rsidR="00CB0DD7" w:rsidRPr="000A0A5F" w:rsidRDefault="00CB0DD7">
      <w:pPr>
        <w:pStyle w:val="Heading3"/>
      </w:pPr>
      <w:bookmarkStart w:id="4736" w:name="_Toc11247521"/>
      <w:bookmarkStart w:id="4737" w:name="_Toc27044660"/>
      <w:bookmarkStart w:id="4738" w:name="_Toc36033702"/>
      <w:bookmarkStart w:id="4739" w:name="_Toc45131848"/>
      <w:bookmarkStart w:id="4740" w:name="_Toc49776133"/>
      <w:bookmarkStart w:id="4741" w:name="_Toc51747053"/>
      <w:bookmarkStart w:id="4742" w:name="_Toc66360614"/>
      <w:bookmarkStart w:id="4743" w:name="_Toc68105119"/>
      <w:bookmarkStart w:id="4744" w:name="_Toc74755749"/>
      <w:bookmarkStart w:id="4745" w:name="_Toc105674623"/>
      <w:bookmarkStart w:id="4746" w:name="_Toc130502671"/>
      <w:bookmarkStart w:id="4747" w:name="_Toc153625458"/>
      <w:r w:rsidRPr="000A0A5F">
        <w:t>5.7.1</w:t>
      </w:r>
      <w:r w:rsidRPr="000A0A5F">
        <w:tab/>
        <w:t>Overview</w:t>
      </w:r>
      <w:bookmarkEnd w:id="4736"/>
      <w:bookmarkEnd w:id="4737"/>
      <w:bookmarkEnd w:id="4738"/>
      <w:bookmarkEnd w:id="4739"/>
      <w:bookmarkEnd w:id="4740"/>
      <w:bookmarkEnd w:id="4741"/>
      <w:bookmarkEnd w:id="4742"/>
      <w:bookmarkEnd w:id="4743"/>
      <w:bookmarkEnd w:id="4744"/>
      <w:bookmarkEnd w:id="4745"/>
      <w:bookmarkEnd w:id="4746"/>
      <w:bookmarkEnd w:id="4747"/>
    </w:p>
    <w:p w:rsidR="00CB0DD7" w:rsidRPr="000A0A5F" w:rsidRDefault="00CB0DD7">
      <w:pPr>
        <w:rPr>
          <w:rFonts w:eastAsia="DengXian"/>
          <w:lang w:eastAsia="zh-CN"/>
        </w:rPr>
      </w:pPr>
      <w:r w:rsidRPr="000A0A5F">
        <w:rPr>
          <w:rFonts w:eastAsia="DengXian" w:hint="eastAsia"/>
          <w:lang w:eastAsia="zh-CN"/>
        </w:rPr>
        <w:t xml:space="preserve">The </w:t>
      </w:r>
      <w:r w:rsidRPr="000A0A5F">
        <w:rPr>
          <w:rFonts w:eastAsia="DengXian"/>
          <w:lang w:eastAsia="zh-CN"/>
        </w:rPr>
        <w:t xml:space="preserve">DeviceTriggering API is a RESTful API that allows the SCS/AS to deliver specific device trigger to the SCEF; it allows the SCS/AS to replace or recall the pending device trigger via the SCEF. If the corresponding device trigger delivery report is received by the SCEF, it also allows the SCEF to indicate the trigger delivery result to the SCS/AS. </w:t>
      </w:r>
    </w:p>
    <w:p w:rsidR="00CB0DD7" w:rsidRPr="000A0A5F" w:rsidRDefault="00CB0DD7">
      <w:r w:rsidRPr="000A0A5F">
        <w:rPr>
          <w:rFonts w:eastAsia="DengXian"/>
          <w:lang w:eastAsia="zh-CN"/>
        </w:rPr>
        <w:t xml:space="preserve">The DeviceTriggering API defines a set of data models, resources and the related procedure for the creation and management of the device triggering. </w:t>
      </w:r>
      <w:r w:rsidRPr="000A0A5F">
        <w:t xml:space="preserve">The corresponding JSON schema for the representation of the resources and operations defined by the </w:t>
      </w:r>
      <w:r w:rsidRPr="000A0A5F">
        <w:rPr>
          <w:noProof/>
          <w:lang w:eastAsia="zh-CN"/>
        </w:rPr>
        <w:t>DeviceTriggering</w:t>
      </w:r>
      <w:r w:rsidRPr="000A0A5F">
        <w:rPr>
          <w:rFonts w:hint="eastAsia"/>
          <w:noProof/>
          <w:lang w:eastAsia="zh-CN"/>
        </w:rPr>
        <w:t xml:space="preserve"> API</w:t>
      </w:r>
      <w:r w:rsidRPr="000A0A5F">
        <w:t xml:space="preserve"> is provided in its complete form in Annex A.7.</w:t>
      </w:r>
    </w:p>
    <w:p w:rsidR="00CB0DD7" w:rsidRPr="000A0A5F" w:rsidRDefault="00CB0DD7">
      <w:pPr>
        <w:pStyle w:val="Heading3"/>
      </w:pPr>
      <w:bookmarkStart w:id="4748" w:name="_Toc11247522"/>
      <w:bookmarkStart w:id="4749" w:name="_Toc27044661"/>
      <w:bookmarkStart w:id="4750" w:name="_Toc36033703"/>
      <w:bookmarkStart w:id="4751" w:name="_Toc45131849"/>
      <w:bookmarkStart w:id="4752" w:name="_Toc49776134"/>
      <w:bookmarkStart w:id="4753" w:name="_Toc51747054"/>
      <w:bookmarkStart w:id="4754" w:name="_Toc66360615"/>
      <w:bookmarkStart w:id="4755" w:name="_Toc68105120"/>
      <w:bookmarkStart w:id="4756" w:name="_Toc74755750"/>
      <w:bookmarkStart w:id="4757" w:name="_Toc105674624"/>
      <w:bookmarkStart w:id="4758" w:name="_Toc130502672"/>
      <w:bookmarkStart w:id="4759" w:name="_Toc153625459"/>
      <w:r w:rsidRPr="000A0A5F">
        <w:t>5.7.2</w:t>
      </w:r>
      <w:r w:rsidRPr="000A0A5F">
        <w:tab/>
        <w:t>Data model</w:t>
      </w:r>
      <w:bookmarkEnd w:id="4748"/>
      <w:bookmarkEnd w:id="4749"/>
      <w:bookmarkEnd w:id="4750"/>
      <w:bookmarkEnd w:id="4751"/>
      <w:bookmarkEnd w:id="4752"/>
      <w:bookmarkEnd w:id="4753"/>
      <w:bookmarkEnd w:id="4754"/>
      <w:bookmarkEnd w:id="4755"/>
      <w:bookmarkEnd w:id="4756"/>
      <w:bookmarkEnd w:id="4757"/>
      <w:bookmarkEnd w:id="4758"/>
      <w:bookmarkEnd w:id="4759"/>
    </w:p>
    <w:p w:rsidR="00CB0DD7" w:rsidRPr="000A0A5F" w:rsidRDefault="00CB0DD7">
      <w:pPr>
        <w:pStyle w:val="Heading4"/>
      </w:pPr>
      <w:bookmarkStart w:id="4760" w:name="_Toc11247523"/>
      <w:bookmarkStart w:id="4761" w:name="_Toc27044662"/>
      <w:bookmarkStart w:id="4762" w:name="_Toc36033704"/>
      <w:bookmarkStart w:id="4763" w:name="_Toc45131850"/>
      <w:bookmarkStart w:id="4764" w:name="_Toc49776135"/>
      <w:bookmarkStart w:id="4765" w:name="_Toc51747055"/>
      <w:bookmarkStart w:id="4766" w:name="_Toc66360616"/>
      <w:bookmarkStart w:id="4767" w:name="_Toc68105121"/>
      <w:bookmarkStart w:id="4768" w:name="_Toc74755751"/>
      <w:bookmarkStart w:id="4769" w:name="_Toc105674625"/>
      <w:bookmarkStart w:id="4770" w:name="_Toc130502673"/>
      <w:bookmarkStart w:id="4771" w:name="_Toc153625460"/>
      <w:r w:rsidRPr="000A0A5F">
        <w:t>5.7.2.1</w:t>
      </w:r>
      <w:r w:rsidRPr="000A0A5F">
        <w:tab/>
        <w:t>Resource data types</w:t>
      </w:r>
      <w:bookmarkEnd w:id="4760"/>
      <w:bookmarkEnd w:id="4761"/>
      <w:bookmarkEnd w:id="4762"/>
      <w:bookmarkEnd w:id="4763"/>
      <w:bookmarkEnd w:id="4764"/>
      <w:bookmarkEnd w:id="4765"/>
      <w:bookmarkEnd w:id="4766"/>
      <w:bookmarkEnd w:id="4767"/>
      <w:bookmarkEnd w:id="4768"/>
      <w:bookmarkEnd w:id="4769"/>
      <w:bookmarkEnd w:id="4770"/>
      <w:bookmarkEnd w:id="4771"/>
    </w:p>
    <w:p w:rsidR="00CB0DD7" w:rsidRPr="000A0A5F" w:rsidRDefault="00CB0DD7">
      <w:pPr>
        <w:pStyle w:val="Heading5"/>
      </w:pPr>
      <w:bookmarkStart w:id="4772" w:name="_Toc11247524"/>
      <w:bookmarkStart w:id="4773" w:name="_Toc27044663"/>
      <w:bookmarkStart w:id="4774" w:name="_Toc36033705"/>
      <w:bookmarkStart w:id="4775" w:name="_Toc45131851"/>
      <w:bookmarkStart w:id="4776" w:name="_Toc49776136"/>
      <w:bookmarkStart w:id="4777" w:name="_Toc51747056"/>
      <w:bookmarkStart w:id="4778" w:name="_Toc66360617"/>
      <w:bookmarkStart w:id="4779" w:name="_Toc68105122"/>
      <w:bookmarkStart w:id="4780" w:name="_Toc74755752"/>
      <w:bookmarkStart w:id="4781" w:name="_Toc105674626"/>
      <w:bookmarkStart w:id="4782" w:name="_Toc130502674"/>
      <w:bookmarkStart w:id="4783" w:name="_Toc153625461"/>
      <w:r w:rsidRPr="000A0A5F">
        <w:t>5.7.2.1.1</w:t>
      </w:r>
      <w:r w:rsidRPr="000A0A5F">
        <w:tab/>
        <w:t>Introduction</w:t>
      </w:r>
      <w:bookmarkEnd w:id="4772"/>
      <w:bookmarkEnd w:id="4773"/>
      <w:bookmarkEnd w:id="4774"/>
      <w:bookmarkEnd w:id="4775"/>
      <w:bookmarkEnd w:id="4776"/>
      <w:bookmarkEnd w:id="4777"/>
      <w:bookmarkEnd w:id="4778"/>
      <w:bookmarkEnd w:id="4779"/>
      <w:bookmarkEnd w:id="4780"/>
      <w:bookmarkEnd w:id="4781"/>
      <w:bookmarkEnd w:id="4782"/>
      <w:bookmarkEnd w:id="4783"/>
    </w:p>
    <w:p w:rsidR="00CB0DD7" w:rsidRPr="000A0A5F" w:rsidRDefault="00CB0DD7">
      <w:r w:rsidRPr="000A0A5F">
        <w:t>This clause defines data structures to be used in resource representations, including subscription resources.</w:t>
      </w:r>
    </w:p>
    <w:p w:rsidR="00CB0DD7" w:rsidRPr="000A0A5F" w:rsidRDefault="00CB0DD7">
      <w:r w:rsidRPr="000A0A5F">
        <w:t xml:space="preserve">Table 5.7.2.1.1-1 specifies data types re-used by the DeviceTriggering API from other specifications, including a reference to their respective specifications and when needed, a short description of their use within the DeviceTriggering API. </w:t>
      </w:r>
    </w:p>
    <w:p w:rsidR="00CB0DD7" w:rsidRPr="000A0A5F" w:rsidRDefault="00CB0DD7">
      <w:pPr>
        <w:pStyle w:val="TH"/>
      </w:pPr>
      <w:r w:rsidRPr="000A0A5F">
        <w:t>Table 5.7.2.1.1-1: DeviceTriggering API re-used Data Types</w:t>
      </w:r>
    </w:p>
    <w:tbl>
      <w:tblPr>
        <w:tblW w:w="943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279"/>
        <w:gridCol w:w="1848"/>
        <w:gridCol w:w="5308"/>
      </w:tblGrid>
      <w:tr w:rsidR="00CB0DD7" w:rsidRPr="000A0A5F" w:rsidTr="00FF0AF8">
        <w:trPr>
          <w:jc w:val="center"/>
        </w:trPr>
        <w:tc>
          <w:tcPr>
            <w:tcW w:w="2279" w:type="dxa"/>
            <w:shd w:val="clear" w:color="auto" w:fill="C0C0C0"/>
            <w:hideMark/>
          </w:tcPr>
          <w:p w:rsidR="00CB0DD7" w:rsidRPr="000A0A5F" w:rsidRDefault="00CB0DD7">
            <w:pPr>
              <w:pStyle w:val="TAH"/>
            </w:pPr>
            <w:r w:rsidRPr="000A0A5F">
              <w:t>Data type</w:t>
            </w:r>
          </w:p>
        </w:tc>
        <w:tc>
          <w:tcPr>
            <w:tcW w:w="1848" w:type="dxa"/>
            <w:shd w:val="clear" w:color="auto" w:fill="C0C0C0"/>
          </w:tcPr>
          <w:p w:rsidR="00CB0DD7" w:rsidRPr="000A0A5F" w:rsidRDefault="00CB0DD7">
            <w:pPr>
              <w:pStyle w:val="TAH"/>
            </w:pPr>
            <w:r w:rsidRPr="000A0A5F">
              <w:t>Reference</w:t>
            </w:r>
          </w:p>
        </w:tc>
        <w:tc>
          <w:tcPr>
            <w:tcW w:w="5308" w:type="dxa"/>
            <w:shd w:val="clear" w:color="auto" w:fill="C0C0C0"/>
            <w:hideMark/>
          </w:tcPr>
          <w:p w:rsidR="00CB0DD7" w:rsidRPr="000A0A5F" w:rsidRDefault="00CB0DD7">
            <w:pPr>
              <w:pStyle w:val="TAH"/>
            </w:pPr>
            <w:r w:rsidRPr="000A0A5F">
              <w:t>Comments</w:t>
            </w:r>
          </w:p>
        </w:tc>
      </w:tr>
      <w:tr w:rsidR="00CB0DD7" w:rsidRPr="000A0A5F" w:rsidTr="00FF0AF8">
        <w:trPr>
          <w:jc w:val="center"/>
        </w:trPr>
        <w:tc>
          <w:tcPr>
            <w:tcW w:w="2279" w:type="dxa"/>
          </w:tcPr>
          <w:p w:rsidR="00CB0DD7" w:rsidRPr="000A0A5F" w:rsidRDefault="00CB0DD7">
            <w:pPr>
              <w:pStyle w:val="TAL"/>
            </w:pPr>
            <w:r w:rsidRPr="000A0A5F">
              <w:rPr>
                <w:noProof/>
                <w:lang w:eastAsia="zh-CN"/>
              </w:rPr>
              <w:t>SupportedFeatures</w:t>
            </w:r>
          </w:p>
        </w:tc>
        <w:tc>
          <w:tcPr>
            <w:tcW w:w="1848" w:type="dxa"/>
          </w:tcPr>
          <w:p w:rsidR="00CB0DD7" w:rsidRPr="000A0A5F" w:rsidRDefault="00CB0DD7">
            <w:pPr>
              <w:pStyle w:val="TAL"/>
              <w:rPr>
                <w:rFonts w:hint="eastAsia"/>
                <w:lang w:eastAsia="zh-CN"/>
              </w:rPr>
            </w:pPr>
            <w:r w:rsidRPr="000A0A5F">
              <w:rPr>
                <w:noProof/>
              </w:rPr>
              <w:t>3GPP TS 29.571 [45]</w:t>
            </w:r>
          </w:p>
        </w:tc>
        <w:tc>
          <w:tcPr>
            <w:tcW w:w="5308" w:type="dxa"/>
          </w:tcPr>
          <w:p w:rsidR="00CB0DD7" w:rsidRPr="000A0A5F" w:rsidRDefault="00CB0DD7">
            <w:pPr>
              <w:pStyle w:val="TAL"/>
              <w:rPr>
                <w:lang w:eastAsia="zh-CN"/>
              </w:rPr>
            </w:pPr>
            <w:r w:rsidRPr="000A0A5F">
              <w:rPr>
                <w:rFonts w:cs="Arial"/>
                <w:noProof/>
                <w:szCs w:val="18"/>
              </w:rPr>
              <w:t xml:space="preserve">Used to negotiate the applicability of the optional features defined in </w:t>
            </w:r>
            <w:r w:rsidRPr="000A0A5F">
              <w:rPr>
                <w:noProof/>
              </w:rPr>
              <w:t>table </w:t>
            </w:r>
            <w:r w:rsidRPr="000A0A5F">
              <w:t>5.7.4-1</w:t>
            </w:r>
            <w:r w:rsidRPr="000A0A5F">
              <w:rPr>
                <w:noProof/>
              </w:rPr>
              <w:t>.</w:t>
            </w:r>
          </w:p>
        </w:tc>
      </w:tr>
    </w:tbl>
    <w:p w:rsidR="00CB0DD7" w:rsidRPr="000A0A5F" w:rsidRDefault="00CB0DD7"/>
    <w:p w:rsidR="007A41B3" w:rsidRPr="000A0A5F" w:rsidRDefault="007A41B3" w:rsidP="007A41B3">
      <w:bookmarkStart w:id="4784" w:name="_Toc11247525"/>
      <w:bookmarkStart w:id="4785" w:name="_Toc27044664"/>
      <w:bookmarkStart w:id="4786" w:name="_Toc36033706"/>
      <w:bookmarkStart w:id="4787" w:name="_Toc45131852"/>
      <w:bookmarkStart w:id="4788" w:name="_Toc49776137"/>
      <w:bookmarkStart w:id="4789" w:name="_Toc51747057"/>
      <w:bookmarkStart w:id="4790" w:name="_Toc66360618"/>
      <w:bookmarkStart w:id="4791" w:name="_Toc68105123"/>
      <w:bookmarkStart w:id="4792" w:name="_Toc74755753"/>
      <w:r w:rsidRPr="000A0A5F">
        <w:t>Table 5.7.2.1.1-2 specifies the data types defined for the DeviceTriggering API.</w:t>
      </w:r>
    </w:p>
    <w:p w:rsidR="007A41B3" w:rsidRPr="000A0A5F" w:rsidRDefault="007A41B3" w:rsidP="007A41B3">
      <w:pPr>
        <w:pStyle w:val="TH"/>
      </w:pPr>
      <w:r w:rsidRPr="000A0A5F">
        <w:t>Table 5.7.2.1.1-2: DeviceTriggering API specific Data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3577"/>
        <w:gridCol w:w="1019"/>
        <w:gridCol w:w="3825"/>
        <w:gridCol w:w="1207"/>
      </w:tblGrid>
      <w:tr w:rsidR="007A41B3" w:rsidRPr="000A0A5F" w:rsidTr="00FF0AF8">
        <w:trPr>
          <w:jc w:val="center"/>
        </w:trPr>
        <w:tc>
          <w:tcPr>
            <w:tcW w:w="0" w:type="auto"/>
            <w:shd w:val="clear" w:color="auto" w:fill="C0C0C0"/>
            <w:vAlign w:val="center"/>
            <w:hideMark/>
          </w:tcPr>
          <w:p w:rsidR="007A41B3" w:rsidRPr="000A0A5F" w:rsidRDefault="007A41B3" w:rsidP="00AC0E52">
            <w:pPr>
              <w:pStyle w:val="TAH"/>
            </w:pPr>
            <w:r w:rsidRPr="000A0A5F">
              <w:t>Data type</w:t>
            </w:r>
          </w:p>
        </w:tc>
        <w:tc>
          <w:tcPr>
            <w:tcW w:w="1019" w:type="dxa"/>
            <w:shd w:val="clear" w:color="auto" w:fill="C0C0C0"/>
            <w:vAlign w:val="center"/>
          </w:tcPr>
          <w:p w:rsidR="007A41B3" w:rsidRPr="000A0A5F" w:rsidRDefault="007A41B3" w:rsidP="00AC0E52">
            <w:pPr>
              <w:pStyle w:val="TAH"/>
            </w:pPr>
            <w:r w:rsidRPr="000A0A5F">
              <w:t>Clause defined</w:t>
            </w:r>
          </w:p>
        </w:tc>
        <w:tc>
          <w:tcPr>
            <w:tcW w:w="3825" w:type="dxa"/>
            <w:shd w:val="clear" w:color="auto" w:fill="C0C0C0"/>
            <w:vAlign w:val="center"/>
            <w:hideMark/>
          </w:tcPr>
          <w:p w:rsidR="007A41B3" w:rsidRPr="000A0A5F" w:rsidRDefault="007A41B3" w:rsidP="00AC0E52">
            <w:pPr>
              <w:pStyle w:val="TAH"/>
            </w:pPr>
            <w:r w:rsidRPr="000A0A5F">
              <w:t>Description</w:t>
            </w:r>
          </w:p>
        </w:tc>
        <w:tc>
          <w:tcPr>
            <w:tcW w:w="0" w:type="auto"/>
            <w:shd w:val="clear" w:color="auto" w:fill="C0C0C0"/>
            <w:vAlign w:val="center"/>
          </w:tcPr>
          <w:p w:rsidR="007A41B3" w:rsidRPr="000A0A5F" w:rsidRDefault="007A41B3" w:rsidP="00AC0E52">
            <w:pPr>
              <w:pStyle w:val="TAH"/>
            </w:pPr>
            <w:r w:rsidRPr="000A0A5F">
              <w:t>Applicability</w:t>
            </w:r>
          </w:p>
        </w:tc>
      </w:tr>
      <w:tr w:rsidR="007A41B3" w:rsidRPr="000A0A5F" w:rsidTr="00FF0AF8">
        <w:trPr>
          <w:jc w:val="center"/>
        </w:trPr>
        <w:tc>
          <w:tcPr>
            <w:tcW w:w="0" w:type="auto"/>
            <w:vAlign w:val="center"/>
          </w:tcPr>
          <w:p w:rsidR="007A41B3" w:rsidRPr="000A0A5F" w:rsidRDefault="007A41B3" w:rsidP="00AC0E52">
            <w:pPr>
              <w:pStyle w:val="TAL"/>
            </w:pPr>
            <w:r w:rsidRPr="000A0A5F">
              <w:t>DeliveryResult</w:t>
            </w:r>
          </w:p>
        </w:tc>
        <w:tc>
          <w:tcPr>
            <w:tcW w:w="1019" w:type="dxa"/>
            <w:vAlign w:val="center"/>
          </w:tcPr>
          <w:p w:rsidR="007A41B3" w:rsidRPr="000A0A5F" w:rsidRDefault="007A41B3" w:rsidP="00AC0E52">
            <w:pPr>
              <w:pStyle w:val="TAC"/>
            </w:pPr>
            <w:r w:rsidRPr="000A0A5F">
              <w:t>5.7.2.2.3</w:t>
            </w:r>
          </w:p>
        </w:tc>
        <w:tc>
          <w:tcPr>
            <w:tcW w:w="3825" w:type="dxa"/>
            <w:vAlign w:val="center"/>
          </w:tcPr>
          <w:p w:rsidR="007A41B3" w:rsidRPr="000A0A5F" w:rsidRDefault="007A41B3" w:rsidP="00AC0E52">
            <w:pPr>
              <w:pStyle w:val="TAL"/>
              <w:rPr>
                <w:rFonts w:cs="Arial"/>
                <w:szCs w:val="18"/>
              </w:rPr>
            </w:pPr>
            <w:r w:rsidRPr="000A0A5F">
              <w:rPr>
                <w:rFonts w:eastAsia="Batang"/>
              </w:rPr>
              <w:t xml:space="preserve">Represents </w:t>
            </w:r>
            <w:r w:rsidRPr="000A0A5F">
              <w:t>the result of the delivery of a device triggering request</w:t>
            </w:r>
            <w:r w:rsidRPr="000A0A5F">
              <w:rPr>
                <w:rFonts w:eastAsia="Batang"/>
              </w:rPr>
              <w:t>.</w:t>
            </w:r>
          </w:p>
        </w:tc>
        <w:tc>
          <w:tcPr>
            <w:tcW w:w="0" w:type="auto"/>
            <w:vAlign w:val="center"/>
          </w:tcPr>
          <w:p w:rsidR="007A41B3" w:rsidRPr="000A0A5F" w:rsidRDefault="007A41B3" w:rsidP="00AC0E52">
            <w:pPr>
              <w:pStyle w:val="TAL"/>
              <w:rPr>
                <w:rFonts w:cs="Arial"/>
                <w:szCs w:val="18"/>
              </w:rPr>
            </w:pPr>
          </w:p>
        </w:tc>
      </w:tr>
      <w:tr w:rsidR="007A41B3" w:rsidRPr="000A0A5F" w:rsidTr="00FF0AF8">
        <w:trPr>
          <w:jc w:val="center"/>
        </w:trPr>
        <w:tc>
          <w:tcPr>
            <w:tcW w:w="0" w:type="auto"/>
            <w:vAlign w:val="center"/>
          </w:tcPr>
          <w:p w:rsidR="007A41B3" w:rsidRPr="000A0A5F" w:rsidRDefault="007A41B3" w:rsidP="00AC0E52">
            <w:pPr>
              <w:pStyle w:val="TAL"/>
            </w:pPr>
            <w:r w:rsidRPr="000A0A5F">
              <w:t>DeviceTriggering</w:t>
            </w:r>
          </w:p>
        </w:tc>
        <w:tc>
          <w:tcPr>
            <w:tcW w:w="1019" w:type="dxa"/>
            <w:vAlign w:val="center"/>
          </w:tcPr>
          <w:p w:rsidR="007A41B3" w:rsidRPr="000A0A5F" w:rsidRDefault="007A41B3" w:rsidP="00AC0E52">
            <w:pPr>
              <w:pStyle w:val="TAC"/>
            </w:pPr>
            <w:r w:rsidRPr="000A0A5F">
              <w:t>5.7.2.1.2</w:t>
            </w:r>
          </w:p>
        </w:tc>
        <w:tc>
          <w:tcPr>
            <w:tcW w:w="3825" w:type="dxa"/>
            <w:vAlign w:val="center"/>
          </w:tcPr>
          <w:p w:rsidR="007A41B3" w:rsidRPr="000A0A5F" w:rsidRDefault="007A41B3" w:rsidP="00AC0E52">
            <w:pPr>
              <w:pStyle w:val="TAL"/>
              <w:rPr>
                <w:rFonts w:cs="Arial"/>
                <w:szCs w:val="18"/>
              </w:rPr>
            </w:pPr>
            <w:r w:rsidRPr="000A0A5F">
              <w:t>Represents device triggering related information.</w:t>
            </w:r>
          </w:p>
        </w:tc>
        <w:tc>
          <w:tcPr>
            <w:tcW w:w="0" w:type="auto"/>
            <w:vAlign w:val="center"/>
          </w:tcPr>
          <w:p w:rsidR="007A41B3" w:rsidRPr="000A0A5F" w:rsidRDefault="007A41B3" w:rsidP="00AC0E52">
            <w:pPr>
              <w:pStyle w:val="TAL"/>
              <w:rPr>
                <w:rFonts w:cs="Arial"/>
                <w:szCs w:val="18"/>
              </w:rPr>
            </w:pPr>
          </w:p>
        </w:tc>
      </w:tr>
      <w:tr w:rsidR="007A41B3" w:rsidRPr="000A0A5F" w:rsidTr="00FF0AF8">
        <w:trPr>
          <w:jc w:val="center"/>
        </w:trPr>
        <w:tc>
          <w:tcPr>
            <w:tcW w:w="0" w:type="auto"/>
            <w:vAlign w:val="center"/>
          </w:tcPr>
          <w:p w:rsidR="007A41B3" w:rsidRPr="000A0A5F" w:rsidRDefault="007A41B3" w:rsidP="00AC0E52">
            <w:pPr>
              <w:pStyle w:val="TAL"/>
            </w:pPr>
            <w:r w:rsidRPr="000A0A5F">
              <w:t>DeviceTriggeringDeliveryReportNotification</w:t>
            </w:r>
          </w:p>
        </w:tc>
        <w:tc>
          <w:tcPr>
            <w:tcW w:w="1019" w:type="dxa"/>
            <w:vAlign w:val="center"/>
          </w:tcPr>
          <w:p w:rsidR="007A41B3" w:rsidRPr="000A0A5F" w:rsidRDefault="007A41B3" w:rsidP="00AC0E52">
            <w:pPr>
              <w:pStyle w:val="TAC"/>
            </w:pPr>
            <w:r w:rsidRPr="000A0A5F">
              <w:t>5.7.2.1.3</w:t>
            </w:r>
          </w:p>
        </w:tc>
        <w:tc>
          <w:tcPr>
            <w:tcW w:w="3825" w:type="dxa"/>
            <w:vAlign w:val="center"/>
          </w:tcPr>
          <w:p w:rsidR="007A41B3" w:rsidRPr="000A0A5F" w:rsidRDefault="007A41B3" w:rsidP="00AC0E52">
            <w:pPr>
              <w:pStyle w:val="TAL"/>
              <w:rPr>
                <w:rFonts w:cs="Arial"/>
                <w:szCs w:val="18"/>
              </w:rPr>
            </w:pPr>
            <w:r w:rsidRPr="000A0A5F">
              <w:t>Represents a device triggering delivery report notification.</w:t>
            </w:r>
          </w:p>
        </w:tc>
        <w:tc>
          <w:tcPr>
            <w:tcW w:w="0" w:type="auto"/>
            <w:vAlign w:val="center"/>
          </w:tcPr>
          <w:p w:rsidR="007A41B3" w:rsidRPr="000A0A5F" w:rsidRDefault="007A41B3" w:rsidP="00AC0E52">
            <w:pPr>
              <w:pStyle w:val="TAL"/>
              <w:rPr>
                <w:rFonts w:cs="Arial"/>
                <w:szCs w:val="18"/>
              </w:rPr>
            </w:pPr>
          </w:p>
        </w:tc>
      </w:tr>
      <w:tr w:rsidR="00B97EBD" w:rsidRPr="000A0A5F" w:rsidTr="00FF0AF8">
        <w:trPr>
          <w:jc w:val="center"/>
        </w:trPr>
        <w:tc>
          <w:tcPr>
            <w:tcW w:w="0" w:type="auto"/>
            <w:vAlign w:val="center"/>
          </w:tcPr>
          <w:p w:rsidR="00B97EBD" w:rsidRPr="000A0A5F" w:rsidRDefault="00B97EBD" w:rsidP="00B97EBD">
            <w:pPr>
              <w:pStyle w:val="TAL"/>
            </w:pPr>
            <w:r w:rsidRPr="000A0A5F">
              <w:t>DeviceTriggeringPatch</w:t>
            </w:r>
          </w:p>
        </w:tc>
        <w:tc>
          <w:tcPr>
            <w:tcW w:w="1019" w:type="dxa"/>
            <w:vAlign w:val="center"/>
          </w:tcPr>
          <w:p w:rsidR="00B97EBD" w:rsidRPr="000A0A5F" w:rsidRDefault="00B97EBD" w:rsidP="00B97EBD">
            <w:pPr>
              <w:pStyle w:val="TAC"/>
            </w:pPr>
            <w:r w:rsidRPr="000A0A5F">
              <w:t>5.7.2.1.4</w:t>
            </w:r>
          </w:p>
        </w:tc>
        <w:tc>
          <w:tcPr>
            <w:tcW w:w="3825" w:type="dxa"/>
            <w:vAlign w:val="center"/>
          </w:tcPr>
          <w:p w:rsidR="00B97EBD" w:rsidRPr="000A0A5F" w:rsidRDefault="00B97EBD" w:rsidP="00B97EBD">
            <w:pPr>
              <w:pStyle w:val="TAL"/>
            </w:pPr>
            <w:r w:rsidRPr="000A0A5F">
              <w:t>Represents the parameters to request the modification of an Individual Device Triggering Transaction resource.</w:t>
            </w:r>
          </w:p>
        </w:tc>
        <w:tc>
          <w:tcPr>
            <w:tcW w:w="0" w:type="auto"/>
            <w:vAlign w:val="center"/>
          </w:tcPr>
          <w:p w:rsidR="00B97EBD" w:rsidRPr="000A0A5F" w:rsidRDefault="00B97EBD" w:rsidP="00B97EBD">
            <w:pPr>
              <w:pStyle w:val="TAL"/>
              <w:rPr>
                <w:rFonts w:cs="Arial"/>
                <w:szCs w:val="18"/>
              </w:rPr>
            </w:pPr>
            <w:r w:rsidRPr="000A0A5F">
              <w:rPr>
                <w:rFonts w:cs="Arial"/>
                <w:szCs w:val="18"/>
              </w:rPr>
              <w:t>PatchUpdate</w:t>
            </w:r>
          </w:p>
        </w:tc>
      </w:tr>
      <w:tr w:rsidR="007A41B3" w:rsidRPr="000A0A5F" w:rsidTr="00FF0AF8">
        <w:trPr>
          <w:jc w:val="center"/>
        </w:trPr>
        <w:tc>
          <w:tcPr>
            <w:tcW w:w="0" w:type="auto"/>
            <w:vAlign w:val="center"/>
          </w:tcPr>
          <w:p w:rsidR="007A41B3" w:rsidRPr="000A0A5F" w:rsidRDefault="007A41B3" w:rsidP="00AC0E52">
            <w:pPr>
              <w:pStyle w:val="TAL"/>
            </w:pPr>
            <w:r w:rsidRPr="000A0A5F">
              <w:t>Priority</w:t>
            </w:r>
          </w:p>
        </w:tc>
        <w:tc>
          <w:tcPr>
            <w:tcW w:w="1019" w:type="dxa"/>
            <w:vAlign w:val="center"/>
          </w:tcPr>
          <w:p w:rsidR="007A41B3" w:rsidRPr="000A0A5F" w:rsidRDefault="007A41B3" w:rsidP="00AC0E52">
            <w:pPr>
              <w:pStyle w:val="TAC"/>
            </w:pPr>
            <w:r w:rsidRPr="000A0A5F">
              <w:t>5.7.2.2.4</w:t>
            </w:r>
          </w:p>
        </w:tc>
        <w:tc>
          <w:tcPr>
            <w:tcW w:w="3825" w:type="dxa"/>
            <w:vAlign w:val="center"/>
          </w:tcPr>
          <w:p w:rsidR="007A41B3" w:rsidRPr="000A0A5F" w:rsidRDefault="007A41B3" w:rsidP="00AC0E52">
            <w:pPr>
              <w:pStyle w:val="TAL"/>
              <w:rPr>
                <w:rFonts w:cs="Arial"/>
                <w:szCs w:val="18"/>
                <w:lang w:eastAsia="zh-CN"/>
              </w:rPr>
            </w:pPr>
            <w:r w:rsidRPr="000A0A5F">
              <w:rPr>
                <w:rFonts w:eastAsia="Batang"/>
              </w:rPr>
              <w:t xml:space="preserve">Represents </w:t>
            </w:r>
            <w:r w:rsidRPr="000A0A5F">
              <w:t>the priority indication for a trigger payload</w:t>
            </w:r>
            <w:r w:rsidRPr="000A0A5F">
              <w:rPr>
                <w:rFonts w:eastAsia="Batang"/>
              </w:rPr>
              <w:t>.</w:t>
            </w:r>
          </w:p>
        </w:tc>
        <w:tc>
          <w:tcPr>
            <w:tcW w:w="0" w:type="auto"/>
            <w:vAlign w:val="center"/>
          </w:tcPr>
          <w:p w:rsidR="007A41B3" w:rsidRPr="000A0A5F" w:rsidRDefault="007A41B3" w:rsidP="00AC0E52">
            <w:pPr>
              <w:pStyle w:val="TAL"/>
              <w:rPr>
                <w:rFonts w:cs="Arial"/>
                <w:szCs w:val="18"/>
              </w:rPr>
            </w:pPr>
          </w:p>
        </w:tc>
      </w:tr>
    </w:tbl>
    <w:p w:rsidR="007A41B3" w:rsidRPr="000A0A5F" w:rsidRDefault="007A41B3" w:rsidP="007A41B3"/>
    <w:p w:rsidR="00CB0DD7" w:rsidRPr="000A0A5F" w:rsidRDefault="00CB0DD7">
      <w:pPr>
        <w:pStyle w:val="Heading5"/>
      </w:pPr>
      <w:bookmarkStart w:id="4793" w:name="_Toc105674627"/>
      <w:bookmarkStart w:id="4794" w:name="_Toc130502675"/>
      <w:bookmarkStart w:id="4795" w:name="_Toc153625462"/>
      <w:r w:rsidRPr="000A0A5F">
        <w:t>5.7.2.1.2</w:t>
      </w:r>
      <w:r w:rsidRPr="000A0A5F">
        <w:tab/>
        <w:t>Type: DeviceTriggering</w:t>
      </w:r>
      <w:bookmarkEnd w:id="4784"/>
      <w:bookmarkEnd w:id="4785"/>
      <w:bookmarkEnd w:id="4786"/>
      <w:bookmarkEnd w:id="4787"/>
      <w:bookmarkEnd w:id="4788"/>
      <w:bookmarkEnd w:id="4789"/>
      <w:bookmarkEnd w:id="4790"/>
      <w:bookmarkEnd w:id="4791"/>
      <w:bookmarkEnd w:id="4792"/>
      <w:bookmarkEnd w:id="4793"/>
      <w:bookmarkEnd w:id="4794"/>
      <w:bookmarkEnd w:id="4795"/>
    </w:p>
    <w:p w:rsidR="00CB0DD7" w:rsidRPr="000A0A5F" w:rsidRDefault="00CB0DD7">
      <w:r w:rsidRPr="000A0A5F">
        <w:t>This type represents device triggering request. The same structure is used in the request and response.</w:t>
      </w:r>
    </w:p>
    <w:p w:rsidR="00CB0DD7" w:rsidRPr="000A0A5F" w:rsidRDefault="00CB0DD7">
      <w:pPr>
        <w:pStyle w:val="TH"/>
      </w:pPr>
      <w:r w:rsidRPr="000A0A5F">
        <w:rPr>
          <w:noProof/>
        </w:rPr>
        <w:t>Table </w:t>
      </w:r>
      <w:r w:rsidRPr="000A0A5F">
        <w:t xml:space="preserve">5.7.2.1.2-1: </w:t>
      </w:r>
      <w:r w:rsidRPr="000A0A5F">
        <w:rPr>
          <w:noProof/>
        </w:rPr>
        <w:t xml:space="preserve">Definition of type </w:t>
      </w:r>
      <w:r w:rsidRPr="000A0A5F">
        <w:t>DeviceTriggering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948"/>
        <w:gridCol w:w="1861"/>
        <w:gridCol w:w="1134"/>
        <w:gridCol w:w="3402"/>
        <w:gridCol w:w="1257"/>
      </w:tblGrid>
      <w:tr w:rsidR="00CB0DD7" w:rsidRPr="000A0A5F" w:rsidTr="00FF0AF8">
        <w:trPr>
          <w:jc w:val="center"/>
        </w:trPr>
        <w:tc>
          <w:tcPr>
            <w:tcW w:w="1948" w:type="dxa"/>
            <w:shd w:val="clear" w:color="auto" w:fill="C0C0C0"/>
          </w:tcPr>
          <w:p w:rsidR="00CB0DD7" w:rsidRPr="000A0A5F" w:rsidRDefault="00CB0DD7">
            <w:pPr>
              <w:pStyle w:val="TAH"/>
              <w:rPr>
                <w:rFonts w:eastAsia="Times New Roman"/>
              </w:rPr>
            </w:pPr>
            <w:r w:rsidRPr="000A0A5F">
              <w:rPr>
                <w:rFonts w:eastAsia="Times New Roman"/>
              </w:rPr>
              <w:t>Attribute name</w:t>
            </w:r>
          </w:p>
        </w:tc>
        <w:tc>
          <w:tcPr>
            <w:tcW w:w="1861" w:type="dxa"/>
            <w:shd w:val="clear" w:color="auto" w:fill="C0C0C0"/>
          </w:tcPr>
          <w:p w:rsidR="00CB0DD7" w:rsidRPr="000A0A5F" w:rsidRDefault="00CB0DD7">
            <w:pPr>
              <w:pStyle w:val="TAH"/>
              <w:rPr>
                <w:rFonts w:eastAsia="Times New Roman"/>
              </w:rPr>
            </w:pPr>
            <w:r w:rsidRPr="000A0A5F">
              <w:rPr>
                <w:rFonts w:eastAsia="Times New Roman"/>
              </w:rPr>
              <w:t>Data type</w:t>
            </w:r>
          </w:p>
        </w:tc>
        <w:tc>
          <w:tcPr>
            <w:tcW w:w="1134" w:type="dxa"/>
            <w:shd w:val="clear" w:color="auto" w:fill="C0C0C0"/>
          </w:tcPr>
          <w:p w:rsidR="00CB0DD7" w:rsidRPr="000A0A5F" w:rsidRDefault="00CB0DD7">
            <w:pPr>
              <w:pStyle w:val="TAH"/>
              <w:jc w:val="left"/>
              <w:rPr>
                <w:rFonts w:eastAsia="Times New Roman"/>
              </w:rPr>
            </w:pPr>
            <w:r w:rsidRPr="000A0A5F">
              <w:rPr>
                <w:rFonts w:eastAsia="Times New Roman"/>
              </w:rPr>
              <w:t>Cardinality</w:t>
            </w:r>
          </w:p>
        </w:tc>
        <w:tc>
          <w:tcPr>
            <w:tcW w:w="3402"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Description</w:t>
            </w:r>
          </w:p>
        </w:tc>
        <w:tc>
          <w:tcPr>
            <w:tcW w:w="1257"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Applicability (NOTE)</w:t>
            </w:r>
          </w:p>
        </w:tc>
      </w:tr>
      <w:tr w:rsidR="00CB0DD7" w:rsidRPr="000A0A5F" w:rsidTr="00FF0AF8">
        <w:trPr>
          <w:jc w:val="center"/>
        </w:trPr>
        <w:tc>
          <w:tcPr>
            <w:tcW w:w="1948" w:type="dxa"/>
            <w:shd w:val="clear" w:color="auto" w:fill="auto"/>
          </w:tcPr>
          <w:p w:rsidR="00CB0DD7" w:rsidRPr="000A0A5F" w:rsidRDefault="00CB0DD7">
            <w:pPr>
              <w:pStyle w:val="TAL"/>
              <w:rPr>
                <w:rFonts w:eastAsia="Times New Roman"/>
              </w:rPr>
            </w:pPr>
            <w:r w:rsidRPr="000A0A5F">
              <w:rPr>
                <w:rFonts w:eastAsia="Times New Roman"/>
              </w:rPr>
              <w:t>self</w:t>
            </w:r>
          </w:p>
        </w:tc>
        <w:tc>
          <w:tcPr>
            <w:tcW w:w="1861" w:type="dxa"/>
            <w:shd w:val="clear" w:color="auto" w:fill="auto"/>
          </w:tcPr>
          <w:p w:rsidR="00CB0DD7" w:rsidRPr="000A0A5F" w:rsidRDefault="00CB0DD7">
            <w:pPr>
              <w:pStyle w:val="TAL"/>
              <w:rPr>
                <w:rFonts w:eastAsia="Times New Roman"/>
              </w:rPr>
            </w:pPr>
            <w:r w:rsidRPr="000A0A5F">
              <w:rPr>
                <w:rFonts w:eastAsia="Times New Roman"/>
              </w:rPr>
              <w:t>Link</w:t>
            </w:r>
          </w:p>
        </w:tc>
        <w:tc>
          <w:tcPr>
            <w:tcW w:w="1134" w:type="dxa"/>
            <w:shd w:val="clear" w:color="auto" w:fill="auto"/>
          </w:tcPr>
          <w:p w:rsidR="00CB0DD7" w:rsidRPr="000A0A5F" w:rsidRDefault="00CB0DD7">
            <w:pPr>
              <w:pStyle w:val="TAL"/>
              <w:rPr>
                <w:rFonts w:eastAsia="Times New Roman"/>
              </w:rPr>
            </w:pPr>
            <w:r w:rsidRPr="000A0A5F">
              <w:rPr>
                <w:rFonts w:eastAsia="Times New Roman"/>
              </w:rPr>
              <w:t>0..1</w:t>
            </w:r>
          </w:p>
        </w:tc>
        <w:tc>
          <w:tcPr>
            <w:tcW w:w="3402" w:type="dxa"/>
            <w:shd w:val="clear" w:color="auto" w:fill="auto"/>
          </w:tcPr>
          <w:p w:rsidR="00CB0DD7" w:rsidRPr="000A0A5F" w:rsidRDefault="00CB0DD7">
            <w:pPr>
              <w:pStyle w:val="TAL"/>
              <w:rPr>
                <w:rFonts w:eastAsia="Times New Roman" w:cs="Arial"/>
                <w:szCs w:val="18"/>
              </w:rPr>
            </w:pPr>
            <w:r w:rsidRPr="000A0A5F">
              <w:rPr>
                <w:rFonts w:eastAsia="Times New Roman" w:cs="Arial"/>
                <w:szCs w:val="18"/>
              </w:rPr>
              <w:t xml:space="preserve">Link to the resource </w:t>
            </w:r>
            <w:r w:rsidRPr="000A0A5F">
              <w:t>"Individual Device Triggering Transaction"</w:t>
            </w:r>
            <w:r w:rsidRPr="000A0A5F">
              <w:rPr>
                <w:rFonts w:eastAsia="Times New Roman" w:cs="Arial"/>
                <w:szCs w:val="18"/>
              </w:rPr>
              <w:t>. This parameter shall be supplied by the SCEF in HTTP responses.</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rPr>
                <w:rFonts w:eastAsia="Times New Roman"/>
              </w:rPr>
            </w:pPr>
            <w:r w:rsidRPr="000A0A5F">
              <w:rPr>
                <w:lang w:eastAsia="zh-CN"/>
              </w:rPr>
              <w:t>e</w:t>
            </w:r>
            <w:r w:rsidRPr="000A0A5F">
              <w:rPr>
                <w:rFonts w:hint="eastAsia"/>
                <w:lang w:eastAsia="zh-CN"/>
              </w:rPr>
              <w:t>xternal</w:t>
            </w:r>
            <w:r w:rsidRPr="000A0A5F">
              <w:rPr>
                <w:lang w:eastAsia="zh-CN"/>
              </w:rPr>
              <w:t>Id</w:t>
            </w:r>
          </w:p>
        </w:tc>
        <w:tc>
          <w:tcPr>
            <w:tcW w:w="1861" w:type="dxa"/>
            <w:shd w:val="clear" w:color="auto" w:fill="auto"/>
          </w:tcPr>
          <w:p w:rsidR="00CB0DD7" w:rsidRPr="000A0A5F" w:rsidRDefault="00CB0DD7">
            <w:pPr>
              <w:pStyle w:val="TAL"/>
              <w:rPr>
                <w:rFonts w:eastAsia="Times New Roman"/>
              </w:rPr>
            </w:pPr>
            <w:r w:rsidRPr="000A0A5F">
              <w:rPr>
                <w:lang w:eastAsia="zh-CN"/>
              </w:rPr>
              <w:t>ExternalId</w:t>
            </w:r>
          </w:p>
        </w:tc>
        <w:tc>
          <w:tcPr>
            <w:tcW w:w="1134" w:type="dxa"/>
            <w:shd w:val="clear" w:color="auto" w:fill="auto"/>
          </w:tcPr>
          <w:p w:rsidR="00CB0DD7" w:rsidRPr="000A0A5F" w:rsidRDefault="00CB0DD7">
            <w:pPr>
              <w:pStyle w:val="TAL"/>
              <w:rPr>
                <w:rFonts w:eastAsia="Times New Roman"/>
              </w:rPr>
            </w:pPr>
            <w:r w:rsidRPr="000A0A5F">
              <w:rPr>
                <w:rFonts w:eastAsia="Times New Roman"/>
              </w:rPr>
              <w:t>0..1</w:t>
            </w:r>
          </w:p>
        </w:tc>
        <w:tc>
          <w:tcPr>
            <w:tcW w:w="3402" w:type="dxa"/>
            <w:shd w:val="clear" w:color="auto" w:fill="auto"/>
          </w:tcPr>
          <w:p w:rsidR="00CB0DD7" w:rsidRPr="000A0A5F" w:rsidRDefault="00CB0DD7">
            <w:pPr>
              <w:pStyle w:val="TAL"/>
              <w:spacing w:afterLines="50" w:after="120"/>
              <w:rPr>
                <w:rFonts w:eastAsia="Times New Roman" w:cs="Arial"/>
                <w:szCs w:val="18"/>
              </w:rPr>
            </w:pPr>
            <w:r w:rsidRPr="000A0A5F">
              <w:rPr>
                <w:rFonts w:eastAsia="Times New Roman" w:cs="Arial"/>
                <w:szCs w:val="18"/>
              </w:rPr>
              <w:t xml:space="preserve">Uniquely identifies a user as defined in </w:t>
            </w:r>
            <w:r w:rsidR="000902D9" w:rsidRPr="000A0A5F">
              <w:rPr>
                <w:rFonts w:eastAsia="Times New Roman" w:cs="Arial"/>
                <w:szCs w:val="18"/>
              </w:rPr>
              <w:t>Clause </w:t>
            </w:r>
            <w:r w:rsidRPr="000A0A5F">
              <w:rPr>
                <w:rFonts w:eastAsia="Times New Roman" w:cs="Arial"/>
                <w:szCs w:val="18"/>
              </w:rPr>
              <w:t>4.6.2 of 3GPP TS 23.682 [2].</w:t>
            </w:r>
          </w:p>
          <w:p w:rsidR="00CB0DD7" w:rsidRPr="000A0A5F" w:rsidRDefault="00CB0DD7">
            <w:pPr>
              <w:pStyle w:val="TAL"/>
              <w:rPr>
                <w:rFonts w:eastAsia="Times New Roman" w:cs="Arial"/>
                <w:szCs w:val="18"/>
              </w:rPr>
            </w:pPr>
            <w:r w:rsidRPr="000A0A5F">
              <w:rPr>
                <w:rFonts w:cs="Arial" w:hint="eastAsia"/>
                <w:szCs w:val="18"/>
                <w:lang w:eastAsia="zh-CN"/>
              </w:rPr>
              <w:t>(</w:t>
            </w:r>
            <w:r w:rsidRPr="000A0A5F">
              <w:rPr>
                <w:rFonts w:cs="Arial"/>
                <w:szCs w:val="18"/>
                <w:lang w:eastAsia="zh-CN"/>
              </w:rPr>
              <w:t>NOTE 2</w:t>
            </w:r>
            <w:r w:rsidRPr="000A0A5F">
              <w:rPr>
                <w:rFonts w:cs="Arial" w:hint="eastAsia"/>
                <w:szCs w:val="18"/>
                <w:lang w:eastAsia="zh-CN"/>
              </w:rPr>
              <w:t>)</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rPr>
                <w:rFonts w:eastAsia="Times New Roman"/>
              </w:rPr>
            </w:pPr>
            <w:r w:rsidRPr="000A0A5F">
              <w:rPr>
                <w:lang w:eastAsia="zh-CN"/>
              </w:rPr>
              <w:t>msisdn</w:t>
            </w:r>
          </w:p>
        </w:tc>
        <w:tc>
          <w:tcPr>
            <w:tcW w:w="1861" w:type="dxa"/>
            <w:shd w:val="clear" w:color="auto" w:fill="auto"/>
          </w:tcPr>
          <w:p w:rsidR="00CB0DD7" w:rsidRPr="000A0A5F" w:rsidRDefault="00CB0DD7">
            <w:pPr>
              <w:pStyle w:val="TAL"/>
              <w:rPr>
                <w:rFonts w:eastAsia="Times New Roman"/>
              </w:rPr>
            </w:pPr>
            <w:r w:rsidRPr="000A0A5F">
              <w:rPr>
                <w:lang w:eastAsia="zh-CN"/>
              </w:rPr>
              <w:t>Msisdn</w:t>
            </w:r>
          </w:p>
        </w:tc>
        <w:tc>
          <w:tcPr>
            <w:tcW w:w="1134" w:type="dxa"/>
            <w:shd w:val="clear" w:color="auto" w:fill="auto"/>
          </w:tcPr>
          <w:p w:rsidR="00CB0DD7" w:rsidRPr="000A0A5F" w:rsidRDefault="00CB0DD7">
            <w:pPr>
              <w:pStyle w:val="TAL"/>
              <w:rPr>
                <w:rFonts w:eastAsia="Times New Roman"/>
              </w:rPr>
            </w:pPr>
            <w:r w:rsidRPr="000A0A5F">
              <w:rPr>
                <w:rFonts w:eastAsia="Times New Roman"/>
              </w:rPr>
              <w:t>0..1</w:t>
            </w:r>
          </w:p>
        </w:tc>
        <w:tc>
          <w:tcPr>
            <w:tcW w:w="3402" w:type="dxa"/>
            <w:shd w:val="clear" w:color="auto" w:fill="auto"/>
          </w:tcPr>
          <w:p w:rsidR="00CB0DD7" w:rsidRPr="000A0A5F" w:rsidRDefault="00CB0DD7">
            <w:pPr>
              <w:pStyle w:val="TAL"/>
              <w:spacing w:afterLines="50" w:after="120"/>
              <w:rPr>
                <w:rFonts w:cs="Arial"/>
                <w:szCs w:val="18"/>
                <w:lang w:eastAsia="zh-CN"/>
              </w:rPr>
            </w:pPr>
            <w:r w:rsidRPr="000A0A5F">
              <w:rPr>
                <w:rFonts w:eastAsia="Times New Roman" w:cs="Arial"/>
                <w:szCs w:val="18"/>
              </w:rPr>
              <w:t>I</w:t>
            </w:r>
            <w:r w:rsidRPr="000A0A5F">
              <w:rPr>
                <w:rFonts w:cs="Arial"/>
                <w:szCs w:val="18"/>
                <w:lang w:eastAsia="zh-CN"/>
              </w:rPr>
              <w:t>dentifies the MS internal PSTN/ISDN number allocated for a UE.</w:t>
            </w:r>
          </w:p>
          <w:p w:rsidR="00CB0DD7" w:rsidRPr="000A0A5F" w:rsidRDefault="00CB0DD7">
            <w:pPr>
              <w:pStyle w:val="TAL"/>
              <w:rPr>
                <w:rFonts w:eastAsia="Times New Roman" w:cs="Arial"/>
                <w:szCs w:val="18"/>
              </w:rPr>
            </w:pPr>
            <w:r w:rsidRPr="000A0A5F">
              <w:rPr>
                <w:rFonts w:cs="Arial" w:hint="eastAsia"/>
                <w:szCs w:val="18"/>
                <w:lang w:eastAsia="zh-CN"/>
              </w:rPr>
              <w:t>(</w:t>
            </w:r>
            <w:r w:rsidRPr="000A0A5F">
              <w:rPr>
                <w:rFonts w:cs="Arial"/>
                <w:szCs w:val="18"/>
                <w:lang w:eastAsia="zh-CN"/>
              </w:rPr>
              <w:t>NOTE 2</w:t>
            </w:r>
            <w:r w:rsidRPr="000A0A5F">
              <w:rPr>
                <w:rFonts w:cs="Arial" w:hint="eastAsia"/>
                <w:szCs w:val="18"/>
                <w:lang w:eastAsia="zh-CN"/>
              </w:rPr>
              <w:t>)</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rPr>
                <w:rFonts w:eastAsia="Times New Roman"/>
              </w:rPr>
            </w:pPr>
            <w:r w:rsidRPr="000A0A5F">
              <w:t>supportedFeatures</w:t>
            </w:r>
          </w:p>
        </w:tc>
        <w:tc>
          <w:tcPr>
            <w:tcW w:w="1861" w:type="dxa"/>
            <w:shd w:val="clear" w:color="auto" w:fill="auto"/>
          </w:tcPr>
          <w:p w:rsidR="00CB0DD7" w:rsidRPr="000A0A5F" w:rsidRDefault="00CB0DD7">
            <w:pPr>
              <w:pStyle w:val="TAL"/>
              <w:rPr>
                <w:rFonts w:eastAsia="Times New Roman"/>
              </w:rPr>
            </w:pPr>
            <w:r w:rsidRPr="000A0A5F">
              <w:t>SupportedFeatures</w:t>
            </w:r>
          </w:p>
        </w:tc>
        <w:tc>
          <w:tcPr>
            <w:tcW w:w="1134" w:type="dxa"/>
            <w:shd w:val="clear" w:color="auto" w:fill="auto"/>
          </w:tcPr>
          <w:p w:rsidR="00CB0DD7" w:rsidRPr="000A0A5F" w:rsidRDefault="00CB0DD7">
            <w:pPr>
              <w:pStyle w:val="TAL"/>
              <w:rPr>
                <w:rFonts w:eastAsia="Times New Roman"/>
              </w:rPr>
            </w:pPr>
            <w:r w:rsidRPr="000A0A5F">
              <w:t>0..1</w:t>
            </w:r>
          </w:p>
        </w:tc>
        <w:tc>
          <w:tcPr>
            <w:tcW w:w="3402" w:type="dxa"/>
            <w:shd w:val="clear" w:color="auto" w:fill="auto"/>
          </w:tcPr>
          <w:p w:rsidR="00CB0DD7" w:rsidRPr="000A0A5F" w:rsidRDefault="00CB0DD7">
            <w:pPr>
              <w:pStyle w:val="TAL"/>
            </w:pPr>
            <w:r w:rsidRPr="000A0A5F">
              <w:t>Used to negotiate the supported optional features of the API as described in clause 5.2.7.</w:t>
            </w:r>
          </w:p>
          <w:p w:rsidR="00CB0DD7" w:rsidRPr="000A0A5F" w:rsidRDefault="00CB0DD7">
            <w:pPr>
              <w:pStyle w:val="TAL"/>
              <w:rPr>
                <w:rFonts w:eastAsia="Times New Roman" w:cs="Arial"/>
                <w:szCs w:val="18"/>
              </w:rPr>
            </w:pPr>
            <w:r w:rsidRPr="000A0A5F">
              <w:t>This attribute shall be provided in the POST request and in the response of successful resource creation.</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rPr>
                <w:rFonts w:eastAsia="Times New Roman"/>
              </w:rPr>
            </w:pPr>
            <w:r w:rsidRPr="000A0A5F">
              <w:rPr>
                <w:rFonts w:eastAsia="Times New Roman"/>
              </w:rPr>
              <w:t>validityPeriod</w:t>
            </w:r>
          </w:p>
        </w:tc>
        <w:tc>
          <w:tcPr>
            <w:tcW w:w="1861" w:type="dxa"/>
            <w:shd w:val="clear" w:color="auto" w:fill="auto"/>
          </w:tcPr>
          <w:p w:rsidR="00CB0DD7" w:rsidRPr="000A0A5F" w:rsidRDefault="00CB0DD7">
            <w:pPr>
              <w:pStyle w:val="TAL"/>
              <w:rPr>
                <w:rFonts w:eastAsia="Times New Roman"/>
              </w:rPr>
            </w:pPr>
            <w:r w:rsidRPr="000A0A5F">
              <w:rPr>
                <w:rFonts w:eastAsia="DengXian"/>
                <w:lang w:eastAsia="zh-CN"/>
              </w:rPr>
              <w:t>DurationSec</w:t>
            </w:r>
          </w:p>
        </w:tc>
        <w:tc>
          <w:tcPr>
            <w:tcW w:w="1134" w:type="dxa"/>
            <w:shd w:val="clear" w:color="auto" w:fill="auto"/>
          </w:tcPr>
          <w:p w:rsidR="00CB0DD7" w:rsidRPr="000A0A5F" w:rsidRDefault="00CB0DD7">
            <w:pPr>
              <w:pStyle w:val="TAL"/>
              <w:rPr>
                <w:rFonts w:eastAsia="Times New Roman"/>
              </w:rPr>
            </w:pPr>
            <w:r w:rsidRPr="000A0A5F">
              <w:rPr>
                <w:rFonts w:eastAsia="Times New Roman"/>
              </w:rPr>
              <w:t>1</w:t>
            </w:r>
          </w:p>
        </w:tc>
        <w:tc>
          <w:tcPr>
            <w:tcW w:w="3402" w:type="dxa"/>
            <w:shd w:val="clear" w:color="auto" w:fill="auto"/>
          </w:tcPr>
          <w:p w:rsidR="00CB0DD7" w:rsidRPr="000A0A5F" w:rsidRDefault="00CB0DD7">
            <w:pPr>
              <w:pStyle w:val="TAL"/>
              <w:rPr>
                <w:rFonts w:eastAsia="Times New Roman" w:cs="Arial"/>
                <w:szCs w:val="18"/>
              </w:rPr>
            </w:pPr>
            <w:r w:rsidRPr="000A0A5F">
              <w:rPr>
                <w:rFonts w:cs="Arial"/>
                <w:color w:val="333333"/>
                <w:szCs w:val="18"/>
                <w:shd w:val="clear" w:color="auto" w:fill="FFFFFF"/>
              </w:rPr>
              <w:t>The validity time in seconds for the specific action requested.</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rPr>
                <w:rFonts w:eastAsia="Times New Roman"/>
              </w:rPr>
            </w:pPr>
            <w:r w:rsidRPr="000A0A5F">
              <w:rPr>
                <w:rFonts w:eastAsia="Times New Roman"/>
              </w:rPr>
              <w:t>priority</w:t>
            </w:r>
          </w:p>
        </w:tc>
        <w:tc>
          <w:tcPr>
            <w:tcW w:w="1861" w:type="dxa"/>
            <w:shd w:val="clear" w:color="auto" w:fill="auto"/>
          </w:tcPr>
          <w:p w:rsidR="00CB0DD7" w:rsidRPr="000A0A5F" w:rsidRDefault="00CB0DD7">
            <w:pPr>
              <w:pStyle w:val="TAL"/>
              <w:rPr>
                <w:rFonts w:eastAsia="Times New Roman"/>
              </w:rPr>
            </w:pPr>
            <w:r w:rsidRPr="000A0A5F">
              <w:rPr>
                <w:rFonts w:eastAsia="DengXian"/>
                <w:lang w:eastAsia="zh-CN"/>
              </w:rPr>
              <w:t>Priority</w:t>
            </w:r>
          </w:p>
        </w:tc>
        <w:tc>
          <w:tcPr>
            <w:tcW w:w="1134" w:type="dxa"/>
            <w:shd w:val="clear" w:color="auto" w:fill="auto"/>
          </w:tcPr>
          <w:p w:rsidR="00CB0DD7" w:rsidRPr="000A0A5F" w:rsidRDefault="00CB0DD7">
            <w:pPr>
              <w:pStyle w:val="TAL"/>
              <w:rPr>
                <w:rFonts w:eastAsia="Times New Roman"/>
              </w:rPr>
            </w:pPr>
            <w:r w:rsidRPr="000A0A5F">
              <w:rPr>
                <w:rFonts w:eastAsia="Times New Roman"/>
              </w:rPr>
              <w:t>1</w:t>
            </w:r>
          </w:p>
        </w:tc>
        <w:tc>
          <w:tcPr>
            <w:tcW w:w="3402" w:type="dxa"/>
            <w:shd w:val="clear" w:color="auto" w:fill="auto"/>
          </w:tcPr>
          <w:p w:rsidR="00CB0DD7" w:rsidRPr="000A0A5F" w:rsidRDefault="00CB0DD7">
            <w:pPr>
              <w:pStyle w:val="NormalWeb"/>
              <w:shd w:val="clear" w:color="auto" w:fill="FFFFFF"/>
              <w:spacing w:before="0" w:beforeAutospacing="0" w:after="0" w:afterAutospacing="0"/>
              <w:rPr>
                <w:rFonts w:ascii="Arial" w:hAnsi="Arial" w:cs="Arial"/>
                <w:color w:val="333333"/>
                <w:sz w:val="18"/>
                <w:szCs w:val="18"/>
              </w:rPr>
            </w:pPr>
            <w:r w:rsidRPr="000A0A5F">
              <w:rPr>
                <w:rFonts w:ascii="Arial" w:hAnsi="Arial" w:cs="Arial"/>
                <w:color w:val="333333"/>
                <w:sz w:val="18"/>
                <w:szCs w:val="18"/>
              </w:rPr>
              <w:t>Identifies the priority of the device trigger.</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rPr>
                <w:rFonts w:eastAsia="Times New Roman"/>
              </w:rPr>
            </w:pPr>
            <w:r w:rsidRPr="000A0A5F">
              <w:rPr>
                <w:rFonts w:eastAsia="Times New Roman"/>
              </w:rPr>
              <w:t>applicationPortId</w:t>
            </w:r>
          </w:p>
        </w:tc>
        <w:tc>
          <w:tcPr>
            <w:tcW w:w="1861" w:type="dxa"/>
            <w:shd w:val="clear" w:color="auto" w:fill="auto"/>
          </w:tcPr>
          <w:p w:rsidR="00CB0DD7" w:rsidRPr="000A0A5F" w:rsidRDefault="00CB0DD7">
            <w:pPr>
              <w:pStyle w:val="TAL"/>
              <w:rPr>
                <w:rFonts w:eastAsia="Times New Roman"/>
              </w:rPr>
            </w:pPr>
            <w:r w:rsidRPr="000A0A5F">
              <w:rPr>
                <w:rFonts w:eastAsia="DengXian"/>
                <w:lang w:eastAsia="zh-CN"/>
              </w:rPr>
              <w:t>Port</w:t>
            </w:r>
          </w:p>
        </w:tc>
        <w:tc>
          <w:tcPr>
            <w:tcW w:w="1134" w:type="dxa"/>
            <w:shd w:val="clear" w:color="auto" w:fill="auto"/>
          </w:tcPr>
          <w:p w:rsidR="00CB0DD7" w:rsidRPr="000A0A5F" w:rsidRDefault="00CB0DD7">
            <w:pPr>
              <w:pStyle w:val="TAL"/>
              <w:rPr>
                <w:rFonts w:eastAsia="Times New Roman"/>
              </w:rPr>
            </w:pPr>
            <w:r w:rsidRPr="000A0A5F">
              <w:rPr>
                <w:rFonts w:eastAsia="Times New Roman"/>
              </w:rPr>
              <w:t>1</w:t>
            </w:r>
          </w:p>
        </w:tc>
        <w:tc>
          <w:tcPr>
            <w:tcW w:w="3402" w:type="dxa"/>
            <w:shd w:val="clear" w:color="auto" w:fill="auto"/>
          </w:tcPr>
          <w:p w:rsidR="00CB0DD7" w:rsidRPr="000A0A5F" w:rsidRDefault="00CB0DD7">
            <w:pPr>
              <w:pStyle w:val="TAL"/>
              <w:rPr>
                <w:rFonts w:eastAsia="Times New Roman" w:cs="Arial"/>
                <w:szCs w:val="18"/>
              </w:rPr>
            </w:pPr>
            <w:r w:rsidRPr="000A0A5F">
              <w:rPr>
                <w:rFonts w:cs="Arial"/>
                <w:color w:val="333333"/>
                <w:szCs w:val="18"/>
                <w:shd w:val="clear" w:color="auto" w:fill="FFFFFF"/>
              </w:rPr>
              <w:t xml:space="preserve">This is used to uniquely identify the triggering application addressed in the device for destination port. </w:t>
            </w:r>
            <w:r w:rsidRPr="000A0A5F">
              <w:t>See clause 9.2.3.24.4 in 3GPP TS 23.040 [43] for further details.</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rPr>
                <w:rFonts w:eastAsia="Times New Roman"/>
              </w:rPr>
            </w:pPr>
            <w:r w:rsidRPr="000A0A5F">
              <w:rPr>
                <w:rFonts w:eastAsia="Times New Roman"/>
              </w:rPr>
              <w:t>appSrcPortId</w:t>
            </w:r>
          </w:p>
        </w:tc>
        <w:tc>
          <w:tcPr>
            <w:tcW w:w="1861" w:type="dxa"/>
            <w:shd w:val="clear" w:color="auto" w:fill="auto"/>
          </w:tcPr>
          <w:p w:rsidR="00CB0DD7" w:rsidRPr="000A0A5F" w:rsidRDefault="00CB0DD7">
            <w:pPr>
              <w:pStyle w:val="TAL"/>
              <w:rPr>
                <w:rFonts w:eastAsia="DengXian"/>
                <w:lang w:eastAsia="zh-CN"/>
              </w:rPr>
            </w:pPr>
            <w:r w:rsidRPr="000A0A5F">
              <w:rPr>
                <w:lang w:eastAsia="zh-CN"/>
              </w:rPr>
              <w:t>Port</w:t>
            </w:r>
          </w:p>
        </w:tc>
        <w:tc>
          <w:tcPr>
            <w:tcW w:w="1134" w:type="dxa"/>
            <w:shd w:val="clear" w:color="auto" w:fill="auto"/>
          </w:tcPr>
          <w:p w:rsidR="00CB0DD7" w:rsidRPr="000A0A5F" w:rsidRDefault="00CB0DD7">
            <w:pPr>
              <w:pStyle w:val="TAL"/>
              <w:rPr>
                <w:rFonts w:eastAsia="Times New Roman"/>
              </w:rPr>
            </w:pPr>
            <w:r w:rsidRPr="000A0A5F">
              <w:rPr>
                <w:rFonts w:eastAsia="Times New Roman"/>
              </w:rPr>
              <w:t>0..1</w:t>
            </w:r>
          </w:p>
        </w:tc>
        <w:tc>
          <w:tcPr>
            <w:tcW w:w="3402" w:type="dxa"/>
            <w:shd w:val="clear" w:color="auto" w:fill="auto"/>
          </w:tcPr>
          <w:p w:rsidR="00CB0DD7" w:rsidRPr="000A0A5F" w:rsidRDefault="00CB0DD7">
            <w:pPr>
              <w:pStyle w:val="TAL"/>
              <w:rPr>
                <w:rFonts w:cs="Arial"/>
                <w:color w:val="333333"/>
                <w:szCs w:val="18"/>
                <w:shd w:val="clear" w:color="auto" w:fill="FFFFFF"/>
              </w:rPr>
            </w:pPr>
            <w:r w:rsidRPr="000A0A5F">
              <w:t>This is used to uniquely identify the triggering application addressed in the device for originator port. See clause 9.2.3.24.4 in 3GPP TS 23.040 [43] for further details.</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rPr>
                <w:rFonts w:eastAsia="Times New Roman"/>
              </w:rPr>
            </w:pPr>
            <w:r w:rsidRPr="000A0A5F">
              <w:rPr>
                <w:rFonts w:eastAsia="Times New Roman"/>
              </w:rPr>
              <w:t>triggerPayload</w:t>
            </w:r>
          </w:p>
        </w:tc>
        <w:tc>
          <w:tcPr>
            <w:tcW w:w="1861" w:type="dxa"/>
            <w:shd w:val="clear" w:color="auto" w:fill="auto"/>
          </w:tcPr>
          <w:p w:rsidR="00CB0DD7" w:rsidRPr="000A0A5F" w:rsidRDefault="00CB0DD7">
            <w:pPr>
              <w:pStyle w:val="TAL"/>
              <w:rPr>
                <w:rFonts w:eastAsia="Times New Roman"/>
              </w:rPr>
            </w:pPr>
            <w:r w:rsidRPr="000A0A5F">
              <w:rPr>
                <w:lang w:eastAsia="zh-CN"/>
              </w:rPr>
              <w:t>Bytes</w:t>
            </w:r>
          </w:p>
        </w:tc>
        <w:tc>
          <w:tcPr>
            <w:tcW w:w="1134" w:type="dxa"/>
            <w:shd w:val="clear" w:color="auto" w:fill="auto"/>
          </w:tcPr>
          <w:p w:rsidR="00CB0DD7" w:rsidRPr="000A0A5F" w:rsidRDefault="00CB0DD7">
            <w:pPr>
              <w:pStyle w:val="TAL"/>
              <w:rPr>
                <w:rFonts w:eastAsia="Times New Roman"/>
              </w:rPr>
            </w:pPr>
            <w:r w:rsidRPr="000A0A5F">
              <w:rPr>
                <w:rFonts w:eastAsia="Times New Roman"/>
              </w:rPr>
              <w:t>1</w:t>
            </w:r>
          </w:p>
        </w:tc>
        <w:tc>
          <w:tcPr>
            <w:tcW w:w="3402" w:type="dxa"/>
            <w:shd w:val="clear" w:color="auto" w:fill="auto"/>
          </w:tcPr>
          <w:p w:rsidR="00CB0DD7" w:rsidRPr="000A0A5F" w:rsidRDefault="00CB0DD7">
            <w:pPr>
              <w:pStyle w:val="TAL"/>
              <w:rPr>
                <w:rFonts w:eastAsia="Times New Roman" w:cs="Arial"/>
                <w:szCs w:val="18"/>
              </w:rPr>
            </w:pPr>
            <w:r w:rsidRPr="000A0A5F">
              <w:rPr>
                <w:rFonts w:eastAsia="DengXian" w:cs="Arial" w:hint="eastAsia"/>
                <w:szCs w:val="18"/>
                <w:lang w:eastAsia="zh-CN"/>
              </w:rPr>
              <w:t xml:space="preserve">The </w:t>
            </w:r>
            <w:r w:rsidRPr="000A0A5F">
              <w:rPr>
                <w:rFonts w:eastAsia="DengXian" w:cs="Arial"/>
                <w:szCs w:val="18"/>
                <w:lang w:eastAsia="zh-CN"/>
              </w:rPr>
              <w:t>device triggering payload.</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rPr>
                <w:rFonts w:eastAsia="Times New Roman"/>
              </w:rPr>
            </w:pPr>
            <w:r w:rsidRPr="000A0A5F">
              <w:rPr>
                <w:rFonts w:eastAsia="Times New Roman"/>
              </w:rPr>
              <w:t>notificationDestination</w:t>
            </w:r>
          </w:p>
        </w:tc>
        <w:tc>
          <w:tcPr>
            <w:tcW w:w="1861" w:type="dxa"/>
            <w:shd w:val="clear" w:color="auto" w:fill="auto"/>
          </w:tcPr>
          <w:p w:rsidR="00CB0DD7" w:rsidRPr="000A0A5F" w:rsidRDefault="00CB0DD7">
            <w:pPr>
              <w:pStyle w:val="TAL"/>
              <w:rPr>
                <w:rFonts w:eastAsia="Times New Roman"/>
              </w:rPr>
            </w:pPr>
            <w:r w:rsidRPr="000A0A5F">
              <w:rPr>
                <w:rFonts w:eastAsia="DengXian" w:hint="eastAsia"/>
                <w:lang w:eastAsia="zh-CN"/>
              </w:rPr>
              <w:t>Link</w:t>
            </w:r>
          </w:p>
        </w:tc>
        <w:tc>
          <w:tcPr>
            <w:tcW w:w="1134" w:type="dxa"/>
            <w:shd w:val="clear" w:color="auto" w:fill="auto"/>
          </w:tcPr>
          <w:p w:rsidR="00CB0DD7" w:rsidRPr="000A0A5F" w:rsidRDefault="00CB0DD7">
            <w:pPr>
              <w:pStyle w:val="TAL"/>
              <w:rPr>
                <w:rFonts w:eastAsia="Times New Roman"/>
              </w:rPr>
            </w:pPr>
            <w:r w:rsidRPr="000A0A5F">
              <w:rPr>
                <w:rFonts w:eastAsia="Times New Roman"/>
              </w:rPr>
              <w:t>1</w:t>
            </w:r>
          </w:p>
        </w:tc>
        <w:tc>
          <w:tcPr>
            <w:tcW w:w="3402" w:type="dxa"/>
            <w:shd w:val="clear" w:color="auto" w:fill="auto"/>
          </w:tcPr>
          <w:p w:rsidR="00CB0DD7" w:rsidRPr="000A0A5F" w:rsidRDefault="00CB0DD7">
            <w:pPr>
              <w:pStyle w:val="TAL"/>
              <w:rPr>
                <w:rFonts w:eastAsia="Times New Roman" w:cs="Arial"/>
                <w:szCs w:val="18"/>
              </w:rPr>
            </w:pPr>
            <w:r w:rsidRPr="000A0A5F">
              <w:rPr>
                <w:rFonts w:cs="Arial" w:hint="eastAsia"/>
                <w:szCs w:val="18"/>
                <w:lang w:eastAsia="zh-CN"/>
              </w:rPr>
              <w:t>A</w:t>
            </w:r>
            <w:r w:rsidRPr="000A0A5F">
              <w:rPr>
                <w:rFonts w:cs="Arial"/>
                <w:szCs w:val="18"/>
                <w:lang w:eastAsia="zh-CN"/>
              </w:rPr>
              <w:t xml:space="preserve"> </w:t>
            </w:r>
            <w:r w:rsidRPr="000A0A5F">
              <w:rPr>
                <w:rFonts w:cs="Arial" w:hint="eastAsia"/>
                <w:szCs w:val="18"/>
                <w:lang w:eastAsia="zh-CN"/>
              </w:rPr>
              <w:t xml:space="preserve">URI </w:t>
            </w:r>
            <w:r w:rsidRPr="000A0A5F">
              <w:rPr>
                <w:rFonts w:cs="Arial"/>
                <w:szCs w:val="18"/>
                <w:lang w:eastAsia="zh-CN"/>
              </w:rPr>
              <w:t>indicating the</w:t>
            </w:r>
            <w:r w:rsidRPr="000A0A5F">
              <w:rPr>
                <w:rFonts w:cs="Arial" w:hint="eastAsia"/>
                <w:szCs w:val="18"/>
                <w:lang w:eastAsia="zh-CN"/>
              </w:rPr>
              <w:t xml:space="preserve"> notification destination </w:t>
            </w:r>
            <w:r w:rsidRPr="000A0A5F">
              <w:rPr>
                <w:rFonts w:cs="Arial"/>
                <w:szCs w:val="18"/>
                <w:lang w:eastAsia="zh-CN"/>
              </w:rPr>
              <w:t>for</w:t>
            </w:r>
            <w:r w:rsidRPr="000A0A5F">
              <w:rPr>
                <w:rFonts w:cs="Arial" w:hint="eastAsia"/>
                <w:szCs w:val="18"/>
                <w:lang w:eastAsia="zh-CN"/>
              </w:rPr>
              <w:t xml:space="preserve"> T8 </w:t>
            </w:r>
            <w:r w:rsidRPr="000A0A5F">
              <w:rPr>
                <w:rFonts w:cs="Arial"/>
                <w:szCs w:val="18"/>
                <w:lang w:eastAsia="zh-CN"/>
              </w:rPr>
              <w:t>notifications</w:t>
            </w:r>
            <w:r w:rsidRPr="000A0A5F">
              <w:rPr>
                <w:rFonts w:cs="Arial" w:hint="eastAsia"/>
                <w:szCs w:val="18"/>
                <w:lang w:eastAsia="zh-CN"/>
              </w:rPr>
              <w:t>.</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rPr>
                <w:rFonts w:eastAsia="Times New Roman"/>
              </w:rPr>
            </w:pPr>
            <w:r w:rsidRPr="000A0A5F">
              <w:t>requestTestNotification</w:t>
            </w:r>
          </w:p>
        </w:tc>
        <w:tc>
          <w:tcPr>
            <w:tcW w:w="1861" w:type="dxa"/>
            <w:shd w:val="clear" w:color="auto" w:fill="auto"/>
          </w:tcPr>
          <w:p w:rsidR="00CB0DD7" w:rsidRPr="000A0A5F" w:rsidRDefault="00CB0DD7">
            <w:pPr>
              <w:pStyle w:val="TAL"/>
              <w:rPr>
                <w:rFonts w:eastAsia="DengXian" w:hint="eastAsia"/>
                <w:lang w:eastAsia="zh-CN"/>
              </w:rPr>
            </w:pPr>
            <w:r w:rsidRPr="000A0A5F">
              <w:t>boolean</w:t>
            </w:r>
          </w:p>
        </w:tc>
        <w:tc>
          <w:tcPr>
            <w:tcW w:w="1134" w:type="dxa"/>
            <w:shd w:val="clear" w:color="auto" w:fill="auto"/>
          </w:tcPr>
          <w:p w:rsidR="00CB0DD7" w:rsidRPr="000A0A5F" w:rsidRDefault="00CB0DD7">
            <w:pPr>
              <w:pStyle w:val="TAL"/>
              <w:rPr>
                <w:rFonts w:eastAsia="Times New Roman"/>
              </w:rPr>
            </w:pPr>
            <w:r w:rsidRPr="000A0A5F">
              <w:t>0..1</w:t>
            </w:r>
          </w:p>
        </w:tc>
        <w:tc>
          <w:tcPr>
            <w:tcW w:w="3402" w:type="dxa"/>
            <w:shd w:val="clear" w:color="auto" w:fill="auto"/>
          </w:tcPr>
          <w:p w:rsidR="00CB0DD7" w:rsidRPr="000A0A5F" w:rsidRDefault="00CB0DD7">
            <w:pPr>
              <w:pageBreakBefo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hint="eastAsia"/>
                <w:lang w:eastAsia="zh-CN"/>
              </w:rPr>
            </w:pPr>
            <w:r w:rsidRPr="000A0A5F">
              <w:rPr>
                <w:rFonts w:ascii="Arial" w:hAnsi="Arial"/>
                <w:sz w:val="18"/>
                <w:lang w:eastAsia="zh-CN"/>
              </w:rPr>
              <w:t>Set to true by the SCS/AS to request the SCEF to send a test notification as defined in clause</w:t>
            </w:r>
            <w:r w:rsidRPr="000A0A5F">
              <w:rPr>
                <w:rFonts w:ascii="Arial" w:hAnsi="Arial"/>
                <w:sz w:val="18"/>
                <w:lang w:val="en-US" w:eastAsia="zh-CN"/>
              </w:rPr>
              <w:t> </w:t>
            </w:r>
            <w:r w:rsidRPr="000A0A5F">
              <w:rPr>
                <w:rFonts w:ascii="Arial" w:hAnsi="Arial"/>
                <w:sz w:val="18"/>
                <w:lang w:eastAsia="zh-CN"/>
              </w:rPr>
              <w:t>5.2.5.3. Set to false or omitted otherwise.</w:t>
            </w:r>
          </w:p>
        </w:tc>
        <w:tc>
          <w:tcPr>
            <w:tcW w:w="1257" w:type="dxa"/>
          </w:tcPr>
          <w:p w:rsidR="00CB0DD7" w:rsidRPr="000A0A5F" w:rsidRDefault="00CB0DD7">
            <w:pPr>
              <w:pStyle w:val="TAL"/>
              <w:rPr>
                <w:rFonts w:eastAsia="Times New Roman" w:cs="Arial"/>
                <w:szCs w:val="18"/>
              </w:rPr>
            </w:pPr>
            <w:r w:rsidRPr="000A0A5F">
              <w:t>Notification_test_event</w:t>
            </w:r>
          </w:p>
        </w:tc>
      </w:tr>
      <w:tr w:rsidR="00CB0DD7" w:rsidRPr="000A0A5F" w:rsidTr="00FF0AF8">
        <w:trPr>
          <w:jc w:val="center"/>
        </w:trPr>
        <w:tc>
          <w:tcPr>
            <w:tcW w:w="1948" w:type="dxa"/>
            <w:shd w:val="clear" w:color="auto" w:fill="auto"/>
          </w:tcPr>
          <w:p w:rsidR="00CB0DD7" w:rsidRPr="000A0A5F" w:rsidRDefault="00CB0DD7">
            <w:pPr>
              <w:pStyle w:val="TAL"/>
              <w:rPr>
                <w:rFonts w:eastAsia="Times New Roman"/>
              </w:rPr>
            </w:pPr>
            <w:r w:rsidRPr="000A0A5F">
              <w:rPr>
                <w:lang w:eastAsia="zh-CN"/>
              </w:rPr>
              <w:t>websockNotifConfig</w:t>
            </w:r>
          </w:p>
        </w:tc>
        <w:tc>
          <w:tcPr>
            <w:tcW w:w="1861" w:type="dxa"/>
            <w:shd w:val="clear" w:color="auto" w:fill="auto"/>
          </w:tcPr>
          <w:p w:rsidR="00CB0DD7" w:rsidRPr="000A0A5F" w:rsidRDefault="00CB0DD7">
            <w:pPr>
              <w:pStyle w:val="TAL"/>
              <w:rPr>
                <w:rFonts w:eastAsia="DengXian" w:hint="eastAsia"/>
                <w:lang w:eastAsia="zh-CN"/>
              </w:rPr>
            </w:pPr>
            <w:r w:rsidRPr="000A0A5F">
              <w:rPr>
                <w:lang w:eastAsia="zh-CN"/>
              </w:rPr>
              <w:t>WebsockNotifConfig</w:t>
            </w:r>
          </w:p>
        </w:tc>
        <w:tc>
          <w:tcPr>
            <w:tcW w:w="1134" w:type="dxa"/>
            <w:shd w:val="clear" w:color="auto" w:fill="auto"/>
          </w:tcPr>
          <w:p w:rsidR="00CB0DD7" w:rsidRPr="000A0A5F" w:rsidRDefault="00CB0DD7">
            <w:pPr>
              <w:pStyle w:val="TAL"/>
              <w:rPr>
                <w:rFonts w:eastAsia="Times New Roman"/>
              </w:rPr>
            </w:pPr>
            <w:r w:rsidRPr="000A0A5F">
              <w:rPr>
                <w:lang w:eastAsia="zh-CN"/>
              </w:rPr>
              <w:t>0..1</w:t>
            </w:r>
          </w:p>
        </w:tc>
        <w:tc>
          <w:tcPr>
            <w:tcW w:w="3402" w:type="dxa"/>
            <w:shd w:val="clear" w:color="auto" w:fill="auto"/>
          </w:tcPr>
          <w:p w:rsidR="00CB0DD7" w:rsidRPr="000A0A5F" w:rsidRDefault="00CB0DD7">
            <w:pPr>
              <w:pStyle w:val="TAL"/>
              <w:rPr>
                <w:rFonts w:cs="Arial" w:hint="eastAsia"/>
                <w:szCs w:val="18"/>
                <w:lang w:eastAsia="zh-CN"/>
              </w:rPr>
            </w:pPr>
            <w:r w:rsidRPr="000A0A5F">
              <w:rPr>
                <w:rFonts w:cs="Arial"/>
                <w:szCs w:val="18"/>
                <w:lang w:eastAsia="zh-CN"/>
              </w:rPr>
              <w:t>Configuration parameters to set up notification delivery over Websocket protocol as defined in clause</w:t>
            </w:r>
            <w:r w:rsidRPr="000A0A5F">
              <w:rPr>
                <w:rFonts w:cs="Arial"/>
                <w:szCs w:val="18"/>
                <w:lang w:val="en-US" w:eastAsia="zh-CN"/>
              </w:rPr>
              <w:t> </w:t>
            </w:r>
            <w:r w:rsidRPr="000A0A5F">
              <w:rPr>
                <w:rFonts w:cs="Arial"/>
                <w:szCs w:val="18"/>
                <w:lang w:eastAsia="zh-CN"/>
              </w:rPr>
              <w:t>5.2.5.4.</w:t>
            </w:r>
          </w:p>
        </w:tc>
        <w:tc>
          <w:tcPr>
            <w:tcW w:w="1257" w:type="dxa"/>
          </w:tcPr>
          <w:p w:rsidR="00CB0DD7" w:rsidRPr="000A0A5F" w:rsidRDefault="00CB0DD7">
            <w:pPr>
              <w:pStyle w:val="TAL"/>
              <w:rPr>
                <w:rFonts w:eastAsia="Times New Roman" w:cs="Arial"/>
                <w:szCs w:val="18"/>
              </w:rPr>
            </w:pPr>
            <w:r w:rsidRPr="000A0A5F">
              <w:rPr>
                <w:lang w:eastAsia="zh-CN"/>
              </w:rPr>
              <w:t>Notification_websocket</w:t>
            </w:r>
          </w:p>
        </w:tc>
      </w:tr>
      <w:tr w:rsidR="00CB0DD7" w:rsidRPr="000A0A5F" w:rsidTr="00FF0AF8">
        <w:trPr>
          <w:jc w:val="center"/>
        </w:trPr>
        <w:tc>
          <w:tcPr>
            <w:tcW w:w="1948" w:type="dxa"/>
            <w:shd w:val="clear" w:color="auto" w:fill="auto"/>
          </w:tcPr>
          <w:p w:rsidR="00CB0DD7" w:rsidRPr="000A0A5F" w:rsidRDefault="00CB0DD7">
            <w:pPr>
              <w:pStyle w:val="TAL"/>
              <w:rPr>
                <w:rFonts w:eastAsia="Times New Roman"/>
              </w:rPr>
            </w:pPr>
            <w:r w:rsidRPr="000A0A5F">
              <w:rPr>
                <w:rFonts w:eastAsia="DengXian" w:hint="eastAsia"/>
                <w:lang w:eastAsia="zh-CN"/>
              </w:rPr>
              <w:t>deliveryResult</w:t>
            </w:r>
          </w:p>
        </w:tc>
        <w:tc>
          <w:tcPr>
            <w:tcW w:w="1861" w:type="dxa"/>
            <w:shd w:val="clear" w:color="auto" w:fill="auto"/>
          </w:tcPr>
          <w:p w:rsidR="00CB0DD7" w:rsidRPr="000A0A5F" w:rsidRDefault="00CB0DD7">
            <w:pPr>
              <w:pStyle w:val="TAL"/>
              <w:rPr>
                <w:rFonts w:eastAsia="Times New Roman"/>
              </w:rPr>
            </w:pPr>
            <w:r w:rsidRPr="000A0A5F">
              <w:rPr>
                <w:rFonts w:eastAsia="DengXian" w:hint="eastAsia"/>
                <w:lang w:eastAsia="zh-CN"/>
              </w:rPr>
              <w:t>DeliveryResult</w:t>
            </w:r>
          </w:p>
        </w:tc>
        <w:tc>
          <w:tcPr>
            <w:tcW w:w="1134" w:type="dxa"/>
            <w:shd w:val="clear" w:color="auto" w:fill="auto"/>
          </w:tcPr>
          <w:p w:rsidR="00CB0DD7" w:rsidRPr="000A0A5F" w:rsidRDefault="00CB0DD7">
            <w:pPr>
              <w:pStyle w:val="TAL"/>
              <w:rPr>
                <w:rFonts w:eastAsia="Times New Roman"/>
              </w:rPr>
            </w:pPr>
            <w:r w:rsidRPr="000A0A5F">
              <w:rPr>
                <w:rFonts w:eastAsia="DengXian" w:hint="eastAsia"/>
                <w:lang w:eastAsia="zh-CN"/>
              </w:rPr>
              <w:t>0..1</w:t>
            </w:r>
          </w:p>
        </w:tc>
        <w:tc>
          <w:tcPr>
            <w:tcW w:w="3402" w:type="dxa"/>
            <w:shd w:val="clear" w:color="auto" w:fill="auto"/>
          </w:tcPr>
          <w:p w:rsidR="00CB0DD7" w:rsidRPr="000A0A5F" w:rsidRDefault="00CB0DD7">
            <w:pPr>
              <w:pStyle w:val="TAL"/>
              <w:rPr>
                <w:rFonts w:eastAsia="Times New Roman" w:cs="Arial"/>
                <w:szCs w:val="18"/>
              </w:rPr>
            </w:pPr>
            <w:r w:rsidRPr="000A0A5F">
              <w:rPr>
                <w:rFonts w:cs="Arial" w:hint="eastAsia"/>
                <w:szCs w:val="18"/>
                <w:lang w:eastAsia="zh-CN"/>
              </w:rPr>
              <w:t xml:space="preserve">The delivery result shall be </w:t>
            </w:r>
            <w:r w:rsidRPr="000A0A5F">
              <w:rPr>
                <w:rFonts w:cs="Arial"/>
                <w:szCs w:val="18"/>
                <w:lang w:eastAsia="zh-CN"/>
              </w:rPr>
              <w:t>included in the HTTP responses that indicate the delivery status of the device triggering.</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9602" w:type="dxa"/>
            <w:gridSpan w:val="5"/>
            <w:shd w:val="clear" w:color="auto" w:fill="auto"/>
          </w:tcPr>
          <w:p w:rsidR="00CB0DD7" w:rsidRPr="000A0A5F" w:rsidRDefault="00CB0DD7">
            <w:pPr>
              <w:pStyle w:val="TAN"/>
            </w:pPr>
            <w:r w:rsidRPr="000A0A5F">
              <w:t>NOTE 1:</w:t>
            </w:r>
            <w:r w:rsidRPr="000A0A5F">
              <w:tab/>
              <w:t>Properties marked with a feature as defined in clause 5.7.4 are applicable as described in clause 5.2.7. If no feature are indicated, the related property applies for all the features.</w:t>
            </w:r>
          </w:p>
          <w:p w:rsidR="00CB0DD7" w:rsidRPr="000A0A5F" w:rsidRDefault="00CB0DD7">
            <w:pPr>
              <w:pStyle w:val="TAN"/>
            </w:pPr>
            <w:r w:rsidRPr="000A0A5F">
              <w:rPr>
                <w:noProof/>
                <w:lang w:eastAsia="zh-CN"/>
              </w:rPr>
              <w:t>NOTE</w:t>
            </w:r>
            <w:r w:rsidRPr="000A0A5F">
              <w:t> 2</w:t>
            </w:r>
            <w:r w:rsidRPr="000A0A5F">
              <w:rPr>
                <w:noProof/>
                <w:lang w:eastAsia="zh-CN"/>
              </w:rPr>
              <w:t>:</w:t>
            </w:r>
            <w:r w:rsidRPr="000A0A5F">
              <w:rPr>
                <w:noProof/>
                <w:lang w:eastAsia="zh-CN"/>
              </w:rPr>
              <w:tab/>
              <w:t>One of the properties</w:t>
            </w:r>
            <w:r w:rsidRPr="000A0A5F">
              <w:rPr>
                <w:rFonts w:hint="eastAsia"/>
                <w:noProof/>
                <w:lang w:eastAsia="zh-CN"/>
              </w:rPr>
              <w:t xml:space="preserve"> </w:t>
            </w:r>
            <w:r w:rsidRPr="000A0A5F">
              <w:rPr>
                <w:noProof/>
                <w:lang w:eastAsia="zh-CN"/>
              </w:rPr>
              <w:t>"externalId" or "msisdn" shall be included.</w:t>
            </w:r>
          </w:p>
        </w:tc>
      </w:tr>
    </w:tbl>
    <w:p w:rsidR="00CB0DD7" w:rsidRPr="000A0A5F" w:rsidRDefault="00CB0DD7"/>
    <w:p w:rsidR="00CB0DD7" w:rsidRPr="000A0A5F" w:rsidRDefault="00CB0DD7">
      <w:pPr>
        <w:pStyle w:val="Heading5"/>
      </w:pPr>
      <w:bookmarkStart w:id="4796" w:name="_Toc11247526"/>
      <w:bookmarkStart w:id="4797" w:name="_Toc27044665"/>
      <w:bookmarkStart w:id="4798" w:name="_Toc36033707"/>
      <w:bookmarkStart w:id="4799" w:name="_Toc45131853"/>
      <w:bookmarkStart w:id="4800" w:name="_Toc49776138"/>
      <w:bookmarkStart w:id="4801" w:name="_Toc51747058"/>
      <w:bookmarkStart w:id="4802" w:name="_Toc66360619"/>
      <w:bookmarkStart w:id="4803" w:name="_Toc68105124"/>
      <w:bookmarkStart w:id="4804" w:name="_Toc74755754"/>
      <w:bookmarkStart w:id="4805" w:name="_Toc105674628"/>
      <w:bookmarkStart w:id="4806" w:name="_Toc130502676"/>
      <w:bookmarkStart w:id="4807" w:name="_Toc153625463"/>
      <w:r w:rsidRPr="000A0A5F">
        <w:t>5.7.2.1.3</w:t>
      </w:r>
      <w:r w:rsidRPr="000A0A5F">
        <w:tab/>
        <w:t>Type: DeviceTriggeringDeliveryReportNotification</w:t>
      </w:r>
      <w:bookmarkEnd w:id="4796"/>
      <w:bookmarkEnd w:id="4797"/>
      <w:bookmarkEnd w:id="4798"/>
      <w:bookmarkEnd w:id="4799"/>
      <w:bookmarkEnd w:id="4800"/>
      <w:bookmarkEnd w:id="4801"/>
      <w:bookmarkEnd w:id="4802"/>
      <w:bookmarkEnd w:id="4803"/>
      <w:bookmarkEnd w:id="4804"/>
      <w:bookmarkEnd w:id="4805"/>
      <w:bookmarkEnd w:id="4806"/>
      <w:bookmarkEnd w:id="4807"/>
    </w:p>
    <w:p w:rsidR="00CB0DD7" w:rsidRPr="000A0A5F" w:rsidRDefault="00CB0DD7">
      <w:r w:rsidRPr="000A0A5F">
        <w:t xml:space="preserve">This type represents device triggering delivery report notification. </w:t>
      </w:r>
    </w:p>
    <w:p w:rsidR="00CB0DD7" w:rsidRPr="000A0A5F" w:rsidRDefault="00CB0DD7">
      <w:pPr>
        <w:pStyle w:val="TH"/>
      </w:pPr>
      <w:r w:rsidRPr="000A0A5F">
        <w:rPr>
          <w:noProof/>
        </w:rPr>
        <w:t>Table </w:t>
      </w:r>
      <w:r w:rsidRPr="000A0A5F">
        <w:t xml:space="preserve">5.7.2.1.4-1: </w:t>
      </w:r>
      <w:r w:rsidRPr="000A0A5F">
        <w:rPr>
          <w:noProof/>
        </w:rPr>
        <w:t xml:space="preserve">Definition of type </w:t>
      </w:r>
      <w:r w:rsidRPr="000A0A5F">
        <w:t>DeviceTriggeringDeliveryReportNotification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948"/>
        <w:gridCol w:w="2126"/>
        <w:gridCol w:w="1276"/>
        <w:gridCol w:w="2995"/>
        <w:gridCol w:w="1257"/>
      </w:tblGrid>
      <w:tr w:rsidR="00CB0DD7" w:rsidRPr="000A0A5F" w:rsidTr="00FF0AF8">
        <w:trPr>
          <w:jc w:val="center"/>
        </w:trPr>
        <w:tc>
          <w:tcPr>
            <w:tcW w:w="1948" w:type="dxa"/>
            <w:shd w:val="clear" w:color="auto" w:fill="C0C0C0"/>
          </w:tcPr>
          <w:p w:rsidR="00CB0DD7" w:rsidRPr="000A0A5F" w:rsidRDefault="00CB0DD7">
            <w:pPr>
              <w:pStyle w:val="TAH"/>
              <w:rPr>
                <w:rFonts w:eastAsia="Times New Roman"/>
              </w:rPr>
            </w:pPr>
            <w:r w:rsidRPr="000A0A5F">
              <w:rPr>
                <w:rFonts w:eastAsia="Times New Roman"/>
              </w:rPr>
              <w:t>Attribute name</w:t>
            </w:r>
          </w:p>
        </w:tc>
        <w:tc>
          <w:tcPr>
            <w:tcW w:w="2126" w:type="dxa"/>
            <w:shd w:val="clear" w:color="auto" w:fill="C0C0C0"/>
          </w:tcPr>
          <w:p w:rsidR="00CB0DD7" w:rsidRPr="000A0A5F" w:rsidRDefault="00CB0DD7">
            <w:pPr>
              <w:pStyle w:val="TAH"/>
              <w:rPr>
                <w:rFonts w:eastAsia="Times New Roman"/>
              </w:rPr>
            </w:pPr>
            <w:r w:rsidRPr="000A0A5F">
              <w:rPr>
                <w:rFonts w:eastAsia="Times New Roman"/>
              </w:rPr>
              <w:t>Data type</w:t>
            </w:r>
          </w:p>
        </w:tc>
        <w:tc>
          <w:tcPr>
            <w:tcW w:w="1276" w:type="dxa"/>
            <w:shd w:val="clear" w:color="auto" w:fill="C0C0C0"/>
          </w:tcPr>
          <w:p w:rsidR="00CB0DD7" w:rsidRPr="000A0A5F" w:rsidRDefault="00CB0DD7">
            <w:pPr>
              <w:pStyle w:val="TAH"/>
              <w:jc w:val="left"/>
              <w:rPr>
                <w:rFonts w:eastAsia="Times New Roman"/>
              </w:rPr>
            </w:pPr>
            <w:r w:rsidRPr="000A0A5F">
              <w:rPr>
                <w:rFonts w:eastAsia="Times New Roman"/>
              </w:rPr>
              <w:t>Cardinality</w:t>
            </w:r>
          </w:p>
        </w:tc>
        <w:tc>
          <w:tcPr>
            <w:tcW w:w="2995"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Description</w:t>
            </w:r>
          </w:p>
        </w:tc>
        <w:tc>
          <w:tcPr>
            <w:tcW w:w="1257"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Applicability (NOTE)</w:t>
            </w:r>
          </w:p>
        </w:tc>
      </w:tr>
      <w:tr w:rsidR="00CB0DD7" w:rsidRPr="000A0A5F" w:rsidTr="00FF0AF8">
        <w:trPr>
          <w:jc w:val="center"/>
        </w:trPr>
        <w:tc>
          <w:tcPr>
            <w:tcW w:w="1948" w:type="dxa"/>
            <w:shd w:val="clear" w:color="auto" w:fill="auto"/>
          </w:tcPr>
          <w:p w:rsidR="00CB0DD7" w:rsidRPr="000A0A5F" w:rsidRDefault="00CB0DD7">
            <w:pPr>
              <w:pStyle w:val="TAH"/>
              <w:jc w:val="left"/>
              <w:rPr>
                <w:rFonts w:eastAsia="Times New Roman"/>
                <w:b w:val="0"/>
              </w:rPr>
            </w:pPr>
            <w:r w:rsidRPr="000A0A5F">
              <w:rPr>
                <w:b w:val="0"/>
              </w:rPr>
              <w:t>transaction</w:t>
            </w:r>
          </w:p>
        </w:tc>
        <w:tc>
          <w:tcPr>
            <w:tcW w:w="2126" w:type="dxa"/>
            <w:shd w:val="clear" w:color="auto" w:fill="auto"/>
          </w:tcPr>
          <w:p w:rsidR="00CB0DD7" w:rsidRPr="000A0A5F" w:rsidRDefault="00CB0DD7">
            <w:pPr>
              <w:pStyle w:val="TAH"/>
              <w:jc w:val="left"/>
              <w:rPr>
                <w:rFonts w:eastAsia="Times New Roman"/>
                <w:b w:val="0"/>
              </w:rPr>
            </w:pPr>
            <w:r w:rsidRPr="000A0A5F">
              <w:rPr>
                <w:b w:val="0"/>
              </w:rPr>
              <w:t>Link</w:t>
            </w:r>
          </w:p>
        </w:tc>
        <w:tc>
          <w:tcPr>
            <w:tcW w:w="1276" w:type="dxa"/>
            <w:shd w:val="clear" w:color="auto" w:fill="auto"/>
          </w:tcPr>
          <w:p w:rsidR="00CB0DD7" w:rsidRPr="000A0A5F" w:rsidRDefault="00CB0DD7">
            <w:pPr>
              <w:pStyle w:val="TAH"/>
              <w:jc w:val="left"/>
              <w:rPr>
                <w:rFonts w:eastAsia="Times New Roman"/>
                <w:b w:val="0"/>
              </w:rPr>
            </w:pPr>
            <w:r w:rsidRPr="000A0A5F">
              <w:rPr>
                <w:b w:val="0"/>
              </w:rPr>
              <w:t>1</w:t>
            </w:r>
          </w:p>
        </w:tc>
        <w:tc>
          <w:tcPr>
            <w:tcW w:w="2995" w:type="dxa"/>
            <w:shd w:val="clear" w:color="auto" w:fill="auto"/>
          </w:tcPr>
          <w:p w:rsidR="00CB0DD7" w:rsidRPr="000A0A5F" w:rsidRDefault="00CB0DD7">
            <w:pPr>
              <w:pStyle w:val="TAH"/>
              <w:jc w:val="left"/>
              <w:rPr>
                <w:rFonts w:eastAsia="Times New Roman" w:cs="Arial"/>
                <w:b w:val="0"/>
                <w:szCs w:val="18"/>
              </w:rPr>
            </w:pPr>
            <w:r w:rsidRPr="000A0A5F">
              <w:rPr>
                <w:rFonts w:cs="Arial"/>
                <w:b w:val="0"/>
                <w:szCs w:val="18"/>
              </w:rPr>
              <w:t>Link to the related device triggering transaction resource to which this notification is related.</w:t>
            </w:r>
          </w:p>
        </w:tc>
        <w:tc>
          <w:tcPr>
            <w:tcW w:w="1257" w:type="dxa"/>
            <w:shd w:val="clear" w:color="auto" w:fill="auto"/>
          </w:tcPr>
          <w:p w:rsidR="00CB0DD7" w:rsidRPr="000A0A5F" w:rsidRDefault="00CB0DD7">
            <w:pPr>
              <w:pStyle w:val="TAH"/>
              <w:jc w:val="left"/>
              <w:rPr>
                <w:rFonts w:eastAsia="Times New Roman" w:cs="Arial"/>
                <w:b w:val="0"/>
                <w:szCs w:val="18"/>
              </w:rPr>
            </w:pPr>
          </w:p>
        </w:tc>
      </w:tr>
      <w:tr w:rsidR="00CB0DD7" w:rsidRPr="000A0A5F" w:rsidTr="00FF0AF8">
        <w:trPr>
          <w:jc w:val="center"/>
        </w:trPr>
        <w:tc>
          <w:tcPr>
            <w:tcW w:w="1948" w:type="dxa"/>
            <w:shd w:val="clear" w:color="auto" w:fill="auto"/>
          </w:tcPr>
          <w:p w:rsidR="00CB0DD7" w:rsidRPr="000A0A5F" w:rsidRDefault="00CB0DD7">
            <w:pPr>
              <w:pStyle w:val="TAL"/>
              <w:rPr>
                <w:rFonts w:eastAsia="Times New Roman"/>
              </w:rPr>
            </w:pPr>
            <w:r w:rsidRPr="000A0A5F">
              <w:rPr>
                <w:rFonts w:eastAsia="Times New Roman"/>
              </w:rPr>
              <w:t>Result</w:t>
            </w:r>
          </w:p>
        </w:tc>
        <w:tc>
          <w:tcPr>
            <w:tcW w:w="2126" w:type="dxa"/>
            <w:shd w:val="clear" w:color="auto" w:fill="auto"/>
          </w:tcPr>
          <w:p w:rsidR="00CB0DD7" w:rsidRPr="000A0A5F" w:rsidRDefault="00CB0DD7">
            <w:pPr>
              <w:pStyle w:val="TAL"/>
              <w:rPr>
                <w:rFonts w:eastAsia="Times New Roman"/>
              </w:rPr>
            </w:pPr>
            <w:r w:rsidRPr="000A0A5F">
              <w:rPr>
                <w:rFonts w:eastAsia="Times New Roman"/>
              </w:rPr>
              <w:t>DeliveryResult</w:t>
            </w:r>
          </w:p>
        </w:tc>
        <w:tc>
          <w:tcPr>
            <w:tcW w:w="1276" w:type="dxa"/>
            <w:shd w:val="clear" w:color="auto" w:fill="auto"/>
          </w:tcPr>
          <w:p w:rsidR="00CB0DD7" w:rsidRPr="000A0A5F" w:rsidRDefault="00CB0DD7">
            <w:pPr>
              <w:pStyle w:val="TAL"/>
              <w:rPr>
                <w:rFonts w:eastAsia="Times New Roman"/>
              </w:rPr>
            </w:pPr>
            <w:r w:rsidRPr="000A0A5F">
              <w:rPr>
                <w:rFonts w:eastAsia="Times New Roman"/>
              </w:rPr>
              <w:t>1</w:t>
            </w:r>
          </w:p>
        </w:tc>
        <w:tc>
          <w:tcPr>
            <w:tcW w:w="2995" w:type="dxa"/>
            <w:shd w:val="clear" w:color="auto" w:fill="auto"/>
          </w:tcPr>
          <w:p w:rsidR="00CB0DD7" w:rsidRPr="000A0A5F" w:rsidRDefault="00CB0DD7">
            <w:pPr>
              <w:pStyle w:val="TAL"/>
              <w:rPr>
                <w:rFonts w:eastAsia="Times New Roman" w:cs="Arial"/>
                <w:szCs w:val="18"/>
              </w:rPr>
            </w:pPr>
            <w:r w:rsidRPr="000A0A5F">
              <w:rPr>
                <w:rFonts w:eastAsia="Times New Roman" w:cs="Arial"/>
                <w:szCs w:val="18"/>
              </w:rPr>
              <w:t>OK, unknown or diverse failures</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9602" w:type="dxa"/>
            <w:gridSpan w:val="5"/>
            <w:shd w:val="clear" w:color="auto" w:fill="auto"/>
          </w:tcPr>
          <w:p w:rsidR="00CB0DD7" w:rsidRPr="000A0A5F" w:rsidRDefault="00CB0DD7">
            <w:pPr>
              <w:pStyle w:val="TAN"/>
            </w:pPr>
            <w:r w:rsidRPr="000A0A5F">
              <w:t>NOTE:</w:t>
            </w:r>
            <w:r w:rsidRPr="000A0A5F">
              <w:tab/>
              <w:t>Properties marked with a feature as defined in clause 5.3.4 are applicable as described in clause 5.2.7. If no feature are indicated, the related property applies for all the features.</w:t>
            </w:r>
          </w:p>
        </w:tc>
      </w:tr>
    </w:tbl>
    <w:p w:rsidR="00CB0DD7" w:rsidRPr="000A0A5F" w:rsidRDefault="00CB0DD7"/>
    <w:p w:rsidR="00B97EBD" w:rsidRPr="000A0A5F" w:rsidRDefault="00B97EBD" w:rsidP="00B97EBD">
      <w:pPr>
        <w:pStyle w:val="Heading5"/>
      </w:pPr>
      <w:bookmarkStart w:id="4808" w:name="_Toc11247527"/>
      <w:bookmarkStart w:id="4809" w:name="_Toc27044666"/>
      <w:bookmarkStart w:id="4810" w:name="_Toc36033708"/>
      <w:bookmarkStart w:id="4811" w:name="_Toc45131854"/>
      <w:bookmarkStart w:id="4812" w:name="_Toc49776139"/>
      <w:bookmarkStart w:id="4813" w:name="_Toc51747059"/>
      <w:bookmarkStart w:id="4814" w:name="_Toc66360620"/>
      <w:bookmarkStart w:id="4815" w:name="_Toc68105125"/>
      <w:bookmarkStart w:id="4816" w:name="_Toc74755755"/>
      <w:bookmarkStart w:id="4817" w:name="_Toc105674629"/>
      <w:bookmarkStart w:id="4818" w:name="_Toc130502677"/>
      <w:bookmarkStart w:id="4819" w:name="_Toc153625464"/>
      <w:r w:rsidRPr="000A0A5F">
        <w:t>5.7.2.1.4</w:t>
      </w:r>
      <w:r w:rsidRPr="000A0A5F">
        <w:tab/>
        <w:t>Type: DeviceTriggeringPatch</w:t>
      </w:r>
      <w:bookmarkEnd w:id="4817"/>
      <w:bookmarkEnd w:id="4818"/>
      <w:bookmarkEnd w:id="4819"/>
    </w:p>
    <w:p w:rsidR="00B97EBD" w:rsidRPr="000A0A5F" w:rsidRDefault="00B97EBD" w:rsidP="00B97EBD">
      <w:r w:rsidRPr="000A0A5F">
        <w:t>This type represents the parameters to request the modification of an Individual Device Triggering Transaction resource.</w:t>
      </w:r>
    </w:p>
    <w:p w:rsidR="00B97EBD" w:rsidRPr="000A0A5F" w:rsidRDefault="00B97EBD" w:rsidP="00B97EBD">
      <w:pPr>
        <w:pStyle w:val="TH"/>
      </w:pPr>
      <w:r w:rsidRPr="000A0A5F">
        <w:rPr>
          <w:noProof/>
        </w:rPr>
        <w:t>Table </w:t>
      </w:r>
      <w:r w:rsidRPr="000A0A5F">
        <w:t xml:space="preserve">5.7.2.1.4-1: </w:t>
      </w:r>
      <w:r w:rsidRPr="000A0A5F">
        <w:rPr>
          <w:noProof/>
        </w:rPr>
        <w:t xml:space="preserve">Definition of type </w:t>
      </w:r>
      <w:r w:rsidRPr="000A0A5F">
        <w:t>DeviceTriggeringPatch</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948"/>
        <w:gridCol w:w="1861"/>
        <w:gridCol w:w="1134"/>
        <w:gridCol w:w="3402"/>
        <w:gridCol w:w="1257"/>
      </w:tblGrid>
      <w:tr w:rsidR="00B97EBD" w:rsidRPr="000A0A5F" w:rsidTr="00FF0AF8">
        <w:trPr>
          <w:jc w:val="center"/>
        </w:trPr>
        <w:tc>
          <w:tcPr>
            <w:tcW w:w="1948" w:type="dxa"/>
            <w:shd w:val="clear" w:color="auto" w:fill="C0C0C0"/>
          </w:tcPr>
          <w:p w:rsidR="00B97EBD" w:rsidRPr="000A0A5F" w:rsidRDefault="00B97EBD" w:rsidP="00B97EBD">
            <w:pPr>
              <w:pStyle w:val="TAH"/>
            </w:pPr>
            <w:r w:rsidRPr="000A0A5F">
              <w:t>Attribute name</w:t>
            </w:r>
          </w:p>
        </w:tc>
        <w:tc>
          <w:tcPr>
            <w:tcW w:w="1861" w:type="dxa"/>
            <w:shd w:val="clear" w:color="auto" w:fill="C0C0C0"/>
          </w:tcPr>
          <w:p w:rsidR="00B97EBD" w:rsidRPr="000A0A5F" w:rsidRDefault="00B97EBD" w:rsidP="00B97EBD">
            <w:pPr>
              <w:pStyle w:val="TAH"/>
            </w:pPr>
            <w:r w:rsidRPr="000A0A5F">
              <w:t>Data type</w:t>
            </w:r>
          </w:p>
        </w:tc>
        <w:tc>
          <w:tcPr>
            <w:tcW w:w="1134" w:type="dxa"/>
            <w:shd w:val="clear" w:color="auto" w:fill="C0C0C0"/>
          </w:tcPr>
          <w:p w:rsidR="00B97EBD" w:rsidRPr="000A0A5F" w:rsidRDefault="00B97EBD" w:rsidP="00B97EBD">
            <w:pPr>
              <w:pStyle w:val="TAH"/>
              <w:jc w:val="left"/>
            </w:pPr>
            <w:r w:rsidRPr="000A0A5F">
              <w:t>Cardinality</w:t>
            </w:r>
          </w:p>
        </w:tc>
        <w:tc>
          <w:tcPr>
            <w:tcW w:w="3402" w:type="dxa"/>
            <w:shd w:val="clear" w:color="auto" w:fill="C0C0C0"/>
          </w:tcPr>
          <w:p w:rsidR="00B97EBD" w:rsidRPr="000A0A5F" w:rsidRDefault="00B97EBD" w:rsidP="00B97EBD">
            <w:pPr>
              <w:pStyle w:val="TAH"/>
              <w:rPr>
                <w:rFonts w:cs="Arial"/>
                <w:szCs w:val="18"/>
              </w:rPr>
            </w:pPr>
            <w:r w:rsidRPr="000A0A5F">
              <w:rPr>
                <w:rFonts w:cs="Arial"/>
                <w:szCs w:val="18"/>
              </w:rPr>
              <w:t>Description</w:t>
            </w:r>
          </w:p>
        </w:tc>
        <w:tc>
          <w:tcPr>
            <w:tcW w:w="1257" w:type="dxa"/>
            <w:shd w:val="clear" w:color="auto" w:fill="C0C0C0"/>
          </w:tcPr>
          <w:p w:rsidR="00B97EBD" w:rsidRPr="000A0A5F" w:rsidRDefault="00B97EBD" w:rsidP="00B97EBD">
            <w:pPr>
              <w:pStyle w:val="TAH"/>
              <w:rPr>
                <w:rFonts w:cs="Arial"/>
                <w:szCs w:val="18"/>
              </w:rPr>
            </w:pPr>
            <w:r w:rsidRPr="000A0A5F">
              <w:rPr>
                <w:rFonts w:cs="Arial"/>
                <w:szCs w:val="18"/>
              </w:rPr>
              <w:t>Applicability (NOTE 1)</w:t>
            </w:r>
          </w:p>
        </w:tc>
      </w:tr>
      <w:tr w:rsidR="00B97EBD" w:rsidRPr="000A0A5F" w:rsidTr="00FF0AF8">
        <w:trPr>
          <w:jc w:val="center"/>
        </w:trPr>
        <w:tc>
          <w:tcPr>
            <w:tcW w:w="1948" w:type="dxa"/>
            <w:shd w:val="clear" w:color="auto" w:fill="auto"/>
          </w:tcPr>
          <w:p w:rsidR="00B97EBD" w:rsidRPr="000A0A5F" w:rsidRDefault="00B97EBD" w:rsidP="00B97EBD">
            <w:pPr>
              <w:pStyle w:val="TAL"/>
            </w:pPr>
            <w:r w:rsidRPr="000A0A5F">
              <w:t>validityPeriod</w:t>
            </w:r>
          </w:p>
        </w:tc>
        <w:tc>
          <w:tcPr>
            <w:tcW w:w="1861" w:type="dxa"/>
            <w:shd w:val="clear" w:color="auto" w:fill="auto"/>
          </w:tcPr>
          <w:p w:rsidR="00B97EBD" w:rsidRPr="000A0A5F" w:rsidRDefault="00B97EBD" w:rsidP="00B97EBD">
            <w:pPr>
              <w:pStyle w:val="TAL"/>
            </w:pPr>
            <w:r w:rsidRPr="000A0A5F">
              <w:rPr>
                <w:rFonts w:eastAsia="DengXian"/>
                <w:lang w:eastAsia="zh-CN"/>
              </w:rPr>
              <w:t>DurationSec</w:t>
            </w:r>
          </w:p>
        </w:tc>
        <w:tc>
          <w:tcPr>
            <w:tcW w:w="1134" w:type="dxa"/>
            <w:shd w:val="clear" w:color="auto" w:fill="auto"/>
          </w:tcPr>
          <w:p w:rsidR="00B97EBD" w:rsidRPr="000A0A5F" w:rsidRDefault="00B97EBD" w:rsidP="00B97EBD">
            <w:pPr>
              <w:pStyle w:val="TAL"/>
            </w:pPr>
            <w:r w:rsidRPr="000A0A5F">
              <w:t>1</w:t>
            </w:r>
          </w:p>
        </w:tc>
        <w:tc>
          <w:tcPr>
            <w:tcW w:w="3402" w:type="dxa"/>
            <w:shd w:val="clear" w:color="auto" w:fill="auto"/>
          </w:tcPr>
          <w:p w:rsidR="00B97EBD" w:rsidRPr="000A0A5F" w:rsidRDefault="00B97EBD" w:rsidP="00B97EBD">
            <w:pPr>
              <w:pStyle w:val="TAL"/>
            </w:pPr>
            <w:r w:rsidRPr="000A0A5F">
              <w:t>The validity time in seconds for the specific action requested.</w:t>
            </w:r>
          </w:p>
        </w:tc>
        <w:tc>
          <w:tcPr>
            <w:tcW w:w="1257" w:type="dxa"/>
          </w:tcPr>
          <w:p w:rsidR="00B97EBD" w:rsidRPr="000A0A5F" w:rsidRDefault="00B97EBD" w:rsidP="00B97EBD">
            <w:pPr>
              <w:pStyle w:val="TAL"/>
              <w:rPr>
                <w:rFonts w:cs="Arial"/>
                <w:szCs w:val="18"/>
              </w:rPr>
            </w:pPr>
          </w:p>
        </w:tc>
      </w:tr>
      <w:tr w:rsidR="00B97EBD" w:rsidRPr="000A0A5F" w:rsidTr="00FF0AF8">
        <w:trPr>
          <w:jc w:val="center"/>
        </w:trPr>
        <w:tc>
          <w:tcPr>
            <w:tcW w:w="1948" w:type="dxa"/>
            <w:shd w:val="clear" w:color="auto" w:fill="auto"/>
          </w:tcPr>
          <w:p w:rsidR="00B97EBD" w:rsidRPr="000A0A5F" w:rsidRDefault="00B97EBD" w:rsidP="00B97EBD">
            <w:pPr>
              <w:pStyle w:val="TAL"/>
            </w:pPr>
            <w:r w:rsidRPr="000A0A5F">
              <w:t>priority</w:t>
            </w:r>
          </w:p>
        </w:tc>
        <w:tc>
          <w:tcPr>
            <w:tcW w:w="1861" w:type="dxa"/>
            <w:shd w:val="clear" w:color="auto" w:fill="auto"/>
          </w:tcPr>
          <w:p w:rsidR="00B97EBD" w:rsidRPr="000A0A5F" w:rsidRDefault="00B97EBD" w:rsidP="00B97EBD">
            <w:pPr>
              <w:pStyle w:val="TAL"/>
            </w:pPr>
            <w:r w:rsidRPr="000A0A5F">
              <w:rPr>
                <w:rFonts w:eastAsia="DengXian"/>
                <w:lang w:eastAsia="zh-CN"/>
              </w:rPr>
              <w:t>Priority</w:t>
            </w:r>
          </w:p>
        </w:tc>
        <w:tc>
          <w:tcPr>
            <w:tcW w:w="1134" w:type="dxa"/>
            <w:shd w:val="clear" w:color="auto" w:fill="auto"/>
          </w:tcPr>
          <w:p w:rsidR="00B97EBD" w:rsidRPr="000A0A5F" w:rsidRDefault="00B97EBD" w:rsidP="00B97EBD">
            <w:pPr>
              <w:pStyle w:val="TAL"/>
            </w:pPr>
            <w:r w:rsidRPr="000A0A5F">
              <w:t>1</w:t>
            </w:r>
          </w:p>
        </w:tc>
        <w:tc>
          <w:tcPr>
            <w:tcW w:w="3402" w:type="dxa"/>
            <w:shd w:val="clear" w:color="auto" w:fill="auto"/>
          </w:tcPr>
          <w:p w:rsidR="00B97EBD" w:rsidRPr="000A0A5F" w:rsidRDefault="00B97EBD" w:rsidP="00B97EBD">
            <w:pPr>
              <w:pStyle w:val="TAL"/>
            </w:pPr>
            <w:r w:rsidRPr="000A0A5F">
              <w:t>Identifies the priority of the device triggering request.</w:t>
            </w:r>
          </w:p>
        </w:tc>
        <w:tc>
          <w:tcPr>
            <w:tcW w:w="1257" w:type="dxa"/>
          </w:tcPr>
          <w:p w:rsidR="00B97EBD" w:rsidRPr="000A0A5F" w:rsidRDefault="00B97EBD" w:rsidP="00B97EBD">
            <w:pPr>
              <w:pStyle w:val="TAL"/>
              <w:rPr>
                <w:rFonts w:cs="Arial"/>
                <w:szCs w:val="18"/>
              </w:rPr>
            </w:pPr>
          </w:p>
        </w:tc>
      </w:tr>
      <w:tr w:rsidR="00B97EBD" w:rsidRPr="000A0A5F" w:rsidTr="00FF0AF8">
        <w:trPr>
          <w:jc w:val="center"/>
        </w:trPr>
        <w:tc>
          <w:tcPr>
            <w:tcW w:w="1948" w:type="dxa"/>
            <w:shd w:val="clear" w:color="auto" w:fill="auto"/>
          </w:tcPr>
          <w:p w:rsidR="00B97EBD" w:rsidRPr="000A0A5F" w:rsidRDefault="00B97EBD" w:rsidP="00B97EBD">
            <w:pPr>
              <w:pStyle w:val="TAL"/>
            </w:pPr>
            <w:r w:rsidRPr="000A0A5F">
              <w:t>applicationPortId</w:t>
            </w:r>
          </w:p>
        </w:tc>
        <w:tc>
          <w:tcPr>
            <w:tcW w:w="1861" w:type="dxa"/>
            <w:shd w:val="clear" w:color="auto" w:fill="auto"/>
          </w:tcPr>
          <w:p w:rsidR="00B97EBD" w:rsidRPr="000A0A5F" w:rsidRDefault="00B97EBD" w:rsidP="00B97EBD">
            <w:pPr>
              <w:pStyle w:val="TAL"/>
            </w:pPr>
            <w:r w:rsidRPr="000A0A5F">
              <w:rPr>
                <w:rFonts w:eastAsia="DengXian"/>
                <w:lang w:eastAsia="zh-CN"/>
              </w:rPr>
              <w:t>Port</w:t>
            </w:r>
          </w:p>
        </w:tc>
        <w:tc>
          <w:tcPr>
            <w:tcW w:w="1134" w:type="dxa"/>
            <w:shd w:val="clear" w:color="auto" w:fill="auto"/>
          </w:tcPr>
          <w:p w:rsidR="00B97EBD" w:rsidRPr="000A0A5F" w:rsidRDefault="00B97EBD" w:rsidP="00B97EBD">
            <w:pPr>
              <w:pStyle w:val="TAL"/>
            </w:pPr>
            <w:r w:rsidRPr="000A0A5F">
              <w:t>1</w:t>
            </w:r>
          </w:p>
        </w:tc>
        <w:tc>
          <w:tcPr>
            <w:tcW w:w="3402" w:type="dxa"/>
            <w:shd w:val="clear" w:color="auto" w:fill="auto"/>
          </w:tcPr>
          <w:p w:rsidR="00B97EBD" w:rsidRPr="000A0A5F" w:rsidRDefault="00B97EBD" w:rsidP="00B97EBD">
            <w:pPr>
              <w:pStyle w:val="TAL"/>
            </w:pPr>
            <w:r w:rsidRPr="000A0A5F">
              <w:t>This is used to uniquely identify the triggering application addressed in the device for the destination port. See clause 9.2.3.24.4 in 3GPP TS 23.040 [43] for further details.</w:t>
            </w:r>
          </w:p>
        </w:tc>
        <w:tc>
          <w:tcPr>
            <w:tcW w:w="1257" w:type="dxa"/>
          </w:tcPr>
          <w:p w:rsidR="00B97EBD" w:rsidRPr="000A0A5F" w:rsidRDefault="00B97EBD" w:rsidP="00B97EBD">
            <w:pPr>
              <w:pStyle w:val="TAL"/>
              <w:rPr>
                <w:rFonts w:cs="Arial"/>
                <w:szCs w:val="18"/>
              </w:rPr>
            </w:pPr>
          </w:p>
        </w:tc>
      </w:tr>
      <w:tr w:rsidR="00B97EBD" w:rsidRPr="000A0A5F" w:rsidTr="00FF0AF8">
        <w:trPr>
          <w:jc w:val="center"/>
        </w:trPr>
        <w:tc>
          <w:tcPr>
            <w:tcW w:w="1948" w:type="dxa"/>
            <w:shd w:val="clear" w:color="auto" w:fill="auto"/>
          </w:tcPr>
          <w:p w:rsidR="00B97EBD" w:rsidRPr="000A0A5F" w:rsidRDefault="00B97EBD" w:rsidP="00B97EBD">
            <w:pPr>
              <w:pStyle w:val="TAL"/>
            </w:pPr>
            <w:r w:rsidRPr="000A0A5F">
              <w:t>appSrcPortId</w:t>
            </w:r>
          </w:p>
        </w:tc>
        <w:tc>
          <w:tcPr>
            <w:tcW w:w="1861" w:type="dxa"/>
            <w:shd w:val="clear" w:color="auto" w:fill="auto"/>
          </w:tcPr>
          <w:p w:rsidR="00B97EBD" w:rsidRPr="000A0A5F" w:rsidRDefault="00B97EBD" w:rsidP="00B97EBD">
            <w:pPr>
              <w:pStyle w:val="TAL"/>
              <w:rPr>
                <w:rFonts w:eastAsia="DengXian"/>
                <w:lang w:eastAsia="zh-CN"/>
              </w:rPr>
            </w:pPr>
            <w:r w:rsidRPr="000A0A5F">
              <w:rPr>
                <w:lang w:eastAsia="zh-CN"/>
              </w:rPr>
              <w:t>Port</w:t>
            </w:r>
          </w:p>
        </w:tc>
        <w:tc>
          <w:tcPr>
            <w:tcW w:w="1134" w:type="dxa"/>
            <w:shd w:val="clear" w:color="auto" w:fill="auto"/>
          </w:tcPr>
          <w:p w:rsidR="00B97EBD" w:rsidRPr="000A0A5F" w:rsidRDefault="00B97EBD" w:rsidP="00B97EBD">
            <w:pPr>
              <w:pStyle w:val="TAL"/>
            </w:pPr>
            <w:r w:rsidRPr="000A0A5F">
              <w:t>0..1</w:t>
            </w:r>
          </w:p>
        </w:tc>
        <w:tc>
          <w:tcPr>
            <w:tcW w:w="3402" w:type="dxa"/>
            <w:shd w:val="clear" w:color="auto" w:fill="auto"/>
          </w:tcPr>
          <w:p w:rsidR="00B97EBD" w:rsidRPr="000A0A5F" w:rsidRDefault="00B97EBD" w:rsidP="00B97EBD">
            <w:pPr>
              <w:pStyle w:val="TAL"/>
              <w:rPr>
                <w:rFonts w:cs="Arial"/>
                <w:color w:val="333333"/>
                <w:szCs w:val="18"/>
                <w:shd w:val="clear" w:color="auto" w:fill="FFFFFF"/>
              </w:rPr>
            </w:pPr>
            <w:r w:rsidRPr="000A0A5F">
              <w:t>This is used to uniquely identify the triggering application addressed in the device for the originator port. See clause 9.2.3.24.4 in 3GPP TS 23.040 [43] for further details.</w:t>
            </w:r>
          </w:p>
        </w:tc>
        <w:tc>
          <w:tcPr>
            <w:tcW w:w="1257" w:type="dxa"/>
          </w:tcPr>
          <w:p w:rsidR="00B97EBD" w:rsidRPr="000A0A5F" w:rsidRDefault="00B97EBD" w:rsidP="00B97EBD">
            <w:pPr>
              <w:pStyle w:val="TAL"/>
              <w:rPr>
                <w:rFonts w:cs="Arial"/>
                <w:szCs w:val="18"/>
              </w:rPr>
            </w:pPr>
          </w:p>
        </w:tc>
      </w:tr>
      <w:tr w:rsidR="00B97EBD" w:rsidRPr="000A0A5F" w:rsidTr="00FF0AF8">
        <w:trPr>
          <w:jc w:val="center"/>
        </w:trPr>
        <w:tc>
          <w:tcPr>
            <w:tcW w:w="1948" w:type="dxa"/>
            <w:shd w:val="clear" w:color="auto" w:fill="auto"/>
          </w:tcPr>
          <w:p w:rsidR="00B97EBD" w:rsidRPr="000A0A5F" w:rsidRDefault="00B97EBD" w:rsidP="00B97EBD">
            <w:pPr>
              <w:pStyle w:val="TAL"/>
            </w:pPr>
            <w:r w:rsidRPr="000A0A5F">
              <w:t>triggerPayload</w:t>
            </w:r>
          </w:p>
        </w:tc>
        <w:tc>
          <w:tcPr>
            <w:tcW w:w="1861" w:type="dxa"/>
            <w:shd w:val="clear" w:color="auto" w:fill="auto"/>
          </w:tcPr>
          <w:p w:rsidR="00B97EBD" w:rsidRPr="000A0A5F" w:rsidRDefault="00B97EBD" w:rsidP="00B97EBD">
            <w:pPr>
              <w:pStyle w:val="TAL"/>
            </w:pPr>
            <w:r w:rsidRPr="000A0A5F">
              <w:rPr>
                <w:lang w:eastAsia="zh-CN"/>
              </w:rPr>
              <w:t>Bytes</w:t>
            </w:r>
          </w:p>
        </w:tc>
        <w:tc>
          <w:tcPr>
            <w:tcW w:w="1134" w:type="dxa"/>
            <w:shd w:val="clear" w:color="auto" w:fill="auto"/>
          </w:tcPr>
          <w:p w:rsidR="00B97EBD" w:rsidRPr="000A0A5F" w:rsidRDefault="00B97EBD" w:rsidP="00B97EBD">
            <w:pPr>
              <w:pStyle w:val="TAL"/>
            </w:pPr>
            <w:r w:rsidRPr="000A0A5F">
              <w:t>1</w:t>
            </w:r>
          </w:p>
        </w:tc>
        <w:tc>
          <w:tcPr>
            <w:tcW w:w="3402" w:type="dxa"/>
            <w:shd w:val="clear" w:color="auto" w:fill="auto"/>
          </w:tcPr>
          <w:p w:rsidR="00B97EBD" w:rsidRPr="000A0A5F" w:rsidRDefault="00B97EBD" w:rsidP="00B97EBD">
            <w:pPr>
              <w:pStyle w:val="TAL"/>
              <w:rPr>
                <w:rFonts w:cs="Arial"/>
                <w:szCs w:val="18"/>
              </w:rPr>
            </w:pPr>
            <w:r w:rsidRPr="000A0A5F">
              <w:rPr>
                <w:rFonts w:eastAsia="DengXian" w:cs="Arial" w:hint="eastAsia"/>
                <w:szCs w:val="18"/>
                <w:lang w:eastAsia="zh-CN"/>
              </w:rPr>
              <w:t xml:space="preserve">The </w:t>
            </w:r>
            <w:r w:rsidRPr="000A0A5F">
              <w:rPr>
                <w:rFonts w:eastAsia="DengXian" w:cs="Arial"/>
                <w:szCs w:val="18"/>
                <w:lang w:eastAsia="zh-CN"/>
              </w:rPr>
              <w:t>modified device triggering payload.</w:t>
            </w:r>
          </w:p>
        </w:tc>
        <w:tc>
          <w:tcPr>
            <w:tcW w:w="1257" w:type="dxa"/>
          </w:tcPr>
          <w:p w:rsidR="00B97EBD" w:rsidRPr="000A0A5F" w:rsidRDefault="00B97EBD" w:rsidP="00B97EBD">
            <w:pPr>
              <w:pStyle w:val="TAL"/>
              <w:rPr>
                <w:rFonts w:cs="Arial"/>
                <w:szCs w:val="18"/>
              </w:rPr>
            </w:pPr>
          </w:p>
        </w:tc>
      </w:tr>
      <w:tr w:rsidR="00B97EBD" w:rsidRPr="000A0A5F" w:rsidTr="00FF0AF8">
        <w:trPr>
          <w:jc w:val="center"/>
        </w:trPr>
        <w:tc>
          <w:tcPr>
            <w:tcW w:w="1948" w:type="dxa"/>
            <w:shd w:val="clear" w:color="auto" w:fill="auto"/>
          </w:tcPr>
          <w:p w:rsidR="00B97EBD" w:rsidRPr="000A0A5F" w:rsidRDefault="00B97EBD" w:rsidP="00B97EBD">
            <w:pPr>
              <w:pStyle w:val="TAL"/>
            </w:pPr>
            <w:r w:rsidRPr="000A0A5F">
              <w:t>notificationDestination</w:t>
            </w:r>
          </w:p>
        </w:tc>
        <w:tc>
          <w:tcPr>
            <w:tcW w:w="1861" w:type="dxa"/>
            <w:shd w:val="clear" w:color="auto" w:fill="auto"/>
          </w:tcPr>
          <w:p w:rsidR="00B97EBD" w:rsidRPr="000A0A5F" w:rsidRDefault="00B97EBD" w:rsidP="00B97EBD">
            <w:pPr>
              <w:pStyle w:val="TAL"/>
            </w:pPr>
            <w:r w:rsidRPr="000A0A5F">
              <w:rPr>
                <w:rFonts w:eastAsia="DengXian" w:hint="eastAsia"/>
                <w:lang w:eastAsia="zh-CN"/>
              </w:rPr>
              <w:t>Link</w:t>
            </w:r>
          </w:p>
        </w:tc>
        <w:tc>
          <w:tcPr>
            <w:tcW w:w="1134" w:type="dxa"/>
            <w:shd w:val="clear" w:color="auto" w:fill="auto"/>
          </w:tcPr>
          <w:p w:rsidR="00B97EBD" w:rsidRPr="000A0A5F" w:rsidRDefault="00B97EBD" w:rsidP="00B97EBD">
            <w:pPr>
              <w:pStyle w:val="TAL"/>
            </w:pPr>
            <w:r w:rsidRPr="000A0A5F">
              <w:t>1</w:t>
            </w:r>
          </w:p>
        </w:tc>
        <w:tc>
          <w:tcPr>
            <w:tcW w:w="3402" w:type="dxa"/>
            <w:shd w:val="clear" w:color="auto" w:fill="auto"/>
          </w:tcPr>
          <w:p w:rsidR="00B97EBD" w:rsidRPr="000A0A5F" w:rsidRDefault="00B97EBD" w:rsidP="00B97EBD">
            <w:pPr>
              <w:pStyle w:val="TAL"/>
              <w:rPr>
                <w:rFonts w:cs="Arial"/>
                <w:szCs w:val="18"/>
              </w:rPr>
            </w:pPr>
            <w:r w:rsidRPr="000A0A5F">
              <w:rPr>
                <w:rFonts w:cs="Arial" w:hint="eastAsia"/>
                <w:szCs w:val="18"/>
                <w:lang w:eastAsia="zh-CN"/>
              </w:rPr>
              <w:t>A</w:t>
            </w:r>
            <w:r w:rsidRPr="000A0A5F">
              <w:rPr>
                <w:rFonts w:cs="Arial"/>
                <w:szCs w:val="18"/>
                <w:lang w:eastAsia="zh-CN"/>
              </w:rPr>
              <w:t xml:space="preserve"> </w:t>
            </w:r>
            <w:r w:rsidRPr="000A0A5F">
              <w:rPr>
                <w:rFonts w:cs="Arial" w:hint="eastAsia"/>
                <w:szCs w:val="18"/>
                <w:lang w:eastAsia="zh-CN"/>
              </w:rPr>
              <w:t xml:space="preserve">URI </w:t>
            </w:r>
            <w:r w:rsidRPr="000A0A5F">
              <w:rPr>
                <w:rFonts w:cs="Arial"/>
                <w:szCs w:val="18"/>
                <w:lang w:eastAsia="zh-CN"/>
              </w:rPr>
              <w:t>indicating the</w:t>
            </w:r>
            <w:r w:rsidRPr="000A0A5F">
              <w:rPr>
                <w:rFonts w:cs="Arial" w:hint="eastAsia"/>
                <w:szCs w:val="18"/>
                <w:lang w:eastAsia="zh-CN"/>
              </w:rPr>
              <w:t xml:space="preserve"> notification destination </w:t>
            </w:r>
            <w:r w:rsidRPr="000A0A5F">
              <w:rPr>
                <w:rFonts w:cs="Arial"/>
                <w:szCs w:val="18"/>
                <w:lang w:eastAsia="zh-CN"/>
              </w:rPr>
              <w:t>for</w:t>
            </w:r>
            <w:r w:rsidRPr="000A0A5F">
              <w:rPr>
                <w:rFonts w:cs="Arial" w:hint="eastAsia"/>
                <w:szCs w:val="18"/>
                <w:lang w:eastAsia="zh-CN"/>
              </w:rPr>
              <w:t xml:space="preserve"> T8 </w:t>
            </w:r>
            <w:r w:rsidRPr="000A0A5F">
              <w:rPr>
                <w:rFonts w:cs="Arial"/>
                <w:szCs w:val="18"/>
                <w:lang w:eastAsia="zh-CN"/>
              </w:rPr>
              <w:t>notifications</w:t>
            </w:r>
            <w:r w:rsidRPr="000A0A5F">
              <w:rPr>
                <w:rFonts w:cs="Arial" w:hint="eastAsia"/>
                <w:szCs w:val="18"/>
                <w:lang w:eastAsia="zh-CN"/>
              </w:rPr>
              <w:t>.</w:t>
            </w:r>
          </w:p>
        </w:tc>
        <w:tc>
          <w:tcPr>
            <w:tcW w:w="1257" w:type="dxa"/>
          </w:tcPr>
          <w:p w:rsidR="00B97EBD" w:rsidRPr="000A0A5F" w:rsidRDefault="00B97EBD" w:rsidP="00B97EBD">
            <w:pPr>
              <w:pStyle w:val="TAL"/>
              <w:rPr>
                <w:rFonts w:cs="Arial"/>
                <w:szCs w:val="18"/>
              </w:rPr>
            </w:pPr>
          </w:p>
        </w:tc>
      </w:tr>
      <w:tr w:rsidR="00B97EBD" w:rsidRPr="000A0A5F" w:rsidTr="00FF0AF8">
        <w:trPr>
          <w:jc w:val="center"/>
        </w:trPr>
        <w:tc>
          <w:tcPr>
            <w:tcW w:w="9602" w:type="dxa"/>
            <w:gridSpan w:val="5"/>
            <w:shd w:val="clear" w:color="auto" w:fill="auto"/>
          </w:tcPr>
          <w:p w:rsidR="00B97EBD" w:rsidRPr="000A0A5F" w:rsidRDefault="00B97EBD" w:rsidP="00B97EBD">
            <w:pPr>
              <w:pStyle w:val="TAN"/>
            </w:pPr>
            <w:r w:rsidRPr="000A0A5F">
              <w:t>NOTE 1:</w:t>
            </w:r>
            <w:r w:rsidRPr="000A0A5F">
              <w:tab/>
              <w:t>Properties marked with a feature as defined in clause 5.7.4 are applicable as described in clause 5.2.7. If no feature are indicated, the related property applies for all the features.</w:t>
            </w:r>
          </w:p>
        </w:tc>
      </w:tr>
    </w:tbl>
    <w:p w:rsidR="00B97EBD" w:rsidRPr="000A0A5F" w:rsidRDefault="00B97EBD" w:rsidP="00B97EBD"/>
    <w:p w:rsidR="00CB0DD7" w:rsidRPr="000A0A5F" w:rsidRDefault="00CB0DD7">
      <w:pPr>
        <w:pStyle w:val="Heading4"/>
      </w:pPr>
      <w:bookmarkStart w:id="4820" w:name="_Toc105674630"/>
      <w:bookmarkStart w:id="4821" w:name="_Toc130502678"/>
      <w:bookmarkStart w:id="4822" w:name="_Toc153625465"/>
      <w:r w:rsidRPr="000A0A5F">
        <w:t>5.7.2.2</w:t>
      </w:r>
      <w:r w:rsidRPr="000A0A5F">
        <w:tab/>
        <w:t>Referenced simple data types and enumerations</w:t>
      </w:r>
      <w:bookmarkEnd w:id="4808"/>
      <w:bookmarkEnd w:id="4809"/>
      <w:bookmarkEnd w:id="4810"/>
      <w:bookmarkEnd w:id="4811"/>
      <w:bookmarkEnd w:id="4812"/>
      <w:bookmarkEnd w:id="4813"/>
      <w:bookmarkEnd w:id="4814"/>
      <w:bookmarkEnd w:id="4815"/>
      <w:bookmarkEnd w:id="4816"/>
      <w:bookmarkEnd w:id="4820"/>
      <w:bookmarkEnd w:id="4821"/>
      <w:bookmarkEnd w:id="4822"/>
    </w:p>
    <w:p w:rsidR="00CB0DD7" w:rsidRPr="000A0A5F" w:rsidRDefault="00CB0DD7">
      <w:pPr>
        <w:pStyle w:val="Heading5"/>
      </w:pPr>
      <w:bookmarkStart w:id="4823" w:name="_Toc11247528"/>
      <w:bookmarkStart w:id="4824" w:name="_Toc27044667"/>
      <w:bookmarkStart w:id="4825" w:name="_Toc36033709"/>
      <w:bookmarkStart w:id="4826" w:name="_Toc45131855"/>
      <w:bookmarkStart w:id="4827" w:name="_Toc49776140"/>
      <w:bookmarkStart w:id="4828" w:name="_Toc51747060"/>
      <w:bookmarkStart w:id="4829" w:name="_Toc66360621"/>
      <w:bookmarkStart w:id="4830" w:name="_Toc68105126"/>
      <w:bookmarkStart w:id="4831" w:name="_Toc74755756"/>
      <w:bookmarkStart w:id="4832" w:name="_Toc105674631"/>
      <w:bookmarkStart w:id="4833" w:name="_Toc130502679"/>
      <w:bookmarkStart w:id="4834" w:name="_Toc153625466"/>
      <w:r w:rsidRPr="000A0A5F">
        <w:t>5.7.2.2.1</w:t>
      </w:r>
      <w:r w:rsidRPr="000A0A5F">
        <w:tab/>
        <w:t>Introduction</w:t>
      </w:r>
      <w:bookmarkEnd w:id="4823"/>
      <w:bookmarkEnd w:id="4824"/>
      <w:bookmarkEnd w:id="4825"/>
      <w:bookmarkEnd w:id="4826"/>
      <w:bookmarkEnd w:id="4827"/>
      <w:bookmarkEnd w:id="4828"/>
      <w:bookmarkEnd w:id="4829"/>
      <w:bookmarkEnd w:id="4830"/>
      <w:bookmarkEnd w:id="4831"/>
      <w:bookmarkEnd w:id="4832"/>
      <w:bookmarkEnd w:id="4833"/>
      <w:bookmarkEnd w:id="4834"/>
    </w:p>
    <w:p w:rsidR="00CB0DD7" w:rsidRPr="000A0A5F" w:rsidRDefault="00CB0DD7">
      <w:r w:rsidRPr="000A0A5F">
        <w:t>This clause defines simple data types and enumerations that can be referenced from data structures defined in the previous clauses. In addition, data types and enumerations defined in clause</w:t>
      </w:r>
      <w:r w:rsidR="000902D9" w:rsidRPr="000A0A5F">
        <w:t> </w:t>
      </w:r>
      <w:r w:rsidRPr="000A0A5F">
        <w:t>5.2.1 can be referenced.</w:t>
      </w:r>
    </w:p>
    <w:p w:rsidR="00CB0DD7" w:rsidRPr="000A0A5F" w:rsidRDefault="00CB0DD7">
      <w:pPr>
        <w:pStyle w:val="Heading5"/>
      </w:pPr>
      <w:bookmarkStart w:id="4835" w:name="_Toc11247529"/>
      <w:bookmarkStart w:id="4836" w:name="_Toc27044668"/>
      <w:bookmarkStart w:id="4837" w:name="_Toc36033710"/>
      <w:bookmarkStart w:id="4838" w:name="_Toc45131856"/>
      <w:bookmarkStart w:id="4839" w:name="_Toc49776141"/>
      <w:bookmarkStart w:id="4840" w:name="_Toc51747061"/>
      <w:bookmarkStart w:id="4841" w:name="_Toc66360622"/>
      <w:bookmarkStart w:id="4842" w:name="_Toc68105127"/>
      <w:bookmarkStart w:id="4843" w:name="_Toc74755757"/>
      <w:bookmarkStart w:id="4844" w:name="_Toc105674632"/>
      <w:bookmarkStart w:id="4845" w:name="_Toc130502680"/>
      <w:bookmarkStart w:id="4846" w:name="_Toc153625467"/>
      <w:r w:rsidRPr="000A0A5F">
        <w:t>5.7.2.2.2</w:t>
      </w:r>
      <w:r w:rsidRPr="000A0A5F">
        <w:tab/>
        <w:t>Simple data types</w:t>
      </w:r>
      <w:bookmarkEnd w:id="4835"/>
      <w:bookmarkEnd w:id="4836"/>
      <w:bookmarkEnd w:id="4837"/>
      <w:bookmarkEnd w:id="4838"/>
      <w:bookmarkEnd w:id="4839"/>
      <w:bookmarkEnd w:id="4840"/>
      <w:bookmarkEnd w:id="4841"/>
      <w:bookmarkEnd w:id="4842"/>
      <w:bookmarkEnd w:id="4843"/>
      <w:bookmarkEnd w:id="4844"/>
      <w:bookmarkEnd w:id="4845"/>
      <w:bookmarkEnd w:id="4846"/>
      <w:r w:rsidRPr="000A0A5F">
        <w:t xml:space="preserve"> </w:t>
      </w:r>
    </w:p>
    <w:p w:rsidR="00CB0DD7" w:rsidRPr="000A0A5F" w:rsidRDefault="00CB0DD7">
      <w:r w:rsidRPr="000A0A5F">
        <w:t>The simple data types defined in table 5.7.2.2.2-1 shall be supported.</w:t>
      </w:r>
    </w:p>
    <w:p w:rsidR="00CB0DD7" w:rsidRPr="000A0A5F" w:rsidRDefault="00CB0DD7">
      <w:pPr>
        <w:pStyle w:val="TH"/>
      </w:pPr>
      <w:r w:rsidRPr="000A0A5F">
        <w:t>Table 5.7.2.2.2-1: Simple data types</w:t>
      </w:r>
    </w:p>
    <w:tbl>
      <w:tblPr>
        <w:tblW w:w="4658"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868"/>
        <w:gridCol w:w="7315"/>
      </w:tblGrid>
      <w:tr w:rsidR="00CB0DD7" w:rsidRPr="000A0A5F" w:rsidTr="00FF0AF8">
        <w:tc>
          <w:tcPr>
            <w:tcW w:w="1017" w:type="pct"/>
            <w:shd w:val="clear" w:color="auto" w:fill="C0C0C0"/>
            <w:tcMar>
              <w:top w:w="0" w:type="dxa"/>
              <w:left w:w="108" w:type="dxa"/>
              <w:bottom w:w="0" w:type="dxa"/>
              <w:right w:w="108" w:type="dxa"/>
            </w:tcMar>
          </w:tcPr>
          <w:p w:rsidR="00CB0DD7" w:rsidRPr="000A0A5F" w:rsidRDefault="00CB0DD7">
            <w:pPr>
              <w:pStyle w:val="TAH"/>
            </w:pPr>
            <w:r w:rsidRPr="000A0A5F">
              <w:t>Type name</w:t>
            </w:r>
          </w:p>
        </w:tc>
        <w:tc>
          <w:tcPr>
            <w:tcW w:w="3983" w:type="pct"/>
            <w:shd w:val="clear" w:color="auto" w:fill="C0C0C0"/>
            <w:tcMar>
              <w:top w:w="0" w:type="dxa"/>
              <w:left w:w="108" w:type="dxa"/>
              <w:bottom w:w="0" w:type="dxa"/>
              <w:right w:w="108" w:type="dxa"/>
            </w:tcMar>
          </w:tcPr>
          <w:p w:rsidR="00CB0DD7" w:rsidRPr="000A0A5F" w:rsidRDefault="00CB0DD7">
            <w:pPr>
              <w:pStyle w:val="TAH"/>
            </w:pPr>
            <w:r w:rsidRPr="000A0A5F">
              <w:t>Description</w:t>
            </w:r>
          </w:p>
        </w:tc>
      </w:tr>
      <w:tr w:rsidR="00CB0DD7" w:rsidRPr="000A0A5F" w:rsidTr="00FF0AF8">
        <w:tc>
          <w:tcPr>
            <w:tcW w:w="1017" w:type="pct"/>
            <w:tcMar>
              <w:top w:w="0" w:type="dxa"/>
              <w:left w:w="108" w:type="dxa"/>
              <w:bottom w:w="0" w:type="dxa"/>
              <w:right w:w="108" w:type="dxa"/>
            </w:tcMar>
          </w:tcPr>
          <w:p w:rsidR="00CB0DD7" w:rsidRPr="000A0A5F" w:rsidRDefault="00CB0DD7">
            <w:pPr>
              <w:pStyle w:val="TAL"/>
            </w:pPr>
          </w:p>
        </w:tc>
        <w:tc>
          <w:tcPr>
            <w:tcW w:w="3983" w:type="pct"/>
            <w:tcMar>
              <w:top w:w="0" w:type="dxa"/>
              <w:left w:w="108" w:type="dxa"/>
              <w:bottom w:w="0" w:type="dxa"/>
              <w:right w:w="108" w:type="dxa"/>
            </w:tcMar>
          </w:tcPr>
          <w:p w:rsidR="00CB0DD7" w:rsidRPr="000A0A5F" w:rsidRDefault="00CB0DD7">
            <w:pPr>
              <w:pStyle w:val="TAL"/>
            </w:pPr>
          </w:p>
        </w:tc>
      </w:tr>
      <w:tr w:rsidR="00CB0DD7" w:rsidRPr="000A0A5F" w:rsidTr="00FF0AF8">
        <w:tc>
          <w:tcPr>
            <w:tcW w:w="1017" w:type="pct"/>
            <w:tcMar>
              <w:top w:w="0" w:type="dxa"/>
              <w:left w:w="108" w:type="dxa"/>
              <w:bottom w:w="0" w:type="dxa"/>
              <w:right w:w="108" w:type="dxa"/>
            </w:tcMar>
          </w:tcPr>
          <w:p w:rsidR="00CB0DD7" w:rsidRPr="000A0A5F" w:rsidRDefault="00CB0DD7">
            <w:pPr>
              <w:pStyle w:val="TAL"/>
            </w:pPr>
          </w:p>
        </w:tc>
        <w:tc>
          <w:tcPr>
            <w:tcW w:w="3983" w:type="pct"/>
            <w:tcMar>
              <w:top w:w="0" w:type="dxa"/>
              <w:left w:w="108" w:type="dxa"/>
              <w:bottom w:w="0" w:type="dxa"/>
              <w:right w:w="108" w:type="dxa"/>
            </w:tcMar>
          </w:tcPr>
          <w:p w:rsidR="00CB0DD7" w:rsidRPr="000A0A5F" w:rsidRDefault="00CB0DD7">
            <w:pPr>
              <w:pStyle w:val="TAL"/>
            </w:pPr>
          </w:p>
        </w:tc>
      </w:tr>
    </w:tbl>
    <w:p w:rsidR="00CB0DD7" w:rsidRPr="000A0A5F" w:rsidRDefault="00CB0DD7"/>
    <w:p w:rsidR="00CB0DD7" w:rsidRPr="000A0A5F" w:rsidRDefault="00CB0DD7">
      <w:pPr>
        <w:pStyle w:val="Heading5"/>
      </w:pPr>
      <w:bookmarkStart w:id="4847" w:name="_Toc11247530"/>
      <w:bookmarkStart w:id="4848" w:name="_Toc27044669"/>
      <w:bookmarkStart w:id="4849" w:name="_Toc36033711"/>
      <w:bookmarkStart w:id="4850" w:name="_Toc45131857"/>
      <w:bookmarkStart w:id="4851" w:name="_Toc49776142"/>
      <w:bookmarkStart w:id="4852" w:name="_Toc51747062"/>
      <w:bookmarkStart w:id="4853" w:name="_Toc66360623"/>
      <w:bookmarkStart w:id="4854" w:name="_Toc68105128"/>
      <w:bookmarkStart w:id="4855" w:name="_Toc74755758"/>
      <w:bookmarkStart w:id="4856" w:name="_Toc105674633"/>
      <w:bookmarkStart w:id="4857" w:name="_Toc130502681"/>
      <w:bookmarkStart w:id="4858" w:name="_Toc153625468"/>
      <w:r w:rsidRPr="000A0A5F">
        <w:t>5.7.2.2.3</w:t>
      </w:r>
      <w:r w:rsidRPr="000A0A5F">
        <w:tab/>
        <w:t xml:space="preserve">Enumeration: </w:t>
      </w:r>
      <w:r w:rsidRPr="000A0A5F">
        <w:rPr>
          <w:rFonts w:eastAsia="Times New Roman"/>
        </w:rPr>
        <w:t>DeliveryResult</w:t>
      </w:r>
      <w:bookmarkEnd w:id="4847"/>
      <w:bookmarkEnd w:id="4848"/>
      <w:bookmarkEnd w:id="4849"/>
      <w:bookmarkEnd w:id="4850"/>
      <w:bookmarkEnd w:id="4851"/>
      <w:bookmarkEnd w:id="4852"/>
      <w:bookmarkEnd w:id="4853"/>
      <w:bookmarkEnd w:id="4854"/>
      <w:bookmarkEnd w:id="4855"/>
      <w:bookmarkEnd w:id="4856"/>
      <w:bookmarkEnd w:id="4857"/>
      <w:bookmarkEnd w:id="4858"/>
    </w:p>
    <w:p w:rsidR="00CB0DD7" w:rsidRPr="000A0A5F" w:rsidRDefault="00CB0DD7">
      <w:r w:rsidRPr="000A0A5F">
        <w:t xml:space="preserve">The enumeration </w:t>
      </w:r>
      <w:r w:rsidRPr="000A0A5F">
        <w:rPr>
          <w:rFonts w:eastAsia="Times New Roman"/>
        </w:rPr>
        <w:t>DeliveryResult</w:t>
      </w:r>
      <w:r w:rsidRPr="000A0A5F">
        <w:t xml:space="preserve"> represents the result of the delivery of a device triggering request</w:t>
      </w:r>
    </w:p>
    <w:p w:rsidR="00CB0DD7" w:rsidRPr="000A0A5F" w:rsidRDefault="00CB0DD7">
      <w:pPr>
        <w:pStyle w:val="TH"/>
      </w:pPr>
      <w:r w:rsidRPr="000A0A5F">
        <w:t xml:space="preserve">Table 5.7.2.2.3-1: Enumeration </w:t>
      </w:r>
      <w:r w:rsidRPr="000A0A5F">
        <w:rPr>
          <w:rFonts w:eastAsia="Times New Roman"/>
        </w:rPr>
        <w:t>DeliveryResult</w:t>
      </w:r>
    </w:p>
    <w:tbl>
      <w:tblPr>
        <w:tblW w:w="4648"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419"/>
        <w:gridCol w:w="6376"/>
        <w:gridCol w:w="1275"/>
      </w:tblGrid>
      <w:tr w:rsidR="00CB0DD7" w:rsidRPr="000A0A5F" w:rsidTr="00FF0AF8">
        <w:tc>
          <w:tcPr>
            <w:tcW w:w="782" w:type="pct"/>
            <w:shd w:val="clear" w:color="auto" w:fill="C0C0C0"/>
            <w:tcMar>
              <w:top w:w="0" w:type="dxa"/>
              <w:left w:w="108" w:type="dxa"/>
              <w:bottom w:w="0" w:type="dxa"/>
              <w:right w:w="108" w:type="dxa"/>
            </w:tcMar>
          </w:tcPr>
          <w:p w:rsidR="00CB0DD7" w:rsidRPr="000A0A5F" w:rsidRDefault="00CB0DD7">
            <w:pPr>
              <w:pStyle w:val="TAH"/>
            </w:pPr>
            <w:r w:rsidRPr="000A0A5F">
              <w:t>Enumeration value</w:t>
            </w:r>
          </w:p>
        </w:tc>
        <w:tc>
          <w:tcPr>
            <w:tcW w:w="3515" w:type="pct"/>
            <w:shd w:val="clear" w:color="auto" w:fill="C0C0C0"/>
            <w:tcMar>
              <w:top w:w="0" w:type="dxa"/>
              <w:left w:w="108" w:type="dxa"/>
              <w:bottom w:w="0" w:type="dxa"/>
              <w:right w:w="108" w:type="dxa"/>
            </w:tcMar>
          </w:tcPr>
          <w:p w:rsidR="00CB0DD7" w:rsidRPr="000A0A5F" w:rsidRDefault="00CB0DD7">
            <w:pPr>
              <w:pStyle w:val="TAH"/>
            </w:pPr>
            <w:r w:rsidRPr="000A0A5F">
              <w:t>Description</w:t>
            </w:r>
          </w:p>
        </w:tc>
        <w:tc>
          <w:tcPr>
            <w:tcW w:w="703" w:type="pct"/>
            <w:shd w:val="clear" w:color="auto" w:fill="C0C0C0"/>
          </w:tcPr>
          <w:p w:rsidR="00CB0DD7" w:rsidRPr="000A0A5F" w:rsidRDefault="00CB0DD7">
            <w:pPr>
              <w:pStyle w:val="TAH"/>
            </w:pPr>
            <w:r w:rsidRPr="000A0A5F">
              <w:rPr>
                <w:rFonts w:eastAsia="Times New Roman" w:cs="Arial"/>
                <w:szCs w:val="18"/>
              </w:rPr>
              <w:t>Applicability (NOTE)</w:t>
            </w:r>
          </w:p>
        </w:tc>
      </w:tr>
      <w:tr w:rsidR="00CB0DD7" w:rsidRPr="000A0A5F" w:rsidTr="00FF0AF8">
        <w:tc>
          <w:tcPr>
            <w:tcW w:w="782" w:type="pct"/>
            <w:tcMar>
              <w:top w:w="0" w:type="dxa"/>
              <w:left w:w="108" w:type="dxa"/>
              <w:bottom w:w="0" w:type="dxa"/>
              <w:right w:w="108" w:type="dxa"/>
            </w:tcMar>
          </w:tcPr>
          <w:p w:rsidR="00CB0DD7" w:rsidRPr="000A0A5F" w:rsidRDefault="00CB0DD7">
            <w:pPr>
              <w:pStyle w:val="TAL"/>
            </w:pPr>
            <w:r w:rsidRPr="000A0A5F">
              <w:rPr>
                <w:rFonts w:eastAsia="Times New Roman" w:cs="Arial"/>
                <w:szCs w:val="18"/>
              </w:rPr>
              <w:t>SUCCESS</w:t>
            </w:r>
          </w:p>
        </w:tc>
        <w:tc>
          <w:tcPr>
            <w:tcW w:w="3515" w:type="pct"/>
            <w:tcMar>
              <w:top w:w="0" w:type="dxa"/>
              <w:left w:w="108" w:type="dxa"/>
              <w:bottom w:w="0" w:type="dxa"/>
              <w:right w:w="108" w:type="dxa"/>
            </w:tcMar>
          </w:tcPr>
          <w:p w:rsidR="00CB0DD7" w:rsidRPr="000A0A5F" w:rsidRDefault="00CB0DD7">
            <w:pPr>
              <w:pStyle w:val="TAL"/>
              <w:rPr>
                <w:rFonts w:cs="Arial"/>
                <w:color w:val="333333"/>
                <w:szCs w:val="18"/>
                <w:shd w:val="clear" w:color="auto" w:fill="FFFFFF"/>
              </w:rPr>
            </w:pPr>
            <w:r w:rsidRPr="000A0A5F">
              <w:rPr>
                <w:rFonts w:cs="Arial"/>
                <w:color w:val="333333"/>
                <w:szCs w:val="18"/>
                <w:shd w:val="clear" w:color="auto" w:fill="FFFFFF"/>
              </w:rPr>
              <w:t xml:space="preserve">The SCEF includes this value in a device triggering notification. </w:t>
            </w:r>
          </w:p>
          <w:p w:rsidR="00CB0DD7" w:rsidRPr="000A0A5F" w:rsidRDefault="00CB0DD7">
            <w:pPr>
              <w:pStyle w:val="TAL"/>
            </w:pPr>
            <w:r w:rsidRPr="000A0A5F">
              <w:rPr>
                <w:rFonts w:cs="Arial"/>
                <w:color w:val="333333"/>
                <w:szCs w:val="18"/>
                <w:shd w:val="clear" w:color="auto" w:fill="FFFFFF"/>
              </w:rPr>
              <w:t>The value indicates that the device action request was successfully completed.</w:t>
            </w:r>
          </w:p>
        </w:tc>
        <w:tc>
          <w:tcPr>
            <w:tcW w:w="703" w:type="pct"/>
          </w:tcPr>
          <w:p w:rsidR="00CB0DD7" w:rsidRPr="000A0A5F" w:rsidRDefault="00CB0DD7">
            <w:pPr>
              <w:pStyle w:val="TAL"/>
              <w:rPr>
                <w:rFonts w:cs="Arial"/>
                <w:szCs w:val="18"/>
                <w:lang w:eastAsia="zh-CN"/>
              </w:rPr>
            </w:pPr>
          </w:p>
        </w:tc>
      </w:tr>
      <w:tr w:rsidR="00CB0DD7" w:rsidRPr="000A0A5F" w:rsidTr="00FF0AF8">
        <w:tc>
          <w:tcPr>
            <w:tcW w:w="782" w:type="pct"/>
            <w:tcMar>
              <w:top w:w="0" w:type="dxa"/>
              <w:left w:w="108" w:type="dxa"/>
              <w:bottom w:w="0" w:type="dxa"/>
              <w:right w:w="108" w:type="dxa"/>
            </w:tcMar>
          </w:tcPr>
          <w:p w:rsidR="00CB0DD7" w:rsidRPr="000A0A5F" w:rsidRDefault="00CB0DD7">
            <w:pPr>
              <w:pStyle w:val="TAL"/>
            </w:pPr>
            <w:r w:rsidRPr="000A0A5F">
              <w:t>UNKNOWN</w:t>
            </w:r>
          </w:p>
        </w:tc>
        <w:tc>
          <w:tcPr>
            <w:tcW w:w="3515" w:type="pct"/>
            <w:tcMar>
              <w:top w:w="0" w:type="dxa"/>
              <w:left w:w="108" w:type="dxa"/>
              <w:bottom w:w="0" w:type="dxa"/>
              <w:right w:w="108" w:type="dxa"/>
            </w:tcMar>
          </w:tcPr>
          <w:p w:rsidR="00CB0DD7" w:rsidRPr="000A0A5F" w:rsidRDefault="00CB0DD7">
            <w:pPr>
              <w:pStyle w:val="TAL"/>
              <w:rPr>
                <w:rFonts w:cs="Arial"/>
                <w:color w:val="333333"/>
                <w:szCs w:val="18"/>
                <w:shd w:val="clear" w:color="auto" w:fill="FFFFFF"/>
              </w:rPr>
            </w:pPr>
            <w:r w:rsidRPr="000A0A5F">
              <w:rPr>
                <w:rFonts w:cs="Arial"/>
                <w:color w:val="333333"/>
                <w:szCs w:val="18"/>
                <w:shd w:val="clear" w:color="auto" w:fill="FFFFFF"/>
              </w:rPr>
              <w:t xml:space="preserve">The SCEF includes this value in a device triggering notification. </w:t>
            </w:r>
          </w:p>
          <w:p w:rsidR="00CB0DD7" w:rsidRPr="000A0A5F" w:rsidRDefault="00CB0DD7">
            <w:pPr>
              <w:pStyle w:val="TAL"/>
            </w:pPr>
            <w:r w:rsidRPr="000A0A5F">
              <w:rPr>
                <w:rFonts w:cs="Arial"/>
                <w:color w:val="333333"/>
                <w:szCs w:val="18"/>
                <w:shd w:val="clear" w:color="auto" w:fill="FFFFFF"/>
              </w:rPr>
              <w:t>The value indicates any unspecified errors.</w:t>
            </w:r>
          </w:p>
        </w:tc>
        <w:tc>
          <w:tcPr>
            <w:tcW w:w="703" w:type="pct"/>
          </w:tcPr>
          <w:p w:rsidR="00CB0DD7" w:rsidRPr="000A0A5F" w:rsidRDefault="00CB0DD7">
            <w:pPr>
              <w:pStyle w:val="TAL"/>
              <w:rPr>
                <w:rFonts w:cs="Arial"/>
                <w:szCs w:val="18"/>
                <w:lang w:eastAsia="zh-CN"/>
              </w:rPr>
            </w:pPr>
          </w:p>
        </w:tc>
      </w:tr>
      <w:tr w:rsidR="00CB0DD7" w:rsidRPr="000A0A5F" w:rsidTr="00FF0AF8">
        <w:tc>
          <w:tcPr>
            <w:tcW w:w="782" w:type="pct"/>
            <w:tcMar>
              <w:top w:w="0" w:type="dxa"/>
              <w:left w:w="108" w:type="dxa"/>
              <w:bottom w:w="0" w:type="dxa"/>
              <w:right w:w="108" w:type="dxa"/>
            </w:tcMar>
          </w:tcPr>
          <w:p w:rsidR="00CB0DD7" w:rsidRPr="000A0A5F" w:rsidRDefault="00CB0DD7">
            <w:pPr>
              <w:pStyle w:val="TAL"/>
            </w:pPr>
            <w:r w:rsidRPr="000A0A5F">
              <w:t>FAILURE</w:t>
            </w:r>
          </w:p>
        </w:tc>
        <w:tc>
          <w:tcPr>
            <w:tcW w:w="3515" w:type="pct"/>
            <w:tcMar>
              <w:top w:w="0" w:type="dxa"/>
              <w:left w:w="108" w:type="dxa"/>
              <w:bottom w:w="0" w:type="dxa"/>
              <w:right w:w="108" w:type="dxa"/>
            </w:tcMar>
          </w:tcPr>
          <w:p w:rsidR="00CB0DD7" w:rsidRPr="000A0A5F" w:rsidRDefault="00CB0DD7">
            <w:pPr>
              <w:pStyle w:val="TAL"/>
              <w:rPr>
                <w:rFonts w:cs="Arial"/>
                <w:color w:val="333333"/>
                <w:szCs w:val="18"/>
                <w:shd w:val="clear" w:color="auto" w:fill="FFFFFF"/>
              </w:rPr>
            </w:pPr>
            <w:r w:rsidRPr="000A0A5F">
              <w:rPr>
                <w:rFonts w:cs="Arial"/>
                <w:color w:val="333333"/>
                <w:szCs w:val="18"/>
                <w:shd w:val="clear" w:color="auto" w:fill="FFFFFF"/>
              </w:rPr>
              <w:t xml:space="preserve">The SCEF includes this value in a device triggering notification. </w:t>
            </w:r>
          </w:p>
          <w:p w:rsidR="00CB0DD7" w:rsidRPr="000A0A5F" w:rsidRDefault="00CB0DD7">
            <w:pPr>
              <w:pStyle w:val="TAL"/>
            </w:pPr>
            <w:r w:rsidRPr="000A0A5F">
              <w:rPr>
                <w:rFonts w:cs="Arial"/>
                <w:color w:val="333333"/>
                <w:szCs w:val="18"/>
                <w:shd w:val="clear" w:color="auto" w:fill="FFFFFF"/>
              </w:rPr>
              <w:t>The value indicates that this trigger encountered a delivery error and is deemed permanently undeliverable.</w:t>
            </w:r>
          </w:p>
        </w:tc>
        <w:tc>
          <w:tcPr>
            <w:tcW w:w="703" w:type="pct"/>
          </w:tcPr>
          <w:p w:rsidR="00CB0DD7" w:rsidRPr="000A0A5F" w:rsidRDefault="00CB0DD7">
            <w:pPr>
              <w:pStyle w:val="TAL"/>
              <w:rPr>
                <w:rFonts w:cs="Arial"/>
                <w:szCs w:val="18"/>
                <w:lang w:eastAsia="zh-CN"/>
              </w:rPr>
            </w:pPr>
          </w:p>
        </w:tc>
      </w:tr>
      <w:tr w:rsidR="00CB0DD7" w:rsidRPr="000A0A5F" w:rsidTr="00FF0AF8">
        <w:tc>
          <w:tcPr>
            <w:tcW w:w="782" w:type="pct"/>
            <w:tcMar>
              <w:top w:w="0" w:type="dxa"/>
              <w:left w:w="108" w:type="dxa"/>
              <w:bottom w:w="0" w:type="dxa"/>
              <w:right w:w="108" w:type="dxa"/>
            </w:tcMar>
          </w:tcPr>
          <w:p w:rsidR="00CB0DD7" w:rsidRPr="000A0A5F" w:rsidRDefault="00CB0DD7">
            <w:pPr>
              <w:pStyle w:val="TAL"/>
            </w:pPr>
            <w:r w:rsidRPr="000A0A5F">
              <w:rPr>
                <w:rFonts w:cs="Arial"/>
                <w:bCs/>
                <w:color w:val="333333"/>
                <w:szCs w:val="18"/>
              </w:rPr>
              <w:t>TRIGGERED</w:t>
            </w:r>
          </w:p>
        </w:tc>
        <w:tc>
          <w:tcPr>
            <w:tcW w:w="3515" w:type="pct"/>
            <w:tcMar>
              <w:top w:w="0" w:type="dxa"/>
              <w:left w:w="108" w:type="dxa"/>
              <w:bottom w:w="0" w:type="dxa"/>
              <w:right w:w="108" w:type="dxa"/>
            </w:tcMar>
          </w:tcPr>
          <w:p w:rsidR="00CB0DD7" w:rsidRPr="000A0A5F" w:rsidRDefault="00CB0DD7">
            <w:pPr>
              <w:pStyle w:val="TAL"/>
              <w:rPr>
                <w:rFonts w:cs="Arial"/>
                <w:color w:val="333333"/>
                <w:szCs w:val="18"/>
                <w:shd w:val="clear" w:color="auto" w:fill="FFFFFF"/>
              </w:rPr>
            </w:pPr>
            <w:r w:rsidRPr="000A0A5F">
              <w:rPr>
                <w:rFonts w:cs="Arial"/>
                <w:color w:val="333333"/>
                <w:szCs w:val="18"/>
                <w:shd w:val="clear" w:color="auto" w:fill="FFFFFF"/>
              </w:rPr>
              <w:t xml:space="preserve">The SCEF includes this value in the response for a successful device triggering request. </w:t>
            </w:r>
          </w:p>
          <w:p w:rsidR="00CB0DD7" w:rsidRPr="000A0A5F" w:rsidRDefault="00CB0DD7">
            <w:pPr>
              <w:pStyle w:val="TAL"/>
            </w:pPr>
            <w:r w:rsidRPr="000A0A5F">
              <w:rPr>
                <w:rFonts w:cs="Arial"/>
                <w:color w:val="333333"/>
                <w:szCs w:val="18"/>
                <w:shd w:val="clear" w:color="auto" w:fill="FFFFFF"/>
              </w:rPr>
              <w:t>The value indicates that device triggering request is accepted by the SCEF.</w:t>
            </w:r>
          </w:p>
        </w:tc>
        <w:tc>
          <w:tcPr>
            <w:tcW w:w="703" w:type="pct"/>
          </w:tcPr>
          <w:p w:rsidR="00CB0DD7" w:rsidRPr="000A0A5F" w:rsidRDefault="00CB0DD7">
            <w:pPr>
              <w:pStyle w:val="TAL"/>
              <w:rPr>
                <w:rFonts w:cs="Arial"/>
                <w:szCs w:val="18"/>
                <w:lang w:eastAsia="zh-CN"/>
              </w:rPr>
            </w:pPr>
          </w:p>
        </w:tc>
      </w:tr>
      <w:tr w:rsidR="00CB0DD7" w:rsidRPr="000A0A5F" w:rsidTr="00FF0AF8">
        <w:tc>
          <w:tcPr>
            <w:tcW w:w="782" w:type="pct"/>
            <w:tcMar>
              <w:top w:w="0" w:type="dxa"/>
              <w:left w:w="108" w:type="dxa"/>
              <w:bottom w:w="0" w:type="dxa"/>
              <w:right w:w="108" w:type="dxa"/>
            </w:tcMar>
          </w:tcPr>
          <w:p w:rsidR="00CB0DD7" w:rsidRPr="000A0A5F" w:rsidRDefault="00CB0DD7">
            <w:pPr>
              <w:pStyle w:val="TAL"/>
            </w:pPr>
            <w:r w:rsidRPr="000A0A5F">
              <w:rPr>
                <w:rFonts w:cs="Arial"/>
                <w:bCs/>
                <w:color w:val="333333"/>
                <w:szCs w:val="18"/>
              </w:rPr>
              <w:t>EXPIRED</w:t>
            </w:r>
          </w:p>
        </w:tc>
        <w:tc>
          <w:tcPr>
            <w:tcW w:w="3515" w:type="pct"/>
            <w:tcMar>
              <w:top w:w="0" w:type="dxa"/>
              <w:left w:w="108" w:type="dxa"/>
              <w:bottom w:w="0" w:type="dxa"/>
              <w:right w:w="108" w:type="dxa"/>
            </w:tcMar>
          </w:tcPr>
          <w:p w:rsidR="00CB0DD7" w:rsidRPr="000A0A5F" w:rsidRDefault="00CB0DD7">
            <w:pPr>
              <w:pStyle w:val="TAL"/>
              <w:rPr>
                <w:rFonts w:cs="Arial"/>
                <w:color w:val="333333"/>
                <w:szCs w:val="18"/>
                <w:shd w:val="clear" w:color="auto" w:fill="FFFFFF"/>
              </w:rPr>
            </w:pPr>
            <w:r w:rsidRPr="000A0A5F">
              <w:rPr>
                <w:rFonts w:cs="Arial"/>
                <w:color w:val="333333"/>
                <w:szCs w:val="18"/>
                <w:shd w:val="clear" w:color="auto" w:fill="FFFFFF"/>
              </w:rPr>
              <w:t xml:space="preserve">The SCEF includes this value in a device triggering notification. </w:t>
            </w:r>
          </w:p>
          <w:p w:rsidR="00CB0DD7" w:rsidRPr="000A0A5F" w:rsidRDefault="00CB0DD7">
            <w:pPr>
              <w:pStyle w:val="TAL"/>
            </w:pPr>
            <w:r w:rsidRPr="000A0A5F">
              <w:rPr>
                <w:rFonts w:cs="Arial"/>
                <w:color w:val="333333"/>
                <w:szCs w:val="18"/>
                <w:shd w:val="clear" w:color="auto" w:fill="FFFFFF"/>
              </w:rPr>
              <w:t>The value indicates that the validity period expired before the trigger could be delivered.</w:t>
            </w:r>
          </w:p>
        </w:tc>
        <w:tc>
          <w:tcPr>
            <w:tcW w:w="703" w:type="pct"/>
          </w:tcPr>
          <w:p w:rsidR="00CB0DD7" w:rsidRPr="000A0A5F" w:rsidRDefault="00CB0DD7">
            <w:pPr>
              <w:pStyle w:val="TAL"/>
              <w:rPr>
                <w:rFonts w:cs="Arial"/>
                <w:szCs w:val="18"/>
                <w:lang w:eastAsia="zh-CN"/>
              </w:rPr>
            </w:pPr>
          </w:p>
        </w:tc>
      </w:tr>
      <w:tr w:rsidR="00CB0DD7" w:rsidRPr="000A0A5F" w:rsidTr="00FF0AF8">
        <w:tc>
          <w:tcPr>
            <w:tcW w:w="782" w:type="pct"/>
            <w:tcMar>
              <w:top w:w="0" w:type="dxa"/>
              <w:left w:w="108" w:type="dxa"/>
              <w:bottom w:w="0" w:type="dxa"/>
              <w:right w:w="108" w:type="dxa"/>
            </w:tcMar>
          </w:tcPr>
          <w:p w:rsidR="00CB0DD7" w:rsidRPr="000A0A5F" w:rsidRDefault="00CB0DD7">
            <w:pPr>
              <w:pStyle w:val="TAL"/>
            </w:pPr>
            <w:r w:rsidRPr="000A0A5F">
              <w:rPr>
                <w:rFonts w:cs="Arial"/>
                <w:bCs/>
                <w:color w:val="333333"/>
                <w:szCs w:val="18"/>
              </w:rPr>
              <w:t>UNCONFIRMED</w:t>
            </w:r>
          </w:p>
        </w:tc>
        <w:tc>
          <w:tcPr>
            <w:tcW w:w="3515" w:type="pct"/>
            <w:tcMar>
              <w:top w:w="0" w:type="dxa"/>
              <w:left w:w="108" w:type="dxa"/>
              <w:bottom w:w="0" w:type="dxa"/>
              <w:right w:w="108" w:type="dxa"/>
            </w:tcMar>
          </w:tcPr>
          <w:p w:rsidR="00CB0DD7" w:rsidRPr="000A0A5F" w:rsidRDefault="00CB0DD7">
            <w:pPr>
              <w:pStyle w:val="TAL"/>
              <w:rPr>
                <w:rFonts w:cs="Arial"/>
                <w:color w:val="333333"/>
                <w:szCs w:val="18"/>
                <w:shd w:val="clear" w:color="auto" w:fill="FFFFFF"/>
              </w:rPr>
            </w:pPr>
            <w:r w:rsidRPr="000A0A5F">
              <w:rPr>
                <w:rFonts w:cs="Arial"/>
                <w:color w:val="333333"/>
                <w:szCs w:val="18"/>
                <w:shd w:val="clear" w:color="auto" w:fill="FFFFFF"/>
              </w:rPr>
              <w:t xml:space="preserve">The SCEF includes this value in a device triggering notification. </w:t>
            </w:r>
          </w:p>
          <w:p w:rsidR="00CB0DD7" w:rsidRPr="000A0A5F" w:rsidRDefault="00CB0DD7">
            <w:pPr>
              <w:pStyle w:val="TAL"/>
            </w:pPr>
            <w:r w:rsidRPr="000A0A5F">
              <w:rPr>
                <w:rFonts w:cs="Arial"/>
                <w:color w:val="333333"/>
                <w:szCs w:val="18"/>
                <w:shd w:val="clear" w:color="auto" w:fill="FFFFFF"/>
              </w:rPr>
              <w:t>The value indicates that the delivery of the device action request is not confirmed.</w:t>
            </w:r>
          </w:p>
        </w:tc>
        <w:tc>
          <w:tcPr>
            <w:tcW w:w="703" w:type="pct"/>
          </w:tcPr>
          <w:p w:rsidR="00CB0DD7" w:rsidRPr="000A0A5F" w:rsidRDefault="00CB0DD7">
            <w:pPr>
              <w:pStyle w:val="TAL"/>
              <w:rPr>
                <w:rFonts w:cs="Arial"/>
                <w:szCs w:val="18"/>
                <w:lang w:eastAsia="zh-CN"/>
              </w:rPr>
            </w:pPr>
          </w:p>
        </w:tc>
      </w:tr>
      <w:tr w:rsidR="00CB0DD7" w:rsidRPr="000A0A5F" w:rsidTr="00FF0AF8">
        <w:tc>
          <w:tcPr>
            <w:tcW w:w="782" w:type="pct"/>
            <w:tcMar>
              <w:top w:w="0" w:type="dxa"/>
              <w:left w:w="108" w:type="dxa"/>
              <w:bottom w:w="0" w:type="dxa"/>
              <w:right w:w="108" w:type="dxa"/>
            </w:tcMar>
          </w:tcPr>
          <w:p w:rsidR="00CB0DD7" w:rsidRPr="000A0A5F" w:rsidRDefault="00CB0DD7">
            <w:pPr>
              <w:pStyle w:val="TAL"/>
              <w:rPr>
                <w:rFonts w:cs="Arial"/>
                <w:bCs/>
                <w:color w:val="333333"/>
                <w:szCs w:val="18"/>
              </w:rPr>
            </w:pPr>
            <w:r w:rsidRPr="000A0A5F">
              <w:rPr>
                <w:rFonts w:cs="Arial"/>
                <w:bCs/>
                <w:color w:val="333333"/>
                <w:szCs w:val="18"/>
                <w:lang w:eastAsia="zh-CN"/>
              </w:rPr>
              <w:t>REPLACED</w:t>
            </w:r>
          </w:p>
        </w:tc>
        <w:tc>
          <w:tcPr>
            <w:tcW w:w="3515" w:type="pct"/>
            <w:tcMar>
              <w:top w:w="0" w:type="dxa"/>
              <w:left w:w="108" w:type="dxa"/>
              <w:bottom w:w="0" w:type="dxa"/>
              <w:right w:w="108" w:type="dxa"/>
            </w:tcMar>
          </w:tcPr>
          <w:p w:rsidR="00CB0DD7" w:rsidRPr="000A0A5F" w:rsidRDefault="00CB0DD7">
            <w:pPr>
              <w:pStyle w:val="TAL"/>
              <w:rPr>
                <w:rFonts w:eastAsia="DengXian" w:cs="Arial"/>
                <w:color w:val="333333"/>
                <w:szCs w:val="18"/>
                <w:shd w:val="clear" w:color="auto" w:fill="FFFFFF"/>
                <w:lang w:eastAsia="zh-CN"/>
              </w:rPr>
            </w:pPr>
            <w:r w:rsidRPr="000A0A5F">
              <w:rPr>
                <w:rFonts w:eastAsia="DengXian" w:cs="Arial" w:hint="eastAsia"/>
                <w:color w:val="333333"/>
                <w:szCs w:val="18"/>
                <w:shd w:val="clear" w:color="auto" w:fill="FFFFFF"/>
                <w:lang w:eastAsia="zh-CN"/>
              </w:rPr>
              <w:t>The SCEF include</w:t>
            </w:r>
            <w:r w:rsidRPr="000A0A5F">
              <w:rPr>
                <w:rFonts w:eastAsia="DengXian" w:cs="Arial"/>
                <w:color w:val="333333"/>
                <w:szCs w:val="18"/>
                <w:shd w:val="clear" w:color="auto" w:fill="FFFFFF"/>
                <w:lang w:eastAsia="zh-CN"/>
              </w:rPr>
              <w:t>s</w:t>
            </w:r>
            <w:r w:rsidRPr="000A0A5F">
              <w:rPr>
                <w:rFonts w:eastAsia="DengXian" w:cs="Arial" w:hint="eastAsia"/>
                <w:color w:val="333333"/>
                <w:szCs w:val="18"/>
                <w:shd w:val="clear" w:color="auto" w:fill="FFFFFF"/>
                <w:lang w:eastAsia="zh-CN"/>
              </w:rPr>
              <w:t xml:space="preserve"> </w:t>
            </w:r>
            <w:r w:rsidRPr="000A0A5F">
              <w:rPr>
                <w:rFonts w:eastAsia="DengXian" w:cs="Arial"/>
                <w:color w:val="333333"/>
                <w:szCs w:val="18"/>
                <w:shd w:val="clear" w:color="auto" w:fill="FFFFFF"/>
                <w:lang w:eastAsia="zh-CN"/>
              </w:rPr>
              <w:t xml:space="preserve">this value in the response for a </w:t>
            </w:r>
            <w:r w:rsidRPr="000A0A5F">
              <w:rPr>
                <w:rFonts w:cs="Arial"/>
                <w:color w:val="333333"/>
                <w:szCs w:val="18"/>
                <w:shd w:val="clear" w:color="auto" w:fill="FFFFFF"/>
              </w:rPr>
              <w:t xml:space="preserve">successful </w:t>
            </w:r>
            <w:r w:rsidRPr="000A0A5F">
              <w:rPr>
                <w:rFonts w:eastAsia="DengXian" w:cs="Arial"/>
                <w:color w:val="333333"/>
                <w:szCs w:val="18"/>
                <w:shd w:val="clear" w:color="auto" w:fill="FFFFFF"/>
                <w:lang w:eastAsia="zh-CN"/>
              </w:rPr>
              <w:t>device triggering replace</w:t>
            </w:r>
            <w:r w:rsidRPr="000A0A5F">
              <w:rPr>
                <w:rFonts w:cs="Arial"/>
                <w:color w:val="333333"/>
                <w:szCs w:val="18"/>
                <w:shd w:val="clear" w:color="auto" w:fill="FFFFFF"/>
                <w:lang w:eastAsia="zh-CN"/>
              </w:rPr>
              <w:t>ment</w:t>
            </w:r>
            <w:r w:rsidRPr="000A0A5F">
              <w:rPr>
                <w:rFonts w:eastAsia="DengXian" w:cs="Arial"/>
                <w:color w:val="333333"/>
                <w:szCs w:val="18"/>
                <w:shd w:val="clear" w:color="auto" w:fill="FFFFFF"/>
                <w:lang w:eastAsia="zh-CN"/>
              </w:rPr>
              <w:t xml:space="preserve"> request. </w:t>
            </w:r>
          </w:p>
          <w:p w:rsidR="00CB0DD7" w:rsidRPr="000A0A5F" w:rsidRDefault="00CB0DD7">
            <w:pPr>
              <w:pStyle w:val="TAL"/>
              <w:rPr>
                <w:rFonts w:cs="Arial"/>
                <w:color w:val="333333"/>
                <w:szCs w:val="18"/>
                <w:shd w:val="clear" w:color="auto" w:fill="FFFFFF"/>
              </w:rPr>
            </w:pPr>
            <w:r w:rsidRPr="000A0A5F">
              <w:rPr>
                <w:rFonts w:cs="Arial" w:hint="eastAsia"/>
                <w:color w:val="333333"/>
                <w:szCs w:val="18"/>
                <w:shd w:val="clear" w:color="auto" w:fill="FFFFFF"/>
              </w:rPr>
              <w:t>Th</w:t>
            </w:r>
            <w:r w:rsidRPr="000A0A5F">
              <w:rPr>
                <w:rFonts w:cs="Arial"/>
                <w:color w:val="333333"/>
                <w:szCs w:val="18"/>
                <w:shd w:val="clear" w:color="auto" w:fill="FFFFFF"/>
              </w:rPr>
              <w:t>e</w:t>
            </w:r>
            <w:r w:rsidRPr="000A0A5F">
              <w:rPr>
                <w:rFonts w:cs="Arial" w:hint="eastAsia"/>
                <w:color w:val="333333"/>
                <w:szCs w:val="18"/>
                <w:shd w:val="clear" w:color="auto" w:fill="FFFFFF"/>
              </w:rPr>
              <w:t xml:space="preserve"> value indicates that the device </w:t>
            </w:r>
            <w:r w:rsidRPr="000A0A5F">
              <w:rPr>
                <w:rFonts w:cs="Arial"/>
                <w:color w:val="333333"/>
                <w:szCs w:val="18"/>
                <w:shd w:val="clear" w:color="auto" w:fill="FFFFFF"/>
              </w:rPr>
              <w:t>triggering</w:t>
            </w:r>
            <w:r w:rsidRPr="000A0A5F">
              <w:rPr>
                <w:rFonts w:cs="Arial" w:hint="eastAsia"/>
                <w:color w:val="333333"/>
                <w:szCs w:val="18"/>
                <w:shd w:val="clear" w:color="auto" w:fill="FFFFFF"/>
              </w:rPr>
              <w:t xml:space="preserve"> </w:t>
            </w:r>
            <w:r w:rsidRPr="000A0A5F">
              <w:rPr>
                <w:rFonts w:cs="Arial"/>
                <w:color w:val="333333"/>
                <w:szCs w:val="18"/>
                <w:shd w:val="clear" w:color="auto" w:fill="FFFFFF"/>
              </w:rPr>
              <w:t>replace</w:t>
            </w:r>
            <w:r w:rsidRPr="000A0A5F">
              <w:rPr>
                <w:rFonts w:cs="Arial"/>
                <w:color w:val="333333"/>
                <w:szCs w:val="18"/>
                <w:shd w:val="clear" w:color="auto" w:fill="FFFFFF"/>
                <w:lang w:eastAsia="zh-CN"/>
              </w:rPr>
              <w:t>ment</w:t>
            </w:r>
            <w:r w:rsidRPr="000A0A5F">
              <w:rPr>
                <w:rFonts w:cs="Arial"/>
                <w:color w:val="333333"/>
                <w:szCs w:val="18"/>
                <w:shd w:val="clear" w:color="auto" w:fill="FFFFFF"/>
              </w:rPr>
              <w:t xml:space="preserve"> </w:t>
            </w:r>
            <w:r w:rsidRPr="000A0A5F">
              <w:rPr>
                <w:rFonts w:cs="Arial" w:hint="eastAsia"/>
                <w:color w:val="333333"/>
                <w:szCs w:val="18"/>
                <w:shd w:val="clear" w:color="auto" w:fill="FFFFFF"/>
              </w:rPr>
              <w:t>request is accepted by the</w:t>
            </w:r>
            <w:r w:rsidRPr="000A0A5F">
              <w:rPr>
                <w:rFonts w:cs="Arial"/>
                <w:color w:val="333333"/>
                <w:szCs w:val="18"/>
                <w:shd w:val="clear" w:color="auto" w:fill="FFFFFF"/>
              </w:rPr>
              <w:t xml:space="preserve"> SCEF</w:t>
            </w:r>
            <w:r w:rsidRPr="000A0A5F">
              <w:rPr>
                <w:rFonts w:cs="Arial" w:hint="eastAsia"/>
                <w:color w:val="333333"/>
                <w:szCs w:val="18"/>
                <w:shd w:val="clear" w:color="auto" w:fill="FFFFFF"/>
              </w:rPr>
              <w:t>.</w:t>
            </w:r>
          </w:p>
        </w:tc>
        <w:tc>
          <w:tcPr>
            <w:tcW w:w="703" w:type="pct"/>
          </w:tcPr>
          <w:p w:rsidR="00CB0DD7" w:rsidRPr="000A0A5F" w:rsidRDefault="00CB0DD7">
            <w:pPr>
              <w:pStyle w:val="TAL"/>
              <w:rPr>
                <w:rFonts w:cs="Arial"/>
                <w:szCs w:val="18"/>
                <w:lang w:eastAsia="zh-CN"/>
              </w:rPr>
            </w:pPr>
          </w:p>
        </w:tc>
      </w:tr>
      <w:tr w:rsidR="00CB0DD7" w:rsidRPr="000A0A5F" w:rsidTr="00FF0AF8">
        <w:tc>
          <w:tcPr>
            <w:tcW w:w="782" w:type="pct"/>
            <w:tcMar>
              <w:top w:w="0" w:type="dxa"/>
              <w:left w:w="108" w:type="dxa"/>
              <w:bottom w:w="0" w:type="dxa"/>
              <w:right w:w="108" w:type="dxa"/>
            </w:tcMar>
          </w:tcPr>
          <w:p w:rsidR="00CB0DD7" w:rsidRPr="000A0A5F" w:rsidRDefault="00CB0DD7">
            <w:pPr>
              <w:pStyle w:val="TAL"/>
            </w:pPr>
            <w:r w:rsidRPr="000A0A5F">
              <w:rPr>
                <w:rFonts w:cs="Arial" w:hint="eastAsia"/>
                <w:bCs/>
                <w:color w:val="333333"/>
                <w:szCs w:val="18"/>
                <w:lang w:eastAsia="zh-CN"/>
              </w:rPr>
              <w:t>TERMINATE</w:t>
            </w:r>
          </w:p>
        </w:tc>
        <w:tc>
          <w:tcPr>
            <w:tcW w:w="3515" w:type="pct"/>
            <w:tcMar>
              <w:top w:w="0" w:type="dxa"/>
              <w:left w:w="108" w:type="dxa"/>
              <w:bottom w:w="0" w:type="dxa"/>
              <w:right w:w="108" w:type="dxa"/>
            </w:tcMar>
          </w:tcPr>
          <w:p w:rsidR="00CB0DD7" w:rsidRPr="000A0A5F" w:rsidRDefault="00CB0DD7">
            <w:pPr>
              <w:pStyle w:val="TAL"/>
              <w:rPr>
                <w:rFonts w:eastAsia="DengXian" w:cs="Arial" w:hint="eastAsia"/>
                <w:color w:val="333333"/>
                <w:szCs w:val="18"/>
                <w:shd w:val="clear" w:color="auto" w:fill="FFFFFF"/>
                <w:lang w:eastAsia="zh-CN"/>
              </w:rPr>
            </w:pPr>
            <w:r w:rsidRPr="000A0A5F">
              <w:rPr>
                <w:rFonts w:eastAsia="DengXian" w:cs="Arial" w:hint="eastAsia"/>
                <w:color w:val="333333"/>
                <w:szCs w:val="18"/>
                <w:shd w:val="clear" w:color="auto" w:fill="FFFFFF"/>
                <w:lang w:eastAsia="zh-CN"/>
              </w:rPr>
              <w:t>T</w:t>
            </w:r>
            <w:r w:rsidRPr="000A0A5F">
              <w:rPr>
                <w:rFonts w:eastAsia="DengXian" w:cs="Arial"/>
                <w:color w:val="333333"/>
                <w:szCs w:val="18"/>
                <w:shd w:val="clear" w:color="auto" w:fill="FFFFFF"/>
                <w:lang w:eastAsia="zh-CN"/>
              </w:rPr>
              <w:t xml:space="preserve">he SCEF includes this value in the response for a </w:t>
            </w:r>
            <w:r w:rsidRPr="000A0A5F">
              <w:rPr>
                <w:rFonts w:cs="Arial"/>
                <w:color w:val="333333"/>
                <w:szCs w:val="18"/>
                <w:shd w:val="clear" w:color="auto" w:fill="FFFFFF"/>
              </w:rPr>
              <w:t xml:space="preserve">successful </w:t>
            </w:r>
            <w:r w:rsidRPr="000A0A5F">
              <w:rPr>
                <w:rFonts w:eastAsia="DengXian" w:cs="Arial"/>
                <w:color w:val="333333"/>
                <w:szCs w:val="18"/>
                <w:shd w:val="clear" w:color="auto" w:fill="FFFFFF"/>
                <w:lang w:eastAsia="zh-CN"/>
              </w:rPr>
              <w:t>device triggering cancellation request.</w:t>
            </w:r>
          </w:p>
          <w:p w:rsidR="00CB0DD7" w:rsidRPr="000A0A5F" w:rsidRDefault="00CB0DD7">
            <w:pPr>
              <w:pStyle w:val="TAL"/>
            </w:pPr>
            <w:r w:rsidRPr="000A0A5F">
              <w:rPr>
                <w:rFonts w:cs="Arial" w:hint="eastAsia"/>
                <w:color w:val="333333"/>
                <w:szCs w:val="18"/>
                <w:shd w:val="clear" w:color="auto" w:fill="FFFFFF"/>
                <w:lang w:eastAsia="zh-CN"/>
              </w:rPr>
              <w:t>Th</w:t>
            </w:r>
            <w:r w:rsidRPr="000A0A5F">
              <w:rPr>
                <w:rFonts w:cs="Arial"/>
                <w:color w:val="333333"/>
                <w:szCs w:val="18"/>
                <w:shd w:val="clear" w:color="auto" w:fill="FFFFFF"/>
                <w:lang w:eastAsia="zh-CN"/>
              </w:rPr>
              <w:t>e</w:t>
            </w:r>
            <w:r w:rsidRPr="000A0A5F">
              <w:rPr>
                <w:rFonts w:cs="Arial" w:hint="eastAsia"/>
                <w:color w:val="333333"/>
                <w:szCs w:val="18"/>
                <w:shd w:val="clear" w:color="auto" w:fill="FFFFFF"/>
                <w:lang w:eastAsia="zh-CN"/>
              </w:rPr>
              <w:t xml:space="preserve"> value indicates that the delivery of the device action request is terminated by the SCS/AS.</w:t>
            </w:r>
          </w:p>
        </w:tc>
        <w:tc>
          <w:tcPr>
            <w:tcW w:w="703" w:type="pct"/>
          </w:tcPr>
          <w:p w:rsidR="00CB0DD7" w:rsidRPr="000A0A5F" w:rsidRDefault="00CB0DD7">
            <w:pPr>
              <w:pStyle w:val="TAL"/>
              <w:rPr>
                <w:rFonts w:cs="Arial"/>
                <w:szCs w:val="18"/>
                <w:lang w:eastAsia="zh-CN"/>
              </w:rPr>
            </w:pPr>
          </w:p>
        </w:tc>
      </w:tr>
      <w:tr w:rsidR="00CB0DD7" w:rsidRPr="000A0A5F" w:rsidTr="00FF0AF8">
        <w:tc>
          <w:tcPr>
            <w:tcW w:w="5000" w:type="pct"/>
            <w:gridSpan w:val="3"/>
            <w:tcMar>
              <w:top w:w="0" w:type="dxa"/>
              <w:left w:w="108" w:type="dxa"/>
              <w:bottom w:w="0" w:type="dxa"/>
              <w:right w:w="108" w:type="dxa"/>
            </w:tcMar>
          </w:tcPr>
          <w:p w:rsidR="00CB0DD7" w:rsidRPr="000A0A5F" w:rsidRDefault="00CB0DD7">
            <w:pPr>
              <w:pStyle w:val="TAN"/>
            </w:pPr>
            <w:r w:rsidRPr="000A0A5F">
              <w:t>NOTE:</w:t>
            </w:r>
            <w:r w:rsidRPr="000A0A5F">
              <w:tab/>
              <w:t>Properties marked with a feature as defined in clause 5.7.4 are applicable as described in clause 5.2.7. If no features are indicated, the related property applies for all the features.</w:t>
            </w:r>
          </w:p>
        </w:tc>
      </w:tr>
    </w:tbl>
    <w:p w:rsidR="00CB0DD7" w:rsidRPr="000A0A5F" w:rsidRDefault="00CB0DD7"/>
    <w:p w:rsidR="00CB0DD7" w:rsidRPr="000A0A5F" w:rsidRDefault="00CB0DD7">
      <w:pPr>
        <w:pStyle w:val="Heading5"/>
      </w:pPr>
      <w:bookmarkStart w:id="4859" w:name="_Toc11247531"/>
      <w:bookmarkStart w:id="4860" w:name="_Toc27044670"/>
      <w:bookmarkStart w:id="4861" w:name="_Toc36033712"/>
      <w:bookmarkStart w:id="4862" w:name="_Toc45131858"/>
      <w:bookmarkStart w:id="4863" w:name="_Toc49776143"/>
      <w:bookmarkStart w:id="4864" w:name="_Toc51747063"/>
      <w:bookmarkStart w:id="4865" w:name="_Toc66360624"/>
      <w:bookmarkStart w:id="4866" w:name="_Toc68105129"/>
      <w:bookmarkStart w:id="4867" w:name="_Toc74755759"/>
      <w:bookmarkStart w:id="4868" w:name="_Toc105674634"/>
      <w:bookmarkStart w:id="4869" w:name="_Toc130502682"/>
      <w:bookmarkStart w:id="4870" w:name="_Toc153625469"/>
      <w:r w:rsidRPr="000A0A5F">
        <w:t>5.7.2.2.4</w:t>
      </w:r>
      <w:r w:rsidRPr="000A0A5F">
        <w:tab/>
        <w:t>Enumeration: Priority</w:t>
      </w:r>
      <w:bookmarkEnd w:id="4859"/>
      <w:bookmarkEnd w:id="4860"/>
      <w:bookmarkEnd w:id="4861"/>
      <w:bookmarkEnd w:id="4862"/>
      <w:bookmarkEnd w:id="4863"/>
      <w:bookmarkEnd w:id="4864"/>
      <w:bookmarkEnd w:id="4865"/>
      <w:bookmarkEnd w:id="4866"/>
      <w:bookmarkEnd w:id="4867"/>
      <w:bookmarkEnd w:id="4868"/>
      <w:bookmarkEnd w:id="4869"/>
      <w:bookmarkEnd w:id="4870"/>
    </w:p>
    <w:p w:rsidR="00CB0DD7" w:rsidRPr="000A0A5F" w:rsidRDefault="00CB0DD7">
      <w:r w:rsidRPr="000A0A5F">
        <w:t xml:space="preserve">The enumeration </w:t>
      </w:r>
      <w:r w:rsidRPr="000A0A5F">
        <w:rPr>
          <w:rFonts w:eastAsia="Times New Roman"/>
        </w:rPr>
        <w:t xml:space="preserve">Priority </w:t>
      </w:r>
      <w:r w:rsidRPr="000A0A5F">
        <w:t>represents the priority indication for a trigger payload.</w:t>
      </w:r>
    </w:p>
    <w:p w:rsidR="00CB0DD7" w:rsidRPr="000A0A5F" w:rsidRDefault="00CB0DD7">
      <w:pPr>
        <w:pStyle w:val="TH"/>
      </w:pPr>
      <w:r w:rsidRPr="000A0A5F">
        <w:t xml:space="preserve">Table 5.7.2.2.4-1: Enumeration </w:t>
      </w:r>
      <w:r w:rsidRPr="000A0A5F">
        <w:rPr>
          <w:rFonts w:eastAsia="Times New Roman"/>
        </w:rPr>
        <w:t>Priority</w:t>
      </w:r>
    </w:p>
    <w:tbl>
      <w:tblPr>
        <w:tblW w:w="4648"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267"/>
        <w:gridCol w:w="5103"/>
        <w:gridCol w:w="1700"/>
      </w:tblGrid>
      <w:tr w:rsidR="00CB0DD7" w:rsidRPr="000A0A5F" w:rsidTr="00FF0AF8">
        <w:tc>
          <w:tcPr>
            <w:tcW w:w="1250" w:type="pct"/>
            <w:shd w:val="clear" w:color="auto" w:fill="C0C0C0"/>
            <w:tcMar>
              <w:top w:w="0" w:type="dxa"/>
              <w:left w:w="108" w:type="dxa"/>
              <w:bottom w:w="0" w:type="dxa"/>
              <w:right w:w="108" w:type="dxa"/>
            </w:tcMar>
          </w:tcPr>
          <w:p w:rsidR="00CB0DD7" w:rsidRPr="000A0A5F" w:rsidRDefault="00CB0DD7">
            <w:pPr>
              <w:pStyle w:val="TAH"/>
            </w:pPr>
            <w:r w:rsidRPr="000A0A5F">
              <w:t>Enumeration value</w:t>
            </w:r>
          </w:p>
        </w:tc>
        <w:tc>
          <w:tcPr>
            <w:tcW w:w="2813" w:type="pct"/>
            <w:shd w:val="clear" w:color="auto" w:fill="C0C0C0"/>
            <w:tcMar>
              <w:top w:w="0" w:type="dxa"/>
              <w:left w:w="108" w:type="dxa"/>
              <w:bottom w:w="0" w:type="dxa"/>
              <w:right w:w="108" w:type="dxa"/>
            </w:tcMar>
          </w:tcPr>
          <w:p w:rsidR="00CB0DD7" w:rsidRPr="000A0A5F" w:rsidRDefault="00CB0DD7">
            <w:pPr>
              <w:pStyle w:val="TAH"/>
            </w:pPr>
            <w:r w:rsidRPr="000A0A5F">
              <w:t>Description</w:t>
            </w:r>
          </w:p>
        </w:tc>
        <w:tc>
          <w:tcPr>
            <w:tcW w:w="937" w:type="pct"/>
            <w:shd w:val="clear" w:color="auto" w:fill="C0C0C0"/>
          </w:tcPr>
          <w:p w:rsidR="00CB0DD7" w:rsidRPr="000A0A5F" w:rsidRDefault="00CB0DD7">
            <w:pPr>
              <w:pStyle w:val="TAH"/>
            </w:pPr>
            <w:r w:rsidRPr="000A0A5F">
              <w:rPr>
                <w:rFonts w:eastAsia="Times New Roman" w:cs="Arial"/>
                <w:szCs w:val="18"/>
              </w:rPr>
              <w:t>Applicability (NOTE)</w:t>
            </w:r>
          </w:p>
        </w:tc>
      </w:tr>
      <w:tr w:rsidR="00CB0DD7" w:rsidRPr="000A0A5F" w:rsidTr="00FF0AF8">
        <w:tc>
          <w:tcPr>
            <w:tcW w:w="1250" w:type="pct"/>
            <w:tcMar>
              <w:top w:w="0" w:type="dxa"/>
              <w:left w:w="108" w:type="dxa"/>
              <w:bottom w:w="0" w:type="dxa"/>
              <w:right w:w="108" w:type="dxa"/>
            </w:tcMar>
          </w:tcPr>
          <w:p w:rsidR="00CB0DD7" w:rsidRPr="000A0A5F" w:rsidRDefault="00CB0DD7">
            <w:pPr>
              <w:pStyle w:val="TAL"/>
            </w:pPr>
            <w:r w:rsidRPr="000A0A5F">
              <w:t>NO_PRIORITY</w:t>
            </w:r>
          </w:p>
        </w:tc>
        <w:tc>
          <w:tcPr>
            <w:tcW w:w="2813" w:type="pct"/>
            <w:tcMar>
              <w:top w:w="0" w:type="dxa"/>
              <w:left w:w="108" w:type="dxa"/>
              <w:bottom w:w="0" w:type="dxa"/>
              <w:right w:w="108" w:type="dxa"/>
            </w:tcMar>
          </w:tcPr>
          <w:p w:rsidR="00CB0DD7" w:rsidRPr="000A0A5F" w:rsidRDefault="00CB0DD7">
            <w:pPr>
              <w:pStyle w:val="TAL"/>
              <w:rPr>
                <w:rFonts w:cs="Arial"/>
                <w:color w:val="333333"/>
                <w:szCs w:val="18"/>
              </w:rPr>
            </w:pPr>
            <w:r w:rsidRPr="000A0A5F">
              <w:rPr>
                <w:rFonts w:cs="Arial"/>
                <w:color w:val="333333"/>
                <w:szCs w:val="18"/>
              </w:rPr>
              <w:t>This value indicates that the device trigger has no priority.</w:t>
            </w:r>
          </w:p>
        </w:tc>
        <w:tc>
          <w:tcPr>
            <w:tcW w:w="937" w:type="pct"/>
          </w:tcPr>
          <w:p w:rsidR="00CB0DD7" w:rsidRPr="000A0A5F" w:rsidRDefault="00CB0DD7">
            <w:pPr>
              <w:pStyle w:val="TAL"/>
              <w:rPr>
                <w:rFonts w:cs="Arial"/>
                <w:szCs w:val="18"/>
                <w:lang w:eastAsia="zh-CN"/>
              </w:rPr>
            </w:pPr>
          </w:p>
        </w:tc>
      </w:tr>
      <w:tr w:rsidR="00CB0DD7" w:rsidRPr="000A0A5F" w:rsidTr="00FF0AF8">
        <w:tc>
          <w:tcPr>
            <w:tcW w:w="1250" w:type="pct"/>
            <w:tcMar>
              <w:top w:w="0" w:type="dxa"/>
              <w:left w:w="108" w:type="dxa"/>
              <w:bottom w:w="0" w:type="dxa"/>
              <w:right w:w="108" w:type="dxa"/>
            </w:tcMar>
          </w:tcPr>
          <w:p w:rsidR="00CB0DD7" w:rsidRPr="000A0A5F" w:rsidRDefault="00CB0DD7">
            <w:pPr>
              <w:pStyle w:val="TAL"/>
            </w:pPr>
            <w:r w:rsidRPr="000A0A5F">
              <w:t>PRIORITY</w:t>
            </w:r>
          </w:p>
        </w:tc>
        <w:tc>
          <w:tcPr>
            <w:tcW w:w="2813" w:type="pct"/>
            <w:tcMar>
              <w:top w:w="0" w:type="dxa"/>
              <w:left w:w="108" w:type="dxa"/>
              <w:bottom w:w="0" w:type="dxa"/>
              <w:right w:w="108" w:type="dxa"/>
            </w:tcMar>
          </w:tcPr>
          <w:p w:rsidR="00CB0DD7" w:rsidRPr="000A0A5F" w:rsidRDefault="00CB0DD7">
            <w:pPr>
              <w:pStyle w:val="TAL"/>
              <w:rPr>
                <w:rFonts w:hint="eastAsia"/>
                <w:szCs w:val="18"/>
                <w:lang w:eastAsia="zh-CN"/>
              </w:rPr>
            </w:pPr>
            <w:r w:rsidRPr="000A0A5F">
              <w:rPr>
                <w:rFonts w:cs="Arial"/>
                <w:color w:val="333333"/>
                <w:szCs w:val="18"/>
              </w:rPr>
              <w:t>This value indicates that the device trigger has priority.</w:t>
            </w:r>
          </w:p>
        </w:tc>
        <w:tc>
          <w:tcPr>
            <w:tcW w:w="937" w:type="pct"/>
          </w:tcPr>
          <w:p w:rsidR="00CB0DD7" w:rsidRPr="000A0A5F" w:rsidRDefault="00CB0DD7">
            <w:pPr>
              <w:pStyle w:val="TAL"/>
              <w:rPr>
                <w:rFonts w:cs="Arial"/>
                <w:szCs w:val="18"/>
                <w:lang w:eastAsia="zh-CN"/>
              </w:rPr>
            </w:pPr>
          </w:p>
        </w:tc>
      </w:tr>
      <w:tr w:rsidR="00CB0DD7" w:rsidRPr="000A0A5F" w:rsidTr="00FF0AF8">
        <w:tc>
          <w:tcPr>
            <w:tcW w:w="5000" w:type="pct"/>
            <w:gridSpan w:val="3"/>
            <w:tcMar>
              <w:top w:w="0" w:type="dxa"/>
              <w:left w:w="108" w:type="dxa"/>
              <w:bottom w:w="0" w:type="dxa"/>
              <w:right w:w="108" w:type="dxa"/>
            </w:tcMar>
          </w:tcPr>
          <w:p w:rsidR="00CB0DD7" w:rsidRPr="000A0A5F" w:rsidRDefault="00CB0DD7">
            <w:pPr>
              <w:pStyle w:val="TAN"/>
            </w:pPr>
            <w:r w:rsidRPr="000A0A5F">
              <w:t>NOTE:</w:t>
            </w:r>
            <w:r w:rsidRPr="000A0A5F">
              <w:tab/>
              <w:t>Properties marked with a feature as defined in clause 5.7.4 are applicable as described in clause 5.2.7. If no features are indicated, the related property applies for all the features.</w:t>
            </w:r>
          </w:p>
        </w:tc>
      </w:tr>
    </w:tbl>
    <w:p w:rsidR="00CB0DD7" w:rsidRPr="000A0A5F" w:rsidRDefault="00CB0DD7"/>
    <w:p w:rsidR="00CB0DD7" w:rsidRPr="000A0A5F" w:rsidRDefault="00CB0DD7">
      <w:pPr>
        <w:pStyle w:val="Heading3"/>
      </w:pPr>
      <w:bookmarkStart w:id="4871" w:name="_Toc11247532"/>
      <w:bookmarkStart w:id="4872" w:name="_Toc27044671"/>
      <w:bookmarkStart w:id="4873" w:name="_Toc36033713"/>
      <w:bookmarkStart w:id="4874" w:name="_Toc45131859"/>
      <w:bookmarkStart w:id="4875" w:name="_Toc49776144"/>
      <w:bookmarkStart w:id="4876" w:name="_Toc51747064"/>
      <w:bookmarkStart w:id="4877" w:name="_Toc66360625"/>
      <w:bookmarkStart w:id="4878" w:name="_Toc68105130"/>
      <w:bookmarkStart w:id="4879" w:name="_Toc74755760"/>
      <w:bookmarkStart w:id="4880" w:name="_Toc105674635"/>
      <w:bookmarkStart w:id="4881" w:name="_Toc130502683"/>
      <w:bookmarkStart w:id="4882" w:name="_Toc153625470"/>
      <w:r w:rsidRPr="000A0A5F">
        <w:t>5.7.3</w:t>
      </w:r>
      <w:r w:rsidRPr="000A0A5F">
        <w:tab/>
        <w:t>Resource structure</w:t>
      </w:r>
      <w:bookmarkEnd w:id="4871"/>
      <w:bookmarkEnd w:id="4872"/>
      <w:bookmarkEnd w:id="4873"/>
      <w:bookmarkEnd w:id="4874"/>
      <w:bookmarkEnd w:id="4875"/>
      <w:bookmarkEnd w:id="4876"/>
      <w:bookmarkEnd w:id="4877"/>
      <w:bookmarkEnd w:id="4878"/>
      <w:bookmarkEnd w:id="4879"/>
      <w:bookmarkEnd w:id="4880"/>
      <w:bookmarkEnd w:id="4881"/>
      <w:bookmarkEnd w:id="4882"/>
    </w:p>
    <w:p w:rsidR="00CB0DD7" w:rsidRPr="000A0A5F" w:rsidRDefault="00CB0DD7">
      <w:pPr>
        <w:pStyle w:val="Heading4"/>
      </w:pPr>
      <w:bookmarkStart w:id="4883" w:name="_Toc11247533"/>
      <w:bookmarkStart w:id="4884" w:name="_Toc27044672"/>
      <w:bookmarkStart w:id="4885" w:name="_Toc36033714"/>
      <w:bookmarkStart w:id="4886" w:name="_Toc45131860"/>
      <w:bookmarkStart w:id="4887" w:name="_Toc49776145"/>
      <w:bookmarkStart w:id="4888" w:name="_Toc51747065"/>
      <w:bookmarkStart w:id="4889" w:name="_Toc66360626"/>
      <w:bookmarkStart w:id="4890" w:name="_Toc68105131"/>
      <w:bookmarkStart w:id="4891" w:name="_Toc74755761"/>
      <w:bookmarkStart w:id="4892" w:name="_Toc105674636"/>
      <w:bookmarkStart w:id="4893" w:name="_Toc130502684"/>
      <w:bookmarkStart w:id="4894" w:name="_Toc153625471"/>
      <w:r w:rsidRPr="000A0A5F">
        <w:t>5.7.3.1</w:t>
      </w:r>
      <w:r w:rsidRPr="000A0A5F">
        <w:tab/>
        <w:t>General</w:t>
      </w:r>
      <w:bookmarkEnd w:id="4883"/>
      <w:bookmarkEnd w:id="4884"/>
      <w:bookmarkEnd w:id="4885"/>
      <w:bookmarkEnd w:id="4886"/>
      <w:bookmarkEnd w:id="4887"/>
      <w:bookmarkEnd w:id="4888"/>
      <w:bookmarkEnd w:id="4889"/>
      <w:bookmarkEnd w:id="4890"/>
      <w:bookmarkEnd w:id="4891"/>
      <w:bookmarkEnd w:id="4892"/>
      <w:bookmarkEnd w:id="4893"/>
      <w:bookmarkEnd w:id="4894"/>
    </w:p>
    <w:p w:rsidR="00CB0DD7" w:rsidRPr="000A0A5F" w:rsidRDefault="00CB0DD7">
      <w:r w:rsidRPr="000A0A5F">
        <w:t>All resource URIs of this API should have the following root:</w:t>
      </w:r>
    </w:p>
    <w:p w:rsidR="00CB0DD7" w:rsidRPr="000A0A5F" w:rsidRDefault="00CB0DD7">
      <w:pPr>
        <w:pStyle w:val="B1"/>
        <w:numPr>
          <w:ilvl w:val="0"/>
          <w:numId w:val="0"/>
        </w:numPr>
        <w:ind w:left="737"/>
        <w:rPr>
          <w:b/>
        </w:rPr>
      </w:pPr>
      <w:r w:rsidRPr="000A0A5F">
        <w:rPr>
          <w:b/>
        </w:rPr>
        <w:t>{apiRoot}/3gpp-device-triggering/v1</w:t>
      </w:r>
    </w:p>
    <w:p w:rsidR="00CB0DD7" w:rsidRPr="000A0A5F" w:rsidRDefault="00CB0DD7">
      <w:r w:rsidRPr="000A0A5F">
        <w:t>"apiRoot" is set as described in clause</w:t>
      </w:r>
      <w:r w:rsidRPr="000A0A5F">
        <w:rPr>
          <w:rFonts w:ascii="Segoe UI Symbol" w:hAnsi="Segoe UI Symbol"/>
        </w:rPr>
        <w:t> </w:t>
      </w:r>
      <w:r w:rsidRPr="000A0A5F">
        <w:t>5.2.4. All resource URIs in the clauses below are defined relative to the above root URI.</w:t>
      </w:r>
    </w:p>
    <w:p w:rsidR="00CB0DD7" w:rsidRPr="000A0A5F" w:rsidRDefault="00CB0DD7">
      <w:r w:rsidRPr="000A0A5F">
        <w:t>The following resources and HTTP methods are supported for this API:</w:t>
      </w:r>
    </w:p>
    <w:p w:rsidR="00CB0DD7" w:rsidRPr="000A0A5F" w:rsidRDefault="00CB0DD7">
      <w:pPr>
        <w:pStyle w:val="TH"/>
      </w:pPr>
      <w:r w:rsidRPr="000A0A5F">
        <w:t>Table 5.7.3.1-1: Resources and methods overview</w:t>
      </w:r>
    </w:p>
    <w:tbl>
      <w:tblPr>
        <w:tblW w:w="4961"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1E0" w:firstRow="1" w:lastRow="1" w:firstColumn="1" w:lastColumn="1" w:noHBand="0" w:noVBand="0"/>
      </w:tblPr>
      <w:tblGrid>
        <w:gridCol w:w="1730"/>
        <w:gridCol w:w="4226"/>
        <w:gridCol w:w="838"/>
        <w:gridCol w:w="924"/>
        <w:gridCol w:w="1983"/>
      </w:tblGrid>
      <w:tr w:rsidR="00CB0DD7" w:rsidRPr="000A0A5F" w:rsidTr="00FF0AF8">
        <w:trPr>
          <w:jc w:val="center"/>
        </w:trPr>
        <w:tc>
          <w:tcPr>
            <w:tcW w:w="892" w:type="pct"/>
            <w:shd w:val="clear" w:color="auto" w:fill="C0C0C0"/>
            <w:vAlign w:val="center"/>
            <w:hideMark/>
          </w:tcPr>
          <w:p w:rsidR="00CB0DD7" w:rsidRPr="000A0A5F" w:rsidRDefault="00CB0DD7">
            <w:pPr>
              <w:pStyle w:val="TAH"/>
              <w:spacing w:line="276" w:lineRule="auto"/>
            </w:pPr>
            <w:r w:rsidRPr="000A0A5F">
              <w:t>Resource name</w:t>
            </w:r>
          </w:p>
        </w:tc>
        <w:tc>
          <w:tcPr>
            <w:tcW w:w="2178" w:type="pct"/>
            <w:shd w:val="clear" w:color="auto" w:fill="C0C0C0"/>
            <w:vAlign w:val="center"/>
            <w:hideMark/>
          </w:tcPr>
          <w:p w:rsidR="00CB0DD7" w:rsidRPr="000A0A5F" w:rsidRDefault="00CB0DD7">
            <w:pPr>
              <w:pStyle w:val="TAH"/>
              <w:spacing w:line="276" w:lineRule="auto"/>
            </w:pPr>
            <w:r w:rsidRPr="000A0A5F">
              <w:t>Resource URI</w:t>
            </w:r>
          </w:p>
        </w:tc>
        <w:tc>
          <w:tcPr>
            <w:tcW w:w="432" w:type="pct"/>
            <w:shd w:val="clear" w:color="auto" w:fill="C0C0C0"/>
            <w:vAlign w:val="center"/>
            <w:hideMark/>
          </w:tcPr>
          <w:p w:rsidR="00CB0DD7" w:rsidRPr="000A0A5F" w:rsidRDefault="00CB0DD7">
            <w:pPr>
              <w:pStyle w:val="TAH"/>
              <w:spacing w:line="276" w:lineRule="auto"/>
            </w:pPr>
            <w:r w:rsidRPr="000A0A5F">
              <w:t>HTTP method</w:t>
            </w:r>
          </w:p>
        </w:tc>
        <w:tc>
          <w:tcPr>
            <w:tcW w:w="476" w:type="pct"/>
            <w:shd w:val="clear" w:color="auto" w:fill="C0C0C0"/>
          </w:tcPr>
          <w:p w:rsidR="00CB0DD7" w:rsidRPr="000A0A5F" w:rsidRDefault="00CB0DD7">
            <w:pPr>
              <w:pStyle w:val="TAH"/>
              <w:spacing w:line="276" w:lineRule="auto"/>
            </w:pPr>
            <w:r w:rsidRPr="000A0A5F">
              <w:t>HTTP initiator</w:t>
            </w:r>
          </w:p>
        </w:tc>
        <w:tc>
          <w:tcPr>
            <w:tcW w:w="1022" w:type="pct"/>
            <w:shd w:val="clear" w:color="auto" w:fill="C0C0C0"/>
            <w:vAlign w:val="center"/>
            <w:hideMark/>
          </w:tcPr>
          <w:p w:rsidR="00CB0DD7" w:rsidRPr="000A0A5F" w:rsidRDefault="00CB0DD7">
            <w:pPr>
              <w:pStyle w:val="TAH"/>
              <w:spacing w:line="276" w:lineRule="auto"/>
            </w:pPr>
            <w:r w:rsidRPr="000A0A5F">
              <w:t>Meaning</w:t>
            </w:r>
          </w:p>
        </w:tc>
      </w:tr>
      <w:tr w:rsidR="00CB0DD7" w:rsidRPr="000A0A5F" w:rsidTr="00FF0AF8">
        <w:trPr>
          <w:jc w:val="center"/>
        </w:trPr>
        <w:tc>
          <w:tcPr>
            <w:tcW w:w="892" w:type="pct"/>
            <w:vMerge w:val="restart"/>
            <w:shd w:val="clear" w:color="auto" w:fill="auto"/>
          </w:tcPr>
          <w:p w:rsidR="00CB0DD7" w:rsidRPr="000A0A5F" w:rsidRDefault="00CB0DD7">
            <w:pPr>
              <w:pStyle w:val="TAL"/>
            </w:pPr>
            <w:r w:rsidRPr="000A0A5F">
              <w:t>Device Triggering Transactions</w:t>
            </w:r>
          </w:p>
        </w:tc>
        <w:tc>
          <w:tcPr>
            <w:tcW w:w="2178" w:type="pct"/>
            <w:vMerge w:val="restart"/>
            <w:shd w:val="clear" w:color="auto" w:fill="auto"/>
          </w:tcPr>
          <w:p w:rsidR="00CB0DD7" w:rsidRPr="000A0A5F" w:rsidRDefault="00CB0DD7">
            <w:pPr>
              <w:pStyle w:val="TAL"/>
            </w:pPr>
            <w:r w:rsidRPr="000A0A5F">
              <w:t>/{scsAsId}/transactions</w:t>
            </w:r>
          </w:p>
        </w:tc>
        <w:tc>
          <w:tcPr>
            <w:tcW w:w="432" w:type="pct"/>
            <w:shd w:val="clear" w:color="auto" w:fill="auto"/>
          </w:tcPr>
          <w:p w:rsidR="00CB0DD7" w:rsidRPr="000A0A5F" w:rsidRDefault="00CB0DD7">
            <w:pPr>
              <w:pStyle w:val="TAL"/>
            </w:pPr>
            <w:r w:rsidRPr="000A0A5F">
              <w:t>GET</w:t>
            </w:r>
          </w:p>
        </w:tc>
        <w:tc>
          <w:tcPr>
            <w:tcW w:w="476" w:type="pct"/>
          </w:tcPr>
          <w:p w:rsidR="00CB0DD7" w:rsidRPr="000A0A5F" w:rsidRDefault="00CB0DD7">
            <w:pPr>
              <w:pStyle w:val="TAL"/>
            </w:pPr>
            <w:r w:rsidRPr="000A0A5F">
              <w:rPr>
                <w:rFonts w:hint="eastAsia"/>
                <w:lang w:eastAsia="zh-CN"/>
              </w:rPr>
              <w:t>SCS/AS</w:t>
            </w:r>
          </w:p>
        </w:tc>
        <w:tc>
          <w:tcPr>
            <w:tcW w:w="1022" w:type="pct"/>
            <w:shd w:val="clear" w:color="auto" w:fill="auto"/>
          </w:tcPr>
          <w:p w:rsidR="00CB0DD7" w:rsidRPr="000A0A5F" w:rsidRDefault="00CB0DD7">
            <w:pPr>
              <w:pStyle w:val="TAL"/>
            </w:pPr>
            <w:r w:rsidRPr="000A0A5F">
              <w:t>Read all active device triggering transaction</w:t>
            </w:r>
            <w:r w:rsidRPr="000A0A5F">
              <w:rPr>
                <w:noProof/>
                <w:lang w:eastAsia="zh-CN"/>
              </w:rPr>
              <w:t xml:space="preserve"> resources for a given SCS/AS </w:t>
            </w:r>
          </w:p>
        </w:tc>
      </w:tr>
      <w:tr w:rsidR="00CB0DD7" w:rsidRPr="000A0A5F" w:rsidTr="00FF0AF8">
        <w:trPr>
          <w:jc w:val="center"/>
        </w:trPr>
        <w:tc>
          <w:tcPr>
            <w:tcW w:w="892" w:type="pct"/>
            <w:vMerge/>
            <w:shd w:val="clear" w:color="auto" w:fill="auto"/>
          </w:tcPr>
          <w:p w:rsidR="00CB0DD7" w:rsidRPr="000A0A5F" w:rsidRDefault="00CB0DD7">
            <w:pPr>
              <w:pStyle w:val="TAL"/>
            </w:pPr>
          </w:p>
        </w:tc>
        <w:tc>
          <w:tcPr>
            <w:tcW w:w="2178" w:type="pct"/>
            <w:vMerge/>
            <w:shd w:val="clear" w:color="auto" w:fill="auto"/>
          </w:tcPr>
          <w:p w:rsidR="00CB0DD7" w:rsidRPr="000A0A5F" w:rsidRDefault="00CB0DD7">
            <w:pPr>
              <w:pStyle w:val="TAL"/>
            </w:pPr>
          </w:p>
        </w:tc>
        <w:tc>
          <w:tcPr>
            <w:tcW w:w="432" w:type="pct"/>
            <w:shd w:val="clear" w:color="auto" w:fill="auto"/>
          </w:tcPr>
          <w:p w:rsidR="00CB0DD7" w:rsidRPr="000A0A5F" w:rsidRDefault="00CB0DD7">
            <w:pPr>
              <w:pStyle w:val="TAL"/>
            </w:pPr>
            <w:r w:rsidRPr="000A0A5F">
              <w:t>POST</w:t>
            </w:r>
          </w:p>
        </w:tc>
        <w:tc>
          <w:tcPr>
            <w:tcW w:w="476" w:type="pct"/>
          </w:tcPr>
          <w:p w:rsidR="00CB0DD7" w:rsidRPr="000A0A5F" w:rsidRDefault="00CB0DD7">
            <w:pPr>
              <w:pStyle w:val="TAL"/>
            </w:pPr>
            <w:r w:rsidRPr="000A0A5F">
              <w:rPr>
                <w:rFonts w:hint="eastAsia"/>
                <w:lang w:eastAsia="zh-CN"/>
              </w:rPr>
              <w:t>SCS/AS</w:t>
            </w:r>
          </w:p>
        </w:tc>
        <w:tc>
          <w:tcPr>
            <w:tcW w:w="1022" w:type="pct"/>
            <w:shd w:val="clear" w:color="auto" w:fill="auto"/>
          </w:tcPr>
          <w:p w:rsidR="00CB0DD7" w:rsidRPr="000A0A5F" w:rsidRDefault="00CB0DD7">
            <w:pPr>
              <w:pStyle w:val="TAL"/>
            </w:pPr>
            <w:r w:rsidRPr="000A0A5F">
              <w:t>Create a new device triggering transaction resource</w:t>
            </w:r>
          </w:p>
        </w:tc>
      </w:tr>
      <w:tr w:rsidR="00CB0DD7" w:rsidRPr="000A0A5F" w:rsidTr="00FF0AF8">
        <w:trPr>
          <w:jc w:val="center"/>
        </w:trPr>
        <w:tc>
          <w:tcPr>
            <w:tcW w:w="892" w:type="pct"/>
            <w:vMerge w:val="restart"/>
            <w:hideMark/>
          </w:tcPr>
          <w:p w:rsidR="00CB0DD7" w:rsidRPr="000A0A5F" w:rsidRDefault="00CB0DD7">
            <w:pPr>
              <w:pStyle w:val="TAL"/>
              <w:rPr>
                <w:lang w:eastAsia="zh-CN"/>
              </w:rPr>
            </w:pPr>
            <w:r w:rsidRPr="000A0A5F">
              <w:t>Individual Device Triggering Transaction</w:t>
            </w:r>
          </w:p>
        </w:tc>
        <w:tc>
          <w:tcPr>
            <w:tcW w:w="2178" w:type="pct"/>
            <w:vMerge w:val="restart"/>
            <w:hideMark/>
          </w:tcPr>
          <w:p w:rsidR="00CB0DD7" w:rsidRPr="000A0A5F" w:rsidRDefault="00CB0DD7">
            <w:pPr>
              <w:pStyle w:val="TAL"/>
            </w:pPr>
            <w:r w:rsidRPr="000A0A5F">
              <w:t>/{scsAsId}/transactions/{transactionId}</w:t>
            </w:r>
          </w:p>
        </w:tc>
        <w:tc>
          <w:tcPr>
            <w:tcW w:w="432" w:type="pct"/>
          </w:tcPr>
          <w:p w:rsidR="00CB0DD7" w:rsidRPr="000A0A5F" w:rsidRDefault="00CB0DD7">
            <w:pPr>
              <w:pStyle w:val="TAL"/>
            </w:pPr>
            <w:r w:rsidRPr="000A0A5F">
              <w:t>PUT</w:t>
            </w:r>
          </w:p>
        </w:tc>
        <w:tc>
          <w:tcPr>
            <w:tcW w:w="476" w:type="pct"/>
          </w:tcPr>
          <w:p w:rsidR="00CB0DD7" w:rsidRPr="000A0A5F" w:rsidRDefault="00CB0DD7">
            <w:pPr>
              <w:pStyle w:val="TAL"/>
              <w:rPr>
                <w:noProof/>
                <w:lang w:eastAsia="zh-CN"/>
              </w:rPr>
            </w:pPr>
            <w:r w:rsidRPr="000A0A5F">
              <w:rPr>
                <w:rFonts w:hint="eastAsia"/>
                <w:noProof/>
                <w:lang w:eastAsia="zh-CN"/>
              </w:rPr>
              <w:t>SCS/AS</w:t>
            </w:r>
          </w:p>
        </w:tc>
        <w:tc>
          <w:tcPr>
            <w:tcW w:w="1022" w:type="pct"/>
          </w:tcPr>
          <w:p w:rsidR="00CB0DD7" w:rsidRPr="000A0A5F" w:rsidRDefault="00CB0DD7" w:rsidP="00B97EBD">
            <w:pPr>
              <w:pStyle w:val="TAL"/>
            </w:pPr>
            <w:r w:rsidRPr="000A0A5F">
              <w:rPr>
                <w:noProof/>
                <w:lang w:eastAsia="zh-CN"/>
              </w:rPr>
              <w:t xml:space="preserve">Replace an existing </w:t>
            </w:r>
            <w:r w:rsidR="00B97EBD" w:rsidRPr="000A0A5F">
              <w:t>Individual Device Triggering Transaction</w:t>
            </w:r>
            <w:r w:rsidRPr="000A0A5F">
              <w:t xml:space="preserve"> </w:t>
            </w:r>
            <w:r w:rsidRPr="000A0A5F">
              <w:rPr>
                <w:noProof/>
                <w:lang w:eastAsia="zh-CN"/>
              </w:rPr>
              <w:t>resource and the corresponding device trigger</w:t>
            </w:r>
            <w:r w:rsidR="00B97EBD" w:rsidRPr="000A0A5F">
              <w:rPr>
                <w:noProof/>
                <w:lang w:eastAsia="zh-CN"/>
              </w:rPr>
              <w:t>ing</w:t>
            </w:r>
            <w:r w:rsidRPr="000A0A5F">
              <w:rPr>
                <w:noProof/>
                <w:lang w:eastAsia="zh-CN"/>
              </w:rPr>
              <w:t xml:space="preserve"> request</w:t>
            </w:r>
          </w:p>
        </w:tc>
      </w:tr>
      <w:tr w:rsidR="00B97EBD" w:rsidRPr="000A0A5F" w:rsidTr="00FF0AF8">
        <w:trPr>
          <w:jc w:val="center"/>
        </w:trPr>
        <w:tc>
          <w:tcPr>
            <w:tcW w:w="892" w:type="pct"/>
            <w:vMerge/>
          </w:tcPr>
          <w:p w:rsidR="00B97EBD" w:rsidRPr="000A0A5F" w:rsidRDefault="00B97EBD">
            <w:pPr>
              <w:pStyle w:val="TAL"/>
            </w:pPr>
          </w:p>
        </w:tc>
        <w:tc>
          <w:tcPr>
            <w:tcW w:w="2178" w:type="pct"/>
            <w:vMerge/>
          </w:tcPr>
          <w:p w:rsidR="00B97EBD" w:rsidRPr="000A0A5F" w:rsidRDefault="00B97EBD">
            <w:pPr>
              <w:pStyle w:val="TAL"/>
            </w:pPr>
          </w:p>
        </w:tc>
        <w:tc>
          <w:tcPr>
            <w:tcW w:w="432" w:type="pct"/>
          </w:tcPr>
          <w:p w:rsidR="00B97EBD" w:rsidRPr="000A0A5F" w:rsidRDefault="00B97EBD">
            <w:pPr>
              <w:pStyle w:val="TAL"/>
            </w:pPr>
            <w:r w:rsidRPr="000A0A5F">
              <w:t>PATCH</w:t>
            </w:r>
          </w:p>
        </w:tc>
        <w:tc>
          <w:tcPr>
            <w:tcW w:w="476" w:type="pct"/>
          </w:tcPr>
          <w:p w:rsidR="00B97EBD" w:rsidRPr="000A0A5F" w:rsidRDefault="00B97EBD">
            <w:pPr>
              <w:pStyle w:val="TAL"/>
              <w:rPr>
                <w:rFonts w:hint="eastAsia"/>
                <w:noProof/>
                <w:lang w:eastAsia="zh-CN"/>
              </w:rPr>
            </w:pPr>
            <w:r w:rsidRPr="000A0A5F">
              <w:rPr>
                <w:noProof/>
                <w:lang w:eastAsia="zh-CN"/>
              </w:rPr>
              <w:t>SCS/AS</w:t>
            </w:r>
          </w:p>
        </w:tc>
        <w:tc>
          <w:tcPr>
            <w:tcW w:w="1022" w:type="pct"/>
          </w:tcPr>
          <w:p w:rsidR="00B97EBD" w:rsidRPr="000A0A5F" w:rsidRDefault="00B97EBD" w:rsidP="00B97EBD">
            <w:pPr>
              <w:pStyle w:val="TAL"/>
              <w:rPr>
                <w:noProof/>
                <w:lang w:eastAsia="zh-CN"/>
              </w:rPr>
            </w:pPr>
            <w:r w:rsidRPr="000A0A5F">
              <w:rPr>
                <w:noProof/>
                <w:lang w:eastAsia="zh-CN"/>
              </w:rPr>
              <w:t xml:space="preserve">Modify an existing </w:t>
            </w:r>
            <w:r w:rsidRPr="000A0A5F">
              <w:t>Individual Device Triggering Transaction resource</w:t>
            </w:r>
            <w:r w:rsidRPr="000A0A5F">
              <w:rPr>
                <w:noProof/>
                <w:lang w:eastAsia="zh-CN"/>
              </w:rPr>
              <w:t xml:space="preserve"> and the corresponding device triggering request.</w:t>
            </w:r>
          </w:p>
        </w:tc>
      </w:tr>
      <w:tr w:rsidR="00CB0DD7" w:rsidRPr="000A0A5F" w:rsidTr="00FF0AF8">
        <w:trPr>
          <w:jc w:val="center"/>
        </w:trPr>
        <w:tc>
          <w:tcPr>
            <w:tcW w:w="892" w:type="pct"/>
            <w:vMerge/>
          </w:tcPr>
          <w:p w:rsidR="00CB0DD7" w:rsidRPr="000A0A5F" w:rsidRDefault="00CB0DD7">
            <w:pPr>
              <w:pStyle w:val="TAL"/>
              <w:spacing w:line="276" w:lineRule="auto"/>
            </w:pPr>
          </w:p>
        </w:tc>
        <w:tc>
          <w:tcPr>
            <w:tcW w:w="2178" w:type="pct"/>
            <w:vMerge/>
          </w:tcPr>
          <w:p w:rsidR="00CB0DD7" w:rsidRPr="000A0A5F" w:rsidRDefault="00CB0DD7">
            <w:pPr>
              <w:pStyle w:val="TAL"/>
              <w:spacing w:line="276" w:lineRule="auto"/>
            </w:pPr>
          </w:p>
        </w:tc>
        <w:tc>
          <w:tcPr>
            <w:tcW w:w="432" w:type="pct"/>
          </w:tcPr>
          <w:p w:rsidR="00CB0DD7" w:rsidRPr="000A0A5F" w:rsidRDefault="00CB0DD7">
            <w:pPr>
              <w:pStyle w:val="TAL"/>
            </w:pPr>
            <w:r w:rsidRPr="000A0A5F">
              <w:t>GET</w:t>
            </w:r>
          </w:p>
        </w:tc>
        <w:tc>
          <w:tcPr>
            <w:tcW w:w="476" w:type="pct"/>
          </w:tcPr>
          <w:p w:rsidR="00CB0DD7" w:rsidRPr="000A0A5F" w:rsidRDefault="00CB0DD7">
            <w:pPr>
              <w:pStyle w:val="TAL"/>
            </w:pPr>
            <w:r w:rsidRPr="000A0A5F">
              <w:rPr>
                <w:rFonts w:hint="eastAsia"/>
                <w:lang w:eastAsia="zh-CN"/>
              </w:rPr>
              <w:t>SCS/AS</w:t>
            </w:r>
          </w:p>
        </w:tc>
        <w:tc>
          <w:tcPr>
            <w:tcW w:w="1022" w:type="pct"/>
          </w:tcPr>
          <w:p w:rsidR="00CB0DD7" w:rsidRPr="000A0A5F" w:rsidRDefault="00CB0DD7">
            <w:pPr>
              <w:pStyle w:val="TAL"/>
            </w:pPr>
            <w:r w:rsidRPr="000A0A5F">
              <w:t>Read a device triggering transaction</w:t>
            </w:r>
            <w:r w:rsidRPr="000A0A5F">
              <w:rPr>
                <w:noProof/>
                <w:lang w:eastAsia="zh-CN"/>
              </w:rPr>
              <w:t xml:space="preserve"> resource</w:t>
            </w:r>
          </w:p>
        </w:tc>
      </w:tr>
      <w:tr w:rsidR="00CB0DD7" w:rsidRPr="000A0A5F" w:rsidTr="00FF0AF8">
        <w:trPr>
          <w:jc w:val="center"/>
        </w:trPr>
        <w:tc>
          <w:tcPr>
            <w:tcW w:w="892" w:type="pct"/>
            <w:vMerge/>
          </w:tcPr>
          <w:p w:rsidR="00CB0DD7" w:rsidRPr="000A0A5F" w:rsidRDefault="00CB0DD7">
            <w:pPr>
              <w:pStyle w:val="TAL"/>
              <w:spacing w:line="276" w:lineRule="auto"/>
            </w:pPr>
          </w:p>
        </w:tc>
        <w:tc>
          <w:tcPr>
            <w:tcW w:w="2178" w:type="pct"/>
            <w:vMerge/>
          </w:tcPr>
          <w:p w:rsidR="00CB0DD7" w:rsidRPr="000A0A5F" w:rsidRDefault="00CB0DD7">
            <w:pPr>
              <w:pStyle w:val="TAL"/>
              <w:spacing w:line="276" w:lineRule="auto"/>
            </w:pPr>
          </w:p>
        </w:tc>
        <w:tc>
          <w:tcPr>
            <w:tcW w:w="432" w:type="pct"/>
          </w:tcPr>
          <w:p w:rsidR="00CB0DD7" w:rsidRPr="000A0A5F" w:rsidRDefault="00CB0DD7">
            <w:pPr>
              <w:pStyle w:val="TAL"/>
            </w:pPr>
            <w:r w:rsidRPr="000A0A5F">
              <w:t>DELETE</w:t>
            </w:r>
          </w:p>
        </w:tc>
        <w:tc>
          <w:tcPr>
            <w:tcW w:w="476" w:type="pct"/>
          </w:tcPr>
          <w:p w:rsidR="00CB0DD7" w:rsidRPr="000A0A5F" w:rsidRDefault="00CB0DD7">
            <w:pPr>
              <w:pStyle w:val="TAL"/>
              <w:rPr>
                <w:noProof/>
                <w:lang w:eastAsia="zh-CN"/>
              </w:rPr>
            </w:pPr>
            <w:r w:rsidRPr="000A0A5F">
              <w:rPr>
                <w:rFonts w:hint="eastAsia"/>
                <w:noProof/>
                <w:lang w:eastAsia="zh-CN"/>
              </w:rPr>
              <w:t>SCS/AS</w:t>
            </w:r>
          </w:p>
        </w:tc>
        <w:tc>
          <w:tcPr>
            <w:tcW w:w="1022" w:type="pct"/>
          </w:tcPr>
          <w:p w:rsidR="00CB0DD7" w:rsidRPr="000A0A5F" w:rsidRDefault="00CB0DD7">
            <w:pPr>
              <w:pStyle w:val="TAL"/>
            </w:pPr>
            <w:r w:rsidRPr="000A0A5F">
              <w:rPr>
                <w:noProof/>
                <w:lang w:eastAsia="zh-CN"/>
              </w:rPr>
              <w:t>Delete an existing device triggering transaction resource and cancel the device triggering</w:t>
            </w:r>
          </w:p>
        </w:tc>
      </w:tr>
    </w:tbl>
    <w:p w:rsidR="00CB0DD7" w:rsidRPr="000A0A5F" w:rsidRDefault="00CB0DD7"/>
    <w:p w:rsidR="00CB0DD7" w:rsidRPr="000A0A5F" w:rsidRDefault="00CB0DD7">
      <w:pPr>
        <w:pStyle w:val="Heading4"/>
      </w:pPr>
      <w:bookmarkStart w:id="4895" w:name="_Toc11247534"/>
      <w:bookmarkStart w:id="4896" w:name="_Toc27044673"/>
      <w:bookmarkStart w:id="4897" w:name="_Toc36033715"/>
      <w:bookmarkStart w:id="4898" w:name="_Toc45131861"/>
      <w:bookmarkStart w:id="4899" w:name="_Toc49776146"/>
      <w:bookmarkStart w:id="4900" w:name="_Toc51747066"/>
      <w:bookmarkStart w:id="4901" w:name="_Toc66360627"/>
      <w:bookmarkStart w:id="4902" w:name="_Toc68105132"/>
      <w:bookmarkStart w:id="4903" w:name="_Toc74755762"/>
      <w:bookmarkStart w:id="4904" w:name="_Toc105674637"/>
      <w:bookmarkStart w:id="4905" w:name="_Toc130502685"/>
      <w:bookmarkStart w:id="4906" w:name="_Toc153625472"/>
      <w:r w:rsidRPr="000A0A5F">
        <w:t>5.7.3.2</w:t>
      </w:r>
      <w:r w:rsidRPr="000A0A5F">
        <w:tab/>
        <w:t>Resource: Device Triggering Transactions</w:t>
      </w:r>
      <w:bookmarkEnd w:id="4895"/>
      <w:bookmarkEnd w:id="4896"/>
      <w:bookmarkEnd w:id="4897"/>
      <w:bookmarkEnd w:id="4898"/>
      <w:bookmarkEnd w:id="4899"/>
      <w:bookmarkEnd w:id="4900"/>
      <w:bookmarkEnd w:id="4901"/>
      <w:bookmarkEnd w:id="4902"/>
      <w:bookmarkEnd w:id="4903"/>
      <w:bookmarkEnd w:id="4904"/>
      <w:bookmarkEnd w:id="4905"/>
      <w:bookmarkEnd w:id="4906"/>
    </w:p>
    <w:p w:rsidR="00CB0DD7" w:rsidRPr="000A0A5F" w:rsidRDefault="00CB0DD7">
      <w:pPr>
        <w:pStyle w:val="Heading5"/>
      </w:pPr>
      <w:bookmarkStart w:id="4907" w:name="_Toc11247535"/>
      <w:bookmarkStart w:id="4908" w:name="_Toc27044674"/>
      <w:bookmarkStart w:id="4909" w:name="_Toc36033716"/>
      <w:bookmarkStart w:id="4910" w:name="_Toc45131862"/>
      <w:bookmarkStart w:id="4911" w:name="_Toc49776147"/>
      <w:bookmarkStart w:id="4912" w:name="_Toc51747067"/>
      <w:bookmarkStart w:id="4913" w:name="_Toc66360628"/>
      <w:bookmarkStart w:id="4914" w:name="_Toc68105133"/>
      <w:bookmarkStart w:id="4915" w:name="_Toc74755763"/>
      <w:bookmarkStart w:id="4916" w:name="_Toc105674638"/>
      <w:bookmarkStart w:id="4917" w:name="_Toc130502686"/>
      <w:bookmarkStart w:id="4918" w:name="_Toc153625473"/>
      <w:r w:rsidRPr="000A0A5F">
        <w:t>5.7.3.2.1</w:t>
      </w:r>
      <w:r w:rsidRPr="000A0A5F">
        <w:tab/>
        <w:t>Introduction</w:t>
      </w:r>
      <w:bookmarkEnd w:id="4907"/>
      <w:bookmarkEnd w:id="4908"/>
      <w:bookmarkEnd w:id="4909"/>
      <w:bookmarkEnd w:id="4910"/>
      <w:bookmarkEnd w:id="4911"/>
      <w:bookmarkEnd w:id="4912"/>
      <w:bookmarkEnd w:id="4913"/>
      <w:bookmarkEnd w:id="4914"/>
      <w:bookmarkEnd w:id="4915"/>
      <w:bookmarkEnd w:id="4916"/>
      <w:bookmarkEnd w:id="4917"/>
      <w:bookmarkEnd w:id="4918"/>
    </w:p>
    <w:p w:rsidR="00CB0DD7" w:rsidRPr="000A0A5F" w:rsidRDefault="00CB0DD7">
      <w:pPr>
        <w:rPr>
          <w:noProof/>
          <w:lang w:eastAsia="zh-CN"/>
        </w:rPr>
      </w:pPr>
      <w:r w:rsidRPr="000A0A5F">
        <w:rPr>
          <w:noProof/>
          <w:lang w:eastAsia="zh-CN"/>
        </w:rPr>
        <w:t>This resource allows t</w:t>
      </w:r>
      <w:r w:rsidRPr="000A0A5F">
        <w:rPr>
          <w:rFonts w:hint="eastAsia"/>
          <w:noProof/>
          <w:lang w:eastAsia="zh-CN"/>
        </w:rPr>
        <w:t xml:space="preserve">he SCS/AS </w:t>
      </w:r>
      <w:r w:rsidRPr="000A0A5F">
        <w:rPr>
          <w:noProof/>
          <w:lang w:eastAsia="zh-CN"/>
        </w:rPr>
        <w:t>to read all active resources related to device triggering, and create a resource for a device triggering transaction with the SCEF.</w:t>
      </w:r>
    </w:p>
    <w:p w:rsidR="00CB0DD7" w:rsidRPr="000A0A5F" w:rsidRDefault="00CB0DD7">
      <w:pPr>
        <w:pStyle w:val="Heading5"/>
      </w:pPr>
      <w:bookmarkStart w:id="4919" w:name="_Toc11247536"/>
      <w:bookmarkStart w:id="4920" w:name="_Toc27044675"/>
      <w:bookmarkStart w:id="4921" w:name="_Toc36033717"/>
      <w:bookmarkStart w:id="4922" w:name="_Toc45131863"/>
      <w:bookmarkStart w:id="4923" w:name="_Toc49776148"/>
      <w:bookmarkStart w:id="4924" w:name="_Toc51747068"/>
      <w:bookmarkStart w:id="4925" w:name="_Toc66360629"/>
      <w:bookmarkStart w:id="4926" w:name="_Toc68105134"/>
      <w:bookmarkStart w:id="4927" w:name="_Toc74755764"/>
      <w:bookmarkStart w:id="4928" w:name="_Toc105674639"/>
      <w:bookmarkStart w:id="4929" w:name="_Toc130502687"/>
      <w:bookmarkStart w:id="4930" w:name="_Toc153625474"/>
      <w:r w:rsidRPr="000A0A5F">
        <w:t>5.7.3.2.2</w:t>
      </w:r>
      <w:r w:rsidRPr="000A0A5F">
        <w:tab/>
        <w:t>Resource definition</w:t>
      </w:r>
      <w:bookmarkEnd w:id="4919"/>
      <w:bookmarkEnd w:id="4920"/>
      <w:bookmarkEnd w:id="4921"/>
      <w:bookmarkEnd w:id="4922"/>
      <w:bookmarkEnd w:id="4923"/>
      <w:bookmarkEnd w:id="4924"/>
      <w:bookmarkEnd w:id="4925"/>
      <w:bookmarkEnd w:id="4926"/>
      <w:bookmarkEnd w:id="4927"/>
      <w:bookmarkEnd w:id="4928"/>
      <w:bookmarkEnd w:id="4929"/>
      <w:bookmarkEnd w:id="4930"/>
    </w:p>
    <w:p w:rsidR="00CB0DD7" w:rsidRPr="000A0A5F" w:rsidRDefault="00CB0DD7">
      <w:r w:rsidRPr="000A0A5F">
        <w:t xml:space="preserve">Resource URI: </w:t>
      </w:r>
      <w:r w:rsidRPr="000A0A5F">
        <w:rPr>
          <w:b/>
        </w:rPr>
        <w:t>{apiRoot}/3gpp-device-triggering/v1/{scsAsId}/transactions</w:t>
      </w:r>
    </w:p>
    <w:p w:rsidR="00CB0DD7" w:rsidRPr="000A0A5F" w:rsidRDefault="00CB0DD7">
      <w:pPr>
        <w:rPr>
          <w:rFonts w:ascii="Arial" w:hAnsi="Arial" w:cs="Arial"/>
        </w:rPr>
      </w:pPr>
      <w:r w:rsidRPr="000A0A5F">
        <w:t>This resource shall support the resource URI variables defined in table 5.7.3.2.2-1</w:t>
      </w:r>
      <w:r w:rsidRPr="000A0A5F">
        <w:rPr>
          <w:rFonts w:ascii="Arial" w:hAnsi="Arial" w:cs="Arial"/>
        </w:rPr>
        <w:t>.</w:t>
      </w:r>
    </w:p>
    <w:p w:rsidR="00CB0DD7" w:rsidRPr="000A0A5F" w:rsidRDefault="00CB0DD7">
      <w:pPr>
        <w:pStyle w:val="TH"/>
        <w:rPr>
          <w:rFonts w:cs="Arial"/>
        </w:rPr>
      </w:pPr>
      <w:r w:rsidRPr="000A0A5F">
        <w:t>Table 5.7.3.2.2-1: Resource URI variables for resource "Device Triggering Transactions"</w:t>
      </w:r>
    </w:p>
    <w:tbl>
      <w:tblPr>
        <w:tblW w:w="494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970"/>
        <w:gridCol w:w="1312"/>
        <w:gridCol w:w="6378"/>
      </w:tblGrid>
      <w:tr w:rsidR="00CB0DD7" w:rsidRPr="000A0A5F" w:rsidTr="00FF0AF8">
        <w:trPr>
          <w:jc w:val="center"/>
        </w:trPr>
        <w:tc>
          <w:tcPr>
            <w:tcW w:w="1020" w:type="pct"/>
            <w:shd w:val="clear" w:color="000000" w:fill="C0C0C0"/>
          </w:tcPr>
          <w:p w:rsidR="00CB0DD7" w:rsidRPr="000A0A5F" w:rsidRDefault="00CB0DD7">
            <w:pPr>
              <w:pStyle w:val="TAH"/>
            </w:pPr>
            <w:r w:rsidRPr="000A0A5F">
              <w:t>Name</w:t>
            </w:r>
          </w:p>
        </w:tc>
        <w:tc>
          <w:tcPr>
            <w:tcW w:w="679" w:type="pct"/>
            <w:shd w:val="clear" w:color="000000" w:fill="C0C0C0"/>
          </w:tcPr>
          <w:p w:rsidR="00CB0DD7" w:rsidRPr="000A0A5F" w:rsidRDefault="00CB0DD7">
            <w:pPr>
              <w:pStyle w:val="TAH"/>
            </w:pPr>
            <w:r w:rsidRPr="000A0A5F">
              <w:t>Data type</w:t>
            </w:r>
          </w:p>
        </w:tc>
        <w:tc>
          <w:tcPr>
            <w:tcW w:w="3302" w:type="pct"/>
            <w:shd w:val="clear" w:color="000000" w:fill="C0C0C0"/>
            <w:vAlign w:val="center"/>
          </w:tcPr>
          <w:p w:rsidR="00CB0DD7" w:rsidRPr="000A0A5F" w:rsidRDefault="00CB0DD7">
            <w:pPr>
              <w:pStyle w:val="TAH"/>
            </w:pPr>
            <w:r w:rsidRPr="000A0A5F">
              <w:t>Definition</w:t>
            </w:r>
          </w:p>
        </w:tc>
      </w:tr>
      <w:tr w:rsidR="00CB0DD7" w:rsidRPr="000A0A5F" w:rsidTr="00FF0AF8">
        <w:trPr>
          <w:jc w:val="center"/>
        </w:trPr>
        <w:tc>
          <w:tcPr>
            <w:tcW w:w="1020" w:type="pct"/>
            <w:shd w:val="clear" w:color="auto" w:fill="auto"/>
          </w:tcPr>
          <w:p w:rsidR="00CB0DD7" w:rsidRPr="000A0A5F" w:rsidRDefault="00CB0DD7">
            <w:pPr>
              <w:pStyle w:val="TAL"/>
            </w:pPr>
            <w:r w:rsidRPr="000A0A5F">
              <w:t>apiRoot</w:t>
            </w:r>
          </w:p>
        </w:tc>
        <w:tc>
          <w:tcPr>
            <w:tcW w:w="679" w:type="pct"/>
          </w:tcPr>
          <w:p w:rsidR="00CB0DD7" w:rsidRPr="000A0A5F" w:rsidRDefault="00CB0DD7">
            <w:pPr>
              <w:pStyle w:val="TAL"/>
            </w:pPr>
            <w:r w:rsidRPr="000A0A5F">
              <w:rPr>
                <w:rFonts w:hint="eastAsia"/>
                <w:lang w:eastAsia="zh-CN"/>
              </w:rPr>
              <w:t>s</w:t>
            </w:r>
            <w:r w:rsidRPr="000A0A5F">
              <w:rPr>
                <w:lang w:eastAsia="zh-CN"/>
              </w:rPr>
              <w:t>tring</w:t>
            </w:r>
          </w:p>
        </w:tc>
        <w:tc>
          <w:tcPr>
            <w:tcW w:w="3302" w:type="pct"/>
            <w:shd w:val="clear" w:color="auto" w:fill="auto"/>
            <w:vAlign w:val="center"/>
          </w:tcPr>
          <w:p w:rsidR="00CB0DD7" w:rsidRPr="000A0A5F" w:rsidRDefault="00CB0DD7">
            <w:pPr>
              <w:pStyle w:val="TAL"/>
            </w:pPr>
            <w:r w:rsidRPr="000A0A5F">
              <w:t>See clause</w:t>
            </w:r>
            <w:r w:rsidRPr="000A0A5F">
              <w:rPr>
                <w:lang w:val="en-US" w:eastAsia="zh-CN"/>
              </w:rPr>
              <w:t> </w:t>
            </w:r>
            <w:r w:rsidRPr="000A0A5F">
              <w:t>5.2.4.</w:t>
            </w:r>
          </w:p>
        </w:tc>
      </w:tr>
      <w:tr w:rsidR="00CB0DD7" w:rsidRPr="000A0A5F" w:rsidTr="00FF0AF8">
        <w:trPr>
          <w:jc w:val="center"/>
        </w:trPr>
        <w:tc>
          <w:tcPr>
            <w:tcW w:w="1020" w:type="pct"/>
            <w:shd w:val="clear" w:color="auto" w:fill="auto"/>
          </w:tcPr>
          <w:p w:rsidR="00CB0DD7" w:rsidRPr="000A0A5F" w:rsidRDefault="00CB0DD7">
            <w:pPr>
              <w:pStyle w:val="TAL"/>
            </w:pPr>
            <w:r w:rsidRPr="000A0A5F">
              <w:t>scsAsId</w:t>
            </w:r>
          </w:p>
        </w:tc>
        <w:tc>
          <w:tcPr>
            <w:tcW w:w="679" w:type="pct"/>
          </w:tcPr>
          <w:p w:rsidR="00CB0DD7" w:rsidRPr="000A0A5F" w:rsidRDefault="00CB0DD7">
            <w:pPr>
              <w:pStyle w:val="TAL"/>
            </w:pPr>
            <w:r w:rsidRPr="000A0A5F">
              <w:rPr>
                <w:rFonts w:hint="eastAsia"/>
                <w:lang w:eastAsia="zh-CN"/>
              </w:rPr>
              <w:t>s</w:t>
            </w:r>
            <w:r w:rsidRPr="000A0A5F">
              <w:rPr>
                <w:lang w:eastAsia="zh-CN"/>
              </w:rPr>
              <w:t>tring</w:t>
            </w:r>
          </w:p>
        </w:tc>
        <w:tc>
          <w:tcPr>
            <w:tcW w:w="3302" w:type="pct"/>
            <w:shd w:val="clear" w:color="auto" w:fill="auto"/>
            <w:vAlign w:val="center"/>
          </w:tcPr>
          <w:p w:rsidR="00CB0DD7" w:rsidRPr="000A0A5F" w:rsidRDefault="00CB0DD7">
            <w:pPr>
              <w:pStyle w:val="TAL"/>
            </w:pPr>
            <w:r w:rsidRPr="000A0A5F">
              <w:t>Identifier of the SCS/AS.</w:t>
            </w:r>
          </w:p>
        </w:tc>
      </w:tr>
    </w:tbl>
    <w:p w:rsidR="00CB0DD7" w:rsidRPr="000A0A5F" w:rsidRDefault="00CB0DD7"/>
    <w:p w:rsidR="00CB0DD7" w:rsidRPr="000A0A5F" w:rsidRDefault="00CB0DD7">
      <w:pPr>
        <w:pStyle w:val="Heading5"/>
      </w:pPr>
      <w:bookmarkStart w:id="4931" w:name="_Toc11247537"/>
      <w:bookmarkStart w:id="4932" w:name="_Toc27044676"/>
      <w:bookmarkStart w:id="4933" w:name="_Toc36033718"/>
      <w:bookmarkStart w:id="4934" w:name="_Toc45131864"/>
      <w:bookmarkStart w:id="4935" w:name="_Toc49776149"/>
      <w:bookmarkStart w:id="4936" w:name="_Toc51747069"/>
      <w:bookmarkStart w:id="4937" w:name="_Toc66360630"/>
      <w:bookmarkStart w:id="4938" w:name="_Toc68105135"/>
      <w:bookmarkStart w:id="4939" w:name="_Toc74755765"/>
      <w:bookmarkStart w:id="4940" w:name="_Toc105674640"/>
      <w:bookmarkStart w:id="4941" w:name="_Toc130502688"/>
      <w:bookmarkStart w:id="4942" w:name="_Toc153625475"/>
      <w:r w:rsidRPr="000A0A5F">
        <w:t>5.7.3.2.3</w:t>
      </w:r>
      <w:r w:rsidRPr="000A0A5F">
        <w:tab/>
        <w:t>Resource methods</w:t>
      </w:r>
      <w:bookmarkEnd w:id="4931"/>
      <w:bookmarkEnd w:id="4932"/>
      <w:bookmarkEnd w:id="4933"/>
      <w:bookmarkEnd w:id="4934"/>
      <w:bookmarkEnd w:id="4935"/>
      <w:bookmarkEnd w:id="4936"/>
      <w:bookmarkEnd w:id="4937"/>
      <w:bookmarkEnd w:id="4938"/>
      <w:bookmarkEnd w:id="4939"/>
      <w:bookmarkEnd w:id="4940"/>
      <w:bookmarkEnd w:id="4941"/>
      <w:bookmarkEnd w:id="4942"/>
    </w:p>
    <w:p w:rsidR="00CB0DD7" w:rsidRPr="000A0A5F" w:rsidRDefault="00CB0DD7">
      <w:pPr>
        <w:pStyle w:val="Heading6"/>
      </w:pPr>
      <w:bookmarkStart w:id="4943" w:name="_Toc11247538"/>
      <w:bookmarkStart w:id="4944" w:name="_Toc27044677"/>
      <w:bookmarkStart w:id="4945" w:name="_Toc36033719"/>
      <w:bookmarkStart w:id="4946" w:name="_Toc45131865"/>
      <w:bookmarkStart w:id="4947" w:name="_Toc49776150"/>
      <w:bookmarkStart w:id="4948" w:name="_Toc51747070"/>
      <w:bookmarkStart w:id="4949" w:name="_Toc66360631"/>
      <w:bookmarkStart w:id="4950" w:name="_Toc68105136"/>
      <w:bookmarkStart w:id="4951" w:name="_Toc74755766"/>
      <w:bookmarkStart w:id="4952" w:name="_Toc105674641"/>
      <w:bookmarkStart w:id="4953" w:name="_Toc130502689"/>
      <w:bookmarkStart w:id="4954" w:name="_Toc153625476"/>
      <w:r w:rsidRPr="000A0A5F">
        <w:t>5.7.3.2.3.1</w:t>
      </w:r>
      <w:r w:rsidRPr="000A0A5F">
        <w:tab/>
        <w:t>GET</w:t>
      </w:r>
      <w:bookmarkEnd w:id="4943"/>
      <w:bookmarkEnd w:id="4944"/>
      <w:bookmarkEnd w:id="4945"/>
      <w:bookmarkEnd w:id="4946"/>
      <w:bookmarkEnd w:id="4947"/>
      <w:bookmarkEnd w:id="4948"/>
      <w:bookmarkEnd w:id="4949"/>
      <w:bookmarkEnd w:id="4950"/>
      <w:bookmarkEnd w:id="4951"/>
      <w:bookmarkEnd w:id="4952"/>
      <w:bookmarkEnd w:id="4953"/>
      <w:bookmarkEnd w:id="4954"/>
    </w:p>
    <w:p w:rsidR="00CB0DD7" w:rsidRPr="000A0A5F" w:rsidRDefault="00CB0DD7">
      <w:pPr>
        <w:rPr>
          <w:noProof/>
          <w:lang w:eastAsia="zh-CN"/>
        </w:rPr>
      </w:pPr>
      <w:r w:rsidRPr="000A0A5F">
        <w:rPr>
          <w:noProof/>
          <w:lang w:eastAsia="zh-CN"/>
        </w:rPr>
        <w:t xml:space="preserve">The GET method allows to read all active device triggering transactions for a given SCS/AS. The SCS/AS shall initiate the HTTP GET request message and the SCEF shall respond to the message. </w:t>
      </w:r>
    </w:p>
    <w:p w:rsidR="00CB0DD7" w:rsidRPr="000A0A5F" w:rsidRDefault="00CB0DD7">
      <w:r w:rsidRPr="000A0A5F">
        <w:t>This method shall support the URI query parameters, request and response data structures, and response codes, as specified in table 5.7.3.2.3.1-1 and table 5.7.3.2.3.1-2.</w:t>
      </w:r>
    </w:p>
    <w:p w:rsidR="00CB0DD7" w:rsidRPr="000A0A5F" w:rsidRDefault="00CB0DD7">
      <w:pPr>
        <w:pStyle w:val="TH"/>
        <w:rPr>
          <w:rFonts w:cs="Arial"/>
        </w:rPr>
      </w:pPr>
      <w:r w:rsidRPr="000A0A5F">
        <w:t xml:space="preserve">Table 5.7.3.2.3.1-1: URI query parameters supported by the GET method on this resource </w:t>
      </w:r>
    </w:p>
    <w:tbl>
      <w:tblPr>
        <w:tblW w:w="4999"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612"/>
        <w:gridCol w:w="1709"/>
        <w:gridCol w:w="1140"/>
        <w:gridCol w:w="5314"/>
      </w:tblGrid>
      <w:tr w:rsidR="00CB0DD7" w:rsidRPr="000A0A5F" w:rsidTr="00FF0AF8">
        <w:trPr>
          <w:jc w:val="center"/>
        </w:trPr>
        <w:tc>
          <w:tcPr>
            <w:tcW w:w="825" w:type="pct"/>
            <w:shd w:val="clear" w:color="000000" w:fill="C0C0C0"/>
          </w:tcPr>
          <w:p w:rsidR="00CB0DD7" w:rsidRPr="000A0A5F" w:rsidRDefault="00CB0DD7">
            <w:pPr>
              <w:pStyle w:val="TAH"/>
            </w:pPr>
            <w:r w:rsidRPr="000A0A5F">
              <w:t>Name</w:t>
            </w:r>
          </w:p>
        </w:tc>
        <w:tc>
          <w:tcPr>
            <w:tcW w:w="874" w:type="pct"/>
            <w:shd w:val="clear" w:color="000000" w:fill="C0C0C0"/>
          </w:tcPr>
          <w:p w:rsidR="00CB0DD7" w:rsidRPr="000A0A5F" w:rsidRDefault="00CB0DD7">
            <w:pPr>
              <w:pStyle w:val="TAH"/>
            </w:pPr>
            <w:r w:rsidRPr="000A0A5F">
              <w:t>Data type</w:t>
            </w:r>
          </w:p>
        </w:tc>
        <w:tc>
          <w:tcPr>
            <w:tcW w:w="583" w:type="pct"/>
            <w:shd w:val="clear" w:color="000000" w:fill="C0C0C0"/>
          </w:tcPr>
          <w:p w:rsidR="00CB0DD7" w:rsidRPr="000A0A5F" w:rsidRDefault="00CB0DD7">
            <w:pPr>
              <w:pStyle w:val="TAH"/>
            </w:pPr>
            <w:r w:rsidRPr="000A0A5F">
              <w:t>Cardinality</w:t>
            </w:r>
          </w:p>
        </w:tc>
        <w:tc>
          <w:tcPr>
            <w:tcW w:w="2718" w:type="pct"/>
            <w:shd w:val="clear" w:color="000000" w:fill="C0C0C0"/>
            <w:vAlign w:val="center"/>
          </w:tcPr>
          <w:p w:rsidR="00CB0DD7" w:rsidRPr="000A0A5F" w:rsidRDefault="00CB0DD7">
            <w:pPr>
              <w:pStyle w:val="TAH"/>
            </w:pPr>
            <w:r w:rsidRPr="000A0A5F">
              <w:t>Remarks</w:t>
            </w:r>
          </w:p>
        </w:tc>
      </w:tr>
      <w:tr w:rsidR="00CB0DD7" w:rsidRPr="000A0A5F" w:rsidTr="00FF0AF8">
        <w:trPr>
          <w:jc w:val="center"/>
        </w:trPr>
        <w:tc>
          <w:tcPr>
            <w:tcW w:w="825" w:type="pct"/>
            <w:shd w:val="clear" w:color="auto" w:fill="auto"/>
          </w:tcPr>
          <w:p w:rsidR="00CB0DD7" w:rsidRPr="000A0A5F" w:rsidRDefault="00CB0DD7">
            <w:pPr>
              <w:pStyle w:val="TAL"/>
            </w:pPr>
            <w:r w:rsidRPr="000A0A5F">
              <w:t>none specified</w:t>
            </w:r>
          </w:p>
        </w:tc>
        <w:tc>
          <w:tcPr>
            <w:tcW w:w="874" w:type="pct"/>
          </w:tcPr>
          <w:p w:rsidR="00CB0DD7" w:rsidRPr="000A0A5F" w:rsidRDefault="00CB0DD7">
            <w:pPr>
              <w:pStyle w:val="TAL"/>
            </w:pPr>
          </w:p>
        </w:tc>
        <w:tc>
          <w:tcPr>
            <w:tcW w:w="583" w:type="pct"/>
          </w:tcPr>
          <w:p w:rsidR="00CB0DD7" w:rsidRPr="000A0A5F" w:rsidRDefault="00CB0DD7">
            <w:pPr>
              <w:pStyle w:val="TAL"/>
            </w:pPr>
          </w:p>
        </w:tc>
        <w:tc>
          <w:tcPr>
            <w:tcW w:w="2718" w:type="pct"/>
            <w:shd w:val="clear" w:color="auto" w:fill="auto"/>
            <w:vAlign w:val="center"/>
          </w:tcPr>
          <w:p w:rsidR="00CB0DD7" w:rsidRPr="000A0A5F" w:rsidRDefault="00CB0DD7">
            <w:pPr>
              <w:pStyle w:val="TAL"/>
            </w:pPr>
          </w:p>
        </w:tc>
      </w:tr>
    </w:tbl>
    <w:p w:rsidR="00CB0DD7" w:rsidRPr="000A0A5F" w:rsidRDefault="00CB0DD7"/>
    <w:p w:rsidR="00CB0DD7" w:rsidRPr="000A0A5F" w:rsidRDefault="00CB0DD7">
      <w:pPr>
        <w:pStyle w:val="TH"/>
      </w:pPr>
      <w:r w:rsidRPr="000A0A5F">
        <w:t>Table 5.7.3.2.3.1-2: Data structures supported by the GET request/response by the resource</w:t>
      </w:r>
    </w:p>
    <w:tbl>
      <w:tblPr>
        <w:tblW w:w="4999" w:type="pct"/>
        <w:tblInd w:w="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45" w:type="dxa"/>
          <w:left w:w="45" w:type="dxa"/>
          <w:bottom w:w="45" w:type="dxa"/>
          <w:right w:w="45" w:type="dxa"/>
        </w:tblCellMar>
        <w:tblLook w:val="0000" w:firstRow="0" w:lastRow="0" w:firstColumn="0" w:lastColumn="0" w:noHBand="0" w:noVBand="0"/>
      </w:tblPr>
      <w:tblGrid>
        <w:gridCol w:w="1035"/>
        <w:gridCol w:w="2127"/>
        <w:gridCol w:w="1053"/>
        <w:gridCol w:w="973"/>
        <w:gridCol w:w="4541"/>
      </w:tblGrid>
      <w:tr w:rsidR="00CB0DD7" w:rsidRPr="000A0A5F" w:rsidTr="00C9682D">
        <w:tc>
          <w:tcPr>
            <w:tcW w:w="532" w:type="pct"/>
            <w:vMerge w:val="restart"/>
            <w:shd w:val="clear" w:color="auto" w:fill="C0C0C0"/>
            <w:vAlign w:val="center"/>
          </w:tcPr>
          <w:p w:rsidR="00CB0DD7" w:rsidRPr="000A0A5F" w:rsidRDefault="00CB0DD7">
            <w:pPr>
              <w:pStyle w:val="TAH"/>
            </w:pPr>
            <w:r w:rsidRPr="000A0A5F">
              <w:t>Request body</w:t>
            </w:r>
          </w:p>
        </w:tc>
        <w:tc>
          <w:tcPr>
            <w:tcW w:w="1093" w:type="pct"/>
            <w:shd w:val="clear" w:color="auto" w:fill="C0C0C0"/>
          </w:tcPr>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r w:rsidRPr="000A0A5F">
              <w:t>Cardinality</w:t>
            </w:r>
          </w:p>
        </w:tc>
        <w:tc>
          <w:tcPr>
            <w:tcW w:w="2834" w:type="pct"/>
            <w:gridSpan w:val="2"/>
            <w:shd w:val="clear" w:color="auto" w:fill="C0C0C0"/>
          </w:tcPr>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none</w:t>
            </w:r>
          </w:p>
        </w:tc>
        <w:tc>
          <w:tcPr>
            <w:tcW w:w="541" w:type="pct"/>
          </w:tcPr>
          <w:p w:rsidR="00CB0DD7" w:rsidRPr="000A0A5F" w:rsidRDefault="00CB0DD7">
            <w:pPr>
              <w:pStyle w:val="TAL"/>
            </w:pPr>
          </w:p>
        </w:tc>
        <w:tc>
          <w:tcPr>
            <w:tcW w:w="2834" w:type="pct"/>
            <w:gridSpan w:val="2"/>
          </w:tcPr>
          <w:p w:rsidR="00CB0DD7" w:rsidRPr="000A0A5F" w:rsidRDefault="00CB0DD7">
            <w:pPr>
              <w:pStyle w:val="TAL"/>
            </w:pPr>
          </w:p>
        </w:tc>
      </w:tr>
      <w:tr w:rsidR="00CB0DD7" w:rsidRPr="000A0A5F" w:rsidTr="00C9682D">
        <w:tc>
          <w:tcPr>
            <w:tcW w:w="532" w:type="pct"/>
            <w:vMerge w:val="restart"/>
            <w:shd w:val="clear" w:color="auto" w:fill="C0C0C0"/>
            <w:vAlign w:val="center"/>
          </w:tcPr>
          <w:p w:rsidR="00CB0DD7" w:rsidRPr="000A0A5F" w:rsidRDefault="00CB0DD7">
            <w:pPr>
              <w:pStyle w:val="TAH"/>
            </w:pPr>
            <w:r w:rsidRPr="000A0A5F">
              <w:t>Response body</w:t>
            </w:r>
          </w:p>
        </w:tc>
        <w:tc>
          <w:tcPr>
            <w:tcW w:w="1093" w:type="pct"/>
            <w:shd w:val="clear" w:color="auto" w:fill="C0C0C0"/>
          </w:tcPr>
          <w:p w:rsidR="00CB0DD7" w:rsidRPr="000A0A5F" w:rsidRDefault="00CB0DD7">
            <w:pPr>
              <w:pStyle w:val="TAH"/>
            </w:pPr>
          </w:p>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p>
          <w:p w:rsidR="00CB0DD7" w:rsidRPr="000A0A5F" w:rsidRDefault="00CB0DD7">
            <w:pPr>
              <w:pStyle w:val="TAH"/>
            </w:pPr>
            <w:r w:rsidRPr="000A0A5F">
              <w:t>Cardinality</w:t>
            </w:r>
          </w:p>
        </w:tc>
        <w:tc>
          <w:tcPr>
            <w:tcW w:w="500" w:type="pct"/>
            <w:shd w:val="clear" w:color="auto" w:fill="C0C0C0"/>
          </w:tcPr>
          <w:p w:rsidR="00CB0DD7" w:rsidRPr="000A0A5F" w:rsidRDefault="00CB0DD7">
            <w:pPr>
              <w:pStyle w:val="TAH"/>
            </w:pPr>
            <w:r w:rsidRPr="000A0A5F">
              <w:t>Response</w:t>
            </w:r>
          </w:p>
          <w:p w:rsidR="00CB0DD7" w:rsidRPr="000A0A5F" w:rsidRDefault="00CB0DD7">
            <w:pPr>
              <w:pStyle w:val="TAH"/>
            </w:pPr>
            <w:r w:rsidRPr="000A0A5F">
              <w:t>codes</w:t>
            </w:r>
          </w:p>
        </w:tc>
        <w:tc>
          <w:tcPr>
            <w:tcW w:w="2334" w:type="pct"/>
            <w:shd w:val="clear" w:color="auto" w:fill="C0C0C0"/>
          </w:tcPr>
          <w:p w:rsidR="00CB0DD7" w:rsidRPr="000A0A5F" w:rsidRDefault="00CB0DD7">
            <w:pPr>
              <w:pStyle w:val="TAH"/>
            </w:pPr>
          </w:p>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array(DeviceTriggering)</w:t>
            </w:r>
          </w:p>
        </w:tc>
        <w:tc>
          <w:tcPr>
            <w:tcW w:w="541" w:type="pct"/>
          </w:tcPr>
          <w:p w:rsidR="00CB0DD7" w:rsidRPr="000A0A5F" w:rsidRDefault="00CB0DD7">
            <w:pPr>
              <w:pStyle w:val="TAL"/>
            </w:pPr>
            <w:r w:rsidRPr="000A0A5F">
              <w:t>0..N</w:t>
            </w:r>
          </w:p>
        </w:tc>
        <w:tc>
          <w:tcPr>
            <w:tcW w:w="500" w:type="pct"/>
          </w:tcPr>
          <w:p w:rsidR="00CB0DD7" w:rsidRPr="000A0A5F" w:rsidRDefault="00CB0DD7">
            <w:pPr>
              <w:pStyle w:val="TAL"/>
            </w:pPr>
            <w:r w:rsidRPr="000A0A5F">
              <w:t>200 OK</w:t>
            </w:r>
          </w:p>
        </w:tc>
        <w:tc>
          <w:tcPr>
            <w:tcW w:w="2334" w:type="pct"/>
          </w:tcPr>
          <w:p w:rsidR="00CB0DD7" w:rsidRPr="000A0A5F" w:rsidRDefault="00CB0DD7">
            <w:pPr>
              <w:pStyle w:val="TAL"/>
            </w:pPr>
            <w:r w:rsidRPr="000A0A5F">
              <w:t>The device triggering transactions information for the SCS/AS in the request URI are returned.</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none</w:t>
            </w:r>
          </w:p>
        </w:tc>
        <w:tc>
          <w:tcPr>
            <w:tcW w:w="541" w:type="pct"/>
          </w:tcPr>
          <w:p w:rsidR="00CB0DD7" w:rsidRPr="000A0A5F" w:rsidRDefault="00CB0DD7">
            <w:pPr>
              <w:pStyle w:val="TAL"/>
            </w:pPr>
          </w:p>
        </w:tc>
        <w:tc>
          <w:tcPr>
            <w:tcW w:w="500" w:type="pct"/>
          </w:tcPr>
          <w:p w:rsidR="00CB0DD7" w:rsidRPr="000A0A5F" w:rsidRDefault="00CB0DD7">
            <w:pPr>
              <w:pStyle w:val="TAL"/>
            </w:pPr>
            <w:r w:rsidRPr="000A0A5F">
              <w:t>307 Temporary Redirect</w:t>
            </w:r>
          </w:p>
        </w:tc>
        <w:tc>
          <w:tcPr>
            <w:tcW w:w="2334" w:type="pct"/>
          </w:tcPr>
          <w:p w:rsidR="00CB0DD7" w:rsidRPr="000A0A5F" w:rsidRDefault="00CB0DD7">
            <w:pPr>
              <w:pStyle w:val="TAL"/>
            </w:pPr>
            <w:r w:rsidRPr="000A0A5F">
              <w:t>Temporary redirection, during transaction retrieval. The response shall include a Location header field containing an alternative URI of the resource located in an alternative SCEF.</w:t>
            </w:r>
          </w:p>
          <w:p w:rsidR="00CB0DD7" w:rsidRPr="000A0A5F" w:rsidRDefault="00CB0DD7">
            <w:pPr>
              <w:pStyle w:val="TAL"/>
            </w:pPr>
            <w:r w:rsidRPr="000A0A5F">
              <w:t>Redirection handling is described in clause 5.2.10.</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none</w:t>
            </w:r>
          </w:p>
        </w:tc>
        <w:tc>
          <w:tcPr>
            <w:tcW w:w="541" w:type="pct"/>
          </w:tcPr>
          <w:p w:rsidR="00CB0DD7" w:rsidRPr="000A0A5F" w:rsidRDefault="00CB0DD7">
            <w:pPr>
              <w:pStyle w:val="TAL"/>
            </w:pPr>
          </w:p>
        </w:tc>
        <w:tc>
          <w:tcPr>
            <w:tcW w:w="500" w:type="pct"/>
          </w:tcPr>
          <w:p w:rsidR="00CB0DD7" w:rsidRPr="000A0A5F" w:rsidRDefault="00CB0DD7">
            <w:pPr>
              <w:pStyle w:val="TAL"/>
            </w:pPr>
            <w:r w:rsidRPr="000A0A5F">
              <w:t>308 Permanent Redirect</w:t>
            </w:r>
          </w:p>
        </w:tc>
        <w:tc>
          <w:tcPr>
            <w:tcW w:w="2334" w:type="pct"/>
          </w:tcPr>
          <w:p w:rsidR="00CB0DD7" w:rsidRPr="000A0A5F" w:rsidRDefault="00CB0DD7">
            <w:pPr>
              <w:pStyle w:val="TAL"/>
            </w:pPr>
            <w:r w:rsidRPr="000A0A5F">
              <w:t>Permanent redirection, during transaction retrieval. The response shall include a Location header field containing an alternative URI of the resource located in an alternative SCEF.</w:t>
            </w:r>
          </w:p>
          <w:p w:rsidR="00CB0DD7" w:rsidRPr="000A0A5F" w:rsidRDefault="00CB0DD7">
            <w:pPr>
              <w:pStyle w:val="TAL"/>
            </w:pPr>
            <w:r w:rsidRPr="000A0A5F">
              <w:t>Redirection handling is described in clause 5.2.10.</w:t>
            </w:r>
          </w:p>
        </w:tc>
      </w:tr>
      <w:tr w:rsidR="00CB0DD7" w:rsidRPr="000A0A5F" w:rsidTr="00FF0AF8">
        <w:tc>
          <w:tcPr>
            <w:tcW w:w="5000" w:type="pct"/>
            <w:gridSpan w:val="5"/>
            <w:shd w:val="clear" w:color="auto" w:fill="auto"/>
            <w:vAlign w:val="center"/>
          </w:tcPr>
          <w:p w:rsidR="00CB0DD7" w:rsidRPr="000A0A5F" w:rsidRDefault="00CB0DD7">
            <w:pPr>
              <w:pStyle w:val="TAN"/>
            </w:pPr>
            <w:r w:rsidRPr="000A0A5F">
              <w:t>NOTE:</w:t>
            </w:r>
            <w:r w:rsidRPr="000A0A5F">
              <w:tab/>
              <w:t>The mandatory HTTP error status codes for the GET method listed in table 5.2.6-1 also apply.</w:t>
            </w:r>
          </w:p>
        </w:tc>
      </w:tr>
    </w:tbl>
    <w:p w:rsidR="00CB0DD7" w:rsidRPr="000A0A5F" w:rsidRDefault="00CB0DD7"/>
    <w:p w:rsidR="00CB0DD7" w:rsidRPr="000A0A5F" w:rsidRDefault="002E466A">
      <w:pPr>
        <w:pStyle w:val="TH"/>
      </w:pPr>
      <w:r w:rsidRPr="000A0A5F">
        <w:t>Table </w:t>
      </w:r>
      <w:r w:rsidR="00CB0DD7" w:rsidRPr="000A0A5F">
        <w:t>5.7.3.2.3.1-3: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2E466A">
      <w:pPr>
        <w:pStyle w:val="TH"/>
      </w:pPr>
      <w:r w:rsidRPr="000A0A5F">
        <w:t>Table </w:t>
      </w:r>
      <w:r w:rsidR="00CB0DD7" w:rsidRPr="000A0A5F">
        <w:t>5.7.3.2.3.1-4: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CB0DD7">
      <w:pPr>
        <w:pStyle w:val="Heading6"/>
      </w:pPr>
      <w:bookmarkStart w:id="4955" w:name="_Toc11247539"/>
      <w:bookmarkStart w:id="4956" w:name="_Toc27044678"/>
      <w:bookmarkStart w:id="4957" w:name="_Toc36033720"/>
      <w:bookmarkStart w:id="4958" w:name="_Toc45131866"/>
      <w:bookmarkStart w:id="4959" w:name="_Toc49776151"/>
      <w:bookmarkStart w:id="4960" w:name="_Toc51747071"/>
      <w:bookmarkStart w:id="4961" w:name="_Toc66360632"/>
      <w:bookmarkStart w:id="4962" w:name="_Toc68105137"/>
      <w:bookmarkStart w:id="4963" w:name="_Toc74755767"/>
      <w:bookmarkStart w:id="4964" w:name="_Toc105674642"/>
      <w:bookmarkStart w:id="4965" w:name="_Toc130502690"/>
      <w:bookmarkStart w:id="4966" w:name="_Toc153625477"/>
      <w:r w:rsidRPr="000A0A5F">
        <w:t>5.7.3.2.3.2</w:t>
      </w:r>
      <w:r w:rsidRPr="000A0A5F">
        <w:tab/>
        <w:t>PUT</w:t>
      </w:r>
      <w:bookmarkEnd w:id="4955"/>
      <w:bookmarkEnd w:id="4956"/>
      <w:bookmarkEnd w:id="4957"/>
      <w:bookmarkEnd w:id="4958"/>
      <w:bookmarkEnd w:id="4959"/>
      <w:bookmarkEnd w:id="4960"/>
      <w:bookmarkEnd w:id="4961"/>
      <w:bookmarkEnd w:id="4962"/>
      <w:bookmarkEnd w:id="4963"/>
      <w:bookmarkEnd w:id="4964"/>
      <w:bookmarkEnd w:id="4965"/>
      <w:bookmarkEnd w:id="4966"/>
    </w:p>
    <w:p w:rsidR="00CB0DD7" w:rsidRPr="000A0A5F" w:rsidRDefault="00CB0DD7">
      <w:pPr>
        <w:rPr>
          <w:rFonts w:hint="eastAsia"/>
          <w:lang w:eastAsia="zh-CN"/>
        </w:rPr>
      </w:pPr>
      <w:r w:rsidRPr="000A0A5F">
        <w:rPr>
          <w:rFonts w:hint="eastAsia"/>
          <w:lang w:eastAsia="zh-CN"/>
        </w:rPr>
        <w:t xml:space="preserve">This </w:t>
      </w:r>
      <w:r w:rsidRPr="000A0A5F">
        <w:rPr>
          <w:lang w:eastAsia="zh-CN"/>
        </w:rPr>
        <w:t>HTTP method is not supported for the resource.</w:t>
      </w:r>
    </w:p>
    <w:p w:rsidR="00CB0DD7" w:rsidRPr="000A0A5F" w:rsidRDefault="00CB0DD7">
      <w:pPr>
        <w:pStyle w:val="Heading6"/>
      </w:pPr>
      <w:bookmarkStart w:id="4967" w:name="_Toc11247540"/>
      <w:bookmarkStart w:id="4968" w:name="_Toc27044679"/>
      <w:bookmarkStart w:id="4969" w:name="_Toc36033721"/>
      <w:bookmarkStart w:id="4970" w:name="_Toc45131867"/>
      <w:bookmarkStart w:id="4971" w:name="_Toc49776152"/>
      <w:bookmarkStart w:id="4972" w:name="_Toc51747072"/>
      <w:bookmarkStart w:id="4973" w:name="_Toc66360633"/>
      <w:bookmarkStart w:id="4974" w:name="_Toc68105138"/>
      <w:bookmarkStart w:id="4975" w:name="_Toc74755768"/>
      <w:bookmarkStart w:id="4976" w:name="_Toc105674643"/>
      <w:bookmarkStart w:id="4977" w:name="_Toc130502691"/>
      <w:bookmarkStart w:id="4978" w:name="_Toc153625478"/>
      <w:r w:rsidRPr="000A0A5F">
        <w:t>5.7.3.2.3.3</w:t>
      </w:r>
      <w:r w:rsidRPr="000A0A5F">
        <w:tab/>
        <w:t>PATCH</w:t>
      </w:r>
      <w:bookmarkEnd w:id="4967"/>
      <w:bookmarkEnd w:id="4968"/>
      <w:bookmarkEnd w:id="4969"/>
      <w:bookmarkEnd w:id="4970"/>
      <w:bookmarkEnd w:id="4971"/>
      <w:bookmarkEnd w:id="4972"/>
      <w:bookmarkEnd w:id="4973"/>
      <w:bookmarkEnd w:id="4974"/>
      <w:bookmarkEnd w:id="4975"/>
      <w:bookmarkEnd w:id="4976"/>
      <w:bookmarkEnd w:id="4977"/>
      <w:bookmarkEnd w:id="4978"/>
    </w:p>
    <w:p w:rsidR="00CB0DD7" w:rsidRPr="000A0A5F" w:rsidRDefault="00CB0DD7">
      <w:pPr>
        <w:rPr>
          <w:rFonts w:eastAsia="DengXian" w:hint="eastAsia"/>
          <w:lang w:eastAsia="zh-CN"/>
        </w:rPr>
      </w:pPr>
      <w:r w:rsidRPr="000A0A5F">
        <w:rPr>
          <w:rFonts w:hint="eastAsia"/>
          <w:lang w:eastAsia="zh-CN"/>
        </w:rPr>
        <w:t xml:space="preserve">This </w:t>
      </w:r>
      <w:r w:rsidRPr="000A0A5F">
        <w:rPr>
          <w:lang w:eastAsia="zh-CN"/>
        </w:rPr>
        <w:t>HTTP method is not supported for the resource.</w:t>
      </w:r>
    </w:p>
    <w:p w:rsidR="00CB0DD7" w:rsidRPr="000A0A5F" w:rsidRDefault="00CB0DD7">
      <w:pPr>
        <w:pStyle w:val="Heading6"/>
      </w:pPr>
      <w:bookmarkStart w:id="4979" w:name="_Toc11247541"/>
      <w:bookmarkStart w:id="4980" w:name="_Toc27044680"/>
      <w:bookmarkStart w:id="4981" w:name="_Toc36033722"/>
      <w:bookmarkStart w:id="4982" w:name="_Toc45131868"/>
      <w:bookmarkStart w:id="4983" w:name="_Toc49776153"/>
      <w:bookmarkStart w:id="4984" w:name="_Toc51747073"/>
      <w:bookmarkStart w:id="4985" w:name="_Toc66360634"/>
      <w:bookmarkStart w:id="4986" w:name="_Toc68105139"/>
      <w:bookmarkStart w:id="4987" w:name="_Toc74755769"/>
      <w:bookmarkStart w:id="4988" w:name="_Toc105674644"/>
      <w:bookmarkStart w:id="4989" w:name="_Toc130502692"/>
      <w:bookmarkStart w:id="4990" w:name="_Toc153625479"/>
      <w:r w:rsidRPr="000A0A5F">
        <w:t>5.7.3.2.3.4</w:t>
      </w:r>
      <w:r w:rsidRPr="000A0A5F">
        <w:tab/>
        <w:t>POST</w:t>
      </w:r>
      <w:bookmarkEnd w:id="4979"/>
      <w:bookmarkEnd w:id="4980"/>
      <w:bookmarkEnd w:id="4981"/>
      <w:bookmarkEnd w:id="4982"/>
      <w:bookmarkEnd w:id="4983"/>
      <w:bookmarkEnd w:id="4984"/>
      <w:bookmarkEnd w:id="4985"/>
      <w:bookmarkEnd w:id="4986"/>
      <w:bookmarkEnd w:id="4987"/>
      <w:bookmarkEnd w:id="4988"/>
      <w:bookmarkEnd w:id="4989"/>
      <w:bookmarkEnd w:id="4990"/>
    </w:p>
    <w:p w:rsidR="00CB0DD7" w:rsidRPr="000A0A5F" w:rsidRDefault="00CB0DD7">
      <w:r w:rsidRPr="000A0A5F">
        <w:t xml:space="preserve">To create a long-term transaction for a device triggering, the </w:t>
      </w:r>
      <w:r w:rsidRPr="000A0A5F">
        <w:rPr>
          <w:rFonts w:hint="eastAsia"/>
          <w:lang w:eastAsia="zh-CN"/>
        </w:rPr>
        <w:t xml:space="preserve">SCS/AS </w:t>
      </w:r>
      <w:r w:rsidRPr="000A0A5F">
        <w:t>shall use the HTTP POST method on the "</w:t>
      </w:r>
      <w:r w:rsidRPr="000A0A5F">
        <w:rPr>
          <w:lang w:eastAsia="zh-CN"/>
        </w:rPr>
        <w:t>transaction</w:t>
      </w:r>
      <w:r w:rsidRPr="000A0A5F">
        <w:rPr>
          <w:rFonts w:hint="eastAsia"/>
          <w:lang w:eastAsia="zh-CN"/>
        </w:rPr>
        <w:t>s</w:t>
      </w:r>
      <w:r w:rsidRPr="000A0A5F">
        <w:t>" collection resource as follows:</w:t>
      </w:r>
    </w:p>
    <w:p w:rsidR="00CB0DD7" w:rsidRPr="000A0A5F" w:rsidRDefault="00CB0DD7">
      <w:pPr>
        <w:ind w:firstLine="284"/>
        <w:rPr>
          <w:rFonts w:hint="eastAsia"/>
          <w:lang w:eastAsia="zh-CN"/>
        </w:rPr>
      </w:pPr>
      <w:r w:rsidRPr="000A0A5F">
        <w:t>-</w:t>
      </w:r>
      <w:r w:rsidRPr="000A0A5F">
        <w:tab/>
        <w:t>the body of the message is encoded in JSON format</w:t>
      </w:r>
      <w:r w:rsidRPr="000A0A5F">
        <w:rPr>
          <w:rFonts w:hint="eastAsia"/>
          <w:lang w:eastAsia="zh-CN"/>
        </w:rPr>
        <w:t xml:space="preserve"> with the data structure defined in </w:t>
      </w:r>
      <w:r w:rsidR="002E466A" w:rsidRPr="000A0A5F">
        <w:rPr>
          <w:rFonts w:hint="eastAsia"/>
          <w:lang w:eastAsia="zh-CN"/>
        </w:rPr>
        <w:t>table</w:t>
      </w:r>
      <w:r w:rsidR="002E466A" w:rsidRPr="000A0A5F">
        <w:rPr>
          <w:lang w:val="en-US" w:eastAsia="zh-CN"/>
        </w:rPr>
        <w:t> </w:t>
      </w:r>
      <w:r w:rsidRPr="000A0A5F">
        <w:t>5.</w:t>
      </w:r>
      <w:r w:rsidRPr="000A0A5F">
        <w:rPr>
          <w:rFonts w:hint="eastAsia"/>
          <w:lang w:eastAsia="zh-CN"/>
        </w:rPr>
        <w:t>7</w:t>
      </w:r>
      <w:r w:rsidRPr="000A0A5F">
        <w:t>.2.</w:t>
      </w:r>
      <w:r w:rsidRPr="000A0A5F">
        <w:rPr>
          <w:rFonts w:hint="eastAsia"/>
          <w:lang w:eastAsia="zh-CN"/>
        </w:rPr>
        <w:t>1</w:t>
      </w:r>
      <w:r w:rsidRPr="000A0A5F">
        <w:t>.</w:t>
      </w:r>
      <w:r w:rsidRPr="000A0A5F">
        <w:rPr>
          <w:rFonts w:hint="eastAsia"/>
          <w:lang w:eastAsia="zh-CN"/>
        </w:rPr>
        <w:t>2-1.</w:t>
      </w:r>
    </w:p>
    <w:p w:rsidR="00CB0DD7" w:rsidRPr="000A0A5F" w:rsidRDefault="00CB0DD7">
      <w:pPr>
        <w:rPr>
          <w:rFonts w:hint="eastAsia"/>
          <w:lang w:eastAsia="zh-CN"/>
        </w:rPr>
      </w:pPr>
      <w:r w:rsidRPr="000A0A5F">
        <w:t>The possible response messages from the</w:t>
      </w:r>
      <w:r w:rsidRPr="000A0A5F">
        <w:rPr>
          <w:rFonts w:hint="eastAsia"/>
          <w:lang w:eastAsia="zh-CN"/>
        </w:rPr>
        <w:t xml:space="preserve"> SCEF</w:t>
      </w:r>
      <w:r w:rsidRPr="000A0A5F">
        <w:t xml:space="preserve">, depending on whether the POST request is successful or unsuccessful, are shown in </w:t>
      </w:r>
      <w:r w:rsidR="002E466A" w:rsidRPr="000A0A5F">
        <w:t>Table </w:t>
      </w:r>
      <w:r w:rsidRPr="000A0A5F">
        <w:t>5</w:t>
      </w:r>
      <w:r w:rsidRPr="000A0A5F">
        <w:rPr>
          <w:rFonts w:hint="eastAsia"/>
          <w:lang w:eastAsia="zh-CN"/>
        </w:rPr>
        <w:t>.7</w:t>
      </w:r>
      <w:r w:rsidRPr="000A0A5F">
        <w:t>.</w:t>
      </w:r>
      <w:r w:rsidRPr="000A0A5F">
        <w:rPr>
          <w:rFonts w:hint="eastAsia"/>
          <w:lang w:eastAsia="zh-CN"/>
        </w:rPr>
        <w:t>3</w:t>
      </w:r>
      <w:r w:rsidRPr="000A0A5F">
        <w:t>.2.3.</w:t>
      </w:r>
      <w:r w:rsidRPr="000A0A5F">
        <w:rPr>
          <w:rFonts w:hint="eastAsia"/>
          <w:lang w:eastAsia="zh-CN"/>
        </w:rPr>
        <w:t>4-</w:t>
      </w:r>
      <w:r w:rsidRPr="000A0A5F">
        <w:rPr>
          <w:lang w:eastAsia="zh-CN"/>
        </w:rPr>
        <w:t>1</w:t>
      </w:r>
      <w:r w:rsidRPr="000A0A5F">
        <w:rPr>
          <w:rFonts w:hint="eastAsia"/>
          <w:lang w:eastAsia="zh-CN"/>
        </w:rPr>
        <w:t>.</w:t>
      </w:r>
    </w:p>
    <w:p w:rsidR="00CB0DD7" w:rsidRPr="000A0A5F" w:rsidRDefault="00CB0DD7">
      <w:pPr>
        <w:pStyle w:val="TH"/>
        <w:rPr>
          <w:rFonts w:hint="eastAsia"/>
          <w:lang w:eastAsia="zh-CN"/>
        </w:rPr>
      </w:pPr>
      <w:r w:rsidRPr="000A0A5F">
        <w:t>Table 5.</w:t>
      </w:r>
      <w:r w:rsidRPr="000A0A5F">
        <w:rPr>
          <w:rFonts w:hint="eastAsia"/>
          <w:lang w:eastAsia="zh-CN"/>
        </w:rPr>
        <w:t>7</w:t>
      </w:r>
      <w:r w:rsidRPr="000A0A5F">
        <w:t>.</w:t>
      </w:r>
      <w:r w:rsidRPr="000A0A5F">
        <w:rPr>
          <w:rFonts w:hint="eastAsia"/>
          <w:lang w:eastAsia="zh-CN"/>
        </w:rPr>
        <w:t>3</w:t>
      </w:r>
      <w:r w:rsidRPr="000A0A5F">
        <w:t>.2.3.</w:t>
      </w:r>
      <w:r w:rsidRPr="000A0A5F">
        <w:rPr>
          <w:rFonts w:hint="eastAsia"/>
          <w:lang w:eastAsia="zh-CN"/>
        </w:rPr>
        <w:t>4-</w:t>
      </w:r>
      <w:r w:rsidRPr="000A0A5F">
        <w:rPr>
          <w:lang w:eastAsia="zh-CN"/>
        </w:rPr>
        <w:t>1</w:t>
      </w:r>
      <w:r w:rsidRPr="000A0A5F">
        <w:t>: Data structures supported by the POST request/response by the resource</w:t>
      </w:r>
    </w:p>
    <w:tbl>
      <w:tblPr>
        <w:tblW w:w="4999" w:type="pct"/>
        <w:tblInd w:w="1" w:type="dxa"/>
        <w:tblBorders>
          <w:top w:val="single" w:sz="6" w:space="0" w:color="000000"/>
          <w:left w:val="single" w:sz="6" w:space="0" w:color="000000"/>
          <w:bottom w:val="single" w:sz="6" w:space="0" w:color="000000"/>
          <w:right w:val="single" w:sz="6" w:space="0" w:color="000000"/>
          <w:insideH w:val="single" w:sz="6" w:space="0" w:color="auto"/>
          <w:insideV w:val="single" w:sz="6" w:space="0" w:color="000000"/>
        </w:tblBorders>
        <w:tblLayout w:type="fixed"/>
        <w:tblCellMar>
          <w:top w:w="45" w:type="dxa"/>
          <w:left w:w="45" w:type="dxa"/>
          <w:bottom w:w="45" w:type="dxa"/>
          <w:right w:w="45" w:type="dxa"/>
        </w:tblCellMar>
        <w:tblLook w:val="0000" w:firstRow="0" w:lastRow="0" w:firstColumn="0" w:lastColumn="0" w:noHBand="0" w:noVBand="0"/>
      </w:tblPr>
      <w:tblGrid>
        <w:gridCol w:w="1033"/>
        <w:gridCol w:w="2127"/>
        <w:gridCol w:w="1053"/>
        <w:gridCol w:w="973"/>
        <w:gridCol w:w="4543"/>
        <w:tblGridChange w:id="4991">
          <w:tblGrid>
            <w:gridCol w:w="1033"/>
            <w:gridCol w:w="2127"/>
            <w:gridCol w:w="1053"/>
            <w:gridCol w:w="973"/>
            <w:gridCol w:w="4543"/>
          </w:tblGrid>
        </w:tblGridChange>
      </w:tblGrid>
      <w:tr w:rsidR="00CB0DD7" w:rsidRPr="000A0A5F" w:rsidTr="00C9682D">
        <w:tc>
          <w:tcPr>
            <w:tcW w:w="531" w:type="pct"/>
            <w:vMerge w:val="restart"/>
            <w:shd w:val="clear" w:color="auto" w:fill="C0C0C0"/>
            <w:vAlign w:val="center"/>
          </w:tcPr>
          <w:p w:rsidR="00CB0DD7" w:rsidRPr="000A0A5F" w:rsidRDefault="00CB0DD7">
            <w:pPr>
              <w:pStyle w:val="TAH"/>
            </w:pPr>
            <w:r w:rsidRPr="000A0A5F">
              <w:t>Request body</w:t>
            </w:r>
          </w:p>
        </w:tc>
        <w:tc>
          <w:tcPr>
            <w:tcW w:w="1093" w:type="pct"/>
            <w:shd w:val="clear" w:color="auto" w:fill="C0C0C0"/>
          </w:tcPr>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r w:rsidRPr="000A0A5F">
              <w:t>Cardinality</w:t>
            </w:r>
          </w:p>
        </w:tc>
        <w:tc>
          <w:tcPr>
            <w:tcW w:w="2835" w:type="pct"/>
            <w:gridSpan w:val="2"/>
            <w:shd w:val="clear" w:color="auto" w:fill="C0C0C0"/>
          </w:tcPr>
          <w:p w:rsidR="00CB0DD7" w:rsidRPr="000A0A5F" w:rsidRDefault="00CB0DD7">
            <w:pPr>
              <w:pStyle w:val="TAH"/>
            </w:pPr>
            <w:r w:rsidRPr="000A0A5F">
              <w:t>Remarks</w:t>
            </w:r>
          </w:p>
        </w:tc>
      </w:tr>
      <w:tr w:rsidR="00CB0DD7" w:rsidRPr="000A0A5F" w:rsidTr="00FF0AF8">
        <w:tc>
          <w:tcPr>
            <w:tcW w:w="531"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t>DeviceTriggering</w:t>
            </w:r>
          </w:p>
        </w:tc>
        <w:tc>
          <w:tcPr>
            <w:tcW w:w="541" w:type="pct"/>
          </w:tcPr>
          <w:p w:rsidR="00CB0DD7" w:rsidRPr="000A0A5F" w:rsidRDefault="00CB0DD7">
            <w:pPr>
              <w:pStyle w:val="TAL"/>
            </w:pPr>
            <w:r w:rsidRPr="000A0A5F">
              <w:t>1</w:t>
            </w:r>
          </w:p>
        </w:tc>
        <w:tc>
          <w:tcPr>
            <w:tcW w:w="2835" w:type="pct"/>
            <w:gridSpan w:val="2"/>
          </w:tcPr>
          <w:p w:rsidR="00CB0DD7" w:rsidRPr="000A0A5F" w:rsidRDefault="00CB0DD7">
            <w:pPr>
              <w:pStyle w:val="TAL"/>
            </w:pPr>
            <w:r w:rsidRPr="000A0A5F">
              <w:t xml:space="preserve">Parameters to </w:t>
            </w:r>
            <w:r w:rsidRPr="000A0A5F">
              <w:rPr>
                <w:lang w:eastAsia="zh-CN"/>
              </w:rPr>
              <w:t>request a device triggering delivery.</w:t>
            </w:r>
          </w:p>
        </w:tc>
      </w:tr>
      <w:tr w:rsidR="00CB0DD7" w:rsidRPr="000A0A5F" w:rsidTr="00C9682D">
        <w:tc>
          <w:tcPr>
            <w:tcW w:w="531" w:type="pct"/>
            <w:vMerge w:val="restart"/>
            <w:shd w:val="clear" w:color="auto" w:fill="C0C0C0"/>
            <w:vAlign w:val="center"/>
          </w:tcPr>
          <w:p w:rsidR="00CB0DD7" w:rsidRPr="000A0A5F" w:rsidRDefault="00CB0DD7">
            <w:pPr>
              <w:pStyle w:val="TAH"/>
            </w:pPr>
            <w:r w:rsidRPr="000A0A5F">
              <w:t>Response body</w:t>
            </w:r>
          </w:p>
        </w:tc>
        <w:tc>
          <w:tcPr>
            <w:tcW w:w="1093" w:type="pct"/>
            <w:shd w:val="clear" w:color="auto" w:fill="C0C0C0"/>
          </w:tcPr>
          <w:p w:rsidR="00CB0DD7" w:rsidRPr="000A0A5F" w:rsidRDefault="00CB0DD7">
            <w:pPr>
              <w:pStyle w:val="TAH"/>
            </w:pPr>
          </w:p>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p>
          <w:p w:rsidR="00CB0DD7" w:rsidRPr="000A0A5F" w:rsidRDefault="00CB0DD7">
            <w:pPr>
              <w:pStyle w:val="TAH"/>
            </w:pPr>
            <w:r w:rsidRPr="000A0A5F">
              <w:t>Cardinality</w:t>
            </w:r>
          </w:p>
        </w:tc>
        <w:tc>
          <w:tcPr>
            <w:tcW w:w="500" w:type="pct"/>
            <w:shd w:val="clear" w:color="auto" w:fill="C0C0C0"/>
          </w:tcPr>
          <w:p w:rsidR="00CB0DD7" w:rsidRPr="000A0A5F" w:rsidRDefault="00CB0DD7">
            <w:pPr>
              <w:pStyle w:val="TAH"/>
            </w:pPr>
            <w:r w:rsidRPr="000A0A5F">
              <w:t>Response</w:t>
            </w:r>
          </w:p>
          <w:p w:rsidR="00CB0DD7" w:rsidRPr="000A0A5F" w:rsidRDefault="00CB0DD7">
            <w:pPr>
              <w:pStyle w:val="TAH"/>
            </w:pPr>
            <w:r w:rsidRPr="000A0A5F">
              <w:t>codes</w:t>
            </w:r>
          </w:p>
        </w:tc>
        <w:tc>
          <w:tcPr>
            <w:tcW w:w="2335" w:type="pct"/>
            <w:shd w:val="clear" w:color="auto" w:fill="C0C0C0"/>
          </w:tcPr>
          <w:p w:rsidR="00CB0DD7" w:rsidRPr="000A0A5F" w:rsidRDefault="00CB0DD7">
            <w:pPr>
              <w:pStyle w:val="TAH"/>
            </w:pPr>
          </w:p>
          <w:p w:rsidR="00CB0DD7" w:rsidRPr="000A0A5F" w:rsidRDefault="00CB0DD7">
            <w:pPr>
              <w:pStyle w:val="TAH"/>
            </w:pPr>
            <w:r w:rsidRPr="000A0A5F">
              <w:t>Remarks</w:t>
            </w:r>
          </w:p>
        </w:tc>
      </w:tr>
      <w:tr w:rsidR="00CB0DD7" w:rsidRPr="000A0A5F" w:rsidTr="00FF0AF8">
        <w:tc>
          <w:tcPr>
            <w:tcW w:w="531"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t>DeviceTriggering</w:t>
            </w:r>
          </w:p>
        </w:tc>
        <w:tc>
          <w:tcPr>
            <w:tcW w:w="541" w:type="pct"/>
          </w:tcPr>
          <w:p w:rsidR="00CB0DD7" w:rsidRPr="000A0A5F" w:rsidRDefault="00CB0DD7">
            <w:pPr>
              <w:pStyle w:val="TAL"/>
              <w:rPr>
                <w:rFonts w:hint="eastAsia"/>
                <w:lang w:eastAsia="zh-CN"/>
              </w:rPr>
            </w:pPr>
            <w:r w:rsidRPr="000A0A5F">
              <w:rPr>
                <w:rFonts w:hint="eastAsia"/>
                <w:lang w:eastAsia="zh-CN"/>
              </w:rPr>
              <w:t>1</w:t>
            </w:r>
          </w:p>
        </w:tc>
        <w:tc>
          <w:tcPr>
            <w:tcW w:w="500" w:type="pct"/>
          </w:tcPr>
          <w:p w:rsidR="00CB0DD7" w:rsidRPr="000A0A5F" w:rsidRDefault="00CB0DD7">
            <w:pPr>
              <w:pStyle w:val="TAL"/>
            </w:pPr>
            <w:r w:rsidRPr="000A0A5F">
              <w:t>201 Created</w:t>
            </w:r>
          </w:p>
        </w:tc>
        <w:tc>
          <w:tcPr>
            <w:tcW w:w="2335" w:type="pct"/>
          </w:tcPr>
          <w:p w:rsidR="00CB0DD7" w:rsidRPr="000A0A5F" w:rsidRDefault="00CB0DD7">
            <w:pPr>
              <w:pStyle w:val="TAL"/>
            </w:pPr>
            <w:r w:rsidRPr="000A0A5F">
              <w:t xml:space="preserve">The </w:t>
            </w:r>
            <w:r w:rsidRPr="000A0A5F">
              <w:rPr>
                <w:lang w:eastAsia="zh-CN"/>
              </w:rPr>
              <w:t>long term transaction for the device triggering</w:t>
            </w:r>
            <w:r w:rsidRPr="000A0A5F">
              <w:t xml:space="preserve"> was created successfully. </w:t>
            </w:r>
          </w:p>
          <w:p w:rsidR="009F3663" w:rsidRPr="000A0A5F" w:rsidRDefault="009F3663" w:rsidP="009F3663">
            <w:pPr>
              <w:pStyle w:val="TAL"/>
              <w:spacing w:beforeLines="50" w:before="120"/>
            </w:pPr>
            <w:r w:rsidRPr="000A0A5F">
              <w:t xml:space="preserve">The SCEF </w:t>
            </w:r>
            <w:r w:rsidRPr="000A0A5F">
              <w:rPr>
                <w:rFonts w:hint="eastAsia"/>
                <w:lang w:eastAsia="zh-CN"/>
              </w:rPr>
              <w:t>shall</w:t>
            </w:r>
            <w:r w:rsidRPr="000A0A5F">
              <w:t xml:space="preserve"> return a data structure of type "DeviceTriggering" in the response content.</w:t>
            </w:r>
          </w:p>
          <w:p w:rsidR="00CB0DD7" w:rsidRPr="000A0A5F" w:rsidRDefault="00CB0DD7">
            <w:pPr>
              <w:pStyle w:val="TAL"/>
              <w:spacing w:beforeLines="50" w:before="120"/>
              <w:rPr>
                <w:rFonts w:hint="eastAsia"/>
                <w:lang w:eastAsia="zh-CN"/>
              </w:rPr>
            </w:pPr>
            <w:r w:rsidRPr="000A0A5F">
              <w:t>The URI of the created resource shall be returned in the "Location" HTTP header</w:t>
            </w:r>
          </w:p>
        </w:tc>
      </w:tr>
      <w:tr w:rsidR="00CB0DD7" w:rsidRPr="000A0A5F" w:rsidTr="00FF0AF8">
        <w:tc>
          <w:tcPr>
            <w:tcW w:w="5000" w:type="pct"/>
            <w:gridSpan w:val="5"/>
            <w:shd w:val="clear" w:color="auto" w:fill="auto"/>
            <w:vAlign w:val="center"/>
          </w:tcPr>
          <w:p w:rsidR="00CB0DD7" w:rsidRPr="000A0A5F" w:rsidRDefault="00CB0DD7">
            <w:pPr>
              <w:pStyle w:val="TAN"/>
            </w:pPr>
            <w:r w:rsidRPr="000A0A5F">
              <w:t>NOTE:</w:t>
            </w:r>
            <w:r w:rsidRPr="000A0A5F">
              <w:tab/>
              <w:t>The mandatory HTTP error status codes for the POST method listed in table 5.2.6-1 also apply.</w:t>
            </w:r>
          </w:p>
        </w:tc>
      </w:tr>
    </w:tbl>
    <w:p w:rsidR="00CB0DD7" w:rsidRPr="000A0A5F" w:rsidRDefault="00CB0DD7">
      <w:pPr>
        <w:rPr>
          <w:noProof/>
        </w:rPr>
      </w:pPr>
    </w:p>
    <w:p w:rsidR="00CB0DD7" w:rsidRPr="000A0A5F" w:rsidRDefault="00CB0DD7">
      <w:pPr>
        <w:pStyle w:val="TH"/>
      </w:pPr>
      <w:r w:rsidRPr="000A0A5F">
        <w:t>Table</w:t>
      </w:r>
      <w:r w:rsidRPr="000A0A5F">
        <w:rPr>
          <w:noProof/>
        </w:rPr>
        <w:t> </w:t>
      </w:r>
      <w:r w:rsidRPr="000A0A5F">
        <w:t>5.</w:t>
      </w:r>
      <w:r w:rsidRPr="000A0A5F">
        <w:rPr>
          <w:rFonts w:hint="eastAsia"/>
          <w:lang w:eastAsia="zh-CN"/>
        </w:rPr>
        <w:t>7</w:t>
      </w:r>
      <w:r w:rsidRPr="000A0A5F">
        <w:t>.</w:t>
      </w:r>
      <w:r w:rsidRPr="000A0A5F">
        <w:rPr>
          <w:rFonts w:hint="eastAsia"/>
          <w:lang w:eastAsia="zh-CN"/>
        </w:rPr>
        <w:t>3</w:t>
      </w:r>
      <w:r w:rsidRPr="000A0A5F">
        <w:t>.2.3.</w:t>
      </w:r>
      <w:r w:rsidRPr="000A0A5F">
        <w:rPr>
          <w:rFonts w:hint="eastAsia"/>
          <w:lang w:eastAsia="zh-CN"/>
        </w:rPr>
        <w:t>4</w:t>
      </w:r>
      <w:r w:rsidRPr="000A0A5F">
        <w:t xml:space="preserve">-2: Headers supported by the 201 Response Code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846044">
        <w:trPr>
          <w:jc w:val="center"/>
        </w:trPr>
        <w:tc>
          <w:tcPr>
            <w:tcW w:w="825" w:type="pct"/>
            <w:tcBorders>
              <w:bottom w:val="single" w:sz="6" w:space="0" w:color="auto"/>
            </w:tcBorders>
            <w:shd w:val="clear" w:color="auto" w:fill="C0C0C0"/>
          </w:tcPr>
          <w:p w:rsidR="00CB0DD7" w:rsidRPr="000A0A5F" w:rsidRDefault="00CB0DD7">
            <w:pPr>
              <w:pStyle w:val="TAH"/>
            </w:pPr>
            <w:r w:rsidRPr="000A0A5F">
              <w:t>Name</w:t>
            </w:r>
          </w:p>
        </w:tc>
        <w:tc>
          <w:tcPr>
            <w:tcW w:w="732" w:type="pct"/>
            <w:tcBorders>
              <w:bottom w:val="single" w:sz="6" w:space="0" w:color="auto"/>
            </w:tcBorders>
            <w:shd w:val="clear" w:color="auto" w:fill="C0C0C0"/>
          </w:tcPr>
          <w:p w:rsidR="00CB0DD7" w:rsidRPr="000A0A5F" w:rsidRDefault="00CB0DD7">
            <w:pPr>
              <w:pStyle w:val="TAH"/>
            </w:pPr>
            <w:r w:rsidRPr="000A0A5F">
              <w:t>Data type</w:t>
            </w:r>
          </w:p>
        </w:tc>
        <w:tc>
          <w:tcPr>
            <w:tcW w:w="217" w:type="pct"/>
            <w:tcBorders>
              <w:bottom w:val="single" w:sz="6" w:space="0" w:color="auto"/>
            </w:tcBorders>
            <w:shd w:val="clear" w:color="auto" w:fill="C0C0C0"/>
          </w:tcPr>
          <w:p w:rsidR="00CB0DD7" w:rsidRPr="000A0A5F" w:rsidRDefault="00CB0DD7">
            <w:pPr>
              <w:pStyle w:val="TAH"/>
            </w:pPr>
            <w:r w:rsidRPr="000A0A5F">
              <w:t>P</w:t>
            </w:r>
          </w:p>
        </w:tc>
        <w:tc>
          <w:tcPr>
            <w:tcW w:w="581" w:type="pct"/>
            <w:tcBorders>
              <w:bottom w:val="single" w:sz="6" w:space="0" w:color="auto"/>
            </w:tcBorders>
            <w:shd w:val="clear" w:color="auto" w:fill="C0C0C0"/>
          </w:tcPr>
          <w:p w:rsidR="00CB0DD7" w:rsidRPr="000A0A5F" w:rsidRDefault="00CB0DD7">
            <w:pPr>
              <w:pStyle w:val="TAH"/>
            </w:pPr>
            <w:r w:rsidRPr="000A0A5F">
              <w:t>Cardinality</w:t>
            </w:r>
          </w:p>
        </w:tc>
        <w:tc>
          <w:tcPr>
            <w:tcW w:w="2645" w:type="pct"/>
            <w:tcBorders>
              <w:bottom w:val="single" w:sz="6" w:space="0" w:color="auto"/>
            </w:tcBorders>
            <w:shd w:val="clear" w:color="auto" w:fill="C0C0C0"/>
            <w:vAlign w:val="center"/>
          </w:tcPr>
          <w:p w:rsidR="00CB0DD7" w:rsidRPr="000A0A5F" w:rsidRDefault="00CB0DD7">
            <w:pPr>
              <w:pStyle w:val="TAH"/>
            </w:pPr>
            <w:r w:rsidRPr="000A0A5F">
              <w:t>Description</w:t>
            </w:r>
          </w:p>
        </w:tc>
      </w:tr>
      <w:tr w:rsidR="00CB0DD7" w:rsidRPr="000A0A5F" w:rsidTr="00846044">
        <w:trPr>
          <w:jc w:val="center"/>
        </w:trPr>
        <w:tc>
          <w:tcPr>
            <w:tcW w:w="825" w:type="pct"/>
            <w:tcBorders>
              <w:top w:val="single" w:sz="6" w:space="0" w:color="auto"/>
            </w:tcBorders>
            <w:shd w:val="clear" w:color="auto" w:fill="auto"/>
          </w:tcPr>
          <w:p w:rsidR="00CB0DD7" w:rsidRPr="000A0A5F" w:rsidRDefault="00CB0DD7">
            <w:pPr>
              <w:pStyle w:val="TAL"/>
            </w:pPr>
            <w:r w:rsidRPr="000A0A5F">
              <w:t>Location</w:t>
            </w:r>
          </w:p>
        </w:tc>
        <w:tc>
          <w:tcPr>
            <w:tcW w:w="732" w:type="pct"/>
            <w:tcBorders>
              <w:top w:val="single" w:sz="6" w:space="0" w:color="auto"/>
            </w:tcBorders>
          </w:tcPr>
          <w:p w:rsidR="00CB0DD7" w:rsidRPr="000A0A5F" w:rsidRDefault="00CB0DD7">
            <w:pPr>
              <w:pStyle w:val="TAL"/>
            </w:pPr>
            <w:r w:rsidRPr="000A0A5F">
              <w:t>string</w:t>
            </w:r>
          </w:p>
        </w:tc>
        <w:tc>
          <w:tcPr>
            <w:tcW w:w="217" w:type="pct"/>
            <w:tcBorders>
              <w:top w:val="single" w:sz="6" w:space="0" w:color="auto"/>
            </w:tcBorders>
          </w:tcPr>
          <w:p w:rsidR="00CB0DD7" w:rsidRPr="000A0A5F" w:rsidRDefault="00CB0DD7">
            <w:pPr>
              <w:pStyle w:val="TAC"/>
            </w:pPr>
            <w:r w:rsidRPr="000A0A5F">
              <w:t>M</w:t>
            </w:r>
          </w:p>
        </w:tc>
        <w:tc>
          <w:tcPr>
            <w:tcW w:w="581" w:type="pct"/>
            <w:tcBorders>
              <w:top w:val="single" w:sz="6" w:space="0" w:color="auto"/>
            </w:tcBorders>
          </w:tcPr>
          <w:p w:rsidR="00CB0DD7" w:rsidRPr="000A0A5F" w:rsidRDefault="00CB0DD7">
            <w:pPr>
              <w:pStyle w:val="TAL"/>
            </w:pPr>
            <w:r w:rsidRPr="000A0A5F">
              <w:t>1</w:t>
            </w:r>
          </w:p>
        </w:tc>
        <w:tc>
          <w:tcPr>
            <w:tcW w:w="2645" w:type="pct"/>
            <w:tcBorders>
              <w:top w:val="single" w:sz="6" w:space="0" w:color="auto"/>
            </w:tcBorders>
            <w:shd w:val="clear" w:color="auto" w:fill="auto"/>
            <w:vAlign w:val="center"/>
          </w:tcPr>
          <w:p w:rsidR="00CB0DD7" w:rsidRPr="000A0A5F" w:rsidRDefault="00CB0DD7">
            <w:pPr>
              <w:pStyle w:val="TAL"/>
            </w:pPr>
            <w:r w:rsidRPr="000A0A5F">
              <w:t>Contains the URI of the newly created resource, according to the structure:</w:t>
            </w:r>
            <w:r w:rsidRPr="000A0A5F">
              <w:rPr>
                <w:noProof/>
              </w:rPr>
              <w:t xml:space="preserve"> </w:t>
            </w:r>
            <w:r w:rsidRPr="000A0A5F">
              <w:t>{apiRoot}/3gpp-device-triggering/v1/{scsAsId}/transactions/{transactionId}</w:t>
            </w:r>
          </w:p>
        </w:tc>
      </w:tr>
    </w:tbl>
    <w:p w:rsidR="00CB0DD7" w:rsidRPr="000A0A5F" w:rsidRDefault="00CB0DD7"/>
    <w:p w:rsidR="00CB0DD7" w:rsidRPr="000A0A5F" w:rsidRDefault="00CB0DD7">
      <w:pPr>
        <w:pStyle w:val="Heading6"/>
      </w:pPr>
      <w:bookmarkStart w:id="4992" w:name="_Toc11247542"/>
      <w:bookmarkStart w:id="4993" w:name="_Toc27044681"/>
      <w:bookmarkStart w:id="4994" w:name="_Toc36033723"/>
      <w:bookmarkStart w:id="4995" w:name="_Toc45131869"/>
      <w:bookmarkStart w:id="4996" w:name="_Toc49776154"/>
      <w:bookmarkStart w:id="4997" w:name="_Toc51747074"/>
      <w:bookmarkStart w:id="4998" w:name="_Toc66360635"/>
      <w:bookmarkStart w:id="4999" w:name="_Toc68105140"/>
      <w:bookmarkStart w:id="5000" w:name="_Toc74755770"/>
      <w:bookmarkStart w:id="5001" w:name="_Toc105674645"/>
      <w:bookmarkStart w:id="5002" w:name="_Toc130502693"/>
      <w:bookmarkStart w:id="5003" w:name="_Toc153625480"/>
      <w:r w:rsidRPr="000A0A5F">
        <w:t>5.7.3.2.3.5</w:t>
      </w:r>
      <w:r w:rsidRPr="000A0A5F">
        <w:tab/>
        <w:t>DELETE</w:t>
      </w:r>
      <w:bookmarkEnd w:id="4992"/>
      <w:bookmarkEnd w:id="4993"/>
      <w:bookmarkEnd w:id="4994"/>
      <w:bookmarkEnd w:id="4995"/>
      <w:bookmarkEnd w:id="4996"/>
      <w:bookmarkEnd w:id="4997"/>
      <w:bookmarkEnd w:id="4998"/>
      <w:bookmarkEnd w:id="4999"/>
      <w:bookmarkEnd w:id="5000"/>
      <w:bookmarkEnd w:id="5001"/>
      <w:bookmarkEnd w:id="5002"/>
      <w:bookmarkEnd w:id="5003"/>
    </w:p>
    <w:p w:rsidR="00CB0DD7" w:rsidRPr="000A0A5F" w:rsidRDefault="00CB0DD7">
      <w:pPr>
        <w:rPr>
          <w:rFonts w:eastAsia="DengXian" w:hint="eastAsia"/>
          <w:lang w:eastAsia="zh-CN"/>
        </w:rPr>
      </w:pPr>
      <w:r w:rsidRPr="000A0A5F">
        <w:rPr>
          <w:rFonts w:hint="eastAsia"/>
          <w:lang w:eastAsia="zh-CN"/>
        </w:rPr>
        <w:t xml:space="preserve">This </w:t>
      </w:r>
      <w:r w:rsidRPr="000A0A5F">
        <w:rPr>
          <w:lang w:eastAsia="zh-CN"/>
        </w:rPr>
        <w:t>HTTP method is not supported for the resource.</w:t>
      </w:r>
    </w:p>
    <w:p w:rsidR="00CB0DD7" w:rsidRPr="000A0A5F" w:rsidRDefault="00CB0DD7">
      <w:pPr>
        <w:pStyle w:val="Heading4"/>
      </w:pPr>
      <w:bookmarkStart w:id="5004" w:name="_Toc11247543"/>
      <w:bookmarkStart w:id="5005" w:name="_Toc27044682"/>
      <w:bookmarkStart w:id="5006" w:name="_Toc36033724"/>
      <w:bookmarkStart w:id="5007" w:name="_Toc45131870"/>
      <w:bookmarkStart w:id="5008" w:name="_Toc49776155"/>
      <w:bookmarkStart w:id="5009" w:name="_Toc51747075"/>
      <w:bookmarkStart w:id="5010" w:name="_Toc66360636"/>
      <w:bookmarkStart w:id="5011" w:name="_Toc68105141"/>
      <w:bookmarkStart w:id="5012" w:name="_Toc74755771"/>
      <w:bookmarkStart w:id="5013" w:name="_Toc105674646"/>
      <w:bookmarkStart w:id="5014" w:name="_Toc130502694"/>
      <w:bookmarkStart w:id="5015" w:name="_Toc153625481"/>
      <w:r w:rsidRPr="000A0A5F">
        <w:t>5.7.3.3</w:t>
      </w:r>
      <w:r w:rsidRPr="000A0A5F">
        <w:tab/>
        <w:t>Resource: Individual Device Triggering Transaction</w:t>
      </w:r>
      <w:bookmarkEnd w:id="5004"/>
      <w:bookmarkEnd w:id="5005"/>
      <w:bookmarkEnd w:id="5006"/>
      <w:bookmarkEnd w:id="5007"/>
      <w:bookmarkEnd w:id="5008"/>
      <w:bookmarkEnd w:id="5009"/>
      <w:bookmarkEnd w:id="5010"/>
      <w:bookmarkEnd w:id="5011"/>
      <w:bookmarkEnd w:id="5012"/>
      <w:bookmarkEnd w:id="5013"/>
      <w:bookmarkEnd w:id="5014"/>
      <w:bookmarkEnd w:id="5015"/>
    </w:p>
    <w:p w:rsidR="00CB0DD7" w:rsidRPr="000A0A5F" w:rsidRDefault="00CB0DD7">
      <w:pPr>
        <w:pStyle w:val="Heading5"/>
      </w:pPr>
      <w:bookmarkStart w:id="5016" w:name="_Toc11247544"/>
      <w:bookmarkStart w:id="5017" w:name="_Toc27044683"/>
      <w:bookmarkStart w:id="5018" w:name="_Toc36033725"/>
      <w:bookmarkStart w:id="5019" w:name="_Toc45131871"/>
      <w:bookmarkStart w:id="5020" w:name="_Toc49776156"/>
      <w:bookmarkStart w:id="5021" w:name="_Toc51747076"/>
      <w:bookmarkStart w:id="5022" w:name="_Toc66360637"/>
      <w:bookmarkStart w:id="5023" w:name="_Toc68105142"/>
      <w:bookmarkStart w:id="5024" w:name="_Toc74755772"/>
      <w:bookmarkStart w:id="5025" w:name="_Toc105674647"/>
      <w:bookmarkStart w:id="5026" w:name="_Toc130502695"/>
      <w:bookmarkStart w:id="5027" w:name="_Toc153625482"/>
      <w:r w:rsidRPr="000A0A5F">
        <w:t>5.7.3.3.1</w:t>
      </w:r>
      <w:r w:rsidRPr="000A0A5F">
        <w:tab/>
        <w:t>Introduction</w:t>
      </w:r>
      <w:bookmarkEnd w:id="5016"/>
      <w:bookmarkEnd w:id="5017"/>
      <w:bookmarkEnd w:id="5018"/>
      <w:bookmarkEnd w:id="5019"/>
      <w:bookmarkEnd w:id="5020"/>
      <w:bookmarkEnd w:id="5021"/>
      <w:bookmarkEnd w:id="5022"/>
      <w:bookmarkEnd w:id="5023"/>
      <w:bookmarkEnd w:id="5024"/>
      <w:bookmarkEnd w:id="5025"/>
      <w:bookmarkEnd w:id="5026"/>
      <w:bookmarkEnd w:id="5027"/>
    </w:p>
    <w:p w:rsidR="00CB0DD7" w:rsidRPr="000A0A5F" w:rsidRDefault="00CB0DD7">
      <w:pPr>
        <w:rPr>
          <w:noProof/>
          <w:lang w:eastAsia="zh-CN"/>
        </w:rPr>
      </w:pPr>
      <w:r w:rsidRPr="000A0A5F">
        <w:rPr>
          <w:noProof/>
          <w:lang w:eastAsia="zh-CN"/>
        </w:rPr>
        <w:t>This resource allows t</w:t>
      </w:r>
      <w:r w:rsidRPr="000A0A5F">
        <w:rPr>
          <w:rFonts w:hint="eastAsia"/>
          <w:noProof/>
          <w:lang w:eastAsia="zh-CN"/>
        </w:rPr>
        <w:t xml:space="preserve">he SCS/AS </w:t>
      </w:r>
      <w:r w:rsidRPr="000A0A5F">
        <w:rPr>
          <w:noProof/>
          <w:lang w:eastAsia="zh-CN"/>
        </w:rPr>
        <w:t>to operate a specific pending device triggering by using a long-term transaction.</w:t>
      </w:r>
    </w:p>
    <w:p w:rsidR="00CB0DD7" w:rsidRPr="000A0A5F" w:rsidRDefault="00CB0DD7">
      <w:pPr>
        <w:pStyle w:val="Heading5"/>
      </w:pPr>
      <w:bookmarkStart w:id="5028" w:name="_Toc11247545"/>
      <w:bookmarkStart w:id="5029" w:name="_Toc27044684"/>
      <w:bookmarkStart w:id="5030" w:name="_Toc36033726"/>
      <w:bookmarkStart w:id="5031" w:name="_Toc45131872"/>
      <w:bookmarkStart w:id="5032" w:name="_Toc49776157"/>
      <w:bookmarkStart w:id="5033" w:name="_Toc51747077"/>
      <w:bookmarkStart w:id="5034" w:name="_Toc66360638"/>
      <w:bookmarkStart w:id="5035" w:name="_Toc68105143"/>
      <w:bookmarkStart w:id="5036" w:name="_Toc74755773"/>
      <w:bookmarkStart w:id="5037" w:name="_Toc105674648"/>
      <w:bookmarkStart w:id="5038" w:name="_Toc130502696"/>
      <w:bookmarkStart w:id="5039" w:name="_Toc153625483"/>
      <w:r w:rsidRPr="000A0A5F">
        <w:t>5.7.3.3.2</w:t>
      </w:r>
      <w:r w:rsidRPr="000A0A5F">
        <w:tab/>
        <w:t>Resource definition</w:t>
      </w:r>
      <w:bookmarkEnd w:id="5028"/>
      <w:bookmarkEnd w:id="5029"/>
      <w:bookmarkEnd w:id="5030"/>
      <w:bookmarkEnd w:id="5031"/>
      <w:bookmarkEnd w:id="5032"/>
      <w:bookmarkEnd w:id="5033"/>
      <w:bookmarkEnd w:id="5034"/>
      <w:bookmarkEnd w:id="5035"/>
      <w:bookmarkEnd w:id="5036"/>
      <w:bookmarkEnd w:id="5037"/>
      <w:bookmarkEnd w:id="5038"/>
      <w:bookmarkEnd w:id="5039"/>
    </w:p>
    <w:p w:rsidR="00CB0DD7" w:rsidRPr="000A0A5F" w:rsidRDefault="00CB0DD7">
      <w:r w:rsidRPr="000A0A5F">
        <w:t xml:space="preserve">Resource URI: </w:t>
      </w:r>
      <w:r w:rsidRPr="000A0A5F">
        <w:rPr>
          <w:b/>
        </w:rPr>
        <w:t>{apiRoot}/3gpp-device-triggering/v1/{scsAsId}/transactions/{transactionId}</w:t>
      </w:r>
    </w:p>
    <w:p w:rsidR="00CB0DD7" w:rsidRPr="000A0A5F" w:rsidRDefault="00CB0DD7">
      <w:pPr>
        <w:rPr>
          <w:rFonts w:ascii="Arial" w:hAnsi="Arial" w:cs="Arial"/>
        </w:rPr>
      </w:pPr>
      <w:r w:rsidRPr="000A0A5F">
        <w:t>This resource shall support the resource URI variables defined in table 5.7.3.3.2-1</w:t>
      </w:r>
      <w:r w:rsidRPr="000A0A5F">
        <w:rPr>
          <w:rFonts w:ascii="Arial" w:hAnsi="Arial" w:cs="Arial"/>
        </w:rPr>
        <w:t>.</w:t>
      </w:r>
    </w:p>
    <w:p w:rsidR="00CB0DD7" w:rsidRPr="000A0A5F" w:rsidRDefault="00CB0DD7">
      <w:pPr>
        <w:pStyle w:val="TH"/>
        <w:rPr>
          <w:rFonts w:cs="Arial"/>
        </w:rPr>
      </w:pPr>
      <w:r w:rsidRPr="000A0A5F">
        <w:t>Table 5.7.3.3.2-1: Resource URI variables for resource "Individual Device Triggering Transaction"</w:t>
      </w:r>
    </w:p>
    <w:tbl>
      <w:tblPr>
        <w:tblW w:w="494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427"/>
        <w:gridCol w:w="1855"/>
        <w:gridCol w:w="6378"/>
      </w:tblGrid>
      <w:tr w:rsidR="00CB0DD7" w:rsidRPr="000A0A5F" w:rsidTr="00FF0AF8">
        <w:trPr>
          <w:jc w:val="center"/>
        </w:trPr>
        <w:tc>
          <w:tcPr>
            <w:tcW w:w="739" w:type="pct"/>
            <w:shd w:val="clear" w:color="000000" w:fill="C0C0C0"/>
          </w:tcPr>
          <w:p w:rsidR="00CB0DD7" w:rsidRPr="000A0A5F" w:rsidRDefault="00CB0DD7">
            <w:pPr>
              <w:pStyle w:val="TAH"/>
            </w:pPr>
            <w:r w:rsidRPr="000A0A5F">
              <w:t>Name</w:t>
            </w:r>
          </w:p>
        </w:tc>
        <w:tc>
          <w:tcPr>
            <w:tcW w:w="960" w:type="pct"/>
            <w:shd w:val="clear" w:color="000000" w:fill="C0C0C0"/>
          </w:tcPr>
          <w:p w:rsidR="00CB0DD7" w:rsidRPr="000A0A5F" w:rsidRDefault="00CB0DD7">
            <w:pPr>
              <w:pStyle w:val="TAH"/>
            </w:pPr>
            <w:r w:rsidRPr="000A0A5F">
              <w:t>Data type</w:t>
            </w:r>
          </w:p>
        </w:tc>
        <w:tc>
          <w:tcPr>
            <w:tcW w:w="3301" w:type="pct"/>
            <w:shd w:val="clear" w:color="000000" w:fill="C0C0C0"/>
            <w:vAlign w:val="center"/>
          </w:tcPr>
          <w:p w:rsidR="00CB0DD7" w:rsidRPr="000A0A5F" w:rsidRDefault="00CB0DD7">
            <w:pPr>
              <w:pStyle w:val="TAH"/>
            </w:pPr>
            <w:r w:rsidRPr="000A0A5F">
              <w:t>Definition</w:t>
            </w:r>
          </w:p>
        </w:tc>
      </w:tr>
      <w:tr w:rsidR="00CB0DD7" w:rsidRPr="000A0A5F" w:rsidTr="00FF0AF8">
        <w:trPr>
          <w:jc w:val="center"/>
        </w:trPr>
        <w:tc>
          <w:tcPr>
            <w:tcW w:w="739" w:type="pct"/>
            <w:shd w:val="clear" w:color="auto" w:fill="auto"/>
          </w:tcPr>
          <w:p w:rsidR="00CB0DD7" w:rsidRPr="000A0A5F" w:rsidRDefault="00CB0DD7">
            <w:pPr>
              <w:pStyle w:val="TAL"/>
            </w:pPr>
            <w:r w:rsidRPr="000A0A5F">
              <w:t>apiRoot</w:t>
            </w:r>
          </w:p>
        </w:tc>
        <w:tc>
          <w:tcPr>
            <w:tcW w:w="960" w:type="pct"/>
          </w:tcPr>
          <w:p w:rsidR="00CB0DD7" w:rsidRPr="000A0A5F" w:rsidRDefault="00CB0DD7">
            <w:pPr>
              <w:pStyle w:val="TAL"/>
            </w:pPr>
            <w:r w:rsidRPr="000A0A5F">
              <w:t>string</w:t>
            </w:r>
          </w:p>
        </w:tc>
        <w:tc>
          <w:tcPr>
            <w:tcW w:w="3301" w:type="pct"/>
            <w:shd w:val="clear" w:color="auto" w:fill="auto"/>
            <w:vAlign w:val="center"/>
          </w:tcPr>
          <w:p w:rsidR="00CB0DD7" w:rsidRPr="000A0A5F" w:rsidRDefault="00CB0DD7">
            <w:pPr>
              <w:pStyle w:val="TAL"/>
            </w:pPr>
            <w:r w:rsidRPr="000A0A5F">
              <w:t>See clause</w:t>
            </w:r>
            <w:r w:rsidRPr="000A0A5F">
              <w:rPr>
                <w:lang w:val="en-US" w:eastAsia="zh-CN"/>
              </w:rPr>
              <w:t> </w:t>
            </w:r>
            <w:r w:rsidRPr="000A0A5F">
              <w:t>5.2.4.</w:t>
            </w:r>
          </w:p>
        </w:tc>
      </w:tr>
      <w:tr w:rsidR="00CB0DD7" w:rsidRPr="000A0A5F" w:rsidTr="00FF0AF8">
        <w:trPr>
          <w:jc w:val="center"/>
        </w:trPr>
        <w:tc>
          <w:tcPr>
            <w:tcW w:w="739" w:type="pct"/>
            <w:shd w:val="clear" w:color="auto" w:fill="auto"/>
          </w:tcPr>
          <w:p w:rsidR="00CB0DD7" w:rsidRPr="000A0A5F" w:rsidRDefault="00CB0DD7">
            <w:pPr>
              <w:pStyle w:val="TAL"/>
            </w:pPr>
            <w:r w:rsidRPr="000A0A5F">
              <w:t>scsAsId</w:t>
            </w:r>
          </w:p>
        </w:tc>
        <w:tc>
          <w:tcPr>
            <w:tcW w:w="960" w:type="pct"/>
          </w:tcPr>
          <w:p w:rsidR="00CB0DD7" w:rsidRPr="000A0A5F" w:rsidRDefault="00CB0DD7">
            <w:pPr>
              <w:pStyle w:val="TAL"/>
            </w:pPr>
            <w:r w:rsidRPr="000A0A5F">
              <w:rPr>
                <w:rFonts w:hint="eastAsia"/>
                <w:lang w:eastAsia="zh-CN"/>
              </w:rPr>
              <w:t>s</w:t>
            </w:r>
            <w:r w:rsidRPr="000A0A5F">
              <w:rPr>
                <w:lang w:eastAsia="zh-CN"/>
              </w:rPr>
              <w:t>tring</w:t>
            </w:r>
          </w:p>
        </w:tc>
        <w:tc>
          <w:tcPr>
            <w:tcW w:w="3301" w:type="pct"/>
            <w:shd w:val="clear" w:color="auto" w:fill="auto"/>
            <w:vAlign w:val="center"/>
          </w:tcPr>
          <w:p w:rsidR="00CB0DD7" w:rsidRPr="000A0A5F" w:rsidRDefault="00CB0DD7">
            <w:pPr>
              <w:pStyle w:val="TAL"/>
            </w:pPr>
            <w:r w:rsidRPr="000A0A5F">
              <w:t>Identifier of the SCS/AS.</w:t>
            </w:r>
          </w:p>
        </w:tc>
      </w:tr>
      <w:tr w:rsidR="00CB0DD7" w:rsidRPr="000A0A5F" w:rsidTr="00FF0AF8">
        <w:trPr>
          <w:jc w:val="center"/>
        </w:trPr>
        <w:tc>
          <w:tcPr>
            <w:tcW w:w="739" w:type="pct"/>
            <w:shd w:val="clear" w:color="auto" w:fill="auto"/>
          </w:tcPr>
          <w:p w:rsidR="00CB0DD7" w:rsidRPr="000A0A5F" w:rsidRDefault="00CB0DD7">
            <w:pPr>
              <w:pStyle w:val="TAL"/>
            </w:pPr>
            <w:r w:rsidRPr="000A0A5F">
              <w:t>transactionId</w:t>
            </w:r>
          </w:p>
        </w:tc>
        <w:tc>
          <w:tcPr>
            <w:tcW w:w="960" w:type="pct"/>
          </w:tcPr>
          <w:p w:rsidR="00CB0DD7" w:rsidRPr="000A0A5F" w:rsidRDefault="00CB0DD7">
            <w:pPr>
              <w:pStyle w:val="TAL"/>
            </w:pPr>
            <w:r w:rsidRPr="000A0A5F">
              <w:t>string</w:t>
            </w:r>
          </w:p>
        </w:tc>
        <w:tc>
          <w:tcPr>
            <w:tcW w:w="3301" w:type="pct"/>
            <w:shd w:val="clear" w:color="auto" w:fill="auto"/>
            <w:vAlign w:val="center"/>
          </w:tcPr>
          <w:p w:rsidR="00CB0DD7" w:rsidRPr="000A0A5F" w:rsidRDefault="00CB0DD7">
            <w:pPr>
              <w:pStyle w:val="TAL"/>
            </w:pPr>
            <w:r w:rsidRPr="000A0A5F">
              <w:t>Identifier of the transaction resource. The transactionId corresponds to the stage 2 TLTRI.</w:t>
            </w:r>
          </w:p>
        </w:tc>
      </w:tr>
    </w:tbl>
    <w:p w:rsidR="00CB0DD7" w:rsidRPr="000A0A5F" w:rsidRDefault="00CB0DD7"/>
    <w:p w:rsidR="00CB0DD7" w:rsidRPr="000A0A5F" w:rsidRDefault="00CB0DD7">
      <w:pPr>
        <w:pStyle w:val="Heading5"/>
      </w:pPr>
      <w:bookmarkStart w:id="5040" w:name="_Toc11247546"/>
      <w:bookmarkStart w:id="5041" w:name="_Toc27044685"/>
      <w:bookmarkStart w:id="5042" w:name="_Toc36033727"/>
      <w:bookmarkStart w:id="5043" w:name="_Toc45131873"/>
      <w:bookmarkStart w:id="5044" w:name="_Toc49776158"/>
      <w:bookmarkStart w:id="5045" w:name="_Toc51747078"/>
      <w:bookmarkStart w:id="5046" w:name="_Toc66360639"/>
      <w:bookmarkStart w:id="5047" w:name="_Toc68105144"/>
      <w:bookmarkStart w:id="5048" w:name="_Toc74755774"/>
      <w:bookmarkStart w:id="5049" w:name="_Toc105674649"/>
      <w:bookmarkStart w:id="5050" w:name="_Toc130502697"/>
      <w:bookmarkStart w:id="5051" w:name="_Toc153625484"/>
      <w:r w:rsidRPr="000A0A5F">
        <w:t>5.7.3.3.3</w:t>
      </w:r>
      <w:r w:rsidRPr="000A0A5F">
        <w:tab/>
        <w:t>Resource methods</w:t>
      </w:r>
      <w:bookmarkEnd w:id="5040"/>
      <w:bookmarkEnd w:id="5041"/>
      <w:bookmarkEnd w:id="5042"/>
      <w:bookmarkEnd w:id="5043"/>
      <w:bookmarkEnd w:id="5044"/>
      <w:bookmarkEnd w:id="5045"/>
      <w:bookmarkEnd w:id="5046"/>
      <w:bookmarkEnd w:id="5047"/>
      <w:bookmarkEnd w:id="5048"/>
      <w:bookmarkEnd w:id="5049"/>
      <w:bookmarkEnd w:id="5050"/>
      <w:bookmarkEnd w:id="5051"/>
    </w:p>
    <w:p w:rsidR="00CB0DD7" w:rsidRPr="000A0A5F" w:rsidRDefault="00CB0DD7">
      <w:pPr>
        <w:pStyle w:val="Heading6"/>
      </w:pPr>
      <w:bookmarkStart w:id="5052" w:name="_Toc11247547"/>
      <w:bookmarkStart w:id="5053" w:name="_Toc27044686"/>
      <w:bookmarkStart w:id="5054" w:name="_Toc36033728"/>
      <w:bookmarkStart w:id="5055" w:name="_Toc45131874"/>
      <w:bookmarkStart w:id="5056" w:name="_Toc49776159"/>
      <w:bookmarkStart w:id="5057" w:name="_Toc51747079"/>
      <w:bookmarkStart w:id="5058" w:name="_Toc66360640"/>
      <w:bookmarkStart w:id="5059" w:name="_Toc68105145"/>
      <w:bookmarkStart w:id="5060" w:name="_Toc74755775"/>
      <w:bookmarkStart w:id="5061" w:name="_Toc105674650"/>
      <w:bookmarkStart w:id="5062" w:name="_Toc130502698"/>
      <w:bookmarkStart w:id="5063" w:name="_Toc153625485"/>
      <w:r w:rsidRPr="000A0A5F">
        <w:t>5.7.3.3.3.1</w:t>
      </w:r>
      <w:r w:rsidRPr="000A0A5F">
        <w:tab/>
        <w:t>GET</w:t>
      </w:r>
      <w:bookmarkEnd w:id="5052"/>
      <w:bookmarkEnd w:id="5053"/>
      <w:bookmarkEnd w:id="5054"/>
      <w:bookmarkEnd w:id="5055"/>
      <w:bookmarkEnd w:id="5056"/>
      <w:bookmarkEnd w:id="5057"/>
      <w:bookmarkEnd w:id="5058"/>
      <w:bookmarkEnd w:id="5059"/>
      <w:bookmarkEnd w:id="5060"/>
      <w:bookmarkEnd w:id="5061"/>
      <w:bookmarkEnd w:id="5062"/>
      <w:bookmarkEnd w:id="5063"/>
    </w:p>
    <w:p w:rsidR="00CB0DD7" w:rsidRPr="000A0A5F" w:rsidRDefault="00CB0DD7">
      <w:pPr>
        <w:rPr>
          <w:noProof/>
          <w:lang w:eastAsia="zh-CN"/>
        </w:rPr>
      </w:pPr>
      <w:r w:rsidRPr="000A0A5F">
        <w:rPr>
          <w:noProof/>
          <w:lang w:eastAsia="zh-CN"/>
        </w:rPr>
        <w:t>The GET method allows to read an individual device triggering transaction resource to obtain details of an active transaction. The SCS/AS shall initiate the HTTP GET request message and the SCEF shall respond to the message.</w:t>
      </w:r>
    </w:p>
    <w:p w:rsidR="00CB0DD7" w:rsidRPr="000A0A5F" w:rsidRDefault="00CB0DD7">
      <w:r w:rsidRPr="000A0A5F">
        <w:t>This method shall support the URI query parameters, request and response data structures, and response codes, as specified in the table 5.7.3.3.3.1-1 and table 5.7.3.3.3.1-2.</w:t>
      </w:r>
    </w:p>
    <w:p w:rsidR="00CB0DD7" w:rsidRPr="000A0A5F" w:rsidRDefault="00CB0DD7">
      <w:pPr>
        <w:pStyle w:val="TH"/>
        <w:rPr>
          <w:rFonts w:cs="Arial"/>
        </w:rPr>
      </w:pPr>
      <w:r w:rsidRPr="000A0A5F">
        <w:t xml:space="preserve">Table 5.7.3.3.3.1-1: URI query parameters supported by the GET method on this resource </w:t>
      </w:r>
    </w:p>
    <w:tbl>
      <w:tblPr>
        <w:tblW w:w="4999"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612"/>
        <w:gridCol w:w="1709"/>
        <w:gridCol w:w="1140"/>
        <w:gridCol w:w="5314"/>
      </w:tblGrid>
      <w:tr w:rsidR="00CB0DD7" w:rsidRPr="000A0A5F" w:rsidTr="00FF0AF8">
        <w:trPr>
          <w:jc w:val="center"/>
        </w:trPr>
        <w:tc>
          <w:tcPr>
            <w:tcW w:w="825" w:type="pct"/>
            <w:shd w:val="clear" w:color="000000" w:fill="C0C0C0"/>
          </w:tcPr>
          <w:p w:rsidR="00CB0DD7" w:rsidRPr="000A0A5F" w:rsidRDefault="00CB0DD7">
            <w:pPr>
              <w:pStyle w:val="TAH"/>
            </w:pPr>
            <w:r w:rsidRPr="000A0A5F">
              <w:t>Name</w:t>
            </w:r>
          </w:p>
        </w:tc>
        <w:tc>
          <w:tcPr>
            <w:tcW w:w="874" w:type="pct"/>
            <w:shd w:val="clear" w:color="000000" w:fill="C0C0C0"/>
          </w:tcPr>
          <w:p w:rsidR="00CB0DD7" w:rsidRPr="000A0A5F" w:rsidRDefault="00CB0DD7">
            <w:pPr>
              <w:pStyle w:val="TAH"/>
            </w:pPr>
            <w:r w:rsidRPr="000A0A5F">
              <w:t>Data type</w:t>
            </w:r>
          </w:p>
        </w:tc>
        <w:tc>
          <w:tcPr>
            <w:tcW w:w="583" w:type="pct"/>
            <w:shd w:val="clear" w:color="000000" w:fill="C0C0C0"/>
          </w:tcPr>
          <w:p w:rsidR="00CB0DD7" w:rsidRPr="000A0A5F" w:rsidRDefault="00CB0DD7">
            <w:pPr>
              <w:pStyle w:val="TAH"/>
            </w:pPr>
            <w:r w:rsidRPr="000A0A5F">
              <w:t>Cardinality</w:t>
            </w:r>
          </w:p>
        </w:tc>
        <w:tc>
          <w:tcPr>
            <w:tcW w:w="2718" w:type="pct"/>
            <w:shd w:val="clear" w:color="000000" w:fill="C0C0C0"/>
            <w:vAlign w:val="center"/>
          </w:tcPr>
          <w:p w:rsidR="00CB0DD7" w:rsidRPr="000A0A5F" w:rsidRDefault="00CB0DD7">
            <w:pPr>
              <w:pStyle w:val="TAH"/>
            </w:pPr>
            <w:r w:rsidRPr="000A0A5F">
              <w:t>Remarks</w:t>
            </w:r>
          </w:p>
        </w:tc>
      </w:tr>
      <w:tr w:rsidR="00CB0DD7" w:rsidRPr="000A0A5F" w:rsidTr="00FF0AF8">
        <w:trPr>
          <w:jc w:val="center"/>
        </w:trPr>
        <w:tc>
          <w:tcPr>
            <w:tcW w:w="825" w:type="pct"/>
            <w:shd w:val="clear" w:color="auto" w:fill="auto"/>
          </w:tcPr>
          <w:p w:rsidR="00CB0DD7" w:rsidRPr="000A0A5F" w:rsidRDefault="00CB0DD7">
            <w:pPr>
              <w:pStyle w:val="TAL"/>
            </w:pPr>
            <w:r w:rsidRPr="000A0A5F">
              <w:t>none specified</w:t>
            </w:r>
          </w:p>
        </w:tc>
        <w:tc>
          <w:tcPr>
            <w:tcW w:w="874" w:type="pct"/>
          </w:tcPr>
          <w:p w:rsidR="00CB0DD7" w:rsidRPr="000A0A5F" w:rsidRDefault="00CB0DD7">
            <w:pPr>
              <w:pStyle w:val="TAL"/>
            </w:pPr>
          </w:p>
        </w:tc>
        <w:tc>
          <w:tcPr>
            <w:tcW w:w="583" w:type="pct"/>
          </w:tcPr>
          <w:p w:rsidR="00CB0DD7" w:rsidRPr="000A0A5F" w:rsidRDefault="00CB0DD7">
            <w:pPr>
              <w:pStyle w:val="TAL"/>
            </w:pPr>
          </w:p>
        </w:tc>
        <w:tc>
          <w:tcPr>
            <w:tcW w:w="2718" w:type="pct"/>
            <w:shd w:val="clear" w:color="auto" w:fill="auto"/>
            <w:vAlign w:val="center"/>
          </w:tcPr>
          <w:p w:rsidR="00CB0DD7" w:rsidRPr="000A0A5F" w:rsidRDefault="00CB0DD7">
            <w:pPr>
              <w:pStyle w:val="TAL"/>
            </w:pPr>
          </w:p>
        </w:tc>
      </w:tr>
    </w:tbl>
    <w:p w:rsidR="00CB0DD7" w:rsidRPr="000A0A5F" w:rsidRDefault="00CB0DD7"/>
    <w:p w:rsidR="00CB0DD7" w:rsidRPr="000A0A5F" w:rsidRDefault="00CB0DD7">
      <w:pPr>
        <w:pStyle w:val="TH"/>
      </w:pPr>
      <w:r w:rsidRPr="000A0A5F">
        <w:t>Table 5.7.3.3.3.1-2: Data structures supported by the GET request/response by the resource</w:t>
      </w:r>
    </w:p>
    <w:tbl>
      <w:tblPr>
        <w:tblW w:w="4999" w:type="pct"/>
        <w:tblInd w:w="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45" w:type="dxa"/>
          <w:left w:w="45" w:type="dxa"/>
          <w:bottom w:w="45" w:type="dxa"/>
          <w:right w:w="45" w:type="dxa"/>
        </w:tblCellMar>
        <w:tblLook w:val="0000" w:firstRow="0" w:lastRow="0" w:firstColumn="0" w:lastColumn="0" w:noHBand="0" w:noVBand="0"/>
      </w:tblPr>
      <w:tblGrid>
        <w:gridCol w:w="1035"/>
        <w:gridCol w:w="2127"/>
        <w:gridCol w:w="1053"/>
        <w:gridCol w:w="973"/>
        <w:gridCol w:w="4541"/>
      </w:tblGrid>
      <w:tr w:rsidR="00CB0DD7" w:rsidRPr="000A0A5F" w:rsidTr="00C9682D">
        <w:tc>
          <w:tcPr>
            <w:tcW w:w="532" w:type="pct"/>
            <w:vMerge w:val="restart"/>
            <w:shd w:val="clear" w:color="auto" w:fill="C0C0C0"/>
            <w:vAlign w:val="center"/>
          </w:tcPr>
          <w:p w:rsidR="00CB0DD7" w:rsidRPr="000A0A5F" w:rsidRDefault="00CB0DD7">
            <w:pPr>
              <w:pStyle w:val="TAH"/>
            </w:pPr>
            <w:r w:rsidRPr="000A0A5F">
              <w:t>Request body</w:t>
            </w:r>
          </w:p>
        </w:tc>
        <w:tc>
          <w:tcPr>
            <w:tcW w:w="1093" w:type="pct"/>
            <w:shd w:val="clear" w:color="auto" w:fill="C0C0C0"/>
          </w:tcPr>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r w:rsidRPr="000A0A5F">
              <w:t>Cardinality</w:t>
            </w:r>
          </w:p>
        </w:tc>
        <w:tc>
          <w:tcPr>
            <w:tcW w:w="2834" w:type="pct"/>
            <w:gridSpan w:val="2"/>
            <w:shd w:val="clear" w:color="auto" w:fill="C0C0C0"/>
          </w:tcPr>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none</w:t>
            </w:r>
          </w:p>
        </w:tc>
        <w:tc>
          <w:tcPr>
            <w:tcW w:w="541" w:type="pct"/>
          </w:tcPr>
          <w:p w:rsidR="00CB0DD7" w:rsidRPr="000A0A5F" w:rsidRDefault="00CB0DD7">
            <w:pPr>
              <w:pStyle w:val="TAL"/>
            </w:pPr>
          </w:p>
        </w:tc>
        <w:tc>
          <w:tcPr>
            <w:tcW w:w="2834" w:type="pct"/>
            <w:gridSpan w:val="2"/>
          </w:tcPr>
          <w:p w:rsidR="00CB0DD7" w:rsidRPr="000A0A5F" w:rsidRDefault="00CB0DD7">
            <w:pPr>
              <w:pStyle w:val="TAL"/>
            </w:pPr>
          </w:p>
        </w:tc>
      </w:tr>
      <w:tr w:rsidR="00CB0DD7" w:rsidRPr="000A0A5F" w:rsidTr="00C9682D">
        <w:tc>
          <w:tcPr>
            <w:tcW w:w="532" w:type="pct"/>
            <w:vMerge w:val="restart"/>
            <w:shd w:val="clear" w:color="auto" w:fill="C0C0C0"/>
            <w:vAlign w:val="center"/>
          </w:tcPr>
          <w:p w:rsidR="00CB0DD7" w:rsidRPr="000A0A5F" w:rsidRDefault="00CB0DD7">
            <w:pPr>
              <w:pStyle w:val="TAH"/>
            </w:pPr>
            <w:r w:rsidRPr="000A0A5F">
              <w:t>Response body</w:t>
            </w:r>
          </w:p>
        </w:tc>
        <w:tc>
          <w:tcPr>
            <w:tcW w:w="1093" w:type="pct"/>
            <w:shd w:val="clear" w:color="auto" w:fill="C0C0C0"/>
          </w:tcPr>
          <w:p w:rsidR="00CB0DD7" w:rsidRPr="000A0A5F" w:rsidRDefault="00CB0DD7">
            <w:pPr>
              <w:pStyle w:val="TAH"/>
            </w:pPr>
          </w:p>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p>
          <w:p w:rsidR="00CB0DD7" w:rsidRPr="000A0A5F" w:rsidRDefault="00CB0DD7">
            <w:pPr>
              <w:pStyle w:val="TAH"/>
            </w:pPr>
            <w:r w:rsidRPr="000A0A5F">
              <w:t>Cardinality</w:t>
            </w:r>
          </w:p>
        </w:tc>
        <w:tc>
          <w:tcPr>
            <w:tcW w:w="500" w:type="pct"/>
            <w:shd w:val="clear" w:color="auto" w:fill="C0C0C0"/>
          </w:tcPr>
          <w:p w:rsidR="00CB0DD7" w:rsidRPr="000A0A5F" w:rsidRDefault="00CB0DD7">
            <w:pPr>
              <w:pStyle w:val="TAH"/>
            </w:pPr>
            <w:r w:rsidRPr="000A0A5F">
              <w:t>Response</w:t>
            </w:r>
          </w:p>
          <w:p w:rsidR="00CB0DD7" w:rsidRPr="000A0A5F" w:rsidRDefault="00CB0DD7">
            <w:pPr>
              <w:pStyle w:val="TAH"/>
            </w:pPr>
            <w:r w:rsidRPr="000A0A5F">
              <w:t>codes</w:t>
            </w:r>
          </w:p>
        </w:tc>
        <w:tc>
          <w:tcPr>
            <w:tcW w:w="2334" w:type="pct"/>
            <w:shd w:val="clear" w:color="auto" w:fill="C0C0C0"/>
          </w:tcPr>
          <w:p w:rsidR="00CB0DD7" w:rsidRPr="000A0A5F" w:rsidRDefault="00CB0DD7">
            <w:pPr>
              <w:pStyle w:val="TAH"/>
            </w:pPr>
          </w:p>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DeviceTriggering</w:t>
            </w:r>
          </w:p>
        </w:tc>
        <w:tc>
          <w:tcPr>
            <w:tcW w:w="541" w:type="pct"/>
          </w:tcPr>
          <w:p w:rsidR="00CB0DD7" w:rsidRPr="000A0A5F" w:rsidRDefault="00CB0DD7">
            <w:pPr>
              <w:pStyle w:val="TAL"/>
            </w:pPr>
            <w:r w:rsidRPr="000A0A5F">
              <w:t>1</w:t>
            </w:r>
          </w:p>
        </w:tc>
        <w:tc>
          <w:tcPr>
            <w:tcW w:w="500" w:type="pct"/>
          </w:tcPr>
          <w:p w:rsidR="00CB0DD7" w:rsidRPr="000A0A5F" w:rsidRDefault="00CB0DD7">
            <w:pPr>
              <w:pStyle w:val="TAL"/>
            </w:pPr>
            <w:r w:rsidRPr="000A0A5F">
              <w:t>200 OK</w:t>
            </w:r>
          </w:p>
        </w:tc>
        <w:tc>
          <w:tcPr>
            <w:tcW w:w="2334" w:type="pct"/>
          </w:tcPr>
          <w:p w:rsidR="00CB0DD7" w:rsidRPr="000A0A5F" w:rsidRDefault="00CB0DD7">
            <w:pPr>
              <w:pStyle w:val="TAL"/>
            </w:pPr>
            <w:r w:rsidRPr="000A0A5F">
              <w:t>The device triggering transaction information related to the request URI is returned.</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none</w:t>
            </w:r>
          </w:p>
        </w:tc>
        <w:tc>
          <w:tcPr>
            <w:tcW w:w="541" w:type="pct"/>
          </w:tcPr>
          <w:p w:rsidR="00CB0DD7" w:rsidRPr="000A0A5F" w:rsidRDefault="00CB0DD7">
            <w:pPr>
              <w:pStyle w:val="TAL"/>
            </w:pPr>
          </w:p>
        </w:tc>
        <w:tc>
          <w:tcPr>
            <w:tcW w:w="500" w:type="pct"/>
          </w:tcPr>
          <w:p w:rsidR="00CB0DD7" w:rsidRPr="000A0A5F" w:rsidRDefault="00CB0DD7">
            <w:pPr>
              <w:pStyle w:val="TAL"/>
            </w:pPr>
            <w:r w:rsidRPr="000A0A5F">
              <w:t>307 Temporary Redirect</w:t>
            </w:r>
          </w:p>
        </w:tc>
        <w:tc>
          <w:tcPr>
            <w:tcW w:w="2334" w:type="pct"/>
          </w:tcPr>
          <w:p w:rsidR="00CB0DD7" w:rsidRPr="000A0A5F" w:rsidRDefault="00CB0DD7">
            <w:pPr>
              <w:pStyle w:val="TAL"/>
            </w:pPr>
            <w:r w:rsidRPr="000A0A5F">
              <w:t>Temporary redirection, during transaction retrieval. The response shall include a Location header field containing an alternative URI of the resource located in an alternative SCEF.</w:t>
            </w:r>
          </w:p>
          <w:p w:rsidR="00CB0DD7" w:rsidRPr="000A0A5F" w:rsidRDefault="00CB0DD7">
            <w:pPr>
              <w:pStyle w:val="TAL"/>
            </w:pPr>
            <w:r w:rsidRPr="000A0A5F">
              <w:t>Redirection handling is described in clause 5.2.10.</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none</w:t>
            </w:r>
          </w:p>
        </w:tc>
        <w:tc>
          <w:tcPr>
            <w:tcW w:w="541" w:type="pct"/>
          </w:tcPr>
          <w:p w:rsidR="00CB0DD7" w:rsidRPr="000A0A5F" w:rsidRDefault="00CB0DD7">
            <w:pPr>
              <w:pStyle w:val="TAL"/>
            </w:pPr>
          </w:p>
        </w:tc>
        <w:tc>
          <w:tcPr>
            <w:tcW w:w="500" w:type="pct"/>
          </w:tcPr>
          <w:p w:rsidR="00CB0DD7" w:rsidRPr="000A0A5F" w:rsidRDefault="00CB0DD7">
            <w:pPr>
              <w:pStyle w:val="TAL"/>
            </w:pPr>
            <w:r w:rsidRPr="000A0A5F">
              <w:t>308 Permanent Redirect</w:t>
            </w:r>
          </w:p>
        </w:tc>
        <w:tc>
          <w:tcPr>
            <w:tcW w:w="2334" w:type="pct"/>
          </w:tcPr>
          <w:p w:rsidR="00CB0DD7" w:rsidRPr="000A0A5F" w:rsidRDefault="00CB0DD7">
            <w:pPr>
              <w:pStyle w:val="TAL"/>
            </w:pPr>
            <w:r w:rsidRPr="000A0A5F">
              <w:t>Permanent redirection, during transaction retrieval. The response shall include a Location header field containing an alternative URI of the resource located in an alternative SCEF.</w:t>
            </w:r>
          </w:p>
          <w:p w:rsidR="00CB0DD7" w:rsidRPr="000A0A5F" w:rsidRDefault="00CB0DD7">
            <w:pPr>
              <w:pStyle w:val="TAL"/>
            </w:pPr>
            <w:r w:rsidRPr="000A0A5F">
              <w:t>Redirection handling is described in clause 5.2.10.</w:t>
            </w:r>
          </w:p>
        </w:tc>
      </w:tr>
      <w:tr w:rsidR="00CB0DD7" w:rsidRPr="000A0A5F" w:rsidTr="00FF0AF8">
        <w:tc>
          <w:tcPr>
            <w:tcW w:w="5000" w:type="pct"/>
            <w:gridSpan w:val="5"/>
            <w:shd w:val="clear" w:color="auto" w:fill="auto"/>
            <w:vAlign w:val="center"/>
          </w:tcPr>
          <w:p w:rsidR="00CB0DD7" w:rsidRPr="000A0A5F" w:rsidRDefault="00CB0DD7">
            <w:pPr>
              <w:pStyle w:val="TAN"/>
            </w:pPr>
            <w:r w:rsidRPr="000A0A5F">
              <w:t>NOTE:</w:t>
            </w:r>
            <w:r w:rsidRPr="000A0A5F">
              <w:tab/>
              <w:t>The mandatory HTTP error status codes for the GET method listed in table 5.2.6-1 also apply.</w:t>
            </w:r>
          </w:p>
        </w:tc>
      </w:tr>
    </w:tbl>
    <w:p w:rsidR="00CB0DD7" w:rsidRPr="000A0A5F" w:rsidRDefault="00CB0DD7"/>
    <w:p w:rsidR="00CB0DD7" w:rsidRPr="000A0A5F" w:rsidRDefault="002E466A">
      <w:pPr>
        <w:pStyle w:val="TH"/>
      </w:pPr>
      <w:r w:rsidRPr="000A0A5F">
        <w:t>Table </w:t>
      </w:r>
      <w:r w:rsidR="00CB0DD7" w:rsidRPr="000A0A5F">
        <w:t>5.7.3.3.3.1-3: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2E466A">
      <w:pPr>
        <w:pStyle w:val="TH"/>
      </w:pPr>
      <w:r w:rsidRPr="000A0A5F">
        <w:t>Table </w:t>
      </w:r>
      <w:r w:rsidR="00CB0DD7" w:rsidRPr="000A0A5F">
        <w:t>5.7.3.3.3.1-4: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CB0DD7">
      <w:pPr>
        <w:pStyle w:val="Heading6"/>
      </w:pPr>
      <w:bookmarkStart w:id="5064" w:name="_Toc11247548"/>
      <w:bookmarkStart w:id="5065" w:name="_Toc27044687"/>
      <w:bookmarkStart w:id="5066" w:name="_Toc36033729"/>
      <w:bookmarkStart w:id="5067" w:name="_Toc45131875"/>
      <w:bookmarkStart w:id="5068" w:name="_Toc49776160"/>
      <w:bookmarkStart w:id="5069" w:name="_Toc51747080"/>
      <w:bookmarkStart w:id="5070" w:name="_Toc66360641"/>
      <w:bookmarkStart w:id="5071" w:name="_Toc68105146"/>
      <w:bookmarkStart w:id="5072" w:name="_Toc74755776"/>
      <w:bookmarkStart w:id="5073" w:name="_Toc105674651"/>
      <w:bookmarkStart w:id="5074" w:name="_Toc130502699"/>
      <w:bookmarkStart w:id="5075" w:name="_Toc153625486"/>
      <w:r w:rsidRPr="000A0A5F">
        <w:t>5.7.3.3.3.2</w:t>
      </w:r>
      <w:r w:rsidRPr="000A0A5F">
        <w:tab/>
        <w:t>PUT</w:t>
      </w:r>
      <w:bookmarkEnd w:id="5064"/>
      <w:bookmarkEnd w:id="5065"/>
      <w:bookmarkEnd w:id="5066"/>
      <w:bookmarkEnd w:id="5067"/>
      <w:bookmarkEnd w:id="5068"/>
      <w:bookmarkEnd w:id="5069"/>
      <w:bookmarkEnd w:id="5070"/>
      <w:bookmarkEnd w:id="5071"/>
      <w:bookmarkEnd w:id="5072"/>
      <w:bookmarkEnd w:id="5073"/>
      <w:bookmarkEnd w:id="5074"/>
      <w:bookmarkEnd w:id="5075"/>
    </w:p>
    <w:p w:rsidR="00CB0DD7" w:rsidRPr="000A0A5F" w:rsidRDefault="00CB0DD7" w:rsidP="00705B0E">
      <w:pPr>
        <w:rPr>
          <w:lang w:eastAsia="zh-CN"/>
        </w:rPr>
      </w:pPr>
      <w:r w:rsidRPr="000A0A5F">
        <w:t>A pending device triggering delivery can be replaced by the SCS/AS. To replace the pending device triggering, the SCS/AS shall use the HTTP PUT method on the "</w:t>
      </w:r>
      <w:r w:rsidRPr="000A0A5F">
        <w:rPr>
          <w:rFonts w:hint="eastAsia"/>
          <w:lang w:eastAsia="zh-CN"/>
        </w:rPr>
        <w:t>transaction</w:t>
      </w:r>
      <w:r w:rsidRPr="000A0A5F">
        <w:t>" instance resource as follows</w:t>
      </w:r>
      <w:r w:rsidR="00B97EBD" w:rsidRPr="000A0A5F">
        <w:t xml:space="preserve"> with </w:t>
      </w:r>
      <w:r w:rsidRPr="000A0A5F">
        <w:t>the body of the message encoded in JSON format</w:t>
      </w:r>
      <w:r w:rsidRPr="000A0A5F">
        <w:rPr>
          <w:rFonts w:hint="eastAsia"/>
          <w:lang w:eastAsia="zh-CN"/>
        </w:rPr>
        <w:t xml:space="preserve"> </w:t>
      </w:r>
      <w:r w:rsidR="00B97EBD" w:rsidRPr="000A0A5F">
        <w:rPr>
          <w:lang w:eastAsia="zh-CN"/>
        </w:rPr>
        <w:t>including</w:t>
      </w:r>
      <w:r w:rsidR="00B97EBD" w:rsidRPr="000A0A5F">
        <w:rPr>
          <w:rFonts w:hint="eastAsia"/>
          <w:lang w:eastAsia="zh-CN"/>
        </w:rPr>
        <w:t xml:space="preserve"> </w:t>
      </w:r>
      <w:r w:rsidRPr="000A0A5F">
        <w:rPr>
          <w:rFonts w:hint="eastAsia"/>
          <w:lang w:eastAsia="zh-CN"/>
        </w:rPr>
        <w:t>the data structure defined in table</w:t>
      </w:r>
      <w:r w:rsidRPr="000A0A5F">
        <w:rPr>
          <w:lang w:val="en-US" w:eastAsia="zh-CN"/>
        </w:rPr>
        <w:t> </w:t>
      </w:r>
      <w:r w:rsidRPr="000A0A5F">
        <w:rPr>
          <w:rFonts w:hint="eastAsia"/>
          <w:lang w:eastAsia="zh-CN"/>
        </w:rPr>
        <w:t>5.7.2.1.2-1</w:t>
      </w:r>
    </w:p>
    <w:p w:rsidR="00CB0DD7" w:rsidRPr="000A0A5F" w:rsidRDefault="00CB0DD7">
      <w:pPr>
        <w:rPr>
          <w:rFonts w:hint="eastAsia"/>
          <w:lang w:eastAsia="zh-CN"/>
        </w:rPr>
      </w:pPr>
      <w:r w:rsidRPr="000A0A5F">
        <w:t>The properties "msisdn" or "externalId" shall remain unchanged from previously provided value</w:t>
      </w:r>
      <w:r w:rsidRPr="000A0A5F">
        <w:rPr>
          <w:noProof/>
          <w:lang w:eastAsia="zh-CN"/>
        </w:rPr>
        <w:t>.</w:t>
      </w:r>
    </w:p>
    <w:p w:rsidR="00CB0DD7" w:rsidRPr="000A0A5F" w:rsidRDefault="00CB0DD7">
      <w:pPr>
        <w:rPr>
          <w:rFonts w:hint="eastAsia"/>
          <w:lang w:eastAsia="zh-CN"/>
        </w:rPr>
      </w:pPr>
      <w:r w:rsidRPr="000A0A5F">
        <w:t>The possible response messages from the</w:t>
      </w:r>
      <w:r w:rsidRPr="000A0A5F">
        <w:rPr>
          <w:rFonts w:hint="eastAsia"/>
          <w:lang w:eastAsia="zh-CN"/>
        </w:rPr>
        <w:t xml:space="preserve"> SCEF</w:t>
      </w:r>
      <w:r w:rsidRPr="000A0A5F">
        <w:t>, depending on whether the PUT request is successful or unsuccessful, are shown in Table</w:t>
      </w:r>
      <w:r w:rsidR="00B97EBD" w:rsidRPr="000A0A5F">
        <w:t> </w:t>
      </w:r>
      <w:r w:rsidRPr="000A0A5F">
        <w:t>5.7.3.3.3.2</w:t>
      </w:r>
      <w:r w:rsidRPr="000A0A5F">
        <w:rPr>
          <w:rFonts w:hint="eastAsia"/>
          <w:lang w:eastAsia="zh-CN"/>
        </w:rPr>
        <w:t>-</w:t>
      </w:r>
      <w:r w:rsidRPr="000A0A5F">
        <w:rPr>
          <w:lang w:eastAsia="zh-CN"/>
        </w:rPr>
        <w:t>1</w:t>
      </w:r>
      <w:r w:rsidRPr="000A0A5F">
        <w:t>.</w:t>
      </w:r>
    </w:p>
    <w:p w:rsidR="00CB0DD7" w:rsidRPr="000A0A5F" w:rsidRDefault="00CB0DD7">
      <w:pPr>
        <w:pStyle w:val="TH"/>
      </w:pPr>
      <w:r w:rsidRPr="000A0A5F">
        <w:t>Table 5.7.3.3.3.2</w:t>
      </w:r>
      <w:r w:rsidRPr="000A0A5F">
        <w:rPr>
          <w:rFonts w:hint="eastAsia"/>
          <w:lang w:eastAsia="zh-CN"/>
        </w:rPr>
        <w:t>-</w:t>
      </w:r>
      <w:r w:rsidRPr="000A0A5F">
        <w:rPr>
          <w:lang w:eastAsia="zh-CN"/>
        </w:rPr>
        <w:t>1</w:t>
      </w:r>
      <w:r w:rsidRPr="000A0A5F">
        <w:t xml:space="preserve">: Data structures supported by the </w:t>
      </w:r>
      <w:r w:rsidRPr="000A0A5F">
        <w:rPr>
          <w:lang w:eastAsia="zh-CN"/>
        </w:rPr>
        <w:t>PUT</w:t>
      </w:r>
      <w:r w:rsidRPr="000A0A5F">
        <w:t xml:space="preserve"> request/response by the resource</w:t>
      </w:r>
    </w:p>
    <w:tbl>
      <w:tblPr>
        <w:tblW w:w="4999" w:type="pct"/>
        <w:tblInd w:w="1" w:type="dxa"/>
        <w:tblBorders>
          <w:top w:val="single" w:sz="6" w:space="0" w:color="000000"/>
          <w:left w:val="single" w:sz="6" w:space="0" w:color="000000"/>
          <w:bottom w:val="single" w:sz="6" w:space="0" w:color="000000"/>
          <w:right w:val="single" w:sz="6" w:space="0" w:color="000000"/>
          <w:insideH w:val="single" w:sz="6" w:space="0" w:color="auto"/>
          <w:insideV w:val="single" w:sz="6" w:space="0" w:color="000000"/>
        </w:tblBorders>
        <w:tblLayout w:type="fixed"/>
        <w:tblCellMar>
          <w:top w:w="45" w:type="dxa"/>
          <w:left w:w="45" w:type="dxa"/>
          <w:bottom w:w="45" w:type="dxa"/>
          <w:right w:w="45" w:type="dxa"/>
        </w:tblCellMar>
        <w:tblLook w:val="0000" w:firstRow="0" w:lastRow="0" w:firstColumn="0" w:lastColumn="0" w:noHBand="0" w:noVBand="0"/>
      </w:tblPr>
      <w:tblGrid>
        <w:gridCol w:w="1035"/>
        <w:gridCol w:w="2127"/>
        <w:gridCol w:w="1053"/>
        <w:gridCol w:w="973"/>
        <w:gridCol w:w="4541"/>
      </w:tblGrid>
      <w:tr w:rsidR="00CB0DD7" w:rsidRPr="000A0A5F" w:rsidTr="00C9682D">
        <w:tc>
          <w:tcPr>
            <w:tcW w:w="532" w:type="pct"/>
            <w:vMerge w:val="restart"/>
            <w:shd w:val="clear" w:color="auto" w:fill="C0C0C0"/>
            <w:vAlign w:val="center"/>
          </w:tcPr>
          <w:p w:rsidR="00CB0DD7" w:rsidRPr="000A0A5F" w:rsidRDefault="00CB0DD7">
            <w:pPr>
              <w:pStyle w:val="TAH"/>
            </w:pPr>
            <w:r w:rsidRPr="000A0A5F">
              <w:t>Request body</w:t>
            </w:r>
          </w:p>
        </w:tc>
        <w:tc>
          <w:tcPr>
            <w:tcW w:w="1093" w:type="pct"/>
            <w:shd w:val="clear" w:color="auto" w:fill="C0C0C0"/>
          </w:tcPr>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r w:rsidRPr="000A0A5F">
              <w:t>Cardinality</w:t>
            </w:r>
          </w:p>
        </w:tc>
        <w:tc>
          <w:tcPr>
            <w:tcW w:w="2834" w:type="pct"/>
            <w:gridSpan w:val="2"/>
            <w:shd w:val="clear" w:color="auto" w:fill="C0C0C0"/>
          </w:tcPr>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rPr>
                <w:lang w:eastAsia="zh-CN"/>
              </w:rPr>
              <w:t>DeviceTriggering</w:t>
            </w:r>
          </w:p>
        </w:tc>
        <w:tc>
          <w:tcPr>
            <w:tcW w:w="541" w:type="pct"/>
          </w:tcPr>
          <w:p w:rsidR="00CB0DD7" w:rsidRPr="000A0A5F" w:rsidRDefault="00CB0DD7">
            <w:pPr>
              <w:pStyle w:val="TAL"/>
            </w:pPr>
            <w:r w:rsidRPr="000A0A5F">
              <w:t>1</w:t>
            </w:r>
          </w:p>
        </w:tc>
        <w:tc>
          <w:tcPr>
            <w:tcW w:w="2834" w:type="pct"/>
            <w:gridSpan w:val="2"/>
          </w:tcPr>
          <w:p w:rsidR="00CB0DD7" w:rsidRPr="000A0A5F" w:rsidRDefault="00CB0DD7">
            <w:pPr>
              <w:pStyle w:val="TAL"/>
            </w:pPr>
            <w:r w:rsidRPr="000A0A5F">
              <w:t>Parameters to replace a device triggering</w:t>
            </w:r>
            <w:r w:rsidRPr="000A0A5F">
              <w:rPr>
                <w:rFonts w:hint="eastAsia"/>
                <w:lang w:eastAsia="zh-CN"/>
              </w:rPr>
              <w:t xml:space="preserve"> </w:t>
            </w:r>
            <w:r w:rsidRPr="000A0A5F">
              <w:t>with the SCEF.</w:t>
            </w:r>
          </w:p>
        </w:tc>
      </w:tr>
      <w:tr w:rsidR="00CB0DD7" w:rsidRPr="000A0A5F" w:rsidTr="00C9682D">
        <w:tc>
          <w:tcPr>
            <w:tcW w:w="532" w:type="pct"/>
            <w:vMerge w:val="restart"/>
            <w:shd w:val="clear" w:color="auto" w:fill="C0C0C0"/>
            <w:vAlign w:val="center"/>
          </w:tcPr>
          <w:p w:rsidR="00CB0DD7" w:rsidRPr="000A0A5F" w:rsidRDefault="00CB0DD7">
            <w:pPr>
              <w:pStyle w:val="TAH"/>
            </w:pPr>
            <w:r w:rsidRPr="000A0A5F">
              <w:t>Response body</w:t>
            </w:r>
          </w:p>
        </w:tc>
        <w:tc>
          <w:tcPr>
            <w:tcW w:w="1093" w:type="pct"/>
            <w:shd w:val="clear" w:color="auto" w:fill="C0C0C0"/>
          </w:tcPr>
          <w:p w:rsidR="00CB0DD7" w:rsidRPr="000A0A5F" w:rsidRDefault="00CB0DD7">
            <w:pPr>
              <w:pStyle w:val="TAH"/>
            </w:pPr>
          </w:p>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p>
          <w:p w:rsidR="00CB0DD7" w:rsidRPr="000A0A5F" w:rsidRDefault="00CB0DD7">
            <w:pPr>
              <w:pStyle w:val="TAH"/>
            </w:pPr>
            <w:r w:rsidRPr="000A0A5F">
              <w:t>Cardinality</w:t>
            </w:r>
          </w:p>
        </w:tc>
        <w:tc>
          <w:tcPr>
            <w:tcW w:w="500" w:type="pct"/>
            <w:shd w:val="clear" w:color="auto" w:fill="C0C0C0"/>
          </w:tcPr>
          <w:p w:rsidR="00CB0DD7" w:rsidRPr="000A0A5F" w:rsidRDefault="00CB0DD7">
            <w:pPr>
              <w:pStyle w:val="TAH"/>
            </w:pPr>
            <w:r w:rsidRPr="000A0A5F">
              <w:t>Response</w:t>
            </w:r>
          </w:p>
          <w:p w:rsidR="00CB0DD7" w:rsidRPr="000A0A5F" w:rsidRDefault="00CB0DD7">
            <w:pPr>
              <w:pStyle w:val="TAH"/>
            </w:pPr>
            <w:r w:rsidRPr="000A0A5F">
              <w:t>codes</w:t>
            </w:r>
          </w:p>
        </w:tc>
        <w:tc>
          <w:tcPr>
            <w:tcW w:w="2334" w:type="pct"/>
            <w:shd w:val="clear" w:color="auto" w:fill="C0C0C0"/>
          </w:tcPr>
          <w:p w:rsidR="00CB0DD7" w:rsidRPr="000A0A5F" w:rsidRDefault="00CB0DD7">
            <w:pPr>
              <w:pStyle w:val="TAH"/>
            </w:pPr>
          </w:p>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rPr>
                <w:lang w:eastAsia="zh-CN"/>
              </w:rPr>
              <w:t>DeviceTriggering</w:t>
            </w:r>
          </w:p>
        </w:tc>
        <w:tc>
          <w:tcPr>
            <w:tcW w:w="541" w:type="pct"/>
          </w:tcPr>
          <w:p w:rsidR="00CB0DD7" w:rsidRPr="000A0A5F" w:rsidRDefault="00CB0DD7">
            <w:pPr>
              <w:pStyle w:val="TAL"/>
              <w:rPr>
                <w:rFonts w:hint="eastAsia"/>
                <w:lang w:eastAsia="zh-CN"/>
              </w:rPr>
            </w:pPr>
            <w:r w:rsidRPr="000A0A5F">
              <w:rPr>
                <w:rFonts w:hint="eastAsia"/>
                <w:lang w:eastAsia="zh-CN"/>
              </w:rPr>
              <w:t>1</w:t>
            </w:r>
          </w:p>
        </w:tc>
        <w:tc>
          <w:tcPr>
            <w:tcW w:w="500" w:type="pct"/>
          </w:tcPr>
          <w:p w:rsidR="00CB0DD7" w:rsidRPr="000A0A5F" w:rsidRDefault="00CB0DD7">
            <w:pPr>
              <w:pStyle w:val="TAL"/>
              <w:rPr>
                <w:rFonts w:hint="eastAsia"/>
                <w:lang w:eastAsia="zh-CN"/>
              </w:rPr>
            </w:pPr>
            <w:r w:rsidRPr="000A0A5F">
              <w:t>20</w:t>
            </w:r>
            <w:r w:rsidRPr="000A0A5F">
              <w:rPr>
                <w:rFonts w:hint="eastAsia"/>
                <w:lang w:eastAsia="zh-CN"/>
              </w:rPr>
              <w:t>0 OK</w:t>
            </w:r>
          </w:p>
        </w:tc>
        <w:tc>
          <w:tcPr>
            <w:tcW w:w="2334" w:type="pct"/>
          </w:tcPr>
          <w:p w:rsidR="00CB0DD7" w:rsidRPr="000A0A5F" w:rsidRDefault="00CB0DD7">
            <w:pPr>
              <w:pStyle w:val="TAL"/>
            </w:pPr>
            <w:r w:rsidRPr="000A0A5F">
              <w:t xml:space="preserve">The </w:t>
            </w:r>
            <w:r w:rsidRPr="000A0A5F">
              <w:rPr>
                <w:rFonts w:hint="eastAsia"/>
                <w:lang w:eastAsia="zh-CN"/>
              </w:rPr>
              <w:t xml:space="preserve">device triggering </w:t>
            </w:r>
            <w:r w:rsidRPr="000A0A5F">
              <w:t xml:space="preserve">was </w:t>
            </w:r>
            <w:r w:rsidR="00B97EBD" w:rsidRPr="000A0A5F">
              <w:rPr>
                <w:lang w:eastAsia="zh-CN"/>
              </w:rPr>
              <w:t>replaced</w:t>
            </w:r>
            <w:r w:rsidR="00B97EBD" w:rsidRPr="000A0A5F">
              <w:t xml:space="preserve"> </w:t>
            </w:r>
            <w:r w:rsidRPr="000A0A5F">
              <w:t>successfully.</w:t>
            </w:r>
          </w:p>
          <w:p w:rsidR="00CB0DD7" w:rsidRPr="000A0A5F" w:rsidRDefault="00CB0DD7">
            <w:pPr>
              <w:pStyle w:val="TAL"/>
            </w:pPr>
          </w:p>
          <w:p w:rsidR="00CB0DD7" w:rsidRPr="000A0A5F" w:rsidRDefault="00CB0DD7" w:rsidP="00B97EBD">
            <w:pPr>
              <w:pStyle w:val="TAL"/>
              <w:rPr>
                <w:rFonts w:hint="eastAsia"/>
                <w:lang w:eastAsia="zh-CN"/>
              </w:rPr>
            </w:pPr>
            <w:r w:rsidRPr="000A0A5F">
              <w:t xml:space="preserve">The SCEF </w:t>
            </w:r>
            <w:r w:rsidRPr="000A0A5F">
              <w:rPr>
                <w:rFonts w:hint="eastAsia"/>
                <w:lang w:eastAsia="zh-CN"/>
              </w:rPr>
              <w:t>shall</w:t>
            </w:r>
            <w:r w:rsidRPr="000A0A5F">
              <w:t xml:space="preserve"> return an updated </w:t>
            </w:r>
            <w:r w:rsidR="00B97EBD" w:rsidRPr="000A0A5F">
              <w:t xml:space="preserve">representation of the resource within the </w:t>
            </w:r>
            <w:r w:rsidRPr="000A0A5F">
              <w:rPr>
                <w:lang w:eastAsia="zh-CN"/>
              </w:rPr>
              <w:t>DeviceTriggering</w:t>
            </w:r>
            <w:r w:rsidRPr="000A0A5F">
              <w:t xml:space="preserve"> </w:t>
            </w:r>
            <w:r w:rsidR="00B97EBD" w:rsidRPr="000A0A5F">
              <w:t>data structure including</w:t>
            </w:r>
            <w:r w:rsidRPr="000A0A5F">
              <w:t>the "</w:t>
            </w:r>
            <w:r w:rsidR="00B97EBD" w:rsidRPr="000A0A5F">
              <w:t>d</w:t>
            </w:r>
            <w:r w:rsidRPr="000A0A5F">
              <w:t xml:space="preserve">eliveryResult" </w:t>
            </w:r>
            <w:r w:rsidR="00B97EBD" w:rsidRPr="000A0A5F">
              <w:t xml:space="preserve">attribute </w:t>
            </w:r>
            <w:r w:rsidRPr="000A0A5F">
              <w:t xml:space="preserve">in the response </w:t>
            </w:r>
            <w:r w:rsidR="00B97EBD" w:rsidRPr="000A0A5F">
              <w:t xml:space="preserve">message </w:t>
            </w:r>
            <w:r w:rsidRPr="000A0A5F">
              <w:t>body.</w:t>
            </w:r>
          </w:p>
        </w:tc>
      </w:tr>
      <w:tr w:rsidR="003D43FE" w:rsidRPr="000A0A5F" w:rsidTr="00FF0AF8">
        <w:tc>
          <w:tcPr>
            <w:tcW w:w="532" w:type="pct"/>
            <w:vMerge/>
            <w:shd w:val="clear" w:color="auto" w:fill="BFBFBF"/>
            <w:vAlign w:val="center"/>
          </w:tcPr>
          <w:p w:rsidR="003D43FE" w:rsidRPr="000A0A5F" w:rsidRDefault="003D43FE">
            <w:pPr>
              <w:pStyle w:val="TAL"/>
              <w:jc w:val="center"/>
            </w:pPr>
          </w:p>
        </w:tc>
        <w:tc>
          <w:tcPr>
            <w:tcW w:w="1093" w:type="pct"/>
            <w:shd w:val="clear" w:color="auto" w:fill="auto"/>
          </w:tcPr>
          <w:p w:rsidR="003D43FE" w:rsidRPr="000A0A5F" w:rsidRDefault="003D43FE">
            <w:pPr>
              <w:pStyle w:val="TAL"/>
              <w:rPr>
                <w:lang w:eastAsia="zh-CN"/>
              </w:rPr>
            </w:pPr>
            <w:r w:rsidRPr="000A0A5F">
              <w:rPr>
                <w:lang w:eastAsia="zh-CN"/>
              </w:rPr>
              <w:t>none</w:t>
            </w:r>
          </w:p>
        </w:tc>
        <w:tc>
          <w:tcPr>
            <w:tcW w:w="541" w:type="pct"/>
          </w:tcPr>
          <w:p w:rsidR="003D43FE" w:rsidRPr="000A0A5F" w:rsidRDefault="003D43FE">
            <w:pPr>
              <w:pStyle w:val="TAL"/>
              <w:rPr>
                <w:rFonts w:hint="eastAsia"/>
                <w:lang w:eastAsia="zh-CN"/>
              </w:rPr>
            </w:pPr>
          </w:p>
        </w:tc>
        <w:tc>
          <w:tcPr>
            <w:tcW w:w="500" w:type="pct"/>
          </w:tcPr>
          <w:p w:rsidR="003D43FE" w:rsidRPr="000A0A5F" w:rsidRDefault="003D43FE">
            <w:pPr>
              <w:pStyle w:val="TAL"/>
            </w:pPr>
            <w:r w:rsidRPr="000A0A5F">
              <w:t>204 No Content</w:t>
            </w:r>
          </w:p>
        </w:tc>
        <w:tc>
          <w:tcPr>
            <w:tcW w:w="2334" w:type="pct"/>
          </w:tcPr>
          <w:p w:rsidR="003D43FE" w:rsidRPr="000A0A5F" w:rsidRDefault="003D43FE">
            <w:pPr>
              <w:pStyle w:val="TAL"/>
            </w:pPr>
            <w:r w:rsidRPr="000A0A5F">
              <w:rPr>
                <w:rFonts w:hint="eastAsia"/>
                <w:lang w:eastAsia="zh-CN"/>
              </w:rPr>
              <w:t>T</w:t>
            </w:r>
            <w:r w:rsidRPr="000A0A5F">
              <w:rPr>
                <w:lang w:eastAsia="zh-CN"/>
              </w:rPr>
              <w:t xml:space="preserve">he device triggering was </w:t>
            </w:r>
            <w:r w:rsidR="00B97EBD" w:rsidRPr="000A0A5F">
              <w:rPr>
                <w:lang w:eastAsia="zh-CN"/>
              </w:rPr>
              <w:t xml:space="preserve">updated </w:t>
            </w:r>
            <w:r w:rsidRPr="000A0A5F">
              <w:rPr>
                <w:lang w:eastAsia="zh-CN"/>
              </w:rPr>
              <w:t>successfully.</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lang w:eastAsia="zh-CN"/>
              </w:rPr>
            </w:pPr>
            <w:r w:rsidRPr="000A0A5F">
              <w:t>none</w:t>
            </w:r>
          </w:p>
        </w:tc>
        <w:tc>
          <w:tcPr>
            <w:tcW w:w="541" w:type="pct"/>
          </w:tcPr>
          <w:p w:rsidR="00CB0DD7" w:rsidRPr="000A0A5F" w:rsidRDefault="00CB0DD7">
            <w:pPr>
              <w:pStyle w:val="TAL"/>
              <w:rPr>
                <w:rFonts w:hint="eastAsia"/>
                <w:lang w:eastAsia="zh-CN"/>
              </w:rPr>
            </w:pPr>
          </w:p>
        </w:tc>
        <w:tc>
          <w:tcPr>
            <w:tcW w:w="500" w:type="pct"/>
          </w:tcPr>
          <w:p w:rsidR="00CB0DD7" w:rsidRPr="000A0A5F" w:rsidRDefault="00CB0DD7">
            <w:pPr>
              <w:pStyle w:val="TAL"/>
            </w:pPr>
            <w:r w:rsidRPr="000A0A5F">
              <w:t>307 Temporary Redirect</w:t>
            </w:r>
          </w:p>
        </w:tc>
        <w:tc>
          <w:tcPr>
            <w:tcW w:w="2334" w:type="pct"/>
          </w:tcPr>
          <w:p w:rsidR="00CB0DD7" w:rsidRPr="000A0A5F" w:rsidRDefault="00CB0DD7">
            <w:pPr>
              <w:pStyle w:val="TAL"/>
            </w:pPr>
            <w:r w:rsidRPr="000A0A5F">
              <w:t>Temporary redirection, during transaction modification. The response shall include a Location header field containing an alternative URI of the resource located in an alternative SCEF.</w:t>
            </w:r>
          </w:p>
          <w:p w:rsidR="00CB0DD7" w:rsidRPr="000A0A5F" w:rsidRDefault="00CB0DD7">
            <w:pPr>
              <w:pStyle w:val="TAL"/>
            </w:pPr>
            <w:r w:rsidRPr="000A0A5F">
              <w:t>Redirection handling is described in clause 5.2.10.</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lang w:eastAsia="zh-CN"/>
              </w:rPr>
            </w:pPr>
            <w:r w:rsidRPr="000A0A5F">
              <w:t>none</w:t>
            </w:r>
          </w:p>
        </w:tc>
        <w:tc>
          <w:tcPr>
            <w:tcW w:w="541" w:type="pct"/>
          </w:tcPr>
          <w:p w:rsidR="00CB0DD7" w:rsidRPr="000A0A5F" w:rsidRDefault="00CB0DD7">
            <w:pPr>
              <w:pStyle w:val="TAL"/>
              <w:rPr>
                <w:rFonts w:hint="eastAsia"/>
                <w:lang w:eastAsia="zh-CN"/>
              </w:rPr>
            </w:pPr>
          </w:p>
        </w:tc>
        <w:tc>
          <w:tcPr>
            <w:tcW w:w="500" w:type="pct"/>
          </w:tcPr>
          <w:p w:rsidR="00CB0DD7" w:rsidRPr="000A0A5F" w:rsidRDefault="00CB0DD7">
            <w:pPr>
              <w:pStyle w:val="TAL"/>
            </w:pPr>
            <w:r w:rsidRPr="000A0A5F">
              <w:t>308 Permanent Redirect</w:t>
            </w:r>
          </w:p>
        </w:tc>
        <w:tc>
          <w:tcPr>
            <w:tcW w:w="2334" w:type="pct"/>
          </w:tcPr>
          <w:p w:rsidR="00CB0DD7" w:rsidRPr="000A0A5F" w:rsidRDefault="00CB0DD7">
            <w:pPr>
              <w:pStyle w:val="TAL"/>
            </w:pPr>
            <w:r w:rsidRPr="000A0A5F">
              <w:t>Permanent redirection, during transaction modification. The response shall include a Location header field containing an alternative URI of the resource located in an alternative SCEF.</w:t>
            </w:r>
          </w:p>
          <w:p w:rsidR="00CB0DD7" w:rsidRPr="000A0A5F" w:rsidRDefault="00CB0DD7">
            <w:pPr>
              <w:pStyle w:val="TAL"/>
            </w:pPr>
            <w:r w:rsidRPr="000A0A5F">
              <w:t>Redirection handling is described in clause 5.2.10.</w:t>
            </w:r>
          </w:p>
        </w:tc>
      </w:tr>
      <w:tr w:rsidR="00CB0DD7" w:rsidRPr="000A0A5F" w:rsidTr="00FF0AF8">
        <w:tc>
          <w:tcPr>
            <w:tcW w:w="5000" w:type="pct"/>
            <w:gridSpan w:val="5"/>
            <w:shd w:val="clear" w:color="auto" w:fill="auto"/>
            <w:vAlign w:val="center"/>
          </w:tcPr>
          <w:p w:rsidR="00CB0DD7" w:rsidRPr="000A0A5F" w:rsidRDefault="00CB0DD7">
            <w:pPr>
              <w:pStyle w:val="TAN"/>
              <w:rPr>
                <w:rFonts w:hint="eastAsia"/>
                <w:lang w:eastAsia="zh-CN"/>
              </w:rPr>
            </w:pPr>
            <w:r w:rsidRPr="000A0A5F">
              <w:t>NOTE:</w:t>
            </w:r>
            <w:r w:rsidRPr="000A0A5F">
              <w:tab/>
              <w:t>The mandatory HTTP error status codes for the PUT method listed in table 5.2.6-1 also apply.</w:t>
            </w:r>
          </w:p>
        </w:tc>
      </w:tr>
    </w:tbl>
    <w:p w:rsidR="00CB0DD7" w:rsidRPr="000A0A5F" w:rsidRDefault="00CB0DD7"/>
    <w:p w:rsidR="00CB0DD7" w:rsidRPr="000A0A5F" w:rsidRDefault="00CB0DD7">
      <w:pPr>
        <w:pStyle w:val="TH"/>
      </w:pPr>
      <w:r w:rsidRPr="000A0A5F">
        <w:t>Table</w:t>
      </w:r>
      <w:r w:rsidR="00B97EBD" w:rsidRPr="000A0A5F">
        <w:t> </w:t>
      </w:r>
      <w:r w:rsidRPr="000A0A5F">
        <w:t>5.7.3.3.3.2-2: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CB0DD7">
      <w:pPr>
        <w:pStyle w:val="TH"/>
      </w:pPr>
      <w:r w:rsidRPr="000A0A5F">
        <w:t>Table</w:t>
      </w:r>
      <w:r w:rsidR="00B97EBD" w:rsidRPr="000A0A5F">
        <w:t> </w:t>
      </w:r>
      <w:r w:rsidRPr="000A0A5F">
        <w:t>5.7.3.3.3.2-3: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CB0DD7">
      <w:pPr>
        <w:pStyle w:val="Heading6"/>
      </w:pPr>
      <w:bookmarkStart w:id="5076" w:name="_Toc11247549"/>
      <w:bookmarkStart w:id="5077" w:name="_Toc27044688"/>
      <w:bookmarkStart w:id="5078" w:name="_Toc36033730"/>
      <w:bookmarkStart w:id="5079" w:name="_Toc45131876"/>
      <w:bookmarkStart w:id="5080" w:name="_Toc49776161"/>
      <w:bookmarkStart w:id="5081" w:name="_Toc51747081"/>
      <w:bookmarkStart w:id="5082" w:name="_Toc66360642"/>
      <w:bookmarkStart w:id="5083" w:name="_Toc68105147"/>
      <w:bookmarkStart w:id="5084" w:name="_Toc74755777"/>
      <w:bookmarkStart w:id="5085" w:name="_Toc105674652"/>
      <w:bookmarkStart w:id="5086" w:name="_Toc130502700"/>
      <w:bookmarkStart w:id="5087" w:name="_Toc153625487"/>
      <w:r w:rsidRPr="000A0A5F">
        <w:t>5.7.3.3.3.3</w:t>
      </w:r>
      <w:r w:rsidRPr="000A0A5F">
        <w:tab/>
        <w:t>PATCH</w:t>
      </w:r>
      <w:bookmarkEnd w:id="5076"/>
      <w:bookmarkEnd w:id="5077"/>
      <w:bookmarkEnd w:id="5078"/>
      <w:bookmarkEnd w:id="5079"/>
      <w:bookmarkEnd w:id="5080"/>
      <w:bookmarkEnd w:id="5081"/>
      <w:bookmarkEnd w:id="5082"/>
      <w:bookmarkEnd w:id="5083"/>
      <w:bookmarkEnd w:id="5084"/>
      <w:bookmarkEnd w:id="5085"/>
      <w:bookmarkEnd w:id="5086"/>
      <w:bookmarkEnd w:id="5087"/>
    </w:p>
    <w:p w:rsidR="00B97EBD" w:rsidRPr="000A0A5F" w:rsidRDefault="00B97EBD" w:rsidP="00B97EBD">
      <w:bookmarkStart w:id="5088" w:name="_Toc11247550"/>
      <w:bookmarkStart w:id="5089" w:name="_Toc27044689"/>
      <w:bookmarkStart w:id="5090" w:name="_Toc36033731"/>
      <w:bookmarkStart w:id="5091" w:name="_Toc45131877"/>
      <w:bookmarkStart w:id="5092" w:name="_Toc49776162"/>
      <w:bookmarkStart w:id="5093" w:name="_Toc51747082"/>
      <w:bookmarkStart w:id="5094" w:name="_Toc66360643"/>
      <w:bookmarkStart w:id="5095" w:name="_Toc68105148"/>
      <w:bookmarkStart w:id="5096" w:name="_Toc74755778"/>
      <w:r w:rsidRPr="000A0A5F">
        <w:t>A pending device triggering delivery can be modified by the SCS/AS. If the "PatchUpdate" feature defined in clause 5.7.4 is supported, to partially modify a pending device triggering, delivery, the SCS/AS shall use the HTTP PATCH method on the concerned Individual Device Triggering Transaction resource as follows with the body of the message is encoded in JSON format</w:t>
      </w:r>
      <w:r w:rsidRPr="000A0A5F">
        <w:rPr>
          <w:rFonts w:hint="eastAsia"/>
          <w:lang w:eastAsia="zh-CN"/>
        </w:rPr>
        <w:t xml:space="preserve"> </w:t>
      </w:r>
      <w:r w:rsidRPr="000A0A5F">
        <w:rPr>
          <w:lang w:eastAsia="zh-CN"/>
        </w:rPr>
        <w:t>including</w:t>
      </w:r>
      <w:r w:rsidRPr="000A0A5F">
        <w:rPr>
          <w:rFonts w:hint="eastAsia"/>
          <w:lang w:eastAsia="zh-CN"/>
        </w:rPr>
        <w:t xml:space="preserve"> the data structure defined in table</w:t>
      </w:r>
      <w:r w:rsidRPr="000A0A5F">
        <w:rPr>
          <w:lang w:val="en-US" w:eastAsia="zh-CN"/>
        </w:rPr>
        <w:t> </w:t>
      </w:r>
      <w:r w:rsidRPr="000A0A5F">
        <w:rPr>
          <w:rFonts w:hint="eastAsia"/>
          <w:lang w:eastAsia="zh-CN"/>
        </w:rPr>
        <w:t>5.7.2.1.</w:t>
      </w:r>
      <w:r w:rsidRPr="000A0A5F">
        <w:rPr>
          <w:lang w:eastAsia="zh-CN"/>
        </w:rPr>
        <w:t>4</w:t>
      </w:r>
      <w:r w:rsidRPr="000A0A5F">
        <w:rPr>
          <w:rFonts w:hint="eastAsia"/>
          <w:lang w:eastAsia="zh-CN"/>
        </w:rPr>
        <w:t>-1</w:t>
      </w:r>
    </w:p>
    <w:p w:rsidR="00B97EBD" w:rsidRPr="000A0A5F" w:rsidRDefault="00B97EBD" w:rsidP="00B97EBD">
      <w:pPr>
        <w:rPr>
          <w:lang w:eastAsia="zh-CN"/>
        </w:rPr>
      </w:pPr>
      <w:r w:rsidRPr="000A0A5F">
        <w:t>The possible response messages from the</w:t>
      </w:r>
      <w:r w:rsidRPr="000A0A5F">
        <w:rPr>
          <w:rFonts w:hint="eastAsia"/>
          <w:lang w:eastAsia="zh-CN"/>
        </w:rPr>
        <w:t xml:space="preserve"> SCEF</w:t>
      </w:r>
      <w:r w:rsidRPr="000A0A5F">
        <w:t>, depending on whether the PATCH request is successful or unsuccessful, are shown in Table 5.7.3.3.3.3</w:t>
      </w:r>
      <w:r w:rsidRPr="000A0A5F">
        <w:rPr>
          <w:rFonts w:hint="eastAsia"/>
          <w:lang w:eastAsia="zh-CN"/>
        </w:rPr>
        <w:t>-</w:t>
      </w:r>
      <w:r w:rsidRPr="000A0A5F">
        <w:rPr>
          <w:lang w:eastAsia="zh-CN"/>
        </w:rPr>
        <w:t>1</w:t>
      </w:r>
      <w:r w:rsidRPr="000A0A5F">
        <w:t>.</w:t>
      </w:r>
    </w:p>
    <w:p w:rsidR="00B97EBD" w:rsidRPr="000A0A5F" w:rsidRDefault="00B97EBD" w:rsidP="00B97EBD">
      <w:pPr>
        <w:pStyle w:val="TH"/>
      </w:pPr>
      <w:r w:rsidRPr="000A0A5F">
        <w:t>Table 5.7.3.3.3.3</w:t>
      </w:r>
      <w:r w:rsidRPr="000A0A5F">
        <w:rPr>
          <w:rFonts w:hint="eastAsia"/>
          <w:lang w:eastAsia="zh-CN"/>
        </w:rPr>
        <w:t>-</w:t>
      </w:r>
      <w:r w:rsidRPr="000A0A5F">
        <w:rPr>
          <w:lang w:eastAsia="zh-CN"/>
        </w:rPr>
        <w:t>1</w:t>
      </w:r>
      <w:r w:rsidRPr="000A0A5F">
        <w:t xml:space="preserve">: Data structures supported by the </w:t>
      </w:r>
      <w:r w:rsidRPr="000A0A5F">
        <w:rPr>
          <w:lang w:eastAsia="zh-CN"/>
        </w:rPr>
        <w:t>PATCH</w:t>
      </w:r>
      <w:r w:rsidRPr="000A0A5F">
        <w:t xml:space="preserve"> request/response by the resource</w:t>
      </w:r>
    </w:p>
    <w:tbl>
      <w:tblPr>
        <w:tblW w:w="4999" w:type="pct"/>
        <w:tblInd w:w="1" w:type="dxa"/>
        <w:tblBorders>
          <w:top w:val="single" w:sz="6" w:space="0" w:color="000000"/>
          <w:left w:val="single" w:sz="6" w:space="0" w:color="000000"/>
          <w:bottom w:val="single" w:sz="6" w:space="0" w:color="000000"/>
          <w:right w:val="single" w:sz="6" w:space="0" w:color="000000"/>
          <w:insideH w:val="single" w:sz="6" w:space="0" w:color="auto"/>
          <w:insideV w:val="single" w:sz="6" w:space="0" w:color="000000"/>
        </w:tblBorders>
        <w:tblLayout w:type="fixed"/>
        <w:tblCellMar>
          <w:top w:w="45" w:type="dxa"/>
          <w:left w:w="45" w:type="dxa"/>
          <w:bottom w:w="45" w:type="dxa"/>
          <w:right w:w="45" w:type="dxa"/>
        </w:tblCellMar>
        <w:tblLook w:val="0000" w:firstRow="0" w:lastRow="0" w:firstColumn="0" w:lastColumn="0" w:noHBand="0" w:noVBand="0"/>
      </w:tblPr>
      <w:tblGrid>
        <w:gridCol w:w="1035"/>
        <w:gridCol w:w="2127"/>
        <w:gridCol w:w="1053"/>
        <w:gridCol w:w="1080"/>
        <w:gridCol w:w="4434"/>
      </w:tblGrid>
      <w:tr w:rsidR="00B97EBD" w:rsidRPr="000A0A5F" w:rsidTr="00C9682D">
        <w:tc>
          <w:tcPr>
            <w:tcW w:w="532" w:type="pct"/>
            <w:vMerge w:val="restart"/>
            <w:shd w:val="clear" w:color="auto" w:fill="C0C0C0"/>
            <w:vAlign w:val="center"/>
          </w:tcPr>
          <w:p w:rsidR="00B97EBD" w:rsidRPr="000A0A5F" w:rsidRDefault="00B97EBD" w:rsidP="00B97EBD">
            <w:pPr>
              <w:pStyle w:val="TAH"/>
            </w:pPr>
            <w:r w:rsidRPr="000A0A5F">
              <w:t>Request body</w:t>
            </w:r>
          </w:p>
        </w:tc>
        <w:tc>
          <w:tcPr>
            <w:tcW w:w="1093" w:type="pct"/>
            <w:shd w:val="clear" w:color="auto" w:fill="C0C0C0"/>
          </w:tcPr>
          <w:p w:rsidR="00B97EBD" w:rsidRPr="000A0A5F" w:rsidRDefault="00B97EBD" w:rsidP="00B97EBD">
            <w:pPr>
              <w:pStyle w:val="TAH"/>
            </w:pPr>
            <w:r w:rsidRPr="000A0A5F">
              <w:t>Data type</w:t>
            </w:r>
          </w:p>
        </w:tc>
        <w:tc>
          <w:tcPr>
            <w:tcW w:w="541" w:type="pct"/>
            <w:shd w:val="clear" w:color="auto" w:fill="C0C0C0"/>
          </w:tcPr>
          <w:p w:rsidR="00B97EBD" w:rsidRPr="000A0A5F" w:rsidRDefault="00B97EBD" w:rsidP="00B97EBD">
            <w:pPr>
              <w:pStyle w:val="TAH"/>
            </w:pPr>
            <w:r w:rsidRPr="000A0A5F">
              <w:t>Cardinality</w:t>
            </w:r>
          </w:p>
        </w:tc>
        <w:tc>
          <w:tcPr>
            <w:tcW w:w="2834" w:type="pct"/>
            <w:gridSpan w:val="2"/>
            <w:shd w:val="clear" w:color="auto" w:fill="C0C0C0"/>
          </w:tcPr>
          <w:p w:rsidR="00B97EBD" w:rsidRPr="000A0A5F" w:rsidRDefault="00B97EBD" w:rsidP="00B97EBD">
            <w:pPr>
              <w:pStyle w:val="TAH"/>
            </w:pPr>
            <w:r w:rsidRPr="000A0A5F">
              <w:t>Remarks</w:t>
            </w:r>
          </w:p>
        </w:tc>
      </w:tr>
      <w:tr w:rsidR="00B97EBD" w:rsidRPr="000A0A5F" w:rsidTr="00FF0AF8">
        <w:tc>
          <w:tcPr>
            <w:tcW w:w="532" w:type="pct"/>
            <w:vMerge/>
            <w:shd w:val="clear" w:color="auto" w:fill="BFBFBF"/>
            <w:vAlign w:val="center"/>
          </w:tcPr>
          <w:p w:rsidR="00B97EBD" w:rsidRPr="000A0A5F" w:rsidRDefault="00B97EBD" w:rsidP="00B97EBD">
            <w:pPr>
              <w:pStyle w:val="TAL"/>
              <w:jc w:val="center"/>
            </w:pPr>
          </w:p>
        </w:tc>
        <w:tc>
          <w:tcPr>
            <w:tcW w:w="1093" w:type="pct"/>
            <w:shd w:val="clear" w:color="auto" w:fill="auto"/>
          </w:tcPr>
          <w:p w:rsidR="00B97EBD" w:rsidRPr="000A0A5F" w:rsidRDefault="00B97EBD" w:rsidP="00B97EBD">
            <w:pPr>
              <w:pStyle w:val="TAL"/>
              <w:rPr>
                <w:lang w:eastAsia="zh-CN"/>
              </w:rPr>
            </w:pPr>
            <w:r w:rsidRPr="000A0A5F">
              <w:rPr>
                <w:lang w:eastAsia="zh-CN"/>
              </w:rPr>
              <w:t>DeviceTriggeringPatch</w:t>
            </w:r>
          </w:p>
        </w:tc>
        <w:tc>
          <w:tcPr>
            <w:tcW w:w="541" w:type="pct"/>
          </w:tcPr>
          <w:p w:rsidR="00B97EBD" w:rsidRPr="000A0A5F" w:rsidRDefault="00B97EBD" w:rsidP="00B97EBD">
            <w:pPr>
              <w:pStyle w:val="TAL"/>
            </w:pPr>
            <w:r w:rsidRPr="000A0A5F">
              <w:t>1</w:t>
            </w:r>
          </w:p>
        </w:tc>
        <w:tc>
          <w:tcPr>
            <w:tcW w:w="2834" w:type="pct"/>
            <w:gridSpan w:val="2"/>
          </w:tcPr>
          <w:p w:rsidR="00B97EBD" w:rsidRPr="000A0A5F" w:rsidRDefault="00B97EBD" w:rsidP="00B97EBD">
            <w:pPr>
              <w:pStyle w:val="TAL"/>
            </w:pPr>
            <w:r w:rsidRPr="000A0A5F">
              <w:t>Parameters to request the modification of a pending device triggering</w:t>
            </w:r>
            <w:r w:rsidRPr="000A0A5F">
              <w:rPr>
                <w:rFonts w:hint="eastAsia"/>
                <w:lang w:eastAsia="zh-CN"/>
              </w:rPr>
              <w:t xml:space="preserve"> </w:t>
            </w:r>
            <w:r w:rsidRPr="000A0A5F">
              <w:rPr>
                <w:lang w:eastAsia="zh-CN"/>
              </w:rPr>
              <w:t>delivery</w:t>
            </w:r>
            <w:r w:rsidRPr="000A0A5F">
              <w:t>.</w:t>
            </w:r>
          </w:p>
        </w:tc>
      </w:tr>
      <w:tr w:rsidR="00B97EBD" w:rsidRPr="000A0A5F" w:rsidTr="00C9682D">
        <w:tc>
          <w:tcPr>
            <w:tcW w:w="532" w:type="pct"/>
            <w:vMerge w:val="restart"/>
            <w:shd w:val="clear" w:color="auto" w:fill="C0C0C0"/>
            <w:vAlign w:val="center"/>
          </w:tcPr>
          <w:p w:rsidR="00B97EBD" w:rsidRPr="000A0A5F" w:rsidRDefault="00B97EBD" w:rsidP="00B97EBD">
            <w:pPr>
              <w:pStyle w:val="TAH"/>
            </w:pPr>
            <w:r w:rsidRPr="000A0A5F">
              <w:t>Response body</w:t>
            </w:r>
          </w:p>
        </w:tc>
        <w:tc>
          <w:tcPr>
            <w:tcW w:w="1093" w:type="pct"/>
            <w:shd w:val="clear" w:color="auto" w:fill="C0C0C0"/>
          </w:tcPr>
          <w:p w:rsidR="00B97EBD" w:rsidRPr="000A0A5F" w:rsidRDefault="00B97EBD" w:rsidP="00B97EBD">
            <w:pPr>
              <w:pStyle w:val="TAH"/>
            </w:pPr>
            <w:r w:rsidRPr="000A0A5F">
              <w:t>Data type</w:t>
            </w:r>
          </w:p>
        </w:tc>
        <w:tc>
          <w:tcPr>
            <w:tcW w:w="541" w:type="pct"/>
            <w:shd w:val="clear" w:color="auto" w:fill="C0C0C0"/>
          </w:tcPr>
          <w:p w:rsidR="00B97EBD" w:rsidRPr="000A0A5F" w:rsidRDefault="00B97EBD" w:rsidP="00B97EBD">
            <w:pPr>
              <w:pStyle w:val="TAH"/>
            </w:pPr>
            <w:r w:rsidRPr="000A0A5F">
              <w:t>Cardinality</w:t>
            </w:r>
          </w:p>
        </w:tc>
        <w:tc>
          <w:tcPr>
            <w:tcW w:w="555" w:type="pct"/>
            <w:shd w:val="clear" w:color="auto" w:fill="C0C0C0"/>
          </w:tcPr>
          <w:p w:rsidR="00B97EBD" w:rsidRPr="000A0A5F" w:rsidRDefault="00B97EBD" w:rsidP="00B97EBD">
            <w:pPr>
              <w:pStyle w:val="TAH"/>
            </w:pPr>
            <w:r w:rsidRPr="000A0A5F">
              <w:t>Response</w:t>
            </w:r>
          </w:p>
          <w:p w:rsidR="00B97EBD" w:rsidRPr="000A0A5F" w:rsidRDefault="00B97EBD" w:rsidP="00B97EBD">
            <w:pPr>
              <w:pStyle w:val="TAH"/>
            </w:pPr>
            <w:r w:rsidRPr="000A0A5F">
              <w:t>codes</w:t>
            </w:r>
          </w:p>
        </w:tc>
        <w:tc>
          <w:tcPr>
            <w:tcW w:w="2279" w:type="pct"/>
            <w:shd w:val="clear" w:color="auto" w:fill="C0C0C0"/>
          </w:tcPr>
          <w:p w:rsidR="00B97EBD" w:rsidRPr="000A0A5F" w:rsidRDefault="00B97EBD" w:rsidP="00B97EBD">
            <w:pPr>
              <w:pStyle w:val="TAH"/>
            </w:pPr>
            <w:r w:rsidRPr="000A0A5F">
              <w:t>Remarks</w:t>
            </w:r>
          </w:p>
        </w:tc>
      </w:tr>
      <w:tr w:rsidR="00B97EBD" w:rsidRPr="000A0A5F" w:rsidTr="00FF0AF8">
        <w:tc>
          <w:tcPr>
            <w:tcW w:w="532" w:type="pct"/>
            <w:vMerge/>
            <w:shd w:val="clear" w:color="auto" w:fill="BFBFBF"/>
            <w:vAlign w:val="center"/>
          </w:tcPr>
          <w:p w:rsidR="00B97EBD" w:rsidRPr="000A0A5F" w:rsidRDefault="00B97EBD" w:rsidP="00B97EBD">
            <w:pPr>
              <w:pStyle w:val="TAL"/>
              <w:jc w:val="center"/>
            </w:pPr>
          </w:p>
        </w:tc>
        <w:tc>
          <w:tcPr>
            <w:tcW w:w="1093" w:type="pct"/>
            <w:shd w:val="clear" w:color="auto" w:fill="auto"/>
          </w:tcPr>
          <w:p w:rsidR="00B97EBD" w:rsidRPr="000A0A5F" w:rsidRDefault="00B97EBD" w:rsidP="00B97EBD">
            <w:pPr>
              <w:pStyle w:val="TAL"/>
              <w:rPr>
                <w:lang w:eastAsia="zh-CN"/>
              </w:rPr>
            </w:pPr>
            <w:r w:rsidRPr="000A0A5F">
              <w:rPr>
                <w:lang w:eastAsia="zh-CN"/>
              </w:rPr>
              <w:t>DeviceTriggering</w:t>
            </w:r>
          </w:p>
        </w:tc>
        <w:tc>
          <w:tcPr>
            <w:tcW w:w="541" w:type="pct"/>
          </w:tcPr>
          <w:p w:rsidR="00B97EBD" w:rsidRPr="000A0A5F" w:rsidRDefault="00B97EBD" w:rsidP="00B97EBD">
            <w:pPr>
              <w:pStyle w:val="TAL"/>
              <w:rPr>
                <w:lang w:eastAsia="zh-CN"/>
              </w:rPr>
            </w:pPr>
            <w:r w:rsidRPr="000A0A5F">
              <w:rPr>
                <w:rFonts w:hint="eastAsia"/>
                <w:lang w:eastAsia="zh-CN"/>
              </w:rPr>
              <w:t>1</w:t>
            </w:r>
          </w:p>
        </w:tc>
        <w:tc>
          <w:tcPr>
            <w:tcW w:w="555" w:type="pct"/>
          </w:tcPr>
          <w:p w:rsidR="00B97EBD" w:rsidRPr="000A0A5F" w:rsidRDefault="00B97EBD" w:rsidP="00B97EBD">
            <w:pPr>
              <w:pStyle w:val="TAL"/>
              <w:rPr>
                <w:lang w:eastAsia="zh-CN"/>
              </w:rPr>
            </w:pPr>
            <w:r w:rsidRPr="000A0A5F">
              <w:t>20</w:t>
            </w:r>
            <w:r w:rsidRPr="000A0A5F">
              <w:rPr>
                <w:rFonts w:hint="eastAsia"/>
                <w:lang w:eastAsia="zh-CN"/>
              </w:rPr>
              <w:t>0 OK</w:t>
            </w:r>
          </w:p>
        </w:tc>
        <w:tc>
          <w:tcPr>
            <w:tcW w:w="2279" w:type="pct"/>
          </w:tcPr>
          <w:p w:rsidR="00B97EBD" w:rsidRPr="000A0A5F" w:rsidRDefault="00B97EBD" w:rsidP="00B97EBD">
            <w:pPr>
              <w:pStyle w:val="TAL"/>
            </w:pPr>
            <w:r w:rsidRPr="000A0A5F">
              <w:t>The Individual Device Triggering Transaction resource was successfully</w:t>
            </w:r>
            <w:r w:rsidRPr="000A0A5F">
              <w:rPr>
                <w:rFonts w:hint="eastAsia"/>
                <w:lang w:eastAsia="zh-CN"/>
              </w:rPr>
              <w:t xml:space="preserve"> modified</w:t>
            </w:r>
            <w:r w:rsidRPr="000A0A5F">
              <w:rPr>
                <w:lang w:eastAsia="zh-CN"/>
              </w:rPr>
              <w:t xml:space="preserve"> and </w:t>
            </w:r>
            <w:r w:rsidRPr="000A0A5F">
              <w:t xml:space="preserve">a representation of the modified Individual Device Triggering Transaction resource within the </w:t>
            </w:r>
            <w:r w:rsidRPr="000A0A5F">
              <w:rPr>
                <w:lang w:eastAsia="zh-CN"/>
              </w:rPr>
              <w:t>DeviceTriggering</w:t>
            </w:r>
            <w:r w:rsidRPr="000A0A5F">
              <w:t xml:space="preserve"> data structure including the "deliveryResult" attribute is returned by the SCEF in the response message body.</w:t>
            </w:r>
          </w:p>
        </w:tc>
      </w:tr>
      <w:tr w:rsidR="00B97EBD" w:rsidRPr="000A0A5F" w:rsidTr="00FF0AF8">
        <w:tc>
          <w:tcPr>
            <w:tcW w:w="532" w:type="pct"/>
            <w:vMerge/>
            <w:shd w:val="clear" w:color="auto" w:fill="BFBFBF"/>
            <w:vAlign w:val="center"/>
          </w:tcPr>
          <w:p w:rsidR="00B97EBD" w:rsidRPr="000A0A5F" w:rsidRDefault="00B97EBD" w:rsidP="00B97EBD">
            <w:pPr>
              <w:pStyle w:val="TAL"/>
              <w:jc w:val="center"/>
            </w:pPr>
          </w:p>
        </w:tc>
        <w:tc>
          <w:tcPr>
            <w:tcW w:w="1093" w:type="pct"/>
            <w:shd w:val="clear" w:color="auto" w:fill="auto"/>
          </w:tcPr>
          <w:p w:rsidR="00B97EBD" w:rsidRPr="000A0A5F" w:rsidRDefault="00B97EBD" w:rsidP="00B97EBD">
            <w:pPr>
              <w:pStyle w:val="TAL"/>
              <w:rPr>
                <w:lang w:eastAsia="zh-CN"/>
              </w:rPr>
            </w:pPr>
            <w:r w:rsidRPr="000A0A5F">
              <w:rPr>
                <w:lang w:eastAsia="zh-CN"/>
              </w:rPr>
              <w:t>n/a</w:t>
            </w:r>
          </w:p>
        </w:tc>
        <w:tc>
          <w:tcPr>
            <w:tcW w:w="541" w:type="pct"/>
          </w:tcPr>
          <w:p w:rsidR="00B97EBD" w:rsidRPr="000A0A5F" w:rsidRDefault="00B97EBD" w:rsidP="00B97EBD">
            <w:pPr>
              <w:pStyle w:val="TAL"/>
              <w:rPr>
                <w:lang w:eastAsia="zh-CN"/>
              </w:rPr>
            </w:pPr>
          </w:p>
        </w:tc>
        <w:tc>
          <w:tcPr>
            <w:tcW w:w="555" w:type="pct"/>
          </w:tcPr>
          <w:p w:rsidR="00B97EBD" w:rsidRPr="000A0A5F" w:rsidRDefault="00B97EBD" w:rsidP="00B97EBD">
            <w:pPr>
              <w:pStyle w:val="TAL"/>
            </w:pPr>
            <w:r w:rsidRPr="000A0A5F">
              <w:t>204 No Content</w:t>
            </w:r>
          </w:p>
        </w:tc>
        <w:tc>
          <w:tcPr>
            <w:tcW w:w="2279" w:type="pct"/>
          </w:tcPr>
          <w:p w:rsidR="00B97EBD" w:rsidRPr="000A0A5F" w:rsidRDefault="00B97EBD" w:rsidP="00B97EBD">
            <w:pPr>
              <w:pStyle w:val="TAL"/>
            </w:pPr>
            <w:r w:rsidRPr="000A0A5F">
              <w:t>The Individual Device Triggering Transaction resource was successfully</w:t>
            </w:r>
            <w:r w:rsidRPr="000A0A5F">
              <w:rPr>
                <w:rFonts w:hint="eastAsia"/>
                <w:lang w:eastAsia="zh-CN"/>
              </w:rPr>
              <w:t xml:space="preserve"> modified</w:t>
            </w:r>
            <w:r w:rsidRPr="000A0A5F">
              <w:rPr>
                <w:lang w:eastAsia="zh-CN"/>
              </w:rPr>
              <w:t xml:space="preserve"> no content is to be sent in the response message body.</w:t>
            </w:r>
          </w:p>
        </w:tc>
      </w:tr>
      <w:tr w:rsidR="00B97EBD" w:rsidRPr="000A0A5F" w:rsidTr="00FF0AF8">
        <w:tc>
          <w:tcPr>
            <w:tcW w:w="532" w:type="pct"/>
            <w:vMerge/>
            <w:shd w:val="clear" w:color="auto" w:fill="BFBFBF"/>
            <w:vAlign w:val="center"/>
          </w:tcPr>
          <w:p w:rsidR="00B97EBD" w:rsidRPr="000A0A5F" w:rsidRDefault="00B97EBD" w:rsidP="00B97EBD">
            <w:pPr>
              <w:pStyle w:val="TAL"/>
              <w:jc w:val="center"/>
            </w:pPr>
          </w:p>
        </w:tc>
        <w:tc>
          <w:tcPr>
            <w:tcW w:w="1093" w:type="pct"/>
            <w:shd w:val="clear" w:color="auto" w:fill="auto"/>
          </w:tcPr>
          <w:p w:rsidR="00B97EBD" w:rsidRPr="000A0A5F" w:rsidRDefault="00B97EBD" w:rsidP="00B97EBD">
            <w:pPr>
              <w:pStyle w:val="TAL"/>
              <w:rPr>
                <w:lang w:eastAsia="zh-CN"/>
              </w:rPr>
            </w:pPr>
            <w:r w:rsidRPr="000A0A5F">
              <w:rPr>
                <w:lang w:eastAsia="zh-CN"/>
              </w:rPr>
              <w:t>n/a</w:t>
            </w:r>
          </w:p>
        </w:tc>
        <w:tc>
          <w:tcPr>
            <w:tcW w:w="541" w:type="pct"/>
          </w:tcPr>
          <w:p w:rsidR="00B97EBD" w:rsidRPr="000A0A5F" w:rsidRDefault="00B97EBD" w:rsidP="00B97EBD">
            <w:pPr>
              <w:pStyle w:val="TAL"/>
              <w:rPr>
                <w:lang w:eastAsia="zh-CN"/>
              </w:rPr>
            </w:pPr>
          </w:p>
        </w:tc>
        <w:tc>
          <w:tcPr>
            <w:tcW w:w="555" w:type="pct"/>
          </w:tcPr>
          <w:p w:rsidR="00B97EBD" w:rsidRPr="000A0A5F" w:rsidRDefault="00B97EBD" w:rsidP="00B97EBD">
            <w:pPr>
              <w:pStyle w:val="TAL"/>
            </w:pPr>
            <w:r w:rsidRPr="000A0A5F">
              <w:t>307 Temporary Redirect</w:t>
            </w:r>
          </w:p>
        </w:tc>
        <w:tc>
          <w:tcPr>
            <w:tcW w:w="2279" w:type="pct"/>
          </w:tcPr>
          <w:p w:rsidR="00B97EBD" w:rsidRPr="000A0A5F" w:rsidRDefault="00B97EBD" w:rsidP="00B97EBD">
            <w:pPr>
              <w:pStyle w:val="TAL"/>
            </w:pPr>
            <w:r w:rsidRPr="000A0A5F">
              <w:t>Temporary redirection. The response shall include a Location header field containing an alternative URI of the resource located in an alternative SCEF.</w:t>
            </w:r>
          </w:p>
          <w:p w:rsidR="00B97EBD" w:rsidRPr="000A0A5F" w:rsidRDefault="00B97EBD" w:rsidP="00B97EBD">
            <w:pPr>
              <w:pStyle w:val="TAL"/>
            </w:pPr>
            <w:r w:rsidRPr="000A0A5F">
              <w:t>Redirection handling is described in clause 5.2.10.</w:t>
            </w:r>
          </w:p>
        </w:tc>
      </w:tr>
      <w:tr w:rsidR="00B97EBD" w:rsidRPr="000A0A5F" w:rsidTr="00FF0AF8">
        <w:tc>
          <w:tcPr>
            <w:tcW w:w="532" w:type="pct"/>
            <w:vMerge/>
            <w:shd w:val="clear" w:color="auto" w:fill="BFBFBF"/>
            <w:vAlign w:val="center"/>
          </w:tcPr>
          <w:p w:rsidR="00B97EBD" w:rsidRPr="000A0A5F" w:rsidRDefault="00B97EBD" w:rsidP="00B97EBD">
            <w:pPr>
              <w:pStyle w:val="TAL"/>
              <w:jc w:val="center"/>
            </w:pPr>
          </w:p>
        </w:tc>
        <w:tc>
          <w:tcPr>
            <w:tcW w:w="1093" w:type="pct"/>
            <w:shd w:val="clear" w:color="auto" w:fill="auto"/>
          </w:tcPr>
          <w:p w:rsidR="00B97EBD" w:rsidRPr="000A0A5F" w:rsidRDefault="00B97EBD" w:rsidP="00B97EBD">
            <w:pPr>
              <w:pStyle w:val="TAL"/>
              <w:rPr>
                <w:lang w:eastAsia="zh-CN"/>
              </w:rPr>
            </w:pPr>
            <w:r w:rsidRPr="000A0A5F">
              <w:rPr>
                <w:lang w:eastAsia="zh-CN"/>
              </w:rPr>
              <w:t>n/a</w:t>
            </w:r>
          </w:p>
        </w:tc>
        <w:tc>
          <w:tcPr>
            <w:tcW w:w="541" w:type="pct"/>
          </w:tcPr>
          <w:p w:rsidR="00B97EBD" w:rsidRPr="000A0A5F" w:rsidRDefault="00B97EBD" w:rsidP="00B97EBD">
            <w:pPr>
              <w:pStyle w:val="TAL"/>
              <w:rPr>
                <w:lang w:eastAsia="zh-CN"/>
              </w:rPr>
            </w:pPr>
          </w:p>
        </w:tc>
        <w:tc>
          <w:tcPr>
            <w:tcW w:w="555" w:type="pct"/>
          </w:tcPr>
          <w:p w:rsidR="00B97EBD" w:rsidRPr="000A0A5F" w:rsidRDefault="00B97EBD" w:rsidP="00B97EBD">
            <w:pPr>
              <w:pStyle w:val="TAL"/>
            </w:pPr>
            <w:r w:rsidRPr="000A0A5F">
              <w:t>308 Permanent Redirect</w:t>
            </w:r>
          </w:p>
        </w:tc>
        <w:tc>
          <w:tcPr>
            <w:tcW w:w="2279" w:type="pct"/>
          </w:tcPr>
          <w:p w:rsidR="00B97EBD" w:rsidRPr="000A0A5F" w:rsidRDefault="00B97EBD" w:rsidP="00B97EBD">
            <w:pPr>
              <w:pStyle w:val="TAL"/>
            </w:pPr>
            <w:r w:rsidRPr="000A0A5F">
              <w:t>Permanent redirection. The response shall include a Location header field containing an alternative URI of the resource located in an alternative SCEF.</w:t>
            </w:r>
          </w:p>
          <w:p w:rsidR="00B97EBD" w:rsidRPr="000A0A5F" w:rsidRDefault="00B97EBD" w:rsidP="00B97EBD">
            <w:pPr>
              <w:pStyle w:val="TAL"/>
            </w:pPr>
            <w:r w:rsidRPr="000A0A5F">
              <w:t>Redirection handling is described in clause 5.2.10.</w:t>
            </w:r>
          </w:p>
        </w:tc>
      </w:tr>
      <w:tr w:rsidR="00B97EBD" w:rsidRPr="000A0A5F" w:rsidTr="00FF0AF8">
        <w:tc>
          <w:tcPr>
            <w:tcW w:w="5000" w:type="pct"/>
            <w:gridSpan w:val="5"/>
            <w:shd w:val="clear" w:color="auto" w:fill="auto"/>
            <w:vAlign w:val="center"/>
          </w:tcPr>
          <w:p w:rsidR="00B97EBD" w:rsidRPr="000A0A5F" w:rsidRDefault="00B97EBD" w:rsidP="00B97EBD">
            <w:pPr>
              <w:pStyle w:val="TAN"/>
              <w:rPr>
                <w:lang w:eastAsia="zh-CN"/>
              </w:rPr>
            </w:pPr>
            <w:r w:rsidRPr="000A0A5F">
              <w:t>NOTE:</w:t>
            </w:r>
            <w:r w:rsidRPr="000A0A5F">
              <w:tab/>
              <w:t>The mandatory HTTP error status codes for the PATCH method listed in table 5.2.6-1 also apply.</w:t>
            </w:r>
          </w:p>
        </w:tc>
      </w:tr>
    </w:tbl>
    <w:p w:rsidR="00B97EBD" w:rsidRPr="000A0A5F" w:rsidRDefault="00B97EBD" w:rsidP="00B97EBD"/>
    <w:p w:rsidR="00B97EBD" w:rsidRPr="000A0A5F" w:rsidRDefault="00B97EBD" w:rsidP="00B97EBD">
      <w:pPr>
        <w:pStyle w:val="TH"/>
      </w:pPr>
      <w:r w:rsidRPr="000A0A5F">
        <w:t>Table 5.7.3.3.3.3-2: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B97EBD" w:rsidRPr="000A0A5F" w:rsidTr="00FF0AF8">
        <w:trPr>
          <w:jc w:val="center"/>
        </w:trPr>
        <w:tc>
          <w:tcPr>
            <w:tcW w:w="825" w:type="pct"/>
            <w:shd w:val="clear" w:color="auto" w:fill="C0C0C0"/>
          </w:tcPr>
          <w:p w:rsidR="00B97EBD" w:rsidRPr="000A0A5F" w:rsidRDefault="00B97EBD" w:rsidP="00B97EBD">
            <w:pPr>
              <w:pStyle w:val="TAH"/>
            </w:pPr>
            <w:r w:rsidRPr="000A0A5F">
              <w:t>Name</w:t>
            </w:r>
          </w:p>
        </w:tc>
        <w:tc>
          <w:tcPr>
            <w:tcW w:w="732" w:type="pct"/>
            <w:shd w:val="clear" w:color="auto" w:fill="C0C0C0"/>
          </w:tcPr>
          <w:p w:rsidR="00B97EBD" w:rsidRPr="000A0A5F" w:rsidRDefault="00B97EBD" w:rsidP="00B97EBD">
            <w:pPr>
              <w:pStyle w:val="TAH"/>
            </w:pPr>
            <w:r w:rsidRPr="000A0A5F">
              <w:t>Data type</w:t>
            </w:r>
          </w:p>
        </w:tc>
        <w:tc>
          <w:tcPr>
            <w:tcW w:w="217" w:type="pct"/>
            <w:shd w:val="clear" w:color="auto" w:fill="C0C0C0"/>
          </w:tcPr>
          <w:p w:rsidR="00B97EBD" w:rsidRPr="000A0A5F" w:rsidRDefault="00B97EBD" w:rsidP="00B97EBD">
            <w:pPr>
              <w:pStyle w:val="TAH"/>
            </w:pPr>
            <w:r w:rsidRPr="000A0A5F">
              <w:t>P</w:t>
            </w:r>
          </w:p>
        </w:tc>
        <w:tc>
          <w:tcPr>
            <w:tcW w:w="581" w:type="pct"/>
            <w:shd w:val="clear" w:color="auto" w:fill="C0C0C0"/>
          </w:tcPr>
          <w:p w:rsidR="00B97EBD" w:rsidRPr="000A0A5F" w:rsidRDefault="00B97EBD" w:rsidP="00B97EBD">
            <w:pPr>
              <w:pStyle w:val="TAH"/>
            </w:pPr>
            <w:r w:rsidRPr="000A0A5F">
              <w:t>Cardinality</w:t>
            </w:r>
          </w:p>
        </w:tc>
        <w:tc>
          <w:tcPr>
            <w:tcW w:w="2645" w:type="pct"/>
            <w:shd w:val="clear" w:color="auto" w:fill="C0C0C0"/>
            <w:vAlign w:val="center"/>
          </w:tcPr>
          <w:p w:rsidR="00B97EBD" w:rsidRPr="000A0A5F" w:rsidRDefault="00B97EBD" w:rsidP="00B97EBD">
            <w:pPr>
              <w:pStyle w:val="TAH"/>
            </w:pPr>
            <w:r w:rsidRPr="000A0A5F">
              <w:t>Description</w:t>
            </w:r>
          </w:p>
        </w:tc>
      </w:tr>
      <w:tr w:rsidR="00B97EBD" w:rsidRPr="000A0A5F" w:rsidTr="00FF0AF8">
        <w:trPr>
          <w:jc w:val="center"/>
        </w:trPr>
        <w:tc>
          <w:tcPr>
            <w:tcW w:w="825" w:type="pct"/>
            <w:shd w:val="clear" w:color="auto" w:fill="auto"/>
          </w:tcPr>
          <w:p w:rsidR="00B97EBD" w:rsidRPr="000A0A5F" w:rsidRDefault="00B97EBD" w:rsidP="00B97EBD">
            <w:pPr>
              <w:pStyle w:val="TAL"/>
            </w:pPr>
            <w:r w:rsidRPr="000A0A5F">
              <w:t>Location</w:t>
            </w:r>
          </w:p>
        </w:tc>
        <w:tc>
          <w:tcPr>
            <w:tcW w:w="732" w:type="pct"/>
          </w:tcPr>
          <w:p w:rsidR="00B97EBD" w:rsidRPr="000A0A5F" w:rsidRDefault="00B97EBD" w:rsidP="00B97EBD">
            <w:pPr>
              <w:pStyle w:val="TAL"/>
            </w:pPr>
            <w:r w:rsidRPr="000A0A5F">
              <w:t>string</w:t>
            </w:r>
          </w:p>
        </w:tc>
        <w:tc>
          <w:tcPr>
            <w:tcW w:w="217" w:type="pct"/>
          </w:tcPr>
          <w:p w:rsidR="00B97EBD" w:rsidRPr="000A0A5F" w:rsidRDefault="00B97EBD" w:rsidP="00B97EBD">
            <w:pPr>
              <w:pStyle w:val="TAC"/>
            </w:pPr>
            <w:r w:rsidRPr="000A0A5F">
              <w:t>M</w:t>
            </w:r>
          </w:p>
        </w:tc>
        <w:tc>
          <w:tcPr>
            <w:tcW w:w="581" w:type="pct"/>
          </w:tcPr>
          <w:p w:rsidR="00B97EBD" w:rsidRPr="000A0A5F" w:rsidRDefault="00B97EBD" w:rsidP="00B97EBD">
            <w:pPr>
              <w:pStyle w:val="TAL"/>
            </w:pPr>
            <w:r w:rsidRPr="000A0A5F">
              <w:t>1</w:t>
            </w:r>
          </w:p>
        </w:tc>
        <w:tc>
          <w:tcPr>
            <w:tcW w:w="2645" w:type="pct"/>
            <w:shd w:val="clear" w:color="auto" w:fill="auto"/>
            <w:vAlign w:val="center"/>
          </w:tcPr>
          <w:p w:rsidR="00B97EBD" w:rsidRPr="000A0A5F" w:rsidRDefault="00B97EBD" w:rsidP="00B97EBD">
            <w:pPr>
              <w:pStyle w:val="TAL"/>
            </w:pPr>
            <w:r w:rsidRPr="000A0A5F">
              <w:t>An alternative URI of the resource located in an alternative SCEF.</w:t>
            </w:r>
          </w:p>
        </w:tc>
      </w:tr>
    </w:tbl>
    <w:p w:rsidR="00B97EBD" w:rsidRPr="000A0A5F" w:rsidRDefault="00B97EBD" w:rsidP="00B97EBD"/>
    <w:p w:rsidR="00B97EBD" w:rsidRPr="000A0A5F" w:rsidRDefault="00B97EBD" w:rsidP="00B97EBD">
      <w:pPr>
        <w:pStyle w:val="TH"/>
      </w:pPr>
      <w:r w:rsidRPr="000A0A5F">
        <w:t>Table 5.7.3.3.3.3-3: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B97EBD" w:rsidRPr="000A0A5F" w:rsidTr="00FF0AF8">
        <w:trPr>
          <w:jc w:val="center"/>
        </w:trPr>
        <w:tc>
          <w:tcPr>
            <w:tcW w:w="825" w:type="pct"/>
            <w:shd w:val="clear" w:color="auto" w:fill="C0C0C0"/>
          </w:tcPr>
          <w:p w:rsidR="00B97EBD" w:rsidRPr="000A0A5F" w:rsidRDefault="00B97EBD" w:rsidP="00B97EBD">
            <w:pPr>
              <w:pStyle w:val="TAH"/>
            </w:pPr>
            <w:r w:rsidRPr="000A0A5F">
              <w:t>Name</w:t>
            </w:r>
          </w:p>
        </w:tc>
        <w:tc>
          <w:tcPr>
            <w:tcW w:w="732" w:type="pct"/>
            <w:shd w:val="clear" w:color="auto" w:fill="C0C0C0"/>
          </w:tcPr>
          <w:p w:rsidR="00B97EBD" w:rsidRPr="000A0A5F" w:rsidRDefault="00B97EBD" w:rsidP="00B97EBD">
            <w:pPr>
              <w:pStyle w:val="TAH"/>
            </w:pPr>
            <w:r w:rsidRPr="000A0A5F">
              <w:t>Data type</w:t>
            </w:r>
          </w:p>
        </w:tc>
        <w:tc>
          <w:tcPr>
            <w:tcW w:w="217" w:type="pct"/>
            <w:shd w:val="clear" w:color="auto" w:fill="C0C0C0"/>
          </w:tcPr>
          <w:p w:rsidR="00B97EBD" w:rsidRPr="000A0A5F" w:rsidRDefault="00B97EBD" w:rsidP="00B97EBD">
            <w:pPr>
              <w:pStyle w:val="TAH"/>
            </w:pPr>
            <w:r w:rsidRPr="000A0A5F">
              <w:t>P</w:t>
            </w:r>
          </w:p>
        </w:tc>
        <w:tc>
          <w:tcPr>
            <w:tcW w:w="581" w:type="pct"/>
            <w:shd w:val="clear" w:color="auto" w:fill="C0C0C0"/>
          </w:tcPr>
          <w:p w:rsidR="00B97EBD" w:rsidRPr="000A0A5F" w:rsidRDefault="00B97EBD" w:rsidP="00B97EBD">
            <w:pPr>
              <w:pStyle w:val="TAH"/>
            </w:pPr>
            <w:r w:rsidRPr="000A0A5F">
              <w:t>Cardinality</w:t>
            </w:r>
          </w:p>
        </w:tc>
        <w:tc>
          <w:tcPr>
            <w:tcW w:w="2645" w:type="pct"/>
            <w:shd w:val="clear" w:color="auto" w:fill="C0C0C0"/>
            <w:vAlign w:val="center"/>
          </w:tcPr>
          <w:p w:rsidR="00B97EBD" w:rsidRPr="000A0A5F" w:rsidRDefault="00B97EBD" w:rsidP="00B97EBD">
            <w:pPr>
              <w:pStyle w:val="TAH"/>
            </w:pPr>
            <w:r w:rsidRPr="000A0A5F">
              <w:t>Description</w:t>
            </w:r>
          </w:p>
        </w:tc>
      </w:tr>
      <w:tr w:rsidR="00B97EBD" w:rsidRPr="000A0A5F" w:rsidTr="00FF0AF8">
        <w:trPr>
          <w:jc w:val="center"/>
        </w:trPr>
        <w:tc>
          <w:tcPr>
            <w:tcW w:w="825" w:type="pct"/>
            <w:shd w:val="clear" w:color="auto" w:fill="auto"/>
          </w:tcPr>
          <w:p w:rsidR="00B97EBD" w:rsidRPr="000A0A5F" w:rsidRDefault="00B97EBD" w:rsidP="00B97EBD">
            <w:pPr>
              <w:pStyle w:val="TAL"/>
            </w:pPr>
            <w:r w:rsidRPr="000A0A5F">
              <w:t>Location</w:t>
            </w:r>
          </w:p>
        </w:tc>
        <w:tc>
          <w:tcPr>
            <w:tcW w:w="732" w:type="pct"/>
          </w:tcPr>
          <w:p w:rsidR="00B97EBD" w:rsidRPr="000A0A5F" w:rsidRDefault="00B97EBD" w:rsidP="00B97EBD">
            <w:pPr>
              <w:pStyle w:val="TAL"/>
            </w:pPr>
            <w:r w:rsidRPr="000A0A5F">
              <w:t>string</w:t>
            </w:r>
          </w:p>
        </w:tc>
        <w:tc>
          <w:tcPr>
            <w:tcW w:w="217" w:type="pct"/>
          </w:tcPr>
          <w:p w:rsidR="00B97EBD" w:rsidRPr="000A0A5F" w:rsidRDefault="00B97EBD" w:rsidP="00B97EBD">
            <w:pPr>
              <w:pStyle w:val="TAC"/>
            </w:pPr>
            <w:r w:rsidRPr="000A0A5F">
              <w:t>M</w:t>
            </w:r>
          </w:p>
        </w:tc>
        <w:tc>
          <w:tcPr>
            <w:tcW w:w="581" w:type="pct"/>
          </w:tcPr>
          <w:p w:rsidR="00B97EBD" w:rsidRPr="000A0A5F" w:rsidRDefault="00B97EBD" w:rsidP="00B97EBD">
            <w:pPr>
              <w:pStyle w:val="TAL"/>
            </w:pPr>
            <w:r w:rsidRPr="000A0A5F">
              <w:t>1</w:t>
            </w:r>
          </w:p>
        </w:tc>
        <w:tc>
          <w:tcPr>
            <w:tcW w:w="2645" w:type="pct"/>
            <w:shd w:val="clear" w:color="auto" w:fill="auto"/>
            <w:vAlign w:val="center"/>
          </w:tcPr>
          <w:p w:rsidR="00B97EBD" w:rsidRPr="000A0A5F" w:rsidRDefault="00B97EBD" w:rsidP="00B97EBD">
            <w:pPr>
              <w:pStyle w:val="TAL"/>
            </w:pPr>
            <w:r w:rsidRPr="000A0A5F">
              <w:t>An alternative URI of the resource located in an alternative SCEF.</w:t>
            </w:r>
          </w:p>
        </w:tc>
      </w:tr>
    </w:tbl>
    <w:p w:rsidR="00B97EBD" w:rsidRPr="000A0A5F" w:rsidRDefault="00B97EBD" w:rsidP="00B97EBD"/>
    <w:p w:rsidR="00CB0DD7" w:rsidRPr="000A0A5F" w:rsidRDefault="00CB0DD7">
      <w:pPr>
        <w:pStyle w:val="Heading6"/>
      </w:pPr>
      <w:bookmarkStart w:id="5097" w:name="_Toc105674653"/>
      <w:bookmarkStart w:id="5098" w:name="_Toc130502701"/>
      <w:bookmarkStart w:id="5099" w:name="_Toc153625488"/>
      <w:r w:rsidRPr="000A0A5F">
        <w:t>5.7.3.3.3.4</w:t>
      </w:r>
      <w:r w:rsidRPr="000A0A5F">
        <w:tab/>
        <w:t>POST</w:t>
      </w:r>
      <w:bookmarkEnd w:id="5088"/>
      <w:bookmarkEnd w:id="5089"/>
      <w:bookmarkEnd w:id="5090"/>
      <w:bookmarkEnd w:id="5091"/>
      <w:bookmarkEnd w:id="5092"/>
      <w:bookmarkEnd w:id="5093"/>
      <w:bookmarkEnd w:id="5094"/>
      <w:bookmarkEnd w:id="5095"/>
      <w:bookmarkEnd w:id="5096"/>
      <w:bookmarkEnd w:id="5097"/>
      <w:bookmarkEnd w:id="5098"/>
      <w:bookmarkEnd w:id="5099"/>
    </w:p>
    <w:p w:rsidR="00CB0DD7" w:rsidRPr="000A0A5F" w:rsidRDefault="00CB0DD7">
      <w:pPr>
        <w:rPr>
          <w:rFonts w:eastAsia="DengXian"/>
          <w:lang w:eastAsia="zh-CN"/>
        </w:rPr>
      </w:pPr>
      <w:r w:rsidRPr="000A0A5F">
        <w:rPr>
          <w:rFonts w:hint="eastAsia"/>
          <w:lang w:eastAsia="zh-CN"/>
        </w:rPr>
        <w:t xml:space="preserve">This </w:t>
      </w:r>
      <w:r w:rsidRPr="000A0A5F">
        <w:rPr>
          <w:lang w:eastAsia="zh-CN"/>
        </w:rPr>
        <w:t>HTTP method is not supported for the resource.</w:t>
      </w:r>
    </w:p>
    <w:p w:rsidR="00CB0DD7" w:rsidRPr="000A0A5F" w:rsidRDefault="00CB0DD7">
      <w:pPr>
        <w:pStyle w:val="Heading6"/>
      </w:pPr>
      <w:bookmarkStart w:id="5100" w:name="_Toc11247551"/>
      <w:bookmarkStart w:id="5101" w:name="_Toc27044690"/>
      <w:bookmarkStart w:id="5102" w:name="_Toc36033732"/>
      <w:bookmarkStart w:id="5103" w:name="_Toc45131878"/>
      <w:bookmarkStart w:id="5104" w:name="_Toc49776163"/>
      <w:bookmarkStart w:id="5105" w:name="_Toc51747083"/>
      <w:bookmarkStart w:id="5106" w:name="_Toc66360644"/>
      <w:bookmarkStart w:id="5107" w:name="_Toc68105149"/>
      <w:bookmarkStart w:id="5108" w:name="_Toc74755779"/>
      <w:bookmarkStart w:id="5109" w:name="_Toc105674654"/>
      <w:bookmarkStart w:id="5110" w:name="_Toc130502702"/>
      <w:bookmarkStart w:id="5111" w:name="_Toc153625489"/>
      <w:r w:rsidRPr="000A0A5F">
        <w:t>5.7.3.3.3.5</w:t>
      </w:r>
      <w:r w:rsidRPr="000A0A5F">
        <w:tab/>
        <w:t>DELETE</w:t>
      </w:r>
      <w:bookmarkEnd w:id="5100"/>
      <w:bookmarkEnd w:id="5101"/>
      <w:bookmarkEnd w:id="5102"/>
      <w:bookmarkEnd w:id="5103"/>
      <w:bookmarkEnd w:id="5104"/>
      <w:bookmarkEnd w:id="5105"/>
      <w:bookmarkEnd w:id="5106"/>
      <w:bookmarkEnd w:id="5107"/>
      <w:bookmarkEnd w:id="5108"/>
      <w:bookmarkEnd w:id="5109"/>
      <w:bookmarkEnd w:id="5110"/>
      <w:bookmarkEnd w:id="5111"/>
    </w:p>
    <w:p w:rsidR="00CB0DD7" w:rsidRPr="000A0A5F" w:rsidRDefault="00CB0DD7">
      <w:r w:rsidRPr="000A0A5F">
        <w:t xml:space="preserve">To </w:t>
      </w:r>
      <w:r w:rsidRPr="000A0A5F">
        <w:rPr>
          <w:rFonts w:hint="eastAsia"/>
          <w:lang w:eastAsia="zh-CN"/>
        </w:rPr>
        <w:t>cancel</w:t>
      </w:r>
      <w:r w:rsidRPr="000A0A5F">
        <w:t xml:space="preserve"> a</w:t>
      </w:r>
      <w:r w:rsidRPr="000A0A5F">
        <w:rPr>
          <w:rFonts w:hint="eastAsia"/>
          <w:lang w:eastAsia="zh-CN"/>
        </w:rPr>
        <w:t xml:space="preserve">n </w:t>
      </w:r>
      <w:r w:rsidRPr="000A0A5F">
        <w:rPr>
          <w:lang w:eastAsia="zh-CN"/>
        </w:rPr>
        <w:t>ongoing</w:t>
      </w:r>
      <w:r w:rsidRPr="000A0A5F">
        <w:rPr>
          <w:rFonts w:hint="eastAsia"/>
          <w:lang w:eastAsia="zh-CN"/>
        </w:rPr>
        <w:t xml:space="preserve"> device triggering delivery,</w:t>
      </w:r>
      <w:r w:rsidRPr="000A0A5F">
        <w:t xml:space="preserve"> the </w:t>
      </w:r>
      <w:r w:rsidRPr="000A0A5F">
        <w:rPr>
          <w:rFonts w:hint="eastAsia"/>
          <w:lang w:eastAsia="zh-CN"/>
        </w:rPr>
        <w:t xml:space="preserve">SCS/AS </w:t>
      </w:r>
      <w:r w:rsidRPr="000A0A5F">
        <w:t xml:space="preserve">shall use the HTTP DELETE method on the </w:t>
      </w:r>
      <w:r w:rsidRPr="000A0A5F">
        <w:rPr>
          <w:rFonts w:hint="eastAsia"/>
          <w:lang w:eastAsia="zh-CN"/>
        </w:rPr>
        <w:t xml:space="preserve">individual </w:t>
      </w:r>
      <w:r w:rsidRPr="000A0A5F">
        <w:t>"</w:t>
      </w:r>
      <w:r w:rsidRPr="000A0A5F">
        <w:rPr>
          <w:rFonts w:hint="eastAsia"/>
          <w:lang w:eastAsia="zh-CN"/>
        </w:rPr>
        <w:t>transaction</w:t>
      </w:r>
      <w:r w:rsidRPr="000A0A5F">
        <w:t xml:space="preserve">" resource </w:t>
      </w:r>
      <w:r w:rsidRPr="000A0A5F">
        <w:rPr>
          <w:rFonts w:hint="eastAsia"/>
          <w:lang w:eastAsia="zh-CN"/>
        </w:rPr>
        <w:t>which is indicated by the URI in the Location header of the HTTP POST response</w:t>
      </w:r>
      <w:r w:rsidRPr="000A0A5F">
        <w:t>:</w:t>
      </w:r>
    </w:p>
    <w:p w:rsidR="00CB0DD7" w:rsidRPr="000A0A5F" w:rsidRDefault="00CB0DD7">
      <w:pPr>
        <w:rPr>
          <w:rFonts w:hint="eastAsia"/>
          <w:lang w:eastAsia="zh-CN"/>
        </w:rPr>
      </w:pPr>
      <w:r w:rsidRPr="000A0A5F">
        <w:t xml:space="preserve">The possible response messages from the </w:t>
      </w:r>
      <w:r w:rsidRPr="000A0A5F">
        <w:rPr>
          <w:rFonts w:hint="eastAsia"/>
          <w:lang w:eastAsia="zh-CN"/>
        </w:rPr>
        <w:t>SCEF</w:t>
      </w:r>
      <w:r w:rsidRPr="000A0A5F">
        <w:t xml:space="preserve">, depending on whether the DELETE request is successful or unsuccessful, are shown in </w:t>
      </w:r>
      <w:r w:rsidR="002E466A" w:rsidRPr="000A0A5F">
        <w:t>Table</w:t>
      </w:r>
      <w:r w:rsidR="002E466A" w:rsidRPr="000A0A5F">
        <w:rPr>
          <w:lang w:val="en-US" w:eastAsia="zh-CN"/>
        </w:rPr>
        <w:t> </w:t>
      </w:r>
      <w:r w:rsidRPr="000A0A5F">
        <w:t>5.</w:t>
      </w:r>
      <w:r w:rsidRPr="000A0A5F">
        <w:rPr>
          <w:rFonts w:hint="eastAsia"/>
          <w:lang w:eastAsia="zh-CN"/>
        </w:rPr>
        <w:t>7</w:t>
      </w:r>
      <w:r w:rsidRPr="000A0A5F">
        <w:t>.3.3.3.5</w:t>
      </w:r>
      <w:r w:rsidRPr="000A0A5F">
        <w:rPr>
          <w:rFonts w:hint="eastAsia"/>
          <w:lang w:eastAsia="zh-CN"/>
        </w:rPr>
        <w:t>-1.</w:t>
      </w:r>
    </w:p>
    <w:p w:rsidR="00CB0DD7" w:rsidRPr="000A0A5F" w:rsidRDefault="00CB0DD7">
      <w:pPr>
        <w:pStyle w:val="TH"/>
      </w:pPr>
      <w:r w:rsidRPr="000A0A5F">
        <w:t>Table 5.</w:t>
      </w:r>
      <w:r w:rsidRPr="000A0A5F">
        <w:rPr>
          <w:lang w:eastAsia="zh-CN"/>
        </w:rPr>
        <w:t>7.3.3.3.5-1</w:t>
      </w:r>
      <w:r w:rsidRPr="000A0A5F">
        <w:t xml:space="preserve">: Data structures supported by the </w:t>
      </w:r>
      <w:r w:rsidRPr="000A0A5F">
        <w:rPr>
          <w:rFonts w:hint="eastAsia"/>
          <w:lang w:eastAsia="zh-CN"/>
        </w:rPr>
        <w:t>DELETE</w:t>
      </w:r>
      <w:r w:rsidRPr="000A0A5F">
        <w:t xml:space="preserve"> request/response by the resource</w:t>
      </w:r>
    </w:p>
    <w:tbl>
      <w:tblPr>
        <w:tblW w:w="4999" w:type="pct"/>
        <w:tblInd w:w="1" w:type="dxa"/>
        <w:tblBorders>
          <w:top w:val="single" w:sz="6" w:space="0" w:color="000000"/>
          <w:left w:val="single" w:sz="6" w:space="0" w:color="000000"/>
          <w:bottom w:val="single" w:sz="6" w:space="0" w:color="000000"/>
          <w:right w:val="single" w:sz="6" w:space="0" w:color="000000"/>
          <w:insideH w:val="single" w:sz="6" w:space="0" w:color="auto"/>
          <w:insideV w:val="single" w:sz="6" w:space="0" w:color="000000"/>
        </w:tblBorders>
        <w:tblLayout w:type="fixed"/>
        <w:tblCellMar>
          <w:top w:w="45" w:type="dxa"/>
          <w:left w:w="45" w:type="dxa"/>
          <w:bottom w:w="45" w:type="dxa"/>
          <w:right w:w="45" w:type="dxa"/>
        </w:tblCellMar>
        <w:tblLook w:val="0000" w:firstRow="0" w:lastRow="0" w:firstColumn="0" w:lastColumn="0" w:noHBand="0" w:noVBand="0"/>
      </w:tblPr>
      <w:tblGrid>
        <w:gridCol w:w="1035"/>
        <w:gridCol w:w="2127"/>
        <w:gridCol w:w="1053"/>
        <w:gridCol w:w="973"/>
        <w:gridCol w:w="4541"/>
      </w:tblGrid>
      <w:tr w:rsidR="00CB0DD7" w:rsidRPr="000A0A5F" w:rsidTr="00C9682D">
        <w:tc>
          <w:tcPr>
            <w:tcW w:w="532" w:type="pct"/>
            <w:vMerge w:val="restart"/>
            <w:shd w:val="clear" w:color="auto" w:fill="C0C0C0"/>
            <w:vAlign w:val="center"/>
          </w:tcPr>
          <w:p w:rsidR="00CB0DD7" w:rsidRPr="000A0A5F" w:rsidRDefault="00CB0DD7">
            <w:pPr>
              <w:pStyle w:val="TAH"/>
            </w:pPr>
            <w:r w:rsidRPr="000A0A5F">
              <w:t>Request body</w:t>
            </w:r>
          </w:p>
        </w:tc>
        <w:tc>
          <w:tcPr>
            <w:tcW w:w="1093" w:type="pct"/>
            <w:shd w:val="clear" w:color="auto" w:fill="C0C0C0"/>
          </w:tcPr>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r w:rsidRPr="000A0A5F">
              <w:t>Cardinality</w:t>
            </w:r>
          </w:p>
        </w:tc>
        <w:tc>
          <w:tcPr>
            <w:tcW w:w="2834" w:type="pct"/>
            <w:gridSpan w:val="2"/>
            <w:shd w:val="clear" w:color="auto" w:fill="C0C0C0"/>
          </w:tcPr>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rPr>
                <w:rFonts w:hint="eastAsia"/>
                <w:lang w:eastAsia="zh-CN"/>
              </w:rPr>
              <w:t>none</w:t>
            </w:r>
          </w:p>
        </w:tc>
        <w:tc>
          <w:tcPr>
            <w:tcW w:w="541" w:type="pct"/>
          </w:tcPr>
          <w:p w:rsidR="00CB0DD7" w:rsidRPr="000A0A5F" w:rsidRDefault="00CB0DD7">
            <w:pPr>
              <w:pStyle w:val="TAL"/>
              <w:rPr>
                <w:rFonts w:hint="eastAsia"/>
                <w:lang w:eastAsia="zh-CN"/>
              </w:rPr>
            </w:pPr>
          </w:p>
        </w:tc>
        <w:tc>
          <w:tcPr>
            <w:tcW w:w="2834" w:type="pct"/>
            <w:gridSpan w:val="2"/>
          </w:tcPr>
          <w:p w:rsidR="00CB0DD7" w:rsidRPr="000A0A5F" w:rsidRDefault="00CB0DD7">
            <w:pPr>
              <w:pStyle w:val="TAL"/>
              <w:rPr>
                <w:rFonts w:hint="eastAsia"/>
                <w:lang w:eastAsia="zh-CN"/>
              </w:rPr>
            </w:pPr>
            <w:r w:rsidRPr="000A0A5F">
              <w:rPr>
                <w:rFonts w:hint="eastAsia"/>
                <w:lang w:eastAsia="zh-CN"/>
              </w:rPr>
              <w:t>.</w:t>
            </w:r>
          </w:p>
        </w:tc>
      </w:tr>
      <w:tr w:rsidR="00CB0DD7" w:rsidRPr="000A0A5F" w:rsidTr="00C9682D">
        <w:tc>
          <w:tcPr>
            <w:tcW w:w="532" w:type="pct"/>
            <w:vMerge w:val="restart"/>
            <w:shd w:val="clear" w:color="auto" w:fill="C0C0C0"/>
            <w:vAlign w:val="center"/>
          </w:tcPr>
          <w:p w:rsidR="00CB0DD7" w:rsidRPr="000A0A5F" w:rsidRDefault="00CB0DD7">
            <w:pPr>
              <w:pStyle w:val="TAH"/>
            </w:pPr>
            <w:r w:rsidRPr="000A0A5F">
              <w:t>Response body</w:t>
            </w:r>
          </w:p>
        </w:tc>
        <w:tc>
          <w:tcPr>
            <w:tcW w:w="1093" w:type="pct"/>
            <w:shd w:val="clear" w:color="auto" w:fill="C0C0C0"/>
          </w:tcPr>
          <w:p w:rsidR="00CB0DD7" w:rsidRPr="000A0A5F" w:rsidRDefault="00CB0DD7">
            <w:pPr>
              <w:pStyle w:val="TAH"/>
            </w:pPr>
          </w:p>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p>
          <w:p w:rsidR="00CB0DD7" w:rsidRPr="000A0A5F" w:rsidRDefault="00CB0DD7">
            <w:pPr>
              <w:pStyle w:val="TAH"/>
            </w:pPr>
            <w:r w:rsidRPr="000A0A5F">
              <w:t>Cardinality</w:t>
            </w:r>
          </w:p>
        </w:tc>
        <w:tc>
          <w:tcPr>
            <w:tcW w:w="500" w:type="pct"/>
            <w:shd w:val="clear" w:color="auto" w:fill="C0C0C0"/>
          </w:tcPr>
          <w:p w:rsidR="00CB0DD7" w:rsidRPr="000A0A5F" w:rsidRDefault="00CB0DD7">
            <w:pPr>
              <w:pStyle w:val="TAH"/>
            </w:pPr>
            <w:r w:rsidRPr="000A0A5F">
              <w:t>Response</w:t>
            </w:r>
          </w:p>
          <w:p w:rsidR="00CB0DD7" w:rsidRPr="000A0A5F" w:rsidRDefault="00CB0DD7">
            <w:pPr>
              <w:pStyle w:val="TAH"/>
            </w:pPr>
            <w:r w:rsidRPr="000A0A5F">
              <w:t>codes</w:t>
            </w:r>
          </w:p>
        </w:tc>
        <w:tc>
          <w:tcPr>
            <w:tcW w:w="2334" w:type="pct"/>
            <w:shd w:val="clear" w:color="auto" w:fill="C0C0C0"/>
          </w:tcPr>
          <w:p w:rsidR="00CB0DD7" w:rsidRPr="000A0A5F" w:rsidRDefault="00CB0DD7">
            <w:pPr>
              <w:pStyle w:val="TAH"/>
            </w:pPr>
          </w:p>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rPr>
                <w:lang w:eastAsia="zh-CN"/>
              </w:rPr>
              <w:t>DeviceTriggering</w:t>
            </w:r>
            <w:r w:rsidRPr="000A0A5F">
              <w:rPr>
                <w:rFonts w:hint="eastAsia"/>
                <w:lang w:eastAsia="zh-CN"/>
              </w:rPr>
              <w:t xml:space="preserve"> </w:t>
            </w:r>
          </w:p>
        </w:tc>
        <w:tc>
          <w:tcPr>
            <w:tcW w:w="541" w:type="pct"/>
          </w:tcPr>
          <w:p w:rsidR="00CB0DD7" w:rsidRPr="000A0A5F" w:rsidRDefault="00CB0DD7">
            <w:pPr>
              <w:pStyle w:val="TAL"/>
              <w:rPr>
                <w:rFonts w:hint="eastAsia"/>
                <w:lang w:eastAsia="zh-CN"/>
              </w:rPr>
            </w:pPr>
            <w:r w:rsidRPr="000A0A5F">
              <w:rPr>
                <w:rFonts w:hint="eastAsia"/>
                <w:lang w:eastAsia="zh-CN"/>
              </w:rPr>
              <w:t>1</w:t>
            </w:r>
          </w:p>
        </w:tc>
        <w:tc>
          <w:tcPr>
            <w:tcW w:w="500" w:type="pct"/>
          </w:tcPr>
          <w:p w:rsidR="00CB0DD7" w:rsidRPr="000A0A5F" w:rsidRDefault="00CB0DD7">
            <w:pPr>
              <w:pStyle w:val="TAL"/>
              <w:rPr>
                <w:rFonts w:hint="eastAsia"/>
                <w:lang w:eastAsia="zh-CN"/>
              </w:rPr>
            </w:pPr>
            <w:r w:rsidRPr="000A0A5F">
              <w:t>20</w:t>
            </w:r>
            <w:r w:rsidRPr="000A0A5F">
              <w:rPr>
                <w:rFonts w:hint="eastAsia"/>
                <w:lang w:eastAsia="zh-CN"/>
              </w:rPr>
              <w:t>0</w:t>
            </w:r>
            <w:r w:rsidRPr="000A0A5F">
              <w:t xml:space="preserve"> </w:t>
            </w:r>
            <w:r w:rsidRPr="000A0A5F">
              <w:rPr>
                <w:rFonts w:hint="eastAsia"/>
                <w:lang w:eastAsia="zh-CN"/>
              </w:rPr>
              <w:t>OK</w:t>
            </w:r>
          </w:p>
        </w:tc>
        <w:tc>
          <w:tcPr>
            <w:tcW w:w="2334" w:type="pct"/>
          </w:tcPr>
          <w:p w:rsidR="00CB0DD7" w:rsidRPr="000A0A5F" w:rsidRDefault="00CB0DD7">
            <w:pPr>
              <w:pStyle w:val="TAL"/>
              <w:spacing w:afterLines="50" w:after="120"/>
              <w:rPr>
                <w:rFonts w:hint="eastAsia"/>
                <w:lang w:eastAsia="zh-CN"/>
              </w:rPr>
            </w:pPr>
            <w:r w:rsidRPr="000A0A5F">
              <w:t xml:space="preserve">The </w:t>
            </w:r>
            <w:r w:rsidRPr="000A0A5F">
              <w:rPr>
                <w:lang w:eastAsia="zh-CN"/>
              </w:rPr>
              <w:t>Device Triggering delivery</w:t>
            </w:r>
            <w:r w:rsidRPr="000A0A5F">
              <w:t xml:space="preserve"> was </w:t>
            </w:r>
            <w:r w:rsidRPr="000A0A5F">
              <w:rPr>
                <w:lang w:eastAsia="zh-CN"/>
              </w:rPr>
              <w:t>cancel</w:t>
            </w:r>
            <w:r w:rsidRPr="000A0A5F">
              <w:rPr>
                <w:rFonts w:hint="eastAsia"/>
                <w:lang w:eastAsia="zh-CN"/>
              </w:rPr>
              <w:t>l</w:t>
            </w:r>
            <w:r w:rsidRPr="000A0A5F">
              <w:rPr>
                <w:lang w:eastAsia="zh-CN"/>
              </w:rPr>
              <w:t>ed</w:t>
            </w:r>
            <w:r w:rsidRPr="000A0A5F">
              <w:t xml:space="preserve"> successfully</w:t>
            </w:r>
            <w:r w:rsidRPr="000A0A5F">
              <w:rPr>
                <w:rFonts w:hint="eastAsia"/>
                <w:lang w:eastAsia="zh-CN"/>
              </w:rPr>
              <w:t>.</w:t>
            </w:r>
          </w:p>
          <w:p w:rsidR="00CB0DD7" w:rsidRPr="000A0A5F" w:rsidRDefault="00CB0DD7">
            <w:pPr>
              <w:pStyle w:val="TAL"/>
              <w:rPr>
                <w:rFonts w:eastAsia="Batang" w:hint="eastAsia"/>
              </w:rPr>
            </w:pPr>
            <w:r w:rsidRPr="000A0A5F">
              <w:t xml:space="preserve">The SCEF </w:t>
            </w:r>
            <w:r w:rsidRPr="000A0A5F">
              <w:rPr>
                <w:rFonts w:hint="eastAsia"/>
                <w:lang w:eastAsia="zh-CN"/>
              </w:rPr>
              <w:t>shall</w:t>
            </w:r>
            <w:r w:rsidRPr="000A0A5F">
              <w:t xml:space="preserve"> return a data structure of type "</w:t>
            </w:r>
            <w:r w:rsidRPr="000A0A5F">
              <w:rPr>
                <w:lang w:eastAsia="zh-CN"/>
              </w:rPr>
              <w:t>DeviceTriggering</w:t>
            </w:r>
            <w:r w:rsidRPr="000A0A5F">
              <w:t xml:space="preserve">" </w:t>
            </w:r>
            <w:r w:rsidRPr="000A0A5F">
              <w:rPr>
                <w:rFonts w:hint="eastAsia"/>
                <w:lang w:eastAsia="zh-CN"/>
              </w:rPr>
              <w:t xml:space="preserve">with a </w:t>
            </w:r>
            <w:r w:rsidRPr="000A0A5F">
              <w:rPr>
                <w:lang w:eastAsia="zh-CN"/>
              </w:rPr>
              <w:t>"</w:t>
            </w:r>
            <w:r w:rsidRPr="000A0A5F">
              <w:rPr>
                <w:rFonts w:hint="eastAsia"/>
                <w:lang w:eastAsia="zh-CN"/>
              </w:rPr>
              <w:t>TERMINATE</w:t>
            </w:r>
            <w:r w:rsidRPr="000A0A5F">
              <w:rPr>
                <w:lang w:eastAsia="zh-CN"/>
              </w:rPr>
              <w:t>"</w:t>
            </w:r>
            <w:r w:rsidRPr="000A0A5F">
              <w:rPr>
                <w:rFonts w:hint="eastAsia"/>
                <w:lang w:eastAsia="zh-CN"/>
              </w:rPr>
              <w:t xml:space="preserve"> status in the response body.</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rPr>
                <w:lang w:eastAsia="zh-CN"/>
              </w:rPr>
              <w:t>N</w:t>
            </w:r>
            <w:r w:rsidRPr="000A0A5F">
              <w:rPr>
                <w:rFonts w:hint="eastAsia"/>
                <w:lang w:eastAsia="zh-CN"/>
              </w:rPr>
              <w:t>one</w:t>
            </w:r>
          </w:p>
        </w:tc>
        <w:tc>
          <w:tcPr>
            <w:tcW w:w="541" w:type="pct"/>
          </w:tcPr>
          <w:p w:rsidR="00CB0DD7" w:rsidRPr="000A0A5F" w:rsidRDefault="00CB0DD7">
            <w:pPr>
              <w:pStyle w:val="TAL"/>
              <w:rPr>
                <w:rFonts w:hint="eastAsia"/>
                <w:lang w:eastAsia="zh-CN"/>
              </w:rPr>
            </w:pPr>
          </w:p>
        </w:tc>
        <w:tc>
          <w:tcPr>
            <w:tcW w:w="500" w:type="pct"/>
          </w:tcPr>
          <w:p w:rsidR="00CB0DD7" w:rsidRPr="000A0A5F" w:rsidRDefault="00CB0DD7">
            <w:pPr>
              <w:pStyle w:val="TAL"/>
              <w:rPr>
                <w:rFonts w:hint="eastAsia"/>
                <w:lang w:eastAsia="zh-CN"/>
              </w:rPr>
            </w:pPr>
            <w:r w:rsidRPr="000A0A5F">
              <w:rPr>
                <w:rFonts w:hint="eastAsia"/>
                <w:lang w:eastAsia="zh-CN"/>
              </w:rPr>
              <w:t>204 No Content</w:t>
            </w:r>
          </w:p>
        </w:tc>
        <w:tc>
          <w:tcPr>
            <w:tcW w:w="2334" w:type="pct"/>
          </w:tcPr>
          <w:p w:rsidR="00CB0DD7" w:rsidRPr="000A0A5F" w:rsidRDefault="009F3663">
            <w:pPr>
              <w:pStyle w:val="TAL"/>
              <w:rPr>
                <w:rFonts w:hint="eastAsia"/>
              </w:rPr>
            </w:pPr>
            <w:r w:rsidRPr="000A0A5F">
              <w:t xml:space="preserve">The </w:t>
            </w:r>
            <w:r w:rsidRPr="000A0A5F">
              <w:rPr>
                <w:rFonts w:hint="eastAsia"/>
                <w:lang w:eastAsia="zh-CN"/>
              </w:rPr>
              <w:t xml:space="preserve">Device Triggering </w:t>
            </w:r>
            <w:r w:rsidRPr="000A0A5F">
              <w:t xml:space="preserve">was </w:t>
            </w:r>
            <w:r w:rsidRPr="000A0A5F">
              <w:rPr>
                <w:lang w:eastAsia="zh-CN"/>
              </w:rPr>
              <w:t>cancelled</w:t>
            </w:r>
            <w:r w:rsidRPr="000A0A5F">
              <w:t xml:space="preserve"> successfully. </w:t>
            </w:r>
            <w:r w:rsidRPr="000A0A5F">
              <w:rPr>
                <w:rFonts w:hint="eastAsia"/>
                <w:lang w:eastAsia="zh-CN"/>
              </w:rPr>
              <w:t xml:space="preserve">The SCEF shall not return a response </w:t>
            </w:r>
            <w:r w:rsidRPr="000A0A5F">
              <w:rPr>
                <w:lang w:eastAsia="zh-CN"/>
              </w:rPr>
              <w:t>content</w:t>
            </w:r>
            <w:r w:rsidRPr="000A0A5F">
              <w:rPr>
                <w:rFonts w:hint="eastAsia"/>
                <w:lang w:eastAsia="zh-CN"/>
              </w:rPr>
              <w:t>.</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lang w:eastAsia="zh-CN"/>
              </w:rPr>
            </w:pPr>
            <w:r w:rsidRPr="000A0A5F">
              <w:t>none</w:t>
            </w:r>
          </w:p>
        </w:tc>
        <w:tc>
          <w:tcPr>
            <w:tcW w:w="541" w:type="pct"/>
          </w:tcPr>
          <w:p w:rsidR="00CB0DD7" w:rsidRPr="000A0A5F" w:rsidRDefault="00CB0DD7">
            <w:pPr>
              <w:pStyle w:val="TAL"/>
              <w:rPr>
                <w:rFonts w:hint="eastAsia"/>
                <w:lang w:eastAsia="zh-CN"/>
              </w:rPr>
            </w:pPr>
          </w:p>
        </w:tc>
        <w:tc>
          <w:tcPr>
            <w:tcW w:w="500" w:type="pct"/>
          </w:tcPr>
          <w:p w:rsidR="00CB0DD7" w:rsidRPr="000A0A5F" w:rsidRDefault="00CB0DD7">
            <w:pPr>
              <w:pStyle w:val="TAL"/>
              <w:rPr>
                <w:rFonts w:hint="eastAsia"/>
                <w:lang w:eastAsia="zh-CN"/>
              </w:rPr>
            </w:pPr>
            <w:r w:rsidRPr="000A0A5F">
              <w:t>307 Temporary Redirect</w:t>
            </w:r>
          </w:p>
        </w:tc>
        <w:tc>
          <w:tcPr>
            <w:tcW w:w="2334" w:type="pct"/>
          </w:tcPr>
          <w:p w:rsidR="00CB0DD7" w:rsidRPr="000A0A5F" w:rsidRDefault="00CB0DD7">
            <w:pPr>
              <w:pStyle w:val="TAL"/>
            </w:pPr>
            <w:r w:rsidRPr="000A0A5F">
              <w:t>Temporary redirection, during transaction termination. The response shall include a Location header field containing an alternative URI of the resource located in an alternative SCEF.</w:t>
            </w:r>
          </w:p>
          <w:p w:rsidR="00CB0DD7" w:rsidRPr="000A0A5F" w:rsidRDefault="00CB0DD7">
            <w:pPr>
              <w:pStyle w:val="TAL"/>
            </w:pPr>
            <w:r w:rsidRPr="000A0A5F">
              <w:t>Redirection handling is described in clause 5.2.10.</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lang w:eastAsia="zh-CN"/>
              </w:rPr>
            </w:pPr>
            <w:r w:rsidRPr="000A0A5F">
              <w:t>none</w:t>
            </w:r>
          </w:p>
        </w:tc>
        <w:tc>
          <w:tcPr>
            <w:tcW w:w="541" w:type="pct"/>
          </w:tcPr>
          <w:p w:rsidR="00CB0DD7" w:rsidRPr="000A0A5F" w:rsidRDefault="00CB0DD7">
            <w:pPr>
              <w:pStyle w:val="TAL"/>
              <w:rPr>
                <w:rFonts w:hint="eastAsia"/>
                <w:lang w:eastAsia="zh-CN"/>
              </w:rPr>
            </w:pPr>
          </w:p>
        </w:tc>
        <w:tc>
          <w:tcPr>
            <w:tcW w:w="500" w:type="pct"/>
          </w:tcPr>
          <w:p w:rsidR="00CB0DD7" w:rsidRPr="000A0A5F" w:rsidRDefault="00CB0DD7">
            <w:pPr>
              <w:pStyle w:val="TAL"/>
              <w:rPr>
                <w:rFonts w:hint="eastAsia"/>
                <w:lang w:eastAsia="zh-CN"/>
              </w:rPr>
            </w:pPr>
            <w:r w:rsidRPr="000A0A5F">
              <w:t>308 Permanent Redirect</w:t>
            </w:r>
          </w:p>
        </w:tc>
        <w:tc>
          <w:tcPr>
            <w:tcW w:w="2334" w:type="pct"/>
          </w:tcPr>
          <w:p w:rsidR="00CB0DD7" w:rsidRPr="000A0A5F" w:rsidRDefault="00CB0DD7">
            <w:pPr>
              <w:pStyle w:val="TAL"/>
            </w:pPr>
            <w:r w:rsidRPr="000A0A5F">
              <w:t>Permanent redirection, during transaction termination. The response shall include a Location header field containing an alternative URI of the resource located in an alternative SCEF.</w:t>
            </w:r>
          </w:p>
          <w:p w:rsidR="00CB0DD7" w:rsidRPr="000A0A5F" w:rsidRDefault="00CB0DD7">
            <w:pPr>
              <w:pStyle w:val="TAL"/>
            </w:pPr>
            <w:r w:rsidRPr="000A0A5F">
              <w:t>Redirection handling is described in clause 5.2.10.</w:t>
            </w:r>
          </w:p>
        </w:tc>
      </w:tr>
      <w:tr w:rsidR="00CB0DD7" w:rsidRPr="000A0A5F" w:rsidTr="00FF0AF8">
        <w:tc>
          <w:tcPr>
            <w:tcW w:w="5000" w:type="pct"/>
            <w:gridSpan w:val="5"/>
            <w:shd w:val="clear" w:color="auto" w:fill="auto"/>
            <w:vAlign w:val="center"/>
          </w:tcPr>
          <w:p w:rsidR="00CB0DD7" w:rsidRPr="000A0A5F" w:rsidRDefault="00CB0DD7">
            <w:pPr>
              <w:pStyle w:val="TAN"/>
            </w:pPr>
            <w:r w:rsidRPr="000A0A5F">
              <w:t>NOTE:</w:t>
            </w:r>
            <w:r w:rsidRPr="000A0A5F">
              <w:tab/>
              <w:t>The mandatory HTTP error status codes for the DELETE method listed in table 5.2.6-1 also apply.</w:t>
            </w:r>
          </w:p>
        </w:tc>
      </w:tr>
    </w:tbl>
    <w:p w:rsidR="00CB0DD7" w:rsidRPr="000A0A5F" w:rsidRDefault="00CB0DD7"/>
    <w:p w:rsidR="00CB0DD7" w:rsidRPr="000A0A5F" w:rsidRDefault="002E466A">
      <w:pPr>
        <w:pStyle w:val="TH"/>
      </w:pPr>
      <w:r w:rsidRPr="000A0A5F">
        <w:t>Table </w:t>
      </w:r>
      <w:r w:rsidR="00CB0DD7" w:rsidRPr="000A0A5F">
        <w:t>5.7.3.3.3.5-2: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2E466A">
      <w:pPr>
        <w:pStyle w:val="TH"/>
      </w:pPr>
      <w:r w:rsidRPr="000A0A5F">
        <w:t>Table </w:t>
      </w:r>
      <w:r w:rsidR="00CB0DD7" w:rsidRPr="000A0A5F">
        <w:t>5.7.3.3.3.5-3: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CB0DD7">
      <w:pPr>
        <w:pStyle w:val="Heading4"/>
      </w:pPr>
      <w:bookmarkStart w:id="5112" w:name="_Toc11247552"/>
      <w:bookmarkStart w:id="5113" w:name="_Toc27044691"/>
      <w:bookmarkStart w:id="5114" w:name="_Toc36033733"/>
      <w:bookmarkStart w:id="5115" w:name="_Toc45131879"/>
      <w:bookmarkStart w:id="5116" w:name="_Toc49776164"/>
      <w:bookmarkStart w:id="5117" w:name="_Toc51747084"/>
      <w:bookmarkStart w:id="5118" w:name="_Toc66360645"/>
      <w:bookmarkStart w:id="5119" w:name="_Toc68105150"/>
      <w:bookmarkStart w:id="5120" w:name="_Toc74755780"/>
      <w:bookmarkStart w:id="5121" w:name="_Toc105674655"/>
      <w:bookmarkStart w:id="5122" w:name="_Toc130502703"/>
      <w:bookmarkStart w:id="5123" w:name="_Toc153625490"/>
      <w:r w:rsidRPr="000A0A5F">
        <w:t>5.7.3.4</w:t>
      </w:r>
      <w:r w:rsidRPr="000A0A5F">
        <w:tab/>
        <w:t>Void</w:t>
      </w:r>
      <w:bookmarkEnd w:id="5112"/>
      <w:bookmarkEnd w:id="5113"/>
      <w:bookmarkEnd w:id="5114"/>
      <w:bookmarkEnd w:id="5115"/>
      <w:bookmarkEnd w:id="5116"/>
      <w:bookmarkEnd w:id="5117"/>
      <w:bookmarkEnd w:id="5118"/>
      <w:bookmarkEnd w:id="5119"/>
      <w:bookmarkEnd w:id="5120"/>
      <w:bookmarkEnd w:id="5121"/>
      <w:bookmarkEnd w:id="5122"/>
      <w:bookmarkEnd w:id="5123"/>
    </w:p>
    <w:p w:rsidR="00CB0DD7" w:rsidRPr="000A0A5F" w:rsidRDefault="00CB0DD7">
      <w:pPr>
        <w:pStyle w:val="Heading3"/>
      </w:pPr>
      <w:bookmarkStart w:id="5124" w:name="_Toc66360646"/>
      <w:bookmarkStart w:id="5125" w:name="_Toc68105151"/>
      <w:bookmarkStart w:id="5126" w:name="_Toc74755781"/>
      <w:bookmarkStart w:id="5127" w:name="_Toc105674656"/>
      <w:bookmarkStart w:id="5128" w:name="_Toc130502704"/>
      <w:bookmarkStart w:id="5129" w:name="_Toc153625491"/>
      <w:r w:rsidRPr="000A0A5F">
        <w:t>5.7.</w:t>
      </w:r>
      <w:r w:rsidR="00C9682D" w:rsidRPr="000A0A5F">
        <w:t>3A</w:t>
      </w:r>
      <w:r w:rsidRPr="000A0A5F">
        <w:tab/>
        <w:t>Notifications</w:t>
      </w:r>
      <w:bookmarkEnd w:id="5124"/>
      <w:bookmarkEnd w:id="5125"/>
      <w:bookmarkEnd w:id="5126"/>
      <w:bookmarkEnd w:id="5127"/>
      <w:bookmarkEnd w:id="5128"/>
      <w:bookmarkEnd w:id="5129"/>
    </w:p>
    <w:p w:rsidR="00CB0DD7" w:rsidRPr="000A0A5F" w:rsidRDefault="00CB0DD7">
      <w:pPr>
        <w:pStyle w:val="Heading4"/>
      </w:pPr>
      <w:bookmarkStart w:id="5130" w:name="_Toc66360647"/>
      <w:bookmarkStart w:id="5131" w:name="_Toc68105152"/>
      <w:bookmarkStart w:id="5132" w:name="_Toc74755782"/>
      <w:bookmarkStart w:id="5133" w:name="_Toc105674657"/>
      <w:bookmarkStart w:id="5134" w:name="_Toc130502705"/>
      <w:bookmarkStart w:id="5135" w:name="_Toc153625492"/>
      <w:r w:rsidRPr="000A0A5F">
        <w:t>5.7.</w:t>
      </w:r>
      <w:r w:rsidR="00C9682D" w:rsidRPr="000A0A5F">
        <w:t>3A</w:t>
      </w:r>
      <w:r w:rsidRPr="000A0A5F">
        <w:t>.1</w:t>
      </w:r>
      <w:r w:rsidRPr="000A0A5F">
        <w:tab/>
        <w:t>General</w:t>
      </w:r>
      <w:bookmarkEnd w:id="5130"/>
      <w:bookmarkEnd w:id="5131"/>
      <w:bookmarkEnd w:id="5132"/>
      <w:bookmarkEnd w:id="5133"/>
      <w:bookmarkEnd w:id="5134"/>
      <w:bookmarkEnd w:id="5135"/>
    </w:p>
    <w:p w:rsidR="00CB0DD7" w:rsidRPr="000A0A5F" w:rsidRDefault="00CB0DD7">
      <w:r w:rsidRPr="000A0A5F">
        <w:t xml:space="preserve">The notifications provided by the </w:t>
      </w:r>
      <w:r w:rsidRPr="000A0A5F">
        <w:rPr>
          <w:rFonts w:eastAsia="DengXian"/>
          <w:lang w:eastAsia="zh-CN"/>
        </w:rPr>
        <w:t>DeviceTriggering</w:t>
      </w:r>
      <w:r w:rsidRPr="000A0A5F">
        <w:t xml:space="preserve"> API are specified in this clause.</w:t>
      </w:r>
    </w:p>
    <w:p w:rsidR="00CB0DD7" w:rsidRPr="000A0A5F" w:rsidRDefault="002E466A">
      <w:pPr>
        <w:pStyle w:val="TH"/>
      </w:pPr>
      <w:r w:rsidRPr="000A0A5F">
        <w:t>Table </w:t>
      </w:r>
      <w:r w:rsidR="00CB0DD7" w:rsidRPr="000A0A5F">
        <w:t>5.7.</w:t>
      </w:r>
      <w:r w:rsidR="00AC7221" w:rsidRPr="000A0A5F">
        <w:t>3A</w:t>
      </w:r>
      <w:r w:rsidR="00CB0DD7" w:rsidRPr="000A0A5F">
        <w:t>-1: Notifications overview</w:t>
      </w:r>
    </w:p>
    <w:tbl>
      <w:tblPr>
        <w:tblW w:w="4484"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1914"/>
        <w:gridCol w:w="3654"/>
        <w:gridCol w:w="1243"/>
        <w:gridCol w:w="1957"/>
      </w:tblGrid>
      <w:tr w:rsidR="00CB0DD7" w:rsidRPr="000A0A5F" w:rsidTr="00FF0AF8">
        <w:trPr>
          <w:jc w:val="center"/>
        </w:trPr>
        <w:tc>
          <w:tcPr>
            <w:tcW w:w="1091" w:type="pct"/>
            <w:shd w:val="clear" w:color="auto" w:fill="C0C0C0"/>
            <w:vAlign w:val="center"/>
            <w:hideMark/>
          </w:tcPr>
          <w:p w:rsidR="00CB0DD7" w:rsidRPr="000A0A5F" w:rsidRDefault="00CB0DD7">
            <w:pPr>
              <w:pStyle w:val="TAH"/>
            </w:pPr>
            <w:r w:rsidRPr="000A0A5F">
              <w:t>Notification</w:t>
            </w:r>
          </w:p>
        </w:tc>
        <w:tc>
          <w:tcPr>
            <w:tcW w:w="2083" w:type="pct"/>
            <w:shd w:val="clear" w:color="auto" w:fill="C0C0C0"/>
            <w:vAlign w:val="center"/>
            <w:hideMark/>
          </w:tcPr>
          <w:p w:rsidR="00CB0DD7" w:rsidRPr="000A0A5F" w:rsidRDefault="00CB0DD7">
            <w:pPr>
              <w:pStyle w:val="TAH"/>
            </w:pPr>
            <w:r w:rsidRPr="000A0A5F">
              <w:t>Callback URI</w:t>
            </w:r>
          </w:p>
        </w:tc>
        <w:tc>
          <w:tcPr>
            <w:tcW w:w="709" w:type="pct"/>
            <w:shd w:val="clear" w:color="auto" w:fill="C0C0C0"/>
            <w:vAlign w:val="center"/>
            <w:hideMark/>
          </w:tcPr>
          <w:p w:rsidR="00CB0DD7" w:rsidRPr="000A0A5F" w:rsidRDefault="00CB0DD7">
            <w:pPr>
              <w:pStyle w:val="TAH"/>
            </w:pPr>
            <w:r w:rsidRPr="000A0A5F">
              <w:t>HTTP method or custom operation</w:t>
            </w:r>
          </w:p>
        </w:tc>
        <w:tc>
          <w:tcPr>
            <w:tcW w:w="1116" w:type="pct"/>
            <w:shd w:val="clear" w:color="auto" w:fill="C0C0C0"/>
            <w:vAlign w:val="center"/>
            <w:hideMark/>
          </w:tcPr>
          <w:p w:rsidR="00CB0DD7" w:rsidRPr="000A0A5F" w:rsidRDefault="00CB0DD7">
            <w:pPr>
              <w:pStyle w:val="TAH"/>
            </w:pPr>
            <w:r w:rsidRPr="000A0A5F">
              <w:t>Description</w:t>
            </w:r>
          </w:p>
          <w:p w:rsidR="00CB0DD7" w:rsidRPr="000A0A5F" w:rsidRDefault="00CB0DD7">
            <w:pPr>
              <w:pStyle w:val="TAH"/>
            </w:pPr>
            <w:r w:rsidRPr="000A0A5F">
              <w:t>(service operation)</w:t>
            </w:r>
          </w:p>
        </w:tc>
      </w:tr>
      <w:tr w:rsidR="00CB0DD7" w:rsidRPr="000A0A5F" w:rsidTr="00FF0AF8">
        <w:trPr>
          <w:jc w:val="center"/>
        </w:trPr>
        <w:tc>
          <w:tcPr>
            <w:tcW w:w="1091" w:type="pct"/>
          </w:tcPr>
          <w:p w:rsidR="00CB0DD7" w:rsidRPr="000A0A5F" w:rsidRDefault="00CB0DD7">
            <w:pPr>
              <w:pStyle w:val="TAC"/>
              <w:jc w:val="left"/>
              <w:rPr>
                <w:lang w:val="en-US"/>
              </w:rPr>
            </w:pPr>
            <w:r w:rsidRPr="000A0A5F">
              <w:rPr>
                <w:rFonts w:hint="eastAsia"/>
                <w:lang w:eastAsia="zh-CN"/>
              </w:rPr>
              <w:t>Device Triggering Delivery Report Notification</w:t>
            </w:r>
          </w:p>
        </w:tc>
        <w:tc>
          <w:tcPr>
            <w:tcW w:w="2083" w:type="pct"/>
          </w:tcPr>
          <w:p w:rsidR="00CB0DD7" w:rsidRPr="000A0A5F" w:rsidRDefault="00CB0DD7">
            <w:pPr>
              <w:pStyle w:val="TAL"/>
              <w:rPr>
                <w:lang w:val="en-US"/>
              </w:rPr>
            </w:pPr>
            <w:r w:rsidRPr="000A0A5F">
              <w:t>{notification_uri}</w:t>
            </w:r>
          </w:p>
        </w:tc>
        <w:tc>
          <w:tcPr>
            <w:tcW w:w="709" w:type="pct"/>
          </w:tcPr>
          <w:p w:rsidR="00CB0DD7" w:rsidRPr="000A0A5F" w:rsidRDefault="00CB0DD7">
            <w:pPr>
              <w:pStyle w:val="TAC"/>
              <w:rPr>
                <w:lang w:val="fr-FR"/>
              </w:rPr>
            </w:pPr>
            <w:r w:rsidRPr="000A0A5F">
              <w:rPr>
                <w:rFonts w:hint="eastAsia"/>
                <w:lang w:eastAsia="zh-CN"/>
              </w:rPr>
              <w:t>POST</w:t>
            </w:r>
          </w:p>
        </w:tc>
        <w:tc>
          <w:tcPr>
            <w:tcW w:w="1116" w:type="pct"/>
          </w:tcPr>
          <w:p w:rsidR="00CB0DD7" w:rsidRPr="000A0A5F" w:rsidRDefault="00CB0DD7">
            <w:pPr>
              <w:pStyle w:val="TAL"/>
              <w:rPr>
                <w:lang w:val="en-US"/>
              </w:rPr>
            </w:pPr>
            <w:r w:rsidRPr="000A0A5F">
              <w:rPr>
                <w:rFonts w:hint="eastAsia"/>
                <w:noProof/>
                <w:lang w:eastAsia="zh-CN"/>
              </w:rPr>
              <w:t>Report a device triggering delivery report to SCS/AS</w:t>
            </w:r>
            <w:r w:rsidRPr="000A0A5F">
              <w:rPr>
                <w:noProof/>
                <w:lang w:eastAsia="zh-CN"/>
              </w:rPr>
              <w:t>.</w:t>
            </w:r>
          </w:p>
        </w:tc>
      </w:tr>
    </w:tbl>
    <w:p w:rsidR="00CB0DD7" w:rsidRPr="000A0A5F" w:rsidRDefault="00CB0DD7"/>
    <w:p w:rsidR="00CB0DD7" w:rsidRPr="000A0A5F" w:rsidRDefault="00CB0DD7">
      <w:pPr>
        <w:pStyle w:val="Heading4"/>
      </w:pPr>
      <w:bookmarkStart w:id="5136" w:name="_Toc66360648"/>
      <w:bookmarkStart w:id="5137" w:name="_Toc68105153"/>
      <w:bookmarkStart w:id="5138" w:name="_Toc74755783"/>
      <w:bookmarkStart w:id="5139" w:name="_Toc105674658"/>
      <w:bookmarkStart w:id="5140" w:name="_Toc130502706"/>
      <w:bookmarkStart w:id="5141" w:name="_Toc153625493"/>
      <w:r w:rsidRPr="000A0A5F">
        <w:t>5.7.</w:t>
      </w:r>
      <w:r w:rsidR="00AC7221" w:rsidRPr="000A0A5F">
        <w:t>3A</w:t>
      </w:r>
      <w:r w:rsidRPr="000A0A5F">
        <w:t>.2</w:t>
      </w:r>
      <w:r w:rsidRPr="000A0A5F">
        <w:tab/>
        <w:t>Device Triggering Delivery Report Notification</w:t>
      </w:r>
      <w:bookmarkEnd w:id="5136"/>
      <w:bookmarkEnd w:id="5137"/>
      <w:bookmarkEnd w:id="5138"/>
      <w:bookmarkEnd w:id="5139"/>
      <w:bookmarkEnd w:id="5140"/>
      <w:bookmarkEnd w:id="5141"/>
    </w:p>
    <w:p w:rsidR="00CB0DD7" w:rsidRPr="000A0A5F" w:rsidRDefault="00CB0DD7">
      <w:pPr>
        <w:pStyle w:val="Heading5"/>
        <w:rPr>
          <w:noProof/>
        </w:rPr>
      </w:pPr>
      <w:bookmarkStart w:id="5142" w:name="_Toc66360649"/>
      <w:bookmarkStart w:id="5143" w:name="_Toc68105154"/>
      <w:bookmarkStart w:id="5144" w:name="_Toc74755784"/>
      <w:bookmarkStart w:id="5145" w:name="_Toc105674659"/>
      <w:bookmarkStart w:id="5146" w:name="_Toc130502707"/>
      <w:bookmarkStart w:id="5147" w:name="_Toc153625494"/>
      <w:r w:rsidRPr="000A0A5F">
        <w:t>5.7.</w:t>
      </w:r>
      <w:r w:rsidR="00AC7221" w:rsidRPr="000A0A5F">
        <w:t>3A</w:t>
      </w:r>
      <w:r w:rsidRPr="000A0A5F">
        <w:t>.2</w:t>
      </w:r>
      <w:r w:rsidRPr="000A0A5F">
        <w:rPr>
          <w:noProof/>
        </w:rPr>
        <w:t>.1</w:t>
      </w:r>
      <w:r w:rsidRPr="000A0A5F">
        <w:rPr>
          <w:noProof/>
        </w:rPr>
        <w:tab/>
        <w:t>Description</w:t>
      </w:r>
      <w:bookmarkEnd w:id="5142"/>
      <w:bookmarkEnd w:id="5143"/>
      <w:bookmarkEnd w:id="5144"/>
      <w:bookmarkEnd w:id="5145"/>
      <w:bookmarkEnd w:id="5146"/>
      <w:bookmarkEnd w:id="5147"/>
    </w:p>
    <w:p w:rsidR="00CB0DD7" w:rsidRPr="000A0A5F" w:rsidRDefault="00CB0DD7">
      <w:pPr>
        <w:rPr>
          <w:noProof/>
          <w:lang w:eastAsia="zh-CN"/>
        </w:rPr>
      </w:pPr>
      <w:r w:rsidRPr="000A0A5F">
        <w:rPr>
          <w:noProof/>
          <w:lang w:eastAsia="zh-CN"/>
        </w:rPr>
        <w:t xml:space="preserve">The </w:t>
      </w:r>
      <w:r w:rsidRPr="000A0A5F">
        <w:t>Device Triggering Delivery Report Notification</w:t>
      </w:r>
      <w:r w:rsidRPr="000A0A5F">
        <w:rPr>
          <w:noProof/>
          <w:lang w:eastAsia="zh-CN"/>
        </w:rPr>
        <w:t xml:space="preserve"> allows t</w:t>
      </w:r>
      <w:r w:rsidRPr="000A0A5F">
        <w:rPr>
          <w:rFonts w:hint="eastAsia"/>
          <w:noProof/>
          <w:lang w:eastAsia="zh-CN"/>
        </w:rPr>
        <w:t xml:space="preserve">he </w:t>
      </w:r>
      <w:r w:rsidRPr="000A0A5F">
        <w:rPr>
          <w:noProof/>
          <w:lang w:eastAsia="zh-CN"/>
        </w:rPr>
        <w:t xml:space="preserve">SCEF to send notifications about device triggering delivery report events to the </w:t>
      </w:r>
      <w:r w:rsidRPr="000A0A5F">
        <w:rPr>
          <w:rFonts w:hint="eastAsia"/>
          <w:noProof/>
          <w:lang w:eastAsia="zh-CN"/>
        </w:rPr>
        <w:t>SCS/AS</w:t>
      </w:r>
      <w:r w:rsidRPr="000A0A5F">
        <w:rPr>
          <w:noProof/>
          <w:lang w:eastAsia="zh-CN"/>
        </w:rPr>
        <w:t xml:space="preserve">. </w:t>
      </w:r>
    </w:p>
    <w:p w:rsidR="00CB0DD7" w:rsidRPr="000A0A5F" w:rsidRDefault="00CB0DD7">
      <w:pPr>
        <w:pStyle w:val="Heading5"/>
        <w:rPr>
          <w:noProof/>
        </w:rPr>
      </w:pPr>
      <w:bookmarkStart w:id="5148" w:name="_Toc66360650"/>
      <w:bookmarkStart w:id="5149" w:name="_Toc68105155"/>
      <w:bookmarkStart w:id="5150" w:name="_Toc74755785"/>
      <w:bookmarkStart w:id="5151" w:name="_Toc105674660"/>
      <w:bookmarkStart w:id="5152" w:name="_Toc130502708"/>
      <w:bookmarkStart w:id="5153" w:name="_Toc153625495"/>
      <w:r w:rsidRPr="000A0A5F">
        <w:t>5.7.</w:t>
      </w:r>
      <w:r w:rsidR="00AC7221" w:rsidRPr="000A0A5F">
        <w:t>3A</w:t>
      </w:r>
      <w:r w:rsidRPr="000A0A5F">
        <w:t>.2</w:t>
      </w:r>
      <w:r w:rsidRPr="000A0A5F">
        <w:rPr>
          <w:noProof/>
        </w:rPr>
        <w:t>.2</w:t>
      </w:r>
      <w:r w:rsidRPr="000A0A5F">
        <w:rPr>
          <w:noProof/>
        </w:rPr>
        <w:tab/>
        <w:t>Target URI</w:t>
      </w:r>
      <w:bookmarkEnd w:id="5148"/>
      <w:bookmarkEnd w:id="5149"/>
      <w:bookmarkEnd w:id="5150"/>
      <w:bookmarkEnd w:id="5151"/>
      <w:bookmarkEnd w:id="5152"/>
      <w:bookmarkEnd w:id="5153"/>
    </w:p>
    <w:p w:rsidR="00CB0DD7" w:rsidRPr="000A0A5F" w:rsidRDefault="00CB0DD7">
      <w:pPr>
        <w:rPr>
          <w:rFonts w:ascii="Arial" w:hAnsi="Arial" w:cs="Arial"/>
          <w:noProof/>
        </w:rPr>
      </w:pPr>
      <w:r w:rsidRPr="000A0A5F">
        <w:rPr>
          <w:noProof/>
        </w:rPr>
        <w:t xml:space="preserve">The Callback URI </w:t>
      </w:r>
      <w:r w:rsidRPr="000A0A5F">
        <w:rPr>
          <w:b/>
          <w:noProof/>
        </w:rPr>
        <w:t>"{</w:t>
      </w:r>
      <w:r w:rsidRPr="000A0A5F">
        <w:t>notification_uri</w:t>
      </w:r>
      <w:r w:rsidRPr="000A0A5F">
        <w:rPr>
          <w:b/>
          <w:noProof/>
        </w:rPr>
        <w:t>}"</w:t>
      </w:r>
      <w:r w:rsidRPr="000A0A5F">
        <w:rPr>
          <w:noProof/>
        </w:rPr>
        <w:t xml:space="preserve"> shall be used with the callback URI variables defined in table </w:t>
      </w:r>
      <w:r w:rsidRPr="000A0A5F">
        <w:t>5.7.</w:t>
      </w:r>
      <w:r w:rsidR="00AC7221" w:rsidRPr="000A0A5F">
        <w:t>3A</w:t>
      </w:r>
      <w:r w:rsidRPr="000A0A5F">
        <w:t>.2</w:t>
      </w:r>
      <w:r w:rsidRPr="000A0A5F">
        <w:rPr>
          <w:noProof/>
        </w:rPr>
        <w:t>.2-1</w:t>
      </w:r>
      <w:r w:rsidRPr="000A0A5F">
        <w:rPr>
          <w:rFonts w:ascii="Arial" w:hAnsi="Arial" w:cs="Arial"/>
          <w:noProof/>
        </w:rPr>
        <w:t>.</w:t>
      </w:r>
    </w:p>
    <w:p w:rsidR="00CB0DD7" w:rsidRPr="000A0A5F" w:rsidRDefault="00CB0DD7">
      <w:pPr>
        <w:pStyle w:val="TH"/>
        <w:rPr>
          <w:rFonts w:cs="Arial"/>
          <w:noProof/>
        </w:rPr>
      </w:pPr>
      <w:r w:rsidRPr="000A0A5F">
        <w:rPr>
          <w:noProof/>
        </w:rPr>
        <w:t>Table </w:t>
      </w:r>
      <w:r w:rsidRPr="000A0A5F">
        <w:t>5.7.</w:t>
      </w:r>
      <w:r w:rsidR="00AC7221" w:rsidRPr="000A0A5F">
        <w:t>3A</w:t>
      </w:r>
      <w:r w:rsidRPr="000A0A5F">
        <w:t>.2</w:t>
      </w:r>
      <w:r w:rsidRPr="000A0A5F">
        <w:rPr>
          <w:noProof/>
        </w:rPr>
        <w:t>.2-1: Callback URI variables</w:t>
      </w:r>
    </w:p>
    <w:tbl>
      <w:tblPr>
        <w:tblW w:w="494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970"/>
        <w:gridCol w:w="1312"/>
        <w:gridCol w:w="6378"/>
      </w:tblGrid>
      <w:tr w:rsidR="00CB0DD7" w:rsidRPr="000A0A5F" w:rsidTr="00FF0AF8">
        <w:trPr>
          <w:jc w:val="center"/>
        </w:trPr>
        <w:tc>
          <w:tcPr>
            <w:tcW w:w="1020" w:type="pct"/>
            <w:shd w:val="clear" w:color="000000" w:fill="C0C0C0"/>
          </w:tcPr>
          <w:p w:rsidR="00CB0DD7" w:rsidRPr="000A0A5F" w:rsidRDefault="00CB0DD7">
            <w:pPr>
              <w:pStyle w:val="TAH"/>
            </w:pPr>
            <w:r w:rsidRPr="000A0A5F">
              <w:t>Name</w:t>
            </w:r>
          </w:p>
        </w:tc>
        <w:tc>
          <w:tcPr>
            <w:tcW w:w="679" w:type="pct"/>
            <w:shd w:val="clear" w:color="000000" w:fill="C0C0C0"/>
          </w:tcPr>
          <w:p w:rsidR="00CB0DD7" w:rsidRPr="000A0A5F" w:rsidRDefault="00CB0DD7">
            <w:pPr>
              <w:pStyle w:val="TAH"/>
            </w:pPr>
            <w:r w:rsidRPr="000A0A5F">
              <w:rPr>
                <w:rFonts w:hint="eastAsia"/>
                <w:lang w:eastAsia="zh-CN"/>
              </w:rPr>
              <w:t>D</w:t>
            </w:r>
            <w:r w:rsidRPr="000A0A5F">
              <w:rPr>
                <w:lang w:eastAsia="zh-CN"/>
              </w:rPr>
              <w:t>ata type</w:t>
            </w:r>
          </w:p>
        </w:tc>
        <w:tc>
          <w:tcPr>
            <w:tcW w:w="3301" w:type="pct"/>
            <w:shd w:val="clear" w:color="000000" w:fill="C0C0C0"/>
            <w:vAlign w:val="center"/>
          </w:tcPr>
          <w:p w:rsidR="00CB0DD7" w:rsidRPr="000A0A5F" w:rsidRDefault="00CB0DD7">
            <w:pPr>
              <w:pStyle w:val="TAH"/>
            </w:pPr>
            <w:r w:rsidRPr="000A0A5F">
              <w:t>Definition</w:t>
            </w:r>
          </w:p>
        </w:tc>
      </w:tr>
      <w:tr w:rsidR="00CB0DD7" w:rsidRPr="000A0A5F" w:rsidTr="00FF0AF8">
        <w:trPr>
          <w:jc w:val="center"/>
        </w:trPr>
        <w:tc>
          <w:tcPr>
            <w:tcW w:w="1020" w:type="pct"/>
            <w:shd w:val="clear" w:color="auto" w:fill="auto"/>
          </w:tcPr>
          <w:p w:rsidR="00CB0DD7" w:rsidRPr="000A0A5F" w:rsidRDefault="00CB0DD7">
            <w:pPr>
              <w:pStyle w:val="TAL"/>
              <w:rPr>
                <w:lang w:eastAsia="zh-CN"/>
              </w:rPr>
            </w:pPr>
            <w:r w:rsidRPr="000A0A5F">
              <w:t>notification_uri</w:t>
            </w:r>
          </w:p>
        </w:tc>
        <w:tc>
          <w:tcPr>
            <w:tcW w:w="679" w:type="pct"/>
          </w:tcPr>
          <w:p w:rsidR="00CB0DD7" w:rsidRPr="000A0A5F" w:rsidRDefault="00CB0DD7">
            <w:pPr>
              <w:pStyle w:val="TAL"/>
            </w:pPr>
            <w:r w:rsidRPr="000A0A5F">
              <w:rPr>
                <w:lang w:eastAsia="zh-CN"/>
              </w:rPr>
              <w:t>Link</w:t>
            </w:r>
          </w:p>
        </w:tc>
        <w:tc>
          <w:tcPr>
            <w:tcW w:w="3301" w:type="pct"/>
            <w:shd w:val="clear" w:color="auto" w:fill="auto"/>
            <w:vAlign w:val="center"/>
          </w:tcPr>
          <w:p w:rsidR="00CB0DD7" w:rsidRPr="000A0A5F" w:rsidRDefault="00CB0DD7">
            <w:pPr>
              <w:pStyle w:val="TAL"/>
              <w:rPr>
                <w:rFonts w:cs="Arial"/>
                <w:szCs w:val="18"/>
                <w:lang w:eastAsia="zh-CN"/>
              </w:rPr>
            </w:pPr>
            <w:r w:rsidRPr="000A0A5F">
              <w:rPr>
                <w:rFonts w:cs="Arial" w:hint="eastAsia"/>
                <w:szCs w:val="18"/>
                <w:lang w:eastAsia="zh-CN"/>
              </w:rPr>
              <w:t xml:space="preserve">A URI indicating the notification destination </w:t>
            </w:r>
            <w:r w:rsidRPr="000A0A5F">
              <w:rPr>
                <w:rFonts w:cs="Arial"/>
                <w:szCs w:val="18"/>
                <w:lang w:eastAsia="zh-CN"/>
              </w:rPr>
              <w:t xml:space="preserve">URI where </w:t>
            </w:r>
            <w:r w:rsidRPr="000A0A5F">
              <w:rPr>
                <w:rFonts w:cs="Arial" w:hint="eastAsia"/>
                <w:szCs w:val="18"/>
                <w:lang w:eastAsia="zh-CN"/>
              </w:rPr>
              <w:t xml:space="preserve">T8 </w:t>
            </w:r>
            <w:r w:rsidRPr="000A0A5F">
              <w:rPr>
                <w:rFonts w:cs="Arial"/>
                <w:szCs w:val="18"/>
                <w:lang w:eastAsia="zh-CN"/>
              </w:rPr>
              <w:t>notification requests shall be delivered</w:t>
            </w:r>
            <w:r w:rsidRPr="000A0A5F">
              <w:rPr>
                <w:rFonts w:cs="Arial" w:hint="eastAsia"/>
                <w:szCs w:val="18"/>
                <w:lang w:eastAsia="zh-CN"/>
              </w:rPr>
              <w:t>.</w:t>
            </w:r>
          </w:p>
          <w:p w:rsidR="00CB0DD7" w:rsidRPr="000A0A5F" w:rsidRDefault="00CB0DD7">
            <w:pPr>
              <w:pStyle w:val="TAL"/>
            </w:pPr>
            <w:r w:rsidRPr="000A0A5F">
              <w:rPr>
                <w:rFonts w:cs="Arial"/>
                <w:szCs w:val="18"/>
                <w:lang w:eastAsia="zh-CN"/>
              </w:rPr>
              <w:t>This URI shall be provided within the "notificationDestination" attribute in the DeviceTriggering type.</w:t>
            </w:r>
          </w:p>
        </w:tc>
      </w:tr>
    </w:tbl>
    <w:p w:rsidR="00CB0DD7" w:rsidRPr="000A0A5F" w:rsidRDefault="00CB0DD7"/>
    <w:p w:rsidR="00CB0DD7" w:rsidRPr="000A0A5F" w:rsidRDefault="00CB0DD7">
      <w:pPr>
        <w:pStyle w:val="Heading5"/>
        <w:rPr>
          <w:noProof/>
        </w:rPr>
      </w:pPr>
      <w:bookmarkStart w:id="5154" w:name="_Toc66360651"/>
      <w:bookmarkStart w:id="5155" w:name="_Toc68105156"/>
      <w:bookmarkStart w:id="5156" w:name="_Toc74755786"/>
      <w:bookmarkStart w:id="5157" w:name="_Toc105674661"/>
      <w:bookmarkStart w:id="5158" w:name="_Toc130502709"/>
      <w:bookmarkStart w:id="5159" w:name="_Toc153625496"/>
      <w:r w:rsidRPr="000A0A5F">
        <w:t>5.7.</w:t>
      </w:r>
      <w:r w:rsidR="00AC7221" w:rsidRPr="000A0A5F">
        <w:t>3A</w:t>
      </w:r>
      <w:r w:rsidRPr="000A0A5F">
        <w:t>.2</w:t>
      </w:r>
      <w:r w:rsidRPr="000A0A5F">
        <w:rPr>
          <w:noProof/>
        </w:rPr>
        <w:t>.3</w:t>
      </w:r>
      <w:r w:rsidRPr="000A0A5F">
        <w:rPr>
          <w:noProof/>
        </w:rPr>
        <w:tab/>
        <w:t>Standard Methods</w:t>
      </w:r>
      <w:bookmarkEnd w:id="5154"/>
      <w:bookmarkEnd w:id="5155"/>
      <w:bookmarkEnd w:id="5156"/>
      <w:bookmarkEnd w:id="5157"/>
      <w:bookmarkEnd w:id="5158"/>
      <w:bookmarkEnd w:id="5159"/>
    </w:p>
    <w:p w:rsidR="00CB0DD7" w:rsidRPr="000A0A5F" w:rsidRDefault="00CB0DD7">
      <w:pPr>
        <w:pStyle w:val="Heading6"/>
        <w:rPr>
          <w:noProof/>
        </w:rPr>
      </w:pPr>
      <w:bookmarkStart w:id="5160" w:name="_Toc66360652"/>
      <w:bookmarkStart w:id="5161" w:name="_Toc68105157"/>
      <w:bookmarkStart w:id="5162" w:name="_Toc74755787"/>
      <w:bookmarkStart w:id="5163" w:name="_Toc105674662"/>
      <w:bookmarkStart w:id="5164" w:name="_Toc130502710"/>
      <w:bookmarkStart w:id="5165" w:name="_Toc153625497"/>
      <w:r w:rsidRPr="000A0A5F">
        <w:t>5.7.</w:t>
      </w:r>
      <w:r w:rsidR="00AC7221" w:rsidRPr="000A0A5F">
        <w:t>3A</w:t>
      </w:r>
      <w:r w:rsidRPr="000A0A5F">
        <w:t>.2.3</w:t>
      </w:r>
      <w:r w:rsidRPr="000A0A5F">
        <w:rPr>
          <w:noProof/>
        </w:rPr>
        <w:t>.1</w:t>
      </w:r>
      <w:r w:rsidRPr="000A0A5F">
        <w:rPr>
          <w:noProof/>
        </w:rPr>
        <w:tab/>
      </w:r>
      <w:r w:rsidRPr="000A0A5F">
        <w:t>Notification via POST</w:t>
      </w:r>
      <w:bookmarkEnd w:id="5160"/>
      <w:bookmarkEnd w:id="5161"/>
      <w:bookmarkEnd w:id="5162"/>
      <w:bookmarkEnd w:id="5163"/>
      <w:bookmarkEnd w:id="5164"/>
      <w:bookmarkEnd w:id="5165"/>
    </w:p>
    <w:p w:rsidR="00CB0DD7" w:rsidRPr="000A0A5F" w:rsidRDefault="00CB0DD7">
      <w:r w:rsidRPr="000A0A5F">
        <w:t xml:space="preserve">To </w:t>
      </w:r>
      <w:r w:rsidRPr="000A0A5F">
        <w:rPr>
          <w:rFonts w:hint="eastAsia"/>
          <w:lang w:eastAsia="zh-CN"/>
        </w:rPr>
        <w:t xml:space="preserve">report the delivery status of the </w:t>
      </w:r>
      <w:r w:rsidRPr="000A0A5F">
        <w:rPr>
          <w:lang w:eastAsia="zh-CN"/>
        </w:rPr>
        <w:t>device trigging delivery</w:t>
      </w:r>
      <w:r w:rsidRPr="000A0A5F">
        <w:t xml:space="preserve">, the </w:t>
      </w:r>
      <w:r w:rsidRPr="000A0A5F">
        <w:rPr>
          <w:rFonts w:hint="eastAsia"/>
          <w:lang w:eastAsia="zh-CN"/>
        </w:rPr>
        <w:t xml:space="preserve">SCEF </w:t>
      </w:r>
      <w:r w:rsidRPr="000A0A5F">
        <w:t xml:space="preserve">shall use the HTTP POST method on the </w:t>
      </w:r>
      <w:r w:rsidRPr="000A0A5F">
        <w:rPr>
          <w:rFonts w:hint="eastAsia"/>
          <w:lang w:eastAsia="zh-CN"/>
        </w:rPr>
        <w:t>notification endpoint</w:t>
      </w:r>
      <w:r w:rsidRPr="000A0A5F">
        <w:t xml:space="preserve"> as follows:</w:t>
      </w:r>
    </w:p>
    <w:p w:rsidR="00CB0DD7" w:rsidRPr="000A0A5F" w:rsidRDefault="00CB0DD7">
      <w:pPr>
        <w:ind w:firstLine="284"/>
        <w:rPr>
          <w:lang w:eastAsia="zh-CN"/>
        </w:rPr>
      </w:pPr>
      <w:r w:rsidRPr="000A0A5F">
        <w:t>-</w:t>
      </w:r>
      <w:r w:rsidRPr="000A0A5F">
        <w:tab/>
        <w:t>the body of the message is encoded in JSON format</w:t>
      </w:r>
      <w:r w:rsidRPr="000A0A5F">
        <w:rPr>
          <w:rFonts w:hint="eastAsia"/>
          <w:lang w:eastAsia="zh-CN"/>
        </w:rPr>
        <w:t xml:space="preserve"> with the data structure defined in table</w:t>
      </w:r>
      <w:r w:rsidRPr="000A0A5F">
        <w:rPr>
          <w:rFonts w:ascii="Segoe UI Symbol" w:hAnsi="Segoe UI Symbol"/>
          <w:lang w:val="en-US" w:eastAsia="zh-CN"/>
        </w:rPr>
        <w:t> </w:t>
      </w:r>
      <w:r w:rsidRPr="000A0A5F">
        <w:rPr>
          <w:rFonts w:hint="eastAsia"/>
          <w:lang w:eastAsia="zh-CN"/>
        </w:rPr>
        <w:t>5.7.2.1.4-1.</w:t>
      </w:r>
    </w:p>
    <w:p w:rsidR="00CB0DD7" w:rsidRPr="000A0A5F" w:rsidRDefault="00CB0DD7">
      <w:pPr>
        <w:rPr>
          <w:noProof/>
        </w:rPr>
      </w:pPr>
      <w:r w:rsidRPr="000A0A5F">
        <w:rPr>
          <w:noProof/>
        </w:rPr>
        <w:t>This method shall support the request data structures specified in table </w:t>
      </w:r>
      <w:r w:rsidRPr="000A0A5F">
        <w:t>5.7.</w:t>
      </w:r>
      <w:r w:rsidR="00AC7221" w:rsidRPr="000A0A5F">
        <w:t>3A</w:t>
      </w:r>
      <w:r w:rsidRPr="000A0A5F">
        <w:t>.2</w:t>
      </w:r>
      <w:r w:rsidRPr="000A0A5F">
        <w:rPr>
          <w:noProof/>
        </w:rPr>
        <w:t>.3.1-1 and the response data structures and response codes specified in table </w:t>
      </w:r>
      <w:r w:rsidRPr="000A0A5F">
        <w:t>5.7.</w:t>
      </w:r>
      <w:r w:rsidR="00AC7221" w:rsidRPr="000A0A5F">
        <w:t>3A</w:t>
      </w:r>
      <w:r w:rsidRPr="000A0A5F">
        <w:t>.2</w:t>
      </w:r>
      <w:r w:rsidRPr="000A0A5F">
        <w:rPr>
          <w:noProof/>
        </w:rPr>
        <w:t>.3.1-2.</w:t>
      </w:r>
    </w:p>
    <w:p w:rsidR="00CB0DD7" w:rsidRPr="000A0A5F" w:rsidRDefault="00CB0DD7">
      <w:pPr>
        <w:pStyle w:val="TH"/>
        <w:rPr>
          <w:noProof/>
        </w:rPr>
      </w:pPr>
      <w:r w:rsidRPr="000A0A5F">
        <w:rPr>
          <w:noProof/>
        </w:rPr>
        <w:t>Table </w:t>
      </w:r>
      <w:r w:rsidRPr="000A0A5F">
        <w:t>5.7.</w:t>
      </w:r>
      <w:r w:rsidR="00AC7221" w:rsidRPr="000A0A5F">
        <w:t>3A</w:t>
      </w:r>
      <w:r w:rsidRPr="000A0A5F">
        <w:t>.2</w:t>
      </w:r>
      <w:r w:rsidRPr="000A0A5F">
        <w:rPr>
          <w:noProof/>
        </w:rPr>
        <w:t>.3.1-1: Data structures supported by the POST Request Body</w:t>
      </w:r>
    </w:p>
    <w:tbl>
      <w:tblPr>
        <w:tblW w:w="9670" w:type="dxa"/>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3340"/>
        <w:gridCol w:w="1170"/>
        <w:gridCol w:w="5160"/>
      </w:tblGrid>
      <w:tr w:rsidR="00CB0DD7" w:rsidRPr="000A0A5F" w:rsidTr="00846044">
        <w:trPr>
          <w:jc w:val="center"/>
        </w:trPr>
        <w:tc>
          <w:tcPr>
            <w:tcW w:w="3340" w:type="dxa"/>
            <w:tcBorders>
              <w:bottom w:val="single" w:sz="6" w:space="0" w:color="auto"/>
            </w:tcBorders>
            <w:shd w:val="clear" w:color="auto" w:fill="C0C0C0"/>
            <w:hideMark/>
          </w:tcPr>
          <w:p w:rsidR="00CB0DD7" w:rsidRPr="000A0A5F" w:rsidRDefault="00CB0DD7">
            <w:pPr>
              <w:pStyle w:val="TAH"/>
              <w:rPr>
                <w:noProof/>
              </w:rPr>
            </w:pPr>
            <w:r w:rsidRPr="000A0A5F">
              <w:rPr>
                <w:noProof/>
              </w:rPr>
              <w:t>Data type</w:t>
            </w:r>
          </w:p>
        </w:tc>
        <w:tc>
          <w:tcPr>
            <w:tcW w:w="1170" w:type="dxa"/>
            <w:tcBorders>
              <w:bottom w:val="single" w:sz="6" w:space="0" w:color="auto"/>
            </w:tcBorders>
            <w:shd w:val="clear" w:color="auto" w:fill="C0C0C0"/>
            <w:hideMark/>
          </w:tcPr>
          <w:p w:rsidR="00CB0DD7" w:rsidRPr="000A0A5F" w:rsidRDefault="00CB0DD7">
            <w:pPr>
              <w:pStyle w:val="TAH"/>
              <w:rPr>
                <w:noProof/>
              </w:rPr>
            </w:pPr>
            <w:r w:rsidRPr="000A0A5F">
              <w:rPr>
                <w:noProof/>
              </w:rPr>
              <w:t>Cardinality</w:t>
            </w:r>
          </w:p>
        </w:tc>
        <w:tc>
          <w:tcPr>
            <w:tcW w:w="5160" w:type="dxa"/>
            <w:tcBorders>
              <w:bottom w:val="single" w:sz="6" w:space="0" w:color="auto"/>
            </w:tcBorders>
            <w:shd w:val="clear" w:color="auto" w:fill="C0C0C0"/>
            <w:vAlign w:val="center"/>
            <w:hideMark/>
          </w:tcPr>
          <w:p w:rsidR="00CB0DD7" w:rsidRPr="000A0A5F" w:rsidRDefault="00CB0DD7">
            <w:pPr>
              <w:pStyle w:val="TAH"/>
              <w:rPr>
                <w:noProof/>
              </w:rPr>
            </w:pPr>
            <w:r w:rsidRPr="000A0A5F">
              <w:rPr>
                <w:noProof/>
              </w:rPr>
              <w:t>Description</w:t>
            </w:r>
          </w:p>
        </w:tc>
      </w:tr>
      <w:tr w:rsidR="00CB0DD7" w:rsidRPr="000A0A5F" w:rsidTr="00846044">
        <w:trPr>
          <w:jc w:val="center"/>
        </w:trPr>
        <w:tc>
          <w:tcPr>
            <w:tcW w:w="3340" w:type="dxa"/>
            <w:tcBorders>
              <w:top w:val="single" w:sz="6" w:space="0" w:color="auto"/>
            </w:tcBorders>
          </w:tcPr>
          <w:p w:rsidR="00CB0DD7" w:rsidRPr="000A0A5F" w:rsidRDefault="00CB0DD7">
            <w:pPr>
              <w:pStyle w:val="TAL"/>
              <w:rPr>
                <w:noProof/>
              </w:rPr>
            </w:pPr>
            <w:r w:rsidRPr="000A0A5F">
              <w:t>DeviceTriggeringDeliveryReportNotification</w:t>
            </w:r>
          </w:p>
        </w:tc>
        <w:tc>
          <w:tcPr>
            <w:tcW w:w="1170" w:type="dxa"/>
            <w:tcBorders>
              <w:top w:val="single" w:sz="6" w:space="0" w:color="auto"/>
            </w:tcBorders>
          </w:tcPr>
          <w:p w:rsidR="00CB0DD7" w:rsidRPr="000A0A5F" w:rsidRDefault="00CB0DD7">
            <w:pPr>
              <w:pStyle w:val="TAC"/>
              <w:rPr>
                <w:noProof/>
                <w:lang w:eastAsia="zh-CN"/>
              </w:rPr>
            </w:pPr>
            <w:r w:rsidRPr="000A0A5F">
              <w:t>1</w:t>
            </w:r>
          </w:p>
        </w:tc>
        <w:tc>
          <w:tcPr>
            <w:tcW w:w="5160" w:type="dxa"/>
            <w:tcBorders>
              <w:top w:val="single" w:sz="6" w:space="0" w:color="auto"/>
            </w:tcBorders>
          </w:tcPr>
          <w:p w:rsidR="00CB0DD7" w:rsidRPr="000A0A5F" w:rsidRDefault="00CB0DD7">
            <w:pPr>
              <w:pStyle w:val="TAL"/>
              <w:rPr>
                <w:noProof/>
              </w:rPr>
            </w:pPr>
            <w:r w:rsidRPr="000A0A5F">
              <w:rPr>
                <w:rFonts w:hint="eastAsia"/>
                <w:lang w:eastAsia="zh-CN"/>
              </w:rPr>
              <w:t xml:space="preserve">The </w:t>
            </w:r>
            <w:r w:rsidRPr="000A0A5F">
              <w:rPr>
                <w:lang w:eastAsia="zh-CN"/>
              </w:rPr>
              <w:t>Device Triggering delivery report.</w:t>
            </w:r>
          </w:p>
        </w:tc>
      </w:tr>
    </w:tbl>
    <w:p w:rsidR="00CB0DD7" w:rsidRPr="000A0A5F" w:rsidRDefault="00CB0DD7">
      <w:pPr>
        <w:rPr>
          <w:noProof/>
        </w:rPr>
      </w:pPr>
    </w:p>
    <w:p w:rsidR="00CB0DD7" w:rsidRPr="000A0A5F" w:rsidRDefault="00CB0DD7">
      <w:pPr>
        <w:pStyle w:val="TH"/>
        <w:rPr>
          <w:noProof/>
        </w:rPr>
      </w:pPr>
      <w:r w:rsidRPr="000A0A5F">
        <w:rPr>
          <w:noProof/>
        </w:rPr>
        <w:t>Table </w:t>
      </w:r>
      <w:r w:rsidRPr="000A0A5F">
        <w:t>5.7.</w:t>
      </w:r>
      <w:r w:rsidR="00AC7221" w:rsidRPr="000A0A5F">
        <w:t>3A</w:t>
      </w:r>
      <w:r w:rsidRPr="000A0A5F">
        <w:t>.2</w:t>
      </w:r>
      <w:r w:rsidRPr="000A0A5F">
        <w:rPr>
          <w:noProof/>
        </w:rPr>
        <w:t>.3.1-2: Data structures supported by the POST Response Body</w:t>
      </w:r>
    </w:p>
    <w:tbl>
      <w:tblPr>
        <w:tblW w:w="961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293"/>
        <w:gridCol w:w="1259"/>
        <w:gridCol w:w="1441"/>
        <w:gridCol w:w="4619"/>
      </w:tblGrid>
      <w:tr w:rsidR="00CB0DD7" w:rsidRPr="000A0A5F" w:rsidTr="00FF0AF8">
        <w:trPr>
          <w:jc w:val="center"/>
        </w:trPr>
        <w:tc>
          <w:tcPr>
            <w:tcW w:w="2293" w:type="dxa"/>
            <w:shd w:val="clear" w:color="auto" w:fill="C0C0C0"/>
            <w:hideMark/>
          </w:tcPr>
          <w:p w:rsidR="00CB0DD7" w:rsidRPr="000A0A5F" w:rsidRDefault="00CB0DD7">
            <w:pPr>
              <w:pStyle w:val="TAH"/>
              <w:rPr>
                <w:noProof/>
              </w:rPr>
            </w:pPr>
            <w:r w:rsidRPr="000A0A5F">
              <w:rPr>
                <w:noProof/>
              </w:rPr>
              <w:t>Data type</w:t>
            </w:r>
          </w:p>
        </w:tc>
        <w:tc>
          <w:tcPr>
            <w:tcW w:w="1259" w:type="dxa"/>
            <w:shd w:val="clear" w:color="auto" w:fill="C0C0C0"/>
            <w:hideMark/>
          </w:tcPr>
          <w:p w:rsidR="00CB0DD7" w:rsidRPr="000A0A5F" w:rsidRDefault="00CB0DD7">
            <w:pPr>
              <w:pStyle w:val="TAH"/>
              <w:rPr>
                <w:noProof/>
              </w:rPr>
            </w:pPr>
            <w:r w:rsidRPr="000A0A5F">
              <w:rPr>
                <w:noProof/>
              </w:rPr>
              <w:t>Cardinality</w:t>
            </w:r>
          </w:p>
        </w:tc>
        <w:tc>
          <w:tcPr>
            <w:tcW w:w="1441" w:type="dxa"/>
            <w:shd w:val="clear" w:color="auto" w:fill="C0C0C0"/>
            <w:hideMark/>
          </w:tcPr>
          <w:p w:rsidR="00CB0DD7" w:rsidRPr="000A0A5F" w:rsidRDefault="00CB0DD7">
            <w:pPr>
              <w:pStyle w:val="TAH"/>
              <w:rPr>
                <w:noProof/>
              </w:rPr>
            </w:pPr>
            <w:r w:rsidRPr="000A0A5F">
              <w:rPr>
                <w:noProof/>
              </w:rPr>
              <w:t>Response codes</w:t>
            </w:r>
          </w:p>
        </w:tc>
        <w:tc>
          <w:tcPr>
            <w:tcW w:w="4619" w:type="dxa"/>
            <w:shd w:val="clear" w:color="auto" w:fill="C0C0C0"/>
            <w:hideMark/>
          </w:tcPr>
          <w:p w:rsidR="00CB0DD7" w:rsidRPr="000A0A5F" w:rsidRDefault="00CB0DD7">
            <w:pPr>
              <w:pStyle w:val="TAH"/>
              <w:rPr>
                <w:noProof/>
              </w:rPr>
            </w:pPr>
            <w:r w:rsidRPr="000A0A5F">
              <w:rPr>
                <w:noProof/>
              </w:rPr>
              <w:t>Description</w:t>
            </w:r>
          </w:p>
        </w:tc>
      </w:tr>
      <w:tr w:rsidR="00CB0DD7" w:rsidRPr="000A0A5F" w:rsidTr="00FF0AF8">
        <w:trPr>
          <w:jc w:val="center"/>
        </w:trPr>
        <w:tc>
          <w:tcPr>
            <w:tcW w:w="2293" w:type="dxa"/>
          </w:tcPr>
          <w:p w:rsidR="00CB0DD7" w:rsidRPr="000A0A5F" w:rsidRDefault="00CB0DD7">
            <w:pPr>
              <w:pStyle w:val="TAL"/>
              <w:rPr>
                <w:noProof/>
              </w:rPr>
            </w:pPr>
            <w:r w:rsidRPr="000A0A5F">
              <w:t>Acknowledgement</w:t>
            </w:r>
          </w:p>
        </w:tc>
        <w:tc>
          <w:tcPr>
            <w:tcW w:w="1259" w:type="dxa"/>
          </w:tcPr>
          <w:p w:rsidR="00CB0DD7" w:rsidRPr="000A0A5F" w:rsidRDefault="00CB0DD7">
            <w:pPr>
              <w:pStyle w:val="TAC"/>
              <w:rPr>
                <w:noProof/>
              </w:rPr>
            </w:pPr>
            <w:r w:rsidRPr="000A0A5F">
              <w:rPr>
                <w:rFonts w:hint="eastAsia"/>
                <w:lang w:eastAsia="zh-CN"/>
              </w:rPr>
              <w:t>1</w:t>
            </w:r>
          </w:p>
        </w:tc>
        <w:tc>
          <w:tcPr>
            <w:tcW w:w="1441" w:type="dxa"/>
          </w:tcPr>
          <w:p w:rsidR="00CB0DD7" w:rsidRPr="000A0A5F" w:rsidRDefault="00CB0DD7">
            <w:pPr>
              <w:pStyle w:val="TAL"/>
              <w:rPr>
                <w:noProof/>
              </w:rPr>
            </w:pPr>
            <w:r w:rsidRPr="000A0A5F">
              <w:t>20</w:t>
            </w:r>
            <w:r w:rsidRPr="000A0A5F">
              <w:rPr>
                <w:rFonts w:hint="eastAsia"/>
                <w:lang w:eastAsia="zh-CN"/>
              </w:rPr>
              <w:t>0</w:t>
            </w:r>
            <w:r w:rsidRPr="000A0A5F">
              <w:t xml:space="preserve"> </w:t>
            </w:r>
            <w:r w:rsidRPr="000A0A5F">
              <w:rPr>
                <w:rFonts w:hint="eastAsia"/>
                <w:lang w:eastAsia="zh-CN"/>
              </w:rPr>
              <w:t>OK</w:t>
            </w:r>
          </w:p>
        </w:tc>
        <w:tc>
          <w:tcPr>
            <w:tcW w:w="4619" w:type="dxa"/>
          </w:tcPr>
          <w:p w:rsidR="00CB0DD7" w:rsidRPr="000A0A5F" w:rsidRDefault="00CB0DD7">
            <w:pPr>
              <w:pStyle w:val="TAL"/>
              <w:rPr>
                <w:noProof/>
              </w:rPr>
            </w:pPr>
            <w:r w:rsidRPr="000A0A5F">
              <w:t xml:space="preserve">The </w:t>
            </w:r>
            <w:r w:rsidRPr="000A0A5F">
              <w:rPr>
                <w:rFonts w:hint="eastAsia"/>
                <w:lang w:eastAsia="zh-CN"/>
              </w:rPr>
              <w:t>successful acknowledgement of the notification.</w:t>
            </w:r>
          </w:p>
        </w:tc>
      </w:tr>
      <w:tr w:rsidR="00CB0DD7" w:rsidRPr="000A0A5F" w:rsidTr="00FF0AF8">
        <w:trPr>
          <w:jc w:val="center"/>
        </w:trPr>
        <w:tc>
          <w:tcPr>
            <w:tcW w:w="2293" w:type="dxa"/>
          </w:tcPr>
          <w:p w:rsidR="00CB0DD7" w:rsidRPr="000A0A5F" w:rsidRDefault="00CB0DD7">
            <w:pPr>
              <w:pStyle w:val="TAL"/>
            </w:pPr>
            <w:r w:rsidRPr="000A0A5F">
              <w:t>(None)</w:t>
            </w:r>
          </w:p>
        </w:tc>
        <w:tc>
          <w:tcPr>
            <w:tcW w:w="1259" w:type="dxa"/>
          </w:tcPr>
          <w:p w:rsidR="00CB0DD7" w:rsidRPr="000A0A5F" w:rsidRDefault="00CB0DD7">
            <w:pPr>
              <w:pStyle w:val="TAC"/>
              <w:rPr>
                <w:noProof/>
              </w:rPr>
            </w:pPr>
          </w:p>
        </w:tc>
        <w:tc>
          <w:tcPr>
            <w:tcW w:w="1441" w:type="dxa"/>
          </w:tcPr>
          <w:p w:rsidR="00CB0DD7" w:rsidRPr="000A0A5F" w:rsidRDefault="00CB0DD7">
            <w:pPr>
              <w:pStyle w:val="TAL"/>
            </w:pPr>
            <w:r w:rsidRPr="000A0A5F">
              <w:t>20</w:t>
            </w:r>
            <w:r w:rsidRPr="000A0A5F">
              <w:rPr>
                <w:lang w:eastAsia="zh-CN"/>
              </w:rPr>
              <w:t>4 No Content</w:t>
            </w:r>
          </w:p>
        </w:tc>
        <w:tc>
          <w:tcPr>
            <w:tcW w:w="4619" w:type="dxa"/>
          </w:tcPr>
          <w:p w:rsidR="00CB0DD7" w:rsidRPr="000A0A5F" w:rsidRDefault="00CB0DD7">
            <w:pPr>
              <w:pStyle w:val="TAL"/>
            </w:pPr>
            <w:r w:rsidRPr="000A0A5F">
              <w:t xml:space="preserve">The </w:t>
            </w:r>
            <w:r w:rsidRPr="000A0A5F">
              <w:rPr>
                <w:rFonts w:hint="eastAsia"/>
                <w:lang w:eastAsia="zh-CN"/>
              </w:rPr>
              <w:t>successful acknowledgement of the notification without a body.</w:t>
            </w:r>
          </w:p>
        </w:tc>
      </w:tr>
      <w:tr w:rsidR="00CB0DD7" w:rsidRPr="000A0A5F" w:rsidTr="00FF0AF8">
        <w:trPr>
          <w:jc w:val="center"/>
        </w:trPr>
        <w:tc>
          <w:tcPr>
            <w:tcW w:w="2293" w:type="dxa"/>
          </w:tcPr>
          <w:p w:rsidR="00CB0DD7" w:rsidRPr="000A0A5F" w:rsidRDefault="00CB0DD7">
            <w:pPr>
              <w:pStyle w:val="TAL"/>
            </w:pPr>
            <w:r w:rsidRPr="000A0A5F">
              <w:t>none</w:t>
            </w:r>
          </w:p>
        </w:tc>
        <w:tc>
          <w:tcPr>
            <w:tcW w:w="1259" w:type="dxa"/>
          </w:tcPr>
          <w:p w:rsidR="00CB0DD7" w:rsidRPr="000A0A5F" w:rsidRDefault="00CB0DD7">
            <w:pPr>
              <w:pStyle w:val="TAC"/>
              <w:rPr>
                <w:noProof/>
              </w:rPr>
            </w:pPr>
          </w:p>
        </w:tc>
        <w:tc>
          <w:tcPr>
            <w:tcW w:w="1441" w:type="dxa"/>
          </w:tcPr>
          <w:p w:rsidR="00CB0DD7" w:rsidRPr="000A0A5F" w:rsidRDefault="00CB0DD7">
            <w:pPr>
              <w:pStyle w:val="TAL"/>
            </w:pPr>
            <w:r w:rsidRPr="000A0A5F">
              <w:t>307 Temporary Redirect</w:t>
            </w:r>
          </w:p>
        </w:tc>
        <w:tc>
          <w:tcPr>
            <w:tcW w:w="4619" w:type="dxa"/>
          </w:tcPr>
          <w:p w:rsidR="00CB0DD7" w:rsidRPr="000A0A5F" w:rsidRDefault="00CB0DD7">
            <w:pPr>
              <w:pStyle w:val="TAL"/>
            </w:pPr>
            <w:r w:rsidRPr="000A0A5F">
              <w:t>Temporary redirection, during notification. The response shall include a Location header field containing an alternative URI representing the end point of an alternative SCS/AS where the notification should be sent.</w:t>
            </w:r>
          </w:p>
          <w:p w:rsidR="00CB0DD7" w:rsidRPr="000A0A5F" w:rsidRDefault="00CB0DD7">
            <w:pPr>
              <w:pStyle w:val="TAL"/>
            </w:pPr>
            <w:r w:rsidRPr="000A0A5F">
              <w:t>Redirection handling is described in clause 5.2.10.</w:t>
            </w:r>
          </w:p>
        </w:tc>
      </w:tr>
      <w:tr w:rsidR="00CB0DD7" w:rsidRPr="000A0A5F" w:rsidTr="00FF0AF8">
        <w:trPr>
          <w:jc w:val="center"/>
        </w:trPr>
        <w:tc>
          <w:tcPr>
            <w:tcW w:w="2293" w:type="dxa"/>
          </w:tcPr>
          <w:p w:rsidR="00CB0DD7" w:rsidRPr="000A0A5F" w:rsidRDefault="00CB0DD7">
            <w:pPr>
              <w:pStyle w:val="TAL"/>
            </w:pPr>
            <w:r w:rsidRPr="000A0A5F">
              <w:t>none</w:t>
            </w:r>
          </w:p>
        </w:tc>
        <w:tc>
          <w:tcPr>
            <w:tcW w:w="1259" w:type="dxa"/>
          </w:tcPr>
          <w:p w:rsidR="00CB0DD7" w:rsidRPr="000A0A5F" w:rsidRDefault="00CB0DD7">
            <w:pPr>
              <w:pStyle w:val="TAC"/>
              <w:rPr>
                <w:noProof/>
              </w:rPr>
            </w:pPr>
          </w:p>
        </w:tc>
        <w:tc>
          <w:tcPr>
            <w:tcW w:w="1441" w:type="dxa"/>
          </w:tcPr>
          <w:p w:rsidR="00CB0DD7" w:rsidRPr="000A0A5F" w:rsidRDefault="00CB0DD7">
            <w:pPr>
              <w:pStyle w:val="TAL"/>
            </w:pPr>
            <w:r w:rsidRPr="000A0A5F">
              <w:t>308 Permanent Redirect</w:t>
            </w:r>
          </w:p>
        </w:tc>
        <w:tc>
          <w:tcPr>
            <w:tcW w:w="4619" w:type="dxa"/>
          </w:tcPr>
          <w:p w:rsidR="00CB0DD7" w:rsidRPr="000A0A5F" w:rsidRDefault="00CB0DD7">
            <w:pPr>
              <w:pStyle w:val="TAL"/>
            </w:pPr>
            <w:r w:rsidRPr="000A0A5F">
              <w:t>Permanent redirection, during notification. The response shall include a Location header field containing an alternative URI representing the end point of an alternative SCS/AS where the notification should be sent.</w:t>
            </w:r>
          </w:p>
          <w:p w:rsidR="00CB0DD7" w:rsidRPr="000A0A5F" w:rsidRDefault="00CB0DD7">
            <w:pPr>
              <w:pStyle w:val="TAL"/>
            </w:pPr>
            <w:r w:rsidRPr="000A0A5F">
              <w:t>Redirection handling is described in clause 5.2.10.</w:t>
            </w:r>
          </w:p>
        </w:tc>
      </w:tr>
      <w:tr w:rsidR="00CB0DD7" w:rsidRPr="000A0A5F" w:rsidTr="00FF0AF8">
        <w:trPr>
          <w:jc w:val="center"/>
        </w:trPr>
        <w:tc>
          <w:tcPr>
            <w:tcW w:w="9612" w:type="dxa"/>
            <w:gridSpan w:val="4"/>
          </w:tcPr>
          <w:p w:rsidR="00CB0DD7" w:rsidRPr="000A0A5F" w:rsidRDefault="00CB0DD7">
            <w:pPr>
              <w:pStyle w:val="TAN"/>
            </w:pPr>
            <w:r w:rsidRPr="000A0A5F">
              <w:t>NOTE:</w:t>
            </w:r>
            <w:r w:rsidRPr="000A0A5F">
              <w:tab/>
              <w:t>The mandatory HTTP error status codes for the POST method listed in table 5.2.6-1 also apply.</w:t>
            </w:r>
          </w:p>
        </w:tc>
      </w:tr>
    </w:tbl>
    <w:p w:rsidR="00CB0DD7" w:rsidRPr="000A0A5F" w:rsidRDefault="00CB0DD7">
      <w:pPr>
        <w:rPr>
          <w:noProof/>
        </w:rPr>
      </w:pPr>
    </w:p>
    <w:p w:rsidR="00CB0DD7" w:rsidRPr="000A0A5F" w:rsidRDefault="002E466A">
      <w:pPr>
        <w:pStyle w:val="TH"/>
      </w:pPr>
      <w:r w:rsidRPr="000A0A5F">
        <w:t>Table </w:t>
      </w:r>
      <w:r w:rsidR="00CB0DD7" w:rsidRPr="000A0A5F">
        <w:t>5.7.</w:t>
      </w:r>
      <w:r w:rsidR="00AC7221" w:rsidRPr="000A0A5F">
        <w:t>3A</w:t>
      </w:r>
      <w:r w:rsidR="00CB0DD7" w:rsidRPr="000A0A5F">
        <w:t>.2</w:t>
      </w:r>
      <w:r w:rsidR="00CB0DD7" w:rsidRPr="000A0A5F">
        <w:rPr>
          <w:noProof/>
        </w:rPr>
        <w:t>.3.1</w:t>
      </w:r>
      <w:r w:rsidR="00CB0DD7" w:rsidRPr="000A0A5F">
        <w:t>-3: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representing the end point of an alternative SCS/AS towards which the notification should be redirected.</w:t>
            </w:r>
          </w:p>
        </w:tc>
      </w:tr>
    </w:tbl>
    <w:p w:rsidR="00CB0DD7" w:rsidRPr="000A0A5F" w:rsidRDefault="00CB0DD7"/>
    <w:p w:rsidR="00CB0DD7" w:rsidRPr="000A0A5F" w:rsidRDefault="002E466A">
      <w:pPr>
        <w:pStyle w:val="TH"/>
      </w:pPr>
      <w:r w:rsidRPr="000A0A5F">
        <w:t>Table </w:t>
      </w:r>
      <w:r w:rsidR="00CB0DD7" w:rsidRPr="000A0A5F">
        <w:t>5.7.</w:t>
      </w:r>
      <w:r w:rsidR="00AC7221" w:rsidRPr="000A0A5F">
        <w:t>3A</w:t>
      </w:r>
      <w:r w:rsidR="00CB0DD7" w:rsidRPr="000A0A5F">
        <w:t>.2</w:t>
      </w:r>
      <w:r w:rsidR="00CB0DD7" w:rsidRPr="000A0A5F">
        <w:rPr>
          <w:noProof/>
        </w:rPr>
        <w:t>.3.1</w:t>
      </w:r>
      <w:r w:rsidR="00CB0DD7" w:rsidRPr="000A0A5F">
        <w:t>-4: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representing the end point of an alternative SCS/AS towards which the notification should be redirected.</w:t>
            </w:r>
          </w:p>
        </w:tc>
      </w:tr>
    </w:tbl>
    <w:p w:rsidR="00CB0DD7" w:rsidRPr="000A0A5F" w:rsidRDefault="00CB0DD7">
      <w:pPr>
        <w:rPr>
          <w:noProof/>
        </w:rPr>
      </w:pPr>
    </w:p>
    <w:p w:rsidR="00CB0DD7" w:rsidRPr="000A0A5F" w:rsidRDefault="00CB0DD7">
      <w:pPr>
        <w:pStyle w:val="Heading6"/>
        <w:rPr>
          <w:noProof/>
        </w:rPr>
      </w:pPr>
      <w:bookmarkStart w:id="5166" w:name="_Toc66360653"/>
      <w:bookmarkStart w:id="5167" w:name="_Toc68105158"/>
      <w:bookmarkStart w:id="5168" w:name="_Toc74755788"/>
      <w:bookmarkStart w:id="5169" w:name="_Toc105674663"/>
      <w:bookmarkStart w:id="5170" w:name="_Toc130502711"/>
      <w:bookmarkStart w:id="5171" w:name="_Toc153625498"/>
      <w:r w:rsidRPr="000A0A5F">
        <w:t>5.7.3a.2.3</w:t>
      </w:r>
      <w:r w:rsidRPr="000A0A5F">
        <w:rPr>
          <w:noProof/>
        </w:rPr>
        <w:t>.2</w:t>
      </w:r>
      <w:r w:rsidRPr="000A0A5F">
        <w:rPr>
          <w:noProof/>
        </w:rPr>
        <w:tab/>
      </w:r>
      <w:r w:rsidRPr="000A0A5F">
        <w:t>Notification via Websocket</w:t>
      </w:r>
      <w:bookmarkEnd w:id="5166"/>
      <w:bookmarkEnd w:id="5167"/>
      <w:bookmarkEnd w:id="5168"/>
      <w:bookmarkEnd w:id="5169"/>
      <w:bookmarkEnd w:id="5170"/>
      <w:bookmarkEnd w:id="5171"/>
    </w:p>
    <w:p w:rsidR="00CB0DD7" w:rsidRPr="000A0A5F" w:rsidRDefault="00CB0DD7">
      <w:pPr>
        <w:rPr>
          <w:rFonts w:ascii="Arial" w:hAnsi="Arial" w:cs="Arial"/>
          <w:b/>
          <w:sz w:val="24"/>
        </w:rPr>
      </w:pPr>
      <w:r w:rsidRPr="000A0A5F">
        <w:t>If supported by both SCS/AS and SCEF and successfully negotiated</w:t>
      </w:r>
      <w:r w:rsidRPr="000A0A5F">
        <w:rPr>
          <w:lang w:eastAsia="zh-CN"/>
        </w:rPr>
        <w:t xml:space="preserve">, the </w:t>
      </w:r>
      <w:r w:rsidRPr="000A0A5F">
        <w:t>DeviceTriggeringDeliveryReportNotification</w:t>
      </w:r>
      <w:r w:rsidRPr="000A0A5F">
        <w:rPr>
          <w:lang w:eastAsia="zh-CN"/>
        </w:rPr>
        <w:t xml:space="preserve"> may alternatively be delivered through the Websocket mechanism as defined in clause 5.2.5.4.</w:t>
      </w:r>
    </w:p>
    <w:p w:rsidR="00CB0DD7" w:rsidRPr="000A0A5F" w:rsidRDefault="00CB0DD7">
      <w:pPr>
        <w:pStyle w:val="Heading3"/>
      </w:pPr>
      <w:bookmarkStart w:id="5172" w:name="_Toc11247558"/>
      <w:bookmarkStart w:id="5173" w:name="_Toc27044697"/>
      <w:bookmarkStart w:id="5174" w:name="_Toc36033739"/>
      <w:bookmarkStart w:id="5175" w:name="_Toc45131885"/>
      <w:bookmarkStart w:id="5176" w:name="_Toc49776170"/>
      <w:bookmarkStart w:id="5177" w:name="_Toc51747090"/>
      <w:bookmarkStart w:id="5178" w:name="_Toc66360654"/>
      <w:bookmarkStart w:id="5179" w:name="_Toc68105159"/>
      <w:bookmarkStart w:id="5180" w:name="_Toc74755789"/>
      <w:bookmarkStart w:id="5181" w:name="_Toc105674664"/>
      <w:bookmarkStart w:id="5182" w:name="_Toc130502712"/>
      <w:bookmarkStart w:id="5183" w:name="_Toc153625499"/>
      <w:r w:rsidRPr="000A0A5F">
        <w:t>5.7.4</w:t>
      </w:r>
      <w:r w:rsidRPr="000A0A5F">
        <w:tab/>
        <w:t>Used Features</w:t>
      </w:r>
      <w:bookmarkEnd w:id="5172"/>
      <w:bookmarkEnd w:id="5173"/>
      <w:bookmarkEnd w:id="5174"/>
      <w:bookmarkEnd w:id="5175"/>
      <w:bookmarkEnd w:id="5176"/>
      <w:bookmarkEnd w:id="5177"/>
      <w:bookmarkEnd w:id="5178"/>
      <w:bookmarkEnd w:id="5179"/>
      <w:bookmarkEnd w:id="5180"/>
      <w:bookmarkEnd w:id="5181"/>
      <w:bookmarkEnd w:id="5182"/>
      <w:bookmarkEnd w:id="5183"/>
    </w:p>
    <w:p w:rsidR="00CB0DD7" w:rsidRPr="000A0A5F" w:rsidRDefault="00CB0DD7">
      <w:r w:rsidRPr="000A0A5F">
        <w:t>The table below defines the features applicable to the DeviceTriggering API. Those features are negotiated as described in clause 5.2.7.</w:t>
      </w:r>
    </w:p>
    <w:p w:rsidR="00CB0DD7" w:rsidRPr="000A0A5F" w:rsidRDefault="002E466A">
      <w:pPr>
        <w:pStyle w:val="TH"/>
      </w:pPr>
      <w:r w:rsidRPr="000A0A5F">
        <w:t>Table </w:t>
      </w:r>
      <w:r w:rsidR="00CB0DD7" w:rsidRPr="000A0A5F">
        <w:t>5.7.4-1: Features used by DeviceTriggering API</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100"/>
        <w:gridCol w:w="2127"/>
        <w:gridCol w:w="6630"/>
      </w:tblGrid>
      <w:tr w:rsidR="00CB0DD7" w:rsidRPr="000A0A5F" w:rsidTr="00FF0AF8">
        <w:trPr>
          <w:cantSplit/>
        </w:trPr>
        <w:tc>
          <w:tcPr>
            <w:tcW w:w="558" w:type="pct"/>
            <w:shd w:val="clear" w:color="auto" w:fill="C0C0C0"/>
          </w:tcPr>
          <w:p w:rsidR="00CB0DD7" w:rsidRPr="000A0A5F" w:rsidRDefault="00CB0DD7">
            <w:pPr>
              <w:pStyle w:val="TAH"/>
              <w:rPr>
                <w:rFonts w:eastAsia="Times New Roman"/>
              </w:rPr>
            </w:pPr>
            <w:r w:rsidRPr="000A0A5F">
              <w:t>Feature Number</w:t>
            </w:r>
          </w:p>
        </w:tc>
        <w:tc>
          <w:tcPr>
            <w:tcW w:w="1079" w:type="pct"/>
            <w:shd w:val="clear" w:color="auto" w:fill="C0C0C0"/>
          </w:tcPr>
          <w:p w:rsidR="00CB0DD7" w:rsidRPr="000A0A5F" w:rsidRDefault="00CB0DD7">
            <w:pPr>
              <w:pStyle w:val="TAH"/>
              <w:rPr>
                <w:rFonts w:eastAsia="Times New Roman"/>
              </w:rPr>
            </w:pPr>
            <w:r w:rsidRPr="000A0A5F">
              <w:rPr>
                <w:rFonts w:eastAsia="Times New Roman"/>
              </w:rPr>
              <w:t>Feature</w:t>
            </w:r>
          </w:p>
        </w:tc>
        <w:tc>
          <w:tcPr>
            <w:tcW w:w="3363" w:type="pct"/>
            <w:shd w:val="clear" w:color="auto" w:fill="C0C0C0"/>
          </w:tcPr>
          <w:p w:rsidR="00CB0DD7" w:rsidRPr="000A0A5F" w:rsidRDefault="00CB0DD7">
            <w:pPr>
              <w:pStyle w:val="TAH"/>
              <w:rPr>
                <w:rFonts w:eastAsia="Batang"/>
                <w:lang w:eastAsia="ko-KR"/>
              </w:rPr>
            </w:pPr>
            <w:r w:rsidRPr="000A0A5F">
              <w:rPr>
                <w:rFonts w:eastAsia="Times New Roman"/>
              </w:rPr>
              <w:t>Description</w:t>
            </w:r>
          </w:p>
        </w:tc>
      </w:tr>
      <w:tr w:rsidR="00CB0DD7" w:rsidRPr="000A0A5F" w:rsidTr="00FF0AF8">
        <w:trPr>
          <w:cantSplit/>
        </w:trPr>
        <w:tc>
          <w:tcPr>
            <w:tcW w:w="558" w:type="pct"/>
          </w:tcPr>
          <w:p w:rsidR="00CB0DD7" w:rsidRPr="000A0A5F" w:rsidRDefault="00CB0DD7">
            <w:pPr>
              <w:pStyle w:val="TAC"/>
              <w:rPr>
                <w:lang w:eastAsia="zh-CN"/>
              </w:rPr>
            </w:pPr>
            <w:r w:rsidRPr="000A0A5F">
              <w:t>1</w:t>
            </w:r>
          </w:p>
        </w:tc>
        <w:tc>
          <w:tcPr>
            <w:tcW w:w="1079" w:type="pct"/>
          </w:tcPr>
          <w:p w:rsidR="00CB0DD7" w:rsidRPr="000A0A5F" w:rsidRDefault="00CB0DD7">
            <w:pPr>
              <w:pStyle w:val="TAC"/>
              <w:jc w:val="left"/>
              <w:rPr>
                <w:lang w:eastAsia="zh-CN"/>
              </w:rPr>
            </w:pPr>
            <w:r w:rsidRPr="000A0A5F">
              <w:rPr>
                <w:lang w:eastAsia="zh-CN"/>
              </w:rPr>
              <w:t>Notification_websocket</w:t>
            </w:r>
          </w:p>
        </w:tc>
        <w:tc>
          <w:tcPr>
            <w:tcW w:w="3363" w:type="pct"/>
          </w:tcPr>
          <w:p w:rsidR="00CB0DD7" w:rsidRPr="000A0A5F" w:rsidRDefault="00CB0DD7">
            <w:pPr>
              <w:pStyle w:val="TAL"/>
              <w:rPr>
                <w:lang w:eastAsia="zh-CN"/>
              </w:rPr>
            </w:pPr>
            <w:r w:rsidRPr="000A0A5F">
              <w:rPr>
                <w:rFonts w:cs="Arial"/>
                <w:szCs w:val="18"/>
                <w:lang w:eastAsia="zh-CN"/>
              </w:rPr>
              <w:t>The delivery of notifications over Websocket is supported according to clause</w:t>
            </w:r>
            <w:r w:rsidRPr="000A0A5F">
              <w:rPr>
                <w:rFonts w:cs="Arial"/>
                <w:szCs w:val="18"/>
                <w:lang w:val="en-US" w:eastAsia="zh-CN"/>
              </w:rPr>
              <w:t> </w:t>
            </w:r>
            <w:r w:rsidRPr="000A0A5F">
              <w:rPr>
                <w:rFonts w:cs="Arial"/>
                <w:szCs w:val="18"/>
                <w:lang w:eastAsia="zh-CN"/>
              </w:rPr>
              <w:t xml:space="preserve">5.2.5.4. This feature requires that the </w:t>
            </w:r>
            <w:r w:rsidRPr="000A0A5F">
              <w:t>Notification_test_event featute is also supported.</w:t>
            </w:r>
          </w:p>
        </w:tc>
      </w:tr>
      <w:tr w:rsidR="00CB0DD7" w:rsidRPr="000A0A5F" w:rsidTr="00FF0AF8">
        <w:trPr>
          <w:cantSplit/>
        </w:trPr>
        <w:tc>
          <w:tcPr>
            <w:tcW w:w="558" w:type="pct"/>
          </w:tcPr>
          <w:p w:rsidR="00CB0DD7" w:rsidRPr="000A0A5F" w:rsidRDefault="00CB0DD7">
            <w:pPr>
              <w:pStyle w:val="TAC"/>
            </w:pPr>
            <w:r w:rsidRPr="000A0A5F">
              <w:t>2</w:t>
            </w:r>
          </w:p>
        </w:tc>
        <w:tc>
          <w:tcPr>
            <w:tcW w:w="1079" w:type="pct"/>
          </w:tcPr>
          <w:p w:rsidR="00CB0DD7" w:rsidRPr="000A0A5F" w:rsidRDefault="00CB0DD7">
            <w:pPr>
              <w:pStyle w:val="TAC"/>
              <w:jc w:val="left"/>
              <w:rPr>
                <w:lang w:eastAsia="zh-CN"/>
              </w:rPr>
            </w:pPr>
            <w:r w:rsidRPr="000A0A5F">
              <w:t>Notification_test_event</w:t>
            </w:r>
          </w:p>
        </w:tc>
        <w:tc>
          <w:tcPr>
            <w:tcW w:w="3363" w:type="pct"/>
          </w:tcPr>
          <w:p w:rsidR="00CB0DD7" w:rsidRPr="000A0A5F" w:rsidRDefault="00CB0DD7">
            <w:pPr>
              <w:pStyle w:val="TAL"/>
              <w:rPr>
                <w:lang w:eastAsia="zh-CN"/>
              </w:rPr>
            </w:pPr>
            <w:r w:rsidRPr="000A0A5F">
              <w:rPr>
                <w:rFonts w:cs="Arial"/>
                <w:szCs w:val="18"/>
                <w:lang w:eastAsia="zh-CN"/>
              </w:rPr>
              <w:t>The testing of notification connection is supported according to clause</w:t>
            </w:r>
            <w:r w:rsidRPr="000A0A5F">
              <w:rPr>
                <w:rFonts w:cs="Arial"/>
                <w:szCs w:val="18"/>
                <w:lang w:val="en-US" w:eastAsia="zh-CN"/>
              </w:rPr>
              <w:t> </w:t>
            </w:r>
            <w:r w:rsidRPr="000A0A5F">
              <w:rPr>
                <w:rFonts w:cs="Arial"/>
                <w:szCs w:val="18"/>
                <w:lang w:eastAsia="zh-CN"/>
              </w:rPr>
              <w:t>5.2.5.3.</w:t>
            </w:r>
          </w:p>
        </w:tc>
      </w:tr>
      <w:tr w:rsidR="00B97EBD" w:rsidRPr="000A0A5F" w:rsidTr="00FF0AF8">
        <w:trPr>
          <w:cantSplit/>
        </w:trPr>
        <w:tc>
          <w:tcPr>
            <w:tcW w:w="558" w:type="pct"/>
          </w:tcPr>
          <w:p w:rsidR="00B97EBD" w:rsidRPr="000A0A5F" w:rsidRDefault="00B97EBD" w:rsidP="00B97EBD">
            <w:pPr>
              <w:pStyle w:val="TAC"/>
            </w:pPr>
            <w:r w:rsidRPr="000A0A5F">
              <w:t>3</w:t>
            </w:r>
          </w:p>
        </w:tc>
        <w:tc>
          <w:tcPr>
            <w:tcW w:w="1079" w:type="pct"/>
          </w:tcPr>
          <w:p w:rsidR="00B97EBD" w:rsidRPr="000A0A5F" w:rsidRDefault="00B97EBD" w:rsidP="00B97EBD">
            <w:pPr>
              <w:pStyle w:val="TAC"/>
              <w:jc w:val="left"/>
            </w:pPr>
            <w:r w:rsidRPr="000A0A5F">
              <w:t>PatchUpdate</w:t>
            </w:r>
          </w:p>
        </w:tc>
        <w:tc>
          <w:tcPr>
            <w:tcW w:w="3363" w:type="pct"/>
          </w:tcPr>
          <w:p w:rsidR="00B97EBD" w:rsidRPr="000A0A5F" w:rsidRDefault="00B97EBD" w:rsidP="00B97EBD">
            <w:pPr>
              <w:pStyle w:val="TAL"/>
              <w:rPr>
                <w:rFonts w:cs="Arial"/>
                <w:szCs w:val="18"/>
                <w:lang w:eastAsia="zh-CN"/>
              </w:rPr>
            </w:pPr>
            <w:r w:rsidRPr="000A0A5F">
              <w:rPr>
                <w:rFonts w:cs="Arial"/>
              </w:rPr>
              <w:t>Indicates the support of enhancements to the northbound interfaces (e.g. support the partial modification of an existing subscription resource).</w:t>
            </w:r>
          </w:p>
        </w:tc>
      </w:tr>
      <w:tr w:rsidR="00CB0DD7" w:rsidRPr="000A0A5F" w:rsidTr="00FF0AF8">
        <w:tblPrEx>
          <w:tblLook w:val="04A0" w:firstRow="1" w:lastRow="0" w:firstColumn="1" w:lastColumn="0" w:noHBand="0" w:noVBand="1"/>
        </w:tblPrEx>
        <w:trPr>
          <w:cantSplit/>
        </w:trPr>
        <w:tc>
          <w:tcPr>
            <w:tcW w:w="5000" w:type="pct"/>
            <w:gridSpan w:val="3"/>
          </w:tcPr>
          <w:p w:rsidR="00CB0DD7" w:rsidRPr="000A0A5F" w:rsidRDefault="00CB0DD7">
            <w:pPr>
              <w:pStyle w:val="TAN"/>
              <w:rPr>
                <w:rFonts w:eastAsia="Times New Roman"/>
              </w:rPr>
            </w:pPr>
            <w:r w:rsidRPr="000A0A5F">
              <w:rPr>
                <w:rFonts w:eastAsia="Times New Roman"/>
              </w:rPr>
              <w:t>Feature:</w:t>
            </w:r>
            <w:r w:rsidRPr="000A0A5F">
              <w:rPr>
                <w:rFonts w:eastAsia="Times New Roman"/>
              </w:rPr>
              <w:tab/>
              <w:t>A short name that can be used to refer to the bit and to the feature, e.g. "</w:t>
            </w:r>
            <w:r w:rsidRPr="000A0A5F">
              <w:rPr>
                <w:rFonts w:hint="eastAsia"/>
                <w:lang w:eastAsia="zh-CN"/>
              </w:rPr>
              <w:t>Notification</w:t>
            </w:r>
            <w:r w:rsidRPr="000A0A5F">
              <w:rPr>
                <w:rFonts w:eastAsia="Times New Roman"/>
              </w:rPr>
              <w:t>".</w:t>
            </w:r>
          </w:p>
          <w:p w:rsidR="00CB0DD7" w:rsidRPr="000A0A5F" w:rsidRDefault="00CB0DD7">
            <w:pPr>
              <w:pStyle w:val="TAN"/>
              <w:rPr>
                <w:color w:val="000000"/>
                <w:lang w:eastAsia="zh-CN"/>
              </w:rPr>
            </w:pPr>
            <w:r w:rsidRPr="000A0A5F">
              <w:rPr>
                <w:rFonts w:eastAsia="Times New Roman"/>
              </w:rPr>
              <w:t>Description:</w:t>
            </w:r>
            <w:r w:rsidRPr="000A0A5F">
              <w:rPr>
                <w:rFonts w:eastAsia="Times New Roman"/>
              </w:rPr>
              <w:tab/>
              <w:t>A clear textual description of the feature.</w:t>
            </w:r>
          </w:p>
        </w:tc>
      </w:tr>
    </w:tbl>
    <w:p w:rsidR="00CB0DD7" w:rsidRPr="000A0A5F" w:rsidRDefault="00CB0DD7"/>
    <w:p w:rsidR="00F72479" w:rsidRPr="000A0A5F" w:rsidRDefault="00F72479" w:rsidP="00F72479">
      <w:pPr>
        <w:pStyle w:val="Heading3"/>
      </w:pPr>
      <w:bookmarkStart w:id="5184" w:name="_Toc130502713"/>
      <w:bookmarkStart w:id="5185" w:name="_Toc153625500"/>
      <w:r w:rsidRPr="000A0A5F">
        <w:t>5.7.5</w:t>
      </w:r>
      <w:r w:rsidRPr="000A0A5F">
        <w:tab/>
        <w:t>Error handling</w:t>
      </w:r>
      <w:bookmarkEnd w:id="5184"/>
      <w:bookmarkEnd w:id="5185"/>
    </w:p>
    <w:p w:rsidR="00F72479" w:rsidRPr="000A0A5F" w:rsidRDefault="00F72479" w:rsidP="00F72479">
      <w:pPr>
        <w:pStyle w:val="Heading4"/>
      </w:pPr>
      <w:bookmarkStart w:id="5186" w:name="_Toc130502714"/>
      <w:bookmarkStart w:id="5187" w:name="_Toc153625501"/>
      <w:r w:rsidRPr="000A0A5F">
        <w:t>5.7.5.1</w:t>
      </w:r>
      <w:r w:rsidRPr="000A0A5F">
        <w:tab/>
        <w:t>General</w:t>
      </w:r>
      <w:bookmarkEnd w:id="5186"/>
      <w:bookmarkEnd w:id="5187"/>
    </w:p>
    <w:p w:rsidR="00F72479" w:rsidRPr="000A0A5F" w:rsidRDefault="00F72479" w:rsidP="00F72479">
      <w:r w:rsidRPr="000A0A5F">
        <w:t>HTTP error handling shall be supported as specified in clause 5.2.6.</w:t>
      </w:r>
    </w:p>
    <w:p w:rsidR="00F72479" w:rsidRPr="000A0A5F" w:rsidRDefault="00F72479" w:rsidP="00F72479">
      <w:r w:rsidRPr="000A0A5F">
        <w:t>In addition, the requirements in the following clauses shall apply.</w:t>
      </w:r>
    </w:p>
    <w:p w:rsidR="00F72479" w:rsidRPr="000A0A5F" w:rsidRDefault="00F72479" w:rsidP="00F72479">
      <w:pPr>
        <w:pStyle w:val="Heading4"/>
      </w:pPr>
      <w:bookmarkStart w:id="5188" w:name="_Toc130502715"/>
      <w:bookmarkStart w:id="5189" w:name="_Toc153625502"/>
      <w:r w:rsidRPr="000A0A5F">
        <w:t>5.7.5.2</w:t>
      </w:r>
      <w:r w:rsidRPr="000A0A5F">
        <w:tab/>
        <w:t>Protocol Errors</w:t>
      </w:r>
      <w:bookmarkEnd w:id="5188"/>
      <w:bookmarkEnd w:id="5189"/>
    </w:p>
    <w:p w:rsidR="00F72479" w:rsidRPr="000A0A5F" w:rsidRDefault="00F72479" w:rsidP="00F72479">
      <w:r w:rsidRPr="000A0A5F">
        <w:rPr>
          <w:lang w:eastAsia="zh-CN"/>
        </w:rPr>
        <w:t xml:space="preserve">In this Release </w:t>
      </w:r>
      <w:r w:rsidRPr="000A0A5F">
        <w:t xml:space="preserve">of the specification, there are no additional protocol errors applicable for the </w:t>
      </w:r>
      <w:r w:rsidRPr="000A0A5F">
        <w:rPr>
          <w:rFonts w:eastAsia="DengXian"/>
          <w:lang w:eastAsia="zh-CN"/>
        </w:rPr>
        <w:t>DeviceTriggering</w:t>
      </w:r>
      <w:r w:rsidRPr="000A0A5F">
        <w:t xml:space="preserve"> API.</w:t>
      </w:r>
    </w:p>
    <w:p w:rsidR="00F72479" w:rsidRPr="000A0A5F" w:rsidRDefault="00F72479" w:rsidP="00F72479">
      <w:pPr>
        <w:pStyle w:val="Heading4"/>
      </w:pPr>
      <w:bookmarkStart w:id="5190" w:name="_Toc130502716"/>
      <w:bookmarkStart w:id="5191" w:name="_Toc153625503"/>
      <w:r w:rsidRPr="000A0A5F">
        <w:t>5.7.5.3</w:t>
      </w:r>
      <w:r w:rsidRPr="000A0A5F">
        <w:tab/>
        <w:t>Application Errors</w:t>
      </w:r>
      <w:bookmarkEnd w:id="5190"/>
      <w:bookmarkEnd w:id="5191"/>
    </w:p>
    <w:p w:rsidR="00F72479" w:rsidRPr="000A0A5F" w:rsidRDefault="00F72479" w:rsidP="00F72479">
      <w:r w:rsidRPr="000A0A5F">
        <w:t xml:space="preserve">The application errors defined for </w:t>
      </w:r>
      <w:r w:rsidRPr="000A0A5F">
        <w:rPr>
          <w:rFonts w:eastAsia="DengXian"/>
          <w:lang w:eastAsia="zh-CN"/>
        </w:rPr>
        <w:t>DeviceTriggering</w:t>
      </w:r>
      <w:r w:rsidRPr="000A0A5F">
        <w:t xml:space="preserve"> API are listed in table 5.7.5.3-1.</w:t>
      </w:r>
    </w:p>
    <w:p w:rsidR="00F72479" w:rsidRPr="000A0A5F" w:rsidRDefault="00F72479" w:rsidP="00F72479">
      <w:pPr>
        <w:pStyle w:val="TH"/>
      </w:pPr>
      <w:r w:rsidRPr="000A0A5F">
        <w:t>Table 5.7.5.3-1: Application errors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686"/>
        <w:gridCol w:w="1275"/>
        <w:gridCol w:w="3289"/>
        <w:gridCol w:w="2373"/>
      </w:tblGrid>
      <w:tr w:rsidR="00F72479" w:rsidRPr="000A0A5F" w:rsidTr="004C13CC">
        <w:trPr>
          <w:cantSplit/>
          <w:jc w:val="center"/>
        </w:trPr>
        <w:tc>
          <w:tcPr>
            <w:tcW w:w="2686" w:type="dxa"/>
            <w:shd w:val="clear" w:color="auto" w:fill="C0C0C0"/>
            <w:hideMark/>
          </w:tcPr>
          <w:p w:rsidR="00F72479" w:rsidRPr="000A0A5F" w:rsidRDefault="00F72479" w:rsidP="004C13CC">
            <w:pPr>
              <w:pStyle w:val="TAH"/>
            </w:pPr>
            <w:r w:rsidRPr="000A0A5F">
              <w:t>Application Error</w:t>
            </w:r>
          </w:p>
        </w:tc>
        <w:tc>
          <w:tcPr>
            <w:tcW w:w="1275" w:type="dxa"/>
            <w:shd w:val="clear" w:color="auto" w:fill="C0C0C0"/>
            <w:hideMark/>
          </w:tcPr>
          <w:p w:rsidR="00F72479" w:rsidRPr="000A0A5F" w:rsidRDefault="00F72479" w:rsidP="004C13CC">
            <w:pPr>
              <w:pStyle w:val="TAH"/>
            </w:pPr>
            <w:r w:rsidRPr="000A0A5F">
              <w:t>HTTP status code</w:t>
            </w:r>
          </w:p>
        </w:tc>
        <w:tc>
          <w:tcPr>
            <w:tcW w:w="3289" w:type="dxa"/>
            <w:shd w:val="clear" w:color="auto" w:fill="C0C0C0"/>
            <w:hideMark/>
          </w:tcPr>
          <w:p w:rsidR="00F72479" w:rsidRPr="000A0A5F" w:rsidRDefault="00F72479" w:rsidP="004C13CC">
            <w:pPr>
              <w:pStyle w:val="TAH"/>
            </w:pPr>
            <w:r w:rsidRPr="000A0A5F">
              <w:t>Description</w:t>
            </w:r>
          </w:p>
        </w:tc>
        <w:tc>
          <w:tcPr>
            <w:tcW w:w="2373" w:type="dxa"/>
            <w:shd w:val="clear" w:color="auto" w:fill="C0C0C0"/>
          </w:tcPr>
          <w:p w:rsidR="00F72479" w:rsidRPr="000A0A5F" w:rsidRDefault="00F72479" w:rsidP="004C13CC">
            <w:pPr>
              <w:pStyle w:val="TAH"/>
            </w:pPr>
            <w:r w:rsidRPr="000A0A5F">
              <w:t>Applicability</w:t>
            </w:r>
          </w:p>
        </w:tc>
      </w:tr>
      <w:tr w:rsidR="00F72479" w:rsidRPr="000A0A5F" w:rsidTr="004C13CC">
        <w:trPr>
          <w:cantSplit/>
          <w:jc w:val="center"/>
        </w:trPr>
        <w:tc>
          <w:tcPr>
            <w:tcW w:w="2686" w:type="dxa"/>
          </w:tcPr>
          <w:p w:rsidR="00F72479" w:rsidRPr="000A0A5F" w:rsidRDefault="00F72479" w:rsidP="004C13CC">
            <w:pPr>
              <w:pStyle w:val="TAL"/>
              <w:rPr>
                <w:lang w:eastAsia="zh-CN"/>
              </w:rPr>
            </w:pPr>
          </w:p>
        </w:tc>
        <w:tc>
          <w:tcPr>
            <w:tcW w:w="1275" w:type="dxa"/>
          </w:tcPr>
          <w:p w:rsidR="00F72479" w:rsidRPr="000A0A5F" w:rsidRDefault="00F72479" w:rsidP="004C13CC">
            <w:pPr>
              <w:pStyle w:val="TAL"/>
              <w:rPr>
                <w:lang w:eastAsia="zh-CN"/>
              </w:rPr>
            </w:pPr>
          </w:p>
        </w:tc>
        <w:tc>
          <w:tcPr>
            <w:tcW w:w="3289" w:type="dxa"/>
          </w:tcPr>
          <w:p w:rsidR="00F72479" w:rsidRPr="000A0A5F" w:rsidRDefault="00F72479" w:rsidP="004C13CC">
            <w:pPr>
              <w:pStyle w:val="TAL"/>
            </w:pPr>
          </w:p>
        </w:tc>
        <w:tc>
          <w:tcPr>
            <w:tcW w:w="2373" w:type="dxa"/>
          </w:tcPr>
          <w:p w:rsidR="00F72479" w:rsidRPr="000A0A5F" w:rsidRDefault="00F72479" w:rsidP="004C13CC">
            <w:pPr>
              <w:pStyle w:val="TAL"/>
            </w:pPr>
          </w:p>
        </w:tc>
      </w:tr>
    </w:tbl>
    <w:p w:rsidR="00F72479" w:rsidRPr="000A0A5F" w:rsidRDefault="00F72479"/>
    <w:p w:rsidR="00CB0DD7" w:rsidRPr="000A0A5F" w:rsidRDefault="00CB0DD7">
      <w:pPr>
        <w:pStyle w:val="Heading2"/>
      </w:pPr>
      <w:bookmarkStart w:id="5192" w:name="_Toc11247559"/>
      <w:bookmarkStart w:id="5193" w:name="_Toc27044698"/>
      <w:bookmarkStart w:id="5194" w:name="_Toc36033740"/>
      <w:bookmarkStart w:id="5195" w:name="_Toc45131886"/>
      <w:bookmarkStart w:id="5196" w:name="_Toc49776171"/>
      <w:bookmarkStart w:id="5197" w:name="_Toc51747091"/>
      <w:bookmarkStart w:id="5198" w:name="_Toc66360655"/>
      <w:bookmarkStart w:id="5199" w:name="_Toc68105160"/>
      <w:bookmarkStart w:id="5200" w:name="_Toc74755790"/>
      <w:bookmarkStart w:id="5201" w:name="_Toc105674665"/>
      <w:bookmarkStart w:id="5202" w:name="_Toc130502717"/>
      <w:bookmarkStart w:id="5203" w:name="_Toc153625504"/>
      <w:r w:rsidRPr="000A0A5F">
        <w:t>5.8</w:t>
      </w:r>
      <w:r w:rsidRPr="000A0A5F">
        <w:tab/>
        <w:t>GMD via MBMS related APIs</w:t>
      </w:r>
      <w:bookmarkEnd w:id="5192"/>
      <w:bookmarkEnd w:id="5193"/>
      <w:bookmarkEnd w:id="5194"/>
      <w:bookmarkEnd w:id="5195"/>
      <w:bookmarkEnd w:id="5196"/>
      <w:bookmarkEnd w:id="5197"/>
      <w:bookmarkEnd w:id="5198"/>
      <w:bookmarkEnd w:id="5199"/>
      <w:bookmarkEnd w:id="5200"/>
      <w:bookmarkEnd w:id="5201"/>
      <w:bookmarkEnd w:id="5202"/>
      <w:bookmarkEnd w:id="5203"/>
    </w:p>
    <w:p w:rsidR="00CB0DD7" w:rsidRPr="000A0A5F" w:rsidRDefault="00CB0DD7">
      <w:pPr>
        <w:pStyle w:val="Heading3"/>
      </w:pPr>
      <w:bookmarkStart w:id="5204" w:name="_Toc11247560"/>
      <w:bookmarkStart w:id="5205" w:name="_Toc27044699"/>
      <w:bookmarkStart w:id="5206" w:name="_Toc36033741"/>
      <w:bookmarkStart w:id="5207" w:name="_Toc45131887"/>
      <w:bookmarkStart w:id="5208" w:name="_Toc49776172"/>
      <w:bookmarkStart w:id="5209" w:name="_Toc51747092"/>
      <w:bookmarkStart w:id="5210" w:name="_Toc66360656"/>
      <w:bookmarkStart w:id="5211" w:name="_Toc68105161"/>
      <w:bookmarkStart w:id="5212" w:name="_Toc74755791"/>
      <w:bookmarkStart w:id="5213" w:name="_Toc105674666"/>
      <w:bookmarkStart w:id="5214" w:name="_Toc130502718"/>
      <w:bookmarkStart w:id="5215" w:name="_Toc153625505"/>
      <w:r w:rsidRPr="000A0A5F">
        <w:t>5.8.1</w:t>
      </w:r>
      <w:r w:rsidRPr="000A0A5F">
        <w:tab/>
        <w:t>Overview</w:t>
      </w:r>
      <w:bookmarkEnd w:id="5204"/>
      <w:bookmarkEnd w:id="5205"/>
      <w:bookmarkEnd w:id="5206"/>
      <w:bookmarkEnd w:id="5207"/>
      <w:bookmarkEnd w:id="5208"/>
      <w:bookmarkEnd w:id="5209"/>
      <w:bookmarkEnd w:id="5210"/>
      <w:bookmarkEnd w:id="5211"/>
      <w:bookmarkEnd w:id="5212"/>
      <w:bookmarkEnd w:id="5213"/>
      <w:bookmarkEnd w:id="5214"/>
      <w:bookmarkEnd w:id="5215"/>
    </w:p>
    <w:p w:rsidR="00CB0DD7" w:rsidRPr="000A0A5F" w:rsidRDefault="00CB0DD7">
      <w:pPr>
        <w:rPr>
          <w:noProof/>
          <w:lang w:eastAsia="zh-CN"/>
        </w:rPr>
      </w:pPr>
      <w:r w:rsidRPr="000A0A5F">
        <w:rPr>
          <w:rFonts w:hint="eastAsia"/>
          <w:noProof/>
          <w:lang w:eastAsia="zh-CN"/>
        </w:rPr>
        <w:t>The</w:t>
      </w:r>
      <w:r w:rsidRPr="000A0A5F">
        <w:rPr>
          <w:noProof/>
          <w:lang w:eastAsia="zh-CN"/>
        </w:rPr>
        <w:t xml:space="preserve">re are two </w:t>
      </w:r>
      <w:r w:rsidRPr="000A0A5F">
        <w:t>Group Message Delivery via MBMS related</w:t>
      </w:r>
      <w:r w:rsidRPr="000A0A5F">
        <w:rPr>
          <w:noProof/>
          <w:lang w:eastAsia="zh-CN"/>
        </w:rPr>
        <w:t xml:space="preserve"> APIs defined:</w:t>
      </w:r>
    </w:p>
    <w:p w:rsidR="00CB0DD7" w:rsidRPr="000A0A5F" w:rsidRDefault="00CB0DD7">
      <w:pPr>
        <w:ind w:firstLine="284"/>
      </w:pPr>
      <w:r w:rsidRPr="000A0A5F">
        <w:rPr>
          <w:noProof/>
          <w:lang w:eastAsia="zh-CN"/>
        </w:rPr>
        <w:t>-</w:t>
      </w:r>
      <w:r w:rsidRPr="000A0A5F">
        <w:rPr>
          <w:noProof/>
          <w:lang w:eastAsia="zh-CN"/>
        </w:rPr>
        <w:tab/>
      </w:r>
      <w:r w:rsidRPr="000A0A5F">
        <w:t>GMDviaMBMSbyMB2 API;</w:t>
      </w:r>
    </w:p>
    <w:p w:rsidR="00CB0DD7" w:rsidRPr="000A0A5F" w:rsidRDefault="00CB0DD7">
      <w:pPr>
        <w:ind w:firstLine="284"/>
        <w:rPr>
          <w:rFonts w:hint="eastAsia"/>
        </w:rPr>
      </w:pPr>
      <w:r w:rsidRPr="000A0A5F">
        <w:t>-</w:t>
      </w:r>
      <w:r w:rsidRPr="000A0A5F">
        <w:rPr>
          <w:noProof/>
          <w:lang w:eastAsia="zh-CN"/>
        </w:rPr>
        <w:tab/>
      </w:r>
      <w:r w:rsidRPr="000A0A5F">
        <w:t>GMDviaMBMSbyxMB API.</w:t>
      </w:r>
    </w:p>
    <w:p w:rsidR="00CB0DD7" w:rsidRPr="000A0A5F" w:rsidRDefault="00CB0DD7">
      <w:r w:rsidRPr="000A0A5F">
        <w:rPr>
          <w:noProof/>
          <w:lang w:eastAsia="zh-CN"/>
        </w:rPr>
        <w:t>Both APIs are RESTful APIs that allow the SCS/AS to deliver the group message to the SCEF. They</w:t>
      </w:r>
      <w:r w:rsidRPr="000A0A5F">
        <w:t xml:space="preserve"> define a set of data models, resources and the related procedures for the creation and management of the group message delivery. The corresponding JSON schema for the representation of the resources and operations defined by the GMDviaMBMSbyMB2 API and GMDviaMBMSbyxMB API are provided in its complete form in Annex A.8.1 and Annex A.8.2, respectively.</w:t>
      </w:r>
    </w:p>
    <w:p w:rsidR="00CB0DD7" w:rsidRPr="000A0A5F" w:rsidRDefault="00CB0DD7">
      <w:pPr>
        <w:pStyle w:val="Heading3"/>
      </w:pPr>
      <w:bookmarkStart w:id="5216" w:name="_Toc11247561"/>
      <w:bookmarkStart w:id="5217" w:name="_Toc27044700"/>
      <w:bookmarkStart w:id="5218" w:name="_Toc36033742"/>
      <w:bookmarkStart w:id="5219" w:name="_Toc45131888"/>
      <w:bookmarkStart w:id="5220" w:name="_Toc49776173"/>
      <w:bookmarkStart w:id="5221" w:name="_Toc51747093"/>
      <w:bookmarkStart w:id="5222" w:name="_Toc66360657"/>
      <w:bookmarkStart w:id="5223" w:name="_Toc68105162"/>
      <w:bookmarkStart w:id="5224" w:name="_Toc74755792"/>
      <w:bookmarkStart w:id="5225" w:name="_Toc105674667"/>
      <w:bookmarkStart w:id="5226" w:name="_Toc130502719"/>
      <w:bookmarkStart w:id="5227" w:name="_Toc153625506"/>
      <w:r w:rsidRPr="000A0A5F">
        <w:t>5.8.2</w:t>
      </w:r>
      <w:r w:rsidRPr="000A0A5F">
        <w:tab/>
        <w:t>GMDviaMBMSbyMB2 API</w:t>
      </w:r>
      <w:bookmarkEnd w:id="5216"/>
      <w:bookmarkEnd w:id="5217"/>
      <w:bookmarkEnd w:id="5218"/>
      <w:bookmarkEnd w:id="5219"/>
      <w:bookmarkEnd w:id="5220"/>
      <w:bookmarkEnd w:id="5221"/>
      <w:bookmarkEnd w:id="5222"/>
      <w:bookmarkEnd w:id="5223"/>
      <w:bookmarkEnd w:id="5224"/>
      <w:bookmarkEnd w:id="5225"/>
      <w:bookmarkEnd w:id="5226"/>
      <w:bookmarkEnd w:id="5227"/>
      <w:r w:rsidRPr="000A0A5F">
        <w:t xml:space="preserve"> </w:t>
      </w:r>
    </w:p>
    <w:p w:rsidR="00CB0DD7" w:rsidRPr="000A0A5F" w:rsidRDefault="00CB0DD7">
      <w:pPr>
        <w:pStyle w:val="Heading4"/>
      </w:pPr>
      <w:bookmarkStart w:id="5228" w:name="_Toc11247562"/>
      <w:bookmarkStart w:id="5229" w:name="_Toc27044701"/>
      <w:bookmarkStart w:id="5230" w:name="_Toc36033743"/>
      <w:bookmarkStart w:id="5231" w:name="_Toc45131889"/>
      <w:bookmarkStart w:id="5232" w:name="_Toc49776174"/>
      <w:bookmarkStart w:id="5233" w:name="_Toc51747094"/>
      <w:bookmarkStart w:id="5234" w:name="_Toc66360658"/>
      <w:bookmarkStart w:id="5235" w:name="_Toc68105163"/>
      <w:bookmarkStart w:id="5236" w:name="_Toc74755793"/>
      <w:bookmarkStart w:id="5237" w:name="_Toc105674668"/>
      <w:bookmarkStart w:id="5238" w:name="_Toc130502720"/>
      <w:bookmarkStart w:id="5239" w:name="_Toc153625507"/>
      <w:r w:rsidRPr="000A0A5F">
        <w:t>5.8.2.1</w:t>
      </w:r>
      <w:r w:rsidRPr="000A0A5F">
        <w:tab/>
        <w:t>Data model</w:t>
      </w:r>
      <w:bookmarkEnd w:id="5228"/>
      <w:bookmarkEnd w:id="5229"/>
      <w:bookmarkEnd w:id="5230"/>
      <w:bookmarkEnd w:id="5231"/>
      <w:bookmarkEnd w:id="5232"/>
      <w:bookmarkEnd w:id="5233"/>
      <w:bookmarkEnd w:id="5234"/>
      <w:bookmarkEnd w:id="5235"/>
      <w:bookmarkEnd w:id="5236"/>
      <w:bookmarkEnd w:id="5237"/>
      <w:bookmarkEnd w:id="5238"/>
      <w:bookmarkEnd w:id="5239"/>
    </w:p>
    <w:p w:rsidR="00CB0DD7" w:rsidRPr="000A0A5F" w:rsidRDefault="00CB0DD7">
      <w:pPr>
        <w:pStyle w:val="Heading5"/>
      </w:pPr>
      <w:bookmarkStart w:id="5240" w:name="_Toc11247563"/>
      <w:bookmarkStart w:id="5241" w:name="_Toc27044702"/>
      <w:bookmarkStart w:id="5242" w:name="_Toc36033744"/>
      <w:bookmarkStart w:id="5243" w:name="_Toc45131890"/>
      <w:bookmarkStart w:id="5244" w:name="_Toc49776175"/>
      <w:bookmarkStart w:id="5245" w:name="_Toc51747095"/>
      <w:bookmarkStart w:id="5246" w:name="_Toc66360659"/>
      <w:bookmarkStart w:id="5247" w:name="_Toc68105164"/>
      <w:bookmarkStart w:id="5248" w:name="_Toc74755794"/>
      <w:bookmarkStart w:id="5249" w:name="_Toc105674669"/>
      <w:bookmarkStart w:id="5250" w:name="_Toc130502721"/>
      <w:bookmarkStart w:id="5251" w:name="_Toc153625508"/>
      <w:r w:rsidRPr="000A0A5F">
        <w:t>5.8.2.1.1</w:t>
      </w:r>
      <w:r w:rsidRPr="000A0A5F">
        <w:tab/>
        <w:t>Resource data types</w:t>
      </w:r>
      <w:bookmarkEnd w:id="5240"/>
      <w:bookmarkEnd w:id="5241"/>
      <w:bookmarkEnd w:id="5242"/>
      <w:bookmarkEnd w:id="5243"/>
      <w:bookmarkEnd w:id="5244"/>
      <w:bookmarkEnd w:id="5245"/>
      <w:bookmarkEnd w:id="5246"/>
      <w:bookmarkEnd w:id="5247"/>
      <w:bookmarkEnd w:id="5248"/>
      <w:bookmarkEnd w:id="5249"/>
      <w:bookmarkEnd w:id="5250"/>
      <w:bookmarkEnd w:id="5251"/>
    </w:p>
    <w:p w:rsidR="00CB0DD7" w:rsidRPr="000A0A5F" w:rsidRDefault="00CB0DD7">
      <w:pPr>
        <w:pStyle w:val="Heading6"/>
      </w:pPr>
      <w:bookmarkStart w:id="5252" w:name="_Toc11247564"/>
      <w:bookmarkStart w:id="5253" w:name="_Toc27044703"/>
      <w:bookmarkStart w:id="5254" w:name="_Toc36033745"/>
      <w:bookmarkStart w:id="5255" w:name="_Toc45131891"/>
      <w:bookmarkStart w:id="5256" w:name="_Toc49776176"/>
      <w:bookmarkStart w:id="5257" w:name="_Toc51747096"/>
      <w:bookmarkStart w:id="5258" w:name="_Toc66360660"/>
      <w:bookmarkStart w:id="5259" w:name="_Toc68105165"/>
      <w:bookmarkStart w:id="5260" w:name="_Toc74755795"/>
      <w:bookmarkStart w:id="5261" w:name="_Toc105674670"/>
      <w:bookmarkStart w:id="5262" w:name="_Toc130502722"/>
      <w:bookmarkStart w:id="5263" w:name="_Toc153625509"/>
      <w:r w:rsidRPr="000A0A5F">
        <w:t>5.8.2.1.1.1</w:t>
      </w:r>
      <w:r w:rsidRPr="000A0A5F">
        <w:tab/>
        <w:t>Introduction</w:t>
      </w:r>
      <w:bookmarkEnd w:id="5252"/>
      <w:bookmarkEnd w:id="5253"/>
      <w:bookmarkEnd w:id="5254"/>
      <w:bookmarkEnd w:id="5255"/>
      <w:bookmarkEnd w:id="5256"/>
      <w:bookmarkEnd w:id="5257"/>
      <w:bookmarkEnd w:id="5258"/>
      <w:bookmarkEnd w:id="5259"/>
      <w:bookmarkEnd w:id="5260"/>
      <w:bookmarkEnd w:id="5261"/>
      <w:bookmarkEnd w:id="5262"/>
      <w:bookmarkEnd w:id="5263"/>
    </w:p>
    <w:p w:rsidR="00CB0DD7" w:rsidRPr="000A0A5F" w:rsidRDefault="00CB0DD7">
      <w:r w:rsidRPr="000A0A5F">
        <w:t>This clause defines data structures to be used in resource representations.</w:t>
      </w:r>
    </w:p>
    <w:p w:rsidR="00CB0DD7" w:rsidRPr="000A0A5F" w:rsidRDefault="00CB0DD7">
      <w:r w:rsidRPr="000A0A5F">
        <w:t>Table 5.</w:t>
      </w:r>
      <w:r w:rsidRPr="000A0A5F">
        <w:rPr>
          <w:rFonts w:hint="eastAsia"/>
        </w:rPr>
        <w:t>8</w:t>
      </w:r>
      <w:r w:rsidRPr="000A0A5F">
        <w:t xml:space="preserve">.2.1.1.1-1 specifies data types re-used by the GMDviaMBMSbyMB2 API from other specifications, including a reference to their respective specifications and when needed, a short description of their use within the GMDviaMBMSbyMB2 API. </w:t>
      </w:r>
    </w:p>
    <w:p w:rsidR="00CB0DD7" w:rsidRPr="000A0A5F" w:rsidRDefault="00CB0DD7">
      <w:pPr>
        <w:pStyle w:val="TH"/>
      </w:pPr>
      <w:r w:rsidRPr="000A0A5F">
        <w:t>Table 5.</w:t>
      </w:r>
      <w:r w:rsidRPr="000A0A5F">
        <w:rPr>
          <w:rFonts w:hint="eastAsia"/>
        </w:rPr>
        <w:t>8.</w:t>
      </w:r>
      <w:r w:rsidRPr="000A0A5F">
        <w:t>2.1.1.1-1: GMDviaMBMSbyMB2 API re-used Data Types</w:t>
      </w:r>
    </w:p>
    <w:tbl>
      <w:tblPr>
        <w:tblW w:w="943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279"/>
        <w:gridCol w:w="1848"/>
        <w:gridCol w:w="5308"/>
      </w:tblGrid>
      <w:tr w:rsidR="00CB0DD7" w:rsidRPr="000A0A5F" w:rsidTr="00FF0AF8">
        <w:trPr>
          <w:jc w:val="center"/>
        </w:trPr>
        <w:tc>
          <w:tcPr>
            <w:tcW w:w="2279" w:type="dxa"/>
            <w:shd w:val="clear" w:color="auto" w:fill="C0C0C0"/>
            <w:hideMark/>
          </w:tcPr>
          <w:p w:rsidR="00CB0DD7" w:rsidRPr="000A0A5F" w:rsidRDefault="00CB0DD7">
            <w:pPr>
              <w:pStyle w:val="TAH"/>
            </w:pPr>
            <w:r w:rsidRPr="000A0A5F">
              <w:t>Data type</w:t>
            </w:r>
          </w:p>
        </w:tc>
        <w:tc>
          <w:tcPr>
            <w:tcW w:w="1848" w:type="dxa"/>
            <w:shd w:val="clear" w:color="auto" w:fill="C0C0C0"/>
          </w:tcPr>
          <w:p w:rsidR="00CB0DD7" w:rsidRPr="000A0A5F" w:rsidRDefault="00CB0DD7">
            <w:pPr>
              <w:pStyle w:val="TAH"/>
            </w:pPr>
            <w:r w:rsidRPr="000A0A5F">
              <w:t>Reference</w:t>
            </w:r>
          </w:p>
        </w:tc>
        <w:tc>
          <w:tcPr>
            <w:tcW w:w="5308" w:type="dxa"/>
            <w:shd w:val="clear" w:color="auto" w:fill="C0C0C0"/>
            <w:hideMark/>
          </w:tcPr>
          <w:p w:rsidR="00CB0DD7" w:rsidRPr="000A0A5F" w:rsidRDefault="00CB0DD7">
            <w:pPr>
              <w:pStyle w:val="TAH"/>
            </w:pPr>
            <w:r w:rsidRPr="000A0A5F">
              <w:t>Comments</w:t>
            </w:r>
          </w:p>
        </w:tc>
      </w:tr>
      <w:tr w:rsidR="00CB0DD7" w:rsidRPr="000A0A5F" w:rsidTr="00FF0AF8">
        <w:trPr>
          <w:jc w:val="center"/>
        </w:trPr>
        <w:tc>
          <w:tcPr>
            <w:tcW w:w="2279" w:type="dxa"/>
          </w:tcPr>
          <w:p w:rsidR="00CB0DD7" w:rsidRPr="000A0A5F" w:rsidRDefault="00CB0DD7">
            <w:pPr>
              <w:pStyle w:val="TAL"/>
              <w:rPr>
                <w:rFonts w:hint="eastAsia"/>
                <w:lang w:eastAsia="zh-CN"/>
              </w:rPr>
            </w:pPr>
            <w:r w:rsidRPr="000A0A5F">
              <w:rPr>
                <w:rFonts w:hint="eastAsia"/>
                <w:lang w:eastAsia="zh-CN"/>
              </w:rPr>
              <w:t>GeographicArea</w:t>
            </w:r>
          </w:p>
        </w:tc>
        <w:tc>
          <w:tcPr>
            <w:tcW w:w="1848" w:type="dxa"/>
          </w:tcPr>
          <w:p w:rsidR="00CB0DD7" w:rsidRPr="000A0A5F" w:rsidRDefault="00CB0DD7">
            <w:pPr>
              <w:pStyle w:val="TAL"/>
              <w:rPr>
                <w:rFonts w:hint="eastAsia"/>
                <w:lang w:val="en-US" w:eastAsia="zh-CN"/>
              </w:rPr>
            </w:pPr>
            <w:r w:rsidRPr="000A0A5F">
              <w:rPr>
                <w:rFonts w:hint="eastAsia"/>
                <w:lang w:eastAsia="zh-CN"/>
              </w:rPr>
              <w:t>3GPP TS 29.572 [42</w:t>
            </w:r>
            <w:r w:rsidRPr="000A0A5F">
              <w:rPr>
                <w:lang w:eastAsia="zh-CN"/>
              </w:rPr>
              <w:t>]</w:t>
            </w:r>
          </w:p>
        </w:tc>
        <w:tc>
          <w:tcPr>
            <w:tcW w:w="5308" w:type="dxa"/>
          </w:tcPr>
          <w:p w:rsidR="00CB0DD7" w:rsidRPr="000A0A5F" w:rsidRDefault="00CB0DD7">
            <w:pPr>
              <w:pStyle w:val="TAL"/>
              <w:rPr>
                <w:rFonts w:cs="Arial"/>
                <w:szCs w:val="18"/>
              </w:rPr>
            </w:pPr>
            <w:r w:rsidRPr="000A0A5F">
              <w:rPr>
                <w:lang w:eastAsia="zh-CN"/>
              </w:rPr>
              <w:t>Identifies the geographical information of the user(s).</w:t>
            </w:r>
          </w:p>
        </w:tc>
      </w:tr>
      <w:tr w:rsidR="00CB0DD7" w:rsidRPr="000A0A5F" w:rsidTr="00FF0AF8">
        <w:trPr>
          <w:jc w:val="center"/>
        </w:trPr>
        <w:tc>
          <w:tcPr>
            <w:tcW w:w="2279" w:type="dxa"/>
          </w:tcPr>
          <w:p w:rsidR="00CB0DD7" w:rsidRPr="000A0A5F" w:rsidRDefault="00CB0DD7">
            <w:pPr>
              <w:pStyle w:val="TAL"/>
              <w:rPr>
                <w:rFonts w:hint="eastAsia"/>
                <w:lang w:eastAsia="zh-CN"/>
              </w:rPr>
            </w:pPr>
            <w:r w:rsidRPr="000A0A5F">
              <w:t>CivicAddress</w:t>
            </w:r>
          </w:p>
        </w:tc>
        <w:tc>
          <w:tcPr>
            <w:tcW w:w="1848" w:type="dxa"/>
          </w:tcPr>
          <w:p w:rsidR="00CB0DD7" w:rsidRPr="000A0A5F" w:rsidRDefault="00CB0DD7">
            <w:pPr>
              <w:pStyle w:val="TAL"/>
              <w:rPr>
                <w:rFonts w:hint="eastAsia"/>
                <w:lang w:eastAsia="zh-CN"/>
              </w:rPr>
            </w:pPr>
            <w:r w:rsidRPr="000A0A5F">
              <w:rPr>
                <w:rFonts w:hint="eastAsia"/>
                <w:lang w:eastAsia="zh-CN"/>
              </w:rPr>
              <w:t>3GPP TS 29.572 [42</w:t>
            </w:r>
            <w:r w:rsidRPr="000A0A5F">
              <w:rPr>
                <w:lang w:eastAsia="zh-CN"/>
              </w:rPr>
              <w:t>]</w:t>
            </w:r>
          </w:p>
        </w:tc>
        <w:tc>
          <w:tcPr>
            <w:tcW w:w="5308" w:type="dxa"/>
          </w:tcPr>
          <w:p w:rsidR="00CB0DD7" w:rsidRPr="000A0A5F" w:rsidRDefault="00CB0DD7">
            <w:pPr>
              <w:pStyle w:val="TAL"/>
              <w:rPr>
                <w:lang w:eastAsia="zh-CN"/>
              </w:rPr>
            </w:pPr>
            <w:r w:rsidRPr="000A0A5F">
              <w:rPr>
                <w:lang w:eastAsia="zh-CN"/>
              </w:rPr>
              <w:t>Identifies the civic address information of the user(s).</w:t>
            </w:r>
          </w:p>
        </w:tc>
      </w:tr>
      <w:tr w:rsidR="00CB0DD7" w:rsidRPr="000A0A5F" w:rsidTr="00FF0AF8">
        <w:trPr>
          <w:jc w:val="center"/>
        </w:trPr>
        <w:tc>
          <w:tcPr>
            <w:tcW w:w="2279" w:type="dxa"/>
          </w:tcPr>
          <w:p w:rsidR="00CB0DD7" w:rsidRPr="000A0A5F" w:rsidRDefault="00CB0DD7">
            <w:pPr>
              <w:pStyle w:val="TAL"/>
            </w:pPr>
            <w:r w:rsidRPr="000A0A5F">
              <w:t>SupportedFeatures</w:t>
            </w:r>
          </w:p>
        </w:tc>
        <w:tc>
          <w:tcPr>
            <w:tcW w:w="1848" w:type="dxa"/>
          </w:tcPr>
          <w:p w:rsidR="00CB0DD7" w:rsidRPr="000A0A5F" w:rsidRDefault="00CB0DD7">
            <w:pPr>
              <w:pStyle w:val="TAL"/>
              <w:rPr>
                <w:rFonts w:hint="eastAsia"/>
                <w:lang w:eastAsia="zh-CN"/>
              </w:rPr>
            </w:pPr>
            <w:r w:rsidRPr="000A0A5F">
              <w:rPr>
                <w:lang w:eastAsia="zh-CN"/>
              </w:rPr>
              <w:t>3GPP TS 29.571 [45]</w:t>
            </w:r>
          </w:p>
        </w:tc>
        <w:tc>
          <w:tcPr>
            <w:tcW w:w="5308" w:type="dxa"/>
          </w:tcPr>
          <w:p w:rsidR="00CB0DD7" w:rsidRPr="000A0A5F" w:rsidRDefault="00CB0DD7">
            <w:pPr>
              <w:pStyle w:val="TAL"/>
              <w:rPr>
                <w:lang w:eastAsia="zh-CN"/>
              </w:rPr>
            </w:pPr>
            <w:r w:rsidRPr="000A0A5F">
              <w:rPr>
                <w:lang w:eastAsia="zh-CN"/>
              </w:rPr>
              <w:t>Used to negotiate the applicability of the optional features defined in table 5.8.2.3-1.</w:t>
            </w:r>
          </w:p>
        </w:tc>
      </w:tr>
    </w:tbl>
    <w:p w:rsidR="00CB0DD7" w:rsidRPr="000A0A5F" w:rsidRDefault="00CB0DD7"/>
    <w:p w:rsidR="00486293" w:rsidRPr="000A0A5F" w:rsidRDefault="00486293" w:rsidP="00486293">
      <w:bookmarkStart w:id="5264" w:name="_Toc11247565"/>
      <w:bookmarkStart w:id="5265" w:name="_Toc27044704"/>
      <w:bookmarkStart w:id="5266" w:name="_Toc36033746"/>
      <w:bookmarkStart w:id="5267" w:name="_Toc45131892"/>
      <w:bookmarkStart w:id="5268" w:name="_Toc49776177"/>
      <w:bookmarkStart w:id="5269" w:name="_Toc51747097"/>
      <w:bookmarkStart w:id="5270" w:name="_Toc66360661"/>
      <w:bookmarkStart w:id="5271" w:name="_Toc68105166"/>
      <w:bookmarkStart w:id="5272" w:name="_Toc74755796"/>
      <w:r w:rsidRPr="000A0A5F">
        <w:t>Table 5.8.2.1.1.1-2 specifies the data types defined for the GMDviaMBMSbyMB2 API.</w:t>
      </w:r>
    </w:p>
    <w:p w:rsidR="00486293" w:rsidRPr="000A0A5F" w:rsidRDefault="00486293" w:rsidP="00486293">
      <w:pPr>
        <w:pStyle w:val="TH"/>
      </w:pPr>
      <w:r w:rsidRPr="000A0A5F">
        <w:t>Table 5.8.2.1.1.1-2: GMDviaMBMSbyMB2 API specific Data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689"/>
        <w:gridCol w:w="1134"/>
        <w:gridCol w:w="4394"/>
        <w:gridCol w:w="1412"/>
      </w:tblGrid>
      <w:tr w:rsidR="00486293" w:rsidRPr="000A0A5F" w:rsidTr="00FF0AF8">
        <w:trPr>
          <w:jc w:val="center"/>
        </w:trPr>
        <w:tc>
          <w:tcPr>
            <w:tcW w:w="2689" w:type="dxa"/>
            <w:shd w:val="clear" w:color="auto" w:fill="C0C0C0"/>
            <w:vAlign w:val="center"/>
            <w:hideMark/>
          </w:tcPr>
          <w:p w:rsidR="00486293" w:rsidRPr="000A0A5F" w:rsidRDefault="00486293" w:rsidP="00D513D3">
            <w:pPr>
              <w:pStyle w:val="TAH"/>
            </w:pPr>
            <w:r w:rsidRPr="000A0A5F">
              <w:t>Data type</w:t>
            </w:r>
          </w:p>
        </w:tc>
        <w:tc>
          <w:tcPr>
            <w:tcW w:w="1134" w:type="dxa"/>
            <w:shd w:val="clear" w:color="auto" w:fill="C0C0C0"/>
            <w:vAlign w:val="center"/>
          </w:tcPr>
          <w:p w:rsidR="00486293" w:rsidRPr="000A0A5F" w:rsidRDefault="00486293" w:rsidP="00D513D3">
            <w:pPr>
              <w:pStyle w:val="TAH"/>
            </w:pPr>
            <w:r w:rsidRPr="000A0A5F">
              <w:t>Clause defined</w:t>
            </w:r>
          </w:p>
        </w:tc>
        <w:tc>
          <w:tcPr>
            <w:tcW w:w="4394" w:type="dxa"/>
            <w:shd w:val="clear" w:color="auto" w:fill="C0C0C0"/>
            <w:vAlign w:val="center"/>
            <w:hideMark/>
          </w:tcPr>
          <w:p w:rsidR="00486293" w:rsidRPr="000A0A5F" w:rsidRDefault="00486293" w:rsidP="00D513D3">
            <w:pPr>
              <w:pStyle w:val="TAH"/>
            </w:pPr>
            <w:r w:rsidRPr="000A0A5F">
              <w:t>Description</w:t>
            </w:r>
          </w:p>
        </w:tc>
        <w:tc>
          <w:tcPr>
            <w:tcW w:w="1412" w:type="dxa"/>
            <w:shd w:val="clear" w:color="auto" w:fill="C0C0C0"/>
            <w:vAlign w:val="center"/>
          </w:tcPr>
          <w:p w:rsidR="00486293" w:rsidRPr="000A0A5F" w:rsidRDefault="00486293" w:rsidP="00D513D3">
            <w:pPr>
              <w:pStyle w:val="TAH"/>
            </w:pPr>
            <w:r w:rsidRPr="000A0A5F">
              <w:t>Applicability</w:t>
            </w:r>
          </w:p>
        </w:tc>
      </w:tr>
      <w:tr w:rsidR="00486293" w:rsidRPr="000A0A5F" w:rsidTr="00FF0AF8">
        <w:trPr>
          <w:jc w:val="center"/>
        </w:trPr>
        <w:tc>
          <w:tcPr>
            <w:tcW w:w="2689" w:type="dxa"/>
            <w:vAlign w:val="center"/>
          </w:tcPr>
          <w:p w:rsidR="00486293" w:rsidRPr="000A0A5F" w:rsidRDefault="00486293" w:rsidP="00D513D3">
            <w:pPr>
              <w:pStyle w:val="TAL"/>
            </w:pPr>
            <w:r w:rsidRPr="000A0A5F">
              <w:t>GMDByMb2Notification</w:t>
            </w:r>
          </w:p>
        </w:tc>
        <w:tc>
          <w:tcPr>
            <w:tcW w:w="1134" w:type="dxa"/>
            <w:vAlign w:val="center"/>
          </w:tcPr>
          <w:p w:rsidR="00486293" w:rsidRPr="000A0A5F" w:rsidRDefault="00486293" w:rsidP="00D513D3">
            <w:pPr>
              <w:pStyle w:val="TAC"/>
            </w:pPr>
            <w:r w:rsidRPr="000A0A5F">
              <w:t>5.8.2.1.1.4</w:t>
            </w:r>
          </w:p>
        </w:tc>
        <w:tc>
          <w:tcPr>
            <w:tcW w:w="4394" w:type="dxa"/>
            <w:vAlign w:val="center"/>
          </w:tcPr>
          <w:p w:rsidR="00486293" w:rsidRPr="000A0A5F" w:rsidRDefault="00486293" w:rsidP="00D513D3">
            <w:pPr>
              <w:pStyle w:val="TAL"/>
            </w:pPr>
            <w:r w:rsidRPr="000A0A5F">
              <w:t>Represents a group message delivery notification.</w:t>
            </w:r>
          </w:p>
        </w:tc>
        <w:tc>
          <w:tcPr>
            <w:tcW w:w="1412" w:type="dxa"/>
            <w:vAlign w:val="center"/>
          </w:tcPr>
          <w:p w:rsidR="00486293" w:rsidRPr="000A0A5F" w:rsidRDefault="00486293" w:rsidP="00D513D3">
            <w:pPr>
              <w:pStyle w:val="TAL"/>
              <w:rPr>
                <w:rFonts w:cs="Arial"/>
                <w:szCs w:val="18"/>
              </w:rPr>
            </w:pPr>
          </w:p>
        </w:tc>
      </w:tr>
      <w:tr w:rsidR="00486293" w:rsidRPr="000A0A5F" w:rsidTr="00FF0AF8">
        <w:trPr>
          <w:jc w:val="center"/>
        </w:trPr>
        <w:tc>
          <w:tcPr>
            <w:tcW w:w="2689" w:type="dxa"/>
            <w:vAlign w:val="center"/>
          </w:tcPr>
          <w:p w:rsidR="00486293" w:rsidRPr="000A0A5F" w:rsidRDefault="00486293" w:rsidP="00D513D3">
            <w:pPr>
              <w:pStyle w:val="TAL"/>
            </w:pPr>
            <w:r w:rsidRPr="000A0A5F">
              <w:t>GMDViaMBMSByMb2</w:t>
            </w:r>
          </w:p>
        </w:tc>
        <w:tc>
          <w:tcPr>
            <w:tcW w:w="1134" w:type="dxa"/>
            <w:vAlign w:val="center"/>
          </w:tcPr>
          <w:p w:rsidR="00486293" w:rsidRPr="000A0A5F" w:rsidRDefault="00486293" w:rsidP="00D513D3">
            <w:pPr>
              <w:pStyle w:val="TAC"/>
            </w:pPr>
            <w:r w:rsidRPr="000A0A5F">
              <w:t>5.8.2.1.1.3</w:t>
            </w:r>
          </w:p>
        </w:tc>
        <w:tc>
          <w:tcPr>
            <w:tcW w:w="4394" w:type="dxa"/>
            <w:vAlign w:val="center"/>
          </w:tcPr>
          <w:p w:rsidR="00486293" w:rsidRPr="000A0A5F" w:rsidRDefault="00486293" w:rsidP="00D513D3">
            <w:pPr>
              <w:pStyle w:val="TAL"/>
            </w:pPr>
            <w:r w:rsidRPr="000A0A5F">
              <w:t>Represents a group message delivery via MBMS by MB2.</w:t>
            </w:r>
          </w:p>
        </w:tc>
        <w:tc>
          <w:tcPr>
            <w:tcW w:w="1412" w:type="dxa"/>
            <w:vAlign w:val="center"/>
          </w:tcPr>
          <w:p w:rsidR="00486293" w:rsidRPr="000A0A5F" w:rsidRDefault="00486293" w:rsidP="00D513D3">
            <w:pPr>
              <w:pStyle w:val="TAL"/>
              <w:rPr>
                <w:rFonts w:cs="Arial"/>
                <w:szCs w:val="18"/>
              </w:rPr>
            </w:pPr>
          </w:p>
        </w:tc>
      </w:tr>
      <w:tr w:rsidR="00486293" w:rsidRPr="000A0A5F" w:rsidTr="00FF0AF8">
        <w:trPr>
          <w:jc w:val="center"/>
        </w:trPr>
        <w:tc>
          <w:tcPr>
            <w:tcW w:w="2689" w:type="dxa"/>
            <w:vAlign w:val="center"/>
          </w:tcPr>
          <w:p w:rsidR="00486293" w:rsidRPr="000A0A5F" w:rsidRDefault="00486293" w:rsidP="00D513D3">
            <w:pPr>
              <w:pStyle w:val="TAL"/>
            </w:pPr>
            <w:r w:rsidRPr="000A0A5F">
              <w:t>GMDViaMBMSByMb2Patch</w:t>
            </w:r>
          </w:p>
        </w:tc>
        <w:tc>
          <w:tcPr>
            <w:tcW w:w="1134" w:type="dxa"/>
            <w:vAlign w:val="center"/>
          </w:tcPr>
          <w:p w:rsidR="00486293" w:rsidRPr="000A0A5F" w:rsidRDefault="00486293" w:rsidP="00D513D3">
            <w:pPr>
              <w:pStyle w:val="TAC"/>
            </w:pPr>
            <w:r w:rsidRPr="000A0A5F">
              <w:t>5.8.2.1.1.6</w:t>
            </w:r>
          </w:p>
        </w:tc>
        <w:tc>
          <w:tcPr>
            <w:tcW w:w="4394" w:type="dxa"/>
            <w:vAlign w:val="center"/>
          </w:tcPr>
          <w:p w:rsidR="00486293" w:rsidRPr="000A0A5F" w:rsidRDefault="00486293" w:rsidP="00D513D3">
            <w:pPr>
              <w:pStyle w:val="TAL"/>
            </w:pPr>
            <w:r w:rsidRPr="000A0A5F">
              <w:t>Represents a modification request of a group message delivery via MBMS by MB2.</w:t>
            </w:r>
          </w:p>
        </w:tc>
        <w:tc>
          <w:tcPr>
            <w:tcW w:w="1412" w:type="dxa"/>
            <w:vAlign w:val="center"/>
          </w:tcPr>
          <w:p w:rsidR="00486293" w:rsidRPr="000A0A5F" w:rsidRDefault="00486293" w:rsidP="00D513D3">
            <w:pPr>
              <w:pStyle w:val="TAL"/>
              <w:rPr>
                <w:rFonts w:cs="Arial"/>
                <w:szCs w:val="18"/>
              </w:rPr>
            </w:pPr>
          </w:p>
        </w:tc>
      </w:tr>
      <w:tr w:rsidR="00486293" w:rsidRPr="000A0A5F" w:rsidTr="00FF0AF8">
        <w:trPr>
          <w:jc w:val="center"/>
        </w:trPr>
        <w:tc>
          <w:tcPr>
            <w:tcW w:w="2689" w:type="dxa"/>
            <w:vAlign w:val="center"/>
          </w:tcPr>
          <w:p w:rsidR="00486293" w:rsidRPr="000A0A5F" w:rsidRDefault="00486293" w:rsidP="00D513D3">
            <w:pPr>
              <w:pStyle w:val="TAL"/>
            </w:pPr>
            <w:r w:rsidRPr="000A0A5F">
              <w:t>MbmsLocArea</w:t>
            </w:r>
          </w:p>
        </w:tc>
        <w:tc>
          <w:tcPr>
            <w:tcW w:w="1134" w:type="dxa"/>
            <w:vAlign w:val="center"/>
          </w:tcPr>
          <w:p w:rsidR="00486293" w:rsidRPr="000A0A5F" w:rsidRDefault="00486293" w:rsidP="00D513D3">
            <w:pPr>
              <w:pStyle w:val="TAC"/>
            </w:pPr>
            <w:r w:rsidRPr="000A0A5F">
              <w:t>5.8.2.1.1.7</w:t>
            </w:r>
          </w:p>
        </w:tc>
        <w:tc>
          <w:tcPr>
            <w:tcW w:w="4394" w:type="dxa"/>
            <w:vAlign w:val="center"/>
          </w:tcPr>
          <w:p w:rsidR="00486293" w:rsidRPr="000A0A5F" w:rsidRDefault="00486293" w:rsidP="00D513D3">
            <w:pPr>
              <w:pStyle w:val="TAL"/>
            </w:pPr>
            <w:r w:rsidRPr="000A0A5F">
              <w:t>Represents a user location area whithin which is sent a group message delivery via MBMS request.</w:t>
            </w:r>
          </w:p>
        </w:tc>
        <w:tc>
          <w:tcPr>
            <w:tcW w:w="1412" w:type="dxa"/>
            <w:vAlign w:val="center"/>
          </w:tcPr>
          <w:p w:rsidR="00486293" w:rsidRPr="000A0A5F" w:rsidRDefault="00486293" w:rsidP="00D513D3">
            <w:pPr>
              <w:pStyle w:val="TAL"/>
              <w:rPr>
                <w:rFonts w:cs="Arial"/>
                <w:szCs w:val="18"/>
              </w:rPr>
            </w:pPr>
          </w:p>
        </w:tc>
      </w:tr>
      <w:tr w:rsidR="00486293" w:rsidRPr="000A0A5F" w:rsidTr="00FF0AF8">
        <w:trPr>
          <w:jc w:val="center"/>
        </w:trPr>
        <w:tc>
          <w:tcPr>
            <w:tcW w:w="2689" w:type="dxa"/>
            <w:vAlign w:val="center"/>
          </w:tcPr>
          <w:p w:rsidR="00486293" w:rsidRPr="000A0A5F" w:rsidRDefault="00486293" w:rsidP="00D513D3">
            <w:pPr>
              <w:pStyle w:val="TAL"/>
            </w:pPr>
            <w:r w:rsidRPr="000A0A5F">
              <w:t>TMGIAllocation</w:t>
            </w:r>
          </w:p>
        </w:tc>
        <w:tc>
          <w:tcPr>
            <w:tcW w:w="1134" w:type="dxa"/>
            <w:vAlign w:val="center"/>
          </w:tcPr>
          <w:p w:rsidR="00486293" w:rsidRPr="000A0A5F" w:rsidRDefault="00486293" w:rsidP="00D513D3">
            <w:pPr>
              <w:pStyle w:val="TAC"/>
            </w:pPr>
            <w:r w:rsidRPr="000A0A5F">
              <w:t>5.8.2.1.1.2</w:t>
            </w:r>
          </w:p>
        </w:tc>
        <w:tc>
          <w:tcPr>
            <w:tcW w:w="4394" w:type="dxa"/>
            <w:vAlign w:val="center"/>
          </w:tcPr>
          <w:p w:rsidR="00486293" w:rsidRPr="000A0A5F" w:rsidRDefault="00486293" w:rsidP="00D513D3">
            <w:pPr>
              <w:pStyle w:val="TAL"/>
            </w:pPr>
            <w:r w:rsidRPr="000A0A5F">
              <w:t>Represents an individual TMGI Allocation resource.</w:t>
            </w:r>
          </w:p>
        </w:tc>
        <w:tc>
          <w:tcPr>
            <w:tcW w:w="1412" w:type="dxa"/>
            <w:vAlign w:val="center"/>
          </w:tcPr>
          <w:p w:rsidR="00486293" w:rsidRPr="000A0A5F" w:rsidRDefault="00486293" w:rsidP="00D513D3">
            <w:pPr>
              <w:pStyle w:val="TAL"/>
              <w:rPr>
                <w:rFonts w:cs="Arial"/>
                <w:szCs w:val="18"/>
              </w:rPr>
            </w:pPr>
          </w:p>
        </w:tc>
      </w:tr>
      <w:tr w:rsidR="00486293" w:rsidRPr="000A0A5F" w:rsidTr="00FF0AF8">
        <w:trPr>
          <w:jc w:val="center"/>
        </w:trPr>
        <w:tc>
          <w:tcPr>
            <w:tcW w:w="2689" w:type="dxa"/>
            <w:vAlign w:val="center"/>
          </w:tcPr>
          <w:p w:rsidR="00486293" w:rsidRPr="000A0A5F" w:rsidRDefault="00486293" w:rsidP="00D513D3">
            <w:pPr>
              <w:pStyle w:val="TAL"/>
            </w:pPr>
            <w:r w:rsidRPr="000A0A5F">
              <w:t>TMGIAllocationPatch</w:t>
            </w:r>
          </w:p>
        </w:tc>
        <w:tc>
          <w:tcPr>
            <w:tcW w:w="1134" w:type="dxa"/>
            <w:vAlign w:val="center"/>
          </w:tcPr>
          <w:p w:rsidR="00486293" w:rsidRPr="000A0A5F" w:rsidRDefault="00486293" w:rsidP="00D513D3">
            <w:pPr>
              <w:pStyle w:val="TAC"/>
            </w:pPr>
            <w:r w:rsidRPr="000A0A5F">
              <w:t>5.8.2.1.1.5</w:t>
            </w:r>
          </w:p>
        </w:tc>
        <w:tc>
          <w:tcPr>
            <w:tcW w:w="4394" w:type="dxa"/>
            <w:vAlign w:val="center"/>
          </w:tcPr>
          <w:p w:rsidR="00486293" w:rsidRPr="000A0A5F" w:rsidRDefault="00486293" w:rsidP="00D513D3">
            <w:pPr>
              <w:pStyle w:val="TAL"/>
            </w:pPr>
            <w:r w:rsidRPr="000A0A5F">
              <w:t>Represents the parameters to request the modification of a TMGI Allocation resource.</w:t>
            </w:r>
          </w:p>
        </w:tc>
        <w:tc>
          <w:tcPr>
            <w:tcW w:w="1412" w:type="dxa"/>
            <w:vAlign w:val="center"/>
          </w:tcPr>
          <w:p w:rsidR="00486293" w:rsidRPr="000A0A5F" w:rsidRDefault="00486293" w:rsidP="00D513D3">
            <w:pPr>
              <w:pStyle w:val="TAL"/>
              <w:rPr>
                <w:rFonts w:cs="Arial"/>
                <w:szCs w:val="18"/>
              </w:rPr>
            </w:pPr>
          </w:p>
        </w:tc>
      </w:tr>
    </w:tbl>
    <w:p w:rsidR="00486293" w:rsidRPr="000A0A5F" w:rsidRDefault="00486293" w:rsidP="00486293"/>
    <w:p w:rsidR="00CB0DD7" w:rsidRPr="000A0A5F" w:rsidRDefault="00CB0DD7">
      <w:pPr>
        <w:pStyle w:val="Heading6"/>
      </w:pPr>
      <w:bookmarkStart w:id="5273" w:name="_Toc105674671"/>
      <w:bookmarkStart w:id="5274" w:name="_Toc130502723"/>
      <w:bookmarkStart w:id="5275" w:name="_Toc153625510"/>
      <w:r w:rsidRPr="000A0A5F">
        <w:t>5.8.2.1.1.2</w:t>
      </w:r>
      <w:r w:rsidRPr="000A0A5F">
        <w:tab/>
        <w:t>Type: TMGIAllocation</w:t>
      </w:r>
      <w:bookmarkEnd w:id="5264"/>
      <w:bookmarkEnd w:id="5265"/>
      <w:bookmarkEnd w:id="5266"/>
      <w:bookmarkEnd w:id="5267"/>
      <w:bookmarkEnd w:id="5268"/>
      <w:bookmarkEnd w:id="5269"/>
      <w:bookmarkEnd w:id="5270"/>
      <w:bookmarkEnd w:id="5271"/>
      <w:bookmarkEnd w:id="5272"/>
      <w:bookmarkEnd w:id="5273"/>
      <w:bookmarkEnd w:id="5274"/>
      <w:bookmarkEnd w:id="5275"/>
    </w:p>
    <w:p w:rsidR="00CB0DD7" w:rsidRPr="000A0A5F" w:rsidRDefault="00CB0DD7">
      <w:r w:rsidRPr="000A0A5F">
        <w:t>This type represents TMGI Allocation request. The same structure is used in the request and response.</w:t>
      </w:r>
    </w:p>
    <w:p w:rsidR="00CB0DD7" w:rsidRPr="000A0A5F" w:rsidRDefault="00CB0DD7">
      <w:pPr>
        <w:pStyle w:val="TH"/>
      </w:pPr>
      <w:r w:rsidRPr="000A0A5F">
        <w:rPr>
          <w:noProof/>
        </w:rPr>
        <w:t>Table </w:t>
      </w:r>
      <w:r w:rsidRPr="000A0A5F">
        <w:t xml:space="preserve">5.8.2.1.1.2-1: </w:t>
      </w:r>
      <w:r w:rsidRPr="000A0A5F">
        <w:rPr>
          <w:noProof/>
        </w:rPr>
        <w:t>Definition of type TMGIAllocation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82"/>
        <w:gridCol w:w="1843"/>
        <w:gridCol w:w="1134"/>
        <w:gridCol w:w="3686"/>
        <w:gridCol w:w="1257"/>
      </w:tblGrid>
      <w:tr w:rsidR="00CB0DD7" w:rsidRPr="000A0A5F" w:rsidTr="00FF0AF8">
        <w:trPr>
          <w:jc w:val="center"/>
        </w:trPr>
        <w:tc>
          <w:tcPr>
            <w:tcW w:w="1682" w:type="dxa"/>
            <w:shd w:val="clear" w:color="auto" w:fill="C0C0C0"/>
          </w:tcPr>
          <w:p w:rsidR="00CB0DD7" w:rsidRPr="000A0A5F" w:rsidRDefault="00CB0DD7">
            <w:pPr>
              <w:pStyle w:val="TAH"/>
              <w:rPr>
                <w:rFonts w:eastAsia="Times New Roman"/>
              </w:rPr>
            </w:pPr>
            <w:r w:rsidRPr="000A0A5F">
              <w:rPr>
                <w:rFonts w:eastAsia="Times New Roman"/>
              </w:rPr>
              <w:t>Attribute name</w:t>
            </w:r>
          </w:p>
        </w:tc>
        <w:tc>
          <w:tcPr>
            <w:tcW w:w="1843" w:type="dxa"/>
            <w:shd w:val="clear" w:color="auto" w:fill="C0C0C0"/>
          </w:tcPr>
          <w:p w:rsidR="00CB0DD7" w:rsidRPr="000A0A5F" w:rsidRDefault="00CB0DD7">
            <w:pPr>
              <w:pStyle w:val="TAH"/>
              <w:rPr>
                <w:rFonts w:eastAsia="Times New Roman"/>
              </w:rPr>
            </w:pPr>
            <w:r w:rsidRPr="000A0A5F">
              <w:rPr>
                <w:rFonts w:eastAsia="Times New Roman"/>
              </w:rPr>
              <w:t>Data type</w:t>
            </w:r>
          </w:p>
        </w:tc>
        <w:tc>
          <w:tcPr>
            <w:tcW w:w="1134" w:type="dxa"/>
            <w:shd w:val="clear" w:color="auto" w:fill="C0C0C0"/>
          </w:tcPr>
          <w:p w:rsidR="00CB0DD7" w:rsidRPr="000A0A5F" w:rsidRDefault="00CB0DD7">
            <w:pPr>
              <w:pStyle w:val="TAH"/>
              <w:jc w:val="left"/>
              <w:rPr>
                <w:rFonts w:eastAsia="Times New Roman"/>
              </w:rPr>
            </w:pPr>
            <w:r w:rsidRPr="000A0A5F">
              <w:rPr>
                <w:rFonts w:eastAsia="Times New Roman"/>
              </w:rPr>
              <w:t>Cardinality</w:t>
            </w:r>
          </w:p>
        </w:tc>
        <w:tc>
          <w:tcPr>
            <w:tcW w:w="3686"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Description</w:t>
            </w:r>
          </w:p>
        </w:tc>
        <w:tc>
          <w:tcPr>
            <w:tcW w:w="1257"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Applicability (NOTE)</w:t>
            </w:r>
          </w:p>
        </w:tc>
      </w:tr>
      <w:tr w:rsidR="00CB0DD7" w:rsidRPr="000A0A5F" w:rsidTr="00FF0AF8">
        <w:trPr>
          <w:jc w:val="center"/>
        </w:trPr>
        <w:tc>
          <w:tcPr>
            <w:tcW w:w="1682" w:type="dxa"/>
            <w:shd w:val="clear" w:color="auto" w:fill="auto"/>
          </w:tcPr>
          <w:p w:rsidR="00CB0DD7" w:rsidRPr="000A0A5F" w:rsidRDefault="00CB0DD7">
            <w:pPr>
              <w:pStyle w:val="TAL"/>
              <w:rPr>
                <w:rFonts w:eastAsia="Times New Roman"/>
              </w:rPr>
            </w:pPr>
            <w:r w:rsidRPr="000A0A5F">
              <w:rPr>
                <w:rFonts w:eastAsia="Times New Roman"/>
              </w:rPr>
              <w:t>self</w:t>
            </w:r>
          </w:p>
        </w:tc>
        <w:tc>
          <w:tcPr>
            <w:tcW w:w="1843" w:type="dxa"/>
            <w:shd w:val="clear" w:color="auto" w:fill="auto"/>
          </w:tcPr>
          <w:p w:rsidR="00CB0DD7" w:rsidRPr="000A0A5F" w:rsidRDefault="00CB0DD7">
            <w:pPr>
              <w:pStyle w:val="TAL"/>
              <w:rPr>
                <w:rFonts w:eastAsia="Times New Roman"/>
              </w:rPr>
            </w:pPr>
            <w:r w:rsidRPr="000A0A5F">
              <w:rPr>
                <w:rFonts w:eastAsia="Times New Roman"/>
              </w:rPr>
              <w:t>Link</w:t>
            </w:r>
          </w:p>
        </w:tc>
        <w:tc>
          <w:tcPr>
            <w:tcW w:w="1134" w:type="dxa"/>
            <w:shd w:val="clear" w:color="auto" w:fill="auto"/>
          </w:tcPr>
          <w:p w:rsidR="00CB0DD7" w:rsidRPr="000A0A5F" w:rsidRDefault="00CB0DD7">
            <w:pPr>
              <w:pStyle w:val="TAL"/>
              <w:rPr>
                <w:rFonts w:eastAsia="Times New Roman"/>
              </w:rPr>
            </w:pPr>
            <w:r w:rsidRPr="000A0A5F">
              <w:rPr>
                <w:rFonts w:eastAsia="Times New Roman"/>
              </w:rPr>
              <w:t>0..1</w:t>
            </w:r>
          </w:p>
        </w:tc>
        <w:tc>
          <w:tcPr>
            <w:tcW w:w="3686" w:type="dxa"/>
            <w:shd w:val="clear" w:color="auto" w:fill="auto"/>
          </w:tcPr>
          <w:p w:rsidR="00CB0DD7" w:rsidRPr="000A0A5F" w:rsidRDefault="00CB0DD7">
            <w:pPr>
              <w:pStyle w:val="TAL"/>
              <w:rPr>
                <w:rFonts w:eastAsia="Times New Roman" w:cs="Arial"/>
                <w:szCs w:val="18"/>
              </w:rPr>
            </w:pPr>
            <w:r w:rsidRPr="000A0A5F">
              <w:rPr>
                <w:rFonts w:eastAsia="Times New Roman" w:cs="Arial"/>
                <w:szCs w:val="18"/>
              </w:rPr>
              <w:t xml:space="preserve">Link to the resource </w:t>
            </w:r>
            <w:r w:rsidRPr="000A0A5F">
              <w:t xml:space="preserve">"Individual </w:t>
            </w:r>
            <w:r w:rsidRPr="000A0A5F">
              <w:rPr>
                <w:rFonts w:hint="eastAsia"/>
                <w:lang w:eastAsia="zh-CN"/>
              </w:rPr>
              <w:t>T</w:t>
            </w:r>
            <w:r w:rsidRPr="000A0A5F">
              <w:rPr>
                <w:lang w:eastAsia="zh-CN"/>
              </w:rPr>
              <w:t>MGI Allocation</w:t>
            </w:r>
            <w:r w:rsidRPr="000A0A5F">
              <w:t>"</w:t>
            </w:r>
            <w:r w:rsidRPr="000A0A5F">
              <w:rPr>
                <w:rFonts w:eastAsia="Times New Roman" w:cs="Arial"/>
                <w:szCs w:val="18"/>
              </w:rPr>
              <w:t>. This parameter shall be supplied by the SCEF in HTTP responses.</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682" w:type="dxa"/>
            <w:shd w:val="clear" w:color="auto" w:fill="auto"/>
          </w:tcPr>
          <w:p w:rsidR="00CB0DD7" w:rsidRPr="000A0A5F" w:rsidRDefault="00CB0DD7">
            <w:pPr>
              <w:pStyle w:val="TAL"/>
              <w:rPr>
                <w:rFonts w:eastAsia="Times New Roman"/>
              </w:rPr>
            </w:pPr>
            <w:r w:rsidRPr="000A0A5F">
              <w:t>supportedFeatures</w:t>
            </w:r>
          </w:p>
        </w:tc>
        <w:tc>
          <w:tcPr>
            <w:tcW w:w="1843" w:type="dxa"/>
            <w:shd w:val="clear" w:color="auto" w:fill="auto"/>
          </w:tcPr>
          <w:p w:rsidR="00CB0DD7" w:rsidRPr="000A0A5F" w:rsidRDefault="00CB0DD7">
            <w:pPr>
              <w:pStyle w:val="TAL"/>
              <w:rPr>
                <w:rFonts w:eastAsia="Times New Roman"/>
              </w:rPr>
            </w:pPr>
            <w:r w:rsidRPr="000A0A5F">
              <w:t>SupportedFeatures</w:t>
            </w:r>
          </w:p>
        </w:tc>
        <w:tc>
          <w:tcPr>
            <w:tcW w:w="1134" w:type="dxa"/>
            <w:shd w:val="clear" w:color="auto" w:fill="auto"/>
          </w:tcPr>
          <w:p w:rsidR="00CB0DD7" w:rsidRPr="000A0A5F" w:rsidRDefault="00CB0DD7">
            <w:pPr>
              <w:pStyle w:val="TAL"/>
              <w:rPr>
                <w:rFonts w:eastAsia="Times New Roman"/>
              </w:rPr>
            </w:pPr>
            <w:r w:rsidRPr="000A0A5F">
              <w:t>0..1</w:t>
            </w:r>
          </w:p>
        </w:tc>
        <w:tc>
          <w:tcPr>
            <w:tcW w:w="3686" w:type="dxa"/>
            <w:shd w:val="clear" w:color="auto" w:fill="auto"/>
          </w:tcPr>
          <w:p w:rsidR="00CB0DD7" w:rsidRPr="000A0A5F" w:rsidRDefault="00CB0DD7">
            <w:pPr>
              <w:pStyle w:val="TAL"/>
            </w:pPr>
            <w:r w:rsidRPr="000A0A5F">
              <w:t>Used to negotiate the supported optional features of the API as described in clause 5.2.7.</w:t>
            </w:r>
          </w:p>
          <w:p w:rsidR="00CB0DD7" w:rsidRPr="000A0A5F" w:rsidRDefault="00CB0DD7">
            <w:pPr>
              <w:pStyle w:val="TAL"/>
              <w:rPr>
                <w:rFonts w:eastAsia="Times New Roman" w:cs="Arial"/>
                <w:szCs w:val="18"/>
              </w:rPr>
            </w:pPr>
            <w:r w:rsidRPr="000A0A5F">
              <w:t>This attribute shall be provided in the POST request and in the response of successful resource creation.</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682" w:type="dxa"/>
            <w:shd w:val="clear" w:color="auto" w:fill="auto"/>
          </w:tcPr>
          <w:p w:rsidR="00CB0DD7" w:rsidRPr="000A0A5F" w:rsidRDefault="00CB0DD7">
            <w:pPr>
              <w:pStyle w:val="TAL"/>
              <w:rPr>
                <w:rFonts w:eastAsia="Times New Roman"/>
              </w:rPr>
            </w:pPr>
            <w:r w:rsidRPr="000A0A5F">
              <w:rPr>
                <w:lang w:eastAsia="zh-CN"/>
              </w:rPr>
              <w:t>e</w:t>
            </w:r>
            <w:r w:rsidRPr="000A0A5F">
              <w:rPr>
                <w:rFonts w:hint="eastAsia"/>
                <w:lang w:eastAsia="zh-CN"/>
              </w:rPr>
              <w:t>xternalGroup</w:t>
            </w:r>
            <w:r w:rsidRPr="000A0A5F">
              <w:rPr>
                <w:lang w:eastAsia="zh-CN"/>
              </w:rPr>
              <w:t>Id</w:t>
            </w:r>
          </w:p>
        </w:tc>
        <w:tc>
          <w:tcPr>
            <w:tcW w:w="1843" w:type="dxa"/>
            <w:shd w:val="clear" w:color="auto" w:fill="auto"/>
          </w:tcPr>
          <w:p w:rsidR="00CB0DD7" w:rsidRPr="000A0A5F" w:rsidRDefault="00CB0DD7">
            <w:pPr>
              <w:pStyle w:val="TAL"/>
              <w:rPr>
                <w:rFonts w:eastAsia="Times New Roman"/>
              </w:rPr>
            </w:pPr>
            <w:r w:rsidRPr="000A0A5F">
              <w:rPr>
                <w:lang w:eastAsia="zh-CN"/>
              </w:rPr>
              <w:t>ExternalGroupId</w:t>
            </w:r>
          </w:p>
        </w:tc>
        <w:tc>
          <w:tcPr>
            <w:tcW w:w="1134" w:type="dxa"/>
            <w:shd w:val="clear" w:color="auto" w:fill="auto"/>
          </w:tcPr>
          <w:p w:rsidR="00CB0DD7" w:rsidRPr="000A0A5F" w:rsidRDefault="00CB0DD7">
            <w:pPr>
              <w:pStyle w:val="TAL"/>
              <w:rPr>
                <w:rFonts w:eastAsia="Times New Roman"/>
              </w:rPr>
            </w:pPr>
            <w:r w:rsidRPr="000A0A5F">
              <w:rPr>
                <w:rFonts w:eastAsia="Times New Roman"/>
              </w:rPr>
              <w:t>0..1</w:t>
            </w:r>
          </w:p>
        </w:tc>
        <w:tc>
          <w:tcPr>
            <w:tcW w:w="3686" w:type="dxa"/>
            <w:shd w:val="clear" w:color="auto" w:fill="auto"/>
          </w:tcPr>
          <w:p w:rsidR="00CB0DD7" w:rsidRPr="000A0A5F" w:rsidRDefault="00CB0DD7">
            <w:pPr>
              <w:pStyle w:val="TAL"/>
              <w:rPr>
                <w:rFonts w:eastAsia="Times New Roman" w:cs="Arial"/>
                <w:szCs w:val="18"/>
              </w:rPr>
            </w:pPr>
            <w:r w:rsidRPr="000A0A5F">
              <w:rPr>
                <w:rFonts w:eastAsia="Times New Roman" w:cs="Arial"/>
                <w:szCs w:val="18"/>
              </w:rPr>
              <w:t>Identifies a user group as defined in clause</w:t>
            </w:r>
            <w:r w:rsidR="000902D9" w:rsidRPr="000A0A5F">
              <w:rPr>
                <w:rFonts w:eastAsia="Times New Roman" w:cs="Arial"/>
                <w:szCs w:val="18"/>
              </w:rPr>
              <w:t> </w:t>
            </w:r>
            <w:r w:rsidRPr="000A0A5F">
              <w:rPr>
                <w:rFonts w:eastAsia="Times New Roman" w:cs="Arial"/>
                <w:szCs w:val="18"/>
              </w:rPr>
              <w:t>4.6.2 of 3GPP TS 23.682 [2].</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682" w:type="dxa"/>
            <w:shd w:val="clear" w:color="auto" w:fill="auto"/>
          </w:tcPr>
          <w:p w:rsidR="00CB0DD7" w:rsidRPr="000A0A5F" w:rsidRDefault="00CB0DD7">
            <w:pPr>
              <w:pStyle w:val="TAL"/>
              <w:rPr>
                <w:rFonts w:hint="eastAsia"/>
                <w:lang w:eastAsia="zh-CN"/>
              </w:rPr>
            </w:pPr>
            <w:r w:rsidRPr="000A0A5F">
              <w:rPr>
                <w:lang w:eastAsia="zh-CN"/>
              </w:rPr>
              <w:t>mbmsLocArea</w:t>
            </w:r>
          </w:p>
        </w:tc>
        <w:tc>
          <w:tcPr>
            <w:tcW w:w="1843" w:type="dxa"/>
            <w:shd w:val="clear" w:color="auto" w:fill="auto"/>
          </w:tcPr>
          <w:p w:rsidR="00CB0DD7" w:rsidRPr="000A0A5F" w:rsidRDefault="00CB0DD7">
            <w:pPr>
              <w:pStyle w:val="TAL"/>
              <w:rPr>
                <w:rFonts w:hint="eastAsia"/>
                <w:lang w:eastAsia="zh-CN"/>
              </w:rPr>
            </w:pPr>
            <w:r w:rsidRPr="000A0A5F">
              <w:rPr>
                <w:lang w:eastAsia="zh-CN"/>
              </w:rPr>
              <w:t>MbmsLocArea</w:t>
            </w:r>
          </w:p>
        </w:tc>
        <w:tc>
          <w:tcPr>
            <w:tcW w:w="1134" w:type="dxa"/>
            <w:shd w:val="clear" w:color="auto" w:fill="auto"/>
          </w:tcPr>
          <w:p w:rsidR="00CB0DD7" w:rsidRPr="000A0A5F" w:rsidRDefault="00CB0DD7">
            <w:pPr>
              <w:pStyle w:val="TAL"/>
              <w:rPr>
                <w:rFonts w:eastAsia="Times New Roman"/>
              </w:rPr>
            </w:pPr>
            <w:r w:rsidRPr="000A0A5F">
              <w:rPr>
                <w:rFonts w:eastAsia="Times New Roman"/>
              </w:rPr>
              <w:t>0..1</w:t>
            </w:r>
          </w:p>
        </w:tc>
        <w:tc>
          <w:tcPr>
            <w:tcW w:w="3686" w:type="dxa"/>
            <w:shd w:val="clear" w:color="auto" w:fill="auto"/>
          </w:tcPr>
          <w:p w:rsidR="00CB0DD7" w:rsidRPr="000A0A5F" w:rsidRDefault="00B803CC" w:rsidP="00B803CC">
            <w:pPr>
              <w:pStyle w:val="TAL"/>
              <w:rPr>
                <w:rFonts w:cs="Arial" w:hint="eastAsia"/>
                <w:szCs w:val="18"/>
                <w:lang w:eastAsia="zh-CN"/>
              </w:rPr>
            </w:pPr>
            <w:r w:rsidRPr="000A0A5F">
              <w:rPr>
                <w:rFonts w:cs="Arial"/>
                <w:szCs w:val="18"/>
                <w:lang w:eastAsia="zh-CN"/>
              </w:rPr>
              <w:t>Represents the location area within which</w:t>
            </w:r>
            <w:r w:rsidR="00CB0DD7" w:rsidRPr="000A0A5F">
              <w:rPr>
                <w:rFonts w:cs="Arial"/>
                <w:szCs w:val="18"/>
                <w:lang w:eastAsia="zh-CN"/>
              </w:rPr>
              <w:t xml:space="preserve"> the group message</w:t>
            </w:r>
            <w:r w:rsidRPr="000A0A5F">
              <w:rPr>
                <w:rFonts w:cs="Arial"/>
                <w:szCs w:val="18"/>
                <w:lang w:eastAsia="zh-CN"/>
              </w:rPr>
              <w:t xml:space="preserve"> delivery via MBMS is allowed</w:t>
            </w:r>
            <w:r w:rsidR="00CB0DD7" w:rsidRPr="000A0A5F">
              <w:rPr>
                <w:rFonts w:cs="Arial"/>
                <w:szCs w:val="18"/>
                <w:lang w:eastAsia="zh-CN"/>
              </w:rPr>
              <w:t>.</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682" w:type="dxa"/>
            <w:shd w:val="clear" w:color="auto" w:fill="auto"/>
          </w:tcPr>
          <w:p w:rsidR="00CB0DD7" w:rsidRPr="000A0A5F" w:rsidRDefault="00CB0DD7">
            <w:pPr>
              <w:pStyle w:val="TAL"/>
              <w:rPr>
                <w:rFonts w:hint="eastAsia"/>
                <w:lang w:eastAsia="zh-CN"/>
              </w:rPr>
            </w:pPr>
            <w:r w:rsidRPr="000A0A5F">
              <w:rPr>
                <w:lang w:eastAsia="zh-CN"/>
              </w:rPr>
              <w:t>t</w:t>
            </w:r>
            <w:r w:rsidRPr="000A0A5F">
              <w:rPr>
                <w:rFonts w:hint="eastAsia"/>
                <w:lang w:eastAsia="zh-CN"/>
              </w:rPr>
              <w:t>mgiE</w:t>
            </w:r>
            <w:r w:rsidRPr="000A0A5F">
              <w:rPr>
                <w:lang w:eastAsia="zh-CN"/>
              </w:rPr>
              <w:t>xpiration</w:t>
            </w:r>
          </w:p>
        </w:tc>
        <w:tc>
          <w:tcPr>
            <w:tcW w:w="1843" w:type="dxa"/>
            <w:shd w:val="clear" w:color="auto" w:fill="auto"/>
          </w:tcPr>
          <w:p w:rsidR="00CB0DD7" w:rsidRPr="000A0A5F" w:rsidRDefault="00CB0DD7">
            <w:pPr>
              <w:pStyle w:val="TAL"/>
              <w:rPr>
                <w:rFonts w:hint="eastAsia"/>
                <w:lang w:eastAsia="zh-CN"/>
              </w:rPr>
            </w:pPr>
            <w:r w:rsidRPr="000A0A5F">
              <w:rPr>
                <w:lang w:eastAsia="zh-CN"/>
              </w:rPr>
              <w:t>D</w:t>
            </w:r>
            <w:r w:rsidRPr="000A0A5F">
              <w:rPr>
                <w:rFonts w:hint="eastAsia"/>
                <w:lang w:eastAsia="zh-CN"/>
              </w:rPr>
              <w:t>at</w:t>
            </w:r>
            <w:r w:rsidRPr="000A0A5F">
              <w:rPr>
                <w:lang w:eastAsia="zh-CN"/>
              </w:rPr>
              <w:t>eT</w:t>
            </w:r>
            <w:r w:rsidRPr="000A0A5F">
              <w:rPr>
                <w:rFonts w:hint="eastAsia"/>
                <w:lang w:eastAsia="zh-CN"/>
              </w:rPr>
              <w:t>ime</w:t>
            </w:r>
            <w:r w:rsidRPr="000A0A5F">
              <w:rPr>
                <w:lang w:eastAsia="zh-CN"/>
              </w:rPr>
              <w:t>Ro</w:t>
            </w:r>
          </w:p>
        </w:tc>
        <w:tc>
          <w:tcPr>
            <w:tcW w:w="1134" w:type="dxa"/>
            <w:shd w:val="clear" w:color="auto" w:fill="auto"/>
          </w:tcPr>
          <w:p w:rsidR="00CB0DD7" w:rsidRPr="000A0A5F" w:rsidRDefault="00CB0DD7">
            <w:pPr>
              <w:pStyle w:val="TAL"/>
              <w:rPr>
                <w:rFonts w:eastAsia="Times New Roman"/>
              </w:rPr>
            </w:pPr>
            <w:r w:rsidRPr="000A0A5F">
              <w:rPr>
                <w:rFonts w:eastAsia="Times New Roman"/>
              </w:rPr>
              <w:t>0..1</w:t>
            </w:r>
          </w:p>
        </w:tc>
        <w:tc>
          <w:tcPr>
            <w:tcW w:w="3686" w:type="dxa"/>
            <w:shd w:val="clear" w:color="auto" w:fill="auto"/>
          </w:tcPr>
          <w:p w:rsidR="00CB0DD7" w:rsidRPr="000A0A5F" w:rsidRDefault="00CB0DD7">
            <w:pPr>
              <w:pStyle w:val="TAL"/>
              <w:rPr>
                <w:rFonts w:cs="Arial" w:hint="eastAsia"/>
                <w:szCs w:val="18"/>
                <w:lang w:eastAsia="zh-CN"/>
              </w:rPr>
            </w:pPr>
            <w:r w:rsidRPr="000A0A5F">
              <w:rPr>
                <w:rFonts w:cs="Arial" w:hint="eastAsia"/>
                <w:szCs w:val="18"/>
                <w:lang w:eastAsia="zh-CN"/>
              </w:rPr>
              <w:t>Identifies the absolute time at which the TMGI is considered to expire</w:t>
            </w:r>
            <w:r w:rsidRPr="000A0A5F">
              <w:rPr>
                <w:rFonts w:cs="Arial"/>
                <w:szCs w:val="18"/>
                <w:lang w:eastAsia="zh-CN"/>
              </w:rPr>
              <w:t>.</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9602" w:type="dxa"/>
            <w:gridSpan w:val="5"/>
            <w:shd w:val="clear" w:color="auto" w:fill="auto"/>
          </w:tcPr>
          <w:p w:rsidR="00CB0DD7" w:rsidRPr="000A0A5F" w:rsidRDefault="00CB0DD7">
            <w:pPr>
              <w:pStyle w:val="TAN"/>
            </w:pPr>
            <w:r w:rsidRPr="000A0A5F">
              <w:t>NOTE:</w:t>
            </w:r>
            <w:r w:rsidRPr="000A0A5F">
              <w:tab/>
              <w:t>Properties marked with a feature as defined in clause 5.</w:t>
            </w:r>
            <w:r w:rsidRPr="000A0A5F">
              <w:rPr>
                <w:rFonts w:ascii="SimSun" w:hAnsi="SimSun" w:hint="eastAsia"/>
                <w:lang w:eastAsia="zh-CN"/>
              </w:rPr>
              <w:t>8</w:t>
            </w:r>
            <w:r w:rsidRPr="000A0A5F">
              <w:t>.4 are applicable as described in clause 5.2.7. If no feature are indicated, the related property applies for all the features.</w:t>
            </w:r>
          </w:p>
        </w:tc>
      </w:tr>
    </w:tbl>
    <w:p w:rsidR="00CB0DD7" w:rsidRPr="000A0A5F" w:rsidRDefault="00CB0DD7"/>
    <w:p w:rsidR="00CB0DD7" w:rsidRPr="000A0A5F" w:rsidRDefault="00CB0DD7">
      <w:pPr>
        <w:pStyle w:val="Heading6"/>
      </w:pPr>
      <w:bookmarkStart w:id="5276" w:name="_Toc11247566"/>
      <w:bookmarkStart w:id="5277" w:name="_Toc27044705"/>
      <w:bookmarkStart w:id="5278" w:name="_Toc36033747"/>
      <w:bookmarkStart w:id="5279" w:name="_Toc45131893"/>
      <w:bookmarkStart w:id="5280" w:name="_Toc49776178"/>
      <w:bookmarkStart w:id="5281" w:name="_Toc51747098"/>
      <w:bookmarkStart w:id="5282" w:name="_Toc66360662"/>
      <w:bookmarkStart w:id="5283" w:name="_Toc68105167"/>
      <w:bookmarkStart w:id="5284" w:name="_Toc74755797"/>
      <w:bookmarkStart w:id="5285" w:name="_Toc105674672"/>
      <w:bookmarkStart w:id="5286" w:name="_Toc130502724"/>
      <w:bookmarkStart w:id="5287" w:name="_Toc153625511"/>
      <w:r w:rsidRPr="000A0A5F">
        <w:t>5.8.2.1.1.3</w:t>
      </w:r>
      <w:r w:rsidRPr="000A0A5F">
        <w:tab/>
        <w:t>Type: GMDViaMBMSByMb2</w:t>
      </w:r>
      <w:bookmarkEnd w:id="5276"/>
      <w:bookmarkEnd w:id="5277"/>
      <w:bookmarkEnd w:id="5278"/>
      <w:bookmarkEnd w:id="5279"/>
      <w:bookmarkEnd w:id="5280"/>
      <w:bookmarkEnd w:id="5281"/>
      <w:bookmarkEnd w:id="5282"/>
      <w:bookmarkEnd w:id="5283"/>
      <w:bookmarkEnd w:id="5284"/>
      <w:bookmarkEnd w:id="5285"/>
      <w:bookmarkEnd w:id="5286"/>
      <w:bookmarkEnd w:id="5287"/>
    </w:p>
    <w:p w:rsidR="00CB0DD7" w:rsidRPr="000A0A5F" w:rsidRDefault="00CB0DD7">
      <w:r w:rsidRPr="000A0A5F">
        <w:t xml:space="preserve">This type represents the group message delivery via MBMS by MB2. </w:t>
      </w:r>
    </w:p>
    <w:p w:rsidR="00CB0DD7" w:rsidRPr="000A0A5F" w:rsidRDefault="00CB0DD7">
      <w:pPr>
        <w:pStyle w:val="TH"/>
      </w:pPr>
      <w:r w:rsidRPr="000A0A5F">
        <w:rPr>
          <w:noProof/>
        </w:rPr>
        <w:t>Table </w:t>
      </w:r>
      <w:r w:rsidRPr="000A0A5F">
        <w:t xml:space="preserve">5.8.2.1.1.3-1: </w:t>
      </w:r>
      <w:r w:rsidRPr="000A0A5F">
        <w:rPr>
          <w:noProof/>
        </w:rPr>
        <w:t xml:space="preserve">Definition of type </w:t>
      </w:r>
      <w:r w:rsidRPr="000A0A5F">
        <w:t>GMDViaMBMSByMb2</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948"/>
        <w:gridCol w:w="2002"/>
        <w:gridCol w:w="1134"/>
        <w:gridCol w:w="3261"/>
        <w:gridCol w:w="1257"/>
      </w:tblGrid>
      <w:tr w:rsidR="00CB0DD7" w:rsidRPr="000A0A5F" w:rsidTr="00FF0AF8">
        <w:trPr>
          <w:jc w:val="center"/>
        </w:trPr>
        <w:tc>
          <w:tcPr>
            <w:tcW w:w="1948" w:type="dxa"/>
            <w:shd w:val="clear" w:color="auto" w:fill="C0C0C0"/>
          </w:tcPr>
          <w:p w:rsidR="00CB0DD7" w:rsidRPr="000A0A5F" w:rsidRDefault="00CB0DD7">
            <w:pPr>
              <w:pStyle w:val="TAH"/>
              <w:rPr>
                <w:rFonts w:eastAsia="Times New Roman"/>
              </w:rPr>
            </w:pPr>
            <w:r w:rsidRPr="000A0A5F">
              <w:rPr>
                <w:rFonts w:eastAsia="Times New Roman"/>
              </w:rPr>
              <w:t>Attribute name</w:t>
            </w:r>
          </w:p>
        </w:tc>
        <w:tc>
          <w:tcPr>
            <w:tcW w:w="2002" w:type="dxa"/>
            <w:shd w:val="clear" w:color="auto" w:fill="C0C0C0"/>
          </w:tcPr>
          <w:p w:rsidR="00CB0DD7" w:rsidRPr="000A0A5F" w:rsidRDefault="00CB0DD7">
            <w:pPr>
              <w:pStyle w:val="TAH"/>
              <w:rPr>
                <w:rFonts w:eastAsia="Times New Roman"/>
              </w:rPr>
            </w:pPr>
            <w:r w:rsidRPr="000A0A5F">
              <w:rPr>
                <w:rFonts w:eastAsia="Times New Roman"/>
              </w:rPr>
              <w:t>Data type</w:t>
            </w:r>
          </w:p>
        </w:tc>
        <w:tc>
          <w:tcPr>
            <w:tcW w:w="1134" w:type="dxa"/>
            <w:shd w:val="clear" w:color="auto" w:fill="C0C0C0"/>
          </w:tcPr>
          <w:p w:rsidR="00CB0DD7" w:rsidRPr="000A0A5F" w:rsidRDefault="00CB0DD7">
            <w:pPr>
              <w:pStyle w:val="TAH"/>
              <w:jc w:val="left"/>
              <w:rPr>
                <w:rFonts w:eastAsia="Times New Roman"/>
              </w:rPr>
            </w:pPr>
            <w:r w:rsidRPr="000A0A5F">
              <w:rPr>
                <w:rFonts w:eastAsia="Times New Roman"/>
              </w:rPr>
              <w:t>Cardinality</w:t>
            </w:r>
          </w:p>
        </w:tc>
        <w:tc>
          <w:tcPr>
            <w:tcW w:w="3261"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Description</w:t>
            </w:r>
          </w:p>
        </w:tc>
        <w:tc>
          <w:tcPr>
            <w:tcW w:w="1257"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Applicability (NOTE)</w:t>
            </w:r>
          </w:p>
        </w:tc>
      </w:tr>
      <w:tr w:rsidR="00CB0DD7" w:rsidRPr="000A0A5F" w:rsidTr="00FF0AF8">
        <w:trPr>
          <w:jc w:val="center"/>
        </w:trPr>
        <w:tc>
          <w:tcPr>
            <w:tcW w:w="1948" w:type="dxa"/>
            <w:shd w:val="clear" w:color="auto" w:fill="auto"/>
          </w:tcPr>
          <w:p w:rsidR="00CB0DD7" w:rsidRPr="000A0A5F" w:rsidRDefault="00CB0DD7">
            <w:pPr>
              <w:pStyle w:val="TAL"/>
              <w:rPr>
                <w:rFonts w:eastAsia="Times New Roman"/>
              </w:rPr>
            </w:pPr>
            <w:r w:rsidRPr="000A0A5F">
              <w:rPr>
                <w:rFonts w:eastAsia="Times New Roman"/>
              </w:rPr>
              <w:t>self</w:t>
            </w:r>
          </w:p>
        </w:tc>
        <w:tc>
          <w:tcPr>
            <w:tcW w:w="2002" w:type="dxa"/>
            <w:shd w:val="clear" w:color="auto" w:fill="auto"/>
          </w:tcPr>
          <w:p w:rsidR="00CB0DD7" w:rsidRPr="000A0A5F" w:rsidRDefault="00CB0DD7">
            <w:pPr>
              <w:pStyle w:val="TAL"/>
              <w:rPr>
                <w:rFonts w:eastAsia="Times New Roman"/>
              </w:rPr>
            </w:pPr>
            <w:r w:rsidRPr="000A0A5F">
              <w:rPr>
                <w:rFonts w:eastAsia="Times New Roman"/>
              </w:rPr>
              <w:t>Link</w:t>
            </w:r>
          </w:p>
        </w:tc>
        <w:tc>
          <w:tcPr>
            <w:tcW w:w="1134" w:type="dxa"/>
            <w:shd w:val="clear" w:color="auto" w:fill="auto"/>
          </w:tcPr>
          <w:p w:rsidR="00CB0DD7" w:rsidRPr="000A0A5F" w:rsidRDefault="00CB0DD7">
            <w:pPr>
              <w:pStyle w:val="TAL"/>
              <w:rPr>
                <w:rFonts w:eastAsia="Times New Roman"/>
              </w:rPr>
            </w:pPr>
            <w:r w:rsidRPr="000A0A5F">
              <w:rPr>
                <w:rFonts w:eastAsia="Times New Roman"/>
              </w:rPr>
              <w:t>0..1</w:t>
            </w:r>
          </w:p>
        </w:tc>
        <w:tc>
          <w:tcPr>
            <w:tcW w:w="3261" w:type="dxa"/>
            <w:shd w:val="clear" w:color="auto" w:fill="auto"/>
          </w:tcPr>
          <w:p w:rsidR="00CB0DD7" w:rsidRPr="000A0A5F" w:rsidRDefault="00CB0DD7">
            <w:pPr>
              <w:pStyle w:val="TAL"/>
              <w:rPr>
                <w:rFonts w:eastAsia="Times New Roman" w:cs="Arial"/>
                <w:szCs w:val="18"/>
              </w:rPr>
            </w:pPr>
            <w:r w:rsidRPr="000A0A5F">
              <w:rPr>
                <w:rFonts w:eastAsia="Times New Roman" w:cs="Arial"/>
                <w:szCs w:val="18"/>
              </w:rPr>
              <w:t xml:space="preserve">Link to the resource </w:t>
            </w:r>
            <w:r w:rsidRPr="000A0A5F">
              <w:t>"</w:t>
            </w:r>
            <w:r w:rsidRPr="000A0A5F">
              <w:rPr>
                <w:lang w:eastAsia="zh-CN"/>
              </w:rPr>
              <w:t xml:space="preserve">Individual </w:t>
            </w:r>
            <w:r w:rsidRPr="000A0A5F">
              <w:rPr>
                <w:rFonts w:hint="eastAsia"/>
                <w:lang w:eastAsia="zh-CN"/>
              </w:rPr>
              <w:t>GMD vi</w:t>
            </w:r>
            <w:r w:rsidRPr="000A0A5F">
              <w:rPr>
                <w:lang w:eastAsia="zh-CN"/>
              </w:rPr>
              <w:t>a</w:t>
            </w:r>
            <w:r w:rsidRPr="000A0A5F">
              <w:rPr>
                <w:rFonts w:hint="eastAsia"/>
                <w:lang w:eastAsia="zh-CN"/>
              </w:rPr>
              <w:t xml:space="preserve"> MBMS</w:t>
            </w:r>
            <w:r w:rsidRPr="000A0A5F">
              <w:rPr>
                <w:lang w:eastAsia="zh-CN"/>
              </w:rPr>
              <w:t xml:space="preserve"> by MB</w:t>
            </w:r>
            <w:r w:rsidRPr="000A0A5F">
              <w:t>"</w:t>
            </w:r>
            <w:r w:rsidRPr="000A0A5F">
              <w:rPr>
                <w:rFonts w:eastAsia="Times New Roman" w:cs="Arial"/>
                <w:szCs w:val="18"/>
              </w:rPr>
              <w:t>. This parameter shall be supplied by the SCEF in HTTP responses.</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rPr>
                <w:rFonts w:hint="eastAsia"/>
                <w:lang w:eastAsia="zh-CN"/>
              </w:rPr>
            </w:pPr>
            <w:r w:rsidRPr="000A0A5F">
              <w:rPr>
                <w:rFonts w:hint="eastAsia"/>
                <w:lang w:eastAsia="zh-CN"/>
              </w:rPr>
              <w:t>notification</w:t>
            </w:r>
            <w:r w:rsidRPr="000A0A5F">
              <w:rPr>
                <w:lang w:eastAsia="zh-CN"/>
              </w:rPr>
              <w:t>Destination</w:t>
            </w:r>
          </w:p>
        </w:tc>
        <w:tc>
          <w:tcPr>
            <w:tcW w:w="2002" w:type="dxa"/>
            <w:shd w:val="clear" w:color="auto" w:fill="auto"/>
          </w:tcPr>
          <w:p w:rsidR="00CB0DD7" w:rsidRPr="000A0A5F" w:rsidRDefault="00CB0DD7">
            <w:pPr>
              <w:pStyle w:val="TAL"/>
              <w:rPr>
                <w:rFonts w:hint="eastAsia"/>
                <w:lang w:eastAsia="zh-CN"/>
              </w:rPr>
            </w:pPr>
            <w:r w:rsidRPr="000A0A5F">
              <w:rPr>
                <w:rFonts w:hint="eastAsia"/>
                <w:lang w:eastAsia="zh-CN"/>
              </w:rPr>
              <w:t>Link</w:t>
            </w:r>
          </w:p>
        </w:tc>
        <w:tc>
          <w:tcPr>
            <w:tcW w:w="1134" w:type="dxa"/>
            <w:shd w:val="clear" w:color="auto" w:fill="auto"/>
          </w:tcPr>
          <w:p w:rsidR="00CB0DD7" w:rsidRPr="000A0A5F" w:rsidRDefault="00CB0DD7">
            <w:pPr>
              <w:pStyle w:val="TAL"/>
              <w:rPr>
                <w:rFonts w:hint="eastAsia"/>
                <w:lang w:eastAsia="zh-CN"/>
              </w:rPr>
            </w:pPr>
            <w:r w:rsidRPr="000A0A5F">
              <w:rPr>
                <w:rFonts w:hint="eastAsia"/>
                <w:lang w:eastAsia="zh-CN"/>
              </w:rPr>
              <w:t>1</w:t>
            </w:r>
          </w:p>
        </w:tc>
        <w:tc>
          <w:tcPr>
            <w:tcW w:w="3261" w:type="dxa"/>
            <w:shd w:val="clear" w:color="auto" w:fill="auto"/>
          </w:tcPr>
          <w:p w:rsidR="00CB0DD7" w:rsidRPr="000A0A5F" w:rsidRDefault="00CB0DD7">
            <w:pPr>
              <w:pStyle w:val="TAL"/>
              <w:rPr>
                <w:rFonts w:eastAsia="Times New Roman" w:cs="Arial"/>
                <w:szCs w:val="18"/>
              </w:rPr>
            </w:pPr>
            <w:r w:rsidRPr="000A0A5F">
              <w:rPr>
                <w:rFonts w:cs="Arial" w:hint="eastAsia"/>
                <w:szCs w:val="18"/>
                <w:lang w:eastAsia="zh-CN"/>
              </w:rPr>
              <w:t xml:space="preserve">A URI indicating the notification destination </w:t>
            </w:r>
            <w:r w:rsidRPr="000A0A5F">
              <w:rPr>
                <w:rFonts w:cs="Arial"/>
                <w:szCs w:val="18"/>
                <w:lang w:eastAsia="zh-CN"/>
              </w:rPr>
              <w:t xml:space="preserve">where </w:t>
            </w:r>
            <w:r w:rsidRPr="000A0A5F">
              <w:rPr>
                <w:rFonts w:cs="Arial" w:hint="eastAsia"/>
                <w:szCs w:val="18"/>
                <w:lang w:eastAsia="zh-CN"/>
              </w:rPr>
              <w:t xml:space="preserve">T8 </w:t>
            </w:r>
            <w:r w:rsidRPr="000A0A5F">
              <w:rPr>
                <w:rFonts w:cs="Arial"/>
                <w:szCs w:val="18"/>
                <w:lang w:eastAsia="zh-CN"/>
              </w:rPr>
              <w:t>notification requests shall be delivered</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rPr>
                <w:rFonts w:hint="eastAsia"/>
                <w:lang w:eastAsia="zh-CN"/>
              </w:rPr>
            </w:pPr>
            <w:r w:rsidRPr="000A0A5F">
              <w:t>requestTestNotification</w:t>
            </w:r>
          </w:p>
        </w:tc>
        <w:tc>
          <w:tcPr>
            <w:tcW w:w="2002" w:type="dxa"/>
            <w:shd w:val="clear" w:color="auto" w:fill="auto"/>
          </w:tcPr>
          <w:p w:rsidR="00CB0DD7" w:rsidRPr="000A0A5F" w:rsidRDefault="00CB0DD7">
            <w:pPr>
              <w:pStyle w:val="TAL"/>
              <w:rPr>
                <w:rFonts w:hint="eastAsia"/>
                <w:lang w:eastAsia="zh-CN"/>
              </w:rPr>
            </w:pPr>
            <w:r w:rsidRPr="000A0A5F">
              <w:t>boolean</w:t>
            </w:r>
          </w:p>
        </w:tc>
        <w:tc>
          <w:tcPr>
            <w:tcW w:w="1134" w:type="dxa"/>
            <w:shd w:val="clear" w:color="auto" w:fill="auto"/>
          </w:tcPr>
          <w:p w:rsidR="00CB0DD7" w:rsidRPr="000A0A5F" w:rsidRDefault="00CB0DD7">
            <w:pPr>
              <w:pStyle w:val="TAL"/>
              <w:rPr>
                <w:rFonts w:hint="eastAsia"/>
                <w:lang w:eastAsia="zh-CN"/>
              </w:rPr>
            </w:pPr>
            <w:r w:rsidRPr="000A0A5F">
              <w:t>0..1</w:t>
            </w:r>
          </w:p>
        </w:tc>
        <w:tc>
          <w:tcPr>
            <w:tcW w:w="3261" w:type="dxa"/>
            <w:shd w:val="clear" w:color="auto" w:fill="auto"/>
          </w:tcPr>
          <w:p w:rsidR="00CB0DD7" w:rsidRPr="000A0A5F" w:rsidRDefault="00CB0DD7">
            <w:pPr>
              <w:pageBreakBefo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hAnsi="Arial" w:hint="eastAsia"/>
                <w:sz w:val="18"/>
                <w:lang w:eastAsia="zh-CN"/>
              </w:rPr>
            </w:pPr>
            <w:r w:rsidRPr="000A0A5F">
              <w:rPr>
                <w:rFonts w:ascii="Arial" w:hAnsi="Arial"/>
                <w:sz w:val="18"/>
                <w:lang w:eastAsia="zh-CN"/>
              </w:rPr>
              <w:t>Set to true by the SCS/AS to request the SCEF to send a test notification as defined in clause</w:t>
            </w:r>
            <w:r w:rsidRPr="000A0A5F">
              <w:rPr>
                <w:rFonts w:ascii="Arial" w:hAnsi="Arial"/>
                <w:sz w:val="18"/>
                <w:lang w:val="en-US" w:eastAsia="zh-CN"/>
              </w:rPr>
              <w:t> </w:t>
            </w:r>
            <w:r w:rsidRPr="000A0A5F">
              <w:rPr>
                <w:rFonts w:ascii="Arial" w:hAnsi="Arial"/>
                <w:sz w:val="18"/>
                <w:lang w:eastAsia="zh-CN"/>
              </w:rPr>
              <w:t>5.2.5.3. Set to false or omitted otherwise.</w:t>
            </w:r>
          </w:p>
        </w:tc>
        <w:tc>
          <w:tcPr>
            <w:tcW w:w="1257" w:type="dxa"/>
          </w:tcPr>
          <w:p w:rsidR="00CB0DD7" w:rsidRPr="000A0A5F" w:rsidRDefault="00CB0DD7">
            <w:pPr>
              <w:pStyle w:val="TAL"/>
              <w:rPr>
                <w:rFonts w:eastAsia="Times New Roman" w:cs="Arial"/>
                <w:szCs w:val="18"/>
              </w:rPr>
            </w:pPr>
            <w:r w:rsidRPr="000A0A5F">
              <w:t>Notification_test_event</w:t>
            </w:r>
          </w:p>
        </w:tc>
      </w:tr>
      <w:tr w:rsidR="00CB0DD7" w:rsidRPr="000A0A5F" w:rsidTr="00FF0AF8">
        <w:trPr>
          <w:jc w:val="center"/>
        </w:trPr>
        <w:tc>
          <w:tcPr>
            <w:tcW w:w="1948" w:type="dxa"/>
            <w:shd w:val="clear" w:color="auto" w:fill="auto"/>
          </w:tcPr>
          <w:p w:rsidR="00CB0DD7" w:rsidRPr="000A0A5F" w:rsidRDefault="00CB0DD7">
            <w:pPr>
              <w:pStyle w:val="TAL"/>
              <w:rPr>
                <w:rFonts w:hint="eastAsia"/>
                <w:lang w:eastAsia="zh-CN"/>
              </w:rPr>
            </w:pPr>
            <w:r w:rsidRPr="000A0A5F">
              <w:rPr>
                <w:lang w:eastAsia="zh-CN"/>
              </w:rPr>
              <w:t>websockNotifConfig</w:t>
            </w:r>
          </w:p>
        </w:tc>
        <w:tc>
          <w:tcPr>
            <w:tcW w:w="2002" w:type="dxa"/>
            <w:shd w:val="clear" w:color="auto" w:fill="auto"/>
          </w:tcPr>
          <w:p w:rsidR="00CB0DD7" w:rsidRPr="000A0A5F" w:rsidRDefault="00CB0DD7">
            <w:pPr>
              <w:pStyle w:val="TAL"/>
              <w:rPr>
                <w:rFonts w:hint="eastAsia"/>
                <w:lang w:eastAsia="zh-CN"/>
              </w:rPr>
            </w:pPr>
            <w:r w:rsidRPr="000A0A5F">
              <w:rPr>
                <w:lang w:eastAsia="zh-CN"/>
              </w:rPr>
              <w:t>WebsockNotifConfig</w:t>
            </w:r>
          </w:p>
        </w:tc>
        <w:tc>
          <w:tcPr>
            <w:tcW w:w="1134" w:type="dxa"/>
            <w:shd w:val="clear" w:color="auto" w:fill="auto"/>
          </w:tcPr>
          <w:p w:rsidR="00CB0DD7" w:rsidRPr="000A0A5F" w:rsidRDefault="00CB0DD7">
            <w:pPr>
              <w:pStyle w:val="TAL"/>
              <w:rPr>
                <w:rFonts w:hint="eastAsia"/>
                <w:lang w:eastAsia="zh-CN"/>
              </w:rPr>
            </w:pPr>
            <w:r w:rsidRPr="000A0A5F">
              <w:rPr>
                <w:lang w:eastAsia="zh-CN"/>
              </w:rPr>
              <w:t>0..1</w:t>
            </w:r>
          </w:p>
        </w:tc>
        <w:tc>
          <w:tcPr>
            <w:tcW w:w="3261" w:type="dxa"/>
            <w:shd w:val="clear" w:color="auto" w:fill="auto"/>
          </w:tcPr>
          <w:p w:rsidR="00CB0DD7" w:rsidRPr="000A0A5F" w:rsidRDefault="00CB0DD7">
            <w:pPr>
              <w:pStyle w:val="TAL"/>
              <w:rPr>
                <w:rFonts w:cs="Arial" w:hint="eastAsia"/>
                <w:szCs w:val="18"/>
                <w:lang w:eastAsia="zh-CN"/>
              </w:rPr>
            </w:pPr>
            <w:r w:rsidRPr="000A0A5F">
              <w:rPr>
                <w:rFonts w:cs="Arial"/>
                <w:szCs w:val="18"/>
                <w:lang w:eastAsia="zh-CN"/>
              </w:rPr>
              <w:t>Configuration parameters to set up notification delivery over Websocket protocol as defined in clause</w:t>
            </w:r>
            <w:r w:rsidRPr="000A0A5F">
              <w:rPr>
                <w:rFonts w:cs="Arial"/>
                <w:szCs w:val="18"/>
                <w:lang w:val="en-US" w:eastAsia="zh-CN"/>
              </w:rPr>
              <w:t> </w:t>
            </w:r>
            <w:r w:rsidRPr="000A0A5F">
              <w:rPr>
                <w:rFonts w:cs="Arial"/>
                <w:szCs w:val="18"/>
                <w:lang w:eastAsia="zh-CN"/>
              </w:rPr>
              <w:t>5.2.5.4.</w:t>
            </w:r>
          </w:p>
        </w:tc>
        <w:tc>
          <w:tcPr>
            <w:tcW w:w="1257" w:type="dxa"/>
          </w:tcPr>
          <w:p w:rsidR="00CB0DD7" w:rsidRPr="000A0A5F" w:rsidRDefault="00CB0DD7">
            <w:pPr>
              <w:pStyle w:val="TAL"/>
              <w:rPr>
                <w:rFonts w:eastAsia="Times New Roman" w:cs="Arial"/>
                <w:szCs w:val="18"/>
              </w:rPr>
            </w:pPr>
            <w:r w:rsidRPr="000A0A5F">
              <w:rPr>
                <w:lang w:eastAsia="zh-CN"/>
              </w:rPr>
              <w:t>Notification_websocket</w:t>
            </w:r>
          </w:p>
        </w:tc>
      </w:tr>
      <w:tr w:rsidR="00CB0DD7" w:rsidRPr="000A0A5F" w:rsidTr="00FF0AF8">
        <w:trPr>
          <w:jc w:val="center"/>
        </w:trPr>
        <w:tc>
          <w:tcPr>
            <w:tcW w:w="1948" w:type="dxa"/>
            <w:shd w:val="clear" w:color="auto" w:fill="auto"/>
          </w:tcPr>
          <w:p w:rsidR="00CB0DD7" w:rsidRPr="000A0A5F" w:rsidRDefault="00CB0DD7">
            <w:pPr>
              <w:pStyle w:val="TAL"/>
              <w:rPr>
                <w:rFonts w:eastAsia="Times New Roman"/>
              </w:rPr>
            </w:pPr>
            <w:r w:rsidRPr="000A0A5F">
              <w:rPr>
                <w:lang w:eastAsia="zh-CN"/>
              </w:rPr>
              <w:t>e</w:t>
            </w:r>
            <w:r w:rsidRPr="000A0A5F">
              <w:rPr>
                <w:rFonts w:hint="eastAsia"/>
                <w:lang w:eastAsia="zh-CN"/>
              </w:rPr>
              <w:t>xternalGroup</w:t>
            </w:r>
            <w:r w:rsidRPr="000A0A5F">
              <w:rPr>
                <w:lang w:eastAsia="zh-CN"/>
              </w:rPr>
              <w:t>Id</w:t>
            </w:r>
          </w:p>
        </w:tc>
        <w:tc>
          <w:tcPr>
            <w:tcW w:w="2002" w:type="dxa"/>
            <w:shd w:val="clear" w:color="auto" w:fill="auto"/>
          </w:tcPr>
          <w:p w:rsidR="00CB0DD7" w:rsidRPr="000A0A5F" w:rsidRDefault="00CB0DD7">
            <w:pPr>
              <w:pStyle w:val="TAL"/>
              <w:rPr>
                <w:rFonts w:eastAsia="Times New Roman"/>
              </w:rPr>
            </w:pPr>
            <w:r w:rsidRPr="000A0A5F">
              <w:rPr>
                <w:lang w:eastAsia="zh-CN"/>
              </w:rPr>
              <w:t>ExternalGroupId</w:t>
            </w:r>
          </w:p>
        </w:tc>
        <w:tc>
          <w:tcPr>
            <w:tcW w:w="1134" w:type="dxa"/>
            <w:shd w:val="clear" w:color="auto" w:fill="auto"/>
          </w:tcPr>
          <w:p w:rsidR="00CB0DD7" w:rsidRPr="000A0A5F" w:rsidRDefault="00CB0DD7">
            <w:pPr>
              <w:pStyle w:val="TAL"/>
              <w:rPr>
                <w:rFonts w:eastAsia="Times New Roman"/>
              </w:rPr>
            </w:pPr>
            <w:r w:rsidRPr="000A0A5F">
              <w:rPr>
                <w:rFonts w:eastAsia="Times New Roman"/>
              </w:rPr>
              <w:t>0..1</w:t>
            </w:r>
          </w:p>
        </w:tc>
        <w:tc>
          <w:tcPr>
            <w:tcW w:w="3261" w:type="dxa"/>
            <w:shd w:val="clear" w:color="auto" w:fill="auto"/>
          </w:tcPr>
          <w:p w:rsidR="00CB0DD7" w:rsidRPr="000A0A5F" w:rsidRDefault="00CB0DD7">
            <w:pPr>
              <w:pStyle w:val="TAL"/>
              <w:rPr>
                <w:rFonts w:eastAsia="Times New Roman" w:cs="Arial"/>
                <w:szCs w:val="18"/>
              </w:rPr>
            </w:pPr>
            <w:r w:rsidRPr="000A0A5F">
              <w:rPr>
                <w:rFonts w:eastAsia="Times New Roman" w:cs="Arial"/>
                <w:szCs w:val="18"/>
              </w:rPr>
              <w:t>Identifies a user group as defined in clause 4.6.2 of 3GPP TS 23.682 [2].</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rPr>
                <w:rFonts w:hint="eastAsia"/>
                <w:lang w:eastAsia="zh-CN"/>
              </w:rPr>
            </w:pPr>
            <w:r w:rsidRPr="000A0A5F">
              <w:rPr>
                <w:lang w:eastAsia="zh-CN"/>
              </w:rPr>
              <w:t>mbmsLocArea</w:t>
            </w:r>
          </w:p>
        </w:tc>
        <w:tc>
          <w:tcPr>
            <w:tcW w:w="2002" w:type="dxa"/>
            <w:shd w:val="clear" w:color="auto" w:fill="auto"/>
          </w:tcPr>
          <w:p w:rsidR="00CB0DD7" w:rsidRPr="000A0A5F" w:rsidRDefault="00CB0DD7">
            <w:pPr>
              <w:pStyle w:val="TAL"/>
              <w:rPr>
                <w:rFonts w:hint="eastAsia"/>
                <w:lang w:eastAsia="zh-CN"/>
              </w:rPr>
            </w:pPr>
            <w:r w:rsidRPr="000A0A5F">
              <w:rPr>
                <w:lang w:eastAsia="zh-CN"/>
              </w:rPr>
              <w:t>MbmsLocArea</w:t>
            </w:r>
          </w:p>
        </w:tc>
        <w:tc>
          <w:tcPr>
            <w:tcW w:w="1134" w:type="dxa"/>
            <w:shd w:val="clear" w:color="auto" w:fill="auto"/>
          </w:tcPr>
          <w:p w:rsidR="00CB0DD7" w:rsidRPr="000A0A5F" w:rsidRDefault="00CB0DD7">
            <w:pPr>
              <w:pStyle w:val="TAL"/>
              <w:rPr>
                <w:rFonts w:eastAsia="Times New Roman"/>
              </w:rPr>
            </w:pPr>
            <w:r w:rsidRPr="000A0A5F">
              <w:rPr>
                <w:rFonts w:eastAsia="Times New Roman"/>
              </w:rPr>
              <w:t>0..1</w:t>
            </w:r>
          </w:p>
        </w:tc>
        <w:tc>
          <w:tcPr>
            <w:tcW w:w="3261" w:type="dxa"/>
            <w:shd w:val="clear" w:color="auto" w:fill="auto"/>
          </w:tcPr>
          <w:p w:rsidR="00CB0DD7" w:rsidRPr="000A0A5F" w:rsidRDefault="00B803CC" w:rsidP="00B803CC">
            <w:pPr>
              <w:pStyle w:val="TAL"/>
              <w:rPr>
                <w:rFonts w:cs="Arial" w:hint="eastAsia"/>
                <w:szCs w:val="18"/>
                <w:lang w:eastAsia="zh-CN"/>
              </w:rPr>
            </w:pPr>
            <w:r w:rsidRPr="000A0A5F">
              <w:rPr>
                <w:rFonts w:cs="Arial"/>
                <w:szCs w:val="18"/>
                <w:lang w:eastAsia="zh-CN"/>
              </w:rPr>
              <w:t>Represents the location area within which</w:t>
            </w:r>
            <w:r w:rsidR="00CB0DD7" w:rsidRPr="000A0A5F">
              <w:rPr>
                <w:rFonts w:cs="Arial"/>
                <w:szCs w:val="18"/>
                <w:lang w:eastAsia="zh-CN"/>
              </w:rPr>
              <w:t xml:space="preserve"> the group message</w:t>
            </w:r>
            <w:r w:rsidRPr="000A0A5F">
              <w:rPr>
                <w:rFonts w:cs="Arial"/>
                <w:szCs w:val="18"/>
                <w:lang w:eastAsia="zh-CN"/>
              </w:rPr>
              <w:t xml:space="preserve"> delivery via MBMS is allowed</w:t>
            </w:r>
            <w:r w:rsidR="00CB0DD7" w:rsidRPr="000A0A5F">
              <w:rPr>
                <w:rFonts w:cs="Arial"/>
                <w:szCs w:val="18"/>
                <w:lang w:eastAsia="zh-CN"/>
              </w:rPr>
              <w:t>.</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rPr>
                <w:rFonts w:hint="eastAsia"/>
                <w:lang w:eastAsia="zh-CN"/>
              </w:rPr>
            </w:pPr>
            <w:r w:rsidRPr="000A0A5F">
              <w:rPr>
                <w:lang w:eastAsia="zh-CN"/>
              </w:rPr>
              <w:t>messageDeliveryStartTime</w:t>
            </w:r>
          </w:p>
        </w:tc>
        <w:tc>
          <w:tcPr>
            <w:tcW w:w="2002" w:type="dxa"/>
            <w:shd w:val="clear" w:color="auto" w:fill="auto"/>
          </w:tcPr>
          <w:p w:rsidR="00CB0DD7" w:rsidRPr="000A0A5F" w:rsidRDefault="00CB0DD7">
            <w:pPr>
              <w:pStyle w:val="TAL"/>
              <w:rPr>
                <w:rFonts w:hint="eastAsia"/>
                <w:lang w:eastAsia="zh-CN"/>
              </w:rPr>
            </w:pPr>
            <w:r w:rsidRPr="000A0A5F">
              <w:rPr>
                <w:lang w:eastAsia="zh-CN"/>
              </w:rPr>
              <w:t>D</w:t>
            </w:r>
            <w:r w:rsidRPr="000A0A5F">
              <w:rPr>
                <w:rFonts w:hint="eastAsia"/>
                <w:lang w:eastAsia="zh-CN"/>
              </w:rPr>
              <w:t>at</w:t>
            </w:r>
            <w:r w:rsidRPr="000A0A5F">
              <w:rPr>
                <w:lang w:eastAsia="zh-CN"/>
              </w:rPr>
              <w:t>eT</w:t>
            </w:r>
            <w:r w:rsidRPr="000A0A5F">
              <w:rPr>
                <w:rFonts w:hint="eastAsia"/>
                <w:lang w:eastAsia="zh-CN"/>
              </w:rPr>
              <w:t>ime</w:t>
            </w:r>
          </w:p>
        </w:tc>
        <w:tc>
          <w:tcPr>
            <w:tcW w:w="1134" w:type="dxa"/>
            <w:shd w:val="clear" w:color="auto" w:fill="auto"/>
          </w:tcPr>
          <w:p w:rsidR="00CB0DD7" w:rsidRPr="000A0A5F" w:rsidRDefault="00CB0DD7">
            <w:pPr>
              <w:pStyle w:val="TAL"/>
              <w:rPr>
                <w:rFonts w:eastAsia="Times New Roman"/>
              </w:rPr>
            </w:pPr>
            <w:r w:rsidRPr="000A0A5F">
              <w:rPr>
                <w:rFonts w:eastAsia="Times New Roman"/>
              </w:rPr>
              <w:t>0..1</w:t>
            </w:r>
          </w:p>
        </w:tc>
        <w:tc>
          <w:tcPr>
            <w:tcW w:w="3261" w:type="dxa"/>
            <w:shd w:val="clear" w:color="auto" w:fill="auto"/>
          </w:tcPr>
          <w:p w:rsidR="00CB0DD7" w:rsidRPr="000A0A5F" w:rsidRDefault="00CB0DD7">
            <w:pPr>
              <w:pStyle w:val="TAL"/>
              <w:rPr>
                <w:rFonts w:cs="Arial" w:hint="eastAsia"/>
                <w:szCs w:val="18"/>
                <w:lang w:eastAsia="zh-CN"/>
              </w:rPr>
            </w:pPr>
            <w:r w:rsidRPr="000A0A5F">
              <w:rPr>
                <w:rFonts w:cs="Arial" w:hint="eastAsia"/>
                <w:szCs w:val="18"/>
                <w:lang w:eastAsia="zh-CN"/>
              </w:rPr>
              <w:t>Identifies the absolute time at which the</w:t>
            </w:r>
            <w:r w:rsidRPr="000A0A5F">
              <w:rPr>
                <w:rFonts w:cs="Arial"/>
                <w:szCs w:val="18"/>
                <w:lang w:eastAsia="zh-CN"/>
              </w:rPr>
              <w:t xml:space="preserve"> SCS/As starts to distribute the data.</w:t>
            </w:r>
            <w:r w:rsidRPr="000A0A5F">
              <w:rPr>
                <w:rFonts w:cs="Arial" w:hint="eastAsia"/>
                <w:szCs w:val="18"/>
                <w:lang w:eastAsia="zh-CN"/>
              </w:rPr>
              <w:t xml:space="preserve"> If absent, it indicates the message shall be sent immediately.</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rPr>
                <w:lang w:eastAsia="zh-CN"/>
              </w:rPr>
            </w:pPr>
            <w:r w:rsidRPr="000A0A5F">
              <w:rPr>
                <w:rFonts w:hint="eastAsia"/>
                <w:lang w:eastAsia="zh-CN"/>
              </w:rPr>
              <w:t>groupMessage</w:t>
            </w:r>
            <w:r w:rsidRPr="000A0A5F">
              <w:rPr>
                <w:lang w:eastAsia="zh-CN"/>
              </w:rPr>
              <w:t>P</w:t>
            </w:r>
            <w:r w:rsidRPr="000A0A5F">
              <w:rPr>
                <w:rFonts w:hint="eastAsia"/>
                <w:lang w:eastAsia="zh-CN"/>
              </w:rPr>
              <w:t>ayload</w:t>
            </w:r>
          </w:p>
        </w:tc>
        <w:tc>
          <w:tcPr>
            <w:tcW w:w="2002" w:type="dxa"/>
            <w:shd w:val="clear" w:color="auto" w:fill="auto"/>
          </w:tcPr>
          <w:p w:rsidR="00CB0DD7" w:rsidRPr="000A0A5F" w:rsidRDefault="00CB0DD7">
            <w:pPr>
              <w:pStyle w:val="TAL"/>
              <w:rPr>
                <w:lang w:eastAsia="zh-CN"/>
              </w:rPr>
            </w:pPr>
            <w:r w:rsidRPr="000A0A5F">
              <w:rPr>
                <w:lang w:eastAsia="zh-CN"/>
              </w:rPr>
              <w:t>Bytes</w:t>
            </w:r>
          </w:p>
        </w:tc>
        <w:tc>
          <w:tcPr>
            <w:tcW w:w="1134" w:type="dxa"/>
            <w:shd w:val="clear" w:color="auto" w:fill="auto"/>
          </w:tcPr>
          <w:p w:rsidR="00CB0DD7" w:rsidRPr="000A0A5F" w:rsidRDefault="00CB0DD7">
            <w:pPr>
              <w:pStyle w:val="TAL"/>
              <w:rPr>
                <w:rFonts w:hint="eastAsia"/>
                <w:lang w:eastAsia="zh-CN"/>
              </w:rPr>
            </w:pPr>
            <w:r w:rsidRPr="000A0A5F">
              <w:rPr>
                <w:rFonts w:hint="eastAsia"/>
                <w:lang w:eastAsia="zh-CN"/>
              </w:rPr>
              <w:t>0..1</w:t>
            </w:r>
          </w:p>
        </w:tc>
        <w:tc>
          <w:tcPr>
            <w:tcW w:w="3261" w:type="dxa"/>
            <w:shd w:val="clear" w:color="auto" w:fill="auto"/>
          </w:tcPr>
          <w:p w:rsidR="00CB0DD7" w:rsidRPr="000A0A5F" w:rsidRDefault="00CB0DD7">
            <w:pPr>
              <w:pStyle w:val="TAL"/>
              <w:rPr>
                <w:rFonts w:cs="Arial" w:hint="eastAsia"/>
                <w:szCs w:val="18"/>
                <w:lang w:eastAsia="zh-CN"/>
              </w:rPr>
            </w:pPr>
            <w:r w:rsidRPr="000A0A5F">
              <w:rPr>
                <w:rFonts w:cs="Arial" w:hint="eastAsia"/>
                <w:szCs w:val="18"/>
                <w:lang w:eastAsia="zh-CN"/>
              </w:rPr>
              <w:t>Indica</w:t>
            </w:r>
            <w:r w:rsidRPr="000A0A5F">
              <w:rPr>
                <w:rFonts w:cs="Arial"/>
                <w:szCs w:val="18"/>
                <w:lang w:eastAsia="zh-CN"/>
              </w:rPr>
              <w:t>tes the payload the SCS/AS intends to deliver to the UEs.</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rPr>
                <w:rFonts w:hint="eastAsia"/>
                <w:lang w:eastAsia="zh-CN"/>
              </w:rPr>
            </w:pPr>
            <w:r w:rsidRPr="000A0A5F">
              <w:rPr>
                <w:rFonts w:hint="eastAsia"/>
                <w:lang w:eastAsia="zh-CN"/>
              </w:rPr>
              <w:t>scefMessageDeliveryIP</w:t>
            </w:r>
            <w:r w:rsidRPr="000A0A5F">
              <w:rPr>
                <w:lang w:eastAsia="zh-CN"/>
              </w:rPr>
              <w:t>v4</w:t>
            </w:r>
          </w:p>
        </w:tc>
        <w:tc>
          <w:tcPr>
            <w:tcW w:w="2002" w:type="dxa"/>
            <w:shd w:val="clear" w:color="auto" w:fill="auto"/>
          </w:tcPr>
          <w:p w:rsidR="00CB0DD7" w:rsidRPr="000A0A5F" w:rsidRDefault="00CB0DD7">
            <w:pPr>
              <w:pStyle w:val="TAL"/>
              <w:rPr>
                <w:rFonts w:hint="eastAsia"/>
                <w:lang w:eastAsia="zh-CN"/>
              </w:rPr>
            </w:pPr>
            <w:r w:rsidRPr="000A0A5F">
              <w:rPr>
                <w:rFonts w:hint="eastAsia"/>
                <w:lang w:eastAsia="zh-CN"/>
              </w:rPr>
              <w:t>Ipv4Addr</w:t>
            </w:r>
            <w:r w:rsidRPr="000A0A5F">
              <w:rPr>
                <w:lang w:eastAsia="zh-CN"/>
              </w:rPr>
              <w:t>Ro</w:t>
            </w:r>
          </w:p>
        </w:tc>
        <w:tc>
          <w:tcPr>
            <w:tcW w:w="1134" w:type="dxa"/>
            <w:shd w:val="clear" w:color="auto" w:fill="auto"/>
          </w:tcPr>
          <w:p w:rsidR="00CB0DD7" w:rsidRPr="000A0A5F" w:rsidRDefault="00CB0DD7">
            <w:pPr>
              <w:pStyle w:val="TAL"/>
              <w:rPr>
                <w:rFonts w:hint="eastAsia"/>
                <w:lang w:eastAsia="zh-CN"/>
              </w:rPr>
            </w:pPr>
            <w:r w:rsidRPr="000A0A5F">
              <w:rPr>
                <w:rFonts w:hint="eastAsia"/>
                <w:lang w:eastAsia="zh-CN"/>
              </w:rPr>
              <w:t>0..1</w:t>
            </w:r>
          </w:p>
        </w:tc>
        <w:tc>
          <w:tcPr>
            <w:tcW w:w="3261" w:type="dxa"/>
            <w:shd w:val="clear" w:color="auto" w:fill="auto"/>
          </w:tcPr>
          <w:p w:rsidR="00CB0DD7" w:rsidRPr="000A0A5F" w:rsidRDefault="00CB0DD7">
            <w:pPr>
              <w:pStyle w:val="TAL"/>
              <w:rPr>
                <w:rFonts w:cs="Arial" w:hint="eastAsia"/>
                <w:szCs w:val="18"/>
                <w:lang w:eastAsia="zh-CN"/>
              </w:rPr>
            </w:pPr>
            <w:r w:rsidRPr="000A0A5F">
              <w:rPr>
                <w:rFonts w:cs="Arial" w:hint="eastAsia"/>
                <w:szCs w:val="18"/>
                <w:lang w:eastAsia="zh-CN"/>
              </w:rPr>
              <w:t>Indicates</w:t>
            </w:r>
            <w:r w:rsidRPr="000A0A5F">
              <w:rPr>
                <w:rFonts w:cs="Arial"/>
                <w:szCs w:val="18"/>
                <w:lang w:eastAsia="zh-CN"/>
              </w:rPr>
              <w:t xml:space="preserve"> the Ipv4 address where the SCEF wants to receive the data.</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rPr>
                <w:rFonts w:hint="eastAsia"/>
                <w:lang w:eastAsia="zh-CN"/>
              </w:rPr>
            </w:pPr>
            <w:r w:rsidRPr="000A0A5F">
              <w:rPr>
                <w:rFonts w:hint="eastAsia"/>
                <w:lang w:eastAsia="zh-CN"/>
              </w:rPr>
              <w:t>scefMessage</w:t>
            </w:r>
            <w:r w:rsidRPr="000A0A5F">
              <w:rPr>
                <w:lang w:eastAsia="zh-CN"/>
              </w:rPr>
              <w:t>D</w:t>
            </w:r>
            <w:r w:rsidRPr="000A0A5F">
              <w:rPr>
                <w:rFonts w:hint="eastAsia"/>
                <w:lang w:eastAsia="zh-CN"/>
              </w:rPr>
              <w:t>eliveryIP</w:t>
            </w:r>
            <w:r w:rsidRPr="000A0A5F">
              <w:rPr>
                <w:lang w:eastAsia="zh-CN"/>
              </w:rPr>
              <w:t>v6</w:t>
            </w:r>
          </w:p>
        </w:tc>
        <w:tc>
          <w:tcPr>
            <w:tcW w:w="2002" w:type="dxa"/>
            <w:shd w:val="clear" w:color="auto" w:fill="auto"/>
          </w:tcPr>
          <w:p w:rsidR="00CB0DD7" w:rsidRPr="000A0A5F" w:rsidRDefault="00CB0DD7">
            <w:pPr>
              <w:pStyle w:val="TAL"/>
              <w:rPr>
                <w:rFonts w:hint="eastAsia"/>
                <w:lang w:eastAsia="zh-CN"/>
              </w:rPr>
            </w:pPr>
            <w:r w:rsidRPr="000A0A5F">
              <w:rPr>
                <w:rFonts w:hint="eastAsia"/>
                <w:lang w:eastAsia="zh-CN"/>
              </w:rPr>
              <w:t>Ipv6Addr</w:t>
            </w:r>
            <w:r w:rsidRPr="000A0A5F">
              <w:rPr>
                <w:lang w:eastAsia="zh-CN"/>
              </w:rPr>
              <w:t>Ro</w:t>
            </w:r>
          </w:p>
        </w:tc>
        <w:tc>
          <w:tcPr>
            <w:tcW w:w="1134" w:type="dxa"/>
            <w:shd w:val="clear" w:color="auto" w:fill="auto"/>
          </w:tcPr>
          <w:p w:rsidR="00CB0DD7" w:rsidRPr="000A0A5F" w:rsidRDefault="00CB0DD7">
            <w:pPr>
              <w:pStyle w:val="TAL"/>
              <w:rPr>
                <w:rFonts w:hint="eastAsia"/>
                <w:lang w:eastAsia="zh-CN"/>
              </w:rPr>
            </w:pPr>
            <w:r w:rsidRPr="000A0A5F">
              <w:rPr>
                <w:rFonts w:hint="eastAsia"/>
                <w:lang w:eastAsia="zh-CN"/>
              </w:rPr>
              <w:t>0..1</w:t>
            </w:r>
          </w:p>
        </w:tc>
        <w:tc>
          <w:tcPr>
            <w:tcW w:w="3261" w:type="dxa"/>
            <w:shd w:val="clear" w:color="auto" w:fill="auto"/>
          </w:tcPr>
          <w:p w:rsidR="00CB0DD7" w:rsidRPr="000A0A5F" w:rsidRDefault="00CB0DD7">
            <w:pPr>
              <w:pStyle w:val="TAL"/>
              <w:rPr>
                <w:rFonts w:cs="Arial" w:hint="eastAsia"/>
                <w:szCs w:val="18"/>
                <w:lang w:eastAsia="zh-CN"/>
              </w:rPr>
            </w:pPr>
            <w:r w:rsidRPr="000A0A5F">
              <w:rPr>
                <w:rFonts w:cs="Arial" w:hint="eastAsia"/>
                <w:szCs w:val="18"/>
                <w:lang w:eastAsia="zh-CN"/>
              </w:rPr>
              <w:t>Indicates</w:t>
            </w:r>
            <w:r w:rsidRPr="000A0A5F">
              <w:rPr>
                <w:rFonts w:cs="Arial"/>
                <w:szCs w:val="18"/>
                <w:lang w:eastAsia="zh-CN"/>
              </w:rPr>
              <w:t xml:space="preserve"> the Ipv6 address where the SCEF wants to receive the data.</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rPr>
                <w:rFonts w:hint="eastAsia"/>
                <w:lang w:eastAsia="zh-CN"/>
              </w:rPr>
            </w:pPr>
            <w:r w:rsidRPr="000A0A5F">
              <w:rPr>
                <w:rFonts w:hint="eastAsia"/>
                <w:lang w:eastAsia="zh-CN"/>
              </w:rPr>
              <w:t>scefMessageDelivery</w:t>
            </w:r>
            <w:r w:rsidRPr="000A0A5F">
              <w:rPr>
                <w:lang w:eastAsia="zh-CN"/>
              </w:rPr>
              <w:t>Port</w:t>
            </w:r>
          </w:p>
        </w:tc>
        <w:tc>
          <w:tcPr>
            <w:tcW w:w="2002" w:type="dxa"/>
            <w:shd w:val="clear" w:color="auto" w:fill="auto"/>
          </w:tcPr>
          <w:p w:rsidR="00CB0DD7" w:rsidRPr="000A0A5F" w:rsidRDefault="00CB0DD7">
            <w:pPr>
              <w:pStyle w:val="TAL"/>
              <w:rPr>
                <w:rFonts w:hint="eastAsia"/>
                <w:lang w:eastAsia="zh-CN"/>
              </w:rPr>
            </w:pPr>
            <w:r w:rsidRPr="000A0A5F">
              <w:rPr>
                <w:lang w:eastAsia="zh-CN"/>
              </w:rPr>
              <w:t>PortRo</w:t>
            </w:r>
          </w:p>
        </w:tc>
        <w:tc>
          <w:tcPr>
            <w:tcW w:w="1134" w:type="dxa"/>
            <w:shd w:val="clear" w:color="auto" w:fill="auto"/>
          </w:tcPr>
          <w:p w:rsidR="00CB0DD7" w:rsidRPr="000A0A5F" w:rsidRDefault="00CB0DD7">
            <w:pPr>
              <w:pStyle w:val="TAL"/>
              <w:rPr>
                <w:rFonts w:hint="eastAsia"/>
                <w:lang w:eastAsia="zh-CN"/>
              </w:rPr>
            </w:pPr>
            <w:r w:rsidRPr="000A0A5F">
              <w:rPr>
                <w:rFonts w:hint="eastAsia"/>
                <w:lang w:eastAsia="zh-CN"/>
              </w:rPr>
              <w:t>0..1</w:t>
            </w:r>
          </w:p>
        </w:tc>
        <w:tc>
          <w:tcPr>
            <w:tcW w:w="3261" w:type="dxa"/>
            <w:shd w:val="clear" w:color="auto" w:fill="auto"/>
          </w:tcPr>
          <w:p w:rsidR="00CB0DD7" w:rsidRPr="000A0A5F" w:rsidRDefault="00CB0DD7">
            <w:pPr>
              <w:pStyle w:val="TAL"/>
              <w:rPr>
                <w:rFonts w:cs="Arial" w:hint="eastAsia"/>
                <w:szCs w:val="18"/>
                <w:lang w:eastAsia="zh-CN"/>
              </w:rPr>
            </w:pPr>
            <w:r w:rsidRPr="000A0A5F">
              <w:rPr>
                <w:rFonts w:cs="Arial"/>
                <w:szCs w:val="18"/>
                <w:lang w:eastAsia="zh-CN"/>
              </w:rPr>
              <w:t>I</w:t>
            </w:r>
            <w:r w:rsidRPr="000A0A5F">
              <w:rPr>
                <w:rFonts w:cs="Arial" w:hint="eastAsia"/>
                <w:szCs w:val="18"/>
                <w:lang w:eastAsia="zh-CN"/>
              </w:rPr>
              <w:t>ndicates</w:t>
            </w:r>
            <w:r w:rsidRPr="000A0A5F">
              <w:rPr>
                <w:rFonts w:cs="Arial"/>
                <w:szCs w:val="18"/>
                <w:lang w:eastAsia="zh-CN"/>
              </w:rPr>
              <w:t xml:space="preserve"> the port number where the SCEF wants to receive the data.</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9602" w:type="dxa"/>
            <w:gridSpan w:val="5"/>
            <w:shd w:val="clear" w:color="auto" w:fill="auto"/>
          </w:tcPr>
          <w:p w:rsidR="00CB0DD7" w:rsidRPr="000A0A5F" w:rsidRDefault="00CB0DD7">
            <w:pPr>
              <w:pStyle w:val="TAN"/>
            </w:pPr>
            <w:r w:rsidRPr="000A0A5F">
              <w:t>NOTE:</w:t>
            </w:r>
            <w:r w:rsidRPr="000A0A5F">
              <w:tab/>
              <w:t>Properties marked with a feature as defined in clause 5.8.4 are applicable as described in clause 5.2.7. If no features are indicated, the related property applies for all the features.</w:t>
            </w:r>
          </w:p>
        </w:tc>
      </w:tr>
    </w:tbl>
    <w:p w:rsidR="00CB0DD7" w:rsidRPr="000A0A5F" w:rsidRDefault="00CB0DD7"/>
    <w:p w:rsidR="00CB0DD7" w:rsidRPr="000A0A5F" w:rsidRDefault="00CB0DD7">
      <w:pPr>
        <w:pStyle w:val="Heading6"/>
      </w:pPr>
      <w:bookmarkStart w:id="5288" w:name="_Toc11247567"/>
      <w:bookmarkStart w:id="5289" w:name="_Toc27044706"/>
      <w:bookmarkStart w:id="5290" w:name="_Toc36033748"/>
      <w:bookmarkStart w:id="5291" w:name="_Toc45131894"/>
      <w:bookmarkStart w:id="5292" w:name="_Toc49776179"/>
      <w:bookmarkStart w:id="5293" w:name="_Toc51747099"/>
      <w:bookmarkStart w:id="5294" w:name="_Toc66360663"/>
      <w:bookmarkStart w:id="5295" w:name="_Toc68105168"/>
      <w:bookmarkStart w:id="5296" w:name="_Toc74755798"/>
      <w:bookmarkStart w:id="5297" w:name="_Toc105674673"/>
      <w:bookmarkStart w:id="5298" w:name="_Toc130502725"/>
      <w:bookmarkStart w:id="5299" w:name="_Toc153625512"/>
      <w:r w:rsidRPr="000A0A5F">
        <w:t>5.8.2.1.1.4</w:t>
      </w:r>
      <w:r w:rsidRPr="000A0A5F">
        <w:tab/>
        <w:t>Type: GMDByMb2Notification</w:t>
      </w:r>
      <w:bookmarkEnd w:id="5288"/>
      <w:bookmarkEnd w:id="5289"/>
      <w:bookmarkEnd w:id="5290"/>
      <w:bookmarkEnd w:id="5291"/>
      <w:bookmarkEnd w:id="5292"/>
      <w:bookmarkEnd w:id="5293"/>
      <w:bookmarkEnd w:id="5294"/>
      <w:bookmarkEnd w:id="5295"/>
      <w:bookmarkEnd w:id="5296"/>
      <w:bookmarkEnd w:id="5297"/>
      <w:bookmarkEnd w:id="5298"/>
      <w:bookmarkEnd w:id="5299"/>
    </w:p>
    <w:p w:rsidR="00CB0DD7" w:rsidRPr="000A0A5F" w:rsidRDefault="00CB0DD7">
      <w:r w:rsidRPr="000A0A5F">
        <w:t xml:space="preserve">This type represents the group message delivery notification. </w:t>
      </w:r>
    </w:p>
    <w:p w:rsidR="00CB0DD7" w:rsidRPr="000A0A5F" w:rsidRDefault="00CB0DD7">
      <w:pPr>
        <w:pStyle w:val="TH"/>
      </w:pPr>
      <w:r w:rsidRPr="000A0A5F">
        <w:rPr>
          <w:noProof/>
        </w:rPr>
        <w:t>Table </w:t>
      </w:r>
      <w:r w:rsidRPr="000A0A5F">
        <w:t xml:space="preserve">5.8.2.1.1.4-1: </w:t>
      </w:r>
      <w:r w:rsidRPr="000A0A5F">
        <w:rPr>
          <w:noProof/>
        </w:rPr>
        <w:t xml:space="preserve">Definition of type </w:t>
      </w:r>
      <w:r w:rsidRPr="000A0A5F">
        <w:t>GMDByMb2Notification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948"/>
        <w:gridCol w:w="1010"/>
        <w:gridCol w:w="2392"/>
        <w:gridCol w:w="2995"/>
        <w:gridCol w:w="1257"/>
      </w:tblGrid>
      <w:tr w:rsidR="00CB0DD7" w:rsidRPr="000A0A5F" w:rsidTr="00FF0AF8">
        <w:trPr>
          <w:jc w:val="center"/>
        </w:trPr>
        <w:tc>
          <w:tcPr>
            <w:tcW w:w="1948" w:type="dxa"/>
            <w:shd w:val="clear" w:color="auto" w:fill="C0C0C0"/>
          </w:tcPr>
          <w:p w:rsidR="00CB0DD7" w:rsidRPr="000A0A5F" w:rsidRDefault="00CB0DD7">
            <w:pPr>
              <w:pStyle w:val="TAH"/>
              <w:rPr>
                <w:rFonts w:eastAsia="Times New Roman"/>
              </w:rPr>
            </w:pPr>
            <w:r w:rsidRPr="000A0A5F">
              <w:rPr>
                <w:rFonts w:eastAsia="Times New Roman"/>
              </w:rPr>
              <w:t>Attribute name</w:t>
            </w:r>
          </w:p>
        </w:tc>
        <w:tc>
          <w:tcPr>
            <w:tcW w:w="1010" w:type="dxa"/>
            <w:shd w:val="clear" w:color="auto" w:fill="C0C0C0"/>
          </w:tcPr>
          <w:p w:rsidR="00CB0DD7" w:rsidRPr="000A0A5F" w:rsidRDefault="00CB0DD7">
            <w:pPr>
              <w:pStyle w:val="TAH"/>
              <w:rPr>
                <w:rFonts w:eastAsia="Times New Roman"/>
              </w:rPr>
            </w:pPr>
            <w:r w:rsidRPr="000A0A5F">
              <w:rPr>
                <w:rFonts w:eastAsia="Times New Roman"/>
              </w:rPr>
              <w:t>Data type</w:t>
            </w:r>
          </w:p>
        </w:tc>
        <w:tc>
          <w:tcPr>
            <w:tcW w:w="2392" w:type="dxa"/>
            <w:shd w:val="clear" w:color="auto" w:fill="C0C0C0"/>
          </w:tcPr>
          <w:p w:rsidR="00CB0DD7" w:rsidRPr="000A0A5F" w:rsidRDefault="00CB0DD7">
            <w:pPr>
              <w:pStyle w:val="TAH"/>
              <w:jc w:val="left"/>
              <w:rPr>
                <w:rFonts w:eastAsia="Times New Roman"/>
              </w:rPr>
            </w:pPr>
            <w:r w:rsidRPr="000A0A5F">
              <w:rPr>
                <w:rFonts w:eastAsia="Times New Roman"/>
              </w:rPr>
              <w:t>Cardinality</w:t>
            </w:r>
          </w:p>
        </w:tc>
        <w:tc>
          <w:tcPr>
            <w:tcW w:w="2995"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Description</w:t>
            </w:r>
          </w:p>
        </w:tc>
        <w:tc>
          <w:tcPr>
            <w:tcW w:w="1257"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Applicability (NOTE)</w:t>
            </w:r>
          </w:p>
        </w:tc>
      </w:tr>
      <w:tr w:rsidR="00CB0DD7" w:rsidRPr="000A0A5F" w:rsidTr="00FF0AF8">
        <w:trPr>
          <w:jc w:val="center"/>
        </w:trPr>
        <w:tc>
          <w:tcPr>
            <w:tcW w:w="1948" w:type="dxa"/>
            <w:shd w:val="clear" w:color="auto" w:fill="auto"/>
          </w:tcPr>
          <w:p w:rsidR="00CB0DD7" w:rsidRPr="000A0A5F" w:rsidRDefault="00CB0DD7">
            <w:pPr>
              <w:pStyle w:val="TAH"/>
              <w:jc w:val="left"/>
              <w:rPr>
                <w:rFonts w:eastAsia="Times New Roman"/>
                <w:b w:val="0"/>
              </w:rPr>
            </w:pPr>
            <w:r w:rsidRPr="000A0A5F">
              <w:rPr>
                <w:b w:val="0"/>
              </w:rPr>
              <w:t>transaction</w:t>
            </w:r>
          </w:p>
        </w:tc>
        <w:tc>
          <w:tcPr>
            <w:tcW w:w="1010" w:type="dxa"/>
            <w:shd w:val="clear" w:color="auto" w:fill="auto"/>
          </w:tcPr>
          <w:p w:rsidR="00CB0DD7" w:rsidRPr="000A0A5F" w:rsidRDefault="00CB0DD7">
            <w:pPr>
              <w:pStyle w:val="TAH"/>
              <w:jc w:val="left"/>
              <w:rPr>
                <w:rFonts w:eastAsia="Times New Roman"/>
                <w:b w:val="0"/>
              </w:rPr>
            </w:pPr>
            <w:r w:rsidRPr="000A0A5F">
              <w:rPr>
                <w:b w:val="0"/>
              </w:rPr>
              <w:t>Link</w:t>
            </w:r>
          </w:p>
        </w:tc>
        <w:tc>
          <w:tcPr>
            <w:tcW w:w="2392" w:type="dxa"/>
            <w:shd w:val="clear" w:color="auto" w:fill="auto"/>
          </w:tcPr>
          <w:p w:rsidR="00CB0DD7" w:rsidRPr="000A0A5F" w:rsidRDefault="00CB0DD7">
            <w:pPr>
              <w:pStyle w:val="TAH"/>
              <w:jc w:val="left"/>
              <w:rPr>
                <w:rFonts w:eastAsia="Times New Roman"/>
                <w:b w:val="0"/>
              </w:rPr>
            </w:pPr>
            <w:r w:rsidRPr="000A0A5F">
              <w:rPr>
                <w:b w:val="0"/>
              </w:rPr>
              <w:t>1</w:t>
            </w:r>
          </w:p>
        </w:tc>
        <w:tc>
          <w:tcPr>
            <w:tcW w:w="2995" w:type="dxa"/>
            <w:shd w:val="clear" w:color="auto" w:fill="auto"/>
          </w:tcPr>
          <w:p w:rsidR="00CB0DD7" w:rsidRPr="000A0A5F" w:rsidRDefault="00CB0DD7">
            <w:pPr>
              <w:pStyle w:val="TAH"/>
              <w:jc w:val="left"/>
              <w:rPr>
                <w:rFonts w:eastAsia="Times New Roman" w:cs="Arial"/>
                <w:b w:val="0"/>
                <w:szCs w:val="18"/>
              </w:rPr>
            </w:pPr>
            <w:r w:rsidRPr="000A0A5F">
              <w:rPr>
                <w:b w:val="0"/>
              </w:rPr>
              <w:t>Link to the transaction resource to which this notification is related.</w:t>
            </w:r>
          </w:p>
        </w:tc>
        <w:tc>
          <w:tcPr>
            <w:tcW w:w="1257" w:type="dxa"/>
            <w:shd w:val="clear" w:color="auto" w:fill="auto"/>
          </w:tcPr>
          <w:p w:rsidR="00CB0DD7" w:rsidRPr="000A0A5F" w:rsidRDefault="00CB0DD7">
            <w:pPr>
              <w:pStyle w:val="TAH"/>
              <w:jc w:val="left"/>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rPr>
                <w:rFonts w:hint="eastAsia"/>
                <w:lang w:eastAsia="zh-CN"/>
              </w:rPr>
            </w:pPr>
            <w:r w:rsidRPr="000A0A5F">
              <w:rPr>
                <w:lang w:eastAsia="zh-CN"/>
              </w:rPr>
              <w:t>deliveryTriggerS</w:t>
            </w:r>
            <w:r w:rsidRPr="000A0A5F">
              <w:rPr>
                <w:rFonts w:hint="eastAsia"/>
                <w:lang w:eastAsia="zh-CN"/>
              </w:rPr>
              <w:t>tatus</w:t>
            </w:r>
          </w:p>
        </w:tc>
        <w:tc>
          <w:tcPr>
            <w:tcW w:w="1010" w:type="dxa"/>
            <w:shd w:val="clear" w:color="auto" w:fill="auto"/>
          </w:tcPr>
          <w:p w:rsidR="00CB0DD7" w:rsidRPr="000A0A5F" w:rsidRDefault="00CB0DD7">
            <w:pPr>
              <w:pStyle w:val="TAL"/>
              <w:rPr>
                <w:rFonts w:hint="eastAsia"/>
                <w:lang w:eastAsia="zh-CN"/>
              </w:rPr>
            </w:pPr>
            <w:r w:rsidRPr="000A0A5F">
              <w:rPr>
                <w:lang w:eastAsia="zh-CN"/>
              </w:rPr>
              <w:t>boolean</w:t>
            </w:r>
          </w:p>
        </w:tc>
        <w:tc>
          <w:tcPr>
            <w:tcW w:w="2392" w:type="dxa"/>
            <w:shd w:val="clear" w:color="auto" w:fill="auto"/>
          </w:tcPr>
          <w:p w:rsidR="00CB0DD7" w:rsidRPr="000A0A5F" w:rsidRDefault="00CB0DD7">
            <w:pPr>
              <w:pStyle w:val="TAL"/>
              <w:rPr>
                <w:rFonts w:hint="eastAsia"/>
                <w:lang w:eastAsia="zh-CN"/>
              </w:rPr>
            </w:pPr>
            <w:r w:rsidRPr="000A0A5F">
              <w:rPr>
                <w:rFonts w:hint="eastAsia"/>
                <w:lang w:eastAsia="zh-CN"/>
              </w:rPr>
              <w:t>1</w:t>
            </w:r>
          </w:p>
        </w:tc>
        <w:tc>
          <w:tcPr>
            <w:tcW w:w="2995" w:type="dxa"/>
            <w:shd w:val="clear" w:color="auto" w:fill="auto"/>
          </w:tcPr>
          <w:p w:rsidR="00CB0DD7" w:rsidRPr="000A0A5F" w:rsidRDefault="00CB0DD7">
            <w:pPr>
              <w:pStyle w:val="TAL"/>
              <w:rPr>
                <w:rFonts w:cs="Arial" w:hint="eastAsia"/>
                <w:szCs w:val="18"/>
                <w:lang w:eastAsia="zh-CN"/>
              </w:rPr>
            </w:pPr>
            <w:r w:rsidRPr="000A0A5F">
              <w:rPr>
                <w:rFonts w:cs="Arial"/>
                <w:szCs w:val="18"/>
                <w:lang w:eastAsia="zh-CN"/>
              </w:rPr>
              <w:t>I</w:t>
            </w:r>
            <w:r w:rsidRPr="000A0A5F">
              <w:rPr>
                <w:rFonts w:cs="Arial" w:hint="eastAsia"/>
                <w:szCs w:val="18"/>
                <w:lang w:eastAsia="zh-CN"/>
              </w:rPr>
              <w:t>ndicate</w:t>
            </w:r>
            <w:r w:rsidRPr="000A0A5F">
              <w:rPr>
                <w:rFonts w:cs="Arial"/>
                <w:szCs w:val="18"/>
                <w:lang w:eastAsia="zh-CN"/>
              </w:rPr>
              <w:t>s</w:t>
            </w:r>
            <w:r w:rsidRPr="000A0A5F">
              <w:rPr>
                <w:rFonts w:cs="Arial" w:hint="eastAsia"/>
                <w:szCs w:val="18"/>
                <w:lang w:eastAsia="zh-CN"/>
              </w:rPr>
              <w:t xml:space="preserve"> </w:t>
            </w:r>
            <w:r w:rsidRPr="000A0A5F">
              <w:rPr>
                <w:rFonts w:cs="Arial"/>
                <w:szCs w:val="18"/>
                <w:lang w:eastAsia="zh-CN"/>
              </w:rPr>
              <w:t>whether delivery of group message payload corresponding to the TMGI was successful (TRUE) or not (FALSE).</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9602" w:type="dxa"/>
            <w:gridSpan w:val="5"/>
            <w:shd w:val="clear" w:color="auto" w:fill="auto"/>
          </w:tcPr>
          <w:p w:rsidR="00CB0DD7" w:rsidRPr="000A0A5F" w:rsidRDefault="00CB0DD7">
            <w:pPr>
              <w:pStyle w:val="TAN"/>
            </w:pPr>
            <w:r w:rsidRPr="000A0A5F">
              <w:t>NOTE:</w:t>
            </w:r>
            <w:r w:rsidRPr="000A0A5F">
              <w:tab/>
              <w:t>Properties marked with a feature as defined in clause 5.8.4 are applicable as described in clause 5.2.7. If no feature are indicated, the related property applies for all the features.</w:t>
            </w:r>
          </w:p>
        </w:tc>
      </w:tr>
    </w:tbl>
    <w:p w:rsidR="00CB0DD7" w:rsidRPr="000A0A5F" w:rsidRDefault="00CB0DD7"/>
    <w:p w:rsidR="00CB0DD7" w:rsidRPr="000A0A5F" w:rsidRDefault="00CB0DD7">
      <w:pPr>
        <w:pStyle w:val="Heading6"/>
      </w:pPr>
      <w:bookmarkStart w:id="5300" w:name="_Toc11247568"/>
      <w:bookmarkStart w:id="5301" w:name="_Toc27044707"/>
      <w:bookmarkStart w:id="5302" w:name="_Toc36033749"/>
      <w:bookmarkStart w:id="5303" w:name="_Toc45131895"/>
      <w:bookmarkStart w:id="5304" w:name="_Toc49776180"/>
      <w:bookmarkStart w:id="5305" w:name="_Toc51747100"/>
      <w:bookmarkStart w:id="5306" w:name="_Toc66360664"/>
      <w:bookmarkStart w:id="5307" w:name="_Toc68105169"/>
      <w:bookmarkStart w:id="5308" w:name="_Toc74755799"/>
      <w:bookmarkStart w:id="5309" w:name="_Toc105674674"/>
      <w:bookmarkStart w:id="5310" w:name="_Toc130502726"/>
      <w:bookmarkStart w:id="5311" w:name="_Toc153625513"/>
      <w:r w:rsidRPr="000A0A5F">
        <w:t>5.8.2.1.1.</w:t>
      </w:r>
      <w:r w:rsidRPr="000A0A5F">
        <w:rPr>
          <w:rFonts w:hint="eastAsia"/>
        </w:rPr>
        <w:t>5</w:t>
      </w:r>
      <w:r w:rsidRPr="000A0A5F">
        <w:tab/>
        <w:t>Type: TMGIAllocationPatch</w:t>
      </w:r>
      <w:bookmarkEnd w:id="5300"/>
      <w:bookmarkEnd w:id="5301"/>
      <w:bookmarkEnd w:id="5302"/>
      <w:bookmarkEnd w:id="5303"/>
      <w:bookmarkEnd w:id="5304"/>
      <w:bookmarkEnd w:id="5305"/>
      <w:bookmarkEnd w:id="5306"/>
      <w:bookmarkEnd w:id="5307"/>
      <w:bookmarkEnd w:id="5308"/>
      <w:bookmarkEnd w:id="5309"/>
      <w:bookmarkEnd w:id="5310"/>
      <w:bookmarkEnd w:id="5311"/>
    </w:p>
    <w:p w:rsidR="00CB0DD7" w:rsidRPr="000A0A5F" w:rsidRDefault="00CB0DD7">
      <w:r w:rsidRPr="000A0A5F">
        <w:t>This type represents TMGI Allocation request. The structure is used for PATCH request.</w:t>
      </w:r>
    </w:p>
    <w:p w:rsidR="00CB0DD7" w:rsidRPr="000A0A5F" w:rsidRDefault="00CB0DD7">
      <w:pPr>
        <w:pStyle w:val="TH"/>
      </w:pPr>
      <w:r w:rsidRPr="000A0A5F">
        <w:rPr>
          <w:noProof/>
        </w:rPr>
        <w:t>Table </w:t>
      </w:r>
      <w:r w:rsidRPr="000A0A5F">
        <w:t xml:space="preserve">5.8.2.1.1.5-1: </w:t>
      </w:r>
      <w:r w:rsidRPr="000A0A5F">
        <w:rPr>
          <w:noProof/>
        </w:rPr>
        <w:t>Definition of type TMGIAllocationPatch</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948"/>
        <w:gridCol w:w="2126"/>
        <w:gridCol w:w="1276"/>
        <w:gridCol w:w="2995"/>
        <w:gridCol w:w="1257"/>
      </w:tblGrid>
      <w:tr w:rsidR="00CB0DD7" w:rsidRPr="000A0A5F" w:rsidTr="00FF0AF8">
        <w:trPr>
          <w:jc w:val="center"/>
        </w:trPr>
        <w:tc>
          <w:tcPr>
            <w:tcW w:w="1948" w:type="dxa"/>
            <w:shd w:val="clear" w:color="auto" w:fill="C0C0C0"/>
          </w:tcPr>
          <w:p w:rsidR="00CB0DD7" w:rsidRPr="000A0A5F" w:rsidRDefault="00CB0DD7">
            <w:pPr>
              <w:pStyle w:val="TAH"/>
              <w:rPr>
                <w:rFonts w:eastAsia="Times New Roman"/>
              </w:rPr>
            </w:pPr>
            <w:r w:rsidRPr="000A0A5F">
              <w:rPr>
                <w:rFonts w:eastAsia="Times New Roman"/>
              </w:rPr>
              <w:t>Attribute name</w:t>
            </w:r>
          </w:p>
        </w:tc>
        <w:tc>
          <w:tcPr>
            <w:tcW w:w="2126" w:type="dxa"/>
            <w:shd w:val="clear" w:color="auto" w:fill="C0C0C0"/>
          </w:tcPr>
          <w:p w:rsidR="00CB0DD7" w:rsidRPr="000A0A5F" w:rsidRDefault="00CB0DD7">
            <w:pPr>
              <w:pStyle w:val="TAH"/>
              <w:rPr>
                <w:rFonts w:eastAsia="Times New Roman"/>
              </w:rPr>
            </w:pPr>
            <w:r w:rsidRPr="000A0A5F">
              <w:rPr>
                <w:rFonts w:eastAsia="Times New Roman"/>
              </w:rPr>
              <w:t>Data type</w:t>
            </w:r>
          </w:p>
        </w:tc>
        <w:tc>
          <w:tcPr>
            <w:tcW w:w="1276" w:type="dxa"/>
            <w:shd w:val="clear" w:color="auto" w:fill="C0C0C0"/>
          </w:tcPr>
          <w:p w:rsidR="00CB0DD7" w:rsidRPr="000A0A5F" w:rsidRDefault="00CB0DD7">
            <w:pPr>
              <w:pStyle w:val="TAH"/>
              <w:jc w:val="left"/>
              <w:rPr>
                <w:rFonts w:eastAsia="Times New Roman"/>
              </w:rPr>
            </w:pPr>
            <w:r w:rsidRPr="000A0A5F">
              <w:rPr>
                <w:rFonts w:eastAsia="Times New Roman"/>
              </w:rPr>
              <w:t>Cardinality</w:t>
            </w:r>
          </w:p>
        </w:tc>
        <w:tc>
          <w:tcPr>
            <w:tcW w:w="2995"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Description</w:t>
            </w:r>
          </w:p>
        </w:tc>
        <w:tc>
          <w:tcPr>
            <w:tcW w:w="1257"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Applicability (NOTE)</w:t>
            </w:r>
          </w:p>
        </w:tc>
      </w:tr>
      <w:tr w:rsidR="00CB0DD7" w:rsidRPr="000A0A5F" w:rsidTr="00FF0AF8">
        <w:trPr>
          <w:jc w:val="center"/>
        </w:trPr>
        <w:tc>
          <w:tcPr>
            <w:tcW w:w="1948" w:type="dxa"/>
            <w:shd w:val="clear" w:color="auto" w:fill="auto"/>
          </w:tcPr>
          <w:p w:rsidR="00CB0DD7" w:rsidRPr="000A0A5F" w:rsidRDefault="00CB0DD7">
            <w:pPr>
              <w:pStyle w:val="TAL"/>
              <w:rPr>
                <w:rFonts w:eastAsia="Times New Roman"/>
              </w:rPr>
            </w:pPr>
            <w:r w:rsidRPr="000A0A5F">
              <w:rPr>
                <w:lang w:eastAsia="zh-CN"/>
              </w:rPr>
              <w:t>e</w:t>
            </w:r>
            <w:r w:rsidRPr="000A0A5F">
              <w:rPr>
                <w:rFonts w:hint="eastAsia"/>
                <w:lang w:eastAsia="zh-CN"/>
              </w:rPr>
              <w:t>xternalGroup</w:t>
            </w:r>
            <w:r w:rsidRPr="000A0A5F">
              <w:rPr>
                <w:lang w:eastAsia="zh-CN"/>
              </w:rPr>
              <w:t>Id</w:t>
            </w:r>
          </w:p>
        </w:tc>
        <w:tc>
          <w:tcPr>
            <w:tcW w:w="2126" w:type="dxa"/>
            <w:shd w:val="clear" w:color="auto" w:fill="auto"/>
          </w:tcPr>
          <w:p w:rsidR="00CB0DD7" w:rsidRPr="000A0A5F" w:rsidRDefault="00CB0DD7">
            <w:pPr>
              <w:pStyle w:val="TAL"/>
              <w:rPr>
                <w:rFonts w:eastAsia="Times New Roman"/>
              </w:rPr>
            </w:pPr>
            <w:r w:rsidRPr="000A0A5F">
              <w:rPr>
                <w:lang w:eastAsia="zh-CN"/>
              </w:rPr>
              <w:t>ExternalGroupId</w:t>
            </w:r>
          </w:p>
        </w:tc>
        <w:tc>
          <w:tcPr>
            <w:tcW w:w="1276" w:type="dxa"/>
            <w:shd w:val="clear" w:color="auto" w:fill="auto"/>
          </w:tcPr>
          <w:p w:rsidR="00CB0DD7" w:rsidRPr="000A0A5F" w:rsidRDefault="00CB0DD7">
            <w:pPr>
              <w:pStyle w:val="TAL"/>
              <w:rPr>
                <w:rFonts w:eastAsia="Times New Roman"/>
              </w:rPr>
            </w:pPr>
            <w:r w:rsidRPr="000A0A5F">
              <w:rPr>
                <w:rFonts w:eastAsia="Times New Roman"/>
              </w:rPr>
              <w:t>0..1</w:t>
            </w:r>
          </w:p>
        </w:tc>
        <w:tc>
          <w:tcPr>
            <w:tcW w:w="2995" w:type="dxa"/>
            <w:shd w:val="clear" w:color="auto" w:fill="auto"/>
          </w:tcPr>
          <w:p w:rsidR="00CB0DD7" w:rsidRPr="000A0A5F" w:rsidRDefault="00CB0DD7">
            <w:pPr>
              <w:pStyle w:val="TAL"/>
              <w:rPr>
                <w:rFonts w:eastAsia="Times New Roman" w:cs="Arial"/>
                <w:szCs w:val="18"/>
              </w:rPr>
            </w:pPr>
            <w:r w:rsidRPr="000A0A5F">
              <w:rPr>
                <w:rFonts w:eastAsia="Times New Roman" w:cs="Arial"/>
                <w:szCs w:val="18"/>
              </w:rPr>
              <w:t>Identifies a user group as defined in clause</w:t>
            </w:r>
            <w:r w:rsidR="000902D9" w:rsidRPr="000A0A5F">
              <w:rPr>
                <w:rFonts w:eastAsia="Times New Roman" w:cs="Arial"/>
                <w:szCs w:val="18"/>
              </w:rPr>
              <w:t> </w:t>
            </w:r>
            <w:r w:rsidRPr="000A0A5F">
              <w:rPr>
                <w:rFonts w:eastAsia="Times New Roman" w:cs="Arial"/>
                <w:szCs w:val="18"/>
              </w:rPr>
              <w:t>4.6.2 of 3GPP TS 23.682 [2].</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rPr>
                <w:rFonts w:hint="eastAsia"/>
                <w:lang w:eastAsia="zh-CN"/>
              </w:rPr>
            </w:pPr>
            <w:r w:rsidRPr="000A0A5F">
              <w:rPr>
                <w:lang w:eastAsia="zh-CN"/>
              </w:rPr>
              <w:t>mbmsLocArea</w:t>
            </w:r>
          </w:p>
        </w:tc>
        <w:tc>
          <w:tcPr>
            <w:tcW w:w="2126" w:type="dxa"/>
            <w:shd w:val="clear" w:color="auto" w:fill="auto"/>
          </w:tcPr>
          <w:p w:rsidR="00CB0DD7" w:rsidRPr="000A0A5F" w:rsidRDefault="00CB0DD7">
            <w:pPr>
              <w:pStyle w:val="TAL"/>
              <w:rPr>
                <w:rFonts w:hint="eastAsia"/>
                <w:lang w:eastAsia="zh-CN"/>
              </w:rPr>
            </w:pPr>
            <w:r w:rsidRPr="000A0A5F">
              <w:rPr>
                <w:lang w:eastAsia="zh-CN"/>
              </w:rPr>
              <w:t>MbmsLocArea</w:t>
            </w:r>
          </w:p>
        </w:tc>
        <w:tc>
          <w:tcPr>
            <w:tcW w:w="1276" w:type="dxa"/>
            <w:shd w:val="clear" w:color="auto" w:fill="auto"/>
          </w:tcPr>
          <w:p w:rsidR="00CB0DD7" w:rsidRPr="000A0A5F" w:rsidRDefault="00CB0DD7">
            <w:pPr>
              <w:pStyle w:val="TAL"/>
              <w:rPr>
                <w:rFonts w:eastAsia="Times New Roman"/>
              </w:rPr>
            </w:pPr>
            <w:r w:rsidRPr="000A0A5F">
              <w:rPr>
                <w:rFonts w:eastAsia="Times New Roman"/>
              </w:rPr>
              <w:t>0..1</w:t>
            </w:r>
          </w:p>
        </w:tc>
        <w:tc>
          <w:tcPr>
            <w:tcW w:w="2995" w:type="dxa"/>
            <w:shd w:val="clear" w:color="auto" w:fill="auto"/>
          </w:tcPr>
          <w:p w:rsidR="00CB0DD7" w:rsidRPr="000A0A5F" w:rsidRDefault="00B803CC" w:rsidP="00B803CC">
            <w:pPr>
              <w:pStyle w:val="TAL"/>
              <w:rPr>
                <w:rFonts w:cs="Arial" w:hint="eastAsia"/>
                <w:szCs w:val="18"/>
                <w:lang w:eastAsia="zh-CN"/>
              </w:rPr>
            </w:pPr>
            <w:r w:rsidRPr="000A0A5F">
              <w:rPr>
                <w:rFonts w:cs="Arial"/>
                <w:szCs w:val="18"/>
                <w:lang w:eastAsia="zh-CN"/>
              </w:rPr>
              <w:t>Represents the location area within which</w:t>
            </w:r>
            <w:r w:rsidR="00CB0DD7" w:rsidRPr="000A0A5F">
              <w:rPr>
                <w:rFonts w:cs="Arial"/>
                <w:szCs w:val="18"/>
                <w:lang w:eastAsia="zh-CN"/>
              </w:rPr>
              <w:t xml:space="preserve"> the group message</w:t>
            </w:r>
            <w:r w:rsidRPr="000A0A5F">
              <w:rPr>
                <w:rFonts w:cs="Arial"/>
                <w:szCs w:val="18"/>
                <w:lang w:eastAsia="zh-CN"/>
              </w:rPr>
              <w:t xml:space="preserve"> delivery via MBMS is allowed</w:t>
            </w:r>
            <w:r w:rsidR="00CB0DD7" w:rsidRPr="000A0A5F">
              <w:rPr>
                <w:rFonts w:cs="Arial"/>
                <w:szCs w:val="18"/>
                <w:lang w:eastAsia="zh-CN"/>
              </w:rPr>
              <w:t>.</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9602" w:type="dxa"/>
            <w:gridSpan w:val="5"/>
            <w:shd w:val="clear" w:color="auto" w:fill="auto"/>
          </w:tcPr>
          <w:p w:rsidR="00CB0DD7" w:rsidRPr="000A0A5F" w:rsidRDefault="00CB0DD7">
            <w:pPr>
              <w:pStyle w:val="TAN"/>
            </w:pPr>
            <w:r w:rsidRPr="000A0A5F">
              <w:t>NOTE:</w:t>
            </w:r>
            <w:r w:rsidRPr="000A0A5F">
              <w:tab/>
              <w:t>Properties marked with a feature as defined in clause 5.</w:t>
            </w:r>
            <w:r w:rsidRPr="000A0A5F">
              <w:rPr>
                <w:rFonts w:ascii="SimSun" w:hAnsi="SimSun" w:hint="eastAsia"/>
                <w:lang w:eastAsia="zh-CN"/>
              </w:rPr>
              <w:t>8</w:t>
            </w:r>
            <w:r w:rsidRPr="000A0A5F">
              <w:t>.4 are applicable as described in clause 5.2.7. If no feature are indicated, the related property applies for all the features.</w:t>
            </w:r>
          </w:p>
        </w:tc>
      </w:tr>
    </w:tbl>
    <w:p w:rsidR="00CB0DD7" w:rsidRPr="000A0A5F" w:rsidRDefault="00CB0DD7"/>
    <w:p w:rsidR="00CB0DD7" w:rsidRPr="000A0A5F" w:rsidRDefault="00CB0DD7">
      <w:pPr>
        <w:pStyle w:val="Heading6"/>
      </w:pPr>
      <w:bookmarkStart w:id="5312" w:name="_Toc11247569"/>
      <w:bookmarkStart w:id="5313" w:name="_Toc27044708"/>
      <w:bookmarkStart w:id="5314" w:name="_Toc36033750"/>
      <w:bookmarkStart w:id="5315" w:name="_Toc45131896"/>
      <w:bookmarkStart w:id="5316" w:name="_Toc49776181"/>
      <w:bookmarkStart w:id="5317" w:name="_Toc51747101"/>
      <w:bookmarkStart w:id="5318" w:name="_Toc66360665"/>
      <w:bookmarkStart w:id="5319" w:name="_Toc68105170"/>
      <w:bookmarkStart w:id="5320" w:name="_Toc74755800"/>
      <w:bookmarkStart w:id="5321" w:name="_Toc105674675"/>
      <w:bookmarkStart w:id="5322" w:name="_Toc130502727"/>
      <w:bookmarkStart w:id="5323" w:name="_Toc153625514"/>
      <w:r w:rsidRPr="000A0A5F">
        <w:t>5.8.2.1.1.6</w:t>
      </w:r>
      <w:r w:rsidRPr="000A0A5F">
        <w:tab/>
        <w:t>Type: GMDViaMBMSByMb2Patch</w:t>
      </w:r>
      <w:bookmarkEnd w:id="5312"/>
      <w:bookmarkEnd w:id="5313"/>
      <w:bookmarkEnd w:id="5314"/>
      <w:bookmarkEnd w:id="5315"/>
      <w:bookmarkEnd w:id="5316"/>
      <w:bookmarkEnd w:id="5317"/>
      <w:bookmarkEnd w:id="5318"/>
      <w:bookmarkEnd w:id="5319"/>
      <w:bookmarkEnd w:id="5320"/>
      <w:bookmarkEnd w:id="5321"/>
      <w:bookmarkEnd w:id="5322"/>
      <w:bookmarkEnd w:id="5323"/>
    </w:p>
    <w:p w:rsidR="00CB0DD7" w:rsidRPr="000A0A5F" w:rsidRDefault="00CB0DD7">
      <w:r w:rsidRPr="000A0A5F">
        <w:t>This type represents group message delivery via MBMS request by MB2. The structure is used for PATCH request.</w:t>
      </w:r>
    </w:p>
    <w:p w:rsidR="00CB0DD7" w:rsidRPr="000A0A5F" w:rsidRDefault="00CB0DD7">
      <w:pPr>
        <w:pStyle w:val="TH"/>
        <w:rPr>
          <w:noProof/>
        </w:rPr>
      </w:pPr>
      <w:r w:rsidRPr="000A0A5F">
        <w:rPr>
          <w:noProof/>
        </w:rPr>
        <w:t>Table </w:t>
      </w:r>
      <w:r w:rsidRPr="000A0A5F">
        <w:t>5.8.2.1.1.6-1: Definition of the GMDViaMBMSByMb2</w:t>
      </w:r>
      <w:r w:rsidRPr="000A0A5F">
        <w:rPr>
          <w:noProof/>
        </w:rPr>
        <w:t>Patch data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948"/>
        <w:gridCol w:w="1577"/>
        <w:gridCol w:w="1134"/>
        <w:gridCol w:w="3686"/>
        <w:gridCol w:w="1257"/>
      </w:tblGrid>
      <w:tr w:rsidR="00CB0DD7" w:rsidRPr="000A0A5F" w:rsidTr="00FF0AF8">
        <w:trPr>
          <w:jc w:val="center"/>
        </w:trPr>
        <w:tc>
          <w:tcPr>
            <w:tcW w:w="1948" w:type="dxa"/>
            <w:shd w:val="clear" w:color="auto" w:fill="C0C0C0"/>
          </w:tcPr>
          <w:p w:rsidR="00CB0DD7" w:rsidRPr="000A0A5F" w:rsidRDefault="00CB0DD7">
            <w:pPr>
              <w:pStyle w:val="TAH"/>
              <w:rPr>
                <w:rFonts w:eastAsia="Times New Roman"/>
              </w:rPr>
            </w:pPr>
            <w:r w:rsidRPr="000A0A5F">
              <w:rPr>
                <w:noProof/>
              </w:rPr>
              <w:br w:type="page"/>
            </w:r>
            <w:r w:rsidRPr="000A0A5F">
              <w:rPr>
                <w:rFonts w:eastAsia="Times New Roman"/>
              </w:rPr>
              <w:t>Attribute name</w:t>
            </w:r>
          </w:p>
        </w:tc>
        <w:tc>
          <w:tcPr>
            <w:tcW w:w="1577" w:type="dxa"/>
            <w:shd w:val="clear" w:color="auto" w:fill="C0C0C0"/>
          </w:tcPr>
          <w:p w:rsidR="00CB0DD7" w:rsidRPr="000A0A5F" w:rsidRDefault="00CB0DD7">
            <w:pPr>
              <w:pStyle w:val="TAH"/>
              <w:rPr>
                <w:rFonts w:eastAsia="Times New Roman"/>
              </w:rPr>
            </w:pPr>
            <w:r w:rsidRPr="000A0A5F">
              <w:rPr>
                <w:rFonts w:eastAsia="Times New Roman"/>
              </w:rPr>
              <w:t>Data type</w:t>
            </w:r>
          </w:p>
        </w:tc>
        <w:tc>
          <w:tcPr>
            <w:tcW w:w="1134" w:type="dxa"/>
            <w:shd w:val="clear" w:color="auto" w:fill="C0C0C0"/>
          </w:tcPr>
          <w:p w:rsidR="00CB0DD7" w:rsidRPr="000A0A5F" w:rsidRDefault="00CB0DD7">
            <w:pPr>
              <w:pStyle w:val="TAH"/>
              <w:jc w:val="left"/>
              <w:rPr>
                <w:rFonts w:eastAsia="Times New Roman"/>
              </w:rPr>
            </w:pPr>
            <w:r w:rsidRPr="000A0A5F">
              <w:rPr>
                <w:rFonts w:eastAsia="Times New Roman"/>
              </w:rPr>
              <w:t>Cardinality</w:t>
            </w:r>
          </w:p>
        </w:tc>
        <w:tc>
          <w:tcPr>
            <w:tcW w:w="3686"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Description</w:t>
            </w:r>
          </w:p>
        </w:tc>
        <w:tc>
          <w:tcPr>
            <w:tcW w:w="1257"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Applicability (NOTE)</w:t>
            </w:r>
          </w:p>
        </w:tc>
      </w:tr>
      <w:tr w:rsidR="00CB0DD7" w:rsidRPr="000A0A5F" w:rsidTr="00FF0AF8">
        <w:trPr>
          <w:jc w:val="center"/>
        </w:trPr>
        <w:tc>
          <w:tcPr>
            <w:tcW w:w="1948" w:type="dxa"/>
            <w:shd w:val="clear" w:color="auto" w:fill="auto"/>
          </w:tcPr>
          <w:p w:rsidR="00CB0DD7" w:rsidRPr="000A0A5F" w:rsidRDefault="00CB0DD7">
            <w:pPr>
              <w:pStyle w:val="TAL"/>
              <w:rPr>
                <w:rFonts w:eastAsia="Times New Roman"/>
              </w:rPr>
            </w:pPr>
            <w:r w:rsidRPr="000A0A5F">
              <w:rPr>
                <w:lang w:eastAsia="zh-CN"/>
              </w:rPr>
              <w:t>e</w:t>
            </w:r>
            <w:r w:rsidRPr="000A0A5F">
              <w:rPr>
                <w:rFonts w:hint="eastAsia"/>
                <w:lang w:eastAsia="zh-CN"/>
              </w:rPr>
              <w:t>xternalGroup</w:t>
            </w:r>
            <w:r w:rsidRPr="000A0A5F">
              <w:rPr>
                <w:lang w:eastAsia="zh-CN"/>
              </w:rPr>
              <w:t>Id</w:t>
            </w:r>
          </w:p>
        </w:tc>
        <w:tc>
          <w:tcPr>
            <w:tcW w:w="1577" w:type="dxa"/>
            <w:shd w:val="clear" w:color="auto" w:fill="auto"/>
          </w:tcPr>
          <w:p w:rsidR="00CB0DD7" w:rsidRPr="000A0A5F" w:rsidRDefault="00CB0DD7">
            <w:pPr>
              <w:pStyle w:val="TAL"/>
              <w:rPr>
                <w:rFonts w:eastAsia="Times New Roman"/>
              </w:rPr>
            </w:pPr>
            <w:r w:rsidRPr="000A0A5F">
              <w:rPr>
                <w:lang w:eastAsia="zh-CN"/>
              </w:rPr>
              <w:t>ExternalGroupId</w:t>
            </w:r>
          </w:p>
        </w:tc>
        <w:tc>
          <w:tcPr>
            <w:tcW w:w="1134" w:type="dxa"/>
            <w:shd w:val="clear" w:color="auto" w:fill="auto"/>
          </w:tcPr>
          <w:p w:rsidR="00CB0DD7" w:rsidRPr="000A0A5F" w:rsidRDefault="00CB0DD7">
            <w:pPr>
              <w:pStyle w:val="TAL"/>
              <w:rPr>
                <w:rFonts w:eastAsia="Times New Roman"/>
              </w:rPr>
            </w:pPr>
            <w:r w:rsidRPr="000A0A5F">
              <w:rPr>
                <w:rFonts w:eastAsia="Times New Roman"/>
              </w:rPr>
              <w:t>0..1</w:t>
            </w:r>
          </w:p>
        </w:tc>
        <w:tc>
          <w:tcPr>
            <w:tcW w:w="3686" w:type="dxa"/>
            <w:shd w:val="clear" w:color="auto" w:fill="auto"/>
          </w:tcPr>
          <w:p w:rsidR="00CB0DD7" w:rsidRPr="000A0A5F" w:rsidRDefault="00CB0DD7">
            <w:pPr>
              <w:pStyle w:val="TAL"/>
              <w:rPr>
                <w:rFonts w:eastAsia="Times New Roman" w:cs="Arial"/>
                <w:szCs w:val="18"/>
              </w:rPr>
            </w:pPr>
            <w:r w:rsidRPr="000A0A5F">
              <w:rPr>
                <w:rFonts w:eastAsia="Times New Roman" w:cs="Arial"/>
                <w:szCs w:val="18"/>
              </w:rPr>
              <w:t>Identifies a user group as defined in clause</w:t>
            </w:r>
            <w:r w:rsidR="000902D9" w:rsidRPr="000A0A5F">
              <w:rPr>
                <w:rFonts w:eastAsia="Times New Roman" w:cs="Arial"/>
                <w:szCs w:val="18"/>
              </w:rPr>
              <w:t> </w:t>
            </w:r>
            <w:r w:rsidRPr="000A0A5F">
              <w:rPr>
                <w:rFonts w:eastAsia="Times New Roman" w:cs="Arial"/>
                <w:szCs w:val="18"/>
              </w:rPr>
              <w:t>4.6.2 of 3GPP TS 23.682 [2].</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rPr>
                <w:rFonts w:hint="eastAsia"/>
                <w:lang w:eastAsia="zh-CN"/>
              </w:rPr>
            </w:pPr>
            <w:r w:rsidRPr="000A0A5F">
              <w:rPr>
                <w:lang w:eastAsia="zh-CN"/>
              </w:rPr>
              <w:t>mbmsLocArea</w:t>
            </w:r>
          </w:p>
        </w:tc>
        <w:tc>
          <w:tcPr>
            <w:tcW w:w="1577" w:type="dxa"/>
            <w:shd w:val="clear" w:color="auto" w:fill="auto"/>
          </w:tcPr>
          <w:p w:rsidR="00CB0DD7" w:rsidRPr="000A0A5F" w:rsidRDefault="00CB0DD7">
            <w:pPr>
              <w:pStyle w:val="TAL"/>
              <w:rPr>
                <w:rFonts w:hint="eastAsia"/>
                <w:lang w:eastAsia="zh-CN"/>
              </w:rPr>
            </w:pPr>
            <w:r w:rsidRPr="000A0A5F">
              <w:rPr>
                <w:lang w:eastAsia="zh-CN"/>
              </w:rPr>
              <w:t>MbmsLocArea</w:t>
            </w:r>
          </w:p>
        </w:tc>
        <w:tc>
          <w:tcPr>
            <w:tcW w:w="1134" w:type="dxa"/>
            <w:shd w:val="clear" w:color="auto" w:fill="auto"/>
          </w:tcPr>
          <w:p w:rsidR="00CB0DD7" w:rsidRPr="000A0A5F" w:rsidRDefault="00CB0DD7">
            <w:pPr>
              <w:pStyle w:val="TAL"/>
              <w:rPr>
                <w:rFonts w:eastAsia="Times New Roman"/>
              </w:rPr>
            </w:pPr>
            <w:r w:rsidRPr="000A0A5F">
              <w:rPr>
                <w:rFonts w:eastAsia="Times New Roman"/>
              </w:rPr>
              <w:t>0..1</w:t>
            </w:r>
          </w:p>
        </w:tc>
        <w:tc>
          <w:tcPr>
            <w:tcW w:w="3686" w:type="dxa"/>
            <w:shd w:val="clear" w:color="auto" w:fill="auto"/>
          </w:tcPr>
          <w:p w:rsidR="00CB0DD7" w:rsidRPr="000A0A5F" w:rsidRDefault="00B803CC" w:rsidP="00B803CC">
            <w:pPr>
              <w:pStyle w:val="TAL"/>
              <w:rPr>
                <w:rFonts w:cs="Arial" w:hint="eastAsia"/>
                <w:szCs w:val="18"/>
                <w:lang w:eastAsia="zh-CN"/>
              </w:rPr>
            </w:pPr>
            <w:r w:rsidRPr="000A0A5F">
              <w:rPr>
                <w:rFonts w:cs="Arial"/>
                <w:szCs w:val="18"/>
                <w:lang w:eastAsia="zh-CN"/>
              </w:rPr>
              <w:t>Represents the location area within which</w:t>
            </w:r>
            <w:r w:rsidR="00CB0DD7" w:rsidRPr="000A0A5F">
              <w:rPr>
                <w:rFonts w:cs="Arial"/>
                <w:szCs w:val="18"/>
                <w:lang w:eastAsia="zh-CN"/>
              </w:rPr>
              <w:t xml:space="preserve"> the group message</w:t>
            </w:r>
            <w:r w:rsidRPr="000A0A5F">
              <w:rPr>
                <w:rFonts w:cs="Arial"/>
                <w:szCs w:val="18"/>
                <w:lang w:eastAsia="zh-CN"/>
              </w:rPr>
              <w:t xml:space="preserve"> delivery via MBMS is allowed</w:t>
            </w:r>
            <w:r w:rsidR="00CB0DD7" w:rsidRPr="000A0A5F">
              <w:rPr>
                <w:rFonts w:cs="Arial"/>
                <w:szCs w:val="18"/>
                <w:lang w:eastAsia="zh-CN"/>
              </w:rPr>
              <w:t>.</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rPr>
                <w:rFonts w:hint="eastAsia"/>
                <w:lang w:eastAsia="zh-CN"/>
              </w:rPr>
            </w:pPr>
            <w:r w:rsidRPr="000A0A5F">
              <w:rPr>
                <w:lang w:eastAsia="zh-CN"/>
              </w:rPr>
              <w:t>messageDeliveryStartTime</w:t>
            </w:r>
          </w:p>
        </w:tc>
        <w:tc>
          <w:tcPr>
            <w:tcW w:w="1577" w:type="dxa"/>
            <w:shd w:val="clear" w:color="auto" w:fill="auto"/>
          </w:tcPr>
          <w:p w:rsidR="00CB0DD7" w:rsidRPr="000A0A5F" w:rsidRDefault="00CB0DD7">
            <w:pPr>
              <w:pStyle w:val="TAL"/>
              <w:rPr>
                <w:rFonts w:hint="eastAsia"/>
                <w:lang w:eastAsia="zh-CN"/>
              </w:rPr>
            </w:pPr>
            <w:r w:rsidRPr="000A0A5F">
              <w:rPr>
                <w:lang w:eastAsia="zh-CN"/>
              </w:rPr>
              <w:t>D</w:t>
            </w:r>
            <w:r w:rsidRPr="000A0A5F">
              <w:rPr>
                <w:rFonts w:hint="eastAsia"/>
                <w:lang w:eastAsia="zh-CN"/>
              </w:rPr>
              <w:t>at</w:t>
            </w:r>
            <w:r w:rsidRPr="000A0A5F">
              <w:rPr>
                <w:lang w:eastAsia="zh-CN"/>
              </w:rPr>
              <w:t>eT</w:t>
            </w:r>
            <w:r w:rsidRPr="000A0A5F">
              <w:rPr>
                <w:rFonts w:hint="eastAsia"/>
                <w:lang w:eastAsia="zh-CN"/>
              </w:rPr>
              <w:t>ime</w:t>
            </w:r>
          </w:p>
        </w:tc>
        <w:tc>
          <w:tcPr>
            <w:tcW w:w="1134" w:type="dxa"/>
            <w:shd w:val="clear" w:color="auto" w:fill="auto"/>
          </w:tcPr>
          <w:p w:rsidR="00CB0DD7" w:rsidRPr="000A0A5F" w:rsidRDefault="00CB0DD7">
            <w:pPr>
              <w:pStyle w:val="TAL"/>
              <w:rPr>
                <w:rFonts w:eastAsia="Times New Roman"/>
              </w:rPr>
            </w:pPr>
            <w:r w:rsidRPr="000A0A5F">
              <w:rPr>
                <w:rFonts w:eastAsia="Times New Roman"/>
              </w:rPr>
              <w:t>0..1</w:t>
            </w:r>
          </w:p>
        </w:tc>
        <w:tc>
          <w:tcPr>
            <w:tcW w:w="3686" w:type="dxa"/>
            <w:shd w:val="clear" w:color="auto" w:fill="auto"/>
          </w:tcPr>
          <w:p w:rsidR="00CB0DD7" w:rsidRPr="000A0A5F" w:rsidRDefault="00CB0DD7">
            <w:pPr>
              <w:pStyle w:val="TAL"/>
              <w:rPr>
                <w:rFonts w:cs="Arial" w:hint="eastAsia"/>
                <w:szCs w:val="18"/>
                <w:lang w:eastAsia="zh-CN"/>
              </w:rPr>
            </w:pPr>
            <w:r w:rsidRPr="000A0A5F">
              <w:rPr>
                <w:rFonts w:cs="Arial" w:hint="eastAsia"/>
                <w:szCs w:val="18"/>
                <w:lang w:eastAsia="zh-CN"/>
              </w:rPr>
              <w:t>Identifies the absolute time at which the</w:t>
            </w:r>
            <w:r w:rsidRPr="000A0A5F">
              <w:rPr>
                <w:rFonts w:cs="Arial"/>
                <w:szCs w:val="18"/>
                <w:lang w:eastAsia="zh-CN"/>
              </w:rPr>
              <w:t xml:space="preserve"> SCS/As starts to distribute the data.</w:t>
            </w:r>
            <w:r w:rsidRPr="000A0A5F">
              <w:rPr>
                <w:rFonts w:cs="Arial" w:hint="eastAsia"/>
                <w:szCs w:val="18"/>
                <w:lang w:eastAsia="zh-CN"/>
              </w:rPr>
              <w:t xml:space="preserve"> If absent, it indicates the message shall be sent immediately.</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rPr>
                <w:lang w:eastAsia="zh-CN"/>
              </w:rPr>
            </w:pPr>
            <w:r w:rsidRPr="000A0A5F">
              <w:rPr>
                <w:rFonts w:hint="eastAsia"/>
                <w:lang w:eastAsia="zh-CN"/>
              </w:rPr>
              <w:t>groupMessage</w:t>
            </w:r>
            <w:r w:rsidRPr="000A0A5F">
              <w:rPr>
                <w:lang w:eastAsia="zh-CN"/>
              </w:rPr>
              <w:t>P</w:t>
            </w:r>
            <w:r w:rsidRPr="000A0A5F">
              <w:rPr>
                <w:rFonts w:hint="eastAsia"/>
                <w:lang w:eastAsia="zh-CN"/>
              </w:rPr>
              <w:t>ayload</w:t>
            </w:r>
          </w:p>
        </w:tc>
        <w:tc>
          <w:tcPr>
            <w:tcW w:w="1577" w:type="dxa"/>
            <w:shd w:val="clear" w:color="auto" w:fill="auto"/>
          </w:tcPr>
          <w:p w:rsidR="00CB0DD7" w:rsidRPr="000A0A5F" w:rsidRDefault="00CB0DD7">
            <w:pPr>
              <w:pStyle w:val="TAL"/>
              <w:rPr>
                <w:lang w:eastAsia="zh-CN"/>
              </w:rPr>
            </w:pPr>
            <w:r w:rsidRPr="000A0A5F">
              <w:rPr>
                <w:lang w:eastAsia="zh-CN"/>
              </w:rPr>
              <w:t>Bytes</w:t>
            </w:r>
          </w:p>
        </w:tc>
        <w:tc>
          <w:tcPr>
            <w:tcW w:w="1134" w:type="dxa"/>
            <w:shd w:val="clear" w:color="auto" w:fill="auto"/>
          </w:tcPr>
          <w:p w:rsidR="00CB0DD7" w:rsidRPr="000A0A5F" w:rsidRDefault="00CB0DD7">
            <w:pPr>
              <w:pStyle w:val="TAL"/>
              <w:rPr>
                <w:rFonts w:hint="eastAsia"/>
                <w:lang w:eastAsia="zh-CN"/>
              </w:rPr>
            </w:pPr>
            <w:r w:rsidRPr="000A0A5F">
              <w:rPr>
                <w:rFonts w:hint="eastAsia"/>
                <w:lang w:eastAsia="zh-CN"/>
              </w:rPr>
              <w:t>0..1</w:t>
            </w:r>
          </w:p>
        </w:tc>
        <w:tc>
          <w:tcPr>
            <w:tcW w:w="3686" w:type="dxa"/>
            <w:shd w:val="clear" w:color="auto" w:fill="auto"/>
          </w:tcPr>
          <w:p w:rsidR="00CB0DD7" w:rsidRPr="000A0A5F" w:rsidRDefault="00CB0DD7">
            <w:pPr>
              <w:pStyle w:val="TAL"/>
              <w:rPr>
                <w:rFonts w:cs="Arial" w:hint="eastAsia"/>
                <w:szCs w:val="18"/>
                <w:lang w:eastAsia="zh-CN"/>
              </w:rPr>
            </w:pPr>
            <w:r w:rsidRPr="000A0A5F">
              <w:rPr>
                <w:rFonts w:cs="Arial" w:hint="eastAsia"/>
                <w:szCs w:val="18"/>
                <w:lang w:eastAsia="zh-CN"/>
              </w:rPr>
              <w:t>Indica</w:t>
            </w:r>
            <w:r w:rsidRPr="000A0A5F">
              <w:rPr>
                <w:rFonts w:cs="Arial"/>
                <w:szCs w:val="18"/>
                <w:lang w:eastAsia="zh-CN"/>
              </w:rPr>
              <w:t>tes the payload the SCS/AS intends to deliver to the UEs.</w:t>
            </w:r>
          </w:p>
        </w:tc>
        <w:tc>
          <w:tcPr>
            <w:tcW w:w="1257" w:type="dxa"/>
          </w:tcPr>
          <w:p w:rsidR="00CB0DD7" w:rsidRPr="000A0A5F" w:rsidRDefault="00CB0DD7">
            <w:pPr>
              <w:pStyle w:val="TAL"/>
              <w:rPr>
                <w:rFonts w:eastAsia="Times New Roman" w:cs="Arial"/>
                <w:szCs w:val="18"/>
              </w:rPr>
            </w:pPr>
          </w:p>
        </w:tc>
      </w:tr>
      <w:tr w:rsidR="003D6C1A" w:rsidRPr="000A0A5F" w:rsidTr="00FF0AF8">
        <w:trPr>
          <w:jc w:val="center"/>
        </w:trPr>
        <w:tc>
          <w:tcPr>
            <w:tcW w:w="1948" w:type="dxa"/>
            <w:shd w:val="clear" w:color="auto" w:fill="auto"/>
          </w:tcPr>
          <w:p w:rsidR="003D6C1A" w:rsidRPr="000A0A5F" w:rsidRDefault="003D6C1A" w:rsidP="003D6C1A">
            <w:pPr>
              <w:pStyle w:val="TAL"/>
              <w:rPr>
                <w:rFonts w:hint="eastAsia"/>
                <w:lang w:eastAsia="zh-CN"/>
              </w:rPr>
            </w:pPr>
            <w:r w:rsidRPr="000A0A5F">
              <w:rPr>
                <w:rFonts w:hint="eastAsia"/>
                <w:lang w:eastAsia="zh-CN"/>
              </w:rPr>
              <w:t>notification</w:t>
            </w:r>
            <w:r w:rsidRPr="000A0A5F">
              <w:rPr>
                <w:lang w:eastAsia="zh-CN"/>
              </w:rPr>
              <w:t>Destination</w:t>
            </w:r>
          </w:p>
        </w:tc>
        <w:tc>
          <w:tcPr>
            <w:tcW w:w="1577" w:type="dxa"/>
            <w:shd w:val="clear" w:color="auto" w:fill="auto"/>
          </w:tcPr>
          <w:p w:rsidR="003D6C1A" w:rsidRPr="000A0A5F" w:rsidRDefault="003D6C1A" w:rsidP="003D6C1A">
            <w:pPr>
              <w:pStyle w:val="TAL"/>
              <w:rPr>
                <w:lang w:eastAsia="zh-CN"/>
              </w:rPr>
            </w:pPr>
            <w:r w:rsidRPr="000A0A5F">
              <w:rPr>
                <w:rFonts w:hint="eastAsia"/>
                <w:lang w:eastAsia="zh-CN"/>
              </w:rPr>
              <w:t>Link</w:t>
            </w:r>
          </w:p>
        </w:tc>
        <w:tc>
          <w:tcPr>
            <w:tcW w:w="1134" w:type="dxa"/>
            <w:shd w:val="clear" w:color="auto" w:fill="auto"/>
          </w:tcPr>
          <w:p w:rsidR="003D6C1A" w:rsidRPr="000A0A5F" w:rsidRDefault="003D6C1A" w:rsidP="003D6C1A">
            <w:pPr>
              <w:pStyle w:val="TAL"/>
              <w:rPr>
                <w:rFonts w:hint="eastAsia"/>
                <w:lang w:eastAsia="zh-CN"/>
              </w:rPr>
            </w:pPr>
            <w:r w:rsidRPr="000A0A5F">
              <w:rPr>
                <w:lang w:eastAsia="zh-CN"/>
              </w:rPr>
              <w:t>0..</w:t>
            </w:r>
            <w:r w:rsidRPr="000A0A5F">
              <w:rPr>
                <w:rFonts w:hint="eastAsia"/>
                <w:lang w:eastAsia="zh-CN"/>
              </w:rPr>
              <w:t>1</w:t>
            </w:r>
          </w:p>
        </w:tc>
        <w:tc>
          <w:tcPr>
            <w:tcW w:w="3686" w:type="dxa"/>
            <w:shd w:val="clear" w:color="auto" w:fill="auto"/>
          </w:tcPr>
          <w:p w:rsidR="003D6C1A" w:rsidRPr="000A0A5F" w:rsidRDefault="003D6C1A" w:rsidP="003D6C1A">
            <w:pPr>
              <w:pStyle w:val="TAL"/>
              <w:rPr>
                <w:rFonts w:cs="Arial" w:hint="eastAsia"/>
                <w:szCs w:val="18"/>
                <w:lang w:eastAsia="zh-CN"/>
              </w:rPr>
            </w:pPr>
            <w:r w:rsidRPr="000A0A5F">
              <w:rPr>
                <w:rFonts w:cs="Arial" w:hint="eastAsia"/>
                <w:szCs w:val="18"/>
                <w:lang w:eastAsia="zh-CN"/>
              </w:rPr>
              <w:t xml:space="preserve">A URI indicating the notification destination </w:t>
            </w:r>
            <w:r w:rsidRPr="000A0A5F">
              <w:rPr>
                <w:rFonts w:cs="Arial"/>
                <w:szCs w:val="18"/>
                <w:lang w:eastAsia="zh-CN"/>
              </w:rPr>
              <w:t>where the notification requests shall be delivered.</w:t>
            </w:r>
          </w:p>
        </w:tc>
        <w:tc>
          <w:tcPr>
            <w:tcW w:w="1257" w:type="dxa"/>
          </w:tcPr>
          <w:p w:rsidR="003D6C1A" w:rsidRPr="000A0A5F" w:rsidRDefault="003D6C1A" w:rsidP="003D6C1A">
            <w:pPr>
              <w:pStyle w:val="TAL"/>
              <w:rPr>
                <w:rFonts w:eastAsia="Times New Roman" w:cs="Arial"/>
                <w:szCs w:val="18"/>
              </w:rPr>
            </w:pPr>
          </w:p>
        </w:tc>
      </w:tr>
      <w:tr w:rsidR="00CB0DD7" w:rsidRPr="000A0A5F" w:rsidTr="00FF0AF8">
        <w:trPr>
          <w:jc w:val="center"/>
        </w:trPr>
        <w:tc>
          <w:tcPr>
            <w:tcW w:w="9602" w:type="dxa"/>
            <w:gridSpan w:val="5"/>
            <w:shd w:val="clear" w:color="auto" w:fill="auto"/>
          </w:tcPr>
          <w:p w:rsidR="00CB0DD7" w:rsidRPr="000A0A5F" w:rsidRDefault="00CB0DD7">
            <w:pPr>
              <w:pStyle w:val="TAN"/>
            </w:pPr>
            <w:r w:rsidRPr="000A0A5F">
              <w:t>NOTE:</w:t>
            </w:r>
            <w:r w:rsidRPr="000A0A5F">
              <w:tab/>
              <w:t>Properties marked with a feature as defined in clause 5.8.4 are applicable as described in clause 5.2.7. If no feature are indicated, the related property applies for all the features.</w:t>
            </w:r>
          </w:p>
        </w:tc>
      </w:tr>
    </w:tbl>
    <w:p w:rsidR="00CB0DD7" w:rsidRPr="000A0A5F" w:rsidRDefault="00CB0DD7"/>
    <w:p w:rsidR="00CB0DD7" w:rsidRPr="000A0A5F" w:rsidRDefault="00CB0DD7">
      <w:pPr>
        <w:pStyle w:val="Heading6"/>
      </w:pPr>
      <w:bookmarkStart w:id="5324" w:name="_Toc11247570"/>
      <w:bookmarkStart w:id="5325" w:name="_Toc27044709"/>
      <w:bookmarkStart w:id="5326" w:name="_Toc36033751"/>
      <w:bookmarkStart w:id="5327" w:name="_Toc45131897"/>
      <w:bookmarkStart w:id="5328" w:name="_Toc49776182"/>
      <w:bookmarkStart w:id="5329" w:name="_Toc51747102"/>
      <w:bookmarkStart w:id="5330" w:name="_Toc66360666"/>
      <w:bookmarkStart w:id="5331" w:name="_Toc68105171"/>
      <w:bookmarkStart w:id="5332" w:name="_Toc74755801"/>
      <w:bookmarkStart w:id="5333" w:name="_Toc105674676"/>
      <w:bookmarkStart w:id="5334" w:name="_Toc130502728"/>
      <w:bookmarkStart w:id="5335" w:name="_Toc153625515"/>
      <w:r w:rsidRPr="000A0A5F">
        <w:t>5.8.2.1.1.7</w:t>
      </w:r>
      <w:r w:rsidRPr="000A0A5F">
        <w:tab/>
        <w:t>Type: MbmsLocArea</w:t>
      </w:r>
      <w:bookmarkEnd w:id="5324"/>
      <w:bookmarkEnd w:id="5325"/>
      <w:bookmarkEnd w:id="5326"/>
      <w:bookmarkEnd w:id="5327"/>
      <w:bookmarkEnd w:id="5328"/>
      <w:bookmarkEnd w:id="5329"/>
      <w:bookmarkEnd w:id="5330"/>
      <w:bookmarkEnd w:id="5331"/>
      <w:bookmarkEnd w:id="5332"/>
      <w:bookmarkEnd w:id="5333"/>
      <w:bookmarkEnd w:id="5334"/>
      <w:bookmarkEnd w:id="5335"/>
    </w:p>
    <w:p w:rsidR="00CB0DD7" w:rsidRPr="000A0A5F" w:rsidRDefault="00CB0DD7">
      <w:r w:rsidRPr="000A0A5F">
        <w:t>This data type represents the user location area which is sent from the SCS/AS to the SCEF by group message delivery via MBMS request.</w:t>
      </w:r>
    </w:p>
    <w:p w:rsidR="00CB0DD7" w:rsidRPr="000A0A5F" w:rsidRDefault="00CB0DD7">
      <w:pPr>
        <w:pStyle w:val="TH"/>
        <w:rPr>
          <w:noProof/>
        </w:rPr>
      </w:pPr>
      <w:r w:rsidRPr="000A0A5F">
        <w:rPr>
          <w:noProof/>
        </w:rPr>
        <w:t>Table </w:t>
      </w:r>
      <w:r w:rsidRPr="000A0A5F">
        <w:t>5.8.2.1.1.7-1: Definition of the MbmsLocArea data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83"/>
        <w:gridCol w:w="1560"/>
        <w:gridCol w:w="1134"/>
        <w:gridCol w:w="3968"/>
        <w:gridCol w:w="1257"/>
        <w:tblGridChange w:id="5336">
          <w:tblGrid>
            <w:gridCol w:w="1683"/>
            <w:gridCol w:w="1560"/>
            <w:gridCol w:w="1134"/>
            <w:gridCol w:w="3968"/>
            <w:gridCol w:w="1257"/>
          </w:tblGrid>
        </w:tblGridChange>
      </w:tblGrid>
      <w:tr w:rsidR="00CB0DD7" w:rsidRPr="000A0A5F" w:rsidTr="00FF0AF8">
        <w:trPr>
          <w:jc w:val="center"/>
        </w:trPr>
        <w:tc>
          <w:tcPr>
            <w:tcW w:w="1683" w:type="dxa"/>
            <w:shd w:val="clear" w:color="auto" w:fill="C0C0C0"/>
          </w:tcPr>
          <w:p w:rsidR="00CB0DD7" w:rsidRPr="000A0A5F" w:rsidRDefault="00CB0DD7">
            <w:pPr>
              <w:pStyle w:val="TAH"/>
              <w:rPr>
                <w:rFonts w:eastAsia="Times New Roman"/>
              </w:rPr>
            </w:pPr>
            <w:r w:rsidRPr="000A0A5F">
              <w:rPr>
                <w:noProof/>
              </w:rPr>
              <w:br w:type="page"/>
            </w:r>
            <w:r w:rsidRPr="000A0A5F">
              <w:rPr>
                <w:rFonts w:eastAsia="Times New Roman"/>
              </w:rPr>
              <w:t>Attribute name</w:t>
            </w:r>
          </w:p>
        </w:tc>
        <w:tc>
          <w:tcPr>
            <w:tcW w:w="1560" w:type="dxa"/>
            <w:shd w:val="clear" w:color="auto" w:fill="C0C0C0"/>
          </w:tcPr>
          <w:p w:rsidR="00CB0DD7" w:rsidRPr="000A0A5F" w:rsidRDefault="00CB0DD7">
            <w:pPr>
              <w:pStyle w:val="TAH"/>
              <w:rPr>
                <w:rFonts w:eastAsia="Times New Roman"/>
              </w:rPr>
            </w:pPr>
            <w:r w:rsidRPr="000A0A5F">
              <w:rPr>
                <w:rFonts w:eastAsia="Times New Roman"/>
              </w:rPr>
              <w:t>Data type</w:t>
            </w:r>
          </w:p>
        </w:tc>
        <w:tc>
          <w:tcPr>
            <w:tcW w:w="1134" w:type="dxa"/>
            <w:shd w:val="clear" w:color="auto" w:fill="C0C0C0"/>
          </w:tcPr>
          <w:p w:rsidR="00CB0DD7" w:rsidRPr="000A0A5F" w:rsidRDefault="00CB0DD7">
            <w:pPr>
              <w:pStyle w:val="TAH"/>
              <w:jc w:val="left"/>
              <w:rPr>
                <w:rFonts w:eastAsia="Times New Roman"/>
              </w:rPr>
            </w:pPr>
            <w:r w:rsidRPr="000A0A5F">
              <w:rPr>
                <w:rFonts w:eastAsia="Times New Roman"/>
              </w:rPr>
              <w:t>Cardinality</w:t>
            </w:r>
          </w:p>
        </w:tc>
        <w:tc>
          <w:tcPr>
            <w:tcW w:w="3968"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Description</w:t>
            </w:r>
          </w:p>
        </w:tc>
        <w:tc>
          <w:tcPr>
            <w:tcW w:w="1257"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Applicability (NOTE)</w:t>
            </w:r>
          </w:p>
        </w:tc>
      </w:tr>
      <w:tr w:rsidR="00CB0DD7" w:rsidRPr="000A0A5F" w:rsidTr="00FF0AF8">
        <w:trPr>
          <w:jc w:val="center"/>
        </w:trPr>
        <w:tc>
          <w:tcPr>
            <w:tcW w:w="1683" w:type="dxa"/>
            <w:shd w:val="clear" w:color="auto" w:fill="auto"/>
            <w:vAlign w:val="center"/>
          </w:tcPr>
          <w:p w:rsidR="00CB0DD7" w:rsidRPr="000A0A5F" w:rsidRDefault="00CB0DD7">
            <w:pPr>
              <w:pStyle w:val="TAL"/>
              <w:rPr>
                <w:rFonts w:eastAsia="Times New Roman"/>
              </w:rPr>
            </w:pPr>
            <w:r w:rsidRPr="000A0A5F">
              <w:rPr>
                <w:rFonts w:hint="eastAsia"/>
                <w:lang w:eastAsia="zh-CN"/>
              </w:rPr>
              <w:t>cellId</w:t>
            </w:r>
          </w:p>
        </w:tc>
        <w:tc>
          <w:tcPr>
            <w:tcW w:w="1560" w:type="dxa"/>
            <w:shd w:val="clear" w:color="auto" w:fill="auto"/>
          </w:tcPr>
          <w:p w:rsidR="00CB0DD7" w:rsidRPr="000A0A5F" w:rsidRDefault="00CB0DD7">
            <w:pPr>
              <w:pStyle w:val="TAL"/>
              <w:rPr>
                <w:rFonts w:eastAsia="Times New Roman"/>
              </w:rPr>
            </w:pPr>
            <w:r w:rsidRPr="000A0A5F">
              <w:rPr>
                <w:lang w:eastAsia="zh-CN"/>
              </w:rPr>
              <w:t>array(</w:t>
            </w:r>
            <w:r w:rsidRPr="000A0A5F">
              <w:rPr>
                <w:rFonts w:hint="eastAsia"/>
                <w:lang w:eastAsia="zh-CN"/>
              </w:rPr>
              <w:t>string</w:t>
            </w:r>
            <w:r w:rsidRPr="000A0A5F">
              <w:rPr>
                <w:lang w:eastAsia="zh-CN"/>
              </w:rPr>
              <w:t>)</w:t>
            </w:r>
          </w:p>
        </w:tc>
        <w:tc>
          <w:tcPr>
            <w:tcW w:w="1134" w:type="dxa"/>
            <w:shd w:val="clear" w:color="auto" w:fill="auto"/>
          </w:tcPr>
          <w:p w:rsidR="00CB0DD7" w:rsidRPr="000A0A5F" w:rsidRDefault="00CB0DD7">
            <w:pPr>
              <w:pStyle w:val="TAL"/>
              <w:rPr>
                <w:rFonts w:eastAsia="Times New Roman"/>
              </w:rPr>
            </w:pPr>
            <w:r w:rsidRPr="000A0A5F">
              <w:rPr>
                <w:rFonts w:hint="eastAsia"/>
                <w:lang w:eastAsia="zh-CN"/>
              </w:rPr>
              <w:t>0..N</w:t>
            </w:r>
          </w:p>
        </w:tc>
        <w:tc>
          <w:tcPr>
            <w:tcW w:w="3968" w:type="dxa"/>
            <w:shd w:val="clear" w:color="auto" w:fill="auto"/>
          </w:tcPr>
          <w:p w:rsidR="00CB0DD7" w:rsidRPr="000A0A5F" w:rsidRDefault="00CB0DD7">
            <w:pPr>
              <w:pStyle w:val="TAL"/>
              <w:rPr>
                <w:rFonts w:eastAsia="Times New Roman" w:cs="Arial"/>
                <w:szCs w:val="18"/>
              </w:rPr>
            </w:pPr>
            <w:r w:rsidRPr="000A0A5F">
              <w:rPr>
                <w:rFonts w:cs="Arial" w:hint="eastAsia"/>
                <w:szCs w:val="18"/>
                <w:lang w:eastAsia="zh-CN"/>
              </w:rPr>
              <w:t>Indicate</w:t>
            </w:r>
            <w:r w:rsidRPr="000A0A5F">
              <w:rPr>
                <w:rFonts w:cs="Arial"/>
                <w:szCs w:val="18"/>
                <w:lang w:eastAsia="zh-CN"/>
              </w:rPr>
              <w:t>s</w:t>
            </w:r>
            <w:r w:rsidRPr="000A0A5F">
              <w:rPr>
                <w:rFonts w:cs="Arial" w:hint="eastAsia"/>
                <w:szCs w:val="18"/>
                <w:lang w:eastAsia="zh-CN"/>
              </w:rPr>
              <w:t xml:space="preserve"> </w:t>
            </w:r>
            <w:r w:rsidRPr="000A0A5F">
              <w:rPr>
                <w:rFonts w:cs="Arial"/>
                <w:szCs w:val="18"/>
                <w:lang w:eastAsia="zh-CN"/>
              </w:rPr>
              <w:t xml:space="preserve">a </w:t>
            </w:r>
            <w:r w:rsidRPr="000A0A5F">
              <w:rPr>
                <w:rFonts w:cs="Arial" w:hint="eastAsia"/>
                <w:szCs w:val="18"/>
                <w:lang w:eastAsia="zh-CN"/>
              </w:rPr>
              <w:t>Cell Global Identification of the user which identifies the cell the UE is registered.</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683" w:type="dxa"/>
            <w:shd w:val="clear" w:color="auto" w:fill="auto"/>
            <w:vAlign w:val="center"/>
          </w:tcPr>
          <w:p w:rsidR="00CB0DD7" w:rsidRPr="000A0A5F" w:rsidRDefault="00CB0DD7">
            <w:pPr>
              <w:pStyle w:val="TAL"/>
              <w:rPr>
                <w:rFonts w:hint="eastAsia"/>
                <w:lang w:eastAsia="zh-CN"/>
              </w:rPr>
            </w:pPr>
            <w:r w:rsidRPr="000A0A5F">
              <w:rPr>
                <w:rFonts w:hint="eastAsia"/>
                <w:lang w:eastAsia="zh-CN"/>
              </w:rPr>
              <w:t>e</w:t>
            </w:r>
            <w:r w:rsidRPr="000A0A5F">
              <w:rPr>
                <w:lang w:eastAsia="zh-CN"/>
              </w:rPr>
              <w:t>nodeBId</w:t>
            </w:r>
          </w:p>
        </w:tc>
        <w:tc>
          <w:tcPr>
            <w:tcW w:w="1560" w:type="dxa"/>
            <w:shd w:val="clear" w:color="auto" w:fill="auto"/>
          </w:tcPr>
          <w:p w:rsidR="00CB0DD7" w:rsidRPr="000A0A5F" w:rsidRDefault="00CB0DD7">
            <w:pPr>
              <w:pStyle w:val="TAL"/>
              <w:rPr>
                <w:rFonts w:hint="eastAsia"/>
                <w:lang w:eastAsia="zh-CN"/>
              </w:rPr>
            </w:pPr>
            <w:r w:rsidRPr="000A0A5F">
              <w:rPr>
                <w:lang w:eastAsia="zh-CN"/>
              </w:rPr>
              <w:t>array(</w:t>
            </w:r>
            <w:r w:rsidRPr="000A0A5F">
              <w:rPr>
                <w:rFonts w:hint="eastAsia"/>
                <w:lang w:eastAsia="zh-CN"/>
              </w:rPr>
              <w:t>string</w:t>
            </w:r>
            <w:r w:rsidRPr="000A0A5F">
              <w:rPr>
                <w:lang w:eastAsia="zh-CN"/>
              </w:rPr>
              <w:t>)</w:t>
            </w:r>
          </w:p>
        </w:tc>
        <w:tc>
          <w:tcPr>
            <w:tcW w:w="1134" w:type="dxa"/>
            <w:shd w:val="clear" w:color="auto" w:fill="auto"/>
          </w:tcPr>
          <w:p w:rsidR="00CB0DD7" w:rsidRPr="000A0A5F" w:rsidRDefault="00CB0DD7">
            <w:pPr>
              <w:pStyle w:val="TAL"/>
              <w:rPr>
                <w:rFonts w:eastAsia="Times New Roman"/>
              </w:rPr>
            </w:pPr>
            <w:r w:rsidRPr="000A0A5F">
              <w:rPr>
                <w:rFonts w:hint="eastAsia"/>
                <w:lang w:eastAsia="zh-CN"/>
              </w:rPr>
              <w:t>0..N</w:t>
            </w:r>
          </w:p>
        </w:tc>
        <w:tc>
          <w:tcPr>
            <w:tcW w:w="3968" w:type="dxa"/>
            <w:shd w:val="clear" w:color="auto" w:fill="auto"/>
          </w:tcPr>
          <w:p w:rsidR="00CB0DD7" w:rsidRPr="000A0A5F" w:rsidRDefault="00CB0DD7">
            <w:pPr>
              <w:pStyle w:val="TAL"/>
              <w:rPr>
                <w:rFonts w:cs="Arial" w:hint="eastAsia"/>
                <w:szCs w:val="18"/>
                <w:lang w:eastAsia="zh-CN"/>
              </w:rPr>
            </w:pPr>
            <w:r w:rsidRPr="000A0A5F">
              <w:rPr>
                <w:rFonts w:cs="Arial" w:hint="eastAsia"/>
                <w:szCs w:val="18"/>
                <w:lang w:eastAsia="zh-CN"/>
              </w:rPr>
              <w:t xml:space="preserve">Indicates </w:t>
            </w:r>
            <w:r w:rsidRPr="000A0A5F">
              <w:rPr>
                <w:rFonts w:cs="Arial"/>
                <w:szCs w:val="18"/>
                <w:lang w:eastAsia="zh-CN"/>
              </w:rPr>
              <w:t>an</w:t>
            </w:r>
            <w:r w:rsidRPr="000A0A5F">
              <w:rPr>
                <w:rFonts w:cs="Arial" w:hint="eastAsia"/>
                <w:szCs w:val="18"/>
                <w:lang w:eastAsia="zh-CN"/>
              </w:rPr>
              <w:t xml:space="preserve"> eNodeB in which the UE is currently located.</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683" w:type="dxa"/>
            <w:shd w:val="clear" w:color="auto" w:fill="auto"/>
            <w:vAlign w:val="center"/>
          </w:tcPr>
          <w:p w:rsidR="00CB0DD7" w:rsidRPr="000A0A5F" w:rsidRDefault="00CB0DD7">
            <w:pPr>
              <w:pStyle w:val="TAL"/>
              <w:rPr>
                <w:lang w:eastAsia="zh-CN"/>
              </w:rPr>
            </w:pPr>
            <w:r w:rsidRPr="000A0A5F">
              <w:rPr>
                <w:rFonts w:hint="eastAsia"/>
                <w:lang w:eastAsia="zh-CN"/>
              </w:rPr>
              <w:t>geographicArea</w:t>
            </w:r>
          </w:p>
        </w:tc>
        <w:tc>
          <w:tcPr>
            <w:tcW w:w="1560" w:type="dxa"/>
            <w:shd w:val="clear" w:color="auto" w:fill="auto"/>
          </w:tcPr>
          <w:p w:rsidR="00CB0DD7" w:rsidRPr="000A0A5F" w:rsidRDefault="00CB0DD7">
            <w:pPr>
              <w:pStyle w:val="TAL"/>
              <w:rPr>
                <w:lang w:eastAsia="zh-CN"/>
              </w:rPr>
            </w:pPr>
            <w:r w:rsidRPr="000A0A5F">
              <w:rPr>
                <w:lang w:eastAsia="zh-CN"/>
              </w:rPr>
              <w:t>array(</w:t>
            </w:r>
            <w:r w:rsidRPr="000A0A5F">
              <w:rPr>
                <w:rFonts w:hint="eastAsia"/>
                <w:lang w:eastAsia="zh-CN"/>
              </w:rPr>
              <w:t>GeographicArea</w:t>
            </w:r>
            <w:r w:rsidRPr="000A0A5F">
              <w:rPr>
                <w:lang w:eastAsia="zh-CN"/>
              </w:rPr>
              <w:t>)</w:t>
            </w:r>
          </w:p>
        </w:tc>
        <w:tc>
          <w:tcPr>
            <w:tcW w:w="1134" w:type="dxa"/>
            <w:shd w:val="clear" w:color="auto" w:fill="auto"/>
          </w:tcPr>
          <w:p w:rsidR="00CB0DD7" w:rsidRPr="000A0A5F" w:rsidRDefault="00CB0DD7">
            <w:pPr>
              <w:pStyle w:val="TAL"/>
              <w:rPr>
                <w:rFonts w:hint="eastAsia"/>
                <w:lang w:eastAsia="zh-CN"/>
              </w:rPr>
            </w:pPr>
            <w:r w:rsidRPr="000A0A5F">
              <w:rPr>
                <w:rFonts w:hint="eastAsia"/>
                <w:lang w:eastAsia="zh-CN"/>
              </w:rPr>
              <w:t>0..N</w:t>
            </w:r>
          </w:p>
        </w:tc>
        <w:tc>
          <w:tcPr>
            <w:tcW w:w="3968" w:type="dxa"/>
            <w:shd w:val="clear" w:color="auto" w:fill="auto"/>
          </w:tcPr>
          <w:p w:rsidR="00CB0DD7" w:rsidRPr="000A0A5F" w:rsidRDefault="00CB0DD7">
            <w:pPr>
              <w:pStyle w:val="TAL"/>
              <w:rPr>
                <w:rFonts w:cs="Arial" w:hint="eastAsia"/>
                <w:szCs w:val="18"/>
                <w:lang w:eastAsia="zh-CN"/>
              </w:rPr>
            </w:pPr>
            <w:r w:rsidRPr="000A0A5F">
              <w:rPr>
                <w:rFonts w:eastAsia="Times New Roman" w:cs="Arial"/>
                <w:szCs w:val="18"/>
              </w:rPr>
              <w:t>Identifies a geographic area of the user where the UE is located.</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683" w:type="dxa"/>
            <w:shd w:val="clear" w:color="auto" w:fill="auto"/>
            <w:vAlign w:val="center"/>
          </w:tcPr>
          <w:p w:rsidR="00CB0DD7" w:rsidRPr="000A0A5F" w:rsidRDefault="00CB0DD7">
            <w:pPr>
              <w:pStyle w:val="TAL"/>
              <w:rPr>
                <w:rFonts w:hint="eastAsia"/>
                <w:lang w:eastAsia="zh-CN"/>
              </w:rPr>
            </w:pPr>
            <w:r w:rsidRPr="000A0A5F">
              <w:rPr>
                <w:lang w:eastAsia="zh-CN"/>
              </w:rPr>
              <w:t>mbmsS</w:t>
            </w:r>
            <w:r w:rsidRPr="000A0A5F">
              <w:rPr>
                <w:rFonts w:hint="eastAsia"/>
                <w:lang w:eastAsia="zh-CN"/>
              </w:rPr>
              <w:t>erviceAreaId</w:t>
            </w:r>
          </w:p>
        </w:tc>
        <w:tc>
          <w:tcPr>
            <w:tcW w:w="1560" w:type="dxa"/>
            <w:shd w:val="clear" w:color="auto" w:fill="auto"/>
          </w:tcPr>
          <w:p w:rsidR="00CB0DD7" w:rsidRPr="000A0A5F" w:rsidRDefault="00CB0DD7">
            <w:pPr>
              <w:pStyle w:val="TAL"/>
              <w:rPr>
                <w:rFonts w:hint="eastAsia"/>
                <w:lang w:eastAsia="zh-CN"/>
              </w:rPr>
            </w:pPr>
            <w:r w:rsidRPr="000A0A5F">
              <w:rPr>
                <w:lang w:eastAsia="zh-CN"/>
              </w:rPr>
              <w:t>array(</w:t>
            </w:r>
            <w:r w:rsidRPr="000A0A5F">
              <w:rPr>
                <w:rFonts w:hint="eastAsia"/>
                <w:lang w:eastAsia="zh-CN"/>
              </w:rPr>
              <w:t>string</w:t>
            </w:r>
            <w:r w:rsidRPr="000A0A5F">
              <w:rPr>
                <w:lang w:eastAsia="zh-CN"/>
              </w:rPr>
              <w:t>)</w:t>
            </w:r>
          </w:p>
        </w:tc>
        <w:tc>
          <w:tcPr>
            <w:tcW w:w="1134" w:type="dxa"/>
            <w:shd w:val="clear" w:color="auto" w:fill="auto"/>
          </w:tcPr>
          <w:p w:rsidR="00CB0DD7" w:rsidRPr="000A0A5F" w:rsidRDefault="00CB0DD7">
            <w:pPr>
              <w:pStyle w:val="TAL"/>
              <w:rPr>
                <w:rFonts w:hint="eastAsia"/>
                <w:lang w:eastAsia="zh-CN"/>
              </w:rPr>
            </w:pPr>
            <w:r w:rsidRPr="000A0A5F">
              <w:rPr>
                <w:rFonts w:hint="eastAsia"/>
                <w:lang w:eastAsia="zh-CN"/>
              </w:rPr>
              <w:t>0..</w:t>
            </w:r>
            <w:r w:rsidRPr="000A0A5F">
              <w:rPr>
                <w:lang w:eastAsia="zh-CN"/>
              </w:rPr>
              <w:t>N</w:t>
            </w:r>
          </w:p>
        </w:tc>
        <w:tc>
          <w:tcPr>
            <w:tcW w:w="3968" w:type="dxa"/>
            <w:shd w:val="clear" w:color="auto" w:fill="auto"/>
          </w:tcPr>
          <w:p w:rsidR="00CB0DD7" w:rsidRPr="000A0A5F" w:rsidRDefault="00CB0DD7">
            <w:pPr>
              <w:pStyle w:val="TAL"/>
              <w:rPr>
                <w:rFonts w:eastAsia="Times New Roman" w:cs="Arial"/>
                <w:szCs w:val="18"/>
              </w:rPr>
            </w:pPr>
            <w:r w:rsidRPr="000A0A5F">
              <w:rPr>
                <w:rFonts w:cs="Arial" w:hint="eastAsia"/>
                <w:szCs w:val="18"/>
                <w:lang w:eastAsia="zh-CN"/>
              </w:rPr>
              <w:t xml:space="preserve">Identifies </w:t>
            </w:r>
            <w:r w:rsidRPr="000A0A5F">
              <w:rPr>
                <w:rFonts w:cs="Arial"/>
                <w:szCs w:val="18"/>
                <w:lang w:eastAsia="zh-CN"/>
              </w:rPr>
              <w:t>an MBMS Service Area Identity of the user where the UE is located.</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683" w:type="dxa"/>
            <w:shd w:val="clear" w:color="auto" w:fill="auto"/>
            <w:vAlign w:val="center"/>
          </w:tcPr>
          <w:p w:rsidR="00CB0DD7" w:rsidRPr="000A0A5F" w:rsidRDefault="00CB0DD7">
            <w:pPr>
              <w:pStyle w:val="TAL"/>
              <w:rPr>
                <w:lang w:eastAsia="zh-CN"/>
              </w:rPr>
            </w:pPr>
            <w:r w:rsidRPr="000A0A5F">
              <w:t>civicAddress</w:t>
            </w:r>
          </w:p>
        </w:tc>
        <w:tc>
          <w:tcPr>
            <w:tcW w:w="1560" w:type="dxa"/>
            <w:shd w:val="clear" w:color="auto" w:fill="auto"/>
          </w:tcPr>
          <w:p w:rsidR="00CB0DD7" w:rsidRPr="000A0A5F" w:rsidRDefault="00CB0DD7">
            <w:pPr>
              <w:pStyle w:val="TAL"/>
              <w:rPr>
                <w:lang w:eastAsia="zh-CN"/>
              </w:rPr>
            </w:pPr>
            <w:r w:rsidRPr="000A0A5F">
              <w:rPr>
                <w:lang w:eastAsia="zh-CN"/>
              </w:rPr>
              <w:t>array(</w:t>
            </w:r>
            <w:r w:rsidRPr="000A0A5F">
              <w:t>CivicAddress)</w:t>
            </w:r>
          </w:p>
        </w:tc>
        <w:tc>
          <w:tcPr>
            <w:tcW w:w="1134" w:type="dxa"/>
            <w:shd w:val="clear" w:color="auto" w:fill="auto"/>
          </w:tcPr>
          <w:p w:rsidR="00CB0DD7" w:rsidRPr="000A0A5F" w:rsidRDefault="00CB0DD7">
            <w:pPr>
              <w:pStyle w:val="TAL"/>
              <w:rPr>
                <w:rFonts w:hint="eastAsia"/>
                <w:lang w:eastAsia="zh-CN"/>
              </w:rPr>
            </w:pPr>
            <w:r w:rsidRPr="000A0A5F">
              <w:rPr>
                <w:rFonts w:hint="eastAsia"/>
                <w:lang w:eastAsia="zh-CN"/>
              </w:rPr>
              <w:t>0..N</w:t>
            </w:r>
          </w:p>
        </w:tc>
        <w:tc>
          <w:tcPr>
            <w:tcW w:w="3968" w:type="dxa"/>
            <w:shd w:val="clear" w:color="auto" w:fill="auto"/>
          </w:tcPr>
          <w:p w:rsidR="00CB0DD7" w:rsidRPr="000A0A5F" w:rsidRDefault="00CB0DD7">
            <w:pPr>
              <w:pStyle w:val="TAL"/>
              <w:rPr>
                <w:rFonts w:cs="Arial" w:hint="eastAsia"/>
                <w:szCs w:val="18"/>
                <w:lang w:eastAsia="zh-CN"/>
              </w:rPr>
            </w:pPr>
            <w:r w:rsidRPr="000A0A5F">
              <w:rPr>
                <w:rFonts w:eastAsia="Times New Roman" w:cs="Arial"/>
                <w:szCs w:val="18"/>
              </w:rPr>
              <w:t>Identifies a civic address of the user where the UE is located.</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9602" w:type="dxa"/>
            <w:gridSpan w:val="5"/>
            <w:shd w:val="clear" w:color="auto" w:fill="auto"/>
          </w:tcPr>
          <w:p w:rsidR="00CB0DD7" w:rsidRPr="000A0A5F" w:rsidRDefault="00CB0DD7">
            <w:pPr>
              <w:pStyle w:val="TAN"/>
            </w:pPr>
            <w:r w:rsidRPr="000A0A5F">
              <w:t>NOTE:</w:t>
            </w:r>
            <w:r w:rsidRPr="000A0A5F">
              <w:tab/>
              <w:t>Properties marked with a feature as defined in clause 5.8.2.3 are applicable as described in clause 5.2.7. If no features are indicated, the related property applies for all the features.</w:t>
            </w:r>
          </w:p>
        </w:tc>
      </w:tr>
    </w:tbl>
    <w:p w:rsidR="00CB0DD7" w:rsidRPr="000A0A5F" w:rsidRDefault="00CB0DD7"/>
    <w:p w:rsidR="00CB0DD7" w:rsidRPr="000A0A5F" w:rsidRDefault="00CB0DD7">
      <w:pPr>
        <w:pStyle w:val="Heading4"/>
      </w:pPr>
      <w:bookmarkStart w:id="5337" w:name="_Toc11247571"/>
      <w:bookmarkStart w:id="5338" w:name="_Toc27044710"/>
      <w:bookmarkStart w:id="5339" w:name="_Toc36033752"/>
      <w:bookmarkStart w:id="5340" w:name="_Toc45131898"/>
      <w:bookmarkStart w:id="5341" w:name="_Toc49776183"/>
      <w:bookmarkStart w:id="5342" w:name="_Toc51747103"/>
      <w:bookmarkStart w:id="5343" w:name="_Toc66360667"/>
      <w:bookmarkStart w:id="5344" w:name="_Toc68105172"/>
      <w:bookmarkStart w:id="5345" w:name="_Toc74755802"/>
      <w:bookmarkStart w:id="5346" w:name="_Toc105674677"/>
      <w:bookmarkStart w:id="5347" w:name="_Toc130502729"/>
      <w:bookmarkStart w:id="5348" w:name="_Toc153625516"/>
      <w:r w:rsidRPr="000A0A5F">
        <w:t>5.8.2.2</w:t>
      </w:r>
      <w:r w:rsidRPr="000A0A5F">
        <w:tab/>
        <w:t>Resource structure</w:t>
      </w:r>
      <w:bookmarkEnd w:id="5337"/>
      <w:bookmarkEnd w:id="5338"/>
      <w:bookmarkEnd w:id="5339"/>
      <w:bookmarkEnd w:id="5340"/>
      <w:bookmarkEnd w:id="5341"/>
      <w:bookmarkEnd w:id="5342"/>
      <w:bookmarkEnd w:id="5343"/>
      <w:bookmarkEnd w:id="5344"/>
      <w:bookmarkEnd w:id="5345"/>
      <w:bookmarkEnd w:id="5346"/>
      <w:bookmarkEnd w:id="5347"/>
      <w:bookmarkEnd w:id="5348"/>
    </w:p>
    <w:p w:rsidR="00CB0DD7" w:rsidRPr="000A0A5F" w:rsidRDefault="00CB0DD7">
      <w:pPr>
        <w:pStyle w:val="Heading5"/>
      </w:pPr>
      <w:bookmarkStart w:id="5349" w:name="_Toc11247572"/>
      <w:bookmarkStart w:id="5350" w:name="_Toc27044711"/>
      <w:bookmarkStart w:id="5351" w:name="_Toc36033753"/>
      <w:bookmarkStart w:id="5352" w:name="_Toc45131899"/>
      <w:bookmarkStart w:id="5353" w:name="_Toc49776184"/>
      <w:bookmarkStart w:id="5354" w:name="_Toc51747104"/>
      <w:bookmarkStart w:id="5355" w:name="_Toc66360668"/>
      <w:bookmarkStart w:id="5356" w:name="_Toc68105173"/>
      <w:bookmarkStart w:id="5357" w:name="_Toc74755803"/>
      <w:bookmarkStart w:id="5358" w:name="_Toc105674678"/>
      <w:bookmarkStart w:id="5359" w:name="_Toc130502730"/>
      <w:bookmarkStart w:id="5360" w:name="_Toc153625517"/>
      <w:r w:rsidRPr="000A0A5F">
        <w:t>5.8.2.2.1</w:t>
      </w:r>
      <w:r w:rsidRPr="000A0A5F">
        <w:tab/>
        <w:t>General</w:t>
      </w:r>
      <w:bookmarkEnd w:id="5349"/>
      <w:bookmarkEnd w:id="5350"/>
      <w:bookmarkEnd w:id="5351"/>
      <w:bookmarkEnd w:id="5352"/>
      <w:bookmarkEnd w:id="5353"/>
      <w:bookmarkEnd w:id="5354"/>
      <w:bookmarkEnd w:id="5355"/>
      <w:bookmarkEnd w:id="5356"/>
      <w:bookmarkEnd w:id="5357"/>
      <w:bookmarkEnd w:id="5358"/>
      <w:bookmarkEnd w:id="5359"/>
      <w:bookmarkEnd w:id="5360"/>
    </w:p>
    <w:p w:rsidR="00CB0DD7" w:rsidRPr="000A0A5F" w:rsidRDefault="00CB0DD7">
      <w:r w:rsidRPr="000A0A5F">
        <w:t>All resource URIs of this API should have the following root:</w:t>
      </w:r>
    </w:p>
    <w:p w:rsidR="00CB0DD7" w:rsidRPr="000A0A5F" w:rsidRDefault="00CB0DD7">
      <w:pPr>
        <w:pStyle w:val="B1"/>
        <w:numPr>
          <w:ilvl w:val="0"/>
          <w:numId w:val="0"/>
        </w:numPr>
        <w:ind w:left="737"/>
        <w:rPr>
          <w:b/>
        </w:rPr>
      </w:pPr>
      <w:r w:rsidRPr="000A0A5F">
        <w:rPr>
          <w:b/>
        </w:rPr>
        <w:t>{apiRoot}/3gpp-group-message-delivery-mb2/v1</w:t>
      </w:r>
    </w:p>
    <w:p w:rsidR="00CB0DD7" w:rsidRPr="000A0A5F" w:rsidRDefault="00CB0DD7">
      <w:r w:rsidRPr="000A0A5F">
        <w:t>"apiRoot" is set as described in clause</w:t>
      </w:r>
      <w:r w:rsidRPr="000A0A5F">
        <w:rPr>
          <w:rFonts w:ascii="Segoe UI Symbol" w:hAnsi="Segoe UI Symbol"/>
        </w:rPr>
        <w:t> </w:t>
      </w:r>
      <w:r w:rsidRPr="000A0A5F">
        <w:t>5.2.4. "apiName" shall be set to "3gpp</w:t>
      </w:r>
      <w:r w:rsidRPr="000A0A5F">
        <w:rPr>
          <w:b/>
        </w:rPr>
        <w:t>-</w:t>
      </w:r>
      <w:r w:rsidRPr="000A0A5F">
        <w:t>group</w:t>
      </w:r>
      <w:r w:rsidRPr="000A0A5F">
        <w:rPr>
          <w:b/>
        </w:rPr>
        <w:t>-</w:t>
      </w:r>
      <w:r w:rsidRPr="000A0A5F">
        <w:t>message</w:t>
      </w:r>
      <w:r w:rsidRPr="000A0A5F">
        <w:rPr>
          <w:b/>
        </w:rPr>
        <w:t>-</w:t>
      </w:r>
      <w:r w:rsidRPr="000A0A5F">
        <w:t>delivery</w:t>
      </w:r>
      <w:r w:rsidRPr="000A0A5F">
        <w:rPr>
          <w:b/>
        </w:rPr>
        <w:t>-</w:t>
      </w:r>
      <w:r w:rsidRPr="000A0A5F">
        <w:t>mb2" and "apiVersion" shall be set to "v1" for the version defined in the present document. All resource URIs in the clauses below are defined relative to the above root URI.</w:t>
      </w:r>
    </w:p>
    <w:p w:rsidR="00CB0DD7" w:rsidRPr="000A0A5F" w:rsidRDefault="00CB0DD7">
      <w:r w:rsidRPr="000A0A5F">
        <w:t>The following resources and HTTP methods are supported for this API:</w:t>
      </w:r>
    </w:p>
    <w:p w:rsidR="00CB0DD7" w:rsidRPr="000A0A5F" w:rsidRDefault="00CB0DD7">
      <w:pPr>
        <w:pStyle w:val="TH"/>
      </w:pPr>
      <w:r w:rsidRPr="000A0A5F">
        <w:t>Table 5.8.2.2.1-1: Resources and methods overview</w:t>
      </w:r>
    </w:p>
    <w:tbl>
      <w:tblPr>
        <w:tblW w:w="496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1485"/>
        <w:gridCol w:w="3544"/>
        <w:gridCol w:w="851"/>
        <w:gridCol w:w="994"/>
        <w:gridCol w:w="2835"/>
      </w:tblGrid>
      <w:tr w:rsidR="00CB0DD7" w:rsidRPr="000A0A5F" w:rsidTr="00FF0AF8">
        <w:trPr>
          <w:jc w:val="center"/>
        </w:trPr>
        <w:tc>
          <w:tcPr>
            <w:tcW w:w="765" w:type="pct"/>
            <w:shd w:val="clear" w:color="auto" w:fill="C0C0C0"/>
            <w:vAlign w:val="center"/>
            <w:hideMark/>
          </w:tcPr>
          <w:p w:rsidR="00CB0DD7" w:rsidRPr="000A0A5F" w:rsidRDefault="00CB0DD7">
            <w:pPr>
              <w:pStyle w:val="TAH"/>
              <w:spacing w:line="276" w:lineRule="auto"/>
            </w:pPr>
            <w:r w:rsidRPr="000A0A5F">
              <w:t>Resource name</w:t>
            </w:r>
          </w:p>
        </w:tc>
        <w:tc>
          <w:tcPr>
            <w:tcW w:w="1825" w:type="pct"/>
            <w:shd w:val="clear" w:color="auto" w:fill="C0C0C0"/>
            <w:vAlign w:val="center"/>
            <w:hideMark/>
          </w:tcPr>
          <w:p w:rsidR="00CB0DD7" w:rsidRPr="000A0A5F" w:rsidRDefault="00CB0DD7">
            <w:pPr>
              <w:pStyle w:val="TAH"/>
              <w:spacing w:line="276" w:lineRule="auto"/>
            </w:pPr>
            <w:r w:rsidRPr="000A0A5F">
              <w:t>Resource URI</w:t>
            </w:r>
          </w:p>
        </w:tc>
        <w:tc>
          <w:tcPr>
            <w:tcW w:w="438" w:type="pct"/>
            <w:shd w:val="clear" w:color="auto" w:fill="C0C0C0"/>
            <w:vAlign w:val="center"/>
            <w:hideMark/>
          </w:tcPr>
          <w:p w:rsidR="00CB0DD7" w:rsidRPr="000A0A5F" w:rsidRDefault="00CB0DD7">
            <w:pPr>
              <w:pStyle w:val="TAH"/>
              <w:spacing w:line="276" w:lineRule="auto"/>
            </w:pPr>
            <w:r w:rsidRPr="000A0A5F">
              <w:t>HTTP method</w:t>
            </w:r>
          </w:p>
        </w:tc>
        <w:tc>
          <w:tcPr>
            <w:tcW w:w="512" w:type="pct"/>
            <w:shd w:val="clear" w:color="auto" w:fill="C0C0C0"/>
          </w:tcPr>
          <w:p w:rsidR="00CB0DD7" w:rsidRPr="000A0A5F" w:rsidRDefault="00CB0DD7">
            <w:pPr>
              <w:pStyle w:val="TAH"/>
              <w:spacing w:line="276" w:lineRule="auto"/>
              <w:rPr>
                <w:rFonts w:hint="eastAsia"/>
                <w:lang w:eastAsia="zh-CN"/>
              </w:rPr>
            </w:pPr>
            <w:r w:rsidRPr="000A0A5F">
              <w:rPr>
                <w:rFonts w:hint="eastAsia"/>
                <w:lang w:eastAsia="zh-CN"/>
              </w:rPr>
              <w:t xml:space="preserve">HTTP </w:t>
            </w:r>
            <w:r w:rsidRPr="000A0A5F">
              <w:rPr>
                <w:lang w:eastAsia="zh-CN"/>
              </w:rPr>
              <w:t>initiator</w:t>
            </w:r>
          </w:p>
        </w:tc>
        <w:tc>
          <w:tcPr>
            <w:tcW w:w="1460" w:type="pct"/>
            <w:shd w:val="clear" w:color="auto" w:fill="C0C0C0"/>
            <w:vAlign w:val="center"/>
            <w:hideMark/>
          </w:tcPr>
          <w:p w:rsidR="00CB0DD7" w:rsidRPr="000A0A5F" w:rsidRDefault="00CB0DD7">
            <w:pPr>
              <w:pStyle w:val="TAH"/>
              <w:spacing w:line="276" w:lineRule="auto"/>
            </w:pPr>
            <w:r w:rsidRPr="000A0A5F">
              <w:t>Meaning</w:t>
            </w:r>
          </w:p>
        </w:tc>
      </w:tr>
      <w:tr w:rsidR="00CB0DD7" w:rsidRPr="000A0A5F" w:rsidTr="00FF0AF8">
        <w:trPr>
          <w:jc w:val="center"/>
        </w:trPr>
        <w:tc>
          <w:tcPr>
            <w:tcW w:w="765" w:type="pct"/>
            <w:vMerge w:val="restart"/>
            <w:shd w:val="clear" w:color="auto" w:fill="auto"/>
          </w:tcPr>
          <w:p w:rsidR="00CB0DD7" w:rsidRPr="000A0A5F" w:rsidRDefault="00CB0DD7">
            <w:pPr>
              <w:pStyle w:val="TAL"/>
              <w:spacing w:line="276" w:lineRule="auto"/>
              <w:rPr>
                <w:rFonts w:hint="eastAsia"/>
                <w:lang w:eastAsia="zh-CN"/>
              </w:rPr>
            </w:pPr>
            <w:r w:rsidRPr="000A0A5F">
              <w:rPr>
                <w:rFonts w:hint="eastAsia"/>
                <w:lang w:eastAsia="zh-CN"/>
              </w:rPr>
              <w:t>T</w:t>
            </w:r>
            <w:r w:rsidRPr="000A0A5F">
              <w:rPr>
                <w:lang w:eastAsia="zh-CN"/>
              </w:rPr>
              <w:t>MGI Allocation</w:t>
            </w:r>
          </w:p>
        </w:tc>
        <w:tc>
          <w:tcPr>
            <w:tcW w:w="1825" w:type="pct"/>
            <w:vMerge w:val="restart"/>
            <w:shd w:val="clear" w:color="auto" w:fill="auto"/>
          </w:tcPr>
          <w:p w:rsidR="00CB0DD7" w:rsidRPr="000A0A5F" w:rsidRDefault="00CB0DD7">
            <w:pPr>
              <w:pStyle w:val="TAL"/>
              <w:spacing w:line="276" w:lineRule="auto"/>
              <w:rPr>
                <w:lang w:eastAsia="zh-CN"/>
              </w:rPr>
            </w:pPr>
            <w:r w:rsidRPr="000A0A5F">
              <w:rPr>
                <w:lang w:eastAsia="zh-CN"/>
              </w:rPr>
              <w:t>/{scsAsId}</w:t>
            </w:r>
          </w:p>
          <w:p w:rsidR="00CB0DD7" w:rsidRPr="000A0A5F" w:rsidRDefault="00CB0DD7">
            <w:pPr>
              <w:pStyle w:val="TAL"/>
              <w:spacing w:line="276" w:lineRule="auto"/>
              <w:rPr>
                <w:lang w:eastAsia="zh-CN"/>
              </w:rPr>
            </w:pPr>
            <w:r w:rsidRPr="000A0A5F">
              <w:rPr>
                <w:lang w:eastAsia="zh-CN"/>
              </w:rPr>
              <w:t>/tmgi-allocation</w:t>
            </w:r>
          </w:p>
        </w:tc>
        <w:tc>
          <w:tcPr>
            <w:tcW w:w="438" w:type="pct"/>
            <w:shd w:val="clear" w:color="auto" w:fill="auto"/>
          </w:tcPr>
          <w:p w:rsidR="00CB0DD7" w:rsidRPr="000A0A5F" w:rsidRDefault="00CB0DD7">
            <w:pPr>
              <w:pStyle w:val="TAL"/>
            </w:pPr>
            <w:r w:rsidRPr="000A0A5F">
              <w:t>GET</w:t>
            </w:r>
          </w:p>
        </w:tc>
        <w:tc>
          <w:tcPr>
            <w:tcW w:w="512" w:type="pct"/>
          </w:tcPr>
          <w:p w:rsidR="00CB0DD7" w:rsidRPr="000A0A5F" w:rsidRDefault="00CB0DD7">
            <w:pPr>
              <w:pStyle w:val="TAL"/>
            </w:pPr>
            <w:r w:rsidRPr="000A0A5F">
              <w:rPr>
                <w:rFonts w:hint="eastAsia"/>
                <w:lang w:eastAsia="zh-CN"/>
              </w:rPr>
              <w:t>SCS/AS</w:t>
            </w:r>
          </w:p>
        </w:tc>
        <w:tc>
          <w:tcPr>
            <w:tcW w:w="1460" w:type="pct"/>
            <w:shd w:val="clear" w:color="auto" w:fill="auto"/>
          </w:tcPr>
          <w:p w:rsidR="00CB0DD7" w:rsidRPr="000A0A5F" w:rsidRDefault="00CB0DD7">
            <w:pPr>
              <w:pStyle w:val="TAL"/>
            </w:pPr>
            <w:r w:rsidRPr="000A0A5F">
              <w:t xml:space="preserve">Read all active TMGI </w:t>
            </w:r>
            <w:r w:rsidRPr="000A0A5F">
              <w:rPr>
                <w:noProof/>
                <w:lang w:eastAsia="zh-CN"/>
              </w:rPr>
              <w:t xml:space="preserve">resources for a given SCS/AS </w:t>
            </w:r>
          </w:p>
        </w:tc>
      </w:tr>
      <w:tr w:rsidR="00CB0DD7" w:rsidRPr="000A0A5F" w:rsidTr="00FF0AF8">
        <w:trPr>
          <w:jc w:val="center"/>
        </w:trPr>
        <w:tc>
          <w:tcPr>
            <w:tcW w:w="765" w:type="pct"/>
            <w:vMerge/>
            <w:shd w:val="clear" w:color="auto" w:fill="auto"/>
          </w:tcPr>
          <w:p w:rsidR="00CB0DD7" w:rsidRPr="000A0A5F" w:rsidRDefault="00CB0DD7">
            <w:pPr>
              <w:pStyle w:val="TAL"/>
              <w:spacing w:line="276" w:lineRule="auto"/>
              <w:rPr>
                <w:lang w:eastAsia="zh-CN"/>
              </w:rPr>
            </w:pPr>
          </w:p>
        </w:tc>
        <w:tc>
          <w:tcPr>
            <w:tcW w:w="1825" w:type="pct"/>
            <w:vMerge/>
            <w:shd w:val="clear" w:color="auto" w:fill="auto"/>
          </w:tcPr>
          <w:p w:rsidR="00CB0DD7" w:rsidRPr="000A0A5F" w:rsidRDefault="00CB0DD7">
            <w:pPr>
              <w:pStyle w:val="TAL"/>
              <w:spacing w:line="276" w:lineRule="auto"/>
              <w:rPr>
                <w:lang w:eastAsia="zh-CN"/>
              </w:rPr>
            </w:pPr>
          </w:p>
        </w:tc>
        <w:tc>
          <w:tcPr>
            <w:tcW w:w="438" w:type="pct"/>
            <w:shd w:val="clear" w:color="auto" w:fill="auto"/>
          </w:tcPr>
          <w:p w:rsidR="00CB0DD7" w:rsidRPr="000A0A5F" w:rsidRDefault="00CB0DD7">
            <w:pPr>
              <w:pStyle w:val="TAL"/>
            </w:pPr>
            <w:r w:rsidRPr="000A0A5F">
              <w:t>POST</w:t>
            </w:r>
          </w:p>
        </w:tc>
        <w:tc>
          <w:tcPr>
            <w:tcW w:w="512" w:type="pct"/>
          </w:tcPr>
          <w:p w:rsidR="00CB0DD7" w:rsidRPr="000A0A5F" w:rsidRDefault="00CB0DD7">
            <w:pPr>
              <w:pStyle w:val="TAL"/>
            </w:pPr>
            <w:r w:rsidRPr="000A0A5F">
              <w:rPr>
                <w:rFonts w:hint="eastAsia"/>
                <w:lang w:eastAsia="zh-CN"/>
              </w:rPr>
              <w:t>SCS/AS</w:t>
            </w:r>
          </w:p>
        </w:tc>
        <w:tc>
          <w:tcPr>
            <w:tcW w:w="1460" w:type="pct"/>
            <w:shd w:val="clear" w:color="auto" w:fill="auto"/>
          </w:tcPr>
          <w:p w:rsidR="00CB0DD7" w:rsidRPr="000A0A5F" w:rsidRDefault="00CB0DD7">
            <w:pPr>
              <w:pStyle w:val="TAL"/>
            </w:pPr>
            <w:r w:rsidRPr="000A0A5F">
              <w:t>Create a new TMGI  resource</w:t>
            </w:r>
            <w:r w:rsidRPr="000A0A5F">
              <w:rPr>
                <w:noProof/>
                <w:lang w:eastAsia="zh-CN"/>
              </w:rPr>
              <w:t xml:space="preserve"> for a given SCS/AS </w:t>
            </w:r>
          </w:p>
        </w:tc>
      </w:tr>
      <w:tr w:rsidR="00CB0DD7" w:rsidRPr="000A0A5F" w:rsidTr="00FF0AF8">
        <w:trPr>
          <w:jc w:val="center"/>
        </w:trPr>
        <w:tc>
          <w:tcPr>
            <w:tcW w:w="765" w:type="pct"/>
            <w:vMerge w:val="restart"/>
            <w:hideMark/>
          </w:tcPr>
          <w:p w:rsidR="00CB0DD7" w:rsidRPr="000A0A5F" w:rsidRDefault="00CB0DD7">
            <w:pPr>
              <w:pStyle w:val="TAL"/>
              <w:spacing w:line="276" w:lineRule="auto"/>
              <w:rPr>
                <w:lang w:eastAsia="zh-CN"/>
              </w:rPr>
            </w:pPr>
            <w:r w:rsidRPr="000A0A5F">
              <w:rPr>
                <w:lang w:eastAsia="zh-CN"/>
              </w:rPr>
              <w:t xml:space="preserve">Individual </w:t>
            </w:r>
            <w:r w:rsidRPr="000A0A5F">
              <w:rPr>
                <w:rFonts w:hint="eastAsia"/>
                <w:lang w:eastAsia="zh-CN"/>
              </w:rPr>
              <w:t>T</w:t>
            </w:r>
            <w:r w:rsidRPr="000A0A5F">
              <w:rPr>
                <w:lang w:eastAsia="zh-CN"/>
              </w:rPr>
              <w:t>MGI Allocation</w:t>
            </w:r>
          </w:p>
        </w:tc>
        <w:tc>
          <w:tcPr>
            <w:tcW w:w="1825" w:type="pct"/>
            <w:vMerge w:val="restart"/>
            <w:hideMark/>
          </w:tcPr>
          <w:p w:rsidR="00CB0DD7" w:rsidRPr="000A0A5F" w:rsidRDefault="00CB0DD7">
            <w:pPr>
              <w:pStyle w:val="TAL"/>
              <w:spacing w:line="276" w:lineRule="auto"/>
              <w:rPr>
                <w:lang w:eastAsia="zh-CN"/>
              </w:rPr>
            </w:pPr>
            <w:r w:rsidRPr="000A0A5F">
              <w:rPr>
                <w:lang w:eastAsia="zh-CN"/>
              </w:rPr>
              <w:t>/{scsAsId}</w:t>
            </w:r>
          </w:p>
          <w:p w:rsidR="00CB0DD7" w:rsidRPr="000A0A5F" w:rsidRDefault="00CB0DD7">
            <w:pPr>
              <w:pStyle w:val="TAL"/>
              <w:spacing w:line="276" w:lineRule="auto"/>
              <w:rPr>
                <w:lang w:eastAsia="zh-CN"/>
              </w:rPr>
            </w:pPr>
            <w:r w:rsidRPr="000A0A5F">
              <w:rPr>
                <w:lang w:eastAsia="zh-CN"/>
              </w:rPr>
              <w:t>/tmgi-allocation/{tmgi}</w:t>
            </w:r>
          </w:p>
        </w:tc>
        <w:tc>
          <w:tcPr>
            <w:tcW w:w="438" w:type="pct"/>
          </w:tcPr>
          <w:p w:rsidR="00CB0DD7" w:rsidRPr="000A0A5F" w:rsidRDefault="00CB0DD7">
            <w:pPr>
              <w:pStyle w:val="TAL"/>
            </w:pPr>
            <w:r w:rsidRPr="000A0A5F">
              <w:t>PUT</w:t>
            </w:r>
          </w:p>
        </w:tc>
        <w:tc>
          <w:tcPr>
            <w:tcW w:w="512" w:type="pct"/>
          </w:tcPr>
          <w:p w:rsidR="00CB0DD7" w:rsidRPr="000A0A5F" w:rsidRDefault="00CB0DD7">
            <w:pPr>
              <w:pStyle w:val="TAL"/>
              <w:rPr>
                <w:noProof/>
                <w:lang w:eastAsia="zh-CN"/>
              </w:rPr>
            </w:pPr>
            <w:r w:rsidRPr="000A0A5F">
              <w:rPr>
                <w:rFonts w:hint="eastAsia"/>
                <w:lang w:eastAsia="zh-CN"/>
              </w:rPr>
              <w:t>SCS/AS</w:t>
            </w:r>
          </w:p>
        </w:tc>
        <w:tc>
          <w:tcPr>
            <w:tcW w:w="1460" w:type="pct"/>
          </w:tcPr>
          <w:p w:rsidR="00CB0DD7" w:rsidRPr="000A0A5F" w:rsidRDefault="00CB0DD7">
            <w:pPr>
              <w:pStyle w:val="TAL"/>
            </w:pPr>
            <w:r w:rsidRPr="000A0A5F">
              <w:t>Replace an existing TMGI resource</w:t>
            </w:r>
            <w:r w:rsidRPr="000A0A5F">
              <w:rPr>
                <w:noProof/>
                <w:lang w:eastAsia="zh-CN"/>
              </w:rPr>
              <w:t xml:space="preserve"> for a given SCS/AS and TMGI</w:t>
            </w:r>
          </w:p>
        </w:tc>
      </w:tr>
      <w:tr w:rsidR="00CB0DD7" w:rsidRPr="000A0A5F" w:rsidTr="00FF0AF8">
        <w:trPr>
          <w:jc w:val="center"/>
        </w:trPr>
        <w:tc>
          <w:tcPr>
            <w:tcW w:w="765" w:type="pct"/>
            <w:vMerge/>
          </w:tcPr>
          <w:p w:rsidR="00CB0DD7" w:rsidRPr="000A0A5F" w:rsidRDefault="00CB0DD7">
            <w:pPr>
              <w:pStyle w:val="TAL"/>
              <w:spacing w:line="276" w:lineRule="auto"/>
              <w:rPr>
                <w:lang w:eastAsia="zh-CN"/>
              </w:rPr>
            </w:pPr>
          </w:p>
        </w:tc>
        <w:tc>
          <w:tcPr>
            <w:tcW w:w="1825" w:type="pct"/>
            <w:vMerge/>
          </w:tcPr>
          <w:p w:rsidR="00CB0DD7" w:rsidRPr="000A0A5F" w:rsidRDefault="00CB0DD7">
            <w:pPr>
              <w:pStyle w:val="TAL"/>
              <w:spacing w:line="276" w:lineRule="auto"/>
              <w:rPr>
                <w:lang w:eastAsia="zh-CN"/>
              </w:rPr>
            </w:pPr>
          </w:p>
        </w:tc>
        <w:tc>
          <w:tcPr>
            <w:tcW w:w="438" w:type="pct"/>
          </w:tcPr>
          <w:p w:rsidR="00CB0DD7" w:rsidRPr="000A0A5F" w:rsidRDefault="00CB0DD7">
            <w:pPr>
              <w:pStyle w:val="TAL"/>
              <w:rPr>
                <w:rFonts w:hint="eastAsia"/>
                <w:lang w:eastAsia="zh-CN"/>
              </w:rPr>
            </w:pPr>
            <w:r w:rsidRPr="000A0A5F">
              <w:rPr>
                <w:rFonts w:hint="eastAsia"/>
                <w:lang w:eastAsia="zh-CN"/>
              </w:rPr>
              <w:t>PATCH</w:t>
            </w:r>
          </w:p>
        </w:tc>
        <w:tc>
          <w:tcPr>
            <w:tcW w:w="512" w:type="pct"/>
          </w:tcPr>
          <w:p w:rsidR="00CB0DD7" w:rsidRPr="000A0A5F" w:rsidRDefault="00CB0DD7">
            <w:pPr>
              <w:pStyle w:val="TAL"/>
              <w:rPr>
                <w:rFonts w:hint="eastAsia"/>
                <w:lang w:eastAsia="zh-CN"/>
              </w:rPr>
            </w:pPr>
            <w:r w:rsidRPr="000A0A5F">
              <w:rPr>
                <w:rFonts w:hint="eastAsia"/>
                <w:lang w:eastAsia="zh-CN"/>
              </w:rPr>
              <w:t>SCS/AS</w:t>
            </w:r>
          </w:p>
        </w:tc>
        <w:tc>
          <w:tcPr>
            <w:tcW w:w="1460" w:type="pct"/>
          </w:tcPr>
          <w:p w:rsidR="00CB0DD7" w:rsidRPr="000A0A5F" w:rsidRDefault="00CB0DD7">
            <w:pPr>
              <w:pStyle w:val="TAL"/>
            </w:pPr>
            <w:r w:rsidRPr="000A0A5F">
              <w:rPr>
                <w:rFonts w:hint="eastAsia"/>
                <w:lang w:eastAsia="zh-CN"/>
              </w:rPr>
              <w:t xml:space="preserve">Modify </w:t>
            </w:r>
            <w:r w:rsidRPr="000A0A5F">
              <w:t>an existing TMGI resource</w:t>
            </w:r>
            <w:r w:rsidRPr="000A0A5F">
              <w:rPr>
                <w:noProof/>
                <w:lang w:eastAsia="zh-CN"/>
              </w:rPr>
              <w:t xml:space="preserve"> for a given SCS/AS and TMGI</w:t>
            </w:r>
          </w:p>
        </w:tc>
      </w:tr>
      <w:tr w:rsidR="00CB0DD7" w:rsidRPr="000A0A5F" w:rsidTr="00FF0AF8">
        <w:trPr>
          <w:jc w:val="center"/>
        </w:trPr>
        <w:tc>
          <w:tcPr>
            <w:tcW w:w="765" w:type="pct"/>
            <w:vMerge/>
          </w:tcPr>
          <w:p w:rsidR="00CB0DD7" w:rsidRPr="000A0A5F" w:rsidRDefault="00CB0DD7">
            <w:pPr>
              <w:pStyle w:val="TAL"/>
              <w:spacing w:line="276" w:lineRule="auto"/>
              <w:rPr>
                <w:lang w:eastAsia="zh-CN"/>
              </w:rPr>
            </w:pPr>
          </w:p>
        </w:tc>
        <w:tc>
          <w:tcPr>
            <w:tcW w:w="1825" w:type="pct"/>
            <w:vMerge/>
          </w:tcPr>
          <w:p w:rsidR="00CB0DD7" w:rsidRPr="000A0A5F" w:rsidRDefault="00CB0DD7">
            <w:pPr>
              <w:pStyle w:val="TAL"/>
              <w:spacing w:line="276" w:lineRule="auto"/>
              <w:rPr>
                <w:lang w:eastAsia="zh-CN"/>
              </w:rPr>
            </w:pPr>
          </w:p>
        </w:tc>
        <w:tc>
          <w:tcPr>
            <w:tcW w:w="438" w:type="pct"/>
          </w:tcPr>
          <w:p w:rsidR="00CB0DD7" w:rsidRPr="000A0A5F" w:rsidRDefault="00CB0DD7">
            <w:pPr>
              <w:pStyle w:val="TAL"/>
            </w:pPr>
            <w:r w:rsidRPr="000A0A5F">
              <w:t>GET</w:t>
            </w:r>
          </w:p>
        </w:tc>
        <w:tc>
          <w:tcPr>
            <w:tcW w:w="512" w:type="pct"/>
          </w:tcPr>
          <w:p w:rsidR="00CB0DD7" w:rsidRPr="000A0A5F" w:rsidRDefault="00CB0DD7">
            <w:pPr>
              <w:pStyle w:val="TAL"/>
            </w:pPr>
            <w:r w:rsidRPr="000A0A5F">
              <w:rPr>
                <w:rFonts w:hint="eastAsia"/>
                <w:lang w:eastAsia="zh-CN"/>
              </w:rPr>
              <w:t>SCS/AS</w:t>
            </w:r>
          </w:p>
        </w:tc>
        <w:tc>
          <w:tcPr>
            <w:tcW w:w="1460" w:type="pct"/>
          </w:tcPr>
          <w:p w:rsidR="00CB0DD7" w:rsidRPr="000A0A5F" w:rsidRDefault="00CB0DD7">
            <w:pPr>
              <w:pStyle w:val="TAL"/>
            </w:pPr>
            <w:r w:rsidRPr="000A0A5F">
              <w:t xml:space="preserve">Read a TMGI allocation </w:t>
            </w:r>
            <w:r w:rsidRPr="000A0A5F">
              <w:rPr>
                <w:noProof/>
                <w:lang w:eastAsia="zh-CN"/>
              </w:rPr>
              <w:t>resource for a given SCS/AS and a TMGI</w:t>
            </w:r>
          </w:p>
        </w:tc>
      </w:tr>
      <w:tr w:rsidR="00CB0DD7" w:rsidRPr="000A0A5F" w:rsidTr="00FF0AF8">
        <w:trPr>
          <w:jc w:val="center"/>
        </w:trPr>
        <w:tc>
          <w:tcPr>
            <w:tcW w:w="765" w:type="pct"/>
            <w:vMerge/>
          </w:tcPr>
          <w:p w:rsidR="00CB0DD7" w:rsidRPr="000A0A5F" w:rsidRDefault="00CB0DD7">
            <w:pPr>
              <w:pStyle w:val="TAL"/>
              <w:spacing w:line="276" w:lineRule="auto"/>
              <w:rPr>
                <w:lang w:eastAsia="zh-CN"/>
              </w:rPr>
            </w:pPr>
          </w:p>
        </w:tc>
        <w:tc>
          <w:tcPr>
            <w:tcW w:w="1825" w:type="pct"/>
            <w:vMerge/>
          </w:tcPr>
          <w:p w:rsidR="00CB0DD7" w:rsidRPr="000A0A5F" w:rsidRDefault="00CB0DD7">
            <w:pPr>
              <w:pStyle w:val="TAL"/>
              <w:spacing w:line="276" w:lineRule="auto"/>
              <w:rPr>
                <w:lang w:eastAsia="zh-CN"/>
              </w:rPr>
            </w:pPr>
          </w:p>
        </w:tc>
        <w:tc>
          <w:tcPr>
            <w:tcW w:w="438" w:type="pct"/>
          </w:tcPr>
          <w:p w:rsidR="00CB0DD7" w:rsidRPr="000A0A5F" w:rsidRDefault="00CB0DD7">
            <w:pPr>
              <w:pStyle w:val="TAL"/>
            </w:pPr>
            <w:r w:rsidRPr="000A0A5F">
              <w:t>DELETE</w:t>
            </w:r>
          </w:p>
        </w:tc>
        <w:tc>
          <w:tcPr>
            <w:tcW w:w="512" w:type="pct"/>
          </w:tcPr>
          <w:p w:rsidR="00CB0DD7" w:rsidRPr="000A0A5F" w:rsidRDefault="00CB0DD7">
            <w:pPr>
              <w:pStyle w:val="TAL"/>
              <w:rPr>
                <w:noProof/>
                <w:lang w:eastAsia="zh-CN"/>
              </w:rPr>
            </w:pPr>
            <w:r w:rsidRPr="000A0A5F">
              <w:rPr>
                <w:rFonts w:hint="eastAsia"/>
                <w:lang w:eastAsia="zh-CN"/>
              </w:rPr>
              <w:t>SCS/AS</w:t>
            </w:r>
          </w:p>
        </w:tc>
        <w:tc>
          <w:tcPr>
            <w:tcW w:w="1460" w:type="pct"/>
          </w:tcPr>
          <w:p w:rsidR="00CB0DD7" w:rsidRPr="000A0A5F" w:rsidRDefault="00CB0DD7">
            <w:pPr>
              <w:pStyle w:val="TAL"/>
            </w:pPr>
            <w:r w:rsidRPr="000A0A5F">
              <w:rPr>
                <w:noProof/>
                <w:lang w:eastAsia="zh-CN"/>
              </w:rPr>
              <w:t>Deallocate an existing TMGI resource for agiven SCS/AS and TMGI</w:t>
            </w:r>
          </w:p>
        </w:tc>
      </w:tr>
      <w:tr w:rsidR="00CB0DD7" w:rsidRPr="000A0A5F" w:rsidTr="00FF0AF8">
        <w:trPr>
          <w:jc w:val="center"/>
        </w:trPr>
        <w:tc>
          <w:tcPr>
            <w:tcW w:w="765" w:type="pct"/>
            <w:vMerge w:val="restart"/>
          </w:tcPr>
          <w:p w:rsidR="00CB0DD7" w:rsidRPr="000A0A5F" w:rsidRDefault="00CB0DD7">
            <w:pPr>
              <w:pStyle w:val="TAL"/>
              <w:spacing w:line="276" w:lineRule="auto"/>
              <w:rPr>
                <w:rFonts w:hint="eastAsia"/>
                <w:lang w:eastAsia="zh-CN"/>
              </w:rPr>
            </w:pPr>
            <w:r w:rsidRPr="000A0A5F">
              <w:rPr>
                <w:rFonts w:hint="eastAsia"/>
                <w:lang w:eastAsia="zh-CN"/>
              </w:rPr>
              <w:t>GMD vi</w:t>
            </w:r>
            <w:r w:rsidRPr="000A0A5F">
              <w:rPr>
                <w:lang w:eastAsia="zh-CN"/>
              </w:rPr>
              <w:t>a</w:t>
            </w:r>
            <w:r w:rsidRPr="000A0A5F">
              <w:rPr>
                <w:rFonts w:hint="eastAsia"/>
                <w:lang w:eastAsia="zh-CN"/>
              </w:rPr>
              <w:t xml:space="preserve"> MBMS</w:t>
            </w:r>
            <w:r w:rsidRPr="000A0A5F">
              <w:rPr>
                <w:lang w:eastAsia="zh-CN"/>
              </w:rPr>
              <w:t xml:space="preserve"> by MB2</w:t>
            </w:r>
          </w:p>
        </w:tc>
        <w:tc>
          <w:tcPr>
            <w:tcW w:w="1825" w:type="pct"/>
            <w:vMerge w:val="restart"/>
          </w:tcPr>
          <w:p w:rsidR="00CB0DD7" w:rsidRPr="000A0A5F" w:rsidRDefault="00CB0DD7">
            <w:pPr>
              <w:pStyle w:val="TAL"/>
              <w:spacing w:line="276" w:lineRule="auto"/>
              <w:rPr>
                <w:lang w:eastAsia="zh-CN"/>
              </w:rPr>
            </w:pPr>
            <w:r w:rsidRPr="000A0A5F">
              <w:rPr>
                <w:lang w:eastAsia="zh-CN"/>
              </w:rPr>
              <w:t>/{scsAsId}</w:t>
            </w:r>
          </w:p>
          <w:p w:rsidR="00CB0DD7" w:rsidRPr="000A0A5F" w:rsidRDefault="00CB0DD7">
            <w:pPr>
              <w:pStyle w:val="TAL"/>
              <w:spacing w:line="276" w:lineRule="auto"/>
              <w:rPr>
                <w:lang w:eastAsia="zh-CN"/>
              </w:rPr>
            </w:pPr>
            <w:r w:rsidRPr="000A0A5F">
              <w:rPr>
                <w:lang w:eastAsia="zh-CN"/>
              </w:rPr>
              <w:t>/tmgi-allocation/{tmgi}/delivery-via-mbms</w:t>
            </w:r>
          </w:p>
        </w:tc>
        <w:tc>
          <w:tcPr>
            <w:tcW w:w="438" w:type="pct"/>
          </w:tcPr>
          <w:p w:rsidR="00CB0DD7" w:rsidRPr="000A0A5F" w:rsidRDefault="00CB0DD7">
            <w:pPr>
              <w:pStyle w:val="TAL"/>
              <w:rPr>
                <w:rFonts w:hint="eastAsia"/>
                <w:lang w:eastAsia="zh-CN"/>
              </w:rPr>
            </w:pPr>
            <w:r w:rsidRPr="000A0A5F">
              <w:rPr>
                <w:rFonts w:hint="eastAsia"/>
                <w:lang w:eastAsia="zh-CN"/>
              </w:rPr>
              <w:t>GET</w:t>
            </w:r>
          </w:p>
        </w:tc>
        <w:tc>
          <w:tcPr>
            <w:tcW w:w="512" w:type="pct"/>
          </w:tcPr>
          <w:p w:rsidR="00CB0DD7" w:rsidRPr="000A0A5F" w:rsidRDefault="00CB0DD7">
            <w:pPr>
              <w:pStyle w:val="TAL"/>
            </w:pPr>
            <w:r w:rsidRPr="000A0A5F">
              <w:rPr>
                <w:rFonts w:hint="eastAsia"/>
                <w:lang w:eastAsia="zh-CN"/>
              </w:rPr>
              <w:t>SCS/AS</w:t>
            </w:r>
          </w:p>
        </w:tc>
        <w:tc>
          <w:tcPr>
            <w:tcW w:w="1460" w:type="pct"/>
          </w:tcPr>
          <w:p w:rsidR="00CB0DD7" w:rsidRPr="000A0A5F" w:rsidRDefault="00CB0DD7">
            <w:pPr>
              <w:pStyle w:val="TAL"/>
              <w:rPr>
                <w:noProof/>
                <w:lang w:eastAsia="zh-CN"/>
              </w:rPr>
            </w:pPr>
            <w:r w:rsidRPr="000A0A5F">
              <w:t>Read all group message delivery</w:t>
            </w:r>
            <w:r w:rsidRPr="000A0A5F">
              <w:rPr>
                <w:noProof/>
                <w:lang w:eastAsia="zh-CN"/>
              </w:rPr>
              <w:t xml:space="preserve"> resources for a given SCS/AS and TMGI</w:t>
            </w:r>
            <w:r w:rsidRPr="000A0A5F">
              <w:rPr>
                <w:rFonts w:hint="eastAsia"/>
                <w:noProof/>
                <w:lang w:eastAsia="zh-CN"/>
              </w:rPr>
              <w:t>.</w:t>
            </w:r>
          </w:p>
        </w:tc>
      </w:tr>
      <w:tr w:rsidR="00CB0DD7" w:rsidRPr="000A0A5F" w:rsidTr="00FF0AF8">
        <w:trPr>
          <w:jc w:val="center"/>
        </w:trPr>
        <w:tc>
          <w:tcPr>
            <w:tcW w:w="765" w:type="pct"/>
            <w:vMerge/>
          </w:tcPr>
          <w:p w:rsidR="00CB0DD7" w:rsidRPr="000A0A5F" w:rsidRDefault="00CB0DD7">
            <w:pPr>
              <w:pStyle w:val="TAL"/>
              <w:spacing w:line="276" w:lineRule="auto"/>
              <w:rPr>
                <w:lang w:eastAsia="zh-CN"/>
              </w:rPr>
            </w:pPr>
          </w:p>
        </w:tc>
        <w:tc>
          <w:tcPr>
            <w:tcW w:w="1825" w:type="pct"/>
            <w:vMerge/>
          </w:tcPr>
          <w:p w:rsidR="00CB0DD7" w:rsidRPr="000A0A5F" w:rsidRDefault="00CB0DD7">
            <w:pPr>
              <w:pStyle w:val="TAL"/>
              <w:spacing w:line="276" w:lineRule="auto"/>
              <w:rPr>
                <w:lang w:eastAsia="zh-CN"/>
              </w:rPr>
            </w:pPr>
          </w:p>
        </w:tc>
        <w:tc>
          <w:tcPr>
            <w:tcW w:w="438" w:type="pct"/>
          </w:tcPr>
          <w:p w:rsidR="00CB0DD7" w:rsidRPr="000A0A5F" w:rsidRDefault="00CB0DD7">
            <w:pPr>
              <w:pStyle w:val="TAL"/>
              <w:rPr>
                <w:rFonts w:hint="eastAsia"/>
                <w:lang w:eastAsia="zh-CN"/>
              </w:rPr>
            </w:pPr>
            <w:r w:rsidRPr="000A0A5F">
              <w:rPr>
                <w:rFonts w:hint="eastAsia"/>
                <w:lang w:eastAsia="zh-CN"/>
              </w:rPr>
              <w:t>POST</w:t>
            </w:r>
          </w:p>
        </w:tc>
        <w:tc>
          <w:tcPr>
            <w:tcW w:w="512" w:type="pct"/>
          </w:tcPr>
          <w:p w:rsidR="00CB0DD7" w:rsidRPr="000A0A5F" w:rsidRDefault="00CB0DD7">
            <w:pPr>
              <w:pStyle w:val="TAL"/>
              <w:rPr>
                <w:noProof/>
                <w:lang w:eastAsia="zh-CN"/>
              </w:rPr>
            </w:pPr>
            <w:r w:rsidRPr="000A0A5F">
              <w:rPr>
                <w:rFonts w:hint="eastAsia"/>
                <w:lang w:eastAsia="zh-CN"/>
              </w:rPr>
              <w:t>SCS/AS</w:t>
            </w:r>
          </w:p>
        </w:tc>
        <w:tc>
          <w:tcPr>
            <w:tcW w:w="1460" w:type="pct"/>
          </w:tcPr>
          <w:p w:rsidR="00CB0DD7" w:rsidRPr="000A0A5F" w:rsidRDefault="00CB0DD7">
            <w:pPr>
              <w:pStyle w:val="TAL"/>
              <w:rPr>
                <w:noProof/>
                <w:lang w:eastAsia="zh-CN"/>
              </w:rPr>
            </w:pPr>
            <w:r w:rsidRPr="000A0A5F">
              <w:rPr>
                <w:rFonts w:hint="eastAsia"/>
                <w:lang w:eastAsia="zh-CN"/>
              </w:rPr>
              <w:t xml:space="preserve">Create a </w:t>
            </w:r>
            <w:r w:rsidRPr="000A0A5F">
              <w:rPr>
                <w:lang w:eastAsia="zh-CN"/>
              </w:rPr>
              <w:t xml:space="preserve">group message delivery </w:t>
            </w:r>
            <w:r w:rsidRPr="000A0A5F">
              <w:rPr>
                <w:noProof/>
                <w:lang w:eastAsia="zh-CN"/>
              </w:rPr>
              <w:t>resource for given SCS/AS and TMGI selected by the SCS/AS when MB2 is used as a southbound interface.</w:t>
            </w:r>
          </w:p>
        </w:tc>
      </w:tr>
      <w:tr w:rsidR="00CB0DD7" w:rsidRPr="000A0A5F" w:rsidTr="00FF0AF8">
        <w:trPr>
          <w:jc w:val="center"/>
        </w:trPr>
        <w:tc>
          <w:tcPr>
            <w:tcW w:w="765" w:type="pct"/>
            <w:vMerge w:val="restart"/>
          </w:tcPr>
          <w:p w:rsidR="00CB0DD7" w:rsidRPr="000A0A5F" w:rsidRDefault="00CB0DD7">
            <w:pPr>
              <w:pStyle w:val="TAL"/>
              <w:spacing w:line="276" w:lineRule="auto"/>
              <w:rPr>
                <w:lang w:eastAsia="zh-CN"/>
              </w:rPr>
            </w:pPr>
            <w:r w:rsidRPr="000A0A5F">
              <w:rPr>
                <w:lang w:eastAsia="zh-CN"/>
              </w:rPr>
              <w:t xml:space="preserve">Individual </w:t>
            </w:r>
            <w:r w:rsidRPr="000A0A5F">
              <w:rPr>
                <w:rFonts w:hint="eastAsia"/>
                <w:lang w:eastAsia="zh-CN"/>
              </w:rPr>
              <w:t>GMD vi</w:t>
            </w:r>
            <w:r w:rsidRPr="000A0A5F">
              <w:rPr>
                <w:lang w:eastAsia="zh-CN"/>
              </w:rPr>
              <w:t>a</w:t>
            </w:r>
            <w:r w:rsidRPr="000A0A5F">
              <w:rPr>
                <w:rFonts w:hint="eastAsia"/>
                <w:lang w:eastAsia="zh-CN"/>
              </w:rPr>
              <w:t xml:space="preserve"> MBMS</w:t>
            </w:r>
            <w:r w:rsidRPr="000A0A5F">
              <w:rPr>
                <w:lang w:eastAsia="zh-CN"/>
              </w:rPr>
              <w:t xml:space="preserve"> by MB2</w:t>
            </w:r>
          </w:p>
        </w:tc>
        <w:tc>
          <w:tcPr>
            <w:tcW w:w="1825" w:type="pct"/>
            <w:vMerge w:val="restart"/>
          </w:tcPr>
          <w:p w:rsidR="00CB0DD7" w:rsidRPr="000A0A5F" w:rsidRDefault="00CB0DD7">
            <w:pPr>
              <w:pStyle w:val="TAL"/>
              <w:spacing w:line="276" w:lineRule="auto"/>
              <w:rPr>
                <w:lang w:eastAsia="zh-CN"/>
              </w:rPr>
            </w:pPr>
            <w:r w:rsidRPr="000A0A5F">
              <w:rPr>
                <w:lang w:eastAsia="zh-CN"/>
              </w:rPr>
              <w:t>/{scsAsId}</w:t>
            </w:r>
          </w:p>
          <w:p w:rsidR="00CB0DD7" w:rsidRPr="000A0A5F" w:rsidRDefault="00CB0DD7">
            <w:pPr>
              <w:pStyle w:val="TAL"/>
              <w:spacing w:line="276" w:lineRule="auto"/>
              <w:rPr>
                <w:lang w:eastAsia="zh-CN"/>
              </w:rPr>
            </w:pPr>
            <w:r w:rsidRPr="000A0A5F">
              <w:rPr>
                <w:lang w:eastAsia="zh-CN"/>
              </w:rPr>
              <w:t>/tmgi-allocation/{tmgi}/delivery-via-mbms/</w:t>
            </w:r>
          </w:p>
          <w:p w:rsidR="00CB0DD7" w:rsidRPr="000A0A5F" w:rsidRDefault="00CB0DD7">
            <w:pPr>
              <w:pStyle w:val="TAL"/>
              <w:spacing w:line="276" w:lineRule="auto"/>
              <w:rPr>
                <w:lang w:eastAsia="zh-CN"/>
              </w:rPr>
            </w:pPr>
            <w:r w:rsidRPr="000A0A5F">
              <w:rPr>
                <w:lang w:eastAsia="zh-CN"/>
              </w:rPr>
              <w:t>{transactionId}</w:t>
            </w:r>
          </w:p>
        </w:tc>
        <w:tc>
          <w:tcPr>
            <w:tcW w:w="438" w:type="pct"/>
          </w:tcPr>
          <w:p w:rsidR="00CB0DD7" w:rsidRPr="000A0A5F" w:rsidRDefault="00CB0DD7">
            <w:pPr>
              <w:pStyle w:val="TAL"/>
              <w:rPr>
                <w:rFonts w:hint="eastAsia"/>
                <w:lang w:eastAsia="zh-CN"/>
              </w:rPr>
            </w:pPr>
            <w:r w:rsidRPr="000A0A5F">
              <w:rPr>
                <w:rFonts w:hint="eastAsia"/>
                <w:lang w:eastAsia="zh-CN"/>
              </w:rPr>
              <w:t>PUT</w:t>
            </w:r>
          </w:p>
        </w:tc>
        <w:tc>
          <w:tcPr>
            <w:tcW w:w="512" w:type="pct"/>
          </w:tcPr>
          <w:p w:rsidR="00CB0DD7" w:rsidRPr="000A0A5F" w:rsidRDefault="00CB0DD7">
            <w:pPr>
              <w:pStyle w:val="TAL"/>
              <w:rPr>
                <w:rFonts w:hint="eastAsia"/>
                <w:lang w:eastAsia="zh-CN"/>
              </w:rPr>
            </w:pPr>
            <w:r w:rsidRPr="000A0A5F">
              <w:rPr>
                <w:rFonts w:hint="eastAsia"/>
                <w:lang w:eastAsia="zh-CN"/>
              </w:rPr>
              <w:t>SCS/AS</w:t>
            </w:r>
          </w:p>
        </w:tc>
        <w:tc>
          <w:tcPr>
            <w:tcW w:w="1460" w:type="pct"/>
          </w:tcPr>
          <w:p w:rsidR="00CB0DD7" w:rsidRPr="000A0A5F" w:rsidRDefault="00CB0DD7">
            <w:pPr>
              <w:pStyle w:val="TAL"/>
              <w:rPr>
                <w:rFonts w:hint="eastAsia"/>
                <w:lang w:eastAsia="zh-CN"/>
              </w:rPr>
            </w:pPr>
            <w:r w:rsidRPr="000A0A5F">
              <w:t xml:space="preserve">Replace </w:t>
            </w:r>
            <w:r w:rsidRPr="000A0A5F">
              <w:rPr>
                <w:noProof/>
                <w:lang w:eastAsia="zh-CN"/>
              </w:rPr>
              <w:t xml:space="preserve">a </w:t>
            </w:r>
            <w:r w:rsidRPr="000A0A5F">
              <w:rPr>
                <w:lang w:eastAsia="zh-CN"/>
              </w:rPr>
              <w:t xml:space="preserve">group message delivery </w:t>
            </w:r>
            <w:r w:rsidRPr="000A0A5F">
              <w:rPr>
                <w:noProof/>
                <w:lang w:eastAsia="zh-CN"/>
              </w:rPr>
              <w:t>resource</w:t>
            </w:r>
          </w:p>
        </w:tc>
      </w:tr>
      <w:tr w:rsidR="00CB0DD7" w:rsidRPr="000A0A5F" w:rsidTr="00FF0AF8">
        <w:trPr>
          <w:jc w:val="center"/>
        </w:trPr>
        <w:tc>
          <w:tcPr>
            <w:tcW w:w="765" w:type="pct"/>
            <w:vMerge/>
          </w:tcPr>
          <w:p w:rsidR="00CB0DD7" w:rsidRPr="000A0A5F" w:rsidRDefault="00CB0DD7">
            <w:pPr>
              <w:pStyle w:val="TAL"/>
              <w:spacing w:line="276" w:lineRule="auto"/>
            </w:pPr>
          </w:p>
        </w:tc>
        <w:tc>
          <w:tcPr>
            <w:tcW w:w="1825" w:type="pct"/>
            <w:vMerge/>
          </w:tcPr>
          <w:p w:rsidR="00CB0DD7" w:rsidRPr="000A0A5F" w:rsidRDefault="00CB0DD7">
            <w:pPr>
              <w:pStyle w:val="TAL"/>
              <w:spacing w:line="276" w:lineRule="auto"/>
            </w:pPr>
          </w:p>
        </w:tc>
        <w:tc>
          <w:tcPr>
            <w:tcW w:w="438" w:type="pct"/>
          </w:tcPr>
          <w:p w:rsidR="00CB0DD7" w:rsidRPr="000A0A5F" w:rsidRDefault="00CB0DD7">
            <w:pPr>
              <w:pStyle w:val="TAL"/>
              <w:rPr>
                <w:rFonts w:hint="eastAsia"/>
                <w:lang w:eastAsia="zh-CN"/>
              </w:rPr>
            </w:pPr>
            <w:r w:rsidRPr="000A0A5F">
              <w:rPr>
                <w:rFonts w:hint="eastAsia"/>
                <w:lang w:eastAsia="zh-CN"/>
              </w:rPr>
              <w:t>PATCH</w:t>
            </w:r>
          </w:p>
        </w:tc>
        <w:tc>
          <w:tcPr>
            <w:tcW w:w="512" w:type="pct"/>
          </w:tcPr>
          <w:p w:rsidR="00CB0DD7" w:rsidRPr="000A0A5F" w:rsidRDefault="00CB0DD7">
            <w:pPr>
              <w:pStyle w:val="TAL"/>
              <w:rPr>
                <w:rFonts w:hint="eastAsia"/>
                <w:lang w:eastAsia="zh-CN"/>
              </w:rPr>
            </w:pPr>
            <w:r w:rsidRPr="000A0A5F">
              <w:rPr>
                <w:rFonts w:hint="eastAsia"/>
                <w:lang w:eastAsia="zh-CN"/>
              </w:rPr>
              <w:t>SCS/AS</w:t>
            </w:r>
          </w:p>
        </w:tc>
        <w:tc>
          <w:tcPr>
            <w:tcW w:w="1460" w:type="pct"/>
          </w:tcPr>
          <w:p w:rsidR="00CB0DD7" w:rsidRPr="000A0A5F" w:rsidRDefault="00CB0DD7">
            <w:pPr>
              <w:pStyle w:val="TAL"/>
              <w:rPr>
                <w:rFonts w:hint="eastAsia"/>
                <w:lang w:eastAsia="zh-CN"/>
              </w:rPr>
            </w:pPr>
            <w:r w:rsidRPr="000A0A5F">
              <w:rPr>
                <w:rFonts w:hint="eastAsia"/>
                <w:noProof/>
                <w:lang w:eastAsia="zh-CN"/>
              </w:rPr>
              <w:t>Modify</w:t>
            </w:r>
            <w:r w:rsidRPr="000A0A5F">
              <w:rPr>
                <w:noProof/>
                <w:lang w:eastAsia="zh-CN"/>
              </w:rPr>
              <w:t xml:space="preserve"> a </w:t>
            </w:r>
            <w:r w:rsidRPr="000A0A5F">
              <w:rPr>
                <w:lang w:eastAsia="zh-CN"/>
              </w:rPr>
              <w:t xml:space="preserve">group message delivery </w:t>
            </w:r>
            <w:r w:rsidRPr="000A0A5F">
              <w:rPr>
                <w:noProof/>
                <w:lang w:eastAsia="zh-CN"/>
              </w:rPr>
              <w:t>resource.</w:t>
            </w:r>
          </w:p>
        </w:tc>
      </w:tr>
      <w:tr w:rsidR="00CB0DD7" w:rsidRPr="000A0A5F" w:rsidTr="00FF0AF8">
        <w:trPr>
          <w:jc w:val="center"/>
        </w:trPr>
        <w:tc>
          <w:tcPr>
            <w:tcW w:w="765" w:type="pct"/>
            <w:vMerge/>
          </w:tcPr>
          <w:p w:rsidR="00CB0DD7" w:rsidRPr="000A0A5F" w:rsidRDefault="00CB0DD7">
            <w:pPr>
              <w:pStyle w:val="TAL"/>
              <w:spacing w:line="276" w:lineRule="auto"/>
            </w:pPr>
          </w:p>
        </w:tc>
        <w:tc>
          <w:tcPr>
            <w:tcW w:w="1825" w:type="pct"/>
            <w:vMerge/>
          </w:tcPr>
          <w:p w:rsidR="00CB0DD7" w:rsidRPr="000A0A5F" w:rsidRDefault="00CB0DD7">
            <w:pPr>
              <w:pStyle w:val="TAL"/>
              <w:spacing w:line="276" w:lineRule="auto"/>
            </w:pPr>
          </w:p>
        </w:tc>
        <w:tc>
          <w:tcPr>
            <w:tcW w:w="438" w:type="pct"/>
          </w:tcPr>
          <w:p w:rsidR="00CB0DD7" w:rsidRPr="000A0A5F" w:rsidRDefault="00CB0DD7">
            <w:pPr>
              <w:pStyle w:val="TAL"/>
              <w:rPr>
                <w:rFonts w:hint="eastAsia"/>
                <w:lang w:eastAsia="zh-CN"/>
              </w:rPr>
            </w:pPr>
            <w:r w:rsidRPr="000A0A5F">
              <w:t>GET</w:t>
            </w:r>
          </w:p>
        </w:tc>
        <w:tc>
          <w:tcPr>
            <w:tcW w:w="512" w:type="pct"/>
          </w:tcPr>
          <w:p w:rsidR="00CB0DD7" w:rsidRPr="000A0A5F" w:rsidRDefault="00CB0DD7">
            <w:pPr>
              <w:pStyle w:val="TAL"/>
              <w:rPr>
                <w:rFonts w:hint="eastAsia"/>
                <w:lang w:eastAsia="zh-CN"/>
              </w:rPr>
            </w:pPr>
            <w:r w:rsidRPr="000A0A5F">
              <w:rPr>
                <w:rFonts w:hint="eastAsia"/>
                <w:lang w:eastAsia="zh-CN"/>
              </w:rPr>
              <w:t>SCS/AS</w:t>
            </w:r>
          </w:p>
        </w:tc>
        <w:tc>
          <w:tcPr>
            <w:tcW w:w="1460" w:type="pct"/>
          </w:tcPr>
          <w:p w:rsidR="00CB0DD7" w:rsidRPr="000A0A5F" w:rsidRDefault="00CB0DD7">
            <w:pPr>
              <w:pStyle w:val="TAL"/>
              <w:rPr>
                <w:rFonts w:hint="eastAsia"/>
                <w:lang w:eastAsia="zh-CN"/>
              </w:rPr>
            </w:pPr>
            <w:r w:rsidRPr="000A0A5F">
              <w:t xml:space="preserve">Read a group message delivery </w:t>
            </w:r>
            <w:r w:rsidRPr="000A0A5F">
              <w:rPr>
                <w:noProof/>
                <w:lang w:eastAsia="zh-CN"/>
              </w:rPr>
              <w:t>resource.</w:t>
            </w:r>
          </w:p>
        </w:tc>
      </w:tr>
      <w:tr w:rsidR="00CB0DD7" w:rsidRPr="000A0A5F" w:rsidTr="00FF0AF8">
        <w:trPr>
          <w:jc w:val="center"/>
        </w:trPr>
        <w:tc>
          <w:tcPr>
            <w:tcW w:w="765" w:type="pct"/>
            <w:vMerge/>
          </w:tcPr>
          <w:p w:rsidR="00CB0DD7" w:rsidRPr="000A0A5F" w:rsidRDefault="00CB0DD7">
            <w:pPr>
              <w:pStyle w:val="TAL"/>
              <w:spacing w:line="276" w:lineRule="auto"/>
            </w:pPr>
          </w:p>
        </w:tc>
        <w:tc>
          <w:tcPr>
            <w:tcW w:w="1825" w:type="pct"/>
            <w:vMerge/>
          </w:tcPr>
          <w:p w:rsidR="00CB0DD7" w:rsidRPr="000A0A5F" w:rsidRDefault="00CB0DD7">
            <w:pPr>
              <w:pStyle w:val="TAL"/>
              <w:spacing w:line="276" w:lineRule="auto"/>
            </w:pPr>
          </w:p>
        </w:tc>
        <w:tc>
          <w:tcPr>
            <w:tcW w:w="438" w:type="pct"/>
          </w:tcPr>
          <w:p w:rsidR="00CB0DD7" w:rsidRPr="000A0A5F" w:rsidRDefault="00CB0DD7">
            <w:pPr>
              <w:pStyle w:val="TAL"/>
              <w:rPr>
                <w:rFonts w:hint="eastAsia"/>
                <w:lang w:eastAsia="zh-CN"/>
              </w:rPr>
            </w:pPr>
            <w:r w:rsidRPr="000A0A5F">
              <w:rPr>
                <w:rFonts w:hint="eastAsia"/>
                <w:lang w:eastAsia="zh-CN"/>
              </w:rPr>
              <w:t>DELETE</w:t>
            </w:r>
          </w:p>
        </w:tc>
        <w:tc>
          <w:tcPr>
            <w:tcW w:w="512" w:type="pct"/>
          </w:tcPr>
          <w:p w:rsidR="00CB0DD7" w:rsidRPr="000A0A5F" w:rsidRDefault="00CB0DD7">
            <w:pPr>
              <w:pStyle w:val="TAL"/>
              <w:rPr>
                <w:rFonts w:hint="eastAsia"/>
                <w:lang w:eastAsia="zh-CN"/>
              </w:rPr>
            </w:pPr>
            <w:r w:rsidRPr="000A0A5F">
              <w:rPr>
                <w:rFonts w:hint="eastAsia"/>
                <w:lang w:eastAsia="zh-CN"/>
              </w:rPr>
              <w:t>SCS/AS</w:t>
            </w:r>
          </w:p>
        </w:tc>
        <w:tc>
          <w:tcPr>
            <w:tcW w:w="1460" w:type="pct"/>
          </w:tcPr>
          <w:p w:rsidR="00CB0DD7" w:rsidRPr="000A0A5F" w:rsidRDefault="00CB0DD7">
            <w:pPr>
              <w:pStyle w:val="TAL"/>
              <w:rPr>
                <w:rFonts w:hint="eastAsia"/>
                <w:lang w:eastAsia="zh-CN"/>
              </w:rPr>
            </w:pPr>
            <w:r w:rsidRPr="000A0A5F">
              <w:rPr>
                <w:noProof/>
                <w:lang w:eastAsia="zh-CN"/>
              </w:rPr>
              <w:t xml:space="preserve">Delete a </w:t>
            </w:r>
            <w:r w:rsidRPr="000A0A5F">
              <w:rPr>
                <w:lang w:eastAsia="zh-CN"/>
              </w:rPr>
              <w:t xml:space="preserve">group message delivery </w:t>
            </w:r>
            <w:r w:rsidRPr="000A0A5F">
              <w:rPr>
                <w:noProof/>
                <w:lang w:eastAsia="zh-CN"/>
              </w:rPr>
              <w:t>resource.</w:t>
            </w:r>
          </w:p>
        </w:tc>
      </w:tr>
    </w:tbl>
    <w:p w:rsidR="00CB0DD7" w:rsidRPr="000A0A5F" w:rsidRDefault="00CB0DD7">
      <w:pPr>
        <w:rPr>
          <w:lang w:eastAsia="zh-CN"/>
        </w:rPr>
      </w:pPr>
    </w:p>
    <w:p w:rsidR="00CB0DD7" w:rsidRPr="000A0A5F" w:rsidRDefault="00CB0DD7">
      <w:pPr>
        <w:pStyle w:val="Heading5"/>
      </w:pPr>
      <w:bookmarkStart w:id="5361" w:name="_Toc11247573"/>
      <w:bookmarkStart w:id="5362" w:name="_Toc27044712"/>
      <w:bookmarkStart w:id="5363" w:name="_Toc36033754"/>
      <w:bookmarkStart w:id="5364" w:name="_Toc45131900"/>
      <w:bookmarkStart w:id="5365" w:name="_Toc49776185"/>
      <w:bookmarkStart w:id="5366" w:name="_Toc51747105"/>
      <w:bookmarkStart w:id="5367" w:name="_Toc66360669"/>
      <w:bookmarkStart w:id="5368" w:name="_Toc68105174"/>
      <w:bookmarkStart w:id="5369" w:name="_Toc74755804"/>
      <w:bookmarkStart w:id="5370" w:name="_Toc105674679"/>
      <w:bookmarkStart w:id="5371" w:name="_Toc130502731"/>
      <w:bookmarkStart w:id="5372" w:name="_Toc153625518"/>
      <w:r w:rsidRPr="000A0A5F">
        <w:t>5.8.2.2.2</w:t>
      </w:r>
      <w:r w:rsidRPr="000A0A5F">
        <w:tab/>
        <w:t>Resource: TMGI Allocation</w:t>
      </w:r>
      <w:bookmarkEnd w:id="5361"/>
      <w:bookmarkEnd w:id="5362"/>
      <w:bookmarkEnd w:id="5363"/>
      <w:bookmarkEnd w:id="5364"/>
      <w:bookmarkEnd w:id="5365"/>
      <w:bookmarkEnd w:id="5366"/>
      <w:bookmarkEnd w:id="5367"/>
      <w:bookmarkEnd w:id="5368"/>
      <w:bookmarkEnd w:id="5369"/>
      <w:bookmarkEnd w:id="5370"/>
      <w:bookmarkEnd w:id="5371"/>
      <w:bookmarkEnd w:id="5372"/>
    </w:p>
    <w:p w:rsidR="00CB0DD7" w:rsidRPr="000A0A5F" w:rsidRDefault="00CB0DD7">
      <w:pPr>
        <w:pStyle w:val="Heading6"/>
      </w:pPr>
      <w:bookmarkStart w:id="5373" w:name="_Toc11247574"/>
      <w:bookmarkStart w:id="5374" w:name="_Toc27044713"/>
      <w:bookmarkStart w:id="5375" w:name="_Toc36033755"/>
      <w:bookmarkStart w:id="5376" w:name="_Toc45131901"/>
      <w:bookmarkStart w:id="5377" w:name="_Toc49776186"/>
      <w:bookmarkStart w:id="5378" w:name="_Toc51747106"/>
      <w:bookmarkStart w:id="5379" w:name="_Toc66360670"/>
      <w:bookmarkStart w:id="5380" w:name="_Toc68105175"/>
      <w:bookmarkStart w:id="5381" w:name="_Toc74755805"/>
      <w:bookmarkStart w:id="5382" w:name="_Toc105674680"/>
      <w:bookmarkStart w:id="5383" w:name="_Toc130502732"/>
      <w:bookmarkStart w:id="5384" w:name="_Toc153625519"/>
      <w:r w:rsidRPr="000A0A5F">
        <w:t>5.8.2.2.2.1</w:t>
      </w:r>
      <w:r w:rsidRPr="000A0A5F">
        <w:tab/>
        <w:t>Introduction</w:t>
      </w:r>
      <w:bookmarkEnd w:id="5373"/>
      <w:bookmarkEnd w:id="5374"/>
      <w:bookmarkEnd w:id="5375"/>
      <w:bookmarkEnd w:id="5376"/>
      <w:bookmarkEnd w:id="5377"/>
      <w:bookmarkEnd w:id="5378"/>
      <w:bookmarkEnd w:id="5379"/>
      <w:bookmarkEnd w:id="5380"/>
      <w:bookmarkEnd w:id="5381"/>
      <w:bookmarkEnd w:id="5382"/>
      <w:bookmarkEnd w:id="5383"/>
      <w:bookmarkEnd w:id="5384"/>
    </w:p>
    <w:p w:rsidR="00CB0DD7" w:rsidRPr="000A0A5F" w:rsidRDefault="00CB0DD7">
      <w:pPr>
        <w:rPr>
          <w:noProof/>
          <w:lang w:eastAsia="zh-CN"/>
        </w:rPr>
      </w:pPr>
      <w:r w:rsidRPr="000A0A5F">
        <w:rPr>
          <w:noProof/>
          <w:lang w:eastAsia="zh-CN"/>
        </w:rPr>
        <w:t>This resource allows t</w:t>
      </w:r>
      <w:r w:rsidRPr="000A0A5F">
        <w:rPr>
          <w:rFonts w:hint="eastAsia"/>
          <w:noProof/>
          <w:lang w:eastAsia="zh-CN"/>
        </w:rPr>
        <w:t xml:space="preserve">he SCS/AS </w:t>
      </w:r>
      <w:r w:rsidRPr="000A0A5F">
        <w:rPr>
          <w:noProof/>
          <w:lang w:eastAsia="zh-CN"/>
        </w:rPr>
        <w:t>to read all active TMGI or request a TMGI allocation.</w:t>
      </w:r>
    </w:p>
    <w:p w:rsidR="00CB0DD7" w:rsidRPr="000A0A5F" w:rsidRDefault="00CB0DD7">
      <w:pPr>
        <w:pStyle w:val="Heading6"/>
      </w:pPr>
      <w:bookmarkStart w:id="5385" w:name="_Toc11247575"/>
      <w:bookmarkStart w:id="5386" w:name="_Toc27044714"/>
      <w:bookmarkStart w:id="5387" w:name="_Toc36033756"/>
      <w:bookmarkStart w:id="5388" w:name="_Toc45131902"/>
      <w:bookmarkStart w:id="5389" w:name="_Toc49776187"/>
      <w:bookmarkStart w:id="5390" w:name="_Toc51747107"/>
      <w:bookmarkStart w:id="5391" w:name="_Toc66360671"/>
      <w:bookmarkStart w:id="5392" w:name="_Toc68105176"/>
      <w:bookmarkStart w:id="5393" w:name="_Toc74755806"/>
      <w:bookmarkStart w:id="5394" w:name="_Toc105674681"/>
      <w:bookmarkStart w:id="5395" w:name="_Toc130502733"/>
      <w:bookmarkStart w:id="5396" w:name="_Toc153625520"/>
      <w:r w:rsidRPr="000A0A5F">
        <w:t>5.8.2.2.2.2</w:t>
      </w:r>
      <w:r w:rsidRPr="000A0A5F">
        <w:tab/>
        <w:t>Resource definition</w:t>
      </w:r>
      <w:bookmarkEnd w:id="5385"/>
      <w:bookmarkEnd w:id="5386"/>
      <w:bookmarkEnd w:id="5387"/>
      <w:bookmarkEnd w:id="5388"/>
      <w:bookmarkEnd w:id="5389"/>
      <w:bookmarkEnd w:id="5390"/>
      <w:bookmarkEnd w:id="5391"/>
      <w:bookmarkEnd w:id="5392"/>
      <w:bookmarkEnd w:id="5393"/>
      <w:bookmarkEnd w:id="5394"/>
      <w:bookmarkEnd w:id="5395"/>
      <w:bookmarkEnd w:id="5396"/>
    </w:p>
    <w:p w:rsidR="00CB0DD7" w:rsidRPr="000A0A5F" w:rsidRDefault="00CB0DD7">
      <w:r w:rsidRPr="000A0A5F">
        <w:t xml:space="preserve">Resource URI: </w:t>
      </w:r>
      <w:r w:rsidRPr="000A0A5F">
        <w:rPr>
          <w:b/>
        </w:rPr>
        <w:t>{apiRoot}/3gpp-group-message-delivery-mb2/v1/{scsAsId}/tmgi-allocation</w:t>
      </w:r>
    </w:p>
    <w:p w:rsidR="00CB0DD7" w:rsidRPr="000A0A5F" w:rsidRDefault="00CB0DD7">
      <w:pPr>
        <w:rPr>
          <w:rFonts w:ascii="Arial" w:hAnsi="Arial" w:cs="Arial"/>
        </w:rPr>
      </w:pPr>
      <w:r w:rsidRPr="000A0A5F">
        <w:t>This resource shall support the resource URI variables defined in table 5.8.2.2.2.2-1</w:t>
      </w:r>
      <w:r w:rsidRPr="000A0A5F">
        <w:rPr>
          <w:rFonts w:ascii="Arial" w:hAnsi="Arial" w:cs="Arial"/>
        </w:rPr>
        <w:t>.</w:t>
      </w:r>
    </w:p>
    <w:p w:rsidR="00CB0DD7" w:rsidRPr="000A0A5F" w:rsidRDefault="00CB0DD7">
      <w:pPr>
        <w:pStyle w:val="TH"/>
        <w:rPr>
          <w:rFonts w:cs="Arial"/>
        </w:rPr>
      </w:pPr>
      <w:r w:rsidRPr="000A0A5F">
        <w:t>Table 5.8.2.2.2.2-1: Resource URI variables for resource "TMGI Allocation"</w:t>
      </w:r>
    </w:p>
    <w:tbl>
      <w:tblPr>
        <w:tblW w:w="4868"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970"/>
        <w:gridCol w:w="1171"/>
        <w:gridCol w:w="6378"/>
      </w:tblGrid>
      <w:tr w:rsidR="00CB0DD7" w:rsidRPr="000A0A5F" w:rsidTr="00FF0AF8">
        <w:trPr>
          <w:jc w:val="center"/>
        </w:trPr>
        <w:tc>
          <w:tcPr>
            <w:tcW w:w="1035" w:type="pct"/>
            <w:shd w:val="clear" w:color="000000" w:fill="C0C0C0"/>
          </w:tcPr>
          <w:p w:rsidR="00CB0DD7" w:rsidRPr="000A0A5F" w:rsidRDefault="00CB0DD7">
            <w:pPr>
              <w:pStyle w:val="TAH"/>
            </w:pPr>
            <w:r w:rsidRPr="000A0A5F">
              <w:t>Name</w:t>
            </w:r>
          </w:p>
        </w:tc>
        <w:tc>
          <w:tcPr>
            <w:tcW w:w="615" w:type="pct"/>
            <w:shd w:val="clear" w:color="000000" w:fill="C0C0C0"/>
          </w:tcPr>
          <w:p w:rsidR="00CB0DD7" w:rsidRPr="000A0A5F" w:rsidRDefault="00CB0DD7">
            <w:pPr>
              <w:pStyle w:val="TAH"/>
            </w:pPr>
            <w:r w:rsidRPr="000A0A5F">
              <w:t>Data type</w:t>
            </w:r>
          </w:p>
        </w:tc>
        <w:tc>
          <w:tcPr>
            <w:tcW w:w="3351" w:type="pct"/>
            <w:shd w:val="clear" w:color="000000" w:fill="C0C0C0"/>
            <w:vAlign w:val="center"/>
          </w:tcPr>
          <w:p w:rsidR="00CB0DD7" w:rsidRPr="000A0A5F" w:rsidRDefault="00CB0DD7">
            <w:pPr>
              <w:pStyle w:val="TAH"/>
            </w:pPr>
            <w:r w:rsidRPr="000A0A5F">
              <w:t>Definition</w:t>
            </w:r>
          </w:p>
        </w:tc>
      </w:tr>
      <w:tr w:rsidR="00CB0DD7" w:rsidRPr="000A0A5F" w:rsidTr="00FF0AF8">
        <w:trPr>
          <w:jc w:val="center"/>
        </w:trPr>
        <w:tc>
          <w:tcPr>
            <w:tcW w:w="1035" w:type="pct"/>
            <w:shd w:val="clear" w:color="auto" w:fill="auto"/>
          </w:tcPr>
          <w:p w:rsidR="00CB0DD7" w:rsidRPr="000A0A5F" w:rsidRDefault="00CB0DD7">
            <w:pPr>
              <w:pStyle w:val="TAL"/>
            </w:pPr>
            <w:r w:rsidRPr="000A0A5F">
              <w:t>apiRoot</w:t>
            </w:r>
          </w:p>
        </w:tc>
        <w:tc>
          <w:tcPr>
            <w:tcW w:w="615" w:type="pct"/>
          </w:tcPr>
          <w:p w:rsidR="00CB0DD7" w:rsidRPr="000A0A5F" w:rsidRDefault="00CB0DD7">
            <w:pPr>
              <w:pStyle w:val="TAL"/>
            </w:pPr>
            <w:r w:rsidRPr="000A0A5F">
              <w:rPr>
                <w:rFonts w:hint="eastAsia"/>
                <w:lang w:eastAsia="zh-CN"/>
              </w:rPr>
              <w:t>s</w:t>
            </w:r>
            <w:r w:rsidRPr="000A0A5F">
              <w:rPr>
                <w:lang w:eastAsia="zh-CN"/>
              </w:rPr>
              <w:t>tring</w:t>
            </w:r>
          </w:p>
        </w:tc>
        <w:tc>
          <w:tcPr>
            <w:tcW w:w="3351" w:type="pct"/>
            <w:shd w:val="clear" w:color="auto" w:fill="auto"/>
            <w:vAlign w:val="center"/>
          </w:tcPr>
          <w:p w:rsidR="00CB0DD7" w:rsidRPr="000A0A5F" w:rsidRDefault="00CB0DD7">
            <w:pPr>
              <w:pStyle w:val="TAL"/>
            </w:pPr>
            <w:r w:rsidRPr="000A0A5F">
              <w:t>See clause</w:t>
            </w:r>
            <w:r w:rsidRPr="000A0A5F">
              <w:rPr>
                <w:lang w:val="en-US" w:eastAsia="zh-CN"/>
              </w:rPr>
              <w:t> </w:t>
            </w:r>
            <w:r w:rsidRPr="000A0A5F">
              <w:t>5.2.4.</w:t>
            </w:r>
          </w:p>
        </w:tc>
      </w:tr>
      <w:tr w:rsidR="00CB0DD7" w:rsidRPr="000A0A5F" w:rsidTr="00FF0AF8">
        <w:trPr>
          <w:jc w:val="center"/>
        </w:trPr>
        <w:tc>
          <w:tcPr>
            <w:tcW w:w="1035" w:type="pct"/>
            <w:shd w:val="clear" w:color="auto" w:fill="auto"/>
          </w:tcPr>
          <w:p w:rsidR="00CB0DD7" w:rsidRPr="000A0A5F" w:rsidRDefault="00CB0DD7">
            <w:pPr>
              <w:pStyle w:val="TAL"/>
            </w:pPr>
            <w:r w:rsidRPr="000A0A5F">
              <w:t>scsAsId</w:t>
            </w:r>
          </w:p>
        </w:tc>
        <w:tc>
          <w:tcPr>
            <w:tcW w:w="615" w:type="pct"/>
          </w:tcPr>
          <w:p w:rsidR="00CB0DD7" w:rsidRPr="000A0A5F" w:rsidRDefault="00CB0DD7">
            <w:pPr>
              <w:pStyle w:val="TAL"/>
            </w:pPr>
            <w:r w:rsidRPr="000A0A5F">
              <w:rPr>
                <w:rFonts w:hint="eastAsia"/>
                <w:lang w:eastAsia="zh-CN"/>
              </w:rPr>
              <w:t>s</w:t>
            </w:r>
            <w:r w:rsidRPr="000A0A5F">
              <w:rPr>
                <w:lang w:eastAsia="zh-CN"/>
              </w:rPr>
              <w:t>tring</w:t>
            </w:r>
          </w:p>
        </w:tc>
        <w:tc>
          <w:tcPr>
            <w:tcW w:w="3351" w:type="pct"/>
            <w:shd w:val="clear" w:color="auto" w:fill="auto"/>
            <w:vAlign w:val="center"/>
          </w:tcPr>
          <w:p w:rsidR="00CB0DD7" w:rsidRPr="000A0A5F" w:rsidRDefault="00CB0DD7">
            <w:pPr>
              <w:pStyle w:val="TAL"/>
            </w:pPr>
            <w:r w:rsidRPr="000A0A5F">
              <w:t>Identifier of the SCS/AS.</w:t>
            </w:r>
          </w:p>
        </w:tc>
      </w:tr>
    </w:tbl>
    <w:p w:rsidR="00CB0DD7" w:rsidRPr="000A0A5F" w:rsidRDefault="00CB0DD7"/>
    <w:p w:rsidR="00CB0DD7" w:rsidRPr="000A0A5F" w:rsidRDefault="00CB0DD7">
      <w:pPr>
        <w:pStyle w:val="Heading6"/>
      </w:pPr>
      <w:bookmarkStart w:id="5397" w:name="_Toc11247576"/>
      <w:bookmarkStart w:id="5398" w:name="_Toc27044715"/>
      <w:bookmarkStart w:id="5399" w:name="_Toc36033757"/>
      <w:bookmarkStart w:id="5400" w:name="_Toc45131903"/>
      <w:bookmarkStart w:id="5401" w:name="_Toc49776188"/>
      <w:bookmarkStart w:id="5402" w:name="_Toc51747108"/>
      <w:bookmarkStart w:id="5403" w:name="_Toc66360672"/>
      <w:bookmarkStart w:id="5404" w:name="_Toc68105177"/>
      <w:bookmarkStart w:id="5405" w:name="_Toc74755807"/>
      <w:bookmarkStart w:id="5406" w:name="_Toc105674682"/>
      <w:bookmarkStart w:id="5407" w:name="_Toc130502734"/>
      <w:bookmarkStart w:id="5408" w:name="_Toc153625521"/>
      <w:r w:rsidRPr="000A0A5F">
        <w:t>5.8.2.2.2.3</w:t>
      </w:r>
      <w:r w:rsidRPr="000A0A5F">
        <w:tab/>
        <w:t>Resource methods</w:t>
      </w:r>
      <w:bookmarkEnd w:id="5397"/>
      <w:bookmarkEnd w:id="5398"/>
      <w:bookmarkEnd w:id="5399"/>
      <w:bookmarkEnd w:id="5400"/>
      <w:bookmarkEnd w:id="5401"/>
      <w:bookmarkEnd w:id="5402"/>
      <w:bookmarkEnd w:id="5403"/>
      <w:bookmarkEnd w:id="5404"/>
      <w:bookmarkEnd w:id="5405"/>
      <w:bookmarkEnd w:id="5406"/>
      <w:bookmarkEnd w:id="5407"/>
      <w:bookmarkEnd w:id="5408"/>
    </w:p>
    <w:p w:rsidR="00CB0DD7" w:rsidRPr="000A0A5F" w:rsidRDefault="00CB0DD7">
      <w:pPr>
        <w:pStyle w:val="Heading7"/>
      </w:pPr>
      <w:bookmarkStart w:id="5409" w:name="_Toc11247577"/>
      <w:bookmarkStart w:id="5410" w:name="_Toc27044716"/>
      <w:bookmarkStart w:id="5411" w:name="_Toc36033758"/>
      <w:bookmarkStart w:id="5412" w:name="_Toc45131904"/>
      <w:bookmarkStart w:id="5413" w:name="_Toc49776189"/>
      <w:bookmarkStart w:id="5414" w:name="_Toc51747109"/>
      <w:bookmarkStart w:id="5415" w:name="_Toc66360673"/>
      <w:bookmarkStart w:id="5416" w:name="_Toc68105178"/>
      <w:bookmarkStart w:id="5417" w:name="_Toc74755808"/>
      <w:bookmarkStart w:id="5418" w:name="_Toc105674683"/>
      <w:bookmarkStart w:id="5419" w:name="_Toc130502735"/>
      <w:bookmarkStart w:id="5420" w:name="_Toc153625522"/>
      <w:r w:rsidRPr="000A0A5F">
        <w:t>5.8.2.2.2.3.1</w:t>
      </w:r>
      <w:r w:rsidRPr="000A0A5F">
        <w:tab/>
        <w:t>GET</w:t>
      </w:r>
      <w:bookmarkEnd w:id="5409"/>
      <w:bookmarkEnd w:id="5410"/>
      <w:bookmarkEnd w:id="5411"/>
      <w:bookmarkEnd w:id="5412"/>
      <w:bookmarkEnd w:id="5413"/>
      <w:bookmarkEnd w:id="5414"/>
      <w:bookmarkEnd w:id="5415"/>
      <w:bookmarkEnd w:id="5416"/>
      <w:bookmarkEnd w:id="5417"/>
      <w:bookmarkEnd w:id="5418"/>
      <w:bookmarkEnd w:id="5419"/>
      <w:bookmarkEnd w:id="5420"/>
    </w:p>
    <w:p w:rsidR="00CB0DD7" w:rsidRPr="000A0A5F" w:rsidRDefault="00CB0DD7">
      <w:pPr>
        <w:rPr>
          <w:noProof/>
          <w:lang w:eastAsia="zh-CN"/>
        </w:rPr>
      </w:pPr>
      <w:r w:rsidRPr="000A0A5F">
        <w:rPr>
          <w:noProof/>
          <w:lang w:eastAsia="zh-CN"/>
        </w:rPr>
        <w:t xml:space="preserve">The GET method read all TMGI Allocation resource for a given SCS/AS. It is initiated by the SCS/AS and answered by the SCEF. </w:t>
      </w:r>
    </w:p>
    <w:p w:rsidR="00CB0DD7" w:rsidRPr="000A0A5F" w:rsidRDefault="00CB0DD7">
      <w:pPr>
        <w:rPr>
          <w:rFonts w:hint="eastAsia"/>
          <w:lang w:eastAsia="zh-CN"/>
        </w:rPr>
      </w:pPr>
      <w:r w:rsidRPr="000A0A5F">
        <w:t>This method shall support request and response data structures, and response codes, as specified in the table 5.8.2.2.2.3.1-1.</w:t>
      </w:r>
    </w:p>
    <w:p w:rsidR="00CB0DD7" w:rsidRPr="000A0A5F" w:rsidRDefault="00CB0DD7">
      <w:pPr>
        <w:pStyle w:val="TH"/>
        <w:rPr>
          <w:rFonts w:hint="eastAsia"/>
          <w:lang w:eastAsia="zh-CN"/>
        </w:rPr>
      </w:pPr>
      <w:r w:rsidRPr="000A0A5F">
        <w:t>Table 5.</w:t>
      </w:r>
      <w:r w:rsidRPr="000A0A5F">
        <w:rPr>
          <w:lang w:eastAsia="zh-CN"/>
        </w:rPr>
        <w:t>8</w:t>
      </w:r>
      <w:r w:rsidRPr="000A0A5F">
        <w:t>.</w:t>
      </w:r>
      <w:r w:rsidRPr="000A0A5F">
        <w:rPr>
          <w:lang w:eastAsia="zh-CN"/>
        </w:rPr>
        <w:t>2.2</w:t>
      </w:r>
      <w:r w:rsidRPr="000A0A5F">
        <w:t>.2.3.</w:t>
      </w:r>
      <w:r w:rsidRPr="000A0A5F">
        <w:rPr>
          <w:lang w:eastAsia="zh-CN"/>
        </w:rPr>
        <w:t>1</w:t>
      </w:r>
      <w:r w:rsidRPr="000A0A5F">
        <w:rPr>
          <w:rFonts w:hint="eastAsia"/>
          <w:lang w:eastAsia="zh-CN"/>
        </w:rPr>
        <w:t>-1</w:t>
      </w:r>
      <w:r w:rsidRPr="000A0A5F">
        <w:t>: Data structures supported by the GET request/response by the resource</w:t>
      </w:r>
    </w:p>
    <w:tbl>
      <w:tblPr>
        <w:tblW w:w="4999" w:type="pct"/>
        <w:tblInd w:w="1" w:type="dxa"/>
        <w:tblBorders>
          <w:top w:val="single" w:sz="6" w:space="0" w:color="000000"/>
          <w:left w:val="single" w:sz="6" w:space="0" w:color="000000"/>
          <w:bottom w:val="single" w:sz="6" w:space="0" w:color="000000"/>
          <w:right w:val="single" w:sz="6" w:space="0" w:color="000000"/>
          <w:insideH w:val="single" w:sz="6" w:space="0" w:color="auto"/>
          <w:insideV w:val="single" w:sz="6" w:space="0" w:color="000000"/>
        </w:tblBorders>
        <w:tblLayout w:type="fixed"/>
        <w:tblCellMar>
          <w:top w:w="45" w:type="dxa"/>
          <w:left w:w="45" w:type="dxa"/>
          <w:bottom w:w="45" w:type="dxa"/>
          <w:right w:w="45" w:type="dxa"/>
        </w:tblCellMar>
        <w:tblLook w:val="0000" w:firstRow="0" w:lastRow="0" w:firstColumn="0" w:lastColumn="0" w:noHBand="0" w:noVBand="0"/>
      </w:tblPr>
      <w:tblGrid>
        <w:gridCol w:w="1033"/>
        <w:gridCol w:w="2127"/>
        <w:gridCol w:w="1053"/>
        <w:gridCol w:w="973"/>
        <w:gridCol w:w="4543"/>
        <w:tblGridChange w:id="5421">
          <w:tblGrid>
            <w:gridCol w:w="1033"/>
            <w:gridCol w:w="2127"/>
            <w:gridCol w:w="1053"/>
            <w:gridCol w:w="973"/>
            <w:gridCol w:w="4543"/>
          </w:tblGrid>
        </w:tblGridChange>
      </w:tblGrid>
      <w:tr w:rsidR="00CB0DD7" w:rsidRPr="000A0A5F" w:rsidTr="00AC7221">
        <w:tc>
          <w:tcPr>
            <w:tcW w:w="531" w:type="pct"/>
            <w:vMerge w:val="restart"/>
            <w:shd w:val="clear" w:color="auto" w:fill="C0C0C0"/>
            <w:vAlign w:val="center"/>
          </w:tcPr>
          <w:p w:rsidR="00CB0DD7" w:rsidRPr="000A0A5F" w:rsidRDefault="00CB0DD7">
            <w:pPr>
              <w:pStyle w:val="TAH"/>
            </w:pPr>
            <w:r w:rsidRPr="000A0A5F">
              <w:t>Request body</w:t>
            </w:r>
          </w:p>
        </w:tc>
        <w:tc>
          <w:tcPr>
            <w:tcW w:w="1093" w:type="pct"/>
            <w:shd w:val="clear" w:color="auto" w:fill="C0C0C0"/>
          </w:tcPr>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r w:rsidRPr="000A0A5F">
              <w:t>Cardinality</w:t>
            </w:r>
          </w:p>
        </w:tc>
        <w:tc>
          <w:tcPr>
            <w:tcW w:w="2835" w:type="pct"/>
            <w:gridSpan w:val="2"/>
            <w:shd w:val="clear" w:color="auto" w:fill="C0C0C0"/>
          </w:tcPr>
          <w:p w:rsidR="00CB0DD7" w:rsidRPr="000A0A5F" w:rsidRDefault="00CB0DD7">
            <w:pPr>
              <w:pStyle w:val="TAH"/>
            </w:pPr>
            <w:r w:rsidRPr="000A0A5F">
              <w:t>Remarks</w:t>
            </w:r>
          </w:p>
        </w:tc>
      </w:tr>
      <w:tr w:rsidR="00CB0DD7" w:rsidRPr="000A0A5F" w:rsidTr="00FF0AF8">
        <w:tc>
          <w:tcPr>
            <w:tcW w:w="531"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rPr>
                <w:rFonts w:hint="eastAsia"/>
                <w:lang w:eastAsia="zh-CN"/>
              </w:rPr>
              <w:t>none</w:t>
            </w:r>
          </w:p>
        </w:tc>
        <w:tc>
          <w:tcPr>
            <w:tcW w:w="541" w:type="pct"/>
          </w:tcPr>
          <w:p w:rsidR="00CB0DD7" w:rsidRPr="000A0A5F" w:rsidRDefault="00CB0DD7">
            <w:pPr>
              <w:pStyle w:val="TAL"/>
            </w:pPr>
          </w:p>
        </w:tc>
        <w:tc>
          <w:tcPr>
            <w:tcW w:w="2835" w:type="pct"/>
            <w:gridSpan w:val="2"/>
          </w:tcPr>
          <w:p w:rsidR="00CB0DD7" w:rsidRPr="000A0A5F" w:rsidRDefault="00CB0DD7">
            <w:pPr>
              <w:pStyle w:val="TAL"/>
            </w:pPr>
          </w:p>
        </w:tc>
      </w:tr>
      <w:tr w:rsidR="00CB0DD7" w:rsidRPr="000A0A5F" w:rsidTr="00AC7221">
        <w:tc>
          <w:tcPr>
            <w:tcW w:w="531" w:type="pct"/>
            <w:vMerge w:val="restart"/>
            <w:shd w:val="clear" w:color="auto" w:fill="C0C0C0"/>
            <w:vAlign w:val="center"/>
          </w:tcPr>
          <w:p w:rsidR="00CB0DD7" w:rsidRPr="000A0A5F" w:rsidRDefault="00CB0DD7">
            <w:pPr>
              <w:pStyle w:val="TAH"/>
            </w:pPr>
            <w:r w:rsidRPr="000A0A5F">
              <w:t>Response body</w:t>
            </w:r>
          </w:p>
        </w:tc>
        <w:tc>
          <w:tcPr>
            <w:tcW w:w="1093" w:type="pct"/>
            <w:shd w:val="clear" w:color="auto" w:fill="C0C0C0"/>
          </w:tcPr>
          <w:p w:rsidR="00CB0DD7" w:rsidRPr="000A0A5F" w:rsidRDefault="00CB0DD7">
            <w:pPr>
              <w:pStyle w:val="TAH"/>
            </w:pPr>
          </w:p>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p>
          <w:p w:rsidR="00CB0DD7" w:rsidRPr="000A0A5F" w:rsidRDefault="00CB0DD7">
            <w:pPr>
              <w:pStyle w:val="TAH"/>
            </w:pPr>
            <w:r w:rsidRPr="000A0A5F">
              <w:t>Cardinality</w:t>
            </w:r>
          </w:p>
        </w:tc>
        <w:tc>
          <w:tcPr>
            <w:tcW w:w="500" w:type="pct"/>
            <w:shd w:val="clear" w:color="auto" w:fill="C0C0C0"/>
          </w:tcPr>
          <w:p w:rsidR="00CB0DD7" w:rsidRPr="000A0A5F" w:rsidRDefault="00CB0DD7">
            <w:pPr>
              <w:pStyle w:val="TAH"/>
            </w:pPr>
            <w:r w:rsidRPr="000A0A5F">
              <w:t>Response</w:t>
            </w:r>
          </w:p>
          <w:p w:rsidR="00CB0DD7" w:rsidRPr="000A0A5F" w:rsidRDefault="00CB0DD7">
            <w:pPr>
              <w:pStyle w:val="TAH"/>
            </w:pPr>
            <w:r w:rsidRPr="000A0A5F">
              <w:t>codes</w:t>
            </w:r>
          </w:p>
        </w:tc>
        <w:tc>
          <w:tcPr>
            <w:tcW w:w="2335" w:type="pct"/>
            <w:shd w:val="clear" w:color="auto" w:fill="C0C0C0"/>
          </w:tcPr>
          <w:p w:rsidR="00CB0DD7" w:rsidRPr="000A0A5F" w:rsidRDefault="00CB0DD7">
            <w:pPr>
              <w:pStyle w:val="TAH"/>
            </w:pPr>
          </w:p>
          <w:p w:rsidR="00CB0DD7" w:rsidRPr="000A0A5F" w:rsidRDefault="00CB0DD7">
            <w:pPr>
              <w:pStyle w:val="TAH"/>
            </w:pPr>
            <w:r w:rsidRPr="000A0A5F">
              <w:t>Remarks</w:t>
            </w:r>
          </w:p>
        </w:tc>
      </w:tr>
      <w:tr w:rsidR="00CB0DD7" w:rsidRPr="000A0A5F" w:rsidTr="00FF0AF8">
        <w:tc>
          <w:tcPr>
            <w:tcW w:w="531"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rPr>
                <w:lang w:eastAsia="zh-CN"/>
              </w:rPr>
              <w:t>array(</w:t>
            </w:r>
            <w:r w:rsidRPr="000A0A5F">
              <w:rPr>
                <w:rFonts w:hint="eastAsia"/>
                <w:lang w:eastAsia="zh-CN"/>
              </w:rPr>
              <w:t>TMGIAllocation</w:t>
            </w:r>
            <w:r w:rsidRPr="000A0A5F">
              <w:rPr>
                <w:lang w:eastAsia="zh-CN"/>
              </w:rPr>
              <w:t>)</w:t>
            </w:r>
          </w:p>
        </w:tc>
        <w:tc>
          <w:tcPr>
            <w:tcW w:w="541" w:type="pct"/>
          </w:tcPr>
          <w:p w:rsidR="00CB0DD7" w:rsidRPr="000A0A5F" w:rsidRDefault="00CB0DD7">
            <w:pPr>
              <w:pStyle w:val="TAL"/>
              <w:rPr>
                <w:rFonts w:hint="eastAsia"/>
                <w:lang w:eastAsia="zh-CN"/>
              </w:rPr>
            </w:pPr>
            <w:r w:rsidRPr="000A0A5F">
              <w:rPr>
                <w:rFonts w:hint="eastAsia"/>
                <w:lang w:eastAsia="zh-CN"/>
              </w:rPr>
              <w:t>0..N</w:t>
            </w:r>
          </w:p>
        </w:tc>
        <w:tc>
          <w:tcPr>
            <w:tcW w:w="500" w:type="pct"/>
          </w:tcPr>
          <w:p w:rsidR="00CB0DD7" w:rsidRPr="000A0A5F" w:rsidRDefault="00CB0DD7">
            <w:pPr>
              <w:pStyle w:val="TAL"/>
            </w:pPr>
            <w:r w:rsidRPr="000A0A5F">
              <w:t>200 OK</w:t>
            </w:r>
          </w:p>
        </w:tc>
        <w:tc>
          <w:tcPr>
            <w:tcW w:w="2335" w:type="pct"/>
          </w:tcPr>
          <w:p w:rsidR="00CB0DD7" w:rsidRPr="000A0A5F" w:rsidRDefault="00CB0DD7">
            <w:pPr>
              <w:pStyle w:val="TAL"/>
              <w:rPr>
                <w:rFonts w:hint="eastAsia"/>
                <w:lang w:eastAsia="zh-CN"/>
              </w:rPr>
            </w:pPr>
            <w:r w:rsidRPr="000A0A5F">
              <w:rPr>
                <w:rFonts w:hint="eastAsia"/>
                <w:lang w:eastAsia="zh-CN"/>
              </w:rPr>
              <w:t xml:space="preserve">The TMGI allocation for the SCS/AS in the </w:t>
            </w:r>
            <w:r w:rsidRPr="000A0A5F">
              <w:rPr>
                <w:lang w:eastAsia="zh-CN"/>
              </w:rPr>
              <w:t>request</w:t>
            </w:r>
            <w:r w:rsidRPr="000A0A5F">
              <w:rPr>
                <w:rFonts w:hint="eastAsia"/>
                <w:lang w:eastAsia="zh-CN"/>
              </w:rPr>
              <w:t xml:space="preserve"> </w:t>
            </w:r>
            <w:r w:rsidRPr="000A0A5F">
              <w:rPr>
                <w:lang w:eastAsia="zh-CN"/>
              </w:rPr>
              <w:t>URI are returned.</w:t>
            </w:r>
          </w:p>
        </w:tc>
      </w:tr>
      <w:tr w:rsidR="00CB0DD7" w:rsidRPr="000A0A5F" w:rsidTr="00FF0AF8">
        <w:tc>
          <w:tcPr>
            <w:tcW w:w="531"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lang w:eastAsia="zh-CN"/>
              </w:rPr>
            </w:pPr>
            <w:r w:rsidRPr="000A0A5F">
              <w:t>none</w:t>
            </w:r>
          </w:p>
        </w:tc>
        <w:tc>
          <w:tcPr>
            <w:tcW w:w="541" w:type="pct"/>
          </w:tcPr>
          <w:p w:rsidR="00CB0DD7" w:rsidRPr="000A0A5F" w:rsidRDefault="00CB0DD7">
            <w:pPr>
              <w:pStyle w:val="TAL"/>
              <w:rPr>
                <w:rFonts w:hint="eastAsia"/>
                <w:lang w:eastAsia="zh-CN"/>
              </w:rPr>
            </w:pPr>
          </w:p>
        </w:tc>
        <w:tc>
          <w:tcPr>
            <w:tcW w:w="500" w:type="pct"/>
          </w:tcPr>
          <w:p w:rsidR="00CB0DD7" w:rsidRPr="000A0A5F" w:rsidRDefault="00CB0DD7">
            <w:pPr>
              <w:pStyle w:val="TAL"/>
            </w:pPr>
            <w:r w:rsidRPr="000A0A5F">
              <w:t>307 Temporary Redirect</w:t>
            </w:r>
          </w:p>
        </w:tc>
        <w:tc>
          <w:tcPr>
            <w:tcW w:w="2335" w:type="pct"/>
          </w:tcPr>
          <w:p w:rsidR="00CB0DD7" w:rsidRPr="000A0A5F" w:rsidRDefault="00CB0DD7">
            <w:pPr>
              <w:pStyle w:val="TAL"/>
            </w:pPr>
            <w:r w:rsidRPr="000A0A5F">
              <w:t xml:space="preserve">Temporary redirection, during </w:t>
            </w:r>
            <w:r w:rsidRPr="000A0A5F">
              <w:rPr>
                <w:rFonts w:hint="eastAsia"/>
                <w:lang w:eastAsia="zh-CN"/>
              </w:rPr>
              <w:t>resource</w:t>
            </w:r>
            <w:r w:rsidRPr="000A0A5F">
              <w:t xml:space="preserve"> retrieval. The response shall include a Location header field containing an alternative URI of the resource located in an alternative SCEF.</w:t>
            </w:r>
          </w:p>
          <w:p w:rsidR="00CB0DD7" w:rsidRPr="000A0A5F" w:rsidRDefault="00CB0DD7">
            <w:pPr>
              <w:pStyle w:val="TAL"/>
              <w:rPr>
                <w:rFonts w:hint="eastAsia"/>
                <w:lang w:eastAsia="zh-CN"/>
              </w:rPr>
            </w:pPr>
            <w:r w:rsidRPr="000A0A5F">
              <w:t>Redirection handling is described in clause 5.2.10.</w:t>
            </w:r>
          </w:p>
        </w:tc>
      </w:tr>
      <w:tr w:rsidR="00CB0DD7" w:rsidRPr="000A0A5F" w:rsidTr="00FF0AF8">
        <w:tc>
          <w:tcPr>
            <w:tcW w:w="531"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lang w:eastAsia="zh-CN"/>
              </w:rPr>
            </w:pPr>
            <w:r w:rsidRPr="000A0A5F">
              <w:t>none</w:t>
            </w:r>
          </w:p>
        </w:tc>
        <w:tc>
          <w:tcPr>
            <w:tcW w:w="541" w:type="pct"/>
          </w:tcPr>
          <w:p w:rsidR="00CB0DD7" w:rsidRPr="000A0A5F" w:rsidRDefault="00CB0DD7">
            <w:pPr>
              <w:pStyle w:val="TAL"/>
              <w:rPr>
                <w:rFonts w:hint="eastAsia"/>
                <w:lang w:eastAsia="zh-CN"/>
              </w:rPr>
            </w:pPr>
          </w:p>
        </w:tc>
        <w:tc>
          <w:tcPr>
            <w:tcW w:w="500" w:type="pct"/>
          </w:tcPr>
          <w:p w:rsidR="00CB0DD7" w:rsidRPr="000A0A5F" w:rsidRDefault="00CB0DD7">
            <w:pPr>
              <w:pStyle w:val="TAL"/>
            </w:pPr>
            <w:r w:rsidRPr="000A0A5F">
              <w:t>308 Permanent Redirect</w:t>
            </w:r>
          </w:p>
        </w:tc>
        <w:tc>
          <w:tcPr>
            <w:tcW w:w="2335" w:type="pct"/>
          </w:tcPr>
          <w:p w:rsidR="00CB0DD7" w:rsidRPr="000A0A5F" w:rsidRDefault="00CB0DD7">
            <w:pPr>
              <w:pStyle w:val="TAL"/>
            </w:pPr>
            <w:r w:rsidRPr="000A0A5F">
              <w:t xml:space="preserve">Permanent redirection, during </w:t>
            </w:r>
            <w:r w:rsidRPr="000A0A5F">
              <w:rPr>
                <w:rFonts w:hint="eastAsia"/>
                <w:lang w:eastAsia="zh-CN"/>
              </w:rPr>
              <w:t>resource</w:t>
            </w:r>
            <w:r w:rsidRPr="000A0A5F">
              <w:t xml:space="preserve"> retrieval. The response shall include a Location header field containing an alternative URI of the resource located in an alternative SCEF.</w:t>
            </w:r>
          </w:p>
          <w:p w:rsidR="00CB0DD7" w:rsidRPr="000A0A5F" w:rsidRDefault="00CB0DD7">
            <w:pPr>
              <w:pStyle w:val="TAL"/>
              <w:rPr>
                <w:rFonts w:hint="eastAsia"/>
                <w:lang w:eastAsia="zh-CN"/>
              </w:rPr>
            </w:pPr>
            <w:r w:rsidRPr="000A0A5F">
              <w:t>Redirection handling is described in clause 5.2.10.</w:t>
            </w:r>
          </w:p>
        </w:tc>
      </w:tr>
      <w:tr w:rsidR="00CB0DD7" w:rsidRPr="000A0A5F" w:rsidTr="00FF0AF8">
        <w:tc>
          <w:tcPr>
            <w:tcW w:w="5000" w:type="pct"/>
            <w:gridSpan w:val="5"/>
            <w:shd w:val="clear" w:color="auto" w:fill="auto"/>
            <w:vAlign w:val="center"/>
          </w:tcPr>
          <w:p w:rsidR="00CB0DD7" w:rsidRPr="000A0A5F" w:rsidRDefault="00CB0DD7">
            <w:pPr>
              <w:pStyle w:val="TAN"/>
            </w:pPr>
            <w:r w:rsidRPr="000A0A5F">
              <w:t>NOTE:</w:t>
            </w:r>
            <w:r w:rsidRPr="000A0A5F">
              <w:tab/>
              <w:t>The mandatory HTTP error status codes for the GET method listed in table 5.2.6-1 also apply.</w:t>
            </w:r>
          </w:p>
        </w:tc>
      </w:tr>
    </w:tbl>
    <w:p w:rsidR="00CB0DD7" w:rsidRPr="000A0A5F" w:rsidRDefault="00CB0DD7"/>
    <w:p w:rsidR="00CB0DD7" w:rsidRPr="000A0A5F" w:rsidRDefault="00CB0DD7">
      <w:pPr>
        <w:pStyle w:val="TH"/>
      </w:pPr>
      <w:r w:rsidRPr="000A0A5F">
        <w:t>Table 5.</w:t>
      </w:r>
      <w:r w:rsidRPr="000A0A5F">
        <w:rPr>
          <w:lang w:eastAsia="zh-CN"/>
        </w:rPr>
        <w:t>8</w:t>
      </w:r>
      <w:r w:rsidRPr="000A0A5F">
        <w:t>.</w:t>
      </w:r>
      <w:r w:rsidRPr="000A0A5F">
        <w:rPr>
          <w:lang w:eastAsia="zh-CN"/>
        </w:rPr>
        <w:t>2.2</w:t>
      </w:r>
      <w:r w:rsidRPr="000A0A5F">
        <w:t>.2.3.</w:t>
      </w:r>
      <w:r w:rsidRPr="000A0A5F">
        <w:rPr>
          <w:lang w:eastAsia="zh-CN"/>
        </w:rPr>
        <w:t>1</w:t>
      </w:r>
      <w:r w:rsidRPr="000A0A5F">
        <w:t>-2: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CB0DD7">
      <w:pPr>
        <w:pStyle w:val="TH"/>
      </w:pPr>
      <w:r w:rsidRPr="000A0A5F">
        <w:t>Table 5.</w:t>
      </w:r>
      <w:r w:rsidRPr="000A0A5F">
        <w:rPr>
          <w:lang w:eastAsia="zh-CN"/>
        </w:rPr>
        <w:t>8</w:t>
      </w:r>
      <w:r w:rsidRPr="000A0A5F">
        <w:t>.</w:t>
      </w:r>
      <w:r w:rsidRPr="000A0A5F">
        <w:rPr>
          <w:lang w:eastAsia="zh-CN"/>
        </w:rPr>
        <w:t>2.2</w:t>
      </w:r>
      <w:r w:rsidRPr="000A0A5F">
        <w:t>.2.3.</w:t>
      </w:r>
      <w:r w:rsidRPr="000A0A5F">
        <w:rPr>
          <w:lang w:eastAsia="zh-CN"/>
        </w:rPr>
        <w:t>1</w:t>
      </w:r>
      <w:r w:rsidRPr="000A0A5F">
        <w:t>-3: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CB0DD7">
      <w:pPr>
        <w:pStyle w:val="Heading7"/>
      </w:pPr>
      <w:bookmarkStart w:id="5422" w:name="_Toc11247578"/>
      <w:bookmarkStart w:id="5423" w:name="_Toc27044717"/>
      <w:bookmarkStart w:id="5424" w:name="_Toc36033759"/>
      <w:bookmarkStart w:id="5425" w:name="_Toc45131905"/>
      <w:bookmarkStart w:id="5426" w:name="_Toc49776190"/>
      <w:bookmarkStart w:id="5427" w:name="_Toc51747110"/>
      <w:bookmarkStart w:id="5428" w:name="_Toc66360674"/>
      <w:bookmarkStart w:id="5429" w:name="_Toc68105179"/>
      <w:bookmarkStart w:id="5430" w:name="_Toc74755809"/>
      <w:bookmarkStart w:id="5431" w:name="_Toc105674684"/>
      <w:bookmarkStart w:id="5432" w:name="_Toc130502736"/>
      <w:bookmarkStart w:id="5433" w:name="_Toc153625523"/>
      <w:r w:rsidRPr="000A0A5F">
        <w:t>5.8.2.2.2.3.2</w:t>
      </w:r>
      <w:r w:rsidRPr="000A0A5F">
        <w:tab/>
        <w:t>PUT</w:t>
      </w:r>
      <w:bookmarkEnd w:id="5422"/>
      <w:bookmarkEnd w:id="5423"/>
      <w:bookmarkEnd w:id="5424"/>
      <w:bookmarkEnd w:id="5425"/>
      <w:bookmarkEnd w:id="5426"/>
      <w:bookmarkEnd w:id="5427"/>
      <w:bookmarkEnd w:id="5428"/>
      <w:bookmarkEnd w:id="5429"/>
      <w:bookmarkEnd w:id="5430"/>
      <w:bookmarkEnd w:id="5431"/>
      <w:bookmarkEnd w:id="5432"/>
      <w:bookmarkEnd w:id="5433"/>
    </w:p>
    <w:p w:rsidR="00CB0DD7" w:rsidRPr="000A0A5F" w:rsidRDefault="00CB0DD7">
      <w:r w:rsidRPr="000A0A5F">
        <w:rPr>
          <w:rFonts w:hint="eastAsia"/>
          <w:lang w:eastAsia="zh-CN"/>
        </w:rPr>
        <w:t xml:space="preserve">This </w:t>
      </w:r>
      <w:r w:rsidRPr="000A0A5F">
        <w:rPr>
          <w:lang w:eastAsia="zh-CN"/>
        </w:rPr>
        <w:t>HTTP method is not supported for the resource.</w:t>
      </w:r>
    </w:p>
    <w:p w:rsidR="00CB0DD7" w:rsidRPr="000A0A5F" w:rsidRDefault="00CB0DD7">
      <w:pPr>
        <w:pStyle w:val="Heading7"/>
      </w:pPr>
      <w:bookmarkStart w:id="5434" w:name="_Toc11247579"/>
      <w:bookmarkStart w:id="5435" w:name="_Toc27044718"/>
      <w:bookmarkStart w:id="5436" w:name="_Toc36033760"/>
      <w:bookmarkStart w:id="5437" w:name="_Toc45131906"/>
      <w:bookmarkStart w:id="5438" w:name="_Toc49776191"/>
      <w:bookmarkStart w:id="5439" w:name="_Toc51747111"/>
      <w:bookmarkStart w:id="5440" w:name="_Toc66360675"/>
      <w:bookmarkStart w:id="5441" w:name="_Toc68105180"/>
      <w:bookmarkStart w:id="5442" w:name="_Toc74755810"/>
      <w:bookmarkStart w:id="5443" w:name="_Toc105674685"/>
      <w:bookmarkStart w:id="5444" w:name="_Toc130502737"/>
      <w:bookmarkStart w:id="5445" w:name="_Toc153625524"/>
      <w:r w:rsidRPr="000A0A5F">
        <w:t>5.8.2.2.2.3.3</w:t>
      </w:r>
      <w:r w:rsidRPr="000A0A5F">
        <w:tab/>
        <w:t>PATCH</w:t>
      </w:r>
      <w:bookmarkEnd w:id="5434"/>
      <w:bookmarkEnd w:id="5435"/>
      <w:bookmarkEnd w:id="5436"/>
      <w:bookmarkEnd w:id="5437"/>
      <w:bookmarkEnd w:id="5438"/>
      <w:bookmarkEnd w:id="5439"/>
      <w:bookmarkEnd w:id="5440"/>
      <w:bookmarkEnd w:id="5441"/>
      <w:bookmarkEnd w:id="5442"/>
      <w:bookmarkEnd w:id="5443"/>
      <w:bookmarkEnd w:id="5444"/>
      <w:bookmarkEnd w:id="5445"/>
    </w:p>
    <w:p w:rsidR="00CB0DD7" w:rsidRPr="000A0A5F" w:rsidRDefault="00CB0DD7">
      <w:r w:rsidRPr="000A0A5F">
        <w:rPr>
          <w:rFonts w:hint="eastAsia"/>
          <w:lang w:eastAsia="zh-CN"/>
        </w:rPr>
        <w:t xml:space="preserve">This </w:t>
      </w:r>
      <w:r w:rsidRPr="000A0A5F">
        <w:rPr>
          <w:lang w:eastAsia="zh-CN"/>
        </w:rPr>
        <w:t>HTTP method is not supported for the resource.</w:t>
      </w:r>
    </w:p>
    <w:p w:rsidR="00CB0DD7" w:rsidRPr="000A0A5F" w:rsidRDefault="00CB0DD7">
      <w:pPr>
        <w:pStyle w:val="Heading7"/>
      </w:pPr>
      <w:bookmarkStart w:id="5446" w:name="_Toc11247580"/>
      <w:bookmarkStart w:id="5447" w:name="_Toc27044719"/>
      <w:bookmarkStart w:id="5448" w:name="_Toc36033761"/>
      <w:bookmarkStart w:id="5449" w:name="_Toc45131907"/>
      <w:bookmarkStart w:id="5450" w:name="_Toc49776192"/>
      <w:bookmarkStart w:id="5451" w:name="_Toc51747112"/>
      <w:bookmarkStart w:id="5452" w:name="_Toc66360676"/>
      <w:bookmarkStart w:id="5453" w:name="_Toc68105181"/>
      <w:bookmarkStart w:id="5454" w:name="_Toc74755811"/>
      <w:bookmarkStart w:id="5455" w:name="_Toc105674686"/>
      <w:bookmarkStart w:id="5456" w:name="_Toc130502738"/>
      <w:bookmarkStart w:id="5457" w:name="_Toc153625525"/>
      <w:r w:rsidRPr="000A0A5F">
        <w:t>5.8.2.2.2.3.4</w:t>
      </w:r>
      <w:r w:rsidRPr="000A0A5F">
        <w:tab/>
        <w:t>POST</w:t>
      </w:r>
      <w:bookmarkEnd w:id="5446"/>
      <w:bookmarkEnd w:id="5447"/>
      <w:bookmarkEnd w:id="5448"/>
      <w:bookmarkEnd w:id="5449"/>
      <w:bookmarkEnd w:id="5450"/>
      <w:bookmarkEnd w:id="5451"/>
      <w:bookmarkEnd w:id="5452"/>
      <w:bookmarkEnd w:id="5453"/>
      <w:bookmarkEnd w:id="5454"/>
      <w:bookmarkEnd w:id="5455"/>
      <w:bookmarkEnd w:id="5456"/>
      <w:bookmarkEnd w:id="5457"/>
    </w:p>
    <w:p w:rsidR="00CB0DD7" w:rsidRPr="000A0A5F" w:rsidRDefault="00CB0DD7">
      <w:pPr>
        <w:rPr>
          <w:noProof/>
          <w:lang w:eastAsia="zh-CN"/>
        </w:rPr>
      </w:pPr>
      <w:r w:rsidRPr="000A0A5F">
        <w:rPr>
          <w:noProof/>
          <w:lang w:eastAsia="zh-CN"/>
        </w:rPr>
        <w:t xml:space="preserve">The POST method creates a new TMGI Allocation resource for a given SCS/AS. It is initiated by the SCS/AS and answered by the SCEF. </w:t>
      </w:r>
    </w:p>
    <w:p w:rsidR="00CB0DD7" w:rsidRPr="000A0A5F" w:rsidRDefault="00CB0DD7">
      <w:pPr>
        <w:rPr>
          <w:rFonts w:hint="eastAsia"/>
          <w:lang w:eastAsia="zh-CN"/>
        </w:rPr>
      </w:pPr>
      <w:r w:rsidRPr="000A0A5F">
        <w:t>This method shall support request and response data structures, and response codes, as specified in the table 5.8.2.2.2.3.4-1.</w:t>
      </w:r>
    </w:p>
    <w:p w:rsidR="00CB0DD7" w:rsidRPr="000A0A5F" w:rsidRDefault="00CB0DD7">
      <w:pPr>
        <w:pStyle w:val="TH"/>
        <w:rPr>
          <w:rFonts w:hint="eastAsia"/>
          <w:lang w:eastAsia="zh-CN"/>
        </w:rPr>
      </w:pPr>
      <w:r w:rsidRPr="000A0A5F">
        <w:t>Table 5.</w:t>
      </w:r>
      <w:r w:rsidRPr="000A0A5F">
        <w:rPr>
          <w:lang w:eastAsia="zh-CN"/>
        </w:rPr>
        <w:t>8</w:t>
      </w:r>
      <w:r w:rsidRPr="000A0A5F">
        <w:t>.</w:t>
      </w:r>
      <w:r w:rsidRPr="000A0A5F">
        <w:rPr>
          <w:lang w:eastAsia="zh-CN"/>
        </w:rPr>
        <w:t>2.2</w:t>
      </w:r>
      <w:r w:rsidRPr="000A0A5F">
        <w:t>.2.3.</w:t>
      </w:r>
      <w:r w:rsidRPr="000A0A5F">
        <w:rPr>
          <w:rFonts w:hint="eastAsia"/>
          <w:lang w:eastAsia="zh-CN"/>
        </w:rPr>
        <w:t>4-1</w:t>
      </w:r>
      <w:r w:rsidRPr="000A0A5F">
        <w:t>: Data structures supported by the POST request/response by the resource</w:t>
      </w:r>
    </w:p>
    <w:tbl>
      <w:tblPr>
        <w:tblW w:w="4999" w:type="pct"/>
        <w:tblInd w:w="1" w:type="dxa"/>
        <w:tblBorders>
          <w:top w:val="single" w:sz="6" w:space="0" w:color="000000"/>
          <w:left w:val="single" w:sz="6" w:space="0" w:color="000000"/>
          <w:bottom w:val="single" w:sz="6" w:space="0" w:color="000000"/>
          <w:right w:val="single" w:sz="6" w:space="0" w:color="000000"/>
          <w:insideH w:val="single" w:sz="6" w:space="0" w:color="auto"/>
          <w:insideV w:val="single" w:sz="6" w:space="0" w:color="000000"/>
        </w:tblBorders>
        <w:tblLayout w:type="fixed"/>
        <w:tblCellMar>
          <w:top w:w="45" w:type="dxa"/>
          <w:left w:w="45" w:type="dxa"/>
          <w:bottom w:w="45" w:type="dxa"/>
          <w:right w:w="45" w:type="dxa"/>
        </w:tblCellMar>
        <w:tblLook w:val="0000" w:firstRow="0" w:lastRow="0" w:firstColumn="0" w:lastColumn="0" w:noHBand="0" w:noVBand="0"/>
      </w:tblPr>
      <w:tblGrid>
        <w:gridCol w:w="1033"/>
        <w:gridCol w:w="2127"/>
        <w:gridCol w:w="1053"/>
        <w:gridCol w:w="973"/>
        <w:gridCol w:w="4543"/>
        <w:tblGridChange w:id="5458">
          <w:tblGrid>
            <w:gridCol w:w="1033"/>
            <w:gridCol w:w="2127"/>
            <w:gridCol w:w="1053"/>
            <w:gridCol w:w="973"/>
            <w:gridCol w:w="4543"/>
          </w:tblGrid>
        </w:tblGridChange>
      </w:tblGrid>
      <w:tr w:rsidR="00CB0DD7" w:rsidRPr="000A0A5F" w:rsidTr="00790FC9">
        <w:tc>
          <w:tcPr>
            <w:tcW w:w="531" w:type="pct"/>
            <w:vMerge w:val="restart"/>
            <w:shd w:val="clear" w:color="auto" w:fill="C0C0C0"/>
            <w:vAlign w:val="center"/>
          </w:tcPr>
          <w:p w:rsidR="00CB0DD7" w:rsidRPr="000A0A5F" w:rsidRDefault="00CB0DD7">
            <w:pPr>
              <w:pStyle w:val="TAH"/>
            </w:pPr>
            <w:r w:rsidRPr="000A0A5F">
              <w:t>Request body</w:t>
            </w:r>
          </w:p>
        </w:tc>
        <w:tc>
          <w:tcPr>
            <w:tcW w:w="1093" w:type="pct"/>
            <w:shd w:val="clear" w:color="auto" w:fill="C0C0C0"/>
          </w:tcPr>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r w:rsidRPr="000A0A5F">
              <w:t>Cardinality</w:t>
            </w:r>
          </w:p>
        </w:tc>
        <w:tc>
          <w:tcPr>
            <w:tcW w:w="2835" w:type="pct"/>
            <w:gridSpan w:val="2"/>
            <w:shd w:val="clear" w:color="auto" w:fill="C0C0C0"/>
          </w:tcPr>
          <w:p w:rsidR="00CB0DD7" w:rsidRPr="000A0A5F" w:rsidRDefault="00CB0DD7">
            <w:pPr>
              <w:pStyle w:val="TAH"/>
            </w:pPr>
            <w:r w:rsidRPr="000A0A5F">
              <w:t>Remarks</w:t>
            </w:r>
          </w:p>
        </w:tc>
      </w:tr>
      <w:tr w:rsidR="00CB0DD7" w:rsidRPr="000A0A5F" w:rsidTr="00FF0AF8">
        <w:tc>
          <w:tcPr>
            <w:tcW w:w="531"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rPr>
                <w:rFonts w:hint="eastAsia"/>
                <w:lang w:eastAsia="zh-CN"/>
              </w:rPr>
              <w:t>TMGIAllocation</w:t>
            </w:r>
          </w:p>
        </w:tc>
        <w:tc>
          <w:tcPr>
            <w:tcW w:w="541" w:type="pct"/>
          </w:tcPr>
          <w:p w:rsidR="00CB0DD7" w:rsidRPr="000A0A5F" w:rsidRDefault="00CB0DD7">
            <w:pPr>
              <w:pStyle w:val="TAL"/>
              <w:rPr>
                <w:rFonts w:hint="eastAsia"/>
                <w:lang w:eastAsia="zh-CN"/>
              </w:rPr>
            </w:pPr>
            <w:r w:rsidRPr="000A0A5F">
              <w:rPr>
                <w:rFonts w:hint="eastAsia"/>
                <w:lang w:eastAsia="zh-CN"/>
              </w:rPr>
              <w:t>1</w:t>
            </w:r>
          </w:p>
        </w:tc>
        <w:tc>
          <w:tcPr>
            <w:tcW w:w="2835" w:type="pct"/>
            <w:gridSpan w:val="2"/>
          </w:tcPr>
          <w:p w:rsidR="00CB0DD7" w:rsidRPr="000A0A5F" w:rsidRDefault="00CB0DD7">
            <w:pPr>
              <w:pStyle w:val="TAL"/>
            </w:pPr>
            <w:r w:rsidRPr="000A0A5F">
              <w:t>Parameters to create a TMGI allocation resource</w:t>
            </w:r>
          </w:p>
        </w:tc>
      </w:tr>
      <w:tr w:rsidR="00CB0DD7" w:rsidRPr="000A0A5F" w:rsidTr="00790FC9">
        <w:tc>
          <w:tcPr>
            <w:tcW w:w="531" w:type="pct"/>
            <w:vMerge w:val="restart"/>
            <w:shd w:val="clear" w:color="auto" w:fill="C0C0C0"/>
            <w:vAlign w:val="center"/>
          </w:tcPr>
          <w:p w:rsidR="00CB0DD7" w:rsidRPr="000A0A5F" w:rsidRDefault="00CB0DD7">
            <w:pPr>
              <w:pStyle w:val="TAH"/>
            </w:pPr>
            <w:r w:rsidRPr="000A0A5F">
              <w:t>Response body</w:t>
            </w:r>
          </w:p>
        </w:tc>
        <w:tc>
          <w:tcPr>
            <w:tcW w:w="1093" w:type="pct"/>
            <w:shd w:val="clear" w:color="auto" w:fill="C0C0C0"/>
          </w:tcPr>
          <w:p w:rsidR="00CB0DD7" w:rsidRPr="000A0A5F" w:rsidRDefault="00CB0DD7">
            <w:pPr>
              <w:pStyle w:val="TAH"/>
            </w:pPr>
          </w:p>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p>
          <w:p w:rsidR="00CB0DD7" w:rsidRPr="000A0A5F" w:rsidRDefault="00CB0DD7">
            <w:pPr>
              <w:pStyle w:val="TAH"/>
            </w:pPr>
            <w:r w:rsidRPr="000A0A5F">
              <w:t>Cardinality</w:t>
            </w:r>
          </w:p>
        </w:tc>
        <w:tc>
          <w:tcPr>
            <w:tcW w:w="500" w:type="pct"/>
            <w:shd w:val="clear" w:color="auto" w:fill="C0C0C0"/>
          </w:tcPr>
          <w:p w:rsidR="00CB0DD7" w:rsidRPr="000A0A5F" w:rsidRDefault="00CB0DD7">
            <w:pPr>
              <w:pStyle w:val="TAH"/>
            </w:pPr>
            <w:r w:rsidRPr="000A0A5F">
              <w:t>Response</w:t>
            </w:r>
          </w:p>
          <w:p w:rsidR="00CB0DD7" w:rsidRPr="000A0A5F" w:rsidRDefault="00CB0DD7">
            <w:pPr>
              <w:pStyle w:val="TAH"/>
            </w:pPr>
            <w:r w:rsidRPr="000A0A5F">
              <w:t>codes</w:t>
            </w:r>
          </w:p>
        </w:tc>
        <w:tc>
          <w:tcPr>
            <w:tcW w:w="2335" w:type="pct"/>
            <w:shd w:val="clear" w:color="auto" w:fill="C0C0C0"/>
          </w:tcPr>
          <w:p w:rsidR="00CB0DD7" w:rsidRPr="000A0A5F" w:rsidRDefault="00CB0DD7">
            <w:pPr>
              <w:pStyle w:val="TAH"/>
            </w:pPr>
          </w:p>
          <w:p w:rsidR="00CB0DD7" w:rsidRPr="000A0A5F" w:rsidRDefault="00CB0DD7">
            <w:pPr>
              <w:pStyle w:val="TAH"/>
            </w:pPr>
            <w:r w:rsidRPr="000A0A5F">
              <w:t>Remarks</w:t>
            </w:r>
          </w:p>
        </w:tc>
      </w:tr>
      <w:tr w:rsidR="00CB0DD7" w:rsidRPr="000A0A5F" w:rsidTr="00FF0AF8">
        <w:tc>
          <w:tcPr>
            <w:tcW w:w="531"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rPr>
                <w:rFonts w:hint="eastAsia"/>
                <w:lang w:eastAsia="zh-CN"/>
              </w:rPr>
              <w:t>TMGIAllocation</w:t>
            </w:r>
          </w:p>
        </w:tc>
        <w:tc>
          <w:tcPr>
            <w:tcW w:w="541" w:type="pct"/>
          </w:tcPr>
          <w:p w:rsidR="00CB0DD7" w:rsidRPr="000A0A5F" w:rsidRDefault="00CB0DD7">
            <w:pPr>
              <w:pStyle w:val="TAL"/>
              <w:rPr>
                <w:rFonts w:hint="eastAsia"/>
                <w:lang w:eastAsia="zh-CN"/>
              </w:rPr>
            </w:pPr>
            <w:r w:rsidRPr="000A0A5F">
              <w:rPr>
                <w:lang w:eastAsia="zh-CN"/>
              </w:rPr>
              <w:t>1</w:t>
            </w:r>
          </w:p>
        </w:tc>
        <w:tc>
          <w:tcPr>
            <w:tcW w:w="500" w:type="pct"/>
          </w:tcPr>
          <w:p w:rsidR="00CB0DD7" w:rsidRPr="000A0A5F" w:rsidRDefault="00CB0DD7">
            <w:pPr>
              <w:pStyle w:val="TAL"/>
            </w:pPr>
            <w:r w:rsidRPr="000A0A5F">
              <w:t>201 Created</w:t>
            </w:r>
          </w:p>
        </w:tc>
        <w:tc>
          <w:tcPr>
            <w:tcW w:w="2335" w:type="pct"/>
          </w:tcPr>
          <w:p w:rsidR="00CB0DD7" w:rsidRPr="000A0A5F" w:rsidRDefault="00CB0DD7">
            <w:pPr>
              <w:pStyle w:val="TAL"/>
            </w:pPr>
            <w:r w:rsidRPr="000A0A5F">
              <w:t xml:space="preserve">The creation of a TMGI allocation was created successfully. </w:t>
            </w:r>
          </w:p>
          <w:p w:rsidR="00CB0DD7" w:rsidRPr="000A0A5F" w:rsidRDefault="00CB0DD7">
            <w:pPr>
              <w:pStyle w:val="TAL"/>
            </w:pPr>
          </w:p>
          <w:p w:rsidR="006E33A8" w:rsidRPr="000A0A5F" w:rsidRDefault="006E33A8" w:rsidP="006E33A8">
            <w:pPr>
              <w:pStyle w:val="TAL"/>
            </w:pPr>
            <w:r w:rsidRPr="000A0A5F">
              <w:t xml:space="preserve">The SCEF </w:t>
            </w:r>
            <w:r w:rsidRPr="000A0A5F">
              <w:rPr>
                <w:rFonts w:hint="eastAsia"/>
                <w:lang w:eastAsia="zh-CN"/>
              </w:rPr>
              <w:t>shall</w:t>
            </w:r>
            <w:r w:rsidRPr="000A0A5F">
              <w:t xml:space="preserve"> return a data structure of type "TMGI Allocation" in the response content.</w:t>
            </w:r>
          </w:p>
          <w:p w:rsidR="00CB0DD7" w:rsidRPr="000A0A5F" w:rsidRDefault="00CB0DD7">
            <w:pPr>
              <w:pStyle w:val="TAL"/>
            </w:pPr>
          </w:p>
          <w:p w:rsidR="00CB0DD7" w:rsidRPr="000A0A5F" w:rsidRDefault="00CB0DD7">
            <w:pPr>
              <w:pStyle w:val="TAL"/>
              <w:rPr>
                <w:rFonts w:hint="eastAsia"/>
                <w:lang w:eastAsia="zh-CN"/>
              </w:rPr>
            </w:pPr>
            <w:r w:rsidRPr="000A0A5F">
              <w:t>On success, the HTTP response shall include a "Location" HTTP header that points to the created resource</w:t>
            </w:r>
            <w:r w:rsidRPr="000A0A5F">
              <w:rPr>
                <w:rFonts w:hint="eastAsia"/>
                <w:lang w:eastAsia="zh-CN"/>
              </w:rPr>
              <w:t xml:space="preserve"> URI </w:t>
            </w:r>
            <w:r w:rsidRPr="000A0A5F">
              <w:rPr>
                <w:lang w:eastAsia="zh-CN"/>
              </w:rPr>
              <w:t>identified</w:t>
            </w:r>
            <w:r w:rsidRPr="000A0A5F">
              <w:rPr>
                <w:rFonts w:hint="eastAsia"/>
                <w:lang w:eastAsia="zh-CN"/>
              </w:rPr>
              <w:t xml:space="preserve"> by the ScsAsId and the </w:t>
            </w:r>
            <w:r w:rsidRPr="000A0A5F">
              <w:rPr>
                <w:lang w:eastAsia="zh-CN"/>
              </w:rPr>
              <w:t>TMGI</w:t>
            </w:r>
          </w:p>
        </w:tc>
      </w:tr>
      <w:tr w:rsidR="00CB0DD7" w:rsidRPr="000A0A5F" w:rsidTr="00FF0AF8">
        <w:tc>
          <w:tcPr>
            <w:tcW w:w="5000" w:type="pct"/>
            <w:gridSpan w:val="5"/>
            <w:shd w:val="clear" w:color="auto" w:fill="auto"/>
            <w:vAlign w:val="center"/>
          </w:tcPr>
          <w:p w:rsidR="00CB0DD7" w:rsidRPr="000A0A5F" w:rsidRDefault="00CB0DD7">
            <w:pPr>
              <w:pStyle w:val="TAN"/>
            </w:pPr>
            <w:r w:rsidRPr="000A0A5F">
              <w:t>NOTE:</w:t>
            </w:r>
            <w:r w:rsidRPr="000A0A5F">
              <w:tab/>
              <w:t>The mandatory HTTP error status codes for the POST method listed in table 5.2.6-1 also apply.</w:t>
            </w:r>
          </w:p>
        </w:tc>
      </w:tr>
    </w:tbl>
    <w:p w:rsidR="00CB0DD7" w:rsidRPr="000A0A5F" w:rsidRDefault="00CB0DD7">
      <w:pPr>
        <w:rPr>
          <w:noProof/>
        </w:rPr>
      </w:pPr>
    </w:p>
    <w:p w:rsidR="00CB0DD7" w:rsidRPr="000A0A5F" w:rsidRDefault="00CB0DD7">
      <w:pPr>
        <w:pStyle w:val="TH"/>
      </w:pPr>
      <w:r w:rsidRPr="000A0A5F">
        <w:t>Table</w:t>
      </w:r>
      <w:r w:rsidRPr="000A0A5F">
        <w:rPr>
          <w:noProof/>
        </w:rPr>
        <w:t> </w:t>
      </w:r>
      <w:r w:rsidRPr="000A0A5F">
        <w:t>5.</w:t>
      </w:r>
      <w:r w:rsidRPr="000A0A5F">
        <w:rPr>
          <w:lang w:eastAsia="zh-CN"/>
        </w:rPr>
        <w:t>8</w:t>
      </w:r>
      <w:r w:rsidRPr="000A0A5F">
        <w:t>.</w:t>
      </w:r>
      <w:r w:rsidRPr="000A0A5F">
        <w:rPr>
          <w:lang w:eastAsia="zh-CN"/>
        </w:rPr>
        <w:t>2.2</w:t>
      </w:r>
      <w:r w:rsidRPr="000A0A5F">
        <w:t>.2.3.</w:t>
      </w:r>
      <w:r w:rsidRPr="000A0A5F">
        <w:rPr>
          <w:rFonts w:hint="eastAsia"/>
          <w:lang w:eastAsia="zh-CN"/>
        </w:rPr>
        <w:t>4-</w:t>
      </w:r>
      <w:r w:rsidRPr="000A0A5F">
        <w:rPr>
          <w:lang w:eastAsia="zh-CN"/>
        </w:rPr>
        <w:t>2</w:t>
      </w:r>
      <w:r w:rsidRPr="000A0A5F">
        <w:t xml:space="preserve">: Headers supported by the 201 Response Code on this resource </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790FC9">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790FC9">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Contains the URI of the newly created resource, according to the structure:</w:t>
            </w:r>
            <w:r w:rsidRPr="000A0A5F">
              <w:rPr>
                <w:noProof/>
              </w:rPr>
              <w:t xml:space="preserve"> </w:t>
            </w:r>
            <w:r w:rsidRPr="000A0A5F">
              <w:t>{apiRoot}/3gpp-group-message-delivery-mb2/v1/{scsAsId}/tmgi-allocation/{tmgi}</w:t>
            </w:r>
          </w:p>
        </w:tc>
      </w:tr>
    </w:tbl>
    <w:p w:rsidR="00CB0DD7" w:rsidRPr="000A0A5F" w:rsidRDefault="00CB0DD7"/>
    <w:p w:rsidR="00CB0DD7" w:rsidRPr="000A0A5F" w:rsidRDefault="00CB0DD7">
      <w:pPr>
        <w:pStyle w:val="Heading7"/>
      </w:pPr>
      <w:bookmarkStart w:id="5459" w:name="_Toc11247581"/>
      <w:bookmarkStart w:id="5460" w:name="_Toc27044720"/>
      <w:bookmarkStart w:id="5461" w:name="_Toc36033762"/>
      <w:bookmarkStart w:id="5462" w:name="_Toc45131908"/>
      <w:bookmarkStart w:id="5463" w:name="_Toc49776193"/>
      <w:bookmarkStart w:id="5464" w:name="_Toc51747113"/>
      <w:bookmarkStart w:id="5465" w:name="_Toc66360677"/>
      <w:bookmarkStart w:id="5466" w:name="_Toc68105182"/>
      <w:bookmarkStart w:id="5467" w:name="_Toc74755812"/>
      <w:bookmarkStart w:id="5468" w:name="_Toc105674687"/>
      <w:bookmarkStart w:id="5469" w:name="_Toc130502739"/>
      <w:bookmarkStart w:id="5470" w:name="_Toc153625526"/>
      <w:r w:rsidRPr="000A0A5F">
        <w:t>5.8.2.2.2.3.5</w:t>
      </w:r>
      <w:r w:rsidRPr="000A0A5F">
        <w:tab/>
        <w:t>DELETE</w:t>
      </w:r>
      <w:bookmarkEnd w:id="5459"/>
      <w:bookmarkEnd w:id="5460"/>
      <w:bookmarkEnd w:id="5461"/>
      <w:bookmarkEnd w:id="5462"/>
      <w:bookmarkEnd w:id="5463"/>
      <w:bookmarkEnd w:id="5464"/>
      <w:bookmarkEnd w:id="5465"/>
      <w:bookmarkEnd w:id="5466"/>
      <w:bookmarkEnd w:id="5467"/>
      <w:bookmarkEnd w:id="5468"/>
      <w:bookmarkEnd w:id="5469"/>
      <w:bookmarkEnd w:id="5470"/>
    </w:p>
    <w:p w:rsidR="00CB0DD7" w:rsidRPr="000A0A5F" w:rsidRDefault="00CB0DD7">
      <w:r w:rsidRPr="000A0A5F">
        <w:rPr>
          <w:rFonts w:hint="eastAsia"/>
          <w:lang w:eastAsia="zh-CN"/>
        </w:rPr>
        <w:t xml:space="preserve">This </w:t>
      </w:r>
      <w:r w:rsidRPr="000A0A5F">
        <w:rPr>
          <w:lang w:eastAsia="zh-CN"/>
        </w:rPr>
        <w:t>HTTP method is not supported for the resource.</w:t>
      </w:r>
    </w:p>
    <w:p w:rsidR="00CB0DD7" w:rsidRPr="000A0A5F" w:rsidRDefault="00CB0DD7">
      <w:pPr>
        <w:pStyle w:val="Heading5"/>
      </w:pPr>
      <w:bookmarkStart w:id="5471" w:name="_Toc11247582"/>
      <w:bookmarkStart w:id="5472" w:name="_Toc27044721"/>
      <w:bookmarkStart w:id="5473" w:name="_Toc36033763"/>
      <w:bookmarkStart w:id="5474" w:name="_Toc45131909"/>
      <w:bookmarkStart w:id="5475" w:name="_Toc49776194"/>
      <w:bookmarkStart w:id="5476" w:name="_Toc51747114"/>
      <w:bookmarkStart w:id="5477" w:name="_Toc66360678"/>
      <w:bookmarkStart w:id="5478" w:name="_Toc68105183"/>
      <w:bookmarkStart w:id="5479" w:name="_Toc74755813"/>
      <w:bookmarkStart w:id="5480" w:name="_Toc105674688"/>
      <w:bookmarkStart w:id="5481" w:name="_Toc130502740"/>
      <w:bookmarkStart w:id="5482" w:name="_Toc153625527"/>
      <w:r w:rsidRPr="000A0A5F">
        <w:t>5.8.2.2.3</w:t>
      </w:r>
      <w:r w:rsidRPr="000A0A5F">
        <w:tab/>
        <w:t>Resource: Individual TMGI Allocation</w:t>
      </w:r>
      <w:bookmarkEnd w:id="5471"/>
      <w:bookmarkEnd w:id="5472"/>
      <w:bookmarkEnd w:id="5473"/>
      <w:bookmarkEnd w:id="5474"/>
      <w:bookmarkEnd w:id="5475"/>
      <w:bookmarkEnd w:id="5476"/>
      <w:bookmarkEnd w:id="5477"/>
      <w:bookmarkEnd w:id="5478"/>
      <w:bookmarkEnd w:id="5479"/>
      <w:bookmarkEnd w:id="5480"/>
      <w:bookmarkEnd w:id="5481"/>
      <w:bookmarkEnd w:id="5482"/>
    </w:p>
    <w:p w:rsidR="00CB0DD7" w:rsidRPr="000A0A5F" w:rsidRDefault="00CB0DD7">
      <w:pPr>
        <w:pStyle w:val="Heading6"/>
      </w:pPr>
      <w:bookmarkStart w:id="5483" w:name="_Toc11247583"/>
      <w:bookmarkStart w:id="5484" w:name="_Toc27044722"/>
      <w:bookmarkStart w:id="5485" w:name="_Toc36033764"/>
      <w:bookmarkStart w:id="5486" w:name="_Toc45131910"/>
      <w:bookmarkStart w:id="5487" w:name="_Toc49776195"/>
      <w:bookmarkStart w:id="5488" w:name="_Toc51747115"/>
      <w:bookmarkStart w:id="5489" w:name="_Toc66360679"/>
      <w:bookmarkStart w:id="5490" w:name="_Toc68105184"/>
      <w:bookmarkStart w:id="5491" w:name="_Toc74755814"/>
      <w:bookmarkStart w:id="5492" w:name="_Toc105674689"/>
      <w:bookmarkStart w:id="5493" w:name="_Toc130502741"/>
      <w:bookmarkStart w:id="5494" w:name="_Toc153625528"/>
      <w:r w:rsidRPr="000A0A5F">
        <w:t>5.8.2.2.3.1</w:t>
      </w:r>
      <w:r w:rsidRPr="000A0A5F">
        <w:tab/>
        <w:t>Introduction</w:t>
      </w:r>
      <w:bookmarkEnd w:id="5483"/>
      <w:bookmarkEnd w:id="5484"/>
      <w:bookmarkEnd w:id="5485"/>
      <w:bookmarkEnd w:id="5486"/>
      <w:bookmarkEnd w:id="5487"/>
      <w:bookmarkEnd w:id="5488"/>
      <w:bookmarkEnd w:id="5489"/>
      <w:bookmarkEnd w:id="5490"/>
      <w:bookmarkEnd w:id="5491"/>
      <w:bookmarkEnd w:id="5492"/>
      <w:bookmarkEnd w:id="5493"/>
      <w:bookmarkEnd w:id="5494"/>
    </w:p>
    <w:p w:rsidR="00CB0DD7" w:rsidRPr="000A0A5F" w:rsidRDefault="00CB0DD7">
      <w:pPr>
        <w:rPr>
          <w:noProof/>
          <w:lang w:eastAsia="zh-CN"/>
        </w:rPr>
      </w:pPr>
      <w:r w:rsidRPr="000A0A5F">
        <w:rPr>
          <w:noProof/>
          <w:lang w:eastAsia="zh-CN"/>
        </w:rPr>
        <w:t>This resource allows t</w:t>
      </w:r>
      <w:r w:rsidRPr="000A0A5F">
        <w:rPr>
          <w:rFonts w:hint="eastAsia"/>
          <w:noProof/>
          <w:lang w:eastAsia="zh-CN"/>
        </w:rPr>
        <w:t xml:space="preserve">he SCS/AS </w:t>
      </w:r>
      <w:r w:rsidRPr="000A0A5F">
        <w:rPr>
          <w:noProof/>
          <w:lang w:eastAsia="zh-CN"/>
        </w:rPr>
        <w:t>to read an active TMGI or renew an TMGI.</w:t>
      </w:r>
    </w:p>
    <w:p w:rsidR="00CB0DD7" w:rsidRPr="000A0A5F" w:rsidRDefault="00CB0DD7">
      <w:pPr>
        <w:pStyle w:val="Heading6"/>
      </w:pPr>
      <w:bookmarkStart w:id="5495" w:name="_Toc11247584"/>
      <w:bookmarkStart w:id="5496" w:name="_Toc27044723"/>
      <w:bookmarkStart w:id="5497" w:name="_Toc36033765"/>
      <w:bookmarkStart w:id="5498" w:name="_Toc45131911"/>
      <w:bookmarkStart w:id="5499" w:name="_Toc49776196"/>
      <w:bookmarkStart w:id="5500" w:name="_Toc51747116"/>
      <w:bookmarkStart w:id="5501" w:name="_Toc66360680"/>
      <w:bookmarkStart w:id="5502" w:name="_Toc68105185"/>
      <w:bookmarkStart w:id="5503" w:name="_Toc74755815"/>
      <w:bookmarkStart w:id="5504" w:name="_Toc105674690"/>
      <w:bookmarkStart w:id="5505" w:name="_Toc130502742"/>
      <w:bookmarkStart w:id="5506" w:name="_Toc153625529"/>
      <w:r w:rsidRPr="000A0A5F">
        <w:t>5.8.2.2.3.2</w:t>
      </w:r>
      <w:r w:rsidRPr="000A0A5F">
        <w:tab/>
        <w:t>Resource definition</w:t>
      </w:r>
      <w:bookmarkEnd w:id="5495"/>
      <w:bookmarkEnd w:id="5496"/>
      <w:bookmarkEnd w:id="5497"/>
      <w:bookmarkEnd w:id="5498"/>
      <w:bookmarkEnd w:id="5499"/>
      <w:bookmarkEnd w:id="5500"/>
      <w:bookmarkEnd w:id="5501"/>
      <w:bookmarkEnd w:id="5502"/>
      <w:bookmarkEnd w:id="5503"/>
      <w:bookmarkEnd w:id="5504"/>
      <w:bookmarkEnd w:id="5505"/>
      <w:bookmarkEnd w:id="5506"/>
    </w:p>
    <w:p w:rsidR="00CB0DD7" w:rsidRPr="000A0A5F" w:rsidRDefault="00CB0DD7">
      <w:r w:rsidRPr="000A0A5F">
        <w:t xml:space="preserve">Resource URI: </w:t>
      </w:r>
      <w:r w:rsidRPr="000A0A5F">
        <w:rPr>
          <w:b/>
        </w:rPr>
        <w:t>{apiRoot}/3gpp-group-message-delivery-mb2/v1/{scsAsId}/tmgi-allocation/{tmgi}</w:t>
      </w:r>
    </w:p>
    <w:p w:rsidR="00CB0DD7" w:rsidRPr="000A0A5F" w:rsidRDefault="00CB0DD7">
      <w:pPr>
        <w:rPr>
          <w:rFonts w:ascii="Arial" w:hAnsi="Arial" w:cs="Arial"/>
        </w:rPr>
      </w:pPr>
      <w:r w:rsidRPr="000A0A5F">
        <w:t>This resource shall support the resource URI variables defined in table 5.8.2.2.3.2-1</w:t>
      </w:r>
      <w:r w:rsidRPr="000A0A5F">
        <w:rPr>
          <w:rFonts w:ascii="Arial" w:hAnsi="Arial" w:cs="Arial"/>
        </w:rPr>
        <w:t>.</w:t>
      </w:r>
    </w:p>
    <w:p w:rsidR="00CB0DD7" w:rsidRPr="000A0A5F" w:rsidRDefault="00CB0DD7">
      <w:pPr>
        <w:pStyle w:val="TH"/>
        <w:rPr>
          <w:rFonts w:cs="Arial"/>
        </w:rPr>
      </w:pPr>
      <w:r w:rsidRPr="000A0A5F">
        <w:t>Table 5.8.2.2.3.2-1: Resource URI variables for resource "Individual TMGI Allocation"</w:t>
      </w:r>
    </w:p>
    <w:tbl>
      <w:tblPr>
        <w:tblW w:w="494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970"/>
        <w:gridCol w:w="1171"/>
        <w:gridCol w:w="6519"/>
      </w:tblGrid>
      <w:tr w:rsidR="00CB0DD7" w:rsidRPr="000A0A5F" w:rsidTr="00FF0AF8">
        <w:trPr>
          <w:jc w:val="center"/>
        </w:trPr>
        <w:tc>
          <w:tcPr>
            <w:tcW w:w="1020" w:type="pct"/>
            <w:shd w:val="clear" w:color="000000" w:fill="C0C0C0"/>
          </w:tcPr>
          <w:p w:rsidR="00CB0DD7" w:rsidRPr="000A0A5F" w:rsidRDefault="00CB0DD7">
            <w:pPr>
              <w:pStyle w:val="TAH"/>
            </w:pPr>
            <w:r w:rsidRPr="000A0A5F">
              <w:t>Name</w:t>
            </w:r>
          </w:p>
        </w:tc>
        <w:tc>
          <w:tcPr>
            <w:tcW w:w="606" w:type="pct"/>
            <w:shd w:val="clear" w:color="000000" w:fill="C0C0C0"/>
          </w:tcPr>
          <w:p w:rsidR="00CB0DD7" w:rsidRPr="000A0A5F" w:rsidRDefault="00CB0DD7">
            <w:pPr>
              <w:pStyle w:val="TAH"/>
            </w:pPr>
            <w:r w:rsidRPr="000A0A5F">
              <w:t>Data type</w:t>
            </w:r>
          </w:p>
        </w:tc>
        <w:tc>
          <w:tcPr>
            <w:tcW w:w="3375" w:type="pct"/>
            <w:shd w:val="clear" w:color="000000" w:fill="C0C0C0"/>
            <w:vAlign w:val="center"/>
          </w:tcPr>
          <w:p w:rsidR="00CB0DD7" w:rsidRPr="000A0A5F" w:rsidRDefault="00CB0DD7">
            <w:pPr>
              <w:pStyle w:val="TAH"/>
            </w:pPr>
            <w:r w:rsidRPr="000A0A5F">
              <w:t>Definition</w:t>
            </w:r>
          </w:p>
        </w:tc>
      </w:tr>
      <w:tr w:rsidR="00CB0DD7" w:rsidRPr="000A0A5F" w:rsidTr="00FF0AF8">
        <w:trPr>
          <w:jc w:val="center"/>
        </w:trPr>
        <w:tc>
          <w:tcPr>
            <w:tcW w:w="1020" w:type="pct"/>
            <w:shd w:val="clear" w:color="auto" w:fill="auto"/>
          </w:tcPr>
          <w:p w:rsidR="00CB0DD7" w:rsidRPr="000A0A5F" w:rsidRDefault="00CB0DD7">
            <w:pPr>
              <w:pStyle w:val="TAL"/>
            </w:pPr>
            <w:r w:rsidRPr="000A0A5F">
              <w:t>apiRoot</w:t>
            </w:r>
          </w:p>
        </w:tc>
        <w:tc>
          <w:tcPr>
            <w:tcW w:w="606" w:type="pct"/>
          </w:tcPr>
          <w:p w:rsidR="00CB0DD7" w:rsidRPr="000A0A5F" w:rsidRDefault="00CB0DD7">
            <w:pPr>
              <w:pStyle w:val="TAL"/>
            </w:pPr>
            <w:r w:rsidRPr="000A0A5F">
              <w:t>string</w:t>
            </w:r>
          </w:p>
        </w:tc>
        <w:tc>
          <w:tcPr>
            <w:tcW w:w="3375" w:type="pct"/>
            <w:shd w:val="clear" w:color="auto" w:fill="auto"/>
            <w:vAlign w:val="center"/>
          </w:tcPr>
          <w:p w:rsidR="00CB0DD7" w:rsidRPr="000A0A5F" w:rsidRDefault="00CB0DD7">
            <w:pPr>
              <w:pStyle w:val="TAL"/>
            </w:pPr>
            <w:r w:rsidRPr="000A0A5F">
              <w:t>See clause</w:t>
            </w:r>
            <w:r w:rsidRPr="000A0A5F">
              <w:rPr>
                <w:lang w:val="en-US" w:eastAsia="zh-CN"/>
              </w:rPr>
              <w:t> </w:t>
            </w:r>
            <w:r w:rsidRPr="000A0A5F">
              <w:t>5.2.4.</w:t>
            </w:r>
          </w:p>
        </w:tc>
      </w:tr>
      <w:tr w:rsidR="00CB0DD7" w:rsidRPr="000A0A5F" w:rsidTr="00FF0AF8">
        <w:trPr>
          <w:jc w:val="center"/>
        </w:trPr>
        <w:tc>
          <w:tcPr>
            <w:tcW w:w="1020" w:type="pct"/>
            <w:shd w:val="clear" w:color="auto" w:fill="auto"/>
          </w:tcPr>
          <w:p w:rsidR="00CB0DD7" w:rsidRPr="000A0A5F" w:rsidRDefault="00CB0DD7">
            <w:pPr>
              <w:pStyle w:val="TAL"/>
            </w:pPr>
            <w:r w:rsidRPr="000A0A5F">
              <w:t>scsAsId</w:t>
            </w:r>
          </w:p>
        </w:tc>
        <w:tc>
          <w:tcPr>
            <w:tcW w:w="606" w:type="pct"/>
          </w:tcPr>
          <w:p w:rsidR="00CB0DD7" w:rsidRPr="000A0A5F" w:rsidRDefault="00CB0DD7">
            <w:pPr>
              <w:pStyle w:val="TAL"/>
            </w:pPr>
            <w:r w:rsidRPr="000A0A5F">
              <w:rPr>
                <w:rFonts w:hint="eastAsia"/>
                <w:lang w:eastAsia="zh-CN"/>
              </w:rPr>
              <w:t>s</w:t>
            </w:r>
            <w:r w:rsidRPr="000A0A5F">
              <w:rPr>
                <w:lang w:eastAsia="zh-CN"/>
              </w:rPr>
              <w:t>tring</w:t>
            </w:r>
          </w:p>
        </w:tc>
        <w:tc>
          <w:tcPr>
            <w:tcW w:w="3375" w:type="pct"/>
            <w:shd w:val="clear" w:color="auto" w:fill="auto"/>
            <w:vAlign w:val="center"/>
          </w:tcPr>
          <w:p w:rsidR="00CB0DD7" w:rsidRPr="000A0A5F" w:rsidRDefault="00CB0DD7">
            <w:pPr>
              <w:pStyle w:val="TAL"/>
            </w:pPr>
            <w:r w:rsidRPr="000A0A5F">
              <w:t>Identifier of the SCS/AS.</w:t>
            </w:r>
          </w:p>
        </w:tc>
      </w:tr>
      <w:tr w:rsidR="00CB0DD7" w:rsidRPr="000A0A5F" w:rsidTr="00FF0AF8">
        <w:trPr>
          <w:jc w:val="center"/>
        </w:trPr>
        <w:tc>
          <w:tcPr>
            <w:tcW w:w="1020" w:type="pct"/>
            <w:shd w:val="clear" w:color="auto" w:fill="auto"/>
          </w:tcPr>
          <w:p w:rsidR="00CB0DD7" w:rsidRPr="000A0A5F" w:rsidRDefault="00CB0DD7">
            <w:pPr>
              <w:pStyle w:val="TAL"/>
            </w:pPr>
            <w:r w:rsidRPr="000A0A5F">
              <w:t>Tmgi</w:t>
            </w:r>
          </w:p>
        </w:tc>
        <w:tc>
          <w:tcPr>
            <w:tcW w:w="606" w:type="pct"/>
          </w:tcPr>
          <w:p w:rsidR="00CB0DD7" w:rsidRPr="000A0A5F" w:rsidRDefault="00CB0DD7">
            <w:pPr>
              <w:pStyle w:val="TAL"/>
            </w:pPr>
            <w:r w:rsidRPr="000A0A5F">
              <w:t>string</w:t>
            </w:r>
          </w:p>
        </w:tc>
        <w:tc>
          <w:tcPr>
            <w:tcW w:w="3375" w:type="pct"/>
            <w:shd w:val="clear" w:color="auto" w:fill="auto"/>
            <w:vAlign w:val="center"/>
          </w:tcPr>
          <w:p w:rsidR="00CB0DD7" w:rsidRPr="000A0A5F" w:rsidRDefault="00CB0DD7">
            <w:pPr>
              <w:pStyle w:val="TAL"/>
            </w:pPr>
            <w:r w:rsidRPr="000A0A5F">
              <w:t>TMGI.</w:t>
            </w:r>
          </w:p>
        </w:tc>
      </w:tr>
    </w:tbl>
    <w:p w:rsidR="00CB0DD7" w:rsidRPr="000A0A5F" w:rsidRDefault="00CB0DD7"/>
    <w:p w:rsidR="00CB0DD7" w:rsidRPr="000A0A5F" w:rsidRDefault="00CB0DD7">
      <w:pPr>
        <w:pStyle w:val="Heading6"/>
      </w:pPr>
      <w:bookmarkStart w:id="5507" w:name="_Toc11247585"/>
      <w:bookmarkStart w:id="5508" w:name="_Toc27044724"/>
      <w:bookmarkStart w:id="5509" w:name="_Toc36033766"/>
      <w:bookmarkStart w:id="5510" w:name="_Toc45131912"/>
      <w:bookmarkStart w:id="5511" w:name="_Toc49776197"/>
      <w:bookmarkStart w:id="5512" w:name="_Toc51747117"/>
      <w:bookmarkStart w:id="5513" w:name="_Toc66360681"/>
      <w:bookmarkStart w:id="5514" w:name="_Toc68105186"/>
      <w:bookmarkStart w:id="5515" w:name="_Toc74755816"/>
      <w:bookmarkStart w:id="5516" w:name="_Toc105674691"/>
      <w:bookmarkStart w:id="5517" w:name="_Toc130502743"/>
      <w:bookmarkStart w:id="5518" w:name="_Toc153625530"/>
      <w:r w:rsidRPr="000A0A5F">
        <w:t>5.8.2.2.3.3</w:t>
      </w:r>
      <w:r w:rsidRPr="000A0A5F">
        <w:tab/>
        <w:t>Resource methods</w:t>
      </w:r>
      <w:bookmarkEnd w:id="5507"/>
      <w:bookmarkEnd w:id="5508"/>
      <w:bookmarkEnd w:id="5509"/>
      <w:bookmarkEnd w:id="5510"/>
      <w:bookmarkEnd w:id="5511"/>
      <w:bookmarkEnd w:id="5512"/>
      <w:bookmarkEnd w:id="5513"/>
      <w:bookmarkEnd w:id="5514"/>
      <w:bookmarkEnd w:id="5515"/>
      <w:bookmarkEnd w:id="5516"/>
      <w:bookmarkEnd w:id="5517"/>
      <w:bookmarkEnd w:id="5518"/>
    </w:p>
    <w:p w:rsidR="00CB0DD7" w:rsidRPr="000A0A5F" w:rsidRDefault="00CB0DD7">
      <w:pPr>
        <w:pStyle w:val="Heading7"/>
      </w:pPr>
      <w:bookmarkStart w:id="5519" w:name="_Toc11247586"/>
      <w:bookmarkStart w:id="5520" w:name="_Toc27044725"/>
      <w:bookmarkStart w:id="5521" w:name="_Toc36033767"/>
      <w:bookmarkStart w:id="5522" w:name="_Toc45131913"/>
      <w:bookmarkStart w:id="5523" w:name="_Toc49776198"/>
      <w:bookmarkStart w:id="5524" w:name="_Toc51747118"/>
      <w:bookmarkStart w:id="5525" w:name="_Toc66360682"/>
      <w:bookmarkStart w:id="5526" w:name="_Toc68105187"/>
      <w:bookmarkStart w:id="5527" w:name="_Toc74755817"/>
      <w:bookmarkStart w:id="5528" w:name="_Toc105674692"/>
      <w:bookmarkStart w:id="5529" w:name="_Toc130502744"/>
      <w:bookmarkStart w:id="5530" w:name="_Toc153625531"/>
      <w:r w:rsidRPr="000A0A5F">
        <w:t>5.8.2.2.3.3.1</w:t>
      </w:r>
      <w:r w:rsidRPr="000A0A5F">
        <w:tab/>
        <w:t>GET</w:t>
      </w:r>
      <w:bookmarkEnd w:id="5519"/>
      <w:bookmarkEnd w:id="5520"/>
      <w:bookmarkEnd w:id="5521"/>
      <w:bookmarkEnd w:id="5522"/>
      <w:bookmarkEnd w:id="5523"/>
      <w:bookmarkEnd w:id="5524"/>
      <w:bookmarkEnd w:id="5525"/>
      <w:bookmarkEnd w:id="5526"/>
      <w:bookmarkEnd w:id="5527"/>
      <w:bookmarkEnd w:id="5528"/>
      <w:bookmarkEnd w:id="5529"/>
      <w:bookmarkEnd w:id="5530"/>
    </w:p>
    <w:p w:rsidR="00CB0DD7" w:rsidRPr="000A0A5F" w:rsidRDefault="00CB0DD7">
      <w:pPr>
        <w:rPr>
          <w:noProof/>
          <w:lang w:eastAsia="zh-CN"/>
        </w:rPr>
      </w:pPr>
      <w:r w:rsidRPr="000A0A5F">
        <w:rPr>
          <w:noProof/>
          <w:lang w:eastAsia="zh-CN"/>
        </w:rPr>
        <w:t xml:space="preserve">The GET method reads a TMGI Allocation resource for a given SCS/AS. It is initiated by the SCS/AS and answered by the SCEF. </w:t>
      </w:r>
    </w:p>
    <w:p w:rsidR="00CB0DD7" w:rsidRPr="000A0A5F" w:rsidRDefault="00CB0DD7">
      <w:pPr>
        <w:rPr>
          <w:rFonts w:hint="eastAsia"/>
          <w:lang w:eastAsia="zh-CN"/>
        </w:rPr>
      </w:pPr>
      <w:r w:rsidRPr="000A0A5F">
        <w:t>This method shall support request and response data structures, and response codes, as specified in the table 5.8.2.2.3.3.1-1.</w:t>
      </w:r>
    </w:p>
    <w:p w:rsidR="00CB0DD7" w:rsidRPr="000A0A5F" w:rsidRDefault="00CB0DD7">
      <w:pPr>
        <w:pStyle w:val="TH"/>
        <w:rPr>
          <w:rFonts w:hint="eastAsia"/>
          <w:lang w:eastAsia="zh-CN"/>
        </w:rPr>
      </w:pPr>
      <w:r w:rsidRPr="000A0A5F">
        <w:t>Table 5.</w:t>
      </w:r>
      <w:r w:rsidRPr="000A0A5F">
        <w:rPr>
          <w:lang w:eastAsia="zh-CN"/>
        </w:rPr>
        <w:t>8</w:t>
      </w:r>
      <w:r w:rsidRPr="000A0A5F">
        <w:t>.</w:t>
      </w:r>
      <w:r w:rsidRPr="000A0A5F">
        <w:rPr>
          <w:lang w:eastAsia="zh-CN"/>
        </w:rPr>
        <w:t>2.</w:t>
      </w:r>
      <w:r w:rsidRPr="000A0A5F">
        <w:t>2.3.3.</w:t>
      </w:r>
      <w:r w:rsidRPr="000A0A5F">
        <w:rPr>
          <w:lang w:eastAsia="zh-CN"/>
        </w:rPr>
        <w:t>1</w:t>
      </w:r>
      <w:r w:rsidRPr="000A0A5F">
        <w:rPr>
          <w:rFonts w:hint="eastAsia"/>
          <w:lang w:eastAsia="zh-CN"/>
        </w:rPr>
        <w:t>-1</w:t>
      </w:r>
      <w:r w:rsidRPr="000A0A5F">
        <w:t>: Data structures supported by the GET request/response by the resource</w:t>
      </w:r>
    </w:p>
    <w:tbl>
      <w:tblPr>
        <w:tblW w:w="4999" w:type="pct"/>
        <w:tblInd w:w="1" w:type="dxa"/>
        <w:tblBorders>
          <w:top w:val="single" w:sz="6" w:space="0" w:color="000000"/>
          <w:left w:val="single" w:sz="6" w:space="0" w:color="000000"/>
          <w:bottom w:val="single" w:sz="6" w:space="0" w:color="000000"/>
          <w:right w:val="single" w:sz="6" w:space="0" w:color="000000"/>
          <w:insideH w:val="single" w:sz="6" w:space="0" w:color="auto"/>
          <w:insideV w:val="single" w:sz="6" w:space="0" w:color="000000"/>
        </w:tblBorders>
        <w:tblLayout w:type="fixed"/>
        <w:tblCellMar>
          <w:top w:w="45" w:type="dxa"/>
          <w:left w:w="45" w:type="dxa"/>
          <w:bottom w:w="45" w:type="dxa"/>
          <w:right w:w="45" w:type="dxa"/>
        </w:tblCellMar>
        <w:tblLook w:val="0000" w:firstRow="0" w:lastRow="0" w:firstColumn="0" w:lastColumn="0" w:noHBand="0" w:noVBand="0"/>
      </w:tblPr>
      <w:tblGrid>
        <w:gridCol w:w="1033"/>
        <w:gridCol w:w="2127"/>
        <w:gridCol w:w="1053"/>
        <w:gridCol w:w="973"/>
        <w:gridCol w:w="4543"/>
        <w:tblGridChange w:id="5531">
          <w:tblGrid>
            <w:gridCol w:w="1033"/>
            <w:gridCol w:w="2127"/>
            <w:gridCol w:w="1053"/>
            <w:gridCol w:w="973"/>
            <w:gridCol w:w="4543"/>
          </w:tblGrid>
        </w:tblGridChange>
      </w:tblGrid>
      <w:tr w:rsidR="00CB0DD7" w:rsidRPr="000A0A5F" w:rsidTr="00FF0AF8">
        <w:tc>
          <w:tcPr>
            <w:tcW w:w="531" w:type="pct"/>
            <w:vMerge w:val="restart"/>
            <w:shd w:val="clear" w:color="auto" w:fill="BFBFBF"/>
            <w:vAlign w:val="center"/>
          </w:tcPr>
          <w:p w:rsidR="00CB0DD7" w:rsidRPr="000A0A5F" w:rsidRDefault="00CB0DD7">
            <w:pPr>
              <w:pStyle w:val="TAH"/>
            </w:pPr>
            <w:r w:rsidRPr="000A0A5F">
              <w:t>Request body</w:t>
            </w:r>
          </w:p>
        </w:tc>
        <w:tc>
          <w:tcPr>
            <w:tcW w:w="1093" w:type="pct"/>
            <w:shd w:val="clear" w:color="auto" w:fill="CCCCCC"/>
          </w:tcPr>
          <w:p w:rsidR="00CB0DD7" w:rsidRPr="000A0A5F" w:rsidRDefault="00CB0DD7">
            <w:pPr>
              <w:pStyle w:val="TAH"/>
            </w:pPr>
            <w:r w:rsidRPr="000A0A5F">
              <w:t>Data type</w:t>
            </w:r>
          </w:p>
        </w:tc>
        <w:tc>
          <w:tcPr>
            <w:tcW w:w="541" w:type="pct"/>
            <w:shd w:val="clear" w:color="auto" w:fill="CCCCCC"/>
          </w:tcPr>
          <w:p w:rsidR="00CB0DD7" w:rsidRPr="000A0A5F" w:rsidRDefault="00CB0DD7">
            <w:pPr>
              <w:pStyle w:val="TAH"/>
            </w:pPr>
            <w:r w:rsidRPr="000A0A5F">
              <w:t>Cardinality</w:t>
            </w:r>
          </w:p>
        </w:tc>
        <w:tc>
          <w:tcPr>
            <w:tcW w:w="2835" w:type="pct"/>
            <w:gridSpan w:val="2"/>
            <w:shd w:val="clear" w:color="auto" w:fill="CCCCCC"/>
          </w:tcPr>
          <w:p w:rsidR="00CB0DD7" w:rsidRPr="000A0A5F" w:rsidRDefault="00CB0DD7">
            <w:pPr>
              <w:pStyle w:val="TAH"/>
            </w:pPr>
            <w:r w:rsidRPr="000A0A5F">
              <w:t>Remarks</w:t>
            </w:r>
          </w:p>
        </w:tc>
      </w:tr>
      <w:tr w:rsidR="00CB0DD7" w:rsidRPr="000A0A5F" w:rsidTr="00FF0AF8">
        <w:tc>
          <w:tcPr>
            <w:tcW w:w="531"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rPr>
                <w:rFonts w:hint="eastAsia"/>
                <w:lang w:eastAsia="zh-CN"/>
              </w:rPr>
              <w:t>none</w:t>
            </w:r>
          </w:p>
        </w:tc>
        <w:tc>
          <w:tcPr>
            <w:tcW w:w="541" w:type="pct"/>
          </w:tcPr>
          <w:p w:rsidR="00CB0DD7" w:rsidRPr="000A0A5F" w:rsidRDefault="00CB0DD7">
            <w:pPr>
              <w:pStyle w:val="TAL"/>
            </w:pPr>
          </w:p>
        </w:tc>
        <w:tc>
          <w:tcPr>
            <w:tcW w:w="2835" w:type="pct"/>
            <w:gridSpan w:val="2"/>
          </w:tcPr>
          <w:p w:rsidR="00CB0DD7" w:rsidRPr="000A0A5F" w:rsidRDefault="00CB0DD7">
            <w:pPr>
              <w:pStyle w:val="TAL"/>
            </w:pPr>
          </w:p>
        </w:tc>
      </w:tr>
      <w:tr w:rsidR="00CB0DD7" w:rsidRPr="000A0A5F" w:rsidTr="00FF0AF8">
        <w:tc>
          <w:tcPr>
            <w:tcW w:w="531" w:type="pct"/>
            <w:vMerge w:val="restart"/>
            <w:shd w:val="clear" w:color="auto" w:fill="BFBFBF"/>
            <w:vAlign w:val="center"/>
          </w:tcPr>
          <w:p w:rsidR="00CB0DD7" w:rsidRPr="000A0A5F" w:rsidRDefault="00CB0DD7">
            <w:pPr>
              <w:pStyle w:val="TAH"/>
            </w:pPr>
            <w:r w:rsidRPr="000A0A5F">
              <w:t>Response body</w:t>
            </w:r>
          </w:p>
        </w:tc>
        <w:tc>
          <w:tcPr>
            <w:tcW w:w="1093" w:type="pct"/>
            <w:shd w:val="clear" w:color="auto" w:fill="BFBFBF"/>
          </w:tcPr>
          <w:p w:rsidR="00CB0DD7" w:rsidRPr="000A0A5F" w:rsidRDefault="00CB0DD7">
            <w:pPr>
              <w:pStyle w:val="TAH"/>
            </w:pPr>
          </w:p>
          <w:p w:rsidR="00CB0DD7" w:rsidRPr="000A0A5F" w:rsidRDefault="00CB0DD7">
            <w:pPr>
              <w:pStyle w:val="TAH"/>
            </w:pPr>
            <w:r w:rsidRPr="000A0A5F">
              <w:t>Data type</w:t>
            </w:r>
          </w:p>
        </w:tc>
        <w:tc>
          <w:tcPr>
            <w:tcW w:w="541" w:type="pct"/>
            <w:shd w:val="clear" w:color="auto" w:fill="BFBFBF"/>
          </w:tcPr>
          <w:p w:rsidR="00CB0DD7" w:rsidRPr="000A0A5F" w:rsidRDefault="00CB0DD7">
            <w:pPr>
              <w:pStyle w:val="TAH"/>
            </w:pPr>
          </w:p>
          <w:p w:rsidR="00CB0DD7" w:rsidRPr="000A0A5F" w:rsidRDefault="00CB0DD7">
            <w:pPr>
              <w:pStyle w:val="TAH"/>
            </w:pPr>
            <w:r w:rsidRPr="000A0A5F">
              <w:t>Cardinality</w:t>
            </w:r>
          </w:p>
        </w:tc>
        <w:tc>
          <w:tcPr>
            <w:tcW w:w="500" w:type="pct"/>
            <w:shd w:val="clear" w:color="auto" w:fill="BFBFBF"/>
          </w:tcPr>
          <w:p w:rsidR="00CB0DD7" w:rsidRPr="000A0A5F" w:rsidRDefault="00CB0DD7">
            <w:pPr>
              <w:pStyle w:val="TAH"/>
            </w:pPr>
            <w:r w:rsidRPr="000A0A5F">
              <w:t>Response</w:t>
            </w:r>
          </w:p>
          <w:p w:rsidR="00CB0DD7" w:rsidRPr="000A0A5F" w:rsidRDefault="00CB0DD7">
            <w:pPr>
              <w:pStyle w:val="TAH"/>
            </w:pPr>
            <w:r w:rsidRPr="000A0A5F">
              <w:t>codes</w:t>
            </w:r>
          </w:p>
        </w:tc>
        <w:tc>
          <w:tcPr>
            <w:tcW w:w="2335" w:type="pct"/>
            <w:shd w:val="clear" w:color="auto" w:fill="BFBFBF"/>
          </w:tcPr>
          <w:p w:rsidR="00CB0DD7" w:rsidRPr="000A0A5F" w:rsidRDefault="00CB0DD7">
            <w:pPr>
              <w:pStyle w:val="TAH"/>
            </w:pPr>
          </w:p>
          <w:p w:rsidR="00CB0DD7" w:rsidRPr="000A0A5F" w:rsidRDefault="00CB0DD7">
            <w:pPr>
              <w:pStyle w:val="TAH"/>
            </w:pPr>
            <w:r w:rsidRPr="000A0A5F">
              <w:t>Remarks</w:t>
            </w:r>
          </w:p>
        </w:tc>
      </w:tr>
      <w:tr w:rsidR="00CB0DD7" w:rsidRPr="000A0A5F" w:rsidTr="00FF0AF8">
        <w:tc>
          <w:tcPr>
            <w:tcW w:w="531"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rPr>
                <w:rFonts w:hint="eastAsia"/>
                <w:lang w:eastAsia="zh-CN"/>
              </w:rPr>
              <w:t>TMGIAllocation</w:t>
            </w:r>
          </w:p>
        </w:tc>
        <w:tc>
          <w:tcPr>
            <w:tcW w:w="541" w:type="pct"/>
          </w:tcPr>
          <w:p w:rsidR="00CB0DD7" w:rsidRPr="000A0A5F" w:rsidRDefault="00CB0DD7">
            <w:pPr>
              <w:pStyle w:val="TAL"/>
              <w:rPr>
                <w:rFonts w:hint="eastAsia"/>
                <w:lang w:eastAsia="zh-CN"/>
              </w:rPr>
            </w:pPr>
            <w:r w:rsidRPr="000A0A5F">
              <w:rPr>
                <w:lang w:eastAsia="zh-CN"/>
              </w:rPr>
              <w:t>1</w:t>
            </w:r>
          </w:p>
        </w:tc>
        <w:tc>
          <w:tcPr>
            <w:tcW w:w="500" w:type="pct"/>
          </w:tcPr>
          <w:p w:rsidR="00CB0DD7" w:rsidRPr="000A0A5F" w:rsidRDefault="00CB0DD7">
            <w:pPr>
              <w:pStyle w:val="TAL"/>
            </w:pPr>
            <w:r w:rsidRPr="000A0A5F">
              <w:t>200 OK</w:t>
            </w:r>
          </w:p>
        </w:tc>
        <w:tc>
          <w:tcPr>
            <w:tcW w:w="2335" w:type="pct"/>
          </w:tcPr>
          <w:p w:rsidR="00CB0DD7" w:rsidRPr="000A0A5F" w:rsidRDefault="00CB0DD7">
            <w:pPr>
              <w:pStyle w:val="TAL"/>
              <w:rPr>
                <w:rFonts w:hint="eastAsia"/>
                <w:lang w:eastAsia="zh-CN"/>
              </w:rPr>
            </w:pPr>
            <w:r w:rsidRPr="000A0A5F">
              <w:rPr>
                <w:lang w:eastAsia="zh-CN"/>
              </w:rPr>
              <w:t>A</w:t>
            </w:r>
            <w:r w:rsidRPr="000A0A5F">
              <w:rPr>
                <w:rFonts w:hint="eastAsia"/>
                <w:lang w:eastAsia="zh-CN"/>
              </w:rPr>
              <w:t xml:space="preserve"> TMGI allocation for the SCS/AS in the </w:t>
            </w:r>
            <w:r w:rsidRPr="000A0A5F">
              <w:rPr>
                <w:lang w:eastAsia="zh-CN"/>
              </w:rPr>
              <w:t>request</w:t>
            </w:r>
            <w:r w:rsidRPr="000A0A5F">
              <w:rPr>
                <w:rFonts w:hint="eastAsia"/>
                <w:lang w:eastAsia="zh-CN"/>
              </w:rPr>
              <w:t xml:space="preserve"> </w:t>
            </w:r>
            <w:r w:rsidRPr="000A0A5F">
              <w:rPr>
                <w:lang w:eastAsia="zh-CN"/>
              </w:rPr>
              <w:t>URI is returned.</w:t>
            </w:r>
          </w:p>
        </w:tc>
      </w:tr>
      <w:tr w:rsidR="00CB0DD7" w:rsidRPr="000A0A5F" w:rsidTr="00FF0AF8">
        <w:tc>
          <w:tcPr>
            <w:tcW w:w="531"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t>none</w:t>
            </w:r>
          </w:p>
        </w:tc>
        <w:tc>
          <w:tcPr>
            <w:tcW w:w="541" w:type="pct"/>
          </w:tcPr>
          <w:p w:rsidR="00CB0DD7" w:rsidRPr="000A0A5F" w:rsidRDefault="00CB0DD7">
            <w:pPr>
              <w:pStyle w:val="TAL"/>
              <w:rPr>
                <w:lang w:eastAsia="zh-CN"/>
              </w:rPr>
            </w:pPr>
          </w:p>
        </w:tc>
        <w:tc>
          <w:tcPr>
            <w:tcW w:w="500" w:type="pct"/>
          </w:tcPr>
          <w:p w:rsidR="00CB0DD7" w:rsidRPr="000A0A5F" w:rsidRDefault="00CB0DD7">
            <w:pPr>
              <w:pStyle w:val="TAL"/>
            </w:pPr>
            <w:r w:rsidRPr="000A0A5F">
              <w:t>307 Temporary Redirect</w:t>
            </w:r>
          </w:p>
        </w:tc>
        <w:tc>
          <w:tcPr>
            <w:tcW w:w="2335" w:type="pct"/>
          </w:tcPr>
          <w:p w:rsidR="00CB0DD7" w:rsidRPr="000A0A5F" w:rsidRDefault="00CB0DD7">
            <w:pPr>
              <w:pStyle w:val="TAL"/>
            </w:pPr>
            <w:r w:rsidRPr="000A0A5F">
              <w:t xml:space="preserve">Temporary redirection, during </w:t>
            </w:r>
            <w:r w:rsidRPr="000A0A5F">
              <w:rPr>
                <w:rFonts w:hint="eastAsia"/>
                <w:lang w:eastAsia="zh-CN"/>
              </w:rPr>
              <w:t>resource</w:t>
            </w:r>
            <w:r w:rsidRPr="000A0A5F">
              <w:t xml:space="preserve"> retrieval. The response shall include a Location header field containing an alternative URI of the resource located in an alternative SCEF.</w:t>
            </w:r>
          </w:p>
          <w:p w:rsidR="00CB0DD7" w:rsidRPr="000A0A5F" w:rsidRDefault="00CB0DD7">
            <w:pPr>
              <w:pStyle w:val="TAL"/>
              <w:rPr>
                <w:lang w:eastAsia="zh-CN"/>
              </w:rPr>
            </w:pPr>
            <w:r w:rsidRPr="000A0A5F">
              <w:t>Redirection handling is described in clause 5.2.10.</w:t>
            </w:r>
          </w:p>
        </w:tc>
      </w:tr>
      <w:tr w:rsidR="00CB0DD7" w:rsidRPr="000A0A5F" w:rsidTr="00FF0AF8">
        <w:tc>
          <w:tcPr>
            <w:tcW w:w="531"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t>none</w:t>
            </w:r>
          </w:p>
        </w:tc>
        <w:tc>
          <w:tcPr>
            <w:tcW w:w="541" w:type="pct"/>
          </w:tcPr>
          <w:p w:rsidR="00CB0DD7" w:rsidRPr="000A0A5F" w:rsidRDefault="00CB0DD7">
            <w:pPr>
              <w:pStyle w:val="TAL"/>
              <w:rPr>
                <w:lang w:eastAsia="zh-CN"/>
              </w:rPr>
            </w:pPr>
          </w:p>
        </w:tc>
        <w:tc>
          <w:tcPr>
            <w:tcW w:w="500" w:type="pct"/>
          </w:tcPr>
          <w:p w:rsidR="00CB0DD7" w:rsidRPr="000A0A5F" w:rsidRDefault="00CB0DD7">
            <w:pPr>
              <w:pStyle w:val="TAL"/>
            </w:pPr>
            <w:r w:rsidRPr="000A0A5F">
              <w:t>308 Permanent Redirect</w:t>
            </w:r>
          </w:p>
        </w:tc>
        <w:tc>
          <w:tcPr>
            <w:tcW w:w="2335" w:type="pct"/>
          </w:tcPr>
          <w:p w:rsidR="00CB0DD7" w:rsidRPr="000A0A5F" w:rsidRDefault="00CB0DD7">
            <w:pPr>
              <w:pStyle w:val="TAL"/>
            </w:pPr>
            <w:r w:rsidRPr="000A0A5F">
              <w:t xml:space="preserve">Permanent redirection, during </w:t>
            </w:r>
            <w:r w:rsidRPr="000A0A5F">
              <w:rPr>
                <w:rFonts w:hint="eastAsia"/>
                <w:lang w:eastAsia="zh-CN"/>
              </w:rPr>
              <w:t>resource</w:t>
            </w:r>
            <w:r w:rsidRPr="000A0A5F">
              <w:t xml:space="preserve"> retrieval. The response shall include a Location header field containing an alternative URI of the resource located in an alternative SCEF.</w:t>
            </w:r>
          </w:p>
          <w:p w:rsidR="00CB0DD7" w:rsidRPr="000A0A5F" w:rsidRDefault="00CB0DD7">
            <w:pPr>
              <w:pStyle w:val="TAL"/>
              <w:rPr>
                <w:lang w:eastAsia="zh-CN"/>
              </w:rPr>
            </w:pPr>
            <w:r w:rsidRPr="000A0A5F">
              <w:t>Redirection handling is described in clause 5.2.10.</w:t>
            </w:r>
          </w:p>
        </w:tc>
      </w:tr>
      <w:tr w:rsidR="00CB0DD7" w:rsidRPr="000A0A5F" w:rsidTr="00FF0AF8">
        <w:tc>
          <w:tcPr>
            <w:tcW w:w="5000" w:type="pct"/>
            <w:gridSpan w:val="5"/>
            <w:shd w:val="clear" w:color="auto" w:fill="auto"/>
            <w:vAlign w:val="center"/>
          </w:tcPr>
          <w:p w:rsidR="00CB0DD7" w:rsidRPr="000A0A5F" w:rsidRDefault="00CB0DD7">
            <w:pPr>
              <w:pStyle w:val="TAN"/>
            </w:pPr>
            <w:r w:rsidRPr="000A0A5F">
              <w:t>NOTE:</w:t>
            </w:r>
            <w:r w:rsidRPr="000A0A5F">
              <w:tab/>
              <w:t>The mandatory HTTP error status codes for the GET method listed in table 5.2.6-1 also apply.</w:t>
            </w:r>
          </w:p>
        </w:tc>
      </w:tr>
    </w:tbl>
    <w:p w:rsidR="00CB0DD7" w:rsidRPr="000A0A5F" w:rsidRDefault="00CB0DD7"/>
    <w:p w:rsidR="00CB0DD7" w:rsidRPr="000A0A5F" w:rsidRDefault="00CB0DD7">
      <w:pPr>
        <w:pStyle w:val="TH"/>
      </w:pPr>
      <w:r w:rsidRPr="000A0A5F">
        <w:t>Table 5.</w:t>
      </w:r>
      <w:r w:rsidRPr="000A0A5F">
        <w:rPr>
          <w:lang w:eastAsia="zh-CN"/>
        </w:rPr>
        <w:t>8</w:t>
      </w:r>
      <w:r w:rsidRPr="000A0A5F">
        <w:t>.</w:t>
      </w:r>
      <w:r w:rsidRPr="000A0A5F">
        <w:rPr>
          <w:lang w:eastAsia="zh-CN"/>
        </w:rPr>
        <w:t>2.2</w:t>
      </w:r>
      <w:r w:rsidRPr="000A0A5F">
        <w:t>.3.3.</w:t>
      </w:r>
      <w:r w:rsidRPr="000A0A5F">
        <w:rPr>
          <w:lang w:eastAsia="zh-CN"/>
        </w:rPr>
        <w:t>1</w:t>
      </w:r>
      <w:r w:rsidRPr="000A0A5F">
        <w:t>-2: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CB0DD7">
      <w:pPr>
        <w:pStyle w:val="TH"/>
      </w:pPr>
      <w:r w:rsidRPr="000A0A5F">
        <w:t>Table 5.</w:t>
      </w:r>
      <w:r w:rsidRPr="000A0A5F">
        <w:rPr>
          <w:lang w:eastAsia="zh-CN"/>
        </w:rPr>
        <w:t>8</w:t>
      </w:r>
      <w:r w:rsidRPr="000A0A5F">
        <w:t>.</w:t>
      </w:r>
      <w:r w:rsidRPr="000A0A5F">
        <w:rPr>
          <w:lang w:eastAsia="zh-CN"/>
        </w:rPr>
        <w:t>2.2</w:t>
      </w:r>
      <w:r w:rsidRPr="000A0A5F">
        <w:t>.3.3.</w:t>
      </w:r>
      <w:r w:rsidRPr="000A0A5F">
        <w:rPr>
          <w:lang w:eastAsia="zh-CN"/>
        </w:rPr>
        <w:t>1</w:t>
      </w:r>
      <w:r w:rsidRPr="000A0A5F">
        <w:t>-3: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CB0DD7">
      <w:pPr>
        <w:pStyle w:val="Heading7"/>
      </w:pPr>
      <w:bookmarkStart w:id="5532" w:name="_Toc11247587"/>
      <w:bookmarkStart w:id="5533" w:name="_Toc27044726"/>
      <w:bookmarkStart w:id="5534" w:name="_Toc36033768"/>
      <w:bookmarkStart w:id="5535" w:name="_Toc45131914"/>
      <w:bookmarkStart w:id="5536" w:name="_Toc49776199"/>
      <w:bookmarkStart w:id="5537" w:name="_Toc51747119"/>
      <w:bookmarkStart w:id="5538" w:name="_Toc66360683"/>
      <w:bookmarkStart w:id="5539" w:name="_Toc68105188"/>
      <w:bookmarkStart w:id="5540" w:name="_Toc74755818"/>
      <w:bookmarkStart w:id="5541" w:name="_Toc105674693"/>
      <w:bookmarkStart w:id="5542" w:name="_Toc130502745"/>
      <w:bookmarkStart w:id="5543" w:name="_Toc153625532"/>
      <w:r w:rsidRPr="000A0A5F">
        <w:t>5.8.2.2.3.3.2</w:t>
      </w:r>
      <w:r w:rsidRPr="000A0A5F">
        <w:tab/>
        <w:t>PUT</w:t>
      </w:r>
      <w:bookmarkEnd w:id="5532"/>
      <w:bookmarkEnd w:id="5533"/>
      <w:bookmarkEnd w:id="5534"/>
      <w:bookmarkEnd w:id="5535"/>
      <w:bookmarkEnd w:id="5536"/>
      <w:bookmarkEnd w:id="5537"/>
      <w:bookmarkEnd w:id="5538"/>
      <w:bookmarkEnd w:id="5539"/>
      <w:bookmarkEnd w:id="5540"/>
      <w:bookmarkEnd w:id="5541"/>
      <w:bookmarkEnd w:id="5542"/>
      <w:bookmarkEnd w:id="5543"/>
    </w:p>
    <w:p w:rsidR="00CB0DD7" w:rsidRPr="000A0A5F" w:rsidRDefault="00CB0DD7">
      <w:pPr>
        <w:rPr>
          <w:noProof/>
          <w:lang w:eastAsia="zh-CN"/>
        </w:rPr>
      </w:pPr>
      <w:r w:rsidRPr="000A0A5F">
        <w:rPr>
          <w:noProof/>
          <w:lang w:eastAsia="zh-CN"/>
        </w:rPr>
        <w:t xml:space="preserve">The PUT method replaces a TMGI Allocation resource for a given SCS/AS to renew a TMGI expiration time. It is initiated by the SCS/AS and answered by the SCEF. </w:t>
      </w:r>
    </w:p>
    <w:p w:rsidR="00CB0DD7" w:rsidRPr="000A0A5F" w:rsidRDefault="00CB0DD7">
      <w:pPr>
        <w:rPr>
          <w:rFonts w:hint="eastAsia"/>
          <w:lang w:eastAsia="zh-CN"/>
        </w:rPr>
      </w:pPr>
      <w:r w:rsidRPr="000A0A5F">
        <w:t>This method shall support request and response data structures, and response codes, as specified in the table 5.8.2.2.3.3.2-1.</w:t>
      </w:r>
    </w:p>
    <w:p w:rsidR="00CB0DD7" w:rsidRPr="000A0A5F" w:rsidRDefault="00CB0DD7">
      <w:pPr>
        <w:pStyle w:val="TH"/>
        <w:rPr>
          <w:rFonts w:hint="eastAsia"/>
          <w:lang w:eastAsia="zh-CN"/>
        </w:rPr>
      </w:pPr>
      <w:r w:rsidRPr="000A0A5F">
        <w:t>Table 5.</w:t>
      </w:r>
      <w:r w:rsidRPr="000A0A5F">
        <w:rPr>
          <w:lang w:eastAsia="zh-CN"/>
        </w:rPr>
        <w:t>8</w:t>
      </w:r>
      <w:r w:rsidRPr="000A0A5F">
        <w:t>.</w:t>
      </w:r>
      <w:r w:rsidRPr="000A0A5F">
        <w:rPr>
          <w:lang w:eastAsia="zh-CN"/>
        </w:rPr>
        <w:t>2</w:t>
      </w:r>
      <w:r w:rsidRPr="000A0A5F">
        <w:t>.2.3.3.</w:t>
      </w:r>
      <w:r w:rsidRPr="000A0A5F">
        <w:rPr>
          <w:lang w:eastAsia="zh-CN"/>
        </w:rPr>
        <w:t>2</w:t>
      </w:r>
      <w:r w:rsidRPr="000A0A5F">
        <w:rPr>
          <w:rFonts w:hint="eastAsia"/>
          <w:lang w:eastAsia="zh-CN"/>
        </w:rPr>
        <w:t>-1</w:t>
      </w:r>
      <w:r w:rsidRPr="000A0A5F">
        <w:t>: Data structures supported by the PUT request/response by the resource</w:t>
      </w:r>
    </w:p>
    <w:tbl>
      <w:tblPr>
        <w:tblW w:w="4999" w:type="pct"/>
        <w:tblInd w:w="1" w:type="dxa"/>
        <w:tblBorders>
          <w:top w:val="single" w:sz="6" w:space="0" w:color="000000"/>
          <w:left w:val="single" w:sz="6" w:space="0" w:color="000000"/>
          <w:bottom w:val="single" w:sz="6" w:space="0" w:color="000000"/>
          <w:right w:val="single" w:sz="6" w:space="0" w:color="000000"/>
          <w:insideH w:val="single" w:sz="6" w:space="0" w:color="auto"/>
          <w:insideV w:val="single" w:sz="6" w:space="0" w:color="000000"/>
        </w:tblBorders>
        <w:tblLayout w:type="fixed"/>
        <w:tblCellMar>
          <w:top w:w="45" w:type="dxa"/>
          <w:left w:w="45" w:type="dxa"/>
          <w:bottom w:w="45" w:type="dxa"/>
          <w:right w:w="45" w:type="dxa"/>
        </w:tblCellMar>
        <w:tblLook w:val="0000" w:firstRow="0" w:lastRow="0" w:firstColumn="0" w:lastColumn="0" w:noHBand="0" w:noVBand="0"/>
      </w:tblPr>
      <w:tblGrid>
        <w:gridCol w:w="1033"/>
        <w:gridCol w:w="2127"/>
        <w:gridCol w:w="1053"/>
        <w:gridCol w:w="973"/>
        <w:gridCol w:w="4543"/>
        <w:tblGridChange w:id="5544">
          <w:tblGrid>
            <w:gridCol w:w="1033"/>
            <w:gridCol w:w="2127"/>
            <w:gridCol w:w="1053"/>
            <w:gridCol w:w="973"/>
            <w:gridCol w:w="4543"/>
          </w:tblGrid>
        </w:tblGridChange>
      </w:tblGrid>
      <w:tr w:rsidR="00CB0DD7" w:rsidRPr="000A0A5F" w:rsidTr="00790FC9">
        <w:tc>
          <w:tcPr>
            <w:tcW w:w="531" w:type="pct"/>
            <w:vMerge w:val="restart"/>
            <w:shd w:val="clear" w:color="auto" w:fill="C0C0C0"/>
            <w:vAlign w:val="center"/>
          </w:tcPr>
          <w:p w:rsidR="00CB0DD7" w:rsidRPr="000A0A5F" w:rsidRDefault="00CB0DD7">
            <w:pPr>
              <w:pStyle w:val="TAH"/>
            </w:pPr>
            <w:r w:rsidRPr="000A0A5F">
              <w:t>Request body</w:t>
            </w:r>
          </w:p>
        </w:tc>
        <w:tc>
          <w:tcPr>
            <w:tcW w:w="1093" w:type="pct"/>
            <w:shd w:val="clear" w:color="auto" w:fill="C0C0C0"/>
          </w:tcPr>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r w:rsidRPr="000A0A5F">
              <w:t>Cardinality</w:t>
            </w:r>
          </w:p>
        </w:tc>
        <w:tc>
          <w:tcPr>
            <w:tcW w:w="2835" w:type="pct"/>
            <w:gridSpan w:val="2"/>
            <w:shd w:val="clear" w:color="auto" w:fill="C0C0C0"/>
          </w:tcPr>
          <w:p w:rsidR="00CB0DD7" w:rsidRPr="000A0A5F" w:rsidRDefault="00CB0DD7">
            <w:pPr>
              <w:pStyle w:val="TAH"/>
            </w:pPr>
            <w:r w:rsidRPr="000A0A5F">
              <w:t>Remarks</w:t>
            </w:r>
          </w:p>
        </w:tc>
      </w:tr>
      <w:tr w:rsidR="00CB0DD7" w:rsidRPr="000A0A5F" w:rsidTr="00FF0AF8">
        <w:tc>
          <w:tcPr>
            <w:tcW w:w="531"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rPr>
                <w:rFonts w:hint="eastAsia"/>
                <w:lang w:eastAsia="zh-CN"/>
              </w:rPr>
              <w:t>TMGIAllocation</w:t>
            </w:r>
          </w:p>
        </w:tc>
        <w:tc>
          <w:tcPr>
            <w:tcW w:w="541" w:type="pct"/>
          </w:tcPr>
          <w:p w:rsidR="00CB0DD7" w:rsidRPr="000A0A5F" w:rsidRDefault="00CB0DD7">
            <w:pPr>
              <w:pStyle w:val="TAL"/>
              <w:rPr>
                <w:rFonts w:hint="eastAsia"/>
                <w:lang w:eastAsia="zh-CN"/>
              </w:rPr>
            </w:pPr>
            <w:r w:rsidRPr="000A0A5F">
              <w:rPr>
                <w:rFonts w:hint="eastAsia"/>
                <w:lang w:eastAsia="zh-CN"/>
              </w:rPr>
              <w:t>1</w:t>
            </w:r>
          </w:p>
        </w:tc>
        <w:tc>
          <w:tcPr>
            <w:tcW w:w="2835" w:type="pct"/>
            <w:gridSpan w:val="2"/>
          </w:tcPr>
          <w:p w:rsidR="00CB0DD7" w:rsidRPr="000A0A5F" w:rsidRDefault="00CB0DD7">
            <w:pPr>
              <w:pStyle w:val="TAL"/>
            </w:pPr>
            <w:r w:rsidRPr="000A0A5F">
              <w:t>Parameters to replace a TMGI resource</w:t>
            </w:r>
          </w:p>
        </w:tc>
      </w:tr>
      <w:tr w:rsidR="00CB0DD7" w:rsidRPr="000A0A5F" w:rsidTr="00790FC9">
        <w:tc>
          <w:tcPr>
            <w:tcW w:w="531" w:type="pct"/>
            <w:vMerge w:val="restart"/>
            <w:shd w:val="clear" w:color="auto" w:fill="C0C0C0"/>
            <w:vAlign w:val="center"/>
          </w:tcPr>
          <w:p w:rsidR="00CB0DD7" w:rsidRPr="000A0A5F" w:rsidRDefault="00CB0DD7">
            <w:pPr>
              <w:pStyle w:val="TAH"/>
            </w:pPr>
            <w:r w:rsidRPr="000A0A5F">
              <w:t>Response body</w:t>
            </w:r>
          </w:p>
        </w:tc>
        <w:tc>
          <w:tcPr>
            <w:tcW w:w="1093" w:type="pct"/>
            <w:shd w:val="clear" w:color="auto" w:fill="C0C0C0"/>
          </w:tcPr>
          <w:p w:rsidR="00CB0DD7" w:rsidRPr="000A0A5F" w:rsidRDefault="00CB0DD7">
            <w:pPr>
              <w:pStyle w:val="TAH"/>
            </w:pPr>
          </w:p>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p>
          <w:p w:rsidR="00CB0DD7" w:rsidRPr="000A0A5F" w:rsidRDefault="00CB0DD7">
            <w:pPr>
              <w:pStyle w:val="TAH"/>
            </w:pPr>
            <w:r w:rsidRPr="000A0A5F">
              <w:t>Cardinality</w:t>
            </w:r>
          </w:p>
        </w:tc>
        <w:tc>
          <w:tcPr>
            <w:tcW w:w="500" w:type="pct"/>
            <w:shd w:val="clear" w:color="auto" w:fill="C0C0C0"/>
          </w:tcPr>
          <w:p w:rsidR="00CB0DD7" w:rsidRPr="000A0A5F" w:rsidRDefault="00CB0DD7">
            <w:pPr>
              <w:pStyle w:val="TAH"/>
            </w:pPr>
            <w:r w:rsidRPr="000A0A5F">
              <w:t>Response</w:t>
            </w:r>
          </w:p>
          <w:p w:rsidR="00CB0DD7" w:rsidRPr="000A0A5F" w:rsidRDefault="00CB0DD7">
            <w:pPr>
              <w:pStyle w:val="TAH"/>
            </w:pPr>
            <w:r w:rsidRPr="000A0A5F">
              <w:t>codes</w:t>
            </w:r>
          </w:p>
        </w:tc>
        <w:tc>
          <w:tcPr>
            <w:tcW w:w="2335" w:type="pct"/>
            <w:shd w:val="clear" w:color="auto" w:fill="C0C0C0"/>
          </w:tcPr>
          <w:p w:rsidR="00CB0DD7" w:rsidRPr="000A0A5F" w:rsidRDefault="00CB0DD7">
            <w:pPr>
              <w:pStyle w:val="TAH"/>
            </w:pPr>
          </w:p>
          <w:p w:rsidR="00CB0DD7" w:rsidRPr="000A0A5F" w:rsidRDefault="00CB0DD7">
            <w:pPr>
              <w:pStyle w:val="TAH"/>
            </w:pPr>
            <w:r w:rsidRPr="000A0A5F">
              <w:t>Remarks</w:t>
            </w:r>
          </w:p>
        </w:tc>
      </w:tr>
      <w:tr w:rsidR="00CB0DD7" w:rsidRPr="000A0A5F" w:rsidTr="00FF0AF8">
        <w:tc>
          <w:tcPr>
            <w:tcW w:w="531"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rPr>
                <w:rFonts w:hint="eastAsia"/>
                <w:lang w:eastAsia="zh-CN"/>
              </w:rPr>
              <w:t>TMGIAllocation</w:t>
            </w:r>
          </w:p>
        </w:tc>
        <w:tc>
          <w:tcPr>
            <w:tcW w:w="541" w:type="pct"/>
          </w:tcPr>
          <w:p w:rsidR="00CB0DD7" w:rsidRPr="000A0A5F" w:rsidRDefault="00CB0DD7">
            <w:pPr>
              <w:pStyle w:val="TAL"/>
              <w:rPr>
                <w:rFonts w:hint="eastAsia"/>
                <w:lang w:eastAsia="zh-CN"/>
              </w:rPr>
            </w:pPr>
            <w:r w:rsidRPr="000A0A5F">
              <w:rPr>
                <w:rFonts w:hint="eastAsia"/>
                <w:lang w:eastAsia="zh-CN"/>
              </w:rPr>
              <w:t>1</w:t>
            </w:r>
          </w:p>
        </w:tc>
        <w:tc>
          <w:tcPr>
            <w:tcW w:w="500" w:type="pct"/>
          </w:tcPr>
          <w:p w:rsidR="00CB0DD7" w:rsidRPr="000A0A5F" w:rsidRDefault="00CB0DD7">
            <w:pPr>
              <w:pStyle w:val="TAL"/>
              <w:rPr>
                <w:rFonts w:hint="eastAsia"/>
                <w:lang w:eastAsia="zh-CN"/>
              </w:rPr>
            </w:pPr>
            <w:r w:rsidRPr="000A0A5F">
              <w:rPr>
                <w:rFonts w:hint="eastAsia"/>
                <w:lang w:eastAsia="zh-CN"/>
              </w:rPr>
              <w:t>2</w:t>
            </w:r>
            <w:r w:rsidRPr="000A0A5F">
              <w:rPr>
                <w:lang w:eastAsia="zh-CN"/>
              </w:rPr>
              <w:t>00 OK</w:t>
            </w:r>
          </w:p>
        </w:tc>
        <w:tc>
          <w:tcPr>
            <w:tcW w:w="2335" w:type="pct"/>
          </w:tcPr>
          <w:p w:rsidR="00CB0DD7" w:rsidRPr="000A0A5F" w:rsidRDefault="00CB0DD7">
            <w:pPr>
              <w:pStyle w:val="TAL"/>
              <w:rPr>
                <w:rFonts w:hint="eastAsia"/>
                <w:lang w:eastAsia="zh-CN"/>
              </w:rPr>
            </w:pPr>
            <w:r w:rsidRPr="000A0A5F">
              <w:t>The replace of a TMGI allocation was created successfully.</w:t>
            </w:r>
          </w:p>
        </w:tc>
      </w:tr>
      <w:tr w:rsidR="00B34053" w:rsidRPr="000A0A5F" w:rsidTr="00FF0AF8">
        <w:tc>
          <w:tcPr>
            <w:tcW w:w="531" w:type="pct"/>
            <w:vMerge/>
            <w:shd w:val="clear" w:color="auto" w:fill="BFBFBF"/>
            <w:vAlign w:val="center"/>
          </w:tcPr>
          <w:p w:rsidR="00B34053" w:rsidRPr="000A0A5F" w:rsidRDefault="00B34053">
            <w:pPr>
              <w:pStyle w:val="TAL"/>
              <w:jc w:val="center"/>
            </w:pPr>
          </w:p>
        </w:tc>
        <w:tc>
          <w:tcPr>
            <w:tcW w:w="1093" w:type="pct"/>
            <w:shd w:val="clear" w:color="auto" w:fill="auto"/>
          </w:tcPr>
          <w:p w:rsidR="00B34053" w:rsidRPr="000A0A5F" w:rsidRDefault="00B34053">
            <w:pPr>
              <w:pStyle w:val="TAL"/>
              <w:rPr>
                <w:rFonts w:hint="eastAsia"/>
                <w:lang w:eastAsia="zh-CN"/>
              </w:rPr>
            </w:pPr>
            <w:r w:rsidRPr="000A0A5F">
              <w:rPr>
                <w:lang w:eastAsia="zh-CN"/>
              </w:rPr>
              <w:t>none</w:t>
            </w:r>
          </w:p>
        </w:tc>
        <w:tc>
          <w:tcPr>
            <w:tcW w:w="541" w:type="pct"/>
          </w:tcPr>
          <w:p w:rsidR="00B34053" w:rsidRPr="000A0A5F" w:rsidRDefault="00B34053">
            <w:pPr>
              <w:pStyle w:val="TAL"/>
              <w:rPr>
                <w:rFonts w:hint="eastAsia"/>
                <w:lang w:eastAsia="zh-CN"/>
              </w:rPr>
            </w:pPr>
          </w:p>
        </w:tc>
        <w:tc>
          <w:tcPr>
            <w:tcW w:w="500" w:type="pct"/>
          </w:tcPr>
          <w:p w:rsidR="00B34053" w:rsidRPr="000A0A5F" w:rsidRDefault="00B34053">
            <w:pPr>
              <w:pStyle w:val="TAL"/>
              <w:rPr>
                <w:rFonts w:hint="eastAsia"/>
                <w:lang w:eastAsia="zh-CN"/>
              </w:rPr>
            </w:pPr>
            <w:r w:rsidRPr="000A0A5F">
              <w:rPr>
                <w:lang w:eastAsia="zh-CN"/>
              </w:rPr>
              <w:t>204 No Content</w:t>
            </w:r>
          </w:p>
        </w:tc>
        <w:tc>
          <w:tcPr>
            <w:tcW w:w="2335" w:type="pct"/>
          </w:tcPr>
          <w:p w:rsidR="00B34053" w:rsidRPr="000A0A5F" w:rsidRDefault="00B34053">
            <w:pPr>
              <w:pStyle w:val="TAL"/>
            </w:pPr>
            <w:r w:rsidRPr="000A0A5F">
              <w:t>The TMG</w:t>
            </w:r>
            <w:r w:rsidRPr="000A0A5F">
              <w:rPr>
                <w:rFonts w:hint="eastAsia"/>
                <w:lang w:eastAsia="zh-CN"/>
              </w:rPr>
              <w:t>I</w:t>
            </w:r>
            <w:r w:rsidRPr="000A0A5F">
              <w:t xml:space="preserve"> expiration time renewal is successful, and no content is to be sent in the response message body.</w:t>
            </w:r>
          </w:p>
        </w:tc>
      </w:tr>
      <w:tr w:rsidR="00CB0DD7" w:rsidRPr="000A0A5F" w:rsidTr="00FF0AF8">
        <w:tc>
          <w:tcPr>
            <w:tcW w:w="531"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t>none</w:t>
            </w:r>
          </w:p>
        </w:tc>
        <w:tc>
          <w:tcPr>
            <w:tcW w:w="541" w:type="pct"/>
          </w:tcPr>
          <w:p w:rsidR="00CB0DD7" w:rsidRPr="000A0A5F" w:rsidRDefault="00CB0DD7">
            <w:pPr>
              <w:pStyle w:val="TAL"/>
              <w:rPr>
                <w:rFonts w:hint="eastAsia"/>
                <w:lang w:eastAsia="zh-CN"/>
              </w:rPr>
            </w:pPr>
          </w:p>
        </w:tc>
        <w:tc>
          <w:tcPr>
            <w:tcW w:w="500" w:type="pct"/>
          </w:tcPr>
          <w:p w:rsidR="00CB0DD7" w:rsidRPr="000A0A5F" w:rsidRDefault="00CB0DD7">
            <w:pPr>
              <w:pStyle w:val="TAL"/>
              <w:rPr>
                <w:rFonts w:hint="eastAsia"/>
                <w:lang w:eastAsia="zh-CN"/>
              </w:rPr>
            </w:pPr>
            <w:r w:rsidRPr="000A0A5F">
              <w:t>307 Temporary Redirect</w:t>
            </w:r>
          </w:p>
        </w:tc>
        <w:tc>
          <w:tcPr>
            <w:tcW w:w="2335" w:type="pct"/>
          </w:tcPr>
          <w:p w:rsidR="00CB0DD7" w:rsidRPr="000A0A5F" w:rsidRDefault="00CB0DD7">
            <w:pPr>
              <w:pStyle w:val="TAL"/>
            </w:pPr>
            <w:r w:rsidRPr="000A0A5F">
              <w:t>Temporary redirection, during resource modification. The response shall include a Location header field containing an alternative URI of the resource located in an alternative SCEF.</w:t>
            </w:r>
          </w:p>
          <w:p w:rsidR="00CB0DD7" w:rsidRPr="000A0A5F" w:rsidRDefault="00CB0DD7">
            <w:pPr>
              <w:pStyle w:val="TAL"/>
            </w:pPr>
            <w:r w:rsidRPr="000A0A5F">
              <w:t>Redirection handling is described in clause 5.2.10.</w:t>
            </w:r>
          </w:p>
        </w:tc>
      </w:tr>
      <w:tr w:rsidR="00CB0DD7" w:rsidRPr="000A0A5F" w:rsidTr="00FF0AF8">
        <w:tc>
          <w:tcPr>
            <w:tcW w:w="531"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t>none</w:t>
            </w:r>
          </w:p>
        </w:tc>
        <w:tc>
          <w:tcPr>
            <w:tcW w:w="541" w:type="pct"/>
          </w:tcPr>
          <w:p w:rsidR="00CB0DD7" w:rsidRPr="000A0A5F" w:rsidRDefault="00CB0DD7">
            <w:pPr>
              <w:pStyle w:val="TAL"/>
              <w:rPr>
                <w:rFonts w:hint="eastAsia"/>
                <w:lang w:eastAsia="zh-CN"/>
              </w:rPr>
            </w:pPr>
          </w:p>
        </w:tc>
        <w:tc>
          <w:tcPr>
            <w:tcW w:w="500" w:type="pct"/>
          </w:tcPr>
          <w:p w:rsidR="00CB0DD7" w:rsidRPr="000A0A5F" w:rsidRDefault="00CB0DD7">
            <w:pPr>
              <w:pStyle w:val="TAL"/>
              <w:rPr>
                <w:rFonts w:hint="eastAsia"/>
                <w:lang w:eastAsia="zh-CN"/>
              </w:rPr>
            </w:pPr>
            <w:r w:rsidRPr="000A0A5F">
              <w:t>308 Permanent Redirect</w:t>
            </w:r>
          </w:p>
        </w:tc>
        <w:tc>
          <w:tcPr>
            <w:tcW w:w="2335" w:type="pct"/>
          </w:tcPr>
          <w:p w:rsidR="00CB0DD7" w:rsidRPr="000A0A5F" w:rsidRDefault="00CB0DD7">
            <w:pPr>
              <w:pStyle w:val="TAL"/>
            </w:pPr>
            <w:r w:rsidRPr="000A0A5F">
              <w:t>Permanent redirection, during resource modification. The response shall include a Location header field containing an alternative URI of the resource located in an alternative SCEF.</w:t>
            </w:r>
          </w:p>
          <w:p w:rsidR="00CB0DD7" w:rsidRPr="000A0A5F" w:rsidRDefault="00CB0DD7">
            <w:pPr>
              <w:pStyle w:val="TAL"/>
            </w:pPr>
            <w:r w:rsidRPr="000A0A5F">
              <w:t>Redirection handling is described in clause 5.2.10.</w:t>
            </w:r>
          </w:p>
        </w:tc>
      </w:tr>
      <w:tr w:rsidR="00CB0DD7" w:rsidRPr="000A0A5F" w:rsidTr="00FF0AF8">
        <w:tc>
          <w:tcPr>
            <w:tcW w:w="5000" w:type="pct"/>
            <w:gridSpan w:val="5"/>
            <w:shd w:val="clear" w:color="auto" w:fill="auto"/>
            <w:vAlign w:val="center"/>
          </w:tcPr>
          <w:p w:rsidR="00CB0DD7" w:rsidRPr="000A0A5F" w:rsidRDefault="00CB0DD7">
            <w:pPr>
              <w:pStyle w:val="TAN"/>
            </w:pPr>
            <w:r w:rsidRPr="000A0A5F">
              <w:t>NOTE:</w:t>
            </w:r>
            <w:r w:rsidRPr="000A0A5F">
              <w:tab/>
              <w:t>The mandatory HTTP error status codes for the PUT method listed in table 5.2.6-1 also apply.</w:t>
            </w:r>
          </w:p>
        </w:tc>
      </w:tr>
    </w:tbl>
    <w:p w:rsidR="00CB0DD7" w:rsidRPr="000A0A5F" w:rsidRDefault="00CB0DD7"/>
    <w:p w:rsidR="00CB0DD7" w:rsidRPr="000A0A5F" w:rsidRDefault="00CB0DD7">
      <w:pPr>
        <w:pStyle w:val="TH"/>
      </w:pPr>
      <w:r w:rsidRPr="000A0A5F">
        <w:t>Table 5.</w:t>
      </w:r>
      <w:r w:rsidRPr="000A0A5F">
        <w:rPr>
          <w:lang w:eastAsia="zh-CN"/>
        </w:rPr>
        <w:t>8</w:t>
      </w:r>
      <w:r w:rsidRPr="000A0A5F">
        <w:t>.</w:t>
      </w:r>
      <w:r w:rsidRPr="000A0A5F">
        <w:rPr>
          <w:lang w:eastAsia="zh-CN"/>
        </w:rPr>
        <w:t>2</w:t>
      </w:r>
      <w:r w:rsidRPr="000A0A5F">
        <w:t>.2.3.3.</w:t>
      </w:r>
      <w:r w:rsidRPr="000A0A5F">
        <w:rPr>
          <w:lang w:eastAsia="zh-CN"/>
        </w:rPr>
        <w:t>2</w:t>
      </w:r>
      <w:r w:rsidRPr="000A0A5F">
        <w:t>-2: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CB0DD7">
      <w:pPr>
        <w:pStyle w:val="TH"/>
      </w:pPr>
      <w:r w:rsidRPr="000A0A5F">
        <w:t>Table 5.</w:t>
      </w:r>
      <w:r w:rsidRPr="000A0A5F">
        <w:rPr>
          <w:lang w:eastAsia="zh-CN"/>
        </w:rPr>
        <w:t>8</w:t>
      </w:r>
      <w:r w:rsidRPr="000A0A5F">
        <w:t>.</w:t>
      </w:r>
      <w:r w:rsidRPr="000A0A5F">
        <w:rPr>
          <w:lang w:eastAsia="zh-CN"/>
        </w:rPr>
        <w:t>2</w:t>
      </w:r>
      <w:r w:rsidRPr="000A0A5F">
        <w:t>.2.3.3.</w:t>
      </w:r>
      <w:r w:rsidRPr="000A0A5F">
        <w:rPr>
          <w:lang w:eastAsia="zh-CN"/>
        </w:rPr>
        <w:t>2</w:t>
      </w:r>
      <w:r w:rsidRPr="000A0A5F">
        <w:t>-3: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CB0DD7">
      <w:pPr>
        <w:pStyle w:val="Heading7"/>
      </w:pPr>
      <w:bookmarkStart w:id="5545" w:name="_Toc11247588"/>
      <w:bookmarkStart w:id="5546" w:name="_Toc27044727"/>
      <w:bookmarkStart w:id="5547" w:name="_Toc36033769"/>
      <w:bookmarkStart w:id="5548" w:name="_Toc45131915"/>
      <w:bookmarkStart w:id="5549" w:name="_Toc49776200"/>
      <w:bookmarkStart w:id="5550" w:name="_Toc51747120"/>
      <w:bookmarkStart w:id="5551" w:name="_Toc66360684"/>
      <w:bookmarkStart w:id="5552" w:name="_Toc68105189"/>
      <w:bookmarkStart w:id="5553" w:name="_Toc74755819"/>
      <w:bookmarkStart w:id="5554" w:name="_Toc105674694"/>
      <w:bookmarkStart w:id="5555" w:name="_Toc130502746"/>
      <w:bookmarkStart w:id="5556" w:name="_Toc153625533"/>
      <w:r w:rsidRPr="000A0A5F">
        <w:t>5.8.2.2.3.3.3</w:t>
      </w:r>
      <w:r w:rsidRPr="000A0A5F">
        <w:tab/>
        <w:t>PATCH</w:t>
      </w:r>
      <w:bookmarkEnd w:id="5545"/>
      <w:bookmarkEnd w:id="5546"/>
      <w:bookmarkEnd w:id="5547"/>
      <w:bookmarkEnd w:id="5548"/>
      <w:bookmarkEnd w:id="5549"/>
      <w:bookmarkEnd w:id="5550"/>
      <w:bookmarkEnd w:id="5551"/>
      <w:bookmarkEnd w:id="5552"/>
      <w:bookmarkEnd w:id="5553"/>
      <w:bookmarkEnd w:id="5554"/>
      <w:bookmarkEnd w:id="5555"/>
      <w:bookmarkEnd w:id="5556"/>
    </w:p>
    <w:p w:rsidR="00CB0DD7" w:rsidRPr="000A0A5F" w:rsidRDefault="00CB0DD7">
      <w:pPr>
        <w:rPr>
          <w:noProof/>
          <w:lang w:eastAsia="zh-CN"/>
        </w:rPr>
      </w:pPr>
      <w:r w:rsidRPr="000A0A5F">
        <w:rPr>
          <w:noProof/>
          <w:lang w:eastAsia="zh-CN"/>
        </w:rPr>
        <w:t xml:space="preserve">The PATCH method modifies a TMGI Allocation resource for a given SCS/AS to renew a TMGI expiration time. It is initiated by the SCS/AS and answered by the SCEF. </w:t>
      </w:r>
    </w:p>
    <w:p w:rsidR="00CB0DD7" w:rsidRPr="000A0A5F" w:rsidRDefault="00CB0DD7">
      <w:pPr>
        <w:rPr>
          <w:rFonts w:hint="eastAsia"/>
          <w:lang w:eastAsia="zh-CN"/>
        </w:rPr>
      </w:pPr>
      <w:r w:rsidRPr="000A0A5F">
        <w:t>This method shall support request and response data structures, and response codes, as specified in the table 5.8.2.2.3.3.3-1.</w:t>
      </w:r>
    </w:p>
    <w:p w:rsidR="00CB0DD7" w:rsidRPr="000A0A5F" w:rsidRDefault="00CB0DD7">
      <w:pPr>
        <w:pStyle w:val="TH"/>
        <w:rPr>
          <w:rFonts w:hint="eastAsia"/>
          <w:lang w:eastAsia="zh-CN"/>
        </w:rPr>
      </w:pPr>
      <w:r w:rsidRPr="000A0A5F">
        <w:t>Table 5.</w:t>
      </w:r>
      <w:r w:rsidRPr="000A0A5F">
        <w:rPr>
          <w:lang w:eastAsia="zh-CN"/>
        </w:rPr>
        <w:t>8</w:t>
      </w:r>
      <w:r w:rsidRPr="000A0A5F">
        <w:t>.</w:t>
      </w:r>
      <w:r w:rsidRPr="000A0A5F">
        <w:rPr>
          <w:lang w:eastAsia="zh-CN"/>
        </w:rPr>
        <w:t>2</w:t>
      </w:r>
      <w:r w:rsidRPr="000A0A5F">
        <w:t>.2.3.</w:t>
      </w:r>
      <w:r w:rsidRPr="000A0A5F">
        <w:rPr>
          <w:lang w:eastAsia="zh-CN"/>
        </w:rPr>
        <w:t>3.3</w:t>
      </w:r>
      <w:r w:rsidRPr="000A0A5F">
        <w:rPr>
          <w:rFonts w:hint="eastAsia"/>
          <w:lang w:eastAsia="zh-CN"/>
        </w:rPr>
        <w:t>-1</w:t>
      </w:r>
      <w:r w:rsidRPr="000A0A5F">
        <w:t>: Data structures supported by the PATCH request/response by the resource</w:t>
      </w:r>
    </w:p>
    <w:tbl>
      <w:tblPr>
        <w:tblW w:w="4999" w:type="pct"/>
        <w:tblInd w:w="1" w:type="dxa"/>
        <w:tblBorders>
          <w:top w:val="single" w:sz="6" w:space="0" w:color="000000"/>
          <w:left w:val="single" w:sz="6" w:space="0" w:color="000000"/>
          <w:bottom w:val="single" w:sz="6" w:space="0" w:color="000000"/>
          <w:right w:val="single" w:sz="6" w:space="0" w:color="000000"/>
          <w:insideH w:val="single" w:sz="6" w:space="0" w:color="auto"/>
          <w:insideV w:val="single" w:sz="6" w:space="0" w:color="000000"/>
        </w:tblBorders>
        <w:tblLayout w:type="fixed"/>
        <w:tblCellMar>
          <w:top w:w="45" w:type="dxa"/>
          <w:left w:w="45" w:type="dxa"/>
          <w:bottom w:w="45" w:type="dxa"/>
          <w:right w:w="45" w:type="dxa"/>
        </w:tblCellMar>
        <w:tblLook w:val="0000" w:firstRow="0" w:lastRow="0" w:firstColumn="0" w:lastColumn="0" w:noHBand="0" w:noVBand="0"/>
      </w:tblPr>
      <w:tblGrid>
        <w:gridCol w:w="1033"/>
        <w:gridCol w:w="2127"/>
        <w:gridCol w:w="1053"/>
        <w:gridCol w:w="973"/>
        <w:gridCol w:w="4543"/>
        <w:tblGridChange w:id="5557">
          <w:tblGrid>
            <w:gridCol w:w="1033"/>
            <w:gridCol w:w="2127"/>
            <w:gridCol w:w="1053"/>
            <w:gridCol w:w="973"/>
            <w:gridCol w:w="4543"/>
          </w:tblGrid>
        </w:tblGridChange>
      </w:tblGrid>
      <w:tr w:rsidR="00CB0DD7" w:rsidRPr="000A0A5F" w:rsidTr="00FF0AF8">
        <w:tc>
          <w:tcPr>
            <w:tcW w:w="531" w:type="pct"/>
            <w:vMerge w:val="restart"/>
            <w:shd w:val="clear" w:color="auto" w:fill="BFBFBF"/>
            <w:vAlign w:val="center"/>
          </w:tcPr>
          <w:p w:rsidR="00CB0DD7" w:rsidRPr="000A0A5F" w:rsidRDefault="00CB0DD7">
            <w:pPr>
              <w:pStyle w:val="TAH"/>
            </w:pPr>
            <w:r w:rsidRPr="000A0A5F">
              <w:t>Request body</w:t>
            </w:r>
          </w:p>
        </w:tc>
        <w:tc>
          <w:tcPr>
            <w:tcW w:w="1093" w:type="pct"/>
            <w:shd w:val="clear" w:color="auto" w:fill="CCCCCC"/>
          </w:tcPr>
          <w:p w:rsidR="00CB0DD7" w:rsidRPr="000A0A5F" w:rsidRDefault="00CB0DD7">
            <w:pPr>
              <w:pStyle w:val="TAH"/>
            </w:pPr>
            <w:r w:rsidRPr="000A0A5F">
              <w:t>Data type</w:t>
            </w:r>
          </w:p>
        </w:tc>
        <w:tc>
          <w:tcPr>
            <w:tcW w:w="541" w:type="pct"/>
            <w:shd w:val="clear" w:color="auto" w:fill="CCCCCC"/>
          </w:tcPr>
          <w:p w:rsidR="00CB0DD7" w:rsidRPr="000A0A5F" w:rsidRDefault="00CB0DD7">
            <w:pPr>
              <w:pStyle w:val="TAH"/>
            </w:pPr>
            <w:r w:rsidRPr="000A0A5F">
              <w:t>Cardinality</w:t>
            </w:r>
          </w:p>
        </w:tc>
        <w:tc>
          <w:tcPr>
            <w:tcW w:w="2835" w:type="pct"/>
            <w:gridSpan w:val="2"/>
            <w:shd w:val="clear" w:color="auto" w:fill="CCCCCC"/>
          </w:tcPr>
          <w:p w:rsidR="00CB0DD7" w:rsidRPr="000A0A5F" w:rsidRDefault="00CB0DD7">
            <w:pPr>
              <w:pStyle w:val="TAH"/>
            </w:pPr>
            <w:r w:rsidRPr="000A0A5F">
              <w:t>Remarks</w:t>
            </w:r>
          </w:p>
        </w:tc>
      </w:tr>
      <w:tr w:rsidR="00CB0DD7" w:rsidRPr="000A0A5F" w:rsidTr="00FF0AF8">
        <w:tc>
          <w:tcPr>
            <w:tcW w:w="531"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rPr>
                <w:rFonts w:hint="eastAsia"/>
                <w:lang w:eastAsia="zh-CN"/>
              </w:rPr>
              <w:t>TMGIAllocation</w:t>
            </w:r>
            <w:r w:rsidRPr="000A0A5F">
              <w:rPr>
                <w:lang w:eastAsia="zh-CN"/>
              </w:rPr>
              <w:t>Patch</w:t>
            </w:r>
          </w:p>
        </w:tc>
        <w:tc>
          <w:tcPr>
            <w:tcW w:w="541" w:type="pct"/>
          </w:tcPr>
          <w:p w:rsidR="00CB0DD7" w:rsidRPr="000A0A5F" w:rsidRDefault="00CB0DD7">
            <w:pPr>
              <w:pStyle w:val="TAL"/>
              <w:rPr>
                <w:rFonts w:hint="eastAsia"/>
                <w:lang w:eastAsia="zh-CN"/>
              </w:rPr>
            </w:pPr>
            <w:r w:rsidRPr="000A0A5F">
              <w:rPr>
                <w:rFonts w:hint="eastAsia"/>
                <w:lang w:eastAsia="zh-CN"/>
              </w:rPr>
              <w:t>1</w:t>
            </w:r>
          </w:p>
        </w:tc>
        <w:tc>
          <w:tcPr>
            <w:tcW w:w="2835" w:type="pct"/>
            <w:gridSpan w:val="2"/>
          </w:tcPr>
          <w:p w:rsidR="00CB0DD7" w:rsidRPr="000A0A5F" w:rsidRDefault="00CB0DD7">
            <w:pPr>
              <w:pStyle w:val="TAL"/>
            </w:pPr>
            <w:r w:rsidRPr="000A0A5F">
              <w:t>Parameters to modify a TMGI resource</w:t>
            </w:r>
          </w:p>
        </w:tc>
      </w:tr>
      <w:tr w:rsidR="00CB0DD7" w:rsidRPr="000A0A5F" w:rsidTr="00FF0AF8">
        <w:tc>
          <w:tcPr>
            <w:tcW w:w="531" w:type="pct"/>
            <w:vMerge w:val="restart"/>
            <w:shd w:val="clear" w:color="auto" w:fill="BFBFBF"/>
            <w:vAlign w:val="center"/>
          </w:tcPr>
          <w:p w:rsidR="00CB0DD7" w:rsidRPr="000A0A5F" w:rsidRDefault="00CB0DD7">
            <w:pPr>
              <w:pStyle w:val="TAH"/>
            </w:pPr>
            <w:r w:rsidRPr="000A0A5F">
              <w:t>Response body</w:t>
            </w:r>
          </w:p>
        </w:tc>
        <w:tc>
          <w:tcPr>
            <w:tcW w:w="1093" w:type="pct"/>
            <w:shd w:val="clear" w:color="auto" w:fill="BFBFBF"/>
          </w:tcPr>
          <w:p w:rsidR="00CB0DD7" w:rsidRPr="000A0A5F" w:rsidRDefault="00CB0DD7">
            <w:pPr>
              <w:pStyle w:val="TAH"/>
            </w:pPr>
          </w:p>
          <w:p w:rsidR="00CB0DD7" w:rsidRPr="000A0A5F" w:rsidRDefault="00CB0DD7">
            <w:pPr>
              <w:pStyle w:val="TAH"/>
            </w:pPr>
            <w:r w:rsidRPr="000A0A5F">
              <w:t>Data type</w:t>
            </w:r>
          </w:p>
        </w:tc>
        <w:tc>
          <w:tcPr>
            <w:tcW w:w="541" w:type="pct"/>
            <w:shd w:val="clear" w:color="auto" w:fill="BFBFBF"/>
          </w:tcPr>
          <w:p w:rsidR="00CB0DD7" w:rsidRPr="000A0A5F" w:rsidRDefault="00CB0DD7">
            <w:pPr>
              <w:pStyle w:val="TAH"/>
            </w:pPr>
          </w:p>
          <w:p w:rsidR="00CB0DD7" w:rsidRPr="000A0A5F" w:rsidRDefault="00CB0DD7">
            <w:pPr>
              <w:pStyle w:val="TAH"/>
            </w:pPr>
            <w:r w:rsidRPr="000A0A5F">
              <w:t>Cardinality</w:t>
            </w:r>
          </w:p>
        </w:tc>
        <w:tc>
          <w:tcPr>
            <w:tcW w:w="500" w:type="pct"/>
            <w:shd w:val="clear" w:color="auto" w:fill="BFBFBF"/>
          </w:tcPr>
          <w:p w:rsidR="00CB0DD7" w:rsidRPr="000A0A5F" w:rsidRDefault="00CB0DD7">
            <w:pPr>
              <w:pStyle w:val="TAH"/>
            </w:pPr>
            <w:r w:rsidRPr="000A0A5F">
              <w:t>Response</w:t>
            </w:r>
          </w:p>
          <w:p w:rsidR="00CB0DD7" w:rsidRPr="000A0A5F" w:rsidRDefault="00CB0DD7">
            <w:pPr>
              <w:pStyle w:val="TAH"/>
            </w:pPr>
            <w:r w:rsidRPr="000A0A5F">
              <w:t>codes</w:t>
            </w:r>
          </w:p>
        </w:tc>
        <w:tc>
          <w:tcPr>
            <w:tcW w:w="2335" w:type="pct"/>
            <w:shd w:val="clear" w:color="auto" w:fill="BFBFBF"/>
          </w:tcPr>
          <w:p w:rsidR="00CB0DD7" w:rsidRPr="000A0A5F" w:rsidRDefault="00CB0DD7">
            <w:pPr>
              <w:pStyle w:val="TAH"/>
            </w:pPr>
          </w:p>
          <w:p w:rsidR="00CB0DD7" w:rsidRPr="000A0A5F" w:rsidRDefault="00CB0DD7">
            <w:pPr>
              <w:pStyle w:val="TAH"/>
            </w:pPr>
            <w:r w:rsidRPr="000A0A5F">
              <w:t>Remarks</w:t>
            </w:r>
          </w:p>
        </w:tc>
      </w:tr>
      <w:tr w:rsidR="00CB0DD7" w:rsidRPr="000A0A5F" w:rsidTr="00FF0AF8">
        <w:tc>
          <w:tcPr>
            <w:tcW w:w="531"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rPr>
                <w:rFonts w:hint="eastAsia"/>
                <w:lang w:eastAsia="zh-CN"/>
              </w:rPr>
              <w:t>TMGIAllocation</w:t>
            </w:r>
          </w:p>
        </w:tc>
        <w:tc>
          <w:tcPr>
            <w:tcW w:w="541" w:type="pct"/>
          </w:tcPr>
          <w:p w:rsidR="00CB0DD7" w:rsidRPr="000A0A5F" w:rsidRDefault="00CB0DD7">
            <w:pPr>
              <w:pStyle w:val="TAL"/>
              <w:rPr>
                <w:rFonts w:hint="eastAsia"/>
                <w:lang w:eastAsia="zh-CN"/>
              </w:rPr>
            </w:pPr>
            <w:r w:rsidRPr="000A0A5F">
              <w:rPr>
                <w:rFonts w:hint="eastAsia"/>
                <w:lang w:eastAsia="zh-CN"/>
              </w:rPr>
              <w:t>1</w:t>
            </w:r>
          </w:p>
        </w:tc>
        <w:tc>
          <w:tcPr>
            <w:tcW w:w="500" w:type="pct"/>
          </w:tcPr>
          <w:p w:rsidR="00CB0DD7" w:rsidRPr="000A0A5F" w:rsidRDefault="00CB0DD7">
            <w:pPr>
              <w:pStyle w:val="TAL"/>
            </w:pPr>
            <w:r w:rsidRPr="000A0A5F">
              <w:t>200 OK</w:t>
            </w:r>
          </w:p>
        </w:tc>
        <w:tc>
          <w:tcPr>
            <w:tcW w:w="2335" w:type="pct"/>
          </w:tcPr>
          <w:p w:rsidR="00CB0DD7" w:rsidRPr="000A0A5F" w:rsidRDefault="00CB0DD7">
            <w:pPr>
              <w:pStyle w:val="TAL"/>
              <w:rPr>
                <w:rFonts w:hint="eastAsia"/>
                <w:lang w:eastAsia="zh-CN"/>
              </w:rPr>
            </w:pPr>
            <w:r w:rsidRPr="000A0A5F">
              <w:t>The modification of a TMGI allocation was created successfully.</w:t>
            </w:r>
          </w:p>
        </w:tc>
      </w:tr>
      <w:tr w:rsidR="00B34053" w:rsidRPr="000A0A5F" w:rsidTr="00FF0AF8">
        <w:tc>
          <w:tcPr>
            <w:tcW w:w="531" w:type="pct"/>
            <w:vMerge/>
            <w:shd w:val="clear" w:color="auto" w:fill="BFBFBF"/>
            <w:vAlign w:val="center"/>
          </w:tcPr>
          <w:p w:rsidR="00B34053" w:rsidRPr="000A0A5F" w:rsidRDefault="00B34053">
            <w:pPr>
              <w:pStyle w:val="TAL"/>
              <w:jc w:val="center"/>
            </w:pPr>
          </w:p>
        </w:tc>
        <w:tc>
          <w:tcPr>
            <w:tcW w:w="1093" w:type="pct"/>
            <w:shd w:val="clear" w:color="auto" w:fill="auto"/>
          </w:tcPr>
          <w:p w:rsidR="00B34053" w:rsidRPr="000A0A5F" w:rsidRDefault="00B34053">
            <w:pPr>
              <w:pStyle w:val="TAL"/>
              <w:rPr>
                <w:rFonts w:hint="eastAsia"/>
                <w:lang w:eastAsia="zh-CN"/>
              </w:rPr>
            </w:pPr>
            <w:r w:rsidRPr="000A0A5F">
              <w:rPr>
                <w:lang w:eastAsia="zh-CN"/>
              </w:rPr>
              <w:t>none</w:t>
            </w:r>
          </w:p>
        </w:tc>
        <w:tc>
          <w:tcPr>
            <w:tcW w:w="541" w:type="pct"/>
          </w:tcPr>
          <w:p w:rsidR="00B34053" w:rsidRPr="000A0A5F" w:rsidRDefault="00B34053">
            <w:pPr>
              <w:pStyle w:val="TAL"/>
              <w:rPr>
                <w:rFonts w:hint="eastAsia"/>
                <w:lang w:eastAsia="zh-CN"/>
              </w:rPr>
            </w:pPr>
          </w:p>
        </w:tc>
        <w:tc>
          <w:tcPr>
            <w:tcW w:w="500" w:type="pct"/>
          </w:tcPr>
          <w:p w:rsidR="00B34053" w:rsidRPr="000A0A5F" w:rsidRDefault="00B34053">
            <w:pPr>
              <w:pStyle w:val="TAL"/>
            </w:pPr>
            <w:r w:rsidRPr="000A0A5F">
              <w:t>204 No Content</w:t>
            </w:r>
          </w:p>
        </w:tc>
        <w:tc>
          <w:tcPr>
            <w:tcW w:w="2335" w:type="pct"/>
          </w:tcPr>
          <w:p w:rsidR="00B34053" w:rsidRPr="000A0A5F" w:rsidRDefault="00B34053">
            <w:pPr>
              <w:pStyle w:val="TAL"/>
            </w:pPr>
            <w:r w:rsidRPr="000A0A5F">
              <w:t>The TMG</w:t>
            </w:r>
            <w:r w:rsidRPr="000A0A5F">
              <w:rPr>
                <w:rFonts w:hint="eastAsia"/>
                <w:lang w:eastAsia="zh-CN"/>
              </w:rPr>
              <w:t>I</w:t>
            </w:r>
            <w:r w:rsidRPr="000A0A5F">
              <w:t xml:space="preserve"> expiration time renewal is successful, and no content is to be sent in the response message body.</w:t>
            </w:r>
          </w:p>
        </w:tc>
      </w:tr>
      <w:tr w:rsidR="00CB0DD7" w:rsidRPr="000A0A5F" w:rsidTr="00FF0AF8">
        <w:tc>
          <w:tcPr>
            <w:tcW w:w="531"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t>none</w:t>
            </w:r>
          </w:p>
        </w:tc>
        <w:tc>
          <w:tcPr>
            <w:tcW w:w="541" w:type="pct"/>
          </w:tcPr>
          <w:p w:rsidR="00CB0DD7" w:rsidRPr="000A0A5F" w:rsidRDefault="00CB0DD7">
            <w:pPr>
              <w:pStyle w:val="TAL"/>
              <w:rPr>
                <w:rFonts w:hint="eastAsia"/>
                <w:lang w:eastAsia="zh-CN"/>
              </w:rPr>
            </w:pPr>
          </w:p>
        </w:tc>
        <w:tc>
          <w:tcPr>
            <w:tcW w:w="500" w:type="pct"/>
          </w:tcPr>
          <w:p w:rsidR="00CB0DD7" w:rsidRPr="000A0A5F" w:rsidRDefault="00CB0DD7">
            <w:pPr>
              <w:pStyle w:val="TAL"/>
            </w:pPr>
            <w:r w:rsidRPr="000A0A5F">
              <w:t>307 Temporary Redirect</w:t>
            </w:r>
          </w:p>
        </w:tc>
        <w:tc>
          <w:tcPr>
            <w:tcW w:w="2335" w:type="pct"/>
          </w:tcPr>
          <w:p w:rsidR="00CB0DD7" w:rsidRPr="000A0A5F" w:rsidRDefault="00CB0DD7">
            <w:pPr>
              <w:pStyle w:val="TAL"/>
            </w:pPr>
            <w:r w:rsidRPr="000A0A5F">
              <w:t>Temporary redirection, during resource modification. The response shall include a Location header field containing an alternative URI of the resource located in an alternative SCEF.</w:t>
            </w:r>
          </w:p>
          <w:p w:rsidR="00CB0DD7" w:rsidRPr="000A0A5F" w:rsidRDefault="00CB0DD7">
            <w:pPr>
              <w:pStyle w:val="TAL"/>
            </w:pPr>
            <w:r w:rsidRPr="000A0A5F">
              <w:t>Redirection handling is described in clause 5.2.10.</w:t>
            </w:r>
          </w:p>
        </w:tc>
      </w:tr>
      <w:tr w:rsidR="00CB0DD7" w:rsidRPr="000A0A5F" w:rsidTr="00FF0AF8">
        <w:tc>
          <w:tcPr>
            <w:tcW w:w="531"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t>none</w:t>
            </w:r>
          </w:p>
        </w:tc>
        <w:tc>
          <w:tcPr>
            <w:tcW w:w="541" w:type="pct"/>
          </w:tcPr>
          <w:p w:rsidR="00CB0DD7" w:rsidRPr="000A0A5F" w:rsidRDefault="00CB0DD7">
            <w:pPr>
              <w:pStyle w:val="TAL"/>
              <w:rPr>
                <w:rFonts w:hint="eastAsia"/>
                <w:lang w:eastAsia="zh-CN"/>
              </w:rPr>
            </w:pPr>
          </w:p>
        </w:tc>
        <w:tc>
          <w:tcPr>
            <w:tcW w:w="500" w:type="pct"/>
          </w:tcPr>
          <w:p w:rsidR="00CB0DD7" w:rsidRPr="000A0A5F" w:rsidRDefault="00CB0DD7">
            <w:pPr>
              <w:pStyle w:val="TAL"/>
            </w:pPr>
            <w:r w:rsidRPr="000A0A5F">
              <w:t>308 Permanent Redirect</w:t>
            </w:r>
          </w:p>
        </w:tc>
        <w:tc>
          <w:tcPr>
            <w:tcW w:w="2335" w:type="pct"/>
          </w:tcPr>
          <w:p w:rsidR="00CB0DD7" w:rsidRPr="000A0A5F" w:rsidRDefault="00CB0DD7">
            <w:pPr>
              <w:pStyle w:val="TAL"/>
            </w:pPr>
            <w:r w:rsidRPr="000A0A5F">
              <w:t>Permanent redirection, during resource modification. The response shall include a Location header field containing an alternative URI of the resource located in an alternative SCEF.</w:t>
            </w:r>
          </w:p>
          <w:p w:rsidR="00CB0DD7" w:rsidRPr="000A0A5F" w:rsidRDefault="00CB0DD7">
            <w:pPr>
              <w:pStyle w:val="TAL"/>
            </w:pPr>
            <w:r w:rsidRPr="000A0A5F">
              <w:t>Redirection handling is described in clause 5.2.10.</w:t>
            </w:r>
          </w:p>
        </w:tc>
      </w:tr>
      <w:tr w:rsidR="00CB0DD7" w:rsidRPr="000A0A5F" w:rsidTr="00FF0AF8">
        <w:tc>
          <w:tcPr>
            <w:tcW w:w="5000" w:type="pct"/>
            <w:gridSpan w:val="5"/>
            <w:shd w:val="clear" w:color="auto" w:fill="auto"/>
            <w:vAlign w:val="center"/>
          </w:tcPr>
          <w:p w:rsidR="00CB0DD7" w:rsidRPr="000A0A5F" w:rsidRDefault="00CB0DD7">
            <w:pPr>
              <w:pStyle w:val="TAN"/>
            </w:pPr>
            <w:r w:rsidRPr="000A0A5F">
              <w:t>NOTE:</w:t>
            </w:r>
            <w:r w:rsidRPr="000A0A5F">
              <w:tab/>
              <w:t>The mandatory HTTP error status codes for the PATCH method listed in table 5.2.6-1 also apply.</w:t>
            </w:r>
          </w:p>
        </w:tc>
      </w:tr>
    </w:tbl>
    <w:p w:rsidR="00CB0DD7" w:rsidRPr="000A0A5F" w:rsidRDefault="00CB0DD7"/>
    <w:p w:rsidR="00CB0DD7" w:rsidRPr="000A0A5F" w:rsidRDefault="00CB0DD7">
      <w:pPr>
        <w:pStyle w:val="TH"/>
      </w:pPr>
      <w:r w:rsidRPr="000A0A5F">
        <w:t>Table 5.</w:t>
      </w:r>
      <w:r w:rsidRPr="000A0A5F">
        <w:rPr>
          <w:lang w:eastAsia="zh-CN"/>
        </w:rPr>
        <w:t>8</w:t>
      </w:r>
      <w:r w:rsidRPr="000A0A5F">
        <w:t>.</w:t>
      </w:r>
      <w:r w:rsidRPr="000A0A5F">
        <w:rPr>
          <w:lang w:eastAsia="zh-CN"/>
        </w:rPr>
        <w:t>2</w:t>
      </w:r>
      <w:r w:rsidRPr="000A0A5F">
        <w:t>.2.3.3.</w:t>
      </w:r>
      <w:r w:rsidRPr="000A0A5F">
        <w:rPr>
          <w:lang w:eastAsia="zh-CN"/>
        </w:rPr>
        <w:t>3</w:t>
      </w:r>
      <w:r w:rsidRPr="000A0A5F">
        <w:t>-2: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CB0DD7">
      <w:pPr>
        <w:pStyle w:val="TH"/>
      </w:pPr>
      <w:r w:rsidRPr="000A0A5F">
        <w:t>Table 5.</w:t>
      </w:r>
      <w:r w:rsidRPr="000A0A5F">
        <w:rPr>
          <w:lang w:eastAsia="zh-CN"/>
        </w:rPr>
        <w:t>8</w:t>
      </w:r>
      <w:r w:rsidRPr="000A0A5F">
        <w:t>.</w:t>
      </w:r>
      <w:r w:rsidRPr="000A0A5F">
        <w:rPr>
          <w:lang w:eastAsia="zh-CN"/>
        </w:rPr>
        <w:t>2</w:t>
      </w:r>
      <w:r w:rsidRPr="000A0A5F">
        <w:t>.2.3.3.</w:t>
      </w:r>
      <w:r w:rsidRPr="000A0A5F">
        <w:rPr>
          <w:lang w:eastAsia="zh-CN"/>
        </w:rPr>
        <w:t>3</w:t>
      </w:r>
      <w:r w:rsidRPr="000A0A5F">
        <w:t>-3: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CB0DD7">
      <w:pPr>
        <w:pStyle w:val="Heading7"/>
      </w:pPr>
      <w:bookmarkStart w:id="5558" w:name="_Toc11247589"/>
      <w:bookmarkStart w:id="5559" w:name="_Toc27044728"/>
      <w:bookmarkStart w:id="5560" w:name="_Toc36033770"/>
      <w:bookmarkStart w:id="5561" w:name="_Toc45131916"/>
      <w:bookmarkStart w:id="5562" w:name="_Toc49776201"/>
      <w:bookmarkStart w:id="5563" w:name="_Toc51747121"/>
      <w:bookmarkStart w:id="5564" w:name="_Toc66360685"/>
      <w:bookmarkStart w:id="5565" w:name="_Toc68105190"/>
      <w:bookmarkStart w:id="5566" w:name="_Toc74755820"/>
      <w:bookmarkStart w:id="5567" w:name="_Toc105674695"/>
      <w:bookmarkStart w:id="5568" w:name="_Toc130502747"/>
      <w:bookmarkStart w:id="5569" w:name="_Toc153625534"/>
      <w:r w:rsidRPr="000A0A5F">
        <w:t>5.8.2.2.3.3.4</w:t>
      </w:r>
      <w:r w:rsidRPr="000A0A5F">
        <w:tab/>
        <w:t>POST</w:t>
      </w:r>
      <w:bookmarkEnd w:id="5558"/>
      <w:bookmarkEnd w:id="5559"/>
      <w:bookmarkEnd w:id="5560"/>
      <w:bookmarkEnd w:id="5561"/>
      <w:bookmarkEnd w:id="5562"/>
      <w:bookmarkEnd w:id="5563"/>
      <w:bookmarkEnd w:id="5564"/>
      <w:bookmarkEnd w:id="5565"/>
      <w:bookmarkEnd w:id="5566"/>
      <w:bookmarkEnd w:id="5567"/>
      <w:bookmarkEnd w:id="5568"/>
      <w:bookmarkEnd w:id="5569"/>
    </w:p>
    <w:p w:rsidR="00CB0DD7" w:rsidRPr="000A0A5F" w:rsidRDefault="00CB0DD7">
      <w:pPr>
        <w:rPr>
          <w:rFonts w:hint="eastAsia"/>
          <w:lang w:eastAsia="zh-CN"/>
        </w:rPr>
      </w:pPr>
      <w:r w:rsidRPr="000A0A5F">
        <w:rPr>
          <w:rFonts w:hint="eastAsia"/>
          <w:lang w:eastAsia="zh-CN"/>
        </w:rPr>
        <w:t xml:space="preserve">This </w:t>
      </w:r>
      <w:r w:rsidRPr="000A0A5F">
        <w:rPr>
          <w:lang w:eastAsia="zh-CN"/>
        </w:rPr>
        <w:t>HTTP method is not supported for the resource.</w:t>
      </w:r>
    </w:p>
    <w:p w:rsidR="00CB0DD7" w:rsidRPr="000A0A5F" w:rsidRDefault="00CB0DD7">
      <w:pPr>
        <w:pStyle w:val="Heading7"/>
      </w:pPr>
      <w:bookmarkStart w:id="5570" w:name="_Toc11247590"/>
      <w:bookmarkStart w:id="5571" w:name="_Toc27044729"/>
      <w:bookmarkStart w:id="5572" w:name="_Toc36033771"/>
      <w:bookmarkStart w:id="5573" w:name="_Toc45131917"/>
      <w:bookmarkStart w:id="5574" w:name="_Toc49776202"/>
      <w:bookmarkStart w:id="5575" w:name="_Toc51747122"/>
      <w:bookmarkStart w:id="5576" w:name="_Toc66360686"/>
      <w:bookmarkStart w:id="5577" w:name="_Toc68105191"/>
      <w:bookmarkStart w:id="5578" w:name="_Toc74755821"/>
      <w:bookmarkStart w:id="5579" w:name="_Toc105674696"/>
      <w:bookmarkStart w:id="5580" w:name="_Toc130502748"/>
      <w:bookmarkStart w:id="5581" w:name="_Toc153625535"/>
      <w:r w:rsidRPr="000A0A5F">
        <w:t>5.8.2.2.3.3.5</w:t>
      </w:r>
      <w:r w:rsidRPr="000A0A5F">
        <w:tab/>
        <w:t>DELETE</w:t>
      </w:r>
      <w:bookmarkEnd w:id="5570"/>
      <w:bookmarkEnd w:id="5571"/>
      <w:bookmarkEnd w:id="5572"/>
      <w:bookmarkEnd w:id="5573"/>
      <w:bookmarkEnd w:id="5574"/>
      <w:bookmarkEnd w:id="5575"/>
      <w:bookmarkEnd w:id="5576"/>
      <w:bookmarkEnd w:id="5577"/>
      <w:bookmarkEnd w:id="5578"/>
      <w:bookmarkEnd w:id="5579"/>
      <w:bookmarkEnd w:id="5580"/>
      <w:bookmarkEnd w:id="5581"/>
    </w:p>
    <w:p w:rsidR="00CB0DD7" w:rsidRPr="000A0A5F" w:rsidRDefault="00CB0DD7">
      <w:pPr>
        <w:rPr>
          <w:noProof/>
          <w:lang w:eastAsia="zh-CN"/>
        </w:rPr>
      </w:pPr>
      <w:r w:rsidRPr="000A0A5F">
        <w:rPr>
          <w:noProof/>
          <w:lang w:eastAsia="zh-CN"/>
        </w:rPr>
        <w:t xml:space="preserve">The DELETE method deletes a TMGI Allocation resource for a given SCS/AS to deallocate a TMGI. It is initiated by the SCS/AS and answered by the SCEF. </w:t>
      </w:r>
    </w:p>
    <w:p w:rsidR="00CB0DD7" w:rsidRPr="000A0A5F" w:rsidRDefault="00CB0DD7">
      <w:pPr>
        <w:rPr>
          <w:rFonts w:hint="eastAsia"/>
          <w:lang w:eastAsia="zh-CN"/>
        </w:rPr>
      </w:pPr>
      <w:r w:rsidRPr="000A0A5F">
        <w:t>This method shall support request and response data structures, and response codes, as specified in the table 5.8.2.2.3.3.5-1.</w:t>
      </w:r>
    </w:p>
    <w:p w:rsidR="00CB0DD7" w:rsidRPr="000A0A5F" w:rsidRDefault="00CB0DD7">
      <w:pPr>
        <w:pStyle w:val="TH"/>
        <w:rPr>
          <w:rFonts w:hint="eastAsia"/>
          <w:lang w:eastAsia="zh-CN"/>
        </w:rPr>
      </w:pPr>
      <w:r w:rsidRPr="000A0A5F">
        <w:t>Table 5.</w:t>
      </w:r>
      <w:r w:rsidRPr="000A0A5F">
        <w:rPr>
          <w:lang w:eastAsia="zh-CN"/>
        </w:rPr>
        <w:t>8</w:t>
      </w:r>
      <w:r w:rsidRPr="000A0A5F">
        <w:t>.</w:t>
      </w:r>
      <w:r w:rsidRPr="000A0A5F">
        <w:rPr>
          <w:lang w:eastAsia="zh-CN"/>
        </w:rPr>
        <w:t>2</w:t>
      </w:r>
      <w:r w:rsidRPr="000A0A5F">
        <w:t>.2.3.3.5</w:t>
      </w:r>
      <w:r w:rsidRPr="000A0A5F">
        <w:rPr>
          <w:rFonts w:hint="eastAsia"/>
          <w:lang w:eastAsia="zh-CN"/>
        </w:rPr>
        <w:t>-1</w:t>
      </w:r>
      <w:r w:rsidRPr="000A0A5F">
        <w:t>: Data structures supported by the DELETE request/response by the resource</w:t>
      </w:r>
    </w:p>
    <w:tbl>
      <w:tblPr>
        <w:tblW w:w="4999" w:type="pct"/>
        <w:tblInd w:w="1" w:type="dxa"/>
        <w:tblBorders>
          <w:top w:val="single" w:sz="6" w:space="0" w:color="000000"/>
          <w:left w:val="single" w:sz="6" w:space="0" w:color="000000"/>
          <w:bottom w:val="single" w:sz="6" w:space="0" w:color="000000"/>
          <w:right w:val="single" w:sz="6" w:space="0" w:color="000000"/>
          <w:insideH w:val="single" w:sz="6" w:space="0" w:color="auto"/>
          <w:insideV w:val="single" w:sz="6" w:space="0" w:color="000000"/>
        </w:tblBorders>
        <w:tblLayout w:type="fixed"/>
        <w:tblCellMar>
          <w:top w:w="45" w:type="dxa"/>
          <w:left w:w="45" w:type="dxa"/>
          <w:bottom w:w="45" w:type="dxa"/>
          <w:right w:w="45" w:type="dxa"/>
        </w:tblCellMar>
        <w:tblLook w:val="0000" w:firstRow="0" w:lastRow="0" w:firstColumn="0" w:lastColumn="0" w:noHBand="0" w:noVBand="0"/>
      </w:tblPr>
      <w:tblGrid>
        <w:gridCol w:w="1033"/>
        <w:gridCol w:w="2127"/>
        <w:gridCol w:w="1053"/>
        <w:gridCol w:w="973"/>
        <w:gridCol w:w="4543"/>
        <w:tblGridChange w:id="5582">
          <w:tblGrid>
            <w:gridCol w:w="1033"/>
            <w:gridCol w:w="2127"/>
            <w:gridCol w:w="1053"/>
            <w:gridCol w:w="973"/>
            <w:gridCol w:w="4543"/>
          </w:tblGrid>
        </w:tblGridChange>
      </w:tblGrid>
      <w:tr w:rsidR="00CB0DD7" w:rsidRPr="000A0A5F" w:rsidTr="00790FC9">
        <w:tc>
          <w:tcPr>
            <w:tcW w:w="531" w:type="pct"/>
            <w:vMerge w:val="restart"/>
            <w:shd w:val="clear" w:color="auto" w:fill="C0C0C0"/>
            <w:vAlign w:val="center"/>
          </w:tcPr>
          <w:p w:rsidR="00CB0DD7" w:rsidRPr="000A0A5F" w:rsidRDefault="00CB0DD7">
            <w:pPr>
              <w:pStyle w:val="TAH"/>
            </w:pPr>
            <w:r w:rsidRPr="000A0A5F">
              <w:t>Request body</w:t>
            </w:r>
          </w:p>
        </w:tc>
        <w:tc>
          <w:tcPr>
            <w:tcW w:w="1093" w:type="pct"/>
            <w:shd w:val="clear" w:color="auto" w:fill="C0C0C0"/>
          </w:tcPr>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r w:rsidRPr="000A0A5F">
              <w:t>Cardinality</w:t>
            </w:r>
          </w:p>
        </w:tc>
        <w:tc>
          <w:tcPr>
            <w:tcW w:w="2835" w:type="pct"/>
            <w:gridSpan w:val="2"/>
            <w:shd w:val="clear" w:color="auto" w:fill="C0C0C0"/>
          </w:tcPr>
          <w:p w:rsidR="00CB0DD7" w:rsidRPr="000A0A5F" w:rsidRDefault="00CB0DD7">
            <w:pPr>
              <w:pStyle w:val="TAH"/>
            </w:pPr>
            <w:r w:rsidRPr="000A0A5F">
              <w:t>Remarks</w:t>
            </w:r>
          </w:p>
        </w:tc>
      </w:tr>
      <w:tr w:rsidR="00CB0DD7" w:rsidRPr="000A0A5F" w:rsidTr="00FF0AF8">
        <w:tc>
          <w:tcPr>
            <w:tcW w:w="531"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rPr>
                <w:rFonts w:hint="eastAsia"/>
                <w:lang w:eastAsia="zh-CN"/>
              </w:rPr>
              <w:t>none</w:t>
            </w:r>
          </w:p>
        </w:tc>
        <w:tc>
          <w:tcPr>
            <w:tcW w:w="541" w:type="pct"/>
          </w:tcPr>
          <w:p w:rsidR="00CB0DD7" w:rsidRPr="000A0A5F" w:rsidRDefault="00CB0DD7">
            <w:pPr>
              <w:pStyle w:val="TAL"/>
              <w:rPr>
                <w:rFonts w:hint="eastAsia"/>
                <w:lang w:eastAsia="zh-CN"/>
              </w:rPr>
            </w:pPr>
          </w:p>
        </w:tc>
        <w:tc>
          <w:tcPr>
            <w:tcW w:w="2835" w:type="pct"/>
            <w:gridSpan w:val="2"/>
          </w:tcPr>
          <w:p w:rsidR="00CB0DD7" w:rsidRPr="000A0A5F" w:rsidRDefault="00CB0DD7">
            <w:pPr>
              <w:pStyle w:val="TAL"/>
            </w:pPr>
          </w:p>
        </w:tc>
      </w:tr>
      <w:tr w:rsidR="00CB0DD7" w:rsidRPr="000A0A5F" w:rsidTr="00790FC9">
        <w:tc>
          <w:tcPr>
            <w:tcW w:w="531" w:type="pct"/>
            <w:vMerge w:val="restart"/>
            <w:shd w:val="clear" w:color="auto" w:fill="C0C0C0"/>
            <w:vAlign w:val="center"/>
          </w:tcPr>
          <w:p w:rsidR="00CB0DD7" w:rsidRPr="000A0A5F" w:rsidRDefault="00CB0DD7">
            <w:pPr>
              <w:pStyle w:val="TAH"/>
            </w:pPr>
            <w:r w:rsidRPr="000A0A5F">
              <w:t>Response body</w:t>
            </w:r>
          </w:p>
        </w:tc>
        <w:tc>
          <w:tcPr>
            <w:tcW w:w="1093" w:type="pct"/>
            <w:shd w:val="clear" w:color="auto" w:fill="C0C0C0"/>
          </w:tcPr>
          <w:p w:rsidR="00CB0DD7" w:rsidRPr="000A0A5F" w:rsidRDefault="00CB0DD7">
            <w:pPr>
              <w:pStyle w:val="TAH"/>
            </w:pPr>
          </w:p>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p>
          <w:p w:rsidR="00CB0DD7" w:rsidRPr="000A0A5F" w:rsidRDefault="00CB0DD7">
            <w:pPr>
              <w:pStyle w:val="TAH"/>
            </w:pPr>
            <w:r w:rsidRPr="000A0A5F">
              <w:t>Cardinality</w:t>
            </w:r>
          </w:p>
        </w:tc>
        <w:tc>
          <w:tcPr>
            <w:tcW w:w="500" w:type="pct"/>
            <w:shd w:val="clear" w:color="auto" w:fill="C0C0C0"/>
          </w:tcPr>
          <w:p w:rsidR="00CB0DD7" w:rsidRPr="000A0A5F" w:rsidRDefault="00CB0DD7">
            <w:pPr>
              <w:pStyle w:val="TAH"/>
            </w:pPr>
            <w:r w:rsidRPr="000A0A5F">
              <w:t>Response</w:t>
            </w:r>
          </w:p>
          <w:p w:rsidR="00CB0DD7" w:rsidRPr="000A0A5F" w:rsidRDefault="00CB0DD7">
            <w:pPr>
              <w:pStyle w:val="TAH"/>
            </w:pPr>
            <w:r w:rsidRPr="000A0A5F">
              <w:t>codes</w:t>
            </w:r>
          </w:p>
        </w:tc>
        <w:tc>
          <w:tcPr>
            <w:tcW w:w="2335" w:type="pct"/>
            <w:shd w:val="clear" w:color="auto" w:fill="C0C0C0"/>
          </w:tcPr>
          <w:p w:rsidR="00CB0DD7" w:rsidRPr="000A0A5F" w:rsidRDefault="00CB0DD7">
            <w:pPr>
              <w:pStyle w:val="TAH"/>
            </w:pPr>
          </w:p>
          <w:p w:rsidR="00CB0DD7" w:rsidRPr="000A0A5F" w:rsidRDefault="00CB0DD7">
            <w:pPr>
              <w:pStyle w:val="TAH"/>
            </w:pPr>
            <w:r w:rsidRPr="000A0A5F">
              <w:t>Remarks</w:t>
            </w:r>
          </w:p>
        </w:tc>
      </w:tr>
      <w:tr w:rsidR="00CB0DD7" w:rsidRPr="000A0A5F" w:rsidTr="00FF0AF8">
        <w:tc>
          <w:tcPr>
            <w:tcW w:w="531"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rPr>
                <w:rFonts w:hint="eastAsia"/>
                <w:lang w:eastAsia="zh-CN"/>
              </w:rPr>
              <w:t>none</w:t>
            </w:r>
          </w:p>
        </w:tc>
        <w:tc>
          <w:tcPr>
            <w:tcW w:w="541" w:type="pct"/>
          </w:tcPr>
          <w:p w:rsidR="00CB0DD7" w:rsidRPr="000A0A5F" w:rsidRDefault="00CB0DD7">
            <w:pPr>
              <w:pStyle w:val="TAL"/>
              <w:rPr>
                <w:rFonts w:hint="eastAsia"/>
                <w:lang w:eastAsia="zh-CN"/>
              </w:rPr>
            </w:pPr>
          </w:p>
        </w:tc>
        <w:tc>
          <w:tcPr>
            <w:tcW w:w="500" w:type="pct"/>
          </w:tcPr>
          <w:p w:rsidR="00CB0DD7" w:rsidRPr="000A0A5F" w:rsidRDefault="00CB0DD7">
            <w:pPr>
              <w:pStyle w:val="TAL"/>
            </w:pPr>
            <w:r w:rsidRPr="000A0A5F">
              <w:t>204 No Content</w:t>
            </w:r>
          </w:p>
        </w:tc>
        <w:tc>
          <w:tcPr>
            <w:tcW w:w="2335" w:type="pct"/>
          </w:tcPr>
          <w:p w:rsidR="00CB0DD7" w:rsidRPr="000A0A5F" w:rsidRDefault="00CB0DD7">
            <w:pPr>
              <w:pStyle w:val="TAL"/>
              <w:rPr>
                <w:rFonts w:hint="eastAsia"/>
                <w:lang w:eastAsia="zh-CN"/>
              </w:rPr>
            </w:pPr>
            <w:r w:rsidRPr="000A0A5F">
              <w:t>The TMGI allocation resource was removed successfully.</w:t>
            </w:r>
          </w:p>
        </w:tc>
      </w:tr>
      <w:tr w:rsidR="00CB0DD7" w:rsidRPr="000A0A5F" w:rsidTr="00FF0AF8">
        <w:tc>
          <w:tcPr>
            <w:tcW w:w="531"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t>none</w:t>
            </w:r>
          </w:p>
        </w:tc>
        <w:tc>
          <w:tcPr>
            <w:tcW w:w="541" w:type="pct"/>
          </w:tcPr>
          <w:p w:rsidR="00CB0DD7" w:rsidRPr="000A0A5F" w:rsidRDefault="00CB0DD7">
            <w:pPr>
              <w:pStyle w:val="TAL"/>
              <w:rPr>
                <w:rFonts w:hint="eastAsia"/>
                <w:lang w:eastAsia="zh-CN"/>
              </w:rPr>
            </w:pPr>
          </w:p>
        </w:tc>
        <w:tc>
          <w:tcPr>
            <w:tcW w:w="500" w:type="pct"/>
          </w:tcPr>
          <w:p w:rsidR="00CB0DD7" w:rsidRPr="000A0A5F" w:rsidRDefault="00CB0DD7">
            <w:pPr>
              <w:pStyle w:val="TAL"/>
            </w:pPr>
            <w:r w:rsidRPr="000A0A5F">
              <w:t>307 Temporary Redirect</w:t>
            </w:r>
          </w:p>
        </w:tc>
        <w:tc>
          <w:tcPr>
            <w:tcW w:w="2335" w:type="pct"/>
          </w:tcPr>
          <w:p w:rsidR="00CB0DD7" w:rsidRPr="000A0A5F" w:rsidRDefault="00CB0DD7">
            <w:pPr>
              <w:pStyle w:val="TAL"/>
            </w:pPr>
            <w:r w:rsidRPr="000A0A5F">
              <w:t>Temporary redirection, during resource termination. The response shall include a Location header field containing an alternative URI of the resource located in an alternative SCEF.</w:t>
            </w:r>
          </w:p>
          <w:p w:rsidR="00CB0DD7" w:rsidRPr="000A0A5F" w:rsidRDefault="00CB0DD7">
            <w:pPr>
              <w:pStyle w:val="TAL"/>
            </w:pPr>
            <w:r w:rsidRPr="000A0A5F">
              <w:t>Redirection handling is described in clause 5.2.10.</w:t>
            </w:r>
          </w:p>
        </w:tc>
      </w:tr>
      <w:tr w:rsidR="00CB0DD7" w:rsidRPr="000A0A5F" w:rsidTr="00FF0AF8">
        <w:tc>
          <w:tcPr>
            <w:tcW w:w="531"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t>none</w:t>
            </w:r>
          </w:p>
        </w:tc>
        <w:tc>
          <w:tcPr>
            <w:tcW w:w="541" w:type="pct"/>
          </w:tcPr>
          <w:p w:rsidR="00CB0DD7" w:rsidRPr="000A0A5F" w:rsidRDefault="00CB0DD7">
            <w:pPr>
              <w:pStyle w:val="TAL"/>
              <w:rPr>
                <w:rFonts w:hint="eastAsia"/>
                <w:lang w:eastAsia="zh-CN"/>
              </w:rPr>
            </w:pPr>
          </w:p>
        </w:tc>
        <w:tc>
          <w:tcPr>
            <w:tcW w:w="500" w:type="pct"/>
          </w:tcPr>
          <w:p w:rsidR="00CB0DD7" w:rsidRPr="000A0A5F" w:rsidRDefault="00CB0DD7">
            <w:pPr>
              <w:pStyle w:val="TAL"/>
            </w:pPr>
            <w:r w:rsidRPr="000A0A5F">
              <w:t>308 Permanent Redirect</w:t>
            </w:r>
          </w:p>
        </w:tc>
        <w:tc>
          <w:tcPr>
            <w:tcW w:w="2335" w:type="pct"/>
          </w:tcPr>
          <w:p w:rsidR="00CB0DD7" w:rsidRPr="000A0A5F" w:rsidRDefault="00CB0DD7">
            <w:pPr>
              <w:pStyle w:val="TAL"/>
            </w:pPr>
            <w:r w:rsidRPr="000A0A5F">
              <w:t>Permanent redirection, during resource termination. The response shall include a Location header field containing an alternative URI of the resource located in an alternative SCEF.</w:t>
            </w:r>
          </w:p>
          <w:p w:rsidR="00CB0DD7" w:rsidRPr="000A0A5F" w:rsidRDefault="00CB0DD7">
            <w:pPr>
              <w:pStyle w:val="TAL"/>
            </w:pPr>
            <w:r w:rsidRPr="000A0A5F">
              <w:t>Redirection handling is described in clause 5.2.10.</w:t>
            </w:r>
          </w:p>
        </w:tc>
      </w:tr>
      <w:tr w:rsidR="00CB0DD7" w:rsidRPr="000A0A5F" w:rsidTr="00FF0AF8">
        <w:tc>
          <w:tcPr>
            <w:tcW w:w="5000" w:type="pct"/>
            <w:gridSpan w:val="5"/>
            <w:shd w:val="clear" w:color="auto" w:fill="auto"/>
            <w:vAlign w:val="center"/>
          </w:tcPr>
          <w:p w:rsidR="00CB0DD7" w:rsidRPr="000A0A5F" w:rsidRDefault="00CB0DD7">
            <w:pPr>
              <w:pStyle w:val="TAN"/>
            </w:pPr>
            <w:r w:rsidRPr="000A0A5F">
              <w:t>NOTE:</w:t>
            </w:r>
            <w:r w:rsidRPr="000A0A5F">
              <w:tab/>
              <w:t>The mandatory HTTP error status codes for the DELETE method listed in table 5.2.6-1 also apply.</w:t>
            </w:r>
          </w:p>
        </w:tc>
      </w:tr>
    </w:tbl>
    <w:p w:rsidR="00CB0DD7" w:rsidRPr="000A0A5F" w:rsidRDefault="00CB0DD7"/>
    <w:p w:rsidR="00CB0DD7" w:rsidRPr="000A0A5F" w:rsidRDefault="00CB0DD7">
      <w:pPr>
        <w:pStyle w:val="TH"/>
      </w:pPr>
      <w:r w:rsidRPr="000A0A5F">
        <w:t>Table 5.</w:t>
      </w:r>
      <w:r w:rsidRPr="000A0A5F">
        <w:rPr>
          <w:lang w:eastAsia="zh-CN"/>
        </w:rPr>
        <w:t>8</w:t>
      </w:r>
      <w:r w:rsidRPr="000A0A5F">
        <w:t>.</w:t>
      </w:r>
      <w:r w:rsidRPr="000A0A5F">
        <w:rPr>
          <w:lang w:eastAsia="zh-CN"/>
        </w:rPr>
        <w:t>2</w:t>
      </w:r>
      <w:r w:rsidRPr="000A0A5F">
        <w:t>.2.3.3.5-2: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CB0DD7">
      <w:pPr>
        <w:pStyle w:val="TH"/>
      </w:pPr>
      <w:r w:rsidRPr="000A0A5F">
        <w:t>Table</w:t>
      </w:r>
      <w:r w:rsidRPr="000A0A5F">
        <w:rPr>
          <w:rFonts w:cs="Arial"/>
        </w:rPr>
        <w:t> </w:t>
      </w:r>
      <w:r w:rsidRPr="000A0A5F">
        <w:t>5.</w:t>
      </w:r>
      <w:r w:rsidRPr="000A0A5F">
        <w:rPr>
          <w:lang w:eastAsia="zh-CN"/>
        </w:rPr>
        <w:t>8</w:t>
      </w:r>
      <w:r w:rsidRPr="000A0A5F">
        <w:t>.</w:t>
      </w:r>
      <w:r w:rsidRPr="000A0A5F">
        <w:rPr>
          <w:lang w:eastAsia="zh-CN"/>
        </w:rPr>
        <w:t>2</w:t>
      </w:r>
      <w:r w:rsidRPr="000A0A5F">
        <w:t>.2.3.3.5-3: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CB0DD7"/>
    <w:p w:rsidR="00CB0DD7" w:rsidRPr="000A0A5F" w:rsidRDefault="00CB0DD7">
      <w:pPr>
        <w:pStyle w:val="Heading5"/>
      </w:pPr>
      <w:bookmarkStart w:id="5583" w:name="_Toc11247591"/>
      <w:bookmarkStart w:id="5584" w:name="_Toc27044730"/>
      <w:bookmarkStart w:id="5585" w:name="_Toc36033772"/>
      <w:bookmarkStart w:id="5586" w:name="_Toc45131918"/>
      <w:bookmarkStart w:id="5587" w:name="_Toc49776203"/>
      <w:bookmarkStart w:id="5588" w:name="_Toc51747123"/>
      <w:bookmarkStart w:id="5589" w:name="_Toc66360687"/>
      <w:bookmarkStart w:id="5590" w:name="_Toc68105192"/>
      <w:bookmarkStart w:id="5591" w:name="_Toc74755822"/>
      <w:bookmarkStart w:id="5592" w:name="_Toc105674697"/>
      <w:bookmarkStart w:id="5593" w:name="_Toc130502749"/>
      <w:bookmarkStart w:id="5594" w:name="_Toc153625536"/>
      <w:r w:rsidRPr="000A0A5F">
        <w:t>5.8.2.2.4</w:t>
      </w:r>
      <w:r w:rsidRPr="000A0A5F">
        <w:tab/>
        <w:t>Resource: GMD via MBMS by MB2</w:t>
      </w:r>
      <w:bookmarkEnd w:id="5583"/>
      <w:bookmarkEnd w:id="5584"/>
      <w:bookmarkEnd w:id="5585"/>
      <w:bookmarkEnd w:id="5586"/>
      <w:bookmarkEnd w:id="5587"/>
      <w:bookmarkEnd w:id="5588"/>
      <w:bookmarkEnd w:id="5589"/>
      <w:bookmarkEnd w:id="5590"/>
      <w:bookmarkEnd w:id="5591"/>
      <w:bookmarkEnd w:id="5592"/>
      <w:bookmarkEnd w:id="5593"/>
      <w:bookmarkEnd w:id="5594"/>
    </w:p>
    <w:p w:rsidR="00CB0DD7" w:rsidRPr="000A0A5F" w:rsidRDefault="00CB0DD7">
      <w:pPr>
        <w:pStyle w:val="Heading6"/>
      </w:pPr>
      <w:bookmarkStart w:id="5595" w:name="_Toc11247592"/>
      <w:bookmarkStart w:id="5596" w:name="_Toc27044731"/>
      <w:bookmarkStart w:id="5597" w:name="_Toc36033773"/>
      <w:bookmarkStart w:id="5598" w:name="_Toc45131919"/>
      <w:bookmarkStart w:id="5599" w:name="_Toc49776204"/>
      <w:bookmarkStart w:id="5600" w:name="_Toc51747124"/>
      <w:bookmarkStart w:id="5601" w:name="_Toc66360688"/>
      <w:bookmarkStart w:id="5602" w:name="_Toc68105193"/>
      <w:bookmarkStart w:id="5603" w:name="_Toc74755823"/>
      <w:bookmarkStart w:id="5604" w:name="_Toc105674698"/>
      <w:bookmarkStart w:id="5605" w:name="_Toc130502750"/>
      <w:bookmarkStart w:id="5606" w:name="_Toc153625537"/>
      <w:r w:rsidRPr="000A0A5F">
        <w:t>5.8.2.2.4.1</w:t>
      </w:r>
      <w:r w:rsidRPr="000A0A5F">
        <w:tab/>
        <w:t>Introduction</w:t>
      </w:r>
      <w:bookmarkEnd w:id="5595"/>
      <w:bookmarkEnd w:id="5596"/>
      <w:bookmarkEnd w:id="5597"/>
      <w:bookmarkEnd w:id="5598"/>
      <w:bookmarkEnd w:id="5599"/>
      <w:bookmarkEnd w:id="5600"/>
      <w:bookmarkEnd w:id="5601"/>
      <w:bookmarkEnd w:id="5602"/>
      <w:bookmarkEnd w:id="5603"/>
      <w:bookmarkEnd w:id="5604"/>
      <w:bookmarkEnd w:id="5605"/>
      <w:bookmarkEnd w:id="5606"/>
    </w:p>
    <w:p w:rsidR="00CB0DD7" w:rsidRPr="000A0A5F" w:rsidRDefault="00CB0DD7">
      <w:pPr>
        <w:rPr>
          <w:noProof/>
          <w:lang w:eastAsia="zh-CN"/>
        </w:rPr>
      </w:pPr>
      <w:r w:rsidRPr="000A0A5F">
        <w:rPr>
          <w:noProof/>
          <w:lang w:eastAsia="zh-CN"/>
        </w:rPr>
        <w:t>This resource allows t</w:t>
      </w:r>
      <w:r w:rsidRPr="000A0A5F">
        <w:rPr>
          <w:rFonts w:hint="eastAsia"/>
          <w:noProof/>
          <w:lang w:eastAsia="zh-CN"/>
        </w:rPr>
        <w:t xml:space="preserve">he SCS/AS </w:t>
      </w:r>
      <w:r w:rsidRPr="000A0A5F">
        <w:rPr>
          <w:noProof/>
          <w:lang w:eastAsia="zh-CN"/>
        </w:rPr>
        <w:t>to read all active group message delivery resources or create a group message delivery when the MB2 is used as a southbound interface.</w:t>
      </w:r>
    </w:p>
    <w:p w:rsidR="00CB0DD7" w:rsidRPr="000A0A5F" w:rsidRDefault="00CB0DD7">
      <w:pPr>
        <w:pStyle w:val="Heading6"/>
      </w:pPr>
      <w:bookmarkStart w:id="5607" w:name="_Toc11247593"/>
      <w:bookmarkStart w:id="5608" w:name="_Toc27044732"/>
      <w:bookmarkStart w:id="5609" w:name="_Toc36033774"/>
      <w:bookmarkStart w:id="5610" w:name="_Toc45131920"/>
      <w:bookmarkStart w:id="5611" w:name="_Toc49776205"/>
      <w:bookmarkStart w:id="5612" w:name="_Toc51747125"/>
      <w:bookmarkStart w:id="5613" w:name="_Toc66360689"/>
      <w:bookmarkStart w:id="5614" w:name="_Toc68105194"/>
      <w:bookmarkStart w:id="5615" w:name="_Toc74755824"/>
      <w:bookmarkStart w:id="5616" w:name="_Toc105674699"/>
      <w:bookmarkStart w:id="5617" w:name="_Toc130502751"/>
      <w:bookmarkStart w:id="5618" w:name="_Toc153625538"/>
      <w:r w:rsidRPr="000A0A5F">
        <w:t>5.8.2.2.4.2</w:t>
      </w:r>
      <w:r w:rsidRPr="000A0A5F">
        <w:tab/>
        <w:t>Resource definition</w:t>
      </w:r>
      <w:bookmarkEnd w:id="5607"/>
      <w:bookmarkEnd w:id="5608"/>
      <w:bookmarkEnd w:id="5609"/>
      <w:bookmarkEnd w:id="5610"/>
      <w:bookmarkEnd w:id="5611"/>
      <w:bookmarkEnd w:id="5612"/>
      <w:bookmarkEnd w:id="5613"/>
      <w:bookmarkEnd w:id="5614"/>
      <w:bookmarkEnd w:id="5615"/>
      <w:bookmarkEnd w:id="5616"/>
      <w:bookmarkEnd w:id="5617"/>
      <w:bookmarkEnd w:id="5618"/>
    </w:p>
    <w:p w:rsidR="00CB0DD7" w:rsidRPr="000A0A5F" w:rsidRDefault="00CB0DD7">
      <w:r w:rsidRPr="000A0A5F">
        <w:t xml:space="preserve">Resource URI: </w:t>
      </w:r>
      <w:r w:rsidRPr="000A0A5F">
        <w:rPr>
          <w:b/>
        </w:rPr>
        <w:t>{apiRoot}/3gpp-group-message-delivery-mb2/v1/{scsAsId}/tmgi-allocation/{tmgi}/delivery-via-mbms</w:t>
      </w:r>
    </w:p>
    <w:p w:rsidR="00CB0DD7" w:rsidRPr="000A0A5F" w:rsidRDefault="00CB0DD7">
      <w:pPr>
        <w:rPr>
          <w:rFonts w:ascii="Arial" w:hAnsi="Arial" w:cs="Arial"/>
        </w:rPr>
      </w:pPr>
      <w:r w:rsidRPr="000A0A5F">
        <w:t>This resource shall support the resource URI variables defined in table 5.8.2.2.4.2-1</w:t>
      </w:r>
      <w:r w:rsidRPr="000A0A5F">
        <w:rPr>
          <w:rFonts w:ascii="Arial" w:hAnsi="Arial" w:cs="Arial"/>
        </w:rPr>
        <w:t>.</w:t>
      </w:r>
    </w:p>
    <w:p w:rsidR="00CB0DD7" w:rsidRPr="000A0A5F" w:rsidRDefault="00CB0DD7">
      <w:pPr>
        <w:pStyle w:val="TH"/>
        <w:rPr>
          <w:rFonts w:cs="Arial"/>
        </w:rPr>
      </w:pPr>
      <w:r w:rsidRPr="000A0A5F">
        <w:t>Table 5.8.2.2.4.2-1: Resource URI variables for resource "GMD via MBMS by MB2"</w:t>
      </w:r>
    </w:p>
    <w:tbl>
      <w:tblPr>
        <w:tblW w:w="4868"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970"/>
        <w:gridCol w:w="1171"/>
        <w:gridCol w:w="6378"/>
      </w:tblGrid>
      <w:tr w:rsidR="00CB0DD7" w:rsidRPr="000A0A5F" w:rsidTr="00FF0AF8">
        <w:trPr>
          <w:jc w:val="center"/>
        </w:trPr>
        <w:tc>
          <w:tcPr>
            <w:tcW w:w="1035" w:type="pct"/>
            <w:shd w:val="clear" w:color="000000" w:fill="C0C0C0"/>
          </w:tcPr>
          <w:p w:rsidR="00CB0DD7" w:rsidRPr="000A0A5F" w:rsidRDefault="00CB0DD7">
            <w:pPr>
              <w:pStyle w:val="TAH"/>
            </w:pPr>
            <w:r w:rsidRPr="000A0A5F">
              <w:t>Name</w:t>
            </w:r>
          </w:p>
        </w:tc>
        <w:tc>
          <w:tcPr>
            <w:tcW w:w="615" w:type="pct"/>
            <w:shd w:val="clear" w:color="000000" w:fill="C0C0C0"/>
          </w:tcPr>
          <w:p w:rsidR="00CB0DD7" w:rsidRPr="000A0A5F" w:rsidRDefault="00CB0DD7">
            <w:pPr>
              <w:pStyle w:val="TAH"/>
            </w:pPr>
            <w:r w:rsidRPr="000A0A5F">
              <w:t>Data type</w:t>
            </w:r>
          </w:p>
        </w:tc>
        <w:tc>
          <w:tcPr>
            <w:tcW w:w="3351" w:type="pct"/>
            <w:shd w:val="clear" w:color="000000" w:fill="C0C0C0"/>
            <w:vAlign w:val="center"/>
          </w:tcPr>
          <w:p w:rsidR="00CB0DD7" w:rsidRPr="000A0A5F" w:rsidRDefault="00CB0DD7">
            <w:pPr>
              <w:pStyle w:val="TAH"/>
            </w:pPr>
            <w:r w:rsidRPr="000A0A5F">
              <w:t>Definition</w:t>
            </w:r>
          </w:p>
        </w:tc>
      </w:tr>
      <w:tr w:rsidR="00CB0DD7" w:rsidRPr="000A0A5F" w:rsidTr="00FF0AF8">
        <w:trPr>
          <w:jc w:val="center"/>
        </w:trPr>
        <w:tc>
          <w:tcPr>
            <w:tcW w:w="1035" w:type="pct"/>
            <w:shd w:val="clear" w:color="auto" w:fill="auto"/>
          </w:tcPr>
          <w:p w:rsidR="00CB0DD7" w:rsidRPr="000A0A5F" w:rsidRDefault="00CB0DD7">
            <w:pPr>
              <w:pStyle w:val="TAL"/>
            </w:pPr>
            <w:r w:rsidRPr="000A0A5F">
              <w:t>apiRoot</w:t>
            </w:r>
          </w:p>
        </w:tc>
        <w:tc>
          <w:tcPr>
            <w:tcW w:w="615" w:type="pct"/>
          </w:tcPr>
          <w:p w:rsidR="00CB0DD7" w:rsidRPr="000A0A5F" w:rsidRDefault="00CB0DD7">
            <w:pPr>
              <w:pStyle w:val="TAL"/>
            </w:pPr>
            <w:r w:rsidRPr="000A0A5F">
              <w:t>string</w:t>
            </w:r>
          </w:p>
        </w:tc>
        <w:tc>
          <w:tcPr>
            <w:tcW w:w="3351" w:type="pct"/>
            <w:shd w:val="clear" w:color="auto" w:fill="auto"/>
            <w:vAlign w:val="center"/>
          </w:tcPr>
          <w:p w:rsidR="00CB0DD7" w:rsidRPr="000A0A5F" w:rsidRDefault="00CB0DD7">
            <w:pPr>
              <w:pStyle w:val="TAL"/>
            </w:pPr>
            <w:r w:rsidRPr="000A0A5F">
              <w:t>See clause</w:t>
            </w:r>
            <w:r w:rsidRPr="000A0A5F">
              <w:rPr>
                <w:lang w:val="en-US" w:eastAsia="zh-CN"/>
              </w:rPr>
              <w:t> </w:t>
            </w:r>
            <w:r w:rsidRPr="000A0A5F">
              <w:t>5.2.4.</w:t>
            </w:r>
          </w:p>
        </w:tc>
      </w:tr>
      <w:tr w:rsidR="00CB0DD7" w:rsidRPr="000A0A5F" w:rsidTr="00FF0AF8">
        <w:trPr>
          <w:jc w:val="center"/>
        </w:trPr>
        <w:tc>
          <w:tcPr>
            <w:tcW w:w="1035" w:type="pct"/>
            <w:shd w:val="clear" w:color="auto" w:fill="auto"/>
          </w:tcPr>
          <w:p w:rsidR="00CB0DD7" w:rsidRPr="000A0A5F" w:rsidRDefault="00CB0DD7">
            <w:pPr>
              <w:pStyle w:val="TAL"/>
            </w:pPr>
            <w:r w:rsidRPr="000A0A5F">
              <w:t>scsAsId</w:t>
            </w:r>
          </w:p>
        </w:tc>
        <w:tc>
          <w:tcPr>
            <w:tcW w:w="615" w:type="pct"/>
          </w:tcPr>
          <w:p w:rsidR="00CB0DD7" w:rsidRPr="000A0A5F" w:rsidRDefault="00CB0DD7">
            <w:pPr>
              <w:pStyle w:val="TAL"/>
            </w:pPr>
            <w:r w:rsidRPr="000A0A5F">
              <w:rPr>
                <w:rFonts w:hint="eastAsia"/>
                <w:lang w:eastAsia="zh-CN"/>
              </w:rPr>
              <w:t>s</w:t>
            </w:r>
            <w:r w:rsidRPr="000A0A5F">
              <w:rPr>
                <w:lang w:eastAsia="zh-CN"/>
              </w:rPr>
              <w:t>tring</w:t>
            </w:r>
          </w:p>
        </w:tc>
        <w:tc>
          <w:tcPr>
            <w:tcW w:w="3351" w:type="pct"/>
            <w:shd w:val="clear" w:color="auto" w:fill="auto"/>
            <w:vAlign w:val="center"/>
          </w:tcPr>
          <w:p w:rsidR="00CB0DD7" w:rsidRPr="000A0A5F" w:rsidRDefault="00CB0DD7">
            <w:pPr>
              <w:pStyle w:val="TAL"/>
            </w:pPr>
            <w:r w:rsidRPr="000A0A5F">
              <w:t>Identifier of the SCS/AS.</w:t>
            </w:r>
          </w:p>
        </w:tc>
      </w:tr>
      <w:tr w:rsidR="00CB0DD7" w:rsidRPr="000A0A5F" w:rsidTr="00FF0AF8">
        <w:trPr>
          <w:jc w:val="center"/>
        </w:trPr>
        <w:tc>
          <w:tcPr>
            <w:tcW w:w="1035" w:type="pct"/>
            <w:shd w:val="clear" w:color="auto" w:fill="auto"/>
          </w:tcPr>
          <w:p w:rsidR="00CB0DD7" w:rsidRPr="000A0A5F" w:rsidRDefault="00CB0DD7">
            <w:pPr>
              <w:pStyle w:val="TAL"/>
              <w:rPr>
                <w:rFonts w:hint="eastAsia"/>
                <w:lang w:eastAsia="zh-CN"/>
              </w:rPr>
            </w:pPr>
            <w:r w:rsidRPr="000A0A5F">
              <w:rPr>
                <w:lang w:eastAsia="zh-CN"/>
              </w:rPr>
              <w:t>T</w:t>
            </w:r>
            <w:r w:rsidRPr="000A0A5F">
              <w:rPr>
                <w:rFonts w:hint="eastAsia"/>
                <w:lang w:eastAsia="zh-CN"/>
              </w:rPr>
              <w:t>mgi</w:t>
            </w:r>
          </w:p>
        </w:tc>
        <w:tc>
          <w:tcPr>
            <w:tcW w:w="615" w:type="pct"/>
          </w:tcPr>
          <w:p w:rsidR="00CB0DD7" w:rsidRPr="000A0A5F" w:rsidRDefault="00CB0DD7">
            <w:pPr>
              <w:pStyle w:val="TAL"/>
              <w:rPr>
                <w:rFonts w:hint="eastAsia"/>
                <w:lang w:eastAsia="zh-CN"/>
              </w:rPr>
            </w:pPr>
            <w:r w:rsidRPr="000A0A5F">
              <w:t>string</w:t>
            </w:r>
          </w:p>
        </w:tc>
        <w:tc>
          <w:tcPr>
            <w:tcW w:w="3351" w:type="pct"/>
            <w:shd w:val="clear" w:color="auto" w:fill="auto"/>
            <w:vAlign w:val="center"/>
          </w:tcPr>
          <w:p w:rsidR="00CB0DD7" w:rsidRPr="000A0A5F" w:rsidRDefault="00CB0DD7">
            <w:pPr>
              <w:pStyle w:val="TAL"/>
              <w:rPr>
                <w:rFonts w:hint="eastAsia"/>
                <w:lang w:eastAsia="zh-CN"/>
              </w:rPr>
            </w:pPr>
            <w:r w:rsidRPr="000A0A5F">
              <w:rPr>
                <w:rFonts w:hint="eastAsia"/>
                <w:lang w:eastAsia="zh-CN"/>
              </w:rPr>
              <w:t>TMGI</w:t>
            </w:r>
          </w:p>
        </w:tc>
      </w:tr>
    </w:tbl>
    <w:p w:rsidR="00CB0DD7" w:rsidRPr="000A0A5F" w:rsidRDefault="00CB0DD7"/>
    <w:p w:rsidR="00CB0DD7" w:rsidRPr="000A0A5F" w:rsidRDefault="00CB0DD7">
      <w:pPr>
        <w:pStyle w:val="Heading6"/>
      </w:pPr>
      <w:bookmarkStart w:id="5619" w:name="_Toc11247594"/>
      <w:bookmarkStart w:id="5620" w:name="_Toc27044733"/>
      <w:bookmarkStart w:id="5621" w:name="_Toc36033775"/>
      <w:bookmarkStart w:id="5622" w:name="_Toc45131921"/>
      <w:bookmarkStart w:id="5623" w:name="_Toc49776206"/>
      <w:bookmarkStart w:id="5624" w:name="_Toc51747126"/>
      <w:bookmarkStart w:id="5625" w:name="_Toc66360690"/>
      <w:bookmarkStart w:id="5626" w:name="_Toc68105195"/>
      <w:bookmarkStart w:id="5627" w:name="_Toc74755825"/>
      <w:bookmarkStart w:id="5628" w:name="_Toc105674700"/>
      <w:bookmarkStart w:id="5629" w:name="_Toc130502752"/>
      <w:bookmarkStart w:id="5630" w:name="_Toc153625539"/>
      <w:r w:rsidRPr="000A0A5F">
        <w:t>5.8.2.2.4.3</w:t>
      </w:r>
      <w:r w:rsidRPr="000A0A5F">
        <w:tab/>
        <w:t>Resource methods</w:t>
      </w:r>
      <w:bookmarkEnd w:id="5619"/>
      <w:bookmarkEnd w:id="5620"/>
      <w:bookmarkEnd w:id="5621"/>
      <w:bookmarkEnd w:id="5622"/>
      <w:bookmarkEnd w:id="5623"/>
      <w:bookmarkEnd w:id="5624"/>
      <w:bookmarkEnd w:id="5625"/>
      <w:bookmarkEnd w:id="5626"/>
      <w:bookmarkEnd w:id="5627"/>
      <w:bookmarkEnd w:id="5628"/>
      <w:bookmarkEnd w:id="5629"/>
      <w:bookmarkEnd w:id="5630"/>
    </w:p>
    <w:p w:rsidR="00CB0DD7" w:rsidRPr="000A0A5F" w:rsidRDefault="00CB0DD7">
      <w:pPr>
        <w:pStyle w:val="Heading7"/>
      </w:pPr>
      <w:bookmarkStart w:id="5631" w:name="_Toc11247595"/>
      <w:bookmarkStart w:id="5632" w:name="_Toc27044734"/>
      <w:bookmarkStart w:id="5633" w:name="_Toc36033776"/>
      <w:bookmarkStart w:id="5634" w:name="_Toc45131922"/>
      <w:bookmarkStart w:id="5635" w:name="_Toc49776207"/>
      <w:bookmarkStart w:id="5636" w:name="_Toc51747127"/>
      <w:bookmarkStart w:id="5637" w:name="_Toc66360691"/>
      <w:bookmarkStart w:id="5638" w:name="_Toc68105196"/>
      <w:bookmarkStart w:id="5639" w:name="_Toc74755826"/>
      <w:bookmarkStart w:id="5640" w:name="_Toc105674701"/>
      <w:bookmarkStart w:id="5641" w:name="_Toc130502753"/>
      <w:bookmarkStart w:id="5642" w:name="_Toc153625540"/>
      <w:r w:rsidRPr="000A0A5F">
        <w:t>5.8.2.2.4.3.1</w:t>
      </w:r>
      <w:r w:rsidRPr="000A0A5F">
        <w:tab/>
        <w:t>GET</w:t>
      </w:r>
      <w:bookmarkEnd w:id="5631"/>
      <w:bookmarkEnd w:id="5632"/>
      <w:bookmarkEnd w:id="5633"/>
      <w:bookmarkEnd w:id="5634"/>
      <w:bookmarkEnd w:id="5635"/>
      <w:bookmarkEnd w:id="5636"/>
      <w:bookmarkEnd w:id="5637"/>
      <w:bookmarkEnd w:id="5638"/>
      <w:bookmarkEnd w:id="5639"/>
      <w:bookmarkEnd w:id="5640"/>
      <w:bookmarkEnd w:id="5641"/>
      <w:bookmarkEnd w:id="5642"/>
    </w:p>
    <w:p w:rsidR="00CB0DD7" w:rsidRPr="000A0A5F" w:rsidRDefault="00CB0DD7">
      <w:pPr>
        <w:rPr>
          <w:noProof/>
          <w:lang w:eastAsia="zh-CN"/>
        </w:rPr>
      </w:pPr>
      <w:r w:rsidRPr="000A0A5F">
        <w:rPr>
          <w:noProof/>
          <w:lang w:eastAsia="zh-CN"/>
        </w:rPr>
        <w:t xml:space="preserve">The GET method reads all group message delivery via MBMS resources for a given SCS/AS and a TMGI. It is initiated by the SCS/AS and answered by the SCEF. </w:t>
      </w:r>
    </w:p>
    <w:p w:rsidR="00CB0DD7" w:rsidRPr="000A0A5F" w:rsidRDefault="00CB0DD7">
      <w:pPr>
        <w:rPr>
          <w:rFonts w:hint="eastAsia"/>
          <w:lang w:eastAsia="zh-CN"/>
        </w:rPr>
      </w:pPr>
      <w:r w:rsidRPr="000A0A5F">
        <w:t>This method shall support request and response data structures, and response codes, as specified in the table 5.8.2.2.4.3.1-1.</w:t>
      </w:r>
    </w:p>
    <w:p w:rsidR="00CB0DD7" w:rsidRPr="000A0A5F" w:rsidRDefault="00CB0DD7">
      <w:pPr>
        <w:pStyle w:val="TH"/>
        <w:rPr>
          <w:rFonts w:hint="eastAsia"/>
          <w:lang w:eastAsia="zh-CN"/>
        </w:rPr>
      </w:pPr>
      <w:r w:rsidRPr="000A0A5F">
        <w:t>Table 5.</w:t>
      </w:r>
      <w:r w:rsidRPr="000A0A5F">
        <w:rPr>
          <w:lang w:eastAsia="zh-CN"/>
        </w:rPr>
        <w:t>8</w:t>
      </w:r>
      <w:r w:rsidRPr="000A0A5F">
        <w:t>.2.2.4.3.</w:t>
      </w:r>
      <w:r w:rsidRPr="000A0A5F">
        <w:rPr>
          <w:lang w:eastAsia="zh-CN"/>
        </w:rPr>
        <w:t>1</w:t>
      </w:r>
      <w:r w:rsidRPr="000A0A5F">
        <w:rPr>
          <w:rFonts w:hint="eastAsia"/>
          <w:lang w:eastAsia="zh-CN"/>
        </w:rPr>
        <w:t>-1</w:t>
      </w:r>
      <w:r w:rsidRPr="000A0A5F">
        <w:t>: Data structures supported by the GET request/response by the resource</w:t>
      </w:r>
    </w:p>
    <w:tbl>
      <w:tblPr>
        <w:tblW w:w="4999" w:type="pct"/>
        <w:tblInd w:w="1" w:type="dxa"/>
        <w:tblBorders>
          <w:top w:val="single" w:sz="6" w:space="0" w:color="000000"/>
          <w:left w:val="single" w:sz="6" w:space="0" w:color="000000"/>
          <w:bottom w:val="single" w:sz="6" w:space="0" w:color="000000"/>
          <w:right w:val="single" w:sz="6" w:space="0" w:color="000000"/>
          <w:insideH w:val="single" w:sz="6" w:space="0" w:color="auto"/>
          <w:insideV w:val="single" w:sz="6" w:space="0" w:color="000000"/>
        </w:tblBorders>
        <w:tblLayout w:type="fixed"/>
        <w:tblCellMar>
          <w:top w:w="45" w:type="dxa"/>
          <w:left w:w="45" w:type="dxa"/>
          <w:bottom w:w="45" w:type="dxa"/>
          <w:right w:w="45" w:type="dxa"/>
        </w:tblCellMar>
        <w:tblLook w:val="0000" w:firstRow="0" w:lastRow="0" w:firstColumn="0" w:lastColumn="0" w:noHBand="0" w:noVBand="0"/>
      </w:tblPr>
      <w:tblGrid>
        <w:gridCol w:w="1033"/>
        <w:gridCol w:w="2127"/>
        <w:gridCol w:w="1053"/>
        <w:gridCol w:w="973"/>
        <w:gridCol w:w="4543"/>
        <w:tblGridChange w:id="5643">
          <w:tblGrid>
            <w:gridCol w:w="1033"/>
            <w:gridCol w:w="2127"/>
            <w:gridCol w:w="1053"/>
            <w:gridCol w:w="973"/>
            <w:gridCol w:w="4543"/>
          </w:tblGrid>
        </w:tblGridChange>
      </w:tblGrid>
      <w:tr w:rsidR="00CB0DD7" w:rsidRPr="000A0A5F" w:rsidTr="00790FC9">
        <w:tc>
          <w:tcPr>
            <w:tcW w:w="531" w:type="pct"/>
            <w:vMerge w:val="restart"/>
            <w:shd w:val="clear" w:color="auto" w:fill="C0C0C0"/>
            <w:vAlign w:val="center"/>
          </w:tcPr>
          <w:p w:rsidR="00CB0DD7" w:rsidRPr="000A0A5F" w:rsidRDefault="00CB0DD7">
            <w:pPr>
              <w:pStyle w:val="TAH"/>
            </w:pPr>
            <w:r w:rsidRPr="000A0A5F">
              <w:t>Request body</w:t>
            </w:r>
          </w:p>
        </w:tc>
        <w:tc>
          <w:tcPr>
            <w:tcW w:w="1093" w:type="pct"/>
            <w:shd w:val="clear" w:color="auto" w:fill="C0C0C0"/>
          </w:tcPr>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r w:rsidRPr="000A0A5F">
              <w:t>Cardinality</w:t>
            </w:r>
          </w:p>
        </w:tc>
        <w:tc>
          <w:tcPr>
            <w:tcW w:w="2835" w:type="pct"/>
            <w:gridSpan w:val="2"/>
            <w:shd w:val="clear" w:color="auto" w:fill="C0C0C0"/>
          </w:tcPr>
          <w:p w:rsidR="00CB0DD7" w:rsidRPr="000A0A5F" w:rsidRDefault="00CB0DD7">
            <w:pPr>
              <w:pStyle w:val="TAH"/>
            </w:pPr>
            <w:r w:rsidRPr="000A0A5F">
              <w:t>Remarks</w:t>
            </w:r>
          </w:p>
        </w:tc>
      </w:tr>
      <w:tr w:rsidR="00CB0DD7" w:rsidRPr="000A0A5F" w:rsidTr="00FF0AF8">
        <w:tc>
          <w:tcPr>
            <w:tcW w:w="531"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rPr>
                <w:rFonts w:hint="eastAsia"/>
                <w:lang w:eastAsia="zh-CN"/>
              </w:rPr>
              <w:t>none</w:t>
            </w:r>
          </w:p>
        </w:tc>
        <w:tc>
          <w:tcPr>
            <w:tcW w:w="541" w:type="pct"/>
          </w:tcPr>
          <w:p w:rsidR="00CB0DD7" w:rsidRPr="000A0A5F" w:rsidRDefault="00CB0DD7">
            <w:pPr>
              <w:pStyle w:val="TAL"/>
            </w:pPr>
          </w:p>
        </w:tc>
        <w:tc>
          <w:tcPr>
            <w:tcW w:w="2835" w:type="pct"/>
            <w:gridSpan w:val="2"/>
          </w:tcPr>
          <w:p w:rsidR="00CB0DD7" w:rsidRPr="000A0A5F" w:rsidRDefault="00CB0DD7">
            <w:pPr>
              <w:pStyle w:val="TAL"/>
            </w:pPr>
          </w:p>
        </w:tc>
      </w:tr>
      <w:tr w:rsidR="00CB0DD7" w:rsidRPr="000A0A5F" w:rsidTr="00790FC9">
        <w:tc>
          <w:tcPr>
            <w:tcW w:w="531" w:type="pct"/>
            <w:vMerge w:val="restart"/>
            <w:shd w:val="clear" w:color="auto" w:fill="C0C0C0"/>
            <w:vAlign w:val="center"/>
          </w:tcPr>
          <w:p w:rsidR="00CB0DD7" w:rsidRPr="000A0A5F" w:rsidRDefault="00CB0DD7">
            <w:pPr>
              <w:pStyle w:val="TAH"/>
            </w:pPr>
            <w:r w:rsidRPr="000A0A5F">
              <w:t>Response body</w:t>
            </w:r>
          </w:p>
        </w:tc>
        <w:tc>
          <w:tcPr>
            <w:tcW w:w="1093" w:type="pct"/>
            <w:shd w:val="clear" w:color="auto" w:fill="C0C0C0"/>
          </w:tcPr>
          <w:p w:rsidR="00CB0DD7" w:rsidRPr="000A0A5F" w:rsidRDefault="00CB0DD7">
            <w:pPr>
              <w:pStyle w:val="TAH"/>
            </w:pPr>
          </w:p>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p>
          <w:p w:rsidR="00CB0DD7" w:rsidRPr="000A0A5F" w:rsidRDefault="00CB0DD7">
            <w:pPr>
              <w:pStyle w:val="TAH"/>
            </w:pPr>
            <w:r w:rsidRPr="000A0A5F">
              <w:t>Cardinality</w:t>
            </w:r>
          </w:p>
        </w:tc>
        <w:tc>
          <w:tcPr>
            <w:tcW w:w="500" w:type="pct"/>
            <w:shd w:val="clear" w:color="auto" w:fill="C0C0C0"/>
          </w:tcPr>
          <w:p w:rsidR="00CB0DD7" w:rsidRPr="000A0A5F" w:rsidRDefault="00CB0DD7">
            <w:pPr>
              <w:pStyle w:val="TAH"/>
            </w:pPr>
            <w:r w:rsidRPr="000A0A5F">
              <w:t>Response</w:t>
            </w:r>
          </w:p>
          <w:p w:rsidR="00CB0DD7" w:rsidRPr="000A0A5F" w:rsidRDefault="00CB0DD7">
            <w:pPr>
              <w:pStyle w:val="TAH"/>
            </w:pPr>
            <w:r w:rsidRPr="000A0A5F">
              <w:t>codes</w:t>
            </w:r>
          </w:p>
        </w:tc>
        <w:tc>
          <w:tcPr>
            <w:tcW w:w="2335" w:type="pct"/>
            <w:shd w:val="clear" w:color="auto" w:fill="C0C0C0"/>
          </w:tcPr>
          <w:p w:rsidR="00CB0DD7" w:rsidRPr="000A0A5F" w:rsidRDefault="00CB0DD7">
            <w:pPr>
              <w:pStyle w:val="TAH"/>
            </w:pPr>
          </w:p>
          <w:p w:rsidR="00CB0DD7" w:rsidRPr="000A0A5F" w:rsidRDefault="00CB0DD7">
            <w:pPr>
              <w:pStyle w:val="TAH"/>
            </w:pPr>
            <w:r w:rsidRPr="000A0A5F">
              <w:t>Remarks</w:t>
            </w:r>
          </w:p>
        </w:tc>
      </w:tr>
      <w:tr w:rsidR="00CB0DD7" w:rsidRPr="000A0A5F" w:rsidTr="00FF0AF8">
        <w:tc>
          <w:tcPr>
            <w:tcW w:w="531"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rPr>
                <w:lang w:eastAsia="zh-CN"/>
              </w:rPr>
              <w:t>array(GMDViaMBMSByMb2)</w:t>
            </w:r>
          </w:p>
        </w:tc>
        <w:tc>
          <w:tcPr>
            <w:tcW w:w="541" w:type="pct"/>
          </w:tcPr>
          <w:p w:rsidR="00CB0DD7" w:rsidRPr="000A0A5F" w:rsidRDefault="00CB0DD7">
            <w:pPr>
              <w:pStyle w:val="TAL"/>
              <w:rPr>
                <w:rFonts w:hint="eastAsia"/>
                <w:lang w:eastAsia="zh-CN"/>
              </w:rPr>
            </w:pPr>
            <w:r w:rsidRPr="000A0A5F">
              <w:rPr>
                <w:rFonts w:hint="eastAsia"/>
                <w:lang w:eastAsia="zh-CN"/>
              </w:rPr>
              <w:t>0..N</w:t>
            </w:r>
          </w:p>
        </w:tc>
        <w:tc>
          <w:tcPr>
            <w:tcW w:w="500" w:type="pct"/>
          </w:tcPr>
          <w:p w:rsidR="00CB0DD7" w:rsidRPr="000A0A5F" w:rsidRDefault="00CB0DD7">
            <w:pPr>
              <w:pStyle w:val="TAL"/>
            </w:pPr>
            <w:r w:rsidRPr="000A0A5F">
              <w:t>200 OK</w:t>
            </w:r>
          </w:p>
        </w:tc>
        <w:tc>
          <w:tcPr>
            <w:tcW w:w="2335" w:type="pct"/>
          </w:tcPr>
          <w:p w:rsidR="00CB0DD7" w:rsidRPr="000A0A5F" w:rsidRDefault="00CB0DD7">
            <w:pPr>
              <w:pStyle w:val="TAL"/>
              <w:rPr>
                <w:rFonts w:hint="eastAsia"/>
                <w:lang w:eastAsia="zh-CN"/>
              </w:rPr>
            </w:pPr>
            <w:r w:rsidRPr="000A0A5F">
              <w:rPr>
                <w:rFonts w:hint="eastAsia"/>
                <w:lang w:eastAsia="zh-CN"/>
              </w:rPr>
              <w:t xml:space="preserve">The TMGI allocation for the SCS/AS in the </w:t>
            </w:r>
            <w:r w:rsidRPr="000A0A5F">
              <w:rPr>
                <w:lang w:eastAsia="zh-CN"/>
              </w:rPr>
              <w:t>request</w:t>
            </w:r>
            <w:r w:rsidRPr="000A0A5F">
              <w:rPr>
                <w:rFonts w:hint="eastAsia"/>
                <w:lang w:eastAsia="zh-CN"/>
              </w:rPr>
              <w:t xml:space="preserve"> </w:t>
            </w:r>
            <w:r w:rsidRPr="000A0A5F">
              <w:rPr>
                <w:lang w:eastAsia="zh-CN"/>
              </w:rPr>
              <w:t>URI are returned.</w:t>
            </w:r>
          </w:p>
        </w:tc>
      </w:tr>
      <w:tr w:rsidR="00CB0DD7" w:rsidRPr="000A0A5F" w:rsidTr="00FF0AF8">
        <w:tc>
          <w:tcPr>
            <w:tcW w:w="531"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lang w:eastAsia="zh-CN"/>
              </w:rPr>
            </w:pPr>
            <w:r w:rsidRPr="000A0A5F">
              <w:t>none</w:t>
            </w:r>
          </w:p>
        </w:tc>
        <w:tc>
          <w:tcPr>
            <w:tcW w:w="541" w:type="pct"/>
          </w:tcPr>
          <w:p w:rsidR="00CB0DD7" w:rsidRPr="000A0A5F" w:rsidRDefault="00CB0DD7">
            <w:pPr>
              <w:pStyle w:val="TAL"/>
              <w:rPr>
                <w:rFonts w:hint="eastAsia"/>
                <w:lang w:eastAsia="zh-CN"/>
              </w:rPr>
            </w:pPr>
          </w:p>
        </w:tc>
        <w:tc>
          <w:tcPr>
            <w:tcW w:w="500" w:type="pct"/>
          </w:tcPr>
          <w:p w:rsidR="00CB0DD7" w:rsidRPr="000A0A5F" w:rsidRDefault="00CB0DD7">
            <w:pPr>
              <w:pStyle w:val="TAL"/>
            </w:pPr>
            <w:r w:rsidRPr="000A0A5F">
              <w:t>307 Temporary Redirect</w:t>
            </w:r>
          </w:p>
        </w:tc>
        <w:tc>
          <w:tcPr>
            <w:tcW w:w="2335" w:type="pct"/>
          </w:tcPr>
          <w:p w:rsidR="00CB0DD7" w:rsidRPr="000A0A5F" w:rsidRDefault="00CB0DD7">
            <w:pPr>
              <w:pStyle w:val="TAL"/>
            </w:pPr>
            <w:r w:rsidRPr="000A0A5F">
              <w:t xml:space="preserve">Temporary redirection, during </w:t>
            </w:r>
            <w:r w:rsidRPr="000A0A5F">
              <w:rPr>
                <w:rFonts w:hint="eastAsia"/>
                <w:lang w:eastAsia="zh-CN"/>
              </w:rPr>
              <w:t>resource</w:t>
            </w:r>
            <w:r w:rsidRPr="000A0A5F">
              <w:t xml:space="preserve"> retrieval. The response shall include a Location header field containing an alternative URI of the resource located in an alternative SCEF.</w:t>
            </w:r>
          </w:p>
          <w:p w:rsidR="00CB0DD7" w:rsidRPr="000A0A5F" w:rsidRDefault="00CB0DD7">
            <w:pPr>
              <w:pStyle w:val="TAL"/>
              <w:rPr>
                <w:rFonts w:hint="eastAsia"/>
                <w:lang w:eastAsia="zh-CN"/>
              </w:rPr>
            </w:pPr>
            <w:r w:rsidRPr="000A0A5F">
              <w:t>Redirection handling is described in clause 5.2.10.</w:t>
            </w:r>
          </w:p>
        </w:tc>
      </w:tr>
      <w:tr w:rsidR="00CB0DD7" w:rsidRPr="000A0A5F" w:rsidTr="00FF0AF8">
        <w:tc>
          <w:tcPr>
            <w:tcW w:w="531"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lang w:eastAsia="zh-CN"/>
              </w:rPr>
            </w:pPr>
            <w:r w:rsidRPr="000A0A5F">
              <w:t>none</w:t>
            </w:r>
          </w:p>
        </w:tc>
        <w:tc>
          <w:tcPr>
            <w:tcW w:w="541" w:type="pct"/>
          </w:tcPr>
          <w:p w:rsidR="00CB0DD7" w:rsidRPr="000A0A5F" w:rsidRDefault="00CB0DD7">
            <w:pPr>
              <w:pStyle w:val="TAL"/>
              <w:rPr>
                <w:rFonts w:hint="eastAsia"/>
                <w:lang w:eastAsia="zh-CN"/>
              </w:rPr>
            </w:pPr>
          </w:p>
        </w:tc>
        <w:tc>
          <w:tcPr>
            <w:tcW w:w="500" w:type="pct"/>
          </w:tcPr>
          <w:p w:rsidR="00CB0DD7" w:rsidRPr="000A0A5F" w:rsidRDefault="00CB0DD7">
            <w:pPr>
              <w:pStyle w:val="TAL"/>
            </w:pPr>
            <w:r w:rsidRPr="000A0A5F">
              <w:t>308 Permanent Redirect</w:t>
            </w:r>
          </w:p>
        </w:tc>
        <w:tc>
          <w:tcPr>
            <w:tcW w:w="2335" w:type="pct"/>
          </w:tcPr>
          <w:p w:rsidR="00CB0DD7" w:rsidRPr="000A0A5F" w:rsidRDefault="00CB0DD7">
            <w:pPr>
              <w:pStyle w:val="TAL"/>
            </w:pPr>
            <w:r w:rsidRPr="000A0A5F">
              <w:t xml:space="preserve">Permanent redirection, during </w:t>
            </w:r>
            <w:r w:rsidRPr="000A0A5F">
              <w:rPr>
                <w:rFonts w:hint="eastAsia"/>
                <w:lang w:eastAsia="zh-CN"/>
              </w:rPr>
              <w:t>resource</w:t>
            </w:r>
            <w:r w:rsidRPr="000A0A5F">
              <w:t xml:space="preserve"> retrieval. The response shall include a Location header field containing an alternative URI of the resource located in an alternative SCEF.</w:t>
            </w:r>
          </w:p>
          <w:p w:rsidR="00CB0DD7" w:rsidRPr="000A0A5F" w:rsidRDefault="00CB0DD7">
            <w:pPr>
              <w:pStyle w:val="TAL"/>
              <w:rPr>
                <w:rFonts w:hint="eastAsia"/>
                <w:lang w:eastAsia="zh-CN"/>
              </w:rPr>
            </w:pPr>
            <w:r w:rsidRPr="000A0A5F">
              <w:t>Redirection handling is described in clause 5.2.10.</w:t>
            </w:r>
          </w:p>
        </w:tc>
      </w:tr>
      <w:tr w:rsidR="00CB0DD7" w:rsidRPr="000A0A5F" w:rsidTr="00FF0AF8">
        <w:tc>
          <w:tcPr>
            <w:tcW w:w="5000" w:type="pct"/>
            <w:gridSpan w:val="5"/>
            <w:shd w:val="clear" w:color="auto" w:fill="auto"/>
            <w:vAlign w:val="center"/>
          </w:tcPr>
          <w:p w:rsidR="00CB0DD7" w:rsidRPr="000A0A5F" w:rsidRDefault="00CB0DD7">
            <w:pPr>
              <w:pStyle w:val="TAN"/>
            </w:pPr>
            <w:r w:rsidRPr="000A0A5F">
              <w:t>NOTE:</w:t>
            </w:r>
            <w:r w:rsidRPr="000A0A5F">
              <w:tab/>
              <w:t>The mandatory HTTP error status codes for the GET method listed in table 5.2.6-1 also apply.</w:t>
            </w:r>
          </w:p>
        </w:tc>
      </w:tr>
    </w:tbl>
    <w:p w:rsidR="00CB0DD7" w:rsidRPr="000A0A5F" w:rsidRDefault="00CB0DD7"/>
    <w:p w:rsidR="00CB0DD7" w:rsidRPr="000A0A5F" w:rsidRDefault="00CB0DD7">
      <w:pPr>
        <w:pStyle w:val="TH"/>
      </w:pPr>
      <w:r w:rsidRPr="000A0A5F">
        <w:t>Table 5.</w:t>
      </w:r>
      <w:r w:rsidRPr="000A0A5F">
        <w:rPr>
          <w:lang w:eastAsia="zh-CN"/>
        </w:rPr>
        <w:t>8</w:t>
      </w:r>
      <w:r w:rsidRPr="000A0A5F">
        <w:t>.2.2.4.3.</w:t>
      </w:r>
      <w:r w:rsidRPr="000A0A5F">
        <w:rPr>
          <w:lang w:eastAsia="zh-CN"/>
        </w:rPr>
        <w:t>1</w:t>
      </w:r>
      <w:r w:rsidRPr="000A0A5F">
        <w:t>-2: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CB0DD7">
      <w:pPr>
        <w:pStyle w:val="TH"/>
      </w:pPr>
      <w:r w:rsidRPr="000A0A5F">
        <w:t>Table 5.</w:t>
      </w:r>
      <w:r w:rsidRPr="000A0A5F">
        <w:rPr>
          <w:lang w:eastAsia="zh-CN"/>
        </w:rPr>
        <w:t>8</w:t>
      </w:r>
      <w:r w:rsidRPr="000A0A5F">
        <w:t>.2.2.4.3.</w:t>
      </w:r>
      <w:r w:rsidRPr="000A0A5F">
        <w:rPr>
          <w:lang w:eastAsia="zh-CN"/>
        </w:rPr>
        <w:t>1</w:t>
      </w:r>
      <w:r w:rsidRPr="000A0A5F">
        <w:t>-3: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CB0DD7">
      <w:pPr>
        <w:pStyle w:val="Heading7"/>
      </w:pPr>
      <w:bookmarkStart w:id="5644" w:name="_Toc11247596"/>
      <w:bookmarkStart w:id="5645" w:name="_Toc27044735"/>
      <w:bookmarkStart w:id="5646" w:name="_Toc36033777"/>
      <w:bookmarkStart w:id="5647" w:name="_Toc45131923"/>
      <w:bookmarkStart w:id="5648" w:name="_Toc49776208"/>
      <w:bookmarkStart w:id="5649" w:name="_Toc51747128"/>
      <w:bookmarkStart w:id="5650" w:name="_Toc66360692"/>
      <w:bookmarkStart w:id="5651" w:name="_Toc68105197"/>
      <w:bookmarkStart w:id="5652" w:name="_Toc74755827"/>
      <w:bookmarkStart w:id="5653" w:name="_Toc105674702"/>
      <w:bookmarkStart w:id="5654" w:name="_Toc130502754"/>
      <w:bookmarkStart w:id="5655" w:name="_Toc153625541"/>
      <w:r w:rsidRPr="000A0A5F">
        <w:t>5.8.2.2.4.3.2</w:t>
      </w:r>
      <w:r w:rsidRPr="000A0A5F">
        <w:tab/>
        <w:t>PUT</w:t>
      </w:r>
      <w:bookmarkEnd w:id="5644"/>
      <w:bookmarkEnd w:id="5645"/>
      <w:bookmarkEnd w:id="5646"/>
      <w:bookmarkEnd w:id="5647"/>
      <w:bookmarkEnd w:id="5648"/>
      <w:bookmarkEnd w:id="5649"/>
      <w:bookmarkEnd w:id="5650"/>
      <w:bookmarkEnd w:id="5651"/>
      <w:bookmarkEnd w:id="5652"/>
      <w:bookmarkEnd w:id="5653"/>
      <w:bookmarkEnd w:id="5654"/>
      <w:bookmarkEnd w:id="5655"/>
    </w:p>
    <w:p w:rsidR="00CB0DD7" w:rsidRPr="000A0A5F" w:rsidRDefault="00CB0DD7">
      <w:r w:rsidRPr="000A0A5F">
        <w:rPr>
          <w:rFonts w:hint="eastAsia"/>
          <w:lang w:eastAsia="zh-CN"/>
        </w:rPr>
        <w:t xml:space="preserve">This </w:t>
      </w:r>
      <w:r w:rsidRPr="000A0A5F">
        <w:rPr>
          <w:lang w:eastAsia="zh-CN"/>
        </w:rPr>
        <w:t>HTTP method is not supported for the resource.</w:t>
      </w:r>
    </w:p>
    <w:p w:rsidR="00CB0DD7" w:rsidRPr="000A0A5F" w:rsidRDefault="00CB0DD7">
      <w:pPr>
        <w:pStyle w:val="Heading7"/>
      </w:pPr>
      <w:bookmarkStart w:id="5656" w:name="_Toc11247597"/>
      <w:bookmarkStart w:id="5657" w:name="_Toc27044736"/>
      <w:bookmarkStart w:id="5658" w:name="_Toc36033778"/>
      <w:bookmarkStart w:id="5659" w:name="_Toc45131924"/>
      <w:bookmarkStart w:id="5660" w:name="_Toc49776209"/>
      <w:bookmarkStart w:id="5661" w:name="_Toc51747129"/>
      <w:bookmarkStart w:id="5662" w:name="_Toc66360693"/>
      <w:bookmarkStart w:id="5663" w:name="_Toc68105198"/>
      <w:bookmarkStart w:id="5664" w:name="_Toc74755828"/>
      <w:bookmarkStart w:id="5665" w:name="_Toc105674703"/>
      <w:bookmarkStart w:id="5666" w:name="_Toc130502755"/>
      <w:bookmarkStart w:id="5667" w:name="_Toc153625542"/>
      <w:r w:rsidRPr="000A0A5F">
        <w:t>5.8.2.2.4.3.3</w:t>
      </w:r>
      <w:r w:rsidRPr="000A0A5F">
        <w:tab/>
        <w:t>PATCH</w:t>
      </w:r>
      <w:bookmarkEnd w:id="5656"/>
      <w:bookmarkEnd w:id="5657"/>
      <w:bookmarkEnd w:id="5658"/>
      <w:bookmarkEnd w:id="5659"/>
      <w:bookmarkEnd w:id="5660"/>
      <w:bookmarkEnd w:id="5661"/>
      <w:bookmarkEnd w:id="5662"/>
      <w:bookmarkEnd w:id="5663"/>
      <w:bookmarkEnd w:id="5664"/>
      <w:bookmarkEnd w:id="5665"/>
      <w:bookmarkEnd w:id="5666"/>
      <w:bookmarkEnd w:id="5667"/>
    </w:p>
    <w:p w:rsidR="00CB0DD7" w:rsidRPr="000A0A5F" w:rsidRDefault="00CB0DD7">
      <w:r w:rsidRPr="000A0A5F">
        <w:rPr>
          <w:rFonts w:hint="eastAsia"/>
          <w:lang w:eastAsia="zh-CN"/>
        </w:rPr>
        <w:t xml:space="preserve">This </w:t>
      </w:r>
      <w:r w:rsidRPr="000A0A5F">
        <w:rPr>
          <w:lang w:eastAsia="zh-CN"/>
        </w:rPr>
        <w:t>HTTP method is not supported for the resource.</w:t>
      </w:r>
    </w:p>
    <w:p w:rsidR="00CB0DD7" w:rsidRPr="000A0A5F" w:rsidRDefault="00CB0DD7">
      <w:pPr>
        <w:pStyle w:val="Heading7"/>
      </w:pPr>
      <w:bookmarkStart w:id="5668" w:name="_Toc11247598"/>
      <w:bookmarkStart w:id="5669" w:name="_Toc27044737"/>
      <w:bookmarkStart w:id="5670" w:name="_Toc36033779"/>
      <w:bookmarkStart w:id="5671" w:name="_Toc45131925"/>
      <w:bookmarkStart w:id="5672" w:name="_Toc49776210"/>
      <w:bookmarkStart w:id="5673" w:name="_Toc51747130"/>
      <w:bookmarkStart w:id="5674" w:name="_Toc66360694"/>
      <w:bookmarkStart w:id="5675" w:name="_Toc68105199"/>
      <w:bookmarkStart w:id="5676" w:name="_Toc74755829"/>
      <w:bookmarkStart w:id="5677" w:name="_Toc105674704"/>
      <w:bookmarkStart w:id="5678" w:name="_Toc130502756"/>
      <w:bookmarkStart w:id="5679" w:name="_Toc153625543"/>
      <w:r w:rsidRPr="000A0A5F">
        <w:t>5.8.2.2.4.3.4</w:t>
      </w:r>
      <w:r w:rsidRPr="000A0A5F">
        <w:tab/>
        <w:t>POST</w:t>
      </w:r>
      <w:bookmarkEnd w:id="5668"/>
      <w:bookmarkEnd w:id="5669"/>
      <w:bookmarkEnd w:id="5670"/>
      <w:bookmarkEnd w:id="5671"/>
      <w:bookmarkEnd w:id="5672"/>
      <w:bookmarkEnd w:id="5673"/>
      <w:bookmarkEnd w:id="5674"/>
      <w:bookmarkEnd w:id="5675"/>
      <w:bookmarkEnd w:id="5676"/>
      <w:bookmarkEnd w:id="5677"/>
      <w:bookmarkEnd w:id="5678"/>
      <w:bookmarkEnd w:id="5679"/>
    </w:p>
    <w:p w:rsidR="00CB0DD7" w:rsidRPr="000A0A5F" w:rsidRDefault="00CB0DD7">
      <w:pPr>
        <w:rPr>
          <w:noProof/>
          <w:lang w:eastAsia="zh-CN"/>
        </w:rPr>
      </w:pPr>
      <w:r w:rsidRPr="000A0A5F">
        <w:rPr>
          <w:noProof/>
          <w:lang w:eastAsia="zh-CN"/>
        </w:rPr>
        <w:t>The POST method creates a new group message delivery via MBMS resource for a given SCS/AS and TMGI selected by the SCS/AS. It is initiated by the SCS/AS and answered by the SCEF. The SCEF shall construct the URI of the created resource using that URI.</w:t>
      </w:r>
    </w:p>
    <w:p w:rsidR="00CB0DD7" w:rsidRPr="000A0A5F" w:rsidRDefault="00CB0DD7">
      <w:pPr>
        <w:rPr>
          <w:rFonts w:hint="eastAsia"/>
          <w:lang w:eastAsia="zh-CN"/>
        </w:rPr>
      </w:pPr>
      <w:r w:rsidRPr="000A0A5F">
        <w:t>This method shall support request and response data structures, and response codes, as specified in the table 5.8.2.2.4.3.4-1.</w:t>
      </w:r>
    </w:p>
    <w:p w:rsidR="00CB0DD7" w:rsidRPr="000A0A5F" w:rsidRDefault="00CB0DD7">
      <w:pPr>
        <w:pStyle w:val="TH"/>
        <w:rPr>
          <w:rFonts w:hint="eastAsia"/>
          <w:lang w:eastAsia="zh-CN"/>
        </w:rPr>
      </w:pPr>
      <w:r w:rsidRPr="000A0A5F">
        <w:t>Table 5.</w:t>
      </w:r>
      <w:r w:rsidRPr="000A0A5F">
        <w:rPr>
          <w:lang w:eastAsia="zh-CN"/>
        </w:rPr>
        <w:t>8</w:t>
      </w:r>
      <w:r w:rsidRPr="000A0A5F">
        <w:t>.</w:t>
      </w:r>
      <w:r w:rsidRPr="000A0A5F">
        <w:rPr>
          <w:lang w:eastAsia="zh-CN"/>
        </w:rPr>
        <w:t>2.2</w:t>
      </w:r>
      <w:r w:rsidRPr="000A0A5F">
        <w:t>.4.3.</w:t>
      </w:r>
      <w:r w:rsidRPr="000A0A5F">
        <w:rPr>
          <w:rFonts w:hint="eastAsia"/>
          <w:lang w:eastAsia="zh-CN"/>
        </w:rPr>
        <w:t>4-1</w:t>
      </w:r>
      <w:r w:rsidRPr="000A0A5F">
        <w:t>: Data structures supported by the POST request/response by the resource</w:t>
      </w:r>
    </w:p>
    <w:tbl>
      <w:tblPr>
        <w:tblW w:w="4999" w:type="pct"/>
        <w:tblInd w:w="1" w:type="dxa"/>
        <w:tblBorders>
          <w:top w:val="single" w:sz="6" w:space="0" w:color="000000"/>
          <w:left w:val="single" w:sz="6" w:space="0" w:color="000000"/>
          <w:bottom w:val="single" w:sz="6" w:space="0" w:color="000000"/>
          <w:right w:val="single" w:sz="6" w:space="0" w:color="000000"/>
          <w:insideH w:val="single" w:sz="6" w:space="0" w:color="auto"/>
          <w:insideV w:val="single" w:sz="6" w:space="0" w:color="000000"/>
        </w:tblBorders>
        <w:tblLayout w:type="fixed"/>
        <w:tblCellMar>
          <w:top w:w="45" w:type="dxa"/>
          <w:left w:w="45" w:type="dxa"/>
          <w:bottom w:w="45" w:type="dxa"/>
          <w:right w:w="45" w:type="dxa"/>
        </w:tblCellMar>
        <w:tblLook w:val="0000" w:firstRow="0" w:lastRow="0" w:firstColumn="0" w:lastColumn="0" w:noHBand="0" w:noVBand="0"/>
      </w:tblPr>
      <w:tblGrid>
        <w:gridCol w:w="1033"/>
        <w:gridCol w:w="2127"/>
        <w:gridCol w:w="1053"/>
        <w:gridCol w:w="973"/>
        <w:gridCol w:w="4543"/>
        <w:tblGridChange w:id="5680">
          <w:tblGrid>
            <w:gridCol w:w="1033"/>
            <w:gridCol w:w="2127"/>
            <w:gridCol w:w="1053"/>
            <w:gridCol w:w="973"/>
            <w:gridCol w:w="4543"/>
          </w:tblGrid>
        </w:tblGridChange>
      </w:tblGrid>
      <w:tr w:rsidR="00CB0DD7" w:rsidRPr="000A0A5F" w:rsidTr="00790FC9">
        <w:tc>
          <w:tcPr>
            <w:tcW w:w="531" w:type="pct"/>
            <w:vMerge w:val="restart"/>
            <w:shd w:val="clear" w:color="auto" w:fill="C0C0C0"/>
            <w:vAlign w:val="center"/>
          </w:tcPr>
          <w:p w:rsidR="00CB0DD7" w:rsidRPr="000A0A5F" w:rsidRDefault="00CB0DD7">
            <w:pPr>
              <w:pStyle w:val="TAH"/>
            </w:pPr>
            <w:r w:rsidRPr="000A0A5F">
              <w:t>Request body</w:t>
            </w:r>
          </w:p>
        </w:tc>
        <w:tc>
          <w:tcPr>
            <w:tcW w:w="1093" w:type="pct"/>
            <w:shd w:val="clear" w:color="auto" w:fill="C0C0C0"/>
          </w:tcPr>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r w:rsidRPr="000A0A5F">
              <w:t>Cardinality</w:t>
            </w:r>
          </w:p>
        </w:tc>
        <w:tc>
          <w:tcPr>
            <w:tcW w:w="2835" w:type="pct"/>
            <w:gridSpan w:val="2"/>
            <w:shd w:val="clear" w:color="auto" w:fill="C0C0C0"/>
          </w:tcPr>
          <w:p w:rsidR="00CB0DD7" w:rsidRPr="000A0A5F" w:rsidRDefault="00CB0DD7">
            <w:pPr>
              <w:pStyle w:val="TAH"/>
            </w:pPr>
            <w:r w:rsidRPr="000A0A5F">
              <w:t>Remarks</w:t>
            </w:r>
          </w:p>
        </w:tc>
      </w:tr>
      <w:tr w:rsidR="00CB0DD7" w:rsidRPr="000A0A5F" w:rsidTr="00FF0AF8">
        <w:tc>
          <w:tcPr>
            <w:tcW w:w="531"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rPr>
                <w:lang w:eastAsia="zh-CN"/>
              </w:rPr>
              <w:t>GMDViaMBMSByMb2</w:t>
            </w:r>
          </w:p>
        </w:tc>
        <w:tc>
          <w:tcPr>
            <w:tcW w:w="541" w:type="pct"/>
          </w:tcPr>
          <w:p w:rsidR="00CB0DD7" w:rsidRPr="000A0A5F" w:rsidRDefault="00CB0DD7">
            <w:pPr>
              <w:pStyle w:val="TAL"/>
            </w:pPr>
            <w:r w:rsidRPr="000A0A5F">
              <w:t>1</w:t>
            </w:r>
          </w:p>
        </w:tc>
        <w:tc>
          <w:tcPr>
            <w:tcW w:w="2835" w:type="pct"/>
            <w:gridSpan w:val="2"/>
          </w:tcPr>
          <w:p w:rsidR="00CB0DD7" w:rsidRPr="000A0A5F" w:rsidRDefault="00CB0DD7">
            <w:pPr>
              <w:pStyle w:val="TAL"/>
            </w:pPr>
            <w:r w:rsidRPr="000A0A5F">
              <w:t xml:space="preserve">Parameters to </w:t>
            </w:r>
            <w:r w:rsidRPr="000A0A5F">
              <w:rPr>
                <w:rFonts w:hint="eastAsia"/>
                <w:lang w:eastAsia="zh-CN"/>
              </w:rPr>
              <w:t xml:space="preserve">create and authorize a </w:t>
            </w:r>
            <w:r w:rsidRPr="000A0A5F">
              <w:rPr>
                <w:lang w:eastAsia="zh-CN"/>
              </w:rPr>
              <w:t xml:space="preserve">group message delivery via MBMS </w:t>
            </w:r>
            <w:r w:rsidRPr="000A0A5F">
              <w:t>with the SCEF.</w:t>
            </w:r>
          </w:p>
        </w:tc>
      </w:tr>
      <w:tr w:rsidR="00CB0DD7" w:rsidRPr="000A0A5F" w:rsidTr="00790FC9">
        <w:tc>
          <w:tcPr>
            <w:tcW w:w="531" w:type="pct"/>
            <w:vMerge w:val="restart"/>
            <w:shd w:val="clear" w:color="auto" w:fill="C0C0C0"/>
            <w:vAlign w:val="center"/>
          </w:tcPr>
          <w:p w:rsidR="00CB0DD7" w:rsidRPr="000A0A5F" w:rsidRDefault="00CB0DD7">
            <w:pPr>
              <w:pStyle w:val="TAH"/>
            </w:pPr>
            <w:r w:rsidRPr="000A0A5F">
              <w:t>Response body</w:t>
            </w:r>
          </w:p>
        </w:tc>
        <w:tc>
          <w:tcPr>
            <w:tcW w:w="1093" w:type="pct"/>
            <w:shd w:val="clear" w:color="auto" w:fill="C0C0C0"/>
          </w:tcPr>
          <w:p w:rsidR="00CB0DD7" w:rsidRPr="000A0A5F" w:rsidRDefault="00CB0DD7">
            <w:pPr>
              <w:pStyle w:val="TAH"/>
            </w:pPr>
          </w:p>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p>
          <w:p w:rsidR="00CB0DD7" w:rsidRPr="000A0A5F" w:rsidRDefault="00CB0DD7">
            <w:pPr>
              <w:pStyle w:val="TAH"/>
            </w:pPr>
            <w:r w:rsidRPr="000A0A5F">
              <w:t>Cardinality</w:t>
            </w:r>
          </w:p>
        </w:tc>
        <w:tc>
          <w:tcPr>
            <w:tcW w:w="500" w:type="pct"/>
            <w:shd w:val="clear" w:color="auto" w:fill="C0C0C0"/>
          </w:tcPr>
          <w:p w:rsidR="00CB0DD7" w:rsidRPr="000A0A5F" w:rsidRDefault="00CB0DD7">
            <w:pPr>
              <w:pStyle w:val="TAH"/>
            </w:pPr>
            <w:r w:rsidRPr="000A0A5F">
              <w:t>Response</w:t>
            </w:r>
          </w:p>
          <w:p w:rsidR="00CB0DD7" w:rsidRPr="000A0A5F" w:rsidRDefault="00CB0DD7">
            <w:pPr>
              <w:pStyle w:val="TAH"/>
            </w:pPr>
            <w:r w:rsidRPr="000A0A5F">
              <w:t>codes</w:t>
            </w:r>
          </w:p>
        </w:tc>
        <w:tc>
          <w:tcPr>
            <w:tcW w:w="2335" w:type="pct"/>
            <w:shd w:val="clear" w:color="auto" w:fill="C0C0C0"/>
          </w:tcPr>
          <w:p w:rsidR="00CB0DD7" w:rsidRPr="000A0A5F" w:rsidRDefault="00CB0DD7">
            <w:pPr>
              <w:pStyle w:val="TAH"/>
            </w:pPr>
          </w:p>
          <w:p w:rsidR="00CB0DD7" w:rsidRPr="000A0A5F" w:rsidRDefault="00CB0DD7">
            <w:pPr>
              <w:pStyle w:val="TAH"/>
            </w:pPr>
            <w:r w:rsidRPr="000A0A5F">
              <w:t>Remarks</w:t>
            </w:r>
          </w:p>
        </w:tc>
      </w:tr>
      <w:tr w:rsidR="00CB0DD7" w:rsidRPr="000A0A5F" w:rsidTr="00FF0AF8">
        <w:tc>
          <w:tcPr>
            <w:tcW w:w="531"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rPr>
                <w:lang w:eastAsia="zh-CN"/>
              </w:rPr>
              <w:t>GMDViaMBMSByMb2</w:t>
            </w:r>
          </w:p>
        </w:tc>
        <w:tc>
          <w:tcPr>
            <w:tcW w:w="541" w:type="pct"/>
          </w:tcPr>
          <w:p w:rsidR="00CB0DD7" w:rsidRPr="000A0A5F" w:rsidRDefault="00CB0DD7">
            <w:pPr>
              <w:pStyle w:val="TAL"/>
              <w:rPr>
                <w:rFonts w:hint="eastAsia"/>
                <w:lang w:eastAsia="zh-CN"/>
              </w:rPr>
            </w:pPr>
            <w:r w:rsidRPr="000A0A5F">
              <w:rPr>
                <w:rFonts w:hint="eastAsia"/>
                <w:lang w:eastAsia="zh-CN"/>
              </w:rPr>
              <w:t>1</w:t>
            </w:r>
          </w:p>
        </w:tc>
        <w:tc>
          <w:tcPr>
            <w:tcW w:w="500" w:type="pct"/>
          </w:tcPr>
          <w:p w:rsidR="00CB0DD7" w:rsidRPr="000A0A5F" w:rsidRDefault="00CB0DD7">
            <w:pPr>
              <w:pStyle w:val="TAL"/>
            </w:pPr>
            <w:r w:rsidRPr="000A0A5F">
              <w:t>201 Created</w:t>
            </w:r>
          </w:p>
        </w:tc>
        <w:tc>
          <w:tcPr>
            <w:tcW w:w="2335" w:type="pct"/>
          </w:tcPr>
          <w:p w:rsidR="00CB0DD7" w:rsidRPr="000A0A5F" w:rsidRDefault="00CB0DD7">
            <w:pPr>
              <w:pStyle w:val="TAL"/>
            </w:pPr>
            <w:r w:rsidRPr="000A0A5F">
              <w:t xml:space="preserve">The creation of a group message delivery was created successfully. </w:t>
            </w:r>
          </w:p>
          <w:p w:rsidR="00CB0DD7" w:rsidRPr="000A0A5F" w:rsidRDefault="00CB0DD7">
            <w:pPr>
              <w:pStyle w:val="TAL"/>
            </w:pPr>
          </w:p>
          <w:p w:rsidR="006E33A8" w:rsidRPr="000A0A5F" w:rsidRDefault="006E33A8" w:rsidP="006E33A8">
            <w:pPr>
              <w:pStyle w:val="TAL"/>
            </w:pPr>
            <w:r w:rsidRPr="000A0A5F">
              <w:t xml:space="preserve">The SCEF </w:t>
            </w:r>
            <w:r w:rsidRPr="000A0A5F">
              <w:rPr>
                <w:rFonts w:hint="eastAsia"/>
                <w:lang w:eastAsia="zh-CN"/>
              </w:rPr>
              <w:t>shall</w:t>
            </w:r>
            <w:r w:rsidRPr="000A0A5F">
              <w:t xml:space="preserve"> return a data structure of type "</w:t>
            </w:r>
            <w:r w:rsidRPr="000A0A5F">
              <w:rPr>
                <w:lang w:eastAsia="zh-CN"/>
              </w:rPr>
              <w:t>GMDViaMBMSByMb2</w:t>
            </w:r>
            <w:r w:rsidRPr="000A0A5F">
              <w:t>" in the response content.</w:t>
            </w:r>
          </w:p>
          <w:p w:rsidR="00CB0DD7" w:rsidRPr="000A0A5F" w:rsidRDefault="00CB0DD7">
            <w:pPr>
              <w:pStyle w:val="TAL"/>
            </w:pPr>
          </w:p>
          <w:p w:rsidR="00CB0DD7" w:rsidRPr="000A0A5F" w:rsidRDefault="00CB0DD7">
            <w:pPr>
              <w:pStyle w:val="TAL"/>
              <w:rPr>
                <w:rFonts w:hint="eastAsia"/>
                <w:lang w:eastAsia="zh-CN"/>
              </w:rPr>
            </w:pPr>
            <w:r w:rsidRPr="000A0A5F">
              <w:t>On success, the HTTP response shall include a "Location" HTTP header that points to the created resource</w:t>
            </w:r>
            <w:r w:rsidRPr="000A0A5F">
              <w:rPr>
                <w:rFonts w:hint="eastAsia"/>
                <w:lang w:eastAsia="zh-CN"/>
              </w:rPr>
              <w:t xml:space="preserve"> URI </w:t>
            </w:r>
            <w:r w:rsidRPr="000A0A5F">
              <w:rPr>
                <w:lang w:eastAsia="zh-CN"/>
              </w:rPr>
              <w:t>identified</w:t>
            </w:r>
            <w:r w:rsidRPr="000A0A5F">
              <w:rPr>
                <w:rFonts w:hint="eastAsia"/>
                <w:lang w:eastAsia="zh-CN"/>
              </w:rPr>
              <w:t xml:space="preserve"> by the ScsAsId and the T</w:t>
            </w:r>
            <w:r w:rsidRPr="000A0A5F">
              <w:rPr>
                <w:lang w:eastAsia="zh-CN"/>
              </w:rPr>
              <w:t xml:space="preserve">ransaction </w:t>
            </w:r>
            <w:r w:rsidRPr="000A0A5F">
              <w:rPr>
                <w:rFonts w:hint="eastAsia"/>
                <w:lang w:eastAsia="zh-CN"/>
              </w:rPr>
              <w:t>Id</w:t>
            </w:r>
            <w:r w:rsidRPr="000A0A5F">
              <w:rPr>
                <w:lang w:eastAsia="zh-CN"/>
              </w:rPr>
              <w:t>.</w:t>
            </w:r>
          </w:p>
        </w:tc>
      </w:tr>
      <w:tr w:rsidR="00CB0DD7" w:rsidRPr="000A0A5F" w:rsidTr="00FF0AF8">
        <w:tc>
          <w:tcPr>
            <w:tcW w:w="5000" w:type="pct"/>
            <w:gridSpan w:val="5"/>
            <w:shd w:val="clear" w:color="auto" w:fill="auto"/>
            <w:vAlign w:val="center"/>
          </w:tcPr>
          <w:p w:rsidR="00CB0DD7" w:rsidRPr="000A0A5F" w:rsidRDefault="00CB0DD7">
            <w:pPr>
              <w:pStyle w:val="TAN"/>
            </w:pPr>
            <w:r w:rsidRPr="000A0A5F">
              <w:t>NOTE:</w:t>
            </w:r>
            <w:r w:rsidRPr="000A0A5F">
              <w:tab/>
              <w:t>The mandatory HTTP error status codes for the POST method listed in table 5.2.6-1 also apply.</w:t>
            </w:r>
          </w:p>
        </w:tc>
      </w:tr>
    </w:tbl>
    <w:p w:rsidR="00CB0DD7" w:rsidRPr="000A0A5F" w:rsidRDefault="00CB0DD7">
      <w:pPr>
        <w:rPr>
          <w:noProof/>
        </w:rPr>
      </w:pPr>
    </w:p>
    <w:p w:rsidR="00CB0DD7" w:rsidRPr="000A0A5F" w:rsidRDefault="00CB0DD7">
      <w:pPr>
        <w:pStyle w:val="TH"/>
      </w:pPr>
      <w:r w:rsidRPr="000A0A5F">
        <w:t>Table</w:t>
      </w:r>
      <w:r w:rsidRPr="000A0A5F">
        <w:rPr>
          <w:noProof/>
        </w:rPr>
        <w:t> </w:t>
      </w:r>
      <w:r w:rsidRPr="000A0A5F">
        <w:t>5.</w:t>
      </w:r>
      <w:r w:rsidRPr="000A0A5F">
        <w:rPr>
          <w:lang w:eastAsia="zh-CN"/>
        </w:rPr>
        <w:t>8</w:t>
      </w:r>
      <w:r w:rsidRPr="000A0A5F">
        <w:t>.</w:t>
      </w:r>
      <w:r w:rsidRPr="000A0A5F">
        <w:rPr>
          <w:lang w:eastAsia="zh-CN"/>
        </w:rPr>
        <w:t>2.2</w:t>
      </w:r>
      <w:r w:rsidRPr="000A0A5F">
        <w:t>.4.3.</w:t>
      </w:r>
      <w:r w:rsidRPr="000A0A5F">
        <w:rPr>
          <w:rFonts w:hint="eastAsia"/>
          <w:lang w:eastAsia="zh-CN"/>
        </w:rPr>
        <w:t>4</w:t>
      </w:r>
      <w:r w:rsidRPr="000A0A5F">
        <w:t xml:space="preserve">-2: Headers supported by the 201 Response Code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846044">
        <w:trPr>
          <w:jc w:val="center"/>
        </w:trPr>
        <w:tc>
          <w:tcPr>
            <w:tcW w:w="825" w:type="pct"/>
            <w:tcBorders>
              <w:bottom w:val="single" w:sz="6" w:space="0" w:color="auto"/>
            </w:tcBorders>
            <w:shd w:val="clear" w:color="auto" w:fill="C0C0C0"/>
          </w:tcPr>
          <w:p w:rsidR="00CB0DD7" w:rsidRPr="000A0A5F" w:rsidRDefault="00CB0DD7">
            <w:pPr>
              <w:pStyle w:val="TAH"/>
            </w:pPr>
            <w:r w:rsidRPr="000A0A5F">
              <w:t>Name</w:t>
            </w:r>
          </w:p>
        </w:tc>
        <w:tc>
          <w:tcPr>
            <w:tcW w:w="732" w:type="pct"/>
            <w:tcBorders>
              <w:bottom w:val="single" w:sz="6" w:space="0" w:color="auto"/>
            </w:tcBorders>
            <w:shd w:val="clear" w:color="auto" w:fill="C0C0C0"/>
          </w:tcPr>
          <w:p w:rsidR="00CB0DD7" w:rsidRPr="000A0A5F" w:rsidRDefault="00CB0DD7">
            <w:pPr>
              <w:pStyle w:val="TAH"/>
            </w:pPr>
            <w:r w:rsidRPr="000A0A5F">
              <w:t>Data type</w:t>
            </w:r>
          </w:p>
        </w:tc>
        <w:tc>
          <w:tcPr>
            <w:tcW w:w="217" w:type="pct"/>
            <w:tcBorders>
              <w:bottom w:val="single" w:sz="6" w:space="0" w:color="auto"/>
            </w:tcBorders>
            <w:shd w:val="clear" w:color="auto" w:fill="C0C0C0"/>
          </w:tcPr>
          <w:p w:rsidR="00CB0DD7" w:rsidRPr="000A0A5F" w:rsidRDefault="00CB0DD7">
            <w:pPr>
              <w:pStyle w:val="TAH"/>
            </w:pPr>
            <w:r w:rsidRPr="000A0A5F">
              <w:t>P</w:t>
            </w:r>
          </w:p>
        </w:tc>
        <w:tc>
          <w:tcPr>
            <w:tcW w:w="581" w:type="pct"/>
            <w:tcBorders>
              <w:bottom w:val="single" w:sz="6" w:space="0" w:color="auto"/>
            </w:tcBorders>
            <w:shd w:val="clear" w:color="auto" w:fill="C0C0C0"/>
          </w:tcPr>
          <w:p w:rsidR="00CB0DD7" w:rsidRPr="000A0A5F" w:rsidRDefault="00CB0DD7">
            <w:pPr>
              <w:pStyle w:val="TAH"/>
            </w:pPr>
            <w:r w:rsidRPr="000A0A5F">
              <w:t>Cardinality</w:t>
            </w:r>
          </w:p>
        </w:tc>
        <w:tc>
          <w:tcPr>
            <w:tcW w:w="2645" w:type="pct"/>
            <w:tcBorders>
              <w:bottom w:val="single" w:sz="6" w:space="0" w:color="auto"/>
            </w:tcBorders>
            <w:shd w:val="clear" w:color="auto" w:fill="C0C0C0"/>
            <w:vAlign w:val="center"/>
          </w:tcPr>
          <w:p w:rsidR="00CB0DD7" w:rsidRPr="000A0A5F" w:rsidRDefault="00CB0DD7">
            <w:pPr>
              <w:pStyle w:val="TAH"/>
            </w:pPr>
            <w:r w:rsidRPr="000A0A5F">
              <w:t>Description</w:t>
            </w:r>
          </w:p>
        </w:tc>
      </w:tr>
      <w:tr w:rsidR="00CB0DD7" w:rsidRPr="000A0A5F" w:rsidTr="00846044">
        <w:trPr>
          <w:jc w:val="center"/>
        </w:trPr>
        <w:tc>
          <w:tcPr>
            <w:tcW w:w="825" w:type="pct"/>
            <w:tcBorders>
              <w:top w:val="single" w:sz="6" w:space="0" w:color="auto"/>
            </w:tcBorders>
            <w:shd w:val="clear" w:color="auto" w:fill="auto"/>
          </w:tcPr>
          <w:p w:rsidR="00CB0DD7" w:rsidRPr="000A0A5F" w:rsidRDefault="00CB0DD7">
            <w:pPr>
              <w:pStyle w:val="TAL"/>
            </w:pPr>
            <w:r w:rsidRPr="000A0A5F">
              <w:t>Location</w:t>
            </w:r>
          </w:p>
        </w:tc>
        <w:tc>
          <w:tcPr>
            <w:tcW w:w="732" w:type="pct"/>
            <w:tcBorders>
              <w:top w:val="single" w:sz="6" w:space="0" w:color="auto"/>
            </w:tcBorders>
          </w:tcPr>
          <w:p w:rsidR="00CB0DD7" w:rsidRPr="000A0A5F" w:rsidRDefault="00CB0DD7">
            <w:pPr>
              <w:pStyle w:val="TAL"/>
            </w:pPr>
            <w:r w:rsidRPr="000A0A5F">
              <w:t>string</w:t>
            </w:r>
          </w:p>
        </w:tc>
        <w:tc>
          <w:tcPr>
            <w:tcW w:w="217" w:type="pct"/>
            <w:tcBorders>
              <w:top w:val="single" w:sz="6" w:space="0" w:color="auto"/>
            </w:tcBorders>
          </w:tcPr>
          <w:p w:rsidR="00CB0DD7" w:rsidRPr="000A0A5F" w:rsidRDefault="00CB0DD7">
            <w:pPr>
              <w:pStyle w:val="TAC"/>
            </w:pPr>
            <w:r w:rsidRPr="000A0A5F">
              <w:t>M</w:t>
            </w:r>
          </w:p>
        </w:tc>
        <w:tc>
          <w:tcPr>
            <w:tcW w:w="581" w:type="pct"/>
            <w:tcBorders>
              <w:top w:val="single" w:sz="6" w:space="0" w:color="auto"/>
            </w:tcBorders>
          </w:tcPr>
          <w:p w:rsidR="00CB0DD7" w:rsidRPr="000A0A5F" w:rsidRDefault="00CB0DD7">
            <w:pPr>
              <w:pStyle w:val="TAL"/>
            </w:pPr>
            <w:r w:rsidRPr="000A0A5F">
              <w:t>1</w:t>
            </w:r>
          </w:p>
        </w:tc>
        <w:tc>
          <w:tcPr>
            <w:tcW w:w="2645" w:type="pct"/>
            <w:tcBorders>
              <w:top w:val="single" w:sz="6" w:space="0" w:color="auto"/>
            </w:tcBorders>
            <w:shd w:val="clear" w:color="auto" w:fill="auto"/>
            <w:vAlign w:val="center"/>
          </w:tcPr>
          <w:p w:rsidR="00CB0DD7" w:rsidRPr="000A0A5F" w:rsidRDefault="00CB0DD7">
            <w:pPr>
              <w:pStyle w:val="TAL"/>
            </w:pPr>
            <w:r w:rsidRPr="000A0A5F">
              <w:t>Contains the URI of the newly created resource, according to the structure:</w:t>
            </w:r>
            <w:r w:rsidRPr="000A0A5F">
              <w:rPr>
                <w:noProof/>
              </w:rPr>
              <w:t xml:space="preserve"> </w:t>
            </w:r>
            <w:r w:rsidRPr="000A0A5F">
              <w:t>{apiRoot}/3gpp-group-message-delivery-mb2/v1/{scsAsId}/tmgi-allocation/{tmgi}/delivery-via-mbms/{transactionId}</w:t>
            </w:r>
          </w:p>
        </w:tc>
      </w:tr>
    </w:tbl>
    <w:p w:rsidR="00CB0DD7" w:rsidRPr="000A0A5F" w:rsidRDefault="00CB0DD7"/>
    <w:p w:rsidR="00CB0DD7" w:rsidRPr="000A0A5F" w:rsidRDefault="00CB0DD7">
      <w:pPr>
        <w:pStyle w:val="Heading7"/>
      </w:pPr>
      <w:bookmarkStart w:id="5681" w:name="_Toc11247599"/>
      <w:bookmarkStart w:id="5682" w:name="_Toc27044738"/>
      <w:bookmarkStart w:id="5683" w:name="_Toc36033780"/>
      <w:bookmarkStart w:id="5684" w:name="_Toc45131926"/>
      <w:bookmarkStart w:id="5685" w:name="_Toc49776211"/>
      <w:bookmarkStart w:id="5686" w:name="_Toc51747131"/>
      <w:bookmarkStart w:id="5687" w:name="_Toc66360695"/>
      <w:bookmarkStart w:id="5688" w:name="_Toc68105200"/>
      <w:bookmarkStart w:id="5689" w:name="_Toc74755830"/>
      <w:bookmarkStart w:id="5690" w:name="_Toc105674705"/>
      <w:bookmarkStart w:id="5691" w:name="_Toc130502757"/>
      <w:bookmarkStart w:id="5692" w:name="_Toc153625544"/>
      <w:r w:rsidRPr="000A0A5F">
        <w:t>5.8.2.2.4.3.5</w:t>
      </w:r>
      <w:r w:rsidRPr="000A0A5F">
        <w:tab/>
        <w:t>DELETE</w:t>
      </w:r>
      <w:bookmarkEnd w:id="5681"/>
      <w:bookmarkEnd w:id="5682"/>
      <w:bookmarkEnd w:id="5683"/>
      <w:bookmarkEnd w:id="5684"/>
      <w:bookmarkEnd w:id="5685"/>
      <w:bookmarkEnd w:id="5686"/>
      <w:bookmarkEnd w:id="5687"/>
      <w:bookmarkEnd w:id="5688"/>
      <w:bookmarkEnd w:id="5689"/>
      <w:bookmarkEnd w:id="5690"/>
      <w:bookmarkEnd w:id="5691"/>
      <w:bookmarkEnd w:id="5692"/>
    </w:p>
    <w:p w:rsidR="00CB0DD7" w:rsidRPr="000A0A5F" w:rsidRDefault="00CB0DD7">
      <w:pPr>
        <w:rPr>
          <w:lang w:eastAsia="zh-CN"/>
        </w:rPr>
      </w:pPr>
      <w:r w:rsidRPr="000A0A5F">
        <w:rPr>
          <w:rFonts w:hint="eastAsia"/>
          <w:lang w:eastAsia="zh-CN"/>
        </w:rPr>
        <w:t xml:space="preserve">This </w:t>
      </w:r>
      <w:r w:rsidRPr="000A0A5F">
        <w:rPr>
          <w:lang w:eastAsia="zh-CN"/>
        </w:rPr>
        <w:t>HTTP method is not supported for the resource.</w:t>
      </w:r>
    </w:p>
    <w:p w:rsidR="00CB0DD7" w:rsidRPr="000A0A5F" w:rsidRDefault="00CB0DD7">
      <w:pPr>
        <w:pStyle w:val="Heading5"/>
      </w:pPr>
      <w:bookmarkStart w:id="5693" w:name="_Toc11247600"/>
      <w:bookmarkStart w:id="5694" w:name="_Toc27044739"/>
      <w:bookmarkStart w:id="5695" w:name="_Toc36033781"/>
      <w:bookmarkStart w:id="5696" w:name="_Toc45131927"/>
      <w:bookmarkStart w:id="5697" w:name="_Toc49776212"/>
      <w:bookmarkStart w:id="5698" w:name="_Toc51747132"/>
      <w:bookmarkStart w:id="5699" w:name="_Toc66360696"/>
      <w:bookmarkStart w:id="5700" w:name="_Toc68105201"/>
      <w:bookmarkStart w:id="5701" w:name="_Toc74755831"/>
      <w:bookmarkStart w:id="5702" w:name="_Toc105674706"/>
      <w:bookmarkStart w:id="5703" w:name="_Toc130502758"/>
      <w:bookmarkStart w:id="5704" w:name="_Toc153625545"/>
      <w:r w:rsidRPr="000A0A5F">
        <w:t>5.8.2.2.5</w:t>
      </w:r>
      <w:r w:rsidRPr="000A0A5F">
        <w:tab/>
        <w:t>Resource: Individual GMD via MBMS by MB2</w:t>
      </w:r>
      <w:bookmarkEnd w:id="5693"/>
      <w:bookmarkEnd w:id="5694"/>
      <w:bookmarkEnd w:id="5695"/>
      <w:bookmarkEnd w:id="5696"/>
      <w:bookmarkEnd w:id="5697"/>
      <w:bookmarkEnd w:id="5698"/>
      <w:bookmarkEnd w:id="5699"/>
      <w:bookmarkEnd w:id="5700"/>
      <w:bookmarkEnd w:id="5701"/>
      <w:bookmarkEnd w:id="5702"/>
      <w:bookmarkEnd w:id="5703"/>
      <w:bookmarkEnd w:id="5704"/>
    </w:p>
    <w:p w:rsidR="00CB0DD7" w:rsidRPr="000A0A5F" w:rsidRDefault="00CB0DD7">
      <w:pPr>
        <w:pStyle w:val="Heading6"/>
      </w:pPr>
      <w:bookmarkStart w:id="5705" w:name="_Toc11247601"/>
      <w:bookmarkStart w:id="5706" w:name="_Toc27044740"/>
      <w:bookmarkStart w:id="5707" w:name="_Toc36033782"/>
      <w:bookmarkStart w:id="5708" w:name="_Toc45131928"/>
      <w:bookmarkStart w:id="5709" w:name="_Toc49776213"/>
      <w:bookmarkStart w:id="5710" w:name="_Toc51747133"/>
      <w:bookmarkStart w:id="5711" w:name="_Toc66360697"/>
      <w:bookmarkStart w:id="5712" w:name="_Toc68105202"/>
      <w:bookmarkStart w:id="5713" w:name="_Toc74755832"/>
      <w:bookmarkStart w:id="5714" w:name="_Toc105674707"/>
      <w:bookmarkStart w:id="5715" w:name="_Toc130502759"/>
      <w:bookmarkStart w:id="5716" w:name="_Toc153625546"/>
      <w:r w:rsidRPr="000A0A5F">
        <w:t>5.8.2.2.5.1</w:t>
      </w:r>
      <w:r w:rsidRPr="000A0A5F">
        <w:tab/>
        <w:t>Introduction</w:t>
      </w:r>
      <w:bookmarkEnd w:id="5705"/>
      <w:bookmarkEnd w:id="5706"/>
      <w:bookmarkEnd w:id="5707"/>
      <w:bookmarkEnd w:id="5708"/>
      <w:bookmarkEnd w:id="5709"/>
      <w:bookmarkEnd w:id="5710"/>
      <w:bookmarkEnd w:id="5711"/>
      <w:bookmarkEnd w:id="5712"/>
      <w:bookmarkEnd w:id="5713"/>
      <w:bookmarkEnd w:id="5714"/>
      <w:bookmarkEnd w:id="5715"/>
      <w:bookmarkEnd w:id="5716"/>
    </w:p>
    <w:p w:rsidR="00CB0DD7" w:rsidRPr="000A0A5F" w:rsidRDefault="00CB0DD7">
      <w:pPr>
        <w:rPr>
          <w:noProof/>
          <w:lang w:eastAsia="zh-CN"/>
        </w:rPr>
      </w:pPr>
      <w:r w:rsidRPr="000A0A5F">
        <w:rPr>
          <w:noProof/>
          <w:lang w:eastAsia="zh-CN"/>
        </w:rPr>
        <w:t>This resource allows t</w:t>
      </w:r>
      <w:r w:rsidRPr="000A0A5F">
        <w:rPr>
          <w:rFonts w:hint="eastAsia"/>
          <w:noProof/>
          <w:lang w:eastAsia="zh-CN"/>
        </w:rPr>
        <w:t xml:space="preserve">he SCS/AS </w:t>
      </w:r>
      <w:r w:rsidRPr="000A0A5F">
        <w:rPr>
          <w:noProof/>
          <w:lang w:eastAsia="zh-CN"/>
        </w:rPr>
        <w:t>to modify or delete a group message delivery via MBMS by MB2 resource.</w:t>
      </w:r>
    </w:p>
    <w:p w:rsidR="00CB0DD7" w:rsidRPr="000A0A5F" w:rsidRDefault="00CB0DD7">
      <w:pPr>
        <w:pStyle w:val="Heading6"/>
      </w:pPr>
      <w:bookmarkStart w:id="5717" w:name="_Toc11247602"/>
      <w:bookmarkStart w:id="5718" w:name="_Toc27044741"/>
      <w:bookmarkStart w:id="5719" w:name="_Toc36033783"/>
      <w:bookmarkStart w:id="5720" w:name="_Toc45131929"/>
      <w:bookmarkStart w:id="5721" w:name="_Toc49776214"/>
      <w:bookmarkStart w:id="5722" w:name="_Toc51747134"/>
      <w:bookmarkStart w:id="5723" w:name="_Toc66360698"/>
      <w:bookmarkStart w:id="5724" w:name="_Toc68105203"/>
      <w:bookmarkStart w:id="5725" w:name="_Toc74755833"/>
      <w:bookmarkStart w:id="5726" w:name="_Toc105674708"/>
      <w:bookmarkStart w:id="5727" w:name="_Toc130502760"/>
      <w:bookmarkStart w:id="5728" w:name="_Toc153625547"/>
      <w:r w:rsidRPr="000A0A5F">
        <w:t>5.8.2.2.5.2</w:t>
      </w:r>
      <w:r w:rsidRPr="000A0A5F">
        <w:tab/>
        <w:t>Resource definition</w:t>
      </w:r>
      <w:bookmarkEnd w:id="5717"/>
      <w:bookmarkEnd w:id="5718"/>
      <w:bookmarkEnd w:id="5719"/>
      <w:bookmarkEnd w:id="5720"/>
      <w:bookmarkEnd w:id="5721"/>
      <w:bookmarkEnd w:id="5722"/>
      <w:bookmarkEnd w:id="5723"/>
      <w:bookmarkEnd w:id="5724"/>
      <w:bookmarkEnd w:id="5725"/>
      <w:bookmarkEnd w:id="5726"/>
      <w:bookmarkEnd w:id="5727"/>
      <w:bookmarkEnd w:id="5728"/>
    </w:p>
    <w:p w:rsidR="00CB0DD7" w:rsidRPr="000A0A5F" w:rsidRDefault="00CB0DD7">
      <w:pPr>
        <w:rPr>
          <w:b/>
        </w:rPr>
      </w:pPr>
      <w:r w:rsidRPr="000A0A5F">
        <w:t xml:space="preserve">Resource URI: </w:t>
      </w:r>
      <w:r w:rsidRPr="000A0A5F">
        <w:rPr>
          <w:b/>
        </w:rPr>
        <w:t>{apiRoot}/3gpp-group-message-delivery-mb2/v1/{scsAsId}/tmgi-allocation/{tmgi}/delivery-via-mbms/{transactionId}</w:t>
      </w:r>
    </w:p>
    <w:p w:rsidR="00CB0DD7" w:rsidRPr="000A0A5F" w:rsidRDefault="00CB0DD7">
      <w:pPr>
        <w:rPr>
          <w:rFonts w:ascii="Arial" w:hAnsi="Arial" w:cs="Arial"/>
        </w:rPr>
      </w:pPr>
      <w:r w:rsidRPr="000A0A5F">
        <w:t>This resource shall support the resource URI variables defined in table 5.8.2.2.5.2-1</w:t>
      </w:r>
      <w:r w:rsidRPr="000A0A5F">
        <w:rPr>
          <w:rFonts w:ascii="Arial" w:hAnsi="Arial" w:cs="Arial"/>
        </w:rPr>
        <w:t>.</w:t>
      </w:r>
    </w:p>
    <w:p w:rsidR="00CB0DD7" w:rsidRPr="000A0A5F" w:rsidRDefault="00CB0DD7">
      <w:pPr>
        <w:pStyle w:val="TH"/>
        <w:rPr>
          <w:rFonts w:cs="Arial"/>
        </w:rPr>
      </w:pPr>
      <w:r w:rsidRPr="000A0A5F">
        <w:t>Table 5.8.2.2.5.2-1: Resource URI variables for resource "Individual GMD via MBMS by MB2"</w:t>
      </w:r>
    </w:p>
    <w:tbl>
      <w:tblPr>
        <w:tblW w:w="494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970"/>
        <w:gridCol w:w="1312"/>
        <w:gridCol w:w="6378"/>
      </w:tblGrid>
      <w:tr w:rsidR="00CB0DD7" w:rsidRPr="000A0A5F" w:rsidTr="00FF0AF8">
        <w:trPr>
          <w:jc w:val="center"/>
        </w:trPr>
        <w:tc>
          <w:tcPr>
            <w:tcW w:w="1020" w:type="pct"/>
            <w:shd w:val="clear" w:color="000000" w:fill="C0C0C0"/>
          </w:tcPr>
          <w:p w:rsidR="00CB0DD7" w:rsidRPr="000A0A5F" w:rsidRDefault="00CB0DD7">
            <w:pPr>
              <w:pStyle w:val="TAH"/>
            </w:pPr>
            <w:r w:rsidRPr="000A0A5F">
              <w:t>Name</w:t>
            </w:r>
          </w:p>
        </w:tc>
        <w:tc>
          <w:tcPr>
            <w:tcW w:w="679" w:type="pct"/>
            <w:shd w:val="clear" w:color="000000" w:fill="C0C0C0"/>
          </w:tcPr>
          <w:p w:rsidR="00CB0DD7" w:rsidRPr="000A0A5F" w:rsidRDefault="00CB0DD7">
            <w:pPr>
              <w:pStyle w:val="TAH"/>
            </w:pPr>
            <w:r w:rsidRPr="000A0A5F">
              <w:t>Data type</w:t>
            </w:r>
          </w:p>
        </w:tc>
        <w:tc>
          <w:tcPr>
            <w:tcW w:w="3302" w:type="pct"/>
            <w:shd w:val="clear" w:color="000000" w:fill="C0C0C0"/>
            <w:vAlign w:val="center"/>
          </w:tcPr>
          <w:p w:rsidR="00CB0DD7" w:rsidRPr="000A0A5F" w:rsidRDefault="00CB0DD7">
            <w:pPr>
              <w:pStyle w:val="TAH"/>
            </w:pPr>
            <w:r w:rsidRPr="000A0A5F">
              <w:t>Definition</w:t>
            </w:r>
          </w:p>
        </w:tc>
      </w:tr>
      <w:tr w:rsidR="00CB0DD7" w:rsidRPr="000A0A5F" w:rsidTr="00FF0AF8">
        <w:trPr>
          <w:jc w:val="center"/>
        </w:trPr>
        <w:tc>
          <w:tcPr>
            <w:tcW w:w="1020" w:type="pct"/>
            <w:shd w:val="clear" w:color="auto" w:fill="auto"/>
          </w:tcPr>
          <w:p w:rsidR="00CB0DD7" w:rsidRPr="000A0A5F" w:rsidRDefault="00CB0DD7">
            <w:pPr>
              <w:pStyle w:val="TAL"/>
            </w:pPr>
            <w:r w:rsidRPr="000A0A5F">
              <w:t>apiRoot</w:t>
            </w:r>
          </w:p>
        </w:tc>
        <w:tc>
          <w:tcPr>
            <w:tcW w:w="679" w:type="pct"/>
          </w:tcPr>
          <w:p w:rsidR="00CB0DD7" w:rsidRPr="000A0A5F" w:rsidRDefault="00CB0DD7">
            <w:pPr>
              <w:pStyle w:val="TAL"/>
            </w:pPr>
            <w:r w:rsidRPr="000A0A5F">
              <w:t>string</w:t>
            </w:r>
          </w:p>
        </w:tc>
        <w:tc>
          <w:tcPr>
            <w:tcW w:w="3302" w:type="pct"/>
            <w:shd w:val="clear" w:color="auto" w:fill="auto"/>
            <w:vAlign w:val="center"/>
          </w:tcPr>
          <w:p w:rsidR="00CB0DD7" w:rsidRPr="000A0A5F" w:rsidRDefault="00CB0DD7">
            <w:pPr>
              <w:pStyle w:val="TAL"/>
            </w:pPr>
            <w:r w:rsidRPr="000A0A5F">
              <w:t>See clause</w:t>
            </w:r>
            <w:r w:rsidRPr="000A0A5F">
              <w:rPr>
                <w:lang w:val="en-US" w:eastAsia="zh-CN"/>
              </w:rPr>
              <w:t> </w:t>
            </w:r>
            <w:r w:rsidRPr="000A0A5F">
              <w:t>5.2.4.</w:t>
            </w:r>
          </w:p>
        </w:tc>
      </w:tr>
      <w:tr w:rsidR="00CB0DD7" w:rsidRPr="000A0A5F" w:rsidTr="00FF0AF8">
        <w:trPr>
          <w:jc w:val="center"/>
        </w:trPr>
        <w:tc>
          <w:tcPr>
            <w:tcW w:w="1020" w:type="pct"/>
            <w:shd w:val="clear" w:color="auto" w:fill="auto"/>
          </w:tcPr>
          <w:p w:rsidR="00CB0DD7" w:rsidRPr="000A0A5F" w:rsidRDefault="00CB0DD7">
            <w:pPr>
              <w:pStyle w:val="TAL"/>
            </w:pPr>
            <w:r w:rsidRPr="000A0A5F">
              <w:t>scsAsId</w:t>
            </w:r>
          </w:p>
        </w:tc>
        <w:tc>
          <w:tcPr>
            <w:tcW w:w="679" w:type="pct"/>
          </w:tcPr>
          <w:p w:rsidR="00CB0DD7" w:rsidRPr="000A0A5F" w:rsidRDefault="00CB0DD7">
            <w:pPr>
              <w:pStyle w:val="TAL"/>
            </w:pPr>
            <w:r w:rsidRPr="000A0A5F">
              <w:rPr>
                <w:rFonts w:hint="eastAsia"/>
                <w:lang w:eastAsia="zh-CN"/>
              </w:rPr>
              <w:t>s</w:t>
            </w:r>
            <w:r w:rsidRPr="000A0A5F">
              <w:rPr>
                <w:lang w:eastAsia="zh-CN"/>
              </w:rPr>
              <w:t>tring</w:t>
            </w:r>
          </w:p>
        </w:tc>
        <w:tc>
          <w:tcPr>
            <w:tcW w:w="3302" w:type="pct"/>
            <w:shd w:val="clear" w:color="auto" w:fill="auto"/>
            <w:vAlign w:val="center"/>
          </w:tcPr>
          <w:p w:rsidR="00CB0DD7" w:rsidRPr="000A0A5F" w:rsidRDefault="00CB0DD7">
            <w:pPr>
              <w:pStyle w:val="TAL"/>
            </w:pPr>
            <w:r w:rsidRPr="000A0A5F">
              <w:t>Identifier of the SCS/AS.</w:t>
            </w:r>
          </w:p>
        </w:tc>
      </w:tr>
      <w:tr w:rsidR="00CB0DD7" w:rsidRPr="000A0A5F" w:rsidTr="00FF0AF8">
        <w:trPr>
          <w:jc w:val="center"/>
        </w:trPr>
        <w:tc>
          <w:tcPr>
            <w:tcW w:w="1020" w:type="pct"/>
            <w:shd w:val="clear" w:color="auto" w:fill="auto"/>
          </w:tcPr>
          <w:p w:rsidR="00CB0DD7" w:rsidRPr="000A0A5F" w:rsidRDefault="00CB0DD7">
            <w:pPr>
              <w:pStyle w:val="TAL"/>
            </w:pPr>
            <w:r w:rsidRPr="000A0A5F">
              <w:t>transactionId</w:t>
            </w:r>
          </w:p>
        </w:tc>
        <w:tc>
          <w:tcPr>
            <w:tcW w:w="679" w:type="pct"/>
          </w:tcPr>
          <w:p w:rsidR="00CB0DD7" w:rsidRPr="000A0A5F" w:rsidRDefault="00CB0DD7">
            <w:pPr>
              <w:pStyle w:val="TAL"/>
            </w:pPr>
            <w:r w:rsidRPr="000A0A5F">
              <w:t>string</w:t>
            </w:r>
          </w:p>
        </w:tc>
        <w:tc>
          <w:tcPr>
            <w:tcW w:w="3302" w:type="pct"/>
            <w:shd w:val="clear" w:color="auto" w:fill="auto"/>
            <w:vAlign w:val="center"/>
          </w:tcPr>
          <w:p w:rsidR="00CB0DD7" w:rsidRPr="000A0A5F" w:rsidRDefault="00CB0DD7">
            <w:pPr>
              <w:pStyle w:val="TAL"/>
            </w:pPr>
            <w:r w:rsidRPr="000A0A5F">
              <w:t>TransactionId selected by the SCEF. The transactionId corresponds to the stage 2 TLTRI.</w:t>
            </w:r>
          </w:p>
        </w:tc>
      </w:tr>
    </w:tbl>
    <w:p w:rsidR="00CB0DD7" w:rsidRPr="000A0A5F" w:rsidRDefault="00CB0DD7"/>
    <w:p w:rsidR="00CB0DD7" w:rsidRPr="000A0A5F" w:rsidRDefault="00CB0DD7">
      <w:pPr>
        <w:pStyle w:val="Heading6"/>
      </w:pPr>
      <w:bookmarkStart w:id="5729" w:name="_Toc11247603"/>
      <w:bookmarkStart w:id="5730" w:name="_Toc27044742"/>
      <w:bookmarkStart w:id="5731" w:name="_Toc36033784"/>
      <w:bookmarkStart w:id="5732" w:name="_Toc45131930"/>
      <w:bookmarkStart w:id="5733" w:name="_Toc49776215"/>
      <w:bookmarkStart w:id="5734" w:name="_Toc51747135"/>
      <w:bookmarkStart w:id="5735" w:name="_Toc66360699"/>
      <w:bookmarkStart w:id="5736" w:name="_Toc68105204"/>
      <w:bookmarkStart w:id="5737" w:name="_Toc74755834"/>
      <w:bookmarkStart w:id="5738" w:name="_Toc105674709"/>
      <w:bookmarkStart w:id="5739" w:name="_Toc130502761"/>
      <w:bookmarkStart w:id="5740" w:name="_Toc153625548"/>
      <w:r w:rsidRPr="000A0A5F">
        <w:t>5.8.2.2.5.3</w:t>
      </w:r>
      <w:r w:rsidRPr="000A0A5F">
        <w:tab/>
        <w:t>Resource methods</w:t>
      </w:r>
      <w:bookmarkEnd w:id="5729"/>
      <w:bookmarkEnd w:id="5730"/>
      <w:bookmarkEnd w:id="5731"/>
      <w:bookmarkEnd w:id="5732"/>
      <w:bookmarkEnd w:id="5733"/>
      <w:bookmarkEnd w:id="5734"/>
      <w:bookmarkEnd w:id="5735"/>
      <w:bookmarkEnd w:id="5736"/>
      <w:bookmarkEnd w:id="5737"/>
      <w:bookmarkEnd w:id="5738"/>
      <w:bookmarkEnd w:id="5739"/>
      <w:bookmarkEnd w:id="5740"/>
    </w:p>
    <w:p w:rsidR="00CB0DD7" w:rsidRPr="000A0A5F" w:rsidRDefault="00CB0DD7">
      <w:pPr>
        <w:pStyle w:val="Heading7"/>
      </w:pPr>
      <w:bookmarkStart w:id="5741" w:name="_Toc11247604"/>
      <w:bookmarkStart w:id="5742" w:name="_Toc27044743"/>
      <w:bookmarkStart w:id="5743" w:name="_Toc36033785"/>
      <w:bookmarkStart w:id="5744" w:name="_Toc45131931"/>
      <w:bookmarkStart w:id="5745" w:name="_Toc49776216"/>
      <w:bookmarkStart w:id="5746" w:name="_Toc51747136"/>
      <w:bookmarkStart w:id="5747" w:name="_Toc66360700"/>
      <w:bookmarkStart w:id="5748" w:name="_Toc68105205"/>
      <w:bookmarkStart w:id="5749" w:name="_Toc74755835"/>
      <w:bookmarkStart w:id="5750" w:name="_Toc105674710"/>
      <w:bookmarkStart w:id="5751" w:name="_Toc130502762"/>
      <w:bookmarkStart w:id="5752" w:name="_Toc153625549"/>
      <w:r w:rsidRPr="000A0A5F">
        <w:t>5.8.2.2.5.3.1</w:t>
      </w:r>
      <w:r w:rsidRPr="000A0A5F">
        <w:tab/>
        <w:t>GET</w:t>
      </w:r>
      <w:bookmarkEnd w:id="5741"/>
      <w:bookmarkEnd w:id="5742"/>
      <w:bookmarkEnd w:id="5743"/>
      <w:bookmarkEnd w:id="5744"/>
      <w:bookmarkEnd w:id="5745"/>
      <w:bookmarkEnd w:id="5746"/>
      <w:bookmarkEnd w:id="5747"/>
      <w:bookmarkEnd w:id="5748"/>
      <w:bookmarkEnd w:id="5749"/>
      <w:bookmarkEnd w:id="5750"/>
      <w:bookmarkEnd w:id="5751"/>
      <w:bookmarkEnd w:id="5752"/>
    </w:p>
    <w:p w:rsidR="00CB0DD7" w:rsidRPr="000A0A5F" w:rsidRDefault="00CB0DD7">
      <w:pPr>
        <w:rPr>
          <w:noProof/>
          <w:lang w:eastAsia="zh-CN"/>
        </w:rPr>
      </w:pPr>
      <w:r w:rsidRPr="000A0A5F">
        <w:rPr>
          <w:noProof/>
          <w:lang w:eastAsia="zh-CN"/>
        </w:rPr>
        <w:t xml:space="preserve">The GET method reads a group message delivery via MBMS by MB2 resource for a given SCS/AS, a TMGI and a </w:t>
      </w:r>
      <w:r w:rsidRPr="000A0A5F">
        <w:t>transactionId</w:t>
      </w:r>
      <w:r w:rsidRPr="000A0A5F">
        <w:rPr>
          <w:noProof/>
          <w:lang w:eastAsia="zh-CN"/>
        </w:rPr>
        <w:t xml:space="preserve">. It is initiated by the SCS/AS and answered by the SCEF. </w:t>
      </w:r>
    </w:p>
    <w:p w:rsidR="00CB0DD7" w:rsidRPr="000A0A5F" w:rsidRDefault="00CB0DD7">
      <w:pPr>
        <w:rPr>
          <w:rFonts w:hint="eastAsia"/>
          <w:lang w:eastAsia="zh-CN"/>
        </w:rPr>
      </w:pPr>
      <w:r w:rsidRPr="000A0A5F">
        <w:t>This method shall support request and response data structures, and response codes, as specified in the table 5.8.2.2.</w:t>
      </w:r>
      <w:r w:rsidRPr="000A0A5F">
        <w:rPr>
          <w:rFonts w:ascii="SimSun" w:hAnsi="SimSun"/>
          <w:lang w:eastAsia="zh-CN"/>
        </w:rPr>
        <w:t>5</w:t>
      </w:r>
      <w:r w:rsidRPr="000A0A5F">
        <w:t>.3.1-1.</w:t>
      </w:r>
    </w:p>
    <w:p w:rsidR="00CB0DD7" w:rsidRPr="000A0A5F" w:rsidRDefault="00CB0DD7">
      <w:pPr>
        <w:pStyle w:val="TH"/>
        <w:rPr>
          <w:rFonts w:hint="eastAsia"/>
          <w:lang w:eastAsia="zh-CN"/>
        </w:rPr>
      </w:pPr>
      <w:r w:rsidRPr="000A0A5F">
        <w:t>Table 5.</w:t>
      </w:r>
      <w:r w:rsidRPr="000A0A5F">
        <w:rPr>
          <w:lang w:eastAsia="zh-CN"/>
        </w:rPr>
        <w:t>8</w:t>
      </w:r>
      <w:r w:rsidRPr="000A0A5F">
        <w:t>.</w:t>
      </w:r>
      <w:r w:rsidRPr="000A0A5F">
        <w:rPr>
          <w:rFonts w:hint="eastAsia"/>
          <w:lang w:eastAsia="zh-CN"/>
        </w:rPr>
        <w:t>2.2</w:t>
      </w:r>
      <w:r w:rsidRPr="000A0A5F">
        <w:t>.5.3.1</w:t>
      </w:r>
      <w:r w:rsidRPr="000A0A5F">
        <w:rPr>
          <w:rFonts w:hint="eastAsia"/>
        </w:rPr>
        <w:t>-1</w:t>
      </w:r>
      <w:r w:rsidRPr="000A0A5F">
        <w:t>: Data structures supported by the GET request/response by the resource</w:t>
      </w:r>
    </w:p>
    <w:tbl>
      <w:tblPr>
        <w:tblW w:w="4999" w:type="pct"/>
        <w:tblInd w:w="1" w:type="dxa"/>
        <w:tblBorders>
          <w:top w:val="single" w:sz="6" w:space="0" w:color="000000"/>
          <w:left w:val="single" w:sz="6" w:space="0" w:color="000000"/>
          <w:bottom w:val="single" w:sz="6" w:space="0" w:color="000000"/>
          <w:right w:val="single" w:sz="6" w:space="0" w:color="000000"/>
          <w:insideH w:val="single" w:sz="6" w:space="0" w:color="auto"/>
          <w:insideV w:val="single" w:sz="6" w:space="0" w:color="000000"/>
        </w:tblBorders>
        <w:tblLayout w:type="fixed"/>
        <w:tblCellMar>
          <w:top w:w="45" w:type="dxa"/>
          <w:left w:w="45" w:type="dxa"/>
          <w:bottom w:w="45" w:type="dxa"/>
          <w:right w:w="45" w:type="dxa"/>
        </w:tblCellMar>
        <w:tblLook w:val="0000" w:firstRow="0" w:lastRow="0" w:firstColumn="0" w:lastColumn="0" w:noHBand="0" w:noVBand="0"/>
      </w:tblPr>
      <w:tblGrid>
        <w:gridCol w:w="1033"/>
        <w:gridCol w:w="2127"/>
        <w:gridCol w:w="1053"/>
        <w:gridCol w:w="973"/>
        <w:gridCol w:w="4543"/>
        <w:tblGridChange w:id="5753">
          <w:tblGrid>
            <w:gridCol w:w="1033"/>
            <w:gridCol w:w="2127"/>
            <w:gridCol w:w="1053"/>
            <w:gridCol w:w="973"/>
            <w:gridCol w:w="4543"/>
          </w:tblGrid>
        </w:tblGridChange>
      </w:tblGrid>
      <w:tr w:rsidR="00CB0DD7" w:rsidRPr="000A0A5F" w:rsidTr="00790FC9">
        <w:tc>
          <w:tcPr>
            <w:tcW w:w="531" w:type="pct"/>
            <w:vMerge w:val="restart"/>
            <w:shd w:val="clear" w:color="auto" w:fill="C0C0C0"/>
            <w:vAlign w:val="center"/>
          </w:tcPr>
          <w:p w:rsidR="00CB0DD7" w:rsidRPr="000A0A5F" w:rsidRDefault="00CB0DD7">
            <w:pPr>
              <w:pStyle w:val="TAH"/>
            </w:pPr>
            <w:r w:rsidRPr="000A0A5F">
              <w:t>Request body</w:t>
            </w:r>
          </w:p>
        </w:tc>
        <w:tc>
          <w:tcPr>
            <w:tcW w:w="1093" w:type="pct"/>
            <w:shd w:val="clear" w:color="auto" w:fill="C0C0C0"/>
          </w:tcPr>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r w:rsidRPr="000A0A5F">
              <w:t>Cardinality</w:t>
            </w:r>
          </w:p>
        </w:tc>
        <w:tc>
          <w:tcPr>
            <w:tcW w:w="2835" w:type="pct"/>
            <w:gridSpan w:val="2"/>
            <w:shd w:val="clear" w:color="auto" w:fill="C0C0C0"/>
          </w:tcPr>
          <w:p w:rsidR="00CB0DD7" w:rsidRPr="000A0A5F" w:rsidRDefault="00CB0DD7">
            <w:pPr>
              <w:pStyle w:val="TAH"/>
            </w:pPr>
            <w:r w:rsidRPr="000A0A5F">
              <w:t>Remarks</w:t>
            </w:r>
          </w:p>
        </w:tc>
      </w:tr>
      <w:tr w:rsidR="00CB0DD7" w:rsidRPr="000A0A5F" w:rsidTr="00FF0AF8">
        <w:tc>
          <w:tcPr>
            <w:tcW w:w="531"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rPr>
                <w:rFonts w:hint="eastAsia"/>
                <w:lang w:eastAsia="zh-CN"/>
              </w:rPr>
              <w:t>none</w:t>
            </w:r>
          </w:p>
        </w:tc>
        <w:tc>
          <w:tcPr>
            <w:tcW w:w="541" w:type="pct"/>
          </w:tcPr>
          <w:p w:rsidR="00CB0DD7" w:rsidRPr="000A0A5F" w:rsidRDefault="00CB0DD7">
            <w:pPr>
              <w:pStyle w:val="TAL"/>
            </w:pPr>
          </w:p>
        </w:tc>
        <w:tc>
          <w:tcPr>
            <w:tcW w:w="2835" w:type="pct"/>
            <w:gridSpan w:val="2"/>
          </w:tcPr>
          <w:p w:rsidR="00CB0DD7" w:rsidRPr="000A0A5F" w:rsidRDefault="00CB0DD7">
            <w:pPr>
              <w:pStyle w:val="TAL"/>
            </w:pPr>
          </w:p>
        </w:tc>
      </w:tr>
      <w:tr w:rsidR="00CB0DD7" w:rsidRPr="000A0A5F" w:rsidTr="00790FC9">
        <w:tc>
          <w:tcPr>
            <w:tcW w:w="531" w:type="pct"/>
            <w:vMerge w:val="restart"/>
            <w:shd w:val="clear" w:color="auto" w:fill="C0C0C0"/>
            <w:vAlign w:val="center"/>
          </w:tcPr>
          <w:p w:rsidR="00CB0DD7" w:rsidRPr="000A0A5F" w:rsidRDefault="00CB0DD7">
            <w:pPr>
              <w:pStyle w:val="TAH"/>
            </w:pPr>
            <w:r w:rsidRPr="000A0A5F">
              <w:t>Response body</w:t>
            </w:r>
          </w:p>
        </w:tc>
        <w:tc>
          <w:tcPr>
            <w:tcW w:w="1093" w:type="pct"/>
            <w:shd w:val="clear" w:color="auto" w:fill="C0C0C0"/>
          </w:tcPr>
          <w:p w:rsidR="00CB0DD7" w:rsidRPr="000A0A5F" w:rsidRDefault="00CB0DD7">
            <w:pPr>
              <w:pStyle w:val="TAH"/>
            </w:pPr>
          </w:p>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p>
          <w:p w:rsidR="00CB0DD7" w:rsidRPr="000A0A5F" w:rsidRDefault="00CB0DD7">
            <w:pPr>
              <w:pStyle w:val="TAH"/>
            </w:pPr>
            <w:r w:rsidRPr="000A0A5F">
              <w:t>Cardinality</w:t>
            </w:r>
          </w:p>
        </w:tc>
        <w:tc>
          <w:tcPr>
            <w:tcW w:w="500" w:type="pct"/>
            <w:shd w:val="clear" w:color="auto" w:fill="C0C0C0"/>
          </w:tcPr>
          <w:p w:rsidR="00CB0DD7" w:rsidRPr="000A0A5F" w:rsidRDefault="00CB0DD7">
            <w:pPr>
              <w:pStyle w:val="TAH"/>
            </w:pPr>
            <w:r w:rsidRPr="000A0A5F">
              <w:t>Response</w:t>
            </w:r>
          </w:p>
          <w:p w:rsidR="00CB0DD7" w:rsidRPr="000A0A5F" w:rsidRDefault="00CB0DD7">
            <w:pPr>
              <w:pStyle w:val="TAH"/>
            </w:pPr>
            <w:r w:rsidRPr="000A0A5F">
              <w:t>codes</w:t>
            </w:r>
          </w:p>
        </w:tc>
        <w:tc>
          <w:tcPr>
            <w:tcW w:w="2335" w:type="pct"/>
            <w:shd w:val="clear" w:color="auto" w:fill="C0C0C0"/>
          </w:tcPr>
          <w:p w:rsidR="00CB0DD7" w:rsidRPr="000A0A5F" w:rsidRDefault="00CB0DD7">
            <w:pPr>
              <w:pStyle w:val="TAH"/>
            </w:pPr>
          </w:p>
          <w:p w:rsidR="00CB0DD7" w:rsidRPr="000A0A5F" w:rsidRDefault="00CB0DD7">
            <w:pPr>
              <w:pStyle w:val="TAH"/>
            </w:pPr>
            <w:r w:rsidRPr="000A0A5F">
              <w:t>Remarks</w:t>
            </w:r>
          </w:p>
        </w:tc>
      </w:tr>
      <w:tr w:rsidR="00CB0DD7" w:rsidRPr="000A0A5F" w:rsidTr="00FF0AF8">
        <w:tc>
          <w:tcPr>
            <w:tcW w:w="531"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rPr>
                <w:lang w:eastAsia="zh-CN"/>
              </w:rPr>
              <w:t>GMDViaMBMSbyMb2</w:t>
            </w:r>
          </w:p>
        </w:tc>
        <w:tc>
          <w:tcPr>
            <w:tcW w:w="541" w:type="pct"/>
          </w:tcPr>
          <w:p w:rsidR="00CB0DD7" w:rsidRPr="000A0A5F" w:rsidRDefault="00CB0DD7">
            <w:pPr>
              <w:pStyle w:val="TAL"/>
              <w:rPr>
                <w:rFonts w:hint="eastAsia"/>
                <w:lang w:eastAsia="zh-CN"/>
              </w:rPr>
            </w:pPr>
            <w:r w:rsidRPr="000A0A5F">
              <w:rPr>
                <w:rFonts w:hint="eastAsia"/>
                <w:lang w:eastAsia="zh-CN"/>
              </w:rPr>
              <w:t>0..1</w:t>
            </w:r>
          </w:p>
        </w:tc>
        <w:tc>
          <w:tcPr>
            <w:tcW w:w="500" w:type="pct"/>
          </w:tcPr>
          <w:p w:rsidR="00CB0DD7" w:rsidRPr="000A0A5F" w:rsidRDefault="00CB0DD7">
            <w:pPr>
              <w:pStyle w:val="TAL"/>
            </w:pPr>
            <w:r w:rsidRPr="000A0A5F">
              <w:t>200 OK</w:t>
            </w:r>
          </w:p>
        </w:tc>
        <w:tc>
          <w:tcPr>
            <w:tcW w:w="2335" w:type="pct"/>
          </w:tcPr>
          <w:p w:rsidR="00CB0DD7" w:rsidRPr="000A0A5F" w:rsidRDefault="00CB0DD7">
            <w:pPr>
              <w:pStyle w:val="TAL"/>
              <w:rPr>
                <w:rFonts w:hint="eastAsia"/>
                <w:lang w:eastAsia="zh-CN"/>
              </w:rPr>
            </w:pPr>
            <w:r w:rsidRPr="000A0A5F">
              <w:rPr>
                <w:rFonts w:hint="eastAsia"/>
                <w:lang w:eastAsia="zh-CN"/>
              </w:rPr>
              <w:t xml:space="preserve">The </w:t>
            </w:r>
            <w:r w:rsidRPr="000A0A5F">
              <w:rPr>
                <w:lang w:eastAsia="zh-CN"/>
              </w:rPr>
              <w:t xml:space="preserve">group message delivery resource </w:t>
            </w:r>
            <w:r w:rsidRPr="000A0A5F">
              <w:rPr>
                <w:rFonts w:hint="eastAsia"/>
                <w:lang w:eastAsia="zh-CN"/>
              </w:rPr>
              <w:t xml:space="preserve">for the SCS/AS in the </w:t>
            </w:r>
            <w:r w:rsidRPr="000A0A5F">
              <w:rPr>
                <w:lang w:eastAsia="zh-CN"/>
              </w:rPr>
              <w:t>request</w:t>
            </w:r>
            <w:r w:rsidRPr="000A0A5F">
              <w:rPr>
                <w:rFonts w:hint="eastAsia"/>
                <w:lang w:eastAsia="zh-CN"/>
              </w:rPr>
              <w:t xml:space="preserve"> </w:t>
            </w:r>
            <w:r w:rsidRPr="000A0A5F">
              <w:rPr>
                <w:lang w:eastAsia="zh-CN"/>
              </w:rPr>
              <w:t>URI is returned.</w:t>
            </w:r>
          </w:p>
        </w:tc>
      </w:tr>
      <w:tr w:rsidR="00CB0DD7" w:rsidRPr="000A0A5F" w:rsidTr="00FF0AF8">
        <w:tc>
          <w:tcPr>
            <w:tcW w:w="531"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lang w:eastAsia="zh-CN"/>
              </w:rPr>
            </w:pPr>
            <w:r w:rsidRPr="000A0A5F">
              <w:t>none</w:t>
            </w:r>
          </w:p>
        </w:tc>
        <w:tc>
          <w:tcPr>
            <w:tcW w:w="541" w:type="pct"/>
          </w:tcPr>
          <w:p w:rsidR="00CB0DD7" w:rsidRPr="000A0A5F" w:rsidRDefault="00CB0DD7">
            <w:pPr>
              <w:pStyle w:val="TAL"/>
              <w:rPr>
                <w:rFonts w:hint="eastAsia"/>
                <w:lang w:eastAsia="zh-CN"/>
              </w:rPr>
            </w:pPr>
          </w:p>
        </w:tc>
        <w:tc>
          <w:tcPr>
            <w:tcW w:w="500" w:type="pct"/>
          </w:tcPr>
          <w:p w:rsidR="00CB0DD7" w:rsidRPr="000A0A5F" w:rsidRDefault="00CB0DD7">
            <w:pPr>
              <w:pStyle w:val="TAL"/>
            </w:pPr>
            <w:r w:rsidRPr="000A0A5F">
              <w:t>307 Temporary Redirect</w:t>
            </w:r>
          </w:p>
        </w:tc>
        <w:tc>
          <w:tcPr>
            <w:tcW w:w="2335" w:type="pct"/>
          </w:tcPr>
          <w:p w:rsidR="00CB0DD7" w:rsidRPr="000A0A5F" w:rsidRDefault="00CB0DD7">
            <w:pPr>
              <w:pStyle w:val="TAL"/>
            </w:pPr>
            <w:r w:rsidRPr="000A0A5F">
              <w:t xml:space="preserve">Temporary redirection, during </w:t>
            </w:r>
            <w:r w:rsidRPr="000A0A5F">
              <w:rPr>
                <w:rFonts w:hint="eastAsia"/>
                <w:lang w:eastAsia="zh-CN"/>
              </w:rPr>
              <w:t>resource</w:t>
            </w:r>
            <w:r w:rsidRPr="000A0A5F">
              <w:t xml:space="preserve"> retrieval. The response shall include a Location header field containing an alternative URI of the resource located in an alternative SCEF.</w:t>
            </w:r>
          </w:p>
          <w:p w:rsidR="00CB0DD7" w:rsidRPr="000A0A5F" w:rsidRDefault="00CB0DD7">
            <w:pPr>
              <w:pStyle w:val="TAL"/>
              <w:rPr>
                <w:rFonts w:hint="eastAsia"/>
                <w:lang w:eastAsia="zh-CN"/>
              </w:rPr>
            </w:pPr>
            <w:r w:rsidRPr="000A0A5F">
              <w:t>Redirection handling is described in clause 5.2.10.</w:t>
            </w:r>
          </w:p>
        </w:tc>
      </w:tr>
      <w:tr w:rsidR="00CB0DD7" w:rsidRPr="000A0A5F" w:rsidTr="00FF0AF8">
        <w:tc>
          <w:tcPr>
            <w:tcW w:w="531"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lang w:eastAsia="zh-CN"/>
              </w:rPr>
            </w:pPr>
            <w:r w:rsidRPr="000A0A5F">
              <w:t>none</w:t>
            </w:r>
          </w:p>
        </w:tc>
        <w:tc>
          <w:tcPr>
            <w:tcW w:w="541" w:type="pct"/>
          </w:tcPr>
          <w:p w:rsidR="00CB0DD7" w:rsidRPr="000A0A5F" w:rsidRDefault="00CB0DD7">
            <w:pPr>
              <w:pStyle w:val="TAL"/>
              <w:rPr>
                <w:rFonts w:hint="eastAsia"/>
                <w:lang w:eastAsia="zh-CN"/>
              </w:rPr>
            </w:pPr>
          </w:p>
        </w:tc>
        <w:tc>
          <w:tcPr>
            <w:tcW w:w="500" w:type="pct"/>
          </w:tcPr>
          <w:p w:rsidR="00CB0DD7" w:rsidRPr="000A0A5F" w:rsidRDefault="00CB0DD7">
            <w:pPr>
              <w:pStyle w:val="TAL"/>
            </w:pPr>
            <w:r w:rsidRPr="000A0A5F">
              <w:t>308 Permanent Redirect</w:t>
            </w:r>
          </w:p>
        </w:tc>
        <w:tc>
          <w:tcPr>
            <w:tcW w:w="2335" w:type="pct"/>
          </w:tcPr>
          <w:p w:rsidR="00CB0DD7" w:rsidRPr="000A0A5F" w:rsidRDefault="00CB0DD7">
            <w:pPr>
              <w:pStyle w:val="TAL"/>
            </w:pPr>
            <w:r w:rsidRPr="000A0A5F">
              <w:t xml:space="preserve">Permanent redirection, during </w:t>
            </w:r>
            <w:r w:rsidRPr="000A0A5F">
              <w:rPr>
                <w:rFonts w:hint="eastAsia"/>
                <w:lang w:eastAsia="zh-CN"/>
              </w:rPr>
              <w:t>resource</w:t>
            </w:r>
            <w:r w:rsidRPr="000A0A5F">
              <w:t xml:space="preserve"> retrieval. The response shall include a Location header field containing an alternative URI of the resource located in an alternative SCEF.</w:t>
            </w:r>
          </w:p>
          <w:p w:rsidR="00CB0DD7" w:rsidRPr="000A0A5F" w:rsidRDefault="00CB0DD7">
            <w:pPr>
              <w:pStyle w:val="TAL"/>
              <w:rPr>
                <w:rFonts w:hint="eastAsia"/>
                <w:lang w:eastAsia="zh-CN"/>
              </w:rPr>
            </w:pPr>
            <w:r w:rsidRPr="000A0A5F">
              <w:t>Redirection handling is described in clause 5.2.10.</w:t>
            </w:r>
          </w:p>
        </w:tc>
      </w:tr>
      <w:tr w:rsidR="00CB0DD7" w:rsidRPr="000A0A5F" w:rsidTr="00FF0AF8">
        <w:tc>
          <w:tcPr>
            <w:tcW w:w="5000" w:type="pct"/>
            <w:gridSpan w:val="5"/>
            <w:shd w:val="clear" w:color="auto" w:fill="auto"/>
            <w:vAlign w:val="center"/>
          </w:tcPr>
          <w:p w:rsidR="00CB0DD7" w:rsidRPr="000A0A5F" w:rsidRDefault="00CB0DD7">
            <w:pPr>
              <w:pStyle w:val="TAN"/>
            </w:pPr>
            <w:r w:rsidRPr="000A0A5F">
              <w:t>NOTE:</w:t>
            </w:r>
            <w:r w:rsidRPr="000A0A5F">
              <w:tab/>
              <w:t>The mandatory HTTP error status codes for the GET method listed in table 5.2.6-1 also apply.</w:t>
            </w:r>
          </w:p>
        </w:tc>
      </w:tr>
    </w:tbl>
    <w:p w:rsidR="00CB0DD7" w:rsidRPr="000A0A5F" w:rsidRDefault="00CB0DD7"/>
    <w:p w:rsidR="00CB0DD7" w:rsidRPr="000A0A5F" w:rsidRDefault="00CB0DD7">
      <w:pPr>
        <w:pStyle w:val="TH"/>
      </w:pPr>
      <w:r w:rsidRPr="000A0A5F">
        <w:t>Table 5.</w:t>
      </w:r>
      <w:r w:rsidRPr="000A0A5F">
        <w:rPr>
          <w:lang w:eastAsia="zh-CN"/>
        </w:rPr>
        <w:t>8</w:t>
      </w:r>
      <w:r w:rsidRPr="000A0A5F">
        <w:t>.</w:t>
      </w:r>
      <w:r w:rsidRPr="000A0A5F">
        <w:rPr>
          <w:rFonts w:hint="eastAsia"/>
          <w:lang w:eastAsia="zh-CN"/>
        </w:rPr>
        <w:t>2.2</w:t>
      </w:r>
      <w:r w:rsidRPr="000A0A5F">
        <w:t>.5.3.1-2: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CB0DD7">
      <w:pPr>
        <w:pStyle w:val="TH"/>
      </w:pPr>
      <w:r w:rsidRPr="000A0A5F">
        <w:t>Table 5.</w:t>
      </w:r>
      <w:r w:rsidRPr="000A0A5F">
        <w:rPr>
          <w:lang w:eastAsia="zh-CN"/>
        </w:rPr>
        <w:t>8</w:t>
      </w:r>
      <w:r w:rsidRPr="000A0A5F">
        <w:t>.</w:t>
      </w:r>
      <w:r w:rsidRPr="000A0A5F">
        <w:rPr>
          <w:rFonts w:hint="eastAsia"/>
          <w:lang w:eastAsia="zh-CN"/>
        </w:rPr>
        <w:t>2.2</w:t>
      </w:r>
      <w:r w:rsidRPr="000A0A5F">
        <w:t>.5.3.1-3: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CB0DD7">
      <w:pPr>
        <w:pStyle w:val="Heading7"/>
      </w:pPr>
      <w:bookmarkStart w:id="5754" w:name="_Toc11247605"/>
      <w:bookmarkStart w:id="5755" w:name="_Toc27044744"/>
      <w:bookmarkStart w:id="5756" w:name="_Toc36033786"/>
      <w:bookmarkStart w:id="5757" w:name="_Toc45131932"/>
      <w:bookmarkStart w:id="5758" w:name="_Toc49776217"/>
      <w:bookmarkStart w:id="5759" w:name="_Toc51747137"/>
      <w:bookmarkStart w:id="5760" w:name="_Toc66360701"/>
      <w:bookmarkStart w:id="5761" w:name="_Toc68105206"/>
      <w:bookmarkStart w:id="5762" w:name="_Toc74755836"/>
      <w:bookmarkStart w:id="5763" w:name="_Toc105674711"/>
      <w:bookmarkStart w:id="5764" w:name="_Toc130502763"/>
      <w:bookmarkStart w:id="5765" w:name="_Toc153625550"/>
      <w:r w:rsidRPr="000A0A5F">
        <w:t>5.8.2.2.5.3.2</w:t>
      </w:r>
      <w:r w:rsidRPr="000A0A5F">
        <w:tab/>
        <w:t>PUT</w:t>
      </w:r>
      <w:bookmarkEnd w:id="5754"/>
      <w:bookmarkEnd w:id="5755"/>
      <w:bookmarkEnd w:id="5756"/>
      <w:bookmarkEnd w:id="5757"/>
      <w:bookmarkEnd w:id="5758"/>
      <w:bookmarkEnd w:id="5759"/>
      <w:bookmarkEnd w:id="5760"/>
      <w:bookmarkEnd w:id="5761"/>
      <w:bookmarkEnd w:id="5762"/>
      <w:bookmarkEnd w:id="5763"/>
      <w:bookmarkEnd w:id="5764"/>
      <w:bookmarkEnd w:id="5765"/>
    </w:p>
    <w:p w:rsidR="00CB0DD7" w:rsidRPr="000A0A5F" w:rsidRDefault="00CB0DD7">
      <w:r w:rsidRPr="000A0A5F">
        <w:t xml:space="preserve">Assuming that a group message delivery has been created using the </w:t>
      </w:r>
      <w:r w:rsidRPr="000A0A5F">
        <w:rPr>
          <w:rFonts w:hint="eastAsia"/>
          <w:lang w:eastAsia="zh-CN"/>
        </w:rPr>
        <w:t xml:space="preserve">HTTP </w:t>
      </w:r>
      <w:r w:rsidRPr="000A0A5F">
        <w:rPr>
          <w:lang w:eastAsia="zh-CN"/>
        </w:rPr>
        <w:t>POST</w:t>
      </w:r>
      <w:r w:rsidRPr="000A0A5F">
        <w:t xml:space="preserve"> method described in clause 5.8</w:t>
      </w:r>
      <w:r w:rsidRPr="000A0A5F">
        <w:rPr>
          <w:rFonts w:hint="eastAsia"/>
          <w:lang w:eastAsia="zh-CN"/>
        </w:rPr>
        <w:t>.</w:t>
      </w:r>
      <w:r w:rsidRPr="000A0A5F">
        <w:rPr>
          <w:lang w:eastAsia="zh-CN"/>
        </w:rPr>
        <w:t>2.2</w:t>
      </w:r>
      <w:r w:rsidRPr="000A0A5F">
        <w:rPr>
          <w:rFonts w:hint="eastAsia"/>
          <w:lang w:eastAsia="zh-CN"/>
        </w:rPr>
        <w:t>.</w:t>
      </w:r>
      <w:r w:rsidRPr="000A0A5F">
        <w:rPr>
          <w:lang w:eastAsia="zh-CN"/>
        </w:rPr>
        <w:t>4</w:t>
      </w:r>
      <w:r w:rsidRPr="000A0A5F">
        <w:rPr>
          <w:rFonts w:hint="eastAsia"/>
          <w:lang w:eastAsia="zh-CN"/>
        </w:rPr>
        <w:t>.3.4</w:t>
      </w:r>
      <w:r w:rsidRPr="000A0A5F">
        <w:t xml:space="preserve">, replace of its properties can be performed by the </w:t>
      </w:r>
      <w:r w:rsidRPr="000A0A5F">
        <w:rPr>
          <w:rFonts w:hint="eastAsia"/>
          <w:lang w:eastAsia="zh-CN"/>
        </w:rPr>
        <w:t>SCS/AS</w:t>
      </w:r>
      <w:r w:rsidRPr="000A0A5F">
        <w:t xml:space="preserve"> by using the HTTP PUT method on the "delivery_via_mbms" instance resource as follows:</w:t>
      </w:r>
    </w:p>
    <w:p w:rsidR="00CB0DD7" w:rsidRPr="000A0A5F" w:rsidRDefault="00CB0DD7">
      <w:pPr>
        <w:ind w:left="568" w:hanging="284"/>
        <w:rPr>
          <w:rFonts w:hint="eastAsia"/>
          <w:lang w:eastAsia="zh-CN"/>
        </w:rPr>
      </w:pPr>
      <w:r w:rsidRPr="000A0A5F">
        <w:t>-</w:t>
      </w:r>
      <w:r w:rsidRPr="000A0A5F">
        <w:tab/>
        <w:t>the body of the message is encoded in JSON format</w:t>
      </w:r>
      <w:r w:rsidRPr="000A0A5F">
        <w:rPr>
          <w:rFonts w:hint="eastAsia"/>
          <w:lang w:eastAsia="zh-CN"/>
        </w:rPr>
        <w:t xml:space="preserve"> with the data structure defined in table</w:t>
      </w:r>
      <w:r w:rsidRPr="000A0A5F">
        <w:rPr>
          <w:lang w:val="en-US" w:eastAsia="zh-CN"/>
        </w:rPr>
        <w:t> </w:t>
      </w:r>
      <w:r w:rsidRPr="000A0A5F">
        <w:rPr>
          <w:rFonts w:hint="eastAsia"/>
          <w:lang w:eastAsia="zh-CN"/>
        </w:rPr>
        <w:t>5.</w:t>
      </w:r>
      <w:r w:rsidRPr="000A0A5F">
        <w:rPr>
          <w:lang w:eastAsia="zh-CN"/>
        </w:rPr>
        <w:t>8</w:t>
      </w:r>
      <w:r w:rsidRPr="000A0A5F">
        <w:rPr>
          <w:rFonts w:hint="eastAsia"/>
          <w:lang w:eastAsia="zh-CN"/>
        </w:rPr>
        <w:t>.</w:t>
      </w:r>
      <w:r w:rsidRPr="000A0A5F">
        <w:rPr>
          <w:lang w:eastAsia="zh-CN"/>
        </w:rPr>
        <w:t>2.2</w:t>
      </w:r>
      <w:r w:rsidRPr="000A0A5F">
        <w:rPr>
          <w:rFonts w:hint="eastAsia"/>
          <w:lang w:eastAsia="zh-CN"/>
        </w:rPr>
        <w:t>.</w:t>
      </w:r>
      <w:r w:rsidRPr="000A0A5F">
        <w:rPr>
          <w:lang w:eastAsia="zh-CN"/>
        </w:rPr>
        <w:t>5</w:t>
      </w:r>
      <w:r w:rsidRPr="000A0A5F">
        <w:rPr>
          <w:rFonts w:hint="eastAsia"/>
          <w:lang w:eastAsia="zh-CN"/>
        </w:rPr>
        <w:t>.</w:t>
      </w:r>
      <w:r w:rsidRPr="000A0A5F">
        <w:rPr>
          <w:lang w:eastAsia="zh-CN"/>
        </w:rPr>
        <w:t>3.2</w:t>
      </w:r>
      <w:r w:rsidRPr="000A0A5F">
        <w:rPr>
          <w:rFonts w:hint="eastAsia"/>
          <w:lang w:eastAsia="zh-CN"/>
        </w:rPr>
        <w:t>-1</w:t>
      </w:r>
      <w:r w:rsidRPr="000A0A5F">
        <w:rPr>
          <w:lang w:eastAsia="zh-CN"/>
        </w:rPr>
        <w:t>.</w:t>
      </w:r>
    </w:p>
    <w:p w:rsidR="00CB0DD7" w:rsidRPr="000A0A5F" w:rsidRDefault="00CB0DD7">
      <w:pPr>
        <w:rPr>
          <w:rFonts w:hint="eastAsia"/>
          <w:lang w:eastAsia="zh-CN"/>
        </w:rPr>
      </w:pPr>
      <w:r w:rsidRPr="000A0A5F">
        <w:t xml:space="preserve">The content body of the </w:t>
      </w:r>
      <w:r w:rsidRPr="000A0A5F">
        <w:rPr>
          <w:lang w:eastAsia="zh-CN"/>
        </w:rPr>
        <w:t>group message delivery via MBMS</w:t>
      </w:r>
      <w:r w:rsidRPr="000A0A5F">
        <w:t xml:space="preserve"> update request shall contain updated full representation of the </w:t>
      </w:r>
      <w:r w:rsidRPr="000A0A5F">
        <w:rPr>
          <w:lang w:eastAsia="zh-CN"/>
        </w:rPr>
        <w:t>group message delivery</w:t>
      </w:r>
      <w:r w:rsidRPr="000A0A5F">
        <w:rPr>
          <w:rFonts w:hint="eastAsia"/>
          <w:lang w:eastAsia="zh-CN"/>
        </w:rPr>
        <w:t xml:space="preserve"> </w:t>
      </w:r>
      <w:r w:rsidRPr="000A0A5F">
        <w:t>resource</w:t>
      </w:r>
      <w:r w:rsidRPr="000A0A5F">
        <w:rPr>
          <w:rFonts w:hint="eastAsia"/>
          <w:lang w:eastAsia="zh-CN"/>
        </w:rPr>
        <w:t xml:space="preserve">. </w:t>
      </w:r>
      <w:r w:rsidRPr="000A0A5F">
        <w:rPr>
          <w:lang w:eastAsia="zh-CN"/>
        </w:rPr>
        <w:t>O</w:t>
      </w:r>
      <w:r w:rsidRPr="000A0A5F">
        <w:rPr>
          <w:rFonts w:hint="eastAsia"/>
          <w:lang w:eastAsia="zh-CN"/>
        </w:rPr>
        <w:t>nly t</w:t>
      </w:r>
      <w:r w:rsidRPr="000A0A5F">
        <w:t xml:space="preserve">he properties </w:t>
      </w:r>
      <w:r w:rsidRPr="000A0A5F">
        <w:rPr>
          <w:lang w:val="en-US"/>
        </w:rPr>
        <w:t>"locationinfo", "</w:t>
      </w:r>
      <w:r w:rsidRPr="000A0A5F">
        <w:rPr>
          <w:lang w:eastAsia="zh-CN"/>
        </w:rPr>
        <w:t>a</w:t>
      </w:r>
      <w:r w:rsidRPr="000A0A5F">
        <w:rPr>
          <w:rFonts w:hint="eastAsia"/>
          <w:lang w:eastAsia="zh-CN"/>
        </w:rPr>
        <w:t>ccuracy</w:t>
      </w:r>
      <w:r w:rsidRPr="000A0A5F">
        <w:rPr>
          <w:lang w:val="en-US"/>
        </w:rPr>
        <w:t>", "messageDeliverystarttime" and "groupMessagepayload"</w:t>
      </w:r>
      <w:r w:rsidRPr="000A0A5F">
        <w:t xml:space="preserve"> can </w:t>
      </w:r>
      <w:r w:rsidRPr="000A0A5F">
        <w:rPr>
          <w:rFonts w:hint="eastAsia"/>
          <w:lang w:eastAsia="zh-CN"/>
        </w:rPr>
        <w:t xml:space="preserve">be </w:t>
      </w:r>
      <w:r w:rsidRPr="000A0A5F">
        <w:t>modified.</w:t>
      </w:r>
    </w:p>
    <w:p w:rsidR="00CB0DD7" w:rsidRPr="000A0A5F" w:rsidRDefault="00CB0DD7">
      <w:pPr>
        <w:rPr>
          <w:rFonts w:hint="eastAsia"/>
          <w:lang w:eastAsia="zh-CN"/>
        </w:rPr>
      </w:pPr>
      <w:r w:rsidRPr="000A0A5F">
        <w:t>The possible response messages from the</w:t>
      </w:r>
      <w:r w:rsidRPr="000A0A5F">
        <w:rPr>
          <w:rFonts w:hint="eastAsia"/>
          <w:lang w:eastAsia="zh-CN"/>
        </w:rPr>
        <w:t xml:space="preserve"> SCEF</w:t>
      </w:r>
      <w:r w:rsidRPr="000A0A5F">
        <w:t>, depending on whether the PUT request is successful or unsuccessful, are shown in</w:t>
      </w:r>
      <w:r w:rsidRPr="000A0A5F">
        <w:rPr>
          <w:lang w:eastAsia="zh-CN"/>
        </w:rPr>
        <w:t xml:space="preserve"> </w:t>
      </w:r>
      <w:r w:rsidR="002E466A" w:rsidRPr="000A0A5F">
        <w:rPr>
          <w:lang w:eastAsia="zh-CN"/>
        </w:rPr>
        <w:t>table</w:t>
      </w:r>
      <w:r w:rsidR="002E466A" w:rsidRPr="000A0A5F">
        <w:rPr>
          <w:lang w:val="en-US" w:eastAsia="zh-CN"/>
        </w:rPr>
        <w:t> </w:t>
      </w:r>
      <w:r w:rsidRPr="000A0A5F">
        <w:rPr>
          <w:lang w:eastAsia="zh-CN"/>
        </w:rPr>
        <w:t>5.8.2.2.</w:t>
      </w:r>
      <w:r w:rsidRPr="000A0A5F">
        <w:rPr>
          <w:rFonts w:hint="eastAsia"/>
          <w:lang w:eastAsia="zh-CN"/>
        </w:rPr>
        <w:t>5</w:t>
      </w:r>
      <w:r w:rsidRPr="000A0A5F">
        <w:rPr>
          <w:lang w:eastAsia="zh-CN"/>
        </w:rPr>
        <w:t>.3.2</w:t>
      </w:r>
      <w:r w:rsidRPr="000A0A5F">
        <w:rPr>
          <w:rFonts w:hint="eastAsia"/>
          <w:lang w:eastAsia="zh-CN"/>
        </w:rPr>
        <w:t>-1</w:t>
      </w:r>
      <w:r w:rsidRPr="000A0A5F">
        <w:rPr>
          <w:lang w:eastAsia="zh-CN"/>
        </w:rPr>
        <w:t>.</w:t>
      </w:r>
    </w:p>
    <w:p w:rsidR="00CB0DD7" w:rsidRPr="000A0A5F" w:rsidRDefault="00CB0DD7">
      <w:pPr>
        <w:pStyle w:val="TH"/>
      </w:pPr>
      <w:r w:rsidRPr="000A0A5F">
        <w:t>Table 5.8.2.2.5.3.2</w:t>
      </w:r>
      <w:r w:rsidRPr="000A0A5F">
        <w:rPr>
          <w:rFonts w:hint="eastAsia"/>
          <w:lang w:eastAsia="zh-CN"/>
        </w:rPr>
        <w:t>-1</w:t>
      </w:r>
      <w:r w:rsidRPr="000A0A5F">
        <w:t xml:space="preserve">: Data structures supported by the </w:t>
      </w:r>
      <w:r w:rsidRPr="000A0A5F">
        <w:rPr>
          <w:lang w:eastAsia="zh-CN"/>
        </w:rPr>
        <w:t>PUT</w:t>
      </w:r>
      <w:r w:rsidRPr="000A0A5F">
        <w:t xml:space="preserve"> request/response by the resource</w:t>
      </w:r>
    </w:p>
    <w:tbl>
      <w:tblPr>
        <w:tblW w:w="4999" w:type="pct"/>
        <w:tblInd w:w="1" w:type="dxa"/>
        <w:tblBorders>
          <w:top w:val="single" w:sz="6" w:space="0" w:color="000000"/>
          <w:left w:val="single" w:sz="6" w:space="0" w:color="000000"/>
          <w:bottom w:val="single" w:sz="6" w:space="0" w:color="000000"/>
          <w:right w:val="single" w:sz="6" w:space="0" w:color="000000"/>
          <w:insideH w:val="single" w:sz="6" w:space="0" w:color="auto"/>
          <w:insideV w:val="single" w:sz="6" w:space="0" w:color="000000"/>
        </w:tblBorders>
        <w:tblLayout w:type="fixed"/>
        <w:tblCellMar>
          <w:top w:w="45" w:type="dxa"/>
          <w:left w:w="45" w:type="dxa"/>
          <w:bottom w:w="45" w:type="dxa"/>
          <w:right w:w="45" w:type="dxa"/>
        </w:tblCellMar>
        <w:tblLook w:val="0000" w:firstRow="0" w:lastRow="0" w:firstColumn="0" w:lastColumn="0" w:noHBand="0" w:noVBand="0"/>
      </w:tblPr>
      <w:tblGrid>
        <w:gridCol w:w="1035"/>
        <w:gridCol w:w="2127"/>
        <w:gridCol w:w="1053"/>
        <w:gridCol w:w="973"/>
        <w:gridCol w:w="4541"/>
      </w:tblGrid>
      <w:tr w:rsidR="00CB0DD7" w:rsidRPr="000A0A5F" w:rsidTr="00790FC9">
        <w:tc>
          <w:tcPr>
            <w:tcW w:w="532" w:type="pct"/>
            <w:vMerge w:val="restart"/>
            <w:shd w:val="clear" w:color="auto" w:fill="C0C0C0"/>
            <w:vAlign w:val="center"/>
          </w:tcPr>
          <w:p w:rsidR="00CB0DD7" w:rsidRPr="000A0A5F" w:rsidRDefault="00CB0DD7">
            <w:pPr>
              <w:pStyle w:val="TAH"/>
            </w:pPr>
            <w:r w:rsidRPr="000A0A5F">
              <w:t>Request body</w:t>
            </w:r>
          </w:p>
        </w:tc>
        <w:tc>
          <w:tcPr>
            <w:tcW w:w="1093" w:type="pct"/>
            <w:shd w:val="clear" w:color="auto" w:fill="C0C0C0"/>
          </w:tcPr>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r w:rsidRPr="000A0A5F">
              <w:t>Cardinality</w:t>
            </w:r>
          </w:p>
        </w:tc>
        <w:tc>
          <w:tcPr>
            <w:tcW w:w="2834" w:type="pct"/>
            <w:gridSpan w:val="2"/>
            <w:shd w:val="clear" w:color="auto" w:fill="C0C0C0"/>
          </w:tcPr>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rPr>
                <w:lang w:eastAsia="zh-CN"/>
              </w:rPr>
              <w:t>GMDViaMBMSByMb2</w:t>
            </w:r>
          </w:p>
        </w:tc>
        <w:tc>
          <w:tcPr>
            <w:tcW w:w="541" w:type="pct"/>
          </w:tcPr>
          <w:p w:rsidR="00CB0DD7" w:rsidRPr="000A0A5F" w:rsidRDefault="00CB0DD7">
            <w:pPr>
              <w:pStyle w:val="TAL"/>
            </w:pPr>
            <w:r w:rsidRPr="000A0A5F">
              <w:t>1</w:t>
            </w:r>
          </w:p>
        </w:tc>
        <w:tc>
          <w:tcPr>
            <w:tcW w:w="2834" w:type="pct"/>
            <w:gridSpan w:val="2"/>
          </w:tcPr>
          <w:p w:rsidR="00CB0DD7" w:rsidRPr="000A0A5F" w:rsidRDefault="00CB0DD7">
            <w:pPr>
              <w:pStyle w:val="TAL"/>
            </w:pPr>
            <w:r w:rsidRPr="000A0A5F">
              <w:t xml:space="preserve">Parameters to </w:t>
            </w:r>
            <w:r w:rsidRPr="000A0A5F">
              <w:rPr>
                <w:lang w:eastAsia="zh-CN"/>
              </w:rPr>
              <w:t>replace group message delivery resource</w:t>
            </w:r>
            <w:r w:rsidRPr="000A0A5F">
              <w:rPr>
                <w:rFonts w:hint="eastAsia"/>
                <w:lang w:eastAsia="zh-CN"/>
              </w:rPr>
              <w:t xml:space="preserve"> </w:t>
            </w:r>
            <w:r w:rsidRPr="000A0A5F">
              <w:t>with the SCEF.</w:t>
            </w:r>
          </w:p>
        </w:tc>
      </w:tr>
      <w:tr w:rsidR="00CB0DD7" w:rsidRPr="000A0A5F" w:rsidTr="00790FC9">
        <w:tc>
          <w:tcPr>
            <w:tcW w:w="532" w:type="pct"/>
            <w:vMerge w:val="restart"/>
            <w:shd w:val="clear" w:color="auto" w:fill="C0C0C0"/>
            <w:vAlign w:val="center"/>
          </w:tcPr>
          <w:p w:rsidR="00CB0DD7" w:rsidRPr="000A0A5F" w:rsidRDefault="00CB0DD7">
            <w:pPr>
              <w:pStyle w:val="TAH"/>
            </w:pPr>
            <w:r w:rsidRPr="000A0A5F">
              <w:t>Response body</w:t>
            </w:r>
          </w:p>
        </w:tc>
        <w:tc>
          <w:tcPr>
            <w:tcW w:w="1093" w:type="pct"/>
            <w:shd w:val="clear" w:color="auto" w:fill="C0C0C0"/>
          </w:tcPr>
          <w:p w:rsidR="00CB0DD7" w:rsidRPr="000A0A5F" w:rsidRDefault="00CB0DD7">
            <w:pPr>
              <w:pStyle w:val="TAH"/>
            </w:pPr>
          </w:p>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p>
          <w:p w:rsidR="00CB0DD7" w:rsidRPr="000A0A5F" w:rsidRDefault="00CB0DD7">
            <w:pPr>
              <w:pStyle w:val="TAH"/>
            </w:pPr>
            <w:r w:rsidRPr="000A0A5F">
              <w:t>Cardinality</w:t>
            </w:r>
          </w:p>
        </w:tc>
        <w:tc>
          <w:tcPr>
            <w:tcW w:w="500" w:type="pct"/>
            <w:shd w:val="clear" w:color="auto" w:fill="C0C0C0"/>
          </w:tcPr>
          <w:p w:rsidR="00CB0DD7" w:rsidRPr="000A0A5F" w:rsidRDefault="00CB0DD7">
            <w:pPr>
              <w:pStyle w:val="TAH"/>
            </w:pPr>
            <w:r w:rsidRPr="000A0A5F">
              <w:t>Response</w:t>
            </w:r>
          </w:p>
          <w:p w:rsidR="00CB0DD7" w:rsidRPr="000A0A5F" w:rsidRDefault="00CB0DD7">
            <w:pPr>
              <w:pStyle w:val="TAH"/>
            </w:pPr>
            <w:r w:rsidRPr="000A0A5F">
              <w:t>codes</w:t>
            </w:r>
          </w:p>
        </w:tc>
        <w:tc>
          <w:tcPr>
            <w:tcW w:w="2334" w:type="pct"/>
            <w:shd w:val="clear" w:color="auto" w:fill="C0C0C0"/>
          </w:tcPr>
          <w:p w:rsidR="00CB0DD7" w:rsidRPr="000A0A5F" w:rsidRDefault="00CB0DD7">
            <w:pPr>
              <w:pStyle w:val="TAH"/>
            </w:pPr>
          </w:p>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rPr>
                <w:lang w:eastAsia="zh-CN"/>
              </w:rPr>
              <w:t>GMDViaMBMSByMb2</w:t>
            </w:r>
          </w:p>
        </w:tc>
        <w:tc>
          <w:tcPr>
            <w:tcW w:w="541" w:type="pct"/>
          </w:tcPr>
          <w:p w:rsidR="00CB0DD7" w:rsidRPr="000A0A5F" w:rsidRDefault="00CB0DD7">
            <w:pPr>
              <w:pStyle w:val="TAL"/>
              <w:rPr>
                <w:rFonts w:hint="eastAsia"/>
                <w:lang w:eastAsia="zh-CN"/>
              </w:rPr>
            </w:pPr>
            <w:r w:rsidRPr="000A0A5F">
              <w:rPr>
                <w:rFonts w:hint="eastAsia"/>
                <w:lang w:eastAsia="zh-CN"/>
              </w:rPr>
              <w:t>1</w:t>
            </w:r>
          </w:p>
        </w:tc>
        <w:tc>
          <w:tcPr>
            <w:tcW w:w="500" w:type="pct"/>
          </w:tcPr>
          <w:p w:rsidR="00CB0DD7" w:rsidRPr="000A0A5F" w:rsidRDefault="00CB0DD7">
            <w:pPr>
              <w:pStyle w:val="TAL"/>
              <w:rPr>
                <w:rFonts w:hint="eastAsia"/>
                <w:lang w:eastAsia="zh-CN"/>
              </w:rPr>
            </w:pPr>
            <w:r w:rsidRPr="000A0A5F">
              <w:t>20</w:t>
            </w:r>
            <w:r w:rsidRPr="000A0A5F">
              <w:rPr>
                <w:rFonts w:hint="eastAsia"/>
                <w:lang w:eastAsia="zh-CN"/>
              </w:rPr>
              <w:t>0 OK</w:t>
            </w:r>
          </w:p>
        </w:tc>
        <w:tc>
          <w:tcPr>
            <w:tcW w:w="2334" w:type="pct"/>
          </w:tcPr>
          <w:p w:rsidR="00CB0DD7" w:rsidRPr="000A0A5F" w:rsidRDefault="00CB0DD7">
            <w:pPr>
              <w:pStyle w:val="TAL"/>
              <w:spacing w:afterLines="50" w:after="120"/>
            </w:pPr>
            <w:r w:rsidRPr="000A0A5F">
              <w:t xml:space="preserve">The </w:t>
            </w:r>
            <w:r w:rsidRPr="000A0A5F">
              <w:rPr>
                <w:lang w:eastAsia="zh-CN"/>
              </w:rPr>
              <w:t>group message delivery</w:t>
            </w:r>
            <w:r w:rsidRPr="000A0A5F">
              <w:t xml:space="preserve"> was </w:t>
            </w:r>
            <w:r w:rsidRPr="000A0A5F">
              <w:rPr>
                <w:rFonts w:hint="eastAsia"/>
                <w:lang w:eastAsia="zh-CN"/>
              </w:rPr>
              <w:t>modified</w:t>
            </w:r>
            <w:r w:rsidRPr="000A0A5F">
              <w:t xml:space="preserve"> successfully. </w:t>
            </w:r>
          </w:p>
          <w:p w:rsidR="00CB0DD7" w:rsidRPr="000A0A5F" w:rsidRDefault="006E33A8">
            <w:pPr>
              <w:pStyle w:val="TAL"/>
              <w:rPr>
                <w:rFonts w:hint="eastAsia"/>
                <w:lang w:eastAsia="zh-CN"/>
              </w:rPr>
            </w:pPr>
            <w:r w:rsidRPr="000A0A5F">
              <w:t xml:space="preserve">The SCEF </w:t>
            </w:r>
            <w:r w:rsidRPr="000A0A5F">
              <w:rPr>
                <w:rFonts w:hint="eastAsia"/>
                <w:lang w:eastAsia="zh-CN"/>
              </w:rPr>
              <w:t>shall</w:t>
            </w:r>
            <w:r w:rsidRPr="000A0A5F">
              <w:t xml:space="preserve"> return an updated data structure of type "</w:t>
            </w:r>
            <w:r w:rsidRPr="000A0A5F">
              <w:rPr>
                <w:lang w:eastAsia="zh-CN"/>
              </w:rPr>
              <w:t>GMDViaMBMSByMb2</w:t>
            </w:r>
            <w:r w:rsidRPr="000A0A5F">
              <w:t>" in the response content.</w:t>
            </w:r>
          </w:p>
        </w:tc>
      </w:tr>
      <w:tr w:rsidR="00B34053" w:rsidRPr="000A0A5F" w:rsidTr="00FF0AF8">
        <w:tc>
          <w:tcPr>
            <w:tcW w:w="532" w:type="pct"/>
            <w:vMerge/>
            <w:shd w:val="clear" w:color="auto" w:fill="BFBFBF"/>
            <w:vAlign w:val="center"/>
          </w:tcPr>
          <w:p w:rsidR="00B34053" w:rsidRPr="000A0A5F" w:rsidRDefault="00B34053">
            <w:pPr>
              <w:pStyle w:val="TAL"/>
              <w:jc w:val="center"/>
            </w:pPr>
          </w:p>
        </w:tc>
        <w:tc>
          <w:tcPr>
            <w:tcW w:w="1093" w:type="pct"/>
            <w:shd w:val="clear" w:color="auto" w:fill="auto"/>
          </w:tcPr>
          <w:p w:rsidR="00B34053" w:rsidRPr="000A0A5F" w:rsidRDefault="00B34053">
            <w:pPr>
              <w:pStyle w:val="TAL"/>
              <w:rPr>
                <w:lang w:eastAsia="zh-CN"/>
              </w:rPr>
            </w:pPr>
            <w:r w:rsidRPr="000A0A5F">
              <w:rPr>
                <w:lang w:eastAsia="zh-CN"/>
              </w:rPr>
              <w:t>none</w:t>
            </w:r>
          </w:p>
        </w:tc>
        <w:tc>
          <w:tcPr>
            <w:tcW w:w="541" w:type="pct"/>
          </w:tcPr>
          <w:p w:rsidR="00B34053" w:rsidRPr="000A0A5F" w:rsidRDefault="00B34053">
            <w:pPr>
              <w:pStyle w:val="TAL"/>
              <w:rPr>
                <w:rFonts w:hint="eastAsia"/>
                <w:lang w:eastAsia="zh-CN"/>
              </w:rPr>
            </w:pPr>
          </w:p>
        </w:tc>
        <w:tc>
          <w:tcPr>
            <w:tcW w:w="500" w:type="pct"/>
          </w:tcPr>
          <w:p w:rsidR="00B34053" w:rsidRPr="000A0A5F" w:rsidRDefault="00B34053">
            <w:pPr>
              <w:pStyle w:val="TAL"/>
            </w:pPr>
            <w:r w:rsidRPr="000A0A5F">
              <w:t>204 No Content</w:t>
            </w:r>
          </w:p>
        </w:tc>
        <w:tc>
          <w:tcPr>
            <w:tcW w:w="2334" w:type="pct"/>
          </w:tcPr>
          <w:p w:rsidR="00B34053" w:rsidRPr="000A0A5F" w:rsidRDefault="00B34053">
            <w:pPr>
              <w:pStyle w:val="TAL"/>
              <w:spacing w:afterLines="50" w:after="120"/>
            </w:pPr>
            <w:r w:rsidRPr="000A0A5F">
              <w:t>The group message delivery is replaced successfully, and no content is to be sent in the response message body.</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lang w:eastAsia="zh-CN"/>
              </w:rPr>
            </w:pPr>
            <w:r w:rsidRPr="000A0A5F">
              <w:t>none</w:t>
            </w:r>
          </w:p>
        </w:tc>
        <w:tc>
          <w:tcPr>
            <w:tcW w:w="541" w:type="pct"/>
          </w:tcPr>
          <w:p w:rsidR="00CB0DD7" w:rsidRPr="000A0A5F" w:rsidRDefault="00CB0DD7">
            <w:pPr>
              <w:pStyle w:val="TAL"/>
              <w:rPr>
                <w:rFonts w:hint="eastAsia"/>
                <w:lang w:eastAsia="zh-CN"/>
              </w:rPr>
            </w:pPr>
          </w:p>
        </w:tc>
        <w:tc>
          <w:tcPr>
            <w:tcW w:w="500" w:type="pct"/>
          </w:tcPr>
          <w:p w:rsidR="00CB0DD7" w:rsidRPr="000A0A5F" w:rsidRDefault="00CB0DD7">
            <w:pPr>
              <w:pStyle w:val="TAL"/>
            </w:pPr>
            <w:r w:rsidRPr="000A0A5F">
              <w:t>307 Temporary Redirect</w:t>
            </w:r>
          </w:p>
        </w:tc>
        <w:tc>
          <w:tcPr>
            <w:tcW w:w="2334" w:type="pct"/>
          </w:tcPr>
          <w:p w:rsidR="00CB0DD7" w:rsidRPr="000A0A5F" w:rsidRDefault="00CB0DD7">
            <w:pPr>
              <w:pStyle w:val="TAL"/>
            </w:pPr>
            <w:r w:rsidRPr="000A0A5F">
              <w:t>Temporary redirection, during resource modification. The response shall include a Location header field containing an alternative URI of the resource located in an alternative SCEF.</w:t>
            </w:r>
          </w:p>
          <w:p w:rsidR="00CB0DD7" w:rsidRPr="000A0A5F" w:rsidRDefault="00CB0DD7">
            <w:pPr>
              <w:pStyle w:val="TAL"/>
              <w:spacing w:afterLines="50" w:after="120"/>
            </w:pPr>
            <w:r w:rsidRPr="000A0A5F">
              <w:t>Redirection handling is described in clause 5.2.10.</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lang w:eastAsia="zh-CN"/>
              </w:rPr>
            </w:pPr>
            <w:r w:rsidRPr="000A0A5F">
              <w:t>none</w:t>
            </w:r>
          </w:p>
        </w:tc>
        <w:tc>
          <w:tcPr>
            <w:tcW w:w="541" w:type="pct"/>
          </w:tcPr>
          <w:p w:rsidR="00CB0DD7" w:rsidRPr="000A0A5F" w:rsidRDefault="00CB0DD7">
            <w:pPr>
              <w:pStyle w:val="TAL"/>
              <w:rPr>
                <w:rFonts w:hint="eastAsia"/>
                <w:lang w:eastAsia="zh-CN"/>
              </w:rPr>
            </w:pPr>
          </w:p>
        </w:tc>
        <w:tc>
          <w:tcPr>
            <w:tcW w:w="500" w:type="pct"/>
          </w:tcPr>
          <w:p w:rsidR="00CB0DD7" w:rsidRPr="000A0A5F" w:rsidRDefault="00CB0DD7">
            <w:pPr>
              <w:pStyle w:val="TAL"/>
            </w:pPr>
            <w:r w:rsidRPr="000A0A5F">
              <w:t>308 Permanent Redirect</w:t>
            </w:r>
          </w:p>
        </w:tc>
        <w:tc>
          <w:tcPr>
            <w:tcW w:w="2334" w:type="pct"/>
          </w:tcPr>
          <w:p w:rsidR="00CB0DD7" w:rsidRPr="000A0A5F" w:rsidRDefault="00CB0DD7">
            <w:pPr>
              <w:pStyle w:val="TAL"/>
            </w:pPr>
            <w:r w:rsidRPr="000A0A5F">
              <w:t>Permanent redirection, during resource modification. The response shall include a Location header field containing an alternative URI of the resource located in an alternative SCEF.</w:t>
            </w:r>
          </w:p>
          <w:p w:rsidR="00CB0DD7" w:rsidRPr="000A0A5F" w:rsidRDefault="00CB0DD7">
            <w:pPr>
              <w:pStyle w:val="TAL"/>
              <w:spacing w:afterLines="50" w:after="120"/>
            </w:pPr>
            <w:r w:rsidRPr="000A0A5F">
              <w:t>Redirection handling is described in clause 5.2.10.</w:t>
            </w:r>
          </w:p>
        </w:tc>
      </w:tr>
      <w:tr w:rsidR="00CB0DD7" w:rsidRPr="000A0A5F" w:rsidTr="00FF0AF8">
        <w:tc>
          <w:tcPr>
            <w:tcW w:w="5000" w:type="pct"/>
            <w:gridSpan w:val="5"/>
            <w:shd w:val="clear" w:color="auto" w:fill="auto"/>
            <w:vAlign w:val="center"/>
          </w:tcPr>
          <w:p w:rsidR="00CB0DD7" w:rsidRPr="000A0A5F" w:rsidRDefault="00CB0DD7">
            <w:pPr>
              <w:pStyle w:val="TAN"/>
              <w:rPr>
                <w:rFonts w:hint="eastAsia"/>
                <w:lang w:eastAsia="zh-CN"/>
              </w:rPr>
            </w:pPr>
            <w:r w:rsidRPr="000A0A5F">
              <w:t>NOTE:</w:t>
            </w:r>
            <w:r w:rsidRPr="000A0A5F">
              <w:tab/>
              <w:t>The mandatory HTTP error status codes for the PUT method listed in table 5.2.6-1 also apply.</w:t>
            </w:r>
          </w:p>
        </w:tc>
      </w:tr>
    </w:tbl>
    <w:p w:rsidR="00CB0DD7" w:rsidRPr="000A0A5F" w:rsidRDefault="00CB0DD7"/>
    <w:p w:rsidR="00CB0DD7" w:rsidRPr="000A0A5F" w:rsidRDefault="00CB0DD7">
      <w:pPr>
        <w:pStyle w:val="TH"/>
      </w:pPr>
      <w:r w:rsidRPr="000A0A5F">
        <w:t>Table 5.8.2.2.5.3.2-2: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CB0DD7">
      <w:pPr>
        <w:pStyle w:val="TH"/>
      </w:pPr>
      <w:r w:rsidRPr="000A0A5F">
        <w:t>Table 5.8.2.2.5.3.2-3: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CB0DD7">
      <w:pPr>
        <w:pStyle w:val="Heading7"/>
      </w:pPr>
      <w:bookmarkStart w:id="5766" w:name="_Toc11247606"/>
      <w:bookmarkStart w:id="5767" w:name="_Toc27044745"/>
      <w:bookmarkStart w:id="5768" w:name="_Toc36033787"/>
      <w:bookmarkStart w:id="5769" w:name="_Toc45131933"/>
      <w:bookmarkStart w:id="5770" w:name="_Toc49776218"/>
      <w:bookmarkStart w:id="5771" w:name="_Toc51747138"/>
      <w:bookmarkStart w:id="5772" w:name="_Toc66360702"/>
      <w:bookmarkStart w:id="5773" w:name="_Toc68105207"/>
      <w:bookmarkStart w:id="5774" w:name="_Toc74755837"/>
      <w:bookmarkStart w:id="5775" w:name="_Toc105674712"/>
      <w:bookmarkStart w:id="5776" w:name="_Toc130502764"/>
      <w:bookmarkStart w:id="5777" w:name="_Toc153625551"/>
      <w:r w:rsidRPr="000A0A5F">
        <w:t>5.8.2.2.</w:t>
      </w:r>
      <w:r w:rsidRPr="000A0A5F">
        <w:rPr>
          <w:rFonts w:hint="eastAsia"/>
        </w:rPr>
        <w:t>5</w:t>
      </w:r>
      <w:r w:rsidRPr="000A0A5F">
        <w:t>.3.3</w:t>
      </w:r>
      <w:r w:rsidRPr="000A0A5F">
        <w:tab/>
        <w:t>PATCH</w:t>
      </w:r>
      <w:bookmarkEnd w:id="5766"/>
      <w:bookmarkEnd w:id="5767"/>
      <w:bookmarkEnd w:id="5768"/>
      <w:bookmarkEnd w:id="5769"/>
      <w:bookmarkEnd w:id="5770"/>
      <w:bookmarkEnd w:id="5771"/>
      <w:bookmarkEnd w:id="5772"/>
      <w:bookmarkEnd w:id="5773"/>
      <w:bookmarkEnd w:id="5774"/>
      <w:bookmarkEnd w:id="5775"/>
      <w:bookmarkEnd w:id="5776"/>
      <w:bookmarkEnd w:id="5777"/>
    </w:p>
    <w:p w:rsidR="00CB0DD7" w:rsidRPr="000A0A5F" w:rsidRDefault="00CB0DD7">
      <w:r w:rsidRPr="000A0A5F">
        <w:t xml:space="preserve">Assuming that a group message delivery has been created using the </w:t>
      </w:r>
      <w:r w:rsidRPr="000A0A5F">
        <w:rPr>
          <w:rFonts w:hint="eastAsia"/>
          <w:lang w:eastAsia="zh-CN"/>
        </w:rPr>
        <w:t>HTTP POST</w:t>
      </w:r>
      <w:r w:rsidRPr="000A0A5F">
        <w:t xml:space="preserve"> method described in clause 5.8</w:t>
      </w:r>
      <w:r w:rsidRPr="000A0A5F">
        <w:rPr>
          <w:rFonts w:hint="eastAsia"/>
          <w:lang w:eastAsia="zh-CN"/>
        </w:rPr>
        <w:t>.</w:t>
      </w:r>
      <w:r w:rsidRPr="000A0A5F">
        <w:rPr>
          <w:rFonts w:hint="eastAsia"/>
        </w:rPr>
        <w:t>2.2.</w:t>
      </w:r>
      <w:r w:rsidRPr="000A0A5F">
        <w:t>4</w:t>
      </w:r>
      <w:r w:rsidRPr="000A0A5F">
        <w:rPr>
          <w:rFonts w:hint="eastAsia"/>
        </w:rPr>
        <w:t>.3.4</w:t>
      </w:r>
      <w:r w:rsidRPr="000A0A5F">
        <w:t xml:space="preserve">, partial updating of its properties can be performed by the </w:t>
      </w:r>
      <w:r w:rsidRPr="000A0A5F">
        <w:rPr>
          <w:rFonts w:hint="eastAsia"/>
        </w:rPr>
        <w:t>SCS/AS</w:t>
      </w:r>
      <w:r w:rsidRPr="000A0A5F">
        <w:t xml:space="preserve"> by using the HTTP PATCH method on the "delivery-via-mbms" instance resource.</w:t>
      </w:r>
    </w:p>
    <w:p w:rsidR="00CB0DD7" w:rsidRPr="000A0A5F" w:rsidRDefault="00CB0DD7">
      <w:pPr>
        <w:rPr>
          <w:rFonts w:hint="eastAsia"/>
          <w:lang w:eastAsia="zh-CN"/>
        </w:rPr>
      </w:pPr>
      <w:r w:rsidRPr="000A0A5F">
        <w:t>This method shall support request and response data structures, and response codes, as specified in the table 5.8.2.2.5.3.3-1.</w:t>
      </w:r>
    </w:p>
    <w:p w:rsidR="00CB0DD7" w:rsidRPr="000A0A5F" w:rsidRDefault="00CB0DD7">
      <w:pPr>
        <w:pStyle w:val="TH"/>
      </w:pPr>
      <w:r w:rsidRPr="000A0A5F">
        <w:t>Table 5.8.2.2.5.3.3</w:t>
      </w:r>
      <w:r w:rsidRPr="000A0A5F">
        <w:rPr>
          <w:rFonts w:hint="eastAsia"/>
          <w:lang w:eastAsia="zh-CN"/>
        </w:rPr>
        <w:t>-1</w:t>
      </w:r>
      <w:r w:rsidRPr="000A0A5F">
        <w:t xml:space="preserve">: Data structures supported by the </w:t>
      </w:r>
      <w:r w:rsidRPr="000A0A5F">
        <w:rPr>
          <w:rFonts w:hint="eastAsia"/>
          <w:lang w:eastAsia="zh-CN"/>
        </w:rPr>
        <w:t>PATCH</w:t>
      </w:r>
      <w:r w:rsidRPr="000A0A5F">
        <w:t xml:space="preserve"> request/response by the resource</w:t>
      </w:r>
    </w:p>
    <w:tbl>
      <w:tblPr>
        <w:tblW w:w="4999" w:type="pct"/>
        <w:tblInd w:w="1" w:type="dxa"/>
        <w:tblBorders>
          <w:top w:val="single" w:sz="6" w:space="0" w:color="000000"/>
          <w:left w:val="single" w:sz="6" w:space="0" w:color="000000"/>
          <w:bottom w:val="single" w:sz="6" w:space="0" w:color="000000"/>
          <w:right w:val="single" w:sz="6" w:space="0" w:color="000000"/>
          <w:insideH w:val="single" w:sz="6" w:space="0" w:color="auto"/>
          <w:insideV w:val="single" w:sz="6" w:space="0" w:color="000000"/>
        </w:tblBorders>
        <w:tblLayout w:type="fixed"/>
        <w:tblCellMar>
          <w:top w:w="45" w:type="dxa"/>
          <w:left w:w="45" w:type="dxa"/>
          <w:bottom w:w="45" w:type="dxa"/>
          <w:right w:w="45" w:type="dxa"/>
        </w:tblCellMar>
        <w:tblLook w:val="0000" w:firstRow="0" w:lastRow="0" w:firstColumn="0" w:lastColumn="0" w:noHBand="0" w:noVBand="0"/>
      </w:tblPr>
      <w:tblGrid>
        <w:gridCol w:w="1035"/>
        <w:gridCol w:w="2127"/>
        <w:gridCol w:w="1053"/>
        <w:gridCol w:w="973"/>
        <w:gridCol w:w="4541"/>
      </w:tblGrid>
      <w:tr w:rsidR="00CB0DD7" w:rsidRPr="000A0A5F" w:rsidTr="00790FC9">
        <w:tc>
          <w:tcPr>
            <w:tcW w:w="532" w:type="pct"/>
            <w:vMerge w:val="restart"/>
            <w:shd w:val="clear" w:color="auto" w:fill="C0C0C0"/>
            <w:vAlign w:val="center"/>
          </w:tcPr>
          <w:p w:rsidR="00CB0DD7" w:rsidRPr="000A0A5F" w:rsidRDefault="00CB0DD7">
            <w:pPr>
              <w:pStyle w:val="TAH"/>
            </w:pPr>
            <w:r w:rsidRPr="000A0A5F">
              <w:t>Request body</w:t>
            </w:r>
          </w:p>
        </w:tc>
        <w:tc>
          <w:tcPr>
            <w:tcW w:w="1093" w:type="pct"/>
            <w:shd w:val="clear" w:color="auto" w:fill="C0C0C0"/>
          </w:tcPr>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r w:rsidRPr="000A0A5F">
              <w:t>Cardinality</w:t>
            </w:r>
          </w:p>
        </w:tc>
        <w:tc>
          <w:tcPr>
            <w:tcW w:w="2834" w:type="pct"/>
            <w:gridSpan w:val="2"/>
            <w:shd w:val="clear" w:color="auto" w:fill="C0C0C0"/>
          </w:tcPr>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rPr>
                <w:lang w:eastAsia="zh-CN"/>
              </w:rPr>
              <w:t>GMDViaMBMSByMb2Patch</w:t>
            </w:r>
          </w:p>
        </w:tc>
        <w:tc>
          <w:tcPr>
            <w:tcW w:w="541" w:type="pct"/>
          </w:tcPr>
          <w:p w:rsidR="00CB0DD7" w:rsidRPr="000A0A5F" w:rsidRDefault="00CB0DD7">
            <w:pPr>
              <w:pStyle w:val="TAL"/>
            </w:pPr>
            <w:r w:rsidRPr="000A0A5F">
              <w:t>1</w:t>
            </w:r>
          </w:p>
        </w:tc>
        <w:tc>
          <w:tcPr>
            <w:tcW w:w="2834" w:type="pct"/>
            <w:gridSpan w:val="2"/>
          </w:tcPr>
          <w:p w:rsidR="00CB0DD7" w:rsidRPr="000A0A5F" w:rsidRDefault="00CB0DD7">
            <w:pPr>
              <w:pStyle w:val="TAL"/>
            </w:pPr>
            <w:r w:rsidRPr="000A0A5F">
              <w:t xml:space="preserve">Parameters to partially </w:t>
            </w:r>
            <w:r w:rsidRPr="000A0A5F">
              <w:rPr>
                <w:rFonts w:hint="eastAsia"/>
                <w:lang w:eastAsia="zh-CN"/>
              </w:rPr>
              <w:t xml:space="preserve">update a </w:t>
            </w:r>
            <w:r w:rsidRPr="000A0A5F">
              <w:rPr>
                <w:lang w:eastAsia="zh-CN"/>
              </w:rPr>
              <w:t>group message delivery</w:t>
            </w:r>
            <w:r w:rsidRPr="000A0A5F">
              <w:rPr>
                <w:rFonts w:hint="eastAsia"/>
                <w:lang w:eastAsia="zh-CN"/>
              </w:rPr>
              <w:t xml:space="preserve"> </w:t>
            </w:r>
            <w:r w:rsidRPr="000A0A5F">
              <w:t>with the SCEF.</w:t>
            </w:r>
          </w:p>
        </w:tc>
      </w:tr>
      <w:tr w:rsidR="00CB0DD7" w:rsidRPr="000A0A5F" w:rsidTr="00790FC9">
        <w:tc>
          <w:tcPr>
            <w:tcW w:w="532" w:type="pct"/>
            <w:vMerge w:val="restart"/>
            <w:shd w:val="clear" w:color="auto" w:fill="C0C0C0"/>
            <w:vAlign w:val="center"/>
          </w:tcPr>
          <w:p w:rsidR="00CB0DD7" w:rsidRPr="000A0A5F" w:rsidRDefault="00CB0DD7">
            <w:pPr>
              <w:pStyle w:val="TAH"/>
            </w:pPr>
            <w:r w:rsidRPr="000A0A5F">
              <w:t>Response body</w:t>
            </w:r>
          </w:p>
        </w:tc>
        <w:tc>
          <w:tcPr>
            <w:tcW w:w="1093" w:type="pct"/>
            <w:shd w:val="clear" w:color="auto" w:fill="C0C0C0"/>
          </w:tcPr>
          <w:p w:rsidR="00CB0DD7" w:rsidRPr="000A0A5F" w:rsidRDefault="00CB0DD7">
            <w:pPr>
              <w:pStyle w:val="TAH"/>
            </w:pPr>
          </w:p>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p>
          <w:p w:rsidR="00CB0DD7" w:rsidRPr="000A0A5F" w:rsidRDefault="00CB0DD7">
            <w:pPr>
              <w:pStyle w:val="TAH"/>
            </w:pPr>
            <w:r w:rsidRPr="000A0A5F">
              <w:t>Cardinality</w:t>
            </w:r>
          </w:p>
        </w:tc>
        <w:tc>
          <w:tcPr>
            <w:tcW w:w="500" w:type="pct"/>
            <w:shd w:val="clear" w:color="auto" w:fill="C0C0C0"/>
          </w:tcPr>
          <w:p w:rsidR="00CB0DD7" w:rsidRPr="000A0A5F" w:rsidRDefault="00CB0DD7">
            <w:pPr>
              <w:pStyle w:val="TAH"/>
            </w:pPr>
            <w:r w:rsidRPr="000A0A5F">
              <w:t>Response</w:t>
            </w:r>
          </w:p>
          <w:p w:rsidR="00CB0DD7" w:rsidRPr="000A0A5F" w:rsidRDefault="00CB0DD7">
            <w:pPr>
              <w:pStyle w:val="TAH"/>
            </w:pPr>
            <w:r w:rsidRPr="000A0A5F">
              <w:t>codes</w:t>
            </w:r>
          </w:p>
        </w:tc>
        <w:tc>
          <w:tcPr>
            <w:tcW w:w="2334" w:type="pct"/>
            <w:shd w:val="clear" w:color="auto" w:fill="C0C0C0"/>
          </w:tcPr>
          <w:p w:rsidR="00CB0DD7" w:rsidRPr="000A0A5F" w:rsidRDefault="00CB0DD7">
            <w:pPr>
              <w:pStyle w:val="TAH"/>
            </w:pPr>
          </w:p>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rPr>
                <w:lang w:eastAsia="zh-CN"/>
              </w:rPr>
              <w:t>GMDViaMBMSByMb2</w:t>
            </w:r>
          </w:p>
        </w:tc>
        <w:tc>
          <w:tcPr>
            <w:tcW w:w="541" w:type="pct"/>
          </w:tcPr>
          <w:p w:rsidR="00CB0DD7" w:rsidRPr="000A0A5F" w:rsidRDefault="00CB0DD7">
            <w:pPr>
              <w:pStyle w:val="TAL"/>
              <w:rPr>
                <w:rFonts w:hint="eastAsia"/>
                <w:lang w:eastAsia="zh-CN"/>
              </w:rPr>
            </w:pPr>
            <w:r w:rsidRPr="000A0A5F">
              <w:rPr>
                <w:rFonts w:hint="eastAsia"/>
                <w:lang w:eastAsia="zh-CN"/>
              </w:rPr>
              <w:t>1</w:t>
            </w:r>
          </w:p>
        </w:tc>
        <w:tc>
          <w:tcPr>
            <w:tcW w:w="500" w:type="pct"/>
          </w:tcPr>
          <w:p w:rsidR="00CB0DD7" w:rsidRPr="000A0A5F" w:rsidRDefault="00CB0DD7">
            <w:pPr>
              <w:pStyle w:val="TAL"/>
              <w:rPr>
                <w:rFonts w:hint="eastAsia"/>
                <w:lang w:eastAsia="zh-CN"/>
              </w:rPr>
            </w:pPr>
            <w:r w:rsidRPr="000A0A5F">
              <w:t>20</w:t>
            </w:r>
            <w:r w:rsidRPr="000A0A5F">
              <w:rPr>
                <w:rFonts w:hint="eastAsia"/>
                <w:lang w:eastAsia="zh-CN"/>
              </w:rPr>
              <w:t>0 OK</w:t>
            </w:r>
          </w:p>
        </w:tc>
        <w:tc>
          <w:tcPr>
            <w:tcW w:w="2334" w:type="pct"/>
          </w:tcPr>
          <w:p w:rsidR="00CB0DD7" w:rsidRPr="000A0A5F" w:rsidRDefault="00CB0DD7">
            <w:pPr>
              <w:pStyle w:val="TAL"/>
              <w:spacing w:afterLines="50" w:after="120"/>
            </w:pPr>
            <w:r w:rsidRPr="000A0A5F">
              <w:t xml:space="preserve">The </w:t>
            </w:r>
            <w:r w:rsidRPr="000A0A5F">
              <w:rPr>
                <w:lang w:eastAsia="zh-CN"/>
              </w:rPr>
              <w:t>group message delivery</w:t>
            </w:r>
            <w:r w:rsidRPr="000A0A5F">
              <w:t xml:space="preserve"> was </w:t>
            </w:r>
            <w:r w:rsidRPr="000A0A5F">
              <w:rPr>
                <w:rFonts w:hint="eastAsia"/>
                <w:lang w:eastAsia="zh-CN"/>
              </w:rPr>
              <w:t>modified</w:t>
            </w:r>
            <w:r w:rsidRPr="000A0A5F">
              <w:t xml:space="preserve"> successfully. </w:t>
            </w:r>
          </w:p>
          <w:p w:rsidR="00CB0DD7" w:rsidRPr="000A0A5F" w:rsidRDefault="006E33A8">
            <w:pPr>
              <w:pStyle w:val="TAL"/>
              <w:rPr>
                <w:rFonts w:hint="eastAsia"/>
                <w:lang w:eastAsia="zh-CN"/>
              </w:rPr>
            </w:pPr>
            <w:r w:rsidRPr="000A0A5F">
              <w:t xml:space="preserve">The SCEF </w:t>
            </w:r>
            <w:r w:rsidRPr="000A0A5F">
              <w:rPr>
                <w:rFonts w:hint="eastAsia"/>
                <w:lang w:eastAsia="zh-CN"/>
              </w:rPr>
              <w:t>shall</w:t>
            </w:r>
            <w:r w:rsidRPr="000A0A5F">
              <w:t xml:space="preserve"> return an updated data structure of type "</w:t>
            </w:r>
            <w:r w:rsidRPr="000A0A5F">
              <w:rPr>
                <w:lang w:eastAsia="zh-CN"/>
              </w:rPr>
              <w:t>GMDViaMBMSByMb2</w:t>
            </w:r>
            <w:r w:rsidRPr="000A0A5F">
              <w:t>" in the response content.</w:t>
            </w:r>
          </w:p>
        </w:tc>
      </w:tr>
      <w:tr w:rsidR="00B34053" w:rsidRPr="000A0A5F" w:rsidTr="00FF0AF8">
        <w:tc>
          <w:tcPr>
            <w:tcW w:w="532" w:type="pct"/>
            <w:vMerge/>
            <w:shd w:val="clear" w:color="auto" w:fill="BFBFBF"/>
            <w:vAlign w:val="center"/>
          </w:tcPr>
          <w:p w:rsidR="00B34053" w:rsidRPr="000A0A5F" w:rsidRDefault="00B34053">
            <w:pPr>
              <w:pStyle w:val="TAL"/>
              <w:jc w:val="center"/>
            </w:pPr>
          </w:p>
        </w:tc>
        <w:tc>
          <w:tcPr>
            <w:tcW w:w="1093" w:type="pct"/>
            <w:shd w:val="clear" w:color="auto" w:fill="auto"/>
          </w:tcPr>
          <w:p w:rsidR="00B34053" w:rsidRPr="000A0A5F" w:rsidRDefault="00B34053">
            <w:pPr>
              <w:pStyle w:val="TAL"/>
              <w:rPr>
                <w:lang w:eastAsia="zh-CN"/>
              </w:rPr>
            </w:pPr>
            <w:r w:rsidRPr="000A0A5F">
              <w:rPr>
                <w:lang w:eastAsia="zh-CN"/>
              </w:rPr>
              <w:t>none</w:t>
            </w:r>
          </w:p>
        </w:tc>
        <w:tc>
          <w:tcPr>
            <w:tcW w:w="541" w:type="pct"/>
          </w:tcPr>
          <w:p w:rsidR="00B34053" w:rsidRPr="000A0A5F" w:rsidRDefault="00B34053">
            <w:pPr>
              <w:pStyle w:val="TAL"/>
              <w:rPr>
                <w:rFonts w:hint="eastAsia"/>
                <w:lang w:eastAsia="zh-CN"/>
              </w:rPr>
            </w:pPr>
          </w:p>
        </w:tc>
        <w:tc>
          <w:tcPr>
            <w:tcW w:w="500" w:type="pct"/>
          </w:tcPr>
          <w:p w:rsidR="00B34053" w:rsidRPr="000A0A5F" w:rsidRDefault="00B34053">
            <w:pPr>
              <w:pStyle w:val="TAL"/>
            </w:pPr>
            <w:r w:rsidRPr="000A0A5F">
              <w:t>204 No Content</w:t>
            </w:r>
          </w:p>
        </w:tc>
        <w:tc>
          <w:tcPr>
            <w:tcW w:w="2334" w:type="pct"/>
          </w:tcPr>
          <w:p w:rsidR="00B34053" w:rsidRPr="000A0A5F" w:rsidRDefault="00B34053">
            <w:pPr>
              <w:pStyle w:val="TAL"/>
              <w:spacing w:afterLines="50" w:after="120"/>
            </w:pPr>
            <w:r w:rsidRPr="000A0A5F">
              <w:t>The group message delivery is modified successfully, and no content is to be sent in the response message body.</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lang w:eastAsia="zh-CN"/>
              </w:rPr>
            </w:pPr>
            <w:r w:rsidRPr="000A0A5F">
              <w:t>none</w:t>
            </w:r>
          </w:p>
        </w:tc>
        <w:tc>
          <w:tcPr>
            <w:tcW w:w="541" w:type="pct"/>
          </w:tcPr>
          <w:p w:rsidR="00CB0DD7" w:rsidRPr="000A0A5F" w:rsidRDefault="00CB0DD7">
            <w:pPr>
              <w:pStyle w:val="TAL"/>
              <w:rPr>
                <w:rFonts w:hint="eastAsia"/>
                <w:lang w:eastAsia="zh-CN"/>
              </w:rPr>
            </w:pPr>
          </w:p>
        </w:tc>
        <w:tc>
          <w:tcPr>
            <w:tcW w:w="500" w:type="pct"/>
          </w:tcPr>
          <w:p w:rsidR="00CB0DD7" w:rsidRPr="000A0A5F" w:rsidRDefault="00CB0DD7">
            <w:pPr>
              <w:pStyle w:val="TAL"/>
            </w:pPr>
            <w:r w:rsidRPr="000A0A5F">
              <w:t>307 Temporary Redirect</w:t>
            </w:r>
          </w:p>
        </w:tc>
        <w:tc>
          <w:tcPr>
            <w:tcW w:w="2334" w:type="pct"/>
          </w:tcPr>
          <w:p w:rsidR="00CB0DD7" w:rsidRPr="000A0A5F" w:rsidRDefault="00CB0DD7">
            <w:pPr>
              <w:pStyle w:val="TAL"/>
            </w:pPr>
            <w:r w:rsidRPr="000A0A5F">
              <w:t>Temporary redirection, during resource modification. The response shall include a Location header field containing an alternative URI of the resource located in an alternative SCEF.</w:t>
            </w:r>
          </w:p>
          <w:p w:rsidR="00CB0DD7" w:rsidRPr="000A0A5F" w:rsidRDefault="00CB0DD7">
            <w:pPr>
              <w:pStyle w:val="TAL"/>
              <w:spacing w:afterLines="50" w:after="120"/>
            </w:pPr>
            <w:r w:rsidRPr="000A0A5F">
              <w:t>Redirection handling is described in clause 5.2.10.</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lang w:eastAsia="zh-CN"/>
              </w:rPr>
            </w:pPr>
            <w:r w:rsidRPr="000A0A5F">
              <w:t>none</w:t>
            </w:r>
          </w:p>
        </w:tc>
        <w:tc>
          <w:tcPr>
            <w:tcW w:w="541" w:type="pct"/>
          </w:tcPr>
          <w:p w:rsidR="00CB0DD7" w:rsidRPr="000A0A5F" w:rsidRDefault="00CB0DD7">
            <w:pPr>
              <w:pStyle w:val="TAL"/>
              <w:rPr>
                <w:rFonts w:hint="eastAsia"/>
                <w:lang w:eastAsia="zh-CN"/>
              </w:rPr>
            </w:pPr>
          </w:p>
        </w:tc>
        <w:tc>
          <w:tcPr>
            <w:tcW w:w="500" w:type="pct"/>
          </w:tcPr>
          <w:p w:rsidR="00CB0DD7" w:rsidRPr="000A0A5F" w:rsidRDefault="00CB0DD7">
            <w:pPr>
              <w:pStyle w:val="TAL"/>
            </w:pPr>
            <w:r w:rsidRPr="000A0A5F">
              <w:t>308 Permanent Redirect</w:t>
            </w:r>
          </w:p>
        </w:tc>
        <w:tc>
          <w:tcPr>
            <w:tcW w:w="2334" w:type="pct"/>
          </w:tcPr>
          <w:p w:rsidR="00CB0DD7" w:rsidRPr="000A0A5F" w:rsidRDefault="00CB0DD7">
            <w:pPr>
              <w:pStyle w:val="TAL"/>
            </w:pPr>
            <w:r w:rsidRPr="000A0A5F">
              <w:t>Permanent redirection, during resource modification. The response shall include a Location header field containing an alternative URI of the resource located in an alternative SCEF.</w:t>
            </w:r>
          </w:p>
          <w:p w:rsidR="00CB0DD7" w:rsidRPr="000A0A5F" w:rsidRDefault="00CB0DD7">
            <w:pPr>
              <w:pStyle w:val="TAL"/>
              <w:spacing w:afterLines="50" w:after="120"/>
            </w:pPr>
            <w:r w:rsidRPr="000A0A5F">
              <w:t>Redirection handling is described in clause 5.2.10.</w:t>
            </w:r>
          </w:p>
        </w:tc>
      </w:tr>
      <w:tr w:rsidR="00CB0DD7" w:rsidRPr="000A0A5F" w:rsidTr="00FF0AF8">
        <w:tc>
          <w:tcPr>
            <w:tcW w:w="5000" w:type="pct"/>
            <w:gridSpan w:val="5"/>
            <w:shd w:val="clear" w:color="auto" w:fill="auto"/>
            <w:vAlign w:val="center"/>
          </w:tcPr>
          <w:p w:rsidR="00CB0DD7" w:rsidRPr="000A0A5F" w:rsidRDefault="00CB0DD7">
            <w:pPr>
              <w:pStyle w:val="TAN"/>
              <w:rPr>
                <w:rFonts w:hint="eastAsia"/>
                <w:lang w:eastAsia="zh-CN"/>
              </w:rPr>
            </w:pPr>
            <w:r w:rsidRPr="000A0A5F">
              <w:t>NOTE:</w:t>
            </w:r>
            <w:r w:rsidRPr="000A0A5F">
              <w:tab/>
              <w:t>The mandatory HTTP error status codes for the PATCH method listed in table 5.2.6-1 also apply.</w:t>
            </w:r>
          </w:p>
        </w:tc>
      </w:tr>
    </w:tbl>
    <w:p w:rsidR="00CB0DD7" w:rsidRPr="000A0A5F" w:rsidRDefault="00CB0DD7"/>
    <w:p w:rsidR="00CB0DD7" w:rsidRPr="000A0A5F" w:rsidRDefault="00CB0DD7">
      <w:pPr>
        <w:pStyle w:val="TH"/>
      </w:pPr>
      <w:r w:rsidRPr="000A0A5F">
        <w:t>Table 5.8.2.2.5.3.3-2: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CB0DD7">
      <w:pPr>
        <w:pStyle w:val="TH"/>
      </w:pPr>
      <w:r w:rsidRPr="000A0A5F">
        <w:t>Table 5.8.2.2.5.3.3-3: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CB0DD7">
      <w:pPr>
        <w:pStyle w:val="Heading7"/>
      </w:pPr>
      <w:bookmarkStart w:id="5778" w:name="_Toc11247607"/>
      <w:bookmarkStart w:id="5779" w:name="_Toc27044746"/>
      <w:bookmarkStart w:id="5780" w:name="_Toc36033788"/>
      <w:bookmarkStart w:id="5781" w:name="_Toc45131934"/>
      <w:bookmarkStart w:id="5782" w:name="_Toc49776219"/>
      <w:bookmarkStart w:id="5783" w:name="_Toc51747139"/>
      <w:bookmarkStart w:id="5784" w:name="_Toc66360703"/>
      <w:bookmarkStart w:id="5785" w:name="_Toc68105208"/>
      <w:bookmarkStart w:id="5786" w:name="_Toc74755838"/>
      <w:bookmarkStart w:id="5787" w:name="_Toc105674713"/>
      <w:bookmarkStart w:id="5788" w:name="_Toc130502765"/>
      <w:bookmarkStart w:id="5789" w:name="_Toc153625552"/>
      <w:r w:rsidRPr="000A0A5F">
        <w:t>5.8.2.2.5.3.4</w:t>
      </w:r>
      <w:r w:rsidRPr="000A0A5F">
        <w:tab/>
        <w:t>POST</w:t>
      </w:r>
      <w:bookmarkEnd w:id="5778"/>
      <w:bookmarkEnd w:id="5779"/>
      <w:bookmarkEnd w:id="5780"/>
      <w:bookmarkEnd w:id="5781"/>
      <w:bookmarkEnd w:id="5782"/>
      <w:bookmarkEnd w:id="5783"/>
      <w:bookmarkEnd w:id="5784"/>
      <w:bookmarkEnd w:id="5785"/>
      <w:bookmarkEnd w:id="5786"/>
      <w:bookmarkEnd w:id="5787"/>
      <w:bookmarkEnd w:id="5788"/>
      <w:bookmarkEnd w:id="5789"/>
    </w:p>
    <w:p w:rsidR="00CB0DD7" w:rsidRPr="000A0A5F" w:rsidRDefault="00CB0DD7">
      <w:r w:rsidRPr="000A0A5F">
        <w:rPr>
          <w:rFonts w:hint="eastAsia"/>
          <w:lang w:eastAsia="zh-CN"/>
        </w:rPr>
        <w:t xml:space="preserve">This </w:t>
      </w:r>
      <w:r w:rsidRPr="000A0A5F">
        <w:rPr>
          <w:lang w:eastAsia="zh-CN"/>
        </w:rPr>
        <w:t>HTTP method is not supported for the resource.</w:t>
      </w:r>
    </w:p>
    <w:p w:rsidR="00CB0DD7" w:rsidRPr="000A0A5F" w:rsidRDefault="00CB0DD7">
      <w:pPr>
        <w:pStyle w:val="Heading7"/>
      </w:pPr>
      <w:bookmarkStart w:id="5790" w:name="_Toc11247608"/>
      <w:bookmarkStart w:id="5791" w:name="_Toc27044747"/>
      <w:bookmarkStart w:id="5792" w:name="_Toc36033789"/>
      <w:bookmarkStart w:id="5793" w:name="_Toc45131935"/>
      <w:bookmarkStart w:id="5794" w:name="_Toc49776220"/>
      <w:bookmarkStart w:id="5795" w:name="_Toc51747140"/>
      <w:bookmarkStart w:id="5796" w:name="_Toc66360704"/>
      <w:bookmarkStart w:id="5797" w:name="_Toc68105209"/>
      <w:bookmarkStart w:id="5798" w:name="_Toc74755839"/>
      <w:bookmarkStart w:id="5799" w:name="_Toc105674714"/>
      <w:bookmarkStart w:id="5800" w:name="_Toc130502766"/>
      <w:bookmarkStart w:id="5801" w:name="_Toc153625553"/>
      <w:r w:rsidRPr="000A0A5F">
        <w:t>5.8.2.2.5.3.5</w:t>
      </w:r>
      <w:r w:rsidRPr="000A0A5F">
        <w:tab/>
        <w:t>DELETE</w:t>
      </w:r>
      <w:bookmarkEnd w:id="5790"/>
      <w:bookmarkEnd w:id="5791"/>
      <w:bookmarkEnd w:id="5792"/>
      <w:bookmarkEnd w:id="5793"/>
      <w:bookmarkEnd w:id="5794"/>
      <w:bookmarkEnd w:id="5795"/>
      <w:bookmarkEnd w:id="5796"/>
      <w:bookmarkEnd w:id="5797"/>
      <w:bookmarkEnd w:id="5798"/>
      <w:bookmarkEnd w:id="5799"/>
      <w:bookmarkEnd w:id="5800"/>
      <w:bookmarkEnd w:id="5801"/>
    </w:p>
    <w:p w:rsidR="00CB0DD7" w:rsidRPr="000A0A5F" w:rsidRDefault="00CB0DD7">
      <w:r w:rsidRPr="000A0A5F">
        <w:t xml:space="preserve">To </w:t>
      </w:r>
      <w:r w:rsidRPr="000A0A5F">
        <w:rPr>
          <w:rFonts w:hint="eastAsia"/>
          <w:lang w:eastAsia="zh-CN"/>
        </w:rPr>
        <w:t>cancel</w:t>
      </w:r>
      <w:r w:rsidRPr="000A0A5F">
        <w:t xml:space="preserve"> a group message delivery, the </w:t>
      </w:r>
      <w:r w:rsidRPr="000A0A5F">
        <w:rPr>
          <w:rFonts w:hint="eastAsia"/>
          <w:lang w:eastAsia="zh-CN"/>
        </w:rPr>
        <w:t xml:space="preserve">SCS/AS </w:t>
      </w:r>
      <w:r w:rsidRPr="000A0A5F">
        <w:t xml:space="preserve">shall use the HTTP DELETE method on the </w:t>
      </w:r>
      <w:r w:rsidRPr="000A0A5F">
        <w:rPr>
          <w:rFonts w:hint="eastAsia"/>
          <w:lang w:eastAsia="zh-CN"/>
        </w:rPr>
        <w:t xml:space="preserve">individual </w:t>
      </w:r>
      <w:r w:rsidRPr="000A0A5F">
        <w:t xml:space="preserve">"delivery_via_mbms" resource </w:t>
      </w:r>
      <w:r w:rsidRPr="000A0A5F">
        <w:rPr>
          <w:rFonts w:hint="eastAsia"/>
          <w:lang w:eastAsia="zh-CN"/>
        </w:rPr>
        <w:t>which is indicated by the URI in the Location header of the HTTP POST response</w:t>
      </w:r>
      <w:r w:rsidRPr="000A0A5F">
        <w:t>:</w:t>
      </w:r>
    </w:p>
    <w:p w:rsidR="00CB0DD7" w:rsidRPr="000A0A5F" w:rsidRDefault="00CB0DD7">
      <w:pPr>
        <w:rPr>
          <w:rFonts w:hint="eastAsia"/>
          <w:lang w:eastAsia="zh-CN"/>
        </w:rPr>
      </w:pPr>
      <w:r w:rsidRPr="000A0A5F">
        <w:t xml:space="preserve">The possible response messages from the </w:t>
      </w:r>
      <w:r w:rsidRPr="000A0A5F">
        <w:rPr>
          <w:rFonts w:hint="eastAsia"/>
          <w:lang w:eastAsia="zh-CN"/>
        </w:rPr>
        <w:t>SCEF</w:t>
      </w:r>
      <w:r w:rsidRPr="000A0A5F">
        <w:t xml:space="preserve">, depending on whether the DELETE request is successful or unsuccessful, are shown in </w:t>
      </w:r>
      <w:r w:rsidR="002E466A" w:rsidRPr="000A0A5F">
        <w:t>table</w:t>
      </w:r>
      <w:r w:rsidR="002E466A" w:rsidRPr="000A0A5F">
        <w:rPr>
          <w:lang w:val="en-US" w:eastAsia="zh-CN"/>
        </w:rPr>
        <w:t> </w:t>
      </w:r>
      <w:r w:rsidRPr="000A0A5F">
        <w:t>5.</w:t>
      </w:r>
      <w:r w:rsidRPr="000A0A5F">
        <w:rPr>
          <w:lang w:eastAsia="zh-CN"/>
        </w:rPr>
        <w:t>8</w:t>
      </w:r>
      <w:r w:rsidRPr="000A0A5F">
        <w:t>.2.2.</w:t>
      </w:r>
      <w:r w:rsidRPr="000A0A5F">
        <w:rPr>
          <w:rFonts w:ascii="SimSun" w:hAnsi="SimSun" w:hint="eastAsia"/>
          <w:lang w:eastAsia="zh-CN"/>
        </w:rPr>
        <w:t>5</w:t>
      </w:r>
      <w:r w:rsidRPr="000A0A5F">
        <w:t>.3.5</w:t>
      </w:r>
      <w:r w:rsidRPr="000A0A5F">
        <w:rPr>
          <w:rFonts w:hint="eastAsia"/>
          <w:lang w:eastAsia="zh-CN"/>
        </w:rPr>
        <w:t>-1.</w:t>
      </w:r>
    </w:p>
    <w:p w:rsidR="00CB0DD7" w:rsidRPr="000A0A5F" w:rsidRDefault="00CB0DD7">
      <w:pPr>
        <w:pStyle w:val="TH"/>
      </w:pPr>
      <w:r w:rsidRPr="000A0A5F">
        <w:t>Table 5.</w:t>
      </w:r>
      <w:r w:rsidRPr="000A0A5F">
        <w:rPr>
          <w:lang w:eastAsia="zh-CN"/>
        </w:rPr>
        <w:t>8</w:t>
      </w:r>
      <w:r w:rsidRPr="000A0A5F">
        <w:t>.2.2.</w:t>
      </w:r>
      <w:r w:rsidRPr="000A0A5F">
        <w:rPr>
          <w:rFonts w:hint="eastAsia"/>
        </w:rPr>
        <w:t>5</w:t>
      </w:r>
      <w:r w:rsidRPr="000A0A5F">
        <w:t>.3.5</w:t>
      </w:r>
      <w:r w:rsidRPr="000A0A5F">
        <w:rPr>
          <w:rFonts w:hint="eastAsia"/>
          <w:lang w:eastAsia="zh-CN"/>
        </w:rPr>
        <w:t>-1.</w:t>
      </w:r>
      <w:r w:rsidRPr="000A0A5F">
        <w:t xml:space="preserve">: Data structures supported by the </w:t>
      </w:r>
      <w:r w:rsidRPr="000A0A5F">
        <w:rPr>
          <w:rFonts w:hint="eastAsia"/>
          <w:lang w:eastAsia="zh-CN"/>
        </w:rPr>
        <w:t>DELETE</w:t>
      </w:r>
      <w:r w:rsidRPr="000A0A5F">
        <w:t xml:space="preserve"> request/response by the resource</w:t>
      </w:r>
    </w:p>
    <w:tbl>
      <w:tblPr>
        <w:tblW w:w="4999" w:type="pct"/>
        <w:tblInd w:w="1" w:type="dxa"/>
        <w:tblBorders>
          <w:top w:val="single" w:sz="6" w:space="0" w:color="000000"/>
          <w:left w:val="single" w:sz="6" w:space="0" w:color="000000"/>
          <w:bottom w:val="single" w:sz="6" w:space="0" w:color="000000"/>
          <w:right w:val="single" w:sz="6" w:space="0" w:color="000000"/>
          <w:insideH w:val="single" w:sz="6" w:space="0" w:color="auto"/>
          <w:insideV w:val="single" w:sz="6" w:space="0" w:color="000000"/>
        </w:tblBorders>
        <w:tblLayout w:type="fixed"/>
        <w:tblCellMar>
          <w:top w:w="45" w:type="dxa"/>
          <w:left w:w="45" w:type="dxa"/>
          <w:bottom w:w="45" w:type="dxa"/>
          <w:right w:w="45" w:type="dxa"/>
        </w:tblCellMar>
        <w:tblLook w:val="0000" w:firstRow="0" w:lastRow="0" w:firstColumn="0" w:lastColumn="0" w:noHBand="0" w:noVBand="0"/>
      </w:tblPr>
      <w:tblGrid>
        <w:gridCol w:w="1035"/>
        <w:gridCol w:w="2127"/>
        <w:gridCol w:w="1053"/>
        <w:gridCol w:w="973"/>
        <w:gridCol w:w="4541"/>
      </w:tblGrid>
      <w:tr w:rsidR="00CB0DD7" w:rsidRPr="000A0A5F" w:rsidTr="00790FC9">
        <w:tc>
          <w:tcPr>
            <w:tcW w:w="532" w:type="pct"/>
            <w:vMerge w:val="restart"/>
            <w:shd w:val="clear" w:color="auto" w:fill="C0C0C0"/>
            <w:vAlign w:val="center"/>
          </w:tcPr>
          <w:p w:rsidR="00CB0DD7" w:rsidRPr="000A0A5F" w:rsidRDefault="00CB0DD7">
            <w:pPr>
              <w:pStyle w:val="TAH"/>
            </w:pPr>
            <w:r w:rsidRPr="000A0A5F">
              <w:t>Request body</w:t>
            </w:r>
          </w:p>
        </w:tc>
        <w:tc>
          <w:tcPr>
            <w:tcW w:w="1093" w:type="pct"/>
            <w:shd w:val="clear" w:color="auto" w:fill="C0C0C0"/>
          </w:tcPr>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r w:rsidRPr="000A0A5F">
              <w:t>Cardinality</w:t>
            </w:r>
          </w:p>
        </w:tc>
        <w:tc>
          <w:tcPr>
            <w:tcW w:w="2834" w:type="pct"/>
            <w:gridSpan w:val="2"/>
            <w:shd w:val="clear" w:color="auto" w:fill="C0C0C0"/>
          </w:tcPr>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rPr>
                <w:rFonts w:hint="eastAsia"/>
                <w:lang w:eastAsia="zh-CN"/>
              </w:rPr>
              <w:t>none</w:t>
            </w:r>
          </w:p>
        </w:tc>
        <w:tc>
          <w:tcPr>
            <w:tcW w:w="541" w:type="pct"/>
          </w:tcPr>
          <w:p w:rsidR="00CB0DD7" w:rsidRPr="000A0A5F" w:rsidRDefault="00CB0DD7">
            <w:pPr>
              <w:pStyle w:val="TAL"/>
              <w:rPr>
                <w:rFonts w:hint="eastAsia"/>
                <w:lang w:eastAsia="zh-CN"/>
              </w:rPr>
            </w:pPr>
          </w:p>
        </w:tc>
        <w:tc>
          <w:tcPr>
            <w:tcW w:w="2834" w:type="pct"/>
            <w:gridSpan w:val="2"/>
          </w:tcPr>
          <w:p w:rsidR="00CB0DD7" w:rsidRPr="000A0A5F" w:rsidRDefault="00CB0DD7">
            <w:pPr>
              <w:pStyle w:val="TAL"/>
              <w:rPr>
                <w:rFonts w:hint="eastAsia"/>
                <w:lang w:eastAsia="zh-CN"/>
              </w:rPr>
            </w:pPr>
          </w:p>
        </w:tc>
      </w:tr>
      <w:tr w:rsidR="00CB0DD7" w:rsidRPr="000A0A5F" w:rsidTr="00790FC9">
        <w:tc>
          <w:tcPr>
            <w:tcW w:w="532" w:type="pct"/>
            <w:vMerge w:val="restart"/>
            <w:shd w:val="clear" w:color="auto" w:fill="C0C0C0"/>
            <w:vAlign w:val="center"/>
          </w:tcPr>
          <w:p w:rsidR="00CB0DD7" w:rsidRPr="000A0A5F" w:rsidRDefault="00CB0DD7">
            <w:pPr>
              <w:pStyle w:val="TAH"/>
            </w:pPr>
            <w:r w:rsidRPr="000A0A5F">
              <w:t>Response body</w:t>
            </w:r>
          </w:p>
        </w:tc>
        <w:tc>
          <w:tcPr>
            <w:tcW w:w="1093" w:type="pct"/>
            <w:shd w:val="clear" w:color="auto" w:fill="C0C0C0"/>
          </w:tcPr>
          <w:p w:rsidR="00CB0DD7" w:rsidRPr="000A0A5F" w:rsidRDefault="00CB0DD7">
            <w:pPr>
              <w:pStyle w:val="TAH"/>
            </w:pPr>
          </w:p>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p>
          <w:p w:rsidR="00CB0DD7" w:rsidRPr="000A0A5F" w:rsidRDefault="00CB0DD7">
            <w:pPr>
              <w:pStyle w:val="TAH"/>
            </w:pPr>
            <w:r w:rsidRPr="000A0A5F">
              <w:t>Cardinality</w:t>
            </w:r>
          </w:p>
        </w:tc>
        <w:tc>
          <w:tcPr>
            <w:tcW w:w="500" w:type="pct"/>
            <w:shd w:val="clear" w:color="auto" w:fill="C0C0C0"/>
          </w:tcPr>
          <w:p w:rsidR="00CB0DD7" w:rsidRPr="000A0A5F" w:rsidRDefault="00CB0DD7">
            <w:pPr>
              <w:pStyle w:val="TAH"/>
            </w:pPr>
            <w:r w:rsidRPr="000A0A5F">
              <w:t>Response</w:t>
            </w:r>
          </w:p>
          <w:p w:rsidR="00CB0DD7" w:rsidRPr="000A0A5F" w:rsidRDefault="00CB0DD7">
            <w:pPr>
              <w:pStyle w:val="TAH"/>
            </w:pPr>
            <w:r w:rsidRPr="000A0A5F">
              <w:t>codes</w:t>
            </w:r>
          </w:p>
        </w:tc>
        <w:tc>
          <w:tcPr>
            <w:tcW w:w="2334" w:type="pct"/>
            <w:shd w:val="clear" w:color="auto" w:fill="C0C0C0"/>
          </w:tcPr>
          <w:p w:rsidR="00CB0DD7" w:rsidRPr="000A0A5F" w:rsidRDefault="00CB0DD7">
            <w:pPr>
              <w:pStyle w:val="TAH"/>
            </w:pPr>
          </w:p>
          <w:p w:rsidR="00CB0DD7" w:rsidRPr="000A0A5F" w:rsidRDefault="00CB0DD7">
            <w:pPr>
              <w:pStyle w:val="TAH"/>
            </w:pPr>
            <w:r w:rsidRPr="000A0A5F">
              <w:t>Remarks</w:t>
            </w:r>
          </w:p>
        </w:tc>
      </w:tr>
      <w:tr w:rsidR="00CB0DD7" w:rsidRPr="000A0A5F" w:rsidTr="00FF0AF8">
        <w:trPr>
          <w:trHeight w:val="1140"/>
        </w:trPr>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rPr>
                <w:rFonts w:hint="eastAsia"/>
                <w:lang w:eastAsia="zh-CN"/>
              </w:rPr>
              <w:t>none</w:t>
            </w:r>
          </w:p>
        </w:tc>
        <w:tc>
          <w:tcPr>
            <w:tcW w:w="541" w:type="pct"/>
          </w:tcPr>
          <w:p w:rsidR="00CB0DD7" w:rsidRPr="000A0A5F" w:rsidRDefault="00CB0DD7">
            <w:pPr>
              <w:pStyle w:val="TAL"/>
              <w:rPr>
                <w:rFonts w:hint="eastAsia"/>
                <w:lang w:eastAsia="zh-CN"/>
              </w:rPr>
            </w:pPr>
          </w:p>
        </w:tc>
        <w:tc>
          <w:tcPr>
            <w:tcW w:w="500" w:type="pct"/>
          </w:tcPr>
          <w:p w:rsidR="00CB0DD7" w:rsidRPr="000A0A5F" w:rsidRDefault="00CB0DD7">
            <w:pPr>
              <w:pStyle w:val="TAL"/>
              <w:rPr>
                <w:rFonts w:hint="eastAsia"/>
                <w:lang w:eastAsia="zh-CN"/>
              </w:rPr>
            </w:pPr>
            <w:r w:rsidRPr="000A0A5F">
              <w:t>204 No Content</w:t>
            </w:r>
          </w:p>
        </w:tc>
        <w:tc>
          <w:tcPr>
            <w:tcW w:w="2334" w:type="pct"/>
          </w:tcPr>
          <w:p w:rsidR="00CB0DD7" w:rsidRPr="000A0A5F" w:rsidRDefault="00CB0DD7">
            <w:pPr>
              <w:pStyle w:val="TAL"/>
              <w:rPr>
                <w:rFonts w:hint="eastAsia"/>
                <w:lang w:eastAsia="zh-CN"/>
              </w:rPr>
            </w:pPr>
            <w:r w:rsidRPr="000A0A5F">
              <w:t xml:space="preserve">The group message delivery subscription was </w:t>
            </w:r>
            <w:r w:rsidRPr="000A0A5F">
              <w:rPr>
                <w:lang w:eastAsia="zh-CN"/>
              </w:rPr>
              <w:t>cancel</w:t>
            </w:r>
            <w:r w:rsidRPr="000A0A5F">
              <w:rPr>
                <w:rFonts w:hint="eastAsia"/>
                <w:lang w:eastAsia="zh-CN"/>
              </w:rPr>
              <w:t>l</w:t>
            </w:r>
            <w:r w:rsidRPr="000A0A5F">
              <w:rPr>
                <w:lang w:eastAsia="zh-CN"/>
              </w:rPr>
              <w:t>ed</w:t>
            </w:r>
            <w:r w:rsidRPr="000A0A5F">
              <w:t xml:space="preserve"> successfully</w:t>
            </w:r>
            <w:r w:rsidRPr="000A0A5F">
              <w:rPr>
                <w:rFonts w:hint="eastAsia"/>
                <w:lang w:eastAsia="zh-CN"/>
              </w:rPr>
              <w:t>.</w:t>
            </w:r>
          </w:p>
        </w:tc>
      </w:tr>
      <w:tr w:rsidR="00CB0DD7" w:rsidRPr="000A0A5F" w:rsidTr="00FF0AF8">
        <w:trPr>
          <w:trHeight w:val="1140"/>
        </w:trPr>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t>none</w:t>
            </w:r>
          </w:p>
        </w:tc>
        <w:tc>
          <w:tcPr>
            <w:tcW w:w="541" w:type="pct"/>
          </w:tcPr>
          <w:p w:rsidR="00CB0DD7" w:rsidRPr="000A0A5F" w:rsidRDefault="00CB0DD7">
            <w:pPr>
              <w:pStyle w:val="TAL"/>
              <w:rPr>
                <w:rFonts w:hint="eastAsia"/>
                <w:lang w:eastAsia="zh-CN"/>
              </w:rPr>
            </w:pPr>
          </w:p>
        </w:tc>
        <w:tc>
          <w:tcPr>
            <w:tcW w:w="500" w:type="pct"/>
          </w:tcPr>
          <w:p w:rsidR="00CB0DD7" w:rsidRPr="000A0A5F" w:rsidRDefault="00CB0DD7">
            <w:pPr>
              <w:pStyle w:val="TAL"/>
            </w:pPr>
            <w:r w:rsidRPr="000A0A5F">
              <w:t>307 Temporary Redirect</w:t>
            </w:r>
          </w:p>
        </w:tc>
        <w:tc>
          <w:tcPr>
            <w:tcW w:w="2334" w:type="pct"/>
          </w:tcPr>
          <w:p w:rsidR="00CB0DD7" w:rsidRPr="000A0A5F" w:rsidRDefault="00CB0DD7">
            <w:pPr>
              <w:pStyle w:val="TAL"/>
            </w:pPr>
            <w:r w:rsidRPr="000A0A5F">
              <w:t>Temporary redirection, during resource termination. The response shall include a Location header field containing an alternative URI of the resource located in an alternative SCEF.</w:t>
            </w:r>
          </w:p>
          <w:p w:rsidR="00CB0DD7" w:rsidRPr="000A0A5F" w:rsidRDefault="00CB0DD7">
            <w:pPr>
              <w:pStyle w:val="TAL"/>
            </w:pPr>
            <w:r w:rsidRPr="000A0A5F">
              <w:t>Redirection handling is described in clause 5.2.10.</w:t>
            </w:r>
          </w:p>
        </w:tc>
      </w:tr>
      <w:tr w:rsidR="00CB0DD7" w:rsidRPr="000A0A5F" w:rsidTr="00FF0AF8">
        <w:trPr>
          <w:trHeight w:val="1140"/>
        </w:trPr>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t>none</w:t>
            </w:r>
          </w:p>
        </w:tc>
        <w:tc>
          <w:tcPr>
            <w:tcW w:w="541" w:type="pct"/>
          </w:tcPr>
          <w:p w:rsidR="00CB0DD7" w:rsidRPr="000A0A5F" w:rsidRDefault="00CB0DD7">
            <w:pPr>
              <w:pStyle w:val="TAL"/>
              <w:rPr>
                <w:rFonts w:hint="eastAsia"/>
                <w:lang w:eastAsia="zh-CN"/>
              </w:rPr>
            </w:pPr>
          </w:p>
        </w:tc>
        <w:tc>
          <w:tcPr>
            <w:tcW w:w="500" w:type="pct"/>
          </w:tcPr>
          <w:p w:rsidR="00CB0DD7" w:rsidRPr="000A0A5F" w:rsidRDefault="00CB0DD7">
            <w:pPr>
              <w:pStyle w:val="TAL"/>
            </w:pPr>
            <w:r w:rsidRPr="000A0A5F">
              <w:t>308 Permanent Redirect</w:t>
            </w:r>
          </w:p>
        </w:tc>
        <w:tc>
          <w:tcPr>
            <w:tcW w:w="2334" w:type="pct"/>
          </w:tcPr>
          <w:p w:rsidR="00CB0DD7" w:rsidRPr="000A0A5F" w:rsidRDefault="00CB0DD7">
            <w:pPr>
              <w:pStyle w:val="TAL"/>
            </w:pPr>
            <w:r w:rsidRPr="000A0A5F">
              <w:t>Permanent redirection, during resource termination. The response shall include a Location header field containing an alternative URI of the resource located in an alternative SCEF.</w:t>
            </w:r>
          </w:p>
          <w:p w:rsidR="00CB0DD7" w:rsidRPr="000A0A5F" w:rsidRDefault="00CB0DD7">
            <w:pPr>
              <w:pStyle w:val="TAL"/>
            </w:pPr>
            <w:r w:rsidRPr="000A0A5F">
              <w:t>Redirection handling is described in clause 5.2.10.</w:t>
            </w:r>
          </w:p>
        </w:tc>
      </w:tr>
      <w:tr w:rsidR="00CB0DD7" w:rsidRPr="000A0A5F" w:rsidTr="00FF0AF8">
        <w:tc>
          <w:tcPr>
            <w:tcW w:w="5000" w:type="pct"/>
            <w:gridSpan w:val="5"/>
            <w:shd w:val="clear" w:color="auto" w:fill="auto"/>
            <w:vAlign w:val="center"/>
          </w:tcPr>
          <w:p w:rsidR="00CB0DD7" w:rsidRPr="000A0A5F" w:rsidRDefault="00CB0DD7">
            <w:pPr>
              <w:pStyle w:val="TAN"/>
            </w:pPr>
            <w:r w:rsidRPr="000A0A5F">
              <w:t>NOTE:</w:t>
            </w:r>
            <w:r w:rsidRPr="000A0A5F">
              <w:tab/>
              <w:t>The mandatory HTTP error status codes for the DELETE method listed in table 5.2.6-1 also apply.</w:t>
            </w:r>
          </w:p>
        </w:tc>
      </w:tr>
    </w:tbl>
    <w:p w:rsidR="00CB0DD7" w:rsidRPr="000A0A5F" w:rsidRDefault="00CB0DD7"/>
    <w:p w:rsidR="00CB0DD7" w:rsidRPr="000A0A5F" w:rsidRDefault="00CB0DD7">
      <w:pPr>
        <w:pStyle w:val="TH"/>
      </w:pPr>
      <w:r w:rsidRPr="000A0A5F">
        <w:t>Table 5.</w:t>
      </w:r>
      <w:r w:rsidRPr="000A0A5F">
        <w:rPr>
          <w:lang w:eastAsia="zh-CN"/>
        </w:rPr>
        <w:t>8</w:t>
      </w:r>
      <w:r w:rsidRPr="000A0A5F">
        <w:t>.2.2.</w:t>
      </w:r>
      <w:r w:rsidRPr="000A0A5F">
        <w:rPr>
          <w:rFonts w:hint="eastAsia"/>
        </w:rPr>
        <w:t>5</w:t>
      </w:r>
      <w:r w:rsidRPr="000A0A5F">
        <w:t>.3.5-2: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CB0DD7">
      <w:pPr>
        <w:pStyle w:val="TH"/>
      </w:pPr>
      <w:r w:rsidRPr="000A0A5F">
        <w:t>Table</w:t>
      </w:r>
      <w:r w:rsidRPr="000A0A5F">
        <w:rPr>
          <w:rFonts w:cs="Arial"/>
        </w:rPr>
        <w:t> </w:t>
      </w:r>
      <w:r w:rsidRPr="000A0A5F">
        <w:t>5.</w:t>
      </w:r>
      <w:r w:rsidRPr="000A0A5F">
        <w:rPr>
          <w:lang w:eastAsia="zh-CN"/>
        </w:rPr>
        <w:t>8</w:t>
      </w:r>
      <w:r w:rsidRPr="000A0A5F">
        <w:t>.2.2.</w:t>
      </w:r>
      <w:r w:rsidRPr="000A0A5F">
        <w:rPr>
          <w:rFonts w:hint="eastAsia"/>
        </w:rPr>
        <w:t>5</w:t>
      </w:r>
      <w:r w:rsidRPr="000A0A5F">
        <w:t>.3.5-3: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Pr>
        <w:rPr>
          <w:lang w:eastAsia="zh-CN"/>
        </w:rPr>
      </w:pPr>
    </w:p>
    <w:p w:rsidR="00CB0DD7" w:rsidRPr="000A0A5F" w:rsidRDefault="00CB0DD7">
      <w:pPr>
        <w:pStyle w:val="Heading5"/>
      </w:pPr>
      <w:bookmarkStart w:id="5802" w:name="_Toc11247609"/>
      <w:bookmarkStart w:id="5803" w:name="_Toc27044748"/>
      <w:bookmarkStart w:id="5804" w:name="_Toc36033790"/>
      <w:bookmarkStart w:id="5805" w:name="_Toc45131936"/>
      <w:bookmarkStart w:id="5806" w:name="_Toc49776221"/>
      <w:bookmarkStart w:id="5807" w:name="_Toc51747141"/>
      <w:bookmarkStart w:id="5808" w:name="_Toc66360705"/>
      <w:bookmarkStart w:id="5809" w:name="_Toc68105210"/>
      <w:bookmarkStart w:id="5810" w:name="_Toc74755840"/>
      <w:bookmarkStart w:id="5811" w:name="_Toc105674715"/>
      <w:bookmarkStart w:id="5812" w:name="_Toc130502767"/>
      <w:bookmarkStart w:id="5813" w:name="_Toc153625554"/>
      <w:r w:rsidRPr="000A0A5F">
        <w:t>5.8.2.2.</w:t>
      </w:r>
      <w:r w:rsidRPr="000A0A5F">
        <w:rPr>
          <w:rFonts w:eastAsia="Batang"/>
        </w:rPr>
        <w:t>6</w:t>
      </w:r>
      <w:r w:rsidRPr="000A0A5F">
        <w:tab/>
        <w:t>Void</w:t>
      </w:r>
      <w:bookmarkEnd w:id="5802"/>
      <w:bookmarkEnd w:id="5803"/>
      <w:bookmarkEnd w:id="5804"/>
      <w:bookmarkEnd w:id="5805"/>
      <w:bookmarkEnd w:id="5806"/>
      <w:bookmarkEnd w:id="5807"/>
      <w:bookmarkEnd w:id="5808"/>
      <w:bookmarkEnd w:id="5809"/>
      <w:bookmarkEnd w:id="5810"/>
      <w:bookmarkEnd w:id="5811"/>
      <w:bookmarkEnd w:id="5812"/>
      <w:bookmarkEnd w:id="5813"/>
    </w:p>
    <w:p w:rsidR="00CB0DD7" w:rsidRPr="000A0A5F" w:rsidRDefault="00CB0DD7">
      <w:pPr>
        <w:pStyle w:val="Heading4"/>
      </w:pPr>
      <w:bookmarkStart w:id="5814" w:name="_Toc66360706"/>
      <w:bookmarkStart w:id="5815" w:name="_Toc68105211"/>
      <w:bookmarkStart w:id="5816" w:name="_Toc74755841"/>
      <w:bookmarkStart w:id="5817" w:name="_Toc105674716"/>
      <w:bookmarkStart w:id="5818" w:name="_Toc130502768"/>
      <w:bookmarkStart w:id="5819" w:name="_Toc153625555"/>
      <w:r w:rsidRPr="000A0A5F">
        <w:t>5.8.2.</w:t>
      </w:r>
      <w:r w:rsidR="00790FC9" w:rsidRPr="000A0A5F">
        <w:t>2A</w:t>
      </w:r>
      <w:r w:rsidRPr="000A0A5F">
        <w:tab/>
        <w:t>Notifications</w:t>
      </w:r>
      <w:bookmarkEnd w:id="5814"/>
      <w:bookmarkEnd w:id="5815"/>
      <w:bookmarkEnd w:id="5816"/>
      <w:bookmarkEnd w:id="5817"/>
      <w:bookmarkEnd w:id="5818"/>
      <w:bookmarkEnd w:id="5819"/>
    </w:p>
    <w:p w:rsidR="00CB0DD7" w:rsidRPr="000A0A5F" w:rsidRDefault="00CB0DD7">
      <w:pPr>
        <w:pStyle w:val="Heading5"/>
      </w:pPr>
      <w:bookmarkStart w:id="5820" w:name="_Toc66360707"/>
      <w:bookmarkStart w:id="5821" w:name="_Toc68105212"/>
      <w:bookmarkStart w:id="5822" w:name="_Toc74755842"/>
      <w:bookmarkStart w:id="5823" w:name="_Toc105674717"/>
      <w:bookmarkStart w:id="5824" w:name="_Toc130502769"/>
      <w:bookmarkStart w:id="5825" w:name="_Toc153625556"/>
      <w:r w:rsidRPr="000A0A5F">
        <w:t>5.8.2.</w:t>
      </w:r>
      <w:r w:rsidR="00790FC9" w:rsidRPr="000A0A5F">
        <w:t>2A</w:t>
      </w:r>
      <w:r w:rsidRPr="000A0A5F">
        <w:t>.1</w:t>
      </w:r>
      <w:r w:rsidRPr="000A0A5F">
        <w:tab/>
        <w:t>General</w:t>
      </w:r>
      <w:bookmarkEnd w:id="5820"/>
      <w:bookmarkEnd w:id="5821"/>
      <w:bookmarkEnd w:id="5822"/>
      <w:bookmarkEnd w:id="5823"/>
      <w:bookmarkEnd w:id="5824"/>
      <w:bookmarkEnd w:id="5825"/>
    </w:p>
    <w:p w:rsidR="00CB0DD7" w:rsidRPr="000A0A5F" w:rsidRDefault="00CB0DD7">
      <w:r w:rsidRPr="000A0A5F">
        <w:t>The notifications provided by the GMDviaMBMSbyMB2 API are specified in this clause.</w:t>
      </w:r>
    </w:p>
    <w:p w:rsidR="00CB0DD7" w:rsidRPr="000A0A5F" w:rsidRDefault="002E466A">
      <w:pPr>
        <w:pStyle w:val="TH"/>
      </w:pPr>
      <w:r w:rsidRPr="000A0A5F">
        <w:t>Table </w:t>
      </w:r>
      <w:r w:rsidR="00CB0DD7" w:rsidRPr="000A0A5F">
        <w:t>5.8.2.</w:t>
      </w:r>
      <w:r w:rsidR="00790FC9" w:rsidRPr="000A0A5F">
        <w:t>2A</w:t>
      </w:r>
      <w:r w:rsidR="00CB0DD7" w:rsidRPr="000A0A5F">
        <w:t>.1-1: Notifications overview</w:t>
      </w:r>
    </w:p>
    <w:tbl>
      <w:tblPr>
        <w:tblW w:w="4484"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1914"/>
        <w:gridCol w:w="3654"/>
        <w:gridCol w:w="1243"/>
        <w:gridCol w:w="1957"/>
      </w:tblGrid>
      <w:tr w:rsidR="00CB0DD7" w:rsidRPr="000A0A5F" w:rsidTr="00FF0AF8">
        <w:trPr>
          <w:jc w:val="center"/>
        </w:trPr>
        <w:tc>
          <w:tcPr>
            <w:tcW w:w="1091" w:type="pct"/>
            <w:shd w:val="clear" w:color="auto" w:fill="C0C0C0"/>
            <w:vAlign w:val="center"/>
            <w:hideMark/>
          </w:tcPr>
          <w:p w:rsidR="00CB0DD7" w:rsidRPr="000A0A5F" w:rsidRDefault="00CB0DD7">
            <w:pPr>
              <w:pStyle w:val="TAH"/>
            </w:pPr>
            <w:r w:rsidRPr="000A0A5F">
              <w:t>Notification</w:t>
            </w:r>
          </w:p>
        </w:tc>
        <w:tc>
          <w:tcPr>
            <w:tcW w:w="2083" w:type="pct"/>
            <w:shd w:val="clear" w:color="auto" w:fill="C0C0C0"/>
            <w:vAlign w:val="center"/>
            <w:hideMark/>
          </w:tcPr>
          <w:p w:rsidR="00CB0DD7" w:rsidRPr="000A0A5F" w:rsidRDefault="00CB0DD7">
            <w:pPr>
              <w:pStyle w:val="TAH"/>
            </w:pPr>
            <w:r w:rsidRPr="000A0A5F">
              <w:t>Callback URI</w:t>
            </w:r>
          </w:p>
        </w:tc>
        <w:tc>
          <w:tcPr>
            <w:tcW w:w="709" w:type="pct"/>
            <w:shd w:val="clear" w:color="auto" w:fill="C0C0C0"/>
            <w:vAlign w:val="center"/>
            <w:hideMark/>
          </w:tcPr>
          <w:p w:rsidR="00CB0DD7" w:rsidRPr="000A0A5F" w:rsidRDefault="00CB0DD7">
            <w:pPr>
              <w:pStyle w:val="TAH"/>
            </w:pPr>
            <w:r w:rsidRPr="000A0A5F">
              <w:t>HTTP method or custom operation</w:t>
            </w:r>
          </w:p>
        </w:tc>
        <w:tc>
          <w:tcPr>
            <w:tcW w:w="1116" w:type="pct"/>
            <w:shd w:val="clear" w:color="auto" w:fill="C0C0C0"/>
            <w:vAlign w:val="center"/>
            <w:hideMark/>
          </w:tcPr>
          <w:p w:rsidR="00CB0DD7" w:rsidRPr="000A0A5F" w:rsidRDefault="00CB0DD7">
            <w:pPr>
              <w:pStyle w:val="TAH"/>
            </w:pPr>
            <w:r w:rsidRPr="000A0A5F">
              <w:t>Description</w:t>
            </w:r>
          </w:p>
          <w:p w:rsidR="00CB0DD7" w:rsidRPr="000A0A5F" w:rsidRDefault="00CB0DD7">
            <w:pPr>
              <w:pStyle w:val="TAH"/>
            </w:pPr>
            <w:r w:rsidRPr="000A0A5F">
              <w:t>(service operation)</w:t>
            </w:r>
          </w:p>
        </w:tc>
      </w:tr>
      <w:tr w:rsidR="00CB0DD7" w:rsidRPr="000A0A5F" w:rsidTr="00FF0AF8">
        <w:trPr>
          <w:jc w:val="center"/>
        </w:trPr>
        <w:tc>
          <w:tcPr>
            <w:tcW w:w="1091" w:type="pct"/>
          </w:tcPr>
          <w:p w:rsidR="00CB0DD7" w:rsidRPr="000A0A5F" w:rsidRDefault="00CB0DD7">
            <w:pPr>
              <w:pStyle w:val="TAC"/>
              <w:jc w:val="left"/>
              <w:rPr>
                <w:lang w:val="en-US"/>
              </w:rPr>
            </w:pPr>
            <w:r w:rsidRPr="000A0A5F">
              <w:rPr>
                <w:rFonts w:hint="eastAsia"/>
                <w:lang w:eastAsia="zh-CN"/>
              </w:rPr>
              <w:t>GMD via MBMS</w:t>
            </w:r>
            <w:r w:rsidRPr="000A0A5F">
              <w:rPr>
                <w:lang w:eastAsia="zh-CN"/>
              </w:rPr>
              <w:t xml:space="preserve"> by MB2</w:t>
            </w:r>
            <w:r w:rsidRPr="000A0A5F">
              <w:rPr>
                <w:rFonts w:hint="eastAsia"/>
                <w:lang w:eastAsia="zh-CN"/>
              </w:rPr>
              <w:t xml:space="preserve"> Notification</w:t>
            </w:r>
          </w:p>
        </w:tc>
        <w:tc>
          <w:tcPr>
            <w:tcW w:w="2083" w:type="pct"/>
          </w:tcPr>
          <w:p w:rsidR="00CB0DD7" w:rsidRPr="000A0A5F" w:rsidRDefault="00CB0DD7">
            <w:pPr>
              <w:pStyle w:val="TAL"/>
              <w:rPr>
                <w:lang w:val="en-US"/>
              </w:rPr>
            </w:pPr>
            <w:r w:rsidRPr="000A0A5F">
              <w:rPr>
                <w:rFonts w:hint="eastAsia"/>
                <w:lang w:eastAsia="zh-CN"/>
              </w:rPr>
              <w:t>{notification</w:t>
            </w:r>
            <w:r w:rsidRPr="000A0A5F">
              <w:t>Destination</w:t>
            </w:r>
            <w:r w:rsidRPr="000A0A5F">
              <w:rPr>
                <w:rFonts w:hint="eastAsia"/>
                <w:lang w:eastAsia="zh-CN"/>
              </w:rPr>
              <w:t>}</w:t>
            </w:r>
          </w:p>
        </w:tc>
        <w:tc>
          <w:tcPr>
            <w:tcW w:w="709" w:type="pct"/>
          </w:tcPr>
          <w:p w:rsidR="00CB0DD7" w:rsidRPr="000A0A5F" w:rsidRDefault="00CB0DD7">
            <w:pPr>
              <w:pStyle w:val="TAC"/>
              <w:rPr>
                <w:lang w:val="fr-FR"/>
              </w:rPr>
            </w:pPr>
            <w:r w:rsidRPr="000A0A5F">
              <w:rPr>
                <w:rFonts w:hint="eastAsia"/>
                <w:lang w:eastAsia="zh-CN"/>
              </w:rPr>
              <w:t>POST</w:t>
            </w:r>
          </w:p>
        </w:tc>
        <w:tc>
          <w:tcPr>
            <w:tcW w:w="1116" w:type="pct"/>
          </w:tcPr>
          <w:p w:rsidR="00CB0DD7" w:rsidRPr="000A0A5F" w:rsidRDefault="00CB0DD7">
            <w:pPr>
              <w:pStyle w:val="TAL"/>
              <w:rPr>
                <w:lang w:val="en-US"/>
              </w:rPr>
            </w:pPr>
            <w:r w:rsidRPr="000A0A5F">
              <w:rPr>
                <w:rFonts w:hint="eastAsia"/>
                <w:lang w:eastAsia="zh-CN"/>
              </w:rPr>
              <w:t xml:space="preserve">Report a </w:t>
            </w:r>
            <w:r w:rsidRPr="000A0A5F">
              <w:rPr>
                <w:lang w:eastAsia="zh-CN"/>
              </w:rPr>
              <w:t>specific</w:t>
            </w:r>
            <w:r w:rsidRPr="000A0A5F">
              <w:rPr>
                <w:rFonts w:hint="eastAsia"/>
                <w:lang w:eastAsia="zh-CN"/>
              </w:rPr>
              <w:t xml:space="preserve"> </w:t>
            </w:r>
            <w:r w:rsidRPr="000A0A5F">
              <w:rPr>
                <w:lang w:eastAsia="zh-CN"/>
              </w:rPr>
              <w:t>group message delivery result to the SCS/AS for a given transaction Id selected by the SCEF.</w:t>
            </w:r>
          </w:p>
        </w:tc>
      </w:tr>
    </w:tbl>
    <w:p w:rsidR="00CB0DD7" w:rsidRPr="000A0A5F" w:rsidRDefault="00CB0DD7"/>
    <w:p w:rsidR="00CB0DD7" w:rsidRPr="000A0A5F" w:rsidRDefault="00CB0DD7">
      <w:pPr>
        <w:pStyle w:val="Heading5"/>
      </w:pPr>
      <w:bookmarkStart w:id="5826" w:name="_Toc66360708"/>
      <w:bookmarkStart w:id="5827" w:name="_Toc68105213"/>
      <w:bookmarkStart w:id="5828" w:name="_Toc74755843"/>
      <w:bookmarkStart w:id="5829" w:name="_Toc105674718"/>
      <w:bookmarkStart w:id="5830" w:name="_Toc130502770"/>
      <w:bookmarkStart w:id="5831" w:name="_Toc153625557"/>
      <w:r w:rsidRPr="000A0A5F">
        <w:t>5.8.2.</w:t>
      </w:r>
      <w:r w:rsidR="00790FC9" w:rsidRPr="000A0A5F">
        <w:t>2A</w:t>
      </w:r>
      <w:r w:rsidRPr="000A0A5F">
        <w:t>.2</w:t>
      </w:r>
      <w:r w:rsidRPr="000A0A5F">
        <w:tab/>
      </w:r>
      <w:r w:rsidRPr="000A0A5F">
        <w:rPr>
          <w:rFonts w:hint="eastAsia"/>
          <w:lang w:eastAsia="zh-CN"/>
        </w:rPr>
        <w:t>GMD via MBMS</w:t>
      </w:r>
      <w:r w:rsidRPr="000A0A5F">
        <w:rPr>
          <w:lang w:eastAsia="zh-CN"/>
        </w:rPr>
        <w:t xml:space="preserve"> by MB2</w:t>
      </w:r>
      <w:r w:rsidRPr="000A0A5F">
        <w:rPr>
          <w:rFonts w:hint="eastAsia"/>
          <w:lang w:eastAsia="zh-CN"/>
        </w:rPr>
        <w:t xml:space="preserve"> Notification</w:t>
      </w:r>
      <w:bookmarkEnd w:id="5826"/>
      <w:bookmarkEnd w:id="5827"/>
      <w:bookmarkEnd w:id="5828"/>
      <w:bookmarkEnd w:id="5829"/>
      <w:bookmarkEnd w:id="5830"/>
      <w:bookmarkEnd w:id="5831"/>
    </w:p>
    <w:p w:rsidR="00CB0DD7" w:rsidRPr="000A0A5F" w:rsidRDefault="00CB0DD7">
      <w:pPr>
        <w:pStyle w:val="Heading6"/>
        <w:rPr>
          <w:noProof/>
        </w:rPr>
      </w:pPr>
      <w:bookmarkStart w:id="5832" w:name="_Toc66360709"/>
      <w:bookmarkStart w:id="5833" w:name="_Toc68105214"/>
      <w:bookmarkStart w:id="5834" w:name="_Toc74755844"/>
      <w:bookmarkStart w:id="5835" w:name="_Toc105674719"/>
      <w:bookmarkStart w:id="5836" w:name="_Toc130502771"/>
      <w:bookmarkStart w:id="5837" w:name="_Toc153625558"/>
      <w:r w:rsidRPr="000A0A5F">
        <w:t>5.8.2.</w:t>
      </w:r>
      <w:r w:rsidR="00790FC9" w:rsidRPr="000A0A5F">
        <w:t>2A</w:t>
      </w:r>
      <w:r w:rsidRPr="000A0A5F">
        <w:t>.2</w:t>
      </w:r>
      <w:r w:rsidRPr="000A0A5F">
        <w:rPr>
          <w:noProof/>
        </w:rPr>
        <w:t>.1</w:t>
      </w:r>
      <w:r w:rsidRPr="000A0A5F">
        <w:rPr>
          <w:noProof/>
        </w:rPr>
        <w:tab/>
        <w:t>Description</w:t>
      </w:r>
      <w:bookmarkEnd w:id="5832"/>
      <w:bookmarkEnd w:id="5833"/>
      <w:bookmarkEnd w:id="5834"/>
      <w:bookmarkEnd w:id="5835"/>
      <w:bookmarkEnd w:id="5836"/>
      <w:bookmarkEnd w:id="5837"/>
    </w:p>
    <w:p w:rsidR="00CB0DD7" w:rsidRPr="000A0A5F" w:rsidRDefault="00CB0DD7">
      <w:pPr>
        <w:rPr>
          <w:noProof/>
          <w:lang w:eastAsia="zh-CN"/>
        </w:rPr>
      </w:pPr>
      <w:r w:rsidRPr="000A0A5F">
        <w:rPr>
          <w:noProof/>
          <w:lang w:eastAsia="zh-CN"/>
        </w:rPr>
        <w:t xml:space="preserve">The </w:t>
      </w:r>
      <w:r w:rsidRPr="000A0A5F">
        <w:rPr>
          <w:rFonts w:hint="eastAsia"/>
          <w:lang w:eastAsia="zh-CN"/>
        </w:rPr>
        <w:t>GMD via MBMS</w:t>
      </w:r>
      <w:r w:rsidRPr="000A0A5F">
        <w:rPr>
          <w:lang w:eastAsia="zh-CN"/>
        </w:rPr>
        <w:t xml:space="preserve"> by MB2</w:t>
      </w:r>
      <w:r w:rsidRPr="000A0A5F">
        <w:rPr>
          <w:rFonts w:hint="eastAsia"/>
          <w:lang w:eastAsia="zh-CN"/>
        </w:rPr>
        <w:t xml:space="preserve"> Notification</w:t>
      </w:r>
      <w:r w:rsidRPr="000A0A5F">
        <w:rPr>
          <w:noProof/>
          <w:lang w:eastAsia="zh-CN"/>
        </w:rPr>
        <w:t xml:space="preserve"> allows the SCEF report the delivery trigger status to the SCS/AS to indicate whether group message delivery was triggered successful. </w:t>
      </w:r>
    </w:p>
    <w:p w:rsidR="00CB0DD7" w:rsidRPr="000A0A5F" w:rsidRDefault="00CB0DD7">
      <w:pPr>
        <w:pStyle w:val="Heading6"/>
        <w:rPr>
          <w:noProof/>
        </w:rPr>
      </w:pPr>
      <w:bookmarkStart w:id="5838" w:name="_Toc66360710"/>
      <w:bookmarkStart w:id="5839" w:name="_Toc68105215"/>
      <w:bookmarkStart w:id="5840" w:name="_Toc74755845"/>
      <w:bookmarkStart w:id="5841" w:name="_Toc105674720"/>
      <w:bookmarkStart w:id="5842" w:name="_Toc130502772"/>
      <w:bookmarkStart w:id="5843" w:name="_Toc153625559"/>
      <w:r w:rsidRPr="000A0A5F">
        <w:t>5.8.2.</w:t>
      </w:r>
      <w:r w:rsidR="00790FC9" w:rsidRPr="000A0A5F">
        <w:t>2A</w:t>
      </w:r>
      <w:r w:rsidRPr="000A0A5F">
        <w:t>.2</w:t>
      </w:r>
      <w:r w:rsidRPr="000A0A5F">
        <w:rPr>
          <w:noProof/>
        </w:rPr>
        <w:t>.2</w:t>
      </w:r>
      <w:r w:rsidRPr="000A0A5F">
        <w:rPr>
          <w:noProof/>
        </w:rPr>
        <w:tab/>
        <w:t>Target URI</w:t>
      </w:r>
      <w:bookmarkEnd w:id="5838"/>
      <w:bookmarkEnd w:id="5839"/>
      <w:bookmarkEnd w:id="5840"/>
      <w:bookmarkEnd w:id="5841"/>
      <w:bookmarkEnd w:id="5842"/>
      <w:bookmarkEnd w:id="5843"/>
    </w:p>
    <w:p w:rsidR="00CB0DD7" w:rsidRPr="000A0A5F" w:rsidRDefault="00CB0DD7">
      <w:pPr>
        <w:rPr>
          <w:rFonts w:ascii="Arial" w:hAnsi="Arial" w:cs="Arial"/>
          <w:noProof/>
        </w:rPr>
      </w:pPr>
      <w:r w:rsidRPr="000A0A5F">
        <w:rPr>
          <w:noProof/>
        </w:rPr>
        <w:t xml:space="preserve">The Callback URI </w:t>
      </w:r>
      <w:r w:rsidRPr="000A0A5F">
        <w:rPr>
          <w:b/>
          <w:noProof/>
        </w:rPr>
        <w:t>"{</w:t>
      </w:r>
      <w:r w:rsidRPr="000A0A5F">
        <w:t>notificationDestination</w:t>
      </w:r>
      <w:r w:rsidRPr="000A0A5F">
        <w:rPr>
          <w:b/>
          <w:noProof/>
        </w:rPr>
        <w:t>}"</w:t>
      </w:r>
      <w:r w:rsidRPr="000A0A5F">
        <w:rPr>
          <w:noProof/>
        </w:rPr>
        <w:t xml:space="preserve"> shall be used with the callback URI variables defined in table </w:t>
      </w:r>
      <w:r w:rsidRPr="000A0A5F">
        <w:t>5.8.2.</w:t>
      </w:r>
      <w:r w:rsidR="00790FC9" w:rsidRPr="000A0A5F">
        <w:t>2A</w:t>
      </w:r>
      <w:r w:rsidRPr="000A0A5F">
        <w:t>.2</w:t>
      </w:r>
      <w:r w:rsidRPr="000A0A5F">
        <w:rPr>
          <w:noProof/>
        </w:rPr>
        <w:t>.2-1</w:t>
      </w:r>
      <w:r w:rsidRPr="000A0A5F">
        <w:rPr>
          <w:rFonts w:ascii="Arial" w:hAnsi="Arial" w:cs="Arial"/>
          <w:noProof/>
        </w:rPr>
        <w:t>.</w:t>
      </w:r>
    </w:p>
    <w:p w:rsidR="00CB0DD7" w:rsidRPr="000A0A5F" w:rsidRDefault="00CB0DD7">
      <w:pPr>
        <w:pStyle w:val="TH"/>
        <w:rPr>
          <w:rFonts w:cs="Arial"/>
          <w:noProof/>
        </w:rPr>
      </w:pPr>
      <w:r w:rsidRPr="000A0A5F">
        <w:rPr>
          <w:noProof/>
        </w:rPr>
        <w:t>Table </w:t>
      </w:r>
      <w:r w:rsidRPr="000A0A5F">
        <w:t>5.8.2.</w:t>
      </w:r>
      <w:r w:rsidR="00790FC9" w:rsidRPr="000A0A5F">
        <w:t>2A</w:t>
      </w:r>
      <w:r w:rsidRPr="000A0A5F">
        <w:t>.2</w:t>
      </w:r>
      <w:r w:rsidRPr="000A0A5F">
        <w:rPr>
          <w:noProof/>
        </w:rPr>
        <w:t>.2-1: Callback URI variables</w:t>
      </w:r>
    </w:p>
    <w:tbl>
      <w:tblPr>
        <w:tblW w:w="494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970"/>
        <w:gridCol w:w="1312"/>
        <w:gridCol w:w="6378"/>
      </w:tblGrid>
      <w:tr w:rsidR="00CB0DD7" w:rsidRPr="000A0A5F" w:rsidTr="00FF0AF8">
        <w:trPr>
          <w:jc w:val="center"/>
        </w:trPr>
        <w:tc>
          <w:tcPr>
            <w:tcW w:w="1020" w:type="pct"/>
            <w:shd w:val="clear" w:color="000000" w:fill="C0C0C0"/>
          </w:tcPr>
          <w:p w:rsidR="00CB0DD7" w:rsidRPr="000A0A5F" w:rsidRDefault="00CB0DD7">
            <w:pPr>
              <w:pStyle w:val="TAH"/>
            </w:pPr>
            <w:r w:rsidRPr="000A0A5F">
              <w:t>Name</w:t>
            </w:r>
          </w:p>
        </w:tc>
        <w:tc>
          <w:tcPr>
            <w:tcW w:w="679" w:type="pct"/>
            <w:shd w:val="clear" w:color="000000" w:fill="C0C0C0"/>
          </w:tcPr>
          <w:p w:rsidR="00CB0DD7" w:rsidRPr="000A0A5F" w:rsidRDefault="00CB0DD7">
            <w:pPr>
              <w:pStyle w:val="TAH"/>
            </w:pPr>
            <w:r w:rsidRPr="000A0A5F">
              <w:rPr>
                <w:rFonts w:hint="eastAsia"/>
                <w:lang w:eastAsia="zh-CN"/>
              </w:rPr>
              <w:t>D</w:t>
            </w:r>
            <w:r w:rsidRPr="000A0A5F">
              <w:rPr>
                <w:lang w:eastAsia="zh-CN"/>
              </w:rPr>
              <w:t>ata type</w:t>
            </w:r>
          </w:p>
        </w:tc>
        <w:tc>
          <w:tcPr>
            <w:tcW w:w="3301" w:type="pct"/>
            <w:shd w:val="clear" w:color="000000" w:fill="C0C0C0"/>
            <w:vAlign w:val="center"/>
          </w:tcPr>
          <w:p w:rsidR="00CB0DD7" w:rsidRPr="000A0A5F" w:rsidRDefault="00CB0DD7">
            <w:pPr>
              <w:pStyle w:val="TAH"/>
            </w:pPr>
            <w:r w:rsidRPr="000A0A5F">
              <w:t>Definition</w:t>
            </w:r>
          </w:p>
        </w:tc>
      </w:tr>
      <w:tr w:rsidR="00CB0DD7" w:rsidRPr="000A0A5F" w:rsidTr="00FF0AF8">
        <w:trPr>
          <w:jc w:val="center"/>
        </w:trPr>
        <w:tc>
          <w:tcPr>
            <w:tcW w:w="1020" w:type="pct"/>
            <w:shd w:val="clear" w:color="auto" w:fill="auto"/>
          </w:tcPr>
          <w:p w:rsidR="00CB0DD7" w:rsidRPr="000A0A5F" w:rsidRDefault="00CB0DD7">
            <w:pPr>
              <w:pStyle w:val="TAL"/>
              <w:rPr>
                <w:lang w:eastAsia="zh-CN"/>
              </w:rPr>
            </w:pPr>
            <w:r w:rsidRPr="000A0A5F">
              <w:t>notificationDestination</w:t>
            </w:r>
          </w:p>
        </w:tc>
        <w:tc>
          <w:tcPr>
            <w:tcW w:w="679" w:type="pct"/>
          </w:tcPr>
          <w:p w:rsidR="00CB0DD7" w:rsidRPr="000A0A5F" w:rsidRDefault="00CB0DD7">
            <w:pPr>
              <w:pStyle w:val="TAL"/>
            </w:pPr>
            <w:r w:rsidRPr="000A0A5F">
              <w:rPr>
                <w:rFonts w:cs="Arial" w:hint="eastAsia"/>
                <w:szCs w:val="18"/>
                <w:lang w:eastAsia="zh-CN"/>
              </w:rPr>
              <w:t>L</w:t>
            </w:r>
            <w:r w:rsidRPr="000A0A5F">
              <w:rPr>
                <w:rFonts w:cs="Arial"/>
                <w:szCs w:val="18"/>
                <w:lang w:eastAsia="zh-CN"/>
              </w:rPr>
              <w:t>ink</w:t>
            </w:r>
          </w:p>
        </w:tc>
        <w:tc>
          <w:tcPr>
            <w:tcW w:w="3301" w:type="pct"/>
            <w:shd w:val="clear" w:color="auto" w:fill="auto"/>
            <w:vAlign w:val="center"/>
          </w:tcPr>
          <w:p w:rsidR="00CB0DD7" w:rsidRPr="000A0A5F" w:rsidRDefault="00CB0DD7">
            <w:pPr>
              <w:pStyle w:val="TAL"/>
              <w:rPr>
                <w:rFonts w:cs="Arial"/>
                <w:szCs w:val="18"/>
                <w:lang w:eastAsia="zh-CN"/>
              </w:rPr>
            </w:pPr>
            <w:r w:rsidRPr="000A0A5F">
              <w:rPr>
                <w:rFonts w:cs="Arial" w:hint="eastAsia"/>
                <w:szCs w:val="18"/>
                <w:lang w:eastAsia="zh-CN"/>
              </w:rPr>
              <w:t xml:space="preserve">A URI indicating the notification destination </w:t>
            </w:r>
            <w:r w:rsidRPr="000A0A5F">
              <w:rPr>
                <w:rFonts w:cs="Arial"/>
                <w:szCs w:val="18"/>
                <w:lang w:eastAsia="zh-CN"/>
              </w:rPr>
              <w:t xml:space="preserve">where </w:t>
            </w:r>
            <w:r w:rsidRPr="000A0A5F">
              <w:rPr>
                <w:rFonts w:cs="Arial" w:hint="eastAsia"/>
                <w:szCs w:val="18"/>
                <w:lang w:eastAsia="zh-CN"/>
              </w:rPr>
              <w:t xml:space="preserve">T8 </w:t>
            </w:r>
            <w:r w:rsidRPr="000A0A5F">
              <w:rPr>
                <w:rFonts w:cs="Arial"/>
                <w:szCs w:val="18"/>
                <w:lang w:eastAsia="zh-CN"/>
              </w:rPr>
              <w:t>notification requests shall be delivered</w:t>
            </w:r>
            <w:r w:rsidRPr="000A0A5F">
              <w:rPr>
                <w:rFonts w:cs="Arial" w:hint="eastAsia"/>
                <w:szCs w:val="18"/>
                <w:lang w:eastAsia="zh-CN"/>
              </w:rPr>
              <w:t>.</w:t>
            </w:r>
          </w:p>
          <w:p w:rsidR="00CB0DD7" w:rsidRPr="000A0A5F" w:rsidRDefault="00CB0DD7">
            <w:pPr>
              <w:pStyle w:val="TAL"/>
            </w:pPr>
            <w:r w:rsidRPr="000A0A5F">
              <w:rPr>
                <w:rFonts w:cs="Arial"/>
                <w:szCs w:val="18"/>
                <w:lang w:eastAsia="zh-CN"/>
              </w:rPr>
              <w:t>This URI shall be provided within the field "notification</w:t>
            </w:r>
            <w:r w:rsidRPr="000A0A5F">
              <w:rPr>
                <w:noProof/>
                <w:lang w:eastAsia="zh-CN"/>
              </w:rPr>
              <w:t>Destination</w:t>
            </w:r>
            <w:r w:rsidRPr="000A0A5F">
              <w:rPr>
                <w:rFonts w:cs="Arial"/>
                <w:szCs w:val="18"/>
                <w:lang w:eastAsia="zh-CN"/>
              </w:rPr>
              <w:t xml:space="preserve">" in the </w:t>
            </w:r>
            <w:r w:rsidRPr="000A0A5F">
              <w:rPr>
                <w:lang w:eastAsia="zh-CN"/>
              </w:rPr>
              <w:t>GMDViaMBMSByMb2</w:t>
            </w:r>
            <w:r w:rsidRPr="000A0A5F">
              <w:rPr>
                <w:rFonts w:cs="Arial"/>
                <w:szCs w:val="18"/>
                <w:lang w:eastAsia="zh-CN"/>
              </w:rPr>
              <w:t xml:space="preserve"> type.</w:t>
            </w:r>
          </w:p>
        </w:tc>
      </w:tr>
    </w:tbl>
    <w:p w:rsidR="00CB0DD7" w:rsidRPr="000A0A5F" w:rsidRDefault="00CB0DD7"/>
    <w:p w:rsidR="00CB0DD7" w:rsidRPr="000A0A5F" w:rsidRDefault="00CB0DD7">
      <w:pPr>
        <w:pStyle w:val="Heading6"/>
        <w:rPr>
          <w:noProof/>
        </w:rPr>
      </w:pPr>
      <w:bookmarkStart w:id="5844" w:name="_Toc66360711"/>
      <w:bookmarkStart w:id="5845" w:name="_Toc68105216"/>
      <w:bookmarkStart w:id="5846" w:name="_Toc74755846"/>
      <w:bookmarkStart w:id="5847" w:name="_Toc105674721"/>
      <w:bookmarkStart w:id="5848" w:name="_Toc130502773"/>
      <w:bookmarkStart w:id="5849" w:name="_Toc153625560"/>
      <w:r w:rsidRPr="000A0A5F">
        <w:t>5.8.2.</w:t>
      </w:r>
      <w:r w:rsidR="00790FC9" w:rsidRPr="000A0A5F">
        <w:t>2A</w:t>
      </w:r>
      <w:r w:rsidRPr="000A0A5F">
        <w:t>.2</w:t>
      </w:r>
      <w:r w:rsidRPr="000A0A5F">
        <w:rPr>
          <w:noProof/>
        </w:rPr>
        <w:t>.3</w:t>
      </w:r>
      <w:r w:rsidRPr="000A0A5F">
        <w:rPr>
          <w:noProof/>
        </w:rPr>
        <w:tab/>
        <w:t>Standard Methods</w:t>
      </w:r>
      <w:bookmarkEnd w:id="5844"/>
      <w:bookmarkEnd w:id="5845"/>
      <w:bookmarkEnd w:id="5846"/>
      <w:bookmarkEnd w:id="5847"/>
      <w:bookmarkEnd w:id="5848"/>
      <w:bookmarkEnd w:id="5849"/>
    </w:p>
    <w:p w:rsidR="00CB0DD7" w:rsidRPr="000A0A5F" w:rsidRDefault="00CB0DD7">
      <w:pPr>
        <w:pStyle w:val="Heading7"/>
        <w:rPr>
          <w:noProof/>
        </w:rPr>
      </w:pPr>
      <w:bookmarkStart w:id="5850" w:name="_Toc66360712"/>
      <w:bookmarkStart w:id="5851" w:name="_Toc68105217"/>
      <w:bookmarkStart w:id="5852" w:name="_Toc74755847"/>
      <w:bookmarkStart w:id="5853" w:name="_Toc105674722"/>
      <w:bookmarkStart w:id="5854" w:name="_Toc130502774"/>
      <w:bookmarkStart w:id="5855" w:name="_Toc153625561"/>
      <w:r w:rsidRPr="000A0A5F">
        <w:t>5.8.2.</w:t>
      </w:r>
      <w:r w:rsidR="00790FC9" w:rsidRPr="000A0A5F">
        <w:t>2A</w:t>
      </w:r>
      <w:r w:rsidRPr="000A0A5F">
        <w:t>.2.3</w:t>
      </w:r>
      <w:r w:rsidRPr="000A0A5F">
        <w:rPr>
          <w:noProof/>
        </w:rPr>
        <w:t>.1</w:t>
      </w:r>
      <w:r w:rsidRPr="000A0A5F">
        <w:rPr>
          <w:noProof/>
        </w:rPr>
        <w:tab/>
      </w:r>
      <w:r w:rsidRPr="000A0A5F">
        <w:t>Notification via POST</w:t>
      </w:r>
      <w:bookmarkEnd w:id="5850"/>
      <w:bookmarkEnd w:id="5851"/>
      <w:bookmarkEnd w:id="5852"/>
      <w:bookmarkEnd w:id="5853"/>
      <w:bookmarkEnd w:id="5854"/>
      <w:bookmarkEnd w:id="5855"/>
    </w:p>
    <w:p w:rsidR="00CB0DD7" w:rsidRPr="000A0A5F" w:rsidRDefault="00CB0DD7">
      <w:pPr>
        <w:rPr>
          <w:lang w:eastAsia="zh-CN"/>
        </w:rPr>
      </w:pPr>
      <w:r w:rsidRPr="000A0A5F">
        <w:rPr>
          <w:rFonts w:hint="eastAsia"/>
          <w:lang w:eastAsia="zh-CN"/>
        </w:rPr>
        <w:t xml:space="preserve">To report the </w:t>
      </w:r>
      <w:r w:rsidRPr="000A0A5F">
        <w:rPr>
          <w:lang w:eastAsia="zh-CN"/>
        </w:rPr>
        <w:t>status of the delivery trigger status to the SCS/AS, the SCEF shall use the HTTP POST method on the notification point as follows:</w:t>
      </w:r>
    </w:p>
    <w:p w:rsidR="00CB0DD7" w:rsidRPr="000A0A5F" w:rsidRDefault="00CB0DD7">
      <w:pPr>
        <w:ind w:firstLine="284"/>
        <w:rPr>
          <w:lang w:eastAsia="zh-CN"/>
        </w:rPr>
      </w:pPr>
      <w:r w:rsidRPr="000A0A5F">
        <w:t>-</w:t>
      </w:r>
      <w:r w:rsidRPr="000A0A5F">
        <w:tab/>
        <w:t>the body of the message is encoded in JSON format</w:t>
      </w:r>
      <w:r w:rsidRPr="000A0A5F">
        <w:rPr>
          <w:rFonts w:hint="eastAsia"/>
          <w:lang w:eastAsia="zh-CN"/>
        </w:rPr>
        <w:t xml:space="preserve"> with the data structure defined in table</w:t>
      </w:r>
      <w:r w:rsidRPr="000A0A5F">
        <w:rPr>
          <w:rFonts w:ascii="Segoe UI Symbol" w:hAnsi="Segoe UI Symbol"/>
          <w:lang w:val="en-US" w:eastAsia="zh-CN"/>
        </w:rPr>
        <w:t> </w:t>
      </w:r>
      <w:r w:rsidRPr="000A0A5F">
        <w:rPr>
          <w:rFonts w:hint="eastAsia"/>
          <w:lang w:eastAsia="zh-CN"/>
        </w:rPr>
        <w:t>5.</w:t>
      </w:r>
      <w:r w:rsidRPr="000A0A5F">
        <w:rPr>
          <w:lang w:eastAsia="zh-CN"/>
        </w:rPr>
        <w:t>8</w:t>
      </w:r>
      <w:r w:rsidRPr="000A0A5F">
        <w:rPr>
          <w:rFonts w:hint="eastAsia"/>
          <w:lang w:eastAsia="zh-CN"/>
        </w:rPr>
        <w:t>.</w:t>
      </w:r>
      <w:r w:rsidRPr="000A0A5F">
        <w:rPr>
          <w:lang w:eastAsia="zh-CN"/>
        </w:rPr>
        <w:t>2</w:t>
      </w:r>
      <w:r w:rsidRPr="000A0A5F">
        <w:rPr>
          <w:rFonts w:hint="eastAsia"/>
          <w:lang w:eastAsia="zh-CN"/>
        </w:rPr>
        <w:t>.</w:t>
      </w:r>
      <w:r w:rsidRPr="000A0A5F">
        <w:rPr>
          <w:lang w:eastAsia="zh-CN"/>
        </w:rPr>
        <w:t>1</w:t>
      </w:r>
      <w:r w:rsidRPr="000A0A5F">
        <w:rPr>
          <w:rFonts w:hint="eastAsia"/>
          <w:lang w:eastAsia="zh-CN"/>
        </w:rPr>
        <w:t>.</w:t>
      </w:r>
      <w:r w:rsidRPr="000A0A5F">
        <w:rPr>
          <w:lang w:eastAsia="zh-CN"/>
        </w:rPr>
        <w:t>1.4</w:t>
      </w:r>
      <w:r w:rsidRPr="000A0A5F">
        <w:rPr>
          <w:rFonts w:hint="eastAsia"/>
          <w:lang w:eastAsia="zh-CN"/>
        </w:rPr>
        <w:t>-1.</w:t>
      </w:r>
    </w:p>
    <w:p w:rsidR="00CB0DD7" w:rsidRPr="000A0A5F" w:rsidRDefault="00CB0DD7">
      <w:pPr>
        <w:rPr>
          <w:noProof/>
        </w:rPr>
      </w:pPr>
      <w:r w:rsidRPr="000A0A5F">
        <w:rPr>
          <w:noProof/>
        </w:rPr>
        <w:t>This method shall support the request data structures specified in table </w:t>
      </w:r>
      <w:r w:rsidRPr="000A0A5F">
        <w:t>5.8.2.</w:t>
      </w:r>
      <w:r w:rsidR="00790FC9" w:rsidRPr="000A0A5F">
        <w:t>2A</w:t>
      </w:r>
      <w:r w:rsidRPr="000A0A5F">
        <w:t>.2</w:t>
      </w:r>
      <w:r w:rsidRPr="000A0A5F">
        <w:rPr>
          <w:noProof/>
        </w:rPr>
        <w:t>.3.1-1 and the response data structures and response codes specified in table </w:t>
      </w:r>
      <w:r w:rsidRPr="000A0A5F">
        <w:t>5.8.2.</w:t>
      </w:r>
      <w:r w:rsidR="00790FC9" w:rsidRPr="000A0A5F">
        <w:t>2A</w:t>
      </w:r>
      <w:r w:rsidRPr="000A0A5F">
        <w:t>.2</w:t>
      </w:r>
      <w:r w:rsidRPr="000A0A5F">
        <w:rPr>
          <w:noProof/>
        </w:rPr>
        <w:t>.3.1-2.</w:t>
      </w:r>
    </w:p>
    <w:p w:rsidR="00CB0DD7" w:rsidRPr="000A0A5F" w:rsidRDefault="00CB0DD7">
      <w:pPr>
        <w:pStyle w:val="TH"/>
        <w:rPr>
          <w:noProof/>
        </w:rPr>
      </w:pPr>
      <w:r w:rsidRPr="000A0A5F">
        <w:rPr>
          <w:noProof/>
        </w:rPr>
        <w:t>Table </w:t>
      </w:r>
      <w:r w:rsidRPr="000A0A5F">
        <w:t>5.8.2.</w:t>
      </w:r>
      <w:r w:rsidR="00790FC9" w:rsidRPr="000A0A5F">
        <w:t>2A</w:t>
      </w:r>
      <w:r w:rsidRPr="000A0A5F">
        <w:t>.2</w:t>
      </w:r>
      <w:r w:rsidRPr="000A0A5F">
        <w:rPr>
          <w:noProof/>
        </w:rPr>
        <w:t>.3.1-1: Data structures supported by the POST Request Body</w:t>
      </w:r>
    </w:p>
    <w:tbl>
      <w:tblPr>
        <w:tblW w:w="9670" w:type="dxa"/>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3340"/>
        <w:gridCol w:w="1170"/>
        <w:gridCol w:w="5160"/>
      </w:tblGrid>
      <w:tr w:rsidR="00CB0DD7" w:rsidRPr="000A0A5F" w:rsidTr="00846044">
        <w:trPr>
          <w:jc w:val="center"/>
        </w:trPr>
        <w:tc>
          <w:tcPr>
            <w:tcW w:w="3340" w:type="dxa"/>
            <w:tcBorders>
              <w:bottom w:val="single" w:sz="6" w:space="0" w:color="auto"/>
            </w:tcBorders>
            <w:shd w:val="clear" w:color="auto" w:fill="C0C0C0"/>
            <w:hideMark/>
          </w:tcPr>
          <w:p w:rsidR="00CB0DD7" w:rsidRPr="000A0A5F" w:rsidRDefault="00CB0DD7">
            <w:pPr>
              <w:pStyle w:val="TAH"/>
              <w:rPr>
                <w:noProof/>
              </w:rPr>
            </w:pPr>
            <w:r w:rsidRPr="000A0A5F">
              <w:rPr>
                <w:noProof/>
              </w:rPr>
              <w:t>Data type</w:t>
            </w:r>
          </w:p>
        </w:tc>
        <w:tc>
          <w:tcPr>
            <w:tcW w:w="1170" w:type="dxa"/>
            <w:tcBorders>
              <w:bottom w:val="single" w:sz="6" w:space="0" w:color="auto"/>
            </w:tcBorders>
            <w:shd w:val="clear" w:color="auto" w:fill="C0C0C0"/>
            <w:hideMark/>
          </w:tcPr>
          <w:p w:rsidR="00CB0DD7" w:rsidRPr="000A0A5F" w:rsidRDefault="00CB0DD7">
            <w:pPr>
              <w:pStyle w:val="TAH"/>
              <w:rPr>
                <w:noProof/>
              </w:rPr>
            </w:pPr>
            <w:r w:rsidRPr="000A0A5F">
              <w:rPr>
                <w:noProof/>
              </w:rPr>
              <w:t>Cardinality</w:t>
            </w:r>
          </w:p>
        </w:tc>
        <w:tc>
          <w:tcPr>
            <w:tcW w:w="5160" w:type="dxa"/>
            <w:tcBorders>
              <w:bottom w:val="single" w:sz="6" w:space="0" w:color="auto"/>
            </w:tcBorders>
            <w:shd w:val="clear" w:color="auto" w:fill="C0C0C0"/>
            <w:vAlign w:val="center"/>
            <w:hideMark/>
          </w:tcPr>
          <w:p w:rsidR="00CB0DD7" w:rsidRPr="000A0A5F" w:rsidRDefault="00CB0DD7">
            <w:pPr>
              <w:pStyle w:val="TAH"/>
              <w:rPr>
                <w:noProof/>
              </w:rPr>
            </w:pPr>
            <w:r w:rsidRPr="000A0A5F">
              <w:rPr>
                <w:noProof/>
              </w:rPr>
              <w:t>Description</w:t>
            </w:r>
          </w:p>
        </w:tc>
      </w:tr>
      <w:tr w:rsidR="00CB0DD7" w:rsidRPr="000A0A5F" w:rsidTr="00846044">
        <w:trPr>
          <w:jc w:val="center"/>
        </w:trPr>
        <w:tc>
          <w:tcPr>
            <w:tcW w:w="3340" w:type="dxa"/>
            <w:tcBorders>
              <w:top w:val="single" w:sz="6" w:space="0" w:color="auto"/>
            </w:tcBorders>
          </w:tcPr>
          <w:p w:rsidR="00CB0DD7" w:rsidRPr="000A0A5F" w:rsidRDefault="00CB0DD7">
            <w:pPr>
              <w:pStyle w:val="TAL"/>
              <w:rPr>
                <w:noProof/>
              </w:rPr>
            </w:pPr>
            <w:r w:rsidRPr="000A0A5F">
              <w:t>GMDByMb2Notification</w:t>
            </w:r>
          </w:p>
        </w:tc>
        <w:tc>
          <w:tcPr>
            <w:tcW w:w="1170" w:type="dxa"/>
            <w:tcBorders>
              <w:top w:val="single" w:sz="6" w:space="0" w:color="auto"/>
            </w:tcBorders>
          </w:tcPr>
          <w:p w:rsidR="00CB0DD7" w:rsidRPr="000A0A5F" w:rsidRDefault="00CB0DD7">
            <w:pPr>
              <w:pStyle w:val="TAC"/>
              <w:rPr>
                <w:noProof/>
                <w:lang w:eastAsia="zh-CN"/>
              </w:rPr>
            </w:pPr>
            <w:r w:rsidRPr="000A0A5F">
              <w:t>1</w:t>
            </w:r>
          </w:p>
        </w:tc>
        <w:tc>
          <w:tcPr>
            <w:tcW w:w="5160" w:type="dxa"/>
            <w:tcBorders>
              <w:top w:val="single" w:sz="6" w:space="0" w:color="auto"/>
            </w:tcBorders>
          </w:tcPr>
          <w:p w:rsidR="00CB0DD7" w:rsidRPr="000A0A5F" w:rsidRDefault="00CB0DD7">
            <w:pPr>
              <w:pStyle w:val="TAL"/>
              <w:rPr>
                <w:noProof/>
              </w:rPr>
            </w:pPr>
            <w:r w:rsidRPr="000A0A5F">
              <w:rPr>
                <w:rFonts w:hint="eastAsia"/>
                <w:lang w:eastAsia="zh-CN"/>
              </w:rPr>
              <w:t xml:space="preserve">The </w:t>
            </w:r>
            <w:r w:rsidRPr="000A0A5F">
              <w:rPr>
                <w:lang w:eastAsia="zh-CN"/>
              </w:rPr>
              <w:t xml:space="preserve">delivery </w:t>
            </w:r>
            <w:r w:rsidRPr="000A0A5F">
              <w:rPr>
                <w:rFonts w:hint="eastAsia"/>
                <w:lang w:eastAsia="zh-CN"/>
              </w:rPr>
              <w:t>status notification.</w:t>
            </w:r>
          </w:p>
        </w:tc>
      </w:tr>
    </w:tbl>
    <w:p w:rsidR="00CB0DD7" w:rsidRPr="000A0A5F" w:rsidRDefault="00CB0DD7">
      <w:pPr>
        <w:rPr>
          <w:noProof/>
        </w:rPr>
      </w:pPr>
    </w:p>
    <w:p w:rsidR="00CB0DD7" w:rsidRPr="000A0A5F" w:rsidRDefault="00CB0DD7">
      <w:pPr>
        <w:pStyle w:val="TH"/>
        <w:rPr>
          <w:noProof/>
        </w:rPr>
      </w:pPr>
      <w:r w:rsidRPr="000A0A5F">
        <w:rPr>
          <w:noProof/>
        </w:rPr>
        <w:t>Table </w:t>
      </w:r>
      <w:r w:rsidRPr="000A0A5F">
        <w:t>5.8.2.</w:t>
      </w:r>
      <w:r w:rsidR="00790FC9" w:rsidRPr="000A0A5F">
        <w:t>2A</w:t>
      </w:r>
      <w:r w:rsidRPr="000A0A5F">
        <w:t>.2</w:t>
      </w:r>
      <w:r w:rsidRPr="000A0A5F">
        <w:rPr>
          <w:noProof/>
        </w:rPr>
        <w:t>.3.1-2: Data structures supported by the POST Response Body</w:t>
      </w:r>
    </w:p>
    <w:tbl>
      <w:tblPr>
        <w:tblW w:w="961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293"/>
        <w:gridCol w:w="1259"/>
        <w:gridCol w:w="1441"/>
        <w:gridCol w:w="4619"/>
      </w:tblGrid>
      <w:tr w:rsidR="00CB0DD7" w:rsidRPr="000A0A5F" w:rsidTr="00FF0AF8">
        <w:trPr>
          <w:jc w:val="center"/>
        </w:trPr>
        <w:tc>
          <w:tcPr>
            <w:tcW w:w="2293" w:type="dxa"/>
            <w:shd w:val="clear" w:color="auto" w:fill="C0C0C0"/>
            <w:hideMark/>
          </w:tcPr>
          <w:p w:rsidR="00CB0DD7" w:rsidRPr="000A0A5F" w:rsidRDefault="00CB0DD7">
            <w:pPr>
              <w:pStyle w:val="TAH"/>
              <w:rPr>
                <w:noProof/>
              </w:rPr>
            </w:pPr>
            <w:r w:rsidRPr="000A0A5F">
              <w:rPr>
                <w:noProof/>
              </w:rPr>
              <w:t>Data type</w:t>
            </w:r>
          </w:p>
        </w:tc>
        <w:tc>
          <w:tcPr>
            <w:tcW w:w="1259" w:type="dxa"/>
            <w:shd w:val="clear" w:color="auto" w:fill="C0C0C0"/>
            <w:hideMark/>
          </w:tcPr>
          <w:p w:rsidR="00CB0DD7" w:rsidRPr="000A0A5F" w:rsidRDefault="00CB0DD7">
            <w:pPr>
              <w:pStyle w:val="TAH"/>
              <w:rPr>
                <w:noProof/>
              </w:rPr>
            </w:pPr>
            <w:r w:rsidRPr="000A0A5F">
              <w:rPr>
                <w:noProof/>
              </w:rPr>
              <w:t>Cardinality</w:t>
            </w:r>
          </w:p>
        </w:tc>
        <w:tc>
          <w:tcPr>
            <w:tcW w:w="1441" w:type="dxa"/>
            <w:shd w:val="clear" w:color="auto" w:fill="C0C0C0"/>
            <w:hideMark/>
          </w:tcPr>
          <w:p w:rsidR="00CB0DD7" w:rsidRPr="000A0A5F" w:rsidRDefault="00CB0DD7">
            <w:pPr>
              <w:pStyle w:val="TAH"/>
              <w:rPr>
                <w:noProof/>
              </w:rPr>
            </w:pPr>
            <w:r w:rsidRPr="000A0A5F">
              <w:rPr>
                <w:noProof/>
              </w:rPr>
              <w:t>Response codes</w:t>
            </w:r>
          </w:p>
        </w:tc>
        <w:tc>
          <w:tcPr>
            <w:tcW w:w="4619" w:type="dxa"/>
            <w:shd w:val="clear" w:color="auto" w:fill="C0C0C0"/>
            <w:hideMark/>
          </w:tcPr>
          <w:p w:rsidR="00CB0DD7" w:rsidRPr="000A0A5F" w:rsidRDefault="00CB0DD7">
            <w:pPr>
              <w:pStyle w:val="TAH"/>
              <w:rPr>
                <w:noProof/>
              </w:rPr>
            </w:pPr>
            <w:r w:rsidRPr="000A0A5F">
              <w:rPr>
                <w:noProof/>
              </w:rPr>
              <w:t>Description</w:t>
            </w:r>
          </w:p>
        </w:tc>
      </w:tr>
      <w:tr w:rsidR="00CB0DD7" w:rsidRPr="000A0A5F" w:rsidTr="00FF0AF8">
        <w:trPr>
          <w:jc w:val="center"/>
        </w:trPr>
        <w:tc>
          <w:tcPr>
            <w:tcW w:w="2293" w:type="dxa"/>
          </w:tcPr>
          <w:p w:rsidR="00CB0DD7" w:rsidRPr="000A0A5F" w:rsidRDefault="00CB0DD7">
            <w:pPr>
              <w:pStyle w:val="TAL"/>
              <w:rPr>
                <w:noProof/>
              </w:rPr>
            </w:pPr>
            <w:r w:rsidRPr="000A0A5F">
              <w:t>Acknowledgement</w:t>
            </w:r>
          </w:p>
        </w:tc>
        <w:tc>
          <w:tcPr>
            <w:tcW w:w="1259" w:type="dxa"/>
          </w:tcPr>
          <w:p w:rsidR="00CB0DD7" w:rsidRPr="000A0A5F" w:rsidRDefault="00CB0DD7">
            <w:pPr>
              <w:pStyle w:val="TAC"/>
              <w:rPr>
                <w:noProof/>
              </w:rPr>
            </w:pPr>
            <w:r w:rsidRPr="000A0A5F">
              <w:rPr>
                <w:rFonts w:hint="eastAsia"/>
                <w:lang w:eastAsia="zh-CN"/>
              </w:rPr>
              <w:t>1</w:t>
            </w:r>
          </w:p>
        </w:tc>
        <w:tc>
          <w:tcPr>
            <w:tcW w:w="1441" w:type="dxa"/>
          </w:tcPr>
          <w:p w:rsidR="00CB0DD7" w:rsidRPr="000A0A5F" w:rsidRDefault="00CB0DD7">
            <w:pPr>
              <w:pStyle w:val="TAL"/>
              <w:rPr>
                <w:noProof/>
              </w:rPr>
            </w:pPr>
            <w:r w:rsidRPr="000A0A5F">
              <w:t>20</w:t>
            </w:r>
            <w:r w:rsidRPr="000A0A5F">
              <w:rPr>
                <w:rFonts w:hint="eastAsia"/>
                <w:lang w:eastAsia="zh-CN"/>
              </w:rPr>
              <w:t>0</w:t>
            </w:r>
            <w:r w:rsidRPr="000A0A5F">
              <w:t xml:space="preserve"> </w:t>
            </w:r>
            <w:r w:rsidRPr="000A0A5F">
              <w:rPr>
                <w:rFonts w:hint="eastAsia"/>
                <w:lang w:eastAsia="zh-CN"/>
              </w:rPr>
              <w:t>OK</w:t>
            </w:r>
          </w:p>
        </w:tc>
        <w:tc>
          <w:tcPr>
            <w:tcW w:w="4619" w:type="dxa"/>
          </w:tcPr>
          <w:p w:rsidR="00CB0DD7" w:rsidRPr="000A0A5F" w:rsidRDefault="00CB0DD7">
            <w:pPr>
              <w:pStyle w:val="TAL"/>
              <w:rPr>
                <w:noProof/>
              </w:rPr>
            </w:pPr>
            <w:r w:rsidRPr="000A0A5F">
              <w:t xml:space="preserve">The </w:t>
            </w:r>
            <w:r w:rsidRPr="000A0A5F">
              <w:rPr>
                <w:rFonts w:hint="eastAsia"/>
                <w:lang w:eastAsia="zh-CN"/>
              </w:rPr>
              <w:t>successful acknowledgement of the notification</w:t>
            </w:r>
            <w:r w:rsidRPr="000A0A5F">
              <w:rPr>
                <w:lang w:eastAsia="zh-CN"/>
              </w:rPr>
              <w:t xml:space="preserve"> with a body.</w:t>
            </w:r>
          </w:p>
        </w:tc>
      </w:tr>
      <w:tr w:rsidR="00CB0DD7" w:rsidRPr="000A0A5F" w:rsidTr="00FF0AF8">
        <w:trPr>
          <w:jc w:val="center"/>
        </w:trPr>
        <w:tc>
          <w:tcPr>
            <w:tcW w:w="2293" w:type="dxa"/>
          </w:tcPr>
          <w:p w:rsidR="00CB0DD7" w:rsidRPr="000A0A5F" w:rsidRDefault="00CB0DD7">
            <w:pPr>
              <w:pStyle w:val="TAL"/>
            </w:pPr>
            <w:r w:rsidRPr="000A0A5F">
              <w:t>(None)</w:t>
            </w:r>
          </w:p>
        </w:tc>
        <w:tc>
          <w:tcPr>
            <w:tcW w:w="1259" w:type="dxa"/>
          </w:tcPr>
          <w:p w:rsidR="00CB0DD7" w:rsidRPr="000A0A5F" w:rsidRDefault="00CB0DD7">
            <w:pPr>
              <w:pStyle w:val="TAC"/>
              <w:rPr>
                <w:noProof/>
              </w:rPr>
            </w:pPr>
          </w:p>
        </w:tc>
        <w:tc>
          <w:tcPr>
            <w:tcW w:w="1441" w:type="dxa"/>
          </w:tcPr>
          <w:p w:rsidR="00CB0DD7" w:rsidRPr="000A0A5F" w:rsidRDefault="00CB0DD7">
            <w:pPr>
              <w:pStyle w:val="TAL"/>
            </w:pPr>
            <w:r w:rsidRPr="000A0A5F">
              <w:t>20</w:t>
            </w:r>
            <w:r w:rsidRPr="000A0A5F">
              <w:rPr>
                <w:lang w:eastAsia="zh-CN"/>
              </w:rPr>
              <w:t>4 No Content</w:t>
            </w:r>
          </w:p>
        </w:tc>
        <w:tc>
          <w:tcPr>
            <w:tcW w:w="4619" w:type="dxa"/>
          </w:tcPr>
          <w:p w:rsidR="00CB0DD7" w:rsidRPr="000A0A5F" w:rsidRDefault="00CB0DD7">
            <w:pPr>
              <w:pStyle w:val="TAL"/>
            </w:pPr>
            <w:r w:rsidRPr="000A0A5F">
              <w:t xml:space="preserve">The </w:t>
            </w:r>
            <w:r w:rsidRPr="000A0A5F">
              <w:rPr>
                <w:rFonts w:hint="eastAsia"/>
                <w:lang w:eastAsia="zh-CN"/>
              </w:rPr>
              <w:t>successful acknowledgement of the notification without a body.</w:t>
            </w:r>
          </w:p>
        </w:tc>
      </w:tr>
      <w:tr w:rsidR="00CB0DD7" w:rsidRPr="000A0A5F" w:rsidTr="00FF0AF8">
        <w:trPr>
          <w:jc w:val="center"/>
        </w:trPr>
        <w:tc>
          <w:tcPr>
            <w:tcW w:w="2293" w:type="dxa"/>
          </w:tcPr>
          <w:p w:rsidR="00CB0DD7" w:rsidRPr="000A0A5F" w:rsidRDefault="00CB0DD7">
            <w:pPr>
              <w:pStyle w:val="TAL"/>
            </w:pPr>
            <w:r w:rsidRPr="000A0A5F">
              <w:t>none</w:t>
            </w:r>
          </w:p>
        </w:tc>
        <w:tc>
          <w:tcPr>
            <w:tcW w:w="1259" w:type="dxa"/>
          </w:tcPr>
          <w:p w:rsidR="00CB0DD7" w:rsidRPr="000A0A5F" w:rsidRDefault="00CB0DD7">
            <w:pPr>
              <w:pStyle w:val="TAC"/>
              <w:rPr>
                <w:noProof/>
              </w:rPr>
            </w:pPr>
          </w:p>
        </w:tc>
        <w:tc>
          <w:tcPr>
            <w:tcW w:w="1441" w:type="dxa"/>
          </w:tcPr>
          <w:p w:rsidR="00CB0DD7" w:rsidRPr="000A0A5F" w:rsidRDefault="00CB0DD7">
            <w:pPr>
              <w:pStyle w:val="TAL"/>
            </w:pPr>
            <w:r w:rsidRPr="000A0A5F">
              <w:t>307 Temporary Redirect</w:t>
            </w:r>
          </w:p>
        </w:tc>
        <w:tc>
          <w:tcPr>
            <w:tcW w:w="4619" w:type="dxa"/>
          </w:tcPr>
          <w:p w:rsidR="00CB0DD7" w:rsidRPr="000A0A5F" w:rsidRDefault="00CB0DD7">
            <w:pPr>
              <w:pStyle w:val="TAL"/>
            </w:pPr>
            <w:r w:rsidRPr="000A0A5F">
              <w:t>Temporary redirection, during notification. The response shall include a Location header field containing an alternative URI representing the end point of an alternative SCS/AS where the notification should be sent.</w:t>
            </w:r>
          </w:p>
          <w:p w:rsidR="00CB0DD7" w:rsidRPr="000A0A5F" w:rsidRDefault="00CB0DD7">
            <w:pPr>
              <w:pStyle w:val="TAL"/>
            </w:pPr>
            <w:r w:rsidRPr="000A0A5F">
              <w:t>Redirection handling is described in clause 5.2.10.</w:t>
            </w:r>
          </w:p>
        </w:tc>
      </w:tr>
      <w:tr w:rsidR="00CB0DD7" w:rsidRPr="000A0A5F" w:rsidTr="00FF0AF8">
        <w:trPr>
          <w:jc w:val="center"/>
        </w:trPr>
        <w:tc>
          <w:tcPr>
            <w:tcW w:w="2293" w:type="dxa"/>
          </w:tcPr>
          <w:p w:rsidR="00CB0DD7" w:rsidRPr="000A0A5F" w:rsidRDefault="00CB0DD7">
            <w:pPr>
              <w:pStyle w:val="TAL"/>
            </w:pPr>
            <w:r w:rsidRPr="000A0A5F">
              <w:t>none</w:t>
            </w:r>
          </w:p>
        </w:tc>
        <w:tc>
          <w:tcPr>
            <w:tcW w:w="1259" w:type="dxa"/>
          </w:tcPr>
          <w:p w:rsidR="00CB0DD7" w:rsidRPr="000A0A5F" w:rsidRDefault="00CB0DD7">
            <w:pPr>
              <w:pStyle w:val="TAC"/>
              <w:rPr>
                <w:noProof/>
              </w:rPr>
            </w:pPr>
          </w:p>
        </w:tc>
        <w:tc>
          <w:tcPr>
            <w:tcW w:w="1441" w:type="dxa"/>
          </w:tcPr>
          <w:p w:rsidR="00CB0DD7" w:rsidRPr="000A0A5F" w:rsidRDefault="00CB0DD7">
            <w:pPr>
              <w:pStyle w:val="TAL"/>
            </w:pPr>
            <w:r w:rsidRPr="000A0A5F">
              <w:t>308 Permanent Redirect</w:t>
            </w:r>
          </w:p>
        </w:tc>
        <w:tc>
          <w:tcPr>
            <w:tcW w:w="4619" w:type="dxa"/>
          </w:tcPr>
          <w:p w:rsidR="00CB0DD7" w:rsidRPr="000A0A5F" w:rsidRDefault="00CB0DD7">
            <w:pPr>
              <w:pStyle w:val="TAL"/>
            </w:pPr>
            <w:r w:rsidRPr="000A0A5F">
              <w:t>Permanent redirection, during notification. The response shall include a Location header field containing an alternative URI representing the end point of an alternative SCS/AS where the notification should be sent.</w:t>
            </w:r>
          </w:p>
          <w:p w:rsidR="00CB0DD7" w:rsidRPr="000A0A5F" w:rsidRDefault="00CB0DD7">
            <w:pPr>
              <w:pStyle w:val="TAL"/>
            </w:pPr>
            <w:r w:rsidRPr="000A0A5F">
              <w:t>Redirection handling is described in clause 5.2.10.</w:t>
            </w:r>
          </w:p>
        </w:tc>
      </w:tr>
      <w:tr w:rsidR="00CB0DD7" w:rsidRPr="000A0A5F" w:rsidTr="00FF0AF8">
        <w:trPr>
          <w:jc w:val="center"/>
        </w:trPr>
        <w:tc>
          <w:tcPr>
            <w:tcW w:w="9612" w:type="dxa"/>
            <w:gridSpan w:val="4"/>
          </w:tcPr>
          <w:p w:rsidR="00CB0DD7" w:rsidRPr="000A0A5F" w:rsidRDefault="00CB0DD7">
            <w:pPr>
              <w:pStyle w:val="TAN"/>
            </w:pPr>
            <w:r w:rsidRPr="000A0A5F">
              <w:t>NOTE:</w:t>
            </w:r>
            <w:r w:rsidRPr="000A0A5F">
              <w:tab/>
              <w:t>The mandatory HTTP error status codes for the POST method listed in table 5.2.6-1 also apply.</w:t>
            </w:r>
          </w:p>
        </w:tc>
      </w:tr>
    </w:tbl>
    <w:p w:rsidR="00CB0DD7" w:rsidRPr="000A0A5F" w:rsidRDefault="00CB0DD7">
      <w:pPr>
        <w:rPr>
          <w:noProof/>
        </w:rPr>
      </w:pPr>
    </w:p>
    <w:p w:rsidR="00CB0DD7" w:rsidRPr="000A0A5F" w:rsidRDefault="00CB0DD7">
      <w:pPr>
        <w:pStyle w:val="TH"/>
      </w:pPr>
      <w:r w:rsidRPr="000A0A5F">
        <w:t>Table</w:t>
      </w:r>
      <w:r w:rsidRPr="000A0A5F">
        <w:rPr>
          <w:noProof/>
        </w:rPr>
        <w:t> </w:t>
      </w:r>
      <w:r w:rsidRPr="000A0A5F">
        <w:t>5.8.2.</w:t>
      </w:r>
      <w:r w:rsidR="00790FC9" w:rsidRPr="000A0A5F">
        <w:t>2A</w:t>
      </w:r>
      <w:r w:rsidRPr="000A0A5F">
        <w:t>.2</w:t>
      </w:r>
      <w:r w:rsidRPr="000A0A5F">
        <w:rPr>
          <w:noProof/>
        </w:rPr>
        <w:t>.3.1</w:t>
      </w:r>
      <w:r w:rsidRPr="000A0A5F">
        <w:t>-3: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representing the end point of an alternative SCS/AS towards which the notification should be redirected.</w:t>
            </w:r>
          </w:p>
        </w:tc>
      </w:tr>
    </w:tbl>
    <w:p w:rsidR="00CB0DD7" w:rsidRPr="000A0A5F" w:rsidRDefault="00CB0DD7"/>
    <w:p w:rsidR="00CB0DD7" w:rsidRPr="000A0A5F" w:rsidRDefault="00CB0DD7">
      <w:pPr>
        <w:pStyle w:val="TH"/>
      </w:pPr>
      <w:r w:rsidRPr="000A0A5F">
        <w:t>Table</w:t>
      </w:r>
      <w:r w:rsidRPr="000A0A5F">
        <w:rPr>
          <w:noProof/>
        </w:rPr>
        <w:t> </w:t>
      </w:r>
      <w:r w:rsidRPr="000A0A5F">
        <w:t>5.8.2.</w:t>
      </w:r>
      <w:r w:rsidR="00790FC9" w:rsidRPr="000A0A5F">
        <w:t>2A</w:t>
      </w:r>
      <w:r w:rsidRPr="000A0A5F">
        <w:t>.2</w:t>
      </w:r>
      <w:r w:rsidRPr="000A0A5F">
        <w:rPr>
          <w:noProof/>
        </w:rPr>
        <w:t>.3.1</w:t>
      </w:r>
      <w:r w:rsidRPr="000A0A5F">
        <w:t>-4: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representing the end point of an alternative SCS/AS towards which the notification should be redirected.</w:t>
            </w:r>
          </w:p>
        </w:tc>
      </w:tr>
    </w:tbl>
    <w:p w:rsidR="00CB0DD7" w:rsidRPr="000A0A5F" w:rsidRDefault="00CB0DD7">
      <w:pPr>
        <w:rPr>
          <w:noProof/>
        </w:rPr>
      </w:pPr>
    </w:p>
    <w:p w:rsidR="00CB0DD7" w:rsidRPr="000A0A5F" w:rsidRDefault="00CB0DD7">
      <w:pPr>
        <w:pStyle w:val="Heading7"/>
        <w:rPr>
          <w:noProof/>
        </w:rPr>
      </w:pPr>
      <w:bookmarkStart w:id="5856" w:name="_Toc66360713"/>
      <w:bookmarkStart w:id="5857" w:name="_Toc68105218"/>
      <w:bookmarkStart w:id="5858" w:name="_Toc74755848"/>
      <w:bookmarkStart w:id="5859" w:name="_Toc105674723"/>
      <w:bookmarkStart w:id="5860" w:name="_Toc130502775"/>
      <w:bookmarkStart w:id="5861" w:name="_Toc153625562"/>
      <w:r w:rsidRPr="000A0A5F">
        <w:t>5.8.2.</w:t>
      </w:r>
      <w:r w:rsidR="00790FC9" w:rsidRPr="000A0A5F">
        <w:t>2A</w:t>
      </w:r>
      <w:r w:rsidRPr="000A0A5F">
        <w:t>.2.3</w:t>
      </w:r>
      <w:r w:rsidRPr="000A0A5F">
        <w:rPr>
          <w:noProof/>
        </w:rPr>
        <w:t>.2</w:t>
      </w:r>
      <w:r w:rsidRPr="000A0A5F">
        <w:rPr>
          <w:noProof/>
        </w:rPr>
        <w:tab/>
      </w:r>
      <w:r w:rsidRPr="000A0A5F">
        <w:t>Notification via Websocket</w:t>
      </w:r>
      <w:bookmarkEnd w:id="5856"/>
      <w:bookmarkEnd w:id="5857"/>
      <w:bookmarkEnd w:id="5858"/>
      <w:bookmarkEnd w:id="5859"/>
      <w:bookmarkEnd w:id="5860"/>
      <w:bookmarkEnd w:id="5861"/>
    </w:p>
    <w:p w:rsidR="00CB0DD7" w:rsidRPr="000A0A5F" w:rsidRDefault="00CB0DD7">
      <w:pPr>
        <w:rPr>
          <w:lang w:eastAsia="zh-CN"/>
        </w:rPr>
      </w:pPr>
      <w:r w:rsidRPr="000A0A5F">
        <w:t>If supported by both SCS/AS and SCEF and successfully negotiated</w:t>
      </w:r>
      <w:r w:rsidRPr="000A0A5F">
        <w:rPr>
          <w:lang w:eastAsia="zh-CN"/>
        </w:rPr>
        <w:t xml:space="preserve">, the </w:t>
      </w:r>
      <w:r w:rsidRPr="000A0A5F">
        <w:t>GMDByMb2Notification</w:t>
      </w:r>
      <w:r w:rsidRPr="000A0A5F">
        <w:rPr>
          <w:lang w:eastAsia="zh-CN"/>
        </w:rPr>
        <w:t xml:space="preserve"> may alternatively be delivered through the Websocket mechanism as defined in clause</w:t>
      </w:r>
      <w:r w:rsidR="000902D9" w:rsidRPr="000A0A5F">
        <w:rPr>
          <w:lang w:val="en-US" w:eastAsia="zh-CN"/>
        </w:rPr>
        <w:t> </w:t>
      </w:r>
      <w:r w:rsidRPr="000A0A5F">
        <w:rPr>
          <w:lang w:eastAsia="zh-CN"/>
        </w:rPr>
        <w:t>5.2.5.4.</w:t>
      </w:r>
    </w:p>
    <w:p w:rsidR="00CB0DD7" w:rsidRPr="000A0A5F" w:rsidRDefault="00CB0DD7">
      <w:pPr>
        <w:rPr>
          <w:lang w:eastAsia="zh-CN"/>
        </w:rPr>
      </w:pPr>
    </w:p>
    <w:p w:rsidR="00CB0DD7" w:rsidRPr="000A0A5F" w:rsidRDefault="00CB0DD7">
      <w:pPr>
        <w:pStyle w:val="Heading4"/>
      </w:pPr>
      <w:bookmarkStart w:id="5862" w:name="_Toc11247615"/>
      <w:bookmarkStart w:id="5863" w:name="_Toc27044754"/>
      <w:bookmarkStart w:id="5864" w:name="_Toc36033796"/>
      <w:bookmarkStart w:id="5865" w:name="_Toc45131942"/>
      <w:bookmarkStart w:id="5866" w:name="_Toc49776227"/>
      <w:bookmarkStart w:id="5867" w:name="_Toc51747147"/>
      <w:bookmarkStart w:id="5868" w:name="_Toc66360714"/>
      <w:bookmarkStart w:id="5869" w:name="_Toc68105219"/>
      <w:bookmarkStart w:id="5870" w:name="_Toc74755849"/>
      <w:bookmarkStart w:id="5871" w:name="_Toc105674724"/>
      <w:bookmarkStart w:id="5872" w:name="_Toc130502776"/>
      <w:bookmarkStart w:id="5873" w:name="_Toc153625563"/>
      <w:r w:rsidRPr="000A0A5F">
        <w:t>5.8.2.3</w:t>
      </w:r>
      <w:r w:rsidRPr="000A0A5F">
        <w:tab/>
        <w:t>Used Features</w:t>
      </w:r>
      <w:bookmarkEnd w:id="5862"/>
      <w:bookmarkEnd w:id="5863"/>
      <w:bookmarkEnd w:id="5864"/>
      <w:bookmarkEnd w:id="5865"/>
      <w:bookmarkEnd w:id="5866"/>
      <w:bookmarkEnd w:id="5867"/>
      <w:bookmarkEnd w:id="5868"/>
      <w:bookmarkEnd w:id="5869"/>
      <w:bookmarkEnd w:id="5870"/>
      <w:bookmarkEnd w:id="5871"/>
      <w:bookmarkEnd w:id="5872"/>
      <w:bookmarkEnd w:id="5873"/>
    </w:p>
    <w:p w:rsidR="00CB0DD7" w:rsidRPr="000A0A5F" w:rsidRDefault="00CB0DD7">
      <w:r w:rsidRPr="000A0A5F">
        <w:t>The table below defines the features applicable to the GMDviaMBMSbyMB2 API. Those features are negotiated as described in clause 5.2.7.</w:t>
      </w:r>
    </w:p>
    <w:p w:rsidR="00CB0DD7" w:rsidRPr="000A0A5F" w:rsidRDefault="002E466A">
      <w:pPr>
        <w:pStyle w:val="TH"/>
      </w:pPr>
      <w:r w:rsidRPr="000A0A5F">
        <w:t>Table </w:t>
      </w:r>
      <w:r w:rsidR="00CB0DD7" w:rsidRPr="000A0A5F">
        <w:t>5.8.2.3-1: Features used by GMDviaMBMSbyMB2 API</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49"/>
        <w:gridCol w:w="2057"/>
        <w:gridCol w:w="6851"/>
      </w:tblGrid>
      <w:tr w:rsidR="00CB0DD7" w:rsidRPr="000A0A5F" w:rsidTr="00FF0AF8">
        <w:trPr>
          <w:cantSplit/>
        </w:trPr>
        <w:tc>
          <w:tcPr>
            <w:tcW w:w="482" w:type="pct"/>
            <w:shd w:val="clear" w:color="auto" w:fill="C0C0C0"/>
          </w:tcPr>
          <w:p w:rsidR="00CB0DD7" w:rsidRPr="000A0A5F" w:rsidRDefault="00CB0DD7">
            <w:pPr>
              <w:pStyle w:val="TAH"/>
              <w:rPr>
                <w:rFonts w:eastAsia="Times New Roman"/>
              </w:rPr>
            </w:pPr>
            <w:r w:rsidRPr="000A0A5F">
              <w:t>Feature Number</w:t>
            </w:r>
          </w:p>
        </w:tc>
        <w:tc>
          <w:tcPr>
            <w:tcW w:w="1043" w:type="pct"/>
            <w:shd w:val="clear" w:color="auto" w:fill="C0C0C0"/>
          </w:tcPr>
          <w:p w:rsidR="00CB0DD7" w:rsidRPr="000A0A5F" w:rsidRDefault="00CB0DD7">
            <w:pPr>
              <w:pStyle w:val="TAH"/>
              <w:rPr>
                <w:rFonts w:eastAsia="Times New Roman"/>
              </w:rPr>
            </w:pPr>
            <w:r w:rsidRPr="000A0A5F">
              <w:rPr>
                <w:rFonts w:eastAsia="Times New Roman"/>
              </w:rPr>
              <w:t>Feature</w:t>
            </w:r>
          </w:p>
        </w:tc>
        <w:tc>
          <w:tcPr>
            <w:tcW w:w="3474" w:type="pct"/>
            <w:shd w:val="clear" w:color="auto" w:fill="C0C0C0"/>
          </w:tcPr>
          <w:p w:rsidR="00CB0DD7" w:rsidRPr="000A0A5F" w:rsidRDefault="00CB0DD7">
            <w:pPr>
              <w:pStyle w:val="TAH"/>
              <w:rPr>
                <w:lang w:eastAsia="ko-KR"/>
              </w:rPr>
            </w:pPr>
            <w:r w:rsidRPr="000A0A5F">
              <w:rPr>
                <w:rFonts w:eastAsia="Times New Roman"/>
              </w:rPr>
              <w:t>Description</w:t>
            </w:r>
          </w:p>
        </w:tc>
      </w:tr>
      <w:tr w:rsidR="00CB0DD7" w:rsidRPr="000A0A5F" w:rsidTr="00FF0AF8">
        <w:trPr>
          <w:cantSplit/>
        </w:trPr>
        <w:tc>
          <w:tcPr>
            <w:tcW w:w="482" w:type="pct"/>
          </w:tcPr>
          <w:p w:rsidR="00CB0DD7" w:rsidRPr="000A0A5F" w:rsidRDefault="00CB0DD7">
            <w:pPr>
              <w:pStyle w:val="TAC"/>
              <w:rPr>
                <w:lang w:eastAsia="zh-CN"/>
              </w:rPr>
            </w:pPr>
            <w:r w:rsidRPr="000A0A5F">
              <w:rPr>
                <w:lang w:eastAsia="zh-CN"/>
              </w:rPr>
              <w:t>1</w:t>
            </w:r>
          </w:p>
        </w:tc>
        <w:tc>
          <w:tcPr>
            <w:tcW w:w="1043" w:type="pct"/>
          </w:tcPr>
          <w:p w:rsidR="00CB0DD7" w:rsidRPr="000A0A5F" w:rsidRDefault="00CB0DD7">
            <w:pPr>
              <w:pStyle w:val="TAC"/>
              <w:rPr>
                <w:lang w:eastAsia="zh-CN"/>
              </w:rPr>
            </w:pPr>
            <w:r w:rsidRPr="000A0A5F">
              <w:rPr>
                <w:lang w:eastAsia="zh-CN"/>
              </w:rPr>
              <w:t>Notification_websocket</w:t>
            </w:r>
          </w:p>
        </w:tc>
        <w:tc>
          <w:tcPr>
            <w:tcW w:w="3474" w:type="pct"/>
          </w:tcPr>
          <w:p w:rsidR="00CB0DD7" w:rsidRPr="000A0A5F" w:rsidRDefault="00CB0DD7">
            <w:pPr>
              <w:pStyle w:val="TAL"/>
              <w:rPr>
                <w:lang w:eastAsia="zh-CN"/>
              </w:rPr>
            </w:pPr>
            <w:r w:rsidRPr="000A0A5F">
              <w:rPr>
                <w:rFonts w:cs="Arial"/>
                <w:szCs w:val="18"/>
                <w:lang w:eastAsia="zh-CN"/>
              </w:rPr>
              <w:t>The delivery of notifications over Websocket is supported according to clause</w:t>
            </w:r>
            <w:r w:rsidRPr="000A0A5F">
              <w:rPr>
                <w:rFonts w:cs="Arial"/>
                <w:szCs w:val="18"/>
                <w:lang w:val="en-US" w:eastAsia="zh-CN"/>
              </w:rPr>
              <w:t> </w:t>
            </w:r>
            <w:r w:rsidRPr="000A0A5F">
              <w:rPr>
                <w:rFonts w:cs="Arial"/>
                <w:szCs w:val="18"/>
                <w:lang w:eastAsia="zh-CN"/>
              </w:rPr>
              <w:t xml:space="preserve">5.2.5.4. This feature requires that the </w:t>
            </w:r>
            <w:r w:rsidRPr="000A0A5F">
              <w:t>Notification_test_event featute is also supported.</w:t>
            </w:r>
          </w:p>
        </w:tc>
      </w:tr>
      <w:tr w:rsidR="00CB0DD7" w:rsidRPr="000A0A5F" w:rsidTr="00FF0AF8">
        <w:trPr>
          <w:cantSplit/>
        </w:trPr>
        <w:tc>
          <w:tcPr>
            <w:tcW w:w="482" w:type="pct"/>
          </w:tcPr>
          <w:p w:rsidR="00CB0DD7" w:rsidRPr="000A0A5F" w:rsidRDefault="00CB0DD7">
            <w:pPr>
              <w:pStyle w:val="TAC"/>
            </w:pPr>
            <w:r w:rsidRPr="000A0A5F">
              <w:t>2</w:t>
            </w:r>
          </w:p>
        </w:tc>
        <w:tc>
          <w:tcPr>
            <w:tcW w:w="1043" w:type="pct"/>
          </w:tcPr>
          <w:p w:rsidR="00CB0DD7" w:rsidRPr="000A0A5F" w:rsidRDefault="00CB0DD7">
            <w:pPr>
              <w:pStyle w:val="TAC"/>
              <w:rPr>
                <w:lang w:eastAsia="zh-CN"/>
              </w:rPr>
            </w:pPr>
            <w:r w:rsidRPr="000A0A5F">
              <w:t>Notification_test_event</w:t>
            </w:r>
          </w:p>
        </w:tc>
        <w:tc>
          <w:tcPr>
            <w:tcW w:w="3474" w:type="pct"/>
          </w:tcPr>
          <w:p w:rsidR="00CB0DD7" w:rsidRPr="000A0A5F" w:rsidRDefault="00CB0DD7">
            <w:pPr>
              <w:pStyle w:val="TAL"/>
              <w:rPr>
                <w:lang w:eastAsia="zh-CN"/>
              </w:rPr>
            </w:pPr>
            <w:r w:rsidRPr="000A0A5F">
              <w:rPr>
                <w:rFonts w:cs="Arial"/>
                <w:szCs w:val="18"/>
                <w:lang w:eastAsia="zh-CN"/>
              </w:rPr>
              <w:t>The testing of notification connection is supported according to clause</w:t>
            </w:r>
            <w:r w:rsidRPr="000A0A5F">
              <w:rPr>
                <w:rFonts w:cs="Arial"/>
                <w:szCs w:val="18"/>
                <w:lang w:val="en-US" w:eastAsia="zh-CN"/>
              </w:rPr>
              <w:t> </w:t>
            </w:r>
            <w:r w:rsidRPr="000A0A5F">
              <w:rPr>
                <w:rFonts w:cs="Arial"/>
                <w:szCs w:val="18"/>
                <w:lang w:eastAsia="zh-CN"/>
              </w:rPr>
              <w:t>5.2.5.3.</w:t>
            </w:r>
          </w:p>
        </w:tc>
      </w:tr>
      <w:tr w:rsidR="00CB0DD7" w:rsidRPr="000A0A5F" w:rsidTr="00FF0AF8">
        <w:tblPrEx>
          <w:tblLook w:val="04A0" w:firstRow="1" w:lastRow="0" w:firstColumn="1" w:lastColumn="0" w:noHBand="0" w:noVBand="1"/>
        </w:tblPrEx>
        <w:trPr>
          <w:cantSplit/>
        </w:trPr>
        <w:tc>
          <w:tcPr>
            <w:tcW w:w="5000" w:type="pct"/>
            <w:gridSpan w:val="3"/>
          </w:tcPr>
          <w:p w:rsidR="00CB0DD7" w:rsidRPr="000A0A5F" w:rsidRDefault="00CB0DD7">
            <w:pPr>
              <w:pStyle w:val="TAN"/>
              <w:rPr>
                <w:rFonts w:eastAsia="Times New Roman"/>
              </w:rPr>
            </w:pPr>
            <w:r w:rsidRPr="000A0A5F">
              <w:rPr>
                <w:rFonts w:eastAsia="Times New Roman"/>
              </w:rPr>
              <w:t>Feature:</w:t>
            </w:r>
            <w:r w:rsidRPr="000A0A5F">
              <w:rPr>
                <w:rFonts w:eastAsia="Times New Roman"/>
              </w:rPr>
              <w:tab/>
              <w:t>A short name that can be used to refer to the bit and to the feature, e.g. "</w:t>
            </w:r>
            <w:r w:rsidRPr="000A0A5F">
              <w:rPr>
                <w:rFonts w:hint="eastAsia"/>
                <w:lang w:eastAsia="zh-CN"/>
              </w:rPr>
              <w:t>Notification</w:t>
            </w:r>
            <w:r w:rsidRPr="000A0A5F">
              <w:rPr>
                <w:rFonts w:eastAsia="Times New Roman"/>
              </w:rPr>
              <w:t>".</w:t>
            </w:r>
          </w:p>
          <w:p w:rsidR="00CB0DD7" w:rsidRPr="000A0A5F" w:rsidRDefault="00CB0DD7">
            <w:pPr>
              <w:pStyle w:val="TAN"/>
              <w:rPr>
                <w:color w:val="000000"/>
                <w:lang w:eastAsia="zh-CN"/>
              </w:rPr>
            </w:pPr>
            <w:r w:rsidRPr="000A0A5F">
              <w:rPr>
                <w:rFonts w:eastAsia="Times New Roman"/>
              </w:rPr>
              <w:t>Description:</w:t>
            </w:r>
            <w:r w:rsidRPr="000A0A5F">
              <w:rPr>
                <w:rFonts w:eastAsia="Times New Roman"/>
              </w:rPr>
              <w:tab/>
              <w:t>A clear textual description of the feature.</w:t>
            </w:r>
          </w:p>
        </w:tc>
      </w:tr>
    </w:tbl>
    <w:p w:rsidR="00CB0DD7" w:rsidRPr="000A0A5F" w:rsidRDefault="00CB0DD7"/>
    <w:p w:rsidR="005248FF" w:rsidRPr="000A0A5F" w:rsidRDefault="005248FF" w:rsidP="005248FF">
      <w:pPr>
        <w:pStyle w:val="Heading4"/>
      </w:pPr>
      <w:bookmarkStart w:id="5874" w:name="_Toc130502777"/>
      <w:bookmarkStart w:id="5875" w:name="_Toc153625564"/>
      <w:r w:rsidRPr="000A0A5F">
        <w:t>5.8.2.4</w:t>
      </w:r>
      <w:r w:rsidRPr="000A0A5F">
        <w:tab/>
        <w:t>Error handling</w:t>
      </w:r>
      <w:bookmarkEnd w:id="5874"/>
      <w:bookmarkEnd w:id="5875"/>
    </w:p>
    <w:p w:rsidR="005248FF" w:rsidRPr="000A0A5F" w:rsidRDefault="005248FF" w:rsidP="005248FF">
      <w:pPr>
        <w:pStyle w:val="Heading5"/>
      </w:pPr>
      <w:bookmarkStart w:id="5876" w:name="_Toc130502778"/>
      <w:bookmarkStart w:id="5877" w:name="_Toc153625565"/>
      <w:r w:rsidRPr="000A0A5F">
        <w:t>5.8.2.4.1</w:t>
      </w:r>
      <w:r w:rsidRPr="000A0A5F">
        <w:tab/>
        <w:t>General</w:t>
      </w:r>
      <w:bookmarkEnd w:id="5876"/>
      <w:bookmarkEnd w:id="5877"/>
    </w:p>
    <w:p w:rsidR="005248FF" w:rsidRPr="000A0A5F" w:rsidRDefault="005248FF" w:rsidP="005248FF">
      <w:r w:rsidRPr="000A0A5F">
        <w:t>HTTP error handling shall be supported as specified in clause 5.2.6.</w:t>
      </w:r>
    </w:p>
    <w:p w:rsidR="005248FF" w:rsidRPr="000A0A5F" w:rsidRDefault="005248FF" w:rsidP="005248FF">
      <w:r w:rsidRPr="000A0A5F">
        <w:t>In addition, the requirements in the following clauses shall apply.</w:t>
      </w:r>
    </w:p>
    <w:p w:rsidR="005248FF" w:rsidRPr="000A0A5F" w:rsidRDefault="005248FF" w:rsidP="005248FF">
      <w:pPr>
        <w:pStyle w:val="Heading5"/>
      </w:pPr>
      <w:bookmarkStart w:id="5878" w:name="_Toc130502779"/>
      <w:bookmarkStart w:id="5879" w:name="_Toc153625566"/>
      <w:r w:rsidRPr="000A0A5F">
        <w:t>5.8.2.4.2</w:t>
      </w:r>
      <w:r w:rsidRPr="000A0A5F">
        <w:tab/>
        <w:t>Protocol Errors</w:t>
      </w:r>
      <w:bookmarkEnd w:id="5878"/>
      <w:bookmarkEnd w:id="5879"/>
    </w:p>
    <w:p w:rsidR="005248FF" w:rsidRPr="000A0A5F" w:rsidRDefault="005248FF" w:rsidP="005248FF">
      <w:r w:rsidRPr="000A0A5F">
        <w:rPr>
          <w:lang w:eastAsia="zh-CN"/>
        </w:rPr>
        <w:t xml:space="preserve">In this Release </w:t>
      </w:r>
      <w:r w:rsidRPr="000A0A5F">
        <w:t>of the specification, there are no additional protocol errors applicable for the GMDviaMBMSbyMB2 API.</w:t>
      </w:r>
    </w:p>
    <w:p w:rsidR="005248FF" w:rsidRPr="000A0A5F" w:rsidRDefault="005248FF" w:rsidP="005248FF">
      <w:pPr>
        <w:pStyle w:val="Heading5"/>
      </w:pPr>
      <w:bookmarkStart w:id="5880" w:name="_Toc130502780"/>
      <w:bookmarkStart w:id="5881" w:name="_Toc153625567"/>
      <w:r w:rsidRPr="000A0A5F">
        <w:t>5.8.2.4.3</w:t>
      </w:r>
      <w:r w:rsidRPr="000A0A5F">
        <w:tab/>
        <w:t>Application Errors</w:t>
      </w:r>
      <w:bookmarkEnd w:id="5880"/>
      <w:bookmarkEnd w:id="5881"/>
    </w:p>
    <w:p w:rsidR="005248FF" w:rsidRPr="000A0A5F" w:rsidRDefault="005248FF" w:rsidP="005248FF">
      <w:r w:rsidRPr="000A0A5F">
        <w:t>The application errors defined for GMDviaMBMSbyMB2 API are listed in table 5.8.2.4.3-1.</w:t>
      </w:r>
    </w:p>
    <w:p w:rsidR="005248FF" w:rsidRPr="000A0A5F" w:rsidRDefault="005248FF" w:rsidP="005248FF">
      <w:pPr>
        <w:pStyle w:val="TH"/>
      </w:pPr>
      <w:r w:rsidRPr="000A0A5F">
        <w:t>Table 5.8.2.4.3-1: Application errors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686"/>
        <w:gridCol w:w="1275"/>
        <w:gridCol w:w="3289"/>
        <w:gridCol w:w="2373"/>
      </w:tblGrid>
      <w:tr w:rsidR="005248FF" w:rsidRPr="000A0A5F" w:rsidTr="004C13CC">
        <w:trPr>
          <w:cantSplit/>
          <w:jc w:val="center"/>
        </w:trPr>
        <w:tc>
          <w:tcPr>
            <w:tcW w:w="2686" w:type="dxa"/>
            <w:shd w:val="clear" w:color="auto" w:fill="C0C0C0"/>
            <w:hideMark/>
          </w:tcPr>
          <w:p w:rsidR="005248FF" w:rsidRPr="000A0A5F" w:rsidRDefault="005248FF" w:rsidP="004C13CC">
            <w:pPr>
              <w:pStyle w:val="TAH"/>
            </w:pPr>
            <w:r w:rsidRPr="000A0A5F">
              <w:t>Application Error</w:t>
            </w:r>
          </w:p>
        </w:tc>
        <w:tc>
          <w:tcPr>
            <w:tcW w:w="1275" w:type="dxa"/>
            <w:shd w:val="clear" w:color="auto" w:fill="C0C0C0"/>
            <w:hideMark/>
          </w:tcPr>
          <w:p w:rsidR="005248FF" w:rsidRPr="000A0A5F" w:rsidRDefault="005248FF" w:rsidP="004C13CC">
            <w:pPr>
              <w:pStyle w:val="TAH"/>
            </w:pPr>
            <w:r w:rsidRPr="000A0A5F">
              <w:t>HTTP status code</w:t>
            </w:r>
          </w:p>
        </w:tc>
        <w:tc>
          <w:tcPr>
            <w:tcW w:w="3289" w:type="dxa"/>
            <w:shd w:val="clear" w:color="auto" w:fill="C0C0C0"/>
            <w:hideMark/>
          </w:tcPr>
          <w:p w:rsidR="005248FF" w:rsidRPr="000A0A5F" w:rsidRDefault="005248FF" w:rsidP="004C13CC">
            <w:pPr>
              <w:pStyle w:val="TAH"/>
            </w:pPr>
            <w:r w:rsidRPr="000A0A5F">
              <w:t>Description</w:t>
            </w:r>
          </w:p>
        </w:tc>
        <w:tc>
          <w:tcPr>
            <w:tcW w:w="2373" w:type="dxa"/>
            <w:shd w:val="clear" w:color="auto" w:fill="C0C0C0"/>
          </w:tcPr>
          <w:p w:rsidR="005248FF" w:rsidRPr="000A0A5F" w:rsidRDefault="005248FF" w:rsidP="004C13CC">
            <w:pPr>
              <w:pStyle w:val="TAH"/>
            </w:pPr>
            <w:r w:rsidRPr="000A0A5F">
              <w:t>Applicability</w:t>
            </w:r>
          </w:p>
        </w:tc>
      </w:tr>
      <w:tr w:rsidR="005248FF" w:rsidRPr="000A0A5F" w:rsidTr="004C13CC">
        <w:trPr>
          <w:cantSplit/>
          <w:jc w:val="center"/>
        </w:trPr>
        <w:tc>
          <w:tcPr>
            <w:tcW w:w="2686" w:type="dxa"/>
          </w:tcPr>
          <w:p w:rsidR="005248FF" w:rsidRPr="000A0A5F" w:rsidRDefault="005248FF" w:rsidP="004C13CC">
            <w:pPr>
              <w:pStyle w:val="TAL"/>
              <w:rPr>
                <w:lang w:eastAsia="zh-CN"/>
              </w:rPr>
            </w:pPr>
          </w:p>
        </w:tc>
        <w:tc>
          <w:tcPr>
            <w:tcW w:w="1275" w:type="dxa"/>
          </w:tcPr>
          <w:p w:rsidR="005248FF" w:rsidRPr="000A0A5F" w:rsidRDefault="005248FF" w:rsidP="004C13CC">
            <w:pPr>
              <w:pStyle w:val="TAL"/>
              <w:rPr>
                <w:lang w:eastAsia="zh-CN"/>
              </w:rPr>
            </w:pPr>
          </w:p>
        </w:tc>
        <w:tc>
          <w:tcPr>
            <w:tcW w:w="3289" w:type="dxa"/>
          </w:tcPr>
          <w:p w:rsidR="005248FF" w:rsidRPr="000A0A5F" w:rsidRDefault="005248FF" w:rsidP="004C13CC">
            <w:pPr>
              <w:pStyle w:val="TAL"/>
            </w:pPr>
          </w:p>
        </w:tc>
        <w:tc>
          <w:tcPr>
            <w:tcW w:w="2373" w:type="dxa"/>
          </w:tcPr>
          <w:p w:rsidR="005248FF" w:rsidRPr="000A0A5F" w:rsidRDefault="005248FF" w:rsidP="004C13CC">
            <w:pPr>
              <w:pStyle w:val="TAL"/>
            </w:pPr>
          </w:p>
        </w:tc>
      </w:tr>
    </w:tbl>
    <w:p w:rsidR="005248FF" w:rsidRPr="000A0A5F" w:rsidRDefault="005248FF"/>
    <w:p w:rsidR="00CB0DD7" w:rsidRPr="000A0A5F" w:rsidRDefault="00CB0DD7">
      <w:pPr>
        <w:pStyle w:val="Heading3"/>
      </w:pPr>
      <w:bookmarkStart w:id="5882" w:name="_Toc11247616"/>
      <w:bookmarkStart w:id="5883" w:name="_Toc27044755"/>
      <w:bookmarkStart w:id="5884" w:name="_Toc36033797"/>
      <w:bookmarkStart w:id="5885" w:name="_Toc45131943"/>
      <w:bookmarkStart w:id="5886" w:name="_Toc49776228"/>
      <w:bookmarkStart w:id="5887" w:name="_Toc51747148"/>
      <w:bookmarkStart w:id="5888" w:name="_Toc66360715"/>
      <w:bookmarkStart w:id="5889" w:name="_Toc68105220"/>
      <w:bookmarkStart w:id="5890" w:name="_Toc74755850"/>
      <w:bookmarkStart w:id="5891" w:name="_Toc105674725"/>
      <w:bookmarkStart w:id="5892" w:name="_Toc130502781"/>
      <w:bookmarkStart w:id="5893" w:name="_Toc153625568"/>
      <w:r w:rsidRPr="000A0A5F">
        <w:t>5.8.3</w:t>
      </w:r>
      <w:r w:rsidRPr="000A0A5F">
        <w:tab/>
        <w:t>GMDviaMBMSbyxMB API</w:t>
      </w:r>
      <w:bookmarkEnd w:id="5882"/>
      <w:bookmarkEnd w:id="5883"/>
      <w:bookmarkEnd w:id="5884"/>
      <w:bookmarkEnd w:id="5885"/>
      <w:bookmarkEnd w:id="5886"/>
      <w:bookmarkEnd w:id="5887"/>
      <w:bookmarkEnd w:id="5888"/>
      <w:bookmarkEnd w:id="5889"/>
      <w:bookmarkEnd w:id="5890"/>
      <w:bookmarkEnd w:id="5891"/>
      <w:bookmarkEnd w:id="5892"/>
      <w:bookmarkEnd w:id="5893"/>
    </w:p>
    <w:p w:rsidR="00CB0DD7" w:rsidRPr="000A0A5F" w:rsidRDefault="00CB0DD7">
      <w:pPr>
        <w:pStyle w:val="Heading4"/>
      </w:pPr>
      <w:bookmarkStart w:id="5894" w:name="_Toc11247617"/>
      <w:bookmarkStart w:id="5895" w:name="_Toc27044756"/>
      <w:bookmarkStart w:id="5896" w:name="_Toc36033798"/>
      <w:bookmarkStart w:id="5897" w:name="_Toc45131944"/>
      <w:bookmarkStart w:id="5898" w:name="_Toc49776229"/>
      <w:bookmarkStart w:id="5899" w:name="_Toc51747149"/>
      <w:bookmarkStart w:id="5900" w:name="_Toc66360716"/>
      <w:bookmarkStart w:id="5901" w:name="_Toc68105221"/>
      <w:bookmarkStart w:id="5902" w:name="_Toc74755851"/>
      <w:bookmarkStart w:id="5903" w:name="_Toc105674726"/>
      <w:bookmarkStart w:id="5904" w:name="_Toc130502782"/>
      <w:bookmarkStart w:id="5905" w:name="_Toc153625569"/>
      <w:r w:rsidRPr="000A0A5F">
        <w:t>5.8.3.1</w:t>
      </w:r>
      <w:r w:rsidRPr="000A0A5F">
        <w:tab/>
        <w:t>Data model</w:t>
      </w:r>
      <w:bookmarkEnd w:id="5894"/>
      <w:bookmarkEnd w:id="5895"/>
      <w:bookmarkEnd w:id="5896"/>
      <w:bookmarkEnd w:id="5897"/>
      <w:bookmarkEnd w:id="5898"/>
      <w:bookmarkEnd w:id="5899"/>
      <w:bookmarkEnd w:id="5900"/>
      <w:bookmarkEnd w:id="5901"/>
      <w:bookmarkEnd w:id="5902"/>
      <w:bookmarkEnd w:id="5903"/>
      <w:bookmarkEnd w:id="5904"/>
      <w:bookmarkEnd w:id="5905"/>
    </w:p>
    <w:p w:rsidR="00CB0DD7" w:rsidRPr="000A0A5F" w:rsidRDefault="00CB0DD7">
      <w:pPr>
        <w:pStyle w:val="Heading5"/>
      </w:pPr>
      <w:bookmarkStart w:id="5906" w:name="_Toc11247618"/>
      <w:bookmarkStart w:id="5907" w:name="_Toc27044757"/>
      <w:bookmarkStart w:id="5908" w:name="_Toc36033799"/>
      <w:bookmarkStart w:id="5909" w:name="_Toc45131945"/>
      <w:bookmarkStart w:id="5910" w:name="_Toc49776230"/>
      <w:bookmarkStart w:id="5911" w:name="_Toc51747150"/>
      <w:bookmarkStart w:id="5912" w:name="_Toc66360717"/>
      <w:bookmarkStart w:id="5913" w:name="_Toc68105222"/>
      <w:bookmarkStart w:id="5914" w:name="_Toc74755852"/>
      <w:bookmarkStart w:id="5915" w:name="_Toc105674727"/>
      <w:bookmarkStart w:id="5916" w:name="_Toc130502783"/>
      <w:bookmarkStart w:id="5917" w:name="_Toc153625570"/>
      <w:r w:rsidRPr="000A0A5F">
        <w:t>5.8.3.1.1</w:t>
      </w:r>
      <w:r w:rsidRPr="000A0A5F">
        <w:tab/>
        <w:t>Resource data types</w:t>
      </w:r>
      <w:bookmarkEnd w:id="5906"/>
      <w:bookmarkEnd w:id="5907"/>
      <w:bookmarkEnd w:id="5908"/>
      <w:bookmarkEnd w:id="5909"/>
      <w:bookmarkEnd w:id="5910"/>
      <w:bookmarkEnd w:id="5911"/>
      <w:bookmarkEnd w:id="5912"/>
      <w:bookmarkEnd w:id="5913"/>
      <w:bookmarkEnd w:id="5914"/>
      <w:bookmarkEnd w:id="5915"/>
      <w:bookmarkEnd w:id="5916"/>
      <w:bookmarkEnd w:id="5917"/>
    </w:p>
    <w:p w:rsidR="00CB0DD7" w:rsidRPr="000A0A5F" w:rsidRDefault="00CB0DD7">
      <w:pPr>
        <w:pStyle w:val="Heading6"/>
      </w:pPr>
      <w:bookmarkStart w:id="5918" w:name="_Toc11247619"/>
      <w:bookmarkStart w:id="5919" w:name="_Toc27044758"/>
      <w:bookmarkStart w:id="5920" w:name="_Toc36033800"/>
      <w:bookmarkStart w:id="5921" w:name="_Toc45131946"/>
      <w:bookmarkStart w:id="5922" w:name="_Toc49776231"/>
      <w:bookmarkStart w:id="5923" w:name="_Toc51747151"/>
      <w:bookmarkStart w:id="5924" w:name="_Toc66360718"/>
      <w:bookmarkStart w:id="5925" w:name="_Toc68105223"/>
      <w:bookmarkStart w:id="5926" w:name="_Toc74755853"/>
      <w:bookmarkStart w:id="5927" w:name="_Toc105674728"/>
      <w:bookmarkStart w:id="5928" w:name="_Toc130502784"/>
      <w:bookmarkStart w:id="5929" w:name="_Toc153625571"/>
      <w:r w:rsidRPr="000A0A5F">
        <w:t>5.8.3.1.1.1</w:t>
      </w:r>
      <w:r w:rsidRPr="000A0A5F">
        <w:tab/>
        <w:t>Introduction</w:t>
      </w:r>
      <w:bookmarkEnd w:id="5918"/>
      <w:bookmarkEnd w:id="5919"/>
      <w:bookmarkEnd w:id="5920"/>
      <w:bookmarkEnd w:id="5921"/>
      <w:bookmarkEnd w:id="5922"/>
      <w:bookmarkEnd w:id="5923"/>
      <w:bookmarkEnd w:id="5924"/>
      <w:bookmarkEnd w:id="5925"/>
      <w:bookmarkEnd w:id="5926"/>
      <w:bookmarkEnd w:id="5927"/>
      <w:bookmarkEnd w:id="5928"/>
      <w:bookmarkEnd w:id="5929"/>
    </w:p>
    <w:p w:rsidR="00CB0DD7" w:rsidRPr="000A0A5F" w:rsidRDefault="00CB0DD7">
      <w:r w:rsidRPr="000A0A5F">
        <w:t>This clause defines data structures to be used in resource representations.</w:t>
      </w:r>
    </w:p>
    <w:p w:rsidR="00CB0DD7" w:rsidRPr="000A0A5F" w:rsidRDefault="00CB0DD7">
      <w:r w:rsidRPr="000A0A5F">
        <w:t>Table 5.</w:t>
      </w:r>
      <w:r w:rsidRPr="000A0A5F">
        <w:rPr>
          <w:rFonts w:hint="eastAsia"/>
        </w:rPr>
        <w:t>8</w:t>
      </w:r>
      <w:r w:rsidRPr="000A0A5F">
        <w:t xml:space="preserve">.3.1.1.1-1 specifies data types re-used by the GMDviaMBMSbyxMB API from other specifications, including a reference to their respective specifications and when needed, a short description of their use within the GMDviaMBMSbyxMB API. </w:t>
      </w:r>
    </w:p>
    <w:p w:rsidR="00CB0DD7" w:rsidRPr="000A0A5F" w:rsidRDefault="00CB0DD7">
      <w:pPr>
        <w:pStyle w:val="TH"/>
      </w:pPr>
      <w:r w:rsidRPr="000A0A5F">
        <w:t>Table 5.</w:t>
      </w:r>
      <w:r w:rsidRPr="000A0A5F">
        <w:rPr>
          <w:rFonts w:hint="eastAsia"/>
        </w:rPr>
        <w:t>8.</w:t>
      </w:r>
      <w:r w:rsidRPr="000A0A5F">
        <w:t>3.1.1.1-1: GMDviaMBMSbyxMB API re-used Data Types</w:t>
      </w:r>
    </w:p>
    <w:tbl>
      <w:tblPr>
        <w:tblW w:w="917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018"/>
        <w:gridCol w:w="1848"/>
        <w:gridCol w:w="5308"/>
      </w:tblGrid>
      <w:tr w:rsidR="00CB0DD7" w:rsidRPr="000A0A5F" w:rsidTr="00FF0AF8">
        <w:trPr>
          <w:jc w:val="center"/>
        </w:trPr>
        <w:tc>
          <w:tcPr>
            <w:tcW w:w="2018" w:type="dxa"/>
            <w:shd w:val="clear" w:color="auto" w:fill="C0C0C0"/>
            <w:hideMark/>
          </w:tcPr>
          <w:p w:rsidR="00CB0DD7" w:rsidRPr="000A0A5F" w:rsidRDefault="00CB0DD7">
            <w:pPr>
              <w:pStyle w:val="TAH"/>
            </w:pPr>
            <w:r w:rsidRPr="000A0A5F">
              <w:t>Data type</w:t>
            </w:r>
          </w:p>
        </w:tc>
        <w:tc>
          <w:tcPr>
            <w:tcW w:w="1848" w:type="dxa"/>
            <w:shd w:val="clear" w:color="auto" w:fill="C0C0C0"/>
          </w:tcPr>
          <w:p w:rsidR="00CB0DD7" w:rsidRPr="000A0A5F" w:rsidRDefault="00CB0DD7">
            <w:pPr>
              <w:pStyle w:val="TAH"/>
            </w:pPr>
            <w:r w:rsidRPr="000A0A5F">
              <w:t>Reference</w:t>
            </w:r>
          </w:p>
        </w:tc>
        <w:tc>
          <w:tcPr>
            <w:tcW w:w="5308" w:type="dxa"/>
            <w:shd w:val="clear" w:color="auto" w:fill="C0C0C0"/>
            <w:hideMark/>
          </w:tcPr>
          <w:p w:rsidR="00CB0DD7" w:rsidRPr="000A0A5F" w:rsidRDefault="00CB0DD7">
            <w:pPr>
              <w:pStyle w:val="TAH"/>
            </w:pPr>
            <w:r w:rsidRPr="000A0A5F">
              <w:t>Comments</w:t>
            </w:r>
          </w:p>
        </w:tc>
      </w:tr>
      <w:tr w:rsidR="00CB0DD7" w:rsidRPr="000A0A5F" w:rsidTr="00FF0AF8">
        <w:trPr>
          <w:jc w:val="center"/>
        </w:trPr>
        <w:tc>
          <w:tcPr>
            <w:tcW w:w="2018" w:type="dxa"/>
          </w:tcPr>
          <w:p w:rsidR="00CB0DD7" w:rsidRPr="000A0A5F" w:rsidRDefault="00CB0DD7">
            <w:pPr>
              <w:pStyle w:val="TAL"/>
              <w:rPr>
                <w:rFonts w:hint="eastAsia"/>
                <w:lang w:eastAsia="zh-CN"/>
              </w:rPr>
            </w:pPr>
            <w:r w:rsidRPr="000A0A5F">
              <w:rPr>
                <w:rFonts w:hint="eastAsia"/>
                <w:lang w:eastAsia="zh-CN"/>
              </w:rPr>
              <w:t>GeographicArea</w:t>
            </w:r>
          </w:p>
        </w:tc>
        <w:tc>
          <w:tcPr>
            <w:tcW w:w="1848" w:type="dxa"/>
          </w:tcPr>
          <w:p w:rsidR="00CB0DD7" w:rsidRPr="000A0A5F" w:rsidRDefault="00CB0DD7">
            <w:pPr>
              <w:pStyle w:val="TAL"/>
              <w:rPr>
                <w:rFonts w:hint="eastAsia"/>
                <w:lang w:val="en-US" w:eastAsia="zh-CN"/>
              </w:rPr>
            </w:pPr>
            <w:r w:rsidRPr="000A0A5F">
              <w:rPr>
                <w:rFonts w:hint="eastAsia"/>
                <w:lang w:eastAsia="zh-CN"/>
              </w:rPr>
              <w:t>3GPP TS 29.572 [</w:t>
            </w:r>
            <w:r w:rsidRPr="000A0A5F">
              <w:rPr>
                <w:lang w:eastAsia="zh-CN"/>
              </w:rPr>
              <w:t>42]</w:t>
            </w:r>
          </w:p>
        </w:tc>
        <w:tc>
          <w:tcPr>
            <w:tcW w:w="5308" w:type="dxa"/>
          </w:tcPr>
          <w:p w:rsidR="00CB0DD7" w:rsidRPr="000A0A5F" w:rsidRDefault="00CB0DD7">
            <w:pPr>
              <w:pStyle w:val="TAL"/>
              <w:rPr>
                <w:rFonts w:cs="Arial"/>
                <w:szCs w:val="18"/>
              </w:rPr>
            </w:pPr>
            <w:r w:rsidRPr="000A0A5F">
              <w:rPr>
                <w:lang w:eastAsia="zh-CN"/>
              </w:rPr>
              <w:t>Identifies the geographical information of the user(s).</w:t>
            </w:r>
          </w:p>
        </w:tc>
      </w:tr>
      <w:tr w:rsidR="00CB0DD7" w:rsidRPr="000A0A5F" w:rsidTr="00FF0AF8">
        <w:trPr>
          <w:jc w:val="center"/>
        </w:trPr>
        <w:tc>
          <w:tcPr>
            <w:tcW w:w="2018" w:type="dxa"/>
          </w:tcPr>
          <w:p w:rsidR="00CB0DD7" w:rsidRPr="000A0A5F" w:rsidRDefault="00CB0DD7">
            <w:pPr>
              <w:pStyle w:val="TAL"/>
              <w:rPr>
                <w:rFonts w:hint="eastAsia"/>
                <w:lang w:eastAsia="zh-CN"/>
              </w:rPr>
            </w:pPr>
            <w:r w:rsidRPr="000A0A5F">
              <w:t>CivicAddress</w:t>
            </w:r>
          </w:p>
        </w:tc>
        <w:tc>
          <w:tcPr>
            <w:tcW w:w="1848" w:type="dxa"/>
          </w:tcPr>
          <w:p w:rsidR="00CB0DD7" w:rsidRPr="000A0A5F" w:rsidRDefault="00CB0DD7">
            <w:pPr>
              <w:pStyle w:val="TAL"/>
              <w:rPr>
                <w:rFonts w:hint="eastAsia"/>
                <w:lang w:eastAsia="zh-CN"/>
              </w:rPr>
            </w:pPr>
            <w:r w:rsidRPr="000A0A5F">
              <w:rPr>
                <w:rFonts w:hint="eastAsia"/>
                <w:lang w:eastAsia="zh-CN"/>
              </w:rPr>
              <w:t>3GPP TS 29.572 [</w:t>
            </w:r>
            <w:r w:rsidRPr="000A0A5F">
              <w:rPr>
                <w:lang w:eastAsia="zh-CN"/>
              </w:rPr>
              <w:t>42]</w:t>
            </w:r>
          </w:p>
        </w:tc>
        <w:tc>
          <w:tcPr>
            <w:tcW w:w="5308" w:type="dxa"/>
          </w:tcPr>
          <w:p w:rsidR="00CB0DD7" w:rsidRPr="000A0A5F" w:rsidRDefault="00CB0DD7">
            <w:pPr>
              <w:pStyle w:val="TAL"/>
              <w:rPr>
                <w:lang w:eastAsia="zh-CN"/>
              </w:rPr>
            </w:pPr>
            <w:r w:rsidRPr="000A0A5F">
              <w:rPr>
                <w:lang w:eastAsia="zh-CN"/>
              </w:rPr>
              <w:t>Identifies the civic address information of the user(s).</w:t>
            </w:r>
          </w:p>
        </w:tc>
      </w:tr>
      <w:tr w:rsidR="00CB0DD7" w:rsidRPr="000A0A5F" w:rsidTr="00FF0AF8">
        <w:trPr>
          <w:jc w:val="center"/>
        </w:trPr>
        <w:tc>
          <w:tcPr>
            <w:tcW w:w="2018" w:type="dxa"/>
          </w:tcPr>
          <w:p w:rsidR="00CB0DD7" w:rsidRPr="000A0A5F" w:rsidRDefault="00CB0DD7">
            <w:pPr>
              <w:pStyle w:val="TAL"/>
            </w:pPr>
            <w:r w:rsidRPr="000A0A5F">
              <w:t>SupportedFeatures</w:t>
            </w:r>
          </w:p>
        </w:tc>
        <w:tc>
          <w:tcPr>
            <w:tcW w:w="1848" w:type="dxa"/>
          </w:tcPr>
          <w:p w:rsidR="00CB0DD7" w:rsidRPr="000A0A5F" w:rsidRDefault="00CB0DD7">
            <w:pPr>
              <w:pStyle w:val="TAL"/>
              <w:rPr>
                <w:rFonts w:hint="eastAsia"/>
                <w:lang w:eastAsia="zh-CN"/>
              </w:rPr>
            </w:pPr>
            <w:r w:rsidRPr="000A0A5F">
              <w:rPr>
                <w:lang w:eastAsia="zh-CN"/>
              </w:rPr>
              <w:t>3GPP TS 29.571 [45]</w:t>
            </w:r>
          </w:p>
        </w:tc>
        <w:tc>
          <w:tcPr>
            <w:tcW w:w="5308" w:type="dxa"/>
          </w:tcPr>
          <w:p w:rsidR="00CB0DD7" w:rsidRPr="000A0A5F" w:rsidRDefault="00CB0DD7">
            <w:pPr>
              <w:pStyle w:val="TAL"/>
              <w:rPr>
                <w:lang w:eastAsia="zh-CN"/>
              </w:rPr>
            </w:pPr>
            <w:r w:rsidRPr="000A0A5F">
              <w:rPr>
                <w:lang w:eastAsia="zh-CN"/>
              </w:rPr>
              <w:t>Used to negotiate the applicability of the optional features defined in table 5.8.3.3-1.</w:t>
            </w:r>
          </w:p>
        </w:tc>
      </w:tr>
    </w:tbl>
    <w:p w:rsidR="00CB0DD7" w:rsidRPr="000A0A5F" w:rsidRDefault="00CB0DD7"/>
    <w:p w:rsidR="00486293" w:rsidRPr="000A0A5F" w:rsidRDefault="00486293" w:rsidP="00486293">
      <w:bookmarkStart w:id="5930" w:name="_Toc11247620"/>
      <w:bookmarkStart w:id="5931" w:name="_Toc27044759"/>
      <w:bookmarkStart w:id="5932" w:name="_Toc36033801"/>
      <w:bookmarkStart w:id="5933" w:name="_Toc45131947"/>
      <w:bookmarkStart w:id="5934" w:name="_Toc49776232"/>
      <w:bookmarkStart w:id="5935" w:name="_Toc51747152"/>
      <w:bookmarkStart w:id="5936" w:name="_Toc66360719"/>
      <w:bookmarkStart w:id="5937" w:name="_Toc68105224"/>
      <w:bookmarkStart w:id="5938" w:name="_Toc74755854"/>
      <w:r w:rsidRPr="000A0A5F">
        <w:t>Table 5.8.3.1.1.1-2 specifies the data types defined for the GMDviaMBMSbyxMB API.</w:t>
      </w:r>
    </w:p>
    <w:p w:rsidR="00486293" w:rsidRPr="000A0A5F" w:rsidRDefault="00486293" w:rsidP="00486293">
      <w:pPr>
        <w:pStyle w:val="TH"/>
      </w:pPr>
      <w:r w:rsidRPr="000A0A5F">
        <w:t>Table 5.8.3.1.1.1-2: GMDviaMBMSbyxMB API specific Data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888"/>
        <w:gridCol w:w="1076"/>
        <w:gridCol w:w="4253"/>
        <w:gridCol w:w="1412"/>
      </w:tblGrid>
      <w:tr w:rsidR="00486293" w:rsidRPr="000A0A5F" w:rsidTr="00FF0AF8">
        <w:trPr>
          <w:jc w:val="center"/>
        </w:trPr>
        <w:tc>
          <w:tcPr>
            <w:tcW w:w="2888" w:type="dxa"/>
            <w:shd w:val="clear" w:color="auto" w:fill="C0C0C0"/>
            <w:vAlign w:val="center"/>
            <w:hideMark/>
          </w:tcPr>
          <w:p w:rsidR="00486293" w:rsidRPr="000A0A5F" w:rsidRDefault="00486293" w:rsidP="00D513D3">
            <w:pPr>
              <w:pStyle w:val="TAH"/>
            </w:pPr>
            <w:r w:rsidRPr="000A0A5F">
              <w:t>Data type</w:t>
            </w:r>
          </w:p>
        </w:tc>
        <w:tc>
          <w:tcPr>
            <w:tcW w:w="1076" w:type="dxa"/>
            <w:shd w:val="clear" w:color="auto" w:fill="C0C0C0"/>
            <w:vAlign w:val="center"/>
          </w:tcPr>
          <w:p w:rsidR="00486293" w:rsidRPr="000A0A5F" w:rsidRDefault="00486293" w:rsidP="00D513D3">
            <w:pPr>
              <w:pStyle w:val="TAH"/>
            </w:pPr>
            <w:r w:rsidRPr="000A0A5F">
              <w:t>Clause defined</w:t>
            </w:r>
          </w:p>
        </w:tc>
        <w:tc>
          <w:tcPr>
            <w:tcW w:w="4253" w:type="dxa"/>
            <w:shd w:val="clear" w:color="auto" w:fill="C0C0C0"/>
            <w:vAlign w:val="center"/>
            <w:hideMark/>
          </w:tcPr>
          <w:p w:rsidR="00486293" w:rsidRPr="000A0A5F" w:rsidRDefault="00486293" w:rsidP="00D513D3">
            <w:pPr>
              <w:pStyle w:val="TAH"/>
            </w:pPr>
            <w:r w:rsidRPr="000A0A5F">
              <w:t>Description</w:t>
            </w:r>
          </w:p>
        </w:tc>
        <w:tc>
          <w:tcPr>
            <w:tcW w:w="1412" w:type="dxa"/>
            <w:shd w:val="clear" w:color="auto" w:fill="C0C0C0"/>
            <w:vAlign w:val="center"/>
          </w:tcPr>
          <w:p w:rsidR="00486293" w:rsidRPr="000A0A5F" w:rsidRDefault="00486293" w:rsidP="00D513D3">
            <w:pPr>
              <w:pStyle w:val="TAH"/>
            </w:pPr>
            <w:r w:rsidRPr="000A0A5F">
              <w:t>Applicability</w:t>
            </w:r>
          </w:p>
        </w:tc>
      </w:tr>
      <w:tr w:rsidR="00486293" w:rsidRPr="000A0A5F" w:rsidTr="00FF0AF8">
        <w:trPr>
          <w:jc w:val="center"/>
        </w:trPr>
        <w:tc>
          <w:tcPr>
            <w:tcW w:w="2888" w:type="dxa"/>
            <w:vAlign w:val="center"/>
          </w:tcPr>
          <w:p w:rsidR="00486293" w:rsidRPr="000A0A5F" w:rsidRDefault="00486293" w:rsidP="00D513D3">
            <w:pPr>
              <w:pStyle w:val="TAL"/>
            </w:pPr>
            <w:r w:rsidRPr="000A0A5F">
              <w:t>GMDByxMBNotification</w:t>
            </w:r>
          </w:p>
        </w:tc>
        <w:tc>
          <w:tcPr>
            <w:tcW w:w="1076" w:type="dxa"/>
            <w:vAlign w:val="center"/>
          </w:tcPr>
          <w:p w:rsidR="00486293" w:rsidRPr="000A0A5F" w:rsidRDefault="00486293" w:rsidP="00D513D3">
            <w:pPr>
              <w:pStyle w:val="TAC"/>
            </w:pPr>
            <w:r w:rsidRPr="000A0A5F">
              <w:t>5.8.3.1.1.4</w:t>
            </w:r>
          </w:p>
        </w:tc>
        <w:tc>
          <w:tcPr>
            <w:tcW w:w="4253" w:type="dxa"/>
            <w:vAlign w:val="center"/>
          </w:tcPr>
          <w:p w:rsidR="00486293" w:rsidRPr="000A0A5F" w:rsidRDefault="00486293" w:rsidP="00D513D3">
            <w:pPr>
              <w:pStyle w:val="TAL"/>
            </w:pPr>
            <w:r w:rsidRPr="000A0A5F">
              <w:t>Represents a group message delivery notification.</w:t>
            </w:r>
          </w:p>
        </w:tc>
        <w:tc>
          <w:tcPr>
            <w:tcW w:w="1412" w:type="dxa"/>
            <w:vAlign w:val="center"/>
          </w:tcPr>
          <w:p w:rsidR="00486293" w:rsidRPr="000A0A5F" w:rsidRDefault="00486293" w:rsidP="00D513D3">
            <w:pPr>
              <w:pStyle w:val="TAL"/>
              <w:rPr>
                <w:rFonts w:cs="Arial"/>
                <w:szCs w:val="18"/>
              </w:rPr>
            </w:pPr>
          </w:p>
        </w:tc>
      </w:tr>
      <w:tr w:rsidR="00486293" w:rsidRPr="000A0A5F" w:rsidTr="00FF0AF8">
        <w:trPr>
          <w:jc w:val="center"/>
        </w:trPr>
        <w:tc>
          <w:tcPr>
            <w:tcW w:w="2888" w:type="dxa"/>
            <w:vAlign w:val="center"/>
          </w:tcPr>
          <w:p w:rsidR="00486293" w:rsidRPr="000A0A5F" w:rsidRDefault="00486293" w:rsidP="00D513D3">
            <w:pPr>
              <w:pStyle w:val="TAL"/>
            </w:pPr>
            <w:r w:rsidRPr="000A0A5F">
              <w:t>GMDViaMBMSByxMB</w:t>
            </w:r>
          </w:p>
        </w:tc>
        <w:tc>
          <w:tcPr>
            <w:tcW w:w="1076" w:type="dxa"/>
            <w:vAlign w:val="center"/>
          </w:tcPr>
          <w:p w:rsidR="00486293" w:rsidRPr="000A0A5F" w:rsidRDefault="00486293" w:rsidP="00D513D3">
            <w:pPr>
              <w:pStyle w:val="TAC"/>
            </w:pPr>
            <w:r w:rsidRPr="000A0A5F">
              <w:t>5.8.3.1.1.3</w:t>
            </w:r>
          </w:p>
        </w:tc>
        <w:tc>
          <w:tcPr>
            <w:tcW w:w="4253" w:type="dxa"/>
            <w:vAlign w:val="center"/>
          </w:tcPr>
          <w:p w:rsidR="00486293" w:rsidRPr="000A0A5F" w:rsidRDefault="00486293" w:rsidP="00D513D3">
            <w:pPr>
              <w:pStyle w:val="TAL"/>
            </w:pPr>
            <w:r w:rsidRPr="000A0A5F">
              <w:t>Represents a group message delivery via MBMS by xMB.</w:t>
            </w:r>
          </w:p>
        </w:tc>
        <w:tc>
          <w:tcPr>
            <w:tcW w:w="1412" w:type="dxa"/>
            <w:vAlign w:val="center"/>
          </w:tcPr>
          <w:p w:rsidR="00486293" w:rsidRPr="000A0A5F" w:rsidRDefault="00486293" w:rsidP="00D513D3">
            <w:pPr>
              <w:pStyle w:val="TAL"/>
              <w:rPr>
                <w:rFonts w:cs="Arial"/>
                <w:szCs w:val="18"/>
              </w:rPr>
            </w:pPr>
          </w:p>
        </w:tc>
      </w:tr>
      <w:tr w:rsidR="00486293" w:rsidRPr="000A0A5F" w:rsidTr="00FF0AF8">
        <w:trPr>
          <w:jc w:val="center"/>
        </w:trPr>
        <w:tc>
          <w:tcPr>
            <w:tcW w:w="2888" w:type="dxa"/>
            <w:vAlign w:val="center"/>
          </w:tcPr>
          <w:p w:rsidR="00486293" w:rsidRPr="000A0A5F" w:rsidRDefault="00486293" w:rsidP="00D513D3">
            <w:pPr>
              <w:pStyle w:val="TAL"/>
            </w:pPr>
            <w:r w:rsidRPr="000A0A5F">
              <w:t>GMDViaMBMSByxMBPatch</w:t>
            </w:r>
          </w:p>
        </w:tc>
        <w:tc>
          <w:tcPr>
            <w:tcW w:w="1076" w:type="dxa"/>
            <w:vAlign w:val="center"/>
          </w:tcPr>
          <w:p w:rsidR="00486293" w:rsidRPr="000A0A5F" w:rsidRDefault="00486293" w:rsidP="00D513D3">
            <w:pPr>
              <w:pStyle w:val="TAC"/>
            </w:pPr>
            <w:r w:rsidRPr="000A0A5F">
              <w:t>5.8.3.1.1.5</w:t>
            </w:r>
          </w:p>
        </w:tc>
        <w:tc>
          <w:tcPr>
            <w:tcW w:w="4253" w:type="dxa"/>
            <w:vAlign w:val="center"/>
          </w:tcPr>
          <w:p w:rsidR="00486293" w:rsidRPr="000A0A5F" w:rsidRDefault="00486293" w:rsidP="00D513D3">
            <w:pPr>
              <w:pStyle w:val="TAL"/>
            </w:pPr>
            <w:r w:rsidRPr="000A0A5F">
              <w:t>Represents a modification request of a group message delivery via MBMS by xMB.</w:t>
            </w:r>
          </w:p>
        </w:tc>
        <w:tc>
          <w:tcPr>
            <w:tcW w:w="1412" w:type="dxa"/>
            <w:vAlign w:val="center"/>
          </w:tcPr>
          <w:p w:rsidR="00486293" w:rsidRPr="000A0A5F" w:rsidRDefault="00486293" w:rsidP="00D513D3">
            <w:pPr>
              <w:pStyle w:val="TAL"/>
              <w:rPr>
                <w:rFonts w:cs="Arial"/>
                <w:szCs w:val="18"/>
              </w:rPr>
            </w:pPr>
          </w:p>
        </w:tc>
      </w:tr>
      <w:tr w:rsidR="00486293" w:rsidRPr="000A0A5F" w:rsidTr="00FF0AF8">
        <w:trPr>
          <w:jc w:val="center"/>
        </w:trPr>
        <w:tc>
          <w:tcPr>
            <w:tcW w:w="2888" w:type="dxa"/>
            <w:vAlign w:val="center"/>
          </w:tcPr>
          <w:p w:rsidR="00486293" w:rsidRPr="000A0A5F" w:rsidRDefault="00486293" w:rsidP="00D513D3">
            <w:pPr>
              <w:pStyle w:val="TAL"/>
            </w:pPr>
            <w:r w:rsidRPr="000A0A5F">
              <w:t>MbmsLocArea</w:t>
            </w:r>
          </w:p>
        </w:tc>
        <w:tc>
          <w:tcPr>
            <w:tcW w:w="1076" w:type="dxa"/>
            <w:vAlign w:val="center"/>
          </w:tcPr>
          <w:p w:rsidR="00486293" w:rsidRPr="000A0A5F" w:rsidRDefault="00486293" w:rsidP="00D513D3">
            <w:pPr>
              <w:pStyle w:val="TAC"/>
            </w:pPr>
            <w:r w:rsidRPr="000A0A5F">
              <w:t>5.8.3.1.1.6</w:t>
            </w:r>
          </w:p>
        </w:tc>
        <w:tc>
          <w:tcPr>
            <w:tcW w:w="4253" w:type="dxa"/>
            <w:vAlign w:val="center"/>
          </w:tcPr>
          <w:p w:rsidR="00486293" w:rsidRPr="000A0A5F" w:rsidRDefault="00486293" w:rsidP="00D513D3">
            <w:pPr>
              <w:pStyle w:val="TAL"/>
            </w:pPr>
            <w:r w:rsidRPr="000A0A5F">
              <w:t>Represents a user location area whithin which is sent a group message delivery via MBMS request.</w:t>
            </w:r>
          </w:p>
        </w:tc>
        <w:tc>
          <w:tcPr>
            <w:tcW w:w="1412" w:type="dxa"/>
            <w:vAlign w:val="center"/>
          </w:tcPr>
          <w:p w:rsidR="00486293" w:rsidRPr="000A0A5F" w:rsidRDefault="00486293" w:rsidP="00D513D3">
            <w:pPr>
              <w:pStyle w:val="TAL"/>
              <w:rPr>
                <w:rFonts w:cs="Arial"/>
                <w:szCs w:val="18"/>
              </w:rPr>
            </w:pPr>
          </w:p>
        </w:tc>
      </w:tr>
      <w:tr w:rsidR="00486293" w:rsidRPr="000A0A5F" w:rsidTr="00FF0AF8">
        <w:trPr>
          <w:jc w:val="center"/>
        </w:trPr>
        <w:tc>
          <w:tcPr>
            <w:tcW w:w="2888" w:type="dxa"/>
            <w:vAlign w:val="center"/>
          </w:tcPr>
          <w:p w:rsidR="00486293" w:rsidRPr="000A0A5F" w:rsidRDefault="00486293" w:rsidP="00D513D3">
            <w:pPr>
              <w:pStyle w:val="TAL"/>
            </w:pPr>
            <w:r w:rsidRPr="000A0A5F">
              <w:rPr>
                <w:rFonts w:eastAsia="Times New Roman"/>
              </w:rPr>
              <w:t>ServiceAnnouncementMode</w:t>
            </w:r>
          </w:p>
        </w:tc>
        <w:tc>
          <w:tcPr>
            <w:tcW w:w="1076" w:type="dxa"/>
            <w:vAlign w:val="center"/>
          </w:tcPr>
          <w:p w:rsidR="00486293" w:rsidRPr="000A0A5F" w:rsidRDefault="00486293" w:rsidP="00D513D3">
            <w:pPr>
              <w:pStyle w:val="TAC"/>
            </w:pPr>
            <w:r w:rsidRPr="000A0A5F">
              <w:t>5.8.3.1.2.3</w:t>
            </w:r>
          </w:p>
        </w:tc>
        <w:tc>
          <w:tcPr>
            <w:tcW w:w="4253" w:type="dxa"/>
            <w:vAlign w:val="center"/>
          </w:tcPr>
          <w:p w:rsidR="00486293" w:rsidRPr="000A0A5F" w:rsidRDefault="00486293" w:rsidP="00D513D3">
            <w:pPr>
              <w:pStyle w:val="TAL"/>
            </w:pPr>
            <w:r w:rsidRPr="000A0A5F">
              <w:t>Represents the service annoucement mode.</w:t>
            </w:r>
          </w:p>
        </w:tc>
        <w:tc>
          <w:tcPr>
            <w:tcW w:w="1412" w:type="dxa"/>
            <w:vAlign w:val="center"/>
          </w:tcPr>
          <w:p w:rsidR="00486293" w:rsidRPr="000A0A5F" w:rsidRDefault="00486293" w:rsidP="00D513D3">
            <w:pPr>
              <w:pStyle w:val="TAL"/>
              <w:rPr>
                <w:rFonts w:cs="Arial"/>
                <w:szCs w:val="18"/>
              </w:rPr>
            </w:pPr>
          </w:p>
        </w:tc>
      </w:tr>
      <w:tr w:rsidR="00486293" w:rsidRPr="000A0A5F" w:rsidTr="00FF0AF8">
        <w:trPr>
          <w:jc w:val="center"/>
        </w:trPr>
        <w:tc>
          <w:tcPr>
            <w:tcW w:w="2888" w:type="dxa"/>
            <w:vAlign w:val="center"/>
          </w:tcPr>
          <w:p w:rsidR="00486293" w:rsidRPr="000A0A5F" w:rsidRDefault="00486293" w:rsidP="00D513D3">
            <w:pPr>
              <w:pStyle w:val="TAL"/>
            </w:pPr>
            <w:r w:rsidRPr="000A0A5F">
              <w:t>ServiceCreation</w:t>
            </w:r>
          </w:p>
        </w:tc>
        <w:tc>
          <w:tcPr>
            <w:tcW w:w="1076" w:type="dxa"/>
            <w:vAlign w:val="center"/>
          </w:tcPr>
          <w:p w:rsidR="00486293" w:rsidRPr="000A0A5F" w:rsidRDefault="00486293" w:rsidP="00D513D3">
            <w:pPr>
              <w:pStyle w:val="TAC"/>
            </w:pPr>
            <w:r w:rsidRPr="000A0A5F">
              <w:t>5.8.3.1.1.2</w:t>
            </w:r>
          </w:p>
        </w:tc>
        <w:tc>
          <w:tcPr>
            <w:tcW w:w="4253" w:type="dxa"/>
            <w:vAlign w:val="center"/>
          </w:tcPr>
          <w:p w:rsidR="00486293" w:rsidRPr="000A0A5F" w:rsidRDefault="00486293" w:rsidP="00D513D3">
            <w:pPr>
              <w:pStyle w:val="TAL"/>
            </w:pPr>
            <w:r w:rsidRPr="000A0A5F">
              <w:t>Represents an individual xMB Service resource.</w:t>
            </w:r>
          </w:p>
        </w:tc>
        <w:tc>
          <w:tcPr>
            <w:tcW w:w="1412" w:type="dxa"/>
            <w:vAlign w:val="center"/>
          </w:tcPr>
          <w:p w:rsidR="00486293" w:rsidRPr="000A0A5F" w:rsidRDefault="00486293" w:rsidP="00D513D3">
            <w:pPr>
              <w:pStyle w:val="TAL"/>
              <w:rPr>
                <w:rFonts w:cs="Arial"/>
                <w:szCs w:val="18"/>
              </w:rPr>
            </w:pPr>
          </w:p>
        </w:tc>
      </w:tr>
    </w:tbl>
    <w:p w:rsidR="00486293" w:rsidRPr="000A0A5F" w:rsidRDefault="00486293" w:rsidP="00486293"/>
    <w:p w:rsidR="00CB0DD7" w:rsidRPr="000A0A5F" w:rsidRDefault="00CB0DD7">
      <w:pPr>
        <w:pStyle w:val="Heading6"/>
      </w:pPr>
      <w:bookmarkStart w:id="5939" w:name="_Toc105674729"/>
      <w:bookmarkStart w:id="5940" w:name="_Toc130502785"/>
      <w:bookmarkStart w:id="5941" w:name="_Toc153625572"/>
      <w:r w:rsidRPr="000A0A5F">
        <w:t>5.8.3.1.1.2</w:t>
      </w:r>
      <w:r w:rsidRPr="000A0A5F">
        <w:tab/>
        <w:t>Type: ServiceCreation</w:t>
      </w:r>
      <w:bookmarkEnd w:id="5930"/>
      <w:bookmarkEnd w:id="5931"/>
      <w:bookmarkEnd w:id="5932"/>
      <w:bookmarkEnd w:id="5933"/>
      <w:bookmarkEnd w:id="5934"/>
      <w:bookmarkEnd w:id="5935"/>
      <w:bookmarkEnd w:id="5936"/>
      <w:bookmarkEnd w:id="5937"/>
      <w:bookmarkEnd w:id="5938"/>
      <w:bookmarkEnd w:id="5939"/>
      <w:bookmarkEnd w:id="5940"/>
      <w:bookmarkEnd w:id="5941"/>
    </w:p>
    <w:p w:rsidR="00CB0DD7" w:rsidRPr="000A0A5F" w:rsidRDefault="00CB0DD7">
      <w:r w:rsidRPr="000A0A5F">
        <w:t xml:space="preserve">This type represents the service resource. </w:t>
      </w:r>
    </w:p>
    <w:p w:rsidR="00CB0DD7" w:rsidRPr="000A0A5F" w:rsidRDefault="00CB0DD7">
      <w:pPr>
        <w:pStyle w:val="TH"/>
      </w:pPr>
      <w:r w:rsidRPr="000A0A5F">
        <w:rPr>
          <w:noProof/>
        </w:rPr>
        <w:t>Table </w:t>
      </w:r>
      <w:r w:rsidRPr="000A0A5F">
        <w:t xml:space="preserve">5.8.3.1.1.2-1: </w:t>
      </w:r>
      <w:r w:rsidRPr="000A0A5F">
        <w:rPr>
          <w:noProof/>
        </w:rPr>
        <w:t xml:space="preserve">Definition of the </w:t>
      </w:r>
      <w:r w:rsidRPr="000A0A5F">
        <w:t>ServiceCreation data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948"/>
        <w:gridCol w:w="1719"/>
        <w:gridCol w:w="1134"/>
        <w:gridCol w:w="3544"/>
        <w:gridCol w:w="1257"/>
      </w:tblGrid>
      <w:tr w:rsidR="00CB0DD7" w:rsidRPr="000A0A5F" w:rsidTr="00FF0AF8">
        <w:trPr>
          <w:jc w:val="center"/>
        </w:trPr>
        <w:tc>
          <w:tcPr>
            <w:tcW w:w="1948" w:type="dxa"/>
            <w:shd w:val="clear" w:color="auto" w:fill="C0C0C0"/>
          </w:tcPr>
          <w:p w:rsidR="00CB0DD7" w:rsidRPr="000A0A5F" w:rsidRDefault="00CB0DD7">
            <w:pPr>
              <w:pStyle w:val="TAH"/>
              <w:rPr>
                <w:rFonts w:eastAsia="Times New Roman"/>
              </w:rPr>
            </w:pPr>
            <w:r w:rsidRPr="000A0A5F">
              <w:rPr>
                <w:rFonts w:eastAsia="Times New Roman"/>
              </w:rPr>
              <w:t>Attribute name</w:t>
            </w:r>
          </w:p>
        </w:tc>
        <w:tc>
          <w:tcPr>
            <w:tcW w:w="1719" w:type="dxa"/>
            <w:shd w:val="clear" w:color="auto" w:fill="C0C0C0"/>
          </w:tcPr>
          <w:p w:rsidR="00CB0DD7" w:rsidRPr="000A0A5F" w:rsidRDefault="00CB0DD7">
            <w:pPr>
              <w:pStyle w:val="TAH"/>
              <w:rPr>
                <w:rFonts w:eastAsia="Times New Roman"/>
              </w:rPr>
            </w:pPr>
            <w:r w:rsidRPr="000A0A5F">
              <w:rPr>
                <w:rFonts w:eastAsia="Times New Roman"/>
              </w:rPr>
              <w:t>Data type</w:t>
            </w:r>
          </w:p>
        </w:tc>
        <w:tc>
          <w:tcPr>
            <w:tcW w:w="1134" w:type="dxa"/>
            <w:shd w:val="clear" w:color="auto" w:fill="C0C0C0"/>
          </w:tcPr>
          <w:p w:rsidR="00CB0DD7" w:rsidRPr="000A0A5F" w:rsidRDefault="00CB0DD7">
            <w:pPr>
              <w:pStyle w:val="TAH"/>
              <w:jc w:val="left"/>
              <w:rPr>
                <w:rFonts w:eastAsia="Times New Roman"/>
              </w:rPr>
            </w:pPr>
            <w:r w:rsidRPr="000A0A5F">
              <w:rPr>
                <w:rFonts w:eastAsia="Times New Roman"/>
              </w:rPr>
              <w:t>Cardinality</w:t>
            </w:r>
          </w:p>
        </w:tc>
        <w:tc>
          <w:tcPr>
            <w:tcW w:w="3544"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Description</w:t>
            </w:r>
          </w:p>
        </w:tc>
        <w:tc>
          <w:tcPr>
            <w:tcW w:w="1257"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Applicability (NOTE)</w:t>
            </w:r>
          </w:p>
        </w:tc>
      </w:tr>
      <w:tr w:rsidR="00CB0DD7" w:rsidRPr="000A0A5F" w:rsidTr="00FF0AF8">
        <w:trPr>
          <w:jc w:val="center"/>
        </w:trPr>
        <w:tc>
          <w:tcPr>
            <w:tcW w:w="1948" w:type="dxa"/>
            <w:shd w:val="clear" w:color="auto" w:fill="auto"/>
          </w:tcPr>
          <w:p w:rsidR="00CB0DD7" w:rsidRPr="000A0A5F" w:rsidRDefault="00CB0DD7">
            <w:pPr>
              <w:pStyle w:val="TAL"/>
              <w:rPr>
                <w:rFonts w:eastAsia="Times New Roman"/>
              </w:rPr>
            </w:pPr>
            <w:r w:rsidRPr="000A0A5F">
              <w:rPr>
                <w:rFonts w:eastAsia="Times New Roman"/>
              </w:rPr>
              <w:t>self</w:t>
            </w:r>
          </w:p>
        </w:tc>
        <w:tc>
          <w:tcPr>
            <w:tcW w:w="1719" w:type="dxa"/>
            <w:shd w:val="clear" w:color="auto" w:fill="auto"/>
          </w:tcPr>
          <w:p w:rsidR="00CB0DD7" w:rsidRPr="000A0A5F" w:rsidRDefault="00CB0DD7">
            <w:pPr>
              <w:pStyle w:val="TAL"/>
              <w:rPr>
                <w:rFonts w:eastAsia="Times New Roman"/>
              </w:rPr>
            </w:pPr>
            <w:r w:rsidRPr="000A0A5F">
              <w:rPr>
                <w:rFonts w:eastAsia="Times New Roman"/>
              </w:rPr>
              <w:t>Link</w:t>
            </w:r>
          </w:p>
        </w:tc>
        <w:tc>
          <w:tcPr>
            <w:tcW w:w="1134" w:type="dxa"/>
            <w:shd w:val="clear" w:color="auto" w:fill="auto"/>
          </w:tcPr>
          <w:p w:rsidR="00CB0DD7" w:rsidRPr="000A0A5F" w:rsidRDefault="00CB0DD7">
            <w:pPr>
              <w:pStyle w:val="TAL"/>
              <w:rPr>
                <w:rFonts w:eastAsia="Times New Roman"/>
              </w:rPr>
            </w:pPr>
            <w:r w:rsidRPr="000A0A5F">
              <w:rPr>
                <w:rFonts w:eastAsia="Times New Roman"/>
              </w:rPr>
              <w:t>0..1</w:t>
            </w:r>
          </w:p>
        </w:tc>
        <w:tc>
          <w:tcPr>
            <w:tcW w:w="3544" w:type="dxa"/>
            <w:shd w:val="clear" w:color="auto" w:fill="auto"/>
          </w:tcPr>
          <w:p w:rsidR="00CB0DD7" w:rsidRPr="000A0A5F" w:rsidRDefault="00CB0DD7">
            <w:pPr>
              <w:pStyle w:val="TF"/>
              <w:jc w:val="left"/>
              <w:rPr>
                <w:rFonts w:eastAsia="Times New Roman" w:cs="Arial"/>
                <w:szCs w:val="18"/>
              </w:rPr>
            </w:pPr>
            <w:r w:rsidRPr="000A0A5F">
              <w:rPr>
                <w:rFonts w:cs="Arial"/>
                <w:b w:val="0"/>
                <w:sz w:val="18"/>
                <w:szCs w:val="18"/>
                <w:lang w:eastAsia="zh-CN"/>
              </w:rPr>
              <w:t>Link to the resource "Individual xMB Service". This parameter shall be supplied by the SCEF in HTTP responses.</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rPr>
                <w:rFonts w:eastAsia="Times New Roman"/>
              </w:rPr>
            </w:pPr>
            <w:r w:rsidRPr="000A0A5F">
              <w:t>supportedFeatures</w:t>
            </w:r>
          </w:p>
        </w:tc>
        <w:tc>
          <w:tcPr>
            <w:tcW w:w="1719" w:type="dxa"/>
            <w:shd w:val="clear" w:color="auto" w:fill="auto"/>
          </w:tcPr>
          <w:p w:rsidR="00CB0DD7" w:rsidRPr="000A0A5F" w:rsidRDefault="00CB0DD7">
            <w:pPr>
              <w:pStyle w:val="TAL"/>
              <w:rPr>
                <w:rFonts w:eastAsia="Times New Roman"/>
              </w:rPr>
            </w:pPr>
            <w:r w:rsidRPr="000A0A5F">
              <w:t>SupportedFeatures</w:t>
            </w:r>
          </w:p>
        </w:tc>
        <w:tc>
          <w:tcPr>
            <w:tcW w:w="1134" w:type="dxa"/>
            <w:shd w:val="clear" w:color="auto" w:fill="auto"/>
          </w:tcPr>
          <w:p w:rsidR="00CB0DD7" w:rsidRPr="000A0A5F" w:rsidRDefault="00CB0DD7">
            <w:pPr>
              <w:pStyle w:val="TAL"/>
              <w:rPr>
                <w:rFonts w:eastAsia="Times New Roman"/>
              </w:rPr>
            </w:pPr>
            <w:r w:rsidRPr="000A0A5F">
              <w:t>0..1</w:t>
            </w:r>
          </w:p>
        </w:tc>
        <w:tc>
          <w:tcPr>
            <w:tcW w:w="3544" w:type="dxa"/>
            <w:shd w:val="clear" w:color="auto" w:fill="auto"/>
          </w:tcPr>
          <w:p w:rsidR="00CB0DD7" w:rsidRPr="000A0A5F" w:rsidRDefault="00CB0DD7">
            <w:pPr>
              <w:pStyle w:val="TAL"/>
            </w:pPr>
            <w:r w:rsidRPr="000A0A5F">
              <w:t>Used to negotiate the supported optional features of the API as described in clause 5.2.7.</w:t>
            </w:r>
          </w:p>
          <w:p w:rsidR="00CB0DD7" w:rsidRPr="000A0A5F" w:rsidRDefault="00CB0DD7">
            <w:pPr>
              <w:pStyle w:val="TF"/>
              <w:spacing w:after="0"/>
              <w:jc w:val="left"/>
              <w:rPr>
                <w:rFonts w:cs="Arial"/>
                <w:b w:val="0"/>
                <w:sz w:val="18"/>
                <w:szCs w:val="18"/>
                <w:lang w:eastAsia="zh-CN"/>
              </w:rPr>
            </w:pPr>
            <w:r w:rsidRPr="000A0A5F">
              <w:rPr>
                <w:b w:val="0"/>
                <w:sz w:val="18"/>
              </w:rPr>
              <w:t>This attribute shall be provided in the POST request and in the response of successful resource creation.</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rPr>
                <w:rFonts w:eastAsia="Times New Roman"/>
              </w:rPr>
            </w:pPr>
            <w:r w:rsidRPr="000A0A5F">
              <w:rPr>
                <w:lang w:eastAsia="zh-CN"/>
              </w:rPr>
              <w:t>e</w:t>
            </w:r>
            <w:r w:rsidRPr="000A0A5F">
              <w:rPr>
                <w:rFonts w:hint="eastAsia"/>
                <w:lang w:eastAsia="zh-CN"/>
              </w:rPr>
              <w:t>xternalGroup</w:t>
            </w:r>
            <w:r w:rsidRPr="000A0A5F">
              <w:rPr>
                <w:lang w:eastAsia="zh-CN"/>
              </w:rPr>
              <w:t>Id</w:t>
            </w:r>
          </w:p>
        </w:tc>
        <w:tc>
          <w:tcPr>
            <w:tcW w:w="1719" w:type="dxa"/>
            <w:shd w:val="clear" w:color="auto" w:fill="auto"/>
          </w:tcPr>
          <w:p w:rsidR="00CB0DD7" w:rsidRPr="000A0A5F" w:rsidRDefault="00CB0DD7">
            <w:pPr>
              <w:pStyle w:val="TAL"/>
              <w:rPr>
                <w:rFonts w:eastAsia="Times New Roman"/>
              </w:rPr>
            </w:pPr>
            <w:r w:rsidRPr="000A0A5F">
              <w:rPr>
                <w:lang w:eastAsia="zh-CN"/>
              </w:rPr>
              <w:t>ExternalGroupId</w:t>
            </w:r>
          </w:p>
        </w:tc>
        <w:tc>
          <w:tcPr>
            <w:tcW w:w="1134" w:type="dxa"/>
            <w:shd w:val="clear" w:color="auto" w:fill="auto"/>
          </w:tcPr>
          <w:p w:rsidR="00CB0DD7" w:rsidRPr="000A0A5F" w:rsidRDefault="00CB0DD7">
            <w:pPr>
              <w:pStyle w:val="TAL"/>
              <w:rPr>
                <w:rFonts w:eastAsia="Times New Roman"/>
              </w:rPr>
            </w:pPr>
            <w:r w:rsidRPr="000A0A5F">
              <w:rPr>
                <w:rFonts w:eastAsia="Times New Roman"/>
              </w:rPr>
              <w:t>0..1</w:t>
            </w:r>
          </w:p>
        </w:tc>
        <w:tc>
          <w:tcPr>
            <w:tcW w:w="3544" w:type="dxa"/>
            <w:shd w:val="clear" w:color="auto" w:fill="auto"/>
          </w:tcPr>
          <w:p w:rsidR="00CB0DD7" w:rsidRPr="000A0A5F" w:rsidRDefault="00CB0DD7">
            <w:pPr>
              <w:pStyle w:val="TAL"/>
              <w:rPr>
                <w:rFonts w:eastAsia="Times New Roman" w:cs="Arial"/>
                <w:szCs w:val="18"/>
              </w:rPr>
            </w:pPr>
            <w:r w:rsidRPr="000A0A5F">
              <w:rPr>
                <w:rFonts w:eastAsia="Times New Roman" w:cs="Arial"/>
                <w:szCs w:val="18"/>
              </w:rPr>
              <w:t>Identifies a user group as defined in clause</w:t>
            </w:r>
            <w:r w:rsidR="000902D9" w:rsidRPr="000A0A5F">
              <w:rPr>
                <w:rFonts w:eastAsia="Times New Roman" w:cs="Arial"/>
                <w:szCs w:val="18"/>
              </w:rPr>
              <w:t> </w:t>
            </w:r>
            <w:r w:rsidRPr="000A0A5F">
              <w:rPr>
                <w:rFonts w:eastAsia="Times New Roman" w:cs="Arial"/>
                <w:szCs w:val="18"/>
              </w:rPr>
              <w:t>4.6.2 of 3GPP TS 23.682 [2] supplied by the SCS/AS.</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rPr>
                <w:rFonts w:hint="eastAsia"/>
                <w:lang w:eastAsia="zh-CN"/>
              </w:rPr>
            </w:pPr>
            <w:r w:rsidRPr="000A0A5F">
              <w:rPr>
                <w:lang w:eastAsia="zh-CN"/>
              </w:rPr>
              <w:t>userS</w:t>
            </w:r>
            <w:r w:rsidRPr="000A0A5F">
              <w:rPr>
                <w:rFonts w:hint="eastAsia"/>
                <w:lang w:eastAsia="zh-CN"/>
              </w:rPr>
              <w:t>er</w:t>
            </w:r>
            <w:r w:rsidRPr="000A0A5F">
              <w:rPr>
                <w:lang w:eastAsia="zh-CN"/>
              </w:rPr>
              <w:t>viceId</w:t>
            </w:r>
          </w:p>
        </w:tc>
        <w:tc>
          <w:tcPr>
            <w:tcW w:w="1719" w:type="dxa"/>
            <w:shd w:val="clear" w:color="auto" w:fill="auto"/>
          </w:tcPr>
          <w:p w:rsidR="00CB0DD7" w:rsidRPr="000A0A5F" w:rsidRDefault="00CB0DD7">
            <w:pPr>
              <w:pStyle w:val="TAL"/>
              <w:rPr>
                <w:rFonts w:hint="eastAsia"/>
                <w:lang w:eastAsia="zh-CN"/>
              </w:rPr>
            </w:pPr>
            <w:r w:rsidRPr="000A0A5F">
              <w:rPr>
                <w:lang w:eastAsia="zh-CN"/>
              </w:rPr>
              <w:t>string</w:t>
            </w:r>
          </w:p>
        </w:tc>
        <w:tc>
          <w:tcPr>
            <w:tcW w:w="1134" w:type="dxa"/>
            <w:shd w:val="clear" w:color="auto" w:fill="auto"/>
          </w:tcPr>
          <w:p w:rsidR="00CB0DD7" w:rsidRPr="000A0A5F" w:rsidRDefault="00CB0DD7">
            <w:pPr>
              <w:pStyle w:val="TAL"/>
              <w:rPr>
                <w:rFonts w:eastAsia="Times New Roman"/>
              </w:rPr>
            </w:pPr>
            <w:r w:rsidRPr="000A0A5F">
              <w:rPr>
                <w:rFonts w:eastAsia="Times New Roman"/>
              </w:rPr>
              <w:t>0..1</w:t>
            </w:r>
          </w:p>
        </w:tc>
        <w:tc>
          <w:tcPr>
            <w:tcW w:w="3544" w:type="dxa"/>
            <w:shd w:val="clear" w:color="auto" w:fill="auto"/>
          </w:tcPr>
          <w:p w:rsidR="00CB0DD7" w:rsidRPr="000A0A5F" w:rsidRDefault="00CB0DD7">
            <w:pPr>
              <w:pStyle w:val="TAL"/>
              <w:rPr>
                <w:rFonts w:cs="Arial" w:hint="eastAsia"/>
                <w:szCs w:val="18"/>
                <w:lang w:eastAsia="zh-CN"/>
              </w:rPr>
            </w:pPr>
            <w:r w:rsidRPr="000A0A5F">
              <w:t>Identifies the MBMS User Service supplied by the SCEF.</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rPr>
                <w:rFonts w:hint="eastAsia"/>
                <w:lang w:eastAsia="zh-CN"/>
              </w:rPr>
            </w:pPr>
            <w:r w:rsidRPr="000A0A5F">
              <w:rPr>
                <w:rFonts w:hint="eastAsia"/>
                <w:lang w:eastAsia="zh-CN"/>
              </w:rPr>
              <w:t>serviceClass</w:t>
            </w:r>
          </w:p>
        </w:tc>
        <w:tc>
          <w:tcPr>
            <w:tcW w:w="1719" w:type="dxa"/>
            <w:shd w:val="clear" w:color="auto" w:fill="auto"/>
          </w:tcPr>
          <w:p w:rsidR="00CB0DD7" w:rsidRPr="000A0A5F" w:rsidRDefault="00CB0DD7">
            <w:pPr>
              <w:pStyle w:val="TAL"/>
              <w:rPr>
                <w:rFonts w:hint="eastAsia"/>
                <w:lang w:eastAsia="zh-CN"/>
              </w:rPr>
            </w:pPr>
            <w:r w:rsidRPr="000A0A5F">
              <w:rPr>
                <w:rFonts w:hint="eastAsia"/>
                <w:lang w:eastAsia="zh-CN"/>
              </w:rPr>
              <w:t>string</w:t>
            </w:r>
          </w:p>
        </w:tc>
        <w:tc>
          <w:tcPr>
            <w:tcW w:w="1134" w:type="dxa"/>
            <w:shd w:val="clear" w:color="auto" w:fill="auto"/>
          </w:tcPr>
          <w:p w:rsidR="00CB0DD7" w:rsidRPr="000A0A5F" w:rsidRDefault="00CB0DD7">
            <w:pPr>
              <w:pStyle w:val="TAL"/>
              <w:rPr>
                <w:rFonts w:eastAsia="Times New Roman"/>
              </w:rPr>
            </w:pPr>
            <w:r w:rsidRPr="000A0A5F">
              <w:rPr>
                <w:rFonts w:eastAsia="Times New Roman"/>
              </w:rPr>
              <w:t>0..1</w:t>
            </w:r>
          </w:p>
        </w:tc>
        <w:tc>
          <w:tcPr>
            <w:tcW w:w="3544" w:type="dxa"/>
            <w:shd w:val="clear" w:color="auto" w:fill="auto"/>
          </w:tcPr>
          <w:p w:rsidR="00CB0DD7" w:rsidRPr="000A0A5F" w:rsidRDefault="00CB0DD7">
            <w:pPr>
              <w:pStyle w:val="TAL"/>
              <w:rPr>
                <w:rFonts w:cs="Arial" w:hint="eastAsia"/>
                <w:szCs w:val="18"/>
                <w:lang w:eastAsia="zh-CN"/>
              </w:rPr>
            </w:pPr>
            <w:r w:rsidRPr="000A0A5F">
              <w:t>The service class that service belongs to supplied by the SCEF.</w:t>
            </w:r>
          </w:p>
        </w:tc>
        <w:tc>
          <w:tcPr>
            <w:tcW w:w="1257" w:type="dxa"/>
          </w:tcPr>
          <w:p w:rsidR="00CB0DD7" w:rsidRPr="000A0A5F" w:rsidRDefault="00CB0DD7">
            <w:pPr>
              <w:pStyle w:val="TAL"/>
              <w:rPr>
                <w:rFonts w:eastAsia="Times New Roman" w:cs="Arial"/>
                <w:szCs w:val="18"/>
              </w:rPr>
            </w:pPr>
          </w:p>
        </w:tc>
      </w:tr>
      <w:tr w:rsidR="00CB0DD7" w:rsidRPr="000A0A5F" w:rsidTr="00FF0AF8">
        <w:trPr>
          <w:trHeight w:val="255"/>
          <w:jc w:val="center"/>
        </w:trPr>
        <w:tc>
          <w:tcPr>
            <w:tcW w:w="1948" w:type="dxa"/>
            <w:shd w:val="clear" w:color="auto" w:fill="auto"/>
            <w:vAlign w:val="center"/>
          </w:tcPr>
          <w:p w:rsidR="00CB0DD7" w:rsidRPr="000A0A5F" w:rsidRDefault="00CB0DD7">
            <w:pPr>
              <w:pStyle w:val="TF"/>
              <w:jc w:val="left"/>
              <w:rPr>
                <w:rFonts w:hint="eastAsia"/>
                <w:b w:val="0"/>
                <w:sz w:val="18"/>
                <w:lang w:eastAsia="zh-CN"/>
              </w:rPr>
            </w:pPr>
            <w:r w:rsidRPr="000A0A5F">
              <w:rPr>
                <w:b w:val="0"/>
                <w:sz w:val="18"/>
                <w:lang w:eastAsia="zh-CN"/>
              </w:rPr>
              <w:t>serviceLanguages</w:t>
            </w:r>
          </w:p>
        </w:tc>
        <w:tc>
          <w:tcPr>
            <w:tcW w:w="1719" w:type="dxa"/>
            <w:shd w:val="clear" w:color="auto" w:fill="auto"/>
          </w:tcPr>
          <w:p w:rsidR="00CB0DD7" w:rsidRPr="000A0A5F" w:rsidRDefault="00CB0DD7">
            <w:pPr>
              <w:pStyle w:val="TF"/>
              <w:jc w:val="left"/>
              <w:rPr>
                <w:rFonts w:hint="eastAsia"/>
                <w:b w:val="0"/>
                <w:sz w:val="18"/>
                <w:lang w:eastAsia="zh-CN"/>
              </w:rPr>
            </w:pPr>
            <w:r w:rsidRPr="000A0A5F">
              <w:rPr>
                <w:b w:val="0"/>
                <w:sz w:val="18"/>
                <w:lang w:eastAsia="zh-CN"/>
              </w:rPr>
              <w:t>array(string)</w:t>
            </w:r>
          </w:p>
        </w:tc>
        <w:tc>
          <w:tcPr>
            <w:tcW w:w="1134" w:type="dxa"/>
            <w:shd w:val="clear" w:color="auto" w:fill="auto"/>
          </w:tcPr>
          <w:p w:rsidR="00CB0DD7" w:rsidRPr="000A0A5F" w:rsidRDefault="00CB0DD7">
            <w:pPr>
              <w:pStyle w:val="TF"/>
              <w:jc w:val="left"/>
              <w:rPr>
                <w:b w:val="0"/>
                <w:sz w:val="18"/>
                <w:lang w:eastAsia="zh-CN"/>
              </w:rPr>
            </w:pPr>
            <w:r w:rsidRPr="000A0A5F">
              <w:rPr>
                <w:b w:val="0"/>
                <w:sz w:val="18"/>
                <w:lang w:eastAsia="zh-CN"/>
              </w:rPr>
              <w:t>0..N</w:t>
            </w:r>
          </w:p>
        </w:tc>
        <w:tc>
          <w:tcPr>
            <w:tcW w:w="3544" w:type="dxa"/>
            <w:shd w:val="clear" w:color="auto" w:fill="auto"/>
          </w:tcPr>
          <w:p w:rsidR="00CB0DD7" w:rsidRPr="000A0A5F" w:rsidRDefault="00CB0DD7">
            <w:pPr>
              <w:pStyle w:val="TF"/>
              <w:jc w:val="left"/>
              <w:rPr>
                <w:rFonts w:hint="eastAsia"/>
                <w:b w:val="0"/>
                <w:sz w:val="18"/>
                <w:lang w:eastAsia="zh-CN"/>
              </w:rPr>
            </w:pPr>
            <w:r w:rsidRPr="000A0A5F">
              <w:rPr>
                <w:b w:val="0"/>
                <w:sz w:val="18"/>
                <w:lang w:eastAsia="zh-CN"/>
              </w:rPr>
              <w:t>List of language of the service content supplied by the SCEF.</w:t>
            </w:r>
          </w:p>
        </w:tc>
        <w:tc>
          <w:tcPr>
            <w:tcW w:w="1257" w:type="dxa"/>
          </w:tcPr>
          <w:p w:rsidR="00CB0DD7" w:rsidRPr="000A0A5F" w:rsidRDefault="00CB0DD7">
            <w:pPr>
              <w:pStyle w:val="TF"/>
              <w:rPr>
                <w:b w:val="0"/>
                <w:sz w:val="18"/>
                <w:lang w:eastAsia="zh-CN"/>
              </w:rPr>
            </w:pPr>
          </w:p>
        </w:tc>
      </w:tr>
      <w:tr w:rsidR="00CB0DD7" w:rsidRPr="000A0A5F" w:rsidTr="00FF0AF8">
        <w:trPr>
          <w:jc w:val="center"/>
        </w:trPr>
        <w:tc>
          <w:tcPr>
            <w:tcW w:w="1948" w:type="dxa"/>
            <w:shd w:val="clear" w:color="auto" w:fill="auto"/>
            <w:vAlign w:val="center"/>
          </w:tcPr>
          <w:p w:rsidR="00CB0DD7" w:rsidRPr="000A0A5F" w:rsidRDefault="00CB0DD7">
            <w:pPr>
              <w:pStyle w:val="TAR"/>
              <w:jc w:val="left"/>
              <w:rPr>
                <w:lang w:eastAsia="zh-CN"/>
              </w:rPr>
            </w:pPr>
            <w:r w:rsidRPr="000A0A5F">
              <w:t>serviceNames</w:t>
            </w:r>
          </w:p>
        </w:tc>
        <w:tc>
          <w:tcPr>
            <w:tcW w:w="1719" w:type="dxa"/>
            <w:shd w:val="clear" w:color="auto" w:fill="auto"/>
          </w:tcPr>
          <w:p w:rsidR="00CB0DD7" w:rsidRPr="000A0A5F" w:rsidRDefault="00CB0DD7">
            <w:pPr>
              <w:pStyle w:val="TAL"/>
              <w:rPr>
                <w:lang w:eastAsia="zh-CN"/>
              </w:rPr>
            </w:pPr>
            <w:r w:rsidRPr="000A0A5F">
              <w:rPr>
                <w:lang w:eastAsia="zh-CN"/>
              </w:rPr>
              <w:t>array(string)</w:t>
            </w:r>
          </w:p>
        </w:tc>
        <w:tc>
          <w:tcPr>
            <w:tcW w:w="1134" w:type="dxa"/>
            <w:shd w:val="clear" w:color="auto" w:fill="auto"/>
          </w:tcPr>
          <w:p w:rsidR="00CB0DD7" w:rsidRPr="000A0A5F" w:rsidRDefault="00CB0DD7">
            <w:pPr>
              <w:pStyle w:val="TAL"/>
              <w:rPr>
                <w:rFonts w:hint="eastAsia"/>
                <w:lang w:eastAsia="zh-CN"/>
              </w:rPr>
            </w:pPr>
            <w:r w:rsidRPr="000A0A5F">
              <w:rPr>
                <w:rFonts w:hint="eastAsia"/>
                <w:lang w:eastAsia="zh-CN"/>
              </w:rPr>
              <w:t>0..</w:t>
            </w:r>
            <w:r w:rsidRPr="000A0A5F">
              <w:rPr>
                <w:lang w:eastAsia="zh-CN"/>
              </w:rPr>
              <w:t>N</w:t>
            </w:r>
          </w:p>
        </w:tc>
        <w:tc>
          <w:tcPr>
            <w:tcW w:w="3544" w:type="dxa"/>
            <w:shd w:val="clear" w:color="auto" w:fill="auto"/>
          </w:tcPr>
          <w:p w:rsidR="00CB0DD7" w:rsidRPr="000A0A5F" w:rsidRDefault="00CB0DD7">
            <w:pPr>
              <w:pStyle w:val="TAL"/>
              <w:rPr>
                <w:rFonts w:cs="Arial" w:hint="eastAsia"/>
                <w:szCs w:val="18"/>
                <w:lang w:eastAsia="zh-CN"/>
              </w:rPr>
            </w:pPr>
            <w:r w:rsidRPr="000A0A5F">
              <w:t xml:space="preserve">List of Service Names </w:t>
            </w:r>
            <w:r w:rsidRPr="000A0A5F">
              <w:rPr>
                <w:rFonts w:eastAsia="Batang"/>
              </w:rPr>
              <w:t>supplied by the SCEF</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vAlign w:val="center"/>
          </w:tcPr>
          <w:p w:rsidR="00CB0DD7" w:rsidRPr="000A0A5F" w:rsidRDefault="00CB0DD7">
            <w:pPr>
              <w:pStyle w:val="TAR"/>
              <w:jc w:val="left"/>
              <w:rPr>
                <w:rFonts w:hint="eastAsia"/>
                <w:lang w:eastAsia="zh-CN"/>
              </w:rPr>
            </w:pPr>
            <w:r w:rsidRPr="000A0A5F">
              <w:t>receiveOnlyMode</w:t>
            </w:r>
          </w:p>
        </w:tc>
        <w:tc>
          <w:tcPr>
            <w:tcW w:w="1719" w:type="dxa"/>
            <w:shd w:val="clear" w:color="auto" w:fill="auto"/>
          </w:tcPr>
          <w:p w:rsidR="00CB0DD7" w:rsidRPr="000A0A5F" w:rsidRDefault="00CB0DD7">
            <w:pPr>
              <w:pStyle w:val="TAL"/>
              <w:rPr>
                <w:rFonts w:hint="eastAsia"/>
                <w:lang w:eastAsia="zh-CN"/>
              </w:rPr>
            </w:pPr>
            <w:r w:rsidRPr="000A0A5F">
              <w:rPr>
                <w:rFonts w:hint="eastAsia"/>
                <w:lang w:eastAsia="zh-CN"/>
              </w:rPr>
              <w:t>boolean</w:t>
            </w:r>
          </w:p>
        </w:tc>
        <w:tc>
          <w:tcPr>
            <w:tcW w:w="1134" w:type="dxa"/>
            <w:shd w:val="clear" w:color="auto" w:fill="auto"/>
          </w:tcPr>
          <w:p w:rsidR="00CB0DD7" w:rsidRPr="000A0A5F" w:rsidRDefault="00CB0DD7">
            <w:pPr>
              <w:pStyle w:val="TAL"/>
              <w:rPr>
                <w:rFonts w:hint="eastAsia"/>
                <w:lang w:eastAsia="zh-CN"/>
              </w:rPr>
            </w:pPr>
            <w:r w:rsidRPr="000A0A5F">
              <w:rPr>
                <w:rFonts w:hint="eastAsia"/>
                <w:lang w:eastAsia="zh-CN"/>
              </w:rPr>
              <w:t>0..1</w:t>
            </w:r>
          </w:p>
        </w:tc>
        <w:tc>
          <w:tcPr>
            <w:tcW w:w="3544" w:type="dxa"/>
            <w:shd w:val="clear" w:color="auto" w:fill="auto"/>
          </w:tcPr>
          <w:p w:rsidR="00CB0DD7" w:rsidRPr="000A0A5F" w:rsidRDefault="00CB0DD7">
            <w:pPr>
              <w:pStyle w:val="TAL"/>
              <w:rPr>
                <w:rFonts w:cs="Arial" w:hint="eastAsia"/>
                <w:szCs w:val="18"/>
                <w:lang w:eastAsia="zh-CN"/>
              </w:rPr>
            </w:pPr>
            <w:r w:rsidRPr="000A0A5F">
              <w:t xml:space="preserve">When set to 'true', the Content Provider indicates that the service is a Receive Only Mode service. This parameter is </w:t>
            </w:r>
            <w:r w:rsidRPr="000A0A5F">
              <w:rPr>
                <w:rFonts w:eastAsia="Batang"/>
              </w:rPr>
              <w:t>supplied by the SCEF</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vAlign w:val="center"/>
          </w:tcPr>
          <w:p w:rsidR="00CB0DD7" w:rsidRPr="000A0A5F" w:rsidRDefault="00CB0DD7">
            <w:pPr>
              <w:pStyle w:val="TAR"/>
              <w:jc w:val="left"/>
              <w:rPr>
                <w:rFonts w:hint="eastAsia"/>
                <w:lang w:eastAsia="zh-CN"/>
              </w:rPr>
            </w:pPr>
            <w:r w:rsidRPr="000A0A5F">
              <w:t>serviceAnnouncementMode</w:t>
            </w:r>
          </w:p>
        </w:tc>
        <w:tc>
          <w:tcPr>
            <w:tcW w:w="1719" w:type="dxa"/>
            <w:shd w:val="clear" w:color="auto" w:fill="auto"/>
          </w:tcPr>
          <w:p w:rsidR="00CB0DD7" w:rsidRPr="000A0A5F" w:rsidRDefault="00CB0DD7">
            <w:pPr>
              <w:pStyle w:val="TAL"/>
              <w:rPr>
                <w:rFonts w:hint="eastAsia"/>
                <w:lang w:eastAsia="zh-CN"/>
              </w:rPr>
            </w:pPr>
            <w:r w:rsidRPr="000A0A5F">
              <w:rPr>
                <w:lang w:eastAsia="zh-CN"/>
              </w:rPr>
              <w:t>ServiceAnnouncementMode</w:t>
            </w:r>
          </w:p>
        </w:tc>
        <w:tc>
          <w:tcPr>
            <w:tcW w:w="1134" w:type="dxa"/>
            <w:shd w:val="clear" w:color="auto" w:fill="auto"/>
          </w:tcPr>
          <w:p w:rsidR="00CB0DD7" w:rsidRPr="000A0A5F" w:rsidRDefault="00CB0DD7">
            <w:pPr>
              <w:pStyle w:val="TAL"/>
              <w:rPr>
                <w:rFonts w:hint="eastAsia"/>
                <w:lang w:eastAsia="zh-CN"/>
              </w:rPr>
            </w:pPr>
            <w:r w:rsidRPr="000A0A5F">
              <w:rPr>
                <w:rFonts w:hint="eastAsia"/>
                <w:lang w:eastAsia="zh-CN"/>
              </w:rPr>
              <w:t>0..1</w:t>
            </w:r>
          </w:p>
        </w:tc>
        <w:tc>
          <w:tcPr>
            <w:tcW w:w="3544" w:type="dxa"/>
            <w:shd w:val="clear" w:color="auto" w:fill="auto"/>
          </w:tcPr>
          <w:p w:rsidR="00CB0DD7" w:rsidRPr="000A0A5F" w:rsidRDefault="00CB0DD7">
            <w:pPr>
              <w:pStyle w:val="TAL"/>
              <w:rPr>
                <w:rFonts w:cs="Arial" w:hint="eastAsia"/>
                <w:szCs w:val="18"/>
                <w:lang w:eastAsia="zh-CN"/>
              </w:rPr>
            </w:pPr>
            <w:r w:rsidRPr="000A0A5F">
              <w:t xml:space="preserve">Enumeration of Service Announcement Mode </w:t>
            </w:r>
            <w:r w:rsidRPr="000A0A5F">
              <w:rPr>
                <w:rFonts w:eastAsia="Batang"/>
              </w:rPr>
              <w:t>supplied by the SCEF</w:t>
            </w:r>
            <w:r w:rsidRPr="000A0A5F">
              <w:t>.</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9602" w:type="dxa"/>
            <w:gridSpan w:val="5"/>
            <w:shd w:val="clear" w:color="auto" w:fill="auto"/>
          </w:tcPr>
          <w:p w:rsidR="00CB0DD7" w:rsidRPr="000A0A5F" w:rsidRDefault="00CB0DD7">
            <w:pPr>
              <w:pStyle w:val="TAN"/>
            </w:pPr>
            <w:r w:rsidRPr="000A0A5F">
              <w:t>NOTE:</w:t>
            </w:r>
            <w:r w:rsidRPr="000A0A5F">
              <w:tab/>
              <w:t>Properties marked with a feature as defined in clause 5.8.4 are applicable as described in clause 5.2.7. If no features are indicated, the related property applies for all the features.</w:t>
            </w:r>
          </w:p>
        </w:tc>
      </w:tr>
    </w:tbl>
    <w:p w:rsidR="00CB0DD7" w:rsidRPr="000A0A5F" w:rsidRDefault="00CB0DD7"/>
    <w:p w:rsidR="00CB0DD7" w:rsidRPr="000A0A5F" w:rsidRDefault="00CB0DD7">
      <w:pPr>
        <w:pStyle w:val="Heading6"/>
      </w:pPr>
      <w:bookmarkStart w:id="5942" w:name="_Toc11247621"/>
      <w:bookmarkStart w:id="5943" w:name="_Toc27044760"/>
      <w:bookmarkStart w:id="5944" w:name="_Toc36033802"/>
      <w:bookmarkStart w:id="5945" w:name="_Toc45131948"/>
      <w:bookmarkStart w:id="5946" w:name="_Toc49776233"/>
      <w:bookmarkStart w:id="5947" w:name="_Toc51747153"/>
      <w:bookmarkStart w:id="5948" w:name="_Toc66360720"/>
      <w:bookmarkStart w:id="5949" w:name="_Toc68105225"/>
      <w:bookmarkStart w:id="5950" w:name="_Toc74755855"/>
      <w:bookmarkStart w:id="5951" w:name="_Toc105674730"/>
      <w:bookmarkStart w:id="5952" w:name="_Toc130502786"/>
      <w:bookmarkStart w:id="5953" w:name="_Toc153625573"/>
      <w:r w:rsidRPr="000A0A5F">
        <w:t>5.8.3.1.1.3</w:t>
      </w:r>
      <w:r w:rsidRPr="000A0A5F">
        <w:tab/>
        <w:t>Type: GMDViaMBMSByxMB</w:t>
      </w:r>
      <w:bookmarkEnd w:id="5942"/>
      <w:bookmarkEnd w:id="5943"/>
      <w:bookmarkEnd w:id="5944"/>
      <w:bookmarkEnd w:id="5945"/>
      <w:bookmarkEnd w:id="5946"/>
      <w:bookmarkEnd w:id="5947"/>
      <w:bookmarkEnd w:id="5948"/>
      <w:bookmarkEnd w:id="5949"/>
      <w:bookmarkEnd w:id="5950"/>
      <w:bookmarkEnd w:id="5951"/>
      <w:bookmarkEnd w:id="5952"/>
      <w:bookmarkEnd w:id="5953"/>
    </w:p>
    <w:p w:rsidR="00CB0DD7" w:rsidRPr="000A0A5F" w:rsidRDefault="00CB0DD7">
      <w:r w:rsidRPr="000A0A5F">
        <w:t xml:space="preserve">This type represents the group message delivery via MBMS by xMB. </w:t>
      </w:r>
    </w:p>
    <w:p w:rsidR="00CB0DD7" w:rsidRPr="000A0A5F" w:rsidRDefault="00CB0DD7">
      <w:pPr>
        <w:pStyle w:val="TH"/>
      </w:pPr>
      <w:r w:rsidRPr="000A0A5F">
        <w:rPr>
          <w:noProof/>
        </w:rPr>
        <w:t>Table </w:t>
      </w:r>
      <w:r w:rsidRPr="000A0A5F">
        <w:t xml:space="preserve">5.8.3.1.1.3-1: </w:t>
      </w:r>
      <w:r w:rsidRPr="000A0A5F">
        <w:rPr>
          <w:noProof/>
        </w:rPr>
        <w:t xml:space="preserve">Definition of type </w:t>
      </w:r>
      <w:r w:rsidRPr="000A0A5F">
        <w:t>GMDViaMBMSByxMB</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948"/>
        <w:gridCol w:w="2126"/>
        <w:gridCol w:w="1276"/>
        <w:gridCol w:w="2995"/>
        <w:gridCol w:w="1257"/>
      </w:tblGrid>
      <w:tr w:rsidR="00CB0DD7" w:rsidRPr="000A0A5F" w:rsidTr="00FF0AF8">
        <w:trPr>
          <w:jc w:val="center"/>
        </w:trPr>
        <w:tc>
          <w:tcPr>
            <w:tcW w:w="1948" w:type="dxa"/>
            <w:shd w:val="clear" w:color="auto" w:fill="C0C0C0"/>
          </w:tcPr>
          <w:p w:rsidR="00CB0DD7" w:rsidRPr="000A0A5F" w:rsidRDefault="00CB0DD7">
            <w:pPr>
              <w:pStyle w:val="TAH"/>
              <w:rPr>
                <w:rFonts w:eastAsia="Times New Roman"/>
              </w:rPr>
            </w:pPr>
            <w:r w:rsidRPr="000A0A5F">
              <w:rPr>
                <w:rFonts w:eastAsia="Times New Roman"/>
              </w:rPr>
              <w:t>Attribute name</w:t>
            </w:r>
          </w:p>
        </w:tc>
        <w:tc>
          <w:tcPr>
            <w:tcW w:w="2126" w:type="dxa"/>
            <w:shd w:val="clear" w:color="auto" w:fill="C0C0C0"/>
          </w:tcPr>
          <w:p w:rsidR="00CB0DD7" w:rsidRPr="000A0A5F" w:rsidRDefault="00CB0DD7">
            <w:pPr>
              <w:pStyle w:val="TAH"/>
              <w:rPr>
                <w:rFonts w:eastAsia="Times New Roman"/>
              </w:rPr>
            </w:pPr>
            <w:r w:rsidRPr="000A0A5F">
              <w:rPr>
                <w:rFonts w:eastAsia="Times New Roman"/>
              </w:rPr>
              <w:t>Data type</w:t>
            </w:r>
          </w:p>
        </w:tc>
        <w:tc>
          <w:tcPr>
            <w:tcW w:w="1276" w:type="dxa"/>
            <w:shd w:val="clear" w:color="auto" w:fill="C0C0C0"/>
          </w:tcPr>
          <w:p w:rsidR="00CB0DD7" w:rsidRPr="000A0A5F" w:rsidRDefault="00CB0DD7">
            <w:pPr>
              <w:pStyle w:val="TAH"/>
              <w:jc w:val="left"/>
              <w:rPr>
                <w:rFonts w:eastAsia="Times New Roman"/>
              </w:rPr>
            </w:pPr>
            <w:r w:rsidRPr="000A0A5F">
              <w:rPr>
                <w:rFonts w:eastAsia="Times New Roman"/>
              </w:rPr>
              <w:t>Cardinality</w:t>
            </w:r>
          </w:p>
        </w:tc>
        <w:tc>
          <w:tcPr>
            <w:tcW w:w="2995"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Description</w:t>
            </w:r>
          </w:p>
        </w:tc>
        <w:tc>
          <w:tcPr>
            <w:tcW w:w="1257"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Applicability (NOTE)</w:t>
            </w:r>
          </w:p>
        </w:tc>
      </w:tr>
      <w:tr w:rsidR="00CB0DD7" w:rsidRPr="000A0A5F" w:rsidTr="00FF0AF8">
        <w:trPr>
          <w:jc w:val="center"/>
        </w:trPr>
        <w:tc>
          <w:tcPr>
            <w:tcW w:w="1948" w:type="dxa"/>
            <w:shd w:val="clear" w:color="auto" w:fill="auto"/>
          </w:tcPr>
          <w:p w:rsidR="00CB0DD7" w:rsidRPr="000A0A5F" w:rsidRDefault="00CB0DD7">
            <w:pPr>
              <w:pStyle w:val="TAL"/>
              <w:rPr>
                <w:rFonts w:eastAsia="Times New Roman"/>
              </w:rPr>
            </w:pPr>
            <w:r w:rsidRPr="000A0A5F">
              <w:rPr>
                <w:rFonts w:eastAsia="Times New Roman"/>
              </w:rPr>
              <w:t>self</w:t>
            </w:r>
          </w:p>
        </w:tc>
        <w:tc>
          <w:tcPr>
            <w:tcW w:w="2126" w:type="dxa"/>
            <w:shd w:val="clear" w:color="auto" w:fill="auto"/>
          </w:tcPr>
          <w:p w:rsidR="00CB0DD7" w:rsidRPr="000A0A5F" w:rsidRDefault="00CB0DD7">
            <w:pPr>
              <w:pStyle w:val="TAL"/>
              <w:rPr>
                <w:rFonts w:eastAsia="Times New Roman"/>
              </w:rPr>
            </w:pPr>
            <w:r w:rsidRPr="000A0A5F">
              <w:rPr>
                <w:rFonts w:eastAsia="Times New Roman"/>
              </w:rPr>
              <w:t>Link</w:t>
            </w:r>
          </w:p>
        </w:tc>
        <w:tc>
          <w:tcPr>
            <w:tcW w:w="1276" w:type="dxa"/>
            <w:shd w:val="clear" w:color="auto" w:fill="auto"/>
          </w:tcPr>
          <w:p w:rsidR="00CB0DD7" w:rsidRPr="000A0A5F" w:rsidRDefault="00CB0DD7">
            <w:pPr>
              <w:pStyle w:val="TAL"/>
              <w:rPr>
                <w:rFonts w:eastAsia="Times New Roman"/>
              </w:rPr>
            </w:pPr>
            <w:r w:rsidRPr="000A0A5F">
              <w:rPr>
                <w:rFonts w:eastAsia="Times New Roman"/>
              </w:rPr>
              <w:t>0..1</w:t>
            </w:r>
          </w:p>
        </w:tc>
        <w:tc>
          <w:tcPr>
            <w:tcW w:w="2995" w:type="dxa"/>
            <w:shd w:val="clear" w:color="auto" w:fill="auto"/>
          </w:tcPr>
          <w:p w:rsidR="00CB0DD7" w:rsidRPr="000A0A5F" w:rsidRDefault="00CB0DD7">
            <w:pPr>
              <w:pStyle w:val="TAL"/>
              <w:rPr>
                <w:rFonts w:eastAsia="Times New Roman" w:cs="Arial"/>
                <w:szCs w:val="18"/>
              </w:rPr>
            </w:pPr>
            <w:r w:rsidRPr="000A0A5F">
              <w:rPr>
                <w:rFonts w:eastAsia="Times New Roman" w:cs="Arial"/>
                <w:szCs w:val="18"/>
              </w:rPr>
              <w:t xml:space="preserve">Link to the resource </w:t>
            </w:r>
            <w:r w:rsidRPr="000A0A5F">
              <w:t>"</w:t>
            </w:r>
            <w:r w:rsidRPr="000A0A5F">
              <w:rPr>
                <w:lang w:eastAsia="zh-CN"/>
              </w:rPr>
              <w:t xml:space="preserve">Individual </w:t>
            </w:r>
            <w:r w:rsidRPr="000A0A5F">
              <w:rPr>
                <w:rFonts w:hint="eastAsia"/>
                <w:lang w:eastAsia="zh-CN"/>
              </w:rPr>
              <w:t>GMD via MBMS</w:t>
            </w:r>
            <w:r w:rsidRPr="000A0A5F">
              <w:rPr>
                <w:lang w:eastAsia="zh-CN"/>
              </w:rPr>
              <w:t xml:space="preserve"> by xMB</w:t>
            </w:r>
            <w:r w:rsidRPr="000A0A5F">
              <w:t>"</w:t>
            </w:r>
            <w:r w:rsidRPr="000A0A5F">
              <w:rPr>
                <w:rFonts w:eastAsia="Times New Roman" w:cs="Arial"/>
                <w:szCs w:val="18"/>
              </w:rPr>
              <w:t>. This parameter shall be supplied by the SCEF in HTTP responses.</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rPr>
                <w:rFonts w:hint="eastAsia"/>
                <w:lang w:eastAsia="zh-CN"/>
              </w:rPr>
            </w:pPr>
            <w:r w:rsidRPr="000A0A5F">
              <w:rPr>
                <w:rFonts w:hint="eastAsia"/>
                <w:lang w:eastAsia="zh-CN"/>
              </w:rPr>
              <w:t>notification</w:t>
            </w:r>
            <w:r w:rsidRPr="000A0A5F">
              <w:rPr>
                <w:lang w:eastAsia="zh-CN"/>
              </w:rPr>
              <w:t>Destination</w:t>
            </w:r>
          </w:p>
        </w:tc>
        <w:tc>
          <w:tcPr>
            <w:tcW w:w="2126" w:type="dxa"/>
            <w:shd w:val="clear" w:color="auto" w:fill="auto"/>
          </w:tcPr>
          <w:p w:rsidR="00CB0DD7" w:rsidRPr="000A0A5F" w:rsidRDefault="00CB0DD7">
            <w:pPr>
              <w:pStyle w:val="TAL"/>
              <w:rPr>
                <w:rFonts w:hint="eastAsia"/>
                <w:lang w:eastAsia="zh-CN"/>
              </w:rPr>
            </w:pPr>
            <w:r w:rsidRPr="000A0A5F">
              <w:rPr>
                <w:rFonts w:hint="eastAsia"/>
                <w:lang w:eastAsia="zh-CN"/>
              </w:rPr>
              <w:t>Link</w:t>
            </w:r>
          </w:p>
        </w:tc>
        <w:tc>
          <w:tcPr>
            <w:tcW w:w="1276" w:type="dxa"/>
            <w:shd w:val="clear" w:color="auto" w:fill="auto"/>
          </w:tcPr>
          <w:p w:rsidR="00CB0DD7" w:rsidRPr="000A0A5F" w:rsidRDefault="00CB0DD7">
            <w:pPr>
              <w:pStyle w:val="TAL"/>
              <w:rPr>
                <w:rFonts w:hint="eastAsia"/>
                <w:lang w:eastAsia="zh-CN"/>
              </w:rPr>
            </w:pPr>
            <w:r w:rsidRPr="000A0A5F">
              <w:rPr>
                <w:rFonts w:hint="eastAsia"/>
                <w:lang w:eastAsia="zh-CN"/>
              </w:rPr>
              <w:t>1</w:t>
            </w:r>
          </w:p>
        </w:tc>
        <w:tc>
          <w:tcPr>
            <w:tcW w:w="2995" w:type="dxa"/>
            <w:shd w:val="clear" w:color="auto" w:fill="auto"/>
          </w:tcPr>
          <w:p w:rsidR="00CB0DD7" w:rsidRPr="000A0A5F" w:rsidRDefault="00CB0DD7">
            <w:pPr>
              <w:pStyle w:val="TAL"/>
              <w:rPr>
                <w:rFonts w:eastAsia="Times New Roman" w:cs="Arial"/>
                <w:szCs w:val="18"/>
              </w:rPr>
            </w:pPr>
            <w:r w:rsidRPr="000A0A5F">
              <w:rPr>
                <w:rFonts w:cs="Arial" w:hint="eastAsia"/>
                <w:szCs w:val="18"/>
                <w:lang w:eastAsia="zh-CN"/>
              </w:rPr>
              <w:t xml:space="preserve">A URI indicating the notification destination </w:t>
            </w:r>
            <w:r w:rsidRPr="000A0A5F">
              <w:rPr>
                <w:rFonts w:cs="Arial"/>
                <w:szCs w:val="18"/>
                <w:lang w:eastAsia="zh-CN"/>
              </w:rPr>
              <w:t xml:space="preserve">where </w:t>
            </w:r>
            <w:r w:rsidRPr="000A0A5F">
              <w:rPr>
                <w:rFonts w:cs="Arial" w:hint="eastAsia"/>
                <w:szCs w:val="18"/>
                <w:lang w:eastAsia="zh-CN"/>
              </w:rPr>
              <w:t xml:space="preserve">T8 </w:t>
            </w:r>
            <w:r w:rsidRPr="000A0A5F">
              <w:rPr>
                <w:rFonts w:cs="Arial"/>
                <w:szCs w:val="18"/>
                <w:lang w:eastAsia="zh-CN"/>
              </w:rPr>
              <w:t>notification requests shall be delivered</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rPr>
                <w:rFonts w:hint="eastAsia"/>
                <w:lang w:eastAsia="zh-CN"/>
              </w:rPr>
            </w:pPr>
            <w:r w:rsidRPr="000A0A5F">
              <w:t>requestTestNotification</w:t>
            </w:r>
          </w:p>
        </w:tc>
        <w:tc>
          <w:tcPr>
            <w:tcW w:w="2126" w:type="dxa"/>
            <w:shd w:val="clear" w:color="auto" w:fill="auto"/>
          </w:tcPr>
          <w:p w:rsidR="00CB0DD7" w:rsidRPr="000A0A5F" w:rsidRDefault="00CB0DD7">
            <w:pPr>
              <w:pStyle w:val="TAL"/>
              <w:rPr>
                <w:rFonts w:hint="eastAsia"/>
                <w:lang w:eastAsia="zh-CN"/>
              </w:rPr>
            </w:pPr>
            <w:r w:rsidRPr="000A0A5F">
              <w:t>boolean</w:t>
            </w:r>
          </w:p>
        </w:tc>
        <w:tc>
          <w:tcPr>
            <w:tcW w:w="1276" w:type="dxa"/>
            <w:shd w:val="clear" w:color="auto" w:fill="auto"/>
          </w:tcPr>
          <w:p w:rsidR="00CB0DD7" w:rsidRPr="000A0A5F" w:rsidRDefault="00CB0DD7">
            <w:pPr>
              <w:pStyle w:val="TAL"/>
              <w:rPr>
                <w:rFonts w:hint="eastAsia"/>
                <w:lang w:eastAsia="zh-CN"/>
              </w:rPr>
            </w:pPr>
            <w:r w:rsidRPr="000A0A5F">
              <w:t>0..1</w:t>
            </w:r>
          </w:p>
        </w:tc>
        <w:tc>
          <w:tcPr>
            <w:tcW w:w="2995" w:type="dxa"/>
            <w:shd w:val="clear" w:color="auto" w:fill="auto"/>
          </w:tcPr>
          <w:p w:rsidR="00CB0DD7" w:rsidRPr="000A0A5F" w:rsidRDefault="00CB0DD7">
            <w:pPr>
              <w:pageBreakBefo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hAnsi="Arial" w:hint="eastAsia"/>
                <w:sz w:val="18"/>
                <w:lang w:eastAsia="zh-CN"/>
              </w:rPr>
            </w:pPr>
            <w:r w:rsidRPr="000A0A5F">
              <w:rPr>
                <w:rFonts w:ascii="Arial" w:hAnsi="Arial"/>
                <w:sz w:val="18"/>
                <w:lang w:eastAsia="zh-CN"/>
              </w:rPr>
              <w:t>Set to true by the SCS/AS to request the SCEF to send a test notification as defined in clause</w:t>
            </w:r>
            <w:r w:rsidRPr="000A0A5F">
              <w:rPr>
                <w:rFonts w:ascii="Arial" w:hAnsi="Arial"/>
                <w:sz w:val="18"/>
                <w:lang w:val="en-US" w:eastAsia="zh-CN"/>
              </w:rPr>
              <w:t> </w:t>
            </w:r>
            <w:r w:rsidRPr="000A0A5F">
              <w:rPr>
                <w:rFonts w:ascii="Arial" w:hAnsi="Arial"/>
                <w:sz w:val="18"/>
                <w:lang w:eastAsia="zh-CN"/>
              </w:rPr>
              <w:t>5.2.5.3. Set to false or omitted otherwise.</w:t>
            </w:r>
          </w:p>
        </w:tc>
        <w:tc>
          <w:tcPr>
            <w:tcW w:w="1257" w:type="dxa"/>
          </w:tcPr>
          <w:p w:rsidR="00CB0DD7" w:rsidRPr="000A0A5F" w:rsidRDefault="00CB0DD7">
            <w:pPr>
              <w:pStyle w:val="TAL"/>
              <w:rPr>
                <w:rFonts w:eastAsia="Times New Roman" w:cs="Arial"/>
                <w:szCs w:val="18"/>
              </w:rPr>
            </w:pPr>
            <w:r w:rsidRPr="000A0A5F">
              <w:t>Notification_test_event</w:t>
            </w:r>
          </w:p>
        </w:tc>
      </w:tr>
      <w:tr w:rsidR="00CB0DD7" w:rsidRPr="000A0A5F" w:rsidTr="00FF0AF8">
        <w:trPr>
          <w:jc w:val="center"/>
        </w:trPr>
        <w:tc>
          <w:tcPr>
            <w:tcW w:w="1948" w:type="dxa"/>
            <w:shd w:val="clear" w:color="auto" w:fill="auto"/>
          </w:tcPr>
          <w:p w:rsidR="00CB0DD7" w:rsidRPr="000A0A5F" w:rsidRDefault="00CB0DD7">
            <w:pPr>
              <w:pStyle w:val="TAL"/>
              <w:rPr>
                <w:rFonts w:hint="eastAsia"/>
                <w:lang w:eastAsia="zh-CN"/>
              </w:rPr>
            </w:pPr>
            <w:r w:rsidRPr="000A0A5F">
              <w:rPr>
                <w:lang w:eastAsia="zh-CN"/>
              </w:rPr>
              <w:t>websockNotifConfig</w:t>
            </w:r>
          </w:p>
        </w:tc>
        <w:tc>
          <w:tcPr>
            <w:tcW w:w="2126" w:type="dxa"/>
            <w:shd w:val="clear" w:color="auto" w:fill="auto"/>
          </w:tcPr>
          <w:p w:rsidR="00CB0DD7" w:rsidRPr="000A0A5F" w:rsidRDefault="00CB0DD7">
            <w:pPr>
              <w:pStyle w:val="TAL"/>
              <w:rPr>
                <w:rFonts w:hint="eastAsia"/>
                <w:lang w:eastAsia="zh-CN"/>
              </w:rPr>
            </w:pPr>
            <w:r w:rsidRPr="000A0A5F">
              <w:rPr>
                <w:lang w:eastAsia="zh-CN"/>
              </w:rPr>
              <w:t>WebsockNotifConfig</w:t>
            </w:r>
          </w:p>
        </w:tc>
        <w:tc>
          <w:tcPr>
            <w:tcW w:w="1276" w:type="dxa"/>
            <w:shd w:val="clear" w:color="auto" w:fill="auto"/>
          </w:tcPr>
          <w:p w:rsidR="00CB0DD7" w:rsidRPr="000A0A5F" w:rsidRDefault="00CB0DD7">
            <w:pPr>
              <w:pStyle w:val="TAL"/>
              <w:rPr>
                <w:rFonts w:hint="eastAsia"/>
                <w:lang w:eastAsia="zh-CN"/>
              </w:rPr>
            </w:pPr>
            <w:r w:rsidRPr="000A0A5F">
              <w:rPr>
                <w:lang w:eastAsia="zh-CN"/>
              </w:rPr>
              <w:t>0..1</w:t>
            </w:r>
          </w:p>
        </w:tc>
        <w:tc>
          <w:tcPr>
            <w:tcW w:w="2995" w:type="dxa"/>
            <w:shd w:val="clear" w:color="auto" w:fill="auto"/>
          </w:tcPr>
          <w:p w:rsidR="00CB0DD7" w:rsidRPr="000A0A5F" w:rsidRDefault="00CB0DD7">
            <w:pPr>
              <w:pStyle w:val="TAL"/>
              <w:rPr>
                <w:rFonts w:cs="Arial" w:hint="eastAsia"/>
                <w:szCs w:val="18"/>
                <w:lang w:eastAsia="zh-CN"/>
              </w:rPr>
            </w:pPr>
            <w:r w:rsidRPr="000A0A5F">
              <w:rPr>
                <w:rFonts w:cs="Arial"/>
                <w:szCs w:val="18"/>
                <w:lang w:eastAsia="zh-CN"/>
              </w:rPr>
              <w:t>Configuration parameters to set up notification delivery over Websocket protocol as defined in clause</w:t>
            </w:r>
            <w:r w:rsidRPr="000A0A5F">
              <w:rPr>
                <w:rFonts w:cs="Arial"/>
                <w:szCs w:val="18"/>
                <w:lang w:val="en-US" w:eastAsia="zh-CN"/>
              </w:rPr>
              <w:t> </w:t>
            </w:r>
            <w:r w:rsidRPr="000A0A5F">
              <w:rPr>
                <w:rFonts w:cs="Arial"/>
                <w:szCs w:val="18"/>
                <w:lang w:eastAsia="zh-CN"/>
              </w:rPr>
              <w:t>5.2.5.4.</w:t>
            </w:r>
          </w:p>
        </w:tc>
        <w:tc>
          <w:tcPr>
            <w:tcW w:w="1257" w:type="dxa"/>
          </w:tcPr>
          <w:p w:rsidR="00CB0DD7" w:rsidRPr="000A0A5F" w:rsidRDefault="00CB0DD7">
            <w:pPr>
              <w:pStyle w:val="TAL"/>
              <w:rPr>
                <w:rFonts w:eastAsia="Times New Roman" w:cs="Arial"/>
                <w:szCs w:val="18"/>
              </w:rPr>
            </w:pPr>
            <w:r w:rsidRPr="000A0A5F">
              <w:rPr>
                <w:lang w:eastAsia="zh-CN"/>
              </w:rPr>
              <w:t>Notification_websocket</w:t>
            </w:r>
          </w:p>
        </w:tc>
      </w:tr>
      <w:tr w:rsidR="00CB0DD7" w:rsidRPr="000A0A5F" w:rsidTr="00FF0AF8">
        <w:trPr>
          <w:jc w:val="center"/>
        </w:trPr>
        <w:tc>
          <w:tcPr>
            <w:tcW w:w="1948" w:type="dxa"/>
            <w:shd w:val="clear" w:color="auto" w:fill="auto"/>
          </w:tcPr>
          <w:p w:rsidR="00CB0DD7" w:rsidRPr="000A0A5F" w:rsidRDefault="00CB0DD7">
            <w:pPr>
              <w:pStyle w:val="TAL"/>
              <w:rPr>
                <w:rFonts w:hint="eastAsia"/>
                <w:lang w:eastAsia="zh-CN"/>
              </w:rPr>
            </w:pPr>
            <w:r w:rsidRPr="000A0A5F">
              <w:rPr>
                <w:lang w:eastAsia="zh-CN"/>
              </w:rPr>
              <w:t>mbmsLocArea</w:t>
            </w:r>
          </w:p>
        </w:tc>
        <w:tc>
          <w:tcPr>
            <w:tcW w:w="2126" w:type="dxa"/>
            <w:shd w:val="clear" w:color="auto" w:fill="auto"/>
          </w:tcPr>
          <w:p w:rsidR="00CB0DD7" w:rsidRPr="000A0A5F" w:rsidRDefault="00CB0DD7">
            <w:pPr>
              <w:pStyle w:val="TAL"/>
              <w:rPr>
                <w:rFonts w:hint="eastAsia"/>
                <w:lang w:eastAsia="zh-CN"/>
              </w:rPr>
            </w:pPr>
            <w:r w:rsidRPr="000A0A5F">
              <w:rPr>
                <w:lang w:eastAsia="zh-CN"/>
              </w:rPr>
              <w:t>MbmsLocArea</w:t>
            </w:r>
          </w:p>
        </w:tc>
        <w:tc>
          <w:tcPr>
            <w:tcW w:w="1276" w:type="dxa"/>
            <w:shd w:val="clear" w:color="auto" w:fill="auto"/>
          </w:tcPr>
          <w:p w:rsidR="00CB0DD7" w:rsidRPr="000A0A5F" w:rsidRDefault="00CB0DD7">
            <w:pPr>
              <w:pStyle w:val="TAL"/>
              <w:rPr>
                <w:rFonts w:eastAsia="Times New Roman"/>
              </w:rPr>
            </w:pPr>
            <w:r w:rsidRPr="000A0A5F">
              <w:rPr>
                <w:rFonts w:eastAsia="Times New Roman"/>
              </w:rPr>
              <w:t>0..1</w:t>
            </w:r>
          </w:p>
        </w:tc>
        <w:tc>
          <w:tcPr>
            <w:tcW w:w="2995" w:type="dxa"/>
            <w:shd w:val="clear" w:color="auto" w:fill="auto"/>
          </w:tcPr>
          <w:p w:rsidR="00CB0DD7" w:rsidRPr="000A0A5F" w:rsidRDefault="00B803CC" w:rsidP="00B803CC">
            <w:pPr>
              <w:pStyle w:val="TAL"/>
              <w:rPr>
                <w:rFonts w:cs="Arial" w:hint="eastAsia"/>
                <w:szCs w:val="18"/>
                <w:lang w:eastAsia="zh-CN"/>
              </w:rPr>
            </w:pPr>
            <w:r w:rsidRPr="000A0A5F">
              <w:rPr>
                <w:rFonts w:cs="Arial"/>
                <w:szCs w:val="18"/>
                <w:lang w:eastAsia="zh-CN"/>
              </w:rPr>
              <w:t>Represents the location area within which</w:t>
            </w:r>
            <w:r w:rsidR="00CB0DD7" w:rsidRPr="000A0A5F">
              <w:rPr>
                <w:rFonts w:cs="Arial"/>
                <w:szCs w:val="18"/>
                <w:lang w:eastAsia="zh-CN"/>
              </w:rPr>
              <w:t xml:space="preserve"> the group message</w:t>
            </w:r>
            <w:r w:rsidRPr="000A0A5F">
              <w:rPr>
                <w:rFonts w:cs="Arial"/>
                <w:szCs w:val="18"/>
                <w:lang w:eastAsia="zh-CN"/>
              </w:rPr>
              <w:t xml:space="preserve"> delivery via MBMS is allowed</w:t>
            </w:r>
            <w:r w:rsidR="00CB0DD7" w:rsidRPr="000A0A5F">
              <w:rPr>
                <w:rFonts w:cs="Arial"/>
                <w:szCs w:val="18"/>
                <w:lang w:eastAsia="zh-CN"/>
              </w:rPr>
              <w:t>.</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rPr>
                <w:rFonts w:hint="eastAsia"/>
                <w:lang w:eastAsia="zh-CN"/>
              </w:rPr>
            </w:pPr>
            <w:r w:rsidRPr="000A0A5F">
              <w:rPr>
                <w:lang w:eastAsia="zh-CN"/>
              </w:rPr>
              <w:t>messageDeliveryStartTime</w:t>
            </w:r>
          </w:p>
        </w:tc>
        <w:tc>
          <w:tcPr>
            <w:tcW w:w="2126" w:type="dxa"/>
            <w:shd w:val="clear" w:color="auto" w:fill="auto"/>
          </w:tcPr>
          <w:p w:rsidR="00CB0DD7" w:rsidRPr="000A0A5F" w:rsidRDefault="00CB0DD7">
            <w:pPr>
              <w:pStyle w:val="TAL"/>
              <w:rPr>
                <w:rFonts w:hint="eastAsia"/>
                <w:lang w:eastAsia="zh-CN"/>
              </w:rPr>
            </w:pPr>
            <w:r w:rsidRPr="000A0A5F">
              <w:rPr>
                <w:lang w:eastAsia="zh-CN"/>
              </w:rPr>
              <w:t>D</w:t>
            </w:r>
            <w:r w:rsidRPr="000A0A5F">
              <w:rPr>
                <w:rFonts w:hint="eastAsia"/>
                <w:lang w:eastAsia="zh-CN"/>
              </w:rPr>
              <w:t>at</w:t>
            </w:r>
            <w:r w:rsidRPr="000A0A5F">
              <w:rPr>
                <w:lang w:eastAsia="zh-CN"/>
              </w:rPr>
              <w:t>eT</w:t>
            </w:r>
            <w:r w:rsidRPr="000A0A5F">
              <w:rPr>
                <w:rFonts w:hint="eastAsia"/>
                <w:lang w:eastAsia="zh-CN"/>
              </w:rPr>
              <w:t>ime</w:t>
            </w:r>
          </w:p>
        </w:tc>
        <w:tc>
          <w:tcPr>
            <w:tcW w:w="1276" w:type="dxa"/>
            <w:shd w:val="clear" w:color="auto" w:fill="auto"/>
          </w:tcPr>
          <w:p w:rsidR="00CB0DD7" w:rsidRPr="000A0A5F" w:rsidRDefault="00CB0DD7">
            <w:pPr>
              <w:pStyle w:val="TAL"/>
              <w:rPr>
                <w:rFonts w:eastAsia="Times New Roman"/>
              </w:rPr>
            </w:pPr>
            <w:r w:rsidRPr="000A0A5F">
              <w:rPr>
                <w:rFonts w:eastAsia="Times New Roman"/>
              </w:rPr>
              <w:t>0..1</w:t>
            </w:r>
          </w:p>
        </w:tc>
        <w:tc>
          <w:tcPr>
            <w:tcW w:w="2995" w:type="dxa"/>
            <w:shd w:val="clear" w:color="auto" w:fill="auto"/>
          </w:tcPr>
          <w:p w:rsidR="00CB0DD7" w:rsidRPr="000A0A5F" w:rsidRDefault="00CB0DD7">
            <w:pPr>
              <w:pStyle w:val="TAL"/>
              <w:rPr>
                <w:rFonts w:cs="Arial" w:hint="eastAsia"/>
                <w:szCs w:val="18"/>
                <w:lang w:eastAsia="zh-CN"/>
              </w:rPr>
            </w:pPr>
            <w:r w:rsidRPr="000A0A5F">
              <w:rPr>
                <w:rFonts w:cs="Arial" w:hint="eastAsia"/>
                <w:szCs w:val="18"/>
                <w:lang w:eastAsia="zh-CN"/>
              </w:rPr>
              <w:t>Identifies the absolute time at which the</w:t>
            </w:r>
            <w:r w:rsidRPr="000A0A5F">
              <w:rPr>
                <w:rFonts w:cs="Arial"/>
                <w:szCs w:val="18"/>
                <w:lang w:eastAsia="zh-CN"/>
              </w:rPr>
              <w:t xml:space="preserve"> SCS/As starts to distribute the data.</w:t>
            </w:r>
            <w:r w:rsidRPr="000A0A5F">
              <w:rPr>
                <w:rFonts w:cs="Arial" w:hint="eastAsia"/>
                <w:szCs w:val="18"/>
                <w:lang w:eastAsia="zh-CN"/>
              </w:rPr>
              <w:t xml:space="preserve"> If absent, it indicates the message shall be sent immediately.</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rPr>
                <w:rFonts w:hint="eastAsia"/>
                <w:lang w:eastAsia="zh-CN"/>
              </w:rPr>
            </w:pPr>
            <w:r w:rsidRPr="000A0A5F">
              <w:rPr>
                <w:lang w:eastAsia="zh-CN"/>
              </w:rPr>
              <w:t>messageDeliveryStopTime</w:t>
            </w:r>
          </w:p>
        </w:tc>
        <w:tc>
          <w:tcPr>
            <w:tcW w:w="2126" w:type="dxa"/>
            <w:shd w:val="clear" w:color="auto" w:fill="auto"/>
          </w:tcPr>
          <w:p w:rsidR="00CB0DD7" w:rsidRPr="000A0A5F" w:rsidRDefault="00CB0DD7">
            <w:pPr>
              <w:pStyle w:val="TAL"/>
              <w:rPr>
                <w:rFonts w:hint="eastAsia"/>
                <w:lang w:eastAsia="zh-CN"/>
              </w:rPr>
            </w:pPr>
            <w:r w:rsidRPr="000A0A5F">
              <w:rPr>
                <w:lang w:eastAsia="zh-CN"/>
              </w:rPr>
              <w:t>D</w:t>
            </w:r>
            <w:r w:rsidRPr="000A0A5F">
              <w:rPr>
                <w:rFonts w:hint="eastAsia"/>
                <w:lang w:eastAsia="zh-CN"/>
              </w:rPr>
              <w:t>at</w:t>
            </w:r>
            <w:r w:rsidRPr="000A0A5F">
              <w:rPr>
                <w:lang w:eastAsia="zh-CN"/>
              </w:rPr>
              <w:t>eT</w:t>
            </w:r>
            <w:r w:rsidRPr="000A0A5F">
              <w:rPr>
                <w:rFonts w:hint="eastAsia"/>
                <w:lang w:eastAsia="zh-CN"/>
              </w:rPr>
              <w:t>ime</w:t>
            </w:r>
          </w:p>
        </w:tc>
        <w:tc>
          <w:tcPr>
            <w:tcW w:w="1276" w:type="dxa"/>
            <w:shd w:val="clear" w:color="auto" w:fill="auto"/>
          </w:tcPr>
          <w:p w:rsidR="00CB0DD7" w:rsidRPr="000A0A5F" w:rsidRDefault="00CB0DD7">
            <w:pPr>
              <w:pStyle w:val="TAL"/>
              <w:rPr>
                <w:rFonts w:eastAsia="Times New Roman"/>
              </w:rPr>
            </w:pPr>
            <w:r w:rsidRPr="000A0A5F">
              <w:rPr>
                <w:rFonts w:eastAsia="Times New Roman"/>
              </w:rPr>
              <w:t>0..1</w:t>
            </w:r>
          </w:p>
        </w:tc>
        <w:tc>
          <w:tcPr>
            <w:tcW w:w="2995" w:type="dxa"/>
            <w:shd w:val="clear" w:color="auto" w:fill="auto"/>
          </w:tcPr>
          <w:p w:rsidR="00CB0DD7" w:rsidRPr="000A0A5F" w:rsidRDefault="00CB0DD7">
            <w:pPr>
              <w:pStyle w:val="TAL"/>
              <w:rPr>
                <w:rFonts w:cs="Arial" w:hint="eastAsia"/>
                <w:szCs w:val="18"/>
                <w:lang w:eastAsia="zh-CN"/>
              </w:rPr>
            </w:pPr>
            <w:r w:rsidRPr="000A0A5F">
              <w:rPr>
                <w:rFonts w:cs="Arial" w:hint="eastAsia"/>
                <w:szCs w:val="18"/>
                <w:lang w:eastAsia="zh-CN"/>
              </w:rPr>
              <w:t>Identifies the absolute time at which the</w:t>
            </w:r>
            <w:r w:rsidRPr="000A0A5F">
              <w:rPr>
                <w:rFonts w:cs="Arial"/>
                <w:szCs w:val="18"/>
                <w:lang w:eastAsia="zh-CN"/>
              </w:rPr>
              <w:t xml:space="preserve"> SCS/As is expected to stop distributing the data.</w:t>
            </w:r>
            <w:r w:rsidRPr="000A0A5F">
              <w:rPr>
                <w:rFonts w:cs="Arial" w:hint="eastAsia"/>
                <w:szCs w:val="18"/>
                <w:lang w:eastAsia="zh-CN"/>
              </w:rPr>
              <w:t xml:space="preserve"> If absent, </w:t>
            </w:r>
            <w:r w:rsidRPr="000A0A5F">
              <w:rPr>
                <w:rFonts w:cs="Arial"/>
                <w:szCs w:val="18"/>
                <w:lang w:eastAsia="zh-CN"/>
              </w:rPr>
              <w:t>configuration time will be used.</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rPr>
                <w:lang w:eastAsia="zh-CN"/>
              </w:rPr>
            </w:pPr>
            <w:r w:rsidRPr="000A0A5F">
              <w:rPr>
                <w:rFonts w:hint="eastAsia"/>
                <w:lang w:eastAsia="zh-CN"/>
              </w:rPr>
              <w:t>groupMessage</w:t>
            </w:r>
            <w:r w:rsidRPr="000A0A5F">
              <w:rPr>
                <w:lang w:eastAsia="zh-CN"/>
              </w:rPr>
              <w:t>P</w:t>
            </w:r>
            <w:r w:rsidRPr="000A0A5F">
              <w:rPr>
                <w:rFonts w:hint="eastAsia"/>
                <w:lang w:eastAsia="zh-CN"/>
              </w:rPr>
              <w:t>ayload</w:t>
            </w:r>
          </w:p>
        </w:tc>
        <w:tc>
          <w:tcPr>
            <w:tcW w:w="2126" w:type="dxa"/>
            <w:shd w:val="clear" w:color="auto" w:fill="auto"/>
          </w:tcPr>
          <w:p w:rsidR="00CB0DD7" w:rsidRPr="000A0A5F" w:rsidRDefault="00CB0DD7">
            <w:pPr>
              <w:pStyle w:val="TAL"/>
              <w:rPr>
                <w:lang w:eastAsia="zh-CN"/>
              </w:rPr>
            </w:pPr>
            <w:r w:rsidRPr="000A0A5F">
              <w:rPr>
                <w:lang w:eastAsia="zh-CN"/>
              </w:rPr>
              <w:t>Bytes</w:t>
            </w:r>
          </w:p>
        </w:tc>
        <w:tc>
          <w:tcPr>
            <w:tcW w:w="1276" w:type="dxa"/>
            <w:shd w:val="clear" w:color="auto" w:fill="auto"/>
          </w:tcPr>
          <w:p w:rsidR="00CB0DD7" w:rsidRPr="000A0A5F" w:rsidRDefault="00CB0DD7">
            <w:pPr>
              <w:pStyle w:val="TAL"/>
              <w:rPr>
                <w:rFonts w:hint="eastAsia"/>
                <w:lang w:eastAsia="zh-CN"/>
              </w:rPr>
            </w:pPr>
            <w:r w:rsidRPr="000A0A5F">
              <w:rPr>
                <w:rFonts w:hint="eastAsia"/>
                <w:lang w:eastAsia="zh-CN"/>
              </w:rPr>
              <w:t>0..1</w:t>
            </w:r>
          </w:p>
        </w:tc>
        <w:tc>
          <w:tcPr>
            <w:tcW w:w="2995" w:type="dxa"/>
            <w:shd w:val="clear" w:color="auto" w:fill="auto"/>
          </w:tcPr>
          <w:p w:rsidR="00CB0DD7" w:rsidRPr="000A0A5F" w:rsidRDefault="00CB0DD7">
            <w:pPr>
              <w:pStyle w:val="TAL"/>
              <w:rPr>
                <w:rFonts w:cs="Arial" w:hint="eastAsia"/>
                <w:szCs w:val="18"/>
                <w:lang w:eastAsia="zh-CN"/>
              </w:rPr>
            </w:pPr>
            <w:r w:rsidRPr="000A0A5F">
              <w:rPr>
                <w:rFonts w:cs="Arial" w:hint="eastAsia"/>
                <w:szCs w:val="18"/>
                <w:lang w:eastAsia="zh-CN"/>
              </w:rPr>
              <w:t>Indica</w:t>
            </w:r>
            <w:r w:rsidRPr="000A0A5F">
              <w:rPr>
                <w:rFonts w:cs="Arial"/>
                <w:szCs w:val="18"/>
                <w:lang w:eastAsia="zh-CN"/>
              </w:rPr>
              <w:t>tes the payload the SCS/AS intends to deliver to the UEs.</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rPr>
                <w:rFonts w:hint="eastAsia"/>
                <w:lang w:eastAsia="zh-CN"/>
              </w:rPr>
            </w:pPr>
            <w:r w:rsidRPr="000A0A5F">
              <w:rPr>
                <w:rFonts w:hint="eastAsia"/>
                <w:lang w:eastAsia="zh-CN"/>
              </w:rPr>
              <w:t>scefMessageDeliveryIP</w:t>
            </w:r>
            <w:r w:rsidRPr="000A0A5F">
              <w:rPr>
                <w:lang w:eastAsia="zh-CN"/>
              </w:rPr>
              <w:t>v4</w:t>
            </w:r>
          </w:p>
        </w:tc>
        <w:tc>
          <w:tcPr>
            <w:tcW w:w="2126" w:type="dxa"/>
            <w:shd w:val="clear" w:color="auto" w:fill="auto"/>
          </w:tcPr>
          <w:p w:rsidR="00CB0DD7" w:rsidRPr="000A0A5F" w:rsidRDefault="00CB0DD7">
            <w:pPr>
              <w:pStyle w:val="TAL"/>
              <w:rPr>
                <w:rFonts w:hint="eastAsia"/>
                <w:lang w:eastAsia="zh-CN"/>
              </w:rPr>
            </w:pPr>
            <w:r w:rsidRPr="000A0A5F">
              <w:rPr>
                <w:rFonts w:hint="eastAsia"/>
                <w:lang w:eastAsia="zh-CN"/>
              </w:rPr>
              <w:t>Ipv4Addr</w:t>
            </w:r>
            <w:r w:rsidRPr="000A0A5F">
              <w:rPr>
                <w:lang w:eastAsia="zh-CN"/>
              </w:rPr>
              <w:t>Ro</w:t>
            </w:r>
          </w:p>
        </w:tc>
        <w:tc>
          <w:tcPr>
            <w:tcW w:w="1276" w:type="dxa"/>
            <w:shd w:val="clear" w:color="auto" w:fill="auto"/>
          </w:tcPr>
          <w:p w:rsidR="00CB0DD7" w:rsidRPr="000A0A5F" w:rsidRDefault="00CB0DD7">
            <w:pPr>
              <w:pStyle w:val="TAL"/>
              <w:rPr>
                <w:rFonts w:hint="eastAsia"/>
                <w:lang w:eastAsia="zh-CN"/>
              </w:rPr>
            </w:pPr>
            <w:r w:rsidRPr="000A0A5F">
              <w:rPr>
                <w:rFonts w:hint="eastAsia"/>
                <w:lang w:eastAsia="zh-CN"/>
              </w:rPr>
              <w:t>0..1</w:t>
            </w:r>
          </w:p>
        </w:tc>
        <w:tc>
          <w:tcPr>
            <w:tcW w:w="2995" w:type="dxa"/>
            <w:shd w:val="clear" w:color="auto" w:fill="auto"/>
          </w:tcPr>
          <w:p w:rsidR="00CB0DD7" w:rsidRPr="000A0A5F" w:rsidRDefault="00CB0DD7">
            <w:pPr>
              <w:pStyle w:val="TAL"/>
              <w:rPr>
                <w:rFonts w:cs="Arial" w:hint="eastAsia"/>
                <w:szCs w:val="18"/>
                <w:lang w:eastAsia="zh-CN"/>
              </w:rPr>
            </w:pPr>
            <w:r w:rsidRPr="000A0A5F">
              <w:rPr>
                <w:rFonts w:cs="Arial" w:hint="eastAsia"/>
                <w:szCs w:val="18"/>
                <w:lang w:eastAsia="zh-CN"/>
              </w:rPr>
              <w:t>Indicates</w:t>
            </w:r>
            <w:r w:rsidRPr="000A0A5F">
              <w:rPr>
                <w:rFonts w:cs="Arial"/>
                <w:szCs w:val="18"/>
                <w:lang w:eastAsia="zh-CN"/>
              </w:rPr>
              <w:t xml:space="preserve"> the Ipv4 address where the SCEF wants to receive the data.</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rPr>
                <w:rFonts w:hint="eastAsia"/>
                <w:lang w:eastAsia="zh-CN"/>
              </w:rPr>
            </w:pPr>
            <w:r w:rsidRPr="000A0A5F">
              <w:rPr>
                <w:rFonts w:hint="eastAsia"/>
                <w:lang w:eastAsia="zh-CN"/>
              </w:rPr>
              <w:t>scefMessage</w:t>
            </w:r>
            <w:r w:rsidRPr="000A0A5F">
              <w:rPr>
                <w:lang w:eastAsia="zh-CN"/>
              </w:rPr>
              <w:t>D</w:t>
            </w:r>
            <w:r w:rsidRPr="000A0A5F">
              <w:rPr>
                <w:rFonts w:hint="eastAsia"/>
                <w:lang w:eastAsia="zh-CN"/>
              </w:rPr>
              <w:t>eliveryIP</w:t>
            </w:r>
            <w:r w:rsidRPr="000A0A5F">
              <w:rPr>
                <w:lang w:eastAsia="zh-CN"/>
              </w:rPr>
              <w:t>v6</w:t>
            </w:r>
          </w:p>
        </w:tc>
        <w:tc>
          <w:tcPr>
            <w:tcW w:w="2126" w:type="dxa"/>
            <w:shd w:val="clear" w:color="auto" w:fill="auto"/>
          </w:tcPr>
          <w:p w:rsidR="00CB0DD7" w:rsidRPr="000A0A5F" w:rsidRDefault="00CB0DD7">
            <w:pPr>
              <w:pStyle w:val="TAL"/>
              <w:rPr>
                <w:rFonts w:hint="eastAsia"/>
                <w:lang w:eastAsia="zh-CN"/>
              </w:rPr>
            </w:pPr>
            <w:r w:rsidRPr="000A0A5F">
              <w:rPr>
                <w:rFonts w:hint="eastAsia"/>
                <w:lang w:eastAsia="zh-CN"/>
              </w:rPr>
              <w:t>Ipv6Addr</w:t>
            </w:r>
            <w:r w:rsidRPr="000A0A5F">
              <w:rPr>
                <w:lang w:eastAsia="zh-CN"/>
              </w:rPr>
              <w:t>Ro</w:t>
            </w:r>
          </w:p>
        </w:tc>
        <w:tc>
          <w:tcPr>
            <w:tcW w:w="1276" w:type="dxa"/>
            <w:shd w:val="clear" w:color="auto" w:fill="auto"/>
          </w:tcPr>
          <w:p w:rsidR="00CB0DD7" w:rsidRPr="000A0A5F" w:rsidRDefault="00CB0DD7">
            <w:pPr>
              <w:pStyle w:val="TAL"/>
              <w:rPr>
                <w:rFonts w:hint="eastAsia"/>
                <w:lang w:eastAsia="zh-CN"/>
              </w:rPr>
            </w:pPr>
            <w:r w:rsidRPr="000A0A5F">
              <w:rPr>
                <w:rFonts w:hint="eastAsia"/>
                <w:lang w:eastAsia="zh-CN"/>
              </w:rPr>
              <w:t>0..1</w:t>
            </w:r>
          </w:p>
        </w:tc>
        <w:tc>
          <w:tcPr>
            <w:tcW w:w="2995" w:type="dxa"/>
            <w:shd w:val="clear" w:color="auto" w:fill="auto"/>
          </w:tcPr>
          <w:p w:rsidR="00CB0DD7" w:rsidRPr="000A0A5F" w:rsidRDefault="00CB0DD7">
            <w:pPr>
              <w:pStyle w:val="TAL"/>
              <w:rPr>
                <w:rFonts w:cs="Arial" w:hint="eastAsia"/>
                <w:szCs w:val="18"/>
                <w:lang w:eastAsia="zh-CN"/>
              </w:rPr>
            </w:pPr>
            <w:r w:rsidRPr="000A0A5F">
              <w:rPr>
                <w:rFonts w:cs="Arial" w:hint="eastAsia"/>
                <w:szCs w:val="18"/>
                <w:lang w:eastAsia="zh-CN"/>
              </w:rPr>
              <w:t>Indicates</w:t>
            </w:r>
            <w:r w:rsidRPr="000A0A5F">
              <w:rPr>
                <w:rFonts w:cs="Arial"/>
                <w:szCs w:val="18"/>
                <w:lang w:eastAsia="zh-CN"/>
              </w:rPr>
              <w:t xml:space="preserve"> the Ipv6 address where the SCEF wants to receive the data.</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rPr>
                <w:rFonts w:hint="eastAsia"/>
                <w:lang w:eastAsia="zh-CN"/>
              </w:rPr>
            </w:pPr>
            <w:r w:rsidRPr="000A0A5F">
              <w:rPr>
                <w:rFonts w:hint="eastAsia"/>
                <w:lang w:eastAsia="zh-CN"/>
              </w:rPr>
              <w:t>scefMessageDelivery</w:t>
            </w:r>
            <w:r w:rsidRPr="000A0A5F">
              <w:rPr>
                <w:lang w:eastAsia="zh-CN"/>
              </w:rPr>
              <w:t>Port</w:t>
            </w:r>
          </w:p>
        </w:tc>
        <w:tc>
          <w:tcPr>
            <w:tcW w:w="2126" w:type="dxa"/>
            <w:shd w:val="clear" w:color="auto" w:fill="auto"/>
          </w:tcPr>
          <w:p w:rsidR="00CB0DD7" w:rsidRPr="000A0A5F" w:rsidRDefault="00CB0DD7">
            <w:pPr>
              <w:pStyle w:val="TAL"/>
              <w:rPr>
                <w:rFonts w:hint="eastAsia"/>
                <w:lang w:eastAsia="zh-CN"/>
              </w:rPr>
            </w:pPr>
            <w:r w:rsidRPr="000A0A5F">
              <w:rPr>
                <w:lang w:eastAsia="zh-CN"/>
              </w:rPr>
              <w:t>PortRo</w:t>
            </w:r>
          </w:p>
        </w:tc>
        <w:tc>
          <w:tcPr>
            <w:tcW w:w="1276" w:type="dxa"/>
            <w:shd w:val="clear" w:color="auto" w:fill="auto"/>
          </w:tcPr>
          <w:p w:rsidR="00CB0DD7" w:rsidRPr="000A0A5F" w:rsidRDefault="00CB0DD7">
            <w:pPr>
              <w:pStyle w:val="TAL"/>
              <w:rPr>
                <w:rFonts w:hint="eastAsia"/>
                <w:lang w:eastAsia="zh-CN"/>
              </w:rPr>
            </w:pPr>
            <w:r w:rsidRPr="000A0A5F">
              <w:rPr>
                <w:rFonts w:hint="eastAsia"/>
                <w:lang w:eastAsia="zh-CN"/>
              </w:rPr>
              <w:t>0..1</w:t>
            </w:r>
          </w:p>
        </w:tc>
        <w:tc>
          <w:tcPr>
            <w:tcW w:w="2995" w:type="dxa"/>
            <w:shd w:val="clear" w:color="auto" w:fill="auto"/>
          </w:tcPr>
          <w:p w:rsidR="00CB0DD7" w:rsidRPr="000A0A5F" w:rsidRDefault="00CB0DD7">
            <w:pPr>
              <w:pStyle w:val="TAL"/>
              <w:rPr>
                <w:rFonts w:cs="Arial" w:hint="eastAsia"/>
                <w:szCs w:val="18"/>
                <w:lang w:eastAsia="zh-CN"/>
              </w:rPr>
            </w:pPr>
            <w:r w:rsidRPr="000A0A5F">
              <w:rPr>
                <w:rFonts w:cs="Arial"/>
                <w:szCs w:val="18"/>
                <w:lang w:eastAsia="zh-CN"/>
              </w:rPr>
              <w:t>I</w:t>
            </w:r>
            <w:r w:rsidRPr="000A0A5F">
              <w:rPr>
                <w:rFonts w:cs="Arial" w:hint="eastAsia"/>
                <w:szCs w:val="18"/>
                <w:lang w:eastAsia="zh-CN"/>
              </w:rPr>
              <w:t>ndicates</w:t>
            </w:r>
            <w:r w:rsidRPr="000A0A5F">
              <w:rPr>
                <w:rFonts w:cs="Arial"/>
                <w:szCs w:val="18"/>
                <w:lang w:eastAsia="zh-CN"/>
              </w:rPr>
              <w:t xml:space="preserve"> the port number where the SCEF wants to receive the data.</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9602" w:type="dxa"/>
            <w:gridSpan w:val="5"/>
            <w:shd w:val="clear" w:color="auto" w:fill="auto"/>
          </w:tcPr>
          <w:p w:rsidR="00CB0DD7" w:rsidRPr="000A0A5F" w:rsidRDefault="00CB0DD7">
            <w:pPr>
              <w:pStyle w:val="TAN"/>
            </w:pPr>
            <w:r w:rsidRPr="000A0A5F">
              <w:t>NOTE:</w:t>
            </w:r>
            <w:r w:rsidRPr="000A0A5F">
              <w:tab/>
              <w:t>Properties marked with a feature as defined in clause 5.8.4 are applicable as described in clause 5.2.7. If no features are indicated, the related property applies for all the features.</w:t>
            </w:r>
          </w:p>
        </w:tc>
      </w:tr>
    </w:tbl>
    <w:p w:rsidR="00CB0DD7" w:rsidRPr="000A0A5F" w:rsidRDefault="00CB0DD7"/>
    <w:p w:rsidR="00CB0DD7" w:rsidRPr="000A0A5F" w:rsidRDefault="00CB0DD7">
      <w:pPr>
        <w:pStyle w:val="Heading6"/>
      </w:pPr>
      <w:bookmarkStart w:id="5954" w:name="_Toc11247622"/>
      <w:bookmarkStart w:id="5955" w:name="_Toc27044761"/>
      <w:bookmarkStart w:id="5956" w:name="_Toc36033803"/>
      <w:bookmarkStart w:id="5957" w:name="_Toc45131949"/>
      <w:bookmarkStart w:id="5958" w:name="_Toc49776234"/>
      <w:bookmarkStart w:id="5959" w:name="_Toc51747154"/>
      <w:bookmarkStart w:id="5960" w:name="_Toc66360721"/>
      <w:bookmarkStart w:id="5961" w:name="_Toc68105226"/>
      <w:bookmarkStart w:id="5962" w:name="_Toc74755856"/>
      <w:bookmarkStart w:id="5963" w:name="_Toc105674731"/>
      <w:bookmarkStart w:id="5964" w:name="_Toc130502787"/>
      <w:bookmarkStart w:id="5965" w:name="_Toc153625574"/>
      <w:r w:rsidRPr="000A0A5F">
        <w:t>5.8.3.1.1.4</w:t>
      </w:r>
      <w:r w:rsidRPr="000A0A5F">
        <w:tab/>
        <w:t>Type: GMDByxMBNotification</w:t>
      </w:r>
      <w:bookmarkEnd w:id="5954"/>
      <w:bookmarkEnd w:id="5955"/>
      <w:bookmarkEnd w:id="5956"/>
      <w:bookmarkEnd w:id="5957"/>
      <w:bookmarkEnd w:id="5958"/>
      <w:bookmarkEnd w:id="5959"/>
      <w:bookmarkEnd w:id="5960"/>
      <w:bookmarkEnd w:id="5961"/>
      <w:bookmarkEnd w:id="5962"/>
      <w:bookmarkEnd w:id="5963"/>
      <w:bookmarkEnd w:id="5964"/>
      <w:bookmarkEnd w:id="5965"/>
    </w:p>
    <w:p w:rsidR="00CB0DD7" w:rsidRPr="000A0A5F" w:rsidRDefault="00CB0DD7">
      <w:r w:rsidRPr="000A0A5F">
        <w:t xml:space="preserve">This type represents the group message delivery notification. </w:t>
      </w:r>
    </w:p>
    <w:p w:rsidR="00CB0DD7" w:rsidRPr="000A0A5F" w:rsidRDefault="00CB0DD7">
      <w:pPr>
        <w:pStyle w:val="TH"/>
      </w:pPr>
      <w:r w:rsidRPr="000A0A5F">
        <w:rPr>
          <w:noProof/>
        </w:rPr>
        <w:t>Table </w:t>
      </w:r>
      <w:r w:rsidRPr="000A0A5F">
        <w:t xml:space="preserve">5.8.3.1.1.4-1: </w:t>
      </w:r>
      <w:r w:rsidRPr="000A0A5F">
        <w:rPr>
          <w:noProof/>
        </w:rPr>
        <w:t xml:space="preserve">Definition of type </w:t>
      </w:r>
      <w:r w:rsidRPr="000A0A5F">
        <w:t>GMDByxMbNotification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948"/>
        <w:gridCol w:w="2126"/>
        <w:gridCol w:w="1276"/>
        <w:gridCol w:w="2995"/>
        <w:gridCol w:w="1257"/>
      </w:tblGrid>
      <w:tr w:rsidR="00CB0DD7" w:rsidRPr="000A0A5F" w:rsidTr="00FF0AF8">
        <w:trPr>
          <w:jc w:val="center"/>
        </w:trPr>
        <w:tc>
          <w:tcPr>
            <w:tcW w:w="1948" w:type="dxa"/>
            <w:shd w:val="clear" w:color="auto" w:fill="C0C0C0"/>
          </w:tcPr>
          <w:p w:rsidR="00CB0DD7" w:rsidRPr="000A0A5F" w:rsidRDefault="00CB0DD7">
            <w:pPr>
              <w:pStyle w:val="TAH"/>
              <w:rPr>
                <w:rFonts w:eastAsia="Times New Roman"/>
              </w:rPr>
            </w:pPr>
            <w:r w:rsidRPr="000A0A5F">
              <w:rPr>
                <w:rFonts w:eastAsia="Times New Roman"/>
              </w:rPr>
              <w:t>Attribute name</w:t>
            </w:r>
          </w:p>
        </w:tc>
        <w:tc>
          <w:tcPr>
            <w:tcW w:w="2126" w:type="dxa"/>
            <w:shd w:val="clear" w:color="auto" w:fill="C0C0C0"/>
          </w:tcPr>
          <w:p w:rsidR="00CB0DD7" w:rsidRPr="000A0A5F" w:rsidRDefault="00CB0DD7">
            <w:pPr>
              <w:pStyle w:val="TAH"/>
              <w:rPr>
                <w:rFonts w:eastAsia="Times New Roman"/>
              </w:rPr>
            </w:pPr>
            <w:r w:rsidRPr="000A0A5F">
              <w:rPr>
                <w:rFonts w:eastAsia="Times New Roman"/>
              </w:rPr>
              <w:t>Data type</w:t>
            </w:r>
          </w:p>
        </w:tc>
        <w:tc>
          <w:tcPr>
            <w:tcW w:w="1276" w:type="dxa"/>
            <w:shd w:val="clear" w:color="auto" w:fill="C0C0C0"/>
          </w:tcPr>
          <w:p w:rsidR="00CB0DD7" w:rsidRPr="000A0A5F" w:rsidRDefault="00CB0DD7">
            <w:pPr>
              <w:pStyle w:val="TAH"/>
              <w:jc w:val="left"/>
              <w:rPr>
                <w:rFonts w:eastAsia="Times New Roman"/>
              </w:rPr>
            </w:pPr>
            <w:r w:rsidRPr="000A0A5F">
              <w:rPr>
                <w:rFonts w:eastAsia="Times New Roman"/>
              </w:rPr>
              <w:t>Cardinality</w:t>
            </w:r>
          </w:p>
        </w:tc>
        <w:tc>
          <w:tcPr>
            <w:tcW w:w="2995"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Description</w:t>
            </w:r>
          </w:p>
        </w:tc>
        <w:tc>
          <w:tcPr>
            <w:tcW w:w="1257"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Applicability (NOTE)</w:t>
            </w:r>
          </w:p>
        </w:tc>
      </w:tr>
      <w:tr w:rsidR="00CB0DD7" w:rsidRPr="000A0A5F" w:rsidTr="00FF0AF8">
        <w:trPr>
          <w:jc w:val="center"/>
        </w:trPr>
        <w:tc>
          <w:tcPr>
            <w:tcW w:w="1948" w:type="dxa"/>
            <w:shd w:val="clear" w:color="auto" w:fill="auto"/>
          </w:tcPr>
          <w:p w:rsidR="00CB0DD7" w:rsidRPr="000A0A5F" w:rsidRDefault="00CB0DD7">
            <w:pPr>
              <w:pStyle w:val="TAH"/>
              <w:jc w:val="left"/>
              <w:rPr>
                <w:rFonts w:eastAsia="Times New Roman"/>
                <w:b w:val="0"/>
              </w:rPr>
            </w:pPr>
            <w:r w:rsidRPr="000A0A5F">
              <w:rPr>
                <w:b w:val="0"/>
              </w:rPr>
              <w:t>transaction</w:t>
            </w:r>
          </w:p>
        </w:tc>
        <w:tc>
          <w:tcPr>
            <w:tcW w:w="2126" w:type="dxa"/>
            <w:shd w:val="clear" w:color="auto" w:fill="auto"/>
          </w:tcPr>
          <w:p w:rsidR="00CB0DD7" w:rsidRPr="000A0A5F" w:rsidRDefault="00CB0DD7">
            <w:pPr>
              <w:pStyle w:val="TAH"/>
              <w:jc w:val="left"/>
              <w:rPr>
                <w:rFonts w:eastAsia="Times New Roman"/>
                <w:b w:val="0"/>
              </w:rPr>
            </w:pPr>
            <w:r w:rsidRPr="000A0A5F">
              <w:rPr>
                <w:b w:val="0"/>
              </w:rPr>
              <w:t>Link</w:t>
            </w:r>
          </w:p>
        </w:tc>
        <w:tc>
          <w:tcPr>
            <w:tcW w:w="1276" w:type="dxa"/>
            <w:shd w:val="clear" w:color="auto" w:fill="auto"/>
          </w:tcPr>
          <w:p w:rsidR="00CB0DD7" w:rsidRPr="000A0A5F" w:rsidRDefault="00CB0DD7">
            <w:pPr>
              <w:pStyle w:val="TAH"/>
              <w:jc w:val="left"/>
              <w:rPr>
                <w:rFonts w:eastAsia="Times New Roman"/>
                <w:b w:val="0"/>
              </w:rPr>
            </w:pPr>
            <w:r w:rsidRPr="000A0A5F">
              <w:rPr>
                <w:b w:val="0"/>
              </w:rPr>
              <w:t>1</w:t>
            </w:r>
          </w:p>
        </w:tc>
        <w:tc>
          <w:tcPr>
            <w:tcW w:w="2995" w:type="dxa"/>
            <w:shd w:val="clear" w:color="auto" w:fill="auto"/>
          </w:tcPr>
          <w:p w:rsidR="00CB0DD7" w:rsidRPr="000A0A5F" w:rsidRDefault="00CB0DD7">
            <w:pPr>
              <w:pStyle w:val="TAH"/>
              <w:jc w:val="left"/>
              <w:rPr>
                <w:rFonts w:eastAsia="Times New Roman" w:cs="Arial"/>
                <w:b w:val="0"/>
                <w:szCs w:val="18"/>
              </w:rPr>
            </w:pPr>
            <w:r w:rsidRPr="000A0A5F">
              <w:rPr>
                <w:b w:val="0"/>
              </w:rPr>
              <w:t>Link to the transaction resource to which this notification is related.</w:t>
            </w:r>
          </w:p>
        </w:tc>
        <w:tc>
          <w:tcPr>
            <w:tcW w:w="1257" w:type="dxa"/>
            <w:shd w:val="clear" w:color="auto" w:fill="auto"/>
          </w:tcPr>
          <w:p w:rsidR="00CB0DD7" w:rsidRPr="000A0A5F" w:rsidRDefault="00CB0DD7">
            <w:pPr>
              <w:pStyle w:val="TAH"/>
              <w:jc w:val="left"/>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rPr>
                <w:rFonts w:hint="eastAsia"/>
                <w:lang w:eastAsia="zh-CN"/>
              </w:rPr>
            </w:pPr>
            <w:r w:rsidRPr="000A0A5F">
              <w:rPr>
                <w:lang w:eastAsia="zh-CN"/>
              </w:rPr>
              <w:t>deliveryTriggerS</w:t>
            </w:r>
            <w:r w:rsidRPr="000A0A5F">
              <w:rPr>
                <w:rFonts w:hint="eastAsia"/>
                <w:lang w:eastAsia="zh-CN"/>
              </w:rPr>
              <w:t>tatus</w:t>
            </w:r>
          </w:p>
        </w:tc>
        <w:tc>
          <w:tcPr>
            <w:tcW w:w="2126" w:type="dxa"/>
            <w:shd w:val="clear" w:color="auto" w:fill="auto"/>
          </w:tcPr>
          <w:p w:rsidR="00CB0DD7" w:rsidRPr="000A0A5F" w:rsidRDefault="00CB0DD7">
            <w:pPr>
              <w:pStyle w:val="TAL"/>
              <w:rPr>
                <w:rFonts w:hint="eastAsia"/>
                <w:lang w:eastAsia="zh-CN"/>
              </w:rPr>
            </w:pPr>
            <w:r w:rsidRPr="000A0A5F">
              <w:rPr>
                <w:lang w:eastAsia="zh-CN"/>
              </w:rPr>
              <w:t>boolean</w:t>
            </w:r>
          </w:p>
        </w:tc>
        <w:tc>
          <w:tcPr>
            <w:tcW w:w="1276" w:type="dxa"/>
            <w:shd w:val="clear" w:color="auto" w:fill="auto"/>
          </w:tcPr>
          <w:p w:rsidR="00CB0DD7" w:rsidRPr="000A0A5F" w:rsidRDefault="00CB0DD7">
            <w:pPr>
              <w:pStyle w:val="TAL"/>
              <w:rPr>
                <w:rFonts w:hint="eastAsia"/>
                <w:lang w:eastAsia="zh-CN"/>
              </w:rPr>
            </w:pPr>
            <w:r w:rsidRPr="000A0A5F">
              <w:rPr>
                <w:rFonts w:hint="eastAsia"/>
                <w:lang w:eastAsia="zh-CN"/>
              </w:rPr>
              <w:t>1</w:t>
            </w:r>
          </w:p>
        </w:tc>
        <w:tc>
          <w:tcPr>
            <w:tcW w:w="2995" w:type="dxa"/>
            <w:shd w:val="clear" w:color="auto" w:fill="auto"/>
          </w:tcPr>
          <w:p w:rsidR="00CB0DD7" w:rsidRPr="000A0A5F" w:rsidRDefault="00CB0DD7">
            <w:pPr>
              <w:pStyle w:val="TAL"/>
              <w:rPr>
                <w:rFonts w:cs="Arial" w:hint="eastAsia"/>
                <w:szCs w:val="18"/>
                <w:lang w:eastAsia="zh-CN"/>
              </w:rPr>
            </w:pPr>
            <w:r w:rsidRPr="000A0A5F">
              <w:rPr>
                <w:rFonts w:cs="Arial"/>
                <w:szCs w:val="18"/>
                <w:lang w:eastAsia="zh-CN"/>
              </w:rPr>
              <w:t>I</w:t>
            </w:r>
            <w:r w:rsidRPr="000A0A5F">
              <w:rPr>
                <w:rFonts w:cs="Arial" w:hint="eastAsia"/>
                <w:szCs w:val="18"/>
                <w:lang w:eastAsia="zh-CN"/>
              </w:rPr>
              <w:t>ndicate</w:t>
            </w:r>
            <w:r w:rsidRPr="000A0A5F">
              <w:rPr>
                <w:rFonts w:cs="Arial"/>
                <w:szCs w:val="18"/>
                <w:lang w:eastAsia="zh-CN"/>
              </w:rPr>
              <w:t>s</w:t>
            </w:r>
            <w:r w:rsidRPr="000A0A5F">
              <w:rPr>
                <w:rFonts w:cs="Arial" w:hint="eastAsia"/>
                <w:szCs w:val="18"/>
                <w:lang w:eastAsia="zh-CN"/>
              </w:rPr>
              <w:t xml:space="preserve"> </w:t>
            </w:r>
            <w:r w:rsidRPr="000A0A5F">
              <w:rPr>
                <w:rFonts w:cs="Arial"/>
                <w:szCs w:val="18"/>
                <w:lang w:eastAsia="zh-CN"/>
              </w:rPr>
              <w:t>whether delivery of group message payload was successful (TRUE) or not (FALSE)</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9602" w:type="dxa"/>
            <w:gridSpan w:val="5"/>
            <w:shd w:val="clear" w:color="auto" w:fill="auto"/>
          </w:tcPr>
          <w:p w:rsidR="00CB0DD7" w:rsidRPr="000A0A5F" w:rsidRDefault="00CB0DD7">
            <w:pPr>
              <w:pStyle w:val="TAN"/>
            </w:pPr>
            <w:r w:rsidRPr="000A0A5F">
              <w:t>NOTE:</w:t>
            </w:r>
            <w:r w:rsidRPr="000A0A5F">
              <w:tab/>
              <w:t>Properties marked with a feature as defined in clause 5.8.4 are applicable as described in clause 5.2.7. If no feature are indicated, the related property applies for all the features.</w:t>
            </w:r>
          </w:p>
        </w:tc>
      </w:tr>
    </w:tbl>
    <w:p w:rsidR="00CB0DD7" w:rsidRPr="000A0A5F" w:rsidRDefault="00CB0DD7"/>
    <w:p w:rsidR="00CB0DD7" w:rsidRPr="000A0A5F" w:rsidRDefault="00CB0DD7">
      <w:pPr>
        <w:pStyle w:val="Heading6"/>
      </w:pPr>
      <w:bookmarkStart w:id="5966" w:name="_Toc11247623"/>
      <w:bookmarkStart w:id="5967" w:name="_Toc27044762"/>
      <w:bookmarkStart w:id="5968" w:name="_Toc36033804"/>
      <w:bookmarkStart w:id="5969" w:name="_Toc45131950"/>
      <w:bookmarkStart w:id="5970" w:name="_Toc49776235"/>
      <w:bookmarkStart w:id="5971" w:name="_Toc51747155"/>
      <w:bookmarkStart w:id="5972" w:name="_Toc66360722"/>
      <w:bookmarkStart w:id="5973" w:name="_Toc68105227"/>
      <w:bookmarkStart w:id="5974" w:name="_Toc74755857"/>
      <w:bookmarkStart w:id="5975" w:name="_Toc105674732"/>
      <w:bookmarkStart w:id="5976" w:name="_Toc130502788"/>
      <w:bookmarkStart w:id="5977" w:name="_Toc153625575"/>
      <w:r w:rsidRPr="000A0A5F">
        <w:t>5.8.3.1.1.5</w:t>
      </w:r>
      <w:r w:rsidRPr="000A0A5F">
        <w:tab/>
        <w:t>Type: GMDViaMBMSByxMBPatch</w:t>
      </w:r>
      <w:bookmarkEnd w:id="5966"/>
      <w:bookmarkEnd w:id="5967"/>
      <w:bookmarkEnd w:id="5968"/>
      <w:bookmarkEnd w:id="5969"/>
      <w:bookmarkEnd w:id="5970"/>
      <w:bookmarkEnd w:id="5971"/>
      <w:bookmarkEnd w:id="5972"/>
      <w:bookmarkEnd w:id="5973"/>
      <w:bookmarkEnd w:id="5974"/>
      <w:bookmarkEnd w:id="5975"/>
      <w:bookmarkEnd w:id="5976"/>
      <w:bookmarkEnd w:id="5977"/>
    </w:p>
    <w:p w:rsidR="00CB0DD7" w:rsidRPr="000A0A5F" w:rsidRDefault="00CB0DD7">
      <w:r w:rsidRPr="000A0A5F">
        <w:t>This type represents group message delivery via MBMS request. The structure is used for PATCH request.</w:t>
      </w:r>
    </w:p>
    <w:p w:rsidR="00CB0DD7" w:rsidRPr="000A0A5F" w:rsidRDefault="00CB0DD7">
      <w:pPr>
        <w:pStyle w:val="TH"/>
        <w:rPr>
          <w:noProof/>
        </w:rPr>
      </w:pPr>
      <w:r w:rsidRPr="000A0A5F">
        <w:rPr>
          <w:noProof/>
        </w:rPr>
        <w:t>Table </w:t>
      </w:r>
      <w:r w:rsidRPr="000A0A5F">
        <w:t>5.8.3.1.1.5-1: Definition of the GMDViaMBMSByxMB</w:t>
      </w:r>
      <w:r w:rsidRPr="000A0A5F">
        <w:rPr>
          <w:noProof/>
        </w:rPr>
        <w:t>Patch data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948"/>
        <w:gridCol w:w="2126"/>
        <w:gridCol w:w="1276"/>
        <w:gridCol w:w="2995"/>
        <w:gridCol w:w="1257"/>
      </w:tblGrid>
      <w:tr w:rsidR="00CB0DD7" w:rsidRPr="000A0A5F" w:rsidTr="00FF0AF8">
        <w:trPr>
          <w:jc w:val="center"/>
        </w:trPr>
        <w:tc>
          <w:tcPr>
            <w:tcW w:w="1948" w:type="dxa"/>
            <w:shd w:val="clear" w:color="auto" w:fill="C0C0C0"/>
          </w:tcPr>
          <w:p w:rsidR="00CB0DD7" w:rsidRPr="000A0A5F" w:rsidRDefault="00CB0DD7">
            <w:pPr>
              <w:pStyle w:val="TAH"/>
              <w:rPr>
                <w:rFonts w:eastAsia="Times New Roman"/>
              </w:rPr>
            </w:pPr>
            <w:r w:rsidRPr="000A0A5F">
              <w:rPr>
                <w:noProof/>
              </w:rPr>
              <w:br w:type="page"/>
            </w:r>
            <w:r w:rsidRPr="000A0A5F">
              <w:rPr>
                <w:rFonts w:eastAsia="Times New Roman"/>
              </w:rPr>
              <w:t>Attribute name</w:t>
            </w:r>
          </w:p>
        </w:tc>
        <w:tc>
          <w:tcPr>
            <w:tcW w:w="2126" w:type="dxa"/>
            <w:shd w:val="clear" w:color="auto" w:fill="C0C0C0"/>
          </w:tcPr>
          <w:p w:rsidR="00CB0DD7" w:rsidRPr="000A0A5F" w:rsidRDefault="00CB0DD7">
            <w:pPr>
              <w:pStyle w:val="TAH"/>
              <w:rPr>
                <w:rFonts w:eastAsia="Times New Roman"/>
              </w:rPr>
            </w:pPr>
            <w:r w:rsidRPr="000A0A5F">
              <w:rPr>
                <w:rFonts w:eastAsia="Times New Roman"/>
              </w:rPr>
              <w:t>Data type</w:t>
            </w:r>
          </w:p>
        </w:tc>
        <w:tc>
          <w:tcPr>
            <w:tcW w:w="1276" w:type="dxa"/>
            <w:shd w:val="clear" w:color="auto" w:fill="C0C0C0"/>
          </w:tcPr>
          <w:p w:rsidR="00CB0DD7" w:rsidRPr="000A0A5F" w:rsidRDefault="00CB0DD7">
            <w:pPr>
              <w:pStyle w:val="TAH"/>
              <w:jc w:val="left"/>
              <w:rPr>
                <w:rFonts w:eastAsia="Times New Roman"/>
              </w:rPr>
            </w:pPr>
            <w:r w:rsidRPr="000A0A5F">
              <w:rPr>
                <w:rFonts w:eastAsia="Times New Roman"/>
              </w:rPr>
              <w:t>Cardinality</w:t>
            </w:r>
          </w:p>
        </w:tc>
        <w:tc>
          <w:tcPr>
            <w:tcW w:w="2995"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Description</w:t>
            </w:r>
          </w:p>
        </w:tc>
        <w:tc>
          <w:tcPr>
            <w:tcW w:w="1257"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Applicability (NOTE)</w:t>
            </w:r>
          </w:p>
        </w:tc>
      </w:tr>
      <w:tr w:rsidR="00CB0DD7" w:rsidRPr="000A0A5F" w:rsidTr="00FF0AF8">
        <w:trPr>
          <w:jc w:val="center"/>
        </w:trPr>
        <w:tc>
          <w:tcPr>
            <w:tcW w:w="1948" w:type="dxa"/>
            <w:shd w:val="clear" w:color="auto" w:fill="auto"/>
          </w:tcPr>
          <w:p w:rsidR="00CB0DD7" w:rsidRPr="000A0A5F" w:rsidRDefault="00CB0DD7">
            <w:pPr>
              <w:pStyle w:val="TAL"/>
              <w:rPr>
                <w:rFonts w:hint="eastAsia"/>
                <w:lang w:eastAsia="zh-CN"/>
              </w:rPr>
            </w:pPr>
            <w:r w:rsidRPr="000A0A5F">
              <w:rPr>
                <w:lang w:eastAsia="zh-CN"/>
              </w:rPr>
              <w:t>mbmsLocArea</w:t>
            </w:r>
          </w:p>
        </w:tc>
        <w:tc>
          <w:tcPr>
            <w:tcW w:w="2126" w:type="dxa"/>
            <w:shd w:val="clear" w:color="auto" w:fill="auto"/>
          </w:tcPr>
          <w:p w:rsidR="00CB0DD7" w:rsidRPr="000A0A5F" w:rsidRDefault="00CB0DD7">
            <w:pPr>
              <w:pStyle w:val="TAL"/>
              <w:rPr>
                <w:rFonts w:hint="eastAsia"/>
                <w:lang w:eastAsia="zh-CN"/>
              </w:rPr>
            </w:pPr>
            <w:r w:rsidRPr="000A0A5F">
              <w:rPr>
                <w:lang w:eastAsia="zh-CN"/>
              </w:rPr>
              <w:t>MbmsLocArea</w:t>
            </w:r>
          </w:p>
        </w:tc>
        <w:tc>
          <w:tcPr>
            <w:tcW w:w="1276" w:type="dxa"/>
            <w:shd w:val="clear" w:color="auto" w:fill="auto"/>
          </w:tcPr>
          <w:p w:rsidR="00CB0DD7" w:rsidRPr="000A0A5F" w:rsidRDefault="00CB0DD7">
            <w:pPr>
              <w:pStyle w:val="TAL"/>
              <w:rPr>
                <w:rFonts w:eastAsia="Times New Roman"/>
              </w:rPr>
            </w:pPr>
            <w:r w:rsidRPr="000A0A5F">
              <w:rPr>
                <w:rFonts w:eastAsia="Times New Roman"/>
              </w:rPr>
              <w:t>0..1</w:t>
            </w:r>
          </w:p>
        </w:tc>
        <w:tc>
          <w:tcPr>
            <w:tcW w:w="2995" w:type="dxa"/>
            <w:shd w:val="clear" w:color="auto" w:fill="auto"/>
          </w:tcPr>
          <w:p w:rsidR="00CB0DD7" w:rsidRPr="000A0A5F" w:rsidRDefault="00B803CC" w:rsidP="00B803CC">
            <w:pPr>
              <w:pStyle w:val="TAL"/>
              <w:rPr>
                <w:rFonts w:cs="Arial" w:hint="eastAsia"/>
                <w:szCs w:val="18"/>
                <w:lang w:eastAsia="zh-CN"/>
              </w:rPr>
            </w:pPr>
            <w:r w:rsidRPr="000A0A5F">
              <w:rPr>
                <w:rFonts w:cs="Arial"/>
                <w:szCs w:val="18"/>
                <w:lang w:eastAsia="zh-CN"/>
              </w:rPr>
              <w:t>Represents the location area within which</w:t>
            </w:r>
            <w:r w:rsidR="00CB0DD7" w:rsidRPr="000A0A5F">
              <w:rPr>
                <w:rFonts w:cs="Arial"/>
                <w:szCs w:val="18"/>
                <w:lang w:eastAsia="zh-CN"/>
              </w:rPr>
              <w:t xml:space="preserve"> the group message</w:t>
            </w:r>
            <w:r w:rsidRPr="000A0A5F">
              <w:rPr>
                <w:rFonts w:cs="Arial"/>
                <w:szCs w:val="18"/>
                <w:lang w:eastAsia="zh-CN"/>
              </w:rPr>
              <w:t xml:space="preserve"> delivery via MBMS is allowed</w:t>
            </w:r>
            <w:r w:rsidR="00CB0DD7" w:rsidRPr="000A0A5F">
              <w:rPr>
                <w:rFonts w:cs="Arial"/>
                <w:szCs w:val="18"/>
                <w:lang w:eastAsia="zh-CN"/>
              </w:rPr>
              <w:t>.</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rPr>
                <w:rFonts w:hint="eastAsia"/>
                <w:lang w:eastAsia="zh-CN"/>
              </w:rPr>
            </w:pPr>
            <w:r w:rsidRPr="000A0A5F">
              <w:rPr>
                <w:lang w:eastAsia="zh-CN"/>
              </w:rPr>
              <w:t>messageDeliveryStartTime</w:t>
            </w:r>
          </w:p>
        </w:tc>
        <w:tc>
          <w:tcPr>
            <w:tcW w:w="2126" w:type="dxa"/>
            <w:shd w:val="clear" w:color="auto" w:fill="auto"/>
          </w:tcPr>
          <w:p w:rsidR="00CB0DD7" w:rsidRPr="000A0A5F" w:rsidRDefault="00CB0DD7">
            <w:pPr>
              <w:pStyle w:val="TAL"/>
              <w:rPr>
                <w:rFonts w:hint="eastAsia"/>
                <w:lang w:eastAsia="zh-CN"/>
              </w:rPr>
            </w:pPr>
            <w:r w:rsidRPr="000A0A5F">
              <w:rPr>
                <w:lang w:eastAsia="zh-CN"/>
              </w:rPr>
              <w:t>D</w:t>
            </w:r>
            <w:r w:rsidRPr="000A0A5F">
              <w:rPr>
                <w:rFonts w:hint="eastAsia"/>
                <w:lang w:eastAsia="zh-CN"/>
              </w:rPr>
              <w:t>at</w:t>
            </w:r>
            <w:r w:rsidRPr="000A0A5F">
              <w:rPr>
                <w:lang w:eastAsia="zh-CN"/>
              </w:rPr>
              <w:t>eT</w:t>
            </w:r>
            <w:r w:rsidRPr="000A0A5F">
              <w:rPr>
                <w:rFonts w:hint="eastAsia"/>
                <w:lang w:eastAsia="zh-CN"/>
              </w:rPr>
              <w:t>ime</w:t>
            </w:r>
          </w:p>
        </w:tc>
        <w:tc>
          <w:tcPr>
            <w:tcW w:w="1276" w:type="dxa"/>
            <w:shd w:val="clear" w:color="auto" w:fill="auto"/>
          </w:tcPr>
          <w:p w:rsidR="00CB0DD7" w:rsidRPr="000A0A5F" w:rsidRDefault="00CB0DD7">
            <w:pPr>
              <w:pStyle w:val="TAL"/>
              <w:rPr>
                <w:rFonts w:eastAsia="Times New Roman"/>
              </w:rPr>
            </w:pPr>
            <w:r w:rsidRPr="000A0A5F">
              <w:rPr>
                <w:rFonts w:eastAsia="Times New Roman"/>
              </w:rPr>
              <w:t>0..1</w:t>
            </w:r>
          </w:p>
        </w:tc>
        <w:tc>
          <w:tcPr>
            <w:tcW w:w="2995" w:type="dxa"/>
            <w:shd w:val="clear" w:color="auto" w:fill="auto"/>
          </w:tcPr>
          <w:p w:rsidR="00CB0DD7" w:rsidRPr="000A0A5F" w:rsidRDefault="00CB0DD7">
            <w:pPr>
              <w:pStyle w:val="TAL"/>
              <w:rPr>
                <w:rFonts w:cs="Arial" w:hint="eastAsia"/>
                <w:szCs w:val="18"/>
                <w:lang w:eastAsia="zh-CN"/>
              </w:rPr>
            </w:pPr>
            <w:r w:rsidRPr="000A0A5F">
              <w:rPr>
                <w:rFonts w:cs="Arial" w:hint="eastAsia"/>
                <w:szCs w:val="18"/>
                <w:lang w:eastAsia="zh-CN"/>
              </w:rPr>
              <w:t>Identifies the absolute time at which the</w:t>
            </w:r>
            <w:r w:rsidRPr="000A0A5F">
              <w:rPr>
                <w:rFonts w:cs="Arial"/>
                <w:szCs w:val="18"/>
                <w:lang w:eastAsia="zh-CN"/>
              </w:rPr>
              <w:t xml:space="preserve"> SCS/As starts to distribute the data.</w:t>
            </w:r>
            <w:r w:rsidRPr="000A0A5F">
              <w:rPr>
                <w:rFonts w:cs="Arial" w:hint="eastAsia"/>
                <w:szCs w:val="18"/>
                <w:lang w:eastAsia="zh-CN"/>
              </w:rPr>
              <w:t xml:space="preserve"> If absent, it indicates the message shall be sent immediately.</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rPr>
                <w:rFonts w:hint="eastAsia"/>
                <w:lang w:eastAsia="zh-CN"/>
              </w:rPr>
            </w:pPr>
            <w:r w:rsidRPr="000A0A5F">
              <w:rPr>
                <w:lang w:eastAsia="zh-CN"/>
              </w:rPr>
              <w:t>messageDeliveryStopTime</w:t>
            </w:r>
          </w:p>
        </w:tc>
        <w:tc>
          <w:tcPr>
            <w:tcW w:w="2126" w:type="dxa"/>
            <w:shd w:val="clear" w:color="auto" w:fill="auto"/>
          </w:tcPr>
          <w:p w:rsidR="00CB0DD7" w:rsidRPr="000A0A5F" w:rsidRDefault="00CB0DD7">
            <w:pPr>
              <w:pStyle w:val="TAL"/>
              <w:rPr>
                <w:rFonts w:hint="eastAsia"/>
                <w:lang w:eastAsia="zh-CN"/>
              </w:rPr>
            </w:pPr>
            <w:r w:rsidRPr="000A0A5F">
              <w:rPr>
                <w:lang w:eastAsia="zh-CN"/>
              </w:rPr>
              <w:t>D</w:t>
            </w:r>
            <w:r w:rsidRPr="000A0A5F">
              <w:rPr>
                <w:rFonts w:hint="eastAsia"/>
                <w:lang w:eastAsia="zh-CN"/>
              </w:rPr>
              <w:t>at</w:t>
            </w:r>
            <w:r w:rsidRPr="000A0A5F">
              <w:rPr>
                <w:lang w:eastAsia="zh-CN"/>
              </w:rPr>
              <w:t>eT</w:t>
            </w:r>
            <w:r w:rsidRPr="000A0A5F">
              <w:rPr>
                <w:rFonts w:hint="eastAsia"/>
                <w:lang w:eastAsia="zh-CN"/>
              </w:rPr>
              <w:t>ime</w:t>
            </w:r>
          </w:p>
        </w:tc>
        <w:tc>
          <w:tcPr>
            <w:tcW w:w="1276" w:type="dxa"/>
            <w:shd w:val="clear" w:color="auto" w:fill="auto"/>
          </w:tcPr>
          <w:p w:rsidR="00CB0DD7" w:rsidRPr="000A0A5F" w:rsidRDefault="00CB0DD7">
            <w:pPr>
              <w:pStyle w:val="TAL"/>
              <w:rPr>
                <w:rFonts w:eastAsia="Times New Roman"/>
              </w:rPr>
            </w:pPr>
            <w:r w:rsidRPr="000A0A5F">
              <w:rPr>
                <w:rFonts w:eastAsia="Times New Roman"/>
              </w:rPr>
              <w:t>0..1</w:t>
            </w:r>
          </w:p>
        </w:tc>
        <w:tc>
          <w:tcPr>
            <w:tcW w:w="2995" w:type="dxa"/>
            <w:shd w:val="clear" w:color="auto" w:fill="auto"/>
          </w:tcPr>
          <w:p w:rsidR="00CB0DD7" w:rsidRPr="000A0A5F" w:rsidRDefault="00CB0DD7">
            <w:pPr>
              <w:pStyle w:val="TAL"/>
              <w:rPr>
                <w:rFonts w:cs="Arial" w:hint="eastAsia"/>
                <w:szCs w:val="18"/>
                <w:lang w:eastAsia="zh-CN"/>
              </w:rPr>
            </w:pPr>
            <w:r w:rsidRPr="000A0A5F">
              <w:rPr>
                <w:rFonts w:cs="Arial" w:hint="eastAsia"/>
                <w:szCs w:val="18"/>
                <w:lang w:eastAsia="zh-CN"/>
              </w:rPr>
              <w:t>Identifies the absolute time at which the</w:t>
            </w:r>
            <w:r w:rsidRPr="000A0A5F">
              <w:rPr>
                <w:rFonts w:cs="Arial"/>
                <w:szCs w:val="18"/>
                <w:lang w:eastAsia="zh-CN"/>
              </w:rPr>
              <w:t xml:space="preserve"> SCS/As is expected to stop distributing the data.</w:t>
            </w:r>
            <w:r w:rsidRPr="000A0A5F">
              <w:rPr>
                <w:rFonts w:cs="Arial" w:hint="eastAsia"/>
                <w:szCs w:val="18"/>
                <w:lang w:eastAsia="zh-CN"/>
              </w:rPr>
              <w:t xml:space="preserve"> If absent, </w:t>
            </w:r>
            <w:r w:rsidRPr="000A0A5F">
              <w:rPr>
                <w:rFonts w:cs="Arial"/>
                <w:szCs w:val="18"/>
                <w:lang w:eastAsia="zh-CN"/>
              </w:rPr>
              <w:t>the configuration value will be used.</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rPr>
                <w:lang w:eastAsia="zh-CN"/>
              </w:rPr>
            </w:pPr>
            <w:r w:rsidRPr="000A0A5F">
              <w:rPr>
                <w:rFonts w:hint="eastAsia"/>
                <w:lang w:eastAsia="zh-CN"/>
              </w:rPr>
              <w:t>groupMessage</w:t>
            </w:r>
            <w:r w:rsidRPr="000A0A5F">
              <w:rPr>
                <w:lang w:eastAsia="zh-CN"/>
              </w:rPr>
              <w:t>P</w:t>
            </w:r>
            <w:r w:rsidRPr="000A0A5F">
              <w:rPr>
                <w:rFonts w:hint="eastAsia"/>
                <w:lang w:eastAsia="zh-CN"/>
              </w:rPr>
              <w:t>ayload</w:t>
            </w:r>
          </w:p>
        </w:tc>
        <w:tc>
          <w:tcPr>
            <w:tcW w:w="2126" w:type="dxa"/>
            <w:shd w:val="clear" w:color="auto" w:fill="auto"/>
          </w:tcPr>
          <w:p w:rsidR="00CB0DD7" w:rsidRPr="000A0A5F" w:rsidRDefault="00CB0DD7">
            <w:pPr>
              <w:pStyle w:val="TAL"/>
              <w:rPr>
                <w:lang w:eastAsia="zh-CN"/>
              </w:rPr>
            </w:pPr>
            <w:r w:rsidRPr="000A0A5F">
              <w:rPr>
                <w:lang w:eastAsia="zh-CN"/>
              </w:rPr>
              <w:t>Bytes</w:t>
            </w:r>
          </w:p>
        </w:tc>
        <w:tc>
          <w:tcPr>
            <w:tcW w:w="1276" w:type="dxa"/>
            <w:shd w:val="clear" w:color="auto" w:fill="auto"/>
          </w:tcPr>
          <w:p w:rsidR="00CB0DD7" w:rsidRPr="000A0A5F" w:rsidRDefault="00CB0DD7">
            <w:pPr>
              <w:pStyle w:val="TAL"/>
              <w:rPr>
                <w:rFonts w:hint="eastAsia"/>
                <w:lang w:eastAsia="zh-CN"/>
              </w:rPr>
            </w:pPr>
            <w:r w:rsidRPr="000A0A5F">
              <w:rPr>
                <w:rFonts w:hint="eastAsia"/>
                <w:lang w:eastAsia="zh-CN"/>
              </w:rPr>
              <w:t>0..1</w:t>
            </w:r>
          </w:p>
        </w:tc>
        <w:tc>
          <w:tcPr>
            <w:tcW w:w="2995" w:type="dxa"/>
            <w:shd w:val="clear" w:color="auto" w:fill="auto"/>
          </w:tcPr>
          <w:p w:rsidR="00CB0DD7" w:rsidRPr="000A0A5F" w:rsidRDefault="00CB0DD7">
            <w:pPr>
              <w:pStyle w:val="TAL"/>
              <w:rPr>
                <w:rFonts w:cs="Arial" w:hint="eastAsia"/>
                <w:szCs w:val="18"/>
                <w:lang w:eastAsia="zh-CN"/>
              </w:rPr>
            </w:pPr>
            <w:r w:rsidRPr="000A0A5F">
              <w:rPr>
                <w:rFonts w:cs="Arial" w:hint="eastAsia"/>
                <w:szCs w:val="18"/>
                <w:lang w:eastAsia="zh-CN"/>
              </w:rPr>
              <w:t>Indica</w:t>
            </w:r>
            <w:r w:rsidRPr="000A0A5F">
              <w:rPr>
                <w:rFonts w:cs="Arial"/>
                <w:szCs w:val="18"/>
                <w:lang w:eastAsia="zh-CN"/>
              </w:rPr>
              <w:t>tes the payload the SCS/AS intends to deliver to the UEs.</w:t>
            </w:r>
          </w:p>
        </w:tc>
        <w:tc>
          <w:tcPr>
            <w:tcW w:w="1257" w:type="dxa"/>
          </w:tcPr>
          <w:p w:rsidR="00CB0DD7" w:rsidRPr="000A0A5F" w:rsidRDefault="00CB0DD7">
            <w:pPr>
              <w:pStyle w:val="TAL"/>
              <w:rPr>
                <w:rFonts w:eastAsia="Times New Roman" w:cs="Arial"/>
                <w:szCs w:val="18"/>
              </w:rPr>
            </w:pPr>
          </w:p>
        </w:tc>
      </w:tr>
      <w:tr w:rsidR="003D6C1A" w:rsidRPr="000A0A5F" w:rsidTr="00FF0AF8">
        <w:trPr>
          <w:jc w:val="center"/>
        </w:trPr>
        <w:tc>
          <w:tcPr>
            <w:tcW w:w="1948" w:type="dxa"/>
            <w:shd w:val="clear" w:color="auto" w:fill="auto"/>
          </w:tcPr>
          <w:p w:rsidR="003D6C1A" w:rsidRPr="000A0A5F" w:rsidRDefault="003D6C1A" w:rsidP="003D6C1A">
            <w:pPr>
              <w:pStyle w:val="TAL"/>
              <w:rPr>
                <w:rFonts w:hint="eastAsia"/>
                <w:lang w:eastAsia="zh-CN"/>
              </w:rPr>
            </w:pPr>
            <w:r w:rsidRPr="000A0A5F">
              <w:rPr>
                <w:rFonts w:hint="eastAsia"/>
                <w:lang w:eastAsia="zh-CN"/>
              </w:rPr>
              <w:t>notification</w:t>
            </w:r>
            <w:r w:rsidRPr="000A0A5F">
              <w:rPr>
                <w:lang w:eastAsia="zh-CN"/>
              </w:rPr>
              <w:t>Destination</w:t>
            </w:r>
          </w:p>
        </w:tc>
        <w:tc>
          <w:tcPr>
            <w:tcW w:w="2126" w:type="dxa"/>
            <w:shd w:val="clear" w:color="auto" w:fill="auto"/>
          </w:tcPr>
          <w:p w:rsidR="003D6C1A" w:rsidRPr="000A0A5F" w:rsidRDefault="003D6C1A" w:rsidP="003D6C1A">
            <w:pPr>
              <w:pStyle w:val="TAL"/>
              <w:rPr>
                <w:lang w:eastAsia="zh-CN"/>
              </w:rPr>
            </w:pPr>
            <w:r w:rsidRPr="000A0A5F">
              <w:rPr>
                <w:rFonts w:hint="eastAsia"/>
                <w:lang w:eastAsia="zh-CN"/>
              </w:rPr>
              <w:t>Link</w:t>
            </w:r>
          </w:p>
        </w:tc>
        <w:tc>
          <w:tcPr>
            <w:tcW w:w="1276" w:type="dxa"/>
            <w:shd w:val="clear" w:color="auto" w:fill="auto"/>
          </w:tcPr>
          <w:p w:rsidR="003D6C1A" w:rsidRPr="000A0A5F" w:rsidRDefault="003D6C1A" w:rsidP="003D6C1A">
            <w:pPr>
              <w:pStyle w:val="TAL"/>
              <w:rPr>
                <w:rFonts w:hint="eastAsia"/>
                <w:lang w:eastAsia="zh-CN"/>
              </w:rPr>
            </w:pPr>
            <w:r w:rsidRPr="000A0A5F">
              <w:rPr>
                <w:lang w:eastAsia="zh-CN"/>
              </w:rPr>
              <w:t>0..</w:t>
            </w:r>
            <w:r w:rsidRPr="000A0A5F">
              <w:rPr>
                <w:rFonts w:hint="eastAsia"/>
                <w:lang w:eastAsia="zh-CN"/>
              </w:rPr>
              <w:t>1</w:t>
            </w:r>
          </w:p>
        </w:tc>
        <w:tc>
          <w:tcPr>
            <w:tcW w:w="2995" w:type="dxa"/>
            <w:shd w:val="clear" w:color="auto" w:fill="auto"/>
          </w:tcPr>
          <w:p w:rsidR="003D6C1A" w:rsidRPr="000A0A5F" w:rsidRDefault="003D6C1A" w:rsidP="003D6C1A">
            <w:pPr>
              <w:pStyle w:val="TAL"/>
              <w:rPr>
                <w:rFonts w:cs="Arial" w:hint="eastAsia"/>
                <w:szCs w:val="18"/>
                <w:lang w:eastAsia="zh-CN"/>
              </w:rPr>
            </w:pPr>
            <w:r w:rsidRPr="000A0A5F">
              <w:rPr>
                <w:rFonts w:cs="Arial" w:hint="eastAsia"/>
                <w:szCs w:val="18"/>
                <w:lang w:eastAsia="zh-CN"/>
              </w:rPr>
              <w:t xml:space="preserve">A URI indicating the notification destination </w:t>
            </w:r>
            <w:r w:rsidRPr="000A0A5F">
              <w:rPr>
                <w:rFonts w:cs="Arial"/>
                <w:szCs w:val="18"/>
                <w:lang w:eastAsia="zh-CN"/>
              </w:rPr>
              <w:t>where the notification requests shall be delivered</w:t>
            </w:r>
          </w:p>
        </w:tc>
        <w:tc>
          <w:tcPr>
            <w:tcW w:w="1257" w:type="dxa"/>
          </w:tcPr>
          <w:p w:rsidR="003D6C1A" w:rsidRPr="000A0A5F" w:rsidRDefault="003D6C1A" w:rsidP="003D6C1A">
            <w:pPr>
              <w:pStyle w:val="TAL"/>
              <w:rPr>
                <w:rFonts w:eastAsia="Times New Roman" w:cs="Arial"/>
                <w:szCs w:val="18"/>
              </w:rPr>
            </w:pPr>
          </w:p>
        </w:tc>
      </w:tr>
      <w:tr w:rsidR="00CB0DD7" w:rsidRPr="000A0A5F" w:rsidTr="00FF0AF8">
        <w:trPr>
          <w:jc w:val="center"/>
        </w:trPr>
        <w:tc>
          <w:tcPr>
            <w:tcW w:w="9602" w:type="dxa"/>
            <w:gridSpan w:val="5"/>
            <w:shd w:val="clear" w:color="auto" w:fill="auto"/>
          </w:tcPr>
          <w:p w:rsidR="00CB0DD7" w:rsidRPr="000A0A5F" w:rsidRDefault="00CB0DD7">
            <w:pPr>
              <w:pStyle w:val="TAN"/>
            </w:pPr>
            <w:r w:rsidRPr="000A0A5F">
              <w:t>NOTE:</w:t>
            </w:r>
            <w:r w:rsidRPr="000A0A5F">
              <w:tab/>
              <w:t>Properties marked with a feature as defined in clause 5.8.4 are applicable as described in clause 5.2.7. If no feature are indicated, the related property applies for all the features.</w:t>
            </w:r>
          </w:p>
        </w:tc>
      </w:tr>
    </w:tbl>
    <w:p w:rsidR="00CB0DD7" w:rsidRPr="000A0A5F" w:rsidRDefault="00CB0DD7"/>
    <w:p w:rsidR="00CB0DD7" w:rsidRPr="000A0A5F" w:rsidRDefault="00CB0DD7">
      <w:pPr>
        <w:pStyle w:val="Heading6"/>
      </w:pPr>
      <w:bookmarkStart w:id="5978" w:name="_Toc11247624"/>
      <w:bookmarkStart w:id="5979" w:name="_Toc27044763"/>
      <w:bookmarkStart w:id="5980" w:name="_Toc36033805"/>
      <w:bookmarkStart w:id="5981" w:name="_Toc45131951"/>
      <w:bookmarkStart w:id="5982" w:name="_Toc49776236"/>
      <w:bookmarkStart w:id="5983" w:name="_Toc51747156"/>
      <w:bookmarkStart w:id="5984" w:name="_Toc66360723"/>
      <w:bookmarkStart w:id="5985" w:name="_Toc68105228"/>
      <w:bookmarkStart w:id="5986" w:name="_Toc74755858"/>
      <w:bookmarkStart w:id="5987" w:name="_Toc105674733"/>
      <w:bookmarkStart w:id="5988" w:name="_Toc130502789"/>
      <w:bookmarkStart w:id="5989" w:name="_Toc153625576"/>
      <w:r w:rsidRPr="000A0A5F">
        <w:t>5.8.3.1.1.6</w:t>
      </w:r>
      <w:r w:rsidRPr="000A0A5F">
        <w:tab/>
        <w:t>Type: MbmsLocArea</w:t>
      </w:r>
      <w:bookmarkEnd w:id="5978"/>
      <w:bookmarkEnd w:id="5979"/>
      <w:bookmarkEnd w:id="5980"/>
      <w:bookmarkEnd w:id="5981"/>
      <w:bookmarkEnd w:id="5982"/>
      <w:bookmarkEnd w:id="5983"/>
      <w:bookmarkEnd w:id="5984"/>
      <w:bookmarkEnd w:id="5985"/>
      <w:bookmarkEnd w:id="5986"/>
      <w:bookmarkEnd w:id="5987"/>
      <w:bookmarkEnd w:id="5988"/>
      <w:bookmarkEnd w:id="5989"/>
    </w:p>
    <w:p w:rsidR="00CB0DD7" w:rsidRPr="000A0A5F" w:rsidRDefault="00CB0DD7">
      <w:r w:rsidRPr="000A0A5F">
        <w:t>This data type represents the user location area which is sent from the SCS/AS to the SCEF by group message delivery via MBMS request.</w:t>
      </w:r>
    </w:p>
    <w:p w:rsidR="00CB0DD7" w:rsidRPr="000A0A5F" w:rsidRDefault="00CB0DD7">
      <w:pPr>
        <w:pStyle w:val="TH"/>
        <w:rPr>
          <w:noProof/>
        </w:rPr>
      </w:pPr>
      <w:r w:rsidRPr="000A0A5F">
        <w:rPr>
          <w:noProof/>
        </w:rPr>
        <w:t>Table </w:t>
      </w:r>
      <w:r w:rsidRPr="000A0A5F">
        <w:t>5.8.3.1.1.6-1: Definition of the MbmsLocArea data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83"/>
        <w:gridCol w:w="1560"/>
        <w:gridCol w:w="1134"/>
        <w:gridCol w:w="3968"/>
        <w:gridCol w:w="1257"/>
        <w:tblGridChange w:id="5990">
          <w:tblGrid>
            <w:gridCol w:w="1683"/>
            <w:gridCol w:w="1560"/>
            <w:gridCol w:w="1134"/>
            <w:gridCol w:w="3968"/>
            <w:gridCol w:w="1257"/>
          </w:tblGrid>
        </w:tblGridChange>
      </w:tblGrid>
      <w:tr w:rsidR="00CB0DD7" w:rsidRPr="000A0A5F" w:rsidTr="00FF0AF8">
        <w:trPr>
          <w:jc w:val="center"/>
        </w:trPr>
        <w:tc>
          <w:tcPr>
            <w:tcW w:w="1683" w:type="dxa"/>
            <w:shd w:val="clear" w:color="auto" w:fill="C0C0C0"/>
          </w:tcPr>
          <w:p w:rsidR="00CB0DD7" w:rsidRPr="000A0A5F" w:rsidRDefault="00CB0DD7">
            <w:pPr>
              <w:pStyle w:val="TAH"/>
              <w:rPr>
                <w:rFonts w:eastAsia="Times New Roman"/>
              </w:rPr>
            </w:pPr>
            <w:r w:rsidRPr="000A0A5F">
              <w:rPr>
                <w:noProof/>
              </w:rPr>
              <w:br w:type="page"/>
            </w:r>
            <w:r w:rsidRPr="000A0A5F">
              <w:rPr>
                <w:rFonts w:eastAsia="Times New Roman"/>
              </w:rPr>
              <w:t>Attribute name</w:t>
            </w:r>
          </w:p>
        </w:tc>
        <w:tc>
          <w:tcPr>
            <w:tcW w:w="1560" w:type="dxa"/>
            <w:shd w:val="clear" w:color="auto" w:fill="C0C0C0"/>
          </w:tcPr>
          <w:p w:rsidR="00CB0DD7" w:rsidRPr="000A0A5F" w:rsidRDefault="00CB0DD7">
            <w:pPr>
              <w:pStyle w:val="TAH"/>
              <w:rPr>
                <w:rFonts w:eastAsia="Times New Roman"/>
              </w:rPr>
            </w:pPr>
            <w:r w:rsidRPr="000A0A5F">
              <w:rPr>
                <w:rFonts w:eastAsia="Times New Roman"/>
              </w:rPr>
              <w:t>Data type</w:t>
            </w:r>
          </w:p>
        </w:tc>
        <w:tc>
          <w:tcPr>
            <w:tcW w:w="1134" w:type="dxa"/>
            <w:shd w:val="clear" w:color="auto" w:fill="C0C0C0"/>
          </w:tcPr>
          <w:p w:rsidR="00CB0DD7" w:rsidRPr="000A0A5F" w:rsidRDefault="00CB0DD7">
            <w:pPr>
              <w:pStyle w:val="TAH"/>
              <w:jc w:val="left"/>
              <w:rPr>
                <w:rFonts w:eastAsia="Times New Roman"/>
              </w:rPr>
            </w:pPr>
            <w:r w:rsidRPr="000A0A5F">
              <w:rPr>
                <w:rFonts w:eastAsia="Times New Roman"/>
              </w:rPr>
              <w:t>Cardinality</w:t>
            </w:r>
          </w:p>
        </w:tc>
        <w:tc>
          <w:tcPr>
            <w:tcW w:w="3968"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Description</w:t>
            </w:r>
          </w:p>
        </w:tc>
        <w:tc>
          <w:tcPr>
            <w:tcW w:w="1257"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Applicability (NOTE)</w:t>
            </w:r>
          </w:p>
        </w:tc>
      </w:tr>
      <w:tr w:rsidR="00CB0DD7" w:rsidRPr="000A0A5F" w:rsidTr="00FF0AF8">
        <w:trPr>
          <w:jc w:val="center"/>
        </w:trPr>
        <w:tc>
          <w:tcPr>
            <w:tcW w:w="1683" w:type="dxa"/>
            <w:shd w:val="clear" w:color="auto" w:fill="auto"/>
            <w:vAlign w:val="center"/>
          </w:tcPr>
          <w:p w:rsidR="00CB0DD7" w:rsidRPr="000A0A5F" w:rsidRDefault="00CB0DD7">
            <w:pPr>
              <w:pStyle w:val="TAL"/>
              <w:rPr>
                <w:rFonts w:eastAsia="Times New Roman"/>
              </w:rPr>
            </w:pPr>
            <w:r w:rsidRPr="000A0A5F">
              <w:rPr>
                <w:rFonts w:hint="eastAsia"/>
                <w:lang w:eastAsia="zh-CN"/>
              </w:rPr>
              <w:t>cellId</w:t>
            </w:r>
          </w:p>
        </w:tc>
        <w:tc>
          <w:tcPr>
            <w:tcW w:w="1560" w:type="dxa"/>
            <w:shd w:val="clear" w:color="auto" w:fill="auto"/>
          </w:tcPr>
          <w:p w:rsidR="00CB0DD7" w:rsidRPr="000A0A5F" w:rsidRDefault="00CB0DD7">
            <w:pPr>
              <w:pStyle w:val="TAL"/>
              <w:rPr>
                <w:rFonts w:eastAsia="Times New Roman"/>
              </w:rPr>
            </w:pPr>
            <w:r w:rsidRPr="000A0A5F">
              <w:rPr>
                <w:lang w:eastAsia="zh-CN"/>
              </w:rPr>
              <w:t>array(</w:t>
            </w:r>
            <w:r w:rsidRPr="000A0A5F">
              <w:rPr>
                <w:rFonts w:hint="eastAsia"/>
                <w:lang w:eastAsia="zh-CN"/>
              </w:rPr>
              <w:t>string</w:t>
            </w:r>
            <w:r w:rsidRPr="000A0A5F">
              <w:rPr>
                <w:lang w:eastAsia="zh-CN"/>
              </w:rPr>
              <w:t>)</w:t>
            </w:r>
          </w:p>
        </w:tc>
        <w:tc>
          <w:tcPr>
            <w:tcW w:w="1134" w:type="dxa"/>
            <w:shd w:val="clear" w:color="auto" w:fill="auto"/>
          </w:tcPr>
          <w:p w:rsidR="00CB0DD7" w:rsidRPr="000A0A5F" w:rsidRDefault="00CB0DD7">
            <w:pPr>
              <w:pStyle w:val="TAL"/>
              <w:rPr>
                <w:rFonts w:eastAsia="Times New Roman"/>
              </w:rPr>
            </w:pPr>
            <w:r w:rsidRPr="000A0A5F">
              <w:rPr>
                <w:rFonts w:hint="eastAsia"/>
                <w:lang w:eastAsia="zh-CN"/>
              </w:rPr>
              <w:t>0..N</w:t>
            </w:r>
          </w:p>
        </w:tc>
        <w:tc>
          <w:tcPr>
            <w:tcW w:w="3968" w:type="dxa"/>
            <w:shd w:val="clear" w:color="auto" w:fill="auto"/>
          </w:tcPr>
          <w:p w:rsidR="00CB0DD7" w:rsidRPr="000A0A5F" w:rsidRDefault="00CB0DD7">
            <w:pPr>
              <w:pStyle w:val="TAL"/>
              <w:rPr>
                <w:rFonts w:eastAsia="Times New Roman" w:cs="Arial"/>
                <w:szCs w:val="18"/>
              </w:rPr>
            </w:pPr>
            <w:r w:rsidRPr="000A0A5F">
              <w:rPr>
                <w:rFonts w:cs="Arial" w:hint="eastAsia"/>
                <w:szCs w:val="18"/>
                <w:lang w:eastAsia="zh-CN"/>
              </w:rPr>
              <w:t>Indicate</w:t>
            </w:r>
            <w:r w:rsidRPr="000A0A5F">
              <w:rPr>
                <w:rFonts w:cs="Arial"/>
                <w:szCs w:val="18"/>
                <w:lang w:eastAsia="zh-CN"/>
              </w:rPr>
              <w:t>s</w:t>
            </w:r>
            <w:r w:rsidRPr="000A0A5F">
              <w:rPr>
                <w:rFonts w:cs="Arial" w:hint="eastAsia"/>
                <w:szCs w:val="18"/>
                <w:lang w:eastAsia="zh-CN"/>
              </w:rPr>
              <w:t xml:space="preserve"> </w:t>
            </w:r>
            <w:r w:rsidRPr="000A0A5F">
              <w:rPr>
                <w:rFonts w:cs="Arial"/>
                <w:szCs w:val="18"/>
                <w:lang w:eastAsia="zh-CN"/>
              </w:rPr>
              <w:t xml:space="preserve">a </w:t>
            </w:r>
            <w:r w:rsidRPr="000A0A5F">
              <w:rPr>
                <w:rFonts w:cs="Arial" w:hint="eastAsia"/>
                <w:szCs w:val="18"/>
                <w:lang w:eastAsia="zh-CN"/>
              </w:rPr>
              <w:t>Cell Global Identification of the user which identifies the cell the UE is registered.</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683" w:type="dxa"/>
            <w:shd w:val="clear" w:color="auto" w:fill="auto"/>
            <w:vAlign w:val="center"/>
          </w:tcPr>
          <w:p w:rsidR="00CB0DD7" w:rsidRPr="000A0A5F" w:rsidRDefault="00CB0DD7">
            <w:pPr>
              <w:pStyle w:val="TAL"/>
              <w:rPr>
                <w:rFonts w:hint="eastAsia"/>
                <w:lang w:eastAsia="zh-CN"/>
              </w:rPr>
            </w:pPr>
            <w:r w:rsidRPr="000A0A5F">
              <w:rPr>
                <w:rFonts w:hint="eastAsia"/>
                <w:lang w:eastAsia="zh-CN"/>
              </w:rPr>
              <w:t>e</w:t>
            </w:r>
            <w:r w:rsidRPr="000A0A5F">
              <w:rPr>
                <w:lang w:eastAsia="zh-CN"/>
              </w:rPr>
              <w:t>nodeBId</w:t>
            </w:r>
          </w:p>
        </w:tc>
        <w:tc>
          <w:tcPr>
            <w:tcW w:w="1560" w:type="dxa"/>
            <w:shd w:val="clear" w:color="auto" w:fill="auto"/>
          </w:tcPr>
          <w:p w:rsidR="00CB0DD7" w:rsidRPr="000A0A5F" w:rsidRDefault="00CB0DD7">
            <w:pPr>
              <w:pStyle w:val="TAL"/>
              <w:rPr>
                <w:rFonts w:hint="eastAsia"/>
                <w:lang w:eastAsia="zh-CN"/>
              </w:rPr>
            </w:pPr>
            <w:r w:rsidRPr="000A0A5F">
              <w:rPr>
                <w:lang w:eastAsia="zh-CN"/>
              </w:rPr>
              <w:t>array(</w:t>
            </w:r>
            <w:r w:rsidRPr="000A0A5F">
              <w:rPr>
                <w:rFonts w:hint="eastAsia"/>
                <w:lang w:eastAsia="zh-CN"/>
              </w:rPr>
              <w:t>string</w:t>
            </w:r>
            <w:r w:rsidRPr="000A0A5F">
              <w:rPr>
                <w:lang w:eastAsia="zh-CN"/>
              </w:rPr>
              <w:t>)</w:t>
            </w:r>
          </w:p>
        </w:tc>
        <w:tc>
          <w:tcPr>
            <w:tcW w:w="1134" w:type="dxa"/>
            <w:shd w:val="clear" w:color="auto" w:fill="auto"/>
          </w:tcPr>
          <w:p w:rsidR="00CB0DD7" w:rsidRPr="000A0A5F" w:rsidRDefault="00CB0DD7">
            <w:pPr>
              <w:pStyle w:val="TAL"/>
              <w:rPr>
                <w:rFonts w:eastAsia="Times New Roman"/>
              </w:rPr>
            </w:pPr>
            <w:r w:rsidRPr="000A0A5F">
              <w:rPr>
                <w:rFonts w:hint="eastAsia"/>
                <w:lang w:eastAsia="zh-CN"/>
              </w:rPr>
              <w:t>0..N</w:t>
            </w:r>
          </w:p>
        </w:tc>
        <w:tc>
          <w:tcPr>
            <w:tcW w:w="3968" w:type="dxa"/>
            <w:shd w:val="clear" w:color="auto" w:fill="auto"/>
          </w:tcPr>
          <w:p w:rsidR="00CB0DD7" w:rsidRPr="000A0A5F" w:rsidRDefault="00CB0DD7">
            <w:pPr>
              <w:pStyle w:val="TAL"/>
              <w:rPr>
                <w:rFonts w:cs="Arial" w:hint="eastAsia"/>
                <w:szCs w:val="18"/>
                <w:lang w:eastAsia="zh-CN"/>
              </w:rPr>
            </w:pPr>
            <w:r w:rsidRPr="000A0A5F">
              <w:rPr>
                <w:rFonts w:cs="Arial" w:hint="eastAsia"/>
                <w:szCs w:val="18"/>
                <w:lang w:eastAsia="zh-CN"/>
              </w:rPr>
              <w:t xml:space="preserve">Indicates </w:t>
            </w:r>
            <w:r w:rsidRPr="000A0A5F">
              <w:rPr>
                <w:rFonts w:cs="Arial"/>
                <w:szCs w:val="18"/>
                <w:lang w:eastAsia="zh-CN"/>
              </w:rPr>
              <w:t>an</w:t>
            </w:r>
            <w:r w:rsidRPr="000A0A5F">
              <w:rPr>
                <w:rFonts w:cs="Arial" w:hint="eastAsia"/>
                <w:szCs w:val="18"/>
                <w:lang w:eastAsia="zh-CN"/>
              </w:rPr>
              <w:t xml:space="preserve"> eNodeB in which the UE is currently located.</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683" w:type="dxa"/>
            <w:shd w:val="clear" w:color="auto" w:fill="auto"/>
            <w:vAlign w:val="center"/>
          </w:tcPr>
          <w:p w:rsidR="00CB0DD7" w:rsidRPr="000A0A5F" w:rsidRDefault="00CB0DD7">
            <w:pPr>
              <w:pStyle w:val="TAL"/>
              <w:rPr>
                <w:lang w:eastAsia="zh-CN"/>
              </w:rPr>
            </w:pPr>
            <w:r w:rsidRPr="000A0A5F">
              <w:rPr>
                <w:rFonts w:hint="eastAsia"/>
                <w:lang w:eastAsia="zh-CN"/>
              </w:rPr>
              <w:t>geographicArea</w:t>
            </w:r>
          </w:p>
        </w:tc>
        <w:tc>
          <w:tcPr>
            <w:tcW w:w="1560" w:type="dxa"/>
            <w:shd w:val="clear" w:color="auto" w:fill="auto"/>
          </w:tcPr>
          <w:p w:rsidR="00CB0DD7" w:rsidRPr="000A0A5F" w:rsidRDefault="00CB0DD7">
            <w:pPr>
              <w:pStyle w:val="TAL"/>
              <w:rPr>
                <w:lang w:eastAsia="zh-CN"/>
              </w:rPr>
            </w:pPr>
            <w:r w:rsidRPr="000A0A5F">
              <w:rPr>
                <w:lang w:eastAsia="zh-CN"/>
              </w:rPr>
              <w:t>array(</w:t>
            </w:r>
            <w:r w:rsidRPr="000A0A5F">
              <w:rPr>
                <w:rFonts w:hint="eastAsia"/>
                <w:lang w:eastAsia="zh-CN"/>
              </w:rPr>
              <w:t>GeographicArea</w:t>
            </w:r>
            <w:r w:rsidRPr="000A0A5F">
              <w:rPr>
                <w:lang w:eastAsia="zh-CN"/>
              </w:rPr>
              <w:t>)</w:t>
            </w:r>
          </w:p>
        </w:tc>
        <w:tc>
          <w:tcPr>
            <w:tcW w:w="1134" w:type="dxa"/>
            <w:shd w:val="clear" w:color="auto" w:fill="auto"/>
          </w:tcPr>
          <w:p w:rsidR="00CB0DD7" w:rsidRPr="000A0A5F" w:rsidRDefault="00CB0DD7">
            <w:pPr>
              <w:pStyle w:val="TAL"/>
              <w:rPr>
                <w:rFonts w:hint="eastAsia"/>
                <w:lang w:eastAsia="zh-CN"/>
              </w:rPr>
            </w:pPr>
            <w:r w:rsidRPr="000A0A5F">
              <w:rPr>
                <w:rFonts w:hint="eastAsia"/>
                <w:lang w:eastAsia="zh-CN"/>
              </w:rPr>
              <w:t>0..N</w:t>
            </w:r>
          </w:p>
        </w:tc>
        <w:tc>
          <w:tcPr>
            <w:tcW w:w="3968" w:type="dxa"/>
            <w:shd w:val="clear" w:color="auto" w:fill="auto"/>
          </w:tcPr>
          <w:p w:rsidR="00CB0DD7" w:rsidRPr="000A0A5F" w:rsidRDefault="00CB0DD7">
            <w:pPr>
              <w:pStyle w:val="TAL"/>
              <w:rPr>
                <w:rFonts w:cs="Arial" w:hint="eastAsia"/>
                <w:szCs w:val="18"/>
                <w:lang w:eastAsia="zh-CN"/>
              </w:rPr>
            </w:pPr>
            <w:r w:rsidRPr="000A0A5F">
              <w:rPr>
                <w:rFonts w:eastAsia="Times New Roman" w:cs="Arial"/>
                <w:szCs w:val="18"/>
              </w:rPr>
              <w:t>Identifies a geographic area of the user where the UE is located.</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683" w:type="dxa"/>
            <w:shd w:val="clear" w:color="auto" w:fill="auto"/>
            <w:vAlign w:val="center"/>
          </w:tcPr>
          <w:p w:rsidR="00CB0DD7" w:rsidRPr="000A0A5F" w:rsidRDefault="00CB0DD7">
            <w:pPr>
              <w:pStyle w:val="TAL"/>
              <w:rPr>
                <w:rFonts w:hint="eastAsia"/>
                <w:lang w:eastAsia="zh-CN"/>
              </w:rPr>
            </w:pPr>
            <w:r w:rsidRPr="000A0A5F">
              <w:rPr>
                <w:lang w:eastAsia="zh-CN"/>
              </w:rPr>
              <w:t>mbms</w:t>
            </w:r>
            <w:r w:rsidRPr="000A0A5F">
              <w:rPr>
                <w:rFonts w:hint="eastAsia"/>
                <w:lang w:eastAsia="zh-CN"/>
              </w:rPr>
              <w:t>ServiceAreaId</w:t>
            </w:r>
          </w:p>
        </w:tc>
        <w:tc>
          <w:tcPr>
            <w:tcW w:w="1560" w:type="dxa"/>
            <w:shd w:val="clear" w:color="auto" w:fill="auto"/>
          </w:tcPr>
          <w:p w:rsidR="00CB0DD7" w:rsidRPr="000A0A5F" w:rsidRDefault="00CB0DD7">
            <w:pPr>
              <w:pStyle w:val="TAL"/>
              <w:rPr>
                <w:rFonts w:hint="eastAsia"/>
                <w:lang w:eastAsia="zh-CN"/>
              </w:rPr>
            </w:pPr>
            <w:r w:rsidRPr="000A0A5F">
              <w:rPr>
                <w:lang w:eastAsia="zh-CN"/>
              </w:rPr>
              <w:t>array(</w:t>
            </w:r>
            <w:r w:rsidRPr="000A0A5F">
              <w:rPr>
                <w:rFonts w:hint="eastAsia"/>
                <w:lang w:eastAsia="zh-CN"/>
              </w:rPr>
              <w:t>string</w:t>
            </w:r>
            <w:r w:rsidRPr="000A0A5F">
              <w:rPr>
                <w:lang w:eastAsia="zh-CN"/>
              </w:rPr>
              <w:t>)</w:t>
            </w:r>
          </w:p>
        </w:tc>
        <w:tc>
          <w:tcPr>
            <w:tcW w:w="1134" w:type="dxa"/>
            <w:shd w:val="clear" w:color="auto" w:fill="auto"/>
          </w:tcPr>
          <w:p w:rsidR="00CB0DD7" w:rsidRPr="000A0A5F" w:rsidRDefault="00CB0DD7">
            <w:pPr>
              <w:pStyle w:val="TAL"/>
              <w:rPr>
                <w:rFonts w:hint="eastAsia"/>
                <w:lang w:eastAsia="zh-CN"/>
              </w:rPr>
            </w:pPr>
            <w:r w:rsidRPr="000A0A5F">
              <w:rPr>
                <w:rFonts w:hint="eastAsia"/>
                <w:lang w:eastAsia="zh-CN"/>
              </w:rPr>
              <w:t>0..</w:t>
            </w:r>
            <w:r w:rsidRPr="000A0A5F">
              <w:rPr>
                <w:lang w:eastAsia="zh-CN"/>
              </w:rPr>
              <w:t>N</w:t>
            </w:r>
          </w:p>
        </w:tc>
        <w:tc>
          <w:tcPr>
            <w:tcW w:w="3968" w:type="dxa"/>
            <w:shd w:val="clear" w:color="auto" w:fill="auto"/>
          </w:tcPr>
          <w:p w:rsidR="00CB0DD7" w:rsidRPr="000A0A5F" w:rsidRDefault="00CB0DD7">
            <w:pPr>
              <w:pStyle w:val="TAL"/>
              <w:rPr>
                <w:rFonts w:eastAsia="Times New Roman" w:cs="Arial"/>
                <w:szCs w:val="18"/>
              </w:rPr>
            </w:pPr>
            <w:r w:rsidRPr="000A0A5F">
              <w:rPr>
                <w:rFonts w:cs="Arial" w:hint="eastAsia"/>
                <w:szCs w:val="18"/>
                <w:lang w:eastAsia="zh-CN"/>
              </w:rPr>
              <w:t xml:space="preserve">Identifies </w:t>
            </w:r>
            <w:r w:rsidRPr="000A0A5F">
              <w:rPr>
                <w:rFonts w:cs="Arial"/>
                <w:szCs w:val="18"/>
                <w:lang w:eastAsia="zh-CN"/>
              </w:rPr>
              <w:t>an MBMS Service Area Identity of the user where the UE is located.</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683" w:type="dxa"/>
            <w:shd w:val="clear" w:color="auto" w:fill="auto"/>
            <w:vAlign w:val="center"/>
          </w:tcPr>
          <w:p w:rsidR="00CB0DD7" w:rsidRPr="000A0A5F" w:rsidRDefault="00CB0DD7">
            <w:pPr>
              <w:pStyle w:val="TAL"/>
              <w:rPr>
                <w:lang w:eastAsia="zh-CN"/>
              </w:rPr>
            </w:pPr>
            <w:r w:rsidRPr="000A0A5F">
              <w:t>civicAddress</w:t>
            </w:r>
          </w:p>
        </w:tc>
        <w:tc>
          <w:tcPr>
            <w:tcW w:w="1560" w:type="dxa"/>
            <w:shd w:val="clear" w:color="auto" w:fill="auto"/>
          </w:tcPr>
          <w:p w:rsidR="00CB0DD7" w:rsidRPr="000A0A5F" w:rsidRDefault="00CB0DD7">
            <w:pPr>
              <w:pStyle w:val="TAL"/>
              <w:rPr>
                <w:lang w:eastAsia="zh-CN"/>
              </w:rPr>
            </w:pPr>
            <w:r w:rsidRPr="000A0A5F">
              <w:rPr>
                <w:lang w:eastAsia="zh-CN"/>
              </w:rPr>
              <w:t>array(</w:t>
            </w:r>
            <w:r w:rsidRPr="000A0A5F">
              <w:t>CivicAddress)</w:t>
            </w:r>
          </w:p>
        </w:tc>
        <w:tc>
          <w:tcPr>
            <w:tcW w:w="1134" w:type="dxa"/>
            <w:shd w:val="clear" w:color="auto" w:fill="auto"/>
          </w:tcPr>
          <w:p w:rsidR="00CB0DD7" w:rsidRPr="000A0A5F" w:rsidRDefault="00CB0DD7">
            <w:pPr>
              <w:pStyle w:val="TAL"/>
              <w:rPr>
                <w:rFonts w:hint="eastAsia"/>
                <w:lang w:eastAsia="zh-CN"/>
              </w:rPr>
            </w:pPr>
            <w:r w:rsidRPr="000A0A5F">
              <w:rPr>
                <w:rFonts w:hint="eastAsia"/>
                <w:lang w:eastAsia="zh-CN"/>
              </w:rPr>
              <w:t>0..N</w:t>
            </w:r>
          </w:p>
        </w:tc>
        <w:tc>
          <w:tcPr>
            <w:tcW w:w="3968" w:type="dxa"/>
            <w:shd w:val="clear" w:color="auto" w:fill="auto"/>
          </w:tcPr>
          <w:p w:rsidR="00CB0DD7" w:rsidRPr="000A0A5F" w:rsidRDefault="00CB0DD7">
            <w:pPr>
              <w:pStyle w:val="TAL"/>
              <w:rPr>
                <w:rFonts w:cs="Arial" w:hint="eastAsia"/>
                <w:szCs w:val="18"/>
                <w:lang w:eastAsia="zh-CN"/>
              </w:rPr>
            </w:pPr>
            <w:r w:rsidRPr="000A0A5F">
              <w:rPr>
                <w:rFonts w:eastAsia="Times New Roman" w:cs="Arial"/>
                <w:szCs w:val="18"/>
              </w:rPr>
              <w:t>Identifies a civic address of the user where the UE is located.</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9602" w:type="dxa"/>
            <w:gridSpan w:val="5"/>
            <w:shd w:val="clear" w:color="auto" w:fill="auto"/>
          </w:tcPr>
          <w:p w:rsidR="00CB0DD7" w:rsidRPr="000A0A5F" w:rsidRDefault="00CB0DD7">
            <w:pPr>
              <w:pStyle w:val="TAN"/>
            </w:pPr>
            <w:r w:rsidRPr="000A0A5F">
              <w:t>NOTE:</w:t>
            </w:r>
            <w:r w:rsidRPr="000A0A5F">
              <w:tab/>
              <w:t>Properties marked with a feature as defined in clause 5.8.2.3 are applicable as described in clause 5.2.7. If no features are indicated, the related property applies for all the features.</w:t>
            </w:r>
          </w:p>
        </w:tc>
      </w:tr>
    </w:tbl>
    <w:p w:rsidR="00CB0DD7" w:rsidRPr="000A0A5F" w:rsidRDefault="00CB0DD7"/>
    <w:p w:rsidR="00CB0DD7" w:rsidRPr="000A0A5F" w:rsidRDefault="00CB0DD7">
      <w:pPr>
        <w:pStyle w:val="Heading5"/>
      </w:pPr>
      <w:bookmarkStart w:id="5991" w:name="_Toc11247625"/>
      <w:bookmarkStart w:id="5992" w:name="_Toc27044764"/>
      <w:bookmarkStart w:id="5993" w:name="_Toc36033806"/>
      <w:bookmarkStart w:id="5994" w:name="_Toc45131952"/>
      <w:bookmarkStart w:id="5995" w:name="_Toc49776237"/>
      <w:bookmarkStart w:id="5996" w:name="_Toc51747157"/>
      <w:bookmarkStart w:id="5997" w:name="_Toc66360724"/>
      <w:bookmarkStart w:id="5998" w:name="_Toc68105229"/>
      <w:bookmarkStart w:id="5999" w:name="_Toc74755859"/>
      <w:bookmarkStart w:id="6000" w:name="_Toc105674734"/>
      <w:bookmarkStart w:id="6001" w:name="_Toc130502790"/>
      <w:bookmarkStart w:id="6002" w:name="_Toc153625577"/>
      <w:r w:rsidRPr="000A0A5F">
        <w:t>5.8.3.1.2</w:t>
      </w:r>
      <w:r w:rsidRPr="000A0A5F">
        <w:tab/>
        <w:t>Referenced simple data types and enumerations</w:t>
      </w:r>
      <w:bookmarkEnd w:id="5991"/>
      <w:bookmarkEnd w:id="5992"/>
      <w:bookmarkEnd w:id="5993"/>
      <w:bookmarkEnd w:id="5994"/>
      <w:bookmarkEnd w:id="5995"/>
      <w:bookmarkEnd w:id="5996"/>
      <w:bookmarkEnd w:id="5997"/>
      <w:bookmarkEnd w:id="5998"/>
      <w:bookmarkEnd w:id="5999"/>
      <w:bookmarkEnd w:id="6000"/>
      <w:bookmarkEnd w:id="6001"/>
      <w:bookmarkEnd w:id="6002"/>
    </w:p>
    <w:p w:rsidR="00CB0DD7" w:rsidRPr="000A0A5F" w:rsidRDefault="00CB0DD7">
      <w:pPr>
        <w:pStyle w:val="Heading6"/>
      </w:pPr>
      <w:bookmarkStart w:id="6003" w:name="_Toc11247626"/>
      <w:bookmarkStart w:id="6004" w:name="_Toc27044765"/>
      <w:bookmarkStart w:id="6005" w:name="_Toc36033807"/>
      <w:bookmarkStart w:id="6006" w:name="_Toc45131953"/>
      <w:bookmarkStart w:id="6007" w:name="_Toc49776238"/>
      <w:bookmarkStart w:id="6008" w:name="_Toc51747158"/>
      <w:bookmarkStart w:id="6009" w:name="_Toc66360725"/>
      <w:bookmarkStart w:id="6010" w:name="_Toc68105230"/>
      <w:bookmarkStart w:id="6011" w:name="_Toc74755860"/>
      <w:bookmarkStart w:id="6012" w:name="_Toc105674735"/>
      <w:bookmarkStart w:id="6013" w:name="_Toc130502791"/>
      <w:bookmarkStart w:id="6014" w:name="_Toc153625578"/>
      <w:r w:rsidRPr="000A0A5F">
        <w:t>5.8.3.1.2.1</w:t>
      </w:r>
      <w:r w:rsidRPr="000A0A5F">
        <w:tab/>
        <w:t>Introduction</w:t>
      </w:r>
      <w:bookmarkEnd w:id="6003"/>
      <w:bookmarkEnd w:id="6004"/>
      <w:bookmarkEnd w:id="6005"/>
      <w:bookmarkEnd w:id="6006"/>
      <w:bookmarkEnd w:id="6007"/>
      <w:bookmarkEnd w:id="6008"/>
      <w:bookmarkEnd w:id="6009"/>
      <w:bookmarkEnd w:id="6010"/>
      <w:bookmarkEnd w:id="6011"/>
      <w:bookmarkEnd w:id="6012"/>
      <w:bookmarkEnd w:id="6013"/>
      <w:bookmarkEnd w:id="6014"/>
    </w:p>
    <w:p w:rsidR="00CB0DD7" w:rsidRPr="000A0A5F" w:rsidRDefault="00CB0DD7">
      <w:r w:rsidRPr="000A0A5F">
        <w:t>This clause defines simple data types and enumerations that can be referenced from data structures defined in the previous clauses. In addition, data types and enumerations defined in clause</w:t>
      </w:r>
      <w:r w:rsidR="000902D9" w:rsidRPr="000A0A5F">
        <w:t> </w:t>
      </w:r>
      <w:r w:rsidRPr="000A0A5F">
        <w:t>5.2.1 can be referenced.</w:t>
      </w:r>
    </w:p>
    <w:p w:rsidR="00CB0DD7" w:rsidRPr="000A0A5F" w:rsidRDefault="00CB0DD7">
      <w:pPr>
        <w:pStyle w:val="Heading6"/>
      </w:pPr>
      <w:bookmarkStart w:id="6015" w:name="_Toc11247627"/>
      <w:bookmarkStart w:id="6016" w:name="_Toc27044766"/>
      <w:bookmarkStart w:id="6017" w:name="_Toc36033808"/>
      <w:bookmarkStart w:id="6018" w:name="_Toc45131954"/>
      <w:bookmarkStart w:id="6019" w:name="_Toc49776239"/>
      <w:bookmarkStart w:id="6020" w:name="_Toc51747159"/>
      <w:bookmarkStart w:id="6021" w:name="_Toc66360726"/>
      <w:bookmarkStart w:id="6022" w:name="_Toc68105231"/>
      <w:bookmarkStart w:id="6023" w:name="_Toc74755861"/>
      <w:bookmarkStart w:id="6024" w:name="_Toc105674736"/>
      <w:bookmarkStart w:id="6025" w:name="_Toc130502792"/>
      <w:bookmarkStart w:id="6026" w:name="_Toc153625579"/>
      <w:r w:rsidRPr="000A0A5F">
        <w:t>5.8.3.1.2.2</w:t>
      </w:r>
      <w:r w:rsidRPr="000A0A5F">
        <w:tab/>
        <w:t>Simple data types</w:t>
      </w:r>
      <w:bookmarkEnd w:id="6015"/>
      <w:bookmarkEnd w:id="6016"/>
      <w:bookmarkEnd w:id="6017"/>
      <w:bookmarkEnd w:id="6018"/>
      <w:bookmarkEnd w:id="6019"/>
      <w:bookmarkEnd w:id="6020"/>
      <w:bookmarkEnd w:id="6021"/>
      <w:bookmarkEnd w:id="6022"/>
      <w:bookmarkEnd w:id="6023"/>
      <w:bookmarkEnd w:id="6024"/>
      <w:bookmarkEnd w:id="6025"/>
      <w:bookmarkEnd w:id="6026"/>
      <w:r w:rsidRPr="000A0A5F">
        <w:t xml:space="preserve"> </w:t>
      </w:r>
    </w:p>
    <w:p w:rsidR="00CB0DD7" w:rsidRPr="000A0A5F" w:rsidRDefault="00CB0DD7">
      <w:r w:rsidRPr="000A0A5F">
        <w:t>The simple data types defined in table 5.8.3.1.2.2-1 shall be supported.</w:t>
      </w:r>
    </w:p>
    <w:p w:rsidR="00CB0DD7" w:rsidRPr="000A0A5F" w:rsidRDefault="00CB0DD7">
      <w:pPr>
        <w:pStyle w:val="TH"/>
      </w:pPr>
      <w:r w:rsidRPr="000A0A5F">
        <w:t>Table 5.8.3.1.2.2-1: Simple data types</w:t>
      </w:r>
    </w:p>
    <w:tbl>
      <w:tblPr>
        <w:tblW w:w="4658"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868"/>
        <w:gridCol w:w="7315"/>
      </w:tblGrid>
      <w:tr w:rsidR="00CB0DD7" w:rsidRPr="000A0A5F" w:rsidTr="00FF0AF8">
        <w:tc>
          <w:tcPr>
            <w:tcW w:w="1017" w:type="pct"/>
            <w:shd w:val="clear" w:color="auto" w:fill="C0C0C0"/>
            <w:tcMar>
              <w:top w:w="0" w:type="dxa"/>
              <w:left w:w="108" w:type="dxa"/>
              <w:bottom w:w="0" w:type="dxa"/>
              <w:right w:w="108" w:type="dxa"/>
            </w:tcMar>
          </w:tcPr>
          <w:p w:rsidR="00CB0DD7" w:rsidRPr="000A0A5F" w:rsidRDefault="00CB0DD7">
            <w:pPr>
              <w:pStyle w:val="TAH"/>
            </w:pPr>
            <w:r w:rsidRPr="000A0A5F">
              <w:t>Type name</w:t>
            </w:r>
          </w:p>
        </w:tc>
        <w:tc>
          <w:tcPr>
            <w:tcW w:w="3983" w:type="pct"/>
            <w:shd w:val="clear" w:color="auto" w:fill="C0C0C0"/>
            <w:tcMar>
              <w:top w:w="0" w:type="dxa"/>
              <w:left w:w="108" w:type="dxa"/>
              <w:bottom w:w="0" w:type="dxa"/>
              <w:right w:w="108" w:type="dxa"/>
            </w:tcMar>
          </w:tcPr>
          <w:p w:rsidR="00CB0DD7" w:rsidRPr="000A0A5F" w:rsidRDefault="00CB0DD7">
            <w:pPr>
              <w:pStyle w:val="TAH"/>
            </w:pPr>
            <w:r w:rsidRPr="000A0A5F">
              <w:t>Description</w:t>
            </w:r>
          </w:p>
        </w:tc>
      </w:tr>
      <w:tr w:rsidR="00CB0DD7" w:rsidRPr="000A0A5F" w:rsidTr="00FF0AF8">
        <w:tc>
          <w:tcPr>
            <w:tcW w:w="1017" w:type="pct"/>
            <w:tcMar>
              <w:top w:w="0" w:type="dxa"/>
              <w:left w:w="108" w:type="dxa"/>
              <w:bottom w:w="0" w:type="dxa"/>
              <w:right w:w="108" w:type="dxa"/>
            </w:tcMar>
          </w:tcPr>
          <w:p w:rsidR="00CB0DD7" w:rsidRPr="000A0A5F" w:rsidRDefault="00CB0DD7">
            <w:pPr>
              <w:pStyle w:val="TAL"/>
            </w:pPr>
          </w:p>
        </w:tc>
        <w:tc>
          <w:tcPr>
            <w:tcW w:w="3983" w:type="pct"/>
            <w:tcMar>
              <w:top w:w="0" w:type="dxa"/>
              <w:left w:w="108" w:type="dxa"/>
              <w:bottom w:w="0" w:type="dxa"/>
              <w:right w:w="108" w:type="dxa"/>
            </w:tcMar>
          </w:tcPr>
          <w:p w:rsidR="00CB0DD7" w:rsidRPr="000A0A5F" w:rsidRDefault="00CB0DD7">
            <w:pPr>
              <w:pStyle w:val="TAL"/>
            </w:pPr>
          </w:p>
        </w:tc>
      </w:tr>
      <w:tr w:rsidR="00CB0DD7" w:rsidRPr="000A0A5F" w:rsidTr="00FF0AF8">
        <w:tc>
          <w:tcPr>
            <w:tcW w:w="1017" w:type="pct"/>
            <w:tcMar>
              <w:top w:w="0" w:type="dxa"/>
              <w:left w:w="108" w:type="dxa"/>
              <w:bottom w:w="0" w:type="dxa"/>
              <w:right w:w="108" w:type="dxa"/>
            </w:tcMar>
          </w:tcPr>
          <w:p w:rsidR="00CB0DD7" w:rsidRPr="000A0A5F" w:rsidRDefault="00CB0DD7">
            <w:pPr>
              <w:pStyle w:val="TAL"/>
            </w:pPr>
          </w:p>
        </w:tc>
        <w:tc>
          <w:tcPr>
            <w:tcW w:w="3983" w:type="pct"/>
            <w:tcMar>
              <w:top w:w="0" w:type="dxa"/>
              <w:left w:w="108" w:type="dxa"/>
              <w:bottom w:w="0" w:type="dxa"/>
              <w:right w:w="108" w:type="dxa"/>
            </w:tcMar>
          </w:tcPr>
          <w:p w:rsidR="00CB0DD7" w:rsidRPr="000A0A5F" w:rsidRDefault="00CB0DD7">
            <w:pPr>
              <w:pStyle w:val="TAL"/>
            </w:pPr>
          </w:p>
        </w:tc>
      </w:tr>
    </w:tbl>
    <w:p w:rsidR="00CB0DD7" w:rsidRPr="000A0A5F" w:rsidRDefault="00CB0DD7"/>
    <w:p w:rsidR="00CB0DD7" w:rsidRPr="000A0A5F" w:rsidRDefault="00CB0DD7">
      <w:pPr>
        <w:pStyle w:val="Heading6"/>
      </w:pPr>
      <w:bookmarkStart w:id="6027" w:name="_Toc11247628"/>
      <w:bookmarkStart w:id="6028" w:name="_Toc27044767"/>
      <w:bookmarkStart w:id="6029" w:name="_Toc36033809"/>
      <w:bookmarkStart w:id="6030" w:name="_Toc45131955"/>
      <w:bookmarkStart w:id="6031" w:name="_Toc49776240"/>
      <w:bookmarkStart w:id="6032" w:name="_Toc51747160"/>
      <w:bookmarkStart w:id="6033" w:name="_Toc66360727"/>
      <w:bookmarkStart w:id="6034" w:name="_Toc68105232"/>
      <w:bookmarkStart w:id="6035" w:name="_Toc74755862"/>
      <w:bookmarkStart w:id="6036" w:name="_Toc105674737"/>
      <w:bookmarkStart w:id="6037" w:name="_Toc130502793"/>
      <w:bookmarkStart w:id="6038" w:name="_Toc153625580"/>
      <w:r w:rsidRPr="000A0A5F">
        <w:t>5.8.3.1.2.3</w:t>
      </w:r>
      <w:r w:rsidRPr="000A0A5F">
        <w:tab/>
        <w:t xml:space="preserve">Enumeration: </w:t>
      </w:r>
      <w:r w:rsidRPr="000A0A5F">
        <w:rPr>
          <w:rFonts w:eastAsia="Times New Roman"/>
        </w:rPr>
        <w:t>ServiceAnnouncementMode</w:t>
      </w:r>
      <w:bookmarkEnd w:id="6027"/>
      <w:bookmarkEnd w:id="6028"/>
      <w:bookmarkEnd w:id="6029"/>
      <w:bookmarkEnd w:id="6030"/>
      <w:bookmarkEnd w:id="6031"/>
      <w:bookmarkEnd w:id="6032"/>
      <w:bookmarkEnd w:id="6033"/>
      <w:bookmarkEnd w:id="6034"/>
      <w:bookmarkEnd w:id="6035"/>
      <w:bookmarkEnd w:id="6036"/>
      <w:bookmarkEnd w:id="6037"/>
      <w:bookmarkEnd w:id="6038"/>
    </w:p>
    <w:p w:rsidR="00CB0DD7" w:rsidRPr="000A0A5F" w:rsidRDefault="00CB0DD7">
      <w:r w:rsidRPr="000A0A5F">
        <w:t xml:space="preserve">The enumeration </w:t>
      </w:r>
      <w:r w:rsidRPr="000A0A5F">
        <w:rPr>
          <w:rFonts w:eastAsia="Times New Roman"/>
        </w:rPr>
        <w:t>ServiceAnnouncementMode</w:t>
      </w:r>
      <w:r w:rsidRPr="000A0A5F">
        <w:t xml:space="preserve"> represents the service annoucement mode </w:t>
      </w:r>
    </w:p>
    <w:p w:rsidR="00CB0DD7" w:rsidRPr="000A0A5F" w:rsidRDefault="00CB0DD7">
      <w:pPr>
        <w:pStyle w:val="TH"/>
      </w:pPr>
      <w:r w:rsidRPr="000A0A5F">
        <w:t xml:space="preserve">Table 5.8.3.1.2.3-1: Enumeration </w:t>
      </w:r>
      <w:r w:rsidRPr="000A0A5F">
        <w:rPr>
          <w:rFonts w:eastAsia="Times New Roman"/>
        </w:rPr>
        <w:t>ServiceAnnouncementMode</w:t>
      </w:r>
    </w:p>
    <w:tbl>
      <w:tblPr>
        <w:tblW w:w="4648"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419"/>
        <w:gridCol w:w="6376"/>
        <w:gridCol w:w="1275"/>
      </w:tblGrid>
      <w:tr w:rsidR="00CB0DD7" w:rsidRPr="000A0A5F" w:rsidTr="00FF0AF8">
        <w:tc>
          <w:tcPr>
            <w:tcW w:w="782" w:type="pct"/>
            <w:shd w:val="clear" w:color="auto" w:fill="C0C0C0"/>
            <w:tcMar>
              <w:top w:w="0" w:type="dxa"/>
              <w:left w:w="108" w:type="dxa"/>
              <w:bottom w:w="0" w:type="dxa"/>
              <w:right w:w="108" w:type="dxa"/>
            </w:tcMar>
          </w:tcPr>
          <w:p w:rsidR="00CB0DD7" w:rsidRPr="000A0A5F" w:rsidRDefault="00CB0DD7">
            <w:pPr>
              <w:pStyle w:val="TAH"/>
            </w:pPr>
            <w:r w:rsidRPr="000A0A5F">
              <w:t>Enumeration value</w:t>
            </w:r>
          </w:p>
        </w:tc>
        <w:tc>
          <w:tcPr>
            <w:tcW w:w="3515" w:type="pct"/>
            <w:shd w:val="clear" w:color="auto" w:fill="C0C0C0"/>
            <w:tcMar>
              <w:top w:w="0" w:type="dxa"/>
              <w:left w:w="108" w:type="dxa"/>
              <w:bottom w:w="0" w:type="dxa"/>
              <w:right w:w="108" w:type="dxa"/>
            </w:tcMar>
          </w:tcPr>
          <w:p w:rsidR="00CB0DD7" w:rsidRPr="000A0A5F" w:rsidRDefault="00CB0DD7">
            <w:pPr>
              <w:pStyle w:val="TAH"/>
            </w:pPr>
            <w:r w:rsidRPr="000A0A5F">
              <w:t>Description</w:t>
            </w:r>
          </w:p>
        </w:tc>
        <w:tc>
          <w:tcPr>
            <w:tcW w:w="703" w:type="pct"/>
            <w:shd w:val="clear" w:color="auto" w:fill="C0C0C0"/>
          </w:tcPr>
          <w:p w:rsidR="00CB0DD7" w:rsidRPr="000A0A5F" w:rsidRDefault="00CB0DD7">
            <w:pPr>
              <w:pStyle w:val="TAH"/>
            </w:pPr>
            <w:r w:rsidRPr="000A0A5F">
              <w:rPr>
                <w:rFonts w:eastAsia="Times New Roman" w:cs="Arial"/>
                <w:szCs w:val="18"/>
              </w:rPr>
              <w:t>Applicability (NOTE)</w:t>
            </w:r>
          </w:p>
        </w:tc>
      </w:tr>
      <w:tr w:rsidR="00CB0DD7" w:rsidRPr="000A0A5F" w:rsidTr="00FF0AF8">
        <w:tc>
          <w:tcPr>
            <w:tcW w:w="782" w:type="pct"/>
            <w:tcMar>
              <w:top w:w="0" w:type="dxa"/>
              <w:left w:w="108" w:type="dxa"/>
              <w:bottom w:w="0" w:type="dxa"/>
              <w:right w:w="108" w:type="dxa"/>
            </w:tcMar>
          </w:tcPr>
          <w:p w:rsidR="00CB0DD7" w:rsidRPr="000A0A5F" w:rsidRDefault="00CB0DD7">
            <w:pPr>
              <w:pStyle w:val="TAL"/>
            </w:pPr>
            <w:r w:rsidRPr="000A0A5F">
              <w:t>SACH</w:t>
            </w:r>
          </w:p>
        </w:tc>
        <w:tc>
          <w:tcPr>
            <w:tcW w:w="3515" w:type="pct"/>
            <w:tcMar>
              <w:top w:w="0" w:type="dxa"/>
              <w:left w:w="108" w:type="dxa"/>
              <w:bottom w:w="0" w:type="dxa"/>
              <w:right w:w="108" w:type="dxa"/>
            </w:tcMar>
          </w:tcPr>
          <w:p w:rsidR="00CB0DD7" w:rsidRPr="000A0A5F" w:rsidRDefault="00CB0DD7">
            <w:pPr>
              <w:pStyle w:val="TAL"/>
            </w:pPr>
            <w:r w:rsidRPr="000A0A5F">
              <w:t>BM-SC performs the service announcement for the current service using the SACH channel.</w:t>
            </w:r>
          </w:p>
        </w:tc>
        <w:tc>
          <w:tcPr>
            <w:tcW w:w="703" w:type="pct"/>
          </w:tcPr>
          <w:p w:rsidR="00CB0DD7" w:rsidRPr="000A0A5F" w:rsidRDefault="00CB0DD7">
            <w:pPr>
              <w:pStyle w:val="TAL"/>
              <w:rPr>
                <w:rFonts w:cs="Arial"/>
                <w:szCs w:val="18"/>
                <w:lang w:eastAsia="zh-CN"/>
              </w:rPr>
            </w:pPr>
          </w:p>
        </w:tc>
      </w:tr>
      <w:tr w:rsidR="00CB0DD7" w:rsidRPr="000A0A5F" w:rsidTr="00FF0AF8">
        <w:tc>
          <w:tcPr>
            <w:tcW w:w="782" w:type="pct"/>
            <w:tcMar>
              <w:top w:w="0" w:type="dxa"/>
              <w:left w:w="108" w:type="dxa"/>
              <w:bottom w:w="0" w:type="dxa"/>
              <w:right w:w="108" w:type="dxa"/>
            </w:tcMar>
          </w:tcPr>
          <w:p w:rsidR="00CB0DD7" w:rsidRPr="000A0A5F" w:rsidRDefault="00CB0DD7">
            <w:pPr>
              <w:pStyle w:val="TAL"/>
            </w:pPr>
            <w:r w:rsidRPr="000A0A5F">
              <w:t>CONTENT_PROVIDER</w:t>
            </w:r>
          </w:p>
        </w:tc>
        <w:tc>
          <w:tcPr>
            <w:tcW w:w="3515" w:type="pct"/>
            <w:tcMar>
              <w:top w:w="0" w:type="dxa"/>
              <w:left w:w="108" w:type="dxa"/>
              <w:bottom w:w="0" w:type="dxa"/>
              <w:right w:w="108" w:type="dxa"/>
            </w:tcMar>
          </w:tcPr>
          <w:p w:rsidR="00CB0DD7" w:rsidRPr="000A0A5F" w:rsidRDefault="00CB0DD7">
            <w:pPr>
              <w:pStyle w:val="TAL"/>
            </w:pPr>
            <w:r w:rsidRPr="000A0A5F">
              <w:t>BM-SC provides the necessary service access information used by the Content Provider to create the service announcement information.</w:t>
            </w:r>
          </w:p>
        </w:tc>
        <w:tc>
          <w:tcPr>
            <w:tcW w:w="703" w:type="pct"/>
          </w:tcPr>
          <w:p w:rsidR="00CB0DD7" w:rsidRPr="000A0A5F" w:rsidRDefault="00CB0DD7">
            <w:pPr>
              <w:pStyle w:val="TAL"/>
              <w:rPr>
                <w:rFonts w:cs="Arial"/>
                <w:szCs w:val="18"/>
                <w:lang w:eastAsia="zh-CN"/>
              </w:rPr>
            </w:pPr>
          </w:p>
        </w:tc>
      </w:tr>
      <w:tr w:rsidR="00CB0DD7" w:rsidRPr="000A0A5F" w:rsidTr="00FF0AF8">
        <w:tc>
          <w:tcPr>
            <w:tcW w:w="5000" w:type="pct"/>
            <w:gridSpan w:val="3"/>
            <w:tcMar>
              <w:top w:w="0" w:type="dxa"/>
              <w:left w:w="108" w:type="dxa"/>
              <w:bottom w:w="0" w:type="dxa"/>
              <w:right w:w="108" w:type="dxa"/>
            </w:tcMar>
          </w:tcPr>
          <w:p w:rsidR="00CB0DD7" w:rsidRPr="000A0A5F" w:rsidRDefault="00CB0DD7">
            <w:pPr>
              <w:pStyle w:val="TAN"/>
            </w:pPr>
            <w:r w:rsidRPr="000A0A5F">
              <w:t>NOTE:</w:t>
            </w:r>
            <w:r w:rsidRPr="000A0A5F">
              <w:tab/>
              <w:t>Properties marked with a feature as defined in clause 5.7.4 are applicable as described in clause 5.2.7. If no features are indicated, the related property applies for all the features.</w:t>
            </w:r>
          </w:p>
        </w:tc>
      </w:tr>
    </w:tbl>
    <w:p w:rsidR="00CB0DD7" w:rsidRPr="000A0A5F" w:rsidRDefault="00CB0DD7"/>
    <w:p w:rsidR="00CB0DD7" w:rsidRPr="000A0A5F" w:rsidRDefault="00CB0DD7">
      <w:pPr>
        <w:pStyle w:val="Heading4"/>
      </w:pPr>
      <w:bookmarkStart w:id="6039" w:name="_Toc11247629"/>
      <w:bookmarkStart w:id="6040" w:name="_Toc27044768"/>
      <w:bookmarkStart w:id="6041" w:name="_Toc36033810"/>
      <w:bookmarkStart w:id="6042" w:name="_Toc45131956"/>
      <w:bookmarkStart w:id="6043" w:name="_Toc49776241"/>
      <w:bookmarkStart w:id="6044" w:name="_Toc51747161"/>
      <w:bookmarkStart w:id="6045" w:name="_Toc66360728"/>
      <w:bookmarkStart w:id="6046" w:name="_Toc68105233"/>
      <w:bookmarkStart w:id="6047" w:name="_Toc74755863"/>
      <w:bookmarkStart w:id="6048" w:name="_Toc105674738"/>
      <w:bookmarkStart w:id="6049" w:name="_Toc130502794"/>
      <w:bookmarkStart w:id="6050" w:name="_Toc153625581"/>
      <w:r w:rsidRPr="000A0A5F">
        <w:t>5.8.3.2</w:t>
      </w:r>
      <w:r w:rsidRPr="000A0A5F">
        <w:tab/>
        <w:t>Resource structure</w:t>
      </w:r>
      <w:bookmarkEnd w:id="6039"/>
      <w:bookmarkEnd w:id="6040"/>
      <w:bookmarkEnd w:id="6041"/>
      <w:bookmarkEnd w:id="6042"/>
      <w:bookmarkEnd w:id="6043"/>
      <w:bookmarkEnd w:id="6044"/>
      <w:bookmarkEnd w:id="6045"/>
      <w:bookmarkEnd w:id="6046"/>
      <w:bookmarkEnd w:id="6047"/>
      <w:bookmarkEnd w:id="6048"/>
      <w:bookmarkEnd w:id="6049"/>
      <w:bookmarkEnd w:id="6050"/>
    </w:p>
    <w:p w:rsidR="00CB0DD7" w:rsidRPr="000A0A5F" w:rsidRDefault="00CB0DD7">
      <w:pPr>
        <w:pStyle w:val="Heading5"/>
      </w:pPr>
      <w:bookmarkStart w:id="6051" w:name="_Toc11247630"/>
      <w:bookmarkStart w:id="6052" w:name="_Toc27044769"/>
      <w:bookmarkStart w:id="6053" w:name="_Toc36033811"/>
      <w:bookmarkStart w:id="6054" w:name="_Toc45131957"/>
      <w:bookmarkStart w:id="6055" w:name="_Toc49776242"/>
      <w:bookmarkStart w:id="6056" w:name="_Toc51747162"/>
      <w:bookmarkStart w:id="6057" w:name="_Toc66360729"/>
      <w:bookmarkStart w:id="6058" w:name="_Toc68105234"/>
      <w:bookmarkStart w:id="6059" w:name="_Toc74755864"/>
      <w:bookmarkStart w:id="6060" w:name="_Toc105674739"/>
      <w:bookmarkStart w:id="6061" w:name="_Toc130502795"/>
      <w:bookmarkStart w:id="6062" w:name="_Toc153625582"/>
      <w:r w:rsidRPr="000A0A5F">
        <w:t>5.8.3.2.1</w:t>
      </w:r>
      <w:r w:rsidRPr="000A0A5F">
        <w:tab/>
        <w:t>General</w:t>
      </w:r>
      <w:bookmarkEnd w:id="6051"/>
      <w:bookmarkEnd w:id="6052"/>
      <w:bookmarkEnd w:id="6053"/>
      <w:bookmarkEnd w:id="6054"/>
      <w:bookmarkEnd w:id="6055"/>
      <w:bookmarkEnd w:id="6056"/>
      <w:bookmarkEnd w:id="6057"/>
      <w:bookmarkEnd w:id="6058"/>
      <w:bookmarkEnd w:id="6059"/>
      <w:bookmarkEnd w:id="6060"/>
      <w:bookmarkEnd w:id="6061"/>
      <w:bookmarkEnd w:id="6062"/>
    </w:p>
    <w:p w:rsidR="00CB0DD7" w:rsidRPr="000A0A5F" w:rsidRDefault="00CB0DD7">
      <w:r w:rsidRPr="000A0A5F">
        <w:t>All resource URIs of this API should have the following root:</w:t>
      </w:r>
    </w:p>
    <w:p w:rsidR="00CB0DD7" w:rsidRPr="000A0A5F" w:rsidRDefault="00CB0DD7">
      <w:pPr>
        <w:pStyle w:val="B1"/>
        <w:numPr>
          <w:ilvl w:val="0"/>
          <w:numId w:val="0"/>
        </w:numPr>
        <w:ind w:left="737"/>
        <w:rPr>
          <w:b/>
        </w:rPr>
      </w:pPr>
      <w:r w:rsidRPr="000A0A5F">
        <w:rPr>
          <w:b/>
        </w:rPr>
        <w:t>{apiRoot}/3gpp-group-message-delivery-xmb/v1</w:t>
      </w:r>
    </w:p>
    <w:p w:rsidR="00CB0DD7" w:rsidRPr="000A0A5F" w:rsidRDefault="00CB0DD7">
      <w:r w:rsidRPr="000A0A5F">
        <w:t>"apiRoot" is set as described in clause</w:t>
      </w:r>
      <w:r w:rsidRPr="000A0A5F">
        <w:rPr>
          <w:rFonts w:ascii="Segoe UI Symbol" w:hAnsi="Segoe UI Symbol"/>
        </w:rPr>
        <w:t> </w:t>
      </w:r>
      <w:r w:rsidRPr="000A0A5F">
        <w:t>5.2.4. "apiName" shall be set to "3gpp-group-message-delivery-xmb" and "apiVersion" shall be set to "v1" for the version defined in the present document. All resource URIs in the clauses below are defined relative to the above root URI.</w:t>
      </w:r>
    </w:p>
    <w:p w:rsidR="00CB0DD7" w:rsidRPr="000A0A5F" w:rsidRDefault="00CB0DD7">
      <w:r w:rsidRPr="000A0A5F">
        <w:t>The following resources and HTTP methods are supported for this API:</w:t>
      </w:r>
    </w:p>
    <w:p w:rsidR="00CB0DD7" w:rsidRPr="000A0A5F" w:rsidRDefault="00CB0DD7">
      <w:pPr>
        <w:pStyle w:val="TH"/>
      </w:pPr>
      <w:r w:rsidRPr="000A0A5F">
        <w:t>Table 5.8.3.2.1-1: Resources and methods overview</w:t>
      </w:r>
    </w:p>
    <w:tbl>
      <w:tblPr>
        <w:tblW w:w="4892"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1631"/>
        <w:gridCol w:w="2974"/>
        <w:gridCol w:w="1135"/>
        <w:gridCol w:w="991"/>
        <w:gridCol w:w="2835"/>
        <w:tblGridChange w:id="6063">
          <w:tblGrid>
            <w:gridCol w:w="1631"/>
            <w:gridCol w:w="2974"/>
            <w:gridCol w:w="1135"/>
            <w:gridCol w:w="991"/>
            <w:gridCol w:w="2835"/>
          </w:tblGrid>
        </w:tblGridChange>
      </w:tblGrid>
      <w:tr w:rsidR="00CB0DD7" w:rsidRPr="000A0A5F" w:rsidTr="00FF0AF8">
        <w:trPr>
          <w:jc w:val="center"/>
        </w:trPr>
        <w:tc>
          <w:tcPr>
            <w:tcW w:w="852" w:type="pct"/>
            <w:shd w:val="clear" w:color="auto" w:fill="C0C0C0"/>
            <w:vAlign w:val="center"/>
            <w:hideMark/>
          </w:tcPr>
          <w:p w:rsidR="00CB0DD7" w:rsidRPr="000A0A5F" w:rsidRDefault="00CB0DD7">
            <w:pPr>
              <w:pStyle w:val="TAH"/>
              <w:spacing w:line="276" w:lineRule="auto"/>
            </w:pPr>
            <w:r w:rsidRPr="000A0A5F">
              <w:t>Resource name</w:t>
            </w:r>
          </w:p>
        </w:tc>
        <w:tc>
          <w:tcPr>
            <w:tcW w:w="1554" w:type="pct"/>
            <w:shd w:val="clear" w:color="auto" w:fill="C0C0C0"/>
            <w:vAlign w:val="center"/>
            <w:hideMark/>
          </w:tcPr>
          <w:p w:rsidR="00CB0DD7" w:rsidRPr="000A0A5F" w:rsidRDefault="00CB0DD7">
            <w:pPr>
              <w:pStyle w:val="TAH"/>
              <w:spacing w:line="276" w:lineRule="auto"/>
            </w:pPr>
            <w:r w:rsidRPr="000A0A5F">
              <w:t>Resource URI</w:t>
            </w:r>
          </w:p>
        </w:tc>
        <w:tc>
          <w:tcPr>
            <w:tcW w:w="593" w:type="pct"/>
            <w:shd w:val="clear" w:color="auto" w:fill="C0C0C0"/>
            <w:vAlign w:val="center"/>
            <w:hideMark/>
          </w:tcPr>
          <w:p w:rsidR="00CB0DD7" w:rsidRPr="000A0A5F" w:rsidRDefault="00CB0DD7">
            <w:pPr>
              <w:pStyle w:val="TAH"/>
              <w:spacing w:line="276" w:lineRule="auto"/>
            </w:pPr>
            <w:r w:rsidRPr="000A0A5F">
              <w:t>HTTP method</w:t>
            </w:r>
          </w:p>
        </w:tc>
        <w:tc>
          <w:tcPr>
            <w:tcW w:w="518" w:type="pct"/>
            <w:shd w:val="clear" w:color="auto" w:fill="C0C0C0"/>
          </w:tcPr>
          <w:p w:rsidR="00CB0DD7" w:rsidRPr="000A0A5F" w:rsidRDefault="00CB0DD7">
            <w:pPr>
              <w:pStyle w:val="TAH"/>
              <w:spacing w:line="276" w:lineRule="auto"/>
              <w:rPr>
                <w:rFonts w:hint="eastAsia"/>
                <w:lang w:eastAsia="zh-CN"/>
              </w:rPr>
            </w:pPr>
            <w:r w:rsidRPr="000A0A5F">
              <w:rPr>
                <w:rFonts w:hint="eastAsia"/>
                <w:lang w:eastAsia="zh-CN"/>
              </w:rPr>
              <w:t xml:space="preserve">HTTP </w:t>
            </w:r>
            <w:r w:rsidRPr="000A0A5F">
              <w:rPr>
                <w:lang w:eastAsia="zh-CN"/>
              </w:rPr>
              <w:t>initiator</w:t>
            </w:r>
          </w:p>
        </w:tc>
        <w:tc>
          <w:tcPr>
            <w:tcW w:w="1482" w:type="pct"/>
            <w:shd w:val="clear" w:color="auto" w:fill="C0C0C0"/>
            <w:vAlign w:val="center"/>
            <w:hideMark/>
          </w:tcPr>
          <w:p w:rsidR="00CB0DD7" w:rsidRPr="000A0A5F" w:rsidRDefault="00CB0DD7">
            <w:pPr>
              <w:pStyle w:val="TAH"/>
              <w:spacing w:line="276" w:lineRule="auto"/>
            </w:pPr>
            <w:r w:rsidRPr="000A0A5F">
              <w:t>Meaning</w:t>
            </w:r>
          </w:p>
        </w:tc>
      </w:tr>
      <w:tr w:rsidR="00CB0DD7" w:rsidRPr="000A0A5F" w:rsidTr="00FF0AF8">
        <w:trPr>
          <w:trHeight w:val="756"/>
          <w:jc w:val="center"/>
        </w:trPr>
        <w:tc>
          <w:tcPr>
            <w:tcW w:w="852" w:type="pct"/>
            <w:vMerge w:val="restart"/>
          </w:tcPr>
          <w:p w:rsidR="00CB0DD7" w:rsidRPr="000A0A5F" w:rsidRDefault="00CB0DD7">
            <w:pPr>
              <w:pStyle w:val="TAL"/>
              <w:spacing w:line="276" w:lineRule="auto"/>
            </w:pPr>
            <w:r w:rsidRPr="000A0A5F">
              <w:rPr>
                <w:lang w:eastAsia="zh-CN"/>
              </w:rPr>
              <w:t>xMB Services</w:t>
            </w:r>
          </w:p>
        </w:tc>
        <w:tc>
          <w:tcPr>
            <w:tcW w:w="1554" w:type="pct"/>
            <w:vMerge w:val="restart"/>
          </w:tcPr>
          <w:p w:rsidR="00CB0DD7" w:rsidRPr="000A0A5F" w:rsidRDefault="00CB0DD7">
            <w:pPr>
              <w:pStyle w:val="TAL"/>
              <w:spacing w:line="276" w:lineRule="auto"/>
            </w:pPr>
            <w:r w:rsidRPr="000A0A5F">
              <w:t>/{scsAsId}</w:t>
            </w:r>
          </w:p>
          <w:p w:rsidR="00CB0DD7" w:rsidRPr="000A0A5F" w:rsidRDefault="00CB0DD7">
            <w:pPr>
              <w:pStyle w:val="TAL"/>
              <w:spacing w:line="276" w:lineRule="auto"/>
            </w:pPr>
            <w:r w:rsidRPr="000A0A5F">
              <w:t>/services</w:t>
            </w:r>
          </w:p>
        </w:tc>
        <w:tc>
          <w:tcPr>
            <w:tcW w:w="593" w:type="pct"/>
          </w:tcPr>
          <w:p w:rsidR="00CB0DD7" w:rsidRPr="000A0A5F" w:rsidRDefault="00CB0DD7">
            <w:pPr>
              <w:pStyle w:val="TAL"/>
              <w:rPr>
                <w:rFonts w:hint="eastAsia"/>
                <w:lang w:eastAsia="zh-CN"/>
              </w:rPr>
            </w:pPr>
            <w:r w:rsidRPr="000A0A5F">
              <w:rPr>
                <w:rFonts w:hint="eastAsia"/>
                <w:lang w:eastAsia="zh-CN"/>
              </w:rPr>
              <w:t>POST</w:t>
            </w:r>
          </w:p>
        </w:tc>
        <w:tc>
          <w:tcPr>
            <w:tcW w:w="518" w:type="pct"/>
          </w:tcPr>
          <w:p w:rsidR="00CB0DD7" w:rsidRPr="000A0A5F" w:rsidRDefault="00CB0DD7">
            <w:pPr>
              <w:pStyle w:val="TAL"/>
              <w:rPr>
                <w:rFonts w:hint="eastAsia"/>
                <w:lang w:eastAsia="zh-CN"/>
              </w:rPr>
            </w:pPr>
            <w:r w:rsidRPr="000A0A5F">
              <w:rPr>
                <w:rFonts w:hint="eastAsia"/>
                <w:lang w:eastAsia="zh-CN"/>
              </w:rPr>
              <w:t>SCS/AS</w:t>
            </w:r>
          </w:p>
        </w:tc>
        <w:tc>
          <w:tcPr>
            <w:tcW w:w="1482" w:type="pct"/>
          </w:tcPr>
          <w:p w:rsidR="00CB0DD7" w:rsidRPr="000A0A5F" w:rsidRDefault="00CB0DD7">
            <w:pPr>
              <w:pStyle w:val="TAL"/>
              <w:rPr>
                <w:rFonts w:hint="eastAsia"/>
                <w:lang w:eastAsia="zh-CN"/>
              </w:rPr>
            </w:pPr>
            <w:r w:rsidRPr="000A0A5F">
              <w:rPr>
                <w:rFonts w:hint="eastAsia"/>
                <w:lang w:eastAsia="zh-CN"/>
              </w:rPr>
              <w:t xml:space="preserve">Create a </w:t>
            </w:r>
            <w:r w:rsidRPr="000A0A5F">
              <w:rPr>
                <w:lang w:eastAsia="zh-CN"/>
              </w:rPr>
              <w:t xml:space="preserve">service </w:t>
            </w:r>
            <w:r w:rsidRPr="000A0A5F">
              <w:rPr>
                <w:noProof/>
                <w:lang w:eastAsia="zh-CN"/>
              </w:rPr>
              <w:t>when xMB is used as a southbound interface.</w:t>
            </w:r>
          </w:p>
        </w:tc>
      </w:tr>
      <w:tr w:rsidR="00CB0DD7" w:rsidRPr="000A0A5F" w:rsidTr="00FF0AF8">
        <w:trPr>
          <w:trHeight w:val="742"/>
          <w:jc w:val="center"/>
        </w:trPr>
        <w:tc>
          <w:tcPr>
            <w:tcW w:w="852" w:type="pct"/>
            <w:vMerge/>
          </w:tcPr>
          <w:p w:rsidR="00CB0DD7" w:rsidRPr="000A0A5F" w:rsidRDefault="00CB0DD7">
            <w:pPr>
              <w:pStyle w:val="TAL"/>
              <w:spacing w:line="276" w:lineRule="auto"/>
              <w:rPr>
                <w:lang w:eastAsia="zh-CN"/>
              </w:rPr>
            </w:pPr>
          </w:p>
        </w:tc>
        <w:tc>
          <w:tcPr>
            <w:tcW w:w="1554" w:type="pct"/>
            <w:vMerge/>
          </w:tcPr>
          <w:p w:rsidR="00CB0DD7" w:rsidRPr="000A0A5F" w:rsidRDefault="00CB0DD7">
            <w:pPr>
              <w:pStyle w:val="TAL"/>
              <w:spacing w:line="276" w:lineRule="auto"/>
            </w:pPr>
          </w:p>
        </w:tc>
        <w:tc>
          <w:tcPr>
            <w:tcW w:w="593" w:type="pct"/>
          </w:tcPr>
          <w:p w:rsidR="00CB0DD7" w:rsidRPr="000A0A5F" w:rsidRDefault="00CB0DD7">
            <w:pPr>
              <w:pStyle w:val="TAL"/>
              <w:rPr>
                <w:rFonts w:hint="eastAsia"/>
                <w:lang w:eastAsia="zh-CN"/>
              </w:rPr>
            </w:pPr>
            <w:r w:rsidRPr="000A0A5F">
              <w:rPr>
                <w:rFonts w:hint="eastAsia"/>
                <w:lang w:eastAsia="zh-CN"/>
              </w:rPr>
              <w:t>GET</w:t>
            </w:r>
          </w:p>
        </w:tc>
        <w:tc>
          <w:tcPr>
            <w:tcW w:w="518" w:type="pct"/>
          </w:tcPr>
          <w:p w:rsidR="00CB0DD7" w:rsidRPr="000A0A5F" w:rsidRDefault="00CB0DD7">
            <w:pPr>
              <w:pStyle w:val="TAL"/>
              <w:rPr>
                <w:rFonts w:hint="eastAsia"/>
                <w:lang w:eastAsia="zh-CN"/>
              </w:rPr>
            </w:pPr>
            <w:r w:rsidRPr="000A0A5F">
              <w:rPr>
                <w:rFonts w:hint="eastAsia"/>
                <w:lang w:eastAsia="zh-CN"/>
              </w:rPr>
              <w:t>SCS/AS</w:t>
            </w:r>
          </w:p>
        </w:tc>
        <w:tc>
          <w:tcPr>
            <w:tcW w:w="1482" w:type="pct"/>
          </w:tcPr>
          <w:p w:rsidR="00CB0DD7" w:rsidRPr="000A0A5F" w:rsidRDefault="00CB0DD7">
            <w:pPr>
              <w:pStyle w:val="TAL"/>
              <w:rPr>
                <w:rFonts w:hint="eastAsia"/>
                <w:lang w:eastAsia="zh-CN"/>
              </w:rPr>
            </w:pPr>
            <w:r w:rsidRPr="000A0A5F">
              <w:rPr>
                <w:rFonts w:eastAsia="Batang" w:hint="eastAsia"/>
                <w:lang w:eastAsia="zh-CN"/>
              </w:rPr>
              <w:t>Read all active service resource</w:t>
            </w:r>
            <w:r w:rsidRPr="000A0A5F">
              <w:rPr>
                <w:rFonts w:eastAsia="Batang"/>
                <w:lang w:eastAsia="zh-CN"/>
              </w:rPr>
              <w:t>s</w:t>
            </w:r>
            <w:r w:rsidRPr="000A0A5F">
              <w:rPr>
                <w:rFonts w:eastAsia="Batang" w:hint="eastAsia"/>
                <w:lang w:eastAsia="zh-CN"/>
              </w:rPr>
              <w:t xml:space="preserve"> for a given SCS/AS</w:t>
            </w:r>
            <w:r w:rsidRPr="000A0A5F">
              <w:rPr>
                <w:rFonts w:eastAsia="Batang"/>
                <w:lang w:eastAsia="zh-CN"/>
              </w:rPr>
              <w:t>.</w:t>
            </w:r>
          </w:p>
        </w:tc>
      </w:tr>
      <w:tr w:rsidR="00CB0DD7" w:rsidRPr="000A0A5F" w:rsidTr="00FF0AF8">
        <w:trPr>
          <w:trHeight w:val="697"/>
          <w:jc w:val="center"/>
        </w:trPr>
        <w:tc>
          <w:tcPr>
            <w:tcW w:w="852" w:type="pct"/>
            <w:vMerge w:val="restart"/>
          </w:tcPr>
          <w:p w:rsidR="00CB0DD7" w:rsidRPr="000A0A5F" w:rsidRDefault="00CB0DD7">
            <w:pPr>
              <w:pStyle w:val="TAL"/>
              <w:spacing w:line="276" w:lineRule="auto"/>
              <w:rPr>
                <w:lang w:eastAsia="zh-CN"/>
              </w:rPr>
            </w:pPr>
            <w:r w:rsidRPr="000A0A5F">
              <w:rPr>
                <w:lang w:eastAsia="zh-CN"/>
              </w:rPr>
              <w:t>Individual xMB Service</w:t>
            </w:r>
          </w:p>
        </w:tc>
        <w:tc>
          <w:tcPr>
            <w:tcW w:w="1554" w:type="pct"/>
            <w:vMerge w:val="restart"/>
          </w:tcPr>
          <w:p w:rsidR="00CB0DD7" w:rsidRPr="000A0A5F" w:rsidRDefault="00CB0DD7">
            <w:pPr>
              <w:pStyle w:val="TAL"/>
              <w:spacing w:line="276" w:lineRule="auto"/>
            </w:pPr>
            <w:r w:rsidRPr="000A0A5F">
              <w:t>/{scsAsId}</w:t>
            </w:r>
          </w:p>
          <w:p w:rsidR="00CB0DD7" w:rsidRPr="000A0A5F" w:rsidRDefault="00CB0DD7">
            <w:pPr>
              <w:pStyle w:val="TAL"/>
              <w:spacing w:line="276" w:lineRule="auto"/>
            </w:pPr>
            <w:r w:rsidRPr="000A0A5F">
              <w:t>/services/{serviceId}</w:t>
            </w:r>
          </w:p>
        </w:tc>
        <w:tc>
          <w:tcPr>
            <w:tcW w:w="593" w:type="pct"/>
          </w:tcPr>
          <w:p w:rsidR="00CB0DD7" w:rsidRPr="000A0A5F" w:rsidRDefault="00CB0DD7">
            <w:pPr>
              <w:pStyle w:val="TAL"/>
              <w:rPr>
                <w:rFonts w:hint="eastAsia"/>
                <w:lang w:eastAsia="zh-CN"/>
              </w:rPr>
            </w:pPr>
            <w:r w:rsidRPr="000A0A5F">
              <w:rPr>
                <w:rFonts w:hint="eastAsia"/>
                <w:lang w:eastAsia="zh-CN"/>
              </w:rPr>
              <w:t>GET</w:t>
            </w:r>
          </w:p>
        </w:tc>
        <w:tc>
          <w:tcPr>
            <w:tcW w:w="518" w:type="pct"/>
          </w:tcPr>
          <w:p w:rsidR="00CB0DD7" w:rsidRPr="000A0A5F" w:rsidRDefault="00CB0DD7">
            <w:pPr>
              <w:pStyle w:val="TAL"/>
              <w:rPr>
                <w:rFonts w:hint="eastAsia"/>
                <w:lang w:eastAsia="zh-CN"/>
              </w:rPr>
            </w:pPr>
            <w:r w:rsidRPr="000A0A5F">
              <w:rPr>
                <w:rFonts w:hint="eastAsia"/>
                <w:lang w:eastAsia="zh-CN"/>
              </w:rPr>
              <w:t>SCS/AS</w:t>
            </w:r>
          </w:p>
        </w:tc>
        <w:tc>
          <w:tcPr>
            <w:tcW w:w="1482" w:type="pct"/>
          </w:tcPr>
          <w:p w:rsidR="00CB0DD7" w:rsidRPr="000A0A5F" w:rsidRDefault="00CB0DD7">
            <w:pPr>
              <w:pStyle w:val="TAL"/>
              <w:rPr>
                <w:rFonts w:hint="eastAsia"/>
                <w:lang w:eastAsia="zh-CN"/>
              </w:rPr>
            </w:pPr>
            <w:r w:rsidRPr="000A0A5F">
              <w:rPr>
                <w:rFonts w:hint="eastAsia"/>
                <w:lang w:eastAsia="zh-CN"/>
              </w:rPr>
              <w:t xml:space="preserve">Read </w:t>
            </w:r>
            <w:r w:rsidRPr="000A0A5F">
              <w:rPr>
                <w:lang w:eastAsia="zh-CN"/>
              </w:rPr>
              <w:t>an</w:t>
            </w:r>
            <w:r w:rsidRPr="000A0A5F">
              <w:rPr>
                <w:rFonts w:hint="eastAsia"/>
                <w:lang w:eastAsia="zh-CN"/>
              </w:rPr>
              <w:t xml:space="preserve"> active service resource for a given SCS/AS</w:t>
            </w:r>
            <w:r w:rsidRPr="000A0A5F">
              <w:rPr>
                <w:lang w:eastAsia="zh-CN"/>
              </w:rPr>
              <w:t xml:space="preserve"> and Service Id.</w:t>
            </w:r>
          </w:p>
        </w:tc>
      </w:tr>
      <w:tr w:rsidR="00CB0DD7" w:rsidRPr="000A0A5F" w:rsidTr="00FF0AF8">
        <w:trPr>
          <w:trHeight w:val="706"/>
          <w:jc w:val="center"/>
        </w:trPr>
        <w:tc>
          <w:tcPr>
            <w:tcW w:w="852" w:type="pct"/>
            <w:vMerge/>
          </w:tcPr>
          <w:p w:rsidR="00CB0DD7" w:rsidRPr="000A0A5F" w:rsidRDefault="00CB0DD7">
            <w:pPr>
              <w:pStyle w:val="TAL"/>
              <w:spacing w:line="276" w:lineRule="auto"/>
              <w:rPr>
                <w:lang w:eastAsia="zh-CN"/>
              </w:rPr>
            </w:pPr>
          </w:p>
        </w:tc>
        <w:tc>
          <w:tcPr>
            <w:tcW w:w="1554" w:type="pct"/>
            <w:vMerge/>
          </w:tcPr>
          <w:p w:rsidR="00CB0DD7" w:rsidRPr="000A0A5F" w:rsidRDefault="00CB0DD7">
            <w:pPr>
              <w:pStyle w:val="TAL"/>
              <w:spacing w:line="276" w:lineRule="auto"/>
            </w:pPr>
          </w:p>
        </w:tc>
        <w:tc>
          <w:tcPr>
            <w:tcW w:w="593" w:type="pct"/>
          </w:tcPr>
          <w:p w:rsidR="00CB0DD7" w:rsidRPr="000A0A5F" w:rsidRDefault="00CB0DD7">
            <w:pPr>
              <w:pStyle w:val="TAL"/>
              <w:rPr>
                <w:rFonts w:hint="eastAsia"/>
                <w:lang w:eastAsia="zh-CN"/>
              </w:rPr>
            </w:pPr>
            <w:r w:rsidRPr="000A0A5F">
              <w:rPr>
                <w:rFonts w:hint="eastAsia"/>
                <w:lang w:eastAsia="zh-CN"/>
              </w:rPr>
              <w:t>DELETE</w:t>
            </w:r>
          </w:p>
        </w:tc>
        <w:tc>
          <w:tcPr>
            <w:tcW w:w="518" w:type="pct"/>
          </w:tcPr>
          <w:p w:rsidR="00CB0DD7" w:rsidRPr="000A0A5F" w:rsidRDefault="00CB0DD7">
            <w:pPr>
              <w:pStyle w:val="TAL"/>
              <w:rPr>
                <w:rFonts w:hint="eastAsia"/>
                <w:lang w:eastAsia="zh-CN"/>
              </w:rPr>
            </w:pPr>
            <w:r w:rsidRPr="000A0A5F">
              <w:rPr>
                <w:rFonts w:hint="eastAsia"/>
                <w:lang w:eastAsia="zh-CN"/>
              </w:rPr>
              <w:t>SCS/AS</w:t>
            </w:r>
          </w:p>
        </w:tc>
        <w:tc>
          <w:tcPr>
            <w:tcW w:w="1482" w:type="pct"/>
          </w:tcPr>
          <w:p w:rsidR="00CB0DD7" w:rsidRPr="000A0A5F" w:rsidRDefault="00CB0DD7">
            <w:pPr>
              <w:pStyle w:val="TAL"/>
              <w:rPr>
                <w:rFonts w:hint="eastAsia"/>
                <w:lang w:eastAsia="zh-CN"/>
              </w:rPr>
            </w:pPr>
            <w:r w:rsidRPr="000A0A5F">
              <w:rPr>
                <w:lang w:eastAsia="zh-CN"/>
              </w:rPr>
              <w:t>Delete an existing service resource for agiven SCS/AS and Service Id.</w:t>
            </w:r>
          </w:p>
        </w:tc>
      </w:tr>
      <w:tr w:rsidR="00CB0DD7" w:rsidRPr="000A0A5F" w:rsidTr="00FF0AF8">
        <w:trPr>
          <w:trHeight w:val="830"/>
          <w:jc w:val="center"/>
        </w:trPr>
        <w:tc>
          <w:tcPr>
            <w:tcW w:w="852" w:type="pct"/>
            <w:vMerge w:val="restart"/>
          </w:tcPr>
          <w:p w:rsidR="00CB0DD7" w:rsidRPr="000A0A5F" w:rsidRDefault="00CB0DD7">
            <w:pPr>
              <w:pStyle w:val="TAL"/>
              <w:spacing w:line="276" w:lineRule="auto"/>
              <w:rPr>
                <w:lang w:eastAsia="zh-CN"/>
              </w:rPr>
            </w:pPr>
            <w:r w:rsidRPr="000A0A5F">
              <w:rPr>
                <w:rFonts w:hint="eastAsia"/>
                <w:lang w:eastAsia="zh-CN"/>
              </w:rPr>
              <w:t>GMD via MBMS</w:t>
            </w:r>
            <w:r w:rsidRPr="000A0A5F">
              <w:rPr>
                <w:lang w:eastAsia="zh-CN"/>
              </w:rPr>
              <w:t xml:space="preserve"> by xMB</w:t>
            </w:r>
          </w:p>
        </w:tc>
        <w:tc>
          <w:tcPr>
            <w:tcW w:w="1554" w:type="pct"/>
            <w:vMerge w:val="restart"/>
          </w:tcPr>
          <w:p w:rsidR="00CB0DD7" w:rsidRPr="000A0A5F" w:rsidRDefault="00CB0DD7">
            <w:pPr>
              <w:pStyle w:val="TAL"/>
              <w:spacing w:line="276" w:lineRule="auto"/>
            </w:pPr>
            <w:r w:rsidRPr="000A0A5F">
              <w:t>/{scsAsId}</w:t>
            </w:r>
          </w:p>
          <w:p w:rsidR="00CB0DD7" w:rsidRPr="000A0A5F" w:rsidRDefault="00CB0DD7">
            <w:pPr>
              <w:pStyle w:val="TAL"/>
              <w:spacing w:line="276" w:lineRule="auto"/>
            </w:pPr>
            <w:r w:rsidRPr="000A0A5F">
              <w:t>/services/{serviceId}/delivery-via-mbms</w:t>
            </w:r>
          </w:p>
        </w:tc>
        <w:tc>
          <w:tcPr>
            <w:tcW w:w="593" w:type="pct"/>
          </w:tcPr>
          <w:p w:rsidR="00CB0DD7" w:rsidRPr="000A0A5F" w:rsidRDefault="00CB0DD7">
            <w:pPr>
              <w:pStyle w:val="TAL"/>
              <w:rPr>
                <w:rFonts w:hint="eastAsia"/>
                <w:lang w:eastAsia="zh-CN"/>
              </w:rPr>
            </w:pPr>
            <w:r w:rsidRPr="000A0A5F">
              <w:rPr>
                <w:rFonts w:hint="eastAsia"/>
                <w:lang w:eastAsia="zh-CN"/>
              </w:rPr>
              <w:t>GET</w:t>
            </w:r>
          </w:p>
        </w:tc>
        <w:tc>
          <w:tcPr>
            <w:tcW w:w="518" w:type="pct"/>
          </w:tcPr>
          <w:p w:rsidR="00CB0DD7" w:rsidRPr="000A0A5F" w:rsidRDefault="00CB0DD7">
            <w:pPr>
              <w:pStyle w:val="TAL"/>
              <w:rPr>
                <w:rFonts w:hint="eastAsia"/>
                <w:lang w:eastAsia="zh-CN"/>
              </w:rPr>
            </w:pPr>
            <w:r w:rsidRPr="000A0A5F">
              <w:rPr>
                <w:rFonts w:hint="eastAsia"/>
                <w:lang w:eastAsia="zh-CN"/>
              </w:rPr>
              <w:t>SCS/AS</w:t>
            </w:r>
          </w:p>
        </w:tc>
        <w:tc>
          <w:tcPr>
            <w:tcW w:w="1482" w:type="pct"/>
          </w:tcPr>
          <w:p w:rsidR="00CB0DD7" w:rsidRPr="000A0A5F" w:rsidRDefault="00CB0DD7">
            <w:pPr>
              <w:pStyle w:val="TAL"/>
              <w:rPr>
                <w:rFonts w:hint="eastAsia"/>
                <w:lang w:eastAsia="zh-CN"/>
              </w:rPr>
            </w:pPr>
            <w:r w:rsidRPr="000A0A5F">
              <w:rPr>
                <w:lang w:eastAsia="zh-CN"/>
              </w:rPr>
              <w:t>Read all group message delivery resources for a given SCS/AS and Service Id</w:t>
            </w:r>
            <w:r w:rsidRPr="000A0A5F">
              <w:rPr>
                <w:rFonts w:hint="eastAsia"/>
                <w:lang w:eastAsia="zh-CN"/>
              </w:rPr>
              <w:t>.</w:t>
            </w:r>
          </w:p>
        </w:tc>
      </w:tr>
      <w:tr w:rsidR="00CB0DD7" w:rsidRPr="000A0A5F" w:rsidTr="00FF0AF8">
        <w:trPr>
          <w:trHeight w:val="836"/>
          <w:jc w:val="center"/>
        </w:trPr>
        <w:tc>
          <w:tcPr>
            <w:tcW w:w="852" w:type="pct"/>
            <w:vMerge/>
          </w:tcPr>
          <w:p w:rsidR="00CB0DD7" w:rsidRPr="000A0A5F" w:rsidRDefault="00CB0DD7">
            <w:pPr>
              <w:pStyle w:val="TAL"/>
              <w:spacing w:line="276" w:lineRule="auto"/>
              <w:rPr>
                <w:lang w:eastAsia="zh-CN"/>
              </w:rPr>
            </w:pPr>
          </w:p>
        </w:tc>
        <w:tc>
          <w:tcPr>
            <w:tcW w:w="1554" w:type="pct"/>
            <w:vMerge/>
          </w:tcPr>
          <w:p w:rsidR="00CB0DD7" w:rsidRPr="000A0A5F" w:rsidRDefault="00CB0DD7">
            <w:pPr>
              <w:pStyle w:val="TAL"/>
              <w:spacing w:line="276" w:lineRule="auto"/>
            </w:pPr>
          </w:p>
        </w:tc>
        <w:tc>
          <w:tcPr>
            <w:tcW w:w="593" w:type="pct"/>
          </w:tcPr>
          <w:p w:rsidR="00CB0DD7" w:rsidRPr="000A0A5F" w:rsidRDefault="00CB0DD7">
            <w:pPr>
              <w:pStyle w:val="TAL"/>
              <w:rPr>
                <w:rFonts w:hint="eastAsia"/>
                <w:lang w:eastAsia="zh-CN"/>
              </w:rPr>
            </w:pPr>
            <w:r w:rsidRPr="000A0A5F">
              <w:rPr>
                <w:lang w:eastAsia="zh-CN"/>
              </w:rPr>
              <w:t>POST</w:t>
            </w:r>
          </w:p>
        </w:tc>
        <w:tc>
          <w:tcPr>
            <w:tcW w:w="518" w:type="pct"/>
          </w:tcPr>
          <w:p w:rsidR="00CB0DD7" w:rsidRPr="000A0A5F" w:rsidRDefault="00CB0DD7">
            <w:pPr>
              <w:pStyle w:val="TAL"/>
              <w:rPr>
                <w:rFonts w:hint="eastAsia"/>
                <w:lang w:eastAsia="zh-CN"/>
              </w:rPr>
            </w:pPr>
            <w:r w:rsidRPr="000A0A5F">
              <w:rPr>
                <w:rFonts w:hint="eastAsia"/>
                <w:lang w:eastAsia="zh-CN"/>
              </w:rPr>
              <w:t>SCS/AS</w:t>
            </w:r>
          </w:p>
        </w:tc>
        <w:tc>
          <w:tcPr>
            <w:tcW w:w="1482" w:type="pct"/>
          </w:tcPr>
          <w:p w:rsidR="00CB0DD7" w:rsidRPr="000A0A5F" w:rsidRDefault="00CB0DD7">
            <w:pPr>
              <w:pStyle w:val="TAL"/>
              <w:rPr>
                <w:rFonts w:hint="eastAsia"/>
                <w:lang w:eastAsia="zh-CN"/>
              </w:rPr>
            </w:pPr>
            <w:r w:rsidRPr="000A0A5F">
              <w:rPr>
                <w:rFonts w:hint="eastAsia"/>
                <w:lang w:eastAsia="zh-CN"/>
              </w:rPr>
              <w:t xml:space="preserve">Create a </w:t>
            </w:r>
            <w:r w:rsidRPr="000A0A5F">
              <w:rPr>
                <w:lang w:eastAsia="zh-CN"/>
              </w:rPr>
              <w:t>group message delivery resource for given SCS/AS and Service Id when xMB is used as a southbound interface.</w:t>
            </w:r>
          </w:p>
        </w:tc>
      </w:tr>
      <w:tr w:rsidR="00CB0DD7" w:rsidRPr="000A0A5F" w:rsidTr="00FF0AF8">
        <w:trPr>
          <w:trHeight w:val="496"/>
          <w:jc w:val="center"/>
        </w:trPr>
        <w:tc>
          <w:tcPr>
            <w:tcW w:w="852" w:type="pct"/>
            <w:vMerge w:val="restart"/>
          </w:tcPr>
          <w:p w:rsidR="00CB0DD7" w:rsidRPr="000A0A5F" w:rsidRDefault="00CB0DD7">
            <w:pPr>
              <w:pStyle w:val="TAL"/>
              <w:spacing w:line="276" w:lineRule="auto"/>
            </w:pPr>
            <w:r w:rsidRPr="000A0A5F">
              <w:rPr>
                <w:lang w:eastAsia="zh-CN"/>
              </w:rPr>
              <w:t xml:space="preserve">Individual </w:t>
            </w:r>
            <w:r w:rsidRPr="000A0A5F">
              <w:rPr>
                <w:rFonts w:hint="eastAsia"/>
                <w:lang w:eastAsia="zh-CN"/>
              </w:rPr>
              <w:t>GMD via MBMS</w:t>
            </w:r>
            <w:r w:rsidRPr="000A0A5F">
              <w:rPr>
                <w:lang w:eastAsia="zh-CN"/>
              </w:rPr>
              <w:t xml:space="preserve"> by xMB</w:t>
            </w:r>
          </w:p>
        </w:tc>
        <w:tc>
          <w:tcPr>
            <w:tcW w:w="1554" w:type="pct"/>
            <w:vMerge w:val="restart"/>
          </w:tcPr>
          <w:p w:rsidR="00CB0DD7" w:rsidRPr="000A0A5F" w:rsidRDefault="00CB0DD7">
            <w:pPr>
              <w:pStyle w:val="TAL"/>
              <w:spacing w:line="276" w:lineRule="auto"/>
            </w:pPr>
            <w:r w:rsidRPr="000A0A5F">
              <w:t>/{scsAsId}</w:t>
            </w:r>
          </w:p>
          <w:p w:rsidR="00CB0DD7" w:rsidRPr="000A0A5F" w:rsidRDefault="00CB0DD7">
            <w:pPr>
              <w:pStyle w:val="TAL"/>
              <w:spacing w:line="276" w:lineRule="auto"/>
            </w:pPr>
            <w:r w:rsidRPr="000A0A5F">
              <w:t>/services/{serviceId}/delivery-via-mbms/{transactionId}</w:t>
            </w:r>
          </w:p>
        </w:tc>
        <w:tc>
          <w:tcPr>
            <w:tcW w:w="593" w:type="pct"/>
          </w:tcPr>
          <w:p w:rsidR="00CB0DD7" w:rsidRPr="000A0A5F" w:rsidRDefault="00CB0DD7">
            <w:pPr>
              <w:pStyle w:val="TAL"/>
              <w:rPr>
                <w:rFonts w:hint="eastAsia"/>
                <w:lang w:eastAsia="zh-CN"/>
              </w:rPr>
            </w:pPr>
            <w:r w:rsidRPr="000A0A5F">
              <w:rPr>
                <w:rFonts w:hint="eastAsia"/>
                <w:lang w:eastAsia="zh-CN"/>
              </w:rPr>
              <w:t>PUT</w:t>
            </w:r>
          </w:p>
        </w:tc>
        <w:tc>
          <w:tcPr>
            <w:tcW w:w="518" w:type="pct"/>
          </w:tcPr>
          <w:p w:rsidR="00CB0DD7" w:rsidRPr="000A0A5F" w:rsidRDefault="00CB0DD7">
            <w:pPr>
              <w:pStyle w:val="TAL"/>
              <w:rPr>
                <w:rFonts w:hint="eastAsia"/>
                <w:lang w:eastAsia="zh-CN"/>
              </w:rPr>
            </w:pPr>
            <w:r w:rsidRPr="000A0A5F">
              <w:rPr>
                <w:rFonts w:hint="eastAsia"/>
                <w:lang w:eastAsia="zh-CN"/>
              </w:rPr>
              <w:t>SCS/AS</w:t>
            </w:r>
          </w:p>
        </w:tc>
        <w:tc>
          <w:tcPr>
            <w:tcW w:w="1482" w:type="pct"/>
          </w:tcPr>
          <w:p w:rsidR="00CB0DD7" w:rsidRPr="000A0A5F" w:rsidRDefault="00CB0DD7">
            <w:pPr>
              <w:pStyle w:val="TAL"/>
              <w:rPr>
                <w:rFonts w:hint="eastAsia"/>
                <w:lang w:eastAsia="zh-CN"/>
              </w:rPr>
            </w:pPr>
            <w:r w:rsidRPr="000A0A5F">
              <w:t xml:space="preserve">Replace </w:t>
            </w:r>
            <w:r w:rsidRPr="000A0A5F">
              <w:rPr>
                <w:noProof/>
                <w:lang w:eastAsia="zh-CN"/>
              </w:rPr>
              <w:t xml:space="preserve">a </w:t>
            </w:r>
            <w:r w:rsidRPr="000A0A5F">
              <w:rPr>
                <w:lang w:eastAsia="zh-CN"/>
              </w:rPr>
              <w:t xml:space="preserve">group message delivery </w:t>
            </w:r>
            <w:r w:rsidRPr="000A0A5F">
              <w:rPr>
                <w:noProof/>
                <w:lang w:eastAsia="zh-CN"/>
              </w:rPr>
              <w:t>resource</w:t>
            </w:r>
          </w:p>
        </w:tc>
      </w:tr>
      <w:tr w:rsidR="00CB0DD7" w:rsidRPr="000A0A5F" w:rsidTr="00FF0AF8">
        <w:trPr>
          <w:jc w:val="center"/>
        </w:trPr>
        <w:tc>
          <w:tcPr>
            <w:tcW w:w="852" w:type="pct"/>
            <w:vMerge/>
          </w:tcPr>
          <w:p w:rsidR="00CB0DD7" w:rsidRPr="000A0A5F" w:rsidRDefault="00CB0DD7">
            <w:pPr>
              <w:pStyle w:val="TAL"/>
              <w:spacing w:line="276" w:lineRule="auto"/>
              <w:rPr>
                <w:lang w:eastAsia="zh-CN"/>
              </w:rPr>
            </w:pPr>
          </w:p>
        </w:tc>
        <w:tc>
          <w:tcPr>
            <w:tcW w:w="1554" w:type="pct"/>
            <w:vMerge/>
          </w:tcPr>
          <w:p w:rsidR="00CB0DD7" w:rsidRPr="000A0A5F" w:rsidRDefault="00CB0DD7">
            <w:pPr>
              <w:pStyle w:val="TAL"/>
              <w:spacing w:line="276" w:lineRule="auto"/>
            </w:pPr>
          </w:p>
        </w:tc>
        <w:tc>
          <w:tcPr>
            <w:tcW w:w="593" w:type="pct"/>
          </w:tcPr>
          <w:p w:rsidR="00CB0DD7" w:rsidRPr="000A0A5F" w:rsidRDefault="00CB0DD7">
            <w:pPr>
              <w:pStyle w:val="TAL"/>
              <w:rPr>
                <w:rFonts w:hint="eastAsia"/>
                <w:lang w:eastAsia="zh-CN"/>
              </w:rPr>
            </w:pPr>
            <w:r w:rsidRPr="000A0A5F">
              <w:rPr>
                <w:rFonts w:hint="eastAsia"/>
                <w:lang w:eastAsia="zh-CN"/>
              </w:rPr>
              <w:t>PATCH</w:t>
            </w:r>
          </w:p>
        </w:tc>
        <w:tc>
          <w:tcPr>
            <w:tcW w:w="518" w:type="pct"/>
          </w:tcPr>
          <w:p w:rsidR="00CB0DD7" w:rsidRPr="000A0A5F" w:rsidRDefault="00CB0DD7">
            <w:pPr>
              <w:pStyle w:val="TAL"/>
              <w:rPr>
                <w:rFonts w:hint="eastAsia"/>
                <w:lang w:eastAsia="zh-CN"/>
              </w:rPr>
            </w:pPr>
            <w:r w:rsidRPr="000A0A5F">
              <w:rPr>
                <w:rFonts w:hint="eastAsia"/>
                <w:lang w:eastAsia="zh-CN"/>
              </w:rPr>
              <w:t>SCS/AS</w:t>
            </w:r>
          </w:p>
        </w:tc>
        <w:tc>
          <w:tcPr>
            <w:tcW w:w="1482" w:type="pct"/>
          </w:tcPr>
          <w:p w:rsidR="00CB0DD7" w:rsidRPr="000A0A5F" w:rsidRDefault="00CB0DD7">
            <w:pPr>
              <w:pStyle w:val="TAL"/>
              <w:rPr>
                <w:rFonts w:hint="eastAsia"/>
                <w:noProof/>
                <w:lang w:eastAsia="zh-CN"/>
              </w:rPr>
            </w:pPr>
            <w:r w:rsidRPr="000A0A5F">
              <w:rPr>
                <w:rFonts w:hint="eastAsia"/>
                <w:noProof/>
                <w:lang w:eastAsia="zh-CN"/>
              </w:rPr>
              <w:t>Modify</w:t>
            </w:r>
            <w:r w:rsidRPr="000A0A5F">
              <w:rPr>
                <w:noProof/>
                <w:lang w:eastAsia="zh-CN"/>
              </w:rPr>
              <w:t xml:space="preserve"> a </w:t>
            </w:r>
            <w:r w:rsidRPr="000A0A5F">
              <w:rPr>
                <w:lang w:eastAsia="zh-CN"/>
              </w:rPr>
              <w:t xml:space="preserve">group message delivery </w:t>
            </w:r>
            <w:r w:rsidRPr="000A0A5F">
              <w:rPr>
                <w:noProof/>
                <w:lang w:eastAsia="zh-CN"/>
              </w:rPr>
              <w:t>resource.</w:t>
            </w:r>
          </w:p>
        </w:tc>
      </w:tr>
      <w:tr w:rsidR="00CB0DD7" w:rsidRPr="000A0A5F" w:rsidTr="00FF0AF8">
        <w:trPr>
          <w:jc w:val="center"/>
        </w:trPr>
        <w:tc>
          <w:tcPr>
            <w:tcW w:w="852" w:type="pct"/>
            <w:vMerge/>
          </w:tcPr>
          <w:p w:rsidR="00CB0DD7" w:rsidRPr="000A0A5F" w:rsidRDefault="00CB0DD7">
            <w:pPr>
              <w:pStyle w:val="TAL"/>
              <w:spacing w:line="276" w:lineRule="auto"/>
              <w:rPr>
                <w:rFonts w:hint="eastAsia"/>
                <w:lang w:eastAsia="zh-CN"/>
              </w:rPr>
            </w:pPr>
          </w:p>
        </w:tc>
        <w:tc>
          <w:tcPr>
            <w:tcW w:w="1554" w:type="pct"/>
            <w:vMerge/>
          </w:tcPr>
          <w:p w:rsidR="00CB0DD7" w:rsidRPr="000A0A5F" w:rsidRDefault="00CB0DD7">
            <w:pPr>
              <w:pStyle w:val="TAL"/>
              <w:spacing w:line="276" w:lineRule="auto"/>
              <w:rPr>
                <w:rFonts w:hint="eastAsia"/>
                <w:lang w:eastAsia="zh-CN"/>
              </w:rPr>
            </w:pPr>
          </w:p>
        </w:tc>
        <w:tc>
          <w:tcPr>
            <w:tcW w:w="593" w:type="pct"/>
          </w:tcPr>
          <w:p w:rsidR="00CB0DD7" w:rsidRPr="000A0A5F" w:rsidRDefault="00CB0DD7">
            <w:pPr>
              <w:pStyle w:val="TAL"/>
            </w:pPr>
            <w:r w:rsidRPr="000A0A5F">
              <w:t>GET</w:t>
            </w:r>
          </w:p>
        </w:tc>
        <w:tc>
          <w:tcPr>
            <w:tcW w:w="518" w:type="pct"/>
          </w:tcPr>
          <w:p w:rsidR="00CB0DD7" w:rsidRPr="000A0A5F" w:rsidRDefault="00CB0DD7">
            <w:pPr>
              <w:pStyle w:val="TAL"/>
              <w:rPr>
                <w:noProof/>
                <w:lang w:eastAsia="zh-CN"/>
              </w:rPr>
            </w:pPr>
            <w:r w:rsidRPr="000A0A5F">
              <w:rPr>
                <w:rFonts w:hint="eastAsia"/>
                <w:lang w:eastAsia="zh-CN"/>
              </w:rPr>
              <w:t>SCS/AS</w:t>
            </w:r>
          </w:p>
        </w:tc>
        <w:tc>
          <w:tcPr>
            <w:tcW w:w="1482" w:type="pct"/>
          </w:tcPr>
          <w:p w:rsidR="00CB0DD7" w:rsidRPr="000A0A5F" w:rsidRDefault="00CB0DD7">
            <w:pPr>
              <w:pStyle w:val="TAL"/>
              <w:rPr>
                <w:noProof/>
                <w:lang w:eastAsia="zh-CN"/>
              </w:rPr>
            </w:pPr>
            <w:r w:rsidRPr="000A0A5F">
              <w:t xml:space="preserve">Read a group message delivery </w:t>
            </w:r>
            <w:r w:rsidRPr="000A0A5F">
              <w:rPr>
                <w:noProof/>
                <w:lang w:eastAsia="zh-CN"/>
              </w:rPr>
              <w:t>resource.</w:t>
            </w:r>
          </w:p>
        </w:tc>
      </w:tr>
      <w:tr w:rsidR="00CB0DD7" w:rsidRPr="000A0A5F" w:rsidTr="00FF0AF8">
        <w:trPr>
          <w:jc w:val="center"/>
        </w:trPr>
        <w:tc>
          <w:tcPr>
            <w:tcW w:w="852" w:type="pct"/>
            <w:vMerge/>
          </w:tcPr>
          <w:p w:rsidR="00CB0DD7" w:rsidRPr="000A0A5F" w:rsidRDefault="00CB0DD7">
            <w:pPr>
              <w:pStyle w:val="TAL"/>
              <w:spacing w:line="276" w:lineRule="auto"/>
              <w:rPr>
                <w:rFonts w:hint="eastAsia"/>
                <w:lang w:eastAsia="zh-CN"/>
              </w:rPr>
            </w:pPr>
          </w:p>
        </w:tc>
        <w:tc>
          <w:tcPr>
            <w:tcW w:w="1554" w:type="pct"/>
            <w:vMerge/>
          </w:tcPr>
          <w:p w:rsidR="00CB0DD7" w:rsidRPr="000A0A5F" w:rsidRDefault="00CB0DD7">
            <w:pPr>
              <w:pStyle w:val="TAL"/>
              <w:spacing w:line="276" w:lineRule="auto"/>
              <w:rPr>
                <w:rFonts w:hint="eastAsia"/>
                <w:lang w:eastAsia="zh-CN"/>
              </w:rPr>
            </w:pPr>
          </w:p>
        </w:tc>
        <w:tc>
          <w:tcPr>
            <w:tcW w:w="593" w:type="pct"/>
          </w:tcPr>
          <w:p w:rsidR="00CB0DD7" w:rsidRPr="000A0A5F" w:rsidRDefault="00CB0DD7">
            <w:pPr>
              <w:pStyle w:val="TAL"/>
              <w:rPr>
                <w:rFonts w:hint="eastAsia"/>
                <w:lang w:eastAsia="zh-CN"/>
              </w:rPr>
            </w:pPr>
            <w:r w:rsidRPr="000A0A5F">
              <w:rPr>
                <w:rFonts w:hint="eastAsia"/>
                <w:lang w:eastAsia="zh-CN"/>
              </w:rPr>
              <w:t>DELETE</w:t>
            </w:r>
          </w:p>
        </w:tc>
        <w:tc>
          <w:tcPr>
            <w:tcW w:w="518" w:type="pct"/>
          </w:tcPr>
          <w:p w:rsidR="00CB0DD7" w:rsidRPr="000A0A5F" w:rsidRDefault="00CB0DD7">
            <w:pPr>
              <w:pStyle w:val="TAL"/>
              <w:rPr>
                <w:rFonts w:hint="eastAsia"/>
                <w:lang w:eastAsia="zh-CN"/>
              </w:rPr>
            </w:pPr>
            <w:r w:rsidRPr="000A0A5F">
              <w:rPr>
                <w:rFonts w:hint="eastAsia"/>
                <w:lang w:eastAsia="zh-CN"/>
              </w:rPr>
              <w:t>SCS/AS</w:t>
            </w:r>
          </w:p>
        </w:tc>
        <w:tc>
          <w:tcPr>
            <w:tcW w:w="1482" w:type="pct"/>
          </w:tcPr>
          <w:p w:rsidR="00CB0DD7" w:rsidRPr="000A0A5F" w:rsidRDefault="00CB0DD7">
            <w:pPr>
              <w:pStyle w:val="TAL"/>
            </w:pPr>
            <w:r w:rsidRPr="000A0A5F">
              <w:rPr>
                <w:noProof/>
                <w:lang w:eastAsia="zh-CN"/>
              </w:rPr>
              <w:t xml:space="preserve">Delete a </w:t>
            </w:r>
            <w:r w:rsidRPr="000A0A5F">
              <w:rPr>
                <w:lang w:eastAsia="zh-CN"/>
              </w:rPr>
              <w:t xml:space="preserve">group message delivery </w:t>
            </w:r>
            <w:r w:rsidRPr="000A0A5F">
              <w:rPr>
                <w:noProof/>
                <w:lang w:eastAsia="zh-CN"/>
              </w:rPr>
              <w:t>resource.</w:t>
            </w:r>
          </w:p>
        </w:tc>
      </w:tr>
    </w:tbl>
    <w:p w:rsidR="00CB0DD7" w:rsidRPr="000A0A5F" w:rsidRDefault="00CB0DD7"/>
    <w:p w:rsidR="00CB0DD7" w:rsidRPr="000A0A5F" w:rsidRDefault="00CB0DD7">
      <w:pPr>
        <w:pStyle w:val="Heading5"/>
      </w:pPr>
      <w:bookmarkStart w:id="6064" w:name="_Toc11247631"/>
      <w:bookmarkStart w:id="6065" w:name="_Toc27044770"/>
      <w:bookmarkStart w:id="6066" w:name="_Toc36033812"/>
      <w:bookmarkStart w:id="6067" w:name="_Toc45131958"/>
      <w:bookmarkStart w:id="6068" w:name="_Toc49776243"/>
      <w:bookmarkStart w:id="6069" w:name="_Toc51747163"/>
      <w:bookmarkStart w:id="6070" w:name="_Toc66360730"/>
      <w:bookmarkStart w:id="6071" w:name="_Toc68105235"/>
      <w:bookmarkStart w:id="6072" w:name="_Toc74755865"/>
      <w:bookmarkStart w:id="6073" w:name="_Toc105674740"/>
      <w:bookmarkStart w:id="6074" w:name="_Toc130502796"/>
      <w:bookmarkStart w:id="6075" w:name="_Toc153625583"/>
      <w:r w:rsidRPr="000A0A5F">
        <w:t>5.8.3.2.2</w:t>
      </w:r>
      <w:r w:rsidRPr="000A0A5F">
        <w:tab/>
        <w:t>Resource: xMB Services</w:t>
      </w:r>
      <w:bookmarkEnd w:id="6064"/>
      <w:bookmarkEnd w:id="6065"/>
      <w:bookmarkEnd w:id="6066"/>
      <w:bookmarkEnd w:id="6067"/>
      <w:bookmarkEnd w:id="6068"/>
      <w:bookmarkEnd w:id="6069"/>
      <w:bookmarkEnd w:id="6070"/>
      <w:bookmarkEnd w:id="6071"/>
      <w:bookmarkEnd w:id="6072"/>
      <w:bookmarkEnd w:id="6073"/>
      <w:bookmarkEnd w:id="6074"/>
      <w:bookmarkEnd w:id="6075"/>
    </w:p>
    <w:p w:rsidR="00CB0DD7" w:rsidRPr="000A0A5F" w:rsidRDefault="00CB0DD7">
      <w:pPr>
        <w:pStyle w:val="Heading6"/>
      </w:pPr>
      <w:bookmarkStart w:id="6076" w:name="_Toc11247632"/>
      <w:bookmarkStart w:id="6077" w:name="_Toc27044771"/>
      <w:bookmarkStart w:id="6078" w:name="_Toc36033813"/>
      <w:bookmarkStart w:id="6079" w:name="_Toc45131959"/>
      <w:bookmarkStart w:id="6080" w:name="_Toc49776244"/>
      <w:bookmarkStart w:id="6081" w:name="_Toc51747164"/>
      <w:bookmarkStart w:id="6082" w:name="_Toc66360731"/>
      <w:bookmarkStart w:id="6083" w:name="_Toc68105236"/>
      <w:bookmarkStart w:id="6084" w:name="_Toc74755866"/>
      <w:bookmarkStart w:id="6085" w:name="_Toc105674741"/>
      <w:bookmarkStart w:id="6086" w:name="_Toc130502797"/>
      <w:bookmarkStart w:id="6087" w:name="_Toc153625584"/>
      <w:r w:rsidRPr="000A0A5F">
        <w:t>5.8.3.2.2.1</w:t>
      </w:r>
      <w:r w:rsidRPr="000A0A5F">
        <w:tab/>
        <w:t>Introduction</w:t>
      </w:r>
      <w:bookmarkEnd w:id="6076"/>
      <w:bookmarkEnd w:id="6077"/>
      <w:bookmarkEnd w:id="6078"/>
      <w:bookmarkEnd w:id="6079"/>
      <w:bookmarkEnd w:id="6080"/>
      <w:bookmarkEnd w:id="6081"/>
      <w:bookmarkEnd w:id="6082"/>
      <w:bookmarkEnd w:id="6083"/>
      <w:bookmarkEnd w:id="6084"/>
      <w:bookmarkEnd w:id="6085"/>
      <w:bookmarkEnd w:id="6086"/>
      <w:bookmarkEnd w:id="6087"/>
    </w:p>
    <w:p w:rsidR="00CB0DD7" w:rsidRPr="000A0A5F" w:rsidRDefault="00CB0DD7">
      <w:pPr>
        <w:rPr>
          <w:noProof/>
          <w:lang w:eastAsia="zh-CN"/>
        </w:rPr>
      </w:pPr>
      <w:r w:rsidRPr="000A0A5F">
        <w:rPr>
          <w:noProof/>
          <w:lang w:eastAsia="zh-CN"/>
        </w:rPr>
        <w:t>This resource allows t</w:t>
      </w:r>
      <w:r w:rsidRPr="000A0A5F">
        <w:rPr>
          <w:rFonts w:hint="eastAsia"/>
          <w:noProof/>
          <w:lang w:eastAsia="zh-CN"/>
        </w:rPr>
        <w:t xml:space="preserve">he SCS/AS </w:t>
      </w:r>
      <w:r w:rsidRPr="000A0A5F">
        <w:rPr>
          <w:noProof/>
          <w:lang w:eastAsia="zh-CN"/>
        </w:rPr>
        <w:t>to create service resource when the xMB is used as a southbound interface.</w:t>
      </w:r>
    </w:p>
    <w:p w:rsidR="00CB0DD7" w:rsidRPr="000A0A5F" w:rsidRDefault="00CB0DD7">
      <w:pPr>
        <w:pStyle w:val="Heading6"/>
      </w:pPr>
      <w:bookmarkStart w:id="6088" w:name="_Toc11247633"/>
      <w:bookmarkStart w:id="6089" w:name="_Toc27044772"/>
      <w:bookmarkStart w:id="6090" w:name="_Toc36033814"/>
      <w:bookmarkStart w:id="6091" w:name="_Toc45131960"/>
      <w:bookmarkStart w:id="6092" w:name="_Toc49776245"/>
      <w:bookmarkStart w:id="6093" w:name="_Toc51747165"/>
      <w:bookmarkStart w:id="6094" w:name="_Toc66360732"/>
      <w:bookmarkStart w:id="6095" w:name="_Toc68105237"/>
      <w:bookmarkStart w:id="6096" w:name="_Toc74755867"/>
      <w:bookmarkStart w:id="6097" w:name="_Toc105674742"/>
      <w:bookmarkStart w:id="6098" w:name="_Toc130502798"/>
      <w:bookmarkStart w:id="6099" w:name="_Toc153625585"/>
      <w:r w:rsidRPr="000A0A5F">
        <w:t>5.8.3.2.2.2</w:t>
      </w:r>
      <w:r w:rsidRPr="000A0A5F">
        <w:tab/>
        <w:t>Resource definition</w:t>
      </w:r>
      <w:bookmarkEnd w:id="6088"/>
      <w:bookmarkEnd w:id="6089"/>
      <w:bookmarkEnd w:id="6090"/>
      <w:bookmarkEnd w:id="6091"/>
      <w:bookmarkEnd w:id="6092"/>
      <w:bookmarkEnd w:id="6093"/>
      <w:bookmarkEnd w:id="6094"/>
      <w:bookmarkEnd w:id="6095"/>
      <w:bookmarkEnd w:id="6096"/>
      <w:bookmarkEnd w:id="6097"/>
      <w:bookmarkEnd w:id="6098"/>
      <w:bookmarkEnd w:id="6099"/>
    </w:p>
    <w:p w:rsidR="00CB0DD7" w:rsidRPr="000A0A5F" w:rsidRDefault="00CB0DD7">
      <w:pPr>
        <w:rPr>
          <w:b/>
        </w:rPr>
      </w:pPr>
      <w:r w:rsidRPr="000A0A5F">
        <w:t xml:space="preserve">Resource URI: </w:t>
      </w:r>
      <w:r w:rsidRPr="000A0A5F">
        <w:rPr>
          <w:b/>
        </w:rPr>
        <w:t>{apiRoot}/3gpp-group-message-delivery-xmb/v1/{scsAsId}/services</w:t>
      </w:r>
    </w:p>
    <w:p w:rsidR="00CB0DD7" w:rsidRPr="000A0A5F" w:rsidRDefault="00CB0DD7">
      <w:pPr>
        <w:rPr>
          <w:rFonts w:ascii="Arial" w:hAnsi="Arial" w:cs="Arial"/>
        </w:rPr>
      </w:pPr>
      <w:r w:rsidRPr="000A0A5F">
        <w:t>This resource shall support the resource URI variables defined in table 5.8.3.2.2.2-1</w:t>
      </w:r>
      <w:r w:rsidRPr="000A0A5F">
        <w:rPr>
          <w:rFonts w:ascii="Arial" w:hAnsi="Arial" w:cs="Arial"/>
        </w:rPr>
        <w:t>.</w:t>
      </w:r>
    </w:p>
    <w:p w:rsidR="00CB0DD7" w:rsidRPr="000A0A5F" w:rsidRDefault="00CB0DD7">
      <w:pPr>
        <w:pStyle w:val="TH"/>
        <w:rPr>
          <w:rFonts w:cs="Arial"/>
        </w:rPr>
      </w:pPr>
      <w:r w:rsidRPr="000A0A5F">
        <w:t>Table 5.8.3.2.2.2-1: Resource URI variables for resource "GMD via MBMS by xMB"</w:t>
      </w:r>
    </w:p>
    <w:tbl>
      <w:tblPr>
        <w:tblW w:w="494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970"/>
        <w:gridCol w:w="1171"/>
        <w:gridCol w:w="6519"/>
      </w:tblGrid>
      <w:tr w:rsidR="00CB0DD7" w:rsidRPr="000A0A5F" w:rsidTr="00FF0AF8">
        <w:trPr>
          <w:jc w:val="center"/>
        </w:trPr>
        <w:tc>
          <w:tcPr>
            <w:tcW w:w="1020" w:type="pct"/>
            <w:shd w:val="clear" w:color="000000" w:fill="C0C0C0"/>
          </w:tcPr>
          <w:p w:rsidR="00CB0DD7" w:rsidRPr="000A0A5F" w:rsidRDefault="00CB0DD7">
            <w:pPr>
              <w:pStyle w:val="TAH"/>
            </w:pPr>
            <w:r w:rsidRPr="000A0A5F">
              <w:t>Name</w:t>
            </w:r>
          </w:p>
        </w:tc>
        <w:tc>
          <w:tcPr>
            <w:tcW w:w="606" w:type="pct"/>
            <w:shd w:val="clear" w:color="000000" w:fill="C0C0C0"/>
          </w:tcPr>
          <w:p w:rsidR="00CB0DD7" w:rsidRPr="000A0A5F" w:rsidRDefault="00CB0DD7">
            <w:pPr>
              <w:pStyle w:val="TAH"/>
            </w:pPr>
            <w:r w:rsidRPr="000A0A5F">
              <w:t>Data type</w:t>
            </w:r>
          </w:p>
        </w:tc>
        <w:tc>
          <w:tcPr>
            <w:tcW w:w="3375" w:type="pct"/>
            <w:shd w:val="clear" w:color="000000" w:fill="C0C0C0"/>
            <w:vAlign w:val="center"/>
          </w:tcPr>
          <w:p w:rsidR="00CB0DD7" w:rsidRPr="000A0A5F" w:rsidRDefault="00CB0DD7">
            <w:pPr>
              <w:pStyle w:val="TAH"/>
            </w:pPr>
            <w:r w:rsidRPr="000A0A5F">
              <w:t>Definition</w:t>
            </w:r>
          </w:p>
        </w:tc>
      </w:tr>
      <w:tr w:rsidR="00CB0DD7" w:rsidRPr="000A0A5F" w:rsidTr="00FF0AF8">
        <w:trPr>
          <w:jc w:val="center"/>
        </w:trPr>
        <w:tc>
          <w:tcPr>
            <w:tcW w:w="1020" w:type="pct"/>
            <w:shd w:val="clear" w:color="auto" w:fill="auto"/>
          </w:tcPr>
          <w:p w:rsidR="00CB0DD7" w:rsidRPr="000A0A5F" w:rsidRDefault="00CB0DD7">
            <w:pPr>
              <w:pStyle w:val="TAL"/>
            </w:pPr>
            <w:r w:rsidRPr="000A0A5F">
              <w:t>apiRoot</w:t>
            </w:r>
          </w:p>
        </w:tc>
        <w:tc>
          <w:tcPr>
            <w:tcW w:w="606" w:type="pct"/>
          </w:tcPr>
          <w:p w:rsidR="00CB0DD7" w:rsidRPr="000A0A5F" w:rsidRDefault="00CB0DD7">
            <w:pPr>
              <w:pStyle w:val="TAL"/>
            </w:pPr>
            <w:r w:rsidRPr="000A0A5F">
              <w:t>string</w:t>
            </w:r>
          </w:p>
        </w:tc>
        <w:tc>
          <w:tcPr>
            <w:tcW w:w="3375" w:type="pct"/>
            <w:shd w:val="clear" w:color="auto" w:fill="auto"/>
            <w:vAlign w:val="center"/>
          </w:tcPr>
          <w:p w:rsidR="00CB0DD7" w:rsidRPr="000A0A5F" w:rsidRDefault="00CB0DD7">
            <w:pPr>
              <w:pStyle w:val="TAL"/>
            </w:pPr>
            <w:r w:rsidRPr="000A0A5F">
              <w:t>See clause</w:t>
            </w:r>
            <w:r w:rsidRPr="000A0A5F">
              <w:rPr>
                <w:lang w:val="en-US" w:eastAsia="zh-CN"/>
              </w:rPr>
              <w:t> </w:t>
            </w:r>
            <w:r w:rsidRPr="000A0A5F">
              <w:t>5.2.4.</w:t>
            </w:r>
          </w:p>
        </w:tc>
      </w:tr>
      <w:tr w:rsidR="00CB0DD7" w:rsidRPr="000A0A5F" w:rsidTr="00FF0AF8">
        <w:trPr>
          <w:jc w:val="center"/>
        </w:trPr>
        <w:tc>
          <w:tcPr>
            <w:tcW w:w="1020" w:type="pct"/>
            <w:shd w:val="clear" w:color="auto" w:fill="auto"/>
          </w:tcPr>
          <w:p w:rsidR="00CB0DD7" w:rsidRPr="000A0A5F" w:rsidRDefault="00CB0DD7">
            <w:pPr>
              <w:pStyle w:val="TAL"/>
            </w:pPr>
            <w:r w:rsidRPr="000A0A5F">
              <w:t>scsAsId</w:t>
            </w:r>
          </w:p>
        </w:tc>
        <w:tc>
          <w:tcPr>
            <w:tcW w:w="606" w:type="pct"/>
          </w:tcPr>
          <w:p w:rsidR="00CB0DD7" w:rsidRPr="000A0A5F" w:rsidRDefault="00CB0DD7">
            <w:pPr>
              <w:pStyle w:val="TAL"/>
            </w:pPr>
            <w:r w:rsidRPr="000A0A5F">
              <w:rPr>
                <w:rFonts w:hint="eastAsia"/>
                <w:lang w:eastAsia="zh-CN"/>
              </w:rPr>
              <w:t>s</w:t>
            </w:r>
            <w:r w:rsidRPr="000A0A5F">
              <w:rPr>
                <w:lang w:eastAsia="zh-CN"/>
              </w:rPr>
              <w:t>tring</w:t>
            </w:r>
          </w:p>
        </w:tc>
        <w:tc>
          <w:tcPr>
            <w:tcW w:w="3375" w:type="pct"/>
            <w:shd w:val="clear" w:color="auto" w:fill="auto"/>
            <w:vAlign w:val="center"/>
          </w:tcPr>
          <w:p w:rsidR="00CB0DD7" w:rsidRPr="000A0A5F" w:rsidRDefault="00CB0DD7">
            <w:pPr>
              <w:pStyle w:val="TAL"/>
            </w:pPr>
            <w:r w:rsidRPr="000A0A5F">
              <w:t>Identifier of the SCS/AS.</w:t>
            </w:r>
          </w:p>
        </w:tc>
      </w:tr>
    </w:tbl>
    <w:p w:rsidR="00CB0DD7" w:rsidRPr="000A0A5F" w:rsidRDefault="00CB0DD7"/>
    <w:p w:rsidR="00CB0DD7" w:rsidRPr="000A0A5F" w:rsidRDefault="00CB0DD7">
      <w:pPr>
        <w:pStyle w:val="Heading6"/>
      </w:pPr>
      <w:bookmarkStart w:id="6100" w:name="_Toc11247634"/>
      <w:bookmarkStart w:id="6101" w:name="_Toc27044773"/>
      <w:bookmarkStart w:id="6102" w:name="_Toc36033815"/>
      <w:bookmarkStart w:id="6103" w:name="_Toc45131961"/>
      <w:bookmarkStart w:id="6104" w:name="_Toc49776246"/>
      <w:bookmarkStart w:id="6105" w:name="_Toc51747166"/>
      <w:bookmarkStart w:id="6106" w:name="_Toc66360733"/>
      <w:bookmarkStart w:id="6107" w:name="_Toc68105238"/>
      <w:bookmarkStart w:id="6108" w:name="_Toc74755868"/>
      <w:bookmarkStart w:id="6109" w:name="_Toc105674743"/>
      <w:bookmarkStart w:id="6110" w:name="_Toc130502799"/>
      <w:bookmarkStart w:id="6111" w:name="_Toc153625586"/>
      <w:r w:rsidRPr="000A0A5F">
        <w:t>5.8.3.2.2.3</w:t>
      </w:r>
      <w:r w:rsidRPr="000A0A5F">
        <w:tab/>
        <w:t>Resource methods</w:t>
      </w:r>
      <w:bookmarkEnd w:id="6100"/>
      <w:bookmarkEnd w:id="6101"/>
      <w:bookmarkEnd w:id="6102"/>
      <w:bookmarkEnd w:id="6103"/>
      <w:bookmarkEnd w:id="6104"/>
      <w:bookmarkEnd w:id="6105"/>
      <w:bookmarkEnd w:id="6106"/>
      <w:bookmarkEnd w:id="6107"/>
      <w:bookmarkEnd w:id="6108"/>
      <w:bookmarkEnd w:id="6109"/>
      <w:bookmarkEnd w:id="6110"/>
      <w:bookmarkEnd w:id="6111"/>
    </w:p>
    <w:p w:rsidR="00CB0DD7" w:rsidRPr="000A0A5F" w:rsidRDefault="00CB0DD7">
      <w:pPr>
        <w:pStyle w:val="Heading7"/>
      </w:pPr>
      <w:bookmarkStart w:id="6112" w:name="_Toc11247635"/>
      <w:bookmarkStart w:id="6113" w:name="_Toc27044774"/>
      <w:bookmarkStart w:id="6114" w:name="_Toc36033816"/>
      <w:bookmarkStart w:id="6115" w:name="_Toc45131962"/>
      <w:bookmarkStart w:id="6116" w:name="_Toc49776247"/>
      <w:bookmarkStart w:id="6117" w:name="_Toc51747167"/>
      <w:bookmarkStart w:id="6118" w:name="_Toc66360734"/>
      <w:bookmarkStart w:id="6119" w:name="_Toc68105239"/>
      <w:bookmarkStart w:id="6120" w:name="_Toc74755869"/>
      <w:bookmarkStart w:id="6121" w:name="_Toc105674744"/>
      <w:bookmarkStart w:id="6122" w:name="_Toc130502800"/>
      <w:bookmarkStart w:id="6123" w:name="_Toc153625587"/>
      <w:r w:rsidRPr="000A0A5F">
        <w:t>5.8.3.2.2.3.1</w:t>
      </w:r>
      <w:r w:rsidRPr="000A0A5F">
        <w:tab/>
        <w:t>GET</w:t>
      </w:r>
      <w:bookmarkEnd w:id="6112"/>
      <w:bookmarkEnd w:id="6113"/>
      <w:bookmarkEnd w:id="6114"/>
      <w:bookmarkEnd w:id="6115"/>
      <w:bookmarkEnd w:id="6116"/>
      <w:bookmarkEnd w:id="6117"/>
      <w:bookmarkEnd w:id="6118"/>
      <w:bookmarkEnd w:id="6119"/>
      <w:bookmarkEnd w:id="6120"/>
      <w:bookmarkEnd w:id="6121"/>
      <w:bookmarkEnd w:id="6122"/>
      <w:bookmarkEnd w:id="6123"/>
    </w:p>
    <w:p w:rsidR="00CB0DD7" w:rsidRPr="000A0A5F" w:rsidRDefault="00CB0DD7">
      <w:pPr>
        <w:rPr>
          <w:noProof/>
          <w:lang w:eastAsia="zh-CN"/>
        </w:rPr>
      </w:pPr>
      <w:r w:rsidRPr="000A0A5F">
        <w:rPr>
          <w:noProof/>
          <w:lang w:eastAsia="zh-CN"/>
        </w:rPr>
        <w:t xml:space="preserve">The GET method allows the SCS/AS read all active service resources for a given SCS/AS. It is initiated by the SCS/AS and answered by the SCEF. </w:t>
      </w:r>
    </w:p>
    <w:p w:rsidR="00CB0DD7" w:rsidRPr="000A0A5F" w:rsidRDefault="00CB0DD7">
      <w:pPr>
        <w:rPr>
          <w:rFonts w:hint="eastAsia"/>
          <w:lang w:eastAsia="zh-CN"/>
        </w:rPr>
      </w:pPr>
      <w:r w:rsidRPr="000A0A5F">
        <w:t>This method shall support request and response data structures, and response codes, as specified in the table 5.8.3.2.2.3.1-1.</w:t>
      </w:r>
    </w:p>
    <w:p w:rsidR="00CB0DD7" w:rsidRPr="000A0A5F" w:rsidRDefault="00CB0DD7">
      <w:pPr>
        <w:pStyle w:val="TH"/>
        <w:rPr>
          <w:rFonts w:hint="eastAsia"/>
          <w:lang w:eastAsia="zh-CN"/>
        </w:rPr>
      </w:pPr>
      <w:r w:rsidRPr="000A0A5F">
        <w:t>Table 5.</w:t>
      </w:r>
      <w:r w:rsidRPr="000A0A5F">
        <w:rPr>
          <w:lang w:eastAsia="zh-CN"/>
        </w:rPr>
        <w:t>8</w:t>
      </w:r>
      <w:r w:rsidRPr="000A0A5F">
        <w:t>.</w:t>
      </w:r>
      <w:r w:rsidRPr="000A0A5F">
        <w:rPr>
          <w:rFonts w:hint="eastAsia"/>
          <w:lang w:eastAsia="zh-CN"/>
        </w:rPr>
        <w:t>3</w:t>
      </w:r>
      <w:r w:rsidRPr="000A0A5F">
        <w:t>.2.2.3.</w:t>
      </w:r>
      <w:r w:rsidRPr="000A0A5F">
        <w:rPr>
          <w:lang w:eastAsia="zh-CN"/>
        </w:rPr>
        <w:t>1</w:t>
      </w:r>
      <w:r w:rsidRPr="000A0A5F">
        <w:rPr>
          <w:rFonts w:hint="eastAsia"/>
          <w:lang w:eastAsia="zh-CN"/>
        </w:rPr>
        <w:t>-1</w:t>
      </w:r>
      <w:r w:rsidRPr="000A0A5F">
        <w:t>: Data structures supported by the GET request/response by the resource</w:t>
      </w:r>
    </w:p>
    <w:tbl>
      <w:tblPr>
        <w:tblW w:w="4999" w:type="pct"/>
        <w:tblInd w:w="1" w:type="dxa"/>
        <w:tblBorders>
          <w:top w:val="single" w:sz="6" w:space="0" w:color="000000"/>
          <w:left w:val="single" w:sz="6" w:space="0" w:color="000000"/>
          <w:bottom w:val="single" w:sz="6" w:space="0" w:color="000000"/>
          <w:right w:val="single" w:sz="6" w:space="0" w:color="000000"/>
          <w:insideH w:val="single" w:sz="6" w:space="0" w:color="auto"/>
          <w:insideV w:val="single" w:sz="6" w:space="0" w:color="000000"/>
        </w:tblBorders>
        <w:tblLayout w:type="fixed"/>
        <w:tblCellMar>
          <w:top w:w="45" w:type="dxa"/>
          <w:left w:w="45" w:type="dxa"/>
          <w:bottom w:w="45" w:type="dxa"/>
          <w:right w:w="45" w:type="dxa"/>
        </w:tblCellMar>
        <w:tblLook w:val="0000" w:firstRow="0" w:lastRow="0" w:firstColumn="0" w:lastColumn="0" w:noHBand="0" w:noVBand="0"/>
      </w:tblPr>
      <w:tblGrid>
        <w:gridCol w:w="1033"/>
        <w:gridCol w:w="2127"/>
        <w:gridCol w:w="1053"/>
        <w:gridCol w:w="973"/>
        <w:gridCol w:w="4543"/>
        <w:tblGridChange w:id="6124">
          <w:tblGrid>
            <w:gridCol w:w="1033"/>
            <w:gridCol w:w="2127"/>
            <w:gridCol w:w="1053"/>
            <w:gridCol w:w="973"/>
            <w:gridCol w:w="4543"/>
          </w:tblGrid>
        </w:tblGridChange>
      </w:tblGrid>
      <w:tr w:rsidR="00CB0DD7" w:rsidRPr="000A0A5F" w:rsidTr="00FF0AF8">
        <w:tc>
          <w:tcPr>
            <w:tcW w:w="531" w:type="pct"/>
            <w:vMerge w:val="restart"/>
            <w:shd w:val="clear" w:color="auto" w:fill="BFBFBF"/>
            <w:vAlign w:val="center"/>
          </w:tcPr>
          <w:p w:rsidR="00CB0DD7" w:rsidRPr="000A0A5F" w:rsidRDefault="00CB0DD7">
            <w:pPr>
              <w:pStyle w:val="TAH"/>
            </w:pPr>
            <w:r w:rsidRPr="000A0A5F">
              <w:t>Request body</w:t>
            </w:r>
          </w:p>
        </w:tc>
        <w:tc>
          <w:tcPr>
            <w:tcW w:w="1093" w:type="pct"/>
            <w:shd w:val="clear" w:color="auto" w:fill="CCCCCC"/>
          </w:tcPr>
          <w:p w:rsidR="00CB0DD7" w:rsidRPr="000A0A5F" w:rsidRDefault="00CB0DD7">
            <w:pPr>
              <w:pStyle w:val="TAH"/>
            </w:pPr>
            <w:r w:rsidRPr="000A0A5F">
              <w:t>Data type</w:t>
            </w:r>
          </w:p>
        </w:tc>
        <w:tc>
          <w:tcPr>
            <w:tcW w:w="541" w:type="pct"/>
            <w:shd w:val="clear" w:color="auto" w:fill="CCCCCC"/>
          </w:tcPr>
          <w:p w:rsidR="00CB0DD7" w:rsidRPr="000A0A5F" w:rsidRDefault="00CB0DD7">
            <w:pPr>
              <w:pStyle w:val="TAH"/>
            </w:pPr>
            <w:r w:rsidRPr="000A0A5F">
              <w:t>Cardinality</w:t>
            </w:r>
          </w:p>
        </w:tc>
        <w:tc>
          <w:tcPr>
            <w:tcW w:w="2835" w:type="pct"/>
            <w:gridSpan w:val="2"/>
            <w:shd w:val="clear" w:color="auto" w:fill="CCCCCC"/>
          </w:tcPr>
          <w:p w:rsidR="00CB0DD7" w:rsidRPr="000A0A5F" w:rsidRDefault="00CB0DD7">
            <w:pPr>
              <w:pStyle w:val="TAH"/>
            </w:pPr>
            <w:r w:rsidRPr="000A0A5F">
              <w:t>Remarks</w:t>
            </w:r>
          </w:p>
        </w:tc>
      </w:tr>
      <w:tr w:rsidR="00CB0DD7" w:rsidRPr="000A0A5F" w:rsidTr="00FF0AF8">
        <w:tc>
          <w:tcPr>
            <w:tcW w:w="531"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rPr>
                <w:rFonts w:hint="eastAsia"/>
                <w:lang w:eastAsia="zh-CN"/>
              </w:rPr>
              <w:t>none.</w:t>
            </w:r>
          </w:p>
        </w:tc>
        <w:tc>
          <w:tcPr>
            <w:tcW w:w="541" w:type="pct"/>
          </w:tcPr>
          <w:p w:rsidR="00CB0DD7" w:rsidRPr="000A0A5F" w:rsidRDefault="00CB0DD7">
            <w:pPr>
              <w:pStyle w:val="TAL"/>
            </w:pPr>
          </w:p>
        </w:tc>
        <w:tc>
          <w:tcPr>
            <w:tcW w:w="2835" w:type="pct"/>
            <w:gridSpan w:val="2"/>
          </w:tcPr>
          <w:p w:rsidR="00CB0DD7" w:rsidRPr="000A0A5F" w:rsidRDefault="00CB0DD7">
            <w:pPr>
              <w:pStyle w:val="TAL"/>
            </w:pPr>
          </w:p>
        </w:tc>
      </w:tr>
      <w:tr w:rsidR="00CB0DD7" w:rsidRPr="000A0A5F" w:rsidTr="00FF0AF8">
        <w:tc>
          <w:tcPr>
            <w:tcW w:w="531" w:type="pct"/>
            <w:vMerge w:val="restart"/>
            <w:shd w:val="clear" w:color="auto" w:fill="BFBFBF"/>
            <w:vAlign w:val="center"/>
          </w:tcPr>
          <w:p w:rsidR="00CB0DD7" w:rsidRPr="000A0A5F" w:rsidRDefault="00CB0DD7">
            <w:pPr>
              <w:pStyle w:val="TAH"/>
            </w:pPr>
            <w:r w:rsidRPr="000A0A5F">
              <w:t>Response body</w:t>
            </w:r>
          </w:p>
        </w:tc>
        <w:tc>
          <w:tcPr>
            <w:tcW w:w="1093" w:type="pct"/>
            <w:shd w:val="clear" w:color="auto" w:fill="BFBFBF"/>
          </w:tcPr>
          <w:p w:rsidR="00CB0DD7" w:rsidRPr="000A0A5F" w:rsidRDefault="00CB0DD7">
            <w:pPr>
              <w:pStyle w:val="TAH"/>
            </w:pPr>
          </w:p>
          <w:p w:rsidR="00CB0DD7" w:rsidRPr="000A0A5F" w:rsidRDefault="00CB0DD7">
            <w:pPr>
              <w:pStyle w:val="TAH"/>
            </w:pPr>
            <w:r w:rsidRPr="000A0A5F">
              <w:t>Data type</w:t>
            </w:r>
          </w:p>
        </w:tc>
        <w:tc>
          <w:tcPr>
            <w:tcW w:w="541" w:type="pct"/>
            <w:shd w:val="clear" w:color="auto" w:fill="BFBFBF"/>
          </w:tcPr>
          <w:p w:rsidR="00CB0DD7" w:rsidRPr="000A0A5F" w:rsidRDefault="00CB0DD7">
            <w:pPr>
              <w:pStyle w:val="TAH"/>
            </w:pPr>
          </w:p>
          <w:p w:rsidR="00CB0DD7" w:rsidRPr="000A0A5F" w:rsidRDefault="00CB0DD7">
            <w:pPr>
              <w:pStyle w:val="TAH"/>
            </w:pPr>
            <w:r w:rsidRPr="000A0A5F">
              <w:t>Cardinality</w:t>
            </w:r>
          </w:p>
        </w:tc>
        <w:tc>
          <w:tcPr>
            <w:tcW w:w="500" w:type="pct"/>
            <w:shd w:val="clear" w:color="auto" w:fill="BFBFBF"/>
          </w:tcPr>
          <w:p w:rsidR="00CB0DD7" w:rsidRPr="000A0A5F" w:rsidRDefault="00CB0DD7">
            <w:pPr>
              <w:pStyle w:val="TAH"/>
            </w:pPr>
            <w:r w:rsidRPr="000A0A5F">
              <w:t>Response</w:t>
            </w:r>
          </w:p>
          <w:p w:rsidR="00CB0DD7" w:rsidRPr="000A0A5F" w:rsidRDefault="00CB0DD7">
            <w:pPr>
              <w:pStyle w:val="TAH"/>
            </w:pPr>
            <w:r w:rsidRPr="000A0A5F">
              <w:t>codes</w:t>
            </w:r>
          </w:p>
        </w:tc>
        <w:tc>
          <w:tcPr>
            <w:tcW w:w="2335" w:type="pct"/>
            <w:shd w:val="clear" w:color="auto" w:fill="BFBFBF"/>
          </w:tcPr>
          <w:p w:rsidR="00CB0DD7" w:rsidRPr="000A0A5F" w:rsidRDefault="00CB0DD7">
            <w:pPr>
              <w:pStyle w:val="TAH"/>
            </w:pPr>
          </w:p>
          <w:p w:rsidR="00CB0DD7" w:rsidRPr="000A0A5F" w:rsidRDefault="00CB0DD7">
            <w:pPr>
              <w:pStyle w:val="TAH"/>
            </w:pPr>
            <w:r w:rsidRPr="000A0A5F">
              <w:t>Remarks</w:t>
            </w:r>
          </w:p>
        </w:tc>
      </w:tr>
      <w:tr w:rsidR="00CB0DD7" w:rsidRPr="000A0A5F" w:rsidTr="00FF0AF8">
        <w:tc>
          <w:tcPr>
            <w:tcW w:w="531"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rPr>
                <w:lang w:eastAsia="zh-CN"/>
              </w:rPr>
              <w:t>array(</w:t>
            </w:r>
            <w:r w:rsidRPr="000A0A5F">
              <w:rPr>
                <w:rFonts w:hint="eastAsia"/>
                <w:lang w:eastAsia="zh-CN"/>
              </w:rPr>
              <w:t>ServiceCreation</w:t>
            </w:r>
            <w:r w:rsidRPr="000A0A5F">
              <w:rPr>
                <w:lang w:eastAsia="zh-CN"/>
              </w:rPr>
              <w:t>)</w:t>
            </w:r>
          </w:p>
        </w:tc>
        <w:tc>
          <w:tcPr>
            <w:tcW w:w="541" w:type="pct"/>
          </w:tcPr>
          <w:p w:rsidR="00CB0DD7" w:rsidRPr="000A0A5F" w:rsidRDefault="00CB0DD7">
            <w:pPr>
              <w:pStyle w:val="TAL"/>
              <w:rPr>
                <w:rFonts w:hint="eastAsia"/>
                <w:lang w:eastAsia="zh-CN"/>
              </w:rPr>
            </w:pPr>
            <w:r w:rsidRPr="000A0A5F">
              <w:rPr>
                <w:rFonts w:hint="eastAsia"/>
                <w:lang w:eastAsia="zh-CN"/>
              </w:rPr>
              <w:t>0..N</w:t>
            </w:r>
          </w:p>
        </w:tc>
        <w:tc>
          <w:tcPr>
            <w:tcW w:w="500" w:type="pct"/>
          </w:tcPr>
          <w:p w:rsidR="00CB0DD7" w:rsidRPr="000A0A5F" w:rsidRDefault="00CB0DD7">
            <w:pPr>
              <w:pStyle w:val="TAL"/>
              <w:rPr>
                <w:rFonts w:hint="eastAsia"/>
                <w:lang w:eastAsia="zh-CN"/>
              </w:rPr>
            </w:pPr>
            <w:r w:rsidRPr="000A0A5F">
              <w:rPr>
                <w:rFonts w:hint="eastAsia"/>
                <w:lang w:eastAsia="zh-CN"/>
              </w:rPr>
              <w:t>2</w:t>
            </w:r>
            <w:r w:rsidRPr="000A0A5F">
              <w:rPr>
                <w:lang w:eastAsia="zh-CN"/>
              </w:rPr>
              <w:t>00 OK</w:t>
            </w:r>
          </w:p>
        </w:tc>
        <w:tc>
          <w:tcPr>
            <w:tcW w:w="2335" w:type="pct"/>
          </w:tcPr>
          <w:p w:rsidR="00CB0DD7" w:rsidRPr="000A0A5F" w:rsidRDefault="00CB0DD7">
            <w:pPr>
              <w:pStyle w:val="TF"/>
              <w:jc w:val="left"/>
              <w:rPr>
                <w:rFonts w:hint="eastAsia"/>
                <w:lang w:eastAsia="zh-CN"/>
              </w:rPr>
            </w:pPr>
            <w:r w:rsidRPr="000A0A5F">
              <w:rPr>
                <w:rFonts w:hint="eastAsia"/>
                <w:b w:val="0"/>
                <w:sz w:val="18"/>
                <w:lang w:eastAsia="zh-CN"/>
              </w:rPr>
              <w:t xml:space="preserve">The </w:t>
            </w:r>
            <w:r w:rsidRPr="000A0A5F">
              <w:rPr>
                <w:b w:val="0"/>
                <w:sz w:val="18"/>
                <w:lang w:eastAsia="zh-CN"/>
              </w:rPr>
              <w:t xml:space="preserve">service resource </w:t>
            </w:r>
            <w:r w:rsidRPr="000A0A5F">
              <w:rPr>
                <w:rFonts w:hint="eastAsia"/>
                <w:b w:val="0"/>
                <w:sz w:val="18"/>
                <w:lang w:eastAsia="zh-CN"/>
              </w:rPr>
              <w:t xml:space="preserve">for the SCS/AS in the </w:t>
            </w:r>
            <w:r w:rsidRPr="000A0A5F">
              <w:rPr>
                <w:b w:val="0"/>
                <w:sz w:val="18"/>
                <w:lang w:eastAsia="zh-CN"/>
              </w:rPr>
              <w:t>request</w:t>
            </w:r>
            <w:r w:rsidRPr="000A0A5F">
              <w:rPr>
                <w:rFonts w:hint="eastAsia"/>
                <w:b w:val="0"/>
                <w:sz w:val="18"/>
                <w:lang w:eastAsia="zh-CN"/>
              </w:rPr>
              <w:t xml:space="preserve"> </w:t>
            </w:r>
            <w:r w:rsidRPr="000A0A5F">
              <w:rPr>
                <w:b w:val="0"/>
                <w:sz w:val="18"/>
                <w:lang w:eastAsia="zh-CN"/>
              </w:rPr>
              <w:t>URI is returned.</w:t>
            </w:r>
          </w:p>
        </w:tc>
      </w:tr>
      <w:tr w:rsidR="00CB0DD7" w:rsidRPr="000A0A5F" w:rsidTr="00FF0AF8">
        <w:tc>
          <w:tcPr>
            <w:tcW w:w="531"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lang w:eastAsia="zh-CN"/>
              </w:rPr>
            </w:pPr>
            <w:r w:rsidRPr="000A0A5F">
              <w:t>none</w:t>
            </w:r>
          </w:p>
        </w:tc>
        <w:tc>
          <w:tcPr>
            <w:tcW w:w="541" w:type="pct"/>
          </w:tcPr>
          <w:p w:rsidR="00CB0DD7" w:rsidRPr="000A0A5F" w:rsidRDefault="00CB0DD7">
            <w:pPr>
              <w:pStyle w:val="TAL"/>
              <w:rPr>
                <w:rFonts w:hint="eastAsia"/>
                <w:lang w:eastAsia="zh-CN"/>
              </w:rPr>
            </w:pPr>
          </w:p>
        </w:tc>
        <w:tc>
          <w:tcPr>
            <w:tcW w:w="500" w:type="pct"/>
          </w:tcPr>
          <w:p w:rsidR="00CB0DD7" w:rsidRPr="000A0A5F" w:rsidRDefault="00CB0DD7">
            <w:pPr>
              <w:pStyle w:val="TAL"/>
              <w:rPr>
                <w:rFonts w:hint="eastAsia"/>
                <w:lang w:eastAsia="zh-CN"/>
              </w:rPr>
            </w:pPr>
            <w:r w:rsidRPr="000A0A5F">
              <w:t>307 Temporary Redirect</w:t>
            </w:r>
          </w:p>
        </w:tc>
        <w:tc>
          <w:tcPr>
            <w:tcW w:w="2335" w:type="pct"/>
          </w:tcPr>
          <w:p w:rsidR="00CB0DD7" w:rsidRPr="000A0A5F" w:rsidRDefault="00CB0DD7">
            <w:pPr>
              <w:pStyle w:val="TAL"/>
            </w:pPr>
            <w:r w:rsidRPr="000A0A5F">
              <w:t xml:space="preserve">Temporary redirection, during </w:t>
            </w:r>
            <w:r w:rsidRPr="000A0A5F">
              <w:rPr>
                <w:rFonts w:hint="eastAsia"/>
                <w:lang w:eastAsia="zh-CN"/>
              </w:rPr>
              <w:t>resource</w:t>
            </w:r>
            <w:r w:rsidRPr="000A0A5F">
              <w:t xml:space="preserve"> retrieval. The response shall include a Location header field containing an alternative URI of the resource located in an alternative SCEF.</w:t>
            </w:r>
          </w:p>
          <w:p w:rsidR="00CB0DD7" w:rsidRPr="000A0A5F" w:rsidRDefault="00CB0DD7">
            <w:pPr>
              <w:pStyle w:val="TF"/>
              <w:jc w:val="left"/>
              <w:rPr>
                <w:rFonts w:hint="eastAsia"/>
                <w:b w:val="0"/>
                <w:sz w:val="18"/>
                <w:lang w:eastAsia="zh-CN"/>
              </w:rPr>
            </w:pPr>
            <w:r w:rsidRPr="000A0A5F">
              <w:rPr>
                <w:b w:val="0"/>
                <w:sz w:val="18"/>
              </w:rPr>
              <w:t>Redirection handling is described in clause 5.2.10.</w:t>
            </w:r>
          </w:p>
        </w:tc>
      </w:tr>
      <w:tr w:rsidR="00CB0DD7" w:rsidRPr="000A0A5F" w:rsidTr="00FF0AF8">
        <w:tc>
          <w:tcPr>
            <w:tcW w:w="531"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lang w:eastAsia="zh-CN"/>
              </w:rPr>
            </w:pPr>
            <w:r w:rsidRPr="000A0A5F">
              <w:t>none</w:t>
            </w:r>
          </w:p>
        </w:tc>
        <w:tc>
          <w:tcPr>
            <w:tcW w:w="541" w:type="pct"/>
          </w:tcPr>
          <w:p w:rsidR="00CB0DD7" w:rsidRPr="000A0A5F" w:rsidRDefault="00CB0DD7">
            <w:pPr>
              <w:pStyle w:val="TAL"/>
              <w:rPr>
                <w:rFonts w:hint="eastAsia"/>
                <w:lang w:eastAsia="zh-CN"/>
              </w:rPr>
            </w:pPr>
          </w:p>
        </w:tc>
        <w:tc>
          <w:tcPr>
            <w:tcW w:w="500" w:type="pct"/>
          </w:tcPr>
          <w:p w:rsidR="00CB0DD7" w:rsidRPr="000A0A5F" w:rsidRDefault="00CB0DD7">
            <w:pPr>
              <w:pStyle w:val="TAL"/>
              <w:rPr>
                <w:rFonts w:hint="eastAsia"/>
                <w:lang w:eastAsia="zh-CN"/>
              </w:rPr>
            </w:pPr>
            <w:r w:rsidRPr="000A0A5F">
              <w:t>308 Permanent Redirect</w:t>
            </w:r>
          </w:p>
        </w:tc>
        <w:tc>
          <w:tcPr>
            <w:tcW w:w="2335" w:type="pct"/>
          </w:tcPr>
          <w:p w:rsidR="00CB0DD7" w:rsidRPr="000A0A5F" w:rsidRDefault="00CB0DD7">
            <w:pPr>
              <w:pStyle w:val="TAL"/>
            </w:pPr>
            <w:r w:rsidRPr="000A0A5F">
              <w:t xml:space="preserve">Permanent redirection, during </w:t>
            </w:r>
            <w:r w:rsidRPr="000A0A5F">
              <w:rPr>
                <w:rFonts w:hint="eastAsia"/>
                <w:lang w:eastAsia="zh-CN"/>
              </w:rPr>
              <w:t>resource</w:t>
            </w:r>
            <w:r w:rsidRPr="000A0A5F">
              <w:t xml:space="preserve"> retrieval. The response shall include a Location header field containing an alternative URI of the resource located in an alternative SCEF.</w:t>
            </w:r>
          </w:p>
          <w:p w:rsidR="00CB0DD7" w:rsidRPr="000A0A5F" w:rsidRDefault="00CB0DD7">
            <w:pPr>
              <w:pStyle w:val="TF"/>
              <w:jc w:val="left"/>
              <w:rPr>
                <w:rFonts w:hint="eastAsia"/>
                <w:b w:val="0"/>
                <w:sz w:val="18"/>
                <w:lang w:eastAsia="zh-CN"/>
              </w:rPr>
            </w:pPr>
            <w:r w:rsidRPr="000A0A5F">
              <w:rPr>
                <w:b w:val="0"/>
                <w:sz w:val="18"/>
              </w:rPr>
              <w:t>Redirection handling is described in clause 5.2.10.</w:t>
            </w:r>
          </w:p>
        </w:tc>
      </w:tr>
      <w:tr w:rsidR="00CB0DD7" w:rsidRPr="000A0A5F" w:rsidTr="00FF0AF8">
        <w:tc>
          <w:tcPr>
            <w:tcW w:w="5000" w:type="pct"/>
            <w:gridSpan w:val="5"/>
            <w:shd w:val="clear" w:color="auto" w:fill="auto"/>
            <w:vAlign w:val="center"/>
          </w:tcPr>
          <w:p w:rsidR="00CB0DD7" w:rsidRPr="000A0A5F" w:rsidRDefault="00CB0DD7">
            <w:pPr>
              <w:pStyle w:val="TAN"/>
            </w:pPr>
            <w:r w:rsidRPr="000A0A5F">
              <w:t>NOTE:</w:t>
            </w:r>
            <w:r w:rsidRPr="000A0A5F">
              <w:tab/>
              <w:t>The mandatory HTTP error status codes for the GET method listed in table 5.2.6-1 also apply.</w:t>
            </w:r>
          </w:p>
        </w:tc>
      </w:tr>
    </w:tbl>
    <w:p w:rsidR="00CB0DD7" w:rsidRPr="000A0A5F" w:rsidRDefault="00CB0DD7"/>
    <w:p w:rsidR="00CB0DD7" w:rsidRPr="000A0A5F" w:rsidRDefault="00CB0DD7">
      <w:pPr>
        <w:pStyle w:val="TH"/>
      </w:pPr>
      <w:r w:rsidRPr="000A0A5F">
        <w:t>Table 5.</w:t>
      </w:r>
      <w:r w:rsidRPr="000A0A5F">
        <w:rPr>
          <w:lang w:eastAsia="zh-CN"/>
        </w:rPr>
        <w:t>8</w:t>
      </w:r>
      <w:r w:rsidRPr="000A0A5F">
        <w:t>.</w:t>
      </w:r>
      <w:r w:rsidRPr="000A0A5F">
        <w:rPr>
          <w:rFonts w:hint="eastAsia"/>
          <w:lang w:eastAsia="zh-CN"/>
        </w:rPr>
        <w:t>3</w:t>
      </w:r>
      <w:r w:rsidRPr="000A0A5F">
        <w:t>.2.2.3.</w:t>
      </w:r>
      <w:r w:rsidRPr="000A0A5F">
        <w:rPr>
          <w:lang w:eastAsia="zh-CN"/>
        </w:rPr>
        <w:t>1</w:t>
      </w:r>
      <w:r w:rsidRPr="000A0A5F">
        <w:t>-2: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CB0DD7">
      <w:pPr>
        <w:pStyle w:val="TH"/>
      </w:pPr>
      <w:r w:rsidRPr="000A0A5F">
        <w:t>Table 5.</w:t>
      </w:r>
      <w:r w:rsidRPr="000A0A5F">
        <w:rPr>
          <w:lang w:eastAsia="zh-CN"/>
        </w:rPr>
        <w:t>8</w:t>
      </w:r>
      <w:r w:rsidRPr="000A0A5F">
        <w:t>.</w:t>
      </w:r>
      <w:r w:rsidRPr="000A0A5F">
        <w:rPr>
          <w:rFonts w:hint="eastAsia"/>
          <w:lang w:eastAsia="zh-CN"/>
        </w:rPr>
        <w:t>3</w:t>
      </w:r>
      <w:r w:rsidRPr="000A0A5F">
        <w:t>.2.2.3.</w:t>
      </w:r>
      <w:r w:rsidRPr="000A0A5F">
        <w:rPr>
          <w:lang w:eastAsia="zh-CN"/>
        </w:rPr>
        <w:t>1</w:t>
      </w:r>
      <w:r w:rsidRPr="000A0A5F">
        <w:t>-3: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CB0DD7">
      <w:pPr>
        <w:pStyle w:val="Heading7"/>
      </w:pPr>
      <w:bookmarkStart w:id="6125" w:name="_Toc11247636"/>
      <w:bookmarkStart w:id="6126" w:name="_Toc27044775"/>
      <w:bookmarkStart w:id="6127" w:name="_Toc36033817"/>
      <w:bookmarkStart w:id="6128" w:name="_Toc45131963"/>
      <w:bookmarkStart w:id="6129" w:name="_Toc49776248"/>
      <w:bookmarkStart w:id="6130" w:name="_Toc51747168"/>
      <w:bookmarkStart w:id="6131" w:name="_Toc66360735"/>
      <w:bookmarkStart w:id="6132" w:name="_Toc68105240"/>
      <w:bookmarkStart w:id="6133" w:name="_Toc74755870"/>
      <w:bookmarkStart w:id="6134" w:name="_Toc105674745"/>
      <w:bookmarkStart w:id="6135" w:name="_Toc130502801"/>
      <w:bookmarkStart w:id="6136" w:name="_Toc153625588"/>
      <w:r w:rsidRPr="000A0A5F">
        <w:t>5.8.3.2.2.3.2</w:t>
      </w:r>
      <w:r w:rsidRPr="000A0A5F">
        <w:tab/>
        <w:t>PUT</w:t>
      </w:r>
      <w:bookmarkEnd w:id="6125"/>
      <w:bookmarkEnd w:id="6126"/>
      <w:bookmarkEnd w:id="6127"/>
      <w:bookmarkEnd w:id="6128"/>
      <w:bookmarkEnd w:id="6129"/>
      <w:bookmarkEnd w:id="6130"/>
      <w:bookmarkEnd w:id="6131"/>
      <w:bookmarkEnd w:id="6132"/>
      <w:bookmarkEnd w:id="6133"/>
      <w:bookmarkEnd w:id="6134"/>
      <w:bookmarkEnd w:id="6135"/>
      <w:bookmarkEnd w:id="6136"/>
    </w:p>
    <w:p w:rsidR="00CB0DD7" w:rsidRPr="000A0A5F" w:rsidRDefault="00CB0DD7">
      <w:r w:rsidRPr="000A0A5F">
        <w:rPr>
          <w:rFonts w:hint="eastAsia"/>
          <w:lang w:eastAsia="zh-CN"/>
        </w:rPr>
        <w:t xml:space="preserve">This </w:t>
      </w:r>
      <w:r w:rsidRPr="000A0A5F">
        <w:rPr>
          <w:lang w:eastAsia="zh-CN"/>
        </w:rPr>
        <w:t>HTTP method is not supported for the resource.</w:t>
      </w:r>
    </w:p>
    <w:p w:rsidR="00CB0DD7" w:rsidRPr="000A0A5F" w:rsidRDefault="00CB0DD7">
      <w:pPr>
        <w:pStyle w:val="Heading7"/>
      </w:pPr>
      <w:bookmarkStart w:id="6137" w:name="_Toc11247637"/>
      <w:bookmarkStart w:id="6138" w:name="_Toc27044776"/>
      <w:bookmarkStart w:id="6139" w:name="_Toc36033818"/>
      <w:bookmarkStart w:id="6140" w:name="_Toc45131964"/>
      <w:bookmarkStart w:id="6141" w:name="_Toc49776249"/>
      <w:bookmarkStart w:id="6142" w:name="_Toc51747169"/>
      <w:bookmarkStart w:id="6143" w:name="_Toc66360736"/>
      <w:bookmarkStart w:id="6144" w:name="_Toc68105241"/>
      <w:bookmarkStart w:id="6145" w:name="_Toc74755871"/>
      <w:bookmarkStart w:id="6146" w:name="_Toc105674746"/>
      <w:bookmarkStart w:id="6147" w:name="_Toc130502802"/>
      <w:bookmarkStart w:id="6148" w:name="_Toc153625589"/>
      <w:r w:rsidRPr="000A0A5F">
        <w:t>5.8.3.2.2.3.3</w:t>
      </w:r>
      <w:r w:rsidRPr="000A0A5F">
        <w:tab/>
        <w:t>PATCH</w:t>
      </w:r>
      <w:bookmarkEnd w:id="6137"/>
      <w:bookmarkEnd w:id="6138"/>
      <w:bookmarkEnd w:id="6139"/>
      <w:bookmarkEnd w:id="6140"/>
      <w:bookmarkEnd w:id="6141"/>
      <w:bookmarkEnd w:id="6142"/>
      <w:bookmarkEnd w:id="6143"/>
      <w:bookmarkEnd w:id="6144"/>
      <w:bookmarkEnd w:id="6145"/>
      <w:bookmarkEnd w:id="6146"/>
      <w:bookmarkEnd w:id="6147"/>
      <w:bookmarkEnd w:id="6148"/>
    </w:p>
    <w:p w:rsidR="00CB0DD7" w:rsidRPr="000A0A5F" w:rsidRDefault="00CB0DD7">
      <w:r w:rsidRPr="000A0A5F">
        <w:rPr>
          <w:rFonts w:hint="eastAsia"/>
          <w:lang w:eastAsia="zh-CN"/>
        </w:rPr>
        <w:t xml:space="preserve">This </w:t>
      </w:r>
      <w:r w:rsidRPr="000A0A5F">
        <w:rPr>
          <w:lang w:eastAsia="zh-CN"/>
        </w:rPr>
        <w:t>HTTP method is not supported for the resource.</w:t>
      </w:r>
    </w:p>
    <w:p w:rsidR="00CB0DD7" w:rsidRPr="000A0A5F" w:rsidRDefault="00CB0DD7">
      <w:pPr>
        <w:pStyle w:val="Heading7"/>
      </w:pPr>
      <w:bookmarkStart w:id="6149" w:name="_Toc11247638"/>
      <w:bookmarkStart w:id="6150" w:name="_Toc27044777"/>
      <w:bookmarkStart w:id="6151" w:name="_Toc36033819"/>
      <w:bookmarkStart w:id="6152" w:name="_Toc45131965"/>
      <w:bookmarkStart w:id="6153" w:name="_Toc49776250"/>
      <w:bookmarkStart w:id="6154" w:name="_Toc51747170"/>
      <w:bookmarkStart w:id="6155" w:name="_Toc66360737"/>
      <w:bookmarkStart w:id="6156" w:name="_Toc68105242"/>
      <w:bookmarkStart w:id="6157" w:name="_Toc74755872"/>
      <w:bookmarkStart w:id="6158" w:name="_Toc105674747"/>
      <w:bookmarkStart w:id="6159" w:name="_Toc130502803"/>
      <w:bookmarkStart w:id="6160" w:name="_Toc153625590"/>
      <w:r w:rsidRPr="000A0A5F">
        <w:t>5.8.3.2.2.3.4</w:t>
      </w:r>
      <w:r w:rsidRPr="000A0A5F">
        <w:tab/>
        <w:t>POST</w:t>
      </w:r>
      <w:bookmarkEnd w:id="6149"/>
      <w:bookmarkEnd w:id="6150"/>
      <w:bookmarkEnd w:id="6151"/>
      <w:bookmarkEnd w:id="6152"/>
      <w:bookmarkEnd w:id="6153"/>
      <w:bookmarkEnd w:id="6154"/>
      <w:bookmarkEnd w:id="6155"/>
      <w:bookmarkEnd w:id="6156"/>
      <w:bookmarkEnd w:id="6157"/>
      <w:bookmarkEnd w:id="6158"/>
      <w:bookmarkEnd w:id="6159"/>
      <w:bookmarkEnd w:id="6160"/>
    </w:p>
    <w:p w:rsidR="00CB0DD7" w:rsidRPr="000A0A5F" w:rsidRDefault="00CB0DD7">
      <w:pPr>
        <w:rPr>
          <w:noProof/>
          <w:lang w:eastAsia="zh-CN"/>
        </w:rPr>
      </w:pPr>
      <w:r w:rsidRPr="000A0A5F">
        <w:rPr>
          <w:noProof/>
          <w:lang w:eastAsia="zh-CN"/>
        </w:rPr>
        <w:t xml:space="preserve">The POST method creates a new service resource for a given SCS/AS. It is initiated by the SCS/AS and answered by the SCEF. </w:t>
      </w:r>
    </w:p>
    <w:p w:rsidR="00CB0DD7" w:rsidRPr="000A0A5F" w:rsidRDefault="00CB0DD7">
      <w:pPr>
        <w:rPr>
          <w:rFonts w:hint="eastAsia"/>
          <w:lang w:eastAsia="zh-CN"/>
        </w:rPr>
      </w:pPr>
      <w:r w:rsidRPr="000A0A5F">
        <w:t>This method shall support request and response data structures, and response codes, as specified in the table 5.8.3.2.2.3.4-1.</w:t>
      </w:r>
    </w:p>
    <w:p w:rsidR="00CB0DD7" w:rsidRPr="000A0A5F" w:rsidRDefault="00CB0DD7">
      <w:pPr>
        <w:pStyle w:val="TH"/>
        <w:rPr>
          <w:rFonts w:hint="eastAsia"/>
          <w:lang w:eastAsia="zh-CN"/>
        </w:rPr>
      </w:pPr>
      <w:r w:rsidRPr="000A0A5F">
        <w:t>Table 5.</w:t>
      </w:r>
      <w:r w:rsidRPr="000A0A5F">
        <w:rPr>
          <w:lang w:eastAsia="zh-CN"/>
        </w:rPr>
        <w:t>8</w:t>
      </w:r>
      <w:r w:rsidRPr="000A0A5F">
        <w:t>.</w:t>
      </w:r>
      <w:r w:rsidRPr="000A0A5F">
        <w:rPr>
          <w:rFonts w:hint="eastAsia"/>
          <w:lang w:eastAsia="zh-CN"/>
        </w:rPr>
        <w:t>3</w:t>
      </w:r>
      <w:r w:rsidRPr="000A0A5F">
        <w:t>.2.2.3.</w:t>
      </w:r>
      <w:r w:rsidRPr="000A0A5F">
        <w:rPr>
          <w:rFonts w:hint="eastAsia"/>
          <w:lang w:eastAsia="zh-CN"/>
        </w:rPr>
        <w:t>4-1</w:t>
      </w:r>
      <w:r w:rsidRPr="000A0A5F">
        <w:t>: Data structures supported by the POST request/response by the resource</w:t>
      </w:r>
    </w:p>
    <w:tbl>
      <w:tblPr>
        <w:tblW w:w="4999" w:type="pct"/>
        <w:tblInd w:w="1" w:type="dxa"/>
        <w:tblBorders>
          <w:top w:val="single" w:sz="6" w:space="0" w:color="000000"/>
          <w:left w:val="single" w:sz="6" w:space="0" w:color="000000"/>
          <w:bottom w:val="single" w:sz="6" w:space="0" w:color="000000"/>
          <w:right w:val="single" w:sz="6" w:space="0" w:color="000000"/>
          <w:insideH w:val="single" w:sz="6" w:space="0" w:color="auto"/>
          <w:insideV w:val="single" w:sz="6" w:space="0" w:color="000000"/>
        </w:tblBorders>
        <w:tblLayout w:type="fixed"/>
        <w:tblCellMar>
          <w:top w:w="45" w:type="dxa"/>
          <w:left w:w="45" w:type="dxa"/>
          <w:bottom w:w="45" w:type="dxa"/>
          <w:right w:w="45" w:type="dxa"/>
        </w:tblCellMar>
        <w:tblLook w:val="0000" w:firstRow="0" w:lastRow="0" w:firstColumn="0" w:lastColumn="0" w:noHBand="0" w:noVBand="0"/>
      </w:tblPr>
      <w:tblGrid>
        <w:gridCol w:w="1033"/>
        <w:gridCol w:w="2127"/>
        <w:gridCol w:w="1053"/>
        <w:gridCol w:w="973"/>
        <w:gridCol w:w="4543"/>
        <w:tblGridChange w:id="6161">
          <w:tblGrid>
            <w:gridCol w:w="1033"/>
            <w:gridCol w:w="2127"/>
            <w:gridCol w:w="1053"/>
            <w:gridCol w:w="973"/>
            <w:gridCol w:w="4543"/>
          </w:tblGrid>
        </w:tblGridChange>
      </w:tblGrid>
      <w:tr w:rsidR="00CB0DD7" w:rsidRPr="000A0A5F" w:rsidTr="00790FC9">
        <w:tc>
          <w:tcPr>
            <w:tcW w:w="531" w:type="pct"/>
            <w:vMerge w:val="restart"/>
            <w:shd w:val="clear" w:color="auto" w:fill="C0C0C0"/>
            <w:vAlign w:val="center"/>
          </w:tcPr>
          <w:p w:rsidR="00CB0DD7" w:rsidRPr="000A0A5F" w:rsidRDefault="00CB0DD7">
            <w:pPr>
              <w:pStyle w:val="TAH"/>
            </w:pPr>
            <w:r w:rsidRPr="000A0A5F">
              <w:t>Request body</w:t>
            </w:r>
          </w:p>
        </w:tc>
        <w:tc>
          <w:tcPr>
            <w:tcW w:w="1093" w:type="pct"/>
            <w:shd w:val="clear" w:color="auto" w:fill="C0C0C0"/>
          </w:tcPr>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r w:rsidRPr="000A0A5F">
              <w:t>Cardinality</w:t>
            </w:r>
          </w:p>
        </w:tc>
        <w:tc>
          <w:tcPr>
            <w:tcW w:w="2835" w:type="pct"/>
            <w:gridSpan w:val="2"/>
            <w:shd w:val="clear" w:color="auto" w:fill="C0C0C0"/>
          </w:tcPr>
          <w:p w:rsidR="00CB0DD7" w:rsidRPr="000A0A5F" w:rsidRDefault="00CB0DD7">
            <w:pPr>
              <w:pStyle w:val="TAH"/>
            </w:pPr>
            <w:r w:rsidRPr="000A0A5F">
              <w:t>Remarks</w:t>
            </w:r>
          </w:p>
        </w:tc>
      </w:tr>
      <w:tr w:rsidR="00CB0DD7" w:rsidRPr="000A0A5F" w:rsidTr="00FF0AF8">
        <w:tc>
          <w:tcPr>
            <w:tcW w:w="531"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rPr>
                <w:lang w:eastAsia="zh-CN"/>
              </w:rPr>
              <w:t>ServiceCreation</w:t>
            </w:r>
          </w:p>
        </w:tc>
        <w:tc>
          <w:tcPr>
            <w:tcW w:w="541" w:type="pct"/>
          </w:tcPr>
          <w:p w:rsidR="00CB0DD7" w:rsidRPr="000A0A5F" w:rsidRDefault="00CB0DD7">
            <w:pPr>
              <w:pStyle w:val="TAL"/>
            </w:pPr>
            <w:r w:rsidRPr="000A0A5F">
              <w:t>1</w:t>
            </w:r>
          </w:p>
        </w:tc>
        <w:tc>
          <w:tcPr>
            <w:tcW w:w="2835" w:type="pct"/>
            <w:gridSpan w:val="2"/>
          </w:tcPr>
          <w:p w:rsidR="00CB0DD7" w:rsidRPr="000A0A5F" w:rsidRDefault="00CB0DD7">
            <w:pPr>
              <w:pStyle w:val="TF"/>
              <w:jc w:val="left"/>
            </w:pPr>
            <w:r w:rsidRPr="000A0A5F">
              <w:rPr>
                <w:b w:val="0"/>
                <w:sz w:val="18"/>
                <w:lang w:eastAsia="zh-CN"/>
              </w:rPr>
              <w:t xml:space="preserve">Parameters to </w:t>
            </w:r>
            <w:r w:rsidRPr="000A0A5F">
              <w:rPr>
                <w:rFonts w:hint="eastAsia"/>
                <w:b w:val="0"/>
                <w:sz w:val="18"/>
                <w:lang w:eastAsia="zh-CN"/>
              </w:rPr>
              <w:t xml:space="preserve">create and authorize a </w:t>
            </w:r>
            <w:r w:rsidRPr="000A0A5F">
              <w:rPr>
                <w:b w:val="0"/>
                <w:sz w:val="18"/>
                <w:lang w:eastAsia="zh-CN"/>
              </w:rPr>
              <w:t>service with the SCEF.</w:t>
            </w:r>
          </w:p>
        </w:tc>
      </w:tr>
      <w:tr w:rsidR="00CB0DD7" w:rsidRPr="000A0A5F" w:rsidTr="00790FC9">
        <w:tc>
          <w:tcPr>
            <w:tcW w:w="531" w:type="pct"/>
            <w:vMerge w:val="restart"/>
            <w:shd w:val="clear" w:color="auto" w:fill="C0C0C0"/>
            <w:vAlign w:val="center"/>
          </w:tcPr>
          <w:p w:rsidR="00CB0DD7" w:rsidRPr="000A0A5F" w:rsidRDefault="00CB0DD7">
            <w:pPr>
              <w:pStyle w:val="TAH"/>
            </w:pPr>
            <w:r w:rsidRPr="000A0A5F">
              <w:t>Response body</w:t>
            </w:r>
          </w:p>
        </w:tc>
        <w:tc>
          <w:tcPr>
            <w:tcW w:w="1093" w:type="pct"/>
            <w:shd w:val="clear" w:color="auto" w:fill="C0C0C0"/>
          </w:tcPr>
          <w:p w:rsidR="00CB0DD7" w:rsidRPr="000A0A5F" w:rsidRDefault="00CB0DD7">
            <w:pPr>
              <w:pStyle w:val="TAH"/>
            </w:pPr>
          </w:p>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p>
          <w:p w:rsidR="00CB0DD7" w:rsidRPr="000A0A5F" w:rsidRDefault="00CB0DD7">
            <w:pPr>
              <w:pStyle w:val="TAH"/>
            </w:pPr>
            <w:r w:rsidRPr="000A0A5F">
              <w:t>Cardinality</w:t>
            </w:r>
          </w:p>
        </w:tc>
        <w:tc>
          <w:tcPr>
            <w:tcW w:w="500" w:type="pct"/>
            <w:shd w:val="clear" w:color="auto" w:fill="C0C0C0"/>
          </w:tcPr>
          <w:p w:rsidR="00CB0DD7" w:rsidRPr="000A0A5F" w:rsidRDefault="00CB0DD7">
            <w:pPr>
              <w:pStyle w:val="TAH"/>
            </w:pPr>
            <w:r w:rsidRPr="000A0A5F">
              <w:t>Response</w:t>
            </w:r>
          </w:p>
          <w:p w:rsidR="00CB0DD7" w:rsidRPr="000A0A5F" w:rsidRDefault="00CB0DD7">
            <w:pPr>
              <w:pStyle w:val="TAH"/>
            </w:pPr>
            <w:r w:rsidRPr="000A0A5F">
              <w:t>codes</w:t>
            </w:r>
          </w:p>
        </w:tc>
        <w:tc>
          <w:tcPr>
            <w:tcW w:w="2335" w:type="pct"/>
            <w:shd w:val="clear" w:color="auto" w:fill="C0C0C0"/>
          </w:tcPr>
          <w:p w:rsidR="00CB0DD7" w:rsidRPr="000A0A5F" w:rsidRDefault="00CB0DD7">
            <w:pPr>
              <w:pStyle w:val="TAH"/>
            </w:pPr>
          </w:p>
          <w:p w:rsidR="00CB0DD7" w:rsidRPr="000A0A5F" w:rsidRDefault="00CB0DD7">
            <w:pPr>
              <w:pStyle w:val="TAH"/>
            </w:pPr>
            <w:r w:rsidRPr="000A0A5F">
              <w:t>Remarks</w:t>
            </w:r>
          </w:p>
        </w:tc>
      </w:tr>
      <w:tr w:rsidR="00CB0DD7" w:rsidRPr="000A0A5F" w:rsidTr="00FF0AF8">
        <w:tc>
          <w:tcPr>
            <w:tcW w:w="531"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rPr>
                <w:rFonts w:hint="eastAsia"/>
                <w:lang w:eastAsia="zh-CN"/>
              </w:rPr>
              <w:t>ServiceCreation</w:t>
            </w:r>
          </w:p>
        </w:tc>
        <w:tc>
          <w:tcPr>
            <w:tcW w:w="541" w:type="pct"/>
          </w:tcPr>
          <w:p w:rsidR="00CB0DD7" w:rsidRPr="000A0A5F" w:rsidRDefault="00CB0DD7">
            <w:pPr>
              <w:pStyle w:val="TAL"/>
              <w:rPr>
                <w:rFonts w:hint="eastAsia"/>
                <w:lang w:eastAsia="zh-CN"/>
              </w:rPr>
            </w:pPr>
            <w:r w:rsidRPr="000A0A5F">
              <w:rPr>
                <w:rFonts w:hint="eastAsia"/>
                <w:lang w:eastAsia="zh-CN"/>
              </w:rPr>
              <w:t>1</w:t>
            </w:r>
          </w:p>
        </w:tc>
        <w:tc>
          <w:tcPr>
            <w:tcW w:w="500" w:type="pct"/>
          </w:tcPr>
          <w:p w:rsidR="00CB0DD7" w:rsidRPr="000A0A5F" w:rsidRDefault="00CB0DD7">
            <w:pPr>
              <w:pStyle w:val="TAL"/>
            </w:pPr>
            <w:r w:rsidRPr="000A0A5F">
              <w:t>201 Created</w:t>
            </w:r>
          </w:p>
        </w:tc>
        <w:tc>
          <w:tcPr>
            <w:tcW w:w="2335" w:type="pct"/>
          </w:tcPr>
          <w:p w:rsidR="00CB0DD7" w:rsidRPr="000A0A5F" w:rsidRDefault="00CB0DD7">
            <w:pPr>
              <w:pStyle w:val="TAL"/>
            </w:pPr>
            <w:r w:rsidRPr="000A0A5F">
              <w:t xml:space="preserve">The resource of a service was created successfully. </w:t>
            </w:r>
          </w:p>
          <w:p w:rsidR="006E33A8" w:rsidRPr="000A0A5F" w:rsidRDefault="006E33A8" w:rsidP="006E33A8">
            <w:pPr>
              <w:pStyle w:val="TAL"/>
              <w:spacing w:beforeLines="50" w:before="120"/>
            </w:pPr>
            <w:r w:rsidRPr="000A0A5F">
              <w:t xml:space="preserve">The SCEF </w:t>
            </w:r>
            <w:r w:rsidRPr="000A0A5F">
              <w:rPr>
                <w:rFonts w:hint="eastAsia"/>
                <w:lang w:eastAsia="zh-CN"/>
              </w:rPr>
              <w:t>shall</w:t>
            </w:r>
            <w:r w:rsidRPr="000A0A5F">
              <w:t xml:space="preserve"> return a data structure of type </w:t>
            </w:r>
            <w:r w:rsidRPr="000A0A5F">
              <w:rPr>
                <w:lang w:eastAsia="zh-CN"/>
              </w:rPr>
              <w:t>"ServiceCreation</w:t>
            </w:r>
            <w:r w:rsidRPr="000A0A5F">
              <w:t>" in the response content.</w:t>
            </w:r>
          </w:p>
          <w:p w:rsidR="00CB0DD7" w:rsidRPr="000A0A5F" w:rsidRDefault="00CB0DD7">
            <w:pPr>
              <w:pStyle w:val="TAL"/>
              <w:spacing w:beforeLines="50" w:before="120"/>
              <w:rPr>
                <w:rFonts w:hint="eastAsia"/>
                <w:lang w:eastAsia="zh-CN"/>
              </w:rPr>
            </w:pPr>
            <w:r w:rsidRPr="000A0A5F">
              <w:t>On success, the HTTP response shall include a "Location" HTTP header that points to the created resource</w:t>
            </w:r>
            <w:r w:rsidRPr="000A0A5F">
              <w:rPr>
                <w:rFonts w:hint="eastAsia"/>
                <w:lang w:eastAsia="zh-CN"/>
              </w:rPr>
              <w:t xml:space="preserve"> URI </w:t>
            </w:r>
            <w:r w:rsidRPr="000A0A5F">
              <w:rPr>
                <w:lang w:eastAsia="zh-CN"/>
              </w:rPr>
              <w:t>identified</w:t>
            </w:r>
            <w:r w:rsidRPr="000A0A5F">
              <w:rPr>
                <w:rFonts w:hint="eastAsia"/>
                <w:lang w:eastAsia="zh-CN"/>
              </w:rPr>
              <w:t xml:space="preserve"> by the ScsAsId and the ServiceId.</w:t>
            </w:r>
          </w:p>
        </w:tc>
      </w:tr>
      <w:tr w:rsidR="00CB0DD7" w:rsidRPr="000A0A5F" w:rsidTr="00FF0AF8">
        <w:tc>
          <w:tcPr>
            <w:tcW w:w="5000" w:type="pct"/>
            <w:gridSpan w:val="5"/>
            <w:shd w:val="clear" w:color="auto" w:fill="auto"/>
            <w:vAlign w:val="center"/>
          </w:tcPr>
          <w:p w:rsidR="00CB0DD7" w:rsidRPr="000A0A5F" w:rsidRDefault="00CB0DD7">
            <w:pPr>
              <w:pStyle w:val="TAN"/>
            </w:pPr>
            <w:r w:rsidRPr="000A0A5F">
              <w:t>NOTE:</w:t>
            </w:r>
            <w:r w:rsidRPr="000A0A5F">
              <w:tab/>
              <w:t>The mandatory HTTP error status codes for the POST method listed in table 5.2.6-1 also apply.</w:t>
            </w:r>
          </w:p>
        </w:tc>
      </w:tr>
    </w:tbl>
    <w:p w:rsidR="00CB0DD7" w:rsidRPr="000A0A5F" w:rsidRDefault="00CB0DD7">
      <w:pPr>
        <w:rPr>
          <w:noProof/>
        </w:rPr>
      </w:pPr>
    </w:p>
    <w:p w:rsidR="00CB0DD7" w:rsidRPr="000A0A5F" w:rsidRDefault="00CB0DD7">
      <w:pPr>
        <w:pStyle w:val="TH"/>
      </w:pPr>
      <w:r w:rsidRPr="000A0A5F">
        <w:t>Table</w:t>
      </w:r>
      <w:r w:rsidRPr="000A0A5F">
        <w:rPr>
          <w:noProof/>
        </w:rPr>
        <w:t> </w:t>
      </w:r>
      <w:r w:rsidRPr="000A0A5F">
        <w:t>5.</w:t>
      </w:r>
      <w:r w:rsidRPr="000A0A5F">
        <w:rPr>
          <w:lang w:eastAsia="zh-CN"/>
        </w:rPr>
        <w:t>8</w:t>
      </w:r>
      <w:r w:rsidRPr="000A0A5F">
        <w:t>.</w:t>
      </w:r>
      <w:r w:rsidRPr="000A0A5F">
        <w:rPr>
          <w:rFonts w:hint="eastAsia"/>
          <w:lang w:eastAsia="zh-CN"/>
        </w:rPr>
        <w:t>3</w:t>
      </w:r>
      <w:r w:rsidRPr="000A0A5F">
        <w:t>.2.2.3.</w:t>
      </w:r>
      <w:r w:rsidRPr="000A0A5F">
        <w:rPr>
          <w:rFonts w:hint="eastAsia"/>
          <w:lang w:eastAsia="zh-CN"/>
        </w:rPr>
        <w:t>4</w:t>
      </w:r>
      <w:r w:rsidRPr="000A0A5F">
        <w:t xml:space="preserve">-2: Headers supported by the 201 Response Code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846044">
        <w:trPr>
          <w:jc w:val="center"/>
        </w:trPr>
        <w:tc>
          <w:tcPr>
            <w:tcW w:w="825" w:type="pct"/>
            <w:tcBorders>
              <w:bottom w:val="single" w:sz="6" w:space="0" w:color="auto"/>
            </w:tcBorders>
            <w:shd w:val="clear" w:color="auto" w:fill="C0C0C0"/>
          </w:tcPr>
          <w:p w:rsidR="00CB0DD7" w:rsidRPr="000A0A5F" w:rsidRDefault="00CB0DD7">
            <w:pPr>
              <w:pStyle w:val="TAH"/>
            </w:pPr>
            <w:r w:rsidRPr="000A0A5F">
              <w:t>Name</w:t>
            </w:r>
          </w:p>
        </w:tc>
        <w:tc>
          <w:tcPr>
            <w:tcW w:w="732" w:type="pct"/>
            <w:tcBorders>
              <w:bottom w:val="single" w:sz="6" w:space="0" w:color="auto"/>
            </w:tcBorders>
            <w:shd w:val="clear" w:color="auto" w:fill="C0C0C0"/>
          </w:tcPr>
          <w:p w:rsidR="00CB0DD7" w:rsidRPr="000A0A5F" w:rsidRDefault="00CB0DD7">
            <w:pPr>
              <w:pStyle w:val="TAH"/>
            </w:pPr>
            <w:r w:rsidRPr="000A0A5F">
              <w:t>Data type</w:t>
            </w:r>
          </w:p>
        </w:tc>
        <w:tc>
          <w:tcPr>
            <w:tcW w:w="217" w:type="pct"/>
            <w:tcBorders>
              <w:bottom w:val="single" w:sz="6" w:space="0" w:color="auto"/>
            </w:tcBorders>
            <w:shd w:val="clear" w:color="auto" w:fill="C0C0C0"/>
          </w:tcPr>
          <w:p w:rsidR="00CB0DD7" w:rsidRPr="000A0A5F" w:rsidRDefault="00CB0DD7">
            <w:pPr>
              <w:pStyle w:val="TAH"/>
            </w:pPr>
            <w:r w:rsidRPr="000A0A5F">
              <w:t>P</w:t>
            </w:r>
          </w:p>
        </w:tc>
        <w:tc>
          <w:tcPr>
            <w:tcW w:w="581" w:type="pct"/>
            <w:tcBorders>
              <w:bottom w:val="single" w:sz="6" w:space="0" w:color="auto"/>
            </w:tcBorders>
            <w:shd w:val="clear" w:color="auto" w:fill="C0C0C0"/>
          </w:tcPr>
          <w:p w:rsidR="00CB0DD7" w:rsidRPr="000A0A5F" w:rsidRDefault="00CB0DD7">
            <w:pPr>
              <w:pStyle w:val="TAH"/>
            </w:pPr>
            <w:r w:rsidRPr="000A0A5F">
              <w:t>Cardinality</w:t>
            </w:r>
          </w:p>
        </w:tc>
        <w:tc>
          <w:tcPr>
            <w:tcW w:w="2645" w:type="pct"/>
            <w:tcBorders>
              <w:bottom w:val="single" w:sz="6" w:space="0" w:color="auto"/>
            </w:tcBorders>
            <w:shd w:val="clear" w:color="auto" w:fill="C0C0C0"/>
            <w:vAlign w:val="center"/>
          </w:tcPr>
          <w:p w:rsidR="00CB0DD7" w:rsidRPr="000A0A5F" w:rsidRDefault="00CB0DD7">
            <w:pPr>
              <w:pStyle w:val="TAH"/>
            </w:pPr>
            <w:r w:rsidRPr="000A0A5F">
              <w:t>Description</w:t>
            </w:r>
          </w:p>
        </w:tc>
      </w:tr>
      <w:tr w:rsidR="00CB0DD7" w:rsidRPr="000A0A5F" w:rsidTr="00846044">
        <w:trPr>
          <w:jc w:val="center"/>
        </w:trPr>
        <w:tc>
          <w:tcPr>
            <w:tcW w:w="825" w:type="pct"/>
            <w:tcBorders>
              <w:top w:val="single" w:sz="6" w:space="0" w:color="auto"/>
            </w:tcBorders>
            <w:shd w:val="clear" w:color="auto" w:fill="auto"/>
          </w:tcPr>
          <w:p w:rsidR="00CB0DD7" w:rsidRPr="000A0A5F" w:rsidRDefault="00CB0DD7">
            <w:pPr>
              <w:pStyle w:val="TAL"/>
            </w:pPr>
            <w:r w:rsidRPr="000A0A5F">
              <w:t>Location</w:t>
            </w:r>
          </w:p>
        </w:tc>
        <w:tc>
          <w:tcPr>
            <w:tcW w:w="732" w:type="pct"/>
            <w:tcBorders>
              <w:top w:val="single" w:sz="6" w:space="0" w:color="auto"/>
            </w:tcBorders>
          </w:tcPr>
          <w:p w:rsidR="00CB0DD7" w:rsidRPr="000A0A5F" w:rsidRDefault="00CB0DD7">
            <w:pPr>
              <w:pStyle w:val="TAL"/>
            </w:pPr>
            <w:r w:rsidRPr="000A0A5F">
              <w:t>string</w:t>
            </w:r>
          </w:p>
        </w:tc>
        <w:tc>
          <w:tcPr>
            <w:tcW w:w="217" w:type="pct"/>
            <w:tcBorders>
              <w:top w:val="single" w:sz="6" w:space="0" w:color="auto"/>
            </w:tcBorders>
          </w:tcPr>
          <w:p w:rsidR="00CB0DD7" w:rsidRPr="000A0A5F" w:rsidRDefault="00CB0DD7">
            <w:pPr>
              <w:pStyle w:val="TAC"/>
            </w:pPr>
            <w:r w:rsidRPr="000A0A5F">
              <w:t>M</w:t>
            </w:r>
          </w:p>
        </w:tc>
        <w:tc>
          <w:tcPr>
            <w:tcW w:w="581" w:type="pct"/>
            <w:tcBorders>
              <w:top w:val="single" w:sz="6" w:space="0" w:color="auto"/>
            </w:tcBorders>
          </w:tcPr>
          <w:p w:rsidR="00CB0DD7" w:rsidRPr="000A0A5F" w:rsidRDefault="00CB0DD7">
            <w:pPr>
              <w:pStyle w:val="TAL"/>
            </w:pPr>
            <w:r w:rsidRPr="000A0A5F">
              <w:t>1</w:t>
            </w:r>
          </w:p>
        </w:tc>
        <w:tc>
          <w:tcPr>
            <w:tcW w:w="2645" w:type="pct"/>
            <w:tcBorders>
              <w:top w:val="single" w:sz="6" w:space="0" w:color="auto"/>
            </w:tcBorders>
            <w:shd w:val="clear" w:color="auto" w:fill="auto"/>
            <w:vAlign w:val="center"/>
          </w:tcPr>
          <w:p w:rsidR="00CB0DD7" w:rsidRPr="000A0A5F" w:rsidRDefault="00CB0DD7">
            <w:pPr>
              <w:pStyle w:val="TAL"/>
            </w:pPr>
            <w:r w:rsidRPr="000A0A5F">
              <w:t>Contains the URI of the newly created resource, according to the structure:</w:t>
            </w:r>
            <w:r w:rsidRPr="000A0A5F">
              <w:rPr>
                <w:noProof/>
              </w:rPr>
              <w:t xml:space="preserve"> </w:t>
            </w:r>
            <w:r w:rsidRPr="000A0A5F">
              <w:t>{apiRoot}/3gpp-group-message-delivery-xmb/v1/{scsAsId}/services/{serviceId}</w:t>
            </w:r>
          </w:p>
        </w:tc>
      </w:tr>
    </w:tbl>
    <w:p w:rsidR="00CB0DD7" w:rsidRPr="000A0A5F" w:rsidRDefault="00CB0DD7"/>
    <w:p w:rsidR="00CB0DD7" w:rsidRPr="000A0A5F" w:rsidRDefault="00CB0DD7">
      <w:pPr>
        <w:pStyle w:val="Heading7"/>
      </w:pPr>
      <w:bookmarkStart w:id="6162" w:name="_Toc11247639"/>
      <w:bookmarkStart w:id="6163" w:name="_Toc27044778"/>
      <w:bookmarkStart w:id="6164" w:name="_Toc36033820"/>
      <w:bookmarkStart w:id="6165" w:name="_Toc45131966"/>
      <w:bookmarkStart w:id="6166" w:name="_Toc49776251"/>
      <w:bookmarkStart w:id="6167" w:name="_Toc51747171"/>
      <w:bookmarkStart w:id="6168" w:name="_Toc66360738"/>
      <w:bookmarkStart w:id="6169" w:name="_Toc68105243"/>
      <w:bookmarkStart w:id="6170" w:name="_Toc74755873"/>
      <w:bookmarkStart w:id="6171" w:name="_Toc105674748"/>
      <w:bookmarkStart w:id="6172" w:name="_Toc130502804"/>
      <w:bookmarkStart w:id="6173" w:name="_Toc153625591"/>
      <w:r w:rsidRPr="000A0A5F">
        <w:t>5.8.3.2.2.3.5</w:t>
      </w:r>
      <w:r w:rsidRPr="000A0A5F">
        <w:tab/>
        <w:t>DELETE</w:t>
      </w:r>
      <w:bookmarkEnd w:id="6162"/>
      <w:bookmarkEnd w:id="6163"/>
      <w:bookmarkEnd w:id="6164"/>
      <w:bookmarkEnd w:id="6165"/>
      <w:bookmarkEnd w:id="6166"/>
      <w:bookmarkEnd w:id="6167"/>
      <w:bookmarkEnd w:id="6168"/>
      <w:bookmarkEnd w:id="6169"/>
      <w:bookmarkEnd w:id="6170"/>
      <w:bookmarkEnd w:id="6171"/>
      <w:bookmarkEnd w:id="6172"/>
      <w:bookmarkEnd w:id="6173"/>
    </w:p>
    <w:p w:rsidR="00CB0DD7" w:rsidRPr="000A0A5F" w:rsidRDefault="00CB0DD7">
      <w:pPr>
        <w:rPr>
          <w:lang w:eastAsia="zh-CN"/>
        </w:rPr>
      </w:pPr>
      <w:r w:rsidRPr="000A0A5F">
        <w:rPr>
          <w:rFonts w:hint="eastAsia"/>
          <w:lang w:eastAsia="zh-CN"/>
        </w:rPr>
        <w:t xml:space="preserve">This </w:t>
      </w:r>
      <w:r w:rsidRPr="000A0A5F">
        <w:rPr>
          <w:lang w:eastAsia="zh-CN"/>
        </w:rPr>
        <w:t>HTTP method is not supported for the resource.</w:t>
      </w:r>
    </w:p>
    <w:p w:rsidR="00CB0DD7" w:rsidRPr="000A0A5F" w:rsidRDefault="00CB0DD7">
      <w:pPr>
        <w:pStyle w:val="Heading5"/>
      </w:pPr>
      <w:bookmarkStart w:id="6174" w:name="_Toc11247640"/>
      <w:bookmarkStart w:id="6175" w:name="_Toc27044779"/>
      <w:bookmarkStart w:id="6176" w:name="_Toc36033821"/>
      <w:bookmarkStart w:id="6177" w:name="_Toc45131967"/>
      <w:bookmarkStart w:id="6178" w:name="_Toc49776252"/>
      <w:bookmarkStart w:id="6179" w:name="_Toc51747172"/>
      <w:bookmarkStart w:id="6180" w:name="_Toc66360739"/>
      <w:bookmarkStart w:id="6181" w:name="_Toc68105244"/>
      <w:bookmarkStart w:id="6182" w:name="_Toc74755874"/>
      <w:bookmarkStart w:id="6183" w:name="_Toc105674749"/>
      <w:bookmarkStart w:id="6184" w:name="_Toc130502805"/>
      <w:bookmarkStart w:id="6185" w:name="_Toc153625592"/>
      <w:r w:rsidRPr="000A0A5F">
        <w:t>5.8.3.2.3</w:t>
      </w:r>
      <w:r w:rsidRPr="000A0A5F">
        <w:tab/>
        <w:t>Resource: Individual xMB Service</w:t>
      </w:r>
      <w:bookmarkEnd w:id="6174"/>
      <w:bookmarkEnd w:id="6175"/>
      <w:bookmarkEnd w:id="6176"/>
      <w:bookmarkEnd w:id="6177"/>
      <w:bookmarkEnd w:id="6178"/>
      <w:bookmarkEnd w:id="6179"/>
      <w:bookmarkEnd w:id="6180"/>
      <w:bookmarkEnd w:id="6181"/>
      <w:bookmarkEnd w:id="6182"/>
      <w:bookmarkEnd w:id="6183"/>
      <w:bookmarkEnd w:id="6184"/>
      <w:bookmarkEnd w:id="6185"/>
    </w:p>
    <w:p w:rsidR="00CB0DD7" w:rsidRPr="000A0A5F" w:rsidRDefault="00CB0DD7">
      <w:pPr>
        <w:pStyle w:val="Heading6"/>
      </w:pPr>
      <w:bookmarkStart w:id="6186" w:name="_Toc11247641"/>
      <w:bookmarkStart w:id="6187" w:name="_Toc27044780"/>
      <w:bookmarkStart w:id="6188" w:name="_Toc36033822"/>
      <w:bookmarkStart w:id="6189" w:name="_Toc45131968"/>
      <w:bookmarkStart w:id="6190" w:name="_Toc49776253"/>
      <w:bookmarkStart w:id="6191" w:name="_Toc51747173"/>
      <w:bookmarkStart w:id="6192" w:name="_Toc66360740"/>
      <w:bookmarkStart w:id="6193" w:name="_Toc68105245"/>
      <w:bookmarkStart w:id="6194" w:name="_Toc74755875"/>
      <w:bookmarkStart w:id="6195" w:name="_Toc105674750"/>
      <w:bookmarkStart w:id="6196" w:name="_Toc130502806"/>
      <w:bookmarkStart w:id="6197" w:name="_Toc153625593"/>
      <w:r w:rsidRPr="000A0A5F">
        <w:t>5.8.3.</w:t>
      </w:r>
      <w:r w:rsidRPr="000A0A5F">
        <w:rPr>
          <w:rFonts w:hint="eastAsia"/>
        </w:rPr>
        <w:t>2.3</w:t>
      </w:r>
      <w:r w:rsidRPr="000A0A5F">
        <w:t>.1</w:t>
      </w:r>
      <w:r w:rsidRPr="000A0A5F">
        <w:tab/>
        <w:t>Introduction</w:t>
      </w:r>
      <w:bookmarkEnd w:id="6186"/>
      <w:bookmarkEnd w:id="6187"/>
      <w:bookmarkEnd w:id="6188"/>
      <w:bookmarkEnd w:id="6189"/>
      <w:bookmarkEnd w:id="6190"/>
      <w:bookmarkEnd w:id="6191"/>
      <w:bookmarkEnd w:id="6192"/>
      <w:bookmarkEnd w:id="6193"/>
      <w:bookmarkEnd w:id="6194"/>
      <w:bookmarkEnd w:id="6195"/>
      <w:bookmarkEnd w:id="6196"/>
      <w:bookmarkEnd w:id="6197"/>
    </w:p>
    <w:p w:rsidR="00CB0DD7" w:rsidRPr="000A0A5F" w:rsidRDefault="00CB0DD7">
      <w:pPr>
        <w:rPr>
          <w:noProof/>
          <w:lang w:eastAsia="zh-CN"/>
        </w:rPr>
      </w:pPr>
      <w:r w:rsidRPr="000A0A5F">
        <w:rPr>
          <w:noProof/>
          <w:lang w:eastAsia="zh-CN"/>
        </w:rPr>
        <w:t>This resource allows t</w:t>
      </w:r>
      <w:r w:rsidRPr="000A0A5F">
        <w:rPr>
          <w:rFonts w:hint="eastAsia"/>
          <w:noProof/>
          <w:lang w:eastAsia="zh-CN"/>
        </w:rPr>
        <w:t xml:space="preserve">he SCS/AS </w:t>
      </w:r>
      <w:r w:rsidRPr="000A0A5F">
        <w:rPr>
          <w:noProof/>
          <w:lang w:eastAsia="zh-CN"/>
        </w:rPr>
        <w:t>to delete a service resource.</w:t>
      </w:r>
    </w:p>
    <w:p w:rsidR="00CB0DD7" w:rsidRPr="000A0A5F" w:rsidRDefault="00CB0DD7">
      <w:pPr>
        <w:pStyle w:val="Heading6"/>
      </w:pPr>
      <w:bookmarkStart w:id="6198" w:name="_Toc11247642"/>
      <w:bookmarkStart w:id="6199" w:name="_Toc27044781"/>
      <w:bookmarkStart w:id="6200" w:name="_Toc36033823"/>
      <w:bookmarkStart w:id="6201" w:name="_Toc45131969"/>
      <w:bookmarkStart w:id="6202" w:name="_Toc49776254"/>
      <w:bookmarkStart w:id="6203" w:name="_Toc51747174"/>
      <w:bookmarkStart w:id="6204" w:name="_Toc66360741"/>
      <w:bookmarkStart w:id="6205" w:name="_Toc68105246"/>
      <w:bookmarkStart w:id="6206" w:name="_Toc74755876"/>
      <w:bookmarkStart w:id="6207" w:name="_Toc105674751"/>
      <w:bookmarkStart w:id="6208" w:name="_Toc130502807"/>
      <w:bookmarkStart w:id="6209" w:name="_Toc153625594"/>
      <w:r w:rsidRPr="000A0A5F">
        <w:t>5.8.3.</w:t>
      </w:r>
      <w:r w:rsidRPr="000A0A5F">
        <w:rPr>
          <w:rFonts w:hint="eastAsia"/>
        </w:rPr>
        <w:t>2.3</w:t>
      </w:r>
      <w:r w:rsidRPr="000A0A5F">
        <w:t>.2</w:t>
      </w:r>
      <w:r w:rsidRPr="000A0A5F">
        <w:tab/>
        <w:t>Resource definition</w:t>
      </w:r>
      <w:bookmarkEnd w:id="6198"/>
      <w:bookmarkEnd w:id="6199"/>
      <w:bookmarkEnd w:id="6200"/>
      <w:bookmarkEnd w:id="6201"/>
      <w:bookmarkEnd w:id="6202"/>
      <w:bookmarkEnd w:id="6203"/>
      <w:bookmarkEnd w:id="6204"/>
      <w:bookmarkEnd w:id="6205"/>
      <w:bookmarkEnd w:id="6206"/>
      <w:bookmarkEnd w:id="6207"/>
      <w:bookmarkEnd w:id="6208"/>
      <w:bookmarkEnd w:id="6209"/>
    </w:p>
    <w:p w:rsidR="00CB0DD7" w:rsidRPr="000A0A5F" w:rsidRDefault="00CB0DD7">
      <w:pPr>
        <w:rPr>
          <w:b/>
        </w:rPr>
      </w:pPr>
      <w:r w:rsidRPr="000A0A5F">
        <w:t xml:space="preserve">Resource URI: </w:t>
      </w:r>
      <w:r w:rsidRPr="000A0A5F">
        <w:rPr>
          <w:b/>
        </w:rPr>
        <w:t>{apiRoot}/3gpp</w:t>
      </w:r>
      <w:r w:rsidR="00A01FC4" w:rsidRPr="000A0A5F">
        <w:rPr>
          <w:b/>
        </w:rPr>
        <w:t>-group-message-delivery-</w:t>
      </w:r>
      <w:r w:rsidRPr="000A0A5F">
        <w:rPr>
          <w:b/>
        </w:rPr>
        <w:t>xmb/v1/{scsAsId}/services/{serviceId}</w:t>
      </w:r>
    </w:p>
    <w:p w:rsidR="00CB0DD7" w:rsidRPr="000A0A5F" w:rsidRDefault="00CB0DD7">
      <w:pPr>
        <w:rPr>
          <w:rFonts w:ascii="Arial" w:hAnsi="Arial" w:cs="Arial"/>
        </w:rPr>
      </w:pPr>
      <w:r w:rsidRPr="000A0A5F">
        <w:t>This resource shall support the resource URI variables defined in table 5.8.3.2.3.2-1</w:t>
      </w:r>
      <w:r w:rsidRPr="000A0A5F">
        <w:rPr>
          <w:rFonts w:ascii="Arial" w:hAnsi="Arial" w:cs="Arial"/>
        </w:rPr>
        <w:t>.</w:t>
      </w:r>
    </w:p>
    <w:p w:rsidR="00CB0DD7" w:rsidRPr="000A0A5F" w:rsidRDefault="00CB0DD7">
      <w:pPr>
        <w:pStyle w:val="TH"/>
        <w:rPr>
          <w:rFonts w:cs="Arial"/>
        </w:rPr>
      </w:pPr>
      <w:r w:rsidRPr="000A0A5F">
        <w:t>Table 5.8.3.2.3.2-1: Resource URI variables for resource "Individual Service Creation"</w:t>
      </w:r>
    </w:p>
    <w:tbl>
      <w:tblPr>
        <w:tblW w:w="4868"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970"/>
        <w:gridCol w:w="1171"/>
        <w:gridCol w:w="6378"/>
      </w:tblGrid>
      <w:tr w:rsidR="00CB0DD7" w:rsidRPr="000A0A5F" w:rsidTr="00FF0AF8">
        <w:trPr>
          <w:jc w:val="center"/>
        </w:trPr>
        <w:tc>
          <w:tcPr>
            <w:tcW w:w="1035" w:type="pct"/>
            <w:shd w:val="clear" w:color="000000" w:fill="C0C0C0"/>
          </w:tcPr>
          <w:p w:rsidR="00CB0DD7" w:rsidRPr="000A0A5F" w:rsidRDefault="00CB0DD7">
            <w:pPr>
              <w:pStyle w:val="TAH"/>
            </w:pPr>
            <w:r w:rsidRPr="000A0A5F">
              <w:t>Name</w:t>
            </w:r>
          </w:p>
        </w:tc>
        <w:tc>
          <w:tcPr>
            <w:tcW w:w="615" w:type="pct"/>
            <w:shd w:val="clear" w:color="000000" w:fill="C0C0C0"/>
          </w:tcPr>
          <w:p w:rsidR="00CB0DD7" w:rsidRPr="000A0A5F" w:rsidRDefault="00CB0DD7">
            <w:pPr>
              <w:pStyle w:val="TAH"/>
            </w:pPr>
            <w:r w:rsidRPr="000A0A5F">
              <w:t>Data type</w:t>
            </w:r>
          </w:p>
        </w:tc>
        <w:tc>
          <w:tcPr>
            <w:tcW w:w="3351" w:type="pct"/>
            <w:shd w:val="clear" w:color="000000" w:fill="C0C0C0"/>
            <w:vAlign w:val="center"/>
          </w:tcPr>
          <w:p w:rsidR="00CB0DD7" w:rsidRPr="000A0A5F" w:rsidRDefault="00CB0DD7">
            <w:pPr>
              <w:pStyle w:val="TAH"/>
            </w:pPr>
            <w:r w:rsidRPr="000A0A5F">
              <w:t>Definition</w:t>
            </w:r>
          </w:p>
        </w:tc>
      </w:tr>
      <w:tr w:rsidR="00CB0DD7" w:rsidRPr="000A0A5F" w:rsidTr="00FF0AF8">
        <w:trPr>
          <w:jc w:val="center"/>
        </w:trPr>
        <w:tc>
          <w:tcPr>
            <w:tcW w:w="1035" w:type="pct"/>
            <w:shd w:val="clear" w:color="auto" w:fill="auto"/>
          </w:tcPr>
          <w:p w:rsidR="00CB0DD7" w:rsidRPr="000A0A5F" w:rsidRDefault="00CB0DD7">
            <w:pPr>
              <w:pStyle w:val="TAL"/>
            </w:pPr>
            <w:r w:rsidRPr="000A0A5F">
              <w:t>apiRoot</w:t>
            </w:r>
          </w:p>
        </w:tc>
        <w:tc>
          <w:tcPr>
            <w:tcW w:w="615" w:type="pct"/>
          </w:tcPr>
          <w:p w:rsidR="00CB0DD7" w:rsidRPr="000A0A5F" w:rsidRDefault="00CB0DD7">
            <w:pPr>
              <w:pStyle w:val="TAL"/>
            </w:pPr>
            <w:r w:rsidRPr="000A0A5F">
              <w:t>string</w:t>
            </w:r>
          </w:p>
        </w:tc>
        <w:tc>
          <w:tcPr>
            <w:tcW w:w="3351" w:type="pct"/>
            <w:shd w:val="clear" w:color="auto" w:fill="auto"/>
            <w:vAlign w:val="center"/>
          </w:tcPr>
          <w:p w:rsidR="00CB0DD7" w:rsidRPr="000A0A5F" w:rsidRDefault="00CB0DD7">
            <w:pPr>
              <w:pStyle w:val="TAL"/>
            </w:pPr>
            <w:r w:rsidRPr="000A0A5F">
              <w:t>See clause</w:t>
            </w:r>
            <w:r w:rsidRPr="000A0A5F">
              <w:rPr>
                <w:lang w:val="en-US" w:eastAsia="zh-CN"/>
              </w:rPr>
              <w:t> </w:t>
            </w:r>
            <w:r w:rsidRPr="000A0A5F">
              <w:t>5.2.4.</w:t>
            </w:r>
          </w:p>
        </w:tc>
      </w:tr>
      <w:tr w:rsidR="00CB0DD7" w:rsidRPr="000A0A5F" w:rsidTr="00FF0AF8">
        <w:trPr>
          <w:jc w:val="center"/>
        </w:trPr>
        <w:tc>
          <w:tcPr>
            <w:tcW w:w="1035" w:type="pct"/>
            <w:shd w:val="clear" w:color="auto" w:fill="auto"/>
          </w:tcPr>
          <w:p w:rsidR="00CB0DD7" w:rsidRPr="000A0A5F" w:rsidRDefault="00CB0DD7">
            <w:pPr>
              <w:pStyle w:val="TAL"/>
            </w:pPr>
            <w:r w:rsidRPr="000A0A5F">
              <w:t>scsAsId</w:t>
            </w:r>
          </w:p>
        </w:tc>
        <w:tc>
          <w:tcPr>
            <w:tcW w:w="615" w:type="pct"/>
          </w:tcPr>
          <w:p w:rsidR="00CB0DD7" w:rsidRPr="000A0A5F" w:rsidRDefault="00CB0DD7">
            <w:pPr>
              <w:pStyle w:val="TAL"/>
            </w:pPr>
            <w:r w:rsidRPr="000A0A5F">
              <w:rPr>
                <w:rFonts w:hint="eastAsia"/>
                <w:lang w:eastAsia="zh-CN"/>
              </w:rPr>
              <w:t>s</w:t>
            </w:r>
            <w:r w:rsidRPr="000A0A5F">
              <w:rPr>
                <w:lang w:eastAsia="zh-CN"/>
              </w:rPr>
              <w:t>tring</w:t>
            </w:r>
          </w:p>
        </w:tc>
        <w:tc>
          <w:tcPr>
            <w:tcW w:w="3351" w:type="pct"/>
            <w:shd w:val="clear" w:color="auto" w:fill="auto"/>
            <w:vAlign w:val="center"/>
          </w:tcPr>
          <w:p w:rsidR="00CB0DD7" w:rsidRPr="000A0A5F" w:rsidRDefault="00CB0DD7">
            <w:pPr>
              <w:pStyle w:val="TAL"/>
            </w:pPr>
            <w:r w:rsidRPr="000A0A5F">
              <w:t>Identifier of the SCS/AS.</w:t>
            </w:r>
          </w:p>
        </w:tc>
      </w:tr>
      <w:tr w:rsidR="00CB0DD7" w:rsidRPr="000A0A5F" w:rsidTr="00FF0AF8">
        <w:trPr>
          <w:jc w:val="center"/>
        </w:trPr>
        <w:tc>
          <w:tcPr>
            <w:tcW w:w="1035" w:type="pct"/>
            <w:shd w:val="clear" w:color="auto" w:fill="auto"/>
          </w:tcPr>
          <w:p w:rsidR="00CB0DD7" w:rsidRPr="000A0A5F" w:rsidRDefault="00CB0DD7">
            <w:pPr>
              <w:pStyle w:val="TAL"/>
            </w:pPr>
            <w:r w:rsidRPr="000A0A5F">
              <w:t>serviceId</w:t>
            </w:r>
          </w:p>
        </w:tc>
        <w:tc>
          <w:tcPr>
            <w:tcW w:w="615" w:type="pct"/>
          </w:tcPr>
          <w:p w:rsidR="00CB0DD7" w:rsidRPr="000A0A5F" w:rsidRDefault="00CB0DD7">
            <w:pPr>
              <w:pStyle w:val="TAL"/>
            </w:pPr>
            <w:r w:rsidRPr="000A0A5F">
              <w:t>string</w:t>
            </w:r>
          </w:p>
        </w:tc>
        <w:tc>
          <w:tcPr>
            <w:tcW w:w="3351" w:type="pct"/>
            <w:shd w:val="clear" w:color="auto" w:fill="auto"/>
            <w:vAlign w:val="center"/>
          </w:tcPr>
          <w:p w:rsidR="00CB0DD7" w:rsidRPr="000A0A5F" w:rsidRDefault="00CB0DD7">
            <w:pPr>
              <w:pStyle w:val="TAL"/>
            </w:pPr>
            <w:r w:rsidRPr="000A0A5F">
              <w:t>Identifier of the service.</w:t>
            </w:r>
          </w:p>
        </w:tc>
      </w:tr>
    </w:tbl>
    <w:p w:rsidR="00CB0DD7" w:rsidRPr="000A0A5F" w:rsidRDefault="00CB0DD7"/>
    <w:p w:rsidR="00CB0DD7" w:rsidRPr="000A0A5F" w:rsidRDefault="00CB0DD7">
      <w:pPr>
        <w:pStyle w:val="Heading6"/>
      </w:pPr>
      <w:bookmarkStart w:id="6210" w:name="_Toc11247643"/>
      <w:bookmarkStart w:id="6211" w:name="_Toc27044782"/>
      <w:bookmarkStart w:id="6212" w:name="_Toc36033824"/>
      <w:bookmarkStart w:id="6213" w:name="_Toc45131970"/>
      <w:bookmarkStart w:id="6214" w:name="_Toc49776255"/>
      <w:bookmarkStart w:id="6215" w:name="_Toc51747175"/>
      <w:bookmarkStart w:id="6216" w:name="_Toc66360742"/>
      <w:bookmarkStart w:id="6217" w:name="_Toc68105247"/>
      <w:bookmarkStart w:id="6218" w:name="_Toc74755877"/>
      <w:bookmarkStart w:id="6219" w:name="_Toc105674752"/>
      <w:bookmarkStart w:id="6220" w:name="_Toc130502808"/>
      <w:bookmarkStart w:id="6221" w:name="_Toc153625595"/>
      <w:r w:rsidRPr="000A0A5F">
        <w:t>5.8.3.2.3.3</w:t>
      </w:r>
      <w:r w:rsidRPr="000A0A5F">
        <w:tab/>
        <w:t>Resource methods</w:t>
      </w:r>
      <w:bookmarkEnd w:id="6210"/>
      <w:bookmarkEnd w:id="6211"/>
      <w:bookmarkEnd w:id="6212"/>
      <w:bookmarkEnd w:id="6213"/>
      <w:bookmarkEnd w:id="6214"/>
      <w:bookmarkEnd w:id="6215"/>
      <w:bookmarkEnd w:id="6216"/>
      <w:bookmarkEnd w:id="6217"/>
      <w:bookmarkEnd w:id="6218"/>
      <w:bookmarkEnd w:id="6219"/>
      <w:bookmarkEnd w:id="6220"/>
      <w:bookmarkEnd w:id="6221"/>
    </w:p>
    <w:p w:rsidR="00CB0DD7" w:rsidRPr="000A0A5F" w:rsidRDefault="00CB0DD7">
      <w:pPr>
        <w:pStyle w:val="Heading7"/>
      </w:pPr>
      <w:bookmarkStart w:id="6222" w:name="_Toc11247644"/>
      <w:bookmarkStart w:id="6223" w:name="_Toc27044783"/>
      <w:bookmarkStart w:id="6224" w:name="_Toc36033825"/>
      <w:bookmarkStart w:id="6225" w:name="_Toc45131971"/>
      <w:bookmarkStart w:id="6226" w:name="_Toc49776256"/>
      <w:bookmarkStart w:id="6227" w:name="_Toc51747176"/>
      <w:bookmarkStart w:id="6228" w:name="_Toc66360743"/>
      <w:bookmarkStart w:id="6229" w:name="_Toc68105248"/>
      <w:bookmarkStart w:id="6230" w:name="_Toc74755878"/>
      <w:bookmarkStart w:id="6231" w:name="_Toc105674753"/>
      <w:bookmarkStart w:id="6232" w:name="_Toc130502809"/>
      <w:bookmarkStart w:id="6233" w:name="_Toc153625596"/>
      <w:r w:rsidRPr="000A0A5F">
        <w:t>5.8.3.</w:t>
      </w:r>
      <w:r w:rsidRPr="000A0A5F">
        <w:rPr>
          <w:rFonts w:hint="eastAsia"/>
        </w:rPr>
        <w:t>2</w:t>
      </w:r>
      <w:r w:rsidRPr="000A0A5F">
        <w:t>.3.3.1</w:t>
      </w:r>
      <w:r w:rsidRPr="000A0A5F">
        <w:tab/>
        <w:t>GET</w:t>
      </w:r>
      <w:bookmarkEnd w:id="6222"/>
      <w:bookmarkEnd w:id="6223"/>
      <w:bookmarkEnd w:id="6224"/>
      <w:bookmarkEnd w:id="6225"/>
      <w:bookmarkEnd w:id="6226"/>
      <w:bookmarkEnd w:id="6227"/>
      <w:bookmarkEnd w:id="6228"/>
      <w:bookmarkEnd w:id="6229"/>
      <w:bookmarkEnd w:id="6230"/>
      <w:bookmarkEnd w:id="6231"/>
      <w:bookmarkEnd w:id="6232"/>
      <w:bookmarkEnd w:id="6233"/>
    </w:p>
    <w:p w:rsidR="00CB0DD7" w:rsidRPr="000A0A5F" w:rsidRDefault="00CB0DD7">
      <w:pPr>
        <w:rPr>
          <w:noProof/>
          <w:lang w:eastAsia="zh-CN"/>
        </w:rPr>
      </w:pPr>
      <w:r w:rsidRPr="000A0A5F">
        <w:rPr>
          <w:noProof/>
          <w:lang w:eastAsia="zh-CN"/>
        </w:rPr>
        <w:t xml:space="preserve">The GET method reads a active service resource for a given SCS/AS and a service Id. It is initiated by the SCS/AS and answered by the SCEF. </w:t>
      </w:r>
    </w:p>
    <w:p w:rsidR="00CB0DD7" w:rsidRPr="000A0A5F" w:rsidRDefault="00CB0DD7">
      <w:pPr>
        <w:rPr>
          <w:rFonts w:hint="eastAsia"/>
          <w:lang w:eastAsia="zh-CN"/>
        </w:rPr>
      </w:pPr>
      <w:r w:rsidRPr="000A0A5F">
        <w:t>This method shall support request and response data structures, and response codes, as specified in the table 5.8.3.</w:t>
      </w:r>
      <w:r w:rsidRPr="000A0A5F">
        <w:rPr>
          <w:rFonts w:hint="eastAsia"/>
        </w:rPr>
        <w:t>2.3</w:t>
      </w:r>
      <w:r w:rsidRPr="000A0A5F">
        <w:t>.3.1-1.</w:t>
      </w:r>
    </w:p>
    <w:p w:rsidR="00CB0DD7" w:rsidRPr="000A0A5F" w:rsidRDefault="00CB0DD7">
      <w:pPr>
        <w:pStyle w:val="TH"/>
        <w:rPr>
          <w:rFonts w:hint="eastAsia"/>
          <w:lang w:eastAsia="zh-CN"/>
        </w:rPr>
      </w:pPr>
      <w:r w:rsidRPr="000A0A5F">
        <w:t>Table 5.</w:t>
      </w:r>
      <w:r w:rsidRPr="000A0A5F">
        <w:rPr>
          <w:lang w:eastAsia="zh-CN"/>
        </w:rPr>
        <w:t>8</w:t>
      </w:r>
      <w:r w:rsidRPr="000A0A5F">
        <w:t>.</w:t>
      </w:r>
      <w:r w:rsidRPr="000A0A5F">
        <w:rPr>
          <w:rFonts w:hint="eastAsia"/>
        </w:rPr>
        <w:t>3</w:t>
      </w:r>
      <w:r w:rsidRPr="000A0A5F">
        <w:t>.</w:t>
      </w:r>
      <w:r w:rsidRPr="000A0A5F">
        <w:rPr>
          <w:rFonts w:hint="eastAsia"/>
        </w:rPr>
        <w:t>2.3</w:t>
      </w:r>
      <w:r w:rsidRPr="000A0A5F">
        <w:t>.3.1</w:t>
      </w:r>
      <w:r w:rsidRPr="000A0A5F">
        <w:rPr>
          <w:rFonts w:hint="eastAsia"/>
        </w:rPr>
        <w:t>-1</w:t>
      </w:r>
      <w:r w:rsidRPr="000A0A5F">
        <w:t>: Data structures supported by the GET request/response by the resource</w:t>
      </w:r>
    </w:p>
    <w:tbl>
      <w:tblPr>
        <w:tblW w:w="4999" w:type="pct"/>
        <w:tblInd w:w="1" w:type="dxa"/>
        <w:tblBorders>
          <w:top w:val="single" w:sz="6" w:space="0" w:color="000000"/>
          <w:left w:val="single" w:sz="6" w:space="0" w:color="000000"/>
          <w:bottom w:val="single" w:sz="6" w:space="0" w:color="000000"/>
          <w:right w:val="single" w:sz="6" w:space="0" w:color="000000"/>
          <w:insideH w:val="single" w:sz="6" w:space="0" w:color="auto"/>
          <w:insideV w:val="single" w:sz="6" w:space="0" w:color="000000"/>
        </w:tblBorders>
        <w:tblLayout w:type="fixed"/>
        <w:tblCellMar>
          <w:top w:w="45" w:type="dxa"/>
          <w:left w:w="45" w:type="dxa"/>
          <w:bottom w:w="45" w:type="dxa"/>
          <w:right w:w="45" w:type="dxa"/>
        </w:tblCellMar>
        <w:tblLook w:val="0000" w:firstRow="0" w:lastRow="0" w:firstColumn="0" w:lastColumn="0" w:noHBand="0" w:noVBand="0"/>
      </w:tblPr>
      <w:tblGrid>
        <w:gridCol w:w="1033"/>
        <w:gridCol w:w="2127"/>
        <w:gridCol w:w="1053"/>
        <w:gridCol w:w="973"/>
        <w:gridCol w:w="4543"/>
        <w:tblGridChange w:id="6234">
          <w:tblGrid>
            <w:gridCol w:w="1033"/>
            <w:gridCol w:w="2127"/>
            <w:gridCol w:w="1053"/>
            <w:gridCol w:w="973"/>
            <w:gridCol w:w="4543"/>
          </w:tblGrid>
        </w:tblGridChange>
      </w:tblGrid>
      <w:tr w:rsidR="00CB0DD7" w:rsidRPr="000A0A5F" w:rsidTr="00790FC9">
        <w:tc>
          <w:tcPr>
            <w:tcW w:w="531" w:type="pct"/>
            <w:vMerge w:val="restart"/>
            <w:shd w:val="clear" w:color="auto" w:fill="C0C0C0"/>
            <w:vAlign w:val="center"/>
          </w:tcPr>
          <w:p w:rsidR="00CB0DD7" w:rsidRPr="000A0A5F" w:rsidRDefault="00CB0DD7">
            <w:pPr>
              <w:pStyle w:val="TAH"/>
            </w:pPr>
            <w:r w:rsidRPr="000A0A5F">
              <w:t>Request body</w:t>
            </w:r>
          </w:p>
        </w:tc>
        <w:tc>
          <w:tcPr>
            <w:tcW w:w="1093" w:type="pct"/>
            <w:shd w:val="clear" w:color="auto" w:fill="C0C0C0"/>
          </w:tcPr>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r w:rsidRPr="000A0A5F">
              <w:t>Cardinality</w:t>
            </w:r>
          </w:p>
        </w:tc>
        <w:tc>
          <w:tcPr>
            <w:tcW w:w="2835" w:type="pct"/>
            <w:gridSpan w:val="2"/>
            <w:shd w:val="clear" w:color="auto" w:fill="C0C0C0"/>
          </w:tcPr>
          <w:p w:rsidR="00CB0DD7" w:rsidRPr="000A0A5F" w:rsidRDefault="00CB0DD7">
            <w:pPr>
              <w:pStyle w:val="TAH"/>
            </w:pPr>
            <w:r w:rsidRPr="000A0A5F">
              <w:t>Remarks</w:t>
            </w:r>
          </w:p>
        </w:tc>
      </w:tr>
      <w:tr w:rsidR="00CB0DD7" w:rsidRPr="000A0A5F" w:rsidTr="00FF0AF8">
        <w:tc>
          <w:tcPr>
            <w:tcW w:w="531"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rPr>
                <w:rFonts w:hint="eastAsia"/>
                <w:lang w:eastAsia="zh-CN"/>
              </w:rPr>
              <w:t>none</w:t>
            </w:r>
          </w:p>
        </w:tc>
        <w:tc>
          <w:tcPr>
            <w:tcW w:w="541" w:type="pct"/>
          </w:tcPr>
          <w:p w:rsidR="00CB0DD7" w:rsidRPr="000A0A5F" w:rsidRDefault="00CB0DD7">
            <w:pPr>
              <w:pStyle w:val="TAL"/>
            </w:pPr>
          </w:p>
        </w:tc>
        <w:tc>
          <w:tcPr>
            <w:tcW w:w="2835" w:type="pct"/>
            <w:gridSpan w:val="2"/>
          </w:tcPr>
          <w:p w:rsidR="00CB0DD7" w:rsidRPr="000A0A5F" w:rsidRDefault="00CB0DD7">
            <w:pPr>
              <w:pStyle w:val="TAL"/>
            </w:pPr>
          </w:p>
        </w:tc>
      </w:tr>
      <w:tr w:rsidR="00CB0DD7" w:rsidRPr="000A0A5F" w:rsidTr="00790FC9">
        <w:tc>
          <w:tcPr>
            <w:tcW w:w="531" w:type="pct"/>
            <w:vMerge w:val="restart"/>
            <w:shd w:val="clear" w:color="auto" w:fill="C0C0C0"/>
            <w:vAlign w:val="center"/>
          </w:tcPr>
          <w:p w:rsidR="00CB0DD7" w:rsidRPr="000A0A5F" w:rsidRDefault="00CB0DD7">
            <w:pPr>
              <w:pStyle w:val="TAH"/>
            </w:pPr>
            <w:r w:rsidRPr="000A0A5F">
              <w:t>Response body</w:t>
            </w:r>
          </w:p>
        </w:tc>
        <w:tc>
          <w:tcPr>
            <w:tcW w:w="1093" w:type="pct"/>
            <w:shd w:val="clear" w:color="auto" w:fill="C0C0C0"/>
          </w:tcPr>
          <w:p w:rsidR="00CB0DD7" w:rsidRPr="000A0A5F" w:rsidRDefault="00CB0DD7">
            <w:pPr>
              <w:pStyle w:val="TAH"/>
            </w:pPr>
          </w:p>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p>
          <w:p w:rsidR="00CB0DD7" w:rsidRPr="000A0A5F" w:rsidRDefault="00CB0DD7">
            <w:pPr>
              <w:pStyle w:val="TAH"/>
            </w:pPr>
            <w:r w:rsidRPr="000A0A5F">
              <w:t>Cardinality</w:t>
            </w:r>
          </w:p>
        </w:tc>
        <w:tc>
          <w:tcPr>
            <w:tcW w:w="500" w:type="pct"/>
            <w:shd w:val="clear" w:color="auto" w:fill="C0C0C0"/>
          </w:tcPr>
          <w:p w:rsidR="00CB0DD7" w:rsidRPr="000A0A5F" w:rsidRDefault="00CB0DD7">
            <w:pPr>
              <w:pStyle w:val="TAH"/>
            </w:pPr>
            <w:r w:rsidRPr="000A0A5F">
              <w:t>Response</w:t>
            </w:r>
          </w:p>
          <w:p w:rsidR="00CB0DD7" w:rsidRPr="000A0A5F" w:rsidRDefault="00CB0DD7">
            <w:pPr>
              <w:pStyle w:val="TAH"/>
            </w:pPr>
            <w:r w:rsidRPr="000A0A5F">
              <w:t>codes</w:t>
            </w:r>
          </w:p>
        </w:tc>
        <w:tc>
          <w:tcPr>
            <w:tcW w:w="2335" w:type="pct"/>
            <w:shd w:val="clear" w:color="auto" w:fill="C0C0C0"/>
          </w:tcPr>
          <w:p w:rsidR="00CB0DD7" w:rsidRPr="000A0A5F" w:rsidRDefault="00CB0DD7">
            <w:pPr>
              <w:pStyle w:val="TAH"/>
            </w:pPr>
          </w:p>
          <w:p w:rsidR="00CB0DD7" w:rsidRPr="000A0A5F" w:rsidRDefault="00CB0DD7">
            <w:pPr>
              <w:pStyle w:val="TAH"/>
            </w:pPr>
            <w:r w:rsidRPr="000A0A5F">
              <w:t>Remarks</w:t>
            </w:r>
          </w:p>
        </w:tc>
      </w:tr>
      <w:tr w:rsidR="00CB0DD7" w:rsidRPr="000A0A5F" w:rsidTr="00FF0AF8">
        <w:tc>
          <w:tcPr>
            <w:tcW w:w="531"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rPr>
                <w:lang w:eastAsia="zh-CN"/>
              </w:rPr>
              <w:t>ServiceCreation</w:t>
            </w:r>
          </w:p>
        </w:tc>
        <w:tc>
          <w:tcPr>
            <w:tcW w:w="541" w:type="pct"/>
          </w:tcPr>
          <w:p w:rsidR="00CB0DD7" w:rsidRPr="000A0A5F" w:rsidRDefault="00CB0DD7">
            <w:pPr>
              <w:pStyle w:val="TAL"/>
              <w:rPr>
                <w:rFonts w:hint="eastAsia"/>
                <w:lang w:eastAsia="zh-CN"/>
              </w:rPr>
            </w:pPr>
            <w:r w:rsidRPr="000A0A5F">
              <w:rPr>
                <w:rFonts w:hint="eastAsia"/>
                <w:lang w:eastAsia="zh-CN"/>
              </w:rPr>
              <w:t>0..1</w:t>
            </w:r>
          </w:p>
        </w:tc>
        <w:tc>
          <w:tcPr>
            <w:tcW w:w="500" w:type="pct"/>
          </w:tcPr>
          <w:p w:rsidR="00CB0DD7" w:rsidRPr="000A0A5F" w:rsidRDefault="00CB0DD7">
            <w:pPr>
              <w:pStyle w:val="TAL"/>
            </w:pPr>
            <w:r w:rsidRPr="000A0A5F">
              <w:t>200 OK</w:t>
            </w:r>
          </w:p>
        </w:tc>
        <w:tc>
          <w:tcPr>
            <w:tcW w:w="2335" w:type="pct"/>
          </w:tcPr>
          <w:p w:rsidR="00CB0DD7" w:rsidRPr="000A0A5F" w:rsidRDefault="00CB0DD7">
            <w:pPr>
              <w:pStyle w:val="TAL"/>
              <w:rPr>
                <w:rFonts w:hint="eastAsia"/>
                <w:lang w:eastAsia="zh-CN"/>
              </w:rPr>
            </w:pPr>
            <w:r w:rsidRPr="000A0A5F">
              <w:rPr>
                <w:rFonts w:hint="eastAsia"/>
                <w:lang w:eastAsia="zh-CN"/>
              </w:rPr>
              <w:t xml:space="preserve">The </w:t>
            </w:r>
            <w:r w:rsidRPr="000A0A5F">
              <w:rPr>
                <w:lang w:eastAsia="zh-CN"/>
              </w:rPr>
              <w:t xml:space="preserve">service resource </w:t>
            </w:r>
            <w:r w:rsidRPr="000A0A5F">
              <w:rPr>
                <w:rFonts w:hint="eastAsia"/>
                <w:lang w:eastAsia="zh-CN"/>
              </w:rPr>
              <w:t>for the SCS/AS</w:t>
            </w:r>
            <w:r w:rsidRPr="000A0A5F">
              <w:rPr>
                <w:lang w:eastAsia="zh-CN"/>
              </w:rPr>
              <w:t xml:space="preserve"> and Service Id</w:t>
            </w:r>
            <w:r w:rsidRPr="000A0A5F">
              <w:rPr>
                <w:rFonts w:hint="eastAsia"/>
                <w:lang w:eastAsia="zh-CN"/>
              </w:rPr>
              <w:t xml:space="preserve"> in the </w:t>
            </w:r>
            <w:r w:rsidRPr="000A0A5F">
              <w:rPr>
                <w:lang w:eastAsia="zh-CN"/>
              </w:rPr>
              <w:t>request</w:t>
            </w:r>
            <w:r w:rsidRPr="000A0A5F">
              <w:rPr>
                <w:rFonts w:hint="eastAsia"/>
                <w:lang w:eastAsia="zh-CN"/>
              </w:rPr>
              <w:t xml:space="preserve"> </w:t>
            </w:r>
            <w:r w:rsidRPr="000A0A5F">
              <w:rPr>
                <w:lang w:eastAsia="zh-CN"/>
              </w:rPr>
              <w:t>URI is returned.</w:t>
            </w:r>
          </w:p>
        </w:tc>
      </w:tr>
      <w:tr w:rsidR="00CB0DD7" w:rsidRPr="000A0A5F" w:rsidTr="00FF0AF8">
        <w:tc>
          <w:tcPr>
            <w:tcW w:w="531"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lang w:eastAsia="zh-CN"/>
              </w:rPr>
            </w:pPr>
            <w:r w:rsidRPr="000A0A5F">
              <w:t>none</w:t>
            </w:r>
          </w:p>
        </w:tc>
        <w:tc>
          <w:tcPr>
            <w:tcW w:w="541" w:type="pct"/>
          </w:tcPr>
          <w:p w:rsidR="00CB0DD7" w:rsidRPr="000A0A5F" w:rsidRDefault="00CB0DD7">
            <w:pPr>
              <w:pStyle w:val="TAL"/>
              <w:rPr>
                <w:rFonts w:hint="eastAsia"/>
                <w:lang w:eastAsia="zh-CN"/>
              </w:rPr>
            </w:pPr>
          </w:p>
        </w:tc>
        <w:tc>
          <w:tcPr>
            <w:tcW w:w="500" w:type="pct"/>
          </w:tcPr>
          <w:p w:rsidR="00CB0DD7" w:rsidRPr="000A0A5F" w:rsidRDefault="00CB0DD7">
            <w:pPr>
              <w:pStyle w:val="TAL"/>
            </w:pPr>
            <w:r w:rsidRPr="000A0A5F">
              <w:t>307 Temporary Redirect</w:t>
            </w:r>
          </w:p>
        </w:tc>
        <w:tc>
          <w:tcPr>
            <w:tcW w:w="2335" w:type="pct"/>
          </w:tcPr>
          <w:p w:rsidR="00CB0DD7" w:rsidRPr="000A0A5F" w:rsidRDefault="00CB0DD7">
            <w:pPr>
              <w:pStyle w:val="TAL"/>
            </w:pPr>
            <w:r w:rsidRPr="000A0A5F">
              <w:t xml:space="preserve">Temporary redirection, during </w:t>
            </w:r>
            <w:r w:rsidRPr="000A0A5F">
              <w:rPr>
                <w:rFonts w:hint="eastAsia"/>
                <w:lang w:eastAsia="zh-CN"/>
              </w:rPr>
              <w:t>resource</w:t>
            </w:r>
            <w:r w:rsidRPr="000A0A5F">
              <w:t xml:space="preserve"> retrieval. The response shall include a Location header field containing an alternative URI of the resource located in an alternative SCEF.</w:t>
            </w:r>
          </w:p>
          <w:p w:rsidR="00CB0DD7" w:rsidRPr="000A0A5F" w:rsidRDefault="00CB0DD7">
            <w:pPr>
              <w:pStyle w:val="TAL"/>
              <w:rPr>
                <w:rFonts w:hint="eastAsia"/>
                <w:lang w:eastAsia="zh-CN"/>
              </w:rPr>
            </w:pPr>
            <w:r w:rsidRPr="000A0A5F">
              <w:t>Redirection handling is described in clause 5.2.10.</w:t>
            </w:r>
          </w:p>
        </w:tc>
      </w:tr>
      <w:tr w:rsidR="00CB0DD7" w:rsidRPr="000A0A5F" w:rsidTr="00FF0AF8">
        <w:tc>
          <w:tcPr>
            <w:tcW w:w="531"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lang w:eastAsia="zh-CN"/>
              </w:rPr>
            </w:pPr>
            <w:r w:rsidRPr="000A0A5F">
              <w:t>none</w:t>
            </w:r>
          </w:p>
        </w:tc>
        <w:tc>
          <w:tcPr>
            <w:tcW w:w="541" w:type="pct"/>
          </w:tcPr>
          <w:p w:rsidR="00CB0DD7" w:rsidRPr="000A0A5F" w:rsidRDefault="00CB0DD7">
            <w:pPr>
              <w:pStyle w:val="TAL"/>
              <w:rPr>
                <w:rFonts w:hint="eastAsia"/>
                <w:lang w:eastAsia="zh-CN"/>
              </w:rPr>
            </w:pPr>
          </w:p>
        </w:tc>
        <w:tc>
          <w:tcPr>
            <w:tcW w:w="500" w:type="pct"/>
          </w:tcPr>
          <w:p w:rsidR="00CB0DD7" w:rsidRPr="000A0A5F" w:rsidRDefault="00CB0DD7">
            <w:pPr>
              <w:pStyle w:val="TAL"/>
            </w:pPr>
            <w:r w:rsidRPr="000A0A5F">
              <w:t>308 Permanent Redirect</w:t>
            </w:r>
          </w:p>
        </w:tc>
        <w:tc>
          <w:tcPr>
            <w:tcW w:w="2335" w:type="pct"/>
          </w:tcPr>
          <w:p w:rsidR="00CB0DD7" w:rsidRPr="000A0A5F" w:rsidRDefault="00CB0DD7">
            <w:pPr>
              <w:pStyle w:val="TAL"/>
            </w:pPr>
            <w:r w:rsidRPr="000A0A5F">
              <w:t xml:space="preserve">Permanent redirection, during </w:t>
            </w:r>
            <w:r w:rsidRPr="000A0A5F">
              <w:rPr>
                <w:rFonts w:hint="eastAsia"/>
                <w:lang w:eastAsia="zh-CN"/>
              </w:rPr>
              <w:t>resource</w:t>
            </w:r>
            <w:r w:rsidRPr="000A0A5F">
              <w:t xml:space="preserve"> retrieval. The response shall include a Location header field containing an alternative URI of the resource located in an alternative SCEF.</w:t>
            </w:r>
          </w:p>
          <w:p w:rsidR="00CB0DD7" w:rsidRPr="000A0A5F" w:rsidRDefault="00CB0DD7">
            <w:pPr>
              <w:pStyle w:val="TAL"/>
              <w:rPr>
                <w:rFonts w:hint="eastAsia"/>
                <w:lang w:eastAsia="zh-CN"/>
              </w:rPr>
            </w:pPr>
            <w:r w:rsidRPr="000A0A5F">
              <w:t>Redirection handling is described in clause 5.2.10.</w:t>
            </w:r>
          </w:p>
        </w:tc>
      </w:tr>
      <w:tr w:rsidR="00CB0DD7" w:rsidRPr="000A0A5F" w:rsidTr="00FF0AF8">
        <w:tc>
          <w:tcPr>
            <w:tcW w:w="5000" w:type="pct"/>
            <w:gridSpan w:val="5"/>
            <w:shd w:val="clear" w:color="auto" w:fill="auto"/>
            <w:vAlign w:val="center"/>
          </w:tcPr>
          <w:p w:rsidR="00CB0DD7" w:rsidRPr="000A0A5F" w:rsidRDefault="00CB0DD7">
            <w:pPr>
              <w:pStyle w:val="TAN"/>
            </w:pPr>
            <w:r w:rsidRPr="000A0A5F">
              <w:t>NOTE:</w:t>
            </w:r>
            <w:r w:rsidRPr="000A0A5F">
              <w:tab/>
              <w:t>The mandatory HTTP error status codes for the GET method listed in table 5.2.6-1 also apply.</w:t>
            </w:r>
          </w:p>
        </w:tc>
      </w:tr>
    </w:tbl>
    <w:p w:rsidR="00CB0DD7" w:rsidRPr="000A0A5F" w:rsidRDefault="00CB0DD7"/>
    <w:p w:rsidR="00CB0DD7" w:rsidRPr="000A0A5F" w:rsidRDefault="00CB0DD7">
      <w:pPr>
        <w:pStyle w:val="TH"/>
      </w:pPr>
      <w:r w:rsidRPr="000A0A5F">
        <w:t>Table 5.</w:t>
      </w:r>
      <w:r w:rsidRPr="000A0A5F">
        <w:rPr>
          <w:lang w:eastAsia="zh-CN"/>
        </w:rPr>
        <w:t>8</w:t>
      </w:r>
      <w:r w:rsidRPr="000A0A5F">
        <w:t>.</w:t>
      </w:r>
      <w:r w:rsidRPr="000A0A5F">
        <w:rPr>
          <w:rFonts w:hint="eastAsia"/>
        </w:rPr>
        <w:t>3</w:t>
      </w:r>
      <w:r w:rsidRPr="000A0A5F">
        <w:t>.</w:t>
      </w:r>
      <w:r w:rsidRPr="000A0A5F">
        <w:rPr>
          <w:rFonts w:hint="eastAsia"/>
        </w:rPr>
        <w:t>2.3</w:t>
      </w:r>
      <w:r w:rsidRPr="000A0A5F">
        <w:t>.3.1-2: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CB0DD7">
      <w:pPr>
        <w:pStyle w:val="TH"/>
      </w:pPr>
      <w:r w:rsidRPr="000A0A5F">
        <w:t>Table 5.</w:t>
      </w:r>
      <w:r w:rsidRPr="000A0A5F">
        <w:rPr>
          <w:lang w:eastAsia="zh-CN"/>
        </w:rPr>
        <w:t>8</w:t>
      </w:r>
      <w:r w:rsidRPr="000A0A5F">
        <w:t>.</w:t>
      </w:r>
      <w:r w:rsidRPr="000A0A5F">
        <w:rPr>
          <w:rFonts w:hint="eastAsia"/>
        </w:rPr>
        <w:t>3</w:t>
      </w:r>
      <w:r w:rsidRPr="000A0A5F">
        <w:t>.</w:t>
      </w:r>
      <w:r w:rsidRPr="000A0A5F">
        <w:rPr>
          <w:rFonts w:hint="eastAsia"/>
        </w:rPr>
        <w:t>2.3</w:t>
      </w:r>
      <w:r w:rsidRPr="000A0A5F">
        <w:t>.3.1-3: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CB0DD7">
      <w:pPr>
        <w:pStyle w:val="Heading7"/>
      </w:pPr>
      <w:bookmarkStart w:id="6235" w:name="_Toc11247645"/>
      <w:bookmarkStart w:id="6236" w:name="_Toc27044784"/>
      <w:bookmarkStart w:id="6237" w:name="_Toc36033826"/>
      <w:bookmarkStart w:id="6238" w:name="_Toc45131972"/>
      <w:bookmarkStart w:id="6239" w:name="_Toc49776257"/>
      <w:bookmarkStart w:id="6240" w:name="_Toc51747177"/>
      <w:bookmarkStart w:id="6241" w:name="_Toc66360744"/>
      <w:bookmarkStart w:id="6242" w:name="_Toc68105249"/>
      <w:bookmarkStart w:id="6243" w:name="_Toc74755879"/>
      <w:bookmarkStart w:id="6244" w:name="_Toc105674754"/>
      <w:bookmarkStart w:id="6245" w:name="_Toc130502810"/>
      <w:bookmarkStart w:id="6246" w:name="_Toc153625597"/>
      <w:r w:rsidRPr="000A0A5F">
        <w:t>5.8.3.</w:t>
      </w:r>
      <w:r w:rsidRPr="000A0A5F">
        <w:rPr>
          <w:rFonts w:hint="eastAsia"/>
        </w:rPr>
        <w:t>2</w:t>
      </w:r>
      <w:r w:rsidRPr="000A0A5F">
        <w:t>.3.3.2</w:t>
      </w:r>
      <w:r w:rsidRPr="000A0A5F">
        <w:tab/>
        <w:t>PUT</w:t>
      </w:r>
      <w:bookmarkEnd w:id="6235"/>
      <w:bookmarkEnd w:id="6236"/>
      <w:bookmarkEnd w:id="6237"/>
      <w:bookmarkEnd w:id="6238"/>
      <w:bookmarkEnd w:id="6239"/>
      <w:bookmarkEnd w:id="6240"/>
      <w:bookmarkEnd w:id="6241"/>
      <w:bookmarkEnd w:id="6242"/>
      <w:bookmarkEnd w:id="6243"/>
      <w:bookmarkEnd w:id="6244"/>
      <w:bookmarkEnd w:id="6245"/>
      <w:bookmarkEnd w:id="6246"/>
    </w:p>
    <w:p w:rsidR="00CB0DD7" w:rsidRPr="000A0A5F" w:rsidRDefault="00CB0DD7">
      <w:r w:rsidRPr="000A0A5F">
        <w:rPr>
          <w:rFonts w:hint="eastAsia"/>
        </w:rPr>
        <w:t xml:space="preserve">This </w:t>
      </w:r>
      <w:r w:rsidRPr="000A0A5F">
        <w:t>HTTP method is not supported for the resource.</w:t>
      </w:r>
    </w:p>
    <w:p w:rsidR="00CB0DD7" w:rsidRPr="000A0A5F" w:rsidRDefault="00CB0DD7">
      <w:pPr>
        <w:pStyle w:val="Heading7"/>
      </w:pPr>
      <w:bookmarkStart w:id="6247" w:name="_Toc11247646"/>
      <w:bookmarkStart w:id="6248" w:name="_Toc27044785"/>
      <w:bookmarkStart w:id="6249" w:name="_Toc36033827"/>
      <w:bookmarkStart w:id="6250" w:name="_Toc45131973"/>
      <w:bookmarkStart w:id="6251" w:name="_Toc49776258"/>
      <w:bookmarkStart w:id="6252" w:name="_Toc51747178"/>
      <w:bookmarkStart w:id="6253" w:name="_Toc66360745"/>
      <w:bookmarkStart w:id="6254" w:name="_Toc68105250"/>
      <w:bookmarkStart w:id="6255" w:name="_Toc74755880"/>
      <w:bookmarkStart w:id="6256" w:name="_Toc105674755"/>
      <w:bookmarkStart w:id="6257" w:name="_Toc130502811"/>
      <w:bookmarkStart w:id="6258" w:name="_Toc153625598"/>
      <w:r w:rsidRPr="000A0A5F">
        <w:t>5.8.3.</w:t>
      </w:r>
      <w:r w:rsidRPr="000A0A5F">
        <w:rPr>
          <w:rFonts w:hint="eastAsia"/>
        </w:rPr>
        <w:t>2</w:t>
      </w:r>
      <w:r w:rsidRPr="000A0A5F">
        <w:t>.3.3.3</w:t>
      </w:r>
      <w:r w:rsidRPr="000A0A5F">
        <w:tab/>
        <w:t>PATCH</w:t>
      </w:r>
      <w:bookmarkEnd w:id="6247"/>
      <w:bookmarkEnd w:id="6248"/>
      <w:bookmarkEnd w:id="6249"/>
      <w:bookmarkEnd w:id="6250"/>
      <w:bookmarkEnd w:id="6251"/>
      <w:bookmarkEnd w:id="6252"/>
      <w:bookmarkEnd w:id="6253"/>
      <w:bookmarkEnd w:id="6254"/>
      <w:bookmarkEnd w:id="6255"/>
      <w:bookmarkEnd w:id="6256"/>
      <w:bookmarkEnd w:id="6257"/>
      <w:bookmarkEnd w:id="6258"/>
    </w:p>
    <w:p w:rsidR="00CB0DD7" w:rsidRPr="000A0A5F" w:rsidRDefault="00CB0DD7">
      <w:r w:rsidRPr="000A0A5F">
        <w:rPr>
          <w:rFonts w:hint="eastAsia"/>
        </w:rPr>
        <w:t xml:space="preserve">This </w:t>
      </w:r>
      <w:r w:rsidRPr="000A0A5F">
        <w:t>HTTP method is not supported for the resource.</w:t>
      </w:r>
    </w:p>
    <w:p w:rsidR="00CB0DD7" w:rsidRPr="000A0A5F" w:rsidRDefault="00CB0DD7">
      <w:pPr>
        <w:pStyle w:val="Heading7"/>
      </w:pPr>
      <w:bookmarkStart w:id="6259" w:name="_Toc11247647"/>
      <w:bookmarkStart w:id="6260" w:name="_Toc27044786"/>
      <w:bookmarkStart w:id="6261" w:name="_Toc36033828"/>
      <w:bookmarkStart w:id="6262" w:name="_Toc45131974"/>
      <w:bookmarkStart w:id="6263" w:name="_Toc49776259"/>
      <w:bookmarkStart w:id="6264" w:name="_Toc51747179"/>
      <w:bookmarkStart w:id="6265" w:name="_Toc66360746"/>
      <w:bookmarkStart w:id="6266" w:name="_Toc68105251"/>
      <w:bookmarkStart w:id="6267" w:name="_Toc74755881"/>
      <w:bookmarkStart w:id="6268" w:name="_Toc105674756"/>
      <w:bookmarkStart w:id="6269" w:name="_Toc130502812"/>
      <w:bookmarkStart w:id="6270" w:name="_Toc153625599"/>
      <w:r w:rsidRPr="000A0A5F">
        <w:t>5.8.3.</w:t>
      </w:r>
      <w:r w:rsidRPr="000A0A5F">
        <w:rPr>
          <w:rFonts w:hint="eastAsia"/>
        </w:rPr>
        <w:t>2</w:t>
      </w:r>
      <w:r w:rsidRPr="000A0A5F">
        <w:t>.3.3.4</w:t>
      </w:r>
      <w:r w:rsidRPr="000A0A5F">
        <w:tab/>
        <w:t>POST</w:t>
      </w:r>
      <w:bookmarkEnd w:id="6259"/>
      <w:bookmarkEnd w:id="6260"/>
      <w:bookmarkEnd w:id="6261"/>
      <w:bookmarkEnd w:id="6262"/>
      <w:bookmarkEnd w:id="6263"/>
      <w:bookmarkEnd w:id="6264"/>
      <w:bookmarkEnd w:id="6265"/>
      <w:bookmarkEnd w:id="6266"/>
      <w:bookmarkEnd w:id="6267"/>
      <w:bookmarkEnd w:id="6268"/>
      <w:bookmarkEnd w:id="6269"/>
      <w:bookmarkEnd w:id="6270"/>
    </w:p>
    <w:p w:rsidR="00CB0DD7" w:rsidRPr="000A0A5F" w:rsidRDefault="00CB0DD7">
      <w:r w:rsidRPr="000A0A5F">
        <w:rPr>
          <w:rFonts w:hint="eastAsia"/>
          <w:lang w:eastAsia="zh-CN"/>
        </w:rPr>
        <w:t xml:space="preserve">This </w:t>
      </w:r>
      <w:r w:rsidRPr="000A0A5F">
        <w:rPr>
          <w:lang w:eastAsia="zh-CN"/>
        </w:rPr>
        <w:t>HTTP method is not supported for the resource.</w:t>
      </w:r>
    </w:p>
    <w:p w:rsidR="00CB0DD7" w:rsidRPr="000A0A5F" w:rsidRDefault="00CB0DD7">
      <w:pPr>
        <w:pStyle w:val="Heading7"/>
      </w:pPr>
      <w:bookmarkStart w:id="6271" w:name="_Toc11247648"/>
      <w:bookmarkStart w:id="6272" w:name="_Toc27044787"/>
      <w:bookmarkStart w:id="6273" w:name="_Toc36033829"/>
      <w:bookmarkStart w:id="6274" w:name="_Toc45131975"/>
      <w:bookmarkStart w:id="6275" w:name="_Toc49776260"/>
      <w:bookmarkStart w:id="6276" w:name="_Toc51747180"/>
      <w:bookmarkStart w:id="6277" w:name="_Toc66360747"/>
      <w:bookmarkStart w:id="6278" w:name="_Toc68105252"/>
      <w:bookmarkStart w:id="6279" w:name="_Toc74755882"/>
      <w:bookmarkStart w:id="6280" w:name="_Toc105674757"/>
      <w:bookmarkStart w:id="6281" w:name="_Toc130502813"/>
      <w:bookmarkStart w:id="6282" w:name="_Toc153625600"/>
      <w:r w:rsidRPr="000A0A5F">
        <w:t>5.8.3.</w:t>
      </w:r>
      <w:r w:rsidRPr="000A0A5F">
        <w:rPr>
          <w:rFonts w:hint="eastAsia"/>
        </w:rPr>
        <w:t>2</w:t>
      </w:r>
      <w:r w:rsidRPr="000A0A5F">
        <w:t>.3.3.5</w:t>
      </w:r>
      <w:r w:rsidRPr="000A0A5F">
        <w:tab/>
        <w:t>DELETE</w:t>
      </w:r>
      <w:bookmarkEnd w:id="6271"/>
      <w:bookmarkEnd w:id="6272"/>
      <w:bookmarkEnd w:id="6273"/>
      <w:bookmarkEnd w:id="6274"/>
      <w:bookmarkEnd w:id="6275"/>
      <w:bookmarkEnd w:id="6276"/>
      <w:bookmarkEnd w:id="6277"/>
      <w:bookmarkEnd w:id="6278"/>
      <w:bookmarkEnd w:id="6279"/>
      <w:bookmarkEnd w:id="6280"/>
      <w:bookmarkEnd w:id="6281"/>
      <w:bookmarkEnd w:id="6282"/>
    </w:p>
    <w:p w:rsidR="00CB0DD7" w:rsidRPr="000A0A5F" w:rsidRDefault="00CB0DD7">
      <w:r w:rsidRPr="000A0A5F">
        <w:t xml:space="preserve">To delete a service resource, the </w:t>
      </w:r>
      <w:r w:rsidRPr="000A0A5F">
        <w:rPr>
          <w:rFonts w:hint="eastAsia"/>
          <w:lang w:eastAsia="zh-CN"/>
        </w:rPr>
        <w:t xml:space="preserve">SCS/AS </w:t>
      </w:r>
      <w:r w:rsidRPr="000A0A5F">
        <w:t xml:space="preserve">shall use the HTTP DELETE method on the "ServiceCreation" resource </w:t>
      </w:r>
      <w:r w:rsidRPr="000A0A5F">
        <w:rPr>
          <w:rFonts w:hint="eastAsia"/>
          <w:lang w:eastAsia="zh-CN"/>
        </w:rPr>
        <w:t>which is indicated by the URI in the Location header of the HTTP POST response</w:t>
      </w:r>
      <w:r w:rsidRPr="000A0A5F">
        <w:t>:</w:t>
      </w:r>
    </w:p>
    <w:p w:rsidR="00CB0DD7" w:rsidRPr="000A0A5F" w:rsidRDefault="00CB0DD7">
      <w:pPr>
        <w:rPr>
          <w:rFonts w:hint="eastAsia"/>
        </w:rPr>
      </w:pPr>
      <w:r w:rsidRPr="000A0A5F">
        <w:t xml:space="preserve">The possible response messages from the </w:t>
      </w:r>
      <w:r w:rsidRPr="000A0A5F">
        <w:rPr>
          <w:rFonts w:hint="eastAsia"/>
          <w:lang w:eastAsia="zh-CN"/>
        </w:rPr>
        <w:t>SCEF</w:t>
      </w:r>
      <w:r w:rsidRPr="000A0A5F">
        <w:t xml:space="preserve">, depending on whether the DELETE request is successful or unsuccessful, are shown in </w:t>
      </w:r>
      <w:r w:rsidR="002E466A" w:rsidRPr="000A0A5F">
        <w:t>table</w:t>
      </w:r>
      <w:r w:rsidR="002E466A" w:rsidRPr="000A0A5F">
        <w:rPr>
          <w:lang w:val="en-US" w:eastAsia="zh-CN"/>
        </w:rPr>
        <w:t> </w:t>
      </w:r>
      <w:r w:rsidRPr="000A0A5F">
        <w:t>5.</w:t>
      </w:r>
      <w:r w:rsidRPr="000A0A5F">
        <w:rPr>
          <w:lang w:eastAsia="zh-CN"/>
        </w:rPr>
        <w:t>8</w:t>
      </w:r>
      <w:r w:rsidRPr="000A0A5F">
        <w:t>.3.</w:t>
      </w:r>
      <w:r w:rsidRPr="000A0A5F">
        <w:rPr>
          <w:rFonts w:hint="eastAsia"/>
        </w:rPr>
        <w:t>2.3</w:t>
      </w:r>
      <w:r w:rsidRPr="000A0A5F">
        <w:t>.3.5</w:t>
      </w:r>
      <w:r w:rsidRPr="000A0A5F">
        <w:rPr>
          <w:rFonts w:hint="eastAsia"/>
        </w:rPr>
        <w:t>-1.</w:t>
      </w:r>
    </w:p>
    <w:p w:rsidR="00CB0DD7" w:rsidRPr="000A0A5F" w:rsidRDefault="00CB0DD7">
      <w:pPr>
        <w:pStyle w:val="TH"/>
      </w:pPr>
      <w:r w:rsidRPr="000A0A5F">
        <w:t>Table 5.</w:t>
      </w:r>
      <w:r w:rsidRPr="000A0A5F">
        <w:rPr>
          <w:lang w:eastAsia="zh-CN"/>
        </w:rPr>
        <w:t>8</w:t>
      </w:r>
      <w:r w:rsidRPr="000A0A5F">
        <w:t>.3.2.3.3.5</w:t>
      </w:r>
      <w:r w:rsidRPr="000A0A5F">
        <w:rPr>
          <w:rFonts w:hint="eastAsia"/>
          <w:lang w:eastAsia="zh-CN"/>
        </w:rPr>
        <w:t>-1.</w:t>
      </w:r>
      <w:r w:rsidRPr="000A0A5F">
        <w:t xml:space="preserve">: Data structures supported by the </w:t>
      </w:r>
      <w:r w:rsidRPr="000A0A5F">
        <w:rPr>
          <w:rFonts w:hint="eastAsia"/>
          <w:lang w:eastAsia="zh-CN"/>
        </w:rPr>
        <w:t>DELETE</w:t>
      </w:r>
      <w:r w:rsidRPr="000A0A5F">
        <w:t xml:space="preserve"> request/response by the resource</w:t>
      </w:r>
    </w:p>
    <w:tbl>
      <w:tblPr>
        <w:tblW w:w="4999" w:type="pct"/>
        <w:tblInd w:w="1" w:type="dxa"/>
        <w:tblBorders>
          <w:top w:val="single" w:sz="6" w:space="0" w:color="000000"/>
          <w:left w:val="single" w:sz="6" w:space="0" w:color="000000"/>
          <w:bottom w:val="single" w:sz="6" w:space="0" w:color="auto"/>
          <w:right w:val="single" w:sz="6" w:space="0" w:color="000000"/>
          <w:insideH w:val="single" w:sz="6" w:space="0" w:color="auto"/>
          <w:insideV w:val="single" w:sz="6" w:space="0" w:color="000000"/>
        </w:tblBorders>
        <w:tblLayout w:type="fixed"/>
        <w:tblCellMar>
          <w:top w:w="45" w:type="dxa"/>
          <w:left w:w="45" w:type="dxa"/>
          <w:bottom w:w="45" w:type="dxa"/>
          <w:right w:w="45" w:type="dxa"/>
        </w:tblCellMar>
        <w:tblLook w:val="0000" w:firstRow="0" w:lastRow="0" w:firstColumn="0" w:lastColumn="0" w:noHBand="0" w:noVBand="0"/>
      </w:tblPr>
      <w:tblGrid>
        <w:gridCol w:w="1035"/>
        <w:gridCol w:w="2127"/>
        <w:gridCol w:w="1053"/>
        <w:gridCol w:w="973"/>
        <w:gridCol w:w="4541"/>
      </w:tblGrid>
      <w:tr w:rsidR="00CB0DD7" w:rsidRPr="000A0A5F" w:rsidTr="00790FC9">
        <w:tc>
          <w:tcPr>
            <w:tcW w:w="532" w:type="pct"/>
            <w:vMerge w:val="restart"/>
            <w:shd w:val="clear" w:color="auto" w:fill="C0C0C0"/>
            <w:vAlign w:val="center"/>
          </w:tcPr>
          <w:p w:rsidR="00CB0DD7" w:rsidRPr="000A0A5F" w:rsidRDefault="00CB0DD7">
            <w:pPr>
              <w:pStyle w:val="TAH"/>
            </w:pPr>
            <w:r w:rsidRPr="000A0A5F">
              <w:t>Request body</w:t>
            </w:r>
          </w:p>
        </w:tc>
        <w:tc>
          <w:tcPr>
            <w:tcW w:w="1093" w:type="pct"/>
            <w:shd w:val="clear" w:color="auto" w:fill="C0C0C0"/>
          </w:tcPr>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r w:rsidRPr="000A0A5F">
              <w:t>Cardinality</w:t>
            </w:r>
          </w:p>
        </w:tc>
        <w:tc>
          <w:tcPr>
            <w:tcW w:w="2834" w:type="pct"/>
            <w:gridSpan w:val="2"/>
            <w:shd w:val="clear" w:color="auto" w:fill="C0C0C0"/>
          </w:tcPr>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rPr>
                <w:rFonts w:hint="eastAsia"/>
                <w:lang w:eastAsia="zh-CN"/>
              </w:rPr>
              <w:t>none</w:t>
            </w:r>
          </w:p>
        </w:tc>
        <w:tc>
          <w:tcPr>
            <w:tcW w:w="541" w:type="pct"/>
          </w:tcPr>
          <w:p w:rsidR="00CB0DD7" w:rsidRPr="000A0A5F" w:rsidRDefault="00CB0DD7">
            <w:pPr>
              <w:pStyle w:val="TAL"/>
              <w:rPr>
                <w:rFonts w:hint="eastAsia"/>
                <w:lang w:eastAsia="zh-CN"/>
              </w:rPr>
            </w:pPr>
          </w:p>
        </w:tc>
        <w:tc>
          <w:tcPr>
            <w:tcW w:w="2834" w:type="pct"/>
            <w:gridSpan w:val="2"/>
          </w:tcPr>
          <w:p w:rsidR="00CB0DD7" w:rsidRPr="000A0A5F" w:rsidRDefault="00CB0DD7">
            <w:pPr>
              <w:pStyle w:val="TAL"/>
              <w:rPr>
                <w:rFonts w:hint="eastAsia"/>
                <w:lang w:eastAsia="zh-CN"/>
              </w:rPr>
            </w:pPr>
          </w:p>
        </w:tc>
      </w:tr>
      <w:tr w:rsidR="00CB0DD7" w:rsidRPr="000A0A5F" w:rsidTr="00790FC9">
        <w:tc>
          <w:tcPr>
            <w:tcW w:w="532" w:type="pct"/>
            <w:vMerge w:val="restart"/>
            <w:shd w:val="clear" w:color="auto" w:fill="C0C0C0"/>
            <w:vAlign w:val="center"/>
          </w:tcPr>
          <w:p w:rsidR="00CB0DD7" w:rsidRPr="000A0A5F" w:rsidRDefault="00CB0DD7">
            <w:pPr>
              <w:pStyle w:val="TAH"/>
            </w:pPr>
            <w:r w:rsidRPr="000A0A5F">
              <w:t>Response body</w:t>
            </w:r>
          </w:p>
        </w:tc>
        <w:tc>
          <w:tcPr>
            <w:tcW w:w="1093" w:type="pct"/>
            <w:shd w:val="clear" w:color="auto" w:fill="C0C0C0"/>
          </w:tcPr>
          <w:p w:rsidR="00CB0DD7" w:rsidRPr="000A0A5F" w:rsidRDefault="00CB0DD7">
            <w:pPr>
              <w:pStyle w:val="TAH"/>
            </w:pPr>
          </w:p>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p>
          <w:p w:rsidR="00CB0DD7" w:rsidRPr="000A0A5F" w:rsidRDefault="00CB0DD7">
            <w:pPr>
              <w:pStyle w:val="TAH"/>
            </w:pPr>
            <w:r w:rsidRPr="000A0A5F">
              <w:t>Cardinality</w:t>
            </w:r>
          </w:p>
        </w:tc>
        <w:tc>
          <w:tcPr>
            <w:tcW w:w="500" w:type="pct"/>
            <w:shd w:val="clear" w:color="auto" w:fill="C0C0C0"/>
          </w:tcPr>
          <w:p w:rsidR="00CB0DD7" w:rsidRPr="000A0A5F" w:rsidRDefault="00CB0DD7">
            <w:pPr>
              <w:pStyle w:val="TAH"/>
            </w:pPr>
            <w:r w:rsidRPr="000A0A5F">
              <w:t>Response</w:t>
            </w:r>
          </w:p>
          <w:p w:rsidR="00CB0DD7" w:rsidRPr="000A0A5F" w:rsidRDefault="00CB0DD7">
            <w:pPr>
              <w:pStyle w:val="TAH"/>
            </w:pPr>
            <w:r w:rsidRPr="000A0A5F">
              <w:t>codes</w:t>
            </w:r>
          </w:p>
        </w:tc>
        <w:tc>
          <w:tcPr>
            <w:tcW w:w="2334" w:type="pct"/>
            <w:shd w:val="clear" w:color="auto" w:fill="C0C0C0"/>
          </w:tcPr>
          <w:p w:rsidR="00CB0DD7" w:rsidRPr="000A0A5F" w:rsidRDefault="00CB0DD7">
            <w:pPr>
              <w:pStyle w:val="TAH"/>
            </w:pPr>
          </w:p>
          <w:p w:rsidR="00CB0DD7" w:rsidRPr="000A0A5F" w:rsidRDefault="00CB0DD7">
            <w:pPr>
              <w:pStyle w:val="TAH"/>
            </w:pPr>
            <w:r w:rsidRPr="000A0A5F">
              <w:t>Remarks</w:t>
            </w:r>
          </w:p>
        </w:tc>
      </w:tr>
      <w:tr w:rsidR="00CB0DD7" w:rsidRPr="000A0A5F" w:rsidTr="00FF0AF8">
        <w:trPr>
          <w:trHeight w:val="511"/>
        </w:trPr>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rPr>
                <w:rFonts w:hint="eastAsia"/>
                <w:lang w:eastAsia="zh-CN"/>
              </w:rPr>
              <w:t>none</w:t>
            </w:r>
          </w:p>
        </w:tc>
        <w:tc>
          <w:tcPr>
            <w:tcW w:w="541" w:type="pct"/>
          </w:tcPr>
          <w:p w:rsidR="00CB0DD7" w:rsidRPr="000A0A5F" w:rsidRDefault="00CB0DD7">
            <w:pPr>
              <w:pStyle w:val="TAL"/>
              <w:rPr>
                <w:rFonts w:hint="eastAsia"/>
                <w:lang w:eastAsia="zh-CN"/>
              </w:rPr>
            </w:pPr>
          </w:p>
        </w:tc>
        <w:tc>
          <w:tcPr>
            <w:tcW w:w="500" w:type="pct"/>
          </w:tcPr>
          <w:p w:rsidR="00CB0DD7" w:rsidRPr="000A0A5F" w:rsidRDefault="00CB0DD7">
            <w:pPr>
              <w:pStyle w:val="TAL"/>
              <w:rPr>
                <w:rFonts w:hint="eastAsia"/>
                <w:lang w:eastAsia="zh-CN"/>
              </w:rPr>
            </w:pPr>
            <w:r w:rsidRPr="000A0A5F">
              <w:rPr>
                <w:lang w:eastAsia="zh-CN"/>
              </w:rPr>
              <w:t>204 No Content</w:t>
            </w:r>
          </w:p>
        </w:tc>
        <w:tc>
          <w:tcPr>
            <w:tcW w:w="2334" w:type="pct"/>
          </w:tcPr>
          <w:p w:rsidR="00CB0DD7" w:rsidRPr="000A0A5F" w:rsidRDefault="00CB0DD7">
            <w:pPr>
              <w:pStyle w:val="TAL"/>
              <w:rPr>
                <w:rFonts w:hint="eastAsia"/>
                <w:lang w:eastAsia="zh-CN"/>
              </w:rPr>
            </w:pPr>
            <w:r w:rsidRPr="000A0A5F">
              <w:t xml:space="preserve">The group message delivery subscription was </w:t>
            </w:r>
            <w:r w:rsidRPr="000A0A5F">
              <w:rPr>
                <w:lang w:eastAsia="zh-CN"/>
              </w:rPr>
              <w:t>cancel</w:t>
            </w:r>
            <w:r w:rsidRPr="000A0A5F">
              <w:rPr>
                <w:rFonts w:hint="eastAsia"/>
                <w:lang w:eastAsia="zh-CN"/>
              </w:rPr>
              <w:t>l</w:t>
            </w:r>
            <w:r w:rsidRPr="000A0A5F">
              <w:rPr>
                <w:lang w:eastAsia="zh-CN"/>
              </w:rPr>
              <w:t>ed</w:t>
            </w:r>
            <w:r w:rsidRPr="000A0A5F">
              <w:t xml:space="preserve"> successfully</w:t>
            </w:r>
            <w:r w:rsidRPr="000A0A5F">
              <w:rPr>
                <w:rFonts w:hint="eastAsia"/>
                <w:lang w:eastAsia="zh-CN"/>
              </w:rPr>
              <w:t>.</w:t>
            </w:r>
          </w:p>
        </w:tc>
      </w:tr>
      <w:tr w:rsidR="00CB0DD7" w:rsidRPr="000A0A5F" w:rsidTr="00FF0AF8">
        <w:trPr>
          <w:trHeight w:val="511"/>
        </w:trPr>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t>none</w:t>
            </w:r>
          </w:p>
        </w:tc>
        <w:tc>
          <w:tcPr>
            <w:tcW w:w="541" w:type="pct"/>
          </w:tcPr>
          <w:p w:rsidR="00CB0DD7" w:rsidRPr="000A0A5F" w:rsidRDefault="00CB0DD7">
            <w:pPr>
              <w:pStyle w:val="TAL"/>
              <w:rPr>
                <w:rFonts w:hint="eastAsia"/>
                <w:lang w:eastAsia="zh-CN"/>
              </w:rPr>
            </w:pPr>
          </w:p>
        </w:tc>
        <w:tc>
          <w:tcPr>
            <w:tcW w:w="500" w:type="pct"/>
          </w:tcPr>
          <w:p w:rsidR="00CB0DD7" w:rsidRPr="000A0A5F" w:rsidRDefault="00CB0DD7">
            <w:pPr>
              <w:pStyle w:val="TAL"/>
              <w:rPr>
                <w:lang w:eastAsia="zh-CN"/>
              </w:rPr>
            </w:pPr>
            <w:r w:rsidRPr="000A0A5F">
              <w:t>307 Temporary Redirect</w:t>
            </w:r>
          </w:p>
        </w:tc>
        <w:tc>
          <w:tcPr>
            <w:tcW w:w="2334" w:type="pct"/>
          </w:tcPr>
          <w:p w:rsidR="00CB0DD7" w:rsidRPr="000A0A5F" w:rsidRDefault="00CB0DD7">
            <w:pPr>
              <w:pStyle w:val="TAL"/>
            </w:pPr>
            <w:r w:rsidRPr="000A0A5F">
              <w:t>Temporary redirection, during resource termination. The response shall include a Location header field containing an alternative URI of the resource located in an alternative SCEF.</w:t>
            </w:r>
          </w:p>
          <w:p w:rsidR="00CB0DD7" w:rsidRPr="000A0A5F" w:rsidRDefault="00CB0DD7">
            <w:pPr>
              <w:pStyle w:val="TAL"/>
            </w:pPr>
            <w:r w:rsidRPr="000A0A5F">
              <w:t>Redirection handling is described in clause 5.2.10.</w:t>
            </w:r>
          </w:p>
        </w:tc>
      </w:tr>
      <w:tr w:rsidR="00CB0DD7" w:rsidRPr="000A0A5F" w:rsidTr="00FF0AF8">
        <w:trPr>
          <w:trHeight w:val="511"/>
        </w:trPr>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t>none</w:t>
            </w:r>
          </w:p>
        </w:tc>
        <w:tc>
          <w:tcPr>
            <w:tcW w:w="541" w:type="pct"/>
          </w:tcPr>
          <w:p w:rsidR="00CB0DD7" w:rsidRPr="000A0A5F" w:rsidRDefault="00CB0DD7">
            <w:pPr>
              <w:pStyle w:val="TAL"/>
              <w:rPr>
                <w:rFonts w:hint="eastAsia"/>
                <w:lang w:eastAsia="zh-CN"/>
              </w:rPr>
            </w:pPr>
          </w:p>
        </w:tc>
        <w:tc>
          <w:tcPr>
            <w:tcW w:w="500" w:type="pct"/>
          </w:tcPr>
          <w:p w:rsidR="00CB0DD7" w:rsidRPr="000A0A5F" w:rsidRDefault="00CB0DD7">
            <w:pPr>
              <w:pStyle w:val="TAL"/>
              <w:rPr>
                <w:lang w:eastAsia="zh-CN"/>
              </w:rPr>
            </w:pPr>
            <w:r w:rsidRPr="000A0A5F">
              <w:t>308 Permanent Redirect</w:t>
            </w:r>
          </w:p>
        </w:tc>
        <w:tc>
          <w:tcPr>
            <w:tcW w:w="2334" w:type="pct"/>
          </w:tcPr>
          <w:p w:rsidR="00CB0DD7" w:rsidRPr="000A0A5F" w:rsidRDefault="00CB0DD7">
            <w:pPr>
              <w:pStyle w:val="TAL"/>
            </w:pPr>
            <w:r w:rsidRPr="000A0A5F">
              <w:t>Permanent redirection, during resource termination. The response shall include a Location header field containing an alternative URI of the resource located in an alternative SCEF.</w:t>
            </w:r>
          </w:p>
          <w:p w:rsidR="00CB0DD7" w:rsidRPr="000A0A5F" w:rsidRDefault="00CB0DD7">
            <w:pPr>
              <w:pStyle w:val="TAL"/>
            </w:pPr>
            <w:r w:rsidRPr="000A0A5F">
              <w:t>Redirection handling is described in clause 5.2.10.</w:t>
            </w:r>
          </w:p>
        </w:tc>
      </w:tr>
      <w:tr w:rsidR="00CB0DD7" w:rsidRPr="000A0A5F" w:rsidTr="00FF0AF8">
        <w:trPr>
          <w:trHeight w:val="511"/>
        </w:trPr>
        <w:tc>
          <w:tcPr>
            <w:tcW w:w="5000" w:type="pct"/>
            <w:gridSpan w:val="5"/>
            <w:shd w:val="clear" w:color="auto" w:fill="auto"/>
            <w:vAlign w:val="center"/>
          </w:tcPr>
          <w:p w:rsidR="00CB0DD7" w:rsidRPr="000A0A5F" w:rsidRDefault="00CB0DD7">
            <w:pPr>
              <w:pStyle w:val="TAN"/>
            </w:pPr>
            <w:r w:rsidRPr="000A0A5F">
              <w:rPr>
                <w:lang w:eastAsia="zh-CN"/>
              </w:rPr>
              <w:t>NOTE:</w:t>
            </w:r>
            <w:r w:rsidRPr="000A0A5F">
              <w:rPr>
                <w:lang w:eastAsia="zh-CN"/>
              </w:rPr>
              <w:tab/>
              <w:t>The mandatory HTTP error status codes for the DELETE method listed in table 5.2.6-1 also apply</w:t>
            </w:r>
          </w:p>
        </w:tc>
      </w:tr>
    </w:tbl>
    <w:p w:rsidR="00CB0DD7" w:rsidRPr="000A0A5F" w:rsidRDefault="00CB0DD7"/>
    <w:p w:rsidR="00CB0DD7" w:rsidRPr="000A0A5F" w:rsidRDefault="00CB0DD7">
      <w:pPr>
        <w:pStyle w:val="TH"/>
      </w:pPr>
      <w:r w:rsidRPr="000A0A5F">
        <w:t>Table 5.</w:t>
      </w:r>
      <w:r w:rsidRPr="000A0A5F">
        <w:rPr>
          <w:lang w:eastAsia="zh-CN"/>
        </w:rPr>
        <w:t>8</w:t>
      </w:r>
      <w:r w:rsidRPr="000A0A5F">
        <w:t>.3.2.3.3.5-2: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CB0DD7">
      <w:pPr>
        <w:pStyle w:val="TH"/>
      </w:pPr>
      <w:r w:rsidRPr="000A0A5F">
        <w:t>Table</w:t>
      </w:r>
      <w:r w:rsidRPr="000A0A5F">
        <w:rPr>
          <w:rFonts w:cs="Arial"/>
        </w:rPr>
        <w:t> </w:t>
      </w:r>
      <w:r w:rsidRPr="000A0A5F">
        <w:t>5.</w:t>
      </w:r>
      <w:r w:rsidRPr="000A0A5F">
        <w:rPr>
          <w:lang w:eastAsia="zh-CN"/>
        </w:rPr>
        <w:t>8</w:t>
      </w:r>
      <w:r w:rsidRPr="000A0A5F">
        <w:t>.3.2.3.3.5-3: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CB0DD7">
      <w:pPr>
        <w:pStyle w:val="Heading5"/>
      </w:pPr>
      <w:bookmarkStart w:id="6283" w:name="_Toc11247649"/>
      <w:bookmarkStart w:id="6284" w:name="_Toc27044788"/>
      <w:bookmarkStart w:id="6285" w:name="_Toc36033830"/>
      <w:bookmarkStart w:id="6286" w:name="_Toc45131976"/>
      <w:bookmarkStart w:id="6287" w:name="_Toc49776261"/>
      <w:bookmarkStart w:id="6288" w:name="_Toc51747181"/>
      <w:bookmarkStart w:id="6289" w:name="_Toc66360748"/>
      <w:bookmarkStart w:id="6290" w:name="_Toc68105253"/>
      <w:bookmarkStart w:id="6291" w:name="_Toc74755883"/>
      <w:bookmarkStart w:id="6292" w:name="_Toc105674758"/>
      <w:bookmarkStart w:id="6293" w:name="_Toc130502814"/>
      <w:bookmarkStart w:id="6294" w:name="_Toc153625601"/>
      <w:r w:rsidRPr="000A0A5F">
        <w:t>5.8.3.2.4</w:t>
      </w:r>
      <w:r w:rsidRPr="000A0A5F">
        <w:tab/>
        <w:t>Resource: GMD via MBMS by xMB</w:t>
      </w:r>
      <w:bookmarkEnd w:id="6283"/>
      <w:bookmarkEnd w:id="6284"/>
      <w:bookmarkEnd w:id="6285"/>
      <w:bookmarkEnd w:id="6286"/>
      <w:bookmarkEnd w:id="6287"/>
      <w:bookmarkEnd w:id="6288"/>
      <w:bookmarkEnd w:id="6289"/>
      <w:bookmarkEnd w:id="6290"/>
      <w:bookmarkEnd w:id="6291"/>
      <w:bookmarkEnd w:id="6292"/>
      <w:bookmarkEnd w:id="6293"/>
      <w:bookmarkEnd w:id="6294"/>
    </w:p>
    <w:p w:rsidR="00CB0DD7" w:rsidRPr="000A0A5F" w:rsidRDefault="00CB0DD7">
      <w:pPr>
        <w:pStyle w:val="Heading6"/>
      </w:pPr>
      <w:bookmarkStart w:id="6295" w:name="_Toc11247650"/>
      <w:bookmarkStart w:id="6296" w:name="_Toc27044789"/>
      <w:bookmarkStart w:id="6297" w:name="_Toc36033831"/>
      <w:bookmarkStart w:id="6298" w:name="_Toc45131977"/>
      <w:bookmarkStart w:id="6299" w:name="_Toc49776262"/>
      <w:bookmarkStart w:id="6300" w:name="_Toc51747182"/>
      <w:bookmarkStart w:id="6301" w:name="_Toc66360749"/>
      <w:bookmarkStart w:id="6302" w:name="_Toc68105254"/>
      <w:bookmarkStart w:id="6303" w:name="_Toc74755884"/>
      <w:bookmarkStart w:id="6304" w:name="_Toc105674759"/>
      <w:bookmarkStart w:id="6305" w:name="_Toc130502815"/>
      <w:bookmarkStart w:id="6306" w:name="_Toc153625602"/>
      <w:r w:rsidRPr="000A0A5F">
        <w:t>5.8.3.2.4.1</w:t>
      </w:r>
      <w:r w:rsidRPr="000A0A5F">
        <w:tab/>
        <w:t>Introduction</w:t>
      </w:r>
      <w:bookmarkEnd w:id="6295"/>
      <w:bookmarkEnd w:id="6296"/>
      <w:bookmarkEnd w:id="6297"/>
      <w:bookmarkEnd w:id="6298"/>
      <w:bookmarkEnd w:id="6299"/>
      <w:bookmarkEnd w:id="6300"/>
      <w:bookmarkEnd w:id="6301"/>
      <w:bookmarkEnd w:id="6302"/>
      <w:bookmarkEnd w:id="6303"/>
      <w:bookmarkEnd w:id="6304"/>
      <w:bookmarkEnd w:id="6305"/>
      <w:bookmarkEnd w:id="6306"/>
    </w:p>
    <w:p w:rsidR="00CB0DD7" w:rsidRPr="000A0A5F" w:rsidRDefault="00CB0DD7">
      <w:pPr>
        <w:rPr>
          <w:noProof/>
          <w:lang w:eastAsia="zh-CN"/>
        </w:rPr>
      </w:pPr>
      <w:r w:rsidRPr="000A0A5F">
        <w:rPr>
          <w:noProof/>
          <w:lang w:eastAsia="zh-CN"/>
        </w:rPr>
        <w:t>This resource allows t</w:t>
      </w:r>
      <w:r w:rsidRPr="000A0A5F">
        <w:rPr>
          <w:rFonts w:hint="eastAsia"/>
          <w:noProof/>
          <w:lang w:eastAsia="zh-CN"/>
        </w:rPr>
        <w:t xml:space="preserve">he SCS/AS </w:t>
      </w:r>
      <w:r w:rsidRPr="000A0A5F">
        <w:rPr>
          <w:noProof/>
          <w:lang w:eastAsia="zh-CN"/>
        </w:rPr>
        <w:t>to:</w:t>
      </w:r>
    </w:p>
    <w:p w:rsidR="00CB0DD7" w:rsidRPr="000A0A5F" w:rsidRDefault="00CB0DD7">
      <w:pPr>
        <w:pStyle w:val="B10"/>
        <w:rPr>
          <w:noProof/>
          <w:lang w:eastAsia="zh-CN"/>
        </w:rPr>
      </w:pPr>
      <w:r w:rsidRPr="000A0A5F">
        <w:rPr>
          <w:noProof/>
          <w:lang w:eastAsia="zh-CN"/>
        </w:rPr>
        <w:t>-</w:t>
      </w:r>
      <w:r w:rsidRPr="000A0A5F">
        <w:rPr>
          <w:noProof/>
          <w:lang w:eastAsia="zh-CN"/>
        </w:rPr>
        <w:tab/>
        <w:t xml:space="preserve">read all of the group message delivery via MBMS by xMB resources for a given SCS/AS and a service identifier; or </w:t>
      </w:r>
    </w:p>
    <w:p w:rsidR="00CB0DD7" w:rsidRPr="000A0A5F" w:rsidRDefault="00CB0DD7">
      <w:pPr>
        <w:pStyle w:val="B10"/>
        <w:rPr>
          <w:noProof/>
          <w:lang w:eastAsia="zh-CN"/>
        </w:rPr>
      </w:pPr>
      <w:r w:rsidRPr="000A0A5F">
        <w:rPr>
          <w:noProof/>
          <w:lang w:eastAsia="zh-CN"/>
        </w:rPr>
        <w:t>-</w:t>
      </w:r>
      <w:r w:rsidRPr="000A0A5F">
        <w:rPr>
          <w:noProof/>
          <w:lang w:eastAsia="zh-CN"/>
        </w:rPr>
        <w:tab/>
        <w:t>create a group message delivery when the xMB is used as a southbound interface.</w:t>
      </w:r>
    </w:p>
    <w:p w:rsidR="00CB0DD7" w:rsidRPr="000A0A5F" w:rsidRDefault="00CB0DD7">
      <w:pPr>
        <w:pStyle w:val="Heading6"/>
      </w:pPr>
      <w:bookmarkStart w:id="6307" w:name="_Toc11247651"/>
      <w:bookmarkStart w:id="6308" w:name="_Toc27044790"/>
      <w:bookmarkStart w:id="6309" w:name="_Toc36033832"/>
      <w:bookmarkStart w:id="6310" w:name="_Toc45131978"/>
      <w:bookmarkStart w:id="6311" w:name="_Toc49776263"/>
      <w:bookmarkStart w:id="6312" w:name="_Toc51747183"/>
      <w:bookmarkStart w:id="6313" w:name="_Toc66360750"/>
      <w:bookmarkStart w:id="6314" w:name="_Toc68105255"/>
      <w:bookmarkStart w:id="6315" w:name="_Toc74755885"/>
      <w:bookmarkStart w:id="6316" w:name="_Toc105674760"/>
      <w:bookmarkStart w:id="6317" w:name="_Toc130502816"/>
      <w:bookmarkStart w:id="6318" w:name="_Toc153625603"/>
      <w:r w:rsidRPr="000A0A5F">
        <w:t>5.8.3.2.4.2</w:t>
      </w:r>
      <w:r w:rsidRPr="000A0A5F">
        <w:tab/>
        <w:t>Resource definition</w:t>
      </w:r>
      <w:bookmarkEnd w:id="6307"/>
      <w:bookmarkEnd w:id="6308"/>
      <w:bookmarkEnd w:id="6309"/>
      <w:bookmarkEnd w:id="6310"/>
      <w:bookmarkEnd w:id="6311"/>
      <w:bookmarkEnd w:id="6312"/>
      <w:bookmarkEnd w:id="6313"/>
      <w:bookmarkEnd w:id="6314"/>
      <w:bookmarkEnd w:id="6315"/>
      <w:bookmarkEnd w:id="6316"/>
      <w:bookmarkEnd w:id="6317"/>
      <w:bookmarkEnd w:id="6318"/>
    </w:p>
    <w:p w:rsidR="00CB0DD7" w:rsidRPr="000A0A5F" w:rsidRDefault="00CB0DD7">
      <w:pPr>
        <w:rPr>
          <w:b/>
        </w:rPr>
      </w:pPr>
      <w:r w:rsidRPr="000A0A5F">
        <w:t xml:space="preserve">Resource URI: </w:t>
      </w:r>
      <w:r w:rsidRPr="000A0A5F">
        <w:rPr>
          <w:b/>
        </w:rPr>
        <w:t>{apiRoot}/3gpp-group-message-delivery-xmb/v1/{scsAsId}/services/{serviceId}/delivery-via-mbms</w:t>
      </w:r>
    </w:p>
    <w:p w:rsidR="00CB0DD7" w:rsidRPr="000A0A5F" w:rsidRDefault="00CB0DD7">
      <w:pPr>
        <w:rPr>
          <w:rFonts w:ascii="Arial" w:hAnsi="Arial" w:cs="Arial"/>
        </w:rPr>
      </w:pPr>
      <w:r w:rsidRPr="000A0A5F">
        <w:t>This resource shall support the resource URI variables defined in table 5.8.3.2.4.2-1</w:t>
      </w:r>
      <w:r w:rsidRPr="000A0A5F">
        <w:rPr>
          <w:rFonts w:ascii="Arial" w:hAnsi="Arial" w:cs="Arial"/>
        </w:rPr>
        <w:t>.</w:t>
      </w:r>
    </w:p>
    <w:p w:rsidR="00CB0DD7" w:rsidRPr="000A0A5F" w:rsidRDefault="00CB0DD7">
      <w:pPr>
        <w:pStyle w:val="TH"/>
        <w:rPr>
          <w:rFonts w:cs="Arial"/>
        </w:rPr>
      </w:pPr>
      <w:r w:rsidRPr="000A0A5F">
        <w:t>Table 5.8.3.2.4.2-1: Resource URI variables for resource "GMD via MBMS by xMB"</w:t>
      </w:r>
    </w:p>
    <w:tbl>
      <w:tblPr>
        <w:tblW w:w="494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970"/>
        <w:gridCol w:w="1312"/>
        <w:gridCol w:w="6378"/>
      </w:tblGrid>
      <w:tr w:rsidR="00CB0DD7" w:rsidRPr="000A0A5F" w:rsidTr="00FF0AF8">
        <w:trPr>
          <w:jc w:val="center"/>
        </w:trPr>
        <w:tc>
          <w:tcPr>
            <w:tcW w:w="1020" w:type="pct"/>
            <w:shd w:val="clear" w:color="000000" w:fill="C0C0C0"/>
          </w:tcPr>
          <w:p w:rsidR="00CB0DD7" w:rsidRPr="000A0A5F" w:rsidRDefault="00CB0DD7">
            <w:pPr>
              <w:pStyle w:val="TAH"/>
            </w:pPr>
            <w:r w:rsidRPr="000A0A5F">
              <w:t>Name</w:t>
            </w:r>
          </w:p>
        </w:tc>
        <w:tc>
          <w:tcPr>
            <w:tcW w:w="679" w:type="pct"/>
            <w:shd w:val="clear" w:color="000000" w:fill="C0C0C0"/>
          </w:tcPr>
          <w:p w:rsidR="00CB0DD7" w:rsidRPr="000A0A5F" w:rsidRDefault="00CB0DD7">
            <w:pPr>
              <w:pStyle w:val="TAH"/>
            </w:pPr>
            <w:r w:rsidRPr="000A0A5F">
              <w:t>Data type</w:t>
            </w:r>
          </w:p>
        </w:tc>
        <w:tc>
          <w:tcPr>
            <w:tcW w:w="3302" w:type="pct"/>
            <w:shd w:val="clear" w:color="000000" w:fill="C0C0C0"/>
            <w:vAlign w:val="center"/>
          </w:tcPr>
          <w:p w:rsidR="00CB0DD7" w:rsidRPr="000A0A5F" w:rsidRDefault="00CB0DD7">
            <w:pPr>
              <w:pStyle w:val="TAH"/>
            </w:pPr>
            <w:r w:rsidRPr="000A0A5F">
              <w:t>Definition</w:t>
            </w:r>
          </w:p>
        </w:tc>
      </w:tr>
      <w:tr w:rsidR="00CB0DD7" w:rsidRPr="000A0A5F" w:rsidTr="00FF0AF8">
        <w:trPr>
          <w:jc w:val="center"/>
        </w:trPr>
        <w:tc>
          <w:tcPr>
            <w:tcW w:w="1020" w:type="pct"/>
            <w:shd w:val="clear" w:color="auto" w:fill="auto"/>
          </w:tcPr>
          <w:p w:rsidR="00CB0DD7" w:rsidRPr="000A0A5F" w:rsidRDefault="00CB0DD7">
            <w:pPr>
              <w:pStyle w:val="TAL"/>
            </w:pPr>
            <w:r w:rsidRPr="000A0A5F">
              <w:t>apiRoot</w:t>
            </w:r>
          </w:p>
        </w:tc>
        <w:tc>
          <w:tcPr>
            <w:tcW w:w="679" w:type="pct"/>
          </w:tcPr>
          <w:p w:rsidR="00CB0DD7" w:rsidRPr="000A0A5F" w:rsidRDefault="00CB0DD7">
            <w:pPr>
              <w:pStyle w:val="TAL"/>
            </w:pPr>
            <w:r w:rsidRPr="000A0A5F">
              <w:t>string</w:t>
            </w:r>
          </w:p>
        </w:tc>
        <w:tc>
          <w:tcPr>
            <w:tcW w:w="3302" w:type="pct"/>
            <w:shd w:val="clear" w:color="auto" w:fill="auto"/>
            <w:vAlign w:val="center"/>
          </w:tcPr>
          <w:p w:rsidR="00CB0DD7" w:rsidRPr="000A0A5F" w:rsidRDefault="00CB0DD7">
            <w:pPr>
              <w:pStyle w:val="TAL"/>
            </w:pPr>
            <w:r w:rsidRPr="000A0A5F">
              <w:t>See clause</w:t>
            </w:r>
            <w:r w:rsidRPr="000A0A5F">
              <w:rPr>
                <w:lang w:val="en-US" w:eastAsia="zh-CN"/>
              </w:rPr>
              <w:t> </w:t>
            </w:r>
            <w:r w:rsidRPr="000A0A5F">
              <w:t>5.2.4.</w:t>
            </w:r>
          </w:p>
        </w:tc>
      </w:tr>
      <w:tr w:rsidR="00CB0DD7" w:rsidRPr="000A0A5F" w:rsidTr="00FF0AF8">
        <w:trPr>
          <w:jc w:val="center"/>
        </w:trPr>
        <w:tc>
          <w:tcPr>
            <w:tcW w:w="1020" w:type="pct"/>
            <w:shd w:val="clear" w:color="auto" w:fill="auto"/>
          </w:tcPr>
          <w:p w:rsidR="00CB0DD7" w:rsidRPr="000A0A5F" w:rsidRDefault="00CB0DD7">
            <w:pPr>
              <w:pStyle w:val="TAL"/>
            </w:pPr>
            <w:r w:rsidRPr="000A0A5F">
              <w:t>scsAsId</w:t>
            </w:r>
          </w:p>
        </w:tc>
        <w:tc>
          <w:tcPr>
            <w:tcW w:w="679" w:type="pct"/>
          </w:tcPr>
          <w:p w:rsidR="00CB0DD7" w:rsidRPr="000A0A5F" w:rsidRDefault="00CB0DD7">
            <w:pPr>
              <w:pStyle w:val="TAL"/>
            </w:pPr>
            <w:r w:rsidRPr="000A0A5F">
              <w:rPr>
                <w:rFonts w:hint="eastAsia"/>
                <w:lang w:eastAsia="zh-CN"/>
              </w:rPr>
              <w:t>s</w:t>
            </w:r>
            <w:r w:rsidRPr="000A0A5F">
              <w:rPr>
                <w:lang w:eastAsia="zh-CN"/>
              </w:rPr>
              <w:t>tring</w:t>
            </w:r>
          </w:p>
        </w:tc>
        <w:tc>
          <w:tcPr>
            <w:tcW w:w="3302" w:type="pct"/>
            <w:shd w:val="clear" w:color="auto" w:fill="auto"/>
            <w:vAlign w:val="center"/>
          </w:tcPr>
          <w:p w:rsidR="00CB0DD7" w:rsidRPr="000A0A5F" w:rsidRDefault="00CB0DD7">
            <w:pPr>
              <w:pStyle w:val="TAL"/>
            </w:pPr>
            <w:r w:rsidRPr="000A0A5F">
              <w:t>Identifier of the SCS/AS.</w:t>
            </w:r>
          </w:p>
        </w:tc>
      </w:tr>
      <w:tr w:rsidR="00CB0DD7" w:rsidRPr="000A0A5F" w:rsidTr="00FF0AF8">
        <w:trPr>
          <w:jc w:val="center"/>
        </w:trPr>
        <w:tc>
          <w:tcPr>
            <w:tcW w:w="1020" w:type="pct"/>
            <w:shd w:val="clear" w:color="auto" w:fill="auto"/>
          </w:tcPr>
          <w:p w:rsidR="00CB0DD7" w:rsidRPr="000A0A5F" w:rsidRDefault="00CB0DD7">
            <w:pPr>
              <w:pStyle w:val="TAL"/>
            </w:pPr>
            <w:r w:rsidRPr="000A0A5F">
              <w:rPr>
                <w:rFonts w:hint="eastAsia"/>
                <w:lang w:eastAsia="zh-CN"/>
              </w:rPr>
              <w:t>ServiceId</w:t>
            </w:r>
          </w:p>
        </w:tc>
        <w:tc>
          <w:tcPr>
            <w:tcW w:w="679" w:type="pct"/>
          </w:tcPr>
          <w:p w:rsidR="00CB0DD7" w:rsidRPr="000A0A5F" w:rsidRDefault="00CB0DD7">
            <w:pPr>
              <w:pStyle w:val="TAL"/>
              <w:rPr>
                <w:rFonts w:hint="eastAsia"/>
                <w:lang w:eastAsia="zh-CN"/>
              </w:rPr>
            </w:pPr>
            <w:r w:rsidRPr="000A0A5F">
              <w:t>string</w:t>
            </w:r>
          </w:p>
        </w:tc>
        <w:tc>
          <w:tcPr>
            <w:tcW w:w="3302" w:type="pct"/>
            <w:shd w:val="clear" w:color="auto" w:fill="auto"/>
            <w:vAlign w:val="center"/>
          </w:tcPr>
          <w:p w:rsidR="00CB0DD7" w:rsidRPr="000A0A5F" w:rsidRDefault="00CB0DD7">
            <w:pPr>
              <w:pStyle w:val="TAL"/>
            </w:pPr>
            <w:r w:rsidRPr="000A0A5F">
              <w:rPr>
                <w:rFonts w:hint="eastAsia"/>
                <w:lang w:eastAsia="zh-CN"/>
              </w:rPr>
              <w:t>Identifier of the service</w:t>
            </w:r>
          </w:p>
        </w:tc>
      </w:tr>
    </w:tbl>
    <w:p w:rsidR="00CB0DD7" w:rsidRPr="000A0A5F" w:rsidRDefault="00CB0DD7"/>
    <w:p w:rsidR="00CB0DD7" w:rsidRPr="000A0A5F" w:rsidRDefault="00CB0DD7">
      <w:pPr>
        <w:pStyle w:val="Heading6"/>
      </w:pPr>
      <w:bookmarkStart w:id="6319" w:name="_Toc11247652"/>
      <w:bookmarkStart w:id="6320" w:name="_Toc27044791"/>
      <w:bookmarkStart w:id="6321" w:name="_Toc36033833"/>
      <w:bookmarkStart w:id="6322" w:name="_Toc45131979"/>
      <w:bookmarkStart w:id="6323" w:name="_Toc49776264"/>
      <w:bookmarkStart w:id="6324" w:name="_Toc51747184"/>
      <w:bookmarkStart w:id="6325" w:name="_Toc66360751"/>
      <w:bookmarkStart w:id="6326" w:name="_Toc68105256"/>
      <w:bookmarkStart w:id="6327" w:name="_Toc74755886"/>
      <w:bookmarkStart w:id="6328" w:name="_Toc105674761"/>
      <w:bookmarkStart w:id="6329" w:name="_Toc130502817"/>
      <w:bookmarkStart w:id="6330" w:name="_Toc153625604"/>
      <w:r w:rsidRPr="000A0A5F">
        <w:t>5.8.3.2.4.3</w:t>
      </w:r>
      <w:r w:rsidRPr="000A0A5F">
        <w:tab/>
        <w:t>Resource methods</w:t>
      </w:r>
      <w:bookmarkEnd w:id="6319"/>
      <w:bookmarkEnd w:id="6320"/>
      <w:bookmarkEnd w:id="6321"/>
      <w:bookmarkEnd w:id="6322"/>
      <w:bookmarkEnd w:id="6323"/>
      <w:bookmarkEnd w:id="6324"/>
      <w:bookmarkEnd w:id="6325"/>
      <w:bookmarkEnd w:id="6326"/>
      <w:bookmarkEnd w:id="6327"/>
      <w:bookmarkEnd w:id="6328"/>
      <w:bookmarkEnd w:id="6329"/>
      <w:bookmarkEnd w:id="6330"/>
    </w:p>
    <w:p w:rsidR="00CB0DD7" w:rsidRPr="000A0A5F" w:rsidRDefault="00CB0DD7">
      <w:pPr>
        <w:pStyle w:val="Heading7"/>
      </w:pPr>
      <w:bookmarkStart w:id="6331" w:name="_Toc11247653"/>
      <w:bookmarkStart w:id="6332" w:name="_Toc27044792"/>
      <w:bookmarkStart w:id="6333" w:name="_Toc36033834"/>
      <w:bookmarkStart w:id="6334" w:name="_Toc45131980"/>
      <w:bookmarkStart w:id="6335" w:name="_Toc49776265"/>
      <w:bookmarkStart w:id="6336" w:name="_Toc51747185"/>
      <w:bookmarkStart w:id="6337" w:name="_Toc66360752"/>
      <w:bookmarkStart w:id="6338" w:name="_Toc68105257"/>
      <w:bookmarkStart w:id="6339" w:name="_Toc74755887"/>
      <w:bookmarkStart w:id="6340" w:name="_Toc105674762"/>
      <w:bookmarkStart w:id="6341" w:name="_Toc130502818"/>
      <w:bookmarkStart w:id="6342" w:name="_Toc153625605"/>
      <w:r w:rsidRPr="000A0A5F">
        <w:t>5.8.3.2.4.3.1</w:t>
      </w:r>
      <w:r w:rsidRPr="000A0A5F">
        <w:tab/>
        <w:t>GET</w:t>
      </w:r>
      <w:bookmarkEnd w:id="6331"/>
      <w:bookmarkEnd w:id="6332"/>
      <w:bookmarkEnd w:id="6333"/>
      <w:bookmarkEnd w:id="6334"/>
      <w:bookmarkEnd w:id="6335"/>
      <w:bookmarkEnd w:id="6336"/>
      <w:bookmarkEnd w:id="6337"/>
      <w:bookmarkEnd w:id="6338"/>
      <w:bookmarkEnd w:id="6339"/>
      <w:bookmarkEnd w:id="6340"/>
      <w:bookmarkEnd w:id="6341"/>
      <w:bookmarkEnd w:id="6342"/>
    </w:p>
    <w:p w:rsidR="00CB0DD7" w:rsidRPr="000A0A5F" w:rsidRDefault="00CB0DD7">
      <w:pPr>
        <w:rPr>
          <w:noProof/>
          <w:lang w:eastAsia="zh-CN"/>
        </w:rPr>
      </w:pPr>
      <w:r w:rsidRPr="000A0A5F">
        <w:rPr>
          <w:noProof/>
          <w:lang w:eastAsia="zh-CN"/>
        </w:rPr>
        <w:t xml:space="preserve">The GET method reads all of the group message delivery via MBMS by xMB resources for a given SCS/AS and a service identifier. It is initiated by the SCS/AS and answered by the SCEF. </w:t>
      </w:r>
    </w:p>
    <w:p w:rsidR="00CB0DD7" w:rsidRPr="000A0A5F" w:rsidRDefault="00CB0DD7">
      <w:pPr>
        <w:rPr>
          <w:rFonts w:hint="eastAsia"/>
          <w:lang w:eastAsia="zh-CN"/>
        </w:rPr>
      </w:pPr>
      <w:r w:rsidRPr="000A0A5F">
        <w:t>This method shall support request and response data structures, and response codes, as specified in the table 5.8.3.2.4.3.1-1.</w:t>
      </w:r>
    </w:p>
    <w:p w:rsidR="00CB0DD7" w:rsidRPr="000A0A5F" w:rsidRDefault="00CB0DD7">
      <w:pPr>
        <w:pStyle w:val="TH"/>
        <w:rPr>
          <w:rFonts w:hint="eastAsia"/>
          <w:lang w:eastAsia="zh-CN"/>
        </w:rPr>
      </w:pPr>
      <w:r w:rsidRPr="000A0A5F">
        <w:t>Table 5.</w:t>
      </w:r>
      <w:r w:rsidRPr="000A0A5F">
        <w:rPr>
          <w:lang w:eastAsia="zh-CN"/>
        </w:rPr>
        <w:t>8</w:t>
      </w:r>
      <w:r w:rsidRPr="000A0A5F">
        <w:t>.3.2.4.3.</w:t>
      </w:r>
      <w:r w:rsidRPr="000A0A5F">
        <w:rPr>
          <w:lang w:eastAsia="zh-CN"/>
        </w:rPr>
        <w:t>1</w:t>
      </w:r>
      <w:r w:rsidRPr="000A0A5F">
        <w:rPr>
          <w:rFonts w:hint="eastAsia"/>
          <w:lang w:eastAsia="zh-CN"/>
        </w:rPr>
        <w:t>-1</w:t>
      </w:r>
      <w:r w:rsidRPr="000A0A5F">
        <w:t>: Data structures supported by the GET request/response by the resource</w:t>
      </w:r>
    </w:p>
    <w:tbl>
      <w:tblPr>
        <w:tblW w:w="4999" w:type="pct"/>
        <w:tblInd w:w="1" w:type="dxa"/>
        <w:tblBorders>
          <w:top w:val="single" w:sz="6" w:space="0" w:color="000000"/>
          <w:left w:val="single" w:sz="6" w:space="0" w:color="000000"/>
          <w:bottom w:val="single" w:sz="6" w:space="0" w:color="000000"/>
          <w:right w:val="single" w:sz="6" w:space="0" w:color="000000"/>
          <w:insideH w:val="single" w:sz="6" w:space="0" w:color="auto"/>
          <w:insideV w:val="single" w:sz="6" w:space="0" w:color="000000"/>
        </w:tblBorders>
        <w:tblLayout w:type="fixed"/>
        <w:tblCellMar>
          <w:top w:w="45" w:type="dxa"/>
          <w:left w:w="45" w:type="dxa"/>
          <w:bottom w:w="45" w:type="dxa"/>
          <w:right w:w="45" w:type="dxa"/>
        </w:tblCellMar>
        <w:tblLook w:val="0000" w:firstRow="0" w:lastRow="0" w:firstColumn="0" w:lastColumn="0" w:noHBand="0" w:noVBand="0"/>
      </w:tblPr>
      <w:tblGrid>
        <w:gridCol w:w="1033"/>
        <w:gridCol w:w="2127"/>
        <w:gridCol w:w="1053"/>
        <w:gridCol w:w="973"/>
        <w:gridCol w:w="4543"/>
        <w:tblGridChange w:id="6343">
          <w:tblGrid>
            <w:gridCol w:w="1033"/>
            <w:gridCol w:w="2127"/>
            <w:gridCol w:w="1053"/>
            <w:gridCol w:w="973"/>
            <w:gridCol w:w="4543"/>
          </w:tblGrid>
        </w:tblGridChange>
      </w:tblGrid>
      <w:tr w:rsidR="00CB0DD7" w:rsidRPr="000A0A5F" w:rsidTr="00790FC9">
        <w:tc>
          <w:tcPr>
            <w:tcW w:w="531" w:type="pct"/>
            <w:vMerge w:val="restart"/>
            <w:shd w:val="clear" w:color="auto" w:fill="C0C0C0"/>
            <w:vAlign w:val="center"/>
          </w:tcPr>
          <w:p w:rsidR="00CB0DD7" w:rsidRPr="000A0A5F" w:rsidRDefault="00CB0DD7">
            <w:pPr>
              <w:pStyle w:val="TAH"/>
            </w:pPr>
            <w:r w:rsidRPr="000A0A5F">
              <w:t>Request body</w:t>
            </w:r>
          </w:p>
        </w:tc>
        <w:tc>
          <w:tcPr>
            <w:tcW w:w="1093" w:type="pct"/>
            <w:shd w:val="clear" w:color="auto" w:fill="C0C0C0"/>
          </w:tcPr>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r w:rsidRPr="000A0A5F">
              <w:t>Cardinality</w:t>
            </w:r>
          </w:p>
        </w:tc>
        <w:tc>
          <w:tcPr>
            <w:tcW w:w="2835" w:type="pct"/>
            <w:gridSpan w:val="2"/>
            <w:shd w:val="clear" w:color="auto" w:fill="C0C0C0"/>
          </w:tcPr>
          <w:p w:rsidR="00CB0DD7" w:rsidRPr="000A0A5F" w:rsidRDefault="00CB0DD7">
            <w:pPr>
              <w:pStyle w:val="TAH"/>
            </w:pPr>
            <w:r w:rsidRPr="000A0A5F">
              <w:t>Remarks</w:t>
            </w:r>
          </w:p>
        </w:tc>
      </w:tr>
      <w:tr w:rsidR="00CB0DD7" w:rsidRPr="000A0A5F" w:rsidTr="00FF0AF8">
        <w:tc>
          <w:tcPr>
            <w:tcW w:w="531"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rPr>
                <w:lang w:eastAsia="zh-CN"/>
              </w:rPr>
              <w:t>N</w:t>
            </w:r>
            <w:r w:rsidRPr="000A0A5F">
              <w:rPr>
                <w:rFonts w:hint="eastAsia"/>
                <w:lang w:eastAsia="zh-CN"/>
              </w:rPr>
              <w:t>one</w:t>
            </w:r>
          </w:p>
        </w:tc>
        <w:tc>
          <w:tcPr>
            <w:tcW w:w="541" w:type="pct"/>
          </w:tcPr>
          <w:p w:rsidR="00CB0DD7" w:rsidRPr="000A0A5F" w:rsidRDefault="00CB0DD7">
            <w:pPr>
              <w:pStyle w:val="TAL"/>
            </w:pPr>
          </w:p>
        </w:tc>
        <w:tc>
          <w:tcPr>
            <w:tcW w:w="2835" w:type="pct"/>
            <w:gridSpan w:val="2"/>
          </w:tcPr>
          <w:p w:rsidR="00CB0DD7" w:rsidRPr="000A0A5F" w:rsidRDefault="00CB0DD7">
            <w:pPr>
              <w:pStyle w:val="TAL"/>
            </w:pPr>
          </w:p>
        </w:tc>
      </w:tr>
      <w:tr w:rsidR="00CB0DD7" w:rsidRPr="000A0A5F" w:rsidTr="00790FC9">
        <w:tc>
          <w:tcPr>
            <w:tcW w:w="531" w:type="pct"/>
            <w:vMerge w:val="restart"/>
            <w:shd w:val="clear" w:color="auto" w:fill="C0C0C0"/>
            <w:vAlign w:val="center"/>
          </w:tcPr>
          <w:p w:rsidR="00CB0DD7" w:rsidRPr="000A0A5F" w:rsidRDefault="00CB0DD7">
            <w:pPr>
              <w:pStyle w:val="TAH"/>
            </w:pPr>
            <w:r w:rsidRPr="000A0A5F">
              <w:t>Response body</w:t>
            </w:r>
          </w:p>
        </w:tc>
        <w:tc>
          <w:tcPr>
            <w:tcW w:w="1093" w:type="pct"/>
            <w:shd w:val="clear" w:color="auto" w:fill="C0C0C0"/>
          </w:tcPr>
          <w:p w:rsidR="00CB0DD7" w:rsidRPr="000A0A5F" w:rsidRDefault="00CB0DD7">
            <w:pPr>
              <w:pStyle w:val="TAH"/>
            </w:pPr>
          </w:p>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p>
          <w:p w:rsidR="00CB0DD7" w:rsidRPr="000A0A5F" w:rsidRDefault="00CB0DD7">
            <w:pPr>
              <w:pStyle w:val="TAH"/>
            </w:pPr>
            <w:r w:rsidRPr="000A0A5F">
              <w:t>Cardinality</w:t>
            </w:r>
          </w:p>
        </w:tc>
        <w:tc>
          <w:tcPr>
            <w:tcW w:w="500" w:type="pct"/>
            <w:shd w:val="clear" w:color="auto" w:fill="C0C0C0"/>
          </w:tcPr>
          <w:p w:rsidR="00CB0DD7" w:rsidRPr="000A0A5F" w:rsidRDefault="00CB0DD7">
            <w:pPr>
              <w:pStyle w:val="TAH"/>
            </w:pPr>
            <w:r w:rsidRPr="000A0A5F">
              <w:t>Response</w:t>
            </w:r>
          </w:p>
          <w:p w:rsidR="00CB0DD7" w:rsidRPr="000A0A5F" w:rsidRDefault="00CB0DD7">
            <w:pPr>
              <w:pStyle w:val="TAH"/>
            </w:pPr>
            <w:r w:rsidRPr="000A0A5F">
              <w:t>codes</w:t>
            </w:r>
          </w:p>
        </w:tc>
        <w:tc>
          <w:tcPr>
            <w:tcW w:w="2335" w:type="pct"/>
            <w:shd w:val="clear" w:color="auto" w:fill="C0C0C0"/>
          </w:tcPr>
          <w:p w:rsidR="00CB0DD7" w:rsidRPr="000A0A5F" w:rsidRDefault="00CB0DD7">
            <w:pPr>
              <w:pStyle w:val="TAH"/>
            </w:pPr>
          </w:p>
          <w:p w:rsidR="00CB0DD7" w:rsidRPr="000A0A5F" w:rsidRDefault="00CB0DD7">
            <w:pPr>
              <w:pStyle w:val="TAH"/>
            </w:pPr>
            <w:r w:rsidRPr="000A0A5F">
              <w:t>Remarks</w:t>
            </w:r>
          </w:p>
        </w:tc>
      </w:tr>
      <w:tr w:rsidR="00CB0DD7" w:rsidRPr="000A0A5F" w:rsidTr="00FF0AF8">
        <w:tc>
          <w:tcPr>
            <w:tcW w:w="531"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rPr>
                <w:lang w:eastAsia="zh-CN"/>
              </w:rPr>
              <w:t>array(GMDViaMBMSByxMB)</w:t>
            </w:r>
          </w:p>
        </w:tc>
        <w:tc>
          <w:tcPr>
            <w:tcW w:w="541" w:type="pct"/>
          </w:tcPr>
          <w:p w:rsidR="00CB0DD7" w:rsidRPr="000A0A5F" w:rsidRDefault="00CB0DD7">
            <w:pPr>
              <w:pStyle w:val="TAL"/>
              <w:rPr>
                <w:rFonts w:hint="eastAsia"/>
                <w:lang w:eastAsia="zh-CN"/>
              </w:rPr>
            </w:pPr>
            <w:r w:rsidRPr="000A0A5F">
              <w:rPr>
                <w:rFonts w:hint="eastAsia"/>
                <w:lang w:eastAsia="zh-CN"/>
              </w:rPr>
              <w:t>0..N</w:t>
            </w:r>
          </w:p>
        </w:tc>
        <w:tc>
          <w:tcPr>
            <w:tcW w:w="500" w:type="pct"/>
          </w:tcPr>
          <w:p w:rsidR="00CB0DD7" w:rsidRPr="000A0A5F" w:rsidRDefault="00CB0DD7">
            <w:pPr>
              <w:pStyle w:val="TAL"/>
            </w:pPr>
            <w:r w:rsidRPr="000A0A5F">
              <w:t>200 OK</w:t>
            </w:r>
          </w:p>
        </w:tc>
        <w:tc>
          <w:tcPr>
            <w:tcW w:w="2335" w:type="pct"/>
          </w:tcPr>
          <w:p w:rsidR="00CB0DD7" w:rsidRPr="000A0A5F" w:rsidRDefault="00CB0DD7">
            <w:pPr>
              <w:pStyle w:val="TAL"/>
              <w:rPr>
                <w:rFonts w:hint="eastAsia"/>
                <w:lang w:eastAsia="zh-CN"/>
              </w:rPr>
            </w:pPr>
            <w:r w:rsidRPr="000A0A5F">
              <w:rPr>
                <w:lang w:eastAsia="zh-CN"/>
              </w:rPr>
              <w:t xml:space="preserve">The list of </w:t>
            </w:r>
            <w:r w:rsidRPr="000A0A5F">
              <w:t>"</w:t>
            </w:r>
            <w:r w:rsidRPr="000A0A5F">
              <w:rPr>
                <w:lang w:eastAsia="zh-CN"/>
              </w:rPr>
              <w:t>GMDViaMBMSByxMB</w:t>
            </w:r>
            <w:r w:rsidRPr="000A0A5F">
              <w:t xml:space="preserve">" data </w:t>
            </w:r>
            <w:r w:rsidRPr="000A0A5F">
              <w:rPr>
                <w:rFonts w:hint="eastAsia"/>
                <w:lang w:eastAsia="zh-CN"/>
              </w:rPr>
              <w:t xml:space="preserve">for the SCS/AS </w:t>
            </w:r>
            <w:r w:rsidRPr="000A0A5F">
              <w:rPr>
                <w:lang w:eastAsia="zh-CN"/>
              </w:rPr>
              <w:t>and the service identifier are returned.</w:t>
            </w:r>
          </w:p>
        </w:tc>
      </w:tr>
      <w:tr w:rsidR="00CB0DD7" w:rsidRPr="000A0A5F" w:rsidTr="00FF0AF8">
        <w:tc>
          <w:tcPr>
            <w:tcW w:w="531"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lang w:eastAsia="zh-CN"/>
              </w:rPr>
            </w:pPr>
            <w:r w:rsidRPr="000A0A5F">
              <w:t>none</w:t>
            </w:r>
          </w:p>
        </w:tc>
        <w:tc>
          <w:tcPr>
            <w:tcW w:w="541" w:type="pct"/>
          </w:tcPr>
          <w:p w:rsidR="00CB0DD7" w:rsidRPr="000A0A5F" w:rsidRDefault="00CB0DD7">
            <w:pPr>
              <w:pStyle w:val="TAL"/>
              <w:rPr>
                <w:rFonts w:hint="eastAsia"/>
                <w:lang w:eastAsia="zh-CN"/>
              </w:rPr>
            </w:pPr>
          </w:p>
        </w:tc>
        <w:tc>
          <w:tcPr>
            <w:tcW w:w="500" w:type="pct"/>
          </w:tcPr>
          <w:p w:rsidR="00CB0DD7" w:rsidRPr="000A0A5F" w:rsidRDefault="00CB0DD7">
            <w:pPr>
              <w:pStyle w:val="TAL"/>
            </w:pPr>
            <w:r w:rsidRPr="000A0A5F">
              <w:t>307 Temporary Redirect</w:t>
            </w:r>
          </w:p>
        </w:tc>
        <w:tc>
          <w:tcPr>
            <w:tcW w:w="2335" w:type="pct"/>
          </w:tcPr>
          <w:p w:rsidR="00CB0DD7" w:rsidRPr="000A0A5F" w:rsidRDefault="00CB0DD7">
            <w:pPr>
              <w:pStyle w:val="TAL"/>
            </w:pPr>
            <w:r w:rsidRPr="000A0A5F">
              <w:t xml:space="preserve">Temporary redirection, during </w:t>
            </w:r>
            <w:r w:rsidRPr="000A0A5F">
              <w:rPr>
                <w:rFonts w:hint="eastAsia"/>
                <w:lang w:eastAsia="zh-CN"/>
              </w:rPr>
              <w:t>resource</w:t>
            </w:r>
            <w:r w:rsidRPr="000A0A5F">
              <w:t xml:space="preserve"> retrieval. The response shall include a Location header field containing an alternative URI of the resource located in an alternative SCEF.</w:t>
            </w:r>
          </w:p>
          <w:p w:rsidR="00CB0DD7" w:rsidRPr="000A0A5F" w:rsidRDefault="00CB0DD7">
            <w:pPr>
              <w:pStyle w:val="TAL"/>
              <w:rPr>
                <w:lang w:eastAsia="zh-CN"/>
              </w:rPr>
            </w:pPr>
            <w:r w:rsidRPr="000A0A5F">
              <w:t>Redirection handling is described in clause 5.2.10.</w:t>
            </w:r>
          </w:p>
        </w:tc>
      </w:tr>
      <w:tr w:rsidR="00CB0DD7" w:rsidRPr="000A0A5F" w:rsidTr="00FF0AF8">
        <w:tc>
          <w:tcPr>
            <w:tcW w:w="531"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lang w:eastAsia="zh-CN"/>
              </w:rPr>
            </w:pPr>
            <w:r w:rsidRPr="000A0A5F">
              <w:t>none</w:t>
            </w:r>
          </w:p>
        </w:tc>
        <w:tc>
          <w:tcPr>
            <w:tcW w:w="541" w:type="pct"/>
          </w:tcPr>
          <w:p w:rsidR="00CB0DD7" w:rsidRPr="000A0A5F" w:rsidRDefault="00CB0DD7">
            <w:pPr>
              <w:pStyle w:val="TAL"/>
              <w:rPr>
                <w:rFonts w:hint="eastAsia"/>
                <w:lang w:eastAsia="zh-CN"/>
              </w:rPr>
            </w:pPr>
          </w:p>
        </w:tc>
        <w:tc>
          <w:tcPr>
            <w:tcW w:w="500" w:type="pct"/>
          </w:tcPr>
          <w:p w:rsidR="00CB0DD7" w:rsidRPr="000A0A5F" w:rsidRDefault="00CB0DD7">
            <w:pPr>
              <w:pStyle w:val="TAL"/>
            </w:pPr>
            <w:r w:rsidRPr="000A0A5F">
              <w:t>308 Permanent Redirect</w:t>
            </w:r>
          </w:p>
        </w:tc>
        <w:tc>
          <w:tcPr>
            <w:tcW w:w="2335" w:type="pct"/>
          </w:tcPr>
          <w:p w:rsidR="00CB0DD7" w:rsidRPr="000A0A5F" w:rsidRDefault="00CB0DD7">
            <w:pPr>
              <w:pStyle w:val="TAL"/>
            </w:pPr>
            <w:r w:rsidRPr="000A0A5F">
              <w:t xml:space="preserve">Permanent redirection, during </w:t>
            </w:r>
            <w:r w:rsidRPr="000A0A5F">
              <w:rPr>
                <w:rFonts w:hint="eastAsia"/>
                <w:lang w:eastAsia="zh-CN"/>
              </w:rPr>
              <w:t>resource</w:t>
            </w:r>
            <w:r w:rsidRPr="000A0A5F">
              <w:t xml:space="preserve"> retrieval. The response shall include a Location header field containing an alternative URI of the resource located in an alternative SCEF.</w:t>
            </w:r>
          </w:p>
          <w:p w:rsidR="00CB0DD7" w:rsidRPr="000A0A5F" w:rsidRDefault="00CB0DD7">
            <w:pPr>
              <w:pStyle w:val="TAL"/>
              <w:rPr>
                <w:lang w:eastAsia="zh-CN"/>
              </w:rPr>
            </w:pPr>
            <w:r w:rsidRPr="000A0A5F">
              <w:t>Redirection handling is described in clause 5.2.10.</w:t>
            </w:r>
          </w:p>
        </w:tc>
      </w:tr>
      <w:tr w:rsidR="00CB0DD7" w:rsidRPr="000A0A5F" w:rsidTr="00FF0AF8">
        <w:tc>
          <w:tcPr>
            <w:tcW w:w="5000" w:type="pct"/>
            <w:gridSpan w:val="5"/>
            <w:shd w:val="clear" w:color="auto" w:fill="auto"/>
            <w:vAlign w:val="center"/>
          </w:tcPr>
          <w:p w:rsidR="00CB0DD7" w:rsidRPr="000A0A5F" w:rsidRDefault="00CB0DD7">
            <w:pPr>
              <w:pStyle w:val="TAN"/>
            </w:pPr>
            <w:r w:rsidRPr="000A0A5F">
              <w:t>NOTE:</w:t>
            </w:r>
            <w:r w:rsidRPr="000A0A5F">
              <w:tab/>
              <w:t>The mandatory HTTP error status codes for the GET method listed in table 5.2.6-1 also apply.</w:t>
            </w:r>
          </w:p>
        </w:tc>
      </w:tr>
    </w:tbl>
    <w:p w:rsidR="00CB0DD7" w:rsidRPr="000A0A5F" w:rsidRDefault="00CB0DD7"/>
    <w:p w:rsidR="00CB0DD7" w:rsidRPr="000A0A5F" w:rsidRDefault="00CB0DD7">
      <w:pPr>
        <w:pStyle w:val="TH"/>
      </w:pPr>
      <w:r w:rsidRPr="000A0A5F">
        <w:t>Table 5.</w:t>
      </w:r>
      <w:r w:rsidRPr="000A0A5F">
        <w:rPr>
          <w:lang w:eastAsia="zh-CN"/>
        </w:rPr>
        <w:t>8</w:t>
      </w:r>
      <w:r w:rsidRPr="000A0A5F">
        <w:t>.3.2.4.3.</w:t>
      </w:r>
      <w:r w:rsidRPr="000A0A5F">
        <w:rPr>
          <w:lang w:eastAsia="zh-CN"/>
        </w:rPr>
        <w:t>1</w:t>
      </w:r>
      <w:r w:rsidRPr="000A0A5F">
        <w:t>-2: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CB0DD7">
      <w:pPr>
        <w:pStyle w:val="TH"/>
      </w:pPr>
      <w:r w:rsidRPr="000A0A5F">
        <w:t>Table 5.</w:t>
      </w:r>
      <w:r w:rsidRPr="000A0A5F">
        <w:rPr>
          <w:lang w:eastAsia="zh-CN"/>
        </w:rPr>
        <w:t>8</w:t>
      </w:r>
      <w:r w:rsidRPr="000A0A5F">
        <w:t>.3.2.4.3.</w:t>
      </w:r>
      <w:r w:rsidRPr="000A0A5F">
        <w:rPr>
          <w:lang w:eastAsia="zh-CN"/>
        </w:rPr>
        <w:t>1</w:t>
      </w:r>
      <w:r w:rsidRPr="000A0A5F">
        <w:t>-3: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CB0DD7">
      <w:pPr>
        <w:pStyle w:val="Heading7"/>
      </w:pPr>
      <w:bookmarkStart w:id="6344" w:name="_Toc11247654"/>
      <w:bookmarkStart w:id="6345" w:name="_Toc27044793"/>
      <w:bookmarkStart w:id="6346" w:name="_Toc36033835"/>
      <w:bookmarkStart w:id="6347" w:name="_Toc45131981"/>
      <w:bookmarkStart w:id="6348" w:name="_Toc49776266"/>
      <w:bookmarkStart w:id="6349" w:name="_Toc51747186"/>
      <w:bookmarkStart w:id="6350" w:name="_Toc66360753"/>
      <w:bookmarkStart w:id="6351" w:name="_Toc68105258"/>
      <w:bookmarkStart w:id="6352" w:name="_Toc74755888"/>
      <w:bookmarkStart w:id="6353" w:name="_Toc105674763"/>
      <w:bookmarkStart w:id="6354" w:name="_Toc130502819"/>
      <w:bookmarkStart w:id="6355" w:name="_Toc153625606"/>
      <w:r w:rsidRPr="000A0A5F">
        <w:t>5.8.3.2.4.3.2</w:t>
      </w:r>
      <w:r w:rsidRPr="000A0A5F">
        <w:tab/>
        <w:t>PUT</w:t>
      </w:r>
      <w:bookmarkEnd w:id="6344"/>
      <w:bookmarkEnd w:id="6345"/>
      <w:bookmarkEnd w:id="6346"/>
      <w:bookmarkEnd w:id="6347"/>
      <w:bookmarkEnd w:id="6348"/>
      <w:bookmarkEnd w:id="6349"/>
      <w:bookmarkEnd w:id="6350"/>
      <w:bookmarkEnd w:id="6351"/>
      <w:bookmarkEnd w:id="6352"/>
      <w:bookmarkEnd w:id="6353"/>
      <w:bookmarkEnd w:id="6354"/>
      <w:bookmarkEnd w:id="6355"/>
    </w:p>
    <w:p w:rsidR="00CB0DD7" w:rsidRPr="000A0A5F" w:rsidRDefault="00CB0DD7">
      <w:r w:rsidRPr="000A0A5F">
        <w:rPr>
          <w:rFonts w:hint="eastAsia"/>
          <w:lang w:eastAsia="zh-CN"/>
        </w:rPr>
        <w:t xml:space="preserve">This </w:t>
      </w:r>
      <w:r w:rsidRPr="000A0A5F">
        <w:rPr>
          <w:lang w:eastAsia="zh-CN"/>
        </w:rPr>
        <w:t>HTTP method is not supported for the resource.</w:t>
      </w:r>
    </w:p>
    <w:p w:rsidR="00CB0DD7" w:rsidRPr="000A0A5F" w:rsidRDefault="00CB0DD7">
      <w:pPr>
        <w:pStyle w:val="Heading7"/>
      </w:pPr>
      <w:bookmarkStart w:id="6356" w:name="_Toc11247655"/>
      <w:bookmarkStart w:id="6357" w:name="_Toc27044794"/>
      <w:bookmarkStart w:id="6358" w:name="_Toc36033836"/>
      <w:bookmarkStart w:id="6359" w:name="_Toc45131982"/>
      <w:bookmarkStart w:id="6360" w:name="_Toc49776267"/>
      <w:bookmarkStart w:id="6361" w:name="_Toc51747187"/>
      <w:bookmarkStart w:id="6362" w:name="_Toc66360754"/>
      <w:bookmarkStart w:id="6363" w:name="_Toc68105259"/>
      <w:bookmarkStart w:id="6364" w:name="_Toc74755889"/>
      <w:bookmarkStart w:id="6365" w:name="_Toc105674764"/>
      <w:bookmarkStart w:id="6366" w:name="_Toc130502820"/>
      <w:bookmarkStart w:id="6367" w:name="_Toc153625607"/>
      <w:r w:rsidRPr="000A0A5F">
        <w:t>5.8.3.2.4.3.3</w:t>
      </w:r>
      <w:r w:rsidRPr="000A0A5F">
        <w:tab/>
        <w:t>PATCH</w:t>
      </w:r>
      <w:bookmarkEnd w:id="6356"/>
      <w:bookmarkEnd w:id="6357"/>
      <w:bookmarkEnd w:id="6358"/>
      <w:bookmarkEnd w:id="6359"/>
      <w:bookmarkEnd w:id="6360"/>
      <w:bookmarkEnd w:id="6361"/>
      <w:bookmarkEnd w:id="6362"/>
      <w:bookmarkEnd w:id="6363"/>
      <w:bookmarkEnd w:id="6364"/>
      <w:bookmarkEnd w:id="6365"/>
      <w:bookmarkEnd w:id="6366"/>
      <w:bookmarkEnd w:id="6367"/>
    </w:p>
    <w:p w:rsidR="00CB0DD7" w:rsidRPr="000A0A5F" w:rsidRDefault="00CB0DD7">
      <w:r w:rsidRPr="000A0A5F">
        <w:rPr>
          <w:rFonts w:hint="eastAsia"/>
          <w:lang w:eastAsia="zh-CN"/>
        </w:rPr>
        <w:t xml:space="preserve">This </w:t>
      </w:r>
      <w:r w:rsidRPr="000A0A5F">
        <w:rPr>
          <w:lang w:eastAsia="zh-CN"/>
        </w:rPr>
        <w:t>HTTP method is not supported for the resource.</w:t>
      </w:r>
    </w:p>
    <w:p w:rsidR="00CB0DD7" w:rsidRPr="000A0A5F" w:rsidRDefault="00CB0DD7">
      <w:pPr>
        <w:pStyle w:val="Heading7"/>
      </w:pPr>
      <w:bookmarkStart w:id="6368" w:name="_Toc11247656"/>
      <w:bookmarkStart w:id="6369" w:name="_Toc27044795"/>
      <w:bookmarkStart w:id="6370" w:name="_Toc36033837"/>
      <w:bookmarkStart w:id="6371" w:name="_Toc45131983"/>
      <w:bookmarkStart w:id="6372" w:name="_Toc49776268"/>
      <w:bookmarkStart w:id="6373" w:name="_Toc51747188"/>
      <w:bookmarkStart w:id="6374" w:name="_Toc66360755"/>
      <w:bookmarkStart w:id="6375" w:name="_Toc68105260"/>
      <w:bookmarkStart w:id="6376" w:name="_Toc74755890"/>
      <w:bookmarkStart w:id="6377" w:name="_Toc105674765"/>
      <w:bookmarkStart w:id="6378" w:name="_Toc130502821"/>
      <w:bookmarkStart w:id="6379" w:name="_Toc153625608"/>
      <w:r w:rsidRPr="000A0A5F">
        <w:t>5.8.3.2.4.3.4</w:t>
      </w:r>
      <w:r w:rsidRPr="000A0A5F">
        <w:tab/>
        <w:t>POST</w:t>
      </w:r>
      <w:bookmarkEnd w:id="6368"/>
      <w:bookmarkEnd w:id="6369"/>
      <w:bookmarkEnd w:id="6370"/>
      <w:bookmarkEnd w:id="6371"/>
      <w:bookmarkEnd w:id="6372"/>
      <w:bookmarkEnd w:id="6373"/>
      <w:bookmarkEnd w:id="6374"/>
      <w:bookmarkEnd w:id="6375"/>
      <w:bookmarkEnd w:id="6376"/>
      <w:bookmarkEnd w:id="6377"/>
      <w:bookmarkEnd w:id="6378"/>
      <w:bookmarkEnd w:id="6379"/>
    </w:p>
    <w:p w:rsidR="00CB0DD7" w:rsidRPr="000A0A5F" w:rsidRDefault="00CB0DD7">
      <w:pPr>
        <w:rPr>
          <w:rFonts w:hint="eastAsia"/>
          <w:lang w:eastAsia="zh-CN"/>
        </w:rPr>
      </w:pPr>
      <w:r w:rsidRPr="000A0A5F">
        <w:rPr>
          <w:noProof/>
          <w:lang w:eastAsia="zh-CN"/>
        </w:rPr>
        <w:t xml:space="preserve">The POST method creates a new group message delivery via MBMS resource for a given SCS/AS and service Id selected by the SCS/AS. It is initiated by the SCS/AS and answered by the SCEF. </w:t>
      </w:r>
      <w:r w:rsidRPr="000A0A5F">
        <w:t>This method shall support request and response data structures, and response codes, as specified in the table 5.8.3.2.4.3.4-1.</w:t>
      </w:r>
    </w:p>
    <w:p w:rsidR="00CB0DD7" w:rsidRPr="000A0A5F" w:rsidRDefault="00CB0DD7">
      <w:pPr>
        <w:pStyle w:val="TH"/>
        <w:rPr>
          <w:rFonts w:hint="eastAsia"/>
          <w:lang w:eastAsia="zh-CN"/>
        </w:rPr>
      </w:pPr>
      <w:r w:rsidRPr="000A0A5F">
        <w:t>Table 5.</w:t>
      </w:r>
      <w:r w:rsidRPr="000A0A5F">
        <w:rPr>
          <w:lang w:eastAsia="zh-CN"/>
        </w:rPr>
        <w:t>8</w:t>
      </w:r>
      <w:r w:rsidRPr="000A0A5F">
        <w:t>.</w:t>
      </w:r>
      <w:r w:rsidRPr="000A0A5F">
        <w:rPr>
          <w:rFonts w:hint="eastAsia"/>
          <w:lang w:eastAsia="zh-CN"/>
        </w:rPr>
        <w:t>3</w:t>
      </w:r>
      <w:r w:rsidRPr="000A0A5F">
        <w:t>.2.4.3.</w:t>
      </w:r>
      <w:r w:rsidRPr="000A0A5F">
        <w:rPr>
          <w:rFonts w:hint="eastAsia"/>
          <w:lang w:eastAsia="zh-CN"/>
        </w:rPr>
        <w:t>4-1</w:t>
      </w:r>
      <w:r w:rsidRPr="000A0A5F">
        <w:t>: Data structures supported by the POST request/response by the resource</w:t>
      </w:r>
    </w:p>
    <w:tbl>
      <w:tblPr>
        <w:tblW w:w="4999" w:type="pct"/>
        <w:tblInd w:w="1" w:type="dxa"/>
        <w:tblBorders>
          <w:top w:val="single" w:sz="6" w:space="0" w:color="000000"/>
          <w:left w:val="single" w:sz="6" w:space="0" w:color="000000"/>
          <w:bottom w:val="single" w:sz="6" w:space="0" w:color="000000"/>
          <w:right w:val="single" w:sz="6" w:space="0" w:color="000000"/>
          <w:insideH w:val="single" w:sz="6" w:space="0" w:color="auto"/>
          <w:insideV w:val="single" w:sz="6" w:space="0" w:color="000000"/>
        </w:tblBorders>
        <w:tblLayout w:type="fixed"/>
        <w:tblCellMar>
          <w:top w:w="45" w:type="dxa"/>
          <w:left w:w="45" w:type="dxa"/>
          <w:bottom w:w="45" w:type="dxa"/>
          <w:right w:w="45" w:type="dxa"/>
        </w:tblCellMar>
        <w:tblLook w:val="0000" w:firstRow="0" w:lastRow="0" w:firstColumn="0" w:lastColumn="0" w:noHBand="0" w:noVBand="0"/>
      </w:tblPr>
      <w:tblGrid>
        <w:gridCol w:w="1033"/>
        <w:gridCol w:w="2127"/>
        <w:gridCol w:w="1053"/>
        <w:gridCol w:w="973"/>
        <w:gridCol w:w="4543"/>
        <w:tblGridChange w:id="6380">
          <w:tblGrid>
            <w:gridCol w:w="1033"/>
            <w:gridCol w:w="2127"/>
            <w:gridCol w:w="1053"/>
            <w:gridCol w:w="973"/>
            <w:gridCol w:w="4543"/>
          </w:tblGrid>
        </w:tblGridChange>
      </w:tblGrid>
      <w:tr w:rsidR="00CB0DD7" w:rsidRPr="000A0A5F" w:rsidTr="00790FC9">
        <w:tc>
          <w:tcPr>
            <w:tcW w:w="531" w:type="pct"/>
            <w:vMerge w:val="restart"/>
            <w:shd w:val="clear" w:color="auto" w:fill="C0C0C0"/>
            <w:vAlign w:val="center"/>
          </w:tcPr>
          <w:p w:rsidR="00CB0DD7" w:rsidRPr="000A0A5F" w:rsidRDefault="00CB0DD7">
            <w:pPr>
              <w:pStyle w:val="TAH"/>
            </w:pPr>
            <w:r w:rsidRPr="000A0A5F">
              <w:t>Request body</w:t>
            </w:r>
          </w:p>
        </w:tc>
        <w:tc>
          <w:tcPr>
            <w:tcW w:w="1093" w:type="pct"/>
            <w:shd w:val="clear" w:color="auto" w:fill="C0C0C0"/>
          </w:tcPr>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r w:rsidRPr="000A0A5F">
              <w:t>Cardinality</w:t>
            </w:r>
          </w:p>
        </w:tc>
        <w:tc>
          <w:tcPr>
            <w:tcW w:w="2835" w:type="pct"/>
            <w:gridSpan w:val="2"/>
            <w:shd w:val="clear" w:color="auto" w:fill="C0C0C0"/>
          </w:tcPr>
          <w:p w:rsidR="00CB0DD7" w:rsidRPr="000A0A5F" w:rsidRDefault="00CB0DD7">
            <w:pPr>
              <w:pStyle w:val="TAH"/>
            </w:pPr>
            <w:r w:rsidRPr="000A0A5F">
              <w:t>Remarks</w:t>
            </w:r>
          </w:p>
        </w:tc>
      </w:tr>
      <w:tr w:rsidR="00CB0DD7" w:rsidRPr="000A0A5F" w:rsidTr="00FF0AF8">
        <w:tc>
          <w:tcPr>
            <w:tcW w:w="531"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rPr>
                <w:lang w:eastAsia="zh-CN"/>
              </w:rPr>
              <w:t>GMDViaMBMSByxMB</w:t>
            </w:r>
          </w:p>
        </w:tc>
        <w:tc>
          <w:tcPr>
            <w:tcW w:w="541" w:type="pct"/>
          </w:tcPr>
          <w:p w:rsidR="00CB0DD7" w:rsidRPr="000A0A5F" w:rsidRDefault="00CB0DD7">
            <w:pPr>
              <w:pStyle w:val="TAL"/>
            </w:pPr>
            <w:r w:rsidRPr="000A0A5F">
              <w:t>1</w:t>
            </w:r>
          </w:p>
        </w:tc>
        <w:tc>
          <w:tcPr>
            <w:tcW w:w="2835" w:type="pct"/>
            <w:gridSpan w:val="2"/>
          </w:tcPr>
          <w:p w:rsidR="00CB0DD7" w:rsidRPr="000A0A5F" w:rsidRDefault="00CB0DD7">
            <w:pPr>
              <w:pStyle w:val="TAL"/>
            </w:pPr>
            <w:r w:rsidRPr="000A0A5F">
              <w:t xml:space="preserve">Parameters to </w:t>
            </w:r>
            <w:r w:rsidRPr="000A0A5F">
              <w:rPr>
                <w:rFonts w:hint="eastAsia"/>
                <w:lang w:eastAsia="zh-CN"/>
              </w:rPr>
              <w:t xml:space="preserve">create and authorize a </w:t>
            </w:r>
            <w:r w:rsidRPr="000A0A5F">
              <w:rPr>
                <w:lang w:eastAsia="zh-CN"/>
              </w:rPr>
              <w:t xml:space="preserve">group message delivery via MBMS </w:t>
            </w:r>
            <w:r w:rsidRPr="000A0A5F">
              <w:t>with the SCEF.</w:t>
            </w:r>
          </w:p>
        </w:tc>
      </w:tr>
      <w:tr w:rsidR="00CB0DD7" w:rsidRPr="000A0A5F" w:rsidTr="00790FC9">
        <w:tc>
          <w:tcPr>
            <w:tcW w:w="531" w:type="pct"/>
            <w:vMerge w:val="restart"/>
            <w:shd w:val="clear" w:color="auto" w:fill="C0C0C0"/>
            <w:vAlign w:val="center"/>
          </w:tcPr>
          <w:p w:rsidR="00CB0DD7" w:rsidRPr="000A0A5F" w:rsidRDefault="00CB0DD7">
            <w:pPr>
              <w:pStyle w:val="TAH"/>
            </w:pPr>
            <w:r w:rsidRPr="000A0A5F">
              <w:t>Response body</w:t>
            </w:r>
          </w:p>
        </w:tc>
        <w:tc>
          <w:tcPr>
            <w:tcW w:w="1093" w:type="pct"/>
            <w:shd w:val="clear" w:color="auto" w:fill="C0C0C0"/>
          </w:tcPr>
          <w:p w:rsidR="00CB0DD7" w:rsidRPr="000A0A5F" w:rsidRDefault="00CB0DD7">
            <w:pPr>
              <w:pStyle w:val="TAH"/>
            </w:pPr>
          </w:p>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p>
          <w:p w:rsidR="00CB0DD7" w:rsidRPr="000A0A5F" w:rsidRDefault="00CB0DD7">
            <w:pPr>
              <w:pStyle w:val="TAH"/>
            </w:pPr>
            <w:r w:rsidRPr="000A0A5F">
              <w:t>Cardinality</w:t>
            </w:r>
          </w:p>
        </w:tc>
        <w:tc>
          <w:tcPr>
            <w:tcW w:w="500" w:type="pct"/>
            <w:shd w:val="clear" w:color="auto" w:fill="C0C0C0"/>
          </w:tcPr>
          <w:p w:rsidR="00CB0DD7" w:rsidRPr="000A0A5F" w:rsidRDefault="00CB0DD7">
            <w:pPr>
              <w:pStyle w:val="TAH"/>
            </w:pPr>
            <w:r w:rsidRPr="000A0A5F">
              <w:t>Response</w:t>
            </w:r>
          </w:p>
          <w:p w:rsidR="00CB0DD7" w:rsidRPr="000A0A5F" w:rsidRDefault="00CB0DD7">
            <w:pPr>
              <w:pStyle w:val="TAH"/>
            </w:pPr>
            <w:r w:rsidRPr="000A0A5F">
              <w:t>codes</w:t>
            </w:r>
          </w:p>
        </w:tc>
        <w:tc>
          <w:tcPr>
            <w:tcW w:w="2335" w:type="pct"/>
            <w:shd w:val="clear" w:color="auto" w:fill="C0C0C0"/>
          </w:tcPr>
          <w:p w:rsidR="00CB0DD7" w:rsidRPr="000A0A5F" w:rsidRDefault="00CB0DD7">
            <w:pPr>
              <w:pStyle w:val="TAH"/>
            </w:pPr>
          </w:p>
          <w:p w:rsidR="00CB0DD7" w:rsidRPr="000A0A5F" w:rsidRDefault="00CB0DD7">
            <w:pPr>
              <w:pStyle w:val="TAH"/>
            </w:pPr>
            <w:r w:rsidRPr="000A0A5F">
              <w:t>Remarks</w:t>
            </w:r>
          </w:p>
        </w:tc>
      </w:tr>
      <w:tr w:rsidR="00CB0DD7" w:rsidRPr="000A0A5F" w:rsidTr="00FF0AF8">
        <w:tc>
          <w:tcPr>
            <w:tcW w:w="531"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rPr>
                <w:lang w:eastAsia="zh-CN"/>
              </w:rPr>
              <w:t>GMDViaMBMSByxMB</w:t>
            </w:r>
          </w:p>
        </w:tc>
        <w:tc>
          <w:tcPr>
            <w:tcW w:w="541" w:type="pct"/>
          </w:tcPr>
          <w:p w:rsidR="00CB0DD7" w:rsidRPr="000A0A5F" w:rsidRDefault="00CB0DD7">
            <w:pPr>
              <w:pStyle w:val="TAL"/>
              <w:rPr>
                <w:rFonts w:hint="eastAsia"/>
                <w:lang w:eastAsia="zh-CN"/>
              </w:rPr>
            </w:pPr>
            <w:r w:rsidRPr="000A0A5F">
              <w:rPr>
                <w:rFonts w:hint="eastAsia"/>
                <w:lang w:eastAsia="zh-CN"/>
              </w:rPr>
              <w:t>1</w:t>
            </w:r>
          </w:p>
        </w:tc>
        <w:tc>
          <w:tcPr>
            <w:tcW w:w="500" w:type="pct"/>
          </w:tcPr>
          <w:p w:rsidR="00CB0DD7" w:rsidRPr="000A0A5F" w:rsidRDefault="00CB0DD7">
            <w:pPr>
              <w:pStyle w:val="TAL"/>
            </w:pPr>
            <w:r w:rsidRPr="000A0A5F">
              <w:t>201 Created</w:t>
            </w:r>
          </w:p>
        </w:tc>
        <w:tc>
          <w:tcPr>
            <w:tcW w:w="2335" w:type="pct"/>
          </w:tcPr>
          <w:p w:rsidR="00CB0DD7" w:rsidRPr="000A0A5F" w:rsidRDefault="00CB0DD7">
            <w:pPr>
              <w:pStyle w:val="TAL"/>
            </w:pPr>
            <w:r w:rsidRPr="000A0A5F">
              <w:t xml:space="preserve">The creation of a group message delivery was created successfully. </w:t>
            </w:r>
          </w:p>
          <w:p w:rsidR="006E33A8" w:rsidRPr="000A0A5F" w:rsidRDefault="006E33A8" w:rsidP="006E33A8">
            <w:pPr>
              <w:pStyle w:val="TAL"/>
              <w:spacing w:beforeLines="50" w:before="120"/>
            </w:pPr>
            <w:r w:rsidRPr="000A0A5F">
              <w:t xml:space="preserve">The SCEF </w:t>
            </w:r>
            <w:r w:rsidRPr="000A0A5F">
              <w:rPr>
                <w:rFonts w:hint="eastAsia"/>
                <w:lang w:eastAsia="zh-CN"/>
              </w:rPr>
              <w:t>shall</w:t>
            </w:r>
            <w:r w:rsidRPr="000A0A5F">
              <w:t xml:space="preserve"> return a data structure of type "</w:t>
            </w:r>
            <w:r w:rsidRPr="000A0A5F">
              <w:rPr>
                <w:lang w:eastAsia="zh-CN"/>
              </w:rPr>
              <w:t>GMDViaMBMSByxMB</w:t>
            </w:r>
            <w:r w:rsidRPr="000A0A5F">
              <w:t>" in the response content.</w:t>
            </w:r>
          </w:p>
          <w:p w:rsidR="00CB0DD7" w:rsidRPr="000A0A5F" w:rsidRDefault="00CB0DD7">
            <w:pPr>
              <w:pStyle w:val="TAL"/>
              <w:spacing w:beforeLines="50" w:before="120"/>
              <w:rPr>
                <w:rFonts w:hint="eastAsia"/>
                <w:lang w:eastAsia="zh-CN"/>
              </w:rPr>
            </w:pPr>
            <w:r w:rsidRPr="000A0A5F">
              <w:t>On success, the HTTP response shall include a "Location" HTTP header that points to the created resource</w:t>
            </w:r>
            <w:r w:rsidRPr="000A0A5F">
              <w:rPr>
                <w:rFonts w:hint="eastAsia"/>
                <w:lang w:eastAsia="zh-CN"/>
              </w:rPr>
              <w:t xml:space="preserve"> URI </w:t>
            </w:r>
            <w:r w:rsidRPr="000A0A5F">
              <w:rPr>
                <w:lang w:eastAsia="zh-CN"/>
              </w:rPr>
              <w:t>identified</w:t>
            </w:r>
            <w:r w:rsidRPr="000A0A5F">
              <w:rPr>
                <w:rFonts w:hint="eastAsia"/>
                <w:lang w:eastAsia="zh-CN"/>
              </w:rPr>
              <w:t xml:space="preserve"> by the ScsAsId and the T</w:t>
            </w:r>
            <w:r w:rsidRPr="000A0A5F">
              <w:rPr>
                <w:lang w:eastAsia="zh-CN"/>
              </w:rPr>
              <w:t xml:space="preserve">ransaction </w:t>
            </w:r>
            <w:r w:rsidRPr="000A0A5F">
              <w:rPr>
                <w:rFonts w:hint="eastAsia"/>
                <w:lang w:eastAsia="zh-CN"/>
              </w:rPr>
              <w:t>Id</w:t>
            </w:r>
          </w:p>
        </w:tc>
      </w:tr>
      <w:tr w:rsidR="00CB0DD7" w:rsidRPr="000A0A5F" w:rsidTr="00FF0AF8">
        <w:tc>
          <w:tcPr>
            <w:tcW w:w="5000" w:type="pct"/>
            <w:gridSpan w:val="5"/>
            <w:shd w:val="clear" w:color="auto" w:fill="auto"/>
            <w:vAlign w:val="center"/>
          </w:tcPr>
          <w:p w:rsidR="00CB0DD7" w:rsidRPr="000A0A5F" w:rsidRDefault="00CB0DD7">
            <w:pPr>
              <w:pStyle w:val="TAN"/>
            </w:pPr>
            <w:r w:rsidRPr="000A0A5F">
              <w:t>NOTE:</w:t>
            </w:r>
            <w:r w:rsidRPr="000A0A5F">
              <w:tab/>
              <w:t>The mandatory HTTP error status codes for the POST method listed in table 5.2.6-1 also apply.</w:t>
            </w:r>
          </w:p>
        </w:tc>
      </w:tr>
    </w:tbl>
    <w:p w:rsidR="00CB0DD7" w:rsidRPr="000A0A5F" w:rsidRDefault="00CB0DD7">
      <w:pPr>
        <w:rPr>
          <w:noProof/>
        </w:rPr>
      </w:pPr>
    </w:p>
    <w:p w:rsidR="00CB0DD7" w:rsidRPr="000A0A5F" w:rsidRDefault="00CB0DD7">
      <w:pPr>
        <w:pStyle w:val="TH"/>
      </w:pPr>
      <w:r w:rsidRPr="000A0A5F">
        <w:t>Table</w:t>
      </w:r>
      <w:r w:rsidRPr="000A0A5F">
        <w:rPr>
          <w:noProof/>
        </w:rPr>
        <w:t> </w:t>
      </w:r>
      <w:r w:rsidRPr="000A0A5F">
        <w:t>5.</w:t>
      </w:r>
      <w:r w:rsidRPr="000A0A5F">
        <w:rPr>
          <w:lang w:eastAsia="zh-CN"/>
        </w:rPr>
        <w:t>8</w:t>
      </w:r>
      <w:r w:rsidRPr="000A0A5F">
        <w:t>.</w:t>
      </w:r>
      <w:r w:rsidRPr="000A0A5F">
        <w:rPr>
          <w:rFonts w:hint="eastAsia"/>
          <w:lang w:eastAsia="zh-CN"/>
        </w:rPr>
        <w:t>3</w:t>
      </w:r>
      <w:r w:rsidRPr="000A0A5F">
        <w:t>.2.4.3.</w:t>
      </w:r>
      <w:r w:rsidRPr="000A0A5F">
        <w:rPr>
          <w:rFonts w:hint="eastAsia"/>
          <w:lang w:eastAsia="zh-CN"/>
        </w:rPr>
        <w:t>4</w:t>
      </w:r>
      <w:r w:rsidRPr="000A0A5F">
        <w:t xml:space="preserve">-2: Headers supported by the 201 Response Code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846044">
        <w:trPr>
          <w:jc w:val="center"/>
        </w:trPr>
        <w:tc>
          <w:tcPr>
            <w:tcW w:w="825" w:type="pct"/>
            <w:tcBorders>
              <w:bottom w:val="single" w:sz="6" w:space="0" w:color="auto"/>
            </w:tcBorders>
            <w:shd w:val="clear" w:color="auto" w:fill="C0C0C0"/>
          </w:tcPr>
          <w:p w:rsidR="00CB0DD7" w:rsidRPr="000A0A5F" w:rsidRDefault="00CB0DD7">
            <w:pPr>
              <w:pStyle w:val="TAH"/>
            </w:pPr>
            <w:r w:rsidRPr="000A0A5F">
              <w:t>Name</w:t>
            </w:r>
          </w:p>
        </w:tc>
        <w:tc>
          <w:tcPr>
            <w:tcW w:w="732" w:type="pct"/>
            <w:tcBorders>
              <w:bottom w:val="single" w:sz="6" w:space="0" w:color="auto"/>
            </w:tcBorders>
            <w:shd w:val="clear" w:color="auto" w:fill="C0C0C0"/>
          </w:tcPr>
          <w:p w:rsidR="00CB0DD7" w:rsidRPr="000A0A5F" w:rsidRDefault="00CB0DD7">
            <w:pPr>
              <w:pStyle w:val="TAH"/>
            </w:pPr>
            <w:r w:rsidRPr="000A0A5F">
              <w:t>Data type</w:t>
            </w:r>
          </w:p>
        </w:tc>
        <w:tc>
          <w:tcPr>
            <w:tcW w:w="217" w:type="pct"/>
            <w:tcBorders>
              <w:bottom w:val="single" w:sz="6" w:space="0" w:color="auto"/>
            </w:tcBorders>
            <w:shd w:val="clear" w:color="auto" w:fill="C0C0C0"/>
          </w:tcPr>
          <w:p w:rsidR="00CB0DD7" w:rsidRPr="000A0A5F" w:rsidRDefault="00CB0DD7">
            <w:pPr>
              <w:pStyle w:val="TAH"/>
            </w:pPr>
            <w:r w:rsidRPr="000A0A5F">
              <w:t>P</w:t>
            </w:r>
          </w:p>
        </w:tc>
        <w:tc>
          <w:tcPr>
            <w:tcW w:w="581" w:type="pct"/>
            <w:tcBorders>
              <w:bottom w:val="single" w:sz="6" w:space="0" w:color="auto"/>
            </w:tcBorders>
            <w:shd w:val="clear" w:color="auto" w:fill="C0C0C0"/>
          </w:tcPr>
          <w:p w:rsidR="00CB0DD7" w:rsidRPr="000A0A5F" w:rsidRDefault="00CB0DD7">
            <w:pPr>
              <w:pStyle w:val="TAH"/>
            </w:pPr>
            <w:r w:rsidRPr="000A0A5F">
              <w:t>Cardinality</w:t>
            </w:r>
          </w:p>
        </w:tc>
        <w:tc>
          <w:tcPr>
            <w:tcW w:w="2645" w:type="pct"/>
            <w:tcBorders>
              <w:bottom w:val="single" w:sz="6" w:space="0" w:color="auto"/>
            </w:tcBorders>
            <w:shd w:val="clear" w:color="auto" w:fill="C0C0C0"/>
            <w:vAlign w:val="center"/>
          </w:tcPr>
          <w:p w:rsidR="00CB0DD7" w:rsidRPr="000A0A5F" w:rsidRDefault="00CB0DD7">
            <w:pPr>
              <w:pStyle w:val="TAH"/>
            </w:pPr>
            <w:r w:rsidRPr="000A0A5F">
              <w:t>Description</w:t>
            </w:r>
          </w:p>
        </w:tc>
      </w:tr>
      <w:tr w:rsidR="00CB0DD7" w:rsidRPr="000A0A5F" w:rsidTr="00846044">
        <w:trPr>
          <w:jc w:val="center"/>
        </w:trPr>
        <w:tc>
          <w:tcPr>
            <w:tcW w:w="825" w:type="pct"/>
            <w:tcBorders>
              <w:top w:val="single" w:sz="6" w:space="0" w:color="auto"/>
            </w:tcBorders>
            <w:shd w:val="clear" w:color="auto" w:fill="auto"/>
          </w:tcPr>
          <w:p w:rsidR="00CB0DD7" w:rsidRPr="000A0A5F" w:rsidRDefault="00CB0DD7">
            <w:pPr>
              <w:pStyle w:val="TAL"/>
            </w:pPr>
            <w:r w:rsidRPr="000A0A5F">
              <w:t>Location</w:t>
            </w:r>
          </w:p>
        </w:tc>
        <w:tc>
          <w:tcPr>
            <w:tcW w:w="732" w:type="pct"/>
            <w:tcBorders>
              <w:top w:val="single" w:sz="6" w:space="0" w:color="auto"/>
            </w:tcBorders>
          </w:tcPr>
          <w:p w:rsidR="00CB0DD7" w:rsidRPr="000A0A5F" w:rsidRDefault="00CB0DD7">
            <w:pPr>
              <w:pStyle w:val="TAL"/>
            </w:pPr>
            <w:r w:rsidRPr="000A0A5F">
              <w:t>string</w:t>
            </w:r>
          </w:p>
        </w:tc>
        <w:tc>
          <w:tcPr>
            <w:tcW w:w="217" w:type="pct"/>
            <w:tcBorders>
              <w:top w:val="single" w:sz="6" w:space="0" w:color="auto"/>
            </w:tcBorders>
          </w:tcPr>
          <w:p w:rsidR="00CB0DD7" w:rsidRPr="000A0A5F" w:rsidRDefault="00CB0DD7">
            <w:pPr>
              <w:pStyle w:val="TAC"/>
            </w:pPr>
            <w:r w:rsidRPr="000A0A5F">
              <w:t>M</w:t>
            </w:r>
          </w:p>
        </w:tc>
        <w:tc>
          <w:tcPr>
            <w:tcW w:w="581" w:type="pct"/>
            <w:tcBorders>
              <w:top w:val="single" w:sz="6" w:space="0" w:color="auto"/>
            </w:tcBorders>
          </w:tcPr>
          <w:p w:rsidR="00CB0DD7" w:rsidRPr="000A0A5F" w:rsidRDefault="00CB0DD7">
            <w:pPr>
              <w:pStyle w:val="TAL"/>
            </w:pPr>
            <w:r w:rsidRPr="000A0A5F">
              <w:t>1</w:t>
            </w:r>
          </w:p>
        </w:tc>
        <w:tc>
          <w:tcPr>
            <w:tcW w:w="2645" w:type="pct"/>
            <w:tcBorders>
              <w:top w:val="single" w:sz="6" w:space="0" w:color="auto"/>
            </w:tcBorders>
            <w:shd w:val="clear" w:color="auto" w:fill="auto"/>
            <w:vAlign w:val="center"/>
          </w:tcPr>
          <w:p w:rsidR="00CB0DD7" w:rsidRPr="000A0A5F" w:rsidRDefault="00CB0DD7">
            <w:pPr>
              <w:pStyle w:val="TAL"/>
            </w:pPr>
            <w:r w:rsidRPr="000A0A5F">
              <w:t>Contains the URI of the newly created resource, according to the structure:</w:t>
            </w:r>
            <w:r w:rsidRPr="000A0A5F">
              <w:rPr>
                <w:noProof/>
              </w:rPr>
              <w:t xml:space="preserve"> </w:t>
            </w:r>
            <w:r w:rsidRPr="000A0A5F">
              <w:t>{apiRoot}/3gpp-group-message-delivery-xmb/v1/{scsAsId}/services/{serviceId}/delivery-via-mbms/{transactionId}</w:t>
            </w:r>
          </w:p>
        </w:tc>
      </w:tr>
    </w:tbl>
    <w:p w:rsidR="00CB0DD7" w:rsidRPr="000A0A5F" w:rsidRDefault="00CB0DD7"/>
    <w:p w:rsidR="00CB0DD7" w:rsidRPr="000A0A5F" w:rsidRDefault="00CB0DD7">
      <w:pPr>
        <w:pStyle w:val="Heading7"/>
      </w:pPr>
      <w:bookmarkStart w:id="6381" w:name="_Toc11247657"/>
      <w:bookmarkStart w:id="6382" w:name="_Toc27044796"/>
      <w:bookmarkStart w:id="6383" w:name="_Toc36033838"/>
      <w:bookmarkStart w:id="6384" w:name="_Toc45131984"/>
      <w:bookmarkStart w:id="6385" w:name="_Toc49776269"/>
      <w:bookmarkStart w:id="6386" w:name="_Toc51747189"/>
      <w:bookmarkStart w:id="6387" w:name="_Toc66360756"/>
      <w:bookmarkStart w:id="6388" w:name="_Toc68105261"/>
      <w:bookmarkStart w:id="6389" w:name="_Toc74755891"/>
      <w:bookmarkStart w:id="6390" w:name="_Toc105674766"/>
      <w:bookmarkStart w:id="6391" w:name="_Toc130502822"/>
      <w:bookmarkStart w:id="6392" w:name="_Toc153625609"/>
      <w:r w:rsidRPr="000A0A5F">
        <w:t>5.8.3.2.4.3.5</w:t>
      </w:r>
      <w:r w:rsidRPr="000A0A5F">
        <w:tab/>
        <w:t>DELETE</w:t>
      </w:r>
      <w:bookmarkEnd w:id="6381"/>
      <w:bookmarkEnd w:id="6382"/>
      <w:bookmarkEnd w:id="6383"/>
      <w:bookmarkEnd w:id="6384"/>
      <w:bookmarkEnd w:id="6385"/>
      <w:bookmarkEnd w:id="6386"/>
      <w:bookmarkEnd w:id="6387"/>
      <w:bookmarkEnd w:id="6388"/>
      <w:bookmarkEnd w:id="6389"/>
      <w:bookmarkEnd w:id="6390"/>
      <w:bookmarkEnd w:id="6391"/>
      <w:bookmarkEnd w:id="6392"/>
    </w:p>
    <w:p w:rsidR="00CB0DD7" w:rsidRPr="000A0A5F" w:rsidRDefault="00CB0DD7">
      <w:pPr>
        <w:rPr>
          <w:lang w:eastAsia="zh-CN"/>
        </w:rPr>
      </w:pPr>
      <w:r w:rsidRPr="000A0A5F">
        <w:rPr>
          <w:rFonts w:hint="eastAsia"/>
          <w:lang w:eastAsia="zh-CN"/>
        </w:rPr>
        <w:t xml:space="preserve">This </w:t>
      </w:r>
      <w:r w:rsidRPr="000A0A5F">
        <w:rPr>
          <w:lang w:eastAsia="zh-CN"/>
        </w:rPr>
        <w:t>HTTP method is not supported for the resource.</w:t>
      </w:r>
    </w:p>
    <w:p w:rsidR="00CB0DD7" w:rsidRPr="000A0A5F" w:rsidRDefault="00CB0DD7">
      <w:pPr>
        <w:pStyle w:val="Heading5"/>
      </w:pPr>
      <w:bookmarkStart w:id="6393" w:name="_Toc11247658"/>
      <w:bookmarkStart w:id="6394" w:name="_Toc27044797"/>
      <w:bookmarkStart w:id="6395" w:name="_Toc36033839"/>
      <w:bookmarkStart w:id="6396" w:name="_Toc45131985"/>
      <w:bookmarkStart w:id="6397" w:name="_Toc49776270"/>
      <w:bookmarkStart w:id="6398" w:name="_Toc51747190"/>
      <w:bookmarkStart w:id="6399" w:name="_Toc66360757"/>
      <w:bookmarkStart w:id="6400" w:name="_Toc68105262"/>
      <w:bookmarkStart w:id="6401" w:name="_Toc74755892"/>
      <w:bookmarkStart w:id="6402" w:name="_Toc105674767"/>
      <w:bookmarkStart w:id="6403" w:name="_Toc130502823"/>
      <w:bookmarkStart w:id="6404" w:name="_Toc153625610"/>
      <w:r w:rsidRPr="000A0A5F">
        <w:t>5.8.3.2.5</w:t>
      </w:r>
      <w:r w:rsidRPr="000A0A5F">
        <w:tab/>
        <w:t>Resource: Individual GMD via MBMS by xMB</w:t>
      </w:r>
      <w:bookmarkEnd w:id="6393"/>
      <w:bookmarkEnd w:id="6394"/>
      <w:bookmarkEnd w:id="6395"/>
      <w:bookmarkEnd w:id="6396"/>
      <w:bookmarkEnd w:id="6397"/>
      <w:bookmarkEnd w:id="6398"/>
      <w:bookmarkEnd w:id="6399"/>
      <w:bookmarkEnd w:id="6400"/>
      <w:bookmarkEnd w:id="6401"/>
      <w:bookmarkEnd w:id="6402"/>
      <w:bookmarkEnd w:id="6403"/>
      <w:bookmarkEnd w:id="6404"/>
    </w:p>
    <w:p w:rsidR="00CB0DD7" w:rsidRPr="000A0A5F" w:rsidRDefault="00CB0DD7">
      <w:pPr>
        <w:pStyle w:val="Heading6"/>
      </w:pPr>
      <w:bookmarkStart w:id="6405" w:name="_Toc11247659"/>
      <w:bookmarkStart w:id="6406" w:name="_Toc27044798"/>
      <w:bookmarkStart w:id="6407" w:name="_Toc36033840"/>
      <w:bookmarkStart w:id="6408" w:name="_Toc45131986"/>
      <w:bookmarkStart w:id="6409" w:name="_Toc49776271"/>
      <w:bookmarkStart w:id="6410" w:name="_Toc51747191"/>
      <w:bookmarkStart w:id="6411" w:name="_Toc66360758"/>
      <w:bookmarkStart w:id="6412" w:name="_Toc68105263"/>
      <w:bookmarkStart w:id="6413" w:name="_Toc74755893"/>
      <w:bookmarkStart w:id="6414" w:name="_Toc105674768"/>
      <w:bookmarkStart w:id="6415" w:name="_Toc130502824"/>
      <w:bookmarkStart w:id="6416" w:name="_Toc153625611"/>
      <w:r w:rsidRPr="000A0A5F">
        <w:t>5.8.3.</w:t>
      </w:r>
      <w:r w:rsidRPr="000A0A5F">
        <w:rPr>
          <w:rFonts w:hint="eastAsia"/>
        </w:rPr>
        <w:t>2.</w:t>
      </w:r>
      <w:r w:rsidRPr="000A0A5F">
        <w:t>5.1</w:t>
      </w:r>
      <w:r w:rsidRPr="000A0A5F">
        <w:tab/>
        <w:t>Introduction</w:t>
      </w:r>
      <w:bookmarkEnd w:id="6405"/>
      <w:bookmarkEnd w:id="6406"/>
      <w:bookmarkEnd w:id="6407"/>
      <w:bookmarkEnd w:id="6408"/>
      <w:bookmarkEnd w:id="6409"/>
      <w:bookmarkEnd w:id="6410"/>
      <w:bookmarkEnd w:id="6411"/>
      <w:bookmarkEnd w:id="6412"/>
      <w:bookmarkEnd w:id="6413"/>
      <w:bookmarkEnd w:id="6414"/>
      <w:bookmarkEnd w:id="6415"/>
      <w:bookmarkEnd w:id="6416"/>
    </w:p>
    <w:p w:rsidR="00CB0DD7" w:rsidRPr="000A0A5F" w:rsidRDefault="00CB0DD7">
      <w:pPr>
        <w:rPr>
          <w:noProof/>
          <w:lang w:eastAsia="zh-CN"/>
        </w:rPr>
      </w:pPr>
      <w:r w:rsidRPr="000A0A5F">
        <w:rPr>
          <w:noProof/>
          <w:lang w:eastAsia="zh-CN"/>
        </w:rPr>
        <w:t>This resource allows t</w:t>
      </w:r>
      <w:r w:rsidRPr="000A0A5F">
        <w:rPr>
          <w:rFonts w:hint="eastAsia"/>
          <w:noProof/>
          <w:lang w:eastAsia="zh-CN"/>
        </w:rPr>
        <w:t xml:space="preserve">he SCS/AS </w:t>
      </w:r>
      <w:r w:rsidRPr="000A0A5F">
        <w:rPr>
          <w:noProof/>
          <w:lang w:eastAsia="zh-CN"/>
        </w:rPr>
        <w:t>to modify or delete a group message delivery via MBMS resource.</w:t>
      </w:r>
    </w:p>
    <w:p w:rsidR="00CB0DD7" w:rsidRPr="000A0A5F" w:rsidRDefault="00CB0DD7">
      <w:pPr>
        <w:pStyle w:val="Heading6"/>
      </w:pPr>
      <w:bookmarkStart w:id="6417" w:name="_Toc11247660"/>
      <w:bookmarkStart w:id="6418" w:name="_Toc27044799"/>
      <w:bookmarkStart w:id="6419" w:name="_Toc36033841"/>
      <w:bookmarkStart w:id="6420" w:name="_Toc45131987"/>
      <w:bookmarkStart w:id="6421" w:name="_Toc49776272"/>
      <w:bookmarkStart w:id="6422" w:name="_Toc51747192"/>
      <w:bookmarkStart w:id="6423" w:name="_Toc66360759"/>
      <w:bookmarkStart w:id="6424" w:name="_Toc68105264"/>
      <w:bookmarkStart w:id="6425" w:name="_Toc74755894"/>
      <w:bookmarkStart w:id="6426" w:name="_Toc105674769"/>
      <w:bookmarkStart w:id="6427" w:name="_Toc130502825"/>
      <w:bookmarkStart w:id="6428" w:name="_Toc153625612"/>
      <w:r w:rsidRPr="000A0A5F">
        <w:t>5.8.3.</w:t>
      </w:r>
      <w:r w:rsidRPr="000A0A5F">
        <w:rPr>
          <w:rFonts w:hint="eastAsia"/>
        </w:rPr>
        <w:t>2.</w:t>
      </w:r>
      <w:r w:rsidRPr="000A0A5F">
        <w:t>5.2</w:t>
      </w:r>
      <w:r w:rsidRPr="000A0A5F">
        <w:tab/>
        <w:t>Resource definition</w:t>
      </w:r>
      <w:bookmarkEnd w:id="6417"/>
      <w:bookmarkEnd w:id="6418"/>
      <w:bookmarkEnd w:id="6419"/>
      <w:bookmarkEnd w:id="6420"/>
      <w:bookmarkEnd w:id="6421"/>
      <w:bookmarkEnd w:id="6422"/>
      <w:bookmarkEnd w:id="6423"/>
      <w:bookmarkEnd w:id="6424"/>
      <w:bookmarkEnd w:id="6425"/>
      <w:bookmarkEnd w:id="6426"/>
      <w:bookmarkEnd w:id="6427"/>
      <w:bookmarkEnd w:id="6428"/>
    </w:p>
    <w:p w:rsidR="00CB0DD7" w:rsidRPr="000A0A5F" w:rsidRDefault="00CB0DD7">
      <w:pPr>
        <w:rPr>
          <w:b/>
        </w:rPr>
      </w:pPr>
      <w:r w:rsidRPr="000A0A5F">
        <w:t xml:space="preserve">Resource URI: </w:t>
      </w:r>
      <w:r w:rsidRPr="000A0A5F">
        <w:rPr>
          <w:b/>
        </w:rPr>
        <w:t>{apiRoot}/3gpp-</w:t>
      </w:r>
      <w:r w:rsidR="00A01FC4" w:rsidRPr="000A0A5F">
        <w:rPr>
          <w:b/>
        </w:rPr>
        <w:t>group</w:t>
      </w:r>
      <w:r w:rsidRPr="000A0A5F">
        <w:rPr>
          <w:b/>
        </w:rPr>
        <w:t>-</w:t>
      </w:r>
      <w:r w:rsidR="00A01FC4" w:rsidRPr="000A0A5F">
        <w:rPr>
          <w:b/>
        </w:rPr>
        <w:t>message-delivery</w:t>
      </w:r>
      <w:r w:rsidRPr="000A0A5F">
        <w:rPr>
          <w:b/>
        </w:rPr>
        <w:t>-xmb/v1/{scsAsId}/services/{serviceId}/delivery-via-mbms/{transactionId}</w:t>
      </w:r>
    </w:p>
    <w:p w:rsidR="00CB0DD7" w:rsidRPr="000A0A5F" w:rsidRDefault="00CB0DD7">
      <w:pPr>
        <w:rPr>
          <w:rFonts w:ascii="Arial" w:hAnsi="Arial" w:cs="Arial"/>
        </w:rPr>
      </w:pPr>
      <w:r w:rsidRPr="000A0A5F">
        <w:t>This resource shall support the resource URI variables defined in table 5.8.3.2.5.2-1</w:t>
      </w:r>
      <w:r w:rsidRPr="000A0A5F">
        <w:rPr>
          <w:rFonts w:ascii="Arial" w:hAnsi="Arial" w:cs="Arial"/>
        </w:rPr>
        <w:t>.</w:t>
      </w:r>
    </w:p>
    <w:p w:rsidR="00CB0DD7" w:rsidRPr="000A0A5F" w:rsidRDefault="00CB0DD7">
      <w:pPr>
        <w:pStyle w:val="TH"/>
        <w:rPr>
          <w:rFonts w:cs="Arial"/>
        </w:rPr>
      </w:pPr>
      <w:r w:rsidRPr="000A0A5F">
        <w:t>Table 5.8.3.2.5.2-1: Resource URI variables for resource "Individual GMD via MBMS by xMB"</w:t>
      </w:r>
    </w:p>
    <w:tbl>
      <w:tblPr>
        <w:tblW w:w="494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970"/>
        <w:gridCol w:w="1312"/>
        <w:gridCol w:w="6378"/>
      </w:tblGrid>
      <w:tr w:rsidR="00CB0DD7" w:rsidRPr="000A0A5F" w:rsidTr="00FF0AF8">
        <w:trPr>
          <w:jc w:val="center"/>
        </w:trPr>
        <w:tc>
          <w:tcPr>
            <w:tcW w:w="1020" w:type="pct"/>
            <w:shd w:val="clear" w:color="000000" w:fill="C0C0C0"/>
          </w:tcPr>
          <w:p w:rsidR="00CB0DD7" w:rsidRPr="000A0A5F" w:rsidRDefault="00CB0DD7">
            <w:pPr>
              <w:pStyle w:val="TAH"/>
            </w:pPr>
            <w:r w:rsidRPr="000A0A5F">
              <w:t>Name</w:t>
            </w:r>
          </w:p>
        </w:tc>
        <w:tc>
          <w:tcPr>
            <w:tcW w:w="679" w:type="pct"/>
            <w:shd w:val="clear" w:color="000000" w:fill="C0C0C0"/>
          </w:tcPr>
          <w:p w:rsidR="00CB0DD7" w:rsidRPr="000A0A5F" w:rsidRDefault="00CB0DD7">
            <w:pPr>
              <w:pStyle w:val="TAH"/>
            </w:pPr>
            <w:r w:rsidRPr="000A0A5F">
              <w:t>Data type</w:t>
            </w:r>
          </w:p>
        </w:tc>
        <w:tc>
          <w:tcPr>
            <w:tcW w:w="3302" w:type="pct"/>
            <w:shd w:val="clear" w:color="000000" w:fill="C0C0C0"/>
            <w:vAlign w:val="center"/>
          </w:tcPr>
          <w:p w:rsidR="00CB0DD7" w:rsidRPr="000A0A5F" w:rsidRDefault="00CB0DD7">
            <w:pPr>
              <w:pStyle w:val="TAH"/>
            </w:pPr>
            <w:r w:rsidRPr="000A0A5F">
              <w:t>Definition</w:t>
            </w:r>
          </w:p>
        </w:tc>
      </w:tr>
      <w:tr w:rsidR="00CB0DD7" w:rsidRPr="000A0A5F" w:rsidTr="00FF0AF8">
        <w:trPr>
          <w:jc w:val="center"/>
        </w:trPr>
        <w:tc>
          <w:tcPr>
            <w:tcW w:w="1020" w:type="pct"/>
            <w:shd w:val="clear" w:color="auto" w:fill="auto"/>
          </w:tcPr>
          <w:p w:rsidR="00CB0DD7" w:rsidRPr="000A0A5F" w:rsidRDefault="00CB0DD7">
            <w:pPr>
              <w:pStyle w:val="TAL"/>
            </w:pPr>
            <w:r w:rsidRPr="000A0A5F">
              <w:t>apiRoot</w:t>
            </w:r>
          </w:p>
        </w:tc>
        <w:tc>
          <w:tcPr>
            <w:tcW w:w="679" w:type="pct"/>
          </w:tcPr>
          <w:p w:rsidR="00CB0DD7" w:rsidRPr="000A0A5F" w:rsidRDefault="00CB0DD7">
            <w:pPr>
              <w:pStyle w:val="TAL"/>
            </w:pPr>
            <w:r w:rsidRPr="000A0A5F">
              <w:t>string</w:t>
            </w:r>
          </w:p>
        </w:tc>
        <w:tc>
          <w:tcPr>
            <w:tcW w:w="3302" w:type="pct"/>
            <w:shd w:val="clear" w:color="auto" w:fill="auto"/>
            <w:vAlign w:val="center"/>
          </w:tcPr>
          <w:p w:rsidR="00CB0DD7" w:rsidRPr="000A0A5F" w:rsidRDefault="00CB0DD7">
            <w:pPr>
              <w:pStyle w:val="TAL"/>
            </w:pPr>
            <w:r w:rsidRPr="000A0A5F">
              <w:t>See clause</w:t>
            </w:r>
            <w:r w:rsidRPr="000A0A5F">
              <w:rPr>
                <w:lang w:val="en-US" w:eastAsia="zh-CN"/>
              </w:rPr>
              <w:t> </w:t>
            </w:r>
            <w:r w:rsidRPr="000A0A5F">
              <w:t>5.2.4.</w:t>
            </w:r>
          </w:p>
        </w:tc>
      </w:tr>
      <w:tr w:rsidR="00CB0DD7" w:rsidRPr="000A0A5F" w:rsidTr="00FF0AF8">
        <w:trPr>
          <w:jc w:val="center"/>
        </w:trPr>
        <w:tc>
          <w:tcPr>
            <w:tcW w:w="1020" w:type="pct"/>
            <w:shd w:val="clear" w:color="auto" w:fill="auto"/>
          </w:tcPr>
          <w:p w:rsidR="00CB0DD7" w:rsidRPr="000A0A5F" w:rsidRDefault="00CB0DD7">
            <w:pPr>
              <w:pStyle w:val="TAL"/>
            </w:pPr>
            <w:r w:rsidRPr="000A0A5F">
              <w:t>scsAsId</w:t>
            </w:r>
          </w:p>
        </w:tc>
        <w:tc>
          <w:tcPr>
            <w:tcW w:w="679" w:type="pct"/>
          </w:tcPr>
          <w:p w:rsidR="00CB0DD7" w:rsidRPr="000A0A5F" w:rsidRDefault="00CB0DD7">
            <w:pPr>
              <w:pStyle w:val="TAL"/>
            </w:pPr>
            <w:r w:rsidRPr="000A0A5F">
              <w:rPr>
                <w:rFonts w:hint="eastAsia"/>
                <w:lang w:eastAsia="zh-CN"/>
              </w:rPr>
              <w:t>s</w:t>
            </w:r>
            <w:r w:rsidRPr="000A0A5F">
              <w:rPr>
                <w:lang w:eastAsia="zh-CN"/>
              </w:rPr>
              <w:t>tring</w:t>
            </w:r>
          </w:p>
        </w:tc>
        <w:tc>
          <w:tcPr>
            <w:tcW w:w="3302" w:type="pct"/>
            <w:shd w:val="clear" w:color="auto" w:fill="auto"/>
            <w:vAlign w:val="center"/>
          </w:tcPr>
          <w:p w:rsidR="00CB0DD7" w:rsidRPr="000A0A5F" w:rsidRDefault="00CB0DD7">
            <w:pPr>
              <w:pStyle w:val="TAL"/>
            </w:pPr>
            <w:r w:rsidRPr="000A0A5F">
              <w:t>Identifier of the SCS/AS.</w:t>
            </w:r>
          </w:p>
        </w:tc>
      </w:tr>
      <w:tr w:rsidR="00CB0DD7" w:rsidRPr="000A0A5F" w:rsidTr="00FF0AF8">
        <w:trPr>
          <w:jc w:val="center"/>
        </w:trPr>
        <w:tc>
          <w:tcPr>
            <w:tcW w:w="1020" w:type="pct"/>
            <w:shd w:val="clear" w:color="auto" w:fill="auto"/>
          </w:tcPr>
          <w:p w:rsidR="00CB0DD7" w:rsidRPr="000A0A5F" w:rsidRDefault="00CB0DD7">
            <w:pPr>
              <w:pStyle w:val="TAL"/>
            </w:pPr>
            <w:r w:rsidRPr="000A0A5F">
              <w:t>serviceIdId</w:t>
            </w:r>
          </w:p>
        </w:tc>
        <w:tc>
          <w:tcPr>
            <w:tcW w:w="679" w:type="pct"/>
          </w:tcPr>
          <w:p w:rsidR="00CB0DD7" w:rsidRPr="000A0A5F" w:rsidRDefault="00CB0DD7">
            <w:pPr>
              <w:pStyle w:val="TAL"/>
            </w:pPr>
            <w:r w:rsidRPr="000A0A5F">
              <w:t>string</w:t>
            </w:r>
          </w:p>
        </w:tc>
        <w:tc>
          <w:tcPr>
            <w:tcW w:w="3302" w:type="pct"/>
            <w:shd w:val="clear" w:color="auto" w:fill="auto"/>
            <w:vAlign w:val="center"/>
          </w:tcPr>
          <w:p w:rsidR="00CB0DD7" w:rsidRPr="000A0A5F" w:rsidRDefault="00CB0DD7">
            <w:pPr>
              <w:pStyle w:val="TAL"/>
            </w:pPr>
            <w:r w:rsidRPr="000A0A5F">
              <w:t>Identifier of the service selected by the SCEF. The transactionId corresponds to the stage 2 TLTRI.</w:t>
            </w:r>
          </w:p>
        </w:tc>
      </w:tr>
    </w:tbl>
    <w:p w:rsidR="00CB0DD7" w:rsidRPr="000A0A5F" w:rsidRDefault="00CB0DD7"/>
    <w:p w:rsidR="00CB0DD7" w:rsidRPr="000A0A5F" w:rsidRDefault="00CB0DD7">
      <w:pPr>
        <w:pStyle w:val="Heading6"/>
      </w:pPr>
      <w:bookmarkStart w:id="6429" w:name="_Toc11247661"/>
      <w:bookmarkStart w:id="6430" w:name="_Toc27044800"/>
      <w:bookmarkStart w:id="6431" w:name="_Toc36033842"/>
      <w:bookmarkStart w:id="6432" w:name="_Toc45131988"/>
      <w:bookmarkStart w:id="6433" w:name="_Toc49776273"/>
      <w:bookmarkStart w:id="6434" w:name="_Toc51747193"/>
      <w:bookmarkStart w:id="6435" w:name="_Toc66360760"/>
      <w:bookmarkStart w:id="6436" w:name="_Toc68105265"/>
      <w:bookmarkStart w:id="6437" w:name="_Toc74755895"/>
      <w:bookmarkStart w:id="6438" w:name="_Toc105674770"/>
      <w:bookmarkStart w:id="6439" w:name="_Toc130502826"/>
      <w:bookmarkStart w:id="6440" w:name="_Toc153625613"/>
      <w:r w:rsidRPr="000A0A5F">
        <w:t>5.8.3.2.5.3</w:t>
      </w:r>
      <w:r w:rsidRPr="000A0A5F">
        <w:tab/>
        <w:t>Resource methods</w:t>
      </w:r>
      <w:bookmarkEnd w:id="6429"/>
      <w:bookmarkEnd w:id="6430"/>
      <w:bookmarkEnd w:id="6431"/>
      <w:bookmarkEnd w:id="6432"/>
      <w:bookmarkEnd w:id="6433"/>
      <w:bookmarkEnd w:id="6434"/>
      <w:bookmarkEnd w:id="6435"/>
      <w:bookmarkEnd w:id="6436"/>
      <w:bookmarkEnd w:id="6437"/>
      <w:bookmarkEnd w:id="6438"/>
      <w:bookmarkEnd w:id="6439"/>
      <w:bookmarkEnd w:id="6440"/>
    </w:p>
    <w:p w:rsidR="00CB0DD7" w:rsidRPr="000A0A5F" w:rsidRDefault="00CB0DD7">
      <w:pPr>
        <w:pStyle w:val="Heading7"/>
      </w:pPr>
      <w:bookmarkStart w:id="6441" w:name="_Toc11247662"/>
      <w:bookmarkStart w:id="6442" w:name="_Toc27044801"/>
      <w:bookmarkStart w:id="6443" w:name="_Toc36033843"/>
      <w:bookmarkStart w:id="6444" w:name="_Toc45131989"/>
      <w:bookmarkStart w:id="6445" w:name="_Toc49776274"/>
      <w:bookmarkStart w:id="6446" w:name="_Toc51747194"/>
      <w:bookmarkStart w:id="6447" w:name="_Toc66360761"/>
      <w:bookmarkStart w:id="6448" w:name="_Toc68105266"/>
      <w:bookmarkStart w:id="6449" w:name="_Toc74755896"/>
      <w:bookmarkStart w:id="6450" w:name="_Toc105674771"/>
      <w:bookmarkStart w:id="6451" w:name="_Toc130502827"/>
      <w:bookmarkStart w:id="6452" w:name="_Toc153625614"/>
      <w:r w:rsidRPr="000A0A5F">
        <w:t>5.8.3.</w:t>
      </w:r>
      <w:r w:rsidRPr="000A0A5F">
        <w:rPr>
          <w:rFonts w:hint="eastAsia"/>
        </w:rPr>
        <w:t>2</w:t>
      </w:r>
      <w:r w:rsidRPr="000A0A5F">
        <w:t>.5.3.1</w:t>
      </w:r>
      <w:r w:rsidRPr="000A0A5F">
        <w:tab/>
        <w:t>GET</w:t>
      </w:r>
      <w:bookmarkEnd w:id="6441"/>
      <w:bookmarkEnd w:id="6442"/>
      <w:bookmarkEnd w:id="6443"/>
      <w:bookmarkEnd w:id="6444"/>
      <w:bookmarkEnd w:id="6445"/>
      <w:bookmarkEnd w:id="6446"/>
      <w:bookmarkEnd w:id="6447"/>
      <w:bookmarkEnd w:id="6448"/>
      <w:bookmarkEnd w:id="6449"/>
      <w:bookmarkEnd w:id="6450"/>
      <w:bookmarkEnd w:id="6451"/>
      <w:bookmarkEnd w:id="6452"/>
    </w:p>
    <w:p w:rsidR="00CB0DD7" w:rsidRPr="000A0A5F" w:rsidRDefault="00CB0DD7">
      <w:pPr>
        <w:rPr>
          <w:noProof/>
          <w:lang w:eastAsia="zh-CN"/>
        </w:rPr>
      </w:pPr>
      <w:r w:rsidRPr="000A0A5F">
        <w:rPr>
          <w:noProof/>
          <w:lang w:eastAsia="zh-CN"/>
        </w:rPr>
        <w:t xml:space="preserve">The GET method reads a group message delivery via MBMS resource for a given SCS/AS, a service Id and a </w:t>
      </w:r>
      <w:r w:rsidRPr="000A0A5F">
        <w:t>transactionId</w:t>
      </w:r>
      <w:r w:rsidRPr="000A0A5F">
        <w:rPr>
          <w:noProof/>
          <w:lang w:eastAsia="zh-CN"/>
        </w:rPr>
        <w:t xml:space="preserve">. It is initiated by the SCS/AS and answered by the SCEF. </w:t>
      </w:r>
    </w:p>
    <w:p w:rsidR="00CB0DD7" w:rsidRPr="000A0A5F" w:rsidRDefault="00CB0DD7">
      <w:pPr>
        <w:rPr>
          <w:rFonts w:hint="eastAsia"/>
          <w:lang w:eastAsia="zh-CN"/>
        </w:rPr>
      </w:pPr>
      <w:r w:rsidRPr="000A0A5F">
        <w:t>This method shall support request and response data structures, and response codes, as specified in the table 5.8.3.</w:t>
      </w:r>
      <w:r w:rsidRPr="000A0A5F">
        <w:rPr>
          <w:rFonts w:hint="eastAsia"/>
        </w:rPr>
        <w:t>2.3</w:t>
      </w:r>
      <w:r w:rsidRPr="000A0A5F">
        <w:t>.3.1-1.</w:t>
      </w:r>
    </w:p>
    <w:p w:rsidR="00CB0DD7" w:rsidRPr="000A0A5F" w:rsidRDefault="00CB0DD7">
      <w:pPr>
        <w:pStyle w:val="TH"/>
        <w:rPr>
          <w:rFonts w:hint="eastAsia"/>
          <w:lang w:eastAsia="zh-CN"/>
        </w:rPr>
      </w:pPr>
      <w:r w:rsidRPr="000A0A5F">
        <w:t>Table 5.</w:t>
      </w:r>
      <w:r w:rsidRPr="000A0A5F">
        <w:rPr>
          <w:lang w:eastAsia="zh-CN"/>
        </w:rPr>
        <w:t>8</w:t>
      </w:r>
      <w:r w:rsidRPr="000A0A5F">
        <w:t>.</w:t>
      </w:r>
      <w:r w:rsidRPr="000A0A5F">
        <w:rPr>
          <w:rFonts w:hint="eastAsia"/>
        </w:rPr>
        <w:t>3</w:t>
      </w:r>
      <w:r w:rsidRPr="000A0A5F">
        <w:t>.</w:t>
      </w:r>
      <w:r w:rsidRPr="000A0A5F">
        <w:rPr>
          <w:rFonts w:hint="eastAsia"/>
        </w:rPr>
        <w:t>2.</w:t>
      </w:r>
      <w:r w:rsidRPr="000A0A5F">
        <w:t>5.3.1</w:t>
      </w:r>
      <w:r w:rsidRPr="000A0A5F">
        <w:rPr>
          <w:rFonts w:hint="eastAsia"/>
        </w:rPr>
        <w:t>-1</w:t>
      </w:r>
      <w:r w:rsidRPr="000A0A5F">
        <w:t>: Data structures supported by the GET request/response by the resource</w:t>
      </w:r>
    </w:p>
    <w:tbl>
      <w:tblPr>
        <w:tblW w:w="4999" w:type="pct"/>
        <w:tblInd w:w="1" w:type="dxa"/>
        <w:tblBorders>
          <w:top w:val="single" w:sz="6" w:space="0" w:color="000000"/>
          <w:left w:val="single" w:sz="6" w:space="0" w:color="000000"/>
          <w:bottom w:val="single" w:sz="6" w:space="0" w:color="000000"/>
          <w:right w:val="single" w:sz="6" w:space="0" w:color="000000"/>
          <w:insideH w:val="single" w:sz="6" w:space="0" w:color="auto"/>
          <w:insideV w:val="single" w:sz="6" w:space="0" w:color="000000"/>
        </w:tblBorders>
        <w:tblLayout w:type="fixed"/>
        <w:tblCellMar>
          <w:top w:w="45" w:type="dxa"/>
          <w:left w:w="45" w:type="dxa"/>
          <w:bottom w:w="45" w:type="dxa"/>
          <w:right w:w="45" w:type="dxa"/>
        </w:tblCellMar>
        <w:tblLook w:val="0000" w:firstRow="0" w:lastRow="0" w:firstColumn="0" w:lastColumn="0" w:noHBand="0" w:noVBand="0"/>
      </w:tblPr>
      <w:tblGrid>
        <w:gridCol w:w="1033"/>
        <w:gridCol w:w="2127"/>
        <w:gridCol w:w="1053"/>
        <w:gridCol w:w="973"/>
        <w:gridCol w:w="4543"/>
        <w:tblGridChange w:id="6453">
          <w:tblGrid>
            <w:gridCol w:w="1033"/>
            <w:gridCol w:w="2127"/>
            <w:gridCol w:w="1053"/>
            <w:gridCol w:w="973"/>
            <w:gridCol w:w="4543"/>
          </w:tblGrid>
        </w:tblGridChange>
      </w:tblGrid>
      <w:tr w:rsidR="00CB0DD7" w:rsidRPr="000A0A5F" w:rsidTr="00790FC9">
        <w:tc>
          <w:tcPr>
            <w:tcW w:w="531" w:type="pct"/>
            <w:vMerge w:val="restart"/>
            <w:shd w:val="clear" w:color="auto" w:fill="C0C0C0"/>
            <w:vAlign w:val="center"/>
          </w:tcPr>
          <w:p w:rsidR="00CB0DD7" w:rsidRPr="000A0A5F" w:rsidRDefault="00CB0DD7">
            <w:pPr>
              <w:pStyle w:val="TAH"/>
            </w:pPr>
            <w:r w:rsidRPr="000A0A5F">
              <w:t>Request body</w:t>
            </w:r>
          </w:p>
        </w:tc>
        <w:tc>
          <w:tcPr>
            <w:tcW w:w="1093" w:type="pct"/>
            <w:shd w:val="clear" w:color="auto" w:fill="C0C0C0"/>
          </w:tcPr>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r w:rsidRPr="000A0A5F">
              <w:t>Cardinality</w:t>
            </w:r>
          </w:p>
        </w:tc>
        <w:tc>
          <w:tcPr>
            <w:tcW w:w="2835" w:type="pct"/>
            <w:gridSpan w:val="2"/>
            <w:shd w:val="clear" w:color="auto" w:fill="C0C0C0"/>
          </w:tcPr>
          <w:p w:rsidR="00CB0DD7" w:rsidRPr="000A0A5F" w:rsidRDefault="00CB0DD7">
            <w:pPr>
              <w:pStyle w:val="TAH"/>
            </w:pPr>
            <w:r w:rsidRPr="000A0A5F">
              <w:t>Remarks</w:t>
            </w:r>
          </w:p>
        </w:tc>
      </w:tr>
      <w:tr w:rsidR="00CB0DD7" w:rsidRPr="000A0A5F" w:rsidTr="00FF0AF8">
        <w:tc>
          <w:tcPr>
            <w:tcW w:w="531"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rPr>
                <w:rFonts w:hint="eastAsia"/>
                <w:lang w:eastAsia="zh-CN"/>
              </w:rPr>
              <w:t>none</w:t>
            </w:r>
          </w:p>
        </w:tc>
        <w:tc>
          <w:tcPr>
            <w:tcW w:w="541" w:type="pct"/>
          </w:tcPr>
          <w:p w:rsidR="00CB0DD7" w:rsidRPr="000A0A5F" w:rsidRDefault="00CB0DD7">
            <w:pPr>
              <w:pStyle w:val="TAL"/>
            </w:pPr>
          </w:p>
        </w:tc>
        <w:tc>
          <w:tcPr>
            <w:tcW w:w="2835" w:type="pct"/>
            <w:gridSpan w:val="2"/>
          </w:tcPr>
          <w:p w:rsidR="00CB0DD7" w:rsidRPr="000A0A5F" w:rsidRDefault="00CB0DD7">
            <w:pPr>
              <w:pStyle w:val="TAL"/>
            </w:pPr>
          </w:p>
        </w:tc>
      </w:tr>
      <w:tr w:rsidR="00CB0DD7" w:rsidRPr="000A0A5F" w:rsidTr="00790FC9">
        <w:tc>
          <w:tcPr>
            <w:tcW w:w="531" w:type="pct"/>
            <w:vMerge w:val="restart"/>
            <w:shd w:val="clear" w:color="auto" w:fill="C0C0C0"/>
            <w:vAlign w:val="center"/>
          </w:tcPr>
          <w:p w:rsidR="00CB0DD7" w:rsidRPr="000A0A5F" w:rsidRDefault="00CB0DD7">
            <w:pPr>
              <w:pStyle w:val="TAH"/>
            </w:pPr>
            <w:r w:rsidRPr="000A0A5F">
              <w:t>Response body</w:t>
            </w:r>
          </w:p>
        </w:tc>
        <w:tc>
          <w:tcPr>
            <w:tcW w:w="1093" w:type="pct"/>
            <w:shd w:val="clear" w:color="auto" w:fill="C0C0C0"/>
          </w:tcPr>
          <w:p w:rsidR="00CB0DD7" w:rsidRPr="000A0A5F" w:rsidRDefault="00CB0DD7">
            <w:pPr>
              <w:pStyle w:val="TAH"/>
            </w:pPr>
          </w:p>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p>
          <w:p w:rsidR="00CB0DD7" w:rsidRPr="000A0A5F" w:rsidRDefault="00CB0DD7">
            <w:pPr>
              <w:pStyle w:val="TAH"/>
            </w:pPr>
            <w:r w:rsidRPr="000A0A5F">
              <w:t>Cardinality</w:t>
            </w:r>
          </w:p>
        </w:tc>
        <w:tc>
          <w:tcPr>
            <w:tcW w:w="500" w:type="pct"/>
            <w:shd w:val="clear" w:color="auto" w:fill="C0C0C0"/>
          </w:tcPr>
          <w:p w:rsidR="00CB0DD7" w:rsidRPr="000A0A5F" w:rsidRDefault="00CB0DD7">
            <w:pPr>
              <w:pStyle w:val="TAH"/>
            </w:pPr>
            <w:r w:rsidRPr="000A0A5F">
              <w:t>Response</w:t>
            </w:r>
          </w:p>
          <w:p w:rsidR="00CB0DD7" w:rsidRPr="000A0A5F" w:rsidRDefault="00CB0DD7">
            <w:pPr>
              <w:pStyle w:val="TAH"/>
            </w:pPr>
            <w:r w:rsidRPr="000A0A5F">
              <w:t>codes</w:t>
            </w:r>
          </w:p>
        </w:tc>
        <w:tc>
          <w:tcPr>
            <w:tcW w:w="2335" w:type="pct"/>
            <w:shd w:val="clear" w:color="auto" w:fill="C0C0C0"/>
          </w:tcPr>
          <w:p w:rsidR="00CB0DD7" w:rsidRPr="000A0A5F" w:rsidRDefault="00CB0DD7">
            <w:pPr>
              <w:pStyle w:val="TAH"/>
            </w:pPr>
          </w:p>
          <w:p w:rsidR="00CB0DD7" w:rsidRPr="000A0A5F" w:rsidRDefault="00CB0DD7">
            <w:pPr>
              <w:pStyle w:val="TAH"/>
            </w:pPr>
            <w:r w:rsidRPr="000A0A5F">
              <w:t>Remarks</w:t>
            </w:r>
          </w:p>
        </w:tc>
      </w:tr>
      <w:tr w:rsidR="00CB0DD7" w:rsidRPr="000A0A5F" w:rsidTr="00FF0AF8">
        <w:tc>
          <w:tcPr>
            <w:tcW w:w="531"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rPr>
                <w:lang w:eastAsia="zh-CN"/>
              </w:rPr>
              <w:t>GMDViaMBMSByxMB</w:t>
            </w:r>
          </w:p>
        </w:tc>
        <w:tc>
          <w:tcPr>
            <w:tcW w:w="541" w:type="pct"/>
          </w:tcPr>
          <w:p w:rsidR="00CB0DD7" w:rsidRPr="000A0A5F" w:rsidRDefault="00CB0DD7">
            <w:pPr>
              <w:pStyle w:val="TAL"/>
              <w:rPr>
                <w:rFonts w:hint="eastAsia"/>
                <w:lang w:eastAsia="zh-CN"/>
              </w:rPr>
            </w:pPr>
            <w:r w:rsidRPr="000A0A5F">
              <w:rPr>
                <w:rFonts w:hint="eastAsia"/>
                <w:lang w:eastAsia="zh-CN"/>
              </w:rPr>
              <w:t>0..1</w:t>
            </w:r>
          </w:p>
        </w:tc>
        <w:tc>
          <w:tcPr>
            <w:tcW w:w="500" w:type="pct"/>
          </w:tcPr>
          <w:p w:rsidR="00CB0DD7" w:rsidRPr="000A0A5F" w:rsidRDefault="00CB0DD7">
            <w:pPr>
              <w:pStyle w:val="TAL"/>
            </w:pPr>
            <w:r w:rsidRPr="000A0A5F">
              <w:t>200 OK</w:t>
            </w:r>
          </w:p>
        </w:tc>
        <w:tc>
          <w:tcPr>
            <w:tcW w:w="2335" w:type="pct"/>
          </w:tcPr>
          <w:p w:rsidR="00CB0DD7" w:rsidRPr="000A0A5F" w:rsidRDefault="00CB0DD7">
            <w:pPr>
              <w:pStyle w:val="TAL"/>
              <w:rPr>
                <w:rFonts w:hint="eastAsia"/>
                <w:lang w:eastAsia="zh-CN"/>
              </w:rPr>
            </w:pPr>
            <w:r w:rsidRPr="000A0A5F">
              <w:rPr>
                <w:rFonts w:hint="eastAsia"/>
                <w:lang w:eastAsia="zh-CN"/>
              </w:rPr>
              <w:t xml:space="preserve">The </w:t>
            </w:r>
            <w:r w:rsidRPr="000A0A5F">
              <w:rPr>
                <w:lang w:eastAsia="zh-CN"/>
              </w:rPr>
              <w:t xml:space="preserve">group message delivery resource </w:t>
            </w:r>
            <w:r w:rsidRPr="000A0A5F">
              <w:rPr>
                <w:rFonts w:hint="eastAsia"/>
                <w:lang w:eastAsia="zh-CN"/>
              </w:rPr>
              <w:t xml:space="preserve">for the SCS/AS in the </w:t>
            </w:r>
            <w:r w:rsidRPr="000A0A5F">
              <w:rPr>
                <w:lang w:eastAsia="zh-CN"/>
              </w:rPr>
              <w:t>request</w:t>
            </w:r>
            <w:r w:rsidRPr="000A0A5F">
              <w:rPr>
                <w:rFonts w:hint="eastAsia"/>
                <w:lang w:eastAsia="zh-CN"/>
              </w:rPr>
              <w:t xml:space="preserve"> </w:t>
            </w:r>
            <w:r w:rsidRPr="000A0A5F">
              <w:rPr>
                <w:lang w:eastAsia="zh-CN"/>
              </w:rPr>
              <w:t>URI is returned.</w:t>
            </w:r>
          </w:p>
        </w:tc>
      </w:tr>
      <w:tr w:rsidR="00CB0DD7" w:rsidRPr="000A0A5F" w:rsidTr="00FF0AF8">
        <w:tc>
          <w:tcPr>
            <w:tcW w:w="531"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lang w:eastAsia="zh-CN"/>
              </w:rPr>
            </w:pPr>
            <w:r w:rsidRPr="000A0A5F">
              <w:t>none</w:t>
            </w:r>
          </w:p>
        </w:tc>
        <w:tc>
          <w:tcPr>
            <w:tcW w:w="541" w:type="pct"/>
          </w:tcPr>
          <w:p w:rsidR="00CB0DD7" w:rsidRPr="000A0A5F" w:rsidRDefault="00CB0DD7">
            <w:pPr>
              <w:pStyle w:val="TAL"/>
              <w:rPr>
                <w:rFonts w:hint="eastAsia"/>
                <w:lang w:eastAsia="zh-CN"/>
              </w:rPr>
            </w:pPr>
          </w:p>
        </w:tc>
        <w:tc>
          <w:tcPr>
            <w:tcW w:w="500" w:type="pct"/>
          </w:tcPr>
          <w:p w:rsidR="00CB0DD7" w:rsidRPr="000A0A5F" w:rsidRDefault="00CB0DD7">
            <w:pPr>
              <w:pStyle w:val="TAL"/>
            </w:pPr>
            <w:r w:rsidRPr="000A0A5F">
              <w:t>307 Temporary Redirect</w:t>
            </w:r>
          </w:p>
        </w:tc>
        <w:tc>
          <w:tcPr>
            <w:tcW w:w="2335" w:type="pct"/>
          </w:tcPr>
          <w:p w:rsidR="00CB0DD7" w:rsidRPr="000A0A5F" w:rsidRDefault="00CB0DD7">
            <w:pPr>
              <w:pStyle w:val="TAL"/>
            </w:pPr>
            <w:r w:rsidRPr="000A0A5F">
              <w:t xml:space="preserve">Temporary redirection, during </w:t>
            </w:r>
            <w:r w:rsidRPr="000A0A5F">
              <w:rPr>
                <w:rFonts w:hint="eastAsia"/>
                <w:lang w:eastAsia="zh-CN"/>
              </w:rPr>
              <w:t>resource</w:t>
            </w:r>
            <w:r w:rsidRPr="000A0A5F">
              <w:t xml:space="preserve"> retrieval. The response shall include a Location header field containing an alternative URI of the resource located in an alternative SCEF.</w:t>
            </w:r>
          </w:p>
          <w:p w:rsidR="00CB0DD7" w:rsidRPr="000A0A5F" w:rsidRDefault="00CB0DD7">
            <w:pPr>
              <w:pStyle w:val="TAL"/>
              <w:rPr>
                <w:rFonts w:hint="eastAsia"/>
                <w:lang w:eastAsia="zh-CN"/>
              </w:rPr>
            </w:pPr>
            <w:r w:rsidRPr="000A0A5F">
              <w:t>Redirection handling is described in clause 5.2.10.</w:t>
            </w:r>
          </w:p>
        </w:tc>
      </w:tr>
      <w:tr w:rsidR="00CB0DD7" w:rsidRPr="000A0A5F" w:rsidTr="00FF0AF8">
        <w:tc>
          <w:tcPr>
            <w:tcW w:w="531"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lang w:eastAsia="zh-CN"/>
              </w:rPr>
            </w:pPr>
            <w:r w:rsidRPr="000A0A5F">
              <w:t>none</w:t>
            </w:r>
          </w:p>
        </w:tc>
        <w:tc>
          <w:tcPr>
            <w:tcW w:w="541" w:type="pct"/>
          </w:tcPr>
          <w:p w:rsidR="00CB0DD7" w:rsidRPr="000A0A5F" w:rsidRDefault="00CB0DD7">
            <w:pPr>
              <w:pStyle w:val="TAL"/>
              <w:rPr>
                <w:rFonts w:hint="eastAsia"/>
                <w:lang w:eastAsia="zh-CN"/>
              </w:rPr>
            </w:pPr>
          </w:p>
        </w:tc>
        <w:tc>
          <w:tcPr>
            <w:tcW w:w="500" w:type="pct"/>
          </w:tcPr>
          <w:p w:rsidR="00CB0DD7" w:rsidRPr="000A0A5F" w:rsidRDefault="00CB0DD7">
            <w:pPr>
              <w:pStyle w:val="TAL"/>
            </w:pPr>
            <w:r w:rsidRPr="000A0A5F">
              <w:t>308 Permanent Redirect</w:t>
            </w:r>
          </w:p>
        </w:tc>
        <w:tc>
          <w:tcPr>
            <w:tcW w:w="2335" w:type="pct"/>
          </w:tcPr>
          <w:p w:rsidR="00CB0DD7" w:rsidRPr="000A0A5F" w:rsidRDefault="00CB0DD7">
            <w:pPr>
              <w:pStyle w:val="TAL"/>
            </w:pPr>
            <w:r w:rsidRPr="000A0A5F">
              <w:t xml:space="preserve">Permanent redirection, during </w:t>
            </w:r>
            <w:r w:rsidRPr="000A0A5F">
              <w:rPr>
                <w:rFonts w:hint="eastAsia"/>
                <w:lang w:eastAsia="zh-CN"/>
              </w:rPr>
              <w:t>resource</w:t>
            </w:r>
            <w:r w:rsidRPr="000A0A5F">
              <w:t xml:space="preserve"> retrieval. The response shall include a Location header field containing an alternative URI of the resource located in an alternative SCEF.</w:t>
            </w:r>
          </w:p>
          <w:p w:rsidR="00CB0DD7" w:rsidRPr="000A0A5F" w:rsidRDefault="00CB0DD7">
            <w:pPr>
              <w:pStyle w:val="TAL"/>
              <w:rPr>
                <w:rFonts w:hint="eastAsia"/>
                <w:lang w:eastAsia="zh-CN"/>
              </w:rPr>
            </w:pPr>
            <w:r w:rsidRPr="000A0A5F">
              <w:t>Redirection handling is described in clause 5.2.10.</w:t>
            </w:r>
          </w:p>
        </w:tc>
      </w:tr>
      <w:tr w:rsidR="00CB0DD7" w:rsidRPr="000A0A5F" w:rsidTr="00FF0AF8">
        <w:tc>
          <w:tcPr>
            <w:tcW w:w="5000" w:type="pct"/>
            <w:gridSpan w:val="5"/>
            <w:shd w:val="clear" w:color="auto" w:fill="auto"/>
            <w:vAlign w:val="center"/>
          </w:tcPr>
          <w:p w:rsidR="00CB0DD7" w:rsidRPr="000A0A5F" w:rsidRDefault="00CB0DD7">
            <w:pPr>
              <w:pStyle w:val="TAN"/>
            </w:pPr>
            <w:r w:rsidRPr="000A0A5F">
              <w:t>NOTE:</w:t>
            </w:r>
            <w:r w:rsidRPr="000A0A5F">
              <w:tab/>
              <w:t>The mandatory HTTP error status codes for the GET method listed in table 5.2.6-1 also apply.</w:t>
            </w:r>
          </w:p>
        </w:tc>
      </w:tr>
    </w:tbl>
    <w:p w:rsidR="00CB0DD7" w:rsidRPr="000A0A5F" w:rsidRDefault="00CB0DD7"/>
    <w:p w:rsidR="00CB0DD7" w:rsidRPr="000A0A5F" w:rsidRDefault="00CB0DD7">
      <w:pPr>
        <w:pStyle w:val="TH"/>
      </w:pPr>
      <w:r w:rsidRPr="000A0A5F">
        <w:t>Table 5.</w:t>
      </w:r>
      <w:r w:rsidRPr="000A0A5F">
        <w:rPr>
          <w:lang w:eastAsia="zh-CN"/>
        </w:rPr>
        <w:t>8</w:t>
      </w:r>
      <w:r w:rsidRPr="000A0A5F">
        <w:t>.</w:t>
      </w:r>
      <w:r w:rsidRPr="000A0A5F">
        <w:rPr>
          <w:rFonts w:hint="eastAsia"/>
        </w:rPr>
        <w:t>3</w:t>
      </w:r>
      <w:r w:rsidRPr="000A0A5F">
        <w:t>.</w:t>
      </w:r>
      <w:r w:rsidRPr="000A0A5F">
        <w:rPr>
          <w:rFonts w:hint="eastAsia"/>
        </w:rPr>
        <w:t>2.</w:t>
      </w:r>
      <w:r w:rsidRPr="000A0A5F">
        <w:t>5.3.1-2: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CB0DD7">
      <w:pPr>
        <w:pStyle w:val="TH"/>
      </w:pPr>
      <w:r w:rsidRPr="000A0A5F">
        <w:t>Table 5.</w:t>
      </w:r>
      <w:r w:rsidRPr="000A0A5F">
        <w:rPr>
          <w:lang w:eastAsia="zh-CN"/>
        </w:rPr>
        <w:t>8</w:t>
      </w:r>
      <w:r w:rsidRPr="000A0A5F">
        <w:t>.</w:t>
      </w:r>
      <w:r w:rsidRPr="000A0A5F">
        <w:rPr>
          <w:rFonts w:hint="eastAsia"/>
        </w:rPr>
        <w:t>3</w:t>
      </w:r>
      <w:r w:rsidRPr="000A0A5F">
        <w:t>.</w:t>
      </w:r>
      <w:r w:rsidRPr="000A0A5F">
        <w:rPr>
          <w:rFonts w:hint="eastAsia"/>
        </w:rPr>
        <w:t>2.</w:t>
      </w:r>
      <w:r w:rsidRPr="000A0A5F">
        <w:t>5.3.1-3: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CB0DD7">
      <w:pPr>
        <w:pStyle w:val="Heading7"/>
      </w:pPr>
      <w:bookmarkStart w:id="6454" w:name="_Toc11247663"/>
      <w:bookmarkStart w:id="6455" w:name="_Toc27044802"/>
      <w:bookmarkStart w:id="6456" w:name="_Toc36033844"/>
      <w:bookmarkStart w:id="6457" w:name="_Toc45131990"/>
      <w:bookmarkStart w:id="6458" w:name="_Toc49776275"/>
      <w:bookmarkStart w:id="6459" w:name="_Toc51747195"/>
      <w:bookmarkStart w:id="6460" w:name="_Toc66360762"/>
      <w:bookmarkStart w:id="6461" w:name="_Toc68105267"/>
      <w:bookmarkStart w:id="6462" w:name="_Toc74755897"/>
      <w:bookmarkStart w:id="6463" w:name="_Toc105674772"/>
      <w:bookmarkStart w:id="6464" w:name="_Toc130502828"/>
      <w:bookmarkStart w:id="6465" w:name="_Toc153625615"/>
      <w:r w:rsidRPr="000A0A5F">
        <w:t>5.8.3.</w:t>
      </w:r>
      <w:r w:rsidRPr="000A0A5F">
        <w:rPr>
          <w:rFonts w:hint="eastAsia"/>
        </w:rPr>
        <w:t>2</w:t>
      </w:r>
      <w:r w:rsidRPr="000A0A5F">
        <w:t>.5.3.2</w:t>
      </w:r>
      <w:r w:rsidRPr="000A0A5F">
        <w:tab/>
        <w:t>PUT</w:t>
      </w:r>
      <w:bookmarkEnd w:id="6454"/>
      <w:bookmarkEnd w:id="6455"/>
      <w:bookmarkEnd w:id="6456"/>
      <w:bookmarkEnd w:id="6457"/>
      <w:bookmarkEnd w:id="6458"/>
      <w:bookmarkEnd w:id="6459"/>
      <w:bookmarkEnd w:id="6460"/>
      <w:bookmarkEnd w:id="6461"/>
      <w:bookmarkEnd w:id="6462"/>
      <w:bookmarkEnd w:id="6463"/>
      <w:bookmarkEnd w:id="6464"/>
      <w:bookmarkEnd w:id="6465"/>
    </w:p>
    <w:p w:rsidR="00CB0DD7" w:rsidRPr="000A0A5F" w:rsidRDefault="00CB0DD7">
      <w:r w:rsidRPr="000A0A5F">
        <w:t xml:space="preserve">Assuming that a group message delivery has been created using the </w:t>
      </w:r>
      <w:r w:rsidRPr="000A0A5F">
        <w:rPr>
          <w:rFonts w:hint="eastAsia"/>
          <w:lang w:eastAsia="zh-CN"/>
        </w:rPr>
        <w:t xml:space="preserve">HTTP </w:t>
      </w:r>
      <w:r w:rsidRPr="000A0A5F">
        <w:rPr>
          <w:lang w:eastAsia="zh-CN"/>
        </w:rPr>
        <w:t>POST</w:t>
      </w:r>
      <w:r w:rsidRPr="000A0A5F">
        <w:t xml:space="preserve"> method described in clause 5.8</w:t>
      </w:r>
      <w:r w:rsidRPr="000A0A5F">
        <w:rPr>
          <w:rFonts w:hint="eastAsia"/>
          <w:lang w:eastAsia="zh-CN"/>
        </w:rPr>
        <w:t>.3.</w:t>
      </w:r>
      <w:r w:rsidRPr="000A0A5F">
        <w:rPr>
          <w:lang w:eastAsia="zh-CN"/>
        </w:rPr>
        <w:t>2.4</w:t>
      </w:r>
      <w:r w:rsidRPr="000A0A5F">
        <w:rPr>
          <w:rFonts w:hint="eastAsia"/>
          <w:lang w:eastAsia="zh-CN"/>
        </w:rPr>
        <w:t>.3.4</w:t>
      </w:r>
      <w:r w:rsidRPr="000A0A5F">
        <w:t xml:space="preserve">, replace of its properties can be performed by the </w:t>
      </w:r>
      <w:r w:rsidRPr="000A0A5F">
        <w:rPr>
          <w:rFonts w:hint="eastAsia"/>
          <w:lang w:eastAsia="zh-CN"/>
        </w:rPr>
        <w:t>SCS/AS</w:t>
      </w:r>
      <w:r w:rsidRPr="000A0A5F">
        <w:t xml:space="preserve"> by using the HTTP PUT method on the "delivery-via-mbms" instance resource as follows:</w:t>
      </w:r>
    </w:p>
    <w:p w:rsidR="00CB0DD7" w:rsidRPr="000A0A5F" w:rsidRDefault="00CB0DD7">
      <w:pPr>
        <w:pStyle w:val="B10"/>
        <w:rPr>
          <w:rFonts w:hint="eastAsia"/>
          <w:lang w:eastAsia="zh-CN"/>
        </w:rPr>
      </w:pPr>
      <w:r w:rsidRPr="000A0A5F">
        <w:t>-</w:t>
      </w:r>
      <w:r w:rsidRPr="000A0A5F">
        <w:tab/>
        <w:t>the body of the message is encoded in JSON format</w:t>
      </w:r>
      <w:r w:rsidRPr="000A0A5F">
        <w:rPr>
          <w:rFonts w:hint="eastAsia"/>
          <w:lang w:eastAsia="zh-CN"/>
        </w:rPr>
        <w:t xml:space="preserve"> with the data structure defined in table</w:t>
      </w:r>
      <w:r w:rsidRPr="000A0A5F">
        <w:rPr>
          <w:lang w:val="en-US" w:eastAsia="zh-CN"/>
        </w:rPr>
        <w:t> </w:t>
      </w:r>
      <w:r w:rsidRPr="000A0A5F">
        <w:rPr>
          <w:rFonts w:hint="eastAsia"/>
          <w:lang w:eastAsia="zh-CN"/>
        </w:rPr>
        <w:t>5.</w:t>
      </w:r>
      <w:r w:rsidRPr="000A0A5F">
        <w:rPr>
          <w:lang w:eastAsia="zh-CN"/>
        </w:rPr>
        <w:t>8</w:t>
      </w:r>
      <w:r w:rsidRPr="000A0A5F">
        <w:rPr>
          <w:rFonts w:hint="eastAsia"/>
          <w:lang w:eastAsia="zh-CN"/>
        </w:rPr>
        <w:t>.</w:t>
      </w:r>
      <w:r w:rsidRPr="000A0A5F">
        <w:rPr>
          <w:lang w:eastAsia="zh-CN"/>
        </w:rPr>
        <w:t>3.1.1.3</w:t>
      </w:r>
      <w:r w:rsidRPr="000A0A5F">
        <w:rPr>
          <w:rFonts w:hint="eastAsia"/>
          <w:lang w:eastAsia="zh-CN"/>
        </w:rPr>
        <w:t>-1</w:t>
      </w:r>
      <w:r w:rsidRPr="000A0A5F">
        <w:rPr>
          <w:lang w:eastAsia="zh-CN"/>
        </w:rPr>
        <w:t>.</w:t>
      </w:r>
    </w:p>
    <w:p w:rsidR="00CB0DD7" w:rsidRPr="000A0A5F" w:rsidRDefault="00CB0DD7">
      <w:pPr>
        <w:rPr>
          <w:rFonts w:hint="eastAsia"/>
          <w:lang w:eastAsia="zh-CN"/>
        </w:rPr>
      </w:pPr>
      <w:r w:rsidRPr="000A0A5F">
        <w:t xml:space="preserve">The content body of the </w:t>
      </w:r>
      <w:r w:rsidRPr="000A0A5F">
        <w:rPr>
          <w:lang w:eastAsia="zh-CN"/>
        </w:rPr>
        <w:t>group message delivery via MBMS</w:t>
      </w:r>
      <w:r w:rsidRPr="000A0A5F">
        <w:t xml:space="preserve"> update request shall contain updated full representation of the </w:t>
      </w:r>
      <w:r w:rsidRPr="000A0A5F">
        <w:rPr>
          <w:lang w:eastAsia="zh-CN"/>
        </w:rPr>
        <w:t>group message delivery</w:t>
      </w:r>
      <w:r w:rsidRPr="000A0A5F">
        <w:rPr>
          <w:rFonts w:hint="eastAsia"/>
          <w:lang w:eastAsia="zh-CN"/>
        </w:rPr>
        <w:t xml:space="preserve"> </w:t>
      </w:r>
      <w:r w:rsidRPr="000A0A5F">
        <w:t>resource</w:t>
      </w:r>
      <w:r w:rsidRPr="000A0A5F">
        <w:rPr>
          <w:rFonts w:hint="eastAsia"/>
          <w:lang w:eastAsia="zh-CN"/>
        </w:rPr>
        <w:t xml:space="preserve">. </w:t>
      </w:r>
      <w:r w:rsidRPr="000A0A5F">
        <w:rPr>
          <w:lang w:eastAsia="zh-CN"/>
        </w:rPr>
        <w:t>O</w:t>
      </w:r>
      <w:r w:rsidRPr="000A0A5F">
        <w:rPr>
          <w:rFonts w:hint="eastAsia"/>
          <w:lang w:eastAsia="zh-CN"/>
        </w:rPr>
        <w:t>nly t</w:t>
      </w:r>
      <w:r w:rsidRPr="000A0A5F">
        <w:t xml:space="preserve">he properties </w:t>
      </w:r>
      <w:r w:rsidRPr="000A0A5F">
        <w:rPr>
          <w:lang w:val="en-US"/>
        </w:rPr>
        <w:t>"locationinfo", "</w:t>
      </w:r>
      <w:r w:rsidRPr="000A0A5F">
        <w:rPr>
          <w:lang w:eastAsia="zh-CN"/>
        </w:rPr>
        <w:t>a</w:t>
      </w:r>
      <w:r w:rsidRPr="000A0A5F">
        <w:rPr>
          <w:rFonts w:hint="eastAsia"/>
          <w:lang w:eastAsia="zh-CN"/>
        </w:rPr>
        <w:t>ccuracy</w:t>
      </w:r>
      <w:r w:rsidRPr="000A0A5F">
        <w:rPr>
          <w:lang w:val="en-US"/>
        </w:rPr>
        <w:t>", "messageDeliverystarttime", "messageDeliverystoptime" and "groupMessagepayload"</w:t>
      </w:r>
      <w:r w:rsidRPr="000A0A5F">
        <w:t xml:space="preserve"> can </w:t>
      </w:r>
      <w:r w:rsidRPr="000A0A5F">
        <w:rPr>
          <w:rFonts w:hint="eastAsia"/>
          <w:lang w:eastAsia="zh-CN"/>
        </w:rPr>
        <w:t xml:space="preserve">be </w:t>
      </w:r>
      <w:r w:rsidRPr="000A0A5F">
        <w:t>modified.</w:t>
      </w:r>
    </w:p>
    <w:p w:rsidR="00CB0DD7" w:rsidRPr="000A0A5F" w:rsidRDefault="00CB0DD7">
      <w:pPr>
        <w:rPr>
          <w:rFonts w:hint="eastAsia"/>
          <w:lang w:eastAsia="zh-CN"/>
        </w:rPr>
      </w:pPr>
      <w:r w:rsidRPr="000A0A5F">
        <w:t>The possible response messages from the</w:t>
      </w:r>
      <w:r w:rsidRPr="000A0A5F">
        <w:rPr>
          <w:rFonts w:hint="eastAsia"/>
          <w:lang w:eastAsia="zh-CN"/>
        </w:rPr>
        <w:t xml:space="preserve"> SCEF</w:t>
      </w:r>
      <w:r w:rsidRPr="000A0A5F">
        <w:t xml:space="preserve">, depending on whether the PUT request is successful or unsuccessful, are shown in </w:t>
      </w:r>
      <w:r w:rsidR="002E466A" w:rsidRPr="000A0A5F">
        <w:t>table </w:t>
      </w:r>
      <w:r w:rsidRPr="000A0A5F">
        <w:t>5.8.3.2.5.3.2</w:t>
      </w:r>
      <w:r w:rsidRPr="000A0A5F">
        <w:rPr>
          <w:rFonts w:hint="eastAsia"/>
          <w:lang w:eastAsia="zh-CN"/>
        </w:rPr>
        <w:t>-1</w:t>
      </w:r>
      <w:r w:rsidRPr="000A0A5F">
        <w:t>.</w:t>
      </w:r>
    </w:p>
    <w:p w:rsidR="00CB0DD7" w:rsidRPr="000A0A5F" w:rsidRDefault="00CB0DD7">
      <w:pPr>
        <w:pStyle w:val="TH"/>
      </w:pPr>
      <w:r w:rsidRPr="000A0A5F">
        <w:t>Table 5.8.3.2.5.3.2</w:t>
      </w:r>
      <w:r w:rsidRPr="000A0A5F">
        <w:rPr>
          <w:rFonts w:hint="eastAsia"/>
          <w:lang w:eastAsia="zh-CN"/>
        </w:rPr>
        <w:t>-1</w:t>
      </w:r>
      <w:r w:rsidRPr="000A0A5F">
        <w:t xml:space="preserve">: Data structures supported by the </w:t>
      </w:r>
      <w:r w:rsidRPr="000A0A5F">
        <w:rPr>
          <w:lang w:eastAsia="zh-CN"/>
        </w:rPr>
        <w:t>PUT</w:t>
      </w:r>
      <w:r w:rsidRPr="000A0A5F">
        <w:t xml:space="preserve"> request/response by the resource</w:t>
      </w:r>
    </w:p>
    <w:tbl>
      <w:tblPr>
        <w:tblW w:w="4999" w:type="pct"/>
        <w:tblInd w:w="1" w:type="dxa"/>
        <w:tblBorders>
          <w:top w:val="single" w:sz="6" w:space="0" w:color="000000"/>
          <w:left w:val="single" w:sz="6" w:space="0" w:color="000000"/>
          <w:bottom w:val="single" w:sz="6" w:space="0" w:color="000000"/>
          <w:right w:val="single" w:sz="6" w:space="0" w:color="000000"/>
          <w:insideH w:val="single" w:sz="6" w:space="0" w:color="auto"/>
          <w:insideV w:val="single" w:sz="6" w:space="0" w:color="000000"/>
        </w:tblBorders>
        <w:tblLayout w:type="fixed"/>
        <w:tblCellMar>
          <w:top w:w="45" w:type="dxa"/>
          <w:left w:w="45" w:type="dxa"/>
          <w:bottom w:w="45" w:type="dxa"/>
          <w:right w:w="45" w:type="dxa"/>
        </w:tblCellMar>
        <w:tblLook w:val="0000" w:firstRow="0" w:lastRow="0" w:firstColumn="0" w:lastColumn="0" w:noHBand="0" w:noVBand="0"/>
      </w:tblPr>
      <w:tblGrid>
        <w:gridCol w:w="1035"/>
        <w:gridCol w:w="2127"/>
        <w:gridCol w:w="1053"/>
        <w:gridCol w:w="973"/>
        <w:gridCol w:w="4541"/>
      </w:tblGrid>
      <w:tr w:rsidR="00CB0DD7" w:rsidRPr="000A0A5F" w:rsidTr="00790FC9">
        <w:tc>
          <w:tcPr>
            <w:tcW w:w="532" w:type="pct"/>
            <w:vMerge w:val="restart"/>
            <w:shd w:val="clear" w:color="auto" w:fill="C0C0C0"/>
            <w:vAlign w:val="center"/>
          </w:tcPr>
          <w:p w:rsidR="00CB0DD7" w:rsidRPr="000A0A5F" w:rsidRDefault="00CB0DD7">
            <w:pPr>
              <w:pStyle w:val="TAH"/>
            </w:pPr>
            <w:r w:rsidRPr="000A0A5F">
              <w:t>Request body</w:t>
            </w:r>
          </w:p>
        </w:tc>
        <w:tc>
          <w:tcPr>
            <w:tcW w:w="1093" w:type="pct"/>
            <w:shd w:val="clear" w:color="auto" w:fill="C0C0C0"/>
          </w:tcPr>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r w:rsidRPr="000A0A5F">
              <w:t>Cardinality</w:t>
            </w:r>
          </w:p>
        </w:tc>
        <w:tc>
          <w:tcPr>
            <w:tcW w:w="2834" w:type="pct"/>
            <w:gridSpan w:val="2"/>
            <w:shd w:val="clear" w:color="auto" w:fill="C0C0C0"/>
          </w:tcPr>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rPr>
                <w:lang w:eastAsia="zh-CN"/>
              </w:rPr>
              <w:t>GMDViaMBMSByxMB</w:t>
            </w:r>
          </w:p>
        </w:tc>
        <w:tc>
          <w:tcPr>
            <w:tcW w:w="541" w:type="pct"/>
          </w:tcPr>
          <w:p w:rsidR="00CB0DD7" w:rsidRPr="000A0A5F" w:rsidRDefault="00CB0DD7">
            <w:pPr>
              <w:pStyle w:val="TAL"/>
            </w:pPr>
            <w:r w:rsidRPr="000A0A5F">
              <w:t>1</w:t>
            </w:r>
          </w:p>
        </w:tc>
        <w:tc>
          <w:tcPr>
            <w:tcW w:w="2834" w:type="pct"/>
            <w:gridSpan w:val="2"/>
          </w:tcPr>
          <w:p w:rsidR="00CB0DD7" w:rsidRPr="000A0A5F" w:rsidRDefault="00CB0DD7">
            <w:pPr>
              <w:pStyle w:val="TAL"/>
            </w:pPr>
            <w:r w:rsidRPr="000A0A5F">
              <w:t xml:space="preserve">Parameters to </w:t>
            </w:r>
            <w:r w:rsidRPr="000A0A5F">
              <w:rPr>
                <w:lang w:eastAsia="zh-CN"/>
              </w:rPr>
              <w:t>replace group message delivery resource</w:t>
            </w:r>
            <w:r w:rsidRPr="000A0A5F">
              <w:rPr>
                <w:rFonts w:hint="eastAsia"/>
                <w:lang w:eastAsia="zh-CN"/>
              </w:rPr>
              <w:t xml:space="preserve"> </w:t>
            </w:r>
            <w:r w:rsidRPr="000A0A5F">
              <w:t>with the SCEF.</w:t>
            </w:r>
          </w:p>
        </w:tc>
      </w:tr>
      <w:tr w:rsidR="00CB0DD7" w:rsidRPr="000A0A5F" w:rsidTr="00790FC9">
        <w:tc>
          <w:tcPr>
            <w:tcW w:w="532" w:type="pct"/>
            <w:vMerge w:val="restart"/>
            <w:shd w:val="clear" w:color="auto" w:fill="C0C0C0"/>
            <w:vAlign w:val="center"/>
          </w:tcPr>
          <w:p w:rsidR="00CB0DD7" w:rsidRPr="000A0A5F" w:rsidRDefault="00CB0DD7">
            <w:pPr>
              <w:pStyle w:val="TAH"/>
            </w:pPr>
            <w:r w:rsidRPr="000A0A5F">
              <w:t>Response body</w:t>
            </w:r>
          </w:p>
        </w:tc>
        <w:tc>
          <w:tcPr>
            <w:tcW w:w="1093" w:type="pct"/>
            <w:shd w:val="clear" w:color="auto" w:fill="C0C0C0"/>
          </w:tcPr>
          <w:p w:rsidR="00CB0DD7" w:rsidRPr="000A0A5F" w:rsidRDefault="00CB0DD7">
            <w:pPr>
              <w:pStyle w:val="TAH"/>
            </w:pPr>
          </w:p>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p>
          <w:p w:rsidR="00CB0DD7" w:rsidRPr="000A0A5F" w:rsidRDefault="00CB0DD7">
            <w:pPr>
              <w:pStyle w:val="TAH"/>
            </w:pPr>
            <w:r w:rsidRPr="000A0A5F">
              <w:t>Cardinality</w:t>
            </w:r>
          </w:p>
        </w:tc>
        <w:tc>
          <w:tcPr>
            <w:tcW w:w="500" w:type="pct"/>
            <w:shd w:val="clear" w:color="auto" w:fill="C0C0C0"/>
          </w:tcPr>
          <w:p w:rsidR="00CB0DD7" w:rsidRPr="000A0A5F" w:rsidRDefault="00CB0DD7">
            <w:pPr>
              <w:pStyle w:val="TAH"/>
            </w:pPr>
            <w:r w:rsidRPr="000A0A5F">
              <w:t>Response</w:t>
            </w:r>
          </w:p>
          <w:p w:rsidR="00CB0DD7" w:rsidRPr="000A0A5F" w:rsidRDefault="00CB0DD7">
            <w:pPr>
              <w:pStyle w:val="TAH"/>
            </w:pPr>
            <w:r w:rsidRPr="000A0A5F">
              <w:t>codes</w:t>
            </w:r>
          </w:p>
        </w:tc>
        <w:tc>
          <w:tcPr>
            <w:tcW w:w="2334" w:type="pct"/>
            <w:shd w:val="clear" w:color="auto" w:fill="C0C0C0"/>
          </w:tcPr>
          <w:p w:rsidR="00CB0DD7" w:rsidRPr="000A0A5F" w:rsidRDefault="00CB0DD7">
            <w:pPr>
              <w:pStyle w:val="TAH"/>
            </w:pPr>
          </w:p>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rPr>
                <w:lang w:eastAsia="zh-CN"/>
              </w:rPr>
              <w:t>GMDViaMBMSByxMB</w:t>
            </w:r>
          </w:p>
        </w:tc>
        <w:tc>
          <w:tcPr>
            <w:tcW w:w="541" w:type="pct"/>
          </w:tcPr>
          <w:p w:rsidR="00CB0DD7" w:rsidRPr="000A0A5F" w:rsidRDefault="00CB0DD7">
            <w:pPr>
              <w:pStyle w:val="TAL"/>
              <w:rPr>
                <w:rFonts w:hint="eastAsia"/>
                <w:lang w:eastAsia="zh-CN"/>
              </w:rPr>
            </w:pPr>
            <w:r w:rsidRPr="000A0A5F">
              <w:rPr>
                <w:rFonts w:hint="eastAsia"/>
                <w:lang w:eastAsia="zh-CN"/>
              </w:rPr>
              <w:t>1</w:t>
            </w:r>
          </w:p>
        </w:tc>
        <w:tc>
          <w:tcPr>
            <w:tcW w:w="500" w:type="pct"/>
          </w:tcPr>
          <w:p w:rsidR="00CB0DD7" w:rsidRPr="000A0A5F" w:rsidRDefault="00CB0DD7">
            <w:pPr>
              <w:pStyle w:val="TAL"/>
              <w:rPr>
                <w:rFonts w:hint="eastAsia"/>
                <w:lang w:eastAsia="zh-CN"/>
              </w:rPr>
            </w:pPr>
            <w:r w:rsidRPr="000A0A5F">
              <w:t>20</w:t>
            </w:r>
            <w:r w:rsidRPr="000A0A5F">
              <w:rPr>
                <w:rFonts w:hint="eastAsia"/>
                <w:lang w:eastAsia="zh-CN"/>
              </w:rPr>
              <w:t>0 OK</w:t>
            </w:r>
          </w:p>
        </w:tc>
        <w:tc>
          <w:tcPr>
            <w:tcW w:w="2334" w:type="pct"/>
          </w:tcPr>
          <w:p w:rsidR="00CB0DD7" w:rsidRPr="000A0A5F" w:rsidRDefault="00CB0DD7">
            <w:pPr>
              <w:pStyle w:val="TAL"/>
              <w:spacing w:afterLines="50" w:after="120"/>
            </w:pPr>
            <w:r w:rsidRPr="000A0A5F">
              <w:t xml:space="preserve">The </w:t>
            </w:r>
            <w:r w:rsidRPr="000A0A5F">
              <w:rPr>
                <w:lang w:eastAsia="zh-CN"/>
              </w:rPr>
              <w:t>group message delivery</w:t>
            </w:r>
            <w:r w:rsidRPr="000A0A5F">
              <w:t xml:space="preserve"> was </w:t>
            </w:r>
            <w:r w:rsidRPr="000A0A5F">
              <w:rPr>
                <w:rFonts w:hint="eastAsia"/>
                <w:lang w:eastAsia="zh-CN"/>
              </w:rPr>
              <w:t>modified</w:t>
            </w:r>
            <w:r w:rsidRPr="000A0A5F">
              <w:t xml:space="preserve"> successfully. </w:t>
            </w:r>
          </w:p>
          <w:p w:rsidR="00CB0DD7" w:rsidRPr="000A0A5F" w:rsidRDefault="006E33A8">
            <w:pPr>
              <w:pStyle w:val="TAL"/>
              <w:rPr>
                <w:rFonts w:hint="eastAsia"/>
                <w:lang w:eastAsia="zh-CN"/>
              </w:rPr>
            </w:pPr>
            <w:r w:rsidRPr="000A0A5F">
              <w:t xml:space="preserve">The SCEF </w:t>
            </w:r>
            <w:r w:rsidRPr="000A0A5F">
              <w:rPr>
                <w:rFonts w:hint="eastAsia"/>
                <w:lang w:eastAsia="zh-CN"/>
              </w:rPr>
              <w:t>shall</w:t>
            </w:r>
            <w:r w:rsidRPr="000A0A5F">
              <w:t xml:space="preserve"> return an updated data structure of type "</w:t>
            </w:r>
            <w:r w:rsidRPr="000A0A5F">
              <w:rPr>
                <w:lang w:eastAsia="zh-CN"/>
              </w:rPr>
              <w:t>GMDViaMBMSByxMB</w:t>
            </w:r>
            <w:r w:rsidRPr="000A0A5F">
              <w:t>" in the response content.</w:t>
            </w:r>
          </w:p>
        </w:tc>
      </w:tr>
      <w:tr w:rsidR="003D6C1A" w:rsidRPr="000A0A5F" w:rsidTr="00FF0AF8">
        <w:tc>
          <w:tcPr>
            <w:tcW w:w="532" w:type="pct"/>
            <w:vMerge/>
            <w:shd w:val="clear" w:color="auto" w:fill="BFBFBF"/>
            <w:vAlign w:val="center"/>
          </w:tcPr>
          <w:p w:rsidR="003D6C1A" w:rsidRPr="000A0A5F" w:rsidRDefault="003D6C1A">
            <w:pPr>
              <w:pStyle w:val="TAL"/>
              <w:jc w:val="center"/>
            </w:pPr>
          </w:p>
        </w:tc>
        <w:tc>
          <w:tcPr>
            <w:tcW w:w="1093" w:type="pct"/>
            <w:shd w:val="clear" w:color="auto" w:fill="auto"/>
          </w:tcPr>
          <w:p w:rsidR="003D6C1A" w:rsidRPr="000A0A5F" w:rsidRDefault="003D6C1A">
            <w:pPr>
              <w:pStyle w:val="TAL"/>
              <w:rPr>
                <w:lang w:eastAsia="zh-CN"/>
              </w:rPr>
            </w:pPr>
            <w:r w:rsidRPr="000A0A5F">
              <w:rPr>
                <w:lang w:eastAsia="zh-CN"/>
              </w:rPr>
              <w:t>none</w:t>
            </w:r>
          </w:p>
        </w:tc>
        <w:tc>
          <w:tcPr>
            <w:tcW w:w="541" w:type="pct"/>
          </w:tcPr>
          <w:p w:rsidR="003D6C1A" w:rsidRPr="000A0A5F" w:rsidRDefault="003D6C1A">
            <w:pPr>
              <w:pStyle w:val="TAL"/>
              <w:rPr>
                <w:rFonts w:hint="eastAsia"/>
                <w:lang w:eastAsia="zh-CN"/>
              </w:rPr>
            </w:pPr>
          </w:p>
        </w:tc>
        <w:tc>
          <w:tcPr>
            <w:tcW w:w="500" w:type="pct"/>
          </w:tcPr>
          <w:p w:rsidR="003D6C1A" w:rsidRPr="000A0A5F" w:rsidRDefault="003D6C1A">
            <w:pPr>
              <w:pStyle w:val="TAL"/>
            </w:pPr>
            <w:r w:rsidRPr="000A0A5F">
              <w:t>204 No Content</w:t>
            </w:r>
          </w:p>
        </w:tc>
        <w:tc>
          <w:tcPr>
            <w:tcW w:w="2334" w:type="pct"/>
          </w:tcPr>
          <w:p w:rsidR="003D6C1A" w:rsidRPr="000A0A5F" w:rsidRDefault="003D6C1A">
            <w:pPr>
              <w:pStyle w:val="TAL"/>
              <w:spacing w:afterLines="50" w:after="120"/>
            </w:pPr>
            <w:r w:rsidRPr="000A0A5F">
              <w:t>The group message delivery was modified successfully, and no content is to be sent in the response message body.</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lang w:eastAsia="zh-CN"/>
              </w:rPr>
            </w:pPr>
            <w:r w:rsidRPr="000A0A5F">
              <w:t>none</w:t>
            </w:r>
          </w:p>
        </w:tc>
        <w:tc>
          <w:tcPr>
            <w:tcW w:w="541" w:type="pct"/>
          </w:tcPr>
          <w:p w:rsidR="00CB0DD7" w:rsidRPr="000A0A5F" w:rsidRDefault="00CB0DD7">
            <w:pPr>
              <w:pStyle w:val="TAL"/>
              <w:rPr>
                <w:rFonts w:hint="eastAsia"/>
                <w:lang w:eastAsia="zh-CN"/>
              </w:rPr>
            </w:pPr>
          </w:p>
        </w:tc>
        <w:tc>
          <w:tcPr>
            <w:tcW w:w="500" w:type="pct"/>
          </w:tcPr>
          <w:p w:rsidR="00CB0DD7" w:rsidRPr="000A0A5F" w:rsidRDefault="00CB0DD7">
            <w:pPr>
              <w:pStyle w:val="TAL"/>
            </w:pPr>
            <w:r w:rsidRPr="000A0A5F">
              <w:t>307 Temporary Redirect</w:t>
            </w:r>
          </w:p>
        </w:tc>
        <w:tc>
          <w:tcPr>
            <w:tcW w:w="2334" w:type="pct"/>
          </w:tcPr>
          <w:p w:rsidR="00CB0DD7" w:rsidRPr="000A0A5F" w:rsidRDefault="00CB0DD7">
            <w:pPr>
              <w:pStyle w:val="TAL"/>
            </w:pPr>
            <w:r w:rsidRPr="000A0A5F">
              <w:t>Temporary redirection, during resource modification. The response shall include a Location header field containing an alternative URI of the resource located in an alternative SCEF.</w:t>
            </w:r>
          </w:p>
          <w:p w:rsidR="00CB0DD7" w:rsidRPr="000A0A5F" w:rsidRDefault="00CB0DD7">
            <w:pPr>
              <w:pStyle w:val="TAL"/>
              <w:spacing w:afterLines="50" w:after="120"/>
            </w:pPr>
            <w:r w:rsidRPr="000A0A5F">
              <w:t>Redirection handling is described in clause 5.2.10.</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lang w:eastAsia="zh-CN"/>
              </w:rPr>
            </w:pPr>
            <w:r w:rsidRPr="000A0A5F">
              <w:t>none</w:t>
            </w:r>
          </w:p>
        </w:tc>
        <w:tc>
          <w:tcPr>
            <w:tcW w:w="541" w:type="pct"/>
          </w:tcPr>
          <w:p w:rsidR="00CB0DD7" w:rsidRPr="000A0A5F" w:rsidRDefault="00CB0DD7">
            <w:pPr>
              <w:pStyle w:val="TAL"/>
              <w:rPr>
                <w:rFonts w:hint="eastAsia"/>
                <w:lang w:eastAsia="zh-CN"/>
              </w:rPr>
            </w:pPr>
          </w:p>
        </w:tc>
        <w:tc>
          <w:tcPr>
            <w:tcW w:w="500" w:type="pct"/>
          </w:tcPr>
          <w:p w:rsidR="00CB0DD7" w:rsidRPr="000A0A5F" w:rsidRDefault="00CB0DD7">
            <w:pPr>
              <w:pStyle w:val="TAL"/>
            </w:pPr>
            <w:r w:rsidRPr="000A0A5F">
              <w:t>308 Permanent Redirect</w:t>
            </w:r>
          </w:p>
        </w:tc>
        <w:tc>
          <w:tcPr>
            <w:tcW w:w="2334" w:type="pct"/>
          </w:tcPr>
          <w:p w:rsidR="00CB0DD7" w:rsidRPr="000A0A5F" w:rsidRDefault="00CB0DD7">
            <w:pPr>
              <w:pStyle w:val="TAL"/>
            </w:pPr>
            <w:r w:rsidRPr="000A0A5F">
              <w:t>Permanent redirection, during resource modification. The response shall include a Location header field containing an alternative URI of the resource located in an alternative SCEF.</w:t>
            </w:r>
          </w:p>
          <w:p w:rsidR="00CB0DD7" w:rsidRPr="000A0A5F" w:rsidRDefault="00CB0DD7">
            <w:pPr>
              <w:pStyle w:val="TAL"/>
              <w:spacing w:afterLines="50" w:after="120"/>
            </w:pPr>
            <w:r w:rsidRPr="000A0A5F">
              <w:t>Redirection handling is described in clause 5.2.10.</w:t>
            </w:r>
          </w:p>
        </w:tc>
      </w:tr>
      <w:tr w:rsidR="00CB0DD7" w:rsidRPr="000A0A5F" w:rsidTr="00FF0AF8">
        <w:tc>
          <w:tcPr>
            <w:tcW w:w="5000" w:type="pct"/>
            <w:gridSpan w:val="5"/>
            <w:shd w:val="clear" w:color="auto" w:fill="auto"/>
            <w:vAlign w:val="center"/>
          </w:tcPr>
          <w:p w:rsidR="00CB0DD7" w:rsidRPr="000A0A5F" w:rsidRDefault="00CB0DD7">
            <w:pPr>
              <w:pStyle w:val="TAN"/>
              <w:rPr>
                <w:rFonts w:hint="eastAsia"/>
                <w:lang w:eastAsia="zh-CN"/>
              </w:rPr>
            </w:pPr>
            <w:r w:rsidRPr="000A0A5F">
              <w:t>NOTE:</w:t>
            </w:r>
            <w:r w:rsidRPr="000A0A5F">
              <w:tab/>
              <w:t>The mandatory HTTP error status codes for the PUT method listed in table 5.2.6-1 also apply.</w:t>
            </w:r>
          </w:p>
        </w:tc>
      </w:tr>
    </w:tbl>
    <w:p w:rsidR="00CB0DD7" w:rsidRPr="000A0A5F" w:rsidRDefault="00CB0DD7"/>
    <w:p w:rsidR="00CB0DD7" w:rsidRPr="000A0A5F" w:rsidRDefault="00CB0DD7">
      <w:pPr>
        <w:pStyle w:val="TH"/>
      </w:pPr>
      <w:r w:rsidRPr="000A0A5F">
        <w:t>Table 5.8.3.2.5.3.2-2: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CB0DD7">
      <w:pPr>
        <w:pStyle w:val="TH"/>
      </w:pPr>
      <w:r w:rsidRPr="000A0A5F">
        <w:t>Table 5.8.3.2.5.3.2-3: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CB0DD7">
      <w:pPr>
        <w:pStyle w:val="Heading7"/>
      </w:pPr>
      <w:bookmarkStart w:id="6466" w:name="_Toc11247664"/>
      <w:bookmarkStart w:id="6467" w:name="_Toc27044803"/>
      <w:bookmarkStart w:id="6468" w:name="_Toc36033845"/>
      <w:bookmarkStart w:id="6469" w:name="_Toc45131991"/>
      <w:bookmarkStart w:id="6470" w:name="_Toc49776276"/>
      <w:bookmarkStart w:id="6471" w:name="_Toc51747196"/>
      <w:bookmarkStart w:id="6472" w:name="_Toc66360763"/>
      <w:bookmarkStart w:id="6473" w:name="_Toc68105268"/>
      <w:bookmarkStart w:id="6474" w:name="_Toc74755898"/>
      <w:bookmarkStart w:id="6475" w:name="_Toc105674773"/>
      <w:bookmarkStart w:id="6476" w:name="_Toc130502829"/>
      <w:bookmarkStart w:id="6477" w:name="_Toc153625616"/>
      <w:r w:rsidRPr="000A0A5F">
        <w:t>5.8.3.</w:t>
      </w:r>
      <w:r w:rsidRPr="000A0A5F">
        <w:rPr>
          <w:rFonts w:hint="eastAsia"/>
        </w:rPr>
        <w:t>2</w:t>
      </w:r>
      <w:r w:rsidRPr="000A0A5F">
        <w:t>.5.3.3</w:t>
      </w:r>
      <w:r w:rsidRPr="000A0A5F">
        <w:tab/>
        <w:t>PATCH</w:t>
      </w:r>
      <w:bookmarkEnd w:id="6466"/>
      <w:bookmarkEnd w:id="6467"/>
      <w:bookmarkEnd w:id="6468"/>
      <w:bookmarkEnd w:id="6469"/>
      <w:bookmarkEnd w:id="6470"/>
      <w:bookmarkEnd w:id="6471"/>
      <w:bookmarkEnd w:id="6472"/>
      <w:bookmarkEnd w:id="6473"/>
      <w:bookmarkEnd w:id="6474"/>
      <w:bookmarkEnd w:id="6475"/>
      <w:bookmarkEnd w:id="6476"/>
      <w:bookmarkEnd w:id="6477"/>
    </w:p>
    <w:p w:rsidR="00CB0DD7" w:rsidRPr="000A0A5F" w:rsidRDefault="00CB0DD7">
      <w:r w:rsidRPr="000A0A5F">
        <w:t xml:space="preserve">Assuming that a group message delivery has been created using the </w:t>
      </w:r>
      <w:r w:rsidRPr="000A0A5F">
        <w:rPr>
          <w:rFonts w:hint="eastAsia"/>
          <w:lang w:eastAsia="zh-CN"/>
        </w:rPr>
        <w:t>HTTP POST</w:t>
      </w:r>
      <w:r w:rsidRPr="000A0A5F">
        <w:t xml:space="preserve"> method described in clause 5.8</w:t>
      </w:r>
      <w:r w:rsidRPr="000A0A5F">
        <w:rPr>
          <w:rFonts w:hint="eastAsia"/>
          <w:lang w:eastAsia="zh-CN"/>
        </w:rPr>
        <w:t>.</w:t>
      </w:r>
      <w:r w:rsidRPr="000A0A5F">
        <w:rPr>
          <w:rFonts w:hint="eastAsia"/>
        </w:rPr>
        <w:t>3.</w:t>
      </w:r>
      <w:r w:rsidRPr="000A0A5F">
        <w:t>2.4</w:t>
      </w:r>
      <w:r w:rsidRPr="000A0A5F">
        <w:rPr>
          <w:rFonts w:hint="eastAsia"/>
        </w:rPr>
        <w:t>.3.4</w:t>
      </w:r>
      <w:r w:rsidRPr="000A0A5F">
        <w:t xml:space="preserve">, partial updating of its properties can be performed by the </w:t>
      </w:r>
      <w:r w:rsidRPr="000A0A5F">
        <w:rPr>
          <w:rFonts w:hint="eastAsia"/>
        </w:rPr>
        <w:t>SCS/AS</w:t>
      </w:r>
      <w:r w:rsidRPr="000A0A5F">
        <w:t xml:space="preserve"> by using the HTTP PATCH method on the "delivery-via-mbms" instance resource.</w:t>
      </w:r>
    </w:p>
    <w:p w:rsidR="00CB0DD7" w:rsidRPr="000A0A5F" w:rsidRDefault="00CB0DD7">
      <w:pPr>
        <w:rPr>
          <w:rFonts w:hint="eastAsia"/>
          <w:lang w:eastAsia="zh-CN"/>
        </w:rPr>
      </w:pPr>
      <w:r w:rsidRPr="000A0A5F">
        <w:t>This method shall support request and response data structures, and response codes, as specified in the table 5.8.3.2.5.3.3-1.</w:t>
      </w:r>
    </w:p>
    <w:p w:rsidR="00CB0DD7" w:rsidRPr="000A0A5F" w:rsidRDefault="00CB0DD7">
      <w:pPr>
        <w:pStyle w:val="TH"/>
      </w:pPr>
      <w:r w:rsidRPr="000A0A5F">
        <w:t>Table 5.8.3.</w:t>
      </w:r>
      <w:r w:rsidRPr="000A0A5F">
        <w:rPr>
          <w:rFonts w:hint="eastAsia"/>
        </w:rPr>
        <w:t>2.</w:t>
      </w:r>
      <w:r w:rsidRPr="000A0A5F">
        <w:t>5.3.3</w:t>
      </w:r>
      <w:r w:rsidRPr="000A0A5F">
        <w:rPr>
          <w:rFonts w:hint="eastAsia"/>
        </w:rPr>
        <w:t>-1</w:t>
      </w:r>
      <w:r w:rsidRPr="000A0A5F">
        <w:t xml:space="preserve">: Data structures supported by the </w:t>
      </w:r>
      <w:r w:rsidRPr="000A0A5F">
        <w:rPr>
          <w:rFonts w:hint="eastAsia"/>
          <w:lang w:eastAsia="zh-CN"/>
        </w:rPr>
        <w:t>PATCH</w:t>
      </w:r>
      <w:r w:rsidRPr="000A0A5F">
        <w:t xml:space="preserve"> request/response by the resource</w:t>
      </w:r>
    </w:p>
    <w:tbl>
      <w:tblPr>
        <w:tblW w:w="4999" w:type="pct"/>
        <w:tblInd w:w="1" w:type="dxa"/>
        <w:tblBorders>
          <w:top w:val="single" w:sz="6" w:space="0" w:color="000000"/>
          <w:left w:val="single" w:sz="6" w:space="0" w:color="000000"/>
          <w:bottom w:val="single" w:sz="6" w:space="0" w:color="000000"/>
          <w:right w:val="single" w:sz="6" w:space="0" w:color="000000"/>
          <w:insideH w:val="single" w:sz="6" w:space="0" w:color="auto"/>
          <w:insideV w:val="single" w:sz="6" w:space="0" w:color="000000"/>
        </w:tblBorders>
        <w:tblLayout w:type="fixed"/>
        <w:tblCellMar>
          <w:top w:w="45" w:type="dxa"/>
          <w:left w:w="45" w:type="dxa"/>
          <w:bottom w:w="45" w:type="dxa"/>
          <w:right w:w="45" w:type="dxa"/>
        </w:tblCellMar>
        <w:tblLook w:val="0000" w:firstRow="0" w:lastRow="0" w:firstColumn="0" w:lastColumn="0" w:noHBand="0" w:noVBand="0"/>
      </w:tblPr>
      <w:tblGrid>
        <w:gridCol w:w="1035"/>
        <w:gridCol w:w="2127"/>
        <w:gridCol w:w="1053"/>
        <w:gridCol w:w="973"/>
        <w:gridCol w:w="4541"/>
      </w:tblGrid>
      <w:tr w:rsidR="00CB0DD7" w:rsidRPr="000A0A5F" w:rsidTr="00790FC9">
        <w:tc>
          <w:tcPr>
            <w:tcW w:w="532" w:type="pct"/>
            <w:vMerge w:val="restart"/>
            <w:shd w:val="clear" w:color="auto" w:fill="C0C0C0"/>
            <w:vAlign w:val="center"/>
          </w:tcPr>
          <w:p w:rsidR="00CB0DD7" w:rsidRPr="000A0A5F" w:rsidRDefault="00CB0DD7">
            <w:pPr>
              <w:pStyle w:val="TAH"/>
            </w:pPr>
            <w:r w:rsidRPr="000A0A5F">
              <w:t>Request body</w:t>
            </w:r>
          </w:p>
        </w:tc>
        <w:tc>
          <w:tcPr>
            <w:tcW w:w="1093" w:type="pct"/>
            <w:shd w:val="clear" w:color="auto" w:fill="C0C0C0"/>
          </w:tcPr>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r w:rsidRPr="000A0A5F">
              <w:t>Cardinality</w:t>
            </w:r>
          </w:p>
        </w:tc>
        <w:tc>
          <w:tcPr>
            <w:tcW w:w="2834" w:type="pct"/>
            <w:gridSpan w:val="2"/>
            <w:shd w:val="clear" w:color="auto" w:fill="C0C0C0"/>
          </w:tcPr>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rPr>
                <w:lang w:eastAsia="zh-CN"/>
              </w:rPr>
              <w:t>GMDViaMBMSByxMB Patch</w:t>
            </w:r>
          </w:p>
        </w:tc>
        <w:tc>
          <w:tcPr>
            <w:tcW w:w="541" w:type="pct"/>
          </w:tcPr>
          <w:p w:rsidR="00CB0DD7" w:rsidRPr="000A0A5F" w:rsidRDefault="00CB0DD7">
            <w:pPr>
              <w:pStyle w:val="TAL"/>
            </w:pPr>
            <w:r w:rsidRPr="000A0A5F">
              <w:t>1</w:t>
            </w:r>
          </w:p>
        </w:tc>
        <w:tc>
          <w:tcPr>
            <w:tcW w:w="2834" w:type="pct"/>
            <w:gridSpan w:val="2"/>
          </w:tcPr>
          <w:p w:rsidR="00CB0DD7" w:rsidRPr="000A0A5F" w:rsidRDefault="00CB0DD7">
            <w:pPr>
              <w:pStyle w:val="TAL"/>
            </w:pPr>
            <w:r w:rsidRPr="000A0A5F">
              <w:t xml:space="preserve">Parameters to partially </w:t>
            </w:r>
            <w:r w:rsidRPr="000A0A5F">
              <w:rPr>
                <w:rFonts w:hint="eastAsia"/>
                <w:lang w:eastAsia="zh-CN"/>
              </w:rPr>
              <w:t xml:space="preserve">update a </w:t>
            </w:r>
            <w:r w:rsidRPr="000A0A5F">
              <w:rPr>
                <w:lang w:eastAsia="zh-CN"/>
              </w:rPr>
              <w:t>group message delivery</w:t>
            </w:r>
            <w:r w:rsidRPr="000A0A5F">
              <w:rPr>
                <w:rFonts w:hint="eastAsia"/>
                <w:lang w:eastAsia="zh-CN"/>
              </w:rPr>
              <w:t xml:space="preserve"> </w:t>
            </w:r>
            <w:r w:rsidRPr="000A0A5F">
              <w:t>with the SCEF.</w:t>
            </w:r>
          </w:p>
        </w:tc>
      </w:tr>
      <w:tr w:rsidR="00CB0DD7" w:rsidRPr="000A0A5F" w:rsidTr="00790FC9">
        <w:tc>
          <w:tcPr>
            <w:tcW w:w="532" w:type="pct"/>
            <w:vMerge w:val="restart"/>
            <w:shd w:val="clear" w:color="auto" w:fill="C0C0C0"/>
            <w:vAlign w:val="center"/>
          </w:tcPr>
          <w:p w:rsidR="00CB0DD7" w:rsidRPr="000A0A5F" w:rsidRDefault="00CB0DD7">
            <w:pPr>
              <w:pStyle w:val="TAH"/>
            </w:pPr>
            <w:r w:rsidRPr="000A0A5F">
              <w:t>Response body</w:t>
            </w:r>
          </w:p>
        </w:tc>
        <w:tc>
          <w:tcPr>
            <w:tcW w:w="1093" w:type="pct"/>
            <w:shd w:val="clear" w:color="auto" w:fill="C0C0C0"/>
          </w:tcPr>
          <w:p w:rsidR="00CB0DD7" w:rsidRPr="000A0A5F" w:rsidRDefault="00CB0DD7">
            <w:pPr>
              <w:pStyle w:val="TAH"/>
            </w:pPr>
          </w:p>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p>
          <w:p w:rsidR="00CB0DD7" w:rsidRPr="000A0A5F" w:rsidRDefault="00CB0DD7">
            <w:pPr>
              <w:pStyle w:val="TAH"/>
            </w:pPr>
            <w:r w:rsidRPr="000A0A5F">
              <w:t>Cardinality</w:t>
            </w:r>
          </w:p>
        </w:tc>
        <w:tc>
          <w:tcPr>
            <w:tcW w:w="500" w:type="pct"/>
            <w:shd w:val="clear" w:color="auto" w:fill="C0C0C0"/>
          </w:tcPr>
          <w:p w:rsidR="00CB0DD7" w:rsidRPr="000A0A5F" w:rsidRDefault="00CB0DD7">
            <w:pPr>
              <w:pStyle w:val="TAH"/>
            </w:pPr>
            <w:r w:rsidRPr="000A0A5F">
              <w:t>Response</w:t>
            </w:r>
          </w:p>
          <w:p w:rsidR="00CB0DD7" w:rsidRPr="000A0A5F" w:rsidRDefault="00CB0DD7">
            <w:pPr>
              <w:pStyle w:val="TAH"/>
            </w:pPr>
            <w:r w:rsidRPr="000A0A5F">
              <w:t>codes</w:t>
            </w:r>
          </w:p>
        </w:tc>
        <w:tc>
          <w:tcPr>
            <w:tcW w:w="2334" w:type="pct"/>
            <w:shd w:val="clear" w:color="auto" w:fill="C0C0C0"/>
          </w:tcPr>
          <w:p w:rsidR="00CB0DD7" w:rsidRPr="000A0A5F" w:rsidRDefault="00CB0DD7">
            <w:pPr>
              <w:pStyle w:val="TAH"/>
            </w:pPr>
          </w:p>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rPr>
                <w:lang w:eastAsia="zh-CN"/>
              </w:rPr>
              <w:t>GMDViaMBMSByxMB</w:t>
            </w:r>
          </w:p>
        </w:tc>
        <w:tc>
          <w:tcPr>
            <w:tcW w:w="541" w:type="pct"/>
          </w:tcPr>
          <w:p w:rsidR="00CB0DD7" w:rsidRPr="000A0A5F" w:rsidRDefault="00CB0DD7">
            <w:pPr>
              <w:pStyle w:val="TAL"/>
              <w:rPr>
                <w:rFonts w:hint="eastAsia"/>
                <w:lang w:eastAsia="zh-CN"/>
              </w:rPr>
            </w:pPr>
            <w:r w:rsidRPr="000A0A5F">
              <w:rPr>
                <w:rFonts w:hint="eastAsia"/>
                <w:lang w:eastAsia="zh-CN"/>
              </w:rPr>
              <w:t>1</w:t>
            </w:r>
          </w:p>
        </w:tc>
        <w:tc>
          <w:tcPr>
            <w:tcW w:w="500" w:type="pct"/>
          </w:tcPr>
          <w:p w:rsidR="00CB0DD7" w:rsidRPr="000A0A5F" w:rsidRDefault="00CB0DD7">
            <w:pPr>
              <w:pStyle w:val="TAL"/>
              <w:rPr>
                <w:rFonts w:hint="eastAsia"/>
                <w:lang w:eastAsia="zh-CN"/>
              </w:rPr>
            </w:pPr>
            <w:r w:rsidRPr="000A0A5F">
              <w:t>20</w:t>
            </w:r>
            <w:r w:rsidRPr="000A0A5F">
              <w:rPr>
                <w:rFonts w:hint="eastAsia"/>
                <w:lang w:eastAsia="zh-CN"/>
              </w:rPr>
              <w:t>0 OK</w:t>
            </w:r>
          </w:p>
        </w:tc>
        <w:tc>
          <w:tcPr>
            <w:tcW w:w="2334" w:type="pct"/>
          </w:tcPr>
          <w:p w:rsidR="00CB0DD7" w:rsidRPr="000A0A5F" w:rsidRDefault="00CB0DD7">
            <w:pPr>
              <w:pStyle w:val="TAL"/>
              <w:spacing w:afterLines="50" w:after="120"/>
            </w:pPr>
            <w:r w:rsidRPr="000A0A5F">
              <w:t xml:space="preserve">The </w:t>
            </w:r>
            <w:r w:rsidRPr="000A0A5F">
              <w:rPr>
                <w:lang w:eastAsia="zh-CN"/>
              </w:rPr>
              <w:t>group message delivery</w:t>
            </w:r>
            <w:r w:rsidRPr="000A0A5F">
              <w:t xml:space="preserve"> was </w:t>
            </w:r>
            <w:r w:rsidRPr="000A0A5F">
              <w:rPr>
                <w:rFonts w:hint="eastAsia"/>
                <w:lang w:eastAsia="zh-CN"/>
              </w:rPr>
              <w:t>modified</w:t>
            </w:r>
            <w:r w:rsidRPr="000A0A5F">
              <w:t xml:space="preserve"> successfully. </w:t>
            </w:r>
          </w:p>
          <w:p w:rsidR="00CB0DD7" w:rsidRPr="000A0A5F" w:rsidRDefault="006E33A8">
            <w:pPr>
              <w:pStyle w:val="TAL"/>
              <w:rPr>
                <w:rFonts w:hint="eastAsia"/>
                <w:lang w:eastAsia="zh-CN"/>
              </w:rPr>
            </w:pPr>
            <w:r w:rsidRPr="000A0A5F">
              <w:t xml:space="preserve">The SCEF </w:t>
            </w:r>
            <w:r w:rsidRPr="000A0A5F">
              <w:rPr>
                <w:rFonts w:hint="eastAsia"/>
                <w:lang w:eastAsia="zh-CN"/>
              </w:rPr>
              <w:t>shall</w:t>
            </w:r>
            <w:r w:rsidRPr="000A0A5F">
              <w:t xml:space="preserve"> return an updated data structure of type "</w:t>
            </w:r>
            <w:r w:rsidRPr="000A0A5F">
              <w:rPr>
                <w:lang w:eastAsia="zh-CN"/>
              </w:rPr>
              <w:t>GMDViaMBMSByxMB</w:t>
            </w:r>
            <w:r w:rsidRPr="000A0A5F">
              <w:t>" in the response content.</w:t>
            </w:r>
          </w:p>
        </w:tc>
      </w:tr>
      <w:tr w:rsidR="003D6C1A" w:rsidRPr="000A0A5F" w:rsidTr="00FF0AF8">
        <w:tc>
          <w:tcPr>
            <w:tcW w:w="532" w:type="pct"/>
            <w:vMerge/>
            <w:shd w:val="clear" w:color="auto" w:fill="BFBFBF"/>
            <w:vAlign w:val="center"/>
          </w:tcPr>
          <w:p w:rsidR="003D6C1A" w:rsidRPr="000A0A5F" w:rsidRDefault="003D6C1A">
            <w:pPr>
              <w:pStyle w:val="TAL"/>
              <w:jc w:val="center"/>
            </w:pPr>
          </w:p>
        </w:tc>
        <w:tc>
          <w:tcPr>
            <w:tcW w:w="1093" w:type="pct"/>
            <w:shd w:val="clear" w:color="auto" w:fill="auto"/>
          </w:tcPr>
          <w:p w:rsidR="003D6C1A" w:rsidRPr="000A0A5F" w:rsidRDefault="003D6C1A">
            <w:pPr>
              <w:pStyle w:val="TAL"/>
              <w:rPr>
                <w:lang w:eastAsia="zh-CN"/>
              </w:rPr>
            </w:pPr>
            <w:r w:rsidRPr="000A0A5F">
              <w:rPr>
                <w:lang w:eastAsia="zh-CN"/>
              </w:rPr>
              <w:t>none</w:t>
            </w:r>
          </w:p>
        </w:tc>
        <w:tc>
          <w:tcPr>
            <w:tcW w:w="541" w:type="pct"/>
          </w:tcPr>
          <w:p w:rsidR="003D6C1A" w:rsidRPr="000A0A5F" w:rsidRDefault="003D6C1A">
            <w:pPr>
              <w:pStyle w:val="TAL"/>
              <w:rPr>
                <w:rFonts w:hint="eastAsia"/>
                <w:lang w:eastAsia="zh-CN"/>
              </w:rPr>
            </w:pPr>
          </w:p>
        </w:tc>
        <w:tc>
          <w:tcPr>
            <w:tcW w:w="500" w:type="pct"/>
          </w:tcPr>
          <w:p w:rsidR="003D6C1A" w:rsidRPr="000A0A5F" w:rsidRDefault="003D6C1A">
            <w:pPr>
              <w:pStyle w:val="TAL"/>
            </w:pPr>
            <w:r w:rsidRPr="000A0A5F">
              <w:t>204 No Content</w:t>
            </w:r>
          </w:p>
        </w:tc>
        <w:tc>
          <w:tcPr>
            <w:tcW w:w="2334" w:type="pct"/>
          </w:tcPr>
          <w:p w:rsidR="003D6C1A" w:rsidRPr="000A0A5F" w:rsidRDefault="003D6C1A">
            <w:pPr>
              <w:pStyle w:val="TAL"/>
              <w:spacing w:afterLines="50" w:after="120"/>
            </w:pPr>
            <w:r w:rsidRPr="000A0A5F">
              <w:t>The group message delivery was modified successfully, and no content is to be sent in the response message body.</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lang w:eastAsia="zh-CN"/>
              </w:rPr>
            </w:pPr>
            <w:r w:rsidRPr="000A0A5F">
              <w:t>none</w:t>
            </w:r>
          </w:p>
        </w:tc>
        <w:tc>
          <w:tcPr>
            <w:tcW w:w="541" w:type="pct"/>
          </w:tcPr>
          <w:p w:rsidR="00CB0DD7" w:rsidRPr="000A0A5F" w:rsidRDefault="00CB0DD7">
            <w:pPr>
              <w:pStyle w:val="TAL"/>
              <w:rPr>
                <w:rFonts w:hint="eastAsia"/>
                <w:lang w:eastAsia="zh-CN"/>
              </w:rPr>
            </w:pPr>
          </w:p>
        </w:tc>
        <w:tc>
          <w:tcPr>
            <w:tcW w:w="500" w:type="pct"/>
          </w:tcPr>
          <w:p w:rsidR="00CB0DD7" w:rsidRPr="000A0A5F" w:rsidRDefault="00CB0DD7">
            <w:pPr>
              <w:pStyle w:val="TAL"/>
            </w:pPr>
            <w:r w:rsidRPr="000A0A5F">
              <w:t>307 Temporary Redirect</w:t>
            </w:r>
          </w:p>
        </w:tc>
        <w:tc>
          <w:tcPr>
            <w:tcW w:w="2334" w:type="pct"/>
          </w:tcPr>
          <w:p w:rsidR="00CB0DD7" w:rsidRPr="000A0A5F" w:rsidRDefault="00CB0DD7">
            <w:pPr>
              <w:pStyle w:val="TAL"/>
            </w:pPr>
            <w:r w:rsidRPr="000A0A5F">
              <w:t>Temporary redirection, during resource modification. The response shall include a Location header field containing an alternative URI of the resource located in an alternative SCEF.</w:t>
            </w:r>
          </w:p>
          <w:p w:rsidR="00CB0DD7" w:rsidRPr="000A0A5F" w:rsidRDefault="00CB0DD7">
            <w:pPr>
              <w:pStyle w:val="TAL"/>
              <w:spacing w:afterLines="50" w:after="120"/>
            </w:pPr>
            <w:r w:rsidRPr="000A0A5F">
              <w:t>Redirection handling is described in clause 5.2.10.</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lang w:eastAsia="zh-CN"/>
              </w:rPr>
            </w:pPr>
            <w:r w:rsidRPr="000A0A5F">
              <w:t>none</w:t>
            </w:r>
          </w:p>
        </w:tc>
        <w:tc>
          <w:tcPr>
            <w:tcW w:w="541" w:type="pct"/>
          </w:tcPr>
          <w:p w:rsidR="00CB0DD7" w:rsidRPr="000A0A5F" w:rsidRDefault="00CB0DD7">
            <w:pPr>
              <w:pStyle w:val="TAL"/>
              <w:rPr>
                <w:rFonts w:hint="eastAsia"/>
                <w:lang w:eastAsia="zh-CN"/>
              </w:rPr>
            </w:pPr>
          </w:p>
        </w:tc>
        <w:tc>
          <w:tcPr>
            <w:tcW w:w="500" w:type="pct"/>
          </w:tcPr>
          <w:p w:rsidR="00CB0DD7" w:rsidRPr="000A0A5F" w:rsidRDefault="00CB0DD7">
            <w:pPr>
              <w:pStyle w:val="TAL"/>
            </w:pPr>
            <w:r w:rsidRPr="000A0A5F">
              <w:t>308 Permanent Redirect</w:t>
            </w:r>
          </w:p>
        </w:tc>
        <w:tc>
          <w:tcPr>
            <w:tcW w:w="2334" w:type="pct"/>
          </w:tcPr>
          <w:p w:rsidR="00CB0DD7" w:rsidRPr="000A0A5F" w:rsidRDefault="00CB0DD7">
            <w:pPr>
              <w:pStyle w:val="TAL"/>
            </w:pPr>
            <w:r w:rsidRPr="000A0A5F">
              <w:t>Permanent redirection, during resource modification. The response shall include a Location header field containing an alternative URI of the resource located in an alternative SCEF.</w:t>
            </w:r>
          </w:p>
          <w:p w:rsidR="00CB0DD7" w:rsidRPr="000A0A5F" w:rsidRDefault="00CB0DD7">
            <w:pPr>
              <w:pStyle w:val="TAL"/>
              <w:spacing w:afterLines="50" w:after="120"/>
            </w:pPr>
            <w:r w:rsidRPr="000A0A5F">
              <w:t>Redirection handling is described in clause 5.2.10.</w:t>
            </w:r>
          </w:p>
        </w:tc>
      </w:tr>
      <w:tr w:rsidR="00CB0DD7" w:rsidRPr="000A0A5F" w:rsidTr="00FF0AF8">
        <w:tc>
          <w:tcPr>
            <w:tcW w:w="5000" w:type="pct"/>
            <w:gridSpan w:val="5"/>
            <w:shd w:val="clear" w:color="auto" w:fill="auto"/>
            <w:vAlign w:val="center"/>
          </w:tcPr>
          <w:p w:rsidR="00CB0DD7" w:rsidRPr="000A0A5F" w:rsidRDefault="00CB0DD7">
            <w:pPr>
              <w:pStyle w:val="TAN"/>
              <w:rPr>
                <w:rFonts w:hint="eastAsia"/>
                <w:lang w:eastAsia="zh-CN"/>
              </w:rPr>
            </w:pPr>
            <w:r w:rsidRPr="000A0A5F">
              <w:t>NOTE:</w:t>
            </w:r>
            <w:r w:rsidRPr="000A0A5F">
              <w:tab/>
              <w:t>The mandatory HTTP error status codes for the PATCH method listed in table 5.2.6-1 also apply.</w:t>
            </w:r>
          </w:p>
        </w:tc>
      </w:tr>
    </w:tbl>
    <w:p w:rsidR="00CB0DD7" w:rsidRPr="000A0A5F" w:rsidRDefault="00CB0DD7"/>
    <w:p w:rsidR="00CB0DD7" w:rsidRPr="000A0A5F" w:rsidRDefault="00CB0DD7">
      <w:pPr>
        <w:pStyle w:val="TH"/>
      </w:pPr>
      <w:r w:rsidRPr="000A0A5F">
        <w:t>Table 5.8.3.</w:t>
      </w:r>
      <w:r w:rsidRPr="000A0A5F">
        <w:rPr>
          <w:rFonts w:hint="eastAsia"/>
        </w:rPr>
        <w:t>2.</w:t>
      </w:r>
      <w:r w:rsidRPr="000A0A5F">
        <w:t>5.3.3-2: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CB0DD7">
      <w:pPr>
        <w:pStyle w:val="TH"/>
      </w:pPr>
      <w:r w:rsidRPr="000A0A5F">
        <w:t>Table 5.8.3.</w:t>
      </w:r>
      <w:r w:rsidRPr="000A0A5F">
        <w:rPr>
          <w:rFonts w:hint="eastAsia"/>
        </w:rPr>
        <w:t>2.</w:t>
      </w:r>
      <w:r w:rsidRPr="000A0A5F">
        <w:t>5.3.3-3: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CB0DD7">
      <w:pPr>
        <w:pStyle w:val="Heading7"/>
      </w:pPr>
      <w:bookmarkStart w:id="6478" w:name="_Toc11247665"/>
      <w:bookmarkStart w:id="6479" w:name="_Toc27044804"/>
      <w:bookmarkStart w:id="6480" w:name="_Toc36033846"/>
      <w:bookmarkStart w:id="6481" w:name="_Toc45131992"/>
      <w:bookmarkStart w:id="6482" w:name="_Toc49776277"/>
      <w:bookmarkStart w:id="6483" w:name="_Toc51747197"/>
      <w:bookmarkStart w:id="6484" w:name="_Toc66360764"/>
      <w:bookmarkStart w:id="6485" w:name="_Toc68105269"/>
      <w:bookmarkStart w:id="6486" w:name="_Toc74755899"/>
      <w:bookmarkStart w:id="6487" w:name="_Toc105674774"/>
      <w:bookmarkStart w:id="6488" w:name="_Toc130502830"/>
      <w:bookmarkStart w:id="6489" w:name="_Toc153625617"/>
      <w:r w:rsidRPr="000A0A5F">
        <w:t>5.8.3.</w:t>
      </w:r>
      <w:r w:rsidRPr="000A0A5F">
        <w:rPr>
          <w:rFonts w:hint="eastAsia"/>
        </w:rPr>
        <w:t>2</w:t>
      </w:r>
      <w:r w:rsidRPr="000A0A5F">
        <w:t>.5.3.4</w:t>
      </w:r>
      <w:r w:rsidRPr="000A0A5F">
        <w:tab/>
        <w:t>POST</w:t>
      </w:r>
      <w:bookmarkEnd w:id="6478"/>
      <w:bookmarkEnd w:id="6479"/>
      <w:bookmarkEnd w:id="6480"/>
      <w:bookmarkEnd w:id="6481"/>
      <w:bookmarkEnd w:id="6482"/>
      <w:bookmarkEnd w:id="6483"/>
      <w:bookmarkEnd w:id="6484"/>
      <w:bookmarkEnd w:id="6485"/>
      <w:bookmarkEnd w:id="6486"/>
      <w:bookmarkEnd w:id="6487"/>
      <w:bookmarkEnd w:id="6488"/>
      <w:bookmarkEnd w:id="6489"/>
    </w:p>
    <w:p w:rsidR="00CB0DD7" w:rsidRPr="000A0A5F" w:rsidRDefault="00CB0DD7">
      <w:r w:rsidRPr="000A0A5F">
        <w:rPr>
          <w:rFonts w:hint="eastAsia"/>
          <w:lang w:eastAsia="zh-CN"/>
        </w:rPr>
        <w:t xml:space="preserve">This </w:t>
      </w:r>
      <w:r w:rsidRPr="000A0A5F">
        <w:rPr>
          <w:lang w:eastAsia="zh-CN"/>
        </w:rPr>
        <w:t>HTTP method is not supported for the resource.</w:t>
      </w:r>
    </w:p>
    <w:p w:rsidR="00CB0DD7" w:rsidRPr="000A0A5F" w:rsidRDefault="00CB0DD7">
      <w:pPr>
        <w:pStyle w:val="Heading7"/>
      </w:pPr>
      <w:bookmarkStart w:id="6490" w:name="_Toc11247666"/>
      <w:bookmarkStart w:id="6491" w:name="_Toc27044805"/>
      <w:bookmarkStart w:id="6492" w:name="_Toc36033847"/>
      <w:bookmarkStart w:id="6493" w:name="_Toc45131993"/>
      <w:bookmarkStart w:id="6494" w:name="_Toc49776278"/>
      <w:bookmarkStart w:id="6495" w:name="_Toc51747198"/>
      <w:bookmarkStart w:id="6496" w:name="_Toc66360765"/>
      <w:bookmarkStart w:id="6497" w:name="_Toc68105270"/>
      <w:bookmarkStart w:id="6498" w:name="_Toc74755900"/>
      <w:bookmarkStart w:id="6499" w:name="_Toc105674775"/>
      <w:bookmarkStart w:id="6500" w:name="_Toc130502831"/>
      <w:bookmarkStart w:id="6501" w:name="_Toc153625618"/>
      <w:r w:rsidRPr="000A0A5F">
        <w:t>5.8.3.</w:t>
      </w:r>
      <w:r w:rsidRPr="000A0A5F">
        <w:rPr>
          <w:rFonts w:hint="eastAsia"/>
        </w:rPr>
        <w:t>2</w:t>
      </w:r>
      <w:r w:rsidRPr="000A0A5F">
        <w:t>.5.3.5</w:t>
      </w:r>
      <w:r w:rsidRPr="000A0A5F">
        <w:tab/>
        <w:t>DELETE</w:t>
      </w:r>
      <w:bookmarkEnd w:id="6490"/>
      <w:bookmarkEnd w:id="6491"/>
      <w:bookmarkEnd w:id="6492"/>
      <w:bookmarkEnd w:id="6493"/>
      <w:bookmarkEnd w:id="6494"/>
      <w:bookmarkEnd w:id="6495"/>
      <w:bookmarkEnd w:id="6496"/>
      <w:bookmarkEnd w:id="6497"/>
      <w:bookmarkEnd w:id="6498"/>
      <w:bookmarkEnd w:id="6499"/>
      <w:bookmarkEnd w:id="6500"/>
      <w:bookmarkEnd w:id="6501"/>
    </w:p>
    <w:p w:rsidR="00CB0DD7" w:rsidRPr="000A0A5F" w:rsidRDefault="00CB0DD7">
      <w:r w:rsidRPr="000A0A5F">
        <w:t xml:space="preserve">To </w:t>
      </w:r>
      <w:r w:rsidRPr="000A0A5F">
        <w:rPr>
          <w:rFonts w:hint="eastAsia"/>
          <w:lang w:eastAsia="zh-CN"/>
        </w:rPr>
        <w:t>cancel</w:t>
      </w:r>
      <w:r w:rsidRPr="000A0A5F">
        <w:t xml:space="preserve"> a group message delivery, the </w:t>
      </w:r>
      <w:r w:rsidRPr="000A0A5F">
        <w:rPr>
          <w:rFonts w:hint="eastAsia"/>
          <w:lang w:eastAsia="zh-CN"/>
        </w:rPr>
        <w:t xml:space="preserve">SCS/AS </w:t>
      </w:r>
      <w:r w:rsidRPr="000A0A5F">
        <w:t xml:space="preserve">shall use the HTTP DELETE method on the </w:t>
      </w:r>
      <w:r w:rsidRPr="000A0A5F">
        <w:rPr>
          <w:rFonts w:hint="eastAsia"/>
          <w:lang w:eastAsia="zh-CN"/>
        </w:rPr>
        <w:t xml:space="preserve">individual </w:t>
      </w:r>
      <w:r w:rsidRPr="000A0A5F">
        <w:t xml:space="preserve">"delivery_via_mbms" resource </w:t>
      </w:r>
      <w:r w:rsidRPr="000A0A5F">
        <w:rPr>
          <w:rFonts w:hint="eastAsia"/>
          <w:lang w:eastAsia="zh-CN"/>
        </w:rPr>
        <w:t>which is indicated by the URI in the Location header of the HTTP POST response</w:t>
      </w:r>
      <w:r w:rsidRPr="000A0A5F">
        <w:t>:</w:t>
      </w:r>
    </w:p>
    <w:p w:rsidR="00CB0DD7" w:rsidRPr="000A0A5F" w:rsidRDefault="00CB0DD7">
      <w:pPr>
        <w:rPr>
          <w:rFonts w:hint="eastAsia"/>
        </w:rPr>
      </w:pPr>
      <w:r w:rsidRPr="000A0A5F">
        <w:t xml:space="preserve">The possible response messages from the </w:t>
      </w:r>
      <w:r w:rsidRPr="000A0A5F">
        <w:rPr>
          <w:rFonts w:hint="eastAsia"/>
          <w:lang w:eastAsia="zh-CN"/>
        </w:rPr>
        <w:t>SCEF</w:t>
      </w:r>
      <w:r w:rsidRPr="000A0A5F">
        <w:t xml:space="preserve">, depending on whether the DELETE request is successful or unsuccessful, are shown in </w:t>
      </w:r>
      <w:r w:rsidR="002E466A" w:rsidRPr="000A0A5F">
        <w:t>table</w:t>
      </w:r>
      <w:r w:rsidR="002E466A" w:rsidRPr="000A0A5F">
        <w:rPr>
          <w:lang w:val="en-US" w:eastAsia="zh-CN"/>
        </w:rPr>
        <w:t> </w:t>
      </w:r>
      <w:r w:rsidRPr="000A0A5F">
        <w:t>5.</w:t>
      </w:r>
      <w:r w:rsidRPr="000A0A5F">
        <w:rPr>
          <w:lang w:eastAsia="zh-CN"/>
        </w:rPr>
        <w:t>8</w:t>
      </w:r>
      <w:r w:rsidRPr="000A0A5F">
        <w:t>.3.</w:t>
      </w:r>
      <w:r w:rsidRPr="000A0A5F">
        <w:rPr>
          <w:rFonts w:hint="eastAsia"/>
        </w:rPr>
        <w:t>2.</w:t>
      </w:r>
      <w:r w:rsidRPr="000A0A5F">
        <w:t>5.3.5</w:t>
      </w:r>
      <w:r w:rsidRPr="000A0A5F">
        <w:rPr>
          <w:rFonts w:hint="eastAsia"/>
        </w:rPr>
        <w:t>-1.</w:t>
      </w:r>
    </w:p>
    <w:p w:rsidR="00CB0DD7" w:rsidRPr="000A0A5F" w:rsidRDefault="00CB0DD7">
      <w:pPr>
        <w:pStyle w:val="TH"/>
      </w:pPr>
      <w:r w:rsidRPr="000A0A5F">
        <w:t>Table 5.</w:t>
      </w:r>
      <w:r w:rsidRPr="000A0A5F">
        <w:rPr>
          <w:lang w:eastAsia="zh-CN"/>
        </w:rPr>
        <w:t>8</w:t>
      </w:r>
      <w:r w:rsidRPr="000A0A5F">
        <w:t>.3.2.5.3.5</w:t>
      </w:r>
      <w:r w:rsidRPr="000A0A5F">
        <w:rPr>
          <w:rFonts w:hint="eastAsia"/>
          <w:lang w:eastAsia="zh-CN"/>
        </w:rPr>
        <w:t>-1</w:t>
      </w:r>
      <w:r w:rsidRPr="000A0A5F">
        <w:t xml:space="preserve">: Data structures supported by the </w:t>
      </w:r>
      <w:r w:rsidRPr="000A0A5F">
        <w:rPr>
          <w:rFonts w:hint="eastAsia"/>
          <w:lang w:eastAsia="zh-CN"/>
        </w:rPr>
        <w:t>DELETE</w:t>
      </w:r>
      <w:r w:rsidRPr="000A0A5F">
        <w:t xml:space="preserve"> request/response by the resource</w:t>
      </w:r>
    </w:p>
    <w:tbl>
      <w:tblPr>
        <w:tblW w:w="4999" w:type="pct"/>
        <w:tblInd w:w="1" w:type="dxa"/>
        <w:tblBorders>
          <w:top w:val="single" w:sz="6" w:space="0" w:color="000000"/>
          <w:left w:val="single" w:sz="6" w:space="0" w:color="000000"/>
          <w:bottom w:val="single" w:sz="6" w:space="0" w:color="auto"/>
          <w:right w:val="single" w:sz="6" w:space="0" w:color="000000"/>
          <w:insideH w:val="single" w:sz="6" w:space="0" w:color="auto"/>
          <w:insideV w:val="single" w:sz="6" w:space="0" w:color="000000"/>
        </w:tblBorders>
        <w:tblLayout w:type="fixed"/>
        <w:tblCellMar>
          <w:top w:w="45" w:type="dxa"/>
          <w:left w:w="45" w:type="dxa"/>
          <w:bottom w:w="45" w:type="dxa"/>
          <w:right w:w="45" w:type="dxa"/>
        </w:tblCellMar>
        <w:tblLook w:val="0000" w:firstRow="0" w:lastRow="0" w:firstColumn="0" w:lastColumn="0" w:noHBand="0" w:noVBand="0"/>
      </w:tblPr>
      <w:tblGrid>
        <w:gridCol w:w="1035"/>
        <w:gridCol w:w="2127"/>
        <w:gridCol w:w="1053"/>
        <w:gridCol w:w="973"/>
        <w:gridCol w:w="4541"/>
      </w:tblGrid>
      <w:tr w:rsidR="00CB0DD7" w:rsidRPr="000A0A5F" w:rsidTr="00790FC9">
        <w:tc>
          <w:tcPr>
            <w:tcW w:w="532" w:type="pct"/>
            <w:vMerge w:val="restart"/>
            <w:shd w:val="clear" w:color="auto" w:fill="C0C0C0"/>
            <w:vAlign w:val="center"/>
          </w:tcPr>
          <w:p w:rsidR="00CB0DD7" w:rsidRPr="000A0A5F" w:rsidRDefault="00CB0DD7">
            <w:pPr>
              <w:pStyle w:val="TAH"/>
            </w:pPr>
            <w:r w:rsidRPr="000A0A5F">
              <w:t>Request body</w:t>
            </w:r>
          </w:p>
        </w:tc>
        <w:tc>
          <w:tcPr>
            <w:tcW w:w="1093" w:type="pct"/>
            <w:shd w:val="clear" w:color="auto" w:fill="C0C0C0"/>
          </w:tcPr>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r w:rsidRPr="000A0A5F">
              <w:t>Cardinality</w:t>
            </w:r>
          </w:p>
        </w:tc>
        <w:tc>
          <w:tcPr>
            <w:tcW w:w="2834" w:type="pct"/>
            <w:gridSpan w:val="2"/>
            <w:shd w:val="clear" w:color="auto" w:fill="C0C0C0"/>
          </w:tcPr>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rPr>
                <w:rFonts w:hint="eastAsia"/>
                <w:lang w:eastAsia="zh-CN"/>
              </w:rPr>
              <w:t>none</w:t>
            </w:r>
          </w:p>
        </w:tc>
        <w:tc>
          <w:tcPr>
            <w:tcW w:w="541" w:type="pct"/>
          </w:tcPr>
          <w:p w:rsidR="00CB0DD7" w:rsidRPr="000A0A5F" w:rsidRDefault="00CB0DD7">
            <w:pPr>
              <w:pStyle w:val="TAL"/>
              <w:rPr>
                <w:rFonts w:hint="eastAsia"/>
                <w:lang w:eastAsia="zh-CN"/>
              </w:rPr>
            </w:pPr>
          </w:p>
        </w:tc>
        <w:tc>
          <w:tcPr>
            <w:tcW w:w="2834" w:type="pct"/>
            <w:gridSpan w:val="2"/>
          </w:tcPr>
          <w:p w:rsidR="00CB0DD7" w:rsidRPr="000A0A5F" w:rsidRDefault="00CB0DD7">
            <w:pPr>
              <w:pStyle w:val="TAL"/>
              <w:rPr>
                <w:rFonts w:hint="eastAsia"/>
                <w:lang w:eastAsia="zh-CN"/>
              </w:rPr>
            </w:pPr>
          </w:p>
        </w:tc>
      </w:tr>
      <w:tr w:rsidR="00CB0DD7" w:rsidRPr="000A0A5F" w:rsidTr="00790FC9">
        <w:tc>
          <w:tcPr>
            <w:tcW w:w="532" w:type="pct"/>
            <w:vMerge w:val="restart"/>
            <w:shd w:val="clear" w:color="auto" w:fill="C0C0C0"/>
            <w:vAlign w:val="center"/>
          </w:tcPr>
          <w:p w:rsidR="00CB0DD7" w:rsidRPr="000A0A5F" w:rsidRDefault="00CB0DD7">
            <w:pPr>
              <w:pStyle w:val="TAH"/>
            </w:pPr>
            <w:r w:rsidRPr="000A0A5F">
              <w:t>Response body</w:t>
            </w:r>
          </w:p>
        </w:tc>
        <w:tc>
          <w:tcPr>
            <w:tcW w:w="1093" w:type="pct"/>
            <w:shd w:val="clear" w:color="auto" w:fill="C0C0C0"/>
          </w:tcPr>
          <w:p w:rsidR="00CB0DD7" w:rsidRPr="000A0A5F" w:rsidRDefault="00CB0DD7">
            <w:pPr>
              <w:pStyle w:val="TAH"/>
            </w:pPr>
          </w:p>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p>
          <w:p w:rsidR="00CB0DD7" w:rsidRPr="000A0A5F" w:rsidRDefault="00CB0DD7">
            <w:pPr>
              <w:pStyle w:val="TAH"/>
            </w:pPr>
            <w:r w:rsidRPr="000A0A5F">
              <w:t>Cardinality</w:t>
            </w:r>
          </w:p>
        </w:tc>
        <w:tc>
          <w:tcPr>
            <w:tcW w:w="500" w:type="pct"/>
            <w:shd w:val="clear" w:color="auto" w:fill="C0C0C0"/>
          </w:tcPr>
          <w:p w:rsidR="00CB0DD7" w:rsidRPr="000A0A5F" w:rsidRDefault="00CB0DD7">
            <w:pPr>
              <w:pStyle w:val="TAH"/>
            </w:pPr>
            <w:r w:rsidRPr="000A0A5F">
              <w:t>Response</w:t>
            </w:r>
          </w:p>
          <w:p w:rsidR="00CB0DD7" w:rsidRPr="000A0A5F" w:rsidRDefault="00CB0DD7">
            <w:pPr>
              <w:pStyle w:val="TAH"/>
            </w:pPr>
            <w:r w:rsidRPr="000A0A5F">
              <w:t>codes</w:t>
            </w:r>
          </w:p>
        </w:tc>
        <w:tc>
          <w:tcPr>
            <w:tcW w:w="2334" w:type="pct"/>
            <w:shd w:val="clear" w:color="auto" w:fill="C0C0C0"/>
          </w:tcPr>
          <w:p w:rsidR="00CB0DD7" w:rsidRPr="000A0A5F" w:rsidRDefault="00CB0DD7">
            <w:pPr>
              <w:pStyle w:val="TAH"/>
            </w:pPr>
          </w:p>
          <w:p w:rsidR="00CB0DD7" w:rsidRPr="000A0A5F" w:rsidRDefault="00CB0DD7">
            <w:pPr>
              <w:pStyle w:val="TAH"/>
            </w:pPr>
            <w:r w:rsidRPr="000A0A5F">
              <w:t>Remarks</w:t>
            </w:r>
          </w:p>
        </w:tc>
      </w:tr>
      <w:tr w:rsidR="00CB0DD7" w:rsidRPr="000A0A5F" w:rsidTr="00FF0AF8">
        <w:trPr>
          <w:trHeight w:val="496"/>
        </w:trPr>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rPr>
                <w:rFonts w:hint="eastAsia"/>
                <w:lang w:eastAsia="zh-CN"/>
              </w:rPr>
              <w:t>none</w:t>
            </w:r>
          </w:p>
        </w:tc>
        <w:tc>
          <w:tcPr>
            <w:tcW w:w="541" w:type="pct"/>
          </w:tcPr>
          <w:p w:rsidR="00CB0DD7" w:rsidRPr="000A0A5F" w:rsidRDefault="00CB0DD7">
            <w:pPr>
              <w:pStyle w:val="TAL"/>
              <w:rPr>
                <w:rFonts w:hint="eastAsia"/>
                <w:lang w:eastAsia="zh-CN"/>
              </w:rPr>
            </w:pPr>
          </w:p>
        </w:tc>
        <w:tc>
          <w:tcPr>
            <w:tcW w:w="500" w:type="pct"/>
          </w:tcPr>
          <w:p w:rsidR="00CB0DD7" w:rsidRPr="000A0A5F" w:rsidRDefault="00CB0DD7">
            <w:pPr>
              <w:pStyle w:val="TAL"/>
              <w:rPr>
                <w:rFonts w:hint="eastAsia"/>
                <w:lang w:eastAsia="zh-CN"/>
              </w:rPr>
            </w:pPr>
            <w:r w:rsidRPr="000A0A5F">
              <w:rPr>
                <w:lang w:eastAsia="zh-CN"/>
              </w:rPr>
              <w:t>204 No Content</w:t>
            </w:r>
          </w:p>
        </w:tc>
        <w:tc>
          <w:tcPr>
            <w:tcW w:w="2334" w:type="pct"/>
          </w:tcPr>
          <w:p w:rsidR="00CB0DD7" w:rsidRPr="000A0A5F" w:rsidRDefault="00CB0DD7">
            <w:pPr>
              <w:pStyle w:val="TAL"/>
              <w:rPr>
                <w:rFonts w:hint="eastAsia"/>
                <w:lang w:eastAsia="zh-CN"/>
              </w:rPr>
            </w:pPr>
            <w:r w:rsidRPr="000A0A5F">
              <w:t xml:space="preserve">The group message delivery subscription was </w:t>
            </w:r>
            <w:r w:rsidRPr="000A0A5F">
              <w:rPr>
                <w:lang w:eastAsia="zh-CN"/>
              </w:rPr>
              <w:t>cancel</w:t>
            </w:r>
            <w:r w:rsidRPr="000A0A5F">
              <w:rPr>
                <w:rFonts w:hint="eastAsia"/>
                <w:lang w:eastAsia="zh-CN"/>
              </w:rPr>
              <w:t>l</w:t>
            </w:r>
            <w:r w:rsidRPr="000A0A5F">
              <w:rPr>
                <w:lang w:eastAsia="zh-CN"/>
              </w:rPr>
              <w:t>ed</w:t>
            </w:r>
            <w:r w:rsidRPr="000A0A5F">
              <w:t xml:space="preserve"> successfully</w:t>
            </w:r>
            <w:r w:rsidRPr="000A0A5F">
              <w:rPr>
                <w:rFonts w:hint="eastAsia"/>
                <w:lang w:eastAsia="zh-CN"/>
              </w:rPr>
              <w:t>.</w:t>
            </w:r>
          </w:p>
        </w:tc>
      </w:tr>
      <w:tr w:rsidR="00CB0DD7" w:rsidRPr="000A0A5F" w:rsidTr="00FF0AF8">
        <w:trPr>
          <w:trHeight w:val="496"/>
        </w:trPr>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t>none</w:t>
            </w:r>
          </w:p>
        </w:tc>
        <w:tc>
          <w:tcPr>
            <w:tcW w:w="541" w:type="pct"/>
          </w:tcPr>
          <w:p w:rsidR="00CB0DD7" w:rsidRPr="000A0A5F" w:rsidRDefault="00CB0DD7">
            <w:pPr>
              <w:pStyle w:val="TAL"/>
              <w:rPr>
                <w:rFonts w:hint="eastAsia"/>
                <w:lang w:eastAsia="zh-CN"/>
              </w:rPr>
            </w:pPr>
          </w:p>
        </w:tc>
        <w:tc>
          <w:tcPr>
            <w:tcW w:w="500" w:type="pct"/>
          </w:tcPr>
          <w:p w:rsidR="00CB0DD7" w:rsidRPr="000A0A5F" w:rsidRDefault="00CB0DD7">
            <w:pPr>
              <w:pStyle w:val="TAL"/>
              <w:rPr>
                <w:lang w:eastAsia="zh-CN"/>
              </w:rPr>
            </w:pPr>
            <w:r w:rsidRPr="000A0A5F">
              <w:t>307 Temporary Redirect</w:t>
            </w:r>
          </w:p>
        </w:tc>
        <w:tc>
          <w:tcPr>
            <w:tcW w:w="2334" w:type="pct"/>
          </w:tcPr>
          <w:p w:rsidR="00CB0DD7" w:rsidRPr="000A0A5F" w:rsidRDefault="00CB0DD7">
            <w:pPr>
              <w:pStyle w:val="TAL"/>
            </w:pPr>
            <w:r w:rsidRPr="000A0A5F">
              <w:t>Temporary redirection, during resource termination. The response shall include a Location header field containing an alternative URI of the resource located in an alternative SCEF.</w:t>
            </w:r>
          </w:p>
          <w:p w:rsidR="00CB0DD7" w:rsidRPr="000A0A5F" w:rsidRDefault="00CB0DD7">
            <w:pPr>
              <w:pStyle w:val="TAL"/>
            </w:pPr>
            <w:r w:rsidRPr="000A0A5F">
              <w:t>Redirection handling is described in clause 5.2.10.</w:t>
            </w:r>
          </w:p>
        </w:tc>
      </w:tr>
      <w:tr w:rsidR="00CB0DD7" w:rsidRPr="000A0A5F" w:rsidTr="00FF0AF8">
        <w:trPr>
          <w:trHeight w:val="496"/>
        </w:trPr>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t>none</w:t>
            </w:r>
          </w:p>
        </w:tc>
        <w:tc>
          <w:tcPr>
            <w:tcW w:w="541" w:type="pct"/>
          </w:tcPr>
          <w:p w:rsidR="00CB0DD7" w:rsidRPr="000A0A5F" w:rsidRDefault="00CB0DD7">
            <w:pPr>
              <w:pStyle w:val="TAL"/>
              <w:rPr>
                <w:rFonts w:hint="eastAsia"/>
                <w:lang w:eastAsia="zh-CN"/>
              </w:rPr>
            </w:pPr>
          </w:p>
        </w:tc>
        <w:tc>
          <w:tcPr>
            <w:tcW w:w="500" w:type="pct"/>
          </w:tcPr>
          <w:p w:rsidR="00CB0DD7" w:rsidRPr="000A0A5F" w:rsidRDefault="00CB0DD7">
            <w:pPr>
              <w:pStyle w:val="TAL"/>
              <w:rPr>
                <w:lang w:eastAsia="zh-CN"/>
              </w:rPr>
            </w:pPr>
            <w:r w:rsidRPr="000A0A5F">
              <w:t>308 Permanent Redirect</w:t>
            </w:r>
          </w:p>
        </w:tc>
        <w:tc>
          <w:tcPr>
            <w:tcW w:w="2334" w:type="pct"/>
          </w:tcPr>
          <w:p w:rsidR="00CB0DD7" w:rsidRPr="000A0A5F" w:rsidRDefault="00CB0DD7">
            <w:pPr>
              <w:pStyle w:val="TAL"/>
            </w:pPr>
            <w:r w:rsidRPr="000A0A5F">
              <w:t>Permanent redirection, during resource termination. The response shall include a Location header field containing an alternative URI of the resource located in an alternative SCEF.</w:t>
            </w:r>
          </w:p>
          <w:p w:rsidR="00CB0DD7" w:rsidRPr="000A0A5F" w:rsidRDefault="00CB0DD7">
            <w:pPr>
              <w:pStyle w:val="TAL"/>
            </w:pPr>
            <w:r w:rsidRPr="000A0A5F">
              <w:t>Redirection handling is described in clause 5.2.10.</w:t>
            </w:r>
          </w:p>
        </w:tc>
      </w:tr>
      <w:tr w:rsidR="00CB0DD7" w:rsidRPr="000A0A5F" w:rsidTr="00FF0AF8">
        <w:trPr>
          <w:trHeight w:val="496"/>
        </w:trPr>
        <w:tc>
          <w:tcPr>
            <w:tcW w:w="5000" w:type="pct"/>
            <w:gridSpan w:val="5"/>
            <w:shd w:val="clear" w:color="auto" w:fill="auto"/>
            <w:vAlign w:val="center"/>
          </w:tcPr>
          <w:p w:rsidR="00CB0DD7" w:rsidRPr="000A0A5F" w:rsidRDefault="00CB0DD7">
            <w:pPr>
              <w:pStyle w:val="TAN"/>
            </w:pPr>
            <w:r w:rsidRPr="000A0A5F">
              <w:rPr>
                <w:lang w:eastAsia="zh-CN"/>
              </w:rPr>
              <w:t>NOTE:</w:t>
            </w:r>
            <w:r w:rsidRPr="000A0A5F">
              <w:rPr>
                <w:lang w:eastAsia="zh-CN"/>
              </w:rPr>
              <w:tab/>
              <w:t>The mandatory HTTP error status codes for the DELETE method listed in table 5.2.6-1 also apply.</w:t>
            </w:r>
          </w:p>
        </w:tc>
      </w:tr>
    </w:tbl>
    <w:p w:rsidR="00CB0DD7" w:rsidRPr="000A0A5F" w:rsidRDefault="00CB0DD7"/>
    <w:p w:rsidR="00CB0DD7" w:rsidRPr="000A0A5F" w:rsidRDefault="00CB0DD7">
      <w:pPr>
        <w:pStyle w:val="TH"/>
      </w:pPr>
      <w:r w:rsidRPr="000A0A5F">
        <w:t>Table 5.</w:t>
      </w:r>
      <w:r w:rsidRPr="000A0A5F">
        <w:rPr>
          <w:lang w:eastAsia="zh-CN"/>
        </w:rPr>
        <w:t>8</w:t>
      </w:r>
      <w:r w:rsidRPr="000A0A5F">
        <w:t>.3.2.5.3.5-2: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CB0DD7">
      <w:pPr>
        <w:pStyle w:val="TH"/>
      </w:pPr>
      <w:r w:rsidRPr="000A0A5F">
        <w:t>Table</w:t>
      </w:r>
      <w:r w:rsidRPr="000A0A5F">
        <w:rPr>
          <w:rFonts w:cs="Arial"/>
        </w:rPr>
        <w:t> </w:t>
      </w:r>
      <w:r w:rsidRPr="000A0A5F">
        <w:t>5.</w:t>
      </w:r>
      <w:r w:rsidRPr="000A0A5F">
        <w:rPr>
          <w:lang w:eastAsia="zh-CN"/>
        </w:rPr>
        <w:t>8</w:t>
      </w:r>
      <w:r w:rsidRPr="000A0A5F">
        <w:t>.3.2.5.3.5-3: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CB0DD7">
      <w:pPr>
        <w:pStyle w:val="Heading5"/>
      </w:pPr>
      <w:bookmarkStart w:id="6502" w:name="_Toc11247667"/>
      <w:bookmarkStart w:id="6503" w:name="_Toc27044806"/>
      <w:bookmarkStart w:id="6504" w:name="_Toc36033848"/>
      <w:bookmarkStart w:id="6505" w:name="_Toc45131994"/>
      <w:bookmarkStart w:id="6506" w:name="_Toc49776279"/>
      <w:bookmarkStart w:id="6507" w:name="_Toc51747199"/>
      <w:bookmarkStart w:id="6508" w:name="_Toc66360766"/>
      <w:bookmarkStart w:id="6509" w:name="_Toc68105271"/>
      <w:bookmarkStart w:id="6510" w:name="_Toc74755901"/>
      <w:bookmarkStart w:id="6511" w:name="_Toc105674776"/>
      <w:bookmarkStart w:id="6512" w:name="_Toc130502832"/>
      <w:bookmarkStart w:id="6513" w:name="_Toc153625619"/>
      <w:r w:rsidRPr="000A0A5F">
        <w:t>5.8.3.2.6</w:t>
      </w:r>
      <w:r w:rsidRPr="000A0A5F">
        <w:tab/>
        <w:t>Void</w:t>
      </w:r>
      <w:bookmarkEnd w:id="6502"/>
      <w:bookmarkEnd w:id="6503"/>
      <w:bookmarkEnd w:id="6504"/>
      <w:bookmarkEnd w:id="6505"/>
      <w:bookmarkEnd w:id="6506"/>
      <w:bookmarkEnd w:id="6507"/>
      <w:bookmarkEnd w:id="6508"/>
      <w:bookmarkEnd w:id="6509"/>
      <w:bookmarkEnd w:id="6510"/>
      <w:bookmarkEnd w:id="6511"/>
      <w:bookmarkEnd w:id="6512"/>
      <w:bookmarkEnd w:id="6513"/>
    </w:p>
    <w:p w:rsidR="00CB0DD7" w:rsidRPr="000A0A5F" w:rsidRDefault="00CB0DD7">
      <w:pPr>
        <w:pStyle w:val="Heading4"/>
      </w:pPr>
      <w:bookmarkStart w:id="6514" w:name="_Toc66360767"/>
      <w:bookmarkStart w:id="6515" w:name="_Toc68105272"/>
      <w:bookmarkStart w:id="6516" w:name="_Toc74755902"/>
      <w:bookmarkStart w:id="6517" w:name="_Toc105674777"/>
      <w:bookmarkStart w:id="6518" w:name="_Toc130502833"/>
      <w:bookmarkStart w:id="6519" w:name="_Toc153625620"/>
      <w:r w:rsidRPr="000A0A5F">
        <w:t>5.8.3.</w:t>
      </w:r>
      <w:r w:rsidR="00790FC9" w:rsidRPr="000A0A5F">
        <w:t>2A</w:t>
      </w:r>
      <w:r w:rsidRPr="000A0A5F">
        <w:tab/>
        <w:t>Notifications</w:t>
      </w:r>
      <w:bookmarkEnd w:id="6514"/>
      <w:bookmarkEnd w:id="6515"/>
      <w:bookmarkEnd w:id="6516"/>
      <w:bookmarkEnd w:id="6517"/>
      <w:bookmarkEnd w:id="6518"/>
      <w:bookmarkEnd w:id="6519"/>
    </w:p>
    <w:p w:rsidR="00CB0DD7" w:rsidRPr="000A0A5F" w:rsidRDefault="00CB0DD7">
      <w:pPr>
        <w:pStyle w:val="Heading5"/>
      </w:pPr>
      <w:bookmarkStart w:id="6520" w:name="_Toc66360768"/>
      <w:bookmarkStart w:id="6521" w:name="_Toc68105273"/>
      <w:bookmarkStart w:id="6522" w:name="_Toc74755903"/>
      <w:bookmarkStart w:id="6523" w:name="_Toc105674778"/>
      <w:bookmarkStart w:id="6524" w:name="_Toc130502834"/>
      <w:bookmarkStart w:id="6525" w:name="_Toc153625621"/>
      <w:r w:rsidRPr="000A0A5F">
        <w:t>5.8.3.</w:t>
      </w:r>
      <w:r w:rsidR="00790FC9" w:rsidRPr="000A0A5F">
        <w:t>2A</w:t>
      </w:r>
      <w:r w:rsidRPr="000A0A5F">
        <w:t>.1</w:t>
      </w:r>
      <w:r w:rsidRPr="000A0A5F">
        <w:tab/>
        <w:t>General</w:t>
      </w:r>
      <w:bookmarkEnd w:id="6520"/>
      <w:bookmarkEnd w:id="6521"/>
      <w:bookmarkEnd w:id="6522"/>
      <w:bookmarkEnd w:id="6523"/>
      <w:bookmarkEnd w:id="6524"/>
      <w:bookmarkEnd w:id="6525"/>
    </w:p>
    <w:p w:rsidR="00CB0DD7" w:rsidRPr="000A0A5F" w:rsidRDefault="00CB0DD7">
      <w:r w:rsidRPr="000A0A5F">
        <w:t>The notifications provided by the GMDviaMBMSbyxMB API are specified in this clause.</w:t>
      </w:r>
    </w:p>
    <w:p w:rsidR="00CB0DD7" w:rsidRPr="000A0A5F" w:rsidRDefault="00CB0DD7">
      <w:pPr>
        <w:pStyle w:val="TH"/>
      </w:pPr>
      <w:r w:rsidRPr="000A0A5F">
        <w:t>Table 5.8.3.</w:t>
      </w:r>
      <w:r w:rsidR="00790FC9" w:rsidRPr="000A0A5F">
        <w:t>2A</w:t>
      </w:r>
      <w:r w:rsidRPr="000A0A5F">
        <w:t>.1-1: Notifications overview</w:t>
      </w:r>
    </w:p>
    <w:tbl>
      <w:tblPr>
        <w:tblW w:w="4484"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1914"/>
        <w:gridCol w:w="3654"/>
        <w:gridCol w:w="1243"/>
        <w:gridCol w:w="1957"/>
      </w:tblGrid>
      <w:tr w:rsidR="00CB0DD7" w:rsidRPr="000A0A5F" w:rsidTr="00FF0AF8">
        <w:trPr>
          <w:jc w:val="center"/>
        </w:trPr>
        <w:tc>
          <w:tcPr>
            <w:tcW w:w="1091" w:type="pct"/>
            <w:shd w:val="clear" w:color="auto" w:fill="C0C0C0"/>
            <w:vAlign w:val="center"/>
            <w:hideMark/>
          </w:tcPr>
          <w:p w:rsidR="00CB0DD7" w:rsidRPr="000A0A5F" w:rsidRDefault="00CB0DD7">
            <w:pPr>
              <w:pStyle w:val="TAH"/>
            </w:pPr>
            <w:r w:rsidRPr="000A0A5F">
              <w:t>Notification</w:t>
            </w:r>
          </w:p>
        </w:tc>
        <w:tc>
          <w:tcPr>
            <w:tcW w:w="2083" w:type="pct"/>
            <w:shd w:val="clear" w:color="auto" w:fill="C0C0C0"/>
            <w:vAlign w:val="center"/>
            <w:hideMark/>
          </w:tcPr>
          <w:p w:rsidR="00CB0DD7" w:rsidRPr="000A0A5F" w:rsidRDefault="00CB0DD7">
            <w:pPr>
              <w:pStyle w:val="TAH"/>
            </w:pPr>
            <w:r w:rsidRPr="000A0A5F">
              <w:t>Callback URI</w:t>
            </w:r>
          </w:p>
        </w:tc>
        <w:tc>
          <w:tcPr>
            <w:tcW w:w="709" w:type="pct"/>
            <w:shd w:val="clear" w:color="auto" w:fill="C0C0C0"/>
            <w:vAlign w:val="center"/>
            <w:hideMark/>
          </w:tcPr>
          <w:p w:rsidR="00CB0DD7" w:rsidRPr="000A0A5F" w:rsidRDefault="00CB0DD7">
            <w:pPr>
              <w:pStyle w:val="TAH"/>
            </w:pPr>
            <w:r w:rsidRPr="000A0A5F">
              <w:t>HTTP method or custom operation</w:t>
            </w:r>
          </w:p>
        </w:tc>
        <w:tc>
          <w:tcPr>
            <w:tcW w:w="1116" w:type="pct"/>
            <w:shd w:val="clear" w:color="auto" w:fill="C0C0C0"/>
            <w:vAlign w:val="center"/>
            <w:hideMark/>
          </w:tcPr>
          <w:p w:rsidR="00CB0DD7" w:rsidRPr="000A0A5F" w:rsidRDefault="00CB0DD7">
            <w:pPr>
              <w:pStyle w:val="TAH"/>
            </w:pPr>
            <w:r w:rsidRPr="000A0A5F">
              <w:t>Description</w:t>
            </w:r>
          </w:p>
          <w:p w:rsidR="00CB0DD7" w:rsidRPr="000A0A5F" w:rsidRDefault="00CB0DD7">
            <w:pPr>
              <w:pStyle w:val="TAH"/>
            </w:pPr>
            <w:r w:rsidRPr="000A0A5F">
              <w:t>(service operation)</w:t>
            </w:r>
          </w:p>
        </w:tc>
      </w:tr>
      <w:tr w:rsidR="00CB0DD7" w:rsidRPr="000A0A5F" w:rsidTr="00FF0AF8">
        <w:trPr>
          <w:jc w:val="center"/>
        </w:trPr>
        <w:tc>
          <w:tcPr>
            <w:tcW w:w="1091" w:type="pct"/>
          </w:tcPr>
          <w:p w:rsidR="00CB0DD7" w:rsidRPr="000A0A5F" w:rsidRDefault="00CB0DD7">
            <w:pPr>
              <w:pStyle w:val="TAC"/>
              <w:jc w:val="left"/>
              <w:rPr>
                <w:lang w:val="en-US"/>
              </w:rPr>
            </w:pPr>
            <w:r w:rsidRPr="000A0A5F">
              <w:rPr>
                <w:rFonts w:hint="eastAsia"/>
                <w:lang w:eastAsia="zh-CN"/>
              </w:rPr>
              <w:t xml:space="preserve">GMD via MBMS </w:t>
            </w:r>
            <w:r w:rsidRPr="000A0A5F">
              <w:rPr>
                <w:lang w:eastAsia="zh-CN"/>
              </w:rPr>
              <w:t xml:space="preserve">by xMB </w:t>
            </w:r>
            <w:r w:rsidRPr="000A0A5F">
              <w:rPr>
                <w:rFonts w:hint="eastAsia"/>
                <w:lang w:eastAsia="zh-CN"/>
              </w:rPr>
              <w:t>Notification</w:t>
            </w:r>
          </w:p>
        </w:tc>
        <w:tc>
          <w:tcPr>
            <w:tcW w:w="2083" w:type="pct"/>
          </w:tcPr>
          <w:p w:rsidR="00CB0DD7" w:rsidRPr="000A0A5F" w:rsidRDefault="00CB0DD7">
            <w:pPr>
              <w:pStyle w:val="TAL"/>
              <w:rPr>
                <w:lang w:val="en-US"/>
              </w:rPr>
            </w:pPr>
            <w:r w:rsidRPr="000A0A5F">
              <w:rPr>
                <w:rFonts w:hint="eastAsia"/>
                <w:lang w:eastAsia="zh-CN"/>
              </w:rPr>
              <w:t>{notification</w:t>
            </w:r>
            <w:r w:rsidRPr="000A0A5F">
              <w:t>Destination</w:t>
            </w:r>
            <w:r w:rsidRPr="000A0A5F">
              <w:rPr>
                <w:rFonts w:hint="eastAsia"/>
                <w:lang w:eastAsia="zh-CN"/>
              </w:rPr>
              <w:t>}</w:t>
            </w:r>
          </w:p>
        </w:tc>
        <w:tc>
          <w:tcPr>
            <w:tcW w:w="709" w:type="pct"/>
          </w:tcPr>
          <w:p w:rsidR="00CB0DD7" w:rsidRPr="000A0A5F" w:rsidRDefault="00CB0DD7">
            <w:pPr>
              <w:pStyle w:val="TAC"/>
              <w:rPr>
                <w:lang w:val="fr-FR"/>
              </w:rPr>
            </w:pPr>
            <w:r w:rsidRPr="000A0A5F">
              <w:rPr>
                <w:rFonts w:hint="eastAsia"/>
                <w:lang w:eastAsia="zh-CN"/>
              </w:rPr>
              <w:t>POST</w:t>
            </w:r>
          </w:p>
        </w:tc>
        <w:tc>
          <w:tcPr>
            <w:tcW w:w="1116" w:type="pct"/>
          </w:tcPr>
          <w:p w:rsidR="00CB0DD7" w:rsidRPr="000A0A5F" w:rsidRDefault="00CB0DD7">
            <w:pPr>
              <w:pStyle w:val="TAL"/>
              <w:rPr>
                <w:lang w:val="en-US"/>
              </w:rPr>
            </w:pPr>
            <w:r w:rsidRPr="000A0A5F">
              <w:rPr>
                <w:rFonts w:hint="eastAsia"/>
                <w:lang w:eastAsia="zh-CN"/>
              </w:rPr>
              <w:t xml:space="preserve">Report a </w:t>
            </w:r>
            <w:r w:rsidRPr="000A0A5F">
              <w:rPr>
                <w:lang w:eastAsia="zh-CN"/>
              </w:rPr>
              <w:t>specific</w:t>
            </w:r>
            <w:r w:rsidRPr="000A0A5F">
              <w:rPr>
                <w:rFonts w:hint="eastAsia"/>
                <w:lang w:eastAsia="zh-CN"/>
              </w:rPr>
              <w:t xml:space="preserve"> </w:t>
            </w:r>
            <w:r w:rsidRPr="000A0A5F">
              <w:rPr>
                <w:lang w:eastAsia="zh-CN"/>
              </w:rPr>
              <w:t>group message delivery result to the SCS/AS for a given Transaction Id selected by the SCEF.</w:t>
            </w:r>
          </w:p>
        </w:tc>
      </w:tr>
    </w:tbl>
    <w:p w:rsidR="00CB0DD7" w:rsidRPr="000A0A5F" w:rsidRDefault="00CB0DD7"/>
    <w:p w:rsidR="00CB0DD7" w:rsidRPr="000A0A5F" w:rsidRDefault="00CB0DD7">
      <w:pPr>
        <w:pStyle w:val="Heading5"/>
      </w:pPr>
      <w:bookmarkStart w:id="6526" w:name="_Toc66360769"/>
      <w:bookmarkStart w:id="6527" w:name="_Toc68105274"/>
      <w:bookmarkStart w:id="6528" w:name="_Toc74755904"/>
      <w:bookmarkStart w:id="6529" w:name="_Toc105674779"/>
      <w:bookmarkStart w:id="6530" w:name="_Toc130502835"/>
      <w:bookmarkStart w:id="6531" w:name="_Toc153625622"/>
      <w:r w:rsidRPr="000A0A5F">
        <w:t>5.8.3.</w:t>
      </w:r>
      <w:r w:rsidR="00790FC9" w:rsidRPr="000A0A5F">
        <w:t>2A</w:t>
      </w:r>
      <w:r w:rsidRPr="000A0A5F">
        <w:t>.2</w:t>
      </w:r>
      <w:r w:rsidRPr="000A0A5F">
        <w:tab/>
      </w:r>
      <w:r w:rsidRPr="000A0A5F">
        <w:rPr>
          <w:rFonts w:hint="eastAsia"/>
        </w:rPr>
        <w:t xml:space="preserve">GMD via MBMS </w:t>
      </w:r>
      <w:r w:rsidRPr="000A0A5F">
        <w:t xml:space="preserve">by xMB </w:t>
      </w:r>
      <w:r w:rsidRPr="000A0A5F">
        <w:rPr>
          <w:rFonts w:hint="eastAsia"/>
        </w:rPr>
        <w:t>Notification</w:t>
      </w:r>
      <w:bookmarkEnd w:id="6526"/>
      <w:bookmarkEnd w:id="6527"/>
      <w:bookmarkEnd w:id="6528"/>
      <w:bookmarkEnd w:id="6529"/>
      <w:bookmarkEnd w:id="6530"/>
      <w:bookmarkEnd w:id="6531"/>
    </w:p>
    <w:p w:rsidR="00CB0DD7" w:rsidRPr="000A0A5F" w:rsidRDefault="00CB0DD7">
      <w:pPr>
        <w:pStyle w:val="Heading6"/>
        <w:rPr>
          <w:noProof/>
        </w:rPr>
      </w:pPr>
      <w:bookmarkStart w:id="6532" w:name="_Toc66360770"/>
      <w:bookmarkStart w:id="6533" w:name="_Toc68105275"/>
      <w:bookmarkStart w:id="6534" w:name="_Toc74755905"/>
      <w:bookmarkStart w:id="6535" w:name="_Toc105674780"/>
      <w:bookmarkStart w:id="6536" w:name="_Toc130502836"/>
      <w:bookmarkStart w:id="6537" w:name="_Toc153625623"/>
      <w:r w:rsidRPr="000A0A5F">
        <w:t>5.8.3.</w:t>
      </w:r>
      <w:r w:rsidR="00790FC9" w:rsidRPr="000A0A5F">
        <w:t>2A</w:t>
      </w:r>
      <w:r w:rsidRPr="000A0A5F">
        <w:t>.2</w:t>
      </w:r>
      <w:r w:rsidRPr="000A0A5F">
        <w:rPr>
          <w:noProof/>
        </w:rPr>
        <w:t>.1</w:t>
      </w:r>
      <w:r w:rsidRPr="000A0A5F">
        <w:rPr>
          <w:noProof/>
        </w:rPr>
        <w:tab/>
        <w:t>Description</w:t>
      </w:r>
      <w:bookmarkEnd w:id="6532"/>
      <w:bookmarkEnd w:id="6533"/>
      <w:bookmarkEnd w:id="6534"/>
      <w:bookmarkEnd w:id="6535"/>
      <w:bookmarkEnd w:id="6536"/>
      <w:bookmarkEnd w:id="6537"/>
    </w:p>
    <w:p w:rsidR="00CB0DD7" w:rsidRPr="000A0A5F" w:rsidRDefault="00CB0DD7">
      <w:pPr>
        <w:rPr>
          <w:noProof/>
          <w:lang w:eastAsia="zh-CN"/>
        </w:rPr>
      </w:pPr>
      <w:r w:rsidRPr="000A0A5F">
        <w:rPr>
          <w:noProof/>
          <w:lang w:eastAsia="zh-CN"/>
        </w:rPr>
        <w:t xml:space="preserve">The </w:t>
      </w:r>
      <w:r w:rsidRPr="000A0A5F">
        <w:rPr>
          <w:rFonts w:hint="eastAsia"/>
        </w:rPr>
        <w:t xml:space="preserve">GMD via MBMS </w:t>
      </w:r>
      <w:r w:rsidRPr="000A0A5F">
        <w:t xml:space="preserve">by xMB </w:t>
      </w:r>
      <w:r w:rsidRPr="000A0A5F">
        <w:rPr>
          <w:rFonts w:hint="eastAsia"/>
        </w:rPr>
        <w:t>Notification</w:t>
      </w:r>
      <w:r w:rsidRPr="000A0A5F">
        <w:rPr>
          <w:noProof/>
          <w:lang w:eastAsia="zh-CN"/>
        </w:rPr>
        <w:t xml:space="preserve"> allows the SCEF report the delivery trigger status to the SCS/AS to indicate whether group message delivery was triggered successful. </w:t>
      </w:r>
    </w:p>
    <w:p w:rsidR="00CB0DD7" w:rsidRPr="000A0A5F" w:rsidRDefault="00CB0DD7">
      <w:pPr>
        <w:pStyle w:val="Heading6"/>
        <w:rPr>
          <w:noProof/>
        </w:rPr>
      </w:pPr>
      <w:bookmarkStart w:id="6538" w:name="_Toc66360771"/>
      <w:bookmarkStart w:id="6539" w:name="_Toc68105276"/>
      <w:bookmarkStart w:id="6540" w:name="_Toc74755906"/>
      <w:bookmarkStart w:id="6541" w:name="_Toc105674781"/>
      <w:bookmarkStart w:id="6542" w:name="_Toc130502837"/>
      <w:bookmarkStart w:id="6543" w:name="_Toc153625624"/>
      <w:r w:rsidRPr="000A0A5F">
        <w:t>5.8.3.</w:t>
      </w:r>
      <w:r w:rsidR="00790FC9" w:rsidRPr="000A0A5F">
        <w:t>2A</w:t>
      </w:r>
      <w:r w:rsidRPr="000A0A5F">
        <w:t>.2</w:t>
      </w:r>
      <w:r w:rsidRPr="000A0A5F">
        <w:rPr>
          <w:noProof/>
        </w:rPr>
        <w:t>.2</w:t>
      </w:r>
      <w:r w:rsidRPr="000A0A5F">
        <w:rPr>
          <w:noProof/>
        </w:rPr>
        <w:tab/>
        <w:t>Target URI</w:t>
      </w:r>
      <w:bookmarkEnd w:id="6538"/>
      <w:bookmarkEnd w:id="6539"/>
      <w:bookmarkEnd w:id="6540"/>
      <w:bookmarkEnd w:id="6541"/>
      <w:bookmarkEnd w:id="6542"/>
      <w:bookmarkEnd w:id="6543"/>
    </w:p>
    <w:p w:rsidR="00CB0DD7" w:rsidRPr="000A0A5F" w:rsidRDefault="00CB0DD7">
      <w:pPr>
        <w:rPr>
          <w:rFonts w:ascii="Arial" w:hAnsi="Arial" w:cs="Arial"/>
          <w:noProof/>
        </w:rPr>
      </w:pPr>
      <w:r w:rsidRPr="000A0A5F">
        <w:rPr>
          <w:noProof/>
        </w:rPr>
        <w:t xml:space="preserve">The Callback URI </w:t>
      </w:r>
      <w:r w:rsidRPr="000A0A5F">
        <w:rPr>
          <w:b/>
          <w:noProof/>
        </w:rPr>
        <w:t>"{</w:t>
      </w:r>
      <w:r w:rsidRPr="000A0A5F">
        <w:t>notificationDestination</w:t>
      </w:r>
      <w:r w:rsidRPr="000A0A5F">
        <w:rPr>
          <w:b/>
          <w:noProof/>
        </w:rPr>
        <w:t>}"</w:t>
      </w:r>
      <w:r w:rsidRPr="000A0A5F">
        <w:rPr>
          <w:noProof/>
        </w:rPr>
        <w:t xml:space="preserve"> shall be used with the callback URI variables defined in table </w:t>
      </w:r>
      <w:r w:rsidRPr="000A0A5F">
        <w:t>5.8.3.</w:t>
      </w:r>
      <w:r w:rsidR="00790FC9" w:rsidRPr="000A0A5F">
        <w:t>2A</w:t>
      </w:r>
      <w:r w:rsidRPr="000A0A5F">
        <w:t>.2</w:t>
      </w:r>
      <w:r w:rsidRPr="000A0A5F">
        <w:rPr>
          <w:noProof/>
        </w:rPr>
        <w:t>.2-1</w:t>
      </w:r>
      <w:r w:rsidRPr="000A0A5F">
        <w:rPr>
          <w:rFonts w:ascii="Arial" w:hAnsi="Arial" w:cs="Arial"/>
          <w:noProof/>
        </w:rPr>
        <w:t>.</w:t>
      </w:r>
    </w:p>
    <w:p w:rsidR="00CB0DD7" w:rsidRPr="000A0A5F" w:rsidRDefault="00CB0DD7">
      <w:pPr>
        <w:pStyle w:val="TH"/>
        <w:rPr>
          <w:rFonts w:cs="Arial"/>
          <w:noProof/>
        </w:rPr>
      </w:pPr>
      <w:r w:rsidRPr="000A0A5F">
        <w:rPr>
          <w:noProof/>
        </w:rPr>
        <w:t>Table </w:t>
      </w:r>
      <w:r w:rsidRPr="000A0A5F">
        <w:t>5.8.3.</w:t>
      </w:r>
      <w:r w:rsidR="00790FC9" w:rsidRPr="000A0A5F">
        <w:t>2A</w:t>
      </w:r>
      <w:r w:rsidRPr="000A0A5F">
        <w:t>.2</w:t>
      </w:r>
      <w:r w:rsidRPr="000A0A5F">
        <w:rPr>
          <w:noProof/>
        </w:rPr>
        <w:t>.2-1: Callback URI variables</w:t>
      </w:r>
    </w:p>
    <w:tbl>
      <w:tblPr>
        <w:tblW w:w="494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970"/>
        <w:gridCol w:w="1312"/>
        <w:gridCol w:w="6378"/>
      </w:tblGrid>
      <w:tr w:rsidR="00CB0DD7" w:rsidRPr="000A0A5F" w:rsidTr="00FF0AF8">
        <w:trPr>
          <w:jc w:val="center"/>
        </w:trPr>
        <w:tc>
          <w:tcPr>
            <w:tcW w:w="1020" w:type="pct"/>
            <w:shd w:val="clear" w:color="000000" w:fill="C0C0C0"/>
          </w:tcPr>
          <w:p w:rsidR="00CB0DD7" w:rsidRPr="000A0A5F" w:rsidRDefault="00CB0DD7">
            <w:pPr>
              <w:pStyle w:val="TAH"/>
            </w:pPr>
            <w:r w:rsidRPr="000A0A5F">
              <w:t>Name</w:t>
            </w:r>
          </w:p>
        </w:tc>
        <w:tc>
          <w:tcPr>
            <w:tcW w:w="679" w:type="pct"/>
            <w:shd w:val="clear" w:color="000000" w:fill="C0C0C0"/>
          </w:tcPr>
          <w:p w:rsidR="00CB0DD7" w:rsidRPr="000A0A5F" w:rsidRDefault="00CB0DD7">
            <w:pPr>
              <w:pStyle w:val="TAH"/>
            </w:pPr>
            <w:r w:rsidRPr="000A0A5F">
              <w:rPr>
                <w:rFonts w:hint="eastAsia"/>
                <w:lang w:eastAsia="zh-CN"/>
              </w:rPr>
              <w:t>D</w:t>
            </w:r>
            <w:r w:rsidRPr="000A0A5F">
              <w:rPr>
                <w:lang w:eastAsia="zh-CN"/>
              </w:rPr>
              <w:t>ata type</w:t>
            </w:r>
          </w:p>
        </w:tc>
        <w:tc>
          <w:tcPr>
            <w:tcW w:w="3301" w:type="pct"/>
            <w:shd w:val="clear" w:color="000000" w:fill="C0C0C0"/>
            <w:vAlign w:val="center"/>
          </w:tcPr>
          <w:p w:rsidR="00CB0DD7" w:rsidRPr="000A0A5F" w:rsidRDefault="00CB0DD7">
            <w:pPr>
              <w:pStyle w:val="TAH"/>
            </w:pPr>
            <w:r w:rsidRPr="000A0A5F">
              <w:t>Definition</w:t>
            </w:r>
          </w:p>
        </w:tc>
      </w:tr>
      <w:tr w:rsidR="00CB0DD7" w:rsidRPr="000A0A5F" w:rsidTr="00FF0AF8">
        <w:trPr>
          <w:jc w:val="center"/>
        </w:trPr>
        <w:tc>
          <w:tcPr>
            <w:tcW w:w="1020" w:type="pct"/>
            <w:shd w:val="clear" w:color="auto" w:fill="auto"/>
          </w:tcPr>
          <w:p w:rsidR="00CB0DD7" w:rsidRPr="000A0A5F" w:rsidRDefault="00CB0DD7">
            <w:pPr>
              <w:pStyle w:val="TAL"/>
              <w:rPr>
                <w:lang w:eastAsia="zh-CN"/>
              </w:rPr>
            </w:pPr>
            <w:r w:rsidRPr="000A0A5F">
              <w:t>notificationDestination</w:t>
            </w:r>
          </w:p>
        </w:tc>
        <w:tc>
          <w:tcPr>
            <w:tcW w:w="679" w:type="pct"/>
          </w:tcPr>
          <w:p w:rsidR="00CB0DD7" w:rsidRPr="000A0A5F" w:rsidRDefault="00CB0DD7">
            <w:pPr>
              <w:pStyle w:val="TAL"/>
            </w:pPr>
            <w:r w:rsidRPr="000A0A5F">
              <w:rPr>
                <w:rFonts w:cs="Arial" w:hint="eastAsia"/>
                <w:szCs w:val="18"/>
                <w:lang w:eastAsia="zh-CN"/>
              </w:rPr>
              <w:t>L</w:t>
            </w:r>
            <w:r w:rsidRPr="000A0A5F">
              <w:rPr>
                <w:rFonts w:cs="Arial"/>
                <w:szCs w:val="18"/>
                <w:lang w:eastAsia="zh-CN"/>
              </w:rPr>
              <w:t>ink</w:t>
            </w:r>
          </w:p>
        </w:tc>
        <w:tc>
          <w:tcPr>
            <w:tcW w:w="3301" w:type="pct"/>
            <w:shd w:val="clear" w:color="auto" w:fill="auto"/>
            <w:vAlign w:val="center"/>
          </w:tcPr>
          <w:p w:rsidR="00CB0DD7" w:rsidRPr="000A0A5F" w:rsidRDefault="00CB0DD7">
            <w:pPr>
              <w:pStyle w:val="TAL"/>
              <w:rPr>
                <w:rFonts w:cs="Arial"/>
                <w:szCs w:val="18"/>
                <w:lang w:eastAsia="zh-CN"/>
              </w:rPr>
            </w:pPr>
            <w:r w:rsidRPr="000A0A5F">
              <w:rPr>
                <w:rFonts w:cs="Arial" w:hint="eastAsia"/>
                <w:szCs w:val="18"/>
                <w:lang w:eastAsia="zh-CN"/>
              </w:rPr>
              <w:t xml:space="preserve">A URI indicating the notification destination </w:t>
            </w:r>
            <w:r w:rsidRPr="000A0A5F">
              <w:rPr>
                <w:rFonts w:cs="Arial"/>
                <w:szCs w:val="18"/>
                <w:lang w:eastAsia="zh-CN"/>
              </w:rPr>
              <w:t xml:space="preserve">where </w:t>
            </w:r>
            <w:r w:rsidRPr="000A0A5F">
              <w:rPr>
                <w:rFonts w:cs="Arial" w:hint="eastAsia"/>
                <w:szCs w:val="18"/>
                <w:lang w:eastAsia="zh-CN"/>
              </w:rPr>
              <w:t xml:space="preserve">T8 </w:t>
            </w:r>
            <w:r w:rsidRPr="000A0A5F">
              <w:rPr>
                <w:rFonts w:cs="Arial"/>
                <w:szCs w:val="18"/>
                <w:lang w:eastAsia="zh-CN"/>
              </w:rPr>
              <w:t>notification requests shall be delivered</w:t>
            </w:r>
            <w:r w:rsidRPr="000A0A5F">
              <w:rPr>
                <w:rFonts w:cs="Arial" w:hint="eastAsia"/>
                <w:szCs w:val="18"/>
                <w:lang w:eastAsia="zh-CN"/>
              </w:rPr>
              <w:t>.</w:t>
            </w:r>
          </w:p>
          <w:p w:rsidR="00CB0DD7" w:rsidRPr="000A0A5F" w:rsidRDefault="00CB0DD7">
            <w:pPr>
              <w:pStyle w:val="TAL"/>
            </w:pPr>
            <w:r w:rsidRPr="000A0A5F">
              <w:rPr>
                <w:rFonts w:cs="Arial"/>
                <w:szCs w:val="18"/>
                <w:lang w:eastAsia="zh-CN"/>
              </w:rPr>
              <w:t>This URI shall be provided within the field "notification</w:t>
            </w:r>
            <w:r w:rsidRPr="000A0A5F">
              <w:t>Destination</w:t>
            </w:r>
            <w:r w:rsidRPr="000A0A5F">
              <w:rPr>
                <w:rFonts w:cs="Arial"/>
                <w:szCs w:val="18"/>
                <w:lang w:eastAsia="zh-CN"/>
              </w:rPr>
              <w:t xml:space="preserve">" in the </w:t>
            </w:r>
            <w:r w:rsidRPr="000A0A5F">
              <w:rPr>
                <w:lang w:eastAsia="zh-CN"/>
              </w:rPr>
              <w:t>GMDViaMBMSByxMB</w:t>
            </w:r>
            <w:r w:rsidRPr="000A0A5F">
              <w:rPr>
                <w:rFonts w:cs="Arial"/>
                <w:szCs w:val="18"/>
                <w:lang w:eastAsia="zh-CN"/>
              </w:rPr>
              <w:t xml:space="preserve"> type. </w:t>
            </w:r>
          </w:p>
        </w:tc>
      </w:tr>
    </w:tbl>
    <w:p w:rsidR="00CB0DD7" w:rsidRPr="000A0A5F" w:rsidRDefault="00CB0DD7"/>
    <w:p w:rsidR="00CB0DD7" w:rsidRPr="000A0A5F" w:rsidRDefault="00CB0DD7">
      <w:pPr>
        <w:pStyle w:val="Heading6"/>
        <w:rPr>
          <w:noProof/>
        </w:rPr>
      </w:pPr>
      <w:bookmarkStart w:id="6544" w:name="_Toc66360772"/>
      <w:bookmarkStart w:id="6545" w:name="_Toc68105277"/>
      <w:bookmarkStart w:id="6546" w:name="_Toc74755907"/>
      <w:bookmarkStart w:id="6547" w:name="_Toc105674782"/>
      <w:bookmarkStart w:id="6548" w:name="_Toc130502838"/>
      <w:bookmarkStart w:id="6549" w:name="_Toc153625625"/>
      <w:r w:rsidRPr="000A0A5F">
        <w:t>5.8.3.</w:t>
      </w:r>
      <w:r w:rsidR="00790FC9" w:rsidRPr="000A0A5F">
        <w:t>2A</w:t>
      </w:r>
      <w:r w:rsidRPr="000A0A5F">
        <w:t>.2</w:t>
      </w:r>
      <w:r w:rsidRPr="000A0A5F">
        <w:rPr>
          <w:noProof/>
        </w:rPr>
        <w:t>.3</w:t>
      </w:r>
      <w:r w:rsidRPr="000A0A5F">
        <w:rPr>
          <w:noProof/>
        </w:rPr>
        <w:tab/>
        <w:t>Standard Methods</w:t>
      </w:r>
      <w:bookmarkEnd w:id="6544"/>
      <w:bookmarkEnd w:id="6545"/>
      <w:bookmarkEnd w:id="6546"/>
      <w:bookmarkEnd w:id="6547"/>
      <w:bookmarkEnd w:id="6548"/>
      <w:bookmarkEnd w:id="6549"/>
    </w:p>
    <w:p w:rsidR="00CB0DD7" w:rsidRPr="000A0A5F" w:rsidRDefault="00CB0DD7">
      <w:pPr>
        <w:pStyle w:val="Heading7"/>
        <w:rPr>
          <w:noProof/>
        </w:rPr>
      </w:pPr>
      <w:bookmarkStart w:id="6550" w:name="_Toc66360773"/>
      <w:bookmarkStart w:id="6551" w:name="_Toc68105278"/>
      <w:bookmarkStart w:id="6552" w:name="_Toc74755908"/>
      <w:bookmarkStart w:id="6553" w:name="_Toc105674783"/>
      <w:bookmarkStart w:id="6554" w:name="_Toc130502839"/>
      <w:bookmarkStart w:id="6555" w:name="_Toc153625626"/>
      <w:r w:rsidRPr="000A0A5F">
        <w:t>5.8.3.</w:t>
      </w:r>
      <w:r w:rsidR="00790FC9" w:rsidRPr="000A0A5F">
        <w:t>2A</w:t>
      </w:r>
      <w:r w:rsidRPr="000A0A5F">
        <w:t>.2.3</w:t>
      </w:r>
      <w:r w:rsidRPr="000A0A5F">
        <w:rPr>
          <w:noProof/>
        </w:rPr>
        <w:t>.1</w:t>
      </w:r>
      <w:r w:rsidRPr="000A0A5F">
        <w:rPr>
          <w:noProof/>
        </w:rPr>
        <w:tab/>
      </w:r>
      <w:r w:rsidRPr="000A0A5F">
        <w:t>Notification via POST</w:t>
      </w:r>
      <w:bookmarkEnd w:id="6550"/>
      <w:bookmarkEnd w:id="6551"/>
      <w:bookmarkEnd w:id="6552"/>
      <w:bookmarkEnd w:id="6553"/>
      <w:bookmarkEnd w:id="6554"/>
      <w:bookmarkEnd w:id="6555"/>
    </w:p>
    <w:p w:rsidR="00CB0DD7" w:rsidRPr="000A0A5F" w:rsidRDefault="00CB0DD7">
      <w:pPr>
        <w:rPr>
          <w:lang w:eastAsia="zh-CN"/>
        </w:rPr>
      </w:pPr>
      <w:r w:rsidRPr="000A0A5F">
        <w:rPr>
          <w:rFonts w:hint="eastAsia"/>
          <w:lang w:eastAsia="zh-CN"/>
        </w:rPr>
        <w:t xml:space="preserve">To report the </w:t>
      </w:r>
      <w:r w:rsidRPr="000A0A5F">
        <w:rPr>
          <w:lang w:eastAsia="zh-CN"/>
        </w:rPr>
        <w:t>status of the delivery trigger status to the SCS/AS, the SCEF shall use the HTTP POST method on the notification point as follows:</w:t>
      </w:r>
    </w:p>
    <w:p w:rsidR="00CB0DD7" w:rsidRPr="000A0A5F" w:rsidRDefault="00CB0DD7">
      <w:pPr>
        <w:pStyle w:val="B10"/>
        <w:rPr>
          <w:lang w:eastAsia="zh-CN"/>
        </w:rPr>
      </w:pPr>
      <w:r w:rsidRPr="000A0A5F">
        <w:t>-</w:t>
      </w:r>
      <w:r w:rsidRPr="000A0A5F">
        <w:tab/>
        <w:t>the body of the message is encoded in JSON format</w:t>
      </w:r>
      <w:r w:rsidRPr="000A0A5F">
        <w:rPr>
          <w:rFonts w:hint="eastAsia"/>
          <w:lang w:eastAsia="zh-CN"/>
        </w:rPr>
        <w:t xml:space="preserve"> with the data structure defined in table</w:t>
      </w:r>
      <w:r w:rsidRPr="000A0A5F">
        <w:rPr>
          <w:rFonts w:ascii="Segoe UI Symbol" w:hAnsi="Segoe UI Symbol"/>
          <w:lang w:val="en-US" w:eastAsia="zh-CN"/>
        </w:rPr>
        <w:t> </w:t>
      </w:r>
      <w:r w:rsidRPr="000A0A5F">
        <w:rPr>
          <w:rFonts w:hint="eastAsia"/>
          <w:lang w:eastAsia="zh-CN"/>
        </w:rPr>
        <w:t>5.</w:t>
      </w:r>
      <w:r w:rsidRPr="000A0A5F">
        <w:rPr>
          <w:lang w:eastAsia="zh-CN"/>
        </w:rPr>
        <w:t>8</w:t>
      </w:r>
      <w:r w:rsidRPr="000A0A5F">
        <w:rPr>
          <w:rFonts w:hint="eastAsia"/>
          <w:lang w:eastAsia="zh-CN"/>
        </w:rPr>
        <w:t>.</w:t>
      </w:r>
      <w:r w:rsidRPr="000A0A5F">
        <w:rPr>
          <w:lang w:eastAsia="zh-CN"/>
        </w:rPr>
        <w:t>3.1</w:t>
      </w:r>
      <w:r w:rsidRPr="000A0A5F">
        <w:rPr>
          <w:rFonts w:hint="eastAsia"/>
          <w:lang w:eastAsia="zh-CN"/>
        </w:rPr>
        <w:t>.</w:t>
      </w:r>
      <w:r w:rsidRPr="000A0A5F">
        <w:rPr>
          <w:lang w:eastAsia="zh-CN"/>
        </w:rPr>
        <w:t>1</w:t>
      </w:r>
      <w:r w:rsidRPr="000A0A5F">
        <w:rPr>
          <w:rFonts w:hint="eastAsia"/>
          <w:lang w:eastAsia="zh-CN"/>
        </w:rPr>
        <w:t>.</w:t>
      </w:r>
      <w:r w:rsidRPr="000A0A5F">
        <w:rPr>
          <w:lang w:eastAsia="zh-CN"/>
        </w:rPr>
        <w:t>4</w:t>
      </w:r>
      <w:r w:rsidRPr="000A0A5F">
        <w:rPr>
          <w:rFonts w:hint="eastAsia"/>
          <w:lang w:eastAsia="zh-CN"/>
        </w:rPr>
        <w:t>-1.</w:t>
      </w:r>
    </w:p>
    <w:p w:rsidR="00CB0DD7" w:rsidRPr="000A0A5F" w:rsidRDefault="00CB0DD7">
      <w:pPr>
        <w:rPr>
          <w:noProof/>
        </w:rPr>
      </w:pPr>
      <w:r w:rsidRPr="000A0A5F">
        <w:rPr>
          <w:noProof/>
        </w:rPr>
        <w:t>This method shall support the request data structures specified in table </w:t>
      </w:r>
      <w:r w:rsidRPr="000A0A5F">
        <w:t>5.8.3.</w:t>
      </w:r>
      <w:r w:rsidR="00790FC9" w:rsidRPr="000A0A5F">
        <w:t>2A</w:t>
      </w:r>
      <w:r w:rsidRPr="000A0A5F">
        <w:t>.2</w:t>
      </w:r>
      <w:r w:rsidRPr="000A0A5F">
        <w:rPr>
          <w:noProof/>
        </w:rPr>
        <w:t>.3.1-1 and the response data structures and response codes specified in table </w:t>
      </w:r>
      <w:r w:rsidRPr="000A0A5F">
        <w:t>5.8.3.</w:t>
      </w:r>
      <w:r w:rsidR="00790FC9" w:rsidRPr="000A0A5F">
        <w:t>2A</w:t>
      </w:r>
      <w:r w:rsidRPr="000A0A5F">
        <w:t>.2</w:t>
      </w:r>
      <w:r w:rsidRPr="000A0A5F">
        <w:rPr>
          <w:noProof/>
        </w:rPr>
        <w:t>.3.1-2.</w:t>
      </w:r>
    </w:p>
    <w:p w:rsidR="00CB0DD7" w:rsidRPr="000A0A5F" w:rsidRDefault="00CB0DD7">
      <w:pPr>
        <w:pStyle w:val="TH"/>
        <w:rPr>
          <w:noProof/>
        </w:rPr>
      </w:pPr>
      <w:r w:rsidRPr="000A0A5F">
        <w:rPr>
          <w:noProof/>
        </w:rPr>
        <w:t>Table </w:t>
      </w:r>
      <w:r w:rsidRPr="000A0A5F">
        <w:t>5.8.3.</w:t>
      </w:r>
      <w:r w:rsidR="00790FC9" w:rsidRPr="000A0A5F">
        <w:t>2A</w:t>
      </w:r>
      <w:r w:rsidRPr="000A0A5F">
        <w:t>.2</w:t>
      </w:r>
      <w:r w:rsidRPr="000A0A5F">
        <w:rPr>
          <w:noProof/>
        </w:rPr>
        <w:t>.3.1-1: Data structures supported by the POST Request Body</w:t>
      </w:r>
    </w:p>
    <w:tbl>
      <w:tblPr>
        <w:tblW w:w="9670" w:type="dxa"/>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3340"/>
        <w:gridCol w:w="1170"/>
        <w:gridCol w:w="5160"/>
      </w:tblGrid>
      <w:tr w:rsidR="00CB0DD7" w:rsidRPr="000A0A5F" w:rsidTr="00846044">
        <w:trPr>
          <w:jc w:val="center"/>
        </w:trPr>
        <w:tc>
          <w:tcPr>
            <w:tcW w:w="3340" w:type="dxa"/>
            <w:tcBorders>
              <w:bottom w:val="single" w:sz="6" w:space="0" w:color="auto"/>
            </w:tcBorders>
            <w:shd w:val="clear" w:color="auto" w:fill="C0C0C0"/>
            <w:hideMark/>
          </w:tcPr>
          <w:p w:rsidR="00CB0DD7" w:rsidRPr="000A0A5F" w:rsidRDefault="00CB0DD7">
            <w:pPr>
              <w:pStyle w:val="TAH"/>
              <w:rPr>
                <w:noProof/>
              </w:rPr>
            </w:pPr>
            <w:r w:rsidRPr="000A0A5F">
              <w:rPr>
                <w:noProof/>
              </w:rPr>
              <w:t>Data type</w:t>
            </w:r>
          </w:p>
        </w:tc>
        <w:tc>
          <w:tcPr>
            <w:tcW w:w="1170" w:type="dxa"/>
            <w:tcBorders>
              <w:bottom w:val="single" w:sz="6" w:space="0" w:color="auto"/>
            </w:tcBorders>
            <w:shd w:val="clear" w:color="auto" w:fill="C0C0C0"/>
            <w:hideMark/>
          </w:tcPr>
          <w:p w:rsidR="00CB0DD7" w:rsidRPr="000A0A5F" w:rsidRDefault="00CB0DD7">
            <w:pPr>
              <w:pStyle w:val="TAH"/>
              <w:rPr>
                <w:noProof/>
              </w:rPr>
            </w:pPr>
            <w:r w:rsidRPr="000A0A5F">
              <w:rPr>
                <w:noProof/>
              </w:rPr>
              <w:t>Cardinality</w:t>
            </w:r>
          </w:p>
        </w:tc>
        <w:tc>
          <w:tcPr>
            <w:tcW w:w="5160" w:type="dxa"/>
            <w:tcBorders>
              <w:bottom w:val="single" w:sz="6" w:space="0" w:color="auto"/>
            </w:tcBorders>
            <w:shd w:val="clear" w:color="auto" w:fill="C0C0C0"/>
            <w:vAlign w:val="center"/>
            <w:hideMark/>
          </w:tcPr>
          <w:p w:rsidR="00CB0DD7" w:rsidRPr="000A0A5F" w:rsidRDefault="00CB0DD7">
            <w:pPr>
              <w:pStyle w:val="TAH"/>
              <w:rPr>
                <w:noProof/>
              </w:rPr>
            </w:pPr>
            <w:r w:rsidRPr="000A0A5F">
              <w:rPr>
                <w:noProof/>
              </w:rPr>
              <w:t>Description</w:t>
            </w:r>
          </w:p>
        </w:tc>
      </w:tr>
      <w:tr w:rsidR="00CB0DD7" w:rsidRPr="000A0A5F" w:rsidTr="00846044">
        <w:trPr>
          <w:jc w:val="center"/>
        </w:trPr>
        <w:tc>
          <w:tcPr>
            <w:tcW w:w="3340" w:type="dxa"/>
            <w:tcBorders>
              <w:top w:val="single" w:sz="6" w:space="0" w:color="auto"/>
            </w:tcBorders>
          </w:tcPr>
          <w:p w:rsidR="00CB0DD7" w:rsidRPr="000A0A5F" w:rsidRDefault="00CB0DD7">
            <w:pPr>
              <w:pStyle w:val="TAL"/>
              <w:rPr>
                <w:noProof/>
              </w:rPr>
            </w:pPr>
            <w:r w:rsidRPr="000A0A5F">
              <w:t>GMDByxMBNotification</w:t>
            </w:r>
          </w:p>
        </w:tc>
        <w:tc>
          <w:tcPr>
            <w:tcW w:w="1170" w:type="dxa"/>
            <w:tcBorders>
              <w:top w:val="single" w:sz="6" w:space="0" w:color="auto"/>
            </w:tcBorders>
          </w:tcPr>
          <w:p w:rsidR="00CB0DD7" w:rsidRPr="000A0A5F" w:rsidRDefault="00CB0DD7">
            <w:pPr>
              <w:pStyle w:val="TAC"/>
              <w:rPr>
                <w:noProof/>
                <w:lang w:eastAsia="zh-CN"/>
              </w:rPr>
            </w:pPr>
            <w:r w:rsidRPr="000A0A5F">
              <w:t>1</w:t>
            </w:r>
          </w:p>
        </w:tc>
        <w:tc>
          <w:tcPr>
            <w:tcW w:w="5160" w:type="dxa"/>
            <w:tcBorders>
              <w:top w:val="single" w:sz="6" w:space="0" w:color="auto"/>
            </w:tcBorders>
          </w:tcPr>
          <w:p w:rsidR="00CB0DD7" w:rsidRPr="000A0A5F" w:rsidRDefault="00CB0DD7">
            <w:pPr>
              <w:pStyle w:val="TAL"/>
              <w:rPr>
                <w:noProof/>
              </w:rPr>
            </w:pPr>
            <w:r w:rsidRPr="000A0A5F">
              <w:rPr>
                <w:rFonts w:hint="eastAsia"/>
                <w:lang w:eastAsia="zh-CN"/>
              </w:rPr>
              <w:t xml:space="preserve">The </w:t>
            </w:r>
            <w:r w:rsidRPr="000A0A5F">
              <w:rPr>
                <w:lang w:eastAsia="zh-CN"/>
              </w:rPr>
              <w:t xml:space="preserve">delivery </w:t>
            </w:r>
            <w:r w:rsidRPr="000A0A5F">
              <w:rPr>
                <w:rFonts w:hint="eastAsia"/>
                <w:lang w:eastAsia="zh-CN"/>
              </w:rPr>
              <w:t>status notification.</w:t>
            </w:r>
          </w:p>
        </w:tc>
      </w:tr>
    </w:tbl>
    <w:p w:rsidR="00CB0DD7" w:rsidRPr="000A0A5F" w:rsidRDefault="00CB0DD7">
      <w:pPr>
        <w:rPr>
          <w:noProof/>
        </w:rPr>
      </w:pPr>
    </w:p>
    <w:p w:rsidR="00CB0DD7" w:rsidRPr="000A0A5F" w:rsidRDefault="00CB0DD7">
      <w:pPr>
        <w:pStyle w:val="TH"/>
        <w:rPr>
          <w:noProof/>
        </w:rPr>
      </w:pPr>
      <w:r w:rsidRPr="000A0A5F">
        <w:rPr>
          <w:noProof/>
        </w:rPr>
        <w:t>Table </w:t>
      </w:r>
      <w:r w:rsidRPr="000A0A5F">
        <w:t>5.8.3.</w:t>
      </w:r>
      <w:r w:rsidR="00790FC9" w:rsidRPr="000A0A5F">
        <w:t>2A</w:t>
      </w:r>
      <w:r w:rsidRPr="000A0A5F">
        <w:t>.2</w:t>
      </w:r>
      <w:r w:rsidRPr="000A0A5F">
        <w:rPr>
          <w:noProof/>
        </w:rPr>
        <w:t>.3.1-2: Data structures supported by the POST Response Body</w:t>
      </w:r>
    </w:p>
    <w:tbl>
      <w:tblPr>
        <w:tblW w:w="961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293"/>
        <w:gridCol w:w="1259"/>
        <w:gridCol w:w="1441"/>
        <w:gridCol w:w="4619"/>
      </w:tblGrid>
      <w:tr w:rsidR="00CB0DD7" w:rsidRPr="000A0A5F" w:rsidTr="00FF0AF8">
        <w:trPr>
          <w:jc w:val="center"/>
        </w:trPr>
        <w:tc>
          <w:tcPr>
            <w:tcW w:w="2293" w:type="dxa"/>
            <w:shd w:val="clear" w:color="auto" w:fill="C0C0C0"/>
            <w:hideMark/>
          </w:tcPr>
          <w:p w:rsidR="00CB0DD7" w:rsidRPr="000A0A5F" w:rsidRDefault="00CB0DD7">
            <w:pPr>
              <w:pStyle w:val="TAH"/>
              <w:rPr>
                <w:noProof/>
              </w:rPr>
            </w:pPr>
            <w:r w:rsidRPr="000A0A5F">
              <w:rPr>
                <w:noProof/>
              </w:rPr>
              <w:t>Data type</w:t>
            </w:r>
          </w:p>
        </w:tc>
        <w:tc>
          <w:tcPr>
            <w:tcW w:w="1259" w:type="dxa"/>
            <w:shd w:val="clear" w:color="auto" w:fill="C0C0C0"/>
            <w:hideMark/>
          </w:tcPr>
          <w:p w:rsidR="00CB0DD7" w:rsidRPr="000A0A5F" w:rsidRDefault="00CB0DD7">
            <w:pPr>
              <w:pStyle w:val="TAH"/>
              <w:rPr>
                <w:noProof/>
              </w:rPr>
            </w:pPr>
            <w:r w:rsidRPr="000A0A5F">
              <w:rPr>
                <w:noProof/>
              </w:rPr>
              <w:t>Cardinality</w:t>
            </w:r>
          </w:p>
        </w:tc>
        <w:tc>
          <w:tcPr>
            <w:tcW w:w="1441" w:type="dxa"/>
            <w:shd w:val="clear" w:color="auto" w:fill="C0C0C0"/>
            <w:hideMark/>
          </w:tcPr>
          <w:p w:rsidR="00CB0DD7" w:rsidRPr="000A0A5F" w:rsidRDefault="00CB0DD7">
            <w:pPr>
              <w:pStyle w:val="TAH"/>
              <w:rPr>
                <w:noProof/>
              </w:rPr>
            </w:pPr>
            <w:r w:rsidRPr="000A0A5F">
              <w:rPr>
                <w:noProof/>
              </w:rPr>
              <w:t>Response codes</w:t>
            </w:r>
          </w:p>
        </w:tc>
        <w:tc>
          <w:tcPr>
            <w:tcW w:w="4619" w:type="dxa"/>
            <w:shd w:val="clear" w:color="auto" w:fill="C0C0C0"/>
            <w:hideMark/>
          </w:tcPr>
          <w:p w:rsidR="00CB0DD7" w:rsidRPr="000A0A5F" w:rsidRDefault="00CB0DD7">
            <w:pPr>
              <w:pStyle w:val="TAH"/>
              <w:rPr>
                <w:noProof/>
              </w:rPr>
            </w:pPr>
            <w:r w:rsidRPr="000A0A5F">
              <w:rPr>
                <w:noProof/>
              </w:rPr>
              <w:t>Description</w:t>
            </w:r>
          </w:p>
        </w:tc>
      </w:tr>
      <w:tr w:rsidR="00CB0DD7" w:rsidRPr="000A0A5F" w:rsidTr="00FF0AF8">
        <w:trPr>
          <w:jc w:val="center"/>
        </w:trPr>
        <w:tc>
          <w:tcPr>
            <w:tcW w:w="2293" w:type="dxa"/>
          </w:tcPr>
          <w:p w:rsidR="00CB0DD7" w:rsidRPr="000A0A5F" w:rsidRDefault="00CB0DD7">
            <w:pPr>
              <w:pStyle w:val="TAL"/>
              <w:rPr>
                <w:noProof/>
              </w:rPr>
            </w:pPr>
            <w:r w:rsidRPr="000A0A5F">
              <w:t>Acknowledgement</w:t>
            </w:r>
          </w:p>
        </w:tc>
        <w:tc>
          <w:tcPr>
            <w:tcW w:w="1259" w:type="dxa"/>
          </w:tcPr>
          <w:p w:rsidR="00CB0DD7" w:rsidRPr="000A0A5F" w:rsidRDefault="00CB0DD7">
            <w:pPr>
              <w:pStyle w:val="TAC"/>
              <w:rPr>
                <w:noProof/>
              </w:rPr>
            </w:pPr>
            <w:r w:rsidRPr="000A0A5F">
              <w:rPr>
                <w:rFonts w:hint="eastAsia"/>
                <w:lang w:eastAsia="zh-CN"/>
              </w:rPr>
              <w:t>1</w:t>
            </w:r>
          </w:p>
        </w:tc>
        <w:tc>
          <w:tcPr>
            <w:tcW w:w="1441" w:type="dxa"/>
          </w:tcPr>
          <w:p w:rsidR="00CB0DD7" w:rsidRPr="000A0A5F" w:rsidRDefault="00CB0DD7">
            <w:pPr>
              <w:pStyle w:val="TAL"/>
              <w:rPr>
                <w:noProof/>
              </w:rPr>
            </w:pPr>
            <w:r w:rsidRPr="000A0A5F">
              <w:t>20</w:t>
            </w:r>
            <w:r w:rsidRPr="000A0A5F">
              <w:rPr>
                <w:rFonts w:hint="eastAsia"/>
                <w:lang w:eastAsia="zh-CN"/>
              </w:rPr>
              <w:t>0</w:t>
            </w:r>
            <w:r w:rsidRPr="000A0A5F">
              <w:t xml:space="preserve"> </w:t>
            </w:r>
            <w:r w:rsidRPr="000A0A5F">
              <w:rPr>
                <w:rFonts w:hint="eastAsia"/>
                <w:lang w:eastAsia="zh-CN"/>
              </w:rPr>
              <w:t>OK</w:t>
            </w:r>
          </w:p>
        </w:tc>
        <w:tc>
          <w:tcPr>
            <w:tcW w:w="4619" w:type="dxa"/>
          </w:tcPr>
          <w:p w:rsidR="00CB0DD7" w:rsidRPr="000A0A5F" w:rsidRDefault="00CB0DD7">
            <w:pPr>
              <w:pStyle w:val="TAL"/>
              <w:rPr>
                <w:noProof/>
              </w:rPr>
            </w:pPr>
            <w:r w:rsidRPr="000A0A5F">
              <w:t xml:space="preserve">The </w:t>
            </w:r>
            <w:r w:rsidRPr="000A0A5F">
              <w:rPr>
                <w:rFonts w:hint="eastAsia"/>
                <w:lang w:eastAsia="zh-CN"/>
              </w:rPr>
              <w:t>successful acknowledgement of the notification</w:t>
            </w:r>
            <w:r w:rsidRPr="000A0A5F">
              <w:rPr>
                <w:lang w:eastAsia="zh-CN"/>
              </w:rPr>
              <w:t xml:space="preserve"> with a body.</w:t>
            </w:r>
          </w:p>
        </w:tc>
      </w:tr>
      <w:tr w:rsidR="00CB0DD7" w:rsidRPr="000A0A5F" w:rsidTr="00FF0AF8">
        <w:trPr>
          <w:jc w:val="center"/>
        </w:trPr>
        <w:tc>
          <w:tcPr>
            <w:tcW w:w="2293" w:type="dxa"/>
          </w:tcPr>
          <w:p w:rsidR="00CB0DD7" w:rsidRPr="000A0A5F" w:rsidRDefault="00CB0DD7">
            <w:pPr>
              <w:pStyle w:val="TAL"/>
            </w:pPr>
            <w:r w:rsidRPr="000A0A5F">
              <w:t>(None)</w:t>
            </w:r>
          </w:p>
        </w:tc>
        <w:tc>
          <w:tcPr>
            <w:tcW w:w="1259" w:type="dxa"/>
          </w:tcPr>
          <w:p w:rsidR="00CB0DD7" w:rsidRPr="000A0A5F" w:rsidRDefault="00CB0DD7">
            <w:pPr>
              <w:pStyle w:val="TAC"/>
              <w:rPr>
                <w:noProof/>
              </w:rPr>
            </w:pPr>
          </w:p>
        </w:tc>
        <w:tc>
          <w:tcPr>
            <w:tcW w:w="1441" w:type="dxa"/>
          </w:tcPr>
          <w:p w:rsidR="00CB0DD7" w:rsidRPr="000A0A5F" w:rsidRDefault="00CB0DD7">
            <w:pPr>
              <w:pStyle w:val="TAL"/>
            </w:pPr>
            <w:r w:rsidRPr="000A0A5F">
              <w:t>20</w:t>
            </w:r>
            <w:r w:rsidRPr="000A0A5F">
              <w:rPr>
                <w:lang w:eastAsia="zh-CN"/>
              </w:rPr>
              <w:t>4 No Content</w:t>
            </w:r>
          </w:p>
        </w:tc>
        <w:tc>
          <w:tcPr>
            <w:tcW w:w="4619" w:type="dxa"/>
          </w:tcPr>
          <w:p w:rsidR="00CB0DD7" w:rsidRPr="000A0A5F" w:rsidRDefault="00CB0DD7">
            <w:pPr>
              <w:pStyle w:val="TAL"/>
            </w:pPr>
            <w:r w:rsidRPr="000A0A5F">
              <w:t xml:space="preserve">The </w:t>
            </w:r>
            <w:r w:rsidRPr="000A0A5F">
              <w:rPr>
                <w:rFonts w:hint="eastAsia"/>
                <w:lang w:eastAsia="zh-CN"/>
              </w:rPr>
              <w:t>successful acknowledgement of the notification without a body.</w:t>
            </w:r>
          </w:p>
        </w:tc>
      </w:tr>
      <w:tr w:rsidR="00CB0DD7" w:rsidRPr="000A0A5F" w:rsidTr="00FF0AF8">
        <w:trPr>
          <w:jc w:val="center"/>
        </w:trPr>
        <w:tc>
          <w:tcPr>
            <w:tcW w:w="2293" w:type="dxa"/>
          </w:tcPr>
          <w:p w:rsidR="00CB0DD7" w:rsidRPr="000A0A5F" w:rsidRDefault="00CB0DD7">
            <w:pPr>
              <w:pStyle w:val="TAL"/>
            </w:pPr>
            <w:r w:rsidRPr="000A0A5F">
              <w:t>none</w:t>
            </w:r>
          </w:p>
        </w:tc>
        <w:tc>
          <w:tcPr>
            <w:tcW w:w="1259" w:type="dxa"/>
          </w:tcPr>
          <w:p w:rsidR="00CB0DD7" w:rsidRPr="000A0A5F" w:rsidRDefault="00CB0DD7">
            <w:pPr>
              <w:pStyle w:val="TAC"/>
              <w:rPr>
                <w:noProof/>
              </w:rPr>
            </w:pPr>
          </w:p>
        </w:tc>
        <w:tc>
          <w:tcPr>
            <w:tcW w:w="1441" w:type="dxa"/>
          </w:tcPr>
          <w:p w:rsidR="00CB0DD7" w:rsidRPr="000A0A5F" w:rsidRDefault="00CB0DD7">
            <w:pPr>
              <w:pStyle w:val="TAL"/>
            </w:pPr>
            <w:r w:rsidRPr="000A0A5F">
              <w:t>307 Temporary Redirect</w:t>
            </w:r>
          </w:p>
        </w:tc>
        <w:tc>
          <w:tcPr>
            <w:tcW w:w="4619" w:type="dxa"/>
          </w:tcPr>
          <w:p w:rsidR="00CB0DD7" w:rsidRPr="000A0A5F" w:rsidRDefault="00CB0DD7">
            <w:pPr>
              <w:pStyle w:val="TAL"/>
            </w:pPr>
            <w:r w:rsidRPr="000A0A5F">
              <w:t>Temporary redirection, during notification. The response shall include a Location header field containing an alternative URI representing the end point of an alternative SCS/AS where the notification should be sent.</w:t>
            </w:r>
          </w:p>
          <w:p w:rsidR="00CB0DD7" w:rsidRPr="000A0A5F" w:rsidRDefault="00CB0DD7">
            <w:pPr>
              <w:pStyle w:val="TAL"/>
            </w:pPr>
            <w:r w:rsidRPr="000A0A5F">
              <w:t>Redirection handling is described in clause 5.2.10.</w:t>
            </w:r>
          </w:p>
        </w:tc>
      </w:tr>
      <w:tr w:rsidR="00CB0DD7" w:rsidRPr="000A0A5F" w:rsidTr="00FF0AF8">
        <w:trPr>
          <w:jc w:val="center"/>
        </w:trPr>
        <w:tc>
          <w:tcPr>
            <w:tcW w:w="2293" w:type="dxa"/>
          </w:tcPr>
          <w:p w:rsidR="00CB0DD7" w:rsidRPr="000A0A5F" w:rsidRDefault="00CB0DD7">
            <w:pPr>
              <w:pStyle w:val="TAL"/>
            </w:pPr>
            <w:r w:rsidRPr="000A0A5F">
              <w:t>none</w:t>
            </w:r>
          </w:p>
        </w:tc>
        <w:tc>
          <w:tcPr>
            <w:tcW w:w="1259" w:type="dxa"/>
          </w:tcPr>
          <w:p w:rsidR="00CB0DD7" w:rsidRPr="000A0A5F" w:rsidRDefault="00CB0DD7">
            <w:pPr>
              <w:pStyle w:val="TAC"/>
              <w:rPr>
                <w:noProof/>
              </w:rPr>
            </w:pPr>
          </w:p>
        </w:tc>
        <w:tc>
          <w:tcPr>
            <w:tcW w:w="1441" w:type="dxa"/>
          </w:tcPr>
          <w:p w:rsidR="00CB0DD7" w:rsidRPr="000A0A5F" w:rsidRDefault="00CB0DD7">
            <w:pPr>
              <w:pStyle w:val="TAL"/>
            </w:pPr>
            <w:r w:rsidRPr="000A0A5F">
              <w:t>308 Permanent Redirect</w:t>
            </w:r>
          </w:p>
        </w:tc>
        <w:tc>
          <w:tcPr>
            <w:tcW w:w="4619" w:type="dxa"/>
          </w:tcPr>
          <w:p w:rsidR="00CB0DD7" w:rsidRPr="000A0A5F" w:rsidRDefault="00CB0DD7">
            <w:pPr>
              <w:pStyle w:val="TAL"/>
            </w:pPr>
            <w:r w:rsidRPr="000A0A5F">
              <w:t>Permanent redirection, during notification. The response shall include a Location header field containing an alternative URI representing the end point of an alternative SCS/AS where the notification should be sent.</w:t>
            </w:r>
          </w:p>
          <w:p w:rsidR="00CB0DD7" w:rsidRPr="000A0A5F" w:rsidRDefault="00CB0DD7">
            <w:pPr>
              <w:pStyle w:val="TAL"/>
            </w:pPr>
            <w:r w:rsidRPr="000A0A5F">
              <w:t>Redirection handling is described in clause 5.2.10.</w:t>
            </w:r>
          </w:p>
        </w:tc>
      </w:tr>
      <w:tr w:rsidR="00CB0DD7" w:rsidRPr="000A0A5F" w:rsidTr="00FF0AF8">
        <w:trPr>
          <w:jc w:val="center"/>
        </w:trPr>
        <w:tc>
          <w:tcPr>
            <w:tcW w:w="9612" w:type="dxa"/>
            <w:gridSpan w:val="4"/>
          </w:tcPr>
          <w:p w:rsidR="00CB0DD7" w:rsidRPr="000A0A5F" w:rsidRDefault="00CB0DD7">
            <w:pPr>
              <w:pStyle w:val="TAN"/>
            </w:pPr>
            <w:r w:rsidRPr="000A0A5F">
              <w:t>NOTE:</w:t>
            </w:r>
            <w:r w:rsidRPr="000A0A5F">
              <w:tab/>
              <w:t>The mandatory HTTP error status codes for the POST method listed in table 5.2.6-1 also apply.</w:t>
            </w:r>
          </w:p>
        </w:tc>
      </w:tr>
    </w:tbl>
    <w:p w:rsidR="00CB0DD7" w:rsidRPr="000A0A5F" w:rsidRDefault="00CB0DD7">
      <w:pPr>
        <w:rPr>
          <w:noProof/>
        </w:rPr>
      </w:pPr>
    </w:p>
    <w:p w:rsidR="00CB0DD7" w:rsidRPr="000A0A5F" w:rsidRDefault="00CB0DD7">
      <w:pPr>
        <w:pStyle w:val="TH"/>
      </w:pPr>
      <w:r w:rsidRPr="000A0A5F">
        <w:t>Table</w:t>
      </w:r>
      <w:r w:rsidRPr="000A0A5F">
        <w:rPr>
          <w:noProof/>
        </w:rPr>
        <w:t> </w:t>
      </w:r>
      <w:r w:rsidRPr="000A0A5F">
        <w:t>5.8.3.</w:t>
      </w:r>
      <w:r w:rsidR="00790FC9" w:rsidRPr="000A0A5F">
        <w:t>2A</w:t>
      </w:r>
      <w:r w:rsidRPr="000A0A5F">
        <w:t>.2</w:t>
      </w:r>
      <w:r w:rsidRPr="000A0A5F">
        <w:rPr>
          <w:noProof/>
        </w:rPr>
        <w:t>.3.1</w:t>
      </w:r>
      <w:r w:rsidRPr="000A0A5F">
        <w:t>-3: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representing the end point of an alternative SCS/AS towards which the notification should be redirected.</w:t>
            </w:r>
          </w:p>
        </w:tc>
      </w:tr>
    </w:tbl>
    <w:p w:rsidR="00CB0DD7" w:rsidRPr="000A0A5F" w:rsidRDefault="00CB0DD7"/>
    <w:p w:rsidR="00CB0DD7" w:rsidRPr="000A0A5F" w:rsidRDefault="00CB0DD7">
      <w:pPr>
        <w:pStyle w:val="TH"/>
      </w:pPr>
      <w:r w:rsidRPr="000A0A5F">
        <w:t>Table</w:t>
      </w:r>
      <w:r w:rsidRPr="000A0A5F">
        <w:rPr>
          <w:noProof/>
        </w:rPr>
        <w:t> </w:t>
      </w:r>
      <w:r w:rsidRPr="000A0A5F">
        <w:t>5.8.3.</w:t>
      </w:r>
      <w:r w:rsidR="00790FC9" w:rsidRPr="000A0A5F">
        <w:t>2A</w:t>
      </w:r>
      <w:r w:rsidRPr="000A0A5F">
        <w:t>.2</w:t>
      </w:r>
      <w:r w:rsidRPr="000A0A5F">
        <w:rPr>
          <w:noProof/>
        </w:rPr>
        <w:t>.3.1</w:t>
      </w:r>
      <w:r w:rsidRPr="000A0A5F">
        <w:t>-4: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representing the end point of an alternative SCS/AS towards which the notification should be redirected.</w:t>
            </w:r>
          </w:p>
        </w:tc>
      </w:tr>
    </w:tbl>
    <w:p w:rsidR="00CB0DD7" w:rsidRPr="000A0A5F" w:rsidRDefault="00CB0DD7">
      <w:pPr>
        <w:rPr>
          <w:noProof/>
        </w:rPr>
      </w:pPr>
    </w:p>
    <w:p w:rsidR="00CB0DD7" w:rsidRPr="000A0A5F" w:rsidRDefault="00CB0DD7">
      <w:pPr>
        <w:pStyle w:val="Heading7"/>
        <w:rPr>
          <w:noProof/>
        </w:rPr>
      </w:pPr>
      <w:bookmarkStart w:id="6556" w:name="_Toc66360774"/>
      <w:bookmarkStart w:id="6557" w:name="_Toc68105279"/>
      <w:bookmarkStart w:id="6558" w:name="_Toc74755909"/>
      <w:bookmarkStart w:id="6559" w:name="_Toc105674784"/>
      <w:bookmarkStart w:id="6560" w:name="_Toc130502840"/>
      <w:bookmarkStart w:id="6561" w:name="_Toc153625627"/>
      <w:r w:rsidRPr="000A0A5F">
        <w:t>5.8.3.2a.2.3</w:t>
      </w:r>
      <w:r w:rsidRPr="000A0A5F">
        <w:rPr>
          <w:noProof/>
        </w:rPr>
        <w:t>.2</w:t>
      </w:r>
      <w:r w:rsidRPr="000A0A5F">
        <w:rPr>
          <w:noProof/>
        </w:rPr>
        <w:tab/>
      </w:r>
      <w:r w:rsidRPr="000A0A5F">
        <w:t>Notification via Websocket</w:t>
      </w:r>
      <w:bookmarkEnd w:id="6556"/>
      <w:bookmarkEnd w:id="6557"/>
      <w:bookmarkEnd w:id="6558"/>
      <w:bookmarkEnd w:id="6559"/>
      <w:bookmarkEnd w:id="6560"/>
      <w:bookmarkEnd w:id="6561"/>
    </w:p>
    <w:p w:rsidR="00CB0DD7" w:rsidRPr="000A0A5F" w:rsidRDefault="00CB0DD7">
      <w:pPr>
        <w:rPr>
          <w:rFonts w:hint="eastAsia"/>
          <w:lang w:eastAsia="zh-CN"/>
        </w:rPr>
      </w:pPr>
      <w:r w:rsidRPr="000A0A5F">
        <w:t>If supported by both SCS/AS and SCEF and successfully negotiated</w:t>
      </w:r>
      <w:r w:rsidRPr="000A0A5F">
        <w:rPr>
          <w:lang w:eastAsia="zh-CN"/>
        </w:rPr>
        <w:t xml:space="preserve">, the </w:t>
      </w:r>
      <w:r w:rsidRPr="000A0A5F">
        <w:t>GMDByxMBNotification</w:t>
      </w:r>
      <w:r w:rsidRPr="000A0A5F">
        <w:rPr>
          <w:lang w:eastAsia="zh-CN"/>
        </w:rPr>
        <w:t xml:space="preserve"> may alternatively be delivered through the Websocket mechanism as defined in clause</w:t>
      </w:r>
      <w:r w:rsidR="000902D9" w:rsidRPr="000A0A5F">
        <w:rPr>
          <w:lang w:val="en-US" w:eastAsia="zh-CN"/>
        </w:rPr>
        <w:t> </w:t>
      </w:r>
      <w:r w:rsidRPr="000A0A5F">
        <w:rPr>
          <w:lang w:eastAsia="zh-CN"/>
        </w:rPr>
        <w:t>5.2.5.4.</w:t>
      </w:r>
    </w:p>
    <w:p w:rsidR="00CB0DD7" w:rsidRPr="000A0A5F" w:rsidRDefault="00CB0DD7">
      <w:pPr>
        <w:pStyle w:val="Heading4"/>
      </w:pPr>
      <w:bookmarkStart w:id="6562" w:name="_Toc11247673"/>
      <w:bookmarkStart w:id="6563" w:name="_Toc27044812"/>
      <w:bookmarkStart w:id="6564" w:name="_Toc36033854"/>
      <w:bookmarkStart w:id="6565" w:name="_Toc45132000"/>
      <w:bookmarkStart w:id="6566" w:name="_Toc49776285"/>
      <w:bookmarkStart w:id="6567" w:name="_Toc51747205"/>
      <w:bookmarkStart w:id="6568" w:name="_Toc66360775"/>
      <w:bookmarkStart w:id="6569" w:name="_Toc68105280"/>
      <w:bookmarkStart w:id="6570" w:name="_Toc74755910"/>
      <w:bookmarkStart w:id="6571" w:name="_Toc105674785"/>
      <w:bookmarkStart w:id="6572" w:name="_Toc130502841"/>
      <w:bookmarkStart w:id="6573" w:name="_Toc153625628"/>
      <w:r w:rsidRPr="000A0A5F">
        <w:t>5.8.3.3</w:t>
      </w:r>
      <w:r w:rsidRPr="000A0A5F">
        <w:tab/>
        <w:t>Used Features</w:t>
      </w:r>
      <w:bookmarkEnd w:id="6562"/>
      <w:bookmarkEnd w:id="6563"/>
      <w:bookmarkEnd w:id="6564"/>
      <w:bookmarkEnd w:id="6565"/>
      <w:bookmarkEnd w:id="6566"/>
      <w:bookmarkEnd w:id="6567"/>
      <w:bookmarkEnd w:id="6568"/>
      <w:bookmarkEnd w:id="6569"/>
      <w:bookmarkEnd w:id="6570"/>
      <w:bookmarkEnd w:id="6571"/>
      <w:bookmarkEnd w:id="6572"/>
      <w:bookmarkEnd w:id="6573"/>
    </w:p>
    <w:p w:rsidR="00CB0DD7" w:rsidRPr="000A0A5F" w:rsidRDefault="00CB0DD7">
      <w:r w:rsidRPr="000A0A5F">
        <w:t>The table below defines the features applicable to the GMDviaMBMSbyxMB API. Those features are negotiated as described in clause 5.2.7.</w:t>
      </w:r>
    </w:p>
    <w:p w:rsidR="00CB0DD7" w:rsidRPr="000A0A5F" w:rsidRDefault="002E466A">
      <w:pPr>
        <w:pStyle w:val="TH"/>
      </w:pPr>
      <w:r w:rsidRPr="000A0A5F">
        <w:t>Table </w:t>
      </w:r>
      <w:r w:rsidR="00CB0DD7" w:rsidRPr="000A0A5F">
        <w:t>5.8.3.3-1: Features used by GMDviaMBMSbyxMB API</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47"/>
        <w:gridCol w:w="2057"/>
        <w:gridCol w:w="6853"/>
      </w:tblGrid>
      <w:tr w:rsidR="00CB0DD7" w:rsidRPr="000A0A5F" w:rsidTr="00FF0AF8">
        <w:trPr>
          <w:cantSplit/>
        </w:trPr>
        <w:tc>
          <w:tcPr>
            <w:tcW w:w="481" w:type="pct"/>
            <w:shd w:val="clear" w:color="auto" w:fill="C0C0C0"/>
          </w:tcPr>
          <w:p w:rsidR="00CB0DD7" w:rsidRPr="000A0A5F" w:rsidRDefault="00CB0DD7">
            <w:pPr>
              <w:pStyle w:val="TAH"/>
              <w:rPr>
                <w:rFonts w:eastAsia="Times New Roman"/>
              </w:rPr>
            </w:pPr>
            <w:r w:rsidRPr="000A0A5F">
              <w:t>Feature Number</w:t>
            </w:r>
          </w:p>
        </w:tc>
        <w:tc>
          <w:tcPr>
            <w:tcW w:w="1043" w:type="pct"/>
            <w:shd w:val="clear" w:color="auto" w:fill="C0C0C0"/>
          </w:tcPr>
          <w:p w:rsidR="00CB0DD7" w:rsidRPr="000A0A5F" w:rsidRDefault="00CB0DD7">
            <w:pPr>
              <w:pStyle w:val="TAH"/>
              <w:rPr>
                <w:rFonts w:eastAsia="Times New Roman"/>
              </w:rPr>
            </w:pPr>
            <w:r w:rsidRPr="000A0A5F">
              <w:rPr>
                <w:rFonts w:eastAsia="Times New Roman"/>
              </w:rPr>
              <w:t>Feature</w:t>
            </w:r>
          </w:p>
        </w:tc>
        <w:tc>
          <w:tcPr>
            <w:tcW w:w="3475" w:type="pct"/>
            <w:shd w:val="clear" w:color="auto" w:fill="C0C0C0"/>
          </w:tcPr>
          <w:p w:rsidR="00CB0DD7" w:rsidRPr="000A0A5F" w:rsidRDefault="00CB0DD7">
            <w:pPr>
              <w:pStyle w:val="TAH"/>
              <w:rPr>
                <w:lang w:eastAsia="ko-KR"/>
              </w:rPr>
            </w:pPr>
            <w:r w:rsidRPr="000A0A5F">
              <w:rPr>
                <w:rFonts w:eastAsia="Times New Roman"/>
              </w:rPr>
              <w:t>Description</w:t>
            </w:r>
          </w:p>
        </w:tc>
      </w:tr>
      <w:tr w:rsidR="00CB0DD7" w:rsidRPr="000A0A5F" w:rsidTr="00FF0AF8">
        <w:trPr>
          <w:cantSplit/>
        </w:trPr>
        <w:tc>
          <w:tcPr>
            <w:tcW w:w="481" w:type="pct"/>
          </w:tcPr>
          <w:p w:rsidR="00CB0DD7" w:rsidRPr="000A0A5F" w:rsidRDefault="00CB0DD7">
            <w:pPr>
              <w:pStyle w:val="TAC"/>
              <w:rPr>
                <w:lang w:eastAsia="zh-CN"/>
              </w:rPr>
            </w:pPr>
            <w:r w:rsidRPr="000A0A5F">
              <w:rPr>
                <w:lang w:eastAsia="zh-CN"/>
              </w:rPr>
              <w:t>1</w:t>
            </w:r>
          </w:p>
        </w:tc>
        <w:tc>
          <w:tcPr>
            <w:tcW w:w="1043" w:type="pct"/>
          </w:tcPr>
          <w:p w:rsidR="00CB0DD7" w:rsidRPr="000A0A5F" w:rsidRDefault="00CB0DD7">
            <w:pPr>
              <w:pStyle w:val="TAC"/>
              <w:rPr>
                <w:lang w:eastAsia="zh-CN"/>
              </w:rPr>
            </w:pPr>
            <w:r w:rsidRPr="000A0A5F">
              <w:rPr>
                <w:lang w:eastAsia="zh-CN"/>
              </w:rPr>
              <w:t>Notification_websocket</w:t>
            </w:r>
          </w:p>
        </w:tc>
        <w:tc>
          <w:tcPr>
            <w:tcW w:w="3475" w:type="pct"/>
          </w:tcPr>
          <w:p w:rsidR="00CB0DD7" w:rsidRPr="000A0A5F" w:rsidRDefault="00CB0DD7">
            <w:pPr>
              <w:pStyle w:val="TAL"/>
              <w:rPr>
                <w:lang w:eastAsia="zh-CN"/>
              </w:rPr>
            </w:pPr>
            <w:r w:rsidRPr="000A0A5F">
              <w:rPr>
                <w:rFonts w:cs="Arial"/>
                <w:szCs w:val="18"/>
                <w:lang w:eastAsia="zh-CN"/>
              </w:rPr>
              <w:t>The delivery of notifications over Websocket is supported according to clause</w:t>
            </w:r>
            <w:r w:rsidRPr="000A0A5F">
              <w:rPr>
                <w:rFonts w:cs="Arial"/>
                <w:szCs w:val="18"/>
                <w:lang w:val="en-US" w:eastAsia="zh-CN"/>
              </w:rPr>
              <w:t> </w:t>
            </w:r>
            <w:r w:rsidRPr="000A0A5F">
              <w:rPr>
                <w:rFonts w:cs="Arial"/>
                <w:szCs w:val="18"/>
                <w:lang w:eastAsia="zh-CN"/>
              </w:rPr>
              <w:t xml:space="preserve">5.2.5.4. This feature requires that the </w:t>
            </w:r>
            <w:r w:rsidRPr="000A0A5F">
              <w:t>Notification_test_event featute is also supported.</w:t>
            </w:r>
          </w:p>
        </w:tc>
      </w:tr>
      <w:tr w:rsidR="00CB0DD7" w:rsidRPr="000A0A5F" w:rsidTr="00FF0AF8">
        <w:trPr>
          <w:cantSplit/>
        </w:trPr>
        <w:tc>
          <w:tcPr>
            <w:tcW w:w="481" w:type="pct"/>
          </w:tcPr>
          <w:p w:rsidR="00CB0DD7" w:rsidRPr="000A0A5F" w:rsidRDefault="00CB0DD7">
            <w:pPr>
              <w:pStyle w:val="TAC"/>
            </w:pPr>
            <w:r w:rsidRPr="000A0A5F">
              <w:t>2</w:t>
            </w:r>
          </w:p>
        </w:tc>
        <w:tc>
          <w:tcPr>
            <w:tcW w:w="1043" w:type="pct"/>
          </w:tcPr>
          <w:p w:rsidR="00CB0DD7" w:rsidRPr="000A0A5F" w:rsidRDefault="00CB0DD7">
            <w:pPr>
              <w:pStyle w:val="TAC"/>
              <w:rPr>
                <w:lang w:eastAsia="zh-CN"/>
              </w:rPr>
            </w:pPr>
            <w:r w:rsidRPr="000A0A5F">
              <w:t>Notification_test_event</w:t>
            </w:r>
          </w:p>
        </w:tc>
        <w:tc>
          <w:tcPr>
            <w:tcW w:w="3475" w:type="pct"/>
          </w:tcPr>
          <w:p w:rsidR="00CB0DD7" w:rsidRPr="000A0A5F" w:rsidRDefault="00CB0DD7">
            <w:pPr>
              <w:pStyle w:val="TAL"/>
              <w:rPr>
                <w:lang w:eastAsia="zh-CN"/>
              </w:rPr>
            </w:pPr>
            <w:r w:rsidRPr="000A0A5F">
              <w:rPr>
                <w:rFonts w:cs="Arial"/>
                <w:szCs w:val="18"/>
                <w:lang w:eastAsia="zh-CN"/>
              </w:rPr>
              <w:t>The testing of notification connection is supported according to clause</w:t>
            </w:r>
            <w:r w:rsidRPr="000A0A5F">
              <w:rPr>
                <w:rFonts w:cs="Arial"/>
                <w:szCs w:val="18"/>
                <w:lang w:val="en-US" w:eastAsia="zh-CN"/>
              </w:rPr>
              <w:t> </w:t>
            </w:r>
            <w:r w:rsidRPr="000A0A5F">
              <w:rPr>
                <w:rFonts w:cs="Arial"/>
                <w:szCs w:val="18"/>
                <w:lang w:eastAsia="zh-CN"/>
              </w:rPr>
              <w:t>5.2.5.3.</w:t>
            </w:r>
          </w:p>
        </w:tc>
      </w:tr>
      <w:tr w:rsidR="00CB0DD7" w:rsidRPr="000A0A5F" w:rsidTr="00FF0AF8">
        <w:tblPrEx>
          <w:tblLook w:val="04A0" w:firstRow="1" w:lastRow="0" w:firstColumn="1" w:lastColumn="0" w:noHBand="0" w:noVBand="1"/>
        </w:tblPrEx>
        <w:trPr>
          <w:cantSplit/>
        </w:trPr>
        <w:tc>
          <w:tcPr>
            <w:tcW w:w="5000" w:type="pct"/>
            <w:gridSpan w:val="3"/>
          </w:tcPr>
          <w:p w:rsidR="00CB0DD7" w:rsidRPr="000A0A5F" w:rsidRDefault="00CB0DD7">
            <w:pPr>
              <w:pStyle w:val="TAN"/>
              <w:rPr>
                <w:rFonts w:eastAsia="Times New Roman"/>
              </w:rPr>
            </w:pPr>
            <w:r w:rsidRPr="000A0A5F">
              <w:rPr>
                <w:rFonts w:eastAsia="Times New Roman"/>
              </w:rPr>
              <w:t>Feature:</w:t>
            </w:r>
            <w:r w:rsidRPr="000A0A5F">
              <w:rPr>
                <w:rFonts w:eastAsia="Times New Roman"/>
              </w:rPr>
              <w:tab/>
              <w:t>A short name that can be used to refer to the bit and to the feature, e.g. "</w:t>
            </w:r>
            <w:r w:rsidRPr="000A0A5F">
              <w:rPr>
                <w:rFonts w:hint="eastAsia"/>
                <w:lang w:eastAsia="zh-CN"/>
              </w:rPr>
              <w:t>Notification</w:t>
            </w:r>
            <w:r w:rsidRPr="000A0A5F">
              <w:rPr>
                <w:rFonts w:eastAsia="Times New Roman"/>
              </w:rPr>
              <w:t>".</w:t>
            </w:r>
          </w:p>
          <w:p w:rsidR="00CB0DD7" w:rsidRPr="000A0A5F" w:rsidRDefault="00CB0DD7">
            <w:pPr>
              <w:pStyle w:val="TAN"/>
              <w:rPr>
                <w:color w:val="000000"/>
                <w:lang w:eastAsia="zh-CN"/>
              </w:rPr>
            </w:pPr>
            <w:r w:rsidRPr="000A0A5F">
              <w:rPr>
                <w:rFonts w:eastAsia="Times New Roman"/>
              </w:rPr>
              <w:t>Description:</w:t>
            </w:r>
            <w:r w:rsidRPr="000A0A5F">
              <w:rPr>
                <w:rFonts w:eastAsia="Times New Roman"/>
              </w:rPr>
              <w:tab/>
              <w:t>A clear textual description of the feature.</w:t>
            </w:r>
          </w:p>
        </w:tc>
      </w:tr>
    </w:tbl>
    <w:p w:rsidR="00CB0DD7" w:rsidRPr="000A0A5F" w:rsidRDefault="00CB0DD7"/>
    <w:p w:rsidR="005248FF" w:rsidRPr="000A0A5F" w:rsidRDefault="005248FF" w:rsidP="005248FF">
      <w:pPr>
        <w:pStyle w:val="Heading4"/>
      </w:pPr>
      <w:bookmarkStart w:id="6574" w:name="_Toc130502842"/>
      <w:bookmarkStart w:id="6575" w:name="_Toc153625629"/>
      <w:r w:rsidRPr="000A0A5F">
        <w:t>5.8.3.4</w:t>
      </w:r>
      <w:r w:rsidRPr="000A0A5F">
        <w:tab/>
        <w:t>Error handling</w:t>
      </w:r>
      <w:bookmarkEnd w:id="6574"/>
      <w:bookmarkEnd w:id="6575"/>
    </w:p>
    <w:p w:rsidR="005248FF" w:rsidRPr="000A0A5F" w:rsidRDefault="005248FF" w:rsidP="005248FF">
      <w:pPr>
        <w:pStyle w:val="Heading5"/>
      </w:pPr>
      <w:bookmarkStart w:id="6576" w:name="_Toc130502843"/>
      <w:bookmarkStart w:id="6577" w:name="_Toc153625630"/>
      <w:r w:rsidRPr="000A0A5F">
        <w:t>5.8.3.4.1</w:t>
      </w:r>
      <w:r w:rsidRPr="000A0A5F">
        <w:tab/>
        <w:t>General</w:t>
      </w:r>
      <w:bookmarkEnd w:id="6576"/>
      <w:bookmarkEnd w:id="6577"/>
    </w:p>
    <w:p w:rsidR="005248FF" w:rsidRPr="000A0A5F" w:rsidRDefault="005248FF" w:rsidP="005248FF">
      <w:r w:rsidRPr="000A0A5F">
        <w:t>HTTP error handling shall be supported as specified in clause 5.2.6.</w:t>
      </w:r>
    </w:p>
    <w:p w:rsidR="005248FF" w:rsidRPr="000A0A5F" w:rsidRDefault="005248FF" w:rsidP="005248FF">
      <w:r w:rsidRPr="000A0A5F">
        <w:t>In addition, the requirements in the following clauses shall apply.</w:t>
      </w:r>
    </w:p>
    <w:p w:rsidR="005248FF" w:rsidRPr="000A0A5F" w:rsidRDefault="005248FF" w:rsidP="005248FF">
      <w:pPr>
        <w:pStyle w:val="Heading5"/>
      </w:pPr>
      <w:bookmarkStart w:id="6578" w:name="_Toc130502844"/>
      <w:bookmarkStart w:id="6579" w:name="_Toc153625631"/>
      <w:r w:rsidRPr="000A0A5F">
        <w:t>5.8.3.4.2</w:t>
      </w:r>
      <w:r w:rsidRPr="000A0A5F">
        <w:tab/>
        <w:t>Protocol Errors</w:t>
      </w:r>
      <w:bookmarkEnd w:id="6578"/>
      <w:bookmarkEnd w:id="6579"/>
    </w:p>
    <w:p w:rsidR="005248FF" w:rsidRPr="000A0A5F" w:rsidRDefault="005248FF" w:rsidP="005248FF">
      <w:r w:rsidRPr="000A0A5F">
        <w:rPr>
          <w:lang w:eastAsia="zh-CN"/>
        </w:rPr>
        <w:t xml:space="preserve">In this Release </w:t>
      </w:r>
      <w:r w:rsidRPr="000A0A5F">
        <w:t>of the specification, there are no additional protocol errors applicable for the GMDviaMBMSbyxMB API.</w:t>
      </w:r>
    </w:p>
    <w:p w:rsidR="005248FF" w:rsidRPr="000A0A5F" w:rsidRDefault="005248FF" w:rsidP="005248FF">
      <w:pPr>
        <w:pStyle w:val="Heading5"/>
      </w:pPr>
      <w:bookmarkStart w:id="6580" w:name="_Toc130502845"/>
      <w:bookmarkStart w:id="6581" w:name="_Toc153625632"/>
      <w:r w:rsidRPr="000A0A5F">
        <w:t>5.8.3.4.3</w:t>
      </w:r>
      <w:r w:rsidRPr="000A0A5F">
        <w:tab/>
        <w:t>Application Errors</w:t>
      </w:r>
      <w:bookmarkEnd w:id="6580"/>
      <w:bookmarkEnd w:id="6581"/>
    </w:p>
    <w:p w:rsidR="005248FF" w:rsidRPr="000A0A5F" w:rsidRDefault="005248FF" w:rsidP="005248FF">
      <w:r w:rsidRPr="000A0A5F">
        <w:t>The application errors defined for GMDviaMBMSbyxMB API are listed in table 5.8.3.4.3-1.</w:t>
      </w:r>
    </w:p>
    <w:p w:rsidR="005248FF" w:rsidRPr="000A0A5F" w:rsidRDefault="005248FF" w:rsidP="005248FF">
      <w:pPr>
        <w:pStyle w:val="TH"/>
      </w:pPr>
      <w:r w:rsidRPr="000A0A5F">
        <w:t>Table 5.8.3.4.3-1: Application errors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686"/>
        <w:gridCol w:w="1275"/>
        <w:gridCol w:w="3289"/>
        <w:gridCol w:w="2373"/>
      </w:tblGrid>
      <w:tr w:rsidR="005248FF" w:rsidRPr="000A0A5F" w:rsidTr="004C13CC">
        <w:trPr>
          <w:cantSplit/>
          <w:jc w:val="center"/>
        </w:trPr>
        <w:tc>
          <w:tcPr>
            <w:tcW w:w="2686" w:type="dxa"/>
            <w:shd w:val="clear" w:color="auto" w:fill="C0C0C0"/>
            <w:hideMark/>
          </w:tcPr>
          <w:p w:rsidR="005248FF" w:rsidRPr="000A0A5F" w:rsidRDefault="005248FF" w:rsidP="004C13CC">
            <w:pPr>
              <w:pStyle w:val="TAH"/>
            </w:pPr>
            <w:r w:rsidRPr="000A0A5F">
              <w:t>Application Error</w:t>
            </w:r>
          </w:p>
        </w:tc>
        <w:tc>
          <w:tcPr>
            <w:tcW w:w="1275" w:type="dxa"/>
            <w:shd w:val="clear" w:color="auto" w:fill="C0C0C0"/>
            <w:hideMark/>
          </w:tcPr>
          <w:p w:rsidR="005248FF" w:rsidRPr="000A0A5F" w:rsidRDefault="005248FF" w:rsidP="004C13CC">
            <w:pPr>
              <w:pStyle w:val="TAH"/>
            </w:pPr>
            <w:r w:rsidRPr="000A0A5F">
              <w:t>HTTP status code</w:t>
            </w:r>
          </w:p>
        </w:tc>
        <w:tc>
          <w:tcPr>
            <w:tcW w:w="3289" w:type="dxa"/>
            <w:shd w:val="clear" w:color="auto" w:fill="C0C0C0"/>
            <w:hideMark/>
          </w:tcPr>
          <w:p w:rsidR="005248FF" w:rsidRPr="000A0A5F" w:rsidRDefault="005248FF" w:rsidP="004C13CC">
            <w:pPr>
              <w:pStyle w:val="TAH"/>
            </w:pPr>
            <w:r w:rsidRPr="000A0A5F">
              <w:t>Description</w:t>
            </w:r>
          </w:p>
        </w:tc>
        <w:tc>
          <w:tcPr>
            <w:tcW w:w="2373" w:type="dxa"/>
            <w:shd w:val="clear" w:color="auto" w:fill="C0C0C0"/>
          </w:tcPr>
          <w:p w:rsidR="005248FF" w:rsidRPr="000A0A5F" w:rsidRDefault="005248FF" w:rsidP="004C13CC">
            <w:pPr>
              <w:pStyle w:val="TAH"/>
            </w:pPr>
            <w:r w:rsidRPr="000A0A5F">
              <w:t>Applicability</w:t>
            </w:r>
          </w:p>
        </w:tc>
      </w:tr>
      <w:tr w:rsidR="005248FF" w:rsidRPr="000A0A5F" w:rsidTr="004C13CC">
        <w:trPr>
          <w:cantSplit/>
          <w:jc w:val="center"/>
        </w:trPr>
        <w:tc>
          <w:tcPr>
            <w:tcW w:w="2686" w:type="dxa"/>
          </w:tcPr>
          <w:p w:rsidR="005248FF" w:rsidRPr="000A0A5F" w:rsidRDefault="005248FF" w:rsidP="004C13CC">
            <w:pPr>
              <w:pStyle w:val="TAL"/>
              <w:rPr>
                <w:lang w:eastAsia="zh-CN"/>
              </w:rPr>
            </w:pPr>
          </w:p>
        </w:tc>
        <w:tc>
          <w:tcPr>
            <w:tcW w:w="1275" w:type="dxa"/>
          </w:tcPr>
          <w:p w:rsidR="005248FF" w:rsidRPr="000A0A5F" w:rsidRDefault="005248FF" w:rsidP="004C13CC">
            <w:pPr>
              <w:pStyle w:val="TAL"/>
              <w:rPr>
                <w:lang w:eastAsia="zh-CN"/>
              </w:rPr>
            </w:pPr>
          </w:p>
        </w:tc>
        <w:tc>
          <w:tcPr>
            <w:tcW w:w="3289" w:type="dxa"/>
          </w:tcPr>
          <w:p w:rsidR="005248FF" w:rsidRPr="000A0A5F" w:rsidRDefault="005248FF" w:rsidP="004C13CC">
            <w:pPr>
              <w:pStyle w:val="TAL"/>
            </w:pPr>
          </w:p>
        </w:tc>
        <w:tc>
          <w:tcPr>
            <w:tcW w:w="2373" w:type="dxa"/>
          </w:tcPr>
          <w:p w:rsidR="005248FF" w:rsidRPr="000A0A5F" w:rsidRDefault="005248FF" w:rsidP="004C13CC">
            <w:pPr>
              <w:pStyle w:val="TAL"/>
            </w:pPr>
          </w:p>
        </w:tc>
      </w:tr>
    </w:tbl>
    <w:p w:rsidR="005248FF" w:rsidRPr="000A0A5F" w:rsidRDefault="005248FF"/>
    <w:p w:rsidR="00CB0DD7" w:rsidRPr="000A0A5F" w:rsidRDefault="00CB0DD7">
      <w:pPr>
        <w:pStyle w:val="Heading2"/>
      </w:pPr>
      <w:bookmarkStart w:id="6582" w:name="_Toc11247674"/>
      <w:bookmarkStart w:id="6583" w:name="_Toc27044813"/>
      <w:bookmarkStart w:id="6584" w:name="_Toc36033855"/>
      <w:bookmarkStart w:id="6585" w:name="_Toc45132001"/>
      <w:bookmarkStart w:id="6586" w:name="_Toc49776286"/>
      <w:bookmarkStart w:id="6587" w:name="_Toc51747206"/>
      <w:bookmarkStart w:id="6588" w:name="_Toc66360776"/>
      <w:bookmarkStart w:id="6589" w:name="_Toc68105281"/>
      <w:bookmarkStart w:id="6590" w:name="_Toc74755911"/>
      <w:bookmarkStart w:id="6591" w:name="_Toc105674786"/>
      <w:bookmarkStart w:id="6592" w:name="_Toc130502846"/>
      <w:bookmarkStart w:id="6593" w:name="_Toc153625633"/>
      <w:r w:rsidRPr="000A0A5F">
        <w:t>5.9</w:t>
      </w:r>
      <w:r w:rsidRPr="000A0A5F">
        <w:tab/>
        <w:t>ReportingNetworkStatus API</w:t>
      </w:r>
      <w:bookmarkEnd w:id="6582"/>
      <w:bookmarkEnd w:id="6583"/>
      <w:bookmarkEnd w:id="6584"/>
      <w:bookmarkEnd w:id="6585"/>
      <w:bookmarkEnd w:id="6586"/>
      <w:bookmarkEnd w:id="6587"/>
      <w:bookmarkEnd w:id="6588"/>
      <w:bookmarkEnd w:id="6589"/>
      <w:bookmarkEnd w:id="6590"/>
      <w:bookmarkEnd w:id="6591"/>
      <w:bookmarkEnd w:id="6592"/>
      <w:bookmarkEnd w:id="6593"/>
    </w:p>
    <w:p w:rsidR="00CB0DD7" w:rsidRPr="000A0A5F" w:rsidRDefault="00CB0DD7">
      <w:pPr>
        <w:pStyle w:val="Heading3"/>
      </w:pPr>
      <w:bookmarkStart w:id="6594" w:name="_Toc11247675"/>
      <w:bookmarkStart w:id="6595" w:name="_Toc27044814"/>
      <w:bookmarkStart w:id="6596" w:name="_Toc36033856"/>
      <w:bookmarkStart w:id="6597" w:name="_Toc45132002"/>
      <w:bookmarkStart w:id="6598" w:name="_Toc49776287"/>
      <w:bookmarkStart w:id="6599" w:name="_Toc51747207"/>
      <w:bookmarkStart w:id="6600" w:name="_Toc66360777"/>
      <w:bookmarkStart w:id="6601" w:name="_Toc68105282"/>
      <w:bookmarkStart w:id="6602" w:name="_Toc74755912"/>
      <w:bookmarkStart w:id="6603" w:name="_Toc105674787"/>
      <w:bookmarkStart w:id="6604" w:name="_Toc130502847"/>
      <w:bookmarkStart w:id="6605" w:name="_Toc153625634"/>
      <w:r w:rsidRPr="000A0A5F">
        <w:t>5.9.1</w:t>
      </w:r>
      <w:r w:rsidRPr="000A0A5F">
        <w:tab/>
        <w:t>Overview</w:t>
      </w:r>
      <w:bookmarkEnd w:id="6594"/>
      <w:bookmarkEnd w:id="6595"/>
      <w:bookmarkEnd w:id="6596"/>
      <w:bookmarkEnd w:id="6597"/>
      <w:bookmarkEnd w:id="6598"/>
      <w:bookmarkEnd w:id="6599"/>
      <w:bookmarkEnd w:id="6600"/>
      <w:bookmarkEnd w:id="6601"/>
      <w:bookmarkEnd w:id="6602"/>
      <w:bookmarkEnd w:id="6603"/>
      <w:bookmarkEnd w:id="6604"/>
      <w:bookmarkEnd w:id="6605"/>
    </w:p>
    <w:p w:rsidR="00CB0DD7" w:rsidRPr="000A0A5F" w:rsidRDefault="00CB0DD7">
      <w:r w:rsidRPr="000A0A5F">
        <w:rPr>
          <w:rFonts w:hint="eastAsia"/>
          <w:noProof/>
          <w:lang w:eastAsia="zh-CN"/>
        </w:rPr>
        <w:t>The</w:t>
      </w:r>
      <w:r w:rsidRPr="000A0A5F">
        <w:rPr>
          <w:noProof/>
          <w:lang w:eastAsia="zh-CN"/>
        </w:rPr>
        <w:t xml:space="preserve"> </w:t>
      </w:r>
      <w:r w:rsidRPr="000A0A5F">
        <w:t>ReportingNetworkStatus</w:t>
      </w:r>
      <w:r w:rsidRPr="000A0A5F">
        <w:rPr>
          <w:noProof/>
          <w:lang w:eastAsia="zh-CN"/>
        </w:rPr>
        <w:t xml:space="preserve"> API is a RESTful API that allows the SCS/AS to be one-time or continuous notified of the network status in a geographic area.</w:t>
      </w:r>
      <w:r w:rsidRPr="000A0A5F">
        <w:rPr>
          <w:noProof/>
          <w:lang w:val="en-US" w:eastAsia="zh-CN"/>
        </w:rPr>
        <w:t xml:space="preserve"> </w:t>
      </w:r>
      <w:r w:rsidRPr="000A0A5F">
        <w:t>The ReportingNetworkStatus API defines a set of data models, resources and the related procedures for the creation and management of the network status reporting request. The corresponding JSON schema for the representation of the resources and operations defined by the ReportingNetworkStatus API is provided in its complete form in Annex A.9.</w:t>
      </w:r>
    </w:p>
    <w:p w:rsidR="00CB0DD7" w:rsidRPr="000A0A5F" w:rsidRDefault="00CB0DD7">
      <w:pPr>
        <w:pStyle w:val="Heading3"/>
      </w:pPr>
      <w:bookmarkStart w:id="6606" w:name="_Toc11247676"/>
      <w:bookmarkStart w:id="6607" w:name="_Toc27044815"/>
      <w:bookmarkStart w:id="6608" w:name="_Toc36033857"/>
      <w:bookmarkStart w:id="6609" w:name="_Toc45132003"/>
      <w:bookmarkStart w:id="6610" w:name="_Toc49776288"/>
      <w:bookmarkStart w:id="6611" w:name="_Toc51747208"/>
      <w:bookmarkStart w:id="6612" w:name="_Toc66360778"/>
      <w:bookmarkStart w:id="6613" w:name="_Toc68105283"/>
      <w:bookmarkStart w:id="6614" w:name="_Toc74755913"/>
      <w:bookmarkStart w:id="6615" w:name="_Toc105674788"/>
      <w:bookmarkStart w:id="6616" w:name="_Toc130502848"/>
      <w:bookmarkStart w:id="6617" w:name="_Toc153625635"/>
      <w:r w:rsidRPr="000A0A5F">
        <w:t>5.9.2</w:t>
      </w:r>
      <w:r w:rsidRPr="000A0A5F">
        <w:tab/>
        <w:t>Data model</w:t>
      </w:r>
      <w:bookmarkEnd w:id="6606"/>
      <w:bookmarkEnd w:id="6607"/>
      <w:bookmarkEnd w:id="6608"/>
      <w:bookmarkEnd w:id="6609"/>
      <w:bookmarkEnd w:id="6610"/>
      <w:bookmarkEnd w:id="6611"/>
      <w:bookmarkEnd w:id="6612"/>
      <w:bookmarkEnd w:id="6613"/>
      <w:bookmarkEnd w:id="6614"/>
      <w:bookmarkEnd w:id="6615"/>
      <w:bookmarkEnd w:id="6616"/>
      <w:bookmarkEnd w:id="6617"/>
    </w:p>
    <w:p w:rsidR="00CB0DD7" w:rsidRPr="000A0A5F" w:rsidRDefault="00CB0DD7">
      <w:pPr>
        <w:pStyle w:val="Heading4"/>
      </w:pPr>
      <w:bookmarkStart w:id="6618" w:name="_Toc11247677"/>
      <w:bookmarkStart w:id="6619" w:name="_Toc27044816"/>
      <w:bookmarkStart w:id="6620" w:name="_Toc36033858"/>
      <w:bookmarkStart w:id="6621" w:name="_Toc45132004"/>
      <w:bookmarkStart w:id="6622" w:name="_Toc49776289"/>
      <w:bookmarkStart w:id="6623" w:name="_Toc51747209"/>
      <w:bookmarkStart w:id="6624" w:name="_Toc66360779"/>
      <w:bookmarkStart w:id="6625" w:name="_Toc68105284"/>
      <w:bookmarkStart w:id="6626" w:name="_Toc74755914"/>
      <w:bookmarkStart w:id="6627" w:name="_Toc105674789"/>
      <w:bookmarkStart w:id="6628" w:name="_Toc130502849"/>
      <w:bookmarkStart w:id="6629" w:name="_Toc153625636"/>
      <w:r w:rsidRPr="000A0A5F">
        <w:t>5.9.2.1</w:t>
      </w:r>
      <w:r w:rsidRPr="000A0A5F">
        <w:tab/>
        <w:t>Resource data types</w:t>
      </w:r>
      <w:bookmarkEnd w:id="6618"/>
      <w:bookmarkEnd w:id="6619"/>
      <w:bookmarkEnd w:id="6620"/>
      <w:bookmarkEnd w:id="6621"/>
      <w:bookmarkEnd w:id="6622"/>
      <w:bookmarkEnd w:id="6623"/>
      <w:bookmarkEnd w:id="6624"/>
      <w:bookmarkEnd w:id="6625"/>
      <w:bookmarkEnd w:id="6626"/>
      <w:bookmarkEnd w:id="6627"/>
      <w:bookmarkEnd w:id="6628"/>
      <w:bookmarkEnd w:id="6629"/>
    </w:p>
    <w:p w:rsidR="00CB0DD7" w:rsidRPr="000A0A5F" w:rsidRDefault="00CB0DD7">
      <w:pPr>
        <w:pStyle w:val="Heading5"/>
      </w:pPr>
      <w:bookmarkStart w:id="6630" w:name="_Toc11247678"/>
      <w:bookmarkStart w:id="6631" w:name="_Toc27044817"/>
      <w:bookmarkStart w:id="6632" w:name="_Toc36033859"/>
      <w:bookmarkStart w:id="6633" w:name="_Toc45132005"/>
      <w:bookmarkStart w:id="6634" w:name="_Toc49776290"/>
      <w:bookmarkStart w:id="6635" w:name="_Toc51747210"/>
      <w:bookmarkStart w:id="6636" w:name="_Toc66360780"/>
      <w:bookmarkStart w:id="6637" w:name="_Toc68105285"/>
      <w:bookmarkStart w:id="6638" w:name="_Toc74755915"/>
      <w:bookmarkStart w:id="6639" w:name="_Toc105674790"/>
      <w:bookmarkStart w:id="6640" w:name="_Toc130502850"/>
      <w:bookmarkStart w:id="6641" w:name="_Toc153625637"/>
      <w:r w:rsidRPr="000A0A5F">
        <w:t>5.9.2.1.1</w:t>
      </w:r>
      <w:r w:rsidRPr="000A0A5F">
        <w:tab/>
        <w:t>Introduction</w:t>
      </w:r>
      <w:bookmarkEnd w:id="6630"/>
      <w:bookmarkEnd w:id="6631"/>
      <w:bookmarkEnd w:id="6632"/>
      <w:bookmarkEnd w:id="6633"/>
      <w:bookmarkEnd w:id="6634"/>
      <w:bookmarkEnd w:id="6635"/>
      <w:bookmarkEnd w:id="6636"/>
      <w:bookmarkEnd w:id="6637"/>
      <w:bookmarkEnd w:id="6638"/>
      <w:bookmarkEnd w:id="6639"/>
      <w:bookmarkEnd w:id="6640"/>
      <w:bookmarkEnd w:id="6641"/>
    </w:p>
    <w:p w:rsidR="00CB0DD7" w:rsidRPr="000A0A5F" w:rsidRDefault="00CB0DD7">
      <w:r w:rsidRPr="000A0A5F">
        <w:t>This clause defines data structures to be used in resource representations.</w:t>
      </w:r>
    </w:p>
    <w:p w:rsidR="00CB0DD7" w:rsidRPr="000A0A5F" w:rsidRDefault="00CB0DD7">
      <w:r w:rsidRPr="000A0A5F">
        <w:t>Table 5.</w:t>
      </w:r>
      <w:r w:rsidRPr="000A0A5F">
        <w:rPr>
          <w:rFonts w:eastAsia="Batang" w:hint="eastAsia"/>
        </w:rPr>
        <w:t>9</w:t>
      </w:r>
      <w:r w:rsidRPr="000A0A5F">
        <w:t xml:space="preserve">.2.1.1-1 specifies data types re-used by the ReportingNetworkStatus API from other specifications, including a reference to their respective specifications and when needed, a short description of their use within the ReportingNetworkStatus API. </w:t>
      </w:r>
    </w:p>
    <w:p w:rsidR="00CB0DD7" w:rsidRPr="000A0A5F" w:rsidRDefault="00CB0DD7">
      <w:pPr>
        <w:pStyle w:val="TH"/>
      </w:pPr>
      <w:r w:rsidRPr="000A0A5F">
        <w:t>Table 5.</w:t>
      </w:r>
      <w:r w:rsidRPr="000A0A5F">
        <w:rPr>
          <w:rFonts w:eastAsia="Batang" w:hint="eastAsia"/>
        </w:rPr>
        <w:t>9</w:t>
      </w:r>
      <w:r w:rsidRPr="000A0A5F">
        <w:t>.2.1.1-1: ReportingNetworkStatus API re-used Data Types</w:t>
      </w:r>
    </w:p>
    <w:tbl>
      <w:tblPr>
        <w:tblW w:w="954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391"/>
        <w:gridCol w:w="1848"/>
        <w:gridCol w:w="5310"/>
      </w:tblGrid>
      <w:tr w:rsidR="00CB0DD7" w:rsidRPr="000A0A5F" w:rsidTr="00FF0AF8">
        <w:trPr>
          <w:jc w:val="center"/>
        </w:trPr>
        <w:tc>
          <w:tcPr>
            <w:tcW w:w="2391" w:type="dxa"/>
            <w:shd w:val="clear" w:color="auto" w:fill="C0C0C0"/>
            <w:hideMark/>
          </w:tcPr>
          <w:p w:rsidR="00CB0DD7" w:rsidRPr="000A0A5F" w:rsidRDefault="00CB0DD7">
            <w:pPr>
              <w:pStyle w:val="TAH"/>
            </w:pPr>
            <w:r w:rsidRPr="000A0A5F">
              <w:t>Data type</w:t>
            </w:r>
          </w:p>
        </w:tc>
        <w:tc>
          <w:tcPr>
            <w:tcW w:w="1848" w:type="dxa"/>
            <w:shd w:val="clear" w:color="auto" w:fill="C0C0C0"/>
          </w:tcPr>
          <w:p w:rsidR="00CB0DD7" w:rsidRPr="000A0A5F" w:rsidRDefault="00CB0DD7">
            <w:pPr>
              <w:pStyle w:val="TAH"/>
            </w:pPr>
            <w:r w:rsidRPr="000A0A5F">
              <w:t>Reference</w:t>
            </w:r>
          </w:p>
        </w:tc>
        <w:tc>
          <w:tcPr>
            <w:tcW w:w="5310" w:type="dxa"/>
            <w:shd w:val="clear" w:color="auto" w:fill="C0C0C0"/>
            <w:hideMark/>
          </w:tcPr>
          <w:p w:rsidR="00CB0DD7" w:rsidRPr="000A0A5F" w:rsidRDefault="00CB0DD7">
            <w:pPr>
              <w:pStyle w:val="TAH"/>
            </w:pPr>
            <w:r w:rsidRPr="000A0A5F">
              <w:t>Comments</w:t>
            </w:r>
          </w:p>
        </w:tc>
      </w:tr>
      <w:tr w:rsidR="00CB0DD7" w:rsidRPr="000A0A5F" w:rsidTr="00FF0AF8">
        <w:trPr>
          <w:jc w:val="center"/>
        </w:trPr>
        <w:tc>
          <w:tcPr>
            <w:tcW w:w="2391" w:type="dxa"/>
          </w:tcPr>
          <w:p w:rsidR="00CB0DD7" w:rsidRPr="000A0A5F" w:rsidRDefault="00CB0DD7">
            <w:pPr>
              <w:pStyle w:val="TAL"/>
              <w:rPr>
                <w:rFonts w:hint="eastAsia"/>
                <w:lang w:eastAsia="zh-CN"/>
              </w:rPr>
            </w:pPr>
            <w:r w:rsidRPr="000A0A5F">
              <w:rPr>
                <w:rFonts w:hint="eastAsia"/>
                <w:lang w:eastAsia="zh-CN"/>
              </w:rPr>
              <w:t>GeographicArea</w:t>
            </w:r>
          </w:p>
        </w:tc>
        <w:tc>
          <w:tcPr>
            <w:tcW w:w="1848" w:type="dxa"/>
          </w:tcPr>
          <w:p w:rsidR="00CB0DD7" w:rsidRPr="000A0A5F" w:rsidRDefault="00CB0DD7">
            <w:pPr>
              <w:pStyle w:val="TAL"/>
              <w:rPr>
                <w:rFonts w:hint="eastAsia"/>
                <w:lang w:val="en-US" w:eastAsia="zh-CN"/>
              </w:rPr>
            </w:pPr>
            <w:r w:rsidRPr="000A0A5F">
              <w:rPr>
                <w:rFonts w:hint="eastAsia"/>
                <w:lang w:eastAsia="zh-CN"/>
              </w:rPr>
              <w:t>3GPP TS 29.572 [</w:t>
            </w:r>
            <w:r w:rsidRPr="000A0A5F">
              <w:rPr>
                <w:lang w:eastAsia="zh-CN"/>
              </w:rPr>
              <w:t>42]</w:t>
            </w:r>
          </w:p>
        </w:tc>
        <w:tc>
          <w:tcPr>
            <w:tcW w:w="5310" w:type="dxa"/>
          </w:tcPr>
          <w:p w:rsidR="00CB0DD7" w:rsidRPr="000A0A5F" w:rsidRDefault="00CB0DD7">
            <w:pPr>
              <w:pStyle w:val="TAL"/>
              <w:rPr>
                <w:rFonts w:cs="Arial"/>
                <w:szCs w:val="18"/>
              </w:rPr>
            </w:pPr>
            <w:r w:rsidRPr="000A0A5F">
              <w:rPr>
                <w:lang w:eastAsia="zh-CN"/>
              </w:rPr>
              <w:t>Identifies the geographical information of the user(s).</w:t>
            </w:r>
          </w:p>
        </w:tc>
      </w:tr>
      <w:tr w:rsidR="00CB0DD7" w:rsidRPr="000A0A5F" w:rsidTr="00FF0AF8">
        <w:trPr>
          <w:jc w:val="center"/>
        </w:trPr>
        <w:tc>
          <w:tcPr>
            <w:tcW w:w="2391" w:type="dxa"/>
          </w:tcPr>
          <w:p w:rsidR="00CB0DD7" w:rsidRPr="000A0A5F" w:rsidRDefault="00CB0DD7">
            <w:pPr>
              <w:pStyle w:val="TAL"/>
              <w:rPr>
                <w:rFonts w:hint="eastAsia"/>
                <w:lang w:eastAsia="zh-CN"/>
              </w:rPr>
            </w:pPr>
            <w:r w:rsidRPr="000A0A5F">
              <w:t>CivicAddress</w:t>
            </w:r>
          </w:p>
        </w:tc>
        <w:tc>
          <w:tcPr>
            <w:tcW w:w="1848" w:type="dxa"/>
          </w:tcPr>
          <w:p w:rsidR="00CB0DD7" w:rsidRPr="000A0A5F" w:rsidRDefault="00CB0DD7">
            <w:pPr>
              <w:pStyle w:val="TAL"/>
              <w:rPr>
                <w:rFonts w:hint="eastAsia"/>
                <w:lang w:eastAsia="zh-CN"/>
              </w:rPr>
            </w:pPr>
            <w:r w:rsidRPr="000A0A5F">
              <w:rPr>
                <w:rFonts w:hint="eastAsia"/>
                <w:lang w:eastAsia="zh-CN"/>
              </w:rPr>
              <w:t>3GPP TS 29.572 [</w:t>
            </w:r>
            <w:r w:rsidRPr="000A0A5F">
              <w:rPr>
                <w:lang w:eastAsia="zh-CN"/>
              </w:rPr>
              <w:t>42]</w:t>
            </w:r>
          </w:p>
        </w:tc>
        <w:tc>
          <w:tcPr>
            <w:tcW w:w="5310" w:type="dxa"/>
          </w:tcPr>
          <w:p w:rsidR="00CB0DD7" w:rsidRPr="000A0A5F" w:rsidRDefault="00CB0DD7">
            <w:pPr>
              <w:pStyle w:val="TAL"/>
              <w:rPr>
                <w:lang w:eastAsia="zh-CN"/>
              </w:rPr>
            </w:pPr>
            <w:r w:rsidRPr="000A0A5F">
              <w:rPr>
                <w:lang w:eastAsia="zh-CN"/>
              </w:rPr>
              <w:t>Identifies the civic address information of the user(s).</w:t>
            </w:r>
          </w:p>
        </w:tc>
      </w:tr>
      <w:tr w:rsidR="00CB0DD7" w:rsidRPr="000A0A5F" w:rsidTr="00FF0AF8">
        <w:trPr>
          <w:jc w:val="center"/>
        </w:trPr>
        <w:tc>
          <w:tcPr>
            <w:tcW w:w="2391" w:type="dxa"/>
          </w:tcPr>
          <w:p w:rsidR="00CB0DD7" w:rsidRPr="000A0A5F" w:rsidRDefault="00CB0DD7">
            <w:pPr>
              <w:pStyle w:val="TAL"/>
            </w:pPr>
            <w:r w:rsidRPr="000A0A5F">
              <w:t>SupportedFeatures</w:t>
            </w:r>
          </w:p>
        </w:tc>
        <w:tc>
          <w:tcPr>
            <w:tcW w:w="1848" w:type="dxa"/>
          </w:tcPr>
          <w:p w:rsidR="00CB0DD7" w:rsidRPr="000A0A5F" w:rsidRDefault="00CB0DD7">
            <w:pPr>
              <w:pStyle w:val="TAL"/>
              <w:rPr>
                <w:rFonts w:hint="eastAsia"/>
                <w:lang w:eastAsia="zh-CN"/>
              </w:rPr>
            </w:pPr>
            <w:r w:rsidRPr="000A0A5F">
              <w:rPr>
                <w:lang w:eastAsia="zh-CN"/>
              </w:rPr>
              <w:t>3GPP TS 29.571 [45]</w:t>
            </w:r>
          </w:p>
        </w:tc>
        <w:tc>
          <w:tcPr>
            <w:tcW w:w="5310" w:type="dxa"/>
          </w:tcPr>
          <w:p w:rsidR="00CB0DD7" w:rsidRPr="000A0A5F" w:rsidRDefault="00CB0DD7">
            <w:pPr>
              <w:pStyle w:val="TAL"/>
              <w:rPr>
                <w:lang w:eastAsia="zh-CN"/>
              </w:rPr>
            </w:pPr>
            <w:r w:rsidRPr="000A0A5F">
              <w:rPr>
                <w:lang w:eastAsia="zh-CN"/>
              </w:rPr>
              <w:t>Used to negotiate the applicability of the optional features defined in table 5.9.4-1.</w:t>
            </w:r>
          </w:p>
        </w:tc>
      </w:tr>
    </w:tbl>
    <w:p w:rsidR="00CB0DD7" w:rsidRPr="000A0A5F" w:rsidRDefault="00CB0DD7"/>
    <w:p w:rsidR="007A41B3" w:rsidRPr="000A0A5F" w:rsidRDefault="007A41B3" w:rsidP="007A41B3">
      <w:bookmarkStart w:id="6642" w:name="_Toc11247679"/>
      <w:bookmarkStart w:id="6643" w:name="_Toc27044818"/>
      <w:bookmarkStart w:id="6644" w:name="_Toc36033860"/>
      <w:bookmarkStart w:id="6645" w:name="_Toc45132006"/>
      <w:bookmarkStart w:id="6646" w:name="_Toc49776291"/>
      <w:bookmarkStart w:id="6647" w:name="_Toc51747211"/>
      <w:bookmarkStart w:id="6648" w:name="_Toc66360781"/>
      <w:bookmarkStart w:id="6649" w:name="_Toc68105286"/>
      <w:bookmarkStart w:id="6650" w:name="_Toc74755916"/>
      <w:r w:rsidRPr="000A0A5F">
        <w:t>Table 5.9.2.1.1-2 specifies the data types defined for the ReportingNetworkStatus API.</w:t>
      </w:r>
    </w:p>
    <w:p w:rsidR="007A41B3" w:rsidRPr="000A0A5F" w:rsidRDefault="007A41B3" w:rsidP="007A41B3">
      <w:pPr>
        <w:pStyle w:val="TH"/>
      </w:pPr>
      <w:r w:rsidRPr="000A0A5F">
        <w:t>Table 5.9.2.1.1-2: ReportingNetworkStatus API specific Data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3077"/>
        <w:gridCol w:w="1019"/>
        <w:gridCol w:w="3825"/>
        <w:gridCol w:w="1207"/>
      </w:tblGrid>
      <w:tr w:rsidR="007A41B3" w:rsidRPr="000A0A5F" w:rsidTr="00FF0AF8">
        <w:trPr>
          <w:jc w:val="center"/>
        </w:trPr>
        <w:tc>
          <w:tcPr>
            <w:tcW w:w="0" w:type="auto"/>
            <w:shd w:val="clear" w:color="auto" w:fill="C0C0C0"/>
            <w:vAlign w:val="center"/>
            <w:hideMark/>
          </w:tcPr>
          <w:p w:rsidR="007A41B3" w:rsidRPr="000A0A5F" w:rsidRDefault="007A41B3" w:rsidP="00AC0E52">
            <w:pPr>
              <w:pStyle w:val="TAH"/>
            </w:pPr>
            <w:r w:rsidRPr="000A0A5F">
              <w:t>Data type</w:t>
            </w:r>
          </w:p>
        </w:tc>
        <w:tc>
          <w:tcPr>
            <w:tcW w:w="1019" w:type="dxa"/>
            <w:shd w:val="clear" w:color="auto" w:fill="C0C0C0"/>
            <w:vAlign w:val="center"/>
          </w:tcPr>
          <w:p w:rsidR="007A41B3" w:rsidRPr="000A0A5F" w:rsidRDefault="007A41B3" w:rsidP="00AC0E52">
            <w:pPr>
              <w:pStyle w:val="TAH"/>
            </w:pPr>
            <w:r w:rsidRPr="000A0A5F">
              <w:t>Clause defined</w:t>
            </w:r>
          </w:p>
        </w:tc>
        <w:tc>
          <w:tcPr>
            <w:tcW w:w="3825" w:type="dxa"/>
            <w:shd w:val="clear" w:color="auto" w:fill="C0C0C0"/>
            <w:vAlign w:val="center"/>
            <w:hideMark/>
          </w:tcPr>
          <w:p w:rsidR="007A41B3" w:rsidRPr="000A0A5F" w:rsidRDefault="007A41B3" w:rsidP="00AC0E52">
            <w:pPr>
              <w:pStyle w:val="TAH"/>
            </w:pPr>
            <w:r w:rsidRPr="000A0A5F">
              <w:t>Description</w:t>
            </w:r>
          </w:p>
        </w:tc>
        <w:tc>
          <w:tcPr>
            <w:tcW w:w="0" w:type="auto"/>
            <w:shd w:val="clear" w:color="auto" w:fill="C0C0C0"/>
            <w:vAlign w:val="center"/>
          </w:tcPr>
          <w:p w:rsidR="007A41B3" w:rsidRPr="000A0A5F" w:rsidRDefault="007A41B3" w:rsidP="00AC0E52">
            <w:pPr>
              <w:pStyle w:val="TAH"/>
            </w:pPr>
            <w:r w:rsidRPr="000A0A5F">
              <w:t>Applicability</w:t>
            </w:r>
          </w:p>
        </w:tc>
      </w:tr>
      <w:tr w:rsidR="007A41B3" w:rsidRPr="000A0A5F" w:rsidTr="00FF0AF8">
        <w:trPr>
          <w:jc w:val="center"/>
        </w:trPr>
        <w:tc>
          <w:tcPr>
            <w:tcW w:w="0" w:type="auto"/>
            <w:vAlign w:val="center"/>
          </w:tcPr>
          <w:p w:rsidR="007A41B3" w:rsidRPr="000A0A5F" w:rsidRDefault="007A41B3" w:rsidP="00AC0E52">
            <w:pPr>
              <w:pStyle w:val="TAL"/>
            </w:pPr>
            <w:r w:rsidRPr="000A0A5F">
              <w:t>CongestionType</w:t>
            </w:r>
          </w:p>
        </w:tc>
        <w:tc>
          <w:tcPr>
            <w:tcW w:w="1019" w:type="dxa"/>
            <w:vAlign w:val="center"/>
          </w:tcPr>
          <w:p w:rsidR="007A41B3" w:rsidRPr="000A0A5F" w:rsidRDefault="007A41B3" w:rsidP="00AC0E52">
            <w:pPr>
              <w:pStyle w:val="TAC"/>
            </w:pPr>
            <w:r w:rsidRPr="000A0A5F">
              <w:t>5.9.2.3.3</w:t>
            </w:r>
          </w:p>
        </w:tc>
        <w:tc>
          <w:tcPr>
            <w:tcW w:w="3825" w:type="dxa"/>
            <w:vAlign w:val="center"/>
          </w:tcPr>
          <w:p w:rsidR="007A41B3" w:rsidRPr="000A0A5F" w:rsidRDefault="007A41B3" w:rsidP="00AC0E52">
            <w:pPr>
              <w:pStyle w:val="TAL"/>
              <w:rPr>
                <w:rFonts w:cs="Arial"/>
                <w:szCs w:val="18"/>
                <w:lang w:eastAsia="zh-CN"/>
              </w:rPr>
            </w:pPr>
            <w:r w:rsidRPr="000A0A5F">
              <w:rPr>
                <w:rFonts w:eastAsia="Batang"/>
              </w:rPr>
              <w:t xml:space="preserve">Represents </w:t>
            </w:r>
            <w:r w:rsidRPr="000A0A5F">
              <w:t>abstracted values for congestion status</w:t>
            </w:r>
            <w:r w:rsidRPr="000A0A5F">
              <w:rPr>
                <w:rFonts w:eastAsia="Batang"/>
              </w:rPr>
              <w:t>.</w:t>
            </w:r>
          </w:p>
        </w:tc>
        <w:tc>
          <w:tcPr>
            <w:tcW w:w="0" w:type="auto"/>
            <w:vAlign w:val="center"/>
          </w:tcPr>
          <w:p w:rsidR="007A41B3" w:rsidRPr="000A0A5F" w:rsidRDefault="007A41B3" w:rsidP="00AC0E52">
            <w:pPr>
              <w:pStyle w:val="TAL"/>
              <w:rPr>
                <w:rFonts w:cs="Arial"/>
                <w:szCs w:val="18"/>
              </w:rPr>
            </w:pPr>
          </w:p>
        </w:tc>
      </w:tr>
      <w:tr w:rsidR="007A41B3" w:rsidRPr="000A0A5F" w:rsidTr="00FF0AF8">
        <w:trPr>
          <w:jc w:val="center"/>
        </w:trPr>
        <w:tc>
          <w:tcPr>
            <w:tcW w:w="0" w:type="auto"/>
            <w:vAlign w:val="center"/>
          </w:tcPr>
          <w:p w:rsidR="007A41B3" w:rsidRPr="000A0A5F" w:rsidRDefault="007A41B3" w:rsidP="00AC0E52">
            <w:pPr>
              <w:pStyle w:val="TAL"/>
            </w:pPr>
            <w:r w:rsidRPr="000A0A5F">
              <w:rPr>
                <w:rFonts w:hint="eastAsia"/>
                <w:lang w:eastAsia="ja-JP"/>
              </w:rPr>
              <w:t>CongestionValue</w:t>
            </w:r>
          </w:p>
        </w:tc>
        <w:tc>
          <w:tcPr>
            <w:tcW w:w="1019" w:type="dxa"/>
            <w:vAlign w:val="center"/>
          </w:tcPr>
          <w:p w:rsidR="007A41B3" w:rsidRPr="000A0A5F" w:rsidRDefault="007A41B3" w:rsidP="00AC0E52">
            <w:pPr>
              <w:pStyle w:val="TAC"/>
            </w:pPr>
            <w:r w:rsidRPr="000A0A5F">
              <w:t>5.9.2.3.2</w:t>
            </w:r>
          </w:p>
        </w:tc>
        <w:tc>
          <w:tcPr>
            <w:tcW w:w="3825" w:type="dxa"/>
            <w:vAlign w:val="center"/>
          </w:tcPr>
          <w:p w:rsidR="007A41B3" w:rsidRPr="000A0A5F" w:rsidRDefault="007A41B3" w:rsidP="00AC0E52">
            <w:pPr>
              <w:pStyle w:val="TAL"/>
              <w:rPr>
                <w:rFonts w:cs="Arial"/>
                <w:szCs w:val="18"/>
              </w:rPr>
            </w:pPr>
            <w:r w:rsidRPr="000A0A5F">
              <w:rPr>
                <w:rFonts w:eastAsia="Batang"/>
              </w:rPr>
              <w:t xml:space="preserve">Represents </w:t>
            </w:r>
            <w:r w:rsidRPr="000A0A5F">
              <w:t>the congestion level value</w:t>
            </w:r>
          </w:p>
        </w:tc>
        <w:tc>
          <w:tcPr>
            <w:tcW w:w="0" w:type="auto"/>
            <w:vAlign w:val="center"/>
          </w:tcPr>
          <w:p w:rsidR="007A41B3" w:rsidRPr="000A0A5F" w:rsidRDefault="007A41B3" w:rsidP="00AC0E52">
            <w:pPr>
              <w:pStyle w:val="TAL"/>
              <w:rPr>
                <w:rFonts w:cs="Arial"/>
                <w:szCs w:val="18"/>
              </w:rPr>
            </w:pPr>
          </w:p>
        </w:tc>
      </w:tr>
      <w:tr w:rsidR="00517DF6" w:rsidRPr="000A0A5F" w:rsidTr="00FF0AF8">
        <w:trPr>
          <w:jc w:val="center"/>
        </w:trPr>
        <w:tc>
          <w:tcPr>
            <w:tcW w:w="0" w:type="auto"/>
            <w:vAlign w:val="center"/>
          </w:tcPr>
          <w:p w:rsidR="00517DF6" w:rsidRPr="000A0A5F" w:rsidRDefault="00517DF6" w:rsidP="00517DF6">
            <w:pPr>
              <w:pStyle w:val="TAL"/>
              <w:rPr>
                <w:rFonts w:hint="eastAsia"/>
                <w:lang w:eastAsia="ja-JP"/>
              </w:rPr>
            </w:pPr>
            <w:r w:rsidRPr="000A0A5F">
              <w:rPr>
                <w:lang w:eastAsia="ja-JP"/>
              </w:rPr>
              <w:t>NetStatusRepSubsPatch</w:t>
            </w:r>
          </w:p>
        </w:tc>
        <w:tc>
          <w:tcPr>
            <w:tcW w:w="1019" w:type="dxa"/>
            <w:vAlign w:val="center"/>
          </w:tcPr>
          <w:p w:rsidR="00517DF6" w:rsidRPr="000A0A5F" w:rsidRDefault="00517DF6" w:rsidP="00517DF6">
            <w:pPr>
              <w:pStyle w:val="TAC"/>
            </w:pPr>
            <w:r w:rsidRPr="000A0A5F">
              <w:t>5.9.2.1.</w:t>
            </w:r>
            <w:r w:rsidR="002550F4" w:rsidRPr="000A0A5F">
              <w:t>3</w:t>
            </w:r>
          </w:p>
        </w:tc>
        <w:tc>
          <w:tcPr>
            <w:tcW w:w="3825" w:type="dxa"/>
            <w:vAlign w:val="center"/>
          </w:tcPr>
          <w:p w:rsidR="00517DF6" w:rsidRPr="000A0A5F" w:rsidRDefault="00517DF6" w:rsidP="00517DF6">
            <w:pPr>
              <w:pStyle w:val="TAL"/>
              <w:rPr>
                <w:rFonts w:eastAsia="Batang"/>
              </w:rPr>
            </w:pPr>
            <w:r w:rsidRPr="000A0A5F">
              <w:t>Represents the parameters to request the modification of network status reporting subscription.</w:t>
            </w:r>
          </w:p>
        </w:tc>
        <w:tc>
          <w:tcPr>
            <w:tcW w:w="0" w:type="auto"/>
            <w:vAlign w:val="center"/>
          </w:tcPr>
          <w:p w:rsidR="00517DF6" w:rsidRPr="000A0A5F" w:rsidRDefault="00517DF6" w:rsidP="00517DF6">
            <w:pPr>
              <w:pStyle w:val="TAL"/>
              <w:rPr>
                <w:rFonts w:cs="Arial"/>
                <w:szCs w:val="18"/>
              </w:rPr>
            </w:pPr>
            <w:r w:rsidRPr="000A0A5F">
              <w:rPr>
                <w:rFonts w:cs="Arial"/>
                <w:szCs w:val="18"/>
              </w:rPr>
              <w:t>PatchUpdate</w:t>
            </w:r>
          </w:p>
        </w:tc>
      </w:tr>
      <w:tr w:rsidR="007A41B3" w:rsidRPr="000A0A5F" w:rsidTr="00FF0AF8">
        <w:trPr>
          <w:jc w:val="center"/>
        </w:trPr>
        <w:tc>
          <w:tcPr>
            <w:tcW w:w="0" w:type="auto"/>
            <w:vAlign w:val="center"/>
          </w:tcPr>
          <w:p w:rsidR="007A41B3" w:rsidRPr="000A0A5F" w:rsidRDefault="007A41B3" w:rsidP="00AC0E52">
            <w:pPr>
              <w:pStyle w:val="TAL"/>
            </w:pPr>
            <w:r w:rsidRPr="000A0A5F">
              <w:t>NetworkStatusReportingNotification</w:t>
            </w:r>
          </w:p>
        </w:tc>
        <w:tc>
          <w:tcPr>
            <w:tcW w:w="1019" w:type="dxa"/>
            <w:vAlign w:val="center"/>
          </w:tcPr>
          <w:p w:rsidR="007A41B3" w:rsidRPr="000A0A5F" w:rsidRDefault="007A41B3" w:rsidP="00AC0E52">
            <w:pPr>
              <w:pStyle w:val="TAC"/>
            </w:pPr>
            <w:r w:rsidRPr="000A0A5F">
              <w:t>5.9.2.2.2</w:t>
            </w:r>
          </w:p>
        </w:tc>
        <w:tc>
          <w:tcPr>
            <w:tcW w:w="3825" w:type="dxa"/>
            <w:vAlign w:val="center"/>
          </w:tcPr>
          <w:p w:rsidR="007A41B3" w:rsidRPr="000A0A5F" w:rsidRDefault="007A41B3" w:rsidP="00AC0E52">
            <w:pPr>
              <w:pStyle w:val="TAL"/>
              <w:rPr>
                <w:rFonts w:cs="Arial"/>
                <w:szCs w:val="18"/>
              </w:rPr>
            </w:pPr>
            <w:r w:rsidRPr="000A0A5F">
              <w:t>Represents a network status reporting notification.</w:t>
            </w:r>
          </w:p>
        </w:tc>
        <w:tc>
          <w:tcPr>
            <w:tcW w:w="0" w:type="auto"/>
            <w:vAlign w:val="center"/>
          </w:tcPr>
          <w:p w:rsidR="007A41B3" w:rsidRPr="000A0A5F" w:rsidRDefault="007A41B3" w:rsidP="00AC0E52">
            <w:pPr>
              <w:pStyle w:val="TAL"/>
              <w:rPr>
                <w:rFonts w:cs="Arial"/>
                <w:szCs w:val="18"/>
              </w:rPr>
            </w:pPr>
          </w:p>
        </w:tc>
      </w:tr>
      <w:tr w:rsidR="007A41B3" w:rsidRPr="000A0A5F" w:rsidTr="00FF0AF8">
        <w:trPr>
          <w:jc w:val="center"/>
        </w:trPr>
        <w:tc>
          <w:tcPr>
            <w:tcW w:w="0" w:type="auto"/>
            <w:vAlign w:val="center"/>
          </w:tcPr>
          <w:p w:rsidR="007A41B3" w:rsidRPr="000A0A5F" w:rsidRDefault="007A41B3" w:rsidP="00AC0E52">
            <w:pPr>
              <w:pStyle w:val="TAL"/>
            </w:pPr>
            <w:r w:rsidRPr="000A0A5F">
              <w:t>NetworkStatusReportingSubscription</w:t>
            </w:r>
          </w:p>
        </w:tc>
        <w:tc>
          <w:tcPr>
            <w:tcW w:w="1019" w:type="dxa"/>
            <w:vAlign w:val="center"/>
          </w:tcPr>
          <w:p w:rsidR="007A41B3" w:rsidRPr="000A0A5F" w:rsidRDefault="007A41B3" w:rsidP="00AC0E52">
            <w:pPr>
              <w:pStyle w:val="TAC"/>
            </w:pPr>
            <w:r w:rsidRPr="000A0A5F">
              <w:t>5.9.2.1.2</w:t>
            </w:r>
          </w:p>
        </w:tc>
        <w:tc>
          <w:tcPr>
            <w:tcW w:w="3825" w:type="dxa"/>
            <w:vAlign w:val="center"/>
          </w:tcPr>
          <w:p w:rsidR="007A41B3" w:rsidRPr="000A0A5F" w:rsidRDefault="007A41B3" w:rsidP="00AC0E52">
            <w:pPr>
              <w:pStyle w:val="TAL"/>
              <w:rPr>
                <w:rFonts w:cs="Arial"/>
                <w:szCs w:val="18"/>
              </w:rPr>
            </w:pPr>
            <w:r w:rsidRPr="000A0A5F">
              <w:t>Represents a subscription to network status information reporting.</w:t>
            </w:r>
          </w:p>
        </w:tc>
        <w:tc>
          <w:tcPr>
            <w:tcW w:w="0" w:type="auto"/>
            <w:vAlign w:val="center"/>
          </w:tcPr>
          <w:p w:rsidR="007A41B3" w:rsidRPr="000A0A5F" w:rsidRDefault="007A41B3" w:rsidP="00AC0E52">
            <w:pPr>
              <w:pStyle w:val="TAL"/>
              <w:rPr>
                <w:rFonts w:cs="Arial"/>
                <w:szCs w:val="18"/>
              </w:rPr>
            </w:pPr>
          </w:p>
        </w:tc>
      </w:tr>
    </w:tbl>
    <w:p w:rsidR="007A41B3" w:rsidRPr="000A0A5F" w:rsidRDefault="007A41B3" w:rsidP="007A41B3"/>
    <w:p w:rsidR="00CB0DD7" w:rsidRPr="000A0A5F" w:rsidRDefault="00CB0DD7">
      <w:pPr>
        <w:pStyle w:val="Heading5"/>
      </w:pPr>
      <w:bookmarkStart w:id="6651" w:name="_Toc105674791"/>
      <w:bookmarkStart w:id="6652" w:name="_Toc130502851"/>
      <w:bookmarkStart w:id="6653" w:name="_Toc153625638"/>
      <w:r w:rsidRPr="000A0A5F">
        <w:t>5.9.2.1.2</w:t>
      </w:r>
      <w:r w:rsidRPr="000A0A5F">
        <w:tab/>
        <w:t>Type: NetworkStatusReportingSubscription</w:t>
      </w:r>
      <w:bookmarkEnd w:id="6642"/>
      <w:bookmarkEnd w:id="6643"/>
      <w:bookmarkEnd w:id="6644"/>
      <w:bookmarkEnd w:id="6645"/>
      <w:bookmarkEnd w:id="6646"/>
      <w:bookmarkEnd w:id="6647"/>
      <w:bookmarkEnd w:id="6648"/>
      <w:bookmarkEnd w:id="6649"/>
      <w:bookmarkEnd w:id="6650"/>
      <w:bookmarkEnd w:id="6651"/>
      <w:bookmarkEnd w:id="6652"/>
      <w:bookmarkEnd w:id="6653"/>
    </w:p>
    <w:p w:rsidR="00CB0DD7" w:rsidRPr="000A0A5F" w:rsidRDefault="00CB0DD7">
      <w:r w:rsidRPr="000A0A5F">
        <w:t>This type represents the subscription of reporting the network status. The same structure is used in the subscription request and subscription response.</w:t>
      </w:r>
    </w:p>
    <w:p w:rsidR="00CB0DD7" w:rsidRPr="000A0A5F" w:rsidRDefault="00CB0DD7">
      <w:pPr>
        <w:pStyle w:val="TH"/>
      </w:pPr>
      <w:r w:rsidRPr="000A0A5F">
        <w:rPr>
          <w:noProof/>
        </w:rPr>
        <w:t>Table </w:t>
      </w:r>
      <w:r w:rsidRPr="000A0A5F">
        <w:t xml:space="preserve">5.9.2.1.2-1: </w:t>
      </w:r>
      <w:r w:rsidRPr="000A0A5F">
        <w:rPr>
          <w:noProof/>
        </w:rPr>
        <w:t xml:space="preserve">Definition of type </w:t>
      </w:r>
      <w:r w:rsidRPr="000A0A5F">
        <w:t>NetworkStatusReportingSubscription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948"/>
        <w:gridCol w:w="2126"/>
        <w:gridCol w:w="1276"/>
        <w:gridCol w:w="2995"/>
        <w:gridCol w:w="1257"/>
      </w:tblGrid>
      <w:tr w:rsidR="00CB0DD7" w:rsidRPr="000A0A5F" w:rsidTr="00FF0AF8">
        <w:trPr>
          <w:jc w:val="center"/>
        </w:trPr>
        <w:tc>
          <w:tcPr>
            <w:tcW w:w="1948" w:type="dxa"/>
            <w:shd w:val="clear" w:color="auto" w:fill="C0C0C0"/>
          </w:tcPr>
          <w:p w:rsidR="00CB0DD7" w:rsidRPr="000A0A5F" w:rsidRDefault="00CB0DD7">
            <w:pPr>
              <w:pStyle w:val="TAH"/>
              <w:rPr>
                <w:rFonts w:eastAsia="Times New Roman"/>
              </w:rPr>
            </w:pPr>
            <w:r w:rsidRPr="000A0A5F">
              <w:rPr>
                <w:rFonts w:eastAsia="Times New Roman"/>
              </w:rPr>
              <w:t>Attribute name</w:t>
            </w:r>
          </w:p>
        </w:tc>
        <w:tc>
          <w:tcPr>
            <w:tcW w:w="2126" w:type="dxa"/>
            <w:shd w:val="clear" w:color="auto" w:fill="C0C0C0"/>
          </w:tcPr>
          <w:p w:rsidR="00CB0DD7" w:rsidRPr="000A0A5F" w:rsidRDefault="00CB0DD7">
            <w:pPr>
              <w:pStyle w:val="TAH"/>
              <w:rPr>
                <w:rFonts w:eastAsia="Times New Roman"/>
              </w:rPr>
            </w:pPr>
            <w:r w:rsidRPr="000A0A5F">
              <w:rPr>
                <w:rFonts w:eastAsia="Times New Roman"/>
              </w:rPr>
              <w:t>Data type</w:t>
            </w:r>
          </w:p>
        </w:tc>
        <w:tc>
          <w:tcPr>
            <w:tcW w:w="1276" w:type="dxa"/>
            <w:shd w:val="clear" w:color="auto" w:fill="C0C0C0"/>
          </w:tcPr>
          <w:p w:rsidR="00CB0DD7" w:rsidRPr="000A0A5F" w:rsidRDefault="00CB0DD7">
            <w:pPr>
              <w:pStyle w:val="TAH"/>
              <w:jc w:val="left"/>
              <w:rPr>
                <w:rFonts w:eastAsia="Times New Roman"/>
              </w:rPr>
            </w:pPr>
            <w:r w:rsidRPr="000A0A5F">
              <w:rPr>
                <w:rFonts w:eastAsia="Times New Roman"/>
              </w:rPr>
              <w:t>Cardinality</w:t>
            </w:r>
          </w:p>
        </w:tc>
        <w:tc>
          <w:tcPr>
            <w:tcW w:w="2995"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Description</w:t>
            </w:r>
          </w:p>
        </w:tc>
        <w:tc>
          <w:tcPr>
            <w:tcW w:w="1257"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Applicability (NOTE 1)</w:t>
            </w:r>
          </w:p>
        </w:tc>
      </w:tr>
      <w:tr w:rsidR="00CB0DD7" w:rsidRPr="000A0A5F" w:rsidTr="00FF0AF8">
        <w:trPr>
          <w:jc w:val="center"/>
        </w:trPr>
        <w:tc>
          <w:tcPr>
            <w:tcW w:w="1948" w:type="dxa"/>
            <w:shd w:val="clear" w:color="auto" w:fill="auto"/>
          </w:tcPr>
          <w:p w:rsidR="00CB0DD7" w:rsidRPr="000A0A5F" w:rsidRDefault="00CB0DD7">
            <w:pPr>
              <w:pStyle w:val="TAL"/>
              <w:rPr>
                <w:rFonts w:eastAsia="Times New Roman"/>
              </w:rPr>
            </w:pPr>
            <w:r w:rsidRPr="000A0A5F">
              <w:rPr>
                <w:rFonts w:eastAsia="Times New Roman"/>
              </w:rPr>
              <w:t>self</w:t>
            </w:r>
          </w:p>
        </w:tc>
        <w:tc>
          <w:tcPr>
            <w:tcW w:w="2126" w:type="dxa"/>
            <w:shd w:val="clear" w:color="auto" w:fill="auto"/>
          </w:tcPr>
          <w:p w:rsidR="00CB0DD7" w:rsidRPr="000A0A5F" w:rsidRDefault="00CB0DD7">
            <w:pPr>
              <w:pStyle w:val="TAL"/>
              <w:rPr>
                <w:rFonts w:eastAsia="Times New Roman"/>
              </w:rPr>
            </w:pPr>
            <w:r w:rsidRPr="000A0A5F">
              <w:rPr>
                <w:rFonts w:eastAsia="Times New Roman"/>
              </w:rPr>
              <w:t>Link</w:t>
            </w:r>
          </w:p>
        </w:tc>
        <w:tc>
          <w:tcPr>
            <w:tcW w:w="1276" w:type="dxa"/>
            <w:shd w:val="clear" w:color="auto" w:fill="auto"/>
          </w:tcPr>
          <w:p w:rsidR="00CB0DD7" w:rsidRPr="000A0A5F" w:rsidRDefault="00CB0DD7">
            <w:pPr>
              <w:pStyle w:val="TAL"/>
              <w:rPr>
                <w:rFonts w:eastAsia="Times New Roman"/>
              </w:rPr>
            </w:pPr>
            <w:r w:rsidRPr="000A0A5F">
              <w:rPr>
                <w:rFonts w:eastAsia="Times New Roman"/>
              </w:rPr>
              <w:t>0..1</w:t>
            </w:r>
          </w:p>
        </w:tc>
        <w:tc>
          <w:tcPr>
            <w:tcW w:w="2995" w:type="dxa"/>
            <w:shd w:val="clear" w:color="auto" w:fill="auto"/>
          </w:tcPr>
          <w:p w:rsidR="00CB0DD7" w:rsidRPr="000A0A5F" w:rsidRDefault="00CB0DD7">
            <w:pPr>
              <w:pStyle w:val="TAL"/>
            </w:pPr>
            <w:r w:rsidRPr="000A0A5F">
              <w:rPr>
                <w:rFonts w:eastAsia="Times New Roman" w:cs="Arial"/>
                <w:szCs w:val="18"/>
              </w:rPr>
              <w:t xml:space="preserve">Link to the resource </w:t>
            </w:r>
            <w:r w:rsidRPr="000A0A5F">
              <w:t xml:space="preserve">"Individual Network Status </w:t>
            </w:r>
          </w:p>
          <w:p w:rsidR="00CB0DD7" w:rsidRPr="000A0A5F" w:rsidRDefault="00CB0DD7">
            <w:pPr>
              <w:pStyle w:val="TAL"/>
              <w:rPr>
                <w:rFonts w:eastAsia="Times New Roman" w:cs="Arial"/>
                <w:szCs w:val="18"/>
              </w:rPr>
            </w:pPr>
            <w:r w:rsidRPr="000A0A5F">
              <w:t>Reporting subscription"</w:t>
            </w:r>
            <w:r w:rsidRPr="000A0A5F">
              <w:rPr>
                <w:rFonts w:eastAsia="Times New Roman" w:cs="Arial"/>
                <w:szCs w:val="18"/>
              </w:rPr>
              <w:t>. This parameter shall be supplied by the SCEF in HTTP responses</w:t>
            </w:r>
            <w:r w:rsidRPr="000A0A5F">
              <w:t>.</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rPr>
                <w:rFonts w:eastAsia="Times New Roman"/>
              </w:rPr>
            </w:pPr>
            <w:r w:rsidRPr="000A0A5F">
              <w:t>supportedFeatures</w:t>
            </w:r>
          </w:p>
        </w:tc>
        <w:tc>
          <w:tcPr>
            <w:tcW w:w="2126" w:type="dxa"/>
            <w:shd w:val="clear" w:color="auto" w:fill="auto"/>
          </w:tcPr>
          <w:p w:rsidR="00CB0DD7" w:rsidRPr="000A0A5F" w:rsidRDefault="00CB0DD7">
            <w:pPr>
              <w:pStyle w:val="TAL"/>
              <w:rPr>
                <w:rFonts w:eastAsia="Times New Roman"/>
              </w:rPr>
            </w:pPr>
            <w:r w:rsidRPr="000A0A5F">
              <w:t>SupportedFeatures</w:t>
            </w:r>
          </w:p>
        </w:tc>
        <w:tc>
          <w:tcPr>
            <w:tcW w:w="1276" w:type="dxa"/>
            <w:shd w:val="clear" w:color="auto" w:fill="auto"/>
          </w:tcPr>
          <w:p w:rsidR="00CB0DD7" w:rsidRPr="000A0A5F" w:rsidRDefault="00CB0DD7">
            <w:pPr>
              <w:pStyle w:val="TAL"/>
              <w:rPr>
                <w:rFonts w:eastAsia="Times New Roman"/>
              </w:rPr>
            </w:pPr>
            <w:r w:rsidRPr="000A0A5F">
              <w:t>0..1</w:t>
            </w:r>
          </w:p>
        </w:tc>
        <w:tc>
          <w:tcPr>
            <w:tcW w:w="2995" w:type="dxa"/>
            <w:shd w:val="clear" w:color="auto" w:fill="auto"/>
          </w:tcPr>
          <w:p w:rsidR="00CB0DD7" w:rsidRPr="000A0A5F" w:rsidRDefault="00CB0DD7">
            <w:pPr>
              <w:pStyle w:val="TAL"/>
            </w:pPr>
            <w:r w:rsidRPr="000A0A5F">
              <w:t>Used to negotiate the supported optional features of the API as described in clause 5.2.7.</w:t>
            </w:r>
          </w:p>
          <w:p w:rsidR="00CB0DD7" w:rsidRPr="000A0A5F" w:rsidRDefault="00CB0DD7">
            <w:pPr>
              <w:pStyle w:val="TAL"/>
              <w:rPr>
                <w:rFonts w:eastAsia="Times New Roman" w:cs="Arial"/>
                <w:szCs w:val="18"/>
              </w:rPr>
            </w:pPr>
            <w:r w:rsidRPr="000A0A5F">
              <w:t>This attribute shall be provided in the POST request and in the response of successful resource creation.</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rPr>
                <w:rFonts w:eastAsia="Times New Roman"/>
              </w:rPr>
            </w:pPr>
            <w:r w:rsidRPr="000A0A5F">
              <w:rPr>
                <w:rFonts w:hint="eastAsia"/>
                <w:lang w:eastAsia="zh-CN"/>
              </w:rPr>
              <w:t>notification</w:t>
            </w:r>
            <w:r w:rsidRPr="000A0A5F">
              <w:rPr>
                <w:lang w:eastAsia="zh-CN"/>
              </w:rPr>
              <w:t>Destination</w:t>
            </w:r>
          </w:p>
        </w:tc>
        <w:tc>
          <w:tcPr>
            <w:tcW w:w="2126" w:type="dxa"/>
            <w:shd w:val="clear" w:color="auto" w:fill="auto"/>
          </w:tcPr>
          <w:p w:rsidR="00CB0DD7" w:rsidRPr="000A0A5F" w:rsidRDefault="00CB0DD7">
            <w:pPr>
              <w:pStyle w:val="TAL"/>
              <w:rPr>
                <w:rFonts w:eastAsia="Times New Roman"/>
              </w:rPr>
            </w:pPr>
            <w:r w:rsidRPr="000A0A5F">
              <w:rPr>
                <w:rFonts w:hint="eastAsia"/>
                <w:lang w:eastAsia="zh-CN"/>
              </w:rPr>
              <w:t>Link</w:t>
            </w:r>
          </w:p>
        </w:tc>
        <w:tc>
          <w:tcPr>
            <w:tcW w:w="1276" w:type="dxa"/>
            <w:shd w:val="clear" w:color="auto" w:fill="auto"/>
          </w:tcPr>
          <w:p w:rsidR="00CB0DD7" w:rsidRPr="000A0A5F" w:rsidRDefault="00CB0DD7">
            <w:pPr>
              <w:pStyle w:val="TAL"/>
              <w:rPr>
                <w:rFonts w:eastAsia="Times New Roman"/>
              </w:rPr>
            </w:pPr>
            <w:r w:rsidRPr="000A0A5F">
              <w:rPr>
                <w:rFonts w:hint="eastAsia"/>
                <w:lang w:eastAsia="zh-CN"/>
              </w:rPr>
              <w:t>1</w:t>
            </w:r>
          </w:p>
        </w:tc>
        <w:tc>
          <w:tcPr>
            <w:tcW w:w="2995" w:type="dxa"/>
            <w:shd w:val="clear" w:color="auto" w:fill="auto"/>
          </w:tcPr>
          <w:p w:rsidR="00CB0DD7" w:rsidRPr="000A0A5F" w:rsidRDefault="00CB0DD7">
            <w:pPr>
              <w:pStyle w:val="TAL"/>
              <w:rPr>
                <w:rFonts w:eastAsia="Times New Roman" w:cs="Arial"/>
                <w:szCs w:val="18"/>
              </w:rPr>
            </w:pPr>
            <w:r w:rsidRPr="000A0A5F">
              <w:rPr>
                <w:rFonts w:cs="Arial" w:hint="eastAsia"/>
                <w:szCs w:val="18"/>
                <w:lang w:eastAsia="zh-CN"/>
              </w:rPr>
              <w:t xml:space="preserve">A URI indicating the notification destination </w:t>
            </w:r>
            <w:r w:rsidRPr="000A0A5F">
              <w:rPr>
                <w:rFonts w:cs="Arial"/>
                <w:szCs w:val="18"/>
                <w:lang w:eastAsia="zh-CN"/>
              </w:rPr>
              <w:t xml:space="preserve">where </w:t>
            </w:r>
            <w:r w:rsidRPr="000A0A5F">
              <w:rPr>
                <w:rFonts w:cs="Arial" w:hint="eastAsia"/>
                <w:szCs w:val="18"/>
                <w:lang w:eastAsia="zh-CN"/>
              </w:rPr>
              <w:t xml:space="preserve">T8 </w:t>
            </w:r>
            <w:r w:rsidRPr="000A0A5F">
              <w:rPr>
                <w:rFonts w:cs="Arial"/>
                <w:szCs w:val="18"/>
                <w:lang w:eastAsia="zh-CN"/>
              </w:rPr>
              <w:t>notification requests shall be delivered</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rPr>
                <w:rFonts w:eastAsia="Times New Roman"/>
              </w:rPr>
            </w:pPr>
            <w:r w:rsidRPr="000A0A5F">
              <w:t>requestTestNotification</w:t>
            </w:r>
          </w:p>
        </w:tc>
        <w:tc>
          <w:tcPr>
            <w:tcW w:w="2126" w:type="dxa"/>
            <w:shd w:val="clear" w:color="auto" w:fill="auto"/>
          </w:tcPr>
          <w:p w:rsidR="00CB0DD7" w:rsidRPr="000A0A5F" w:rsidRDefault="00CB0DD7">
            <w:pPr>
              <w:pStyle w:val="TAL"/>
              <w:rPr>
                <w:rFonts w:eastAsia="Times New Roman"/>
              </w:rPr>
            </w:pPr>
            <w:r w:rsidRPr="000A0A5F">
              <w:t>boolean</w:t>
            </w:r>
          </w:p>
        </w:tc>
        <w:tc>
          <w:tcPr>
            <w:tcW w:w="1276" w:type="dxa"/>
            <w:shd w:val="clear" w:color="auto" w:fill="auto"/>
          </w:tcPr>
          <w:p w:rsidR="00CB0DD7" w:rsidRPr="000A0A5F" w:rsidRDefault="00CB0DD7">
            <w:pPr>
              <w:pStyle w:val="TAL"/>
              <w:rPr>
                <w:rFonts w:eastAsia="Times New Roman"/>
              </w:rPr>
            </w:pPr>
            <w:r w:rsidRPr="000A0A5F">
              <w:t>0..1</w:t>
            </w:r>
          </w:p>
        </w:tc>
        <w:tc>
          <w:tcPr>
            <w:tcW w:w="2995" w:type="dxa"/>
            <w:shd w:val="clear" w:color="auto" w:fill="auto"/>
          </w:tcPr>
          <w:p w:rsidR="00CB0DD7" w:rsidRPr="000A0A5F" w:rsidRDefault="00CB0DD7">
            <w:pPr>
              <w:pStyle w:val="TAL"/>
              <w:rPr>
                <w:rFonts w:eastAsia="Times New Roman" w:cs="Arial"/>
                <w:szCs w:val="18"/>
              </w:rPr>
            </w:pPr>
            <w:r w:rsidRPr="000A0A5F">
              <w:rPr>
                <w:lang w:eastAsia="zh-CN"/>
              </w:rPr>
              <w:t>Set to true by the SCS/AS to request the SCEF to send a test notification as defined in clause</w:t>
            </w:r>
            <w:r w:rsidRPr="000A0A5F">
              <w:rPr>
                <w:lang w:val="en-US" w:eastAsia="zh-CN"/>
              </w:rPr>
              <w:t> </w:t>
            </w:r>
            <w:r w:rsidRPr="000A0A5F">
              <w:rPr>
                <w:lang w:eastAsia="zh-CN"/>
              </w:rPr>
              <w:t>5.2.5.3. Set to false or omitted otherwise.</w:t>
            </w:r>
          </w:p>
        </w:tc>
        <w:tc>
          <w:tcPr>
            <w:tcW w:w="1257" w:type="dxa"/>
          </w:tcPr>
          <w:p w:rsidR="00CB0DD7" w:rsidRPr="000A0A5F" w:rsidRDefault="00CB0DD7">
            <w:pPr>
              <w:pStyle w:val="TAL"/>
              <w:rPr>
                <w:rFonts w:eastAsia="Times New Roman" w:cs="Arial"/>
                <w:szCs w:val="18"/>
              </w:rPr>
            </w:pPr>
            <w:r w:rsidRPr="000A0A5F">
              <w:t>Notification_test_event</w:t>
            </w:r>
          </w:p>
        </w:tc>
      </w:tr>
      <w:tr w:rsidR="00CB0DD7" w:rsidRPr="000A0A5F" w:rsidTr="00FF0AF8">
        <w:trPr>
          <w:jc w:val="center"/>
        </w:trPr>
        <w:tc>
          <w:tcPr>
            <w:tcW w:w="1948" w:type="dxa"/>
            <w:shd w:val="clear" w:color="auto" w:fill="auto"/>
          </w:tcPr>
          <w:p w:rsidR="00CB0DD7" w:rsidRPr="000A0A5F" w:rsidRDefault="00CB0DD7">
            <w:pPr>
              <w:pStyle w:val="TAL"/>
              <w:rPr>
                <w:rFonts w:eastAsia="Times New Roman"/>
              </w:rPr>
            </w:pPr>
            <w:r w:rsidRPr="000A0A5F">
              <w:rPr>
                <w:lang w:eastAsia="zh-CN"/>
              </w:rPr>
              <w:t>websockNotifConfig</w:t>
            </w:r>
          </w:p>
        </w:tc>
        <w:tc>
          <w:tcPr>
            <w:tcW w:w="2126" w:type="dxa"/>
            <w:shd w:val="clear" w:color="auto" w:fill="auto"/>
          </w:tcPr>
          <w:p w:rsidR="00CB0DD7" w:rsidRPr="000A0A5F" w:rsidRDefault="00CB0DD7">
            <w:pPr>
              <w:pStyle w:val="TAL"/>
              <w:rPr>
                <w:rFonts w:eastAsia="Times New Roman"/>
              </w:rPr>
            </w:pPr>
            <w:r w:rsidRPr="000A0A5F">
              <w:rPr>
                <w:lang w:eastAsia="zh-CN"/>
              </w:rPr>
              <w:t>WebsockNotifConfig</w:t>
            </w:r>
          </w:p>
        </w:tc>
        <w:tc>
          <w:tcPr>
            <w:tcW w:w="1276" w:type="dxa"/>
            <w:shd w:val="clear" w:color="auto" w:fill="auto"/>
          </w:tcPr>
          <w:p w:rsidR="00CB0DD7" w:rsidRPr="000A0A5F" w:rsidRDefault="00CB0DD7">
            <w:pPr>
              <w:pStyle w:val="TAL"/>
              <w:rPr>
                <w:rFonts w:eastAsia="Times New Roman"/>
              </w:rPr>
            </w:pPr>
            <w:r w:rsidRPr="000A0A5F">
              <w:rPr>
                <w:lang w:eastAsia="zh-CN"/>
              </w:rPr>
              <w:t>0..1</w:t>
            </w:r>
          </w:p>
        </w:tc>
        <w:tc>
          <w:tcPr>
            <w:tcW w:w="2995" w:type="dxa"/>
            <w:shd w:val="clear" w:color="auto" w:fill="auto"/>
          </w:tcPr>
          <w:p w:rsidR="00CB0DD7" w:rsidRPr="000A0A5F" w:rsidRDefault="00CB0DD7">
            <w:pPr>
              <w:pStyle w:val="TAL"/>
              <w:rPr>
                <w:rFonts w:eastAsia="Times New Roman" w:cs="Arial"/>
                <w:szCs w:val="18"/>
              </w:rPr>
            </w:pPr>
            <w:r w:rsidRPr="000A0A5F">
              <w:rPr>
                <w:rFonts w:cs="Arial"/>
                <w:szCs w:val="18"/>
                <w:lang w:eastAsia="zh-CN"/>
              </w:rPr>
              <w:t>Configuration parameters to set up notification delivery over Websocket protocol as defined in clause</w:t>
            </w:r>
            <w:r w:rsidRPr="000A0A5F">
              <w:rPr>
                <w:rFonts w:cs="Arial"/>
                <w:szCs w:val="18"/>
                <w:lang w:val="en-US" w:eastAsia="zh-CN"/>
              </w:rPr>
              <w:t> </w:t>
            </w:r>
            <w:r w:rsidRPr="000A0A5F">
              <w:rPr>
                <w:rFonts w:cs="Arial"/>
                <w:szCs w:val="18"/>
                <w:lang w:eastAsia="zh-CN"/>
              </w:rPr>
              <w:t>5.2.5.4.</w:t>
            </w:r>
          </w:p>
        </w:tc>
        <w:tc>
          <w:tcPr>
            <w:tcW w:w="1257" w:type="dxa"/>
          </w:tcPr>
          <w:p w:rsidR="00CB0DD7" w:rsidRPr="000A0A5F" w:rsidRDefault="00CB0DD7">
            <w:pPr>
              <w:pStyle w:val="TAL"/>
              <w:rPr>
                <w:rFonts w:eastAsia="Times New Roman" w:cs="Arial"/>
                <w:szCs w:val="18"/>
              </w:rPr>
            </w:pPr>
            <w:r w:rsidRPr="000A0A5F">
              <w:rPr>
                <w:lang w:eastAsia="zh-CN"/>
              </w:rPr>
              <w:t>Notification_websocket</w:t>
            </w:r>
          </w:p>
        </w:tc>
      </w:tr>
      <w:tr w:rsidR="00CB0DD7" w:rsidRPr="000A0A5F" w:rsidTr="00FF0AF8">
        <w:trPr>
          <w:jc w:val="center"/>
        </w:trPr>
        <w:tc>
          <w:tcPr>
            <w:tcW w:w="1948" w:type="dxa"/>
            <w:shd w:val="clear" w:color="auto" w:fill="auto"/>
          </w:tcPr>
          <w:p w:rsidR="00CB0DD7" w:rsidRPr="000A0A5F" w:rsidRDefault="00CB0DD7">
            <w:pPr>
              <w:pStyle w:val="TAL"/>
              <w:rPr>
                <w:rFonts w:hint="eastAsia"/>
                <w:lang w:eastAsia="zh-CN"/>
              </w:rPr>
            </w:pPr>
            <w:r w:rsidRPr="000A0A5F">
              <w:rPr>
                <w:lang w:eastAsia="zh-CN"/>
              </w:rPr>
              <w:t>location</w:t>
            </w:r>
            <w:r w:rsidRPr="000A0A5F">
              <w:rPr>
                <w:rFonts w:hint="eastAsia"/>
                <w:lang w:eastAsia="zh-CN"/>
              </w:rPr>
              <w:t>Area</w:t>
            </w:r>
          </w:p>
        </w:tc>
        <w:tc>
          <w:tcPr>
            <w:tcW w:w="2126" w:type="dxa"/>
            <w:shd w:val="clear" w:color="auto" w:fill="auto"/>
          </w:tcPr>
          <w:p w:rsidR="00CB0DD7" w:rsidRPr="000A0A5F" w:rsidRDefault="00CB0DD7">
            <w:pPr>
              <w:pStyle w:val="TAL"/>
              <w:rPr>
                <w:rFonts w:hint="eastAsia"/>
                <w:lang w:eastAsia="zh-CN"/>
              </w:rPr>
            </w:pPr>
            <w:r w:rsidRPr="000A0A5F">
              <w:rPr>
                <w:lang w:eastAsia="zh-CN"/>
              </w:rPr>
              <w:t>Location</w:t>
            </w:r>
            <w:r w:rsidRPr="000A0A5F">
              <w:rPr>
                <w:rFonts w:hint="eastAsia"/>
                <w:lang w:eastAsia="zh-CN"/>
              </w:rPr>
              <w:t>Area</w:t>
            </w:r>
          </w:p>
        </w:tc>
        <w:tc>
          <w:tcPr>
            <w:tcW w:w="1276" w:type="dxa"/>
            <w:shd w:val="clear" w:color="auto" w:fill="auto"/>
          </w:tcPr>
          <w:p w:rsidR="00CB0DD7" w:rsidRPr="000A0A5F" w:rsidRDefault="00CB0DD7">
            <w:pPr>
              <w:pStyle w:val="TAL"/>
              <w:rPr>
                <w:rFonts w:hint="eastAsia"/>
                <w:lang w:eastAsia="zh-CN"/>
              </w:rPr>
            </w:pPr>
            <w:r w:rsidRPr="000A0A5F">
              <w:rPr>
                <w:rFonts w:hint="eastAsia"/>
                <w:lang w:eastAsia="zh-CN"/>
              </w:rPr>
              <w:t>1</w:t>
            </w:r>
          </w:p>
        </w:tc>
        <w:tc>
          <w:tcPr>
            <w:tcW w:w="2995" w:type="dxa"/>
            <w:shd w:val="clear" w:color="auto" w:fill="auto"/>
          </w:tcPr>
          <w:p w:rsidR="00CB0DD7" w:rsidRPr="000A0A5F" w:rsidRDefault="00CB0DD7">
            <w:pPr>
              <w:pStyle w:val="TAL"/>
              <w:rPr>
                <w:rFonts w:cs="Arial" w:hint="eastAsia"/>
                <w:szCs w:val="18"/>
                <w:lang w:eastAsia="zh-CN"/>
              </w:rPr>
            </w:pPr>
            <w:r w:rsidRPr="000A0A5F">
              <w:rPr>
                <w:rFonts w:cs="Arial" w:hint="eastAsia"/>
                <w:szCs w:val="18"/>
                <w:lang w:eastAsia="zh-CN"/>
              </w:rPr>
              <w:t xml:space="preserve">Identifies a </w:t>
            </w:r>
            <w:r w:rsidRPr="000A0A5F">
              <w:rPr>
                <w:rFonts w:cs="Arial"/>
                <w:szCs w:val="18"/>
                <w:lang w:eastAsia="zh-CN"/>
              </w:rPr>
              <w:t>location</w:t>
            </w:r>
            <w:r w:rsidRPr="000A0A5F">
              <w:rPr>
                <w:rFonts w:cs="Arial" w:hint="eastAsia"/>
                <w:szCs w:val="18"/>
                <w:lang w:eastAsia="zh-CN"/>
              </w:rPr>
              <w:t xml:space="preserve"> area</w:t>
            </w:r>
            <w:r w:rsidRPr="000A0A5F">
              <w:rPr>
                <w:rFonts w:cs="Arial"/>
                <w:szCs w:val="18"/>
                <w:lang w:eastAsia="zh-CN"/>
              </w:rPr>
              <w:t xml:space="preserve">. It </w:t>
            </w:r>
            <w:r w:rsidRPr="000A0A5F">
              <w:t>can be either a list of cell IDs, or a list of</w:t>
            </w:r>
            <w:r w:rsidRPr="000A0A5F">
              <w:rPr>
                <w:rFonts w:hint="eastAsia"/>
              </w:rPr>
              <w:t xml:space="preserve"> Tracking Areas</w:t>
            </w:r>
            <w:r w:rsidRPr="000A0A5F">
              <w:t>, or civic addresses, or a geographic area, or a combination of any of the above.</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rPr>
                <w:lang w:eastAsia="zh-CN"/>
              </w:rPr>
            </w:pPr>
            <w:r w:rsidRPr="000A0A5F">
              <w:rPr>
                <w:rFonts w:hint="eastAsia"/>
                <w:lang w:eastAsia="zh-CN"/>
              </w:rPr>
              <w:t>timeDuration</w:t>
            </w:r>
          </w:p>
        </w:tc>
        <w:tc>
          <w:tcPr>
            <w:tcW w:w="2126" w:type="dxa"/>
            <w:shd w:val="clear" w:color="auto" w:fill="auto"/>
          </w:tcPr>
          <w:p w:rsidR="00CB0DD7" w:rsidRPr="000A0A5F" w:rsidRDefault="00CB0DD7">
            <w:pPr>
              <w:pStyle w:val="TAL"/>
              <w:rPr>
                <w:rFonts w:hint="eastAsia"/>
                <w:lang w:eastAsia="zh-CN"/>
              </w:rPr>
            </w:pPr>
            <w:r w:rsidRPr="000A0A5F">
              <w:rPr>
                <w:lang w:eastAsia="zh-CN"/>
              </w:rPr>
              <w:t>DateT</w:t>
            </w:r>
            <w:r w:rsidR="001C717D" w:rsidRPr="000A0A5F">
              <w:rPr>
                <w:lang w:eastAsia="zh-CN"/>
              </w:rPr>
              <w:t>i</w:t>
            </w:r>
            <w:r w:rsidRPr="000A0A5F">
              <w:rPr>
                <w:lang w:eastAsia="zh-CN"/>
              </w:rPr>
              <w:t>me</w:t>
            </w:r>
          </w:p>
        </w:tc>
        <w:tc>
          <w:tcPr>
            <w:tcW w:w="1276" w:type="dxa"/>
            <w:shd w:val="clear" w:color="auto" w:fill="auto"/>
          </w:tcPr>
          <w:p w:rsidR="00CB0DD7" w:rsidRPr="000A0A5F" w:rsidRDefault="00CB0DD7">
            <w:pPr>
              <w:pStyle w:val="TAL"/>
              <w:rPr>
                <w:rFonts w:hint="eastAsia"/>
                <w:lang w:eastAsia="zh-CN"/>
              </w:rPr>
            </w:pPr>
            <w:r w:rsidRPr="000A0A5F">
              <w:rPr>
                <w:rFonts w:eastAsia="Times New Roman"/>
              </w:rPr>
              <w:t>0..1</w:t>
            </w:r>
          </w:p>
        </w:tc>
        <w:tc>
          <w:tcPr>
            <w:tcW w:w="2995" w:type="dxa"/>
            <w:shd w:val="clear" w:color="auto" w:fill="auto"/>
          </w:tcPr>
          <w:p w:rsidR="00CB0DD7" w:rsidRPr="000A0A5F" w:rsidRDefault="00CB0DD7">
            <w:pPr>
              <w:pStyle w:val="TAL"/>
              <w:rPr>
                <w:rFonts w:cs="Arial" w:hint="eastAsia"/>
                <w:szCs w:val="18"/>
                <w:lang w:eastAsia="zh-CN"/>
              </w:rPr>
            </w:pPr>
            <w:r w:rsidRPr="000A0A5F">
              <w:rPr>
                <w:rFonts w:cs="Arial" w:hint="eastAsia"/>
                <w:szCs w:val="18"/>
                <w:lang w:eastAsia="zh-CN"/>
              </w:rPr>
              <w:t xml:space="preserve">Identifies the time </w:t>
            </w:r>
            <w:r w:rsidRPr="000A0A5F">
              <w:rPr>
                <w:rFonts w:cs="Arial"/>
                <w:szCs w:val="18"/>
                <w:lang w:eastAsia="zh-CN"/>
              </w:rPr>
              <w:t>for which a continuous reporting is requested. Shall not be provided for one time reporting case.</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spacing w:afterLines="50" w:after="120"/>
              <w:rPr>
                <w:rFonts w:eastAsia="Times New Roman"/>
              </w:rPr>
            </w:pPr>
            <w:r w:rsidRPr="000A0A5F">
              <w:rPr>
                <w:rFonts w:eastAsia="Times New Roman"/>
              </w:rPr>
              <w:t>thresholdValues</w:t>
            </w:r>
          </w:p>
        </w:tc>
        <w:tc>
          <w:tcPr>
            <w:tcW w:w="2126" w:type="dxa"/>
            <w:shd w:val="clear" w:color="auto" w:fill="auto"/>
          </w:tcPr>
          <w:p w:rsidR="00CB0DD7" w:rsidRPr="000A0A5F" w:rsidRDefault="00CB0DD7">
            <w:pPr>
              <w:pStyle w:val="TAL"/>
              <w:rPr>
                <w:rFonts w:hint="eastAsia"/>
                <w:lang w:eastAsia="zh-CN"/>
              </w:rPr>
            </w:pPr>
            <w:r w:rsidRPr="000A0A5F">
              <w:rPr>
                <w:lang w:eastAsia="zh-CN"/>
              </w:rPr>
              <w:t>array(CongestionValue)</w:t>
            </w:r>
          </w:p>
        </w:tc>
        <w:tc>
          <w:tcPr>
            <w:tcW w:w="1276" w:type="dxa"/>
            <w:shd w:val="clear" w:color="auto" w:fill="auto"/>
          </w:tcPr>
          <w:p w:rsidR="00CB0DD7" w:rsidRPr="000A0A5F" w:rsidRDefault="00CB0DD7">
            <w:pPr>
              <w:pStyle w:val="TAL"/>
              <w:rPr>
                <w:rFonts w:hint="eastAsia"/>
                <w:lang w:eastAsia="zh-CN"/>
              </w:rPr>
            </w:pPr>
            <w:r w:rsidRPr="000A0A5F">
              <w:rPr>
                <w:rFonts w:hint="eastAsia"/>
                <w:lang w:eastAsia="zh-CN"/>
              </w:rPr>
              <w:t>0..</w:t>
            </w:r>
            <w:r w:rsidRPr="000A0A5F">
              <w:rPr>
                <w:lang w:eastAsia="zh-CN"/>
              </w:rPr>
              <w:t>N</w:t>
            </w:r>
          </w:p>
        </w:tc>
        <w:tc>
          <w:tcPr>
            <w:tcW w:w="2995" w:type="dxa"/>
            <w:shd w:val="clear" w:color="auto" w:fill="auto"/>
          </w:tcPr>
          <w:p w:rsidR="00CB0DD7" w:rsidRPr="000A0A5F" w:rsidRDefault="00CB0DD7">
            <w:pPr>
              <w:pStyle w:val="TAL"/>
              <w:spacing w:afterLines="50" w:after="120"/>
              <w:rPr>
                <w:rFonts w:cs="Arial"/>
                <w:szCs w:val="18"/>
                <w:lang w:eastAsia="zh-CN"/>
              </w:rPr>
            </w:pPr>
            <w:r w:rsidRPr="000A0A5F">
              <w:rPr>
                <w:rFonts w:cs="Arial" w:hint="eastAsia"/>
                <w:szCs w:val="18"/>
                <w:lang w:eastAsia="zh-CN"/>
              </w:rPr>
              <w:t xml:space="preserve">Identifies a </w:t>
            </w:r>
            <w:r w:rsidRPr="000A0A5F">
              <w:rPr>
                <w:rFonts w:cs="Arial"/>
                <w:szCs w:val="18"/>
                <w:lang w:eastAsia="zh-CN"/>
              </w:rPr>
              <w:t>list</w:t>
            </w:r>
            <w:r w:rsidRPr="000A0A5F">
              <w:rPr>
                <w:rFonts w:cs="Arial" w:hint="eastAsia"/>
                <w:szCs w:val="18"/>
                <w:lang w:eastAsia="zh-CN"/>
              </w:rPr>
              <w:t xml:space="preserve"> </w:t>
            </w:r>
            <w:r w:rsidRPr="000A0A5F">
              <w:rPr>
                <w:rFonts w:cs="Arial"/>
                <w:szCs w:val="18"/>
                <w:lang w:eastAsia="zh-CN"/>
              </w:rPr>
              <w:t>of congestion level(s) with exact value that</w:t>
            </w:r>
            <w:r w:rsidRPr="000A0A5F">
              <w:rPr>
                <w:rFonts w:cs="Arial" w:hint="eastAsia"/>
                <w:szCs w:val="18"/>
                <w:lang w:eastAsia="zh-CN"/>
              </w:rPr>
              <w:t xml:space="preserve"> the SCS/AS requests to be informed of </w:t>
            </w:r>
            <w:r w:rsidRPr="000A0A5F">
              <w:rPr>
                <w:rFonts w:cs="Arial"/>
                <w:szCs w:val="18"/>
                <w:lang w:eastAsia="zh-CN"/>
              </w:rPr>
              <w:t>when reached</w:t>
            </w:r>
            <w:r w:rsidRPr="000A0A5F">
              <w:rPr>
                <w:rFonts w:cs="Arial" w:hint="eastAsia"/>
                <w:szCs w:val="18"/>
                <w:lang w:eastAsia="zh-CN"/>
              </w:rPr>
              <w:t>.</w:t>
            </w:r>
          </w:p>
          <w:p w:rsidR="00CB0DD7" w:rsidRPr="000A0A5F" w:rsidRDefault="00CB0DD7">
            <w:pPr>
              <w:pStyle w:val="TAL"/>
              <w:rPr>
                <w:rFonts w:cs="Arial" w:hint="eastAsia"/>
                <w:szCs w:val="18"/>
                <w:lang w:eastAsia="zh-CN"/>
              </w:rPr>
            </w:pPr>
            <w:r w:rsidRPr="000A0A5F">
              <w:rPr>
                <w:rFonts w:eastAsia="Times New Roman"/>
              </w:rPr>
              <w:t>(NOTE 2)</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spacing w:afterLines="50" w:after="120"/>
              <w:rPr>
                <w:rFonts w:eastAsia="Times New Roman"/>
              </w:rPr>
            </w:pPr>
            <w:r w:rsidRPr="000A0A5F">
              <w:rPr>
                <w:rFonts w:eastAsia="Times New Roman" w:hint="eastAsia"/>
                <w:lang w:eastAsia="ja-JP"/>
              </w:rPr>
              <w:t>threshold</w:t>
            </w:r>
            <w:r w:rsidRPr="000A0A5F">
              <w:rPr>
                <w:rFonts w:eastAsia="Times New Roman"/>
                <w:lang w:eastAsia="ja-JP"/>
              </w:rPr>
              <w:t>Types</w:t>
            </w:r>
          </w:p>
        </w:tc>
        <w:tc>
          <w:tcPr>
            <w:tcW w:w="2126" w:type="dxa"/>
            <w:shd w:val="clear" w:color="auto" w:fill="auto"/>
          </w:tcPr>
          <w:p w:rsidR="00CB0DD7" w:rsidRPr="000A0A5F" w:rsidRDefault="00CB0DD7">
            <w:pPr>
              <w:pStyle w:val="TAL"/>
              <w:rPr>
                <w:lang w:eastAsia="zh-CN"/>
              </w:rPr>
            </w:pPr>
            <w:r w:rsidRPr="000A0A5F">
              <w:rPr>
                <w:lang w:eastAsia="ja-JP"/>
              </w:rPr>
              <w:t>array(</w:t>
            </w:r>
            <w:r w:rsidRPr="000A0A5F">
              <w:rPr>
                <w:rFonts w:hint="eastAsia"/>
                <w:lang w:eastAsia="ja-JP"/>
              </w:rPr>
              <w:t>CongestionType</w:t>
            </w:r>
            <w:r w:rsidRPr="000A0A5F">
              <w:rPr>
                <w:lang w:eastAsia="ja-JP"/>
              </w:rPr>
              <w:t>)</w:t>
            </w:r>
          </w:p>
        </w:tc>
        <w:tc>
          <w:tcPr>
            <w:tcW w:w="1276" w:type="dxa"/>
            <w:shd w:val="clear" w:color="auto" w:fill="auto"/>
          </w:tcPr>
          <w:p w:rsidR="00CB0DD7" w:rsidRPr="000A0A5F" w:rsidRDefault="00CB0DD7">
            <w:pPr>
              <w:pStyle w:val="TAL"/>
              <w:rPr>
                <w:rFonts w:hint="eastAsia"/>
                <w:lang w:eastAsia="zh-CN"/>
              </w:rPr>
            </w:pPr>
            <w:r w:rsidRPr="000A0A5F">
              <w:rPr>
                <w:rFonts w:hint="eastAsia"/>
                <w:lang w:eastAsia="ja-JP"/>
              </w:rPr>
              <w:t>0..N</w:t>
            </w:r>
          </w:p>
        </w:tc>
        <w:tc>
          <w:tcPr>
            <w:tcW w:w="2995" w:type="dxa"/>
            <w:shd w:val="clear" w:color="auto" w:fill="auto"/>
          </w:tcPr>
          <w:p w:rsidR="00CB0DD7" w:rsidRPr="000A0A5F" w:rsidRDefault="00CB0DD7">
            <w:pPr>
              <w:pStyle w:val="TAL"/>
              <w:spacing w:afterLines="50" w:after="120"/>
              <w:rPr>
                <w:rFonts w:cs="Arial"/>
                <w:szCs w:val="18"/>
                <w:lang w:eastAsia="zh-CN"/>
              </w:rPr>
            </w:pPr>
            <w:r w:rsidRPr="000A0A5F">
              <w:rPr>
                <w:rFonts w:cs="Arial" w:hint="eastAsia"/>
                <w:szCs w:val="18"/>
                <w:lang w:eastAsia="zh-CN"/>
              </w:rPr>
              <w:t xml:space="preserve">Identifies a </w:t>
            </w:r>
            <w:r w:rsidRPr="000A0A5F">
              <w:rPr>
                <w:rFonts w:cs="Arial"/>
                <w:szCs w:val="18"/>
                <w:lang w:eastAsia="zh-CN"/>
              </w:rPr>
              <w:t>list</w:t>
            </w:r>
            <w:r w:rsidRPr="000A0A5F">
              <w:rPr>
                <w:rFonts w:cs="Arial" w:hint="eastAsia"/>
                <w:szCs w:val="18"/>
                <w:lang w:eastAsia="zh-CN"/>
              </w:rPr>
              <w:t xml:space="preserve"> </w:t>
            </w:r>
            <w:r w:rsidRPr="000A0A5F">
              <w:rPr>
                <w:rFonts w:cs="Arial"/>
                <w:szCs w:val="18"/>
                <w:lang w:eastAsia="zh-CN"/>
              </w:rPr>
              <w:t>of congestion level(s) with abstracted value that</w:t>
            </w:r>
            <w:r w:rsidRPr="000A0A5F">
              <w:rPr>
                <w:rFonts w:cs="Arial" w:hint="eastAsia"/>
                <w:szCs w:val="18"/>
                <w:lang w:eastAsia="zh-CN"/>
              </w:rPr>
              <w:t xml:space="preserve"> the SCS/AS requests to be informed of </w:t>
            </w:r>
            <w:r w:rsidRPr="000A0A5F">
              <w:rPr>
                <w:rFonts w:cs="Arial"/>
                <w:szCs w:val="18"/>
                <w:lang w:eastAsia="zh-CN"/>
              </w:rPr>
              <w:t>when reached</w:t>
            </w:r>
            <w:r w:rsidRPr="000A0A5F">
              <w:rPr>
                <w:rFonts w:cs="Arial" w:hint="eastAsia"/>
                <w:szCs w:val="18"/>
                <w:lang w:eastAsia="zh-CN"/>
              </w:rPr>
              <w:t>.</w:t>
            </w:r>
          </w:p>
          <w:p w:rsidR="00CB0DD7" w:rsidRPr="000A0A5F" w:rsidRDefault="00CB0DD7">
            <w:pPr>
              <w:pStyle w:val="TAL"/>
              <w:rPr>
                <w:rFonts w:cs="Arial" w:hint="eastAsia"/>
                <w:szCs w:val="18"/>
                <w:lang w:eastAsia="zh-CN"/>
              </w:rPr>
            </w:pPr>
            <w:r w:rsidRPr="000A0A5F">
              <w:rPr>
                <w:rFonts w:eastAsia="Times New Roman"/>
              </w:rPr>
              <w:t>(NOTE 2)</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9602" w:type="dxa"/>
            <w:gridSpan w:val="5"/>
            <w:shd w:val="clear" w:color="auto" w:fill="auto"/>
          </w:tcPr>
          <w:p w:rsidR="00CB0DD7" w:rsidRPr="000A0A5F" w:rsidRDefault="00CB0DD7">
            <w:pPr>
              <w:pStyle w:val="TAN"/>
            </w:pPr>
            <w:r w:rsidRPr="000A0A5F">
              <w:t>NOTE 1:</w:t>
            </w:r>
            <w:r w:rsidRPr="000A0A5F">
              <w:tab/>
              <w:t>Properties marked with a feature as defined in clause 5.9.4 are applicable as described in clause 5.2.7. If no feature are indicated, the related property applies for all the features.</w:t>
            </w:r>
          </w:p>
          <w:p w:rsidR="00CB0DD7" w:rsidRPr="000A0A5F" w:rsidRDefault="00CB0DD7">
            <w:pPr>
              <w:pStyle w:val="TAN"/>
              <w:rPr>
                <w:rFonts w:hint="eastAsia"/>
              </w:rPr>
            </w:pPr>
            <w:r w:rsidRPr="000A0A5F">
              <w:t>NOTE 2:</w:t>
            </w:r>
            <w:r w:rsidRPr="000A0A5F">
              <w:tab/>
              <w:t>thresholdValue</w:t>
            </w:r>
            <w:r w:rsidR="008D34A0" w:rsidRPr="000A0A5F">
              <w:t>s</w:t>
            </w:r>
            <w:r w:rsidRPr="000A0A5F">
              <w:t xml:space="preserve"> and thresholdType</w:t>
            </w:r>
            <w:r w:rsidR="008D34A0" w:rsidRPr="000A0A5F">
              <w:t>s</w:t>
            </w:r>
            <w:r w:rsidRPr="000A0A5F">
              <w:t xml:space="preserve"> shall be mutually exclusive.</w:t>
            </w:r>
          </w:p>
        </w:tc>
      </w:tr>
    </w:tbl>
    <w:p w:rsidR="00CB0DD7" w:rsidRPr="000A0A5F" w:rsidRDefault="00CB0DD7">
      <w:pPr>
        <w:rPr>
          <w:lang w:eastAsia="ja-JP"/>
        </w:rPr>
      </w:pPr>
    </w:p>
    <w:p w:rsidR="00517DF6" w:rsidRPr="000A0A5F" w:rsidRDefault="00517DF6" w:rsidP="00517DF6">
      <w:pPr>
        <w:pStyle w:val="Heading5"/>
      </w:pPr>
      <w:bookmarkStart w:id="6654" w:name="_Toc11247680"/>
      <w:bookmarkStart w:id="6655" w:name="_Toc27044819"/>
      <w:bookmarkStart w:id="6656" w:name="_Toc36033861"/>
      <w:bookmarkStart w:id="6657" w:name="_Toc45132007"/>
      <w:bookmarkStart w:id="6658" w:name="_Toc49776292"/>
      <w:bookmarkStart w:id="6659" w:name="_Toc51747212"/>
      <w:bookmarkStart w:id="6660" w:name="_Toc66360782"/>
      <w:bookmarkStart w:id="6661" w:name="_Toc68105287"/>
      <w:bookmarkStart w:id="6662" w:name="_Toc74755917"/>
      <w:bookmarkStart w:id="6663" w:name="_Toc105674792"/>
      <w:bookmarkStart w:id="6664" w:name="_Toc130502852"/>
      <w:bookmarkStart w:id="6665" w:name="_Toc153625639"/>
      <w:r w:rsidRPr="000A0A5F">
        <w:t>5.9.2.1.</w:t>
      </w:r>
      <w:r w:rsidR="002550F4" w:rsidRPr="000A0A5F">
        <w:t>3</w:t>
      </w:r>
      <w:r w:rsidRPr="000A0A5F">
        <w:tab/>
        <w:t>Type: NetStatusRepSubsPatch</w:t>
      </w:r>
      <w:bookmarkEnd w:id="6663"/>
      <w:bookmarkEnd w:id="6664"/>
      <w:bookmarkEnd w:id="6665"/>
    </w:p>
    <w:p w:rsidR="00517DF6" w:rsidRPr="000A0A5F" w:rsidRDefault="00517DF6" w:rsidP="00517DF6">
      <w:r w:rsidRPr="000A0A5F">
        <w:t>This data type represents the parameters to request the modification of network status reporting subscription.</w:t>
      </w:r>
    </w:p>
    <w:p w:rsidR="00517DF6" w:rsidRPr="000A0A5F" w:rsidRDefault="00517DF6" w:rsidP="00517DF6">
      <w:pPr>
        <w:pStyle w:val="TH"/>
      </w:pPr>
      <w:r w:rsidRPr="000A0A5F">
        <w:rPr>
          <w:noProof/>
        </w:rPr>
        <w:t>Table </w:t>
      </w:r>
      <w:r w:rsidRPr="000A0A5F">
        <w:t>5.9.2.1.</w:t>
      </w:r>
      <w:r w:rsidR="002550F4" w:rsidRPr="000A0A5F">
        <w:t>3</w:t>
      </w:r>
      <w:r w:rsidRPr="000A0A5F">
        <w:t xml:space="preserve">-1: </w:t>
      </w:r>
      <w:r w:rsidRPr="000A0A5F">
        <w:rPr>
          <w:noProof/>
        </w:rPr>
        <w:t xml:space="preserve">Definition of type </w:t>
      </w:r>
      <w:r w:rsidRPr="000A0A5F">
        <w:t>NetStatusRepSubsPatch</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948"/>
        <w:gridCol w:w="2126"/>
        <w:gridCol w:w="1276"/>
        <w:gridCol w:w="2995"/>
        <w:gridCol w:w="1257"/>
      </w:tblGrid>
      <w:tr w:rsidR="00517DF6" w:rsidRPr="000A0A5F" w:rsidTr="00FF0AF8">
        <w:trPr>
          <w:jc w:val="center"/>
        </w:trPr>
        <w:tc>
          <w:tcPr>
            <w:tcW w:w="1948" w:type="dxa"/>
            <w:shd w:val="clear" w:color="auto" w:fill="C0C0C0"/>
          </w:tcPr>
          <w:p w:rsidR="00517DF6" w:rsidRPr="000A0A5F" w:rsidRDefault="00517DF6" w:rsidP="00517DF6">
            <w:pPr>
              <w:pStyle w:val="TAH"/>
            </w:pPr>
            <w:r w:rsidRPr="000A0A5F">
              <w:t>Attribute name</w:t>
            </w:r>
          </w:p>
        </w:tc>
        <w:tc>
          <w:tcPr>
            <w:tcW w:w="2126" w:type="dxa"/>
            <w:shd w:val="clear" w:color="auto" w:fill="C0C0C0"/>
          </w:tcPr>
          <w:p w:rsidR="00517DF6" w:rsidRPr="000A0A5F" w:rsidRDefault="00517DF6" w:rsidP="00517DF6">
            <w:pPr>
              <w:pStyle w:val="TAH"/>
            </w:pPr>
            <w:r w:rsidRPr="000A0A5F">
              <w:t>Data type</w:t>
            </w:r>
          </w:p>
        </w:tc>
        <w:tc>
          <w:tcPr>
            <w:tcW w:w="1276" w:type="dxa"/>
            <w:shd w:val="clear" w:color="auto" w:fill="C0C0C0"/>
          </w:tcPr>
          <w:p w:rsidR="00517DF6" w:rsidRPr="000A0A5F" w:rsidRDefault="00517DF6" w:rsidP="00517DF6">
            <w:pPr>
              <w:pStyle w:val="TAH"/>
              <w:jc w:val="left"/>
            </w:pPr>
            <w:r w:rsidRPr="000A0A5F">
              <w:t>Cardinality</w:t>
            </w:r>
          </w:p>
        </w:tc>
        <w:tc>
          <w:tcPr>
            <w:tcW w:w="2995" w:type="dxa"/>
            <w:shd w:val="clear" w:color="auto" w:fill="C0C0C0"/>
          </w:tcPr>
          <w:p w:rsidR="00517DF6" w:rsidRPr="000A0A5F" w:rsidRDefault="00517DF6" w:rsidP="00517DF6">
            <w:pPr>
              <w:pStyle w:val="TAH"/>
              <w:rPr>
                <w:rFonts w:cs="Arial"/>
                <w:szCs w:val="18"/>
              </w:rPr>
            </w:pPr>
            <w:r w:rsidRPr="000A0A5F">
              <w:rPr>
                <w:rFonts w:cs="Arial"/>
                <w:szCs w:val="18"/>
              </w:rPr>
              <w:t>Description</w:t>
            </w:r>
          </w:p>
        </w:tc>
        <w:tc>
          <w:tcPr>
            <w:tcW w:w="1257" w:type="dxa"/>
            <w:shd w:val="clear" w:color="auto" w:fill="C0C0C0"/>
          </w:tcPr>
          <w:p w:rsidR="00517DF6" w:rsidRPr="000A0A5F" w:rsidRDefault="00517DF6" w:rsidP="00517DF6">
            <w:pPr>
              <w:pStyle w:val="TAH"/>
              <w:rPr>
                <w:rFonts w:cs="Arial"/>
                <w:szCs w:val="18"/>
              </w:rPr>
            </w:pPr>
            <w:r w:rsidRPr="000A0A5F">
              <w:rPr>
                <w:rFonts w:cs="Arial"/>
                <w:szCs w:val="18"/>
              </w:rPr>
              <w:t>Applicability (NOTE 1)</w:t>
            </w:r>
          </w:p>
        </w:tc>
      </w:tr>
      <w:tr w:rsidR="00517DF6" w:rsidRPr="000A0A5F" w:rsidTr="00FF0AF8">
        <w:trPr>
          <w:jc w:val="center"/>
        </w:trPr>
        <w:tc>
          <w:tcPr>
            <w:tcW w:w="1948" w:type="dxa"/>
            <w:shd w:val="clear" w:color="auto" w:fill="auto"/>
          </w:tcPr>
          <w:p w:rsidR="00517DF6" w:rsidRPr="000A0A5F" w:rsidRDefault="00517DF6" w:rsidP="00517DF6">
            <w:pPr>
              <w:pStyle w:val="TAL"/>
            </w:pPr>
            <w:r w:rsidRPr="000A0A5F">
              <w:rPr>
                <w:rFonts w:hint="eastAsia"/>
                <w:lang w:eastAsia="zh-CN"/>
              </w:rPr>
              <w:t>notification</w:t>
            </w:r>
            <w:r w:rsidRPr="000A0A5F">
              <w:rPr>
                <w:lang w:eastAsia="zh-CN"/>
              </w:rPr>
              <w:t>Destination</w:t>
            </w:r>
          </w:p>
        </w:tc>
        <w:tc>
          <w:tcPr>
            <w:tcW w:w="2126" w:type="dxa"/>
            <w:shd w:val="clear" w:color="auto" w:fill="auto"/>
          </w:tcPr>
          <w:p w:rsidR="00517DF6" w:rsidRPr="000A0A5F" w:rsidRDefault="00517DF6" w:rsidP="00517DF6">
            <w:pPr>
              <w:pStyle w:val="TAL"/>
            </w:pPr>
            <w:r w:rsidRPr="000A0A5F">
              <w:rPr>
                <w:rFonts w:hint="eastAsia"/>
                <w:lang w:eastAsia="zh-CN"/>
              </w:rPr>
              <w:t>Link</w:t>
            </w:r>
          </w:p>
        </w:tc>
        <w:tc>
          <w:tcPr>
            <w:tcW w:w="1276" w:type="dxa"/>
            <w:shd w:val="clear" w:color="auto" w:fill="auto"/>
          </w:tcPr>
          <w:p w:rsidR="00517DF6" w:rsidRPr="000A0A5F" w:rsidRDefault="00517DF6" w:rsidP="00517DF6">
            <w:pPr>
              <w:pStyle w:val="TAL"/>
            </w:pPr>
            <w:r w:rsidRPr="000A0A5F">
              <w:rPr>
                <w:lang w:eastAsia="zh-CN"/>
              </w:rPr>
              <w:t>0..</w:t>
            </w:r>
            <w:r w:rsidRPr="000A0A5F">
              <w:rPr>
                <w:rFonts w:hint="eastAsia"/>
                <w:lang w:eastAsia="zh-CN"/>
              </w:rPr>
              <w:t>1</w:t>
            </w:r>
          </w:p>
        </w:tc>
        <w:tc>
          <w:tcPr>
            <w:tcW w:w="2995" w:type="dxa"/>
            <w:shd w:val="clear" w:color="auto" w:fill="auto"/>
          </w:tcPr>
          <w:p w:rsidR="00517DF6" w:rsidRPr="000A0A5F" w:rsidRDefault="00517DF6" w:rsidP="00517DF6">
            <w:pPr>
              <w:pStyle w:val="TAL"/>
              <w:rPr>
                <w:rFonts w:cs="Arial"/>
                <w:szCs w:val="18"/>
              </w:rPr>
            </w:pPr>
            <w:r w:rsidRPr="000A0A5F">
              <w:rPr>
                <w:rFonts w:cs="Arial" w:hint="eastAsia"/>
                <w:szCs w:val="18"/>
                <w:lang w:eastAsia="zh-CN"/>
              </w:rPr>
              <w:t xml:space="preserve">A URI indicating the notification destination </w:t>
            </w:r>
            <w:r w:rsidRPr="000A0A5F">
              <w:rPr>
                <w:rFonts w:cs="Arial"/>
                <w:szCs w:val="18"/>
                <w:lang w:eastAsia="zh-CN"/>
              </w:rPr>
              <w:t xml:space="preserve">where </w:t>
            </w:r>
            <w:r w:rsidRPr="000A0A5F">
              <w:rPr>
                <w:rFonts w:cs="Arial" w:hint="eastAsia"/>
                <w:szCs w:val="18"/>
                <w:lang w:eastAsia="zh-CN"/>
              </w:rPr>
              <w:t xml:space="preserve">T8 </w:t>
            </w:r>
            <w:r w:rsidRPr="000A0A5F">
              <w:rPr>
                <w:rFonts w:cs="Arial"/>
                <w:szCs w:val="18"/>
                <w:lang w:eastAsia="zh-CN"/>
              </w:rPr>
              <w:t>notification requests shall be delivered.</w:t>
            </w:r>
          </w:p>
        </w:tc>
        <w:tc>
          <w:tcPr>
            <w:tcW w:w="1257" w:type="dxa"/>
          </w:tcPr>
          <w:p w:rsidR="00517DF6" w:rsidRPr="000A0A5F" w:rsidRDefault="00517DF6" w:rsidP="00517DF6">
            <w:pPr>
              <w:pStyle w:val="TAL"/>
              <w:rPr>
                <w:rFonts w:cs="Arial"/>
                <w:szCs w:val="18"/>
              </w:rPr>
            </w:pPr>
          </w:p>
        </w:tc>
      </w:tr>
      <w:tr w:rsidR="00517DF6" w:rsidRPr="000A0A5F" w:rsidTr="00FF0AF8">
        <w:trPr>
          <w:jc w:val="center"/>
        </w:trPr>
        <w:tc>
          <w:tcPr>
            <w:tcW w:w="1948" w:type="dxa"/>
            <w:shd w:val="clear" w:color="auto" w:fill="auto"/>
          </w:tcPr>
          <w:p w:rsidR="00517DF6" w:rsidRPr="000A0A5F" w:rsidRDefault="00517DF6" w:rsidP="00517DF6">
            <w:pPr>
              <w:pStyle w:val="TAL"/>
              <w:rPr>
                <w:lang w:eastAsia="zh-CN"/>
              </w:rPr>
            </w:pPr>
            <w:r w:rsidRPr="000A0A5F">
              <w:rPr>
                <w:lang w:eastAsia="zh-CN"/>
              </w:rPr>
              <w:t>location</w:t>
            </w:r>
            <w:r w:rsidRPr="000A0A5F">
              <w:rPr>
                <w:rFonts w:hint="eastAsia"/>
                <w:lang w:eastAsia="zh-CN"/>
              </w:rPr>
              <w:t>Area</w:t>
            </w:r>
          </w:p>
        </w:tc>
        <w:tc>
          <w:tcPr>
            <w:tcW w:w="2126" w:type="dxa"/>
            <w:shd w:val="clear" w:color="auto" w:fill="auto"/>
          </w:tcPr>
          <w:p w:rsidR="00517DF6" w:rsidRPr="000A0A5F" w:rsidRDefault="00517DF6" w:rsidP="00517DF6">
            <w:pPr>
              <w:pStyle w:val="TAL"/>
              <w:rPr>
                <w:lang w:eastAsia="zh-CN"/>
              </w:rPr>
            </w:pPr>
            <w:r w:rsidRPr="000A0A5F">
              <w:rPr>
                <w:lang w:eastAsia="zh-CN"/>
              </w:rPr>
              <w:t>Location</w:t>
            </w:r>
            <w:r w:rsidRPr="000A0A5F">
              <w:rPr>
                <w:rFonts w:hint="eastAsia"/>
                <w:lang w:eastAsia="zh-CN"/>
              </w:rPr>
              <w:t>Area</w:t>
            </w:r>
          </w:p>
        </w:tc>
        <w:tc>
          <w:tcPr>
            <w:tcW w:w="1276" w:type="dxa"/>
            <w:shd w:val="clear" w:color="auto" w:fill="auto"/>
          </w:tcPr>
          <w:p w:rsidR="00517DF6" w:rsidRPr="000A0A5F" w:rsidRDefault="00517DF6" w:rsidP="00517DF6">
            <w:pPr>
              <w:pStyle w:val="TAL"/>
              <w:rPr>
                <w:lang w:eastAsia="zh-CN"/>
              </w:rPr>
            </w:pPr>
            <w:r w:rsidRPr="000A0A5F">
              <w:rPr>
                <w:lang w:eastAsia="zh-CN"/>
              </w:rPr>
              <w:t>0..</w:t>
            </w:r>
            <w:r w:rsidRPr="000A0A5F">
              <w:rPr>
                <w:rFonts w:hint="eastAsia"/>
                <w:lang w:eastAsia="zh-CN"/>
              </w:rPr>
              <w:t>1</w:t>
            </w:r>
          </w:p>
        </w:tc>
        <w:tc>
          <w:tcPr>
            <w:tcW w:w="2995" w:type="dxa"/>
            <w:shd w:val="clear" w:color="auto" w:fill="auto"/>
          </w:tcPr>
          <w:p w:rsidR="00517DF6" w:rsidRPr="000A0A5F" w:rsidRDefault="00517DF6" w:rsidP="00517DF6">
            <w:pPr>
              <w:pStyle w:val="TAL"/>
              <w:rPr>
                <w:rFonts w:cs="Arial"/>
                <w:szCs w:val="18"/>
                <w:lang w:eastAsia="zh-CN"/>
              </w:rPr>
            </w:pPr>
            <w:r w:rsidRPr="000A0A5F">
              <w:rPr>
                <w:rFonts w:cs="Arial" w:hint="eastAsia"/>
                <w:szCs w:val="18"/>
                <w:lang w:eastAsia="zh-CN"/>
              </w:rPr>
              <w:t xml:space="preserve">Identifies a </w:t>
            </w:r>
            <w:r w:rsidRPr="000A0A5F">
              <w:rPr>
                <w:rFonts w:cs="Arial"/>
                <w:szCs w:val="18"/>
                <w:lang w:eastAsia="zh-CN"/>
              </w:rPr>
              <w:t>location</w:t>
            </w:r>
            <w:r w:rsidRPr="000A0A5F">
              <w:rPr>
                <w:rFonts w:cs="Arial" w:hint="eastAsia"/>
                <w:szCs w:val="18"/>
                <w:lang w:eastAsia="zh-CN"/>
              </w:rPr>
              <w:t xml:space="preserve"> area</w:t>
            </w:r>
            <w:r w:rsidRPr="000A0A5F">
              <w:rPr>
                <w:rFonts w:cs="Arial"/>
                <w:szCs w:val="18"/>
                <w:lang w:eastAsia="zh-CN"/>
              </w:rPr>
              <w:t xml:space="preserve">. It </w:t>
            </w:r>
            <w:r w:rsidRPr="000A0A5F">
              <w:t>can be either a list of cell IDs, or a list of</w:t>
            </w:r>
            <w:r w:rsidRPr="000A0A5F">
              <w:rPr>
                <w:rFonts w:hint="eastAsia"/>
              </w:rPr>
              <w:t xml:space="preserve"> Tracking Areas</w:t>
            </w:r>
            <w:r w:rsidRPr="000A0A5F">
              <w:t>, or civic addresses, or a geographic area, or a combination of any of the above.</w:t>
            </w:r>
          </w:p>
        </w:tc>
        <w:tc>
          <w:tcPr>
            <w:tcW w:w="1257" w:type="dxa"/>
          </w:tcPr>
          <w:p w:rsidR="00517DF6" w:rsidRPr="000A0A5F" w:rsidRDefault="00517DF6" w:rsidP="00517DF6">
            <w:pPr>
              <w:pStyle w:val="TAL"/>
              <w:rPr>
                <w:rFonts w:cs="Arial"/>
                <w:szCs w:val="18"/>
              </w:rPr>
            </w:pPr>
          </w:p>
        </w:tc>
      </w:tr>
      <w:tr w:rsidR="00517DF6" w:rsidRPr="000A0A5F" w:rsidTr="00FF0AF8">
        <w:trPr>
          <w:jc w:val="center"/>
        </w:trPr>
        <w:tc>
          <w:tcPr>
            <w:tcW w:w="1948" w:type="dxa"/>
            <w:shd w:val="clear" w:color="auto" w:fill="auto"/>
          </w:tcPr>
          <w:p w:rsidR="00517DF6" w:rsidRPr="000A0A5F" w:rsidRDefault="00517DF6" w:rsidP="00517DF6">
            <w:pPr>
              <w:pStyle w:val="TAL"/>
              <w:rPr>
                <w:lang w:eastAsia="zh-CN"/>
              </w:rPr>
            </w:pPr>
            <w:r w:rsidRPr="000A0A5F">
              <w:rPr>
                <w:rFonts w:hint="eastAsia"/>
                <w:lang w:eastAsia="zh-CN"/>
              </w:rPr>
              <w:t>timeDuration</w:t>
            </w:r>
          </w:p>
        </w:tc>
        <w:tc>
          <w:tcPr>
            <w:tcW w:w="2126" w:type="dxa"/>
            <w:shd w:val="clear" w:color="auto" w:fill="auto"/>
          </w:tcPr>
          <w:p w:rsidR="00517DF6" w:rsidRPr="000A0A5F" w:rsidRDefault="00517DF6" w:rsidP="00517DF6">
            <w:pPr>
              <w:pStyle w:val="TAL"/>
              <w:rPr>
                <w:lang w:eastAsia="zh-CN"/>
              </w:rPr>
            </w:pPr>
            <w:r w:rsidRPr="000A0A5F">
              <w:rPr>
                <w:lang w:eastAsia="zh-CN"/>
              </w:rPr>
              <w:t>DateT</w:t>
            </w:r>
            <w:r w:rsidR="001C717D" w:rsidRPr="000A0A5F">
              <w:rPr>
                <w:lang w:eastAsia="zh-CN"/>
              </w:rPr>
              <w:t>i</w:t>
            </w:r>
            <w:r w:rsidRPr="000A0A5F">
              <w:rPr>
                <w:lang w:eastAsia="zh-CN"/>
              </w:rPr>
              <w:t>meRm</w:t>
            </w:r>
          </w:p>
        </w:tc>
        <w:tc>
          <w:tcPr>
            <w:tcW w:w="1276" w:type="dxa"/>
            <w:shd w:val="clear" w:color="auto" w:fill="auto"/>
          </w:tcPr>
          <w:p w:rsidR="00517DF6" w:rsidRPr="000A0A5F" w:rsidRDefault="00517DF6" w:rsidP="00517DF6">
            <w:pPr>
              <w:pStyle w:val="TAL"/>
              <w:rPr>
                <w:lang w:eastAsia="zh-CN"/>
              </w:rPr>
            </w:pPr>
            <w:r w:rsidRPr="000A0A5F">
              <w:t>0..1</w:t>
            </w:r>
          </w:p>
        </w:tc>
        <w:tc>
          <w:tcPr>
            <w:tcW w:w="2995" w:type="dxa"/>
            <w:shd w:val="clear" w:color="auto" w:fill="auto"/>
          </w:tcPr>
          <w:p w:rsidR="00517DF6" w:rsidRPr="000A0A5F" w:rsidRDefault="00517DF6" w:rsidP="00517DF6">
            <w:pPr>
              <w:pStyle w:val="TAL"/>
              <w:rPr>
                <w:rFonts w:cs="Arial"/>
                <w:szCs w:val="18"/>
                <w:lang w:eastAsia="zh-CN"/>
              </w:rPr>
            </w:pPr>
            <w:r w:rsidRPr="000A0A5F">
              <w:rPr>
                <w:rFonts w:cs="Arial" w:hint="eastAsia"/>
                <w:szCs w:val="18"/>
                <w:lang w:eastAsia="zh-CN"/>
              </w:rPr>
              <w:t xml:space="preserve">Identifies the time </w:t>
            </w:r>
            <w:r w:rsidRPr="000A0A5F">
              <w:rPr>
                <w:rFonts w:cs="Arial"/>
                <w:szCs w:val="18"/>
                <w:lang w:eastAsia="zh-CN"/>
              </w:rPr>
              <w:t>for which a continuous reporting is requested. Shall not be provided for one time reporting case.</w:t>
            </w:r>
          </w:p>
        </w:tc>
        <w:tc>
          <w:tcPr>
            <w:tcW w:w="1257" w:type="dxa"/>
          </w:tcPr>
          <w:p w:rsidR="00517DF6" w:rsidRPr="000A0A5F" w:rsidRDefault="00517DF6" w:rsidP="00517DF6">
            <w:pPr>
              <w:pStyle w:val="TAL"/>
              <w:rPr>
                <w:rFonts w:cs="Arial"/>
                <w:szCs w:val="18"/>
              </w:rPr>
            </w:pPr>
          </w:p>
        </w:tc>
      </w:tr>
      <w:tr w:rsidR="00517DF6" w:rsidRPr="000A0A5F" w:rsidTr="00FF0AF8">
        <w:trPr>
          <w:jc w:val="center"/>
        </w:trPr>
        <w:tc>
          <w:tcPr>
            <w:tcW w:w="1948" w:type="dxa"/>
            <w:shd w:val="clear" w:color="auto" w:fill="auto"/>
          </w:tcPr>
          <w:p w:rsidR="00517DF6" w:rsidRPr="000A0A5F" w:rsidRDefault="00517DF6" w:rsidP="00517DF6">
            <w:pPr>
              <w:pStyle w:val="TAL"/>
              <w:spacing w:afterLines="50" w:after="120"/>
            </w:pPr>
            <w:r w:rsidRPr="000A0A5F">
              <w:t>thresholdValues</w:t>
            </w:r>
          </w:p>
        </w:tc>
        <w:tc>
          <w:tcPr>
            <w:tcW w:w="2126" w:type="dxa"/>
            <w:shd w:val="clear" w:color="auto" w:fill="auto"/>
          </w:tcPr>
          <w:p w:rsidR="00517DF6" w:rsidRPr="000A0A5F" w:rsidRDefault="00517DF6" w:rsidP="00517DF6">
            <w:pPr>
              <w:pStyle w:val="TAL"/>
              <w:rPr>
                <w:lang w:eastAsia="zh-CN"/>
              </w:rPr>
            </w:pPr>
            <w:r w:rsidRPr="000A0A5F">
              <w:rPr>
                <w:lang w:eastAsia="zh-CN"/>
              </w:rPr>
              <w:t>array(CongestionValue)</w:t>
            </w:r>
          </w:p>
        </w:tc>
        <w:tc>
          <w:tcPr>
            <w:tcW w:w="1276" w:type="dxa"/>
            <w:shd w:val="clear" w:color="auto" w:fill="auto"/>
          </w:tcPr>
          <w:p w:rsidR="00517DF6" w:rsidRPr="000A0A5F" w:rsidRDefault="00517DF6" w:rsidP="00517DF6">
            <w:pPr>
              <w:pStyle w:val="TAL"/>
              <w:rPr>
                <w:lang w:eastAsia="zh-CN"/>
              </w:rPr>
            </w:pPr>
            <w:r w:rsidRPr="000A0A5F">
              <w:rPr>
                <w:rFonts w:hint="eastAsia"/>
                <w:lang w:eastAsia="zh-CN"/>
              </w:rPr>
              <w:t>0..</w:t>
            </w:r>
            <w:r w:rsidRPr="000A0A5F">
              <w:rPr>
                <w:lang w:eastAsia="zh-CN"/>
              </w:rPr>
              <w:t>N</w:t>
            </w:r>
          </w:p>
        </w:tc>
        <w:tc>
          <w:tcPr>
            <w:tcW w:w="2995" w:type="dxa"/>
            <w:shd w:val="clear" w:color="auto" w:fill="auto"/>
          </w:tcPr>
          <w:p w:rsidR="00517DF6" w:rsidRPr="000A0A5F" w:rsidRDefault="00517DF6" w:rsidP="00517DF6">
            <w:pPr>
              <w:pStyle w:val="TAL"/>
              <w:spacing w:afterLines="50" w:after="120"/>
              <w:rPr>
                <w:rFonts w:cs="Arial"/>
                <w:szCs w:val="18"/>
                <w:lang w:eastAsia="zh-CN"/>
              </w:rPr>
            </w:pPr>
            <w:r w:rsidRPr="000A0A5F">
              <w:rPr>
                <w:rFonts w:cs="Arial" w:hint="eastAsia"/>
                <w:szCs w:val="18"/>
                <w:lang w:eastAsia="zh-CN"/>
              </w:rPr>
              <w:t xml:space="preserve">Identifies a </w:t>
            </w:r>
            <w:r w:rsidRPr="000A0A5F">
              <w:rPr>
                <w:rFonts w:cs="Arial"/>
                <w:szCs w:val="18"/>
                <w:lang w:eastAsia="zh-CN"/>
              </w:rPr>
              <w:t>list</w:t>
            </w:r>
            <w:r w:rsidRPr="000A0A5F">
              <w:rPr>
                <w:rFonts w:cs="Arial" w:hint="eastAsia"/>
                <w:szCs w:val="18"/>
                <w:lang w:eastAsia="zh-CN"/>
              </w:rPr>
              <w:t xml:space="preserve"> </w:t>
            </w:r>
            <w:r w:rsidRPr="000A0A5F">
              <w:rPr>
                <w:rFonts w:cs="Arial"/>
                <w:szCs w:val="18"/>
                <w:lang w:eastAsia="zh-CN"/>
              </w:rPr>
              <w:t>of congestion level(s) with exact value that</w:t>
            </w:r>
            <w:r w:rsidRPr="000A0A5F">
              <w:rPr>
                <w:rFonts w:cs="Arial" w:hint="eastAsia"/>
                <w:szCs w:val="18"/>
                <w:lang w:eastAsia="zh-CN"/>
              </w:rPr>
              <w:t xml:space="preserve"> the SCS/AS requests to be informed of </w:t>
            </w:r>
            <w:r w:rsidRPr="000A0A5F">
              <w:rPr>
                <w:rFonts w:cs="Arial"/>
                <w:szCs w:val="18"/>
                <w:lang w:eastAsia="zh-CN"/>
              </w:rPr>
              <w:t>when reached</w:t>
            </w:r>
            <w:r w:rsidRPr="000A0A5F">
              <w:rPr>
                <w:rFonts w:cs="Arial" w:hint="eastAsia"/>
                <w:szCs w:val="18"/>
                <w:lang w:eastAsia="zh-CN"/>
              </w:rPr>
              <w:t>.</w:t>
            </w:r>
          </w:p>
          <w:p w:rsidR="00517DF6" w:rsidRPr="000A0A5F" w:rsidRDefault="00517DF6" w:rsidP="00517DF6">
            <w:pPr>
              <w:pStyle w:val="TAL"/>
              <w:rPr>
                <w:rFonts w:cs="Arial"/>
                <w:szCs w:val="18"/>
                <w:lang w:eastAsia="zh-CN"/>
              </w:rPr>
            </w:pPr>
            <w:r w:rsidRPr="000A0A5F">
              <w:t>(NOTE 2)</w:t>
            </w:r>
          </w:p>
        </w:tc>
        <w:tc>
          <w:tcPr>
            <w:tcW w:w="1257" w:type="dxa"/>
          </w:tcPr>
          <w:p w:rsidR="00517DF6" w:rsidRPr="000A0A5F" w:rsidRDefault="00517DF6" w:rsidP="00517DF6">
            <w:pPr>
              <w:pStyle w:val="TAL"/>
              <w:rPr>
                <w:rFonts w:cs="Arial"/>
                <w:szCs w:val="18"/>
              </w:rPr>
            </w:pPr>
          </w:p>
        </w:tc>
      </w:tr>
      <w:tr w:rsidR="00517DF6" w:rsidRPr="000A0A5F" w:rsidTr="00FF0AF8">
        <w:trPr>
          <w:jc w:val="center"/>
        </w:trPr>
        <w:tc>
          <w:tcPr>
            <w:tcW w:w="1948" w:type="dxa"/>
            <w:shd w:val="clear" w:color="auto" w:fill="auto"/>
          </w:tcPr>
          <w:p w:rsidR="00517DF6" w:rsidRPr="000A0A5F" w:rsidRDefault="00517DF6" w:rsidP="00517DF6">
            <w:pPr>
              <w:pStyle w:val="TAL"/>
              <w:spacing w:afterLines="50" w:after="120"/>
            </w:pPr>
            <w:r w:rsidRPr="000A0A5F">
              <w:rPr>
                <w:rFonts w:hint="eastAsia"/>
                <w:lang w:eastAsia="ja-JP"/>
              </w:rPr>
              <w:t>threshold</w:t>
            </w:r>
            <w:r w:rsidRPr="000A0A5F">
              <w:rPr>
                <w:lang w:eastAsia="ja-JP"/>
              </w:rPr>
              <w:t>Types</w:t>
            </w:r>
          </w:p>
        </w:tc>
        <w:tc>
          <w:tcPr>
            <w:tcW w:w="2126" w:type="dxa"/>
            <w:shd w:val="clear" w:color="auto" w:fill="auto"/>
          </w:tcPr>
          <w:p w:rsidR="00517DF6" w:rsidRPr="000A0A5F" w:rsidRDefault="00517DF6" w:rsidP="00517DF6">
            <w:pPr>
              <w:pStyle w:val="TAL"/>
              <w:rPr>
                <w:lang w:eastAsia="zh-CN"/>
              </w:rPr>
            </w:pPr>
            <w:r w:rsidRPr="000A0A5F">
              <w:rPr>
                <w:lang w:eastAsia="ja-JP"/>
              </w:rPr>
              <w:t>array(</w:t>
            </w:r>
            <w:r w:rsidRPr="000A0A5F">
              <w:rPr>
                <w:rFonts w:hint="eastAsia"/>
                <w:lang w:eastAsia="ja-JP"/>
              </w:rPr>
              <w:t>CongestionType</w:t>
            </w:r>
            <w:r w:rsidRPr="000A0A5F">
              <w:rPr>
                <w:lang w:eastAsia="ja-JP"/>
              </w:rPr>
              <w:t>)</w:t>
            </w:r>
          </w:p>
        </w:tc>
        <w:tc>
          <w:tcPr>
            <w:tcW w:w="1276" w:type="dxa"/>
            <w:shd w:val="clear" w:color="auto" w:fill="auto"/>
          </w:tcPr>
          <w:p w:rsidR="00517DF6" w:rsidRPr="000A0A5F" w:rsidRDefault="00517DF6" w:rsidP="00517DF6">
            <w:pPr>
              <w:pStyle w:val="TAL"/>
              <w:rPr>
                <w:lang w:eastAsia="zh-CN"/>
              </w:rPr>
            </w:pPr>
            <w:r w:rsidRPr="000A0A5F">
              <w:rPr>
                <w:rFonts w:hint="eastAsia"/>
                <w:lang w:eastAsia="ja-JP"/>
              </w:rPr>
              <w:t>0..N</w:t>
            </w:r>
          </w:p>
        </w:tc>
        <w:tc>
          <w:tcPr>
            <w:tcW w:w="2995" w:type="dxa"/>
            <w:shd w:val="clear" w:color="auto" w:fill="auto"/>
          </w:tcPr>
          <w:p w:rsidR="00517DF6" w:rsidRPr="000A0A5F" w:rsidRDefault="00517DF6" w:rsidP="00517DF6">
            <w:pPr>
              <w:pStyle w:val="TAL"/>
              <w:spacing w:afterLines="50" w:after="120"/>
              <w:rPr>
                <w:rFonts w:cs="Arial"/>
                <w:szCs w:val="18"/>
                <w:lang w:eastAsia="zh-CN"/>
              </w:rPr>
            </w:pPr>
            <w:r w:rsidRPr="000A0A5F">
              <w:rPr>
                <w:rFonts w:cs="Arial" w:hint="eastAsia"/>
                <w:szCs w:val="18"/>
                <w:lang w:eastAsia="zh-CN"/>
              </w:rPr>
              <w:t xml:space="preserve">Identifies a </w:t>
            </w:r>
            <w:r w:rsidRPr="000A0A5F">
              <w:rPr>
                <w:rFonts w:cs="Arial"/>
                <w:szCs w:val="18"/>
                <w:lang w:eastAsia="zh-CN"/>
              </w:rPr>
              <w:t>list</w:t>
            </w:r>
            <w:r w:rsidRPr="000A0A5F">
              <w:rPr>
                <w:rFonts w:cs="Arial" w:hint="eastAsia"/>
                <w:szCs w:val="18"/>
                <w:lang w:eastAsia="zh-CN"/>
              </w:rPr>
              <w:t xml:space="preserve"> </w:t>
            </w:r>
            <w:r w:rsidRPr="000A0A5F">
              <w:rPr>
                <w:rFonts w:cs="Arial"/>
                <w:szCs w:val="18"/>
                <w:lang w:eastAsia="zh-CN"/>
              </w:rPr>
              <w:t>of congestion level(s) with abstracted value that</w:t>
            </w:r>
            <w:r w:rsidRPr="000A0A5F">
              <w:rPr>
                <w:rFonts w:cs="Arial" w:hint="eastAsia"/>
                <w:szCs w:val="18"/>
                <w:lang w:eastAsia="zh-CN"/>
              </w:rPr>
              <w:t xml:space="preserve"> the SCS/AS requests to be informed of </w:t>
            </w:r>
            <w:r w:rsidRPr="000A0A5F">
              <w:rPr>
                <w:rFonts w:cs="Arial"/>
                <w:szCs w:val="18"/>
                <w:lang w:eastAsia="zh-CN"/>
              </w:rPr>
              <w:t>when reached</w:t>
            </w:r>
            <w:r w:rsidRPr="000A0A5F">
              <w:rPr>
                <w:rFonts w:cs="Arial" w:hint="eastAsia"/>
                <w:szCs w:val="18"/>
                <w:lang w:eastAsia="zh-CN"/>
              </w:rPr>
              <w:t>.</w:t>
            </w:r>
          </w:p>
          <w:p w:rsidR="00517DF6" w:rsidRPr="000A0A5F" w:rsidRDefault="00517DF6" w:rsidP="00517DF6">
            <w:pPr>
              <w:pStyle w:val="TAL"/>
              <w:rPr>
                <w:rFonts w:cs="Arial"/>
                <w:szCs w:val="18"/>
                <w:lang w:eastAsia="zh-CN"/>
              </w:rPr>
            </w:pPr>
            <w:r w:rsidRPr="000A0A5F">
              <w:t>(NOTE 2)</w:t>
            </w:r>
          </w:p>
        </w:tc>
        <w:tc>
          <w:tcPr>
            <w:tcW w:w="1257" w:type="dxa"/>
          </w:tcPr>
          <w:p w:rsidR="00517DF6" w:rsidRPr="000A0A5F" w:rsidRDefault="00517DF6" w:rsidP="00517DF6">
            <w:pPr>
              <w:pStyle w:val="TAL"/>
              <w:rPr>
                <w:rFonts w:cs="Arial"/>
                <w:szCs w:val="18"/>
              </w:rPr>
            </w:pPr>
          </w:p>
        </w:tc>
      </w:tr>
      <w:tr w:rsidR="00517DF6" w:rsidRPr="000A0A5F" w:rsidTr="00FF0AF8">
        <w:trPr>
          <w:jc w:val="center"/>
        </w:trPr>
        <w:tc>
          <w:tcPr>
            <w:tcW w:w="9602" w:type="dxa"/>
            <w:gridSpan w:val="5"/>
            <w:shd w:val="clear" w:color="auto" w:fill="auto"/>
          </w:tcPr>
          <w:p w:rsidR="00517DF6" w:rsidRPr="000A0A5F" w:rsidRDefault="00517DF6" w:rsidP="00517DF6">
            <w:pPr>
              <w:pStyle w:val="TAN"/>
            </w:pPr>
            <w:r w:rsidRPr="000A0A5F">
              <w:t>NOTE 1:</w:t>
            </w:r>
            <w:r w:rsidRPr="000A0A5F">
              <w:tab/>
              <w:t>Properties marked with a feature as defined in clause 5.9.4 are applicable as described in clause 5.2.7. If no feature are indicated, the related property applies for all the features.</w:t>
            </w:r>
          </w:p>
          <w:p w:rsidR="00517DF6" w:rsidRPr="000A0A5F" w:rsidRDefault="00517DF6" w:rsidP="00517DF6">
            <w:pPr>
              <w:pStyle w:val="TAN"/>
            </w:pPr>
            <w:r w:rsidRPr="000A0A5F">
              <w:t>NOTE 2:</w:t>
            </w:r>
            <w:r w:rsidRPr="000A0A5F">
              <w:tab/>
              <w:t>The "thresholdValue" attribute and the "thresholdType" attribute shall be mutually exclusive.</w:t>
            </w:r>
          </w:p>
        </w:tc>
      </w:tr>
    </w:tbl>
    <w:p w:rsidR="00517DF6" w:rsidRPr="000A0A5F" w:rsidRDefault="00517DF6" w:rsidP="00517DF6">
      <w:pPr>
        <w:rPr>
          <w:lang w:eastAsia="ja-JP"/>
        </w:rPr>
      </w:pPr>
    </w:p>
    <w:p w:rsidR="00CB0DD7" w:rsidRPr="000A0A5F" w:rsidRDefault="00CB0DD7">
      <w:pPr>
        <w:pStyle w:val="Heading4"/>
        <w:rPr>
          <w:lang w:eastAsia="ja-JP"/>
        </w:rPr>
      </w:pPr>
      <w:bookmarkStart w:id="6666" w:name="_Toc105674793"/>
      <w:bookmarkStart w:id="6667" w:name="_Toc130502853"/>
      <w:bookmarkStart w:id="6668" w:name="_Toc153625640"/>
      <w:r w:rsidRPr="000A0A5F">
        <w:rPr>
          <w:rFonts w:hint="eastAsia"/>
          <w:lang w:eastAsia="ja-JP"/>
        </w:rPr>
        <w:t>5.9.2.2</w:t>
      </w:r>
      <w:r w:rsidRPr="000A0A5F">
        <w:rPr>
          <w:lang w:eastAsia="ja-JP"/>
        </w:rPr>
        <w:tab/>
        <w:t>Notification data types</w:t>
      </w:r>
      <w:bookmarkEnd w:id="6654"/>
      <w:bookmarkEnd w:id="6655"/>
      <w:bookmarkEnd w:id="6656"/>
      <w:bookmarkEnd w:id="6657"/>
      <w:bookmarkEnd w:id="6658"/>
      <w:bookmarkEnd w:id="6659"/>
      <w:bookmarkEnd w:id="6660"/>
      <w:bookmarkEnd w:id="6661"/>
      <w:bookmarkEnd w:id="6662"/>
      <w:bookmarkEnd w:id="6666"/>
      <w:bookmarkEnd w:id="6667"/>
      <w:bookmarkEnd w:id="6668"/>
    </w:p>
    <w:p w:rsidR="00CB0DD7" w:rsidRPr="000A0A5F" w:rsidRDefault="00CB0DD7">
      <w:pPr>
        <w:pStyle w:val="Heading5"/>
      </w:pPr>
      <w:bookmarkStart w:id="6669" w:name="_Toc11247681"/>
      <w:bookmarkStart w:id="6670" w:name="_Toc27044820"/>
      <w:bookmarkStart w:id="6671" w:name="_Toc36033862"/>
      <w:bookmarkStart w:id="6672" w:name="_Toc45132008"/>
      <w:bookmarkStart w:id="6673" w:name="_Toc49776293"/>
      <w:bookmarkStart w:id="6674" w:name="_Toc51747213"/>
      <w:bookmarkStart w:id="6675" w:name="_Toc66360783"/>
      <w:bookmarkStart w:id="6676" w:name="_Toc68105288"/>
      <w:bookmarkStart w:id="6677" w:name="_Toc74755918"/>
      <w:bookmarkStart w:id="6678" w:name="_Toc105674794"/>
      <w:bookmarkStart w:id="6679" w:name="_Toc130502854"/>
      <w:bookmarkStart w:id="6680" w:name="_Toc153625641"/>
      <w:r w:rsidRPr="000A0A5F">
        <w:t>5.9.2.2.1</w:t>
      </w:r>
      <w:r w:rsidRPr="000A0A5F">
        <w:tab/>
        <w:t>Introduction</w:t>
      </w:r>
      <w:bookmarkEnd w:id="6669"/>
      <w:bookmarkEnd w:id="6670"/>
      <w:bookmarkEnd w:id="6671"/>
      <w:bookmarkEnd w:id="6672"/>
      <w:bookmarkEnd w:id="6673"/>
      <w:bookmarkEnd w:id="6674"/>
      <w:bookmarkEnd w:id="6675"/>
      <w:bookmarkEnd w:id="6676"/>
      <w:bookmarkEnd w:id="6677"/>
      <w:bookmarkEnd w:id="6678"/>
      <w:bookmarkEnd w:id="6679"/>
      <w:bookmarkEnd w:id="6680"/>
    </w:p>
    <w:p w:rsidR="00CB0DD7" w:rsidRPr="000A0A5F" w:rsidRDefault="00CB0DD7">
      <w:r w:rsidRPr="000A0A5F">
        <w:t>This clause defines data structures to be used in notifications.</w:t>
      </w:r>
    </w:p>
    <w:p w:rsidR="00CB0DD7" w:rsidRPr="000A0A5F" w:rsidRDefault="00CB0DD7">
      <w:pPr>
        <w:pStyle w:val="Heading5"/>
      </w:pPr>
      <w:bookmarkStart w:id="6681" w:name="_Toc11247682"/>
      <w:bookmarkStart w:id="6682" w:name="_Toc27044821"/>
      <w:bookmarkStart w:id="6683" w:name="_Toc36033863"/>
      <w:bookmarkStart w:id="6684" w:name="_Toc45132009"/>
      <w:bookmarkStart w:id="6685" w:name="_Toc49776294"/>
      <w:bookmarkStart w:id="6686" w:name="_Toc51747214"/>
      <w:bookmarkStart w:id="6687" w:name="_Toc66360784"/>
      <w:bookmarkStart w:id="6688" w:name="_Toc68105289"/>
      <w:bookmarkStart w:id="6689" w:name="_Toc74755919"/>
      <w:bookmarkStart w:id="6690" w:name="_Toc105674795"/>
      <w:bookmarkStart w:id="6691" w:name="_Toc130502855"/>
      <w:bookmarkStart w:id="6692" w:name="_Toc153625642"/>
      <w:r w:rsidRPr="000A0A5F">
        <w:t>5.9.2.2.2</w:t>
      </w:r>
      <w:r w:rsidRPr="000A0A5F">
        <w:tab/>
        <w:t>Type: NetworkStatusReportingNotification</w:t>
      </w:r>
      <w:bookmarkEnd w:id="6681"/>
      <w:bookmarkEnd w:id="6682"/>
      <w:bookmarkEnd w:id="6683"/>
      <w:bookmarkEnd w:id="6684"/>
      <w:bookmarkEnd w:id="6685"/>
      <w:bookmarkEnd w:id="6686"/>
      <w:bookmarkEnd w:id="6687"/>
      <w:bookmarkEnd w:id="6688"/>
      <w:bookmarkEnd w:id="6689"/>
      <w:bookmarkEnd w:id="6690"/>
      <w:bookmarkEnd w:id="6691"/>
      <w:bookmarkEnd w:id="6692"/>
    </w:p>
    <w:p w:rsidR="00CB0DD7" w:rsidRPr="000A0A5F" w:rsidRDefault="00CB0DD7">
      <w:r w:rsidRPr="000A0A5F">
        <w:t xml:space="preserve">This data type represents a network status reporting notification which is sent from the SCEF to the SCS/AS. </w:t>
      </w:r>
    </w:p>
    <w:p w:rsidR="00CB0DD7" w:rsidRPr="000A0A5F" w:rsidRDefault="00CB0DD7">
      <w:pPr>
        <w:pStyle w:val="TH"/>
      </w:pPr>
      <w:r w:rsidRPr="000A0A5F">
        <w:rPr>
          <w:noProof/>
        </w:rPr>
        <w:t>Table </w:t>
      </w:r>
      <w:r w:rsidRPr="000A0A5F">
        <w:t xml:space="preserve">5.9.2.2.2-1: </w:t>
      </w:r>
      <w:r w:rsidRPr="000A0A5F">
        <w:rPr>
          <w:noProof/>
        </w:rPr>
        <w:t>Definition of type NetworkStatusReporting</w:t>
      </w:r>
      <w:r w:rsidRPr="000A0A5F">
        <w:t>Notification</w:t>
      </w:r>
    </w:p>
    <w:tbl>
      <w:tblPr>
        <w:tblW w:w="9574" w:type="dxa"/>
        <w:tblInd w:w="-3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094"/>
        <w:gridCol w:w="1559"/>
        <w:gridCol w:w="1089"/>
        <w:gridCol w:w="3589"/>
        <w:gridCol w:w="1243"/>
      </w:tblGrid>
      <w:tr w:rsidR="00CB0DD7" w:rsidRPr="000A0A5F" w:rsidTr="00FF0AF8">
        <w:tc>
          <w:tcPr>
            <w:tcW w:w="2094" w:type="dxa"/>
            <w:shd w:val="clear" w:color="auto" w:fill="C0C0C0"/>
          </w:tcPr>
          <w:p w:rsidR="00CB0DD7" w:rsidRPr="000A0A5F" w:rsidRDefault="00CB0DD7">
            <w:pPr>
              <w:pStyle w:val="TAH"/>
              <w:rPr>
                <w:rFonts w:eastAsia="Times New Roman"/>
              </w:rPr>
            </w:pPr>
            <w:r w:rsidRPr="000A0A5F">
              <w:rPr>
                <w:rFonts w:eastAsia="Times New Roman"/>
              </w:rPr>
              <w:t>Attribute name</w:t>
            </w:r>
          </w:p>
        </w:tc>
        <w:tc>
          <w:tcPr>
            <w:tcW w:w="1559" w:type="dxa"/>
            <w:shd w:val="clear" w:color="auto" w:fill="C0C0C0"/>
          </w:tcPr>
          <w:p w:rsidR="00CB0DD7" w:rsidRPr="000A0A5F" w:rsidRDefault="00CB0DD7">
            <w:pPr>
              <w:pStyle w:val="TAH"/>
              <w:rPr>
                <w:rFonts w:eastAsia="Times New Roman"/>
              </w:rPr>
            </w:pPr>
            <w:r w:rsidRPr="000A0A5F">
              <w:rPr>
                <w:rFonts w:eastAsia="Times New Roman"/>
              </w:rPr>
              <w:t>Data type</w:t>
            </w:r>
          </w:p>
        </w:tc>
        <w:tc>
          <w:tcPr>
            <w:tcW w:w="1089" w:type="dxa"/>
            <w:shd w:val="clear" w:color="auto" w:fill="C0C0C0"/>
          </w:tcPr>
          <w:p w:rsidR="00CB0DD7" w:rsidRPr="000A0A5F" w:rsidRDefault="00CB0DD7">
            <w:pPr>
              <w:pStyle w:val="TAH"/>
              <w:jc w:val="left"/>
              <w:rPr>
                <w:rFonts w:eastAsia="Times New Roman"/>
              </w:rPr>
            </w:pPr>
            <w:r w:rsidRPr="000A0A5F">
              <w:rPr>
                <w:rFonts w:eastAsia="Times New Roman"/>
              </w:rPr>
              <w:t>Cardinality</w:t>
            </w:r>
          </w:p>
        </w:tc>
        <w:tc>
          <w:tcPr>
            <w:tcW w:w="3589"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Description</w:t>
            </w:r>
          </w:p>
        </w:tc>
        <w:tc>
          <w:tcPr>
            <w:tcW w:w="1243"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Applicability (NOTE 1)</w:t>
            </w:r>
          </w:p>
        </w:tc>
      </w:tr>
      <w:tr w:rsidR="00CB0DD7" w:rsidRPr="000A0A5F" w:rsidTr="00FF0AF8">
        <w:tc>
          <w:tcPr>
            <w:tcW w:w="2094" w:type="dxa"/>
            <w:shd w:val="clear" w:color="auto" w:fill="auto"/>
          </w:tcPr>
          <w:p w:rsidR="00CB0DD7" w:rsidRPr="000A0A5F" w:rsidRDefault="00CB0DD7">
            <w:pPr>
              <w:pStyle w:val="TAH"/>
              <w:jc w:val="left"/>
              <w:rPr>
                <w:rFonts w:eastAsia="Times New Roman"/>
                <w:b w:val="0"/>
              </w:rPr>
            </w:pPr>
            <w:r w:rsidRPr="000A0A5F">
              <w:rPr>
                <w:b w:val="0"/>
                <w:lang w:eastAsia="zh-CN"/>
              </w:rPr>
              <w:t>subscription</w:t>
            </w:r>
          </w:p>
        </w:tc>
        <w:tc>
          <w:tcPr>
            <w:tcW w:w="1559" w:type="dxa"/>
            <w:shd w:val="clear" w:color="auto" w:fill="auto"/>
          </w:tcPr>
          <w:p w:rsidR="00CB0DD7" w:rsidRPr="000A0A5F" w:rsidRDefault="00CB0DD7">
            <w:pPr>
              <w:pStyle w:val="TAH"/>
              <w:jc w:val="left"/>
              <w:rPr>
                <w:rFonts w:eastAsia="Times New Roman"/>
                <w:b w:val="0"/>
              </w:rPr>
            </w:pPr>
            <w:r w:rsidRPr="000A0A5F">
              <w:rPr>
                <w:b w:val="0"/>
              </w:rPr>
              <w:t>Link</w:t>
            </w:r>
          </w:p>
        </w:tc>
        <w:tc>
          <w:tcPr>
            <w:tcW w:w="1089" w:type="dxa"/>
            <w:shd w:val="clear" w:color="auto" w:fill="auto"/>
          </w:tcPr>
          <w:p w:rsidR="00CB0DD7" w:rsidRPr="000A0A5F" w:rsidRDefault="00CB0DD7">
            <w:pPr>
              <w:pStyle w:val="TAH"/>
              <w:jc w:val="left"/>
              <w:rPr>
                <w:rFonts w:eastAsia="Times New Roman"/>
                <w:b w:val="0"/>
              </w:rPr>
            </w:pPr>
            <w:r w:rsidRPr="000A0A5F">
              <w:rPr>
                <w:b w:val="0"/>
              </w:rPr>
              <w:t>1</w:t>
            </w:r>
          </w:p>
        </w:tc>
        <w:tc>
          <w:tcPr>
            <w:tcW w:w="3589" w:type="dxa"/>
            <w:shd w:val="clear" w:color="auto" w:fill="auto"/>
          </w:tcPr>
          <w:p w:rsidR="00CB0DD7" w:rsidRPr="000A0A5F" w:rsidRDefault="00CB0DD7">
            <w:pPr>
              <w:pStyle w:val="TAH"/>
              <w:jc w:val="left"/>
              <w:rPr>
                <w:rFonts w:eastAsia="Times New Roman" w:cs="Arial"/>
                <w:b w:val="0"/>
                <w:szCs w:val="18"/>
              </w:rPr>
            </w:pPr>
            <w:r w:rsidRPr="000A0A5F">
              <w:rPr>
                <w:rFonts w:cs="Arial"/>
                <w:b w:val="0"/>
                <w:szCs w:val="18"/>
              </w:rPr>
              <w:t>Link to the subscription resource to which this notification is related.</w:t>
            </w:r>
          </w:p>
        </w:tc>
        <w:tc>
          <w:tcPr>
            <w:tcW w:w="1243" w:type="dxa"/>
            <w:shd w:val="clear" w:color="auto" w:fill="auto"/>
          </w:tcPr>
          <w:p w:rsidR="00CB0DD7" w:rsidRPr="000A0A5F" w:rsidRDefault="00CB0DD7">
            <w:pPr>
              <w:pStyle w:val="TAH"/>
              <w:jc w:val="left"/>
              <w:rPr>
                <w:rFonts w:eastAsia="Times New Roman" w:cs="Arial"/>
                <w:b w:val="0"/>
                <w:szCs w:val="18"/>
              </w:rPr>
            </w:pPr>
          </w:p>
        </w:tc>
      </w:tr>
      <w:tr w:rsidR="00CB0DD7" w:rsidRPr="000A0A5F" w:rsidTr="00FF0AF8">
        <w:tc>
          <w:tcPr>
            <w:tcW w:w="2094" w:type="dxa"/>
            <w:shd w:val="clear" w:color="auto" w:fill="auto"/>
          </w:tcPr>
          <w:p w:rsidR="00CB0DD7" w:rsidRPr="000A0A5F" w:rsidRDefault="00CB0DD7">
            <w:pPr>
              <w:pStyle w:val="TAL"/>
              <w:spacing w:afterLines="50" w:after="120"/>
              <w:rPr>
                <w:rFonts w:hint="eastAsia"/>
                <w:lang w:eastAsia="zh-CN"/>
              </w:rPr>
            </w:pPr>
            <w:r w:rsidRPr="000A0A5F">
              <w:rPr>
                <w:lang w:eastAsia="zh-CN"/>
              </w:rPr>
              <w:t>nsiValue</w:t>
            </w:r>
          </w:p>
        </w:tc>
        <w:tc>
          <w:tcPr>
            <w:tcW w:w="1559" w:type="dxa"/>
            <w:shd w:val="clear" w:color="auto" w:fill="auto"/>
          </w:tcPr>
          <w:p w:rsidR="00CB0DD7" w:rsidRPr="000A0A5F" w:rsidRDefault="00CB0DD7">
            <w:pPr>
              <w:pStyle w:val="TAL"/>
              <w:rPr>
                <w:rFonts w:eastAsia="Times New Roman"/>
              </w:rPr>
            </w:pPr>
            <w:r w:rsidRPr="000A0A5F">
              <w:rPr>
                <w:rFonts w:eastAsia="Times New Roman"/>
              </w:rPr>
              <w:t>CongestionValue</w:t>
            </w:r>
          </w:p>
        </w:tc>
        <w:tc>
          <w:tcPr>
            <w:tcW w:w="1089" w:type="dxa"/>
            <w:shd w:val="clear" w:color="auto" w:fill="auto"/>
          </w:tcPr>
          <w:p w:rsidR="00CB0DD7" w:rsidRPr="000A0A5F" w:rsidRDefault="00CB0DD7">
            <w:pPr>
              <w:pStyle w:val="TAL"/>
              <w:rPr>
                <w:rFonts w:eastAsia="Times New Roman"/>
              </w:rPr>
            </w:pPr>
            <w:r w:rsidRPr="000A0A5F">
              <w:rPr>
                <w:rFonts w:eastAsia="Times New Roman"/>
              </w:rPr>
              <w:t>0..1</w:t>
            </w:r>
          </w:p>
        </w:tc>
        <w:tc>
          <w:tcPr>
            <w:tcW w:w="3589" w:type="dxa"/>
            <w:shd w:val="clear" w:color="auto" w:fill="auto"/>
          </w:tcPr>
          <w:p w:rsidR="00CB0DD7" w:rsidRPr="000A0A5F" w:rsidRDefault="00CB0DD7">
            <w:pPr>
              <w:pStyle w:val="TAL"/>
              <w:spacing w:afterLines="50" w:after="120"/>
              <w:rPr>
                <w:rFonts w:hint="eastAsia"/>
                <w:lang w:eastAsia="zh-CN"/>
              </w:rPr>
            </w:pPr>
            <w:r w:rsidRPr="000A0A5F">
              <w:rPr>
                <w:rFonts w:eastAsia="Times New Roman" w:cs="Arial"/>
                <w:szCs w:val="18"/>
              </w:rPr>
              <w:t>Network Status Indicator based on exact value for congestion status received from RCAF(s).</w:t>
            </w:r>
            <w:r w:rsidRPr="000A0A5F">
              <w:rPr>
                <w:rFonts w:hint="eastAsia"/>
                <w:lang w:eastAsia="zh-CN"/>
              </w:rPr>
              <w:t xml:space="preserve"> </w:t>
            </w:r>
          </w:p>
          <w:p w:rsidR="00CB0DD7" w:rsidRPr="000A0A5F" w:rsidRDefault="00CB0DD7">
            <w:pPr>
              <w:pStyle w:val="TAL"/>
              <w:rPr>
                <w:rFonts w:eastAsia="Times New Roman" w:cs="Arial"/>
                <w:szCs w:val="18"/>
              </w:rPr>
            </w:pPr>
            <w:r w:rsidRPr="000A0A5F">
              <w:rPr>
                <w:lang w:eastAsia="zh-CN"/>
              </w:rPr>
              <w:t>(NOTE 2)</w:t>
            </w:r>
          </w:p>
        </w:tc>
        <w:tc>
          <w:tcPr>
            <w:tcW w:w="1243" w:type="dxa"/>
            <w:shd w:val="clear" w:color="auto" w:fill="auto"/>
          </w:tcPr>
          <w:p w:rsidR="00CB0DD7" w:rsidRPr="000A0A5F" w:rsidRDefault="00CB0DD7">
            <w:pPr>
              <w:pStyle w:val="TAH"/>
              <w:rPr>
                <w:rFonts w:eastAsia="Times New Roman" w:cs="Arial"/>
                <w:szCs w:val="18"/>
              </w:rPr>
            </w:pPr>
          </w:p>
        </w:tc>
      </w:tr>
      <w:tr w:rsidR="00CB0DD7" w:rsidRPr="000A0A5F" w:rsidTr="00FF0AF8">
        <w:tc>
          <w:tcPr>
            <w:tcW w:w="2094" w:type="dxa"/>
            <w:shd w:val="clear" w:color="auto" w:fill="auto"/>
          </w:tcPr>
          <w:p w:rsidR="00CB0DD7" w:rsidRPr="000A0A5F" w:rsidRDefault="00CB0DD7">
            <w:pPr>
              <w:pStyle w:val="TAL"/>
              <w:spacing w:afterLines="50" w:after="120"/>
              <w:rPr>
                <w:rFonts w:hint="eastAsia"/>
                <w:lang w:eastAsia="ja-JP"/>
              </w:rPr>
            </w:pPr>
            <w:r w:rsidRPr="000A0A5F">
              <w:rPr>
                <w:rFonts w:hint="eastAsia"/>
                <w:lang w:eastAsia="ja-JP"/>
              </w:rPr>
              <w:t>nsiType</w:t>
            </w:r>
          </w:p>
        </w:tc>
        <w:tc>
          <w:tcPr>
            <w:tcW w:w="1559" w:type="dxa"/>
            <w:shd w:val="clear" w:color="auto" w:fill="auto"/>
          </w:tcPr>
          <w:p w:rsidR="00CB0DD7" w:rsidRPr="000A0A5F" w:rsidRDefault="00CB0DD7">
            <w:pPr>
              <w:pStyle w:val="TAL"/>
              <w:rPr>
                <w:rFonts w:eastAsia="Times New Roman" w:hint="eastAsia"/>
                <w:lang w:eastAsia="ja-JP"/>
              </w:rPr>
            </w:pPr>
            <w:r w:rsidRPr="000A0A5F">
              <w:rPr>
                <w:rFonts w:eastAsia="Times New Roman" w:hint="eastAsia"/>
                <w:lang w:eastAsia="ja-JP"/>
              </w:rPr>
              <w:t>CongestionType</w:t>
            </w:r>
          </w:p>
        </w:tc>
        <w:tc>
          <w:tcPr>
            <w:tcW w:w="1089" w:type="dxa"/>
            <w:shd w:val="clear" w:color="auto" w:fill="auto"/>
          </w:tcPr>
          <w:p w:rsidR="00CB0DD7" w:rsidRPr="000A0A5F" w:rsidRDefault="00CB0DD7">
            <w:pPr>
              <w:pStyle w:val="TAL"/>
              <w:rPr>
                <w:rFonts w:eastAsia="Times New Roman" w:hint="eastAsia"/>
                <w:lang w:eastAsia="ja-JP"/>
              </w:rPr>
            </w:pPr>
            <w:r w:rsidRPr="000A0A5F">
              <w:rPr>
                <w:rFonts w:eastAsia="Times New Roman" w:hint="eastAsia"/>
                <w:lang w:eastAsia="ja-JP"/>
              </w:rPr>
              <w:t>0..1</w:t>
            </w:r>
          </w:p>
        </w:tc>
        <w:tc>
          <w:tcPr>
            <w:tcW w:w="3589" w:type="dxa"/>
            <w:shd w:val="clear" w:color="auto" w:fill="auto"/>
          </w:tcPr>
          <w:p w:rsidR="00CB0DD7" w:rsidRPr="000A0A5F" w:rsidRDefault="00CB0DD7">
            <w:pPr>
              <w:pStyle w:val="TAL"/>
              <w:spacing w:afterLines="50" w:after="120"/>
              <w:rPr>
                <w:rFonts w:eastAsia="MS Mincho" w:hint="eastAsia"/>
                <w:lang w:eastAsia="ja-JP"/>
              </w:rPr>
            </w:pPr>
            <w:r w:rsidRPr="000A0A5F">
              <w:rPr>
                <w:rFonts w:eastAsia="Times New Roman" w:cs="Arial"/>
                <w:szCs w:val="18"/>
              </w:rPr>
              <w:t>Network Status Indicator based on abstracted value for congestion status.</w:t>
            </w:r>
          </w:p>
          <w:p w:rsidR="00CB0DD7" w:rsidRPr="000A0A5F" w:rsidRDefault="00CB0DD7">
            <w:pPr>
              <w:pStyle w:val="TAL"/>
              <w:rPr>
                <w:rFonts w:eastAsia="Times New Roman" w:cs="Arial"/>
                <w:szCs w:val="18"/>
              </w:rPr>
            </w:pPr>
            <w:r w:rsidRPr="000A0A5F">
              <w:rPr>
                <w:lang w:eastAsia="ja-JP"/>
              </w:rPr>
              <w:t>(NOTE 2)</w:t>
            </w:r>
          </w:p>
        </w:tc>
        <w:tc>
          <w:tcPr>
            <w:tcW w:w="1243" w:type="dxa"/>
            <w:shd w:val="clear" w:color="auto" w:fill="auto"/>
          </w:tcPr>
          <w:p w:rsidR="00CB0DD7" w:rsidRPr="000A0A5F" w:rsidRDefault="00CB0DD7">
            <w:pPr>
              <w:pStyle w:val="TAH"/>
              <w:rPr>
                <w:rFonts w:eastAsia="Times New Roman" w:cs="Arial"/>
                <w:szCs w:val="18"/>
              </w:rPr>
            </w:pPr>
          </w:p>
        </w:tc>
      </w:tr>
      <w:tr w:rsidR="00CB0DD7" w:rsidRPr="000A0A5F" w:rsidTr="00FF0AF8">
        <w:trPr>
          <w:trHeight w:val="457"/>
        </w:trPr>
        <w:tc>
          <w:tcPr>
            <w:tcW w:w="9574" w:type="dxa"/>
            <w:gridSpan w:val="5"/>
            <w:shd w:val="clear" w:color="auto" w:fill="auto"/>
          </w:tcPr>
          <w:p w:rsidR="00CB0DD7" w:rsidRPr="000A0A5F" w:rsidRDefault="00CB0DD7">
            <w:pPr>
              <w:pStyle w:val="TAN"/>
            </w:pPr>
            <w:r w:rsidRPr="000A0A5F">
              <w:t>NOTE 1:</w:t>
            </w:r>
            <w:r w:rsidRPr="000A0A5F">
              <w:tab/>
              <w:t>Properties marked with a feature as defined in clause 5.9.4 are applicable as described in clause 5.2.7. If no features are indicated, the related property applies for all the features.</w:t>
            </w:r>
          </w:p>
          <w:p w:rsidR="00CB0DD7" w:rsidRPr="000A0A5F" w:rsidRDefault="00CB0DD7">
            <w:pPr>
              <w:pStyle w:val="TAN"/>
              <w:rPr>
                <w:rFonts w:cs="Arial"/>
                <w:szCs w:val="18"/>
                <w:lang w:eastAsia="zh-CN"/>
              </w:rPr>
            </w:pPr>
            <w:r w:rsidRPr="000A0A5F">
              <w:t>NOTE 2:</w:t>
            </w:r>
            <w:r w:rsidRPr="000A0A5F">
              <w:tab/>
              <w:t>nsiValue and nsiType shall be mutually exclusive.</w:t>
            </w:r>
          </w:p>
        </w:tc>
      </w:tr>
    </w:tbl>
    <w:p w:rsidR="00CB0DD7" w:rsidRPr="000A0A5F" w:rsidRDefault="00CB0DD7"/>
    <w:p w:rsidR="00CB0DD7" w:rsidRPr="000A0A5F" w:rsidRDefault="00CB0DD7">
      <w:pPr>
        <w:pStyle w:val="Heading4"/>
      </w:pPr>
      <w:bookmarkStart w:id="6693" w:name="_Toc11247683"/>
      <w:bookmarkStart w:id="6694" w:name="_Toc27044822"/>
      <w:bookmarkStart w:id="6695" w:name="_Toc36033864"/>
      <w:bookmarkStart w:id="6696" w:name="_Toc45132010"/>
      <w:bookmarkStart w:id="6697" w:name="_Toc49776295"/>
      <w:bookmarkStart w:id="6698" w:name="_Toc51747215"/>
      <w:bookmarkStart w:id="6699" w:name="_Toc66360785"/>
      <w:bookmarkStart w:id="6700" w:name="_Toc68105290"/>
      <w:bookmarkStart w:id="6701" w:name="_Toc74755920"/>
      <w:bookmarkStart w:id="6702" w:name="_Toc105674796"/>
      <w:bookmarkStart w:id="6703" w:name="_Toc130502856"/>
      <w:bookmarkStart w:id="6704" w:name="_Toc153625643"/>
      <w:r w:rsidRPr="000A0A5F">
        <w:t>5.9.2.3</w:t>
      </w:r>
      <w:r w:rsidRPr="000A0A5F">
        <w:tab/>
        <w:t>Referenced simple data types and enumerations</w:t>
      </w:r>
      <w:bookmarkEnd w:id="6693"/>
      <w:bookmarkEnd w:id="6694"/>
      <w:bookmarkEnd w:id="6695"/>
      <w:bookmarkEnd w:id="6696"/>
      <w:bookmarkEnd w:id="6697"/>
      <w:bookmarkEnd w:id="6698"/>
      <w:bookmarkEnd w:id="6699"/>
      <w:bookmarkEnd w:id="6700"/>
      <w:bookmarkEnd w:id="6701"/>
      <w:bookmarkEnd w:id="6702"/>
      <w:bookmarkEnd w:id="6703"/>
      <w:bookmarkEnd w:id="6704"/>
    </w:p>
    <w:p w:rsidR="00CB0DD7" w:rsidRPr="000A0A5F" w:rsidRDefault="00CB0DD7">
      <w:pPr>
        <w:pStyle w:val="Heading5"/>
      </w:pPr>
      <w:bookmarkStart w:id="6705" w:name="_Toc11247684"/>
      <w:bookmarkStart w:id="6706" w:name="_Toc27044823"/>
      <w:bookmarkStart w:id="6707" w:name="_Toc36033865"/>
      <w:bookmarkStart w:id="6708" w:name="_Toc45132011"/>
      <w:bookmarkStart w:id="6709" w:name="_Toc49776296"/>
      <w:bookmarkStart w:id="6710" w:name="_Toc51747216"/>
      <w:bookmarkStart w:id="6711" w:name="_Toc66360786"/>
      <w:bookmarkStart w:id="6712" w:name="_Toc68105291"/>
      <w:bookmarkStart w:id="6713" w:name="_Toc74755921"/>
      <w:bookmarkStart w:id="6714" w:name="_Toc105674797"/>
      <w:bookmarkStart w:id="6715" w:name="_Toc130502857"/>
      <w:bookmarkStart w:id="6716" w:name="_Toc153625644"/>
      <w:r w:rsidRPr="000A0A5F">
        <w:t>5.9.2.3.1</w:t>
      </w:r>
      <w:r w:rsidRPr="000A0A5F">
        <w:tab/>
        <w:t>Introduction</w:t>
      </w:r>
      <w:bookmarkEnd w:id="6705"/>
      <w:bookmarkEnd w:id="6706"/>
      <w:bookmarkEnd w:id="6707"/>
      <w:bookmarkEnd w:id="6708"/>
      <w:bookmarkEnd w:id="6709"/>
      <w:bookmarkEnd w:id="6710"/>
      <w:bookmarkEnd w:id="6711"/>
      <w:bookmarkEnd w:id="6712"/>
      <w:bookmarkEnd w:id="6713"/>
      <w:bookmarkEnd w:id="6714"/>
      <w:bookmarkEnd w:id="6715"/>
      <w:bookmarkEnd w:id="6716"/>
    </w:p>
    <w:p w:rsidR="00CB0DD7" w:rsidRPr="000A0A5F" w:rsidRDefault="00CB0DD7">
      <w:r w:rsidRPr="000A0A5F">
        <w:t>This clause defines simple data types and enumerations that can be referenced from data structures defined in the previous clauses. In addition, data types and enumerations defined in clause</w:t>
      </w:r>
      <w:r w:rsidR="000902D9" w:rsidRPr="000A0A5F">
        <w:t> </w:t>
      </w:r>
      <w:r w:rsidRPr="000A0A5F">
        <w:t>5.2.1 can be referenced.</w:t>
      </w:r>
    </w:p>
    <w:p w:rsidR="00CB0DD7" w:rsidRPr="000A0A5F" w:rsidRDefault="00CB0DD7">
      <w:pPr>
        <w:pStyle w:val="Heading5"/>
      </w:pPr>
      <w:bookmarkStart w:id="6717" w:name="_Toc11247685"/>
      <w:bookmarkStart w:id="6718" w:name="_Toc27044824"/>
      <w:bookmarkStart w:id="6719" w:name="_Toc36033866"/>
      <w:bookmarkStart w:id="6720" w:name="_Toc45132012"/>
      <w:bookmarkStart w:id="6721" w:name="_Toc49776297"/>
      <w:bookmarkStart w:id="6722" w:name="_Toc51747217"/>
      <w:bookmarkStart w:id="6723" w:name="_Toc66360787"/>
      <w:bookmarkStart w:id="6724" w:name="_Toc68105292"/>
      <w:bookmarkStart w:id="6725" w:name="_Toc74755922"/>
      <w:bookmarkStart w:id="6726" w:name="_Toc105674798"/>
      <w:bookmarkStart w:id="6727" w:name="_Toc130502858"/>
      <w:bookmarkStart w:id="6728" w:name="_Toc153625645"/>
      <w:r w:rsidRPr="000A0A5F">
        <w:t>5.9.2.3.2</w:t>
      </w:r>
      <w:r w:rsidRPr="000A0A5F">
        <w:tab/>
        <w:t>Simple data types</w:t>
      </w:r>
      <w:bookmarkEnd w:id="6717"/>
      <w:bookmarkEnd w:id="6718"/>
      <w:bookmarkEnd w:id="6719"/>
      <w:bookmarkEnd w:id="6720"/>
      <w:bookmarkEnd w:id="6721"/>
      <w:bookmarkEnd w:id="6722"/>
      <w:bookmarkEnd w:id="6723"/>
      <w:bookmarkEnd w:id="6724"/>
      <w:bookmarkEnd w:id="6725"/>
      <w:bookmarkEnd w:id="6726"/>
      <w:bookmarkEnd w:id="6727"/>
      <w:bookmarkEnd w:id="6728"/>
      <w:r w:rsidRPr="000A0A5F">
        <w:t xml:space="preserve"> </w:t>
      </w:r>
    </w:p>
    <w:p w:rsidR="00CB0DD7" w:rsidRPr="000A0A5F" w:rsidRDefault="00CB0DD7">
      <w:r w:rsidRPr="000A0A5F">
        <w:t>The simple data types defined in table 5.9.2.3.2-1 shall be supported.</w:t>
      </w:r>
    </w:p>
    <w:p w:rsidR="00CB0DD7" w:rsidRPr="000A0A5F" w:rsidRDefault="00CB0DD7">
      <w:pPr>
        <w:pStyle w:val="TH"/>
      </w:pPr>
      <w:r w:rsidRPr="000A0A5F">
        <w:t>Table 5.9.2.3.2-1: Simple data types</w:t>
      </w:r>
    </w:p>
    <w:tbl>
      <w:tblPr>
        <w:tblW w:w="4658"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868"/>
        <w:gridCol w:w="7315"/>
      </w:tblGrid>
      <w:tr w:rsidR="00CB0DD7" w:rsidRPr="000A0A5F" w:rsidTr="00FF0AF8">
        <w:tc>
          <w:tcPr>
            <w:tcW w:w="1017" w:type="pct"/>
            <w:shd w:val="clear" w:color="auto" w:fill="C0C0C0"/>
            <w:tcMar>
              <w:top w:w="0" w:type="dxa"/>
              <w:left w:w="108" w:type="dxa"/>
              <w:bottom w:w="0" w:type="dxa"/>
              <w:right w:w="108" w:type="dxa"/>
            </w:tcMar>
          </w:tcPr>
          <w:p w:rsidR="00CB0DD7" w:rsidRPr="000A0A5F" w:rsidRDefault="00CB0DD7">
            <w:pPr>
              <w:pStyle w:val="TAH"/>
            </w:pPr>
            <w:r w:rsidRPr="000A0A5F">
              <w:t>Type name</w:t>
            </w:r>
          </w:p>
        </w:tc>
        <w:tc>
          <w:tcPr>
            <w:tcW w:w="3983" w:type="pct"/>
            <w:shd w:val="clear" w:color="auto" w:fill="C0C0C0"/>
            <w:tcMar>
              <w:top w:w="0" w:type="dxa"/>
              <w:left w:w="108" w:type="dxa"/>
              <w:bottom w:w="0" w:type="dxa"/>
              <w:right w:w="108" w:type="dxa"/>
            </w:tcMar>
          </w:tcPr>
          <w:p w:rsidR="00CB0DD7" w:rsidRPr="000A0A5F" w:rsidRDefault="00CB0DD7">
            <w:pPr>
              <w:pStyle w:val="TAH"/>
            </w:pPr>
            <w:r w:rsidRPr="000A0A5F">
              <w:t>Description</w:t>
            </w:r>
          </w:p>
        </w:tc>
      </w:tr>
      <w:tr w:rsidR="00CB0DD7" w:rsidRPr="000A0A5F" w:rsidTr="00FF0AF8">
        <w:tc>
          <w:tcPr>
            <w:tcW w:w="1017" w:type="pct"/>
            <w:tcMar>
              <w:top w:w="0" w:type="dxa"/>
              <w:left w:w="108" w:type="dxa"/>
              <w:bottom w:w="0" w:type="dxa"/>
              <w:right w:w="108" w:type="dxa"/>
            </w:tcMar>
          </w:tcPr>
          <w:p w:rsidR="00CB0DD7" w:rsidRPr="000A0A5F" w:rsidRDefault="00CB0DD7">
            <w:pPr>
              <w:pStyle w:val="TAL"/>
            </w:pPr>
            <w:r w:rsidRPr="000A0A5F">
              <w:rPr>
                <w:rFonts w:hint="eastAsia"/>
                <w:lang w:eastAsia="ja-JP"/>
              </w:rPr>
              <w:t>CongestionValue</w:t>
            </w:r>
          </w:p>
        </w:tc>
        <w:tc>
          <w:tcPr>
            <w:tcW w:w="3983" w:type="pct"/>
            <w:tcMar>
              <w:top w:w="0" w:type="dxa"/>
              <w:left w:w="108" w:type="dxa"/>
              <w:bottom w:w="0" w:type="dxa"/>
              <w:right w:w="108" w:type="dxa"/>
            </w:tcMar>
          </w:tcPr>
          <w:p w:rsidR="00CB0DD7" w:rsidRPr="000A0A5F" w:rsidRDefault="00CB0DD7">
            <w:pPr>
              <w:pStyle w:val="TAL"/>
            </w:pPr>
            <w:r w:rsidRPr="000A0A5F">
              <w:rPr>
                <w:lang w:eastAsia="zh-CN"/>
              </w:rPr>
              <w:t>Unsigned integer with valid values between 0 and 31. The value 0 indicates that there is no congestion. The value 1 is the lowest congestion level and value 31 is the highest congestion level.</w:t>
            </w:r>
          </w:p>
        </w:tc>
      </w:tr>
    </w:tbl>
    <w:p w:rsidR="00CB0DD7" w:rsidRPr="000A0A5F" w:rsidRDefault="00CB0DD7"/>
    <w:p w:rsidR="00CB0DD7" w:rsidRPr="000A0A5F" w:rsidRDefault="00CB0DD7">
      <w:pPr>
        <w:pStyle w:val="Heading5"/>
      </w:pPr>
      <w:bookmarkStart w:id="6729" w:name="_Toc11247686"/>
      <w:bookmarkStart w:id="6730" w:name="_Toc27044825"/>
      <w:bookmarkStart w:id="6731" w:name="_Toc36033867"/>
      <w:bookmarkStart w:id="6732" w:name="_Toc45132013"/>
      <w:bookmarkStart w:id="6733" w:name="_Toc49776298"/>
      <w:bookmarkStart w:id="6734" w:name="_Toc51747218"/>
      <w:bookmarkStart w:id="6735" w:name="_Toc66360788"/>
      <w:bookmarkStart w:id="6736" w:name="_Toc68105293"/>
      <w:bookmarkStart w:id="6737" w:name="_Toc74755923"/>
      <w:bookmarkStart w:id="6738" w:name="_Toc105674799"/>
      <w:bookmarkStart w:id="6739" w:name="_Toc130502859"/>
      <w:bookmarkStart w:id="6740" w:name="_Toc153625646"/>
      <w:r w:rsidRPr="000A0A5F">
        <w:t>5.9.2.3.3</w:t>
      </w:r>
      <w:r w:rsidRPr="000A0A5F">
        <w:tab/>
        <w:t xml:space="preserve">Enumeration: </w:t>
      </w:r>
      <w:r w:rsidRPr="000A0A5F">
        <w:rPr>
          <w:rFonts w:eastAsia="Times New Roman"/>
        </w:rPr>
        <w:t>CongestionType</w:t>
      </w:r>
      <w:bookmarkEnd w:id="6729"/>
      <w:bookmarkEnd w:id="6730"/>
      <w:bookmarkEnd w:id="6731"/>
      <w:bookmarkEnd w:id="6732"/>
      <w:bookmarkEnd w:id="6733"/>
      <w:bookmarkEnd w:id="6734"/>
      <w:bookmarkEnd w:id="6735"/>
      <w:bookmarkEnd w:id="6736"/>
      <w:bookmarkEnd w:id="6737"/>
      <w:bookmarkEnd w:id="6738"/>
      <w:bookmarkEnd w:id="6739"/>
      <w:bookmarkEnd w:id="6740"/>
    </w:p>
    <w:p w:rsidR="00CB0DD7" w:rsidRPr="000A0A5F" w:rsidRDefault="00CB0DD7">
      <w:r w:rsidRPr="000A0A5F">
        <w:t>The enumeration CongestionType represents abstracted values for congestion status.</w:t>
      </w:r>
    </w:p>
    <w:p w:rsidR="00CB0DD7" w:rsidRPr="000A0A5F" w:rsidRDefault="00CB0DD7">
      <w:pPr>
        <w:pStyle w:val="TH"/>
      </w:pPr>
      <w:r w:rsidRPr="000A0A5F">
        <w:t xml:space="preserve">Table 5.9.2.3.3-1: Enumeration </w:t>
      </w:r>
      <w:r w:rsidRPr="000A0A5F">
        <w:rPr>
          <w:rFonts w:eastAsia="Times New Roman"/>
        </w:rPr>
        <w:t>CongestionType</w:t>
      </w:r>
    </w:p>
    <w:tbl>
      <w:tblPr>
        <w:tblW w:w="4648"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267"/>
        <w:gridCol w:w="5103"/>
        <w:gridCol w:w="1700"/>
      </w:tblGrid>
      <w:tr w:rsidR="00CB0DD7" w:rsidRPr="000A0A5F" w:rsidTr="00FF0AF8">
        <w:tc>
          <w:tcPr>
            <w:tcW w:w="1250" w:type="pct"/>
            <w:shd w:val="clear" w:color="auto" w:fill="C0C0C0"/>
            <w:tcMar>
              <w:top w:w="0" w:type="dxa"/>
              <w:left w:w="108" w:type="dxa"/>
              <w:bottom w:w="0" w:type="dxa"/>
              <w:right w:w="108" w:type="dxa"/>
            </w:tcMar>
          </w:tcPr>
          <w:p w:rsidR="00CB0DD7" w:rsidRPr="000A0A5F" w:rsidRDefault="00CB0DD7">
            <w:pPr>
              <w:pStyle w:val="TAH"/>
            </w:pPr>
            <w:r w:rsidRPr="000A0A5F">
              <w:t>Enumeration value</w:t>
            </w:r>
          </w:p>
        </w:tc>
        <w:tc>
          <w:tcPr>
            <w:tcW w:w="2813" w:type="pct"/>
            <w:shd w:val="clear" w:color="auto" w:fill="C0C0C0"/>
            <w:tcMar>
              <w:top w:w="0" w:type="dxa"/>
              <w:left w:w="108" w:type="dxa"/>
              <w:bottom w:w="0" w:type="dxa"/>
              <w:right w:w="108" w:type="dxa"/>
            </w:tcMar>
          </w:tcPr>
          <w:p w:rsidR="00CB0DD7" w:rsidRPr="000A0A5F" w:rsidRDefault="00CB0DD7">
            <w:pPr>
              <w:pStyle w:val="TAH"/>
            </w:pPr>
            <w:r w:rsidRPr="000A0A5F">
              <w:t>Description</w:t>
            </w:r>
          </w:p>
        </w:tc>
        <w:tc>
          <w:tcPr>
            <w:tcW w:w="937" w:type="pct"/>
            <w:shd w:val="clear" w:color="auto" w:fill="C0C0C0"/>
          </w:tcPr>
          <w:p w:rsidR="00CB0DD7" w:rsidRPr="000A0A5F" w:rsidRDefault="00CB0DD7">
            <w:pPr>
              <w:pStyle w:val="TAH"/>
            </w:pPr>
            <w:r w:rsidRPr="000A0A5F">
              <w:rPr>
                <w:rFonts w:eastAsia="Times New Roman" w:cs="Arial"/>
                <w:szCs w:val="18"/>
              </w:rPr>
              <w:t>Applicability (NOTE)</w:t>
            </w:r>
          </w:p>
        </w:tc>
      </w:tr>
      <w:tr w:rsidR="00CB0DD7" w:rsidRPr="000A0A5F" w:rsidTr="00FF0AF8">
        <w:tc>
          <w:tcPr>
            <w:tcW w:w="1250" w:type="pct"/>
            <w:tcMar>
              <w:top w:w="0" w:type="dxa"/>
              <w:left w:w="108" w:type="dxa"/>
              <w:bottom w:w="0" w:type="dxa"/>
              <w:right w:w="108" w:type="dxa"/>
            </w:tcMar>
          </w:tcPr>
          <w:p w:rsidR="00CB0DD7" w:rsidRPr="000A0A5F" w:rsidRDefault="00CB0DD7">
            <w:pPr>
              <w:pStyle w:val="TAL"/>
            </w:pPr>
            <w:r w:rsidRPr="000A0A5F">
              <w:t>HIGH</w:t>
            </w:r>
          </w:p>
        </w:tc>
        <w:tc>
          <w:tcPr>
            <w:tcW w:w="2813" w:type="pct"/>
            <w:tcMar>
              <w:top w:w="0" w:type="dxa"/>
              <w:left w:w="108" w:type="dxa"/>
              <w:bottom w:w="0" w:type="dxa"/>
              <w:right w:w="108" w:type="dxa"/>
            </w:tcMar>
          </w:tcPr>
          <w:p w:rsidR="00CB0DD7" w:rsidRPr="000A0A5F" w:rsidRDefault="00CB0DD7">
            <w:pPr>
              <w:pStyle w:val="TAL"/>
              <w:rPr>
                <w:rFonts w:hint="eastAsia"/>
                <w:lang w:eastAsia="ja-JP"/>
              </w:rPr>
            </w:pPr>
            <w:r w:rsidRPr="000A0A5F">
              <w:rPr>
                <w:rFonts w:hint="eastAsia"/>
                <w:lang w:eastAsia="ja-JP"/>
              </w:rPr>
              <w:t>The congestion status is high</w:t>
            </w:r>
            <w:r w:rsidRPr="000A0A5F">
              <w:rPr>
                <w:lang w:eastAsia="ja-JP"/>
              </w:rPr>
              <w:t>.</w:t>
            </w:r>
          </w:p>
        </w:tc>
        <w:tc>
          <w:tcPr>
            <w:tcW w:w="937" w:type="pct"/>
          </w:tcPr>
          <w:p w:rsidR="00CB0DD7" w:rsidRPr="000A0A5F" w:rsidRDefault="00CB0DD7">
            <w:pPr>
              <w:pStyle w:val="TAL"/>
              <w:rPr>
                <w:rFonts w:cs="Arial"/>
                <w:szCs w:val="18"/>
                <w:lang w:eastAsia="zh-CN"/>
              </w:rPr>
            </w:pPr>
          </w:p>
        </w:tc>
      </w:tr>
      <w:tr w:rsidR="00CB0DD7" w:rsidRPr="000A0A5F" w:rsidTr="00FF0AF8">
        <w:tc>
          <w:tcPr>
            <w:tcW w:w="1250" w:type="pct"/>
            <w:tcMar>
              <w:top w:w="0" w:type="dxa"/>
              <w:left w:w="108" w:type="dxa"/>
              <w:bottom w:w="0" w:type="dxa"/>
              <w:right w:w="108" w:type="dxa"/>
            </w:tcMar>
          </w:tcPr>
          <w:p w:rsidR="00CB0DD7" w:rsidRPr="000A0A5F" w:rsidRDefault="00CB0DD7">
            <w:pPr>
              <w:pStyle w:val="TAL"/>
            </w:pPr>
            <w:r w:rsidRPr="000A0A5F">
              <w:t>MEDIUM</w:t>
            </w:r>
          </w:p>
        </w:tc>
        <w:tc>
          <w:tcPr>
            <w:tcW w:w="2813" w:type="pct"/>
            <w:tcMar>
              <w:top w:w="0" w:type="dxa"/>
              <w:left w:w="108" w:type="dxa"/>
              <w:bottom w:w="0" w:type="dxa"/>
              <w:right w:w="108" w:type="dxa"/>
            </w:tcMar>
          </w:tcPr>
          <w:p w:rsidR="00CB0DD7" w:rsidRPr="000A0A5F" w:rsidRDefault="00CB0DD7">
            <w:pPr>
              <w:pStyle w:val="TAL"/>
            </w:pPr>
            <w:r w:rsidRPr="000A0A5F">
              <w:rPr>
                <w:rFonts w:hint="eastAsia"/>
                <w:lang w:eastAsia="ja-JP"/>
              </w:rPr>
              <w:t>The congestion status is medium</w:t>
            </w:r>
            <w:r w:rsidRPr="000A0A5F">
              <w:rPr>
                <w:lang w:eastAsia="ja-JP"/>
              </w:rPr>
              <w:t>.</w:t>
            </w:r>
          </w:p>
        </w:tc>
        <w:tc>
          <w:tcPr>
            <w:tcW w:w="937" w:type="pct"/>
          </w:tcPr>
          <w:p w:rsidR="00CB0DD7" w:rsidRPr="000A0A5F" w:rsidRDefault="00CB0DD7">
            <w:pPr>
              <w:pStyle w:val="TAL"/>
              <w:rPr>
                <w:rFonts w:cs="Arial"/>
                <w:szCs w:val="18"/>
                <w:lang w:eastAsia="zh-CN"/>
              </w:rPr>
            </w:pPr>
          </w:p>
        </w:tc>
      </w:tr>
      <w:tr w:rsidR="00CB0DD7" w:rsidRPr="000A0A5F" w:rsidTr="00FF0AF8">
        <w:tc>
          <w:tcPr>
            <w:tcW w:w="1250" w:type="pct"/>
            <w:tcMar>
              <w:top w:w="0" w:type="dxa"/>
              <w:left w:w="108" w:type="dxa"/>
              <w:bottom w:w="0" w:type="dxa"/>
              <w:right w:w="108" w:type="dxa"/>
            </w:tcMar>
          </w:tcPr>
          <w:p w:rsidR="00CB0DD7" w:rsidRPr="000A0A5F" w:rsidRDefault="00CB0DD7">
            <w:pPr>
              <w:pStyle w:val="TAL"/>
            </w:pPr>
            <w:r w:rsidRPr="000A0A5F">
              <w:t>LOW</w:t>
            </w:r>
          </w:p>
        </w:tc>
        <w:tc>
          <w:tcPr>
            <w:tcW w:w="2813" w:type="pct"/>
            <w:tcMar>
              <w:top w:w="0" w:type="dxa"/>
              <w:left w:w="108" w:type="dxa"/>
              <w:bottom w:w="0" w:type="dxa"/>
              <w:right w:w="108" w:type="dxa"/>
            </w:tcMar>
          </w:tcPr>
          <w:p w:rsidR="00CB0DD7" w:rsidRPr="000A0A5F" w:rsidRDefault="00CB0DD7">
            <w:pPr>
              <w:pStyle w:val="TAL"/>
            </w:pPr>
            <w:r w:rsidRPr="000A0A5F">
              <w:rPr>
                <w:rFonts w:hint="eastAsia"/>
                <w:lang w:eastAsia="ja-JP"/>
              </w:rPr>
              <w:t>The congestion status is low</w:t>
            </w:r>
            <w:r w:rsidRPr="000A0A5F">
              <w:rPr>
                <w:lang w:eastAsia="ja-JP"/>
              </w:rPr>
              <w:t>.</w:t>
            </w:r>
          </w:p>
        </w:tc>
        <w:tc>
          <w:tcPr>
            <w:tcW w:w="937" w:type="pct"/>
          </w:tcPr>
          <w:p w:rsidR="00CB0DD7" w:rsidRPr="000A0A5F" w:rsidRDefault="00CB0DD7">
            <w:pPr>
              <w:pStyle w:val="TAL"/>
              <w:rPr>
                <w:rFonts w:cs="Arial"/>
                <w:szCs w:val="18"/>
                <w:lang w:eastAsia="zh-CN"/>
              </w:rPr>
            </w:pPr>
          </w:p>
        </w:tc>
      </w:tr>
      <w:tr w:rsidR="00CB0DD7" w:rsidRPr="000A0A5F" w:rsidTr="00FF0AF8">
        <w:tc>
          <w:tcPr>
            <w:tcW w:w="5000" w:type="pct"/>
            <w:gridSpan w:val="3"/>
            <w:tcMar>
              <w:top w:w="0" w:type="dxa"/>
              <w:left w:w="108" w:type="dxa"/>
              <w:bottom w:w="0" w:type="dxa"/>
              <w:right w:w="108" w:type="dxa"/>
            </w:tcMar>
          </w:tcPr>
          <w:p w:rsidR="00CB0DD7" w:rsidRPr="000A0A5F" w:rsidRDefault="00CB0DD7">
            <w:pPr>
              <w:pStyle w:val="TAN"/>
            </w:pPr>
            <w:r w:rsidRPr="000A0A5F">
              <w:t>NOTE:</w:t>
            </w:r>
            <w:r w:rsidRPr="000A0A5F">
              <w:tab/>
              <w:t>Properties marked with a feature as defined in clause 5.9.4 are applicable as described in clause 5.2.7. If no features are indicated, the related property applies for all the features.</w:t>
            </w:r>
          </w:p>
        </w:tc>
      </w:tr>
    </w:tbl>
    <w:p w:rsidR="00CB0DD7" w:rsidRPr="000A0A5F" w:rsidRDefault="00CB0DD7"/>
    <w:p w:rsidR="00CB0DD7" w:rsidRPr="000A0A5F" w:rsidRDefault="00CB0DD7">
      <w:pPr>
        <w:pStyle w:val="Heading3"/>
      </w:pPr>
      <w:bookmarkStart w:id="6741" w:name="_Toc11247687"/>
      <w:bookmarkStart w:id="6742" w:name="_Toc27044826"/>
      <w:bookmarkStart w:id="6743" w:name="_Toc36033868"/>
      <w:bookmarkStart w:id="6744" w:name="_Toc45132014"/>
      <w:bookmarkStart w:id="6745" w:name="_Toc49776299"/>
      <w:bookmarkStart w:id="6746" w:name="_Toc51747219"/>
      <w:bookmarkStart w:id="6747" w:name="_Toc66360789"/>
      <w:bookmarkStart w:id="6748" w:name="_Toc68105294"/>
      <w:bookmarkStart w:id="6749" w:name="_Toc74755924"/>
      <w:bookmarkStart w:id="6750" w:name="_Toc105674800"/>
      <w:bookmarkStart w:id="6751" w:name="_Toc130502860"/>
      <w:bookmarkStart w:id="6752" w:name="_Toc153625647"/>
      <w:r w:rsidRPr="000A0A5F">
        <w:t>5.9.3</w:t>
      </w:r>
      <w:r w:rsidRPr="000A0A5F">
        <w:tab/>
        <w:t>Resource structure</w:t>
      </w:r>
      <w:bookmarkEnd w:id="6741"/>
      <w:bookmarkEnd w:id="6742"/>
      <w:bookmarkEnd w:id="6743"/>
      <w:bookmarkEnd w:id="6744"/>
      <w:bookmarkEnd w:id="6745"/>
      <w:bookmarkEnd w:id="6746"/>
      <w:bookmarkEnd w:id="6747"/>
      <w:bookmarkEnd w:id="6748"/>
      <w:bookmarkEnd w:id="6749"/>
      <w:bookmarkEnd w:id="6750"/>
      <w:bookmarkEnd w:id="6751"/>
      <w:bookmarkEnd w:id="6752"/>
    </w:p>
    <w:p w:rsidR="00CB0DD7" w:rsidRPr="000A0A5F" w:rsidRDefault="00CB0DD7">
      <w:pPr>
        <w:pStyle w:val="Heading4"/>
      </w:pPr>
      <w:bookmarkStart w:id="6753" w:name="_Toc11247688"/>
      <w:bookmarkStart w:id="6754" w:name="_Toc27044827"/>
      <w:bookmarkStart w:id="6755" w:name="_Toc36033869"/>
      <w:bookmarkStart w:id="6756" w:name="_Toc45132015"/>
      <w:bookmarkStart w:id="6757" w:name="_Toc49776300"/>
      <w:bookmarkStart w:id="6758" w:name="_Toc51747220"/>
      <w:bookmarkStart w:id="6759" w:name="_Toc66360790"/>
      <w:bookmarkStart w:id="6760" w:name="_Toc68105295"/>
      <w:bookmarkStart w:id="6761" w:name="_Toc74755925"/>
      <w:bookmarkStart w:id="6762" w:name="_Toc105674801"/>
      <w:bookmarkStart w:id="6763" w:name="_Toc130502861"/>
      <w:bookmarkStart w:id="6764" w:name="_Toc153625648"/>
      <w:r w:rsidRPr="000A0A5F">
        <w:t>5.9.3.1</w:t>
      </w:r>
      <w:r w:rsidRPr="000A0A5F">
        <w:tab/>
        <w:t>General</w:t>
      </w:r>
      <w:bookmarkEnd w:id="6753"/>
      <w:bookmarkEnd w:id="6754"/>
      <w:bookmarkEnd w:id="6755"/>
      <w:bookmarkEnd w:id="6756"/>
      <w:bookmarkEnd w:id="6757"/>
      <w:bookmarkEnd w:id="6758"/>
      <w:bookmarkEnd w:id="6759"/>
      <w:bookmarkEnd w:id="6760"/>
      <w:bookmarkEnd w:id="6761"/>
      <w:bookmarkEnd w:id="6762"/>
      <w:bookmarkEnd w:id="6763"/>
      <w:bookmarkEnd w:id="6764"/>
    </w:p>
    <w:p w:rsidR="00CB0DD7" w:rsidRPr="000A0A5F" w:rsidRDefault="00CB0DD7">
      <w:r w:rsidRPr="000A0A5F">
        <w:t>All resource URIs of this API should have the following root:</w:t>
      </w:r>
    </w:p>
    <w:p w:rsidR="00CB0DD7" w:rsidRPr="000A0A5F" w:rsidRDefault="00CB0DD7">
      <w:pPr>
        <w:pStyle w:val="B1"/>
        <w:numPr>
          <w:ilvl w:val="0"/>
          <w:numId w:val="0"/>
        </w:numPr>
        <w:ind w:left="737"/>
        <w:rPr>
          <w:b/>
        </w:rPr>
      </w:pPr>
      <w:r w:rsidRPr="000A0A5F">
        <w:rPr>
          <w:b/>
        </w:rPr>
        <w:t>{apiRoot}/3gpp-net-stat-report/v1</w:t>
      </w:r>
    </w:p>
    <w:p w:rsidR="00CB0DD7" w:rsidRPr="000A0A5F" w:rsidRDefault="00CB0DD7">
      <w:r w:rsidRPr="000A0A5F">
        <w:t>"apiRoot" is set as described in clause 5.2.4. All resource URIs in the clauses below are defined relative to the above root URI.</w:t>
      </w:r>
    </w:p>
    <w:p w:rsidR="00CB0DD7" w:rsidRPr="000A0A5F" w:rsidRDefault="00CB0DD7">
      <w:r w:rsidRPr="000A0A5F">
        <w:t>The following resources and HTTP methods are supported for this API:</w:t>
      </w:r>
    </w:p>
    <w:p w:rsidR="00CB0DD7" w:rsidRPr="000A0A5F" w:rsidRDefault="00CB0DD7">
      <w:pPr>
        <w:pStyle w:val="TH"/>
      </w:pPr>
      <w:r w:rsidRPr="000A0A5F">
        <w:t>Table 5.9.3.1-1: Resources and methods overview</w:t>
      </w:r>
    </w:p>
    <w:tbl>
      <w:tblPr>
        <w:tblW w:w="4787"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1E0" w:firstRow="1" w:lastRow="1" w:firstColumn="1" w:lastColumn="1" w:noHBand="0" w:noVBand="0"/>
      </w:tblPr>
      <w:tblGrid>
        <w:gridCol w:w="1166"/>
        <w:gridCol w:w="4970"/>
        <w:gridCol w:w="955"/>
        <w:gridCol w:w="2269"/>
      </w:tblGrid>
      <w:tr w:rsidR="00CB0DD7" w:rsidRPr="000A0A5F" w:rsidTr="00FF0AF8">
        <w:trPr>
          <w:jc w:val="center"/>
        </w:trPr>
        <w:tc>
          <w:tcPr>
            <w:tcW w:w="623" w:type="pct"/>
            <w:shd w:val="clear" w:color="auto" w:fill="C0C0C0"/>
            <w:vAlign w:val="center"/>
            <w:hideMark/>
          </w:tcPr>
          <w:p w:rsidR="00CB0DD7" w:rsidRPr="000A0A5F" w:rsidRDefault="00CB0DD7">
            <w:pPr>
              <w:pStyle w:val="TAH"/>
              <w:spacing w:line="276" w:lineRule="auto"/>
            </w:pPr>
            <w:r w:rsidRPr="000A0A5F">
              <w:t>Resource name</w:t>
            </w:r>
          </w:p>
        </w:tc>
        <w:tc>
          <w:tcPr>
            <w:tcW w:w="2655" w:type="pct"/>
            <w:shd w:val="clear" w:color="auto" w:fill="C0C0C0"/>
            <w:vAlign w:val="center"/>
            <w:hideMark/>
          </w:tcPr>
          <w:p w:rsidR="00CB0DD7" w:rsidRPr="000A0A5F" w:rsidRDefault="00CB0DD7">
            <w:pPr>
              <w:pStyle w:val="TAH"/>
              <w:spacing w:line="276" w:lineRule="auto"/>
            </w:pPr>
            <w:r w:rsidRPr="000A0A5F">
              <w:t>Resource URI</w:t>
            </w:r>
          </w:p>
        </w:tc>
        <w:tc>
          <w:tcPr>
            <w:tcW w:w="510" w:type="pct"/>
            <w:shd w:val="clear" w:color="auto" w:fill="C0C0C0"/>
            <w:vAlign w:val="center"/>
            <w:hideMark/>
          </w:tcPr>
          <w:p w:rsidR="00CB0DD7" w:rsidRPr="000A0A5F" w:rsidRDefault="00CB0DD7">
            <w:pPr>
              <w:pStyle w:val="TAH"/>
              <w:spacing w:line="276" w:lineRule="auto"/>
            </w:pPr>
            <w:r w:rsidRPr="000A0A5F">
              <w:t>HTTP method</w:t>
            </w:r>
          </w:p>
        </w:tc>
        <w:tc>
          <w:tcPr>
            <w:tcW w:w="1212" w:type="pct"/>
            <w:shd w:val="clear" w:color="auto" w:fill="C0C0C0"/>
            <w:vAlign w:val="center"/>
            <w:hideMark/>
          </w:tcPr>
          <w:p w:rsidR="00CB0DD7" w:rsidRPr="000A0A5F" w:rsidRDefault="00CB0DD7">
            <w:pPr>
              <w:pStyle w:val="TAH"/>
              <w:spacing w:line="276" w:lineRule="auto"/>
            </w:pPr>
            <w:r w:rsidRPr="000A0A5F">
              <w:t>Meaning</w:t>
            </w:r>
          </w:p>
        </w:tc>
      </w:tr>
      <w:tr w:rsidR="00CB0DD7" w:rsidRPr="000A0A5F" w:rsidTr="00FF0AF8">
        <w:trPr>
          <w:jc w:val="center"/>
        </w:trPr>
        <w:tc>
          <w:tcPr>
            <w:tcW w:w="623" w:type="pct"/>
            <w:vMerge w:val="restart"/>
            <w:shd w:val="clear" w:color="auto" w:fill="auto"/>
          </w:tcPr>
          <w:p w:rsidR="00CB0DD7" w:rsidRPr="000A0A5F" w:rsidRDefault="00CB0DD7">
            <w:pPr>
              <w:pStyle w:val="TAL"/>
            </w:pPr>
            <w:r w:rsidRPr="000A0A5F">
              <w:t xml:space="preserve">Network Status </w:t>
            </w:r>
          </w:p>
          <w:p w:rsidR="00CB0DD7" w:rsidRPr="000A0A5F" w:rsidRDefault="00CB0DD7">
            <w:pPr>
              <w:pStyle w:val="TAL"/>
            </w:pPr>
            <w:r w:rsidRPr="000A0A5F">
              <w:t>Reporting Subscriptions</w:t>
            </w:r>
          </w:p>
        </w:tc>
        <w:tc>
          <w:tcPr>
            <w:tcW w:w="2655" w:type="pct"/>
            <w:vMerge w:val="restart"/>
            <w:shd w:val="clear" w:color="auto" w:fill="auto"/>
          </w:tcPr>
          <w:p w:rsidR="00CB0DD7" w:rsidRPr="000A0A5F" w:rsidRDefault="00CB0DD7">
            <w:pPr>
              <w:pStyle w:val="TAL"/>
            </w:pPr>
            <w:r w:rsidRPr="000A0A5F">
              <w:t>/{scsAsId}/subscriptions</w:t>
            </w:r>
          </w:p>
        </w:tc>
        <w:tc>
          <w:tcPr>
            <w:tcW w:w="510" w:type="pct"/>
            <w:shd w:val="clear" w:color="auto" w:fill="auto"/>
          </w:tcPr>
          <w:p w:rsidR="00CB0DD7" w:rsidRPr="000A0A5F" w:rsidRDefault="00CB0DD7">
            <w:pPr>
              <w:pStyle w:val="TAL"/>
            </w:pPr>
            <w:r w:rsidRPr="000A0A5F">
              <w:t>GET</w:t>
            </w:r>
          </w:p>
        </w:tc>
        <w:tc>
          <w:tcPr>
            <w:tcW w:w="1212" w:type="pct"/>
            <w:shd w:val="clear" w:color="auto" w:fill="auto"/>
          </w:tcPr>
          <w:p w:rsidR="00CB0DD7" w:rsidRPr="000A0A5F" w:rsidRDefault="00CB0DD7">
            <w:pPr>
              <w:pStyle w:val="TAL"/>
            </w:pPr>
            <w:r w:rsidRPr="000A0A5F">
              <w:t>Read all network status reporting subscription</w:t>
            </w:r>
            <w:r w:rsidRPr="000A0A5F">
              <w:rPr>
                <w:noProof/>
                <w:lang w:eastAsia="zh-CN"/>
              </w:rPr>
              <w:t xml:space="preserve"> resources for a given SCS/AS.</w:t>
            </w:r>
          </w:p>
        </w:tc>
      </w:tr>
      <w:tr w:rsidR="00CB0DD7" w:rsidRPr="000A0A5F" w:rsidTr="00FF0AF8">
        <w:trPr>
          <w:jc w:val="center"/>
        </w:trPr>
        <w:tc>
          <w:tcPr>
            <w:tcW w:w="623" w:type="pct"/>
            <w:vMerge/>
          </w:tcPr>
          <w:p w:rsidR="00CB0DD7" w:rsidRPr="000A0A5F" w:rsidRDefault="00CB0DD7">
            <w:pPr>
              <w:pStyle w:val="TAL"/>
            </w:pPr>
          </w:p>
        </w:tc>
        <w:tc>
          <w:tcPr>
            <w:tcW w:w="2655" w:type="pct"/>
            <w:vMerge/>
          </w:tcPr>
          <w:p w:rsidR="00CB0DD7" w:rsidRPr="000A0A5F" w:rsidRDefault="00CB0DD7">
            <w:pPr>
              <w:pStyle w:val="TAL"/>
            </w:pPr>
          </w:p>
        </w:tc>
        <w:tc>
          <w:tcPr>
            <w:tcW w:w="510" w:type="pct"/>
          </w:tcPr>
          <w:p w:rsidR="00CB0DD7" w:rsidRPr="000A0A5F" w:rsidRDefault="00CB0DD7">
            <w:pPr>
              <w:pStyle w:val="TAL"/>
            </w:pPr>
            <w:r w:rsidRPr="000A0A5F">
              <w:t>POST</w:t>
            </w:r>
          </w:p>
        </w:tc>
        <w:tc>
          <w:tcPr>
            <w:tcW w:w="1212" w:type="pct"/>
          </w:tcPr>
          <w:p w:rsidR="00CB0DD7" w:rsidRPr="000A0A5F" w:rsidRDefault="00CB0DD7">
            <w:pPr>
              <w:pStyle w:val="TAL"/>
            </w:pPr>
            <w:r w:rsidRPr="000A0A5F">
              <w:t>Create a new network status reporting subscription resource</w:t>
            </w:r>
            <w:r w:rsidRPr="000A0A5F">
              <w:rPr>
                <w:noProof/>
                <w:lang w:eastAsia="zh-CN"/>
              </w:rPr>
              <w:t>.</w:t>
            </w:r>
          </w:p>
        </w:tc>
      </w:tr>
      <w:tr w:rsidR="00CB0DD7" w:rsidRPr="000A0A5F" w:rsidTr="00FF0AF8">
        <w:trPr>
          <w:jc w:val="center"/>
        </w:trPr>
        <w:tc>
          <w:tcPr>
            <w:tcW w:w="623" w:type="pct"/>
            <w:vMerge w:val="restart"/>
            <w:hideMark/>
          </w:tcPr>
          <w:p w:rsidR="00CB0DD7" w:rsidRPr="000A0A5F" w:rsidRDefault="00CB0DD7">
            <w:pPr>
              <w:pStyle w:val="TAL"/>
            </w:pPr>
            <w:r w:rsidRPr="000A0A5F">
              <w:t xml:space="preserve">Individual Network Status </w:t>
            </w:r>
          </w:p>
          <w:p w:rsidR="00CB0DD7" w:rsidRPr="000A0A5F" w:rsidRDefault="00CB0DD7">
            <w:pPr>
              <w:pStyle w:val="TAL"/>
              <w:rPr>
                <w:lang w:eastAsia="zh-CN"/>
              </w:rPr>
            </w:pPr>
            <w:r w:rsidRPr="000A0A5F">
              <w:t>Reporting subscription</w:t>
            </w:r>
          </w:p>
        </w:tc>
        <w:tc>
          <w:tcPr>
            <w:tcW w:w="2655" w:type="pct"/>
            <w:vMerge w:val="restart"/>
            <w:hideMark/>
          </w:tcPr>
          <w:p w:rsidR="00CB0DD7" w:rsidRPr="000A0A5F" w:rsidRDefault="00CB0DD7">
            <w:pPr>
              <w:pStyle w:val="TAL"/>
            </w:pPr>
            <w:r w:rsidRPr="000A0A5F">
              <w:t>/{scsAsId}/subscriptions/{subscriptionId}</w:t>
            </w:r>
          </w:p>
        </w:tc>
        <w:tc>
          <w:tcPr>
            <w:tcW w:w="510" w:type="pct"/>
          </w:tcPr>
          <w:p w:rsidR="00CB0DD7" w:rsidRPr="000A0A5F" w:rsidRDefault="00CB0DD7">
            <w:pPr>
              <w:pStyle w:val="TAL"/>
            </w:pPr>
            <w:r w:rsidRPr="000A0A5F">
              <w:t>GET</w:t>
            </w:r>
          </w:p>
        </w:tc>
        <w:tc>
          <w:tcPr>
            <w:tcW w:w="1212" w:type="pct"/>
          </w:tcPr>
          <w:p w:rsidR="00CB0DD7" w:rsidRPr="000A0A5F" w:rsidRDefault="00CB0DD7">
            <w:pPr>
              <w:pStyle w:val="TAL"/>
            </w:pPr>
            <w:r w:rsidRPr="000A0A5F">
              <w:t>Read a network status reporting subscription</w:t>
            </w:r>
            <w:r w:rsidRPr="000A0A5F">
              <w:rPr>
                <w:noProof/>
                <w:lang w:eastAsia="zh-CN"/>
              </w:rPr>
              <w:t xml:space="preserve"> resource.</w:t>
            </w:r>
          </w:p>
        </w:tc>
      </w:tr>
      <w:tr w:rsidR="00CB0DD7" w:rsidRPr="000A0A5F" w:rsidTr="00FF0AF8">
        <w:trPr>
          <w:jc w:val="center"/>
        </w:trPr>
        <w:tc>
          <w:tcPr>
            <w:tcW w:w="623" w:type="pct"/>
            <w:vMerge/>
          </w:tcPr>
          <w:p w:rsidR="00CB0DD7" w:rsidRPr="000A0A5F" w:rsidRDefault="00CB0DD7">
            <w:pPr>
              <w:pStyle w:val="TAL"/>
            </w:pPr>
          </w:p>
        </w:tc>
        <w:tc>
          <w:tcPr>
            <w:tcW w:w="2655" w:type="pct"/>
            <w:vMerge/>
          </w:tcPr>
          <w:p w:rsidR="00CB0DD7" w:rsidRPr="000A0A5F" w:rsidRDefault="00CB0DD7">
            <w:pPr>
              <w:pStyle w:val="TAL"/>
            </w:pPr>
          </w:p>
        </w:tc>
        <w:tc>
          <w:tcPr>
            <w:tcW w:w="510" w:type="pct"/>
          </w:tcPr>
          <w:p w:rsidR="00CB0DD7" w:rsidRPr="000A0A5F" w:rsidRDefault="00CB0DD7">
            <w:pPr>
              <w:pStyle w:val="TAL"/>
            </w:pPr>
            <w:r w:rsidRPr="000A0A5F">
              <w:t>PUT</w:t>
            </w:r>
          </w:p>
        </w:tc>
        <w:tc>
          <w:tcPr>
            <w:tcW w:w="1212" w:type="pct"/>
          </w:tcPr>
          <w:p w:rsidR="00CB0DD7" w:rsidRPr="000A0A5F" w:rsidRDefault="00517DF6" w:rsidP="00517DF6">
            <w:pPr>
              <w:pStyle w:val="TAL"/>
            </w:pPr>
            <w:r w:rsidRPr="000A0A5F">
              <w:t xml:space="preserve">Update </w:t>
            </w:r>
            <w:r w:rsidR="00CB0DD7" w:rsidRPr="000A0A5F">
              <w:t xml:space="preserve">an existing </w:t>
            </w:r>
            <w:r w:rsidRPr="000A0A5F">
              <w:t>Individual N</w:t>
            </w:r>
            <w:r w:rsidR="00CB0DD7" w:rsidRPr="000A0A5F">
              <w:t xml:space="preserve">etwork </w:t>
            </w:r>
            <w:r w:rsidRPr="000A0A5F">
              <w:t>S</w:t>
            </w:r>
            <w:r w:rsidR="00CB0DD7" w:rsidRPr="000A0A5F">
              <w:t xml:space="preserve">tatus </w:t>
            </w:r>
            <w:r w:rsidRPr="000A0A5F">
              <w:t>R</w:t>
            </w:r>
            <w:r w:rsidR="00CB0DD7" w:rsidRPr="000A0A5F">
              <w:t xml:space="preserve">eporting </w:t>
            </w:r>
            <w:r w:rsidRPr="000A0A5F">
              <w:t>S</w:t>
            </w:r>
            <w:r w:rsidR="00CB0DD7" w:rsidRPr="000A0A5F">
              <w:t>ubscription</w:t>
            </w:r>
            <w:r w:rsidR="00CB0DD7" w:rsidRPr="000A0A5F">
              <w:rPr>
                <w:noProof/>
                <w:lang w:eastAsia="zh-CN"/>
              </w:rPr>
              <w:t xml:space="preserve"> resource</w:t>
            </w:r>
            <w:r w:rsidR="00CB0DD7" w:rsidRPr="000A0A5F">
              <w:t>.</w:t>
            </w:r>
          </w:p>
        </w:tc>
      </w:tr>
      <w:tr w:rsidR="00517DF6" w:rsidRPr="000A0A5F" w:rsidTr="00FF0AF8">
        <w:trPr>
          <w:jc w:val="center"/>
        </w:trPr>
        <w:tc>
          <w:tcPr>
            <w:tcW w:w="623" w:type="pct"/>
            <w:vMerge/>
          </w:tcPr>
          <w:p w:rsidR="00517DF6" w:rsidRPr="000A0A5F" w:rsidRDefault="00517DF6" w:rsidP="00517DF6">
            <w:pPr>
              <w:pStyle w:val="TAL"/>
            </w:pPr>
          </w:p>
        </w:tc>
        <w:tc>
          <w:tcPr>
            <w:tcW w:w="2655" w:type="pct"/>
            <w:vMerge/>
          </w:tcPr>
          <w:p w:rsidR="00517DF6" w:rsidRPr="000A0A5F" w:rsidRDefault="00517DF6" w:rsidP="00517DF6">
            <w:pPr>
              <w:pStyle w:val="TAL"/>
            </w:pPr>
          </w:p>
        </w:tc>
        <w:tc>
          <w:tcPr>
            <w:tcW w:w="510" w:type="pct"/>
          </w:tcPr>
          <w:p w:rsidR="00517DF6" w:rsidRPr="000A0A5F" w:rsidRDefault="00517DF6" w:rsidP="00517DF6">
            <w:pPr>
              <w:pStyle w:val="TAL"/>
            </w:pPr>
            <w:r w:rsidRPr="000A0A5F">
              <w:t>PATCH</w:t>
            </w:r>
          </w:p>
        </w:tc>
        <w:tc>
          <w:tcPr>
            <w:tcW w:w="1212" w:type="pct"/>
          </w:tcPr>
          <w:p w:rsidR="00517DF6" w:rsidRPr="000A0A5F" w:rsidRDefault="00517DF6" w:rsidP="00517DF6">
            <w:pPr>
              <w:pStyle w:val="TAL"/>
            </w:pPr>
            <w:r w:rsidRPr="000A0A5F">
              <w:t>Modify an existing Individual Network Status Reporting Subscription</w:t>
            </w:r>
            <w:r w:rsidRPr="000A0A5F">
              <w:rPr>
                <w:noProof/>
                <w:lang w:eastAsia="zh-CN"/>
              </w:rPr>
              <w:t xml:space="preserve"> resource</w:t>
            </w:r>
            <w:r w:rsidRPr="000A0A5F">
              <w:t>.</w:t>
            </w:r>
          </w:p>
        </w:tc>
      </w:tr>
      <w:tr w:rsidR="00CB0DD7" w:rsidRPr="000A0A5F" w:rsidTr="00FF0AF8">
        <w:trPr>
          <w:jc w:val="center"/>
        </w:trPr>
        <w:tc>
          <w:tcPr>
            <w:tcW w:w="623" w:type="pct"/>
            <w:vMerge/>
          </w:tcPr>
          <w:p w:rsidR="00CB0DD7" w:rsidRPr="000A0A5F" w:rsidRDefault="00CB0DD7">
            <w:pPr>
              <w:pStyle w:val="TAL"/>
              <w:spacing w:line="276" w:lineRule="auto"/>
            </w:pPr>
          </w:p>
        </w:tc>
        <w:tc>
          <w:tcPr>
            <w:tcW w:w="2655" w:type="pct"/>
            <w:vMerge/>
          </w:tcPr>
          <w:p w:rsidR="00CB0DD7" w:rsidRPr="000A0A5F" w:rsidRDefault="00CB0DD7">
            <w:pPr>
              <w:pStyle w:val="TAL"/>
              <w:spacing w:line="276" w:lineRule="auto"/>
            </w:pPr>
          </w:p>
        </w:tc>
        <w:tc>
          <w:tcPr>
            <w:tcW w:w="510" w:type="pct"/>
          </w:tcPr>
          <w:p w:rsidR="00CB0DD7" w:rsidRPr="000A0A5F" w:rsidRDefault="00CB0DD7">
            <w:pPr>
              <w:pStyle w:val="TAL"/>
            </w:pPr>
            <w:r w:rsidRPr="000A0A5F">
              <w:t>DELETE</w:t>
            </w:r>
          </w:p>
        </w:tc>
        <w:tc>
          <w:tcPr>
            <w:tcW w:w="1212" w:type="pct"/>
          </w:tcPr>
          <w:p w:rsidR="00CB0DD7" w:rsidRPr="000A0A5F" w:rsidRDefault="00CB0DD7">
            <w:pPr>
              <w:pStyle w:val="TAL"/>
            </w:pPr>
            <w:r w:rsidRPr="000A0A5F">
              <w:rPr>
                <w:noProof/>
                <w:lang w:eastAsia="zh-CN"/>
              </w:rPr>
              <w:t xml:space="preserve">Delete an existing continuous </w:t>
            </w:r>
            <w:r w:rsidRPr="000A0A5F">
              <w:t>network status reporting</w:t>
            </w:r>
            <w:r w:rsidRPr="000A0A5F">
              <w:rPr>
                <w:noProof/>
                <w:lang w:eastAsia="zh-CN"/>
              </w:rPr>
              <w:t xml:space="preserve"> </w:t>
            </w:r>
            <w:r w:rsidRPr="000A0A5F">
              <w:t>subscription</w:t>
            </w:r>
            <w:r w:rsidRPr="000A0A5F">
              <w:rPr>
                <w:noProof/>
                <w:lang w:eastAsia="zh-CN"/>
              </w:rPr>
              <w:t xml:space="preserve"> resource.</w:t>
            </w:r>
          </w:p>
        </w:tc>
      </w:tr>
    </w:tbl>
    <w:p w:rsidR="00CB0DD7" w:rsidRPr="000A0A5F" w:rsidRDefault="00CB0DD7"/>
    <w:p w:rsidR="00CB0DD7" w:rsidRPr="000A0A5F" w:rsidRDefault="00CB0DD7">
      <w:pPr>
        <w:pStyle w:val="Heading4"/>
      </w:pPr>
      <w:bookmarkStart w:id="6765" w:name="_Toc11247689"/>
      <w:bookmarkStart w:id="6766" w:name="_Toc27044828"/>
      <w:bookmarkStart w:id="6767" w:name="_Toc36033870"/>
      <w:bookmarkStart w:id="6768" w:name="_Toc45132016"/>
      <w:bookmarkStart w:id="6769" w:name="_Toc49776301"/>
      <w:bookmarkStart w:id="6770" w:name="_Toc51747221"/>
      <w:bookmarkStart w:id="6771" w:name="_Toc66360791"/>
      <w:bookmarkStart w:id="6772" w:name="_Toc68105296"/>
      <w:bookmarkStart w:id="6773" w:name="_Toc74755926"/>
      <w:bookmarkStart w:id="6774" w:name="_Toc105674802"/>
      <w:bookmarkStart w:id="6775" w:name="_Toc130502862"/>
      <w:bookmarkStart w:id="6776" w:name="_Toc153625649"/>
      <w:r w:rsidRPr="000A0A5F">
        <w:t>5.9.3.2</w:t>
      </w:r>
      <w:r w:rsidRPr="000A0A5F">
        <w:tab/>
        <w:t>Resource: Network Status Reporting Subscriptions</w:t>
      </w:r>
      <w:bookmarkEnd w:id="6765"/>
      <w:bookmarkEnd w:id="6766"/>
      <w:bookmarkEnd w:id="6767"/>
      <w:bookmarkEnd w:id="6768"/>
      <w:bookmarkEnd w:id="6769"/>
      <w:bookmarkEnd w:id="6770"/>
      <w:bookmarkEnd w:id="6771"/>
      <w:bookmarkEnd w:id="6772"/>
      <w:bookmarkEnd w:id="6773"/>
      <w:bookmarkEnd w:id="6774"/>
      <w:bookmarkEnd w:id="6775"/>
      <w:bookmarkEnd w:id="6776"/>
    </w:p>
    <w:p w:rsidR="00CB0DD7" w:rsidRPr="000A0A5F" w:rsidRDefault="00CB0DD7">
      <w:pPr>
        <w:pStyle w:val="Heading5"/>
      </w:pPr>
      <w:bookmarkStart w:id="6777" w:name="_Toc11247690"/>
      <w:bookmarkStart w:id="6778" w:name="_Toc27044829"/>
      <w:bookmarkStart w:id="6779" w:name="_Toc36033871"/>
      <w:bookmarkStart w:id="6780" w:name="_Toc45132017"/>
      <w:bookmarkStart w:id="6781" w:name="_Toc49776302"/>
      <w:bookmarkStart w:id="6782" w:name="_Toc51747222"/>
      <w:bookmarkStart w:id="6783" w:name="_Toc66360792"/>
      <w:bookmarkStart w:id="6784" w:name="_Toc68105297"/>
      <w:bookmarkStart w:id="6785" w:name="_Toc74755927"/>
      <w:bookmarkStart w:id="6786" w:name="_Toc105674803"/>
      <w:bookmarkStart w:id="6787" w:name="_Toc130502863"/>
      <w:bookmarkStart w:id="6788" w:name="_Toc153625650"/>
      <w:r w:rsidRPr="000A0A5F">
        <w:t>5.9.3.2.1</w:t>
      </w:r>
      <w:r w:rsidRPr="000A0A5F">
        <w:tab/>
        <w:t>Introduction</w:t>
      </w:r>
      <w:bookmarkEnd w:id="6777"/>
      <w:bookmarkEnd w:id="6778"/>
      <w:bookmarkEnd w:id="6779"/>
      <w:bookmarkEnd w:id="6780"/>
      <w:bookmarkEnd w:id="6781"/>
      <w:bookmarkEnd w:id="6782"/>
      <w:bookmarkEnd w:id="6783"/>
      <w:bookmarkEnd w:id="6784"/>
      <w:bookmarkEnd w:id="6785"/>
      <w:bookmarkEnd w:id="6786"/>
      <w:bookmarkEnd w:id="6787"/>
      <w:bookmarkEnd w:id="6788"/>
    </w:p>
    <w:p w:rsidR="00CB0DD7" w:rsidRPr="000A0A5F" w:rsidRDefault="00CB0DD7">
      <w:pPr>
        <w:rPr>
          <w:noProof/>
          <w:lang w:eastAsia="zh-CN"/>
        </w:rPr>
      </w:pPr>
      <w:r w:rsidRPr="000A0A5F">
        <w:rPr>
          <w:noProof/>
          <w:lang w:eastAsia="zh-CN"/>
        </w:rPr>
        <w:t>This resource allows t</w:t>
      </w:r>
      <w:r w:rsidRPr="000A0A5F">
        <w:rPr>
          <w:rFonts w:hint="eastAsia"/>
          <w:noProof/>
          <w:lang w:eastAsia="zh-CN"/>
        </w:rPr>
        <w:t xml:space="preserve">he SCS/AS </w:t>
      </w:r>
      <w:r w:rsidRPr="000A0A5F">
        <w:rPr>
          <w:noProof/>
          <w:lang w:eastAsia="zh-CN"/>
        </w:rPr>
        <w:t>to read all active long-term subscriptions related to a network status reporting.</w:t>
      </w:r>
    </w:p>
    <w:p w:rsidR="00CB0DD7" w:rsidRPr="000A0A5F" w:rsidRDefault="00CB0DD7">
      <w:pPr>
        <w:pStyle w:val="Heading5"/>
      </w:pPr>
      <w:bookmarkStart w:id="6789" w:name="_Toc11247691"/>
      <w:bookmarkStart w:id="6790" w:name="_Toc27044830"/>
      <w:bookmarkStart w:id="6791" w:name="_Toc36033872"/>
      <w:bookmarkStart w:id="6792" w:name="_Toc45132018"/>
      <w:bookmarkStart w:id="6793" w:name="_Toc49776303"/>
      <w:bookmarkStart w:id="6794" w:name="_Toc51747223"/>
      <w:bookmarkStart w:id="6795" w:name="_Toc66360793"/>
      <w:bookmarkStart w:id="6796" w:name="_Toc68105298"/>
      <w:bookmarkStart w:id="6797" w:name="_Toc74755928"/>
      <w:bookmarkStart w:id="6798" w:name="_Toc105674804"/>
      <w:bookmarkStart w:id="6799" w:name="_Toc130502864"/>
      <w:bookmarkStart w:id="6800" w:name="_Toc153625651"/>
      <w:r w:rsidRPr="000A0A5F">
        <w:t>5.9.3.2.2</w:t>
      </w:r>
      <w:r w:rsidRPr="000A0A5F">
        <w:tab/>
        <w:t>Resource definition</w:t>
      </w:r>
      <w:bookmarkEnd w:id="6789"/>
      <w:bookmarkEnd w:id="6790"/>
      <w:bookmarkEnd w:id="6791"/>
      <w:bookmarkEnd w:id="6792"/>
      <w:bookmarkEnd w:id="6793"/>
      <w:bookmarkEnd w:id="6794"/>
      <w:bookmarkEnd w:id="6795"/>
      <w:bookmarkEnd w:id="6796"/>
      <w:bookmarkEnd w:id="6797"/>
      <w:bookmarkEnd w:id="6798"/>
      <w:bookmarkEnd w:id="6799"/>
      <w:bookmarkEnd w:id="6800"/>
    </w:p>
    <w:p w:rsidR="00CB0DD7" w:rsidRPr="000A0A5F" w:rsidRDefault="00CB0DD7">
      <w:r w:rsidRPr="000A0A5F">
        <w:t xml:space="preserve">Resource URI: </w:t>
      </w:r>
      <w:r w:rsidRPr="000A0A5F">
        <w:rPr>
          <w:b/>
        </w:rPr>
        <w:t>{apiRoot}/3gpp-net-stat-report/v1/{scsAsId}/</w:t>
      </w:r>
      <w:r w:rsidRPr="000A0A5F">
        <w:rPr>
          <w:b/>
          <w:noProof/>
          <w:lang w:eastAsia="zh-CN"/>
        </w:rPr>
        <w:t>subscription</w:t>
      </w:r>
      <w:r w:rsidRPr="000A0A5F">
        <w:rPr>
          <w:b/>
        </w:rPr>
        <w:t>s</w:t>
      </w:r>
    </w:p>
    <w:p w:rsidR="00CB0DD7" w:rsidRPr="000A0A5F" w:rsidRDefault="00CB0DD7">
      <w:pPr>
        <w:rPr>
          <w:rFonts w:ascii="Arial" w:hAnsi="Arial" w:cs="Arial"/>
        </w:rPr>
      </w:pPr>
      <w:r w:rsidRPr="000A0A5F">
        <w:t>This resource shall support the resource URI variables defined in table 5.9.3.2.2-1</w:t>
      </w:r>
      <w:r w:rsidRPr="000A0A5F">
        <w:rPr>
          <w:rFonts w:ascii="Arial" w:hAnsi="Arial" w:cs="Arial"/>
        </w:rPr>
        <w:t>.</w:t>
      </w:r>
    </w:p>
    <w:p w:rsidR="00CB0DD7" w:rsidRPr="000A0A5F" w:rsidRDefault="00CB0DD7">
      <w:pPr>
        <w:pStyle w:val="TH"/>
        <w:rPr>
          <w:rFonts w:cs="Arial"/>
        </w:rPr>
      </w:pPr>
      <w:r w:rsidRPr="000A0A5F">
        <w:t>Table 5.9.3.2.2-1: Resource URI variables for resource "Network Status Reporting Subscriptions"</w:t>
      </w:r>
    </w:p>
    <w:tbl>
      <w:tblPr>
        <w:tblW w:w="494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970"/>
        <w:gridCol w:w="1171"/>
        <w:gridCol w:w="6519"/>
      </w:tblGrid>
      <w:tr w:rsidR="00CB0DD7" w:rsidRPr="000A0A5F" w:rsidTr="00FF0AF8">
        <w:trPr>
          <w:jc w:val="center"/>
        </w:trPr>
        <w:tc>
          <w:tcPr>
            <w:tcW w:w="1020" w:type="pct"/>
            <w:shd w:val="clear" w:color="000000" w:fill="C0C0C0"/>
          </w:tcPr>
          <w:p w:rsidR="00CB0DD7" w:rsidRPr="000A0A5F" w:rsidRDefault="00CB0DD7">
            <w:pPr>
              <w:pStyle w:val="TAH"/>
            </w:pPr>
            <w:r w:rsidRPr="000A0A5F">
              <w:t>Name</w:t>
            </w:r>
          </w:p>
        </w:tc>
        <w:tc>
          <w:tcPr>
            <w:tcW w:w="606" w:type="pct"/>
            <w:shd w:val="clear" w:color="000000" w:fill="C0C0C0"/>
          </w:tcPr>
          <w:p w:rsidR="00CB0DD7" w:rsidRPr="000A0A5F" w:rsidRDefault="00CB0DD7">
            <w:pPr>
              <w:pStyle w:val="TAH"/>
            </w:pPr>
            <w:r w:rsidRPr="000A0A5F">
              <w:t>Data type</w:t>
            </w:r>
          </w:p>
        </w:tc>
        <w:tc>
          <w:tcPr>
            <w:tcW w:w="3375" w:type="pct"/>
            <w:shd w:val="clear" w:color="000000" w:fill="C0C0C0"/>
            <w:vAlign w:val="center"/>
          </w:tcPr>
          <w:p w:rsidR="00CB0DD7" w:rsidRPr="000A0A5F" w:rsidRDefault="00CB0DD7">
            <w:pPr>
              <w:pStyle w:val="TAH"/>
            </w:pPr>
            <w:r w:rsidRPr="000A0A5F">
              <w:t>Definition</w:t>
            </w:r>
          </w:p>
        </w:tc>
      </w:tr>
      <w:tr w:rsidR="00CB0DD7" w:rsidRPr="000A0A5F" w:rsidTr="00FF0AF8">
        <w:trPr>
          <w:jc w:val="center"/>
        </w:trPr>
        <w:tc>
          <w:tcPr>
            <w:tcW w:w="1020" w:type="pct"/>
            <w:shd w:val="clear" w:color="auto" w:fill="auto"/>
          </w:tcPr>
          <w:p w:rsidR="00CB0DD7" w:rsidRPr="000A0A5F" w:rsidRDefault="00CB0DD7">
            <w:pPr>
              <w:pStyle w:val="TAL"/>
            </w:pPr>
            <w:r w:rsidRPr="000A0A5F">
              <w:t>apiRoot</w:t>
            </w:r>
          </w:p>
        </w:tc>
        <w:tc>
          <w:tcPr>
            <w:tcW w:w="606" w:type="pct"/>
          </w:tcPr>
          <w:p w:rsidR="00CB0DD7" w:rsidRPr="000A0A5F" w:rsidRDefault="00CB0DD7">
            <w:pPr>
              <w:pStyle w:val="TAL"/>
            </w:pPr>
            <w:r w:rsidRPr="000A0A5F">
              <w:t>string</w:t>
            </w:r>
          </w:p>
        </w:tc>
        <w:tc>
          <w:tcPr>
            <w:tcW w:w="3375" w:type="pct"/>
            <w:shd w:val="clear" w:color="auto" w:fill="auto"/>
            <w:vAlign w:val="center"/>
          </w:tcPr>
          <w:p w:rsidR="00CB0DD7" w:rsidRPr="000A0A5F" w:rsidRDefault="00CB0DD7">
            <w:pPr>
              <w:pStyle w:val="TAL"/>
            </w:pPr>
            <w:r w:rsidRPr="000A0A5F">
              <w:t>See clause</w:t>
            </w:r>
            <w:r w:rsidRPr="000A0A5F">
              <w:rPr>
                <w:lang w:val="en-US" w:eastAsia="zh-CN"/>
              </w:rPr>
              <w:t> </w:t>
            </w:r>
            <w:r w:rsidRPr="000A0A5F">
              <w:t>5.2.4.</w:t>
            </w:r>
          </w:p>
        </w:tc>
      </w:tr>
      <w:tr w:rsidR="00CB0DD7" w:rsidRPr="000A0A5F" w:rsidTr="00FF0AF8">
        <w:trPr>
          <w:jc w:val="center"/>
        </w:trPr>
        <w:tc>
          <w:tcPr>
            <w:tcW w:w="1020" w:type="pct"/>
            <w:shd w:val="clear" w:color="auto" w:fill="auto"/>
          </w:tcPr>
          <w:p w:rsidR="00CB0DD7" w:rsidRPr="000A0A5F" w:rsidRDefault="00CB0DD7">
            <w:pPr>
              <w:pStyle w:val="TAL"/>
            </w:pPr>
            <w:r w:rsidRPr="000A0A5F">
              <w:t>scsAsId</w:t>
            </w:r>
          </w:p>
        </w:tc>
        <w:tc>
          <w:tcPr>
            <w:tcW w:w="606" w:type="pct"/>
          </w:tcPr>
          <w:p w:rsidR="00CB0DD7" w:rsidRPr="000A0A5F" w:rsidRDefault="00CB0DD7">
            <w:pPr>
              <w:pStyle w:val="TAL"/>
            </w:pPr>
            <w:r w:rsidRPr="000A0A5F">
              <w:rPr>
                <w:rFonts w:hint="eastAsia"/>
                <w:lang w:eastAsia="zh-CN"/>
              </w:rPr>
              <w:t>s</w:t>
            </w:r>
            <w:r w:rsidRPr="000A0A5F">
              <w:rPr>
                <w:lang w:eastAsia="zh-CN"/>
              </w:rPr>
              <w:t>tring</w:t>
            </w:r>
          </w:p>
        </w:tc>
        <w:tc>
          <w:tcPr>
            <w:tcW w:w="3375" w:type="pct"/>
            <w:shd w:val="clear" w:color="auto" w:fill="auto"/>
            <w:vAlign w:val="center"/>
          </w:tcPr>
          <w:p w:rsidR="00CB0DD7" w:rsidRPr="000A0A5F" w:rsidRDefault="00CB0DD7">
            <w:pPr>
              <w:pStyle w:val="TAL"/>
            </w:pPr>
            <w:r w:rsidRPr="000A0A5F">
              <w:t>Identifier of the SCS/AS.</w:t>
            </w:r>
          </w:p>
        </w:tc>
      </w:tr>
    </w:tbl>
    <w:p w:rsidR="00CB0DD7" w:rsidRPr="000A0A5F" w:rsidRDefault="00CB0DD7"/>
    <w:p w:rsidR="00CB0DD7" w:rsidRPr="000A0A5F" w:rsidRDefault="00CB0DD7">
      <w:pPr>
        <w:pStyle w:val="Heading5"/>
      </w:pPr>
      <w:bookmarkStart w:id="6801" w:name="_Toc11247692"/>
      <w:bookmarkStart w:id="6802" w:name="_Toc27044831"/>
      <w:bookmarkStart w:id="6803" w:name="_Toc36033873"/>
      <w:bookmarkStart w:id="6804" w:name="_Toc45132019"/>
      <w:bookmarkStart w:id="6805" w:name="_Toc49776304"/>
      <w:bookmarkStart w:id="6806" w:name="_Toc51747224"/>
      <w:bookmarkStart w:id="6807" w:name="_Toc66360794"/>
      <w:bookmarkStart w:id="6808" w:name="_Toc68105299"/>
      <w:bookmarkStart w:id="6809" w:name="_Toc74755929"/>
      <w:bookmarkStart w:id="6810" w:name="_Toc105674805"/>
      <w:bookmarkStart w:id="6811" w:name="_Toc130502865"/>
      <w:bookmarkStart w:id="6812" w:name="_Toc153625652"/>
      <w:r w:rsidRPr="000A0A5F">
        <w:t>5.9.3.2.3</w:t>
      </w:r>
      <w:r w:rsidRPr="000A0A5F">
        <w:tab/>
        <w:t>Resource methods</w:t>
      </w:r>
      <w:bookmarkEnd w:id="6801"/>
      <w:bookmarkEnd w:id="6802"/>
      <w:bookmarkEnd w:id="6803"/>
      <w:bookmarkEnd w:id="6804"/>
      <w:bookmarkEnd w:id="6805"/>
      <w:bookmarkEnd w:id="6806"/>
      <w:bookmarkEnd w:id="6807"/>
      <w:bookmarkEnd w:id="6808"/>
      <w:bookmarkEnd w:id="6809"/>
      <w:bookmarkEnd w:id="6810"/>
      <w:bookmarkEnd w:id="6811"/>
      <w:bookmarkEnd w:id="6812"/>
    </w:p>
    <w:p w:rsidR="00CB0DD7" w:rsidRPr="000A0A5F" w:rsidRDefault="00CB0DD7">
      <w:pPr>
        <w:pStyle w:val="Heading6"/>
      </w:pPr>
      <w:bookmarkStart w:id="6813" w:name="_Toc11247693"/>
      <w:bookmarkStart w:id="6814" w:name="_Toc27044832"/>
      <w:bookmarkStart w:id="6815" w:name="_Toc36033874"/>
      <w:bookmarkStart w:id="6816" w:name="_Toc45132020"/>
      <w:bookmarkStart w:id="6817" w:name="_Toc49776305"/>
      <w:bookmarkStart w:id="6818" w:name="_Toc51747225"/>
      <w:bookmarkStart w:id="6819" w:name="_Toc66360795"/>
      <w:bookmarkStart w:id="6820" w:name="_Toc68105300"/>
      <w:bookmarkStart w:id="6821" w:name="_Toc74755930"/>
      <w:bookmarkStart w:id="6822" w:name="_Toc105674806"/>
      <w:bookmarkStart w:id="6823" w:name="_Toc130502866"/>
      <w:bookmarkStart w:id="6824" w:name="_Toc153625653"/>
      <w:r w:rsidRPr="000A0A5F">
        <w:t>5.9.3.2.3.1</w:t>
      </w:r>
      <w:r w:rsidRPr="000A0A5F">
        <w:tab/>
        <w:t>GET</w:t>
      </w:r>
      <w:bookmarkEnd w:id="6813"/>
      <w:bookmarkEnd w:id="6814"/>
      <w:bookmarkEnd w:id="6815"/>
      <w:bookmarkEnd w:id="6816"/>
      <w:bookmarkEnd w:id="6817"/>
      <w:bookmarkEnd w:id="6818"/>
      <w:bookmarkEnd w:id="6819"/>
      <w:bookmarkEnd w:id="6820"/>
      <w:bookmarkEnd w:id="6821"/>
      <w:bookmarkEnd w:id="6822"/>
      <w:bookmarkEnd w:id="6823"/>
      <w:bookmarkEnd w:id="6824"/>
    </w:p>
    <w:p w:rsidR="00CB0DD7" w:rsidRPr="000A0A5F" w:rsidRDefault="00CB0DD7">
      <w:pPr>
        <w:rPr>
          <w:noProof/>
          <w:lang w:eastAsia="zh-CN"/>
        </w:rPr>
      </w:pPr>
      <w:r w:rsidRPr="000A0A5F">
        <w:rPr>
          <w:noProof/>
          <w:lang w:eastAsia="zh-CN"/>
        </w:rPr>
        <w:t>The GET method allows to read all active network status reporting subscriptions for a given SCS/AS. The SCS/AS shall initiate the HTTP GET request message and the SCEF shall respond to the message.</w:t>
      </w:r>
    </w:p>
    <w:p w:rsidR="00CB0DD7" w:rsidRPr="000A0A5F" w:rsidRDefault="00CB0DD7">
      <w:r w:rsidRPr="000A0A5F">
        <w:t>This method shall support the URI query parameters, request and response data structures, and response codes, as specified in the table 5.9.3.2.3.1-1 and table 5.9.3.2.3.1-2.</w:t>
      </w:r>
    </w:p>
    <w:p w:rsidR="00CB0DD7" w:rsidRPr="000A0A5F" w:rsidRDefault="00CB0DD7">
      <w:pPr>
        <w:pStyle w:val="TH"/>
        <w:rPr>
          <w:rFonts w:cs="Arial"/>
        </w:rPr>
      </w:pPr>
      <w:r w:rsidRPr="000A0A5F">
        <w:t xml:space="preserve">Table 5.9.3.2.3.1-1: URI query parameters supported by the GET method on this resource </w:t>
      </w:r>
    </w:p>
    <w:tbl>
      <w:tblPr>
        <w:tblW w:w="4999"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612"/>
        <w:gridCol w:w="1709"/>
        <w:gridCol w:w="1140"/>
        <w:gridCol w:w="5314"/>
      </w:tblGrid>
      <w:tr w:rsidR="00CB0DD7" w:rsidRPr="000A0A5F" w:rsidTr="00FF0AF8">
        <w:trPr>
          <w:jc w:val="center"/>
        </w:trPr>
        <w:tc>
          <w:tcPr>
            <w:tcW w:w="825" w:type="pct"/>
            <w:shd w:val="clear" w:color="000000" w:fill="C0C0C0"/>
          </w:tcPr>
          <w:p w:rsidR="00CB0DD7" w:rsidRPr="000A0A5F" w:rsidRDefault="00CB0DD7">
            <w:pPr>
              <w:pStyle w:val="TAH"/>
            </w:pPr>
            <w:r w:rsidRPr="000A0A5F">
              <w:t>Name</w:t>
            </w:r>
          </w:p>
        </w:tc>
        <w:tc>
          <w:tcPr>
            <w:tcW w:w="874" w:type="pct"/>
            <w:shd w:val="clear" w:color="000000" w:fill="C0C0C0"/>
          </w:tcPr>
          <w:p w:rsidR="00CB0DD7" w:rsidRPr="000A0A5F" w:rsidRDefault="00CB0DD7">
            <w:pPr>
              <w:pStyle w:val="TAH"/>
            </w:pPr>
            <w:r w:rsidRPr="000A0A5F">
              <w:t>Data type</w:t>
            </w:r>
          </w:p>
        </w:tc>
        <w:tc>
          <w:tcPr>
            <w:tcW w:w="583" w:type="pct"/>
            <w:shd w:val="clear" w:color="000000" w:fill="C0C0C0"/>
          </w:tcPr>
          <w:p w:rsidR="00CB0DD7" w:rsidRPr="000A0A5F" w:rsidRDefault="00CB0DD7">
            <w:pPr>
              <w:pStyle w:val="TAH"/>
            </w:pPr>
            <w:r w:rsidRPr="000A0A5F">
              <w:t>Cardinality</w:t>
            </w:r>
          </w:p>
        </w:tc>
        <w:tc>
          <w:tcPr>
            <w:tcW w:w="2718" w:type="pct"/>
            <w:shd w:val="clear" w:color="000000" w:fill="C0C0C0"/>
            <w:vAlign w:val="center"/>
          </w:tcPr>
          <w:p w:rsidR="00CB0DD7" w:rsidRPr="000A0A5F" w:rsidRDefault="00CB0DD7">
            <w:pPr>
              <w:pStyle w:val="TAH"/>
            </w:pPr>
            <w:r w:rsidRPr="000A0A5F">
              <w:t>Remarks</w:t>
            </w:r>
          </w:p>
        </w:tc>
      </w:tr>
      <w:tr w:rsidR="00CB0DD7" w:rsidRPr="000A0A5F" w:rsidTr="00FF0AF8">
        <w:trPr>
          <w:jc w:val="center"/>
        </w:trPr>
        <w:tc>
          <w:tcPr>
            <w:tcW w:w="825" w:type="pct"/>
            <w:shd w:val="clear" w:color="auto" w:fill="auto"/>
          </w:tcPr>
          <w:p w:rsidR="00CB0DD7" w:rsidRPr="000A0A5F" w:rsidRDefault="00CB0DD7">
            <w:pPr>
              <w:pStyle w:val="TAL"/>
            </w:pPr>
            <w:r w:rsidRPr="000A0A5F">
              <w:t>none specified</w:t>
            </w:r>
          </w:p>
        </w:tc>
        <w:tc>
          <w:tcPr>
            <w:tcW w:w="874" w:type="pct"/>
          </w:tcPr>
          <w:p w:rsidR="00CB0DD7" w:rsidRPr="000A0A5F" w:rsidRDefault="00CB0DD7">
            <w:pPr>
              <w:pStyle w:val="TAL"/>
            </w:pPr>
          </w:p>
        </w:tc>
        <w:tc>
          <w:tcPr>
            <w:tcW w:w="583" w:type="pct"/>
          </w:tcPr>
          <w:p w:rsidR="00CB0DD7" w:rsidRPr="000A0A5F" w:rsidRDefault="00CB0DD7">
            <w:pPr>
              <w:pStyle w:val="TAL"/>
            </w:pPr>
          </w:p>
        </w:tc>
        <w:tc>
          <w:tcPr>
            <w:tcW w:w="2718" w:type="pct"/>
            <w:shd w:val="clear" w:color="auto" w:fill="auto"/>
            <w:vAlign w:val="center"/>
          </w:tcPr>
          <w:p w:rsidR="00CB0DD7" w:rsidRPr="000A0A5F" w:rsidRDefault="00CB0DD7">
            <w:pPr>
              <w:pStyle w:val="TAL"/>
            </w:pPr>
          </w:p>
        </w:tc>
      </w:tr>
    </w:tbl>
    <w:p w:rsidR="00CB0DD7" w:rsidRPr="000A0A5F" w:rsidRDefault="00CB0DD7"/>
    <w:p w:rsidR="00CB0DD7" w:rsidRPr="000A0A5F" w:rsidRDefault="00CB0DD7">
      <w:pPr>
        <w:pStyle w:val="TH"/>
        <w:spacing w:before="120"/>
      </w:pPr>
      <w:r w:rsidRPr="000A0A5F">
        <w:t>Table 5.9.3.2.3.1-2: Data structures supported by the GET request/response by the resource</w:t>
      </w:r>
    </w:p>
    <w:tbl>
      <w:tblPr>
        <w:tblW w:w="4999" w:type="pct"/>
        <w:tblInd w:w="1"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top w:w="45" w:type="dxa"/>
          <w:left w:w="45" w:type="dxa"/>
          <w:bottom w:w="45" w:type="dxa"/>
          <w:right w:w="45" w:type="dxa"/>
        </w:tblCellMar>
        <w:tblLook w:val="0000" w:firstRow="0" w:lastRow="0" w:firstColumn="0" w:lastColumn="0" w:noHBand="0" w:noVBand="0"/>
      </w:tblPr>
      <w:tblGrid>
        <w:gridCol w:w="1035"/>
        <w:gridCol w:w="2127"/>
        <w:gridCol w:w="1053"/>
        <w:gridCol w:w="973"/>
        <w:gridCol w:w="4541"/>
      </w:tblGrid>
      <w:tr w:rsidR="00CB0DD7" w:rsidRPr="000A0A5F" w:rsidTr="00790FC9">
        <w:tc>
          <w:tcPr>
            <w:tcW w:w="532" w:type="pct"/>
            <w:vMerge w:val="restart"/>
            <w:shd w:val="clear" w:color="auto" w:fill="C0C0C0"/>
            <w:vAlign w:val="center"/>
          </w:tcPr>
          <w:p w:rsidR="00CB0DD7" w:rsidRPr="000A0A5F" w:rsidRDefault="00CB0DD7">
            <w:pPr>
              <w:pStyle w:val="TAH"/>
            </w:pPr>
            <w:r w:rsidRPr="000A0A5F">
              <w:t>Request body</w:t>
            </w:r>
          </w:p>
        </w:tc>
        <w:tc>
          <w:tcPr>
            <w:tcW w:w="1093" w:type="pct"/>
            <w:shd w:val="clear" w:color="auto" w:fill="C0C0C0"/>
          </w:tcPr>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r w:rsidRPr="000A0A5F">
              <w:t>Cardinality</w:t>
            </w:r>
          </w:p>
        </w:tc>
        <w:tc>
          <w:tcPr>
            <w:tcW w:w="2834" w:type="pct"/>
            <w:gridSpan w:val="2"/>
            <w:shd w:val="clear" w:color="auto" w:fill="C0C0C0"/>
          </w:tcPr>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none</w:t>
            </w:r>
          </w:p>
        </w:tc>
        <w:tc>
          <w:tcPr>
            <w:tcW w:w="541" w:type="pct"/>
          </w:tcPr>
          <w:p w:rsidR="00CB0DD7" w:rsidRPr="000A0A5F" w:rsidRDefault="00CB0DD7">
            <w:pPr>
              <w:pStyle w:val="TAL"/>
            </w:pPr>
          </w:p>
        </w:tc>
        <w:tc>
          <w:tcPr>
            <w:tcW w:w="2834" w:type="pct"/>
            <w:gridSpan w:val="2"/>
          </w:tcPr>
          <w:p w:rsidR="00CB0DD7" w:rsidRPr="000A0A5F" w:rsidRDefault="00CB0DD7">
            <w:pPr>
              <w:pStyle w:val="TAL"/>
            </w:pPr>
          </w:p>
        </w:tc>
      </w:tr>
      <w:tr w:rsidR="00CB0DD7" w:rsidRPr="000A0A5F" w:rsidTr="00790FC9">
        <w:tc>
          <w:tcPr>
            <w:tcW w:w="532" w:type="pct"/>
            <w:vMerge w:val="restart"/>
            <w:shd w:val="clear" w:color="auto" w:fill="C0C0C0"/>
            <w:vAlign w:val="center"/>
          </w:tcPr>
          <w:p w:rsidR="00CB0DD7" w:rsidRPr="000A0A5F" w:rsidRDefault="00CB0DD7">
            <w:pPr>
              <w:pStyle w:val="TAH"/>
            </w:pPr>
            <w:r w:rsidRPr="000A0A5F">
              <w:t>Response body</w:t>
            </w:r>
          </w:p>
        </w:tc>
        <w:tc>
          <w:tcPr>
            <w:tcW w:w="1093" w:type="pct"/>
            <w:shd w:val="clear" w:color="auto" w:fill="C0C0C0"/>
          </w:tcPr>
          <w:p w:rsidR="00CB0DD7" w:rsidRPr="000A0A5F" w:rsidRDefault="00CB0DD7">
            <w:pPr>
              <w:pStyle w:val="TAH"/>
            </w:pPr>
          </w:p>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p>
          <w:p w:rsidR="00CB0DD7" w:rsidRPr="000A0A5F" w:rsidRDefault="00CB0DD7">
            <w:pPr>
              <w:pStyle w:val="TAH"/>
            </w:pPr>
            <w:r w:rsidRPr="000A0A5F">
              <w:t>Cardinality</w:t>
            </w:r>
          </w:p>
        </w:tc>
        <w:tc>
          <w:tcPr>
            <w:tcW w:w="500" w:type="pct"/>
            <w:shd w:val="clear" w:color="auto" w:fill="C0C0C0"/>
          </w:tcPr>
          <w:p w:rsidR="00CB0DD7" w:rsidRPr="000A0A5F" w:rsidRDefault="00CB0DD7">
            <w:pPr>
              <w:pStyle w:val="TAH"/>
            </w:pPr>
            <w:r w:rsidRPr="000A0A5F">
              <w:t>Response</w:t>
            </w:r>
          </w:p>
          <w:p w:rsidR="00CB0DD7" w:rsidRPr="000A0A5F" w:rsidRDefault="00CB0DD7">
            <w:pPr>
              <w:pStyle w:val="TAH"/>
            </w:pPr>
            <w:r w:rsidRPr="000A0A5F">
              <w:t>codes</w:t>
            </w:r>
          </w:p>
        </w:tc>
        <w:tc>
          <w:tcPr>
            <w:tcW w:w="2334" w:type="pct"/>
            <w:shd w:val="clear" w:color="auto" w:fill="C0C0C0"/>
          </w:tcPr>
          <w:p w:rsidR="00CB0DD7" w:rsidRPr="000A0A5F" w:rsidRDefault="00CB0DD7">
            <w:pPr>
              <w:pStyle w:val="TAH"/>
            </w:pPr>
          </w:p>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rPr>
                <w:lang w:eastAsia="zh-CN"/>
              </w:rPr>
              <w:t>array(</w:t>
            </w:r>
            <w:r w:rsidRPr="000A0A5F">
              <w:rPr>
                <w:rFonts w:hint="eastAsia"/>
                <w:lang w:eastAsia="zh-CN"/>
              </w:rPr>
              <w:t>NetworkStatus</w:t>
            </w:r>
            <w:r w:rsidRPr="000A0A5F">
              <w:rPr>
                <w:lang w:eastAsia="zh-CN"/>
              </w:rPr>
              <w:t>ReportingSubscription)</w:t>
            </w:r>
          </w:p>
        </w:tc>
        <w:tc>
          <w:tcPr>
            <w:tcW w:w="541" w:type="pct"/>
          </w:tcPr>
          <w:p w:rsidR="00CB0DD7" w:rsidRPr="000A0A5F" w:rsidRDefault="00CB0DD7">
            <w:pPr>
              <w:pStyle w:val="TAL"/>
            </w:pPr>
            <w:r w:rsidRPr="000A0A5F">
              <w:t>0..N</w:t>
            </w:r>
          </w:p>
        </w:tc>
        <w:tc>
          <w:tcPr>
            <w:tcW w:w="500" w:type="pct"/>
          </w:tcPr>
          <w:p w:rsidR="00CB0DD7" w:rsidRPr="000A0A5F" w:rsidRDefault="00CB0DD7">
            <w:pPr>
              <w:pStyle w:val="TAL"/>
            </w:pPr>
            <w:r w:rsidRPr="000A0A5F">
              <w:t>200 OK</w:t>
            </w:r>
          </w:p>
        </w:tc>
        <w:tc>
          <w:tcPr>
            <w:tcW w:w="2334" w:type="pct"/>
          </w:tcPr>
          <w:p w:rsidR="00CB0DD7" w:rsidRPr="000A0A5F" w:rsidRDefault="00CB0DD7">
            <w:pPr>
              <w:pStyle w:val="TAL"/>
            </w:pPr>
            <w:r w:rsidRPr="000A0A5F">
              <w:t>The information about the network status reporting subscriptions related to the request URI is returned.</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lang w:eastAsia="zh-CN"/>
              </w:rPr>
            </w:pPr>
            <w:r w:rsidRPr="000A0A5F">
              <w:t>none</w:t>
            </w:r>
          </w:p>
        </w:tc>
        <w:tc>
          <w:tcPr>
            <w:tcW w:w="541" w:type="pct"/>
          </w:tcPr>
          <w:p w:rsidR="00CB0DD7" w:rsidRPr="000A0A5F" w:rsidRDefault="00CB0DD7">
            <w:pPr>
              <w:pStyle w:val="TAL"/>
            </w:pPr>
          </w:p>
        </w:tc>
        <w:tc>
          <w:tcPr>
            <w:tcW w:w="500" w:type="pct"/>
          </w:tcPr>
          <w:p w:rsidR="00CB0DD7" w:rsidRPr="000A0A5F" w:rsidRDefault="00CB0DD7">
            <w:pPr>
              <w:pStyle w:val="TAL"/>
            </w:pPr>
            <w:r w:rsidRPr="000A0A5F">
              <w:t>307 Temporary Redirect</w:t>
            </w:r>
          </w:p>
        </w:tc>
        <w:tc>
          <w:tcPr>
            <w:tcW w:w="2334" w:type="pct"/>
          </w:tcPr>
          <w:p w:rsidR="00CB0DD7" w:rsidRPr="000A0A5F" w:rsidRDefault="00CB0DD7">
            <w:pPr>
              <w:pStyle w:val="TAL"/>
            </w:pPr>
            <w:r w:rsidRPr="000A0A5F">
              <w:t xml:space="preserve">Temporary redirection, during </w:t>
            </w:r>
            <w:r w:rsidRPr="000A0A5F">
              <w:rPr>
                <w:rFonts w:hint="eastAsia"/>
                <w:lang w:eastAsia="zh-CN"/>
              </w:rPr>
              <w:t>resource</w:t>
            </w:r>
            <w:r w:rsidRPr="000A0A5F">
              <w:t xml:space="preserve"> retrieval. The response shall include a Location header field containing an alternative URI of the resource located in an alternative SCEF.</w:t>
            </w:r>
          </w:p>
          <w:p w:rsidR="00CB0DD7" w:rsidRPr="000A0A5F" w:rsidRDefault="00CB0DD7">
            <w:pPr>
              <w:pStyle w:val="TAL"/>
            </w:pPr>
            <w:r w:rsidRPr="000A0A5F">
              <w:t>Redirection handling is described in clause 5.2.10.</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lang w:eastAsia="zh-CN"/>
              </w:rPr>
            </w:pPr>
            <w:r w:rsidRPr="000A0A5F">
              <w:t>none</w:t>
            </w:r>
          </w:p>
        </w:tc>
        <w:tc>
          <w:tcPr>
            <w:tcW w:w="541" w:type="pct"/>
          </w:tcPr>
          <w:p w:rsidR="00CB0DD7" w:rsidRPr="000A0A5F" w:rsidRDefault="00CB0DD7">
            <w:pPr>
              <w:pStyle w:val="TAL"/>
            </w:pPr>
          </w:p>
        </w:tc>
        <w:tc>
          <w:tcPr>
            <w:tcW w:w="500" w:type="pct"/>
          </w:tcPr>
          <w:p w:rsidR="00CB0DD7" w:rsidRPr="000A0A5F" w:rsidRDefault="00CB0DD7">
            <w:pPr>
              <w:pStyle w:val="TAL"/>
            </w:pPr>
            <w:r w:rsidRPr="000A0A5F">
              <w:t>308 Permanent Redirect</w:t>
            </w:r>
          </w:p>
        </w:tc>
        <w:tc>
          <w:tcPr>
            <w:tcW w:w="2334" w:type="pct"/>
          </w:tcPr>
          <w:p w:rsidR="00CB0DD7" w:rsidRPr="000A0A5F" w:rsidRDefault="00CB0DD7">
            <w:pPr>
              <w:pStyle w:val="TAL"/>
            </w:pPr>
            <w:r w:rsidRPr="000A0A5F">
              <w:t xml:space="preserve">Permanent redirection, during </w:t>
            </w:r>
            <w:r w:rsidRPr="000A0A5F">
              <w:rPr>
                <w:rFonts w:hint="eastAsia"/>
                <w:lang w:eastAsia="zh-CN"/>
              </w:rPr>
              <w:t>resource</w:t>
            </w:r>
            <w:r w:rsidRPr="000A0A5F">
              <w:t xml:space="preserve"> retrieval. The response shall include a Location header field containing an alternative URI of the resource located in an alternative SCEF.</w:t>
            </w:r>
          </w:p>
          <w:p w:rsidR="00CB0DD7" w:rsidRPr="000A0A5F" w:rsidRDefault="00CB0DD7">
            <w:pPr>
              <w:pStyle w:val="TAL"/>
            </w:pPr>
            <w:r w:rsidRPr="000A0A5F">
              <w:t>Redirection handling is described in clause 5.2.10.</w:t>
            </w:r>
          </w:p>
        </w:tc>
      </w:tr>
      <w:tr w:rsidR="00CB0DD7" w:rsidRPr="000A0A5F" w:rsidTr="00FF0AF8">
        <w:tc>
          <w:tcPr>
            <w:tcW w:w="5000" w:type="pct"/>
            <w:gridSpan w:val="5"/>
            <w:shd w:val="clear" w:color="auto" w:fill="auto"/>
            <w:vAlign w:val="center"/>
          </w:tcPr>
          <w:p w:rsidR="00CB0DD7" w:rsidRPr="000A0A5F" w:rsidRDefault="00CB0DD7">
            <w:pPr>
              <w:pStyle w:val="TAN"/>
            </w:pPr>
            <w:r w:rsidRPr="000A0A5F">
              <w:t>NOTE:</w:t>
            </w:r>
            <w:r w:rsidRPr="000A0A5F">
              <w:tab/>
              <w:t>The mandatory HTTP error status codes for the GET method listed in table 5.2.6-1 also apply.</w:t>
            </w:r>
          </w:p>
        </w:tc>
      </w:tr>
    </w:tbl>
    <w:p w:rsidR="00CB0DD7" w:rsidRPr="000A0A5F" w:rsidRDefault="00CB0DD7"/>
    <w:p w:rsidR="00CB0DD7" w:rsidRPr="000A0A5F" w:rsidRDefault="00CB0DD7">
      <w:pPr>
        <w:pStyle w:val="TH"/>
      </w:pPr>
      <w:r w:rsidRPr="000A0A5F">
        <w:t>Table 5.9.3.2.3.1-3: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CB0DD7">
      <w:pPr>
        <w:pStyle w:val="TH"/>
      </w:pPr>
      <w:r w:rsidRPr="000A0A5F">
        <w:t>Table 5.9.3.2.3.1-4: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CB0DD7">
      <w:pPr>
        <w:pStyle w:val="Heading6"/>
      </w:pPr>
      <w:bookmarkStart w:id="6825" w:name="_Toc11247694"/>
      <w:bookmarkStart w:id="6826" w:name="_Toc27044833"/>
      <w:bookmarkStart w:id="6827" w:name="_Toc36033875"/>
      <w:bookmarkStart w:id="6828" w:name="_Toc45132021"/>
      <w:bookmarkStart w:id="6829" w:name="_Toc49776306"/>
      <w:bookmarkStart w:id="6830" w:name="_Toc51747226"/>
      <w:bookmarkStart w:id="6831" w:name="_Toc66360796"/>
      <w:bookmarkStart w:id="6832" w:name="_Toc68105301"/>
      <w:bookmarkStart w:id="6833" w:name="_Toc74755931"/>
      <w:bookmarkStart w:id="6834" w:name="_Toc105674807"/>
      <w:bookmarkStart w:id="6835" w:name="_Toc130502867"/>
      <w:bookmarkStart w:id="6836" w:name="_Toc153625654"/>
      <w:r w:rsidRPr="000A0A5F">
        <w:t>5.9.3.2.3.2</w:t>
      </w:r>
      <w:r w:rsidRPr="000A0A5F">
        <w:tab/>
        <w:t>PUT</w:t>
      </w:r>
      <w:bookmarkEnd w:id="6825"/>
      <w:bookmarkEnd w:id="6826"/>
      <w:bookmarkEnd w:id="6827"/>
      <w:bookmarkEnd w:id="6828"/>
      <w:bookmarkEnd w:id="6829"/>
      <w:bookmarkEnd w:id="6830"/>
      <w:bookmarkEnd w:id="6831"/>
      <w:bookmarkEnd w:id="6832"/>
      <w:bookmarkEnd w:id="6833"/>
      <w:bookmarkEnd w:id="6834"/>
      <w:bookmarkEnd w:id="6835"/>
      <w:bookmarkEnd w:id="6836"/>
    </w:p>
    <w:p w:rsidR="00CB0DD7" w:rsidRPr="000A0A5F" w:rsidRDefault="00CB0DD7">
      <w:r w:rsidRPr="000A0A5F">
        <w:rPr>
          <w:rFonts w:hint="eastAsia"/>
          <w:lang w:eastAsia="zh-CN"/>
        </w:rPr>
        <w:t xml:space="preserve">This </w:t>
      </w:r>
      <w:r w:rsidRPr="000A0A5F">
        <w:rPr>
          <w:lang w:eastAsia="zh-CN"/>
        </w:rPr>
        <w:t>HTTP method is not supported for the resource.</w:t>
      </w:r>
    </w:p>
    <w:p w:rsidR="00CB0DD7" w:rsidRPr="000A0A5F" w:rsidRDefault="00CB0DD7">
      <w:pPr>
        <w:pStyle w:val="Heading6"/>
      </w:pPr>
      <w:bookmarkStart w:id="6837" w:name="_Toc11247695"/>
      <w:bookmarkStart w:id="6838" w:name="_Toc27044834"/>
      <w:bookmarkStart w:id="6839" w:name="_Toc36033876"/>
      <w:bookmarkStart w:id="6840" w:name="_Toc45132022"/>
      <w:bookmarkStart w:id="6841" w:name="_Toc49776307"/>
      <w:bookmarkStart w:id="6842" w:name="_Toc51747227"/>
      <w:bookmarkStart w:id="6843" w:name="_Toc66360797"/>
      <w:bookmarkStart w:id="6844" w:name="_Toc68105302"/>
      <w:bookmarkStart w:id="6845" w:name="_Toc74755932"/>
      <w:bookmarkStart w:id="6846" w:name="_Toc105674808"/>
      <w:bookmarkStart w:id="6847" w:name="_Toc130502868"/>
      <w:bookmarkStart w:id="6848" w:name="_Toc153625655"/>
      <w:r w:rsidRPr="000A0A5F">
        <w:t>5.9.3.2.3.3</w:t>
      </w:r>
      <w:r w:rsidRPr="000A0A5F">
        <w:tab/>
        <w:t>PATCH</w:t>
      </w:r>
      <w:bookmarkEnd w:id="6837"/>
      <w:bookmarkEnd w:id="6838"/>
      <w:bookmarkEnd w:id="6839"/>
      <w:bookmarkEnd w:id="6840"/>
      <w:bookmarkEnd w:id="6841"/>
      <w:bookmarkEnd w:id="6842"/>
      <w:bookmarkEnd w:id="6843"/>
      <w:bookmarkEnd w:id="6844"/>
      <w:bookmarkEnd w:id="6845"/>
      <w:bookmarkEnd w:id="6846"/>
      <w:bookmarkEnd w:id="6847"/>
      <w:bookmarkEnd w:id="6848"/>
    </w:p>
    <w:p w:rsidR="00CB0DD7" w:rsidRPr="000A0A5F" w:rsidRDefault="00CB0DD7">
      <w:r w:rsidRPr="000A0A5F">
        <w:rPr>
          <w:rFonts w:hint="eastAsia"/>
          <w:lang w:eastAsia="zh-CN"/>
        </w:rPr>
        <w:t xml:space="preserve">This </w:t>
      </w:r>
      <w:r w:rsidRPr="000A0A5F">
        <w:rPr>
          <w:lang w:eastAsia="zh-CN"/>
        </w:rPr>
        <w:t>HTTP method is not supported for the resource.</w:t>
      </w:r>
    </w:p>
    <w:p w:rsidR="00CB0DD7" w:rsidRPr="000A0A5F" w:rsidRDefault="00CB0DD7">
      <w:pPr>
        <w:pStyle w:val="Heading6"/>
      </w:pPr>
      <w:bookmarkStart w:id="6849" w:name="_Toc11247696"/>
      <w:bookmarkStart w:id="6850" w:name="_Toc27044835"/>
      <w:bookmarkStart w:id="6851" w:name="_Toc36033877"/>
      <w:bookmarkStart w:id="6852" w:name="_Toc45132023"/>
      <w:bookmarkStart w:id="6853" w:name="_Toc49776308"/>
      <w:bookmarkStart w:id="6854" w:name="_Toc51747228"/>
      <w:bookmarkStart w:id="6855" w:name="_Toc66360798"/>
      <w:bookmarkStart w:id="6856" w:name="_Toc68105303"/>
      <w:bookmarkStart w:id="6857" w:name="_Toc74755933"/>
      <w:bookmarkStart w:id="6858" w:name="_Toc105674809"/>
      <w:bookmarkStart w:id="6859" w:name="_Toc130502869"/>
      <w:bookmarkStart w:id="6860" w:name="_Toc153625656"/>
      <w:r w:rsidRPr="000A0A5F">
        <w:t>5.9.3.2.3.4</w:t>
      </w:r>
      <w:r w:rsidRPr="000A0A5F">
        <w:tab/>
        <w:t>POST</w:t>
      </w:r>
      <w:bookmarkEnd w:id="6849"/>
      <w:bookmarkEnd w:id="6850"/>
      <w:bookmarkEnd w:id="6851"/>
      <w:bookmarkEnd w:id="6852"/>
      <w:bookmarkEnd w:id="6853"/>
      <w:bookmarkEnd w:id="6854"/>
      <w:bookmarkEnd w:id="6855"/>
      <w:bookmarkEnd w:id="6856"/>
      <w:bookmarkEnd w:id="6857"/>
      <w:bookmarkEnd w:id="6858"/>
      <w:bookmarkEnd w:id="6859"/>
      <w:bookmarkEnd w:id="6860"/>
    </w:p>
    <w:p w:rsidR="00CB0DD7" w:rsidRPr="000A0A5F" w:rsidRDefault="00CB0DD7">
      <w:pPr>
        <w:rPr>
          <w:noProof/>
          <w:lang w:eastAsia="zh-CN"/>
        </w:rPr>
      </w:pPr>
      <w:r w:rsidRPr="000A0A5F">
        <w:rPr>
          <w:noProof/>
          <w:lang w:eastAsia="zh-CN"/>
        </w:rPr>
        <w:t>The POST method creates a new network status reporting subscription resource for a given SCS/AS. The SCS/AS shall initiate the HTTP POST request message and the SCEF shall respond to the message.</w:t>
      </w:r>
    </w:p>
    <w:p w:rsidR="00CB0DD7" w:rsidRPr="000A0A5F" w:rsidRDefault="00CB0DD7">
      <w:r w:rsidRPr="000A0A5F">
        <w:t>This method shall support the URI query parameters, request and response data structures, and response codes, as specified in the table 5.9.3.2.3.4-1 and table 5.9.3.2.3.4-2.</w:t>
      </w:r>
    </w:p>
    <w:p w:rsidR="00CB0DD7" w:rsidRPr="000A0A5F" w:rsidRDefault="00CB0DD7">
      <w:pPr>
        <w:pStyle w:val="TH"/>
        <w:rPr>
          <w:rFonts w:cs="Arial"/>
        </w:rPr>
      </w:pPr>
      <w:r w:rsidRPr="000A0A5F">
        <w:t xml:space="preserve">Table 5.9.3.2.3.4-1: URI query parameters supported by the POST method on this resource </w:t>
      </w:r>
    </w:p>
    <w:tbl>
      <w:tblPr>
        <w:tblW w:w="4999"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612"/>
        <w:gridCol w:w="1709"/>
        <w:gridCol w:w="1140"/>
        <w:gridCol w:w="5314"/>
      </w:tblGrid>
      <w:tr w:rsidR="00CB0DD7" w:rsidRPr="000A0A5F" w:rsidTr="00FF0AF8">
        <w:trPr>
          <w:jc w:val="center"/>
        </w:trPr>
        <w:tc>
          <w:tcPr>
            <w:tcW w:w="825" w:type="pct"/>
            <w:shd w:val="clear" w:color="000000" w:fill="C0C0C0"/>
          </w:tcPr>
          <w:p w:rsidR="00CB0DD7" w:rsidRPr="000A0A5F" w:rsidRDefault="00CB0DD7">
            <w:pPr>
              <w:pStyle w:val="TAH"/>
            </w:pPr>
            <w:r w:rsidRPr="000A0A5F">
              <w:t>Name</w:t>
            </w:r>
          </w:p>
        </w:tc>
        <w:tc>
          <w:tcPr>
            <w:tcW w:w="874" w:type="pct"/>
            <w:shd w:val="clear" w:color="000000" w:fill="C0C0C0"/>
          </w:tcPr>
          <w:p w:rsidR="00CB0DD7" w:rsidRPr="000A0A5F" w:rsidRDefault="00CB0DD7">
            <w:pPr>
              <w:pStyle w:val="TAH"/>
            </w:pPr>
            <w:r w:rsidRPr="000A0A5F">
              <w:t>Data type</w:t>
            </w:r>
          </w:p>
        </w:tc>
        <w:tc>
          <w:tcPr>
            <w:tcW w:w="583" w:type="pct"/>
            <w:shd w:val="clear" w:color="000000" w:fill="C0C0C0"/>
          </w:tcPr>
          <w:p w:rsidR="00CB0DD7" w:rsidRPr="000A0A5F" w:rsidRDefault="00CB0DD7">
            <w:pPr>
              <w:pStyle w:val="TAH"/>
            </w:pPr>
            <w:r w:rsidRPr="000A0A5F">
              <w:t>Cardinality</w:t>
            </w:r>
          </w:p>
        </w:tc>
        <w:tc>
          <w:tcPr>
            <w:tcW w:w="2718" w:type="pct"/>
            <w:shd w:val="clear" w:color="000000" w:fill="C0C0C0"/>
            <w:vAlign w:val="center"/>
          </w:tcPr>
          <w:p w:rsidR="00CB0DD7" w:rsidRPr="000A0A5F" w:rsidRDefault="00CB0DD7">
            <w:pPr>
              <w:pStyle w:val="TAH"/>
            </w:pPr>
            <w:r w:rsidRPr="000A0A5F">
              <w:t>Remarks</w:t>
            </w:r>
          </w:p>
        </w:tc>
      </w:tr>
      <w:tr w:rsidR="00CB0DD7" w:rsidRPr="000A0A5F" w:rsidTr="00FF0AF8">
        <w:trPr>
          <w:jc w:val="center"/>
        </w:trPr>
        <w:tc>
          <w:tcPr>
            <w:tcW w:w="825" w:type="pct"/>
            <w:shd w:val="clear" w:color="auto" w:fill="auto"/>
          </w:tcPr>
          <w:p w:rsidR="00CB0DD7" w:rsidRPr="000A0A5F" w:rsidRDefault="00CB0DD7">
            <w:pPr>
              <w:pStyle w:val="TAL"/>
            </w:pPr>
            <w:r w:rsidRPr="000A0A5F">
              <w:t>none specified</w:t>
            </w:r>
          </w:p>
        </w:tc>
        <w:tc>
          <w:tcPr>
            <w:tcW w:w="874" w:type="pct"/>
          </w:tcPr>
          <w:p w:rsidR="00CB0DD7" w:rsidRPr="000A0A5F" w:rsidRDefault="00CB0DD7">
            <w:pPr>
              <w:pStyle w:val="TAL"/>
            </w:pPr>
          </w:p>
        </w:tc>
        <w:tc>
          <w:tcPr>
            <w:tcW w:w="583" w:type="pct"/>
          </w:tcPr>
          <w:p w:rsidR="00CB0DD7" w:rsidRPr="000A0A5F" w:rsidRDefault="00CB0DD7">
            <w:pPr>
              <w:pStyle w:val="TAL"/>
            </w:pPr>
          </w:p>
        </w:tc>
        <w:tc>
          <w:tcPr>
            <w:tcW w:w="2718" w:type="pct"/>
            <w:shd w:val="clear" w:color="auto" w:fill="auto"/>
            <w:vAlign w:val="center"/>
          </w:tcPr>
          <w:p w:rsidR="00CB0DD7" w:rsidRPr="000A0A5F" w:rsidRDefault="00CB0DD7">
            <w:pPr>
              <w:pStyle w:val="TAL"/>
            </w:pPr>
          </w:p>
        </w:tc>
      </w:tr>
    </w:tbl>
    <w:p w:rsidR="00CB0DD7" w:rsidRPr="000A0A5F" w:rsidRDefault="00CB0DD7"/>
    <w:p w:rsidR="00CB0DD7" w:rsidRPr="000A0A5F" w:rsidRDefault="00CB0DD7">
      <w:pPr>
        <w:pStyle w:val="TH"/>
      </w:pPr>
      <w:r w:rsidRPr="000A0A5F">
        <w:t>Table 5.9.3.2.3.4-2: Data structures supported by the POST request/response by the resource</w:t>
      </w:r>
    </w:p>
    <w:tbl>
      <w:tblPr>
        <w:tblW w:w="4999" w:type="pct"/>
        <w:tblInd w:w="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45" w:type="dxa"/>
          <w:left w:w="45" w:type="dxa"/>
          <w:bottom w:w="45" w:type="dxa"/>
          <w:right w:w="45" w:type="dxa"/>
        </w:tblCellMar>
        <w:tblLook w:val="0000" w:firstRow="0" w:lastRow="0" w:firstColumn="0" w:lastColumn="0" w:noHBand="0" w:noVBand="0"/>
      </w:tblPr>
      <w:tblGrid>
        <w:gridCol w:w="1035"/>
        <w:gridCol w:w="2127"/>
        <w:gridCol w:w="1053"/>
        <w:gridCol w:w="973"/>
        <w:gridCol w:w="4541"/>
      </w:tblGrid>
      <w:tr w:rsidR="00CB0DD7" w:rsidRPr="000A0A5F" w:rsidTr="00790FC9">
        <w:tc>
          <w:tcPr>
            <w:tcW w:w="532" w:type="pct"/>
            <w:vMerge w:val="restart"/>
            <w:shd w:val="clear" w:color="auto" w:fill="C0C0C0"/>
            <w:vAlign w:val="center"/>
          </w:tcPr>
          <w:p w:rsidR="00CB0DD7" w:rsidRPr="000A0A5F" w:rsidRDefault="00CB0DD7">
            <w:pPr>
              <w:pStyle w:val="TAH"/>
            </w:pPr>
            <w:r w:rsidRPr="000A0A5F">
              <w:t>Request body</w:t>
            </w:r>
          </w:p>
        </w:tc>
        <w:tc>
          <w:tcPr>
            <w:tcW w:w="1093" w:type="pct"/>
            <w:shd w:val="clear" w:color="auto" w:fill="C0C0C0"/>
          </w:tcPr>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r w:rsidRPr="000A0A5F">
              <w:t>Cardinality</w:t>
            </w:r>
          </w:p>
        </w:tc>
        <w:tc>
          <w:tcPr>
            <w:tcW w:w="2834" w:type="pct"/>
            <w:gridSpan w:val="2"/>
            <w:shd w:val="clear" w:color="auto" w:fill="C0C0C0"/>
          </w:tcPr>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rPr>
                <w:rFonts w:hint="eastAsia"/>
                <w:lang w:eastAsia="zh-CN"/>
              </w:rPr>
              <w:t>NetworkStatusRepo</w:t>
            </w:r>
            <w:r w:rsidRPr="000A0A5F">
              <w:rPr>
                <w:lang w:eastAsia="zh-CN"/>
              </w:rPr>
              <w:t>r</w:t>
            </w:r>
            <w:r w:rsidRPr="000A0A5F">
              <w:rPr>
                <w:rFonts w:hint="eastAsia"/>
                <w:lang w:eastAsia="zh-CN"/>
              </w:rPr>
              <w:t>ting</w:t>
            </w:r>
            <w:r w:rsidRPr="000A0A5F">
              <w:rPr>
                <w:lang w:eastAsia="zh-CN"/>
              </w:rPr>
              <w:t>Subscription</w:t>
            </w:r>
          </w:p>
        </w:tc>
        <w:tc>
          <w:tcPr>
            <w:tcW w:w="541" w:type="pct"/>
          </w:tcPr>
          <w:p w:rsidR="00CB0DD7" w:rsidRPr="000A0A5F" w:rsidRDefault="00CB0DD7">
            <w:pPr>
              <w:pStyle w:val="TAL"/>
            </w:pPr>
            <w:r w:rsidRPr="000A0A5F">
              <w:t>1</w:t>
            </w:r>
          </w:p>
        </w:tc>
        <w:tc>
          <w:tcPr>
            <w:tcW w:w="2834" w:type="pct"/>
            <w:gridSpan w:val="2"/>
          </w:tcPr>
          <w:p w:rsidR="00CB0DD7" w:rsidRPr="000A0A5F" w:rsidRDefault="00CB0DD7">
            <w:pPr>
              <w:pStyle w:val="TAL"/>
            </w:pPr>
            <w:r w:rsidRPr="000A0A5F">
              <w:t>Parameters to register a subscription to request notifications about network status information report with the SCEF.</w:t>
            </w:r>
          </w:p>
        </w:tc>
      </w:tr>
      <w:tr w:rsidR="00CB0DD7" w:rsidRPr="000A0A5F" w:rsidTr="00790FC9">
        <w:tc>
          <w:tcPr>
            <w:tcW w:w="532" w:type="pct"/>
            <w:vMerge w:val="restart"/>
            <w:shd w:val="clear" w:color="auto" w:fill="C0C0C0"/>
            <w:vAlign w:val="center"/>
          </w:tcPr>
          <w:p w:rsidR="00CB0DD7" w:rsidRPr="000A0A5F" w:rsidRDefault="00CB0DD7">
            <w:pPr>
              <w:pStyle w:val="TAH"/>
            </w:pPr>
            <w:r w:rsidRPr="000A0A5F">
              <w:t>Response body</w:t>
            </w:r>
          </w:p>
        </w:tc>
        <w:tc>
          <w:tcPr>
            <w:tcW w:w="1093" w:type="pct"/>
            <w:shd w:val="clear" w:color="auto" w:fill="C0C0C0"/>
          </w:tcPr>
          <w:p w:rsidR="00CB0DD7" w:rsidRPr="000A0A5F" w:rsidRDefault="00CB0DD7">
            <w:pPr>
              <w:pStyle w:val="TAH"/>
            </w:pPr>
          </w:p>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p>
          <w:p w:rsidR="00CB0DD7" w:rsidRPr="000A0A5F" w:rsidRDefault="00CB0DD7">
            <w:pPr>
              <w:pStyle w:val="TAH"/>
            </w:pPr>
            <w:r w:rsidRPr="000A0A5F">
              <w:t>Cardinality</w:t>
            </w:r>
          </w:p>
        </w:tc>
        <w:tc>
          <w:tcPr>
            <w:tcW w:w="500" w:type="pct"/>
            <w:shd w:val="clear" w:color="auto" w:fill="C0C0C0"/>
          </w:tcPr>
          <w:p w:rsidR="00CB0DD7" w:rsidRPr="000A0A5F" w:rsidRDefault="00CB0DD7">
            <w:pPr>
              <w:pStyle w:val="TAH"/>
            </w:pPr>
            <w:r w:rsidRPr="000A0A5F">
              <w:t>Response</w:t>
            </w:r>
          </w:p>
          <w:p w:rsidR="00CB0DD7" w:rsidRPr="000A0A5F" w:rsidRDefault="00CB0DD7">
            <w:pPr>
              <w:pStyle w:val="TAH"/>
            </w:pPr>
            <w:r w:rsidRPr="000A0A5F">
              <w:t>codes</w:t>
            </w:r>
          </w:p>
        </w:tc>
        <w:tc>
          <w:tcPr>
            <w:tcW w:w="2334" w:type="pct"/>
            <w:shd w:val="clear" w:color="auto" w:fill="C0C0C0"/>
          </w:tcPr>
          <w:p w:rsidR="00CB0DD7" w:rsidRPr="000A0A5F" w:rsidRDefault="00CB0DD7">
            <w:pPr>
              <w:pStyle w:val="TAH"/>
            </w:pPr>
          </w:p>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rPr>
                <w:rFonts w:hint="eastAsia"/>
                <w:lang w:eastAsia="zh-CN"/>
              </w:rPr>
              <w:t>NetworkStatusRepo</w:t>
            </w:r>
            <w:r w:rsidRPr="000A0A5F">
              <w:rPr>
                <w:lang w:eastAsia="zh-CN"/>
              </w:rPr>
              <w:t>r</w:t>
            </w:r>
            <w:r w:rsidRPr="000A0A5F">
              <w:rPr>
                <w:rFonts w:hint="eastAsia"/>
                <w:lang w:eastAsia="zh-CN"/>
              </w:rPr>
              <w:t>ting</w:t>
            </w:r>
            <w:r w:rsidRPr="000A0A5F">
              <w:rPr>
                <w:lang w:eastAsia="zh-CN"/>
              </w:rPr>
              <w:t>Subscription</w:t>
            </w:r>
          </w:p>
        </w:tc>
        <w:tc>
          <w:tcPr>
            <w:tcW w:w="541" w:type="pct"/>
          </w:tcPr>
          <w:p w:rsidR="00CB0DD7" w:rsidRPr="000A0A5F" w:rsidRDefault="00CB0DD7">
            <w:pPr>
              <w:pStyle w:val="TAL"/>
            </w:pPr>
            <w:r w:rsidRPr="000A0A5F">
              <w:t>1</w:t>
            </w:r>
          </w:p>
        </w:tc>
        <w:tc>
          <w:tcPr>
            <w:tcW w:w="500" w:type="pct"/>
          </w:tcPr>
          <w:p w:rsidR="00CB0DD7" w:rsidRPr="000A0A5F" w:rsidRDefault="00CB0DD7">
            <w:pPr>
              <w:pStyle w:val="TAL"/>
            </w:pPr>
            <w:r w:rsidRPr="000A0A5F">
              <w:t>201 Created</w:t>
            </w:r>
          </w:p>
        </w:tc>
        <w:tc>
          <w:tcPr>
            <w:tcW w:w="2334" w:type="pct"/>
          </w:tcPr>
          <w:p w:rsidR="00CB0DD7" w:rsidRPr="000A0A5F" w:rsidRDefault="00CB0DD7">
            <w:pPr>
              <w:pStyle w:val="TAL"/>
              <w:spacing w:afterLines="50" w:after="120"/>
            </w:pPr>
            <w:r w:rsidRPr="000A0A5F">
              <w:t xml:space="preserve">The subscription was created successfully. </w:t>
            </w:r>
          </w:p>
          <w:p w:rsidR="00CB0DD7" w:rsidRPr="000A0A5F" w:rsidRDefault="00CB0DD7">
            <w:pPr>
              <w:pStyle w:val="TAL"/>
            </w:pPr>
            <w:r w:rsidRPr="000A0A5F">
              <w:t>The URI of the created resource shall be returned in the "Location" HTTP header</w:t>
            </w:r>
            <w:r w:rsidRPr="000A0A5F">
              <w:rPr>
                <w:lang w:eastAsia="zh-CN"/>
              </w:rPr>
              <w:t>.</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rPr>
                <w:lang w:eastAsia="zh-CN"/>
              </w:rPr>
              <w:t>ProblemDetails</w:t>
            </w:r>
          </w:p>
        </w:tc>
        <w:tc>
          <w:tcPr>
            <w:tcW w:w="541" w:type="pct"/>
          </w:tcPr>
          <w:p w:rsidR="00CB0DD7" w:rsidRPr="000A0A5F" w:rsidRDefault="00CB0DD7">
            <w:pPr>
              <w:pStyle w:val="TAL"/>
            </w:pPr>
            <w:r w:rsidRPr="000A0A5F">
              <w:t>0..1</w:t>
            </w:r>
          </w:p>
        </w:tc>
        <w:tc>
          <w:tcPr>
            <w:tcW w:w="500" w:type="pct"/>
          </w:tcPr>
          <w:p w:rsidR="00CB0DD7" w:rsidRPr="000A0A5F" w:rsidRDefault="00CB0DD7">
            <w:pPr>
              <w:pStyle w:val="TAL"/>
            </w:pPr>
            <w:r w:rsidRPr="000A0A5F">
              <w:t>403 Forbidden</w:t>
            </w:r>
          </w:p>
        </w:tc>
        <w:tc>
          <w:tcPr>
            <w:tcW w:w="2334" w:type="pct"/>
          </w:tcPr>
          <w:p w:rsidR="00CB0DD7" w:rsidRPr="000A0A5F" w:rsidRDefault="00CB0DD7">
            <w:pPr>
              <w:pStyle w:val="TAL"/>
              <w:spacing w:afterLines="50" w:after="120"/>
            </w:pPr>
            <w:r w:rsidRPr="000A0A5F">
              <w:t>(NOTE 2)</w:t>
            </w:r>
          </w:p>
        </w:tc>
      </w:tr>
      <w:tr w:rsidR="00CB0DD7" w:rsidRPr="000A0A5F" w:rsidTr="00FF0AF8">
        <w:tc>
          <w:tcPr>
            <w:tcW w:w="5000" w:type="pct"/>
            <w:gridSpan w:val="5"/>
            <w:shd w:val="clear" w:color="auto" w:fill="auto"/>
            <w:vAlign w:val="center"/>
          </w:tcPr>
          <w:p w:rsidR="00CB0DD7" w:rsidRPr="000A0A5F" w:rsidRDefault="00CB0DD7">
            <w:pPr>
              <w:pStyle w:val="TAN"/>
            </w:pPr>
            <w:r w:rsidRPr="000A0A5F">
              <w:t>NOTE 1:</w:t>
            </w:r>
            <w:r w:rsidRPr="000A0A5F">
              <w:tab/>
              <w:t>The mandatory HTTP error status codes for the POST method listed in table 5.2.6-1 also apply.</w:t>
            </w:r>
          </w:p>
          <w:p w:rsidR="00CB0DD7" w:rsidRPr="000A0A5F" w:rsidRDefault="00CB0DD7">
            <w:pPr>
              <w:pStyle w:val="TAN"/>
            </w:pPr>
            <w:r w:rsidRPr="000A0A5F">
              <w:t>NOTE 2:</w:t>
            </w:r>
            <w:r w:rsidRPr="000A0A5F">
              <w:tab/>
            </w:r>
            <w:r w:rsidR="00127C5A" w:rsidRPr="000A0A5F">
              <w:t>Failure cases are described in</w:t>
            </w:r>
            <w:r w:rsidRPr="000A0A5F">
              <w:t xml:space="preserve"> clause 5.9.5.3.</w:t>
            </w:r>
          </w:p>
        </w:tc>
      </w:tr>
    </w:tbl>
    <w:p w:rsidR="00CB0DD7" w:rsidRPr="000A0A5F" w:rsidRDefault="00CB0DD7">
      <w:pPr>
        <w:rPr>
          <w:noProof/>
        </w:rPr>
      </w:pPr>
    </w:p>
    <w:p w:rsidR="00CB0DD7" w:rsidRPr="000A0A5F" w:rsidRDefault="00CB0DD7">
      <w:pPr>
        <w:pStyle w:val="TH"/>
      </w:pPr>
      <w:r w:rsidRPr="000A0A5F">
        <w:t xml:space="preserve">Table 5.9.3.2.3.4-3: Headers supported by the 201 Response Code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846044">
        <w:trPr>
          <w:jc w:val="center"/>
        </w:trPr>
        <w:tc>
          <w:tcPr>
            <w:tcW w:w="825" w:type="pct"/>
            <w:tcBorders>
              <w:bottom w:val="single" w:sz="6" w:space="0" w:color="auto"/>
            </w:tcBorders>
            <w:shd w:val="clear" w:color="auto" w:fill="C0C0C0"/>
          </w:tcPr>
          <w:p w:rsidR="00CB0DD7" w:rsidRPr="000A0A5F" w:rsidRDefault="00CB0DD7">
            <w:pPr>
              <w:pStyle w:val="TAH"/>
            </w:pPr>
            <w:r w:rsidRPr="000A0A5F">
              <w:t>Name</w:t>
            </w:r>
          </w:p>
        </w:tc>
        <w:tc>
          <w:tcPr>
            <w:tcW w:w="732" w:type="pct"/>
            <w:tcBorders>
              <w:bottom w:val="single" w:sz="6" w:space="0" w:color="auto"/>
            </w:tcBorders>
            <w:shd w:val="clear" w:color="auto" w:fill="C0C0C0"/>
          </w:tcPr>
          <w:p w:rsidR="00CB0DD7" w:rsidRPr="000A0A5F" w:rsidRDefault="00CB0DD7">
            <w:pPr>
              <w:pStyle w:val="TAH"/>
            </w:pPr>
            <w:r w:rsidRPr="000A0A5F">
              <w:t>Data type</w:t>
            </w:r>
          </w:p>
        </w:tc>
        <w:tc>
          <w:tcPr>
            <w:tcW w:w="217" w:type="pct"/>
            <w:tcBorders>
              <w:bottom w:val="single" w:sz="6" w:space="0" w:color="auto"/>
            </w:tcBorders>
            <w:shd w:val="clear" w:color="auto" w:fill="C0C0C0"/>
          </w:tcPr>
          <w:p w:rsidR="00CB0DD7" w:rsidRPr="000A0A5F" w:rsidRDefault="00CB0DD7">
            <w:pPr>
              <w:pStyle w:val="TAH"/>
            </w:pPr>
            <w:r w:rsidRPr="000A0A5F">
              <w:t>P</w:t>
            </w:r>
          </w:p>
        </w:tc>
        <w:tc>
          <w:tcPr>
            <w:tcW w:w="581" w:type="pct"/>
            <w:tcBorders>
              <w:bottom w:val="single" w:sz="6" w:space="0" w:color="auto"/>
            </w:tcBorders>
            <w:shd w:val="clear" w:color="auto" w:fill="C0C0C0"/>
          </w:tcPr>
          <w:p w:rsidR="00CB0DD7" w:rsidRPr="000A0A5F" w:rsidRDefault="00CB0DD7">
            <w:pPr>
              <w:pStyle w:val="TAH"/>
            </w:pPr>
            <w:r w:rsidRPr="000A0A5F">
              <w:t>Cardinality</w:t>
            </w:r>
          </w:p>
        </w:tc>
        <w:tc>
          <w:tcPr>
            <w:tcW w:w="2645" w:type="pct"/>
            <w:tcBorders>
              <w:bottom w:val="single" w:sz="6" w:space="0" w:color="auto"/>
            </w:tcBorders>
            <w:shd w:val="clear" w:color="auto" w:fill="C0C0C0"/>
            <w:vAlign w:val="center"/>
          </w:tcPr>
          <w:p w:rsidR="00CB0DD7" w:rsidRPr="000A0A5F" w:rsidRDefault="00CB0DD7">
            <w:pPr>
              <w:pStyle w:val="TAH"/>
            </w:pPr>
            <w:r w:rsidRPr="000A0A5F">
              <w:t>Description</w:t>
            </w:r>
          </w:p>
        </w:tc>
      </w:tr>
      <w:tr w:rsidR="00CB0DD7" w:rsidRPr="000A0A5F" w:rsidTr="00846044">
        <w:trPr>
          <w:jc w:val="center"/>
        </w:trPr>
        <w:tc>
          <w:tcPr>
            <w:tcW w:w="825" w:type="pct"/>
            <w:tcBorders>
              <w:top w:val="single" w:sz="6" w:space="0" w:color="auto"/>
            </w:tcBorders>
            <w:shd w:val="clear" w:color="auto" w:fill="auto"/>
          </w:tcPr>
          <w:p w:rsidR="00CB0DD7" w:rsidRPr="000A0A5F" w:rsidRDefault="00CB0DD7">
            <w:pPr>
              <w:pStyle w:val="TAL"/>
            </w:pPr>
            <w:r w:rsidRPr="000A0A5F">
              <w:t>Location</w:t>
            </w:r>
          </w:p>
        </w:tc>
        <w:tc>
          <w:tcPr>
            <w:tcW w:w="732" w:type="pct"/>
            <w:tcBorders>
              <w:top w:val="single" w:sz="6" w:space="0" w:color="auto"/>
            </w:tcBorders>
          </w:tcPr>
          <w:p w:rsidR="00CB0DD7" w:rsidRPr="000A0A5F" w:rsidRDefault="00CB0DD7">
            <w:pPr>
              <w:pStyle w:val="TAL"/>
            </w:pPr>
            <w:r w:rsidRPr="000A0A5F">
              <w:t>string</w:t>
            </w:r>
          </w:p>
        </w:tc>
        <w:tc>
          <w:tcPr>
            <w:tcW w:w="217" w:type="pct"/>
            <w:tcBorders>
              <w:top w:val="single" w:sz="6" w:space="0" w:color="auto"/>
            </w:tcBorders>
          </w:tcPr>
          <w:p w:rsidR="00CB0DD7" w:rsidRPr="000A0A5F" w:rsidRDefault="00CB0DD7">
            <w:pPr>
              <w:pStyle w:val="TAC"/>
            </w:pPr>
            <w:r w:rsidRPr="000A0A5F">
              <w:t>M</w:t>
            </w:r>
          </w:p>
        </w:tc>
        <w:tc>
          <w:tcPr>
            <w:tcW w:w="581" w:type="pct"/>
            <w:tcBorders>
              <w:top w:val="single" w:sz="6" w:space="0" w:color="auto"/>
            </w:tcBorders>
          </w:tcPr>
          <w:p w:rsidR="00CB0DD7" w:rsidRPr="000A0A5F" w:rsidRDefault="00CB0DD7">
            <w:pPr>
              <w:pStyle w:val="TAL"/>
            </w:pPr>
            <w:r w:rsidRPr="000A0A5F">
              <w:t>1</w:t>
            </w:r>
          </w:p>
        </w:tc>
        <w:tc>
          <w:tcPr>
            <w:tcW w:w="2645" w:type="pct"/>
            <w:tcBorders>
              <w:top w:val="single" w:sz="6" w:space="0" w:color="auto"/>
            </w:tcBorders>
            <w:shd w:val="clear" w:color="auto" w:fill="auto"/>
            <w:vAlign w:val="center"/>
          </w:tcPr>
          <w:p w:rsidR="00CB0DD7" w:rsidRPr="000A0A5F" w:rsidRDefault="00CB0DD7">
            <w:pPr>
              <w:pStyle w:val="TAL"/>
            </w:pPr>
            <w:r w:rsidRPr="000A0A5F">
              <w:t>Contains the URI of the newly created resource, according to the structure:</w:t>
            </w:r>
            <w:r w:rsidRPr="000A0A5F">
              <w:rPr>
                <w:noProof/>
              </w:rPr>
              <w:t xml:space="preserve"> </w:t>
            </w:r>
            <w:r w:rsidRPr="000A0A5F">
              <w:t>{apiRoot}/3gpp-net-stat-report/v1/{scsAsId}/subscriptions/{subscriptionId}</w:t>
            </w:r>
          </w:p>
        </w:tc>
      </w:tr>
    </w:tbl>
    <w:p w:rsidR="00CB0DD7" w:rsidRPr="000A0A5F" w:rsidRDefault="00CB0DD7"/>
    <w:p w:rsidR="00CB0DD7" w:rsidRPr="000A0A5F" w:rsidRDefault="00CB0DD7">
      <w:pPr>
        <w:pStyle w:val="Heading6"/>
      </w:pPr>
      <w:bookmarkStart w:id="6861" w:name="_Toc11247697"/>
      <w:bookmarkStart w:id="6862" w:name="_Toc27044836"/>
      <w:bookmarkStart w:id="6863" w:name="_Toc36033878"/>
      <w:bookmarkStart w:id="6864" w:name="_Toc45132024"/>
      <w:bookmarkStart w:id="6865" w:name="_Toc49776309"/>
      <w:bookmarkStart w:id="6866" w:name="_Toc51747229"/>
      <w:bookmarkStart w:id="6867" w:name="_Toc66360799"/>
      <w:bookmarkStart w:id="6868" w:name="_Toc68105304"/>
      <w:bookmarkStart w:id="6869" w:name="_Toc74755934"/>
      <w:bookmarkStart w:id="6870" w:name="_Toc105674810"/>
      <w:bookmarkStart w:id="6871" w:name="_Toc130502870"/>
      <w:bookmarkStart w:id="6872" w:name="_Toc153625657"/>
      <w:r w:rsidRPr="000A0A5F">
        <w:t>5.9.3.2.3.5</w:t>
      </w:r>
      <w:r w:rsidRPr="000A0A5F">
        <w:tab/>
        <w:t>DELETE</w:t>
      </w:r>
      <w:bookmarkEnd w:id="6861"/>
      <w:bookmarkEnd w:id="6862"/>
      <w:bookmarkEnd w:id="6863"/>
      <w:bookmarkEnd w:id="6864"/>
      <w:bookmarkEnd w:id="6865"/>
      <w:bookmarkEnd w:id="6866"/>
      <w:bookmarkEnd w:id="6867"/>
      <w:bookmarkEnd w:id="6868"/>
      <w:bookmarkEnd w:id="6869"/>
      <w:bookmarkEnd w:id="6870"/>
      <w:bookmarkEnd w:id="6871"/>
      <w:bookmarkEnd w:id="6872"/>
    </w:p>
    <w:p w:rsidR="00CB0DD7" w:rsidRPr="000A0A5F" w:rsidRDefault="00CB0DD7">
      <w:r w:rsidRPr="000A0A5F">
        <w:rPr>
          <w:rFonts w:hint="eastAsia"/>
          <w:lang w:eastAsia="zh-CN"/>
        </w:rPr>
        <w:t xml:space="preserve">This </w:t>
      </w:r>
      <w:r w:rsidRPr="000A0A5F">
        <w:rPr>
          <w:lang w:eastAsia="zh-CN"/>
        </w:rPr>
        <w:t>HTTP method is not supported for the resource.</w:t>
      </w:r>
    </w:p>
    <w:p w:rsidR="00CB0DD7" w:rsidRPr="000A0A5F" w:rsidRDefault="00CB0DD7">
      <w:pPr>
        <w:pStyle w:val="Heading4"/>
      </w:pPr>
      <w:bookmarkStart w:id="6873" w:name="_Toc11247698"/>
      <w:bookmarkStart w:id="6874" w:name="_Toc27044837"/>
      <w:bookmarkStart w:id="6875" w:name="_Toc36033879"/>
      <w:bookmarkStart w:id="6876" w:name="_Toc45132025"/>
      <w:bookmarkStart w:id="6877" w:name="_Toc49776310"/>
      <w:bookmarkStart w:id="6878" w:name="_Toc51747230"/>
      <w:bookmarkStart w:id="6879" w:name="_Toc66360800"/>
      <w:bookmarkStart w:id="6880" w:name="_Toc68105305"/>
      <w:bookmarkStart w:id="6881" w:name="_Toc74755935"/>
      <w:bookmarkStart w:id="6882" w:name="_Toc105674811"/>
      <w:bookmarkStart w:id="6883" w:name="_Toc130502871"/>
      <w:bookmarkStart w:id="6884" w:name="_Toc153625658"/>
      <w:r w:rsidRPr="000A0A5F">
        <w:t>5.9.3.3</w:t>
      </w:r>
      <w:r w:rsidRPr="000A0A5F">
        <w:tab/>
        <w:t>Resource: Individual Network Status Reporting Subscription</w:t>
      </w:r>
      <w:bookmarkEnd w:id="6873"/>
      <w:bookmarkEnd w:id="6874"/>
      <w:bookmarkEnd w:id="6875"/>
      <w:bookmarkEnd w:id="6876"/>
      <w:bookmarkEnd w:id="6877"/>
      <w:bookmarkEnd w:id="6878"/>
      <w:bookmarkEnd w:id="6879"/>
      <w:bookmarkEnd w:id="6880"/>
      <w:bookmarkEnd w:id="6881"/>
      <w:bookmarkEnd w:id="6882"/>
      <w:bookmarkEnd w:id="6883"/>
      <w:bookmarkEnd w:id="6884"/>
    </w:p>
    <w:p w:rsidR="00CB0DD7" w:rsidRPr="000A0A5F" w:rsidRDefault="00CB0DD7">
      <w:pPr>
        <w:pStyle w:val="Heading5"/>
      </w:pPr>
      <w:bookmarkStart w:id="6885" w:name="_Toc11247699"/>
      <w:bookmarkStart w:id="6886" w:name="_Toc27044838"/>
      <w:bookmarkStart w:id="6887" w:name="_Toc36033880"/>
      <w:bookmarkStart w:id="6888" w:name="_Toc45132026"/>
      <w:bookmarkStart w:id="6889" w:name="_Toc49776311"/>
      <w:bookmarkStart w:id="6890" w:name="_Toc51747231"/>
      <w:bookmarkStart w:id="6891" w:name="_Toc66360801"/>
      <w:bookmarkStart w:id="6892" w:name="_Toc68105306"/>
      <w:bookmarkStart w:id="6893" w:name="_Toc74755936"/>
      <w:bookmarkStart w:id="6894" w:name="_Toc105674812"/>
      <w:bookmarkStart w:id="6895" w:name="_Toc130502872"/>
      <w:bookmarkStart w:id="6896" w:name="_Toc153625659"/>
      <w:r w:rsidRPr="000A0A5F">
        <w:t>5.9.3.3.1</w:t>
      </w:r>
      <w:r w:rsidRPr="000A0A5F">
        <w:tab/>
        <w:t>Introduction</w:t>
      </w:r>
      <w:bookmarkEnd w:id="6885"/>
      <w:bookmarkEnd w:id="6886"/>
      <w:bookmarkEnd w:id="6887"/>
      <w:bookmarkEnd w:id="6888"/>
      <w:bookmarkEnd w:id="6889"/>
      <w:bookmarkEnd w:id="6890"/>
      <w:bookmarkEnd w:id="6891"/>
      <w:bookmarkEnd w:id="6892"/>
      <w:bookmarkEnd w:id="6893"/>
      <w:bookmarkEnd w:id="6894"/>
      <w:bookmarkEnd w:id="6895"/>
      <w:bookmarkEnd w:id="6896"/>
    </w:p>
    <w:p w:rsidR="00CB0DD7" w:rsidRPr="000A0A5F" w:rsidRDefault="00CB0DD7">
      <w:pPr>
        <w:rPr>
          <w:noProof/>
          <w:lang w:eastAsia="zh-CN"/>
        </w:rPr>
      </w:pPr>
      <w:r w:rsidRPr="000A0A5F">
        <w:rPr>
          <w:noProof/>
          <w:lang w:eastAsia="zh-CN"/>
        </w:rPr>
        <w:t>This resource allows t</w:t>
      </w:r>
      <w:r w:rsidRPr="000A0A5F">
        <w:rPr>
          <w:rFonts w:hint="eastAsia"/>
          <w:noProof/>
          <w:lang w:eastAsia="zh-CN"/>
        </w:rPr>
        <w:t xml:space="preserve">he SCS/AS </w:t>
      </w:r>
      <w:r w:rsidRPr="000A0A5F">
        <w:rPr>
          <w:noProof/>
          <w:lang w:eastAsia="zh-CN"/>
        </w:rPr>
        <w:t>to request for being notified about the network status using a long-term subscription.</w:t>
      </w:r>
    </w:p>
    <w:p w:rsidR="00CB0DD7" w:rsidRPr="000A0A5F" w:rsidRDefault="00CB0DD7">
      <w:pPr>
        <w:pStyle w:val="Heading5"/>
      </w:pPr>
      <w:bookmarkStart w:id="6897" w:name="_Toc11247700"/>
      <w:bookmarkStart w:id="6898" w:name="_Toc27044839"/>
      <w:bookmarkStart w:id="6899" w:name="_Toc36033881"/>
      <w:bookmarkStart w:id="6900" w:name="_Toc45132027"/>
      <w:bookmarkStart w:id="6901" w:name="_Toc49776312"/>
      <w:bookmarkStart w:id="6902" w:name="_Toc51747232"/>
      <w:bookmarkStart w:id="6903" w:name="_Toc66360802"/>
      <w:bookmarkStart w:id="6904" w:name="_Toc68105307"/>
      <w:bookmarkStart w:id="6905" w:name="_Toc74755937"/>
      <w:bookmarkStart w:id="6906" w:name="_Toc105674813"/>
      <w:bookmarkStart w:id="6907" w:name="_Toc130502873"/>
      <w:bookmarkStart w:id="6908" w:name="_Toc153625660"/>
      <w:r w:rsidRPr="000A0A5F">
        <w:t>5.9.3.3.2</w:t>
      </w:r>
      <w:r w:rsidRPr="000A0A5F">
        <w:tab/>
        <w:t>Resource definition</w:t>
      </w:r>
      <w:bookmarkEnd w:id="6897"/>
      <w:bookmarkEnd w:id="6898"/>
      <w:bookmarkEnd w:id="6899"/>
      <w:bookmarkEnd w:id="6900"/>
      <w:bookmarkEnd w:id="6901"/>
      <w:bookmarkEnd w:id="6902"/>
      <w:bookmarkEnd w:id="6903"/>
      <w:bookmarkEnd w:id="6904"/>
      <w:bookmarkEnd w:id="6905"/>
      <w:bookmarkEnd w:id="6906"/>
      <w:bookmarkEnd w:id="6907"/>
      <w:bookmarkEnd w:id="6908"/>
    </w:p>
    <w:p w:rsidR="00CB0DD7" w:rsidRPr="000A0A5F" w:rsidRDefault="00CB0DD7">
      <w:r w:rsidRPr="000A0A5F">
        <w:t xml:space="preserve">Resource URI: </w:t>
      </w:r>
      <w:r w:rsidRPr="000A0A5F">
        <w:rPr>
          <w:b/>
        </w:rPr>
        <w:t>{apiRoot}/3gpp-net-stat-report/v1/{scsAsId}/subscriptions/{subscriptionId}</w:t>
      </w:r>
    </w:p>
    <w:p w:rsidR="00CB0DD7" w:rsidRPr="000A0A5F" w:rsidRDefault="00CB0DD7">
      <w:pPr>
        <w:rPr>
          <w:rFonts w:ascii="Arial" w:hAnsi="Arial" w:cs="Arial"/>
        </w:rPr>
      </w:pPr>
      <w:r w:rsidRPr="000A0A5F">
        <w:t>This resource shall support the resource URI variables defined in table 5.9.3.3.2-1</w:t>
      </w:r>
      <w:r w:rsidRPr="000A0A5F">
        <w:rPr>
          <w:rFonts w:ascii="Arial" w:hAnsi="Arial" w:cs="Arial"/>
        </w:rPr>
        <w:t>.</w:t>
      </w:r>
    </w:p>
    <w:p w:rsidR="00CB0DD7" w:rsidRPr="000A0A5F" w:rsidRDefault="00CB0DD7">
      <w:pPr>
        <w:pStyle w:val="TH"/>
        <w:rPr>
          <w:rFonts w:cs="Arial"/>
        </w:rPr>
      </w:pPr>
      <w:r w:rsidRPr="000A0A5F">
        <w:t>Table 5.9.3.3.2-1: Resource URI variables for resource "Individual Network Status Reporting Subscription"</w:t>
      </w:r>
    </w:p>
    <w:tbl>
      <w:tblPr>
        <w:tblW w:w="494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970"/>
        <w:gridCol w:w="1312"/>
        <w:gridCol w:w="6378"/>
      </w:tblGrid>
      <w:tr w:rsidR="00CB0DD7" w:rsidRPr="000A0A5F" w:rsidTr="00FF0AF8">
        <w:trPr>
          <w:jc w:val="center"/>
        </w:trPr>
        <w:tc>
          <w:tcPr>
            <w:tcW w:w="1020" w:type="pct"/>
            <w:shd w:val="clear" w:color="000000" w:fill="C0C0C0"/>
          </w:tcPr>
          <w:p w:rsidR="00CB0DD7" w:rsidRPr="000A0A5F" w:rsidRDefault="00CB0DD7">
            <w:pPr>
              <w:pStyle w:val="TAH"/>
            </w:pPr>
            <w:r w:rsidRPr="000A0A5F">
              <w:t>Name</w:t>
            </w:r>
          </w:p>
        </w:tc>
        <w:tc>
          <w:tcPr>
            <w:tcW w:w="679" w:type="pct"/>
            <w:shd w:val="clear" w:color="000000" w:fill="C0C0C0"/>
          </w:tcPr>
          <w:p w:rsidR="00CB0DD7" w:rsidRPr="000A0A5F" w:rsidRDefault="00CB0DD7">
            <w:pPr>
              <w:pStyle w:val="TAH"/>
            </w:pPr>
            <w:r w:rsidRPr="000A0A5F">
              <w:t>Data type</w:t>
            </w:r>
          </w:p>
        </w:tc>
        <w:tc>
          <w:tcPr>
            <w:tcW w:w="3302" w:type="pct"/>
            <w:shd w:val="clear" w:color="000000" w:fill="C0C0C0"/>
            <w:vAlign w:val="center"/>
          </w:tcPr>
          <w:p w:rsidR="00CB0DD7" w:rsidRPr="000A0A5F" w:rsidRDefault="00CB0DD7">
            <w:pPr>
              <w:pStyle w:val="TAH"/>
            </w:pPr>
            <w:r w:rsidRPr="000A0A5F">
              <w:t>Definition</w:t>
            </w:r>
          </w:p>
        </w:tc>
      </w:tr>
      <w:tr w:rsidR="00CB0DD7" w:rsidRPr="000A0A5F" w:rsidTr="00FF0AF8">
        <w:trPr>
          <w:jc w:val="center"/>
        </w:trPr>
        <w:tc>
          <w:tcPr>
            <w:tcW w:w="1020" w:type="pct"/>
            <w:shd w:val="clear" w:color="auto" w:fill="auto"/>
          </w:tcPr>
          <w:p w:rsidR="00CB0DD7" w:rsidRPr="000A0A5F" w:rsidRDefault="00CB0DD7">
            <w:pPr>
              <w:pStyle w:val="TAL"/>
            </w:pPr>
            <w:r w:rsidRPr="000A0A5F">
              <w:t>apiRoot</w:t>
            </w:r>
          </w:p>
        </w:tc>
        <w:tc>
          <w:tcPr>
            <w:tcW w:w="679" w:type="pct"/>
          </w:tcPr>
          <w:p w:rsidR="00CB0DD7" w:rsidRPr="000A0A5F" w:rsidRDefault="00CB0DD7">
            <w:pPr>
              <w:pStyle w:val="TAL"/>
            </w:pPr>
            <w:r w:rsidRPr="000A0A5F">
              <w:t>string</w:t>
            </w:r>
          </w:p>
        </w:tc>
        <w:tc>
          <w:tcPr>
            <w:tcW w:w="3302" w:type="pct"/>
            <w:shd w:val="clear" w:color="auto" w:fill="auto"/>
            <w:vAlign w:val="center"/>
          </w:tcPr>
          <w:p w:rsidR="00CB0DD7" w:rsidRPr="000A0A5F" w:rsidRDefault="00CB0DD7">
            <w:pPr>
              <w:pStyle w:val="TAL"/>
            </w:pPr>
            <w:r w:rsidRPr="000A0A5F">
              <w:t>See clause</w:t>
            </w:r>
            <w:r w:rsidRPr="000A0A5F">
              <w:rPr>
                <w:lang w:val="en-US" w:eastAsia="zh-CN"/>
              </w:rPr>
              <w:t> </w:t>
            </w:r>
            <w:r w:rsidRPr="000A0A5F">
              <w:t>5.2.4.</w:t>
            </w:r>
          </w:p>
        </w:tc>
      </w:tr>
      <w:tr w:rsidR="00CB0DD7" w:rsidRPr="000A0A5F" w:rsidTr="00FF0AF8">
        <w:trPr>
          <w:jc w:val="center"/>
        </w:trPr>
        <w:tc>
          <w:tcPr>
            <w:tcW w:w="1020" w:type="pct"/>
            <w:shd w:val="clear" w:color="auto" w:fill="auto"/>
          </w:tcPr>
          <w:p w:rsidR="00CB0DD7" w:rsidRPr="000A0A5F" w:rsidRDefault="00CB0DD7">
            <w:pPr>
              <w:pStyle w:val="TAL"/>
            </w:pPr>
            <w:r w:rsidRPr="000A0A5F">
              <w:t>scsAsId</w:t>
            </w:r>
          </w:p>
        </w:tc>
        <w:tc>
          <w:tcPr>
            <w:tcW w:w="679" w:type="pct"/>
          </w:tcPr>
          <w:p w:rsidR="00CB0DD7" w:rsidRPr="000A0A5F" w:rsidRDefault="00CB0DD7">
            <w:pPr>
              <w:pStyle w:val="TAL"/>
            </w:pPr>
            <w:r w:rsidRPr="000A0A5F">
              <w:rPr>
                <w:rFonts w:hint="eastAsia"/>
                <w:lang w:eastAsia="zh-CN"/>
              </w:rPr>
              <w:t>s</w:t>
            </w:r>
            <w:r w:rsidRPr="000A0A5F">
              <w:rPr>
                <w:lang w:eastAsia="zh-CN"/>
              </w:rPr>
              <w:t>tring</w:t>
            </w:r>
          </w:p>
        </w:tc>
        <w:tc>
          <w:tcPr>
            <w:tcW w:w="3302" w:type="pct"/>
            <w:shd w:val="clear" w:color="auto" w:fill="auto"/>
            <w:vAlign w:val="center"/>
          </w:tcPr>
          <w:p w:rsidR="00CB0DD7" w:rsidRPr="000A0A5F" w:rsidRDefault="00CB0DD7">
            <w:pPr>
              <w:pStyle w:val="TAL"/>
            </w:pPr>
            <w:r w:rsidRPr="000A0A5F">
              <w:t>Identifier of the SCS/AS.</w:t>
            </w:r>
          </w:p>
        </w:tc>
      </w:tr>
      <w:tr w:rsidR="00CB0DD7" w:rsidRPr="000A0A5F" w:rsidTr="00FF0AF8">
        <w:trPr>
          <w:jc w:val="center"/>
        </w:trPr>
        <w:tc>
          <w:tcPr>
            <w:tcW w:w="1020" w:type="pct"/>
            <w:shd w:val="clear" w:color="auto" w:fill="auto"/>
          </w:tcPr>
          <w:p w:rsidR="00CB0DD7" w:rsidRPr="000A0A5F" w:rsidRDefault="00CB0DD7">
            <w:pPr>
              <w:pStyle w:val="TAL"/>
            </w:pPr>
            <w:r w:rsidRPr="000A0A5F">
              <w:t>subscriptionId</w:t>
            </w:r>
          </w:p>
        </w:tc>
        <w:tc>
          <w:tcPr>
            <w:tcW w:w="679" w:type="pct"/>
          </w:tcPr>
          <w:p w:rsidR="00CB0DD7" w:rsidRPr="000A0A5F" w:rsidRDefault="00CB0DD7">
            <w:pPr>
              <w:pStyle w:val="TAL"/>
            </w:pPr>
            <w:r w:rsidRPr="000A0A5F">
              <w:t>string</w:t>
            </w:r>
          </w:p>
        </w:tc>
        <w:tc>
          <w:tcPr>
            <w:tcW w:w="3302" w:type="pct"/>
            <w:shd w:val="clear" w:color="auto" w:fill="auto"/>
            <w:vAlign w:val="center"/>
          </w:tcPr>
          <w:p w:rsidR="00CB0DD7" w:rsidRPr="000A0A5F" w:rsidRDefault="00CB0DD7">
            <w:pPr>
              <w:pStyle w:val="TAL"/>
            </w:pPr>
            <w:r w:rsidRPr="000A0A5F">
              <w:t>Identifier of the subscription resource. The subscriptionId corresponds to the stage 2 TLTRI.</w:t>
            </w:r>
          </w:p>
        </w:tc>
      </w:tr>
    </w:tbl>
    <w:p w:rsidR="00CB0DD7" w:rsidRPr="000A0A5F" w:rsidRDefault="00CB0DD7"/>
    <w:p w:rsidR="00CB0DD7" w:rsidRPr="000A0A5F" w:rsidRDefault="00CB0DD7">
      <w:pPr>
        <w:pStyle w:val="Heading5"/>
      </w:pPr>
      <w:bookmarkStart w:id="6909" w:name="_Toc11247701"/>
      <w:bookmarkStart w:id="6910" w:name="_Toc27044840"/>
      <w:bookmarkStart w:id="6911" w:name="_Toc36033882"/>
      <w:bookmarkStart w:id="6912" w:name="_Toc45132028"/>
      <w:bookmarkStart w:id="6913" w:name="_Toc49776313"/>
      <w:bookmarkStart w:id="6914" w:name="_Toc51747233"/>
      <w:bookmarkStart w:id="6915" w:name="_Toc66360803"/>
      <w:bookmarkStart w:id="6916" w:name="_Toc68105308"/>
      <w:bookmarkStart w:id="6917" w:name="_Toc74755938"/>
      <w:bookmarkStart w:id="6918" w:name="_Toc105674814"/>
      <w:bookmarkStart w:id="6919" w:name="_Toc130502874"/>
      <w:bookmarkStart w:id="6920" w:name="_Toc153625661"/>
      <w:r w:rsidRPr="000A0A5F">
        <w:t>5.9.3.3.3</w:t>
      </w:r>
      <w:r w:rsidRPr="000A0A5F">
        <w:tab/>
        <w:t>Resource methods</w:t>
      </w:r>
      <w:bookmarkEnd w:id="6909"/>
      <w:bookmarkEnd w:id="6910"/>
      <w:bookmarkEnd w:id="6911"/>
      <w:bookmarkEnd w:id="6912"/>
      <w:bookmarkEnd w:id="6913"/>
      <w:bookmarkEnd w:id="6914"/>
      <w:bookmarkEnd w:id="6915"/>
      <w:bookmarkEnd w:id="6916"/>
      <w:bookmarkEnd w:id="6917"/>
      <w:bookmarkEnd w:id="6918"/>
      <w:bookmarkEnd w:id="6919"/>
      <w:bookmarkEnd w:id="6920"/>
    </w:p>
    <w:p w:rsidR="00CB0DD7" w:rsidRPr="000A0A5F" w:rsidRDefault="00CB0DD7">
      <w:pPr>
        <w:pStyle w:val="Heading6"/>
      </w:pPr>
      <w:bookmarkStart w:id="6921" w:name="_Toc11247702"/>
      <w:bookmarkStart w:id="6922" w:name="_Toc27044841"/>
      <w:bookmarkStart w:id="6923" w:name="_Toc36033883"/>
      <w:bookmarkStart w:id="6924" w:name="_Toc45132029"/>
      <w:bookmarkStart w:id="6925" w:name="_Toc49776314"/>
      <w:bookmarkStart w:id="6926" w:name="_Toc51747234"/>
      <w:bookmarkStart w:id="6927" w:name="_Toc66360804"/>
      <w:bookmarkStart w:id="6928" w:name="_Toc68105309"/>
      <w:bookmarkStart w:id="6929" w:name="_Toc74755939"/>
      <w:bookmarkStart w:id="6930" w:name="_Toc105674815"/>
      <w:bookmarkStart w:id="6931" w:name="_Toc130502875"/>
      <w:bookmarkStart w:id="6932" w:name="_Toc153625662"/>
      <w:r w:rsidRPr="000A0A5F">
        <w:t>5.9.3.3.3.1</w:t>
      </w:r>
      <w:r w:rsidRPr="000A0A5F">
        <w:tab/>
        <w:t>GET</w:t>
      </w:r>
      <w:bookmarkEnd w:id="6921"/>
      <w:bookmarkEnd w:id="6922"/>
      <w:bookmarkEnd w:id="6923"/>
      <w:bookmarkEnd w:id="6924"/>
      <w:bookmarkEnd w:id="6925"/>
      <w:bookmarkEnd w:id="6926"/>
      <w:bookmarkEnd w:id="6927"/>
      <w:bookmarkEnd w:id="6928"/>
      <w:bookmarkEnd w:id="6929"/>
      <w:bookmarkEnd w:id="6930"/>
      <w:bookmarkEnd w:id="6931"/>
      <w:bookmarkEnd w:id="6932"/>
    </w:p>
    <w:p w:rsidR="00CB0DD7" w:rsidRPr="000A0A5F" w:rsidRDefault="00CB0DD7">
      <w:pPr>
        <w:rPr>
          <w:noProof/>
          <w:lang w:eastAsia="zh-CN"/>
        </w:rPr>
      </w:pPr>
      <w:r w:rsidRPr="000A0A5F">
        <w:rPr>
          <w:noProof/>
          <w:lang w:eastAsia="zh-CN"/>
        </w:rPr>
        <w:t>The GET method allows to read an active network status reporting subscription resource. The SCS/AS shall initiate the HTTP GET request message and the SCEF shall respond to the message.</w:t>
      </w:r>
    </w:p>
    <w:p w:rsidR="00CB0DD7" w:rsidRPr="000A0A5F" w:rsidRDefault="00CB0DD7">
      <w:r w:rsidRPr="000A0A5F">
        <w:t>This method shall support the URI query parameters, request and response data structures, and response codes, as specified in the table 5.9.3.3.3.1-1 and table 5.9.3.3.3.1-2.</w:t>
      </w:r>
    </w:p>
    <w:p w:rsidR="00CB0DD7" w:rsidRPr="000A0A5F" w:rsidRDefault="00CB0DD7">
      <w:pPr>
        <w:pStyle w:val="TH"/>
        <w:rPr>
          <w:rFonts w:cs="Arial"/>
        </w:rPr>
      </w:pPr>
      <w:r w:rsidRPr="000A0A5F">
        <w:t xml:space="preserve">Table 5.9.3.3.3.1-1: URI query parameters supported by the GET method on this resource </w:t>
      </w:r>
    </w:p>
    <w:tbl>
      <w:tblPr>
        <w:tblW w:w="4999"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612"/>
        <w:gridCol w:w="1709"/>
        <w:gridCol w:w="1140"/>
        <w:gridCol w:w="5314"/>
      </w:tblGrid>
      <w:tr w:rsidR="00CB0DD7" w:rsidRPr="000A0A5F" w:rsidTr="00FF0AF8">
        <w:trPr>
          <w:jc w:val="center"/>
        </w:trPr>
        <w:tc>
          <w:tcPr>
            <w:tcW w:w="825" w:type="pct"/>
            <w:shd w:val="clear" w:color="000000" w:fill="C0C0C0"/>
          </w:tcPr>
          <w:p w:rsidR="00CB0DD7" w:rsidRPr="000A0A5F" w:rsidRDefault="00CB0DD7">
            <w:pPr>
              <w:pStyle w:val="TAH"/>
            </w:pPr>
            <w:r w:rsidRPr="000A0A5F">
              <w:t>Name</w:t>
            </w:r>
          </w:p>
        </w:tc>
        <w:tc>
          <w:tcPr>
            <w:tcW w:w="874" w:type="pct"/>
            <w:shd w:val="clear" w:color="000000" w:fill="C0C0C0"/>
          </w:tcPr>
          <w:p w:rsidR="00CB0DD7" w:rsidRPr="000A0A5F" w:rsidRDefault="00CB0DD7">
            <w:pPr>
              <w:pStyle w:val="TAH"/>
            </w:pPr>
            <w:r w:rsidRPr="000A0A5F">
              <w:t>Data type</w:t>
            </w:r>
          </w:p>
        </w:tc>
        <w:tc>
          <w:tcPr>
            <w:tcW w:w="583" w:type="pct"/>
            <w:shd w:val="clear" w:color="000000" w:fill="C0C0C0"/>
          </w:tcPr>
          <w:p w:rsidR="00CB0DD7" w:rsidRPr="000A0A5F" w:rsidRDefault="00CB0DD7">
            <w:pPr>
              <w:pStyle w:val="TAH"/>
            </w:pPr>
            <w:r w:rsidRPr="000A0A5F">
              <w:t>Cardinality</w:t>
            </w:r>
          </w:p>
        </w:tc>
        <w:tc>
          <w:tcPr>
            <w:tcW w:w="2718" w:type="pct"/>
            <w:shd w:val="clear" w:color="000000" w:fill="C0C0C0"/>
            <w:vAlign w:val="center"/>
          </w:tcPr>
          <w:p w:rsidR="00CB0DD7" w:rsidRPr="000A0A5F" w:rsidRDefault="00CB0DD7">
            <w:pPr>
              <w:pStyle w:val="TAH"/>
            </w:pPr>
            <w:r w:rsidRPr="000A0A5F">
              <w:t>Remarks</w:t>
            </w:r>
          </w:p>
        </w:tc>
      </w:tr>
      <w:tr w:rsidR="00CB0DD7" w:rsidRPr="000A0A5F" w:rsidTr="00FF0AF8">
        <w:trPr>
          <w:jc w:val="center"/>
        </w:trPr>
        <w:tc>
          <w:tcPr>
            <w:tcW w:w="825" w:type="pct"/>
            <w:shd w:val="clear" w:color="auto" w:fill="auto"/>
          </w:tcPr>
          <w:p w:rsidR="00CB0DD7" w:rsidRPr="000A0A5F" w:rsidRDefault="00CB0DD7">
            <w:pPr>
              <w:pStyle w:val="TAL"/>
            </w:pPr>
            <w:r w:rsidRPr="000A0A5F">
              <w:t>none specified</w:t>
            </w:r>
          </w:p>
        </w:tc>
        <w:tc>
          <w:tcPr>
            <w:tcW w:w="874" w:type="pct"/>
          </w:tcPr>
          <w:p w:rsidR="00CB0DD7" w:rsidRPr="000A0A5F" w:rsidRDefault="00CB0DD7">
            <w:pPr>
              <w:pStyle w:val="TAL"/>
            </w:pPr>
          </w:p>
        </w:tc>
        <w:tc>
          <w:tcPr>
            <w:tcW w:w="583" w:type="pct"/>
          </w:tcPr>
          <w:p w:rsidR="00CB0DD7" w:rsidRPr="000A0A5F" w:rsidRDefault="00CB0DD7">
            <w:pPr>
              <w:pStyle w:val="TAL"/>
            </w:pPr>
          </w:p>
        </w:tc>
        <w:tc>
          <w:tcPr>
            <w:tcW w:w="2718" w:type="pct"/>
            <w:shd w:val="clear" w:color="auto" w:fill="auto"/>
            <w:vAlign w:val="center"/>
          </w:tcPr>
          <w:p w:rsidR="00CB0DD7" w:rsidRPr="000A0A5F" w:rsidRDefault="00CB0DD7">
            <w:pPr>
              <w:pStyle w:val="TAL"/>
            </w:pPr>
          </w:p>
        </w:tc>
      </w:tr>
    </w:tbl>
    <w:p w:rsidR="00CB0DD7" w:rsidRPr="000A0A5F" w:rsidRDefault="00CB0DD7"/>
    <w:p w:rsidR="00CB0DD7" w:rsidRPr="000A0A5F" w:rsidRDefault="00CB0DD7">
      <w:pPr>
        <w:pStyle w:val="TH"/>
      </w:pPr>
      <w:r w:rsidRPr="000A0A5F">
        <w:t>Table 5.9.3.3.3.1-2: Data structures supported by the GET request/response by the resource</w:t>
      </w:r>
    </w:p>
    <w:tbl>
      <w:tblPr>
        <w:tblW w:w="4999" w:type="pct"/>
        <w:tblInd w:w="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45" w:type="dxa"/>
          <w:left w:w="45" w:type="dxa"/>
          <w:bottom w:w="45" w:type="dxa"/>
          <w:right w:w="45" w:type="dxa"/>
        </w:tblCellMar>
        <w:tblLook w:val="0000" w:firstRow="0" w:lastRow="0" w:firstColumn="0" w:lastColumn="0" w:noHBand="0" w:noVBand="0"/>
      </w:tblPr>
      <w:tblGrid>
        <w:gridCol w:w="1035"/>
        <w:gridCol w:w="2127"/>
        <w:gridCol w:w="1053"/>
        <w:gridCol w:w="973"/>
        <w:gridCol w:w="4541"/>
      </w:tblGrid>
      <w:tr w:rsidR="00CB0DD7" w:rsidRPr="000A0A5F" w:rsidTr="00790FC9">
        <w:tc>
          <w:tcPr>
            <w:tcW w:w="532" w:type="pct"/>
            <w:vMerge w:val="restart"/>
            <w:shd w:val="clear" w:color="auto" w:fill="C0C0C0"/>
            <w:vAlign w:val="center"/>
          </w:tcPr>
          <w:p w:rsidR="00CB0DD7" w:rsidRPr="000A0A5F" w:rsidRDefault="00CB0DD7">
            <w:pPr>
              <w:pStyle w:val="TAH"/>
            </w:pPr>
            <w:r w:rsidRPr="000A0A5F">
              <w:t>Request body</w:t>
            </w:r>
          </w:p>
        </w:tc>
        <w:tc>
          <w:tcPr>
            <w:tcW w:w="1093" w:type="pct"/>
            <w:shd w:val="clear" w:color="auto" w:fill="C0C0C0"/>
          </w:tcPr>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r w:rsidRPr="000A0A5F">
              <w:t>Cardinality</w:t>
            </w:r>
          </w:p>
        </w:tc>
        <w:tc>
          <w:tcPr>
            <w:tcW w:w="2834" w:type="pct"/>
            <w:gridSpan w:val="2"/>
            <w:shd w:val="clear" w:color="auto" w:fill="C0C0C0"/>
          </w:tcPr>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none</w:t>
            </w:r>
          </w:p>
        </w:tc>
        <w:tc>
          <w:tcPr>
            <w:tcW w:w="541" w:type="pct"/>
          </w:tcPr>
          <w:p w:rsidR="00CB0DD7" w:rsidRPr="000A0A5F" w:rsidRDefault="00CB0DD7">
            <w:pPr>
              <w:pStyle w:val="TAL"/>
            </w:pPr>
          </w:p>
        </w:tc>
        <w:tc>
          <w:tcPr>
            <w:tcW w:w="2834" w:type="pct"/>
            <w:gridSpan w:val="2"/>
          </w:tcPr>
          <w:p w:rsidR="00CB0DD7" w:rsidRPr="000A0A5F" w:rsidRDefault="00CB0DD7">
            <w:pPr>
              <w:pStyle w:val="TAL"/>
            </w:pPr>
          </w:p>
        </w:tc>
      </w:tr>
      <w:tr w:rsidR="00CB0DD7" w:rsidRPr="000A0A5F" w:rsidTr="00790FC9">
        <w:tc>
          <w:tcPr>
            <w:tcW w:w="532" w:type="pct"/>
            <w:vMerge w:val="restart"/>
            <w:shd w:val="clear" w:color="auto" w:fill="C0C0C0"/>
            <w:vAlign w:val="center"/>
          </w:tcPr>
          <w:p w:rsidR="00CB0DD7" w:rsidRPr="000A0A5F" w:rsidRDefault="00CB0DD7">
            <w:pPr>
              <w:pStyle w:val="TAH"/>
            </w:pPr>
            <w:r w:rsidRPr="000A0A5F">
              <w:t>Response body</w:t>
            </w:r>
          </w:p>
        </w:tc>
        <w:tc>
          <w:tcPr>
            <w:tcW w:w="1093" w:type="pct"/>
            <w:shd w:val="clear" w:color="auto" w:fill="C0C0C0"/>
          </w:tcPr>
          <w:p w:rsidR="00CB0DD7" w:rsidRPr="000A0A5F" w:rsidRDefault="00CB0DD7">
            <w:pPr>
              <w:pStyle w:val="TAH"/>
            </w:pPr>
          </w:p>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p>
          <w:p w:rsidR="00CB0DD7" w:rsidRPr="000A0A5F" w:rsidRDefault="00CB0DD7">
            <w:pPr>
              <w:pStyle w:val="TAH"/>
            </w:pPr>
            <w:r w:rsidRPr="000A0A5F">
              <w:t>Cardinality</w:t>
            </w:r>
          </w:p>
        </w:tc>
        <w:tc>
          <w:tcPr>
            <w:tcW w:w="500" w:type="pct"/>
            <w:shd w:val="clear" w:color="auto" w:fill="C0C0C0"/>
          </w:tcPr>
          <w:p w:rsidR="00CB0DD7" w:rsidRPr="000A0A5F" w:rsidRDefault="00CB0DD7">
            <w:pPr>
              <w:pStyle w:val="TAH"/>
            </w:pPr>
            <w:r w:rsidRPr="000A0A5F">
              <w:t>Response</w:t>
            </w:r>
          </w:p>
          <w:p w:rsidR="00CB0DD7" w:rsidRPr="000A0A5F" w:rsidRDefault="00CB0DD7">
            <w:pPr>
              <w:pStyle w:val="TAH"/>
            </w:pPr>
            <w:r w:rsidRPr="000A0A5F">
              <w:t>codes</w:t>
            </w:r>
          </w:p>
        </w:tc>
        <w:tc>
          <w:tcPr>
            <w:tcW w:w="2334" w:type="pct"/>
            <w:shd w:val="clear" w:color="auto" w:fill="C0C0C0"/>
          </w:tcPr>
          <w:p w:rsidR="00CB0DD7" w:rsidRPr="000A0A5F" w:rsidRDefault="00CB0DD7">
            <w:pPr>
              <w:pStyle w:val="TAH"/>
            </w:pPr>
          </w:p>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rPr>
                <w:rFonts w:hint="eastAsia"/>
                <w:lang w:eastAsia="zh-CN"/>
              </w:rPr>
              <w:t>NetworkStatusRepo</w:t>
            </w:r>
            <w:r w:rsidRPr="000A0A5F">
              <w:rPr>
                <w:lang w:eastAsia="zh-CN"/>
              </w:rPr>
              <w:t>r</w:t>
            </w:r>
            <w:r w:rsidRPr="000A0A5F">
              <w:rPr>
                <w:rFonts w:hint="eastAsia"/>
                <w:lang w:eastAsia="zh-CN"/>
              </w:rPr>
              <w:t>ting</w:t>
            </w:r>
            <w:r w:rsidRPr="000A0A5F">
              <w:rPr>
                <w:lang w:eastAsia="zh-CN"/>
              </w:rPr>
              <w:t>Subscription</w:t>
            </w:r>
          </w:p>
        </w:tc>
        <w:tc>
          <w:tcPr>
            <w:tcW w:w="541" w:type="pct"/>
          </w:tcPr>
          <w:p w:rsidR="00CB0DD7" w:rsidRPr="000A0A5F" w:rsidRDefault="00CB0DD7">
            <w:pPr>
              <w:pStyle w:val="TAL"/>
            </w:pPr>
            <w:r w:rsidRPr="000A0A5F">
              <w:t>1</w:t>
            </w:r>
          </w:p>
        </w:tc>
        <w:tc>
          <w:tcPr>
            <w:tcW w:w="500" w:type="pct"/>
          </w:tcPr>
          <w:p w:rsidR="00CB0DD7" w:rsidRPr="000A0A5F" w:rsidRDefault="00CB0DD7">
            <w:pPr>
              <w:pStyle w:val="TAL"/>
            </w:pPr>
            <w:r w:rsidRPr="000A0A5F">
              <w:t>200 OK</w:t>
            </w:r>
          </w:p>
        </w:tc>
        <w:tc>
          <w:tcPr>
            <w:tcW w:w="2334" w:type="pct"/>
          </w:tcPr>
          <w:p w:rsidR="00CB0DD7" w:rsidRPr="000A0A5F" w:rsidRDefault="00CB0DD7">
            <w:pPr>
              <w:pStyle w:val="TAL"/>
            </w:pPr>
            <w:r w:rsidRPr="000A0A5F">
              <w:t>The subscription information related to the request URI is returned.</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t>none</w:t>
            </w:r>
          </w:p>
        </w:tc>
        <w:tc>
          <w:tcPr>
            <w:tcW w:w="541" w:type="pct"/>
          </w:tcPr>
          <w:p w:rsidR="00CB0DD7" w:rsidRPr="000A0A5F" w:rsidRDefault="00CB0DD7">
            <w:pPr>
              <w:pStyle w:val="TAL"/>
            </w:pPr>
          </w:p>
        </w:tc>
        <w:tc>
          <w:tcPr>
            <w:tcW w:w="500" w:type="pct"/>
          </w:tcPr>
          <w:p w:rsidR="00CB0DD7" w:rsidRPr="000A0A5F" w:rsidRDefault="00CB0DD7">
            <w:pPr>
              <w:pStyle w:val="TAL"/>
            </w:pPr>
            <w:r w:rsidRPr="000A0A5F">
              <w:t>307 Temporary Redirect</w:t>
            </w:r>
          </w:p>
        </w:tc>
        <w:tc>
          <w:tcPr>
            <w:tcW w:w="2334" w:type="pct"/>
          </w:tcPr>
          <w:p w:rsidR="00CB0DD7" w:rsidRPr="000A0A5F" w:rsidRDefault="00CB0DD7">
            <w:pPr>
              <w:pStyle w:val="TAL"/>
            </w:pPr>
            <w:r w:rsidRPr="000A0A5F">
              <w:t xml:space="preserve">Temporary redirection, during </w:t>
            </w:r>
            <w:r w:rsidRPr="000A0A5F">
              <w:rPr>
                <w:rFonts w:hint="eastAsia"/>
                <w:lang w:eastAsia="zh-CN"/>
              </w:rPr>
              <w:t>resource</w:t>
            </w:r>
            <w:r w:rsidRPr="000A0A5F">
              <w:t xml:space="preserve"> retrieval. The response shall include a Location header field containing an alternative URI of the resource located in an alternative SCEF.</w:t>
            </w:r>
          </w:p>
          <w:p w:rsidR="00CB0DD7" w:rsidRPr="000A0A5F" w:rsidRDefault="00CB0DD7">
            <w:pPr>
              <w:pStyle w:val="TAL"/>
            </w:pPr>
            <w:r w:rsidRPr="000A0A5F">
              <w:t>Redirection handling is described in clause 5.2.10.</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t>none</w:t>
            </w:r>
          </w:p>
        </w:tc>
        <w:tc>
          <w:tcPr>
            <w:tcW w:w="541" w:type="pct"/>
          </w:tcPr>
          <w:p w:rsidR="00CB0DD7" w:rsidRPr="000A0A5F" w:rsidRDefault="00CB0DD7">
            <w:pPr>
              <w:pStyle w:val="TAL"/>
            </w:pPr>
          </w:p>
        </w:tc>
        <w:tc>
          <w:tcPr>
            <w:tcW w:w="500" w:type="pct"/>
          </w:tcPr>
          <w:p w:rsidR="00CB0DD7" w:rsidRPr="000A0A5F" w:rsidRDefault="00CB0DD7">
            <w:pPr>
              <w:pStyle w:val="TAL"/>
            </w:pPr>
            <w:r w:rsidRPr="000A0A5F">
              <w:t>308 Permanent Redirect</w:t>
            </w:r>
          </w:p>
        </w:tc>
        <w:tc>
          <w:tcPr>
            <w:tcW w:w="2334" w:type="pct"/>
          </w:tcPr>
          <w:p w:rsidR="00CB0DD7" w:rsidRPr="000A0A5F" w:rsidRDefault="00CB0DD7">
            <w:pPr>
              <w:pStyle w:val="TAL"/>
            </w:pPr>
            <w:r w:rsidRPr="000A0A5F">
              <w:t xml:space="preserve">Permanent redirection, during </w:t>
            </w:r>
            <w:r w:rsidRPr="000A0A5F">
              <w:rPr>
                <w:rFonts w:hint="eastAsia"/>
                <w:lang w:eastAsia="zh-CN"/>
              </w:rPr>
              <w:t>resource</w:t>
            </w:r>
            <w:r w:rsidRPr="000A0A5F">
              <w:t xml:space="preserve"> retrieval. The response shall include a Location header field containing an alternative URI of the resource located in an alternative SCEF.</w:t>
            </w:r>
          </w:p>
          <w:p w:rsidR="00CB0DD7" w:rsidRPr="000A0A5F" w:rsidRDefault="00CB0DD7">
            <w:pPr>
              <w:pStyle w:val="TAL"/>
            </w:pPr>
            <w:r w:rsidRPr="000A0A5F">
              <w:t>Redirection handling is described in clause 5.2.10.</w:t>
            </w:r>
          </w:p>
        </w:tc>
      </w:tr>
      <w:tr w:rsidR="00CB0DD7" w:rsidRPr="000A0A5F" w:rsidTr="00FF0AF8">
        <w:tc>
          <w:tcPr>
            <w:tcW w:w="5000" w:type="pct"/>
            <w:gridSpan w:val="5"/>
            <w:shd w:val="clear" w:color="auto" w:fill="auto"/>
            <w:vAlign w:val="center"/>
          </w:tcPr>
          <w:p w:rsidR="00CB0DD7" w:rsidRPr="000A0A5F" w:rsidRDefault="00CB0DD7">
            <w:pPr>
              <w:pStyle w:val="TAN"/>
            </w:pPr>
            <w:r w:rsidRPr="000A0A5F">
              <w:t>NOTE:</w:t>
            </w:r>
            <w:r w:rsidRPr="000A0A5F">
              <w:tab/>
              <w:t>The mandatory HTTP error status codes for the GET method listed in table 5.2.6-1 also apply.</w:t>
            </w:r>
          </w:p>
        </w:tc>
      </w:tr>
    </w:tbl>
    <w:p w:rsidR="00CB0DD7" w:rsidRPr="000A0A5F" w:rsidRDefault="00CB0DD7"/>
    <w:p w:rsidR="00CB0DD7" w:rsidRPr="000A0A5F" w:rsidRDefault="00CB0DD7">
      <w:pPr>
        <w:pStyle w:val="TH"/>
      </w:pPr>
      <w:r w:rsidRPr="000A0A5F">
        <w:t>Table 5.9.3.3.3.1-3: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CB0DD7">
      <w:pPr>
        <w:pStyle w:val="TH"/>
      </w:pPr>
      <w:r w:rsidRPr="000A0A5F">
        <w:t>Table 5.9.3.3.3.1-4: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CB0DD7">
      <w:pPr>
        <w:pStyle w:val="Heading6"/>
      </w:pPr>
      <w:bookmarkStart w:id="6933" w:name="_Toc11247703"/>
      <w:bookmarkStart w:id="6934" w:name="_Toc27044842"/>
      <w:bookmarkStart w:id="6935" w:name="_Toc36033884"/>
      <w:bookmarkStart w:id="6936" w:name="_Toc45132030"/>
      <w:bookmarkStart w:id="6937" w:name="_Toc49776315"/>
      <w:bookmarkStart w:id="6938" w:name="_Toc51747235"/>
      <w:bookmarkStart w:id="6939" w:name="_Toc66360805"/>
      <w:bookmarkStart w:id="6940" w:name="_Toc68105310"/>
      <w:bookmarkStart w:id="6941" w:name="_Toc74755940"/>
      <w:bookmarkStart w:id="6942" w:name="_Toc105674816"/>
      <w:bookmarkStart w:id="6943" w:name="_Toc130502876"/>
      <w:bookmarkStart w:id="6944" w:name="_Toc153625663"/>
      <w:r w:rsidRPr="000A0A5F">
        <w:t>5.9.3.3.3.2</w:t>
      </w:r>
      <w:r w:rsidRPr="000A0A5F">
        <w:tab/>
        <w:t>PUT</w:t>
      </w:r>
      <w:bookmarkEnd w:id="6933"/>
      <w:bookmarkEnd w:id="6934"/>
      <w:bookmarkEnd w:id="6935"/>
      <w:bookmarkEnd w:id="6936"/>
      <w:bookmarkEnd w:id="6937"/>
      <w:bookmarkEnd w:id="6938"/>
      <w:bookmarkEnd w:id="6939"/>
      <w:bookmarkEnd w:id="6940"/>
      <w:bookmarkEnd w:id="6941"/>
      <w:bookmarkEnd w:id="6942"/>
      <w:bookmarkEnd w:id="6943"/>
      <w:bookmarkEnd w:id="6944"/>
    </w:p>
    <w:p w:rsidR="00CB0DD7" w:rsidRPr="000A0A5F" w:rsidRDefault="00CB0DD7">
      <w:pPr>
        <w:rPr>
          <w:noProof/>
          <w:lang w:eastAsia="zh-CN"/>
        </w:rPr>
      </w:pPr>
      <w:r w:rsidRPr="000A0A5F">
        <w:rPr>
          <w:noProof/>
          <w:lang w:eastAsia="zh-CN"/>
        </w:rPr>
        <w:t xml:space="preserve">The PUT method </w:t>
      </w:r>
      <w:r w:rsidR="00517DF6" w:rsidRPr="000A0A5F">
        <w:rPr>
          <w:noProof/>
          <w:lang w:eastAsia="zh-CN"/>
        </w:rPr>
        <w:t xml:space="preserve">updates </w:t>
      </w:r>
      <w:r w:rsidRPr="000A0A5F">
        <w:rPr>
          <w:noProof/>
          <w:lang w:eastAsia="zh-CN"/>
        </w:rPr>
        <w:t xml:space="preserve">an existing subscription resource to update a subscription. The SCS/AS shall initiate the HTTP PUT request message and the SCEF shall respond to the message. </w:t>
      </w:r>
    </w:p>
    <w:p w:rsidR="00CB0DD7" w:rsidRPr="000A0A5F" w:rsidRDefault="00CB0DD7">
      <w:r w:rsidRPr="000A0A5F">
        <w:t>This method shall support the URI query parameters, request and response data structures, and response codes, as specified in the table 5.9.3.3.3.2-1 and table 5.9.3.3.3.2-2.</w:t>
      </w:r>
    </w:p>
    <w:p w:rsidR="00CB0DD7" w:rsidRPr="000A0A5F" w:rsidRDefault="00CB0DD7">
      <w:pPr>
        <w:pStyle w:val="TH"/>
        <w:rPr>
          <w:rFonts w:cs="Arial"/>
        </w:rPr>
      </w:pPr>
      <w:r w:rsidRPr="000A0A5F">
        <w:t xml:space="preserve">Table 5.9.3.3.3.2-1: URI query parameters supported by the PUT method on this resource </w:t>
      </w:r>
    </w:p>
    <w:tbl>
      <w:tblPr>
        <w:tblW w:w="4999"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612"/>
        <w:gridCol w:w="1709"/>
        <w:gridCol w:w="1140"/>
        <w:gridCol w:w="5314"/>
      </w:tblGrid>
      <w:tr w:rsidR="00CB0DD7" w:rsidRPr="000A0A5F" w:rsidTr="00FF0AF8">
        <w:trPr>
          <w:jc w:val="center"/>
        </w:trPr>
        <w:tc>
          <w:tcPr>
            <w:tcW w:w="825" w:type="pct"/>
            <w:shd w:val="clear" w:color="000000" w:fill="C0C0C0"/>
          </w:tcPr>
          <w:p w:rsidR="00CB0DD7" w:rsidRPr="000A0A5F" w:rsidRDefault="00CB0DD7">
            <w:pPr>
              <w:pStyle w:val="TAH"/>
            </w:pPr>
            <w:r w:rsidRPr="000A0A5F">
              <w:t>Name</w:t>
            </w:r>
          </w:p>
        </w:tc>
        <w:tc>
          <w:tcPr>
            <w:tcW w:w="874" w:type="pct"/>
            <w:shd w:val="clear" w:color="000000" w:fill="C0C0C0"/>
          </w:tcPr>
          <w:p w:rsidR="00CB0DD7" w:rsidRPr="000A0A5F" w:rsidRDefault="00CB0DD7">
            <w:pPr>
              <w:pStyle w:val="TAH"/>
            </w:pPr>
            <w:r w:rsidRPr="000A0A5F">
              <w:t>Data type</w:t>
            </w:r>
          </w:p>
        </w:tc>
        <w:tc>
          <w:tcPr>
            <w:tcW w:w="583" w:type="pct"/>
            <w:shd w:val="clear" w:color="000000" w:fill="C0C0C0"/>
          </w:tcPr>
          <w:p w:rsidR="00CB0DD7" w:rsidRPr="000A0A5F" w:rsidRDefault="00CB0DD7">
            <w:pPr>
              <w:pStyle w:val="TAH"/>
            </w:pPr>
            <w:r w:rsidRPr="000A0A5F">
              <w:t>Cardinality</w:t>
            </w:r>
          </w:p>
        </w:tc>
        <w:tc>
          <w:tcPr>
            <w:tcW w:w="2718" w:type="pct"/>
            <w:shd w:val="clear" w:color="000000" w:fill="C0C0C0"/>
            <w:vAlign w:val="center"/>
          </w:tcPr>
          <w:p w:rsidR="00CB0DD7" w:rsidRPr="000A0A5F" w:rsidRDefault="00CB0DD7">
            <w:pPr>
              <w:pStyle w:val="TAH"/>
            </w:pPr>
            <w:r w:rsidRPr="000A0A5F">
              <w:t>Remarks</w:t>
            </w:r>
          </w:p>
        </w:tc>
      </w:tr>
      <w:tr w:rsidR="00CB0DD7" w:rsidRPr="000A0A5F" w:rsidTr="00FF0AF8">
        <w:trPr>
          <w:jc w:val="center"/>
        </w:trPr>
        <w:tc>
          <w:tcPr>
            <w:tcW w:w="825" w:type="pct"/>
            <w:shd w:val="clear" w:color="auto" w:fill="auto"/>
          </w:tcPr>
          <w:p w:rsidR="00CB0DD7" w:rsidRPr="000A0A5F" w:rsidRDefault="00CB0DD7">
            <w:pPr>
              <w:pStyle w:val="TAL"/>
            </w:pPr>
            <w:r w:rsidRPr="000A0A5F">
              <w:t>none specified</w:t>
            </w:r>
          </w:p>
        </w:tc>
        <w:tc>
          <w:tcPr>
            <w:tcW w:w="874" w:type="pct"/>
          </w:tcPr>
          <w:p w:rsidR="00CB0DD7" w:rsidRPr="000A0A5F" w:rsidRDefault="00CB0DD7">
            <w:pPr>
              <w:pStyle w:val="TAL"/>
            </w:pPr>
          </w:p>
        </w:tc>
        <w:tc>
          <w:tcPr>
            <w:tcW w:w="583" w:type="pct"/>
          </w:tcPr>
          <w:p w:rsidR="00CB0DD7" w:rsidRPr="000A0A5F" w:rsidRDefault="00CB0DD7">
            <w:pPr>
              <w:pStyle w:val="TAL"/>
            </w:pPr>
          </w:p>
        </w:tc>
        <w:tc>
          <w:tcPr>
            <w:tcW w:w="2718" w:type="pct"/>
            <w:shd w:val="clear" w:color="auto" w:fill="auto"/>
            <w:vAlign w:val="center"/>
          </w:tcPr>
          <w:p w:rsidR="00CB0DD7" w:rsidRPr="000A0A5F" w:rsidRDefault="00CB0DD7">
            <w:pPr>
              <w:pStyle w:val="TAL"/>
            </w:pPr>
          </w:p>
        </w:tc>
      </w:tr>
    </w:tbl>
    <w:p w:rsidR="00CB0DD7" w:rsidRPr="000A0A5F" w:rsidRDefault="00CB0DD7"/>
    <w:p w:rsidR="00CB0DD7" w:rsidRPr="000A0A5F" w:rsidRDefault="00CB0DD7">
      <w:pPr>
        <w:pStyle w:val="TH"/>
        <w:spacing w:before="240"/>
      </w:pPr>
      <w:r w:rsidRPr="000A0A5F">
        <w:t>Table 5.9.3.3.3.2-2: Data structures supported by the PUT request/response by the resource</w:t>
      </w:r>
    </w:p>
    <w:tbl>
      <w:tblPr>
        <w:tblW w:w="4999" w:type="pct"/>
        <w:tblInd w:w="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45" w:type="dxa"/>
          <w:left w:w="45" w:type="dxa"/>
          <w:bottom w:w="45" w:type="dxa"/>
          <w:right w:w="45" w:type="dxa"/>
        </w:tblCellMar>
        <w:tblLook w:val="0000" w:firstRow="0" w:lastRow="0" w:firstColumn="0" w:lastColumn="0" w:noHBand="0" w:noVBand="0"/>
      </w:tblPr>
      <w:tblGrid>
        <w:gridCol w:w="1035"/>
        <w:gridCol w:w="2127"/>
        <w:gridCol w:w="1053"/>
        <w:gridCol w:w="973"/>
        <w:gridCol w:w="4541"/>
      </w:tblGrid>
      <w:tr w:rsidR="00CB0DD7" w:rsidRPr="000A0A5F" w:rsidTr="00790FC9">
        <w:tc>
          <w:tcPr>
            <w:tcW w:w="532" w:type="pct"/>
            <w:vMerge w:val="restart"/>
            <w:shd w:val="clear" w:color="auto" w:fill="C0C0C0"/>
            <w:vAlign w:val="center"/>
          </w:tcPr>
          <w:p w:rsidR="00CB0DD7" w:rsidRPr="000A0A5F" w:rsidRDefault="00CB0DD7">
            <w:pPr>
              <w:pStyle w:val="TAH"/>
            </w:pPr>
            <w:r w:rsidRPr="000A0A5F">
              <w:t>Request body</w:t>
            </w:r>
          </w:p>
        </w:tc>
        <w:tc>
          <w:tcPr>
            <w:tcW w:w="1093" w:type="pct"/>
            <w:shd w:val="clear" w:color="auto" w:fill="C0C0C0"/>
          </w:tcPr>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r w:rsidRPr="000A0A5F">
              <w:t>Cardinality</w:t>
            </w:r>
          </w:p>
        </w:tc>
        <w:tc>
          <w:tcPr>
            <w:tcW w:w="2834" w:type="pct"/>
            <w:gridSpan w:val="2"/>
            <w:shd w:val="clear" w:color="auto" w:fill="C0C0C0"/>
          </w:tcPr>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rPr>
                <w:rFonts w:hint="eastAsia"/>
                <w:lang w:eastAsia="zh-CN"/>
              </w:rPr>
              <w:t>NetworkStatus</w:t>
            </w:r>
            <w:r w:rsidRPr="000A0A5F">
              <w:rPr>
                <w:lang w:eastAsia="zh-CN"/>
              </w:rPr>
              <w:t>ReportingSubscription</w:t>
            </w:r>
          </w:p>
        </w:tc>
        <w:tc>
          <w:tcPr>
            <w:tcW w:w="541" w:type="pct"/>
          </w:tcPr>
          <w:p w:rsidR="00CB0DD7" w:rsidRPr="000A0A5F" w:rsidRDefault="00CB0DD7">
            <w:pPr>
              <w:pStyle w:val="TAL"/>
            </w:pPr>
            <w:r w:rsidRPr="000A0A5F">
              <w:t>1</w:t>
            </w:r>
          </w:p>
        </w:tc>
        <w:tc>
          <w:tcPr>
            <w:tcW w:w="2834" w:type="pct"/>
            <w:gridSpan w:val="2"/>
          </w:tcPr>
          <w:p w:rsidR="00CB0DD7" w:rsidRPr="000A0A5F" w:rsidRDefault="00CB0DD7">
            <w:pPr>
              <w:pStyle w:val="TAL"/>
            </w:pPr>
            <w:r w:rsidRPr="000A0A5F">
              <w:t xml:space="preserve">Parameters to </w:t>
            </w:r>
            <w:r w:rsidR="00517DF6" w:rsidRPr="000A0A5F">
              <w:t xml:space="preserve">update </w:t>
            </w:r>
            <w:r w:rsidRPr="000A0A5F">
              <w:t>a subscription to request notifications about network status information report with the SCEF.</w:t>
            </w:r>
          </w:p>
        </w:tc>
      </w:tr>
      <w:tr w:rsidR="00CB0DD7" w:rsidRPr="000A0A5F" w:rsidTr="00790FC9">
        <w:tc>
          <w:tcPr>
            <w:tcW w:w="532" w:type="pct"/>
            <w:vMerge w:val="restart"/>
            <w:shd w:val="clear" w:color="auto" w:fill="C0C0C0"/>
            <w:vAlign w:val="center"/>
          </w:tcPr>
          <w:p w:rsidR="00CB0DD7" w:rsidRPr="000A0A5F" w:rsidRDefault="00CB0DD7">
            <w:pPr>
              <w:pStyle w:val="TAH"/>
            </w:pPr>
            <w:r w:rsidRPr="000A0A5F">
              <w:t>Response body</w:t>
            </w:r>
          </w:p>
        </w:tc>
        <w:tc>
          <w:tcPr>
            <w:tcW w:w="1093" w:type="pct"/>
            <w:shd w:val="clear" w:color="auto" w:fill="C0C0C0"/>
          </w:tcPr>
          <w:p w:rsidR="00CB0DD7" w:rsidRPr="000A0A5F" w:rsidRDefault="00CB0DD7">
            <w:pPr>
              <w:pStyle w:val="TAH"/>
            </w:pPr>
          </w:p>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p>
          <w:p w:rsidR="00CB0DD7" w:rsidRPr="000A0A5F" w:rsidRDefault="00CB0DD7">
            <w:pPr>
              <w:pStyle w:val="TAH"/>
            </w:pPr>
            <w:r w:rsidRPr="000A0A5F">
              <w:t>Cardinality</w:t>
            </w:r>
          </w:p>
        </w:tc>
        <w:tc>
          <w:tcPr>
            <w:tcW w:w="500" w:type="pct"/>
            <w:shd w:val="clear" w:color="auto" w:fill="C0C0C0"/>
          </w:tcPr>
          <w:p w:rsidR="00CB0DD7" w:rsidRPr="000A0A5F" w:rsidRDefault="00CB0DD7">
            <w:pPr>
              <w:pStyle w:val="TAH"/>
            </w:pPr>
            <w:r w:rsidRPr="000A0A5F">
              <w:t>Response</w:t>
            </w:r>
          </w:p>
          <w:p w:rsidR="00CB0DD7" w:rsidRPr="000A0A5F" w:rsidRDefault="00CB0DD7">
            <w:pPr>
              <w:pStyle w:val="TAH"/>
            </w:pPr>
            <w:r w:rsidRPr="000A0A5F">
              <w:t>codes</w:t>
            </w:r>
          </w:p>
        </w:tc>
        <w:tc>
          <w:tcPr>
            <w:tcW w:w="2334" w:type="pct"/>
            <w:shd w:val="clear" w:color="auto" w:fill="C0C0C0"/>
          </w:tcPr>
          <w:p w:rsidR="00CB0DD7" w:rsidRPr="000A0A5F" w:rsidRDefault="00CB0DD7">
            <w:pPr>
              <w:pStyle w:val="TAH"/>
            </w:pPr>
          </w:p>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rPr>
                <w:rFonts w:hint="eastAsia"/>
                <w:lang w:eastAsia="zh-CN"/>
              </w:rPr>
              <w:t>NetworkStatus</w:t>
            </w:r>
            <w:r w:rsidRPr="000A0A5F">
              <w:rPr>
                <w:lang w:eastAsia="zh-CN"/>
              </w:rPr>
              <w:t>ReportingSubscription</w:t>
            </w:r>
          </w:p>
        </w:tc>
        <w:tc>
          <w:tcPr>
            <w:tcW w:w="541" w:type="pct"/>
          </w:tcPr>
          <w:p w:rsidR="00CB0DD7" w:rsidRPr="000A0A5F" w:rsidRDefault="00CB0DD7">
            <w:pPr>
              <w:pStyle w:val="TAL"/>
            </w:pPr>
            <w:r w:rsidRPr="000A0A5F">
              <w:t>1</w:t>
            </w:r>
          </w:p>
        </w:tc>
        <w:tc>
          <w:tcPr>
            <w:tcW w:w="500" w:type="pct"/>
          </w:tcPr>
          <w:p w:rsidR="00CB0DD7" w:rsidRPr="000A0A5F" w:rsidRDefault="00CB0DD7">
            <w:pPr>
              <w:pStyle w:val="TAL"/>
            </w:pPr>
            <w:r w:rsidRPr="000A0A5F">
              <w:t>200 OK</w:t>
            </w:r>
          </w:p>
        </w:tc>
        <w:tc>
          <w:tcPr>
            <w:tcW w:w="2334" w:type="pct"/>
          </w:tcPr>
          <w:p w:rsidR="00CB0DD7" w:rsidRPr="000A0A5F" w:rsidRDefault="00CB0DD7">
            <w:pPr>
              <w:pStyle w:val="TAL"/>
            </w:pPr>
            <w:r w:rsidRPr="000A0A5F">
              <w:t xml:space="preserve">The subscription was updated successfully. </w:t>
            </w:r>
          </w:p>
        </w:tc>
      </w:tr>
      <w:tr w:rsidR="00903C01" w:rsidRPr="000A0A5F" w:rsidTr="00FF0AF8">
        <w:tc>
          <w:tcPr>
            <w:tcW w:w="532" w:type="pct"/>
            <w:vMerge/>
            <w:shd w:val="clear" w:color="auto" w:fill="BFBFBF"/>
            <w:vAlign w:val="center"/>
          </w:tcPr>
          <w:p w:rsidR="00903C01" w:rsidRPr="000A0A5F" w:rsidRDefault="00903C01">
            <w:pPr>
              <w:pStyle w:val="TAL"/>
              <w:jc w:val="center"/>
            </w:pPr>
          </w:p>
        </w:tc>
        <w:tc>
          <w:tcPr>
            <w:tcW w:w="1093" w:type="pct"/>
            <w:shd w:val="clear" w:color="auto" w:fill="auto"/>
          </w:tcPr>
          <w:p w:rsidR="00903C01" w:rsidRPr="000A0A5F" w:rsidRDefault="00903C01">
            <w:pPr>
              <w:pStyle w:val="TAL"/>
              <w:rPr>
                <w:rFonts w:hint="eastAsia"/>
                <w:lang w:eastAsia="zh-CN"/>
              </w:rPr>
            </w:pPr>
            <w:r w:rsidRPr="000A0A5F">
              <w:rPr>
                <w:lang w:eastAsia="zh-CN"/>
              </w:rPr>
              <w:t>none</w:t>
            </w:r>
          </w:p>
        </w:tc>
        <w:tc>
          <w:tcPr>
            <w:tcW w:w="541" w:type="pct"/>
          </w:tcPr>
          <w:p w:rsidR="00903C01" w:rsidRPr="000A0A5F" w:rsidRDefault="00903C01">
            <w:pPr>
              <w:pStyle w:val="TAL"/>
            </w:pPr>
          </w:p>
        </w:tc>
        <w:tc>
          <w:tcPr>
            <w:tcW w:w="500" w:type="pct"/>
          </w:tcPr>
          <w:p w:rsidR="00903C01" w:rsidRPr="000A0A5F" w:rsidRDefault="00903C01">
            <w:pPr>
              <w:pStyle w:val="TAL"/>
            </w:pPr>
            <w:r w:rsidRPr="000A0A5F">
              <w:t>204 No Content</w:t>
            </w:r>
          </w:p>
        </w:tc>
        <w:tc>
          <w:tcPr>
            <w:tcW w:w="2334" w:type="pct"/>
          </w:tcPr>
          <w:p w:rsidR="00903C01" w:rsidRPr="000A0A5F" w:rsidRDefault="00903C01">
            <w:pPr>
              <w:pStyle w:val="TAL"/>
            </w:pPr>
            <w:r w:rsidRPr="000A0A5F">
              <w:rPr>
                <w:rFonts w:hint="eastAsia"/>
                <w:lang w:eastAsia="zh-CN"/>
              </w:rPr>
              <w:t>T</w:t>
            </w:r>
            <w:r w:rsidRPr="000A0A5F">
              <w:rPr>
                <w:lang w:eastAsia="zh-CN"/>
              </w:rPr>
              <w:t>he subscription was updated successfully.</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t>none</w:t>
            </w:r>
          </w:p>
        </w:tc>
        <w:tc>
          <w:tcPr>
            <w:tcW w:w="541" w:type="pct"/>
          </w:tcPr>
          <w:p w:rsidR="00CB0DD7" w:rsidRPr="000A0A5F" w:rsidRDefault="00CB0DD7">
            <w:pPr>
              <w:pStyle w:val="TAL"/>
            </w:pPr>
          </w:p>
        </w:tc>
        <w:tc>
          <w:tcPr>
            <w:tcW w:w="500" w:type="pct"/>
          </w:tcPr>
          <w:p w:rsidR="00CB0DD7" w:rsidRPr="000A0A5F" w:rsidRDefault="00CB0DD7">
            <w:pPr>
              <w:pStyle w:val="TAL"/>
            </w:pPr>
            <w:r w:rsidRPr="000A0A5F">
              <w:t>307 Temporary Redirect</w:t>
            </w:r>
          </w:p>
        </w:tc>
        <w:tc>
          <w:tcPr>
            <w:tcW w:w="2334" w:type="pct"/>
          </w:tcPr>
          <w:p w:rsidR="00CB0DD7" w:rsidRPr="000A0A5F" w:rsidRDefault="00CB0DD7">
            <w:pPr>
              <w:pStyle w:val="TAL"/>
            </w:pPr>
            <w:r w:rsidRPr="000A0A5F">
              <w:t>Temporary redirection, during resource modification. The response shall include a Location header field containing an alternative URI of the resource located in an alternative SCEF.</w:t>
            </w:r>
          </w:p>
          <w:p w:rsidR="00CB0DD7" w:rsidRPr="000A0A5F" w:rsidRDefault="00CB0DD7">
            <w:pPr>
              <w:pStyle w:val="TAL"/>
            </w:pPr>
            <w:r w:rsidRPr="000A0A5F">
              <w:t>Redirection handling is described in clause 5.2.10.</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t>none</w:t>
            </w:r>
          </w:p>
        </w:tc>
        <w:tc>
          <w:tcPr>
            <w:tcW w:w="541" w:type="pct"/>
          </w:tcPr>
          <w:p w:rsidR="00CB0DD7" w:rsidRPr="000A0A5F" w:rsidRDefault="00CB0DD7">
            <w:pPr>
              <w:pStyle w:val="TAL"/>
            </w:pPr>
          </w:p>
        </w:tc>
        <w:tc>
          <w:tcPr>
            <w:tcW w:w="500" w:type="pct"/>
          </w:tcPr>
          <w:p w:rsidR="00CB0DD7" w:rsidRPr="000A0A5F" w:rsidRDefault="00CB0DD7">
            <w:pPr>
              <w:pStyle w:val="TAL"/>
            </w:pPr>
            <w:r w:rsidRPr="000A0A5F">
              <w:t>308 Permanent Redirect</w:t>
            </w:r>
          </w:p>
        </w:tc>
        <w:tc>
          <w:tcPr>
            <w:tcW w:w="2334" w:type="pct"/>
          </w:tcPr>
          <w:p w:rsidR="00CB0DD7" w:rsidRPr="000A0A5F" w:rsidRDefault="00CB0DD7">
            <w:pPr>
              <w:pStyle w:val="TAL"/>
            </w:pPr>
            <w:r w:rsidRPr="000A0A5F">
              <w:t>Permanent redirection, during resource modification. The response shall include a Location header field containing an alternative URI of the resource located in an alternative SCEF.</w:t>
            </w:r>
          </w:p>
          <w:p w:rsidR="00CB0DD7" w:rsidRPr="000A0A5F" w:rsidRDefault="00CB0DD7">
            <w:pPr>
              <w:pStyle w:val="TAL"/>
            </w:pPr>
            <w:r w:rsidRPr="000A0A5F">
              <w:t>Redirection handling is described in clause 5.2.10.</w:t>
            </w:r>
          </w:p>
        </w:tc>
      </w:tr>
      <w:tr w:rsidR="00CB0DD7" w:rsidRPr="000A0A5F" w:rsidTr="00FF0AF8">
        <w:tc>
          <w:tcPr>
            <w:tcW w:w="5000" w:type="pct"/>
            <w:gridSpan w:val="5"/>
            <w:shd w:val="clear" w:color="auto" w:fill="auto"/>
            <w:vAlign w:val="center"/>
          </w:tcPr>
          <w:p w:rsidR="00CB0DD7" w:rsidRPr="000A0A5F" w:rsidRDefault="00CB0DD7">
            <w:pPr>
              <w:pStyle w:val="TAN"/>
            </w:pPr>
            <w:r w:rsidRPr="000A0A5F">
              <w:t>NOTE:</w:t>
            </w:r>
            <w:r w:rsidRPr="000A0A5F">
              <w:tab/>
              <w:t>The mandatory HTTP error status codes for the PUT method listed in table 5.2.6-1 also apply.</w:t>
            </w:r>
          </w:p>
        </w:tc>
      </w:tr>
    </w:tbl>
    <w:p w:rsidR="00CB0DD7" w:rsidRPr="000A0A5F" w:rsidRDefault="00CB0DD7"/>
    <w:p w:rsidR="00CB0DD7" w:rsidRPr="000A0A5F" w:rsidRDefault="00CB0DD7">
      <w:pPr>
        <w:pStyle w:val="TH"/>
      </w:pPr>
      <w:r w:rsidRPr="000A0A5F">
        <w:t>Table 5.9.3.3.3.2-3: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CB0DD7">
      <w:pPr>
        <w:pStyle w:val="TH"/>
      </w:pPr>
      <w:r w:rsidRPr="000A0A5F">
        <w:t>Table 5.9.3.3.3.2-4: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CB0DD7">
      <w:pPr>
        <w:pStyle w:val="Heading6"/>
        <w:spacing w:before="240"/>
      </w:pPr>
      <w:bookmarkStart w:id="6945" w:name="_Toc11247704"/>
      <w:bookmarkStart w:id="6946" w:name="_Toc27044843"/>
      <w:bookmarkStart w:id="6947" w:name="_Toc36033885"/>
      <w:bookmarkStart w:id="6948" w:name="_Toc45132031"/>
      <w:bookmarkStart w:id="6949" w:name="_Toc49776316"/>
      <w:bookmarkStart w:id="6950" w:name="_Toc51747236"/>
      <w:bookmarkStart w:id="6951" w:name="_Toc66360806"/>
      <w:bookmarkStart w:id="6952" w:name="_Toc68105311"/>
      <w:bookmarkStart w:id="6953" w:name="_Toc74755941"/>
      <w:bookmarkStart w:id="6954" w:name="_Toc105674817"/>
      <w:bookmarkStart w:id="6955" w:name="_Toc130502877"/>
      <w:bookmarkStart w:id="6956" w:name="_Toc153625664"/>
      <w:r w:rsidRPr="000A0A5F">
        <w:t>5.9.3.3.3.3</w:t>
      </w:r>
      <w:r w:rsidRPr="000A0A5F">
        <w:tab/>
        <w:t>PATCH</w:t>
      </w:r>
      <w:bookmarkEnd w:id="6945"/>
      <w:bookmarkEnd w:id="6946"/>
      <w:bookmarkEnd w:id="6947"/>
      <w:bookmarkEnd w:id="6948"/>
      <w:bookmarkEnd w:id="6949"/>
      <w:bookmarkEnd w:id="6950"/>
      <w:bookmarkEnd w:id="6951"/>
      <w:bookmarkEnd w:id="6952"/>
      <w:bookmarkEnd w:id="6953"/>
      <w:bookmarkEnd w:id="6954"/>
      <w:bookmarkEnd w:id="6955"/>
      <w:bookmarkEnd w:id="6956"/>
    </w:p>
    <w:p w:rsidR="00517DF6" w:rsidRPr="000A0A5F" w:rsidRDefault="00517DF6" w:rsidP="00517DF6">
      <w:pPr>
        <w:rPr>
          <w:lang w:eastAsia="zh-CN"/>
        </w:rPr>
      </w:pPr>
      <w:bookmarkStart w:id="6957" w:name="_Toc11247705"/>
      <w:bookmarkStart w:id="6958" w:name="_Toc27044844"/>
      <w:bookmarkStart w:id="6959" w:name="_Toc36033886"/>
      <w:bookmarkStart w:id="6960" w:name="_Toc45132032"/>
      <w:bookmarkStart w:id="6961" w:name="_Toc49776317"/>
      <w:bookmarkStart w:id="6962" w:name="_Toc51747237"/>
      <w:bookmarkStart w:id="6963" w:name="_Toc66360807"/>
      <w:bookmarkStart w:id="6964" w:name="_Toc68105312"/>
      <w:bookmarkStart w:id="6965" w:name="_Toc74755942"/>
      <w:r w:rsidRPr="000A0A5F">
        <w:rPr>
          <w:noProof/>
          <w:lang w:eastAsia="zh-CN"/>
        </w:rPr>
        <w:t>The PATCH method modifies an existing subscription resource to modify a subscription. The SCS/AS shall initiate the HTTP PATCH request message and the SCEF shall respond to the message.</w:t>
      </w:r>
    </w:p>
    <w:p w:rsidR="00517DF6" w:rsidRPr="000A0A5F" w:rsidRDefault="00517DF6" w:rsidP="00517DF6">
      <w:r w:rsidRPr="000A0A5F">
        <w:t>This method shall support the URI query parameters, request and response data structures and response codes specified in the table 5.9.3.3.3.3-1 and table 5.9.3.3.3.3-2.</w:t>
      </w:r>
    </w:p>
    <w:p w:rsidR="00517DF6" w:rsidRPr="000A0A5F" w:rsidRDefault="00517DF6" w:rsidP="00517DF6">
      <w:pPr>
        <w:pStyle w:val="TH"/>
        <w:rPr>
          <w:rFonts w:cs="Arial"/>
        </w:rPr>
      </w:pPr>
      <w:r w:rsidRPr="000A0A5F">
        <w:t xml:space="preserve">Table 5.9.3.3.3.3-1: URI query parameters supported by the PATCH method on this resource </w:t>
      </w:r>
    </w:p>
    <w:tbl>
      <w:tblPr>
        <w:tblW w:w="4999"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612"/>
        <w:gridCol w:w="1709"/>
        <w:gridCol w:w="1140"/>
        <w:gridCol w:w="5314"/>
      </w:tblGrid>
      <w:tr w:rsidR="00517DF6" w:rsidRPr="000A0A5F" w:rsidTr="00FF0AF8">
        <w:trPr>
          <w:jc w:val="center"/>
        </w:trPr>
        <w:tc>
          <w:tcPr>
            <w:tcW w:w="825" w:type="pct"/>
            <w:shd w:val="clear" w:color="000000" w:fill="C0C0C0"/>
          </w:tcPr>
          <w:p w:rsidR="00517DF6" w:rsidRPr="000A0A5F" w:rsidRDefault="00517DF6" w:rsidP="00517DF6">
            <w:pPr>
              <w:pStyle w:val="TAH"/>
            </w:pPr>
            <w:r w:rsidRPr="000A0A5F">
              <w:t>Name</w:t>
            </w:r>
          </w:p>
        </w:tc>
        <w:tc>
          <w:tcPr>
            <w:tcW w:w="874" w:type="pct"/>
            <w:shd w:val="clear" w:color="000000" w:fill="C0C0C0"/>
          </w:tcPr>
          <w:p w:rsidR="00517DF6" w:rsidRPr="000A0A5F" w:rsidRDefault="00517DF6" w:rsidP="00517DF6">
            <w:pPr>
              <w:pStyle w:val="TAH"/>
            </w:pPr>
            <w:r w:rsidRPr="000A0A5F">
              <w:t>Data type</w:t>
            </w:r>
          </w:p>
        </w:tc>
        <w:tc>
          <w:tcPr>
            <w:tcW w:w="583" w:type="pct"/>
            <w:shd w:val="clear" w:color="000000" w:fill="C0C0C0"/>
          </w:tcPr>
          <w:p w:rsidR="00517DF6" w:rsidRPr="000A0A5F" w:rsidRDefault="00517DF6" w:rsidP="00517DF6">
            <w:pPr>
              <w:pStyle w:val="TAH"/>
            </w:pPr>
            <w:r w:rsidRPr="000A0A5F">
              <w:t>Cardinality</w:t>
            </w:r>
          </w:p>
        </w:tc>
        <w:tc>
          <w:tcPr>
            <w:tcW w:w="2718" w:type="pct"/>
            <w:shd w:val="clear" w:color="000000" w:fill="C0C0C0"/>
            <w:vAlign w:val="center"/>
          </w:tcPr>
          <w:p w:rsidR="00517DF6" w:rsidRPr="000A0A5F" w:rsidRDefault="00517DF6" w:rsidP="00517DF6">
            <w:pPr>
              <w:pStyle w:val="TAH"/>
            </w:pPr>
            <w:r w:rsidRPr="000A0A5F">
              <w:t>Remarks</w:t>
            </w:r>
          </w:p>
        </w:tc>
      </w:tr>
      <w:tr w:rsidR="00517DF6" w:rsidRPr="000A0A5F" w:rsidTr="00FF0AF8">
        <w:trPr>
          <w:jc w:val="center"/>
        </w:trPr>
        <w:tc>
          <w:tcPr>
            <w:tcW w:w="825" w:type="pct"/>
            <w:shd w:val="clear" w:color="auto" w:fill="auto"/>
          </w:tcPr>
          <w:p w:rsidR="00517DF6" w:rsidRPr="000A0A5F" w:rsidRDefault="00517DF6" w:rsidP="00517DF6">
            <w:pPr>
              <w:pStyle w:val="TAL"/>
            </w:pPr>
            <w:r w:rsidRPr="000A0A5F">
              <w:t>n/a</w:t>
            </w:r>
          </w:p>
        </w:tc>
        <w:tc>
          <w:tcPr>
            <w:tcW w:w="874" w:type="pct"/>
          </w:tcPr>
          <w:p w:rsidR="00517DF6" w:rsidRPr="000A0A5F" w:rsidRDefault="00517DF6" w:rsidP="00517DF6">
            <w:pPr>
              <w:pStyle w:val="TAL"/>
            </w:pPr>
          </w:p>
        </w:tc>
        <w:tc>
          <w:tcPr>
            <w:tcW w:w="583" w:type="pct"/>
          </w:tcPr>
          <w:p w:rsidR="00517DF6" w:rsidRPr="000A0A5F" w:rsidRDefault="00517DF6" w:rsidP="00517DF6">
            <w:pPr>
              <w:pStyle w:val="TAL"/>
            </w:pPr>
          </w:p>
        </w:tc>
        <w:tc>
          <w:tcPr>
            <w:tcW w:w="2718" w:type="pct"/>
            <w:shd w:val="clear" w:color="auto" w:fill="auto"/>
            <w:vAlign w:val="center"/>
          </w:tcPr>
          <w:p w:rsidR="00517DF6" w:rsidRPr="000A0A5F" w:rsidRDefault="00517DF6" w:rsidP="00517DF6">
            <w:pPr>
              <w:pStyle w:val="TAL"/>
            </w:pPr>
          </w:p>
        </w:tc>
      </w:tr>
    </w:tbl>
    <w:p w:rsidR="00517DF6" w:rsidRPr="000A0A5F" w:rsidRDefault="00517DF6" w:rsidP="00517DF6"/>
    <w:p w:rsidR="00517DF6" w:rsidRPr="000A0A5F" w:rsidRDefault="00517DF6" w:rsidP="00517DF6">
      <w:pPr>
        <w:pStyle w:val="TH"/>
      </w:pPr>
      <w:r w:rsidRPr="000A0A5F">
        <w:t>Table 5.</w:t>
      </w:r>
      <w:r w:rsidRPr="000A0A5F">
        <w:rPr>
          <w:lang w:eastAsia="zh-CN"/>
        </w:rPr>
        <w:t>9</w:t>
      </w:r>
      <w:r w:rsidRPr="000A0A5F">
        <w:t>.</w:t>
      </w:r>
      <w:r w:rsidRPr="000A0A5F">
        <w:rPr>
          <w:rFonts w:hint="eastAsia"/>
          <w:lang w:eastAsia="zh-CN"/>
        </w:rPr>
        <w:t>3</w:t>
      </w:r>
      <w:r w:rsidRPr="000A0A5F">
        <w:t>.</w:t>
      </w:r>
      <w:r w:rsidRPr="000A0A5F">
        <w:rPr>
          <w:lang w:eastAsia="zh-CN"/>
        </w:rPr>
        <w:t>3</w:t>
      </w:r>
      <w:r w:rsidRPr="000A0A5F">
        <w:t>.3.3-</w:t>
      </w:r>
      <w:r w:rsidRPr="000A0A5F">
        <w:rPr>
          <w:rFonts w:hint="eastAsia"/>
          <w:lang w:eastAsia="zh-CN"/>
        </w:rPr>
        <w:t>2</w:t>
      </w:r>
      <w:r w:rsidRPr="000A0A5F">
        <w:t xml:space="preserve">: Data structures supported by the </w:t>
      </w:r>
      <w:r w:rsidRPr="000A0A5F">
        <w:rPr>
          <w:lang w:eastAsia="zh-CN"/>
        </w:rPr>
        <w:t>PATCH</w:t>
      </w:r>
      <w:r w:rsidRPr="000A0A5F">
        <w:t xml:space="preserve"> request/response by the resource</w:t>
      </w:r>
    </w:p>
    <w:tbl>
      <w:tblPr>
        <w:tblW w:w="4999" w:type="pct"/>
        <w:tblInd w:w="1" w:type="dxa"/>
        <w:tblBorders>
          <w:top w:val="single" w:sz="6" w:space="0" w:color="000000"/>
          <w:left w:val="single" w:sz="6" w:space="0" w:color="000000"/>
          <w:bottom w:val="single" w:sz="6" w:space="0" w:color="000000"/>
          <w:right w:val="single" w:sz="6" w:space="0" w:color="000000"/>
          <w:insideH w:val="single" w:sz="6" w:space="0" w:color="auto"/>
          <w:insideV w:val="single" w:sz="6" w:space="0" w:color="000000"/>
        </w:tblBorders>
        <w:tblLayout w:type="fixed"/>
        <w:tblCellMar>
          <w:top w:w="45" w:type="dxa"/>
          <w:left w:w="45" w:type="dxa"/>
          <w:bottom w:w="45" w:type="dxa"/>
          <w:right w:w="45" w:type="dxa"/>
        </w:tblCellMar>
        <w:tblLook w:val="0000" w:firstRow="0" w:lastRow="0" w:firstColumn="0" w:lastColumn="0" w:noHBand="0" w:noVBand="0"/>
      </w:tblPr>
      <w:tblGrid>
        <w:gridCol w:w="1035"/>
        <w:gridCol w:w="2127"/>
        <w:gridCol w:w="1053"/>
        <w:gridCol w:w="973"/>
        <w:gridCol w:w="4541"/>
      </w:tblGrid>
      <w:tr w:rsidR="00517DF6" w:rsidRPr="000A0A5F" w:rsidTr="00790FC9">
        <w:tc>
          <w:tcPr>
            <w:tcW w:w="532" w:type="pct"/>
            <w:vMerge w:val="restart"/>
            <w:shd w:val="clear" w:color="auto" w:fill="C0C0C0"/>
            <w:vAlign w:val="center"/>
          </w:tcPr>
          <w:p w:rsidR="00517DF6" w:rsidRPr="000A0A5F" w:rsidRDefault="00517DF6" w:rsidP="00517DF6">
            <w:pPr>
              <w:pStyle w:val="TAH"/>
            </w:pPr>
            <w:r w:rsidRPr="000A0A5F">
              <w:t>Request body</w:t>
            </w:r>
          </w:p>
        </w:tc>
        <w:tc>
          <w:tcPr>
            <w:tcW w:w="1093" w:type="pct"/>
            <w:shd w:val="clear" w:color="auto" w:fill="C0C0C0"/>
          </w:tcPr>
          <w:p w:rsidR="00517DF6" w:rsidRPr="000A0A5F" w:rsidRDefault="00517DF6" w:rsidP="00517DF6">
            <w:pPr>
              <w:pStyle w:val="TAH"/>
            </w:pPr>
            <w:r w:rsidRPr="000A0A5F">
              <w:t>Data type</w:t>
            </w:r>
          </w:p>
        </w:tc>
        <w:tc>
          <w:tcPr>
            <w:tcW w:w="541" w:type="pct"/>
            <w:shd w:val="clear" w:color="auto" w:fill="C0C0C0"/>
          </w:tcPr>
          <w:p w:rsidR="00517DF6" w:rsidRPr="000A0A5F" w:rsidRDefault="00517DF6" w:rsidP="00517DF6">
            <w:pPr>
              <w:pStyle w:val="TAH"/>
            </w:pPr>
            <w:r w:rsidRPr="000A0A5F">
              <w:t>Cardinality</w:t>
            </w:r>
          </w:p>
        </w:tc>
        <w:tc>
          <w:tcPr>
            <w:tcW w:w="2834" w:type="pct"/>
            <w:gridSpan w:val="2"/>
            <w:shd w:val="clear" w:color="auto" w:fill="C0C0C0"/>
          </w:tcPr>
          <w:p w:rsidR="00517DF6" w:rsidRPr="000A0A5F" w:rsidRDefault="00517DF6" w:rsidP="00517DF6">
            <w:pPr>
              <w:pStyle w:val="TAH"/>
            </w:pPr>
            <w:r w:rsidRPr="000A0A5F">
              <w:t>Remarks</w:t>
            </w:r>
          </w:p>
        </w:tc>
      </w:tr>
      <w:tr w:rsidR="00517DF6" w:rsidRPr="000A0A5F" w:rsidTr="00FF0AF8">
        <w:tc>
          <w:tcPr>
            <w:tcW w:w="532" w:type="pct"/>
            <w:vMerge/>
            <w:shd w:val="clear" w:color="auto" w:fill="BFBFBF"/>
            <w:vAlign w:val="center"/>
          </w:tcPr>
          <w:p w:rsidR="00517DF6" w:rsidRPr="000A0A5F" w:rsidRDefault="00517DF6" w:rsidP="00517DF6">
            <w:pPr>
              <w:pStyle w:val="TAL"/>
              <w:jc w:val="center"/>
            </w:pPr>
          </w:p>
        </w:tc>
        <w:tc>
          <w:tcPr>
            <w:tcW w:w="1093" w:type="pct"/>
            <w:shd w:val="clear" w:color="auto" w:fill="auto"/>
          </w:tcPr>
          <w:p w:rsidR="00517DF6" w:rsidRPr="000A0A5F" w:rsidRDefault="00517DF6" w:rsidP="00517DF6">
            <w:pPr>
              <w:pStyle w:val="TAL"/>
              <w:rPr>
                <w:lang w:eastAsia="zh-CN"/>
              </w:rPr>
            </w:pPr>
            <w:r w:rsidRPr="000A0A5F">
              <w:t>NetStatusRepSubsPatch</w:t>
            </w:r>
          </w:p>
        </w:tc>
        <w:tc>
          <w:tcPr>
            <w:tcW w:w="541" w:type="pct"/>
          </w:tcPr>
          <w:p w:rsidR="00517DF6" w:rsidRPr="000A0A5F" w:rsidRDefault="00517DF6" w:rsidP="00517DF6">
            <w:pPr>
              <w:pStyle w:val="TAL"/>
            </w:pPr>
            <w:r w:rsidRPr="000A0A5F">
              <w:t>1</w:t>
            </w:r>
          </w:p>
        </w:tc>
        <w:tc>
          <w:tcPr>
            <w:tcW w:w="2834" w:type="pct"/>
            <w:gridSpan w:val="2"/>
          </w:tcPr>
          <w:p w:rsidR="00517DF6" w:rsidRPr="000A0A5F" w:rsidRDefault="00517DF6" w:rsidP="00517DF6">
            <w:pPr>
              <w:pStyle w:val="TAL"/>
              <w:rPr>
                <w:lang w:eastAsia="zh-CN"/>
              </w:rPr>
            </w:pPr>
            <w:r w:rsidRPr="000A0A5F">
              <w:rPr>
                <w:lang w:eastAsia="zh-CN"/>
              </w:rPr>
              <w:t>Contains t</w:t>
            </w:r>
            <w:r w:rsidRPr="000A0A5F">
              <w:rPr>
                <w:rFonts w:hint="eastAsia"/>
                <w:lang w:eastAsia="zh-CN"/>
              </w:rPr>
              <w:t xml:space="preserve">he parameters </w:t>
            </w:r>
            <w:r w:rsidRPr="000A0A5F">
              <w:rPr>
                <w:lang w:eastAsia="zh-CN"/>
              </w:rPr>
              <w:t xml:space="preserve">to modify an existing </w:t>
            </w:r>
            <w:r w:rsidRPr="000A0A5F">
              <w:t>Individual Network Status Reporting Subscription</w:t>
            </w:r>
            <w:r w:rsidRPr="000A0A5F">
              <w:rPr>
                <w:lang w:eastAsia="zh-CN"/>
              </w:rPr>
              <w:t xml:space="preserve"> resource</w:t>
            </w:r>
            <w:r w:rsidRPr="000A0A5F">
              <w:rPr>
                <w:rFonts w:hint="eastAsia"/>
                <w:lang w:eastAsia="zh-CN"/>
              </w:rPr>
              <w:t>.</w:t>
            </w:r>
          </w:p>
        </w:tc>
      </w:tr>
      <w:tr w:rsidR="00517DF6" w:rsidRPr="000A0A5F" w:rsidTr="00790FC9">
        <w:tc>
          <w:tcPr>
            <w:tcW w:w="532" w:type="pct"/>
            <w:vMerge w:val="restart"/>
            <w:shd w:val="clear" w:color="auto" w:fill="C0C0C0"/>
            <w:vAlign w:val="center"/>
          </w:tcPr>
          <w:p w:rsidR="00517DF6" w:rsidRPr="000A0A5F" w:rsidRDefault="00517DF6" w:rsidP="00517DF6">
            <w:pPr>
              <w:pStyle w:val="TAH"/>
            </w:pPr>
            <w:r w:rsidRPr="000A0A5F">
              <w:t>Response body</w:t>
            </w:r>
          </w:p>
        </w:tc>
        <w:tc>
          <w:tcPr>
            <w:tcW w:w="1093" w:type="pct"/>
            <w:shd w:val="clear" w:color="auto" w:fill="C0C0C0"/>
          </w:tcPr>
          <w:p w:rsidR="00517DF6" w:rsidRPr="000A0A5F" w:rsidRDefault="00517DF6" w:rsidP="00517DF6">
            <w:pPr>
              <w:pStyle w:val="TAH"/>
            </w:pPr>
            <w:r w:rsidRPr="000A0A5F">
              <w:t>Data type</w:t>
            </w:r>
          </w:p>
        </w:tc>
        <w:tc>
          <w:tcPr>
            <w:tcW w:w="541" w:type="pct"/>
            <w:shd w:val="clear" w:color="auto" w:fill="C0C0C0"/>
          </w:tcPr>
          <w:p w:rsidR="00517DF6" w:rsidRPr="000A0A5F" w:rsidRDefault="00517DF6" w:rsidP="00517DF6">
            <w:pPr>
              <w:pStyle w:val="TAH"/>
            </w:pPr>
            <w:r w:rsidRPr="000A0A5F">
              <w:t>Cardinality</w:t>
            </w:r>
          </w:p>
        </w:tc>
        <w:tc>
          <w:tcPr>
            <w:tcW w:w="500" w:type="pct"/>
            <w:shd w:val="clear" w:color="auto" w:fill="C0C0C0"/>
          </w:tcPr>
          <w:p w:rsidR="00517DF6" w:rsidRPr="000A0A5F" w:rsidRDefault="00517DF6" w:rsidP="00517DF6">
            <w:pPr>
              <w:pStyle w:val="TAH"/>
            </w:pPr>
            <w:r w:rsidRPr="000A0A5F">
              <w:t>Response</w:t>
            </w:r>
          </w:p>
          <w:p w:rsidR="00517DF6" w:rsidRPr="000A0A5F" w:rsidRDefault="00517DF6" w:rsidP="00517DF6">
            <w:pPr>
              <w:pStyle w:val="TAH"/>
            </w:pPr>
            <w:r w:rsidRPr="000A0A5F">
              <w:t>codes</w:t>
            </w:r>
          </w:p>
        </w:tc>
        <w:tc>
          <w:tcPr>
            <w:tcW w:w="2334" w:type="pct"/>
            <w:shd w:val="clear" w:color="auto" w:fill="C0C0C0"/>
          </w:tcPr>
          <w:p w:rsidR="00517DF6" w:rsidRPr="000A0A5F" w:rsidRDefault="00517DF6" w:rsidP="00517DF6">
            <w:pPr>
              <w:pStyle w:val="TAH"/>
            </w:pPr>
            <w:r w:rsidRPr="000A0A5F">
              <w:t>Remarks</w:t>
            </w:r>
          </w:p>
        </w:tc>
      </w:tr>
      <w:tr w:rsidR="00517DF6" w:rsidRPr="000A0A5F" w:rsidTr="00FF0AF8">
        <w:tc>
          <w:tcPr>
            <w:tcW w:w="532" w:type="pct"/>
            <w:vMerge/>
            <w:shd w:val="clear" w:color="auto" w:fill="BFBFBF"/>
            <w:vAlign w:val="center"/>
          </w:tcPr>
          <w:p w:rsidR="00517DF6" w:rsidRPr="000A0A5F" w:rsidRDefault="00517DF6" w:rsidP="00517DF6">
            <w:pPr>
              <w:pStyle w:val="TAL"/>
              <w:jc w:val="center"/>
            </w:pPr>
          </w:p>
        </w:tc>
        <w:tc>
          <w:tcPr>
            <w:tcW w:w="1093" w:type="pct"/>
            <w:shd w:val="clear" w:color="auto" w:fill="auto"/>
          </w:tcPr>
          <w:p w:rsidR="00517DF6" w:rsidRPr="000A0A5F" w:rsidRDefault="00517DF6" w:rsidP="00517DF6">
            <w:pPr>
              <w:pStyle w:val="TAL"/>
              <w:rPr>
                <w:lang w:eastAsia="zh-CN"/>
              </w:rPr>
            </w:pPr>
            <w:r w:rsidRPr="000A0A5F">
              <w:t>NetworkStatusReportingSubscription</w:t>
            </w:r>
          </w:p>
        </w:tc>
        <w:tc>
          <w:tcPr>
            <w:tcW w:w="541" w:type="pct"/>
          </w:tcPr>
          <w:p w:rsidR="00517DF6" w:rsidRPr="000A0A5F" w:rsidRDefault="00517DF6" w:rsidP="00517DF6">
            <w:pPr>
              <w:pStyle w:val="TAL"/>
              <w:rPr>
                <w:lang w:eastAsia="zh-CN"/>
              </w:rPr>
            </w:pPr>
            <w:r w:rsidRPr="000A0A5F">
              <w:rPr>
                <w:rFonts w:hint="eastAsia"/>
                <w:lang w:eastAsia="zh-CN"/>
              </w:rPr>
              <w:t>1</w:t>
            </w:r>
          </w:p>
        </w:tc>
        <w:tc>
          <w:tcPr>
            <w:tcW w:w="500" w:type="pct"/>
          </w:tcPr>
          <w:p w:rsidR="00517DF6" w:rsidRPr="000A0A5F" w:rsidRDefault="00517DF6" w:rsidP="00517DF6">
            <w:pPr>
              <w:pStyle w:val="TAL"/>
              <w:rPr>
                <w:lang w:eastAsia="zh-CN"/>
              </w:rPr>
            </w:pPr>
            <w:r w:rsidRPr="000A0A5F">
              <w:rPr>
                <w:rFonts w:hint="eastAsia"/>
                <w:lang w:eastAsia="zh-CN"/>
              </w:rPr>
              <w:t>20</w:t>
            </w:r>
            <w:r w:rsidRPr="000A0A5F">
              <w:rPr>
                <w:lang w:eastAsia="zh-CN"/>
              </w:rPr>
              <w:t>0</w:t>
            </w:r>
            <w:r w:rsidRPr="000A0A5F">
              <w:rPr>
                <w:rFonts w:hint="eastAsia"/>
                <w:lang w:eastAsia="zh-CN"/>
              </w:rPr>
              <w:t xml:space="preserve"> </w:t>
            </w:r>
            <w:r w:rsidRPr="000A0A5F">
              <w:rPr>
                <w:lang w:eastAsia="zh-CN"/>
              </w:rPr>
              <w:t>OK</w:t>
            </w:r>
          </w:p>
        </w:tc>
        <w:tc>
          <w:tcPr>
            <w:tcW w:w="2334" w:type="pct"/>
          </w:tcPr>
          <w:p w:rsidR="00517DF6" w:rsidRPr="000A0A5F" w:rsidRDefault="00517DF6" w:rsidP="00517DF6">
            <w:pPr>
              <w:pStyle w:val="TAL"/>
              <w:rPr>
                <w:lang w:eastAsia="zh-CN"/>
              </w:rPr>
            </w:pPr>
            <w:r w:rsidRPr="000A0A5F">
              <w:rPr>
                <w:rFonts w:hint="eastAsia"/>
                <w:lang w:eastAsia="zh-CN"/>
              </w:rPr>
              <w:t xml:space="preserve">The </w:t>
            </w:r>
            <w:r w:rsidRPr="000A0A5F">
              <w:rPr>
                <w:lang w:eastAsia="zh-CN"/>
              </w:rPr>
              <w:t xml:space="preserve">modification of the </w:t>
            </w:r>
            <w:r w:rsidRPr="000A0A5F">
              <w:t>Individual Network Status Reporting Subscription</w:t>
            </w:r>
            <w:r w:rsidRPr="000A0A5F">
              <w:rPr>
                <w:rFonts w:hint="eastAsia"/>
                <w:lang w:eastAsia="zh-CN"/>
              </w:rPr>
              <w:t xml:space="preserve"> </w:t>
            </w:r>
            <w:r w:rsidRPr="000A0A5F">
              <w:rPr>
                <w:lang w:eastAsia="zh-CN"/>
              </w:rPr>
              <w:t>resource was</w:t>
            </w:r>
            <w:r w:rsidRPr="000A0A5F">
              <w:rPr>
                <w:rFonts w:hint="eastAsia"/>
                <w:lang w:eastAsia="zh-CN"/>
              </w:rPr>
              <w:t xml:space="preserve"> </w:t>
            </w:r>
            <w:r w:rsidRPr="000A0A5F">
              <w:rPr>
                <w:lang w:eastAsia="zh-CN"/>
              </w:rPr>
              <w:t>successfull</w:t>
            </w:r>
            <w:r w:rsidRPr="000A0A5F">
              <w:rPr>
                <w:rFonts w:hint="eastAsia"/>
                <w:lang w:eastAsia="zh-CN"/>
              </w:rPr>
              <w:t>.</w:t>
            </w:r>
          </w:p>
          <w:p w:rsidR="00517DF6" w:rsidRPr="000A0A5F" w:rsidRDefault="00517DF6" w:rsidP="00517DF6">
            <w:pPr>
              <w:pStyle w:val="TAL"/>
              <w:rPr>
                <w:lang w:eastAsia="zh-CN"/>
              </w:rPr>
            </w:pPr>
          </w:p>
          <w:p w:rsidR="00517DF6" w:rsidRPr="000A0A5F" w:rsidRDefault="00517DF6" w:rsidP="00517DF6">
            <w:pPr>
              <w:pStyle w:val="TAL"/>
              <w:rPr>
                <w:lang w:eastAsia="zh-CN"/>
              </w:rPr>
            </w:pPr>
            <w:r w:rsidRPr="000A0A5F">
              <w:t xml:space="preserve">The SCEF </w:t>
            </w:r>
            <w:r w:rsidRPr="000A0A5F">
              <w:rPr>
                <w:rFonts w:hint="eastAsia"/>
                <w:lang w:eastAsia="zh-CN"/>
              </w:rPr>
              <w:t>shall</w:t>
            </w:r>
            <w:r w:rsidRPr="000A0A5F">
              <w:t xml:space="preserve"> return an updated representation of the resource within the NetworkStatusReportingSubscription data structure in the response message body.</w:t>
            </w:r>
          </w:p>
        </w:tc>
      </w:tr>
      <w:tr w:rsidR="00517DF6" w:rsidRPr="000A0A5F" w:rsidTr="00FF0AF8">
        <w:tc>
          <w:tcPr>
            <w:tcW w:w="532" w:type="pct"/>
            <w:vMerge/>
            <w:shd w:val="clear" w:color="auto" w:fill="BFBFBF"/>
            <w:vAlign w:val="center"/>
          </w:tcPr>
          <w:p w:rsidR="00517DF6" w:rsidRPr="000A0A5F" w:rsidRDefault="00517DF6" w:rsidP="00517DF6">
            <w:pPr>
              <w:pStyle w:val="TAL"/>
              <w:jc w:val="center"/>
            </w:pPr>
          </w:p>
        </w:tc>
        <w:tc>
          <w:tcPr>
            <w:tcW w:w="1093" w:type="pct"/>
            <w:shd w:val="clear" w:color="auto" w:fill="auto"/>
          </w:tcPr>
          <w:p w:rsidR="00517DF6" w:rsidRPr="000A0A5F" w:rsidRDefault="00517DF6" w:rsidP="00517DF6">
            <w:pPr>
              <w:pStyle w:val="TAL"/>
            </w:pPr>
            <w:r w:rsidRPr="000A0A5F">
              <w:rPr>
                <w:lang w:eastAsia="zh-CN"/>
              </w:rPr>
              <w:t>n/a</w:t>
            </w:r>
          </w:p>
        </w:tc>
        <w:tc>
          <w:tcPr>
            <w:tcW w:w="541" w:type="pct"/>
          </w:tcPr>
          <w:p w:rsidR="00517DF6" w:rsidRPr="000A0A5F" w:rsidRDefault="00517DF6" w:rsidP="00517DF6">
            <w:pPr>
              <w:pStyle w:val="TAL"/>
              <w:rPr>
                <w:lang w:eastAsia="zh-CN"/>
              </w:rPr>
            </w:pPr>
          </w:p>
        </w:tc>
        <w:tc>
          <w:tcPr>
            <w:tcW w:w="500" w:type="pct"/>
          </w:tcPr>
          <w:p w:rsidR="00517DF6" w:rsidRPr="000A0A5F" w:rsidRDefault="00517DF6" w:rsidP="00517DF6">
            <w:pPr>
              <w:pStyle w:val="TAL"/>
              <w:rPr>
                <w:lang w:eastAsia="zh-CN"/>
              </w:rPr>
            </w:pPr>
            <w:r w:rsidRPr="000A0A5F">
              <w:rPr>
                <w:lang w:eastAsia="zh-CN"/>
              </w:rPr>
              <w:t>204 No Content</w:t>
            </w:r>
          </w:p>
        </w:tc>
        <w:tc>
          <w:tcPr>
            <w:tcW w:w="2334" w:type="pct"/>
          </w:tcPr>
          <w:p w:rsidR="00517DF6" w:rsidRPr="000A0A5F" w:rsidRDefault="00517DF6" w:rsidP="00517DF6">
            <w:pPr>
              <w:pStyle w:val="TAL"/>
              <w:rPr>
                <w:lang w:eastAsia="zh-CN"/>
              </w:rPr>
            </w:pPr>
            <w:r w:rsidRPr="000A0A5F">
              <w:rPr>
                <w:lang w:eastAsia="zh-CN"/>
              </w:rPr>
              <w:t xml:space="preserve">The modification of the </w:t>
            </w:r>
            <w:r w:rsidRPr="000A0A5F">
              <w:t>Individual Network Status Reporting Subscription</w:t>
            </w:r>
            <w:r w:rsidRPr="000A0A5F">
              <w:rPr>
                <w:rFonts w:hint="eastAsia"/>
                <w:lang w:eastAsia="zh-CN"/>
              </w:rPr>
              <w:t xml:space="preserve"> </w:t>
            </w:r>
            <w:r w:rsidRPr="000A0A5F">
              <w:rPr>
                <w:lang w:eastAsia="zh-CN"/>
              </w:rPr>
              <w:t>resource was successfull</w:t>
            </w:r>
            <w:r w:rsidRPr="000A0A5F">
              <w:t xml:space="preserve"> </w:t>
            </w:r>
            <w:r w:rsidRPr="000A0A5F">
              <w:rPr>
                <w:lang w:eastAsia="zh-CN"/>
              </w:rPr>
              <w:t>and no content is to be sent in the response message body.</w:t>
            </w:r>
          </w:p>
        </w:tc>
      </w:tr>
      <w:tr w:rsidR="00517DF6" w:rsidRPr="000A0A5F" w:rsidTr="00FF0AF8">
        <w:tc>
          <w:tcPr>
            <w:tcW w:w="532" w:type="pct"/>
            <w:vMerge/>
            <w:shd w:val="clear" w:color="auto" w:fill="BFBFBF"/>
            <w:vAlign w:val="center"/>
          </w:tcPr>
          <w:p w:rsidR="00517DF6" w:rsidRPr="000A0A5F" w:rsidRDefault="00517DF6" w:rsidP="00517DF6">
            <w:pPr>
              <w:pStyle w:val="TAL"/>
              <w:jc w:val="center"/>
            </w:pPr>
          </w:p>
        </w:tc>
        <w:tc>
          <w:tcPr>
            <w:tcW w:w="1093" w:type="pct"/>
            <w:shd w:val="clear" w:color="auto" w:fill="auto"/>
          </w:tcPr>
          <w:p w:rsidR="00517DF6" w:rsidRPr="000A0A5F" w:rsidRDefault="00517DF6" w:rsidP="00517DF6">
            <w:pPr>
              <w:pStyle w:val="TAL"/>
            </w:pPr>
            <w:r w:rsidRPr="000A0A5F">
              <w:rPr>
                <w:lang w:eastAsia="zh-CN"/>
              </w:rPr>
              <w:t>n/a</w:t>
            </w:r>
          </w:p>
        </w:tc>
        <w:tc>
          <w:tcPr>
            <w:tcW w:w="541" w:type="pct"/>
          </w:tcPr>
          <w:p w:rsidR="00517DF6" w:rsidRPr="000A0A5F" w:rsidRDefault="00517DF6" w:rsidP="00517DF6">
            <w:pPr>
              <w:pStyle w:val="TAL"/>
              <w:rPr>
                <w:lang w:eastAsia="zh-CN"/>
              </w:rPr>
            </w:pPr>
          </w:p>
        </w:tc>
        <w:tc>
          <w:tcPr>
            <w:tcW w:w="500" w:type="pct"/>
          </w:tcPr>
          <w:p w:rsidR="00517DF6" w:rsidRPr="000A0A5F" w:rsidRDefault="00517DF6" w:rsidP="00517DF6">
            <w:pPr>
              <w:pStyle w:val="TAL"/>
              <w:rPr>
                <w:lang w:eastAsia="zh-CN"/>
              </w:rPr>
            </w:pPr>
            <w:r w:rsidRPr="000A0A5F">
              <w:t>307 Temporary Redirect</w:t>
            </w:r>
          </w:p>
        </w:tc>
        <w:tc>
          <w:tcPr>
            <w:tcW w:w="2334" w:type="pct"/>
          </w:tcPr>
          <w:p w:rsidR="00517DF6" w:rsidRPr="000A0A5F" w:rsidRDefault="00517DF6" w:rsidP="00517DF6">
            <w:pPr>
              <w:pStyle w:val="TAL"/>
            </w:pPr>
            <w:r w:rsidRPr="000A0A5F">
              <w:t>Temporary redirection. The response shall include a Location header field containing an alternative URI of the resource located in an alternative SCEF.</w:t>
            </w:r>
          </w:p>
          <w:p w:rsidR="00517DF6" w:rsidRPr="000A0A5F" w:rsidRDefault="00517DF6" w:rsidP="00517DF6">
            <w:pPr>
              <w:pStyle w:val="TAL"/>
            </w:pPr>
          </w:p>
          <w:p w:rsidR="00517DF6" w:rsidRPr="000A0A5F" w:rsidRDefault="00517DF6" w:rsidP="00517DF6">
            <w:pPr>
              <w:pStyle w:val="TAL"/>
            </w:pPr>
            <w:r w:rsidRPr="000A0A5F">
              <w:t>Redirection handling is described in clause 5.2.10.</w:t>
            </w:r>
          </w:p>
        </w:tc>
      </w:tr>
      <w:tr w:rsidR="00517DF6" w:rsidRPr="000A0A5F" w:rsidTr="00FF0AF8">
        <w:tc>
          <w:tcPr>
            <w:tcW w:w="532" w:type="pct"/>
            <w:vMerge/>
            <w:shd w:val="clear" w:color="auto" w:fill="BFBFBF"/>
            <w:vAlign w:val="center"/>
          </w:tcPr>
          <w:p w:rsidR="00517DF6" w:rsidRPr="000A0A5F" w:rsidRDefault="00517DF6" w:rsidP="00517DF6">
            <w:pPr>
              <w:pStyle w:val="TAL"/>
              <w:jc w:val="center"/>
            </w:pPr>
          </w:p>
        </w:tc>
        <w:tc>
          <w:tcPr>
            <w:tcW w:w="1093" w:type="pct"/>
            <w:shd w:val="clear" w:color="auto" w:fill="auto"/>
          </w:tcPr>
          <w:p w:rsidR="00517DF6" w:rsidRPr="000A0A5F" w:rsidRDefault="00517DF6" w:rsidP="00517DF6">
            <w:pPr>
              <w:pStyle w:val="TAL"/>
            </w:pPr>
            <w:r w:rsidRPr="000A0A5F">
              <w:rPr>
                <w:lang w:eastAsia="zh-CN"/>
              </w:rPr>
              <w:t>n/a</w:t>
            </w:r>
          </w:p>
        </w:tc>
        <w:tc>
          <w:tcPr>
            <w:tcW w:w="541" w:type="pct"/>
          </w:tcPr>
          <w:p w:rsidR="00517DF6" w:rsidRPr="000A0A5F" w:rsidRDefault="00517DF6" w:rsidP="00517DF6">
            <w:pPr>
              <w:pStyle w:val="TAL"/>
              <w:rPr>
                <w:lang w:eastAsia="zh-CN"/>
              </w:rPr>
            </w:pPr>
          </w:p>
        </w:tc>
        <w:tc>
          <w:tcPr>
            <w:tcW w:w="500" w:type="pct"/>
          </w:tcPr>
          <w:p w:rsidR="00517DF6" w:rsidRPr="000A0A5F" w:rsidRDefault="00517DF6" w:rsidP="00517DF6">
            <w:pPr>
              <w:pStyle w:val="TAL"/>
              <w:rPr>
                <w:lang w:eastAsia="zh-CN"/>
              </w:rPr>
            </w:pPr>
            <w:r w:rsidRPr="000A0A5F">
              <w:t>308 Permanent Redirect</w:t>
            </w:r>
          </w:p>
        </w:tc>
        <w:tc>
          <w:tcPr>
            <w:tcW w:w="2334" w:type="pct"/>
          </w:tcPr>
          <w:p w:rsidR="00517DF6" w:rsidRPr="000A0A5F" w:rsidRDefault="00517DF6" w:rsidP="00517DF6">
            <w:pPr>
              <w:pStyle w:val="TAL"/>
            </w:pPr>
            <w:r w:rsidRPr="000A0A5F">
              <w:t>Permanent redirection. The response shall include a Location header field containing an alternative URI of the resource located in an alternative SCEF.</w:t>
            </w:r>
          </w:p>
          <w:p w:rsidR="00517DF6" w:rsidRPr="000A0A5F" w:rsidRDefault="00517DF6" w:rsidP="00517DF6">
            <w:pPr>
              <w:pStyle w:val="TAL"/>
            </w:pPr>
          </w:p>
          <w:p w:rsidR="00517DF6" w:rsidRPr="000A0A5F" w:rsidRDefault="00517DF6" w:rsidP="00517DF6">
            <w:pPr>
              <w:pStyle w:val="TAL"/>
            </w:pPr>
            <w:r w:rsidRPr="000A0A5F">
              <w:t>Redirection handling is described in clause 5.2.10.</w:t>
            </w:r>
          </w:p>
        </w:tc>
      </w:tr>
      <w:tr w:rsidR="00517DF6" w:rsidRPr="000A0A5F" w:rsidTr="00FF0AF8">
        <w:tc>
          <w:tcPr>
            <w:tcW w:w="5000" w:type="pct"/>
            <w:gridSpan w:val="5"/>
            <w:shd w:val="clear" w:color="auto" w:fill="auto"/>
            <w:vAlign w:val="center"/>
          </w:tcPr>
          <w:p w:rsidR="00517DF6" w:rsidRPr="000A0A5F" w:rsidRDefault="00517DF6" w:rsidP="00517DF6">
            <w:pPr>
              <w:pStyle w:val="TAN"/>
            </w:pPr>
            <w:r w:rsidRPr="000A0A5F">
              <w:t>NOTE 1:</w:t>
            </w:r>
            <w:r w:rsidRPr="000A0A5F">
              <w:tab/>
              <w:t>The mandatory HTTP error status codes for the HTTP PATCH method listed in table 5.2.6-1 also apply.</w:t>
            </w:r>
          </w:p>
        </w:tc>
      </w:tr>
    </w:tbl>
    <w:p w:rsidR="00517DF6" w:rsidRPr="000A0A5F" w:rsidRDefault="00517DF6" w:rsidP="00517DF6"/>
    <w:p w:rsidR="00517DF6" w:rsidRPr="000A0A5F" w:rsidRDefault="00517DF6" w:rsidP="00517DF6">
      <w:pPr>
        <w:pStyle w:val="TH"/>
      </w:pPr>
      <w:r w:rsidRPr="000A0A5F">
        <w:t>Table 5.</w:t>
      </w:r>
      <w:r w:rsidRPr="000A0A5F">
        <w:rPr>
          <w:lang w:eastAsia="zh-CN"/>
        </w:rPr>
        <w:t>9</w:t>
      </w:r>
      <w:r w:rsidRPr="000A0A5F">
        <w:t>.</w:t>
      </w:r>
      <w:r w:rsidRPr="000A0A5F">
        <w:rPr>
          <w:rFonts w:hint="eastAsia"/>
          <w:lang w:eastAsia="zh-CN"/>
        </w:rPr>
        <w:t>3</w:t>
      </w:r>
      <w:r w:rsidRPr="000A0A5F">
        <w:t>.</w:t>
      </w:r>
      <w:r w:rsidRPr="000A0A5F">
        <w:rPr>
          <w:lang w:eastAsia="zh-CN"/>
        </w:rPr>
        <w:t>3</w:t>
      </w:r>
      <w:r w:rsidRPr="000A0A5F">
        <w:t>.3.3-3: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517DF6" w:rsidRPr="000A0A5F" w:rsidTr="00FF0AF8">
        <w:trPr>
          <w:jc w:val="center"/>
        </w:trPr>
        <w:tc>
          <w:tcPr>
            <w:tcW w:w="825" w:type="pct"/>
            <w:shd w:val="clear" w:color="auto" w:fill="C0C0C0"/>
          </w:tcPr>
          <w:p w:rsidR="00517DF6" w:rsidRPr="000A0A5F" w:rsidRDefault="00517DF6" w:rsidP="00517DF6">
            <w:pPr>
              <w:pStyle w:val="TAH"/>
            </w:pPr>
            <w:r w:rsidRPr="000A0A5F">
              <w:t>Name</w:t>
            </w:r>
          </w:p>
        </w:tc>
        <w:tc>
          <w:tcPr>
            <w:tcW w:w="732" w:type="pct"/>
            <w:shd w:val="clear" w:color="auto" w:fill="C0C0C0"/>
          </w:tcPr>
          <w:p w:rsidR="00517DF6" w:rsidRPr="000A0A5F" w:rsidRDefault="00517DF6" w:rsidP="00517DF6">
            <w:pPr>
              <w:pStyle w:val="TAH"/>
            </w:pPr>
            <w:r w:rsidRPr="000A0A5F">
              <w:t>Data type</w:t>
            </w:r>
          </w:p>
        </w:tc>
        <w:tc>
          <w:tcPr>
            <w:tcW w:w="217" w:type="pct"/>
            <w:shd w:val="clear" w:color="auto" w:fill="C0C0C0"/>
          </w:tcPr>
          <w:p w:rsidR="00517DF6" w:rsidRPr="000A0A5F" w:rsidRDefault="00517DF6" w:rsidP="00517DF6">
            <w:pPr>
              <w:pStyle w:val="TAH"/>
            </w:pPr>
            <w:r w:rsidRPr="000A0A5F">
              <w:t>P</w:t>
            </w:r>
          </w:p>
        </w:tc>
        <w:tc>
          <w:tcPr>
            <w:tcW w:w="581" w:type="pct"/>
            <w:shd w:val="clear" w:color="auto" w:fill="C0C0C0"/>
          </w:tcPr>
          <w:p w:rsidR="00517DF6" w:rsidRPr="000A0A5F" w:rsidRDefault="00517DF6" w:rsidP="00517DF6">
            <w:pPr>
              <w:pStyle w:val="TAH"/>
            </w:pPr>
            <w:r w:rsidRPr="000A0A5F">
              <w:t>Cardinality</w:t>
            </w:r>
          </w:p>
        </w:tc>
        <w:tc>
          <w:tcPr>
            <w:tcW w:w="2645" w:type="pct"/>
            <w:shd w:val="clear" w:color="auto" w:fill="C0C0C0"/>
            <w:vAlign w:val="center"/>
          </w:tcPr>
          <w:p w:rsidR="00517DF6" w:rsidRPr="000A0A5F" w:rsidRDefault="00517DF6" w:rsidP="00517DF6">
            <w:pPr>
              <w:pStyle w:val="TAH"/>
            </w:pPr>
            <w:r w:rsidRPr="000A0A5F">
              <w:t>Description</w:t>
            </w:r>
          </w:p>
        </w:tc>
      </w:tr>
      <w:tr w:rsidR="00517DF6" w:rsidRPr="000A0A5F" w:rsidTr="00FF0AF8">
        <w:trPr>
          <w:jc w:val="center"/>
        </w:trPr>
        <w:tc>
          <w:tcPr>
            <w:tcW w:w="825" w:type="pct"/>
            <w:shd w:val="clear" w:color="auto" w:fill="auto"/>
          </w:tcPr>
          <w:p w:rsidR="00517DF6" w:rsidRPr="000A0A5F" w:rsidRDefault="00517DF6" w:rsidP="00517DF6">
            <w:pPr>
              <w:pStyle w:val="TAL"/>
            </w:pPr>
            <w:r w:rsidRPr="000A0A5F">
              <w:t>Location</w:t>
            </w:r>
          </w:p>
        </w:tc>
        <w:tc>
          <w:tcPr>
            <w:tcW w:w="732" w:type="pct"/>
          </w:tcPr>
          <w:p w:rsidR="00517DF6" w:rsidRPr="000A0A5F" w:rsidRDefault="00517DF6" w:rsidP="00517DF6">
            <w:pPr>
              <w:pStyle w:val="TAL"/>
            </w:pPr>
            <w:r w:rsidRPr="000A0A5F">
              <w:t>string</w:t>
            </w:r>
          </w:p>
        </w:tc>
        <w:tc>
          <w:tcPr>
            <w:tcW w:w="217" w:type="pct"/>
          </w:tcPr>
          <w:p w:rsidR="00517DF6" w:rsidRPr="000A0A5F" w:rsidRDefault="00517DF6" w:rsidP="00517DF6">
            <w:pPr>
              <w:pStyle w:val="TAC"/>
            </w:pPr>
            <w:r w:rsidRPr="000A0A5F">
              <w:t>M</w:t>
            </w:r>
          </w:p>
        </w:tc>
        <w:tc>
          <w:tcPr>
            <w:tcW w:w="581" w:type="pct"/>
          </w:tcPr>
          <w:p w:rsidR="00517DF6" w:rsidRPr="000A0A5F" w:rsidRDefault="00517DF6" w:rsidP="00517DF6">
            <w:pPr>
              <w:pStyle w:val="TAL"/>
            </w:pPr>
            <w:r w:rsidRPr="000A0A5F">
              <w:t>1</w:t>
            </w:r>
          </w:p>
        </w:tc>
        <w:tc>
          <w:tcPr>
            <w:tcW w:w="2645" w:type="pct"/>
            <w:shd w:val="clear" w:color="auto" w:fill="auto"/>
            <w:vAlign w:val="center"/>
          </w:tcPr>
          <w:p w:rsidR="00517DF6" w:rsidRPr="000A0A5F" w:rsidRDefault="00517DF6" w:rsidP="00517DF6">
            <w:pPr>
              <w:pStyle w:val="TAL"/>
            </w:pPr>
            <w:r w:rsidRPr="000A0A5F">
              <w:t>An alternative URI of the resource located in an alternative SCEF.</w:t>
            </w:r>
          </w:p>
        </w:tc>
      </w:tr>
    </w:tbl>
    <w:p w:rsidR="00517DF6" w:rsidRPr="000A0A5F" w:rsidRDefault="00517DF6" w:rsidP="00517DF6"/>
    <w:p w:rsidR="00517DF6" w:rsidRPr="000A0A5F" w:rsidRDefault="00517DF6" w:rsidP="00517DF6">
      <w:pPr>
        <w:pStyle w:val="TH"/>
      </w:pPr>
      <w:r w:rsidRPr="000A0A5F">
        <w:t>Table 5.</w:t>
      </w:r>
      <w:r w:rsidRPr="000A0A5F">
        <w:rPr>
          <w:lang w:eastAsia="zh-CN"/>
        </w:rPr>
        <w:t>9</w:t>
      </w:r>
      <w:r w:rsidRPr="000A0A5F">
        <w:t>.</w:t>
      </w:r>
      <w:r w:rsidRPr="000A0A5F">
        <w:rPr>
          <w:rFonts w:hint="eastAsia"/>
          <w:lang w:eastAsia="zh-CN"/>
        </w:rPr>
        <w:t>3</w:t>
      </w:r>
      <w:r w:rsidRPr="000A0A5F">
        <w:t>.</w:t>
      </w:r>
      <w:r w:rsidRPr="000A0A5F">
        <w:rPr>
          <w:lang w:eastAsia="zh-CN"/>
        </w:rPr>
        <w:t>3</w:t>
      </w:r>
      <w:r w:rsidRPr="000A0A5F">
        <w:t>.3.3-4: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517DF6" w:rsidRPr="000A0A5F" w:rsidTr="00FF0AF8">
        <w:trPr>
          <w:jc w:val="center"/>
        </w:trPr>
        <w:tc>
          <w:tcPr>
            <w:tcW w:w="825" w:type="pct"/>
            <w:shd w:val="clear" w:color="auto" w:fill="C0C0C0"/>
          </w:tcPr>
          <w:p w:rsidR="00517DF6" w:rsidRPr="000A0A5F" w:rsidRDefault="00517DF6" w:rsidP="00517DF6">
            <w:pPr>
              <w:pStyle w:val="TAH"/>
            </w:pPr>
            <w:r w:rsidRPr="000A0A5F">
              <w:t>Name</w:t>
            </w:r>
          </w:p>
        </w:tc>
        <w:tc>
          <w:tcPr>
            <w:tcW w:w="732" w:type="pct"/>
            <w:shd w:val="clear" w:color="auto" w:fill="C0C0C0"/>
          </w:tcPr>
          <w:p w:rsidR="00517DF6" w:rsidRPr="000A0A5F" w:rsidRDefault="00517DF6" w:rsidP="00517DF6">
            <w:pPr>
              <w:pStyle w:val="TAH"/>
            </w:pPr>
            <w:r w:rsidRPr="000A0A5F">
              <w:t>Data type</w:t>
            </w:r>
          </w:p>
        </w:tc>
        <w:tc>
          <w:tcPr>
            <w:tcW w:w="217" w:type="pct"/>
            <w:shd w:val="clear" w:color="auto" w:fill="C0C0C0"/>
          </w:tcPr>
          <w:p w:rsidR="00517DF6" w:rsidRPr="000A0A5F" w:rsidRDefault="00517DF6" w:rsidP="00517DF6">
            <w:pPr>
              <w:pStyle w:val="TAH"/>
            </w:pPr>
            <w:r w:rsidRPr="000A0A5F">
              <w:t>P</w:t>
            </w:r>
          </w:p>
        </w:tc>
        <w:tc>
          <w:tcPr>
            <w:tcW w:w="581" w:type="pct"/>
            <w:shd w:val="clear" w:color="auto" w:fill="C0C0C0"/>
          </w:tcPr>
          <w:p w:rsidR="00517DF6" w:rsidRPr="000A0A5F" w:rsidRDefault="00517DF6" w:rsidP="00517DF6">
            <w:pPr>
              <w:pStyle w:val="TAH"/>
            </w:pPr>
            <w:r w:rsidRPr="000A0A5F">
              <w:t>Cardinality</w:t>
            </w:r>
          </w:p>
        </w:tc>
        <w:tc>
          <w:tcPr>
            <w:tcW w:w="2645" w:type="pct"/>
            <w:shd w:val="clear" w:color="auto" w:fill="C0C0C0"/>
            <w:vAlign w:val="center"/>
          </w:tcPr>
          <w:p w:rsidR="00517DF6" w:rsidRPr="000A0A5F" w:rsidRDefault="00517DF6" w:rsidP="00517DF6">
            <w:pPr>
              <w:pStyle w:val="TAH"/>
            </w:pPr>
            <w:r w:rsidRPr="000A0A5F">
              <w:t>Description</w:t>
            </w:r>
          </w:p>
        </w:tc>
      </w:tr>
      <w:tr w:rsidR="00517DF6" w:rsidRPr="000A0A5F" w:rsidTr="00FF0AF8">
        <w:trPr>
          <w:jc w:val="center"/>
        </w:trPr>
        <w:tc>
          <w:tcPr>
            <w:tcW w:w="825" w:type="pct"/>
            <w:shd w:val="clear" w:color="auto" w:fill="auto"/>
          </w:tcPr>
          <w:p w:rsidR="00517DF6" w:rsidRPr="000A0A5F" w:rsidRDefault="00517DF6" w:rsidP="00517DF6">
            <w:pPr>
              <w:pStyle w:val="TAL"/>
            </w:pPr>
            <w:r w:rsidRPr="000A0A5F">
              <w:t>Location</w:t>
            </w:r>
          </w:p>
        </w:tc>
        <w:tc>
          <w:tcPr>
            <w:tcW w:w="732" w:type="pct"/>
          </w:tcPr>
          <w:p w:rsidR="00517DF6" w:rsidRPr="000A0A5F" w:rsidRDefault="00517DF6" w:rsidP="00517DF6">
            <w:pPr>
              <w:pStyle w:val="TAL"/>
            </w:pPr>
            <w:r w:rsidRPr="000A0A5F">
              <w:t>string</w:t>
            </w:r>
          </w:p>
        </w:tc>
        <w:tc>
          <w:tcPr>
            <w:tcW w:w="217" w:type="pct"/>
          </w:tcPr>
          <w:p w:rsidR="00517DF6" w:rsidRPr="000A0A5F" w:rsidRDefault="00517DF6" w:rsidP="00517DF6">
            <w:pPr>
              <w:pStyle w:val="TAC"/>
            </w:pPr>
            <w:r w:rsidRPr="000A0A5F">
              <w:t>M</w:t>
            </w:r>
          </w:p>
        </w:tc>
        <w:tc>
          <w:tcPr>
            <w:tcW w:w="581" w:type="pct"/>
          </w:tcPr>
          <w:p w:rsidR="00517DF6" w:rsidRPr="000A0A5F" w:rsidRDefault="00517DF6" w:rsidP="00517DF6">
            <w:pPr>
              <w:pStyle w:val="TAL"/>
            </w:pPr>
            <w:r w:rsidRPr="000A0A5F">
              <w:t>1</w:t>
            </w:r>
          </w:p>
        </w:tc>
        <w:tc>
          <w:tcPr>
            <w:tcW w:w="2645" w:type="pct"/>
            <w:shd w:val="clear" w:color="auto" w:fill="auto"/>
            <w:vAlign w:val="center"/>
          </w:tcPr>
          <w:p w:rsidR="00517DF6" w:rsidRPr="000A0A5F" w:rsidRDefault="00517DF6" w:rsidP="00517DF6">
            <w:pPr>
              <w:pStyle w:val="TAL"/>
            </w:pPr>
            <w:r w:rsidRPr="000A0A5F">
              <w:t>An alternative URI of the resource located in an alternative SCEF.</w:t>
            </w:r>
          </w:p>
        </w:tc>
      </w:tr>
    </w:tbl>
    <w:p w:rsidR="00517DF6" w:rsidRPr="000A0A5F" w:rsidRDefault="00517DF6" w:rsidP="00517DF6"/>
    <w:p w:rsidR="00CB0DD7" w:rsidRPr="000A0A5F" w:rsidRDefault="00CB0DD7">
      <w:pPr>
        <w:pStyle w:val="Heading6"/>
      </w:pPr>
      <w:bookmarkStart w:id="6966" w:name="_Toc105674818"/>
      <w:bookmarkStart w:id="6967" w:name="_Toc130502878"/>
      <w:bookmarkStart w:id="6968" w:name="_Toc153625665"/>
      <w:r w:rsidRPr="000A0A5F">
        <w:t>5.9.3.3.3.4</w:t>
      </w:r>
      <w:r w:rsidRPr="000A0A5F">
        <w:tab/>
        <w:t>POST</w:t>
      </w:r>
      <w:bookmarkEnd w:id="6957"/>
      <w:bookmarkEnd w:id="6958"/>
      <w:bookmarkEnd w:id="6959"/>
      <w:bookmarkEnd w:id="6960"/>
      <w:bookmarkEnd w:id="6961"/>
      <w:bookmarkEnd w:id="6962"/>
      <w:bookmarkEnd w:id="6963"/>
      <w:bookmarkEnd w:id="6964"/>
      <w:bookmarkEnd w:id="6965"/>
      <w:bookmarkEnd w:id="6966"/>
      <w:bookmarkEnd w:id="6967"/>
      <w:bookmarkEnd w:id="6968"/>
    </w:p>
    <w:p w:rsidR="00CB0DD7" w:rsidRPr="000A0A5F" w:rsidRDefault="00CB0DD7">
      <w:r w:rsidRPr="000A0A5F">
        <w:rPr>
          <w:rFonts w:hint="eastAsia"/>
          <w:lang w:eastAsia="zh-CN"/>
        </w:rPr>
        <w:t xml:space="preserve">This </w:t>
      </w:r>
      <w:r w:rsidRPr="000A0A5F">
        <w:rPr>
          <w:lang w:eastAsia="zh-CN"/>
        </w:rPr>
        <w:t>HTTP method is not supported for the resource.</w:t>
      </w:r>
    </w:p>
    <w:p w:rsidR="00CB0DD7" w:rsidRPr="000A0A5F" w:rsidRDefault="00CB0DD7">
      <w:pPr>
        <w:pStyle w:val="Heading6"/>
      </w:pPr>
      <w:bookmarkStart w:id="6969" w:name="_Toc11247706"/>
      <w:bookmarkStart w:id="6970" w:name="_Toc27044845"/>
      <w:bookmarkStart w:id="6971" w:name="_Toc36033887"/>
      <w:bookmarkStart w:id="6972" w:name="_Toc45132033"/>
      <w:bookmarkStart w:id="6973" w:name="_Toc49776318"/>
      <w:bookmarkStart w:id="6974" w:name="_Toc51747238"/>
      <w:bookmarkStart w:id="6975" w:name="_Toc66360808"/>
      <w:bookmarkStart w:id="6976" w:name="_Toc68105313"/>
      <w:bookmarkStart w:id="6977" w:name="_Toc74755943"/>
      <w:bookmarkStart w:id="6978" w:name="_Toc105674819"/>
      <w:bookmarkStart w:id="6979" w:name="_Toc130502879"/>
      <w:bookmarkStart w:id="6980" w:name="_Toc153625666"/>
      <w:r w:rsidRPr="000A0A5F">
        <w:t>5.9.3.3.3.5</w:t>
      </w:r>
      <w:r w:rsidRPr="000A0A5F">
        <w:tab/>
        <w:t>DELETE</w:t>
      </w:r>
      <w:bookmarkEnd w:id="6969"/>
      <w:bookmarkEnd w:id="6970"/>
      <w:bookmarkEnd w:id="6971"/>
      <w:bookmarkEnd w:id="6972"/>
      <w:bookmarkEnd w:id="6973"/>
      <w:bookmarkEnd w:id="6974"/>
      <w:bookmarkEnd w:id="6975"/>
      <w:bookmarkEnd w:id="6976"/>
      <w:bookmarkEnd w:id="6977"/>
      <w:bookmarkEnd w:id="6978"/>
      <w:bookmarkEnd w:id="6979"/>
      <w:bookmarkEnd w:id="6980"/>
    </w:p>
    <w:p w:rsidR="00CB0DD7" w:rsidRPr="000A0A5F" w:rsidRDefault="00CB0DD7">
      <w:pPr>
        <w:rPr>
          <w:noProof/>
          <w:lang w:eastAsia="zh-CN"/>
        </w:rPr>
      </w:pPr>
      <w:r w:rsidRPr="000A0A5F">
        <w:rPr>
          <w:noProof/>
          <w:lang w:eastAsia="zh-CN"/>
        </w:rPr>
        <w:t xml:space="preserve">The DELETE method deletes the </w:t>
      </w:r>
      <w:r w:rsidRPr="000A0A5F">
        <w:t>resource and</w:t>
      </w:r>
      <w:r w:rsidRPr="000A0A5F">
        <w:rPr>
          <w:noProof/>
          <w:lang w:eastAsia="zh-CN"/>
        </w:rPr>
        <w:t xml:space="preserve"> terminates the related network status reporting subscription. The SCS/AS shall initiate the HTTP DELETE request message and the SCEF shall respond to the message. </w:t>
      </w:r>
    </w:p>
    <w:p w:rsidR="00CB0DD7" w:rsidRPr="000A0A5F" w:rsidRDefault="00CB0DD7">
      <w:r w:rsidRPr="000A0A5F">
        <w:t>This method shall support the URI query parameters, request and response data structures, and response codes, as specified in the table 5.9.3.3.3.5-1 and table 5.9.3.3.3.5-2.</w:t>
      </w:r>
    </w:p>
    <w:p w:rsidR="00CB0DD7" w:rsidRPr="000A0A5F" w:rsidRDefault="00CB0DD7">
      <w:pPr>
        <w:pStyle w:val="TH"/>
        <w:rPr>
          <w:rFonts w:cs="Arial"/>
        </w:rPr>
      </w:pPr>
      <w:r w:rsidRPr="000A0A5F">
        <w:t xml:space="preserve">Table 5.9.3.3.3.5-1: URI query parameters supported by the DELETE method on this resource </w:t>
      </w:r>
    </w:p>
    <w:tbl>
      <w:tblPr>
        <w:tblW w:w="4999"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612"/>
        <w:gridCol w:w="1709"/>
        <w:gridCol w:w="1140"/>
        <w:gridCol w:w="5314"/>
      </w:tblGrid>
      <w:tr w:rsidR="00CB0DD7" w:rsidRPr="000A0A5F" w:rsidTr="00FF0AF8">
        <w:trPr>
          <w:jc w:val="center"/>
        </w:trPr>
        <w:tc>
          <w:tcPr>
            <w:tcW w:w="825" w:type="pct"/>
            <w:shd w:val="clear" w:color="000000" w:fill="C0C0C0"/>
          </w:tcPr>
          <w:p w:rsidR="00CB0DD7" w:rsidRPr="000A0A5F" w:rsidRDefault="00CB0DD7">
            <w:pPr>
              <w:pStyle w:val="TAH"/>
            </w:pPr>
            <w:r w:rsidRPr="000A0A5F">
              <w:t>Name</w:t>
            </w:r>
          </w:p>
        </w:tc>
        <w:tc>
          <w:tcPr>
            <w:tcW w:w="874" w:type="pct"/>
            <w:shd w:val="clear" w:color="000000" w:fill="C0C0C0"/>
          </w:tcPr>
          <w:p w:rsidR="00CB0DD7" w:rsidRPr="000A0A5F" w:rsidRDefault="00CB0DD7">
            <w:pPr>
              <w:pStyle w:val="TAH"/>
            </w:pPr>
            <w:r w:rsidRPr="000A0A5F">
              <w:t>Data type</w:t>
            </w:r>
          </w:p>
        </w:tc>
        <w:tc>
          <w:tcPr>
            <w:tcW w:w="583" w:type="pct"/>
            <w:shd w:val="clear" w:color="000000" w:fill="C0C0C0"/>
          </w:tcPr>
          <w:p w:rsidR="00CB0DD7" w:rsidRPr="000A0A5F" w:rsidRDefault="00CB0DD7">
            <w:pPr>
              <w:pStyle w:val="TAH"/>
            </w:pPr>
            <w:r w:rsidRPr="000A0A5F">
              <w:t>Cardinality</w:t>
            </w:r>
          </w:p>
        </w:tc>
        <w:tc>
          <w:tcPr>
            <w:tcW w:w="2718" w:type="pct"/>
            <w:shd w:val="clear" w:color="000000" w:fill="C0C0C0"/>
            <w:vAlign w:val="center"/>
          </w:tcPr>
          <w:p w:rsidR="00CB0DD7" w:rsidRPr="000A0A5F" w:rsidRDefault="00CB0DD7">
            <w:pPr>
              <w:pStyle w:val="TAH"/>
            </w:pPr>
            <w:r w:rsidRPr="000A0A5F">
              <w:t>Remarks</w:t>
            </w:r>
          </w:p>
        </w:tc>
      </w:tr>
      <w:tr w:rsidR="00CB0DD7" w:rsidRPr="000A0A5F" w:rsidTr="00FF0AF8">
        <w:trPr>
          <w:jc w:val="center"/>
        </w:trPr>
        <w:tc>
          <w:tcPr>
            <w:tcW w:w="825" w:type="pct"/>
            <w:shd w:val="clear" w:color="auto" w:fill="auto"/>
          </w:tcPr>
          <w:p w:rsidR="00CB0DD7" w:rsidRPr="000A0A5F" w:rsidRDefault="00CB0DD7">
            <w:pPr>
              <w:pStyle w:val="TAL"/>
            </w:pPr>
            <w:r w:rsidRPr="000A0A5F">
              <w:t>none specified</w:t>
            </w:r>
          </w:p>
        </w:tc>
        <w:tc>
          <w:tcPr>
            <w:tcW w:w="874" w:type="pct"/>
          </w:tcPr>
          <w:p w:rsidR="00CB0DD7" w:rsidRPr="000A0A5F" w:rsidRDefault="00CB0DD7">
            <w:pPr>
              <w:pStyle w:val="TAL"/>
            </w:pPr>
          </w:p>
        </w:tc>
        <w:tc>
          <w:tcPr>
            <w:tcW w:w="583" w:type="pct"/>
          </w:tcPr>
          <w:p w:rsidR="00CB0DD7" w:rsidRPr="000A0A5F" w:rsidRDefault="00CB0DD7">
            <w:pPr>
              <w:pStyle w:val="TAL"/>
            </w:pPr>
          </w:p>
        </w:tc>
        <w:tc>
          <w:tcPr>
            <w:tcW w:w="2718" w:type="pct"/>
            <w:shd w:val="clear" w:color="auto" w:fill="auto"/>
            <w:vAlign w:val="center"/>
          </w:tcPr>
          <w:p w:rsidR="00CB0DD7" w:rsidRPr="000A0A5F" w:rsidRDefault="00CB0DD7">
            <w:pPr>
              <w:pStyle w:val="TAL"/>
            </w:pPr>
          </w:p>
        </w:tc>
      </w:tr>
    </w:tbl>
    <w:p w:rsidR="00CB0DD7" w:rsidRPr="000A0A5F" w:rsidRDefault="00CB0DD7"/>
    <w:p w:rsidR="00CB0DD7" w:rsidRPr="000A0A5F" w:rsidRDefault="00CB0DD7">
      <w:pPr>
        <w:pStyle w:val="TH"/>
      </w:pPr>
      <w:r w:rsidRPr="000A0A5F">
        <w:t>Table 5.9.3.3.3.5-2: Data structures supported by the DELETE request/response by the resource</w:t>
      </w:r>
    </w:p>
    <w:tbl>
      <w:tblPr>
        <w:tblW w:w="4999" w:type="pct"/>
        <w:tblInd w:w="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45" w:type="dxa"/>
          <w:left w:w="45" w:type="dxa"/>
          <w:bottom w:w="45" w:type="dxa"/>
          <w:right w:w="45" w:type="dxa"/>
        </w:tblCellMar>
        <w:tblLook w:val="0000" w:firstRow="0" w:lastRow="0" w:firstColumn="0" w:lastColumn="0" w:noHBand="0" w:noVBand="0"/>
      </w:tblPr>
      <w:tblGrid>
        <w:gridCol w:w="1035"/>
        <w:gridCol w:w="2127"/>
        <w:gridCol w:w="1053"/>
        <w:gridCol w:w="973"/>
        <w:gridCol w:w="4541"/>
      </w:tblGrid>
      <w:tr w:rsidR="00CB0DD7" w:rsidRPr="000A0A5F" w:rsidTr="00790FC9">
        <w:tc>
          <w:tcPr>
            <w:tcW w:w="532" w:type="pct"/>
            <w:vMerge w:val="restart"/>
            <w:shd w:val="clear" w:color="auto" w:fill="C0C0C0"/>
            <w:vAlign w:val="center"/>
          </w:tcPr>
          <w:p w:rsidR="00CB0DD7" w:rsidRPr="000A0A5F" w:rsidRDefault="00CB0DD7">
            <w:pPr>
              <w:pStyle w:val="TAH"/>
            </w:pPr>
            <w:r w:rsidRPr="000A0A5F">
              <w:t>Request body</w:t>
            </w:r>
          </w:p>
        </w:tc>
        <w:tc>
          <w:tcPr>
            <w:tcW w:w="1093" w:type="pct"/>
            <w:shd w:val="clear" w:color="auto" w:fill="C0C0C0"/>
          </w:tcPr>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r w:rsidRPr="000A0A5F">
              <w:t>Cardinality</w:t>
            </w:r>
          </w:p>
        </w:tc>
        <w:tc>
          <w:tcPr>
            <w:tcW w:w="2834" w:type="pct"/>
            <w:gridSpan w:val="2"/>
            <w:shd w:val="clear" w:color="auto" w:fill="C0C0C0"/>
          </w:tcPr>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none</w:t>
            </w:r>
          </w:p>
        </w:tc>
        <w:tc>
          <w:tcPr>
            <w:tcW w:w="541" w:type="pct"/>
          </w:tcPr>
          <w:p w:rsidR="00CB0DD7" w:rsidRPr="000A0A5F" w:rsidRDefault="00CB0DD7">
            <w:pPr>
              <w:pStyle w:val="TAL"/>
            </w:pPr>
          </w:p>
        </w:tc>
        <w:tc>
          <w:tcPr>
            <w:tcW w:w="2834" w:type="pct"/>
            <w:gridSpan w:val="2"/>
          </w:tcPr>
          <w:p w:rsidR="00CB0DD7" w:rsidRPr="000A0A5F" w:rsidRDefault="00CB0DD7">
            <w:pPr>
              <w:pStyle w:val="TAL"/>
            </w:pPr>
          </w:p>
        </w:tc>
      </w:tr>
      <w:tr w:rsidR="00CB0DD7" w:rsidRPr="000A0A5F" w:rsidTr="00790FC9">
        <w:tc>
          <w:tcPr>
            <w:tcW w:w="532" w:type="pct"/>
            <w:vMerge w:val="restart"/>
            <w:shd w:val="clear" w:color="auto" w:fill="C0C0C0"/>
            <w:vAlign w:val="center"/>
          </w:tcPr>
          <w:p w:rsidR="00CB0DD7" w:rsidRPr="000A0A5F" w:rsidRDefault="00CB0DD7">
            <w:pPr>
              <w:pStyle w:val="TAH"/>
            </w:pPr>
            <w:r w:rsidRPr="000A0A5F">
              <w:t>Response body</w:t>
            </w:r>
          </w:p>
        </w:tc>
        <w:tc>
          <w:tcPr>
            <w:tcW w:w="1093" w:type="pct"/>
            <w:shd w:val="clear" w:color="auto" w:fill="C0C0C0"/>
          </w:tcPr>
          <w:p w:rsidR="00CB0DD7" w:rsidRPr="000A0A5F" w:rsidRDefault="00CB0DD7">
            <w:pPr>
              <w:pStyle w:val="TAH"/>
            </w:pPr>
          </w:p>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p>
          <w:p w:rsidR="00CB0DD7" w:rsidRPr="000A0A5F" w:rsidRDefault="00CB0DD7">
            <w:pPr>
              <w:pStyle w:val="TAH"/>
            </w:pPr>
            <w:r w:rsidRPr="000A0A5F">
              <w:t>Cardinality</w:t>
            </w:r>
          </w:p>
        </w:tc>
        <w:tc>
          <w:tcPr>
            <w:tcW w:w="500" w:type="pct"/>
            <w:shd w:val="clear" w:color="auto" w:fill="C0C0C0"/>
          </w:tcPr>
          <w:p w:rsidR="00CB0DD7" w:rsidRPr="000A0A5F" w:rsidRDefault="00CB0DD7">
            <w:pPr>
              <w:pStyle w:val="TAH"/>
            </w:pPr>
            <w:r w:rsidRPr="000A0A5F">
              <w:t>Response</w:t>
            </w:r>
          </w:p>
          <w:p w:rsidR="00CB0DD7" w:rsidRPr="000A0A5F" w:rsidRDefault="00CB0DD7">
            <w:pPr>
              <w:pStyle w:val="TAH"/>
            </w:pPr>
            <w:r w:rsidRPr="000A0A5F">
              <w:t>codes</w:t>
            </w:r>
          </w:p>
        </w:tc>
        <w:tc>
          <w:tcPr>
            <w:tcW w:w="2334" w:type="pct"/>
            <w:shd w:val="clear" w:color="auto" w:fill="C0C0C0"/>
          </w:tcPr>
          <w:p w:rsidR="00CB0DD7" w:rsidRPr="000A0A5F" w:rsidRDefault="00CB0DD7">
            <w:pPr>
              <w:pStyle w:val="TAH"/>
            </w:pPr>
          </w:p>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none</w:t>
            </w:r>
          </w:p>
        </w:tc>
        <w:tc>
          <w:tcPr>
            <w:tcW w:w="541" w:type="pct"/>
          </w:tcPr>
          <w:p w:rsidR="00CB0DD7" w:rsidRPr="000A0A5F" w:rsidRDefault="00CB0DD7">
            <w:pPr>
              <w:pStyle w:val="TAL"/>
            </w:pPr>
          </w:p>
        </w:tc>
        <w:tc>
          <w:tcPr>
            <w:tcW w:w="500" w:type="pct"/>
          </w:tcPr>
          <w:p w:rsidR="00CB0DD7" w:rsidRPr="000A0A5F" w:rsidRDefault="00CB0DD7">
            <w:pPr>
              <w:pStyle w:val="TAL"/>
            </w:pPr>
            <w:r w:rsidRPr="000A0A5F">
              <w:t>204 No Content</w:t>
            </w:r>
          </w:p>
        </w:tc>
        <w:tc>
          <w:tcPr>
            <w:tcW w:w="2334" w:type="pct"/>
          </w:tcPr>
          <w:p w:rsidR="00CB0DD7" w:rsidRPr="000A0A5F" w:rsidRDefault="00CB0DD7">
            <w:pPr>
              <w:pStyle w:val="TAL"/>
            </w:pPr>
            <w:r w:rsidRPr="000A0A5F">
              <w:t>The subscription was terminated successfully.</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none</w:t>
            </w:r>
          </w:p>
        </w:tc>
        <w:tc>
          <w:tcPr>
            <w:tcW w:w="541" w:type="pct"/>
          </w:tcPr>
          <w:p w:rsidR="00CB0DD7" w:rsidRPr="000A0A5F" w:rsidRDefault="00CB0DD7">
            <w:pPr>
              <w:pStyle w:val="TAL"/>
            </w:pPr>
          </w:p>
        </w:tc>
        <w:tc>
          <w:tcPr>
            <w:tcW w:w="500" w:type="pct"/>
          </w:tcPr>
          <w:p w:rsidR="00CB0DD7" w:rsidRPr="000A0A5F" w:rsidRDefault="00CB0DD7">
            <w:pPr>
              <w:pStyle w:val="TAL"/>
            </w:pPr>
            <w:r w:rsidRPr="000A0A5F">
              <w:t>307 Temporary Redirect</w:t>
            </w:r>
          </w:p>
        </w:tc>
        <w:tc>
          <w:tcPr>
            <w:tcW w:w="2334" w:type="pct"/>
          </w:tcPr>
          <w:p w:rsidR="00CB0DD7" w:rsidRPr="000A0A5F" w:rsidRDefault="00CB0DD7">
            <w:pPr>
              <w:pStyle w:val="TAL"/>
            </w:pPr>
            <w:r w:rsidRPr="000A0A5F">
              <w:t>Temporary redirection, during resource termination. The response shall include a Location header field containing an alternative URI of the resource located in an alternative SCEF.</w:t>
            </w:r>
          </w:p>
          <w:p w:rsidR="00CB0DD7" w:rsidRPr="000A0A5F" w:rsidRDefault="00CB0DD7">
            <w:pPr>
              <w:pStyle w:val="TAL"/>
            </w:pPr>
            <w:r w:rsidRPr="000A0A5F">
              <w:t>Redirection handling is described in clause 5.2.10.</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none</w:t>
            </w:r>
          </w:p>
        </w:tc>
        <w:tc>
          <w:tcPr>
            <w:tcW w:w="541" w:type="pct"/>
          </w:tcPr>
          <w:p w:rsidR="00CB0DD7" w:rsidRPr="000A0A5F" w:rsidRDefault="00CB0DD7">
            <w:pPr>
              <w:pStyle w:val="TAL"/>
            </w:pPr>
          </w:p>
        </w:tc>
        <w:tc>
          <w:tcPr>
            <w:tcW w:w="500" w:type="pct"/>
          </w:tcPr>
          <w:p w:rsidR="00CB0DD7" w:rsidRPr="000A0A5F" w:rsidRDefault="00CB0DD7">
            <w:pPr>
              <w:pStyle w:val="TAL"/>
            </w:pPr>
            <w:r w:rsidRPr="000A0A5F">
              <w:t>308 Permanent Redirect</w:t>
            </w:r>
          </w:p>
        </w:tc>
        <w:tc>
          <w:tcPr>
            <w:tcW w:w="2334" w:type="pct"/>
          </w:tcPr>
          <w:p w:rsidR="00CB0DD7" w:rsidRPr="000A0A5F" w:rsidRDefault="00CB0DD7">
            <w:pPr>
              <w:pStyle w:val="TAL"/>
            </w:pPr>
            <w:r w:rsidRPr="000A0A5F">
              <w:t>Permanent redirection, during resource termination. The response shall include a Location header field containing an alternative URI of the resource located in an alternative SCEF.</w:t>
            </w:r>
          </w:p>
          <w:p w:rsidR="00CB0DD7" w:rsidRPr="000A0A5F" w:rsidRDefault="00CB0DD7">
            <w:pPr>
              <w:pStyle w:val="TAL"/>
            </w:pPr>
            <w:r w:rsidRPr="000A0A5F">
              <w:t>Redirection handling is described in clause 5.2.10.</w:t>
            </w:r>
          </w:p>
        </w:tc>
      </w:tr>
      <w:tr w:rsidR="00CB0DD7" w:rsidRPr="000A0A5F" w:rsidTr="00FF0AF8">
        <w:tc>
          <w:tcPr>
            <w:tcW w:w="5000" w:type="pct"/>
            <w:gridSpan w:val="5"/>
            <w:shd w:val="clear" w:color="auto" w:fill="auto"/>
            <w:vAlign w:val="center"/>
          </w:tcPr>
          <w:p w:rsidR="00CB0DD7" w:rsidRPr="000A0A5F" w:rsidRDefault="00CB0DD7">
            <w:pPr>
              <w:pStyle w:val="TAN"/>
            </w:pPr>
            <w:r w:rsidRPr="000A0A5F">
              <w:t>NOTE:</w:t>
            </w:r>
            <w:r w:rsidRPr="000A0A5F">
              <w:tab/>
              <w:t>The mandatory HTTP error status codes for the DELETE method listed in table 5.2.6-1 also apply.</w:t>
            </w:r>
          </w:p>
        </w:tc>
      </w:tr>
    </w:tbl>
    <w:p w:rsidR="00CB0DD7" w:rsidRPr="000A0A5F" w:rsidRDefault="00CB0DD7"/>
    <w:p w:rsidR="00CB0DD7" w:rsidRPr="000A0A5F" w:rsidRDefault="00CB0DD7">
      <w:pPr>
        <w:pStyle w:val="TH"/>
      </w:pPr>
      <w:r w:rsidRPr="000A0A5F">
        <w:t>Table 5.9.3.3.3.5-3: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CB0DD7">
      <w:pPr>
        <w:pStyle w:val="TH"/>
      </w:pPr>
      <w:r w:rsidRPr="000A0A5F">
        <w:t>Table</w:t>
      </w:r>
      <w:r w:rsidRPr="000A0A5F">
        <w:rPr>
          <w:rFonts w:cs="Arial"/>
        </w:rPr>
        <w:t> </w:t>
      </w:r>
      <w:r w:rsidRPr="000A0A5F">
        <w:t>5.9.3.3.3.5-4: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CB0DD7">
      <w:pPr>
        <w:pStyle w:val="Heading4"/>
      </w:pPr>
      <w:bookmarkStart w:id="6981" w:name="_Toc11247707"/>
      <w:bookmarkStart w:id="6982" w:name="_Toc27044846"/>
      <w:bookmarkStart w:id="6983" w:name="_Toc36033888"/>
      <w:bookmarkStart w:id="6984" w:name="_Toc45132034"/>
      <w:bookmarkStart w:id="6985" w:name="_Toc49776319"/>
      <w:bookmarkStart w:id="6986" w:name="_Toc51747239"/>
      <w:bookmarkStart w:id="6987" w:name="_Toc66360809"/>
      <w:bookmarkStart w:id="6988" w:name="_Toc68105314"/>
      <w:bookmarkStart w:id="6989" w:name="_Toc74755944"/>
      <w:bookmarkStart w:id="6990" w:name="_Toc105674820"/>
      <w:bookmarkStart w:id="6991" w:name="_Toc130502880"/>
      <w:bookmarkStart w:id="6992" w:name="_Toc153625667"/>
      <w:r w:rsidRPr="000A0A5F">
        <w:t>5.9.3.4</w:t>
      </w:r>
      <w:r w:rsidRPr="000A0A5F">
        <w:tab/>
        <w:t>Void</w:t>
      </w:r>
      <w:bookmarkEnd w:id="6981"/>
      <w:bookmarkEnd w:id="6982"/>
      <w:bookmarkEnd w:id="6983"/>
      <w:bookmarkEnd w:id="6984"/>
      <w:bookmarkEnd w:id="6985"/>
      <w:bookmarkEnd w:id="6986"/>
      <w:bookmarkEnd w:id="6987"/>
      <w:bookmarkEnd w:id="6988"/>
      <w:bookmarkEnd w:id="6989"/>
      <w:bookmarkEnd w:id="6990"/>
      <w:bookmarkEnd w:id="6991"/>
      <w:bookmarkEnd w:id="6992"/>
    </w:p>
    <w:p w:rsidR="00CB0DD7" w:rsidRPr="000A0A5F" w:rsidRDefault="00CB0DD7">
      <w:pPr>
        <w:pStyle w:val="Heading3"/>
      </w:pPr>
      <w:bookmarkStart w:id="6993" w:name="_Toc66360810"/>
      <w:bookmarkStart w:id="6994" w:name="_Toc68105315"/>
      <w:bookmarkStart w:id="6995" w:name="_Toc74755945"/>
      <w:bookmarkStart w:id="6996" w:name="_Toc105674821"/>
      <w:bookmarkStart w:id="6997" w:name="_Toc130502881"/>
      <w:bookmarkStart w:id="6998" w:name="_Toc153625668"/>
      <w:r w:rsidRPr="000A0A5F">
        <w:t>5.9.</w:t>
      </w:r>
      <w:r w:rsidR="00790FC9" w:rsidRPr="000A0A5F">
        <w:t>3A</w:t>
      </w:r>
      <w:r w:rsidRPr="000A0A5F">
        <w:tab/>
        <w:t>Notifications</w:t>
      </w:r>
      <w:bookmarkEnd w:id="6993"/>
      <w:bookmarkEnd w:id="6994"/>
      <w:bookmarkEnd w:id="6995"/>
      <w:bookmarkEnd w:id="6996"/>
      <w:bookmarkEnd w:id="6997"/>
      <w:bookmarkEnd w:id="6998"/>
    </w:p>
    <w:p w:rsidR="00CB0DD7" w:rsidRPr="000A0A5F" w:rsidRDefault="00CB0DD7">
      <w:pPr>
        <w:pStyle w:val="Heading4"/>
      </w:pPr>
      <w:bookmarkStart w:id="6999" w:name="_Toc66360811"/>
      <w:bookmarkStart w:id="7000" w:name="_Toc68105316"/>
      <w:bookmarkStart w:id="7001" w:name="_Toc74755946"/>
      <w:bookmarkStart w:id="7002" w:name="_Toc105674822"/>
      <w:bookmarkStart w:id="7003" w:name="_Toc130502882"/>
      <w:bookmarkStart w:id="7004" w:name="_Toc153625669"/>
      <w:r w:rsidRPr="000A0A5F">
        <w:t>5.9.</w:t>
      </w:r>
      <w:r w:rsidR="00790FC9" w:rsidRPr="000A0A5F">
        <w:t>3A</w:t>
      </w:r>
      <w:r w:rsidRPr="000A0A5F">
        <w:t>.1</w:t>
      </w:r>
      <w:r w:rsidRPr="000A0A5F">
        <w:tab/>
        <w:t>General</w:t>
      </w:r>
      <w:bookmarkEnd w:id="6999"/>
      <w:bookmarkEnd w:id="7000"/>
      <w:bookmarkEnd w:id="7001"/>
      <w:bookmarkEnd w:id="7002"/>
      <w:bookmarkEnd w:id="7003"/>
      <w:bookmarkEnd w:id="7004"/>
    </w:p>
    <w:p w:rsidR="00CB0DD7" w:rsidRPr="000A0A5F" w:rsidRDefault="00CB0DD7">
      <w:r w:rsidRPr="000A0A5F">
        <w:t>The notifications provided by the ReportingNetworkStatus API are specified in this clause.</w:t>
      </w:r>
    </w:p>
    <w:p w:rsidR="00CB0DD7" w:rsidRPr="000A0A5F" w:rsidRDefault="002E466A">
      <w:pPr>
        <w:pStyle w:val="TH"/>
      </w:pPr>
      <w:r w:rsidRPr="000A0A5F">
        <w:t>Table </w:t>
      </w:r>
      <w:r w:rsidR="00CB0DD7" w:rsidRPr="000A0A5F">
        <w:t>5.9.</w:t>
      </w:r>
      <w:r w:rsidR="00790FC9" w:rsidRPr="000A0A5F">
        <w:t>3A</w:t>
      </w:r>
      <w:r w:rsidR="00CB0DD7" w:rsidRPr="000A0A5F">
        <w:t>-1: Notifications overview</w:t>
      </w:r>
    </w:p>
    <w:tbl>
      <w:tblPr>
        <w:tblW w:w="4484"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1914"/>
        <w:gridCol w:w="3654"/>
        <w:gridCol w:w="1243"/>
        <w:gridCol w:w="1957"/>
      </w:tblGrid>
      <w:tr w:rsidR="00CB0DD7" w:rsidRPr="000A0A5F" w:rsidTr="00FF0AF8">
        <w:trPr>
          <w:jc w:val="center"/>
        </w:trPr>
        <w:tc>
          <w:tcPr>
            <w:tcW w:w="1091" w:type="pct"/>
            <w:shd w:val="clear" w:color="auto" w:fill="C0C0C0"/>
            <w:vAlign w:val="center"/>
            <w:hideMark/>
          </w:tcPr>
          <w:p w:rsidR="00CB0DD7" w:rsidRPr="000A0A5F" w:rsidRDefault="00CB0DD7">
            <w:pPr>
              <w:pStyle w:val="TAH"/>
            </w:pPr>
            <w:r w:rsidRPr="000A0A5F">
              <w:t>Notification</w:t>
            </w:r>
          </w:p>
        </w:tc>
        <w:tc>
          <w:tcPr>
            <w:tcW w:w="2083" w:type="pct"/>
            <w:shd w:val="clear" w:color="auto" w:fill="C0C0C0"/>
            <w:vAlign w:val="center"/>
            <w:hideMark/>
          </w:tcPr>
          <w:p w:rsidR="00CB0DD7" w:rsidRPr="000A0A5F" w:rsidRDefault="00CB0DD7">
            <w:pPr>
              <w:pStyle w:val="TAH"/>
            </w:pPr>
            <w:r w:rsidRPr="000A0A5F">
              <w:t>Callback URI</w:t>
            </w:r>
          </w:p>
        </w:tc>
        <w:tc>
          <w:tcPr>
            <w:tcW w:w="709" w:type="pct"/>
            <w:shd w:val="clear" w:color="auto" w:fill="C0C0C0"/>
            <w:vAlign w:val="center"/>
            <w:hideMark/>
          </w:tcPr>
          <w:p w:rsidR="00CB0DD7" w:rsidRPr="000A0A5F" w:rsidRDefault="00CB0DD7">
            <w:pPr>
              <w:pStyle w:val="TAH"/>
            </w:pPr>
            <w:r w:rsidRPr="000A0A5F">
              <w:t>HTTP method or custom operation</w:t>
            </w:r>
          </w:p>
        </w:tc>
        <w:tc>
          <w:tcPr>
            <w:tcW w:w="1116" w:type="pct"/>
            <w:shd w:val="clear" w:color="auto" w:fill="C0C0C0"/>
            <w:vAlign w:val="center"/>
            <w:hideMark/>
          </w:tcPr>
          <w:p w:rsidR="00CB0DD7" w:rsidRPr="000A0A5F" w:rsidRDefault="00CB0DD7">
            <w:pPr>
              <w:pStyle w:val="TAH"/>
            </w:pPr>
            <w:r w:rsidRPr="000A0A5F">
              <w:t>Description</w:t>
            </w:r>
          </w:p>
          <w:p w:rsidR="00CB0DD7" w:rsidRPr="000A0A5F" w:rsidRDefault="00CB0DD7">
            <w:pPr>
              <w:pStyle w:val="TAH"/>
            </w:pPr>
            <w:r w:rsidRPr="000A0A5F">
              <w:t>(service operation)</w:t>
            </w:r>
          </w:p>
        </w:tc>
      </w:tr>
      <w:tr w:rsidR="00CB0DD7" w:rsidRPr="000A0A5F" w:rsidTr="00FF0AF8">
        <w:trPr>
          <w:jc w:val="center"/>
        </w:trPr>
        <w:tc>
          <w:tcPr>
            <w:tcW w:w="1091" w:type="pct"/>
          </w:tcPr>
          <w:p w:rsidR="00CB0DD7" w:rsidRPr="000A0A5F" w:rsidRDefault="00CB0DD7">
            <w:pPr>
              <w:pStyle w:val="TAC"/>
              <w:jc w:val="left"/>
              <w:rPr>
                <w:lang w:val="en-US"/>
              </w:rPr>
            </w:pPr>
            <w:r w:rsidRPr="000A0A5F">
              <w:rPr>
                <w:rFonts w:eastAsia="MS Mincho" w:hint="eastAsia"/>
                <w:lang w:eastAsia="ja-JP"/>
              </w:rPr>
              <w:t xml:space="preserve">Network Status </w:t>
            </w:r>
            <w:r w:rsidRPr="000A0A5F">
              <w:rPr>
                <w:rFonts w:eastAsia="MS Mincho"/>
                <w:lang w:eastAsia="ja-JP"/>
              </w:rPr>
              <w:t xml:space="preserve">Reporting </w:t>
            </w:r>
            <w:r w:rsidRPr="000A0A5F">
              <w:rPr>
                <w:rFonts w:eastAsia="MS Mincho" w:hint="eastAsia"/>
                <w:lang w:eastAsia="ja-JP"/>
              </w:rPr>
              <w:t>Notification</w:t>
            </w:r>
          </w:p>
        </w:tc>
        <w:tc>
          <w:tcPr>
            <w:tcW w:w="2083" w:type="pct"/>
          </w:tcPr>
          <w:p w:rsidR="00CB0DD7" w:rsidRPr="000A0A5F" w:rsidRDefault="00CB0DD7">
            <w:pPr>
              <w:pStyle w:val="TAL"/>
              <w:rPr>
                <w:lang w:val="en-US"/>
              </w:rPr>
            </w:pPr>
            <w:r w:rsidRPr="000A0A5F">
              <w:rPr>
                <w:rFonts w:hint="eastAsia"/>
                <w:lang w:eastAsia="zh-CN"/>
              </w:rPr>
              <w:t>{notificationDestination</w:t>
            </w:r>
            <w:r w:rsidRPr="000A0A5F">
              <w:rPr>
                <w:lang w:eastAsia="zh-CN"/>
              </w:rPr>
              <w:t>}</w:t>
            </w:r>
          </w:p>
        </w:tc>
        <w:tc>
          <w:tcPr>
            <w:tcW w:w="709" w:type="pct"/>
          </w:tcPr>
          <w:p w:rsidR="00CB0DD7" w:rsidRPr="000A0A5F" w:rsidRDefault="00CB0DD7">
            <w:pPr>
              <w:pStyle w:val="TAC"/>
              <w:rPr>
                <w:lang w:val="fr-FR"/>
              </w:rPr>
            </w:pPr>
            <w:r w:rsidRPr="000A0A5F">
              <w:rPr>
                <w:rFonts w:hint="eastAsia"/>
                <w:lang w:eastAsia="zh-CN"/>
              </w:rPr>
              <w:t>POST</w:t>
            </w:r>
          </w:p>
        </w:tc>
        <w:tc>
          <w:tcPr>
            <w:tcW w:w="1116" w:type="pct"/>
          </w:tcPr>
          <w:p w:rsidR="00CB0DD7" w:rsidRPr="000A0A5F" w:rsidRDefault="00CB0DD7">
            <w:pPr>
              <w:pStyle w:val="TAL"/>
              <w:rPr>
                <w:lang w:val="en-US"/>
              </w:rPr>
            </w:pPr>
            <w:r w:rsidRPr="000A0A5F">
              <w:rPr>
                <w:rFonts w:hint="eastAsia"/>
                <w:lang w:eastAsia="zh-CN"/>
              </w:rPr>
              <w:t xml:space="preserve">Report a detected network </w:t>
            </w:r>
            <w:r w:rsidRPr="000A0A5F">
              <w:rPr>
                <w:lang w:eastAsia="zh-CN"/>
              </w:rPr>
              <w:t>status</w:t>
            </w:r>
            <w:r w:rsidRPr="000A0A5F">
              <w:rPr>
                <w:rFonts w:hint="eastAsia"/>
                <w:lang w:eastAsia="zh-CN"/>
              </w:rPr>
              <w:t xml:space="preserve"> for a subscription</w:t>
            </w:r>
            <w:r w:rsidRPr="000A0A5F">
              <w:rPr>
                <w:lang w:eastAsia="zh-CN"/>
              </w:rPr>
              <w:t xml:space="preserve"> from the SCEF to the SCS/AS</w:t>
            </w:r>
          </w:p>
        </w:tc>
      </w:tr>
    </w:tbl>
    <w:p w:rsidR="00CB0DD7" w:rsidRPr="000A0A5F" w:rsidRDefault="00CB0DD7"/>
    <w:p w:rsidR="00CB0DD7" w:rsidRPr="000A0A5F" w:rsidRDefault="00CB0DD7">
      <w:pPr>
        <w:pStyle w:val="Heading4"/>
      </w:pPr>
      <w:bookmarkStart w:id="7005" w:name="_Toc66360812"/>
      <w:bookmarkStart w:id="7006" w:name="_Toc68105317"/>
      <w:bookmarkStart w:id="7007" w:name="_Toc74755947"/>
      <w:bookmarkStart w:id="7008" w:name="_Toc105674823"/>
      <w:bookmarkStart w:id="7009" w:name="_Toc130502883"/>
      <w:bookmarkStart w:id="7010" w:name="_Toc153625670"/>
      <w:r w:rsidRPr="000A0A5F">
        <w:t>5.9.</w:t>
      </w:r>
      <w:r w:rsidR="00790FC9" w:rsidRPr="000A0A5F">
        <w:t>3A</w:t>
      </w:r>
      <w:r w:rsidRPr="000A0A5F">
        <w:t>.2</w:t>
      </w:r>
      <w:r w:rsidRPr="000A0A5F">
        <w:tab/>
        <w:t>Network Status Reporting Notification</w:t>
      </w:r>
      <w:bookmarkEnd w:id="7005"/>
      <w:bookmarkEnd w:id="7006"/>
      <w:bookmarkEnd w:id="7007"/>
      <w:bookmarkEnd w:id="7008"/>
      <w:bookmarkEnd w:id="7009"/>
      <w:bookmarkEnd w:id="7010"/>
    </w:p>
    <w:p w:rsidR="00CB0DD7" w:rsidRPr="000A0A5F" w:rsidRDefault="00CB0DD7">
      <w:pPr>
        <w:pStyle w:val="Heading5"/>
        <w:rPr>
          <w:noProof/>
        </w:rPr>
      </w:pPr>
      <w:bookmarkStart w:id="7011" w:name="_Toc66360813"/>
      <w:bookmarkStart w:id="7012" w:name="_Toc68105318"/>
      <w:bookmarkStart w:id="7013" w:name="_Toc74755948"/>
      <w:bookmarkStart w:id="7014" w:name="_Toc105674824"/>
      <w:bookmarkStart w:id="7015" w:name="_Toc130502884"/>
      <w:bookmarkStart w:id="7016" w:name="_Toc153625671"/>
      <w:r w:rsidRPr="000A0A5F">
        <w:t>5.9.</w:t>
      </w:r>
      <w:r w:rsidR="00790FC9" w:rsidRPr="000A0A5F">
        <w:t>3A</w:t>
      </w:r>
      <w:r w:rsidRPr="000A0A5F">
        <w:t>.2</w:t>
      </w:r>
      <w:r w:rsidRPr="000A0A5F">
        <w:rPr>
          <w:noProof/>
        </w:rPr>
        <w:t>.1</w:t>
      </w:r>
      <w:r w:rsidRPr="000A0A5F">
        <w:rPr>
          <w:noProof/>
        </w:rPr>
        <w:tab/>
        <w:t>Description</w:t>
      </w:r>
      <w:bookmarkEnd w:id="7011"/>
      <w:bookmarkEnd w:id="7012"/>
      <w:bookmarkEnd w:id="7013"/>
      <w:bookmarkEnd w:id="7014"/>
      <w:bookmarkEnd w:id="7015"/>
      <w:bookmarkEnd w:id="7016"/>
    </w:p>
    <w:p w:rsidR="00CB0DD7" w:rsidRPr="000A0A5F" w:rsidRDefault="00CB0DD7">
      <w:pPr>
        <w:rPr>
          <w:noProof/>
          <w:lang w:eastAsia="zh-CN"/>
        </w:rPr>
      </w:pPr>
      <w:r w:rsidRPr="000A0A5F">
        <w:rPr>
          <w:noProof/>
          <w:lang w:eastAsia="zh-CN"/>
        </w:rPr>
        <w:t xml:space="preserve">The </w:t>
      </w:r>
      <w:r w:rsidRPr="000A0A5F">
        <w:t>Network Status Reporting Notification</w:t>
      </w:r>
      <w:r w:rsidRPr="000A0A5F">
        <w:rPr>
          <w:noProof/>
          <w:lang w:eastAsia="zh-CN"/>
        </w:rPr>
        <w:t xml:space="preserve"> allows t</w:t>
      </w:r>
      <w:r w:rsidRPr="000A0A5F">
        <w:rPr>
          <w:rFonts w:hint="eastAsia"/>
          <w:noProof/>
          <w:lang w:eastAsia="zh-CN"/>
        </w:rPr>
        <w:t xml:space="preserve">he </w:t>
      </w:r>
      <w:r w:rsidRPr="000A0A5F">
        <w:rPr>
          <w:noProof/>
          <w:lang w:eastAsia="zh-CN"/>
        </w:rPr>
        <w:t xml:space="preserve">SCEF to send notifications about the detected network status to the </w:t>
      </w:r>
      <w:r w:rsidRPr="000A0A5F">
        <w:rPr>
          <w:rFonts w:hint="eastAsia"/>
          <w:noProof/>
          <w:lang w:eastAsia="zh-CN"/>
        </w:rPr>
        <w:t>SCS/AS</w:t>
      </w:r>
      <w:r w:rsidRPr="000A0A5F">
        <w:rPr>
          <w:noProof/>
          <w:lang w:eastAsia="zh-CN"/>
        </w:rPr>
        <w:t xml:space="preserve">. </w:t>
      </w:r>
    </w:p>
    <w:p w:rsidR="00CB0DD7" w:rsidRPr="000A0A5F" w:rsidRDefault="00CB0DD7">
      <w:pPr>
        <w:pStyle w:val="Heading5"/>
        <w:rPr>
          <w:noProof/>
        </w:rPr>
      </w:pPr>
      <w:bookmarkStart w:id="7017" w:name="_Toc66360814"/>
      <w:bookmarkStart w:id="7018" w:name="_Toc68105319"/>
      <w:bookmarkStart w:id="7019" w:name="_Toc74755949"/>
      <w:bookmarkStart w:id="7020" w:name="_Toc105674825"/>
      <w:bookmarkStart w:id="7021" w:name="_Toc130502885"/>
      <w:bookmarkStart w:id="7022" w:name="_Toc153625672"/>
      <w:r w:rsidRPr="000A0A5F">
        <w:t>5.9.</w:t>
      </w:r>
      <w:r w:rsidR="00790FC9" w:rsidRPr="000A0A5F">
        <w:t>3A</w:t>
      </w:r>
      <w:r w:rsidRPr="000A0A5F">
        <w:t>.2</w:t>
      </w:r>
      <w:r w:rsidRPr="000A0A5F">
        <w:rPr>
          <w:noProof/>
        </w:rPr>
        <w:t>.2</w:t>
      </w:r>
      <w:r w:rsidRPr="000A0A5F">
        <w:rPr>
          <w:noProof/>
        </w:rPr>
        <w:tab/>
        <w:t>Target URI</w:t>
      </w:r>
      <w:bookmarkEnd w:id="7017"/>
      <w:bookmarkEnd w:id="7018"/>
      <w:bookmarkEnd w:id="7019"/>
      <w:bookmarkEnd w:id="7020"/>
      <w:bookmarkEnd w:id="7021"/>
      <w:bookmarkEnd w:id="7022"/>
    </w:p>
    <w:p w:rsidR="00CB0DD7" w:rsidRPr="000A0A5F" w:rsidRDefault="00CB0DD7">
      <w:pPr>
        <w:rPr>
          <w:rFonts w:ascii="Arial" w:hAnsi="Arial" w:cs="Arial"/>
          <w:noProof/>
        </w:rPr>
      </w:pPr>
      <w:r w:rsidRPr="000A0A5F">
        <w:rPr>
          <w:noProof/>
        </w:rPr>
        <w:t xml:space="preserve">The Callback URI </w:t>
      </w:r>
      <w:r w:rsidRPr="000A0A5F">
        <w:rPr>
          <w:b/>
          <w:noProof/>
        </w:rPr>
        <w:t>"{</w:t>
      </w:r>
      <w:r w:rsidRPr="000A0A5F">
        <w:t>notification_uri</w:t>
      </w:r>
      <w:r w:rsidRPr="000A0A5F">
        <w:rPr>
          <w:b/>
          <w:noProof/>
        </w:rPr>
        <w:t>}"</w:t>
      </w:r>
      <w:r w:rsidRPr="000A0A5F">
        <w:rPr>
          <w:noProof/>
        </w:rPr>
        <w:t xml:space="preserve"> shall be used with the callback URI variables defined in table </w:t>
      </w:r>
      <w:r w:rsidRPr="000A0A5F">
        <w:t>5.9.</w:t>
      </w:r>
      <w:r w:rsidR="00790FC9" w:rsidRPr="000A0A5F">
        <w:t>3A</w:t>
      </w:r>
      <w:r w:rsidRPr="000A0A5F">
        <w:t>.2</w:t>
      </w:r>
      <w:r w:rsidRPr="000A0A5F">
        <w:rPr>
          <w:noProof/>
        </w:rPr>
        <w:t>.2-1</w:t>
      </w:r>
      <w:r w:rsidRPr="000A0A5F">
        <w:rPr>
          <w:rFonts w:ascii="Arial" w:hAnsi="Arial" w:cs="Arial"/>
          <w:noProof/>
        </w:rPr>
        <w:t>.</w:t>
      </w:r>
    </w:p>
    <w:p w:rsidR="00CB0DD7" w:rsidRPr="000A0A5F" w:rsidRDefault="00CB0DD7">
      <w:pPr>
        <w:pStyle w:val="TH"/>
        <w:rPr>
          <w:rFonts w:cs="Arial"/>
          <w:noProof/>
        </w:rPr>
      </w:pPr>
      <w:r w:rsidRPr="000A0A5F">
        <w:rPr>
          <w:noProof/>
        </w:rPr>
        <w:t>Table </w:t>
      </w:r>
      <w:r w:rsidRPr="000A0A5F">
        <w:t>5.9.</w:t>
      </w:r>
      <w:r w:rsidR="00790FC9" w:rsidRPr="000A0A5F">
        <w:t>3A</w:t>
      </w:r>
      <w:r w:rsidRPr="000A0A5F">
        <w:t>.2</w:t>
      </w:r>
      <w:r w:rsidRPr="000A0A5F">
        <w:rPr>
          <w:noProof/>
        </w:rPr>
        <w:t>.2-1: Callback URI variables</w:t>
      </w:r>
    </w:p>
    <w:tbl>
      <w:tblPr>
        <w:tblW w:w="494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970"/>
        <w:gridCol w:w="1312"/>
        <w:gridCol w:w="6378"/>
      </w:tblGrid>
      <w:tr w:rsidR="00CB0DD7" w:rsidRPr="000A0A5F" w:rsidTr="00FF0AF8">
        <w:trPr>
          <w:jc w:val="center"/>
        </w:trPr>
        <w:tc>
          <w:tcPr>
            <w:tcW w:w="1020" w:type="pct"/>
            <w:shd w:val="clear" w:color="000000" w:fill="C0C0C0"/>
          </w:tcPr>
          <w:p w:rsidR="00CB0DD7" w:rsidRPr="000A0A5F" w:rsidRDefault="00CB0DD7">
            <w:pPr>
              <w:pStyle w:val="TAH"/>
            </w:pPr>
            <w:r w:rsidRPr="000A0A5F">
              <w:t>Name</w:t>
            </w:r>
          </w:p>
        </w:tc>
        <w:tc>
          <w:tcPr>
            <w:tcW w:w="679" w:type="pct"/>
            <w:shd w:val="clear" w:color="000000" w:fill="C0C0C0"/>
          </w:tcPr>
          <w:p w:rsidR="00CB0DD7" w:rsidRPr="000A0A5F" w:rsidRDefault="00CB0DD7">
            <w:pPr>
              <w:pStyle w:val="TAH"/>
            </w:pPr>
            <w:r w:rsidRPr="000A0A5F">
              <w:rPr>
                <w:rFonts w:hint="eastAsia"/>
                <w:lang w:eastAsia="zh-CN"/>
              </w:rPr>
              <w:t>D</w:t>
            </w:r>
            <w:r w:rsidRPr="000A0A5F">
              <w:rPr>
                <w:lang w:eastAsia="zh-CN"/>
              </w:rPr>
              <w:t>ata type</w:t>
            </w:r>
          </w:p>
        </w:tc>
        <w:tc>
          <w:tcPr>
            <w:tcW w:w="3301" w:type="pct"/>
            <w:shd w:val="clear" w:color="000000" w:fill="C0C0C0"/>
            <w:vAlign w:val="center"/>
          </w:tcPr>
          <w:p w:rsidR="00CB0DD7" w:rsidRPr="000A0A5F" w:rsidRDefault="00CB0DD7">
            <w:pPr>
              <w:pStyle w:val="TAH"/>
            </w:pPr>
            <w:r w:rsidRPr="000A0A5F">
              <w:t>Definition</w:t>
            </w:r>
          </w:p>
        </w:tc>
      </w:tr>
      <w:tr w:rsidR="00CB0DD7" w:rsidRPr="000A0A5F" w:rsidTr="00FF0AF8">
        <w:trPr>
          <w:jc w:val="center"/>
        </w:trPr>
        <w:tc>
          <w:tcPr>
            <w:tcW w:w="1020" w:type="pct"/>
            <w:shd w:val="clear" w:color="auto" w:fill="auto"/>
          </w:tcPr>
          <w:p w:rsidR="00CB0DD7" w:rsidRPr="000A0A5F" w:rsidRDefault="00CB0DD7">
            <w:pPr>
              <w:pStyle w:val="TAL"/>
              <w:rPr>
                <w:lang w:eastAsia="zh-CN"/>
              </w:rPr>
            </w:pPr>
            <w:r w:rsidRPr="000A0A5F">
              <w:rPr>
                <w:rFonts w:hint="eastAsia"/>
                <w:lang w:eastAsia="zh-CN"/>
              </w:rPr>
              <w:t>notificationDestination</w:t>
            </w:r>
          </w:p>
        </w:tc>
        <w:tc>
          <w:tcPr>
            <w:tcW w:w="679" w:type="pct"/>
          </w:tcPr>
          <w:p w:rsidR="00CB0DD7" w:rsidRPr="000A0A5F" w:rsidRDefault="00CB0DD7">
            <w:pPr>
              <w:pStyle w:val="TAL"/>
            </w:pPr>
            <w:r w:rsidRPr="000A0A5F">
              <w:t>Link</w:t>
            </w:r>
          </w:p>
        </w:tc>
        <w:tc>
          <w:tcPr>
            <w:tcW w:w="3301" w:type="pct"/>
            <w:shd w:val="clear" w:color="auto" w:fill="auto"/>
            <w:vAlign w:val="center"/>
          </w:tcPr>
          <w:p w:rsidR="00CB0DD7" w:rsidRPr="000A0A5F" w:rsidRDefault="00CB0DD7">
            <w:pPr>
              <w:pStyle w:val="TAL"/>
            </w:pPr>
            <w:r w:rsidRPr="000A0A5F">
              <w:t>Callback reference provided by the SCS/AS during creation or modification of the network status reporting subscription.</w:t>
            </w:r>
          </w:p>
        </w:tc>
      </w:tr>
    </w:tbl>
    <w:p w:rsidR="00CB0DD7" w:rsidRPr="000A0A5F" w:rsidRDefault="00CB0DD7"/>
    <w:p w:rsidR="00CB0DD7" w:rsidRPr="000A0A5F" w:rsidRDefault="00CB0DD7">
      <w:pPr>
        <w:pStyle w:val="Heading5"/>
        <w:rPr>
          <w:noProof/>
        </w:rPr>
      </w:pPr>
      <w:bookmarkStart w:id="7023" w:name="_Toc66360815"/>
      <w:bookmarkStart w:id="7024" w:name="_Toc68105320"/>
      <w:bookmarkStart w:id="7025" w:name="_Toc74755950"/>
      <w:bookmarkStart w:id="7026" w:name="_Toc105674826"/>
      <w:bookmarkStart w:id="7027" w:name="_Toc130502886"/>
      <w:bookmarkStart w:id="7028" w:name="_Toc153625673"/>
      <w:r w:rsidRPr="000A0A5F">
        <w:t>5.9.</w:t>
      </w:r>
      <w:r w:rsidR="00790FC9" w:rsidRPr="000A0A5F">
        <w:t>3A</w:t>
      </w:r>
      <w:r w:rsidRPr="000A0A5F">
        <w:t>.2</w:t>
      </w:r>
      <w:r w:rsidRPr="000A0A5F">
        <w:rPr>
          <w:noProof/>
        </w:rPr>
        <w:t>.3</w:t>
      </w:r>
      <w:r w:rsidRPr="000A0A5F">
        <w:rPr>
          <w:noProof/>
        </w:rPr>
        <w:tab/>
        <w:t>Standard Methods</w:t>
      </w:r>
      <w:bookmarkEnd w:id="7023"/>
      <w:bookmarkEnd w:id="7024"/>
      <w:bookmarkEnd w:id="7025"/>
      <w:bookmarkEnd w:id="7026"/>
      <w:bookmarkEnd w:id="7027"/>
      <w:bookmarkEnd w:id="7028"/>
    </w:p>
    <w:p w:rsidR="00CB0DD7" w:rsidRPr="000A0A5F" w:rsidRDefault="00CB0DD7">
      <w:pPr>
        <w:pStyle w:val="Heading6"/>
        <w:rPr>
          <w:noProof/>
        </w:rPr>
      </w:pPr>
      <w:bookmarkStart w:id="7029" w:name="_Toc66360816"/>
      <w:bookmarkStart w:id="7030" w:name="_Toc68105321"/>
      <w:bookmarkStart w:id="7031" w:name="_Toc74755951"/>
      <w:bookmarkStart w:id="7032" w:name="_Toc105674827"/>
      <w:bookmarkStart w:id="7033" w:name="_Toc130502887"/>
      <w:bookmarkStart w:id="7034" w:name="_Toc153625674"/>
      <w:r w:rsidRPr="000A0A5F">
        <w:t>5.9.</w:t>
      </w:r>
      <w:r w:rsidR="00790FC9" w:rsidRPr="000A0A5F">
        <w:t>3A</w:t>
      </w:r>
      <w:r w:rsidRPr="000A0A5F">
        <w:t>.2.3</w:t>
      </w:r>
      <w:r w:rsidRPr="000A0A5F">
        <w:rPr>
          <w:noProof/>
        </w:rPr>
        <w:t>.1</w:t>
      </w:r>
      <w:r w:rsidRPr="000A0A5F">
        <w:rPr>
          <w:noProof/>
        </w:rPr>
        <w:tab/>
      </w:r>
      <w:r w:rsidRPr="000A0A5F">
        <w:t>Notification via POST</w:t>
      </w:r>
      <w:bookmarkEnd w:id="7029"/>
      <w:bookmarkEnd w:id="7030"/>
      <w:bookmarkEnd w:id="7031"/>
      <w:bookmarkEnd w:id="7032"/>
      <w:bookmarkEnd w:id="7033"/>
      <w:bookmarkEnd w:id="7034"/>
    </w:p>
    <w:p w:rsidR="00CB0DD7" w:rsidRPr="000A0A5F" w:rsidRDefault="00CB0DD7">
      <w:pPr>
        <w:rPr>
          <w:noProof/>
          <w:lang w:eastAsia="zh-CN"/>
        </w:rPr>
      </w:pPr>
      <w:r w:rsidRPr="000A0A5F">
        <w:rPr>
          <w:noProof/>
          <w:lang w:eastAsia="zh-CN"/>
        </w:rPr>
        <w:t>The HTTP POST method reports the detected network status for a network status subscription. The SCEF shall initiate the HTTP POST request message and the SCS/AS shall respond to the message.</w:t>
      </w:r>
    </w:p>
    <w:p w:rsidR="00CB0DD7" w:rsidRPr="000A0A5F" w:rsidRDefault="00CB0DD7">
      <w:pPr>
        <w:rPr>
          <w:noProof/>
        </w:rPr>
      </w:pPr>
      <w:r w:rsidRPr="000A0A5F">
        <w:rPr>
          <w:noProof/>
        </w:rPr>
        <w:t>This method shall support the request data structures specified in table </w:t>
      </w:r>
      <w:r w:rsidRPr="000A0A5F">
        <w:t>5.9.</w:t>
      </w:r>
      <w:r w:rsidR="00790FC9" w:rsidRPr="000A0A5F">
        <w:t>3A</w:t>
      </w:r>
      <w:r w:rsidRPr="000A0A5F">
        <w:t>.2</w:t>
      </w:r>
      <w:r w:rsidRPr="000A0A5F">
        <w:rPr>
          <w:noProof/>
        </w:rPr>
        <w:t>.3.1-1 and the response data structures and response codes specified in table </w:t>
      </w:r>
      <w:r w:rsidRPr="000A0A5F">
        <w:t>5.9.</w:t>
      </w:r>
      <w:r w:rsidR="00790FC9" w:rsidRPr="000A0A5F">
        <w:t>3A</w:t>
      </w:r>
      <w:r w:rsidRPr="000A0A5F">
        <w:t>.2</w:t>
      </w:r>
      <w:r w:rsidRPr="000A0A5F">
        <w:rPr>
          <w:noProof/>
        </w:rPr>
        <w:t>.3.1-2.</w:t>
      </w:r>
    </w:p>
    <w:p w:rsidR="00CB0DD7" w:rsidRPr="000A0A5F" w:rsidRDefault="00CB0DD7">
      <w:pPr>
        <w:pStyle w:val="TH"/>
        <w:rPr>
          <w:noProof/>
        </w:rPr>
      </w:pPr>
      <w:r w:rsidRPr="000A0A5F">
        <w:rPr>
          <w:noProof/>
        </w:rPr>
        <w:t>Table </w:t>
      </w:r>
      <w:r w:rsidRPr="000A0A5F">
        <w:t>5.9.</w:t>
      </w:r>
      <w:r w:rsidR="00790FC9" w:rsidRPr="000A0A5F">
        <w:t>3A</w:t>
      </w:r>
      <w:r w:rsidRPr="000A0A5F">
        <w:t>.2</w:t>
      </w:r>
      <w:r w:rsidRPr="000A0A5F">
        <w:rPr>
          <w:noProof/>
        </w:rPr>
        <w:t>.3.1-1: Data structures supported by the POST Request Body</w:t>
      </w:r>
    </w:p>
    <w:tbl>
      <w:tblPr>
        <w:tblW w:w="9670" w:type="dxa"/>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3340"/>
        <w:gridCol w:w="1170"/>
        <w:gridCol w:w="5160"/>
      </w:tblGrid>
      <w:tr w:rsidR="00CB0DD7" w:rsidRPr="000A0A5F" w:rsidTr="00846044">
        <w:trPr>
          <w:jc w:val="center"/>
        </w:trPr>
        <w:tc>
          <w:tcPr>
            <w:tcW w:w="3340" w:type="dxa"/>
            <w:tcBorders>
              <w:bottom w:val="single" w:sz="6" w:space="0" w:color="auto"/>
            </w:tcBorders>
            <w:shd w:val="clear" w:color="auto" w:fill="C0C0C0"/>
            <w:hideMark/>
          </w:tcPr>
          <w:p w:rsidR="00CB0DD7" w:rsidRPr="000A0A5F" w:rsidRDefault="00CB0DD7">
            <w:pPr>
              <w:pStyle w:val="TAH"/>
              <w:rPr>
                <w:noProof/>
              </w:rPr>
            </w:pPr>
            <w:r w:rsidRPr="000A0A5F">
              <w:rPr>
                <w:noProof/>
              </w:rPr>
              <w:t>Data type</w:t>
            </w:r>
          </w:p>
        </w:tc>
        <w:tc>
          <w:tcPr>
            <w:tcW w:w="1170" w:type="dxa"/>
            <w:tcBorders>
              <w:bottom w:val="single" w:sz="6" w:space="0" w:color="auto"/>
            </w:tcBorders>
            <w:shd w:val="clear" w:color="auto" w:fill="C0C0C0"/>
            <w:hideMark/>
          </w:tcPr>
          <w:p w:rsidR="00CB0DD7" w:rsidRPr="000A0A5F" w:rsidRDefault="00CB0DD7">
            <w:pPr>
              <w:pStyle w:val="TAH"/>
              <w:rPr>
                <w:noProof/>
              </w:rPr>
            </w:pPr>
            <w:r w:rsidRPr="000A0A5F">
              <w:rPr>
                <w:noProof/>
              </w:rPr>
              <w:t>Cardinality</w:t>
            </w:r>
          </w:p>
        </w:tc>
        <w:tc>
          <w:tcPr>
            <w:tcW w:w="5160" w:type="dxa"/>
            <w:tcBorders>
              <w:bottom w:val="single" w:sz="6" w:space="0" w:color="auto"/>
            </w:tcBorders>
            <w:shd w:val="clear" w:color="auto" w:fill="C0C0C0"/>
            <w:vAlign w:val="center"/>
            <w:hideMark/>
          </w:tcPr>
          <w:p w:rsidR="00CB0DD7" w:rsidRPr="000A0A5F" w:rsidRDefault="00CB0DD7">
            <w:pPr>
              <w:pStyle w:val="TAH"/>
              <w:rPr>
                <w:noProof/>
              </w:rPr>
            </w:pPr>
            <w:r w:rsidRPr="000A0A5F">
              <w:rPr>
                <w:noProof/>
              </w:rPr>
              <w:t>Description</w:t>
            </w:r>
          </w:p>
        </w:tc>
      </w:tr>
      <w:tr w:rsidR="00CB0DD7" w:rsidRPr="000A0A5F" w:rsidTr="00846044">
        <w:trPr>
          <w:jc w:val="center"/>
        </w:trPr>
        <w:tc>
          <w:tcPr>
            <w:tcW w:w="3340" w:type="dxa"/>
            <w:tcBorders>
              <w:top w:val="single" w:sz="6" w:space="0" w:color="auto"/>
            </w:tcBorders>
          </w:tcPr>
          <w:p w:rsidR="00CB0DD7" w:rsidRPr="000A0A5F" w:rsidRDefault="00CB0DD7">
            <w:pPr>
              <w:pStyle w:val="TAL"/>
              <w:rPr>
                <w:noProof/>
              </w:rPr>
            </w:pPr>
            <w:r w:rsidRPr="000A0A5F">
              <w:t>NetworkStatusReportingNotification</w:t>
            </w:r>
          </w:p>
        </w:tc>
        <w:tc>
          <w:tcPr>
            <w:tcW w:w="1170" w:type="dxa"/>
            <w:tcBorders>
              <w:top w:val="single" w:sz="6" w:space="0" w:color="auto"/>
            </w:tcBorders>
          </w:tcPr>
          <w:p w:rsidR="00CB0DD7" w:rsidRPr="000A0A5F" w:rsidRDefault="00CB0DD7">
            <w:pPr>
              <w:pStyle w:val="TAC"/>
              <w:rPr>
                <w:noProof/>
                <w:lang w:eastAsia="zh-CN"/>
              </w:rPr>
            </w:pPr>
            <w:r w:rsidRPr="000A0A5F">
              <w:rPr>
                <w:rFonts w:hint="eastAsia"/>
                <w:lang w:eastAsia="zh-CN"/>
              </w:rPr>
              <w:t>1</w:t>
            </w:r>
          </w:p>
        </w:tc>
        <w:tc>
          <w:tcPr>
            <w:tcW w:w="5160" w:type="dxa"/>
            <w:tcBorders>
              <w:top w:val="single" w:sz="6" w:space="0" w:color="auto"/>
            </w:tcBorders>
          </w:tcPr>
          <w:p w:rsidR="00CB0DD7" w:rsidRPr="000A0A5F" w:rsidRDefault="00CB0DD7">
            <w:pPr>
              <w:pStyle w:val="TAL"/>
              <w:rPr>
                <w:noProof/>
              </w:rPr>
            </w:pPr>
            <w:r w:rsidRPr="000A0A5F">
              <w:rPr>
                <w:lang w:eastAsia="zh-CN"/>
              </w:rPr>
              <w:t>T</w:t>
            </w:r>
            <w:r w:rsidRPr="000A0A5F">
              <w:rPr>
                <w:rFonts w:hint="eastAsia"/>
                <w:lang w:eastAsia="zh-CN"/>
              </w:rPr>
              <w:t xml:space="preserve">he network status </w:t>
            </w:r>
            <w:r w:rsidRPr="000A0A5F">
              <w:rPr>
                <w:lang w:eastAsia="zh-CN"/>
              </w:rPr>
              <w:t xml:space="preserve">reporting </w:t>
            </w:r>
            <w:r w:rsidRPr="000A0A5F">
              <w:rPr>
                <w:rFonts w:hint="eastAsia"/>
                <w:lang w:eastAsia="zh-CN"/>
              </w:rPr>
              <w:t>notification provided by the SCEF</w:t>
            </w:r>
            <w:r w:rsidRPr="000A0A5F">
              <w:rPr>
                <w:lang w:eastAsia="zh-CN"/>
              </w:rPr>
              <w:t>.</w:t>
            </w:r>
          </w:p>
        </w:tc>
      </w:tr>
    </w:tbl>
    <w:p w:rsidR="00CB0DD7" w:rsidRPr="000A0A5F" w:rsidRDefault="00CB0DD7">
      <w:pPr>
        <w:rPr>
          <w:noProof/>
        </w:rPr>
      </w:pPr>
    </w:p>
    <w:p w:rsidR="00CB0DD7" w:rsidRPr="000A0A5F" w:rsidRDefault="00CB0DD7">
      <w:pPr>
        <w:pStyle w:val="TH"/>
        <w:rPr>
          <w:noProof/>
        </w:rPr>
      </w:pPr>
      <w:r w:rsidRPr="000A0A5F">
        <w:rPr>
          <w:noProof/>
        </w:rPr>
        <w:t>Table </w:t>
      </w:r>
      <w:r w:rsidRPr="000A0A5F">
        <w:t>5.9.</w:t>
      </w:r>
      <w:r w:rsidR="00790FC9" w:rsidRPr="000A0A5F">
        <w:t>3A</w:t>
      </w:r>
      <w:r w:rsidRPr="000A0A5F">
        <w:t>.2</w:t>
      </w:r>
      <w:r w:rsidRPr="000A0A5F">
        <w:rPr>
          <w:noProof/>
        </w:rPr>
        <w:t>.3.1-2: Data structures supported by the POST Response Body</w:t>
      </w:r>
    </w:p>
    <w:tbl>
      <w:tblPr>
        <w:tblW w:w="961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293"/>
        <w:gridCol w:w="1259"/>
        <w:gridCol w:w="1441"/>
        <w:gridCol w:w="4619"/>
      </w:tblGrid>
      <w:tr w:rsidR="00CB0DD7" w:rsidRPr="000A0A5F" w:rsidTr="00FF0AF8">
        <w:trPr>
          <w:jc w:val="center"/>
        </w:trPr>
        <w:tc>
          <w:tcPr>
            <w:tcW w:w="2293" w:type="dxa"/>
            <w:shd w:val="clear" w:color="auto" w:fill="C0C0C0"/>
            <w:hideMark/>
          </w:tcPr>
          <w:p w:rsidR="00CB0DD7" w:rsidRPr="000A0A5F" w:rsidRDefault="00CB0DD7">
            <w:pPr>
              <w:pStyle w:val="TAH"/>
              <w:rPr>
                <w:noProof/>
              </w:rPr>
            </w:pPr>
            <w:r w:rsidRPr="000A0A5F">
              <w:rPr>
                <w:noProof/>
              </w:rPr>
              <w:t>Data type</w:t>
            </w:r>
          </w:p>
        </w:tc>
        <w:tc>
          <w:tcPr>
            <w:tcW w:w="1259" w:type="dxa"/>
            <w:shd w:val="clear" w:color="auto" w:fill="C0C0C0"/>
            <w:hideMark/>
          </w:tcPr>
          <w:p w:rsidR="00CB0DD7" w:rsidRPr="000A0A5F" w:rsidRDefault="00CB0DD7">
            <w:pPr>
              <w:pStyle w:val="TAH"/>
              <w:rPr>
                <w:noProof/>
              </w:rPr>
            </w:pPr>
            <w:r w:rsidRPr="000A0A5F">
              <w:rPr>
                <w:noProof/>
              </w:rPr>
              <w:t>Cardinality</w:t>
            </w:r>
          </w:p>
        </w:tc>
        <w:tc>
          <w:tcPr>
            <w:tcW w:w="1441" w:type="dxa"/>
            <w:shd w:val="clear" w:color="auto" w:fill="C0C0C0"/>
            <w:hideMark/>
          </w:tcPr>
          <w:p w:rsidR="00CB0DD7" w:rsidRPr="000A0A5F" w:rsidRDefault="00CB0DD7">
            <w:pPr>
              <w:pStyle w:val="TAH"/>
              <w:rPr>
                <w:noProof/>
              </w:rPr>
            </w:pPr>
            <w:r w:rsidRPr="000A0A5F">
              <w:rPr>
                <w:noProof/>
              </w:rPr>
              <w:t>Response codes</w:t>
            </w:r>
          </w:p>
        </w:tc>
        <w:tc>
          <w:tcPr>
            <w:tcW w:w="4619" w:type="dxa"/>
            <w:shd w:val="clear" w:color="auto" w:fill="C0C0C0"/>
            <w:hideMark/>
          </w:tcPr>
          <w:p w:rsidR="00CB0DD7" w:rsidRPr="000A0A5F" w:rsidRDefault="00CB0DD7">
            <w:pPr>
              <w:pStyle w:val="TAH"/>
              <w:rPr>
                <w:noProof/>
              </w:rPr>
            </w:pPr>
            <w:r w:rsidRPr="000A0A5F">
              <w:rPr>
                <w:noProof/>
              </w:rPr>
              <w:t>Description</w:t>
            </w:r>
          </w:p>
        </w:tc>
      </w:tr>
      <w:tr w:rsidR="00CB0DD7" w:rsidRPr="000A0A5F" w:rsidTr="00FF0AF8">
        <w:trPr>
          <w:jc w:val="center"/>
        </w:trPr>
        <w:tc>
          <w:tcPr>
            <w:tcW w:w="2293" w:type="dxa"/>
          </w:tcPr>
          <w:p w:rsidR="00CB0DD7" w:rsidRPr="000A0A5F" w:rsidRDefault="00CB0DD7">
            <w:pPr>
              <w:pStyle w:val="TAL"/>
              <w:rPr>
                <w:noProof/>
              </w:rPr>
            </w:pPr>
            <w:r w:rsidRPr="000A0A5F">
              <w:t>none</w:t>
            </w:r>
          </w:p>
        </w:tc>
        <w:tc>
          <w:tcPr>
            <w:tcW w:w="1259" w:type="dxa"/>
          </w:tcPr>
          <w:p w:rsidR="00CB0DD7" w:rsidRPr="000A0A5F" w:rsidRDefault="00CB0DD7">
            <w:pPr>
              <w:pStyle w:val="TAC"/>
              <w:rPr>
                <w:noProof/>
              </w:rPr>
            </w:pPr>
          </w:p>
        </w:tc>
        <w:tc>
          <w:tcPr>
            <w:tcW w:w="1441" w:type="dxa"/>
          </w:tcPr>
          <w:p w:rsidR="00CB0DD7" w:rsidRPr="000A0A5F" w:rsidRDefault="00CB0DD7">
            <w:pPr>
              <w:pStyle w:val="TAL"/>
              <w:rPr>
                <w:noProof/>
              </w:rPr>
            </w:pPr>
            <w:r w:rsidRPr="000A0A5F">
              <w:t>204 No Content</w:t>
            </w:r>
          </w:p>
        </w:tc>
        <w:tc>
          <w:tcPr>
            <w:tcW w:w="4619" w:type="dxa"/>
          </w:tcPr>
          <w:p w:rsidR="00CB0DD7" w:rsidRPr="000A0A5F" w:rsidRDefault="00CB0DD7">
            <w:pPr>
              <w:pStyle w:val="TAL"/>
              <w:rPr>
                <w:noProof/>
              </w:rPr>
            </w:pPr>
            <w:r w:rsidRPr="000A0A5F">
              <w:t>The network status reporting notification is received successfully.</w:t>
            </w:r>
          </w:p>
        </w:tc>
      </w:tr>
      <w:tr w:rsidR="00CB0DD7" w:rsidRPr="000A0A5F" w:rsidTr="00FF0AF8">
        <w:trPr>
          <w:jc w:val="center"/>
        </w:trPr>
        <w:tc>
          <w:tcPr>
            <w:tcW w:w="2293" w:type="dxa"/>
          </w:tcPr>
          <w:p w:rsidR="00CB0DD7" w:rsidRPr="000A0A5F" w:rsidRDefault="00CB0DD7">
            <w:pPr>
              <w:pStyle w:val="TAL"/>
            </w:pPr>
            <w:r w:rsidRPr="000A0A5F">
              <w:t>none</w:t>
            </w:r>
          </w:p>
        </w:tc>
        <w:tc>
          <w:tcPr>
            <w:tcW w:w="1259" w:type="dxa"/>
          </w:tcPr>
          <w:p w:rsidR="00CB0DD7" w:rsidRPr="000A0A5F" w:rsidRDefault="00CB0DD7">
            <w:pPr>
              <w:pStyle w:val="TAC"/>
              <w:rPr>
                <w:noProof/>
              </w:rPr>
            </w:pPr>
          </w:p>
        </w:tc>
        <w:tc>
          <w:tcPr>
            <w:tcW w:w="1441" w:type="dxa"/>
          </w:tcPr>
          <w:p w:rsidR="00CB0DD7" w:rsidRPr="000A0A5F" w:rsidRDefault="00CB0DD7">
            <w:pPr>
              <w:pStyle w:val="TAL"/>
            </w:pPr>
            <w:r w:rsidRPr="000A0A5F">
              <w:t>307 Temporary Redirect</w:t>
            </w:r>
          </w:p>
        </w:tc>
        <w:tc>
          <w:tcPr>
            <w:tcW w:w="4619" w:type="dxa"/>
          </w:tcPr>
          <w:p w:rsidR="00CB0DD7" w:rsidRPr="000A0A5F" w:rsidRDefault="00CB0DD7">
            <w:pPr>
              <w:pStyle w:val="TAL"/>
            </w:pPr>
            <w:r w:rsidRPr="000A0A5F">
              <w:t>Temporary redirection, during notification. The response shall include a Location header field containing an alternative URI representing the end point of an alternative SCS/AS where the notification should be sent.</w:t>
            </w:r>
          </w:p>
          <w:p w:rsidR="00CB0DD7" w:rsidRPr="000A0A5F" w:rsidRDefault="00CB0DD7">
            <w:pPr>
              <w:pStyle w:val="TAL"/>
            </w:pPr>
            <w:r w:rsidRPr="000A0A5F">
              <w:t>Redirection handling is described in clause 5.2.10.</w:t>
            </w:r>
          </w:p>
        </w:tc>
      </w:tr>
      <w:tr w:rsidR="00CB0DD7" w:rsidRPr="000A0A5F" w:rsidTr="00FF0AF8">
        <w:trPr>
          <w:jc w:val="center"/>
        </w:trPr>
        <w:tc>
          <w:tcPr>
            <w:tcW w:w="2293" w:type="dxa"/>
          </w:tcPr>
          <w:p w:rsidR="00CB0DD7" w:rsidRPr="000A0A5F" w:rsidRDefault="00CB0DD7">
            <w:pPr>
              <w:pStyle w:val="TAL"/>
            </w:pPr>
            <w:r w:rsidRPr="000A0A5F">
              <w:t>none</w:t>
            </w:r>
          </w:p>
        </w:tc>
        <w:tc>
          <w:tcPr>
            <w:tcW w:w="1259" w:type="dxa"/>
          </w:tcPr>
          <w:p w:rsidR="00CB0DD7" w:rsidRPr="000A0A5F" w:rsidRDefault="00CB0DD7">
            <w:pPr>
              <w:pStyle w:val="TAC"/>
              <w:rPr>
                <w:noProof/>
              </w:rPr>
            </w:pPr>
          </w:p>
        </w:tc>
        <w:tc>
          <w:tcPr>
            <w:tcW w:w="1441" w:type="dxa"/>
          </w:tcPr>
          <w:p w:rsidR="00CB0DD7" w:rsidRPr="000A0A5F" w:rsidRDefault="00CB0DD7">
            <w:pPr>
              <w:pStyle w:val="TAL"/>
            </w:pPr>
            <w:r w:rsidRPr="000A0A5F">
              <w:t>308 Permanent Redirect</w:t>
            </w:r>
          </w:p>
        </w:tc>
        <w:tc>
          <w:tcPr>
            <w:tcW w:w="4619" w:type="dxa"/>
          </w:tcPr>
          <w:p w:rsidR="00CB0DD7" w:rsidRPr="000A0A5F" w:rsidRDefault="00CB0DD7">
            <w:pPr>
              <w:pStyle w:val="TAL"/>
            </w:pPr>
            <w:r w:rsidRPr="000A0A5F">
              <w:t>Permanent redirection, during notification. The response shall include a Location header field containing an alternative URI representing the end point of an alternative SCS/AS where the notification should be sent.</w:t>
            </w:r>
          </w:p>
          <w:p w:rsidR="00CB0DD7" w:rsidRPr="000A0A5F" w:rsidRDefault="00CB0DD7">
            <w:pPr>
              <w:pStyle w:val="TAL"/>
            </w:pPr>
            <w:r w:rsidRPr="000A0A5F">
              <w:t>Redirection handling is described in clause 5.2.10.</w:t>
            </w:r>
          </w:p>
        </w:tc>
      </w:tr>
      <w:tr w:rsidR="00CB0DD7" w:rsidRPr="000A0A5F" w:rsidTr="00FF0AF8">
        <w:trPr>
          <w:jc w:val="center"/>
        </w:trPr>
        <w:tc>
          <w:tcPr>
            <w:tcW w:w="9612" w:type="dxa"/>
            <w:gridSpan w:val="4"/>
          </w:tcPr>
          <w:p w:rsidR="00CB0DD7" w:rsidRPr="000A0A5F" w:rsidRDefault="00CB0DD7">
            <w:pPr>
              <w:pStyle w:val="TAN"/>
            </w:pPr>
            <w:r w:rsidRPr="000A0A5F">
              <w:t>NOTE:</w:t>
            </w:r>
            <w:r w:rsidRPr="000A0A5F">
              <w:tab/>
              <w:t>The mandatory HTTP error status codes for the POST method listed in table 5.2.6-1 also apply.</w:t>
            </w:r>
          </w:p>
        </w:tc>
      </w:tr>
    </w:tbl>
    <w:p w:rsidR="00CB0DD7" w:rsidRPr="000A0A5F" w:rsidRDefault="00CB0DD7">
      <w:pPr>
        <w:rPr>
          <w:noProof/>
        </w:rPr>
      </w:pPr>
    </w:p>
    <w:p w:rsidR="00CB0DD7" w:rsidRPr="000A0A5F" w:rsidRDefault="00CB0DD7">
      <w:pPr>
        <w:pStyle w:val="TH"/>
      </w:pPr>
      <w:r w:rsidRPr="000A0A5F">
        <w:t>Table</w:t>
      </w:r>
      <w:r w:rsidRPr="000A0A5F">
        <w:rPr>
          <w:noProof/>
        </w:rPr>
        <w:t> </w:t>
      </w:r>
      <w:r w:rsidRPr="000A0A5F">
        <w:t>5.9.</w:t>
      </w:r>
      <w:r w:rsidR="00790FC9" w:rsidRPr="000A0A5F">
        <w:t>3A</w:t>
      </w:r>
      <w:r w:rsidRPr="000A0A5F">
        <w:t>.2</w:t>
      </w:r>
      <w:r w:rsidRPr="000A0A5F">
        <w:rPr>
          <w:noProof/>
        </w:rPr>
        <w:t>.3.1</w:t>
      </w:r>
      <w:r w:rsidRPr="000A0A5F">
        <w:t>-3: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representing the end point of an alternative SCS/AS towards which the notification should be redirected.</w:t>
            </w:r>
          </w:p>
        </w:tc>
      </w:tr>
    </w:tbl>
    <w:p w:rsidR="00CB0DD7" w:rsidRPr="000A0A5F" w:rsidRDefault="00CB0DD7"/>
    <w:p w:rsidR="00CB0DD7" w:rsidRPr="000A0A5F" w:rsidRDefault="00CB0DD7">
      <w:pPr>
        <w:pStyle w:val="TH"/>
      </w:pPr>
      <w:r w:rsidRPr="000A0A5F">
        <w:t>Table</w:t>
      </w:r>
      <w:r w:rsidRPr="000A0A5F">
        <w:rPr>
          <w:noProof/>
        </w:rPr>
        <w:t> </w:t>
      </w:r>
      <w:r w:rsidRPr="000A0A5F">
        <w:t>5.9.</w:t>
      </w:r>
      <w:r w:rsidR="00790FC9" w:rsidRPr="000A0A5F">
        <w:t>3A</w:t>
      </w:r>
      <w:r w:rsidRPr="000A0A5F">
        <w:t>.2</w:t>
      </w:r>
      <w:r w:rsidRPr="000A0A5F">
        <w:rPr>
          <w:noProof/>
        </w:rPr>
        <w:t>.3.1</w:t>
      </w:r>
      <w:r w:rsidRPr="000A0A5F">
        <w:t>-4: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representing the end point of an alternative SCS/AS towards which the notification should be redirected.</w:t>
            </w:r>
          </w:p>
        </w:tc>
      </w:tr>
    </w:tbl>
    <w:p w:rsidR="00CB0DD7" w:rsidRPr="000A0A5F" w:rsidRDefault="00CB0DD7">
      <w:pPr>
        <w:rPr>
          <w:noProof/>
        </w:rPr>
      </w:pPr>
    </w:p>
    <w:p w:rsidR="00CB0DD7" w:rsidRPr="000A0A5F" w:rsidRDefault="00CB0DD7">
      <w:pPr>
        <w:pStyle w:val="Heading6"/>
        <w:rPr>
          <w:noProof/>
        </w:rPr>
      </w:pPr>
      <w:bookmarkStart w:id="7035" w:name="_Toc66360817"/>
      <w:bookmarkStart w:id="7036" w:name="_Toc68105322"/>
      <w:bookmarkStart w:id="7037" w:name="_Toc74755952"/>
      <w:bookmarkStart w:id="7038" w:name="_Toc105674828"/>
      <w:bookmarkStart w:id="7039" w:name="_Toc130502888"/>
      <w:bookmarkStart w:id="7040" w:name="_Toc153625675"/>
      <w:r w:rsidRPr="000A0A5F">
        <w:t>5.9.</w:t>
      </w:r>
      <w:r w:rsidR="00790FC9" w:rsidRPr="000A0A5F">
        <w:t>3A</w:t>
      </w:r>
      <w:r w:rsidRPr="000A0A5F">
        <w:t>.2.3</w:t>
      </w:r>
      <w:r w:rsidRPr="000A0A5F">
        <w:rPr>
          <w:noProof/>
        </w:rPr>
        <w:t>.2</w:t>
      </w:r>
      <w:r w:rsidRPr="000A0A5F">
        <w:rPr>
          <w:noProof/>
        </w:rPr>
        <w:tab/>
      </w:r>
      <w:r w:rsidRPr="000A0A5F">
        <w:t>Notification via Websocket</w:t>
      </w:r>
      <w:bookmarkEnd w:id="7035"/>
      <w:bookmarkEnd w:id="7036"/>
      <w:bookmarkEnd w:id="7037"/>
      <w:bookmarkEnd w:id="7038"/>
      <w:bookmarkEnd w:id="7039"/>
      <w:bookmarkEnd w:id="7040"/>
    </w:p>
    <w:p w:rsidR="00CB0DD7" w:rsidRPr="000A0A5F" w:rsidRDefault="00CB0DD7">
      <w:pPr>
        <w:rPr>
          <w:rFonts w:eastAsia="MS Mincho"/>
          <w:lang w:eastAsia="ja-JP"/>
        </w:rPr>
      </w:pPr>
      <w:r w:rsidRPr="000A0A5F">
        <w:t>If supported by both SCS/AS and SCEF and successfully negotiated</w:t>
      </w:r>
      <w:r w:rsidRPr="000A0A5F">
        <w:rPr>
          <w:lang w:eastAsia="zh-CN"/>
        </w:rPr>
        <w:t xml:space="preserve">, the </w:t>
      </w:r>
      <w:r w:rsidRPr="000A0A5F">
        <w:t>NetworkStatusReportingNotification</w:t>
      </w:r>
      <w:r w:rsidRPr="000A0A5F">
        <w:rPr>
          <w:lang w:eastAsia="zh-CN"/>
        </w:rPr>
        <w:t xml:space="preserve"> may alternatively be delivered through the Websocket mechanism as defined in clause 5.2.5.4.</w:t>
      </w:r>
    </w:p>
    <w:p w:rsidR="00CB0DD7" w:rsidRPr="000A0A5F" w:rsidRDefault="00CB0DD7">
      <w:pPr>
        <w:rPr>
          <w:rFonts w:eastAsia="MS Mincho"/>
          <w:lang w:eastAsia="ja-JP"/>
        </w:rPr>
      </w:pPr>
    </w:p>
    <w:p w:rsidR="00CB0DD7" w:rsidRPr="000A0A5F" w:rsidRDefault="00CB0DD7">
      <w:pPr>
        <w:pStyle w:val="Heading3"/>
      </w:pPr>
      <w:bookmarkStart w:id="7041" w:name="_Toc11247713"/>
      <w:bookmarkStart w:id="7042" w:name="_Toc27044852"/>
      <w:bookmarkStart w:id="7043" w:name="_Toc36033894"/>
      <w:bookmarkStart w:id="7044" w:name="_Toc45132040"/>
      <w:bookmarkStart w:id="7045" w:name="_Toc49776325"/>
      <w:bookmarkStart w:id="7046" w:name="_Toc51747245"/>
      <w:bookmarkStart w:id="7047" w:name="_Toc66360818"/>
      <w:bookmarkStart w:id="7048" w:name="_Toc68105323"/>
      <w:bookmarkStart w:id="7049" w:name="_Toc74755953"/>
      <w:bookmarkStart w:id="7050" w:name="_Toc105674829"/>
      <w:bookmarkStart w:id="7051" w:name="_Toc130502889"/>
      <w:bookmarkStart w:id="7052" w:name="_Toc153625676"/>
      <w:r w:rsidRPr="000A0A5F">
        <w:t>5.9.4</w:t>
      </w:r>
      <w:r w:rsidRPr="000A0A5F">
        <w:tab/>
        <w:t>Used Features</w:t>
      </w:r>
      <w:bookmarkEnd w:id="7041"/>
      <w:bookmarkEnd w:id="7042"/>
      <w:bookmarkEnd w:id="7043"/>
      <w:bookmarkEnd w:id="7044"/>
      <w:bookmarkEnd w:id="7045"/>
      <w:bookmarkEnd w:id="7046"/>
      <w:bookmarkEnd w:id="7047"/>
      <w:bookmarkEnd w:id="7048"/>
      <w:bookmarkEnd w:id="7049"/>
      <w:bookmarkEnd w:id="7050"/>
      <w:bookmarkEnd w:id="7051"/>
      <w:bookmarkEnd w:id="7052"/>
    </w:p>
    <w:p w:rsidR="00CB0DD7" w:rsidRPr="000A0A5F" w:rsidRDefault="00CB0DD7">
      <w:r w:rsidRPr="000A0A5F">
        <w:t>The table below defines the features applicable to the ReportingNetworkStatus API. Those features are negotiated as described in clause 5.2.7.</w:t>
      </w:r>
    </w:p>
    <w:p w:rsidR="00CB0DD7" w:rsidRPr="000A0A5F" w:rsidRDefault="00CB0DD7">
      <w:pPr>
        <w:pStyle w:val="TH"/>
      </w:pPr>
      <w:r w:rsidRPr="000A0A5F">
        <w:t>Table 5.9.4-1: Features used by ReportingNetworkStatus API</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47"/>
        <w:gridCol w:w="2057"/>
        <w:gridCol w:w="6853"/>
      </w:tblGrid>
      <w:tr w:rsidR="00CB0DD7" w:rsidRPr="000A0A5F" w:rsidTr="00FF0AF8">
        <w:trPr>
          <w:cantSplit/>
        </w:trPr>
        <w:tc>
          <w:tcPr>
            <w:tcW w:w="481" w:type="pct"/>
            <w:shd w:val="clear" w:color="auto" w:fill="C0C0C0"/>
          </w:tcPr>
          <w:p w:rsidR="00CB0DD7" w:rsidRPr="000A0A5F" w:rsidRDefault="00CB0DD7">
            <w:pPr>
              <w:pStyle w:val="TAH"/>
              <w:rPr>
                <w:rFonts w:eastAsia="Times New Roman"/>
              </w:rPr>
            </w:pPr>
            <w:r w:rsidRPr="000A0A5F">
              <w:t>Feature Number</w:t>
            </w:r>
          </w:p>
        </w:tc>
        <w:tc>
          <w:tcPr>
            <w:tcW w:w="1043" w:type="pct"/>
            <w:shd w:val="clear" w:color="auto" w:fill="C0C0C0"/>
          </w:tcPr>
          <w:p w:rsidR="00CB0DD7" w:rsidRPr="000A0A5F" w:rsidRDefault="00CB0DD7">
            <w:pPr>
              <w:pStyle w:val="TAH"/>
              <w:rPr>
                <w:rFonts w:eastAsia="Times New Roman"/>
              </w:rPr>
            </w:pPr>
            <w:r w:rsidRPr="000A0A5F">
              <w:rPr>
                <w:rFonts w:eastAsia="Times New Roman"/>
              </w:rPr>
              <w:t>Feature</w:t>
            </w:r>
          </w:p>
        </w:tc>
        <w:tc>
          <w:tcPr>
            <w:tcW w:w="3475" w:type="pct"/>
            <w:shd w:val="clear" w:color="auto" w:fill="C0C0C0"/>
          </w:tcPr>
          <w:p w:rsidR="00CB0DD7" w:rsidRPr="000A0A5F" w:rsidRDefault="00CB0DD7">
            <w:pPr>
              <w:pStyle w:val="TAH"/>
              <w:rPr>
                <w:lang w:eastAsia="ko-KR"/>
              </w:rPr>
            </w:pPr>
            <w:r w:rsidRPr="000A0A5F">
              <w:rPr>
                <w:rFonts w:eastAsia="Times New Roman"/>
              </w:rPr>
              <w:t>Description</w:t>
            </w:r>
          </w:p>
        </w:tc>
      </w:tr>
      <w:tr w:rsidR="00CB0DD7" w:rsidRPr="000A0A5F" w:rsidTr="00FF0AF8">
        <w:trPr>
          <w:cantSplit/>
        </w:trPr>
        <w:tc>
          <w:tcPr>
            <w:tcW w:w="481" w:type="pct"/>
          </w:tcPr>
          <w:p w:rsidR="00CB0DD7" w:rsidRPr="000A0A5F" w:rsidRDefault="00CB0DD7">
            <w:pPr>
              <w:pStyle w:val="TAC"/>
              <w:rPr>
                <w:lang w:eastAsia="zh-CN"/>
              </w:rPr>
            </w:pPr>
            <w:r w:rsidRPr="000A0A5F">
              <w:rPr>
                <w:lang w:eastAsia="zh-CN"/>
              </w:rPr>
              <w:t>1</w:t>
            </w:r>
          </w:p>
        </w:tc>
        <w:tc>
          <w:tcPr>
            <w:tcW w:w="1043" w:type="pct"/>
          </w:tcPr>
          <w:p w:rsidR="00CB0DD7" w:rsidRPr="000A0A5F" w:rsidRDefault="00CB0DD7">
            <w:pPr>
              <w:pStyle w:val="TAC"/>
              <w:rPr>
                <w:lang w:eastAsia="zh-CN"/>
              </w:rPr>
            </w:pPr>
            <w:r w:rsidRPr="000A0A5F">
              <w:rPr>
                <w:lang w:eastAsia="zh-CN"/>
              </w:rPr>
              <w:t>Notification_websocket</w:t>
            </w:r>
          </w:p>
        </w:tc>
        <w:tc>
          <w:tcPr>
            <w:tcW w:w="3475" w:type="pct"/>
          </w:tcPr>
          <w:p w:rsidR="00CB0DD7" w:rsidRPr="000A0A5F" w:rsidRDefault="00CB0DD7">
            <w:pPr>
              <w:pStyle w:val="TAL"/>
              <w:rPr>
                <w:lang w:eastAsia="zh-CN"/>
              </w:rPr>
            </w:pPr>
            <w:r w:rsidRPr="000A0A5F">
              <w:rPr>
                <w:rFonts w:cs="Arial"/>
                <w:szCs w:val="18"/>
                <w:lang w:eastAsia="zh-CN"/>
              </w:rPr>
              <w:t>The delivery of notifications over Websocket is supported according to clause</w:t>
            </w:r>
            <w:r w:rsidRPr="000A0A5F">
              <w:rPr>
                <w:rFonts w:cs="Arial"/>
                <w:szCs w:val="18"/>
                <w:lang w:val="en-US" w:eastAsia="zh-CN"/>
              </w:rPr>
              <w:t> </w:t>
            </w:r>
            <w:r w:rsidRPr="000A0A5F">
              <w:rPr>
                <w:rFonts w:cs="Arial"/>
                <w:szCs w:val="18"/>
                <w:lang w:eastAsia="zh-CN"/>
              </w:rPr>
              <w:t xml:space="preserve">5.2.5.4. This feature requires that the </w:t>
            </w:r>
            <w:r w:rsidRPr="000A0A5F">
              <w:t>Notification_test_event featute is also supported.</w:t>
            </w:r>
          </w:p>
        </w:tc>
      </w:tr>
      <w:tr w:rsidR="00CB0DD7" w:rsidRPr="000A0A5F" w:rsidTr="00FF0AF8">
        <w:trPr>
          <w:cantSplit/>
        </w:trPr>
        <w:tc>
          <w:tcPr>
            <w:tcW w:w="481" w:type="pct"/>
          </w:tcPr>
          <w:p w:rsidR="00CB0DD7" w:rsidRPr="000A0A5F" w:rsidRDefault="00CB0DD7">
            <w:pPr>
              <w:pStyle w:val="TAC"/>
            </w:pPr>
            <w:r w:rsidRPr="000A0A5F">
              <w:t>2</w:t>
            </w:r>
          </w:p>
        </w:tc>
        <w:tc>
          <w:tcPr>
            <w:tcW w:w="1043" w:type="pct"/>
          </w:tcPr>
          <w:p w:rsidR="00CB0DD7" w:rsidRPr="000A0A5F" w:rsidRDefault="00CB0DD7">
            <w:pPr>
              <w:pStyle w:val="TAC"/>
              <w:rPr>
                <w:lang w:eastAsia="zh-CN"/>
              </w:rPr>
            </w:pPr>
            <w:r w:rsidRPr="000A0A5F">
              <w:t>Notification_test_event</w:t>
            </w:r>
          </w:p>
        </w:tc>
        <w:tc>
          <w:tcPr>
            <w:tcW w:w="3475" w:type="pct"/>
          </w:tcPr>
          <w:p w:rsidR="00CB0DD7" w:rsidRPr="000A0A5F" w:rsidRDefault="00CB0DD7">
            <w:pPr>
              <w:pStyle w:val="TAL"/>
              <w:rPr>
                <w:lang w:eastAsia="zh-CN"/>
              </w:rPr>
            </w:pPr>
            <w:r w:rsidRPr="000A0A5F">
              <w:rPr>
                <w:rFonts w:cs="Arial"/>
                <w:szCs w:val="18"/>
                <w:lang w:eastAsia="zh-CN"/>
              </w:rPr>
              <w:t>The testing of notifications connections is supported according to clause</w:t>
            </w:r>
            <w:r w:rsidRPr="000A0A5F">
              <w:rPr>
                <w:rFonts w:cs="Arial"/>
                <w:szCs w:val="18"/>
                <w:lang w:val="en-US" w:eastAsia="zh-CN"/>
              </w:rPr>
              <w:t> </w:t>
            </w:r>
            <w:r w:rsidRPr="000A0A5F">
              <w:rPr>
                <w:rFonts w:cs="Arial"/>
                <w:szCs w:val="18"/>
                <w:lang w:eastAsia="zh-CN"/>
              </w:rPr>
              <w:t>5.2.5.3.</w:t>
            </w:r>
          </w:p>
        </w:tc>
      </w:tr>
      <w:tr w:rsidR="00517DF6" w:rsidRPr="000A0A5F" w:rsidTr="00FF0AF8">
        <w:trPr>
          <w:cantSplit/>
        </w:trPr>
        <w:tc>
          <w:tcPr>
            <w:tcW w:w="481" w:type="pct"/>
          </w:tcPr>
          <w:p w:rsidR="00517DF6" w:rsidRPr="000A0A5F" w:rsidRDefault="002550F4" w:rsidP="00517DF6">
            <w:pPr>
              <w:pStyle w:val="TAC"/>
            </w:pPr>
            <w:r w:rsidRPr="000A0A5F">
              <w:t>3</w:t>
            </w:r>
          </w:p>
        </w:tc>
        <w:tc>
          <w:tcPr>
            <w:tcW w:w="1043" w:type="pct"/>
          </w:tcPr>
          <w:p w:rsidR="00517DF6" w:rsidRPr="000A0A5F" w:rsidRDefault="00517DF6" w:rsidP="00517DF6">
            <w:pPr>
              <w:pStyle w:val="TAC"/>
            </w:pPr>
            <w:r w:rsidRPr="000A0A5F">
              <w:t>PatchUpdate</w:t>
            </w:r>
          </w:p>
        </w:tc>
        <w:tc>
          <w:tcPr>
            <w:tcW w:w="3475" w:type="pct"/>
          </w:tcPr>
          <w:p w:rsidR="00517DF6" w:rsidRPr="000A0A5F" w:rsidRDefault="00517DF6" w:rsidP="00517DF6">
            <w:pPr>
              <w:pStyle w:val="TAL"/>
              <w:rPr>
                <w:rFonts w:cs="Arial"/>
                <w:szCs w:val="18"/>
                <w:lang w:eastAsia="zh-CN"/>
              </w:rPr>
            </w:pPr>
            <w:r w:rsidRPr="000A0A5F">
              <w:rPr>
                <w:rFonts w:cs="Arial"/>
              </w:rPr>
              <w:t>Indicates the support of enhancements to the northbound interfaces (e.g. support the partial modification of an existing subscription resource).</w:t>
            </w:r>
          </w:p>
        </w:tc>
      </w:tr>
      <w:tr w:rsidR="00CB0DD7" w:rsidRPr="000A0A5F" w:rsidTr="00FF0AF8">
        <w:tblPrEx>
          <w:tblLook w:val="04A0" w:firstRow="1" w:lastRow="0" w:firstColumn="1" w:lastColumn="0" w:noHBand="0" w:noVBand="1"/>
        </w:tblPrEx>
        <w:trPr>
          <w:cantSplit/>
        </w:trPr>
        <w:tc>
          <w:tcPr>
            <w:tcW w:w="5000" w:type="pct"/>
            <w:gridSpan w:val="3"/>
          </w:tcPr>
          <w:p w:rsidR="00CB0DD7" w:rsidRPr="000A0A5F" w:rsidRDefault="00CB0DD7">
            <w:pPr>
              <w:pStyle w:val="TAN"/>
              <w:rPr>
                <w:rFonts w:eastAsia="Times New Roman"/>
              </w:rPr>
            </w:pPr>
            <w:r w:rsidRPr="000A0A5F">
              <w:rPr>
                <w:rFonts w:eastAsia="Times New Roman"/>
              </w:rPr>
              <w:t>Feature:</w:t>
            </w:r>
            <w:r w:rsidRPr="000A0A5F">
              <w:rPr>
                <w:rFonts w:eastAsia="Times New Roman"/>
              </w:rPr>
              <w:tab/>
              <w:t>A short name that can be used to refer to the bit and to the feature, e.g. "</w:t>
            </w:r>
            <w:r w:rsidRPr="000A0A5F">
              <w:rPr>
                <w:rFonts w:hint="eastAsia"/>
                <w:lang w:eastAsia="zh-CN"/>
              </w:rPr>
              <w:t>Notification</w:t>
            </w:r>
            <w:r w:rsidRPr="000A0A5F">
              <w:rPr>
                <w:rFonts w:eastAsia="Times New Roman"/>
              </w:rPr>
              <w:t>".</w:t>
            </w:r>
          </w:p>
          <w:p w:rsidR="00CB0DD7" w:rsidRPr="000A0A5F" w:rsidRDefault="00CB0DD7">
            <w:pPr>
              <w:pStyle w:val="TAN"/>
              <w:rPr>
                <w:color w:val="000000"/>
                <w:lang w:eastAsia="zh-CN"/>
              </w:rPr>
            </w:pPr>
            <w:r w:rsidRPr="000A0A5F">
              <w:rPr>
                <w:rFonts w:eastAsia="Times New Roman"/>
              </w:rPr>
              <w:t>Description:</w:t>
            </w:r>
            <w:r w:rsidRPr="000A0A5F">
              <w:rPr>
                <w:rFonts w:eastAsia="Times New Roman"/>
              </w:rPr>
              <w:tab/>
              <w:t>A clear textual description of the feature.</w:t>
            </w:r>
          </w:p>
        </w:tc>
      </w:tr>
    </w:tbl>
    <w:p w:rsidR="00CB0DD7" w:rsidRPr="000A0A5F" w:rsidRDefault="00CB0DD7"/>
    <w:p w:rsidR="00CB0DD7" w:rsidRPr="000A0A5F" w:rsidRDefault="00CB0DD7">
      <w:pPr>
        <w:pStyle w:val="Heading3"/>
      </w:pPr>
      <w:bookmarkStart w:id="7053" w:name="_Toc11247714"/>
      <w:bookmarkStart w:id="7054" w:name="_Toc27044853"/>
      <w:bookmarkStart w:id="7055" w:name="_Toc36033895"/>
      <w:bookmarkStart w:id="7056" w:name="_Toc45132041"/>
      <w:bookmarkStart w:id="7057" w:name="_Toc49776326"/>
      <w:bookmarkStart w:id="7058" w:name="_Toc51747246"/>
      <w:bookmarkStart w:id="7059" w:name="_Toc66360819"/>
      <w:bookmarkStart w:id="7060" w:name="_Toc68105324"/>
      <w:bookmarkStart w:id="7061" w:name="_Toc74755954"/>
      <w:bookmarkStart w:id="7062" w:name="_Toc105674830"/>
      <w:bookmarkStart w:id="7063" w:name="_Toc130502890"/>
      <w:bookmarkStart w:id="7064" w:name="_Toc153625677"/>
      <w:r w:rsidRPr="000A0A5F">
        <w:t>5.9.5</w:t>
      </w:r>
      <w:r w:rsidRPr="000A0A5F">
        <w:tab/>
        <w:t>Error handling</w:t>
      </w:r>
      <w:bookmarkEnd w:id="7053"/>
      <w:bookmarkEnd w:id="7054"/>
      <w:bookmarkEnd w:id="7055"/>
      <w:bookmarkEnd w:id="7056"/>
      <w:bookmarkEnd w:id="7057"/>
      <w:bookmarkEnd w:id="7058"/>
      <w:bookmarkEnd w:id="7059"/>
      <w:bookmarkEnd w:id="7060"/>
      <w:bookmarkEnd w:id="7061"/>
      <w:bookmarkEnd w:id="7062"/>
      <w:bookmarkEnd w:id="7063"/>
      <w:bookmarkEnd w:id="7064"/>
    </w:p>
    <w:p w:rsidR="00CB0DD7" w:rsidRPr="000A0A5F" w:rsidRDefault="00CB0DD7">
      <w:pPr>
        <w:pStyle w:val="Heading4"/>
      </w:pPr>
      <w:bookmarkStart w:id="7065" w:name="_Toc11247715"/>
      <w:bookmarkStart w:id="7066" w:name="_Toc27044854"/>
      <w:bookmarkStart w:id="7067" w:name="_Toc36033896"/>
      <w:bookmarkStart w:id="7068" w:name="_Toc45132042"/>
      <w:bookmarkStart w:id="7069" w:name="_Toc49776327"/>
      <w:bookmarkStart w:id="7070" w:name="_Toc51747247"/>
      <w:bookmarkStart w:id="7071" w:name="_Toc66360820"/>
      <w:bookmarkStart w:id="7072" w:name="_Toc68105325"/>
      <w:bookmarkStart w:id="7073" w:name="_Toc74755955"/>
      <w:bookmarkStart w:id="7074" w:name="_Toc105674831"/>
      <w:bookmarkStart w:id="7075" w:name="_Toc130502891"/>
      <w:bookmarkStart w:id="7076" w:name="_Toc153625678"/>
      <w:r w:rsidRPr="000A0A5F">
        <w:t>5.9.5.1</w:t>
      </w:r>
      <w:r w:rsidRPr="000A0A5F">
        <w:tab/>
        <w:t>General</w:t>
      </w:r>
      <w:bookmarkEnd w:id="7065"/>
      <w:bookmarkEnd w:id="7066"/>
      <w:bookmarkEnd w:id="7067"/>
      <w:bookmarkEnd w:id="7068"/>
      <w:bookmarkEnd w:id="7069"/>
      <w:bookmarkEnd w:id="7070"/>
      <w:bookmarkEnd w:id="7071"/>
      <w:bookmarkEnd w:id="7072"/>
      <w:bookmarkEnd w:id="7073"/>
      <w:bookmarkEnd w:id="7074"/>
      <w:bookmarkEnd w:id="7075"/>
      <w:bookmarkEnd w:id="7076"/>
    </w:p>
    <w:p w:rsidR="00CB0DD7" w:rsidRPr="000A0A5F" w:rsidRDefault="00CB0DD7">
      <w:r w:rsidRPr="000A0A5F">
        <w:t>HTTP error handling shall be supported as specified in clause 5.2.6.</w:t>
      </w:r>
    </w:p>
    <w:p w:rsidR="00CB0DD7" w:rsidRPr="000A0A5F" w:rsidRDefault="00CB0DD7">
      <w:r w:rsidRPr="000A0A5F">
        <w:t>In addition, the requirements in the following clauses shall apply.</w:t>
      </w:r>
    </w:p>
    <w:p w:rsidR="00CB0DD7" w:rsidRPr="000A0A5F" w:rsidRDefault="00CB0DD7">
      <w:pPr>
        <w:pStyle w:val="Heading4"/>
      </w:pPr>
      <w:bookmarkStart w:id="7077" w:name="_Toc11247716"/>
      <w:bookmarkStart w:id="7078" w:name="_Toc27044855"/>
      <w:bookmarkStart w:id="7079" w:name="_Toc36033897"/>
      <w:bookmarkStart w:id="7080" w:name="_Toc45132043"/>
      <w:bookmarkStart w:id="7081" w:name="_Toc49776328"/>
      <w:bookmarkStart w:id="7082" w:name="_Toc51747248"/>
      <w:bookmarkStart w:id="7083" w:name="_Toc66360821"/>
      <w:bookmarkStart w:id="7084" w:name="_Toc68105326"/>
      <w:bookmarkStart w:id="7085" w:name="_Toc74755956"/>
      <w:bookmarkStart w:id="7086" w:name="_Toc105674832"/>
      <w:bookmarkStart w:id="7087" w:name="_Toc130502892"/>
      <w:bookmarkStart w:id="7088" w:name="_Toc153625679"/>
      <w:r w:rsidRPr="000A0A5F">
        <w:t>5.9.5.2</w:t>
      </w:r>
      <w:r w:rsidRPr="000A0A5F">
        <w:tab/>
        <w:t>Protocol Errors</w:t>
      </w:r>
      <w:bookmarkEnd w:id="7077"/>
      <w:bookmarkEnd w:id="7078"/>
      <w:bookmarkEnd w:id="7079"/>
      <w:bookmarkEnd w:id="7080"/>
      <w:bookmarkEnd w:id="7081"/>
      <w:bookmarkEnd w:id="7082"/>
      <w:bookmarkEnd w:id="7083"/>
      <w:bookmarkEnd w:id="7084"/>
      <w:bookmarkEnd w:id="7085"/>
      <w:bookmarkEnd w:id="7086"/>
      <w:bookmarkEnd w:id="7087"/>
      <w:bookmarkEnd w:id="7088"/>
    </w:p>
    <w:p w:rsidR="00CB0DD7" w:rsidRPr="000A0A5F" w:rsidRDefault="00CB0DD7">
      <w:r w:rsidRPr="000A0A5F">
        <w:rPr>
          <w:lang w:eastAsia="zh-CN"/>
        </w:rPr>
        <w:t xml:space="preserve">In this release </w:t>
      </w:r>
      <w:r w:rsidRPr="000A0A5F">
        <w:t>of the specification, there are no additional protocol errors applicable for the ReportingNetworkStatus API.</w:t>
      </w:r>
    </w:p>
    <w:p w:rsidR="00CB0DD7" w:rsidRPr="000A0A5F" w:rsidRDefault="00CB0DD7">
      <w:pPr>
        <w:pStyle w:val="Heading4"/>
      </w:pPr>
      <w:bookmarkStart w:id="7089" w:name="_Toc11247717"/>
      <w:bookmarkStart w:id="7090" w:name="_Toc27044856"/>
      <w:bookmarkStart w:id="7091" w:name="_Toc36033898"/>
      <w:bookmarkStart w:id="7092" w:name="_Toc45132044"/>
      <w:bookmarkStart w:id="7093" w:name="_Toc49776329"/>
      <w:bookmarkStart w:id="7094" w:name="_Toc51747249"/>
      <w:bookmarkStart w:id="7095" w:name="_Toc66360822"/>
      <w:bookmarkStart w:id="7096" w:name="_Toc68105327"/>
      <w:bookmarkStart w:id="7097" w:name="_Toc74755957"/>
      <w:bookmarkStart w:id="7098" w:name="_Toc105674833"/>
      <w:bookmarkStart w:id="7099" w:name="_Toc130502893"/>
      <w:bookmarkStart w:id="7100" w:name="_Toc153625680"/>
      <w:r w:rsidRPr="000A0A5F">
        <w:t>5.9.5.3</w:t>
      </w:r>
      <w:r w:rsidRPr="000A0A5F">
        <w:tab/>
        <w:t>Application Errors</w:t>
      </w:r>
      <w:bookmarkEnd w:id="7089"/>
      <w:bookmarkEnd w:id="7090"/>
      <w:bookmarkEnd w:id="7091"/>
      <w:bookmarkEnd w:id="7092"/>
      <w:bookmarkEnd w:id="7093"/>
      <w:bookmarkEnd w:id="7094"/>
      <w:bookmarkEnd w:id="7095"/>
      <w:bookmarkEnd w:id="7096"/>
      <w:bookmarkEnd w:id="7097"/>
      <w:bookmarkEnd w:id="7098"/>
      <w:bookmarkEnd w:id="7099"/>
      <w:bookmarkEnd w:id="7100"/>
    </w:p>
    <w:p w:rsidR="00CB0DD7" w:rsidRPr="000A0A5F" w:rsidRDefault="00CB0DD7">
      <w:r w:rsidRPr="000A0A5F">
        <w:t>The application errors defined for the ReportingNetworkStatus API are listed in table 5.9.5.3-1.</w:t>
      </w:r>
    </w:p>
    <w:p w:rsidR="00CB0DD7" w:rsidRPr="000A0A5F" w:rsidRDefault="002E466A">
      <w:pPr>
        <w:pStyle w:val="TH"/>
      </w:pPr>
      <w:r w:rsidRPr="000A0A5F">
        <w:t>Table </w:t>
      </w:r>
      <w:r w:rsidR="00CB0DD7" w:rsidRPr="000A0A5F">
        <w:t>5.9.5.3-1: Application errors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4A0" w:firstRow="1" w:lastRow="0" w:firstColumn="1" w:lastColumn="0" w:noHBand="0" w:noVBand="1"/>
      </w:tblPr>
      <w:tblGrid>
        <w:gridCol w:w="3203"/>
        <w:gridCol w:w="1980"/>
        <w:gridCol w:w="4564"/>
      </w:tblGrid>
      <w:tr w:rsidR="00CB0DD7" w:rsidRPr="000A0A5F" w:rsidTr="00FF0AF8">
        <w:trPr>
          <w:cantSplit/>
          <w:jc w:val="center"/>
        </w:trPr>
        <w:tc>
          <w:tcPr>
            <w:tcW w:w="3203" w:type="dxa"/>
            <w:shd w:val="clear" w:color="000000" w:fill="C0C0C0"/>
          </w:tcPr>
          <w:p w:rsidR="00CB0DD7" w:rsidRPr="000A0A5F" w:rsidRDefault="00CB0DD7">
            <w:pPr>
              <w:pStyle w:val="TAH"/>
            </w:pPr>
            <w:r w:rsidRPr="000A0A5F">
              <w:t>Application Error</w:t>
            </w:r>
          </w:p>
        </w:tc>
        <w:tc>
          <w:tcPr>
            <w:tcW w:w="1980" w:type="dxa"/>
            <w:shd w:val="clear" w:color="000000" w:fill="C0C0C0"/>
          </w:tcPr>
          <w:p w:rsidR="00CB0DD7" w:rsidRPr="000A0A5F" w:rsidRDefault="00CB0DD7">
            <w:pPr>
              <w:pStyle w:val="TAH"/>
            </w:pPr>
            <w:r w:rsidRPr="000A0A5F">
              <w:t>HTTP status code</w:t>
            </w:r>
          </w:p>
        </w:tc>
        <w:tc>
          <w:tcPr>
            <w:tcW w:w="4564" w:type="dxa"/>
            <w:shd w:val="clear" w:color="000000" w:fill="C0C0C0"/>
          </w:tcPr>
          <w:p w:rsidR="00CB0DD7" w:rsidRPr="000A0A5F" w:rsidRDefault="00CB0DD7">
            <w:pPr>
              <w:pStyle w:val="TAH"/>
            </w:pPr>
            <w:r w:rsidRPr="000A0A5F">
              <w:t>Description</w:t>
            </w:r>
          </w:p>
        </w:tc>
      </w:tr>
      <w:tr w:rsidR="00CB0DD7" w:rsidRPr="000A0A5F" w:rsidTr="00FF0AF8">
        <w:trPr>
          <w:cantSplit/>
          <w:jc w:val="center"/>
        </w:trPr>
        <w:tc>
          <w:tcPr>
            <w:tcW w:w="3203" w:type="dxa"/>
            <w:shd w:val="clear" w:color="auto" w:fill="auto"/>
          </w:tcPr>
          <w:p w:rsidR="00CB0DD7" w:rsidRPr="000A0A5F" w:rsidRDefault="00CB0DD7">
            <w:pPr>
              <w:pStyle w:val="TAL"/>
            </w:pPr>
            <w:r w:rsidRPr="000A0A5F">
              <w:t>QUOTA_EXCEEDED</w:t>
            </w:r>
          </w:p>
        </w:tc>
        <w:tc>
          <w:tcPr>
            <w:tcW w:w="1980" w:type="dxa"/>
            <w:shd w:val="clear" w:color="auto" w:fill="auto"/>
          </w:tcPr>
          <w:p w:rsidR="00CB0DD7" w:rsidRPr="000A0A5F" w:rsidRDefault="00CB0DD7">
            <w:pPr>
              <w:pStyle w:val="TAL"/>
            </w:pPr>
            <w:r w:rsidRPr="000A0A5F">
              <w:t>403 Forbidden</w:t>
            </w:r>
          </w:p>
        </w:tc>
        <w:tc>
          <w:tcPr>
            <w:tcW w:w="4564" w:type="dxa"/>
            <w:shd w:val="clear" w:color="auto" w:fill="auto"/>
          </w:tcPr>
          <w:p w:rsidR="00CB0DD7" w:rsidRPr="000A0A5F" w:rsidRDefault="00CB0DD7">
            <w:pPr>
              <w:pStyle w:val="TAL"/>
            </w:pPr>
            <w:r w:rsidRPr="000A0A5F">
              <w:t>Not enough quota for SCS/AS.</w:t>
            </w:r>
          </w:p>
        </w:tc>
      </w:tr>
    </w:tbl>
    <w:p w:rsidR="00CB0DD7" w:rsidRPr="000A0A5F" w:rsidRDefault="00CB0DD7"/>
    <w:p w:rsidR="00CB0DD7" w:rsidRPr="000A0A5F" w:rsidRDefault="00CB0DD7">
      <w:pPr>
        <w:pStyle w:val="Heading2"/>
      </w:pPr>
      <w:bookmarkStart w:id="7101" w:name="_Toc11247718"/>
      <w:bookmarkStart w:id="7102" w:name="_Toc27044857"/>
      <w:bookmarkStart w:id="7103" w:name="_Toc36033899"/>
      <w:bookmarkStart w:id="7104" w:name="_Toc45132045"/>
      <w:bookmarkStart w:id="7105" w:name="_Toc49776330"/>
      <w:bookmarkStart w:id="7106" w:name="_Toc51747250"/>
      <w:bookmarkStart w:id="7107" w:name="_Toc66360823"/>
      <w:bookmarkStart w:id="7108" w:name="_Toc68105328"/>
      <w:bookmarkStart w:id="7109" w:name="_Toc74755958"/>
      <w:bookmarkStart w:id="7110" w:name="_Toc105674834"/>
      <w:bookmarkStart w:id="7111" w:name="_Toc130502894"/>
      <w:bookmarkStart w:id="7112" w:name="_Toc153625681"/>
      <w:r w:rsidRPr="000A0A5F">
        <w:t>5.10</w:t>
      </w:r>
      <w:r w:rsidRPr="000A0A5F">
        <w:tab/>
        <w:t>CpProvisioning API</w:t>
      </w:r>
      <w:bookmarkEnd w:id="7101"/>
      <w:bookmarkEnd w:id="7102"/>
      <w:bookmarkEnd w:id="7103"/>
      <w:bookmarkEnd w:id="7104"/>
      <w:bookmarkEnd w:id="7105"/>
      <w:bookmarkEnd w:id="7106"/>
      <w:bookmarkEnd w:id="7107"/>
      <w:bookmarkEnd w:id="7108"/>
      <w:bookmarkEnd w:id="7109"/>
      <w:bookmarkEnd w:id="7110"/>
      <w:bookmarkEnd w:id="7111"/>
      <w:bookmarkEnd w:id="7112"/>
    </w:p>
    <w:p w:rsidR="00CB0DD7" w:rsidRPr="000A0A5F" w:rsidRDefault="00CB0DD7">
      <w:pPr>
        <w:pStyle w:val="Heading3"/>
      </w:pPr>
      <w:bookmarkStart w:id="7113" w:name="_Toc11247719"/>
      <w:bookmarkStart w:id="7114" w:name="_Toc27044858"/>
      <w:bookmarkStart w:id="7115" w:name="_Toc36033900"/>
      <w:bookmarkStart w:id="7116" w:name="_Toc45132046"/>
      <w:bookmarkStart w:id="7117" w:name="_Toc49776331"/>
      <w:bookmarkStart w:id="7118" w:name="_Toc51747251"/>
      <w:bookmarkStart w:id="7119" w:name="_Toc66360824"/>
      <w:bookmarkStart w:id="7120" w:name="_Toc68105329"/>
      <w:bookmarkStart w:id="7121" w:name="_Toc74755959"/>
      <w:bookmarkStart w:id="7122" w:name="_Toc105674835"/>
      <w:bookmarkStart w:id="7123" w:name="_Toc130502895"/>
      <w:bookmarkStart w:id="7124" w:name="_Toc153625682"/>
      <w:r w:rsidRPr="000A0A5F">
        <w:t>5.10.1</w:t>
      </w:r>
      <w:r w:rsidRPr="000A0A5F">
        <w:tab/>
        <w:t>Overview</w:t>
      </w:r>
      <w:bookmarkEnd w:id="7113"/>
      <w:bookmarkEnd w:id="7114"/>
      <w:bookmarkEnd w:id="7115"/>
      <w:bookmarkEnd w:id="7116"/>
      <w:bookmarkEnd w:id="7117"/>
      <w:bookmarkEnd w:id="7118"/>
      <w:bookmarkEnd w:id="7119"/>
      <w:bookmarkEnd w:id="7120"/>
      <w:bookmarkEnd w:id="7121"/>
      <w:bookmarkEnd w:id="7122"/>
      <w:bookmarkEnd w:id="7123"/>
      <w:bookmarkEnd w:id="7124"/>
    </w:p>
    <w:p w:rsidR="00CB0DD7" w:rsidRPr="000A0A5F" w:rsidRDefault="00CB0DD7">
      <w:r w:rsidRPr="000A0A5F">
        <w:rPr>
          <w:rFonts w:hint="eastAsia"/>
          <w:noProof/>
          <w:lang w:eastAsia="zh-CN"/>
        </w:rPr>
        <w:t>The</w:t>
      </w:r>
      <w:r w:rsidRPr="000A0A5F">
        <w:rPr>
          <w:noProof/>
          <w:lang w:eastAsia="zh-CN"/>
        </w:rPr>
        <w:t xml:space="preserve"> </w:t>
      </w:r>
      <w:r w:rsidRPr="000A0A5F">
        <w:t xml:space="preserve">CpProvisioning </w:t>
      </w:r>
      <w:r w:rsidRPr="000A0A5F">
        <w:rPr>
          <w:noProof/>
          <w:lang w:eastAsia="zh-CN"/>
        </w:rPr>
        <w:t>API is a RESTful API that allows the SCS/AS to add, change or delete the communication pattern parameter sets of the UE.</w:t>
      </w:r>
      <w:r w:rsidRPr="000A0A5F">
        <w:rPr>
          <w:noProof/>
          <w:lang w:val="en-US" w:eastAsia="zh-CN"/>
        </w:rPr>
        <w:t xml:space="preserve"> </w:t>
      </w:r>
      <w:r w:rsidRPr="000A0A5F">
        <w:t>The CpProvisioning API defines a set of data models, resources and the related procedures for the creation and management of the resources for communication pattern parameter provisioning. The corresponding JSON schema for the representation of the resources and operations defined by the CpProvisioning API is provided in its complete form in Annex A.10.</w:t>
      </w:r>
    </w:p>
    <w:p w:rsidR="00CB0DD7" w:rsidRPr="000A0A5F" w:rsidRDefault="00CB0DD7">
      <w:pPr>
        <w:pStyle w:val="Heading3"/>
      </w:pPr>
      <w:bookmarkStart w:id="7125" w:name="_Toc11247720"/>
      <w:bookmarkStart w:id="7126" w:name="_Toc27044859"/>
      <w:bookmarkStart w:id="7127" w:name="_Toc36033901"/>
      <w:bookmarkStart w:id="7128" w:name="_Toc45132047"/>
      <w:bookmarkStart w:id="7129" w:name="_Toc49776332"/>
      <w:bookmarkStart w:id="7130" w:name="_Toc51747252"/>
      <w:bookmarkStart w:id="7131" w:name="_Toc66360825"/>
      <w:bookmarkStart w:id="7132" w:name="_Toc68105330"/>
      <w:bookmarkStart w:id="7133" w:name="_Toc74755960"/>
      <w:bookmarkStart w:id="7134" w:name="_Toc105674836"/>
      <w:bookmarkStart w:id="7135" w:name="_Toc130502896"/>
      <w:bookmarkStart w:id="7136" w:name="_Toc153625683"/>
      <w:r w:rsidRPr="000A0A5F">
        <w:t>5.10.2</w:t>
      </w:r>
      <w:r w:rsidRPr="000A0A5F">
        <w:tab/>
        <w:t>Data model</w:t>
      </w:r>
      <w:bookmarkEnd w:id="7125"/>
      <w:bookmarkEnd w:id="7126"/>
      <w:bookmarkEnd w:id="7127"/>
      <w:bookmarkEnd w:id="7128"/>
      <w:bookmarkEnd w:id="7129"/>
      <w:bookmarkEnd w:id="7130"/>
      <w:bookmarkEnd w:id="7131"/>
      <w:bookmarkEnd w:id="7132"/>
      <w:bookmarkEnd w:id="7133"/>
      <w:bookmarkEnd w:id="7134"/>
      <w:bookmarkEnd w:id="7135"/>
      <w:bookmarkEnd w:id="7136"/>
    </w:p>
    <w:p w:rsidR="00CB0DD7" w:rsidRPr="000A0A5F" w:rsidRDefault="00CB0DD7">
      <w:pPr>
        <w:pStyle w:val="Heading4"/>
      </w:pPr>
      <w:bookmarkStart w:id="7137" w:name="_Toc11247721"/>
      <w:bookmarkStart w:id="7138" w:name="_Toc27044860"/>
      <w:bookmarkStart w:id="7139" w:name="_Toc36033902"/>
      <w:bookmarkStart w:id="7140" w:name="_Toc45132048"/>
      <w:bookmarkStart w:id="7141" w:name="_Toc49776333"/>
      <w:bookmarkStart w:id="7142" w:name="_Toc51747253"/>
      <w:bookmarkStart w:id="7143" w:name="_Toc66360826"/>
      <w:bookmarkStart w:id="7144" w:name="_Toc68105331"/>
      <w:bookmarkStart w:id="7145" w:name="_Toc74755961"/>
      <w:bookmarkStart w:id="7146" w:name="_Toc105674837"/>
      <w:bookmarkStart w:id="7147" w:name="_Toc130502897"/>
      <w:bookmarkStart w:id="7148" w:name="_Toc153625684"/>
      <w:r w:rsidRPr="000A0A5F">
        <w:t>5.10.2.1</w:t>
      </w:r>
      <w:r w:rsidRPr="000A0A5F">
        <w:tab/>
        <w:t>Resource data types</w:t>
      </w:r>
      <w:bookmarkEnd w:id="7137"/>
      <w:bookmarkEnd w:id="7138"/>
      <w:bookmarkEnd w:id="7139"/>
      <w:bookmarkEnd w:id="7140"/>
      <w:bookmarkEnd w:id="7141"/>
      <w:bookmarkEnd w:id="7142"/>
      <w:bookmarkEnd w:id="7143"/>
      <w:bookmarkEnd w:id="7144"/>
      <w:bookmarkEnd w:id="7145"/>
      <w:bookmarkEnd w:id="7146"/>
      <w:bookmarkEnd w:id="7147"/>
      <w:bookmarkEnd w:id="7148"/>
    </w:p>
    <w:p w:rsidR="00CB0DD7" w:rsidRPr="000A0A5F" w:rsidRDefault="00CB0DD7">
      <w:pPr>
        <w:pStyle w:val="Heading5"/>
      </w:pPr>
      <w:bookmarkStart w:id="7149" w:name="_Toc11247722"/>
      <w:bookmarkStart w:id="7150" w:name="_Toc27044861"/>
      <w:bookmarkStart w:id="7151" w:name="_Toc36033903"/>
      <w:bookmarkStart w:id="7152" w:name="_Toc45132049"/>
      <w:bookmarkStart w:id="7153" w:name="_Toc49776334"/>
      <w:bookmarkStart w:id="7154" w:name="_Toc51747254"/>
      <w:bookmarkStart w:id="7155" w:name="_Toc66360827"/>
      <w:bookmarkStart w:id="7156" w:name="_Toc68105332"/>
      <w:bookmarkStart w:id="7157" w:name="_Toc74755962"/>
      <w:bookmarkStart w:id="7158" w:name="_Toc105674838"/>
      <w:bookmarkStart w:id="7159" w:name="_Toc130502898"/>
      <w:bookmarkStart w:id="7160" w:name="_Toc153625685"/>
      <w:r w:rsidRPr="000A0A5F">
        <w:t>5.10.2.1.1</w:t>
      </w:r>
      <w:r w:rsidRPr="000A0A5F">
        <w:tab/>
        <w:t>Introduction</w:t>
      </w:r>
      <w:bookmarkEnd w:id="7149"/>
      <w:bookmarkEnd w:id="7150"/>
      <w:bookmarkEnd w:id="7151"/>
      <w:bookmarkEnd w:id="7152"/>
      <w:bookmarkEnd w:id="7153"/>
      <w:bookmarkEnd w:id="7154"/>
      <w:bookmarkEnd w:id="7155"/>
      <w:bookmarkEnd w:id="7156"/>
      <w:bookmarkEnd w:id="7157"/>
      <w:bookmarkEnd w:id="7158"/>
      <w:bookmarkEnd w:id="7159"/>
      <w:bookmarkEnd w:id="7160"/>
    </w:p>
    <w:p w:rsidR="00CB0DD7" w:rsidRPr="000A0A5F" w:rsidRDefault="00CB0DD7">
      <w:r w:rsidRPr="000A0A5F">
        <w:t>This clause defines data structures to be used in resource representations.</w:t>
      </w:r>
    </w:p>
    <w:p w:rsidR="00CB0DD7" w:rsidRPr="000A0A5F" w:rsidRDefault="00CB0DD7">
      <w:r w:rsidRPr="000A0A5F">
        <w:t xml:space="preserve">Table 5.10.2.1.1-1 specifies data types re-used by the CpProvisioning API from other specifications, including a reference to their respective specifications and when needed, a short description of their use within the CpProvisioning API. </w:t>
      </w:r>
    </w:p>
    <w:p w:rsidR="00CB0DD7" w:rsidRPr="000A0A5F" w:rsidRDefault="00CB0DD7">
      <w:pPr>
        <w:pStyle w:val="TH"/>
      </w:pPr>
      <w:r w:rsidRPr="000A0A5F">
        <w:t>Table 5.10.2.1.1-1: CpProvisioning API re-used Data Types</w:t>
      </w:r>
    </w:p>
    <w:tbl>
      <w:tblPr>
        <w:tblW w:w="917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018"/>
        <w:gridCol w:w="1848"/>
        <w:gridCol w:w="5308"/>
      </w:tblGrid>
      <w:tr w:rsidR="00CB0DD7" w:rsidRPr="000A0A5F" w:rsidTr="00FF0AF8">
        <w:trPr>
          <w:jc w:val="center"/>
        </w:trPr>
        <w:tc>
          <w:tcPr>
            <w:tcW w:w="2018" w:type="dxa"/>
            <w:shd w:val="clear" w:color="auto" w:fill="C0C0C0"/>
            <w:hideMark/>
          </w:tcPr>
          <w:p w:rsidR="00CB0DD7" w:rsidRPr="000A0A5F" w:rsidRDefault="00CB0DD7">
            <w:pPr>
              <w:pStyle w:val="TAH"/>
            </w:pPr>
            <w:r w:rsidRPr="000A0A5F">
              <w:t>Data type</w:t>
            </w:r>
          </w:p>
        </w:tc>
        <w:tc>
          <w:tcPr>
            <w:tcW w:w="1848" w:type="dxa"/>
            <w:shd w:val="clear" w:color="auto" w:fill="C0C0C0"/>
          </w:tcPr>
          <w:p w:rsidR="00CB0DD7" w:rsidRPr="000A0A5F" w:rsidRDefault="00CB0DD7">
            <w:pPr>
              <w:pStyle w:val="TAH"/>
            </w:pPr>
            <w:r w:rsidRPr="000A0A5F">
              <w:t>Reference</w:t>
            </w:r>
          </w:p>
        </w:tc>
        <w:tc>
          <w:tcPr>
            <w:tcW w:w="5308" w:type="dxa"/>
            <w:shd w:val="clear" w:color="auto" w:fill="C0C0C0"/>
            <w:hideMark/>
          </w:tcPr>
          <w:p w:rsidR="00CB0DD7" w:rsidRPr="000A0A5F" w:rsidRDefault="00CB0DD7">
            <w:pPr>
              <w:pStyle w:val="TAH"/>
            </w:pPr>
            <w:r w:rsidRPr="000A0A5F">
              <w:t>Comments</w:t>
            </w:r>
          </w:p>
        </w:tc>
      </w:tr>
      <w:tr w:rsidR="00F2786F" w:rsidRPr="000A0A5F" w:rsidTr="00FF0AF8">
        <w:trPr>
          <w:jc w:val="center"/>
        </w:trPr>
        <w:tc>
          <w:tcPr>
            <w:tcW w:w="2018" w:type="dxa"/>
          </w:tcPr>
          <w:p w:rsidR="00F2786F" w:rsidRPr="000A0A5F" w:rsidRDefault="00F2786F" w:rsidP="00F2786F">
            <w:pPr>
              <w:pStyle w:val="TAL"/>
            </w:pPr>
            <w:r w:rsidRPr="000A0A5F">
              <w:t>Dnn</w:t>
            </w:r>
          </w:p>
        </w:tc>
        <w:tc>
          <w:tcPr>
            <w:tcW w:w="1848" w:type="dxa"/>
          </w:tcPr>
          <w:p w:rsidR="00F2786F" w:rsidRPr="000A0A5F" w:rsidRDefault="00F2786F" w:rsidP="00F2786F">
            <w:pPr>
              <w:pStyle w:val="TAL"/>
              <w:rPr>
                <w:noProof/>
              </w:rPr>
            </w:pPr>
            <w:r w:rsidRPr="000A0A5F">
              <w:rPr>
                <w:lang w:eastAsia="zh-CN"/>
              </w:rPr>
              <w:t>3GPP TS 29.571 [45]</w:t>
            </w:r>
          </w:p>
        </w:tc>
        <w:tc>
          <w:tcPr>
            <w:tcW w:w="5308" w:type="dxa"/>
          </w:tcPr>
          <w:p w:rsidR="00F2786F" w:rsidRPr="000A0A5F" w:rsidRDefault="00F2786F" w:rsidP="00F2786F">
            <w:pPr>
              <w:pStyle w:val="TAL"/>
              <w:rPr>
                <w:rFonts w:cs="Arial"/>
                <w:noProof/>
                <w:szCs w:val="18"/>
              </w:rPr>
            </w:pPr>
            <w:r w:rsidRPr="000A0A5F">
              <w:rPr>
                <w:lang w:eastAsia="zh-CN"/>
              </w:rPr>
              <w:t>Identifies a DNN.</w:t>
            </w:r>
          </w:p>
        </w:tc>
      </w:tr>
      <w:tr w:rsidR="00F2786F" w:rsidRPr="000A0A5F" w:rsidTr="00FF0AF8">
        <w:trPr>
          <w:jc w:val="center"/>
        </w:trPr>
        <w:tc>
          <w:tcPr>
            <w:tcW w:w="2018" w:type="dxa"/>
          </w:tcPr>
          <w:p w:rsidR="00F2786F" w:rsidRPr="000A0A5F" w:rsidRDefault="00F2786F" w:rsidP="00F2786F">
            <w:pPr>
              <w:pStyle w:val="TAL"/>
            </w:pPr>
            <w:r w:rsidRPr="000A0A5F">
              <w:t>IpAddr</w:t>
            </w:r>
          </w:p>
        </w:tc>
        <w:tc>
          <w:tcPr>
            <w:tcW w:w="1848" w:type="dxa"/>
          </w:tcPr>
          <w:p w:rsidR="00F2786F" w:rsidRPr="000A0A5F" w:rsidRDefault="00F2786F" w:rsidP="00F2786F">
            <w:pPr>
              <w:pStyle w:val="TAL"/>
              <w:rPr>
                <w:noProof/>
              </w:rPr>
            </w:pPr>
            <w:r w:rsidRPr="000A0A5F">
              <w:rPr>
                <w:lang w:eastAsia="zh-CN"/>
              </w:rPr>
              <w:t>3GPP TS 29.571 [45]</w:t>
            </w:r>
          </w:p>
        </w:tc>
        <w:tc>
          <w:tcPr>
            <w:tcW w:w="5308" w:type="dxa"/>
          </w:tcPr>
          <w:p w:rsidR="00F2786F" w:rsidRPr="000A0A5F" w:rsidRDefault="00F2786F" w:rsidP="00F2786F">
            <w:pPr>
              <w:pStyle w:val="TAL"/>
              <w:rPr>
                <w:rFonts w:cs="Arial"/>
                <w:noProof/>
                <w:szCs w:val="18"/>
              </w:rPr>
            </w:pPr>
            <w:r w:rsidRPr="000A0A5F">
              <w:rPr>
                <w:lang w:eastAsia="zh-CN"/>
              </w:rPr>
              <w:t>UE IP Address.</w:t>
            </w:r>
          </w:p>
        </w:tc>
      </w:tr>
      <w:tr w:rsidR="00F2786F" w:rsidRPr="000A0A5F" w:rsidTr="00FF0AF8">
        <w:trPr>
          <w:jc w:val="center"/>
        </w:trPr>
        <w:tc>
          <w:tcPr>
            <w:tcW w:w="2018" w:type="dxa"/>
          </w:tcPr>
          <w:p w:rsidR="00F2786F" w:rsidRPr="000A0A5F" w:rsidRDefault="00F2786F" w:rsidP="00F2786F">
            <w:pPr>
              <w:pStyle w:val="TAL"/>
            </w:pPr>
            <w:r w:rsidRPr="000A0A5F">
              <w:t>MacAddr48</w:t>
            </w:r>
          </w:p>
        </w:tc>
        <w:tc>
          <w:tcPr>
            <w:tcW w:w="1848" w:type="dxa"/>
          </w:tcPr>
          <w:p w:rsidR="00F2786F" w:rsidRPr="000A0A5F" w:rsidRDefault="00F2786F" w:rsidP="00F2786F">
            <w:pPr>
              <w:pStyle w:val="TAL"/>
              <w:rPr>
                <w:noProof/>
              </w:rPr>
            </w:pPr>
            <w:r w:rsidRPr="000A0A5F">
              <w:rPr>
                <w:lang w:eastAsia="zh-CN"/>
              </w:rPr>
              <w:t>3GPP TS 29.571 [45]</w:t>
            </w:r>
          </w:p>
        </w:tc>
        <w:tc>
          <w:tcPr>
            <w:tcW w:w="5308" w:type="dxa"/>
          </w:tcPr>
          <w:p w:rsidR="00F2786F" w:rsidRPr="000A0A5F" w:rsidRDefault="00F2786F" w:rsidP="00F2786F">
            <w:pPr>
              <w:pStyle w:val="TAL"/>
              <w:rPr>
                <w:rFonts w:cs="Arial"/>
                <w:noProof/>
                <w:szCs w:val="18"/>
              </w:rPr>
            </w:pPr>
            <w:r w:rsidRPr="000A0A5F">
              <w:rPr>
                <w:lang w:eastAsia="zh-CN"/>
              </w:rPr>
              <w:t>MAC Address.</w:t>
            </w:r>
          </w:p>
        </w:tc>
      </w:tr>
      <w:tr w:rsidR="00CB0DD7" w:rsidRPr="000A0A5F" w:rsidTr="00FF0AF8">
        <w:trPr>
          <w:jc w:val="center"/>
        </w:trPr>
        <w:tc>
          <w:tcPr>
            <w:tcW w:w="2018" w:type="dxa"/>
          </w:tcPr>
          <w:p w:rsidR="00CB0DD7" w:rsidRPr="000A0A5F" w:rsidRDefault="00CB0DD7">
            <w:pPr>
              <w:pStyle w:val="TAL"/>
            </w:pPr>
            <w:r w:rsidRPr="000A0A5F">
              <w:t>NetworkAreaInfo</w:t>
            </w:r>
          </w:p>
        </w:tc>
        <w:tc>
          <w:tcPr>
            <w:tcW w:w="1848" w:type="dxa"/>
          </w:tcPr>
          <w:p w:rsidR="00CB0DD7" w:rsidRPr="000A0A5F" w:rsidRDefault="00CB0DD7">
            <w:pPr>
              <w:pStyle w:val="TAL"/>
              <w:rPr>
                <w:lang w:eastAsia="zh-CN"/>
              </w:rPr>
            </w:pPr>
            <w:r w:rsidRPr="000A0A5F">
              <w:rPr>
                <w:noProof/>
              </w:rPr>
              <w:t>3GPP TS 29.554 [50]</w:t>
            </w:r>
          </w:p>
        </w:tc>
        <w:tc>
          <w:tcPr>
            <w:tcW w:w="5308" w:type="dxa"/>
          </w:tcPr>
          <w:p w:rsidR="00CB0DD7" w:rsidRPr="000A0A5F" w:rsidRDefault="00CB0DD7">
            <w:pPr>
              <w:pStyle w:val="TAL"/>
              <w:rPr>
                <w:lang w:eastAsia="zh-CN"/>
              </w:rPr>
            </w:pPr>
            <w:r w:rsidRPr="000A0A5F">
              <w:rPr>
                <w:rFonts w:cs="Arial"/>
                <w:noProof/>
                <w:szCs w:val="18"/>
              </w:rPr>
              <w:t xml:space="preserve">Identifies </w:t>
            </w:r>
            <w:r w:rsidRPr="000A0A5F">
              <w:rPr>
                <w:rFonts w:cs="Arial"/>
                <w:szCs w:val="18"/>
                <w:lang w:eastAsia="zh-CN"/>
              </w:rPr>
              <w:t>a</w:t>
            </w:r>
            <w:r w:rsidRPr="000A0A5F">
              <w:rPr>
                <w:rFonts w:cs="Arial"/>
              </w:rPr>
              <w:t xml:space="preserve"> network area information</w:t>
            </w:r>
            <w:r w:rsidRPr="000A0A5F">
              <w:rPr>
                <w:rFonts w:cs="Arial"/>
                <w:noProof/>
                <w:szCs w:val="18"/>
              </w:rPr>
              <w:t>.</w:t>
            </w:r>
          </w:p>
        </w:tc>
      </w:tr>
      <w:tr w:rsidR="00F2786F" w:rsidRPr="000A0A5F" w:rsidTr="00FF0AF8">
        <w:trPr>
          <w:jc w:val="center"/>
        </w:trPr>
        <w:tc>
          <w:tcPr>
            <w:tcW w:w="2018" w:type="dxa"/>
          </w:tcPr>
          <w:p w:rsidR="00F2786F" w:rsidRPr="000A0A5F" w:rsidRDefault="00F2786F" w:rsidP="00F2786F">
            <w:pPr>
              <w:pStyle w:val="TAL"/>
            </w:pPr>
            <w:r w:rsidRPr="000A0A5F">
              <w:t>Snssai</w:t>
            </w:r>
          </w:p>
        </w:tc>
        <w:tc>
          <w:tcPr>
            <w:tcW w:w="1848" w:type="dxa"/>
          </w:tcPr>
          <w:p w:rsidR="00F2786F" w:rsidRPr="000A0A5F" w:rsidRDefault="00F2786F" w:rsidP="00F2786F">
            <w:pPr>
              <w:pStyle w:val="TAL"/>
              <w:rPr>
                <w:noProof/>
              </w:rPr>
            </w:pPr>
            <w:r w:rsidRPr="000A0A5F">
              <w:rPr>
                <w:rFonts w:hint="eastAsia"/>
                <w:lang w:eastAsia="zh-CN"/>
              </w:rPr>
              <w:t>3GPP TS 29.</w:t>
            </w:r>
            <w:r w:rsidRPr="000A0A5F">
              <w:rPr>
                <w:lang w:eastAsia="zh-CN"/>
              </w:rPr>
              <w:t>571</w:t>
            </w:r>
            <w:r w:rsidRPr="000A0A5F">
              <w:rPr>
                <w:rFonts w:hint="eastAsia"/>
                <w:lang w:eastAsia="zh-CN"/>
              </w:rPr>
              <w:t> [</w:t>
            </w:r>
            <w:r w:rsidRPr="000A0A5F">
              <w:rPr>
                <w:lang w:eastAsia="zh-CN"/>
              </w:rPr>
              <w:t>45</w:t>
            </w:r>
            <w:r w:rsidRPr="000A0A5F">
              <w:rPr>
                <w:rFonts w:hint="eastAsia"/>
                <w:lang w:eastAsia="zh-CN"/>
              </w:rPr>
              <w:t>]</w:t>
            </w:r>
          </w:p>
        </w:tc>
        <w:tc>
          <w:tcPr>
            <w:tcW w:w="5308" w:type="dxa"/>
          </w:tcPr>
          <w:p w:rsidR="00F2786F" w:rsidRPr="000A0A5F" w:rsidRDefault="00F2786F" w:rsidP="00F2786F">
            <w:pPr>
              <w:pStyle w:val="TAL"/>
              <w:rPr>
                <w:rFonts w:cs="Arial"/>
                <w:noProof/>
                <w:szCs w:val="18"/>
              </w:rPr>
            </w:pPr>
            <w:r w:rsidRPr="000A0A5F">
              <w:rPr>
                <w:rFonts w:hint="eastAsia"/>
                <w:lang w:eastAsia="zh-CN"/>
              </w:rPr>
              <w:t xml:space="preserve">Identifies the </w:t>
            </w:r>
            <w:r w:rsidRPr="000A0A5F">
              <w:rPr>
                <w:lang w:eastAsia="zh-CN"/>
              </w:rPr>
              <w:t>S-NSSAI.</w:t>
            </w:r>
          </w:p>
        </w:tc>
      </w:tr>
      <w:tr w:rsidR="007B538E" w:rsidRPr="000A0A5F" w:rsidTr="00FF0AF8">
        <w:trPr>
          <w:jc w:val="center"/>
        </w:trPr>
        <w:tc>
          <w:tcPr>
            <w:tcW w:w="2018" w:type="dxa"/>
          </w:tcPr>
          <w:p w:rsidR="007B538E" w:rsidRPr="000A0A5F" w:rsidRDefault="007B538E" w:rsidP="007B538E">
            <w:pPr>
              <w:pStyle w:val="TAL"/>
            </w:pPr>
            <w:r w:rsidRPr="000A0A5F">
              <w:t>TimeWindow</w:t>
            </w:r>
          </w:p>
        </w:tc>
        <w:tc>
          <w:tcPr>
            <w:tcW w:w="1848" w:type="dxa"/>
          </w:tcPr>
          <w:p w:rsidR="007B538E" w:rsidRPr="000A0A5F" w:rsidRDefault="007B538E" w:rsidP="007B538E">
            <w:pPr>
              <w:pStyle w:val="TAL"/>
              <w:rPr>
                <w:rFonts w:hint="eastAsia"/>
                <w:lang w:eastAsia="zh-CN"/>
              </w:rPr>
            </w:pPr>
            <w:r w:rsidRPr="000A0A5F">
              <w:rPr>
                <w:lang w:eastAsia="zh-CN"/>
              </w:rPr>
              <w:t>5.2.1.2.3</w:t>
            </w:r>
          </w:p>
        </w:tc>
        <w:tc>
          <w:tcPr>
            <w:tcW w:w="5308" w:type="dxa"/>
          </w:tcPr>
          <w:p w:rsidR="007B538E" w:rsidRPr="000A0A5F" w:rsidRDefault="007B538E" w:rsidP="007B538E">
            <w:pPr>
              <w:pStyle w:val="TAL"/>
              <w:rPr>
                <w:rFonts w:hint="eastAsia"/>
                <w:lang w:eastAsia="zh-CN"/>
              </w:rPr>
            </w:pPr>
            <w:r w:rsidRPr="000A0A5F">
              <w:rPr>
                <w:lang w:eastAsia="zh-CN"/>
              </w:rPr>
              <w:t>Identifies the time window from the start time to the end time.</w:t>
            </w:r>
          </w:p>
        </w:tc>
      </w:tr>
      <w:tr w:rsidR="007B538E" w:rsidRPr="000A0A5F" w:rsidTr="00FF0AF8">
        <w:trPr>
          <w:jc w:val="center"/>
        </w:trPr>
        <w:tc>
          <w:tcPr>
            <w:tcW w:w="2018" w:type="dxa"/>
          </w:tcPr>
          <w:p w:rsidR="007B538E" w:rsidRPr="000A0A5F" w:rsidRDefault="007B538E" w:rsidP="007B538E">
            <w:pPr>
              <w:pStyle w:val="TAL"/>
            </w:pPr>
            <w:r w:rsidRPr="000A0A5F">
              <w:t>SupportedFeatures</w:t>
            </w:r>
          </w:p>
        </w:tc>
        <w:tc>
          <w:tcPr>
            <w:tcW w:w="1848" w:type="dxa"/>
          </w:tcPr>
          <w:p w:rsidR="007B538E" w:rsidRPr="000A0A5F" w:rsidRDefault="007B538E" w:rsidP="007B538E">
            <w:pPr>
              <w:pStyle w:val="TAL"/>
              <w:rPr>
                <w:rFonts w:hint="eastAsia"/>
                <w:lang w:eastAsia="zh-CN"/>
              </w:rPr>
            </w:pPr>
            <w:r w:rsidRPr="000A0A5F">
              <w:rPr>
                <w:lang w:eastAsia="zh-CN"/>
              </w:rPr>
              <w:t>3GPP TS 29.571 [45]</w:t>
            </w:r>
          </w:p>
        </w:tc>
        <w:tc>
          <w:tcPr>
            <w:tcW w:w="5308" w:type="dxa"/>
          </w:tcPr>
          <w:p w:rsidR="007B538E" w:rsidRPr="000A0A5F" w:rsidRDefault="007B538E" w:rsidP="007B538E">
            <w:pPr>
              <w:pStyle w:val="TAL"/>
              <w:rPr>
                <w:lang w:eastAsia="zh-CN"/>
              </w:rPr>
            </w:pPr>
            <w:r w:rsidRPr="000A0A5F">
              <w:rPr>
                <w:lang w:eastAsia="zh-CN"/>
              </w:rPr>
              <w:t>Used to negotiate the applicability of the optional features defined in table 5.10.4-1.</w:t>
            </w:r>
          </w:p>
        </w:tc>
      </w:tr>
    </w:tbl>
    <w:p w:rsidR="00CB0DD7" w:rsidRPr="000A0A5F" w:rsidRDefault="00CB0DD7"/>
    <w:p w:rsidR="007649C6" w:rsidRPr="000A0A5F" w:rsidRDefault="007649C6" w:rsidP="007649C6">
      <w:bookmarkStart w:id="7161" w:name="_Toc11247723"/>
      <w:bookmarkStart w:id="7162" w:name="_Toc27044862"/>
      <w:bookmarkStart w:id="7163" w:name="_Toc36033904"/>
      <w:bookmarkStart w:id="7164" w:name="_Toc45132050"/>
      <w:bookmarkStart w:id="7165" w:name="_Toc49776335"/>
      <w:bookmarkStart w:id="7166" w:name="_Toc51747255"/>
      <w:bookmarkStart w:id="7167" w:name="_Toc66360828"/>
      <w:bookmarkStart w:id="7168" w:name="_Toc68105333"/>
      <w:bookmarkStart w:id="7169" w:name="_Toc74755963"/>
      <w:r w:rsidRPr="000A0A5F">
        <w:t>Table 5.10.2.1.1-2 specifies the data types defined for the CpProvisioning API.</w:t>
      </w:r>
    </w:p>
    <w:p w:rsidR="007649C6" w:rsidRPr="000A0A5F" w:rsidRDefault="007649C6" w:rsidP="007649C6">
      <w:pPr>
        <w:pStyle w:val="TH"/>
      </w:pPr>
      <w:r w:rsidRPr="000A0A5F">
        <w:t>Table 5.10.2.1.1-2: CpProvisioning API specific Data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888"/>
        <w:gridCol w:w="1076"/>
        <w:gridCol w:w="4253"/>
        <w:gridCol w:w="1412"/>
      </w:tblGrid>
      <w:tr w:rsidR="007649C6" w:rsidRPr="000A0A5F" w:rsidTr="00FF0AF8">
        <w:trPr>
          <w:jc w:val="center"/>
        </w:trPr>
        <w:tc>
          <w:tcPr>
            <w:tcW w:w="2888" w:type="dxa"/>
            <w:shd w:val="clear" w:color="auto" w:fill="C0C0C0"/>
            <w:vAlign w:val="center"/>
            <w:hideMark/>
          </w:tcPr>
          <w:p w:rsidR="007649C6" w:rsidRPr="000A0A5F" w:rsidRDefault="007649C6" w:rsidP="00D513D3">
            <w:pPr>
              <w:pStyle w:val="TAH"/>
            </w:pPr>
            <w:r w:rsidRPr="000A0A5F">
              <w:t>Data type</w:t>
            </w:r>
          </w:p>
        </w:tc>
        <w:tc>
          <w:tcPr>
            <w:tcW w:w="1076" w:type="dxa"/>
            <w:shd w:val="clear" w:color="auto" w:fill="C0C0C0"/>
            <w:vAlign w:val="center"/>
          </w:tcPr>
          <w:p w:rsidR="007649C6" w:rsidRPr="000A0A5F" w:rsidRDefault="007649C6" w:rsidP="00D513D3">
            <w:pPr>
              <w:pStyle w:val="TAH"/>
            </w:pPr>
            <w:r w:rsidRPr="000A0A5F">
              <w:t>Clause defined</w:t>
            </w:r>
          </w:p>
        </w:tc>
        <w:tc>
          <w:tcPr>
            <w:tcW w:w="4253" w:type="dxa"/>
            <w:shd w:val="clear" w:color="auto" w:fill="C0C0C0"/>
            <w:vAlign w:val="center"/>
            <w:hideMark/>
          </w:tcPr>
          <w:p w:rsidR="007649C6" w:rsidRPr="000A0A5F" w:rsidRDefault="007649C6" w:rsidP="00D513D3">
            <w:pPr>
              <w:pStyle w:val="TAH"/>
            </w:pPr>
            <w:r w:rsidRPr="000A0A5F">
              <w:t>Description</w:t>
            </w:r>
          </w:p>
        </w:tc>
        <w:tc>
          <w:tcPr>
            <w:tcW w:w="1412" w:type="dxa"/>
            <w:shd w:val="clear" w:color="auto" w:fill="C0C0C0"/>
            <w:vAlign w:val="center"/>
          </w:tcPr>
          <w:p w:rsidR="007649C6" w:rsidRPr="000A0A5F" w:rsidRDefault="007649C6" w:rsidP="00D513D3">
            <w:pPr>
              <w:pStyle w:val="TAH"/>
            </w:pPr>
            <w:r w:rsidRPr="000A0A5F">
              <w:t>Applicability</w:t>
            </w:r>
          </w:p>
        </w:tc>
      </w:tr>
      <w:tr w:rsidR="007B538E" w:rsidRPr="000A0A5F" w:rsidTr="00FF0AF8">
        <w:trPr>
          <w:jc w:val="center"/>
        </w:trPr>
        <w:tc>
          <w:tcPr>
            <w:tcW w:w="2888" w:type="dxa"/>
            <w:vAlign w:val="center"/>
          </w:tcPr>
          <w:p w:rsidR="007B538E" w:rsidRPr="000A0A5F" w:rsidRDefault="007B538E" w:rsidP="007B538E">
            <w:pPr>
              <w:pStyle w:val="TAL"/>
            </w:pPr>
            <w:r w:rsidRPr="000A0A5F">
              <w:t>AppExpUeBehaviour</w:t>
            </w:r>
          </w:p>
        </w:tc>
        <w:tc>
          <w:tcPr>
            <w:tcW w:w="1076" w:type="dxa"/>
            <w:vAlign w:val="center"/>
          </w:tcPr>
          <w:p w:rsidR="007B538E" w:rsidRPr="000A0A5F" w:rsidRDefault="007B538E" w:rsidP="007B538E">
            <w:pPr>
              <w:pStyle w:val="TAC"/>
            </w:pPr>
            <w:r w:rsidRPr="000A0A5F">
              <w:t>5.10.2.2.6</w:t>
            </w:r>
          </w:p>
        </w:tc>
        <w:tc>
          <w:tcPr>
            <w:tcW w:w="4253" w:type="dxa"/>
            <w:vAlign w:val="center"/>
          </w:tcPr>
          <w:p w:rsidR="007B538E" w:rsidRPr="000A0A5F" w:rsidRDefault="007B538E" w:rsidP="007B538E">
            <w:pPr>
              <w:pStyle w:val="TAL"/>
            </w:pPr>
            <w:r w:rsidRPr="000A0A5F">
              <w:t>Contains the Application Specific Expected UE Behaviour parameters.</w:t>
            </w:r>
          </w:p>
        </w:tc>
        <w:tc>
          <w:tcPr>
            <w:tcW w:w="1412" w:type="dxa"/>
            <w:vAlign w:val="center"/>
          </w:tcPr>
          <w:p w:rsidR="007B538E" w:rsidRPr="000A0A5F" w:rsidRDefault="007B538E" w:rsidP="007B538E">
            <w:pPr>
              <w:pStyle w:val="TAL"/>
              <w:rPr>
                <w:rFonts w:cs="Arial"/>
                <w:szCs w:val="18"/>
              </w:rPr>
            </w:pPr>
            <w:r w:rsidRPr="000A0A5F">
              <w:rPr>
                <w:rFonts w:cs="Arial"/>
                <w:szCs w:val="18"/>
              </w:rPr>
              <w:t>AppExpUeBehaviour</w:t>
            </w:r>
          </w:p>
        </w:tc>
      </w:tr>
      <w:tr w:rsidR="007B538E" w:rsidRPr="000A0A5F" w:rsidTr="00FF0AF8">
        <w:trPr>
          <w:jc w:val="center"/>
        </w:trPr>
        <w:tc>
          <w:tcPr>
            <w:tcW w:w="2888" w:type="dxa"/>
            <w:vAlign w:val="center"/>
          </w:tcPr>
          <w:p w:rsidR="007B538E" w:rsidRPr="000A0A5F" w:rsidRDefault="007B538E" w:rsidP="007B538E">
            <w:pPr>
              <w:pStyle w:val="TAL"/>
            </w:pPr>
            <w:r w:rsidRPr="000A0A5F">
              <w:t>BatteryIndication</w:t>
            </w:r>
          </w:p>
        </w:tc>
        <w:tc>
          <w:tcPr>
            <w:tcW w:w="1076" w:type="dxa"/>
            <w:vAlign w:val="center"/>
          </w:tcPr>
          <w:p w:rsidR="007B538E" w:rsidRPr="000A0A5F" w:rsidRDefault="007B538E" w:rsidP="007B538E">
            <w:pPr>
              <w:pStyle w:val="TAC"/>
            </w:pPr>
            <w:r w:rsidRPr="000A0A5F">
              <w:t>5.10.2.3.6</w:t>
            </w:r>
          </w:p>
        </w:tc>
        <w:tc>
          <w:tcPr>
            <w:tcW w:w="4253" w:type="dxa"/>
            <w:vAlign w:val="center"/>
          </w:tcPr>
          <w:p w:rsidR="007B538E" w:rsidRPr="000A0A5F" w:rsidRDefault="007B538E" w:rsidP="007B538E">
            <w:pPr>
              <w:pStyle w:val="TAL"/>
            </w:pPr>
            <w:r w:rsidRPr="000A0A5F">
              <w:t>Represents the type of power consumption.</w:t>
            </w:r>
          </w:p>
        </w:tc>
        <w:tc>
          <w:tcPr>
            <w:tcW w:w="1412" w:type="dxa"/>
            <w:vAlign w:val="center"/>
          </w:tcPr>
          <w:p w:rsidR="007B538E" w:rsidRPr="000A0A5F" w:rsidRDefault="007B538E" w:rsidP="007B538E">
            <w:pPr>
              <w:pStyle w:val="TAL"/>
              <w:rPr>
                <w:rFonts w:cs="Arial"/>
                <w:szCs w:val="18"/>
              </w:rPr>
            </w:pPr>
          </w:p>
        </w:tc>
      </w:tr>
      <w:tr w:rsidR="007B538E" w:rsidRPr="000A0A5F" w:rsidTr="00FF0AF8">
        <w:trPr>
          <w:jc w:val="center"/>
        </w:trPr>
        <w:tc>
          <w:tcPr>
            <w:tcW w:w="2888" w:type="dxa"/>
            <w:vAlign w:val="center"/>
          </w:tcPr>
          <w:p w:rsidR="007B538E" w:rsidRPr="000A0A5F" w:rsidRDefault="007B538E" w:rsidP="007B538E">
            <w:pPr>
              <w:pStyle w:val="TAL"/>
            </w:pPr>
            <w:r w:rsidRPr="000A0A5F">
              <w:rPr>
                <w:lang w:eastAsia="zh-CN"/>
              </w:rPr>
              <w:t>CommunicationIndicator</w:t>
            </w:r>
          </w:p>
        </w:tc>
        <w:tc>
          <w:tcPr>
            <w:tcW w:w="1076" w:type="dxa"/>
            <w:vAlign w:val="center"/>
          </w:tcPr>
          <w:p w:rsidR="007B538E" w:rsidRPr="000A0A5F" w:rsidRDefault="007B538E" w:rsidP="007B538E">
            <w:pPr>
              <w:pStyle w:val="TAC"/>
            </w:pPr>
            <w:r w:rsidRPr="000A0A5F">
              <w:t>5.10.2.3.3</w:t>
            </w:r>
          </w:p>
        </w:tc>
        <w:tc>
          <w:tcPr>
            <w:tcW w:w="4253" w:type="dxa"/>
            <w:vAlign w:val="center"/>
          </w:tcPr>
          <w:p w:rsidR="007B538E" w:rsidRPr="000A0A5F" w:rsidRDefault="007B538E" w:rsidP="007B538E">
            <w:pPr>
              <w:pStyle w:val="TAL"/>
            </w:pPr>
            <w:r w:rsidRPr="000A0A5F">
              <w:t>Represents the communication type used by the UE.</w:t>
            </w:r>
          </w:p>
        </w:tc>
        <w:tc>
          <w:tcPr>
            <w:tcW w:w="1412" w:type="dxa"/>
            <w:vAlign w:val="center"/>
          </w:tcPr>
          <w:p w:rsidR="007B538E" w:rsidRPr="000A0A5F" w:rsidRDefault="007B538E" w:rsidP="007B538E">
            <w:pPr>
              <w:pStyle w:val="TAL"/>
              <w:rPr>
                <w:rFonts w:cs="Arial"/>
                <w:szCs w:val="18"/>
              </w:rPr>
            </w:pPr>
          </w:p>
        </w:tc>
      </w:tr>
      <w:tr w:rsidR="007B538E" w:rsidRPr="000A0A5F" w:rsidTr="00FF0AF8">
        <w:trPr>
          <w:jc w:val="center"/>
        </w:trPr>
        <w:tc>
          <w:tcPr>
            <w:tcW w:w="2888" w:type="dxa"/>
            <w:vAlign w:val="center"/>
          </w:tcPr>
          <w:p w:rsidR="007B538E" w:rsidRPr="000A0A5F" w:rsidRDefault="007B538E" w:rsidP="007B538E">
            <w:pPr>
              <w:pStyle w:val="TAL"/>
            </w:pPr>
            <w:r w:rsidRPr="000A0A5F">
              <w:t>CpFailureCode</w:t>
            </w:r>
          </w:p>
        </w:tc>
        <w:tc>
          <w:tcPr>
            <w:tcW w:w="1076" w:type="dxa"/>
            <w:vAlign w:val="center"/>
          </w:tcPr>
          <w:p w:rsidR="007B538E" w:rsidRPr="000A0A5F" w:rsidRDefault="007B538E" w:rsidP="007B538E">
            <w:pPr>
              <w:pStyle w:val="TAC"/>
            </w:pPr>
            <w:r w:rsidRPr="000A0A5F">
              <w:t>5.10.2.3.5</w:t>
            </w:r>
          </w:p>
        </w:tc>
        <w:tc>
          <w:tcPr>
            <w:tcW w:w="4253" w:type="dxa"/>
            <w:vAlign w:val="center"/>
          </w:tcPr>
          <w:p w:rsidR="007B538E" w:rsidRPr="000A0A5F" w:rsidRDefault="007B538E" w:rsidP="007B538E">
            <w:pPr>
              <w:pStyle w:val="TAL"/>
            </w:pPr>
            <w:r w:rsidRPr="000A0A5F">
              <w:t>Represents the failure reason of the CP parameter provisioning.</w:t>
            </w:r>
          </w:p>
        </w:tc>
        <w:tc>
          <w:tcPr>
            <w:tcW w:w="1412" w:type="dxa"/>
            <w:vAlign w:val="center"/>
          </w:tcPr>
          <w:p w:rsidR="007B538E" w:rsidRPr="000A0A5F" w:rsidRDefault="007B538E" w:rsidP="007B538E">
            <w:pPr>
              <w:pStyle w:val="TAL"/>
              <w:rPr>
                <w:rFonts w:cs="Arial"/>
                <w:szCs w:val="18"/>
              </w:rPr>
            </w:pPr>
          </w:p>
        </w:tc>
      </w:tr>
      <w:tr w:rsidR="007B538E" w:rsidRPr="000A0A5F" w:rsidTr="00FF0AF8">
        <w:trPr>
          <w:jc w:val="center"/>
        </w:trPr>
        <w:tc>
          <w:tcPr>
            <w:tcW w:w="2888" w:type="dxa"/>
            <w:vAlign w:val="center"/>
          </w:tcPr>
          <w:p w:rsidR="007B538E" w:rsidRPr="000A0A5F" w:rsidRDefault="007B538E" w:rsidP="007B538E">
            <w:pPr>
              <w:pStyle w:val="TAL"/>
            </w:pPr>
            <w:r w:rsidRPr="000A0A5F">
              <w:t>CpInfo</w:t>
            </w:r>
          </w:p>
        </w:tc>
        <w:tc>
          <w:tcPr>
            <w:tcW w:w="1076" w:type="dxa"/>
            <w:vAlign w:val="center"/>
          </w:tcPr>
          <w:p w:rsidR="007B538E" w:rsidRPr="000A0A5F" w:rsidRDefault="007B538E" w:rsidP="007B538E">
            <w:pPr>
              <w:pStyle w:val="TAC"/>
            </w:pPr>
            <w:r w:rsidRPr="000A0A5F">
              <w:t>5.10.2.1.2</w:t>
            </w:r>
          </w:p>
        </w:tc>
        <w:tc>
          <w:tcPr>
            <w:tcW w:w="4253" w:type="dxa"/>
            <w:vAlign w:val="center"/>
          </w:tcPr>
          <w:p w:rsidR="007B538E" w:rsidRPr="000A0A5F" w:rsidRDefault="007B538E" w:rsidP="007B538E">
            <w:pPr>
              <w:pStyle w:val="TAL"/>
            </w:pPr>
            <w:r w:rsidRPr="000A0A5F">
              <w:t>Represents the resources for communication pattern parameter provisioning.</w:t>
            </w:r>
          </w:p>
        </w:tc>
        <w:tc>
          <w:tcPr>
            <w:tcW w:w="1412" w:type="dxa"/>
            <w:vAlign w:val="center"/>
          </w:tcPr>
          <w:p w:rsidR="007B538E" w:rsidRPr="000A0A5F" w:rsidRDefault="007B538E" w:rsidP="007B538E">
            <w:pPr>
              <w:pStyle w:val="TAL"/>
              <w:rPr>
                <w:rFonts w:cs="Arial"/>
                <w:szCs w:val="18"/>
              </w:rPr>
            </w:pPr>
          </w:p>
        </w:tc>
      </w:tr>
      <w:tr w:rsidR="007B538E" w:rsidRPr="000A0A5F" w:rsidTr="00FF0AF8">
        <w:trPr>
          <w:jc w:val="center"/>
        </w:trPr>
        <w:tc>
          <w:tcPr>
            <w:tcW w:w="2888" w:type="dxa"/>
            <w:vAlign w:val="center"/>
          </w:tcPr>
          <w:p w:rsidR="007B538E" w:rsidRPr="000A0A5F" w:rsidRDefault="007B538E" w:rsidP="007B538E">
            <w:pPr>
              <w:pStyle w:val="TAL"/>
            </w:pPr>
            <w:r w:rsidRPr="000A0A5F">
              <w:rPr>
                <w:rFonts w:eastAsia="Times New Roman"/>
              </w:rPr>
              <w:t>CpParameterSet</w:t>
            </w:r>
          </w:p>
        </w:tc>
        <w:tc>
          <w:tcPr>
            <w:tcW w:w="1076" w:type="dxa"/>
            <w:vAlign w:val="center"/>
          </w:tcPr>
          <w:p w:rsidR="007B538E" w:rsidRPr="000A0A5F" w:rsidRDefault="007B538E" w:rsidP="007B538E">
            <w:pPr>
              <w:pStyle w:val="TAC"/>
            </w:pPr>
            <w:r w:rsidRPr="000A0A5F">
              <w:t>5.10.2.2.2</w:t>
            </w:r>
          </w:p>
        </w:tc>
        <w:tc>
          <w:tcPr>
            <w:tcW w:w="4253" w:type="dxa"/>
            <w:vAlign w:val="center"/>
          </w:tcPr>
          <w:p w:rsidR="007B538E" w:rsidRPr="000A0A5F" w:rsidRDefault="007B538E" w:rsidP="007B538E">
            <w:pPr>
              <w:pStyle w:val="TAL"/>
            </w:pPr>
            <w:r w:rsidRPr="000A0A5F">
              <w:t>Represents an offered communication pattern parameter set.</w:t>
            </w:r>
          </w:p>
        </w:tc>
        <w:tc>
          <w:tcPr>
            <w:tcW w:w="1412" w:type="dxa"/>
            <w:vAlign w:val="center"/>
          </w:tcPr>
          <w:p w:rsidR="007B538E" w:rsidRPr="000A0A5F" w:rsidRDefault="007B538E" w:rsidP="007B538E">
            <w:pPr>
              <w:pStyle w:val="TAL"/>
              <w:rPr>
                <w:rFonts w:cs="Arial"/>
                <w:szCs w:val="18"/>
              </w:rPr>
            </w:pPr>
          </w:p>
        </w:tc>
      </w:tr>
      <w:tr w:rsidR="007B538E" w:rsidRPr="000A0A5F" w:rsidTr="00FF0AF8">
        <w:trPr>
          <w:jc w:val="center"/>
        </w:trPr>
        <w:tc>
          <w:tcPr>
            <w:tcW w:w="2888" w:type="dxa"/>
            <w:vAlign w:val="center"/>
          </w:tcPr>
          <w:p w:rsidR="007B538E" w:rsidRPr="000A0A5F" w:rsidRDefault="007B538E" w:rsidP="007B538E">
            <w:pPr>
              <w:pStyle w:val="TAL"/>
            </w:pPr>
            <w:r w:rsidRPr="000A0A5F">
              <w:rPr>
                <w:noProof/>
              </w:rPr>
              <w:t>CpReport</w:t>
            </w:r>
          </w:p>
        </w:tc>
        <w:tc>
          <w:tcPr>
            <w:tcW w:w="1076" w:type="dxa"/>
            <w:vAlign w:val="center"/>
          </w:tcPr>
          <w:p w:rsidR="007B538E" w:rsidRPr="000A0A5F" w:rsidRDefault="007B538E" w:rsidP="007B538E">
            <w:pPr>
              <w:pStyle w:val="TAC"/>
            </w:pPr>
            <w:r w:rsidRPr="000A0A5F">
              <w:t>5.10.2.2.4</w:t>
            </w:r>
          </w:p>
        </w:tc>
        <w:tc>
          <w:tcPr>
            <w:tcW w:w="4253" w:type="dxa"/>
            <w:vAlign w:val="center"/>
          </w:tcPr>
          <w:p w:rsidR="007B538E" w:rsidRPr="000A0A5F" w:rsidRDefault="007B538E" w:rsidP="007B538E">
            <w:pPr>
              <w:pStyle w:val="TAL"/>
            </w:pPr>
            <w:r w:rsidRPr="000A0A5F">
              <w:t>Represents a CP report indicating the CP set identifier(s) which CP parameter(s) are not added or modified successfully and the corresponding failure cause(s).</w:t>
            </w:r>
          </w:p>
        </w:tc>
        <w:tc>
          <w:tcPr>
            <w:tcW w:w="1412" w:type="dxa"/>
            <w:vAlign w:val="center"/>
          </w:tcPr>
          <w:p w:rsidR="007B538E" w:rsidRPr="000A0A5F" w:rsidRDefault="007B538E" w:rsidP="007B538E">
            <w:pPr>
              <w:pStyle w:val="TAL"/>
              <w:rPr>
                <w:rFonts w:cs="Arial"/>
                <w:szCs w:val="18"/>
              </w:rPr>
            </w:pPr>
          </w:p>
        </w:tc>
      </w:tr>
      <w:tr w:rsidR="007B538E" w:rsidRPr="000A0A5F" w:rsidTr="00FF0AF8">
        <w:trPr>
          <w:jc w:val="center"/>
        </w:trPr>
        <w:tc>
          <w:tcPr>
            <w:tcW w:w="2888" w:type="dxa"/>
            <w:vAlign w:val="center"/>
          </w:tcPr>
          <w:p w:rsidR="007B538E" w:rsidRPr="000A0A5F" w:rsidRDefault="007B538E" w:rsidP="007B538E">
            <w:pPr>
              <w:pStyle w:val="TAL"/>
            </w:pPr>
            <w:r w:rsidRPr="000A0A5F">
              <w:rPr>
                <w:rFonts w:eastAsia="Times New Roman"/>
              </w:rPr>
              <w:t>ScheduledCommunicationTime</w:t>
            </w:r>
          </w:p>
        </w:tc>
        <w:tc>
          <w:tcPr>
            <w:tcW w:w="1076" w:type="dxa"/>
            <w:vAlign w:val="center"/>
          </w:tcPr>
          <w:p w:rsidR="007B538E" w:rsidRPr="000A0A5F" w:rsidRDefault="007B538E" w:rsidP="007B538E">
            <w:pPr>
              <w:pStyle w:val="TAC"/>
            </w:pPr>
            <w:r w:rsidRPr="000A0A5F">
              <w:t>5.10.2.2.3</w:t>
            </w:r>
          </w:p>
        </w:tc>
        <w:tc>
          <w:tcPr>
            <w:tcW w:w="4253" w:type="dxa"/>
            <w:vAlign w:val="center"/>
          </w:tcPr>
          <w:p w:rsidR="007B538E" w:rsidRPr="000A0A5F" w:rsidRDefault="007B538E" w:rsidP="007B538E">
            <w:pPr>
              <w:pStyle w:val="TAL"/>
            </w:pPr>
            <w:r w:rsidRPr="000A0A5F">
              <w:t>Represents an offered scheduled communication time.</w:t>
            </w:r>
          </w:p>
        </w:tc>
        <w:tc>
          <w:tcPr>
            <w:tcW w:w="1412" w:type="dxa"/>
            <w:vAlign w:val="center"/>
          </w:tcPr>
          <w:p w:rsidR="007B538E" w:rsidRPr="000A0A5F" w:rsidRDefault="007B538E" w:rsidP="007B538E">
            <w:pPr>
              <w:pStyle w:val="TAL"/>
              <w:rPr>
                <w:rFonts w:cs="Arial"/>
                <w:szCs w:val="18"/>
              </w:rPr>
            </w:pPr>
          </w:p>
        </w:tc>
      </w:tr>
      <w:tr w:rsidR="007B538E" w:rsidRPr="000A0A5F" w:rsidTr="00FF0AF8">
        <w:trPr>
          <w:jc w:val="center"/>
        </w:trPr>
        <w:tc>
          <w:tcPr>
            <w:tcW w:w="2888" w:type="dxa"/>
            <w:vAlign w:val="center"/>
          </w:tcPr>
          <w:p w:rsidR="007B538E" w:rsidRPr="000A0A5F" w:rsidRDefault="007B538E" w:rsidP="007B538E">
            <w:pPr>
              <w:pStyle w:val="TAL"/>
              <w:rPr>
                <w:lang w:eastAsia="zh-CN"/>
              </w:rPr>
            </w:pPr>
            <w:r w:rsidRPr="000A0A5F">
              <w:t>ScheduledCommunicationType</w:t>
            </w:r>
          </w:p>
        </w:tc>
        <w:tc>
          <w:tcPr>
            <w:tcW w:w="1076" w:type="dxa"/>
            <w:vAlign w:val="center"/>
          </w:tcPr>
          <w:p w:rsidR="007B538E" w:rsidRPr="000A0A5F" w:rsidRDefault="007B538E" w:rsidP="007B538E">
            <w:pPr>
              <w:pStyle w:val="TAC"/>
            </w:pPr>
            <w:r w:rsidRPr="000A0A5F">
              <w:t>5.10.2.3.8a</w:t>
            </w:r>
          </w:p>
        </w:tc>
        <w:tc>
          <w:tcPr>
            <w:tcW w:w="4253" w:type="dxa"/>
            <w:vAlign w:val="center"/>
          </w:tcPr>
          <w:p w:rsidR="007B538E" w:rsidRPr="000A0A5F" w:rsidRDefault="007B538E" w:rsidP="007B538E">
            <w:pPr>
              <w:pStyle w:val="TAL"/>
            </w:pPr>
            <w:r w:rsidRPr="000A0A5F">
              <w:t>Represents the type of scheduled communication.</w:t>
            </w:r>
          </w:p>
        </w:tc>
        <w:tc>
          <w:tcPr>
            <w:tcW w:w="1412" w:type="dxa"/>
            <w:vAlign w:val="center"/>
          </w:tcPr>
          <w:p w:rsidR="007B538E" w:rsidRPr="000A0A5F" w:rsidRDefault="007B538E" w:rsidP="007B538E">
            <w:pPr>
              <w:pStyle w:val="TAL"/>
              <w:rPr>
                <w:rFonts w:cs="Arial"/>
                <w:szCs w:val="18"/>
              </w:rPr>
            </w:pPr>
            <w:r w:rsidRPr="000A0A5F">
              <w:rPr>
                <w:lang w:eastAsia="zh-CN"/>
              </w:rPr>
              <w:t>ScheduledCommType_5G</w:t>
            </w:r>
          </w:p>
        </w:tc>
      </w:tr>
      <w:tr w:rsidR="007B538E" w:rsidRPr="000A0A5F" w:rsidTr="00FF0AF8">
        <w:trPr>
          <w:jc w:val="center"/>
        </w:trPr>
        <w:tc>
          <w:tcPr>
            <w:tcW w:w="2888" w:type="dxa"/>
            <w:vAlign w:val="center"/>
          </w:tcPr>
          <w:p w:rsidR="007B538E" w:rsidRPr="000A0A5F" w:rsidRDefault="007B538E" w:rsidP="007B538E">
            <w:pPr>
              <w:pStyle w:val="TAL"/>
            </w:pPr>
            <w:r w:rsidRPr="000A0A5F">
              <w:rPr>
                <w:lang w:eastAsia="zh-CN"/>
              </w:rPr>
              <w:t>StationaryIndication</w:t>
            </w:r>
          </w:p>
        </w:tc>
        <w:tc>
          <w:tcPr>
            <w:tcW w:w="1076" w:type="dxa"/>
            <w:vAlign w:val="center"/>
          </w:tcPr>
          <w:p w:rsidR="007B538E" w:rsidRPr="000A0A5F" w:rsidRDefault="007B538E" w:rsidP="007B538E">
            <w:pPr>
              <w:pStyle w:val="TAC"/>
            </w:pPr>
            <w:r w:rsidRPr="000A0A5F">
              <w:t>5.10.2.3.4</w:t>
            </w:r>
          </w:p>
        </w:tc>
        <w:tc>
          <w:tcPr>
            <w:tcW w:w="4253" w:type="dxa"/>
            <w:vAlign w:val="center"/>
          </w:tcPr>
          <w:p w:rsidR="007B538E" w:rsidRPr="000A0A5F" w:rsidRDefault="007B538E" w:rsidP="007B538E">
            <w:pPr>
              <w:pStyle w:val="TAL"/>
            </w:pPr>
            <w:r w:rsidRPr="000A0A5F">
              <w:t>Indicates whether the UE is stationary or mobile.</w:t>
            </w:r>
          </w:p>
        </w:tc>
        <w:tc>
          <w:tcPr>
            <w:tcW w:w="1412" w:type="dxa"/>
            <w:vAlign w:val="center"/>
          </w:tcPr>
          <w:p w:rsidR="007B538E" w:rsidRPr="000A0A5F" w:rsidRDefault="007B538E" w:rsidP="007B538E">
            <w:pPr>
              <w:pStyle w:val="TAL"/>
              <w:rPr>
                <w:rFonts w:cs="Arial"/>
                <w:szCs w:val="18"/>
              </w:rPr>
            </w:pPr>
          </w:p>
        </w:tc>
      </w:tr>
      <w:tr w:rsidR="007B538E" w:rsidRPr="000A0A5F" w:rsidTr="00FF0AF8">
        <w:trPr>
          <w:jc w:val="center"/>
        </w:trPr>
        <w:tc>
          <w:tcPr>
            <w:tcW w:w="2888" w:type="dxa"/>
            <w:vAlign w:val="center"/>
          </w:tcPr>
          <w:p w:rsidR="007B538E" w:rsidRPr="000A0A5F" w:rsidRDefault="007B538E" w:rsidP="007B538E">
            <w:pPr>
              <w:pStyle w:val="TAL"/>
            </w:pPr>
            <w:r w:rsidRPr="000A0A5F">
              <w:t>TrafficProfile</w:t>
            </w:r>
          </w:p>
        </w:tc>
        <w:tc>
          <w:tcPr>
            <w:tcW w:w="1076" w:type="dxa"/>
            <w:vAlign w:val="center"/>
          </w:tcPr>
          <w:p w:rsidR="007B538E" w:rsidRPr="000A0A5F" w:rsidRDefault="007B538E" w:rsidP="007B538E">
            <w:pPr>
              <w:pStyle w:val="TAC"/>
            </w:pPr>
            <w:r w:rsidRPr="000A0A5F">
              <w:t>5.10.2.3.7</w:t>
            </w:r>
          </w:p>
        </w:tc>
        <w:tc>
          <w:tcPr>
            <w:tcW w:w="4253" w:type="dxa"/>
            <w:vAlign w:val="center"/>
          </w:tcPr>
          <w:p w:rsidR="007B538E" w:rsidRPr="000A0A5F" w:rsidRDefault="007B538E" w:rsidP="007B538E">
            <w:pPr>
              <w:pStyle w:val="TAL"/>
            </w:pPr>
            <w:r w:rsidRPr="000A0A5F">
              <w:t>Represents the type of data transmission</w:t>
            </w:r>
            <w:r w:rsidRPr="000A0A5F">
              <w:rPr>
                <w:rFonts w:eastAsia="Batang"/>
              </w:rPr>
              <w:t>.</w:t>
            </w:r>
          </w:p>
        </w:tc>
        <w:tc>
          <w:tcPr>
            <w:tcW w:w="1412" w:type="dxa"/>
            <w:vAlign w:val="center"/>
          </w:tcPr>
          <w:p w:rsidR="007B538E" w:rsidRPr="000A0A5F" w:rsidRDefault="007B538E" w:rsidP="007B538E">
            <w:pPr>
              <w:pStyle w:val="TAL"/>
              <w:rPr>
                <w:rFonts w:cs="Arial"/>
                <w:szCs w:val="18"/>
              </w:rPr>
            </w:pPr>
          </w:p>
        </w:tc>
      </w:tr>
      <w:tr w:rsidR="007B538E" w:rsidRPr="000A0A5F" w:rsidTr="00FF0AF8">
        <w:trPr>
          <w:jc w:val="center"/>
        </w:trPr>
        <w:tc>
          <w:tcPr>
            <w:tcW w:w="2888" w:type="dxa"/>
            <w:vAlign w:val="center"/>
          </w:tcPr>
          <w:p w:rsidR="007B538E" w:rsidRPr="000A0A5F" w:rsidRDefault="007B538E" w:rsidP="007B538E">
            <w:pPr>
              <w:pStyle w:val="TAL"/>
            </w:pPr>
            <w:r w:rsidRPr="000A0A5F">
              <w:t>Umt</w:t>
            </w:r>
            <w:r w:rsidRPr="000A0A5F">
              <w:rPr>
                <w:lang w:eastAsia="zh-CN"/>
              </w:rPr>
              <w:t>LocationArea5G</w:t>
            </w:r>
          </w:p>
        </w:tc>
        <w:tc>
          <w:tcPr>
            <w:tcW w:w="1076" w:type="dxa"/>
            <w:vAlign w:val="center"/>
          </w:tcPr>
          <w:p w:rsidR="007B538E" w:rsidRPr="000A0A5F" w:rsidRDefault="007B538E" w:rsidP="007B538E">
            <w:pPr>
              <w:pStyle w:val="TAC"/>
            </w:pPr>
            <w:r w:rsidRPr="000A0A5F">
              <w:t>5.10.2.2.5</w:t>
            </w:r>
          </w:p>
        </w:tc>
        <w:tc>
          <w:tcPr>
            <w:tcW w:w="4253" w:type="dxa"/>
            <w:vAlign w:val="center"/>
          </w:tcPr>
          <w:p w:rsidR="007B538E" w:rsidRPr="000A0A5F" w:rsidRDefault="007B538E" w:rsidP="007B538E">
            <w:pPr>
              <w:pStyle w:val="TAL"/>
            </w:pPr>
            <w:r w:rsidRPr="000A0A5F">
              <w:t>Represents the user location area describing the UE moving trajectory.</w:t>
            </w:r>
          </w:p>
        </w:tc>
        <w:tc>
          <w:tcPr>
            <w:tcW w:w="1412" w:type="dxa"/>
            <w:vAlign w:val="center"/>
          </w:tcPr>
          <w:p w:rsidR="007B538E" w:rsidRPr="000A0A5F" w:rsidRDefault="007B538E" w:rsidP="007B538E">
            <w:pPr>
              <w:pStyle w:val="TAL"/>
              <w:rPr>
                <w:rFonts w:cs="Arial"/>
                <w:szCs w:val="18"/>
              </w:rPr>
            </w:pPr>
            <w:r w:rsidRPr="000A0A5F">
              <w:t>ExpectedUMT_5G</w:t>
            </w:r>
            <w:r w:rsidRPr="000A0A5F">
              <w:rPr>
                <w:lang w:eastAsia="zh-CN"/>
              </w:rPr>
              <w:t>, ExpectedUmtTime_5G</w:t>
            </w:r>
          </w:p>
        </w:tc>
      </w:tr>
    </w:tbl>
    <w:p w:rsidR="007649C6" w:rsidRPr="000A0A5F" w:rsidRDefault="007649C6" w:rsidP="007649C6"/>
    <w:p w:rsidR="00CB0DD7" w:rsidRPr="000A0A5F" w:rsidRDefault="00CB0DD7">
      <w:pPr>
        <w:pStyle w:val="Heading5"/>
      </w:pPr>
      <w:bookmarkStart w:id="7170" w:name="_Toc105674839"/>
      <w:bookmarkStart w:id="7171" w:name="_Toc130502899"/>
      <w:bookmarkStart w:id="7172" w:name="_Toc153625686"/>
      <w:r w:rsidRPr="000A0A5F">
        <w:t>5.10.2.1.2</w:t>
      </w:r>
      <w:r w:rsidRPr="000A0A5F">
        <w:tab/>
        <w:t>Type: CpInfo</w:t>
      </w:r>
      <w:bookmarkEnd w:id="7161"/>
      <w:bookmarkEnd w:id="7162"/>
      <w:bookmarkEnd w:id="7163"/>
      <w:bookmarkEnd w:id="7164"/>
      <w:bookmarkEnd w:id="7165"/>
      <w:bookmarkEnd w:id="7166"/>
      <w:bookmarkEnd w:id="7167"/>
      <w:bookmarkEnd w:id="7168"/>
      <w:bookmarkEnd w:id="7169"/>
      <w:bookmarkEnd w:id="7170"/>
      <w:bookmarkEnd w:id="7171"/>
      <w:bookmarkEnd w:id="7172"/>
    </w:p>
    <w:p w:rsidR="00CB0DD7" w:rsidRPr="000A0A5F" w:rsidRDefault="00CB0DD7">
      <w:r w:rsidRPr="000A0A5F">
        <w:t>This type represents the resources for communication pattern parameter provisioning. The same structure is used in the subscription request and subscription response.</w:t>
      </w:r>
    </w:p>
    <w:p w:rsidR="00CB0DD7" w:rsidRPr="000A0A5F" w:rsidRDefault="00CB0DD7">
      <w:pPr>
        <w:pStyle w:val="TH"/>
        <w:rPr>
          <w:rFonts w:hint="eastAsia"/>
        </w:rPr>
      </w:pPr>
      <w:r w:rsidRPr="000A0A5F">
        <w:rPr>
          <w:noProof/>
        </w:rPr>
        <w:t>Table </w:t>
      </w:r>
      <w:r w:rsidRPr="000A0A5F">
        <w:t xml:space="preserve">5.10.2.1.2-1: </w:t>
      </w:r>
      <w:r w:rsidRPr="000A0A5F">
        <w:rPr>
          <w:noProof/>
        </w:rPr>
        <w:t>Definition of type CpInfo</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948"/>
        <w:gridCol w:w="2126"/>
        <w:gridCol w:w="1276"/>
        <w:gridCol w:w="2995"/>
        <w:gridCol w:w="1257"/>
      </w:tblGrid>
      <w:tr w:rsidR="00CB0DD7" w:rsidRPr="000A0A5F" w:rsidTr="00FF0AF8">
        <w:trPr>
          <w:jc w:val="center"/>
        </w:trPr>
        <w:tc>
          <w:tcPr>
            <w:tcW w:w="1948" w:type="dxa"/>
            <w:shd w:val="clear" w:color="auto" w:fill="C0C0C0"/>
          </w:tcPr>
          <w:p w:rsidR="00CB0DD7" w:rsidRPr="000A0A5F" w:rsidRDefault="00CB0DD7">
            <w:pPr>
              <w:pStyle w:val="TAH"/>
              <w:rPr>
                <w:rFonts w:eastAsia="Times New Roman"/>
              </w:rPr>
            </w:pPr>
            <w:r w:rsidRPr="000A0A5F">
              <w:rPr>
                <w:rFonts w:eastAsia="Times New Roman"/>
              </w:rPr>
              <w:t>Attribute name</w:t>
            </w:r>
          </w:p>
        </w:tc>
        <w:tc>
          <w:tcPr>
            <w:tcW w:w="2126" w:type="dxa"/>
            <w:shd w:val="clear" w:color="auto" w:fill="C0C0C0"/>
          </w:tcPr>
          <w:p w:rsidR="00CB0DD7" w:rsidRPr="000A0A5F" w:rsidRDefault="00CB0DD7">
            <w:pPr>
              <w:pStyle w:val="TAH"/>
              <w:rPr>
                <w:rFonts w:eastAsia="Times New Roman"/>
              </w:rPr>
            </w:pPr>
            <w:r w:rsidRPr="000A0A5F">
              <w:rPr>
                <w:rFonts w:eastAsia="Times New Roman"/>
              </w:rPr>
              <w:t>Data type</w:t>
            </w:r>
          </w:p>
        </w:tc>
        <w:tc>
          <w:tcPr>
            <w:tcW w:w="1276" w:type="dxa"/>
            <w:shd w:val="clear" w:color="auto" w:fill="C0C0C0"/>
          </w:tcPr>
          <w:p w:rsidR="00CB0DD7" w:rsidRPr="000A0A5F" w:rsidRDefault="00CB0DD7">
            <w:pPr>
              <w:pStyle w:val="TAH"/>
              <w:jc w:val="left"/>
              <w:rPr>
                <w:rFonts w:eastAsia="Times New Roman"/>
              </w:rPr>
            </w:pPr>
            <w:r w:rsidRPr="000A0A5F">
              <w:rPr>
                <w:rFonts w:eastAsia="Times New Roman"/>
              </w:rPr>
              <w:t>Cardinality</w:t>
            </w:r>
          </w:p>
        </w:tc>
        <w:tc>
          <w:tcPr>
            <w:tcW w:w="2995"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Description</w:t>
            </w:r>
          </w:p>
        </w:tc>
        <w:tc>
          <w:tcPr>
            <w:tcW w:w="1257"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Applicability (NOTE 2)</w:t>
            </w:r>
          </w:p>
        </w:tc>
      </w:tr>
      <w:tr w:rsidR="00CB0DD7" w:rsidRPr="000A0A5F" w:rsidTr="00FF0AF8">
        <w:trPr>
          <w:jc w:val="center"/>
        </w:trPr>
        <w:tc>
          <w:tcPr>
            <w:tcW w:w="1948" w:type="dxa"/>
            <w:shd w:val="clear" w:color="auto" w:fill="auto"/>
          </w:tcPr>
          <w:p w:rsidR="00CB0DD7" w:rsidRPr="000A0A5F" w:rsidRDefault="00CB0DD7" w:rsidP="00705B0E">
            <w:pPr>
              <w:pStyle w:val="TAL"/>
            </w:pPr>
            <w:r w:rsidRPr="000A0A5F">
              <w:t>self</w:t>
            </w:r>
          </w:p>
        </w:tc>
        <w:tc>
          <w:tcPr>
            <w:tcW w:w="2126" w:type="dxa"/>
            <w:shd w:val="clear" w:color="auto" w:fill="auto"/>
          </w:tcPr>
          <w:p w:rsidR="00CB0DD7" w:rsidRPr="000A0A5F" w:rsidRDefault="00CB0DD7" w:rsidP="00705B0E">
            <w:pPr>
              <w:pStyle w:val="TAL"/>
            </w:pPr>
            <w:r w:rsidRPr="000A0A5F">
              <w:t>Link</w:t>
            </w:r>
          </w:p>
        </w:tc>
        <w:tc>
          <w:tcPr>
            <w:tcW w:w="1276" w:type="dxa"/>
            <w:shd w:val="clear" w:color="auto" w:fill="auto"/>
          </w:tcPr>
          <w:p w:rsidR="00CB0DD7" w:rsidRPr="000A0A5F" w:rsidRDefault="00CB0DD7" w:rsidP="00705B0E">
            <w:pPr>
              <w:pStyle w:val="TAL"/>
            </w:pPr>
            <w:r w:rsidRPr="000A0A5F">
              <w:t>0..1</w:t>
            </w:r>
          </w:p>
        </w:tc>
        <w:tc>
          <w:tcPr>
            <w:tcW w:w="2995" w:type="dxa"/>
            <w:shd w:val="clear" w:color="auto" w:fill="auto"/>
          </w:tcPr>
          <w:p w:rsidR="00CB0DD7" w:rsidRPr="000A0A5F" w:rsidRDefault="00CB0DD7" w:rsidP="00705B0E">
            <w:pPr>
              <w:pStyle w:val="TAL"/>
            </w:pPr>
            <w:r w:rsidRPr="000A0A5F">
              <w:t>Link to the resource "Individual CP Provisioning Subscription".</w:t>
            </w:r>
          </w:p>
          <w:p w:rsidR="00CB0DD7" w:rsidRPr="000A0A5F" w:rsidRDefault="00CB0DD7" w:rsidP="00705B0E">
            <w:pPr>
              <w:pStyle w:val="TAL"/>
            </w:pPr>
            <w:r w:rsidRPr="000A0A5F">
              <w:t>This parameter shall be supplied by the SCEF in HTTP responses.</w:t>
            </w:r>
          </w:p>
        </w:tc>
        <w:tc>
          <w:tcPr>
            <w:tcW w:w="1257" w:type="dxa"/>
            <w:shd w:val="clear" w:color="auto" w:fill="auto"/>
          </w:tcPr>
          <w:p w:rsidR="00CB0DD7" w:rsidRPr="000A0A5F" w:rsidRDefault="00CB0DD7" w:rsidP="00705B0E">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rsidP="00705B0E">
            <w:pPr>
              <w:pStyle w:val="TAL"/>
              <w:rPr>
                <w:rFonts w:eastAsia="Times New Roman"/>
              </w:rPr>
            </w:pPr>
            <w:r w:rsidRPr="000A0A5F">
              <w:t>supportedFeatures</w:t>
            </w:r>
          </w:p>
        </w:tc>
        <w:tc>
          <w:tcPr>
            <w:tcW w:w="2126" w:type="dxa"/>
            <w:shd w:val="clear" w:color="auto" w:fill="auto"/>
          </w:tcPr>
          <w:p w:rsidR="00CB0DD7" w:rsidRPr="000A0A5F" w:rsidRDefault="00CB0DD7" w:rsidP="00705B0E">
            <w:pPr>
              <w:pStyle w:val="TAL"/>
              <w:rPr>
                <w:rFonts w:eastAsia="Times New Roman"/>
              </w:rPr>
            </w:pPr>
            <w:r w:rsidRPr="000A0A5F">
              <w:t>SupportedFeatures</w:t>
            </w:r>
          </w:p>
        </w:tc>
        <w:tc>
          <w:tcPr>
            <w:tcW w:w="1276" w:type="dxa"/>
            <w:shd w:val="clear" w:color="auto" w:fill="auto"/>
          </w:tcPr>
          <w:p w:rsidR="00CB0DD7" w:rsidRPr="000A0A5F" w:rsidRDefault="00CB0DD7" w:rsidP="00705B0E">
            <w:pPr>
              <w:pStyle w:val="TAL"/>
              <w:rPr>
                <w:rFonts w:eastAsia="Times New Roman"/>
              </w:rPr>
            </w:pPr>
            <w:r w:rsidRPr="000A0A5F">
              <w:t>0..1</w:t>
            </w:r>
          </w:p>
        </w:tc>
        <w:tc>
          <w:tcPr>
            <w:tcW w:w="2995" w:type="dxa"/>
            <w:shd w:val="clear" w:color="auto" w:fill="auto"/>
          </w:tcPr>
          <w:p w:rsidR="00CB0DD7" w:rsidRPr="000A0A5F" w:rsidRDefault="00CB0DD7" w:rsidP="00705B0E">
            <w:pPr>
              <w:pStyle w:val="TAL"/>
            </w:pPr>
            <w:r w:rsidRPr="000A0A5F">
              <w:t>Used to negotiate the supported optional features of the API as described in clause 5.2.7.</w:t>
            </w:r>
          </w:p>
          <w:p w:rsidR="00CB0DD7" w:rsidRPr="000A0A5F" w:rsidRDefault="00CB0DD7" w:rsidP="00705B0E">
            <w:pPr>
              <w:pStyle w:val="TAL"/>
              <w:rPr>
                <w:rFonts w:eastAsia="Times New Roman" w:cs="Arial"/>
                <w:szCs w:val="18"/>
              </w:rPr>
            </w:pPr>
            <w:r w:rsidRPr="000A0A5F">
              <w:t>This attribute shall be provided in the POST request and in the response of successful resource creation.</w:t>
            </w:r>
          </w:p>
        </w:tc>
        <w:tc>
          <w:tcPr>
            <w:tcW w:w="1257" w:type="dxa"/>
            <w:shd w:val="clear" w:color="auto" w:fill="auto"/>
          </w:tcPr>
          <w:p w:rsidR="00CB0DD7" w:rsidRPr="000A0A5F" w:rsidRDefault="00CB0DD7" w:rsidP="00705B0E">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rsidP="00705B0E">
            <w:pPr>
              <w:pStyle w:val="TAL"/>
            </w:pPr>
            <w:r w:rsidRPr="000A0A5F">
              <w:rPr>
                <w:lang w:eastAsia="zh-CN"/>
              </w:rPr>
              <w:t>mtcProviderId</w:t>
            </w:r>
          </w:p>
        </w:tc>
        <w:tc>
          <w:tcPr>
            <w:tcW w:w="2126" w:type="dxa"/>
            <w:shd w:val="clear" w:color="auto" w:fill="auto"/>
          </w:tcPr>
          <w:p w:rsidR="00CB0DD7" w:rsidRPr="000A0A5F" w:rsidRDefault="00CB0DD7" w:rsidP="00705B0E">
            <w:pPr>
              <w:pStyle w:val="TAL"/>
            </w:pPr>
            <w:r w:rsidRPr="000A0A5F">
              <w:rPr>
                <w:lang w:eastAsia="zh-CN"/>
              </w:rPr>
              <w:t>string</w:t>
            </w:r>
          </w:p>
        </w:tc>
        <w:tc>
          <w:tcPr>
            <w:tcW w:w="1276" w:type="dxa"/>
            <w:shd w:val="clear" w:color="auto" w:fill="auto"/>
          </w:tcPr>
          <w:p w:rsidR="00CB0DD7" w:rsidRPr="000A0A5F" w:rsidRDefault="00CB0DD7" w:rsidP="00705B0E">
            <w:pPr>
              <w:pStyle w:val="TAL"/>
            </w:pPr>
            <w:r w:rsidRPr="000A0A5F">
              <w:rPr>
                <w:rFonts w:eastAsia="Times New Roman"/>
              </w:rPr>
              <w:t>0..1</w:t>
            </w:r>
          </w:p>
        </w:tc>
        <w:tc>
          <w:tcPr>
            <w:tcW w:w="2995" w:type="dxa"/>
            <w:shd w:val="clear" w:color="auto" w:fill="auto"/>
          </w:tcPr>
          <w:p w:rsidR="00CB0DD7" w:rsidRPr="000A0A5F" w:rsidRDefault="00CB0DD7" w:rsidP="00705B0E">
            <w:pPr>
              <w:pStyle w:val="TAL"/>
            </w:pPr>
            <w:r w:rsidRPr="000A0A5F">
              <w:t>Identifies the MTC Service Provider and/or MTC Application. (NOTE 3)</w:t>
            </w:r>
          </w:p>
        </w:tc>
        <w:tc>
          <w:tcPr>
            <w:tcW w:w="1257" w:type="dxa"/>
            <w:shd w:val="clear" w:color="auto" w:fill="auto"/>
          </w:tcPr>
          <w:p w:rsidR="00CB0DD7" w:rsidRPr="000A0A5F" w:rsidRDefault="00CB0DD7" w:rsidP="00705B0E">
            <w:pPr>
              <w:pStyle w:val="TAL"/>
              <w:rPr>
                <w:rFonts w:eastAsia="Times New Roman" w:cs="Arial"/>
                <w:szCs w:val="18"/>
              </w:rPr>
            </w:pPr>
          </w:p>
        </w:tc>
      </w:tr>
      <w:tr w:rsidR="00F2786F" w:rsidRPr="000A0A5F" w:rsidTr="00FF0AF8">
        <w:trPr>
          <w:jc w:val="center"/>
        </w:trPr>
        <w:tc>
          <w:tcPr>
            <w:tcW w:w="1948" w:type="dxa"/>
            <w:shd w:val="clear" w:color="auto" w:fill="auto"/>
          </w:tcPr>
          <w:p w:rsidR="00F2786F" w:rsidRPr="000A0A5F" w:rsidRDefault="00F2786F" w:rsidP="00F2786F">
            <w:pPr>
              <w:pStyle w:val="TAL"/>
              <w:rPr>
                <w:b/>
                <w:lang w:eastAsia="zh-CN"/>
              </w:rPr>
            </w:pPr>
            <w:r w:rsidRPr="000A0A5F">
              <w:rPr>
                <w:lang w:eastAsia="zh-CN"/>
              </w:rPr>
              <w:t>dnn</w:t>
            </w:r>
          </w:p>
        </w:tc>
        <w:tc>
          <w:tcPr>
            <w:tcW w:w="2126" w:type="dxa"/>
            <w:shd w:val="clear" w:color="auto" w:fill="auto"/>
          </w:tcPr>
          <w:p w:rsidR="00F2786F" w:rsidRPr="000A0A5F" w:rsidRDefault="00F2786F" w:rsidP="00F2786F">
            <w:pPr>
              <w:pStyle w:val="TAL"/>
              <w:rPr>
                <w:b/>
                <w:lang w:eastAsia="zh-CN"/>
              </w:rPr>
            </w:pPr>
            <w:r w:rsidRPr="000A0A5F">
              <w:rPr>
                <w:lang w:eastAsia="zh-CN"/>
              </w:rPr>
              <w:t>Dnn</w:t>
            </w:r>
          </w:p>
        </w:tc>
        <w:tc>
          <w:tcPr>
            <w:tcW w:w="1276" w:type="dxa"/>
            <w:shd w:val="clear" w:color="auto" w:fill="auto"/>
          </w:tcPr>
          <w:p w:rsidR="00F2786F" w:rsidRPr="000A0A5F" w:rsidRDefault="00F2786F" w:rsidP="00F2786F">
            <w:pPr>
              <w:pStyle w:val="TAL"/>
              <w:rPr>
                <w:rFonts w:eastAsia="Times New Roman"/>
                <w:b/>
              </w:rPr>
            </w:pPr>
            <w:r w:rsidRPr="000A0A5F">
              <w:t>0..1</w:t>
            </w:r>
          </w:p>
        </w:tc>
        <w:tc>
          <w:tcPr>
            <w:tcW w:w="2995" w:type="dxa"/>
            <w:shd w:val="clear" w:color="auto" w:fill="auto"/>
          </w:tcPr>
          <w:p w:rsidR="00F2786F" w:rsidRPr="000A0A5F" w:rsidRDefault="00F2786F" w:rsidP="00F2786F">
            <w:pPr>
              <w:pStyle w:val="TAL"/>
              <w:rPr>
                <w:b/>
              </w:rPr>
            </w:pPr>
            <w:r w:rsidRPr="000A0A5F">
              <w:t>Identifies a DNN, a full DNN with both the Network Identifier and Operator Identifier, or a DNN with the Network Identifier only.</w:t>
            </w:r>
          </w:p>
        </w:tc>
        <w:tc>
          <w:tcPr>
            <w:tcW w:w="1257" w:type="dxa"/>
            <w:shd w:val="clear" w:color="auto" w:fill="auto"/>
          </w:tcPr>
          <w:p w:rsidR="00F2786F" w:rsidRPr="000A0A5F" w:rsidRDefault="00F2786F" w:rsidP="00F2786F">
            <w:pPr>
              <w:pStyle w:val="TAL"/>
              <w:rPr>
                <w:rFonts w:eastAsia="Times New Roman" w:cs="Arial"/>
                <w:b/>
                <w:szCs w:val="18"/>
              </w:rPr>
            </w:pPr>
            <w:r w:rsidRPr="000A0A5F">
              <w:t>UEId_retrieval</w:t>
            </w:r>
          </w:p>
        </w:tc>
      </w:tr>
      <w:tr w:rsidR="00CB0DD7" w:rsidRPr="000A0A5F" w:rsidTr="00FF0AF8">
        <w:trPr>
          <w:jc w:val="center"/>
        </w:trPr>
        <w:tc>
          <w:tcPr>
            <w:tcW w:w="1948" w:type="dxa"/>
            <w:shd w:val="clear" w:color="auto" w:fill="auto"/>
          </w:tcPr>
          <w:p w:rsidR="00CB0DD7" w:rsidRPr="000A0A5F" w:rsidRDefault="00CB0DD7">
            <w:pPr>
              <w:pStyle w:val="TAL"/>
              <w:rPr>
                <w:lang w:eastAsia="zh-CN"/>
              </w:rPr>
            </w:pPr>
            <w:r w:rsidRPr="000A0A5F">
              <w:rPr>
                <w:lang w:eastAsia="zh-CN"/>
              </w:rPr>
              <w:t>e</w:t>
            </w:r>
            <w:r w:rsidRPr="000A0A5F">
              <w:rPr>
                <w:rFonts w:hint="eastAsia"/>
                <w:lang w:eastAsia="zh-CN"/>
              </w:rPr>
              <w:t>xternal</w:t>
            </w:r>
            <w:r w:rsidRPr="000A0A5F">
              <w:rPr>
                <w:lang w:eastAsia="zh-CN"/>
              </w:rPr>
              <w:t>Id</w:t>
            </w:r>
          </w:p>
        </w:tc>
        <w:tc>
          <w:tcPr>
            <w:tcW w:w="2126" w:type="dxa"/>
            <w:shd w:val="clear" w:color="auto" w:fill="auto"/>
          </w:tcPr>
          <w:p w:rsidR="00CB0DD7" w:rsidRPr="000A0A5F" w:rsidRDefault="00CB0DD7">
            <w:pPr>
              <w:pStyle w:val="TAL"/>
              <w:rPr>
                <w:rFonts w:eastAsia="Times New Roman"/>
              </w:rPr>
            </w:pPr>
            <w:r w:rsidRPr="000A0A5F">
              <w:rPr>
                <w:lang w:eastAsia="zh-CN"/>
              </w:rPr>
              <w:t>ExternalId</w:t>
            </w:r>
          </w:p>
        </w:tc>
        <w:tc>
          <w:tcPr>
            <w:tcW w:w="1276" w:type="dxa"/>
            <w:shd w:val="clear" w:color="auto" w:fill="auto"/>
          </w:tcPr>
          <w:p w:rsidR="00CB0DD7" w:rsidRPr="000A0A5F" w:rsidRDefault="00CB0DD7">
            <w:pPr>
              <w:pStyle w:val="TAL"/>
              <w:rPr>
                <w:rFonts w:eastAsia="Times New Roman"/>
              </w:rPr>
            </w:pPr>
            <w:r w:rsidRPr="000A0A5F">
              <w:rPr>
                <w:rFonts w:eastAsia="Times New Roman"/>
              </w:rPr>
              <w:t>0..1</w:t>
            </w:r>
          </w:p>
        </w:tc>
        <w:tc>
          <w:tcPr>
            <w:tcW w:w="2995" w:type="dxa"/>
            <w:shd w:val="clear" w:color="auto" w:fill="auto"/>
          </w:tcPr>
          <w:p w:rsidR="00CB0DD7" w:rsidRPr="000A0A5F" w:rsidRDefault="00CB0DD7">
            <w:pPr>
              <w:pStyle w:val="TAL"/>
              <w:spacing w:afterLines="50" w:after="120"/>
              <w:rPr>
                <w:rFonts w:eastAsia="Times New Roman" w:cs="Arial"/>
                <w:szCs w:val="18"/>
              </w:rPr>
            </w:pPr>
            <w:r w:rsidRPr="000A0A5F">
              <w:rPr>
                <w:rFonts w:eastAsia="Times New Roman" w:cs="Arial"/>
                <w:szCs w:val="18"/>
              </w:rPr>
              <w:t>Each element uniquely identifies a user as defined in Clause 4.6.2 of 3GPP TS 23.682 [2].</w:t>
            </w:r>
          </w:p>
          <w:p w:rsidR="00F2786F" w:rsidRPr="000A0A5F" w:rsidRDefault="00F2786F">
            <w:pPr>
              <w:pStyle w:val="TAL"/>
              <w:spacing w:afterLines="50" w:after="120"/>
              <w:rPr>
                <w:rFonts w:eastAsia="Times New Roman" w:cs="Arial"/>
                <w:szCs w:val="18"/>
              </w:rPr>
            </w:pPr>
            <w:r w:rsidRPr="000A0A5F">
              <w:rPr>
                <w:rFonts w:eastAsia="Times New Roman" w:cs="Arial"/>
                <w:szCs w:val="18"/>
              </w:rPr>
              <w:t>The attribute may also be present in the CP provisioning subscription response message, if the "UEId_retrieval" feature is supported and the corresponding request message includes the "ueIpAddr" attribute or the "ueMacAddr" attribute.</w:t>
            </w:r>
          </w:p>
          <w:p w:rsidR="00CB0DD7" w:rsidRPr="000A0A5F" w:rsidRDefault="00CB0DD7">
            <w:pPr>
              <w:pStyle w:val="TAL"/>
              <w:rPr>
                <w:rFonts w:eastAsia="Times New Roman" w:cs="Arial"/>
                <w:szCs w:val="18"/>
              </w:rPr>
            </w:pPr>
            <w:r w:rsidRPr="000A0A5F">
              <w:rPr>
                <w:rFonts w:cs="Arial" w:hint="eastAsia"/>
                <w:szCs w:val="18"/>
                <w:lang w:eastAsia="zh-CN"/>
              </w:rPr>
              <w:t>(</w:t>
            </w:r>
            <w:r w:rsidRPr="000A0A5F">
              <w:rPr>
                <w:rFonts w:cs="Arial"/>
                <w:szCs w:val="18"/>
                <w:lang w:eastAsia="zh-CN"/>
              </w:rPr>
              <w:t>NOTE 1</w:t>
            </w:r>
            <w:r w:rsidRPr="000A0A5F">
              <w:rPr>
                <w:rFonts w:cs="Arial" w:hint="eastAsia"/>
                <w:szCs w:val="18"/>
                <w:lang w:eastAsia="zh-CN"/>
              </w:rPr>
              <w:t>)</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rPr>
                <w:rFonts w:eastAsia="Times New Roman"/>
              </w:rPr>
            </w:pPr>
            <w:r w:rsidRPr="000A0A5F">
              <w:rPr>
                <w:lang w:eastAsia="zh-CN"/>
              </w:rPr>
              <w:t>msisdn</w:t>
            </w:r>
          </w:p>
        </w:tc>
        <w:tc>
          <w:tcPr>
            <w:tcW w:w="2126" w:type="dxa"/>
            <w:shd w:val="clear" w:color="auto" w:fill="auto"/>
          </w:tcPr>
          <w:p w:rsidR="00CB0DD7" w:rsidRPr="000A0A5F" w:rsidRDefault="00CB0DD7">
            <w:pPr>
              <w:pStyle w:val="TAL"/>
              <w:rPr>
                <w:rFonts w:eastAsia="Times New Roman"/>
              </w:rPr>
            </w:pPr>
            <w:r w:rsidRPr="000A0A5F">
              <w:rPr>
                <w:lang w:eastAsia="zh-CN"/>
              </w:rPr>
              <w:t>Msisdn</w:t>
            </w:r>
          </w:p>
        </w:tc>
        <w:tc>
          <w:tcPr>
            <w:tcW w:w="1276" w:type="dxa"/>
            <w:shd w:val="clear" w:color="auto" w:fill="auto"/>
          </w:tcPr>
          <w:p w:rsidR="00CB0DD7" w:rsidRPr="000A0A5F" w:rsidRDefault="00CB0DD7">
            <w:pPr>
              <w:pStyle w:val="TAL"/>
              <w:rPr>
                <w:rFonts w:eastAsia="Times New Roman"/>
              </w:rPr>
            </w:pPr>
            <w:r w:rsidRPr="000A0A5F">
              <w:rPr>
                <w:rFonts w:eastAsia="Times New Roman"/>
              </w:rPr>
              <w:t>0..1</w:t>
            </w:r>
          </w:p>
        </w:tc>
        <w:tc>
          <w:tcPr>
            <w:tcW w:w="2995" w:type="dxa"/>
            <w:shd w:val="clear" w:color="auto" w:fill="auto"/>
          </w:tcPr>
          <w:p w:rsidR="00CB0DD7" w:rsidRPr="000A0A5F" w:rsidRDefault="00CB0DD7">
            <w:pPr>
              <w:pStyle w:val="TAL"/>
              <w:spacing w:afterLines="50" w:after="120"/>
              <w:rPr>
                <w:rFonts w:cs="Arial" w:hint="eastAsia"/>
                <w:szCs w:val="18"/>
                <w:lang w:eastAsia="zh-CN"/>
              </w:rPr>
            </w:pPr>
            <w:r w:rsidRPr="000A0A5F">
              <w:rPr>
                <w:rFonts w:eastAsia="Times New Roman" w:cs="Arial"/>
                <w:szCs w:val="18"/>
              </w:rPr>
              <w:t>Each element</w:t>
            </w:r>
            <w:r w:rsidRPr="000A0A5F">
              <w:rPr>
                <w:rFonts w:cs="Arial"/>
                <w:szCs w:val="18"/>
                <w:lang w:eastAsia="zh-CN"/>
              </w:rPr>
              <w:t xml:space="preserve"> identifies the MS internal PSTN/ISDN number allocated for a UE.</w:t>
            </w:r>
          </w:p>
          <w:p w:rsidR="00CB0DD7" w:rsidRPr="000A0A5F" w:rsidRDefault="00CB0DD7">
            <w:pPr>
              <w:pStyle w:val="TAL"/>
              <w:rPr>
                <w:rFonts w:eastAsia="Times New Roman" w:cs="Arial"/>
                <w:szCs w:val="18"/>
              </w:rPr>
            </w:pPr>
            <w:r w:rsidRPr="000A0A5F">
              <w:rPr>
                <w:rFonts w:cs="Arial" w:hint="eastAsia"/>
                <w:szCs w:val="18"/>
                <w:lang w:eastAsia="zh-CN"/>
              </w:rPr>
              <w:t>(</w:t>
            </w:r>
            <w:r w:rsidRPr="000A0A5F">
              <w:rPr>
                <w:rFonts w:cs="Arial"/>
                <w:szCs w:val="18"/>
                <w:lang w:eastAsia="zh-CN"/>
              </w:rPr>
              <w:t>NOTE 1</w:t>
            </w:r>
            <w:r w:rsidRPr="000A0A5F">
              <w:rPr>
                <w:rFonts w:cs="Arial" w:hint="eastAsia"/>
                <w:szCs w:val="18"/>
                <w:lang w:eastAsia="zh-CN"/>
              </w:rPr>
              <w:t>)</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rPr>
                <w:rFonts w:eastAsia="Times New Roman"/>
              </w:rPr>
            </w:pPr>
            <w:r w:rsidRPr="000A0A5F">
              <w:rPr>
                <w:lang w:eastAsia="zh-CN"/>
              </w:rPr>
              <w:t>e</w:t>
            </w:r>
            <w:r w:rsidRPr="000A0A5F">
              <w:rPr>
                <w:rFonts w:hint="eastAsia"/>
                <w:lang w:eastAsia="zh-CN"/>
              </w:rPr>
              <w:t>xternalGroup</w:t>
            </w:r>
            <w:r w:rsidRPr="000A0A5F">
              <w:rPr>
                <w:lang w:eastAsia="zh-CN"/>
              </w:rPr>
              <w:t>Id</w:t>
            </w:r>
          </w:p>
        </w:tc>
        <w:tc>
          <w:tcPr>
            <w:tcW w:w="2126" w:type="dxa"/>
            <w:shd w:val="clear" w:color="auto" w:fill="auto"/>
          </w:tcPr>
          <w:p w:rsidR="00CB0DD7" w:rsidRPr="000A0A5F" w:rsidRDefault="00CB0DD7">
            <w:pPr>
              <w:pStyle w:val="TAL"/>
              <w:rPr>
                <w:rFonts w:eastAsia="Times New Roman"/>
              </w:rPr>
            </w:pPr>
            <w:r w:rsidRPr="000A0A5F">
              <w:rPr>
                <w:lang w:eastAsia="zh-CN"/>
              </w:rPr>
              <w:t>ExternalGroupId</w:t>
            </w:r>
          </w:p>
        </w:tc>
        <w:tc>
          <w:tcPr>
            <w:tcW w:w="1276" w:type="dxa"/>
            <w:shd w:val="clear" w:color="auto" w:fill="auto"/>
          </w:tcPr>
          <w:p w:rsidR="00CB0DD7" w:rsidRPr="000A0A5F" w:rsidRDefault="00CB0DD7">
            <w:pPr>
              <w:pStyle w:val="TAL"/>
              <w:rPr>
                <w:rFonts w:eastAsia="Times New Roman"/>
              </w:rPr>
            </w:pPr>
            <w:r w:rsidRPr="000A0A5F">
              <w:rPr>
                <w:rFonts w:eastAsia="Times New Roman"/>
              </w:rPr>
              <w:t>0..1</w:t>
            </w:r>
          </w:p>
        </w:tc>
        <w:tc>
          <w:tcPr>
            <w:tcW w:w="2995" w:type="dxa"/>
            <w:shd w:val="clear" w:color="auto" w:fill="auto"/>
          </w:tcPr>
          <w:p w:rsidR="00CB0DD7" w:rsidRPr="000A0A5F" w:rsidRDefault="00CB0DD7">
            <w:pPr>
              <w:pStyle w:val="TAL"/>
              <w:spacing w:afterLines="50" w:after="120"/>
              <w:rPr>
                <w:rFonts w:eastAsia="Times New Roman" w:cs="Arial"/>
                <w:szCs w:val="18"/>
              </w:rPr>
            </w:pPr>
            <w:r w:rsidRPr="000A0A5F">
              <w:rPr>
                <w:rFonts w:eastAsia="Times New Roman" w:cs="Arial"/>
                <w:szCs w:val="18"/>
              </w:rPr>
              <w:t xml:space="preserve">Identifies a user group as defined in </w:t>
            </w:r>
            <w:r w:rsidR="000902D9" w:rsidRPr="000A0A5F">
              <w:rPr>
                <w:rFonts w:eastAsia="Times New Roman" w:cs="Arial"/>
                <w:szCs w:val="18"/>
              </w:rPr>
              <w:t>Clause </w:t>
            </w:r>
            <w:r w:rsidRPr="000A0A5F">
              <w:rPr>
                <w:rFonts w:eastAsia="Times New Roman" w:cs="Arial"/>
                <w:szCs w:val="18"/>
              </w:rPr>
              <w:t>4.6.2 of 3GPP TS 23.682 [2].</w:t>
            </w:r>
          </w:p>
          <w:p w:rsidR="00CB0DD7" w:rsidRPr="000A0A5F" w:rsidRDefault="00CB0DD7">
            <w:pPr>
              <w:pStyle w:val="TAL"/>
              <w:rPr>
                <w:rFonts w:eastAsia="Times New Roman" w:cs="Arial"/>
                <w:szCs w:val="18"/>
              </w:rPr>
            </w:pPr>
            <w:r w:rsidRPr="000A0A5F">
              <w:rPr>
                <w:rFonts w:cs="Arial" w:hint="eastAsia"/>
                <w:szCs w:val="18"/>
                <w:lang w:eastAsia="zh-CN"/>
              </w:rPr>
              <w:t>(</w:t>
            </w:r>
            <w:r w:rsidRPr="000A0A5F">
              <w:rPr>
                <w:rFonts w:cs="Arial"/>
                <w:szCs w:val="18"/>
                <w:lang w:eastAsia="zh-CN"/>
              </w:rPr>
              <w:t>NOTE 1</w:t>
            </w:r>
            <w:r w:rsidRPr="000A0A5F">
              <w:rPr>
                <w:rFonts w:cs="Arial" w:hint="eastAsia"/>
                <w:szCs w:val="18"/>
                <w:lang w:eastAsia="zh-CN"/>
              </w:rPr>
              <w:t>)</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rPr>
                <w:rFonts w:hint="eastAsia"/>
                <w:lang w:eastAsia="zh-CN"/>
              </w:rPr>
            </w:pPr>
            <w:r w:rsidRPr="000A0A5F">
              <w:rPr>
                <w:rFonts w:hint="eastAsia"/>
                <w:lang w:eastAsia="zh-CN"/>
              </w:rPr>
              <w:t>c</w:t>
            </w:r>
            <w:r w:rsidRPr="000A0A5F">
              <w:rPr>
                <w:lang w:eastAsia="zh-CN"/>
              </w:rPr>
              <w:t>p</w:t>
            </w:r>
            <w:r w:rsidRPr="000A0A5F">
              <w:rPr>
                <w:rFonts w:hint="eastAsia"/>
                <w:lang w:eastAsia="zh-CN"/>
              </w:rPr>
              <w:t>ParameterSet</w:t>
            </w:r>
            <w:r w:rsidRPr="000A0A5F">
              <w:rPr>
                <w:lang w:eastAsia="zh-CN"/>
              </w:rPr>
              <w:t>s</w:t>
            </w:r>
          </w:p>
        </w:tc>
        <w:tc>
          <w:tcPr>
            <w:tcW w:w="2126" w:type="dxa"/>
            <w:shd w:val="clear" w:color="auto" w:fill="auto"/>
          </w:tcPr>
          <w:p w:rsidR="00CB0DD7" w:rsidRPr="000A0A5F" w:rsidRDefault="00CB0DD7">
            <w:pPr>
              <w:pStyle w:val="TAL"/>
              <w:rPr>
                <w:rFonts w:hint="eastAsia"/>
                <w:lang w:eastAsia="zh-CN"/>
              </w:rPr>
            </w:pPr>
            <w:r w:rsidRPr="000A0A5F">
              <w:rPr>
                <w:lang w:eastAsia="zh-CN"/>
              </w:rPr>
              <w:t>map(</w:t>
            </w:r>
            <w:r w:rsidRPr="000A0A5F">
              <w:rPr>
                <w:rFonts w:hint="eastAsia"/>
                <w:lang w:eastAsia="zh-CN"/>
              </w:rPr>
              <w:t>C</w:t>
            </w:r>
            <w:r w:rsidRPr="000A0A5F">
              <w:rPr>
                <w:lang w:eastAsia="zh-CN"/>
              </w:rPr>
              <w:t>p</w:t>
            </w:r>
            <w:r w:rsidRPr="000A0A5F">
              <w:rPr>
                <w:rFonts w:hint="eastAsia"/>
                <w:lang w:eastAsia="zh-CN"/>
              </w:rPr>
              <w:t>ParameterSet</w:t>
            </w:r>
            <w:r w:rsidRPr="000A0A5F">
              <w:rPr>
                <w:lang w:eastAsia="zh-CN"/>
              </w:rPr>
              <w:t>)</w:t>
            </w:r>
          </w:p>
        </w:tc>
        <w:tc>
          <w:tcPr>
            <w:tcW w:w="1276" w:type="dxa"/>
            <w:shd w:val="clear" w:color="auto" w:fill="auto"/>
          </w:tcPr>
          <w:p w:rsidR="00CB0DD7" w:rsidRPr="000A0A5F" w:rsidRDefault="00CB0DD7">
            <w:pPr>
              <w:pStyle w:val="TAL"/>
              <w:rPr>
                <w:rFonts w:hint="eastAsia"/>
                <w:lang w:eastAsia="zh-CN"/>
              </w:rPr>
            </w:pPr>
            <w:r w:rsidRPr="000A0A5F">
              <w:rPr>
                <w:lang w:eastAsia="zh-CN"/>
              </w:rPr>
              <w:t>1..N</w:t>
            </w:r>
          </w:p>
        </w:tc>
        <w:tc>
          <w:tcPr>
            <w:tcW w:w="2995" w:type="dxa"/>
            <w:shd w:val="clear" w:color="auto" w:fill="auto"/>
          </w:tcPr>
          <w:p w:rsidR="00CB0DD7" w:rsidRPr="000A0A5F" w:rsidRDefault="00CB0DD7">
            <w:pPr>
              <w:pStyle w:val="TAL"/>
            </w:pPr>
            <w:r w:rsidRPr="000A0A5F">
              <w:rPr>
                <w:rFonts w:cs="Arial" w:hint="eastAsia"/>
                <w:szCs w:val="18"/>
                <w:lang w:eastAsia="zh-CN"/>
              </w:rPr>
              <w:t xml:space="preserve">Identifies a </w:t>
            </w:r>
            <w:r w:rsidRPr="000A0A5F">
              <w:t xml:space="preserve">set of CP parameter information that may be part of this </w:t>
            </w:r>
            <w:r w:rsidRPr="000A0A5F">
              <w:rPr>
                <w:noProof/>
              </w:rPr>
              <w:t>CpInfo structure</w:t>
            </w:r>
            <w:r w:rsidRPr="000A0A5F">
              <w:t>.</w:t>
            </w:r>
          </w:p>
          <w:p w:rsidR="00CB0DD7" w:rsidRPr="000A0A5F" w:rsidRDefault="00CB0DD7">
            <w:pPr>
              <w:pStyle w:val="TAL"/>
              <w:rPr>
                <w:rFonts w:cs="Arial" w:hint="eastAsia"/>
                <w:szCs w:val="18"/>
                <w:lang w:eastAsia="zh-CN"/>
              </w:rPr>
            </w:pPr>
            <w:r w:rsidRPr="000A0A5F">
              <w:t>Any string value can be used as a key of the map.</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rPr>
                <w:rFonts w:hint="eastAsia"/>
                <w:lang w:eastAsia="zh-CN"/>
              </w:rPr>
            </w:pPr>
            <w:r w:rsidRPr="000A0A5F">
              <w:rPr>
                <w:lang w:eastAsia="zh-CN"/>
              </w:rPr>
              <w:t>cpReports</w:t>
            </w:r>
          </w:p>
        </w:tc>
        <w:tc>
          <w:tcPr>
            <w:tcW w:w="2126" w:type="dxa"/>
            <w:shd w:val="clear" w:color="auto" w:fill="auto"/>
          </w:tcPr>
          <w:p w:rsidR="00CB0DD7" w:rsidRPr="000A0A5F" w:rsidRDefault="00CB0DD7">
            <w:pPr>
              <w:pStyle w:val="TAL"/>
              <w:rPr>
                <w:lang w:eastAsia="zh-CN"/>
              </w:rPr>
            </w:pPr>
            <w:r w:rsidRPr="000A0A5F">
              <w:rPr>
                <w:lang w:eastAsia="zh-CN"/>
              </w:rPr>
              <w:t>map(Cp</w:t>
            </w:r>
            <w:r w:rsidRPr="000A0A5F">
              <w:rPr>
                <w:rFonts w:hint="eastAsia"/>
                <w:lang w:eastAsia="zh-CN"/>
              </w:rPr>
              <w:t>Re</w:t>
            </w:r>
            <w:r w:rsidRPr="000A0A5F">
              <w:rPr>
                <w:lang w:eastAsia="zh-CN"/>
              </w:rPr>
              <w:t>port)</w:t>
            </w:r>
          </w:p>
        </w:tc>
        <w:tc>
          <w:tcPr>
            <w:tcW w:w="1276" w:type="dxa"/>
            <w:shd w:val="clear" w:color="auto" w:fill="auto"/>
          </w:tcPr>
          <w:p w:rsidR="00CB0DD7" w:rsidRPr="000A0A5F" w:rsidRDefault="00CB0DD7">
            <w:pPr>
              <w:pStyle w:val="TAL"/>
              <w:rPr>
                <w:lang w:eastAsia="zh-CN"/>
              </w:rPr>
            </w:pPr>
            <w:r w:rsidRPr="000A0A5F">
              <w:rPr>
                <w:rFonts w:hint="eastAsia"/>
                <w:lang w:eastAsia="zh-CN"/>
              </w:rPr>
              <w:t>0..N</w:t>
            </w:r>
          </w:p>
        </w:tc>
        <w:tc>
          <w:tcPr>
            <w:tcW w:w="2995" w:type="dxa"/>
            <w:shd w:val="clear" w:color="auto" w:fill="auto"/>
          </w:tcPr>
          <w:p w:rsidR="00CB0DD7" w:rsidRPr="000A0A5F" w:rsidRDefault="00CB0DD7">
            <w:pPr>
              <w:pStyle w:val="TAL"/>
            </w:pPr>
            <w:r w:rsidRPr="000A0A5F">
              <w:rPr>
                <w:rFonts w:cs="Arial"/>
                <w:szCs w:val="18"/>
                <w:lang w:eastAsia="zh-CN"/>
              </w:rPr>
              <w:t>Supplied by the SCEF and contains the CP set identifiers for which CP parameter(s) are not added or modified successfully. The failure reason is also included.</w:t>
            </w:r>
            <w:r w:rsidRPr="000A0A5F">
              <w:t xml:space="preserve"> </w:t>
            </w:r>
          </w:p>
          <w:p w:rsidR="00CB0DD7" w:rsidRPr="000A0A5F" w:rsidRDefault="00CB0DD7">
            <w:pPr>
              <w:pStyle w:val="TAL"/>
              <w:rPr>
                <w:rFonts w:cs="Arial" w:hint="eastAsia"/>
                <w:szCs w:val="18"/>
                <w:lang w:eastAsia="zh-CN"/>
              </w:rPr>
            </w:pPr>
            <w:r w:rsidRPr="000A0A5F">
              <w:t>Each element provides the related information for one or more CP set identifier(s) and is identified in the map via the failure identifier as key. (NOTE 4).</w:t>
            </w:r>
          </w:p>
        </w:tc>
        <w:tc>
          <w:tcPr>
            <w:tcW w:w="1257" w:type="dxa"/>
          </w:tcPr>
          <w:p w:rsidR="00CB0DD7" w:rsidRPr="000A0A5F" w:rsidRDefault="00CB0DD7">
            <w:pPr>
              <w:pStyle w:val="TAL"/>
              <w:rPr>
                <w:rFonts w:eastAsia="Times New Roman" w:cs="Arial"/>
                <w:szCs w:val="18"/>
              </w:rPr>
            </w:pPr>
          </w:p>
        </w:tc>
      </w:tr>
      <w:tr w:rsidR="00F2786F" w:rsidRPr="000A0A5F" w:rsidTr="00FF0AF8">
        <w:trPr>
          <w:jc w:val="center"/>
        </w:trPr>
        <w:tc>
          <w:tcPr>
            <w:tcW w:w="1948" w:type="dxa"/>
            <w:shd w:val="clear" w:color="auto" w:fill="auto"/>
          </w:tcPr>
          <w:p w:rsidR="00F2786F" w:rsidRPr="000A0A5F" w:rsidRDefault="00F2786F" w:rsidP="00F2786F">
            <w:pPr>
              <w:pStyle w:val="TAL"/>
              <w:rPr>
                <w:lang w:eastAsia="zh-CN"/>
              </w:rPr>
            </w:pPr>
            <w:r w:rsidRPr="000A0A5F">
              <w:rPr>
                <w:lang w:eastAsia="zh-CN"/>
              </w:rPr>
              <w:t>snssai</w:t>
            </w:r>
          </w:p>
        </w:tc>
        <w:tc>
          <w:tcPr>
            <w:tcW w:w="2126" w:type="dxa"/>
            <w:shd w:val="clear" w:color="auto" w:fill="auto"/>
          </w:tcPr>
          <w:p w:rsidR="00F2786F" w:rsidRPr="000A0A5F" w:rsidRDefault="00F2786F" w:rsidP="00F2786F">
            <w:pPr>
              <w:pStyle w:val="TAL"/>
              <w:rPr>
                <w:lang w:eastAsia="zh-CN"/>
              </w:rPr>
            </w:pPr>
            <w:r w:rsidRPr="000A0A5F">
              <w:rPr>
                <w:lang w:eastAsia="zh-CN"/>
              </w:rPr>
              <w:t>Snssai</w:t>
            </w:r>
          </w:p>
        </w:tc>
        <w:tc>
          <w:tcPr>
            <w:tcW w:w="1276" w:type="dxa"/>
            <w:shd w:val="clear" w:color="auto" w:fill="auto"/>
          </w:tcPr>
          <w:p w:rsidR="00F2786F" w:rsidRPr="000A0A5F" w:rsidRDefault="00F2786F" w:rsidP="00F2786F">
            <w:pPr>
              <w:pStyle w:val="TAL"/>
              <w:rPr>
                <w:rFonts w:hint="eastAsia"/>
                <w:lang w:eastAsia="zh-CN"/>
              </w:rPr>
            </w:pPr>
            <w:r w:rsidRPr="000A0A5F">
              <w:rPr>
                <w:lang w:eastAsia="zh-CN"/>
              </w:rPr>
              <w:t>0..1</w:t>
            </w:r>
          </w:p>
        </w:tc>
        <w:tc>
          <w:tcPr>
            <w:tcW w:w="2995" w:type="dxa"/>
            <w:shd w:val="clear" w:color="auto" w:fill="auto"/>
          </w:tcPr>
          <w:p w:rsidR="00F2786F" w:rsidRPr="000A0A5F" w:rsidRDefault="00F2786F" w:rsidP="00F2786F">
            <w:pPr>
              <w:pStyle w:val="TAL"/>
              <w:rPr>
                <w:rFonts w:cs="Arial"/>
                <w:szCs w:val="18"/>
                <w:lang w:eastAsia="zh-CN"/>
              </w:rPr>
            </w:pPr>
            <w:r w:rsidRPr="000A0A5F">
              <w:rPr>
                <w:rFonts w:cs="Arial"/>
                <w:szCs w:val="18"/>
                <w:lang w:eastAsia="zh-CN"/>
              </w:rPr>
              <w:t>Indicate the S-NSSAI.</w:t>
            </w:r>
          </w:p>
        </w:tc>
        <w:tc>
          <w:tcPr>
            <w:tcW w:w="1257" w:type="dxa"/>
          </w:tcPr>
          <w:p w:rsidR="00F2786F" w:rsidRPr="000A0A5F" w:rsidRDefault="00F2786F" w:rsidP="00F2786F">
            <w:pPr>
              <w:pStyle w:val="TAL"/>
              <w:rPr>
                <w:rFonts w:eastAsia="Times New Roman" w:cs="Arial"/>
                <w:szCs w:val="18"/>
              </w:rPr>
            </w:pPr>
            <w:r w:rsidRPr="000A0A5F">
              <w:t>UEId_retrieval</w:t>
            </w:r>
          </w:p>
        </w:tc>
      </w:tr>
      <w:tr w:rsidR="00F2786F" w:rsidRPr="000A0A5F" w:rsidTr="00FF0AF8">
        <w:trPr>
          <w:jc w:val="center"/>
        </w:trPr>
        <w:tc>
          <w:tcPr>
            <w:tcW w:w="1948" w:type="dxa"/>
            <w:shd w:val="clear" w:color="auto" w:fill="auto"/>
          </w:tcPr>
          <w:p w:rsidR="00F2786F" w:rsidRPr="000A0A5F" w:rsidRDefault="00F2786F" w:rsidP="00F2786F">
            <w:pPr>
              <w:pStyle w:val="TAL"/>
              <w:rPr>
                <w:lang w:eastAsia="zh-CN"/>
              </w:rPr>
            </w:pPr>
            <w:r w:rsidRPr="000A0A5F">
              <w:rPr>
                <w:lang w:eastAsia="zh-CN"/>
              </w:rPr>
              <w:t>ueIpAddr</w:t>
            </w:r>
          </w:p>
        </w:tc>
        <w:tc>
          <w:tcPr>
            <w:tcW w:w="2126" w:type="dxa"/>
            <w:shd w:val="clear" w:color="auto" w:fill="auto"/>
          </w:tcPr>
          <w:p w:rsidR="00F2786F" w:rsidRPr="000A0A5F" w:rsidRDefault="00F2786F" w:rsidP="00F2786F">
            <w:pPr>
              <w:pStyle w:val="TAL"/>
              <w:rPr>
                <w:lang w:eastAsia="zh-CN"/>
              </w:rPr>
            </w:pPr>
            <w:r w:rsidRPr="000A0A5F">
              <w:rPr>
                <w:lang w:eastAsia="zh-CN"/>
              </w:rPr>
              <w:t>IpAddr</w:t>
            </w:r>
          </w:p>
        </w:tc>
        <w:tc>
          <w:tcPr>
            <w:tcW w:w="1276" w:type="dxa"/>
            <w:shd w:val="clear" w:color="auto" w:fill="auto"/>
          </w:tcPr>
          <w:p w:rsidR="00F2786F" w:rsidRPr="000A0A5F" w:rsidRDefault="00F2786F" w:rsidP="00F2786F">
            <w:pPr>
              <w:pStyle w:val="TAL"/>
              <w:rPr>
                <w:rFonts w:hint="eastAsia"/>
                <w:lang w:eastAsia="zh-CN"/>
              </w:rPr>
            </w:pPr>
            <w:r w:rsidRPr="000A0A5F">
              <w:rPr>
                <w:lang w:eastAsia="zh-CN"/>
              </w:rPr>
              <w:t>0..1</w:t>
            </w:r>
          </w:p>
        </w:tc>
        <w:tc>
          <w:tcPr>
            <w:tcW w:w="2995" w:type="dxa"/>
            <w:shd w:val="clear" w:color="auto" w:fill="auto"/>
          </w:tcPr>
          <w:p w:rsidR="00F2786F" w:rsidRPr="000A0A5F" w:rsidRDefault="00F2786F" w:rsidP="00F2786F">
            <w:pPr>
              <w:pStyle w:val="TAL"/>
              <w:rPr>
                <w:rFonts w:cs="Arial"/>
                <w:szCs w:val="18"/>
                <w:lang w:eastAsia="zh-CN"/>
              </w:rPr>
            </w:pPr>
            <w:r w:rsidRPr="000A0A5F">
              <w:rPr>
                <w:rFonts w:cs="Arial"/>
                <w:szCs w:val="18"/>
                <w:lang w:eastAsia="zh-CN"/>
              </w:rPr>
              <w:t>UE IP address.</w:t>
            </w:r>
          </w:p>
        </w:tc>
        <w:tc>
          <w:tcPr>
            <w:tcW w:w="1257" w:type="dxa"/>
          </w:tcPr>
          <w:p w:rsidR="00F2786F" w:rsidRPr="000A0A5F" w:rsidRDefault="00F2786F" w:rsidP="00F2786F">
            <w:pPr>
              <w:pStyle w:val="TAL"/>
              <w:rPr>
                <w:rFonts w:eastAsia="Times New Roman" w:cs="Arial"/>
                <w:szCs w:val="18"/>
              </w:rPr>
            </w:pPr>
            <w:r w:rsidRPr="000A0A5F">
              <w:t>UEId_retrieval</w:t>
            </w:r>
          </w:p>
        </w:tc>
      </w:tr>
      <w:tr w:rsidR="00F2786F" w:rsidRPr="000A0A5F" w:rsidTr="00FF0AF8">
        <w:trPr>
          <w:jc w:val="center"/>
        </w:trPr>
        <w:tc>
          <w:tcPr>
            <w:tcW w:w="1948" w:type="dxa"/>
            <w:shd w:val="clear" w:color="auto" w:fill="auto"/>
          </w:tcPr>
          <w:p w:rsidR="00F2786F" w:rsidRPr="000A0A5F" w:rsidRDefault="00F2786F" w:rsidP="00F2786F">
            <w:pPr>
              <w:pStyle w:val="TAL"/>
              <w:rPr>
                <w:lang w:eastAsia="zh-CN"/>
              </w:rPr>
            </w:pPr>
            <w:r w:rsidRPr="000A0A5F">
              <w:rPr>
                <w:lang w:eastAsia="zh-CN"/>
              </w:rPr>
              <w:t>ueMacAddr</w:t>
            </w:r>
          </w:p>
        </w:tc>
        <w:tc>
          <w:tcPr>
            <w:tcW w:w="2126" w:type="dxa"/>
            <w:shd w:val="clear" w:color="auto" w:fill="auto"/>
          </w:tcPr>
          <w:p w:rsidR="00F2786F" w:rsidRPr="000A0A5F" w:rsidRDefault="00F2786F" w:rsidP="00F2786F">
            <w:pPr>
              <w:pStyle w:val="TAL"/>
              <w:rPr>
                <w:lang w:eastAsia="zh-CN"/>
              </w:rPr>
            </w:pPr>
            <w:r w:rsidRPr="000A0A5F">
              <w:rPr>
                <w:lang w:eastAsia="zh-CN"/>
              </w:rPr>
              <w:t>MacAddr48</w:t>
            </w:r>
          </w:p>
        </w:tc>
        <w:tc>
          <w:tcPr>
            <w:tcW w:w="1276" w:type="dxa"/>
            <w:shd w:val="clear" w:color="auto" w:fill="auto"/>
          </w:tcPr>
          <w:p w:rsidR="00F2786F" w:rsidRPr="000A0A5F" w:rsidRDefault="00F2786F" w:rsidP="00F2786F">
            <w:pPr>
              <w:pStyle w:val="TAL"/>
              <w:rPr>
                <w:rFonts w:hint="eastAsia"/>
                <w:lang w:eastAsia="zh-CN"/>
              </w:rPr>
            </w:pPr>
            <w:r w:rsidRPr="000A0A5F">
              <w:rPr>
                <w:lang w:eastAsia="zh-CN"/>
              </w:rPr>
              <w:t>0..1</w:t>
            </w:r>
          </w:p>
        </w:tc>
        <w:tc>
          <w:tcPr>
            <w:tcW w:w="2995" w:type="dxa"/>
            <w:shd w:val="clear" w:color="auto" w:fill="auto"/>
          </w:tcPr>
          <w:p w:rsidR="00F2786F" w:rsidRPr="000A0A5F" w:rsidRDefault="00F2786F" w:rsidP="00F2786F">
            <w:pPr>
              <w:pStyle w:val="TAL"/>
              <w:rPr>
                <w:rFonts w:cs="Arial"/>
                <w:szCs w:val="18"/>
                <w:lang w:eastAsia="zh-CN"/>
              </w:rPr>
            </w:pPr>
            <w:r w:rsidRPr="000A0A5F">
              <w:rPr>
                <w:rFonts w:cs="Arial"/>
                <w:szCs w:val="18"/>
                <w:lang w:eastAsia="zh-CN"/>
              </w:rPr>
              <w:t>UE MAC address.</w:t>
            </w:r>
          </w:p>
        </w:tc>
        <w:tc>
          <w:tcPr>
            <w:tcW w:w="1257" w:type="dxa"/>
          </w:tcPr>
          <w:p w:rsidR="00F2786F" w:rsidRPr="000A0A5F" w:rsidRDefault="00F2786F" w:rsidP="00F2786F">
            <w:pPr>
              <w:pStyle w:val="TAL"/>
              <w:rPr>
                <w:rFonts w:eastAsia="Times New Roman" w:cs="Arial"/>
                <w:szCs w:val="18"/>
              </w:rPr>
            </w:pPr>
            <w:r w:rsidRPr="000A0A5F">
              <w:t>UEId_retrieval</w:t>
            </w:r>
          </w:p>
        </w:tc>
      </w:tr>
      <w:tr w:rsidR="00CB0DD7" w:rsidRPr="000A0A5F" w:rsidTr="00FF0AF8">
        <w:trPr>
          <w:jc w:val="center"/>
        </w:trPr>
        <w:tc>
          <w:tcPr>
            <w:tcW w:w="9602" w:type="dxa"/>
            <w:gridSpan w:val="5"/>
            <w:shd w:val="clear" w:color="auto" w:fill="auto"/>
          </w:tcPr>
          <w:p w:rsidR="00CB0DD7" w:rsidRPr="000A0A5F" w:rsidRDefault="00CB0DD7">
            <w:pPr>
              <w:pStyle w:val="TAN"/>
              <w:rPr>
                <w:rFonts w:hint="eastAsia"/>
                <w:noProof/>
                <w:lang w:eastAsia="zh-CN"/>
              </w:rPr>
            </w:pPr>
            <w:r w:rsidRPr="000A0A5F">
              <w:rPr>
                <w:noProof/>
                <w:lang w:eastAsia="zh-CN"/>
              </w:rPr>
              <w:t>NOTE</w:t>
            </w:r>
            <w:r w:rsidRPr="000A0A5F">
              <w:rPr>
                <w:rFonts w:ascii="Arial Unicode MS" w:eastAsia="Arial Unicode MS" w:hAnsi="Arial Unicode MS" w:cs="Arial Unicode MS"/>
                <w:noProof/>
                <w:lang w:val="en-US" w:eastAsia="zh-CN"/>
              </w:rPr>
              <w:t> 1</w:t>
            </w:r>
            <w:r w:rsidRPr="000A0A5F">
              <w:rPr>
                <w:noProof/>
                <w:lang w:eastAsia="zh-CN"/>
              </w:rPr>
              <w:t>:</w:t>
            </w:r>
            <w:r w:rsidRPr="000A0A5F">
              <w:rPr>
                <w:noProof/>
                <w:lang w:eastAsia="zh-CN"/>
              </w:rPr>
              <w:tab/>
              <w:t>One of the properties</w:t>
            </w:r>
            <w:r w:rsidRPr="000A0A5F">
              <w:rPr>
                <w:rFonts w:hint="eastAsia"/>
                <w:noProof/>
                <w:lang w:eastAsia="zh-CN"/>
              </w:rPr>
              <w:t xml:space="preserve"> </w:t>
            </w:r>
            <w:r w:rsidRPr="000A0A5F">
              <w:rPr>
                <w:noProof/>
                <w:lang w:eastAsia="zh-CN"/>
              </w:rPr>
              <w:t>"externalId", "msisdn" or "externalGroupId" shall be included.</w:t>
            </w:r>
          </w:p>
          <w:p w:rsidR="00CB0DD7" w:rsidRPr="000A0A5F" w:rsidRDefault="00CB0DD7">
            <w:pPr>
              <w:pStyle w:val="TAN"/>
            </w:pPr>
            <w:r w:rsidRPr="000A0A5F">
              <w:t>NOTE 2:</w:t>
            </w:r>
            <w:r w:rsidRPr="000A0A5F">
              <w:tab/>
              <w:t>Properties marked with a feature as defined in clause 5.10.4 are applicable as described in clause 5.2.7. If no feature are indicated, the related property applies for all the features.</w:t>
            </w:r>
          </w:p>
          <w:p w:rsidR="00CB0DD7" w:rsidRPr="000A0A5F" w:rsidRDefault="00CB0DD7">
            <w:pPr>
              <w:pStyle w:val="TAN"/>
              <w:rPr>
                <w:noProof/>
                <w:lang w:eastAsia="zh-CN"/>
              </w:rPr>
            </w:pPr>
            <w:r w:rsidRPr="000A0A5F">
              <w:rPr>
                <w:rFonts w:eastAsia="Times New Roman"/>
              </w:rPr>
              <w:t>NOTE 3:</w:t>
            </w:r>
            <w:r w:rsidRPr="000A0A5F">
              <w:rPr>
                <w:rFonts w:eastAsia="Times New Roman"/>
              </w:rPr>
              <w:tab/>
              <w:t xml:space="preserve">The SCEF should check received MTC provider identifier and then the SCEF may: </w:t>
            </w:r>
            <w:r w:rsidRPr="000A0A5F">
              <w:rPr>
                <w:rFonts w:eastAsia="Times New Roman"/>
              </w:rPr>
              <w:br/>
              <w:t>-</w:t>
            </w:r>
            <w:r w:rsidRPr="000A0A5F">
              <w:rPr>
                <w:rFonts w:eastAsia="Times New Roman"/>
              </w:rPr>
              <w:tab/>
              <w:t>override it with local configured value and send it to HSS;</w:t>
            </w:r>
            <w:r w:rsidRPr="000A0A5F">
              <w:rPr>
                <w:rFonts w:eastAsia="Times New Roman"/>
              </w:rPr>
              <w:br/>
              <w:t>-</w:t>
            </w:r>
            <w:r w:rsidRPr="000A0A5F">
              <w:rPr>
                <w:rFonts w:eastAsia="Times New Roman"/>
              </w:rPr>
              <w:tab/>
              <w:t>send it directly to the HSS; or</w:t>
            </w:r>
            <w:r w:rsidRPr="000A0A5F">
              <w:rPr>
                <w:rFonts w:eastAsia="Times New Roman"/>
              </w:rPr>
              <w:br/>
              <w:t>-</w:t>
            </w:r>
            <w:r w:rsidRPr="000A0A5F">
              <w:rPr>
                <w:rFonts w:eastAsia="Times New Roman"/>
              </w:rPr>
              <w:tab/>
              <w:t>reject the communication pattern parameter provisioning request.</w:t>
            </w:r>
          </w:p>
          <w:p w:rsidR="00CB0DD7" w:rsidRPr="000A0A5F" w:rsidRDefault="00CB0DD7">
            <w:pPr>
              <w:pStyle w:val="TAN"/>
            </w:pPr>
            <w:r w:rsidRPr="000A0A5F">
              <w:t>NOTE 4:</w:t>
            </w:r>
            <w:r w:rsidRPr="000A0A5F">
              <w:tab/>
            </w:r>
            <w:r w:rsidRPr="000A0A5F">
              <w:rPr>
                <w:rFonts w:cs="Arial"/>
              </w:rPr>
              <w:t>The failure identifier is a string encoded map key.</w:t>
            </w:r>
          </w:p>
        </w:tc>
      </w:tr>
    </w:tbl>
    <w:p w:rsidR="00CB0DD7" w:rsidRPr="000A0A5F" w:rsidRDefault="00CB0DD7"/>
    <w:p w:rsidR="00CB0DD7" w:rsidRPr="000A0A5F" w:rsidRDefault="00CB0DD7">
      <w:pPr>
        <w:pStyle w:val="Heading4"/>
      </w:pPr>
      <w:bookmarkStart w:id="7173" w:name="_Toc11247724"/>
      <w:bookmarkStart w:id="7174" w:name="_Toc27044863"/>
      <w:bookmarkStart w:id="7175" w:name="_Toc36033905"/>
      <w:bookmarkStart w:id="7176" w:name="_Toc45132051"/>
      <w:bookmarkStart w:id="7177" w:name="_Toc49776336"/>
      <w:bookmarkStart w:id="7178" w:name="_Toc51747256"/>
      <w:bookmarkStart w:id="7179" w:name="_Toc66360829"/>
      <w:bookmarkStart w:id="7180" w:name="_Toc68105334"/>
      <w:bookmarkStart w:id="7181" w:name="_Toc74755964"/>
      <w:bookmarkStart w:id="7182" w:name="_Toc105674840"/>
      <w:bookmarkStart w:id="7183" w:name="_Toc130502900"/>
      <w:bookmarkStart w:id="7184" w:name="_Toc153625687"/>
      <w:r w:rsidRPr="000A0A5F">
        <w:t>5.10.2.2</w:t>
      </w:r>
      <w:r w:rsidRPr="000A0A5F">
        <w:tab/>
        <w:t>Referenced structured data types</w:t>
      </w:r>
      <w:bookmarkEnd w:id="7173"/>
      <w:bookmarkEnd w:id="7174"/>
      <w:bookmarkEnd w:id="7175"/>
      <w:bookmarkEnd w:id="7176"/>
      <w:bookmarkEnd w:id="7177"/>
      <w:bookmarkEnd w:id="7178"/>
      <w:bookmarkEnd w:id="7179"/>
      <w:bookmarkEnd w:id="7180"/>
      <w:bookmarkEnd w:id="7181"/>
      <w:bookmarkEnd w:id="7182"/>
      <w:bookmarkEnd w:id="7183"/>
      <w:bookmarkEnd w:id="7184"/>
    </w:p>
    <w:p w:rsidR="00CB0DD7" w:rsidRPr="000A0A5F" w:rsidRDefault="00CB0DD7">
      <w:pPr>
        <w:pStyle w:val="Heading5"/>
      </w:pPr>
      <w:bookmarkStart w:id="7185" w:name="_Toc11247725"/>
      <w:bookmarkStart w:id="7186" w:name="_Toc27044864"/>
      <w:bookmarkStart w:id="7187" w:name="_Toc36033906"/>
      <w:bookmarkStart w:id="7188" w:name="_Toc45132052"/>
      <w:bookmarkStart w:id="7189" w:name="_Toc49776337"/>
      <w:bookmarkStart w:id="7190" w:name="_Toc51747257"/>
      <w:bookmarkStart w:id="7191" w:name="_Toc66360830"/>
      <w:bookmarkStart w:id="7192" w:name="_Toc68105335"/>
      <w:bookmarkStart w:id="7193" w:name="_Toc74755965"/>
      <w:bookmarkStart w:id="7194" w:name="_Toc105674841"/>
      <w:bookmarkStart w:id="7195" w:name="_Toc130502901"/>
      <w:bookmarkStart w:id="7196" w:name="_Toc153625688"/>
      <w:r w:rsidRPr="000A0A5F">
        <w:t>5.10.2.2.1</w:t>
      </w:r>
      <w:r w:rsidRPr="000A0A5F">
        <w:tab/>
        <w:t>Introduction</w:t>
      </w:r>
      <w:bookmarkEnd w:id="7185"/>
      <w:bookmarkEnd w:id="7186"/>
      <w:bookmarkEnd w:id="7187"/>
      <w:bookmarkEnd w:id="7188"/>
      <w:bookmarkEnd w:id="7189"/>
      <w:bookmarkEnd w:id="7190"/>
      <w:bookmarkEnd w:id="7191"/>
      <w:bookmarkEnd w:id="7192"/>
      <w:bookmarkEnd w:id="7193"/>
      <w:bookmarkEnd w:id="7194"/>
      <w:bookmarkEnd w:id="7195"/>
      <w:bookmarkEnd w:id="7196"/>
    </w:p>
    <w:p w:rsidR="00CB0DD7" w:rsidRPr="000A0A5F" w:rsidRDefault="00CB0DD7">
      <w:r w:rsidRPr="000A0A5F">
        <w:t>This clause defines structured data types that are referenced from data structures defined in the previous clauses.</w:t>
      </w:r>
    </w:p>
    <w:p w:rsidR="00CB0DD7" w:rsidRPr="000A0A5F" w:rsidRDefault="00CB0DD7">
      <w:pPr>
        <w:pStyle w:val="Heading5"/>
      </w:pPr>
      <w:bookmarkStart w:id="7197" w:name="_Toc11247726"/>
      <w:bookmarkStart w:id="7198" w:name="_Toc27044865"/>
      <w:bookmarkStart w:id="7199" w:name="_Toc36033907"/>
      <w:bookmarkStart w:id="7200" w:name="_Toc45132053"/>
      <w:bookmarkStart w:id="7201" w:name="_Toc49776338"/>
      <w:bookmarkStart w:id="7202" w:name="_Toc51747258"/>
      <w:bookmarkStart w:id="7203" w:name="_Toc66360831"/>
      <w:bookmarkStart w:id="7204" w:name="_Toc68105336"/>
      <w:bookmarkStart w:id="7205" w:name="_Toc74755966"/>
      <w:bookmarkStart w:id="7206" w:name="_Toc105674842"/>
      <w:bookmarkStart w:id="7207" w:name="_Toc130502902"/>
      <w:bookmarkStart w:id="7208" w:name="_Toc153625689"/>
      <w:r w:rsidRPr="000A0A5F">
        <w:t>5.10.2.2.2</w:t>
      </w:r>
      <w:r w:rsidRPr="000A0A5F">
        <w:tab/>
        <w:t xml:space="preserve">Type: </w:t>
      </w:r>
      <w:r w:rsidRPr="000A0A5F">
        <w:rPr>
          <w:rFonts w:eastAsia="Times New Roman"/>
        </w:rPr>
        <w:t>CpParameterSet</w:t>
      </w:r>
      <w:bookmarkEnd w:id="7197"/>
      <w:bookmarkEnd w:id="7198"/>
      <w:bookmarkEnd w:id="7199"/>
      <w:bookmarkEnd w:id="7200"/>
      <w:bookmarkEnd w:id="7201"/>
      <w:bookmarkEnd w:id="7202"/>
      <w:bookmarkEnd w:id="7203"/>
      <w:bookmarkEnd w:id="7204"/>
      <w:bookmarkEnd w:id="7205"/>
      <w:bookmarkEnd w:id="7206"/>
      <w:bookmarkEnd w:id="7207"/>
      <w:bookmarkEnd w:id="7208"/>
    </w:p>
    <w:p w:rsidR="00CB0DD7" w:rsidRPr="000A0A5F" w:rsidRDefault="00CB0DD7">
      <w:r w:rsidRPr="000A0A5F">
        <w:t>This data type represents an offered communication pattern parameter set sent from the SCC/AS to the SCEF.</w:t>
      </w:r>
    </w:p>
    <w:p w:rsidR="00CB0DD7" w:rsidRPr="000A0A5F" w:rsidRDefault="00CB0DD7">
      <w:pPr>
        <w:pStyle w:val="TH"/>
      </w:pPr>
      <w:r w:rsidRPr="000A0A5F">
        <w:rPr>
          <w:noProof/>
        </w:rPr>
        <w:t>Table </w:t>
      </w:r>
      <w:r w:rsidRPr="000A0A5F">
        <w:t xml:space="preserve">5.10.2.2.2-1: </w:t>
      </w:r>
      <w:r w:rsidRPr="000A0A5F">
        <w:rPr>
          <w:noProof/>
        </w:rPr>
        <w:t xml:space="preserve">Definition of type </w:t>
      </w:r>
      <w:r w:rsidRPr="000A0A5F">
        <w:t>CpParameterSet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250"/>
        <w:gridCol w:w="1418"/>
        <w:gridCol w:w="1133"/>
        <w:gridCol w:w="3545"/>
        <w:gridCol w:w="1256"/>
      </w:tblGrid>
      <w:tr w:rsidR="00CB0DD7" w:rsidRPr="000A0A5F" w:rsidTr="00FF0AF8">
        <w:trPr>
          <w:jc w:val="center"/>
        </w:trPr>
        <w:tc>
          <w:tcPr>
            <w:tcW w:w="2250" w:type="dxa"/>
            <w:shd w:val="clear" w:color="auto" w:fill="C0C0C0"/>
          </w:tcPr>
          <w:p w:rsidR="00CB0DD7" w:rsidRPr="000A0A5F" w:rsidRDefault="00CB0DD7">
            <w:pPr>
              <w:pStyle w:val="TAH"/>
              <w:rPr>
                <w:rFonts w:eastAsia="Times New Roman"/>
              </w:rPr>
            </w:pPr>
            <w:r w:rsidRPr="000A0A5F">
              <w:rPr>
                <w:rFonts w:eastAsia="Times New Roman"/>
              </w:rPr>
              <w:t>Attribute name</w:t>
            </w:r>
          </w:p>
        </w:tc>
        <w:tc>
          <w:tcPr>
            <w:tcW w:w="1418" w:type="dxa"/>
            <w:shd w:val="clear" w:color="auto" w:fill="C0C0C0"/>
          </w:tcPr>
          <w:p w:rsidR="00CB0DD7" w:rsidRPr="000A0A5F" w:rsidRDefault="00CB0DD7">
            <w:pPr>
              <w:pStyle w:val="TAH"/>
              <w:rPr>
                <w:rFonts w:eastAsia="Times New Roman"/>
              </w:rPr>
            </w:pPr>
            <w:r w:rsidRPr="000A0A5F">
              <w:rPr>
                <w:rFonts w:eastAsia="Times New Roman"/>
              </w:rPr>
              <w:t>Data type</w:t>
            </w:r>
          </w:p>
        </w:tc>
        <w:tc>
          <w:tcPr>
            <w:tcW w:w="1133" w:type="dxa"/>
            <w:shd w:val="clear" w:color="auto" w:fill="C0C0C0"/>
          </w:tcPr>
          <w:p w:rsidR="00CB0DD7" w:rsidRPr="000A0A5F" w:rsidRDefault="00CB0DD7">
            <w:pPr>
              <w:pStyle w:val="TAH"/>
              <w:jc w:val="left"/>
              <w:rPr>
                <w:rFonts w:eastAsia="Times New Roman"/>
              </w:rPr>
            </w:pPr>
            <w:r w:rsidRPr="000A0A5F">
              <w:rPr>
                <w:rFonts w:eastAsia="Times New Roman"/>
              </w:rPr>
              <w:t>Cardinality</w:t>
            </w:r>
          </w:p>
        </w:tc>
        <w:tc>
          <w:tcPr>
            <w:tcW w:w="3545"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Description</w:t>
            </w:r>
          </w:p>
        </w:tc>
        <w:tc>
          <w:tcPr>
            <w:tcW w:w="1256"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Applicability (NOTE 1)</w:t>
            </w:r>
          </w:p>
        </w:tc>
      </w:tr>
      <w:tr w:rsidR="00CB0DD7" w:rsidRPr="000A0A5F" w:rsidTr="00FF0AF8">
        <w:trPr>
          <w:jc w:val="center"/>
        </w:trPr>
        <w:tc>
          <w:tcPr>
            <w:tcW w:w="2250" w:type="dxa"/>
            <w:shd w:val="clear" w:color="auto" w:fill="auto"/>
          </w:tcPr>
          <w:p w:rsidR="00CB0DD7" w:rsidRPr="000A0A5F" w:rsidRDefault="00CB0DD7">
            <w:pPr>
              <w:pStyle w:val="TAH"/>
              <w:jc w:val="left"/>
              <w:rPr>
                <w:rFonts w:eastAsia="Times New Roman"/>
                <w:b w:val="0"/>
              </w:rPr>
            </w:pPr>
            <w:r w:rsidRPr="000A0A5F">
              <w:rPr>
                <w:b w:val="0"/>
                <w:lang w:eastAsia="zh-CN"/>
              </w:rPr>
              <w:t>setId</w:t>
            </w:r>
          </w:p>
        </w:tc>
        <w:tc>
          <w:tcPr>
            <w:tcW w:w="1418" w:type="dxa"/>
            <w:shd w:val="clear" w:color="auto" w:fill="auto"/>
          </w:tcPr>
          <w:p w:rsidR="00CB0DD7" w:rsidRPr="000A0A5F" w:rsidRDefault="00CB0DD7">
            <w:pPr>
              <w:pStyle w:val="TAH"/>
              <w:jc w:val="left"/>
              <w:rPr>
                <w:rFonts w:eastAsia="Times New Roman"/>
                <w:b w:val="0"/>
              </w:rPr>
            </w:pPr>
            <w:r w:rsidRPr="000A0A5F">
              <w:rPr>
                <w:rFonts w:eastAsia="Times New Roman"/>
                <w:b w:val="0"/>
              </w:rPr>
              <w:t>string</w:t>
            </w:r>
          </w:p>
        </w:tc>
        <w:tc>
          <w:tcPr>
            <w:tcW w:w="1133" w:type="dxa"/>
            <w:shd w:val="clear" w:color="auto" w:fill="auto"/>
          </w:tcPr>
          <w:p w:rsidR="00CB0DD7" w:rsidRPr="000A0A5F" w:rsidRDefault="00CB0DD7">
            <w:pPr>
              <w:pStyle w:val="TAH"/>
              <w:jc w:val="left"/>
              <w:rPr>
                <w:rFonts w:eastAsia="Times New Roman"/>
                <w:b w:val="0"/>
              </w:rPr>
            </w:pPr>
            <w:r w:rsidRPr="000A0A5F">
              <w:rPr>
                <w:rFonts w:eastAsia="Times New Roman"/>
                <w:b w:val="0"/>
              </w:rPr>
              <w:t>1</w:t>
            </w:r>
          </w:p>
        </w:tc>
        <w:tc>
          <w:tcPr>
            <w:tcW w:w="3545" w:type="dxa"/>
            <w:shd w:val="clear" w:color="auto" w:fill="auto"/>
          </w:tcPr>
          <w:p w:rsidR="004728BB" w:rsidRPr="000A0A5F" w:rsidRDefault="004728BB" w:rsidP="004728BB">
            <w:pPr>
              <w:pStyle w:val="TAH"/>
              <w:jc w:val="left"/>
              <w:rPr>
                <w:rFonts w:cs="Arial"/>
                <w:b w:val="0"/>
                <w:szCs w:val="18"/>
              </w:rPr>
            </w:pPr>
            <w:r w:rsidRPr="000A0A5F">
              <w:rPr>
                <w:rFonts w:cs="Arial"/>
                <w:b w:val="0"/>
                <w:szCs w:val="18"/>
              </w:rPr>
              <w:t>SCS/AS-chosen correlator provided by the SCS/AS in the request to create a resource fo CP parameter set(s).</w:t>
            </w:r>
          </w:p>
          <w:p w:rsidR="00CB0DD7" w:rsidRPr="000A0A5F" w:rsidRDefault="004728BB" w:rsidP="004728BB">
            <w:pPr>
              <w:pStyle w:val="TAH"/>
              <w:jc w:val="left"/>
              <w:rPr>
                <w:rFonts w:eastAsia="Times New Roman" w:cs="Arial"/>
                <w:b w:val="0"/>
                <w:szCs w:val="18"/>
              </w:rPr>
            </w:pPr>
            <w:r w:rsidRPr="000A0A5F">
              <w:rPr>
                <w:rFonts w:cs="Arial" w:hint="eastAsia"/>
                <w:b w:val="0"/>
                <w:szCs w:val="18"/>
                <w:lang w:eastAsia="zh-CN"/>
              </w:rPr>
              <w:t>(</w:t>
            </w:r>
            <w:r w:rsidRPr="000A0A5F">
              <w:rPr>
                <w:rFonts w:cs="Arial"/>
                <w:b w:val="0"/>
                <w:szCs w:val="18"/>
                <w:lang w:eastAsia="zh-CN"/>
              </w:rPr>
              <w:t>NOTE</w:t>
            </w:r>
            <w:r w:rsidRPr="000A0A5F">
              <w:rPr>
                <w:rFonts w:cs="Arial"/>
                <w:b w:val="0"/>
                <w:szCs w:val="18"/>
                <w:lang w:val="en-US" w:eastAsia="zh-CN"/>
              </w:rPr>
              <w:t> 4</w:t>
            </w:r>
            <w:r w:rsidRPr="000A0A5F">
              <w:rPr>
                <w:rFonts w:cs="Arial"/>
                <w:b w:val="0"/>
                <w:szCs w:val="18"/>
                <w:lang w:eastAsia="zh-CN"/>
              </w:rPr>
              <w:t>)</w:t>
            </w:r>
          </w:p>
        </w:tc>
        <w:tc>
          <w:tcPr>
            <w:tcW w:w="1256" w:type="dxa"/>
            <w:shd w:val="clear" w:color="auto" w:fill="auto"/>
          </w:tcPr>
          <w:p w:rsidR="00CB0DD7" w:rsidRPr="000A0A5F" w:rsidRDefault="00CB0DD7">
            <w:pPr>
              <w:pStyle w:val="TAH"/>
              <w:jc w:val="left"/>
              <w:rPr>
                <w:rFonts w:eastAsia="Times New Roman" w:cs="Arial"/>
                <w:b w:val="0"/>
                <w:szCs w:val="18"/>
              </w:rPr>
            </w:pPr>
          </w:p>
        </w:tc>
      </w:tr>
      <w:tr w:rsidR="00CB0DD7" w:rsidRPr="000A0A5F" w:rsidTr="00FF0AF8">
        <w:trPr>
          <w:jc w:val="center"/>
        </w:trPr>
        <w:tc>
          <w:tcPr>
            <w:tcW w:w="2250" w:type="dxa"/>
            <w:shd w:val="clear" w:color="auto" w:fill="auto"/>
          </w:tcPr>
          <w:p w:rsidR="00CB0DD7" w:rsidRPr="000A0A5F" w:rsidRDefault="00CB0DD7">
            <w:pPr>
              <w:pStyle w:val="TAH"/>
              <w:jc w:val="left"/>
              <w:rPr>
                <w:rFonts w:eastAsia="Times New Roman"/>
                <w:b w:val="0"/>
              </w:rPr>
            </w:pPr>
            <w:r w:rsidRPr="000A0A5F">
              <w:rPr>
                <w:rFonts w:eastAsia="Times New Roman"/>
                <w:b w:val="0"/>
              </w:rPr>
              <w:t>self</w:t>
            </w:r>
          </w:p>
        </w:tc>
        <w:tc>
          <w:tcPr>
            <w:tcW w:w="1418" w:type="dxa"/>
            <w:shd w:val="clear" w:color="auto" w:fill="auto"/>
          </w:tcPr>
          <w:p w:rsidR="00CB0DD7" w:rsidRPr="000A0A5F" w:rsidRDefault="00CB0DD7">
            <w:pPr>
              <w:pStyle w:val="TAH"/>
              <w:jc w:val="left"/>
              <w:rPr>
                <w:rFonts w:eastAsia="Times New Roman"/>
                <w:b w:val="0"/>
              </w:rPr>
            </w:pPr>
            <w:r w:rsidRPr="000A0A5F">
              <w:rPr>
                <w:rFonts w:eastAsia="Times New Roman"/>
                <w:b w:val="0"/>
              </w:rPr>
              <w:t>Link</w:t>
            </w:r>
          </w:p>
        </w:tc>
        <w:tc>
          <w:tcPr>
            <w:tcW w:w="1133" w:type="dxa"/>
            <w:shd w:val="clear" w:color="auto" w:fill="auto"/>
          </w:tcPr>
          <w:p w:rsidR="00CB0DD7" w:rsidRPr="000A0A5F" w:rsidRDefault="00CB0DD7">
            <w:pPr>
              <w:pStyle w:val="TAH"/>
              <w:jc w:val="left"/>
              <w:rPr>
                <w:rFonts w:eastAsia="Times New Roman"/>
                <w:b w:val="0"/>
              </w:rPr>
            </w:pPr>
            <w:r w:rsidRPr="000A0A5F">
              <w:rPr>
                <w:rFonts w:eastAsia="Times New Roman"/>
                <w:b w:val="0"/>
              </w:rPr>
              <w:t>0..1</w:t>
            </w:r>
          </w:p>
        </w:tc>
        <w:tc>
          <w:tcPr>
            <w:tcW w:w="3545" w:type="dxa"/>
            <w:shd w:val="clear" w:color="auto" w:fill="auto"/>
          </w:tcPr>
          <w:p w:rsidR="00CB0DD7" w:rsidRPr="000A0A5F" w:rsidRDefault="00CB0DD7">
            <w:pPr>
              <w:pStyle w:val="TAH"/>
              <w:jc w:val="left"/>
              <w:rPr>
                <w:rFonts w:eastAsia="Times New Roman" w:cs="Arial"/>
                <w:b w:val="0"/>
                <w:szCs w:val="18"/>
              </w:rPr>
            </w:pPr>
            <w:r w:rsidRPr="000A0A5F">
              <w:rPr>
                <w:rFonts w:eastAsia="Times New Roman" w:cs="Arial"/>
                <w:b w:val="0"/>
                <w:szCs w:val="18"/>
              </w:rPr>
              <w:t xml:space="preserve">Link to the resource </w:t>
            </w:r>
            <w:r w:rsidRPr="000A0A5F">
              <w:rPr>
                <w:b w:val="0"/>
              </w:rPr>
              <w:t>"</w:t>
            </w:r>
            <w:r w:rsidRPr="000A0A5F">
              <w:rPr>
                <w:rFonts w:cs="Arial"/>
                <w:b w:val="0"/>
                <w:szCs w:val="18"/>
              </w:rPr>
              <w:t>Individual CP set Provisioning</w:t>
            </w:r>
            <w:r w:rsidRPr="000A0A5F">
              <w:rPr>
                <w:b w:val="0"/>
              </w:rPr>
              <w:t>"</w:t>
            </w:r>
            <w:r w:rsidRPr="000A0A5F">
              <w:rPr>
                <w:rFonts w:eastAsia="Times New Roman" w:cs="Arial"/>
                <w:b w:val="0"/>
                <w:szCs w:val="18"/>
              </w:rPr>
              <w:t>. This parameter shall be supplied by the SCEF in HTTP responses.</w:t>
            </w:r>
          </w:p>
        </w:tc>
        <w:tc>
          <w:tcPr>
            <w:tcW w:w="1256" w:type="dxa"/>
            <w:shd w:val="clear" w:color="auto" w:fill="auto"/>
          </w:tcPr>
          <w:p w:rsidR="00CB0DD7" w:rsidRPr="000A0A5F" w:rsidRDefault="00CB0DD7">
            <w:pPr>
              <w:pStyle w:val="TAH"/>
              <w:jc w:val="left"/>
              <w:rPr>
                <w:rFonts w:eastAsia="Times New Roman" w:cs="Arial"/>
                <w:b w:val="0"/>
                <w:szCs w:val="18"/>
              </w:rPr>
            </w:pPr>
          </w:p>
        </w:tc>
      </w:tr>
      <w:tr w:rsidR="00CB0DD7" w:rsidRPr="000A0A5F" w:rsidTr="00FF0AF8">
        <w:trPr>
          <w:jc w:val="center"/>
        </w:trPr>
        <w:tc>
          <w:tcPr>
            <w:tcW w:w="2250" w:type="dxa"/>
            <w:shd w:val="clear" w:color="auto" w:fill="auto"/>
          </w:tcPr>
          <w:p w:rsidR="00CB0DD7" w:rsidRPr="000A0A5F" w:rsidRDefault="00CB0DD7">
            <w:pPr>
              <w:pStyle w:val="TAL"/>
              <w:rPr>
                <w:rFonts w:hint="eastAsia"/>
                <w:lang w:eastAsia="zh-CN"/>
              </w:rPr>
            </w:pPr>
            <w:r w:rsidRPr="000A0A5F">
              <w:rPr>
                <w:rFonts w:hint="eastAsia"/>
                <w:lang w:eastAsia="zh-CN"/>
              </w:rPr>
              <w:t>validityTime</w:t>
            </w:r>
          </w:p>
        </w:tc>
        <w:tc>
          <w:tcPr>
            <w:tcW w:w="1418" w:type="dxa"/>
            <w:shd w:val="clear" w:color="auto" w:fill="auto"/>
          </w:tcPr>
          <w:p w:rsidR="00CB0DD7" w:rsidRPr="000A0A5F" w:rsidRDefault="00CB0DD7">
            <w:pPr>
              <w:pStyle w:val="TAL"/>
              <w:rPr>
                <w:rFonts w:hint="eastAsia"/>
                <w:lang w:eastAsia="zh-CN"/>
              </w:rPr>
            </w:pPr>
            <w:r w:rsidRPr="000A0A5F">
              <w:rPr>
                <w:lang w:eastAsia="zh-CN"/>
              </w:rPr>
              <w:t>D</w:t>
            </w:r>
            <w:r w:rsidRPr="000A0A5F">
              <w:rPr>
                <w:rFonts w:hint="eastAsia"/>
                <w:lang w:eastAsia="zh-CN"/>
              </w:rPr>
              <w:t>ateTime</w:t>
            </w:r>
          </w:p>
        </w:tc>
        <w:tc>
          <w:tcPr>
            <w:tcW w:w="1133" w:type="dxa"/>
            <w:shd w:val="clear" w:color="auto" w:fill="auto"/>
          </w:tcPr>
          <w:p w:rsidR="00CB0DD7" w:rsidRPr="000A0A5F" w:rsidRDefault="00CB0DD7">
            <w:pPr>
              <w:pStyle w:val="TAL"/>
              <w:rPr>
                <w:rFonts w:hint="eastAsia"/>
                <w:lang w:eastAsia="zh-CN"/>
              </w:rPr>
            </w:pPr>
            <w:r w:rsidRPr="000A0A5F">
              <w:rPr>
                <w:rFonts w:hint="eastAsia"/>
                <w:lang w:eastAsia="zh-CN"/>
              </w:rPr>
              <w:t>0..1</w:t>
            </w:r>
          </w:p>
        </w:tc>
        <w:tc>
          <w:tcPr>
            <w:tcW w:w="3545" w:type="dxa"/>
            <w:shd w:val="clear" w:color="auto" w:fill="auto"/>
          </w:tcPr>
          <w:p w:rsidR="00CB0DD7" w:rsidRPr="000A0A5F" w:rsidRDefault="00CB0DD7">
            <w:pPr>
              <w:pStyle w:val="TAL"/>
              <w:rPr>
                <w:rFonts w:cs="Arial" w:hint="eastAsia"/>
                <w:szCs w:val="18"/>
                <w:lang w:eastAsia="zh-CN"/>
              </w:rPr>
            </w:pPr>
            <w:r w:rsidRPr="000A0A5F">
              <w:rPr>
                <w:rFonts w:cs="Arial" w:hint="eastAsia"/>
                <w:szCs w:val="18"/>
                <w:lang w:eastAsia="zh-CN"/>
              </w:rPr>
              <w:t>Identifies when the</w:t>
            </w:r>
            <w:r w:rsidRPr="000A0A5F">
              <w:rPr>
                <w:rFonts w:cs="Arial"/>
                <w:szCs w:val="18"/>
                <w:lang w:eastAsia="zh-CN"/>
              </w:rPr>
              <w:t xml:space="preserve"> CP</w:t>
            </w:r>
            <w:r w:rsidRPr="000A0A5F">
              <w:rPr>
                <w:rFonts w:cs="Arial" w:hint="eastAsia"/>
                <w:szCs w:val="18"/>
                <w:lang w:eastAsia="zh-CN"/>
              </w:rPr>
              <w:t xml:space="preserve"> parameter set expires and shall be deleted</w:t>
            </w:r>
            <w:r w:rsidRPr="000A0A5F">
              <w:rPr>
                <w:rFonts w:cs="Arial"/>
                <w:szCs w:val="18"/>
                <w:lang w:eastAsia="zh-CN"/>
              </w:rPr>
              <w:t>. If absent, it indicates that there is no expiration time for this CP parameter set.</w:t>
            </w:r>
          </w:p>
        </w:tc>
        <w:tc>
          <w:tcPr>
            <w:tcW w:w="1256" w:type="dxa"/>
          </w:tcPr>
          <w:p w:rsidR="00CB0DD7" w:rsidRPr="000A0A5F" w:rsidRDefault="00CB0DD7">
            <w:pPr>
              <w:pStyle w:val="TAL"/>
              <w:rPr>
                <w:rFonts w:eastAsia="Times New Roman" w:cs="Arial"/>
                <w:szCs w:val="18"/>
              </w:rPr>
            </w:pPr>
          </w:p>
        </w:tc>
      </w:tr>
      <w:tr w:rsidR="00CB0DD7" w:rsidRPr="000A0A5F" w:rsidTr="00FF0AF8">
        <w:trPr>
          <w:jc w:val="center"/>
        </w:trPr>
        <w:tc>
          <w:tcPr>
            <w:tcW w:w="2250" w:type="dxa"/>
            <w:shd w:val="clear" w:color="auto" w:fill="auto"/>
            <w:vAlign w:val="center"/>
          </w:tcPr>
          <w:p w:rsidR="00CB0DD7" w:rsidRPr="000A0A5F" w:rsidRDefault="00CB0DD7">
            <w:pPr>
              <w:pStyle w:val="TAL"/>
              <w:rPr>
                <w:rFonts w:hint="eastAsia"/>
                <w:lang w:eastAsia="zh-CN"/>
              </w:rPr>
            </w:pPr>
            <w:r w:rsidRPr="000A0A5F">
              <w:rPr>
                <w:rFonts w:hint="eastAsia"/>
                <w:lang w:eastAsia="zh-CN"/>
              </w:rPr>
              <w:t>periodic</w:t>
            </w:r>
            <w:r w:rsidRPr="000A0A5F">
              <w:rPr>
                <w:lang w:eastAsia="zh-CN"/>
              </w:rPr>
              <w:t>Communication</w:t>
            </w:r>
            <w:r w:rsidRPr="000A0A5F">
              <w:rPr>
                <w:rFonts w:hint="eastAsia"/>
                <w:lang w:eastAsia="zh-CN"/>
              </w:rPr>
              <w:t>Indicator</w:t>
            </w:r>
          </w:p>
        </w:tc>
        <w:tc>
          <w:tcPr>
            <w:tcW w:w="1418" w:type="dxa"/>
            <w:shd w:val="clear" w:color="auto" w:fill="auto"/>
          </w:tcPr>
          <w:p w:rsidR="00CB0DD7" w:rsidRPr="000A0A5F" w:rsidRDefault="00CB0DD7">
            <w:pPr>
              <w:pStyle w:val="TAL"/>
              <w:rPr>
                <w:rFonts w:hint="eastAsia"/>
                <w:lang w:eastAsia="zh-CN"/>
              </w:rPr>
            </w:pPr>
            <w:r w:rsidRPr="000A0A5F">
              <w:rPr>
                <w:rFonts w:hint="eastAsia"/>
                <w:lang w:eastAsia="zh-CN"/>
              </w:rPr>
              <w:t>CommunicationIndicator</w:t>
            </w:r>
          </w:p>
        </w:tc>
        <w:tc>
          <w:tcPr>
            <w:tcW w:w="1133" w:type="dxa"/>
            <w:shd w:val="clear" w:color="auto" w:fill="auto"/>
          </w:tcPr>
          <w:p w:rsidR="00CB0DD7" w:rsidRPr="000A0A5F" w:rsidRDefault="00CB0DD7">
            <w:pPr>
              <w:pStyle w:val="TAL"/>
              <w:rPr>
                <w:rFonts w:hint="eastAsia"/>
                <w:lang w:eastAsia="zh-CN"/>
              </w:rPr>
            </w:pPr>
            <w:r w:rsidRPr="000A0A5F">
              <w:rPr>
                <w:rFonts w:hint="eastAsia"/>
                <w:lang w:eastAsia="zh-CN"/>
              </w:rPr>
              <w:t>0..1</w:t>
            </w:r>
          </w:p>
        </w:tc>
        <w:tc>
          <w:tcPr>
            <w:tcW w:w="3545" w:type="dxa"/>
            <w:shd w:val="clear" w:color="auto" w:fill="auto"/>
          </w:tcPr>
          <w:p w:rsidR="00CB0DD7" w:rsidRPr="000A0A5F" w:rsidRDefault="00CB0DD7">
            <w:pPr>
              <w:pStyle w:val="TAL"/>
              <w:rPr>
                <w:rFonts w:cs="Arial" w:hint="eastAsia"/>
                <w:szCs w:val="18"/>
                <w:lang w:eastAsia="zh-CN"/>
              </w:rPr>
            </w:pPr>
            <w:r w:rsidRPr="000A0A5F">
              <w:rPr>
                <w:rFonts w:cs="Arial" w:hint="eastAsia"/>
                <w:szCs w:val="18"/>
                <w:lang w:eastAsia="zh-CN"/>
              </w:rPr>
              <w:t>Identifies whether UE communicates periodically or on demand.</w:t>
            </w:r>
          </w:p>
        </w:tc>
        <w:tc>
          <w:tcPr>
            <w:tcW w:w="1256" w:type="dxa"/>
          </w:tcPr>
          <w:p w:rsidR="00CB0DD7" w:rsidRPr="000A0A5F" w:rsidRDefault="00CB0DD7">
            <w:pPr>
              <w:pStyle w:val="TAL"/>
              <w:rPr>
                <w:rFonts w:eastAsia="Times New Roman" w:cs="Arial"/>
                <w:szCs w:val="18"/>
              </w:rPr>
            </w:pPr>
          </w:p>
        </w:tc>
      </w:tr>
      <w:tr w:rsidR="004728BB" w:rsidRPr="000A0A5F" w:rsidTr="00FF0AF8">
        <w:trPr>
          <w:jc w:val="center"/>
        </w:trPr>
        <w:tc>
          <w:tcPr>
            <w:tcW w:w="2250" w:type="dxa"/>
            <w:shd w:val="clear" w:color="auto" w:fill="auto"/>
            <w:vAlign w:val="center"/>
          </w:tcPr>
          <w:p w:rsidR="004728BB" w:rsidRPr="000A0A5F" w:rsidRDefault="004728BB" w:rsidP="004728BB">
            <w:pPr>
              <w:pStyle w:val="TAL"/>
              <w:rPr>
                <w:lang w:eastAsia="zh-CN"/>
              </w:rPr>
            </w:pPr>
            <w:r w:rsidRPr="000A0A5F">
              <w:rPr>
                <w:rFonts w:hint="eastAsia"/>
                <w:lang w:eastAsia="zh-CN"/>
              </w:rPr>
              <w:t>communicationDuration</w:t>
            </w:r>
            <w:r w:rsidRPr="000A0A5F">
              <w:rPr>
                <w:lang w:eastAsia="zh-CN"/>
              </w:rPr>
              <w:t>Time</w:t>
            </w:r>
          </w:p>
        </w:tc>
        <w:tc>
          <w:tcPr>
            <w:tcW w:w="1418" w:type="dxa"/>
            <w:shd w:val="clear" w:color="auto" w:fill="auto"/>
          </w:tcPr>
          <w:p w:rsidR="004728BB" w:rsidRPr="000A0A5F" w:rsidRDefault="004728BB" w:rsidP="004728BB">
            <w:pPr>
              <w:pStyle w:val="TAL"/>
              <w:rPr>
                <w:rFonts w:eastAsia="Times New Roman"/>
              </w:rPr>
            </w:pPr>
            <w:r w:rsidRPr="000A0A5F">
              <w:rPr>
                <w:rFonts w:hint="eastAsia"/>
                <w:lang w:eastAsia="zh-CN"/>
              </w:rPr>
              <w:t>DurationSec</w:t>
            </w:r>
          </w:p>
        </w:tc>
        <w:tc>
          <w:tcPr>
            <w:tcW w:w="1133" w:type="dxa"/>
            <w:shd w:val="clear" w:color="auto" w:fill="auto"/>
          </w:tcPr>
          <w:p w:rsidR="004728BB" w:rsidRPr="000A0A5F" w:rsidRDefault="004728BB" w:rsidP="004728BB">
            <w:pPr>
              <w:pStyle w:val="TAL"/>
              <w:rPr>
                <w:lang w:eastAsia="zh-CN"/>
              </w:rPr>
            </w:pPr>
            <w:r w:rsidRPr="000A0A5F">
              <w:rPr>
                <w:rFonts w:hint="eastAsia"/>
                <w:lang w:eastAsia="zh-CN"/>
              </w:rPr>
              <w:t>0..1</w:t>
            </w:r>
          </w:p>
        </w:tc>
        <w:tc>
          <w:tcPr>
            <w:tcW w:w="3545" w:type="dxa"/>
            <w:shd w:val="clear" w:color="auto" w:fill="auto"/>
          </w:tcPr>
          <w:p w:rsidR="004728BB" w:rsidRPr="000A0A5F" w:rsidRDefault="004728BB" w:rsidP="004728BB">
            <w:pPr>
              <w:pStyle w:val="TAL"/>
              <w:rPr>
                <w:rFonts w:cs="Arial"/>
                <w:szCs w:val="18"/>
                <w:lang w:eastAsia="zh-CN"/>
              </w:rPr>
            </w:pPr>
            <w:r w:rsidRPr="000A0A5F">
              <w:rPr>
                <w:rFonts w:cs="Arial" w:hint="eastAsia"/>
                <w:szCs w:val="18"/>
                <w:lang w:eastAsia="zh-CN"/>
              </w:rPr>
              <w:t xml:space="preserve">Identifies </w:t>
            </w:r>
            <w:r w:rsidRPr="000A0A5F">
              <w:rPr>
                <w:rFonts w:cs="Arial"/>
                <w:szCs w:val="18"/>
                <w:lang w:eastAsia="zh-CN"/>
              </w:rPr>
              <w:t>duration time of periodic communication.</w:t>
            </w:r>
          </w:p>
        </w:tc>
        <w:tc>
          <w:tcPr>
            <w:tcW w:w="1256" w:type="dxa"/>
          </w:tcPr>
          <w:p w:rsidR="004728BB" w:rsidRPr="000A0A5F" w:rsidRDefault="004728BB" w:rsidP="004728BB">
            <w:pPr>
              <w:pStyle w:val="TAL"/>
              <w:rPr>
                <w:rFonts w:eastAsia="Times New Roman" w:cs="Arial"/>
                <w:szCs w:val="18"/>
              </w:rPr>
            </w:pPr>
          </w:p>
        </w:tc>
      </w:tr>
      <w:tr w:rsidR="004728BB" w:rsidRPr="000A0A5F" w:rsidTr="00FF0AF8">
        <w:trPr>
          <w:jc w:val="center"/>
        </w:trPr>
        <w:tc>
          <w:tcPr>
            <w:tcW w:w="2250" w:type="dxa"/>
            <w:shd w:val="clear" w:color="auto" w:fill="auto"/>
            <w:vAlign w:val="center"/>
          </w:tcPr>
          <w:p w:rsidR="004728BB" w:rsidRPr="000A0A5F" w:rsidRDefault="004728BB" w:rsidP="004728BB">
            <w:pPr>
              <w:pStyle w:val="TAL"/>
              <w:rPr>
                <w:lang w:eastAsia="zh-CN"/>
              </w:rPr>
            </w:pPr>
            <w:r w:rsidRPr="000A0A5F">
              <w:rPr>
                <w:rFonts w:hint="eastAsia"/>
                <w:lang w:eastAsia="zh-CN"/>
              </w:rPr>
              <w:t>periodicTime</w:t>
            </w:r>
          </w:p>
        </w:tc>
        <w:tc>
          <w:tcPr>
            <w:tcW w:w="1418" w:type="dxa"/>
            <w:shd w:val="clear" w:color="auto" w:fill="auto"/>
          </w:tcPr>
          <w:p w:rsidR="004728BB" w:rsidRPr="000A0A5F" w:rsidRDefault="004728BB" w:rsidP="004728BB">
            <w:pPr>
              <w:pStyle w:val="TAL"/>
              <w:rPr>
                <w:rFonts w:eastAsia="Times New Roman"/>
              </w:rPr>
            </w:pPr>
            <w:r w:rsidRPr="000A0A5F">
              <w:rPr>
                <w:rFonts w:hint="eastAsia"/>
                <w:lang w:eastAsia="zh-CN"/>
              </w:rPr>
              <w:t>DurationSec</w:t>
            </w:r>
          </w:p>
        </w:tc>
        <w:tc>
          <w:tcPr>
            <w:tcW w:w="1133" w:type="dxa"/>
            <w:shd w:val="clear" w:color="auto" w:fill="auto"/>
          </w:tcPr>
          <w:p w:rsidR="004728BB" w:rsidRPr="000A0A5F" w:rsidRDefault="004728BB" w:rsidP="004728BB">
            <w:pPr>
              <w:pStyle w:val="TAL"/>
              <w:rPr>
                <w:rFonts w:eastAsia="Times New Roman"/>
              </w:rPr>
            </w:pPr>
            <w:r w:rsidRPr="000A0A5F">
              <w:rPr>
                <w:rFonts w:hint="eastAsia"/>
                <w:lang w:eastAsia="zh-CN"/>
              </w:rPr>
              <w:t>0..1</w:t>
            </w:r>
          </w:p>
        </w:tc>
        <w:tc>
          <w:tcPr>
            <w:tcW w:w="3545" w:type="dxa"/>
            <w:shd w:val="clear" w:color="auto" w:fill="auto"/>
          </w:tcPr>
          <w:p w:rsidR="004728BB" w:rsidRPr="000A0A5F" w:rsidRDefault="004728BB" w:rsidP="004728BB">
            <w:pPr>
              <w:pStyle w:val="TAL"/>
              <w:rPr>
                <w:rFonts w:cs="Arial"/>
                <w:szCs w:val="18"/>
                <w:lang w:eastAsia="zh-CN"/>
              </w:rPr>
            </w:pPr>
            <w:r w:rsidRPr="000A0A5F">
              <w:rPr>
                <w:rFonts w:cs="Arial" w:hint="eastAsia"/>
                <w:szCs w:val="18"/>
                <w:lang w:eastAsia="zh-CN"/>
              </w:rPr>
              <w:t>Identifies interval time of periodic communication</w:t>
            </w:r>
            <w:r w:rsidRPr="000A0A5F">
              <w:rPr>
                <w:rFonts w:cs="Arial"/>
                <w:szCs w:val="18"/>
                <w:lang w:eastAsia="zh-CN"/>
              </w:rPr>
              <w:t>.</w:t>
            </w:r>
          </w:p>
        </w:tc>
        <w:tc>
          <w:tcPr>
            <w:tcW w:w="1256" w:type="dxa"/>
          </w:tcPr>
          <w:p w:rsidR="004728BB" w:rsidRPr="000A0A5F" w:rsidRDefault="004728BB" w:rsidP="004728BB">
            <w:pPr>
              <w:pStyle w:val="TAL"/>
              <w:rPr>
                <w:rFonts w:eastAsia="Times New Roman" w:cs="Arial"/>
                <w:szCs w:val="18"/>
              </w:rPr>
            </w:pPr>
          </w:p>
        </w:tc>
      </w:tr>
      <w:tr w:rsidR="004728BB" w:rsidRPr="000A0A5F" w:rsidTr="00FF0AF8">
        <w:trPr>
          <w:jc w:val="center"/>
        </w:trPr>
        <w:tc>
          <w:tcPr>
            <w:tcW w:w="2250" w:type="dxa"/>
            <w:shd w:val="clear" w:color="auto" w:fill="auto"/>
            <w:vAlign w:val="center"/>
          </w:tcPr>
          <w:p w:rsidR="004728BB" w:rsidRPr="000A0A5F" w:rsidRDefault="004728BB" w:rsidP="004728BB">
            <w:pPr>
              <w:pStyle w:val="TAL"/>
              <w:rPr>
                <w:rFonts w:hint="eastAsia"/>
                <w:lang w:eastAsia="zh-CN"/>
              </w:rPr>
            </w:pPr>
            <w:r w:rsidRPr="000A0A5F">
              <w:rPr>
                <w:rFonts w:hint="eastAsia"/>
                <w:lang w:eastAsia="zh-CN"/>
              </w:rPr>
              <w:t>scheduled</w:t>
            </w:r>
            <w:r w:rsidRPr="000A0A5F">
              <w:rPr>
                <w:lang w:eastAsia="zh-CN"/>
              </w:rPr>
              <w:t>CommunicationTime</w:t>
            </w:r>
          </w:p>
        </w:tc>
        <w:tc>
          <w:tcPr>
            <w:tcW w:w="1418" w:type="dxa"/>
            <w:shd w:val="clear" w:color="auto" w:fill="auto"/>
          </w:tcPr>
          <w:p w:rsidR="004728BB" w:rsidRPr="000A0A5F" w:rsidRDefault="004728BB" w:rsidP="004728BB">
            <w:pPr>
              <w:pStyle w:val="TAL"/>
              <w:rPr>
                <w:rFonts w:hint="eastAsia"/>
                <w:lang w:eastAsia="zh-CN"/>
              </w:rPr>
            </w:pPr>
            <w:r w:rsidRPr="000A0A5F">
              <w:rPr>
                <w:rFonts w:hint="eastAsia"/>
                <w:lang w:eastAsia="zh-CN"/>
              </w:rPr>
              <w:t>ScheduledCommunicationTime</w:t>
            </w:r>
          </w:p>
        </w:tc>
        <w:tc>
          <w:tcPr>
            <w:tcW w:w="1133" w:type="dxa"/>
            <w:shd w:val="clear" w:color="auto" w:fill="auto"/>
          </w:tcPr>
          <w:p w:rsidR="004728BB" w:rsidRPr="000A0A5F" w:rsidRDefault="004728BB" w:rsidP="004728BB">
            <w:pPr>
              <w:pStyle w:val="TAL"/>
              <w:rPr>
                <w:rFonts w:eastAsia="Times New Roman"/>
              </w:rPr>
            </w:pPr>
            <w:r w:rsidRPr="000A0A5F">
              <w:rPr>
                <w:rFonts w:hint="eastAsia"/>
                <w:lang w:eastAsia="zh-CN"/>
              </w:rPr>
              <w:t>0..1</w:t>
            </w:r>
          </w:p>
        </w:tc>
        <w:tc>
          <w:tcPr>
            <w:tcW w:w="3545" w:type="dxa"/>
            <w:shd w:val="clear" w:color="auto" w:fill="auto"/>
          </w:tcPr>
          <w:p w:rsidR="004728BB" w:rsidRPr="000A0A5F" w:rsidRDefault="004728BB" w:rsidP="004728BB">
            <w:pPr>
              <w:pStyle w:val="TAL"/>
              <w:rPr>
                <w:rFonts w:cs="Arial" w:hint="eastAsia"/>
                <w:szCs w:val="18"/>
                <w:lang w:eastAsia="zh-CN"/>
              </w:rPr>
            </w:pPr>
            <w:r w:rsidRPr="000A0A5F">
              <w:rPr>
                <w:rFonts w:cs="Arial" w:hint="eastAsia"/>
                <w:szCs w:val="18"/>
                <w:lang w:eastAsia="zh-CN"/>
              </w:rPr>
              <w:t xml:space="preserve">Identifies time zone and day of the week when the UE is available for </w:t>
            </w:r>
            <w:r w:rsidRPr="000A0A5F">
              <w:rPr>
                <w:rFonts w:cs="Arial"/>
                <w:szCs w:val="18"/>
                <w:lang w:eastAsia="zh-CN"/>
              </w:rPr>
              <w:t>communication</w:t>
            </w:r>
            <w:r w:rsidRPr="000A0A5F">
              <w:rPr>
                <w:rFonts w:cs="Arial" w:hint="eastAsia"/>
                <w:szCs w:val="18"/>
                <w:lang w:eastAsia="zh-CN"/>
              </w:rPr>
              <w:t>.</w:t>
            </w:r>
          </w:p>
        </w:tc>
        <w:tc>
          <w:tcPr>
            <w:tcW w:w="1256" w:type="dxa"/>
          </w:tcPr>
          <w:p w:rsidR="004728BB" w:rsidRPr="000A0A5F" w:rsidRDefault="004728BB" w:rsidP="004728BB">
            <w:pPr>
              <w:pStyle w:val="TAL"/>
              <w:rPr>
                <w:rFonts w:eastAsia="Times New Roman" w:cs="Arial"/>
                <w:szCs w:val="18"/>
              </w:rPr>
            </w:pPr>
          </w:p>
        </w:tc>
      </w:tr>
      <w:tr w:rsidR="004728BB" w:rsidRPr="000A0A5F" w:rsidTr="00FF0AF8">
        <w:trPr>
          <w:jc w:val="center"/>
        </w:trPr>
        <w:tc>
          <w:tcPr>
            <w:tcW w:w="2250" w:type="dxa"/>
            <w:shd w:val="clear" w:color="auto" w:fill="auto"/>
            <w:vAlign w:val="center"/>
          </w:tcPr>
          <w:p w:rsidR="004728BB" w:rsidRPr="000A0A5F" w:rsidRDefault="004728BB" w:rsidP="004728BB">
            <w:pPr>
              <w:pStyle w:val="TAL"/>
              <w:rPr>
                <w:rFonts w:hint="eastAsia"/>
                <w:lang w:eastAsia="zh-CN"/>
              </w:rPr>
            </w:pPr>
            <w:r w:rsidRPr="000A0A5F">
              <w:rPr>
                <w:lang w:eastAsia="zh-CN"/>
              </w:rPr>
              <w:t>scheduledCommunicationType</w:t>
            </w:r>
          </w:p>
        </w:tc>
        <w:tc>
          <w:tcPr>
            <w:tcW w:w="1418" w:type="dxa"/>
            <w:shd w:val="clear" w:color="auto" w:fill="auto"/>
          </w:tcPr>
          <w:p w:rsidR="004728BB" w:rsidRPr="000A0A5F" w:rsidRDefault="004728BB" w:rsidP="004728BB">
            <w:pPr>
              <w:pStyle w:val="TAL"/>
              <w:rPr>
                <w:rFonts w:hint="eastAsia"/>
                <w:lang w:eastAsia="zh-CN"/>
              </w:rPr>
            </w:pPr>
            <w:r w:rsidRPr="000A0A5F">
              <w:rPr>
                <w:lang w:eastAsia="zh-CN"/>
              </w:rPr>
              <w:t>ScheduledCommunicationType</w:t>
            </w:r>
          </w:p>
        </w:tc>
        <w:tc>
          <w:tcPr>
            <w:tcW w:w="1133" w:type="dxa"/>
            <w:shd w:val="clear" w:color="auto" w:fill="auto"/>
          </w:tcPr>
          <w:p w:rsidR="004728BB" w:rsidRPr="000A0A5F" w:rsidRDefault="004728BB" w:rsidP="004728BB">
            <w:pPr>
              <w:pStyle w:val="TAL"/>
              <w:rPr>
                <w:rFonts w:hint="eastAsia"/>
                <w:lang w:eastAsia="zh-CN"/>
              </w:rPr>
            </w:pPr>
            <w:r w:rsidRPr="000A0A5F">
              <w:rPr>
                <w:rFonts w:hint="eastAsia"/>
                <w:lang w:eastAsia="zh-CN"/>
              </w:rPr>
              <w:t>0..1</w:t>
            </w:r>
          </w:p>
        </w:tc>
        <w:tc>
          <w:tcPr>
            <w:tcW w:w="3545" w:type="dxa"/>
            <w:shd w:val="clear" w:color="auto" w:fill="auto"/>
          </w:tcPr>
          <w:p w:rsidR="004728BB" w:rsidRPr="000A0A5F" w:rsidRDefault="004728BB" w:rsidP="004728BB">
            <w:pPr>
              <w:pStyle w:val="TAL"/>
              <w:rPr>
                <w:rFonts w:cs="Arial"/>
                <w:szCs w:val="18"/>
                <w:lang w:eastAsia="zh-CN"/>
              </w:rPr>
            </w:pPr>
            <w:r w:rsidRPr="000A0A5F">
              <w:rPr>
                <w:rFonts w:cs="Arial"/>
                <w:szCs w:val="18"/>
                <w:lang w:eastAsia="zh-CN"/>
              </w:rPr>
              <w:t>Indicates the Scheduled Communication Type.</w:t>
            </w:r>
          </w:p>
          <w:p w:rsidR="004728BB" w:rsidRPr="000A0A5F" w:rsidRDefault="004728BB" w:rsidP="004728BB">
            <w:pPr>
              <w:pStyle w:val="TAL"/>
              <w:rPr>
                <w:rFonts w:cs="Arial"/>
                <w:szCs w:val="18"/>
                <w:lang w:eastAsia="zh-CN"/>
              </w:rPr>
            </w:pPr>
            <w:r w:rsidRPr="000A0A5F">
              <w:rPr>
                <w:rFonts w:cs="Arial"/>
                <w:szCs w:val="18"/>
                <w:lang w:eastAsia="zh-CN"/>
              </w:rPr>
              <w:t>May only be present if the "scheduledCommunicationTime" attribute is provided.</w:t>
            </w:r>
          </w:p>
        </w:tc>
        <w:tc>
          <w:tcPr>
            <w:tcW w:w="1256" w:type="dxa"/>
          </w:tcPr>
          <w:p w:rsidR="004728BB" w:rsidRPr="000A0A5F" w:rsidRDefault="004728BB" w:rsidP="004728BB">
            <w:pPr>
              <w:pStyle w:val="TAL"/>
              <w:rPr>
                <w:rFonts w:eastAsia="Times New Roman" w:cs="Arial"/>
                <w:szCs w:val="18"/>
              </w:rPr>
            </w:pPr>
            <w:r w:rsidRPr="000A0A5F">
              <w:rPr>
                <w:lang w:eastAsia="zh-CN"/>
              </w:rPr>
              <w:t>ScheduledCommType_5G</w:t>
            </w:r>
          </w:p>
        </w:tc>
      </w:tr>
      <w:tr w:rsidR="004728BB" w:rsidRPr="000A0A5F" w:rsidTr="00FF0AF8">
        <w:trPr>
          <w:jc w:val="center"/>
        </w:trPr>
        <w:tc>
          <w:tcPr>
            <w:tcW w:w="2250" w:type="dxa"/>
            <w:shd w:val="clear" w:color="auto" w:fill="auto"/>
            <w:vAlign w:val="center"/>
          </w:tcPr>
          <w:p w:rsidR="004728BB" w:rsidRPr="000A0A5F" w:rsidRDefault="004728BB" w:rsidP="004728BB">
            <w:pPr>
              <w:pStyle w:val="TAL"/>
              <w:rPr>
                <w:rFonts w:hint="eastAsia"/>
                <w:lang w:eastAsia="zh-CN"/>
              </w:rPr>
            </w:pPr>
            <w:r w:rsidRPr="000A0A5F">
              <w:rPr>
                <w:rFonts w:hint="eastAsia"/>
                <w:lang w:eastAsia="zh-CN"/>
              </w:rPr>
              <w:t>s</w:t>
            </w:r>
            <w:r w:rsidRPr="000A0A5F">
              <w:rPr>
                <w:lang w:eastAsia="zh-CN"/>
              </w:rPr>
              <w:t>tationaryIndication</w:t>
            </w:r>
          </w:p>
        </w:tc>
        <w:tc>
          <w:tcPr>
            <w:tcW w:w="1418" w:type="dxa"/>
            <w:shd w:val="clear" w:color="auto" w:fill="auto"/>
          </w:tcPr>
          <w:p w:rsidR="004728BB" w:rsidRPr="000A0A5F" w:rsidRDefault="004728BB" w:rsidP="004728BB">
            <w:pPr>
              <w:pStyle w:val="TAL"/>
              <w:rPr>
                <w:rFonts w:hint="eastAsia"/>
                <w:lang w:eastAsia="zh-CN"/>
              </w:rPr>
            </w:pPr>
            <w:r w:rsidRPr="000A0A5F">
              <w:rPr>
                <w:rFonts w:hint="eastAsia"/>
                <w:lang w:eastAsia="zh-CN"/>
              </w:rPr>
              <w:t>StationaryIndication</w:t>
            </w:r>
          </w:p>
        </w:tc>
        <w:tc>
          <w:tcPr>
            <w:tcW w:w="1133" w:type="dxa"/>
            <w:shd w:val="clear" w:color="auto" w:fill="auto"/>
          </w:tcPr>
          <w:p w:rsidR="004728BB" w:rsidRPr="000A0A5F" w:rsidRDefault="004728BB" w:rsidP="004728BB">
            <w:pPr>
              <w:pStyle w:val="TAL"/>
              <w:rPr>
                <w:rFonts w:hint="eastAsia"/>
                <w:lang w:eastAsia="zh-CN"/>
              </w:rPr>
            </w:pPr>
            <w:r w:rsidRPr="000A0A5F">
              <w:rPr>
                <w:rFonts w:hint="eastAsia"/>
                <w:lang w:eastAsia="zh-CN"/>
              </w:rPr>
              <w:t>0..1</w:t>
            </w:r>
          </w:p>
        </w:tc>
        <w:tc>
          <w:tcPr>
            <w:tcW w:w="3545" w:type="dxa"/>
            <w:shd w:val="clear" w:color="auto" w:fill="auto"/>
          </w:tcPr>
          <w:p w:rsidR="004728BB" w:rsidRPr="000A0A5F" w:rsidRDefault="004728BB" w:rsidP="004728BB">
            <w:pPr>
              <w:pStyle w:val="TAL"/>
              <w:rPr>
                <w:rFonts w:cs="Arial"/>
                <w:szCs w:val="18"/>
                <w:lang w:eastAsia="zh-CN"/>
              </w:rPr>
            </w:pPr>
            <w:r w:rsidRPr="000A0A5F">
              <w:rPr>
                <w:rFonts w:cs="Arial" w:hint="eastAsia"/>
                <w:szCs w:val="18"/>
                <w:lang w:eastAsia="zh-CN"/>
              </w:rPr>
              <w:t xml:space="preserve">Identifies whether the UE is </w:t>
            </w:r>
            <w:r w:rsidRPr="000A0A5F">
              <w:rPr>
                <w:rFonts w:cs="Arial"/>
                <w:szCs w:val="18"/>
                <w:lang w:eastAsia="zh-CN"/>
              </w:rPr>
              <w:t>stationary</w:t>
            </w:r>
            <w:r w:rsidRPr="000A0A5F">
              <w:rPr>
                <w:rFonts w:cs="Arial" w:hint="eastAsia"/>
                <w:szCs w:val="18"/>
                <w:lang w:eastAsia="zh-CN"/>
              </w:rPr>
              <w:t xml:space="preserve"> </w:t>
            </w:r>
            <w:r w:rsidRPr="000A0A5F">
              <w:rPr>
                <w:rFonts w:cs="Arial"/>
                <w:szCs w:val="18"/>
                <w:lang w:eastAsia="zh-CN"/>
              </w:rPr>
              <w:t>or mobile.</w:t>
            </w:r>
          </w:p>
        </w:tc>
        <w:tc>
          <w:tcPr>
            <w:tcW w:w="1256" w:type="dxa"/>
          </w:tcPr>
          <w:p w:rsidR="004728BB" w:rsidRPr="000A0A5F" w:rsidRDefault="004728BB" w:rsidP="004728BB">
            <w:pPr>
              <w:pStyle w:val="TAL"/>
              <w:rPr>
                <w:rFonts w:eastAsia="Times New Roman" w:cs="Arial"/>
                <w:szCs w:val="18"/>
              </w:rPr>
            </w:pPr>
          </w:p>
        </w:tc>
      </w:tr>
      <w:tr w:rsidR="004728BB" w:rsidRPr="000A0A5F" w:rsidTr="00FF0AF8">
        <w:trPr>
          <w:jc w:val="center"/>
        </w:trPr>
        <w:tc>
          <w:tcPr>
            <w:tcW w:w="2250" w:type="dxa"/>
            <w:shd w:val="clear" w:color="auto" w:fill="auto"/>
            <w:vAlign w:val="center"/>
          </w:tcPr>
          <w:p w:rsidR="004728BB" w:rsidRPr="000A0A5F" w:rsidRDefault="004728BB" w:rsidP="004728BB">
            <w:pPr>
              <w:pStyle w:val="TAL"/>
              <w:rPr>
                <w:rFonts w:hint="eastAsia"/>
                <w:lang w:eastAsia="zh-CN"/>
              </w:rPr>
            </w:pPr>
            <w:r w:rsidRPr="000A0A5F">
              <w:rPr>
                <w:lang w:eastAsia="zh-CN"/>
              </w:rPr>
              <w:t>batteryInds</w:t>
            </w:r>
          </w:p>
        </w:tc>
        <w:tc>
          <w:tcPr>
            <w:tcW w:w="1418" w:type="dxa"/>
            <w:shd w:val="clear" w:color="auto" w:fill="auto"/>
          </w:tcPr>
          <w:p w:rsidR="004728BB" w:rsidRPr="000A0A5F" w:rsidRDefault="004728BB" w:rsidP="004728BB">
            <w:pPr>
              <w:pStyle w:val="TAL"/>
              <w:rPr>
                <w:rFonts w:hint="eastAsia"/>
                <w:lang w:eastAsia="zh-CN"/>
              </w:rPr>
            </w:pPr>
            <w:r w:rsidRPr="000A0A5F">
              <w:rPr>
                <w:lang w:eastAsia="zh-CN"/>
              </w:rPr>
              <w:t>array(BatteryIndication)</w:t>
            </w:r>
          </w:p>
        </w:tc>
        <w:tc>
          <w:tcPr>
            <w:tcW w:w="1133" w:type="dxa"/>
            <w:shd w:val="clear" w:color="auto" w:fill="auto"/>
          </w:tcPr>
          <w:p w:rsidR="004728BB" w:rsidRPr="000A0A5F" w:rsidRDefault="004728BB" w:rsidP="004728BB">
            <w:pPr>
              <w:pStyle w:val="TAL"/>
              <w:rPr>
                <w:rFonts w:hint="eastAsia"/>
                <w:lang w:eastAsia="zh-CN"/>
              </w:rPr>
            </w:pPr>
            <w:r w:rsidRPr="000A0A5F">
              <w:rPr>
                <w:lang w:eastAsia="zh-CN"/>
              </w:rPr>
              <w:t>0..N</w:t>
            </w:r>
          </w:p>
        </w:tc>
        <w:tc>
          <w:tcPr>
            <w:tcW w:w="3545" w:type="dxa"/>
            <w:shd w:val="clear" w:color="auto" w:fill="auto"/>
          </w:tcPr>
          <w:p w:rsidR="004728BB" w:rsidRPr="000A0A5F" w:rsidRDefault="004728BB" w:rsidP="004728BB">
            <w:pPr>
              <w:pStyle w:val="TAL"/>
              <w:rPr>
                <w:rFonts w:cs="Arial"/>
                <w:szCs w:val="18"/>
                <w:lang w:eastAsia="zh-CN"/>
              </w:rPr>
            </w:pPr>
            <w:r w:rsidRPr="000A0A5F">
              <w:rPr>
                <w:rFonts w:cs="Arial"/>
                <w:szCs w:val="18"/>
                <w:lang w:eastAsia="zh-CN"/>
              </w:rPr>
              <w:t>Indicates the power consumption type(s) of the UE.</w:t>
            </w:r>
          </w:p>
          <w:p w:rsidR="004728BB" w:rsidRPr="000A0A5F" w:rsidRDefault="004728BB" w:rsidP="004728BB">
            <w:pPr>
              <w:pStyle w:val="TAL"/>
              <w:rPr>
                <w:rFonts w:cs="Arial"/>
                <w:szCs w:val="18"/>
                <w:lang w:eastAsia="zh-CN"/>
              </w:rPr>
            </w:pPr>
            <w:r w:rsidRPr="000A0A5F">
              <w:rPr>
                <w:rFonts w:cs="Arial" w:hint="eastAsia"/>
                <w:szCs w:val="18"/>
                <w:lang w:eastAsia="zh-CN"/>
              </w:rPr>
              <w:t>(NOTE</w:t>
            </w:r>
            <w:r w:rsidRPr="000A0A5F">
              <w:rPr>
                <w:rFonts w:cs="Arial"/>
                <w:szCs w:val="18"/>
                <w:lang w:val="en-US" w:eastAsia="zh-CN"/>
              </w:rPr>
              <w:t> 3</w:t>
            </w:r>
            <w:r w:rsidRPr="000A0A5F">
              <w:rPr>
                <w:rFonts w:cs="Arial" w:hint="eastAsia"/>
                <w:szCs w:val="18"/>
                <w:lang w:eastAsia="zh-CN"/>
              </w:rPr>
              <w:t>)</w:t>
            </w:r>
          </w:p>
        </w:tc>
        <w:tc>
          <w:tcPr>
            <w:tcW w:w="1256" w:type="dxa"/>
          </w:tcPr>
          <w:p w:rsidR="004728BB" w:rsidRPr="000A0A5F" w:rsidRDefault="004728BB" w:rsidP="004728BB">
            <w:pPr>
              <w:pStyle w:val="TAL"/>
              <w:rPr>
                <w:rFonts w:eastAsia="Times New Roman" w:cs="Arial"/>
                <w:szCs w:val="18"/>
              </w:rPr>
            </w:pPr>
          </w:p>
        </w:tc>
      </w:tr>
      <w:tr w:rsidR="004728BB" w:rsidRPr="000A0A5F" w:rsidTr="00FF0AF8">
        <w:trPr>
          <w:jc w:val="center"/>
        </w:trPr>
        <w:tc>
          <w:tcPr>
            <w:tcW w:w="2250" w:type="dxa"/>
            <w:shd w:val="clear" w:color="auto" w:fill="auto"/>
            <w:vAlign w:val="center"/>
          </w:tcPr>
          <w:p w:rsidR="004728BB" w:rsidRPr="000A0A5F" w:rsidRDefault="004728BB" w:rsidP="004728BB">
            <w:pPr>
              <w:pStyle w:val="TAL"/>
              <w:rPr>
                <w:rFonts w:hint="eastAsia"/>
                <w:lang w:eastAsia="zh-CN"/>
              </w:rPr>
            </w:pPr>
            <w:r w:rsidRPr="000A0A5F">
              <w:rPr>
                <w:lang w:eastAsia="zh-CN"/>
              </w:rPr>
              <w:t>trafficProfile</w:t>
            </w:r>
          </w:p>
        </w:tc>
        <w:tc>
          <w:tcPr>
            <w:tcW w:w="1418" w:type="dxa"/>
            <w:shd w:val="clear" w:color="auto" w:fill="auto"/>
          </w:tcPr>
          <w:p w:rsidR="004728BB" w:rsidRPr="000A0A5F" w:rsidRDefault="004728BB" w:rsidP="004728BB">
            <w:pPr>
              <w:pStyle w:val="TAL"/>
              <w:rPr>
                <w:rFonts w:hint="eastAsia"/>
                <w:lang w:eastAsia="zh-CN"/>
              </w:rPr>
            </w:pPr>
            <w:r w:rsidRPr="000A0A5F">
              <w:rPr>
                <w:lang w:eastAsia="zh-CN"/>
              </w:rPr>
              <w:t>TrafficProfile</w:t>
            </w:r>
          </w:p>
        </w:tc>
        <w:tc>
          <w:tcPr>
            <w:tcW w:w="1133" w:type="dxa"/>
            <w:shd w:val="clear" w:color="auto" w:fill="auto"/>
          </w:tcPr>
          <w:p w:rsidR="004728BB" w:rsidRPr="000A0A5F" w:rsidRDefault="004728BB" w:rsidP="004728BB">
            <w:pPr>
              <w:pStyle w:val="TAL"/>
              <w:rPr>
                <w:rFonts w:hint="eastAsia"/>
                <w:lang w:eastAsia="zh-CN"/>
              </w:rPr>
            </w:pPr>
            <w:r w:rsidRPr="000A0A5F">
              <w:rPr>
                <w:lang w:eastAsia="zh-CN"/>
              </w:rPr>
              <w:t>0..1</w:t>
            </w:r>
          </w:p>
        </w:tc>
        <w:tc>
          <w:tcPr>
            <w:tcW w:w="3545" w:type="dxa"/>
            <w:shd w:val="clear" w:color="auto" w:fill="auto"/>
          </w:tcPr>
          <w:p w:rsidR="004728BB" w:rsidRPr="000A0A5F" w:rsidRDefault="004728BB" w:rsidP="004728BB">
            <w:pPr>
              <w:pStyle w:val="TAL"/>
              <w:rPr>
                <w:rFonts w:cs="Arial" w:hint="eastAsia"/>
                <w:szCs w:val="18"/>
                <w:lang w:eastAsia="zh-CN"/>
              </w:rPr>
            </w:pPr>
            <w:r w:rsidRPr="000A0A5F">
              <w:rPr>
                <w:rFonts w:cs="Arial"/>
                <w:szCs w:val="18"/>
                <w:lang w:eastAsia="zh-CN"/>
              </w:rPr>
              <w:t>Identifies the type of data transmission.</w:t>
            </w:r>
          </w:p>
        </w:tc>
        <w:tc>
          <w:tcPr>
            <w:tcW w:w="1256" w:type="dxa"/>
          </w:tcPr>
          <w:p w:rsidR="004728BB" w:rsidRPr="000A0A5F" w:rsidRDefault="004728BB" w:rsidP="004728BB">
            <w:pPr>
              <w:pStyle w:val="TAL"/>
              <w:rPr>
                <w:rFonts w:eastAsia="Times New Roman" w:cs="Arial"/>
                <w:szCs w:val="18"/>
              </w:rPr>
            </w:pPr>
          </w:p>
        </w:tc>
      </w:tr>
      <w:tr w:rsidR="004728BB" w:rsidRPr="000A0A5F" w:rsidTr="00FF0AF8">
        <w:trPr>
          <w:jc w:val="center"/>
        </w:trPr>
        <w:tc>
          <w:tcPr>
            <w:tcW w:w="2250" w:type="dxa"/>
            <w:shd w:val="clear" w:color="auto" w:fill="auto"/>
          </w:tcPr>
          <w:p w:rsidR="004728BB" w:rsidRPr="000A0A5F" w:rsidRDefault="004728BB" w:rsidP="004728BB">
            <w:pPr>
              <w:pStyle w:val="TAL"/>
              <w:rPr>
                <w:rFonts w:hint="eastAsia"/>
                <w:lang w:eastAsia="zh-CN"/>
              </w:rPr>
            </w:pPr>
            <w:r w:rsidRPr="000A0A5F">
              <w:rPr>
                <w:rFonts w:hint="eastAsia"/>
                <w:lang w:eastAsia="zh-CN"/>
              </w:rPr>
              <w:t>expectedU</w:t>
            </w:r>
            <w:r w:rsidRPr="000A0A5F">
              <w:rPr>
                <w:lang w:eastAsia="zh-CN"/>
              </w:rPr>
              <w:t>mts</w:t>
            </w:r>
          </w:p>
        </w:tc>
        <w:tc>
          <w:tcPr>
            <w:tcW w:w="1418" w:type="dxa"/>
            <w:shd w:val="clear" w:color="auto" w:fill="auto"/>
          </w:tcPr>
          <w:p w:rsidR="004728BB" w:rsidRPr="000A0A5F" w:rsidRDefault="004728BB" w:rsidP="004728BB">
            <w:pPr>
              <w:pStyle w:val="TAL"/>
              <w:rPr>
                <w:rFonts w:hint="eastAsia"/>
                <w:lang w:eastAsia="zh-CN"/>
              </w:rPr>
            </w:pPr>
            <w:r w:rsidRPr="000A0A5F">
              <w:rPr>
                <w:lang w:eastAsia="zh-CN"/>
              </w:rPr>
              <w:t>a</w:t>
            </w:r>
            <w:r w:rsidRPr="000A0A5F">
              <w:rPr>
                <w:rFonts w:hint="eastAsia"/>
                <w:lang w:eastAsia="zh-CN"/>
              </w:rPr>
              <w:t>rray(</w:t>
            </w:r>
            <w:r w:rsidRPr="000A0A5F">
              <w:rPr>
                <w:lang w:eastAsia="zh-CN"/>
              </w:rPr>
              <w:t>UmtLocationArea5G)</w:t>
            </w:r>
          </w:p>
        </w:tc>
        <w:tc>
          <w:tcPr>
            <w:tcW w:w="1133" w:type="dxa"/>
            <w:shd w:val="clear" w:color="auto" w:fill="auto"/>
          </w:tcPr>
          <w:p w:rsidR="004728BB" w:rsidRPr="000A0A5F" w:rsidRDefault="004728BB" w:rsidP="004728BB">
            <w:pPr>
              <w:pStyle w:val="TAL"/>
              <w:rPr>
                <w:rFonts w:hint="eastAsia"/>
                <w:lang w:eastAsia="zh-CN"/>
              </w:rPr>
            </w:pPr>
            <w:r w:rsidRPr="000A0A5F">
              <w:rPr>
                <w:rFonts w:hint="eastAsia"/>
                <w:lang w:eastAsia="zh-CN"/>
              </w:rPr>
              <w:t>0..N</w:t>
            </w:r>
          </w:p>
        </w:tc>
        <w:tc>
          <w:tcPr>
            <w:tcW w:w="3545" w:type="dxa"/>
            <w:shd w:val="clear" w:color="auto" w:fill="auto"/>
          </w:tcPr>
          <w:p w:rsidR="004728BB" w:rsidRPr="000A0A5F" w:rsidRDefault="004728BB" w:rsidP="004728BB">
            <w:pPr>
              <w:pStyle w:val="TAL"/>
            </w:pPr>
            <w:r w:rsidRPr="000A0A5F">
              <w:rPr>
                <w:rFonts w:cs="Arial" w:hint="eastAsia"/>
                <w:szCs w:val="18"/>
                <w:lang w:eastAsia="zh-CN"/>
              </w:rPr>
              <w:t xml:space="preserve">Identifies </w:t>
            </w:r>
            <w:r w:rsidRPr="000A0A5F">
              <w:t>the UE's expected geographical movement. The attribute is only applicable in 5G.</w:t>
            </w:r>
          </w:p>
          <w:p w:rsidR="004728BB" w:rsidRPr="000A0A5F" w:rsidRDefault="004728BB" w:rsidP="004728BB">
            <w:pPr>
              <w:pStyle w:val="TAL"/>
              <w:rPr>
                <w:rFonts w:cs="Arial" w:hint="eastAsia"/>
                <w:szCs w:val="18"/>
                <w:lang w:eastAsia="zh-CN"/>
              </w:rPr>
            </w:pPr>
            <w:r w:rsidRPr="000A0A5F">
              <w:t>(NOTE 2)</w:t>
            </w:r>
          </w:p>
        </w:tc>
        <w:tc>
          <w:tcPr>
            <w:tcW w:w="1256" w:type="dxa"/>
          </w:tcPr>
          <w:p w:rsidR="004728BB" w:rsidRPr="000A0A5F" w:rsidRDefault="004728BB" w:rsidP="004728BB">
            <w:pPr>
              <w:pStyle w:val="TAL"/>
              <w:rPr>
                <w:lang w:eastAsia="zh-CN"/>
              </w:rPr>
            </w:pPr>
            <w:r w:rsidRPr="000A0A5F">
              <w:rPr>
                <w:lang w:eastAsia="zh-CN"/>
              </w:rPr>
              <w:t>ExpectedUMT_5G</w:t>
            </w:r>
          </w:p>
          <w:p w:rsidR="004728BB" w:rsidRPr="000A0A5F" w:rsidRDefault="004728BB" w:rsidP="004728BB">
            <w:pPr>
              <w:pStyle w:val="TAL"/>
              <w:rPr>
                <w:rFonts w:eastAsia="Times New Roman" w:cs="Arial"/>
                <w:szCs w:val="18"/>
              </w:rPr>
            </w:pPr>
            <w:r w:rsidRPr="000A0A5F">
              <w:rPr>
                <w:lang w:eastAsia="zh-CN"/>
              </w:rPr>
              <w:t>ExpectedUmtTime_5G</w:t>
            </w:r>
          </w:p>
        </w:tc>
      </w:tr>
      <w:tr w:rsidR="004728BB" w:rsidRPr="000A0A5F" w:rsidTr="00FF0AF8">
        <w:trPr>
          <w:jc w:val="center"/>
        </w:trPr>
        <w:tc>
          <w:tcPr>
            <w:tcW w:w="2250" w:type="dxa"/>
            <w:shd w:val="clear" w:color="auto" w:fill="auto"/>
          </w:tcPr>
          <w:p w:rsidR="004728BB" w:rsidRPr="000A0A5F" w:rsidRDefault="004728BB" w:rsidP="004728BB">
            <w:pPr>
              <w:pStyle w:val="TAL"/>
              <w:rPr>
                <w:rFonts w:hint="eastAsia"/>
                <w:lang w:eastAsia="zh-CN"/>
              </w:rPr>
            </w:pPr>
            <w:r w:rsidRPr="000A0A5F">
              <w:rPr>
                <w:lang w:eastAsia="zh-CN"/>
              </w:rPr>
              <w:t>expectedUmtDays</w:t>
            </w:r>
          </w:p>
        </w:tc>
        <w:tc>
          <w:tcPr>
            <w:tcW w:w="1418" w:type="dxa"/>
            <w:shd w:val="clear" w:color="auto" w:fill="auto"/>
          </w:tcPr>
          <w:p w:rsidR="004728BB" w:rsidRPr="000A0A5F" w:rsidRDefault="004728BB" w:rsidP="004728BB">
            <w:pPr>
              <w:pStyle w:val="TAL"/>
              <w:rPr>
                <w:lang w:eastAsia="zh-CN"/>
              </w:rPr>
            </w:pPr>
            <w:r w:rsidRPr="000A0A5F">
              <w:rPr>
                <w:lang w:eastAsia="zh-CN"/>
              </w:rPr>
              <w:t>DayOfWeek</w:t>
            </w:r>
          </w:p>
        </w:tc>
        <w:tc>
          <w:tcPr>
            <w:tcW w:w="1133" w:type="dxa"/>
            <w:shd w:val="clear" w:color="auto" w:fill="auto"/>
          </w:tcPr>
          <w:p w:rsidR="004728BB" w:rsidRPr="000A0A5F" w:rsidRDefault="004728BB" w:rsidP="004728BB">
            <w:pPr>
              <w:pStyle w:val="TAL"/>
              <w:rPr>
                <w:rFonts w:hint="eastAsia"/>
                <w:lang w:eastAsia="zh-CN"/>
              </w:rPr>
            </w:pPr>
            <w:r w:rsidRPr="000A0A5F">
              <w:rPr>
                <w:rFonts w:eastAsia="Times New Roman"/>
              </w:rPr>
              <w:t>0..6</w:t>
            </w:r>
          </w:p>
        </w:tc>
        <w:tc>
          <w:tcPr>
            <w:tcW w:w="3545" w:type="dxa"/>
            <w:shd w:val="clear" w:color="auto" w:fill="auto"/>
          </w:tcPr>
          <w:p w:rsidR="004728BB" w:rsidRPr="000A0A5F" w:rsidRDefault="004728BB" w:rsidP="004728BB">
            <w:pPr>
              <w:pStyle w:val="TAL"/>
              <w:rPr>
                <w:rFonts w:cs="Arial" w:hint="eastAsia"/>
                <w:szCs w:val="18"/>
                <w:lang w:eastAsia="zh-CN"/>
              </w:rPr>
            </w:pPr>
            <w:r w:rsidRPr="000A0A5F">
              <w:rPr>
                <w:rFonts w:cs="Arial" w:hint="eastAsia"/>
                <w:szCs w:val="18"/>
                <w:lang w:eastAsia="zh-CN"/>
              </w:rPr>
              <w:t xml:space="preserve">Identifies </w:t>
            </w:r>
            <w:r w:rsidRPr="000A0A5F">
              <w:rPr>
                <w:rFonts w:cs="Arial"/>
                <w:szCs w:val="18"/>
                <w:lang w:eastAsia="zh-CN"/>
              </w:rPr>
              <w:t>the day of the week. If absent, it indicates every day of the week.</w:t>
            </w:r>
          </w:p>
        </w:tc>
        <w:tc>
          <w:tcPr>
            <w:tcW w:w="1256" w:type="dxa"/>
          </w:tcPr>
          <w:p w:rsidR="004728BB" w:rsidRPr="000A0A5F" w:rsidRDefault="004728BB" w:rsidP="004728BB">
            <w:pPr>
              <w:pStyle w:val="TAL"/>
              <w:rPr>
                <w:lang w:eastAsia="zh-CN"/>
              </w:rPr>
            </w:pPr>
            <w:r w:rsidRPr="000A0A5F">
              <w:rPr>
                <w:lang w:eastAsia="zh-CN"/>
              </w:rPr>
              <w:t>ExpectedUmtTime_5G</w:t>
            </w:r>
          </w:p>
        </w:tc>
      </w:tr>
      <w:tr w:rsidR="004728BB" w:rsidRPr="000A0A5F" w:rsidTr="00FF0AF8">
        <w:trPr>
          <w:jc w:val="center"/>
        </w:trPr>
        <w:tc>
          <w:tcPr>
            <w:tcW w:w="2250" w:type="dxa"/>
            <w:shd w:val="clear" w:color="auto" w:fill="auto"/>
          </w:tcPr>
          <w:p w:rsidR="004728BB" w:rsidRPr="000A0A5F" w:rsidRDefault="004728BB" w:rsidP="004728BB">
            <w:pPr>
              <w:pStyle w:val="TAL"/>
              <w:rPr>
                <w:lang w:eastAsia="zh-CN"/>
              </w:rPr>
            </w:pPr>
            <w:r w:rsidRPr="000A0A5F">
              <w:rPr>
                <w:lang w:eastAsia="zh-CN"/>
              </w:rPr>
              <w:t>expectedUmtDaysAdd</w:t>
            </w:r>
          </w:p>
        </w:tc>
        <w:tc>
          <w:tcPr>
            <w:tcW w:w="1418" w:type="dxa"/>
            <w:shd w:val="clear" w:color="auto" w:fill="auto"/>
          </w:tcPr>
          <w:p w:rsidR="004728BB" w:rsidRPr="000A0A5F" w:rsidRDefault="004728BB" w:rsidP="004728BB">
            <w:pPr>
              <w:pStyle w:val="TAL"/>
              <w:rPr>
                <w:lang w:eastAsia="zh-CN"/>
              </w:rPr>
            </w:pPr>
            <w:r w:rsidRPr="000A0A5F">
              <w:rPr>
                <w:lang w:eastAsia="zh-CN"/>
              </w:rPr>
              <w:t>a</w:t>
            </w:r>
            <w:r w:rsidRPr="000A0A5F">
              <w:rPr>
                <w:rFonts w:hint="eastAsia"/>
                <w:lang w:eastAsia="zh-CN"/>
              </w:rPr>
              <w:t>rray(</w:t>
            </w:r>
            <w:r w:rsidRPr="000A0A5F">
              <w:rPr>
                <w:lang w:eastAsia="zh-CN"/>
              </w:rPr>
              <w:t>DayOfWeek)</w:t>
            </w:r>
          </w:p>
        </w:tc>
        <w:tc>
          <w:tcPr>
            <w:tcW w:w="1133" w:type="dxa"/>
            <w:shd w:val="clear" w:color="auto" w:fill="auto"/>
          </w:tcPr>
          <w:p w:rsidR="004728BB" w:rsidRPr="000A0A5F" w:rsidRDefault="004728BB" w:rsidP="004728BB">
            <w:pPr>
              <w:pStyle w:val="TAL"/>
              <w:rPr>
                <w:rFonts w:eastAsia="Times New Roman"/>
              </w:rPr>
            </w:pPr>
            <w:r w:rsidRPr="000A0A5F">
              <w:t>0..5</w:t>
            </w:r>
          </w:p>
        </w:tc>
        <w:tc>
          <w:tcPr>
            <w:tcW w:w="3545" w:type="dxa"/>
            <w:shd w:val="clear" w:color="auto" w:fill="auto"/>
          </w:tcPr>
          <w:p w:rsidR="004728BB" w:rsidRPr="000A0A5F" w:rsidRDefault="004728BB" w:rsidP="004728BB">
            <w:pPr>
              <w:pStyle w:val="TAL"/>
              <w:rPr>
                <w:rFonts w:cs="Arial"/>
                <w:szCs w:val="18"/>
                <w:lang w:eastAsia="zh-CN"/>
              </w:rPr>
            </w:pPr>
            <w:r w:rsidRPr="000A0A5F">
              <w:rPr>
                <w:rFonts w:cs="Arial" w:hint="eastAsia"/>
                <w:szCs w:val="18"/>
                <w:lang w:eastAsia="zh-CN"/>
              </w:rPr>
              <w:t xml:space="preserve">Identifies </w:t>
            </w:r>
            <w:r w:rsidRPr="000A0A5F">
              <w:rPr>
                <w:rFonts w:cs="Arial"/>
                <w:szCs w:val="18"/>
                <w:lang w:eastAsia="zh-CN"/>
              </w:rPr>
              <w:t>the additional day(s) of the week.</w:t>
            </w:r>
          </w:p>
          <w:p w:rsidR="004728BB" w:rsidRPr="000A0A5F" w:rsidRDefault="004728BB" w:rsidP="004728BB">
            <w:pPr>
              <w:pStyle w:val="TAL"/>
              <w:rPr>
                <w:rFonts w:cs="Arial" w:hint="eastAsia"/>
                <w:szCs w:val="18"/>
                <w:lang w:eastAsia="zh-CN"/>
              </w:rPr>
            </w:pPr>
            <w:r w:rsidRPr="000A0A5F">
              <w:rPr>
                <w:rFonts w:cs="Arial" w:hint="eastAsia"/>
                <w:szCs w:val="18"/>
                <w:lang w:eastAsia="zh-CN"/>
              </w:rPr>
              <w:t>(NOTE</w:t>
            </w:r>
            <w:r w:rsidRPr="000A0A5F">
              <w:rPr>
                <w:rFonts w:cs="Arial"/>
                <w:szCs w:val="18"/>
                <w:lang w:val="en-US" w:eastAsia="zh-CN"/>
              </w:rPr>
              <w:t> 5</w:t>
            </w:r>
            <w:r w:rsidRPr="000A0A5F">
              <w:rPr>
                <w:rFonts w:cs="Arial" w:hint="eastAsia"/>
                <w:szCs w:val="18"/>
                <w:lang w:eastAsia="zh-CN"/>
              </w:rPr>
              <w:t>)</w:t>
            </w:r>
          </w:p>
        </w:tc>
        <w:tc>
          <w:tcPr>
            <w:tcW w:w="1256" w:type="dxa"/>
          </w:tcPr>
          <w:p w:rsidR="004728BB" w:rsidRPr="000A0A5F" w:rsidRDefault="004728BB" w:rsidP="004728BB">
            <w:pPr>
              <w:pStyle w:val="TAL"/>
              <w:rPr>
                <w:lang w:eastAsia="zh-CN"/>
              </w:rPr>
            </w:pPr>
            <w:r w:rsidRPr="000A0A5F">
              <w:rPr>
                <w:lang w:eastAsia="zh-CN"/>
              </w:rPr>
              <w:t>ExpectedUmtTime_Add</w:t>
            </w:r>
          </w:p>
        </w:tc>
      </w:tr>
      <w:tr w:rsidR="004728BB" w:rsidRPr="000A0A5F" w:rsidTr="00FF0AF8">
        <w:trPr>
          <w:jc w:val="center"/>
        </w:trPr>
        <w:tc>
          <w:tcPr>
            <w:tcW w:w="2250" w:type="dxa"/>
            <w:shd w:val="clear" w:color="auto" w:fill="auto"/>
          </w:tcPr>
          <w:p w:rsidR="004728BB" w:rsidRPr="000A0A5F" w:rsidRDefault="004728BB" w:rsidP="004728BB">
            <w:pPr>
              <w:pStyle w:val="TAL"/>
              <w:rPr>
                <w:lang w:eastAsia="zh-CN"/>
              </w:rPr>
            </w:pPr>
            <w:r w:rsidRPr="000A0A5F">
              <w:rPr>
                <w:lang w:eastAsia="zh-CN"/>
              </w:rPr>
              <w:t>appExpUeBehvs</w:t>
            </w:r>
          </w:p>
        </w:tc>
        <w:tc>
          <w:tcPr>
            <w:tcW w:w="1418" w:type="dxa"/>
            <w:shd w:val="clear" w:color="auto" w:fill="auto"/>
          </w:tcPr>
          <w:p w:rsidR="004728BB" w:rsidRPr="000A0A5F" w:rsidRDefault="004728BB" w:rsidP="004728BB">
            <w:pPr>
              <w:pStyle w:val="TAL"/>
              <w:rPr>
                <w:lang w:eastAsia="zh-CN"/>
              </w:rPr>
            </w:pPr>
            <w:r w:rsidRPr="000A0A5F">
              <w:rPr>
                <w:lang w:eastAsia="zh-CN"/>
              </w:rPr>
              <w:t>array(AppExpUeBehaviour)</w:t>
            </w:r>
          </w:p>
        </w:tc>
        <w:tc>
          <w:tcPr>
            <w:tcW w:w="1133" w:type="dxa"/>
            <w:shd w:val="clear" w:color="auto" w:fill="auto"/>
          </w:tcPr>
          <w:p w:rsidR="004728BB" w:rsidRPr="000A0A5F" w:rsidRDefault="004728BB" w:rsidP="004728BB">
            <w:pPr>
              <w:pStyle w:val="TAL"/>
            </w:pPr>
            <w:r w:rsidRPr="000A0A5F">
              <w:t>0..N</w:t>
            </w:r>
          </w:p>
        </w:tc>
        <w:tc>
          <w:tcPr>
            <w:tcW w:w="3545" w:type="dxa"/>
            <w:shd w:val="clear" w:color="auto" w:fill="auto"/>
          </w:tcPr>
          <w:p w:rsidR="004728BB" w:rsidRPr="000A0A5F" w:rsidRDefault="004728BB" w:rsidP="004728BB">
            <w:pPr>
              <w:pStyle w:val="TAL"/>
              <w:rPr>
                <w:rFonts w:cs="Arial"/>
                <w:szCs w:val="18"/>
                <w:lang w:eastAsia="zh-CN"/>
              </w:rPr>
            </w:pPr>
            <w:r w:rsidRPr="000A0A5F">
              <w:rPr>
                <w:rFonts w:cs="Arial"/>
                <w:szCs w:val="18"/>
                <w:lang w:eastAsia="zh-CN"/>
              </w:rPr>
              <w:t>Contains the Application Specific Expected UE Behaviour parameters.</w:t>
            </w:r>
          </w:p>
        </w:tc>
        <w:tc>
          <w:tcPr>
            <w:tcW w:w="1256" w:type="dxa"/>
          </w:tcPr>
          <w:p w:rsidR="004728BB" w:rsidRPr="000A0A5F" w:rsidRDefault="004728BB" w:rsidP="004728BB">
            <w:pPr>
              <w:pStyle w:val="TAL"/>
              <w:rPr>
                <w:lang w:eastAsia="zh-CN"/>
              </w:rPr>
            </w:pPr>
            <w:r w:rsidRPr="000A0A5F">
              <w:rPr>
                <w:lang w:eastAsia="zh-CN"/>
              </w:rPr>
              <w:t>AppExpUeBehaviour</w:t>
            </w:r>
          </w:p>
        </w:tc>
      </w:tr>
      <w:tr w:rsidR="004728BB" w:rsidRPr="000A0A5F" w:rsidTr="00EF7E64">
        <w:trPr>
          <w:jc w:val="center"/>
        </w:trPr>
        <w:tc>
          <w:tcPr>
            <w:tcW w:w="2250" w:type="dxa"/>
            <w:shd w:val="clear" w:color="auto" w:fill="auto"/>
          </w:tcPr>
          <w:p w:rsidR="004728BB" w:rsidRPr="000A0A5F" w:rsidRDefault="004728BB" w:rsidP="004728BB">
            <w:pPr>
              <w:pStyle w:val="TAL"/>
              <w:rPr>
                <w:lang w:eastAsia="zh-CN"/>
              </w:rPr>
            </w:pPr>
            <w:r w:rsidRPr="000A0A5F">
              <w:t>confidenceLevel</w:t>
            </w:r>
          </w:p>
        </w:tc>
        <w:tc>
          <w:tcPr>
            <w:tcW w:w="1418" w:type="dxa"/>
            <w:shd w:val="clear" w:color="auto" w:fill="auto"/>
          </w:tcPr>
          <w:p w:rsidR="004728BB" w:rsidRPr="000A0A5F" w:rsidRDefault="004728BB" w:rsidP="004728BB">
            <w:pPr>
              <w:pStyle w:val="TAL"/>
              <w:rPr>
                <w:lang w:eastAsia="zh-CN"/>
              </w:rPr>
            </w:pPr>
            <w:r w:rsidRPr="000A0A5F">
              <w:rPr>
                <w:noProof/>
              </w:rPr>
              <w:t>string</w:t>
            </w:r>
          </w:p>
        </w:tc>
        <w:tc>
          <w:tcPr>
            <w:tcW w:w="1133" w:type="dxa"/>
            <w:shd w:val="clear" w:color="auto" w:fill="auto"/>
          </w:tcPr>
          <w:p w:rsidR="004728BB" w:rsidRPr="000A0A5F" w:rsidRDefault="004728BB" w:rsidP="004728BB">
            <w:pPr>
              <w:pStyle w:val="TAL"/>
            </w:pPr>
            <w:r w:rsidRPr="000A0A5F">
              <w:rPr>
                <w:lang w:val="en-US" w:eastAsia="zh-CN"/>
              </w:rPr>
              <w:t>0..1</w:t>
            </w:r>
          </w:p>
        </w:tc>
        <w:tc>
          <w:tcPr>
            <w:tcW w:w="3545" w:type="dxa"/>
            <w:shd w:val="clear" w:color="auto" w:fill="auto"/>
            <w:vAlign w:val="center"/>
          </w:tcPr>
          <w:p w:rsidR="004728BB" w:rsidRPr="000A0A5F" w:rsidRDefault="004728BB" w:rsidP="004728BB">
            <w:pPr>
              <w:pStyle w:val="TAL"/>
              <w:rPr>
                <w:rFonts w:cs="Arial"/>
                <w:szCs w:val="18"/>
              </w:rPr>
            </w:pPr>
            <w:r w:rsidRPr="000A0A5F">
              <w:rPr>
                <w:rFonts w:cs="Arial"/>
                <w:szCs w:val="18"/>
              </w:rPr>
              <w:t xml:space="preserve">When present, this IE indicates the </w:t>
            </w:r>
            <w:r w:rsidRPr="000A0A5F">
              <w:t>Confidence level for the associated Expected UE Behaviour parameter</w:t>
            </w:r>
            <w:r w:rsidRPr="000A0A5F">
              <w:rPr>
                <w:rFonts w:cs="Arial"/>
                <w:szCs w:val="18"/>
              </w:rPr>
              <w:t>.</w:t>
            </w:r>
          </w:p>
          <w:p w:rsidR="004728BB" w:rsidRPr="000A0A5F" w:rsidRDefault="004728BB" w:rsidP="004728BB">
            <w:pPr>
              <w:pStyle w:val="TAL"/>
              <w:rPr>
                <w:rFonts w:cs="Arial"/>
                <w:szCs w:val="18"/>
              </w:rPr>
            </w:pPr>
          </w:p>
          <w:p w:rsidR="004728BB" w:rsidRPr="000A0A5F" w:rsidRDefault="004728BB" w:rsidP="004728BB">
            <w:pPr>
              <w:pStyle w:val="TAL"/>
              <w:rPr>
                <w:rFonts w:cs="Arial"/>
                <w:szCs w:val="18"/>
              </w:rPr>
            </w:pPr>
            <w:r w:rsidRPr="000A0A5F">
              <w:rPr>
                <w:rFonts w:cs="Arial"/>
                <w:szCs w:val="18"/>
              </w:rPr>
              <w:t>The value shall be between 0.01 and 1.00 with a step size of 0.01, represented as string.</w:t>
            </w:r>
          </w:p>
          <w:p w:rsidR="004728BB" w:rsidRPr="000A0A5F" w:rsidRDefault="004728BB" w:rsidP="004728BB">
            <w:pPr>
              <w:pStyle w:val="TAL"/>
              <w:rPr>
                <w:rFonts w:cs="Arial"/>
                <w:szCs w:val="18"/>
              </w:rPr>
            </w:pPr>
          </w:p>
          <w:p w:rsidR="004728BB" w:rsidRPr="000A0A5F" w:rsidRDefault="004728BB" w:rsidP="004728BB">
            <w:pPr>
              <w:pStyle w:val="TAL"/>
              <w:rPr>
                <w:rFonts w:cs="Arial"/>
                <w:szCs w:val="18"/>
              </w:rPr>
            </w:pPr>
            <w:r w:rsidRPr="000A0A5F">
              <w:rPr>
                <w:rFonts w:cs="Arial"/>
                <w:szCs w:val="18"/>
              </w:rPr>
              <w:t>If not present, confidence level 1.00 applies.</w:t>
            </w:r>
          </w:p>
          <w:p w:rsidR="004728BB" w:rsidRPr="000A0A5F" w:rsidRDefault="004728BB" w:rsidP="004728BB">
            <w:pPr>
              <w:pStyle w:val="TAL"/>
              <w:rPr>
                <w:rFonts w:cs="Arial"/>
                <w:szCs w:val="18"/>
              </w:rPr>
            </w:pPr>
          </w:p>
          <w:p w:rsidR="004728BB" w:rsidRPr="000A0A5F" w:rsidRDefault="004728BB" w:rsidP="004728BB">
            <w:pPr>
              <w:pStyle w:val="TAL"/>
              <w:rPr>
                <w:rFonts w:cs="Arial"/>
                <w:szCs w:val="18"/>
                <w:lang w:eastAsia="zh-CN"/>
              </w:rPr>
            </w:pPr>
            <w:r w:rsidRPr="000A0A5F">
              <w:rPr>
                <w:lang w:eastAsia="zh-CN"/>
              </w:rPr>
              <w:t xml:space="preserve">Pattern: </w:t>
            </w:r>
            <w:r w:rsidRPr="000A0A5F">
              <w:rPr>
                <w:rFonts w:cs="Arial"/>
                <w:szCs w:val="18"/>
              </w:rPr>
              <w:t>'^[0]\.[0-9]{2}|[1.00]$'</w:t>
            </w:r>
          </w:p>
        </w:tc>
        <w:tc>
          <w:tcPr>
            <w:tcW w:w="1256" w:type="dxa"/>
          </w:tcPr>
          <w:p w:rsidR="004728BB" w:rsidRPr="000A0A5F" w:rsidRDefault="004728BB" w:rsidP="004728BB">
            <w:pPr>
              <w:pStyle w:val="TAL"/>
              <w:rPr>
                <w:lang w:eastAsia="zh-CN"/>
              </w:rPr>
            </w:pPr>
            <w:r w:rsidRPr="000A0A5F">
              <w:t>ConfAccuLevels</w:t>
            </w:r>
          </w:p>
        </w:tc>
      </w:tr>
      <w:tr w:rsidR="004728BB" w:rsidRPr="000A0A5F" w:rsidTr="00EF7E64">
        <w:trPr>
          <w:jc w:val="center"/>
        </w:trPr>
        <w:tc>
          <w:tcPr>
            <w:tcW w:w="2250" w:type="dxa"/>
            <w:shd w:val="clear" w:color="auto" w:fill="auto"/>
          </w:tcPr>
          <w:p w:rsidR="004728BB" w:rsidRPr="000A0A5F" w:rsidRDefault="004728BB" w:rsidP="004728BB">
            <w:pPr>
              <w:pStyle w:val="TAL"/>
              <w:rPr>
                <w:lang w:eastAsia="zh-CN"/>
              </w:rPr>
            </w:pPr>
            <w:r w:rsidRPr="000A0A5F">
              <w:rPr>
                <w:lang w:eastAsia="zh-CN"/>
              </w:rPr>
              <w:t>accuracyLevel</w:t>
            </w:r>
          </w:p>
        </w:tc>
        <w:tc>
          <w:tcPr>
            <w:tcW w:w="1418" w:type="dxa"/>
            <w:shd w:val="clear" w:color="auto" w:fill="auto"/>
          </w:tcPr>
          <w:p w:rsidR="004728BB" w:rsidRPr="000A0A5F" w:rsidRDefault="004728BB" w:rsidP="004728BB">
            <w:pPr>
              <w:pStyle w:val="TAL"/>
              <w:rPr>
                <w:lang w:eastAsia="zh-CN"/>
              </w:rPr>
            </w:pPr>
            <w:r w:rsidRPr="000A0A5F">
              <w:rPr>
                <w:noProof/>
              </w:rPr>
              <w:t>string</w:t>
            </w:r>
          </w:p>
        </w:tc>
        <w:tc>
          <w:tcPr>
            <w:tcW w:w="1133" w:type="dxa"/>
            <w:shd w:val="clear" w:color="auto" w:fill="auto"/>
          </w:tcPr>
          <w:p w:rsidR="004728BB" w:rsidRPr="000A0A5F" w:rsidRDefault="004728BB" w:rsidP="004728BB">
            <w:pPr>
              <w:pStyle w:val="TAL"/>
            </w:pPr>
            <w:r w:rsidRPr="000A0A5F">
              <w:rPr>
                <w:lang w:val="en-US" w:eastAsia="zh-CN"/>
              </w:rPr>
              <w:t>0..1</w:t>
            </w:r>
          </w:p>
        </w:tc>
        <w:tc>
          <w:tcPr>
            <w:tcW w:w="3545" w:type="dxa"/>
            <w:shd w:val="clear" w:color="auto" w:fill="auto"/>
            <w:vAlign w:val="center"/>
          </w:tcPr>
          <w:p w:rsidR="004728BB" w:rsidRPr="000A0A5F" w:rsidRDefault="004728BB" w:rsidP="004728BB">
            <w:pPr>
              <w:pStyle w:val="TAL"/>
              <w:rPr>
                <w:rFonts w:cs="Arial"/>
                <w:szCs w:val="18"/>
              </w:rPr>
            </w:pPr>
            <w:r w:rsidRPr="000A0A5F">
              <w:rPr>
                <w:rFonts w:cs="Arial"/>
                <w:szCs w:val="18"/>
              </w:rPr>
              <w:t xml:space="preserve">When present, this IE indicates the </w:t>
            </w:r>
            <w:r w:rsidRPr="000A0A5F">
              <w:t>accuracy level for the associated Expected UE Behaviour parameter</w:t>
            </w:r>
            <w:r w:rsidRPr="000A0A5F">
              <w:rPr>
                <w:rFonts w:cs="Arial"/>
                <w:szCs w:val="18"/>
              </w:rPr>
              <w:t>.</w:t>
            </w:r>
          </w:p>
          <w:p w:rsidR="004728BB" w:rsidRPr="000A0A5F" w:rsidRDefault="004728BB" w:rsidP="004728BB">
            <w:pPr>
              <w:pStyle w:val="TAL"/>
              <w:rPr>
                <w:rFonts w:cs="Arial"/>
                <w:szCs w:val="18"/>
              </w:rPr>
            </w:pPr>
          </w:p>
          <w:p w:rsidR="004728BB" w:rsidRPr="000A0A5F" w:rsidRDefault="004728BB" w:rsidP="004728BB">
            <w:pPr>
              <w:pStyle w:val="TAL"/>
              <w:rPr>
                <w:rFonts w:cs="Arial"/>
                <w:szCs w:val="18"/>
              </w:rPr>
            </w:pPr>
            <w:r w:rsidRPr="000A0A5F">
              <w:rPr>
                <w:rFonts w:cs="Arial"/>
                <w:szCs w:val="18"/>
              </w:rPr>
              <w:t>The value shall be between 0.01 and 1.00 with a step size of 0.01, represented as string.</w:t>
            </w:r>
          </w:p>
          <w:p w:rsidR="004728BB" w:rsidRPr="000A0A5F" w:rsidRDefault="004728BB" w:rsidP="004728BB">
            <w:pPr>
              <w:pStyle w:val="TAL"/>
              <w:rPr>
                <w:rFonts w:cs="Arial"/>
                <w:szCs w:val="18"/>
              </w:rPr>
            </w:pPr>
          </w:p>
          <w:p w:rsidR="004728BB" w:rsidRPr="000A0A5F" w:rsidRDefault="004728BB" w:rsidP="004728BB">
            <w:pPr>
              <w:pStyle w:val="TAL"/>
              <w:rPr>
                <w:rFonts w:cs="Arial"/>
                <w:szCs w:val="18"/>
              </w:rPr>
            </w:pPr>
            <w:r w:rsidRPr="000A0A5F">
              <w:rPr>
                <w:rFonts w:cs="Arial"/>
                <w:szCs w:val="18"/>
              </w:rPr>
              <w:t>If not present, accuracy level 1.00 applies.</w:t>
            </w:r>
          </w:p>
          <w:p w:rsidR="004728BB" w:rsidRPr="000A0A5F" w:rsidRDefault="004728BB" w:rsidP="004728BB">
            <w:pPr>
              <w:pStyle w:val="TAL"/>
              <w:rPr>
                <w:rFonts w:cs="Arial"/>
                <w:szCs w:val="18"/>
              </w:rPr>
            </w:pPr>
          </w:p>
          <w:p w:rsidR="004728BB" w:rsidRPr="000A0A5F" w:rsidRDefault="004728BB" w:rsidP="004728BB">
            <w:pPr>
              <w:pStyle w:val="TAL"/>
              <w:rPr>
                <w:rFonts w:cs="Arial"/>
                <w:szCs w:val="18"/>
                <w:lang w:eastAsia="zh-CN"/>
              </w:rPr>
            </w:pPr>
            <w:r w:rsidRPr="000A0A5F">
              <w:rPr>
                <w:lang w:eastAsia="zh-CN"/>
              </w:rPr>
              <w:t xml:space="preserve">Pattern: </w:t>
            </w:r>
            <w:r w:rsidRPr="000A0A5F">
              <w:rPr>
                <w:rFonts w:cs="Arial"/>
                <w:szCs w:val="18"/>
              </w:rPr>
              <w:t>'^[0]\.[0-9]{2}|[1.00]$'</w:t>
            </w:r>
          </w:p>
        </w:tc>
        <w:tc>
          <w:tcPr>
            <w:tcW w:w="1256" w:type="dxa"/>
          </w:tcPr>
          <w:p w:rsidR="004728BB" w:rsidRPr="000A0A5F" w:rsidRDefault="004728BB" w:rsidP="004728BB">
            <w:pPr>
              <w:pStyle w:val="TAL"/>
              <w:rPr>
                <w:lang w:eastAsia="zh-CN"/>
              </w:rPr>
            </w:pPr>
            <w:r w:rsidRPr="000A0A5F">
              <w:t>ConfAccuLevels</w:t>
            </w:r>
          </w:p>
        </w:tc>
      </w:tr>
      <w:tr w:rsidR="004728BB" w:rsidRPr="000A0A5F" w:rsidTr="00FF0AF8">
        <w:trPr>
          <w:jc w:val="center"/>
        </w:trPr>
        <w:tc>
          <w:tcPr>
            <w:tcW w:w="9602" w:type="dxa"/>
            <w:gridSpan w:val="5"/>
            <w:shd w:val="clear" w:color="auto" w:fill="auto"/>
          </w:tcPr>
          <w:p w:rsidR="004728BB" w:rsidRPr="000A0A5F" w:rsidRDefault="004728BB" w:rsidP="004728BB">
            <w:pPr>
              <w:pStyle w:val="TAN"/>
            </w:pPr>
            <w:r w:rsidRPr="000A0A5F">
              <w:t>NOTE 1:</w:t>
            </w:r>
            <w:r w:rsidRPr="000A0A5F">
              <w:tab/>
              <w:t>Properties marked with a feature as defined in clause 5.10.4 are applicable as described in clause 5.2.7. If no features are indicated, the related property applies for all the features.</w:t>
            </w:r>
          </w:p>
          <w:p w:rsidR="004728BB" w:rsidRPr="000A0A5F" w:rsidRDefault="004728BB" w:rsidP="004728BB">
            <w:pPr>
              <w:pStyle w:val="TAN"/>
            </w:pPr>
            <w:r w:rsidRPr="000A0A5F">
              <w:t>NOTE 2:</w:t>
            </w:r>
            <w:r w:rsidRPr="000A0A5F">
              <w:tab/>
              <w:t xml:space="preserve">The first instance of the attribute represents the start of the location, and the last one represents the stop of the location. </w:t>
            </w:r>
          </w:p>
          <w:p w:rsidR="004728BB" w:rsidRPr="000A0A5F" w:rsidRDefault="004728BB" w:rsidP="004728BB">
            <w:pPr>
              <w:pStyle w:val="TAN"/>
            </w:pPr>
            <w:r w:rsidRPr="000A0A5F">
              <w:t>NOTE 3:</w:t>
            </w:r>
            <w:r w:rsidRPr="000A0A5F">
              <w:tab/>
              <w:t>If "BATTERY_RECHARGE" is provided, "BATTERY_NO_RECHARGE" shall not be provided simultaneously, vice versa</w:t>
            </w:r>
            <w:r w:rsidRPr="000A0A5F">
              <w:rPr>
                <w:rFonts w:hint="eastAsia"/>
                <w:lang w:eastAsia="zh-CN"/>
              </w:rPr>
              <w:t xml:space="preserve">; </w:t>
            </w:r>
            <w:r w:rsidRPr="000A0A5F">
              <w:t xml:space="preserve">If "BATTERY_REPLACE" is provided, "BATTERY_NO_REPLACE" shall not be provided simultaneously, vice versa; If "NO_BATTERY" is provided, any value indicating UE powered with battery shall not be provided simultaneously, vice versa. </w:t>
            </w:r>
          </w:p>
          <w:p w:rsidR="004728BB" w:rsidRPr="000A0A5F" w:rsidRDefault="004728BB" w:rsidP="004728BB">
            <w:pPr>
              <w:pStyle w:val="TAN"/>
            </w:pPr>
            <w:r w:rsidRPr="000A0A5F">
              <w:t>NOTE 4:</w:t>
            </w:r>
            <w:r w:rsidRPr="000A0A5F">
              <w:tab/>
              <w:t>A setId can only belong to one "Individual CP Provisioning Subscription" resource.</w:t>
            </w:r>
          </w:p>
          <w:p w:rsidR="004728BB" w:rsidRPr="000A0A5F" w:rsidRDefault="004728BB" w:rsidP="004728BB">
            <w:pPr>
              <w:pStyle w:val="TAN"/>
            </w:pPr>
            <w:r w:rsidRPr="000A0A5F">
              <w:t>NOTE 5:</w:t>
            </w:r>
            <w:r w:rsidRPr="000A0A5F">
              <w:tab/>
              <w:t>The "</w:t>
            </w:r>
            <w:r w:rsidRPr="000A0A5F">
              <w:rPr>
                <w:lang w:eastAsia="zh-CN"/>
              </w:rPr>
              <w:t xml:space="preserve">expectedUmtDaysAdd" attribute </w:t>
            </w:r>
            <w:r w:rsidRPr="000A0A5F">
              <w:rPr>
                <w:rStyle w:val="ui-provider"/>
              </w:rPr>
              <w:t>may only be provided to indicate the additional day(s) if the "</w:t>
            </w:r>
            <w:r w:rsidRPr="000A0A5F">
              <w:rPr>
                <w:lang w:eastAsia="zh-CN"/>
              </w:rPr>
              <w:t>expectedUmtDays" attribute</w:t>
            </w:r>
            <w:r w:rsidRPr="000A0A5F">
              <w:rPr>
                <w:rStyle w:val="ui-provider"/>
              </w:rPr>
              <w:t xml:space="preserve"> is also provided</w:t>
            </w:r>
            <w:r w:rsidRPr="000A0A5F">
              <w:t>.</w:t>
            </w:r>
          </w:p>
        </w:tc>
      </w:tr>
    </w:tbl>
    <w:p w:rsidR="00CB0DD7" w:rsidRPr="000A0A5F" w:rsidRDefault="00CB0DD7"/>
    <w:p w:rsidR="00CB0DD7" w:rsidRPr="000A0A5F" w:rsidRDefault="00CB0DD7">
      <w:pPr>
        <w:pStyle w:val="Heading5"/>
      </w:pPr>
      <w:bookmarkStart w:id="7209" w:name="_Toc11247727"/>
      <w:bookmarkStart w:id="7210" w:name="_Toc27044866"/>
      <w:bookmarkStart w:id="7211" w:name="_Toc36033908"/>
      <w:bookmarkStart w:id="7212" w:name="_Toc45132054"/>
      <w:bookmarkStart w:id="7213" w:name="_Toc49776339"/>
      <w:bookmarkStart w:id="7214" w:name="_Toc51747259"/>
      <w:bookmarkStart w:id="7215" w:name="_Toc66360832"/>
      <w:bookmarkStart w:id="7216" w:name="_Toc68105337"/>
      <w:bookmarkStart w:id="7217" w:name="_Toc74755967"/>
      <w:bookmarkStart w:id="7218" w:name="_Toc105674843"/>
      <w:bookmarkStart w:id="7219" w:name="_Toc130502903"/>
      <w:bookmarkStart w:id="7220" w:name="_Toc153625690"/>
      <w:r w:rsidRPr="000A0A5F">
        <w:t>5.10.2.2.3</w:t>
      </w:r>
      <w:r w:rsidRPr="000A0A5F">
        <w:tab/>
        <w:t xml:space="preserve">Type: </w:t>
      </w:r>
      <w:r w:rsidRPr="000A0A5F">
        <w:rPr>
          <w:rFonts w:eastAsia="Times New Roman"/>
        </w:rPr>
        <w:t>ScheduledCommunicationTime</w:t>
      </w:r>
      <w:bookmarkEnd w:id="7209"/>
      <w:bookmarkEnd w:id="7210"/>
      <w:bookmarkEnd w:id="7211"/>
      <w:bookmarkEnd w:id="7212"/>
      <w:bookmarkEnd w:id="7213"/>
      <w:bookmarkEnd w:id="7214"/>
      <w:bookmarkEnd w:id="7215"/>
      <w:bookmarkEnd w:id="7216"/>
      <w:bookmarkEnd w:id="7217"/>
      <w:bookmarkEnd w:id="7218"/>
      <w:bookmarkEnd w:id="7219"/>
      <w:bookmarkEnd w:id="7220"/>
    </w:p>
    <w:p w:rsidR="00CB0DD7" w:rsidRPr="000A0A5F" w:rsidRDefault="00CB0DD7">
      <w:r w:rsidRPr="000A0A5F">
        <w:t>This data type represents an offered scheduled communication time.</w:t>
      </w:r>
    </w:p>
    <w:p w:rsidR="00CB0DD7" w:rsidRPr="000A0A5F" w:rsidRDefault="00CB0DD7">
      <w:pPr>
        <w:pStyle w:val="TH"/>
      </w:pPr>
      <w:r w:rsidRPr="000A0A5F">
        <w:rPr>
          <w:noProof/>
        </w:rPr>
        <w:t>Table </w:t>
      </w:r>
      <w:r w:rsidRPr="000A0A5F">
        <w:t xml:space="preserve">5.10.2.2.3-1: </w:t>
      </w:r>
      <w:r w:rsidRPr="000A0A5F">
        <w:rPr>
          <w:noProof/>
        </w:rPr>
        <w:t xml:space="preserve">Definition of type </w:t>
      </w:r>
      <w:r w:rsidRPr="000A0A5F">
        <w:t>ScheduledCommunicationTime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948"/>
        <w:gridCol w:w="1862"/>
        <w:gridCol w:w="1540"/>
        <w:gridCol w:w="2995"/>
        <w:gridCol w:w="1257"/>
        <w:tblGridChange w:id="7221">
          <w:tblGrid>
            <w:gridCol w:w="1948"/>
            <w:gridCol w:w="1862"/>
            <w:gridCol w:w="1540"/>
            <w:gridCol w:w="2995"/>
            <w:gridCol w:w="1257"/>
          </w:tblGrid>
        </w:tblGridChange>
      </w:tblGrid>
      <w:tr w:rsidR="00CB0DD7" w:rsidRPr="000A0A5F" w:rsidTr="00FF0AF8">
        <w:trPr>
          <w:jc w:val="center"/>
        </w:trPr>
        <w:tc>
          <w:tcPr>
            <w:tcW w:w="1948" w:type="dxa"/>
            <w:shd w:val="clear" w:color="auto" w:fill="C0C0C0"/>
          </w:tcPr>
          <w:p w:rsidR="00CB0DD7" w:rsidRPr="000A0A5F" w:rsidRDefault="00CB0DD7">
            <w:pPr>
              <w:pStyle w:val="TAH"/>
              <w:rPr>
                <w:rFonts w:eastAsia="Times New Roman"/>
              </w:rPr>
            </w:pPr>
            <w:r w:rsidRPr="000A0A5F">
              <w:rPr>
                <w:rFonts w:eastAsia="Times New Roman"/>
              </w:rPr>
              <w:t>Attribute name</w:t>
            </w:r>
          </w:p>
        </w:tc>
        <w:tc>
          <w:tcPr>
            <w:tcW w:w="1862" w:type="dxa"/>
            <w:shd w:val="clear" w:color="auto" w:fill="C0C0C0"/>
          </w:tcPr>
          <w:p w:rsidR="00CB0DD7" w:rsidRPr="000A0A5F" w:rsidRDefault="00CB0DD7">
            <w:pPr>
              <w:pStyle w:val="TAH"/>
              <w:rPr>
                <w:rFonts w:eastAsia="Times New Roman"/>
              </w:rPr>
            </w:pPr>
            <w:r w:rsidRPr="000A0A5F">
              <w:rPr>
                <w:rFonts w:eastAsia="Times New Roman"/>
              </w:rPr>
              <w:t>Data type</w:t>
            </w:r>
          </w:p>
        </w:tc>
        <w:tc>
          <w:tcPr>
            <w:tcW w:w="1540" w:type="dxa"/>
            <w:shd w:val="clear" w:color="auto" w:fill="C0C0C0"/>
          </w:tcPr>
          <w:p w:rsidR="00CB0DD7" w:rsidRPr="000A0A5F" w:rsidRDefault="00CB0DD7">
            <w:pPr>
              <w:pStyle w:val="TAH"/>
              <w:jc w:val="left"/>
              <w:rPr>
                <w:rFonts w:eastAsia="Times New Roman"/>
              </w:rPr>
            </w:pPr>
            <w:r w:rsidRPr="000A0A5F">
              <w:rPr>
                <w:rFonts w:eastAsia="Times New Roman"/>
              </w:rPr>
              <w:t>Cardinality</w:t>
            </w:r>
          </w:p>
        </w:tc>
        <w:tc>
          <w:tcPr>
            <w:tcW w:w="2995"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Description</w:t>
            </w:r>
          </w:p>
        </w:tc>
        <w:tc>
          <w:tcPr>
            <w:tcW w:w="1257"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Applicability (NOTE)</w:t>
            </w:r>
          </w:p>
        </w:tc>
      </w:tr>
      <w:tr w:rsidR="00CB0DD7" w:rsidRPr="000A0A5F" w:rsidTr="00FF0AF8">
        <w:trPr>
          <w:jc w:val="center"/>
        </w:trPr>
        <w:tc>
          <w:tcPr>
            <w:tcW w:w="1948" w:type="dxa"/>
            <w:shd w:val="clear" w:color="auto" w:fill="auto"/>
          </w:tcPr>
          <w:p w:rsidR="00CB0DD7" w:rsidRPr="000A0A5F" w:rsidRDefault="00CB0DD7">
            <w:pPr>
              <w:pStyle w:val="TAL"/>
              <w:rPr>
                <w:rFonts w:hint="eastAsia"/>
                <w:lang w:eastAsia="zh-CN"/>
              </w:rPr>
            </w:pPr>
            <w:r w:rsidRPr="000A0A5F">
              <w:rPr>
                <w:rFonts w:hint="eastAsia"/>
                <w:lang w:eastAsia="zh-CN"/>
              </w:rPr>
              <w:t>day</w:t>
            </w:r>
            <w:r w:rsidRPr="000A0A5F">
              <w:rPr>
                <w:lang w:eastAsia="zh-CN"/>
              </w:rPr>
              <w:t>s</w:t>
            </w:r>
            <w:r w:rsidRPr="000A0A5F">
              <w:rPr>
                <w:rFonts w:hint="eastAsia"/>
                <w:lang w:eastAsia="zh-CN"/>
              </w:rPr>
              <w:t>OfWeek</w:t>
            </w:r>
          </w:p>
        </w:tc>
        <w:tc>
          <w:tcPr>
            <w:tcW w:w="1862" w:type="dxa"/>
            <w:shd w:val="clear" w:color="auto" w:fill="auto"/>
          </w:tcPr>
          <w:p w:rsidR="00CB0DD7" w:rsidRPr="000A0A5F" w:rsidRDefault="00CB0DD7">
            <w:pPr>
              <w:pStyle w:val="TAL"/>
              <w:rPr>
                <w:rFonts w:hint="eastAsia"/>
                <w:lang w:eastAsia="zh-CN"/>
              </w:rPr>
            </w:pPr>
            <w:r w:rsidRPr="000A0A5F">
              <w:rPr>
                <w:lang w:eastAsia="zh-CN"/>
              </w:rPr>
              <w:t>a</w:t>
            </w:r>
            <w:r w:rsidRPr="000A0A5F">
              <w:rPr>
                <w:rFonts w:hint="eastAsia"/>
                <w:lang w:eastAsia="zh-CN"/>
              </w:rPr>
              <w:t>rray(</w:t>
            </w:r>
            <w:r w:rsidRPr="000A0A5F">
              <w:rPr>
                <w:lang w:eastAsia="zh-CN"/>
              </w:rPr>
              <w:t>DayOfWeek)</w:t>
            </w:r>
          </w:p>
        </w:tc>
        <w:tc>
          <w:tcPr>
            <w:tcW w:w="1540" w:type="dxa"/>
            <w:shd w:val="clear" w:color="auto" w:fill="auto"/>
          </w:tcPr>
          <w:p w:rsidR="00CB0DD7" w:rsidRPr="000A0A5F" w:rsidRDefault="00CB0DD7">
            <w:pPr>
              <w:pStyle w:val="TAL"/>
              <w:rPr>
                <w:rFonts w:eastAsia="Times New Roman"/>
              </w:rPr>
            </w:pPr>
            <w:r w:rsidRPr="000A0A5F">
              <w:rPr>
                <w:rFonts w:eastAsia="Times New Roman"/>
              </w:rPr>
              <w:t>0..6</w:t>
            </w:r>
          </w:p>
        </w:tc>
        <w:tc>
          <w:tcPr>
            <w:tcW w:w="2995" w:type="dxa"/>
            <w:shd w:val="clear" w:color="auto" w:fill="auto"/>
          </w:tcPr>
          <w:p w:rsidR="00CB0DD7" w:rsidRPr="000A0A5F" w:rsidRDefault="00CB0DD7">
            <w:pPr>
              <w:pStyle w:val="TAL"/>
              <w:rPr>
                <w:rFonts w:cs="Arial" w:hint="eastAsia"/>
                <w:szCs w:val="18"/>
                <w:lang w:eastAsia="zh-CN"/>
              </w:rPr>
            </w:pPr>
            <w:r w:rsidRPr="000A0A5F">
              <w:rPr>
                <w:rFonts w:cs="Arial" w:hint="eastAsia"/>
                <w:szCs w:val="18"/>
                <w:lang w:eastAsia="zh-CN"/>
              </w:rPr>
              <w:t xml:space="preserve">Identifies </w:t>
            </w:r>
            <w:r w:rsidRPr="000A0A5F">
              <w:rPr>
                <w:rFonts w:cs="Arial"/>
                <w:szCs w:val="18"/>
                <w:lang w:eastAsia="zh-CN"/>
              </w:rPr>
              <w:t>the day(s) of the week. If absent, it indicates every day of the week.</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rPr>
                <w:rFonts w:hint="eastAsia"/>
                <w:lang w:eastAsia="zh-CN"/>
              </w:rPr>
            </w:pPr>
            <w:r w:rsidRPr="000A0A5F">
              <w:rPr>
                <w:rFonts w:hint="eastAsia"/>
                <w:lang w:eastAsia="zh-CN"/>
              </w:rPr>
              <w:t>time</w:t>
            </w:r>
            <w:r w:rsidRPr="000A0A5F">
              <w:rPr>
                <w:lang w:eastAsia="zh-CN"/>
              </w:rPr>
              <w:t>OfDayStart</w:t>
            </w:r>
          </w:p>
        </w:tc>
        <w:tc>
          <w:tcPr>
            <w:tcW w:w="1862" w:type="dxa"/>
            <w:shd w:val="clear" w:color="auto" w:fill="auto"/>
          </w:tcPr>
          <w:p w:rsidR="00CB0DD7" w:rsidRPr="000A0A5F" w:rsidRDefault="00CB0DD7">
            <w:pPr>
              <w:pStyle w:val="TAL"/>
              <w:rPr>
                <w:rFonts w:hint="eastAsia"/>
                <w:lang w:eastAsia="zh-CN"/>
              </w:rPr>
            </w:pPr>
            <w:r w:rsidRPr="000A0A5F">
              <w:rPr>
                <w:rFonts w:hint="eastAsia"/>
                <w:lang w:eastAsia="zh-CN"/>
              </w:rPr>
              <w:t>TimeOfDay</w:t>
            </w:r>
          </w:p>
        </w:tc>
        <w:tc>
          <w:tcPr>
            <w:tcW w:w="1540" w:type="dxa"/>
            <w:shd w:val="clear" w:color="auto" w:fill="auto"/>
          </w:tcPr>
          <w:p w:rsidR="00CB0DD7" w:rsidRPr="000A0A5F" w:rsidRDefault="00CB0DD7">
            <w:pPr>
              <w:pStyle w:val="TAL"/>
              <w:rPr>
                <w:rFonts w:hint="eastAsia"/>
                <w:lang w:eastAsia="zh-CN"/>
              </w:rPr>
            </w:pPr>
            <w:r w:rsidRPr="000A0A5F">
              <w:rPr>
                <w:rFonts w:hint="eastAsia"/>
                <w:lang w:eastAsia="zh-CN"/>
              </w:rPr>
              <w:t>0..1</w:t>
            </w:r>
          </w:p>
        </w:tc>
        <w:tc>
          <w:tcPr>
            <w:tcW w:w="2995" w:type="dxa"/>
            <w:shd w:val="clear" w:color="auto" w:fill="auto"/>
          </w:tcPr>
          <w:p w:rsidR="00CB0DD7" w:rsidRPr="000A0A5F" w:rsidRDefault="00CB0DD7">
            <w:pPr>
              <w:pStyle w:val="TAL"/>
              <w:rPr>
                <w:rFonts w:cs="Arial" w:hint="eastAsia"/>
                <w:szCs w:val="18"/>
                <w:lang w:eastAsia="zh-CN"/>
              </w:rPr>
            </w:pPr>
            <w:r w:rsidRPr="000A0A5F">
              <w:rPr>
                <w:rFonts w:cs="Arial" w:hint="eastAsia"/>
                <w:szCs w:val="18"/>
                <w:lang w:eastAsia="zh-CN"/>
              </w:rPr>
              <w:t>Identifies the start time of the day</w:t>
            </w:r>
            <w:r w:rsidRPr="000A0A5F">
              <w:rPr>
                <w:rFonts w:cs="Arial"/>
                <w:szCs w:val="18"/>
                <w:lang w:eastAsia="zh-CN"/>
              </w:rPr>
              <w:t>.</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rPr>
                <w:rFonts w:hint="eastAsia"/>
                <w:lang w:eastAsia="zh-CN"/>
              </w:rPr>
            </w:pPr>
            <w:r w:rsidRPr="000A0A5F">
              <w:rPr>
                <w:rFonts w:hint="eastAsia"/>
                <w:lang w:eastAsia="zh-CN"/>
              </w:rPr>
              <w:t>timeOfDay</w:t>
            </w:r>
            <w:r w:rsidRPr="000A0A5F">
              <w:rPr>
                <w:lang w:eastAsia="zh-CN"/>
              </w:rPr>
              <w:t>End</w:t>
            </w:r>
          </w:p>
        </w:tc>
        <w:tc>
          <w:tcPr>
            <w:tcW w:w="1862" w:type="dxa"/>
            <w:shd w:val="clear" w:color="auto" w:fill="auto"/>
          </w:tcPr>
          <w:p w:rsidR="00CB0DD7" w:rsidRPr="000A0A5F" w:rsidRDefault="00CB0DD7">
            <w:pPr>
              <w:pStyle w:val="TAL"/>
              <w:rPr>
                <w:rFonts w:hint="eastAsia"/>
                <w:lang w:eastAsia="zh-CN"/>
              </w:rPr>
            </w:pPr>
            <w:r w:rsidRPr="000A0A5F">
              <w:rPr>
                <w:rFonts w:hint="eastAsia"/>
                <w:lang w:eastAsia="zh-CN"/>
              </w:rPr>
              <w:t>TimeOfDay</w:t>
            </w:r>
          </w:p>
        </w:tc>
        <w:tc>
          <w:tcPr>
            <w:tcW w:w="1540" w:type="dxa"/>
            <w:shd w:val="clear" w:color="auto" w:fill="auto"/>
          </w:tcPr>
          <w:p w:rsidR="00CB0DD7" w:rsidRPr="000A0A5F" w:rsidRDefault="00CB0DD7">
            <w:pPr>
              <w:pStyle w:val="TAL"/>
              <w:rPr>
                <w:rFonts w:hint="eastAsia"/>
                <w:lang w:eastAsia="zh-CN"/>
              </w:rPr>
            </w:pPr>
            <w:r w:rsidRPr="000A0A5F">
              <w:rPr>
                <w:rFonts w:hint="eastAsia"/>
                <w:lang w:eastAsia="zh-CN"/>
              </w:rPr>
              <w:t>0..1</w:t>
            </w:r>
          </w:p>
        </w:tc>
        <w:tc>
          <w:tcPr>
            <w:tcW w:w="2995" w:type="dxa"/>
            <w:shd w:val="clear" w:color="auto" w:fill="auto"/>
          </w:tcPr>
          <w:p w:rsidR="00CB0DD7" w:rsidRPr="000A0A5F" w:rsidRDefault="00CB0DD7">
            <w:pPr>
              <w:pStyle w:val="TAL"/>
              <w:rPr>
                <w:rFonts w:cs="Arial" w:hint="eastAsia"/>
                <w:szCs w:val="18"/>
                <w:lang w:eastAsia="zh-CN"/>
              </w:rPr>
            </w:pPr>
            <w:r w:rsidRPr="000A0A5F">
              <w:rPr>
                <w:rFonts w:cs="Arial" w:hint="eastAsia"/>
                <w:szCs w:val="18"/>
                <w:lang w:eastAsia="zh-CN"/>
              </w:rPr>
              <w:t>Identifies the end time of the day</w:t>
            </w:r>
            <w:r w:rsidRPr="000A0A5F">
              <w:rPr>
                <w:rFonts w:cs="Arial"/>
                <w:szCs w:val="18"/>
                <w:lang w:eastAsia="zh-CN"/>
              </w:rPr>
              <w:t>.</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9602" w:type="dxa"/>
            <w:gridSpan w:val="5"/>
            <w:shd w:val="clear" w:color="auto" w:fill="auto"/>
          </w:tcPr>
          <w:p w:rsidR="00CB0DD7" w:rsidRPr="000A0A5F" w:rsidRDefault="00CB0DD7">
            <w:pPr>
              <w:pStyle w:val="TAN"/>
            </w:pPr>
            <w:r w:rsidRPr="000A0A5F">
              <w:t>NOTE:</w:t>
            </w:r>
            <w:r w:rsidRPr="000A0A5F">
              <w:tab/>
              <w:t>Properties marked with a feature as defined in subclause 5.10.4 are applicable as described in subclause 5.2.7. If no features are indicated, the related property applies for all the features.</w:t>
            </w:r>
          </w:p>
        </w:tc>
      </w:tr>
    </w:tbl>
    <w:p w:rsidR="00CB0DD7" w:rsidRPr="000A0A5F" w:rsidRDefault="00CB0DD7">
      <w:pPr>
        <w:rPr>
          <w:lang w:eastAsia="zh-CN"/>
        </w:rPr>
      </w:pPr>
    </w:p>
    <w:p w:rsidR="00CB0DD7" w:rsidRPr="000A0A5F" w:rsidRDefault="00CB0DD7">
      <w:pPr>
        <w:pStyle w:val="Heading5"/>
      </w:pPr>
      <w:bookmarkStart w:id="7222" w:name="_Toc11247728"/>
      <w:bookmarkStart w:id="7223" w:name="_Toc27044867"/>
      <w:bookmarkStart w:id="7224" w:name="_Toc36033909"/>
      <w:bookmarkStart w:id="7225" w:name="_Toc45132055"/>
      <w:bookmarkStart w:id="7226" w:name="_Toc49776340"/>
      <w:bookmarkStart w:id="7227" w:name="_Toc51747260"/>
      <w:bookmarkStart w:id="7228" w:name="_Toc66360833"/>
      <w:bookmarkStart w:id="7229" w:name="_Toc68105338"/>
      <w:bookmarkStart w:id="7230" w:name="_Toc74755968"/>
      <w:bookmarkStart w:id="7231" w:name="_Toc105674844"/>
      <w:bookmarkStart w:id="7232" w:name="_Toc130502904"/>
      <w:bookmarkStart w:id="7233" w:name="_Toc153625691"/>
      <w:r w:rsidRPr="000A0A5F">
        <w:t>5.10.2.2.4</w:t>
      </w:r>
      <w:r w:rsidRPr="000A0A5F">
        <w:tab/>
        <w:t xml:space="preserve">Type: </w:t>
      </w:r>
      <w:r w:rsidRPr="000A0A5F">
        <w:rPr>
          <w:noProof/>
        </w:rPr>
        <w:t>CpReport</w:t>
      </w:r>
      <w:bookmarkEnd w:id="7222"/>
      <w:bookmarkEnd w:id="7223"/>
      <w:bookmarkEnd w:id="7224"/>
      <w:bookmarkEnd w:id="7225"/>
      <w:bookmarkEnd w:id="7226"/>
      <w:bookmarkEnd w:id="7227"/>
      <w:bookmarkEnd w:id="7228"/>
      <w:bookmarkEnd w:id="7229"/>
      <w:bookmarkEnd w:id="7230"/>
      <w:bookmarkEnd w:id="7231"/>
      <w:bookmarkEnd w:id="7232"/>
      <w:bookmarkEnd w:id="7233"/>
    </w:p>
    <w:p w:rsidR="00CB0DD7" w:rsidRPr="000A0A5F" w:rsidRDefault="00CB0DD7">
      <w:r w:rsidRPr="000A0A5F">
        <w:t>This type represents a CP report to indicate the CP set identifier(s) which CP parameter(s) are not added or modified successfully and corresponding failure reason.</w:t>
      </w:r>
    </w:p>
    <w:p w:rsidR="00CB0DD7" w:rsidRPr="000A0A5F" w:rsidRDefault="00CB0DD7">
      <w:pPr>
        <w:pStyle w:val="TH"/>
        <w:rPr>
          <w:noProof/>
        </w:rPr>
      </w:pPr>
      <w:r w:rsidRPr="000A0A5F">
        <w:rPr>
          <w:noProof/>
        </w:rPr>
        <w:t>Table 5.10.2.2.4-1: Definition of type CpReport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843"/>
        <w:gridCol w:w="2126"/>
        <w:gridCol w:w="1276"/>
        <w:gridCol w:w="3118"/>
        <w:gridCol w:w="1257"/>
      </w:tblGrid>
      <w:tr w:rsidR="00CB0DD7" w:rsidRPr="000A0A5F" w:rsidTr="00FF0AF8">
        <w:trPr>
          <w:jc w:val="center"/>
        </w:trPr>
        <w:tc>
          <w:tcPr>
            <w:tcW w:w="1843" w:type="dxa"/>
            <w:shd w:val="clear" w:color="auto" w:fill="C0C0C0"/>
          </w:tcPr>
          <w:p w:rsidR="00CB0DD7" w:rsidRPr="000A0A5F" w:rsidRDefault="00CB0DD7">
            <w:pPr>
              <w:pStyle w:val="TAH"/>
              <w:rPr>
                <w:rFonts w:eastAsia="Times New Roman"/>
              </w:rPr>
            </w:pPr>
            <w:r w:rsidRPr="000A0A5F">
              <w:rPr>
                <w:rFonts w:eastAsia="Times New Roman"/>
              </w:rPr>
              <w:t>Attribute name</w:t>
            </w:r>
          </w:p>
        </w:tc>
        <w:tc>
          <w:tcPr>
            <w:tcW w:w="2126" w:type="dxa"/>
            <w:shd w:val="clear" w:color="auto" w:fill="C0C0C0"/>
          </w:tcPr>
          <w:p w:rsidR="00CB0DD7" w:rsidRPr="000A0A5F" w:rsidRDefault="00CB0DD7">
            <w:pPr>
              <w:pStyle w:val="TAH"/>
              <w:rPr>
                <w:rFonts w:eastAsia="Times New Roman"/>
              </w:rPr>
            </w:pPr>
            <w:r w:rsidRPr="000A0A5F">
              <w:rPr>
                <w:rFonts w:eastAsia="Times New Roman"/>
              </w:rPr>
              <w:t>Data type</w:t>
            </w:r>
          </w:p>
        </w:tc>
        <w:tc>
          <w:tcPr>
            <w:tcW w:w="1276" w:type="dxa"/>
            <w:shd w:val="clear" w:color="auto" w:fill="C0C0C0"/>
          </w:tcPr>
          <w:p w:rsidR="00CB0DD7" w:rsidRPr="000A0A5F" w:rsidRDefault="00CB0DD7">
            <w:pPr>
              <w:pStyle w:val="TAH"/>
              <w:jc w:val="left"/>
              <w:rPr>
                <w:rFonts w:eastAsia="Times New Roman"/>
              </w:rPr>
            </w:pPr>
            <w:r w:rsidRPr="000A0A5F">
              <w:rPr>
                <w:rFonts w:eastAsia="Times New Roman"/>
              </w:rPr>
              <w:t>Cardinality</w:t>
            </w:r>
          </w:p>
        </w:tc>
        <w:tc>
          <w:tcPr>
            <w:tcW w:w="3118"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Description</w:t>
            </w:r>
          </w:p>
        </w:tc>
        <w:tc>
          <w:tcPr>
            <w:tcW w:w="1257"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Applicability (NOTE)</w:t>
            </w:r>
          </w:p>
        </w:tc>
      </w:tr>
      <w:tr w:rsidR="00CB0DD7" w:rsidRPr="000A0A5F" w:rsidTr="00FF0AF8">
        <w:trPr>
          <w:jc w:val="center"/>
        </w:trPr>
        <w:tc>
          <w:tcPr>
            <w:tcW w:w="1843" w:type="dxa"/>
            <w:shd w:val="clear" w:color="auto" w:fill="auto"/>
          </w:tcPr>
          <w:p w:rsidR="00CB0DD7" w:rsidRPr="000A0A5F" w:rsidRDefault="00CB0DD7">
            <w:pPr>
              <w:pStyle w:val="TAL"/>
              <w:rPr>
                <w:rFonts w:hint="eastAsia"/>
                <w:lang w:eastAsia="zh-CN"/>
              </w:rPr>
            </w:pPr>
            <w:r w:rsidRPr="000A0A5F">
              <w:rPr>
                <w:lang w:eastAsia="zh-CN"/>
              </w:rPr>
              <w:t>set</w:t>
            </w:r>
            <w:r w:rsidRPr="000A0A5F">
              <w:rPr>
                <w:rFonts w:hint="eastAsia"/>
                <w:lang w:eastAsia="zh-CN"/>
              </w:rPr>
              <w:t>Id</w:t>
            </w:r>
            <w:r w:rsidRPr="000A0A5F">
              <w:rPr>
                <w:lang w:eastAsia="zh-CN"/>
              </w:rPr>
              <w:t>s</w:t>
            </w:r>
          </w:p>
        </w:tc>
        <w:tc>
          <w:tcPr>
            <w:tcW w:w="2126" w:type="dxa"/>
            <w:shd w:val="clear" w:color="auto" w:fill="auto"/>
          </w:tcPr>
          <w:p w:rsidR="00CB0DD7" w:rsidRPr="000A0A5F" w:rsidRDefault="00CB0DD7">
            <w:pPr>
              <w:pStyle w:val="TAL"/>
              <w:rPr>
                <w:rFonts w:hint="eastAsia"/>
                <w:lang w:eastAsia="zh-CN"/>
              </w:rPr>
            </w:pPr>
            <w:r w:rsidRPr="000A0A5F">
              <w:rPr>
                <w:lang w:eastAsia="zh-CN"/>
              </w:rPr>
              <w:t>array(</w:t>
            </w:r>
            <w:r w:rsidRPr="000A0A5F">
              <w:rPr>
                <w:rFonts w:hint="eastAsia"/>
                <w:lang w:eastAsia="zh-CN"/>
              </w:rPr>
              <w:t>string</w:t>
            </w:r>
            <w:r w:rsidRPr="000A0A5F">
              <w:rPr>
                <w:lang w:eastAsia="zh-CN"/>
              </w:rPr>
              <w:t>)</w:t>
            </w:r>
          </w:p>
        </w:tc>
        <w:tc>
          <w:tcPr>
            <w:tcW w:w="1276" w:type="dxa"/>
            <w:shd w:val="clear" w:color="auto" w:fill="auto"/>
          </w:tcPr>
          <w:p w:rsidR="00CB0DD7" w:rsidRPr="000A0A5F" w:rsidRDefault="00CB0DD7">
            <w:pPr>
              <w:pStyle w:val="TAL"/>
              <w:rPr>
                <w:rFonts w:cs="Arial" w:hint="eastAsia"/>
                <w:szCs w:val="18"/>
                <w:lang w:eastAsia="zh-CN"/>
              </w:rPr>
            </w:pPr>
            <w:r w:rsidRPr="000A0A5F">
              <w:rPr>
                <w:rFonts w:cs="Arial"/>
                <w:szCs w:val="18"/>
                <w:lang w:eastAsia="zh-CN"/>
              </w:rPr>
              <w:t>0..N</w:t>
            </w:r>
          </w:p>
        </w:tc>
        <w:tc>
          <w:tcPr>
            <w:tcW w:w="3118" w:type="dxa"/>
            <w:shd w:val="clear" w:color="auto" w:fill="auto"/>
          </w:tcPr>
          <w:p w:rsidR="00CB0DD7" w:rsidRPr="000A0A5F" w:rsidRDefault="00CB0DD7">
            <w:pPr>
              <w:pStyle w:val="TAL"/>
              <w:rPr>
                <w:rFonts w:eastAsia="Times New Roman" w:cs="Arial"/>
                <w:szCs w:val="18"/>
              </w:rPr>
            </w:pPr>
            <w:r w:rsidRPr="000A0A5F">
              <w:rPr>
                <w:rFonts w:eastAsia="Times New Roman" w:cs="Arial"/>
                <w:szCs w:val="18"/>
              </w:rPr>
              <w:t xml:space="preserve">Identifies </w:t>
            </w:r>
            <w:r w:rsidRPr="000A0A5F">
              <w:t>the CP set identifier(s) which CP parameter(s) are not added or modified successfully</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843" w:type="dxa"/>
            <w:shd w:val="clear" w:color="auto" w:fill="auto"/>
          </w:tcPr>
          <w:p w:rsidR="00CB0DD7" w:rsidRPr="000A0A5F" w:rsidRDefault="00CB0DD7">
            <w:pPr>
              <w:pStyle w:val="TAL"/>
              <w:rPr>
                <w:lang w:eastAsia="zh-CN"/>
              </w:rPr>
            </w:pPr>
            <w:r w:rsidRPr="000A0A5F">
              <w:rPr>
                <w:lang w:eastAsia="zh-CN"/>
              </w:rPr>
              <w:t>failureCode</w:t>
            </w:r>
          </w:p>
        </w:tc>
        <w:tc>
          <w:tcPr>
            <w:tcW w:w="2126" w:type="dxa"/>
            <w:shd w:val="clear" w:color="auto" w:fill="auto"/>
          </w:tcPr>
          <w:p w:rsidR="00CB0DD7" w:rsidRPr="000A0A5F" w:rsidRDefault="00CB0DD7">
            <w:pPr>
              <w:pStyle w:val="TAL"/>
              <w:rPr>
                <w:rFonts w:hint="eastAsia"/>
                <w:lang w:eastAsia="zh-CN"/>
              </w:rPr>
            </w:pPr>
            <w:r w:rsidRPr="000A0A5F">
              <w:rPr>
                <w:lang w:eastAsia="zh-CN"/>
              </w:rPr>
              <w:t>CpFailureCode</w:t>
            </w:r>
          </w:p>
        </w:tc>
        <w:tc>
          <w:tcPr>
            <w:tcW w:w="1276" w:type="dxa"/>
            <w:shd w:val="clear" w:color="auto" w:fill="auto"/>
          </w:tcPr>
          <w:p w:rsidR="00CB0DD7" w:rsidRPr="000A0A5F" w:rsidRDefault="00CB0DD7">
            <w:pPr>
              <w:pStyle w:val="TAL"/>
              <w:rPr>
                <w:rFonts w:cs="Arial" w:hint="eastAsia"/>
                <w:szCs w:val="18"/>
                <w:lang w:eastAsia="zh-CN"/>
              </w:rPr>
            </w:pPr>
            <w:r w:rsidRPr="000A0A5F">
              <w:rPr>
                <w:rFonts w:cs="Arial"/>
                <w:szCs w:val="18"/>
                <w:lang w:eastAsia="zh-CN"/>
              </w:rPr>
              <w:t>1</w:t>
            </w:r>
          </w:p>
        </w:tc>
        <w:tc>
          <w:tcPr>
            <w:tcW w:w="3118" w:type="dxa"/>
            <w:shd w:val="clear" w:color="auto" w:fill="auto"/>
          </w:tcPr>
          <w:p w:rsidR="00CB0DD7" w:rsidRPr="000A0A5F" w:rsidRDefault="00CB0DD7">
            <w:pPr>
              <w:pStyle w:val="TAL"/>
              <w:rPr>
                <w:rFonts w:eastAsia="Times New Roman" w:cs="Arial"/>
                <w:szCs w:val="18"/>
              </w:rPr>
            </w:pPr>
            <w:r w:rsidRPr="000A0A5F">
              <w:rPr>
                <w:rFonts w:eastAsia="Times New Roman" w:cs="Arial"/>
                <w:szCs w:val="18"/>
              </w:rPr>
              <w:t>Identifies the failure reason</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9620" w:type="dxa"/>
            <w:gridSpan w:val="5"/>
            <w:shd w:val="clear" w:color="auto" w:fill="auto"/>
          </w:tcPr>
          <w:p w:rsidR="00CB0DD7" w:rsidRPr="000A0A5F" w:rsidRDefault="00CB0DD7">
            <w:pPr>
              <w:pStyle w:val="TAN"/>
              <w:rPr>
                <w:rFonts w:hint="eastAsia"/>
                <w:lang w:eastAsia="zh-CN"/>
              </w:rPr>
            </w:pPr>
            <w:r w:rsidRPr="000A0A5F">
              <w:t>NOTE:</w:t>
            </w:r>
            <w:r w:rsidRPr="000A0A5F">
              <w:tab/>
              <w:t>Properties marked with a feature as defined in subclause 5.10.4 are applicable as described in subclause 5.2.7. If no features are indicated, the related property applies for all the features.</w:t>
            </w:r>
          </w:p>
        </w:tc>
      </w:tr>
    </w:tbl>
    <w:p w:rsidR="00CB0DD7" w:rsidRPr="000A0A5F" w:rsidRDefault="00CB0DD7">
      <w:pPr>
        <w:rPr>
          <w:lang w:eastAsia="zh-CN"/>
        </w:rPr>
      </w:pPr>
    </w:p>
    <w:p w:rsidR="007B538E" w:rsidRPr="000A0A5F" w:rsidRDefault="007B538E">
      <w:pPr>
        <w:rPr>
          <w:lang w:eastAsia="zh-CN"/>
        </w:rPr>
      </w:pPr>
    </w:p>
    <w:p w:rsidR="00CB0DD7" w:rsidRPr="000A0A5F" w:rsidRDefault="00CB0DD7">
      <w:pPr>
        <w:pStyle w:val="Heading5"/>
      </w:pPr>
      <w:bookmarkStart w:id="7234" w:name="_Toc27044868"/>
      <w:bookmarkStart w:id="7235" w:name="_Toc36033910"/>
      <w:bookmarkStart w:id="7236" w:name="_Toc45132056"/>
      <w:bookmarkStart w:id="7237" w:name="_Toc49776341"/>
      <w:bookmarkStart w:id="7238" w:name="_Toc51747261"/>
      <w:bookmarkStart w:id="7239" w:name="_Toc66360834"/>
      <w:bookmarkStart w:id="7240" w:name="_Toc68105339"/>
      <w:bookmarkStart w:id="7241" w:name="_Toc74755969"/>
      <w:bookmarkStart w:id="7242" w:name="_Toc105674845"/>
      <w:bookmarkStart w:id="7243" w:name="_Toc130502905"/>
      <w:bookmarkStart w:id="7244" w:name="_Toc153625692"/>
      <w:r w:rsidRPr="000A0A5F">
        <w:t>5.10.2.2.5</w:t>
      </w:r>
      <w:r w:rsidRPr="000A0A5F">
        <w:tab/>
        <w:t>Type: Umt</w:t>
      </w:r>
      <w:r w:rsidRPr="000A0A5F">
        <w:rPr>
          <w:lang w:eastAsia="zh-CN"/>
        </w:rPr>
        <w:t>LocationArea5G</w:t>
      </w:r>
      <w:bookmarkEnd w:id="7234"/>
      <w:bookmarkEnd w:id="7235"/>
      <w:bookmarkEnd w:id="7236"/>
      <w:bookmarkEnd w:id="7237"/>
      <w:bookmarkEnd w:id="7238"/>
      <w:bookmarkEnd w:id="7239"/>
      <w:bookmarkEnd w:id="7240"/>
      <w:bookmarkEnd w:id="7241"/>
      <w:bookmarkEnd w:id="7242"/>
      <w:bookmarkEnd w:id="7243"/>
      <w:bookmarkEnd w:id="7244"/>
    </w:p>
    <w:p w:rsidR="00CB0DD7" w:rsidRPr="000A0A5F" w:rsidRDefault="00CB0DD7">
      <w:r w:rsidRPr="000A0A5F">
        <w:t>This data type represents the user location area describing the UE moving trajectory which is sent from the AF.</w:t>
      </w:r>
    </w:p>
    <w:p w:rsidR="00CB0DD7" w:rsidRPr="000A0A5F" w:rsidRDefault="00CB0DD7">
      <w:pPr>
        <w:pStyle w:val="TH"/>
      </w:pPr>
      <w:r w:rsidRPr="000A0A5F">
        <w:t>Table 5.10.2.2.5-1: Definition of the UmtLocationArea5G data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843"/>
        <w:gridCol w:w="2126"/>
        <w:gridCol w:w="1276"/>
        <w:gridCol w:w="3118"/>
        <w:gridCol w:w="1257"/>
      </w:tblGrid>
      <w:tr w:rsidR="00CB0DD7" w:rsidRPr="000A0A5F" w:rsidTr="00FF0AF8">
        <w:trPr>
          <w:jc w:val="center"/>
        </w:trPr>
        <w:tc>
          <w:tcPr>
            <w:tcW w:w="1843" w:type="dxa"/>
            <w:shd w:val="clear" w:color="auto" w:fill="C0C0C0"/>
          </w:tcPr>
          <w:p w:rsidR="00CB0DD7" w:rsidRPr="000A0A5F" w:rsidRDefault="00CB0DD7">
            <w:pPr>
              <w:pStyle w:val="TAH"/>
              <w:rPr>
                <w:rFonts w:eastAsia="Times New Roman"/>
              </w:rPr>
            </w:pPr>
            <w:r w:rsidRPr="000A0A5F">
              <w:rPr>
                <w:rFonts w:eastAsia="Times New Roman"/>
              </w:rPr>
              <w:t>Attribute name</w:t>
            </w:r>
          </w:p>
        </w:tc>
        <w:tc>
          <w:tcPr>
            <w:tcW w:w="2126" w:type="dxa"/>
            <w:shd w:val="clear" w:color="auto" w:fill="C0C0C0"/>
          </w:tcPr>
          <w:p w:rsidR="00CB0DD7" w:rsidRPr="000A0A5F" w:rsidRDefault="00CB0DD7">
            <w:pPr>
              <w:pStyle w:val="TAH"/>
              <w:rPr>
                <w:rFonts w:eastAsia="Times New Roman"/>
              </w:rPr>
            </w:pPr>
            <w:r w:rsidRPr="000A0A5F">
              <w:rPr>
                <w:rFonts w:eastAsia="Times New Roman"/>
              </w:rPr>
              <w:t>Data type</w:t>
            </w:r>
          </w:p>
        </w:tc>
        <w:tc>
          <w:tcPr>
            <w:tcW w:w="1276" w:type="dxa"/>
            <w:shd w:val="clear" w:color="auto" w:fill="C0C0C0"/>
          </w:tcPr>
          <w:p w:rsidR="00CB0DD7" w:rsidRPr="000A0A5F" w:rsidRDefault="00CB0DD7">
            <w:pPr>
              <w:pStyle w:val="TAH"/>
              <w:jc w:val="left"/>
              <w:rPr>
                <w:rFonts w:eastAsia="Times New Roman"/>
              </w:rPr>
            </w:pPr>
            <w:r w:rsidRPr="000A0A5F">
              <w:rPr>
                <w:rFonts w:eastAsia="Times New Roman"/>
              </w:rPr>
              <w:t>Cardinality</w:t>
            </w:r>
          </w:p>
        </w:tc>
        <w:tc>
          <w:tcPr>
            <w:tcW w:w="3118"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Description</w:t>
            </w:r>
          </w:p>
        </w:tc>
        <w:tc>
          <w:tcPr>
            <w:tcW w:w="1257"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Applicability (NOTE 1)</w:t>
            </w:r>
          </w:p>
        </w:tc>
      </w:tr>
      <w:tr w:rsidR="00CB0DD7" w:rsidRPr="000A0A5F" w:rsidTr="00FF0AF8">
        <w:trPr>
          <w:jc w:val="center"/>
        </w:trPr>
        <w:tc>
          <w:tcPr>
            <w:tcW w:w="1843" w:type="dxa"/>
            <w:shd w:val="clear" w:color="auto" w:fill="auto"/>
            <w:vAlign w:val="center"/>
          </w:tcPr>
          <w:p w:rsidR="00CB0DD7" w:rsidRPr="000A0A5F" w:rsidRDefault="00CB0DD7">
            <w:pPr>
              <w:pStyle w:val="TAL"/>
              <w:rPr>
                <w:lang w:eastAsia="zh-CN"/>
              </w:rPr>
            </w:pPr>
            <w:r w:rsidRPr="000A0A5F">
              <w:t>umtTime</w:t>
            </w:r>
          </w:p>
        </w:tc>
        <w:tc>
          <w:tcPr>
            <w:tcW w:w="2126" w:type="dxa"/>
            <w:shd w:val="clear" w:color="auto" w:fill="auto"/>
          </w:tcPr>
          <w:p w:rsidR="00CB0DD7" w:rsidRPr="000A0A5F" w:rsidRDefault="00CB0DD7">
            <w:pPr>
              <w:pStyle w:val="TAL"/>
              <w:rPr>
                <w:lang w:eastAsia="zh-CN"/>
              </w:rPr>
            </w:pPr>
            <w:r w:rsidRPr="000A0A5F">
              <w:t>TimeOfDay</w:t>
            </w:r>
          </w:p>
        </w:tc>
        <w:tc>
          <w:tcPr>
            <w:tcW w:w="1276" w:type="dxa"/>
            <w:shd w:val="clear" w:color="auto" w:fill="auto"/>
          </w:tcPr>
          <w:p w:rsidR="00CB0DD7" w:rsidRPr="000A0A5F" w:rsidRDefault="00CB0DD7">
            <w:pPr>
              <w:pStyle w:val="TAL"/>
              <w:rPr>
                <w:rFonts w:cs="Arial"/>
                <w:szCs w:val="18"/>
                <w:lang w:eastAsia="zh-CN"/>
              </w:rPr>
            </w:pPr>
            <w:r w:rsidRPr="000A0A5F">
              <w:rPr>
                <w:lang w:eastAsia="zh-CN"/>
              </w:rPr>
              <w:t>0..1</w:t>
            </w:r>
          </w:p>
        </w:tc>
        <w:tc>
          <w:tcPr>
            <w:tcW w:w="3118" w:type="dxa"/>
            <w:shd w:val="clear" w:color="auto" w:fill="auto"/>
          </w:tcPr>
          <w:p w:rsidR="00CB0DD7" w:rsidRPr="000A0A5F" w:rsidRDefault="00CB0DD7">
            <w:pPr>
              <w:pStyle w:val="TAL"/>
              <w:rPr>
                <w:rFonts w:eastAsia="Times New Roman" w:cs="Arial"/>
                <w:szCs w:val="18"/>
              </w:rPr>
            </w:pPr>
            <w:r w:rsidRPr="000A0A5F">
              <w:rPr>
                <w:rFonts w:cs="Arial"/>
                <w:szCs w:val="18"/>
                <w:lang w:eastAsia="zh-CN"/>
              </w:rPr>
              <w:t>This IE identifies the time of the day when the UE arrives the location.</w:t>
            </w:r>
          </w:p>
        </w:tc>
        <w:tc>
          <w:tcPr>
            <w:tcW w:w="1257" w:type="dxa"/>
          </w:tcPr>
          <w:p w:rsidR="00CB0DD7" w:rsidRPr="000A0A5F" w:rsidRDefault="00CB0DD7">
            <w:pPr>
              <w:pStyle w:val="TAL"/>
              <w:rPr>
                <w:rFonts w:eastAsia="Times New Roman" w:cs="Arial"/>
                <w:szCs w:val="18"/>
              </w:rPr>
            </w:pPr>
            <w:r w:rsidRPr="000A0A5F">
              <w:rPr>
                <w:lang w:eastAsia="zh-CN"/>
              </w:rPr>
              <w:t>ExpectedUmtTime_5G</w:t>
            </w:r>
          </w:p>
        </w:tc>
      </w:tr>
      <w:tr w:rsidR="00CB0DD7" w:rsidRPr="000A0A5F" w:rsidTr="00FF0AF8">
        <w:trPr>
          <w:jc w:val="center"/>
        </w:trPr>
        <w:tc>
          <w:tcPr>
            <w:tcW w:w="1843" w:type="dxa"/>
            <w:shd w:val="clear" w:color="auto" w:fill="auto"/>
            <w:vAlign w:val="center"/>
          </w:tcPr>
          <w:p w:rsidR="00CB0DD7" w:rsidRPr="000A0A5F" w:rsidRDefault="00CB0DD7">
            <w:pPr>
              <w:pStyle w:val="TAL"/>
            </w:pPr>
            <w:r w:rsidRPr="000A0A5F">
              <w:t>umtDuration</w:t>
            </w:r>
          </w:p>
        </w:tc>
        <w:tc>
          <w:tcPr>
            <w:tcW w:w="2126" w:type="dxa"/>
            <w:shd w:val="clear" w:color="auto" w:fill="auto"/>
          </w:tcPr>
          <w:p w:rsidR="00CB0DD7" w:rsidRPr="000A0A5F" w:rsidRDefault="00CB0DD7">
            <w:pPr>
              <w:pStyle w:val="TAL"/>
            </w:pPr>
            <w:r w:rsidRPr="000A0A5F">
              <w:t>DurationSec</w:t>
            </w:r>
          </w:p>
        </w:tc>
        <w:tc>
          <w:tcPr>
            <w:tcW w:w="1276" w:type="dxa"/>
            <w:shd w:val="clear" w:color="auto" w:fill="auto"/>
          </w:tcPr>
          <w:p w:rsidR="00CB0DD7" w:rsidRPr="000A0A5F" w:rsidRDefault="00CB0DD7">
            <w:pPr>
              <w:pStyle w:val="TAL"/>
              <w:rPr>
                <w:lang w:eastAsia="zh-CN"/>
              </w:rPr>
            </w:pPr>
            <w:r w:rsidRPr="000A0A5F">
              <w:rPr>
                <w:lang w:eastAsia="zh-CN"/>
              </w:rPr>
              <w:t>0..1</w:t>
            </w:r>
          </w:p>
        </w:tc>
        <w:tc>
          <w:tcPr>
            <w:tcW w:w="3118" w:type="dxa"/>
            <w:shd w:val="clear" w:color="auto" w:fill="auto"/>
          </w:tcPr>
          <w:p w:rsidR="00CB0DD7" w:rsidRPr="000A0A5F" w:rsidRDefault="00CB0DD7">
            <w:pPr>
              <w:pStyle w:val="TAL"/>
              <w:rPr>
                <w:rFonts w:cs="Arial"/>
                <w:szCs w:val="18"/>
                <w:lang w:eastAsia="zh-CN"/>
              </w:rPr>
            </w:pPr>
            <w:r w:rsidRPr="000A0A5F">
              <w:rPr>
                <w:rFonts w:cs="Arial"/>
                <w:szCs w:val="18"/>
                <w:lang w:eastAsia="zh-CN"/>
              </w:rPr>
              <w:t>This IE identifies the time duration the UE stays in the location.</w:t>
            </w:r>
          </w:p>
        </w:tc>
        <w:tc>
          <w:tcPr>
            <w:tcW w:w="1257" w:type="dxa"/>
          </w:tcPr>
          <w:p w:rsidR="00CB0DD7" w:rsidRPr="000A0A5F" w:rsidRDefault="00CB0DD7">
            <w:pPr>
              <w:pStyle w:val="TAL"/>
              <w:rPr>
                <w:rFonts w:eastAsia="Times New Roman" w:cs="Arial"/>
                <w:szCs w:val="18"/>
              </w:rPr>
            </w:pPr>
            <w:r w:rsidRPr="000A0A5F">
              <w:rPr>
                <w:lang w:eastAsia="zh-CN"/>
              </w:rPr>
              <w:t>ExpectedUmtTime_5G</w:t>
            </w:r>
          </w:p>
        </w:tc>
      </w:tr>
      <w:tr w:rsidR="00CB0DD7" w:rsidRPr="000A0A5F" w:rsidTr="00FF0AF8">
        <w:trPr>
          <w:jc w:val="center"/>
        </w:trPr>
        <w:tc>
          <w:tcPr>
            <w:tcW w:w="9620" w:type="dxa"/>
            <w:gridSpan w:val="5"/>
            <w:shd w:val="clear" w:color="auto" w:fill="auto"/>
          </w:tcPr>
          <w:p w:rsidR="00CB0DD7" w:rsidRPr="000A0A5F" w:rsidRDefault="00CB0DD7">
            <w:pPr>
              <w:pStyle w:val="TAN"/>
            </w:pPr>
            <w:r w:rsidRPr="000A0A5F">
              <w:t>NOTE 1:</w:t>
            </w:r>
            <w:r w:rsidRPr="000A0A5F">
              <w:tab/>
              <w:t>Properties marked with a feature as defined in clause 5.10.4 are applicable as described in clause 5.2.7. If no features are indicated, the related property applies for all the features.</w:t>
            </w:r>
          </w:p>
          <w:p w:rsidR="00CB0DD7" w:rsidRPr="000A0A5F" w:rsidRDefault="00CB0DD7">
            <w:pPr>
              <w:pStyle w:val="TAN"/>
              <w:rPr>
                <w:rFonts w:hint="eastAsia"/>
                <w:lang w:eastAsia="zh-CN"/>
              </w:rPr>
            </w:pPr>
            <w:r w:rsidRPr="000A0A5F">
              <w:rPr>
                <w:rFonts w:cs="Arial"/>
                <w:szCs w:val="18"/>
              </w:rPr>
              <w:t>NOTE 2:</w:t>
            </w:r>
            <w:r w:rsidRPr="000A0A5F">
              <w:tab/>
              <w:t>This data type also contains all the properties defined for LocationArea5G data type, these properties are applicable for ExpectedUMT_5G.</w:t>
            </w:r>
          </w:p>
        </w:tc>
      </w:tr>
    </w:tbl>
    <w:p w:rsidR="00CB0DD7" w:rsidRPr="000A0A5F" w:rsidRDefault="00CB0DD7">
      <w:pPr>
        <w:rPr>
          <w:lang w:eastAsia="zh-CN"/>
        </w:rPr>
      </w:pPr>
    </w:p>
    <w:p w:rsidR="007B538E" w:rsidRPr="000A0A5F" w:rsidRDefault="007B538E" w:rsidP="007B538E">
      <w:pPr>
        <w:pStyle w:val="Heading5"/>
      </w:pPr>
      <w:bookmarkStart w:id="7245" w:name="_Toc114212056"/>
      <w:bookmarkStart w:id="7246" w:name="_Toc129203353"/>
      <w:bookmarkStart w:id="7247" w:name="_Toc153625693"/>
      <w:r w:rsidRPr="000A0A5F">
        <w:t>5.10.2.2.6</w:t>
      </w:r>
      <w:r w:rsidRPr="000A0A5F">
        <w:tab/>
        <w:t xml:space="preserve">Type: </w:t>
      </w:r>
      <w:bookmarkEnd w:id="7245"/>
      <w:bookmarkEnd w:id="7246"/>
      <w:r w:rsidRPr="000A0A5F">
        <w:t>AppExpUeBehaviour</w:t>
      </w:r>
      <w:bookmarkEnd w:id="7247"/>
    </w:p>
    <w:p w:rsidR="007B538E" w:rsidRPr="000A0A5F" w:rsidRDefault="007B538E" w:rsidP="007B538E">
      <w:pPr>
        <w:pStyle w:val="TH"/>
      </w:pPr>
      <w:r w:rsidRPr="000A0A5F">
        <w:rPr>
          <w:noProof/>
        </w:rPr>
        <w:t>Table </w:t>
      </w:r>
      <w:r w:rsidRPr="000A0A5F">
        <w:t xml:space="preserve">5.10.2.2.6-1: </w:t>
      </w:r>
      <w:r w:rsidRPr="000A0A5F">
        <w:rPr>
          <w:noProof/>
        </w:rPr>
        <w:t>Definition of type AppExpUeBehaviour</w:t>
      </w:r>
    </w:p>
    <w:tbl>
      <w:tblPr>
        <w:tblW w:w="943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023"/>
        <w:gridCol w:w="1558"/>
        <w:gridCol w:w="709"/>
        <w:gridCol w:w="1134"/>
        <w:gridCol w:w="2662"/>
        <w:gridCol w:w="1344"/>
      </w:tblGrid>
      <w:tr w:rsidR="007B538E" w:rsidRPr="000A0A5F" w:rsidTr="00C00F2D">
        <w:trPr>
          <w:trHeight w:val="128"/>
          <w:jc w:val="center"/>
        </w:trPr>
        <w:tc>
          <w:tcPr>
            <w:tcW w:w="2023" w:type="dxa"/>
            <w:shd w:val="clear" w:color="auto" w:fill="C0C0C0"/>
            <w:hideMark/>
          </w:tcPr>
          <w:p w:rsidR="007B538E" w:rsidRPr="000A0A5F" w:rsidRDefault="007B538E" w:rsidP="00C00F2D">
            <w:pPr>
              <w:pStyle w:val="TAH"/>
            </w:pPr>
            <w:r w:rsidRPr="000A0A5F">
              <w:t>Attribute name</w:t>
            </w:r>
          </w:p>
        </w:tc>
        <w:tc>
          <w:tcPr>
            <w:tcW w:w="1558" w:type="dxa"/>
            <w:shd w:val="clear" w:color="auto" w:fill="C0C0C0"/>
            <w:hideMark/>
          </w:tcPr>
          <w:p w:rsidR="007B538E" w:rsidRPr="000A0A5F" w:rsidRDefault="007B538E" w:rsidP="00C00F2D">
            <w:pPr>
              <w:pStyle w:val="TAH"/>
            </w:pPr>
            <w:r w:rsidRPr="000A0A5F">
              <w:t>Data type</w:t>
            </w:r>
          </w:p>
        </w:tc>
        <w:tc>
          <w:tcPr>
            <w:tcW w:w="709" w:type="dxa"/>
            <w:shd w:val="clear" w:color="auto" w:fill="C0C0C0"/>
            <w:hideMark/>
          </w:tcPr>
          <w:p w:rsidR="007B538E" w:rsidRPr="000A0A5F" w:rsidRDefault="007B538E" w:rsidP="00C00F2D">
            <w:pPr>
              <w:pStyle w:val="TAH"/>
            </w:pPr>
            <w:r w:rsidRPr="000A0A5F">
              <w:t>P</w:t>
            </w:r>
          </w:p>
        </w:tc>
        <w:tc>
          <w:tcPr>
            <w:tcW w:w="1134" w:type="dxa"/>
            <w:shd w:val="clear" w:color="auto" w:fill="C0C0C0"/>
            <w:hideMark/>
          </w:tcPr>
          <w:p w:rsidR="007B538E" w:rsidRPr="000A0A5F" w:rsidRDefault="007B538E" w:rsidP="00C00F2D">
            <w:pPr>
              <w:pStyle w:val="TAH"/>
            </w:pPr>
            <w:r w:rsidRPr="000A0A5F">
              <w:t>Cardinality</w:t>
            </w:r>
          </w:p>
        </w:tc>
        <w:tc>
          <w:tcPr>
            <w:tcW w:w="2662" w:type="dxa"/>
            <w:shd w:val="clear" w:color="auto" w:fill="C0C0C0"/>
            <w:hideMark/>
          </w:tcPr>
          <w:p w:rsidR="007B538E" w:rsidRPr="000A0A5F" w:rsidRDefault="007B538E" w:rsidP="00C00F2D">
            <w:pPr>
              <w:pStyle w:val="TAH"/>
            </w:pPr>
            <w:r w:rsidRPr="000A0A5F">
              <w:t>Description</w:t>
            </w:r>
          </w:p>
        </w:tc>
        <w:tc>
          <w:tcPr>
            <w:tcW w:w="1344" w:type="dxa"/>
            <w:shd w:val="clear" w:color="auto" w:fill="C0C0C0"/>
          </w:tcPr>
          <w:p w:rsidR="007B538E" w:rsidRPr="000A0A5F" w:rsidRDefault="007B538E" w:rsidP="00C00F2D">
            <w:pPr>
              <w:pStyle w:val="TAH"/>
            </w:pPr>
            <w:r w:rsidRPr="000A0A5F">
              <w:t>Applicability</w:t>
            </w:r>
          </w:p>
        </w:tc>
      </w:tr>
      <w:tr w:rsidR="007B538E" w:rsidRPr="000A0A5F" w:rsidTr="00C00F2D">
        <w:trPr>
          <w:trHeight w:val="128"/>
          <w:jc w:val="center"/>
        </w:trPr>
        <w:tc>
          <w:tcPr>
            <w:tcW w:w="2023" w:type="dxa"/>
          </w:tcPr>
          <w:p w:rsidR="007B538E" w:rsidRPr="000A0A5F" w:rsidRDefault="007B538E" w:rsidP="00C00F2D">
            <w:pPr>
              <w:pStyle w:val="TF"/>
              <w:keepNext/>
              <w:spacing w:after="0"/>
              <w:jc w:val="left"/>
              <w:rPr>
                <w:b w:val="0"/>
                <w:noProof/>
                <w:sz w:val="18"/>
                <w:szCs w:val="18"/>
              </w:rPr>
            </w:pPr>
            <w:r w:rsidRPr="000A0A5F">
              <w:rPr>
                <w:b w:val="0"/>
                <w:noProof/>
                <w:sz w:val="18"/>
                <w:szCs w:val="18"/>
              </w:rPr>
              <w:t>appId</w:t>
            </w:r>
          </w:p>
        </w:tc>
        <w:tc>
          <w:tcPr>
            <w:tcW w:w="1558" w:type="dxa"/>
          </w:tcPr>
          <w:p w:rsidR="007B538E" w:rsidRPr="000A0A5F" w:rsidRDefault="007B538E" w:rsidP="00C00F2D">
            <w:pPr>
              <w:pStyle w:val="TF"/>
              <w:keepNext/>
              <w:spacing w:after="0"/>
              <w:jc w:val="left"/>
              <w:rPr>
                <w:b w:val="0"/>
                <w:sz w:val="18"/>
                <w:szCs w:val="18"/>
              </w:rPr>
            </w:pPr>
            <w:r w:rsidRPr="000A0A5F">
              <w:rPr>
                <w:b w:val="0"/>
                <w:sz w:val="18"/>
                <w:szCs w:val="18"/>
              </w:rPr>
              <w:t>string</w:t>
            </w:r>
          </w:p>
        </w:tc>
        <w:tc>
          <w:tcPr>
            <w:tcW w:w="709" w:type="dxa"/>
          </w:tcPr>
          <w:p w:rsidR="007B538E" w:rsidRPr="000A0A5F" w:rsidRDefault="007B538E" w:rsidP="00C00F2D">
            <w:pPr>
              <w:pStyle w:val="TAC"/>
            </w:pPr>
            <w:r w:rsidRPr="000A0A5F">
              <w:t>C</w:t>
            </w:r>
          </w:p>
        </w:tc>
        <w:tc>
          <w:tcPr>
            <w:tcW w:w="1134" w:type="dxa"/>
          </w:tcPr>
          <w:p w:rsidR="007B538E" w:rsidRPr="000A0A5F" w:rsidRDefault="007B538E" w:rsidP="00C00F2D">
            <w:pPr>
              <w:pStyle w:val="TAC"/>
              <w:jc w:val="left"/>
            </w:pPr>
            <w:r w:rsidRPr="000A0A5F">
              <w:t>0..1</w:t>
            </w:r>
          </w:p>
        </w:tc>
        <w:tc>
          <w:tcPr>
            <w:tcW w:w="2662" w:type="dxa"/>
          </w:tcPr>
          <w:p w:rsidR="004728BB" w:rsidRPr="000A0A5F" w:rsidRDefault="004728BB" w:rsidP="004728BB">
            <w:pPr>
              <w:pStyle w:val="TAL"/>
              <w:rPr>
                <w:rFonts w:eastAsia="Times New Roman"/>
              </w:rPr>
            </w:pPr>
            <w:r w:rsidRPr="000A0A5F">
              <w:rPr>
                <w:rFonts w:cs="Arial"/>
                <w:szCs w:val="18"/>
                <w:lang w:eastAsia="zh-CN"/>
              </w:rPr>
              <w:t>Indicates the Application Identifier.</w:t>
            </w:r>
          </w:p>
          <w:p w:rsidR="007B538E" w:rsidRPr="000A0A5F" w:rsidRDefault="004728BB" w:rsidP="004728BB">
            <w:pPr>
              <w:pStyle w:val="TAL"/>
              <w:rPr>
                <w:rFonts w:cs="Arial"/>
                <w:szCs w:val="18"/>
                <w:lang w:eastAsia="zh-CN"/>
              </w:rPr>
            </w:pPr>
            <w:r w:rsidRPr="000A0A5F">
              <w:rPr>
                <w:rFonts w:eastAsia="Times New Roman"/>
              </w:rPr>
              <w:t>(NOTE</w:t>
            </w:r>
            <w:r w:rsidRPr="000A0A5F">
              <w:t> 1</w:t>
            </w:r>
            <w:r w:rsidRPr="000A0A5F">
              <w:rPr>
                <w:rFonts w:eastAsia="Times New Roman"/>
              </w:rPr>
              <w:t>)</w:t>
            </w:r>
          </w:p>
        </w:tc>
        <w:tc>
          <w:tcPr>
            <w:tcW w:w="1344" w:type="dxa"/>
          </w:tcPr>
          <w:p w:rsidR="007B538E" w:rsidRPr="000A0A5F" w:rsidRDefault="007B538E" w:rsidP="00C00F2D">
            <w:pPr>
              <w:pStyle w:val="TAL"/>
              <w:rPr>
                <w:rFonts w:cs="Arial"/>
                <w:szCs w:val="18"/>
              </w:rPr>
            </w:pPr>
          </w:p>
        </w:tc>
      </w:tr>
      <w:tr w:rsidR="007B538E" w:rsidRPr="000A0A5F" w:rsidTr="00C00F2D">
        <w:trPr>
          <w:trHeight w:val="128"/>
          <w:jc w:val="center"/>
        </w:trPr>
        <w:tc>
          <w:tcPr>
            <w:tcW w:w="2023" w:type="dxa"/>
            <w:tcBorders>
              <w:top w:val="single" w:sz="6" w:space="0" w:color="auto"/>
              <w:left w:val="single" w:sz="6" w:space="0" w:color="auto"/>
              <w:bottom w:val="single" w:sz="6" w:space="0" w:color="auto"/>
              <w:right w:val="single" w:sz="6" w:space="0" w:color="auto"/>
            </w:tcBorders>
          </w:tcPr>
          <w:p w:rsidR="007B538E" w:rsidRPr="000A0A5F" w:rsidRDefault="007B538E" w:rsidP="00C00F2D">
            <w:pPr>
              <w:pStyle w:val="TF"/>
              <w:keepNext/>
              <w:spacing w:after="0"/>
              <w:jc w:val="left"/>
              <w:rPr>
                <w:b w:val="0"/>
                <w:noProof/>
                <w:sz w:val="18"/>
                <w:szCs w:val="18"/>
              </w:rPr>
            </w:pPr>
            <w:r w:rsidRPr="000A0A5F">
              <w:rPr>
                <w:b w:val="0"/>
                <w:noProof/>
                <w:sz w:val="18"/>
                <w:szCs w:val="18"/>
              </w:rPr>
              <w:t>expPduSesInacTm</w:t>
            </w:r>
          </w:p>
        </w:tc>
        <w:tc>
          <w:tcPr>
            <w:tcW w:w="1558" w:type="dxa"/>
            <w:tcBorders>
              <w:top w:val="single" w:sz="6" w:space="0" w:color="auto"/>
              <w:left w:val="single" w:sz="6" w:space="0" w:color="auto"/>
              <w:bottom w:val="single" w:sz="6" w:space="0" w:color="auto"/>
              <w:right w:val="single" w:sz="6" w:space="0" w:color="auto"/>
            </w:tcBorders>
          </w:tcPr>
          <w:p w:rsidR="007B538E" w:rsidRPr="000A0A5F" w:rsidRDefault="007B538E" w:rsidP="00C00F2D">
            <w:pPr>
              <w:pStyle w:val="TF"/>
              <w:keepNext/>
              <w:spacing w:after="0"/>
              <w:jc w:val="left"/>
              <w:rPr>
                <w:b w:val="0"/>
                <w:sz w:val="18"/>
                <w:szCs w:val="18"/>
              </w:rPr>
            </w:pPr>
            <w:r w:rsidRPr="000A0A5F">
              <w:rPr>
                <w:b w:val="0"/>
                <w:sz w:val="18"/>
                <w:szCs w:val="18"/>
              </w:rPr>
              <w:t>TimeWindow</w:t>
            </w:r>
          </w:p>
        </w:tc>
        <w:tc>
          <w:tcPr>
            <w:tcW w:w="709" w:type="dxa"/>
            <w:tcBorders>
              <w:top w:val="single" w:sz="6" w:space="0" w:color="auto"/>
              <w:left w:val="single" w:sz="6" w:space="0" w:color="auto"/>
              <w:bottom w:val="single" w:sz="6" w:space="0" w:color="auto"/>
              <w:right w:val="single" w:sz="6" w:space="0" w:color="auto"/>
            </w:tcBorders>
          </w:tcPr>
          <w:p w:rsidR="007B538E" w:rsidRPr="000A0A5F" w:rsidRDefault="007B538E" w:rsidP="00C00F2D">
            <w:pPr>
              <w:pStyle w:val="TAC"/>
            </w:pPr>
            <w:r w:rsidRPr="000A0A5F">
              <w:t>O</w:t>
            </w:r>
          </w:p>
        </w:tc>
        <w:tc>
          <w:tcPr>
            <w:tcW w:w="1134" w:type="dxa"/>
            <w:tcBorders>
              <w:top w:val="single" w:sz="6" w:space="0" w:color="auto"/>
              <w:left w:val="single" w:sz="6" w:space="0" w:color="auto"/>
              <w:bottom w:val="single" w:sz="6" w:space="0" w:color="auto"/>
              <w:right w:val="single" w:sz="6" w:space="0" w:color="auto"/>
            </w:tcBorders>
          </w:tcPr>
          <w:p w:rsidR="007B538E" w:rsidRPr="000A0A5F" w:rsidRDefault="007B538E" w:rsidP="00C00F2D">
            <w:pPr>
              <w:pStyle w:val="TAC"/>
              <w:jc w:val="left"/>
            </w:pPr>
            <w:r w:rsidRPr="000A0A5F">
              <w:t>0..1</w:t>
            </w:r>
          </w:p>
        </w:tc>
        <w:tc>
          <w:tcPr>
            <w:tcW w:w="2662" w:type="dxa"/>
            <w:tcBorders>
              <w:top w:val="single" w:sz="6" w:space="0" w:color="auto"/>
              <w:left w:val="single" w:sz="6" w:space="0" w:color="auto"/>
              <w:bottom w:val="single" w:sz="6" w:space="0" w:color="auto"/>
              <w:right w:val="single" w:sz="6" w:space="0" w:color="auto"/>
            </w:tcBorders>
          </w:tcPr>
          <w:p w:rsidR="007B538E" w:rsidRPr="000A0A5F" w:rsidRDefault="007B538E" w:rsidP="00C00F2D">
            <w:pPr>
              <w:pStyle w:val="TAL"/>
              <w:rPr>
                <w:rFonts w:cs="Arial"/>
                <w:szCs w:val="18"/>
                <w:lang w:eastAsia="zh-CN"/>
              </w:rPr>
            </w:pPr>
            <w:r w:rsidRPr="000A0A5F">
              <w:rPr>
                <w:rFonts w:cs="Arial"/>
                <w:szCs w:val="18"/>
                <w:lang w:eastAsia="zh-CN"/>
              </w:rPr>
              <w:t>Identifies the expected PDU Session Inactivity time during which the UE will not have traffic related to the application.</w:t>
            </w:r>
          </w:p>
        </w:tc>
        <w:tc>
          <w:tcPr>
            <w:tcW w:w="1344" w:type="dxa"/>
            <w:tcBorders>
              <w:top w:val="single" w:sz="6" w:space="0" w:color="auto"/>
              <w:left w:val="single" w:sz="6" w:space="0" w:color="auto"/>
              <w:bottom w:val="single" w:sz="6" w:space="0" w:color="auto"/>
              <w:right w:val="single" w:sz="6" w:space="0" w:color="auto"/>
            </w:tcBorders>
          </w:tcPr>
          <w:p w:rsidR="007B538E" w:rsidRPr="000A0A5F" w:rsidRDefault="007B538E" w:rsidP="00C00F2D">
            <w:pPr>
              <w:pStyle w:val="TAL"/>
              <w:rPr>
                <w:rFonts w:cs="Arial"/>
                <w:szCs w:val="18"/>
              </w:rPr>
            </w:pPr>
          </w:p>
        </w:tc>
      </w:tr>
      <w:tr w:rsidR="004728BB" w:rsidRPr="000A0A5F" w:rsidTr="00C00F2D">
        <w:trPr>
          <w:trHeight w:val="128"/>
          <w:jc w:val="center"/>
        </w:trPr>
        <w:tc>
          <w:tcPr>
            <w:tcW w:w="2023" w:type="dxa"/>
          </w:tcPr>
          <w:p w:rsidR="004728BB" w:rsidRPr="000A0A5F" w:rsidRDefault="004728BB" w:rsidP="004728BB">
            <w:pPr>
              <w:pStyle w:val="TF"/>
              <w:keepNext/>
              <w:spacing w:after="0"/>
              <w:jc w:val="left"/>
              <w:rPr>
                <w:b w:val="0"/>
                <w:noProof/>
                <w:sz w:val="18"/>
                <w:szCs w:val="18"/>
              </w:rPr>
            </w:pPr>
            <w:r w:rsidRPr="000A0A5F">
              <w:rPr>
                <w:b w:val="0"/>
                <w:noProof/>
                <w:sz w:val="18"/>
                <w:szCs w:val="18"/>
              </w:rPr>
              <w:t>flowDescriptions</w:t>
            </w:r>
          </w:p>
        </w:tc>
        <w:tc>
          <w:tcPr>
            <w:tcW w:w="1558" w:type="dxa"/>
          </w:tcPr>
          <w:p w:rsidR="004728BB" w:rsidRPr="000A0A5F" w:rsidRDefault="004728BB" w:rsidP="004728BB">
            <w:pPr>
              <w:pStyle w:val="TF"/>
              <w:keepNext/>
              <w:spacing w:after="0"/>
              <w:jc w:val="left"/>
              <w:rPr>
                <w:b w:val="0"/>
                <w:sz w:val="18"/>
                <w:szCs w:val="18"/>
              </w:rPr>
            </w:pPr>
            <w:r w:rsidRPr="000A0A5F">
              <w:rPr>
                <w:b w:val="0"/>
                <w:sz w:val="18"/>
                <w:szCs w:val="18"/>
              </w:rPr>
              <w:t>array(string)</w:t>
            </w:r>
          </w:p>
        </w:tc>
        <w:tc>
          <w:tcPr>
            <w:tcW w:w="709" w:type="dxa"/>
          </w:tcPr>
          <w:p w:rsidR="004728BB" w:rsidRPr="000A0A5F" w:rsidRDefault="004728BB" w:rsidP="004728BB">
            <w:pPr>
              <w:pStyle w:val="TAC"/>
            </w:pPr>
            <w:r w:rsidRPr="000A0A5F">
              <w:t>C</w:t>
            </w:r>
          </w:p>
        </w:tc>
        <w:tc>
          <w:tcPr>
            <w:tcW w:w="1134" w:type="dxa"/>
          </w:tcPr>
          <w:p w:rsidR="004728BB" w:rsidRPr="000A0A5F" w:rsidRDefault="004728BB" w:rsidP="004728BB">
            <w:pPr>
              <w:pStyle w:val="TAC"/>
              <w:jc w:val="left"/>
            </w:pPr>
            <w:r w:rsidRPr="000A0A5F">
              <w:t>0..N</w:t>
            </w:r>
          </w:p>
        </w:tc>
        <w:tc>
          <w:tcPr>
            <w:tcW w:w="2662" w:type="dxa"/>
          </w:tcPr>
          <w:p w:rsidR="004728BB" w:rsidRPr="000A0A5F" w:rsidRDefault="004728BB" w:rsidP="004728BB">
            <w:pPr>
              <w:pStyle w:val="TAL"/>
            </w:pPr>
            <w:r w:rsidRPr="000A0A5F">
              <w:t>Represents a 3-tuple with protocol, server ip and server port for UL/DL application traffic. The content of the string has the same encoding as the IPFilterRule AVP value as defined in IETF RFC 6733 [46].</w:t>
            </w:r>
          </w:p>
          <w:p w:rsidR="004728BB" w:rsidRPr="000A0A5F" w:rsidRDefault="004728BB" w:rsidP="004728BB">
            <w:pPr>
              <w:pStyle w:val="TAL"/>
              <w:rPr>
                <w:rFonts w:cs="Arial"/>
                <w:szCs w:val="18"/>
                <w:lang w:eastAsia="zh-CN"/>
              </w:rPr>
            </w:pPr>
            <w:r w:rsidRPr="000A0A5F">
              <w:t>(NOTE 1)</w:t>
            </w:r>
          </w:p>
        </w:tc>
        <w:tc>
          <w:tcPr>
            <w:tcW w:w="1344" w:type="dxa"/>
          </w:tcPr>
          <w:p w:rsidR="004728BB" w:rsidRPr="000A0A5F" w:rsidRDefault="004728BB" w:rsidP="004728BB">
            <w:pPr>
              <w:pStyle w:val="TAL"/>
              <w:rPr>
                <w:rFonts w:cs="Arial"/>
                <w:szCs w:val="18"/>
              </w:rPr>
            </w:pPr>
          </w:p>
        </w:tc>
      </w:tr>
      <w:tr w:rsidR="004728BB" w:rsidRPr="000A0A5F" w:rsidTr="00EF7E64">
        <w:trPr>
          <w:trHeight w:val="128"/>
          <w:jc w:val="center"/>
        </w:trPr>
        <w:tc>
          <w:tcPr>
            <w:tcW w:w="2023" w:type="dxa"/>
          </w:tcPr>
          <w:p w:rsidR="004728BB" w:rsidRPr="000A0A5F" w:rsidRDefault="004728BB" w:rsidP="004728BB">
            <w:pPr>
              <w:pStyle w:val="TAL"/>
            </w:pPr>
            <w:r w:rsidRPr="000A0A5F">
              <w:rPr>
                <w:noProof/>
                <w:szCs w:val="18"/>
              </w:rPr>
              <w:t>confidenceLevel</w:t>
            </w:r>
          </w:p>
        </w:tc>
        <w:tc>
          <w:tcPr>
            <w:tcW w:w="1558" w:type="dxa"/>
          </w:tcPr>
          <w:p w:rsidR="004728BB" w:rsidRPr="000A0A5F" w:rsidRDefault="004728BB" w:rsidP="004728BB">
            <w:pPr>
              <w:pStyle w:val="TF"/>
              <w:keepNext/>
              <w:spacing w:after="0"/>
              <w:jc w:val="left"/>
              <w:rPr>
                <w:b w:val="0"/>
                <w:noProof/>
                <w:sz w:val="18"/>
                <w:szCs w:val="18"/>
              </w:rPr>
            </w:pPr>
            <w:r w:rsidRPr="000A0A5F">
              <w:rPr>
                <w:b w:val="0"/>
                <w:noProof/>
                <w:sz w:val="18"/>
                <w:szCs w:val="18"/>
              </w:rPr>
              <w:t>string</w:t>
            </w:r>
          </w:p>
        </w:tc>
        <w:tc>
          <w:tcPr>
            <w:tcW w:w="709" w:type="dxa"/>
          </w:tcPr>
          <w:p w:rsidR="004728BB" w:rsidRPr="000A0A5F" w:rsidRDefault="004728BB" w:rsidP="004728BB">
            <w:pPr>
              <w:pStyle w:val="TAC"/>
            </w:pPr>
            <w:r w:rsidRPr="000A0A5F">
              <w:t>O</w:t>
            </w:r>
          </w:p>
        </w:tc>
        <w:tc>
          <w:tcPr>
            <w:tcW w:w="1134" w:type="dxa"/>
          </w:tcPr>
          <w:p w:rsidR="004728BB" w:rsidRPr="000A0A5F" w:rsidRDefault="004728BB" w:rsidP="004728BB">
            <w:pPr>
              <w:pStyle w:val="TAC"/>
              <w:jc w:val="left"/>
            </w:pPr>
            <w:r w:rsidRPr="000A0A5F">
              <w:t>0..1</w:t>
            </w:r>
          </w:p>
        </w:tc>
        <w:tc>
          <w:tcPr>
            <w:tcW w:w="2662" w:type="dxa"/>
            <w:vAlign w:val="center"/>
          </w:tcPr>
          <w:p w:rsidR="004728BB" w:rsidRPr="000A0A5F" w:rsidRDefault="004728BB" w:rsidP="004728BB">
            <w:pPr>
              <w:pStyle w:val="TAL"/>
              <w:rPr>
                <w:rFonts w:cs="Arial"/>
                <w:szCs w:val="18"/>
              </w:rPr>
            </w:pPr>
            <w:r w:rsidRPr="000A0A5F">
              <w:rPr>
                <w:rFonts w:cs="Arial"/>
                <w:szCs w:val="18"/>
              </w:rPr>
              <w:t xml:space="preserve">When present, this IE indicates the </w:t>
            </w:r>
            <w:r w:rsidRPr="000A0A5F">
              <w:t>Confidence level for the associated Application-Specific Expected UE Behaviour parameter</w:t>
            </w:r>
            <w:r w:rsidRPr="000A0A5F">
              <w:rPr>
                <w:rFonts w:cs="Arial"/>
                <w:szCs w:val="18"/>
              </w:rPr>
              <w:t>.</w:t>
            </w:r>
          </w:p>
          <w:p w:rsidR="004728BB" w:rsidRPr="000A0A5F" w:rsidRDefault="004728BB" w:rsidP="004728BB">
            <w:pPr>
              <w:pStyle w:val="TAL"/>
              <w:rPr>
                <w:rFonts w:cs="Arial"/>
                <w:szCs w:val="18"/>
              </w:rPr>
            </w:pPr>
          </w:p>
          <w:p w:rsidR="004728BB" w:rsidRPr="000A0A5F" w:rsidRDefault="004728BB" w:rsidP="004728BB">
            <w:pPr>
              <w:pStyle w:val="TAL"/>
              <w:rPr>
                <w:rFonts w:cs="Arial"/>
                <w:szCs w:val="18"/>
              </w:rPr>
            </w:pPr>
            <w:r w:rsidRPr="000A0A5F">
              <w:rPr>
                <w:rFonts w:cs="Arial"/>
                <w:szCs w:val="18"/>
              </w:rPr>
              <w:t>The value shall be between 0.01 and 1.00 with a step size of 0.01, represented as string.</w:t>
            </w:r>
          </w:p>
          <w:p w:rsidR="004728BB" w:rsidRPr="000A0A5F" w:rsidRDefault="004728BB" w:rsidP="004728BB">
            <w:pPr>
              <w:pStyle w:val="TAL"/>
              <w:rPr>
                <w:rFonts w:cs="Arial"/>
                <w:szCs w:val="18"/>
              </w:rPr>
            </w:pPr>
          </w:p>
          <w:p w:rsidR="004728BB" w:rsidRPr="000A0A5F" w:rsidRDefault="004728BB" w:rsidP="004728BB">
            <w:pPr>
              <w:pStyle w:val="TAL"/>
              <w:rPr>
                <w:rFonts w:cs="Arial"/>
                <w:szCs w:val="18"/>
              </w:rPr>
            </w:pPr>
            <w:r w:rsidRPr="000A0A5F">
              <w:rPr>
                <w:rFonts w:cs="Arial"/>
                <w:szCs w:val="18"/>
              </w:rPr>
              <w:t>If not present, confidence level 1.00 applies.</w:t>
            </w:r>
          </w:p>
          <w:p w:rsidR="004728BB" w:rsidRPr="000A0A5F" w:rsidRDefault="004728BB" w:rsidP="004728BB">
            <w:pPr>
              <w:pStyle w:val="TAL"/>
              <w:rPr>
                <w:rFonts w:cs="Arial"/>
                <w:szCs w:val="18"/>
              </w:rPr>
            </w:pPr>
          </w:p>
          <w:p w:rsidR="004728BB" w:rsidRPr="000A0A5F" w:rsidRDefault="004728BB" w:rsidP="004728BB">
            <w:pPr>
              <w:pStyle w:val="TAL"/>
              <w:spacing w:after="60"/>
              <w:rPr>
                <w:lang w:eastAsia="zh-CN"/>
              </w:rPr>
            </w:pPr>
            <w:r w:rsidRPr="000A0A5F">
              <w:rPr>
                <w:lang w:eastAsia="zh-CN"/>
              </w:rPr>
              <w:t xml:space="preserve">Pattern: </w:t>
            </w:r>
            <w:r w:rsidRPr="000A0A5F">
              <w:rPr>
                <w:rFonts w:cs="Arial"/>
                <w:szCs w:val="18"/>
              </w:rPr>
              <w:t>'^[0]\.[0-9]{2}|[1.00]$'</w:t>
            </w:r>
          </w:p>
        </w:tc>
        <w:tc>
          <w:tcPr>
            <w:tcW w:w="1344" w:type="dxa"/>
          </w:tcPr>
          <w:p w:rsidR="004728BB" w:rsidRPr="000A0A5F" w:rsidRDefault="004728BB" w:rsidP="004728BB">
            <w:pPr>
              <w:pStyle w:val="TAL"/>
              <w:rPr>
                <w:rFonts w:cs="Arial"/>
                <w:szCs w:val="18"/>
              </w:rPr>
            </w:pPr>
          </w:p>
        </w:tc>
      </w:tr>
      <w:tr w:rsidR="00193652" w:rsidRPr="000A0A5F" w:rsidTr="00EF7E64">
        <w:trPr>
          <w:trHeight w:val="128"/>
          <w:jc w:val="center"/>
        </w:trPr>
        <w:tc>
          <w:tcPr>
            <w:tcW w:w="2023" w:type="dxa"/>
          </w:tcPr>
          <w:p w:rsidR="00193652" w:rsidRPr="000A0A5F" w:rsidRDefault="00193652" w:rsidP="00193652">
            <w:pPr>
              <w:pStyle w:val="TF"/>
              <w:keepNext/>
              <w:spacing w:after="0"/>
              <w:jc w:val="left"/>
              <w:rPr>
                <w:b w:val="0"/>
                <w:noProof/>
                <w:sz w:val="18"/>
                <w:szCs w:val="18"/>
              </w:rPr>
            </w:pPr>
            <w:r w:rsidRPr="000A0A5F">
              <w:rPr>
                <w:b w:val="0"/>
                <w:noProof/>
                <w:sz w:val="18"/>
                <w:szCs w:val="18"/>
              </w:rPr>
              <w:t>accuracyLevel</w:t>
            </w:r>
          </w:p>
        </w:tc>
        <w:tc>
          <w:tcPr>
            <w:tcW w:w="1558" w:type="dxa"/>
          </w:tcPr>
          <w:p w:rsidR="00193652" w:rsidRPr="000A0A5F" w:rsidRDefault="00193652" w:rsidP="00193652">
            <w:pPr>
              <w:pStyle w:val="TF"/>
              <w:keepNext/>
              <w:spacing w:after="0"/>
              <w:jc w:val="left"/>
              <w:rPr>
                <w:b w:val="0"/>
                <w:noProof/>
                <w:sz w:val="18"/>
                <w:szCs w:val="18"/>
              </w:rPr>
            </w:pPr>
            <w:r w:rsidRPr="000A0A5F">
              <w:rPr>
                <w:b w:val="0"/>
                <w:noProof/>
                <w:sz w:val="18"/>
                <w:szCs w:val="18"/>
              </w:rPr>
              <w:t>string</w:t>
            </w:r>
          </w:p>
        </w:tc>
        <w:tc>
          <w:tcPr>
            <w:tcW w:w="709" w:type="dxa"/>
          </w:tcPr>
          <w:p w:rsidR="00193652" w:rsidRPr="000A0A5F" w:rsidRDefault="00193652" w:rsidP="00193652">
            <w:pPr>
              <w:pStyle w:val="TAC"/>
            </w:pPr>
            <w:r w:rsidRPr="000A0A5F">
              <w:t>O</w:t>
            </w:r>
          </w:p>
        </w:tc>
        <w:tc>
          <w:tcPr>
            <w:tcW w:w="1134" w:type="dxa"/>
          </w:tcPr>
          <w:p w:rsidR="00193652" w:rsidRPr="000A0A5F" w:rsidRDefault="00193652" w:rsidP="00193652">
            <w:pPr>
              <w:pStyle w:val="TAC"/>
              <w:jc w:val="left"/>
            </w:pPr>
            <w:r w:rsidRPr="000A0A5F">
              <w:t>0..1</w:t>
            </w:r>
          </w:p>
        </w:tc>
        <w:tc>
          <w:tcPr>
            <w:tcW w:w="2662" w:type="dxa"/>
            <w:vAlign w:val="center"/>
          </w:tcPr>
          <w:p w:rsidR="004728BB" w:rsidRPr="000A0A5F" w:rsidRDefault="004728BB" w:rsidP="004728BB">
            <w:pPr>
              <w:pStyle w:val="TAL"/>
              <w:rPr>
                <w:rFonts w:cs="Arial"/>
                <w:szCs w:val="18"/>
              </w:rPr>
            </w:pPr>
            <w:r w:rsidRPr="000A0A5F">
              <w:rPr>
                <w:rFonts w:cs="Arial"/>
                <w:szCs w:val="18"/>
              </w:rPr>
              <w:t xml:space="preserve">When present, this IE indicates the </w:t>
            </w:r>
            <w:r w:rsidRPr="000A0A5F">
              <w:t>accuracy level for the associated Application-Specific Expected UE Behaviour parameter</w:t>
            </w:r>
            <w:r w:rsidRPr="000A0A5F">
              <w:rPr>
                <w:rFonts w:cs="Arial"/>
                <w:szCs w:val="18"/>
              </w:rPr>
              <w:t>.</w:t>
            </w:r>
          </w:p>
          <w:p w:rsidR="004728BB" w:rsidRPr="000A0A5F" w:rsidRDefault="004728BB" w:rsidP="004728BB">
            <w:pPr>
              <w:pStyle w:val="TAL"/>
              <w:rPr>
                <w:rFonts w:cs="Arial"/>
                <w:szCs w:val="18"/>
              </w:rPr>
            </w:pPr>
          </w:p>
          <w:p w:rsidR="004728BB" w:rsidRPr="000A0A5F" w:rsidRDefault="004728BB" w:rsidP="004728BB">
            <w:pPr>
              <w:pStyle w:val="TAL"/>
              <w:rPr>
                <w:rFonts w:cs="Arial"/>
                <w:szCs w:val="18"/>
              </w:rPr>
            </w:pPr>
            <w:r w:rsidRPr="000A0A5F">
              <w:rPr>
                <w:rFonts w:cs="Arial"/>
                <w:szCs w:val="18"/>
              </w:rPr>
              <w:t>The value shall be between 0.01 and 1.00 with a step size of 0.01, represented as string.</w:t>
            </w:r>
          </w:p>
          <w:p w:rsidR="004728BB" w:rsidRPr="000A0A5F" w:rsidRDefault="004728BB" w:rsidP="004728BB">
            <w:pPr>
              <w:pStyle w:val="TAL"/>
              <w:rPr>
                <w:rFonts w:cs="Arial"/>
                <w:szCs w:val="18"/>
              </w:rPr>
            </w:pPr>
          </w:p>
          <w:p w:rsidR="004728BB" w:rsidRPr="000A0A5F" w:rsidRDefault="004728BB" w:rsidP="004728BB">
            <w:pPr>
              <w:pStyle w:val="TAL"/>
              <w:rPr>
                <w:rFonts w:cs="Arial"/>
                <w:szCs w:val="18"/>
              </w:rPr>
            </w:pPr>
            <w:r w:rsidRPr="000A0A5F">
              <w:rPr>
                <w:rFonts w:cs="Arial"/>
                <w:szCs w:val="18"/>
              </w:rPr>
              <w:t>If not present, accuracy level 1.00 applies.</w:t>
            </w:r>
          </w:p>
          <w:p w:rsidR="004728BB" w:rsidRPr="000A0A5F" w:rsidRDefault="004728BB" w:rsidP="004728BB">
            <w:pPr>
              <w:pStyle w:val="TAL"/>
              <w:rPr>
                <w:rFonts w:cs="Arial"/>
                <w:szCs w:val="18"/>
              </w:rPr>
            </w:pPr>
          </w:p>
          <w:p w:rsidR="00193652" w:rsidRPr="000A0A5F" w:rsidRDefault="004728BB" w:rsidP="004728BB">
            <w:pPr>
              <w:pStyle w:val="TAL"/>
              <w:spacing w:after="60"/>
              <w:rPr>
                <w:lang w:eastAsia="zh-CN"/>
              </w:rPr>
            </w:pPr>
            <w:r w:rsidRPr="000A0A5F">
              <w:rPr>
                <w:lang w:eastAsia="zh-CN"/>
              </w:rPr>
              <w:t xml:space="preserve">Pattern: </w:t>
            </w:r>
            <w:r w:rsidRPr="000A0A5F">
              <w:rPr>
                <w:rFonts w:cs="Arial"/>
                <w:szCs w:val="18"/>
              </w:rPr>
              <w:t>'^[0]\.[0-9]{2}|[1.00]$'</w:t>
            </w:r>
          </w:p>
        </w:tc>
        <w:tc>
          <w:tcPr>
            <w:tcW w:w="1344" w:type="dxa"/>
          </w:tcPr>
          <w:p w:rsidR="00193652" w:rsidRPr="000A0A5F" w:rsidRDefault="00193652" w:rsidP="00193652">
            <w:pPr>
              <w:pStyle w:val="TAL"/>
              <w:rPr>
                <w:rFonts w:cs="Arial"/>
                <w:szCs w:val="18"/>
              </w:rPr>
            </w:pPr>
          </w:p>
        </w:tc>
      </w:tr>
      <w:tr w:rsidR="004728BB" w:rsidRPr="000A0A5F" w:rsidTr="00EF7E64">
        <w:trPr>
          <w:trHeight w:val="128"/>
          <w:jc w:val="center"/>
        </w:trPr>
        <w:tc>
          <w:tcPr>
            <w:tcW w:w="2023" w:type="dxa"/>
          </w:tcPr>
          <w:p w:rsidR="004728BB" w:rsidRPr="000A0A5F" w:rsidRDefault="004728BB" w:rsidP="004728BB">
            <w:pPr>
              <w:pStyle w:val="TF"/>
              <w:keepNext/>
              <w:spacing w:after="0"/>
              <w:jc w:val="left"/>
              <w:rPr>
                <w:b w:val="0"/>
                <w:noProof/>
                <w:sz w:val="18"/>
                <w:szCs w:val="18"/>
              </w:rPr>
            </w:pPr>
            <w:r w:rsidRPr="000A0A5F">
              <w:rPr>
                <w:b w:val="0"/>
                <w:noProof/>
                <w:sz w:val="18"/>
                <w:szCs w:val="18"/>
              </w:rPr>
              <w:t>failureCode</w:t>
            </w:r>
          </w:p>
        </w:tc>
        <w:tc>
          <w:tcPr>
            <w:tcW w:w="1558" w:type="dxa"/>
          </w:tcPr>
          <w:p w:rsidR="004728BB" w:rsidRPr="000A0A5F" w:rsidRDefault="004728BB" w:rsidP="004728BB">
            <w:pPr>
              <w:pStyle w:val="TF"/>
              <w:keepNext/>
              <w:spacing w:after="0"/>
              <w:jc w:val="left"/>
              <w:rPr>
                <w:b w:val="0"/>
                <w:noProof/>
                <w:sz w:val="18"/>
                <w:szCs w:val="18"/>
              </w:rPr>
            </w:pPr>
            <w:r w:rsidRPr="000A0A5F">
              <w:rPr>
                <w:b w:val="0"/>
                <w:noProof/>
                <w:sz w:val="18"/>
                <w:szCs w:val="18"/>
              </w:rPr>
              <w:t>CpFailureCode</w:t>
            </w:r>
          </w:p>
        </w:tc>
        <w:tc>
          <w:tcPr>
            <w:tcW w:w="709" w:type="dxa"/>
          </w:tcPr>
          <w:p w:rsidR="004728BB" w:rsidRPr="000A0A5F" w:rsidRDefault="004728BB" w:rsidP="004728BB">
            <w:pPr>
              <w:pStyle w:val="TAC"/>
            </w:pPr>
            <w:r w:rsidRPr="000A0A5F">
              <w:t>O</w:t>
            </w:r>
          </w:p>
        </w:tc>
        <w:tc>
          <w:tcPr>
            <w:tcW w:w="1134" w:type="dxa"/>
          </w:tcPr>
          <w:p w:rsidR="004728BB" w:rsidRPr="000A0A5F" w:rsidRDefault="004728BB" w:rsidP="004728BB">
            <w:pPr>
              <w:pStyle w:val="TAC"/>
              <w:jc w:val="left"/>
            </w:pPr>
            <w:r w:rsidRPr="000A0A5F">
              <w:t>0..1</w:t>
            </w:r>
          </w:p>
        </w:tc>
        <w:tc>
          <w:tcPr>
            <w:tcW w:w="2662" w:type="dxa"/>
            <w:vAlign w:val="center"/>
          </w:tcPr>
          <w:p w:rsidR="004728BB" w:rsidRPr="000A0A5F" w:rsidRDefault="004728BB" w:rsidP="004728BB">
            <w:pPr>
              <w:pStyle w:val="TAL"/>
              <w:rPr>
                <w:rFonts w:eastAsia="Times New Roman" w:cs="Arial"/>
                <w:szCs w:val="18"/>
              </w:rPr>
            </w:pPr>
            <w:r w:rsidRPr="000A0A5F">
              <w:rPr>
                <w:rFonts w:eastAsia="Times New Roman" w:cs="Arial"/>
                <w:szCs w:val="18"/>
              </w:rPr>
              <w:t xml:space="preserve">Identifies the failure reason for the </w:t>
            </w:r>
            <w:r w:rsidRPr="000A0A5F">
              <w:t xml:space="preserve">Application-Specific Expected UE Behaviour </w:t>
            </w:r>
            <w:r w:rsidRPr="000A0A5F">
              <w:rPr>
                <w:rFonts w:cs="Arial"/>
                <w:szCs w:val="18"/>
                <w:lang w:eastAsia="zh-CN"/>
              </w:rPr>
              <w:t>parameter is not added or modified successfully</w:t>
            </w:r>
            <w:r w:rsidRPr="000A0A5F">
              <w:rPr>
                <w:rFonts w:eastAsia="Times New Roman" w:cs="Arial"/>
                <w:szCs w:val="18"/>
              </w:rPr>
              <w:t>.</w:t>
            </w:r>
          </w:p>
          <w:p w:rsidR="004728BB" w:rsidRPr="000A0A5F" w:rsidRDefault="004728BB" w:rsidP="004728BB">
            <w:pPr>
              <w:pStyle w:val="TAL"/>
              <w:rPr>
                <w:rFonts w:eastAsia="Times New Roman" w:cs="Arial"/>
                <w:szCs w:val="18"/>
              </w:rPr>
            </w:pPr>
          </w:p>
          <w:p w:rsidR="004728BB" w:rsidRPr="000A0A5F" w:rsidRDefault="004728BB" w:rsidP="004728BB">
            <w:pPr>
              <w:pStyle w:val="TAL"/>
              <w:rPr>
                <w:noProof/>
                <w:szCs w:val="18"/>
              </w:rPr>
            </w:pPr>
            <w:r w:rsidRPr="000A0A5F">
              <w:rPr>
                <w:noProof/>
                <w:szCs w:val="18"/>
              </w:rPr>
              <w:t xml:space="preserve">If absent, </w:t>
            </w:r>
            <w:r w:rsidRPr="000A0A5F">
              <w:t>the value of the "</w:t>
            </w:r>
            <w:r w:rsidRPr="000A0A5F">
              <w:rPr>
                <w:lang w:eastAsia="zh-CN"/>
              </w:rPr>
              <w:t>failureCode</w:t>
            </w:r>
            <w:r w:rsidRPr="000A0A5F">
              <w:t>" attribute in the higher-level "CpInfo" data type</w:t>
            </w:r>
            <w:r w:rsidRPr="000A0A5F">
              <w:rPr>
                <w:noProof/>
                <w:szCs w:val="18"/>
              </w:rPr>
              <w:t xml:space="preserve"> shall be used.</w:t>
            </w:r>
          </w:p>
          <w:p w:rsidR="004728BB" w:rsidRPr="000A0A5F" w:rsidRDefault="004728BB" w:rsidP="004728BB">
            <w:pPr>
              <w:pStyle w:val="TAL"/>
              <w:rPr>
                <w:rFonts w:cs="Arial"/>
                <w:szCs w:val="18"/>
              </w:rPr>
            </w:pPr>
            <w:r w:rsidRPr="000A0A5F">
              <w:rPr>
                <w:noProof/>
                <w:szCs w:val="18"/>
              </w:rPr>
              <w:t>(NOTE</w:t>
            </w:r>
            <w:r w:rsidRPr="000A0A5F">
              <w:t> 3</w:t>
            </w:r>
            <w:r w:rsidRPr="000A0A5F">
              <w:rPr>
                <w:noProof/>
                <w:szCs w:val="18"/>
              </w:rPr>
              <w:t>)</w:t>
            </w:r>
          </w:p>
        </w:tc>
        <w:tc>
          <w:tcPr>
            <w:tcW w:w="1344" w:type="dxa"/>
          </w:tcPr>
          <w:p w:rsidR="004728BB" w:rsidRPr="000A0A5F" w:rsidRDefault="004728BB" w:rsidP="004728BB">
            <w:pPr>
              <w:pStyle w:val="TAL"/>
            </w:pPr>
          </w:p>
        </w:tc>
      </w:tr>
      <w:tr w:rsidR="004728BB" w:rsidRPr="000A0A5F" w:rsidTr="00A66DE6">
        <w:trPr>
          <w:trHeight w:val="128"/>
          <w:jc w:val="center"/>
        </w:trPr>
        <w:tc>
          <w:tcPr>
            <w:tcW w:w="2023" w:type="dxa"/>
          </w:tcPr>
          <w:p w:rsidR="004728BB" w:rsidRPr="000A0A5F" w:rsidRDefault="004728BB" w:rsidP="004728BB">
            <w:pPr>
              <w:pStyle w:val="TF"/>
              <w:keepNext/>
              <w:spacing w:after="0"/>
              <w:jc w:val="left"/>
              <w:rPr>
                <w:b w:val="0"/>
                <w:noProof/>
                <w:sz w:val="18"/>
                <w:szCs w:val="18"/>
              </w:rPr>
            </w:pPr>
            <w:bookmarkStart w:id="7248" w:name="_Hlk145207841"/>
            <w:r w:rsidRPr="000A0A5F">
              <w:rPr>
                <w:rFonts w:hint="eastAsia"/>
                <w:b w:val="0"/>
                <w:noProof/>
                <w:sz w:val="18"/>
                <w:szCs w:val="18"/>
              </w:rPr>
              <w:t>validityTime</w:t>
            </w:r>
            <w:bookmarkEnd w:id="7248"/>
          </w:p>
        </w:tc>
        <w:tc>
          <w:tcPr>
            <w:tcW w:w="1558" w:type="dxa"/>
          </w:tcPr>
          <w:p w:rsidR="004728BB" w:rsidRPr="000A0A5F" w:rsidRDefault="004728BB" w:rsidP="004728BB">
            <w:pPr>
              <w:pStyle w:val="TF"/>
              <w:keepNext/>
              <w:spacing w:after="0"/>
              <w:jc w:val="left"/>
              <w:rPr>
                <w:b w:val="0"/>
                <w:noProof/>
                <w:sz w:val="18"/>
                <w:szCs w:val="18"/>
              </w:rPr>
            </w:pPr>
            <w:r w:rsidRPr="000A0A5F">
              <w:rPr>
                <w:b w:val="0"/>
                <w:noProof/>
                <w:sz w:val="18"/>
                <w:szCs w:val="18"/>
              </w:rPr>
              <w:t>D</w:t>
            </w:r>
            <w:r w:rsidRPr="000A0A5F">
              <w:rPr>
                <w:rFonts w:hint="eastAsia"/>
                <w:b w:val="0"/>
                <w:noProof/>
                <w:sz w:val="18"/>
                <w:szCs w:val="18"/>
              </w:rPr>
              <w:t>ateTime</w:t>
            </w:r>
          </w:p>
        </w:tc>
        <w:tc>
          <w:tcPr>
            <w:tcW w:w="709" w:type="dxa"/>
          </w:tcPr>
          <w:p w:rsidR="004728BB" w:rsidRPr="000A0A5F" w:rsidRDefault="004728BB" w:rsidP="004728BB">
            <w:pPr>
              <w:pStyle w:val="TAC"/>
              <w:rPr>
                <w:noProof/>
                <w:szCs w:val="18"/>
              </w:rPr>
            </w:pPr>
            <w:r w:rsidRPr="000A0A5F">
              <w:rPr>
                <w:noProof/>
                <w:szCs w:val="18"/>
              </w:rPr>
              <w:t>O</w:t>
            </w:r>
          </w:p>
        </w:tc>
        <w:tc>
          <w:tcPr>
            <w:tcW w:w="1134" w:type="dxa"/>
          </w:tcPr>
          <w:p w:rsidR="004728BB" w:rsidRPr="000A0A5F" w:rsidRDefault="004728BB" w:rsidP="004728BB">
            <w:pPr>
              <w:pStyle w:val="TAC"/>
              <w:jc w:val="left"/>
              <w:rPr>
                <w:noProof/>
                <w:szCs w:val="18"/>
              </w:rPr>
            </w:pPr>
            <w:r w:rsidRPr="000A0A5F">
              <w:rPr>
                <w:noProof/>
                <w:szCs w:val="18"/>
              </w:rPr>
              <w:t>0..</w:t>
            </w:r>
            <w:r w:rsidRPr="000A0A5F">
              <w:rPr>
                <w:rFonts w:hint="eastAsia"/>
                <w:noProof/>
                <w:szCs w:val="18"/>
              </w:rPr>
              <w:t>1</w:t>
            </w:r>
          </w:p>
        </w:tc>
        <w:tc>
          <w:tcPr>
            <w:tcW w:w="2662" w:type="dxa"/>
          </w:tcPr>
          <w:p w:rsidR="004728BB" w:rsidRPr="000A0A5F" w:rsidRDefault="004728BB" w:rsidP="004728BB">
            <w:pPr>
              <w:pStyle w:val="TAL"/>
              <w:rPr>
                <w:noProof/>
                <w:szCs w:val="18"/>
              </w:rPr>
            </w:pPr>
            <w:r w:rsidRPr="000A0A5F">
              <w:rPr>
                <w:rFonts w:hint="eastAsia"/>
                <w:noProof/>
                <w:szCs w:val="18"/>
              </w:rPr>
              <w:t xml:space="preserve">Identifies when </w:t>
            </w:r>
            <w:r w:rsidRPr="000A0A5F">
              <w:t>the Application-Specific Expected UE Behaviour parameter</w:t>
            </w:r>
            <w:r w:rsidRPr="000A0A5F">
              <w:rPr>
                <w:rFonts w:hint="eastAsia"/>
                <w:noProof/>
                <w:szCs w:val="18"/>
              </w:rPr>
              <w:t xml:space="preserve"> expires</w:t>
            </w:r>
            <w:r w:rsidRPr="000A0A5F">
              <w:rPr>
                <w:noProof/>
                <w:szCs w:val="18"/>
              </w:rPr>
              <w:t>.</w:t>
            </w:r>
          </w:p>
          <w:p w:rsidR="004728BB" w:rsidRPr="000A0A5F" w:rsidRDefault="004728BB" w:rsidP="004728BB">
            <w:pPr>
              <w:pStyle w:val="TAL"/>
              <w:rPr>
                <w:noProof/>
                <w:szCs w:val="18"/>
              </w:rPr>
            </w:pPr>
          </w:p>
          <w:p w:rsidR="004728BB" w:rsidRPr="000A0A5F" w:rsidRDefault="004728BB" w:rsidP="004728BB">
            <w:pPr>
              <w:pStyle w:val="TAL"/>
              <w:rPr>
                <w:noProof/>
                <w:szCs w:val="18"/>
              </w:rPr>
            </w:pPr>
            <w:r w:rsidRPr="000A0A5F">
              <w:rPr>
                <w:noProof/>
                <w:szCs w:val="18"/>
              </w:rPr>
              <w:t xml:space="preserve">If absent, </w:t>
            </w:r>
            <w:r w:rsidRPr="000A0A5F">
              <w:t>the value of the "validityTime" attribute in the higher-level "CpParameterSet" data type</w:t>
            </w:r>
            <w:r w:rsidRPr="000A0A5F">
              <w:rPr>
                <w:noProof/>
                <w:szCs w:val="18"/>
              </w:rPr>
              <w:t xml:space="preserve"> shall be used.</w:t>
            </w:r>
          </w:p>
          <w:p w:rsidR="004728BB" w:rsidRPr="000A0A5F" w:rsidRDefault="004728BB" w:rsidP="004728BB">
            <w:pPr>
              <w:pStyle w:val="TAL"/>
              <w:rPr>
                <w:noProof/>
                <w:szCs w:val="18"/>
              </w:rPr>
            </w:pPr>
            <w:r w:rsidRPr="000A0A5F">
              <w:rPr>
                <w:noProof/>
                <w:szCs w:val="18"/>
              </w:rPr>
              <w:t>(NOTE</w:t>
            </w:r>
            <w:r w:rsidRPr="000A0A5F">
              <w:t> 2</w:t>
            </w:r>
            <w:r w:rsidRPr="000A0A5F">
              <w:rPr>
                <w:noProof/>
                <w:szCs w:val="18"/>
              </w:rPr>
              <w:t>)</w:t>
            </w:r>
          </w:p>
        </w:tc>
        <w:tc>
          <w:tcPr>
            <w:tcW w:w="1344" w:type="dxa"/>
          </w:tcPr>
          <w:p w:rsidR="004728BB" w:rsidRPr="000A0A5F" w:rsidRDefault="004728BB" w:rsidP="004728BB">
            <w:pPr>
              <w:pStyle w:val="TAL"/>
            </w:pPr>
          </w:p>
        </w:tc>
      </w:tr>
      <w:tr w:rsidR="004728BB" w:rsidRPr="000A0A5F" w:rsidTr="00C00F2D">
        <w:trPr>
          <w:trHeight w:val="128"/>
          <w:jc w:val="center"/>
        </w:trPr>
        <w:tc>
          <w:tcPr>
            <w:tcW w:w="9430" w:type="dxa"/>
            <w:gridSpan w:val="6"/>
          </w:tcPr>
          <w:p w:rsidR="004728BB" w:rsidRPr="000A0A5F" w:rsidRDefault="004728BB" w:rsidP="004728BB">
            <w:pPr>
              <w:pStyle w:val="TAN"/>
            </w:pPr>
            <w:r w:rsidRPr="000A0A5F">
              <w:rPr>
                <w:rFonts w:cs="Arial"/>
                <w:szCs w:val="18"/>
              </w:rPr>
              <w:t>NOTE</w:t>
            </w:r>
            <w:r w:rsidRPr="000A0A5F">
              <w:t> 1</w:t>
            </w:r>
            <w:r w:rsidRPr="000A0A5F">
              <w:rPr>
                <w:rFonts w:cs="Arial"/>
                <w:szCs w:val="18"/>
              </w:rPr>
              <w:t>:</w:t>
            </w:r>
            <w:r w:rsidRPr="000A0A5F">
              <w:rPr>
                <w:rFonts w:cs="Arial"/>
                <w:szCs w:val="18"/>
              </w:rPr>
              <w:tab/>
              <w:t>O</w:t>
            </w:r>
            <w:r w:rsidRPr="000A0A5F">
              <w:rPr>
                <w:rFonts w:cs="Arial"/>
                <w:noProof/>
                <w:szCs w:val="18"/>
                <w:lang w:eastAsia="zh-CN"/>
              </w:rPr>
              <w:t xml:space="preserve">ne of the </w:t>
            </w:r>
            <w:r w:rsidRPr="000A0A5F">
              <w:rPr>
                <w:rFonts w:cs="Arial"/>
                <w:szCs w:val="18"/>
              </w:rPr>
              <w:t>"</w:t>
            </w:r>
            <w:r w:rsidRPr="000A0A5F">
              <w:rPr>
                <w:rFonts w:cs="Arial"/>
                <w:noProof/>
                <w:szCs w:val="18"/>
                <w:lang w:eastAsia="zh-CN"/>
              </w:rPr>
              <w:t>appId</w:t>
            </w:r>
            <w:r w:rsidRPr="000A0A5F">
              <w:rPr>
                <w:rFonts w:cs="Arial"/>
                <w:szCs w:val="18"/>
              </w:rPr>
              <w:t>" attribute or "flowDescriptions"</w:t>
            </w:r>
            <w:r w:rsidRPr="000A0A5F">
              <w:rPr>
                <w:rFonts w:cs="Arial"/>
                <w:noProof/>
                <w:szCs w:val="18"/>
                <w:lang w:eastAsia="zh-CN"/>
              </w:rPr>
              <w:t xml:space="preserve"> attribute shall be included.</w:t>
            </w:r>
          </w:p>
          <w:p w:rsidR="004728BB" w:rsidRPr="000A0A5F" w:rsidRDefault="004728BB" w:rsidP="004728BB">
            <w:pPr>
              <w:pStyle w:val="TAN"/>
            </w:pPr>
            <w:r w:rsidRPr="000A0A5F">
              <w:rPr>
                <w:rFonts w:cs="Arial"/>
                <w:szCs w:val="18"/>
              </w:rPr>
              <w:t>NOTE</w:t>
            </w:r>
            <w:r w:rsidRPr="000A0A5F">
              <w:t> 2</w:t>
            </w:r>
            <w:r w:rsidRPr="000A0A5F">
              <w:rPr>
                <w:rFonts w:cs="Arial"/>
                <w:szCs w:val="18"/>
              </w:rPr>
              <w:t>:</w:t>
            </w:r>
            <w:r w:rsidRPr="000A0A5F">
              <w:rPr>
                <w:rFonts w:cs="Arial"/>
                <w:szCs w:val="18"/>
              </w:rPr>
              <w:tab/>
              <w:t>T</w:t>
            </w:r>
            <w:r w:rsidRPr="000A0A5F">
              <w:t>he attribute</w:t>
            </w:r>
            <w:r w:rsidRPr="000A0A5F">
              <w:rPr>
                <w:noProof/>
                <w:szCs w:val="18"/>
              </w:rPr>
              <w:t xml:space="preserve"> </w:t>
            </w:r>
            <w:r w:rsidRPr="000A0A5F">
              <w:t>if provided, take precedence over the "validityTime" attribute in the higher-level "CpParameterSet" data type.</w:t>
            </w:r>
          </w:p>
          <w:p w:rsidR="004728BB" w:rsidRPr="000A0A5F" w:rsidRDefault="004728BB" w:rsidP="004728BB">
            <w:pPr>
              <w:pStyle w:val="TAN"/>
              <w:rPr>
                <w:rFonts w:cs="Arial"/>
                <w:szCs w:val="18"/>
              </w:rPr>
            </w:pPr>
            <w:r w:rsidRPr="000A0A5F">
              <w:rPr>
                <w:rFonts w:cs="Arial"/>
                <w:szCs w:val="18"/>
              </w:rPr>
              <w:t>NOTE</w:t>
            </w:r>
            <w:r w:rsidRPr="000A0A5F">
              <w:t> 3</w:t>
            </w:r>
            <w:r w:rsidRPr="000A0A5F">
              <w:rPr>
                <w:rFonts w:cs="Arial"/>
                <w:szCs w:val="18"/>
              </w:rPr>
              <w:t>:</w:t>
            </w:r>
            <w:r w:rsidRPr="000A0A5F">
              <w:rPr>
                <w:rFonts w:cs="Arial"/>
                <w:szCs w:val="18"/>
              </w:rPr>
              <w:tab/>
              <w:t>T</w:t>
            </w:r>
            <w:r w:rsidRPr="000A0A5F">
              <w:t>he attribute</w:t>
            </w:r>
            <w:r w:rsidRPr="000A0A5F">
              <w:rPr>
                <w:noProof/>
                <w:szCs w:val="18"/>
              </w:rPr>
              <w:t xml:space="preserve"> </w:t>
            </w:r>
            <w:r w:rsidRPr="000A0A5F">
              <w:t>if provided, take precedence over the "</w:t>
            </w:r>
            <w:r w:rsidRPr="000A0A5F">
              <w:rPr>
                <w:lang w:eastAsia="zh-CN"/>
              </w:rPr>
              <w:t>failureCode</w:t>
            </w:r>
            <w:r w:rsidRPr="000A0A5F">
              <w:t>" attribute in the higher-level "CpInfo" data type.</w:t>
            </w:r>
          </w:p>
        </w:tc>
      </w:tr>
    </w:tbl>
    <w:p w:rsidR="007B538E" w:rsidRPr="000A0A5F" w:rsidRDefault="007B538E">
      <w:pPr>
        <w:rPr>
          <w:rFonts w:hint="eastAsia"/>
          <w:lang w:eastAsia="zh-CN"/>
        </w:rPr>
      </w:pPr>
    </w:p>
    <w:p w:rsidR="00CB0DD7" w:rsidRPr="000A0A5F" w:rsidRDefault="00CB0DD7">
      <w:pPr>
        <w:pStyle w:val="Heading4"/>
      </w:pPr>
      <w:bookmarkStart w:id="7249" w:name="_Toc11247729"/>
      <w:bookmarkStart w:id="7250" w:name="_Toc27044869"/>
      <w:bookmarkStart w:id="7251" w:name="_Toc36033911"/>
      <w:bookmarkStart w:id="7252" w:name="_Toc45132057"/>
      <w:bookmarkStart w:id="7253" w:name="_Toc49776342"/>
      <w:bookmarkStart w:id="7254" w:name="_Toc51747262"/>
      <w:bookmarkStart w:id="7255" w:name="_Toc66360835"/>
      <w:bookmarkStart w:id="7256" w:name="_Toc68105340"/>
      <w:bookmarkStart w:id="7257" w:name="_Toc74755970"/>
      <w:bookmarkStart w:id="7258" w:name="_Toc105674846"/>
      <w:bookmarkStart w:id="7259" w:name="_Toc130502906"/>
      <w:bookmarkStart w:id="7260" w:name="_Toc153625694"/>
      <w:r w:rsidRPr="000A0A5F">
        <w:t>5.10.2.3</w:t>
      </w:r>
      <w:r w:rsidRPr="000A0A5F">
        <w:tab/>
        <w:t>Referenced simple data types and enumerations</w:t>
      </w:r>
      <w:bookmarkEnd w:id="7249"/>
      <w:bookmarkEnd w:id="7250"/>
      <w:bookmarkEnd w:id="7251"/>
      <w:bookmarkEnd w:id="7252"/>
      <w:bookmarkEnd w:id="7253"/>
      <w:bookmarkEnd w:id="7254"/>
      <w:bookmarkEnd w:id="7255"/>
      <w:bookmarkEnd w:id="7256"/>
      <w:bookmarkEnd w:id="7257"/>
      <w:bookmarkEnd w:id="7258"/>
      <w:bookmarkEnd w:id="7259"/>
      <w:bookmarkEnd w:id="7260"/>
    </w:p>
    <w:p w:rsidR="00CB0DD7" w:rsidRPr="000A0A5F" w:rsidRDefault="00CB0DD7">
      <w:pPr>
        <w:pStyle w:val="Heading5"/>
      </w:pPr>
      <w:bookmarkStart w:id="7261" w:name="_Toc11247730"/>
      <w:bookmarkStart w:id="7262" w:name="_Toc27044870"/>
      <w:bookmarkStart w:id="7263" w:name="_Toc36033912"/>
      <w:bookmarkStart w:id="7264" w:name="_Toc45132058"/>
      <w:bookmarkStart w:id="7265" w:name="_Toc49776343"/>
      <w:bookmarkStart w:id="7266" w:name="_Toc51747263"/>
      <w:bookmarkStart w:id="7267" w:name="_Toc66360836"/>
      <w:bookmarkStart w:id="7268" w:name="_Toc68105341"/>
      <w:bookmarkStart w:id="7269" w:name="_Toc74755971"/>
      <w:bookmarkStart w:id="7270" w:name="_Toc105674847"/>
      <w:bookmarkStart w:id="7271" w:name="_Toc130502907"/>
      <w:bookmarkStart w:id="7272" w:name="_Toc153625695"/>
      <w:r w:rsidRPr="000A0A5F">
        <w:t>5.10.2.3.1</w:t>
      </w:r>
      <w:r w:rsidRPr="000A0A5F">
        <w:tab/>
        <w:t>Introduction</w:t>
      </w:r>
      <w:bookmarkEnd w:id="7261"/>
      <w:bookmarkEnd w:id="7262"/>
      <w:bookmarkEnd w:id="7263"/>
      <w:bookmarkEnd w:id="7264"/>
      <w:bookmarkEnd w:id="7265"/>
      <w:bookmarkEnd w:id="7266"/>
      <w:bookmarkEnd w:id="7267"/>
      <w:bookmarkEnd w:id="7268"/>
      <w:bookmarkEnd w:id="7269"/>
      <w:bookmarkEnd w:id="7270"/>
      <w:bookmarkEnd w:id="7271"/>
      <w:bookmarkEnd w:id="7272"/>
    </w:p>
    <w:p w:rsidR="00CB0DD7" w:rsidRPr="000A0A5F" w:rsidRDefault="00CB0DD7">
      <w:r w:rsidRPr="000A0A5F">
        <w:t>This clause defines simple data types and enumerations that can be referenced from data structures defined in the previous clauses. In addition, data types and enumerations defined in clause 5.2.1 can be referenced.</w:t>
      </w:r>
    </w:p>
    <w:p w:rsidR="00CB0DD7" w:rsidRPr="000A0A5F" w:rsidRDefault="00CB0DD7">
      <w:pPr>
        <w:pStyle w:val="Heading5"/>
      </w:pPr>
      <w:bookmarkStart w:id="7273" w:name="_Toc11247731"/>
      <w:bookmarkStart w:id="7274" w:name="_Toc27044871"/>
      <w:bookmarkStart w:id="7275" w:name="_Toc36033913"/>
      <w:bookmarkStart w:id="7276" w:name="_Toc45132059"/>
      <w:bookmarkStart w:id="7277" w:name="_Toc49776344"/>
      <w:bookmarkStart w:id="7278" w:name="_Toc51747264"/>
      <w:bookmarkStart w:id="7279" w:name="_Toc66360837"/>
      <w:bookmarkStart w:id="7280" w:name="_Toc68105342"/>
      <w:bookmarkStart w:id="7281" w:name="_Toc74755972"/>
      <w:bookmarkStart w:id="7282" w:name="_Toc105674848"/>
      <w:bookmarkStart w:id="7283" w:name="_Toc130502908"/>
      <w:bookmarkStart w:id="7284" w:name="_Toc153625696"/>
      <w:r w:rsidRPr="000A0A5F">
        <w:t>5.10.2.3.2</w:t>
      </w:r>
      <w:r w:rsidRPr="000A0A5F">
        <w:tab/>
        <w:t>Simple data types</w:t>
      </w:r>
      <w:bookmarkEnd w:id="7273"/>
      <w:bookmarkEnd w:id="7274"/>
      <w:bookmarkEnd w:id="7275"/>
      <w:bookmarkEnd w:id="7276"/>
      <w:bookmarkEnd w:id="7277"/>
      <w:bookmarkEnd w:id="7278"/>
      <w:bookmarkEnd w:id="7279"/>
      <w:bookmarkEnd w:id="7280"/>
      <w:bookmarkEnd w:id="7281"/>
      <w:bookmarkEnd w:id="7282"/>
      <w:bookmarkEnd w:id="7283"/>
      <w:bookmarkEnd w:id="7284"/>
      <w:r w:rsidRPr="000A0A5F">
        <w:t xml:space="preserve"> </w:t>
      </w:r>
    </w:p>
    <w:p w:rsidR="00CB0DD7" w:rsidRPr="000A0A5F" w:rsidRDefault="00CB0DD7">
      <w:r w:rsidRPr="000A0A5F">
        <w:t>The simple data types defined in table 5.10.2.3.2-1 shall be supported.</w:t>
      </w:r>
    </w:p>
    <w:p w:rsidR="00CB0DD7" w:rsidRPr="000A0A5F" w:rsidRDefault="00CB0DD7">
      <w:pPr>
        <w:pStyle w:val="TH"/>
      </w:pPr>
      <w:r w:rsidRPr="000A0A5F">
        <w:t>Table 5.10.2.3.2-1: Simple data types</w:t>
      </w:r>
    </w:p>
    <w:tbl>
      <w:tblPr>
        <w:tblW w:w="4658"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868"/>
        <w:gridCol w:w="7315"/>
      </w:tblGrid>
      <w:tr w:rsidR="00CB0DD7" w:rsidRPr="000A0A5F" w:rsidTr="00FF0AF8">
        <w:tc>
          <w:tcPr>
            <w:tcW w:w="1017" w:type="pct"/>
            <w:shd w:val="clear" w:color="auto" w:fill="C0C0C0"/>
            <w:tcMar>
              <w:top w:w="0" w:type="dxa"/>
              <w:left w:w="108" w:type="dxa"/>
              <w:bottom w:w="0" w:type="dxa"/>
              <w:right w:w="108" w:type="dxa"/>
            </w:tcMar>
          </w:tcPr>
          <w:p w:rsidR="00CB0DD7" w:rsidRPr="000A0A5F" w:rsidRDefault="00CB0DD7">
            <w:pPr>
              <w:pStyle w:val="TAH"/>
            </w:pPr>
            <w:r w:rsidRPr="000A0A5F">
              <w:t>Type name</w:t>
            </w:r>
          </w:p>
        </w:tc>
        <w:tc>
          <w:tcPr>
            <w:tcW w:w="3983" w:type="pct"/>
            <w:shd w:val="clear" w:color="auto" w:fill="C0C0C0"/>
            <w:tcMar>
              <w:top w:w="0" w:type="dxa"/>
              <w:left w:w="108" w:type="dxa"/>
              <w:bottom w:w="0" w:type="dxa"/>
              <w:right w:w="108" w:type="dxa"/>
            </w:tcMar>
          </w:tcPr>
          <w:p w:rsidR="00CB0DD7" w:rsidRPr="000A0A5F" w:rsidRDefault="00CB0DD7">
            <w:pPr>
              <w:pStyle w:val="TAH"/>
            </w:pPr>
            <w:r w:rsidRPr="000A0A5F">
              <w:t>Description</w:t>
            </w:r>
          </w:p>
        </w:tc>
      </w:tr>
      <w:tr w:rsidR="00CB0DD7" w:rsidRPr="000A0A5F" w:rsidTr="00FF0AF8">
        <w:tc>
          <w:tcPr>
            <w:tcW w:w="1017" w:type="pct"/>
            <w:tcMar>
              <w:top w:w="0" w:type="dxa"/>
              <w:left w:w="108" w:type="dxa"/>
              <w:bottom w:w="0" w:type="dxa"/>
              <w:right w:w="108" w:type="dxa"/>
            </w:tcMar>
          </w:tcPr>
          <w:p w:rsidR="00CB0DD7" w:rsidRPr="000A0A5F" w:rsidRDefault="00CB0DD7">
            <w:pPr>
              <w:pStyle w:val="TAL"/>
            </w:pPr>
          </w:p>
        </w:tc>
        <w:tc>
          <w:tcPr>
            <w:tcW w:w="3983" w:type="pct"/>
            <w:tcMar>
              <w:top w:w="0" w:type="dxa"/>
              <w:left w:w="108" w:type="dxa"/>
              <w:bottom w:w="0" w:type="dxa"/>
              <w:right w:w="108" w:type="dxa"/>
            </w:tcMar>
          </w:tcPr>
          <w:p w:rsidR="00CB0DD7" w:rsidRPr="000A0A5F" w:rsidRDefault="00CB0DD7">
            <w:pPr>
              <w:pStyle w:val="TAL"/>
            </w:pPr>
          </w:p>
        </w:tc>
      </w:tr>
      <w:tr w:rsidR="00CB0DD7" w:rsidRPr="000A0A5F" w:rsidTr="00FF0AF8">
        <w:tc>
          <w:tcPr>
            <w:tcW w:w="1017" w:type="pct"/>
            <w:tcMar>
              <w:top w:w="0" w:type="dxa"/>
              <w:left w:w="108" w:type="dxa"/>
              <w:bottom w:w="0" w:type="dxa"/>
              <w:right w:w="108" w:type="dxa"/>
            </w:tcMar>
          </w:tcPr>
          <w:p w:rsidR="00CB0DD7" w:rsidRPr="000A0A5F" w:rsidRDefault="00CB0DD7">
            <w:pPr>
              <w:pStyle w:val="TAL"/>
            </w:pPr>
          </w:p>
        </w:tc>
        <w:tc>
          <w:tcPr>
            <w:tcW w:w="3983" w:type="pct"/>
            <w:tcMar>
              <w:top w:w="0" w:type="dxa"/>
              <w:left w:w="108" w:type="dxa"/>
              <w:bottom w:w="0" w:type="dxa"/>
              <w:right w:w="108" w:type="dxa"/>
            </w:tcMar>
          </w:tcPr>
          <w:p w:rsidR="00CB0DD7" w:rsidRPr="000A0A5F" w:rsidRDefault="00CB0DD7">
            <w:pPr>
              <w:pStyle w:val="TAL"/>
            </w:pPr>
          </w:p>
        </w:tc>
      </w:tr>
    </w:tbl>
    <w:p w:rsidR="00CB0DD7" w:rsidRPr="000A0A5F" w:rsidRDefault="00CB0DD7"/>
    <w:p w:rsidR="00CB0DD7" w:rsidRPr="000A0A5F" w:rsidRDefault="00CB0DD7">
      <w:pPr>
        <w:pStyle w:val="Heading5"/>
        <w:spacing w:before="180"/>
      </w:pPr>
      <w:bookmarkStart w:id="7285" w:name="_Toc11247732"/>
      <w:bookmarkStart w:id="7286" w:name="_Toc27044872"/>
      <w:bookmarkStart w:id="7287" w:name="_Toc36033914"/>
      <w:bookmarkStart w:id="7288" w:name="_Toc45132060"/>
      <w:bookmarkStart w:id="7289" w:name="_Toc49776345"/>
      <w:bookmarkStart w:id="7290" w:name="_Toc51747265"/>
      <w:bookmarkStart w:id="7291" w:name="_Toc66360838"/>
      <w:bookmarkStart w:id="7292" w:name="_Toc68105343"/>
      <w:bookmarkStart w:id="7293" w:name="_Toc74755973"/>
      <w:bookmarkStart w:id="7294" w:name="_Toc105674849"/>
      <w:bookmarkStart w:id="7295" w:name="_Toc130502909"/>
      <w:bookmarkStart w:id="7296" w:name="_Toc153625697"/>
      <w:r w:rsidRPr="000A0A5F">
        <w:t>5.10.2.3.3</w:t>
      </w:r>
      <w:r w:rsidRPr="000A0A5F">
        <w:tab/>
        <w:t xml:space="preserve">Enumeration: </w:t>
      </w:r>
      <w:r w:rsidRPr="000A0A5F">
        <w:rPr>
          <w:lang w:eastAsia="zh-CN"/>
        </w:rPr>
        <w:t>CommunicationIndicator</w:t>
      </w:r>
      <w:bookmarkEnd w:id="7285"/>
      <w:bookmarkEnd w:id="7286"/>
      <w:bookmarkEnd w:id="7287"/>
      <w:bookmarkEnd w:id="7288"/>
      <w:bookmarkEnd w:id="7289"/>
      <w:bookmarkEnd w:id="7290"/>
      <w:bookmarkEnd w:id="7291"/>
      <w:bookmarkEnd w:id="7292"/>
      <w:bookmarkEnd w:id="7293"/>
      <w:bookmarkEnd w:id="7294"/>
      <w:bookmarkEnd w:id="7295"/>
      <w:bookmarkEnd w:id="7296"/>
    </w:p>
    <w:p w:rsidR="00CB0DD7" w:rsidRPr="000A0A5F" w:rsidRDefault="00CB0DD7">
      <w:pPr>
        <w:pStyle w:val="TH"/>
      </w:pPr>
      <w:r w:rsidRPr="000A0A5F">
        <w:t>Table 5.10.2.3.3-1: Enumeration CommunicationIndicator</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334"/>
        <w:gridCol w:w="4728"/>
        <w:gridCol w:w="2695"/>
      </w:tblGrid>
      <w:tr w:rsidR="00CB0DD7" w:rsidRPr="000A0A5F" w:rsidTr="00FF0AF8">
        <w:trPr>
          <w:trHeight w:val="280"/>
        </w:trPr>
        <w:tc>
          <w:tcPr>
            <w:tcW w:w="1196" w:type="pct"/>
            <w:shd w:val="clear" w:color="auto" w:fill="C0C0C0"/>
            <w:tcMar>
              <w:top w:w="0" w:type="dxa"/>
              <w:left w:w="108" w:type="dxa"/>
              <w:bottom w:w="0" w:type="dxa"/>
              <w:right w:w="108" w:type="dxa"/>
            </w:tcMar>
          </w:tcPr>
          <w:p w:rsidR="00CB0DD7" w:rsidRPr="000A0A5F" w:rsidRDefault="00CB0DD7">
            <w:pPr>
              <w:pStyle w:val="TAH"/>
            </w:pPr>
            <w:r w:rsidRPr="000A0A5F">
              <w:t>Enumeration value</w:t>
            </w:r>
          </w:p>
        </w:tc>
        <w:tc>
          <w:tcPr>
            <w:tcW w:w="2423" w:type="pct"/>
            <w:shd w:val="clear" w:color="auto" w:fill="C0C0C0"/>
            <w:tcMar>
              <w:top w:w="0" w:type="dxa"/>
              <w:left w:w="108" w:type="dxa"/>
              <w:bottom w:w="0" w:type="dxa"/>
              <w:right w:w="108" w:type="dxa"/>
            </w:tcMar>
          </w:tcPr>
          <w:p w:rsidR="00CB0DD7" w:rsidRPr="000A0A5F" w:rsidRDefault="00CB0DD7">
            <w:pPr>
              <w:pStyle w:val="TAH"/>
            </w:pPr>
            <w:r w:rsidRPr="000A0A5F">
              <w:t>Description</w:t>
            </w:r>
          </w:p>
        </w:tc>
        <w:tc>
          <w:tcPr>
            <w:tcW w:w="1381" w:type="pct"/>
            <w:shd w:val="clear" w:color="auto" w:fill="C0C0C0"/>
          </w:tcPr>
          <w:p w:rsidR="00CB0DD7" w:rsidRPr="000A0A5F" w:rsidRDefault="00CB0DD7">
            <w:pPr>
              <w:pStyle w:val="TAH"/>
            </w:pPr>
            <w:r w:rsidRPr="000A0A5F">
              <w:rPr>
                <w:rFonts w:eastAsia="Times New Roman" w:cs="Arial"/>
                <w:szCs w:val="18"/>
              </w:rPr>
              <w:t>Applicability (NOTE)</w:t>
            </w:r>
          </w:p>
        </w:tc>
      </w:tr>
      <w:tr w:rsidR="00CB0DD7" w:rsidRPr="000A0A5F" w:rsidTr="00FF0AF8">
        <w:tc>
          <w:tcPr>
            <w:tcW w:w="1196" w:type="pct"/>
            <w:tcMar>
              <w:top w:w="0" w:type="dxa"/>
              <w:left w:w="108" w:type="dxa"/>
              <w:bottom w:w="0" w:type="dxa"/>
              <w:right w:w="108" w:type="dxa"/>
            </w:tcMar>
          </w:tcPr>
          <w:p w:rsidR="00CB0DD7" w:rsidRPr="000A0A5F" w:rsidRDefault="00CB0DD7">
            <w:pPr>
              <w:pStyle w:val="TAL"/>
            </w:pPr>
            <w:r w:rsidRPr="000A0A5F">
              <w:t>PERIODICALLY</w:t>
            </w:r>
          </w:p>
        </w:tc>
        <w:tc>
          <w:tcPr>
            <w:tcW w:w="2423" w:type="pct"/>
            <w:tcMar>
              <w:top w:w="0" w:type="dxa"/>
              <w:left w:w="108" w:type="dxa"/>
              <w:bottom w:w="0" w:type="dxa"/>
              <w:right w:w="108" w:type="dxa"/>
            </w:tcMar>
          </w:tcPr>
          <w:p w:rsidR="00CB0DD7" w:rsidRPr="000A0A5F" w:rsidRDefault="00CB0DD7">
            <w:pPr>
              <w:pStyle w:val="TAL"/>
              <w:rPr>
                <w:rFonts w:hint="eastAsia"/>
                <w:lang w:eastAsia="zh-CN"/>
              </w:rPr>
            </w:pPr>
            <w:r w:rsidRPr="000A0A5F">
              <w:rPr>
                <w:rFonts w:hint="eastAsia"/>
                <w:lang w:eastAsia="zh-CN"/>
              </w:rPr>
              <w:t>Identifies the UE communicates periodically</w:t>
            </w:r>
          </w:p>
        </w:tc>
        <w:tc>
          <w:tcPr>
            <w:tcW w:w="1381" w:type="pct"/>
          </w:tcPr>
          <w:p w:rsidR="00CB0DD7" w:rsidRPr="000A0A5F" w:rsidRDefault="00CB0DD7">
            <w:pPr>
              <w:pStyle w:val="TAL"/>
              <w:rPr>
                <w:rFonts w:cs="Arial"/>
                <w:szCs w:val="18"/>
                <w:lang w:eastAsia="zh-CN"/>
              </w:rPr>
            </w:pPr>
          </w:p>
        </w:tc>
      </w:tr>
      <w:tr w:rsidR="00CB0DD7" w:rsidRPr="000A0A5F" w:rsidTr="00FF0AF8">
        <w:tc>
          <w:tcPr>
            <w:tcW w:w="1196" w:type="pct"/>
            <w:tcMar>
              <w:top w:w="0" w:type="dxa"/>
              <w:left w:w="108" w:type="dxa"/>
              <w:bottom w:w="0" w:type="dxa"/>
              <w:right w:w="108" w:type="dxa"/>
            </w:tcMar>
          </w:tcPr>
          <w:p w:rsidR="00CB0DD7" w:rsidRPr="000A0A5F" w:rsidRDefault="00CB0DD7">
            <w:pPr>
              <w:pStyle w:val="TAL"/>
              <w:rPr>
                <w:rFonts w:hint="eastAsia"/>
                <w:lang w:eastAsia="zh-CN"/>
              </w:rPr>
            </w:pPr>
            <w:r w:rsidRPr="000A0A5F">
              <w:rPr>
                <w:rFonts w:hint="eastAsia"/>
                <w:lang w:eastAsia="zh-CN"/>
              </w:rPr>
              <w:t>ON_DEMAND</w:t>
            </w:r>
          </w:p>
        </w:tc>
        <w:tc>
          <w:tcPr>
            <w:tcW w:w="2423" w:type="pct"/>
            <w:tcMar>
              <w:top w:w="0" w:type="dxa"/>
              <w:left w:w="108" w:type="dxa"/>
              <w:bottom w:w="0" w:type="dxa"/>
              <w:right w:w="108" w:type="dxa"/>
            </w:tcMar>
          </w:tcPr>
          <w:p w:rsidR="00CB0DD7" w:rsidRPr="000A0A5F" w:rsidRDefault="00CB0DD7">
            <w:pPr>
              <w:pStyle w:val="TAL"/>
            </w:pPr>
            <w:r w:rsidRPr="000A0A5F">
              <w:rPr>
                <w:rFonts w:hint="eastAsia"/>
                <w:lang w:eastAsia="zh-CN"/>
              </w:rPr>
              <w:t>Identifies the UE communicates on demand</w:t>
            </w:r>
          </w:p>
        </w:tc>
        <w:tc>
          <w:tcPr>
            <w:tcW w:w="1381" w:type="pct"/>
          </w:tcPr>
          <w:p w:rsidR="00CB0DD7" w:rsidRPr="000A0A5F" w:rsidRDefault="00CB0DD7">
            <w:pPr>
              <w:pStyle w:val="TAL"/>
              <w:rPr>
                <w:rFonts w:cs="Arial"/>
                <w:szCs w:val="18"/>
                <w:lang w:eastAsia="zh-CN"/>
              </w:rPr>
            </w:pPr>
          </w:p>
        </w:tc>
      </w:tr>
      <w:tr w:rsidR="00CB0DD7" w:rsidRPr="000A0A5F" w:rsidTr="00FF0AF8">
        <w:trPr>
          <w:trHeight w:val="440"/>
        </w:trPr>
        <w:tc>
          <w:tcPr>
            <w:tcW w:w="5000" w:type="pct"/>
            <w:gridSpan w:val="3"/>
            <w:tcMar>
              <w:top w:w="0" w:type="dxa"/>
              <w:left w:w="108" w:type="dxa"/>
              <w:bottom w:w="0" w:type="dxa"/>
              <w:right w:w="108" w:type="dxa"/>
            </w:tcMar>
          </w:tcPr>
          <w:p w:rsidR="00CB0DD7" w:rsidRPr="000A0A5F" w:rsidRDefault="00CB0DD7">
            <w:pPr>
              <w:pStyle w:val="TAN"/>
            </w:pPr>
            <w:r w:rsidRPr="000A0A5F">
              <w:t>NOTE:</w:t>
            </w:r>
            <w:r w:rsidRPr="000A0A5F">
              <w:tab/>
              <w:t>Properties marked with a feature as defined in clause 5.10.4 are applicable as described in clause 5.2.7. If no features are indicated, the related property applies for all the features.</w:t>
            </w:r>
          </w:p>
        </w:tc>
      </w:tr>
    </w:tbl>
    <w:p w:rsidR="00CB0DD7" w:rsidRPr="000A0A5F" w:rsidRDefault="00CB0DD7"/>
    <w:p w:rsidR="00CB0DD7" w:rsidRPr="000A0A5F" w:rsidRDefault="00CB0DD7">
      <w:pPr>
        <w:pStyle w:val="Heading5"/>
        <w:spacing w:before="180"/>
      </w:pPr>
      <w:bookmarkStart w:id="7297" w:name="_Toc11247733"/>
      <w:bookmarkStart w:id="7298" w:name="_Toc27044873"/>
      <w:bookmarkStart w:id="7299" w:name="_Toc36033915"/>
      <w:bookmarkStart w:id="7300" w:name="_Toc45132061"/>
      <w:bookmarkStart w:id="7301" w:name="_Toc49776346"/>
      <w:bookmarkStart w:id="7302" w:name="_Toc51747266"/>
      <w:bookmarkStart w:id="7303" w:name="_Toc66360839"/>
      <w:bookmarkStart w:id="7304" w:name="_Toc68105344"/>
      <w:bookmarkStart w:id="7305" w:name="_Toc74755974"/>
      <w:bookmarkStart w:id="7306" w:name="_Toc105674850"/>
      <w:bookmarkStart w:id="7307" w:name="_Toc130502910"/>
      <w:bookmarkStart w:id="7308" w:name="_Toc153625698"/>
      <w:r w:rsidRPr="000A0A5F">
        <w:t>5.10.2.3.4</w:t>
      </w:r>
      <w:r w:rsidRPr="000A0A5F">
        <w:tab/>
        <w:t xml:space="preserve">Enumeration: </w:t>
      </w:r>
      <w:r w:rsidRPr="000A0A5F">
        <w:rPr>
          <w:lang w:eastAsia="zh-CN"/>
        </w:rPr>
        <w:t>StationaryIndication</w:t>
      </w:r>
      <w:bookmarkEnd w:id="7297"/>
      <w:bookmarkEnd w:id="7298"/>
      <w:bookmarkEnd w:id="7299"/>
      <w:bookmarkEnd w:id="7300"/>
      <w:bookmarkEnd w:id="7301"/>
      <w:bookmarkEnd w:id="7302"/>
      <w:bookmarkEnd w:id="7303"/>
      <w:bookmarkEnd w:id="7304"/>
      <w:bookmarkEnd w:id="7305"/>
      <w:bookmarkEnd w:id="7306"/>
      <w:bookmarkEnd w:id="7307"/>
      <w:bookmarkEnd w:id="7308"/>
    </w:p>
    <w:p w:rsidR="00CB0DD7" w:rsidRPr="000A0A5F" w:rsidRDefault="00CB0DD7">
      <w:pPr>
        <w:pStyle w:val="TH"/>
      </w:pPr>
      <w:r w:rsidRPr="000A0A5F">
        <w:t>Table 5.10.2.3.4-1: Enumeration StationaryIndication</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334"/>
        <w:gridCol w:w="4728"/>
        <w:gridCol w:w="2695"/>
      </w:tblGrid>
      <w:tr w:rsidR="00CB0DD7" w:rsidRPr="000A0A5F" w:rsidTr="00FF0AF8">
        <w:trPr>
          <w:trHeight w:val="280"/>
        </w:trPr>
        <w:tc>
          <w:tcPr>
            <w:tcW w:w="1196" w:type="pct"/>
            <w:shd w:val="clear" w:color="auto" w:fill="C0C0C0"/>
            <w:tcMar>
              <w:top w:w="0" w:type="dxa"/>
              <w:left w:w="108" w:type="dxa"/>
              <w:bottom w:w="0" w:type="dxa"/>
              <w:right w:w="108" w:type="dxa"/>
            </w:tcMar>
          </w:tcPr>
          <w:p w:rsidR="00CB0DD7" w:rsidRPr="000A0A5F" w:rsidRDefault="00CB0DD7">
            <w:pPr>
              <w:pStyle w:val="TAH"/>
            </w:pPr>
            <w:r w:rsidRPr="000A0A5F">
              <w:t>Enumeration value</w:t>
            </w:r>
          </w:p>
        </w:tc>
        <w:tc>
          <w:tcPr>
            <w:tcW w:w="2423" w:type="pct"/>
            <w:shd w:val="clear" w:color="auto" w:fill="C0C0C0"/>
            <w:tcMar>
              <w:top w:w="0" w:type="dxa"/>
              <w:left w:w="108" w:type="dxa"/>
              <w:bottom w:w="0" w:type="dxa"/>
              <w:right w:w="108" w:type="dxa"/>
            </w:tcMar>
          </w:tcPr>
          <w:p w:rsidR="00CB0DD7" w:rsidRPr="000A0A5F" w:rsidRDefault="00CB0DD7">
            <w:pPr>
              <w:pStyle w:val="TAH"/>
            </w:pPr>
            <w:r w:rsidRPr="000A0A5F">
              <w:t>Description</w:t>
            </w:r>
          </w:p>
        </w:tc>
        <w:tc>
          <w:tcPr>
            <w:tcW w:w="1381" w:type="pct"/>
            <w:shd w:val="clear" w:color="auto" w:fill="C0C0C0"/>
          </w:tcPr>
          <w:p w:rsidR="00CB0DD7" w:rsidRPr="000A0A5F" w:rsidRDefault="00CB0DD7">
            <w:pPr>
              <w:pStyle w:val="TAH"/>
            </w:pPr>
            <w:r w:rsidRPr="000A0A5F">
              <w:rPr>
                <w:rFonts w:eastAsia="Times New Roman" w:cs="Arial"/>
                <w:szCs w:val="18"/>
              </w:rPr>
              <w:t>Applicability (NOTE)</w:t>
            </w:r>
          </w:p>
        </w:tc>
      </w:tr>
      <w:tr w:rsidR="00CB0DD7" w:rsidRPr="000A0A5F" w:rsidTr="00FF0AF8">
        <w:tc>
          <w:tcPr>
            <w:tcW w:w="1196" w:type="pct"/>
            <w:tcMar>
              <w:top w:w="0" w:type="dxa"/>
              <w:left w:w="108" w:type="dxa"/>
              <w:bottom w:w="0" w:type="dxa"/>
              <w:right w:w="108" w:type="dxa"/>
            </w:tcMar>
          </w:tcPr>
          <w:p w:rsidR="00CB0DD7" w:rsidRPr="000A0A5F" w:rsidRDefault="00CB0DD7">
            <w:pPr>
              <w:pStyle w:val="TAL"/>
              <w:rPr>
                <w:rFonts w:hint="eastAsia"/>
                <w:lang w:eastAsia="zh-CN"/>
              </w:rPr>
            </w:pPr>
            <w:r w:rsidRPr="000A0A5F">
              <w:rPr>
                <w:rFonts w:hint="eastAsia"/>
                <w:lang w:eastAsia="zh-CN"/>
              </w:rPr>
              <w:t>STATIONARY</w:t>
            </w:r>
          </w:p>
        </w:tc>
        <w:tc>
          <w:tcPr>
            <w:tcW w:w="2423" w:type="pct"/>
            <w:tcMar>
              <w:top w:w="0" w:type="dxa"/>
              <w:left w:w="108" w:type="dxa"/>
              <w:bottom w:w="0" w:type="dxa"/>
              <w:right w:w="108" w:type="dxa"/>
            </w:tcMar>
          </w:tcPr>
          <w:p w:rsidR="00CB0DD7" w:rsidRPr="000A0A5F" w:rsidRDefault="00CB0DD7">
            <w:pPr>
              <w:pStyle w:val="TAL"/>
              <w:rPr>
                <w:rFonts w:hint="eastAsia"/>
                <w:lang w:eastAsia="zh-CN"/>
              </w:rPr>
            </w:pPr>
            <w:r w:rsidRPr="000A0A5F">
              <w:rPr>
                <w:rFonts w:hint="eastAsia"/>
                <w:lang w:eastAsia="zh-CN"/>
              </w:rPr>
              <w:t xml:space="preserve">Identifies </w:t>
            </w:r>
            <w:r w:rsidRPr="000A0A5F">
              <w:rPr>
                <w:lang w:eastAsia="zh-CN"/>
              </w:rPr>
              <w:t>the UE is stationary</w:t>
            </w:r>
          </w:p>
        </w:tc>
        <w:tc>
          <w:tcPr>
            <w:tcW w:w="1381" w:type="pct"/>
          </w:tcPr>
          <w:p w:rsidR="00CB0DD7" w:rsidRPr="000A0A5F" w:rsidRDefault="00CB0DD7">
            <w:pPr>
              <w:pStyle w:val="TAL"/>
              <w:rPr>
                <w:rFonts w:cs="Arial"/>
                <w:szCs w:val="18"/>
                <w:lang w:eastAsia="zh-CN"/>
              </w:rPr>
            </w:pPr>
          </w:p>
        </w:tc>
      </w:tr>
      <w:tr w:rsidR="00CB0DD7" w:rsidRPr="000A0A5F" w:rsidTr="00FF0AF8">
        <w:tc>
          <w:tcPr>
            <w:tcW w:w="1196" w:type="pct"/>
            <w:tcMar>
              <w:top w:w="0" w:type="dxa"/>
              <w:left w:w="108" w:type="dxa"/>
              <w:bottom w:w="0" w:type="dxa"/>
              <w:right w:w="108" w:type="dxa"/>
            </w:tcMar>
          </w:tcPr>
          <w:p w:rsidR="00CB0DD7" w:rsidRPr="000A0A5F" w:rsidRDefault="00CB0DD7">
            <w:pPr>
              <w:pStyle w:val="TAL"/>
              <w:rPr>
                <w:rFonts w:hint="eastAsia"/>
                <w:lang w:eastAsia="zh-CN"/>
              </w:rPr>
            </w:pPr>
            <w:r w:rsidRPr="000A0A5F">
              <w:rPr>
                <w:rFonts w:hint="eastAsia"/>
                <w:lang w:eastAsia="zh-CN"/>
              </w:rPr>
              <w:t>MOBILE</w:t>
            </w:r>
          </w:p>
        </w:tc>
        <w:tc>
          <w:tcPr>
            <w:tcW w:w="2423" w:type="pct"/>
            <w:tcMar>
              <w:top w:w="0" w:type="dxa"/>
              <w:left w:w="108" w:type="dxa"/>
              <w:bottom w:w="0" w:type="dxa"/>
              <w:right w:w="108" w:type="dxa"/>
            </w:tcMar>
          </w:tcPr>
          <w:p w:rsidR="00CB0DD7" w:rsidRPr="000A0A5F" w:rsidRDefault="00CB0DD7">
            <w:pPr>
              <w:pStyle w:val="TAL"/>
              <w:rPr>
                <w:rFonts w:hint="eastAsia"/>
                <w:lang w:eastAsia="zh-CN"/>
              </w:rPr>
            </w:pPr>
            <w:r w:rsidRPr="000A0A5F">
              <w:rPr>
                <w:rFonts w:hint="eastAsia"/>
                <w:lang w:eastAsia="zh-CN"/>
              </w:rPr>
              <w:t>Identifies the UE is mobile</w:t>
            </w:r>
          </w:p>
        </w:tc>
        <w:tc>
          <w:tcPr>
            <w:tcW w:w="1381" w:type="pct"/>
          </w:tcPr>
          <w:p w:rsidR="00CB0DD7" w:rsidRPr="000A0A5F" w:rsidRDefault="00CB0DD7">
            <w:pPr>
              <w:pStyle w:val="TAL"/>
              <w:rPr>
                <w:rFonts w:cs="Arial"/>
                <w:szCs w:val="18"/>
                <w:lang w:eastAsia="zh-CN"/>
              </w:rPr>
            </w:pPr>
          </w:p>
        </w:tc>
      </w:tr>
      <w:tr w:rsidR="00CB0DD7" w:rsidRPr="000A0A5F" w:rsidTr="00FF0AF8">
        <w:trPr>
          <w:trHeight w:val="495"/>
        </w:trPr>
        <w:tc>
          <w:tcPr>
            <w:tcW w:w="5000" w:type="pct"/>
            <w:gridSpan w:val="3"/>
            <w:tcMar>
              <w:top w:w="0" w:type="dxa"/>
              <w:left w:w="108" w:type="dxa"/>
              <w:bottom w:w="0" w:type="dxa"/>
              <w:right w:w="108" w:type="dxa"/>
            </w:tcMar>
          </w:tcPr>
          <w:p w:rsidR="00CB0DD7" w:rsidRPr="000A0A5F" w:rsidRDefault="00CB0DD7">
            <w:pPr>
              <w:pStyle w:val="TAN"/>
            </w:pPr>
            <w:r w:rsidRPr="000A0A5F">
              <w:t>NOTE:</w:t>
            </w:r>
            <w:r w:rsidRPr="000A0A5F">
              <w:tab/>
              <w:t>Properties marked with a feature as defined in clause 5.10.4 are applicable as described in clause 5.2.7. If no features are indicated, the related property applies for all the features.</w:t>
            </w:r>
          </w:p>
        </w:tc>
      </w:tr>
    </w:tbl>
    <w:p w:rsidR="00CB0DD7" w:rsidRPr="000A0A5F" w:rsidRDefault="00CB0DD7"/>
    <w:p w:rsidR="00CB0DD7" w:rsidRPr="000A0A5F" w:rsidRDefault="00CB0DD7">
      <w:pPr>
        <w:pStyle w:val="Heading5"/>
      </w:pPr>
      <w:bookmarkStart w:id="7309" w:name="_Toc11247734"/>
      <w:bookmarkStart w:id="7310" w:name="_Toc27044874"/>
      <w:bookmarkStart w:id="7311" w:name="_Toc36033916"/>
      <w:bookmarkStart w:id="7312" w:name="_Toc45132062"/>
      <w:bookmarkStart w:id="7313" w:name="_Toc49776347"/>
      <w:bookmarkStart w:id="7314" w:name="_Toc51747267"/>
      <w:bookmarkStart w:id="7315" w:name="_Toc66360840"/>
      <w:bookmarkStart w:id="7316" w:name="_Toc68105345"/>
      <w:bookmarkStart w:id="7317" w:name="_Toc74755975"/>
      <w:bookmarkStart w:id="7318" w:name="_Toc105674851"/>
      <w:bookmarkStart w:id="7319" w:name="_Toc130502911"/>
      <w:bookmarkStart w:id="7320" w:name="_Toc153625699"/>
      <w:r w:rsidRPr="000A0A5F">
        <w:t>5.10.2.3.5</w:t>
      </w:r>
      <w:r w:rsidRPr="000A0A5F">
        <w:tab/>
        <w:t>Enumeration: CpFailureCode</w:t>
      </w:r>
      <w:bookmarkEnd w:id="7309"/>
      <w:bookmarkEnd w:id="7310"/>
      <w:bookmarkEnd w:id="7311"/>
      <w:bookmarkEnd w:id="7312"/>
      <w:bookmarkEnd w:id="7313"/>
      <w:bookmarkEnd w:id="7314"/>
      <w:bookmarkEnd w:id="7315"/>
      <w:bookmarkEnd w:id="7316"/>
      <w:bookmarkEnd w:id="7317"/>
      <w:bookmarkEnd w:id="7318"/>
      <w:bookmarkEnd w:id="7319"/>
      <w:bookmarkEnd w:id="7320"/>
    </w:p>
    <w:p w:rsidR="00CB0DD7" w:rsidRPr="000A0A5F" w:rsidRDefault="00CB0DD7">
      <w:r w:rsidRPr="000A0A5F">
        <w:t xml:space="preserve">The enumeration </w:t>
      </w:r>
      <w:r w:rsidRPr="000A0A5F">
        <w:rPr>
          <w:rFonts w:eastAsia="Times New Roman"/>
        </w:rPr>
        <w:t>FailureCode</w:t>
      </w:r>
      <w:r w:rsidRPr="000A0A5F">
        <w:t xml:space="preserve"> represents the failure reason of the CP parameter provisioning.</w:t>
      </w:r>
    </w:p>
    <w:p w:rsidR="00CB0DD7" w:rsidRPr="000A0A5F" w:rsidRDefault="00CB0DD7">
      <w:pPr>
        <w:pStyle w:val="TH"/>
      </w:pPr>
      <w:r w:rsidRPr="000A0A5F">
        <w:t>Table 5.10.2.3.5-1: Enumeration Cp</w:t>
      </w:r>
      <w:r w:rsidRPr="000A0A5F">
        <w:rPr>
          <w:rFonts w:eastAsia="Times New Roman"/>
        </w:rPr>
        <w:t>FailureCode</w:t>
      </w:r>
    </w:p>
    <w:tbl>
      <w:tblPr>
        <w:tblW w:w="4673" w:type="pct"/>
        <w:tblInd w:w="-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3707"/>
        <w:gridCol w:w="4096"/>
        <w:gridCol w:w="1316"/>
      </w:tblGrid>
      <w:tr w:rsidR="00CB0DD7" w:rsidRPr="000A0A5F" w:rsidTr="00FF0AF8">
        <w:tc>
          <w:tcPr>
            <w:tcW w:w="1632" w:type="pct"/>
            <w:shd w:val="clear" w:color="auto" w:fill="C0C0C0"/>
            <w:tcMar>
              <w:top w:w="0" w:type="dxa"/>
              <w:left w:w="108" w:type="dxa"/>
              <w:bottom w:w="0" w:type="dxa"/>
              <w:right w:w="108" w:type="dxa"/>
            </w:tcMar>
            <w:hideMark/>
          </w:tcPr>
          <w:p w:rsidR="00CB0DD7" w:rsidRPr="000A0A5F" w:rsidRDefault="00CB0DD7">
            <w:pPr>
              <w:pStyle w:val="TAH"/>
            </w:pPr>
            <w:r w:rsidRPr="000A0A5F">
              <w:t>Enumeration value</w:t>
            </w:r>
          </w:p>
        </w:tc>
        <w:tc>
          <w:tcPr>
            <w:tcW w:w="2745" w:type="pct"/>
            <w:shd w:val="clear" w:color="auto" w:fill="C0C0C0"/>
            <w:tcMar>
              <w:top w:w="0" w:type="dxa"/>
              <w:left w:w="108" w:type="dxa"/>
              <w:bottom w:w="0" w:type="dxa"/>
              <w:right w:w="108" w:type="dxa"/>
            </w:tcMar>
            <w:hideMark/>
          </w:tcPr>
          <w:p w:rsidR="00CB0DD7" w:rsidRPr="000A0A5F" w:rsidRDefault="00CB0DD7">
            <w:pPr>
              <w:pStyle w:val="TAH"/>
            </w:pPr>
            <w:r w:rsidRPr="000A0A5F">
              <w:t>Description</w:t>
            </w:r>
          </w:p>
        </w:tc>
        <w:tc>
          <w:tcPr>
            <w:tcW w:w="623" w:type="pct"/>
            <w:shd w:val="clear" w:color="auto" w:fill="C0C0C0"/>
            <w:hideMark/>
          </w:tcPr>
          <w:p w:rsidR="00CB0DD7" w:rsidRPr="000A0A5F" w:rsidRDefault="00CB0DD7">
            <w:pPr>
              <w:pStyle w:val="TAH"/>
            </w:pPr>
            <w:r w:rsidRPr="000A0A5F">
              <w:rPr>
                <w:rFonts w:eastAsia="Times New Roman" w:cs="Arial"/>
                <w:szCs w:val="18"/>
              </w:rPr>
              <w:t>Applicability (NOTE)</w:t>
            </w:r>
          </w:p>
        </w:tc>
      </w:tr>
      <w:tr w:rsidR="00CB0DD7" w:rsidRPr="000A0A5F" w:rsidTr="00FF0AF8">
        <w:tc>
          <w:tcPr>
            <w:tcW w:w="1632" w:type="pct"/>
            <w:tcMar>
              <w:top w:w="0" w:type="dxa"/>
              <w:left w:w="108" w:type="dxa"/>
              <w:bottom w:w="0" w:type="dxa"/>
              <w:right w:w="108" w:type="dxa"/>
            </w:tcMar>
            <w:hideMark/>
          </w:tcPr>
          <w:p w:rsidR="00CB0DD7" w:rsidRPr="000A0A5F" w:rsidRDefault="00CB0DD7">
            <w:pPr>
              <w:pStyle w:val="TAL"/>
            </w:pPr>
            <w:r w:rsidRPr="000A0A5F">
              <w:t>MALFUNCTION</w:t>
            </w:r>
          </w:p>
        </w:tc>
        <w:tc>
          <w:tcPr>
            <w:tcW w:w="2745" w:type="pct"/>
            <w:tcMar>
              <w:top w:w="0" w:type="dxa"/>
              <w:left w:w="108" w:type="dxa"/>
              <w:bottom w:w="0" w:type="dxa"/>
              <w:right w:w="108" w:type="dxa"/>
            </w:tcMar>
            <w:hideMark/>
          </w:tcPr>
          <w:p w:rsidR="00CB0DD7" w:rsidRPr="000A0A5F" w:rsidRDefault="00CB0DD7">
            <w:pPr>
              <w:pStyle w:val="TAL"/>
            </w:pPr>
            <w:r w:rsidRPr="000A0A5F">
              <w:t>This value indicates that something functions wrongly in CP parameter provisioning or the CP parameter provisioning does not function at all.</w:t>
            </w:r>
          </w:p>
        </w:tc>
        <w:tc>
          <w:tcPr>
            <w:tcW w:w="623" w:type="pct"/>
          </w:tcPr>
          <w:p w:rsidR="00CB0DD7" w:rsidRPr="000A0A5F" w:rsidRDefault="00CB0DD7">
            <w:pPr>
              <w:pStyle w:val="TAL"/>
              <w:rPr>
                <w:rFonts w:cs="Arial"/>
                <w:szCs w:val="18"/>
                <w:lang w:eastAsia="zh-CN"/>
              </w:rPr>
            </w:pPr>
          </w:p>
        </w:tc>
      </w:tr>
      <w:tr w:rsidR="00CB0DD7" w:rsidRPr="000A0A5F" w:rsidTr="00FF0AF8">
        <w:tc>
          <w:tcPr>
            <w:tcW w:w="1632" w:type="pct"/>
            <w:tcMar>
              <w:top w:w="0" w:type="dxa"/>
              <w:left w:w="108" w:type="dxa"/>
              <w:bottom w:w="0" w:type="dxa"/>
              <w:right w:w="108" w:type="dxa"/>
            </w:tcMar>
          </w:tcPr>
          <w:p w:rsidR="00CB0DD7" w:rsidRPr="000A0A5F" w:rsidRDefault="00CB0DD7">
            <w:pPr>
              <w:pStyle w:val="TAL"/>
            </w:pPr>
            <w:r w:rsidRPr="000A0A5F">
              <w:t>SET_ID_DUPLICATED</w:t>
            </w:r>
          </w:p>
        </w:tc>
        <w:tc>
          <w:tcPr>
            <w:tcW w:w="2745" w:type="pct"/>
            <w:tcMar>
              <w:top w:w="0" w:type="dxa"/>
              <w:left w:w="108" w:type="dxa"/>
              <w:bottom w:w="0" w:type="dxa"/>
              <w:right w:w="108" w:type="dxa"/>
            </w:tcMar>
          </w:tcPr>
          <w:p w:rsidR="00CB0DD7" w:rsidRPr="000A0A5F" w:rsidRDefault="00CB0DD7">
            <w:pPr>
              <w:pStyle w:val="TAL"/>
            </w:pPr>
            <w:r w:rsidRPr="000A0A5F">
              <w:t>The received CP set identifier(s) are already provisioned.</w:t>
            </w:r>
          </w:p>
        </w:tc>
        <w:tc>
          <w:tcPr>
            <w:tcW w:w="623" w:type="pct"/>
          </w:tcPr>
          <w:p w:rsidR="00CB0DD7" w:rsidRPr="000A0A5F" w:rsidRDefault="00CB0DD7">
            <w:pPr>
              <w:pStyle w:val="TAL"/>
              <w:rPr>
                <w:rFonts w:cs="Arial"/>
                <w:szCs w:val="18"/>
                <w:lang w:eastAsia="zh-CN"/>
              </w:rPr>
            </w:pPr>
          </w:p>
        </w:tc>
      </w:tr>
      <w:tr w:rsidR="00CB0DD7" w:rsidRPr="000A0A5F" w:rsidTr="00FF0AF8">
        <w:tc>
          <w:tcPr>
            <w:tcW w:w="1632" w:type="pct"/>
            <w:tcMar>
              <w:top w:w="0" w:type="dxa"/>
              <w:left w:w="108" w:type="dxa"/>
              <w:bottom w:w="0" w:type="dxa"/>
              <w:right w:w="108" w:type="dxa"/>
            </w:tcMar>
            <w:hideMark/>
          </w:tcPr>
          <w:p w:rsidR="00CB0DD7" w:rsidRPr="000A0A5F" w:rsidRDefault="00CB0DD7">
            <w:pPr>
              <w:pStyle w:val="TAL"/>
            </w:pPr>
            <w:r w:rsidRPr="000A0A5F">
              <w:t>OTHER_REASON</w:t>
            </w:r>
          </w:p>
        </w:tc>
        <w:tc>
          <w:tcPr>
            <w:tcW w:w="2745" w:type="pct"/>
            <w:tcMar>
              <w:top w:w="0" w:type="dxa"/>
              <w:left w:w="108" w:type="dxa"/>
              <w:bottom w:w="0" w:type="dxa"/>
              <w:right w:w="108" w:type="dxa"/>
            </w:tcMar>
            <w:hideMark/>
          </w:tcPr>
          <w:p w:rsidR="00CB0DD7" w:rsidRPr="000A0A5F" w:rsidRDefault="00CB0DD7">
            <w:pPr>
              <w:pStyle w:val="TAL"/>
            </w:pPr>
            <w:r w:rsidRPr="000A0A5F">
              <w:t>Other reason unspecified.</w:t>
            </w:r>
          </w:p>
        </w:tc>
        <w:tc>
          <w:tcPr>
            <w:tcW w:w="623" w:type="pct"/>
          </w:tcPr>
          <w:p w:rsidR="00CB0DD7" w:rsidRPr="000A0A5F" w:rsidRDefault="00CB0DD7">
            <w:pPr>
              <w:pStyle w:val="TAL"/>
              <w:rPr>
                <w:rFonts w:cs="Arial"/>
                <w:szCs w:val="18"/>
                <w:lang w:eastAsia="zh-CN"/>
              </w:rPr>
            </w:pPr>
          </w:p>
        </w:tc>
      </w:tr>
      <w:tr w:rsidR="00167F1C" w:rsidRPr="000A0A5F" w:rsidTr="00FF0AF8">
        <w:tc>
          <w:tcPr>
            <w:tcW w:w="1632" w:type="pct"/>
            <w:tcMar>
              <w:top w:w="0" w:type="dxa"/>
              <w:left w:w="108" w:type="dxa"/>
              <w:bottom w:w="0" w:type="dxa"/>
              <w:right w:w="108" w:type="dxa"/>
            </w:tcMar>
          </w:tcPr>
          <w:p w:rsidR="00167F1C" w:rsidRPr="000A0A5F" w:rsidRDefault="00167F1C" w:rsidP="00167F1C">
            <w:pPr>
              <w:pStyle w:val="TAL"/>
            </w:pPr>
            <w:r w:rsidRPr="000A0A5F">
              <w:t>CONFIDENCE_LEVEL_NOT_SUFFICIENT</w:t>
            </w:r>
          </w:p>
        </w:tc>
        <w:tc>
          <w:tcPr>
            <w:tcW w:w="2745" w:type="pct"/>
            <w:tcMar>
              <w:top w:w="0" w:type="dxa"/>
              <w:left w:w="108" w:type="dxa"/>
              <w:bottom w:w="0" w:type="dxa"/>
              <w:right w:w="108" w:type="dxa"/>
            </w:tcMar>
          </w:tcPr>
          <w:p w:rsidR="00167F1C" w:rsidRPr="000A0A5F" w:rsidRDefault="00167F1C" w:rsidP="00167F1C">
            <w:pPr>
              <w:pStyle w:val="TAL"/>
            </w:pPr>
            <w:r w:rsidRPr="000A0A5F">
              <w:t>This value indicate that the confidence level provided is not sufficient</w:t>
            </w:r>
          </w:p>
        </w:tc>
        <w:tc>
          <w:tcPr>
            <w:tcW w:w="623" w:type="pct"/>
          </w:tcPr>
          <w:p w:rsidR="00167F1C" w:rsidRPr="000A0A5F" w:rsidRDefault="00167F1C" w:rsidP="00167F1C">
            <w:pPr>
              <w:pStyle w:val="TAL"/>
              <w:rPr>
                <w:rFonts w:cs="Arial"/>
                <w:szCs w:val="18"/>
                <w:lang w:eastAsia="zh-CN"/>
              </w:rPr>
            </w:pPr>
            <w:r w:rsidRPr="000A0A5F">
              <w:t>ConfAccuLevels</w:t>
            </w:r>
          </w:p>
        </w:tc>
      </w:tr>
      <w:tr w:rsidR="00167F1C" w:rsidRPr="000A0A5F" w:rsidTr="00FF0AF8">
        <w:tc>
          <w:tcPr>
            <w:tcW w:w="1632" w:type="pct"/>
            <w:tcMar>
              <w:top w:w="0" w:type="dxa"/>
              <w:left w:w="108" w:type="dxa"/>
              <w:bottom w:w="0" w:type="dxa"/>
              <w:right w:w="108" w:type="dxa"/>
            </w:tcMar>
          </w:tcPr>
          <w:p w:rsidR="00167F1C" w:rsidRPr="000A0A5F" w:rsidRDefault="00167F1C" w:rsidP="00167F1C">
            <w:pPr>
              <w:pStyle w:val="TAL"/>
            </w:pPr>
            <w:r w:rsidRPr="000A0A5F">
              <w:t>ACCURACY_LEVEL_NOT_SUFFICIENT</w:t>
            </w:r>
          </w:p>
        </w:tc>
        <w:tc>
          <w:tcPr>
            <w:tcW w:w="2745" w:type="pct"/>
            <w:tcMar>
              <w:top w:w="0" w:type="dxa"/>
              <w:left w:w="108" w:type="dxa"/>
              <w:bottom w:w="0" w:type="dxa"/>
              <w:right w:w="108" w:type="dxa"/>
            </w:tcMar>
          </w:tcPr>
          <w:p w:rsidR="00167F1C" w:rsidRPr="000A0A5F" w:rsidRDefault="00167F1C" w:rsidP="00167F1C">
            <w:pPr>
              <w:pStyle w:val="TAL"/>
            </w:pPr>
            <w:r w:rsidRPr="000A0A5F">
              <w:t>This value indicate that the accuracy level provided is not sufficient</w:t>
            </w:r>
          </w:p>
        </w:tc>
        <w:tc>
          <w:tcPr>
            <w:tcW w:w="623" w:type="pct"/>
          </w:tcPr>
          <w:p w:rsidR="00167F1C" w:rsidRPr="000A0A5F" w:rsidRDefault="00167F1C" w:rsidP="00167F1C">
            <w:pPr>
              <w:pStyle w:val="TAL"/>
              <w:rPr>
                <w:rFonts w:cs="Arial"/>
                <w:szCs w:val="18"/>
                <w:lang w:eastAsia="zh-CN"/>
              </w:rPr>
            </w:pPr>
            <w:r w:rsidRPr="000A0A5F">
              <w:t>ConfAccuLevels</w:t>
            </w:r>
          </w:p>
        </w:tc>
      </w:tr>
      <w:tr w:rsidR="00167F1C" w:rsidRPr="000A0A5F" w:rsidTr="00FF0AF8">
        <w:tc>
          <w:tcPr>
            <w:tcW w:w="5000" w:type="pct"/>
            <w:gridSpan w:val="3"/>
            <w:tcMar>
              <w:top w:w="0" w:type="dxa"/>
              <w:left w:w="108" w:type="dxa"/>
              <w:bottom w:w="0" w:type="dxa"/>
              <w:right w:w="108" w:type="dxa"/>
            </w:tcMar>
            <w:hideMark/>
          </w:tcPr>
          <w:p w:rsidR="00167F1C" w:rsidRPr="000A0A5F" w:rsidRDefault="00167F1C" w:rsidP="00167F1C">
            <w:pPr>
              <w:pStyle w:val="TAN"/>
            </w:pPr>
            <w:r w:rsidRPr="000A0A5F">
              <w:t>NOTE:</w:t>
            </w:r>
            <w:r w:rsidRPr="000A0A5F">
              <w:tab/>
              <w:t>Properties marked with a feature as defined in clause 5.10.4 are applicable as described in clause 5.2.7. If no features are indicated, the related property applies for all the features.</w:t>
            </w:r>
          </w:p>
        </w:tc>
      </w:tr>
    </w:tbl>
    <w:p w:rsidR="00CB0DD7" w:rsidRPr="000A0A5F" w:rsidRDefault="00CB0DD7"/>
    <w:p w:rsidR="00CB0DD7" w:rsidRPr="000A0A5F" w:rsidRDefault="00CB0DD7">
      <w:pPr>
        <w:pStyle w:val="Heading5"/>
      </w:pPr>
      <w:bookmarkStart w:id="7321" w:name="_Toc27044875"/>
      <w:bookmarkStart w:id="7322" w:name="_Toc36033917"/>
      <w:bookmarkStart w:id="7323" w:name="_Toc45132063"/>
      <w:bookmarkStart w:id="7324" w:name="_Toc49776348"/>
      <w:bookmarkStart w:id="7325" w:name="_Toc51747268"/>
      <w:bookmarkStart w:id="7326" w:name="_Toc66360841"/>
      <w:bookmarkStart w:id="7327" w:name="_Toc68105346"/>
      <w:bookmarkStart w:id="7328" w:name="_Toc74755976"/>
      <w:bookmarkStart w:id="7329" w:name="_Toc105674852"/>
      <w:bookmarkStart w:id="7330" w:name="_Toc130502912"/>
      <w:bookmarkStart w:id="7331" w:name="_Toc153625700"/>
      <w:r w:rsidRPr="000A0A5F">
        <w:t>5.10.2.3.6</w:t>
      </w:r>
      <w:r w:rsidRPr="000A0A5F">
        <w:tab/>
        <w:t>Enumeration: BatteryIndication</w:t>
      </w:r>
      <w:bookmarkEnd w:id="7321"/>
      <w:bookmarkEnd w:id="7322"/>
      <w:bookmarkEnd w:id="7323"/>
      <w:bookmarkEnd w:id="7324"/>
      <w:bookmarkEnd w:id="7325"/>
      <w:bookmarkEnd w:id="7326"/>
      <w:bookmarkEnd w:id="7327"/>
      <w:bookmarkEnd w:id="7328"/>
      <w:bookmarkEnd w:id="7329"/>
      <w:bookmarkEnd w:id="7330"/>
      <w:bookmarkEnd w:id="7331"/>
    </w:p>
    <w:p w:rsidR="00CB0DD7" w:rsidRPr="000A0A5F" w:rsidRDefault="00CB0DD7">
      <w:r w:rsidRPr="000A0A5F">
        <w:t>The enumeration BatteryIndication represents the type of power consumption.</w:t>
      </w:r>
    </w:p>
    <w:p w:rsidR="00CB0DD7" w:rsidRPr="000A0A5F" w:rsidRDefault="00CB0DD7">
      <w:pPr>
        <w:pStyle w:val="TH"/>
      </w:pPr>
      <w:r w:rsidRPr="000A0A5F">
        <w:t>Table 5.10.2.3.6-1: Enumeration BatteryIndication</w:t>
      </w:r>
    </w:p>
    <w:tbl>
      <w:tblPr>
        <w:tblW w:w="4673" w:type="pct"/>
        <w:tblInd w:w="-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2977"/>
        <w:gridCol w:w="5006"/>
        <w:gridCol w:w="1136"/>
      </w:tblGrid>
      <w:tr w:rsidR="00CB0DD7" w:rsidRPr="000A0A5F" w:rsidTr="00FF0AF8">
        <w:tc>
          <w:tcPr>
            <w:tcW w:w="1632" w:type="pct"/>
            <w:shd w:val="clear" w:color="auto" w:fill="C0C0C0"/>
            <w:tcMar>
              <w:top w:w="0" w:type="dxa"/>
              <w:left w:w="108" w:type="dxa"/>
              <w:bottom w:w="0" w:type="dxa"/>
              <w:right w:w="108" w:type="dxa"/>
            </w:tcMar>
            <w:hideMark/>
          </w:tcPr>
          <w:p w:rsidR="00CB0DD7" w:rsidRPr="000A0A5F" w:rsidRDefault="00CB0DD7">
            <w:pPr>
              <w:pStyle w:val="TAH"/>
            </w:pPr>
            <w:r w:rsidRPr="000A0A5F">
              <w:t>Enumeration value</w:t>
            </w:r>
          </w:p>
        </w:tc>
        <w:tc>
          <w:tcPr>
            <w:tcW w:w="2745" w:type="pct"/>
            <w:shd w:val="clear" w:color="auto" w:fill="C0C0C0"/>
            <w:tcMar>
              <w:top w:w="0" w:type="dxa"/>
              <w:left w:w="108" w:type="dxa"/>
              <w:bottom w:w="0" w:type="dxa"/>
              <w:right w:w="108" w:type="dxa"/>
            </w:tcMar>
            <w:hideMark/>
          </w:tcPr>
          <w:p w:rsidR="00CB0DD7" w:rsidRPr="000A0A5F" w:rsidRDefault="00CB0DD7">
            <w:pPr>
              <w:pStyle w:val="TAH"/>
            </w:pPr>
            <w:r w:rsidRPr="000A0A5F">
              <w:t>Description</w:t>
            </w:r>
          </w:p>
        </w:tc>
        <w:tc>
          <w:tcPr>
            <w:tcW w:w="623" w:type="pct"/>
            <w:shd w:val="clear" w:color="auto" w:fill="C0C0C0"/>
            <w:hideMark/>
          </w:tcPr>
          <w:p w:rsidR="00CB0DD7" w:rsidRPr="000A0A5F" w:rsidRDefault="00CB0DD7">
            <w:pPr>
              <w:pStyle w:val="TAH"/>
            </w:pPr>
            <w:r w:rsidRPr="000A0A5F">
              <w:rPr>
                <w:rFonts w:eastAsia="Times New Roman" w:cs="Arial"/>
                <w:szCs w:val="18"/>
              </w:rPr>
              <w:t>Applicability (NOTE)</w:t>
            </w:r>
          </w:p>
        </w:tc>
      </w:tr>
      <w:tr w:rsidR="00CB0DD7" w:rsidRPr="000A0A5F" w:rsidTr="00FF0AF8">
        <w:tc>
          <w:tcPr>
            <w:tcW w:w="1632" w:type="pct"/>
            <w:tcMar>
              <w:top w:w="0" w:type="dxa"/>
              <w:left w:w="108" w:type="dxa"/>
              <w:bottom w:w="0" w:type="dxa"/>
              <w:right w:w="108" w:type="dxa"/>
            </w:tcMar>
            <w:hideMark/>
          </w:tcPr>
          <w:p w:rsidR="00CB0DD7" w:rsidRPr="000A0A5F" w:rsidRDefault="00CB0DD7">
            <w:pPr>
              <w:pStyle w:val="TAL"/>
            </w:pPr>
            <w:r w:rsidRPr="000A0A5F">
              <w:t>BATTERY_RECHARGE</w:t>
            </w:r>
          </w:p>
        </w:tc>
        <w:tc>
          <w:tcPr>
            <w:tcW w:w="2745" w:type="pct"/>
            <w:tcMar>
              <w:top w:w="0" w:type="dxa"/>
              <w:left w:w="108" w:type="dxa"/>
              <w:bottom w:w="0" w:type="dxa"/>
              <w:right w:w="108" w:type="dxa"/>
            </w:tcMar>
            <w:hideMark/>
          </w:tcPr>
          <w:p w:rsidR="00CB0DD7" w:rsidRPr="000A0A5F" w:rsidRDefault="00CB0DD7">
            <w:pPr>
              <w:pStyle w:val="TAL"/>
            </w:pPr>
            <w:r w:rsidRPr="000A0A5F">
              <w:t>UE powered with rechargeable battery.</w:t>
            </w:r>
          </w:p>
        </w:tc>
        <w:tc>
          <w:tcPr>
            <w:tcW w:w="623" w:type="pct"/>
          </w:tcPr>
          <w:p w:rsidR="00CB0DD7" w:rsidRPr="000A0A5F" w:rsidRDefault="00CB0DD7">
            <w:pPr>
              <w:pStyle w:val="TAL"/>
              <w:rPr>
                <w:rFonts w:cs="Arial"/>
                <w:szCs w:val="18"/>
                <w:lang w:eastAsia="zh-CN"/>
              </w:rPr>
            </w:pPr>
          </w:p>
        </w:tc>
      </w:tr>
      <w:tr w:rsidR="00CB0DD7" w:rsidRPr="000A0A5F" w:rsidTr="00FF0AF8">
        <w:tc>
          <w:tcPr>
            <w:tcW w:w="1632" w:type="pct"/>
            <w:tcMar>
              <w:top w:w="0" w:type="dxa"/>
              <w:left w:w="108" w:type="dxa"/>
              <w:bottom w:w="0" w:type="dxa"/>
              <w:right w:w="108" w:type="dxa"/>
            </w:tcMar>
          </w:tcPr>
          <w:p w:rsidR="00CB0DD7" w:rsidRPr="000A0A5F" w:rsidRDefault="00CB0DD7">
            <w:pPr>
              <w:pStyle w:val="TAL"/>
            </w:pPr>
            <w:r w:rsidRPr="000A0A5F">
              <w:t>BATTERY_REPLACE</w:t>
            </w:r>
          </w:p>
        </w:tc>
        <w:tc>
          <w:tcPr>
            <w:tcW w:w="2745" w:type="pct"/>
            <w:tcMar>
              <w:top w:w="0" w:type="dxa"/>
              <w:left w:w="108" w:type="dxa"/>
              <w:bottom w:w="0" w:type="dxa"/>
              <w:right w:w="108" w:type="dxa"/>
            </w:tcMar>
          </w:tcPr>
          <w:p w:rsidR="00CB0DD7" w:rsidRPr="000A0A5F" w:rsidRDefault="00CB0DD7">
            <w:pPr>
              <w:pStyle w:val="TAL"/>
            </w:pPr>
            <w:r w:rsidRPr="000A0A5F">
              <w:t>UE powered with replaceable battery.</w:t>
            </w:r>
          </w:p>
        </w:tc>
        <w:tc>
          <w:tcPr>
            <w:tcW w:w="623" w:type="pct"/>
          </w:tcPr>
          <w:p w:rsidR="00CB0DD7" w:rsidRPr="000A0A5F" w:rsidRDefault="00CB0DD7">
            <w:pPr>
              <w:pStyle w:val="TAL"/>
              <w:rPr>
                <w:rFonts w:cs="Arial"/>
                <w:szCs w:val="18"/>
                <w:lang w:eastAsia="zh-CN"/>
              </w:rPr>
            </w:pPr>
          </w:p>
        </w:tc>
      </w:tr>
      <w:tr w:rsidR="00CB0DD7" w:rsidRPr="000A0A5F" w:rsidTr="00FF0AF8">
        <w:tc>
          <w:tcPr>
            <w:tcW w:w="1632" w:type="pct"/>
            <w:tcMar>
              <w:top w:w="0" w:type="dxa"/>
              <w:left w:w="108" w:type="dxa"/>
              <w:bottom w:w="0" w:type="dxa"/>
              <w:right w:w="108" w:type="dxa"/>
            </w:tcMar>
          </w:tcPr>
          <w:p w:rsidR="00CB0DD7" w:rsidRPr="000A0A5F" w:rsidRDefault="00CB0DD7">
            <w:pPr>
              <w:pStyle w:val="TAL"/>
              <w:rPr>
                <w:lang w:val="en-US"/>
              </w:rPr>
            </w:pPr>
            <w:r w:rsidRPr="000A0A5F">
              <w:rPr>
                <w:lang w:val="en-US"/>
              </w:rPr>
              <w:t>BATTERY_NO_RECHARGE</w:t>
            </w:r>
          </w:p>
        </w:tc>
        <w:tc>
          <w:tcPr>
            <w:tcW w:w="2745" w:type="pct"/>
            <w:tcMar>
              <w:top w:w="0" w:type="dxa"/>
              <w:left w:w="108" w:type="dxa"/>
              <w:bottom w:w="0" w:type="dxa"/>
              <w:right w:w="108" w:type="dxa"/>
            </w:tcMar>
          </w:tcPr>
          <w:p w:rsidR="00CB0DD7" w:rsidRPr="000A0A5F" w:rsidRDefault="00CB0DD7">
            <w:pPr>
              <w:pStyle w:val="TAL"/>
            </w:pPr>
            <w:r w:rsidRPr="000A0A5F">
              <w:t>UE powered with no rechargeable battery.</w:t>
            </w:r>
          </w:p>
        </w:tc>
        <w:tc>
          <w:tcPr>
            <w:tcW w:w="623" w:type="pct"/>
          </w:tcPr>
          <w:p w:rsidR="00CB0DD7" w:rsidRPr="000A0A5F" w:rsidRDefault="00CB0DD7">
            <w:pPr>
              <w:pStyle w:val="TAL"/>
              <w:rPr>
                <w:rFonts w:cs="Arial"/>
                <w:szCs w:val="18"/>
                <w:lang w:eastAsia="zh-CN"/>
              </w:rPr>
            </w:pPr>
          </w:p>
        </w:tc>
      </w:tr>
      <w:tr w:rsidR="00CB0DD7" w:rsidRPr="000A0A5F" w:rsidTr="00FF0AF8">
        <w:tc>
          <w:tcPr>
            <w:tcW w:w="1632" w:type="pct"/>
            <w:tcMar>
              <w:top w:w="0" w:type="dxa"/>
              <w:left w:w="108" w:type="dxa"/>
              <w:bottom w:w="0" w:type="dxa"/>
              <w:right w:w="108" w:type="dxa"/>
            </w:tcMar>
          </w:tcPr>
          <w:p w:rsidR="00CB0DD7" w:rsidRPr="000A0A5F" w:rsidRDefault="00CB0DD7">
            <w:pPr>
              <w:pStyle w:val="TAL"/>
              <w:rPr>
                <w:lang w:val="en-US"/>
              </w:rPr>
            </w:pPr>
            <w:r w:rsidRPr="000A0A5F">
              <w:rPr>
                <w:lang w:val="en-US"/>
              </w:rPr>
              <w:t>BATTERY_NO_REPLACE</w:t>
            </w:r>
          </w:p>
        </w:tc>
        <w:tc>
          <w:tcPr>
            <w:tcW w:w="2745" w:type="pct"/>
            <w:tcMar>
              <w:top w:w="0" w:type="dxa"/>
              <w:left w:w="108" w:type="dxa"/>
              <w:bottom w:w="0" w:type="dxa"/>
              <w:right w:w="108" w:type="dxa"/>
            </w:tcMar>
          </w:tcPr>
          <w:p w:rsidR="00CB0DD7" w:rsidRPr="000A0A5F" w:rsidRDefault="00CB0DD7">
            <w:pPr>
              <w:pStyle w:val="TAL"/>
            </w:pPr>
            <w:r w:rsidRPr="000A0A5F">
              <w:t>UE powered with no replaceable battery.</w:t>
            </w:r>
          </w:p>
        </w:tc>
        <w:tc>
          <w:tcPr>
            <w:tcW w:w="623" w:type="pct"/>
          </w:tcPr>
          <w:p w:rsidR="00CB0DD7" w:rsidRPr="000A0A5F" w:rsidRDefault="00CB0DD7">
            <w:pPr>
              <w:pStyle w:val="TAL"/>
              <w:rPr>
                <w:rFonts w:cs="Arial"/>
                <w:szCs w:val="18"/>
                <w:lang w:eastAsia="zh-CN"/>
              </w:rPr>
            </w:pPr>
          </w:p>
        </w:tc>
      </w:tr>
      <w:tr w:rsidR="00CB0DD7" w:rsidRPr="000A0A5F" w:rsidTr="00FF0AF8">
        <w:tc>
          <w:tcPr>
            <w:tcW w:w="1632" w:type="pct"/>
            <w:tcMar>
              <w:top w:w="0" w:type="dxa"/>
              <w:left w:w="108" w:type="dxa"/>
              <w:bottom w:w="0" w:type="dxa"/>
              <w:right w:w="108" w:type="dxa"/>
            </w:tcMar>
          </w:tcPr>
          <w:p w:rsidR="00CB0DD7" w:rsidRPr="000A0A5F" w:rsidRDefault="00CB0DD7">
            <w:pPr>
              <w:pStyle w:val="TAL"/>
            </w:pPr>
            <w:r w:rsidRPr="000A0A5F">
              <w:t>NO_BATTERY</w:t>
            </w:r>
          </w:p>
        </w:tc>
        <w:tc>
          <w:tcPr>
            <w:tcW w:w="2745" w:type="pct"/>
            <w:tcMar>
              <w:top w:w="0" w:type="dxa"/>
              <w:left w:w="108" w:type="dxa"/>
              <w:bottom w:w="0" w:type="dxa"/>
              <w:right w:w="108" w:type="dxa"/>
            </w:tcMar>
          </w:tcPr>
          <w:p w:rsidR="00CB0DD7" w:rsidRPr="000A0A5F" w:rsidRDefault="00CB0DD7">
            <w:pPr>
              <w:pStyle w:val="TAL"/>
            </w:pPr>
            <w:r w:rsidRPr="000A0A5F">
              <w:t>UE not battery powered.</w:t>
            </w:r>
          </w:p>
        </w:tc>
        <w:tc>
          <w:tcPr>
            <w:tcW w:w="623" w:type="pct"/>
          </w:tcPr>
          <w:p w:rsidR="00CB0DD7" w:rsidRPr="000A0A5F" w:rsidRDefault="00CB0DD7">
            <w:pPr>
              <w:pStyle w:val="TAL"/>
              <w:rPr>
                <w:rFonts w:cs="Arial"/>
                <w:szCs w:val="18"/>
                <w:lang w:eastAsia="zh-CN"/>
              </w:rPr>
            </w:pPr>
          </w:p>
        </w:tc>
      </w:tr>
      <w:tr w:rsidR="00CB0DD7" w:rsidRPr="000A0A5F" w:rsidTr="00FF0AF8">
        <w:tc>
          <w:tcPr>
            <w:tcW w:w="5000" w:type="pct"/>
            <w:gridSpan w:val="3"/>
            <w:tcMar>
              <w:top w:w="0" w:type="dxa"/>
              <w:left w:w="108" w:type="dxa"/>
              <w:bottom w:w="0" w:type="dxa"/>
              <w:right w:w="108" w:type="dxa"/>
            </w:tcMar>
            <w:hideMark/>
          </w:tcPr>
          <w:p w:rsidR="00CB0DD7" w:rsidRPr="000A0A5F" w:rsidRDefault="00CB0DD7">
            <w:pPr>
              <w:pStyle w:val="TAN"/>
            </w:pPr>
            <w:r w:rsidRPr="000A0A5F">
              <w:t>NOTE:</w:t>
            </w:r>
            <w:r w:rsidRPr="000A0A5F">
              <w:tab/>
              <w:t>Properties marked with a feature as defined in clause 5.10.4 are applicable as described in clause 5.2.7. If no features are indicated, the related property applies for all the features.</w:t>
            </w:r>
          </w:p>
        </w:tc>
      </w:tr>
    </w:tbl>
    <w:p w:rsidR="00CB0DD7" w:rsidRPr="000A0A5F" w:rsidRDefault="00CB0DD7"/>
    <w:p w:rsidR="00CB0DD7" w:rsidRPr="000A0A5F" w:rsidRDefault="00CB0DD7">
      <w:pPr>
        <w:pStyle w:val="Heading5"/>
      </w:pPr>
      <w:bookmarkStart w:id="7332" w:name="_Toc27044876"/>
      <w:bookmarkStart w:id="7333" w:name="_Toc36033918"/>
      <w:bookmarkStart w:id="7334" w:name="_Toc45132064"/>
      <w:bookmarkStart w:id="7335" w:name="_Toc49776349"/>
      <w:bookmarkStart w:id="7336" w:name="_Toc51747269"/>
      <w:bookmarkStart w:id="7337" w:name="_Toc66360842"/>
      <w:bookmarkStart w:id="7338" w:name="_Toc68105347"/>
      <w:bookmarkStart w:id="7339" w:name="_Toc74755977"/>
      <w:bookmarkStart w:id="7340" w:name="_Toc105674853"/>
      <w:bookmarkStart w:id="7341" w:name="_Toc130502913"/>
      <w:bookmarkStart w:id="7342" w:name="_Toc153625701"/>
      <w:r w:rsidRPr="000A0A5F">
        <w:t>5.10.2.3.7</w:t>
      </w:r>
      <w:r w:rsidRPr="000A0A5F">
        <w:tab/>
        <w:t>Enumeration: TrafficProfile</w:t>
      </w:r>
      <w:bookmarkEnd w:id="7332"/>
      <w:bookmarkEnd w:id="7333"/>
      <w:bookmarkEnd w:id="7334"/>
      <w:bookmarkEnd w:id="7335"/>
      <w:bookmarkEnd w:id="7336"/>
      <w:bookmarkEnd w:id="7337"/>
      <w:bookmarkEnd w:id="7338"/>
      <w:bookmarkEnd w:id="7339"/>
      <w:bookmarkEnd w:id="7340"/>
      <w:bookmarkEnd w:id="7341"/>
      <w:bookmarkEnd w:id="7342"/>
    </w:p>
    <w:p w:rsidR="00CB0DD7" w:rsidRPr="000A0A5F" w:rsidRDefault="00CB0DD7">
      <w:r w:rsidRPr="000A0A5F">
        <w:t>The enumeration TrafficProfile represents the type of data transmission.</w:t>
      </w:r>
    </w:p>
    <w:p w:rsidR="00CB0DD7" w:rsidRPr="000A0A5F" w:rsidRDefault="00CB0DD7">
      <w:pPr>
        <w:pStyle w:val="TH"/>
      </w:pPr>
      <w:r w:rsidRPr="000A0A5F">
        <w:t>Table 5.10.2.3.7-1: Enumeration TrafficProfile</w:t>
      </w:r>
    </w:p>
    <w:tbl>
      <w:tblPr>
        <w:tblW w:w="4673" w:type="pct"/>
        <w:tblInd w:w="-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2977"/>
        <w:gridCol w:w="5006"/>
        <w:gridCol w:w="1136"/>
      </w:tblGrid>
      <w:tr w:rsidR="00CB0DD7" w:rsidRPr="000A0A5F" w:rsidTr="00FF0AF8">
        <w:tc>
          <w:tcPr>
            <w:tcW w:w="1632" w:type="pct"/>
            <w:shd w:val="clear" w:color="auto" w:fill="C0C0C0"/>
            <w:tcMar>
              <w:top w:w="0" w:type="dxa"/>
              <w:left w:w="108" w:type="dxa"/>
              <w:bottom w:w="0" w:type="dxa"/>
              <w:right w:w="108" w:type="dxa"/>
            </w:tcMar>
            <w:hideMark/>
          </w:tcPr>
          <w:p w:rsidR="00CB0DD7" w:rsidRPr="000A0A5F" w:rsidRDefault="00CB0DD7">
            <w:pPr>
              <w:pStyle w:val="TAH"/>
            </w:pPr>
            <w:r w:rsidRPr="000A0A5F">
              <w:t>Enumeration value</w:t>
            </w:r>
          </w:p>
        </w:tc>
        <w:tc>
          <w:tcPr>
            <w:tcW w:w="2745" w:type="pct"/>
            <w:shd w:val="clear" w:color="auto" w:fill="C0C0C0"/>
            <w:tcMar>
              <w:top w:w="0" w:type="dxa"/>
              <w:left w:w="108" w:type="dxa"/>
              <w:bottom w:w="0" w:type="dxa"/>
              <w:right w:w="108" w:type="dxa"/>
            </w:tcMar>
            <w:hideMark/>
          </w:tcPr>
          <w:p w:rsidR="00CB0DD7" w:rsidRPr="000A0A5F" w:rsidRDefault="00CB0DD7">
            <w:pPr>
              <w:pStyle w:val="TAH"/>
            </w:pPr>
            <w:r w:rsidRPr="000A0A5F">
              <w:t>Description</w:t>
            </w:r>
          </w:p>
        </w:tc>
        <w:tc>
          <w:tcPr>
            <w:tcW w:w="623" w:type="pct"/>
            <w:shd w:val="clear" w:color="auto" w:fill="C0C0C0"/>
            <w:hideMark/>
          </w:tcPr>
          <w:p w:rsidR="00CB0DD7" w:rsidRPr="000A0A5F" w:rsidRDefault="00CB0DD7">
            <w:pPr>
              <w:pStyle w:val="TAH"/>
            </w:pPr>
            <w:r w:rsidRPr="000A0A5F">
              <w:rPr>
                <w:rFonts w:eastAsia="Times New Roman" w:cs="Arial"/>
                <w:szCs w:val="18"/>
              </w:rPr>
              <w:t>Applicability (NOTE)</w:t>
            </w:r>
          </w:p>
        </w:tc>
      </w:tr>
      <w:tr w:rsidR="00CB0DD7" w:rsidRPr="000A0A5F" w:rsidTr="00FF0AF8">
        <w:tc>
          <w:tcPr>
            <w:tcW w:w="1632" w:type="pct"/>
            <w:tcMar>
              <w:top w:w="0" w:type="dxa"/>
              <w:left w:w="108" w:type="dxa"/>
              <w:bottom w:w="0" w:type="dxa"/>
              <w:right w:w="108" w:type="dxa"/>
            </w:tcMar>
            <w:hideMark/>
          </w:tcPr>
          <w:p w:rsidR="00CB0DD7" w:rsidRPr="000A0A5F" w:rsidRDefault="00CB0DD7">
            <w:pPr>
              <w:pStyle w:val="TAL"/>
            </w:pPr>
            <w:r w:rsidRPr="000A0A5F">
              <w:t>SINGLE_TRANS_UL</w:t>
            </w:r>
          </w:p>
        </w:tc>
        <w:tc>
          <w:tcPr>
            <w:tcW w:w="2745" w:type="pct"/>
            <w:tcMar>
              <w:top w:w="0" w:type="dxa"/>
              <w:left w:w="108" w:type="dxa"/>
              <w:bottom w:w="0" w:type="dxa"/>
              <w:right w:w="108" w:type="dxa"/>
            </w:tcMar>
            <w:hideMark/>
          </w:tcPr>
          <w:p w:rsidR="00CB0DD7" w:rsidRPr="000A0A5F" w:rsidRDefault="00CB0DD7">
            <w:pPr>
              <w:pStyle w:val="TAL"/>
            </w:pPr>
            <w:r w:rsidRPr="000A0A5F">
              <w:t>Uplink single packet transmission.</w:t>
            </w:r>
          </w:p>
        </w:tc>
        <w:tc>
          <w:tcPr>
            <w:tcW w:w="623" w:type="pct"/>
          </w:tcPr>
          <w:p w:rsidR="00CB0DD7" w:rsidRPr="000A0A5F" w:rsidRDefault="00CB0DD7">
            <w:pPr>
              <w:pStyle w:val="TAL"/>
              <w:rPr>
                <w:rFonts w:cs="Arial"/>
                <w:szCs w:val="18"/>
                <w:lang w:eastAsia="zh-CN"/>
              </w:rPr>
            </w:pPr>
          </w:p>
        </w:tc>
      </w:tr>
      <w:tr w:rsidR="00CB0DD7" w:rsidRPr="000A0A5F" w:rsidTr="00FF0AF8">
        <w:tc>
          <w:tcPr>
            <w:tcW w:w="1632" w:type="pct"/>
            <w:tcMar>
              <w:top w:w="0" w:type="dxa"/>
              <w:left w:w="108" w:type="dxa"/>
              <w:bottom w:w="0" w:type="dxa"/>
              <w:right w:w="108" w:type="dxa"/>
            </w:tcMar>
          </w:tcPr>
          <w:p w:rsidR="00CB0DD7" w:rsidRPr="000A0A5F" w:rsidRDefault="00CB0DD7">
            <w:pPr>
              <w:pStyle w:val="TAL"/>
            </w:pPr>
            <w:r w:rsidRPr="000A0A5F">
              <w:t>SINGLE_TRANS_DL</w:t>
            </w:r>
          </w:p>
        </w:tc>
        <w:tc>
          <w:tcPr>
            <w:tcW w:w="2745" w:type="pct"/>
            <w:tcMar>
              <w:top w:w="0" w:type="dxa"/>
              <w:left w:w="108" w:type="dxa"/>
              <w:bottom w:w="0" w:type="dxa"/>
              <w:right w:w="108" w:type="dxa"/>
            </w:tcMar>
          </w:tcPr>
          <w:p w:rsidR="00CB0DD7" w:rsidRPr="000A0A5F" w:rsidRDefault="00CB0DD7">
            <w:pPr>
              <w:pStyle w:val="TAL"/>
            </w:pPr>
            <w:r w:rsidRPr="000A0A5F">
              <w:t>Downlink single packet transmission.</w:t>
            </w:r>
          </w:p>
        </w:tc>
        <w:tc>
          <w:tcPr>
            <w:tcW w:w="623" w:type="pct"/>
          </w:tcPr>
          <w:p w:rsidR="00CB0DD7" w:rsidRPr="000A0A5F" w:rsidRDefault="00CB0DD7">
            <w:pPr>
              <w:pStyle w:val="TAL"/>
              <w:rPr>
                <w:rFonts w:cs="Arial"/>
                <w:szCs w:val="18"/>
                <w:lang w:eastAsia="zh-CN"/>
              </w:rPr>
            </w:pPr>
          </w:p>
        </w:tc>
      </w:tr>
      <w:tr w:rsidR="00CB0DD7" w:rsidRPr="000A0A5F" w:rsidTr="00FF0AF8">
        <w:tc>
          <w:tcPr>
            <w:tcW w:w="1632" w:type="pct"/>
            <w:tcMar>
              <w:top w:w="0" w:type="dxa"/>
              <w:left w:w="108" w:type="dxa"/>
              <w:bottom w:w="0" w:type="dxa"/>
              <w:right w:w="108" w:type="dxa"/>
            </w:tcMar>
          </w:tcPr>
          <w:p w:rsidR="00CB0DD7" w:rsidRPr="000A0A5F" w:rsidRDefault="00CB0DD7">
            <w:pPr>
              <w:pStyle w:val="TAL"/>
            </w:pPr>
            <w:r w:rsidRPr="000A0A5F">
              <w:t>DUAL_TRANS_UL_FIRST</w:t>
            </w:r>
          </w:p>
        </w:tc>
        <w:tc>
          <w:tcPr>
            <w:tcW w:w="2745" w:type="pct"/>
            <w:tcMar>
              <w:top w:w="0" w:type="dxa"/>
              <w:left w:w="108" w:type="dxa"/>
              <w:bottom w:w="0" w:type="dxa"/>
              <w:right w:w="108" w:type="dxa"/>
            </w:tcMar>
          </w:tcPr>
          <w:p w:rsidR="00CB0DD7" w:rsidRPr="000A0A5F" w:rsidRDefault="00CB0DD7">
            <w:pPr>
              <w:pStyle w:val="TAL"/>
            </w:pPr>
            <w:r w:rsidRPr="000A0A5F">
              <w:t>Dual packet transmission, firstly uplink packet transmission with subsequent downlink packet transmission.</w:t>
            </w:r>
          </w:p>
        </w:tc>
        <w:tc>
          <w:tcPr>
            <w:tcW w:w="623" w:type="pct"/>
          </w:tcPr>
          <w:p w:rsidR="00CB0DD7" w:rsidRPr="000A0A5F" w:rsidRDefault="00CB0DD7">
            <w:pPr>
              <w:pStyle w:val="TAL"/>
              <w:rPr>
                <w:rFonts w:cs="Arial"/>
                <w:szCs w:val="18"/>
                <w:lang w:eastAsia="zh-CN"/>
              </w:rPr>
            </w:pPr>
          </w:p>
        </w:tc>
      </w:tr>
      <w:tr w:rsidR="00CB0DD7" w:rsidRPr="000A0A5F" w:rsidTr="00FF0AF8">
        <w:tc>
          <w:tcPr>
            <w:tcW w:w="1632" w:type="pct"/>
            <w:tcMar>
              <w:top w:w="0" w:type="dxa"/>
              <w:left w:w="108" w:type="dxa"/>
              <w:bottom w:w="0" w:type="dxa"/>
              <w:right w:w="108" w:type="dxa"/>
            </w:tcMar>
          </w:tcPr>
          <w:p w:rsidR="00CB0DD7" w:rsidRPr="000A0A5F" w:rsidRDefault="00CB0DD7">
            <w:pPr>
              <w:pStyle w:val="TAL"/>
            </w:pPr>
            <w:r w:rsidRPr="000A0A5F">
              <w:t>DUAL_TRANS_DL_FIRST</w:t>
            </w:r>
          </w:p>
        </w:tc>
        <w:tc>
          <w:tcPr>
            <w:tcW w:w="2745" w:type="pct"/>
            <w:tcMar>
              <w:top w:w="0" w:type="dxa"/>
              <w:left w:w="108" w:type="dxa"/>
              <w:bottom w:w="0" w:type="dxa"/>
              <w:right w:w="108" w:type="dxa"/>
            </w:tcMar>
          </w:tcPr>
          <w:p w:rsidR="00CB0DD7" w:rsidRPr="000A0A5F" w:rsidRDefault="00CB0DD7">
            <w:pPr>
              <w:pStyle w:val="TAL"/>
            </w:pPr>
            <w:r w:rsidRPr="000A0A5F">
              <w:t>Dual packet transmission, firstly downlink packet transmission with subsequent uplink packet transmission.</w:t>
            </w:r>
          </w:p>
        </w:tc>
        <w:tc>
          <w:tcPr>
            <w:tcW w:w="623" w:type="pct"/>
          </w:tcPr>
          <w:p w:rsidR="00CB0DD7" w:rsidRPr="000A0A5F" w:rsidRDefault="00CB0DD7">
            <w:pPr>
              <w:pStyle w:val="TAL"/>
              <w:rPr>
                <w:rFonts w:cs="Arial"/>
                <w:szCs w:val="18"/>
                <w:lang w:eastAsia="zh-CN"/>
              </w:rPr>
            </w:pPr>
          </w:p>
        </w:tc>
      </w:tr>
      <w:tr w:rsidR="00CB0DD7" w:rsidRPr="000A0A5F" w:rsidTr="00FF0AF8">
        <w:tc>
          <w:tcPr>
            <w:tcW w:w="1632" w:type="pct"/>
            <w:tcMar>
              <w:top w:w="0" w:type="dxa"/>
              <w:left w:w="108" w:type="dxa"/>
              <w:bottom w:w="0" w:type="dxa"/>
              <w:right w:w="108" w:type="dxa"/>
            </w:tcMar>
            <w:hideMark/>
          </w:tcPr>
          <w:p w:rsidR="00CB0DD7" w:rsidRPr="000A0A5F" w:rsidRDefault="00CB0DD7">
            <w:pPr>
              <w:pStyle w:val="TAL"/>
            </w:pPr>
            <w:r w:rsidRPr="000A0A5F">
              <w:t>MULTI_TRANS</w:t>
            </w:r>
          </w:p>
        </w:tc>
        <w:tc>
          <w:tcPr>
            <w:tcW w:w="2745" w:type="pct"/>
            <w:tcMar>
              <w:top w:w="0" w:type="dxa"/>
              <w:left w:w="108" w:type="dxa"/>
              <w:bottom w:w="0" w:type="dxa"/>
              <w:right w:w="108" w:type="dxa"/>
            </w:tcMar>
            <w:hideMark/>
          </w:tcPr>
          <w:p w:rsidR="00CB0DD7" w:rsidRPr="000A0A5F" w:rsidRDefault="00CB0DD7">
            <w:pPr>
              <w:pStyle w:val="TAL"/>
            </w:pPr>
            <w:r w:rsidRPr="000A0A5F">
              <w:t>Multiple packet transmission.</w:t>
            </w:r>
          </w:p>
        </w:tc>
        <w:tc>
          <w:tcPr>
            <w:tcW w:w="623" w:type="pct"/>
          </w:tcPr>
          <w:p w:rsidR="00CB0DD7" w:rsidRPr="000A0A5F" w:rsidRDefault="00CB0DD7">
            <w:pPr>
              <w:pStyle w:val="TAL"/>
              <w:rPr>
                <w:rFonts w:cs="Arial"/>
                <w:szCs w:val="18"/>
                <w:lang w:eastAsia="zh-CN"/>
              </w:rPr>
            </w:pPr>
          </w:p>
        </w:tc>
      </w:tr>
      <w:tr w:rsidR="00CB0DD7" w:rsidRPr="000A0A5F" w:rsidTr="00FF0AF8">
        <w:tc>
          <w:tcPr>
            <w:tcW w:w="5000" w:type="pct"/>
            <w:gridSpan w:val="3"/>
            <w:tcMar>
              <w:top w:w="0" w:type="dxa"/>
              <w:left w:w="108" w:type="dxa"/>
              <w:bottom w:w="0" w:type="dxa"/>
              <w:right w:w="108" w:type="dxa"/>
            </w:tcMar>
            <w:hideMark/>
          </w:tcPr>
          <w:p w:rsidR="00CB0DD7" w:rsidRPr="000A0A5F" w:rsidRDefault="00CB0DD7">
            <w:pPr>
              <w:pStyle w:val="TAN"/>
            </w:pPr>
            <w:r w:rsidRPr="000A0A5F">
              <w:t>NOTE:</w:t>
            </w:r>
            <w:r w:rsidRPr="000A0A5F">
              <w:tab/>
              <w:t>Properties marked with a feature as defined in clause 5.10.4 are applicable as described in clause 5.2.7. If no features are indicated, the related property applies for all the features.</w:t>
            </w:r>
          </w:p>
        </w:tc>
      </w:tr>
    </w:tbl>
    <w:p w:rsidR="00CB0DD7" w:rsidRPr="000A0A5F" w:rsidRDefault="00CB0DD7"/>
    <w:p w:rsidR="00CB0DD7" w:rsidRPr="000A0A5F" w:rsidRDefault="00CB0DD7">
      <w:pPr>
        <w:pStyle w:val="Heading5"/>
      </w:pPr>
      <w:bookmarkStart w:id="7343" w:name="_Toc27044877"/>
      <w:bookmarkStart w:id="7344" w:name="_Toc36033919"/>
      <w:bookmarkStart w:id="7345" w:name="_Toc45132065"/>
      <w:bookmarkStart w:id="7346" w:name="_Toc49776350"/>
      <w:bookmarkStart w:id="7347" w:name="_Toc51747270"/>
      <w:bookmarkStart w:id="7348" w:name="_Toc66360843"/>
      <w:bookmarkStart w:id="7349" w:name="_Toc68105348"/>
      <w:bookmarkStart w:id="7350" w:name="_Toc74755978"/>
      <w:bookmarkStart w:id="7351" w:name="_Toc105674854"/>
      <w:bookmarkStart w:id="7352" w:name="_Toc130502914"/>
      <w:bookmarkStart w:id="7353" w:name="_Toc153625702"/>
      <w:r w:rsidRPr="000A0A5F">
        <w:t>5.10.2.3.</w:t>
      </w:r>
      <w:r w:rsidR="004C6435" w:rsidRPr="000A0A5F">
        <w:t>8A</w:t>
      </w:r>
      <w:r w:rsidRPr="000A0A5F">
        <w:tab/>
        <w:t>Enumeration: ScheduledCommunicationType</w:t>
      </w:r>
      <w:bookmarkEnd w:id="7343"/>
      <w:bookmarkEnd w:id="7344"/>
      <w:bookmarkEnd w:id="7345"/>
      <w:bookmarkEnd w:id="7346"/>
      <w:bookmarkEnd w:id="7347"/>
      <w:bookmarkEnd w:id="7348"/>
      <w:bookmarkEnd w:id="7349"/>
      <w:bookmarkEnd w:id="7350"/>
      <w:bookmarkEnd w:id="7351"/>
      <w:bookmarkEnd w:id="7352"/>
      <w:bookmarkEnd w:id="7353"/>
    </w:p>
    <w:p w:rsidR="00CB0DD7" w:rsidRPr="000A0A5F" w:rsidRDefault="00CB0DD7">
      <w:r w:rsidRPr="000A0A5F">
        <w:t>The enumeration ScheduledCommunicationType represents the type of scheduled communication.</w:t>
      </w:r>
    </w:p>
    <w:p w:rsidR="00CB0DD7" w:rsidRPr="000A0A5F" w:rsidRDefault="00CB0DD7">
      <w:pPr>
        <w:pStyle w:val="TH"/>
      </w:pPr>
      <w:r w:rsidRPr="000A0A5F">
        <w:t>Table 5.10.2.3.</w:t>
      </w:r>
      <w:r w:rsidR="004C6435" w:rsidRPr="000A0A5F">
        <w:t>8A</w:t>
      </w:r>
      <w:r w:rsidRPr="000A0A5F">
        <w:t>-1: Enumeration ScheduledCommunicationType</w:t>
      </w:r>
    </w:p>
    <w:tbl>
      <w:tblPr>
        <w:tblW w:w="5018" w:type="pct"/>
        <w:tblInd w:w="-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3065"/>
        <w:gridCol w:w="6827"/>
      </w:tblGrid>
      <w:tr w:rsidR="00CB0DD7" w:rsidRPr="000A0A5F" w:rsidTr="00FF0AF8">
        <w:tc>
          <w:tcPr>
            <w:tcW w:w="1549" w:type="pct"/>
            <w:shd w:val="clear" w:color="auto" w:fill="C0C0C0"/>
            <w:tcMar>
              <w:top w:w="0" w:type="dxa"/>
              <w:left w:w="108" w:type="dxa"/>
              <w:bottom w:w="0" w:type="dxa"/>
              <w:right w:w="108" w:type="dxa"/>
            </w:tcMar>
            <w:hideMark/>
          </w:tcPr>
          <w:p w:rsidR="00CB0DD7" w:rsidRPr="000A0A5F" w:rsidRDefault="00CB0DD7">
            <w:pPr>
              <w:pStyle w:val="TAH"/>
            </w:pPr>
            <w:r w:rsidRPr="000A0A5F">
              <w:t>Enumeration value</w:t>
            </w:r>
          </w:p>
        </w:tc>
        <w:tc>
          <w:tcPr>
            <w:tcW w:w="3451" w:type="pct"/>
            <w:shd w:val="clear" w:color="auto" w:fill="C0C0C0"/>
            <w:tcMar>
              <w:top w:w="0" w:type="dxa"/>
              <w:left w:w="108" w:type="dxa"/>
              <w:bottom w:w="0" w:type="dxa"/>
              <w:right w:w="108" w:type="dxa"/>
            </w:tcMar>
            <w:hideMark/>
          </w:tcPr>
          <w:p w:rsidR="00CB0DD7" w:rsidRPr="000A0A5F" w:rsidRDefault="00CB0DD7">
            <w:pPr>
              <w:pStyle w:val="TAH"/>
            </w:pPr>
            <w:r w:rsidRPr="000A0A5F">
              <w:t>Description</w:t>
            </w:r>
          </w:p>
        </w:tc>
      </w:tr>
      <w:tr w:rsidR="00CB0DD7" w:rsidRPr="000A0A5F" w:rsidTr="00FF0AF8">
        <w:tc>
          <w:tcPr>
            <w:tcW w:w="1549" w:type="pct"/>
            <w:tcMar>
              <w:top w:w="0" w:type="dxa"/>
              <w:left w:w="108" w:type="dxa"/>
              <w:bottom w:w="0" w:type="dxa"/>
              <w:right w:w="108" w:type="dxa"/>
            </w:tcMar>
            <w:hideMark/>
          </w:tcPr>
          <w:p w:rsidR="00CB0DD7" w:rsidRPr="000A0A5F" w:rsidRDefault="00CB0DD7">
            <w:pPr>
              <w:pStyle w:val="TAL"/>
            </w:pPr>
            <w:r w:rsidRPr="000A0A5F">
              <w:t>DOWNLINK</w:t>
            </w:r>
          </w:p>
        </w:tc>
        <w:tc>
          <w:tcPr>
            <w:tcW w:w="3451" w:type="pct"/>
            <w:tcMar>
              <w:top w:w="0" w:type="dxa"/>
              <w:left w:w="108" w:type="dxa"/>
              <w:bottom w:w="0" w:type="dxa"/>
              <w:right w:w="108" w:type="dxa"/>
            </w:tcMar>
            <w:hideMark/>
          </w:tcPr>
          <w:p w:rsidR="00CB0DD7" w:rsidRPr="000A0A5F" w:rsidRDefault="00CB0DD7">
            <w:pPr>
              <w:pStyle w:val="TAL"/>
            </w:pPr>
            <w:r w:rsidRPr="000A0A5F">
              <w:t>Downlink only</w:t>
            </w:r>
          </w:p>
        </w:tc>
      </w:tr>
      <w:tr w:rsidR="00CB0DD7" w:rsidRPr="000A0A5F" w:rsidTr="00FF0AF8">
        <w:tc>
          <w:tcPr>
            <w:tcW w:w="1549" w:type="pct"/>
            <w:tcMar>
              <w:top w:w="0" w:type="dxa"/>
              <w:left w:w="108" w:type="dxa"/>
              <w:bottom w:w="0" w:type="dxa"/>
              <w:right w:w="108" w:type="dxa"/>
            </w:tcMar>
          </w:tcPr>
          <w:p w:rsidR="00CB0DD7" w:rsidRPr="000A0A5F" w:rsidRDefault="00CB0DD7">
            <w:pPr>
              <w:pStyle w:val="TAL"/>
              <w:rPr>
                <w:lang w:eastAsia="zh-CN"/>
              </w:rPr>
            </w:pPr>
            <w:r w:rsidRPr="000A0A5F">
              <w:rPr>
                <w:rFonts w:hint="eastAsia"/>
                <w:lang w:eastAsia="zh-CN"/>
              </w:rPr>
              <w:t>U</w:t>
            </w:r>
            <w:r w:rsidRPr="000A0A5F">
              <w:rPr>
                <w:lang w:eastAsia="zh-CN"/>
              </w:rPr>
              <w:t>PLINK</w:t>
            </w:r>
          </w:p>
        </w:tc>
        <w:tc>
          <w:tcPr>
            <w:tcW w:w="3451" w:type="pct"/>
            <w:tcMar>
              <w:top w:w="0" w:type="dxa"/>
              <w:left w:w="108" w:type="dxa"/>
              <w:bottom w:w="0" w:type="dxa"/>
              <w:right w:w="108" w:type="dxa"/>
            </w:tcMar>
          </w:tcPr>
          <w:p w:rsidR="00CB0DD7" w:rsidRPr="000A0A5F" w:rsidRDefault="00CB0DD7">
            <w:pPr>
              <w:pStyle w:val="TAL"/>
            </w:pPr>
            <w:r w:rsidRPr="000A0A5F">
              <w:t>Uplink only</w:t>
            </w:r>
          </w:p>
        </w:tc>
      </w:tr>
      <w:tr w:rsidR="00CB0DD7" w:rsidRPr="000A0A5F" w:rsidTr="00FF0AF8">
        <w:tc>
          <w:tcPr>
            <w:tcW w:w="1549" w:type="pct"/>
            <w:tcMar>
              <w:top w:w="0" w:type="dxa"/>
              <w:left w:w="108" w:type="dxa"/>
              <w:bottom w:w="0" w:type="dxa"/>
              <w:right w:w="108" w:type="dxa"/>
            </w:tcMar>
          </w:tcPr>
          <w:p w:rsidR="00CB0DD7" w:rsidRPr="000A0A5F" w:rsidRDefault="00CB0DD7">
            <w:pPr>
              <w:pStyle w:val="TAL"/>
              <w:rPr>
                <w:lang w:val="en-US"/>
              </w:rPr>
            </w:pPr>
            <w:r w:rsidRPr="000A0A5F">
              <w:rPr>
                <w:lang w:val="en-US"/>
              </w:rPr>
              <w:t>BIDIRECTIONAL</w:t>
            </w:r>
          </w:p>
        </w:tc>
        <w:tc>
          <w:tcPr>
            <w:tcW w:w="3451" w:type="pct"/>
            <w:tcMar>
              <w:top w:w="0" w:type="dxa"/>
              <w:left w:w="108" w:type="dxa"/>
              <w:bottom w:w="0" w:type="dxa"/>
              <w:right w:w="108" w:type="dxa"/>
            </w:tcMar>
          </w:tcPr>
          <w:p w:rsidR="00CB0DD7" w:rsidRPr="000A0A5F" w:rsidRDefault="00CB0DD7">
            <w:pPr>
              <w:pStyle w:val="TAL"/>
            </w:pPr>
            <w:r w:rsidRPr="000A0A5F">
              <w:t>Bi-directional</w:t>
            </w:r>
          </w:p>
        </w:tc>
      </w:tr>
    </w:tbl>
    <w:p w:rsidR="00CB0DD7" w:rsidRPr="000A0A5F" w:rsidRDefault="00CB0DD7"/>
    <w:p w:rsidR="00CB0DD7" w:rsidRPr="000A0A5F" w:rsidRDefault="00CB0DD7">
      <w:pPr>
        <w:pStyle w:val="Heading3"/>
      </w:pPr>
      <w:bookmarkStart w:id="7354" w:name="_Toc11247735"/>
      <w:bookmarkStart w:id="7355" w:name="_Toc27044878"/>
      <w:bookmarkStart w:id="7356" w:name="_Toc36033920"/>
      <w:bookmarkStart w:id="7357" w:name="_Toc45132066"/>
      <w:bookmarkStart w:id="7358" w:name="_Toc49776351"/>
      <w:bookmarkStart w:id="7359" w:name="_Toc51747271"/>
      <w:bookmarkStart w:id="7360" w:name="_Toc66360844"/>
      <w:bookmarkStart w:id="7361" w:name="_Toc68105349"/>
      <w:bookmarkStart w:id="7362" w:name="_Toc74755979"/>
      <w:bookmarkStart w:id="7363" w:name="_Toc105674855"/>
      <w:bookmarkStart w:id="7364" w:name="_Toc130502915"/>
      <w:bookmarkStart w:id="7365" w:name="_Toc153625703"/>
      <w:r w:rsidRPr="000A0A5F">
        <w:t>5.10.3</w:t>
      </w:r>
      <w:r w:rsidRPr="000A0A5F">
        <w:tab/>
        <w:t>Resource structure</w:t>
      </w:r>
      <w:bookmarkEnd w:id="7354"/>
      <w:bookmarkEnd w:id="7355"/>
      <w:bookmarkEnd w:id="7356"/>
      <w:bookmarkEnd w:id="7357"/>
      <w:bookmarkEnd w:id="7358"/>
      <w:bookmarkEnd w:id="7359"/>
      <w:bookmarkEnd w:id="7360"/>
      <w:bookmarkEnd w:id="7361"/>
      <w:bookmarkEnd w:id="7362"/>
      <w:bookmarkEnd w:id="7363"/>
      <w:bookmarkEnd w:id="7364"/>
      <w:bookmarkEnd w:id="7365"/>
    </w:p>
    <w:p w:rsidR="00CB0DD7" w:rsidRPr="000A0A5F" w:rsidRDefault="00CB0DD7">
      <w:pPr>
        <w:pStyle w:val="Heading4"/>
      </w:pPr>
      <w:bookmarkStart w:id="7366" w:name="_Toc11247736"/>
      <w:bookmarkStart w:id="7367" w:name="_Toc27044879"/>
      <w:bookmarkStart w:id="7368" w:name="_Toc36033921"/>
      <w:bookmarkStart w:id="7369" w:name="_Toc45132067"/>
      <w:bookmarkStart w:id="7370" w:name="_Toc49776352"/>
      <w:bookmarkStart w:id="7371" w:name="_Toc51747272"/>
      <w:bookmarkStart w:id="7372" w:name="_Toc66360845"/>
      <w:bookmarkStart w:id="7373" w:name="_Toc68105350"/>
      <w:bookmarkStart w:id="7374" w:name="_Toc74755980"/>
      <w:bookmarkStart w:id="7375" w:name="_Toc105674856"/>
      <w:bookmarkStart w:id="7376" w:name="_Toc130502916"/>
      <w:bookmarkStart w:id="7377" w:name="_Toc153625704"/>
      <w:r w:rsidRPr="000A0A5F">
        <w:t>5.10.3.1</w:t>
      </w:r>
      <w:r w:rsidRPr="000A0A5F">
        <w:tab/>
        <w:t>General</w:t>
      </w:r>
      <w:bookmarkEnd w:id="7366"/>
      <w:bookmarkEnd w:id="7367"/>
      <w:bookmarkEnd w:id="7368"/>
      <w:bookmarkEnd w:id="7369"/>
      <w:bookmarkEnd w:id="7370"/>
      <w:bookmarkEnd w:id="7371"/>
      <w:bookmarkEnd w:id="7372"/>
      <w:bookmarkEnd w:id="7373"/>
      <w:bookmarkEnd w:id="7374"/>
      <w:bookmarkEnd w:id="7375"/>
      <w:bookmarkEnd w:id="7376"/>
      <w:bookmarkEnd w:id="7377"/>
    </w:p>
    <w:p w:rsidR="00CB0DD7" w:rsidRPr="000A0A5F" w:rsidRDefault="00CB0DD7">
      <w:r w:rsidRPr="000A0A5F">
        <w:t>All resource URIs of this API should have the following root:</w:t>
      </w:r>
    </w:p>
    <w:p w:rsidR="00CB0DD7" w:rsidRPr="000A0A5F" w:rsidRDefault="00CB0DD7">
      <w:pPr>
        <w:pStyle w:val="B1"/>
        <w:numPr>
          <w:ilvl w:val="0"/>
          <w:numId w:val="0"/>
        </w:numPr>
        <w:ind w:left="737"/>
        <w:rPr>
          <w:b/>
        </w:rPr>
      </w:pPr>
      <w:r w:rsidRPr="000A0A5F">
        <w:rPr>
          <w:b/>
        </w:rPr>
        <w:t>{apiRoot}/3gpp-cp-parameter-provisioning/v1</w:t>
      </w:r>
    </w:p>
    <w:p w:rsidR="00CB0DD7" w:rsidRPr="000A0A5F" w:rsidRDefault="00CB0DD7">
      <w:r w:rsidRPr="000A0A5F">
        <w:t>"apiRoot" is set as described in clause 5.2.4. All resource URIs in the clauses below are defined relative to the above root URI.</w:t>
      </w:r>
    </w:p>
    <w:p w:rsidR="00CB0DD7" w:rsidRPr="000A0A5F" w:rsidRDefault="00CB0DD7">
      <w:r w:rsidRPr="000A0A5F">
        <w:t>The following resources and HTTP methods are supported for this API:</w:t>
      </w:r>
    </w:p>
    <w:p w:rsidR="00CB0DD7" w:rsidRPr="000A0A5F" w:rsidRDefault="00CB0DD7">
      <w:pPr>
        <w:pStyle w:val="TH"/>
      </w:pPr>
      <w:r w:rsidRPr="000A0A5F">
        <w:t>Table 5.10.3.1-1: Resources and methods overview</w:t>
      </w:r>
    </w:p>
    <w:tbl>
      <w:tblPr>
        <w:tblW w:w="494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1E0" w:firstRow="1" w:lastRow="1" w:firstColumn="1" w:lastColumn="1" w:noHBand="0" w:noVBand="0"/>
      </w:tblPr>
      <w:tblGrid>
        <w:gridCol w:w="1855"/>
        <w:gridCol w:w="3684"/>
        <w:gridCol w:w="1559"/>
        <w:gridCol w:w="2562"/>
      </w:tblGrid>
      <w:tr w:rsidR="00CB0DD7" w:rsidRPr="000A0A5F" w:rsidTr="00FF0AF8">
        <w:trPr>
          <w:jc w:val="center"/>
        </w:trPr>
        <w:tc>
          <w:tcPr>
            <w:tcW w:w="960" w:type="pct"/>
            <w:shd w:val="clear" w:color="auto" w:fill="CCCCCC"/>
            <w:vAlign w:val="center"/>
            <w:hideMark/>
          </w:tcPr>
          <w:p w:rsidR="00CB0DD7" w:rsidRPr="000A0A5F" w:rsidRDefault="00CB0DD7">
            <w:pPr>
              <w:pStyle w:val="TAH"/>
              <w:spacing w:line="276" w:lineRule="auto"/>
            </w:pPr>
            <w:r w:rsidRPr="000A0A5F">
              <w:t>Resource name</w:t>
            </w:r>
          </w:p>
        </w:tc>
        <w:tc>
          <w:tcPr>
            <w:tcW w:w="1907" w:type="pct"/>
            <w:shd w:val="clear" w:color="auto" w:fill="CCCCCC"/>
            <w:vAlign w:val="center"/>
            <w:hideMark/>
          </w:tcPr>
          <w:p w:rsidR="00CB0DD7" w:rsidRPr="000A0A5F" w:rsidRDefault="00CB0DD7">
            <w:pPr>
              <w:pStyle w:val="TAH"/>
              <w:spacing w:line="276" w:lineRule="auto"/>
            </w:pPr>
            <w:r w:rsidRPr="000A0A5F">
              <w:t>Resource URI</w:t>
            </w:r>
          </w:p>
        </w:tc>
        <w:tc>
          <w:tcPr>
            <w:tcW w:w="807" w:type="pct"/>
            <w:shd w:val="clear" w:color="auto" w:fill="CCCCCC"/>
            <w:vAlign w:val="center"/>
            <w:hideMark/>
          </w:tcPr>
          <w:p w:rsidR="00CB0DD7" w:rsidRPr="000A0A5F" w:rsidRDefault="00CB0DD7">
            <w:pPr>
              <w:pStyle w:val="TAH"/>
              <w:spacing w:line="276" w:lineRule="auto"/>
            </w:pPr>
            <w:r w:rsidRPr="000A0A5F">
              <w:t>HTTP method</w:t>
            </w:r>
          </w:p>
        </w:tc>
        <w:tc>
          <w:tcPr>
            <w:tcW w:w="1326" w:type="pct"/>
            <w:shd w:val="clear" w:color="auto" w:fill="CCCCCC"/>
            <w:vAlign w:val="center"/>
            <w:hideMark/>
          </w:tcPr>
          <w:p w:rsidR="00CB0DD7" w:rsidRPr="000A0A5F" w:rsidRDefault="00CB0DD7">
            <w:pPr>
              <w:pStyle w:val="TAH"/>
              <w:spacing w:line="276" w:lineRule="auto"/>
            </w:pPr>
            <w:r w:rsidRPr="000A0A5F">
              <w:t>Meaning</w:t>
            </w:r>
          </w:p>
        </w:tc>
      </w:tr>
      <w:tr w:rsidR="00CB0DD7" w:rsidRPr="000A0A5F" w:rsidTr="00FF0AF8">
        <w:trPr>
          <w:jc w:val="center"/>
        </w:trPr>
        <w:tc>
          <w:tcPr>
            <w:tcW w:w="960" w:type="pct"/>
            <w:vMerge w:val="restart"/>
            <w:shd w:val="clear" w:color="auto" w:fill="auto"/>
          </w:tcPr>
          <w:p w:rsidR="00CB0DD7" w:rsidRPr="000A0A5F" w:rsidRDefault="00CB0DD7">
            <w:pPr>
              <w:pStyle w:val="TAL"/>
            </w:pPr>
            <w:r w:rsidRPr="000A0A5F">
              <w:t>CP provisioning Subscriptions</w:t>
            </w:r>
          </w:p>
        </w:tc>
        <w:tc>
          <w:tcPr>
            <w:tcW w:w="1907" w:type="pct"/>
            <w:vMerge w:val="restart"/>
            <w:shd w:val="clear" w:color="auto" w:fill="auto"/>
          </w:tcPr>
          <w:p w:rsidR="00CB0DD7" w:rsidRPr="000A0A5F" w:rsidRDefault="00CB0DD7">
            <w:pPr>
              <w:pStyle w:val="TAL"/>
            </w:pPr>
            <w:r w:rsidRPr="000A0A5F">
              <w:t>/{scsAsId}/subscriptions</w:t>
            </w:r>
          </w:p>
        </w:tc>
        <w:tc>
          <w:tcPr>
            <w:tcW w:w="807" w:type="pct"/>
            <w:shd w:val="clear" w:color="auto" w:fill="auto"/>
          </w:tcPr>
          <w:p w:rsidR="00CB0DD7" w:rsidRPr="000A0A5F" w:rsidRDefault="00CB0DD7">
            <w:pPr>
              <w:pStyle w:val="TAL"/>
            </w:pPr>
            <w:r w:rsidRPr="000A0A5F">
              <w:t>GET</w:t>
            </w:r>
          </w:p>
        </w:tc>
        <w:tc>
          <w:tcPr>
            <w:tcW w:w="1326" w:type="pct"/>
            <w:shd w:val="clear" w:color="auto" w:fill="auto"/>
          </w:tcPr>
          <w:p w:rsidR="00CB0DD7" w:rsidRPr="000A0A5F" w:rsidRDefault="00CB0DD7">
            <w:pPr>
              <w:pStyle w:val="TAL"/>
            </w:pPr>
            <w:r w:rsidRPr="000A0A5F">
              <w:t xml:space="preserve">Read all active CP parameter provisioning subscription </w:t>
            </w:r>
            <w:r w:rsidRPr="000A0A5F">
              <w:rPr>
                <w:noProof/>
                <w:lang w:eastAsia="zh-CN"/>
              </w:rPr>
              <w:t>resources for a given SCS/AS</w:t>
            </w:r>
            <w:r w:rsidR="00153C67" w:rsidRPr="000A0A5F">
              <w:rPr>
                <w:noProof/>
                <w:lang w:eastAsia="zh-CN"/>
              </w:rPr>
              <w:t>.</w:t>
            </w:r>
          </w:p>
        </w:tc>
      </w:tr>
      <w:tr w:rsidR="00CB0DD7" w:rsidRPr="000A0A5F" w:rsidTr="00FF0AF8">
        <w:trPr>
          <w:jc w:val="center"/>
        </w:trPr>
        <w:tc>
          <w:tcPr>
            <w:tcW w:w="960" w:type="pct"/>
            <w:vMerge/>
            <w:shd w:val="clear" w:color="auto" w:fill="auto"/>
          </w:tcPr>
          <w:p w:rsidR="00CB0DD7" w:rsidRPr="000A0A5F" w:rsidRDefault="00CB0DD7">
            <w:pPr>
              <w:pStyle w:val="TAL"/>
            </w:pPr>
          </w:p>
        </w:tc>
        <w:tc>
          <w:tcPr>
            <w:tcW w:w="1907" w:type="pct"/>
            <w:vMerge/>
            <w:shd w:val="clear" w:color="auto" w:fill="auto"/>
          </w:tcPr>
          <w:p w:rsidR="00CB0DD7" w:rsidRPr="000A0A5F" w:rsidRDefault="00CB0DD7">
            <w:pPr>
              <w:pStyle w:val="TAL"/>
            </w:pPr>
          </w:p>
        </w:tc>
        <w:tc>
          <w:tcPr>
            <w:tcW w:w="807" w:type="pct"/>
            <w:shd w:val="clear" w:color="auto" w:fill="auto"/>
          </w:tcPr>
          <w:p w:rsidR="00CB0DD7" w:rsidRPr="000A0A5F" w:rsidRDefault="00CB0DD7">
            <w:pPr>
              <w:pStyle w:val="TAL"/>
            </w:pPr>
            <w:r w:rsidRPr="000A0A5F">
              <w:t>POST</w:t>
            </w:r>
          </w:p>
        </w:tc>
        <w:tc>
          <w:tcPr>
            <w:tcW w:w="1326" w:type="pct"/>
            <w:shd w:val="clear" w:color="auto" w:fill="auto"/>
          </w:tcPr>
          <w:p w:rsidR="00CB0DD7" w:rsidRPr="000A0A5F" w:rsidRDefault="00CB0DD7">
            <w:pPr>
              <w:pStyle w:val="TAL"/>
            </w:pPr>
            <w:r w:rsidRPr="000A0A5F">
              <w:t xml:space="preserve">Create </w:t>
            </w:r>
            <w:r w:rsidR="00153C67" w:rsidRPr="000A0A5F">
              <w:t xml:space="preserve">a </w:t>
            </w:r>
            <w:r w:rsidRPr="000A0A5F">
              <w:t xml:space="preserve">new subscription </w:t>
            </w:r>
            <w:r w:rsidRPr="000A0A5F">
              <w:rPr>
                <w:noProof/>
                <w:lang w:eastAsia="zh-CN"/>
              </w:rPr>
              <w:t xml:space="preserve">resource of provisioning </w:t>
            </w:r>
            <w:r w:rsidRPr="000A0A5F">
              <w:t>CP parameter set(s)</w:t>
            </w:r>
            <w:r w:rsidR="00153C67" w:rsidRPr="000A0A5F">
              <w:t>.</w:t>
            </w:r>
          </w:p>
        </w:tc>
      </w:tr>
      <w:tr w:rsidR="00CB0DD7" w:rsidRPr="000A0A5F" w:rsidTr="00FF0AF8">
        <w:trPr>
          <w:jc w:val="center"/>
        </w:trPr>
        <w:tc>
          <w:tcPr>
            <w:tcW w:w="960" w:type="pct"/>
            <w:vMerge w:val="restart"/>
            <w:hideMark/>
          </w:tcPr>
          <w:p w:rsidR="00CB0DD7" w:rsidRPr="000A0A5F" w:rsidRDefault="00CB0DD7">
            <w:pPr>
              <w:pStyle w:val="TAL"/>
              <w:rPr>
                <w:lang w:eastAsia="zh-CN"/>
              </w:rPr>
            </w:pPr>
            <w:r w:rsidRPr="000A0A5F">
              <w:t>Individual CP Provisioning Subscription</w:t>
            </w:r>
          </w:p>
        </w:tc>
        <w:tc>
          <w:tcPr>
            <w:tcW w:w="1907" w:type="pct"/>
            <w:vMerge w:val="restart"/>
            <w:hideMark/>
          </w:tcPr>
          <w:p w:rsidR="00CB0DD7" w:rsidRPr="000A0A5F" w:rsidRDefault="00CB0DD7">
            <w:pPr>
              <w:pStyle w:val="TAL"/>
            </w:pPr>
            <w:r w:rsidRPr="000A0A5F">
              <w:t>/{scsAsId}/subscriptions/{subscriptionId}</w:t>
            </w:r>
          </w:p>
        </w:tc>
        <w:tc>
          <w:tcPr>
            <w:tcW w:w="807" w:type="pct"/>
          </w:tcPr>
          <w:p w:rsidR="00CB0DD7" w:rsidRPr="000A0A5F" w:rsidRDefault="00CB0DD7">
            <w:pPr>
              <w:pStyle w:val="TAL"/>
            </w:pPr>
            <w:r w:rsidRPr="000A0A5F">
              <w:t>GET</w:t>
            </w:r>
          </w:p>
        </w:tc>
        <w:tc>
          <w:tcPr>
            <w:tcW w:w="1326" w:type="pct"/>
          </w:tcPr>
          <w:p w:rsidR="00CB0DD7" w:rsidRPr="000A0A5F" w:rsidRDefault="00CB0DD7">
            <w:pPr>
              <w:pStyle w:val="TAL"/>
              <w:rPr>
                <w:rFonts w:hint="eastAsia"/>
                <w:noProof/>
                <w:lang w:eastAsia="zh-CN"/>
              </w:rPr>
            </w:pPr>
            <w:r w:rsidRPr="000A0A5F">
              <w:t xml:space="preserve">Read a CP parameter provisioning subscription </w:t>
            </w:r>
            <w:r w:rsidRPr="000A0A5F">
              <w:rPr>
                <w:noProof/>
                <w:lang w:eastAsia="zh-CN"/>
              </w:rPr>
              <w:t>resource</w:t>
            </w:r>
            <w:r w:rsidR="00153C67" w:rsidRPr="000A0A5F">
              <w:rPr>
                <w:noProof/>
                <w:lang w:eastAsia="zh-CN"/>
              </w:rPr>
              <w:t>.</w:t>
            </w:r>
          </w:p>
        </w:tc>
      </w:tr>
      <w:tr w:rsidR="00CB0DD7" w:rsidRPr="000A0A5F" w:rsidTr="00FF0AF8">
        <w:trPr>
          <w:jc w:val="center"/>
        </w:trPr>
        <w:tc>
          <w:tcPr>
            <w:tcW w:w="960" w:type="pct"/>
            <w:vMerge/>
          </w:tcPr>
          <w:p w:rsidR="00CB0DD7" w:rsidRPr="000A0A5F" w:rsidRDefault="00CB0DD7">
            <w:pPr>
              <w:pStyle w:val="TAL"/>
            </w:pPr>
          </w:p>
        </w:tc>
        <w:tc>
          <w:tcPr>
            <w:tcW w:w="1907" w:type="pct"/>
            <w:vMerge/>
          </w:tcPr>
          <w:p w:rsidR="00CB0DD7" w:rsidRPr="000A0A5F" w:rsidRDefault="00CB0DD7">
            <w:pPr>
              <w:pStyle w:val="TAL"/>
            </w:pPr>
          </w:p>
        </w:tc>
        <w:tc>
          <w:tcPr>
            <w:tcW w:w="807" w:type="pct"/>
          </w:tcPr>
          <w:p w:rsidR="00CB0DD7" w:rsidRPr="000A0A5F" w:rsidRDefault="00CB0DD7">
            <w:pPr>
              <w:pStyle w:val="TAL"/>
              <w:rPr>
                <w:rFonts w:hint="eastAsia"/>
                <w:lang w:eastAsia="zh-CN"/>
              </w:rPr>
            </w:pPr>
            <w:r w:rsidRPr="000A0A5F">
              <w:rPr>
                <w:rFonts w:hint="eastAsia"/>
                <w:lang w:eastAsia="zh-CN"/>
              </w:rPr>
              <w:t>PUT</w:t>
            </w:r>
          </w:p>
        </w:tc>
        <w:tc>
          <w:tcPr>
            <w:tcW w:w="1326" w:type="pct"/>
          </w:tcPr>
          <w:p w:rsidR="00CB0DD7" w:rsidRPr="000A0A5F" w:rsidRDefault="00CB0DD7">
            <w:pPr>
              <w:pStyle w:val="TAL"/>
            </w:pPr>
            <w:r w:rsidRPr="000A0A5F">
              <w:t>Modify a CP parameter provisioning subscription resource</w:t>
            </w:r>
            <w:r w:rsidR="00153C67" w:rsidRPr="000A0A5F">
              <w:t>.</w:t>
            </w:r>
          </w:p>
        </w:tc>
      </w:tr>
      <w:tr w:rsidR="00CB0DD7" w:rsidRPr="000A0A5F" w:rsidTr="00FF0AF8">
        <w:trPr>
          <w:jc w:val="center"/>
        </w:trPr>
        <w:tc>
          <w:tcPr>
            <w:tcW w:w="960" w:type="pct"/>
            <w:vMerge/>
          </w:tcPr>
          <w:p w:rsidR="00CB0DD7" w:rsidRPr="000A0A5F" w:rsidRDefault="00CB0DD7">
            <w:pPr>
              <w:pStyle w:val="TAL"/>
              <w:spacing w:line="276" w:lineRule="auto"/>
            </w:pPr>
          </w:p>
        </w:tc>
        <w:tc>
          <w:tcPr>
            <w:tcW w:w="1907" w:type="pct"/>
            <w:vMerge/>
          </w:tcPr>
          <w:p w:rsidR="00CB0DD7" w:rsidRPr="000A0A5F" w:rsidRDefault="00CB0DD7">
            <w:pPr>
              <w:pStyle w:val="TAL"/>
              <w:spacing w:line="276" w:lineRule="auto"/>
            </w:pPr>
          </w:p>
        </w:tc>
        <w:tc>
          <w:tcPr>
            <w:tcW w:w="807" w:type="pct"/>
          </w:tcPr>
          <w:p w:rsidR="00CB0DD7" w:rsidRPr="000A0A5F" w:rsidRDefault="00CB0DD7">
            <w:pPr>
              <w:pStyle w:val="TAL"/>
            </w:pPr>
            <w:r w:rsidRPr="000A0A5F">
              <w:t>DELETE</w:t>
            </w:r>
          </w:p>
        </w:tc>
        <w:tc>
          <w:tcPr>
            <w:tcW w:w="1326" w:type="pct"/>
          </w:tcPr>
          <w:p w:rsidR="00CB0DD7" w:rsidRPr="000A0A5F" w:rsidRDefault="00CB0DD7">
            <w:pPr>
              <w:pStyle w:val="TAL"/>
            </w:pPr>
            <w:r w:rsidRPr="000A0A5F">
              <w:t xml:space="preserve">Delete a CP parameter provisioning subscription </w:t>
            </w:r>
            <w:r w:rsidRPr="000A0A5F">
              <w:rPr>
                <w:noProof/>
                <w:lang w:eastAsia="zh-CN"/>
              </w:rPr>
              <w:t>resource</w:t>
            </w:r>
            <w:r w:rsidR="00153C67" w:rsidRPr="000A0A5F">
              <w:rPr>
                <w:noProof/>
                <w:lang w:eastAsia="zh-CN"/>
              </w:rPr>
              <w:t>.</w:t>
            </w:r>
          </w:p>
        </w:tc>
      </w:tr>
      <w:tr w:rsidR="00CB0DD7" w:rsidRPr="000A0A5F" w:rsidTr="00FF0AF8">
        <w:trPr>
          <w:jc w:val="center"/>
        </w:trPr>
        <w:tc>
          <w:tcPr>
            <w:tcW w:w="960" w:type="pct"/>
            <w:vMerge w:val="restart"/>
          </w:tcPr>
          <w:p w:rsidR="00CB0DD7" w:rsidRPr="000A0A5F" w:rsidRDefault="00CB0DD7">
            <w:pPr>
              <w:pStyle w:val="TAL"/>
              <w:spacing w:line="276" w:lineRule="auto"/>
            </w:pPr>
            <w:r w:rsidRPr="000A0A5F">
              <w:t>Individual CP set Provisioning</w:t>
            </w:r>
          </w:p>
        </w:tc>
        <w:tc>
          <w:tcPr>
            <w:tcW w:w="1907" w:type="pct"/>
            <w:vMerge w:val="restart"/>
          </w:tcPr>
          <w:p w:rsidR="00CB0DD7" w:rsidRPr="000A0A5F" w:rsidRDefault="00CB0DD7">
            <w:pPr>
              <w:pStyle w:val="TAL"/>
              <w:spacing w:line="276" w:lineRule="auto"/>
            </w:pPr>
            <w:r w:rsidRPr="000A0A5F">
              <w:t>/{scsAsId}/subscriptions/{subscriptionId}/cpSets/{setId}</w:t>
            </w:r>
          </w:p>
          <w:p w:rsidR="00AD5724" w:rsidRPr="000A0A5F" w:rsidRDefault="00AD5724">
            <w:pPr>
              <w:pStyle w:val="TAL"/>
              <w:spacing w:line="276" w:lineRule="auto"/>
            </w:pPr>
          </w:p>
          <w:p w:rsidR="00CB0DD7" w:rsidRPr="000A0A5F" w:rsidRDefault="00CB0DD7">
            <w:pPr>
              <w:pStyle w:val="TAL"/>
              <w:spacing w:line="276" w:lineRule="auto"/>
            </w:pPr>
            <w:r w:rsidRPr="000A0A5F">
              <w:t>(NOTE</w:t>
            </w:r>
            <w:r w:rsidR="00AD5724" w:rsidRPr="000A0A5F">
              <w:t> 1, NOTE 2</w:t>
            </w:r>
            <w:r w:rsidRPr="000A0A5F">
              <w:t>)</w:t>
            </w:r>
          </w:p>
        </w:tc>
        <w:tc>
          <w:tcPr>
            <w:tcW w:w="807" w:type="pct"/>
          </w:tcPr>
          <w:p w:rsidR="00CB0DD7" w:rsidRPr="000A0A5F" w:rsidRDefault="00CB0DD7">
            <w:pPr>
              <w:pStyle w:val="TAL"/>
            </w:pPr>
            <w:r w:rsidRPr="000A0A5F">
              <w:rPr>
                <w:rFonts w:hint="eastAsia"/>
                <w:lang w:eastAsia="zh-CN"/>
              </w:rPr>
              <w:t>PUT</w:t>
            </w:r>
          </w:p>
        </w:tc>
        <w:tc>
          <w:tcPr>
            <w:tcW w:w="1326" w:type="pct"/>
          </w:tcPr>
          <w:p w:rsidR="00CB0DD7" w:rsidRPr="000A0A5F" w:rsidRDefault="00CB0DD7">
            <w:pPr>
              <w:pStyle w:val="TAL"/>
            </w:pPr>
            <w:r w:rsidRPr="000A0A5F">
              <w:rPr>
                <w:rFonts w:hint="eastAsia"/>
                <w:lang w:eastAsia="zh-CN"/>
              </w:rPr>
              <w:t xml:space="preserve">Update CP at </w:t>
            </w:r>
            <w:r w:rsidRPr="000A0A5F">
              <w:rPr>
                <w:lang w:eastAsia="zh-CN"/>
              </w:rPr>
              <w:t>individual</w:t>
            </w:r>
            <w:r w:rsidRPr="000A0A5F">
              <w:rPr>
                <w:rFonts w:hint="eastAsia"/>
                <w:lang w:eastAsia="zh-CN"/>
              </w:rPr>
              <w:t xml:space="preserve"> </w:t>
            </w:r>
            <w:r w:rsidRPr="000A0A5F">
              <w:rPr>
                <w:lang w:eastAsia="zh-CN"/>
              </w:rPr>
              <w:t xml:space="preserve">CP set(s) level associated with a </w:t>
            </w:r>
            <w:r w:rsidRPr="000A0A5F">
              <w:t>CP parameter set</w:t>
            </w:r>
            <w:r w:rsidRPr="000A0A5F">
              <w:rPr>
                <w:lang w:eastAsia="zh-CN"/>
              </w:rPr>
              <w:t xml:space="preserve"> Id.</w:t>
            </w:r>
          </w:p>
        </w:tc>
      </w:tr>
      <w:tr w:rsidR="00CB0DD7" w:rsidRPr="000A0A5F" w:rsidTr="00FF0AF8">
        <w:trPr>
          <w:jc w:val="center"/>
        </w:trPr>
        <w:tc>
          <w:tcPr>
            <w:tcW w:w="960" w:type="pct"/>
            <w:vMerge/>
          </w:tcPr>
          <w:p w:rsidR="00CB0DD7" w:rsidRPr="000A0A5F" w:rsidRDefault="00CB0DD7">
            <w:pPr>
              <w:pStyle w:val="TAL"/>
              <w:spacing w:line="276" w:lineRule="auto"/>
            </w:pPr>
          </w:p>
        </w:tc>
        <w:tc>
          <w:tcPr>
            <w:tcW w:w="1907" w:type="pct"/>
            <w:vMerge/>
          </w:tcPr>
          <w:p w:rsidR="00CB0DD7" w:rsidRPr="000A0A5F" w:rsidRDefault="00CB0DD7">
            <w:pPr>
              <w:pStyle w:val="TAL"/>
              <w:spacing w:line="276" w:lineRule="auto"/>
            </w:pPr>
          </w:p>
        </w:tc>
        <w:tc>
          <w:tcPr>
            <w:tcW w:w="807" w:type="pct"/>
          </w:tcPr>
          <w:p w:rsidR="00CB0DD7" w:rsidRPr="000A0A5F" w:rsidRDefault="00CB0DD7">
            <w:pPr>
              <w:pStyle w:val="TAL"/>
            </w:pPr>
            <w:r w:rsidRPr="000A0A5F">
              <w:rPr>
                <w:rFonts w:hint="eastAsia"/>
                <w:lang w:eastAsia="zh-CN"/>
              </w:rPr>
              <w:t>GET</w:t>
            </w:r>
          </w:p>
        </w:tc>
        <w:tc>
          <w:tcPr>
            <w:tcW w:w="1326" w:type="pct"/>
          </w:tcPr>
          <w:p w:rsidR="00CB0DD7" w:rsidRPr="000A0A5F" w:rsidRDefault="00CB0DD7">
            <w:pPr>
              <w:pStyle w:val="TAL"/>
            </w:pPr>
            <w:r w:rsidRPr="000A0A5F">
              <w:rPr>
                <w:lang w:eastAsia="zh-CN"/>
              </w:rPr>
              <w:t>Read</w:t>
            </w:r>
            <w:r w:rsidRPr="000A0A5F">
              <w:rPr>
                <w:rFonts w:hint="eastAsia"/>
                <w:lang w:eastAsia="zh-CN"/>
              </w:rPr>
              <w:t xml:space="preserve"> CP at </w:t>
            </w:r>
            <w:r w:rsidRPr="000A0A5F">
              <w:rPr>
                <w:lang w:eastAsia="zh-CN"/>
              </w:rPr>
              <w:t>individual</w:t>
            </w:r>
            <w:r w:rsidRPr="000A0A5F">
              <w:rPr>
                <w:rFonts w:hint="eastAsia"/>
                <w:lang w:eastAsia="zh-CN"/>
              </w:rPr>
              <w:t xml:space="preserve"> </w:t>
            </w:r>
            <w:r w:rsidRPr="000A0A5F">
              <w:rPr>
                <w:lang w:eastAsia="zh-CN"/>
              </w:rPr>
              <w:t xml:space="preserve">CP set(s) level associated with a </w:t>
            </w:r>
            <w:r w:rsidRPr="000A0A5F">
              <w:t>CP parameter set</w:t>
            </w:r>
            <w:r w:rsidRPr="000A0A5F">
              <w:rPr>
                <w:lang w:eastAsia="zh-CN"/>
              </w:rPr>
              <w:t xml:space="preserve"> Id.</w:t>
            </w:r>
          </w:p>
        </w:tc>
      </w:tr>
      <w:tr w:rsidR="00CB0DD7" w:rsidRPr="000A0A5F" w:rsidTr="00FF0AF8">
        <w:trPr>
          <w:jc w:val="center"/>
        </w:trPr>
        <w:tc>
          <w:tcPr>
            <w:tcW w:w="960" w:type="pct"/>
            <w:vMerge/>
          </w:tcPr>
          <w:p w:rsidR="00CB0DD7" w:rsidRPr="000A0A5F" w:rsidRDefault="00CB0DD7">
            <w:pPr>
              <w:pStyle w:val="TAL"/>
              <w:spacing w:line="276" w:lineRule="auto"/>
            </w:pPr>
          </w:p>
        </w:tc>
        <w:tc>
          <w:tcPr>
            <w:tcW w:w="1907" w:type="pct"/>
            <w:vMerge/>
          </w:tcPr>
          <w:p w:rsidR="00CB0DD7" w:rsidRPr="000A0A5F" w:rsidRDefault="00CB0DD7">
            <w:pPr>
              <w:pStyle w:val="TAL"/>
              <w:spacing w:line="276" w:lineRule="auto"/>
            </w:pPr>
          </w:p>
        </w:tc>
        <w:tc>
          <w:tcPr>
            <w:tcW w:w="807" w:type="pct"/>
          </w:tcPr>
          <w:p w:rsidR="00CB0DD7" w:rsidRPr="000A0A5F" w:rsidRDefault="00CB0DD7">
            <w:pPr>
              <w:pStyle w:val="TAL"/>
            </w:pPr>
            <w:r w:rsidRPr="000A0A5F">
              <w:rPr>
                <w:rFonts w:hint="eastAsia"/>
                <w:lang w:eastAsia="zh-CN"/>
              </w:rPr>
              <w:t>DELETE</w:t>
            </w:r>
          </w:p>
        </w:tc>
        <w:tc>
          <w:tcPr>
            <w:tcW w:w="1326" w:type="pct"/>
          </w:tcPr>
          <w:p w:rsidR="00CB0DD7" w:rsidRPr="000A0A5F" w:rsidRDefault="00CB0DD7">
            <w:pPr>
              <w:pStyle w:val="TAL"/>
            </w:pPr>
            <w:r w:rsidRPr="000A0A5F">
              <w:rPr>
                <w:lang w:eastAsia="zh-CN"/>
              </w:rPr>
              <w:t>Delete</w:t>
            </w:r>
            <w:r w:rsidRPr="000A0A5F">
              <w:rPr>
                <w:rFonts w:hint="eastAsia"/>
                <w:lang w:eastAsia="zh-CN"/>
              </w:rPr>
              <w:t xml:space="preserve"> CP at </w:t>
            </w:r>
            <w:r w:rsidRPr="000A0A5F">
              <w:rPr>
                <w:lang w:eastAsia="zh-CN"/>
              </w:rPr>
              <w:t>individual</w:t>
            </w:r>
            <w:r w:rsidRPr="000A0A5F">
              <w:rPr>
                <w:rFonts w:hint="eastAsia"/>
                <w:lang w:eastAsia="zh-CN"/>
              </w:rPr>
              <w:t xml:space="preserve"> </w:t>
            </w:r>
            <w:r w:rsidRPr="000A0A5F">
              <w:rPr>
                <w:lang w:eastAsia="zh-CN"/>
              </w:rPr>
              <w:t xml:space="preserve">CP set(s) level associated with a </w:t>
            </w:r>
            <w:r w:rsidRPr="000A0A5F">
              <w:t>CP parameter set</w:t>
            </w:r>
            <w:r w:rsidRPr="000A0A5F">
              <w:rPr>
                <w:lang w:eastAsia="zh-CN"/>
              </w:rPr>
              <w:t xml:space="preserve"> Id.</w:t>
            </w:r>
          </w:p>
        </w:tc>
      </w:tr>
      <w:tr w:rsidR="00CB0DD7" w:rsidRPr="000A0A5F" w:rsidTr="00FF0AF8">
        <w:trPr>
          <w:jc w:val="center"/>
        </w:trPr>
        <w:tc>
          <w:tcPr>
            <w:tcW w:w="5000" w:type="pct"/>
            <w:gridSpan w:val="4"/>
          </w:tcPr>
          <w:p w:rsidR="00AD5724" w:rsidRPr="000A0A5F" w:rsidRDefault="00CB0DD7" w:rsidP="00AD5724">
            <w:pPr>
              <w:pStyle w:val="TAN"/>
              <w:rPr>
                <w:lang w:val="en-US"/>
              </w:rPr>
            </w:pPr>
            <w:r w:rsidRPr="000A0A5F">
              <w:t>NOTE</w:t>
            </w:r>
            <w:r w:rsidR="00AD5724" w:rsidRPr="000A0A5F">
              <w:t> 1</w:t>
            </w:r>
            <w:r w:rsidRPr="000A0A5F">
              <w:t>:</w:t>
            </w:r>
            <w:r w:rsidRPr="000A0A5F">
              <w:tab/>
              <w:t>This setId as a resource identifier is not necessarily identical as the CP parameter set Id received from the SCS/AS</w:t>
            </w:r>
            <w:r w:rsidRPr="000A0A5F">
              <w:rPr>
                <w:lang w:val="en-US"/>
              </w:rPr>
              <w:t>.</w:t>
            </w:r>
          </w:p>
          <w:p w:rsidR="00CB0DD7" w:rsidRPr="000A0A5F" w:rsidRDefault="00AD5724" w:rsidP="00AD5724">
            <w:pPr>
              <w:pStyle w:val="TAN"/>
            </w:pPr>
            <w:r w:rsidRPr="000A0A5F">
              <w:rPr>
                <w:rFonts w:hint="eastAsia"/>
              </w:rPr>
              <w:t>N</w:t>
            </w:r>
            <w:r w:rsidRPr="000A0A5F">
              <w:t>OTE 2:</w:t>
            </w:r>
            <w:r w:rsidRPr="000A0A5F">
              <w:tab/>
              <w:t>The path segment "cpSets" does not follow the related naming convention defined in clause 5.2.4. The path segment is however kept as currently defined in this specification for backward compatibility considerations.</w:t>
            </w:r>
          </w:p>
        </w:tc>
      </w:tr>
    </w:tbl>
    <w:p w:rsidR="00CB0DD7" w:rsidRPr="000A0A5F" w:rsidRDefault="00CB0DD7"/>
    <w:p w:rsidR="00CB0DD7" w:rsidRPr="000A0A5F" w:rsidRDefault="00CB0DD7">
      <w:pPr>
        <w:pStyle w:val="Heading4"/>
      </w:pPr>
      <w:bookmarkStart w:id="7378" w:name="_Toc11247737"/>
      <w:bookmarkStart w:id="7379" w:name="_Toc27044880"/>
      <w:bookmarkStart w:id="7380" w:name="_Toc36033922"/>
      <w:bookmarkStart w:id="7381" w:name="_Toc45132068"/>
      <w:bookmarkStart w:id="7382" w:name="_Toc49776353"/>
      <w:bookmarkStart w:id="7383" w:name="_Toc51747273"/>
      <w:bookmarkStart w:id="7384" w:name="_Toc66360846"/>
      <w:bookmarkStart w:id="7385" w:name="_Toc68105351"/>
      <w:bookmarkStart w:id="7386" w:name="_Toc74755981"/>
      <w:bookmarkStart w:id="7387" w:name="_Toc105674857"/>
      <w:bookmarkStart w:id="7388" w:name="_Toc130502917"/>
      <w:bookmarkStart w:id="7389" w:name="_Toc153625705"/>
      <w:r w:rsidRPr="000A0A5F">
        <w:t>5.10.3.2</w:t>
      </w:r>
      <w:r w:rsidRPr="000A0A5F">
        <w:tab/>
        <w:t>Resource: CP Provisioning Subscriptions</w:t>
      </w:r>
      <w:bookmarkEnd w:id="7378"/>
      <w:bookmarkEnd w:id="7379"/>
      <w:bookmarkEnd w:id="7380"/>
      <w:bookmarkEnd w:id="7381"/>
      <w:bookmarkEnd w:id="7382"/>
      <w:bookmarkEnd w:id="7383"/>
      <w:bookmarkEnd w:id="7384"/>
      <w:bookmarkEnd w:id="7385"/>
      <w:bookmarkEnd w:id="7386"/>
      <w:bookmarkEnd w:id="7387"/>
      <w:bookmarkEnd w:id="7388"/>
      <w:bookmarkEnd w:id="7389"/>
    </w:p>
    <w:p w:rsidR="00CB0DD7" w:rsidRPr="000A0A5F" w:rsidRDefault="00CB0DD7">
      <w:pPr>
        <w:pStyle w:val="Heading5"/>
      </w:pPr>
      <w:bookmarkStart w:id="7390" w:name="_Toc11247738"/>
      <w:bookmarkStart w:id="7391" w:name="_Toc27044881"/>
      <w:bookmarkStart w:id="7392" w:name="_Toc36033923"/>
      <w:bookmarkStart w:id="7393" w:name="_Toc45132069"/>
      <w:bookmarkStart w:id="7394" w:name="_Toc49776354"/>
      <w:bookmarkStart w:id="7395" w:name="_Toc51747274"/>
      <w:bookmarkStart w:id="7396" w:name="_Toc66360847"/>
      <w:bookmarkStart w:id="7397" w:name="_Toc68105352"/>
      <w:bookmarkStart w:id="7398" w:name="_Toc74755982"/>
      <w:bookmarkStart w:id="7399" w:name="_Toc105674858"/>
      <w:bookmarkStart w:id="7400" w:name="_Toc130502918"/>
      <w:bookmarkStart w:id="7401" w:name="_Toc153625706"/>
      <w:r w:rsidRPr="000A0A5F">
        <w:t>5.10.3.2.1</w:t>
      </w:r>
      <w:r w:rsidRPr="000A0A5F">
        <w:tab/>
        <w:t>Introduction</w:t>
      </w:r>
      <w:bookmarkEnd w:id="7390"/>
      <w:bookmarkEnd w:id="7391"/>
      <w:bookmarkEnd w:id="7392"/>
      <w:bookmarkEnd w:id="7393"/>
      <w:bookmarkEnd w:id="7394"/>
      <w:bookmarkEnd w:id="7395"/>
      <w:bookmarkEnd w:id="7396"/>
      <w:bookmarkEnd w:id="7397"/>
      <w:bookmarkEnd w:id="7398"/>
      <w:bookmarkEnd w:id="7399"/>
      <w:bookmarkEnd w:id="7400"/>
      <w:bookmarkEnd w:id="7401"/>
    </w:p>
    <w:p w:rsidR="00CB0DD7" w:rsidRPr="000A0A5F" w:rsidRDefault="00CB0DD7">
      <w:pPr>
        <w:rPr>
          <w:noProof/>
          <w:lang w:eastAsia="zh-CN"/>
        </w:rPr>
      </w:pPr>
      <w:r w:rsidRPr="000A0A5F">
        <w:rPr>
          <w:noProof/>
          <w:lang w:eastAsia="zh-CN"/>
        </w:rPr>
        <w:t>This resource allows t</w:t>
      </w:r>
      <w:r w:rsidRPr="000A0A5F">
        <w:rPr>
          <w:rFonts w:hint="eastAsia"/>
          <w:noProof/>
          <w:lang w:eastAsia="zh-CN"/>
        </w:rPr>
        <w:t xml:space="preserve">he SCS/AS </w:t>
      </w:r>
      <w:r w:rsidRPr="000A0A5F">
        <w:rPr>
          <w:noProof/>
          <w:lang w:eastAsia="zh-CN"/>
        </w:rPr>
        <w:t>to read all active long-term transactions related to CP parameter provisioning resource management.</w:t>
      </w:r>
    </w:p>
    <w:p w:rsidR="00CB0DD7" w:rsidRPr="000A0A5F" w:rsidRDefault="00CB0DD7">
      <w:pPr>
        <w:pStyle w:val="Heading5"/>
      </w:pPr>
      <w:bookmarkStart w:id="7402" w:name="_Toc11247739"/>
      <w:bookmarkStart w:id="7403" w:name="_Toc27044882"/>
      <w:bookmarkStart w:id="7404" w:name="_Toc36033924"/>
      <w:bookmarkStart w:id="7405" w:name="_Toc45132070"/>
      <w:bookmarkStart w:id="7406" w:name="_Toc49776355"/>
      <w:bookmarkStart w:id="7407" w:name="_Toc51747275"/>
      <w:bookmarkStart w:id="7408" w:name="_Toc66360848"/>
      <w:bookmarkStart w:id="7409" w:name="_Toc68105353"/>
      <w:bookmarkStart w:id="7410" w:name="_Toc74755983"/>
      <w:bookmarkStart w:id="7411" w:name="_Toc105674859"/>
      <w:bookmarkStart w:id="7412" w:name="_Toc130502919"/>
      <w:bookmarkStart w:id="7413" w:name="_Toc153625707"/>
      <w:r w:rsidRPr="000A0A5F">
        <w:t>5.10.3.2.2</w:t>
      </w:r>
      <w:r w:rsidRPr="000A0A5F">
        <w:tab/>
        <w:t>Resource definition</w:t>
      </w:r>
      <w:bookmarkEnd w:id="7402"/>
      <w:bookmarkEnd w:id="7403"/>
      <w:bookmarkEnd w:id="7404"/>
      <w:bookmarkEnd w:id="7405"/>
      <w:bookmarkEnd w:id="7406"/>
      <w:bookmarkEnd w:id="7407"/>
      <w:bookmarkEnd w:id="7408"/>
      <w:bookmarkEnd w:id="7409"/>
      <w:bookmarkEnd w:id="7410"/>
      <w:bookmarkEnd w:id="7411"/>
      <w:bookmarkEnd w:id="7412"/>
      <w:bookmarkEnd w:id="7413"/>
    </w:p>
    <w:p w:rsidR="00CB0DD7" w:rsidRPr="000A0A5F" w:rsidRDefault="00CB0DD7">
      <w:r w:rsidRPr="000A0A5F">
        <w:t xml:space="preserve">Resource URI: </w:t>
      </w:r>
      <w:r w:rsidRPr="000A0A5F">
        <w:rPr>
          <w:b/>
        </w:rPr>
        <w:t>{apiRoot}/3gpp-cp-parameter-provisioning/v1/{scsAsId}/subscriptions</w:t>
      </w:r>
    </w:p>
    <w:p w:rsidR="00CB0DD7" w:rsidRPr="000A0A5F" w:rsidRDefault="00CB0DD7">
      <w:pPr>
        <w:rPr>
          <w:rFonts w:ascii="Arial" w:hAnsi="Arial" w:cs="Arial"/>
        </w:rPr>
      </w:pPr>
      <w:r w:rsidRPr="000A0A5F">
        <w:t>This resource shall support the resource URI variables defined in table 5.10.3.2.2-1</w:t>
      </w:r>
      <w:r w:rsidRPr="000A0A5F">
        <w:rPr>
          <w:rFonts w:ascii="Arial" w:hAnsi="Arial" w:cs="Arial"/>
        </w:rPr>
        <w:t>.</w:t>
      </w:r>
    </w:p>
    <w:p w:rsidR="00CB0DD7" w:rsidRPr="000A0A5F" w:rsidRDefault="00CB0DD7">
      <w:pPr>
        <w:pStyle w:val="TH"/>
        <w:rPr>
          <w:rFonts w:cs="Arial"/>
        </w:rPr>
      </w:pPr>
      <w:r w:rsidRPr="000A0A5F">
        <w:t>Table 5.10.3.2.2-1: Resource URI variables for resource "CP Provisioning Subscriptions"</w:t>
      </w:r>
    </w:p>
    <w:tbl>
      <w:tblPr>
        <w:tblW w:w="494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970"/>
        <w:gridCol w:w="1312"/>
        <w:gridCol w:w="6378"/>
      </w:tblGrid>
      <w:tr w:rsidR="00CB0DD7" w:rsidRPr="000A0A5F" w:rsidTr="00FF0AF8">
        <w:trPr>
          <w:jc w:val="center"/>
        </w:trPr>
        <w:tc>
          <w:tcPr>
            <w:tcW w:w="1020" w:type="pct"/>
            <w:shd w:val="clear" w:color="000000" w:fill="C0C0C0"/>
          </w:tcPr>
          <w:p w:rsidR="00CB0DD7" w:rsidRPr="000A0A5F" w:rsidRDefault="00CB0DD7">
            <w:pPr>
              <w:pStyle w:val="TAH"/>
            </w:pPr>
            <w:r w:rsidRPr="000A0A5F">
              <w:t>Name</w:t>
            </w:r>
          </w:p>
        </w:tc>
        <w:tc>
          <w:tcPr>
            <w:tcW w:w="679" w:type="pct"/>
            <w:shd w:val="clear" w:color="000000" w:fill="C0C0C0"/>
          </w:tcPr>
          <w:p w:rsidR="00CB0DD7" w:rsidRPr="000A0A5F" w:rsidRDefault="00CB0DD7">
            <w:pPr>
              <w:pStyle w:val="TAH"/>
            </w:pPr>
            <w:r w:rsidRPr="000A0A5F">
              <w:t>Data type</w:t>
            </w:r>
          </w:p>
        </w:tc>
        <w:tc>
          <w:tcPr>
            <w:tcW w:w="3302" w:type="pct"/>
            <w:shd w:val="clear" w:color="000000" w:fill="C0C0C0"/>
            <w:vAlign w:val="center"/>
          </w:tcPr>
          <w:p w:rsidR="00CB0DD7" w:rsidRPr="000A0A5F" w:rsidRDefault="00CB0DD7">
            <w:pPr>
              <w:pStyle w:val="TAH"/>
            </w:pPr>
            <w:r w:rsidRPr="000A0A5F">
              <w:t>Definition</w:t>
            </w:r>
          </w:p>
        </w:tc>
      </w:tr>
      <w:tr w:rsidR="00CB0DD7" w:rsidRPr="000A0A5F" w:rsidTr="00FF0AF8">
        <w:trPr>
          <w:jc w:val="center"/>
        </w:trPr>
        <w:tc>
          <w:tcPr>
            <w:tcW w:w="1020" w:type="pct"/>
            <w:shd w:val="clear" w:color="auto" w:fill="auto"/>
          </w:tcPr>
          <w:p w:rsidR="00CB0DD7" w:rsidRPr="000A0A5F" w:rsidRDefault="00CB0DD7">
            <w:pPr>
              <w:pStyle w:val="TAL"/>
            </w:pPr>
            <w:r w:rsidRPr="000A0A5F">
              <w:t>apiRoot</w:t>
            </w:r>
          </w:p>
        </w:tc>
        <w:tc>
          <w:tcPr>
            <w:tcW w:w="679" w:type="pct"/>
          </w:tcPr>
          <w:p w:rsidR="00CB0DD7" w:rsidRPr="000A0A5F" w:rsidRDefault="00CB0DD7">
            <w:pPr>
              <w:pStyle w:val="TAL"/>
            </w:pPr>
            <w:r w:rsidRPr="000A0A5F">
              <w:t>string</w:t>
            </w:r>
          </w:p>
        </w:tc>
        <w:tc>
          <w:tcPr>
            <w:tcW w:w="3302" w:type="pct"/>
            <w:shd w:val="clear" w:color="auto" w:fill="auto"/>
            <w:vAlign w:val="center"/>
          </w:tcPr>
          <w:p w:rsidR="00CB0DD7" w:rsidRPr="000A0A5F" w:rsidRDefault="00CB0DD7">
            <w:pPr>
              <w:pStyle w:val="TAL"/>
            </w:pPr>
            <w:r w:rsidRPr="000A0A5F">
              <w:t>See clause</w:t>
            </w:r>
            <w:r w:rsidRPr="000A0A5F">
              <w:rPr>
                <w:lang w:val="en-US" w:eastAsia="zh-CN"/>
              </w:rPr>
              <w:t> </w:t>
            </w:r>
            <w:r w:rsidRPr="000A0A5F">
              <w:t>5.2.4.</w:t>
            </w:r>
          </w:p>
        </w:tc>
      </w:tr>
      <w:tr w:rsidR="00CB0DD7" w:rsidRPr="000A0A5F" w:rsidTr="00FF0AF8">
        <w:trPr>
          <w:jc w:val="center"/>
        </w:trPr>
        <w:tc>
          <w:tcPr>
            <w:tcW w:w="1020" w:type="pct"/>
            <w:shd w:val="clear" w:color="auto" w:fill="auto"/>
          </w:tcPr>
          <w:p w:rsidR="00CB0DD7" w:rsidRPr="000A0A5F" w:rsidRDefault="00CB0DD7">
            <w:pPr>
              <w:pStyle w:val="TAL"/>
            </w:pPr>
            <w:r w:rsidRPr="000A0A5F">
              <w:t>scsAsId</w:t>
            </w:r>
          </w:p>
        </w:tc>
        <w:tc>
          <w:tcPr>
            <w:tcW w:w="679" w:type="pct"/>
          </w:tcPr>
          <w:p w:rsidR="00CB0DD7" w:rsidRPr="000A0A5F" w:rsidRDefault="00CB0DD7">
            <w:pPr>
              <w:pStyle w:val="TAL"/>
            </w:pPr>
            <w:r w:rsidRPr="000A0A5F">
              <w:rPr>
                <w:rFonts w:hint="eastAsia"/>
                <w:lang w:eastAsia="zh-CN"/>
              </w:rPr>
              <w:t>s</w:t>
            </w:r>
            <w:r w:rsidRPr="000A0A5F">
              <w:rPr>
                <w:lang w:eastAsia="zh-CN"/>
              </w:rPr>
              <w:t>tring</w:t>
            </w:r>
          </w:p>
        </w:tc>
        <w:tc>
          <w:tcPr>
            <w:tcW w:w="3302" w:type="pct"/>
            <w:shd w:val="clear" w:color="auto" w:fill="auto"/>
            <w:vAlign w:val="center"/>
          </w:tcPr>
          <w:p w:rsidR="00CB0DD7" w:rsidRPr="000A0A5F" w:rsidRDefault="00CB0DD7">
            <w:pPr>
              <w:pStyle w:val="TAL"/>
            </w:pPr>
            <w:r w:rsidRPr="000A0A5F">
              <w:t>Identifier of the SCS/AS.</w:t>
            </w:r>
          </w:p>
        </w:tc>
      </w:tr>
    </w:tbl>
    <w:p w:rsidR="00CB0DD7" w:rsidRPr="000A0A5F" w:rsidRDefault="00CB0DD7"/>
    <w:p w:rsidR="00CB0DD7" w:rsidRPr="000A0A5F" w:rsidRDefault="00CB0DD7">
      <w:pPr>
        <w:pStyle w:val="Heading5"/>
      </w:pPr>
      <w:bookmarkStart w:id="7414" w:name="_Toc11247740"/>
      <w:bookmarkStart w:id="7415" w:name="_Toc27044883"/>
      <w:bookmarkStart w:id="7416" w:name="_Toc36033925"/>
      <w:bookmarkStart w:id="7417" w:name="_Toc45132071"/>
      <w:bookmarkStart w:id="7418" w:name="_Toc49776356"/>
      <w:bookmarkStart w:id="7419" w:name="_Toc51747276"/>
      <w:bookmarkStart w:id="7420" w:name="_Toc66360849"/>
      <w:bookmarkStart w:id="7421" w:name="_Toc68105354"/>
      <w:bookmarkStart w:id="7422" w:name="_Toc74755984"/>
      <w:bookmarkStart w:id="7423" w:name="_Toc105674860"/>
      <w:bookmarkStart w:id="7424" w:name="_Toc130502920"/>
      <w:bookmarkStart w:id="7425" w:name="_Toc153625708"/>
      <w:r w:rsidRPr="000A0A5F">
        <w:t>5.10.3.2.3</w:t>
      </w:r>
      <w:r w:rsidRPr="000A0A5F">
        <w:tab/>
        <w:t>Resource methods</w:t>
      </w:r>
      <w:bookmarkEnd w:id="7414"/>
      <w:bookmarkEnd w:id="7415"/>
      <w:bookmarkEnd w:id="7416"/>
      <w:bookmarkEnd w:id="7417"/>
      <w:bookmarkEnd w:id="7418"/>
      <w:bookmarkEnd w:id="7419"/>
      <w:bookmarkEnd w:id="7420"/>
      <w:bookmarkEnd w:id="7421"/>
      <w:bookmarkEnd w:id="7422"/>
      <w:bookmarkEnd w:id="7423"/>
      <w:bookmarkEnd w:id="7424"/>
      <w:bookmarkEnd w:id="7425"/>
    </w:p>
    <w:p w:rsidR="00CB0DD7" w:rsidRPr="000A0A5F" w:rsidRDefault="00CB0DD7">
      <w:pPr>
        <w:pStyle w:val="Heading6"/>
      </w:pPr>
      <w:bookmarkStart w:id="7426" w:name="_Toc11247741"/>
      <w:bookmarkStart w:id="7427" w:name="_Toc27044884"/>
      <w:bookmarkStart w:id="7428" w:name="_Toc36033926"/>
      <w:bookmarkStart w:id="7429" w:name="_Toc45132072"/>
      <w:bookmarkStart w:id="7430" w:name="_Toc49776357"/>
      <w:bookmarkStart w:id="7431" w:name="_Toc51747277"/>
      <w:bookmarkStart w:id="7432" w:name="_Toc66360850"/>
      <w:bookmarkStart w:id="7433" w:name="_Toc68105355"/>
      <w:bookmarkStart w:id="7434" w:name="_Toc74755985"/>
      <w:bookmarkStart w:id="7435" w:name="_Toc105674861"/>
      <w:bookmarkStart w:id="7436" w:name="_Toc130502921"/>
      <w:bookmarkStart w:id="7437" w:name="_Toc153625709"/>
      <w:r w:rsidRPr="000A0A5F">
        <w:t>5.10.3.2.3.1</w:t>
      </w:r>
      <w:r w:rsidRPr="000A0A5F">
        <w:tab/>
        <w:t>GET</w:t>
      </w:r>
      <w:bookmarkEnd w:id="7426"/>
      <w:bookmarkEnd w:id="7427"/>
      <w:bookmarkEnd w:id="7428"/>
      <w:bookmarkEnd w:id="7429"/>
      <w:bookmarkEnd w:id="7430"/>
      <w:bookmarkEnd w:id="7431"/>
      <w:bookmarkEnd w:id="7432"/>
      <w:bookmarkEnd w:id="7433"/>
      <w:bookmarkEnd w:id="7434"/>
      <w:bookmarkEnd w:id="7435"/>
      <w:bookmarkEnd w:id="7436"/>
      <w:bookmarkEnd w:id="7437"/>
    </w:p>
    <w:p w:rsidR="00CB0DD7" w:rsidRPr="000A0A5F" w:rsidRDefault="00CB0DD7">
      <w:pPr>
        <w:rPr>
          <w:noProof/>
          <w:lang w:eastAsia="zh-CN"/>
        </w:rPr>
      </w:pPr>
      <w:r w:rsidRPr="000A0A5F">
        <w:rPr>
          <w:noProof/>
          <w:lang w:eastAsia="zh-CN"/>
        </w:rPr>
        <w:t xml:space="preserve">The GET method allows to read all active subscriptions for a given SCS/AS. The SCS/AS shall initiate the HTTP GET request message and the SCEF shall respond to the message. </w:t>
      </w:r>
    </w:p>
    <w:p w:rsidR="00CB0DD7" w:rsidRPr="000A0A5F" w:rsidRDefault="00CB0DD7">
      <w:r w:rsidRPr="000A0A5F">
        <w:t>This method shall support the URI query parameters, request and response data structures, and response codes, as specified in the table 5.10.3.2.3.1-1 and table 5.10.3.2.3.1-2.</w:t>
      </w:r>
    </w:p>
    <w:p w:rsidR="00CB0DD7" w:rsidRPr="000A0A5F" w:rsidRDefault="00CB0DD7">
      <w:pPr>
        <w:pStyle w:val="TH"/>
        <w:rPr>
          <w:rFonts w:cs="Arial"/>
        </w:rPr>
      </w:pPr>
      <w:r w:rsidRPr="000A0A5F">
        <w:t xml:space="preserve">Table 5.10.3.2.3.1-1: URI query parameters supported by the GET method on this resource </w:t>
      </w:r>
    </w:p>
    <w:tbl>
      <w:tblPr>
        <w:tblW w:w="4999"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612"/>
        <w:gridCol w:w="1709"/>
        <w:gridCol w:w="1140"/>
        <w:gridCol w:w="5314"/>
      </w:tblGrid>
      <w:tr w:rsidR="00CB0DD7" w:rsidRPr="000A0A5F" w:rsidTr="00FF0AF8">
        <w:trPr>
          <w:jc w:val="center"/>
        </w:trPr>
        <w:tc>
          <w:tcPr>
            <w:tcW w:w="825" w:type="pct"/>
            <w:shd w:val="clear" w:color="000000" w:fill="C0C0C0"/>
          </w:tcPr>
          <w:p w:rsidR="00CB0DD7" w:rsidRPr="000A0A5F" w:rsidRDefault="00CB0DD7">
            <w:pPr>
              <w:pStyle w:val="TAH"/>
            </w:pPr>
            <w:r w:rsidRPr="000A0A5F">
              <w:t>Name</w:t>
            </w:r>
          </w:p>
        </w:tc>
        <w:tc>
          <w:tcPr>
            <w:tcW w:w="874" w:type="pct"/>
            <w:shd w:val="clear" w:color="000000" w:fill="C0C0C0"/>
          </w:tcPr>
          <w:p w:rsidR="00CB0DD7" w:rsidRPr="000A0A5F" w:rsidRDefault="00CB0DD7">
            <w:pPr>
              <w:pStyle w:val="TAH"/>
            </w:pPr>
            <w:r w:rsidRPr="000A0A5F">
              <w:t>Data type</w:t>
            </w:r>
          </w:p>
        </w:tc>
        <w:tc>
          <w:tcPr>
            <w:tcW w:w="583" w:type="pct"/>
            <w:shd w:val="clear" w:color="000000" w:fill="C0C0C0"/>
          </w:tcPr>
          <w:p w:rsidR="00CB0DD7" w:rsidRPr="000A0A5F" w:rsidRDefault="00CB0DD7">
            <w:pPr>
              <w:pStyle w:val="TAH"/>
            </w:pPr>
            <w:r w:rsidRPr="000A0A5F">
              <w:t>Cardinality</w:t>
            </w:r>
          </w:p>
        </w:tc>
        <w:tc>
          <w:tcPr>
            <w:tcW w:w="2718" w:type="pct"/>
            <w:shd w:val="clear" w:color="000000" w:fill="C0C0C0"/>
            <w:vAlign w:val="center"/>
          </w:tcPr>
          <w:p w:rsidR="00CB0DD7" w:rsidRPr="000A0A5F" w:rsidRDefault="00CB0DD7">
            <w:pPr>
              <w:pStyle w:val="TAH"/>
            </w:pPr>
            <w:r w:rsidRPr="000A0A5F">
              <w:t>Remarks</w:t>
            </w:r>
          </w:p>
        </w:tc>
      </w:tr>
      <w:tr w:rsidR="00CB0DD7" w:rsidRPr="000A0A5F" w:rsidTr="00FF0AF8">
        <w:trPr>
          <w:jc w:val="center"/>
        </w:trPr>
        <w:tc>
          <w:tcPr>
            <w:tcW w:w="825" w:type="pct"/>
            <w:shd w:val="clear" w:color="auto" w:fill="auto"/>
          </w:tcPr>
          <w:p w:rsidR="00CB0DD7" w:rsidRPr="000A0A5F" w:rsidRDefault="00CB0DD7">
            <w:pPr>
              <w:pStyle w:val="TAL"/>
            </w:pPr>
            <w:r w:rsidRPr="000A0A5F">
              <w:t>none specified</w:t>
            </w:r>
          </w:p>
        </w:tc>
        <w:tc>
          <w:tcPr>
            <w:tcW w:w="874" w:type="pct"/>
          </w:tcPr>
          <w:p w:rsidR="00CB0DD7" w:rsidRPr="000A0A5F" w:rsidRDefault="00CB0DD7">
            <w:pPr>
              <w:pStyle w:val="TAL"/>
            </w:pPr>
          </w:p>
        </w:tc>
        <w:tc>
          <w:tcPr>
            <w:tcW w:w="583" w:type="pct"/>
          </w:tcPr>
          <w:p w:rsidR="00CB0DD7" w:rsidRPr="000A0A5F" w:rsidRDefault="00CB0DD7">
            <w:pPr>
              <w:pStyle w:val="TAL"/>
            </w:pPr>
          </w:p>
        </w:tc>
        <w:tc>
          <w:tcPr>
            <w:tcW w:w="2718" w:type="pct"/>
            <w:shd w:val="clear" w:color="auto" w:fill="auto"/>
            <w:vAlign w:val="center"/>
          </w:tcPr>
          <w:p w:rsidR="00CB0DD7" w:rsidRPr="000A0A5F" w:rsidRDefault="00CB0DD7">
            <w:pPr>
              <w:pStyle w:val="TAL"/>
            </w:pPr>
          </w:p>
        </w:tc>
      </w:tr>
    </w:tbl>
    <w:p w:rsidR="00CB0DD7" w:rsidRPr="000A0A5F" w:rsidRDefault="00CB0DD7"/>
    <w:p w:rsidR="00CB0DD7" w:rsidRPr="000A0A5F" w:rsidRDefault="00CB0DD7">
      <w:pPr>
        <w:pStyle w:val="TH"/>
        <w:spacing w:before="120"/>
      </w:pPr>
      <w:r w:rsidRPr="000A0A5F">
        <w:t>Table 5.10.3.2.3.1-2: Data structures supported by the GET request/response by the resource</w:t>
      </w:r>
    </w:p>
    <w:tbl>
      <w:tblPr>
        <w:tblW w:w="4999" w:type="pct"/>
        <w:tblInd w:w="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45" w:type="dxa"/>
          <w:left w:w="45" w:type="dxa"/>
          <w:bottom w:w="45" w:type="dxa"/>
          <w:right w:w="45" w:type="dxa"/>
        </w:tblCellMar>
        <w:tblLook w:val="0000" w:firstRow="0" w:lastRow="0" w:firstColumn="0" w:lastColumn="0" w:noHBand="0" w:noVBand="0"/>
      </w:tblPr>
      <w:tblGrid>
        <w:gridCol w:w="1035"/>
        <w:gridCol w:w="2127"/>
        <w:gridCol w:w="1053"/>
        <w:gridCol w:w="973"/>
        <w:gridCol w:w="4541"/>
      </w:tblGrid>
      <w:tr w:rsidR="00CB0DD7" w:rsidRPr="000A0A5F" w:rsidTr="004C6435">
        <w:tc>
          <w:tcPr>
            <w:tcW w:w="532" w:type="pct"/>
            <w:vMerge w:val="restart"/>
            <w:shd w:val="clear" w:color="auto" w:fill="C0C0C0"/>
            <w:vAlign w:val="center"/>
          </w:tcPr>
          <w:p w:rsidR="00CB0DD7" w:rsidRPr="000A0A5F" w:rsidRDefault="00CB0DD7">
            <w:pPr>
              <w:pStyle w:val="TAH"/>
            </w:pPr>
            <w:r w:rsidRPr="000A0A5F">
              <w:t>Request body</w:t>
            </w:r>
          </w:p>
        </w:tc>
        <w:tc>
          <w:tcPr>
            <w:tcW w:w="1093" w:type="pct"/>
            <w:shd w:val="clear" w:color="auto" w:fill="C0C0C0"/>
          </w:tcPr>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r w:rsidRPr="000A0A5F">
              <w:t>Cardinality</w:t>
            </w:r>
          </w:p>
        </w:tc>
        <w:tc>
          <w:tcPr>
            <w:tcW w:w="2834" w:type="pct"/>
            <w:gridSpan w:val="2"/>
            <w:shd w:val="clear" w:color="auto" w:fill="C0C0C0"/>
          </w:tcPr>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none</w:t>
            </w:r>
          </w:p>
        </w:tc>
        <w:tc>
          <w:tcPr>
            <w:tcW w:w="541" w:type="pct"/>
          </w:tcPr>
          <w:p w:rsidR="00CB0DD7" w:rsidRPr="000A0A5F" w:rsidRDefault="00CB0DD7">
            <w:pPr>
              <w:pStyle w:val="TAL"/>
            </w:pPr>
          </w:p>
        </w:tc>
        <w:tc>
          <w:tcPr>
            <w:tcW w:w="2834" w:type="pct"/>
            <w:gridSpan w:val="2"/>
          </w:tcPr>
          <w:p w:rsidR="00CB0DD7" w:rsidRPr="000A0A5F" w:rsidRDefault="00CB0DD7">
            <w:pPr>
              <w:pStyle w:val="TAL"/>
            </w:pPr>
          </w:p>
        </w:tc>
      </w:tr>
      <w:tr w:rsidR="00CB0DD7" w:rsidRPr="000A0A5F" w:rsidTr="004C6435">
        <w:tc>
          <w:tcPr>
            <w:tcW w:w="532" w:type="pct"/>
            <w:vMerge w:val="restart"/>
            <w:shd w:val="clear" w:color="auto" w:fill="C0C0C0"/>
            <w:vAlign w:val="center"/>
          </w:tcPr>
          <w:p w:rsidR="00CB0DD7" w:rsidRPr="000A0A5F" w:rsidRDefault="00CB0DD7">
            <w:pPr>
              <w:pStyle w:val="TAH"/>
            </w:pPr>
            <w:r w:rsidRPr="000A0A5F">
              <w:t>Response body</w:t>
            </w:r>
          </w:p>
        </w:tc>
        <w:tc>
          <w:tcPr>
            <w:tcW w:w="1093" w:type="pct"/>
            <w:shd w:val="clear" w:color="auto" w:fill="C0C0C0"/>
          </w:tcPr>
          <w:p w:rsidR="00CB0DD7" w:rsidRPr="000A0A5F" w:rsidRDefault="00CB0DD7">
            <w:pPr>
              <w:pStyle w:val="TAH"/>
            </w:pPr>
          </w:p>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p>
          <w:p w:rsidR="00CB0DD7" w:rsidRPr="000A0A5F" w:rsidRDefault="00CB0DD7">
            <w:pPr>
              <w:pStyle w:val="TAH"/>
            </w:pPr>
            <w:r w:rsidRPr="000A0A5F">
              <w:t>Cardinality</w:t>
            </w:r>
          </w:p>
        </w:tc>
        <w:tc>
          <w:tcPr>
            <w:tcW w:w="500" w:type="pct"/>
            <w:shd w:val="clear" w:color="auto" w:fill="C0C0C0"/>
          </w:tcPr>
          <w:p w:rsidR="00CB0DD7" w:rsidRPr="000A0A5F" w:rsidRDefault="00CB0DD7">
            <w:pPr>
              <w:pStyle w:val="TAH"/>
            </w:pPr>
            <w:r w:rsidRPr="000A0A5F">
              <w:t>Response</w:t>
            </w:r>
          </w:p>
          <w:p w:rsidR="00CB0DD7" w:rsidRPr="000A0A5F" w:rsidRDefault="00CB0DD7">
            <w:pPr>
              <w:pStyle w:val="TAH"/>
            </w:pPr>
            <w:r w:rsidRPr="000A0A5F">
              <w:t>codes</w:t>
            </w:r>
          </w:p>
        </w:tc>
        <w:tc>
          <w:tcPr>
            <w:tcW w:w="2334" w:type="pct"/>
            <w:shd w:val="clear" w:color="auto" w:fill="C0C0C0"/>
          </w:tcPr>
          <w:p w:rsidR="00CB0DD7" w:rsidRPr="000A0A5F" w:rsidRDefault="00CB0DD7">
            <w:pPr>
              <w:pStyle w:val="TAH"/>
            </w:pPr>
          </w:p>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array(CpInfo)</w:t>
            </w:r>
          </w:p>
        </w:tc>
        <w:tc>
          <w:tcPr>
            <w:tcW w:w="541" w:type="pct"/>
          </w:tcPr>
          <w:p w:rsidR="00CB0DD7" w:rsidRPr="000A0A5F" w:rsidRDefault="00CB0DD7">
            <w:pPr>
              <w:pStyle w:val="TAL"/>
            </w:pPr>
            <w:r w:rsidRPr="000A0A5F">
              <w:t>0..N</w:t>
            </w:r>
          </w:p>
        </w:tc>
        <w:tc>
          <w:tcPr>
            <w:tcW w:w="500" w:type="pct"/>
          </w:tcPr>
          <w:p w:rsidR="00CB0DD7" w:rsidRPr="000A0A5F" w:rsidRDefault="00CB0DD7">
            <w:pPr>
              <w:pStyle w:val="TAL"/>
            </w:pPr>
            <w:r w:rsidRPr="000A0A5F">
              <w:t>200 OK</w:t>
            </w:r>
          </w:p>
        </w:tc>
        <w:tc>
          <w:tcPr>
            <w:tcW w:w="2334" w:type="pct"/>
          </w:tcPr>
          <w:p w:rsidR="00CB0DD7" w:rsidRPr="000A0A5F" w:rsidRDefault="00CB0DD7">
            <w:pPr>
              <w:pStyle w:val="TAL"/>
            </w:pPr>
            <w:r w:rsidRPr="000A0A5F">
              <w:t>The subscription information related to the request URI is returned.</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none</w:t>
            </w:r>
          </w:p>
        </w:tc>
        <w:tc>
          <w:tcPr>
            <w:tcW w:w="541" w:type="pct"/>
          </w:tcPr>
          <w:p w:rsidR="00CB0DD7" w:rsidRPr="000A0A5F" w:rsidRDefault="00CB0DD7">
            <w:pPr>
              <w:pStyle w:val="TAL"/>
            </w:pPr>
          </w:p>
        </w:tc>
        <w:tc>
          <w:tcPr>
            <w:tcW w:w="500" w:type="pct"/>
          </w:tcPr>
          <w:p w:rsidR="00CB0DD7" w:rsidRPr="000A0A5F" w:rsidRDefault="00CB0DD7">
            <w:pPr>
              <w:pStyle w:val="TAL"/>
            </w:pPr>
            <w:r w:rsidRPr="000A0A5F">
              <w:t>307 Temporary Redirect</w:t>
            </w:r>
          </w:p>
        </w:tc>
        <w:tc>
          <w:tcPr>
            <w:tcW w:w="2334" w:type="pct"/>
          </w:tcPr>
          <w:p w:rsidR="00CB0DD7" w:rsidRPr="000A0A5F" w:rsidRDefault="00CB0DD7">
            <w:pPr>
              <w:pStyle w:val="TAL"/>
            </w:pPr>
            <w:r w:rsidRPr="000A0A5F">
              <w:t>Temporary redirection, during subscription retrieval. The response shall include a Location header field containing an alternative URI of the resource located in an alternative SCEF.</w:t>
            </w:r>
          </w:p>
          <w:p w:rsidR="00CB0DD7" w:rsidRPr="000A0A5F" w:rsidRDefault="00CB0DD7">
            <w:pPr>
              <w:pStyle w:val="TAL"/>
            </w:pPr>
            <w:r w:rsidRPr="000A0A5F">
              <w:t>Redirection handling is described in clause 5.2.10.</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none</w:t>
            </w:r>
          </w:p>
        </w:tc>
        <w:tc>
          <w:tcPr>
            <w:tcW w:w="541" w:type="pct"/>
          </w:tcPr>
          <w:p w:rsidR="00CB0DD7" w:rsidRPr="000A0A5F" w:rsidRDefault="00CB0DD7">
            <w:pPr>
              <w:pStyle w:val="TAL"/>
            </w:pPr>
          </w:p>
        </w:tc>
        <w:tc>
          <w:tcPr>
            <w:tcW w:w="500" w:type="pct"/>
          </w:tcPr>
          <w:p w:rsidR="00CB0DD7" w:rsidRPr="000A0A5F" w:rsidRDefault="00CB0DD7">
            <w:pPr>
              <w:pStyle w:val="TAL"/>
            </w:pPr>
            <w:r w:rsidRPr="000A0A5F">
              <w:t>308 Permanent Redirect</w:t>
            </w:r>
          </w:p>
        </w:tc>
        <w:tc>
          <w:tcPr>
            <w:tcW w:w="2334" w:type="pct"/>
          </w:tcPr>
          <w:p w:rsidR="00CB0DD7" w:rsidRPr="000A0A5F" w:rsidRDefault="00CB0DD7">
            <w:pPr>
              <w:pStyle w:val="TAL"/>
            </w:pPr>
            <w:r w:rsidRPr="000A0A5F">
              <w:t>Permanent redirection, during subscription retrieval. The response shall include a Location header field containing an alternative URI of the resource located in an alternative SCEF.</w:t>
            </w:r>
          </w:p>
          <w:p w:rsidR="00CB0DD7" w:rsidRPr="000A0A5F" w:rsidRDefault="00CB0DD7">
            <w:pPr>
              <w:pStyle w:val="TAL"/>
            </w:pPr>
            <w:r w:rsidRPr="000A0A5F">
              <w:t>Redirection handling is described in clause 5.2.10.</w:t>
            </w:r>
          </w:p>
        </w:tc>
      </w:tr>
      <w:tr w:rsidR="00CB0DD7" w:rsidRPr="000A0A5F" w:rsidTr="00FF0AF8">
        <w:tc>
          <w:tcPr>
            <w:tcW w:w="5000" w:type="pct"/>
            <w:gridSpan w:val="5"/>
            <w:shd w:val="clear" w:color="auto" w:fill="auto"/>
            <w:vAlign w:val="center"/>
          </w:tcPr>
          <w:p w:rsidR="00CB0DD7" w:rsidRPr="000A0A5F" w:rsidRDefault="00CB0DD7">
            <w:pPr>
              <w:pStyle w:val="TAN"/>
            </w:pPr>
            <w:r w:rsidRPr="000A0A5F">
              <w:t>NOTE:</w:t>
            </w:r>
            <w:r w:rsidRPr="000A0A5F">
              <w:tab/>
              <w:t>The mandatory HTTP error status codes for the GET method listed in table 5.2.6-1 also apply.</w:t>
            </w:r>
          </w:p>
        </w:tc>
      </w:tr>
    </w:tbl>
    <w:p w:rsidR="00CB0DD7" w:rsidRPr="000A0A5F" w:rsidRDefault="00CB0DD7"/>
    <w:p w:rsidR="00CB0DD7" w:rsidRPr="000A0A5F" w:rsidRDefault="002E466A">
      <w:pPr>
        <w:pStyle w:val="TH"/>
      </w:pPr>
      <w:r w:rsidRPr="000A0A5F">
        <w:t>Table </w:t>
      </w:r>
      <w:r w:rsidR="00CB0DD7" w:rsidRPr="000A0A5F">
        <w:t>5.10.3.2.3.1-3: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2E466A">
      <w:pPr>
        <w:pStyle w:val="TH"/>
      </w:pPr>
      <w:r w:rsidRPr="000A0A5F">
        <w:t>Table </w:t>
      </w:r>
      <w:r w:rsidR="00CB0DD7" w:rsidRPr="000A0A5F">
        <w:t>5.10.3.2.3.1-4: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CB0DD7">
      <w:pPr>
        <w:pStyle w:val="Heading6"/>
      </w:pPr>
      <w:bookmarkStart w:id="7438" w:name="_Toc11247742"/>
      <w:bookmarkStart w:id="7439" w:name="_Toc27044885"/>
      <w:bookmarkStart w:id="7440" w:name="_Toc36033927"/>
      <w:bookmarkStart w:id="7441" w:name="_Toc45132073"/>
      <w:bookmarkStart w:id="7442" w:name="_Toc49776358"/>
      <w:bookmarkStart w:id="7443" w:name="_Toc51747278"/>
      <w:bookmarkStart w:id="7444" w:name="_Toc66360851"/>
      <w:bookmarkStart w:id="7445" w:name="_Toc68105356"/>
      <w:bookmarkStart w:id="7446" w:name="_Toc74755986"/>
      <w:bookmarkStart w:id="7447" w:name="_Toc105674862"/>
      <w:bookmarkStart w:id="7448" w:name="_Toc130502922"/>
      <w:bookmarkStart w:id="7449" w:name="_Toc153625710"/>
      <w:r w:rsidRPr="000A0A5F">
        <w:t>5.10.3.2.3.2</w:t>
      </w:r>
      <w:r w:rsidRPr="000A0A5F">
        <w:tab/>
        <w:t>PUT</w:t>
      </w:r>
      <w:bookmarkEnd w:id="7438"/>
      <w:bookmarkEnd w:id="7439"/>
      <w:bookmarkEnd w:id="7440"/>
      <w:bookmarkEnd w:id="7441"/>
      <w:bookmarkEnd w:id="7442"/>
      <w:bookmarkEnd w:id="7443"/>
      <w:bookmarkEnd w:id="7444"/>
      <w:bookmarkEnd w:id="7445"/>
      <w:bookmarkEnd w:id="7446"/>
      <w:bookmarkEnd w:id="7447"/>
      <w:bookmarkEnd w:id="7448"/>
      <w:bookmarkEnd w:id="7449"/>
    </w:p>
    <w:p w:rsidR="00CB0DD7" w:rsidRPr="000A0A5F" w:rsidRDefault="00CB0DD7">
      <w:pPr>
        <w:rPr>
          <w:lang w:eastAsia="zh-CN"/>
        </w:rPr>
      </w:pPr>
      <w:r w:rsidRPr="000A0A5F">
        <w:rPr>
          <w:rFonts w:hint="eastAsia"/>
          <w:lang w:eastAsia="zh-CN"/>
        </w:rPr>
        <w:t xml:space="preserve">This </w:t>
      </w:r>
      <w:r w:rsidRPr="000A0A5F">
        <w:rPr>
          <w:lang w:eastAsia="zh-CN"/>
        </w:rPr>
        <w:t>HTTP method is not supported for the resource.</w:t>
      </w:r>
    </w:p>
    <w:p w:rsidR="00CB0DD7" w:rsidRPr="000A0A5F" w:rsidRDefault="00CB0DD7">
      <w:pPr>
        <w:pStyle w:val="Heading6"/>
      </w:pPr>
      <w:bookmarkStart w:id="7450" w:name="_Toc11247743"/>
      <w:bookmarkStart w:id="7451" w:name="_Toc27044886"/>
      <w:bookmarkStart w:id="7452" w:name="_Toc36033928"/>
      <w:bookmarkStart w:id="7453" w:name="_Toc45132074"/>
      <w:bookmarkStart w:id="7454" w:name="_Toc49776359"/>
      <w:bookmarkStart w:id="7455" w:name="_Toc51747279"/>
      <w:bookmarkStart w:id="7456" w:name="_Toc66360852"/>
      <w:bookmarkStart w:id="7457" w:name="_Toc68105357"/>
      <w:bookmarkStart w:id="7458" w:name="_Toc74755987"/>
      <w:bookmarkStart w:id="7459" w:name="_Toc105674863"/>
      <w:bookmarkStart w:id="7460" w:name="_Toc130502923"/>
      <w:bookmarkStart w:id="7461" w:name="_Toc153625711"/>
      <w:r w:rsidRPr="000A0A5F">
        <w:t>5.10.3.2.3.3</w:t>
      </w:r>
      <w:r w:rsidRPr="000A0A5F">
        <w:tab/>
        <w:t>PATCH</w:t>
      </w:r>
      <w:bookmarkEnd w:id="7450"/>
      <w:bookmarkEnd w:id="7451"/>
      <w:bookmarkEnd w:id="7452"/>
      <w:bookmarkEnd w:id="7453"/>
      <w:bookmarkEnd w:id="7454"/>
      <w:bookmarkEnd w:id="7455"/>
      <w:bookmarkEnd w:id="7456"/>
      <w:bookmarkEnd w:id="7457"/>
      <w:bookmarkEnd w:id="7458"/>
      <w:bookmarkEnd w:id="7459"/>
      <w:bookmarkEnd w:id="7460"/>
      <w:bookmarkEnd w:id="7461"/>
    </w:p>
    <w:p w:rsidR="00CB0DD7" w:rsidRPr="000A0A5F" w:rsidRDefault="00CB0DD7">
      <w:pPr>
        <w:rPr>
          <w:lang w:eastAsia="zh-CN"/>
        </w:rPr>
      </w:pPr>
      <w:r w:rsidRPr="000A0A5F">
        <w:rPr>
          <w:rFonts w:hint="eastAsia"/>
          <w:lang w:eastAsia="zh-CN"/>
        </w:rPr>
        <w:t xml:space="preserve">This </w:t>
      </w:r>
      <w:r w:rsidRPr="000A0A5F">
        <w:rPr>
          <w:lang w:eastAsia="zh-CN"/>
        </w:rPr>
        <w:t>HTTP method is not supported for the resource.</w:t>
      </w:r>
    </w:p>
    <w:p w:rsidR="00CB0DD7" w:rsidRPr="000A0A5F" w:rsidRDefault="00CB0DD7">
      <w:pPr>
        <w:pStyle w:val="Heading6"/>
      </w:pPr>
      <w:bookmarkStart w:id="7462" w:name="_Toc11247744"/>
      <w:bookmarkStart w:id="7463" w:name="_Toc27044887"/>
      <w:bookmarkStart w:id="7464" w:name="_Toc36033929"/>
      <w:bookmarkStart w:id="7465" w:name="_Toc45132075"/>
      <w:bookmarkStart w:id="7466" w:name="_Toc49776360"/>
      <w:bookmarkStart w:id="7467" w:name="_Toc51747280"/>
      <w:bookmarkStart w:id="7468" w:name="_Toc66360853"/>
      <w:bookmarkStart w:id="7469" w:name="_Toc68105358"/>
      <w:bookmarkStart w:id="7470" w:name="_Toc74755988"/>
      <w:bookmarkStart w:id="7471" w:name="_Toc105674864"/>
      <w:bookmarkStart w:id="7472" w:name="_Toc130502924"/>
      <w:bookmarkStart w:id="7473" w:name="_Toc153625712"/>
      <w:r w:rsidRPr="000A0A5F">
        <w:t>5.10.3.2.3.4</w:t>
      </w:r>
      <w:r w:rsidRPr="000A0A5F">
        <w:tab/>
        <w:t>POST</w:t>
      </w:r>
      <w:bookmarkEnd w:id="7462"/>
      <w:bookmarkEnd w:id="7463"/>
      <w:bookmarkEnd w:id="7464"/>
      <w:bookmarkEnd w:id="7465"/>
      <w:bookmarkEnd w:id="7466"/>
      <w:bookmarkEnd w:id="7467"/>
      <w:bookmarkEnd w:id="7468"/>
      <w:bookmarkEnd w:id="7469"/>
      <w:bookmarkEnd w:id="7470"/>
      <w:bookmarkEnd w:id="7471"/>
      <w:bookmarkEnd w:id="7472"/>
      <w:bookmarkEnd w:id="7473"/>
    </w:p>
    <w:p w:rsidR="00CB0DD7" w:rsidRPr="000A0A5F" w:rsidRDefault="00CB0DD7">
      <w:pPr>
        <w:rPr>
          <w:noProof/>
          <w:lang w:eastAsia="zh-CN"/>
        </w:rPr>
      </w:pPr>
      <w:r w:rsidRPr="000A0A5F">
        <w:rPr>
          <w:noProof/>
          <w:lang w:eastAsia="zh-CN"/>
        </w:rPr>
        <w:t xml:space="preserve">The POST method allows to create subscription for a given SCS/AS. The SCS/AS shall initiate the HTTP POST request message and the SCEF shall respond to the message. </w:t>
      </w:r>
    </w:p>
    <w:p w:rsidR="00CB0DD7" w:rsidRPr="000A0A5F" w:rsidRDefault="00CB0DD7">
      <w:r w:rsidRPr="000A0A5F">
        <w:t>This method shall support request and response data structures, and response codes, as specified in the table 5.10.3.2.3.4-1.</w:t>
      </w:r>
    </w:p>
    <w:p w:rsidR="00CB0DD7" w:rsidRPr="000A0A5F" w:rsidRDefault="00CB0DD7">
      <w:pPr>
        <w:pStyle w:val="TH"/>
      </w:pPr>
      <w:r w:rsidRPr="000A0A5F">
        <w:t>Table 5.10.3.2.3.4</w:t>
      </w:r>
      <w:r w:rsidRPr="000A0A5F">
        <w:rPr>
          <w:rFonts w:hint="eastAsia"/>
          <w:lang w:eastAsia="zh-CN"/>
        </w:rPr>
        <w:t>-1</w:t>
      </w:r>
      <w:r w:rsidRPr="000A0A5F">
        <w:t xml:space="preserve">: Data structures supported by the </w:t>
      </w:r>
      <w:r w:rsidRPr="000A0A5F">
        <w:rPr>
          <w:lang w:eastAsia="zh-CN"/>
        </w:rPr>
        <w:t>POST</w:t>
      </w:r>
      <w:r w:rsidRPr="000A0A5F">
        <w:t xml:space="preserve"> request/response by the resource</w:t>
      </w:r>
    </w:p>
    <w:tbl>
      <w:tblPr>
        <w:tblW w:w="4999" w:type="pct"/>
        <w:tblInd w:w="1" w:type="dxa"/>
        <w:tblBorders>
          <w:top w:val="single" w:sz="6" w:space="0" w:color="000000"/>
          <w:left w:val="single" w:sz="6" w:space="0" w:color="000000"/>
          <w:bottom w:val="single" w:sz="6" w:space="0" w:color="000000"/>
          <w:right w:val="single" w:sz="6" w:space="0" w:color="000000"/>
          <w:insideH w:val="single" w:sz="6" w:space="0" w:color="auto"/>
          <w:insideV w:val="single" w:sz="6" w:space="0" w:color="000000"/>
        </w:tblBorders>
        <w:tblLayout w:type="fixed"/>
        <w:tblCellMar>
          <w:top w:w="45" w:type="dxa"/>
          <w:left w:w="45" w:type="dxa"/>
          <w:bottom w:w="45" w:type="dxa"/>
          <w:right w:w="45" w:type="dxa"/>
        </w:tblCellMar>
        <w:tblLook w:val="0000" w:firstRow="0" w:lastRow="0" w:firstColumn="0" w:lastColumn="0" w:noHBand="0" w:noVBand="0"/>
      </w:tblPr>
      <w:tblGrid>
        <w:gridCol w:w="1035"/>
        <w:gridCol w:w="2127"/>
        <w:gridCol w:w="1053"/>
        <w:gridCol w:w="973"/>
        <w:gridCol w:w="4541"/>
      </w:tblGrid>
      <w:tr w:rsidR="00CB0DD7" w:rsidRPr="000A0A5F" w:rsidTr="004C6435">
        <w:tc>
          <w:tcPr>
            <w:tcW w:w="532" w:type="pct"/>
            <w:vMerge w:val="restart"/>
            <w:shd w:val="clear" w:color="auto" w:fill="C0C0C0"/>
            <w:vAlign w:val="center"/>
          </w:tcPr>
          <w:p w:rsidR="00CB0DD7" w:rsidRPr="000A0A5F" w:rsidRDefault="00CB0DD7">
            <w:pPr>
              <w:pStyle w:val="TAH"/>
            </w:pPr>
            <w:r w:rsidRPr="000A0A5F">
              <w:t>Request body</w:t>
            </w:r>
          </w:p>
        </w:tc>
        <w:tc>
          <w:tcPr>
            <w:tcW w:w="1093" w:type="pct"/>
            <w:shd w:val="clear" w:color="auto" w:fill="C0C0C0"/>
          </w:tcPr>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r w:rsidRPr="000A0A5F">
              <w:t>Cardinality</w:t>
            </w:r>
          </w:p>
        </w:tc>
        <w:tc>
          <w:tcPr>
            <w:tcW w:w="2834" w:type="pct"/>
            <w:gridSpan w:val="2"/>
            <w:shd w:val="clear" w:color="auto" w:fill="C0C0C0"/>
          </w:tcPr>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t>CpInfo</w:t>
            </w:r>
          </w:p>
        </w:tc>
        <w:tc>
          <w:tcPr>
            <w:tcW w:w="541" w:type="pct"/>
          </w:tcPr>
          <w:p w:rsidR="00CB0DD7" w:rsidRPr="000A0A5F" w:rsidRDefault="00CB0DD7">
            <w:pPr>
              <w:pStyle w:val="TAL"/>
            </w:pPr>
            <w:r w:rsidRPr="000A0A5F">
              <w:t>1</w:t>
            </w:r>
          </w:p>
        </w:tc>
        <w:tc>
          <w:tcPr>
            <w:tcW w:w="2834" w:type="pct"/>
            <w:gridSpan w:val="2"/>
          </w:tcPr>
          <w:p w:rsidR="00CB0DD7" w:rsidRPr="000A0A5F" w:rsidRDefault="00CB0DD7">
            <w:pPr>
              <w:pStyle w:val="TAL"/>
            </w:pPr>
            <w:r w:rsidRPr="000A0A5F">
              <w:t>Change information in CP parameter set.</w:t>
            </w:r>
          </w:p>
        </w:tc>
      </w:tr>
      <w:tr w:rsidR="002037E7" w:rsidRPr="000A0A5F" w:rsidTr="004C6435">
        <w:tc>
          <w:tcPr>
            <w:tcW w:w="532" w:type="pct"/>
            <w:vMerge w:val="restart"/>
            <w:shd w:val="clear" w:color="auto" w:fill="C0C0C0"/>
            <w:vAlign w:val="center"/>
          </w:tcPr>
          <w:p w:rsidR="002037E7" w:rsidRPr="000A0A5F" w:rsidRDefault="002037E7">
            <w:pPr>
              <w:pStyle w:val="TAH"/>
            </w:pPr>
            <w:r w:rsidRPr="000A0A5F">
              <w:t>Response body</w:t>
            </w:r>
          </w:p>
        </w:tc>
        <w:tc>
          <w:tcPr>
            <w:tcW w:w="1093" w:type="pct"/>
            <w:shd w:val="clear" w:color="auto" w:fill="C0C0C0"/>
          </w:tcPr>
          <w:p w:rsidR="002037E7" w:rsidRPr="000A0A5F" w:rsidRDefault="002037E7">
            <w:pPr>
              <w:pStyle w:val="TAH"/>
            </w:pPr>
          </w:p>
          <w:p w:rsidR="002037E7" w:rsidRPr="000A0A5F" w:rsidRDefault="002037E7">
            <w:pPr>
              <w:pStyle w:val="TAH"/>
            </w:pPr>
            <w:r w:rsidRPr="000A0A5F">
              <w:t>Data type</w:t>
            </w:r>
          </w:p>
        </w:tc>
        <w:tc>
          <w:tcPr>
            <w:tcW w:w="541" w:type="pct"/>
            <w:shd w:val="clear" w:color="auto" w:fill="C0C0C0"/>
          </w:tcPr>
          <w:p w:rsidR="002037E7" w:rsidRPr="000A0A5F" w:rsidRDefault="002037E7">
            <w:pPr>
              <w:pStyle w:val="TAH"/>
            </w:pPr>
          </w:p>
          <w:p w:rsidR="002037E7" w:rsidRPr="000A0A5F" w:rsidRDefault="002037E7">
            <w:pPr>
              <w:pStyle w:val="TAH"/>
            </w:pPr>
            <w:r w:rsidRPr="000A0A5F">
              <w:t>Cardinality</w:t>
            </w:r>
          </w:p>
        </w:tc>
        <w:tc>
          <w:tcPr>
            <w:tcW w:w="500" w:type="pct"/>
            <w:shd w:val="clear" w:color="auto" w:fill="C0C0C0"/>
          </w:tcPr>
          <w:p w:rsidR="002037E7" w:rsidRPr="000A0A5F" w:rsidRDefault="002037E7">
            <w:pPr>
              <w:pStyle w:val="TAH"/>
            </w:pPr>
            <w:r w:rsidRPr="000A0A5F">
              <w:t>Response</w:t>
            </w:r>
          </w:p>
          <w:p w:rsidR="002037E7" w:rsidRPr="000A0A5F" w:rsidRDefault="002037E7">
            <w:pPr>
              <w:pStyle w:val="TAH"/>
            </w:pPr>
            <w:r w:rsidRPr="000A0A5F">
              <w:t>codes</w:t>
            </w:r>
          </w:p>
        </w:tc>
        <w:tc>
          <w:tcPr>
            <w:tcW w:w="2334" w:type="pct"/>
            <w:shd w:val="clear" w:color="auto" w:fill="C0C0C0"/>
          </w:tcPr>
          <w:p w:rsidR="002037E7" w:rsidRPr="000A0A5F" w:rsidRDefault="002037E7">
            <w:pPr>
              <w:pStyle w:val="TAH"/>
            </w:pPr>
          </w:p>
          <w:p w:rsidR="002037E7" w:rsidRPr="000A0A5F" w:rsidRDefault="002037E7">
            <w:pPr>
              <w:pStyle w:val="TAH"/>
            </w:pPr>
            <w:r w:rsidRPr="000A0A5F">
              <w:t>Remarks</w:t>
            </w:r>
          </w:p>
        </w:tc>
      </w:tr>
      <w:tr w:rsidR="002037E7" w:rsidRPr="000A0A5F" w:rsidTr="00FF0AF8">
        <w:tc>
          <w:tcPr>
            <w:tcW w:w="532" w:type="pct"/>
            <w:vMerge/>
            <w:shd w:val="clear" w:color="auto" w:fill="BFBFBF"/>
            <w:vAlign w:val="center"/>
          </w:tcPr>
          <w:p w:rsidR="002037E7" w:rsidRPr="000A0A5F" w:rsidRDefault="002037E7">
            <w:pPr>
              <w:pStyle w:val="TAL"/>
              <w:jc w:val="center"/>
            </w:pPr>
          </w:p>
        </w:tc>
        <w:tc>
          <w:tcPr>
            <w:tcW w:w="1093" w:type="pct"/>
            <w:shd w:val="clear" w:color="auto" w:fill="auto"/>
          </w:tcPr>
          <w:p w:rsidR="002037E7" w:rsidRPr="000A0A5F" w:rsidRDefault="002037E7">
            <w:pPr>
              <w:pStyle w:val="TAL"/>
              <w:rPr>
                <w:rFonts w:hint="eastAsia"/>
                <w:lang w:eastAsia="zh-CN"/>
              </w:rPr>
            </w:pPr>
            <w:r w:rsidRPr="000A0A5F">
              <w:t>CpInfo</w:t>
            </w:r>
          </w:p>
        </w:tc>
        <w:tc>
          <w:tcPr>
            <w:tcW w:w="541" w:type="pct"/>
          </w:tcPr>
          <w:p w:rsidR="002037E7" w:rsidRPr="000A0A5F" w:rsidRDefault="002037E7">
            <w:pPr>
              <w:pStyle w:val="TAL"/>
              <w:rPr>
                <w:rFonts w:hint="eastAsia"/>
                <w:lang w:eastAsia="zh-CN"/>
              </w:rPr>
            </w:pPr>
            <w:r w:rsidRPr="000A0A5F">
              <w:rPr>
                <w:rFonts w:hint="eastAsia"/>
                <w:lang w:eastAsia="zh-CN"/>
              </w:rPr>
              <w:t>1</w:t>
            </w:r>
          </w:p>
        </w:tc>
        <w:tc>
          <w:tcPr>
            <w:tcW w:w="500" w:type="pct"/>
          </w:tcPr>
          <w:p w:rsidR="002037E7" w:rsidRPr="000A0A5F" w:rsidRDefault="002037E7">
            <w:pPr>
              <w:pStyle w:val="TAL"/>
              <w:rPr>
                <w:rFonts w:hint="eastAsia"/>
                <w:lang w:eastAsia="zh-CN"/>
              </w:rPr>
            </w:pPr>
            <w:r w:rsidRPr="000A0A5F">
              <w:t>20</w:t>
            </w:r>
            <w:r w:rsidRPr="000A0A5F">
              <w:rPr>
                <w:lang w:eastAsia="zh-CN"/>
              </w:rPr>
              <w:t>1</w:t>
            </w:r>
            <w:r w:rsidRPr="000A0A5F">
              <w:rPr>
                <w:rFonts w:hint="eastAsia"/>
                <w:lang w:eastAsia="zh-CN"/>
              </w:rPr>
              <w:t xml:space="preserve"> </w:t>
            </w:r>
            <w:r w:rsidRPr="000A0A5F">
              <w:rPr>
                <w:lang w:eastAsia="zh-CN"/>
              </w:rPr>
              <w:t>Created</w:t>
            </w:r>
          </w:p>
        </w:tc>
        <w:tc>
          <w:tcPr>
            <w:tcW w:w="2334" w:type="pct"/>
          </w:tcPr>
          <w:p w:rsidR="002037E7" w:rsidRPr="000A0A5F" w:rsidRDefault="002037E7">
            <w:pPr>
              <w:pStyle w:val="TAL"/>
              <w:spacing w:afterLines="50" w:after="120"/>
            </w:pPr>
            <w:r w:rsidRPr="000A0A5F">
              <w:t xml:space="preserve">The </w:t>
            </w:r>
            <w:r w:rsidRPr="000A0A5F">
              <w:rPr>
                <w:rFonts w:hint="eastAsia"/>
                <w:lang w:eastAsia="zh-CN"/>
              </w:rPr>
              <w:t>subscription</w:t>
            </w:r>
            <w:r w:rsidRPr="000A0A5F">
              <w:t xml:space="preserve"> was </w:t>
            </w:r>
            <w:r w:rsidRPr="000A0A5F">
              <w:rPr>
                <w:lang w:eastAsia="zh-CN"/>
              </w:rPr>
              <w:t>created</w:t>
            </w:r>
            <w:r w:rsidRPr="000A0A5F">
              <w:t xml:space="preserve"> successfully. </w:t>
            </w:r>
          </w:p>
          <w:p w:rsidR="002037E7" w:rsidRPr="000A0A5F" w:rsidRDefault="0089739F">
            <w:pPr>
              <w:pStyle w:val="TAL"/>
              <w:rPr>
                <w:rFonts w:hint="eastAsia"/>
                <w:lang w:eastAsia="zh-CN"/>
              </w:rPr>
            </w:pPr>
            <w:r w:rsidRPr="000A0A5F">
              <w:t xml:space="preserve">The SCEF </w:t>
            </w:r>
            <w:r w:rsidRPr="000A0A5F">
              <w:rPr>
                <w:rFonts w:hint="eastAsia"/>
                <w:lang w:eastAsia="zh-CN"/>
              </w:rPr>
              <w:t>shall</w:t>
            </w:r>
            <w:r w:rsidRPr="000A0A5F">
              <w:t xml:space="preserve"> return the created subscription in the response content. CpReport may be included to provide detailed failure information for some CP sets.</w:t>
            </w:r>
          </w:p>
        </w:tc>
      </w:tr>
      <w:tr w:rsidR="002037E7" w:rsidRPr="000A0A5F" w:rsidTr="00FF0AF8">
        <w:tc>
          <w:tcPr>
            <w:tcW w:w="532" w:type="pct"/>
            <w:vMerge/>
            <w:shd w:val="clear" w:color="auto" w:fill="BFBFBF"/>
            <w:vAlign w:val="center"/>
          </w:tcPr>
          <w:p w:rsidR="002037E7" w:rsidRPr="000A0A5F" w:rsidRDefault="002037E7">
            <w:pPr>
              <w:pStyle w:val="TAL"/>
              <w:jc w:val="center"/>
            </w:pPr>
          </w:p>
        </w:tc>
        <w:tc>
          <w:tcPr>
            <w:tcW w:w="1093" w:type="pct"/>
            <w:shd w:val="clear" w:color="auto" w:fill="auto"/>
          </w:tcPr>
          <w:p w:rsidR="002037E7" w:rsidRPr="000A0A5F" w:rsidRDefault="002037E7">
            <w:pPr>
              <w:pStyle w:val="TAL"/>
            </w:pPr>
            <w:r w:rsidRPr="000A0A5F">
              <w:rPr>
                <w:lang w:eastAsia="zh-CN"/>
              </w:rPr>
              <w:t>array(CpReport)</w:t>
            </w:r>
          </w:p>
        </w:tc>
        <w:tc>
          <w:tcPr>
            <w:tcW w:w="541" w:type="pct"/>
          </w:tcPr>
          <w:p w:rsidR="002037E7" w:rsidRPr="000A0A5F" w:rsidRDefault="002037E7">
            <w:pPr>
              <w:pStyle w:val="TAL"/>
              <w:rPr>
                <w:rFonts w:hint="eastAsia"/>
                <w:lang w:eastAsia="zh-CN"/>
              </w:rPr>
            </w:pPr>
            <w:r w:rsidRPr="000A0A5F">
              <w:t>1..N</w:t>
            </w:r>
          </w:p>
        </w:tc>
        <w:tc>
          <w:tcPr>
            <w:tcW w:w="500" w:type="pct"/>
          </w:tcPr>
          <w:p w:rsidR="002037E7" w:rsidRPr="000A0A5F" w:rsidRDefault="002037E7">
            <w:pPr>
              <w:pStyle w:val="TAL"/>
            </w:pPr>
            <w:r w:rsidRPr="000A0A5F">
              <w:t>500 Internal Server Error</w:t>
            </w:r>
          </w:p>
        </w:tc>
        <w:tc>
          <w:tcPr>
            <w:tcW w:w="2334" w:type="pct"/>
          </w:tcPr>
          <w:p w:rsidR="002037E7" w:rsidRPr="000A0A5F" w:rsidRDefault="002037E7">
            <w:pPr>
              <w:pStyle w:val="TAL"/>
              <w:spacing w:afterLines="50" w:after="120"/>
            </w:pPr>
            <w:r w:rsidRPr="000A0A5F">
              <w:t>The CP parameters for all CP sets were not created successfully. CpReport is included with detailed information.</w:t>
            </w:r>
          </w:p>
        </w:tc>
      </w:tr>
      <w:tr w:rsidR="002037E7" w:rsidRPr="000A0A5F" w:rsidTr="00FF0AF8">
        <w:tc>
          <w:tcPr>
            <w:tcW w:w="532" w:type="pct"/>
            <w:vMerge/>
            <w:shd w:val="clear" w:color="auto" w:fill="BFBFBF"/>
            <w:vAlign w:val="center"/>
          </w:tcPr>
          <w:p w:rsidR="002037E7" w:rsidRPr="000A0A5F" w:rsidRDefault="002037E7">
            <w:pPr>
              <w:pStyle w:val="TAL"/>
              <w:jc w:val="center"/>
            </w:pPr>
          </w:p>
        </w:tc>
        <w:tc>
          <w:tcPr>
            <w:tcW w:w="1093" w:type="pct"/>
            <w:shd w:val="clear" w:color="auto" w:fill="auto"/>
          </w:tcPr>
          <w:p w:rsidR="002037E7" w:rsidRPr="000A0A5F" w:rsidRDefault="002037E7">
            <w:pPr>
              <w:pStyle w:val="TAL"/>
              <w:rPr>
                <w:lang w:eastAsia="zh-CN"/>
              </w:rPr>
            </w:pPr>
            <w:r w:rsidRPr="000A0A5F">
              <w:t>ProblemDetails</w:t>
            </w:r>
          </w:p>
        </w:tc>
        <w:tc>
          <w:tcPr>
            <w:tcW w:w="541" w:type="pct"/>
          </w:tcPr>
          <w:p w:rsidR="002037E7" w:rsidRPr="000A0A5F" w:rsidRDefault="002037E7">
            <w:pPr>
              <w:pStyle w:val="TAL"/>
            </w:pPr>
            <w:r w:rsidRPr="000A0A5F">
              <w:t>0..1</w:t>
            </w:r>
          </w:p>
        </w:tc>
        <w:tc>
          <w:tcPr>
            <w:tcW w:w="500" w:type="pct"/>
          </w:tcPr>
          <w:p w:rsidR="002037E7" w:rsidRPr="000A0A5F" w:rsidRDefault="002037E7">
            <w:pPr>
              <w:pStyle w:val="TAL"/>
            </w:pPr>
            <w:r w:rsidRPr="000A0A5F">
              <w:t>403 Forbidden</w:t>
            </w:r>
          </w:p>
        </w:tc>
        <w:tc>
          <w:tcPr>
            <w:tcW w:w="2334" w:type="pct"/>
          </w:tcPr>
          <w:p w:rsidR="002037E7" w:rsidRPr="000A0A5F" w:rsidRDefault="002037E7">
            <w:pPr>
              <w:pStyle w:val="TAL"/>
              <w:spacing w:afterLines="50" w:after="120"/>
            </w:pPr>
            <w:r w:rsidRPr="000A0A5F">
              <w:t>(NOTE 2)</w:t>
            </w:r>
          </w:p>
        </w:tc>
      </w:tr>
      <w:tr w:rsidR="002037E7" w:rsidRPr="000A0A5F" w:rsidTr="00FF0AF8">
        <w:tc>
          <w:tcPr>
            <w:tcW w:w="532" w:type="pct"/>
            <w:vMerge/>
            <w:shd w:val="clear" w:color="auto" w:fill="BFBFBF"/>
            <w:vAlign w:val="center"/>
          </w:tcPr>
          <w:p w:rsidR="002037E7" w:rsidRPr="000A0A5F" w:rsidRDefault="002037E7">
            <w:pPr>
              <w:pStyle w:val="TAL"/>
              <w:jc w:val="center"/>
            </w:pPr>
          </w:p>
        </w:tc>
        <w:tc>
          <w:tcPr>
            <w:tcW w:w="1093" w:type="pct"/>
            <w:shd w:val="clear" w:color="auto" w:fill="auto"/>
          </w:tcPr>
          <w:p w:rsidR="002037E7" w:rsidRPr="000A0A5F" w:rsidRDefault="002037E7">
            <w:pPr>
              <w:pStyle w:val="TAL"/>
              <w:rPr>
                <w:lang w:eastAsia="zh-CN"/>
              </w:rPr>
            </w:pPr>
            <w:r w:rsidRPr="000A0A5F">
              <w:t>ProblemDetails</w:t>
            </w:r>
          </w:p>
        </w:tc>
        <w:tc>
          <w:tcPr>
            <w:tcW w:w="541" w:type="pct"/>
          </w:tcPr>
          <w:p w:rsidR="002037E7" w:rsidRPr="000A0A5F" w:rsidRDefault="002037E7">
            <w:pPr>
              <w:pStyle w:val="TAL"/>
            </w:pPr>
            <w:r w:rsidRPr="000A0A5F">
              <w:t>0..1</w:t>
            </w:r>
          </w:p>
        </w:tc>
        <w:tc>
          <w:tcPr>
            <w:tcW w:w="500" w:type="pct"/>
          </w:tcPr>
          <w:p w:rsidR="002037E7" w:rsidRPr="000A0A5F" w:rsidRDefault="002037E7">
            <w:pPr>
              <w:pStyle w:val="TAL"/>
            </w:pPr>
            <w:r w:rsidRPr="000A0A5F">
              <w:t>404 Not Found</w:t>
            </w:r>
          </w:p>
        </w:tc>
        <w:tc>
          <w:tcPr>
            <w:tcW w:w="2334" w:type="pct"/>
          </w:tcPr>
          <w:p w:rsidR="002037E7" w:rsidRPr="000A0A5F" w:rsidRDefault="002037E7">
            <w:pPr>
              <w:pStyle w:val="TAL"/>
              <w:spacing w:afterLines="50" w:after="120"/>
            </w:pPr>
            <w:r w:rsidRPr="000A0A5F">
              <w:t>(NOTE 2)</w:t>
            </w:r>
          </w:p>
        </w:tc>
      </w:tr>
      <w:tr w:rsidR="00CB0DD7" w:rsidRPr="000A0A5F" w:rsidTr="00FF0AF8">
        <w:tc>
          <w:tcPr>
            <w:tcW w:w="5000" w:type="pct"/>
            <w:gridSpan w:val="5"/>
            <w:shd w:val="clear" w:color="auto" w:fill="auto"/>
            <w:vAlign w:val="center"/>
          </w:tcPr>
          <w:p w:rsidR="00CB0DD7" w:rsidRPr="000A0A5F" w:rsidRDefault="00CB0DD7">
            <w:pPr>
              <w:pStyle w:val="TAN"/>
            </w:pPr>
            <w:r w:rsidRPr="000A0A5F">
              <w:t>NOTE</w:t>
            </w:r>
            <w:r w:rsidR="002037E7" w:rsidRPr="000A0A5F">
              <w:t> 1</w:t>
            </w:r>
            <w:r w:rsidRPr="000A0A5F">
              <w:t>:</w:t>
            </w:r>
            <w:r w:rsidRPr="000A0A5F">
              <w:tab/>
              <w:t>The mandatory HTTP error status codes for the POST method listed in table 5.2.6-1 also apply.</w:t>
            </w:r>
          </w:p>
          <w:p w:rsidR="002037E7" w:rsidRPr="000A0A5F" w:rsidRDefault="002037E7" w:rsidP="002037E7">
            <w:pPr>
              <w:pStyle w:val="TAN"/>
              <w:rPr>
                <w:rFonts w:hint="eastAsia"/>
              </w:rPr>
            </w:pPr>
            <w:r w:rsidRPr="000A0A5F">
              <w:t>NOTE 2:</w:t>
            </w:r>
            <w:r w:rsidRPr="000A0A5F">
              <w:tab/>
              <w:t>Failure</w:t>
            </w:r>
            <w:r w:rsidRPr="000A0A5F">
              <w:rPr>
                <w:rFonts w:cs="Arial"/>
                <w:szCs w:val="18"/>
              </w:rPr>
              <w:t xml:space="preserve"> causes are described in clause 5.10.5</w:t>
            </w:r>
            <w:r w:rsidRPr="000A0A5F">
              <w:t>.</w:t>
            </w:r>
          </w:p>
        </w:tc>
      </w:tr>
    </w:tbl>
    <w:p w:rsidR="00CB0DD7" w:rsidRPr="000A0A5F" w:rsidRDefault="00CB0DD7">
      <w:pPr>
        <w:rPr>
          <w:noProof/>
        </w:rPr>
      </w:pPr>
    </w:p>
    <w:p w:rsidR="00CB0DD7" w:rsidRPr="000A0A5F" w:rsidRDefault="00CB0DD7">
      <w:pPr>
        <w:pStyle w:val="TH"/>
      </w:pPr>
      <w:r w:rsidRPr="000A0A5F">
        <w:t>Table</w:t>
      </w:r>
      <w:r w:rsidRPr="000A0A5F">
        <w:rPr>
          <w:noProof/>
        </w:rPr>
        <w:t> </w:t>
      </w:r>
      <w:r w:rsidRPr="000A0A5F">
        <w:t xml:space="preserve">5.10.3.2.3.4-2: Headers supported by the 201 Response Code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846044">
        <w:trPr>
          <w:jc w:val="center"/>
        </w:trPr>
        <w:tc>
          <w:tcPr>
            <w:tcW w:w="825" w:type="pct"/>
            <w:tcBorders>
              <w:bottom w:val="single" w:sz="6" w:space="0" w:color="auto"/>
            </w:tcBorders>
            <w:shd w:val="clear" w:color="auto" w:fill="C0C0C0"/>
          </w:tcPr>
          <w:p w:rsidR="00CB0DD7" w:rsidRPr="000A0A5F" w:rsidRDefault="00CB0DD7">
            <w:pPr>
              <w:pStyle w:val="TAH"/>
            </w:pPr>
            <w:r w:rsidRPr="000A0A5F">
              <w:t>Name</w:t>
            </w:r>
          </w:p>
        </w:tc>
        <w:tc>
          <w:tcPr>
            <w:tcW w:w="732" w:type="pct"/>
            <w:tcBorders>
              <w:bottom w:val="single" w:sz="6" w:space="0" w:color="auto"/>
            </w:tcBorders>
            <w:shd w:val="clear" w:color="auto" w:fill="C0C0C0"/>
          </w:tcPr>
          <w:p w:rsidR="00CB0DD7" w:rsidRPr="000A0A5F" w:rsidRDefault="00CB0DD7">
            <w:pPr>
              <w:pStyle w:val="TAH"/>
            </w:pPr>
            <w:r w:rsidRPr="000A0A5F">
              <w:t>Data type</w:t>
            </w:r>
          </w:p>
        </w:tc>
        <w:tc>
          <w:tcPr>
            <w:tcW w:w="217" w:type="pct"/>
            <w:tcBorders>
              <w:bottom w:val="single" w:sz="6" w:space="0" w:color="auto"/>
            </w:tcBorders>
            <w:shd w:val="clear" w:color="auto" w:fill="C0C0C0"/>
          </w:tcPr>
          <w:p w:rsidR="00CB0DD7" w:rsidRPr="000A0A5F" w:rsidRDefault="00CB0DD7">
            <w:pPr>
              <w:pStyle w:val="TAH"/>
            </w:pPr>
            <w:r w:rsidRPr="000A0A5F">
              <w:t>P</w:t>
            </w:r>
          </w:p>
        </w:tc>
        <w:tc>
          <w:tcPr>
            <w:tcW w:w="581" w:type="pct"/>
            <w:tcBorders>
              <w:bottom w:val="single" w:sz="6" w:space="0" w:color="auto"/>
            </w:tcBorders>
            <w:shd w:val="clear" w:color="auto" w:fill="C0C0C0"/>
          </w:tcPr>
          <w:p w:rsidR="00CB0DD7" w:rsidRPr="000A0A5F" w:rsidRDefault="00CB0DD7">
            <w:pPr>
              <w:pStyle w:val="TAH"/>
            </w:pPr>
            <w:r w:rsidRPr="000A0A5F">
              <w:t>Cardinality</w:t>
            </w:r>
          </w:p>
        </w:tc>
        <w:tc>
          <w:tcPr>
            <w:tcW w:w="2645" w:type="pct"/>
            <w:tcBorders>
              <w:bottom w:val="single" w:sz="6" w:space="0" w:color="auto"/>
            </w:tcBorders>
            <w:shd w:val="clear" w:color="auto" w:fill="C0C0C0"/>
            <w:vAlign w:val="center"/>
          </w:tcPr>
          <w:p w:rsidR="00CB0DD7" w:rsidRPr="000A0A5F" w:rsidRDefault="00CB0DD7">
            <w:pPr>
              <w:pStyle w:val="TAH"/>
            </w:pPr>
            <w:r w:rsidRPr="000A0A5F">
              <w:t>Description</w:t>
            </w:r>
          </w:p>
        </w:tc>
      </w:tr>
      <w:tr w:rsidR="00CB0DD7" w:rsidRPr="000A0A5F" w:rsidTr="00846044">
        <w:trPr>
          <w:jc w:val="center"/>
        </w:trPr>
        <w:tc>
          <w:tcPr>
            <w:tcW w:w="825" w:type="pct"/>
            <w:tcBorders>
              <w:top w:val="single" w:sz="6" w:space="0" w:color="auto"/>
            </w:tcBorders>
            <w:shd w:val="clear" w:color="auto" w:fill="auto"/>
          </w:tcPr>
          <w:p w:rsidR="00CB0DD7" w:rsidRPr="000A0A5F" w:rsidRDefault="00CB0DD7">
            <w:pPr>
              <w:pStyle w:val="TAL"/>
            </w:pPr>
            <w:r w:rsidRPr="000A0A5F">
              <w:t>Location</w:t>
            </w:r>
          </w:p>
        </w:tc>
        <w:tc>
          <w:tcPr>
            <w:tcW w:w="732" w:type="pct"/>
            <w:tcBorders>
              <w:top w:val="single" w:sz="6" w:space="0" w:color="auto"/>
            </w:tcBorders>
          </w:tcPr>
          <w:p w:rsidR="00CB0DD7" w:rsidRPr="000A0A5F" w:rsidRDefault="00CB0DD7">
            <w:pPr>
              <w:pStyle w:val="TAL"/>
            </w:pPr>
            <w:r w:rsidRPr="000A0A5F">
              <w:t>string</w:t>
            </w:r>
          </w:p>
        </w:tc>
        <w:tc>
          <w:tcPr>
            <w:tcW w:w="217" w:type="pct"/>
            <w:tcBorders>
              <w:top w:val="single" w:sz="6" w:space="0" w:color="auto"/>
            </w:tcBorders>
          </w:tcPr>
          <w:p w:rsidR="00CB0DD7" w:rsidRPr="000A0A5F" w:rsidRDefault="00CB0DD7">
            <w:pPr>
              <w:pStyle w:val="TAC"/>
            </w:pPr>
            <w:r w:rsidRPr="000A0A5F">
              <w:t>M</w:t>
            </w:r>
          </w:p>
        </w:tc>
        <w:tc>
          <w:tcPr>
            <w:tcW w:w="581" w:type="pct"/>
            <w:tcBorders>
              <w:top w:val="single" w:sz="6" w:space="0" w:color="auto"/>
            </w:tcBorders>
          </w:tcPr>
          <w:p w:rsidR="00CB0DD7" w:rsidRPr="000A0A5F" w:rsidRDefault="00CB0DD7">
            <w:pPr>
              <w:pStyle w:val="TAL"/>
            </w:pPr>
            <w:r w:rsidRPr="000A0A5F">
              <w:t>1</w:t>
            </w:r>
          </w:p>
        </w:tc>
        <w:tc>
          <w:tcPr>
            <w:tcW w:w="2645" w:type="pct"/>
            <w:tcBorders>
              <w:top w:val="single" w:sz="6" w:space="0" w:color="auto"/>
            </w:tcBorders>
            <w:shd w:val="clear" w:color="auto" w:fill="auto"/>
            <w:vAlign w:val="center"/>
          </w:tcPr>
          <w:p w:rsidR="00CB0DD7" w:rsidRPr="000A0A5F" w:rsidRDefault="00CB0DD7">
            <w:pPr>
              <w:pStyle w:val="TAL"/>
            </w:pPr>
            <w:r w:rsidRPr="000A0A5F">
              <w:t>Contains the URI of the newly created resource, according to the structure:</w:t>
            </w:r>
            <w:r w:rsidRPr="000A0A5F">
              <w:rPr>
                <w:noProof/>
              </w:rPr>
              <w:t xml:space="preserve"> </w:t>
            </w:r>
            <w:r w:rsidRPr="000A0A5F">
              <w:t>{apiRoot}/3gpp-cp-parameter-provisioning/v1/{scsAsId}/subscriptions/{subscriptionId}</w:t>
            </w:r>
          </w:p>
        </w:tc>
      </w:tr>
    </w:tbl>
    <w:p w:rsidR="00CB0DD7" w:rsidRPr="000A0A5F" w:rsidRDefault="00CB0DD7"/>
    <w:p w:rsidR="00CB0DD7" w:rsidRPr="000A0A5F" w:rsidRDefault="00CB0DD7">
      <w:pPr>
        <w:pStyle w:val="Heading6"/>
      </w:pPr>
      <w:bookmarkStart w:id="7474" w:name="_Toc11247745"/>
      <w:bookmarkStart w:id="7475" w:name="_Toc27044888"/>
      <w:bookmarkStart w:id="7476" w:name="_Toc36033930"/>
      <w:bookmarkStart w:id="7477" w:name="_Toc45132076"/>
      <w:bookmarkStart w:id="7478" w:name="_Toc49776361"/>
      <w:bookmarkStart w:id="7479" w:name="_Toc51747281"/>
      <w:bookmarkStart w:id="7480" w:name="_Toc66360854"/>
      <w:bookmarkStart w:id="7481" w:name="_Toc68105359"/>
      <w:bookmarkStart w:id="7482" w:name="_Toc74755989"/>
      <w:bookmarkStart w:id="7483" w:name="_Toc105674865"/>
      <w:bookmarkStart w:id="7484" w:name="_Toc130502925"/>
      <w:bookmarkStart w:id="7485" w:name="_Toc153625713"/>
      <w:r w:rsidRPr="000A0A5F">
        <w:t>5.10.3.2.3.5</w:t>
      </w:r>
      <w:r w:rsidRPr="000A0A5F">
        <w:tab/>
        <w:t>DELETE</w:t>
      </w:r>
      <w:bookmarkEnd w:id="7474"/>
      <w:bookmarkEnd w:id="7475"/>
      <w:bookmarkEnd w:id="7476"/>
      <w:bookmarkEnd w:id="7477"/>
      <w:bookmarkEnd w:id="7478"/>
      <w:bookmarkEnd w:id="7479"/>
      <w:bookmarkEnd w:id="7480"/>
      <w:bookmarkEnd w:id="7481"/>
      <w:bookmarkEnd w:id="7482"/>
      <w:bookmarkEnd w:id="7483"/>
      <w:bookmarkEnd w:id="7484"/>
      <w:bookmarkEnd w:id="7485"/>
    </w:p>
    <w:p w:rsidR="00CB0DD7" w:rsidRPr="000A0A5F" w:rsidRDefault="00CB0DD7">
      <w:pPr>
        <w:rPr>
          <w:rFonts w:hint="eastAsia"/>
          <w:lang w:eastAsia="zh-CN"/>
        </w:rPr>
      </w:pPr>
      <w:r w:rsidRPr="000A0A5F">
        <w:rPr>
          <w:rFonts w:hint="eastAsia"/>
          <w:lang w:eastAsia="zh-CN"/>
        </w:rPr>
        <w:t xml:space="preserve">This </w:t>
      </w:r>
      <w:r w:rsidRPr="000A0A5F">
        <w:rPr>
          <w:lang w:eastAsia="zh-CN"/>
        </w:rPr>
        <w:t>HTTP method is not supported for the resource.</w:t>
      </w:r>
    </w:p>
    <w:p w:rsidR="00CB0DD7" w:rsidRPr="000A0A5F" w:rsidRDefault="00CB0DD7">
      <w:pPr>
        <w:pStyle w:val="Heading4"/>
      </w:pPr>
      <w:bookmarkStart w:id="7486" w:name="_Toc11247746"/>
      <w:bookmarkStart w:id="7487" w:name="_Toc27044889"/>
      <w:bookmarkStart w:id="7488" w:name="_Toc36033931"/>
      <w:bookmarkStart w:id="7489" w:name="_Toc45132077"/>
      <w:bookmarkStart w:id="7490" w:name="_Toc49776362"/>
      <w:bookmarkStart w:id="7491" w:name="_Toc51747282"/>
      <w:bookmarkStart w:id="7492" w:name="_Toc66360855"/>
      <w:bookmarkStart w:id="7493" w:name="_Toc68105360"/>
      <w:bookmarkStart w:id="7494" w:name="_Toc74755990"/>
      <w:bookmarkStart w:id="7495" w:name="_Toc105674866"/>
      <w:bookmarkStart w:id="7496" w:name="_Toc130502926"/>
      <w:bookmarkStart w:id="7497" w:name="_Toc153625714"/>
      <w:r w:rsidRPr="000A0A5F">
        <w:t>5.10.3.3</w:t>
      </w:r>
      <w:r w:rsidRPr="000A0A5F">
        <w:tab/>
        <w:t>Resource: Individual CP Provisioning Subscription</w:t>
      </w:r>
      <w:bookmarkEnd w:id="7486"/>
      <w:bookmarkEnd w:id="7487"/>
      <w:bookmarkEnd w:id="7488"/>
      <w:bookmarkEnd w:id="7489"/>
      <w:bookmarkEnd w:id="7490"/>
      <w:bookmarkEnd w:id="7491"/>
      <w:bookmarkEnd w:id="7492"/>
      <w:bookmarkEnd w:id="7493"/>
      <w:bookmarkEnd w:id="7494"/>
      <w:bookmarkEnd w:id="7495"/>
      <w:bookmarkEnd w:id="7496"/>
      <w:bookmarkEnd w:id="7497"/>
    </w:p>
    <w:p w:rsidR="00CB0DD7" w:rsidRPr="000A0A5F" w:rsidRDefault="00CB0DD7">
      <w:pPr>
        <w:pStyle w:val="Heading5"/>
      </w:pPr>
      <w:bookmarkStart w:id="7498" w:name="_Toc11247747"/>
      <w:bookmarkStart w:id="7499" w:name="_Toc27044890"/>
      <w:bookmarkStart w:id="7500" w:name="_Toc36033932"/>
      <w:bookmarkStart w:id="7501" w:name="_Toc45132078"/>
      <w:bookmarkStart w:id="7502" w:name="_Toc49776363"/>
      <w:bookmarkStart w:id="7503" w:name="_Toc51747283"/>
      <w:bookmarkStart w:id="7504" w:name="_Toc66360856"/>
      <w:bookmarkStart w:id="7505" w:name="_Toc68105361"/>
      <w:bookmarkStart w:id="7506" w:name="_Toc74755991"/>
      <w:bookmarkStart w:id="7507" w:name="_Toc105674867"/>
      <w:bookmarkStart w:id="7508" w:name="_Toc130502927"/>
      <w:bookmarkStart w:id="7509" w:name="_Toc153625715"/>
      <w:r w:rsidRPr="000A0A5F">
        <w:t>5.10.3.3.1</w:t>
      </w:r>
      <w:r w:rsidRPr="000A0A5F">
        <w:tab/>
        <w:t>Introduction</w:t>
      </w:r>
      <w:bookmarkEnd w:id="7498"/>
      <w:bookmarkEnd w:id="7499"/>
      <w:bookmarkEnd w:id="7500"/>
      <w:bookmarkEnd w:id="7501"/>
      <w:bookmarkEnd w:id="7502"/>
      <w:bookmarkEnd w:id="7503"/>
      <w:bookmarkEnd w:id="7504"/>
      <w:bookmarkEnd w:id="7505"/>
      <w:bookmarkEnd w:id="7506"/>
      <w:bookmarkEnd w:id="7507"/>
      <w:bookmarkEnd w:id="7508"/>
      <w:bookmarkEnd w:id="7509"/>
    </w:p>
    <w:p w:rsidR="00CB0DD7" w:rsidRPr="000A0A5F" w:rsidRDefault="00CB0DD7">
      <w:pPr>
        <w:rPr>
          <w:noProof/>
          <w:lang w:eastAsia="zh-CN"/>
        </w:rPr>
      </w:pPr>
      <w:r w:rsidRPr="000A0A5F">
        <w:rPr>
          <w:noProof/>
          <w:lang w:eastAsia="zh-CN"/>
        </w:rPr>
        <w:t>This resource allows t</w:t>
      </w:r>
      <w:r w:rsidRPr="000A0A5F">
        <w:rPr>
          <w:rFonts w:hint="eastAsia"/>
          <w:noProof/>
          <w:lang w:eastAsia="zh-CN"/>
        </w:rPr>
        <w:t xml:space="preserve">he SCS/AS </w:t>
      </w:r>
      <w:r w:rsidRPr="000A0A5F">
        <w:rPr>
          <w:noProof/>
          <w:lang w:eastAsia="zh-CN"/>
        </w:rPr>
        <w:t>to manage resources for CP parameter provisioning using a subscription Id.</w:t>
      </w:r>
    </w:p>
    <w:p w:rsidR="00CB0DD7" w:rsidRPr="000A0A5F" w:rsidRDefault="00CB0DD7">
      <w:pPr>
        <w:pStyle w:val="Heading5"/>
      </w:pPr>
      <w:bookmarkStart w:id="7510" w:name="_Toc11247748"/>
      <w:bookmarkStart w:id="7511" w:name="_Toc27044891"/>
      <w:bookmarkStart w:id="7512" w:name="_Toc36033933"/>
      <w:bookmarkStart w:id="7513" w:name="_Toc45132079"/>
      <w:bookmarkStart w:id="7514" w:name="_Toc49776364"/>
      <w:bookmarkStart w:id="7515" w:name="_Toc51747284"/>
      <w:bookmarkStart w:id="7516" w:name="_Toc66360857"/>
      <w:bookmarkStart w:id="7517" w:name="_Toc68105362"/>
      <w:bookmarkStart w:id="7518" w:name="_Toc74755992"/>
      <w:bookmarkStart w:id="7519" w:name="_Toc105674868"/>
      <w:bookmarkStart w:id="7520" w:name="_Toc130502928"/>
      <w:bookmarkStart w:id="7521" w:name="_Toc153625716"/>
      <w:r w:rsidRPr="000A0A5F">
        <w:t>5.10.3.3.2</w:t>
      </w:r>
      <w:r w:rsidRPr="000A0A5F">
        <w:tab/>
        <w:t>Resource definition</w:t>
      </w:r>
      <w:bookmarkEnd w:id="7510"/>
      <w:bookmarkEnd w:id="7511"/>
      <w:bookmarkEnd w:id="7512"/>
      <w:bookmarkEnd w:id="7513"/>
      <w:bookmarkEnd w:id="7514"/>
      <w:bookmarkEnd w:id="7515"/>
      <w:bookmarkEnd w:id="7516"/>
      <w:bookmarkEnd w:id="7517"/>
      <w:bookmarkEnd w:id="7518"/>
      <w:bookmarkEnd w:id="7519"/>
      <w:bookmarkEnd w:id="7520"/>
      <w:bookmarkEnd w:id="7521"/>
    </w:p>
    <w:p w:rsidR="00CB0DD7" w:rsidRPr="000A0A5F" w:rsidRDefault="00CB0DD7">
      <w:r w:rsidRPr="000A0A5F">
        <w:t xml:space="preserve">Resource URI: </w:t>
      </w:r>
      <w:r w:rsidRPr="000A0A5F">
        <w:rPr>
          <w:b/>
        </w:rPr>
        <w:t>{apiRoot}/3gpp-cp-parameter-provisioning/v1/{scsAsId}/subscriptions/{subscriptionId}</w:t>
      </w:r>
    </w:p>
    <w:p w:rsidR="00CB0DD7" w:rsidRPr="000A0A5F" w:rsidRDefault="00CB0DD7">
      <w:pPr>
        <w:rPr>
          <w:rFonts w:ascii="Arial" w:hAnsi="Arial" w:cs="Arial"/>
        </w:rPr>
      </w:pPr>
      <w:r w:rsidRPr="000A0A5F">
        <w:t>This resource shall support the resource URI variables defined in table 5.10.3.3.2-1</w:t>
      </w:r>
      <w:r w:rsidRPr="000A0A5F">
        <w:rPr>
          <w:rFonts w:ascii="Arial" w:hAnsi="Arial" w:cs="Arial"/>
        </w:rPr>
        <w:t>.</w:t>
      </w:r>
    </w:p>
    <w:p w:rsidR="00CB0DD7" w:rsidRPr="000A0A5F" w:rsidRDefault="00CB0DD7">
      <w:pPr>
        <w:pStyle w:val="TH"/>
        <w:rPr>
          <w:rFonts w:cs="Arial"/>
        </w:rPr>
      </w:pPr>
      <w:r w:rsidRPr="000A0A5F">
        <w:t>Table 5.10.3.3.2-1: Resource URI variables for resource "Individual CP Provisioning Subscription"</w:t>
      </w:r>
    </w:p>
    <w:tbl>
      <w:tblPr>
        <w:tblW w:w="5013"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970"/>
        <w:gridCol w:w="1312"/>
        <w:gridCol w:w="6520"/>
      </w:tblGrid>
      <w:tr w:rsidR="00CB0DD7" w:rsidRPr="000A0A5F" w:rsidTr="00FF0AF8">
        <w:trPr>
          <w:jc w:val="center"/>
        </w:trPr>
        <w:tc>
          <w:tcPr>
            <w:tcW w:w="1005" w:type="pct"/>
            <w:shd w:val="clear" w:color="000000" w:fill="C0C0C0"/>
          </w:tcPr>
          <w:p w:rsidR="00CB0DD7" w:rsidRPr="000A0A5F" w:rsidRDefault="00CB0DD7">
            <w:pPr>
              <w:pStyle w:val="TAH"/>
            </w:pPr>
            <w:r w:rsidRPr="000A0A5F">
              <w:t>Name</w:t>
            </w:r>
          </w:p>
        </w:tc>
        <w:tc>
          <w:tcPr>
            <w:tcW w:w="669" w:type="pct"/>
            <w:shd w:val="clear" w:color="000000" w:fill="C0C0C0"/>
          </w:tcPr>
          <w:p w:rsidR="00CB0DD7" w:rsidRPr="000A0A5F" w:rsidRDefault="00CB0DD7">
            <w:pPr>
              <w:pStyle w:val="TAH"/>
            </w:pPr>
            <w:r w:rsidRPr="000A0A5F">
              <w:t>Data type</w:t>
            </w:r>
          </w:p>
        </w:tc>
        <w:tc>
          <w:tcPr>
            <w:tcW w:w="3326" w:type="pct"/>
            <w:shd w:val="clear" w:color="000000" w:fill="C0C0C0"/>
            <w:vAlign w:val="center"/>
          </w:tcPr>
          <w:p w:rsidR="00CB0DD7" w:rsidRPr="000A0A5F" w:rsidRDefault="00CB0DD7">
            <w:pPr>
              <w:pStyle w:val="TAH"/>
            </w:pPr>
            <w:r w:rsidRPr="000A0A5F">
              <w:t>Definition</w:t>
            </w:r>
          </w:p>
        </w:tc>
      </w:tr>
      <w:tr w:rsidR="00CB0DD7" w:rsidRPr="000A0A5F" w:rsidTr="00FF0AF8">
        <w:trPr>
          <w:jc w:val="center"/>
        </w:trPr>
        <w:tc>
          <w:tcPr>
            <w:tcW w:w="1005" w:type="pct"/>
            <w:shd w:val="clear" w:color="auto" w:fill="auto"/>
          </w:tcPr>
          <w:p w:rsidR="00CB0DD7" w:rsidRPr="000A0A5F" w:rsidRDefault="00CB0DD7">
            <w:pPr>
              <w:pStyle w:val="TAL"/>
            </w:pPr>
            <w:r w:rsidRPr="000A0A5F">
              <w:t>apiRoot</w:t>
            </w:r>
          </w:p>
        </w:tc>
        <w:tc>
          <w:tcPr>
            <w:tcW w:w="669" w:type="pct"/>
          </w:tcPr>
          <w:p w:rsidR="00CB0DD7" w:rsidRPr="000A0A5F" w:rsidRDefault="00CB0DD7">
            <w:pPr>
              <w:pStyle w:val="TAL"/>
            </w:pPr>
            <w:r w:rsidRPr="000A0A5F">
              <w:t>string</w:t>
            </w:r>
          </w:p>
        </w:tc>
        <w:tc>
          <w:tcPr>
            <w:tcW w:w="3326" w:type="pct"/>
            <w:shd w:val="clear" w:color="auto" w:fill="auto"/>
            <w:vAlign w:val="center"/>
          </w:tcPr>
          <w:p w:rsidR="00CB0DD7" w:rsidRPr="000A0A5F" w:rsidRDefault="00CB0DD7">
            <w:pPr>
              <w:pStyle w:val="TAL"/>
            </w:pPr>
            <w:r w:rsidRPr="000A0A5F">
              <w:t>See clause</w:t>
            </w:r>
            <w:r w:rsidRPr="000A0A5F">
              <w:rPr>
                <w:lang w:val="en-US" w:eastAsia="zh-CN"/>
              </w:rPr>
              <w:t> </w:t>
            </w:r>
            <w:r w:rsidRPr="000A0A5F">
              <w:t>5.2.4.</w:t>
            </w:r>
          </w:p>
        </w:tc>
      </w:tr>
      <w:tr w:rsidR="00CB0DD7" w:rsidRPr="000A0A5F" w:rsidTr="00FF0AF8">
        <w:trPr>
          <w:jc w:val="center"/>
        </w:trPr>
        <w:tc>
          <w:tcPr>
            <w:tcW w:w="1005" w:type="pct"/>
            <w:shd w:val="clear" w:color="auto" w:fill="auto"/>
          </w:tcPr>
          <w:p w:rsidR="00CB0DD7" w:rsidRPr="000A0A5F" w:rsidRDefault="00CB0DD7">
            <w:pPr>
              <w:pStyle w:val="TAL"/>
            </w:pPr>
            <w:r w:rsidRPr="000A0A5F">
              <w:t>scsAsId</w:t>
            </w:r>
          </w:p>
        </w:tc>
        <w:tc>
          <w:tcPr>
            <w:tcW w:w="669" w:type="pct"/>
          </w:tcPr>
          <w:p w:rsidR="00CB0DD7" w:rsidRPr="000A0A5F" w:rsidRDefault="00CB0DD7">
            <w:pPr>
              <w:pStyle w:val="TAL"/>
            </w:pPr>
            <w:r w:rsidRPr="000A0A5F">
              <w:rPr>
                <w:rFonts w:hint="eastAsia"/>
                <w:lang w:eastAsia="zh-CN"/>
              </w:rPr>
              <w:t>s</w:t>
            </w:r>
            <w:r w:rsidRPr="000A0A5F">
              <w:rPr>
                <w:lang w:eastAsia="zh-CN"/>
              </w:rPr>
              <w:t>tring</w:t>
            </w:r>
          </w:p>
        </w:tc>
        <w:tc>
          <w:tcPr>
            <w:tcW w:w="3326" w:type="pct"/>
            <w:shd w:val="clear" w:color="auto" w:fill="auto"/>
            <w:vAlign w:val="center"/>
          </w:tcPr>
          <w:p w:rsidR="00CB0DD7" w:rsidRPr="000A0A5F" w:rsidRDefault="00CB0DD7">
            <w:pPr>
              <w:pStyle w:val="TAL"/>
            </w:pPr>
            <w:r w:rsidRPr="000A0A5F">
              <w:t>Identifier of the SCS/AS.</w:t>
            </w:r>
          </w:p>
        </w:tc>
      </w:tr>
      <w:tr w:rsidR="00CB0DD7" w:rsidRPr="000A0A5F" w:rsidTr="00FF0AF8">
        <w:trPr>
          <w:jc w:val="center"/>
        </w:trPr>
        <w:tc>
          <w:tcPr>
            <w:tcW w:w="1005" w:type="pct"/>
            <w:shd w:val="clear" w:color="auto" w:fill="auto"/>
          </w:tcPr>
          <w:p w:rsidR="00CB0DD7" w:rsidRPr="000A0A5F" w:rsidRDefault="00CB0DD7">
            <w:pPr>
              <w:pStyle w:val="TAL"/>
            </w:pPr>
            <w:r w:rsidRPr="000A0A5F">
              <w:t>subscriptionId</w:t>
            </w:r>
          </w:p>
        </w:tc>
        <w:tc>
          <w:tcPr>
            <w:tcW w:w="669" w:type="pct"/>
          </w:tcPr>
          <w:p w:rsidR="00CB0DD7" w:rsidRPr="000A0A5F" w:rsidRDefault="00CB0DD7">
            <w:pPr>
              <w:pStyle w:val="TAL"/>
            </w:pPr>
            <w:r w:rsidRPr="000A0A5F">
              <w:t>string</w:t>
            </w:r>
          </w:p>
        </w:tc>
        <w:tc>
          <w:tcPr>
            <w:tcW w:w="3326" w:type="pct"/>
            <w:shd w:val="clear" w:color="auto" w:fill="auto"/>
            <w:vAlign w:val="center"/>
          </w:tcPr>
          <w:p w:rsidR="00CB0DD7" w:rsidRPr="000A0A5F" w:rsidRDefault="00CB0DD7">
            <w:pPr>
              <w:pStyle w:val="TAL"/>
            </w:pPr>
            <w:r w:rsidRPr="000A0A5F">
              <w:t>Identifier of the subscription resource. The subscriptionId corresponds to the stage 2 TLTRI.</w:t>
            </w:r>
          </w:p>
        </w:tc>
      </w:tr>
    </w:tbl>
    <w:p w:rsidR="00CB0DD7" w:rsidRPr="000A0A5F" w:rsidRDefault="00CB0DD7"/>
    <w:p w:rsidR="00CB0DD7" w:rsidRPr="000A0A5F" w:rsidRDefault="00CB0DD7">
      <w:pPr>
        <w:pStyle w:val="Heading5"/>
      </w:pPr>
      <w:bookmarkStart w:id="7522" w:name="_Toc11247749"/>
      <w:bookmarkStart w:id="7523" w:name="_Toc27044892"/>
      <w:bookmarkStart w:id="7524" w:name="_Toc36033934"/>
      <w:bookmarkStart w:id="7525" w:name="_Toc45132080"/>
      <w:bookmarkStart w:id="7526" w:name="_Toc49776365"/>
      <w:bookmarkStart w:id="7527" w:name="_Toc51747285"/>
      <w:bookmarkStart w:id="7528" w:name="_Toc66360858"/>
      <w:bookmarkStart w:id="7529" w:name="_Toc68105363"/>
      <w:bookmarkStart w:id="7530" w:name="_Toc74755993"/>
      <w:bookmarkStart w:id="7531" w:name="_Toc105674869"/>
      <w:bookmarkStart w:id="7532" w:name="_Toc130502929"/>
      <w:bookmarkStart w:id="7533" w:name="_Toc153625717"/>
      <w:r w:rsidRPr="000A0A5F">
        <w:t>5.10.3.3.3</w:t>
      </w:r>
      <w:r w:rsidRPr="000A0A5F">
        <w:tab/>
        <w:t>Resource methods</w:t>
      </w:r>
      <w:bookmarkEnd w:id="7522"/>
      <w:bookmarkEnd w:id="7523"/>
      <w:bookmarkEnd w:id="7524"/>
      <w:bookmarkEnd w:id="7525"/>
      <w:bookmarkEnd w:id="7526"/>
      <w:bookmarkEnd w:id="7527"/>
      <w:bookmarkEnd w:id="7528"/>
      <w:bookmarkEnd w:id="7529"/>
      <w:bookmarkEnd w:id="7530"/>
      <w:bookmarkEnd w:id="7531"/>
      <w:bookmarkEnd w:id="7532"/>
      <w:bookmarkEnd w:id="7533"/>
    </w:p>
    <w:p w:rsidR="00CB0DD7" w:rsidRPr="000A0A5F" w:rsidRDefault="00CB0DD7">
      <w:pPr>
        <w:pStyle w:val="Heading6"/>
      </w:pPr>
      <w:bookmarkStart w:id="7534" w:name="_Toc11247750"/>
      <w:bookmarkStart w:id="7535" w:name="_Toc27044893"/>
      <w:bookmarkStart w:id="7536" w:name="_Toc36033935"/>
      <w:bookmarkStart w:id="7537" w:name="_Toc45132081"/>
      <w:bookmarkStart w:id="7538" w:name="_Toc49776366"/>
      <w:bookmarkStart w:id="7539" w:name="_Toc51747286"/>
      <w:bookmarkStart w:id="7540" w:name="_Toc66360859"/>
      <w:bookmarkStart w:id="7541" w:name="_Toc68105364"/>
      <w:bookmarkStart w:id="7542" w:name="_Toc74755994"/>
      <w:bookmarkStart w:id="7543" w:name="_Toc105674870"/>
      <w:bookmarkStart w:id="7544" w:name="_Toc130502930"/>
      <w:bookmarkStart w:id="7545" w:name="_Toc153625718"/>
      <w:r w:rsidRPr="000A0A5F">
        <w:t>5.10.3.3.3.1</w:t>
      </w:r>
      <w:r w:rsidRPr="000A0A5F">
        <w:tab/>
        <w:t>GET</w:t>
      </w:r>
      <w:bookmarkEnd w:id="7534"/>
      <w:bookmarkEnd w:id="7535"/>
      <w:bookmarkEnd w:id="7536"/>
      <w:bookmarkEnd w:id="7537"/>
      <w:bookmarkEnd w:id="7538"/>
      <w:bookmarkEnd w:id="7539"/>
      <w:bookmarkEnd w:id="7540"/>
      <w:bookmarkEnd w:id="7541"/>
      <w:bookmarkEnd w:id="7542"/>
      <w:bookmarkEnd w:id="7543"/>
      <w:bookmarkEnd w:id="7544"/>
      <w:bookmarkEnd w:id="7545"/>
    </w:p>
    <w:p w:rsidR="00CB0DD7" w:rsidRPr="000A0A5F" w:rsidRDefault="00CB0DD7">
      <w:pPr>
        <w:rPr>
          <w:noProof/>
          <w:lang w:eastAsia="zh-CN"/>
        </w:rPr>
      </w:pPr>
      <w:r w:rsidRPr="000A0A5F">
        <w:rPr>
          <w:noProof/>
          <w:lang w:eastAsia="zh-CN"/>
        </w:rPr>
        <w:t xml:space="preserve">The GET method allows to read the subscription for a given SCS/AS and subscription Id. The SCS/AS shall initiate the HTTP GET request message and the SCEF shall respond to the message. </w:t>
      </w:r>
    </w:p>
    <w:p w:rsidR="00CB0DD7" w:rsidRPr="000A0A5F" w:rsidRDefault="00CB0DD7">
      <w:r w:rsidRPr="000A0A5F">
        <w:t>This method shall support the URI query parameters, request and response data structures, and response codes, as specified in the table 5.10.3.3.3.1-1 and table 5.10.3.3.3.1-2.</w:t>
      </w:r>
    </w:p>
    <w:p w:rsidR="00CB0DD7" w:rsidRPr="000A0A5F" w:rsidRDefault="00CB0DD7">
      <w:pPr>
        <w:pStyle w:val="TH"/>
        <w:rPr>
          <w:rFonts w:cs="Arial"/>
        </w:rPr>
      </w:pPr>
      <w:r w:rsidRPr="000A0A5F">
        <w:t xml:space="preserve">Table 5.10.3.3.3.1-1: URI query parameters supported by the GET method on this resource </w:t>
      </w:r>
    </w:p>
    <w:tbl>
      <w:tblPr>
        <w:tblW w:w="4999"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612"/>
        <w:gridCol w:w="1709"/>
        <w:gridCol w:w="1140"/>
        <w:gridCol w:w="5314"/>
      </w:tblGrid>
      <w:tr w:rsidR="00CB0DD7" w:rsidRPr="000A0A5F" w:rsidTr="00FF0AF8">
        <w:trPr>
          <w:jc w:val="center"/>
        </w:trPr>
        <w:tc>
          <w:tcPr>
            <w:tcW w:w="825" w:type="pct"/>
            <w:shd w:val="clear" w:color="000000" w:fill="C0C0C0"/>
          </w:tcPr>
          <w:p w:rsidR="00CB0DD7" w:rsidRPr="000A0A5F" w:rsidRDefault="00CB0DD7">
            <w:pPr>
              <w:pStyle w:val="TAH"/>
            </w:pPr>
            <w:r w:rsidRPr="000A0A5F">
              <w:t>Name</w:t>
            </w:r>
          </w:p>
        </w:tc>
        <w:tc>
          <w:tcPr>
            <w:tcW w:w="874" w:type="pct"/>
            <w:shd w:val="clear" w:color="000000" w:fill="C0C0C0"/>
          </w:tcPr>
          <w:p w:rsidR="00CB0DD7" w:rsidRPr="000A0A5F" w:rsidRDefault="00CB0DD7">
            <w:pPr>
              <w:pStyle w:val="TAH"/>
            </w:pPr>
            <w:r w:rsidRPr="000A0A5F">
              <w:t>Data type</w:t>
            </w:r>
          </w:p>
        </w:tc>
        <w:tc>
          <w:tcPr>
            <w:tcW w:w="583" w:type="pct"/>
            <w:shd w:val="clear" w:color="000000" w:fill="C0C0C0"/>
          </w:tcPr>
          <w:p w:rsidR="00CB0DD7" w:rsidRPr="000A0A5F" w:rsidRDefault="00CB0DD7">
            <w:pPr>
              <w:pStyle w:val="TAH"/>
            </w:pPr>
            <w:r w:rsidRPr="000A0A5F">
              <w:t>Cardinality</w:t>
            </w:r>
          </w:p>
        </w:tc>
        <w:tc>
          <w:tcPr>
            <w:tcW w:w="2718" w:type="pct"/>
            <w:shd w:val="clear" w:color="000000" w:fill="C0C0C0"/>
            <w:vAlign w:val="center"/>
          </w:tcPr>
          <w:p w:rsidR="00CB0DD7" w:rsidRPr="000A0A5F" w:rsidRDefault="00CB0DD7">
            <w:pPr>
              <w:pStyle w:val="TAH"/>
            </w:pPr>
            <w:r w:rsidRPr="000A0A5F">
              <w:t>Remarks</w:t>
            </w:r>
          </w:p>
        </w:tc>
      </w:tr>
      <w:tr w:rsidR="00CB0DD7" w:rsidRPr="000A0A5F" w:rsidTr="00FF0AF8">
        <w:trPr>
          <w:jc w:val="center"/>
        </w:trPr>
        <w:tc>
          <w:tcPr>
            <w:tcW w:w="825" w:type="pct"/>
            <w:shd w:val="clear" w:color="auto" w:fill="auto"/>
          </w:tcPr>
          <w:p w:rsidR="00CB0DD7" w:rsidRPr="000A0A5F" w:rsidRDefault="00CB0DD7">
            <w:pPr>
              <w:pStyle w:val="TAL"/>
            </w:pPr>
            <w:r w:rsidRPr="000A0A5F">
              <w:t>none specified</w:t>
            </w:r>
          </w:p>
        </w:tc>
        <w:tc>
          <w:tcPr>
            <w:tcW w:w="874" w:type="pct"/>
          </w:tcPr>
          <w:p w:rsidR="00CB0DD7" w:rsidRPr="000A0A5F" w:rsidRDefault="00CB0DD7">
            <w:pPr>
              <w:pStyle w:val="TAL"/>
            </w:pPr>
          </w:p>
        </w:tc>
        <w:tc>
          <w:tcPr>
            <w:tcW w:w="583" w:type="pct"/>
          </w:tcPr>
          <w:p w:rsidR="00CB0DD7" w:rsidRPr="000A0A5F" w:rsidRDefault="00CB0DD7">
            <w:pPr>
              <w:pStyle w:val="TAL"/>
            </w:pPr>
          </w:p>
        </w:tc>
        <w:tc>
          <w:tcPr>
            <w:tcW w:w="2718" w:type="pct"/>
            <w:shd w:val="clear" w:color="auto" w:fill="auto"/>
            <w:vAlign w:val="center"/>
          </w:tcPr>
          <w:p w:rsidR="00CB0DD7" w:rsidRPr="000A0A5F" w:rsidRDefault="00CB0DD7">
            <w:pPr>
              <w:pStyle w:val="TAL"/>
            </w:pPr>
          </w:p>
        </w:tc>
      </w:tr>
    </w:tbl>
    <w:p w:rsidR="00CB0DD7" w:rsidRPr="000A0A5F" w:rsidRDefault="00CB0DD7">
      <w:pPr>
        <w:pStyle w:val="TH"/>
        <w:spacing w:before="120"/>
      </w:pPr>
      <w:r w:rsidRPr="000A0A5F">
        <w:t>Table 5.10.3.3.3.1-2: Data structures supported by the GET request/response by the resource</w:t>
      </w:r>
    </w:p>
    <w:tbl>
      <w:tblPr>
        <w:tblW w:w="4999" w:type="pct"/>
        <w:tblInd w:w="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45" w:type="dxa"/>
          <w:left w:w="45" w:type="dxa"/>
          <w:bottom w:w="45" w:type="dxa"/>
          <w:right w:w="45" w:type="dxa"/>
        </w:tblCellMar>
        <w:tblLook w:val="0000" w:firstRow="0" w:lastRow="0" w:firstColumn="0" w:lastColumn="0" w:noHBand="0" w:noVBand="0"/>
      </w:tblPr>
      <w:tblGrid>
        <w:gridCol w:w="1035"/>
        <w:gridCol w:w="2127"/>
        <w:gridCol w:w="1053"/>
        <w:gridCol w:w="973"/>
        <w:gridCol w:w="4541"/>
      </w:tblGrid>
      <w:tr w:rsidR="00CB0DD7" w:rsidRPr="000A0A5F" w:rsidTr="004C6435">
        <w:tc>
          <w:tcPr>
            <w:tcW w:w="532" w:type="pct"/>
            <w:vMerge w:val="restart"/>
            <w:shd w:val="clear" w:color="auto" w:fill="C0C0C0"/>
            <w:vAlign w:val="center"/>
          </w:tcPr>
          <w:p w:rsidR="00CB0DD7" w:rsidRPr="000A0A5F" w:rsidRDefault="00CB0DD7">
            <w:pPr>
              <w:pStyle w:val="TAH"/>
            </w:pPr>
            <w:r w:rsidRPr="000A0A5F">
              <w:t>Request body</w:t>
            </w:r>
          </w:p>
        </w:tc>
        <w:tc>
          <w:tcPr>
            <w:tcW w:w="1093" w:type="pct"/>
            <w:shd w:val="clear" w:color="auto" w:fill="C0C0C0"/>
          </w:tcPr>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r w:rsidRPr="000A0A5F">
              <w:t>Cardinality</w:t>
            </w:r>
          </w:p>
        </w:tc>
        <w:tc>
          <w:tcPr>
            <w:tcW w:w="2834" w:type="pct"/>
            <w:gridSpan w:val="2"/>
            <w:shd w:val="clear" w:color="auto" w:fill="C0C0C0"/>
          </w:tcPr>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none</w:t>
            </w:r>
          </w:p>
        </w:tc>
        <w:tc>
          <w:tcPr>
            <w:tcW w:w="541" w:type="pct"/>
          </w:tcPr>
          <w:p w:rsidR="00CB0DD7" w:rsidRPr="000A0A5F" w:rsidRDefault="00CB0DD7">
            <w:pPr>
              <w:pStyle w:val="TAL"/>
            </w:pPr>
          </w:p>
        </w:tc>
        <w:tc>
          <w:tcPr>
            <w:tcW w:w="2834" w:type="pct"/>
            <w:gridSpan w:val="2"/>
          </w:tcPr>
          <w:p w:rsidR="00CB0DD7" w:rsidRPr="000A0A5F" w:rsidRDefault="00CB0DD7">
            <w:pPr>
              <w:pStyle w:val="TAL"/>
            </w:pPr>
          </w:p>
        </w:tc>
      </w:tr>
      <w:tr w:rsidR="00CB0DD7" w:rsidRPr="000A0A5F" w:rsidTr="004C6435">
        <w:tc>
          <w:tcPr>
            <w:tcW w:w="532" w:type="pct"/>
            <w:vMerge w:val="restart"/>
            <w:shd w:val="clear" w:color="auto" w:fill="C0C0C0"/>
            <w:vAlign w:val="center"/>
          </w:tcPr>
          <w:p w:rsidR="00CB0DD7" w:rsidRPr="000A0A5F" w:rsidRDefault="00CB0DD7">
            <w:pPr>
              <w:pStyle w:val="TAH"/>
            </w:pPr>
            <w:r w:rsidRPr="000A0A5F">
              <w:t>Response body</w:t>
            </w:r>
          </w:p>
        </w:tc>
        <w:tc>
          <w:tcPr>
            <w:tcW w:w="1093" w:type="pct"/>
            <w:shd w:val="clear" w:color="auto" w:fill="C0C0C0"/>
          </w:tcPr>
          <w:p w:rsidR="00CB0DD7" w:rsidRPr="000A0A5F" w:rsidRDefault="00CB0DD7">
            <w:pPr>
              <w:pStyle w:val="TAH"/>
            </w:pPr>
          </w:p>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p>
          <w:p w:rsidR="00CB0DD7" w:rsidRPr="000A0A5F" w:rsidRDefault="00CB0DD7">
            <w:pPr>
              <w:pStyle w:val="TAH"/>
            </w:pPr>
            <w:r w:rsidRPr="000A0A5F">
              <w:t>Cardinality</w:t>
            </w:r>
          </w:p>
        </w:tc>
        <w:tc>
          <w:tcPr>
            <w:tcW w:w="500" w:type="pct"/>
            <w:shd w:val="clear" w:color="auto" w:fill="C0C0C0"/>
          </w:tcPr>
          <w:p w:rsidR="00CB0DD7" w:rsidRPr="000A0A5F" w:rsidRDefault="00CB0DD7">
            <w:pPr>
              <w:pStyle w:val="TAH"/>
            </w:pPr>
            <w:r w:rsidRPr="000A0A5F">
              <w:t>Response</w:t>
            </w:r>
          </w:p>
          <w:p w:rsidR="00CB0DD7" w:rsidRPr="000A0A5F" w:rsidRDefault="00CB0DD7">
            <w:pPr>
              <w:pStyle w:val="TAH"/>
            </w:pPr>
            <w:r w:rsidRPr="000A0A5F">
              <w:t>codes</w:t>
            </w:r>
          </w:p>
        </w:tc>
        <w:tc>
          <w:tcPr>
            <w:tcW w:w="2334" w:type="pct"/>
            <w:shd w:val="clear" w:color="auto" w:fill="C0C0C0"/>
          </w:tcPr>
          <w:p w:rsidR="00CB0DD7" w:rsidRPr="000A0A5F" w:rsidRDefault="00CB0DD7">
            <w:pPr>
              <w:pStyle w:val="TAH"/>
            </w:pPr>
          </w:p>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CpInfo</w:t>
            </w:r>
          </w:p>
        </w:tc>
        <w:tc>
          <w:tcPr>
            <w:tcW w:w="541" w:type="pct"/>
          </w:tcPr>
          <w:p w:rsidR="00CB0DD7" w:rsidRPr="000A0A5F" w:rsidRDefault="00CB0DD7">
            <w:pPr>
              <w:pStyle w:val="TAL"/>
            </w:pPr>
            <w:r w:rsidRPr="000A0A5F">
              <w:t>1</w:t>
            </w:r>
          </w:p>
        </w:tc>
        <w:tc>
          <w:tcPr>
            <w:tcW w:w="500" w:type="pct"/>
          </w:tcPr>
          <w:p w:rsidR="00CB0DD7" w:rsidRPr="000A0A5F" w:rsidRDefault="00CB0DD7">
            <w:pPr>
              <w:pStyle w:val="TAL"/>
            </w:pPr>
            <w:r w:rsidRPr="000A0A5F">
              <w:t>200 OK</w:t>
            </w:r>
          </w:p>
        </w:tc>
        <w:tc>
          <w:tcPr>
            <w:tcW w:w="2334" w:type="pct"/>
          </w:tcPr>
          <w:p w:rsidR="00CB0DD7" w:rsidRPr="000A0A5F" w:rsidRDefault="00CB0DD7">
            <w:pPr>
              <w:pStyle w:val="TAL"/>
            </w:pPr>
            <w:r w:rsidRPr="000A0A5F">
              <w:t>The subscription information related to the request URI is returned.</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none</w:t>
            </w:r>
          </w:p>
        </w:tc>
        <w:tc>
          <w:tcPr>
            <w:tcW w:w="541" w:type="pct"/>
          </w:tcPr>
          <w:p w:rsidR="00CB0DD7" w:rsidRPr="000A0A5F" w:rsidRDefault="00CB0DD7">
            <w:pPr>
              <w:pStyle w:val="TAL"/>
            </w:pPr>
          </w:p>
        </w:tc>
        <w:tc>
          <w:tcPr>
            <w:tcW w:w="500" w:type="pct"/>
          </w:tcPr>
          <w:p w:rsidR="00CB0DD7" w:rsidRPr="000A0A5F" w:rsidRDefault="00CB0DD7">
            <w:pPr>
              <w:pStyle w:val="TAL"/>
            </w:pPr>
            <w:r w:rsidRPr="000A0A5F">
              <w:t>307 Temporary Redirect</w:t>
            </w:r>
          </w:p>
        </w:tc>
        <w:tc>
          <w:tcPr>
            <w:tcW w:w="2334" w:type="pct"/>
          </w:tcPr>
          <w:p w:rsidR="00CB0DD7" w:rsidRPr="000A0A5F" w:rsidRDefault="00CB0DD7">
            <w:pPr>
              <w:pStyle w:val="TAL"/>
            </w:pPr>
            <w:r w:rsidRPr="000A0A5F">
              <w:t>Temporary redirection, during subscription retrieval. The response shall include a Location header field containing an alternative URI of the resource located in an alternative SCEF.</w:t>
            </w:r>
          </w:p>
          <w:p w:rsidR="00CB0DD7" w:rsidRPr="000A0A5F" w:rsidRDefault="00CB0DD7">
            <w:pPr>
              <w:pStyle w:val="TAL"/>
            </w:pPr>
            <w:r w:rsidRPr="000A0A5F">
              <w:t>Redirection handling is described in clause 5.2.10.</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none</w:t>
            </w:r>
          </w:p>
        </w:tc>
        <w:tc>
          <w:tcPr>
            <w:tcW w:w="541" w:type="pct"/>
          </w:tcPr>
          <w:p w:rsidR="00CB0DD7" w:rsidRPr="000A0A5F" w:rsidRDefault="00CB0DD7">
            <w:pPr>
              <w:pStyle w:val="TAL"/>
            </w:pPr>
          </w:p>
        </w:tc>
        <w:tc>
          <w:tcPr>
            <w:tcW w:w="500" w:type="pct"/>
          </w:tcPr>
          <w:p w:rsidR="00CB0DD7" w:rsidRPr="000A0A5F" w:rsidRDefault="00CB0DD7">
            <w:pPr>
              <w:pStyle w:val="TAL"/>
            </w:pPr>
            <w:r w:rsidRPr="000A0A5F">
              <w:t>308 Permanent Redirect</w:t>
            </w:r>
          </w:p>
        </w:tc>
        <w:tc>
          <w:tcPr>
            <w:tcW w:w="2334" w:type="pct"/>
          </w:tcPr>
          <w:p w:rsidR="00CB0DD7" w:rsidRPr="000A0A5F" w:rsidRDefault="00CB0DD7">
            <w:pPr>
              <w:pStyle w:val="TAL"/>
            </w:pPr>
            <w:r w:rsidRPr="000A0A5F">
              <w:t>Permanent redirection, during subscription retrieval. The response shall include a Location header field containing an alternative URI of the resource located in an alternative SCEF.</w:t>
            </w:r>
          </w:p>
          <w:p w:rsidR="00CB0DD7" w:rsidRPr="000A0A5F" w:rsidRDefault="00CB0DD7">
            <w:pPr>
              <w:pStyle w:val="TAL"/>
            </w:pPr>
            <w:r w:rsidRPr="000A0A5F">
              <w:t>Redirection handling is described in clause 5.2.10.</w:t>
            </w:r>
          </w:p>
        </w:tc>
      </w:tr>
      <w:tr w:rsidR="00CB0DD7" w:rsidRPr="000A0A5F" w:rsidTr="00FF0AF8">
        <w:tc>
          <w:tcPr>
            <w:tcW w:w="5000" w:type="pct"/>
            <w:gridSpan w:val="5"/>
            <w:shd w:val="clear" w:color="auto" w:fill="auto"/>
            <w:vAlign w:val="center"/>
          </w:tcPr>
          <w:p w:rsidR="00CB0DD7" w:rsidRPr="000A0A5F" w:rsidRDefault="00CB0DD7">
            <w:pPr>
              <w:pStyle w:val="TAN"/>
            </w:pPr>
            <w:r w:rsidRPr="000A0A5F">
              <w:t>NOTE:</w:t>
            </w:r>
            <w:r w:rsidRPr="000A0A5F">
              <w:tab/>
              <w:t>The mandatory HTTP error status codes for the GET method listed in table 5.2.6-1 also apply.</w:t>
            </w:r>
          </w:p>
        </w:tc>
      </w:tr>
    </w:tbl>
    <w:p w:rsidR="00CB0DD7" w:rsidRPr="000A0A5F" w:rsidRDefault="00CB0DD7"/>
    <w:p w:rsidR="00CB0DD7" w:rsidRPr="000A0A5F" w:rsidRDefault="002E466A">
      <w:pPr>
        <w:pStyle w:val="TH"/>
      </w:pPr>
      <w:r w:rsidRPr="000A0A5F">
        <w:t>Table </w:t>
      </w:r>
      <w:r w:rsidR="00CB0DD7" w:rsidRPr="000A0A5F">
        <w:t>5.10.3.3.3.1-3: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2E466A">
      <w:pPr>
        <w:pStyle w:val="TH"/>
      </w:pPr>
      <w:r w:rsidRPr="000A0A5F">
        <w:t>Table </w:t>
      </w:r>
      <w:r w:rsidR="00CB0DD7" w:rsidRPr="000A0A5F">
        <w:t>5.10.3.3.3.1-4: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CB0DD7">
      <w:pPr>
        <w:pStyle w:val="Heading6"/>
      </w:pPr>
      <w:bookmarkStart w:id="7546" w:name="_Toc11247751"/>
      <w:bookmarkStart w:id="7547" w:name="_Toc27044894"/>
      <w:bookmarkStart w:id="7548" w:name="_Toc36033936"/>
      <w:bookmarkStart w:id="7549" w:name="_Toc45132082"/>
      <w:bookmarkStart w:id="7550" w:name="_Toc49776367"/>
      <w:bookmarkStart w:id="7551" w:name="_Toc51747287"/>
      <w:bookmarkStart w:id="7552" w:name="_Toc66360860"/>
      <w:bookmarkStart w:id="7553" w:name="_Toc68105365"/>
      <w:bookmarkStart w:id="7554" w:name="_Toc74755995"/>
      <w:bookmarkStart w:id="7555" w:name="_Toc105674871"/>
      <w:bookmarkStart w:id="7556" w:name="_Toc130502931"/>
      <w:bookmarkStart w:id="7557" w:name="_Toc153625719"/>
      <w:r w:rsidRPr="000A0A5F">
        <w:t>5.10.3.3.3.2</w:t>
      </w:r>
      <w:r w:rsidRPr="000A0A5F">
        <w:tab/>
        <w:t>PUT</w:t>
      </w:r>
      <w:bookmarkEnd w:id="7546"/>
      <w:bookmarkEnd w:id="7547"/>
      <w:bookmarkEnd w:id="7548"/>
      <w:bookmarkEnd w:id="7549"/>
      <w:bookmarkEnd w:id="7550"/>
      <w:bookmarkEnd w:id="7551"/>
      <w:bookmarkEnd w:id="7552"/>
      <w:bookmarkEnd w:id="7553"/>
      <w:bookmarkEnd w:id="7554"/>
      <w:bookmarkEnd w:id="7555"/>
      <w:bookmarkEnd w:id="7556"/>
      <w:bookmarkEnd w:id="7557"/>
    </w:p>
    <w:p w:rsidR="00CB0DD7" w:rsidRPr="000A0A5F" w:rsidRDefault="00CB0DD7">
      <w:pPr>
        <w:rPr>
          <w:noProof/>
          <w:lang w:eastAsia="zh-CN"/>
        </w:rPr>
      </w:pPr>
      <w:r w:rsidRPr="000A0A5F">
        <w:rPr>
          <w:noProof/>
          <w:lang w:eastAsia="zh-CN"/>
        </w:rPr>
        <w:t xml:space="preserve">The PUT method allows to change (add/update/remove) one ore more CP parameter set(s) resource(s). The SCS/AS shall initiate the HTTP PUT request message and the SCEF shall respond to the message. </w:t>
      </w:r>
    </w:p>
    <w:p w:rsidR="00CB0DD7" w:rsidRPr="000A0A5F" w:rsidRDefault="00CB0DD7">
      <w:r w:rsidRPr="000A0A5F">
        <w:t>This method shall support request and response data structures, and response codes, as specified in the table 5.14.3.3.3.2-1.</w:t>
      </w:r>
    </w:p>
    <w:p w:rsidR="00CB0DD7" w:rsidRPr="000A0A5F" w:rsidRDefault="00CB0DD7">
      <w:pPr>
        <w:pStyle w:val="TH"/>
      </w:pPr>
      <w:r w:rsidRPr="000A0A5F">
        <w:t>Table 5.10.3.3.3.2</w:t>
      </w:r>
      <w:r w:rsidRPr="000A0A5F">
        <w:rPr>
          <w:rFonts w:hint="eastAsia"/>
          <w:lang w:eastAsia="zh-CN"/>
        </w:rPr>
        <w:t>-1</w:t>
      </w:r>
      <w:r w:rsidRPr="000A0A5F">
        <w:t xml:space="preserve">: Data structures supported by the </w:t>
      </w:r>
      <w:r w:rsidRPr="000A0A5F">
        <w:rPr>
          <w:rFonts w:hint="eastAsia"/>
          <w:lang w:eastAsia="zh-CN"/>
        </w:rPr>
        <w:t>P</w:t>
      </w:r>
      <w:r w:rsidRPr="000A0A5F">
        <w:rPr>
          <w:lang w:eastAsia="zh-CN"/>
        </w:rPr>
        <w:t>UT</w:t>
      </w:r>
      <w:r w:rsidRPr="000A0A5F">
        <w:t xml:space="preserve"> request/response by the resource</w:t>
      </w:r>
    </w:p>
    <w:tbl>
      <w:tblPr>
        <w:tblW w:w="4999" w:type="pct"/>
        <w:tblInd w:w="1" w:type="dxa"/>
        <w:tblBorders>
          <w:top w:val="single" w:sz="6" w:space="0" w:color="000000"/>
          <w:left w:val="single" w:sz="6" w:space="0" w:color="000000"/>
          <w:bottom w:val="single" w:sz="6" w:space="0" w:color="000000"/>
          <w:right w:val="single" w:sz="6" w:space="0" w:color="000000"/>
          <w:insideH w:val="single" w:sz="6" w:space="0" w:color="auto"/>
          <w:insideV w:val="single" w:sz="6" w:space="0" w:color="000000"/>
        </w:tblBorders>
        <w:tblLayout w:type="fixed"/>
        <w:tblCellMar>
          <w:top w:w="45" w:type="dxa"/>
          <w:left w:w="45" w:type="dxa"/>
          <w:bottom w:w="45" w:type="dxa"/>
          <w:right w:w="45" w:type="dxa"/>
        </w:tblCellMar>
        <w:tblLook w:val="0000" w:firstRow="0" w:lastRow="0" w:firstColumn="0" w:lastColumn="0" w:noHBand="0" w:noVBand="0"/>
      </w:tblPr>
      <w:tblGrid>
        <w:gridCol w:w="1035"/>
        <w:gridCol w:w="2127"/>
        <w:gridCol w:w="1053"/>
        <w:gridCol w:w="973"/>
        <w:gridCol w:w="4541"/>
      </w:tblGrid>
      <w:tr w:rsidR="00CB0DD7" w:rsidRPr="000A0A5F" w:rsidTr="004C6435">
        <w:tc>
          <w:tcPr>
            <w:tcW w:w="532" w:type="pct"/>
            <w:vMerge w:val="restart"/>
            <w:shd w:val="clear" w:color="auto" w:fill="C0C0C0"/>
            <w:vAlign w:val="center"/>
          </w:tcPr>
          <w:p w:rsidR="00CB0DD7" w:rsidRPr="000A0A5F" w:rsidRDefault="00CB0DD7">
            <w:pPr>
              <w:pStyle w:val="TAH"/>
            </w:pPr>
            <w:r w:rsidRPr="000A0A5F">
              <w:t>Request body</w:t>
            </w:r>
          </w:p>
        </w:tc>
        <w:tc>
          <w:tcPr>
            <w:tcW w:w="1093" w:type="pct"/>
            <w:shd w:val="clear" w:color="auto" w:fill="C0C0C0"/>
          </w:tcPr>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r w:rsidRPr="000A0A5F">
              <w:t>Cardinality</w:t>
            </w:r>
          </w:p>
        </w:tc>
        <w:tc>
          <w:tcPr>
            <w:tcW w:w="2834" w:type="pct"/>
            <w:gridSpan w:val="2"/>
            <w:shd w:val="clear" w:color="auto" w:fill="C0C0C0"/>
          </w:tcPr>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t>CpInfo</w:t>
            </w:r>
          </w:p>
        </w:tc>
        <w:tc>
          <w:tcPr>
            <w:tcW w:w="541" w:type="pct"/>
          </w:tcPr>
          <w:p w:rsidR="00CB0DD7" w:rsidRPr="000A0A5F" w:rsidRDefault="00CB0DD7">
            <w:pPr>
              <w:pStyle w:val="TAL"/>
            </w:pPr>
            <w:r w:rsidRPr="000A0A5F">
              <w:t>1</w:t>
            </w:r>
          </w:p>
        </w:tc>
        <w:tc>
          <w:tcPr>
            <w:tcW w:w="2834" w:type="pct"/>
            <w:gridSpan w:val="2"/>
          </w:tcPr>
          <w:p w:rsidR="00CB0DD7" w:rsidRPr="000A0A5F" w:rsidRDefault="00CB0DD7">
            <w:pPr>
              <w:pStyle w:val="TAL"/>
            </w:pPr>
            <w:r w:rsidRPr="000A0A5F">
              <w:t>Change information in CP parameter set(s).</w:t>
            </w:r>
          </w:p>
        </w:tc>
      </w:tr>
      <w:tr w:rsidR="00CB0DD7" w:rsidRPr="000A0A5F" w:rsidTr="004C6435">
        <w:tc>
          <w:tcPr>
            <w:tcW w:w="532" w:type="pct"/>
            <w:vMerge w:val="restart"/>
            <w:shd w:val="clear" w:color="auto" w:fill="C0C0C0"/>
            <w:vAlign w:val="center"/>
          </w:tcPr>
          <w:p w:rsidR="00CB0DD7" w:rsidRPr="000A0A5F" w:rsidRDefault="00CB0DD7">
            <w:pPr>
              <w:pStyle w:val="TAH"/>
            </w:pPr>
            <w:r w:rsidRPr="000A0A5F">
              <w:t>Response body</w:t>
            </w:r>
          </w:p>
        </w:tc>
        <w:tc>
          <w:tcPr>
            <w:tcW w:w="1093" w:type="pct"/>
            <w:shd w:val="clear" w:color="auto" w:fill="C0C0C0"/>
          </w:tcPr>
          <w:p w:rsidR="00CB0DD7" w:rsidRPr="000A0A5F" w:rsidRDefault="00CB0DD7">
            <w:pPr>
              <w:pStyle w:val="TAH"/>
            </w:pPr>
          </w:p>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p>
          <w:p w:rsidR="00CB0DD7" w:rsidRPr="000A0A5F" w:rsidRDefault="00CB0DD7">
            <w:pPr>
              <w:pStyle w:val="TAH"/>
            </w:pPr>
            <w:r w:rsidRPr="000A0A5F">
              <w:t>Cardinality</w:t>
            </w:r>
          </w:p>
        </w:tc>
        <w:tc>
          <w:tcPr>
            <w:tcW w:w="500" w:type="pct"/>
            <w:shd w:val="clear" w:color="auto" w:fill="C0C0C0"/>
          </w:tcPr>
          <w:p w:rsidR="00CB0DD7" w:rsidRPr="000A0A5F" w:rsidRDefault="00CB0DD7">
            <w:pPr>
              <w:pStyle w:val="TAH"/>
            </w:pPr>
            <w:r w:rsidRPr="000A0A5F">
              <w:t>Response</w:t>
            </w:r>
          </w:p>
          <w:p w:rsidR="00CB0DD7" w:rsidRPr="000A0A5F" w:rsidRDefault="00CB0DD7">
            <w:pPr>
              <w:pStyle w:val="TAH"/>
            </w:pPr>
            <w:r w:rsidRPr="000A0A5F">
              <w:t>codes</w:t>
            </w:r>
          </w:p>
        </w:tc>
        <w:tc>
          <w:tcPr>
            <w:tcW w:w="2334" w:type="pct"/>
            <w:shd w:val="clear" w:color="auto" w:fill="C0C0C0"/>
          </w:tcPr>
          <w:p w:rsidR="00CB0DD7" w:rsidRPr="000A0A5F" w:rsidRDefault="00CB0DD7">
            <w:pPr>
              <w:pStyle w:val="TAH"/>
            </w:pPr>
          </w:p>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t>CpInfo</w:t>
            </w:r>
          </w:p>
        </w:tc>
        <w:tc>
          <w:tcPr>
            <w:tcW w:w="541" w:type="pct"/>
          </w:tcPr>
          <w:p w:rsidR="00CB0DD7" w:rsidRPr="000A0A5F" w:rsidRDefault="00CB0DD7">
            <w:pPr>
              <w:pStyle w:val="TAL"/>
              <w:rPr>
                <w:rFonts w:hint="eastAsia"/>
                <w:lang w:eastAsia="zh-CN"/>
              </w:rPr>
            </w:pPr>
            <w:r w:rsidRPr="000A0A5F">
              <w:rPr>
                <w:rFonts w:hint="eastAsia"/>
                <w:lang w:eastAsia="zh-CN"/>
              </w:rPr>
              <w:t>1</w:t>
            </w:r>
          </w:p>
        </w:tc>
        <w:tc>
          <w:tcPr>
            <w:tcW w:w="500" w:type="pct"/>
          </w:tcPr>
          <w:p w:rsidR="00CB0DD7" w:rsidRPr="000A0A5F" w:rsidRDefault="00CB0DD7">
            <w:pPr>
              <w:pStyle w:val="TAL"/>
              <w:rPr>
                <w:rFonts w:hint="eastAsia"/>
                <w:lang w:eastAsia="zh-CN"/>
              </w:rPr>
            </w:pPr>
            <w:r w:rsidRPr="000A0A5F">
              <w:t>20</w:t>
            </w:r>
            <w:r w:rsidRPr="000A0A5F">
              <w:rPr>
                <w:rFonts w:hint="eastAsia"/>
                <w:lang w:eastAsia="zh-CN"/>
              </w:rPr>
              <w:t>0 OK</w:t>
            </w:r>
          </w:p>
        </w:tc>
        <w:tc>
          <w:tcPr>
            <w:tcW w:w="2334" w:type="pct"/>
          </w:tcPr>
          <w:p w:rsidR="00CB0DD7" w:rsidRPr="000A0A5F" w:rsidRDefault="00CB0DD7">
            <w:pPr>
              <w:pStyle w:val="TAL"/>
              <w:spacing w:afterLines="50" w:after="120"/>
            </w:pPr>
            <w:r w:rsidRPr="000A0A5F">
              <w:t xml:space="preserve">The </w:t>
            </w:r>
            <w:r w:rsidRPr="000A0A5F">
              <w:rPr>
                <w:rFonts w:hint="eastAsia"/>
                <w:lang w:eastAsia="zh-CN"/>
              </w:rPr>
              <w:t>subscription</w:t>
            </w:r>
            <w:r w:rsidRPr="000A0A5F">
              <w:t xml:space="preserve"> was </w:t>
            </w:r>
            <w:r w:rsidRPr="000A0A5F">
              <w:rPr>
                <w:rFonts w:hint="eastAsia"/>
                <w:lang w:eastAsia="zh-CN"/>
              </w:rPr>
              <w:t>modified</w:t>
            </w:r>
            <w:r w:rsidRPr="000A0A5F">
              <w:t xml:space="preserve"> successfully. </w:t>
            </w:r>
          </w:p>
          <w:p w:rsidR="00CB0DD7" w:rsidRPr="000A0A5F" w:rsidRDefault="0089739F">
            <w:pPr>
              <w:pStyle w:val="TAL"/>
              <w:rPr>
                <w:rFonts w:hint="eastAsia"/>
                <w:lang w:eastAsia="zh-CN"/>
              </w:rPr>
            </w:pPr>
            <w:r w:rsidRPr="000A0A5F">
              <w:t xml:space="preserve">The SCEF </w:t>
            </w:r>
            <w:r w:rsidRPr="000A0A5F">
              <w:rPr>
                <w:rFonts w:hint="eastAsia"/>
                <w:lang w:eastAsia="zh-CN"/>
              </w:rPr>
              <w:t>shall</w:t>
            </w:r>
            <w:r w:rsidRPr="000A0A5F">
              <w:t xml:space="preserve"> return an updated subscription in the response content. CpReport may be included to provide detailed failure information for some CP sets.</w:t>
            </w:r>
          </w:p>
        </w:tc>
      </w:tr>
      <w:tr w:rsidR="004A2E07" w:rsidRPr="000A0A5F" w:rsidTr="00FF0AF8">
        <w:tc>
          <w:tcPr>
            <w:tcW w:w="532" w:type="pct"/>
            <w:vMerge/>
            <w:shd w:val="clear" w:color="auto" w:fill="BFBFBF"/>
            <w:vAlign w:val="center"/>
          </w:tcPr>
          <w:p w:rsidR="004A2E07" w:rsidRPr="000A0A5F" w:rsidRDefault="004A2E07" w:rsidP="004A2E07">
            <w:pPr>
              <w:pStyle w:val="TAL"/>
              <w:jc w:val="center"/>
            </w:pPr>
          </w:p>
        </w:tc>
        <w:tc>
          <w:tcPr>
            <w:tcW w:w="1093" w:type="pct"/>
            <w:shd w:val="clear" w:color="auto" w:fill="auto"/>
          </w:tcPr>
          <w:p w:rsidR="004A2E07" w:rsidRPr="000A0A5F" w:rsidRDefault="004A2E07" w:rsidP="004A2E07">
            <w:pPr>
              <w:pStyle w:val="TAL"/>
            </w:pPr>
            <w:r w:rsidRPr="000A0A5F">
              <w:t>none</w:t>
            </w:r>
          </w:p>
        </w:tc>
        <w:tc>
          <w:tcPr>
            <w:tcW w:w="541" w:type="pct"/>
          </w:tcPr>
          <w:p w:rsidR="004A2E07" w:rsidRPr="000A0A5F" w:rsidRDefault="004A2E07" w:rsidP="004A2E07">
            <w:pPr>
              <w:pStyle w:val="TAL"/>
              <w:rPr>
                <w:rFonts w:hint="eastAsia"/>
                <w:lang w:eastAsia="zh-CN"/>
              </w:rPr>
            </w:pPr>
          </w:p>
        </w:tc>
        <w:tc>
          <w:tcPr>
            <w:tcW w:w="500" w:type="pct"/>
          </w:tcPr>
          <w:p w:rsidR="004A2E07" w:rsidRPr="000A0A5F" w:rsidRDefault="004A2E07" w:rsidP="004A2E07">
            <w:pPr>
              <w:pStyle w:val="TAL"/>
            </w:pPr>
            <w:r w:rsidRPr="000A0A5F">
              <w:rPr>
                <w:rFonts w:hint="eastAsia"/>
                <w:lang w:eastAsia="zh-CN"/>
              </w:rPr>
              <w:t>2</w:t>
            </w:r>
            <w:r w:rsidRPr="000A0A5F">
              <w:rPr>
                <w:lang w:eastAsia="zh-CN"/>
              </w:rPr>
              <w:t>04 No Content</w:t>
            </w:r>
          </w:p>
        </w:tc>
        <w:tc>
          <w:tcPr>
            <w:tcW w:w="2334" w:type="pct"/>
          </w:tcPr>
          <w:p w:rsidR="004A2E07" w:rsidRPr="000A0A5F" w:rsidRDefault="004A2E07" w:rsidP="004A2E07">
            <w:pPr>
              <w:pStyle w:val="TAL"/>
              <w:spacing w:afterLines="50" w:after="120"/>
            </w:pPr>
            <w:r w:rsidRPr="000A0A5F">
              <w:t>The subscription was modified successfully and no content is to be sent in the response message body.</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rPr>
                <w:lang w:eastAsia="zh-CN"/>
              </w:rPr>
              <w:t>array(CpReport)</w:t>
            </w:r>
          </w:p>
        </w:tc>
        <w:tc>
          <w:tcPr>
            <w:tcW w:w="541" w:type="pct"/>
          </w:tcPr>
          <w:p w:rsidR="00CB0DD7" w:rsidRPr="000A0A5F" w:rsidRDefault="00CB0DD7">
            <w:pPr>
              <w:pStyle w:val="TAL"/>
              <w:rPr>
                <w:rFonts w:hint="eastAsia"/>
                <w:lang w:eastAsia="zh-CN"/>
              </w:rPr>
            </w:pPr>
            <w:r w:rsidRPr="000A0A5F">
              <w:t>1..N</w:t>
            </w:r>
          </w:p>
        </w:tc>
        <w:tc>
          <w:tcPr>
            <w:tcW w:w="500" w:type="pct"/>
          </w:tcPr>
          <w:p w:rsidR="00CB0DD7" w:rsidRPr="000A0A5F" w:rsidRDefault="00CB0DD7">
            <w:pPr>
              <w:pStyle w:val="TAL"/>
            </w:pPr>
            <w:r w:rsidRPr="000A0A5F">
              <w:t>500 Internal Server Error</w:t>
            </w:r>
          </w:p>
        </w:tc>
        <w:tc>
          <w:tcPr>
            <w:tcW w:w="2334" w:type="pct"/>
          </w:tcPr>
          <w:p w:rsidR="00CB0DD7" w:rsidRPr="000A0A5F" w:rsidRDefault="00CB0DD7">
            <w:pPr>
              <w:pStyle w:val="TAL"/>
              <w:spacing w:afterLines="50" w:after="120"/>
            </w:pPr>
            <w:r w:rsidRPr="000A0A5F">
              <w:t>The CP parameters for all CP sets were not created successfully. CpReport is included with detailed information.</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lang w:eastAsia="zh-CN"/>
              </w:rPr>
            </w:pPr>
            <w:r w:rsidRPr="000A0A5F">
              <w:t>none</w:t>
            </w:r>
          </w:p>
        </w:tc>
        <w:tc>
          <w:tcPr>
            <w:tcW w:w="541" w:type="pct"/>
          </w:tcPr>
          <w:p w:rsidR="00CB0DD7" w:rsidRPr="000A0A5F" w:rsidRDefault="00CB0DD7">
            <w:pPr>
              <w:pStyle w:val="TAL"/>
            </w:pPr>
          </w:p>
        </w:tc>
        <w:tc>
          <w:tcPr>
            <w:tcW w:w="500" w:type="pct"/>
          </w:tcPr>
          <w:p w:rsidR="00CB0DD7" w:rsidRPr="000A0A5F" w:rsidRDefault="00CB0DD7">
            <w:pPr>
              <w:pStyle w:val="TAL"/>
            </w:pPr>
            <w:r w:rsidRPr="000A0A5F">
              <w:t>307 Temporary Redirect</w:t>
            </w:r>
          </w:p>
        </w:tc>
        <w:tc>
          <w:tcPr>
            <w:tcW w:w="2334" w:type="pct"/>
          </w:tcPr>
          <w:p w:rsidR="00CB0DD7" w:rsidRPr="000A0A5F" w:rsidRDefault="00CB0DD7">
            <w:pPr>
              <w:pStyle w:val="TAL"/>
            </w:pPr>
            <w:r w:rsidRPr="000A0A5F">
              <w:t>Temporary redirection, during subscription modification. The response shall include a Location header field containing an alternative URI of the resource located in an alternative SCEF.</w:t>
            </w:r>
          </w:p>
          <w:p w:rsidR="00CB0DD7" w:rsidRPr="000A0A5F" w:rsidRDefault="00CB0DD7">
            <w:pPr>
              <w:pStyle w:val="TAL"/>
              <w:spacing w:afterLines="50" w:after="120"/>
            </w:pPr>
            <w:r w:rsidRPr="000A0A5F">
              <w:t>Redirection handling is described in clause 5.2.10.</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lang w:eastAsia="zh-CN"/>
              </w:rPr>
            </w:pPr>
            <w:r w:rsidRPr="000A0A5F">
              <w:t>none</w:t>
            </w:r>
          </w:p>
        </w:tc>
        <w:tc>
          <w:tcPr>
            <w:tcW w:w="541" w:type="pct"/>
          </w:tcPr>
          <w:p w:rsidR="00CB0DD7" w:rsidRPr="000A0A5F" w:rsidRDefault="00CB0DD7">
            <w:pPr>
              <w:pStyle w:val="TAL"/>
            </w:pPr>
          </w:p>
        </w:tc>
        <w:tc>
          <w:tcPr>
            <w:tcW w:w="500" w:type="pct"/>
          </w:tcPr>
          <w:p w:rsidR="00CB0DD7" w:rsidRPr="000A0A5F" w:rsidRDefault="00CB0DD7">
            <w:pPr>
              <w:pStyle w:val="TAL"/>
            </w:pPr>
            <w:r w:rsidRPr="000A0A5F">
              <w:t>308 Permanent Redirect</w:t>
            </w:r>
          </w:p>
        </w:tc>
        <w:tc>
          <w:tcPr>
            <w:tcW w:w="2334" w:type="pct"/>
          </w:tcPr>
          <w:p w:rsidR="00CB0DD7" w:rsidRPr="000A0A5F" w:rsidRDefault="00CB0DD7">
            <w:pPr>
              <w:pStyle w:val="TAL"/>
            </w:pPr>
            <w:r w:rsidRPr="000A0A5F">
              <w:t>Permanent redirection, during subscription modification. The response shall include a Location header field containing an alternative URI of the resource located in an alternative SCEF.</w:t>
            </w:r>
          </w:p>
          <w:p w:rsidR="00CB0DD7" w:rsidRPr="000A0A5F" w:rsidRDefault="00CB0DD7">
            <w:pPr>
              <w:pStyle w:val="TAL"/>
              <w:spacing w:afterLines="50" w:after="120"/>
            </w:pPr>
            <w:r w:rsidRPr="000A0A5F">
              <w:t>Redirection handling is described in clause 5.2.10.</w:t>
            </w:r>
          </w:p>
        </w:tc>
      </w:tr>
      <w:tr w:rsidR="00CB0DD7" w:rsidRPr="000A0A5F" w:rsidTr="00FF0AF8">
        <w:tc>
          <w:tcPr>
            <w:tcW w:w="5000" w:type="pct"/>
            <w:gridSpan w:val="5"/>
            <w:shd w:val="clear" w:color="auto" w:fill="auto"/>
            <w:vAlign w:val="center"/>
          </w:tcPr>
          <w:p w:rsidR="00CB0DD7" w:rsidRPr="000A0A5F" w:rsidRDefault="00CB0DD7">
            <w:pPr>
              <w:pStyle w:val="TAN"/>
              <w:rPr>
                <w:rFonts w:hint="eastAsia"/>
                <w:lang w:eastAsia="zh-CN"/>
              </w:rPr>
            </w:pPr>
            <w:r w:rsidRPr="000A0A5F">
              <w:t>NOTE:</w:t>
            </w:r>
            <w:r w:rsidRPr="000A0A5F">
              <w:tab/>
              <w:t>The mandatory HTTP error status codes for the PUT method listed in table 5.2.6-1 also apply.</w:t>
            </w:r>
          </w:p>
        </w:tc>
      </w:tr>
    </w:tbl>
    <w:p w:rsidR="00CB0DD7" w:rsidRPr="000A0A5F" w:rsidRDefault="00CB0DD7"/>
    <w:p w:rsidR="00CB0DD7" w:rsidRPr="000A0A5F" w:rsidRDefault="002E466A">
      <w:pPr>
        <w:pStyle w:val="TH"/>
      </w:pPr>
      <w:r w:rsidRPr="000A0A5F">
        <w:t>Table </w:t>
      </w:r>
      <w:r w:rsidR="00CB0DD7" w:rsidRPr="000A0A5F">
        <w:t>5.10.3.3.3.2-2: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2E466A">
      <w:pPr>
        <w:pStyle w:val="TH"/>
      </w:pPr>
      <w:r w:rsidRPr="000A0A5F">
        <w:t>Table </w:t>
      </w:r>
      <w:r w:rsidR="00CB0DD7" w:rsidRPr="000A0A5F">
        <w:t>5.10.3.3.3.2-3: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CB0DD7">
      <w:pPr>
        <w:pStyle w:val="Heading6"/>
      </w:pPr>
      <w:bookmarkStart w:id="7558" w:name="_Toc11247752"/>
      <w:bookmarkStart w:id="7559" w:name="_Toc27044895"/>
      <w:bookmarkStart w:id="7560" w:name="_Toc36033937"/>
      <w:bookmarkStart w:id="7561" w:name="_Toc45132083"/>
      <w:bookmarkStart w:id="7562" w:name="_Toc49776368"/>
      <w:bookmarkStart w:id="7563" w:name="_Toc51747288"/>
      <w:bookmarkStart w:id="7564" w:name="_Toc66360861"/>
      <w:bookmarkStart w:id="7565" w:name="_Toc68105366"/>
      <w:bookmarkStart w:id="7566" w:name="_Toc74755996"/>
      <w:bookmarkStart w:id="7567" w:name="_Toc105674872"/>
      <w:bookmarkStart w:id="7568" w:name="_Toc130502932"/>
      <w:bookmarkStart w:id="7569" w:name="_Toc153625720"/>
      <w:r w:rsidRPr="000A0A5F">
        <w:t>5.10.3.3.3.3</w:t>
      </w:r>
      <w:r w:rsidRPr="000A0A5F">
        <w:tab/>
        <w:t>PATCH</w:t>
      </w:r>
      <w:bookmarkEnd w:id="7558"/>
      <w:bookmarkEnd w:id="7559"/>
      <w:bookmarkEnd w:id="7560"/>
      <w:bookmarkEnd w:id="7561"/>
      <w:bookmarkEnd w:id="7562"/>
      <w:bookmarkEnd w:id="7563"/>
      <w:bookmarkEnd w:id="7564"/>
      <w:bookmarkEnd w:id="7565"/>
      <w:bookmarkEnd w:id="7566"/>
      <w:bookmarkEnd w:id="7567"/>
      <w:bookmarkEnd w:id="7568"/>
      <w:bookmarkEnd w:id="7569"/>
    </w:p>
    <w:p w:rsidR="00CB0DD7" w:rsidRPr="000A0A5F" w:rsidRDefault="00CB0DD7">
      <w:pPr>
        <w:rPr>
          <w:rFonts w:hint="eastAsia"/>
          <w:lang w:eastAsia="zh-CN"/>
        </w:rPr>
      </w:pPr>
      <w:r w:rsidRPr="000A0A5F">
        <w:rPr>
          <w:rFonts w:hint="eastAsia"/>
          <w:lang w:eastAsia="zh-CN"/>
        </w:rPr>
        <w:t xml:space="preserve">This </w:t>
      </w:r>
      <w:r w:rsidRPr="000A0A5F">
        <w:rPr>
          <w:lang w:eastAsia="zh-CN"/>
        </w:rPr>
        <w:t>HTTP method is not supported for the resource.</w:t>
      </w:r>
    </w:p>
    <w:p w:rsidR="00CB0DD7" w:rsidRPr="000A0A5F" w:rsidRDefault="00CB0DD7">
      <w:pPr>
        <w:pStyle w:val="Heading6"/>
      </w:pPr>
      <w:bookmarkStart w:id="7570" w:name="_Toc11247753"/>
      <w:bookmarkStart w:id="7571" w:name="_Toc27044896"/>
      <w:bookmarkStart w:id="7572" w:name="_Toc36033938"/>
      <w:bookmarkStart w:id="7573" w:name="_Toc45132084"/>
      <w:bookmarkStart w:id="7574" w:name="_Toc49776369"/>
      <w:bookmarkStart w:id="7575" w:name="_Toc51747289"/>
      <w:bookmarkStart w:id="7576" w:name="_Toc66360862"/>
      <w:bookmarkStart w:id="7577" w:name="_Toc68105367"/>
      <w:bookmarkStart w:id="7578" w:name="_Toc74755997"/>
      <w:bookmarkStart w:id="7579" w:name="_Toc105674873"/>
      <w:bookmarkStart w:id="7580" w:name="_Toc130502933"/>
      <w:bookmarkStart w:id="7581" w:name="_Toc153625721"/>
      <w:r w:rsidRPr="000A0A5F">
        <w:t>5.10.3.3.3.4</w:t>
      </w:r>
      <w:r w:rsidRPr="000A0A5F">
        <w:tab/>
        <w:t>POST</w:t>
      </w:r>
      <w:bookmarkEnd w:id="7570"/>
      <w:bookmarkEnd w:id="7571"/>
      <w:bookmarkEnd w:id="7572"/>
      <w:bookmarkEnd w:id="7573"/>
      <w:bookmarkEnd w:id="7574"/>
      <w:bookmarkEnd w:id="7575"/>
      <w:bookmarkEnd w:id="7576"/>
      <w:bookmarkEnd w:id="7577"/>
      <w:bookmarkEnd w:id="7578"/>
      <w:bookmarkEnd w:id="7579"/>
      <w:bookmarkEnd w:id="7580"/>
      <w:bookmarkEnd w:id="7581"/>
    </w:p>
    <w:p w:rsidR="00CB0DD7" w:rsidRPr="000A0A5F" w:rsidRDefault="00CB0DD7">
      <w:pPr>
        <w:rPr>
          <w:lang w:eastAsia="zh-CN"/>
        </w:rPr>
      </w:pPr>
      <w:r w:rsidRPr="000A0A5F">
        <w:rPr>
          <w:rFonts w:hint="eastAsia"/>
          <w:lang w:eastAsia="zh-CN"/>
        </w:rPr>
        <w:t xml:space="preserve">This </w:t>
      </w:r>
      <w:r w:rsidRPr="000A0A5F">
        <w:rPr>
          <w:lang w:eastAsia="zh-CN"/>
        </w:rPr>
        <w:t>HTTP method is not supported for the resource.</w:t>
      </w:r>
    </w:p>
    <w:p w:rsidR="00CB0DD7" w:rsidRPr="000A0A5F" w:rsidRDefault="00CB0DD7">
      <w:pPr>
        <w:pStyle w:val="Heading6"/>
      </w:pPr>
      <w:bookmarkStart w:id="7582" w:name="_Toc11247754"/>
      <w:bookmarkStart w:id="7583" w:name="_Toc27044897"/>
      <w:bookmarkStart w:id="7584" w:name="_Toc36033939"/>
      <w:bookmarkStart w:id="7585" w:name="_Toc45132085"/>
      <w:bookmarkStart w:id="7586" w:name="_Toc49776370"/>
      <w:bookmarkStart w:id="7587" w:name="_Toc51747290"/>
      <w:bookmarkStart w:id="7588" w:name="_Toc66360863"/>
      <w:bookmarkStart w:id="7589" w:name="_Toc68105368"/>
      <w:bookmarkStart w:id="7590" w:name="_Toc74755998"/>
      <w:bookmarkStart w:id="7591" w:name="_Toc105674874"/>
      <w:bookmarkStart w:id="7592" w:name="_Toc130502934"/>
      <w:bookmarkStart w:id="7593" w:name="_Toc153625722"/>
      <w:r w:rsidRPr="000A0A5F">
        <w:t>5.10.3.3.3.5</w:t>
      </w:r>
      <w:r w:rsidRPr="000A0A5F">
        <w:tab/>
        <w:t>DELETE</w:t>
      </w:r>
      <w:bookmarkEnd w:id="7582"/>
      <w:bookmarkEnd w:id="7583"/>
      <w:bookmarkEnd w:id="7584"/>
      <w:bookmarkEnd w:id="7585"/>
      <w:bookmarkEnd w:id="7586"/>
      <w:bookmarkEnd w:id="7587"/>
      <w:bookmarkEnd w:id="7588"/>
      <w:bookmarkEnd w:id="7589"/>
      <w:bookmarkEnd w:id="7590"/>
      <w:bookmarkEnd w:id="7591"/>
      <w:bookmarkEnd w:id="7592"/>
      <w:bookmarkEnd w:id="7593"/>
    </w:p>
    <w:p w:rsidR="00CB0DD7" w:rsidRPr="000A0A5F" w:rsidRDefault="00CB0DD7">
      <w:pPr>
        <w:rPr>
          <w:noProof/>
          <w:lang w:eastAsia="zh-CN"/>
        </w:rPr>
      </w:pPr>
      <w:r w:rsidRPr="000A0A5F">
        <w:rPr>
          <w:noProof/>
          <w:lang w:eastAsia="zh-CN"/>
        </w:rPr>
        <w:t xml:space="preserve">The DELETE method allows to remove an active subscription. The SCS/AS shall initiate the HTTP DELETE request message and the SCEF shall respond to the message. </w:t>
      </w:r>
    </w:p>
    <w:p w:rsidR="00CB0DD7" w:rsidRPr="000A0A5F" w:rsidRDefault="00CB0DD7">
      <w:r w:rsidRPr="000A0A5F">
        <w:t>This method shall support request and response data structures, and response codes, as specified in the table 5.10.3.3.3.5-1.</w:t>
      </w:r>
    </w:p>
    <w:p w:rsidR="00CB0DD7" w:rsidRPr="000A0A5F" w:rsidRDefault="00CB0DD7">
      <w:pPr>
        <w:pStyle w:val="TH"/>
      </w:pPr>
      <w:r w:rsidRPr="000A0A5F">
        <w:t>Table 5.10.3.3.3.5</w:t>
      </w:r>
      <w:r w:rsidRPr="000A0A5F">
        <w:rPr>
          <w:rFonts w:hint="eastAsia"/>
          <w:lang w:eastAsia="zh-CN"/>
        </w:rPr>
        <w:t>-1.</w:t>
      </w:r>
      <w:r w:rsidRPr="000A0A5F">
        <w:t xml:space="preserve">: Data structures supported by the </w:t>
      </w:r>
      <w:r w:rsidRPr="000A0A5F">
        <w:rPr>
          <w:rFonts w:hint="eastAsia"/>
          <w:lang w:eastAsia="zh-CN"/>
        </w:rPr>
        <w:t>DELETE</w:t>
      </w:r>
      <w:r w:rsidRPr="000A0A5F">
        <w:t xml:space="preserve"> request/response by the resource</w:t>
      </w:r>
    </w:p>
    <w:tbl>
      <w:tblPr>
        <w:tblW w:w="4999" w:type="pct"/>
        <w:tblInd w:w="1" w:type="dxa"/>
        <w:tblBorders>
          <w:top w:val="single" w:sz="6" w:space="0" w:color="000000"/>
          <w:left w:val="single" w:sz="6" w:space="0" w:color="000000"/>
          <w:bottom w:val="single" w:sz="6" w:space="0" w:color="000000"/>
          <w:right w:val="single" w:sz="6" w:space="0" w:color="000000"/>
          <w:insideH w:val="single" w:sz="6" w:space="0" w:color="auto"/>
          <w:insideV w:val="single" w:sz="6" w:space="0" w:color="000000"/>
        </w:tblBorders>
        <w:tblLayout w:type="fixed"/>
        <w:tblCellMar>
          <w:top w:w="45" w:type="dxa"/>
          <w:left w:w="45" w:type="dxa"/>
          <w:bottom w:w="45" w:type="dxa"/>
          <w:right w:w="45" w:type="dxa"/>
        </w:tblCellMar>
        <w:tblLook w:val="0000" w:firstRow="0" w:lastRow="0" w:firstColumn="0" w:lastColumn="0" w:noHBand="0" w:noVBand="0"/>
      </w:tblPr>
      <w:tblGrid>
        <w:gridCol w:w="1035"/>
        <w:gridCol w:w="2127"/>
        <w:gridCol w:w="1053"/>
        <w:gridCol w:w="973"/>
        <w:gridCol w:w="4541"/>
      </w:tblGrid>
      <w:tr w:rsidR="00CB0DD7" w:rsidRPr="000A0A5F" w:rsidTr="004C6435">
        <w:tc>
          <w:tcPr>
            <w:tcW w:w="532" w:type="pct"/>
            <w:vMerge w:val="restart"/>
            <w:shd w:val="clear" w:color="auto" w:fill="C0C0C0"/>
            <w:vAlign w:val="center"/>
          </w:tcPr>
          <w:p w:rsidR="00CB0DD7" w:rsidRPr="000A0A5F" w:rsidRDefault="00CB0DD7">
            <w:pPr>
              <w:pStyle w:val="TAH"/>
            </w:pPr>
            <w:r w:rsidRPr="000A0A5F">
              <w:t>Request body</w:t>
            </w:r>
          </w:p>
        </w:tc>
        <w:tc>
          <w:tcPr>
            <w:tcW w:w="1093" w:type="pct"/>
            <w:shd w:val="clear" w:color="auto" w:fill="C0C0C0"/>
          </w:tcPr>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r w:rsidRPr="000A0A5F">
              <w:t>Cardinality</w:t>
            </w:r>
          </w:p>
        </w:tc>
        <w:tc>
          <w:tcPr>
            <w:tcW w:w="2834" w:type="pct"/>
            <w:gridSpan w:val="2"/>
            <w:shd w:val="clear" w:color="auto" w:fill="C0C0C0"/>
          </w:tcPr>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rPr>
                <w:rFonts w:hint="eastAsia"/>
                <w:lang w:eastAsia="zh-CN"/>
              </w:rPr>
              <w:t>none</w:t>
            </w:r>
          </w:p>
        </w:tc>
        <w:tc>
          <w:tcPr>
            <w:tcW w:w="541" w:type="pct"/>
          </w:tcPr>
          <w:p w:rsidR="00CB0DD7" w:rsidRPr="000A0A5F" w:rsidRDefault="00CB0DD7">
            <w:pPr>
              <w:pStyle w:val="TAL"/>
              <w:rPr>
                <w:rFonts w:hint="eastAsia"/>
                <w:lang w:eastAsia="zh-CN"/>
              </w:rPr>
            </w:pPr>
          </w:p>
        </w:tc>
        <w:tc>
          <w:tcPr>
            <w:tcW w:w="2834" w:type="pct"/>
            <w:gridSpan w:val="2"/>
          </w:tcPr>
          <w:p w:rsidR="00CB0DD7" w:rsidRPr="000A0A5F" w:rsidRDefault="00CB0DD7">
            <w:pPr>
              <w:pStyle w:val="TAL"/>
              <w:rPr>
                <w:rFonts w:hint="eastAsia"/>
                <w:lang w:eastAsia="zh-CN"/>
              </w:rPr>
            </w:pPr>
          </w:p>
        </w:tc>
      </w:tr>
      <w:tr w:rsidR="00CB0DD7" w:rsidRPr="000A0A5F" w:rsidTr="004C6435">
        <w:tc>
          <w:tcPr>
            <w:tcW w:w="532" w:type="pct"/>
            <w:vMerge w:val="restart"/>
            <w:shd w:val="clear" w:color="auto" w:fill="C0C0C0"/>
            <w:vAlign w:val="center"/>
          </w:tcPr>
          <w:p w:rsidR="00CB0DD7" w:rsidRPr="000A0A5F" w:rsidRDefault="00CB0DD7">
            <w:pPr>
              <w:pStyle w:val="TAH"/>
            </w:pPr>
            <w:r w:rsidRPr="000A0A5F">
              <w:t>Response body</w:t>
            </w:r>
          </w:p>
        </w:tc>
        <w:tc>
          <w:tcPr>
            <w:tcW w:w="1093" w:type="pct"/>
            <w:shd w:val="clear" w:color="auto" w:fill="C0C0C0"/>
          </w:tcPr>
          <w:p w:rsidR="00CB0DD7" w:rsidRPr="000A0A5F" w:rsidRDefault="00CB0DD7">
            <w:pPr>
              <w:pStyle w:val="TAH"/>
            </w:pPr>
          </w:p>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p>
          <w:p w:rsidR="00CB0DD7" w:rsidRPr="000A0A5F" w:rsidRDefault="00CB0DD7">
            <w:pPr>
              <w:pStyle w:val="TAH"/>
            </w:pPr>
            <w:r w:rsidRPr="000A0A5F">
              <w:t>Cardinality</w:t>
            </w:r>
          </w:p>
        </w:tc>
        <w:tc>
          <w:tcPr>
            <w:tcW w:w="500" w:type="pct"/>
            <w:shd w:val="clear" w:color="auto" w:fill="C0C0C0"/>
          </w:tcPr>
          <w:p w:rsidR="00CB0DD7" w:rsidRPr="000A0A5F" w:rsidRDefault="00CB0DD7">
            <w:pPr>
              <w:pStyle w:val="TAH"/>
            </w:pPr>
            <w:r w:rsidRPr="000A0A5F">
              <w:t>Response</w:t>
            </w:r>
          </w:p>
          <w:p w:rsidR="00CB0DD7" w:rsidRPr="000A0A5F" w:rsidRDefault="00CB0DD7">
            <w:pPr>
              <w:pStyle w:val="TAH"/>
            </w:pPr>
            <w:r w:rsidRPr="000A0A5F">
              <w:t>codes</w:t>
            </w:r>
          </w:p>
        </w:tc>
        <w:tc>
          <w:tcPr>
            <w:tcW w:w="2334" w:type="pct"/>
            <w:shd w:val="clear" w:color="auto" w:fill="C0C0C0"/>
          </w:tcPr>
          <w:p w:rsidR="00CB0DD7" w:rsidRPr="000A0A5F" w:rsidRDefault="00CB0DD7">
            <w:pPr>
              <w:pStyle w:val="TAH"/>
            </w:pPr>
          </w:p>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rPr>
                <w:rFonts w:hint="eastAsia"/>
                <w:lang w:eastAsia="zh-CN"/>
              </w:rPr>
              <w:t>none</w:t>
            </w:r>
          </w:p>
        </w:tc>
        <w:tc>
          <w:tcPr>
            <w:tcW w:w="541" w:type="pct"/>
          </w:tcPr>
          <w:p w:rsidR="00CB0DD7" w:rsidRPr="000A0A5F" w:rsidRDefault="00CB0DD7">
            <w:pPr>
              <w:pStyle w:val="TAL"/>
              <w:rPr>
                <w:rFonts w:hint="eastAsia"/>
                <w:lang w:eastAsia="zh-CN"/>
              </w:rPr>
            </w:pPr>
          </w:p>
        </w:tc>
        <w:tc>
          <w:tcPr>
            <w:tcW w:w="500" w:type="pct"/>
          </w:tcPr>
          <w:p w:rsidR="00CB0DD7" w:rsidRPr="000A0A5F" w:rsidRDefault="00CB0DD7">
            <w:pPr>
              <w:pStyle w:val="TAL"/>
              <w:rPr>
                <w:rFonts w:hint="eastAsia"/>
                <w:lang w:eastAsia="zh-CN"/>
              </w:rPr>
            </w:pPr>
            <w:r w:rsidRPr="000A0A5F">
              <w:rPr>
                <w:rFonts w:hint="eastAsia"/>
                <w:lang w:eastAsia="zh-CN"/>
              </w:rPr>
              <w:t>204 No Content</w:t>
            </w:r>
          </w:p>
        </w:tc>
        <w:tc>
          <w:tcPr>
            <w:tcW w:w="2334" w:type="pct"/>
          </w:tcPr>
          <w:p w:rsidR="00CB0DD7" w:rsidRPr="000A0A5F" w:rsidRDefault="0089739F">
            <w:pPr>
              <w:pStyle w:val="TAL"/>
            </w:pPr>
            <w:r w:rsidRPr="000A0A5F">
              <w:t xml:space="preserve">The </w:t>
            </w:r>
            <w:r w:rsidRPr="000A0A5F">
              <w:rPr>
                <w:lang w:eastAsia="zh-CN"/>
              </w:rPr>
              <w:t>subscription</w:t>
            </w:r>
            <w:r w:rsidRPr="000A0A5F">
              <w:t xml:space="preserve"> was </w:t>
            </w:r>
            <w:r w:rsidRPr="000A0A5F">
              <w:rPr>
                <w:lang w:eastAsia="zh-CN"/>
              </w:rPr>
              <w:t>deleted</w:t>
            </w:r>
            <w:r w:rsidRPr="000A0A5F">
              <w:t xml:space="preserve"> successfully.</w:t>
            </w:r>
            <w:r w:rsidRPr="000A0A5F">
              <w:rPr>
                <w:rFonts w:hint="eastAsia"/>
                <w:lang w:eastAsia="zh-CN"/>
              </w:rPr>
              <w:t xml:space="preserve"> </w:t>
            </w:r>
            <w:r w:rsidRPr="000A0A5F">
              <w:t>The content shall be empty.</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t>none</w:t>
            </w:r>
          </w:p>
        </w:tc>
        <w:tc>
          <w:tcPr>
            <w:tcW w:w="541" w:type="pct"/>
          </w:tcPr>
          <w:p w:rsidR="00CB0DD7" w:rsidRPr="000A0A5F" w:rsidRDefault="00CB0DD7">
            <w:pPr>
              <w:pStyle w:val="TAL"/>
              <w:rPr>
                <w:rFonts w:hint="eastAsia"/>
                <w:lang w:eastAsia="zh-CN"/>
              </w:rPr>
            </w:pPr>
          </w:p>
        </w:tc>
        <w:tc>
          <w:tcPr>
            <w:tcW w:w="500" w:type="pct"/>
          </w:tcPr>
          <w:p w:rsidR="00CB0DD7" w:rsidRPr="000A0A5F" w:rsidRDefault="00CB0DD7">
            <w:pPr>
              <w:pStyle w:val="TAL"/>
              <w:rPr>
                <w:rFonts w:hint="eastAsia"/>
                <w:lang w:eastAsia="zh-CN"/>
              </w:rPr>
            </w:pPr>
            <w:r w:rsidRPr="000A0A5F">
              <w:t>307 Temporary Redirect</w:t>
            </w:r>
          </w:p>
        </w:tc>
        <w:tc>
          <w:tcPr>
            <w:tcW w:w="2334" w:type="pct"/>
          </w:tcPr>
          <w:p w:rsidR="00CB0DD7" w:rsidRPr="000A0A5F" w:rsidRDefault="00CB0DD7">
            <w:pPr>
              <w:pStyle w:val="TAL"/>
            </w:pPr>
            <w:r w:rsidRPr="000A0A5F">
              <w:t>Temporary redirection, during subscription termination. The response shall include a Location header field containing an alternative URI of the resource located in an alternative SCEF.</w:t>
            </w:r>
          </w:p>
          <w:p w:rsidR="00CB0DD7" w:rsidRPr="000A0A5F" w:rsidRDefault="00CB0DD7">
            <w:pPr>
              <w:pStyle w:val="TAL"/>
            </w:pPr>
            <w:r w:rsidRPr="000A0A5F">
              <w:t>Redirection handling is described in clause 5.2.10.</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t>none</w:t>
            </w:r>
          </w:p>
        </w:tc>
        <w:tc>
          <w:tcPr>
            <w:tcW w:w="541" w:type="pct"/>
          </w:tcPr>
          <w:p w:rsidR="00CB0DD7" w:rsidRPr="000A0A5F" w:rsidRDefault="00CB0DD7">
            <w:pPr>
              <w:pStyle w:val="TAL"/>
              <w:rPr>
                <w:rFonts w:hint="eastAsia"/>
                <w:lang w:eastAsia="zh-CN"/>
              </w:rPr>
            </w:pPr>
          </w:p>
        </w:tc>
        <w:tc>
          <w:tcPr>
            <w:tcW w:w="500" w:type="pct"/>
          </w:tcPr>
          <w:p w:rsidR="00CB0DD7" w:rsidRPr="000A0A5F" w:rsidRDefault="00CB0DD7">
            <w:pPr>
              <w:pStyle w:val="TAL"/>
              <w:rPr>
                <w:rFonts w:hint="eastAsia"/>
                <w:lang w:eastAsia="zh-CN"/>
              </w:rPr>
            </w:pPr>
            <w:r w:rsidRPr="000A0A5F">
              <w:t>308 Permanent Redirect</w:t>
            </w:r>
          </w:p>
        </w:tc>
        <w:tc>
          <w:tcPr>
            <w:tcW w:w="2334" w:type="pct"/>
          </w:tcPr>
          <w:p w:rsidR="00CB0DD7" w:rsidRPr="000A0A5F" w:rsidRDefault="00CB0DD7">
            <w:pPr>
              <w:pStyle w:val="TAL"/>
            </w:pPr>
            <w:r w:rsidRPr="000A0A5F">
              <w:t>Permanent redirection, during subscription termination. The response shall include a Location header field containing an alternative URI of the resource located in an alternative SCEF.</w:t>
            </w:r>
          </w:p>
          <w:p w:rsidR="00CB0DD7" w:rsidRPr="000A0A5F" w:rsidRDefault="00CB0DD7">
            <w:pPr>
              <w:pStyle w:val="TAL"/>
            </w:pPr>
            <w:r w:rsidRPr="000A0A5F">
              <w:t>Redirection handling is described in clause 5.2.10.</w:t>
            </w:r>
          </w:p>
        </w:tc>
      </w:tr>
      <w:tr w:rsidR="00CB0DD7" w:rsidRPr="000A0A5F" w:rsidTr="00FF0AF8">
        <w:tc>
          <w:tcPr>
            <w:tcW w:w="5000" w:type="pct"/>
            <w:gridSpan w:val="5"/>
            <w:shd w:val="clear" w:color="auto" w:fill="auto"/>
            <w:vAlign w:val="center"/>
          </w:tcPr>
          <w:p w:rsidR="00CB0DD7" w:rsidRPr="000A0A5F" w:rsidRDefault="00CB0DD7">
            <w:pPr>
              <w:pStyle w:val="TAN"/>
            </w:pPr>
            <w:r w:rsidRPr="000A0A5F">
              <w:t>NOTE:</w:t>
            </w:r>
            <w:r w:rsidRPr="000A0A5F">
              <w:tab/>
              <w:t>The mandatory HTTP error status codes for the DELETE method listed in table 5.2.6-1 also apply.</w:t>
            </w:r>
          </w:p>
        </w:tc>
      </w:tr>
    </w:tbl>
    <w:p w:rsidR="00CB0DD7" w:rsidRPr="000A0A5F" w:rsidRDefault="00CB0DD7"/>
    <w:p w:rsidR="00CB0DD7" w:rsidRPr="000A0A5F" w:rsidRDefault="002E466A">
      <w:pPr>
        <w:pStyle w:val="TH"/>
      </w:pPr>
      <w:r w:rsidRPr="000A0A5F">
        <w:t>Table </w:t>
      </w:r>
      <w:r w:rsidR="00CB0DD7" w:rsidRPr="000A0A5F">
        <w:t>5.10.3.3.3.5-2: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2E466A">
      <w:pPr>
        <w:pStyle w:val="TH"/>
      </w:pPr>
      <w:r w:rsidRPr="000A0A5F">
        <w:t>Table </w:t>
      </w:r>
      <w:r w:rsidR="00CB0DD7" w:rsidRPr="000A0A5F">
        <w:t>5.10.3.3.3.5-3: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CB0DD7">
      <w:pPr>
        <w:pStyle w:val="Heading4"/>
      </w:pPr>
      <w:bookmarkStart w:id="7594" w:name="_Toc11247755"/>
      <w:bookmarkStart w:id="7595" w:name="_Toc27044898"/>
      <w:bookmarkStart w:id="7596" w:name="_Toc36033940"/>
      <w:bookmarkStart w:id="7597" w:name="_Toc45132086"/>
      <w:bookmarkStart w:id="7598" w:name="_Toc49776371"/>
      <w:bookmarkStart w:id="7599" w:name="_Toc51747291"/>
      <w:bookmarkStart w:id="7600" w:name="_Toc66360864"/>
      <w:bookmarkStart w:id="7601" w:name="_Toc68105369"/>
      <w:bookmarkStart w:id="7602" w:name="_Toc74755999"/>
      <w:bookmarkStart w:id="7603" w:name="_Toc105674875"/>
      <w:bookmarkStart w:id="7604" w:name="_Toc130502935"/>
      <w:bookmarkStart w:id="7605" w:name="_Toc153625723"/>
      <w:r w:rsidRPr="000A0A5F">
        <w:t>5.10.3.4</w:t>
      </w:r>
      <w:r w:rsidRPr="000A0A5F">
        <w:tab/>
        <w:t>Resource: Individual CP Set Provisioning</w:t>
      </w:r>
      <w:bookmarkEnd w:id="7594"/>
      <w:bookmarkEnd w:id="7595"/>
      <w:bookmarkEnd w:id="7596"/>
      <w:bookmarkEnd w:id="7597"/>
      <w:bookmarkEnd w:id="7598"/>
      <w:bookmarkEnd w:id="7599"/>
      <w:bookmarkEnd w:id="7600"/>
      <w:bookmarkEnd w:id="7601"/>
      <w:bookmarkEnd w:id="7602"/>
      <w:bookmarkEnd w:id="7603"/>
      <w:bookmarkEnd w:id="7604"/>
      <w:bookmarkEnd w:id="7605"/>
    </w:p>
    <w:p w:rsidR="00CB0DD7" w:rsidRPr="000A0A5F" w:rsidRDefault="00CB0DD7">
      <w:pPr>
        <w:pStyle w:val="Heading5"/>
      </w:pPr>
      <w:bookmarkStart w:id="7606" w:name="_Toc11247756"/>
      <w:bookmarkStart w:id="7607" w:name="_Toc27044899"/>
      <w:bookmarkStart w:id="7608" w:name="_Toc36033941"/>
      <w:bookmarkStart w:id="7609" w:name="_Toc45132087"/>
      <w:bookmarkStart w:id="7610" w:name="_Toc49776372"/>
      <w:bookmarkStart w:id="7611" w:name="_Toc51747292"/>
      <w:bookmarkStart w:id="7612" w:name="_Toc66360865"/>
      <w:bookmarkStart w:id="7613" w:name="_Toc68105370"/>
      <w:bookmarkStart w:id="7614" w:name="_Toc74756000"/>
      <w:bookmarkStart w:id="7615" w:name="_Toc105674876"/>
      <w:bookmarkStart w:id="7616" w:name="_Toc130502936"/>
      <w:bookmarkStart w:id="7617" w:name="_Toc153625724"/>
      <w:r w:rsidRPr="000A0A5F">
        <w:t>5.10.3.4.1</w:t>
      </w:r>
      <w:r w:rsidRPr="000A0A5F">
        <w:tab/>
        <w:t>Introduction</w:t>
      </w:r>
      <w:bookmarkEnd w:id="7606"/>
      <w:bookmarkEnd w:id="7607"/>
      <w:bookmarkEnd w:id="7608"/>
      <w:bookmarkEnd w:id="7609"/>
      <w:bookmarkEnd w:id="7610"/>
      <w:bookmarkEnd w:id="7611"/>
      <w:bookmarkEnd w:id="7612"/>
      <w:bookmarkEnd w:id="7613"/>
      <w:bookmarkEnd w:id="7614"/>
      <w:bookmarkEnd w:id="7615"/>
      <w:bookmarkEnd w:id="7616"/>
      <w:bookmarkEnd w:id="7617"/>
    </w:p>
    <w:p w:rsidR="00CB0DD7" w:rsidRPr="000A0A5F" w:rsidRDefault="00CB0DD7">
      <w:pPr>
        <w:rPr>
          <w:noProof/>
          <w:lang w:eastAsia="zh-CN"/>
        </w:rPr>
      </w:pPr>
      <w:r w:rsidRPr="000A0A5F">
        <w:rPr>
          <w:noProof/>
          <w:lang w:eastAsia="zh-CN"/>
        </w:rPr>
        <w:t>This resource allows t</w:t>
      </w:r>
      <w:r w:rsidRPr="000A0A5F">
        <w:rPr>
          <w:rFonts w:hint="eastAsia"/>
          <w:noProof/>
          <w:lang w:eastAsia="zh-CN"/>
        </w:rPr>
        <w:t xml:space="preserve">he SCS/AS </w:t>
      </w:r>
      <w:r w:rsidRPr="000A0A5F">
        <w:rPr>
          <w:noProof/>
          <w:lang w:eastAsia="zh-CN"/>
        </w:rPr>
        <w:t xml:space="preserve">to manage resources for CP parameter set provisioning associated with a </w:t>
      </w:r>
      <w:r w:rsidRPr="000A0A5F">
        <w:t>CP parameter set</w:t>
      </w:r>
      <w:r w:rsidRPr="000A0A5F">
        <w:rPr>
          <w:noProof/>
          <w:lang w:eastAsia="zh-CN"/>
        </w:rPr>
        <w:t xml:space="preserve"> Id.</w:t>
      </w:r>
    </w:p>
    <w:p w:rsidR="00CB0DD7" w:rsidRPr="000A0A5F" w:rsidRDefault="00CB0DD7">
      <w:pPr>
        <w:pStyle w:val="Heading5"/>
      </w:pPr>
      <w:bookmarkStart w:id="7618" w:name="_Toc11247757"/>
      <w:bookmarkStart w:id="7619" w:name="_Toc27044900"/>
      <w:bookmarkStart w:id="7620" w:name="_Toc36033942"/>
      <w:bookmarkStart w:id="7621" w:name="_Toc45132088"/>
      <w:bookmarkStart w:id="7622" w:name="_Toc49776373"/>
      <w:bookmarkStart w:id="7623" w:name="_Toc51747293"/>
      <w:bookmarkStart w:id="7624" w:name="_Toc66360866"/>
      <w:bookmarkStart w:id="7625" w:name="_Toc68105371"/>
      <w:bookmarkStart w:id="7626" w:name="_Toc74756001"/>
      <w:bookmarkStart w:id="7627" w:name="_Toc105674877"/>
      <w:bookmarkStart w:id="7628" w:name="_Toc130502937"/>
      <w:bookmarkStart w:id="7629" w:name="_Toc153625725"/>
      <w:r w:rsidRPr="000A0A5F">
        <w:t>5.10.3.4.2</w:t>
      </w:r>
      <w:r w:rsidRPr="000A0A5F">
        <w:tab/>
        <w:t>Resource definition</w:t>
      </w:r>
      <w:bookmarkEnd w:id="7618"/>
      <w:bookmarkEnd w:id="7619"/>
      <w:bookmarkEnd w:id="7620"/>
      <w:bookmarkEnd w:id="7621"/>
      <w:bookmarkEnd w:id="7622"/>
      <w:bookmarkEnd w:id="7623"/>
      <w:bookmarkEnd w:id="7624"/>
      <w:bookmarkEnd w:id="7625"/>
      <w:bookmarkEnd w:id="7626"/>
      <w:bookmarkEnd w:id="7627"/>
      <w:bookmarkEnd w:id="7628"/>
      <w:bookmarkEnd w:id="7629"/>
    </w:p>
    <w:p w:rsidR="00CB0DD7" w:rsidRPr="000A0A5F" w:rsidRDefault="00CB0DD7">
      <w:r w:rsidRPr="000A0A5F">
        <w:t xml:space="preserve">Resource URI: </w:t>
      </w:r>
      <w:r w:rsidRPr="000A0A5F">
        <w:rPr>
          <w:b/>
        </w:rPr>
        <w:t>{apiRoot}/3gpp-cp-parameter-provisioning/v1/{scsAsId}/subscriptions/{subscriptionId}/cpSets/{setId}</w:t>
      </w:r>
    </w:p>
    <w:p w:rsidR="00CB0DD7" w:rsidRPr="000A0A5F" w:rsidRDefault="00CB0DD7">
      <w:pPr>
        <w:rPr>
          <w:rFonts w:ascii="Arial" w:hAnsi="Arial" w:cs="Arial"/>
        </w:rPr>
      </w:pPr>
      <w:r w:rsidRPr="000A0A5F">
        <w:t>This resource shall support the resource URI variables defined in table 5.10.3.3.2-1</w:t>
      </w:r>
      <w:r w:rsidRPr="000A0A5F">
        <w:rPr>
          <w:rFonts w:ascii="Arial" w:hAnsi="Arial" w:cs="Arial"/>
        </w:rPr>
        <w:t>.</w:t>
      </w:r>
    </w:p>
    <w:p w:rsidR="00CB0DD7" w:rsidRPr="000A0A5F" w:rsidRDefault="00CB0DD7">
      <w:pPr>
        <w:pStyle w:val="TH"/>
        <w:rPr>
          <w:rFonts w:cs="Arial"/>
        </w:rPr>
      </w:pPr>
      <w:r w:rsidRPr="000A0A5F">
        <w:t>Table 5.10.3.3.2-1: Resource URI variables for resource "Individual CP Set Provisioning"</w:t>
      </w:r>
    </w:p>
    <w:tbl>
      <w:tblPr>
        <w:tblW w:w="494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970"/>
        <w:gridCol w:w="1171"/>
        <w:gridCol w:w="6519"/>
      </w:tblGrid>
      <w:tr w:rsidR="00CB0DD7" w:rsidRPr="000A0A5F" w:rsidTr="00FF0AF8">
        <w:trPr>
          <w:jc w:val="center"/>
        </w:trPr>
        <w:tc>
          <w:tcPr>
            <w:tcW w:w="1020" w:type="pct"/>
            <w:shd w:val="clear" w:color="000000" w:fill="C0C0C0"/>
          </w:tcPr>
          <w:p w:rsidR="00CB0DD7" w:rsidRPr="000A0A5F" w:rsidRDefault="00CB0DD7">
            <w:pPr>
              <w:pStyle w:val="TAH"/>
            </w:pPr>
            <w:r w:rsidRPr="000A0A5F">
              <w:t>Name</w:t>
            </w:r>
          </w:p>
        </w:tc>
        <w:tc>
          <w:tcPr>
            <w:tcW w:w="606" w:type="pct"/>
            <w:shd w:val="clear" w:color="000000" w:fill="C0C0C0"/>
          </w:tcPr>
          <w:p w:rsidR="00CB0DD7" w:rsidRPr="000A0A5F" w:rsidRDefault="00CB0DD7">
            <w:pPr>
              <w:pStyle w:val="TAH"/>
            </w:pPr>
            <w:r w:rsidRPr="000A0A5F">
              <w:t>Data type</w:t>
            </w:r>
          </w:p>
        </w:tc>
        <w:tc>
          <w:tcPr>
            <w:tcW w:w="3375" w:type="pct"/>
            <w:shd w:val="clear" w:color="000000" w:fill="C0C0C0"/>
            <w:vAlign w:val="center"/>
          </w:tcPr>
          <w:p w:rsidR="00CB0DD7" w:rsidRPr="000A0A5F" w:rsidRDefault="00CB0DD7">
            <w:pPr>
              <w:pStyle w:val="TAH"/>
            </w:pPr>
            <w:r w:rsidRPr="000A0A5F">
              <w:t>Definition</w:t>
            </w:r>
          </w:p>
        </w:tc>
      </w:tr>
      <w:tr w:rsidR="00CB0DD7" w:rsidRPr="000A0A5F" w:rsidTr="00FF0AF8">
        <w:trPr>
          <w:jc w:val="center"/>
        </w:trPr>
        <w:tc>
          <w:tcPr>
            <w:tcW w:w="1020" w:type="pct"/>
            <w:shd w:val="clear" w:color="auto" w:fill="auto"/>
          </w:tcPr>
          <w:p w:rsidR="00CB0DD7" w:rsidRPr="000A0A5F" w:rsidRDefault="00CB0DD7">
            <w:pPr>
              <w:pStyle w:val="TAL"/>
            </w:pPr>
            <w:r w:rsidRPr="000A0A5F">
              <w:t>apiRoot</w:t>
            </w:r>
          </w:p>
        </w:tc>
        <w:tc>
          <w:tcPr>
            <w:tcW w:w="606" w:type="pct"/>
          </w:tcPr>
          <w:p w:rsidR="00CB0DD7" w:rsidRPr="000A0A5F" w:rsidRDefault="00CB0DD7">
            <w:pPr>
              <w:pStyle w:val="TAL"/>
            </w:pPr>
            <w:r w:rsidRPr="000A0A5F">
              <w:t>string</w:t>
            </w:r>
          </w:p>
        </w:tc>
        <w:tc>
          <w:tcPr>
            <w:tcW w:w="3375" w:type="pct"/>
            <w:shd w:val="clear" w:color="auto" w:fill="auto"/>
            <w:vAlign w:val="center"/>
          </w:tcPr>
          <w:p w:rsidR="00CB0DD7" w:rsidRPr="000A0A5F" w:rsidRDefault="00CB0DD7">
            <w:pPr>
              <w:pStyle w:val="TAL"/>
            </w:pPr>
            <w:r w:rsidRPr="000A0A5F">
              <w:t>See clause</w:t>
            </w:r>
            <w:r w:rsidRPr="000A0A5F">
              <w:rPr>
                <w:lang w:val="en-US" w:eastAsia="zh-CN"/>
              </w:rPr>
              <w:t> </w:t>
            </w:r>
            <w:r w:rsidRPr="000A0A5F">
              <w:t>5.2.4.</w:t>
            </w:r>
          </w:p>
        </w:tc>
      </w:tr>
      <w:tr w:rsidR="00CB0DD7" w:rsidRPr="000A0A5F" w:rsidTr="00FF0AF8">
        <w:trPr>
          <w:jc w:val="center"/>
        </w:trPr>
        <w:tc>
          <w:tcPr>
            <w:tcW w:w="1020" w:type="pct"/>
            <w:shd w:val="clear" w:color="auto" w:fill="auto"/>
          </w:tcPr>
          <w:p w:rsidR="00CB0DD7" w:rsidRPr="000A0A5F" w:rsidRDefault="00CB0DD7">
            <w:pPr>
              <w:pStyle w:val="TAL"/>
            </w:pPr>
            <w:r w:rsidRPr="000A0A5F">
              <w:t>scsAsId</w:t>
            </w:r>
          </w:p>
        </w:tc>
        <w:tc>
          <w:tcPr>
            <w:tcW w:w="606" w:type="pct"/>
          </w:tcPr>
          <w:p w:rsidR="00CB0DD7" w:rsidRPr="000A0A5F" w:rsidRDefault="00CB0DD7">
            <w:pPr>
              <w:pStyle w:val="TAL"/>
            </w:pPr>
            <w:r w:rsidRPr="000A0A5F">
              <w:rPr>
                <w:rFonts w:hint="eastAsia"/>
                <w:lang w:eastAsia="zh-CN"/>
              </w:rPr>
              <w:t>s</w:t>
            </w:r>
            <w:r w:rsidRPr="000A0A5F">
              <w:rPr>
                <w:lang w:eastAsia="zh-CN"/>
              </w:rPr>
              <w:t>tring</w:t>
            </w:r>
          </w:p>
        </w:tc>
        <w:tc>
          <w:tcPr>
            <w:tcW w:w="3375" w:type="pct"/>
            <w:shd w:val="clear" w:color="auto" w:fill="auto"/>
            <w:vAlign w:val="center"/>
          </w:tcPr>
          <w:p w:rsidR="00CB0DD7" w:rsidRPr="000A0A5F" w:rsidRDefault="00CB0DD7">
            <w:pPr>
              <w:pStyle w:val="TAL"/>
            </w:pPr>
            <w:r w:rsidRPr="000A0A5F">
              <w:t>Identifier of the SCS/AS.</w:t>
            </w:r>
          </w:p>
        </w:tc>
      </w:tr>
      <w:tr w:rsidR="00CB0DD7" w:rsidRPr="000A0A5F" w:rsidTr="00FF0AF8">
        <w:trPr>
          <w:jc w:val="center"/>
        </w:trPr>
        <w:tc>
          <w:tcPr>
            <w:tcW w:w="1020" w:type="pct"/>
            <w:shd w:val="clear" w:color="auto" w:fill="auto"/>
          </w:tcPr>
          <w:p w:rsidR="00CB0DD7" w:rsidRPr="000A0A5F" w:rsidRDefault="00CB0DD7">
            <w:pPr>
              <w:pStyle w:val="TAL"/>
            </w:pPr>
            <w:r w:rsidRPr="000A0A5F">
              <w:t>subscriptionId</w:t>
            </w:r>
          </w:p>
        </w:tc>
        <w:tc>
          <w:tcPr>
            <w:tcW w:w="606" w:type="pct"/>
          </w:tcPr>
          <w:p w:rsidR="00CB0DD7" w:rsidRPr="000A0A5F" w:rsidRDefault="00CB0DD7">
            <w:pPr>
              <w:pStyle w:val="TAL"/>
            </w:pPr>
            <w:r w:rsidRPr="000A0A5F">
              <w:t>string</w:t>
            </w:r>
          </w:p>
        </w:tc>
        <w:tc>
          <w:tcPr>
            <w:tcW w:w="3375" w:type="pct"/>
            <w:shd w:val="clear" w:color="auto" w:fill="auto"/>
            <w:vAlign w:val="center"/>
          </w:tcPr>
          <w:p w:rsidR="00CB0DD7" w:rsidRPr="000A0A5F" w:rsidRDefault="00CB0DD7">
            <w:pPr>
              <w:pStyle w:val="TAL"/>
            </w:pPr>
            <w:r w:rsidRPr="000A0A5F">
              <w:t>Identifier of the subscription resource.</w:t>
            </w:r>
          </w:p>
        </w:tc>
      </w:tr>
      <w:tr w:rsidR="00CB0DD7" w:rsidRPr="000A0A5F" w:rsidTr="00FF0AF8">
        <w:trPr>
          <w:jc w:val="center"/>
        </w:trPr>
        <w:tc>
          <w:tcPr>
            <w:tcW w:w="1020" w:type="pct"/>
            <w:shd w:val="clear" w:color="auto" w:fill="auto"/>
          </w:tcPr>
          <w:p w:rsidR="00CB0DD7" w:rsidRPr="000A0A5F" w:rsidRDefault="00CB0DD7">
            <w:pPr>
              <w:pStyle w:val="TAL"/>
              <w:rPr>
                <w:rFonts w:hint="eastAsia"/>
                <w:lang w:eastAsia="zh-CN"/>
              </w:rPr>
            </w:pPr>
            <w:r w:rsidRPr="000A0A5F">
              <w:rPr>
                <w:lang w:eastAsia="zh-CN"/>
              </w:rPr>
              <w:t>setId</w:t>
            </w:r>
          </w:p>
        </w:tc>
        <w:tc>
          <w:tcPr>
            <w:tcW w:w="606" w:type="pct"/>
          </w:tcPr>
          <w:p w:rsidR="00CB0DD7" w:rsidRPr="000A0A5F" w:rsidRDefault="00CB0DD7">
            <w:pPr>
              <w:pStyle w:val="TAL"/>
              <w:rPr>
                <w:rFonts w:hint="eastAsia"/>
                <w:lang w:eastAsia="zh-CN"/>
              </w:rPr>
            </w:pPr>
            <w:r w:rsidRPr="000A0A5F">
              <w:t>string</w:t>
            </w:r>
          </w:p>
        </w:tc>
        <w:tc>
          <w:tcPr>
            <w:tcW w:w="3375" w:type="pct"/>
            <w:shd w:val="clear" w:color="auto" w:fill="auto"/>
            <w:vAlign w:val="center"/>
          </w:tcPr>
          <w:p w:rsidR="00CB0DD7" w:rsidRPr="000A0A5F" w:rsidRDefault="00CB0DD7">
            <w:pPr>
              <w:pStyle w:val="TAL"/>
              <w:rPr>
                <w:rFonts w:hint="eastAsia"/>
                <w:lang w:eastAsia="zh-CN"/>
              </w:rPr>
            </w:pPr>
            <w:r w:rsidRPr="000A0A5F">
              <w:rPr>
                <w:rFonts w:hint="eastAsia"/>
                <w:lang w:eastAsia="zh-CN"/>
              </w:rPr>
              <w:t>Identifier of the CP parameter set</w:t>
            </w:r>
          </w:p>
        </w:tc>
      </w:tr>
    </w:tbl>
    <w:p w:rsidR="00CB0DD7" w:rsidRPr="000A0A5F" w:rsidRDefault="00CB0DD7"/>
    <w:p w:rsidR="00CB0DD7" w:rsidRPr="000A0A5F" w:rsidRDefault="00CB0DD7">
      <w:pPr>
        <w:pStyle w:val="Heading5"/>
      </w:pPr>
      <w:bookmarkStart w:id="7630" w:name="_Toc11247758"/>
      <w:bookmarkStart w:id="7631" w:name="_Toc27044901"/>
      <w:bookmarkStart w:id="7632" w:name="_Toc36033943"/>
      <w:bookmarkStart w:id="7633" w:name="_Toc45132089"/>
      <w:bookmarkStart w:id="7634" w:name="_Toc49776374"/>
      <w:bookmarkStart w:id="7635" w:name="_Toc51747294"/>
      <w:bookmarkStart w:id="7636" w:name="_Toc66360867"/>
      <w:bookmarkStart w:id="7637" w:name="_Toc68105372"/>
      <w:bookmarkStart w:id="7638" w:name="_Toc74756002"/>
      <w:bookmarkStart w:id="7639" w:name="_Toc105674878"/>
      <w:bookmarkStart w:id="7640" w:name="_Toc130502938"/>
      <w:bookmarkStart w:id="7641" w:name="_Toc153625726"/>
      <w:r w:rsidRPr="000A0A5F">
        <w:t>5.10.3.4.3</w:t>
      </w:r>
      <w:r w:rsidRPr="000A0A5F">
        <w:tab/>
        <w:t>Resource methods</w:t>
      </w:r>
      <w:bookmarkEnd w:id="7630"/>
      <w:bookmarkEnd w:id="7631"/>
      <w:bookmarkEnd w:id="7632"/>
      <w:bookmarkEnd w:id="7633"/>
      <w:bookmarkEnd w:id="7634"/>
      <w:bookmarkEnd w:id="7635"/>
      <w:bookmarkEnd w:id="7636"/>
      <w:bookmarkEnd w:id="7637"/>
      <w:bookmarkEnd w:id="7638"/>
      <w:bookmarkEnd w:id="7639"/>
      <w:bookmarkEnd w:id="7640"/>
      <w:bookmarkEnd w:id="7641"/>
    </w:p>
    <w:p w:rsidR="00CB0DD7" w:rsidRPr="000A0A5F" w:rsidRDefault="00CB0DD7">
      <w:pPr>
        <w:pStyle w:val="Heading6"/>
      </w:pPr>
      <w:bookmarkStart w:id="7642" w:name="_Toc11247759"/>
      <w:bookmarkStart w:id="7643" w:name="_Toc27044902"/>
      <w:bookmarkStart w:id="7644" w:name="_Toc36033944"/>
      <w:bookmarkStart w:id="7645" w:name="_Toc45132090"/>
      <w:bookmarkStart w:id="7646" w:name="_Toc49776375"/>
      <w:bookmarkStart w:id="7647" w:name="_Toc51747295"/>
      <w:bookmarkStart w:id="7648" w:name="_Toc66360868"/>
      <w:bookmarkStart w:id="7649" w:name="_Toc68105373"/>
      <w:bookmarkStart w:id="7650" w:name="_Toc74756003"/>
      <w:bookmarkStart w:id="7651" w:name="_Toc105674879"/>
      <w:bookmarkStart w:id="7652" w:name="_Toc130502939"/>
      <w:bookmarkStart w:id="7653" w:name="_Toc153625727"/>
      <w:r w:rsidRPr="000A0A5F">
        <w:t>5.10.3.4.3.1</w:t>
      </w:r>
      <w:r w:rsidRPr="000A0A5F">
        <w:tab/>
        <w:t>GET</w:t>
      </w:r>
      <w:bookmarkEnd w:id="7642"/>
      <w:bookmarkEnd w:id="7643"/>
      <w:bookmarkEnd w:id="7644"/>
      <w:bookmarkEnd w:id="7645"/>
      <w:bookmarkEnd w:id="7646"/>
      <w:bookmarkEnd w:id="7647"/>
      <w:bookmarkEnd w:id="7648"/>
      <w:bookmarkEnd w:id="7649"/>
      <w:bookmarkEnd w:id="7650"/>
      <w:bookmarkEnd w:id="7651"/>
      <w:bookmarkEnd w:id="7652"/>
      <w:bookmarkEnd w:id="7653"/>
    </w:p>
    <w:p w:rsidR="00CB0DD7" w:rsidRPr="000A0A5F" w:rsidRDefault="00CB0DD7">
      <w:pPr>
        <w:rPr>
          <w:noProof/>
          <w:lang w:eastAsia="zh-CN"/>
        </w:rPr>
      </w:pPr>
      <w:r w:rsidRPr="000A0A5F">
        <w:rPr>
          <w:noProof/>
          <w:lang w:eastAsia="zh-CN"/>
        </w:rPr>
        <w:t xml:space="preserve">The GET method allows to read a CP parameter set resource. The SCS/AS shall initiate the HTTP GET request message and the SCEF shall respond to the message. </w:t>
      </w:r>
    </w:p>
    <w:p w:rsidR="00CB0DD7" w:rsidRPr="000A0A5F" w:rsidRDefault="00CB0DD7">
      <w:r w:rsidRPr="000A0A5F">
        <w:t>This method shall support the URI query parameters, request and response data structures, and response codes, as specified in the table 5.10.3.4.3.1-1 and table 5.10.3.4.3.1-2.</w:t>
      </w:r>
    </w:p>
    <w:p w:rsidR="00CB0DD7" w:rsidRPr="000A0A5F" w:rsidRDefault="00CB0DD7">
      <w:pPr>
        <w:pStyle w:val="TH"/>
        <w:rPr>
          <w:rFonts w:cs="Arial"/>
        </w:rPr>
      </w:pPr>
      <w:r w:rsidRPr="000A0A5F">
        <w:t xml:space="preserve">Table 5.10.3.4.3.1-1: URI query parameters supported by the GET method on this resource </w:t>
      </w:r>
    </w:p>
    <w:tbl>
      <w:tblPr>
        <w:tblW w:w="4999"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612"/>
        <w:gridCol w:w="1709"/>
        <w:gridCol w:w="1140"/>
        <w:gridCol w:w="5314"/>
      </w:tblGrid>
      <w:tr w:rsidR="00CB0DD7" w:rsidRPr="000A0A5F" w:rsidTr="00FF0AF8">
        <w:trPr>
          <w:jc w:val="center"/>
        </w:trPr>
        <w:tc>
          <w:tcPr>
            <w:tcW w:w="825" w:type="pct"/>
            <w:shd w:val="clear" w:color="000000" w:fill="C0C0C0"/>
          </w:tcPr>
          <w:p w:rsidR="00CB0DD7" w:rsidRPr="000A0A5F" w:rsidRDefault="00CB0DD7">
            <w:pPr>
              <w:pStyle w:val="TAH"/>
            </w:pPr>
            <w:r w:rsidRPr="000A0A5F">
              <w:t>Name</w:t>
            </w:r>
          </w:p>
        </w:tc>
        <w:tc>
          <w:tcPr>
            <w:tcW w:w="874" w:type="pct"/>
            <w:shd w:val="clear" w:color="000000" w:fill="C0C0C0"/>
          </w:tcPr>
          <w:p w:rsidR="00CB0DD7" w:rsidRPr="000A0A5F" w:rsidRDefault="00CB0DD7">
            <w:pPr>
              <w:pStyle w:val="TAH"/>
            </w:pPr>
            <w:r w:rsidRPr="000A0A5F">
              <w:t>Data type</w:t>
            </w:r>
          </w:p>
        </w:tc>
        <w:tc>
          <w:tcPr>
            <w:tcW w:w="583" w:type="pct"/>
            <w:shd w:val="clear" w:color="000000" w:fill="C0C0C0"/>
          </w:tcPr>
          <w:p w:rsidR="00CB0DD7" w:rsidRPr="000A0A5F" w:rsidRDefault="00CB0DD7">
            <w:pPr>
              <w:pStyle w:val="TAH"/>
            </w:pPr>
            <w:r w:rsidRPr="000A0A5F">
              <w:t>Cardinality</w:t>
            </w:r>
          </w:p>
        </w:tc>
        <w:tc>
          <w:tcPr>
            <w:tcW w:w="2718" w:type="pct"/>
            <w:shd w:val="clear" w:color="000000" w:fill="C0C0C0"/>
            <w:vAlign w:val="center"/>
          </w:tcPr>
          <w:p w:rsidR="00CB0DD7" w:rsidRPr="000A0A5F" w:rsidRDefault="00CB0DD7">
            <w:pPr>
              <w:pStyle w:val="TAH"/>
            </w:pPr>
            <w:r w:rsidRPr="000A0A5F">
              <w:t>Remarks</w:t>
            </w:r>
          </w:p>
        </w:tc>
      </w:tr>
      <w:tr w:rsidR="00CB0DD7" w:rsidRPr="000A0A5F" w:rsidTr="00FF0AF8">
        <w:trPr>
          <w:jc w:val="center"/>
        </w:trPr>
        <w:tc>
          <w:tcPr>
            <w:tcW w:w="825" w:type="pct"/>
            <w:shd w:val="clear" w:color="auto" w:fill="auto"/>
          </w:tcPr>
          <w:p w:rsidR="00CB0DD7" w:rsidRPr="000A0A5F" w:rsidRDefault="00CB0DD7">
            <w:pPr>
              <w:pStyle w:val="TAL"/>
            </w:pPr>
            <w:r w:rsidRPr="000A0A5F">
              <w:t>none specified</w:t>
            </w:r>
          </w:p>
        </w:tc>
        <w:tc>
          <w:tcPr>
            <w:tcW w:w="874" w:type="pct"/>
          </w:tcPr>
          <w:p w:rsidR="00CB0DD7" w:rsidRPr="000A0A5F" w:rsidRDefault="00CB0DD7">
            <w:pPr>
              <w:pStyle w:val="TAL"/>
            </w:pPr>
          </w:p>
        </w:tc>
        <w:tc>
          <w:tcPr>
            <w:tcW w:w="583" w:type="pct"/>
          </w:tcPr>
          <w:p w:rsidR="00CB0DD7" w:rsidRPr="000A0A5F" w:rsidRDefault="00CB0DD7">
            <w:pPr>
              <w:pStyle w:val="TAL"/>
            </w:pPr>
          </w:p>
        </w:tc>
        <w:tc>
          <w:tcPr>
            <w:tcW w:w="2718" w:type="pct"/>
            <w:shd w:val="clear" w:color="auto" w:fill="auto"/>
            <w:vAlign w:val="center"/>
          </w:tcPr>
          <w:p w:rsidR="00CB0DD7" w:rsidRPr="000A0A5F" w:rsidRDefault="00CB0DD7">
            <w:pPr>
              <w:pStyle w:val="TAL"/>
            </w:pPr>
          </w:p>
        </w:tc>
      </w:tr>
    </w:tbl>
    <w:p w:rsidR="00CB0DD7" w:rsidRPr="000A0A5F" w:rsidRDefault="00CB0DD7">
      <w:pPr>
        <w:pStyle w:val="TH"/>
        <w:spacing w:before="120"/>
      </w:pPr>
      <w:r w:rsidRPr="000A0A5F">
        <w:t>Table 5.10.3.4.3.1-2: Data structures supported by the GET request/response by the resource</w:t>
      </w:r>
    </w:p>
    <w:tbl>
      <w:tblPr>
        <w:tblW w:w="4999" w:type="pct"/>
        <w:tblInd w:w="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45" w:type="dxa"/>
          <w:left w:w="45" w:type="dxa"/>
          <w:bottom w:w="45" w:type="dxa"/>
          <w:right w:w="45" w:type="dxa"/>
        </w:tblCellMar>
        <w:tblLook w:val="0000" w:firstRow="0" w:lastRow="0" w:firstColumn="0" w:lastColumn="0" w:noHBand="0" w:noVBand="0"/>
      </w:tblPr>
      <w:tblGrid>
        <w:gridCol w:w="1035"/>
        <w:gridCol w:w="2127"/>
        <w:gridCol w:w="1053"/>
        <w:gridCol w:w="973"/>
        <w:gridCol w:w="4541"/>
      </w:tblGrid>
      <w:tr w:rsidR="00CB0DD7" w:rsidRPr="000A0A5F" w:rsidTr="0008146A">
        <w:tc>
          <w:tcPr>
            <w:tcW w:w="532" w:type="pct"/>
            <w:vMerge w:val="restart"/>
            <w:shd w:val="clear" w:color="auto" w:fill="C0C0C0"/>
            <w:vAlign w:val="center"/>
          </w:tcPr>
          <w:p w:rsidR="00CB0DD7" w:rsidRPr="000A0A5F" w:rsidRDefault="00CB0DD7">
            <w:pPr>
              <w:pStyle w:val="TAH"/>
            </w:pPr>
            <w:r w:rsidRPr="000A0A5F">
              <w:t>Request body</w:t>
            </w:r>
          </w:p>
        </w:tc>
        <w:tc>
          <w:tcPr>
            <w:tcW w:w="1093" w:type="pct"/>
            <w:shd w:val="clear" w:color="auto" w:fill="C0C0C0"/>
          </w:tcPr>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r w:rsidRPr="000A0A5F">
              <w:t>Cardinality</w:t>
            </w:r>
          </w:p>
        </w:tc>
        <w:tc>
          <w:tcPr>
            <w:tcW w:w="2834" w:type="pct"/>
            <w:gridSpan w:val="2"/>
            <w:shd w:val="clear" w:color="auto" w:fill="C0C0C0"/>
          </w:tcPr>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none</w:t>
            </w:r>
          </w:p>
        </w:tc>
        <w:tc>
          <w:tcPr>
            <w:tcW w:w="541" w:type="pct"/>
          </w:tcPr>
          <w:p w:rsidR="00CB0DD7" w:rsidRPr="000A0A5F" w:rsidRDefault="00CB0DD7">
            <w:pPr>
              <w:pStyle w:val="TAL"/>
            </w:pPr>
          </w:p>
        </w:tc>
        <w:tc>
          <w:tcPr>
            <w:tcW w:w="2834" w:type="pct"/>
            <w:gridSpan w:val="2"/>
          </w:tcPr>
          <w:p w:rsidR="00CB0DD7" w:rsidRPr="000A0A5F" w:rsidRDefault="00CB0DD7">
            <w:pPr>
              <w:pStyle w:val="TAL"/>
            </w:pPr>
          </w:p>
        </w:tc>
      </w:tr>
      <w:tr w:rsidR="00CB0DD7" w:rsidRPr="000A0A5F" w:rsidTr="0008146A">
        <w:tc>
          <w:tcPr>
            <w:tcW w:w="532" w:type="pct"/>
            <w:vMerge w:val="restart"/>
            <w:shd w:val="clear" w:color="auto" w:fill="C0C0C0"/>
            <w:vAlign w:val="center"/>
          </w:tcPr>
          <w:p w:rsidR="00CB0DD7" w:rsidRPr="000A0A5F" w:rsidRDefault="00CB0DD7">
            <w:pPr>
              <w:pStyle w:val="TAH"/>
            </w:pPr>
            <w:r w:rsidRPr="000A0A5F">
              <w:t>Response body</w:t>
            </w:r>
          </w:p>
        </w:tc>
        <w:tc>
          <w:tcPr>
            <w:tcW w:w="1093" w:type="pct"/>
            <w:shd w:val="clear" w:color="auto" w:fill="C0C0C0"/>
          </w:tcPr>
          <w:p w:rsidR="00CB0DD7" w:rsidRPr="000A0A5F" w:rsidRDefault="00CB0DD7">
            <w:pPr>
              <w:pStyle w:val="TAH"/>
            </w:pPr>
          </w:p>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p>
          <w:p w:rsidR="00CB0DD7" w:rsidRPr="000A0A5F" w:rsidRDefault="00CB0DD7">
            <w:pPr>
              <w:pStyle w:val="TAH"/>
            </w:pPr>
            <w:r w:rsidRPr="000A0A5F">
              <w:t>Cardinality</w:t>
            </w:r>
          </w:p>
        </w:tc>
        <w:tc>
          <w:tcPr>
            <w:tcW w:w="500" w:type="pct"/>
            <w:shd w:val="clear" w:color="auto" w:fill="C0C0C0"/>
          </w:tcPr>
          <w:p w:rsidR="00CB0DD7" w:rsidRPr="000A0A5F" w:rsidRDefault="00CB0DD7">
            <w:pPr>
              <w:pStyle w:val="TAH"/>
            </w:pPr>
            <w:r w:rsidRPr="000A0A5F">
              <w:t>Response</w:t>
            </w:r>
          </w:p>
          <w:p w:rsidR="00CB0DD7" w:rsidRPr="000A0A5F" w:rsidRDefault="00CB0DD7">
            <w:pPr>
              <w:pStyle w:val="TAH"/>
            </w:pPr>
            <w:r w:rsidRPr="000A0A5F">
              <w:t>codes</w:t>
            </w:r>
          </w:p>
        </w:tc>
        <w:tc>
          <w:tcPr>
            <w:tcW w:w="2334" w:type="pct"/>
            <w:shd w:val="clear" w:color="auto" w:fill="C0C0C0"/>
          </w:tcPr>
          <w:p w:rsidR="00CB0DD7" w:rsidRPr="000A0A5F" w:rsidRDefault="00CB0DD7">
            <w:pPr>
              <w:pStyle w:val="TAH"/>
            </w:pPr>
          </w:p>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rPr>
                <w:rFonts w:hint="eastAsia"/>
                <w:lang w:eastAsia="zh-CN"/>
              </w:rPr>
              <w:t>CpParameterSet</w:t>
            </w:r>
          </w:p>
        </w:tc>
        <w:tc>
          <w:tcPr>
            <w:tcW w:w="541" w:type="pct"/>
          </w:tcPr>
          <w:p w:rsidR="00CB0DD7" w:rsidRPr="000A0A5F" w:rsidRDefault="00CB0DD7">
            <w:pPr>
              <w:pStyle w:val="TAL"/>
            </w:pPr>
            <w:r w:rsidRPr="000A0A5F">
              <w:t>1</w:t>
            </w:r>
          </w:p>
        </w:tc>
        <w:tc>
          <w:tcPr>
            <w:tcW w:w="500" w:type="pct"/>
          </w:tcPr>
          <w:p w:rsidR="00CB0DD7" w:rsidRPr="000A0A5F" w:rsidRDefault="00CB0DD7">
            <w:pPr>
              <w:pStyle w:val="TAL"/>
            </w:pPr>
            <w:r w:rsidRPr="000A0A5F">
              <w:t>200 OK</w:t>
            </w:r>
          </w:p>
        </w:tc>
        <w:tc>
          <w:tcPr>
            <w:tcW w:w="2334" w:type="pct"/>
          </w:tcPr>
          <w:p w:rsidR="00CB0DD7" w:rsidRPr="000A0A5F" w:rsidRDefault="00CB0DD7">
            <w:pPr>
              <w:pStyle w:val="TAL"/>
            </w:pPr>
            <w:r w:rsidRPr="000A0A5F">
              <w:t>The subscription information related to the request URI is returned.</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t>none</w:t>
            </w:r>
          </w:p>
        </w:tc>
        <w:tc>
          <w:tcPr>
            <w:tcW w:w="541" w:type="pct"/>
          </w:tcPr>
          <w:p w:rsidR="00CB0DD7" w:rsidRPr="000A0A5F" w:rsidRDefault="00CB0DD7">
            <w:pPr>
              <w:pStyle w:val="TAL"/>
            </w:pPr>
          </w:p>
        </w:tc>
        <w:tc>
          <w:tcPr>
            <w:tcW w:w="500" w:type="pct"/>
          </w:tcPr>
          <w:p w:rsidR="00CB0DD7" w:rsidRPr="000A0A5F" w:rsidRDefault="00CB0DD7">
            <w:pPr>
              <w:pStyle w:val="TAL"/>
            </w:pPr>
            <w:r w:rsidRPr="000A0A5F">
              <w:t>307 Temporary Redirect</w:t>
            </w:r>
          </w:p>
        </w:tc>
        <w:tc>
          <w:tcPr>
            <w:tcW w:w="2334" w:type="pct"/>
          </w:tcPr>
          <w:p w:rsidR="00CB0DD7" w:rsidRPr="000A0A5F" w:rsidRDefault="00CB0DD7">
            <w:pPr>
              <w:pStyle w:val="TAL"/>
            </w:pPr>
            <w:r w:rsidRPr="000A0A5F">
              <w:t>Temporary redirection, during subscription retrieval. The response shall include a Location header field containing an alternative URI of the resource located in an alternative SCEF.</w:t>
            </w:r>
          </w:p>
          <w:p w:rsidR="00CB0DD7" w:rsidRPr="000A0A5F" w:rsidRDefault="00CB0DD7">
            <w:pPr>
              <w:pStyle w:val="TAL"/>
            </w:pPr>
            <w:r w:rsidRPr="000A0A5F">
              <w:t>Redirection handling is described in clause 5.2.10.</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t>none</w:t>
            </w:r>
          </w:p>
        </w:tc>
        <w:tc>
          <w:tcPr>
            <w:tcW w:w="541" w:type="pct"/>
          </w:tcPr>
          <w:p w:rsidR="00CB0DD7" w:rsidRPr="000A0A5F" w:rsidRDefault="00CB0DD7">
            <w:pPr>
              <w:pStyle w:val="TAL"/>
            </w:pPr>
          </w:p>
        </w:tc>
        <w:tc>
          <w:tcPr>
            <w:tcW w:w="500" w:type="pct"/>
          </w:tcPr>
          <w:p w:rsidR="00CB0DD7" w:rsidRPr="000A0A5F" w:rsidRDefault="00CB0DD7">
            <w:pPr>
              <w:pStyle w:val="TAL"/>
            </w:pPr>
            <w:r w:rsidRPr="000A0A5F">
              <w:t>308 Permanent Redirect</w:t>
            </w:r>
          </w:p>
        </w:tc>
        <w:tc>
          <w:tcPr>
            <w:tcW w:w="2334" w:type="pct"/>
          </w:tcPr>
          <w:p w:rsidR="00CB0DD7" w:rsidRPr="000A0A5F" w:rsidRDefault="00CB0DD7">
            <w:pPr>
              <w:pStyle w:val="TAL"/>
            </w:pPr>
            <w:r w:rsidRPr="000A0A5F">
              <w:t>Permanent redirection, during subscription retrieval. The response shall include a Location header field containing an alternative URI of the resource located in an alternative SCEF.</w:t>
            </w:r>
          </w:p>
          <w:p w:rsidR="00CB0DD7" w:rsidRPr="000A0A5F" w:rsidRDefault="00CB0DD7">
            <w:pPr>
              <w:pStyle w:val="TAL"/>
            </w:pPr>
            <w:r w:rsidRPr="000A0A5F">
              <w:t>Redirection handling is described in clause 5.2.10.</w:t>
            </w:r>
          </w:p>
        </w:tc>
      </w:tr>
      <w:tr w:rsidR="00CB0DD7" w:rsidRPr="000A0A5F" w:rsidTr="00FF0AF8">
        <w:tc>
          <w:tcPr>
            <w:tcW w:w="5000" w:type="pct"/>
            <w:gridSpan w:val="5"/>
            <w:shd w:val="clear" w:color="auto" w:fill="auto"/>
            <w:vAlign w:val="center"/>
          </w:tcPr>
          <w:p w:rsidR="00CB0DD7" w:rsidRPr="000A0A5F" w:rsidRDefault="00CB0DD7">
            <w:pPr>
              <w:pStyle w:val="TAN"/>
            </w:pPr>
            <w:r w:rsidRPr="000A0A5F">
              <w:t>NOTE:</w:t>
            </w:r>
            <w:r w:rsidRPr="000A0A5F">
              <w:tab/>
              <w:t>The mandatory HTTP error status codes for the GET method listed in table 5.2.6-1 also apply.</w:t>
            </w:r>
          </w:p>
        </w:tc>
      </w:tr>
    </w:tbl>
    <w:p w:rsidR="00CB0DD7" w:rsidRPr="000A0A5F" w:rsidRDefault="00CB0DD7"/>
    <w:p w:rsidR="00CB0DD7" w:rsidRPr="000A0A5F" w:rsidRDefault="002E466A">
      <w:pPr>
        <w:pStyle w:val="TH"/>
      </w:pPr>
      <w:r w:rsidRPr="000A0A5F">
        <w:t>Table </w:t>
      </w:r>
      <w:r w:rsidR="00CB0DD7" w:rsidRPr="000A0A5F">
        <w:t>5.10.3.4.3.1-3: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2E466A">
      <w:pPr>
        <w:pStyle w:val="TH"/>
      </w:pPr>
      <w:r w:rsidRPr="000A0A5F">
        <w:t>Table </w:t>
      </w:r>
      <w:r w:rsidR="00CB0DD7" w:rsidRPr="000A0A5F">
        <w:t>5.10.3.4.3.1-4: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CB0DD7">
      <w:pPr>
        <w:pStyle w:val="Heading6"/>
      </w:pPr>
      <w:bookmarkStart w:id="7654" w:name="_Toc11247760"/>
      <w:bookmarkStart w:id="7655" w:name="_Toc27044903"/>
      <w:bookmarkStart w:id="7656" w:name="_Toc36033945"/>
      <w:bookmarkStart w:id="7657" w:name="_Toc45132091"/>
      <w:bookmarkStart w:id="7658" w:name="_Toc49776376"/>
      <w:bookmarkStart w:id="7659" w:name="_Toc51747296"/>
      <w:bookmarkStart w:id="7660" w:name="_Toc66360869"/>
      <w:bookmarkStart w:id="7661" w:name="_Toc68105374"/>
      <w:bookmarkStart w:id="7662" w:name="_Toc74756004"/>
      <w:bookmarkStart w:id="7663" w:name="_Toc105674880"/>
      <w:bookmarkStart w:id="7664" w:name="_Toc130502940"/>
      <w:bookmarkStart w:id="7665" w:name="_Toc153625728"/>
      <w:r w:rsidRPr="000A0A5F">
        <w:t>5.10.3.4.3.2</w:t>
      </w:r>
      <w:r w:rsidRPr="000A0A5F">
        <w:tab/>
        <w:t>PUT</w:t>
      </w:r>
      <w:bookmarkEnd w:id="7654"/>
      <w:bookmarkEnd w:id="7655"/>
      <w:bookmarkEnd w:id="7656"/>
      <w:bookmarkEnd w:id="7657"/>
      <w:bookmarkEnd w:id="7658"/>
      <w:bookmarkEnd w:id="7659"/>
      <w:bookmarkEnd w:id="7660"/>
      <w:bookmarkEnd w:id="7661"/>
      <w:bookmarkEnd w:id="7662"/>
      <w:bookmarkEnd w:id="7663"/>
      <w:bookmarkEnd w:id="7664"/>
      <w:bookmarkEnd w:id="7665"/>
    </w:p>
    <w:p w:rsidR="00CB0DD7" w:rsidRPr="000A0A5F" w:rsidRDefault="00CB0DD7">
      <w:pPr>
        <w:rPr>
          <w:noProof/>
          <w:lang w:eastAsia="zh-CN"/>
        </w:rPr>
      </w:pPr>
      <w:r w:rsidRPr="000A0A5F">
        <w:rPr>
          <w:noProof/>
          <w:lang w:eastAsia="zh-CN"/>
        </w:rPr>
        <w:t>The PUT method allows to update a CP parameter set resource. The SCS/AS shall initiate the HTTP PUT request message and the SCEF shall respond to the message.</w:t>
      </w:r>
    </w:p>
    <w:p w:rsidR="00CB0DD7" w:rsidRPr="000A0A5F" w:rsidRDefault="00CB0DD7">
      <w:r w:rsidRPr="000A0A5F">
        <w:t>This method shall support request and response data structures, and response codes, as specified in the table 5.10.3.4.3.2-1.</w:t>
      </w:r>
    </w:p>
    <w:p w:rsidR="00CB0DD7" w:rsidRPr="000A0A5F" w:rsidRDefault="00CB0DD7">
      <w:pPr>
        <w:pStyle w:val="TH"/>
      </w:pPr>
      <w:r w:rsidRPr="000A0A5F">
        <w:t>Table 5.10.3.4.3.2</w:t>
      </w:r>
      <w:r w:rsidRPr="000A0A5F">
        <w:rPr>
          <w:rFonts w:hint="eastAsia"/>
          <w:lang w:eastAsia="zh-CN"/>
        </w:rPr>
        <w:t>-1</w:t>
      </w:r>
      <w:r w:rsidRPr="000A0A5F">
        <w:t>: Data structures supported by the PUT request/response by the resource</w:t>
      </w:r>
    </w:p>
    <w:tbl>
      <w:tblPr>
        <w:tblW w:w="4999" w:type="pct"/>
        <w:tblInd w:w="1" w:type="dxa"/>
        <w:tblBorders>
          <w:top w:val="single" w:sz="6" w:space="0" w:color="000000"/>
          <w:left w:val="single" w:sz="6" w:space="0" w:color="000000"/>
          <w:bottom w:val="single" w:sz="6" w:space="0" w:color="000000"/>
          <w:right w:val="single" w:sz="6" w:space="0" w:color="000000"/>
          <w:insideH w:val="single" w:sz="6" w:space="0" w:color="auto"/>
          <w:insideV w:val="single" w:sz="6" w:space="0" w:color="000000"/>
        </w:tblBorders>
        <w:tblLayout w:type="fixed"/>
        <w:tblCellMar>
          <w:top w:w="45" w:type="dxa"/>
          <w:left w:w="45" w:type="dxa"/>
          <w:bottom w:w="45" w:type="dxa"/>
          <w:right w:w="45" w:type="dxa"/>
        </w:tblCellMar>
        <w:tblLook w:val="0000" w:firstRow="0" w:lastRow="0" w:firstColumn="0" w:lastColumn="0" w:noHBand="0" w:noVBand="0"/>
      </w:tblPr>
      <w:tblGrid>
        <w:gridCol w:w="1035"/>
        <w:gridCol w:w="2127"/>
        <w:gridCol w:w="1053"/>
        <w:gridCol w:w="973"/>
        <w:gridCol w:w="4541"/>
      </w:tblGrid>
      <w:tr w:rsidR="00CB0DD7" w:rsidRPr="000A0A5F" w:rsidTr="0008146A">
        <w:tc>
          <w:tcPr>
            <w:tcW w:w="532" w:type="pct"/>
            <w:vMerge w:val="restart"/>
            <w:shd w:val="clear" w:color="auto" w:fill="C0C0C0"/>
            <w:vAlign w:val="center"/>
          </w:tcPr>
          <w:p w:rsidR="00CB0DD7" w:rsidRPr="000A0A5F" w:rsidRDefault="00CB0DD7">
            <w:pPr>
              <w:pStyle w:val="TAH"/>
            </w:pPr>
            <w:r w:rsidRPr="000A0A5F">
              <w:t>Request body</w:t>
            </w:r>
          </w:p>
        </w:tc>
        <w:tc>
          <w:tcPr>
            <w:tcW w:w="1093" w:type="pct"/>
            <w:shd w:val="clear" w:color="auto" w:fill="C0C0C0"/>
          </w:tcPr>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r w:rsidRPr="000A0A5F">
              <w:t>Cardinality</w:t>
            </w:r>
          </w:p>
        </w:tc>
        <w:tc>
          <w:tcPr>
            <w:tcW w:w="2834" w:type="pct"/>
            <w:gridSpan w:val="2"/>
            <w:shd w:val="clear" w:color="auto" w:fill="C0C0C0"/>
          </w:tcPr>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rPr>
                <w:rFonts w:eastAsia="Times New Roman"/>
              </w:rPr>
              <w:t>CpParameterSet</w:t>
            </w:r>
          </w:p>
        </w:tc>
        <w:tc>
          <w:tcPr>
            <w:tcW w:w="541" w:type="pct"/>
          </w:tcPr>
          <w:p w:rsidR="00CB0DD7" w:rsidRPr="000A0A5F" w:rsidRDefault="00CB0DD7">
            <w:pPr>
              <w:pStyle w:val="TAL"/>
            </w:pPr>
            <w:r w:rsidRPr="000A0A5F">
              <w:t>1</w:t>
            </w:r>
          </w:p>
        </w:tc>
        <w:tc>
          <w:tcPr>
            <w:tcW w:w="2834" w:type="pct"/>
            <w:gridSpan w:val="2"/>
          </w:tcPr>
          <w:p w:rsidR="00CB0DD7" w:rsidRPr="000A0A5F" w:rsidRDefault="00CB0DD7">
            <w:pPr>
              <w:pStyle w:val="TAL"/>
            </w:pPr>
            <w:r w:rsidRPr="000A0A5F">
              <w:t>Change information in CP parameter set.</w:t>
            </w:r>
          </w:p>
        </w:tc>
      </w:tr>
      <w:tr w:rsidR="00CB0DD7" w:rsidRPr="000A0A5F" w:rsidTr="0008146A">
        <w:tc>
          <w:tcPr>
            <w:tcW w:w="532" w:type="pct"/>
            <w:vMerge w:val="restart"/>
            <w:shd w:val="clear" w:color="auto" w:fill="C0C0C0"/>
            <w:vAlign w:val="center"/>
          </w:tcPr>
          <w:p w:rsidR="00CB0DD7" w:rsidRPr="000A0A5F" w:rsidRDefault="00CB0DD7">
            <w:pPr>
              <w:pStyle w:val="TAH"/>
            </w:pPr>
            <w:r w:rsidRPr="000A0A5F">
              <w:t>Response body</w:t>
            </w:r>
          </w:p>
        </w:tc>
        <w:tc>
          <w:tcPr>
            <w:tcW w:w="1093" w:type="pct"/>
            <w:shd w:val="clear" w:color="auto" w:fill="C0C0C0"/>
          </w:tcPr>
          <w:p w:rsidR="00CB0DD7" w:rsidRPr="000A0A5F" w:rsidRDefault="00CB0DD7">
            <w:pPr>
              <w:pStyle w:val="TAH"/>
            </w:pPr>
          </w:p>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p>
          <w:p w:rsidR="00CB0DD7" w:rsidRPr="000A0A5F" w:rsidRDefault="00CB0DD7">
            <w:pPr>
              <w:pStyle w:val="TAH"/>
            </w:pPr>
            <w:r w:rsidRPr="000A0A5F">
              <w:t>Cardinality</w:t>
            </w:r>
          </w:p>
        </w:tc>
        <w:tc>
          <w:tcPr>
            <w:tcW w:w="500" w:type="pct"/>
            <w:shd w:val="clear" w:color="auto" w:fill="C0C0C0"/>
          </w:tcPr>
          <w:p w:rsidR="00CB0DD7" w:rsidRPr="000A0A5F" w:rsidRDefault="00CB0DD7">
            <w:pPr>
              <w:pStyle w:val="TAH"/>
            </w:pPr>
            <w:r w:rsidRPr="000A0A5F">
              <w:t>Response</w:t>
            </w:r>
          </w:p>
          <w:p w:rsidR="00CB0DD7" w:rsidRPr="000A0A5F" w:rsidRDefault="00CB0DD7">
            <w:pPr>
              <w:pStyle w:val="TAH"/>
            </w:pPr>
            <w:r w:rsidRPr="000A0A5F">
              <w:t>codes</w:t>
            </w:r>
          </w:p>
        </w:tc>
        <w:tc>
          <w:tcPr>
            <w:tcW w:w="2334" w:type="pct"/>
            <w:shd w:val="clear" w:color="auto" w:fill="C0C0C0"/>
          </w:tcPr>
          <w:p w:rsidR="00CB0DD7" w:rsidRPr="000A0A5F" w:rsidRDefault="00CB0DD7">
            <w:pPr>
              <w:pStyle w:val="TAH"/>
            </w:pPr>
          </w:p>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rPr>
                <w:rFonts w:eastAsia="Times New Roman"/>
              </w:rPr>
              <w:t>CpParameterSet</w:t>
            </w:r>
          </w:p>
        </w:tc>
        <w:tc>
          <w:tcPr>
            <w:tcW w:w="541" w:type="pct"/>
          </w:tcPr>
          <w:p w:rsidR="00CB0DD7" w:rsidRPr="000A0A5F" w:rsidRDefault="00CB0DD7">
            <w:pPr>
              <w:pStyle w:val="TAL"/>
              <w:rPr>
                <w:rFonts w:hint="eastAsia"/>
                <w:lang w:eastAsia="zh-CN"/>
              </w:rPr>
            </w:pPr>
            <w:r w:rsidRPr="000A0A5F">
              <w:rPr>
                <w:rFonts w:hint="eastAsia"/>
                <w:lang w:eastAsia="zh-CN"/>
              </w:rPr>
              <w:t>1</w:t>
            </w:r>
          </w:p>
        </w:tc>
        <w:tc>
          <w:tcPr>
            <w:tcW w:w="500" w:type="pct"/>
          </w:tcPr>
          <w:p w:rsidR="00CB0DD7" w:rsidRPr="000A0A5F" w:rsidRDefault="00CB0DD7">
            <w:pPr>
              <w:pStyle w:val="TAL"/>
              <w:rPr>
                <w:rFonts w:hint="eastAsia"/>
                <w:lang w:eastAsia="zh-CN"/>
              </w:rPr>
            </w:pPr>
            <w:r w:rsidRPr="000A0A5F">
              <w:t>20</w:t>
            </w:r>
            <w:r w:rsidRPr="000A0A5F">
              <w:rPr>
                <w:rFonts w:hint="eastAsia"/>
                <w:lang w:eastAsia="zh-CN"/>
              </w:rPr>
              <w:t>0 OK</w:t>
            </w:r>
          </w:p>
        </w:tc>
        <w:tc>
          <w:tcPr>
            <w:tcW w:w="2334" w:type="pct"/>
          </w:tcPr>
          <w:p w:rsidR="00CB0DD7" w:rsidRPr="000A0A5F" w:rsidRDefault="00CB0DD7">
            <w:pPr>
              <w:pStyle w:val="TAL"/>
              <w:spacing w:afterLines="50" w:after="120"/>
            </w:pPr>
            <w:r w:rsidRPr="000A0A5F">
              <w:t xml:space="preserve">The CP parameter set resource was </w:t>
            </w:r>
            <w:r w:rsidRPr="000A0A5F">
              <w:rPr>
                <w:rFonts w:hint="eastAsia"/>
                <w:lang w:eastAsia="zh-CN"/>
              </w:rPr>
              <w:t>modified</w:t>
            </w:r>
            <w:r w:rsidRPr="000A0A5F">
              <w:t xml:space="preserve"> successfully. </w:t>
            </w:r>
          </w:p>
          <w:p w:rsidR="00CB0DD7" w:rsidRPr="000A0A5F" w:rsidRDefault="0089739F">
            <w:pPr>
              <w:pStyle w:val="TAL"/>
              <w:rPr>
                <w:rFonts w:hint="eastAsia"/>
                <w:lang w:eastAsia="zh-CN"/>
              </w:rPr>
            </w:pPr>
            <w:r w:rsidRPr="000A0A5F">
              <w:t xml:space="preserve">The SCEF </w:t>
            </w:r>
            <w:r w:rsidRPr="000A0A5F">
              <w:rPr>
                <w:rFonts w:hint="eastAsia"/>
                <w:lang w:eastAsia="zh-CN"/>
              </w:rPr>
              <w:t>shall</w:t>
            </w:r>
            <w:r w:rsidRPr="000A0A5F">
              <w:t xml:space="preserve"> return an updated CP parameter set resource in the response content.</w:t>
            </w:r>
          </w:p>
        </w:tc>
      </w:tr>
      <w:tr w:rsidR="00F72590" w:rsidRPr="000A0A5F" w:rsidTr="00FF0AF8">
        <w:tc>
          <w:tcPr>
            <w:tcW w:w="532" w:type="pct"/>
            <w:vMerge/>
            <w:shd w:val="clear" w:color="auto" w:fill="BFBFBF"/>
            <w:vAlign w:val="center"/>
          </w:tcPr>
          <w:p w:rsidR="00F72590" w:rsidRPr="000A0A5F" w:rsidRDefault="00F72590" w:rsidP="00F72590">
            <w:pPr>
              <w:pStyle w:val="TAL"/>
              <w:jc w:val="center"/>
            </w:pPr>
          </w:p>
        </w:tc>
        <w:tc>
          <w:tcPr>
            <w:tcW w:w="1093" w:type="pct"/>
            <w:shd w:val="clear" w:color="auto" w:fill="auto"/>
          </w:tcPr>
          <w:p w:rsidR="00F72590" w:rsidRPr="000A0A5F" w:rsidRDefault="00F72590" w:rsidP="00F72590">
            <w:pPr>
              <w:pStyle w:val="TAL"/>
              <w:rPr>
                <w:rFonts w:eastAsia="Times New Roman"/>
              </w:rPr>
            </w:pPr>
            <w:r w:rsidRPr="000A0A5F">
              <w:rPr>
                <w:rFonts w:eastAsia="Times New Roman"/>
              </w:rPr>
              <w:t>none</w:t>
            </w:r>
          </w:p>
        </w:tc>
        <w:tc>
          <w:tcPr>
            <w:tcW w:w="541" w:type="pct"/>
          </w:tcPr>
          <w:p w:rsidR="00F72590" w:rsidRPr="000A0A5F" w:rsidRDefault="00F72590" w:rsidP="00F72590">
            <w:pPr>
              <w:pStyle w:val="TAL"/>
              <w:rPr>
                <w:rFonts w:hint="eastAsia"/>
                <w:lang w:eastAsia="zh-CN"/>
              </w:rPr>
            </w:pPr>
          </w:p>
        </w:tc>
        <w:tc>
          <w:tcPr>
            <w:tcW w:w="500" w:type="pct"/>
          </w:tcPr>
          <w:p w:rsidR="00F72590" w:rsidRPr="000A0A5F" w:rsidRDefault="00F72590" w:rsidP="00F72590">
            <w:pPr>
              <w:pStyle w:val="TAL"/>
            </w:pPr>
            <w:r w:rsidRPr="000A0A5F">
              <w:rPr>
                <w:rFonts w:hint="eastAsia"/>
                <w:lang w:eastAsia="zh-CN"/>
              </w:rPr>
              <w:t>2</w:t>
            </w:r>
            <w:r w:rsidRPr="000A0A5F">
              <w:rPr>
                <w:lang w:eastAsia="zh-CN"/>
              </w:rPr>
              <w:t>04 No Content</w:t>
            </w:r>
          </w:p>
        </w:tc>
        <w:tc>
          <w:tcPr>
            <w:tcW w:w="2334" w:type="pct"/>
          </w:tcPr>
          <w:p w:rsidR="00F72590" w:rsidRPr="000A0A5F" w:rsidRDefault="00F72590" w:rsidP="00F72590">
            <w:pPr>
              <w:pStyle w:val="TAL"/>
              <w:spacing w:afterLines="50" w:after="120"/>
            </w:pPr>
            <w:r w:rsidRPr="000A0A5F">
              <w:t xml:space="preserve">The CP parameter set resource was </w:t>
            </w:r>
            <w:r w:rsidRPr="000A0A5F">
              <w:rPr>
                <w:rFonts w:hint="eastAsia"/>
                <w:lang w:eastAsia="zh-CN"/>
              </w:rPr>
              <w:t>modified</w:t>
            </w:r>
            <w:r w:rsidRPr="000A0A5F">
              <w:t xml:space="preserve"> successfully and no content is to be sent in the response message body.</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eastAsia="Times New Roman"/>
              </w:rPr>
            </w:pPr>
            <w:r w:rsidRPr="000A0A5F">
              <w:rPr>
                <w:lang w:eastAsia="zh-CN"/>
              </w:rPr>
              <w:t>CpReport</w:t>
            </w:r>
          </w:p>
        </w:tc>
        <w:tc>
          <w:tcPr>
            <w:tcW w:w="541" w:type="pct"/>
          </w:tcPr>
          <w:p w:rsidR="00CB0DD7" w:rsidRPr="000A0A5F" w:rsidRDefault="00CB0DD7">
            <w:pPr>
              <w:pStyle w:val="TAL"/>
              <w:rPr>
                <w:rFonts w:hint="eastAsia"/>
                <w:lang w:eastAsia="zh-CN"/>
              </w:rPr>
            </w:pPr>
            <w:r w:rsidRPr="000A0A5F">
              <w:t>1</w:t>
            </w:r>
          </w:p>
        </w:tc>
        <w:tc>
          <w:tcPr>
            <w:tcW w:w="500" w:type="pct"/>
          </w:tcPr>
          <w:p w:rsidR="00CB0DD7" w:rsidRPr="000A0A5F" w:rsidRDefault="00CB0DD7">
            <w:pPr>
              <w:pStyle w:val="TAL"/>
            </w:pPr>
            <w:r w:rsidRPr="000A0A5F">
              <w:t>409 Conflict</w:t>
            </w:r>
          </w:p>
        </w:tc>
        <w:tc>
          <w:tcPr>
            <w:tcW w:w="2334" w:type="pct"/>
          </w:tcPr>
          <w:p w:rsidR="00CB0DD7" w:rsidRPr="000A0A5F" w:rsidRDefault="00CB0DD7">
            <w:pPr>
              <w:pStyle w:val="TAL"/>
              <w:spacing w:afterLines="50" w:after="120"/>
            </w:pPr>
            <w:r w:rsidRPr="000A0A5F">
              <w:t>The CP parameters for the CP set were not updated successfully, applicable for error SET</w:t>
            </w:r>
            <w:r w:rsidRPr="000A0A5F">
              <w:rPr>
                <w:rFonts w:cs="Arial"/>
                <w:bCs/>
                <w:color w:val="333333"/>
                <w:szCs w:val="18"/>
              </w:rPr>
              <w:t>_ID_DUPLICATED</w:t>
            </w:r>
            <w:r w:rsidRPr="000A0A5F">
              <w:t xml:space="preserve"> in table 5.10.2.3.5-1.</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eastAsia="Times New Roman"/>
              </w:rPr>
            </w:pPr>
            <w:r w:rsidRPr="000A0A5F">
              <w:rPr>
                <w:lang w:eastAsia="zh-CN"/>
              </w:rPr>
              <w:t>CpReport</w:t>
            </w:r>
          </w:p>
        </w:tc>
        <w:tc>
          <w:tcPr>
            <w:tcW w:w="541" w:type="pct"/>
          </w:tcPr>
          <w:p w:rsidR="00CB0DD7" w:rsidRPr="000A0A5F" w:rsidRDefault="00CB0DD7">
            <w:pPr>
              <w:pStyle w:val="TAL"/>
              <w:rPr>
                <w:rFonts w:hint="eastAsia"/>
                <w:lang w:eastAsia="zh-CN"/>
              </w:rPr>
            </w:pPr>
            <w:r w:rsidRPr="000A0A5F">
              <w:t>1</w:t>
            </w:r>
          </w:p>
        </w:tc>
        <w:tc>
          <w:tcPr>
            <w:tcW w:w="500" w:type="pct"/>
          </w:tcPr>
          <w:p w:rsidR="00CB0DD7" w:rsidRPr="000A0A5F" w:rsidRDefault="00CB0DD7">
            <w:pPr>
              <w:pStyle w:val="TAL"/>
            </w:pPr>
            <w:r w:rsidRPr="000A0A5F">
              <w:t>500 Internal Server Error</w:t>
            </w:r>
          </w:p>
        </w:tc>
        <w:tc>
          <w:tcPr>
            <w:tcW w:w="2334" w:type="pct"/>
          </w:tcPr>
          <w:p w:rsidR="00CB0DD7" w:rsidRPr="000A0A5F" w:rsidRDefault="0089739F">
            <w:pPr>
              <w:pStyle w:val="TAL"/>
              <w:spacing w:afterLines="50" w:after="120"/>
            </w:pPr>
            <w:r w:rsidRPr="000A0A5F">
              <w:t>The CP parameters for the CP set were not updated successfully, applicable for other errors in table 5.10.2.3.5-1.</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lang w:eastAsia="zh-CN"/>
              </w:rPr>
            </w:pPr>
            <w:r w:rsidRPr="000A0A5F">
              <w:t>none</w:t>
            </w:r>
          </w:p>
        </w:tc>
        <w:tc>
          <w:tcPr>
            <w:tcW w:w="541" w:type="pct"/>
          </w:tcPr>
          <w:p w:rsidR="00CB0DD7" w:rsidRPr="000A0A5F" w:rsidRDefault="00CB0DD7">
            <w:pPr>
              <w:pStyle w:val="TAL"/>
            </w:pPr>
          </w:p>
        </w:tc>
        <w:tc>
          <w:tcPr>
            <w:tcW w:w="500" w:type="pct"/>
          </w:tcPr>
          <w:p w:rsidR="00CB0DD7" w:rsidRPr="000A0A5F" w:rsidRDefault="00CB0DD7">
            <w:pPr>
              <w:pStyle w:val="TAL"/>
            </w:pPr>
            <w:r w:rsidRPr="000A0A5F">
              <w:t>307 Temporary Redirect</w:t>
            </w:r>
          </w:p>
        </w:tc>
        <w:tc>
          <w:tcPr>
            <w:tcW w:w="2334" w:type="pct"/>
          </w:tcPr>
          <w:p w:rsidR="00CB0DD7" w:rsidRPr="000A0A5F" w:rsidRDefault="00CB0DD7">
            <w:pPr>
              <w:pStyle w:val="TAL"/>
            </w:pPr>
            <w:r w:rsidRPr="000A0A5F">
              <w:t>Temporary redirection, during subscription modification. The response shall include a Location header field containing an alternative URI of the resource located in an alternative SCEF.</w:t>
            </w:r>
          </w:p>
          <w:p w:rsidR="00CB0DD7" w:rsidRPr="000A0A5F" w:rsidRDefault="00CB0DD7">
            <w:pPr>
              <w:pStyle w:val="TAL"/>
              <w:spacing w:afterLines="50" w:after="120"/>
            </w:pPr>
            <w:r w:rsidRPr="000A0A5F">
              <w:t>Redirection handling is described in clause 5.2.10.</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lang w:eastAsia="zh-CN"/>
              </w:rPr>
            </w:pPr>
            <w:r w:rsidRPr="000A0A5F">
              <w:t>none</w:t>
            </w:r>
          </w:p>
        </w:tc>
        <w:tc>
          <w:tcPr>
            <w:tcW w:w="541" w:type="pct"/>
          </w:tcPr>
          <w:p w:rsidR="00CB0DD7" w:rsidRPr="000A0A5F" w:rsidRDefault="00CB0DD7">
            <w:pPr>
              <w:pStyle w:val="TAL"/>
            </w:pPr>
          </w:p>
        </w:tc>
        <w:tc>
          <w:tcPr>
            <w:tcW w:w="500" w:type="pct"/>
          </w:tcPr>
          <w:p w:rsidR="00CB0DD7" w:rsidRPr="000A0A5F" w:rsidRDefault="00CB0DD7">
            <w:pPr>
              <w:pStyle w:val="TAL"/>
            </w:pPr>
            <w:r w:rsidRPr="000A0A5F">
              <w:t>308 Permanent Redirect</w:t>
            </w:r>
          </w:p>
        </w:tc>
        <w:tc>
          <w:tcPr>
            <w:tcW w:w="2334" w:type="pct"/>
          </w:tcPr>
          <w:p w:rsidR="00CB0DD7" w:rsidRPr="000A0A5F" w:rsidRDefault="00CB0DD7">
            <w:pPr>
              <w:pStyle w:val="TAL"/>
            </w:pPr>
            <w:r w:rsidRPr="000A0A5F">
              <w:t>Permanent redirection, during subscription modification. The response shall include a Location header field containing an alternative URI of the resource located in an alternative SCEF.</w:t>
            </w:r>
          </w:p>
          <w:p w:rsidR="00CB0DD7" w:rsidRPr="000A0A5F" w:rsidRDefault="00CB0DD7">
            <w:pPr>
              <w:pStyle w:val="TAL"/>
              <w:spacing w:afterLines="50" w:after="120"/>
            </w:pPr>
            <w:r w:rsidRPr="000A0A5F">
              <w:t>Redirection handling is described in clause 5.2.10.</w:t>
            </w:r>
          </w:p>
        </w:tc>
      </w:tr>
      <w:tr w:rsidR="00CB0DD7" w:rsidRPr="000A0A5F" w:rsidTr="00FF0AF8">
        <w:tc>
          <w:tcPr>
            <w:tcW w:w="5000" w:type="pct"/>
            <w:gridSpan w:val="5"/>
            <w:shd w:val="clear" w:color="auto" w:fill="auto"/>
            <w:vAlign w:val="center"/>
          </w:tcPr>
          <w:p w:rsidR="00CB0DD7" w:rsidRPr="000A0A5F" w:rsidRDefault="00CB0DD7">
            <w:pPr>
              <w:pStyle w:val="TAN"/>
              <w:rPr>
                <w:rFonts w:hint="eastAsia"/>
                <w:lang w:eastAsia="zh-CN"/>
              </w:rPr>
            </w:pPr>
            <w:r w:rsidRPr="000A0A5F">
              <w:t>NOTE:</w:t>
            </w:r>
            <w:r w:rsidRPr="000A0A5F">
              <w:tab/>
              <w:t>The mandatory HTTP error status codes for the PUT method listed in table 5.2.6-1 also apply.</w:t>
            </w:r>
          </w:p>
        </w:tc>
      </w:tr>
    </w:tbl>
    <w:p w:rsidR="00CB0DD7" w:rsidRPr="000A0A5F" w:rsidRDefault="00CB0DD7"/>
    <w:p w:rsidR="00CB0DD7" w:rsidRPr="000A0A5F" w:rsidRDefault="002E466A">
      <w:pPr>
        <w:pStyle w:val="TH"/>
      </w:pPr>
      <w:r w:rsidRPr="000A0A5F">
        <w:t>Table </w:t>
      </w:r>
      <w:r w:rsidR="00CB0DD7" w:rsidRPr="000A0A5F">
        <w:t>5.10.3.4.3.2-2: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2E466A">
      <w:pPr>
        <w:pStyle w:val="TH"/>
      </w:pPr>
      <w:r w:rsidRPr="000A0A5F">
        <w:t>Table </w:t>
      </w:r>
      <w:r w:rsidR="00CB0DD7" w:rsidRPr="000A0A5F">
        <w:t>5.10.3.4.3.2-3: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CB0DD7">
      <w:pPr>
        <w:pStyle w:val="Heading6"/>
      </w:pPr>
      <w:bookmarkStart w:id="7666" w:name="_Toc11247761"/>
      <w:bookmarkStart w:id="7667" w:name="_Toc27044904"/>
      <w:bookmarkStart w:id="7668" w:name="_Toc36033946"/>
      <w:bookmarkStart w:id="7669" w:name="_Toc45132092"/>
      <w:bookmarkStart w:id="7670" w:name="_Toc49776377"/>
      <w:bookmarkStart w:id="7671" w:name="_Toc51747297"/>
      <w:bookmarkStart w:id="7672" w:name="_Toc66360870"/>
      <w:bookmarkStart w:id="7673" w:name="_Toc68105375"/>
      <w:bookmarkStart w:id="7674" w:name="_Toc74756005"/>
      <w:bookmarkStart w:id="7675" w:name="_Toc105674881"/>
      <w:bookmarkStart w:id="7676" w:name="_Toc130502941"/>
      <w:bookmarkStart w:id="7677" w:name="_Toc153625729"/>
      <w:r w:rsidRPr="000A0A5F">
        <w:t>5.10.3.4.3.3</w:t>
      </w:r>
      <w:r w:rsidRPr="000A0A5F">
        <w:tab/>
        <w:t>PATCH</w:t>
      </w:r>
      <w:bookmarkEnd w:id="7666"/>
      <w:bookmarkEnd w:id="7667"/>
      <w:bookmarkEnd w:id="7668"/>
      <w:bookmarkEnd w:id="7669"/>
      <w:bookmarkEnd w:id="7670"/>
      <w:bookmarkEnd w:id="7671"/>
      <w:bookmarkEnd w:id="7672"/>
      <w:bookmarkEnd w:id="7673"/>
      <w:bookmarkEnd w:id="7674"/>
      <w:bookmarkEnd w:id="7675"/>
      <w:bookmarkEnd w:id="7676"/>
      <w:bookmarkEnd w:id="7677"/>
    </w:p>
    <w:p w:rsidR="00CB0DD7" w:rsidRPr="000A0A5F" w:rsidRDefault="00CB0DD7">
      <w:pPr>
        <w:rPr>
          <w:lang w:eastAsia="zh-CN"/>
        </w:rPr>
      </w:pPr>
      <w:r w:rsidRPr="000A0A5F">
        <w:rPr>
          <w:rFonts w:hint="eastAsia"/>
          <w:lang w:eastAsia="zh-CN"/>
        </w:rPr>
        <w:t xml:space="preserve">This </w:t>
      </w:r>
      <w:r w:rsidRPr="000A0A5F">
        <w:rPr>
          <w:lang w:eastAsia="zh-CN"/>
        </w:rPr>
        <w:t>HTTP method is not supported for the resource.</w:t>
      </w:r>
    </w:p>
    <w:p w:rsidR="00CB0DD7" w:rsidRPr="000A0A5F" w:rsidRDefault="00CB0DD7">
      <w:pPr>
        <w:pStyle w:val="Heading6"/>
      </w:pPr>
      <w:bookmarkStart w:id="7678" w:name="_Toc11247762"/>
      <w:bookmarkStart w:id="7679" w:name="_Toc27044905"/>
      <w:bookmarkStart w:id="7680" w:name="_Toc36033947"/>
      <w:bookmarkStart w:id="7681" w:name="_Toc45132093"/>
      <w:bookmarkStart w:id="7682" w:name="_Toc49776378"/>
      <w:bookmarkStart w:id="7683" w:name="_Toc51747298"/>
      <w:bookmarkStart w:id="7684" w:name="_Toc66360871"/>
      <w:bookmarkStart w:id="7685" w:name="_Toc68105376"/>
      <w:bookmarkStart w:id="7686" w:name="_Toc74756006"/>
      <w:bookmarkStart w:id="7687" w:name="_Toc105674882"/>
      <w:bookmarkStart w:id="7688" w:name="_Toc130502942"/>
      <w:bookmarkStart w:id="7689" w:name="_Toc153625730"/>
      <w:r w:rsidRPr="000A0A5F">
        <w:t>5.10.3.4.3.4</w:t>
      </w:r>
      <w:r w:rsidRPr="000A0A5F">
        <w:tab/>
        <w:t>POST</w:t>
      </w:r>
      <w:bookmarkEnd w:id="7678"/>
      <w:bookmarkEnd w:id="7679"/>
      <w:bookmarkEnd w:id="7680"/>
      <w:bookmarkEnd w:id="7681"/>
      <w:bookmarkEnd w:id="7682"/>
      <w:bookmarkEnd w:id="7683"/>
      <w:bookmarkEnd w:id="7684"/>
      <w:bookmarkEnd w:id="7685"/>
      <w:bookmarkEnd w:id="7686"/>
      <w:bookmarkEnd w:id="7687"/>
      <w:bookmarkEnd w:id="7688"/>
      <w:bookmarkEnd w:id="7689"/>
    </w:p>
    <w:p w:rsidR="00CB0DD7" w:rsidRPr="000A0A5F" w:rsidRDefault="00CB0DD7">
      <w:pPr>
        <w:rPr>
          <w:rFonts w:hint="eastAsia"/>
          <w:lang w:eastAsia="zh-CN"/>
        </w:rPr>
      </w:pPr>
      <w:r w:rsidRPr="000A0A5F">
        <w:rPr>
          <w:rFonts w:hint="eastAsia"/>
          <w:lang w:eastAsia="zh-CN"/>
        </w:rPr>
        <w:t xml:space="preserve">This </w:t>
      </w:r>
      <w:r w:rsidRPr="000A0A5F">
        <w:rPr>
          <w:lang w:eastAsia="zh-CN"/>
        </w:rPr>
        <w:t>HTTP method is not supported for the resource.</w:t>
      </w:r>
    </w:p>
    <w:p w:rsidR="00CB0DD7" w:rsidRPr="000A0A5F" w:rsidRDefault="00CB0DD7">
      <w:pPr>
        <w:pStyle w:val="Heading6"/>
      </w:pPr>
      <w:bookmarkStart w:id="7690" w:name="_Toc11247763"/>
      <w:bookmarkStart w:id="7691" w:name="_Toc27044906"/>
      <w:bookmarkStart w:id="7692" w:name="_Toc36033948"/>
      <w:bookmarkStart w:id="7693" w:name="_Toc45132094"/>
      <w:bookmarkStart w:id="7694" w:name="_Toc49776379"/>
      <w:bookmarkStart w:id="7695" w:name="_Toc51747299"/>
      <w:bookmarkStart w:id="7696" w:name="_Toc66360872"/>
      <w:bookmarkStart w:id="7697" w:name="_Toc68105377"/>
      <w:bookmarkStart w:id="7698" w:name="_Toc74756007"/>
      <w:bookmarkStart w:id="7699" w:name="_Toc105674883"/>
      <w:bookmarkStart w:id="7700" w:name="_Toc130502943"/>
      <w:bookmarkStart w:id="7701" w:name="_Toc153625731"/>
      <w:r w:rsidRPr="000A0A5F">
        <w:t>5.10.3.4.3.5</w:t>
      </w:r>
      <w:r w:rsidRPr="000A0A5F">
        <w:tab/>
        <w:t>DELETE</w:t>
      </w:r>
      <w:bookmarkEnd w:id="7690"/>
      <w:bookmarkEnd w:id="7691"/>
      <w:bookmarkEnd w:id="7692"/>
      <w:bookmarkEnd w:id="7693"/>
      <w:bookmarkEnd w:id="7694"/>
      <w:bookmarkEnd w:id="7695"/>
      <w:bookmarkEnd w:id="7696"/>
      <w:bookmarkEnd w:id="7697"/>
      <w:bookmarkEnd w:id="7698"/>
      <w:bookmarkEnd w:id="7699"/>
      <w:bookmarkEnd w:id="7700"/>
      <w:bookmarkEnd w:id="7701"/>
    </w:p>
    <w:p w:rsidR="00CB0DD7" w:rsidRPr="000A0A5F" w:rsidRDefault="00CB0DD7">
      <w:pPr>
        <w:rPr>
          <w:noProof/>
          <w:lang w:eastAsia="zh-CN"/>
        </w:rPr>
      </w:pPr>
      <w:r w:rsidRPr="000A0A5F">
        <w:rPr>
          <w:noProof/>
          <w:lang w:eastAsia="zh-CN"/>
        </w:rPr>
        <w:t xml:space="preserve">The DELETE method allows to remove an active subscription. The SCS/AS shall initiate the HTTP DELETE request message and the SCEF shall respond to the message. </w:t>
      </w:r>
    </w:p>
    <w:p w:rsidR="00CB0DD7" w:rsidRPr="000A0A5F" w:rsidRDefault="00CB0DD7">
      <w:r w:rsidRPr="000A0A5F">
        <w:t>This method shall support request and response data structures, and response codes, as specified in the table 5.10.3.4.3.5-1.</w:t>
      </w:r>
    </w:p>
    <w:p w:rsidR="00CB0DD7" w:rsidRPr="000A0A5F" w:rsidRDefault="00CB0DD7">
      <w:pPr>
        <w:pStyle w:val="TH"/>
      </w:pPr>
      <w:r w:rsidRPr="000A0A5F">
        <w:t>Table 5.10.3.4.3.5</w:t>
      </w:r>
      <w:r w:rsidRPr="000A0A5F">
        <w:rPr>
          <w:rFonts w:hint="eastAsia"/>
          <w:lang w:eastAsia="zh-CN"/>
        </w:rPr>
        <w:t>-1.</w:t>
      </w:r>
      <w:r w:rsidRPr="000A0A5F">
        <w:t xml:space="preserve">: Data structures supported by the </w:t>
      </w:r>
      <w:r w:rsidRPr="000A0A5F">
        <w:rPr>
          <w:rFonts w:hint="eastAsia"/>
          <w:lang w:eastAsia="zh-CN"/>
        </w:rPr>
        <w:t>DELETE</w:t>
      </w:r>
      <w:r w:rsidRPr="000A0A5F">
        <w:t xml:space="preserve"> request/response by the resource</w:t>
      </w:r>
    </w:p>
    <w:tbl>
      <w:tblPr>
        <w:tblW w:w="4999" w:type="pct"/>
        <w:tblInd w:w="1" w:type="dxa"/>
        <w:tblBorders>
          <w:top w:val="single" w:sz="6" w:space="0" w:color="000000"/>
          <w:left w:val="single" w:sz="6" w:space="0" w:color="000000"/>
          <w:bottom w:val="single" w:sz="6" w:space="0" w:color="000000"/>
          <w:right w:val="single" w:sz="6" w:space="0" w:color="000000"/>
          <w:insideH w:val="single" w:sz="6" w:space="0" w:color="auto"/>
          <w:insideV w:val="single" w:sz="6" w:space="0" w:color="000000"/>
        </w:tblBorders>
        <w:tblLayout w:type="fixed"/>
        <w:tblCellMar>
          <w:top w:w="45" w:type="dxa"/>
          <w:left w:w="45" w:type="dxa"/>
          <w:bottom w:w="45" w:type="dxa"/>
          <w:right w:w="45" w:type="dxa"/>
        </w:tblCellMar>
        <w:tblLook w:val="0000" w:firstRow="0" w:lastRow="0" w:firstColumn="0" w:lastColumn="0" w:noHBand="0" w:noVBand="0"/>
      </w:tblPr>
      <w:tblGrid>
        <w:gridCol w:w="1035"/>
        <w:gridCol w:w="2127"/>
        <w:gridCol w:w="1053"/>
        <w:gridCol w:w="973"/>
        <w:gridCol w:w="4541"/>
      </w:tblGrid>
      <w:tr w:rsidR="00CB0DD7" w:rsidRPr="000A0A5F" w:rsidTr="0008146A">
        <w:tc>
          <w:tcPr>
            <w:tcW w:w="532" w:type="pct"/>
            <w:vMerge w:val="restart"/>
            <w:shd w:val="clear" w:color="auto" w:fill="C0C0C0"/>
            <w:vAlign w:val="center"/>
          </w:tcPr>
          <w:p w:rsidR="00CB0DD7" w:rsidRPr="000A0A5F" w:rsidRDefault="00CB0DD7">
            <w:pPr>
              <w:pStyle w:val="TAH"/>
            </w:pPr>
            <w:r w:rsidRPr="000A0A5F">
              <w:t>Request body</w:t>
            </w:r>
          </w:p>
        </w:tc>
        <w:tc>
          <w:tcPr>
            <w:tcW w:w="1093" w:type="pct"/>
            <w:shd w:val="clear" w:color="auto" w:fill="C0C0C0"/>
          </w:tcPr>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r w:rsidRPr="000A0A5F">
              <w:t>Cardinality</w:t>
            </w:r>
          </w:p>
        </w:tc>
        <w:tc>
          <w:tcPr>
            <w:tcW w:w="2834" w:type="pct"/>
            <w:gridSpan w:val="2"/>
            <w:shd w:val="clear" w:color="auto" w:fill="C0C0C0"/>
          </w:tcPr>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rPr>
                <w:rFonts w:hint="eastAsia"/>
                <w:lang w:eastAsia="zh-CN"/>
              </w:rPr>
              <w:t>none</w:t>
            </w:r>
          </w:p>
        </w:tc>
        <w:tc>
          <w:tcPr>
            <w:tcW w:w="541" w:type="pct"/>
          </w:tcPr>
          <w:p w:rsidR="00CB0DD7" w:rsidRPr="000A0A5F" w:rsidRDefault="00CB0DD7">
            <w:pPr>
              <w:pStyle w:val="TAL"/>
              <w:rPr>
                <w:rFonts w:hint="eastAsia"/>
                <w:lang w:eastAsia="zh-CN"/>
              </w:rPr>
            </w:pPr>
          </w:p>
        </w:tc>
        <w:tc>
          <w:tcPr>
            <w:tcW w:w="2834" w:type="pct"/>
            <w:gridSpan w:val="2"/>
          </w:tcPr>
          <w:p w:rsidR="00CB0DD7" w:rsidRPr="000A0A5F" w:rsidRDefault="00CB0DD7">
            <w:pPr>
              <w:pStyle w:val="TAL"/>
              <w:rPr>
                <w:rFonts w:hint="eastAsia"/>
                <w:lang w:eastAsia="zh-CN"/>
              </w:rPr>
            </w:pPr>
          </w:p>
        </w:tc>
      </w:tr>
      <w:tr w:rsidR="00CB0DD7" w:rsidRPr="000A0A5F" w:rsidTr="0008146A">
        <w:tc>
          <w:tcPr>
            <w:tcW w:w="532" w:type="pct"/>
            <w:vMerge w:val="restart"/>
            <w:shd w:val="clear" w:color="auto" w:fill="C0C0C0"/>
            <w:vAlign w:val="center"/>
          </w:tcPr>
          <w:p w:rsidR="00CB0DD7" w:rsidRPr="000A0A5F" w:rsidRDefault="00CB0DD7">
            <w:pPr>
              <w:pStyle w:val="TAH"/>
            </w:pPr>
            <w:r w:rsidRPr="000A0A5F">
              <w:t>Response body</w:t>
            </w:r>
          </w:p>
        </w:tc>
        <w:tc>
          <w:tcPr>
            <w:tcW w:w="1093" w:type="pct"/>
            <w:shd w:val="clear" w:color="auto" w:fill="C0C0C0"/>
          </w:tcPr>
          <w:p w:rsidR="00CB0DD7" w:rsidRPr="000A0A5F" w:rsidRDefault="00CB0DD7">
            <w:pPr>
              <w:pStyle w:val="TAH"/>
            </w:pPr>
          </w:p>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p>
          <w:p w:rsidR="00CB0DD7" w:rsidRPr="000A0A5F" w:rsidRDefault="00CB0DD7">
            <w:pPr>
              <w:pStyle w:val="TAH"/>
            </w:pPr>
            <w:r w:rsidRPr="000A0A5F">
              <w:t>Cardinality</w:t>
            </w:r>
          </w:p>
        </w:tc>
        <w:tc>
          <w:tcPr>
            <w:tcW w:w="500" w:type="pct"/>
            <w:shd w:val="clear" w:color="auto" w:fill="C0C0C0"/>
          </w:tcPr>
          <w:p w:rsidR="00CB0DD7" w:rsidRPr="000A0A5F" w:rsidRDefault="00CB0DD7">
            <w:pPr>
              <w:pStyle w:val="TAH"/>
            </w:pPr>
            <w:r w:rsidRPr="000A0A5F">
              <w:t>Response</w:t>
            </w:r>
          </w:p>
          <w:p w:rsidR="00CB0DD7" w:rsidRPr="000A0A5F" w:rsidRDefault="00CB0DD7">
            <w:pPr>
              <w:pStyle w:val="TAH"/>
            </w:pPr>
            <w:r w:rsidRPr="000A0A5F">
              <w:t>codes</w:t>
            </w:r>
          </w:p>
        </w:tc>
        <w:tc>
          <w:tcPr>
            <w:tcW w:w="2334" w:type="pct"/>
            <w:shd w:val="clear" w:color="auto" w:fill="C0C0C0"/>
          </w:tcPr>
          <w:p w:rsidR="00CB0DD7" w:rsidRPr="000A0A5F" w:rsidRDefault="00CB0DD7">
            <w:pPr>
              <w:pStyle w:val="TAH"/>
            </w:pPr>
          </w:p>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rPr>
                <w:rFonts w:eastAsia="Times New Roman"/>
              </w:rPr>
              <w:t>none</w:t>
            </w:r>
          </w:p>
        </w:tc>
        <w:tc>
          <w:tcPr>
            <w:tcW w:w="541" w:type="pct"/>
          </w:tcPr>
          <w:p w:rsidR="00CB0DD7" w:rsidRPr="000A0A5F" w:rsidRDefault="00CB0DD7">
            <w:pPr>
              <w:pStyle w:val="TAL"/>
              <w:rPr>
                <w:rFonts w:hint="eastAsia"/>
                <w:lang w:eastAsia="zh-CN"/>
              </w:rPr>
            </w:pPr>
          </w:p>
        </w:tc>
        <w:tc>
          <w:tcPr>
            <w:tcW w:w="500" w:type="pct"/>
          </w:tcPr>
          <w:p w:rsidR="00CB0DD7" w:rsidRPr="000A0A5F" w:rsidRDefault="00CB0DD7">
            <w:pPr>
              <w:pStyle w:val="TAL"/>
              <w:rPr>
                <w:rFonts w:hint="eastAsia"/>
                <w:lang w:eastAsia="zh-CN"/>
              </w:rPr>
            </w:pPr>
            <w:r w:rsidRPr="000A0A5F">
              <w:rPr>
                <w:rFonts w:hint="eastAsia"/>
                <w:lang w:eastAsia="zh-CN"/>
              </w:rPr>
              <w:t>204 No Content</w:t>
            </w:r>
          </w:p>
        </w:tc>
        <w:tc>
          <w:tcPr>
            <w:tcW w:w="2334" w:type="pct"/>
          </w:tcPr>
          <w:p w:rsidR="00CB0DD7" w:rsidRPr="000A0A5F" w:rsidRDefault="0089739F">
            <w:pPr>
              <w:pStyle w:val="TAL"/>
            </w:pPr>
            <w:r w:rsidRPr="000A0A5F">
              <w:t xml:space="preserve">The </w:t>
            </w:r>
            <w:r w:rsidRPr="000A0A5F">
              <w:rPr>
                <w:lang w:eastAsia="zh-CN"/>
              </w:rPr>
              <w:t>subscription</w:t>
            </w:r>
            <w:r w:rsidRPr="000A0A5F">
              <w:t xml:space="preserve"> was </w:t>
            </w:r>
            <w:r w:rsidRPr="000A0A5F">
              <w:rPr>
                <w:lang w:eastAsia="zh-CN"/>
              </w:rPr>
              <w:t>deleted</w:t>
            </w:r>
            <w:r w:rsidRPr="000A0A5F">
              <w:t xml:space="preserve"> successfully.</w:t>
            </w:r>
            <w:r w:rsidRPr="000A0A5F">
              <w:rPr>
                <w:rFonts w:hint="eastAsia"/>
                <w:lang w:eastAsia="zh-CN"/>
              </w:rPr>
              <w:t xml:space="preserve"> </w:t>
            </w:r>
            <w:r w:rsidRPr="000A0A5F">
              <w:t>The content shall be empty.</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eastAsia="Times New Roman"/>
              </w:rPr>
            </w:pPr>
            <w:r w:rsidRPr="000A0A5F">
              <w:t>none</w:t>
            </w:r>
          </w:p>
        </w:tc>
        <w:tc>
          <w:tcPr>
            <w:tcW w:w="541" w:type="pct"/>
          </w:tcPr>
          <w:p w:rsidR="00CB0DD7" w:rsidRPr="000A0A5F" w:rsidRDefault="00CB0DD7">
            <w:pPr>
              <w:pStyle w:val="TAL"/>
              <w:rPr>
                <w:rFonts w:hint="eastAsia"/>
                <w:lang w:eastAsia="zh-CN"/>
              </w:rPr>
            </w:pPr>
          </w:p>
        </w:tc>
        <w:tc>
          <w:tcPr>
            <w:tcW w:w="500" w:type="pct"/>
          </w:tcPr>
          <w:p w:rsidR="00CB0DD7" w:rsidRPr="000A0A5F" w:rsidRDefault="00CB0DD7">
            <w:pPr>
              <w:pStyle w:val="TAL"/>
              <w:rPr>
                <w:rFonts w:hint="eastAsia"/>
                <w:lang w:eastAsia="zh-CN"/>
              </w:rPr>
            </w:pPr>
            <w:r w:rsidRPr="000A0A5F">
              <w:t>307 Temporary Redirect</w:t>
            </w:r>
          </w:p>
        </w:tc>
        <w:tc>
          <w:tcPr>
            <w:tcW w:w="2334" w:type="pct"/>
          </w:tcPr>
          <w:p w:rsidR="00CB0DD7" w:rsidRPr="000A0A5F" w:rsidRDefault="00CB0DD7">
            <w:pPr>
              <w:pStyle w:val="TAL"/>
            </w:pPr>
            <w:r w:rsidRPr="000A0A5F">
              <w:t>Temporary redirection, during subscription termination. The response shall include a Location header field containing an alternative URI of the resource located in an alternative SCEF.</w:t>
            </w:r>
          </w:p>
          <w:p w:rsidR="00CB0DD7" w:rsidRPr="000A0A5F" w:rsidRDefault="00CB0DD7">
            <w:pPr>
              <w:pStyle w:val="TAL"/>
            </w:pPr>
            <w:r w:rsidRPr="000A0A5F">
              <w:t>Redirection handling is described in clause 5.2.10.</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eastAsia="Times New Roman"/>
              </w:rPr>
            </w:pPr>
            <w:r w:rsidRPr="000A0A5F">
              <w:t>none</w:t>
            </w:r>
          </w:p>
        </w:tc>
        <w:tc>
          <w:tcPr>
            <w:tcW w:w="541" w:type="pct"/>
          </w:tcPr>
          <w:p w:rsidR="00CB0DD7" w:rsidRPr="000A0A5F" w:rsidRDefault="00CB0DD7">
            <w:pPr>
              <w:pStyle w:val="TAL"/>
              <w:rPr>
                <w:rFonts w:hint="eastAsia"/>
                <w:lang w:eastAsia="zh-CN"/>
              </w:rPr>
            </w:pPr>
          </w:p>
        </w:tc>
        <w:tc>
          <w:tcPr>
            <w:tcW w:w="500" w:type="pct"/>
          </w:tcPr>
          <w:p w:rsidR="00CB0DD7" w:rsidRPr="000A0A5F" w:rsidRDefault="00CB0DD7">
            <w:pPr>
              <w:pStyle w:val="TAL"/>
              <w:rPr>
                <w:rFonts w:hint="eastAsia"/>
                <w:lang w:eastAsia="zh-CN"/>
              </w:rPr>
            </w:pPr>
            <w:r w:rsidRPr="000A0A5F">
              <w:t>308 Permanent Redirect</w:t>
            </w:r>
          </w:p>
        </w:tc>
        <w:tc>
          <w:tcPr>
            <w:tcW w:w="2334" w:type="pct"/>
          </w:tcPr>
          <w:p w:rsidR="00CB0DD7" w:rsidRPr="000A0A5F" w:rsidRDefault="00CB0DD7">
            <w:pPr>
              <w:pStyle w:val="TAL"/>
            </w:pPr>
            <w:r w:rsidRPr="000A0A5F">
              <w:t>Permanent redirection, during subscription termination. The response shall include a Location header field containing an alternative URI of the resource located in an alternative SCEF.</w:t>
            </w:r>
          </w:p>
          <w:p w:rsidR="00CB0DD7" w:rsidRPr="000A0A5F" w:rsidRDefault="00CB0DD7">
            <w:pPr>
              <w:pStyle w:val="TAL"/>
            </w:pPr>
            <w:r w:rsidRPr="000A0A5F">
              <w:t>Redirection handling is described in clause 5.2.10.</w:t>
            </w:r>
          </w:p>
        </w:tc>
      </w:tr>
      <w:tr w:rsidR="00CB0DD7" w:rsidRPr="000A0A5F" w:rsidTr="00FF0AF8">
        <w:tc>
          <w:tcPr>
            <w:tcW w:w="5000" w:type="pct"/>
            <w:gridSpan w:val="5"/>
            <w:shd w:val="clear" w:color="auto" w:fill="auto"/>
            <w:vAlign w:val="center"/>
          </w:tcPr>
          <w:p w:rsidR="00CB0DD7" w:rsidRPr="000A0A5F" w:rsidRDefault="00CB0DD7">
            <w:pPr>
              <w:pStyle w:val="TAN"/>
            </w:pPr>
            <w:r w:rsidRPr="000A0A5F">
              <w:t>NOTE:</w:t>
            </w:r>
            <w:r w:rsidRPr="000A0A5F">
              <w:tab/>
              <w:t>The mandatory HTTP error status codes for the DELETE method listed in table 5.2.6-1 also apply.</w:t>
            </w:r>
          </w:p>
        </w:tc>
      </w:tr>
    </w:tbl>
    <w:p w:rsidR="00CB0DD7" w:rsidRPr="000A0A5F" w:rsidRDefault="00CB0DD7"/>
    <w:p w:rsidR="00CB0DD7" w:rsidRPr="000A0A5F" w:rsidRDefault="002E466A">
      <w:pPr>
        <w:pStyle w:val="TH"/>
      </w:pPr>
      <w:r w:rsidRPr="000A0A5F">
        <w:t>Table </w:t>
      </w:r>
      <w:r w:rsidR="00CB0DD7" w:rsidRPr="000A0A5F">
        <w:t>5.10.3.4.3.5-2: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2E466A">
      <w:pPr>
        <w:pStyle w:val="TH"/>
      </w:pPr>
      <w:r w:rsidRPr="000A0A5F">
        <w:t>Table </w:t>
      </w:r>
      <w:r w:rsidR="00CB0DD7" w:rsidRPr="000A0A5F">
        <w:t>5.10.3.4.3.5-3: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CB0DD7">
      <w:pPr>
        <w:pStyle w:val="Heading3"/>
      </w:pPr>
      <w:bookmarkStart w:id="7702" w:name="_Toc11247764"/>
      <w:bookmarkStart w:id="7703" w:name="_Toc27044907"/>
      <w:bookmarkStart w:id="7704" w:name="_Toc36033949"/>
      <w:bookmarkStart w:id="7705" w:name="_Toc45132095"/>
      <w:bookmarkStart w:id="7706" w:name="_Toc49776380"/>
      <w:bookmarkStart w:id="7707" w:name="_Toc51747300"/>
      <w:bookmarkStart w:id="7708" w:name="_Toc66360873"/>
      <w:bookmarkStart w:id="7709" w:name="_Toc68105378"/>
      <w:bookmarkStart w:id="7710" w:name="_Toc74756008"/>
      <w:bookmarkStart w:id="7711" w:name="_Toc105674884"/>
      <w:bookmarkStart w:id="7712" w:name="_Toc130502944"/>
      <w:bookmarkStart w:id="7713" w:name="_Toc153625732"/>
      <w:r w:rsidRPr="000A0A5F">
        <w:t>5.10.4</w:t>
      </w:r>
      <w:r w:rsidRPr="000A0A5F">
        <w:tab/>
        <w:t>Used Features</w:t>
      </w:r>
      <w:bookmarkEnd w:id="7702"/>
      <w:bookmarkEnd w:id="7703"/>
      <w:bookmarkEnd w:id="7704"/>
      <w:bookmarkEnd w:id="7705"/>
      <w:bookmarkEnd w:id="7706"/>
      <w:bookmarkEnd w:id="7707"/>
      <w:bookmarkEnd w:id="7708"/>
      <w:bookmarkEnd w:id="7709"/>
      <w:bookmarkEnd w:id="7710"/>
      <w:bookmarkEnd w:id="7711"/>
      <w:bookmarkEnd w:id="7712"/>
      <w:bookmarkEnd w:id="7713"/>
    </w:p>
    <w:p w:rsidR="00CB0DD7" w:rsidRPr="000A0A5F" w:rsidRDefault="00CB0DD7">
      <w:r w:rsidRPr="000A0A5F">
        <w:t>The table below defines the features applicable to the CpProvisioning API. Those features are negotiated as described in clause 5.2.7.</w:t>
      </w:r>
    </w:p>
    <w:p w:rsidR="00CB0DD7" w:rsidRPr="000A0A5F" w:rsidRDefault="00CB0DD7">
      <w:pPr>
        <w:pStyle w:val="TH"/>
      </w:pPr>
      <w:r w:rsidRPr="000A0A5F">
        <w:t>Table 5.10.4-1: Features used by CpProvisioning API</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897"/>
        <w:gridCol w:w="2337"/>
        <w:gridCol w:w="6623"/>
      </w:tblGrid>
      <w:tr w:rsidR="00CB0DD7" w:rsidRPr="000A0A5F" w:rsidTr="00FF0AF8">
        <w:trPr>
          <w:cantSplit/>
        </w:trPr>
        <w:tc>
          <w:tcPr>
            <w:tcW w:w="455" w:type="pct"/>
            <w:shd w:val="clear" w:color="auto" w:fill="C0C0C0"/>
          </w:tcPr>
          <w:p w:rsidR="00CB0DD7" w:rsidRPr="000A0A5F" w:rsidRDefault="00CB0DD7">
            <w:pPr>
              <w:pStyle w:val="TAH"/>
              <w:rPr>
                <w:rFonts w:eastAsia="Times New Roman"/>
              </w:rPr>
            </w:pPr>
            <w:r w:rsidRPr="000A0A5F">
              <w:t>Feature Number</w:t>
            </w:r>
          </w:p>
        </w:tc>
        <w:tc>
          <w:tcPr>
            <w:tcW w:w="1185" w:type="pct"/>
            <w:shd w:val="clear" w:color="auto" w:fill="C0C0C0"/>
          </w:tcPr>
          <w:p w:rsidR="00CB0DD7" w:rsidRPr="000A0A5F" w:rsidRDefault="00CB0DD7">
            <w:pPr>
              <w:pStyle w:val="TAH"/>
              <w:rPr>
                <w:rFonts w:eastAsia="Times New Roman"/>
              </w:rPr>
            </w:pPr>
            <w:r w:rsidRPr="000A0A5F">
              <w:rPr>
                <w:rFonts w:eastAsia="Times New Roman"/>
              </w:rPr>
              <w:t>Feature</w:t>
            </w:r>
          </w:p>
        </w:tc>
        <w:tc>
          <w:tcPr>
            <w:tcW w:w="3360" w:type="pct"/>
            <w:shd w:val="clear" w:color="auto" w:fill="C0C0C0"/>
          </w:tcPr>
          <w:p w:rsidR="00CB0DD7" w:rsidRPr="000A0A5F" w:rsidRDefault="00CB0DD7">
            <w:pPr>
              <w:pStyle w:val="TAH"/>
              <w:rPr>
                <w:lang w:eastAsia="ko-KR"/>
              </w:rPr>
            </w:pPr>
            <w:r w:rsidRPr="000A0A5F">
              <w:rPr>
                <w:rFonts w:eastAsia="Times New Roman"/>
              </w:rPr>
              <w:t>Description</w:t>
            </w:r>
          </w:p>
        </w:tc>
      </w:tr>
      <w:tr w:rsidR="00CB0DD7" w:rsidRPr="000A0A5F" w:rsidTr="00FF0AF8">
        <w:trPr>
          <w:cantSplit/>
        </w:trPr>
        <w:tc>
          <w:tcPr>
            <w:tcW w:w="455" w:type="pct"/>
          </w:tcPr>
          <w:p w:rsidR="00CB0DD7" w:rsidRPr="000A0A5F" w:rsidRDefault="00CB0DD7">
            <w:pPr>
              <w:pStyle w:val="TAC"/>
              <w:rPr>
                <w:lang w:eastAsia="zh-CN"/>
              </w:rPr>
            </w:pPr>
            <w:r w:rsidRPr="000A0A5F">
              <w:rPr>
                <w:rFonts w:hint="eastAsia"/>
                <w:lang w:eastAsia="zh-CN"/>
              </w:rPr>
              <w:t>1</w:t>
            </w:r>
          </w:p>
        </w:tc>
        <w:tc>
          <w:tcPr>
            <w:tcW w:w="1185" w:type="pct"/>
          </w:tcPr>
          <w:p w:rsidR="00CB0DD7" w:rsidRPr="000A0A5F" w:rsidRDefault="00CB0DD7">
            <w:pPr>
              <w:pStyle w:val="TAC"/>
              <w:rPr>
                <w:lang w:eastAsia="zh-CN"/>
              </w:rPr>
            </w:pPr>
            <w:r w:rsidRPr="000A0A5F">
              <w:rPr>
                <w:lang w:eastAsia="zh-CN"/>
              </w:rPr>
              <w:t>ExpectedUMT_5G</w:t>
            </w:r>
          </w:p>
        </w:tc>
        <w:tc>
          <w:tcPr>
            <w:tcW w:w="3360" w:type="pct"/>
          </w:tcPr>
          <w:p w:rsidR="00CB0DD7" w:rsidRPr="000A0A5F" w:rsidRDefault="00CB0DD7">
            <w:pPr>
              <w:pStyle w:val="TAL"/>
              <w:rPr>
                <w:lang w:eastAsia="zh-CN"/>
              </w:rPr>
            </w:pPr>
            <w:r w:rsidRPr="000A0A5F">
              <w:rPr>
                <w:rFonts w:hint="eastAsia"/>
                <w:lang w:eastAsia="zh-CN"/>
              </w:rPr>
              <w:t xml:space="preserve">The </w:t>
            </w:r>
            <w:r w:rsidRPr="000A0A5F">
              <w:rPr>
                <w:rFonts w:eastAsia="Malgun Gothic"/>
                <w:lang w:eastAsia="ja-JP"/>
              </w:rPr>
              <w:t>UE's expected geographical movement is supported. This feature may only be supported in 5G.</w:t>
            </w:r>
          </w:p>
        </w:tc>
      </w:tr>
      <w:tr w:rsidR="00CB0DD7" w:rsidRPr="000A0A5F" w:rsidTr="00FF0AF8">
        <w:trPr>
          <w:cantSplit/>
        </w:trPr>
        <w:tc>
          <w:tcPr>
            <w:tcW w:w="455" w:type="pct"/>
          </w:tcPr>
          <w:p w:rsidR="00CB0DD7" w:rsidRPr="000A0A5F" w:rsidRDefault="00CB0DD7">
            <w:pPr>
              <w:pStyle w:val="TAC"/>
              <w:rPr>
                <w:rFonts w:hint="eastAsia"/>
                <w:lang w:eastAsia="zh-CN"/>
              </w:rPr>
            </w:pPr>
            <w:r w:rsidRPr="000A0A5F">
              <w:rPr>
                <w:lang w:eastAsia="zh-CN"/>
              </w:rPr>
              <w:t>2</w:t>
            </w:r>
          </w:p>
        </w:tc>
        <w:tc>
          <w:tcPr>
            <w:tcW w:w="1185" w:type="pct"/>
          </w:tcPr>
          <w:p w:rsidR="00CB0DD7" w:rsidRPr="000A0A5F" w:rsidRDefault="00CB0DD7">
            <w:pPr>
              <w:pStyle w:val="TAC"/>
              <w:rPr>
                <w:lang w:eastAsia="zh-CN"/>
              </w:rPr>
            </w:pPr>
            <w:r w:rsidRPr="000A0A5F">
              <w:rPr>
                <w:lang w:eastAsia="zh-CN"/>
              </w:rPr>
              <w:t>ExpectedUmtTime_5G</w:t>
            </w:r>
          </w:p>
        </w:tc>
        <w:tc>
          <w:tcPr>
            <w:tcW w:w="3360" w:type="pct"/>
          </w:tcPr>
          <w:p w:rsidR="00CB0DD7" w:rsidRPr="000A0A5F" w:rsidRDefault="00CB0DD7">
            <w:pPr>
              <w:pStyle w:val="TAL"/>
              <w:rPr>
                <w:rFonts w:hint="eastAsia"/>
                <w:lang w:eastAsia="zh-CN"/>
              </w:rPr>
            </w:pPr>
            <w:r w:rsidRPr="000A0A5F">
              <w:rPr>
                <w:rFonts w:hint="eastAsia"/>
                <w:lang w:eastAsia="zh-CN"/>
              </w:rPr>
              <w:t xml:space="preserve">The </w:t>
            </w:r>
            <w:r w:rsidRPr="000A0A5F">
              <w:rPr>
                <w:rFonts w:eastAsia="Malgun Gothic"/>
                <w:lang w:eastAsia="ja-JP"/>
              </w:rPr>
              <w:t>UE's expected geographical movement with recurrence time is supported. This feature requires the ExpectedUMT_5G feature support and may only be supported in 5G.</w:t>
            </w:r>
          </w:p>
        </w:tc>
      </w:tr>
      <w:tr w:rsidR="00CB0DD7" w:rsidRPr="000A0A5F" w:rsidTr="00FF0AF8">
        <w:trPr>
          <w:cantSplit/>
        </w:trPr>
        <w:tc>
          <w:tcPr>
            <w:tcW w:w="455" w:type="pct"/>
          </w:tcPr>
          <w:p w:rsidR="00CB0DD7" w:rsidRPr="000A0A5F" w:rsidRDefault="00CB0DD7">
            <w:pPr>
              <w:pStyle w:val="TAC"/>
              <w:rPr>
                <w:lang w:eastAsia="zh-CN"/>
              </w:rPr>
            </w:pPr>
            <w:r w:rsidRPr="000A0A5F">
              <w:rPr>
                <w:lang w:eastAsia="zh-CN"/>
              </w:rPr>
              <w:t>3</w:t>
            </w:r>
          </w:p>
        </w:tc>
        <w:tc>
          <w:tcPr>
            <w:tcW w:w="1185" w:type="pct"/>
          </w:tcPr>
          <w:p w:rsidR="00CB0DD7" w:rsidRPr="000A0A5F" w:rsidRDefault="00CB0DD7">
            <w:pPr>
              <w:pStyle w:val="TAC"/>
              <w:rPr>
                <w:lang w:eastAsia="zh-CN"/>
              </w:rPr>
            </w:pPr>
            <w:r w:rsidRPr="000A0A5F">
              <w:rPr>
                <w:lang w:eastAsia="zh-CN"/>
              </w:rPr>
              <w:t>ScheduledCommType_5G</w:t>
            </w:r>
          </w:p>
        </w:tc>
        <w:tc>
          <w:tcPr>
            <w:tcW w:w="3360" w:type="pct"/>
          </w:tcPr>
          <w:p w:rsidR="00CB0DD7" w:rsidRPr="000A0A5F" w:rsidRDefault="00CB0DD7">
            <w:pPr>
              <w:pStyle w:val="TAL"/>
              <w:rPr>
                <w:rFonts w:hint="eastAsia"/>
                <w:lang w:eastAsia="zh-CN"/>
              </w:rPr>
            </w:pPr>
            <w:r w:rsidRPr="000A0A5F">
              <w:rPr>
                <w:rFonts w:eastAsia="Malgun Gothic"/>
                <w:lang w:eastAsia="ja-JP"/>
              </w:rPr>
              <w:t>Support of scheduled communication type. This feature may only be supported in 5G.</w:t>
            </w:r>
          </w:p>
        </w:tc>
      </w:tr>
      <w:tr w:rsidR="00F2786F" w:rsidRPr="000A0A5F" w:rsidTr="00FF0AF8">
        <w:trPr>
          <w:cantSplit/>
        </w:trPr>
        <w:tc>
          <w:tcPr>
            <w:tcW w:w="455" w:type="pct"/>
          </w:tcPr>
          <w:p w:rsidR="00F2786F" w:rsidRPr="000A0A5F" w:rsidRDefault="00F2786F" w:rsidP="00F2786F">
            <w:pPr>
              <w:pStyle w:val="TAC"/>
              <w:rPr>
                <w:lang w:eastAsia="zh-CN"/>
              </w:rPr>
            </w:pPr>
            <w:r w:rsidRPr="000A0A5F">
              <w:rPr>
                <w:lang w:eastAsia="zh-CN"/>
              </w:rPr>
              <w:t>4</w:t>
            </w:r>
          </w:p>
        </w:tc>
        <w:tc>
          <w:tcPr>
            <w:tcW w:w="1185" w:type="pct"/>
          </w:tcPr>
          <w:p w:rsidR="00F2786F" w:rsidRPr="000A0A5F" w:rsidRDefault="00F2786F" w:rsidP="00F2786F">
            <w:pPr>
              <w:pStyle w:val="TAC"/>
              <w:rPr>
                <w:lang w:eastAsia="zh-CN"/>
              </w:rPr>
            </w:pPr>
            <w:r w:rsidRPr="000A0A5F">
              <w:rPr>
                <w:lang w:eastAsia="zh-CN"/>
              </w:rPr>
              <w:t>UEId_retrieval</w:t>
            </w:r>
          </w:p>
        </w:tc>
        <w:tc>
          <w:tcPr>
            <w:tcW w:w="3360" w:type="pct"/>
          </w:tcPr>
          <w:p w:rsidR="00F2786F" w:rsidRPr="000A0A5F" w:rsidRDefault="00F2786F" w:rsidP="00F2786F">
            <w:pPr>
              <w:pStyle w:val="TAL"/>
              <w:rPr>
                <w:rFonts w:eastAsia="Malgun Gothic"/>
                <w:lang w:eastAsia="ja-JP"/>
              </w:rPr>
            </w:pPr>
            <w:r w:rsidRPr="000A0A5F">
              <w:rPr>
                <w:rFonts w:eastAsia="Malgun Gothic"/>
                <w:lang w:eastAsia="ja-JP"/>
              </w:rPr>
              <w:t>This feature supports AF specific UE ID retrieval.</w:t>
            </w:r>
          </w:p>
          <w:p w:rsidR="00F2786F" w:rsidRPr="000A0A5F" w:rsidRDefault="00F2786F" w:rsidP="00F2786F">
            <w:pPr>
              <w:pStyle w:val="TAL"/>
              <w:rPr>
                <w:rFonts w:eastAsia="Malgun Gothic"/>
                <w:lang w:eastAsia="ja-JP"/>
              </w:rPr>
            </w:pPr>
            <w:r w:rsidRPr="000A0A5F">
              <w:rPr>
                <w:rFonts w:eastAsia="Malgun Gothic"/>
                <w:lang w:eastAsia="ja-JP"/>
              </w:rPr>
              <w:t>The feature is not applicable to pre-5G (e.g. 4G).</w:t>
            </w:r>
          </w:p>
        </w:tc>
      </w:tr>
      <w:tr w:rsidR="0096105B" w:rsidRPr="000A0A5F" w:rsidTr="00FF0AF8">
        <w:trPr>
          <w:cantSplit/>
        </w:trPr>
        <w:tc>
          <w:tcPr>
            <w:tcW w:w="455" w:type="pct"/>
          </w:tcPr>
          <w:p w:rsidR="0096105B" w:rsidRPr="000A0A5F" w:rsidRDefault="0096105B" w:rsidP="0096105B">
            <w:pPr>
              <w:pStyle w:val="TAC"/>
              <w:rPr>
                <w:lang w:eastAsia="zh-CN"/>
              </w:rPr>
            </w:pPr>
            <w:r w:rsidRPr="000A0A5F">
              <w:rPr>
                <w:lang w:eastAsia="zh-CN"/>
              </w:rPr>
              <w:t>5</w:t>
            </w:r>
          </w:p>
        </w:tc>
        <w:tc>
          <w:tcPr>
            <w:tcW w:w="1185" w:type="pct"/>
          </w:tcPr>
          <w:p w:rsidR="0096105B" w:rsidRPr="000A0A5F" w:rsidRDefault="0096105B" w:rsidP="0096105B">
            <w:pPr>
              <w:pStyle w:val="TAC"/>
              <w:rPr>
                <w:lang w:eastAsia="zh-CN"/>
              </w:rPr>
            </w:pPr>
            <w:r w:rsidRPr="000A0A5F">
              <w:rPr>
                <w:lang w:eastAsia="zh-CN"/>
              </w:rPr>
              <w:t>ExpectedUmtTime_Add</w:t>
            </w:r>
          </w:p>
        </w:tc>
        <w:tc>
          <w:tcPr>
            <w:tcW w:w="3360" w:type="pct"/>
          </w:tcPr>
          <w:p w:rsidR="0096105B" w:rsidRPr="000A0A5F" w:rsidRDefault="0096105B" w:rsidP="0096105B">
            <w:pPr>
              <w:pStyle w:val="TAL"/>
              <w:rPr>
                <w:rFonts w:eastAsia="Malgun Gothic"/>
                <w:lang w:eastAsia="ja-JP"/>
              </w:rPr>
            </w:pPr>
            <w:r w:rsidRPr="000A0A5F">
              <w:rPr>
                <w:rFonts w:hint="eastAsia"/>
                <w:lang w:eastAsia="zh-CN"/>
              </w:rPr>
              <w:t>Th</w:t>
            </w:r>
            <w:r w:rsidRPr="000A0A5F">
              <w:rPr>
                <w:lang w:eastAsia="zh-CN"/>
              </w:rPr>
              <w:t>is feature supports expected UMT days indication</w:t>
            </w:r>
            <w:r w:rsidRPr="000A0A5F">
              <w:rPr>
                <w:rFonts w:eastAsia="Malgun Gothic"/>
                <w:lang w:eastAsia="ja-JP"/>
              </w:rPr>
              <w:t xml:space="preserve">. This feature requires the ExpectedUmtTime_5G feature support. </w:t>
            </w:r>
          </w:p>
        </w:tc>
      </w:tr>
      <w:tr w:rsidR="007B538E" w:rsidRPr="000A0A5F" w:rsidTr="00FF0AF8">
        <w:trPr>
          <w:cantSplit/>
        </w:trPr>
        <w:tc>
          <w:tcPr>
            <w:tcW w:w="455" w:type="pct"/>
          </w:tcPr>
          <w:p w:rsidR="007B538E" w:rsidRPr="000A0A5F" w:rsidRDefault="007B538E" w:rsidP="007B538E">
            <w:pPr>
              <w:pStyle w:val="TAC"/>
              <w:rPr>
                <w:lang w:eastAsia="zh-CN"/>
              </w:rPr>
            </w:pPr>
            <w:r w:rsidRPr="000A0A5F">
              <w:rPr>
                <w:lang w:eastAsia="zh-CN"/>
              </w:rPr>
              <w:t>6</w:t>
            </w:r>
          </w:p>
        </w:tc>
        <w:tc>
          <w:tcPr>
            <w:tcW w:w="1185" w:type="pct"/>
          </w:tcPr>
          <w:p w:rsidR="007B538E" w:rsidRPr="000A0A5F" w:rsidRDefault="007B538E" w:rsidP="007B538E">
            <w:pPr>
              <w:pStyle w:val="TAC"/>
              <w:rPr>
                <w:lang w:eastAsia="zh-CN"/>
              </w:rPr>
            </w:pPr>
            <w:r w:rsidRPr="000A0A5F">
              <w:rPr>
                <w:lang w:eastAsia="zh-CN"/>
              </w:rPr>
              <w:t>AppExpUeBehaviour</w:t>
            </w:r>
          </w:p>
        </w:tc>
        <w:tc>
          <w:tcPr>
            <w:tcW w:w="3360" w:type="pct"/>
          </w:tcPr>
          <w:p w:rsidR="00AB426E" w:rsidRPr="000A0A5F" w:rsidRDefault="00AB426E" w:rsidP="00AB426E">
            <w:pPr>
              <w:pStyle w:val="TAL"/>
              <w:rPr>
                <w:lang w:eastAsia="zh-CN"/>
              </w:rPr>
            </w:pPr>
            <w:r w:rsidRPr="000A0A5F">
              <w:rPr>
                <w:lang w:eastAsia="zh-CN"/>
              </w:rPr>
              <w:t xml:space="preserve">This feature indicates the support of </w:t>
            </w:r>
            <w:r w:rsidRPr="000A0A5F">
              <w:rPr>
                <w:noProof/>
                <w:lang w:eastAsia="ja-JP"/>
              </w:rPr>
              <w:t>Application</w:t>
            </w:r>
            <w:r w:rsidRPr="000A0A5F">
              <w:rPr>
                <w:lang w:eastAsia="zh-CN"/>
              </w:rPr>
              <w:t>-Specific Expected UE Behaviour parameters.</w:t>
            </w:r>
          </w:p>
          <w:p w:rsidR="007B538E" w:rsidRPr="000A0A5F" w:rsidRDefault="00AB426E" w:rsidP="00AB426E">
            <w:pPr>
              <w:pStyle w:val="TAL"/>
              <w:rPr>
                <w:rFonts w:hint="eastAsia"/>
                <w:lang w:eastAsia="zh-CN"/>
              </w:rPr>
            </w:pPr>
            <w:r w:rsidRPr="000A0A5F">
              <w:rPr>
                <w:lang w:eastAsia="zh-CN"/>
              </w:rPr>
              <w:t>The feature is not applicable to pre-5G (e.g. 4G).</w:t>
            </w:r>
          </w:p>
        </w:tc>
      </w:tr>
      <w:tr w:rsidR="00167F1C" w:rsidRPr="000A0A5F" w:rsidTr="00FF0AF8">
        <w:trPr>
          <w:cantSplit/>
        </w:trPr>
        <w:tc>
          <w:tcPr>
            <w:tcW w:w="455" w:type="pct"/>
          </w:tcPr>
          <w:p w:rsidR="00167F1C" w:rsidRPr="000A0A5F" w:rsidRDefault="00167F1C" w:rsidP="00167F1C">
            <w:pPr>
              <w:pStyle w:val="TAC"/>
              <w:rPr>
                <w:lang w:eastAsia="zh-CN"/>
              </w:rPr>
            </w:pPr>
            <w:r w:rsidRPr="000A0A5F">
              <w:rPr>
                <w:lang w:eastAsia="zh-CN"/>
              </w:rPr>
              <w:t>7</w:t>
            </w:r>
          </w:p>
        </w:tc>
        <w:tc>
          <w:tcPr>
            <w:tcW w:w="1185" w:type="pct"/>
          </w:tcPr>
          <w:p w:rsidR="00167F1C" w:rsidRPr="000A0A5F" w:rsidRDefault="00167F1C" w:rsidP="00167F1C">
            <w:pPr>
              <w:pStyle w:val="TAC"/>
              <w:rPr>
                <w:lang w:eastAsia="zh-CN"/>
              </w:rPr>
            </w:pPr>
            <w:r w:rsidRPr="000A0A5F">
              <w:rPr>
                <w:lang w:eastAsia="zh-CN"/>
              </w:rPr>
              <w:t>ConfAccuLevels</w:t>
            </w:r>
          </w:p>
        </w:tc>
        <w:tc>
          <w:tcPr>
            <w:tcW w:w="3360" w:type="pct"/>
          </w:tcPr>
          <w:p w:rsidR="00167F1C" w:rsidRPr="000A0A5F" w:rsidRDefault="00167F1C" w:rsidP="00167F1C">
            <w:pPr>
              <w:pStyle w:val="TAL"/>
              <w:rPr>
                <w:lang w:eastAsia="zh-CN"/>
              </w:rPr>
            </w:pPr>
            <w:r w:rsidRPr="000A0A5F">
              <w:rPr>
                <w:lang w:eastAsia="zh-CN"/>
              </w:rPr>
              <w:t>This feature indicates the support of confidence and accuracy levels for the parameters provisioned.</w:t>
            </w:r>
          </w:p>
          <w:p w:rsidR="00167F1C" w:rsidRPr="000A0A5F" w:rsidRDefault="00167F1C" w:rsidP="00167F1C">
            <w:pPr>
              <w:pStyle w:val="TAL"/>
              <w:rPr>
                <w:lang w:eastAsia="zh-CN"/>
              </w:rPr>
            </w:pPr>
            <w:r w:rsidRPr="000A0A5F">
              <w:rPr>
                <w:lang w:eastAsia="zh-CN"/>
              </w:rPr>
              <w:t>The feature is not applicable to pre-5G (e.g. 4G).</w:t>
            </w:r>
          </w:p>
        </w:tc>
      </w:tr>
      <w:tr w:rsidR="00167F1C" w:rsidRPr="000A0A5F" w:rsidTr="00FF0AF8">
        <w:tblPrEx>
          <w:tblLook w:val="04A0" w:firstRow="1" w:lastRow="0" w:firstColumn="1" w:lastColumn="0" w:noHBand="0" w:noVBand="1"/>
        </w:tblPrEx>
        <w:trPr>
          <w:cantSplit/>
        </w:trPr>
        <w:tc>
          <w:tcPr>
            <w:tcW w:w="5000" w:type="pct"/>
            <w:gridSpan w:val="3"/>
          </w:tcPr>
          <w:p w:rsidR="00167F1C" w:rsidRPr="000A0A5F" w:rsidRDefault="00167F1C" w:rsidP="00167F1C">
            <w:pPr>
              <w:pStyle w:val="TAN"/>
              <w:rPr>
                <w:rFonts w:eastAsia="Times New Roman"/>
              </w:rPr>
            </w:pPr>
            <w:r w:rsidRPr="000A0A5F">
              <w:rPr>
                <w:rFonts w:eastAsia="Times New Roman"/>
              </w:rPr>
              <w:t>Feature:</w:t>
            </w:r>
            <w:r w:rsidRPr="000A0A5F">
              <w:rPr>
                <w:rFonts w:eastAsia="Times New Roman"/>
              </w:rPr>
              <w:tab/>
              <w:t>A short name that can be used to refer to the bit and to the feature, e.g. "</w:t>
            </w:r>
            <w:r w:rsidRPr="000A0A5F">
              <w:rPr>
                <w:rFonts w:hint="eastAsia"/>
                <w:lang w:eastAsia="zh-CN"/>
              </w:rPr>
              <w:t>Notification</w:t>
            </w:r>
            <w:r w:rsidRPr="000A0A5F">
              <w:rPr>
                <w:rFonts w:eastAsia="Times New Roman"/>
              </w:rPr>
              <w:t>".</w:t>
            </w:r>
          </w:p>
          <w:p w:rsidR="00167F1C" w:rsidRPr="000A0A5F" w:rsidRDefault="00167F1C" w:rsidP="00167F1C">
            <w:pPr>
              <w:pStyle w:val="TAN"/>
              <w:rPr>
                <w:color w:val="000000"/>
                <w:lang w:eastAsia="zh-CN"/>
              </w:rPr>
            </w:pPr>
            <w:r w:rsidRPr="000A0A5F">
              <w:rPr>
                <w:rFonts w:eastAsia="Times New Roman"/>
              </w:rPr>
              <w:t>Description:</w:t>
            </w:r>
            <w:r w:rsidRPr="000A0A5F">
              <w:rPr>
                <w:rFonts w:eastAsia="Times New Roman"/>
              </w:rPr>
              <w:tab/>
              <w:t>A clear textual description of the feature.</w:t>
            </w:r>
          </w:p>
        </w:tc>
      </w:tr>
    </w:tbl>
    <w:p w:rsidR="00905D83" w:rsidRPr="000A0A5F" w:rsidRDefault="00905D83" w:rsidP="00905D83">
      <w:bookmarkStart w:id="7714" w:name="_Toc104512646"/>
      <w:bookmarkStart w:id="7715" w:name="_Toc130502945"/>
    </w:p>
    <w:p w:rsidR="00F45175" w:rsidRPr="000A0A5F" w:rsidRDefault="00F45175" w:rsidP="00F45175">
      <w:pPr>
        <w:pStyle w:val="Heading3"/>
      </w:pPr>
      <w:bookmarkStart w:id="7716" w:name="_Toc153625733"/>
      <w:r w:rsidRPr="000A0A5F">
        <w:t>5.10.5</w:t>
      </w:r>
      <w:r w:rsidRPr="000A0A5F">
        <w:tab/>
        <w:t>Error handling</w:t>
      </w:r>
      <w:bookmarkEnd w:id="7714"/>
      <w:bookmarkEnd w:id="7715"/>
      <w:bookmarkEnd w:id="7716"/>
    </w:p>
    <w:p w:rsidR="00F45175" w:rsidRPr="000A0A5F" w:rsidRDefault="00F45175" w:rsidP="00F45175">
      <w:pPr>
        <w:pStyle w:val="Heading4"/>
      </w:pPr>
      <w:bookmarkStart w:id="7717" w:name="_Toc104512647"/>
      <w:bookmarkStart w:id="7718" w:name="_Toc130502946"/>
      <w:bookmarkStart w:id="7719" w:name="_Toc153625734"/>
      <w:r w:rsidRPr="000A0A5F">
        <w:t>5.10.5.1</w:t>
      </w:r>
      <w:r w:rsidRPr="000A0A5F">
        <w:tab/>
        <w:t>General</w:t>
      </w:r>
      <w:bookmarkEnd w:id="7717"/>
      <w:bookmarkEnd w:id="7718"/>
      <w:bookmarkEnd w:id="7719"/>
    </w:p>
    <w:p w:rsidR="00F45175" w:rsidRPr="000A0A5F" w:rsidRDefault="00F45175" w:rsidP="00F45175">
      <w:r w:rsidRPr="000A0A5F">
        <w:t>HTTP error handling shall be supported as specified in clause 5.2.6.</w:t>
      </w:r>
    </w:p>
    <w:p w:rsidR="00F45175" w:rsidRPr="000A0A5F" w:rsidRDefault="00F45175" w:rsidP="00F45175">
      <w:r w:rsidRPr="000A0A5F">
        <w:t>In addition, the requirements in the following clauses shall apply.</w:t>
      </w:r>
    </w:p>
    <w:p w:rsidR="00F45175" w:rsidRPr="000A0A5F" w:rsidRDefault="00F45175" w:rsidP="00F45175">
      <w:pPr>
        <w:pStyle w:val="Heading4"/>
      </w:pPr>
      <w:bookmarkStart w:id="7720" w:name="_Toc104512648"/>
      <w:bookmarkStart w:id="7721" w:name="_Toc130502947"/>
      <w:bookmarkStart w:id="7722" w:name="_Toc153625735"/>
      <w:r w:rsidRPr="000A0A5F">
        <w:t>5.10.5.2</w:t>
      </w:r>
      <w:r w:rsidRPr="000A0A5F">
        <w:tab/>
        <w:t>Protocol Errors</w:t>
      </w:r>
      <w:bookmarkEnd w:id="7720"/>
      <w:bookmarkEnd w:id="7721"/>
      <w:bookmarkEnd w:id="7722"/>
    </w:p>
    <w:p w:rsidR="00F45175" w:rsidRPr="000A0A5F" w:rsidRDefault="00F45175" w:rsidP="00F45175">
      <w:r w:rsidRPr="000A0A5F">
        <w:rPr>
          <w:lang w:eastAsia="zh-CN"/>
        </w:rPr>
        <w:t xml:space="preserve">In this Release </w:t>
      </w:r>
      <w:r w:rsidRPr="000A0A5F">
        <w:t>of the specification, there are no additional protocol errors applicable for the CpProvisioning API.</w:t>
      </w:r>
    </w:p>
    <w:p w:rsidR="00F45175" w:rsidRPr="000A0A5F" w:rsidRDefault="00F45175" w:rsidP="00F45175">
      <w:pPr>
        <w:pStyle w:val="Heading4"/>
      </w:pPr>
      <w:bookmarkStart w:id="7723" w:name="_Toc104512649"/>
      <w:bookmarkStart w:id="7724" w:name="_Toc130502948"/>
      <w:bookmarkStart w:id="7725" w:name="_Toc153625736"/>
      <w:r w:rsidRPr="000A0A5F">
        <w:t>5.10.5.3</w:t>
      </w:r>
      <w:r w:rsidRPr="000A0A5F">
        <w:tab/>
        <w:t>Application Errors</w:t>
      </w:r>
      <w:bookmarkEnd w:id="7723"/>
      <w:bookmarkEnd w:id="7724"/>
      <w:bookmarkEnd w:id="7725"/>
    </w:p>
    <w:p w:rsidR="00F45175" w:rsidRPr="000A0A5F" w:rsidRDefault="00F45175" w:rsidP="00F45175">
      <w:r w:rsidRPr="000A0A5F">
        <w:t>The application errors defined for CpProvisioning API are listed in table 5.10.5.3-1.</w:t>
      </w:r>
    </w:p>
    <w:p w:rsidR="00F45175" w:rsidRPr="000A0A5F" w:rsidRDefault="00F45175" w:rsidP="00F45175">
      <w:pPr>
        <w:pStyle w:val="TH"/>
      </w:pPr>
      <w:r w:rsidRPr="000A0A5F">
        <w:t>Table 5.10.5.3-1: Application errors</w:t>
      </w:r>
    </w:p>
    <w:tbl>
      <w:tblPr>
        <w:tblW w:w="97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3557"/>
        <w:gridCol w:w="1215"/>
        <w:gridCol w:w="3432"/>
        <w:gridCol w:w="1573"/>
      </w:tblGrid>
      <w:tr w:rsidR="00F45175" w:rsidRPr="000A0A5F" w:rsidTr="003D2BE9">
        <w:trPr>
          <w:jc w:val="center"/>
        </w:trPr>
        <w:tc>
          <w:tcPr>
            <w:tcW w:w="3121" w:type="dxa"/>
            <w:shd w:val="clear" w:color="auto" w:fill="C0C0C0"/>
            <w:hideMark/>
          </w:tcPr>
          <w:p w:rsidR="00F45175" w:rsidRPr="000A0A5F" w:rsidRDefault="00F45175" w:rsidP="003D2BE9">
            <w:pPr>
              <w:pStyle w:val="TAH"/>
            </w:pPr>
            <w:r w:rsidRPr="000A0A5F">
              <w:t>Application Error</w:t>
            </w:r>
          </w:p>
        </w:tc>
        <w:tc>
          <w:tcPr>
            <w:tcW w:w="1258" w:type="dxa"/>
            <w:shd w:val="clear" w:color="auto" w:fill="C0C0C0"/>
            <w:hideMark/>
          </w:tcPr>
          <w:p w:rsidR="00F45175" w:rsidRPr="000A0A5F" w:rsidRDefault="00F45175" w:rsidP="003D2BE9">
            <w:pPr>
              <w:pStyle w:val="TAH"/>
            </w:pPr>
            <w:r w:rsidRPr="000A0A5F">
              <w:t>HTTP status code</w:t>
            </w:r>
          </w:p>
        </w:tc>
        <w:tc>
          <w:tcPr>
            <w:tcW w:w="3803" w:type="dxa"/>
            <w:shd w:val="clear" w:color="auto" w:fill="C0C0C0"/>
            <w:hideMark/>
          </w:tcPr>
          <w:p w:rsidR="00F45175" w:rsidRPr="000A0A5F" w:rsidRDefault="00F45175" w:rsidP="003D2BE9">
            <w:pPr>
              <w:pStyle w:val="TAH"/>
            </w:pPr>
            <w:r w:rsidRPr="000A0A5F">
              <w:t>Description</w:t>
            </w:r>
          </w:p>
        </w:tc>
        <w:tc>
          <w:tcPr>
            <w:tcW w:w="1595" w:type="dxa"/>
            <w:shd w:val="clear" w:color="auto" w:fill="C0C0C0"/>
          </w:tcPr>
          <w:p w:rsidR="00F45175" w:rsidRPr="000A0A5F" w:rsidRDefault="00F45175" w:rsidP="003D2BE9">
            <w:pPr>
              <w:pStyle w:val="TAH"/>
            </w:pPr>
            <w:r w:rsidRPr="000A0A5F">
              <w:t>Applicability</w:t>
            </w:r>
          </w:p>
        </w:tc>
      </w:tr>
      <w:tr w:rsidR="00F45175" w:rsidRPr="000A0A5F" w:rsidTr="003D2BE9">
        <w:trPr>
          <w:jc w:val="center"/>
        </w:trPr>
        <w:tc>
          <w:tcPr>
            <w:tcW w:w="3121" w:type="dxa"/>
          </w:tcPr>
          <w:p w:rsidR="00F45175" w:rsidRPr="000A0A5F" w:rsidRDefault="00F45175" w:rsidP="003D2BE9">
            <w:pPr>
              <w:pStyle w:val="TAL"/>
              <w:rPr>
                <w:lang w:eastAsia="zh-CN"/>
              </w:rPr>
            </w:pPr>
            <w:r w:rsidRPr="000A0A5F">
              <w:t>REQUEST_NOT_AUTHORIZED</w:t>
            </w:r>
          </w:p>
        </w:tc>
        <w:tc>
          <w:tcPr>
            <w:tcW w:w="1258" w:type="dxa"/>
          </w:tcPr>
          <w:p w:rsidR="00F45175" w:rsidRPr="000A0A5F" w:rsidRDefault="00F45175" w:rsidP="003D2BE9">
            <w:pPr>
              <w:pStyle w:val="TAL"/>
              <w:rPr>
                <w:lang w:eastAsia="zh-CN"/>
              </w:rPr>
            </w:pPr>
            <w:r w:rsidRPr="000A0A5F">
              <w:t>403 Forbidden</w:t>
            </w:r>
          </w:p>
        </w:tc>
        <w:tc>
          <w:tcPr>
            <w:tcW w:w="3803" w:type="dxa"/>
          </w:tcPr>
          <w:p w:rsidR="00F45175" w:rsidRPr="000A0A5F" w:rsidRDefault="00F45175" w:rsidP="003D2BE9">
            <w:pPr>
              <w:pStyle w:val="TAL"/>
            </w:pPr>
            <w:r w:rsidRPr="000A0A5F">
              <w:t>Indicates that the the AF specific UE ID retrieval request is not authorized.</w:t>
            </w:r>
          </w:p>
        </w:tc>
        <w:tc>
          <w:tcPr>
            <w:tcW w:w="1595" w:type="dxa"/>
          </w:tcPr>
          <w:p w:rsidR="00F45175" w:rsidRPr="000A0A5F" w:rsidRDefault="00F45175" w:rsidP="003D2BE9">
            <w:pPr>
              <w:pStyle w:val="TAL"/>
            </w:pPr>
            <w:r w:rsidRPr="000A0A5F">
              <w:t>UEId_retrieval</w:t>
            </w:r>
          </w:p>
        </w:tc>
      </w:tr>
      <w:tr w:rsidR="00F45175" w:rsidRPr="000A0A5F" w:rsidTr="003D2BE9">
        <w:trPr>
          <w:jc w:val="center"/>
        </w:trPr>
        <w:tc>
          <w:tcPr>
            <w:tcW w:w="3121" w:type="dxa"/>
          </w:tcPr>
          <w:p w:rsidR="00F45175" w:rsidRPr="000A0A5F" w:rsidRDefault="00F45175" w:rsidP="003D2BE9">
            <w:pPr>
              <w:pStyle w:val="TAL"/>
              <w:rPr>
                <w:lang w:eastAsia="zh-CN"/>
              </w:rPr>
            </w:pPr>
            <w:r w:rsidRPr="000A0A5F">
              <w:t>UE_ID_NOT_AV</w:t>
            </w:r>
            <w:r w:rsidRPr="000A0A5F">
              <w:rPr>
                <w:rFonts w:hint="eastAsia"/>
                <w:lang w:eastAsia="zh-CN"/>
              </w:rPr>
              <w:t>A</w:t>
            </w:r>
            <w:r w:rsidRPr="000A0A5F">
              <w:t>ILABLE</w:t>
            </w:r>
          </w:p>
        </w:tc>
        <w:tc>
          <w:tcPr>
            <w:tcW w:w="1258" w:type="dxa"/>
          </w:tcPr>
          <w:p w:rsidR="00F45175" w:rsidRPr="000A0A5F" w:rsidRDefault="00F45175" w:rsidP="003D2BE9">
            <w:pPr>
              <w:pStyle w:val="TAL"/>
              <w:rPr>
                <w:lang w:eastAsia="zh-CN"/>
              </w:rPr>
            </w:pPr>
            <w:r w:rsidRPr="000A0A5F">
              <w:t>404 Not Found</w:t>
            </w:r>
          </w:p>
        </w:tc>
        <w:tc>
          <w:tcPr>
            <w:tcW w:w="3803" w:type="dxa"/>
          </w:tcPr>
          <w:p w:rsidR="00F45175" w:rsidRPr="000A0A5F" w:rsidRDefault="00F45175" w:rsidP="003D2BE9">
            <w:pPr>
              <w:pStyle w:val="TAL"/>
            </w:pPr>
            <w:r w:rsidRPr="000A0A5F">
              <w:t>Indicates that the AF specific UE ID is not available.</w:t>
            </w:r>
          </w:p>
        </w:tc>
        <w:tc>
          <w:tcPr>
            <w:tcW w:w="1595" w:type="dxa"/>
          </w:tcPr>
          <w:p w:rsidR="00F45175" w:rsidRPr="000A0A5F" w:rsidRDefault="00F45175" w:rsidP="003D2BE9">
            <w:pPr>
              <w:pStyle w:val="TAL"/>
            </w:pPr>
            <w:r w:rsidRPr="000A0A5F">
              <w:t>UEId_retrieval</w:t>
            </w:r>
          </w:p>
        </w:tc>
      </w:tr>
      <w:tr w:rsidR="00F45175" w:rsidRPr="000A0A5F" w:rsidTr="003D2BE9">
        <w:trPr>
          <w:jc w:val="center"/>
        </w:trPr>
        <w:tc>
          <w:tcPr>
            <w:tcW w:w="3121" w:type="dxa"/>
          </w:tcPr>
          <w:p w:rsidR="00F45175" w:rsidRPr="000A0A5F" w:rsidRDefault="00F45175" w:rsidP="003D2BE9">
            <w:pPr>
              <w:pStyle w:val="TAL"/>
            </w:pPr>
            <w:r w:rsidRPr="000A0A5F">
              <w:t>UE_NOT_FOUND</w:t>
            </w:r>
          </w:p>
        </w:tc>
        <w:tc>
          <w:tcPr>
            <w:tcW w:w="1258" w:type="dxa"/>
          </w:tcPr>
          <w:p w:rsidR="00F45175" w:rsidRPr="000A0A5F" w:rsidRDefault="00F45175" w:rsidP="003D2BE9">
            <w:pPr>
              <w:pStyle w:val="TAL"/>
            </w:pPr>
            <w:r w:rsidRPr="000A0A5F">
              <w:t>404 Not Found</w:t>
            </w:r>
          </w:p>
        </w:tc>
        <w:tc>
          <w:tcPr>
            <w:tcW w:w="3803" w:type="dxa"/>
          </w:tcPr>
          <w:p w:rsidR="00F45175" w:rsidRPr="000A0A5F" w:rsidRDefault="00F45175" w:rsidP="003D2BE9">
            <w:pPr>
              <w:pStyle w:val="TAL"/>
            </w:pPr>
            <w:r w:rsidRPr="000A0A5F">
              <w:t>Indicates that the requested UE address is not found.</w:t>
            </w:r>
          </w:p>
        </w:tc>
        <w:tc>
          <w:tcPr>
            <w:tcW w:w="1595" w:type="dxa"/>
          </w:tcPr>
          <w:p w:rsidR="00F45175" w:rsidRPr="000A0A5F" w:rsidRDefault="00F45175" w:rsidP="003D2BE9">
            <w:pPr>
              <w:pStyle w:val="TAL"/>
            </w:pPr>
            <w:r w:rsidRPr="000A0A5F">
              <w:t>UEId_retrieval</w:t>
            </w:r>
          </w:p>
        </w:tc>
      </w:tr>
      <w:tr w:rsidR="00167F1C" w:rsidRPr="000A0A5F" w:rsidTr="003D2BE9">
        <w:trPr>
          <w:jc w:val="center"/>
        </w:trPr>
        <w:tc>
          <w:tcPr>
            <w:tcW w:w="3121" w:type="dxa"/>
          </w:tcPr>
          <w:p w:rsidR="00167F1C" w:rsidRPr="000A0A5F" w:rsidRDefault="00167F1C" w:rsidP="00167F1C">
            <w:pPr>
              <w:pStyle w:val="TAL"/>
            </w:pPr>
            <w:r w:rsidRPr="000A0A5F">
              <w:t>CONFIDENCE_LEVEL_OUT_OF_RANGE</w:t>
            </w:r>
          </w:p>
        </w:tc>
        <w:tc>
          <w:tcPr>
            <w:tcW w:w="1258" w:type="dxa"/>
          </w:tcPr>
          <w:p w:rsidR="00167F1C" w:rsidRPr="000A0A5F" w:rsidRDefault="00167F1C" w:rsidP="00167F1C">
            <w:pPr>
              <w:pStyle w:val="TAL"/>
            </w:pPr>
            <w:r w:rsidRPr="000A0A5F">
              <w:t>403 Forbidden</w:t>
            </w:r>
          </w:p>
        </w:tc>
        <w:tc>
          <w:tcPr>
            <w:tcW w:w="3803" w:type="dxa"/>
          </w:tcPr>
          <w:p w:rsidR="00167F1C" w:rsidRPr="000A0A5F" w:rsidRDefault="00167F1C" w:rsidP="00167F1C">
            <w:pPr>
              <w:pStyle w:val="TAL"/>
            </w:pPr>
            <w:r w:rsidRPr="000A0A5F">
              <w:rPr>
                <w:rFonts w:cs="Arial"/>
                <w:szCs w:val="18"/>
              </w:rPr>
              <w:t>Confidence Level of the Expected UE Behaviour Parameter is out or range (e.g. &lt;0.00 or &gt;1.00)</w:t>
            </w:r>
          </w:p>
        </w:tc>
        <w:tc>
          <w:tcPr>
            <w:tcW w:w="1595" w:type="dxa"/>
          </w:tcPr>
          <w:p w:rsidR="00167F1C" w:rsidRPr="000A0A5F" w:rsidRDefault="00167F1C" w:rsidP="00167F1C">
            <w:pPr>
              <w:pStyle w:val="TAL"/>
            </w:pPr>
            <w:r w:rsidRPr="000A0A5F">
              <w:t>ConfAccuLevels</w:t>
            </w:r>
          </w:p>
        </w:tc>
      </w:tr>
      <w:tr w:rsidR="00167F1C" w:rsidRPr="000A0A5F" w:rsidTr="003D2BE9">
        <w:trPr>
          <w:jc w:val="center"/>
        </w:trPr>
        <w:tc>
          <w:tcPr>
            <w:tcW w:w="3121" w:type="dxa"/>
          </w:tcPr>
          <w:p w:rsidR="00167F1C" w:rsidRPr="000A0A5F" w:rsidRDefault="00167F1C" w:rsidP="00167F1C">
            <w:pPr>
              <w:pStyle w:val="TAL"/>
            </w:pPr>
            <w:r w:rsidRPr="000A0A5F">
              <w:t>ACCURACY_LEVEL_ OUT_OF_RANGE</w:t>
            </w:r>
          </w:p>
        </w:tc>
        <w:tc>
          <w:tcPr>
            <w:tcW w:w="1258" w:type="dxa"/>
          </w:tcPr>
          <w:p w:rsidR="00167F1C" w:rsidRPr="000A0A5F" w:rsidRDefault="00167F1C" w:rsidP="00167F1C">
            <w:pPr>
              <w:pStyle w:val="TAL"/>
            </w:pPr>
            <w:r w:rsidRPr="000A0A5F">
              <w:t>403 Forbidden</w:t>
            </w:r>
          </w:p>
        </w:tc>
        <w:tc>
          <w:tcPr>
            <w:tcW w:w="3803" w:type="dxa"/>
          </w:tcPr>
          <w:p w:rsidR="00167F1C" w:rsidRPr="000A0A5F" w:rsidRDefault="00167F1C" w:rsidP="00167F1C">
            <w:pPr>
              <w:pStyle w:val="TAL"/>
            </w:pPr>
            <w:r w:rsidRPr="000A0A5F">
              <w:rPr>
                <w:rFonts w:cs="Arial"/>
                <w:szCs w:val="18"/>
              </w:rPr>
              <w:t>Confidence Level of the Expected UE Behaviour Parameter is out or range (e.g. &lt;0.00 or &gt;1.00)</w:t>
            </w:r>
          </w:p>
        </w:tc>
        <w:tc>
          <w:tcPr>
            <w:tcW w:w="1595" w:type="dxa"/>
          </w:tcPr>
          <w:p w:rsidR="00167F1C" w:rsidRPr="000A0A5F" w:rsidRDefault="00167F1C" w:rsidP="00167F1C">
            <w:pPr>
              <w:pStyle w:val="TAL"/>
            </w:pPr>
            <w:r w:rsidRPr="000A0A5F">
              <w:t>ConfAccuLevels</w:t>
            </w:r>
          </w:p>
        </w:tc>
      </w:tr>
    </w:tbl>
    <w:p w:rsidR="00CB0DD7" w:rsidRPr="000A0A5F" w:rsidRDefault="00CB0DD7"/>
    <w:p w:rsidR="00CB0DD7" w:rsidRPr="000A0A5F" w:rsidRDefault="00CB0DD7">
      <w:pPr>
        <w:pStyle w:val="Heading2"/>
      </w:pPr>
      <w:bookmarkStart w:id="7726" w:name="_Toc11247765"/>
      <w:bookmarkStart w:id="7727" w:name="_Toc27044908"/>
      <w:bookmarkStart w:id="7728" w:name="_Toc36033950"/>
      <w:bookmarkStart w:id="7729" w:name="_Toc45132096"/>
      <w:bookmarkStart w:id="7730" w:name="_Toc49776381"/>
      <w:bookmarkStart w:id="7731" w:name="_Toc51747301"/>
      <w:bookmarkStart w:id="7732" w:name="_Toc66360874"/>
      <w:bookmarkStart w:id="7733" w:name="_Toc68105379"/>
      <w:bookmarkStart w:id="7734" w:name="_Toc74756009"/>
      <w:bookmarkStart w:id="7735" w:name="_Toc105674885"/>
      <w:bookmarkStart w:id="7736" w:name="_Toc130502949"/>
      <w:bookmarkStart w:id="7737" w:name="_Toc153625737"/>
      <w:r w:rsidRPr="000A0A5F">
        <w:t>5.11</w:t>
      </w:r>
      <w:r w:rsidRPr="000A0A5F">
        <w:tab/>
        <w:t>PfdManagement API</w:t>
      </w:r>
      <w:bookmarkEnd w:id="7726"/>
      <w:bookmarkEnd w:id="7727"/>
      <w:bookmarkEnd w:id="7728"/>
      <w:bookmarkEnd w:id="7729"/>
      <w:bookmarkEnd w:id="7730"/>
      <w:bookmarkEnd w:id="7731"/>
      <w:bookmarkEnd w:id="7732"/>
      <w:bookmarkEnd w:id="7733"/>
      <w:bookmarkEnd w:id="7734"/>
      <w:bookmarkEnd w:id="7735"/>
      <w:bookmarkEnd w:id="7736"/>
      <w:bookmarkEnd w:id="7737"/>
    </w:p>
    <w:p w:rsidR="00CB0DD7" w:rsidRPr="000A0A5F" w:rsidRDefault="00CB0DD7">
      <w:pPr>
        <w:pStyle w:val="Heading3"/>
      </w:pPr>
      <w:bookmarkStart w:id="7738" w:name="_Toc11247766"/>
      <w:bookmarkStart w:id="7739" w:name="_Toc27044909"/>
      <w:bookmarkStart w:id="7740" w:name="_Toc36033951"/>
      <w:bookmarkStart w:id="7741" w:name="_Toc45132097"/>
      <w:bookmarkStart w:id="7742" w:name="_Toc49776382"/>
      <w:bookmarkStart w:id="7743" w:name="_Toc51747302"/>
      <w:bookmarkStart w:id="7744" w:name="_Toc66360875"/>
      <w:bookmarkStart w:id="7745" w:name="_Toc68105380"/>
      <w:bookmarkStart w:id="7746" w:name="_Toc74756010"/>
      <w:bookmarkStart w:id="7747" w:name="_Toc105674886"/>
      <w:bookmarkStart w:id="7748" w:name="_Toc130502950"/>
      <w:bookmarkStart w:id="7749" w:name="_Toc153625738"/>
      <w:r w:rsidRPr="000A0A5F">
        <w:t>5.11.1</w:t>
      </w:r>
      <w:r w:rsidRPr="000A0A5F">
        <w:tab/>
        <w:t>Overview</w:t>
      </w:r>
      <w:bookmarkEnd w:id="7738"/>
      <w:bookmarkEnd w:id="7739"/>
      <w:bookmarkEnd w:id="7740"/>
      <w:bookmarkEnd w:id="7741"/>
      <w:bookmarkEnd w:id="7742"/>
      <w:bookmarkEnd w:id="7743"/>
      <w:bookmarkEnd w:id="7744"/>
      <w:bookmarkEnd w:id="7745"/>
      <w:bookmarkEnd w:id="7746"/>
      <w:bookmarkEnd w:id="7747"/>
      <w:bookmarkEnd w:id="7748"/>
      <w:bookmarkEnd w:id="7749"/>
    </w:p>
    <w:p w:rsidR="00CB0DD7" w:rsidRPr="000A0A5F" w:rsidRDefault="00CB0DD7">
      <w:r w:rsidRPr="000A0A5F">
        <w:rPr>
          <w:rFonts w:hint="eastAsia"/>
          <w:noProof/>
          <w:lang w:eastAsia="zh-CN"/>
        </w:rPr>
        <w:t xml:space="preserve">The </w:t>
      </w:r>
      <w:r w:rsidRPr="000A0A5F">
        <w:rPr>
          <w:noProof/>
          <w:lang w:eastAsia="zh-CN"/>
        </w:rPr>
        <w:t>PfdManagement API allows the SCS/AS to manage the PFDs via the SCEF</w:t>
      </w:r>
      <w:r w:rsidRPr="000A0A5F">
        <w:t>.</w:t>
      </w:r>
      <w:r w:rsidRPr="000A0A5F">
        <w:rPr>
          <w:rFonts w:hint="eastAsia"/>
          <w:lang w:eastAsia="zh-CN"/>
        </w:rPr>
        <w:t xml:space="preserve"> </w:t>
      </w:r>
      <w:r w:rsidRPr="000A0A5F">
        <w:t xml:space="preserve">The </w:t>
      </w:r>
      <w:r w:rsidRPr="000A0A5F">
        <w:rPr>
          <w:noProof/>
          <w:lang w:eastAsia="zh-CN"/>
        </w:rPr>
        <w:t>PfdManagement</w:t>
      </w:r>
      <w:r w:rsidRPr="000A0A5F">
        <w:t xml:space="preserve"> API defines a set of data models, resources and the related procedures for the creation and management of the PFD management request. The corresponding JSON schema for the representation of the resources and operations defined by the </w:t>
      </w:r>
      <w:r w:rsidRPr="000A0A5F">
        <w:rPr>
          <w:noProof/>
          <w:lang w:eastAsia="zh-CN"/>
        </w:rPr>
        <w:t>PfdManagement</w:t>
      </w:r>
      <w:r w:rsidRPr="000A0A5F">
        <w:t xml:space="preserve"> API is provided in its complete form in Annex A.11.</w:t>
      </w:r>
    </w:p>
    <w:p w:rsidR="00CB0DD7" w:rsidRPr="000A0A5F" w:rsidRDefault="00CB0DD7">
      <w:pPr>
        <w:pStyle w:val="Heading3"/>
      </w:pPr>
      <w:bookmarkStart w:id="7750" w:name="_Toc11247767"/>
      <w:bookmarkStart w:id="7751" w:name="_Toc27044910"/>
      <w:bookmarkStart w:id="7752" w:name="_Toc36033952"/>
      <w:bookmarkStart w:id="7753" w:name="_Toc45132098"/>
      <w:bookmarkStart w:id="7754" w:name="_Toc49776383"/>
      <w:bookmarkStart w:id="7755" w:name="_Toc51747303"/>
      <w:bookmarkStart w:id="7756" w:name="_Toc66360876"/>
      <w:bookmarkStart w:id="7757" w:name="_Toc68105381"/>
      <w:bookmarkStart w:id="7758" w:name="_Toc74756011"/>
      <w:bookmarkStart w:id="7759" w:name="_Toc105674887"/>
      <w:bookmarkStart w:id="7760" w:name="_Toc130502951"/>
      <w:bookmarkStart w:id="7761" w:name="_Toc153625739"/>
      <w:r w:rsidRPr="000A0A5F">
        <w:t>5.11.2</w:t>
      </w:r>
      <w:r w:rsidRPr="000A0A5F">
        <w:tab/>
        <w:t>Data model</w:t>
      </w:r>
      <w:bookmarkEnd w:id="7750"/>
      <w:bookmarkEnd w:id="7751"/>
      <w:bookmarkEnd w:id="7752"/>
      <w:bookmarkEnd w:id="7753"/>
      <w:bookmarkEnd w:id="7754"/>
      <w:bookmarkEnd w:id="7755"/>
      <w:bookmarkEnd w:id="7756"/>
      <w:bookmarkEnd w:id="7757"/>
      <w:bookmarkEnd w:id="7758"/>
      <w:bookmarkEnd w:id="7759"/>
      <w:bookmarkEnd w:id="7760"/>
      <w:bookmarkEnd w:id="7761"/>
    </w:p>
    <w:p w:rsidR="00CB0DD7" w:rsidRPr="000A0A5F" w:rsidRDefault="00CB0DD7">
      <w:pPr>
        <w:pStyle w:val="Heading4"/>
      </w:pPr>
      <w:bookmarkStart w:id="7762" w:name="_Toc11247768"/>
      <w:bookmarkStart w:id="7763" w:name="_Toc27044911"/>
      <w:bookmarkStart w:id="7764" w:name="_Toc36033953"/>
      <w:bookmarkStart w:id="7765" w:name="_Toc45132099"/>
      <w:bookmarkStart w:id="7766" w:name="_Toc49776384"/>
      <w:bookmarkStart w:id="7767" w:name="_Toc51747304"/>
      <w:bookmarkStart w:id="7768" w:name="_Toc66360877"/>
      <w:bookmarkStart w:id="7769" w:name="_Toc68105382"/>
      <w:bookmarkStart w:id="7770" w:name="_Toc74756012"/>
      <w:bookmarkStart w:id="7771" w:name="_Toc105674888"/>
      <w:bookmarkStart w:id="7772" w:name="_Toc130502952"/>
      <w:bookmarkStart w:id="7773" w:name="_Toc153625740"/>
      <w:r w:rsidRPr="000A0A5F">
        <w:t>5.11.2.1</w:t>
      </w:r>
      <w:r w:rsidRPr="000A0A5F">
        <w:tab/>
        <w:t>Resource data types</w:t>
      </w:r>
      <w:bookmarkEnd w:id="7762"/>
      <w:bookmarkEnd w:id="7763"/>
      <w:bookmarkEnd w:id="7764"/>
      <w:bookmarkEnd w:id="7765"/>
      <w:bookmarkEnd w:id="7766"/>
      <w:bookmarkEnd w:id="7767"/>
      <w:bookmarkEnd w:id="7768"/>
      <w:bookmarkEnd w:id="7769"/>
      <w:bookmarkEnd w:id="7770"/>
      <w:bookmarkEnd w:id="7771"/>
      <w:bookmarkEnd w:id="7772"/>
      <w:bookmarkEnd w:id="7773"/>
    </w:p>
    <w:p w:rsidR="00CB0DD7" w:rsidRPr="000A0A5F" w:rsidRDefault="00CB0DD7">
      <w:pPr>
        <w:pStyle w:val="Heading5"/>
      </w:pPr>
      <w:bookmarkStart w:id="7774" w:name="_Toc11247769"/>
      <w:bookmarkStart w:id="7775" w:name="_Toc27044912"/>
      <w:bookmarkStart w:id="7776" w:name="_Toc36033954"/>
      <w:bookmarkStart w:id="7777" w:name="_Toc45132100"/>
      <w:bookmarkStart w:id="7778" w:name="_Toc49776385"/>
      <w:bookmarkStart w:id="7779" w:name="_Toc51747305"/>
      <w:bookmarkStart w:id="7780" w:name="_Toc66360878"/>
      <w:bookmarkStart w:id="7781" w:name="_Toc68105383"/>
      <w:bookmarkStart w:id="7782" w:name="_Toc74756013"/>
      <w:bookmarkStart w:id="7783" w:name="_Toc105674889"/>
      <w:bookmarkStart w:id="7784" w:name="_Toc130502953"/>
      <w:bookmarkStart w:id="7785" w:name="_Toc153625741"/>
      <w:r w:rsidRPr="000A0A5F">
        <w:t>5.11.2.1.1</w:t>
      </w:r>
      <w:r w:rsidRPr="000A0A5F">
        <w:tab/>
        <w:t>Introduction</w:t>
      </w:r>
      <w:bookmarkEnd w:id="7774"/>
      <w:bookmarkEnd w:id="7775"/>
      <w:bookmarkEnd w:id="7776"/>
      <w:bookmarkEnd w:id="7777"/>
      <w:bookmarkEnd w:id="7778"/>
      <w:bookmarkEnd w:id="7779"/>
      <w:bookmarkEnd w:id="7780"/>
      <w:bookmarkEnd w:id="7781"/>
      <w:bookmarkEnd w:id="7782"/>
      <w:bookmarkEnd w:id="7783"/>
      <w:bookmarkEnd w:id="7784"/>
      <w:bookmarkEnd w:id="7785"/>
    </w:p>
    <w:p w:rsidR="00CB0DD7" w:rsidRPr="000A0A5F" w:rsidRDefault="00CB0DD7">
      <w:r w:rsidRPr="000A0A5F">
        <w:t>This clause defines data structures to be used in resource representations.</w:t>
      </w:r>
    </w:p>
    <w:p w:rsidR="00CB0DD7" w:rsidRPr="000A0A5F" w:rsidRDefault="00CB0DD7">
      <w:r w:rsidRPr="000A0A5F">
        <w:t xml:space="preserve">Table 5.11.2.1.1-1 specifies data types re-used by the PfdManagement API from other specifications, including a reference to their respective specifications and when needed, a short description of their use within the PfdManagement API. </w:t>
      </w:r>
    </w:p>
    <w:p w:rsidR="00CB0DD7" w:rsidRPr="000A0A5F" w:rsidRDefault="00CB0DD7">
      <w:pPr>
        <w:pStyle w:val="TH"/>
      </w:pPr>
      <w:r w:rsidRPr="000A0A5F">
        <w:t>Table 5.11.2.1.1-1: PfdManagement API re-used Data Types</w:t>
      </w:r>
    </w:p>
    <w:tbl>
      <w:tblPr>
        <w:tblW w:w="917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018"/>
        <w:gridCol w:w="1848"/>
        <w:gridCol w:w="5308"/>
      </w:tblGrid>
      <w:tr w:rsidR="00CB0DD7" w:rsidRPr="000A0A5F" w:rsidTr="00FF0AF8">
        <w:trPr>
          <w:jc w:val="center"/>
        </w:trPr>
        <w:tc>
          <w:tcPr>
            <w:tcW w:w="2018" w:type="dxa"/>
            <w:shd w:val="clear" w:color="auto" w:fill="C0C0C0"/>
            <w:hideMark/>
          </w:tcPr>
          <w:p w:rsidR="00CB0DD7" w:rsidRPr="000A0A5F" w:rsidRDefault="00CB0DD7">
            <w:pPr>
              <w:pStyle w:val="TAH"/>
            </w:pPr>
            <w:r w:rsidRPr="000A0A5F">
              <w:t>Data type</w:t>
            </w:r>
          </w:p>
        </w:tc>
        <w:tc>
          <w:tcPr>
            <w:tcW w:w="1848" w:type="dxa"/>
            <w:shd w:val="clear" w:color="auto" w:fill="C0C0C0"/>
          </w:tcPr>
          <w:p w:rsidR="00CB0DD7" w:rsidRPr="000A0A5F" w:rsidRDefault="00CB0DD7">
            <w:pPr>
              <w:pStyle w:val="TAH"/>
            </w:pPr>
            <w:r w:rsidRPr="000A0A5F">
              <w:t>Reference</w:t>
            </w:r>
          </w:p>
        </w:tc>
        <w:tc>
          <w:tcPr>
            <w:tcW w:w="5308" w:type="dxa"/>
            <w:shd w:val="clear" w:color="auto" w:fill="C0C0C0"/>
            <w:hideMark/>
          </w:tcPr>
          <w:p w:rsidR="00CB0DD7" w:rsidRPr="000A0A5F" w:rsidRDefault="00CB0DD7">
            <w:pPr>
              <w:pStyle w:val="TAH"/>
            </w:pPr>
            <w:r w:rsidRPr="000A0A5F">
              <w:t>Comments</w:t>
            </w:r>
          </w:p>
        </w:tc>
      </w:tr>
      <w:tr w:rsidR="00CB0DD7" w:rsidRPr="000A0A5F" w:rsidTr="00FF0AF8">
        <w:trPr>
          <w:jc w:val="center"/>
        </w:trPr>
        <w:tc>
          <w:tcPr>
            <w:tcW w:w="2018" w:type="dxa"/>
          </w:tcPr>
          <w:p w:rsidR="00CB0DD7" w:rsidRPr="000A0A5F" w:rsidRDefault="00CB0DD7">
            <w:pPr>
              <w:pStyle w:val="TAL"/>
            </w:pPr>
            <w:r w:rsidRPr="000A0A5F">
              <w:t>SupportedFeatures</w:t>
            </w:r>
          </w:p>
        </w:tc>
        <w:tc>
          <w:tcPr>
            <w:tcW w:w="1848" w:type="dxa"/>
          </w:tcPr>
          <w:p w:rsidR="00CB0DD7" w:rsidRPr="000A0A5F" w:rsidRDefault="00CB0DD7">
            <w:pPr>
              <w:pStyle w:val="TAL"/>
              <w:rPr>
                <w:rFonts w:hint="eastAsia"/>
                <w:lang w:eastAsia="zh-CN"/>
              </w:rPr>
            </w:pPr>
            <w:r w:rsidRPr="000A0A5F">
              <w:rPr>
                <w:lang w:eastAsia="zh-CN"/>
              </w:rPr>
              <w:t>3GPP TS 29.571 [45]</w:t>
            </w:r>
          </w:p>
        </w:tc>
        <w:tc>
          <w:tcPr>
            <w:tcW w:w="5308" w:type="dxa"/>
          </w:tcPr>
          <w:p w:rsidR="00CB0DD7" w:rsidRPr="000A0A5F" w:rsidRDefault="00CB0DD7">
            <w:pPr>
              <w:pStyle w:val="TAL"/>
              <w:rPr>
                <w:lang w:eastAsia="zh-CN"/>
              </w:rPr>
            </w:pPr>
            <w:r w:rsidRPr="000A0A5F">
              <w:rPr>
                <w:lang w:eastAsia="zh-CN"/>
              </w:rPr>
              <w:t>Used to negotiate the applicability of the optional features defined in table 5.11.4-1.</w:t>
            </w:r>
          </w:p>
        </w:tc>
      </w:tr>
      <w:tr w:rsidR="00CB0DD7" w:rsidRPr="000A0A5F" w:rsidTr="00FF0AF8">
        <w:trPr>
          <w:jc w:val="center"/>
        </w:trPr>
        <w:tc>
          <w:tcPr>
            <w:tcW w:w="2018" w:type="dxa"/>
          </w:tcPr>
          <w:p w:rsidR="00CB0DD7" w:rsidRPr="000A0A5F" w:rsidRDefault="00CB0DD7">
            <w:pPr>
              <w:pStyle w:val="TAL"/>
            </w:pPr>
            <w:r w:rsidRPr="000A0A5F">
              <w:rPr>
                <w:rFonts w:hint="eastAsia"/>
                <w:lang w:eastAsia="zh-CN"/>
              </w:rPr>
              <w:t>D</w:t>
            </w:r>
            <w:r w:rsidRPr="000A0A5F">
              <w:rPr>
                <w:lang w:eastAsia="zh-CN"/>
              </w:rPr>
              <w:t>nai</w:t>
            </w:r>
          </w:p>
        </w:tc>
        <w:tc>
          <w:tcPr>
            <w:tcW w:w="1848" w:type="dxa"/>
          </w:tcPr>
          <w:p w:rsidR="00CB0DD7" w:rsidRPr="000A0A5F" w:rsidRDefault="00CB0DD7">
            <w:pPr>
              <w:pStyle w:val="TAL"/>
              <w:rPr>
                <w:lang w:eastAsia="zh-CN"/>
              </w:rPr>
            </w:pPr>
            <w:r w:rsidRPr="000A0A5F">
              <w:rPr>
                <w:lang w:eastAsia="zh-CN"/>
              </w:rPr>
              <w:t>3GPP TS 29.571 [45]</w:t>
            </w:r>
          </w:p>
        </w:tc>
        <w:tc>
          <w:tcPr>
            <w:tcW w:w="5308" w:type="dxa"/>
          </w:tcPr>
          <w:p w:rsidR="00CB0DD7" w:rsidRPr="000A0A5F" w:rsidRDefault="00CB0DD7">
            <w:pPr>
              <w:pStyle w:val="TAL"/>
              <w:rPr>
                <w:lang w:eastAsia="zh-CN"/>
              </w:rPr>
            </w:pPr>
            <w:r w:rsidRPr="000A0A5F">
              <w:rPr>
                <w:lang w:eastAsia="zh-CN"/>
              </w:rPr>
              <w:t>DNAI</w:t>
            </w:r>
          </w:p>
        </w:tc>
      </w:tr>
    </w:tbl>
    <w:p w:rsidR="00B803CC" w:rsidRPr="000A0A5F" w:rsidRDefault="00B803CC" w:rsidP="00B803CC"/>
    <w:p w:rsidR="00B803CC" w:rsidRPr="000A0A5F" w:rsidRDefault="00B803CC" w:rsidP="00B803CC">
      <w:r w:rsidRPr="000A0A5F">
        <w:t>Table 5.11.2.1.1-2 specifies the data types defined for the PfdManagement API.</w:t>
      </w:r>
    </w:p>
    <w:p w:rsidR="00B803CC" w:rsidRPr="000A0A5F" w:rsidRDefault="00B803CC" w:rsidP="00B803CC">
      <w:pPr>
        <w:pStyle w:val="TH"/>
      </w:pPr>
      <w:r w:rsidRPr="000A0A5F">
        <w:t>Table 5.11.2.1.1-2: PfdManagement API specific Data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888"/>
        <w:gridCol w:w="964"/>
        <w:gridCol w:w="4365"/>
        <w:gridCol w:w="1412"/>
      </w:tblGrid>
      <w:tr w:rsidR="00B803CC" w:rsidRPr="000A0A5F" w:rsidTr="00FF0AF8">
        <w:trPr>
          <w:jc w:val="center"/>
        </w:trPr>
        <w:tc>
          <w:tcPr>
            <w:tcW w:w="2888" w:type="dxa"/>
            <w:shd w:val="clear" w:color="auto" w:fill="C0C0C0"/>
            <w:vAlign w:val="center"/>
            <w:hideMark/>
          </w:tcPr>
          <w:p w:rsidR="00B803CC" w:rsidRPr="000A0A5F" w:rsidRDefault="00B803CC" w:rsidP="00B97EBD">
            <w:pPr>
              <w:pStyle w:val="TAH"/>
            </w:pPr>
            <w:r w:rsidRPr="000A0A5F">
              <w:t>Data type</w:t>
            </w:r>
          </w:p>
        </w:tc>
        <w:tc>
          <w:tcPr>
            <w:tcW w:w="964" w:type="dxa"/>
            <w:shd w:val="clear" w:color="auto" w:fill="C0C0C0"/>
            <w:vAlign w:val="center"/>
          </w:tcPr>
          <w:p w:rsidR="00B803CC" w:rsidRPr="000A0A5F" w:rsidRDefault="00B803CC" w:rsidP="00B97EBD">
            <w:pPr>
              <w:pStyle w:val="TAH"/>
            </w:pPr>
            <w:r w:rsidRPr="000A0A5F">
              <w:t>Clause defined</w:t>
            </w:r>
          </w:p>
        </w:tc>
        <w:tc>
          <w:tcPr>
            <w:tcW w:w="4365" w:type="dxa"/>
            <w:shd w:val="clear" w:color="auto" w:fill="C0C0C0"/>
            <w:vAlign w:val="center"/>
            <w:hideMark/>
          </w:tcPr>
          <w:p w:rsidR="00B803CC" w:rsidRPr="000A0A5F" w:rsidRDefault="00B803CC" w:rsidP="00B97EBD">
            <w:pPr>
              <w:pStyle w:val="TAH"/>
            </w:pPr>
            <w:r w:rsidRPr="000A0A5F">
              <w:t>Description</w:t>
            </w:r>
          </w:p>
        </w:tc>
        <w:tc>
          <w:tcPr>
            <w:tcW w:w="1412" w:type="dxa"/>
            <w:shd w:val="clear" w:color="auto" w:fill="C0C0C0"/>
            <w:vAlign w:val="center"/>
          </w:tcPr>
          <w:p w:rsidR="00B803CC" w:rsidRPr="000A0A5F" w:rsidRDefault="00B803CC" w:rsidP="00B97EBD">
            <w:pPr>
              <w:pStyle w:val="TAH"/>
            </w:pPr>
            <w:r w:rsidRPr="000A0A5F">
              <w:t>Applicability</w:t>
            </w:r>
          </w:p>
        </w:tc>
      </w:tr>
      <w:tr w:rsidR="00B803CC" w:rsidRPr="000A0A5F" w:rsidTr="00FF0AF8">
        <w:trPr>
          <w:jc w:val="center"/>
        </w:trPr>
        <w:tc>
          <w:tcPr>
            <w:tcW w:w="2888" w:type="dxa"/>
            <w:vAlign w:val="center"/>
          </w:tcPr>
          <w:p w:rsidR="00B803CC" w:rsidRPr="000A0A5F" w:rsidRDefault="00B803CC" w:rsidP="00B97EBD">
            <w:pPr>
              <w:pStyle w:val="TAL"/>
            </w:pPr>
            <w:r w:rsidRPr="000A0A5F">
              <w:rPr>
                <w:lang w:eastAsia="zh-CN"/>
              </w:rPr>
              <w:t>DomainNameProtocol</w:t>
            </w:r>
          </w:p>
        </w:tc>
        <w:tc>
          <w:tcPr>
            <w:tcW w:w="964" w:type="dxa"/>
            <w:vAlign w:val="center"/>
          </w:tcPr>
          <w:p w:rsidR="00B803CC" w:rsidRPr="000A0A5F" w:rsidRDefault="00B803CC" w:rsidP="00B97EBD">
            <w:pPr>
              <w:pStyle w:val="TAC"/>
            </w:pPr>
            <w:r w:rsidRPr="000A0A5F">
              <w:t>5.11.2.2.4</w:t>
            </w:r>
          </w:p>
        </w:tc>
        <w:tc>
          <w:tcPr>
            <w:tcW w:w="4365" w:type="dxa"/>
            <w:vAlign w:val="center"/>
          </w:tcPr>
          <w:p w:rsidR="00B803CC" w:rsidRPr="000A0A5F" w:rsidRDefault="00B803CC" w:rsidP="00B97EBD">
            <w:pPr>
              <w:pStyle w:val="TAL"/>
              <w:rPr>
                <w:lang w:eastAsia="ja-JP"/>
              </w:rPr>
            </w:pPr>
            <w:r w:rsidRPr="000A0A5F">
              <w:rPr>
                <w:lang w:eastAsia="zh-CN"/>
              </w:rPr>
              <w:t>Indicates the additional protocol and protocol field for domain names to be matched</w:t>
            </w:r>
            <w:r w:rsidRPr="000A0A5F">
              <w:rPr>
                <w:lang w:val="en-US" w:eastAsia="zh-CN"/>
              </w:rPr>
              <w:t>.</w:t>
            </w:r>
          </w:p>
        </w:tc>
        <w:tc>
          <w:tcPr>
            <w:tcW w:w="1412" w:type="dxa"/>
            <w:vAlign w:val="center"/>
          </w:tcPr>
          <w:p w:rsidR="00B803CC" w:rsidRPr="000A0A5F" w:rsidRDefault="00B803CC" w:rsidP="00B97EBD">
            <w:pPr>
              <w:pStyle w:val="TAL"/>
              <w:rPr>
                <w:rFonts w:cs="Arial"/>
                <w:szCs w:val="18"/>
                <w:lang w:eastAsia="ja-JP"/>
              </w:rPr>
            </w:pPr>
            <w:r w:rsidRPr="000A0A5F">
              <w:rPr>
                <w:rFonts w:eastAsia="Times New Roman" w:cs="Arial"/>
                <w:szCs w:val="18"/>
              </w:rPr>
              <w:t>DomainNameProtocol</w:t>
            </w:r>
          </w:p>
        </w:tc>
      </w:tr>
      <w:tr w:rsidR="00B803CC" w:rsidRPr="000A0A5F" w:rsidTr="00FF0AF8">
        <w:trPr>
          <w:jc w:val="center"/>
        </w:trPr>
        <w:tc>
          <w:tcPr>
            <w:tcW w:w="2888" w:type="dxa"/>
            <w:vAlign w:val="center"/>
          </w:tcPr>
          <w:p w:rsidR="00B803CC" w:rsidRPr="000A0A5F" w:rsidRDefault="00B803CC" w:rsidP="00B97EBD">
            <w:pPr>
              <w:pStyle w:val="TAL"/>
            </w:pPr>
            <w:r w:rsidRPr="000A0A5F">
              <w:t>FailureCode</w:t>
            </w:r>
          </w:p>
        </w:tc>
        <w:tc>
          <w:tcPr>
            <w:tcW w:w="964" w:type="dxa"/>
            <w:vAlign w:val="center"/>
          </w:tcPr>
          <w:p w:rsidR="00B803CC" w:rsidRPr="000A0A5F" w:rsidRDefault="00B803CC" w:rsidP="00B97EBD">
            <w:pPr>
              <w:pStyle w:val="TAC"/>
            </w:pPr>
            <w:r w:rsidRPr="000A0A5F">
              <w:t>5.11.2.2.3</w:t>
            </w:r>
          </w:p>
        </w:tc>
        <w:tc>
          <w:tcPr>
            <w:tcW w:w="4365" w:type="dxa"/>
            <w:vAlign w:val="center"/>
          </w:tcPr>
          <w:p w:rsidR="00B803CC" w:rsidRPr="000A0A5F" w:rsidRDefault="00B803CC" w:rsidP="00B97EBD">
            <w:pPr>
              <w:pStyle w:val="TAL"/>
            </w:pPr>
            <w:r w:rsidRPr="000A0A5F">
              <w:t>Represents the failure reason of the PFD management.</w:t>
            </w:r>
          </w:p>
        </w:tc>
        <w:tc>
          <w:tcPr>
            <w:tcW w:w="1412" w:type="dxa"/>
            <w:vAlign w:val="center"/>
          </w:tcPr>
          <w:p w:rsidR="00B803CC" w:rsidRPr="000A0A5F" w:rsidRDefault="00B803CC" w:rsidP="00B97EBD">
            <w:pPr>
              <w:pStyle w:val="TAL"/>
              <w:rPr>
                <w:rFonts w:cs="Arial"/>
                <w:szCs w:val="18"/>
                <w:lang w:eastAsia="ja-JP"/>
              </w:rPr>
            </w:pPr>
          </w:p>
        </w:tc>
      </w:tr>
      <w:tr w:rsidR="00B803CC" w:rsidRPr="000A0A5F" w:rsidTr="00FF0AF8">
        <w:trPr>
          <w:jc w:val="center"/>
        </w:trPr>
        <w:tc>
          <w:tcPr>
            <w:tcW w:w="2888" w:type="dxa"/>
            <w:vAlign w:val="center"/>
          </w:tcPr>
          <w:p w:rsidR="00B803CC" w:rsidRPr="000A0A5F" w:rsidRDefault="00B803CC" w:rsidP="00B97EBD">
            <w:pPr>
              <w:pStyle w:val="TAL"/>
            </w:pPr>
            <w:r w:rsidRPr="000A0A5F">
              <w:rPr>
                <w:lang w:eastAsia="ja-JP"/>
              </w:rPr>
              <w:t>Pfd</w:t>
            </w:r>
          </w:p>
        </w:tc>
        <w:tc>
          <w:tcPr>
            <w:tcW w:w="964" w:type="dxa"/>
            <w:vAlign w:val="center"/>
          </w:tcPr>
          <w:p w:rsidR="00B803CC" w:rsidRPr="000A0A5F" w:rsidRDefault="00B803CC" w:rsidP="00B97EBD">
            <w:pPr>
              <w:pStyle w:val="TAC"/>
            </w:pPr>
            <w:r w:rsidRPr="000A0A5F">
              <w:t>5.11.2.1.4</w:t>
            </w:r>
          </w:p>
        </w:tc>
        <w:tc>
          <w:tcPr>
            <w:tcW w:w="4365" w:type="dxa"/>
            <w:vAlign w:val="center"/>
          </w:tcPr>
          <w:p w:rsidR="00B803CC" w:rsidRPr="000A0A5F" w:rsidRDefault="00B803CC" w:rsidP="00B97EBD">
            <w:pPr>
              <w:pStyle w:val="TAL"/>
            </w:pPr>
            <w:r w:rsidRPr="000A0A5F">
              <w:t>Represents a PFD for an external Application Identifier</w:t>
            </w:r>
            <w:r w:rsidRPr="000A0A5F">
              <w:rPr>
                <w:rFonts w:cs="Arial"/>
                <w:szCs w:val="18"/>
              </w:rPr>
              <w:t>.</w:t>
            </w:r>
          </w:p>
        </w:tc>
        <w:tc>
          <w:tcPr>
            <w:tcW w:w="1412" w:type="dxa"/>
            <w:vAlign w:val="center"/>
          </w:tcPr>
          <w:p w:rsidR="00B803CC" w:rsidRPr="000A0A5F" w:rsidRDefault="00B803CC" w:rsidP="00B97EBD">
            <w:pPr>
              <w:pStyle w:val="TAL"/>
              <w:rPr>
                <w:rFonts w:cs="Arial"/>
                <w:szCs w:val="18"/>
                <w:lang w:eastAsia="ja-JP"/>
              </w:rPr>
            </w:pPr>
          </w:p>
        </w:tc>
      </w:tr>
      <w:tr w:rsidR="00B803CC" w:rsidRPr="000A0A5F" w:rsidTr="00FF0AF8">
        <w:trPr>
          <w:jc w:val="center"/>
        </w:trPr>
        <w:tc>
          <w:tcPr>
            <w:tcW w:w="2888" w:type="dxa"/>
            <w:vAlign w:val="center"/>
          </w:tcPr>
          <w:p w:rsidR="00B803CC" w:rsidRPr="000A0A5F" w:rsidRDefault="00B803CC" w:rsidP="00B97EBD">
            <w:pPr>
              <w:pStyle w:val="TAL"/>
              <w:rPr>
                <w:lang w:eastAsia="ja-JP"/>
              </w:rPr>
            </w:pPr>
            <w:r w:rsidRPr="000A0A5F">
              <w:t>PfdData</w:t>
            </w:r>
          </w:p>
        </w:tc>
        <w:tc>
          <w:tcPr>
            <w:tcW w:w="964" w:type="dxa"/>
            <w:vAlign w:val="center"/>
          </w:tcPr>
          <w:p w:rsidR="00B803CC" w:rsidRPr="000A0A5F" w:rsidRDefault="00B803CC" w:rsidP="00B97EBD">
            <w:pPr>
              <w:pStyle w:val="TAC"/>
              <w:rPr>
                <w:lang w:eastAsia="ja-JP"/>
              </w:rPr>
            </w:pPr>
            <w:r w:rsidRPr="000A0A5F">
              <w:rPr>
                <w:rFonts w:hint="eastAsia"/>
                <w:lang w:eastAsia="ja-JP"/>
              </w:rPr>
              <w:t>5</w:t>
            </w:r>
            <w:r w:rsidRPr="000A0A5F">
              <w:rPr>
                <w:lang w:eastAsia="ja-JP"/>
              </w:rPr>
              <w:t>.11.2.1.3</w:t>
            </w:r>
          </w:p>
        </w:tc>
        <w:tc>
          <w:tcPr>
            <w:tcW w:w="4365" w:type="dxa"/>
            <w:vAlign w:val="center"/>
          </w:tcPr>
          <w:p w:rsidR="00B803CC" w:rsidRPr="000A0A5F" w:rsidRDefault="00B803CC" w:rsidP="00B97EBD">
            <w:pPr>
              <w:pStyle w:val="TAL"/>
            </w:pPr>
            <w:r w:rsidRPr="000A0A5F">
              <w:t>Represents a PFD request to add, update or remove PFD(s) for one external application identifier</w:t>
            </w:r>
            <w:r w:rsidRPr="000A0A5F">
              <w:rPr>
                <w:rFonts w:cs="Arial"/>
                <w:szCs w:val="18"/>
              </w:rPr>
              <w:t>.</w:t>
            </w:r>
          </w:p>
        </w:tc>
        <w:tc>
          <w:tcPr>
            <w:tcW w:w="1412" w:type="dxa"/>
            <w:vAlign w:val="center"/>
          </w:tcPr>
          <w:p w:rsidR="00B803CC" w:rsidRPr="000A0A5F" w:rsidRDefault="00B803CC" w:rsidP="00B97EBD">
            <w:pPr>
              <w:pStyle w:val="TAL"/>
              <w:rPr>
                <w:rFonts w:cs="Arial"/>
                <w:szCs w:val="18"/>
                <w:lang w:eastAsia="ja-JP"/>
              </w:rPr>
            </w:pPr>
          </w:p>
        </w:tc>
      </w:tr>
      <w:tr w:rsidR="00B803CC" w:rsidRPr="000A0A5F" w:rsidTr="00FF0AF8">
        <w:trPr>
          <w:jc w:val="center"/>
        </w:trPr>
        <w:tc>
          <w:tcPr>
            <w:tcW w:w="2888" w:type="dxa"/>
            <w:vAlign w:val="center"/>
          </w:tcPr>
          <w:p w:rsidR="00B803CC" w:rsidRPr="000A0A5F" w:rsidRDefault="00B803CC" w:rsidP="00B97EBD">
            <w:pPr>
              <w:pStyle w:val="TAL"/>
            </w:pPr>
            <w:r w:rsidRPr="000A0A5F">
              <w:t>PfdManagement</w:t>
            </w:r>
          </w:p>
        </w:tc>
        <w:tc>
          <w:tcPr>
            <w:tcW w:w="964" w:type="dxa"/>
            <w:vAlign w:val="center"/>
          </w:tcPr>
          <w:p w:rsidR="00B803CC" w:rsidRPr="000A0A5F" w:rsidRDefault="00B803CC" w:rsidP="00B97EBD">
            <w:pPr>
              <w:pStyle w:val="TAC"/>
            </w:pPr>
            <w:r w:rsidRPr="000A0A5F">
              <w:t>5.11.2.1.2</w:t>
            </w:r>
          </w:p>
        </w:tc>
        <w:tc>
          <w:tcPr>
            <w:tcW w:w="4365" w:type="dxa"/>
            <w:vAlign w:val="center"/>
          </w:tcPr>
          <w:p w:rsidR="00B803CC" w:rsidRPr="000A0A5F" w:rsidRDefault="00B803CC" w:rsidP="00B97EBD">
            <w:pPr>
              <w:pStyle w:val="TAL"/>
            </w:pPr>
            <w:r w:rsidRPr="000A0A5F">
              <w:t>Represents a PFD management resource for a PFD management request</w:t>
            </w:r>
            <w:r w:rsidRPr="000A0A5F">
              <w:rPr>
                <w:rFonts w:cs="Arial"/>
                <w:szCs w:val="18"/>
              </w:rPr>
              <w:t>.</w:t>
            </w:r>
          </w:p>
        </w:tc>
        <w:tc>
          <w:tcPr>
            <w:tcW w:w="1412" w:type="dxa"/>
            <w:vAlign w:val="center"/>
          </w:tcPr>
          <w:p w:rsidR="00B803CC" w:rsidRPr="000A0A5F" w:rsidRDefault="00B803CC" w:rsidP="00B97EBD">
            <w:pPr>
              <w:pStyle w:val="TAL"/>
              <w:rPr>
                <w:rFonts w:cs="Arial"/>
                <w:szCs w:val="18"/>
                <w:lang w:eastAsia="ja-JP"/>
              </w:rPr>
            </w:pPr>
          </w:p>
        </w:tc>
      </w:tr>
      <w:tr w:rsidR="00715FB8" w:rsidRPr="000A0A5F" w:rsidTr="00FF0AF8">
        <w:trPr>
          <w:jc w:val="center"/>
        </w:trPr>
        <w:tc>
          <w:tcPr>
            <w:tcW w:w="2888" w:type="dxa"/>
            <w:vAlign w:val="center"/>
          </w:tcPr>
          <w:p w:rsidR="00715FB8" w:rsidRPr="000A0A5F" w:rsidRDefault="00715FB8" w:rsidP="00715FB8">
            <w:pPr>
              <w:pStyle w:val="TAL"/>
            </w:pPr>
            <w:r w:rsidRPr="000A0A5F">
              <w:t>PfdManagementPatch</w:t>
            </w:r>
          </w:p>
        </w:tc>
        <w:tc>
          <w:tcPr>
            <w:tcW w:w="964" w:type="dxa"/>
            <w:vAlign w:val="center"/>
          </w:tcPr>
          <w:p w:rsidR="00715FB8" w:rsidRPr="000A0A5F" w:rsidRDefault="00715FB8" w:rsidP="00715FB8">
            <w:pPr>
              <w:pStyle w:val="TAC"/>
            </w:pPr>
            <w:r w:rsidRPr="000A0A5F">
              <w:t>5.11.2.1.7</w:t>
            </w:r>
          </w:p>
        </w:tc>
        <w:tc>
          <w:tcPr>
            <w:tcW w:w="4365" w:type="dxa"/>
            <w:vAlign w:val="center"/>
          </w:tcPr>
          <w:p w:rsidR="00715FB8" w:rsidRPr="000A0A5F" w:rsidRDefault="00715FB8" w:rsidP="00715FB8">
            <w:pPr>
              <w:pStyle w:val="TAL"/>
            </w:pPr>
            <w:r w:rsidRPr="000A0A5F">
              <w:t>Represents the parameters to request the modification of a PFD management transaction resource</w:t>
            </w:r>
            <w:r w:rsidRPr="000A0A5F">
              <w:rPr>
                <w:rFonts w:cs="Arial"/>
                <w:szCs w:val="18"/>
              </w:rPr>
              <w:t>.</w:t>
            </w:r>
          </w:p>
        </w:tc>
        <w:tc>
          <w:tcPr>
            <w:tcW w:w="1412" w:type="dxa"/>
            <w:vAlign w:val="center"/>
          </w:tcPr>
          <w:p w:rsidR="00715FB8" w:rsidRPr="000A0A5F" w:rsidRDefault="00715FB8" w:rsidP="00715FB8">
            <w:pPr>
              <w:pStyle w:val="TAL"/>
              <w:rPr>
                <w:rFonts w:cs="Arial"/>
                <w:szCs w:val="18"/>
                <w:lang w:eastAsia="ja-JP"/>
              </w:rPr>
            </w:pPr>
            <w:r w:rsidRPr="000A0A5F">
              <w:rPr>
                <w:rFonts w:cs="Arial"/>
                <w:szCs w:val="18"/>
                <w:lang w:eastAsia="ja-JP"/>
              </w:rPr>
              <w:t>PatchUpdate</w:t>
            </w:r>
          </w:p>
        </w:tc>
      </w:tr>
      <w:tr w:rsidR="00B803CC" w:rsidRPr="000A0A5F" w:rsidTr="00FF0AF8">
        <w:trPr>
          <w:jc w:val="center"/>
        </w:trPr>
        <w:tc>
          <w:tcPr>
            <w:tcW w:w="2888" w:type="dxa"/>
            <w:vAlign w:val="center"/>
          </w:tcPr>
          <w:p w:rsidR="00B803CC" w:rsidRPr="000A0A5F" w:rsidRDefault="00B803CC" w:rsidP="00B97EBD">
            <w:pPr>
              <w:pStyle w:val="TAL"/>
            </w:pPr>
            <w:r w:rsidRPr="000A0A5F">
              <w:t>PfdReport</w:t>
            </w:r>
          </w:p>
        </w:tc>
        <w:tc>
          <w:tcPr>
            <w:tcW w:w="964" w:type="dxa"/>
            <w:vAlign w:val="center"/>
          </w:tcPr>
          <w:p w:rsidR="00B803CC" w:rsidRPr="000A0A5F" w:rsidRDefault="00B803CC" w:rsidP="00B97EBD">
            <w:pPr>
              <w:pStyle w:val="TAC"/>
            </w:pPr>
            <w:r w:rsidRPr="000A0A5F">
              <w:t>5.11.2.1.5</w:t>
            </w:r>
          </w:p>
        </w:tc>
        <w:tc>
          <w:tcPr>
            <w:tcW w:w="4365" w:type="dxa"/>
            <w:vAlign w:val="center"/>
          </w:tcPr>
          <w:p w:rsidR="00B803CC" w:rsidRPr="000A0A5F" w:rsidRDefault="00B803CC" w:rsidP="00B97EBD">
            <w:pPr>
              <w:pStyle w:val="TAL"/>
            </w:pPr>
            <w:r w:rsidRPr="000A0A5F">
              <w:t>Represents a PFD report indicating the external application identifier(s) which PFD(s) are not added or modified successfully and the corresponding failure cause(s)</w:t>
            </w:r>
            <w:r w:rsidRPr="000A0A5F">
              <w:rPr>
                <w:rFonts w:cs="Arial"/>
                <w:szCs w:val="18"/>
              </w:rPr>
              <w:t>.</w:t>
            </w:r>
          </w:p>
        </w:tc>
        <w:tc>
          <w:tcPr>
            <w:tcW w:w="1412" w:type="dxa"/>
            <w:vAlign w:val="center"/>
          </w:tcPr>
          <w:p w:rsidR="00B803CC" w:rsidRPr="000A0A5F" w:rsidRDefault="00B803CC" w:rsidP="00B97EBD">
            <w:pPr>
              <w:pStyle w:val="TAL"/>
              <w:rPr>
                <w:rFonts w:cs="Arial"/>
                <w:szCs w:val="18"/>
              </w:rPr>
            </w:pPr>
          </w:p>
        </w:tc>
      </w:tr>
      <w:tr w:rsidR="00B803CC" w:rsidRPr="000A0A5F" w:rsidTr="00FF0AF8">
        <w:trPr>
          <w:jc w:val="center"/>
        </w:trPr>
        <w:tc>
          <w:tcPr>
            <w:tcW w:w="2888" w:type="dxa"/>
            <w:vAlign w:val="center"/>
          </w:tcPr>
          <w:p w:rsidR="00B803CC" w:rsidRPr="000A0A5F" w:rsidRDefault="00B803CC" w:rsidP="00B97EBD">
            <w:pPr>
              <w:pStyle w:val="TAL"/>
            </w:pPr>
            <w:r w:rsidRPr="000A0A5F">
              <w:t>UserPlane</w:t>
            </w:r>
            <w:r w:rsidRPr="000A0A5F">
              <w:rPr>
                <w:lang w:eastAsia="zh-CN"/>
              </w:rPr>
              <w:t>LocationArea</w:t>
            </w:r>
          </w:p>
        </w:tc>
        <w:tc>
          <w:tcPr>
            <w:tcW w:w="964" w:type="dxa"/>
            <w:vAlign w:val="center"/>
          </w:tcPr>
          <w:p w:rsidR="00B803CC" w:rsidRPr="000A0A5F" w:rsidRDefault="00B803CC" w:rsidP="00B97EBD">
            <w:pPr>
              <w:pStyle w:val="TAC"/>
            </w:pPr>
            <w:r w:rsidRPr="000A0A5F">
              <w:t>5.11.2.1.6</w:t>
            </w:r>
          </w:p>
        </w:tc>
        <w:tc>
          <w:tcPr>
            <w:tcW w:w="4365" w:type="dxa"/>
            <w:vAlign w:val="center"/>
          </w:tcPr>
          <w:p w:rsidR="00B803CC" w:rsidRPr="000A0A5F" w:rsidRDefault="00B803CC" w:rsidP="00B97EBD">
            <w:pPr>
              <w:pStyle w:val="TAL"/>
            </w:pPr>
            <w:r w:rsidRPr="000A0A5F">
              <w:t>Represents location area(s) of the user plane functions which are unable to enforce the provisioned PFD(s) successfully</w:t>
            </w:r>
            <w:r w:rsidRPr="000A0A5F">
              <w:rPr>
                <w:rFonts w:cs="Arial"/>
                <w:szCs w:val="18"/>
              </w:rPr>
              <w:t>.</w:t>
            </w:r>
          </w:p>
        </w:tc>
        <w:tc>
          <w:tcPr>
            <w:tcW w:w="1412" w:type="dxa"/>
            <w:vAlign w:val="center"/>
          </w:tcPr>
          <w:p w:rsidR="00B803CC" w:rsidRPr="000A0A5F" w:rsidRDefault="00B803CC" w:rsidP="00B97EBD">
            <w:pPr>
              <w:pStyle w:val="TAL"/>
              <w:rPr>
                <w:rFonts w:cs="Arial"/>
                <w:szCs w:val="18"/>
              </w:rPr>
            </w:pPr>
          </w:p>
        </w:tc>
      </w:tr>
    </w:tbl>
    <w:p w:rsidR="00CB0DD7" w:rsidRPr="000A0A5F" w:rsidRDefault="00CB0DD7"/>
    <w:p w:rsidR="00CB0DD7" w:rsidRPr="000A0A5F" w:rsidRDefault="00CB0DD7">
      <w:pPr>
        <w:pStyle w:val="Heading5"/>
      </w:pPr>
      <w:bookmarkStart w:id="7786" w:name="_Toc11247770"/>
      <w:bookmarkStart w:id="7787" w:name="_Toc27044913"/>
      <w:bookmarkStart w:id="7788" w:name="_Toc36033955"/>
      <w:bookmarkStart w:id="7789" w:name="_Toc45132101"/>
      <w:bookmarkStart w:id="7790" w:name="_Toc49776386"/>
      <w:bookmarkStart w:id="7791" w:name="_Toc51747306"/>
      <w:bookmarkStart w:id="7792" w:name="_Toc66360879"/>
      <w:bookmarkStart w:id="7793" w:name="_Toc68105384"/>
      <w:bookmarkStart w:id="7794" w:name="_Toc74756014"/>
      <w:bookmarkStart w:id="7795" w:name="_Toc105674890"/>
      <w:bookmarkStart w:id="7796" w:name="_Toc130502954"/>
      <w:bookmarkStart w:id="7797" w:name="_Toc153625742"/>
      <w:r w:rsidRPr="000A0A5F">
        <w:t>5.11.2.1.2</w:t>
      </w:r>
      <w:r w:rsidRPr="000A0A5F">
        <w:tab/>
        <w:t>Type: PfdManagement</w:t>
      </w:r>
      <w:bookmarkEnd w:id="7786"/>
      <w:bookmarkEnd w:id="7787"/>
      <w:bookmarkEnd w:id="7788"/>
      <w:bookmarkEnd w:id="7789"/>
      <w:bookmarkEnd w:id="7790"/>
      <w:bookmarkEnd w:id="7791"/>
      <w:bookmarkEnd w:id="7792"/>
      <w:bookmarkEnd w:id="7793"/>
      <w:bookmarkEnd w:id="7794"/>
      <w:bookmarkEnd w:id="7795"/>
      <w:bookmarkEnd w:id="7796"/>
      <w:bookmarkEnd w:id="7797"/>
    </w:p>
    <w:p w:rsidR="00CB0DD7" w:rsidRPr="000A0A5F" w:rsidRDefault="00CB0DD7">
      <w:r w:rsidRPr="000A0A5F">
        <w:t xml:space="preserve">This type represents a PFD management resource for a PFD management request. </w:t>
      </w:r>
    </w:p>
    <w:p w:rsidR="00CB0DD7" w:rsidRPr="000A0A5F" w:rsidRDefault="00CB0DD7">
      <w:pPr>
        <w:pStyle w:val="TH"/>
      </w:pPr>
      <w:r w:rsidRPr="000A0A5F">
        <w:rPr>
          <w:noProof/>
        </w:rPr>
        <w:t>Table </w:t>
      </w:r>
      <w:r w:rsidRPr="000A0A5F">
        <w:t xml:space="preserve">5.11.2.1.2-1: </w:t>
      </w:r>
      <w:r w:rsidRPr="000A0A5F">
        <w:rPr>
          <w:noProof/>
        </w:rPr>
        <w:t>Definition of type PfdManagement</w:t>
      </w:r>
    </w:p>
    <w:tbl>
      <w:tblPr>
        <w:tblW w:w="955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61"/>
        <w:gridCol w:w="1134"/>
        <w:gridCol w:w="1134"/>
        <w:gridCol w:w="4395"/>
        <w:gridCol w:w="1235"/>
        <w:tblGridChange w:id="7798">
          <w:tblGrid>
            <w:gridCol w:w="1661"/>
            <w:gridCol w:w="1134"/>
            <w:gridCol w:w="1134"/>
            <w:gridCol w:w="4395"/>
            <w:gridCol w:w="1235"/>
          </w:tblGrid>
        </w:tblGridChange>
      </w:tblGrid>
      <w:tr w:rsidR="00CB0DD7" w:rsidRPr="000A0A5F" w:rsidTr="00FF0AF8">
        <w:trPr>
          <w:trHeight w:val="288"/>
          <w:jc w:val="center"/>
        </w:trPr>
        <w:tc>
          <w:tcPr>
            <w:tcW w:w="1661" w:type="dxa"/>
            <w:shd w:val="clear" w:color="auto" w:fill="C0C0C0"/>
          </w:tcPr>
          <w:p w:rsidR="00CB0DD7" w:rsidRPr="000A0A5F" w:rsidRDefault="00CB0DD7">
            <w:pPr>
              <w:pStyle w:val="TAH"/>
              <w:rPr>
                <w:rFonts w:eastAsia="Times New Roman"/>
              </w:rPr>
            </w:pPr>
            <w:r w:rsidRPr="000A0A5F">
              <w:rPr>
                <w:rFonts w:eastAsia="Times New Roman"/>
              </w:rPr>
              <w:t>Attribute name</w:t>
            </w:r>
          </w:p>
        </w:tc>
        <w:tc>
          <w:tcPr>
            <w:tcW w:w="1134" w:type="dxa"/>
            <w:shd w:val="clear" w:color="auto" w:fill="C0C0C0"/>
          </w:tcPr>
          <w:p w:rsidR="00CB0DD7" w:rsidRPr="000A0A5F" w:rsidRDefault="00CB0DD7">
            <w:pPr>
              <w:pStyle w:val="TAH"/>
              <w:rPr>
                <w:rFonts w:eastAsia="Times New Roman"/>
              </w:rPr>
            </w:pPr>
            <w:r w:rsidRPr="000A0A5F">
              <w:rPr>
                <w:rFonts w:eastAsia="Times New Roman"/>
              </w:rPr>
              <w:t>Data type</w:t>
            </w:r>
          </w:p>
        </w:tc>
        <w:tc>
          <w:tcPr>
            <w:tcW w:w="1134" w:type="dxa"/>
            <w:shd w:val="clear" w:color="auto" w:fill="C0C0C0"/>
          </w:tcPr>
          <w:p w:rsidR="00CB0DD7" w:rsidRPr="000A0A5F" w:rsidRDefault="00CB0DD7">
            <w:pPr>
              <w:pStyle w:val="TAH"/>
              <w:rPr>
                <w:rFonts w:eastAsia="Times New Roman"/>
              </w:rPr>
            </w:pPr>
            <w:r w:rsidRPr="000A0A5F">
              <w:rPr>
                <w:rFonts w:eastAsia="Times New Roman"/>
              </w:rPr>
              <w:t>Cardinality</w:t>
            </w:r>
          </w:p>
        </w:tc>
        <w:tc>
          <w:tcPr>
            <w:tcW w:w="4395"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Description</w:t>
            </w:r>
          </w:p>
        </w:tc>
        <w:tc>
          <w:tcPr>
            <w:tcW w:w="1235" w:type="dxa"/>
            <w:shd w:val="clear" w:color="auto" w:fill="C0C0C0"/>
          </w:tcPr>
          <w:p w:rsidR="00CB0DD7" w:rsidRPr="000A0A5F" w:rsidRDefault="00CB0DD7">
            <w:pPr>
              <w:pStyle w:val="TAH"/>
              <w:rPr>
                <w:rFonts w:eastAsia="Times New Roman"/>
              </w:rPr>
            </w:pPr>
            <w:r w:rsidRPr="000A0A5F">
              <w:rPr>
                <w:rFonts w:eastAsia="Times New Roman" w:cs="Arial"/>
                <w:szCs w:val="18"/>
              </w:rPr>
              <w:t>Applicability (NOTE 1)</w:t>
            </w:r>
          </w:p>
        </w:tc>
      </w:tr>
      <w:tr w:rsidR="00CB0DD7" w:rsidRPr="000A0A5F" w:rsidTr="00FF0AF8">
        <w:trPr>
          <w:trHeight w:val="288"/>
          <w:jc w:val="center"/>
        </w:trPr>
        <w:tc>
          <w:tcPr>
            <w:tcW w:w="1661" w:type="dxa"/>
            <w:shd w:val="clear" w:color="auto" w:fill="auto"/>
          </w:tcPr>
          <w:p w:rsidR="00CB0DD7" w:rsidRPr="000A0A5F" w:rsidRDefault="00CB0DD7">
            <w:pPr>
              <w:pStyle w:val="TAH"/>
              <w:jc w:val="left"/>
              <w:rPr>
                <w:b w:val="0"/>
              </w:rPr>
            </w:pPr>
            <w:r w:rsidRPr="000A0A5F">
              <w:rPr>
                <w:b w:val="0"/>
              </w:rPr>
              <w:t>self</w:t>
            </w:r>
          </w:p>
        </w:tc>
        <w:tc>
          <w:tcPr>
            <w:tcW w:w="1134" w:type="dxa"/>
            <w:shd w:val="clear" w:color="auto" w:fill="auto"/>
          </w:tcPr>
          <w:p w:rsidR="00CB0DD7" w:rsidRPr="000A0A5F" w:rsidRDefault="00CB0DD7">
            <w:pPr>
              <w:pStyle w:val="TAH"/>
              <w:jc w:val="left"/>
              <w:rPr>
                <w:b w:val="0"/>
              </w:rPr>
            </w:pPr>
            <w:r w:rsidRPr="000A0A5F">
              <w:rPr>
                <w:b w:val="0"/>
              </w:rPr>
              <w:t>Link</w:t>
            </w:r>
          </w:p>
        </w:tc>
        <w:tc>
          <w:tcPr>
            <w:tcW w:w="1134" w:type="dxa"/>
            <w:shd w:val="clear" w:color="auto" w:fill="auto"/>
          </w:tcPr>
          <w:p w:rsidR="00CB0DD7" w:rsidRPr="000A0A5F" w:rsidRDefault="00CB0DD7">
            <w:pPr>
              <w:pStyle w:val="TAH"/>
              <w:jc w:val="left"/>
              <w:rPr>
                <w:b w:val="0"/>
              </w:rPr>
            </w:pPr>
            <w:r w:rsidRPr="000A0A5F">
              <w:rPr>
                <w:b w:val="0"/>
              </w:rPr>
              <w:t>0..1</w:t>
            </w:r>
          </w:p>
        </w:tc>
        <w:tc>
          <w:tcPr>
            <w:tcW w:w="4395" w:type="dxa"/>
            <w:shd w:val="clear" w:color="auto" w:fill="auto"/>
          </w:tcPr>
          <w:p w:rsidR="00CB0DD7" w:rsidRPr="000A0A5F" w:rsidRDefault="00CB0DD7">
            <w:pPr>
              <w:pStyle w:val="TAH"/>
              <w:jc w:val="left"/>
              <w:rPr>
                <w:b w:val="0"/>
              </w:rPr>
            </w:pPr>
            <w:r w:rsidRPr="000A0A5F">
              <w:rPr>
                <w:b w:val="0"/>
              </w:rPr>
              <w:t xml:space="preserve">Link to the resource "Individual </w:t>
            </w:r>
            <w:r w:rsidRPr="000A0A5F">
              <w:rPr>
                <w:rFonts w:hint="eastAsia"/>
                <w:b w:val="0"/>
              </w:rPr>
              <w:t xml:space="preserve">PFD Management </w:t>
            </w:r>
            <w:r w:rsidRPr="000A0A5F">
              <w:rPr>
                <w:b w:val="0"/>
              </w:rPr>
              <w:t>Transaction".</w:t>
            </w:r>
          </w:p>
          <w:p w:rsidR="00CB0DD7" w:rsidRPr="000A0A5F" w:rsidRDefault="00CB0DD7">
            <w:pPr>
              <w:pStyle w:val="TAH"/>
              <w:jc w:val="left"/>
              <w:rPr>
                <w:b w:val="0"/>
              </w:rPr>
            </w:pPr>
            <w:r w:rsidRPr="000A0A5F">
              <w:rPr>
                <w:b w:val="0"/>
              </w:rPr>
              <w:t>This parameter shall be supplied by the SCEF in HTTP responses.</w:t>
            </w:r>
          </w:p>
        </w:tc>
        <w:tc>
          <w:tcPr>
            <w:tcW w:w="1235" w:type="dxa"/>
            <w:shd w:val="clear" w:color="auto" w:fill="auto"/>
          </w:tcPr>
          <w:p w:rsidR="00CB0DD7" w:rsidRPr="000A0A5F" w:rsidRDefault="00CB0DD7">
            <w:pPr>
              <w:pStyle w:val="TAH"/>
              <w:jc w:val="left"/>
              <w:rPr>
                <w:rFonts w:eastAsia="Times New Roman" w:cs="Arial"/>
                <w:b w:val="0"/>
                <w:szCs w:val="18"/>
              </w:rPr>
            </w:pPr>
          </w:p>
        </w:tc>
      </w:tr>
      <w:tr w:rsidR="00CB0DD7" w:rsidRPr="000A0A5F" w:rsidTr="00FF0AF8">
        <w:trPr>
          <w:trHeight w:val="288"/>
          <w:jc w:val="center"/>
        </w:trPr>
        <w:tc>
          <w:tcPr>
            <w:tcW w:w="1661" w:type="dxa"/>
            <w:shd w:val="clear" w:color="auto" w:fill="auto"/>
          </w:tcPr>
          <w:p w:rsidR="00CB0DD7" w:rsidRPr="000A0A5F" w:rsidRDefault="00CB0DD7">
            <w:pPr>
              <w:pStyle w:val="TAH"/>
              <w:jc w:val="left"/>
              <w:rPr>
                <w:rFonts w:eastAsia="Times New Roman"/>
                <w:b w:val="0"/>
              </w:rPr>
            </w:pPr>
            <w:r w:rsidRPr="000A0A5F">
              <w:rPr>
                <w:b w:val="0"/>
              </w:rPr>
              <w:t>supportedFeatures</w:t>
            </w:r>
          </w:p>
        </w:tc>
        <w:tc>
          <w:tcPr>
            <w:tcW w:w="1134" w:type="dxa"/>
            <w:shd w:val="clear" w:color="auto" w:fill="auto"/>
          </w:tcPr>
          <w:p w:rsidR="00CB0DD7" w:rsidRPr="000A0A5F" w:rsidRDefault="00CB0DD7">
            <w:pPr>
              <w:pStyle w:val="TAH"/>
              <w:jc w:val="left"/>
              <w:rPr>
                <w:rFonts w:eastAsia="Times New Roman"/>
                <w:b w:val="0"/>
              </w:rPr>
            </w:pPr>
            <w:r w:rsidRPr="000A0A5F">
              <w:rPr>
                <w:b w:val="0"/>
              </w:rPr>
              <w:t>SupportedFeatures</w:t>
            </w:r>
          </w:p>
        </w:tc>
        <w:tc>
          <w:tcPr>
            <w:tcW w:w="1134" w:type="dxa"/>
            <w:shd w:val="clear" w:color="auto" w:fill="auto"/>
          </w:tcPr>
          <w:p w:rsidR="00CB0DD7" w:rsidRPr="000A0A5F" w:rsidRDefault="00CB0DD7">
            <w:pPr>
              <w:pStyle w:val="TAH"/>
              <w:jc w:val="left"/>
              <w:rPr>
                <w:rFonts w:eastAsia="Times New Roman"/>
                <w:b w:val="0"/>
              </w:rPr>
            </w:pPr>
            <w:r w:rsidRPr="000A0A5F">
              <w:rPr>
                <w:b w:val="0"/>
              </w:rPr>
              <w:t>0..1</w:t>
            </w:r>
          </w:p>
        </w:tc>
        <w:tc>
          <w:tcPr>
            <w:tcW w:w="4395" w:type="dxa"/>
            <w:shd w:val="clear" w:color="auto" w:fill="auto"/>
          </w:tcPr>
          <w:p w:rsidR="00CB0DD7" w:rsidRPr="000A0A5F" w:rsidRDefault="00CB0DD7">
            <w:pPr>
              <w:pStyle w:val="TAH"/>
              <w:jc w:val="left"/>
              <w:rPr>
                <w:b w:val="0"/>
              </w:rPr>
            </w:pPr>
            <w:r w:rsidRPr="000A0A5F">
              <w:rPr>
                <w:b w:val="0"/>
              </w:rPr>
              <w:t>Used to negotiate the supported optional features of the API as described in clause 5.2.7.</w:t>
            </w:r>
          </w:p>
          <w:p w:rsidR="00CB0DD7" w:rsidRPr="000A0A5F" w:rsidRDefault="00CB0DD7">
            <w:pPr>
              <w:pStyle w:val="TAH"/>
              <w:jc w:val="left"/>
              <w:rPr>
                <w:rFonts w:eastAsia="Times New Roman" w:cs="Arial"/>
                <w:b w:val="0"/>
                <w:szCs w:val="18"/>
              </w:rPr>
            </w:pPr>
            <w:r w:rsidRPr="000A0A5F">
              <w:rPr>
                <w:b w:val="0"/>
              </w:rPr>
              <w:t>This attribute shall be provided in the POST request and in the response of successful resource creation.</w:t>
            </w:r>
          </w:p>
        </w:tc>
        <w:tc>
          <w:tcPr>
            <w:tcW w:w="1235" w:type="dxa"/>
            <w:shd w:val="clear" w:color="auto" w:fill="auto"/>
          </w:tcPr>
          <w:p w:rsidR="00CB0DD7" w:rsidRPr="000A0A5F" w:rsidRDefault="00CB0DD7">
            <w:pPr>
              <w:pStyle w:val="TAH"/>
              <w:jc w:val="left"/>
              <w:rPr>
                <w:rFonts w:eastAsia="Times New Roman" w:cs="Arial"/>
                <w:b w:val="0"/>
                <w:szCs w:val="18"/>
              </w:rPr>
            </w:pPr>
          </w:p>
        </w:tc>
      </w:tr>
      <w:tr w:rsidR="00CB0DD7" w:rsidRPr="000A0A5F" w:rsidTr="00FF0AF8">
        <w:trPr>
          <w:jc w:val="center"/>
        </w:trPr>
        <w:tc>
          <w:tcPr>
            <w:tcW w:w="1661" w:type="dxa"/>
            <w:shd w:val="clear" w:color="auto" w:fill="auto"/>
          </w:tcPr>
          <w:p w:rsidR="00CB0DD7" w:rsidRPr="000A0A5F" w:rsidRDefault="00CB0DD7">
            <w:pPr>
              <w:pStyle w:val="TAL"/>
              <w:rPr>
                <w:rFonts w:hint="eastAsia"/>
                <w:lang w:eastAsia="zh-CN"/>
              </w:rPr>
            </w:pPr>
            <w:r w:rsidRPr="000A0A5F">
              <w:rPr>
                <w:lang w:eastAsia="zh-CN"/>
              </w:rPr>
              <w:t>pfdDatas</w:t>
            </w:r>
          </w:p>
        </w:tc>
        <w:tc>
          <w:tcPr>
            <w:tcW w:w="1134" w:type="dxa"/>
            <w:shd w:val="clear" w:color="auto" w:fill="auto"/>
          </w:tcPr>
          <w:p w:rsidR="00CB0DD7" w:rsidRPr="000A0A5F" w:rsidRDefault="00CB0DD7">
            <w:pPr>
              <w:pStyle w:val="TAL"/>
              <w:rPr>
                <w:rFonts w:hint="eastAsia"/>
                <w:lang w:eastAsia="zh-CN"/>
              </w:rPr>
            </w:pPr>
            <w:r w:rsidRPr="000A0A5F">
              <w:rPr>
                <w:lang w:eastAsia="zh-CN"/>
              </w:rPr>
              <w:t>map(PfdData)</w:t>
            </w:r>
          </w:p>
        </w:tc>
        <w:tc>
          <w:tcPr>
            <w:tcW w:w="1134" w:type="dxa"/>
          </w:tcPr>
          <w:p w:rsidR="00CB0DD7" w:rsidRPr="000A0A5F" w:rsidRDefault="00CB0DD7">
            <w:pPr>
              <w:pStyle w:val="TAC"/>
              <w:jc w:val="left"/>
              <w:rPr>
                <w:rFonts w:eastAsia="Times New Roman"/>
              </w:rPr>
            </w:pPr>
            <w:r w:rsidRPr="000A0A5F">
              <w:rPr>
                <w:rFonts w:eastAsia="Times New Roman"/>
              </w:rPr>
              <w:t>1..N</w:t>
            </w:r>
          </w:p>
        </w:tc>
        <w:tc>
          <w:tcPr>
            <w:tcW w:w="4395" w:type="dxa"/>
          </w:tcPr>
          <w:p w:rsidR="00CB0DD7" w:rsidRPr="000A0A5F" w:rsidRDefault="00CB0DD7">
            <w:pPr>
              <w:pStyle w:val="TAL"/>
              <w:rPr>
                <w:rFonts w:eastAsia="Times New Roman" w:cs="Arial"/>
                <w:szCs w:val="18"/>
              </w:rPr>
            </w:pPr>
            <w:r w:rsidRPr="000A0A5F">
              <w:rPr>
                <w:rFonts w:eastAsia="Times New Roman" w:cs="Arial"/>
                <w:szCs w:val="18"/>
              </w:rPr>
              <w:t>Each element uniquely identifies the PFDs for an external application identifier. Each element is identified in the map via an external application identifier as key. The response shall include successfully provisioned PFD data of application(s).</w:t>
            </w:r>
          </w:p>
        </w:tc>
        <w:tc>
          <w:tcPr>
            <w:tcW w:w="1235" w:type="dxa"/>
          </w:tcPr>
          <w:p w:rsidR="00CB0DD7" w:rsidRPr="000A0A5F" w:rsidRDefault="00CB0DD7">
            <w:pPr>
              <w:pStyle w:val="TAC"/>
              <w:jc w:val="left"/>
              <w:rPr>
                <w:rFonts w:eastAsia="Times New Roman"/>
              </w:rPr>
            </w:pPr>
          </w:p>
        </w:tc>
      </w:tr>
      <w:tr w:rsidR="00CB0DD7" w:rsidRPr="000A0A5F" w:rsidTr="00FF0AF8">
        <w:trPr>
          <w:jc w:val="center"/>
        </w:trPr>
        <w:tc>
          <w:tcPr>
            <w:tcW w:w="1661" w:type="dxa"/>
            <w:shd w:val="clear" w:color="auto" w:fill="auto"/>
          </w:tcPr>
          <w:p w:rsidR="00CB0DD7" w:rsidRPr="000A0A5F" w:rsidRDefault="00CB0DD7">
            <w:pPr>
              <w:pStyle w:val="TAL"/>
              <w:rPr>
                <w:rFonts w:hint="eastAsia"/>
                <w:lang w:eastAsia="zh-CN"/>
              </w:rPr>
            </w:pPr>
            <w:r w:rsidRPr="000A0A5F">
              <w:rPr>
                <w:rFonts w:hint="eastAsia"/>
                <w:lang w:eastAsia="zh-CN"/>
              </w:rPr>
              <w:t>pfd</w:t>
            </w:r>
            <w:r w:rsidRPr="000A0A5F">
              <w:rPr>
                <w:lang w:eastAsia="zh-CN"/>
              </w:rPr>
              <w:t>Reports</w:t>
            </w:r>
          </w:p>
        </w:tc>
        <w:tc>
          <w:tcPr>
            <w:tcW w:w="1134" w:type="dxa"/>
            <w:shd w:val="clear" w:color="auto" w:fill="auto"/>
          </w:tcPr>
          <w:p w:rsidR="00CB0DD7" w:rsidRPr="000A0A5F" w:rsidRDefault="00CB0DD7">
            <w:pPr>
              <w:pStyle w:val="TAL"/>
              <w:rPr>
                <w:lang w:eastAsia="zh-CN"/>
              </w:rPr>
            </w:pPr>
            <w:r w:rsidRPr="000A0A5F">
              <w:rPr>
                <w:lang w:eastAsia="zh-CN"/>
              </w:rPr>
              <w:t>map(</w:t>
            </w:r>
            <w:r w:rsidRPr="000A0A5F">
              <w:rPr>
                <w:rFonts w:hint="eastAsia"/>
                <w:lang w:eastAsia="zh-CN"/>
              </w:rPr>
              <w:t>PfdRe</w:t>
            </w:r>
            <w:r w:rsidRPr="000A0A5F">
              <w:rPr>
                <w:lang w:eastAsia="zh-CN"/>
              </w:rPr>
              <w:t>port)</w:t>
            </w:r>
          </w:p>
        </w:tc>
        <w:tc>
          <w:tcPr>
            <w:tcW w:w="1134" w:type="dxa"/>
          </w:tcPr>
          <w:p w:rsidR="00CB0DD7" w:rsidRPr="000A0A5F" w:rsidRDefault="00CB0DD7">
            <w:pPr>
              <w:pStyle w:val="TAC"/>
              <w:jc w:val="left"/>
              <w:rPr>
                <w:rFonts w:hint="eastAsia"/>
                <w:lang w:eastAsia="zh-CN"/>
              </w:rPr>
            </w:pPr>
            <w:r w:rsidRPr="000A0A5F">
              <w:rPr>
                <w:rFonts w:hint="eastAsia"/>
                <w:lang w:eastAsia="zh-CN"/>
              </w:rPr>
              <w:t>0..N</w:t>
            </w:r>
          </w:p>
        </w:tc>
        <w:tc>
          <w:tcPr>
            <w:tcW w:w="4395" w:type="dxa"/>
          </w:tcPr>
          <w:p w:rsidR="00CB0DD7" w:rsidRPr="000A0A5F" w:rsidRDefault="00CB0DD7">
            <w:pPr>
              <w:pStyle w:val="TAL"/>
              <w:rPr>
                <w:rFonts w:cs="Arial" w:hint="eastAsia"/>
                <w:szCs w:val="18"/>
                <w:lang w:eastAsia="zh-CN"/>
              </w:rPr>
            </w:pPr>
            <w:r w:rsidRPr="000A0A5F">
              <w:rPr>
                <w:rFonts w:cs="Arial"/>
                <w:szCs w:val="18"/>
                <w:lang w:eastAsia="zh-CN"/>
              </w:rPr>
              <w:t xml:space="preserve">Supplied by the SCEF and contains the external application identifiers for which PFD(s) are not added or modified successfully. The failure reason is also included. Each element provides the related information for one or more </w:t>
            </w:r>
            <w:r w:rsidRPr="000A0A5F">
              <w:rPr>
                <w:rFonts w:eastAsia="Times New Roman" w:cs="Arial"/>
                <w:szCs w:val="18"/>
              </w:rPr>
              <w:t>external application identifier(s) and is identified in the map via the failure identifier as key.</w:t>
            </w:r>
            <w:r w:rsidRPr="000A0A5F">
              <w:rPr>
                <w:rFonts w:cs="Arial"/>
                <w:szCs w:val="18"/>
              </w:rPr>
              <w:t xml:space="preserve"> </w:t>
            </w:r>
            <w:r w:rsidRPr="000A0A5F">
              <w:rPr>
                <w:rFonts w:cs="Arial"/>
              </w:rPr>
              <w:t>(</w:t>
            </w:r>
            <w:r w:rsidRPr="000A0A5F">
              <w:t>NOTE 2</w:t>
            </w:r>
            <w:r w:rsidRPr="000A0A5F">
              <w:rPr>
                <w:rFonts w:cs="Arial"/>
              </w:rPr>
              <w:t>)</w:t>
            </w:r>
          </w:p>
        </w:tc>
        <w:tc>
          <w:tcPr>
            <w:tcW w:w="1235" w:type="dxa"/>
          </w:tcPr>
          <w:p w:rsidR="00CB0DD7" w:rsidRPr="000A0A5F" w:rsidRDefault="00CB0DD7">
            <w:pPr>
              <w:pStyle w:val="TAC"/>
              <w:jc w:val="left"/>
              <w:rPr>
                <w:rFonts w:eastAsia="Times New Roman"/>
              </w:rPr>
            </w:pPr>
          </w:p>
        </w:tc>
      </w:tr>
      <w:tr w:rsidR="00CB0DD7" w:rsidRPr="000A0A5F" w:rsidTr="00FF0AF8">
        <w:trPr>
          <w:jc w:val="center"/>
        </w:trPr>
        <w:tc>
          <w:tcPr>
            <w:tcW w:w="1661" w:type="dxa"/>
            <w:shd w:val="clear" w:color="auto" w:fill="auto"/>
          </w:tcPr>
          <w:p w:rsidR="00CB0DD7" w:rsidRPr="000A0A5F" w:rsidRDefault="00CB0DD7">
            <w:pPr>
              <w:pStyle w:val="TAL"/>
              <w:rPr>
                <w:rFonts w:hint="eastAsia"/>
                <w:lang w:eastAsia="zh-CN"/>
              </w:rPr>
            </w:pPr>
            <w:r w:rsidRPr="000A0A5F">
              <w:rPr>
                <w:rFonts w:eastAsia="Times New Roman"/>
              </w:rPr>
              <w:t>notificationDestination</w:t>
            </w:r>
          </w:p>
        </w:tc>
        <w:tc>
          <w:tcPr>
            <w:tcW w:w="1134" w:type="dxa"/>
            <w:shd w:val="clear" w:color="auto" w:fill="auto"/>
          </w:tcPr>
          <w:p w:rsidR="00CB0DD7" w:rsidRPr="000A0A5F" w:rsidRDefault="00CB0DD7">
            <w:pPr>
              <w:pStyle w:val="TAL"/>
              <w:rPr>
                <w:lang w:eastAsia="zh-CN"/>
              </w:rPr>
            </w:pPr>
            <w:r w:rsidRPr="000A0A5F">
              <w:rPr>
                <w:rFonts w:hint="eastAsia"/>
                <w:lang w:eastAsia="zh-CN"/>
              </w:rPr>
              <w:t>Link</w:t>
            </w:r>
          </w:p>
        </w:tc>
        <w:tc>
          <w:tcPr>
            <w:tcW w:w="1134" w:type="dxa"/>
          </w:tcPr>
          <w:p w:rsidR="00CB0DD7" w:rsidRPr="000A0A5F" w:rsidRDefault="00CB0DD7">
            <w:pPr>
              <w:pStyle w:val="TAC"/>
              <w:jc w:val="left"/>
              <w:rPr>
                <w:rFonts w:hint="eastAsia"/>
                <w:lang w:eastAsia="zh-CN"/>
              </w:rPr>
            </w:pPr>
            <w:r w:rsidRPr="000A0A5F">
              <w:rPr>
                <w:rFonts w:eastAsia="Times New Roman"/>
              </w:rPr>
              <w:t>0..1</w:t>
            </w:r>
          </w:p>
        </w:tc>
        <w:tc>
          <w:tcPr>
            <w:tcW w:w="4395" w:type="dxa"/>
          </w:tcPr>
          <w:p w:rsidR="00CB0DD7" w:rsidRPr="000A0A5F" w:rsidRDefault="00CB0DD7">
            <w:pPr>
              <w:pStyle w:val="TAL"/>
              <w:rPr>
                <w:rFonts w:cs="Arial"/>
                <w:szCs w:val="18"/>
                <w:lang w:eastAsia="zh-CN"/>
              </w:rPr>
            </w:pPr>
            <w:r w:rsidRPr="000A0A5F">
              <w:rPr>
                <w:rFonts w:cs="Arial" w:hint="eastAsia"/>
                <w:szCs w:val="18"/>
                <w:lang w:eastAsia="zh-CN"/>
              </w:rPr>
              <w:t>A</w:t>
            </w:r>
            <w:r w:rsidRPr="000A0A5F">
              <w:rPr>
                <w:rFonts w:cs="Arial"/>
                <w:szCs w:val="18"/>
                <w:lang w:eastAsia="zh-CN"/>
              </w:rPr>
              <w:t xml:space="preserve"> </w:t>
            </w:r>
            <w:r w:rsidRPr="000A0A5F">
              <w:rPr>
                <w:rFonts w:cs="Arial" w:hint="eastAsia"/>
                <w:szCs w:val="18"/>
                <w:lang w:eastAsia="zh-CN"/>
              </w:rPr>
              <w:t xml:space="preserve">URI </w:t>
            </w:r>
            <w:r w:rsidRPr="000A0A5F">
              <w:rPr>
                <w:rFonts w:cs="Arial"/>
                <w:szCs w:val="18"/>
                <w:lang w:eastAsia="zh-CN"/>
              </w:rPr>
              <w:t>indicating the</w:t>
            </w:r>
            <w:r w:rsidRPr="000A0A5F">
              <w:rPr>
                <w:rFonts w:cs="Arial" w:hint="eastAsia"/>
                <w:szCs w:val="18"/>
                <w:lang w:eastAsia="zh-CN"/>
              </w:rPr>
              <w:t xml:space="preserve"> notification destination </w:t>
            </w:r>
            <w:r w:rsidRPr="000A0A5F">
              <w:rPr>
                <w:rFonts w:cs="Arial"/>
                <w:szCs w:val="18"/>
                <w:lang w:eastAsia="zh-CN"/>
              </w:rPr>
              <w:t>for</w:t>
            </w:r>
            <w:r w:rsidRPr="000A0A5F">
              <w:rPr>
                <w:rFonts w:cs="Arial" w:hint="eastAsia"/>
                <w:szCs w:val="18"/>
                <w:lang w:eastAsia="zh-CN"/>
              </w:rPr>
              <w:t xml:space="preserve"> T8 </w:t>
            </w:r>
            <w:r w:rsidRPr="000A0A5F">
              <w:rPr>
                <w:rFonts w:cs="Arial"/>
                <w:szCs w:val="18"/>
                <w:lang w:eastAsia="zh-CN"/>
              </w:rPr>
              <w:t>notifications</w:t>
            </w:r>
            <w:r w:rsidRPr="000A0A5F">
              <w:rPr>
                <w:rFonts w:cs="Arial" w:hint="eastAsia"/>
                <w:szCs w:val="18"/>
                <w:lang w:eastAsia="zh-CN"/>
              </w:rPr>
              <w:t>.</w:t>
            </w:r>
          </w:p>
        </w:tc>
        <w:tc>
          <w:tcPr>
            <w:tcW w:w="1235" w:type="dxa"/>
          </w:tcPr>
          <w:p w:rsidR="00CB0DD7" w:rsidRPr="000A0A5F" w:rsidRDefault="00CB0DD7">
            <w:pPr>
              <w:pStyle w:val="TAC"/>
              <w:jc w:val="left"/>
              <w:rPr>
                <w:rFonts w:eastAsia="Times New Roman"/>
              </w:rPr>
            </w:pPr>
            <w:r w:rsidRPr="000A0A5F">
              <w:rPr>
                <w:lang w:eastAsia="zh-CN"/>
              </w:rPr>
              <w:t>PfdMgmtNotification</w:t>
            </w:r>
          </w:p>
        </w:tc>
      </w:tr>
      <w:tr w:rsidR="00CB0DD7" w:rsidRPr="000A0A5F" w:rsidTr="00FF0AF8">
        <w:trPr>
          <w:jc w:val="center"/>
        </w:trPr>
        <w:tc>
          <w:tcPr>
            <w:tcW w:w="1661" w:type="dxa"/>
            <w:shd w:val="clear" w:color="auto" w:fill="auto"/>
          </w:tcPr>
          <w:p w:rsidR="00CB0DD7" w:rsidRPr="000A0A5F" w:rsidRDefault="00CB0DD7">
            <w:pPr>
              <w:pStyle w:val="TAL"/>
              <w:rPr>
                <w:rFonts w:hint="eastAsia"/>
                <w:lang w:eastAsia="zh-CN"/>
              </w:rPr>
            </w:pPr>
            <w:r w:rsidRPr="000A0A5F">
              <w:t>requestTestNotification</w:t>
            </w:r>
          </w:p>
        </w:tc>
        <w:tc>
          <w:tcPr>
            <w:tcW w:w="1134" w:type="dxa"/>
            <w:shd w:val="clear" w:color="auto" w:fill="auto"/>
          </w:tcPr>
          <w:p w:rsidR="00CB0DD7" w:rsidRPr="000A0A5F" w:rsidRDefault="00CB0DD7">
            <w:pPr>
              <w:pStyle w:val="TAL"/>
              <w:rPr>
                <w:lang w:eastAsia="zh-CN"/>
              </w:rPr>
            </w:pPr>
            <w:r w:rsidRPr="000A0A5F">
              <w:t>boolean</w:t>
            </w:r>
          </w:p>
        </w:tc>
        <w:tc>
          <w:tcPr>
            <w:tcW w:w="1134" w:type="dxa"/>
          </w:tcPr>
          <w:p w:rsidR="00CB0DD7" w:rsidRPr="000A0A5F" w:rsidRDefault="00CB0DD7">
            <w:pPr>
              <w:pStyle w:val="TAC"/>
              <w:jc w:val="left"/>
              <w:rPr>
                <w:rFonts w:hint="eastAsia"/>
                <w:lang w:eastAsia="zh-CN"/>
              </w:rPr>
            </w:pPr>
            <w:r w:rsidRPr="000A0A5F">
              <w:t>0..1</w:t>
            </w:r>
          </w:p>
        </w:tc>
        <w:tc>
          <w:tcPr>
            <w:tcW w:w="4395" w:type="dxa"/>
          </w:tcPr>
          <w:p w:rsidR="00CB0DD7" w:rsidRPr="000A0A5F" w:rsidRDefault="00CB0DD7">
            <w:pPr>
              <w:pStyle w:val="TAL"/>
              <w:rPr>
                <w:rFonts w:cs="Arial"/>
                <w:szCs w:val="18"/>
                <w:lang w:eastAsia="zh-CN"/>
              </w:rPr>
            </w:pPr>
            <w:r w:rsidRPr="000A0A5F">
              <w:rPr>
                <w:lang w:eastAsia="zh-CN"/>
              </w:rPr>
              <w:t>Set to true by the SCS/AS to request the SCEF to send a test notification as defined in clause</w:t>
            </w:r>
            <w:r w:rsidRPr="000A0A5F">
              <w:rPr>
                <w:lang w:val="en-US" w:eastAsia="zh-CN"/>
              </w:rPr>
              <w:t> </w:t>
            </w:r>
            <w:r w:rsidRPr="000A0A5F">
              <w:rPr>
                <w:lang w:eastAsia="zh-CN"/>
              </w:rPr>
              <w:t>5.2.5.3. Set to false or omitted otherwise.</w:t>
            </w:r>
          </w:p>
        </w:tc>
        <w:tc>
          <w:tcPr>
            <w:tcW w:w="1235" w:type="dxa"/>
          </w:tcPr>
          <w:p w:rsidR="00CB0DD7" w:rsidRPr="000A0A5F" w:rsidRDefault="00CB0DD7">
            <w:pPr>
              <w:pStyle w:val="TAC"/>
              <w:jc w:val="left"/>
              <w:rPr>
                <w:rFonts w:eastAsia="Times New Roman"/>
              </w:rPr>
            </w:pPr>
            <w:r w:rsidRPr="000A0A5F">
              <w:t>Notification_test_event</w:t>
            </w:r>
          </w:p>
        </w:tc>
      </w:tr>
      <w:tr w:rsidR="00CB0DD7" w:rsidRPr="000A0A5F" w:rsidTr="00FF0AF8">
        <w:trPr>
          <w:jc w:val="center"/>
        </w:trPr>
        <w:tc>
          <w:tcPr>
            <w:tcW w:w="1661" w:type="dxa"/>
            <w:shd w:val="clear" w:color="auto" w:fill="auto"/>
          </w:tcPr>
          <w:p w:rsidR="00CB0DD7" w:rsidRPr="000A0A5F" w:rsidRDefault="00CB0DD7">
            <w:pPr>
              <w:pStyle w:val="TAL"/>
              <w:rPr>
                <w:rFonts w:hint="eastAsia"/>
                <w:lang w:eastAsia="zh-CN"/>
              </w:rPr>
            </w:pPr>
            <w:r w:rsidRPr="000A0A5F">
              <w:rPr>
                <w:lang w:eastAsia="zh-CN"/>
              </w:rPr>
              <w:t>websockNotifConfig</w:t>
            </w:r>
          </w:p>
        </w:tc>
        <w:tc>
          <w:tcPr>
            <w:tcW w:w="1134" w:type="dxa"/>
            <w:shd w:val="clear" w:color="auto" w:fill="auto"/>
          </w:tcPr>
          <w:p w:rsidR="00CB0DD7" w:rsidRPr="000A0A5F" w:rsidRDefault="00CB0DD7">
            <w:pPr>
              <w:pStyle w:val="TAL"/>
              <w:rPr>
                <w:lang w:eastAsia="zh-CN"/>
              </w:rPr>
            </w:pPr>
            <w:r w:rsidRPr="000A0A5F">
              <w:rPr>
                <w:lang w:eastAsia="zh-CN"/>
              </w:rPr>
              <w:t>WebsockNotifConfig</w:t>
            </w:r>
          </w:p>
        </w:tc>
        <w:tc>
          <w:tcPr>
            <w:tcW w:w="1134" w:type="dxa"/>
          </w:tcPr>
          <w:p w:rsidR="00CB0DD7" w:rsidRPr="000A0A5F" w:rsidRDefault="00CB0DD7">
            <w:pPr>
              <w:pStyle w:val="TAC"/>
              <w:jc w:val="left"/>
              <w:rPr>
                <w:rFonts w:hint="eastAsia"/>
                <w:lang w:eastAsia="zh-CN"/>
              </w:rPr>
            </w:pPr>
            <w:r w:rsidRPr="000A0A5F">
              <w:rPr>
                <w:lang w:eastAsia="zh-CN"/>
              </w:rPr>
              <w:t>0..1</w:t>
            </w:r>
          </w:p>
        </w:tc>
        <w:tc>
          <w:tcPr>
            <w:tcW w:w="4395" w:type="dxa"/>
          </w:tcPr>
          <w:p w:rsidR="00CB0DD7" w:rsidRPr="000A0A5F" w:rsidRDefault="00CB0DD7">
            <w:pPr>
              <w:pStyle w:val="TAL"/>
              <w:rPr>
                <w:rFonts w:cs="Arial"/>
                <w:szCs w:val="18"/>
                <w:lang w:eastAsia="zh-CN"/>
              </w:rPr>
            </w:pPr>
            <w:r w:rsidRPr="000A0A5F">
              <w:rPr>
                <w:rFonts w:cs="Arial"/>
                <w:szCs w:val="18"/>
                <w:lang w:eastAsia="zh-CN"/>
              </w:rPr>
              <w:t>Configuration parameters to set up notification delivery over Websocket protocol as defined in clause</w:t>
            </w:r>
            <w:r w:rsidRPr="000A0A5F">
              <w:rPr>
                <w:rFonts w:cs="Arial"/>
                <w:szCs w:val="18"/>
                <w:lang w:val="en-US" w:eastAsia="zh-CN"/>
              </w:rPr>
              <w:t> </w:t>
            </w:r>
            <w:r w:rsidRPr="000A0A5F">
              <w:rPr>
                <w:rFonts w:cs="Arial"/>
                <w:szCs w:val="18"/>
                <w:lang w:eastAsia="zh-CN"/>
              </w:rPr>
              <w:t>5.2.5.4.</w:t>
            </w:r>
          </w:p>
        </w:tc>
        <w:tc>
          <w:tcPr>
            <w:tcW w:w="1235" w:type="dxa"/>
          </w:tcPr>
          <w:p w:rsidR="00CB0DD7" w:rsidRPr="000A0A5F" w:rsidRDefault="00CB0DD7">
            <w:pPr>
              <w:pStyle w:val="TAC"/>
              <w:jc w:val="left"/>
              <w:rPr>
                <w:rFonts w:eastAsia="Times New Roman"/>
              </w:rPr>
            </w:pPr>
            <w:r w:rsidRPr="000A0A5F">
              <w:rPr>
                <w:lang w:eastAsia="zh-CN"/>
              </w:rPr>
              <w:t>Notification_websocket</w:t>
            </w:r>
          </w:p>
        </w:tc>
      </w:tr>
      <w:tr w:rsidR="00CB0DD7" w:rsidRPr="000A0A5F" w:rsidTr="00FF0AF8">
        <w:trPr>
          <w:jc w:val="center"/>
        </w:trPr>
        <w:tc>
          <w:tcPr>
            <w:tcW w:w="9559" w:type="dxa"/>
            <w:gridSpan w:val="5"/>
            <w:shd w:val="clear" w:color="auto" w:fill="auto"/>
          </w:tcPr>
          <w:p w:rsidR="00CB0DD7" w:rsidRPr="000A0A5F" w:rsidRDefault="00CB0DD7">
            <w:pPr>
              <w:pStyle w:val="TAN"/>
              <w:rPr>
                <w:noProof/>
                <w:lang w:eastAsia="zh-CN"/>
              </w:rPr>
            </w:pPr>
            <w:r w:rsidRPr="000A0A5F">
              <w:rPr>
                <w:noProof/>
                <w:lang w:eastAsia="zh-CN"/>
              </w:rPr>
              <w:t>NOTE 1</w:t>
            </w:r>
            <w:r w:rsidRPr="000A0A5F">
              <w:t>:</w:t>
            </w:r>
            <w:r w:rsidRPr="000A0A5F">
              <w:tab/>
              <w:t>Properties marked with a feature as defined in clause 5.11.4 are applicable as described in clause 5.2.7. If no feature are indicated, the related property applies for all the features.</w:t>
            </w:r>
          </w:p>
          <w:p w:rsidR="00CB0DD7" w:rsidRPr="000A0A5F" w:rsidRDefault="00CB0DD7">
            <w:pPr>
              <w:pStyle w:val="TAN"/>
            </w:pPr>
            <w:r w:rsidRPr="000A0A5F">
              <w:t>NOTE 2:</w:t>
            </w:r>
            <w:r w:rsidRPr="000A0A5F">
              <w:tab/>
            </w:r>
            <w:r w:rsidRPr="000A0A5F">
              <w:rPr>
                <w:rFonts w:cs="Arial"/>
              </w:rPr>
              <w:t>The failure identifier is a string encoded map key.</w:t>
            </w:r>
          </w:p>
        </w:tc>
      </w:tr>
    </w:tbl>
    <w:p w:rsidR="00CB0DD7" w:rsidRPr="000A0A5F" w:rsidRDefault="00CB0DD7"/>
    <w:p w:rsidR="00CB0DD7" w:rsidRPr="000A0A5F" w:rsidRDefault="00CB0DD7">
      <w:pPr>
        <w:pStyle w:val="Heading5"/>
      </w:pPr>
      <w:bookmarkStart w:id="7799" w:name="_Toc11247771"/>
      <w:bookmarkStart w:id="7800" w:name="_Toc27044914"/>
      <w:bookmarkStart w:id="7801" w:name="_Toc36033956"/>
      <w:bookmarkStart w:id="7802" w:name="_Toc45132102"/>
      <w:bookmarkStart w:id="7803" w:name="_Toc49776387"/>
      <w:bookmarkStart w:id="7804" w:name="_Toc51747307"/>
      <w:bookmarkStart w:id="7805" w:name="_Toc66360880"/>
      <w:bookmarkStart w:id="7806" w:name="_Toc68105385"/>
      <w:bookmarkStart w:id="7807" w:name="_Toc74756015"/>
      <w:bookmarkStart w:id="7808" w:name="_Toc105674891"/>
      <w:bookmarkStart w:id="7809" w:name="_Toc130502955"/>
      <w:bookmarkStart w:id="7810" w:name="_Toc153625743"/>
      <w:r w:rsidRPr="000A0A5F">
        <w:t>5.11.2.1.3</w:t>
      </w:r>
      <w:r w:rsidRPr="000A0A5F">
        <w:tab/>
        <w:t>Type: PfdData</w:t>
      </w:r>
      <w:bookmarkEnd w:id="7799"/>
      <w:bookmarkEnd w:id="7800"/>
      <w:bookmarkEnd w:id="7801"/>
      <w:bookmarkEnd w:id="7802"/>
      <w:bookmarkEnd w:id="7803"/>
      <w:bookmarkEnd w:id="7804"/>
      <w:bookmarkEnd w:id="7805"/>
      <w:bookmarkEnd w:id="7806"/>
      <w:bookmarkEnd w:id="7807"/>
      <w:bookmarkEnd w:id="7808"/>
      <w:bookmarkEnd w:id="7809"/>
      <w:bookmarkEnd w:id="7810"/>
    </w:p>
    <w:p w:rsidR="00CB0DD7" w:rsidRPr="000A0A5F" w:rsidRDefault="00CB0DD7">
      <w:r w:rsidRPr="000A0A5F">
        <w:t xml:space="preserve">This type represents a PFD request to add, update or remove PFD(s) for one external application identifier provided by the SCS/AS to the SCEF via T8 interface. </w:t>
      </w:r>
    </w:p>
    <w:p w:rsidR="00CB0DD7" w:rsidRPr="000A0A5F" w:rsidRDefault="00CB0DD7">
      <w:pPr>
        <w:pStyle w:val="TH"/>
        <w:rPr>
          <w:noProof/>
        </w:rPr>
      </w:pPr>
      <w:r w:rsidRPr="000A0A5F">
        <w:rPr>
          <w:noProof/>
        </w:rPr>
        <w:t>Table 5.11.2.1.3-1: Definition of type PfdData</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843"/>
        <w:gridCol w:w="2126"/>
        <w:gridCol w:w="1276"/>
        <w:gridCol w:w="3118"/>
        <w:gridCol w:w="1257"/>
      </w:tblGrid>
      <w:tr w:rsidR="00CB0DD7" w:rsidRPr="000A0A5F" w:rsidTr="00FF0AF8">
        <w:trPr>
          <w:jc w:val="center"/>
        </w:trPr>
        <w:tc>
          <w:tcPr>
            <w:tcW w:w="1843" w:type="dxa"/>
            <w:shd w:val="clear" w:color="auto" w:fill="C0C0C0"/>
          </w:tcPr>
          <w:p w:rsidR="00CB0DD7" w:rsidRPr="000A0A5F" w:rsidRDefault="00CB0DD7">
            <w:pPr>
              <w:pStyle w:val="TAH"/>
              <w:rPr>
                <w:rFonts w:eastAsia="Times New Roman"/>
              </w:rPr>
            </w:pPr>
            <w:r w:rsidRPr="000A0A5F">
              <w:rPr>
                <w:rFonts w:eastAsia="Times New Roman"/>
              </w:rPr>
              <w:t>Attribute name</w:t>
            </w:r>
          </w:p>
        </w:tc>
        <w:tc>
          <w:tcPr>
            <w:tcW w:w="2126" w:type="dxa"/>
            <w:shd w:val="clear" w:color="auto" w:fill="C0C0C0"/>
          </w:tcPr>
          <w:p w:rsidR="00CB0DD7" w:rsidRPr="000A0A5F" w:rsidRDefault="00CB0DD7">
            <w:pPr>
              <w:pStyle w:val="TAH"/>
              <w:rPr>
                <w:rFonts w:eastAsia="Times New Roman"/>
              </w:rPr>
            </w:pPr>
            <w:r w:rsidRPr="000A0A5F">
              <w:rPr>
                <w:rFonts w:eastAsia="Times New Roman"/>
              </w:rPr>
              <w:t>Data type</w:t>
            </w:r>
          </w:p>
        </w:tc>
        <w:tc>
          <w:tcPr>
            <w:tcW w:w="1276" w:type="dxa"/>
            <w:shd w:val="clear" w:color="auto" w:fill="C0C0C0"/>
          </w:tcPr>
          <w:p w:rsidR="00CB0DD7" w:rsidRPr="000A0A5F" w:rsidRDefault="00CB0DD7">
            <w:pPr>
              <w:pStyle w:val="TAH"/>
              <w:jc w:val="left"/>
              <w:rPr>
                <w:rFonts w:eastAsia="Times New Roman"/>
              </w:rPr>
            </w:pPr>
            <w:r w:rsidRPr="000A0A5F">
              <w:rPr>
                <w:rFonts w:eastAsia="Times New Roman"/>
              </w:rPr>
              <w:t>Cardinality</w:t>
            </w:r>
          </w:p>
        </w:tc>
        <w:tc>
          <w:tcPr>
            <w:tcW w:w="3118"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Description</w:t>
            </w:r>
          </w:p>
        </w:tc>
        <w:tc>
          <w:tcPr>
            <w:tcW w:w="1257"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Applicability (NOTE</w:t>
            </w:r>
            <w:r w:rsidRPr="000A0A5F">
              <w:rPr>
                <w:rFonts w:cs="Arial"/>
                <w:szCs w:val="18"/>
                <w:lang w:val="en-US" w:eastAsia="zh-CN"/>
              </w:rPr>
              <w:t> </w:t>
            </w:r>
            <w:r w:rsidRPr="000A0A5F">
              <w:rPr>
                <w:rFonts w:cs="Arial"/>
                <w:szCs w:val="18"/>
                <w:lang w:eastAsia="zh-CN"/>
              </w:rPr>
              <w:t>1</w:t>
            </w:r>
            <w:r w:rsidRPr="000A0A5F">
              <w:rPr>
                <w:rFonts w:eastAsia="Times New Roman" w:cs="Arial"/>
                <w:szCs w:val="18"/>
              </w:rPr>
              <w:t>)</w:t>
            </w:r>
          </w:p>
        </w:tc>
      </w:tr>
      <w:tr w:rsidR="00CB0DD7" w:rsidRPr="000A0A5F" w:rsidTr="00FF0AF8">
        <w:trPr>
          <w:jc w:val="center"/>
        </w:trPr>
        <w:tc>
          <w:tcPr>
            <w:tcW w:w="1843" w:type="dxa"/>
            <w:shd w:val="clear" w:color="auto" w:fill="auto"/>
          </w:tcPr>
          <w:p w:rsidR="00CB0DD7" w:rsidRPr="000A0A5F" w:rsidRDefault="00CB0DD7">
            <w:pPr>
              <w:pStyle w:val="TAL"/>
              <w:rPr>
                <w:lang w:eastAsia="zh-CN"/>
              </w:rPr>
            </w:pPr>
            <w:r w:rsidRPr="000A0A5F">
              <w:rPr>
                <w:lang w:eastAsia="zh-CN"/>
              </w:rPr>
              <w:t>e</w:t>
            </w:r>
            <w:r w:rsidRPr="000A0A5F">
              <w:rPr>
                <w:rFonts w:hint="eastAsia"/>
                <w:lang w:eastAsia="zh-CN"/>
              </w:rPr>
              <w:t>xterna</w:t>
            </w:r>
            <w:r w:rsidRPr="000A0A5F">
              <w:rPr>
                <w:lang w:eastAsia="zh-CN"/>
              </w:rPr>
              <w:t>l</w:t>
            </w:r>
            <w:r w:rsidRPr="000A0A5F">
              <w:rPr>
                <w:rFonts w:hint="eastAsia"/>
                <w:lang w:eastAsia="zh-CN"/>
              </w:rPr>
              <w:t>AppId</w:t>
            </w:r>
          </w:p>
        </w:tc>
        <w:tc>
          <w:tcPr>
            <w:tcW w:w="2126" w:type="dxa"/>
            <w:shd w:val="clear" w:color="auto" w:fill="auto"/>
          </w:tcPr>
          <w:p w:rsidR="00CB0DD7" w:rsidRPr="000A0A5F" w:rsidRDefault="00CB0DD7">
            <w:pPr>
              <w:pStyle w:val="TAL"/>
              <w:rPr>
                <w:rFonts w:hint="eastAsia"/>
                <w:lang w:eastAsia="zh-CN"/>
              </w:rPr>
            </w:pPr>
            <w:r w:rsidRPr="000A0A5F">
              <w:rPr>
                <w:lang w:eastAsia="zh-CN"/>
              </w:rPr>
              <w:t>s</w:t>
            </w:r>
            <w:r w:rsidRPr="000A0A5F">
              <w:rPr>
                <w:rFonts w:hint="eastAsia"/>
                <w:lang w:eastAsia="zh-CN"/>
              </w:rPr>
              <w:t>tring</w:t>
            </w:r>
          </w:p>
        </w:tc>
        <w:tc>
          <w:tcPr>
            <w:tcW w:w="1276" w:type="dxa"/>
            <w:shd w:val="clear" w:color="auto" w:fill="auto"/>
          </w:tcPr>
          <w:p w:rsidR="00CB0DD7" w:rsidRPr="000A0A5F" w:rsidRDefault="00CB0DD7">
            <w:pPr>
              <w:pStyle w:val="TAL"/>
              <w:rPr>
                <w:rFonts w:eastAsia="Times New Roman"/>
              </w:rPr>
            </w:pPr>
            <w:r w:rsidRPr="000A0A5F">
              <w:rPr>
                <w:rFonts w:eastAsia="Times New Roman"/>
              </w:rPr>
              <w:t>1</w:t>
            </w:r>
          </w:p>
        </w:tc>
        <w:tc>
          <w:tcPr>
            <w:tcW w:w="3118" w:type="dxa"/>
            <w:shd w:val="clear" w:color="auto" w:fill="auto"/>
          </w:tcPr>
          <w:p w:rsidR="00CB0DD7" w:rsidRPr="000A0A5F" w:rsidRDefault="00CB0DD7">
            <w:pPr>
              <w:pStyle w:val="TAL"/>
              <w:rPr>
                <w:rFonts w:eastAsia="Times New Roman" w:cs="Arial"/>
                <w:szCs w:val="18"/>
              </w:rPr>
            </w:pPr>
            <w:r w:rsidRPr="000A0A5F">
              <w:rPr>
                <w:rFonts w:eastAsia="Times New Roman" w:cs="Arial"/>
                <w:szCs w:val="18"/>
              </w:rPr>
              <w:t>Each element uniquely external application identifier</w:t>
            </w:r>
          </w:p>
          <w:p w:rsidR="00CB0DD7" w:rsidRPr="000A0A5F" w:rsidRDefault="00CB0DD7">
            <w:pPr>
              <w:pStyle w:val="TAL"/>
              <w:rPr>
                <w:rFonts w:cs="Arial" w:hint="eastAsia"/>
                <w:szCs w:val="18"/>
                <w:lang w:eastAsia="zh-CN"/>
              </w:rPr>
            </w:pPr>
            <w:r w:rsidRPr="000A0A5F">
              <w:rPr>
                <w:rFonts w:cs="Arial"/>
                <w:szCs w:val="18"/>
                <w:lang w:eastAsia="zh-CN"/>
              </w:rPr>
              <w:t>(NOTE</w:t>
            </w:r>
            <w:r w:rsidRPr="000A0A5F">
              <w:rPr>
                <w:rFonts w:cs="Arial"/>
                <w:szCs w:val="18"/>
                <w:lang w:val="en-US" w:eastAsia="zh-CN"/>
              </w:rPr>
              <w:t> </w:t>
            </w:r>
            <w:r w:rsidRPr="000A0A5F">
              <w:rPr>
                <w:rFonts w:cs="Arial"/>
                <w:szCs w:val="18"/>
                <w:lang w:eastAsia="zh-CN"/>
              </w:rPr>
              <w:t>2)</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843" w:type="dxa"/>
            <w:shd w:val="clear" w:color="auto" w:fill="auto"/>
          </w:tcPr>
          <w:p w:rsidR="00CB0DD7" w:rsidRPr="000A0A5F" w:rsidRDefault="00CB0DD7">
            <w:pPr>
              <w:pStyle w:val="TAL"/>
              <w:rPr>
                <w:rFonts w:hint="eastAsia"/>
                <w:lang w:eastAsia="zh-CN"/>
              </w:rPr>
            </w:pPr>
            <w:r w:rsidRPr="000A0A5F">
              <w:rPr>
                <w:rFonts w:hint="eastAsia"/>
                <w:lang w:eastAsia="zh-CN"/>
              </w:rPr>
              <w:t>self</w:t>
            </w:r>
          </w:p>
        </w:tc>
        <w:tc>
          <w:tcPr>
            <w:tcW w:w="2126" w:type="dxa"/>
            <w:shd w:val="clear" w:color="auto" w:fill="auto"/>
          </w:tcPr>
          <w:p w:rsidR="00CB0DD7" w:rsidRPr="000A0A5F" w:rsidRDefault="00CB0DD7">
            <w:pPr>
              <w:pStyle w:val="TAL"/>
              <w:rPr>
                <w:lang w:eastAsia="zh-CN"/>
              </w:rPr>
            </w:pPr>
            <w:r w:rsidRPr="000A0A5F">
              <w:rPr>
                <w:rFonts w:hint="eastAsia"/>
                <w:lang w:eastAsia="zh-CN"/>
              </w:rPr>
              <w:t>Link</w:t>
            </w:r>
          </w:p>
        </w:tc>
        <w:tc>
          <w:tcPr>
            <w:tcW w:w="1276" w:type="dxa"/>
            <w:shd w:val="clear" w:color="auto" w:fill="auto"/>
          </w:tcPr>
          <w:p w:rsidR="00CB0DD7" w:rsidRPr="000A0A5F" w:rsidRDefault="00CB0DD7">
            <w:pPr>
              <w:pStyle w:val="TAL"/>
              <w:rPr>
                <w:rFonts w:hint="eastAsia"/>
                <w:lang w:eastAsia="zh-CN"/>
              </w:rPr>
            </w:pPr>
            <w:r w:rsidRPr="000A0A5F">
              <w:rPr>
                <w:rFonts w:hint="eastAsia"/>
                <w:lang w:eastAsia="zh-CN"/>
              </w:rPr>
              <w:t>0..1</w:t>
            </w:r>
          </w:p>
        </w:tc>
        <w:tc>
          <w:tcPr>
            <w:tcW w:w="3118" w:type="dxa"/>
            <w:shd w:val="clear" w:color="auto" w:fill="auto"/>
          </w:tcPr>
          <w:p w:rsidR="00CB0DD7" w:rsidRPr="000A0A5F" w:rsidRDefault="00CB0DD7">
            <w:pPr>
              <w:pStyle w:val="TAL"/>
              <w:rPr>
                <w:rFonts w:eastAsia="Times New Roman" w:cs="Arial"/>
                <w:szCs w:val="18"/>
              </w:rPr>
            </w:pPr>
            <w:r w:rsidRPr="000A0A5F">
              <w:rPr>
                <w:rFonts w:eastAsia="Times New Roman" w:cs="Arial"/>
                <w:szCs w:val="18"/>
              </w:rPr>
              <w:t xml:space="preserve">Link to the resource </w:t>
            </w:r>
            <w:r w:rsidRPr="000A0A5F">
              <w:t>"Individual Application PFD Management"</w:t>
            </w:r>
            <w:r w:rsidRPr="000A0A5F">
              <w:rPr>
                <w:rFonts w:eastAsia="Times New Roman" w:cs="Arial"/>
                <w:szCs w:val="18"/>
              </w:rPr>
              <w:t>. This parameter shall be supplied by the SCEF in HTTP responses.</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843" w:type="dxa"/>
            <w:shd w:val="clear" w:color="auto" w:fill="auto"/>
          </w:tcPr>
          <w:p w:rsidR="00CB0DD7" w:rsidRPr="000A0A5F" w:rsidRDefault="00CB0DD7">
            <w:pPr>
              <w:pStyle w:val="TAL"/>
              <w:rPr>
                <w:rFonts w:hint="eastAsia"/>
                <w:lang w:eastAsia="zh-CN"/>
              </w:rPr>
            </w:pPr>
            <w:r w:rsidRPr="000A0A5F">
              <w:rPr>
                <w:rFonts w:hint="eastAsia"/>
                <w:lang w:eastAsia="zh-CN"/>
              </w:rPr>
              <w:t>pfd</w:t>
            </w:r>
            <w:r w:rsidRPr="000A0A5F">
              <w:rPr>
                <w:lang w:eastAsia="zh-CN"/>
              </w:rPr>
              <w:t>s</w:t>
            </w:r>
          </w:p>
        </w:tc>
        <w:tc>
          <w:tcPr>
            <w:tcW w:w="2126" w:type="dxa"/>
            <w:shd w:val="clear" w:color="auto" w:fill="auto"/>
          </w:tcPr>
          <w:p w:rsidR="00CB0DD7" w:rsidRPr="000A0A5F" w:rsidRDefault="00CB0DD7">
            <w:pPr>
              <w:pStyle w:val="TAL"/>
              <w:rPr>
                <w:rFonts w:hint="eastAsia"/>
                <w:lang w:eastAsia="zh-CN"/>
              </w:rPr>
            </w:pPr>
            <w:r w:rsidRPr="000A0A5F">
              <w:rPr>
                <w:lang w:eastAsia="zh-CN"/>
              </w:rPr>
              <w:t>map(</w:t>
            </w:r>
            <w:r w:rsidRPr="000A0A5F">
              <w:rPr>
                <w:rFonts w:hint="eastAsia"/>
                <w:lang w:eastAsia="zh-CN"/>
              </w:rPr>
              <w:t>Pfd</w:t>
            </w:r>
            <w:r w:rsidRPr="000A0A5F">
              <w:rPr>
                <w:lang w:eastAsia="zh-CN"/>
              </w:rPr>
              <w:t>)</w:t>
            </w:r>
          </w:p>
        </w:tc>
        <w:tc>
          <w:tcPr>
            <w:tcW w:w="1276" w:type="dxa"/>
            <w:shd w:val="clear" w:color="auto" w:fill="auto"/>
          </w:tcPr>
          <w:p w:rsidR="00CB0DD7" w:rsidRPr="000A0A5F" w:rsidRDefault="00CB0DD7">
            <w:pPr>
              <w:pStyle w:val="TAL"/>
              <w:rPr>
                <w:rFonts w:eastAsia="Times New Roman"/>
              </w:rPr>
            </w:pPr>
            <w:r w:rsidRPr="000A0A5F">
              <w:rPr>
                <w:rFonts w:eastAsia="Times New Roman" w:cs="Arial"/>
                <w:szCs w:val="18"/>
              </w:rPr>
              <w:t>1..N</w:t>
            </w:r>
          </w:p>
        </w:tc>
        <w:tc>
          <w:tcPr>
            <w:tcW w:w="3118" w:type="dxa"/>
            <w:shd w:val="clear" w:color="auto" w:fill="auto"/>
          </w:tcPr>
          <w:p w:rsidR="00CB0DD7" w:rsidRPr="000A0A5F" w:rsidRDefault="00CB0DD7">
            <w:pPr>
              <w:pStyle w:val="TAL"/>
              <w:rPr>
                <w:rFonts w:eastAsia="Times New Roman" w:cs="Arial"/>
                <w:szCs w:val="18"/>
              </w:rPr>
            </w:pPr>
            <w:r w:rsidRPr="000A0A5F">
              <w:rPr>
                <w:rFonts w:eastAsia="Times New Roman" w:cs="Arial"/>
                <w:szCs w:val="18"/>
              </w:rPr>
              <w:t>Contains the PFDs of the external application identifier. Each PFD is identified in the map via a key containing the PFD identifier. (NOTE 3)</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843" w:type="dxa"/>
            <w:shd w:val="clear" w:color="auto" w:fill="auto"/>
          </w:tcPr>
          <w:p w:rsidR="00CB0DD7" w:rsidRPr="000A0A5F" w:rsidRDefault="00CB0DD7">
            <w:pPr>
              <w:pStyle w:val="TAL"/>
              <w:rPr>
                <w:rFonts w:eastAsia="Times New Roman"/>
              </w:rPr>
            </w:pPr>
            <w:r w:rsidRPr="000A0A5F">
              <w:rPr>
                <w:rFonts w:hint="eastAsia"/>
                <w:lang w:eastAsia="zh-CN"/>
              </w:rPr>
              <w:t>allowedDelay</w:t>
            </w:r>
          </w:p>
        </w:tc>
        <w:tc>
          <w:tcPr>
            <w:tcW w:w="2126" w:type="dxa"/>
            <w:shd w:val="clear" w:color="auto" w:fill="auto"/>
          </w:tcPr>
          <w:p w:rsidR="00CB0DD7" w:rsidRPr="000A0A5F" w:rsidRDefault="00CB0DD7">
            <w:pPr>
              <w:pStyle w:val="TAL"/>
              <w:rPr>
                <w:rFonts w:hint="eastAsia"/>
                <w:lang w:eastAsia="zh-CN"/>
              </w:rPr>
            </w:pPr>
            <w:r w:rsidRPr="000A0A5F">
              <w:rPr>
                <w:lang w:eastAsia="zh-CN"/>
              </w:rPr>
              <w:t>DurationSecRm</w:t>
            </w:r>
          </w:p>
        </w:tc>
        <w:tc>
          <w:tcPr>
            <w:tcW w:w="1276" w:type="dxa"/>
            <w:shd w:val="clear" w:color="auto" w:fill="auto"/>
          </w:tcPr>
          <w:p w:rsidR="00CB0DD7" w:rsidRPr="000A0A5F" w:rsidRDefault="00CB0DD7">
            <w:pPr>
              <w:pStyle w:val="TAL"/>
              <w:rPr>
                <w:rFonts w:eastAsia="Times New Roman"/>
              </w:rPr>
            </w:pPr>
            <w:r w:rsidRPr="000A0A5F">
              <w:rPr>
                <w:rFonts w:hint="eastAsia"/>
                <w:lang w:eastAsia="zh-CN"/>
              </w:rPr>
              <w:t>0..1</w:t>
            </w:r>
          </w:p>
        </w:tc>
        <w:tc>
          <w:tcPr>
            <w:tcW w:w="3118" w:type="dxa"/>
            <w:shd w:val="clear" w:color="auto" w:fill="auto"/>
          </w:tcPr>
          <w:p w:rsidR="00CB0DD7" w:rsidRPr="000A0A5F" w:rsidRDefault="00CB0DD7">
            <w:pPr>
              <w:pStyle w:val="TAL"/>
              <w:rPr>
                <w:rFonts w:eastAsia="Times New Roman" w:cs="Arial"/>
                <w:szCs w:val="18"/>
              </w:rPr>
            </w:pPr>
            <w:r w:rsidRPr="000A0A5F">
              <w:t>Indicates that the list of PFDs in this request should be deployed within the time interval indicated by the Allowed Delay</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843" w:type="dxa"/>
            <w:shd w:val="clear" w:color="auto" w:fill="auto"/>
          </w:tcPr>
          <w:p w:rsidR="00CB0DD7" w:rsidRPr="000A0A5F" w:rsidRDefault="00CB0DD7">
            <w:pPr>
              <w:pStyle w:val="TAL"/>
              <w:rPr>
                <w:rFonts w:hint="eastAsia"/>
                <w:lang w:eastAsia="zh-CN"/>
              </w:rPr>
            </w:pPr>
            <w:r w:rsidRPr="000A0A5F">
              <w:rPr>
                <w:lang w:eastAsia="zh-CN"/>
              </w:rPr>
              <w:t>cachingTime</w:t>
            </w:r>
          </w:p>
        </w:tc>
        <w:tc>
          <w:tcPr>
            <w:tcW w:w="2126" w:type="dxa"/>
            <w:shd w:val="clear" w:color="auto" w:fill="auto"/>
          </w:tcPr>
          <w:p w:rsidR="00CB0DD7" w:rsidRPr="000A0A5F" w:rsidRDefault="00CB0DD7">
            <w:pPr>
              <w:pStyle w:val="TAL"/>
              <w:rPr>
                <w:lang w:eastAsia="zh-CN"/>
              </w:rPr>
            </w:pPr>
            <w:r w:rsidRPr="000A0A5F">
              <w:rPr>
                <w:lang w:eastAsia="zh-CN"/>
              </w:rPr>
              <w:t>DurationSecRo</w:t>
            </w:r>
          </w:p>
        </w:tc>
        <w:tc>
          <w:tcPr>
            <w:tcW w:w="1276" w:type="dxa"/>
            <w:shd w:val="clear" w:color="auto" w:fill="auto"/>
          </w:tcPr>
          <w:p w:rsidR="00CB0DD7" w:rsidRPr="000A0A5F" w:rsidRDefault="00CB0DD7">
            <w:pPr>
              <w:pStyle w:val="TAL"/>
              <w:rPr>
                <w:rFonts w:hint="eastAsia"/>
                <w:lang w:eastAsia="zh-CN"/>
              </w:rPr>
            </w:pPr>
            <w:r w:rsidRPr="000A0A5F">
              <w:rPr>
                <w:lang w:eastAsia="zh-CN"/>
              </w:rPr>
              <w:t>0..1</w:t>
            </w:r>
          </w:p>
        </w:tc>
        <w:tc>
          <w:tcPr>
            <w:tcW w:w="3118" w:type="dxa"/>
            <w:shd w:val="clear" w:color="auto" w:fill="auto"/>
          </w:tcPr>
          <w:p w:rsidR="00CB0DD7" w:rsidRPr="000A0A5F" w:rsidRDefault="00CB0DD7">
            <w:pPr>
              <w:pStyle w:val="TAL"/>
            </w:pPr>
            <w:r w:rsidRPr="000A0A5F">
              <w:t>SCEF supplied property, inclusion of this property means the allowed delayed cannot be satisfied, i.e. it is smaller than the caching time, but the PFD data is still stored.</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9620" w:type="dxa"/>
            <w:gridSpan w:val="5"/>
            <w:shd w:val="clear" w:color="auto" w:fill="auto"/>
          </w:tcPr>
          <w:p w:rsidR="00CB0DD7" w:rsidRPr="000A0A5F" w:rsidRDefault="00CB0DD7">
            <w:pPr>
              <w:pStyle w:val="TAN"/>
            </w:pPr>
            <w:r w:rsidRPr="000A0A5F">
              <w:t>NOTE 1:</w:t>
            </w:r>
            <w:r w:rsidRPr="000A0A5F">
              <w:tab/>
              <w:t>Properties marked with a feature as defined in clause 5.11.4 are applicable as described in clause 5.2.7. If no features are indicated, the related property applies for all the features.</w:t>
            </w:r>
          </w:p>
          <w:p w:rsidR="00CB0DD7" w:rsidRPr="000A0A5F" w:rsidRDefault="00CB0DD7">
            <w:pPr>
              <w:pStyle w:val="TAN"/>
              <w:rPr>
                <w:rFonts w:ascii="Cambria" w:eastAsia="Cambria" w:hAnsi="Cambria"/>
              </w:rPr>
            </w:pPr>
            <w:r w:rsidRPr="000A0A5F">
              <w:t>NOTE 2:</w:t>
            </w:r>
            <w:r w:rsidRPr="000A0A5F">
              <w:tab/>
              <w:t>An externalAppId can only belong to one "i</w:t>
            </w:r>
            <w:r w:rsidRPr="000A0A5F">
              <w:rPr>
                <w:lang w:eastAsia="zh-CN"/>
              </w:rPr>
              <w:t xml:space="preserve">ndividual </w:t>
            </w:r>
            <w:r w:rsidRPr="000A0A5F">
              <w:rPr>
                <w:rFonts w:hint="eastAsia"/>
                <w:lang w:eastAsia="zh-CN"/>
              </w:rPr>
              <w:t xml:space="preserve">PFD Management </w:t>
            </w:r>
            <w:r w:rsidRPr="000A0A5F">
              <w:t>Transaction" resource.</w:t>
            </w:r>
          </w:p>
          <w:p w:rsidR="00CB0DD7" w:rsidRPr="000A0A5F" w:rsidRDefault="00CB0DD7">
            <w:pPr>
              <w:pStyle w:val="TAN"/>
              <w:rPr>
                <w:rFonts w:ascii="Cambria" w:eastAsia="Cambria" w:hAnsi="Cambria" w:hint="eastAsia"/>
              </w:rPr>
            </w:pPr>
            <w:r w:rsidRPr="000A0A5F">
              <w:t>NOTE 3:</w:t>
            </w:r>
            <w:r w:rsidRPr="000A0A5F">
              <w:tab/>
              <w:t>When multiple PFDs are associated with application identifier, the application is detected when any of the PFDs associated with the application identifier is matched.</w:t>
            </w:r>
          </w:p>
        </w:tc>
      </w:tr>
    </w:tbl>
    <w:p w:rsidR="00CB0DD7" w:rsidRPr="000A0A5F" w:rsidRDefault="00CB0DD7"/>
    <w:p w:rsidR="00CB0DD7" w:rsidRPr="000A0A5F" w:rsidRDefault="00CB0DD7">
      <w:pPr>
        <w:pStyle w:val="Heading5"/>
      </w:pPr>
      <w:bookmarkStart w:id="7811" w:name="_Toc11247772"/>
      <w:bookmarkStart w:id="7812" w:name="_Toc27044915"/>
      <w:bookmarkStart w:id="7813" w:name="_Toc36033957"/>
      <w:bookmarkStart w:id="7814" w:name="_Toc45132103"/>
      <w:bookmarkStart w:id="7815" w:name="_Toc49776388"/>
      <w:bookmarkStart w:id="7816" w:name="_Toc51747308"/>
      <w:bookmarkStart w:id="7817" w:name="_Toc66360881"/>
      <w:bookmarkStart w:id="7818" w:name="_Toc68105386"/>
      <w:bookmarkStart w:id="7819" w:name="_Toc74756016"/>
      <w:bookmarkStart w:id="7820" w:name="_Toc105674892"/>
      <w:bookmarkStart w:id="7821" w:name="_Toc130502956"/>
      <w:bookmarkStart w:id="7822" w:name="_Toc153625744"/>
      <w:r w:rsidRPr="000A0A5F">
        <w:t>5.11.2.1.4</w:t>
      </w:r>
      <w:r w:rsidRPr="000A0A5F">
        <w:tab/>
        <w:t>Type: Pfd</w:t>
      </w:r>
      <w:bookmarkEnd w:id="7811"/>
      <w:bookmarkEnd w:id="7812"/>
      <w:bookmarkEnd w:id="7813"/>
      <w:bookmarkEnd w:id="7814"/>
      <w:bookmarkEnd w:id="7815"/>
      <w:bookmarkEnd w:id="7816"/>
      <w:bookmarkEnd w:id="7817"/>
      <w:bookmarkEnd w:id="7818"/>
      <w:bookmarkEnd w:id="7819"/>
      <w:bookmarkEnd w:id="7820"/>
      <w:bookmarkEnd w:id="7821"/>
      <w:bookmarkEnd w:id="7822"/>
    </w:p>
    <w:p w:rsidR="00CB0DD7" w:rsidRPr="000A0A5F" w:rsidRDefault="00CB0DD7">
      <w:r w:rsidRPr="000A0A5F">
        <w:t xml:space="preserve">This data type represents a PFD for an external Application Identifier. </w:t>
      </w:r>
    </w:p>
    <w:p w:rsidR="00CB0DD7" w:rsidRPr="000A0A5F" w:rsidRDefault="00CB0DD7">
      <w:pPr>
        <w:pStyle w:val="TH"/>
      </w:pPr>
      <w:r w:rsidRPr="000A0A5F">
        <w:rPr>
          <w:noProof/>
        </w:rPr>
        <w:t>Table </w:t>
      </w:r>
      <w:r w:rsidRPr="000A0A5F">
        <w:t xml:space="preserve">5.11.2.1.4-1: </w:t>
      </w:r>
      <w:r w:rsidRPr="000A0A5F">
        <w:rPr>
          <w:noProof/>
        </w:rPr>
        <w:t>Definition of type Pfd</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948"/>
        <w:gridCol w:w="2126"/>
        <w:gridCol w:w="1276"/>
        <w:gridCol w:w="2995"/>
        <w:gridCol w:w="1257"/>
      </w:tblGrid>
      <w:tr w:rsidR="00CB0DD7" w:rsidRPr="000A0A5F" w:rsidTr="00FF0AF8">
        <w:trPr>
          <w:jc w:val="center"/>
        </w:trPr>
        <w:tc>
          <w:tcPr>
            <w:tcW w:w="1948" w:type="dxa"/>
            <w:shd w:val="clear" w:color="auto" w:fill="C0C0C0"/>
          </w:tcPr>
          <w:p w:rsidR="00CB0DD7" w:rsidRPr="000A0A5F" w:rsidRDefault="00CB0DD7">
            <w:pPr>
              <w:pStyle w:val="TAH"/>
              <w:rPr>
                <w:rFonts w:eastAsia="Times New Roman"/>
              </w:rPr>
            </w:pPr>
            <w:r w:rsidRPr="000A0A5F">
              <w:rPr>
                <w:rFonts w:eastAsia="Times New Roman"/>
              </w:rPr>
              <w:t>Attribute name</w:t>
            </w:r>
          </w:p>
        </w:tc>
        <w:tc>
          <w:tcPr>
            <w:tcW w:w="2126" w:type="dxa"/>
            <w:shd w:val="clear" w:color="auto" w:fill="C0C0C0"/>
          </w:tcPr>
          <w:p w:rsidR="00CB0DD7" w:rsidRPr="000A0A5F" w:rsidRDefault="00CB0DD7">
            <w:pPr>
              <w:pStyle w:val="TAH"/>
              <w:rPr>
                <w:rFonts w:eastAsia="Times New Roman"/>
              </w:rPr>
            </w:pPr>
            <w:r w:rsidRPr="000A0A5F">
              <w:rPr>
                <w:rFonts w:eastAsia="Times New Roman"/>
              </w:rPr>
              <w:t>Data type</w:t>
            </w:r>
          </w:p>
        </w:tc>
        <w:tc>
          <w:tcPr>
            <w:tcW w:w="1276" w:type="dxa"/>
            <w:shd w:val="clear" w:color="auto" w:fill="C0C0C0"/>
          </w:tcPr>
          <w:p w:rsidR="00CB0DD7" w:rsidRPr="000A0A5F" w:rsidRDefault="00CB0DD7">
            <w:pPr>
              <w:pStyle w:val="TAH"/>
              <w:jc w:val="left"/>
              <w:rPr>
                <w:rFonts w:eastAsia="Times New Roman"/>
              </w:rPr>
            </w:pPr>
            <w:r w:rsidRPr="000A0A5F">
              <w:rPr>
                <w:rFonts w:eastAsia="Times New Roman"/>
              </w:rPr>
              <w:t>Cardinality</w:t>
            </w:r>
          </w:p>
        </w:tc>
        <w:tc>
          <w:tcPr>
            <w:tcW w:w="2995"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Description</w:t>
            </w:r>
          </w:p>
        </w:tc>
        <w:tc>
          <w:tcPr>
            <w:tcW w:w="1257"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Applicability (NOTE 1)</w:t>
            </w:r>
          </w:p>
        </w:tc>
      </w:tr>
      <w:tr w:rsidR="00CB0DD7" w:rsidRPr="000A0A5F" w:rsidTr="00FF0AF8">
        <w:trPr>
          <w:jc w:val="center"/>
        </w:trPr>
        <w:tc>
          <w:tcPr>
            <w:tcW w:w="1948" w:type="dxa"/>
            <w:shd w:val="clear" w:color="auto" w:fill="auto"/>
            <w:vAlign w:val="center"/>
          </w:tcPr>
          <w:p w:rsidR="00CB0DD7" w:rsidRPr="000A0A5F" w:rsidRDefault="00CB0DD7">
            <w:pPr>
              <w:pStyle w:val="TAL"/>
              <w:rPr>
                <w:rFonts w:eastAsia="Times New Roman"/>
              </w:rPr>
            </w:pPr>
            <w:r w:rsidRPr="000A0A5F">
              <w:rPr>
                <w:lang w:eastAsia="zh-CN"/>
              </w:rPr>
              <w:t>pfdId</w:t>
            </w:r>
          </w:p>
        </w:tc>
        <w:tc>
          <w:tcPr>
            <w:tcW w:w="2126" w:type="dxa"/>
            <w:shd w:val="clear" w:color="auto" w:fill="auto"/>
          </w:tcPr>
          <w:p w:rsidR="00CB0DD7" w:rsidRPr="000A0A5F" w:rsidRDefault="00CB0DD7">
            <w:pPr>
              <w:pStyle w:val="TAL"/>
              <w:rPr>
                <w:rFonts w:hint="eastAsia"/>
                <w:lang w:eastAsia="zh-CN"/>
              </w:rPr>
            </w:pPr>
            <w:r w:rsidRPr="000A0A5F">
              <w:rPr>
                <w:lang w:eastAsia="zh-CN"/>
              </w:rPr>
              <w:t>s</w:t>
            </w:r>
            <w:r w:rsidRPr="000A0A5F">
              <w:rPr>
                <w:rFonts w:hint="eastAsia"/>
                <w:lang w:eastAsia="zh-CN"/>
              </w:rPr>
              <w:t>tring</w:t>
            </w:r>
          </w:p>
        </w:tc>
        <w:tc>
          <w:tcPr>
            <w:tcW w:w="1276" w:type="dxa"/>
            <w:shd w:val="clear" w:color="auto" w:fill="auto"/>
          </w:tcPr>
          <w:p w:rsidR="00CB0DD7" w:rsidRPr="000A0A5F" w:rsidRDefault="00CB0DD7">
            <w:pPr>
              <w:pStyle w:val="TAL"/>
              <w:rPr>
                <w:rFonts w:eastAsia="Times New Roman"/>
              </w:rPr>
            </w:pPr>
            <w:r w:rsidRPr="000A0A5F">
              <w:rPr>
                <w:rFonts w:eastAsia="Times New Roman"/>
              </w:rPr>
              <w:t>1</w:t>
            </w:r>
          </w:p>
        </w:tc>
        <w:tc>
          <w:tcPr>
            <w:tcW w:w="2995" w:type="dxa"/>
            <w:shd w:val="clear" w:color="auto" w:fill="auto"/>
          </w:tcPr>
          <w:p w:rsidR="00CB0DD7" w:rsidRPr="000A0A5F" w:rsidRDefault="00CB0DD7">
            <w:pPr>
              <w:pStyle w:val="TAL"/>
              <w:rPr>
                <w:rFonts w:cs="Arial" w:hint="eastAsia"/>
                <w:szCs w:val="18"/>
                <w:lang w:eastAsia="zh-CN"/>
              </w:rPr>
            </w:pPr>
            <w:r w:rsidRPr="000A0A5F">
              <w:rPr>
                <w:rFonts w:cs="Arial"/>
                <w:szCs w:val="18"/>
                <w:lang w:eastAsia="zh-CN"/>
              </w:rPr>
              <w:t>Identifies a PFD of an application identifier.</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vAlign w:val="center"/>
          </w:tcPr>
          <w:p w:rsidR="00CB0DD7" w:rsidRPr="000A0A5F" w:rsidRDefault="00CB0DD7">
            <w:pPr>
              <w:pStyle w:val="TAL"/>
              <w:rPr>
                <w:rFonts w:hint="eastAsia"/>
                <w:lang w:eastAsia="zh-CN"/>
              </w:rPr>
            </w:pPr>
            <w:r w:rsidRPr="000A0A5F">
              <w:rPr>
                <w:rFonts w:hint="eastAsia"/>
                <w:lang w:eastAsia="zh-CN"/>
              </w:rPr>
              <w:t>flowDescriptions</w:t>
            </w:r>
          </w:p>
        </w:tc>
        <w:tc>
          <w:tcPr>
            <w:tcW w:w="2126" w:type="dxa"/>
            <w:shd w:val="clear" w:color="auto" w:fill="auto"/>
          </w:tcPr>
          <w:p w:rsidR="00CB0DD7" w:rsidRPr="000A0A5F" w:rsidRDefault="00CB0DD7">
            <w:pPr>
              <w:pStyle w:val="TAL"/>
              <w:rPr>
                <w:rFonts w:hint="eastAsia"/>
                <w:lang w:eastAsia="zh-CN"/>
              </w:rPr>
            </w:pPr>
            <w:r w:rsidRPr="000A0A5F">
              <w:rPr>
                <w:lang w:eastAsia="zh-CN"/>
              </w:rPr>
              <w:t>array(s</w:t>
            </w:r>
            <w:r w:rsidRPr="000A0A5F">
              <w:rPr>
                <w:rFonts w:hint="eastAsia"/>
                <w:lang w:eastAsia="zh-CN"/>
              </w:rPr>
              <w:t>tring</w:t>
            </w:r>
            <w:r w:rsidRPr="000A0A5F">
              <w:rPr>
                <w:lang w:eastAsia="zh-CN"/>
              </w:rPr>
              <w:t>)</w:t>
            </w:r>
          </w:p>
        </w:tc>
        <w:tc>
          <w:tcPr>
            <w:tcW w:w="1276" w:type="dxa"/>
            <w:shd w:val="clear" w:color="auto" w:fill="auto"/>
          </w:tcPr>
          <w:p w:rsidR="00CB0DD7" w:rsidRPr="000A0A5F" w:rsidRDefault="00CB0DD7">
            <w:pPr>
              <w:pStyle w:val="TAL"/>
              <w:rPr>
                <w:rFonts w:eastAsia="Times New Roman"/>
              </w:rPr>
            </w:pPr>
            <w:r w:rsidRPr="000A0A5F">
              <w:rPr>
                <w:rFonts w:eastAsia="Times New Roman"/>
              </w:rPr>
              <w:t>0..N</w:t>
            </w:r>
          </w:p>
        </w:tc>
        <w:tc>
          <w:tcPr>
            <w:tcW w:w="2995" w:type="dxa"/>
            <w:shd w:val="clear" w:color="auto" w:fill="auto"/>
          </w:tcPr>
          <w:p w:rsidR="00CB0DD7" w:rsidRPr="000A0A5F" w:rsidRDefault="00CB0DD7">
            <w:pPr>
              <w:pStyle w:val="TAL"/>
              <w:spacing w:after="60"/>
              <w:rPr>
                <w:rFonts w:eastAsia="Times New Roman"/>
              </w:rPr>
            </w:pPr>
            <w:r w:rsidRPr="000A0A5F">
              <w:rPr>
                <w:lang w:eastAsia="zh-CN"/>
              </w:rPr>
              <w:t>R</w:t>
            </w:r>
            <w:r w:rsidRPr="000A0A5F">
              <w:rPr>
                <w:rFonts w:hint="eastAsia"/>
                <w:lang w:eastAsia="zh-CN"/>
              </w:rPr>
              <w:t xml:space="preserve">epresents a </w:t>
            </w:r>
            <w:r w:rsidRPr="000A0A5F">
              <w:rPr>
                <w:lang w:eastAsia="zh-CN"/>
              </w:rPr>
              <w:t>3-tuple with protocol, server ip and server port for UL/DL</w:t>
            </w:r>
            <w:r w:rsidRPr="000A0A5F">
              <w:rPr>
                <w:rFonts w:hint="eastAsia"/>
                <w:lang w:eastAsia="zh-CN"/>
              </w:rPr>
              <w:t xml:space="preserve"> application traffic</w:t>
            </w:r>
            <w:r w:rsidRPr="000A0A5F">
              <w:rPr>
                <w:lang w:eastAsia="zh-CN"/>
              </w:rPr>
              <w:t>.</w:t>
            </w:r>
            <w:r w:rsidRPr="000A0A5F">
              <w:rPr>
                <w:rFonts w:eastAsia="Times New Roman"/>
              </w:rPr>
              <w:t xml:space="preserve"> The content of the string has the same encoding as the IPFilterRule AVP value as defined in IETF RFC 6733 [46].</w:t>
            </w:r>
          </w:p>
          <w:p w:rsidR="00CB0DD7" w:rsidRPr="000A0A5F" w:rsidRDefault="00CB0DD7">
            <w:pPr>
              <w:pStyle w:val="TAL"/>
              <w:rPr>
                <w:rFonts w:eastAsia="Times New Roman" w:cs="Arial"/>
                <w:szCs w:val="18"/>
              </w:rPr>
            </w:pPr>
            <w:r w:rsidRPr="000A0A5F">
              <w:rPr>
                <w:rFonts w:eastAsia="Times New Roman"/>
              </w:rPr>
              <w:t>(NOTE 2)</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vAlign w:val="center"/>
          </w:tcPr>
          <w:p w:rsidR="00CB0DD7" w:rsidRPr="000A0A5F" w:rsidRDefault="00CB0DD7">
            <w:pPr>
              <w:pStyle w:val="TAL"/>
              <w:rPr>
                <w:rFonts w:eastAsia="Times New Roman"/>
              </w:rPr>
            </w:pPr>
            <w:r w:rsidRPr="000A0A5F">
              <w:rPr>
                <w:lang w:eastAsia="zh-CN"/>
              </w:rPr>
              <w:t>urls</w:t>
            </w:r>
          </w:p>
        </w:tc>
        <w:tc>
          <w:tcPr>
            <w:tcW w:w="2126" w:type="dxa"/>
            <w:shd w:val="clear" w:color="auto" w:fill="auto"/>
          </w:tcPr>
          <w:p w:rsidR="00CB0DD7" w:rsidRPr="000A0A5F" w:rsidRDefault="00CB0DD7">
            <w:pPr>
              <w:pStyle w:val="TAL"/>
              <w:rPr>
                <w:rFonts w:hint="eastAsia"/>
                <w:lang w:eastAsia="zh-CN"/>
              </w:rPr>
            </w:pPr>
            <w:r w:rsidRPr="000A0A5F">
              <w:rPr>
                <w:lang w:eastAsia="zh-CN"/>
              </w:rPr>
              <w:t>array(s</w:t>
            </w:r>
            <w:r w:rsidRPr="000A0A5F">
              <w:rPr>
                <w:rFonts w:hint="eastAsia"/>
                <w:lang w:eastAsia="zh-CN"/>
              </w:rPr>
              <w:t>tring</w:t>
            </w:r>
            <w:r w:rsidRPr="000A0A5F">
              <w:rPr>
                <w:lang w:eastAsia="zh-CN"/>
              </w:rPr>
              <w:t>)</w:t>
            </w:r>
          </w:p>
        </w:tc>
        <w:tc>
          <w:tcPr>
            <w:tcW w:w="1276" w:type="dxa"/>
            <w:shd w:val="clear" w:color="auto" w:fill="auto"/>
          </w:tcPr>
          <w:p w:rsidR="00CB0DD7" w:rsidRPr="000A0A5F" w:rsidRDefault="00CB0DD7">
            <w:pPr>
              <w:pStyle w:val="TAL"/>
              <w:rPr>
                <w:rFonts w:eastAsia="Times New Roman"/>
              </w:rPr>
            </w:pPr>
            <w:r w:rsidRPr="000A0A5F">
              <w:rPr>
                <w:rFonts w:eastAsia="Times New Roman"/>
              </w:rPr>
              <w:t>0..N</w:t>
            </w:r>
          </w:p>
        </w:tc>
        <w:tc>
          <w:tcPr>
            <w:tcW w:w="2995" w:type="dxa"/>
            <w:shd w:val="clear" w:color="auto" w:fill="auto"/>
          </w:tcPr>
          <w:p w:rsidR="00CB0DD7" w:rsidRPr="000A0A5F" w:rsidRDefault="00CB0DD7">
            <w:pPr>
              <w:pStyle w:val="TAL"/>
              <w:spacing w:after="60"/>
              <w:rPr>
                <w:rFonts w:eastAsia="Times New Roman" w:cs="Arial"/>
                <w:szCs w:val="18"/>
              </w:rPr>
            </w:pPr>
            <w:r w:rsidRPr="000A0A5F">
              <w:rPr>
                <w:lang w:eastAsia="zh-CN"/>
              </w:rPr>
              <w:t>Indicates</w:t>
            </w:r>
            <w:r w:rsidRPr="000A0A5F">
              <w:rPr>
                <w:rFonts w:hint="eastAsia"/>
                <w:lang w:eastAsia="zh-CN"/>
              </w:rPr>
              <w:t xml:space="preserve"> a URL or a regular expression which is used to match </w:t>
            </w:r>
            <w:r w:rsidRPr="000A0A5F">
              <w:t>the significant parts of the URL</w:t>
            </w:r>
            <w:r w:rsidRPr="000A0A5F">
              <w:rPr>
                <w:rFonts w:hint="eastAsia"/>
                <w:lang w:eastAsia="zh-CN"/>
              </w:rPr>
              <w:t>.</w:t>
            </w:r>
            <w:r w:rsidRPr="000A0A5F">
              <w:rPr>
                <w:rFonts w:eastAsia="Times New Roman"/>
              </w:rPr>
              <w:t xml:space="preserve"> (NOTE 2)</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rPr>
                <w:rFonts w:eastAsia="Times New Roman"/>
              </w:rPr>
            </w:pPr>
            <w:r w:rsidRPr="000A0A5F">
              <w:rPr>
                <w:rFonts w:eastAsia="Times New Roman"/>
                <w:noProof/>
              </w:rPr>
              <w:t>domainNames</w:t>
            </w:r>
          </w:p>
        </w:tc>
        <w:tc>
          <w:tcPr>
            <w:tcW w:w="2126" w:type="dxa"/>
            <w:shd w:val="clear" w:color="auto" w:fill="auto"/>
          </w:tcPr>
          <w:p w:rsidR="00CB0DD7" w:rsidRPr="000A0A5F" w:rsidRDefault="00CB0DD7">
            <w:pPr>
              <w:pStyle w:val="TAL"/>
              <w:rPr>
                <w:rFonts w:hint="eastAsia"/>
                <w:lang w:eastAsia="zh-CN"/>
              </w:rPr>
            </w:pPr>
            <w:r w:rsidRPr="000A0A5F">
              <w:rPr>
                <w:lang w:eastAsia="zh-CN"/>
              </w:rPr>
              <w:t>array(s</w:t>
            </w:r>
            <w:r w:rsidRPr="000A0A5F">
              <w:rPr>
                <w:rFonts w:hint="eastAsia"/>
                <w:lang w:eastAsia="zh-CN"/>
              </w:rPr>
              <w:t>tring</w:t>
            </w:r>
            <w:r w:rsidRPr="000A0A5F">
              <w:rPr>
                <w:lang w:eastAsia="zh-CN"/>
              </w:rPr>
              <w:t>)</w:t>
            </w:r>
          </w:p>
        </w:tc>
        <w:tc>
          <w:tcPr>
            <w:tcW w:w="1276" w:type="dxa"/>
            <w:shd w:val="clear" w:color="auto" w:fill="auto"/>
          </w:tcPr>
          <w:p w:rsidR="00CB0DD7" w:rsidRPr="000A0A5F" w:rsidRDefault="00CB0DD7">
            <w:pPr>
              <w:pStyle w:val="TAL"/>
              <w:rPr>
                <w:rFonts w:eastAsia="Times New Roman"/>
              </w:rPr>
            </w:pPr>
            <w:r w:rsidRPr="000A0A5F">
              <w:rPr>
                <w:rFonts w:eastAsia="Times New Roman"/>
              </w:rPr>
              <w:t>0..N</w:t>
            </w:r>
          </w:p>
        </w:tc>
        <w:tc>
          <w:tcPr>
            <w:tcW w:w="2995" w:type="dxa"/>
            <w:shd w:val="clear" w:color="auto" w:fill="auto"/>
          </w:tcPr>
          <w:p w:rsidR="00CB0DD7" w:rsidRPr="000A0A5F" w:rsidRDefault="00CB0DD7">
            <w:pPr>
              <w:pStyle w:val="TAL"/>
              <w:spacing w:after="60"/>
              <w:rPr>
                <w:lang w:eastAsia="zh-CN"/>
              </w:rPr>
            </w:pPr>
            <w:r w:rsidRPr="000A0A5F">
              <w:rPr>
                <w:lang w:eastAsia="zh-CN"/>
              </w:rPr>
              <w:t>Indicates</w:t>
            </w:r>
            <w:r w:rsidRPr="000A0A5F">
              <w:rPr>
                <w:rFonts w:hint="eastAsia"/>
                <w:lang w:eastAsia="zh-CN"/>
              </w:rPr>
              <w:t xml:space="preserve"> a</w:t>
            </w:r>
            <w:r w:rsidRPr="000A0A5F">
              <w:rPr>
                <w:lang w:eastAsia="zh-CN"/>
              </w:rPr>
              <w:t>n</w:t>
            </w:r>
            <w:r w:rsidRPr="000A0A5F">
              <w:rPr>
                <w:rFonts w:hint="eastAsia"/>
                <w:lang w:eastAsia="zh-CN"/>
              </w:rPr>
              <w:t xml:space="preserve"> FQDN or a regular expression as </w:t>
            </w:r>
            <w:r w:rsidRPr="000A0A5F">
              <w:t xml:space="preserve">a </w:t>
            </w:r>
            <w:r w:rsidRPr="000A0A5F">
              <w:rPr>
                <w:rFonts w:hint="eastAsia"/>
                <w:lang w:eastAsia="zh-CN"/>
              </w:rPr>
              <w:t>d</w:t>
            </w:r>
            <w:r w:rsidRPr="000A0A5F">
              <w:t>omain name matching criteria</w:t>
            </w:r>
            <w:r w:rsidRPr="000A0A5F">
              <w:rPr>
                <w:rFonts w:hint="eastAsia"/>
                <w:lang w:eastAsia="zh-CN"/>
              </w:rPr>
              <w:t>.</w:t>
            </w:r>
            <w:r w:rsidRPr="000A0A5F">
              <w:rPr>
                <w:lang w:eastAsia="zh-CN"/>
              </w:rPr>
              <w:t xml:space="preserve"> </w:t>
            </w:r>
          </w:p>
          <w:p w:rsidR="00CB0DD7" w:rsidRPr="000A0A5F" w:rsidRDefault="00CB0DD7">
            <w:pPr>
              <w:pStyle w:val="TAL"/>
              <w:rPr>
                <w:rFonts w:eastAsia="Times New Roman" w:cs="Arial"/>
                <w:szCs w:val="18"/>
              </w:rPr>
            </w:pPr>
            <w:r w:rsidRPr="000A0A5F">
              <w:rPr>
                <w:rFonts w:eastAsia="Times New Roman"/>
              </w:rPr>
              <w:t>(NOTE 2)</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rPr>
                <w:rFonts w:eastAsia="Times New Roman"/>
                <w:noProof/>
              </w:rPr>
            </w:pPr>
            <w:r w:rsidRPr="000A0A5F">
              <w:rPr>
                <w:rFonts w:eastAsia="Times New Roman"/>
                <w:noProof/>
              </w:rPr>
              <w:t>dnProtocol</w:t>
            </w:r>
          </w:p>
        </w:tc>
        <w:tc>
          <w:tcPr>
            <w:tcW w:w="2126" w:type="dxa"/>
            <w:shd w:val="clear" w:color="auto" w:fill="auto"/>
          </w:tcPr>
          <w:p w:rsidR="00CB0DD7" w:rsidRPr="000A0A5F" w:rsidRDefault="00CB0DD7">
            <w:pPr>
              <w:pStyle w:val="TAL"/>
              <w:rPr>
                <w:lang w:eastAsia="zh-CN"/>
              </w:rPr>
            </w:pPr>
            <w:r w:rsidRPr="000A0A5F">
              <w:rPr>
                <w:lang w:eastAsia="zh-CN"/>
              </w:rPr>
              <w:t>DomainNameProtocol</w:t>
            </w:r>
          </w:p>
        </w:tc>
        <w:tc>
          <w:tcPr>
            <w:tcW w:w="1276" w:type="dxa"/>
            <w:shd w:val="clear" w:color="auto" w:fill="auto"/>
          </w:tcPr>
          <w:p w:rsidR="00CB0DD7" w:rsidRPr="000A0A5F" w:rsidRDefault="00CB0DD7">
            <w:pPr>
              <w:pStyle w:val="TAL"/>
              <w:rPr>
                <w:rFonts w:eastAsia="Times New Roman"/>
              </w:rPr>
            </w:pPr>
            <w:r w:rsidRPr="000A0A5F">
              <w:rPr>
                <w:rFonts w:eastAsia="Times New Roman"/>
              </w:rPr>
              <w:t>0..1</w:t>
            </w:r>
          </w:p>
        </w:tc>
        <w:tc>
          <w:tcPr>
            <w:tcW w:w="2995" w:type="dxa"/>
            <w:shd w:val="clear" w:color="auto" w:fill="auto"/>
          </w:tcPr>
          <w:p w:rsidR="00CB0DD7" w:rsidRPr="000A0A5F" w:rsidRDefault="00CB0DD7">
            <w:pPr>
              <w:pStyle w:val="TAL"/>
              <w:spacing w:after="60"/>
              <w:rPr>
                <w:lang w:eastAsia="zh-CN"/>
              </w:rPr>
            </w:pPr>
            <w:r w:rsidRPr="000A0A5F">
              <w:rPr>
                <w:lang w:eastAsia="zh-CN"/>
              </w:rPr>
              <w:t>Indicates the additional protocol and protocol field for domain names to be matched, it may only be provided when domainNames attribute is present.</w:t>
            </w:r>
          </w:p>
        </w:tc>
        <w:tc>
          <w:tcPr>
            <w:tcW w:w="1257" w:type="dxa"/>
          </w:tcPr>
          <w:p w:rsidR="00CB0DD7" w:rsidRPr="000A0A5F" w:rsidRDefault="00CB0DD7">
            <w:pPr>
              <w:pStyle w:val="TAL"/>
              <w:rPr>
                <w:rFonts w:eastAsia="Times New Roman" w:cs="Arial"/>
                <w:szCs w:val="18"/>
              </w:rPr>
            </w:pPr>
            <w:r w:rsidRPr="000A0A5F">
              <w:rPr>
                <w:rFonts w:eastAsia="Times New Roman" w:cs="Arial"/>
                <w:szCs w:val="18"/>
              </w:rPr>
              <w:t>DomainNameProtocol</w:t>
            </w:r>
          </w:p>
        </w:tc>
      </w:tr>
      <w:tr w:rsidR="00CB0DD7" w:rsidRPr="000A0A5F" w:rsidTr="00FF0AF8">
        <w:trPr>
          <w:jc w:val="center"/>
        </w:trPr>
        <w:tc>
          <w:tcPr>
            <w:tcW w:w="9602" w:type="dxa"/>
            <w:gridSpan w:val="5"/>
            <w:shd w:val="clear" w:color="auto" w:fill="auto"/>
          </w:tcPr>
          <w:p w:rsidR="00CB0DD7" w:rsidRPr="000A0A5F" w:rsidRDefault="00CB0DD7">
            <w:pPr>
              <w:pStyle w:val="TAN"/>
            </w:pPr>
            <w:r w:rsidRPr="000A0A5F">
              <w:t>NOTE 1:</w:t>
            </w:r>
            <w:r w:rsidRPr="000A0A5F">
              <w:tab/>
              <w:t>Properties marked with a feature as defined in clause 5.11.4 are applicable as described in clause 5.2.7. If no features are indicated, the related property applies for all the features.</w:t>
            </w:r>
          </w:p>
          <w:p w:rsidR="00CB0DD7" w:rsidRPr="000A0A5F" w:rsidRDefault="00CB0DD7">
            <w:pPr>
              <w:pStyle w:val="TAN"/>
              <w:rPr>
                <w:rFonts w:hint="eastAsia"/>
              </w:rPr>
            </w:pPr>
            <w:r w:rsidRPr="000A0A5F">
              <w:t>NOTE 2:</w:t>
            </w:r>
            <w:r w:rsidRPr="000A0A5F">
              <w:tab/>
              <w:t xml:space="preserve">At least </w:t>
            </w:r>
            <w:r w:rsidRPr="000A0A5F">
              <w:rPr>
                <w:noProof/>
                <w:lang w:eastAsia="zh-CN"/>
              </w:rPr>
              <w:t>one of the properties</w:t>
            </w:r>
            <w:r w:rsidRPr="000A0A5F">
              <w:rPr>
                <w:rFonts w:hint="eastAsia"/>
                <w:noProof/>
                <w:lang w:eastAsia="zh-CN"/>
              </w:rPr>
              <w:t xml:space="preserve"> </w:t>
            </w:r>
            <w:r w:rsidRPr="000A0A5F">
              <w:t>"</w:t>
            </w:r>
            <w:r w:rsidRPr="000A0A5F">
              <w:rPr>
                <w:noProof/>
                <w:lang w:eastAsia="zh-CN"/>
              </w:rPr>
              <w:t>flowDescriptions</w:t>
            </w:r>
            <w:r w:rsidRPr="000A0A5F">
              <w:t>"</w:t>
            </w:r>
            <w:r w:rsidRPr="000A0A5F">
              <w:rPr>
                <w:noProof/>
                <w:lang w:eastAsia="zh-CN"/>
              </w:rPr>
              <w:t xml:space="preserve">, </w:t>
            </w:r>
            <w:r w:rsidRPr="000A0A5F">
              <w:t>"</w:t>
            </w:r>
            <w:r w:rsidRPr="000A0A5F">
              <w:rPr>
                <w:noProof/>
                <w:lang w:eastAsia="zh-CN"/>
              </w:rPr>
              <w:t>urls</w:t>
            </w:r>
            <w:r w:rsidRPr="000A0A5F">
              <w:t>"</w:t>
            </w:r>
            <w:r w:rsidRPr="000A0A5F">
              <w:rPr>
                <w:noProof/>
                <w:lang w:eastAsia="zh-CN"/>
              </w:rPr>
              <w:t xml:space="preserve"> or </w:t>
            </w:r>
            <w:r w:rsidRPr="000A0A5F">
              <w:t>"</w:t>
            </w:r>
            <w:r w:rsidRPr="000A0A5F">
              <w:rPr>
                <w:noProof/>
                <w:lang w:eastAsia="zh-CN"/>
              </w:rPr>
              <w:t>domainNames</w:t>
            </w:r>
            <w:r w:rsidRPr="000A0A5F">
              <w:t>"</w:t>
            </w:r>
            <w:r w:rsidRPr="000A0A5F">
              <w:rPr>
                <w:noProof/>
                <w:lang w:eastAsia="zh-CN"/>
              </w:rPr>
              <w:t xml:space="preserve"> shall be included.</w:t>
            </w:r>
            <w:r w:rsidRPr="000A0A5F">
              <w:t xml:space="preserve"> If a PFD contains multiple filter types, the PFD is only matched when every filter type contained in the PFD has a matching value.</w:t>
            </w:r>
          </w:p>
        </w:tc>
      </w:tr>
    </w:tbl>
    <w:p w:rsidR="00CB0DD7" w:rsidRPr="000A0A5F" w:rsidRDefault="00CB0DD7"/>
    <w:p w:rsidR="00CB0DD7" w:rsidRPr="000A0A5F" w:rsidRDefault="00CB0DD7">
      <w:pPr>
        <w:pStyle w:val="Heading5"/>
      </w:pPr>
      <w:bookmarkStart w:id="7823" w:name="_Toc11247773"/>
      <w:bookmarkStart w:id="7824" w:name="_Toc27044916"/>
      <w:bookmarkStart w:id="7825" w:name="_Toc36033958"/>
      <w:bookmarkStart w:id="7826" w:name="_Toc45132104"/>
      <w:bookmarkStart w:id="7827" w:name="_Toc49776389"/>
      <w:bookmarkStart w:id="7828" w:name="_Toc51747309"/>
      <w:bookmarkStart w:id="7829" w:name="_Toc66360882"/>
      <w:bookmarkStart w:id="7830" w:name="_Toc68105387"/>
      <w:bookmarkStart w:id="7831" w:name="_Toc74756017"/>
      <w:bookmarkStart w:id="7832" w:name="_Toc105674893"/>
      <w:bookmarkStart w:id="7833" w:name="_Toc130502957"/>
      <w:bookmarkStart w:id="7834" w:name="_Toc153625745"/>
      <w:r w:rsidRPr="000A0A5F">
        <w:t>5.11.2.1.5</w:t>
      </w:r>
      <w:r w:rsidRPr="000A0A5F">
        <w:tab/>
        <w:t xml:space="preserve">Type: </w:t>
      </w:r>
      <w:r w:rsidRPr="000A0A5F">
        <w:rPr>
          <w:noProof/>
        </w:rPr>
        <w:t>PfdReport</w:t>
      </w:r>
      <w:bookmarkEnd w:id="7823"/>
      <w:bookmarkEnd w:id="7824"/>
      <w:bookmarkEnd w:id="7825"/>
      <w:bookmarkEnd w:id="7826"/>
      <w:bookmarkEnd w:id="7827"/>
      <w:bookmarkEnd w:id="7828"/>
      <w:bookmarkEnd w:id="7829"/>
      <w:bookmarkEnd w:id="7830"/>
      <w:bookmarkEnd w:id="7831"/>
      <w:bookmarkEnd w:id="7832"/>
      <w:bookmarkEnd w:id="7833"/>
      <w:bookmarkEnd w:id="7834"/>
    </w:p>
    <w:p w:rsidR="00CB0DD7" w:rsidRPr="000A0A5F" w:rsidRDefault="00CB0DD7">
      <w:r w:rsidRPr="000A0A5F">
        <w:t>This type represents a PFD report to indicate the external application identifier(s) which PFD(s) are not added or modified successfully and corresponding failure reason.</w:t>
      </w:r>
    </w:p>
    <w:p w:rsidR="00CB0DD7" w:rsidRPr="000A0A5F" w:rsidRDefault="00CB0DD7">
      <w:pPr>
        <w:pStyle w:val="TH"/>
        <w:rPr>
          <w:noProof/>
        </w:rPr>
      </w:pPr>
      <w:r w:rsidRPr="000A0A5F">
        <w:rPr>
          <w:noProof/>
        </w:rPr>
        <w:t>Table 5.11.2.1.5-1: Definition of type PfdReport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843"/>
        <w:gridCol w:w="2126"/>
        <w:gridCol w:w="1276"/>
        <w:gridCol w:w="3118"/>
        <w:gridCol w:w="1257"/>
      </w:tblGrid>
      <w:tr w:rsidR="00CB0DD7" w:rsidRPr="000A0A5F" w:rsidTr="00FF0AF8">
        <w:trPr>
          <w:jc w:val="center"/>
        </w:trPr>
        <w:tc>
          <w:tcPr>
            <w:tcW w:w="1843" w:type="dxa"/>
            <w:shd w:val="clear" w:color="auto" w:fill="C0C0C0"/>
          </w:tcPr>
          <w:p w:rsidR="00CB0DD7" w:rsidRPr="000A0A5F" w:rsidRDefault="00CB0DD7">
            <w:pPr>
              <w:pStyle w:val="TAH"/>
              <w:rPr>
                <w:rFonts w:eastAsia="Times New Roman"/>
              </w:rPr>
            </w:pPr>
            <w:r w:rsidRPr="000A0A5F">
              <w:rPr>
                <w:rFonts w:eastAsia="Times New Roman"/>
              </w:rPr>
              <w:t>Attribute name</w:t>
            </w:r>
          </w:p>
        </w:tc>
        <w:tc>
          <w:tcPr>
            <w:tcW w:w="2126" w:type="dxa"/>
            <w:shd w:val="clear" w:color="auto" w:fill="C0C0C0"/>
          </w:tcPr>
          <w:p w:rsidR="00CB0DD7" w:rsidRPr="000A0A5F" w:rsidRDefault="00CB0DD7">
            <w:pPr>
              <w:pStyle w:val="TAH"/>
              <w:rPr>
                <w:rFonts w:eastAsia="Times New Roman"/>
              </w:rPr>
            </w:pPr>
            <w:r w:rsidRPr="000A0A5F">
              <w:rPr>
                <w:rFonts w:eastAsia="Times New Roman"/>
              </w:rPr>
              <w:t>Data type</w:t>
            </w:r>
          </w:p>
        </w:tc>
        <w:tc>
          <w:tcPr>
            <w:tcW w:w="1276" w:type="dxa"/>
            <w:shd w:val="clear" w:color="auto" w:fill="C0C0C0"/>
          </w:tcPr>
          <w:p w:rsidR="00CB0DD7" w:rsidRPr="000A0A5F" w:rsidRDefault="00CB0DD7">
            <w:pPr>
              <w:pStyle w:val="TAH"/>
              <w:jc w:val="left"/>
              <w:rPr>
                <w:rFonts w:eastAsia="Times New Roman"/>
              </w:rPr>
            </w:pPr>
            <w:r w:rsidRPr="000A0A5F">
              <w:rPr>
                <w:rFonts w:eastAsia="Times New Roman"/>
              </w:rPr>
              <w:t>Cardinality</w:t>
            </w:r>
          </w:p>
        </w:tc>
        <w:tc>
          <w:tcPr>
            <w:tcW w:w="3118"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Description</w:t>
            </w:r>
          </w:p>
        </w:tc>
        <w:tc>
          <w:tcPr>
            <w:tcW w:w="1257"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Applicability (NOTE)</w:t>
            </w:r>
          </w:p>
        </w:tc>
      </w:tr>
      <w:tr w:rsidR="00CB0DD7" w:rsidRPr="000A0A5F" w:rsidTr="00FF0AF8">
        <w:trPr>
          <w:jc w:val="center"/>
        </w:trPr>
        <w:tc>
          <w:tcPr>
            <w:tcW w:w="1843" w:type="dxa"/>
            <w:shd w:val="clear" w:color="auto" w:fill="auto"/>
          </w:tcPr>
          <w:p w:rsidR="00CB0DD7" w:rsidRPr="000A0A5F" w:rsidRDefault="00CB0DD7">
            <w:pPr>
              <w:pStyle w:val="TAL"/>
              <w:rPr>
                <w:rFonts w:hint="eastAsia"/>
                <w:lang w:eastAsia="zh-CN"/>
              </w:rPr>
            </w:pPr>
            <w:r w:rsidRPr="000A0A5F">
              <w:rPr>
                <w:lang w:eastAsia="zh-CN"/>
              </w:rPr>
              <w:t>e</w:t>
            </w:r>
            <w:r w:rsidRPr="000A0A5F">
              <w:rPr>
                <w:rFonts w:hint="eastAsia"/>
                <w:lang w:eastAsia="zh-CN"/>
              </w:rPr>
              <w:t>xterna</w:t>
            </w:r>
            <w:r w:rsidRPr="000A0A5F">
              <w:rPr>
                <w:lang w:eastAsia="zh-CN"/>
              </w:rPr>
              <w:t>l</w:t>
            </w:r>
            <w:r w:rsidRPr="000A0A5F">
              <w:rPr>
                <w:rFonts w:hint="eastAsia"/>
                <w:lang w:eastAsia="zh-CN"/>
              </w:rPr>
              <w:t>AppId</w:t>
            </w:r>
            <w:r w:rsidRPr="000A0A5F">
              <w:rPr>
                <w:lang w:eastAsia="zh-CN"/>
              </w:rPr>
              <w:t>s</w:t>
            </w:r>
          </w:p>
        </w:tc>
        <w:tc>
          <w:tcPr>
            <w:tcW w:w="2126" w:type="dxa"/>
            <w:shd w:val="clear" w:color="auto" w:fill="auto"/>
          </w:tcPr>
          <w:p w:rsidR="00CB0DD7" w:rsidRPr="000A0A5F" w:rsidRDefault="00CB0DD7">
            <w:pPr>
              <w:pStyle w:val="TAL"/>
              <w:rPr>
                <w:rFonts w:hint="eastAsia"/>
                <w:lang w:eastAsia="zh-CN"/>
              </w:rPr>
            </w:pPr>
            <w:r w:rsidRPr="000A0A5F">
              <w:rPr>
                <w:lang w:eastAsia="zh-CN"/>
              </w:rPr>
              <w:t>array(</w:t>
            </w:r>
            <w:r w:rsidRPr="000A0A5F">
              <w:rPr>
                <w:rFonts w:hint="eastAsia"/>
                <w:lang w:eastAsia="zh-CN"/>
              </w:rPr>
              <w:t>string</w:t>
            </w:r>
            <w:r w:rsidRPr="000A0A5F">
              <w:rPr>
                <w:lang w:eastAsia="zh-CN"/>
              </w:rPr>
              <w:t>)</w:t>
            </w:r>
          </w:p>
        </w:tc>
        <w:tc>
          <w:tcPr>
            <w:tcW w:w="1276" w:type="dxa"/>
            <w:shd w:val="clear" w:color="auto" w:fill="auto"/>
          </w:tcPr>
          <w:p w:rsidR="00CB0DD7" w:rsidRPr="000A0A5F" w:rsidRDefault="00CB0DD7">
            <w:pPr>
              <w:pStyle w:val="TAL"/>
              <w:rPr>
                <w:rFonts w:cs="Arial" w:hint="eastAsia"/>
                <w:szCs w:val="18"/>
                <w:lang w:eastAsia="zh-CN"/>
              </w:rPr>
            </w:pPr>
            <w:r w:rsidRPr="000A0A5F">
              <w:rPr>
                <w:rFonts w:cs="Arial" w:hint="eastAsia"/>
                <w:szCs w:val="18"/>
                <w:lang w:eastAsia="zh-CN"/>
              </w:rPr>
              <w:t>1</w:t>
            </w:r>
            <w:r w:rsidRPr="000A0A5F">
              <w:rPr>
                <w:rFonts w:cs="Arial"/>
                <w:szCs w:val="18"/>
                <w:lang w:eastAsia="zh-CN"/>
              </w:rPr>
              <w:t>..N</w:t>
            </w:r>
          </w:p>
        </w:tc>
        <w:tc>
          <w:tcPr>
            <w:tcW w:w="3118" w:type="dxa"/>
            <w:shd w:val="clear" w:color="auto" w:fill="auto"/>
          </w:tcPr>
          <w:p w:rsidR="00CB0DD7" w:rsidRPr="000A0A5F" w:rsidRDefault="00CB0DD7">
            <w:pPr>
              <w:pStyle w:val="TAL"/>
              <w:rPr>
                <w:rFonts w:eastAsia="Times New Roman" w:cs="Arial"/>
                <w:szCs w:val="18"/>
              </w:rPr>
            </w:pPr>
            <w:r w:rsidRPr="000A0A5F">
              <w:rPr>
                <w:rFonts w:eastAsia="Times New Roman" w:cs="Arial"/>
                <w:szCs w:val="18"/>
              </w:rPr>
              <w:t xml:space="preserve">Identifies </w:t>
            </w:r>
            <w:r w:rsidRPr="000A0A5F">
              <w:t>the external application identifier(s) which PFD(s) are not added or modified successfully</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843" w:type="dxa"/>
            <w:shd w:val="clear" w:color="auto" w:fill="auto"/>
          </w:tcPr>
          <w:p w:rsidR="00CB0DD7" w:rsidRPr="000A0A5F" w:rsidRDefault="00CB0DD7">
            <w:pPr>
              <w:pStyle w:val="TAL"/>
              <w:rPr>
                <w:lang w:eastAsia="zh-CN"/>
              </w:rPr>
            </w:pPr>
            <w:r w:rsidRPr="000A0A5F">
              <w:rPr>
                <w:lang w:eastAsia="zh-CN"/>
              </w:rPr>
              <w:t>failureCode</w:t>
            </w:r>
          </w:p>
        </w:tc>
        <w:tc>
          <w:tcPr>
            <w:tcW w:w="2126" w:type="dxa"/>
            <w:shd w:val="clear" w:color="auto" w:fill="auto"/>
          </w:tcPr>
          <w:p w:rsidR="00CB0DD7" w:rsidRPr="000A0A5F" w:rsidRDefault="00CB0DD7">
            <w:pPr>
              <w:pStyle w:val="TAL"/>
              <w:rPr>
                <w:rFonts w:hint="eastAsia"/>
                <w:lang w:eastAsia="zh-CN"/>
              </w:rPr>
            </w:pPr>
            <w:r w:rsidRPr="000A0A5F">
              <w:rPr>
                <w:lang w:eastAsia="zh-CN"/>
              </w:rPr>
              <w:t>FailureCode</w:t>
            </w:r>
          </w:p>
        </w:tc>
        <w:tc>
          <w:tcPr>
            <w:tcW w:w="1276" w:type="dxa"/>
            <w:shd w:val="clear" w:color="auto" w:fill="auto"/>
          </w:tcPr>
          <w:p w:rsidR="00CB0DD7" w:rsidRPr="000A0A5F" w:rsidRDefault="00CB0DD7">
            <w:pPr>
              <w:pStyle w:val="TAL"/>
              <w:rPr>
                <w:rFonts w:cs="Arial" w:hint="eastAsia"/>
                <w:szCs w:val="18"/>
                <w:lang w:eastAsia="zh-CN"/>
              </w:rPr>
            </w:pPr>
            <w:r w:rsidRPr="000A0A5F">
              <w:rPr>
                <w:rFonts w:cs="Arial"/>
                <w:szCs w:val="18"/>
                <w:lang w:eastAsia="zh-CN"/>
              </w:rPr>
              <w:t>1</w:t>
            </w:r>
          </w:p>
        </w:tc>
        <w:tc>
          <w:tcPr>
            <w:tcW w:w="3118" w:type="dxa"/>
            <w:shd w:val="clear" w:color="auto" w:fill="auto"/>
          </w:tcPr>
          <w:p w:rsidR="00CB0DD7" w:rsidRPr="000A0A5F" w:rsidRDefault="00CB0DD7">
            <w:pPr>
              <w:pStyle w:val="TAL"/>
              <w:rPr>
                <w:rFonts w:eastAsia="Times New Roman" w:cs="Arial"/>
                <w:szCs w:val="18"/>
              </w:rPr>
            </w:pPr>
            <w:r w:rsidRPr="000A0A5F">
              <w:rPr>
                <w:rFonts w:eastAsia="Times New Roman" w:cs="Arial"/>
                <w:szCs w:val="18"/>
              </w:rPr>
              <w:t>Identifies the failure reason</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843" w:type="dxa"/>
            <w:shd w:val="clear" w:color="auto" w:fill="auto"/>
          </w:tcPr>
          <w:p w:rsidR="00CB0DD7" w:rsidRPr="000A0A5F" w:rsidRDefault="00CB0DD7">
            <w:pPr>
              <w:pStyle w:val="TAL"/>
              <w:rPr>
                <w:rFonts w:eastAsia="Times New Roman"/>
              </w:rPr>
            </w:pPr>
            <w:r w:rsidRPr="000A0A5F">
              <w:rPr>
                <w:lang w:eastAsia="zh-CN"/>
              </w:rPr>
              <w:t>cachingTime</w:t>
            </w:r>
          </w:p>
        </w:tc>
        <w:tc>
          <w:tcPr>
            <w:tcW w:w="2126" w:type="dxa"/>
            <w:shd w:val="clear" w:color="auto" w:fill="auto"/>
          </w:tcPr>
          <w:p w:rsidR="00CB0DD7" w:rsidRPr="000A0A5F" w:rsidRDefault="00CB0DD7">
            <w:pPr>
              <w:pStyle w:val="TAL"/>
              <w:rPr>
                <w:rFonts w:hint="eastAsia"/>
                <w:lang w:eastAsia="zh-CN"/>
              </w:rPr>
            </w:pPr>
            <w:r w:rsidRPr="000A0A5F">
              <w:rPr>
                <w:lang w:eastAsia="zh-CN"/>
              </w:rPr>
              <w:t>DurationSec</w:t>
            </w:r>
          </w:p>
        </w:tc>
        <w:tc>
          <w:tcPr>
            <w:tcW w:w="1276" w:type="dxa"/>
            <w:shd w:val="clear" w:color="auto" w:fill="auto"/>
          </w:tcPr>
          <w:p w:rsidR="00CB0DD7" w:rsidRPr="000A0A5F" w:rsidRDefault="00CB0DD7">
            <w:pPr>
              <w:pStyle w:val="TAL"/>
              <w:rPr>
                <w:rFonts w:eastAsia="Times New Roman"/>
              </w:rPr>
            </w:pPr>
            <w:r w:rsidRPr="000A0A5F">
              <w:rPr>
                <w:rFonts w:hint="eastAsia"/>
                <w:lang w:eastAsia="zh-CN"/>
              </w:rPr>
              <w:t>0..1</w:t>
            </w:r>
          </w:p>
        </w:tc>
        <w:tc>
          <w:tcPr>
            <w:tcW w:w="3118" w:type="dxa"/>
            <w:shd w:val="clear" w:color="auto" w:fill="auto"/>
          </w:tcPr>
          <w:p w:rsidR="00CB0DD7" w:rsidRPr="000A0A5F" w:rsidRDefault="00CB0DD7">
            <w:pPr>
              <w:pStyle w:val="TAL"/>
              <w:rPr>
                <w:rFonts w:eastAsia="Times New Roman" w:cs="Arial"/>
                <w:szCs w:val="18"/>
              </w:rPr>
            </w:pPr>
            <w:r w:rsidRPr="000A0A5F">
              <w:t>It shall be included when the allowed delayed cannot be satisfied, i.e. it is smaller than the caching time configured in fetching PFD.</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843" w:type="dxa"/>
            <w:shd w:val="clear" w:color="auto" w:fill="auto"/>
          </w:tcPr>
          <w:p w:rsidR="00CB0DD7" w:rsidRPr="000A0A5F" w:rsidRDefault="00CB0DD7">
            <w:pPr>
              <w:pStyle w:val="TAL"/>
              <w:rPr>
                <w:lang w:eastAsia="zh-CN"/>
              </w:rPr>
            </w:pPr>
            <w:r w:rsidRPr="000A0A5F">
              <w:rPr>
                <w:lang w:eastAsia="zh-CN"/>
              </w:rPr>
              <w:t>l</w:t>
            </w:r>
            <w:r w:rsidRPr="000A0A5F">
              <w:rPr>
                <w:rFonts w:hint="eastAsia"/>
                <w:lang w:eastAsia="zh-CN"/>
              </w:rPr>
              <w:t>ocationArea</w:t>
            </w:r>
          </w:p>
        </w:tc>
        <w:tc>
          <w:tcPr>
            <w:tcW w:w="2126" w:type="dxa"/>
            <w:shd w:val="clear" w:color="auto" w:fill="auto"/>
          </w:tcPr>
          <w:p w:rsidR="00CB0DD7" w:rsidRPr="000A0A5F" w:rsidRDefault="00CB0DD7">
            <w:pPr>
              <w:pStyle w:val="TAL"/>
              <w:rPr>
                <w:lang w:eastAsia="zh-CN"/>
              </w:rPr>
            </w:pPr>
            <w:r w:rsidRPr="000A0A5F">
              <w:rPr>
                <w:lang w:eastAsia="zh-CN"/>
              </w:rPr>
              <w:t>UserPlaneLocationArea</w:t>
            </w:r>
          </w:p>
        </w:tc>
        <w:tc>
          <w:tcPr>
            <w:tcW w:w="1276" w:type="dxa"/>
            <w:shd w:val="clear" w:color="auto" w:fill="auto"/>
          </w:tcPr>
          <w:p w:rsidR="00CB0DD7" w:rsidRPr="000A0A5F" w:rsidRDefault="00CB0DD7">
            <w:pPr>
              <w:pStyle w:val="TAL"/>
              <w:rPr>
                <w:rFonts w:hint="eastAsia"/>
                <w:lang w:eastAsia="zh-CN"/>
              </w:rPr>
            </w:pPr>
            <w:r w:rsidRPr="000A0A5F">
              <w:rPr>
                <w:rFonts w:hint="eastAsia"/>
                <w:lang w:eastAsia="zh-CN"/>
              </w:rPr>
              <w:t>0..1</w:t>
            </w:r>
          </w:p>
        </w:tc>
        <w:tc>
          <w:tcPr>
            <w:tcW w:w="3118" w:type="dxa"/>
            <w:shd w:val="clear" w:color="auto" w:fill="auto"/>
          </w:tcPr>
          <w:p w:rsidR="00CB0DD7" w:rsidRPr="000A0A5F" w:rsidRDefault="00CB0DD7">
            <w:pPr>
              <w:pStyle w:val="TAL"/>
            </w:pPr>
            <w:r w:rsidRPr="000A0A5F">
              <w:rPr>
                <w:rFonts w:eastAsia="Times New Roman" w:cs="Arial"/>
                <w:szCs w:val="18"/>
              </w:rPr>
              <w:t xml:space="preserve">Identifies a location area of the user plane(s) which are unable to enforce the PFD(s). </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9620" w:type="dxa"/>
            <w:gridSpan w:val="5"/>
            <w:shd w:val="clear" w:color="auto" w:fill="auto"/>
          </w:tcPr>
          <w:p w:rsidR="00CB0DD7" w:rsidRPr="000A0A5F" w:rsidRDefault="00CB0DD7">
            <w:pPr>
              <w:pStyle w:val="TAN"/>
              <w:rPr>
                <w:rFonts w:hint="eastAsia"/>
                <w:lang w:eastAsia="zh-CN"/>
              </w:rPr>
            </w:pPr>
            <w:r w:rsidRPr="000A0A5F">
              <w:t>NOTE:</w:t>
            </w:r>
            <w:r w:rsidRPr="000A0A5F">
              <w:tab/>
              <w:t>Properties marked with a feature as defined in clause 5.11.4 are applicable as described in clause 5.2.7. If no feature are indicated, the related property applies for all the features.</w:t>
            </w:r>
          </w:p>
        </w:tc>
      </w:tr>
    </w:tbl>
    <w:p w:rsidR="00CB0DD7" w:rsidRPr="000A0A5F" w:rsidRDefault="00CB0DD7"/>
    <w:p w:rsidR="00CB0DD7" w:rsidRPr="000A0A5F" w:rsidRDefault="00CB0DD7">
      <w:pPr>
        <w:pStyle w:val="Heading5"/>
      </w:pPr>
      <w:bookmarkStart w:id="7835" w:name="_Toc27044917"/>
      <w:bookmarkStart w:id="7836" w:name="_Toc36033959"/>
      <w:bookmarkStart w:id="7837" w:name="_Toc45132105"/>
      <w:bookmarkStart w:id="7838" w:name="_Toc49776390"/>
      <w:bookmarkStart w:id="7839" w:name="_Toc51747310"/>
      <w:bookmarkStart w:id="7840" w:name="_Toc66360883"/>
      <w:bookmarkStart w:id="7841" w:name="_Toc68105388"/>
      <w:bookmarkStart w:id="7842" w:name="_Toc74756018"/>
      <w:bookmarkStart w:id="7843" w:name="_Toc105674894"/>
      <w:bookmarkStart w:id="7844" w:name="_Toc130502958"/>
      <w:bookmarkStart w:id="7845" w:name="_Toc153625746"/>
      <w:r w:rsidRPr="000A0A5F">
        <w:t>5.11.2.1.6</w:t>
      </w:r>
      <w:r w:rsidRPr="000A0A5F">
        <w:tab/>
        <w:t>Type: UserPlane</w:t>
      </w:r>
      <w:r w:rsidRPr="000A0A5F">
        <w:rPr>
          <w:lang w:eastAsia="zh-CN"/>
        </w:rPr>
        <w:t>LocationArea</w:t>
      </w:r>
      <w:bookmarkEnd w:id="7835"/>
      <w:bookmarkEnd w:id="7836"/>
      <w:bookmarkEnd w:id="7837"/>
      <w:bookmarkEnd w:id="7838"/>
      <w:bookmarkEnd w:id="7839"/>
      <w:bookmarkEnd w:id="7840"/>
      <w:bookmarkEnd w:id="7841"/>
      <w:bookmarkEnd w:id="7842"/>
      <w:bookmarkEnd w:id="7843"/>
      <w:bookmarkEnd w:id="7844"/>
      <w:bookmarkEnd w:id="7845"/>
    </w:p>
    <w:p w:rsidR="00CB0DD7" w:rsidRPr="000A0A5F" w:rsidRDefault="00CB0DD7">
      <w:r w:rsidRPr="000A0A5F">
        <w:t xml:space="preserve">This data type represents </w:t>
      </w:r>
      <w:r w:rsidRPr="000A0A5F">
        <w:rPr>
          <w:rFonts w:eastAsia="Times New Roman" w:cs="Arial"/>
          <w:szCs w:val="18"/>
        </w:rPr>
        <w:t>location area(s) of the user plane which is unable to enforce the provisioned PFD(s) successfully.</w:t>
      </w:r>
      <w:r w:rsidRPr="000A0A5F">
        <w:t xml:space="preserve"> It is sent from the SCEF to the SCS/AS.</w:t>
      </w:r>
    </w:p>
    <w:p w:rsidR="00CB0DD7" w:rsidRPr="000A0A5F" w:rsidRDefault="00CB0DD7">
      <w:pPr>
        <w:pStyle w:val="TH"/>
      </w:pPr>
      <w:r w:rsidRPr="000A0A5F">
        <w:t>Table 5.11.2.1.6-1: Definition of the UserPlane</w:t>
      </w:r>
      <w:r w:rsidRPr="000A0A5F">
        <w:rPr>
          <w:lang w:eastAsia="zh-CN"/>
        </w:rPr>
        <w:t>LocationArea</w:t>
      </w:r>
      <w:r w:rsidRPr="000A0A5F">
        <w:t xml:space="preserve"> data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843"/>
        <w:gridCol w:w="2126"/>
        <w:gridCol w:w="1276"/>
        <w:gridCol w:w="3118"/>
        <w:gridCol w:w="1257"/>
      </w:tblGrid>
      <w:tr w:rsidR="00CB0DD7" w:rsidRPr="000A0A5F" w:rsidTr="00FF0AF8">
        <w:trPr>
          <w:jc w:val="center"/>
        </w:trPr>
        <w:tc>
          <w:tcPr>
            <w:tcW w:w="1843" w:type="dxa"/>
            <w:shd w:val="clear" w:color="auto" w:fill="C0C0C0"/>
          </w:tcPr>
          <w:p w:rsidR="00CB0DD7" w:rsidRPr="000A0A5F" w:rsidRDefault="00CB0DD7">
            <w:pPr>
              <w:pStyle w:val="TAH"/>
              <w:rPr>
                <w:rFonts w:eastAsia="Times New Roman"/>
              </w:rPr>
            </w:pPr>
            <w:r w:rsidRPr="000A0A5F">
              <w:rPr>
                <w:rFonts w:eastAsia="Times New Roman"/>
              </w:rPr>
              <w:t>Attribute name</w:t>
            </w:r>
          </w:p>
        </w:tc>
        <w:tc>
          <w:tcPr>
            <w:tcW w:w="2126" w:type="dxa"/>
            <w:shd w:val="clear" w:color="auto" w:fill="C0C0C0"/>
          </w:tcPr>
          <w:p w:rsidR="00CB0DD7" w:rsidRPr="000A0A5F" w:rsidRDefault="00CB0DD7">
            <w:pPr>
              <w:pStyle w:val="TAH"/>
              <w:rPr>
                <w:rFonts w:eastAsia="Times New Roman"/>
              </w:rPr>
            </w:pPr>
            <w:r w:rsidRPr="000A0A5F">
              <w:rPr>
                <w:rFonts w:eastAsia="Times New Roman"/>
              </w:rPr>
              <w:t>Data type</w:t>
            </w:r>
          </w:p>
        </w:tc>
        <w:tc>
          <w:tcPr>
            <w:tcW w:w="1276" w:type="dxa"/>
            <w:shd w:val="clear" w:color="auto" w:fill="C0C0C0"/>
          </w:tcPr>
          <w:p w:rsidR="00CB0DD7" w:rsidRPr="000A0A5F" w:rsidRDefault="00CB0DD7">
            <w:pPr>
              <w:pStyle w:val="TAH"/>
              <w:jc w:val="left"/>
              <w:rPr>
                <w:rFonts w:eastAsia="Times New Roman"/>
              </w:rPr>
            </w:pPr>
            <w:r w:rsidRPr="000A0A5F">
              <w:rPr>
                <w:rFonts w:eastAsia="Times New Roman"/>
              </w:rPr>
              <w:t>Cardinality</w:t>
            </w:r>
          </w:p>
        </w:tc>
        <w:tc>
          <w:tcPr>
            <w:tcW w:w="3118"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Description</w:t>
            </w:r>
          </w:p>
        </w:tc>
        <w:tc>
          <w:tcPr>
            <w:tcW w:w="1257"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Applicability (NOTE)</w:t>
            </w:r>
          </w:p>
        </w:tc>
      </w:tr>
      <w:tr w:rsidR="00CB0DD7" w:rsidRPr="000A0A5F" w:rsidTr="00FF0AF8">
        <w:trPr>
          <w:jc w:val="center"/>
        </w:trPr>
        <w:tc>
          <w:tcPr>
            <w:tcW w:w="1843" w:type="dxa"/>
            <w:shd w:val="clear" w:color="auto" w:fill="auto"/>
            <w:vAlign w:val="center"/>
          </w:tcPr>
          <w:p w:rsidR="00CB0DD7" w:rsidRPr="000A0A5F" w:rsidRDefault="00CB0DD7">
            <w:pPr>
              <w:pStyle w:val="TAL"/>
              <w:rPr>
                <w:rFonts w:hint="eastAsia"/>
                <w:lang w:eastAsia="zh-CN"/>
              </w:rPr>
            </w:pPr>
            <w:r w:rsidRPr="000A0A5F">
              <w:rPr>
                <w:lang w:eastAsia="zh-CN"/>
              </w:rPr>
              <w:t>location</w:t>
            </w:r>
            <w:r w:rsidRPr="000A0A5F">
              <w:rPr>
                <w:rFonts w:hint="eastAsia"/>
                <w:lang w:eastAsia="zh-CN"/>
              </w:rPr>
              <w:t>Area</w:t>
            </w:r>
          </w:p>
        </w:tc>
        <w:tc>
          <w:tcPr>
            <w:tcW w:w="2126" w:type="dxa"/>
            <w:shd w:val="clear" w:color="auto" w:fill="auto"/>
          </w:tcPr>
          <w:p w:rsidR="00CB0DD7" w:rsidRPr="000A0A5F" w:rsidRDefault="00CB0DD7">
            <w:pPr>
              <w:pStyle w:val="TAL"/>
              <w:rPr>
                <w:lang w:eastAsia="zh-CN"/>
              </w:rPr>
            </w:pPr>
            <w:r w:rsidRPr="000A0A5F">
              <w:rPr>
                <w:lang w:eastAsia="zh-CN"/>
              </w:rPr>
              <w:t>Location</w:t>
            </w:r>
            <w:r w:rsidRPr="000A0A5F">
              <w:rPr>
                <w:rFonts w:hint="eastAsia"/>
                <w:lang w:eastAsia="zh-CN"/>
              </w:rPr>
              <w:t>Area</w:t>
            </w:r>
          </w:p>
        </w:tc>
        <w:tc>
          <w:tcPr>
            <w:tcW w:w="1276" w:type="dxa"/>
            <w:shd w:val="clear" w:color="auto" w:fill="auto"/>
          </w:tcPr>
          <w:p w:rsidR="00CB0DD7" w:rsidRPr="000A0A5F" w:rsidRDefault="00CB0DD7">
            <w:pPr>
              <w:pStyle w:val="TAL"/>
              <w:rPr>
                <w:rFonts w:hint="eastAsia"/>
                <w:lang w:eastAsia="zh-CN"/>
              </w:rPr>
            </w:pPr>
            <w:r w:rsidRPr="000A0A5F">
              <w:rPr>
                <w:rFonts w:hint="eastAsia"/>
                <w:lang w:eastAsia="zh-CN"/>
              </w:rPr>
              <w:t>0..1</w:t>
            </w:r>
          </w:p>
        </w:tc>
        <w:tc>
          <w:tcPr>
            <w:tcW w:w="3118" w:type="dxa"/>
            <w:shd w:val="clear" w:color="auto" w:fill="auto"/>
          </w:tcPr>
          <w:p w:rsidR="00CB0DD7" w:rsidRPr="000A0A5F" w:rsidRDefault="00CB0DD7">
            <w:pPr>
              <w:pStyle w:val="TAL"/>
              <w:rPr>
                <w:rFonts w:eastAsia="Times New Roman" w:cs="Arial"/>
                <w:szCs w:val="18"/>
              </w:rPr>
            </w:pPr>
            <w:r w:rsidRPr="000A0A5F">
              <w:rPr>
                <w:rFonts w:cs="Arial" w:hint="eastAsia"/>
                <w:szCs w:val="18"/>
                <w:lang w:eastAsia="zh-CN"/>
              </w:rPr>
              <w:t xml:space="preserve">Identifies </w:t>
            </w:r>
            <w:r w:rsidRPr="000A0A5F">
              <w:rPr>
                <w:rFonts w:cs="Arial"/>
                <w:szCs w:val="18"/>
                <w:lang w:eastAsia="zh-CN"/>
              </w:rPr>
              <w:t>the network area information served by the user planes functions</w:t>
            </w:r>
            <w:r w:rsidRPr="000A0A5F">
              <w:rPr>
                <w:rFonts w:cs="Arial" w:hint="eastAsia"/>
                <w:szCs w:val="18"/>
                <w:lang w:eastAsia="zh-CN"/>
              </w:rPr>
              <w:t xml:space="preserve"> which </w:t>
            </w:r>
            <w:r w:rsidRPr="000A0A5F">
              <w:rPr>
                <w:rFonts w:eastAsia="Times New Roman" w:cs="Arial"/>
                <w:szCs w:val="18"/>
              </w:rPr>
              <w:t>are unable to enforce the provisioned PFD(s) successfully</w:t>
            </w:r>
            <w:r w:rsidRPr="000A0A5F">
              <w:rPr>
                <w:rFonts w:cs="Arial"/>
                <w:szCs w:val="18"/>
                <w:lang w:eastAsia="zh-CN"/>
              </w:rPr>
              <w:t xml:space="preserve">. It </w:t>
            </w:r>
            <w:r w:rsidRPr="000A0A5F">
              <w:t>can be either a list of cell IDs, or a list of</w:t>
            </w:r>
            <w:r w:rsidRPr="000A0A5F">
              <w:rPr>
                <w:rFonts w:hint="eastAsia"/>
              </w:rPr>
              <w:t xml:space="preserve"> Tracking Areas</w:t>
            </w:r>
            <w:r w:rsidRPr="000A0A5F">
              <w:t>, or civic addresses, or a geographic area, or a combination of any of the above.</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843" w:type="dxa"/>
            <w:shd w:val="clear" w:color="auto" w:fill="auto"/>
            <w:vAlign w:val="center"/>
          </w:tcPr>
          <w:p w:rsidR="00CB0DD7" w:rsidRPr="000A0A5F" w:rsidRDefault="00CB0DD7">
            <w:pPr>
              <w:pStyle w:val="TAL"/>
              <w:rPr>
                <w:rFonts w:hint="eastAsia"/>
                <w:lang w:eastAsia="zh-CN"/>
              </w:rPr>
            </w:pPr>
            <w:r w:rsidRPr="000A0A5F">
              <w:rPr>
                <w:lang w:eastAsia="zh-CN"/>
              </w:rPr>
              <w:t>locationArea5G</w:t>
            </w:r>
          </w:p>
        </w:tc>
        <w:tc>
          <w:tcPr>
            <w:tcW w:w="2126" w:type="dxa"/>
            <w:shd w:val="clear" w:color="auto" w:fill="auto"/>
          </w:tcPr>
          <w:p w:rsidR="00CB0DD7" w:rsidRPr="000A0A5F" w:rsidRDefault="00CB0DD7">
            <w:pPr>
              <w:pStyle w:val="TAL"/>
              <w:rPr>
                <w:lang w:eastAsia="zh-CN"/>
              </w:rPr>
            </w:pPr>
            <w:r w:rsidRPr="000A0A5F">
              <w:rPr>
                <w:lang w:eastAsia="zh-CN"/>
              </w:rPr>
              <w:t>LocationArea5G</w:t>
            </w:r>
          </w:p>
        </w:tc>
        <w:tc>
          <w:tcPr>
            <w:tcW w:w="1276" w:type="dxa"/>
            <w:shd w:val="clear" w:color="auto" w:fill="auto"/>
          </w:tcPr>
          <w:p w:rsidR="00CB0DD7" w:rsidRPr="000A0A5F" w:rsidRDefault="00CB0DD7">
            <w:pPr>
              <w:pStyle w:val="TAL"/>
              <w:rPr>
                <w:rFonts w:hint="eastAsia"/>
                <w:lang w:eastAsia="zh-CN"/>
              </w:rPr>
            </w:pPr>
            <w:r w:rsidRPr="000A0A5F">
              <w:rPr>
                <w:rFonts w:hint="eastAsia"/>
                <w:lang w:eastAsia="zh-CN"/>
              </w:rPr>
              <w:t>0..</w:t>
            </w:r>
            <w:r w:rsidRPr="000A0A5F">
              <w:rPr>
                <w:lang w:eastAsia="zh-CN"/>
              </w:rPr>
              <w:t>1</w:t>
            </w:r>
          </w:p>
        </w:tc>
        <w:tc>
          <w:tcPr>
            <w:tcW w:w="3118" w:type="dxa"/>
            <w:shd w:val="clear" w:color="auto" w:fill="auto"/>
          </w:tcPr>
          <w:p w:rsidR="00CB0DD7" w:rsidRPr="000A0A5F" w:rsidRDefault="00CB0DD7">
            <w:pPr>
              <w:pStyle w:val="TAL"/>
              <w:rPr>
                <w:rFonts w:eastAsia="Times New Roman" w:cs="Arial"/>
                <w:szCs w:val="18"/>
              </w:rPr>
            </w:pPr>
            <w:r w:rsidRPr="000A0A5F">
              <w:rPr>
                <w:rFonts w:cs="Arial" w:hint="eastAsia"/>
                <w:szCs w:val="18"/>
                <w:lang w:eastAsia="zh-CN"/>
              </w:rPr>
              <w:t xml:space="preserve">Identifies </w:t>
            </w:r>
            <w:r w:rsidRPr="000A0A5F">
              <w:rPr>
                <w:rFonts w:cs="Arial"/>
                <w:szCs w:val="18"/>
                <w:lang w:eastAsia="zh-CN"/>
              </w:rPr>
              <w:t>the network area information served by the user planes functions</w:t>
            </w:r>
            <w:r w:rsidRPr="000A0A5F">
              <w:rPr>
                <w:rFonts w:cs="Arial" w:hint="eastAsia"/>
                <w:szCs w:val="18"/>
                <w:lang w:eastAsia="zh-CN"/>
              </w:rPr>
              <w:t xml:space="preserve"> which </w:t>
            </w:r>
            <w:r w:rsidRPr="000A0A5F">
              <w:rPr>
                <w:rFonts w:eastAsia="Times New Roman" w:cs="Arial"/>
                <w:szCs w:val="18"/>
              </w:rPr>
              <w:t>are unable to enforce the provisioned PFD(s) successfully</w:t>
            </w:r>
            <w:r w:rsidRPr="000A0A5F">
              <w:rPr>
                <w:rFonts w:cs="Arial"/>
                <w:szCs w:val="18"/>
                <w:lang w:eastAsia="zh-CN"/>
              </w:rPr>
              <w:t xml:space="preserve">. It </w:t>
            </w:r>
            <w:r w:rsidRPr="000A0A5F">
              <w:t>can be either a list of E-UTRA cell IDs, or a list of NR cell ID, or a list of</w:t>
            </w:r>
            <w:r w:rsidRPr="000A0A5F">
              <w:rPr>
                <w:rFonts w:hint="eastAsia"/>
              </w:rPr>
              <w:t xml:space="preserve"> Tracking Areas</w:t>
            </w:r>
            <w:r w:rsidRPr="000A0A5F">
              <w:t>, or civic addresses, or a geographic area, or a combination of any of the above.</w:t>
            </w:r>
          </w:p>
        </w:tc>
        <w:tc>
          <w:tcPr>
            <w:tcW w:w="1257" w:type="dxa"/>
          </w:tcPr>
          <w:p w:rsidR="00CB0DD7" w:rsidRPr="000A0A5F" w:rsidRDefault="00CB0DD7">
            <w:pPr>
              <w:pStyle w:val="TAL"/>
              <w:rPr>
                <w:rFonts w:eastAsia="Times New Roman" w:cs="Arial"/>
                <w:szCs w:val="18"/>
              </w:rPr>
            </w:pPr>
            <w:r w:rsidRPr="000A0A5F">
              <w:rPr>
                <w:lang w:eastAsia="zh-CN"/>
              </w:rPr>
              <w:t>FailureLocation_5G</w:t>
            </w:r>
          </w:p>
        </w:tc>
      </w:tr>
      <w:tr w:rsidR="00CB0DD7" w:rsidRPr="000A0A5F" w:rsidTr="00FF0AF8">
        <w:trPr>
          <w:jc w:val="center"/>
        </w:trPr>
        <w:tc>
          <w:tcPr>
            <w:tcW w:w="1843" w:type="dxa"/>
            <w:shd w:val="clear" w:color="auto" w:fill="auto"/>
            <w:vAlign w:val="center"/>
          </w:tcPr>
          <w:p w:rsidR="00CB0DD7" w:rsidRPr="000A0A5F" w:rsidRDefault="00CB0DD7">
            <w:pPr>
              <w:pStyle w:val="TAL"/>
              <w:rPr>
                <w:rFonts w:eastAsia="Times New Roman"/>
              </w:rPr>
            </w:pPr>
            <w:r w:rsidRPr="000A0A5F">
              <w:t>dnais</w:t>
            </w:r>
          </w:p>
        </w:tc>
        <w:tc>
          <w:tcPr>
            <w:tcW w:w="2126" w:type="dxa"/>
            <w:shd w:val="clear" w:color="auto" w:fill="auto"/>
          </w:tcPr>
          <w:p w:rsidR="00CB0DD7" w:rsidRPr="000A0A5F" w:rsidRDefault="00CB0DD7">
            <w:pPr>
              <w:pStyle w:val="TAL"/>
              <w:rPr>
                <w:rFonts w:hint="eastAsia"/>
                <w:lang w:eastAsia="zh-CN"/>
              </w:rPr>
            </w:pPr>
            <w:r w:rsidRPr="000A0A5F">
              <w:t>array(DNAI)</w:t>
            </w:r>
          </w:p>
        </w:tc>
        <w:tc>
          <w:tcPr>
            <w:tcW w:w="1276" w:type="dxa"/>
            <w:shd w:val="clear" w:color="auto" w:fill="auto"/>
          </w:tcPr>
          <w:p w:rsidR="00CB0DD7" w:rsidRPr="000A0A5F" w:rsidRDefault="00CB0DD7">
            <w:pPr>
              <w:pStyle w:val="TAL"/>
              <w:rPr>
                <w:rFonts w:eastAsia="Times New Roman"/>
              </w:rPr>
            </w:pPr>
            <w:r w:rsidRPr="000A0A5F">
              <w:rPr>
                <w:rFonts w:hint="eastAsia"/>
                <w:lang w:eastAsia="zh-CN"/>
              </w:rPr>
              <w:t>0..</w:t>
            </w:r>
            <w:r w:rsidRPr="000A0A5F">
              <w:rPr>
                <w:lang w:eastAsia="zh-CN"/>
              </w:rPr>
              <w:t>N</w:t>
            </w:r>
          </w:p>
        </w:tc>
        <w:tc>
          <w:tcPr>
            <w:tcW w:w="3118" w:type="dxa"/>
            <w:shd w:val="clear" w:color="auto" w:fill="auto"/>
          </w:tcPr>
          <w:p w:rsidR="00CB0DD7" w:rsidRPr="000A0A5F" w:rsidRDefault="00CB0DD7">
            <w:pPr>
              <w:pStyle w:val="TAL"/>
              <w:rPr>
                <w:rFonts w:eastAsia="Times New Roman" w:cs="Arial"/>
                <w:szCs w:val="18"/>
              </w:rPr>
            </w:pPr>
            <w:r w:rsidRPr="000A0A5F">
              <w:rPr>
                <w:rFonts w:eastAsia="Times New Roman" w:cs="Arial"/>
                <w:szCs w:val="18"/>
              </w:rPr>
              <w:t xml:space="preserve">Identifies a list of DNAI supported by the user plane functions </w:t>
            </w:r>
            <w:r w:rsidRPr="000A0A5F">
              <w:rPr>
                <w:rFonts w:cs="Arial" w:hint="eastAsia"/>
                <w:szCs w:val="18"/>
                <w:lang w:eastAsia="zh-CN"/>
              </w:rPr>
              <w:t xml:space="preserve">which </w:t>
            </w:r>
            <w:r w:rsidRPr="000A0A5F">
              <w:rPr>
                <w:rFonts w:eastAsia="Times New Roman" w:cs="Arial"/>
                <w:szCs w:val="18"/>
              </w:rPr>
              <w:t>are unable to enforce the provisioned PFD(s) successfully.</w:t>
            </w:r>
          </w:p>
        </w:tc>
        <w:tc>
          <w:tcPr>
            <w:tcW w:w="1257" w:type="dxa"/>
          </w:tcPr>
          <w:p w:rsidR="00CB0DD7" w:rsidRPr="000A0A5F" w:rsidRDefault="00CB0DD7">
            <w:pPr>
              <w:pStyle w:val="TAL"/>
              <w:rPr>
                <w:rFonts w:eastAsia="Times New Roman" w:cs="Arial"/>
                <w:szCs w:val="18"/>
              </w:rPr>
            </w:pPr>
            <w:r w:rsidRPr="000A0A5F">
              <w:rPr>
                <w:lang w:eastAsia="zh-CN"/>
              </w:rPr>
              <w:t>FailureLocation_5G</w:t>
            </w:r>
          </w:p>
        </w:tc>
      </w:tr>
    </w:tbl>
    <w:p w:rsidR="00CB0DD7" w:rsidRPr="000A0A5F" w:rsidRDefault="00CB0DD7"/>
    <w:p w:rsidR="00491D21" w:rsidRPr="000A0A5F" w:rsidRDefault="00491D21" w:rsidP="00491D21">
      <w:pPr>
        <w:pStyle w:val="Heading5"/>
      </w:pPr>
      <w:bookmarkStart w:id="7846" w:name="_Toc11247774"/>
      <w:bookmarkStart w:id="7847" w:name="_Toc27044918"/>
      <w:bookmarkStart w:id="7848" w:name="_Toc36033960"/>
      <w:bookmarkStart w:id="7849" w:name="_Toc45132106"/>
      <w:bookmarkStart w:id="7850" w:name="_Toc49776391"/>
      <w:bookmarkStart w:id="7851" w:name="_Toc51747311"/>
      <w:bookmarkStart w:id="7852" w:name="_Toc66360884"/>
      <w:bookmarkStart w:id="7853" w:name="_Toc68105389"/>
      <w:bookmarkStart w:id="7854" w:name="_Toc74756019"/>
      <w:bookmarkStart w:id="7855" w:name="_Toc105674895"/>
      <w:bookmarkStart w:id="7856" w:name="_Toc130502959"/>
      <w:bookmarkStart w:id="7857" w:name="_Toc153625747"/>
      <w:r w:rsidRPr="000A0A5F">
        <w:t>5.11.2.1.</w:t>
      </w:r>
      <w:r w:rsidR="00971DEA" w:rsidRPr="000A0A5F">
        <w:t>7</w:t>
      </w:r>
      <w:r w:rsidRPr="000A0A5F">
        <w:tab/>
        <w:t>Type: PfdManagementPatch</w:t>
      </w:r>
      <w:bookmarkEnd w:id="7855"/>
      <w:bookmarkEnd w:id="7856"/>
      <w:bookmarkEnd w:id="7857"/>
    </w:p>
    <w:p w:rsidR="00491D21" w:rsidRPr="000A0A5F" w:rsidRDefault="00491D21" w:rsidP="00491D21">
      <w:r w:rsidRPr="000A0A5F">
        <w:t>This type represents the parameters to request the modification of a PFD management transaction resource.</w:t>
      </w:r>
    </w:p>
    <w:p w:rsidR="00491D21" w:rsidRPr="000A0A5F" w:rsidRDefault="00491D21" w:rsidP="00491D21">
      <w:pPr>
        <w:pStyle w:val="TH"/>
      </w:pPr>
      <w:r w:rsidRPr="000A0A5F">
        <w:rPr>
          <w:noProof/>
        </w:rPr>
        <w:t>Table </w:t>
      </w:r>
      <w:r w:rsidRPr="000A0A5F">
        <w:t>5.11.2.1.</w:t>
      </w:r>
      <w:r w:rsidR="00971DEA" w:rsidRPr="000A0A5F">
        <w:t>7</w:t>
      </w:r>
      <w:r w:rsidRPr="000A0A5F">
        <w:t xml:space="preserve">-1: </w:t>
      </w:r>
      <w:r w:rsidRPr="000A0A5F">
        <w:rPr>
          <w:noProof/>
        </w:rPr>
        <w:t>Definition of type PfdManagementPatch</w:t>
      </w:r>
    </w:p>
    <w:tbl>
      <w:tblPr>
        <w:tblW w:w="955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61"/>
        <w:gridCol w:w="1134"/>
        <w:gridCol w:w="1134"/>
        <w:gridCol w:w="4395"/>
        <w:gridCol w:w="1235"/>
      </w:tblGrid>
      <w:tr w:rsidR="00491D21" w:rsidRPr="000A0A5F" w:rsidTr="00FF0AF8">
        <w:trPr>
          <w:trHeight w:val="288"/>
          <w:jc w:val="center"/>
        </w:trPr>
        <w:tc>
          <w:tcPr>
            <w:tcW w:w="1661" w:type="dxa"/>
            <w:shd w:val="clear" w:color="auto" w:fill="C0C0C0"/>
          </w:tcPr>
          <w:p w:rsidR="00491D21" w:rsidRPr="000A0A5F" w:rsidRDefault="00491D21" w:rsidP="00517DF6">
            <w:pPr>
              <w:pStyle w:val="TAH"/>
            </w:pPr>
            <w:r w:rsidRPr="000A0A5F">
              <w:t>Attribute name</w:t>
            </w:r>
          </w:p>
        </w:tc>
        <w:tc>
          <w:tcPr>
            <w:tcW w:w="1134" w:type="dxa"/>
            <w:shd w:val="clear" w:color="auto" w:fill="C0C0C0"/>
          </w:tcPr>
          <w:p w:rsidR="00491D21" w:rsidRPr="000A0A5F" w:rsidRDefault="00491D21" w:rsidP="00517DF6">
            <w:pPr>
              <w:pStyle w:val="TAH"/>
            </w:pPr>
            <w:r w:rsidRPr="000A0A5F">
              <w:t>Data type</w:t>
            </w:r>
          </w:p>
        </w:tc>
        <w:tc>
          <w:tcPr>
            <w:tcW w:w="1134" w:type="dxa"/>
            <w:shd w:val="clear" w:color="auto" w:fill="C0C0C0"/>
          </w:tcPr>
          <w:p w:rsidR="00491D21" w:rsidRPr="000A0A5F" w:rsidRDefault="00491D21" w:rsidP="00517DF6">
            <w:pPr>
              <w:pStyle w:val="TAH"/>
            </w:pPr>
            <w:r w:rsidRPr="000A0A5F">
              <w:t>Cardinality</w:t>
            </w:r>
          </w:p>
        </w:tc>
        <w:tc>
          <w:tcPr>
            <w:tcW w:w="4395" w:type="dxa"/>
            <w:shd w:val="clear" w:color="auto" w:fill="C0C0C0"/>
          </w:tcPr>
          <w:p w:rsidR="00491D21" w:rsidRPr="000A0A5F" w:rsidRDefault="00491D21" w:rsidP="00517DF6">
            <w:pPr>
              <w:pStyle w:val="TAH"/>
              <w:rPr>
                <w:rFonts w:cs="Arial"/>
                <w:szCs w:val="18"/>
              </w:rPr>
            </w:pPr>
            <w:r w:rsidRPr="000A0A5F">
              <w:rPr>
                <w:rFonts w:cs="Arial"/>
                <w:szCs w:val="18"/>
              </w:rPr>
              <w:t>Description</w:t>
            </w:r>
          </w:p>
        </w:tc>
        <w:tc>
          <w:tcPr>
            <w:tcW w:w="1235" w:type="dxa"/>
            <w:shd w:val="clear" w:color="auto" w:fill="C0C0C0"/>
          </w:tcPr>
          <w:p w:rsidR="00491D21" w:rsidRPr="000A0A5F" w:rsidRDefault="00491D21" w:rsidP="00517DF6">
            <w:pPr>
              <w:pStyle w:val="TAH"/>
            </w:pPr>
            <w:r w:rsidRPr="000A0A5F">
              <w:rPr>
                <w:rFonts w:cs="Arial"/>
                <w:szCs w:val="18"/>
              </w:rPr>
              <w:t>Applicability (NOTE 1)</w:t>
            </w:r>
          </w:p>
        </w:tc>
      </w:tr>
      <w:tr w:rsidR="00491D21" w:rsidRPr="000A0A5F" w:rsidTr="00FF0AF8">
        <w:trPr>
          <w:jc w:val="center"/>
        </w:trPr>
        <w:tc>
          <w:tcPr>
            <w:tcW w:w="1661" w:type="dxa"/>
            <w:shd w:val="clear" w:color="auto" w:fill="auto"/>
          </w:tcPr>
          <w:p w:rsidR="00491D21" w:rsidRPr="000A0A5F" w:rsidRDefault="00491D21" w:rsidP="00517DF6">
            <w:pPr>
              <w:pStyle w:val="TAL"/>
              <w:rPr>
                <w:lang w:eastAsia="zh-CN"/>
              </w:rPr>
            </w:pPr>
            <w:r w:rsidRPr="000A0A5F">
              <w:rPr>
                <w:lang w:eastAsia="zh-CN"/>
              </w:rPr>
              <w:t>pfdDatas</w:t>
            </w:r>
          </w:p>
        </w:tc>
        <w:tc>
          <w:tcPr>
            <w:tcW w:w="1134" w:type="dxa"/>
            <w:shd w:val="clear" w:color="auto" w:fill="auto"/>
          </w:tcPr>
          <w:p w:rsidR="00491D21" w:rsidRPr="000A0A5F" w:rsidRDefault="00491D21" w:rsidP="00517DF6">
            <w:pPr>
              <w:pStyle w:val="TAL"/>
              <w:rPr>
                <w:lang w:eastAsia="zh-CN"/>
              </w:rPr>
            </w:pPr>
            <w:r w:rsidRPr="000A0A5F">
              <w:rPr>
                <w:lang w:eastAsia="zh-CN"/>
              </w:rPr>
              <w:t>map(PfdData)</w:t>
            </w:r>
          </w:p>
        </w:tc>
        <w:tc>
          <w:tcPr>
            <w:tcW w:w="1134" w:type="dxa"/>
          </w:tcPr>
          <w:p w:rsidR="00491D21" w:rsidRPr="000A0A5F" w:rsidRDefault="00491D21" w:rsidP="00517DF6">
            <w:pPr>
              <w:pStyle w:val="TAC"/>
              <w:jc w:val="left"/>
            </w:pPr>
            <w:r w:rsidRPr="000A0A5F">
              <w:t>1..N</w:t>
            </w:r>
          </w:p>
        </w:tc>
        <w:tc>
          <w:tcPr>
            <w:tcW w:w="4395" w:type="dxa"/>
          </w:tcPr>
          <w:p w:rsidR="00491D21" w:rsidRPr="000A0A5F" w:rsidRDefault="00491D21" w:rsidP="00517DF6">
            <w:pPr>
              <w:pStyle w:val="TAL"/>
              <w:rPr>
                <w:rFonts w:cs="Arial"/>
                <w:szCs w:val="18"/>
              </w:rPr>
            </w:pPr>
            <w:r w:rsidRPr="000A0A5F">
              <w:rPr>
                <w:rFonts w:cs="Arial"/>
                <w:szCs w:val="18"/>
              </w:rPr>
              <w:t>Each element uniquely identifies the PFDs for an external application identifier. Each element is identified in the map via an external application identifier as the key.</w:t>
            </w:r>
          </w:p>
        </w:tc>
        <w:tc>
          <w:tcPr>
            <w:tcW w:w="1235" w:type="dxa"/>
          </w:tcPr>
          <w:p w:rsidR="00491D21" w:rsidRPr="000A0A5F" w:rsidRDefault="00491D21" w:rsidP="00517DF6">
            <w:pPr>
              <w:pStyle w:val="TAC"/>
              <w:jc w:val="left"/>
            </w:pPr>
          </w:p>
        </w:tc>
      </w:tr>
      <w:tr w:rsidR="00491D21" w:rsidRPr="000A0A5F" w:rsidTr="00FF0AF8">
        <w:trPr>
          <w:jc w:val="center"/>
        </w:trPr>
        <w:tc>
          <w:tcPr>
            <w:tcW w:w="1661" w:type="dxa"/>
            <w:shd w:val="clear" w:color="auto" w:fill="auto"/>
          </w:tcPr>
          <w:p w:rsidR="00491D21" w:rsidRPr="000A0A5F" w:rsidRDefault="00491D21" w:rsidP="00517DF6">
            <w:pPr>
              <w:pStyle w:val="TAL"/>
              <w:rPr>
                <w:lang w:eastAsia="zh-CN"/>
              </w:rPr>
            </w:pPr>
            <w:r w:rsidRPr="000A0A5F">
              <w:t>notificationDestination</w:t>
            </w:r>
          </w:p>
        </w:tc>
        <w:tc>
          <w:tcPr>
            <w:tcW w:w="1134" w:type="dxa"/>
            <w:shd w:val="clear" w:color="auto" w:fill="auto"/>
          </w:tcPr>
          <w:p w:rsidR="00491D21" w:rsidRPr="000A0A5F" w:rsidRDefault="00491D21" w:rsidP="00517DF6">
            <w:pPr>
              <w:pStyle w:val="TAL"/>
              <w:rPr>
                <w:lang w:eastAsia="zh-CN"/>
              </w:rPr>
            </w:pPr>
            <w:r w:rsidRPr="000A0A5F">
              <w:rPr>
                <w:rFonts w:hint="eastAsia"/>
                <w:lang w:eastAsia="zh-CN"/>
              </w:rPr>
              <w:t>Link</w:t>
            </w:r>
          </w:p>
        </w:tc>
        <w:tc>
          <w:tcPr>
            <w:tcW w:w="1134" w:type="dxa"/>
          </w:tcPr>
          <w:p w:rsidR="00491D21" w:rsidRPr="000A0A5F" w:rsidRDefault="00491D21" w:rsidP="00517DF6">
            <w:pPr>
              <w:pStyle w:val="TAC"/>
              <w:jc w:val="left"/>
              <w:rPr>
                <w:lang w:eastAsia="zh-CN"/>
              </w:rPr>
            </w:pPr>
            <w:r w:rsidRPr="000A0A5F">
              <w:t>0..1</w:t>
            </w:r>
          </w:p>
        </w:tc>
        <w:tc>
          <w:tcPr>
            <w:tcW w:w="4395" w:type="dxa"/>
          </w:tcPr>
          <w:p w:rsidR="00491D21" w:rsidRPr="000A0A5F" w:rsidRDefault="00491D21" w:rsidP="00517DF6">
            <w:pPr>
              <w:pStyle w:val="TAL"/>
              <w:rPr>
                <w:rFonts w:cs="Arial"/>
                <w:szCs w:val="18"/>
                <w:lang w:eastAsia="zh-CN"/>
              </w:rPr>
            </w:pPr>
            <w:r w:rsidRPr="000A0A5F">
              <w:rPr>
                <w:rFonts w:cs="Arial" w:hint="eastAsia"/>
                <w:szCs w:val="18"/>
                <w:lang w:eastAsia="zh-CN"/>
              </w:rPr>
              <w:t>A</w:t>
            </w:r>
            <w:r w:rsidRPr="000A0A5F">
              <w:rPr>
                <w:rFonts w:cs="Arial"/>
                <w:szCs w:val="18"/>
                <w:lang w:eastAsia="zh-CN"/>
              </w:rPr>
              <w:t xml:space="preserve"> </w:t>
            </w:r>
            <w:r w:rsidRPr="000A0A5F">
              <w:rPr>
                <w:rFonts w:cs="Arial" w:hint="eastAsia"/>
                <w:szCs w:val="18"/>
                <w:lang w:eastAsia="zh-CN"/>
              </w:rPr>
              <w:t xml:space="preserve">URI </w:t>
            </w:r>
            <w:r w:rsidRPr="000A0A5F">
              <w:rPr>
                <w:rFonts w:cs="Arial"/>
                <w:szCs w:val="18"/>
                <w:lang w:eastAsia="zh-CN"/>
              </w:rPr>
              <w:t>indicating the</w:t>
            </w:r>
            <w:r w:rsidRPr="000A0A5F">
              <w:rPr>
                <w:rFonts w:cs="Arial" w:hint="eastAsia"/>
                <w:szCs w:val="18"/>
                <w:lang w:eastAsia="zh-CN"/>
              </w:rPr>
              <w:t xml:space="preserve"> notification destination </w:t>
            </w:r>
            <w:r w:rsidRPr="000A0A5F">
              <w:rPr>
                <w:rFonts w:cs="Arial"/>
                <w:szCs w:val="18"/>
                <w:lang w:eastAsia="zh-CN"/>
              </w:rPr>
              <w:t>for</w:t>
            </w:r>
            <w:r w:rsidRPr="000A0A5F">
              <w:rPr>
                <w:rFonts w:cs="Arial" w:hint="eastAsia"/>
                <w:szCs w:val="18"/>
                <w:lang w:eastAsia="zh-CN"/>
              </w:rPr>
              <w:t xml:space="preserve"> T8 </w:t>
            </w:r>
            <w:r w:rsidRPr="000A0A5F">
              <w:rPr>
                <w:rFonts w:cs="Arial"/>
                <w:szCs w:val="18"/>
                <w:lang w:eastAsia="zh-CN"/>
              </w:rPr>
              <w:t>notifications</w:t>
            </w:r>
            <w:r w:rsidRPr="000A0A5F">
              <w:rPr>
                <w:rFonts w:cs="Arial" w:hint="eastAsia"/>
                <w:szCs w:val="18"/>
                <w:lang w:eastAsia="zh-CN"/>
              </w:rPr>
              <w:t>.</w:t>
            </w:r>
          </w:p>
        </w:tc>
        <w:tc>
          <w:tcPr>
            <w:tcW w:w="1235" w:type="dxa"/>
          </w:tcPr>
          <w:p w:rsidR="00491D21" w:rsidRPr="000A0A5F" w:rsidRDefault="00491D21" w:rsidP="00517DF6">
            <w:pPr>
              <w:pStyle w:val="TAC"/>
              <w:jc w:val="left"/>
            </w:pPr>
          </w:p>
        </w:tc>
      </w:tr>
      <w:tr w:rsidR="00491D21" w:rsidRPr="000A0A5F" w:rsidTr="00FF0AF8">
        <w:trPr>
          <w:jc w:val="center"/>
        </w:trPr>
        <w:tc>
          <w:tcPr>
            <w:tcW w:w="9559" w:type="dxa"/>
            <w:gridSpan w:val="5"/>
            <w:shd w:val="clear" w:color="auto" w:fill="auto"/>
          </w:tcPr>
          <w:p w:rsidR="00491D21" w:rsidRPr="000A0A5F" w:rsidRDefault="00491D21" w:rsidP="00517DF6">
            <w:pPr>
              <w:pStyle w:val="TAN"/>
              <w:rPr>
                <w:noProof/>
                <w:lang w:eastAsia="zh-CN"/>
              </w:rPr>
            </w:pPr>
            <w:r w:rsidRPr="000A0A5F">
              <w:rPr>
                <w:noProof/>
                <w:lang w:eastAsia="zh-CN"/>
              </w:rPr>
              <w:t>NOTE 1</w:t>
            </w:r>
            <w:r w:rsidRPr="000A0A5F">
              <w:t>:</w:t>
            </w:r>
            <w:r w:rsidRPr="000A0A5F">
              <w:tab/>
              <w:t>Properties marked with a feature as defined in clause 5.11.4 are applicable as described in clause 5.2.7. If no feature are indicated, the related property applies for all the features.</w:t>
            </w:r>
          </w:p>
        </w:tc>
      </w:tr>
    </w:tbl>
    <w:p w:rsidR="00491D21" w:rsidRPr="000A0A5F" w:rsidRDefault="00491D21" w:rsidP="00491D21"/>
    <w:p w:rsidR="00CB0DD7" w:rsidRPr="000A0A5F" w:rsidRDefault="00CB0DD7">
      <w:pPr>
        <w:pStyle w:val="Heading4"/>
      </w:pPr>
      <w:bookmarkStart w:id="7858" w:name="_Toc105674896"/>
      <w:bookmarkStart w:id="7859" w:name="_Toc130502960"/>
      <w:bookmarkStart w:id="7860" w:name="_Toc153625748"/>
      <w:r w:rsidRPr="000A0A5F">
        <w:t>5.11.2.2</w:t>
      </w:r>
      <w:r w:rsidRPr="000A0A5F">
        <w:tab/>
        <w:t>Referenced simple data types and enumerations</w:t>
      </w:r>
      <w:bookmarkEnd w:id="7846"/>
      <w:bookmarkEnd w:id="7847"/>
      <w:bookmarkEnd w:id="7848"/>
      <w:bookmarkEnd w:id="7849"/>
      <w:bookmarkEnd w:id="7850"/>
      <w:bookmarkEnd w:id="7851"/>
      <w:bookmarkEnd w:id="7852"/>
      <w:bookmarkEnd w:id="7853"/>
      <w:bookmarkEnd w:id="7854"/>
      <w:bookmarkEnd w:id="7858"/>
      <w:bookmarkEnd w:id="7859"/>
      <w:bookmarkEnd w:id="7860"/>
    </w:p>
    <w:p w:rsidR="00CB0DD7" w:rsidRPr="000A0A5F" w:rsidRDefault="00CB0DD7">
      <w:pPr>
        <w:pStyle w:val="Heading5"/>
      </w:pPr>
      <w:bookmarkStart w:id="7861" w:name="_Toc11247775"/>
      <w:bookmarkStart w:id="7862" w:name="_Toc27044919"/>
      <w:bookmarkStart w:id="7863" w:name="_Toc36033961"/>
      <w:bookmarkStart w:id="7864" w:name="_Toc45132107"/>
      <w:bookmarkStart w:id="7865" w:name="_Toc49776392"/>
      <w:bookmarkStart w:id="7866" w:name="_Toc51747312"/>
      <w:bookmarkStart w:id="7867" w:name="_Toc66360885"/>
      <w:bookmarkStart w:id="7868" w:name="_Toc68105390"/>
      <w:bookmarkStart w:id="7869" w:name="_Toc74756020"/>
      <w:bookmarkStart w:id="7870" w:name="_Toc105674897"/>
      <w:bookmarkStart w:id="7871" w:name="_Toc130502961"/>
      <w:bookmarkStart w:id="7872" w:name="_Toc153625749"/>
      <w:r w:rsidRPr="000A0A5F">
        <w:t>5.11.2.2.1</w:t>
      </w:r>
      <w:r w:rsidRPr="000A0A5F">
        <w:tab/>
        <w:t>Introduction</w:t>
      </w:r>
      <w:bookmarkEnd w:id="7861"/>
      <w:bookmarkEnd w:id="7862"/>
      <w:bookmarkEnd w:id="7863"/>
      <w:bookmarkEnd w:id="7864"/>
      <w:bookmarkEnd w:id="7865"/>
      <w:bookmarkEnd w:id="7866"/>
      <w:bookmarkEnd w:id="7867"/>
      <w:bookmarkEnd w:id="7868"/>
      <w:bookmarkEnd w:id="7869"/>
      <w:bookmarkEnd w:id="7870"/>
      <w:bookmarkEnd w:id="7871"/>
      <w:bookmarkEnd w:id="7872"/>
    </w:p>
    <w:p w:rsidR="00CB0DD7" w:rsidRPr="000A0A5F" w:rsidRDefault="00CB0DD7">
      <w:r w:rsidRPr="000A0A5F">
        <w:t>This clause defines simple data types and enumerations that can be referenced from data structures defined in the previous clauses. In addition, data types and enumerations defined in clause</w:t>
      </w:r>
      <w:r w:rsidR="000902D9" w:rsidRPr="000A0A5F">
        <w:t> </w:t>
      </w:r>
      <w:r w:rsidRPr="000A0A5F">
        <w:t>5.2.1 can be referenced.</w:t>
      </w:r>
    </w:p>
    <w:p w:rsidR="00CB0DD7" w:rsidRPr="000A0A5F" w:rsidRDefault="00CB0DD7">
      <w:pPr>
        <w:pStyle w:val="Heading5"/>
      </w:pPr>
      <w:bookmarkStart w:id="7873" w:name="_Toc11247776"/>
      <w:bookmarkStart w:id="7874" w:name="_Toc27044920"/>
      <w:bookmarkStart w:id="7875" w:name="_Toc36033962"/>
      <w:bookmarkStart w:id="7876" w:name="_Toc45132108"/>
      <w:bookmarkStart w:id="7877" w:name="_Toc49776393"/>
      <w:bookmarkStart w:id="7878" w:name="_Toc51747313"/>
      <w:bookmarkStart w:id="7879" w:name="_Toc66360886"/>
      <w:bookmarkStart w:id="7880" w:name="_Toc68105391"/>
      <w:bookmarkStart w:id="7881" w:name="_Toc74756021"/>
      <w:bookmarkStart w:id="7882" w:name="_Toc105674898"/>
      <w:bookmarkStart w:id="7883" w:name="_Toc130502962"/>
      <w:bookmarkStart w:id="7884" w:name="_Toc153625750"/>
      <w:r w:rsidRPr="000A0A5F">
        <w:t>5.11.2.2.2</w:t>
      </w:r>
      <w:r w:rsidRPr="000A0A5F">
        <w:tab/>
        <w:t>Simple data types</w:t>
      </w:r>
      <w:bookmarkEnd w:id="7873"/>
      <w:bookmarkEnd w:id="7874"/>
      <w:bookmarkEnd w:id="7875"/>
      <w:bookmarkEnd w:id="7876"/>
      <w:bookmarkEnd w:id="7877"/>
      <w:bookmarkEnd w:id="7878"/>
      <w:bookmarkEnd w:id="7879"/>
      <w:bookmarkEnd w:id="7880"/>
      <w:bookmarkEnd w:id="7881"/>
      <w:bookmarkEnd w:id="7882"/>
      <w:bookmarkEnd w:id="7883"/>
      <w:bookmarkEnd w:id="7884"/>
      <w:r w:rsidRPr="000A0A5F">
        <w:t xml:space="preserve"> </w:t>
      </w:r>
    </w:p>
    <w:p w:rsidR="00CB0DD7" w:rsidRPr="000A0A5F" w:rsidRDefault="00CB0DD7">
      <w:r w:rsidRPr="000A0A5F">
        <w:t>The simple data types defined in table 5.11.2.2.2-1 shall be supported.</w:t>
      </w:r>
    </w:p>
    <w:p w:rsidR="00CB0DD7" w:rsidRPr="000A0A5F" w:rsidRDefault="00CB0DD7">
      <w:pPr>
        <w:pStyle w:val="TH"/>
      </w:pPr>
      <w:r w:rsidRPr="000A0A5F">
        <w:t>Table 5.11.2.2.2-1: Simple data types</w:t>
      </w:r>
    </w:p>
    <w:tbl>
      <w:tblPr>
        <w:tblW w:w="465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865"/>
        <w:gridCol w:w="7302"/>
      </w:tblGrid>
      <w:tr w:rsidR="00CB0DD7" w:rsidRPr="000A0A5F" w:rsidTr="00FF0AF8">
        <w:tc>
          <w:tcPr>
            <w:tcW w:w="1017" w:type="pct"/>
            <w:shd w:val="clear" w:color="auto" w:fill="C0C0C0"/>
            <w:tcMar>
              <w:top w:w="0" w:type="dxa"/>
              <w:left w:w="108" w:type="dxa"/>
              <w:bottom w:w="0" w:type="dxa"/>
              <w:right w:w="108" w:type="dxa"/>
            </w:tcMar>
            <w:hideMark/>
          </w:tcPr>
          <w:p w:rsidR="00CB0DD7" w:rsidRPr="000A0A5F" w:rsidRDefault="00CB0DD7">
            <w:pPr>
              <w:pStyle w:val="TAH"/>
            </w:pPr>
            <w:r w:rsidRPr="000A0A5F">
              <w:t>Type name</w:t>
            </w:r>
          </w:p>
        </w:tc>
        <w:tc>
          <w:tcPr>
            <w:tcW w:w="3983" w:type="pct"/>
            <w:shd w:val="clear" w:color="auto" w:fill="C0C0C0"/>
            <w:tcMar>
              <w:top w:w="0" w:type="dxa"/>
              <w:left w:w="108" w:type="dxa"/>
              <w:bottom w:w="0" w:type="dxa"/>
              <w:right w:w="108" w:type="dxa"/>
            </w:tcMar>
            <w:hideMark/>
          </w:tcPr>
          <w:p w:rsidR="00CB0DD7" w:rsidRPr="000A0A5F" w:rsidRDefault="00CB0DD7">
            <w:pPr>
              <w:pStyle w:val="TAH"/>
            </w:pPr>
            <w:r w:rsidRPr="000A0A5F">
              <w:t>Description</w:t>
            </w:r>
          </w:p>
        </w:tc>
      </w:tr>
      <w:tr w:rsidR="00CB0DD7" w:rsidRPr="000A0A5F" w:rsidTr="00FF0AF8">
        <w:tc>
          <w:tcPr>
            <w:tcW w:w="1017" w:type="pct"/>
            <w:tcMar>
              <w:top w:w="0" w:type="dxa"/>
              <w:left w:w="108" w:type="dxa"/>
              <w:bottom w:w="0" w:type="dxa"/>
              <w:right w:w="108" w:type="dxa"/>
            </w:tcMar>
          </w:tcPr>
          <w:p w:rsidR="00CB0DD7" w:rsidRPr="000A0A5F" w:rsidRDefault="00CB0DD7">
            <w:pPr>
              <w:pStyle w:val="TAL"/>
            </w:pPr>
          </w:p>
        </w:tc>
        <w:tc>
          <w:tcPr>
            <w:tcW w:w="3983" w:type="pct"/>
            <w:tcMar>
              <w:top w:w="0" w:type="dxa"/>
              <w:left w:w="108" w:type="dxa"/>
              <w:bottom w:w="0" w:type="dxa"/>
              <w:right w:w="108" w:type="dxa"/>
            </w:tcMar>
          </w:tcPr>
          <w:p w:rsidR="00CB0DD7" w:rsidRPr="000A0A5F" w:rsidRDefault="00CB0DD7">
            <w:pPr>
              <w:pStyle w:val="TAL"/>
            </w:pPr>
          </w:p>
        </w:tc>
      </w:tr>
      <w:tr w:rsidR="00CB0DD7" w:rsidRPr="000A0A5F" w:rsidTr="00FF0AF8">
        <w:tc>
          <w:tcPr>
            <w:tcW w:w="1017" w:type="pct"/>
            <w:tcMar>
              <w:top w:w="0" w:type="dxa"/>
              <w:left w:w="108" w:type="dxa"/>
              <w:bottom w:w="0" w:type="dxa"/>
              <w:right w:w="108" w:type="dxa"/>
            </w:tcMar>
          </w:tcPr>
          <w:p w:rsidR="00CB0DD7" w:rsidRPr="000A0A5F" w:rsidRDefault="00CB0DD7">
            <w:pPr>
              <w:pStyle w:val="TAL"/>
            </w:pPr>
          </w:p>
        </w:tc>
        <w:tc>
          <w:tcPr>
            <w:tcW w:w="3983" w:type="pct"/>
            <w:tcMar>
              <w:top w:w="0" w:type="dxa"/>
              <w:left w:w="108" w:type="dxa"/>
              <w:bottom w:w="0" w:type="dxa"/>
              <w:right w:w="108" w:type="dxa"/>
            </w:tcMar>
          </w:tcPr>
          <w:p w:rsidR="00CB0DD7" w:rsidRPr="000A0A5F" w:rsidRDefault="00CB0DD7">
            <w:pPr>
              <w:pStyle w:val="TAL"/>
            </w:pPr>
          </w:p>
        </w:tc>
      </w:tr>
    </w:tbl>
    <w:p w:rsidR="00CB0DD7" w:rsidRPr="000A0A5F" w:rsidRDefault="00CB0DD7"/>
    <w:p w:rsidR="00CB0DD7" w:rsidRPr="000A0A5F" w:rsidRDefault="00CB0DD7">
      <w:pPr>
        <w:pStyle w:val="Heading5"/>
      </w:pPr>
      <w:bookmarkStart w:id="7885" w:name="_Toc11247777"/>
      <w:bookmarkStart w:id="7886" w:name="_Toc27044921"/>
      <w:bookmarkStart w:id="7887" w:name="_Toc36033963"/>
      <w:bookmarkStart w:id="7888" w:name="_Toc45132109"/>
      <w:bookmarkStart w:id="7889" w:name="_Toc49776394"/>
      <w:bookmarkStart w:id="7890" w:name="_Toc51747314"/>
      <w:bookmarkStart w:id="7891" w:name="_Toc66360887"/>
      <w:bookmarkStart w:id="7892" w:name="_Toc68105392"/>
      <w:bookmarkStart w:id="7893" w:name="_Toc74756022"/>
      <w:bookmarkStart w:id="7894" w:name="_Toc105674899"/>
      <w:bookmarkStart w:id="7895" w:name="_Toc130502963"/>
      <w:bookmarkStart w:id="7896" w:name="_Toc153625751"/>
      <w:r w:rsidRPr="000A0A5F">
        <w:t>5.11.2.2.3</w:t>
      </w:r>
      <w:r w:rsidRPr="000A0A5F">
        <w:tab/>
        <w:t>Enumeration: FailureCode</w:t>
      </w:r>
      <w:bookmarkEnd w:id="7885"/>
      <w:bookmarkEnd w:id="7886"/>
      <w:bookmarkEnd w:id="7887"/>
      <w:bookmarkEnd w:id="7888"/>
      <w:bookmarkEnd w:id="7889"/>
      <w:bookmarkEnd w:id="7890"/>
      <w:bookmarkEnd w:id="7891"/>
      <w:bookmarkEnd w:id="7892"/>
      <w:bookmarkEnd w:id="7893"/>
      <w:bookmarkEnd w:id="7894"/>
      <w:bookmarkEnd w:id="7895"/>
      <w:bookmarkEnd w:id="7896"/>
    </w:p>
    <w:p w:rsidR="00CB0DD7" w:rsidRPr="000A0A5F" w:rsidRDefault="00CB0DD7">
      <w:r w:rsidRPr="000A0A5F">
        <w:t xml:space="preserve">The enumeration </w:t>
      </w:r>
      <w:r w:rsidRPr="000A0A5F">
        <w:rPr>
          <w:rFonts w:eastAsia="Times New Roman"/>
        </w:rPr>
        <w:t>FailureCode</w:t>
      </w:r>
      <w:r w:rsidRPr="000A0A5F">
        <w:t xml:space="preserve"> represents the failure reason of the PFD management.</w:t>
      </w:r>
    </w:p>
    <w:p w:rsidR="00CB0DD7" w:rsidRPr="000A0A5F" w:rsidRDefault="00CB0DD7">
      <w:pPr>
        <w:pStyle w:val="TH"/>
      </w:pPr>
      <w:r w:rsidRPr="000A0A5F">
        <w:t xml:space="preserve">Table 5.11.2.2.3-1: Enumeration </w:t>
      </w:r>
      <w:r w:rsidRPr="000A0A5F">
        <w:rPr>
          <w:rFonts w:eastAsia="Times New Roman"/>
        </w:rPr>
        <w:t>FailureCode</w:t>
      </w:r>
    </w:p>
    <w:tbl>
      <w:tblPr>
        <w:tblW w:w="4673" w:type="pct"/>
        <w:tblInd w:w="-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2731"/>
        <w:gridCol w:w="4762"/>
        <w:gridCol w:w="1626"/>
      </w:tblGrid>
      <w:tr w:rsidR="00CB0DD7" w:rsidRPr="000A0A5F" w:rsidTr="00FF0AF8">
        <w:tc>
          <w:tcPr>
            <w:tcW w:w="1632" w:type="pct"/>
            <w:shd w:val="clear" w:color="auto" w:fill="C0C0C0"/>
            <w:tcMar>
              <w:top w:w="0" w:type="dxa"/>
              <w:left w:w="108" w:type="dxa"/>
              <w:bottom w:w="0" w:type="dxa"/>
              <w:right w:w="108" w:type="dxa"/>
            </w:tcMar>
            <w:hideMark/>
          </w:tcPr>
          <w:p w:rsidR="00CB0DD7" w:rsidRPr="000A0A5F" w:rsidRDefault="00CB0DD7">
            <w:pPr>
              <w:pStyle w:val="TAH"/>
            </w:pPr>
            <w:r w:rsidRPr="000A0A5F">
              <w:t>Enumeration value</w:t>
            </w:r>
          </w:p>
        </w:tc>
        <w:tc>
          <w:tcPr>
            <w:tcW w:w="2745" w:type="pct"/>
            <w:shd w:val="clear" w:color="auto" w:fill="C0C0C0"/>
            <w:tcMar>
              <w:top w:w="0" w:type="dxa"/>
              <w:left w:w="108" w:type="dxa"/>
              <w:bottom w:w="0" w:type="dxa"/>
              <w:right w:w="108" w:type="dxa"/>
            </w:tcMar>
            <w:hideMark/>
          </w:tcPr>
          <w:p w:rsidR="00CB0DD7" w:rsidRPr="000A0A5F" w:rsidRDefault="00CB0DD7">
            <w:pPr>
              <w:pStyle w:val="TAH"/>
            </w:pPr>
            <w:r w:rsidRPr="000A0A5F">
              <w:t>Description</w:t>
            </w:r>
          </w:p>
        </w:tc>
        <w:tc>
          <w:tcPr>
            <w:tcW w:w="623" w:type="pct"/>
            <w:shd w:val="clear" w:color="auto" w:fill="C0C0C0"/>
            <w:hideMark/>
          </w:tcPr>
          <w:p w:rsidR="00CB0DD7" w:rsidRPr="000A0A5F" w:rsidRDefault="00CB0DD7">
            <w:pPr>
              <w:pStyle w:val="TAH"/>
            </w:pPr>
            <w:r w:rsidRPr="000A0A5F">
              <w:rPr>
                <w:rFonts w:eastAsia="Times New Roman" w:cs="Arial"/>
                <w:szCs w:val="18"/>
              </w:rPr>
              <w:t>Applicability (NOTE)</w:t>
            </w:r>
          </w:p>
        </w:tc>
      </w:tr>
      <w:tr w:rsidR="00CB0DD7" w:rsidRPr="000A0A5F" w:rsidTr="00FF0AF8">
        <w:tc>
          <w:tcPr>
            <w:tcW w:w="1632" w:type="pct"/>
            <w:tcMar>
              <w:top w:w="0" w:type="dxa"/>
              <w:left w:w="108" w:type="dxa"/>
              <w:bottom w:w="0" w:type="dxa"/>
              <w:right w:w="108" w:type="dxa"/>
            </w:tcMar>
            <w:hideMark/>
          </w:tcPr>
          <w:p w:rsidR="00CB0DD7" w:rsidRPr="000A0A5F" w:rsidRDefault="00CB0DD7">
            <w:pPr>
              <w:pStyle w:val="TAL"/>
            </w:pPr>
            <w:r w:rsidRPr="000A0A5F">
              <w:t>MALFUNCTION</w:t>
            </w:r>
          </w:p>
        </w:tc>
        <w:tc>
          <w:tcPr>
            <w:tcW w:w="2745" w:type="pct"/>
            <w:tcMar>
              <w:top w:w="0" w:type="dxa"/>
              <w:left w:w="108" w:type="dxa"/>
              <w:bottom w:w="0" w:type="dxa"/>
              <w:right w:w="108" w:type="dxa"/>
            </w:tcMar>
            <w:hideMark/>
          </w:tcPr>
          <w:p w:rsidR="00CB0DD7" w:rsidRPr="000A0A5F" w:rsidRDefault="00CB0DD7">
            <w:pPr>
              <w:pStyle w:val="TAL"/>
              <w:rPr>
                <w:rFonts w:cs="Arial"/>
                <w:bCs/>
                <w:color w:val="333333"/>
                <w:szCs w:val="18"/>
              </w:rPr>
            </w:pPr>
            <w:r w:rsidRPr="000A0A5F">
              <w:rPr>
                <w:rFonts w:cs="Arial"/>
                <w:bCs/>
                <w:color w:val="333333"/>
                <w:szCs w:val="18"/>
              </w:rPr>
              <w:t>This value indicates that something functions wrongly in PFD provisioning or the PFD provisioning does not function at all.</w:t>
            </w:r>
          </w:p>
        </w:tc>
        <w:tc>
          <w:tcPr>
            <w:tcW w:w="623" w:type="pct"/>
          </w:tcPr>
          <w:p w:rsidR="00CB0DD7" w:rsidRPr="000A0A5F" w:rsidRDefault="00CB0DD7">
            <w:pPr>
              <w:pStyle w:val="TAL"/>
              <w:rPr>
                <w:rFonts w:cs="Arial"/>
                <w:szCs w:val="18"/>
                <w:lang w:eastAsia="zh-CN"/>
              </w:rPr>
            </w:pPr>
          </w:p>
        </w:tc>
      </w:tr>
      <w:tr w:rsidR="00CB0DD7" w:rsidRPr="000A0A5F" w:rsidTr="00FF0AF8">
        <w:tc>
          <w:tcPr>
            <w:tcW w:w="1632" w:type="pct"/>
            <w:tcMar>
              <w:top w:w="0" w:type="dxa"/>
              <w:left w:w="108" w:type="dxa"/>
              <w:bottom w:w="0" w:type="dxa"/>
              <w:right w:w="108" w:type="dxa"/>
            </w:tcMar>
            <w:hideMark/>
          </w:tcPr>
          <w:p w:rsidR="00CB0DD7" w:rsidRPr="000A0A5F" w:rsidRDefault="00CB0DD7">
            <w:pPr>
              <w:pStyle w:val="TAL"/>
            </w:pPr>
            <w:r w:rsidRPr="000A0A5F">
              <w:t>RESOURCE_LIMITATION</w:t>
            </w:r>
          </w:p>
        </w:tc>
        <w:tc>
          <w:tcPr>
            <w:tcW w:w="2745" w:type="pct"/>
            <w:tcMar>
              <w:top w:w="0" w:type="dxa"/>
              <w:left w:w="108" w:type="dxa"/>
              <w:bottom w:w="0" w:type="dxa"/>
              <w:right w:w="108" w:type="dxa"/>
            </w:tcMar>
            <w:hideMark/>
          </w:tcPr>
          <w:p w:rsidR="00CB0DD7" w:rsidRPr="000A0A5F" w:rsidRDefault="00CB0DD7">
            <w:pPr>
              <w:pStyle w:val="TAL"/>
              <w:rPr>
                <w:rFonts w:cs="Arial"/>
                <w:bCs/>
                <w:color w:val="333333"/>
                <w:szCs w:val="18"/>
              </w:rPr>
            </w:pPr>
            <w:r w:rsidRPr="000A0A5F">
              <w:rPr>
                <w:rFonts w:cs="Arial"/>
                <w:bCs/>
                <w:color w:val="333333"/>
                <w:szCs w:val="18"/>
              </w:rPr>
              <w:t>This value indicates there is resource limitation for PFD storage.</w:t>
            </w:r>
          </w:p>
        </w:tc>
        <w:tc>
          <w:tcPr>
            <w:tcW w:w="623" w:type="pct"/>
          </w:tcPr>
          <w:p w:rsidR="00CB0DD7" w:rsidRPr="000A0A5F" w:rsidRDefault="00CB0DD7">
            <w:pPr>
              <w:pStyle w:val="TAL"/>
              <w:rPr>
                <w:rFonts w:cs="Arial"/>
                <w:szCs w:val="18"/>
                <w:lang w:eastAsia="zh-CN"/>
              </w:rPr>
            </w:pPr>
          </w:p>
        </w:tc>
      </w:tr>
      <w:tr w:rsidR="00CB0DD7" w:rsidRPr="000A0A5F" w:rsidTr="00FF0AF8">
        <w:tc>
          <w:tcPr>
            <w:tcW w:w="1632" w:type="pct"/>
            <w:tcMar>
              <w:top w:w="0" w:type="dxa"/>
              <w:left w:w="108" w:type="dxa"/>
              <w:bottom w:w="0" w:type="dxa"/>
              <w:right w:w="108" w:type="dxa"/>
            </w:tcMar>
            <w:hideMark/>
          </w:tcPr>
          <w:p w:rsidR="00CB0DD7" w:rsidRPr="000A0A5F" w:rsidRDefault="00CB0DD7">
            <w:pPr>
              <w:pStyle w:val="TAL"/>
            </w:pPr>
            <w:r w:rsidRPr="000A0A5F">
              <w:t>SHORT_DELAY</w:t>
            </w:r>
          </w:p>
        </w:tc>
        <w:tc>
          <w:tcPr>
            <w:tcW w:w="2745" w:type="pct"/>
            <w:tcMar>
              <w:top w:w="0" w:type="dxa"/>
              <w:left w:w="108" w:type="dxa"/>
              <w:bottom w:w="0" w:type="dxa"/>
              <w:right w:w="108" w:type="dxa"/>
            </w:tcMar>
            <w:hideMark/>
          </w:tcPr>
          <w:p w:rsidR="00CB0DD7" w:rsidRPr="000A0A5F" w:rsidRDefault="00CB0DD7">
            <w:pPr>
              <w:pStyle w:val="TAL"/>
              <w:rPr>
                <w:rFonts w:cs="Arial"/>
                <w:bCs/>
                <w:color w:val="333333"/>
                <w:szCs w:val="18"/>
              </w:rPr>
            </w:pPr>
            <w:r w:rsidRPr="000A0A5F">
              <w:rPr>
                <w:rFonts w:cs="Arial"/>
                <w:bCs/>
                <w:color w:val="333333"/>
                <w:szCs w:val="18"/>
              </w:rPr>
              <w:t>This value indicates that the allowed delay is too short and PFD(s) are not stored.</w:t>
            </w:r>
          </w:p>
        </w:tc>
        <w:tc>
          <w:tcPr>
            <w:tcW w:w="623" w:type="pct"/>
          </w:tcPr>
          <w:p w:rsidR="00CB0DD7" w:rsidRPr="000A0A5F" w:rsidRDefault="00CB0DD7">
            <w:pPr>
              <w:pStyle w:val="TAL"/>
              <w:rPr>
                <w:rFonts w:cs="Arial"/>
                <w:szCs w:val="18"/>
                <w:lang w:eastAsia="zh-CN"/>
              </w:rPr>
            </w:pPr>
          </w:p>
        </w:tc>
      </w:tr>
      <w:tr w:rsidR="00CB0DD7" w:rsidRPr="000A0A5F" w:rsidTr="00FF0AF8">
        <w:tc>
          <w:tcPr>
            <w:tcW w:w="1632" w:type="pct"/>
            <w:tcMar>
              <w:top w:w="0" w:type="dxa"/>
              <w:left w:w="108" w:type="dxa"/>
              <w:bottom w:w="0" w:type="dxa"/>
              <w:right w:w="108" w:type="dxa"/>
            </w:tcMar>
          </w:tcPr>
          <w:p w:rsidR="00CB0DD7" w:rsidRPr="000A0A5F" w:rsidRDefault="00CB0DD7">
            <w:pPr>
              <w:pStyle w:val="TAL"/>
              <w:rPr>
                <w:rFonts w:cs="Arial"/>
                <w:bCs/>
                <w:color w:val="333333"/>
                <w:szCs w:val="18"/>
              </w:rPr>
            </w:pPr>
            <w:r w:rsidRPr="000A0A5F">
              <w:rPr>
                <w:rFonts w:cs="Arial"/>
                <w:bCs/>
                <w:color w:val="333333"/>
                <w:szCs w:val="18"/>
              </w:rPr>
              <w:t>APP_ID_DUPLICATED</w:t>
            </w:r>
          </w:p>
        </w:tc>
        <w:tc>
          <w:tcPr>
            <w:tcW w:w="2745" w:type="pct"/>
            <w:tcMar>
              <w:top w:w="0" w:type="dxa"/>
              <w:left w:w="108" w:type="dxa"/>
              <w:bottom w:w="0" w:type="dxa"/>
              <w:right w:w="108" w:type="dxa"/>
            </w:tcMar>
          </w:tcPr>
          <w:p w:rsidR="00CB0DD7" w:rsidRPr="000A0A5F" w:rsidRDefault="00CB0DD7">
            <w:pPr>
              <w:pStyle w:val="TAL"/>
              <w:rPr>
                <w:rFonts w:cs="Arial"/>
                <w:bCs/>
                <w:color w:val="333333"/>
                <w:szCs w:val="18"/>
              </w:rPr>
            </w:pPr>
            <w:r w:rsidRPr="000A0A5F">
              <w:rPr>
                <w:rFonts w:cs="Arial"/>
                <w:bCs/>
                <w:color w:val="333333"/>
                <w:szCs w:val="18"/>
              </w:rPr>
              <w:t>The received external application identifier(s) are already provisioned.</w:t>
            </w:r>
          </w:p>
        </w:tc>
        <w:tc>
          <w:tcPr>
            <w:tcW w:w="623" w:type="pct"/>
          </w:tcPr>
          <w:p w:rsidR="00CB0DD7" w:rsidRPr="000A0A5F" w:rsidRDefault="00CB0DD7">
            <w:pPr>
              <w:pStyle w:val="TAL"/>
              <w:rPr>
                <w:rFonts w:cs="Arial"/>
                <w:szCs w:val="18"/>
                <w:lang w:eastAsia="zh-CN"/>
              </w:rPr>
            </w:pPr>
          </w:p>
        </w:tc>
      </w:tr>
      <w:tr w:rsidR="00CB0DD7" w:rsidRPr="000A0A5F" w:rsidTr="00FF0AF8">
        <w:tc>
          <w:tcPr>
            <w:tcW w:w="1632" w:type="pct"/>
            <w:tcMar>
              <w:top w:w="0" w:type="dxa"/>
              <w:left w:w="108" w:type="dxa"/>
              <w:bottom w:w="0" w:type="dxa"/>
              <w:right w:w="108" w:type="dxa"/>
            </w:tcMar>
          </w:tcPr>
          <w:p w:rsidR="00CB0DD7" w:rsidRPr="000A0A5F" w:rsidRDefault="00CB0DD7">
            <w:pPr>
              <w:pStyle w:val="TAL"/>
              <w:rPr>
                <w:rFonts w:cs="Arial"/>
                <w:bCs/>
                <w:color w:val="333333"/>
                <w:szCs w:val="18"/>
              </w:rPr>
            </w:pPr>
            <w:r w:rsidRPr="000A0A5F">
              <w:rPr>
                <w:rFonts w:cs="Arial"/>
                <w:bCs/>
                <w:color w:val="333333"/>
                <w:szCs w:val="18"/>
              </w:rPr>
              <w:t>PARTIAL_FAILURE</w:t>
            </w:r>
          </w:p>
        </w:tc>
        <w:tc>
          <w:tcPr>
            <w:tcW w:w="2745" w:type="pct"/>
            <w:tcMar>
              <w:top w:w="0" w:type="dxa"/>
              <w:left w:w="108" w:type="dxa"/>
              <w:bottom w:w="0" w:type="dxa"/>
              <w:right w:w="108" w:type="dxa"/>
            </w:tcMar>
          </w:tcPr>
          <w:p w:rsidR="00CB0DD7" w:rsidRPr="000A0A5F" w:rsidRDefault="00CB0DD7">
            <w:pPr>
              <w:pStyle w:val="TAL"/>
              <w:rPr>
                <w:rFonts w:cs="Arial"/>
                <w:bCs/>
                <w:color w:val="333333"/>
                <w:szCs w:val="18"/>
              </w:rPr>
            </w:pPr>
            <w:r w:rsidRPr="000A0A5F">
              <w:rPr>
                <w:rFonts w:cs="Arial"/>
                <w:bCs/>
                <w:color w:val="333333"/>
                <w:szCs w:val="18"/>
              </w:rPr>
              <w:t>The PFD(s) are not provisioned to all PCEFs/TDFs/SMFs.</w:t>
            </w:r>
          </w:p>
        </w:tc>
        <w:tc>
          <w:tcPr>
            <w:tcW w:w="623" w:type="pct"/>
          </w:tcPr>
          <w:p w:rsidR="00CB0DD7" w:rsidRPr="000A0A5F" w:rsidRDefault="00CB0DD7">
            <w:pPr>
              <w:pStyle w:val="TAL"/>
              <w:rPr>
                <w:rFonts w:cs="Arial"/>
                <w:szCs w:val="18"/>
                <w:lang w:eastAsia="zh-CN"/>
              </w:rPr>
            </w:pPr>
            <w:r w:rsidRPr="000A0A5F">
              <w:rPr>
                <w:lang w:eastAsia="zh-CN"/>
              </w:rPr>
              <w:t>PfdMgmtNotification</w:t>
            </w:r>
          </w:p>
        </w:tc>
      </w:tr>
      <w:tr w:rsidR="00CB0DD7" w:rsidRPr="000A0A5F" w:rsidTr="00FF0AF8">
        <w:tc>
          <w:tcPr>
            <w:tcW w:w="1632" w:type="pct"/>
            <w:tcMar>
              <w:top w:w="0" w:type="dxa"/>
              <w:left w:w="108" w:type="dxa"/>
              <w:bottom w:w="0" w:type="dxa"/>
              <w:right w:w="108" w:type="dxa"/>
            </w:tcMar>
            <w:hideMark/>
          </w:tcPr>
          <w:p w:rsidR="00CB0DD7" w:rsidRPr="000A0A5F" w:rsidRDefault="00CB0DD7">
            <w:pPr>
              <w:pStyle w:val="TAL"/>
            </w:pPr>
            <w:r w:rsidRPr="000A0A5F">
              <w:rPr>
                <w:rFonts w:cs="Arial"/>
                <w:bCs/>
                <w:color w:val="333333"/>
                <w:szCs w:val="18"/>
              </w:rPr>
              <w:t>OTHER_REASON</w:t>
            </w:r>
          </w:p>
        </w:tc>
        <w:tc>
          <w:tcPr>
            <w:tcW w:w="2745" w:type="pct"/>
            <w:tcMar>
              <w:top w:w="0" w:type="dxa"/>
              <w:left w:w="108" w:type="dxa"/>
              <w:bottom w:w="0" w:type="dxa"/>
              <w:right w:w="108" w:type="dxa"/>
            </w:tcMar>
            <w:hideMark/>
          </w:tcPr>
          <w:p w:rsidR="00CB0DD7" w:rsidRPr="000A0A5F" w:rsidRDefault="00CB0DD7">
            <w:pPr>
              <w:pStyle w:val="TAL"/>
              <w:rPr>
                <w:rFonts w:cs="Arial"/>
                <w:bCs/>
                <w:color w:val="333333"/>
                <w:szCs w:val="18"/>
              </w:rPr>
            </w:pPr>
            <w:r w:rsidRPr="000A0A5F">
              <w:rPr>
                <w:rFonts w:cs="Arial"/>
                <w:bCs/>
                <w:color w:val="333333"/>
                <w:szCs w:val="18"/>
              </w:rPr>
              <w:t>Other reason unspecified.</w:t>
            </w:r>
          </w:p>
        </w:tc>
        <w:tc>
          <w:tcPr>
            <w:tcW w:w="623" w:type="pct"/>
          </w:tcPr>
          <w:p w:rsidR="00CB0DD7" w:rsidRPr="000A0A5F" w:rsidRDefault="00CB0DD7">
            <w:pPr>
              <w:pStyle w:val="TAL"/>
              <w:rPr>
                <w:rFonts w:cs="Arial"/>
                <w:szCs w:val="18"/>
                <w:lang w:eastAsia="zh-CN"/>
              </w:rPr>
            </w:pPr>
          </w:p>
        </w:tc>
      </w:tr>
      <w:tr w:rsidR="00CB0DD7" w:rsidRPr="000A0A5F" w:rsidTr="00FF0AF8">
        <w:tc>
          <w:tcPr>
            <w:tcW w:w="5000" w:type="pct"/>
            <w:gridSpan w:val="3"/>
            <w:tcMar>
              <w:top w:w="0" w:type="dxa"/>
              <w:left w:w="108" w:type="dxa"/>
              <w:bottom w:w="0" w:type="dxa"/>
              <w:right w:w="108" w:type="dxa"/>
            </w:tcMar>
            <w:hideMark/>
          </w:tcPr>
          <w:p w:rsidR="00CB0DD7" w:rsidRPr="000A0A5F" w:rsidRDefault="00CB0DD7">
            <w:pPr>
              <w:pStyle w:val="TAN"/>
            </w:pPr>
            <w:r w:rsidRPr="000A0A5F">
              <w:t>NOTE:</w:t>
            </w:r>
            <w:r w:rsidRPr="000A0A5F">
              <w:tab/>
              <w:t>Properties marked with a feature as defined in clause 5.11.4 are applicable as described in clause 5.2.7. If no feature are indicated, the related property applies for all the features.</w:t>
            </w:r>
          </w:p>
        </w:tc>
      </w:tr>
    </w:tbl>
    <w:p w:rsidR="00CB0DD7" w:rsidRPr="000A0A5F" w:rsidRDefault="00CB0DD7"/>
    <w:p w:rsidR="00CB0DD7" w:rsidRPr="000A0A5F" w:rsidRDefault="00CB0DD7">
      <w:pPr>
        <w:pStyle w:val="Heading5"/>
        <w:spacing w:before="180"/>
      </w:pPr>
      <w:bookmarkStart w:id="7897" w:name="_Toc11247778"/>
      <w:bookmarkStart w:id="7898" w:name="_Toc27044922"/>
      <w:bookmarkStart w:id="7899" w:name="_Toc36033964"/>
      <w:bookmarkStart w:id="7900" w:name="_Toc45132110"/>
      <w:bookmarkStart w:id="7901" w:name="_Toc49776395"/>
      <w:bookmarkStart w:id="7902" w:name="_Toc51747315"/>
      <w:bookmarkStart w:id="7903" w:name="_Toc66360888"/>
      <w:bookmarkStart w:id="7904" w:name="_Toc68105393"/>
      <w:bookmarkStart w:id="7905" w:name="_Toc74756023"/>
      <w:bookmarkStart w:id="7906" w:name="_Toc105674900"/>
      <w:bookmarkStart w:id="7907" w:name="_Toc130502964"/>
      <w:bookmarkStart w:id="7908" w:name="_Toc153625752"/>
      <w:r w:rsidRPr="000A0A5F">
        <w:t>5.11.2.2.4</w:t>
      </w:r>
      <w:r w:rsidRPr="000A0A5F">
        <w:tab/>
        <w:t xml:space="preserve">Enumeration: </w:t>
      </w:r>
      <w:r w:rsidRPr="000A0A5F">
        <w:rPr>
          <w:lang w:eastAsia="zh-CN"/>
        </w:rPr>
        <w:t>DomainNameProtocol</w:t>
      </w:r>
      <w:bookmarkEnd w:id="7897"/>
      <w:bookmarkEnd w:id="7898"/>
      <w:bookmarkEnd w:id="7899"/>
      <w:bookmarkEnd w:id="7900"/>
      <w:bookmarkEnd w:id="7901"/>
      <w:bookmarkEnd w:id="7902"/>
      <w:bookmarkEnd w:id="7903"/>
      <w:bookmarkEnd w:id="7904"/>
      <w:bookmarkEnd w:id="7905"/>
      <w:bookmarkEnd w:id="7906"/>
      <w:bookmarkEnd w:id="7907"/>
      <w:bookmarkEnd w:id="7908"/>
    </w:p>
    <w:p w:rsidR="00CB0DD7" w:rsidRPr="000A0A5F" w:rsidRDefault="00CB0DD7">
      <w:pPr>
        <w:pStyle w:val="TH"/>
      </w:pPr>
      <w:r w:rsidRPr="000A0A5F">
        <w:t>Table 5.14.2.2.4-1: Enumeration DomainNameProtocol</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334"/>
        <w:gridCol w:w="4728"/>
        <w:gridCol w:w="2695"/>
      </w:tblGrid>
      <w:tr w:rsidR="00CB0DD7" w:rsidRPr="000A0A5F" w:rsidTr="00FF0AF8">
        <w:trPr>
          <w:trHeight w:val="280"/>
        </w:trPr>
        <w:tc>
          <w:tcPr>
            <w:tcW w:w="1196" w:type="pct"/>
            <w:shd w:val="clear" w:color="auto" w:fill="C0C0C0"/>
            <w:tcMar>
              <w:top w:w="0" w:type="dxa"/>
              <w:left w:w="108" w:type="dxa"/>
              <w:bottom w:w="0" w:type="dxa"/>
              <w:right w:w="108" w:type="dxa"/>
            </w:tcMar>
          </w:tcPr>
          <w:p w:rsidR="00CB0DD7" w:rsidRPr="000A0A5F" w:rsidRDefault="00CB0DD7">
            <w:pPr>
              <w:pStyle w:val="TAH"/>
            </w:pPr>
            <w:r w:rsidRPr="000A0A5F">
              <w:t>Enumeration value</w:t>
            </w:r>
          </w:p>
        </w:tc>
        <w:tc>
          <w:tcPr>
            <w:tcW w:w="2423" w:type="pct"/>
            <w:shd w:val="clear" w:color="auto" w:fill="C0C0C0"/>
            <w:tcMar>
              <w:top w:w="0" w:type="dxa"/>
              <w:left w:w="108" w:type="dxa"/>
              <w:bottom w:w="0" w:type="dxa"/>
              <w:right w:w="108" w:type="dxa"/>
            </w:tcMar>
          </w:tcPr>
          <w:p w:rsidR="00CB0DD7" w:rsidRPr="000A0A5F" w:rsidRDefault="00CB0DD7">
            <w:pPr>
              <w:pStyle w:val="TAH"/>
            </w:pPr>
            <w:r w:rsidRPr="000A0A5F">
              <w:t>Description</w:t>
            </w:r>
          </w:p>
        </w:tc>
        <w:tc>
          <w:tcPr>
            <w:tcW w:w="1381" w:type="pct"/>
            <w:shd w:val="clear" w:color="auto" w:fill="C0C0C0"/>
          </w:tcPr>
          <w:p w:rsidR="00CB0DD7" w:rsidRPr="000A0A5F" w:rsidRDefault="00CB0DD7">
            <w:pPr>
              <w:pStyle w:val="TAH"/>
            </w:pPr>
            <w:r w:rsidRPr="000A0A5F">
              <w:rPr>
                <w:rFonts w:eastAsia="Times New Roman" w:cs="Arial"/>
                <w:szCs w:val="18"/>
              </w:rPr>
              <w:t>Applicability (NOTE)</w:t>
            </w:r>
          </w:p>
        </w:tc>
      </w:tr>
      <w:tr w:rsidR="00CB0DD7" w:rsidRPr="000A0A5F" w:rsidTr="00FF0AF8">
        <w:tc>
          <w:tcPr>
            <w:tcW w:w="1196" w:type="pct"/>
            <w:tcMar>
              <w:top w:w="0" w:type="dxa"/>
              <w:left w:w="108" w:type="dxa"/>
              <w:bottom w:w="0" w:type="dxa"/>
              <w:right w:w="108" w:type="dxa"/>
            </w:tcMar>
          </w:tcPr>
          <w:p w:rsidR="00CB0DD7" w:rsidRPr="000A0A5F" w:rsidRDefault="00CB0DD7">
            <w:pPr>
              <w:pStyle w:val="TAL"/>
            </w:pPr>
            <w:r w:rsidRPr="000A0A5F">
              <w:t>DNS_QNAME</w:t>
            </w:r>
          </w:p>
        </w:tc>
        <w:tc>
          <w:tcPr>
            <w:tcW w:w="2423" w:type="pct"/>
            <w:tcMar>
              <w:top w:w="0" w:type="dxa"/>
              <w:left w:w="108" w:type="dxa"/>
              <w:bottom w:w="0" w:type="dxa"/>
              <w:right w:w="108" w:type="dxa"/>
            </w:tcMar>
          </w:tcPr>
          <w:p w:rsidR="00CB0DD7" w:rsidRPr="000A0A5F" w:rsidRDefault="00CB0DD7">
            <w:pPr>
              <w:pStyle w:val="TAL"/>
              <w:rPr>
                <w:rFonts w:hint="eastAsia"/>
                <w:lang w:eastAsia="zh-CN"/>
              </w:rPr>
            </w:pPr>
            <w:r w:rsidRPr="000A0A5F">
              <w:rPr>
                <w:rFonts w:hint="eastAsia"/>
                <w:lang w:eastAsia="zh-CN"/>
              </w:rPr>
              <w:t xml:space="preserve">Identifies the </w:t>
            </w:r>
            <w:r w:rsidRPr="000A0A5F">
              <w:rPr>
                <w:lang w:eastAsia="zh-CN"/>
              </w:rPr>
              <w:t>DNS protocol and the question name in DNS query.</w:t>
            </w:r>
          </w:p>
        </w:tc>
        <w:tc>
          <w:tcPr>
            <w:tcW w:w="1381" w:type="pct"/>
          </w:tcPr>
          <w:p w:rsidR="00CB0DD7" w:rsidRPr="000A0A5F" w:rsidRDefault="00CB0DD7">
            <w:pPr>
              <w:pStyle w:val="TAL"/>
              <w:rPr>
                <w:rFonts w:cs="Arial"/>
                <w:szCs w:val="18"/>
                <w:lang w:eastAsia="zh-CN"/>
              </w:rPr>
            </w:pPr>
          </w:p>
        </w:tc>
      </w:tr>
      <w:tr w:rsidR="00CB0DD7" w:rsidRPr="000A0A5F" w:rsidTr="00FF0AF8">
        <w:tc>
          <w:tcPr>
            <w:tcW w:w="1196" w:type="pct"/>
            <w:tcMar>
              <w:top w:w="0" w:type="dxa"/>
              <w:left w:w="108" w:type="dxa"/>
              <w:bottom w:w="0" w:type="dxa"/>
              <w:right w:w="108" w:type="dxa"/>
            </w:tcMar>
          </w:tcPr>
          <w:p w:rsidR="00CB0DD7" w:rsidRPr="000A0A5F" w:rsidRDefault="00CB0DD7">
            <w:pPr>
              <w:pStyle w:val="TAL"/>
              <w:rPr>
                <w:rFonts w:hint="eastAsia"/>
                <w:lang w:eastAsia="zh-CN"/>
              </w:rPr>
            </w:pPr>
            <w:r w:rsidRPr="000A0A5F">
              <w:rPr>
                <w:lang w:eastAsia="zh-CN"/>
              </w:rPr>
              <w:t>TLS_SNI</w:t>
            </w:r>
          </w:p>
        </w:tc>
        <w:tc>
          <w:tcPr>
            <w:tcW w:w="2423" w:type="pct"/>
            <w:tcMar>
              <w:top w:w="0" w:type="dxa"/>
              <w:left w:w="108" w:type="dxa"/>
              <w:bottom w:w="0" w:type="dxa"/>
              <w:right w:w="108" w:type="dxa"/>
            </w:tcMar>
          </w:tcPr>
          <w:p w:rsidR="00CB0DD7" w:rsidRPr="000A0A5F" w:rsidRDefault="00CB0DD7">
            <w:pPr>
              <w:pStyle w:val="TAL"/>
            </w:pPr>
            <w:r w:rsidRPr="000A0A5F">
              <w:rPr>
                <w:rFonts w:hint="eastAsia"/>
                <w:lang w:eastAsia="zh-CN"/>
              </w:rPr>
              <w:t xml:space="preserve">Identifies the </w:t>
            </w:r>
            <w:r w:rsidRPr="000A0A5F">
              <w:rPr>
                <w:lang w:eastAsia="zh-CN"/>
              </w:rPr>
              <w:t>Server Name Indication in TLS ClientHello message.</w:t>
            </w:r>
          </w:p>
        </w:tc>
        <w:tc>
          <w:tcPr>
            <w:tcW w:w="1381" w:type="pct"/>
          </w:tcPr>
          <w:p w:rsidR="00CB0DD7" w:rsidRPr="000A0A5F" w:rsidRDefault="00CB0DD7">
            <w:pPr>
              <w:pStyle w:val="TAL"/>
              <w:rPr>
                <w:rFonts w:cs="Arial"/>
                <w:szCs w:val="18"/>
                <w:lang w:eastAsia="zh-CN"/>
              </w:rPr>
            </w:pPr>
          </w:p>
        </w:tc>
      </w:tr>
      <w:tr w:rsidR="00CB0DD7" w:rsidRPr="000A0A5F" w:rsidTr="00FF0AF8">
        <w:tc>
          <w:tcPr>
            <w:tcW w:w="1196" w:type="pct"/>
            <w:tcMar>
              <w:top w:w="0" w:type="dxa"/>
              <w:left w:w="108" w:type="dxa"/>
              <w:bottom w:w="0" w:type="dxa"/>
              <w:right w:w="108" w:type="dxa"/>
            </w:tcMar>
          </w:tcPr>
          <w:p w:rsidR="00CB0DD7" w:rsidRPr="000A0A5F" w:rsidRDefault="00CB0DD7">
            <w:pPr>
              <w:pStyle w:val="TAL"/>
              <w:rPr>
                <w:lang w:eastAsia="zh-CN"/>
              </w:rPr>
            </w:pPr>
            <w:r w:rsidRPr="000A0A5F">
              <w:rPr>
                <w:lang w:eastAsia="zh-CN"/>
              </w:rPr>
              <w:t>TLS_SAN</w:t>
            </w:r>
          </w:p>
        </w:tc>
        <w:tc>
          <w:tcPr>
            <w:tcW w:w="2423" w:type="pct"/>
            <w:tcMar>
              <w:top w:w="0" w:type="dxa"/>
              <w:left w:w="108" w:type="dxa"/>
              <w:bottom w:w="0" w:type="dxa"/>
              <w:right w:w="108" w:type="dxa"/>
            </w:tcMar>
          </w:tcPr>
          <w:p w:rsidR="00CB0DD7" w:rsidRPr="000A0A5F" w:rsidRDefault="00CB0DD7">
            <w:pPr>
              <w:pStyle w:val="TAL"/>
              <w:rPr>
                <w:rFonts w:hint="eastAsia"/>
                <w:lang w:eastAsia="zh-CN"/>
              </w:rPr>
            </w:pPr>
            <w:r w:rsidRPr="000A0A5F">
              <w:rPr>
                <w:lang w:eastAsia="zh-CN"/>
              </w:rPr>
              <w:t>Identifies the Subject Alternative Name in TLS ServerCertificate message.</w:t>
            </w:r>
          </w:p>
        </w:tc>
        <w:tc>
          <w:tcPr>
            <w:tcW w:w="1381" w:type="pct"/>
          </w:tcPr>
          <w:p w:rsidR="00CB0DD7" w:rsidRPr="000A0A5F" w:rsidRDefault="00CB0DD7">
            <w:pPr>
              <w:pStyle w:val="TAL"/>
              <w:rPr>
                <w:rFonts w:cs="Arial"/>
                <w:szCs w:val="18"/>
                <w:lang w:eastAsia="zh-CN"/>
              </w:rPr>
            </w:pPr>
          </w:p>
        </w:tc>
      </w:tr>
      <w:tr w:rsidR="00CB0DD7" w:rsidRPr="000A0A5F" w:rsidTr="00FF0AF8">
        <w:tc>
          <w:tcPr>
            <w:tcW w:w="1196" w:type="pct"/>
            <w:tcMar>
              <w:top w:w="0" w:type="dxa"/>
              <w:left w:w="108" w:type="dxa"/>
              <w:bottom w:w="0" w:type="dxa"/>
              <w:right w:w="108" w:type="dxa"/>
            </w:tcMar>
          </w:tcPr>
          <w:p w:rsidR="00CB0DD7" w:rsidRPr="000A0A5F" w:rsidRDefault="00CB0DD7">
            <w:pPr>
              <w:pStyle w:val="TAL"/>
              <w:rPr>
                <w:lang w:eastAsia="zh-CN"/>
              </w:rPr>
            </w:pPr>
            <w:r w:rsidRPr="000A0A5F">
              <w:rPr>
                <w:lang w:eastAsia="zh-CN"/>
              </w:rPr>
              <w:t>TS</w:t>
            </w:r>
            <w:r w:rsidR="000838E7" w:rsidRPr="000A0A5F">
              <w:rPr>
                <w:lang w:eastAsia="zh-CN"/>
              </w:rPr>
              <w:t>L</w:t>
            </w:r>
            <w:r w:rsidRPr="000A0A5F">
              <w:rPr>
                <w:lang w:eastAsia="zh-CN"/>
              </w:rPr>
              <w:t>_SCN</w:t>
            </w:r>
          </w:p>
        </w:tc>
        <w:tc>
          <w:tcPr>
            <w:tcW w:w="2423" w:type="pct"/>
            <w:tcMar>
              <w:top w:w="0" w:type="dxa"/>
              <w:left w:w="108" w:type="dxa"/>
              <w:bottom w:w="0" w:type="dxa"/>
              <w:right w:w="108" w:type="dxa"/>
            </w:tcMar>
          </w:tcPr>
          <w:p w:rsidR="00CB0DD7" w:rsidRPr="000A0A5F" w:rsidRDefault="00CB0DD7">
            <w:pPr>
              <w:pStyle w:val="TAL"/>
              <w:rPr>
                <w:rFonts w:hint="eastAsia"/>
                <w:lang w:eastAsia="zh-CN"/>
              </w:rPr>
            </w:pPr>
            <w:r w:rsidRPr="000A0A5F">
              <w:rPr>
                <w:lang w:eastAsia="zh-CN"/>
              </w:rPr>
              <w:t>Identifies the Subject Common Name in TLS ServerCertificate message.</w:t>
            </w:r>
            <w:r w:rsidR="000838E7" w:rsidRPr="000A0A5F">
              <w:t xml:space="preserve"> (NOTE 2)</w:t>
            </w:r>
          </w:p>
        </w:tc>
        <w:tc>
          <w:tcPr>
            <w:tcW w:w="1381" w:type="pct"/>
          </w:tcPr>
          <w:p w:rsidR="00CB0DD7" w:rsidRPr="000A0A5F" w:rsidRDefault="00CB0DD7">
            <w:pPr>
              <w:pStyle w:val="TAL"/>
              <w:rPr>
                <w:rFonts w:cs="Arial"/>
                <w:szCs w:val="18"/>
                <w:lang w:eastAsia="zh-CN"/>
              </w:rPr>
            </w:pPr>
          </w:p>
        </w:tc>
      </w:tr>
      <w:tr w:rsidR="00CB0DD7" w:rsidRPr="000A0A5F" w:rsidTr="00FF0AF8">
        <w:trPr>
          <w:trHeight w:val="440"/>
        </w:trPr>
        <w:tc>
          <w:tcPr>
            <w:tcW w:w="5000" w:type="pct"/>
            <w:gridSpan w:val="3"/>
            <w:tcMar>
              <w:top w:w="0" w:type="dxa"/>
              <w:left w:w="108" w:type="dxa"/>
              <w:bottom w:w="0" w:type="dxa"/>
              <w:right w:w="108" w:type="dxa"/>
            </w:tcMar>
          </w:tcPr>
          <w:p w:rsidR="00CB0DD7" w:rsidRPr="000A0A5F" w:rsidRDefault="00CB0DD7">
            <w:pPr>
              <w:pStyle w:val="TAN"/>
            </w:pPr>
            <w:r w:rsidRPr="000A0A5F">
              <w:t>NOTE</w:t>
            </w:r>
            <w:r w:rsidR="000838E7" w:rsidRPr="000A0A5F">
              <w:t> 1</w:t>
            </w:r>
            <w:r w:rsidRPr="000A0A5F">
              <w:t>:</w:t>
            </w:r>
            <w:r w:rsidRPr="000A0A5F">
              <w:tab/>
              <w:t>Properties marked with a feature as defined in clause 5.10.4 are applicable as described in clause 5.2.7. If no features are indicated, the related property applies for all the features.</w:t>
            </w:r>
          </w:p>
          <w:p w:rsidR="000838E7" w:rsidRPr="000A0A5F" w:rsidRDefault="000838E7">
            <w:pPr>
              <w:pStyle w:val="TAN"/>
            </w:pPr>
            <w:r w:rsidRPr="000A0A5F">
              <w:t>NOTE 2:</w:t>
            </w:r>
            <w:r w:rsidRPr="000A0A5F">
              <w:tab/>
              <w:t>The enumeration value “TSL_SCN” refers to “TLS_SCN” value in domain name protocol. This enumeration value is however kept as currently defined in this specification for backward compatibility considerations.</w:t>
            </w:r>
          </w:p>
        </w:tc>
      </w:tr>
    </w:tbl>
    <w:p w:rsidR="00CB0DD7" w:rsidRPr="000A0A5F" w:rsidRDefault="00CB0DD7"/>
    <w:p w:rsidR="00CB0DD7" w:rsidRPr="000A0A5F" w:rsidRDefault="00CB0DD7">
      <w:pPr>
        <w:pStyle w:val="Heading3"/>
      </w:pPr>
      <w:bookmarkStart w:id="7909" w:name="_Toc11247779"/>
      <w:bookmarkStart w:id="7910" w:name="_Toc27044923"/>
      <w:bookmarkStart w:id="7911" w:name="_Toc36033965"/>
      <w:bookmarkStart w:id="7912" w:name="_Toc45132111"/>
      <w:bookmarkStart w:id="7913" w:name="_Toc49776396"/>
      <w:bookmarkStart w:id="7914" w:name="_Toc51747316"/>
      <w:bookmarkStart w:id="7915" w:name="_Toc66360889"/>
      <w:bookmarkStart w:id="7916" w:name="_Toc68105394"/>
      <w:bookmarkStart w:id="7917" w:name="_Toc74756024"/>
      <w:bookmarkStart w:id="7918" w:name="_Toc105674901"/>
      <w:bookmarkStart w:id="7919" w:name="_Toc130502965"/>
      <w:bookmarkStart w:id="7920" w:name="_Toc153625753"/>
      <w:r w:rsidRPr="000A0A5F">
        <w:t>5.11.3</w:t>
      </w:r>
      <w:r w:rsidRPr="000A0A5F">
        <w:tab/>
        <w:t>Resource structure</w:t>
      </w:r>
      <w:bookmarkEnd w:id="7909"/>
      <w:bookmarkEnd w:id="7910"/>
      <w:bookmarkEnd w:id="7911"/>
      <w:bookmarkEnd w:id="7912"/>
      <w:bookmarkEnd w:id="7913"/>
      <w:bookmarkEnd w:id="7914"/>
      <w:bookmarkEnd w:id="7915"/>
      <w:bookmarkEnd w:id="7916"/>
      <w:bookmarkEnd w:id="7917"/>
      <w:bookmarkEnd w:id="7918"/>
      <w:bookmarkEnd w:id="7919"/>
      <w:bookmarkEnd w:id="7920"/>
    </w:p>
    <w:p w:rsidR="00CB0DD7" w:rsidRPr="000A0A5F" w:rsidRDefault="00CB0DD7">
      <w:pPr>
        <w:pStyle w:val="Heading4"/>
      </w:pPr>
      <w:bookmarkStart w:id="7921" w:name="_Toc11247780"/>
      <w:bookmarkStart w:id="7922" w:name="_Toc27044924"/>
      <w:bookmarkStart w:id="7923" w:name="_Toc36033966"/>
      <w:bookmarkStart w:id="7924" w:name="_Toc45132112"/>
      <w:bookmarkStart w:id="7925" w:name="_Toc49776397"/>
      <w:bookmarkStart w:id="7926" w:name="_Toc51747317"/>
      <w:bookmarkStart w:id="7927" w:name="_Toc66360890"/>
      <w:bookmarkStart w:id="7928" w:name="_Toc68105395"/>
      <w:bookmarkStart w:id="7929" w:name="_Toc74756025"/>
      <w:bookmarkStart w:id="7930" w:name="_Toc105674902"/>
      <w:bookmarkStart w:id="7931" w:name="_Toc130502966"/>
      <w:bookmarkStart w:id="7932" w:name="_Toc153625754"/>
      <w:r w:rsidRPr="000A0A5F">
        <w:t>5.11.3.1</w:t>
      </w:r>
      <w:r w:rsidRPr="000A0A5F">
        <w:tab/>
        <w:t>General</w:t>
      </w:r>
      <w:bookmarkEnd w:id="7921"/>
      <w:bookmarkEnd w:id="7922"/>
      <w:bookmarkEnd w:id="7923"/>
      <w:bookmarkEnd w:id="7924"/>
      <w:bookmarkEnd w:id="7925"/>
      <w:bookmarkEnd w:id="7926"/>
      <w:bookmarkEnd w:id="7927"/>
      <w:bookmarkEnd w:id="7928"/>
      <w:bookmarkEnd w:id="7929"/>
      <w:bookmarkEnd w:id="7930"/>
      <w:bookmarkEnd w:id="7931"/>
      <w:bookmarkEnd w:id="7932"/>
    </w:p>
    <w:p w:rsidR="00CB0DD7" w:rsidRPr="000A0A5F" w:rsidRDefault="00CB0DD7">
      <w:r w:rsidRPr="000A0A5F">
        <w:t>All resource URIs of this API should have the following root:</w:t>
      </w:r>
    </w:p>
    <w:p w:rsidR="00CB0DD7" w:rsidRPr="000A0A5F" w:rsidRDefault="00CB0DD7">
      <w:pPr>
        <w:pStyle w:val="B1"/>
        <w:numPr>
          <w:ilvl w:val="0"/>
          <w:numId w:val="0"/>
        </w:numPr>
        <w:ind w:left="737"/>
        <w:rPr>
          <w:b/>
        </w:rPr>
      </w:pPr>
      <w:r w:rsidRPr="000A0A5F">
        <w:rPr>
          <w:b/>
        </w:rPr>
        <w:t>{apiRoot}/3gpp-pfd-management/v1</w:t>
      </w:r>
    </w:p>
    <w:p w:rsidR="00CB0DD7" w:rsidRPr="000A0A5F" w:rsidRDefault="00CB0DD7">
      <w:r w:rsidRPr="000A0A5F">
        <w:t>"apiRoot" is set as described in clause</w:t>
      </w:r>
      <w:r w:rsidRPr="000A0A5F">
        <w:rPr>
          <w:rFonts w:ascii="Segoe UI Symbol" w:hAnsi="Segoe UI Symbol"/>
        </w:rPr>
        <w:t> </w:t>
      </w:r>
      <w:r w:rsidRPr="000A0A5F">
        <w:t>5.2.4. "apiName" shall be set to "3gpp-pf</w:t>
      </w:r>
      <w:r w:rsidRPr="000A0A5F">
        <w:rPr>
          <w:rFonts w:hint="eastAsia"/>
        </w:rPr>
        <w:t>d</w:t>
      </w:r>
      <w:r w:rsidRPr="000A0A5F">
        <w:t>-management" and "apiVersion" shall be set to "v1" for the version defined in the present document. All resource URIs in the clauses below are defined relative to the above root URI.</w:t>
      </w:r>
    </w:p>
    <w:p w:rsidR="00CB0DD7" w:rsidRPr="000A0A5F" w:rsidRDefault="00CB0DD7">
      <w:r w:rsidRPr="000A0A5F">
        <w:t>The following resources and HTTP methods are supported for this API:</w:t>
      </w:r>
    </w:p>
    <w:p w:rsidR="00CB0DD7" w:rsidRPr="000A0A5F" w:rsidRDefault="00CB0DD7">
      <w:pPr>
        <w:pStyle w:val="TH"/>
      </w:pPr>
      <w:r w:rsidRPr="000A0A5F">
        <w:t>Table 5.11.3.1-1: Resources and methods overview</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1E0" w:firstRow="1" w:lastRow="1" w:firstColumn="1" w:lastColumn="1" w:noHBand="0" w:noVBand="0"/>
      </w:tblPr>
      <w:tblGrid>
        <w:gridCol w:w="1344"/>
        <w:gridCol w:w="4963"/>
        <w:gridCol w:w="991"/>
        <w:gridCol w:w="2479"/>
      </w:tblGrid>
      <w:tr w:rsidR="00CB0DD7" w:rsidRPr="000A0A5F" w:rsidTr="00FF0AF8">
        <w:trPr>
          <w:trHeight w:val="446"/>
          <w:jc w:val="center"/>
        </w:trPr>
        <w:tc>
          <w:tcPr>
            <w:tcW w:w="687" w:type="pct"/>
            <w:shd w:val="clear" w:color="auto" w:fill="CCCCCC"/>
            <w:vAlign w:val="center"/>
            <w:hideMark/>
          </w:tcPr>
          <w:p w:rsidR="00CB0DD7" w:rsidRPr="000A0A5F" w:rsidRDefault="00CB0DD7">
            <w:pPr>
              <w:pStyle w:val="TAH"/>
              <w:spacing w:line="276" w:lineRule="auto"/>
            </w:pPr>
            <w:r w:rsidRPr="000A0A5F">
              <w:t>Resource name</w:t>
            </w:r>
          </w:p>
        </w:tc>
        <w:tc>
          <w:tcPr>
            <w:tcW w:w="2538" w:type="pct"/>
            <w:shd w:val="clear" w:color="auto" w:fill="CCCCCC"/>
            <w:vAlign w:val="center"/>
            <w:hideMark/>
          </w:tcPr>
          <w:p w:rsidR="00CB0DD7" w:rsidRPr="000A0A5F" w:rsidRDefault="00CB0DD7">
            <w:pPr>
              <w:pStyle w:val="TAH"/>
              <w:spacing w:line="276" w:lineRule="auto"/>
            </w:pPr>
            <w:r w:rsidRPr="000A0A5F">
              <w:t>Resource URI</w:t>
            </w:r>
          </w:p>
        </w:tc>
        <w:tc>
          <w:tcPr>
            <w:tcW w:w="507" w:type="pct"/>
            <w:shd w:val="clear" w:color="auto" w:fill="CCCCCC"/>
            <w:vAlign w:val="center"/>
            <w:hideMark/>
          </w:tcPr>
          <w:p w:rsidR="00CB0DD7" w:rsidRPr="000A0A5F" w:rsidRDefault="00CB0DD7">
            <w:pPr>
              <w:pStyle w:val="TAH"/>
              <w:spacing w:line="276" w:lineRule="auto"/>
            </w:pPr>
            <w:r w:rsidRPr="000A0A5F">
              <w:t>HTTP method</w:t>
            </w:r>
          </w:p>
        </w:tc>
        <w:tc>
          <w:tcPr>
            <w:tcW w:w="1268" w:type="pct"/>
            <w:shd w:val="clear" w:color="auto" w:fill="CCCCCC"/>
            <w:vAlign w:val="center"/>
            <w:hideMark/>
          </w:tcPr>
          <w:p w:rsidR="00CB0DD7" w:rsidRPr="000A0A5F" w:rsidRDefault="00CB0DD7">
            <w:pPr>
              <w:pStyle w:val="TAH"/>
              <w:spacing w:line="276" w:lineRule="auto"/>
            </w:pPr>
            <w:r w:rsidRPr="000A0A5F">
              <w:t>Meaning</w:t>
            </w:r>
          </w:p>
        </w:tc>
      </w:tr>
      <w:tr w:rsidR="00CB0DD7" w:rsidRPr="000A0A5F" w:rsidTr="00FF0AF8">
        <w:trPr>
          <w:jc w:val="center"/>
        </w:trPr>
        <w:tc>
          <w:tcPr>
            <w:tcW w:w="687" w:type="pct"/>
            <w:vMerge w:val="restart"/>
            <w:hideMark/>
          </w:tcPr>
          <w:p w:rsidR="00CB0DD7" w:rsidRPr="000A0A5F" w:rsidRDefault="00CB0DD7">
            <w:pPr>
              <w:pStyle w:val="TAL"/>
              <w:rPr>
                <w:rFonts w:hint="eastAsia"/>
                <w:lang w:eastAsia="zh-CN"/>
              </w:rPr>
            </w:pPr>
            <w:r w:rsidRPr="000A0A5F">
              <w:rPr>
                <w:rFonts w:hint="eastAsia"/>
                <w:lang w:eastAsia="zh-CN"/>
              </w:rPr>
              <w:t xml:space="preserve">PFD Management </w:t>
            </w:r>
            <w:r w:rsidRPr="000A0A5F">
              <w:t>Transactions</w:t>
            </w:r>
          </w:p>
        </w:tc>
        <w:tc>
          <w:tcPr>
            <w:tcW w:w="2538" w:type="pct"/>
            <w:vMerge w:val="restart"/>
            <w:hideMark/>
          </w:tcPr>
          <w:p w:rsidR="00CB0DD7" w:rsidRPr="000A0A5F" w:rsidRDefault="00CB0DD7">
            <w:pPr>
              <w:pStyle w:val="TAL"/>
              <w:rPr>
                <w:lang w:val="fr-FR"/>
              </w:rPr>
            </w:pPr>
            <w:r w:rsidRPr="000A0A5F">
              <w:rPr>
                <w:lang w:val="fr-FR"/>
              </w:rPr>
              <w:t>/{scsAsId}/transactions</w:t>
            </w:r>
          </w:p>
        </w:tc>
        <w:tc>
          <w:tcPr>
            <w:tcW w:w="507" w:type="pct"/>
          </w:tcPr>
          <w:p w:rsidR="00CB0DD7" w:rsidRPr="000A0A5F" w:rsidRDefault="00CB0DD7">
            <w:pPr>
              <w:pStyle w:val="TAL"/>
              <w:rPr>
                <w:rFonts w:hint="eastAsia"/>
                <w:lang w:eastAsia="zh-CN"/>
              </w:rPr>
            </w:pPr>
            <w:r w:rsidRPr="000A0A5F">
              <w:t>GET</w:t>
            </w:r>
          </w:p>
        </w:tc>
        <w:tc>
          <w:tcPr>
            <w:tcW w:w="1268" w:type="pct"/>
          </w:tcPr>
          <w:p w:rsidR="00CB0DD7" w:rsidRPr="000A0A5F" w:rsidRDefault="00CB0DD7">
            <w:pPr>
              <w:pStyle w:val="TAL"/>
            </w:pPr>
            <w:r w:rsidRPr="000A0A5F">
              <w:t xml:space="preserve">Read all </w:t>
            </w:r>
            <w:r w:rsidR="00D85C5A" w:rsidRPr="000A0A5F">
              <w:t xml:space="preserve">or queried </w:t>
            </w:r>
            <w:r w:rsidRPr="000A0A5F">
              <w:t>PFDs for a given SCS/AS</w:t>
            </w:r>
          </w:p>
        </w:tc>
      </w:tr>
      <w:tr w:rsidR="00CB0DD7" w:rsidRPr="000A0A5F" w:rsidTr="00FF0AF8">
        <w:trPr>
          <w:jc w:val="center"/>
        </w:trPr>
        <w:tc>
          <w:tcPr>
            <w:tcW w:w="687" w:type="pct"/>
            <w:vMerge/>
          </w:tcPr>
          <w:p w:rsidR="00CB0DD7" w:rsidRPr="000A0A5F" w:rsidRDefault="00CB0DD7">
            <w:pPr>
              <w:pStyle w:val="TAL"/>
            </w:pPr>
          </w:p>
        </w:tc>
        <w:tc>
          <w:tcPr>
            <w:tcW w:w="2538" w:type="pct"/>
            <w:vMerge/>
          </w:tcPr>
          <w:p w:rsidR="00CB0DD7" w:rsidRPr="000A0A5F" w:rsidRDefault="00CB0DD7">
            <w:pPr>
              <w:pStyle w:val="TAL"/>
            </w:pPr>
          </w:p>
        </w:tc>
        <w:tc>
          <w:tcPr>
            <w:tcW w:w="507" w:type="pct"/>
          </w:tcPr>
          <w:p w:rsidR="00CB0DD7" w:rsidRPr="000A0A5F" w:rsidRDefault="00CB0DD7">
            <w:pPr>
              <w:pStyle w:val="TAL"/>
              <w:rPr>
                <w:rFonts w:hint="eastAsia"/>
                <w:lang w:eastAsia="zh-CN"/>
              </w:rPr>
            </w:pPr>
            <w:r w:rsidRPr="000A0A5F">
              <w:rPr>
                <w:rFonts w:hint="eastAsia"/>
                <w:lang w:eastAsia="zh-CN"/>
              </w:rPr>
              <w:t>P</w:t>
            </w:r>
            <w:r w:rsidRPr="000A0A5F">
              <w:rPr>
                <w:lang w:eastAsia="zh-CN"/>
              </w:rPr>
              <w:t>OST</w:t>
            </w:r>
          </w:p>
        </w:tc>
        <w:tc>
          <w:tcPr>
            <w:tcW w:w="1268" w:type="pct"/>
          </w:tcPr>
          <w:p w:rsidR="00CB0DD7" w:rsidRPr="000A0A5F" w:rsidRDefault="00CB0DD7">
            <w:pPr>
              <w:pStyle w:val="TAL"/>
            </w:pPr>
            <w:r w:rsidRPr="000A0A5F">
              <w:t xml:space="preserve">Create PFDs </w:t>
            </w:r>
            <w:r w:rsidRPr="000A0A5F">
              <w:rPr>
                <w:noProof/>
                <w:lang w:eastAsia="zh-CN"/>
              </w:rPr>
              <w:t>for a given SCS/AS and one or more external Application Identifier(s)</w:t>
            </w:r>
          </w:p>
        </w:tc>
      </w:tr>
      <w:tr w:rsidR="00CB0DD7" w:rsidRPr="000A0A5F" w:rsidTr="00FF0AF8">
        <w:trPr>
          <w:jc w:val="center"/>
        </w:trPr>
        <w:tc>
          <w:tcPr>
            <w:tcW w:w="687" w:type="pct"/>
            <w:vMerge w:val="restart"/>
          </w:tcPr>
          <w:p w:rsidR="00CB0DD7" w:rsidRPr="000A0A5F" w:rsidRDefault="00CB0DD7">
            <w:pPr>
              <w:pStyle w:val="TAL"/>
            </w:pPr>
            <w:r w:rsidRPr="000A0A5F">
              <w:rPr>
                <w:lang w:eastAsia="zh-CN"/>
              </w:rPr>
              <w:t xml:space="preserve">Individual </w:t>
            </w:r>
            <w:r w:rsidRPr="000A0A5F">
              <w:rPr>
                <w:rFonts w:hint="eastAsia"/>
                <w:lang w:eastAsia="zh-CN"/>
              </w:rPr>
              <w:t xml:space="preserve">PFD Management </w:t>
            </w:r>
            <w:r w:rsidRPr="000A0A5F">
              <w:t>Transaction</w:t>
            </w:r>
          </w:p>
        </w:tc>
        <w:tc>
          <w:tcPr>
            <w:tcW w:w="2538" w:type="pct"/>
            <w:vMerge w:val="restart"/>
          </w:tcPr>
          <w:p w:rsidR="00CB0DD7" w:rsidRPr="000A0A5F" w:rsidRDefault="00CB0DD7">
            <w:pPr>
              <w:pStyle w:val="TAL"/>
            </w:pPr>
            <w:r w:rsidRPr="000A0A5F">
              <w:t>/{scsAsId}/transactions/{transactionId}</w:t>
            </w:r>
          </w:p>
        </w:tc>
        <w:tc>
          <w:tcPr>
            <w:tcW w:w="507" w:type="pct"/>
          </w:tcPr>
          <w:p w:rsidR="00CB0DD7" w:rsidRPr="000A0A5F" w:rsidRDefault="00CB0DD7">
            <w:pPr>
              <w:pStyle w:val="TAL"/>
              <w:rPr>
                <w:rFonts w:hint="eastAsia"/>
                <w:lang w:eastAsia="zh-CN"/>
              </w:rPr>
            </w:pPr>
            <w:r w:rsidRPr="000A0A5F">
              <w:rPr>
                <w:rFonts w:hint="eastAsia"/>
                <w:lang w:eastAsia="zh-CN"/>
              </w:rPr>
              <w:t>GET</w:t>
            </w:r>
          </w:p>
        </w:tc>
        <w:tc>
          <w:tcPr>
            <w:tcW w:w="1268" w:type="pct"/>
          </w:tcPr>
          <w:p w:rsidR="00CB0DD7" w:rsidRPr="000A0A5F" w:rsidRDefault="00CB0DD7">
            <w:pPr>
              <w:pStyle w:val="TAL"/>
            </w:pPr>
            <w:r w:rsidRPr="000A0A5F">
              <w:t xml:space="preserve">Read all PFDs for a given SCS/AS and a transaction </w:t>
            </w:r>
            <w:r w:rsidRPr="000A0A5F">
              <w:rPr>
                <w:noProof/>
                <w:lang w:eastAsia="zh-CN"/>
              </w:rPr>
              <w:t>for one or more external Application Identifier(s)</w:t>
            </w:r>
          </w:p>
        </w:tc>
      </w:tr>
      <w:tr w:rsidR="00CB0DD7" w:rsidRPr="000A0A5F" w:rsidTr="00FF0AF8">
        <w:trPr>
          <w:jc w:val="center"/>
        </w:trPr>
        <w:tc>
          <w:tcPr>
            <w:tcW w:w="687" w:type="pct"/>
            <w:vMerge/>
          </w:tcPr>
          <w:p w:rsidR="00CB0DD7" w:rsidRPr="000A0A5F" w:rsidRDefault="00CB0DD7">
            <w:pPr>
              <w:pStyle w:val="TAL"/>
            </w:pPr>
          </w:p>
        </w:tc>
        <w:tc>
          <w:tcPr>
            <w:tcW w:w="2538" w:type="pct"/>
            <w:vMerge/>
          </w:tcPr>
          <w:p w:rsidR="00CB0DD7" w:rsidRPr="000A0A5F" w:rsidRDefault="00CB0DD7">
            <w:pPr>
              <w:pStyle w:val="TAL"/>
            </w:pPr>
          </w:p>
        </w:tc>
        <w:tc>
          <w:tcPr>
            <w:tcW w:w="507" w:type="pct"/>
          </w:tcPr>
          <w:p w:rsidR="00CB0DD7" w:rsidRPr="000A0A5F" w:rsidRDefault="00CB0DD7">
            <w:pPr>
              <w:pStyle w:val="TAL"/>
              <w:rPr>
                <w:rFonts w:hint="eastAsia"/>
                <w:lang w:eastAsia="zh-CN"/>
              </w:rPr>
            </w:pPr>
            <w:r w:rsidRPr="000A0A5F">
              <w:rPr>
                <w:rFonts w:hint="eastAsia"/>
                <w:lang w:eastAsia="zh-CN"/>
              </w:rPr>
              <w:t>PUT</w:t>
            </w:r>
          </w:p>
        </w:tc>
        <w:tc>
          <w:tcPr>
            <w:tcW w:w="1268" w:type="pct"/>
          </w:tcPr>
          <w:p w:rsidR="00CB0DD7" w:rsidRPr="000A0A5F" w:rsidRDefault="00CB0DD7">
            <w:pPr>
              <w:pStyle w:val="TAL"/>
            </w:pPr>
            <w:r w:rsidRPr="000A0A5F">
              <w:t>Update PFD</w:t>
            </w:r>
            <w:r w:rsidR="00491D21" w:rsidRPr="000A0A5F">
              <w:t>(</w:t>
            </w:r>
            <w:r w:rsidRPr="000A0A5F">
              <w:t>s</w:t>
            </w:r>
            <w:r w:rsidR="00491D21" w:rsidRPr="000A0A5F">
              <w:t>)</w:t>
            </w:r>
            <w:r w:rsidRPr="000A0A5F">
              <w:t xml:space="preserve"> </w:t>
            </w:r>
            <w:r w:rsidRPr="000A0A5F">
              <w:rPr>
                <w:noProof/>
                <w:lang w:eastAsia="zh-CN"/>
              </w:rPr>
              <w:t>for a given SCS/AS and a transaction for one or more external Application Identifier(s)</w:t>
            </w:r>
          </w:p>
        </w:tc>
      </w:tr>
      <w:tr w:rsidR="00491D21" w:rsidRPr="000A0A5F" w:rsidTr="00FF0AF8">
        <w:trPr>
          <w:jc w:val="center"/>
        </w:trPr>
        <w:tc>
          <w:tcPr>
            <w:tcW w:w="687" w:type="pct"/>
            <w:vMerge/>
          </w:tcPr>
          <w:p w:rsidR="00491D21" w:rsidRPr="000A0A5F" w:rsidRDefault="00491D21" w:rsidP="00491D21">
            <w:pPr>
              <w:pStyle w:val="TAL"/>
            </w:pPr>
          </w:p>
        </w:tc>
        <w:tc>
          <w:tcPr>
            <w:tcW w:w="2538" w:type="pct"/>
            <w:vMerge/>
          </w:tcPr>
          <w:p w:rsidR="00491D21" w:rsidRPr="000A0A5F" w:rsidRDefault="00491D21" w:rsidP="00491D21">
            <w:pPr>
              <w:pStyle w:val="TAL"/>
            </w:pPr>
          </w:p>
        </w:tc>
        <w:tc>
          <w:tcPr>
            <w:tcW w:w="507" w:type="pct"/>
          </w:tcPr>
          <w:p w:rsidR="00491D21" w:rsidRPr="000A0A5F" w:rsidRDefault="00491D21" w:rsidP="00491D21">
            <w:pPr>
              <w:pStyle w:val="TAL"/>
              <w:rPr>
                <w:rFonts w:hint="eastAsia"/>
                <w:lang w:eastAsia="zh-CN"/>
              </w:rPr>
            </w:pPr>
            <w:r w:rsidRPr="000A0A5F">
              <w:rPr>
                <w:lang w:eastAsia="zh-CN"/>
              </w:rPr>
              <w:t>PATCH</w:t>
            </w:r>
          </w:p>
        </w:tc>
        <w:tc>
          <w:tcPr>
            <w:tcW w:w="1268" w:type="pct"/>
          </w:tcPr>
          <w:p w:rsidR="00491D21" w:rsidRPr="000A0A5F" w:rsidRDefault="00491D21" w:rsidP="00491D21">
            <w:pPr>
              <w:pStyle w:val="TAL"/>
            </w:pPr>
            <w:r w:rsidRPr="000A0A5F">
              <w:t xml:space="preserve">Modify PFD(s) </w:t>
            </w:r>
            <w:r w:rsidRPr="000A0A5F">
              <w:rPr>
                <w:noProof/>
                <w:lang w:eastAsia="zh-CN"/>
              </w:rPr>
              <w:t>for a given SCS/AS and a transaction for one or more external Application Identifier(s).</w:t>
            </w:r>
          </w:p>
        </w:tc>
      </w:tr>
      <w:tr w:rsidR="00CB0DD7" w:rsidRPr="000A0A5F" w:rsidTr="00FF0AF8">
        <w:trPr>
          <w:jc w:val="center"/>
        </w:trPr>
        <w:tc>
          <w:tcPr>
            <w:tcW w:w="687" w:type="pct"/>
            <w:vMerge/>
          </w:tcPr>
          <w:p w:rsidR="00CB0DD7" w:rsidRPr="000A0A5F" w:rsidRDefault="00CB0DD7">
            <w:pPr>
              <w:pStyle w:val="TAL"/>
            </w:pPr>
          </w:p>
        </w:tc>
        <w:tc>
          <w:tcPr>
            <w:tcW w:w="2538" w:type="pct"/>
            <w:vMerge/>
          </w:tcPr>
          <w:p w:rsidR="00CB0DD7" w:rsidRPr="000A0A5F" w:rsidRDefault="00CB0DD7">
            <w:pPr>
              <w:pStyle w:val="TAL"/>
            </w:pPr>
          </w:p>
        </w:tc>
        <w:tc>
          <w:tcPr>
            <w:tcW w:w="507" w:type="pct"/>
          </w:tcPr>
          <w:p w:rsidR="00CB0DD7" w:rsidRPr="000A0A5F" w:rsidRDefault="00CB0DD7">
            <w:pPr>
              <w:pStyle w:val="TAL"/>
              <w:rPr>
                <w:rFonts w:hint="eastAsia"/>
                <w:lang w:eastAsia="zh-CN"/>
              </w:rPr>
            </w:pPr>
            <w:r w:rsidRPr="000A0A5F">
              <w:rPr>
                <w:rFonts w:hint="eastAsia"/>
                <w:lang w:eastAsia="zh-CN"/>
              </w:rPr>
              <w:t>DELETE</w:t>
            </w:r>
          </w:p>
        </w:tc>
        <w:tc>
          <w:tcPr>
            <w:tcW w:w="1268" w:type="pct"/>
          </w:tcPr>
          <w:p w:rsidR="00CB0DD7" w:rsidRPr="000A0A5F" w:rsidRDefault="00CB0DD7">
            <w:pPr>
              <w:pStyle w:val="TAL"/>
            </w:pPr>
            <w:r w:rsidRPr="000A0A5F">
              <w:t xml:space="preserve">Delete PFDs </w:t>
            </w:r>
            <w:r w:rsidRPr="000A0A5F">
              <w:rPr>
                <w:noProof/>
                <w:lang w:eastAsia="zh-CN"/>
              </w:rPr>
              <w:t>for a given SCS/AS and a transaction for one or more external Application Identifier(s)</w:t>
            </w:r>
          </w:p>
        </w:tc>
      </w:tr>
      <w:tr w:rsidR="00CB0DD7" w:rsidRPr="000A0A5F" w:rsidTr="00FF0AF8">
        <w:trPr>
          <w:jc w:val="center"/>
        </w:trPr>
        <w:tc>
          <w:tcPr>
            <w:tcW w:w="687" w:type="pct"/>
            <w:vMerge w:val="restart"/>
          </w:tcPr>
          <w:p w:rsidR="00CB0DD7" w:rsidRPr="000A0A5F" w:rsidRDefault="00CB0DD7">
            <w:pPr>
              <w:pStyle w:val="TAL"/>
            </w:pPr>
            <w:r w:rsidRPr="000A0A5F">
              <w:t>Individual Application PFD Management</w:t>
            </w:r>
          </w:p>
        </w:tc>
        <w:tc>
          <w:tcPr>
            <w:tcW w:w="2538" w:type="pct"/>
            <w:vMerge w:val="restart"/>
          </w:tcPr>
          <w:p w:rsidR="00CB0DD7" w:rsidRPr="000A0A5F" w:rsidRDefault="00CB0DD7">
            <w:pPr>
              <w:pStyle w:val="TAL"/>
            </w:pPr>
            <w:r w:rsidRPr="000A0A5F">
              <w:t>/{scsAsId}/transactions/{transactionId}/applications/{appId}</w:t>
            </w:r>
          </w:p>
          <w:p w:rsidR="00CB0DD7" w:rsidRPr="000A0A5F" w:rsidRDefault="00CB0DD7">
            <w:pPr>
              <w:pStyle w:val="TAL"/>
            </w:pPr>
            <w:r w:rsidRPr="000A0A5F">
              <w:t>(NOTE)</w:t>
            </w:r>
          </w:p>
        </w:tc>
        <w:tc>
          <w:tcPr>
            <w:tcW w:w="507" w:type="pct"/>
          </w:tcPr>
          <w:p w:rsidR="00CB0DD7" w:rsidRPr="000A0A5F" w:rsidRDefault="00CB0DD7">
            <w:pPr>
              <w:pStyle w:val="TAL"/>
              <w:rPr>
                <w:rFonts w:hint="eastAsia"/>
                <w:lang w:eastAsia="zh-CN"/>
              </w:rPr>
            </w:pPr>
            <w:r w:rsidRPr="000A0A5F">
              <w:t>PUT</w:t>
            </w:r>
          </w:p>
        </w:tc>
        <w:tc>
          <w:tcPr>
            <w:tcW w:w="1268" w:type="pct"/>
          </w:tcPr>
          <w:p w:rsidR="00CB0DD7" w:rsidRPr="000A0A5F" w:rsidRDefault="00CB0DD7">
            <w:pPr>
              <w:pStyle w:val="TAL"/>
            </w:pPr>
            <w:r w:rsidRPr="000A0A5F">
              <w:t xml:space="preserve">Update PFDs </w:t>
            </w:r>
            <w:r w:rsidRPr="000A0A5F">
              <w:rPr>
                <w:noProof/>
                <w:lang w:eastAsia="zh-CN"/>
              </w:rPr>
              <w:t>at individual application level</w:t>
            </w:r>
          </w:p>
        </w:tc>
      </w:tr>
      <w:tr w:rsidR="00CB0DD7" w:rsidRPr="000A0A5F" w:rsidTr="00FF0AF8">
        <w:trPr>
          <w:jc w:val="center"/>
        </w:trPr>
        <w:tc>
          <w:tcPr>
            <w:tcW w:w="687" w:type="pct"/>
            <w:vMerge/>
          </w:tcPr>
          <w:p w:rsidR="00CB0DD7" w:rsidRPr="000A0A5F" w:rsidRDefault="00CB0DD7">
            <w:pPr>
              <w:pStyle w:val="TAL"/>
            </w:pPr>
          </w:p>
        </w:tc>
        <w:tc>
          <w:tcPr>
            <w:tcW w:w="2538" w:type="pct"/>
            <w:vMerge/>
          </w:tcPr>
          <w:p w:rsidR="00CB0DD7" w:rsidRPr="000A0A5F" w:rsidRDefault="00CB0DD7">
            <w:pPr>
              <w:pStyle w:val="TAL"/>
            </w:pPr>
          </w:p>
        </w:tc>
        <w:tc>
          <w:tcPr>
            <w:tcW w:w="507" w:type="pct"/>
          </w:tcPr>
          <w:p w:rsidR="00CB0DD7" w:rsidRPr="000A0A5F" w:rsidRDefault="00CB0DD7">
            <w:pPr>
              <w:pStyle w:val="TAL"/>
            </w:pPr>
            <w:r w:rsidRPr="000A0A5F">
              <w:rPr>
                <w:rFonts w:hint="eastAsia"/>
                <w:lang w:eastAsia="zh-CN"/>
              </w:rPr>
              <w:t>P</w:t>
            </w:r>
            <w:r w:rsidRPr="000A0A5F">
              <w:rPr>
                <w:lang w:eastAsia="zh-CN"/>
              </w:rPr>
              <w:t>ATCH</w:t>
            </w:r>
          </w:p>
        </w:tc>
        <w:tc>
          <w:tcPr>
            <w:tcW w:w="1268" w:type="pct"/>
          </w:tcPr>
          <w:p w:rsidR="00CB0DD7" w:rsidRPr="000A0A5F" w:rsidRDefault="00CB0DD7">
            <w:pPr>
              <w:pStyle w:val="TAL"/>
            </w:pPr>
            <w:r w:rsidRPr="000A0A5F">
              <w:t>Update PFDs at individual application level</w:t>
            </w:r>
          </w:p>
        </w:tc>
      </w:tr>
      <w:tr w:rsidR="00CB0DD7" w:rsidRPr="000A0A5F" w:rsidTr="00FF0AF8">
        <w:trPr>
          <w:jc w:val="center"/>
        </w:trPr>
        <w:tc>
          <w:tcPr>
            <w:tcW w:w="687" w:type="pct"/>
            <w:vMerge/>
          </w:tcPr>
          <w:p w:rsidR="00CB0DD7" w:rsidRPr="000A0A5F" w:rsidRDefault="00CB0DD7">
            <w:pPr>
              <w:pStyle w:val="TAL"/>
            </w:pPr>
          </w:p>
        </w:tc>
        <w:tc>
          <w:tcPr>
            <w:tcW w:w="2538" w:type="pct"/>
            <w:vMerge/>
          </w:tcPr>
          <w:p w:rsidR="00CB0DD7" w:rsidRPr="000A0A5F" w:rsidRDefault="00CB0DD7">
            <w:pPr>
              <w:pStyle w:val="TAL"/>
            </w:pPr>
          </w:p>
        </w:tc>
        <w:tc>
          <w:tcPr>
            <w:tcW w:w="507" w:type="pct"/>
          </w:tcPr>
          <w:p w:rsidR="00CB0DD7" w:rsidRPr="000A0A5F" w:rsidRDefault="00CB0DD7">
            <w:pPr>
              <w:pStyle w:val="TAL"/>
              <w:rPr>
                <w:rFonts w:hint="eastAsia"/>
                <w:lang w:eastAsia="zh-CN"/>
              </w:rPr>
            </w:pPr>
            <w:r w:rsidRPr="000A0A5F">
              <w:t>GET</w:t>
            </w:r>
          </w:p>
        </w:tc>
        <w:tc>
          <w:tcPr>
            <w:tcW w:w="1268" w:type="pct"/>
          </w:tcPr>
          <w:p w:rsidR="00CB0DD7" w:rsidRPr="000A0A5F" w:rsidRDefault="00CB0DD7">
            <w:pPr>
              <w:pStyle w:val="TAL"/>
            </w:pPr>
            <w:r w:rsidRPr="000A0A5F">
              <w:t xml:space="preserve">Read PFDs </w:t>
            </w:r>
            <w:r w:rsidRPr="000A0A5F">
              <w:rPr>
                <w:noProof/>
                <w:lang w:eastAsia="zh-CN"/>
              </w:rPr>
              <w:t>at individual application level</w:t>
            </w:r>
          </w:p>
        </w:tc>
      </w:tr>
      <w:tr w:rsidR="00CB0DD7" w:rsidRPr="000A0A5F" w:rsidTr="00FF0AF8">
        <w:trPr>
          <w:jc w:val="center"/>
        </w:trPr>
        <w:tc>
          <w:tcPr>
            <w:tcW w:w="687" w:type="pct"/>
            <w:vMerge/>
          </w:tcPr>
          <w:p w:rsidR="00CB0DD7" w:rsidRPr="000A0A5F" w:rsidRDefault="00CB0DD7">
            <w:pPr>
              <w:pStyle w:val="TAL"/>
            </w:pPr>
          </w:p>
        </w:tc>
        <w:tc>
          <w:tcPr>
            <w:tcW w:w="2538" w:type="pct"/>
            <w:vMerge/>
          </w:tcPr>
          <w:p w:rsidR="00CB0DD7" w:rsidRPr="000A0A5F" w:rsidRDefault="00CB0DD7">
            <w:pPr>
              <w:pStyle w:val="TAL"/>
            </w:pPr>
          </w:p>
        </w:tc>
        <w:tc>
          <w:tcPr>
            <w:tcW w:w="507" w:type="pct"/>
          </w:tcPr>
          <w:p w:rsidR="00CB0DD7" w:rsidRPr="000A0A5F" w:rsidRDefault="00CB0DD7">
            <w:pPr>
              <w:pStyle w:val="TAL"/>
              <w:rPr>
                <w:rFonts w:hint="eastAsia"/>
                <w:lang w:eastAsia="zh-CN"/>
              </w:rPr>
            </w:pPr>
            <w:r w:rsidRPr="000A0A5F">
              <w:t>DELETE</w:t>
            </w:r>
          </w:p>
        </w:tc>
        <w:tc>
          <w:tcPr>
            <w:tcW w:w="1268" w:type="pct"/>
          </w:tcPr>
          <w:p w:rsidR="00CB0DD7" w:rsidRPr="000A0A5F" w:rsidRDefault="00CB0DD7">
            <w:pPr>
              <w:pStyle w:val="TAL"/>
            </w:pPr>
            <w:r w:rsidRPr="000A0A5F">
              <w:t xml:space="preserve">Delete PFDs </w:t>
            </w:r>
            <w:r w:rsidRPr="000A0A5F">
              <w:rPr>
                <w:noProof/>
                <w:lang w:eastAsia="zh-CN"/>
              </w:rPr>
              <w:t>at individual application level</w:t>
            </w:r>
          </w:p>
        </w:tc>
      </w:tr>
      <w:tr w:rsidR="00CB0DD7" w:rsidRPr="000A0A5F" w:rsidTr="00FF0AF8">
        <w:trPr>
          <w:jc w:val="center"/>
        </w:trPr>
        <w:tc>
          <w:tcPr>
            <w:tcW w:w="5000" w:type="pct"/>
            <w:gridSpan w:val="4"/>
          </w:tcPr>
          <w:p w:rsidR="00CB0DD7" w:rsidRPr="000A0A5F" w:rsidRDefault="00CB0DD7">
            <w:pPr>
              <w:pStyle w:val="TAN"/>
            </w:pPr>
            <w:r w:rsidRPr="000A0A5F">
              <w:rPr>
                <w:rFonts w:eastAsia="DengXian"/>
              </w:rPr>
              <w:t>NOTE:</w:t>
            </w:r>
            <w:r w:rsidRPr="000A0A5F">
              <w:rPr>
                <w:rFonts w:eastAsia="DengXian"/>
              </w:rPr>
              <w:tab/>
              <w:t>The appId as the resource identifier is not necessarily identical as the external application identifier received from the SCS/AS.</w:t>
            </w:r>
          </w:p>
        </w:tc>
      </w:tr>
    </w:tbl>
    <w:p w:rsidR="00CB0DD7" w:rsidRPr="000A0A5F" w:rsidRDefault="00CB0DD7"/>
    <w:p w:rsidR="00CB0DD7" w:rsidRPr="000A0A5F" w:rsidRDefault="00CB0DD7">
      <w:pPr>
        <w:pStyle w:val="Heading4"/>
      </w:pPr>
      <w:bookmarkStart w:id="7933" w:name="_Toc11247781"/>
      <w:bookmarkStart w:id="7934" w:name="_Toc27044925"/>
      <w:bookmarkStart w:id="7935" w:name="_Toc36033967"/>
      <w:bookmarkStart w:id="7936" w:name="_Toc45132113"/>
      <w:bookmarkStart w:id="7937" w:name="_Toc49776398"/>
      <w:bookmarkStart w:id="7938" w:name="_Toc51747318"/>
      <w:bookmarkStart w:id="7939" w:name="_Toc66360891"/>
      <w:bookmarkStart w:id="7940" w:name="_Toc68105396"/>
      <w:bookmarkStart w:id="7941" w:name="_Toc74756026"/>
      <w:bookmarkStart w:id="7942" w:name="_Toc105674903"/>
      <w:bookmarkStart w:id="7943" w:name="_Toc130502967"/>
      <w:bookmarkStart w:id="7944" w:name="_Toc153625755"/>
      <w:r w:rsidRPr="000A0A5F">
        <w:t>5.11.3.2</w:t>
      </w:r>
      <w:r w:rsidRPr="000A0A5F">
        <w:tab/>
        <w:t>Resource: PFD Management Transactions</w:t>
      </w:r>
      <w:bookmarkEnd w:id="7933"/>
      <w:bookmarkEnd w:id="7934"/>
      <w:bookmarkEnd w:id="7935"/>
      <w:bookmarkEnd w:id="7936"/>
      <w:bookmarkEnd w:id="7937"/>
      <w:bookmarkEnd w:id="7938"/>
      <w:bookmarkEnd w:id="7939"/>
      <w:bookmarkEnd w:id="7940"/>
      <w:bookmarkEnd w:id="7941"/>
      <w:bookmarkEnd w:id="7942"/>
      <w:bookmarkEnd w:id="7943"/>
      <w:bookmarkEnd w:id="7944"/>
    </w:p>
    <w:p w:rsidR="00CB0DD7" w:rsidRPr="000A0A5F" w:rsidRDefault="00CB0DD7">
      <w:pPr>
        <w:pStyle w:val="Heading5"/>
      </w:pPr>
      <w:bookmarkStart w:id="7945" w:name="_Toc11247782"/>
      <w:bookmarkStart w:id="7946" w:name="_Toc27044926"/>
      <w:bookmarkStart w:id="7947" w:name="_Toc36033968"/>
      <w:bookmarkStart w:id="7948" w:name="_Toc45132114"/>
      <w:bookmarkStart w:id="7949" w:name="_Toc49776399"/>
      <w:bookmarkStart w:id="7950" w:name="_Toc51747319"/>
      <w:bookmarkStart w:id="7951" w:name="_Toc66360892"/>
      <w:bookmarkStart w:id="7952" w:name="_Toc68105397"/>
      <w:bookmarkStart w:id="7953" w:name="_Toc74756027"/>
      <w:bookmarkStart w:id="7954" w:name="_Toc105674904"/>
      <w:bookmarkStart w:id="7955" w:name="_Toc130502968"/>
      <w:bookmarkStart w:id="7956" w:name="_Toc153625756"/>
      <w:r w:rsidRPr="000A0A5F">
        <w:t>5.11.3.2.1</w:t>
      </w:r>
      <w:r w:rsidRPr="000A0A5F">
        <w:tab/>
        <w:t>Introduction</w:t>
      </w:r>
      <w:bookmarkEnd w:id="7945"/>
      <w:bookmarkEnd w:id="7946"/>
      <w:bookmarkEnd w:id="7947"/>
      <w:bookmarkEnd w:id="7948"/>
      <w:bookmarkEnd w:id="7949"/>
      <w:bookmarkEnd w:id="7950"/>
      <w:bookmarkEnd w:id="7951"/>
      <w:bookmarkEnd w:id="7952"/>
      <w:bookmarkEnd w:id="7953"/>
      <w:bookmarkEnd w:id="7954"/>
      <w:bookmarkEnd w:id="7955"/>
      <w:bookmarkEnd w:id="7956"/>
    </w:p>
    <w:p w:rsidR="00CB0DD7" w:rsidRPr="000A0A5F" w:rsidRDefault="00CB0DD7">
      <w:pPr>
        <w:rPr>
          <w:noProof/>
          <w:lang w:eastAsia="zh-CN"/>
        </w:rPr>
      </w:pPr>
      <w:r w:rsidRPr="000A0A5F">
        <w:rPr>
          <w:noProof/>
          <w:lang w:eastAsia="zh-CN"/>
        </w:rPr>
        <w:t>This resource allows an</w:t>
      </w:r>
      <w:r w:rsidRPr="000A0A5F">
        <w:rPr>
          <w:rFonts w:hint="eastAsia"/>
          <w:noProof/>
          <w:lang w:eastAsia="zh-CN"/>
        </w:rPr>
        <w:t xml:space="preserve"> SCS/AS </w:t>
      </w:r>
      <w:r w:rsidRPr="000A0A5F">
        <w:rPr>
          <w:noProof/>
          <w:lang w:eastAsia="zh-CN"/>
        </w:rPr>
        <w:t>to read all PFDs for a given SCS/AS or create PFDs for a given SCS/AS with one or more external Application Identifier(s).</w:t>
      </w:r>
    </w:p>
    <w:p w:rsidR="00CB0DD7" w:rsidRPr="000A0A5F" w:rsidRDefault="00CB0DD7">
      <w:pPr>
        <w:pStyle w:val="Heading5"/>
      </w:pPr>
      <w:bookmarkStart w:id="7957" w:name="_Toc11247783"/>
      <w:bookmarkStart w:id="7958" w:name="_Toc27044927"/>
      <w:bookmarkStart w:id="7959" w:name="_Toc36033969"/>
      <w:bookmarkStart w:id="7960" w:name="_Toc45132115"/>
      <w:bookmarkStart w:id="7961" w:name="_Toc49776400"/>
      <w:bookmarkStart w:id="7962" w:name="_Toc51747320"/>
      <w:bookmarkStart w:id="7963" w:name="_Toc66360893"/>
      <w:bookmarkStart w:id="7964" w:name="_Toc68105398"/>
      <w:bookmarkStart w:id="7965" w:name="_Toc74756028"/>
      <w:bookmarkStart w:id="7966" w:name="_Toc105674905"/>
      <w:bookmarkStart w:id="7967" w:name="_Toc130502969"/>
      <w:bookmarkStart w:id="7968" w:name="_Toc153625757"/>
      <w:r w:rsidRPr="000A0A5F">
        <w:t>5.11.3.2.2</w:t>
      </w:r>
      <w:r w:rsidRPr="000A0A5F">
        <w:tab/>
        <w:t>Resource definition</w:t>
      </w:r>
      <w:bookmarkEnd w:id="7957"/>
      <w:bookmarkEnd w:id="7958"/>
      <w:bookmarkEnd w:id="7959"/>
      <w:bookmarkEnd w:id="7960"/>
      <w:bookmarkEnd w:id="7961"/>
      <w:bookmarkEnd w:id="7962"/>
      <w:bookmarkEnd w:id="7963"/>
      <w:bookmarkEnd w:id="7964"/>
      <w:bookmarkEnd w:id="7965"/>
      <w:bookmarkEnd w:id="7966"/>
      <w:bookmarkEnd w:id="7967"/>
      <w:bookmarkEnd w:id="7968"/>
    </w:p>
    <w:p w:rsidR="00CB0DD7" w:rsidRPr="000A0A5F" w:rsidRDefault="00CB0DD7">
      <w:r w:rsidRPr="000A0A5F">
        <w:t xml:space="preserve">Resource URI: </w:t>
      </w:r>
      <w:r w:rsidRPr="000A0A5F">
        <w:rPr>
          <w:b/>
        </w:rPr>
        <w:t>{apiRoot}/3gpp-pfd-management/v1/{scsAsId}/transactions</w:t>
      </w:r>
    </w:p>
    <w:p w:rsidR="00CB0DD7" w:rsidRPr="000A0A5F" w:rsidRDefault="00CB0DD7">
      <w:pPr>
        <w:rPr>
          <w:rFonts w:ascii="Arial" w:hAnsi="Arial" w:cs="Arial"/>
        </w:rPr>
      </w:pPr>
      <w:r w:rsidRPr="000A0A5F">
        <w:t>This resource shall support the resource URI variables defined in table 5.11.3.2.2-1</w:t>
      </w:r>
      <w:r w:rsidRPr="000A0A5F">
        <w:rPr>
          <w:rFonts w:ascii="Arial" w:hAnsi="Arial" w:cs="Arial"/>
        </w:rPr>
        <w:t>.</w:t>
      </w:r>
    </w:p>
    <w:p w:rsidR="00CB0DD7" w:rsidRPr="000A0A5F" w:rsidRDefault="00CB0DD7">
      <w:pPr>
        <w:pStyle w:val="TH"/>
        <w:rPr>
          <w:rFonts w:cs="Arial"/>
        </w:rPr>
      </w:pPr>
      <w:r w:rsidRPr="000A0A5F">
        <w:t>Table 5.11.3.2.2-1: Resource URI variables for resource "PFD Management Transactions"</w:t>
      </w:r>
    </w:p>
    <w:tbl>
      <w:tblPr>
        <w:tblW w:w="494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970"/>
        <w:gridCol w:w="1312"/>
        <w:gridCol w:w="6378"/>
      </w:tblGrid>
      <w:tr w:rsidR="00CB0DD7" w:rsidRPr="000A0A5F" w:rsidTr="00FF0AF8">
        <w:trPr>
          <w:jc w:val="center"/>
        </w:trPr>
        <w:tc>
          <w:tcPr>
            <w:tcW w:w="1020" w:type="pct"/>
            <w:shd w:val="clear" w:color="000000" w:fill="C0C0C0"/>
          </w:tcPr>
          <w:p w:rsidR="00CB0DD7" w:rsidRPr="000A0A5F" w:rsidRDefault="00CB0DD7">
            <w:pPr>
              <w:pStyle w:val="TAH"/>
            </w:pPr>
            <w:r w:rsidRPr="000A0A5F">
              <w:t>Name</w:t>
            </w:r>
          </w:p>
        </w:tc>
        <w:tc>
          <w:tcPr>
            <w:tcW w:w="679" w:type="pct"/>
            <w:shd w:val="clear" w:color="000000" w:fill="C0C0C0"/>
          </w:tcPr>
          <w:p w:rsidR="00CB0DD7" w:rsidRPr="000A0A5F" w:rsidRDefault="00CB0DD7">
            <w:pPr>
              <w:pStyle w:val="TAH"/>
            </w:pPr>
            <w:r w:rsidRPr="000A0A5F">
              <w:t>Data type</w:t>
            </w:r>
          </w:p>
        </w:tc>
        <w:tc>
          <w:tcPr>
            <w:tcW w:w="3302" w:type="pct"/>
            <w:shd w:val="clear" w:color="000000" w:fill="C0C0C0"/>
            <w:vAlign w:val="center"/>
          </w:tcPr>
          <w:p w:rsidR="00CB0DD7" w:rsidRPr="000A0A5F" w:rsidRDefault="00CB0DD7">
            <w:pPr>
              <w:pStyle w:val="TAH"/>
            </w:pPr>
            <w:r w:rsidRPr="000A0A5F">
              <w:t>Definition</w:t>
            </w:r>
          </w:p>
        </w:tc>
      </w:tr>
      <w:tr w:rsidR="00CB0DD7" w:rsidRPr="000A0A5F" w:rsidTr="00FF0AF8">
        <w:trPr>
          <w:jc w:val="center"/>
        </w:trPr>
        <w:tc>
          <w:tcPr>
            <w:tcW w:w="1020" w:type="pct"/>
            <w:shd w:val="clear" w:color="auto" w:fill="auto"/>
          </w:tcPr>
          <w:p w:rsidR="00CB0DD7" w:rsidRPr="000A0A5F" w:rsidRDefault="00CB0DD7">
            <w:pPr>
              <w:pStyle w:val="TAL"/>
            </w:pPr>
            <w:r w:rsidRPr="000A0A5F">
              <w:t>apiRoot</w:t>
            </w:r>
          </w:p>
        </w:tc>
        <w:tc>
          <w:tcPr>
            <w:tcW w:w="679" w:type="pct"/>
          </w:tcPr>
          <w:p w:rsidR="00CB0DD7" w:rsidRPr="000A0A5F" w:rsidRDefault="00CB0DD7">
            <w:pPr>
              <w:pStyle w:val="TAL"/>
            </w:pPr>
            <w:r w:rsidRPr="000A0A5F">
              <w:t>string</w:t>
            </w:r>
          </w:p>
        </w:tc>
        <w:tc>
          <w:tcPr>
            <w:tcW w:w="3302" w:type="pct"/>
            <w:shd w:val="clear" w:color="auto" w:fill="auto"/>
            <w:vAlign w:val="center"/>
          </w:tcPr>
          <w:p w:rsidR="00CB0DD7" w:rsidRPr="000A0A5F" w:rsidRDefault="00CB0DD7">
            <w:pPr>
              <w:pStyle w:val="TAL"/>
            </w:pPr>
            <w:r w:rsidRPr="000A0A5F">
              <w:t>See clause</w:t>
            </w:r>
            <w:r w:rsidRPr="000A0A5F">
              <w:rPr>
                <w:lang w:val="en-US" w:eastAsia="zh-CN"/>
              </w:rPr>
              <w:t> </w:t>
            </w:r>
            <w:r w:rsidRPr="000A0A5F">
              <w:t>5.2.4.</w:t>
            </w:r>
          </w:p>
        </w:tc>
      </w:tr>
      <w:tr w:rsidR="00CB0DD7" w:rsidRPr="000A0A5F" w:rsidTr="00FF0AF8">
        <w:trPr>
          <w:jc w:val="center"/>
        </w:trPr>
        <w:tc>
          <w:tcPr>
            <w:tcW w:w="1020" w:type="pct"/>
            <w:shd w:val="clear" w:color="auto" w:fill="auto"/>
          </w:tcPr>
          <w:p w:rsidR="00CB0DD7" w:rsidRPr="000A0A5F" w:rsidRDefault="00CB0DD7">
            <w:pPr>
              <w:pStyle w:val="TAL"/>
            </w:pPr>
            <w:r w:rsidRPr="000A0A5F">
              <w:t>scsAsId</w:t>
            </w:r>
          </w:p>
        </w:tc>
        <w:tc>
          <w:tcPr>
            <w:tcW w:w="679" w:type="pct"/>
          </w:tcPr>
          <w:p w:rsidR="00CB0DD7" w:rsidRPr="000A0A5F" w:rsidRDefault="00CB0DD7">
            <w:pPr>
              <w:pStyle w:val="TAL"/>
            </w:pPr>
            <w:r w:rsidRPr="000A0A5F">
              <w:rPr>
                <w:rFonts w:hint="eastAsia"/>
                <w:lang w:eastAsia="zh-CN"/>
              </w:rPr>
              <w:t>s</w:t>
            </w:r>
            <w:r w:rsidRPr="000A0A5F">
              <w:rPr>
                <w:lang w:eastAsia="zh-CN"/>
              </w:rPr>
              <w:t>tring</w:t>
            </w:r>
          </w:p>
        </w:tc>
        <w:tc>
          <w:tcPr>
            <w:tcW w:w="3302" w:type="pct"/>
            <w:shd w:val="clear" w:color="auto" w:fill="auto"/>
            <w:vAlign w:val="center"/>
          </w:tcPr>
          <w:p w:rsidR="00CB0DD7" w:rsidRPr="000A0A5F" w:rsidRDefault="00CB0DD7">
            <w:pPr>
              <w:pStyle w:val="TAL"/>
            </w:pPr>
            <w:r w:rsidRPr="000A0A5F">
              <w:t>Identifier of the SCS/AS</w:t>
            </w:r>
            <w:r w:rsidRPr="000A0A5F">
              <w:rPr>
                <w:rFonts w:eastAsia="Times New Roman"/>
              </w:rPr>
              <w:t>.</w:t>
            </w:r>
          </w:p>
        </w:tc>
      </w:tr>
    </w:tbl>
    <w:p w:rsidR="00CB0DD7" w:rsidRPr="000A0A5F" w:rsidRDefault="00CB0DD7"/>
    <w:p w:rsidR="00CB0DD7" w:rsidRPr="000A0A5F" w:rsidRDefault="00CB0DD7">
      <w:pPr>
        <w:pStyle w:val="Heading5"/>
      </w:pPr>
      <w:bookmarkStart w:id="7969" w:name="_Toc11247784"/>
      <w:bookmarkStart w:id="7970" w:name="_Toc27044928"/>
      <w:bookmarkStart w:id="7971" w:name="_Toc36033970"/>
      <w:bookmarkStart w:id="7972" w:name="_Toc45132116"/>
      <w:bookmarkStart w:id="7973" w:name="_Toc49776401"/>
      <w:bookmarkStart w:id="7974" w:name="_Toc51747321"/>
      <w:bookmarkStart w:id="7975" w:name="_Toc66360894"/>
      <w:bookmarkStart w:id="7976" w:name="_Toc68105399"/>
      <w:bookmarkStart w:id="7977" w:name="_Toc74756029"/>
      <w:bookmarkStart w:id="7978" w:name="_Toc105674906"/>
      <w:bookmarkStart w:id="7979" w:name="_Toc130502970"/>
      <w:bookmarkStart w:id="7980" w:name="_Toc153625758"/>
      <w:r w:rsidRPr="000A0A5F">
        <w:t>5.11.3.2.3</w:t>
      </w:r>
      <w:r w:rsidRPr="000A0A5F">
        <w:tab/>
        <w:t>Resource methods</w:t>
      </w:r>
      <w:bookmarkEnd w:id="7969"/>
      <w:bookmarkEnd w:id="7970"/>
      <w:bookmarkEnd w:id="7971"/>
      <w:bookmarkEnd w:id="7972"/>
      <w:bookmarkEnd w:id="7973"/>
      <w:bookmarkEnd w:id="7974"/>
      <w:bookmarkEnd w:id="7975"/>
      <w:bookmarkEnd w:id="7976"/>
      <w:bookmarkEnd w:id="7977"/>
      <w:bookmarkEnd w:id="7978"/>
      <w:bookmarkEnd w:id="7979"/>
      <w:bookmarkEnd w:id="7980"/>
    </w:p>
    <w:p w:rsidR="00CB0DD7" w:rsidRPr="000A0A5F" w:rsidRDefault="00CB0DD7">
      <w:pPr>
        <w:pStyle w:val="Heading6"/>
        <w:rPr>
          <w:rFonts w:hint="eastAsia"/>
        </w:rPr>
      </w:pPr>
      <w:bookmarkStart w:id="7981" w:name="_Toc11247785"/>
      <w:bookmarkStart w:id="7982" w:name="_Toc27044929"/>
      <w:bookmarkStart w:id="7983" w:name="_Toc36033971"/>
      <w:bookmarkStart w:id="7984" w:name="_Toc45132117"/>
      <w:bookmarkStart w:id="7985" w:name="_Toc49776402"/>
      <w:bookmarkStart w:id="7986" w:name="_Toc51747322"/>
      <w:bookmarkStart w:id="7987" w:name="_Toc66360895"/>
      <w:bookmarkStart w:id="7988" w:name="_Toc68105400"/>
      <w:bookmarkStart w:id="7989" w:name="_Toc74756030"/>
      <w:bookmarkStart w:id="7990" w:name="_Toc105674907"/>
      <w:bookmarkStart w:id="7991" w:name="_Toc130502971"/>
      <w:bookmarkStart w:id="7992" w:name="_Toc153625759"/>
      <w:r w:rsidRPr="000A0A5F">
        <w:t>5.11.3.2.3.1</w:t>
      </w:r>
      <w:r w:rsidRPr="000A0A5F">
        <w:tab/>
        <w:t>GET</w:t>
      </w:r>
      <w:bookmarkEnd w:id="7981"/>
      <w:bookmarkEnd w:id="7982"/>
      <w:bookmarkEnd w:id="7983"/>
      <w:bookmarkEnd w:id="7984"/>
      <w:bookmarkEnd w:id="7985"/>
      <w:bookmarkEnd w:id="7986"/>
      <w:bookmarkEnd w:id="7987"/>
      <w:bookmarkEnd w:id="7988"/>
      <w:bookmarkEnd w:id="7989"/>
      <w:bookmarkEnd w:id="7990"/>
      <w:bookmarkEnd w:id="7991"/>
      <w:bookmarkEnd w:id="7992"/>
    </w:p>
    <w:p w:rsidR="00CB0DD7" w:rsidRPr="000A0A5F" w:rsidRDefault="00CB0DD7">
      <w:pPr>
        <w:rPr>
          <w:noProof/>
          <w:lang w:eastAsia="zh-CN"/>
        </w:rPr>
      </w:pPr>
      <w:r w:rsidRPr="000A0A5F">
        <w:rPr>
          <w:noProof/>
          <w:lang w:eastAsia="zh-CN"/>
        </w:rPr>
        <w:t xml:space="preserve">The GET method allows to read all </w:t>
      </w:r>
      <w:r w:rsidR="00D85C5A" w:rsidRPr="000A0A5F">
        <w:t xml:space="preserve">or queried </w:t>
      </w:r>
      <w:r w:rsidRPr="000A0A5F">
        <w:rPr>
          <w:noProof/>
          <w:lang w:eastAsia="zh-CN"/>
        </w:rPr>
        <w:t>active PFDs for a given SCS/AS. It is initiated by the SCS/AS and answered by the SCEF.</w:t>
      </w:r>
    </w:p>
    <w:p w:rsidR="00D85C5A" w:rsidRPr="000A0A5F" w:rsidRDefault="00D85C5A" w:rsidP="00D85C5A">
      <w:r w:rsidRPr="000A0A5F">
        <w:t>This method shall support the URI query parameters as specified in the table 5.11.3.2.3.1-0.</w:t>
      </w:r>
    </w:p>
    <w:p w:rsidR="00D85C5A" w:rsidRPr="000A0A5F" w:rsidRDefault="00D85C5A" w:rsidP="00D85C5A">
      <w:pPr>
        <w:pStyle w:val="TH"/>
        <w:rPr>
          <w:rFonts w:cs="Arial"/>
        </w:rPr>
      </w:pPr>
      <w:r w:rsidRPr="000A0A5F">
        <w:t xml:space="preserve">Table 5.11.3.2.3.1-0: URI query parameters supported by the GET method on this resource </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062"/>
        <w:gridCol w:w="1701"/>
        <w:gridCol w:w="1132"/>
        <w:gridCol w:w="4537"/>
        <w:gridCol w:w="1345"/>
      </w:tblGrid>
      <w:tr w:rsidR="00D85C5A" w:rsidRPr="000A0A5F" w:rsidTr="00FF0AF8">
        <w:trPr>
          <w:jc w:val="center"/>
        </w:trPr>
        <w:tc>
          <w:tcPr>
            <w:tcW w:w="543" w:type="pct"/>
            <w:shd w:val="clear" w:color="000000" w:fill="C0C0C0"/>
          </w:tcPr>
          <w:p w:rsidR="00D85C5A" w:rsidRPr="000A0A5F" w:rsidRDefault="00D85C5A" w:rsidP="00D513D3">
            <w:pPr>
              <w:pStyle w:val="TAH"/>
            </w:pPr>
            <w:r w:rsidRPr="000A0A5F">
              <w:t>Name</w:t>
            </w:r>
          </w:p>
        </w:tc>
        <w:tc>
          <w:tcPr>
            <w:tcW w:w="870" w:type="pct"/>
            <w:shd w:val="clear" w:color="000000" w:fill="C0C0C0"/>
          </w:tcPr>
          <w:p w:rsidR="00D85C5A" w:rsidRPr="000A0A5F" w:rsidRDefault="00D85C5A" w:rsidP="00D513D3">
            <w:pPr>
              <w:pStyle w:val="TAH"/>
            </w:pPr>
            <w:r w:rsidRPr="000A0A5F">
              <w:t>Data type</w:t>
            </w:r>
          </w:p>
        </w:tc>
        <w:tc>
          <w:tcPr>
            <w:tcW w:w="579" w:type="pct"/>
            <w:shd w:val="clear" w:color="000000" w:fill="C0C0C0"/>
          </w:tcPr>
          <w:p w:rsidR="00D85C5A" w:rsidRPr="000A0A5F" w:rsidRDefault="00D85C5A" w:rsidP="00D513D3">
            <w:pPr>
              <w:pStyle w:val="TAH"/>
            </w:pPr>
            <w:r w:rsidRPr="000A0A5F">
              <w:t>Cardinality</w:t>
            </w:r>
          </w:p>
        </w:tc>
        <w:tc>
          <w:tcPr>
            <w:tcW w:w="2320" w:type="pct"/>
            <w:shd w:val="clear" w:color="000000" w:fill="C0C0C0"/>
            <w:vAlign w:val="center"/>
          </w:tcPr>
          <w:p w:rsidR="00D85C5A" w:rsidRPr="000A0A5F" w:rsidRDefault="00D85C5A" w:rsidP="00D513D3">
            <w:pPr>
              <w:pStyle w:val="TAH"/>
            </w:pPr>
            <w:r w:rsidRPr="000A0A5F">
              <w:t>Remarks</w:t>
            </w:r>
          </w:p>
        </w:tc>
        <w:tc>
          <w:tcPr>
            <w:tcW w:w="688" w:type="pct"/>
            <w:shd w:val="clear" w:color="000000" w:fill="C0C0C0"/>
          </w:tcPr>
          <w:p w:rsidR="00D85C5A" w:rsidRPr="000A0A5F" w:rsidRDefault="00D85C5A" w:rsidP="00D513D3">
            <w:pPr>
              <w:pStyle w:val="TAH"/>
            </w:pPr>
            <w:r w:rsidRPr="000A0A5F">
              <w:t>Applicability</w:t>
            </w:r>
          </w:p>
        </w:tc>
      </w:tr>
      <w:tr w:rsidR="00D85C5A" w:rsidRPr="000A0A5F" w:rsidTr="00FF0AF8">
        <w:trPr>
          <w:jc w:val="center"/>
        </w:trPr>
        <w:tc>
          <w:tcPr>
            <w:tcW w:w="543" w:type="pct"/>
            <w:shd w:val="clear" w:color="auto" w:fill="auto"/>
            <w:vAlign w:val="center"/>
          </w:tcPr>
          <w:p w:rsidR="00D85C5A" w:rsidRPr="000A0A5F" w:rsidRDefault="00D85C5A" w:rsidP="00D513D3">
            <w:pPr>
              <w:pStyle w:val="TAL"/>
            </w:pPr>
            <w:r w:rsidRPr="000A0A5F">
              <w:t>external-app-ids</w:t>
            </w:r>
          </w:p>
        </w:tc>
        <w:tc>
          <w:tcPr>
            <w:tcW w:w="870" w:type="pct"/>
            <w:vAlign w:val="center"/>
          </w:tcPr>
          <w:p w:rsidR="00D85C5A" w:rsidRPr="000A0A5F" w:rsidRDefault="00D85C5A" w:rsidP="00D513D3">
            <w:pPr>
              <w:pStyle w:val="TAL"/>
            </w:pPr>
            <w:r w:rsidRPr="000A0A5F">
              <w:t>array(string)</w:t>
            </w:r>
          </w:p>
        </w:tc>
        <w:tc>
          <w:tcPr>
            <w:tcW w:w="579" w:type="pct"/>
            <w:vAlign w:val="center"/>
          </w:tcPr>
          <w:p w:rsidR="00D85C5A" w:rsidRPr="000A0A5F" w:rsidRDefault="00D85C5A" w:rsidP="00D513D3">
            <w:pPr>
              <w:pStyle w:val="TAC"/>
            </w:pPr>
            <w:r w:rsidRPr="000A0A5F">
              <w:t>0..N</w:t>
            </w:r>
          </w:p>
        </w:tc>
        <w:tc>
          <w:tcPr>
            <w:tcW w:w="2320" w:type="pct"/>
            <w:shd w:val="clear" w:color="auto" w:fill="auto"/>
            <w:vAlign w:val="center"/>
          </w:tcPr>
          <w:p w:rsidR="00D85C5A" w:rsidRPr="000A0A5F" w:rsidRDefault="00D85C5A" w:rsidP="00D513D3">
            <w:pPr>
              <w:pStyle w:val="TAL"/>
            </w:pPr>
            <w:r w:rsidRPr="000A0A5F">
              <w:t>The external application identifier(s) of the requested PFD data.</w:t>
            </w:r>
          </w:p>
        </w:tc>
        <w:tc>
          <w:tcPr>
            <w:tcW w:w="688" w:type="pct"/>
            <w:vAlign w:val="center"/>
          </w:tcPr>
          <w:p w:rsidR="00D85C5A" w:rsidRPr="000A0A5F" w:rsidRDefault="00D85C5A" w:rsidP="00D513D3">
            <w:pPr>
              <w:pStyle w:val="TAL"/>
            </w:pPr>
            <w:r w:rsidRPr="000A0A5F">
              <w:t>enNB</w:t>
            </w:r>
          </w:p>
        </w:tc>
      </w:tr>
      <w:tr w:rsidR="00E34307" w:rsidRPr="000A0A5F" w:rsidTr="00E34307">
        <w:trPr>
          <w:jc w:val="center"/>
        </w:trPr>
        <w:tc>
          <w:tcPr>
            <w:tcW w:w="5000" w:type="pct"/>
            <w:gridSpan w:val="5"/>
            <w:shd w:val="clear" w:color="auto" w:fill="auto"/>
            <w:vAlign w:val="center"/>
          </w:tcPr>
          <w:p w:rsidR="00E34307" w:rsidRPr="000A0A5F" w:rsidRDefault="00E34307" w:rsidP="00E34307">
            <w:pPr>
              <w:pStyle w:val="TAN"/>
            </w:pPr>
            <w:r w:rsidRPr="000A0A5F">
              <w:t>NOTE:</w:t>
            </w:r>
            <w:r w:rsidRPr="000A0A5F">
              <w:tab/>
              <w:t>If multiple elements are provided in the array data structure, then each element shall be treated as a separate query parameter.</w:t>
            </w:r>
          </w:p>
        </w:tc>
      </w:tr>
    </w:tbl>
    <w:p w:rsidR="00D85C5A" w:rsidRPr="000A0A5F" w:rsidRDefault="00D85C5A" w:rsidP="00D85C5A">
      <w:pPr>
        <w:rPr>
          <w:noProof/>
          <w:lang w:eastAsia="zh-CN"/>
        </w:rPr>
      </w:pPr>
    </w:p>
    <w:p w:rsidR="00CB0DD7" w:rsidRPr="000A0A5F" w:rsidRDefault="00CB0DD7">
      <w:r w:rsidRPr="000A0A5F">
        <w:t>This method shall support the request and response data structures, and response codes, as specified in the table 5.11.3.2.3.1-1.</w:t>
      </w:r>
    </w:p>
    <w:p w:rsidR="00CB0DD7" w:rsidRPr="000A0A5F" w:rsidRDefault="00CB0DD7">
      <w:pPr>
        <w:pStyle w:val="TH"/>
      </w:pPr>
      <w:r w:rsidRPr="000A0A5F">
        <w:t>Table 5.11.3.2.3.1-1: Data structures supported by the GET request/response by the resource</w:t>
      </w:r>
    </w:p>
    <w:tbl>
      <w:tblPr>
        <w:tblW w:w="4999" w:type="pct"/>
        <w:tblInd w:w="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45" w:type="dxa"/>
          <w:left w:w="45" w:type="dxa"/>
          <w:bottom w:w="45" w:type="dxa"/>
          <w:right w:w="45" w:type="dxa"/>
        </w:tblCellMar>
        <w:tblLook w:val="0000" w:firstRow="0" w:lastRow="0" w:firstColumn="0" w:lastColumn="0" w:noHBand="0" w:noVBand="0"/>
      </w:tblPr>
      <w:tblGrid>
        <w:gridCol w:w="1035"/>
        <w:gridCol w:w="2127"/>
        <w:gridCol w:w="1053"/>
        <w:gridCol w:w="973"/>
        <w:gridCol w:w="4541"/>
      </w:tblGrid>
      <w:tr w:rsidR="00CB0DD7" w:rsidRPr="000A0A5F" w:rsidTr="0008146A">
        <w:tc>
          <w:tcPr>
            <w:tcW w:w="532" w:type="pct"/>
            <w:vMerge w:val="restart"/>
            <w:shd w:val="clear" w:color="auto" w:fill="C0C0C0"/>
            <w:vAlign w:val="center"/>
          </w:tcPr>
          <w:p w:rsidR="00CB0DD7" w:rsidRPr="000A0A5F" w:rsidRDefault="00CB0DD7">
            <w:pPr>
              <w:pStyle w:val="TAH"/>
            </w:pPr>
            <w:r w:rsidRPr="000A0A5F">
              <w:t>Request body</w:t>
            </w:r>
          </w:p>
        </w:tc>
        <w:tc>
          <w:tcPr>
            <w:tcW w:w="1093" w:type="pct"/>
            <w:shd w:val="clear" w:color="auto" w:fill="C0C0C0"/>
          </w:tcPr>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r w:rsidRPr="000A0A5F">
              <w:t>Cardinality</w:t>
            </w:r>
          </w:p>
        </w:tc>
        <w:tc>
          <w:tcPr>
            <w:tcW w:w="2834" w:type="pct"/>
            <w:gridSpan w:val="2"/>
            <w:shd w:val="clear" w:color="auto" w:fill="C0C0C0"/>
          </w:tcPr>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none</w:t>
            </w:r>
          </w:p>
        </w:tc>
        <w:tc>
          <w:tcPr>
            <w:tcW w:w="541" w:type="pct"/>
          </w:tcPr>
          <w:p w:rsidR="00CB0DD7" w:rsidRPr="000A0A5F" w:rsidRDefault="00CB0DD7">
            <w:pPr>
              <w:pStyle w:val="TAL"/>
            </w:pPr>
          </w:p>
        </w:tc>
        <w:tc>
          <w:tcPr>
            <w:tcW w:w="2834" w:type="pct"/>
            <w:gridSpan w:val="2"/>
          </w:tcPr>
          <w:p w:rsidR="00CB0DD7" w:rsidRPr="000A0A5F" w:rsidRDefault="00CB0DD7">
            <w:pPr>
              <w:pStyle w:val="TAL"/>
            </w:pPr>
          </w:p>
        </w:tc>
      </w:tr>
      <w:tr w:rsidR="00CB0DD7" w:rsidRPr="000A0A5F" w:rsidTr="0008146A">
        <w:tc>
          <w:tcPr>
            <w:tcW w:w="532" w:type="pct"/>
            <w:vMerge w:val="restart"/>
            <w:shd w:val="clear" w:color="auto" w:fill="C0C0C0"/>
            <w:vAlign w:val="center"/>
          </w:tcPr>
          <w:p w:rsidR="00CB0DD7" w:rsidRPr="000A0A5F" w:rsidRDefault="00CB0DD7">
            <w:pPr>
              <w:pStyle w:val="TAH"/>
            </w:pPr>
            <w:r w:rsidRPr="000A0A5F">
              <w:t>Response body</w:t>
            </w:r>
          </w:p>
        </w:tc>
        <w:tc>
          <w:tcPr>
            <w:tcW w:w="1093" w:type="pct"/>
            <w:shd w:val="clear" w:color="auto" w:fill="C0C0C0"/>
          </w:tcPr>
          <w:p w:rsidR="00CB0DD7" w:rsidRPr="000A0A5F" w:rsidRDefault="00CB0DD7">
            <w:pPr>
              <w:pStyle w:val="TAH"/>
            </w:pPr>
          </w:p>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p>
          <w:p w:rsidR="00CB0DD7" w:rsidRPr="000A0A5F" w:rsidRDefault="00CB0DD7">
            <w:pPr>
              <w:pStyle w:val="TAH"/>
            </w:pPr>
            <w:r w:rsidRPr="000A0A5F">
              <w:t>Cardinality</w:t>
            </w:r>
          </w:p>
        </w:tc>
        <w:tc>
          <w:tcPr>
            <w:tcW w:w="500" w:type="pct"/>
            <w:shd w:val="clear" w:color="auto" w:fill="C0C0C0"/>
          </w:tcPr>
          <w:p w:rsidR="00CB0DD7" w:rsidRPr="000A0A5F" w:rsidRDefault="00CB0DD7">
            <w:pPr>
              <w:pStyle w:val="TAH"/>
            </w:pPr>
            <w:r w:rsidRPr="000A0A5F">
              <w:t>Response</w:t>
            </w:r>
          </w:p>
          <w:p w:rsidR="00CB0DD7" w:rsidRPr="000A0A5F" w:rsidRDefault="00CB0DD7">
            <w:pPr>
              <w:pStyle w:val="TAH"/>
            </w:pPr>
            <w:r w:rsidRPr="000A0A5F">
              <w:t>codes</w:t>
            </w:r>
          </w:p>
        </w:tc>
        <w:tc>
          <w:tcPr>
            <w:tcW w:w="2334" w:type="pct"/>
            <w:shd w:val="clear" w:color="auto" w:fill="C0C0C0"/>
          </w:tcPr>
          <w:p w:rsidR="00CB0DD7" w:rsidRPr="000A0A5F" w:rsidRDefault="00CB0DD7">
            <w:pPr>
              <w:pStyle w:val="TAH"/>
            </w:pPr>
          </w:p>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array(PfdManagement)</w:t>
            </w:r>
          </w:p>
        </w:tc>
        <w:tc>
          <w:tcPr>
            <w:tcW w:w="541" w:type="pct"/>
          </w:tcPr>
          <w:p w:rsidR="00CB0DD7" w:rsidRPr="000A0A5F" w:rsidRDefault="00CB0DD7">
            <w:pPr>
              <w:pStyle w:val="TAL"/>
            </w:pPr>
            <w:r w:rsidRPr="000A0A5F">
              <w:t>0..N</w:t>
            </w:r>
          </w:p>
        </w:tc>
        <w:tc>
          <w:tcPr>
            <w:tcW w:w="500" w:type="pct"/>
          </w:tcPr>
          <w:p w:rsidR="00CB0DD7" w:rsidRPr="000A0A5F" w:rsidRDefault="00CB0DD7">
            <w:pPr>
              <w:pStyle w:val="TAL"/>
            </w:pPr>
            <w:r w:rsidRPr="000A0A5F">
              <w:t>200 OK</w:t>
            </w:r>
          </w:p>
        </w:tc>
        <w:tc>
          <w:tcPr>
            <w:tcW w:w="2334" w:type="pct"/>
          </w:tcPr>
          <w:p w:rsidR="00CB0DD7" w:rsidRPr="000A0A5F" w:rsidRDefault="00CB0DD7">
            <w:pPr>
              <w:pStyle w:val="TAL"/>
            </w:pPr>
            <w:r w:rsidRPr="000A0A5F">
              <w:t xml:space="preserve">All </w:t>
            </w:r>
            <w:r w:rsidR="00D85C5A" w:rsidRPr="000A0A5F">
              <w:t xml:space="preserve">or queried </w:t>
            </w:r>
            <w:r w:rsidRPr="000A0A5F">
              <w:t>transactions including the PFDs for the SCS/AS in the request URI are returned.</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none</w:t>
            </w:r>
          </w:p>
        </w:tc>
        <w:tc>
          <w:tcPr>
            <w:tcW w:w="541" w:type="pct"/>
          </w:tcPr>
          <w:p w:rsidR="00CB0DD7" w:rsidRPr="000A0A5F" w:rsidRDefault="00CB0DD7">
            <w:pPr>
              <w:pStyle w:val="TAL"/>
            </w:pPr>
          </w:p>
        </w:tc>
        <w:tc>
          <w:tcPr>
            <w:tcW w:w="500" w:type="pct"/>
          </w:tcPr>
          <w:p w:rsidR="00CB0DD7" w:rsidRPr="000A0A5F" w:rsidRDefault="00CB0DD7">
            <w:pPr>
              <w:pStyle w:val="TAL"/>
            </w:pPr>
            <w:r w:rsidRPr="000A0A5F">
              <w:t>307 Temporary Redirect</w:t>
            </w:r>
          </w:p>
        </w:tc>
        <w:tc>
          <w:tcPr>
            <w:tcW w:w="2334" w:type="pct"/>
          </w:tcPr>
          <w:p w:rsidR="00CB0DD7" w:rsidRPr="000A0A5F" w:rsidRDefault="00CB0DD7">
            <w:pPr>
              <w:pStyle w:val="TAL"/>
            </w:pPr>
            <w:r w:rsidRPr="000A0A5F">
              <w:t>Temporary redirection, during transaction retrieval. The response shall include a Location header field containing an alternative URI of the resource located in an alternative SCEF.</w:t>
            </w:r>
          </w:p>
          <w:p w:rsidR="00CB0DD7" w:rsidRPr="000A0A5F" w:rsidRDefault="00CB0DD7">
            <w:pPr>
              <w:pStyle w:val="TAL"/>
            </w:pPr>
            <w:r w:rsidRPr="000A0A5F">
              <w:t>Redirection handling is described in clause 5.2.10.</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none</w:t>
            </w:r>
          </w:p>
        </w:tc>
        <w:tc>
          <w:tcPr>
            <w:tcW w:w="541" w:type="pct"/>
          </w:tcPr>
          <w:p w:rsidR="00CB0DD7" w:rsidRPr="000A0A5F" w:rsidRDefault="00CB0DD7">
            <w:pPr>
              <w:pStyle w:val="TAL"/>
            </w:pPr>
          </w:p>
        </w:tc>
        <w:tc>
          <w:tcPr>
            <w:tcW w:w="500" w:type="pct"/>
          </w:tcPr>
          <w:p w:rsidR="00CB0DD7" w:rsidRPr="000A0A5F" w:rsidRDefault="00CB0DD7">
            <w:pPr>
              <w:pStyle w:val="TAL"/>
            </w:pPr>
            <w:r w:rsidRPr="000A0A5F">
              <w:t>308 Permanent Redirect</w:t>
            </w:r>
          </w:p>
        </w:tc>
        <w:tc>
          <w:tcPr>
            <w:tcW w:w="2334" w:type="pct"/>
          </w:tcPr>
          <w:p w:rsidR="00CB0DD7" w:rsidRPr="000A0A5F" w:rsidRDefault="00CB0DD7">
            <w:pPr>
              <w:pStyle w:val="TAL"/>
            </w:pPr>
            <w:r w:rsidRPr="000A0A5F">
              <w:t>Permanent redirection, during transaction retrieval. The response shall include a Location header field containing an alternative URI of the resource located in an alternative SCEF.</w:t>
            </w:r>
          </w:p>
          <w:p w:rsidR="00CB0DD7" w:rsidRPr="000A0A5F" w:rsidRDefault="00CB0DD7">
            <w:pPr>
              <w:pStyle w:val="TAL"/>
            </w:pPr>
            <w:r w:rsidRPr="000A0A5F">
              <w:t>Redirection handling is described in clause 5.2.10.</w:t>
            </w:r>
          </w:p>
        </w:tc>
      </w:tr>
      <w:tr w:rsidR="00CB0DD7" w:rsidRPr="000A0A5F" w:rsidTr="00FF0AF8">
        <w:tc>
          <w:tcPr>
            <w:tcW w:w="5000" w:type="pct"/>
            <w:gridSpan w:val="5"/>
            <w:shd w:val="clear" w:color="auto" w:fill="auto"/>
            <w:vAlign w:val="center"/>
          </w:tcPr>
          <w:p w:rsidR="00CB0DD7" w:rsidRPr="000A0A5F" w:rsidRDefault="00CB0DD7">
            <w:pPr>
              <w:pStyle w:val="TAN"/>
            </w:pPr>
            <w:r w:rsidRPr="000A0A5F">
              <w:t>NOTE:</w:t>
            </w:r>
            <w:r w:rsidRPr="000A0A5F">
              <w:tab/>
              <w:t>The mandatory HTTP error status codes for the GET method listed in table 5.2.6-1 also apply.</w:t>
            </w:r>
          </w:p>
        </w:tc>
      </w:tr>
    </w:tbl>
    <w:p w:rsidR="00CB0DD7" w:rsidRPr="000A0A5F" w:rsidRDefault="00CB0DD7"/>
    <w:p w:rsidR="00CB0DD7" w:rsidRPr="000A0A5F" w:rsidRDefault="002E466A">
      <w:pPr>
        <w:pStyle w:val="TH"/>
      </w:pPr>
      <w:r w:rsidRPr="000A0A5F">
        <w:t>Table </w:t>
      </w:r>
      <w:r w:rsidR="00CB0DD7" w:rsidRPr="000A0A5F">
        <w:t>5.11.3.2.3.1-2: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2E466A">
      <w:pPr>
        <w:pStyle w:val="TH"/>
      </w:pPr>
      <w:r w:rsidRPr="000A0A5F">
        <w:t>Table </w:t>
      </w:r>
      <w:r w:rsidR="00CB0DD7" w:rsidRPr="000A0A5F">
        <w:t>5.11.3.2.3.1-3: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CB0DD7">
      <w:pPr>
        <w:pStyle w:val="Heading6"/>
      </w:pPr>
      <w:bookmarkStart w:id="7993" w:name="_Toc11247786"/>
      <w:bookmarkStart w:id="7994" w:name="_Toc27044930"/>
      <w:bookmarkStart w:id="7995" w:name="_Toc36033972"/>
      <w:bookmarkStart w:id="7996" w:name="_Toc45132118"/>
      <w:bookmarkStart w:id="7997" w:name="_Toc49776403"/>
      <w:bookmarkStart w:id="7998" w:name="_Toc51747323"/>
      <w:bookmarkStart w:id="7999" w:name="_Toc66360896"/>
      <w:bookmarkStart w:id="8000" w:name="_Toc68105401"/>
      <w:bookmarkStart w:id="8001" w:name="_Toc74756031"/>
      <w:bookmarkStart w:id="8002" w:name="_Toc105674908"/>
      <w:bookmarkStart w:id="8003" w:name="_Toc130502972"/>
      <w:bookmarkStart w:id="8004" w:name="_Toc153625760"/>
      <w:r w:rsidRPr="000A0A5F">
        <w:t>5.11.3.2.3.2</w:t>
      </w:r>
      <w:r w:rsidRPr="000A0A5F">
        <w:tab/>
        <w:t>PUT</w:t>
      </w:r>
      <w:bookmarkEnd w:id="7993"/>
      <w:bookmarkEnd w:id="7994"/>
      <w:bookmarkEnd w:id="7995"/>
      <w:bookmarkEnd w:id="7996"/>
      <w:bookmarkEnd w:id="7997"/>
      <w:bookmarkEnd w:id="7998"/>
      <w:bookmarkEnd w:id="7999"/>
      <w:bookmarkEnd w:id="8000"/>
      <w:bookmarkEnd w:id="8001"/>
      <w:bookmarkEnd w:id="8002"/>
      <w:bookmarkEnd w:id="8003"/>
      <w:bookmarkEnd w:id="8004"/>
    </w:p>
    <w:p w:rsidR="00CB0DD7" w:rsidRPr="000A0A5F" w:rsidRDefault="00CB0DD7">
      <w:pPr>
        <w:rPr>
          <w:rFonts w:hint="eastAsia"/>
          <w:lang w:eastAsia="zh-CN"/>
        </w:rPr>
      </w:pPr>
      <w:r w:rsidRPr="000A0A5F">
        <w:rPr>
          <w:rFonts w:hint="eastAsia"/>
          <w:lang w:eastAsia="zh-CN"/>
        </w:rPr>
        <w:t xml:space="preserve">This </w:t>
      </w:r>
      <w:r w:rsidRPr="000A0A5F">
        <w:rPr>
          <w:lang w:eastAsia="zh-CN"/>
        </w:rPr>
        <w:t>HTTP method is not supported for the resource.</w:t>
      </w:r>
    </w:p>
    <w:p w:rsidR="00CB0DD7" w:rsidRPr="000A0A5F" w:rsidRDefault="00CB0DD7">
      <w:pPr>
        <w:pStyle w:val="Heading6"/>
      </w:pPr>
      <w:bookmarkStart w:id="8005" w:name="_Toc11247787"/>
      <w:bookmarkStart w:id="8006" w:name="_Toc27044931"/>
      <w:bookmarkStart w:id="8007" w:name="_Toc36033973"/>
      <w:bookmarkStart w:id="8008" w:name="_Toc45132119"/>
      <w:bookmarkStart w:id="8009" w:name="_Toc49776404"/>
      <w:bookmarkStart w:id="8010" w:name="_Toc51747324"/>
      <w:bookmarkStart w:id="8011" w:name="_Toc66360897"/>
      <w:bookmarkStart w:id="8012" w:name="_Toc68105402"/>
      <w:bookmarkStart w:id="8013" w:name="_Toc74756032"/>
      <w:bookmarkStart w:id="8014" w:name="_Toc105674909"/>
      <w:bookmarkStart w:id="8015" w:name="_Toc130502973"/>
      <w:bookmarkStart w:id="8016" w:name="_Toc153625761"/>
      <w:r w:rsidRPr="000A0A5F">
        <w:t>5.11.3.2.3.3</w:t>
      </w:r>
      <w:r w:rsidRPr="000A0A5F">
        <w:tab/>
        <w:t>POST</w:t>
      </w:r>
      <w:bookmarkEnd w:id="8005"/>
      <w:bookmarkEnd w:id="8006"/>
      <w:bookmarkEnd w:id="8007"/>
      <w:bookmarkEnd w:id="8008"/>
      <w:bookmarkEnd w:id="8009"/>
      <w:bookmarkEnd w:id="8010"/>
      <w:bookmarkEnd w:id="8011"/>
      <w:bookmarkEnd w:id="8012"/>
      <w:bookmarkEnd w:id="8013"/>
      <w:bookmarkEnd w:id="8014"/>
      <w:bookmarkEnd w:id="8015"/>
      <w:bookmarkEnd w:id="8016"/>
    </w:p>
    <w:p w:rsidR="00CB0DD7" w:rsidRPr="000A0A5F" w:rsidRDefault="00CB0DD7">
      <w:pPr>
        <w:rPr>
          <w:noProof/>
          <w:lang w:eastAsia="zh-CN"/>
        </w:rPr>
      </w:pPr>
      <w:r w:rsidRPr="000A0A5F">
        <w:rPr>
          <w:noProof/>
          <w:lang w:eastAsia="zh-CN"/>
        </w:rPr>
        <w:t xml:space="preserve">The POST method creates new PFDs resource(s) for a given SCS/AS with one or more external Application Identifier provided by the SCS/AS. It is initiated by the SCS/AS and answered by the SCEF. The SCS/AS shall provide the external Application Identifier in the message body and upon receipt of the HTTP POST message, the SCEF shall generate the resource </w:t>
      </w:r>
      <w:r w:rsidRPr="000A0A5F">
        <w:t>"Individual PFD Management Transaction" and also the sub-resource(s) "Individual Application PFD Management", the SCEF shall send these resource URI in the HTTP response to the SCS/AS.</w:t>
      </w:r>
    </w:p>
    <w:p w:rsidR="00CB0DD7" w:rsidRPr="000A0A5F" w:rsidRDefault="00CB0DD7">
      <w:r w:rsidRPr="000A0A5F">
        <w:t>This method shall support the request and response data structures, and response codes, as specified in the table 5.11.3.2.3.3-1.</w:t>
      </w:r>
    </w:p>
    <w:p w:rsidR="00CB0DD7" w:rsidRPr="000A0A5F" w:rsidRDefault="00CB0DD7">
      <w:pPr>
        <w:pStyle w:val="TH"/>
      </w:pPr>
      <w:r w:rsidRPr="000A0A5F">
        <w:t>Table 5.11.3.2.3.3-1: Data structures supported by the POST request/response by the resource</w:t>
      </w:r>
    </w:p>
    <w:tbl>
      <w:tblPr>
        <w:tblW w:w="4999" w:type="pct"/>
        <w:tblInd w:w="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45" w:type="dxa"/>
          <w:left w:w="45" w:type="dxa"/>
          <w:bottom w:w="45" w:type="dxa"/>
          <w:right w:w="45" w:type="dxa"/>
        </w:tblCellMar>
        <w:tblLook w:val="0000" w:firstRow="0" w:lastRow="0" w:firstColumn="0" w:lastColumn="0" w:noHBand="0" w:noVBand="0"/>
      </w:tblPr>
      <w:tblGrid>
        <w:gridCol w:w="1043"/>
        <w:gridCol w:w="2831"/>
        <w:gridCol w:w="1138"/>
        <w:gridCol w:w="1273"/>
        <w:gridCol w:w="3444"/>
      </w:tblGrid>
      <w:tr w:rsidR="00CB0DD7" w:rsidRPr="000A0A5F" w:rsidTr="0008146A">
        <w:tc>
          <w:tcPr>
            <w:tcW w:w="536" w:type="pct"/>
            <w:vMerge w:val="restart"/>
            <w:shd w:val="clear" w:color="auto" w:fill="C0C0C0"/>
            <w:vAlign w:val="center"/>
          </w:tcPr>
          <w:p w:rsidR="00CB0DD7" w:rsidRPr="000A0A5F" w:rsidRDefault="00CB0DD7">
            <w:pPr>
              <w:pStyle w:val="TAH"/>
            </w:pPr>
            <w:r w:rsidRPr="000A0A5F">
              <w:t>Request body</w:t>
            </w:r>
          </w:p>
        </w:tc>
        <w:tc>
          <w:tcPr>
            <w:tcW w:w="1455" w:type="pct"/>
            <w:shd w:val="clear" w:color="auto" w:fill="C0C0C0"/>
          </w:tcPr>
          <w:p w:rsidR="00CB0DD7" w:rsidRPr="000A0A5F" w:rsidRDefault="00CB0DD7">
            <w:pPr>
              <w:pStyle w:val="TAH"/>
            </w:pPr>
            <w:r w:rsidRPr="000A0A5F">
              <w:t>Data type</w:t>
            </w:r>
          </w:p>
        </w:tc>
        <w:tc>
          <w:tcPr>
            <w:tcW w:w="585" w:type="pct"/>
            <w:shd w:val="clear" w:color="auto" w:fill="C0C0C0"/>
          </w:tcPr>
          <w:p w:rsidR="00CB0DD7" w:rsidRPr="000A0A5F" w:rsidRDefault="00CB0DD7">
            <w:pPr>
              <w:pStyle w:val="TAH"/>
            </w:pPr>
            <w:r w:rsidRPr="000A0A5F">
              <w:t>Cardinality</w:t>
            </w:r>
          </w:p>
        </w:tc>
        <w:tc>
          <w:tcPr>
            <w:tcW w:w="2424" w:type="pct"/>
            <w:gridSpan w:val="2"/>
            <w:shd w:val="clear" w:color="auto" w:fill="C0C0C0"/>
          </w:tcPr>
          <w:p w:rsidR="00CB0DD7" w:rsidRPr="000A0A5F" w:rsidRDefault="00CB0DD7">
            <w:pPr>
              <w:pStyle w:val="TAH"/>
            </w:pPr>
            <w:r w:rsidRPr="000A0A5F">
              <w:t>Remarks</w:t>
            </w:r>
          </w:p>
        </w:tc>
      </w:tr>
      <w:tr w:rsidR="00CB0DD7" w:rsidRPr="000A0A5F" w:rsidTr="00FF0AF8">
        <w:tc>
          <w:tcPr>
            <w:tcW w:w="536" w:type="pct"/>
            <w:vMerge/>
            <w:shd w:val="clear" w:color="auto" w:fill="BFBFBF"/>
            <w:vAlign w:val="center"/>
          </w:tcPr>
          <w:p w:rsidR="00CB0DD7" w:rsidRPr="000A0A5F" w:rsidRDefault="00CB0DD7">
            <w:pPr>
              <w:pStyle w:val="TAL"/>
              <w:jc w:val="center"/>
            </w:pPr>
          </w:p>
        </w:tc>
        <w:tc>
          <w:tcPr>
            <w:tcW w:w="1455" w:type="pct"/>
            <w:shd w:val="clear" w:color="auto" w:fill="auto"/>
          </w:tcPr>
          <w:p w:rsidR="00CB0DD7" w:rsidRPr="000A0A5F" w:rsidRDefault="00CB0DD7">
            <w:pPr>
              <w:pStyle w:val="TAL"/>
              <w:rPr>
                <w:rFonts w:hint="eastAsia"/>
                <w:lang w:eastAsia="zh-CN"/>
              </w:rPr>
            </w:pPr>
            <w:r w:rsidRPr="000A0A5F">
              <w:rPr>
                <w:rFonts w:hint="eastAsia"/>
                <w:lang w:eastAsia="zh-CN"/>
              </w:rPr>
              <w:t>PfdManag</w:t>
            </w:r>
            <w:r w:rsidRPr="000A0A5F">
              <w:rPr>
                <w:lang w:eastAsia="zh-CN"/>
              </w:rPr>
              <w:t>e</w:t>
            </w:r>
            <w:r w:rsidRPr="000A0A5F">
              <w:rPr>
                <w:rFonts w:hint="eastAsia"/>
                <w:lang w:eastAsia="zh-CN"/>
              </w:rPr>
              <w:t>ment</w:t>
            </w:r>
          </w:p>
        </w:tc>
        <w:tc>
          <w:tcPr>
            <w:tcW w:w="585" w:type="pct"/>
          </w:tcPr>
          <w:p w:rsidR="00CB0DD7" w:rsidRPr="000A0A5F" w:rsidRDefault="00CB0DD7">
            <w:pPr>
              <w:pStyle w:val="TAL"/>
            </w:pPr>
            <w:r w:rsidRPr="000A0A5F">
              <w:t>1</w:t>
            </w:r>
          </w:p>
        </w:tc>
        <w:tc>
          <w:tcPr>
            <w:tcW w:w="2424" w:type="pct"/>
            <w:gridSpan w:val="2"/>
          </w:tcPr>
          <w:p w:rsidR="00CB0DD7" w:rsidRPr="000A0A5F" w:rsidRDefault="00CB0DD7">
            <w:pPr>
              <w:pStyle w:val="TAL"/>
            </w:pPr>
          </w:p>
        </w:tc>
      </w:tr>
      <w:tr w:rsidR="00CB0DD7" w:rsidRPr="000A0A5F" w:rsidTr="0008146A">
        <w:tc>
          <w:tcPr>
            <w:tcW w:w="536" w:type="pct"/>
            <w:vMerge w:val="restart"/>
            <w:shd w:val="clear" w:color="auto" w:fill="C0C0C0"/>
            <w:vAlign w:val="center"/>
          </w:tcPr>
          <w:p w:rsidR="00CB0DD7" w:rsidRPr="000A0A5F" w:rsidRDefault="00CB0DD7">
            <w:pPr>
              <w:pStyle w:val="TAH"/>
            </w:pPr>
            <w:r w:rsidRPr="000A0A5F">
              <w:t>Response body</w:t>
            </w:r>
          </w:p>
        </w:tc>
        <w:tc>
          <w:tcPr>
            <w:tcW w:w="1455" w:type="pct"/>
            <w:shd w:val="clear" w:color="auto" w:fill="C0C0C0"/>
          </w:tcPr>
          <w:p w:rsidR="00CB0DD7" w:rsidRPr="000A0A5F" w:rsidRDefault="00CB0DD7">
            <w:pPr>
              <w:pStyle w:val="TAH"/>
            </w:pPr>
          </w:p>
          <w:p w:rsidR="00CB0DD7" w:rsidRPr="000A0A5F" w:rsidRDefault="00CB0DD7">
            <w:pPr>
              <w:pStyle w:val="TAH"/>
            </w:pPr>
            <w:r w:rsidRPr="000A0A5F">
              <w:t>Data type</w:t>
            </w:r>
          </w:p>
        </w:tc>
        <w:tc>
          <w:tcPr>
            <w:tcW w:w="585" w:type="pct"/>
            <w:shd w:val="clear" w:color="auto" w:fill="C0C0C0"/>
          </w:tcPr>
          <w:p w:rsidR="00CB0DD7" w:rsidRPr="000A0A5F" w:rsidRDefault="00CB0DD7">
            <w:pPr>
              <w:pStyle w:val="TAH"/>
            </w:pPr>
          </w:p>
          <w:p w:rsidR="00CB0DD7" w:rsidRPr="000A0A5F" w:rsidRDefault="00CB0DD7">
            <w:pPr>
              <w:pStyle w:val="TAH"/>
            </w:pPr>
            <w:r w:rsidRPr="000A0A5F">
              <w:t>Cardinality</w:t>
            </w:r>
          </w:p>
        </w:tc>
        <w:tc>
          <w:tcPr>
            <w:tcW w:w="654" w:type="pct"/>
            <w:shd w:val="clear" w:color="auto" w:fill="C0C0C0"/>
          </w:tcPr>
          <w:p w:rsidR="00CB0DD7" w:rsidRPr="000A0A5F" w:rsidRDefault="00CB0DD7">
            <w:pPr>
              <w:pStyle w:val="TAH"/>
            </w:pPr>
            <w:r w:rsidRPr="000A0A5F">
              <w:t>Response</w:t>
            </w:r>
          </w:p>
          <w:p w:rsidR="00CB0DD7" w:rsidRPr="000A0A5F" w:rsidRDefault="00CB0DD7">
            <w:pPr>
              <w:pStyle w:val="TAH"/>
            </w:pPr>
            <w:r w:rsidRPr="000A0A5F">
              <w:t>codes</w:t>
            </w:r>
          </w:p>
        </w:tc>
        <w:tc>
          <w:tcPr>
            <w:tcW w:w="1770" w:type="pct"/>
            <w:shd w:val="clear" w:color="auto" w:fill="C0C0C0"/>
          </w:tcPr>
          <w:p w:rsidR="00CB0DD7" w:rsidRPr="000A0A5F" w:rsidRDefault="00CB0DD7">
            <w:pPr>
              <w:pStyle w:val="TAH"/>
            </w:pPr>
          </w:p>
          <w:p w:rsidR="00CB0DD7" w:rsidRPr="000A0A5F" w:rsidRDefault="00CB0DD7">
            <w:pPr>
              <w:pStyle w:val="TAH"/>
            </w:pPr>
            <w:r w:rsidRPr="000A0A5F">
              <w:t>Remarks</w:t>
            </w:r>
          </w:p>
        </w:tc>
      </w:tr>
      <w:tr w:rsidR="00CB0DD7" w:rsidRPr="000A0A5F" w:rsidTr="00FF0AF8">
        <w:trPr>
          <w:trHeight w:val="726"/>
        </w:trPr>
        <w:tc>
          <w:tcPr>
            <w:tcW w:w="536" w:type="pct"/>
            <w:vMerge/>
            <w:shd w:val="clear" w:color="auto" w:fill="BFBFBF"/>
            <w:vAlign w:val="center"/>
          </w:tcPr>
          <w:p w:rsidR="00CB0DD7" w:rsidRPr="000A0A5F" w:rsidRDefault="00CB0DD7">
            <w:pPr>
              <w:pStyle w:val="TAL"/>
              <w:jc w:val="center"/>
            </w:pPr>
          </w:p>
        </w:tc>
        <w:tc>
          <w:tcPr>
            <w:tcW w:w="1455" w:type="pct"/>
            <w:shd w:val="clear" w:color="auto" w:fill="auto"/>
          </w:tcPr>
          <w:p w:rsidR="00CB0DD7" w:rsidRPr="000A0A5F" w:rsidRDefault="00CB0DD7">
            <w:pPr>
              <w:pStyle w:val="TAL"/>
              <w:rPr>
                <w:rFonts w:hint="eastAsia"/>
                <w:lang w:eastAsia="zh-CN"/>
              </w:rPr>
            </w:pPr>
            <w:r w:rsidRPr="000A0A5F">
              <w:rPr>
                <w:rFonts w:hint="eastAsia"/>
                <w:lang w:eastAsia="zh-CN"/>
              </w:rPr>
              <w:t>PfdManagement</w:t>
            </w:r>
          </w:p>
        </w:tc>
        <w:tc>
          <w:tcPr>
            <w:tcW w:w="585" w:type="pct"/>
          </w:tcPr>
          <w:p w:rsidR="00CB0DD7" w:rsidRPr="000A0A5F" w:rsidRDefault="00CB0DD7">
            <w:pPr>
              <w:pStyle w:val="TAL"/>
            </w:pPr>
            <w:r w:rsidRPr="000A0A5F">
              <w:t>1</w:t>
            </w:r>
          </w:p>
        </w:tc>
        <w:tc>
          <w:tcPr>
            <w:tcW w:w="654" w:type="pct"/>
          </w:tcPr>
          <w:p w:rsidR="00CB0DD7" w:rsidRPr="000A0A5F" w:rsidRDefault="00CB0DD7">
            <w:pPr>
              <w:pStyle w:val="TAL"/>
            </w:pPr>
            <w:r w:rsidRPr="000A0A5F">
              <w:t>201 Created</w:t>
            </w:r>
          </w:p>
        </w:tc>
        <w:tc>
          <w:tcPr>
            <w:tcW w:w="1770" w:type="pct"/>
          </w:tcPr>
          <w:p w:rsidR="00CB0DD7" w:rsidRPr="000A0A5F" w:rsidRDefault="00CB0DD7">
            <w:pPr>
              <w:pStyle w:val="TAL"/>
            </w:pPr>
            <w:r w:rsidRPr="000A0A5F">
              <w:t>The PFDs resource was created successfully. PfdReport may be included to provide detailed failure information for some applications.</w:t>
            </w:r>
          </w:p>
        </w:tc>
      </w:tr>
      <w:tr w:rsidR="00CB0DD7" w:rsidRPr="000A0A5F" w:rsidTr="00FF0AF8">
        <w:trPr>
          <w:trHeight w:val="726"/>
        </w:trPr>
        <w:tc>
          <w:tcPr>
            <w:tcW w:w="536" w:type="pct"/>
            <w:vMerge/>
            <w:shd w:val="clear" w:color="auto" w:fill="BFBFBF"/>
            <w:vAlign w:val="center"/>
          </w:tcPr>
          <w:p w:rsidR="00CB0DD7" w:rsidRPr="000A0A5F" w:rsidRDefault="00CB0DD7">
            <w:pPr>
              <w:pStyle w:val="TAL"/>
              <w:jc w:val="center"/>
            </w:pPr>
          </w:p>
        </w:tc>
        <w:tc>
          <w:tcPr>
            <w:tcW w:w="1455" w:type="pct"/>
            <w:shd w:val="clear" w:color="auto" w:fill="auto"/>
          </w:tcPr>
          <w:p w:rsidR="00CB0DD7" w:rsidRPr="000A0A5F" w:rsidRDefault="00CB0DD7">
            <w:pPr>
              <w:pStyle w:val="TAL"/>
              <w:rPr>
                <w:rFonts w:hint="eastAsia"/>
                <w:lang w:eastAsia="zh-CN"/>
              </w:rPr>
            </w:pPr>
            <w:r w:rsidRPr="000A0A5F">
              <w:rPr>
                <w:lang w:eastAsia="zh-CN"/>
              </w:rPr>
              <w:t>array(</w:t>
            </w:r>
            <w:r w:rsidRPr="000A0A5F">
              <w:rPr>
                <w:rFonts w:hint="eastAsia"/>
                <w:lang w:eastAsia="zh-CN"/>
              </w:rPr>
              <w:t>Pfd</w:t>
            </w:r>
            <w:r w:rsidRPr="000A0A5F">
              <w:rPr>
                <w:lang w:eastAsia="zh-CN"/>
              </w:rPr>
              <w:t>Report)</w:t>
            </w:r>
          </w:p>
        </w:tc>
        <w:tc>
          <w:tcPr>
            <w:tcW w:w="585" w:type="pct"/>
          </w:tcPr>
          <w:p w:rsidR="00CB0DD7" w:rsidRPr="000A0A5F" w:rsidRDefault="00CB0DD7">
            <w:pPr>
              <w:pStyle w:val="TAL"/>
            </w:pPr>
            <w:r w:rsidRPr="000A0A5F">
              <w:t>1..N</w:t>
            </w:r>
          </w:p>
        </w:tc>
        <w:tc>
          <w:tcPr>
            <w:tcW w:w="654" w:type="pct"/>
          </w:tcPr>
          <w:p w:rsidR="00CB0DD7" w:rsidRPr="000A0A5F" w:rsidRDefault="00CB0DD7">
            <w:pPr>
              <w:pStyle w:val="TAL"/>
            </w:pPr>
            <w:r w:rsidRPr="000A0A5F">
              <w:t>500 Internal Server Error</w:t>
            </w:r>
          </w:p>
        </w:tc>
        <w:tc>
          <w:tcPr>
            <w:tcW w:w="1770" w:type="pct"/>
          </w:tcPr>
          <w:p w:rsidR="00CB0DD7" w:rsidRPr="000A0A5F" w:rsidRDefault="00CB0DD7">
            <w:pPr>
              <w:pStyle w:val="TAL"/>
            </w:pPr>
            <w:r w:rsidRPr="000A0A5F">
              <w:t>The PFDs for all applications were not created successfully. PfdReport is included with detailed information.</w:t>
            </w:r>
          </w:p>
        </w:tc>
      </w:tr>
      <w:tr w:rsidR="00CB0DD7" w:rsidRPr="000A0A5F" w:rsidTr="00FF0AF8">
        <w:tc>
          <w:tcPr>
            <w:tcW w:w="5000" w:type="pct"/>
            <w:gridSpan w:val="5"/>
            <w:shd w:val="clear" w:color="auto" w:fill="auto"/>
            <w:vAlign w:val="center"/>
          </w:tcPr>
          <w:p w:rsidR="00CB0DD7" w:rsidRPr="000A0A5F" w:rsidRDefault="00CB0DD7">
            <w:pPr>
              <w:pStyle w:val="TAN"/>
            </w:pPr>
            <w:r w:rsidRPr="000A0A5F">
              <w:t>NOTE:</w:t>
            </w:r>
            <w:r w:rsidRPr="000A0A5F">
              <w:tab/>
              <w:t>The mandatory HTTP error status codes for the POST method listed in table 5.2.6-1 also apply.</w:t>
            </w:r>
          </w:p>
        </w:tc>
      </w:tr>
    </w:tbl>
    <w:p w:rsidR="00CB0DD7" w:rsidRPr="000A0A5F" w:rsidRDefault="00CB0DD7">
      <w:pPr>
        <w:rPr>
          <w:noProof/>
        </w:rPr>
      </w:pPr>
    </w:p>
    <w:p w:rsidR="00CB0DD7" w:rsidRPr="000A0A5F" w:rsidRDefault="00CB0DD7">
      <w:pPr>
        <w:pStyle w:val="TH"/>
      </w:pPr>
      <w:r w:rsidRPr="000A0A5F">
        <w:t>Table</w:t>
      </w:r>
      <w:r w:rsidRPr="000A0A5F">
        <w:rPr>
          <w:noProof/>
        </w:rPr>
        <w:t> </w:t>
      </w:r>
      <w:r w:rsidRPr="000A0A5F">
        <w:t xml:space="preserve">5.11.3.2.3.3-2: Headers supported by the 201 Response Code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846044">
        <w:trPr>
          <w:jc w:val="center"/>
        </w:trPr>
        <w:tc>
          <w:tcPr>
            <w:tcW w:w="825" w:type="pct"/>
            <w:tcBorders>
              <w:bottom w:val="single" w:sz="6" w:space="0" w:color="auto"/>
            </w:tcBorders>
            <w:shd w:val="clear" w:color="auto" w:fill="C0C0C0"/>
          </w:tcPr>
          <w:p w:rsidR="00CB0DD7" w:rsidRPr="000A0A5F" w:rsidRDefault="00CB0DD7">
            <w:pPr>
              <w:pStyle w:val="TAH"/>
            </w:pPr>
            <w:r w:rsidRPr="000A0A5F">
              <w:t>Name</w:t>
            </w:r>
          </w:p>
        </w:tc>
        <w:tc>
          <w:tcPr>
            <w:tcW w:w="732" w:type="pct"/>
            <w:tcBorders>
              <w:bottom w:val="single" w:sz="6" w:space="0" w:color="auto"/>
            </w:tcBorders>
            <w:shd w:val="clear" w:color="auto" w:fill="C0C0C0"/>
          </w:tcPr>
          <w:p w:rsidR="00CB0DD7" w:rsidRPr="000A0A5F" w:rsidRDefault="00CB0DD7">
            <w:pPr>
              <w:pStyle w:val="TAH"/>
            </w:pPr>
            <w:r w:rsidRPr="000A0A5F">
              <w:t>Data type</w:t>
            </w:r>
          </w:p>
        </w:tc>
        <w:tc>
          <w:tcPr>
            <w:tcW w:w="217" w:type="pct"/>
            <w:tcBorders>
              <w:bottom w:val="single" w:sz="6" w:space="0" w:color="auto"/>
            </w:tcBorders>
            <w:shd w:val="clear" w:color="auto" w:fill="C0C0C0"/>
          </w:tcPr>
          <w:p w:rsidR="00CB0DD7" w:rsidRPr="000A0A5F" w:rsidRDefault="00CB0DD7">
            <w:pPr>
              <w:pStyle w:val="TAH"/>
            </w:pPr>
            <w:r w:rsidRPr="000A0A5F">
              <w:t>P</w:t>
            </w:r>
          </w:p>
        </w:tc>
        <w:tc>
          <w:tcPr>
            <w:tcW w:w="581" w:type="pct"/>
            <w:tcBorders>
              <w:bottom w:val="single" w:sz="6" w:space="0" w:color="auto"/>
            </w:tcBorders>
            <w:shd w:val="clear" w:color="auto" w:fill="C0C0C0"/>
          </w:tcPr>
          <w:p w:rsidR="00CB0DD7" w:rsidRPr="000A0A5F" w:rsidRDefault="00CB0DD7">
            <w:pPr>
              <w:pStyle w:val="TAH"/>
            </w:pPr>
            <w:r w:rsidRPr="000A0A5F">
              <w:t>Cardinality</w:t>
            </w:r>
          </w:p>
        </w:tc>
        <w:tc>
          <w:tcPr>
            <w:tcW w:w="2645" w:type="pct"/>
            <w:tcBorders>
              <w:bottom w:val="single" w:sz="6" w:space="0" w:color="auto"/>
            </w:tcBorders>
            <w:shd w:val="clear" w:color="auto" w:fill="C0C0C0"/>
            <w:vAlign w:val="center"/>
          </w:tcPr>
          <w:p w:rsidR="00CB0DD7" w:rsidRPr="000A0A5F" w:rsidRDefault="00CB0DD7">
            <w:pPr>
              <w:pStyle w:val="TAH"/>
            </w:pPr>
            <w:r w:rsidRPr="000A0A5F">
              <w:t>Description</w:t>
            </w:r>
          </w:p>
        </w:tc>
      </w:tr>
      <w:tr w:rsidR="00CB0DD7" w:rsidRPr="000A0A5F" w:rsidTr="00846044">
        <w:trPr>
          <w:jc w:val="center"/>
        </w:trPr>
        <w:tc>
          <w:tcPr>
            <w:tcW w:w="825" w:type="pct"/>
            <w:tcBorders>
              <w:top w:val="single" w:sz="6" w:space="0" w:color="auto"/>
            </w:tcBorders>
            <w:shd w:val="clear" w:color="auto" w:fill="auto"/>
          </w:tcPr>
          <w:p w:rsidR="00CB0DD7" w:rsidRPr="000A0A5F" w:rsidRDefault="00CB0DD7">
            <w:pPr>
              <w:pStyle w:val="TAL"/>
            </w:pPr>
            <w:r w:rsidRPr="000A0A5F">
              <w:t>Location</w:t>
            </w:r>
          </w:p>
        </w:tc>
        <w:tc>
          <w:tcPr>
            <w:tcW w:w="732" w:type="pct"/>
            <w:tcBorders>
              <w:top w:val="single" w:sz="6" w:space="0" w:color="auto"/>
            </w:tcBorders>
          </w:tcPr>
          <w:p w:rsidR="00CB0DD7" w:rsidRPr="000A0A5F" w:rsidRDefault="00CB0DD7">
            <w:pPr>
              <w:pStyle w:val="TAL"/>
            </w:pPr>
            <w:r w:rsidRPr="000A0A5F">
              <w:t>string</w:t>
            </w:r>
          </w:p>
        </w:tc>
        <w:tc>
          <w:tcPr>
            <w:tcW w:w="217" w:type="pct"/>
            <w:tcBorders>
              <w:top w:val="single" w:sz="6" w:space="0" w:color="auto"/>
            </w:tcBorders>
          </w:tcPr>
          <w:p w:rsidR="00CB0DD7" w:rsidRPr="000A0A5F" w:rsidRDefault="00CB0DD7">
            <w:pPr>
              <w:pStyle w:val="TAC"/>
            </w:pPr>
            <w:r w:rsidRPr="000A0A5F">
              <w:t>M</w:t>
            </w:r>
          </w:p>
        </w:tc>
        <w:tc>
          <w:tcPr>
            <w:tcW w:w="581" w:type="pct"/>
            <w:tcBorders>
              <w:top w:val="single" w:sz="6" w:space="0" w:color="auto"/>
            </w:tcBorders>
          </w:tcPr>
          <w:p w:rsidR="00CB0DD7" w:rsidRPr="000A0A5F" w:rsidRDefault="00CB0DD7">
            <w:pPr>
              <w:pStyle w:val="TAL"/>
            </w:pPr>
            <w:r w:rsidRPr="000A0A5F">
              <w:t>1</w:t>
            </w:r>
          </w:p>
        </w:tc>
        <w:tc>
          <w:tcPr>
            <w:tcW w:w="2645" w:type="pct"/>
            <w:tcBorders>
              <w:top w:val="single" w:sz="6" w:space="0" w:color="auto"/>
            </w:tcBorders>
            <w:shd w:val="clear" w:color="auto" w:fill="auto"/>
            <w:vAlign w:val="center"/>
          </w:tcPr>
          <w:p w:rsidR="00CB0DD7" w:rsidRPr="000A0A5F" w:rsidRDefault="00CB0DD7">
            <w:pPr>
              <w:pStyle w:val="TAL"/>
            </w:pPr>
            <w:r w:rsidRPr="000A0A5F">
              <w:t>Contains the URI of the newly created resource, according to the structure:</w:t>
            </w:r>
            <w:r w:rsidRPr="000A0A5F">
              <w:rPr>
                <w:noProof/>
              </w:rPr>
              <w:t xml:space="preserve"> </w:t>
            </w:r>
            <w:r w:rsidRPr="000A0A5F">
              <w:t>{apiRoot}/3gpp-pfd-management/v1/{scsAsId}/transactions/{transactionId}</w:t>
            </w:r>
          </w:p>
        </w:tc>
      </w:tr>
    </w:tbl>
    <w:p w:rsidR="00CB0DD7" w:rsidRPr="000A0A5F" w:rsidRDefault="00CB0DD7"/>
    <w:p w:rsidR="00CB0DD7" w:rsidRPr="000A0A5F" w:rsidRDefault="00CB0DD7">
      <w:pPr>
        <w:pStyle w:val="Heading6"/>
      </w:pPr>
      <w:bookmarkStart w:id="8017" w:name="_Toc11247788"/>
      <w:bookmarkStart w:id="8018" w:name="_Toc27044932"/>
      <w:bookmarkStart w:id="8019" w:name="_Toc36033974"/>
      <w:bookmarkStart w:id="8020" w:name="_Toc45132120"/>
      <w:bookmarkStart w:id="8021" w:name="_Toc49776405"/>
      <w:bookmarkStart w:id="8022" w:name="_Toc51747325"/>
      <w:bookmarkStart w:id="8023" w:name="_Toc66360898"/>
      <w:bookmarkStart w:id="8024" w:name="_Toc68105403"/>
      <w:bookmarkStart w:id="8025" w:name="_Toc74756033"/>
      <w:bookmarkStart w:id="8026" w:name="_Toc105674910"/>
      <w:bookmarkStart w:id="8027" w:name="_Toc130502974"/>
      <w:bookmarkStart w:id="8028" w:name="_Toc153625762"/>
      <w:r w:rsidRPr="000A0A5F">
        <w:t>5.11.3.2.3.4</w:t>
      </w:r>
      <w:r w:rsidRPr="000A0A5F">
        <w:tab/>
        <w:t>PATCH</w:t>
      </w:r>
      <w:bookmarkEnd w:id="8017"/>
      <w:bookmarkEnd w:id="8018"/>
      <w:bookmarkEnd w:id="8019"/>
      <w:bookmarkEnd w:id="8020"/>
      <w:bookmarkEnd w:id="8021"/>
      <w:bookmarkEnd w:id="8022"/>
      <w:bookmarkEnd w:id="8023"/>
      <w:bookmarkEnd w:id="8024"/>
      <w:bookmarkEnd w:id="8025"/>
      <w:bookmarkEnd w:id="8026"/>
      <w:bookmarkEnd w:id="8027"/>
      <w:bookmarkEnd w:id="8028"/>
    </w:p>
    <w:p w:rsidR="00CB0DD7" w:rsidRPr="000A0A5F" w:rsidRDefault="00CB0DD7">
      <w:pPr>
        <w:rPr>
          <w:lang w:eastAsia="zh-CN"/>
        </w:rPr>
      </w:pPr>
      <w:r w:rsidRPr="000A0A5F">
        <w:rPr>
          <w:rFonts w:hint="eastAsia"/>
          <w:lang w:eastAsia="zh-CN"/>
        </w:rPr>
        <w:t xml:space="preserve">This </w:t>
      </w:r>
      <w:r w:rsidRPr="000A0A5F">
        <w:rPr>
          <w:lang w:eastAsia="zh-CN"/>
        </w:rPr>
        <w:t>HTTP method is not supported for the resource.</w:t>
      </w:r>
    </w:p>
    <w:p w:rsidR="00CB0DD7" w:rsidRPr="000A0A5F" w:rsidRDefault="00CB0DD7">
      <w:pPr>
        <w:pStyle w:val="Heading6"/>
      </w:pPr>
      <w:bookmarkStart w:id="8029" w:name="_Toc11247789"/>
      <w:bookmarkStart w:id="8030" w:name="_Toc27044933"/>
      <w:bookmarkStart w:id="8031" w:name="_Toc36033975"/>
      <w:bookmarkStart w:id="8032" w:name="_Toc45132121"/>
      <w:bookmarkStart w:id="8033" w:name="_Toc49776406"/>
      <w:bookmarkStart w:id="8034" w:name="_Toc51747326"/>
      <w:bookmarkStart w:id="8035" w:name="_Toc66360899"/>
      <w:bookmarkStart w:id="8036" w:name="_Toc68105404"/>
      <w:bookmarkStart w:id="8037" w:name="_Toc74756034"/>
      <w:bookmarkStart w:id="8038" w:name="_Toc105674911"/>
      <w:bookmarkStart w:id="8039" w:name="_Toc130502975"/>
      <w:bookmarkStart w:id="8040" w:name="_Toc153625763"/>
      <w:r w:rsidRPr="000A0A5F">
        <w:t>5.11.3.2.3.5</w:t>
      </w:r>
      <w:r w:rsidRPr="000A0A5F">
        <w:tab/>
        <w:t>DELETE</w:t>
      </w:r>
      <w:bookmarkEnd w:id="8029"/>
      <w:bookmarkEnd w:id="8030"/>
      <w:bookmarkEnd w:id="8031"/>
      <w:bookmarkEnd w:id="8032"/>
      <w:bookmarkEnd w:id="8033"/>
      <w:bookmarkEnd w:id="8034"/>
      <w:bookmarkEnd w:id="8035"/>
      <w:bookmarkEnd w:id="8036"/>
      <w:bookmarkEnd w:id="8037"/>
      <w:bookmarkEnd w:id="8038"/>
      <w:bookmarkEnd w:id="8039"/>
      <w:bookmarkEnd w:id="8040"/>
    </w:p>
    <w:p w:rsidR="00CB0DD7" w:rsidRPr="000A0A5F" w:rsidRDefault="00CB0DD7">
      <w:r w:rsidRPr="000A0A5F">
        <w:t xml:space="preserve">To </w:t>
      </w:r>
      <w:r w:rsidRPr="000A0A5F">
        <w:rPr>
          <w:lang w:eastAsia="zh-CN"/>
        </w:rPr>
        <w:t>remove</w:t>
      </w:r>
      <w:r w:rsidRPr="000A0A5F">
        <w:t xml:space="preserve"> all PFDs for a given SCS/AS</w:t>
      </w:r>
      <w:r w:rsidRPr="000A0A5F">
        <w:rPr>
          <w:lang w:eastAsia="zh-CN"/>
        </w:rPr>
        <w:t>,</w:t>
      </w:r>
      <w:r w:rsidRPr="000A0A5F">
        <w:t xml:space="preserve"> the </w:t>
      </w:r>
      <w:r w:rsidRPr="000A0A5F">
        <w:rPr>
          <w:lang w:eastAsia="zh-CN"/>
        </w:rPr>
        <w:t xml:space="preserve">SCS/AS </w:t>
      </w:r>
      <w:r w:rsidRPr="000A0A5F">
        <w:t>shall use the HTTP DELETE method on the</w:t>
      </w:r>
      <w:r w:rsidRPr="000A0A5F">
        <w:rPr>
          <w:lang w:eastAsia="zh-CN"/>
        </w:rPr>
        <w:t xml:space="preserve"> </w:t>
      </w:r>
      <w:r w:rsidRPr="000A0A5F">
        <w:t>"</w:t>
      </w:r>
      <w:r w:rsidRPr="000A0A5F">
        <w:rPr>
          <w:lang w:eastAsia="zh-CN"/>
        </w:rPr>
        <w:t xml:space="preserve">PFD Management </w:t>
      </w:r>
      <w:r w:rsidRPr="000A0A5F">
        <w:t>Transactions" resource.</w:t>
      </w:r>
    </w:p>
    <w:p w:rsidR="00CB0DD7" w:rsidRPr="000A0A5F" w:rsidRDefault="00CB0DD7">
      <w:pPr>
        <w:rPr>
          <w:lang w:eastAsia="zh-CN"/>
        </w:rPr>
      </w:pPr>
      <w:r w:rsidRPr="000A0A5F">
        <w:t xml:space="preserve">The possible response messages from the </w:t>
      </w:r>
      <w:r w:rsidRPr="000A0A5F">
        <w:rPr>
          <w:lang w:eastAsia="zh-CN"/>
        </w:rPr>
        <w:t>SCEF</w:t>
      </w:r>
      <w:r w:rsidRPr="000A0A5F">
        <w:t xml:space="preserve">, depending on whether the DELETE request is successful or unsuccessful, are shown in </w:t>
      </w:r>
      <w:r w:rsidR="002E466A" w:rsidRPr="000A0A5F">
        <w:t>table</w:t>
      </w:r>
      <w:r w:rsidR="002E466A" w:rsidRPr="000A0A5F">
        <w:rPr>
          <w:lang w:val="en-US" w:eastAsia="zh-CN"/>
        </w:rPr>
        <w:t> </w:t>
      </w:r>
      <w:r w:rsidRPr="000A0A5F">
        <w:t>5.</w:t>
      </w:r>
      <w:r w:rsidRPr="000A0A5F">
        <w:rPr>
          <w:lang w:eastAsia="zh-CN"/>
        </w:rPr>
        <w:t>11</w:t>
      </w:r>
      <w:r w:rsidRPr="000A0A5F">
        <w:t>.3.2.3.5</w:t>
      </w:r>
      <w:r w:rsidRPr="000A0A5F">
        <w:rPr>
          <w:lang w:eastAsia="zh-CN"/>
        </w:rPr>
        <w:t>-1.</w:t>
      </w:r>
    </w:p>
    <w:p w:rsidR="00CB0DD7" w:rsidRPr="000A0A5F" w:rsidRDefault="00CB0DD7">
      <w:pPr>
        <w:pStyle w:val="TH"/>
      </w:pPr>
      <w:r w:rsidRPr="000A0A5F">
        <w:t>Table 5.</w:t>
      </w:r>
      <w:r w:rsidRPr="000A0A5F">
        <w:rPr>
          <w:lang w:eastAsia="zh-CN"/>
        </w:rPr>
        <w:t>11.3.2.3.5-1</w:t>
      </w:r>
      <w:r w:rsidRPr="000A0A5F">
        <w:t xml:space="preserve">: Data structures supported by the </w:t>
      </w:r>
      <w:r w:rsidRPr="000A0A5F">
        <w:rPr>
          <w:lang w:eastAsia="zh-CN"/>
        </w:rPr>
        <w:t>DELETE</w:t>
      </w:r>
      <w:r w:rsidRPr="000A0A5F">
        <w:t xml:space="preserve"> request/response by the resource</w:t>
      </w:r>
    </w:p>
    <w:tbl>
      <w:tblPr>
        <w:tblW w:w="4950" w:type="pct"/>
        <w:tblInd w:w="1" w:type="dxa"/>
        <w:tblBorders>
          <w:top w:val="single" w:sz="6" w:space="0" w:color="000000"/>
          <w:left w:val="single" w:sz="6" w:space="0" w:color="000000"/>
          <w:bottom w:val="single" w:sz="6" w:space="0" w:color="000000"/>
          <w:right w:val="single" w:sz="6" w:space="0" w:color="000000"/>
          <w:insideH w:val="single" w:sz="6" w:space="0" w:color="auto"/>
          <w:insideV w:val="single" w:sz="6" w:space="0" w:color="000000"/>
        </w:tblBorders>
        <w:tblCellMar>
          <w:top w:w="45" w:type="dxa"/>
          <w:left w:w="45" w:type="dxa"/>
          <w:bottom w:w="45" w:type="dxa"/>
          <w:right w:w="45" w:type="dxa"/>
        </w:tblCellMar>
        <w:tblLook w:val="04A0" w:firstRow="1" w:lastRow="0" w:firstColumn="1" w:lastColumn="0" w:noHBand="0" w:noVBand="1"/>
      </w:tblPr>
      <w:tblGrid>
        <w:gridCol w:w="1030"/>
        <w:gridCol w:w="2104"/>
        <w:gridCol w:w="1040"/>
        <w:gridCol w:w="971"/>
        <w:gridCol w:w="4489"/>
      </w:tblGrid>
      <w:tr w:rsidR="00CB0DD7" w:rsidRPr="000A0A5F" w:rsidTr="0008146A">
        <w:tc>
          <w:tcPr>
            <w:tcW w:w="534" w:type="pct"/>
            <w:vMerge w:val="restart"/>
            <w:shd w:val="clear" w:color="auto" w:fill="C0C0C0"/>
            <w:vAlign w:val="center"/>
            <w:hideMark/>
          </w:tcPr>
          <w:p w:rsidR="00CB0DD7" w:rsidRPr="000A0A5F" w:rsidRDefault="00CB0DD7">
            <w:pPr>
              <w:pStyle w:val="TAH"/>
            </w:pPr>
            <w:r w:rsidRPr="000A0A5F">
              <w:t>Request body</w:t>
            </w:r>
          </w:p>
        </w:tc>
        <w:tc>
          <w:tcPr>
            <w:tcW w:w="1092" w:type="pct"/>
            <w:shd w:val="clear" w:color="auto" w:fill="C0C0C0"/>
            <w:hideMark/>
          </w:tcPr>
          <w:p w:rsidR="00CB0DD7" w:rsidRPr="000A0A5F" w:rsidRDefault="00CB0DD7">
            <w:pPr>
              <w:pStyle w:val="TAH"/>
            </w:pPr>
            <w:r w:rsidRPr="000A0A5F">
              <w:t>Data type</w:t>
            </w:r>
          </w:p>
        </w:tc>
        <w:tc>
          <w:tcPr>
            <w:tcW w:w="540" w:type="pct"/>
            <w:shd w:val="clear" w:color="auto" w:fill="C0C0C0"/>
            <w:hideMark/>
          </w:tcPr>
          <w:p w:rsidR="00CB0DD7" w:rsidRPr="000A0A5F" w:rsidRDefault="00CB0DD7">
            <w:pPr>
              <w:pStyle w:val="TAH"/>
            </w:pPr>
            <w:r w:rsidRPr="000A0A5F">
              <w:t>Cardinality</w:t>
            </w:r>
          </w:p>
        </w:tc>
        <w:tc>
          <w:tcPr>
            <w:tcW w:w="2834" w:type="pct"/>
            <w:gridSpan w:val="2"/>
            <w:shd w:val="clear" w:color="auto" w:fill="C0C0C0"/>
            <w:hideMark/>
          </w:tcPr>
          <w:p w:rsidR="00CB0DD7" w:rsidRPr="000A0A5F" w:rsidRDefault="00CB0DD7">
            <w:pPr>
              <w:pStyle w:val="TAH"/>
            </w:pPr>
            <w:r w:rsidRPr="000A0A5F">
              <w:t>Remarks</w:t>
            </w:r>
          </w:p>
        </w:tc>
      </w:tr>
      <w:tr w:rsidR="00CB0DD7" w:rsidRPr="000A0A5F" w:rsidTr="00FF0AF8">
        <w:tc>
          <w:tcPr>
            <w:tcW w:w="0" w:type="auto"/>
            <w:vMerge/>
            <w:vAlign w:val="center"/>
            <w:hideMark/>
          </w:tcPr>
          <w:p w:rsidR="00CB0DD7" w:rsidRPr="000A0A5F" w:rsidRDefault="00CB0DD7">
            <w:pPr>
              <w:spacing w:after="0"/>
              <w:rPr>
                <w:rFonts w:ascii="Arial" w:hAnsi="Arial"/>
                <w:b/>
                <w:sz w:val="18"/>
              </w:rPr>
            </w:pPr>
          </w:p>
        </w:tc>
        <w:tc>
          <w:tcPr>
            <w:tcW w:w="1092" w:type="pct"/>
            <w:hideMark/>
          </w:tcPr>
          <w:p w:rsidR="00CB0DD7" w:rsidRPr="000A0A5F" w:rsidRDefault="00CB0DD7">
            <w:pPr>
              <w:pStyle w:val="TAL"/>
              <w:rPr>
                <w:lang w:eastAsia="zh-CN"/>
              </w:rPr>
            </w:pPr>
            <w:r w:rsidRPr="000A0A5F">
              <w:rPr>
                <w:lang w:eastAsia="zh-CN"/>
              </w:rPr>
              <w:t>none</w:t>
            </w:r>
          </w:p>
        </w:tc>
        <w:tc>
          <w:tcPr>
            <w:tcW w:w="540" w:type="pct"/>
          </w:tcPr>
          <w:p w:rsidR="00CB0DD7" w:rsidRPr="000A0A5F" w:rsidRDefault="00CB0DD7">
            <w:pPr>
              <w:pStyle w:val="TAL"/>
              <w:rPr>
                <w:lang w:eastAsia="zh-CN"/>
              </w:rPr>
            </w:pPr>
          </w:p>
        </w:tc>
        <w:tc>
          <w:tcPr>
            <w:tcW w:w="2834" w:type="pct"/>
            <w:gridSpan w:val="2"/>
            <w:hideMark/>
          </w:tcPr>
          <w:p w:rsidR="00CB0DD7" w:rsidRPr="000A0A5F" w:rsidRDefault="00CB0DD7">
            <w:pPr>
              <w:pStyle w:val="TAL"/>
              <w:rPr>
                <w:lang w:eastAsia="zh-CN"/>
              </w:rPr>
            </w:pPr>
          </w:p>
        </w:tc>
      </w:tr>
      <w:tr w:rsidR="00CB0DD7" w:rsidRPr="000A0A5F" w:rsidTr="0008146A">
        <w:tc>
          <w:tcPr>
            <w:tcW w:w="534" w:type="pct"/>
            <w:vMerge w:val="restart"/>
            <w:shd w:val="clear" w:color="auto" w:fill="C0C0C0"/>
            <w:vAlign w:val="center"/>
            <w:hideMark/>
          </w:tcPr>
          <w:p w:rsidR="00CB0DD7" w:rsidRPr="000A0A5F" w:rsidRDefault="00CB0DD7">
            <w:pPr>
              <w:pStyle w:val="TAH"/>
            </w:pPr>
            <w:r w:rsidRPr="000A0A5F">
              <w:t>Response body</w:t>
            </w:r>
          </w:p>
        </w:tc>
        <w:tc>
          <w:tcPr>
            <w:tcW w:w="1092" w:type="pct"/>
            <w:shd w:val="clear" w:color="auto" w:fill="C0C0C0"/>
          </w:tcPr>
          <w:p w:rsidR="00CB0DD7" w:rsidRPr="000A0A5F" w:rsidRDefault="00CB0DD7">
            <w:pPr>
              <w:pStyle w:val="TAH"/>
            </w:pPr>
          </w:p>
          <w:p w:rsidR="00CB0DD7" w:rsidRPr="000A0A5F" w:rsidRDefault="00CB0DD7">
            <w:pPr>
              <w:pStyle w:val="TAH"/>
            </w:pPr>
            <w:r w:rsidRPr="000A0A5F">
              <w:t>Data type</w:t>
            </w:r>
          </w:p>
        </w:tc>
        <w:tc>
          <w:tcPr>
            <w:tcW w:w="540" w:type="pct"/>
            <w:shd w:val="clear" w:color="auto" w:fill="C0C0C0"/>
          </w:tcPr>
          <w:p w:rsidR="00CB0DD7" w:rsidRPr="000A0A5F" w:rsidRDefault="00CB0DD7">
            <w:pPr>
              <w:pStyle w:val="TAH"/>
            </w:pPr>
          </w:p>
          <w:p w:rsidR="00CB0DD7" w:rsidRPr="000A0A5F" w:rsidRDefault="00CB0DD7">
            <w:pPr>
              <w:pStyle w:val="TAH"/>
            </w:pPr>
            <w:r w:rsidRPr="000A0A5F">
              <w:t>Cardinality</w:t>
            </w:r>
          </w:p>
        </w:tc>
        <w:tc>
          <w:tcPr>
            <w:tcW w:w="504" w:type="pct"/>
            <w:shd w:val="clear" w:color="auto" w:fill="C0C0C0"/>
            <w:hideMark/>
          </w:tcPr>
          <w:p w:rsidR="00CB0DD7" w:rsidRPr="000A0A5F" w:rsidRDefault="00CB0DD7">
            <w:pPr>
              <w:pStyle w:val="TAH"/>
            </w:pPr>
            <w:r w:rsidRPr="000A0A5F">
              <w:t>Response</w:t>
            </w:r>
          </w:p>
          <w:p w:rsidR="00CB0DD7" w:rsidRPr="000A0A5F" w:rsidRDefault="00CB0DD7">
            <w:pPr>
              <w:pStyle w:val="TAH"/>
            </w:pPr>
            <w:r w:rsidRPr="000A0A5F">
              <w:t>codes</w:t>
            </w:r>
          </w:p>
        </w:tc>
        <w:tc>
          <w:tcPr>
            <w:tcW w:w="2330" w:type="pct"/>
            <w:shd w:val="clear" w:color="auto" w:fill="C0C0C0"/>
          </w:tcPr>
          <w:p w:rsidR="00CB0DD7" w:rsidRPr="000A0A5F" w:rsidRDefault="00CB0DD7">
            <w:pPr>
              <w:pStyle w:val="TAH"/>
            </w:pPr>
          </w:p>
          <w:p w:rsidR="00CB0DD7" w:rsidRPr="000A0A5F" w:rsidRDefault="00CB0DD7">
            <w:pPr>
              <w:pStyle w:val="TAH"/>
            </w:pPr>
            <w:r w:rsidRPr="000A0A5F">
              <w:t>Remarks</w:t>
            </w:r>
          </w:p>
        </w:tc>
      </w:tr>
      <w:tr w:rsidR="00CB0DD7" w:rsidRPr="000A0A5F" w:rsidTr="00FF0AF8">
        <w:tc>
          <w:tcPr>
            <w:tcW w:w="0" w:type="auto"/>
            <w:vMerge/>
            <w:vAlign w:val="center"/>
            <w:hideMark/>
          </w:tcPr>
          <w:p w:rsidR="00CB0DD7" w:rsidRPr="000A0A5F" w:rsidRDefault="00CB0DD7">
            <w:pPr>
              <w:spacing w:after="0"/>
              <w:rPr>
                <w:rFonts w:ascii="Arial" w:hAnsi="Arial"/>
                <w:b/>
                <w:sz w:val="18"/>
              </w:rPr>
            </w:pPr>
          </w:p>
        </w:tc>
        <w:tc>
          <w:tcPr>
            <w:tcW w:w="1092" w:type="pct"/>
            <w:hideMark/>
          </w:tcPr>
          <w:p w:rsidR="00CB0DD7" w:rsidRPr="000A0A5F" w:rsidRDefault="00CB0DD7">
            <w:pPr>
              <w:pStyle w:val="TAL"/>
              <w:rPr>
                <w:lang w:eastAsia="zh-CN"/>
              </w:rPr>
            </w:pPr>
            <w:r w:rsidRPr="000A0A5F">
              <w:rPr>
                <w:lang w:eastAsia="zh-CN"/>
              </w:rPr>
              <w:t>none</w:t>
            </w:r>
          </w:p>
        </w:tc>
        <w:tc>
          <w:tcPr>
            <w:tcW w:w="540" w:type="pct"/>
          </w:tcPr>
          <w:p w:rsidR="00CB0DD7" w:rsidRPr="000A0A5F" w:rsidRDefault="00CB0DD7">
            <w:pPr>
              <w:pStyle w:val="TAL"/>
              <w:rPr>
                <w:lang w:eastAsia="zh-CN"/>
              </w:rPr>
            </w:pPr>
          </w:p>
        </w:tc>
        <w:tc>
          <w:tcPr>
            <w:tcW w:w="504" w:type="pct"/>
            <w:hideMark/>
          </w:tcPr>
          <w:p w:rsidR="00CB0DD7" w:rsidRPr="000A0A5F" w:rsidRDefault="00CB0DD7">
            <w:pPr>
              <w:pStyle w:val="TAL"/>
              <w:rPr>
                <w:lang w:eastAsia="zh-CN"/>
              </w:rPr>
            </w:pPr>
            <w:r w:rsidRPr="000A0A5F">
              <w:rPr>
                <w:lang w:eastAsia="zh-CN"/>
              </w:rPr>
              <w:t>204 No Content</w:t>
            </w:r>
          </w:p>
        </w:tc>
        <w:tc>
          <w:tcPr>
            <w:tcW w:w="2330" w:type="pct"/>
            <w:hideMark/>
          </w:tcPr>
          <w:p w:rsidR="00CB0DD7" w:rsidRPr="000A0A5F" w:rsidRDefault="0089739F">
            <w:pPr>
              <w:pStyle w:val="TAL"/>
            </w:pPr>
            <w:r w:rsidRPr="000A0A5F">
              <w:t>All PFDs were remov</w:t>
            </w:r>
            <w:r w:rsidRPr="000A0A5F">
              <w:rPr>
                <w:lang w:eastAsia="zh-CN"/>
              </w:rPr>
              <w:t>ed</w:t>
            </w:r>
            <w:r w:rsidRPr="000A0A5F">
              <w:t xml:space="preserve"> successfully. </w:t>
            </w:r>
            <w:r w:rsidRPr="000A0A5F">
              <w:rPr>
                <w:lang w:eastAsia="zh-CN"/>
              </w:rPr>
              <w:t>The SCEF shall not return a response content.</w:t>
            </w:r>
          </w:p>
        </w:tc>
      </w:tr>
      <w:tr w:rsidR="00CB0DD7" w:rsidRPr="000A0A5F" w:rsidTr="00FF0AF8">
        <w:tc>
          <w:tcPr>
            <w:tcW w:w="0" w:type="auto"/>
            <w:vMerge/>
            <w:vAlign w:val="center"/>
          </w:tcPr>
          <w:p w:rsidR="00CB0DD7" w:rsidRPr="000A0A5F" w:rsidRDefault="00CB0DD7">
            <w:pPr>
              <w:spacing w:after="0"/>
              <w:rPr>
                <w:rFonts w:ascii="Arial" w:hAnsi="Arial"/>
                <w:b/>
                <w:sz w:val="18"/>
              </w:rPr>
            </w:pPr>
          </w:p>
        </w:tc>
        <w:tc>
          <w:tcPr>
            <w:tcW w:w="1092" w:type="pct"/>
          </w:tcPr>
          <w:p w:rsidR="00CB0DD7" w:rsidRPr="000A0A5F" w:rsidRDefault="00CB0DD7">
            <w:pPr>
              <w:pStyle w:val="TAL"/>
              <w:rPr>
                <w:lang w:eastAsia="zh-CN"/>
              </w:rPr>
            </w:pPr>
            <w:r w:rsidRPr="000A0A5F">
              <w:t>none</w:t>
            </w:r>
          </w:p>
        </w:tc>
        <w:tc>
          <w:tcPr>
            <w:tcW w:w="540" w:type="pct"/>
          </w:tcPr>
          <w:p w:rsidR="00CB0DD7" w:rsidRPr="000A0A5F" w:rsidRDefault="00CB0DD7">
            <w:pPr>
              <w:pStyle w:val="TAL"/>
              <w:rPr>
                <w:lang w:eastAsia="zh-CN"/>
              </w:rPr>
            </w:pPr>
          </w:p>
        </w:tc>
        <w:tc>
          <w:tcPr>
            <w:tcW w:w="504" w:type="pct"/>
          </w:tcPr>
          <w:p w:rsidR="00CB0DD7" w:rsidRPr="000A0A5F" w:rsidRDefault="00CB0DD7">
            <w:pPr>
              <w:pStyle w:val="TAL"/>
              <w:rPr>
                <w:lang w:eastAsia="zh-CN"/>
              </w:rPr>
            </w:pPr>
            <w:r w:rsidRPr="000A0A5F">
              <w:t>307 Temporary Redirect</w:t>
            </w:r>
          </w:p>
        </w:tc>
        <w:tc>
          <w:tcPr>
            <w:tcW w:w="2330" w:type="pct"/>
          </w:tcPr>
          <w:p w:rsidR="00CB0DD7" w:rsidRPr="000A0A5F" w:rsidRDefault="00CB0DD7">
            <w:pPr>
              <w:pStyle w:val="TAL"/>
            </w:pPr>
            <w:r w:rsidRPr="000A0A5F">
              <w:t>Temporary redirection, during transaction termination. The response shall include a Location header field containing an alternative URI of the resource located in an alternative SCEF.</w:t>
            </w:r>
          </w:p>
          <w:p w:rsidR="00CB0DD7" w:rsidRPr="000A0A5F" w:rsidRDefault="00CB0DD7">
            <w:pPr>
              <w:pStyle w:val="TAL"/>
            </w:pPr>
            <w:r w:rsidRPr="000A0A5F">
              <w:t>Redirection handling is described in clause 5.2.10.</w:t>
            </w:r>
          </w:p>
        </w:tc>
      </w:tr>
      <w:tr w:rsidR="00CB0DD7" w:rsidRPr="000A0A5F" w:rsidTr="00FF0AF8">
        <w:tc>
          <w:tcPr>
            <w:tcW w:w="0" w:type="auto"/>
            <w:vMerge/>
            <w:vAlign w:val="center"/>
          </w:tcPr>
          <w:p w:rsidR="00CB0DD7" w:rsidRPr="000A0A5F" w:rsidRDefault="00CB0DD7">
            <w:pPr>
              <w:spacing w:after="0"/>
              <w:rPr>
                <w:rFonts w:ascii="Arial" w:hAnsi="Arial"/>
                <w:b/>
                <w:sz w:val="18"/>
              </w:rPr>
            </w:pPr>
          </w:p>
        </w:tc>
        <w:tc>
          <w:tcPr>
            <w:tcW w:w="1092" w:type="pct"/>
          </w:tcPr>
          <w:p w:rsidR="00CB0DD7" w:rsidRPr="000A0A5F" w:rsidRDefault="00CB0DD7">
            <w:pPr>
              <w:pStyle w:val="TAL"/>
              <w:rPr>
                <w:lang w:eastAsia="zh-CN"/>
              </w:rPr>
            </w:pPr>
            <w:r w:rsidRPr="000A0A5F">
              <w:t>none</w:t>
            </w:r>
          </w:p>
        </w:tc>
        <w:tc>
          <w:tcPr>
            <w:tcW w:w="540" w:type="pct"/>
          </w:tcPr>
          <w:p w:rsidR="00CB0DD7" w:rsidRPr="000A0A5F" w:rsidRDefault="00CB0DD7">
            <w:pPr>
              <w:pStyle w:val="TAL"/>
              <w:rPr>
                <w:lang w:eastAsia="zh-CN"/>
              </w:rPr>
            </w:pPr>
          </w:p>
        </w:tc>
        <w:tc>
          <w:tcPr>
            <w:tcW w:w="504" w:type="pct"/>
          </w:tcPr>
          <w:p w:rsidR="00CB0DD7" w:rsidRPr="000A0A5F" w:rsidRDefault="00CB0DD7">
            <w:pPr>
              <w:pStyle w:val="TAL"/>
              <w:rPr>
                <w:lang w:eastAsia="zh-CN"/>
              </w:rPr>
            </w:pPr>
            <w:r w:rsidRPr="000A0A5F">
              <w:t>308 Permanent Redirect</w:t>
            </w:r>
          </w:p>
        </w:tc>
        <w:tc>
          <w:tcPr>
            <w:tcW w:w="2330" w:type="pct"/>
          </w:tcPr>
          <w:p w:rsidR="00CB0DD7" w:rsidRPr="000A0A5F" w:rsidRDefault="00CB0DD7">
            <w:pPr>
              <w:pStyle w:val="TAL"/>
            </w:pPr>
            <w:r w:rsidRPr="000A0A5F">
              <w:t>Permanent redirection, during transaction termination. The response shall include a Location header field containing an alternative URI of the resource located in an alternative SCEF.</w:t>
            </w:r>
          </w:p>
          <w:p w:rsidR="00CB0DD7" w:rsidRPr="000A0A5F" w:rsidRDefault="00CB0DD7">
            <w:pPr>
              <w:pStyle w:val="TAL"/>
            </w:pPr>
            <w:r w:rsidRPr="000A0A5F">
              <w:t>Redirection handling is described in clause 5.2.10.</w:t>
            </w:r>
          </w:p>
        </w:tc>
      </w:tr>
      <w:tr w:rsidR="00CB0DD7" w:rsidRPr="000A0A5F" w:rsidTr="00FF0AF8">
        <w:tc>
          <w:tcPr>
            <w:tcW w:w="5000" w:type="pct"/>
            <w:gridSpan w:val="5"/>
            <w:vAlign w:val="center"/>
            <w:hideMark/>
          </w:tcPr>
          <w:p w:rsidR="00CB0DD7" w:rsidRPr="000A0A5F" w:rsidRDefault="00CB0DD7">
            <w:pPr>
              <w:pStyle w:val="TAN"/>
            </w:pPr>
            <w:r w:rsidRPr="000A0A5F">
              <w:t>NOTE:</w:t>
            </w:r>
            <w:r w:rsidRPr="000A0A5F">
              <w:tab/>
              <w:t>The mandatory HTTP error status codes for the DELETE method listed in table 5.2.6-1 also apply.</w:t>
            </w:r>
          </w:p>
        </w:tc>
      </w:tr>
    </w:tbl>
    <w:p w:rsidR="00CB0DD7" w:rsidRPr="000A0A5F" w:rsidRDefault="00CB0DD7"/>
    <w:p w:rsidR="00CB0DD7" w:rsidRPr="000A0A5F" w:rsidRDefault="002E466A">
      <w:pPr>
        <w:pStyle w:val="TH"/>
      </w:pPr>
      <w:r w:rsidRPr="000A0A5F">
        <w:t>Table </w:t>
      </w:r>
      <w:r w:rsidR="00CB0DD7" w:rsidRPr="000A0A5F">
        <w:t>5.11.3.2.3.5-2: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2E466A">
      <w:pPr>
        <w:pStyle w:val="TH"/>
      </w:pPr>
      <w:r w:rsidRPr="000A0A5F">
        <w:t>Table </w:t>
      </w:r>
      <w:r w:rsidR="00CB0DD7" w:rsidRPr="000A0A5F">
        <w:t>5.11.3.2.3.5-3: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Pr>
        <w:rPr>
          <w:lang w:eastAsia="zh-CN"/>
        </w:rPr>
      </w:pPr>
    </w:p>
    <w:p w:rsidR="00CB0DD7" w:rsidRPr="000A0A5F" w:rsidRDefault="00CB0DD7">
      <w:pPr>
        <w:pStyle w:val="Heading4"/>
      </w:pPr>
      <w:bookmarkStart w:id="8041" w:name="_Toc11247790"/>
      <w:bookmarkStart w:id="8042" w:name="_Toc27044934"/>
      <w:bookmarkStart w:id="8043" w:name="_Toc36033976"/>
      <w:bookmarkStart w:id="8044" w:name="_Toc45132122"/>
      <w:bookmarkStart w:id="8045" w:name="_Toc49776407"/>
      <w:bookmarkStart w:id="8046" w:name="_Toc51747327"/>
      <w:bookmarkStart w:id="8047" w:name="_Toc66360900"/>
      <w:bookmarkStart w:id="8048" w:name="_Toc68105405"/>
      <w:bookmarkStart w:id="8049" w:name="_Toc74756035"/>
      <w:bookmarkStart w:id="8050" w:name="_Toc105674912"/>
      <w:bookmarkStart w:id="8051" w:name="_Toc130502976"/>
      <w:bookmarkStart w:id="8052" w:name="_Toc153625764"/>
      <w:r w:rsidRPr="000A0A5F">
        <w:t>5.11.3.3</w:t>
      </w:r>
      <w:r w:rsidRPr="000A0A5F">
        <w:tab/>
        <w:t>Resource: Individual PFD Management Transaction</w:t>
      </w:r>
      <w:bookmarkEnd w:id="8041"/>
      <w:bookmarkEnd w:id="8042"/>
      <w:bookmarkEnd w:id="8043"/>
      <w:bookmarkEnd w:id="8044"/>
      <w:bookmarkEnd w:id="8045"/>
      <w:bookmarkEnd w:id="8046"/>
      <w:bookmarkEnd w:id="8047"/>
      <w:bookmarkEnd w:id="8048"/>
      <w:bookmarkEnd w:id="8049"/>
      <w:bookmarkEnd w:id="8050"/>
      <w:bookmarkEnd w:id="8051"/>
      <w:bookmarkEnd w:id="8052"/>
    </w:p>
    <w:p w:rsidR="00CB0DD7" w:rsidRPr="000A0A5F" w:rsidRDefault="00CB0DD7">
      <w:pPr>
        <w:pStyle w:val="Heading5"/>
      </w:pPr>
      <w:bookmarkStart w:id="8053" w:name="_Toc11247791"/>
      <w:bookmarkStart w:id="8054" w:name="_Toc27044935"/>
      <w:bookmarkStart w:id="8055" w:name="_Toc36033977"/>
      <w:bookmarkStart w:id="8056" w:name="_Toc45132123"/>
      <w:bookmarkStart w:id="8057" w:name="_Toc49776408"/>
      <w:bookmarkStart w:id="8058" w:name="_Toc51747328"/>
      <w:bookmarkStart w:id="8059" w:name="_Toc66360901"/>
      <w:bookmarkStart w:id="8060" w:name="_Toc68105406"/>
      <w:bookmarkStart w:id="8061" w:name="_Toc74756036"/>
      <w:bookmarkStart w:id="8062" w:name="_Toc105674913"/>
      <w:bookmarkStart w:id="8063" w:name="_Toc130502977"/>
      <w:bookmarkStart w:id="8064" w:name="_Toc153625765"/>
      <w:r w:rsidRPr="000A0A5F">
        <w:t>5.11.3.3.1</w:t>
      </w:r>
      <w:r w:rsidRPr="000A0A5F">
        <w:tab/>
        <w:t>Introduction</w:t>
      </w:r>
      <w:bookmarkEnd w:id="8053"/>
      <w:bookmarkEnd w:id="8054"/>
      <w:bookmarkEnd w:id="8055"/>
      <w:bookmarkEnd w:id="8056"/>
      <w:bookmarkEnd w:id="8057"/>
      <w:bookmarkEnd w:id="8058"/>
      <w:bookmarkEnd w:id="8059"/>
      <w:bookmarkEnd w:id="8060"/>
      <w:bookmarkEnd w:id="8061"/>
      <w:bookmarkEnd w:id="8062"/>
      <w:bookmarkEnd w:id="8063"/>
      <w:bookmarkEnd w:id="8064"/>
    </w:p>
    <w:p w:rsidR="00CB0DD7" w:rsidRPr="000A0A5F" w:rsidRDefault="00CB0DD7">
      <w:pPr>
        <w:rPr>
          <w:noProof/>
          <w:lang w:eastAsia="zh-CN"/>
        </w:rPr>
      </w:pPr>
      <w:r w:rsidRPr="000A0A5F">
        <w:rPr>
          <w:noProof/>
          <w:lang w:eastAsia="zh-CN"/>
        </w:rPr>
        <w:t xml:space="preserve">This resource allows an </w:t>
      </w:r>
      <w:r w:rsidRPr="000A0A5F">
        <w:rPr>
          <w:rFonts w:hint="eastAsia"/>
          <w:noProof/>
          <w:lang w:eastAsia="zh-CN"/>
        </w:rPr>
        <w:t xml:space="preserve">SCS/AS </w:t>
      </w:r>
      <w:r w:rsidRPr="000A0A5F">
        <w:rPr>
          <w:noProof/>
          <w:lang w:eastAsia="zh-CN"/>
        </w:rPr>
        <w:t>to read, or update or delete PFDs for a given SCS/AS and a transaction Id for one or more application identifier(s) at the SCEF.</w:t>
      </w:r>
    </w:p>
    <w:p w:rsidR="00CB0DD7" w:rsidRPr="000A0A5F" w:rsidRDefault="00CB0DD7">
      <w:pPr>
        <w:pStyle w:val="Heading5"/>
      </w:pPr>
      <w:bookmarkStart w:id="8065" w:name="_Toc11247792"/>
      <w:bookmarkStart w:id="8066" w:name="_Toc27044936"/>
      <w:bookmarkStart w:id="8067" w:name="_Toc36033978"/>
      <w:bookmarkStart w:id="8068" w:name="_Toc45132124"/>
      <w:bookmarkStart w:id="8069" w:name="_Toc49776409"/>
      <w:bookmarkStart w:id="8070" w:name="_Toc51747329"/>
      <w:bookmarkStart w:id="8071" w:name="_Toc66360902"/>
      <w:bookmarkStart w:id="8072" w:name="_Toc68105407"/>
      <w:bookmarkStart w:id="8073" w:name="_Toc74756037"/>
      <w:bookmarkStart w:id="8074" w:name="_Toc105674914"/>
      <w:bookmarkStart w:id="8075" w:name="_Toc130502978"/>
      <w:bookmarkStart w:id="8076" w:name="_Toc153625766"/>
      <w:r w:rsidRPr="000A0A5F">
        <w:t>5.11.3.3.2</w:t>
      </w:r>
      <w:r w:rsidRPr="000A0A5F">
        <w:tab/>
        <w:t>Resource definition</w:t>
      </w:r>
      <w:bookmarkEnd w:id="8065"/>
      <w:bookmarkEnd w:id="8066"/>
      <w:bookmarkEnd w:id="8067"/>
      <w:bookmarkEnd w:id="8068"/>
      <w:bookmarkEnd w:id="8069"/>
      <w:bookmarkEnd w:id="8070"/>
      <w:bookmarkEnd w:id="8071"/>
      <w:bookmarkEnd w:id="8072"/>
      <w:bookmarkEnd w:id="8073"/>
      <w:bookmarkEnd w:id="8074"/>
      <w:bookmarkEnd w:id="8075"/>
      <w:bookmarkEnd w:id="8076"/>
    </w:p>
    <w:p w:rsidR="00CB0DD7" w:rsidRPr="000A0A5F" w:rsidRDefault="00CB0DD7">
      <w:pPr>
        <w:rPr>
          <w:b/>
        </w:rPr>
      </w:pPr>
      <w:r w:rsidRPr="000A0A5F">
        <w:t xml:space="preserve">Resource URI: </w:t>
      </w:r>
      <w:r w:rsidRPr="000A0A5F">
        <w:rPr>
          <w:b/>
        </w:rPr>
        <w:t>{apiRoot}/3gpp-pfd-management/v1/{scsAsId}/transactions/{transactionId}</w:t>
      </w:r>
    </w:p>
    <w:p w:rsidR="00CB0DD7" w:rsidRPr="000A0A5F" w:rsidRDefault="00CB0DD7">
      <w:pPr>
        <w:rPr>
          <w:rFonts w:ascii="Arial" w:hAnsi="Arial" w:cs="Arial"/>
        </w:rPr>
      </w:pPr>
      <w:r w:rsidRPr="000A0A5F">
        <w:t>This resource shall support the resource URI variables defined in table 5.11.3.3.2-1</w:t>
      </w:r>
      <w:r w:rsidRPr="000A0A5F">
        <w:rPr>
          <w:rFonts w:ascii="Arial" w:hAnsi="Arial" w:cs="Arial"/>
        </w:rPr>
        <w:t>.</w:t>
      </w:r>
    </w:p>
    <w:p w:rsidR="00CB0DD7" w:rsidRPr="000A0A5F" w:rsidRDefault="00CB0DD7">
      <w:pPr>
        <w:pStyle w:val="TH"/>
        <w:rPr>
          <w:rFonts w:cs="Arial"/>
        </w:rPr>
      </w:pPr>
      <w:r w:rsidRPr="000A0A5F">
        <w:t>Table 5.11.3.3.2-1: Resource URI variables for resource "Individual PFD Management Transaction"</w:t>
      </w:r>
    </w:p>
    <w:tbl>
      <w:tblPr>
        <w:tblW w:w="494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970"/>
        <w:gridCol w:w="1171"/>
        <w:gridCol w:w="6519"/>
      </w:tblGrid>
      <w:tr w:rsidR="00CB0DD7" w:rsidRPr="000A0A5F" w:rsidTr="00FF0AF8">
        <w:trPr>
          <w:jc w:val="center"/>
        </w:trPr>
        <w:tc>
          <w:tcPr>
            <w:tcW w:w="1020" w:type="pct"/>
            <w:shd w:val="clear" w:color="000000" w:fill="C0C0C0"/>
          </w:tcPr>
          <w:p w:rsidR="00CB0DD7" w:rsidRPr="000A0A5F" w:rsidRDefault="00CB0DD7">
            <w:pPr>
              <w:pStyle w:val="TAH"/>
            </w:pPr>
            <w:r w:rsidRPr="000A0A5F">
              <w:t>Name</w:t>
            </w:r>
          </w:p>
        </w:tc>
        <w:tc>
          <w:tcPr>
            <w:tcW w:w="606" w:type="pct"/>
            <w:shd w:val="clear" w:color="000000" w:fill="C0C0C0"/>
          </w:tcPr>
          <w:p w:rsidR="00CB0DD7" w:rsidRPr="000A0A5F" w:rsidRDefault="00CB0DD7">
            <w:pPr>
              <w:pStyle w:val="TAH"/>
            </w:pPr>
            <w:r w:rsidRPr="000A0A5F">
              <w:t>Data type</w:t>
            </w:r>
          </w:p>
        </w:tc>
        <w:tc>
          <w:tcPr>
            <w:tcW w:w="3375" w:type="pct"/>
            <w:shd w:val="clear" w:color="000000" w:fill="C0C0C0"/>
            <w:vAlign w:val="center"/>
          </w:tcPr>
          <w:p w:rsidR="00CB0DD7" w:rsidRPr="000A0A5F" w:rsidRDefault="00CB0DD7">
            <w:pPr>
              <w:pStyle w:val="TAH"/>
            </w:pPr>
            <w:r w:rsidRPr="000A0A5F">
              <w:t>Definition</w:t>
            </w:r>
          </w:p>
        </w:tc>
      </w:tr>
      <w:tr w:rsidR="00CB0DD7" w:rsidRPr="000A0A5F" w:rsidTr="00FF0AF8">
        <w:trPr>
          <w:jc w:val="center"/>
        </w:trPr>
        <w:tc>
          <w:tcPr>
            <w:tcW w:w="1020" w:type="pct"/>
            <w:shd w:val="clear" w:color="auto" w:fill="auto"/>
          </w:tcPr>
          <w:p w:rsidR="00CB0DD7" w:rsidRPr="000A0A5F" w:rsidRDefault="00CB0DD7">
            <w:pPr>
              <w:pStyle w:val="TAL"/>
            </w:pPr>
            <w:r w:rsidRPr="000A0A5F">
              <w:t>apiRoot</w:t>
            </w:r>
          </w:p>
        </w:tc>
        <w:tc>
          <w:tcPr>
            <w:tcW w:w="606" w:type="pct"/>
          </w:tcPr>
          <w:p w:rsidR="00CB0DD7" w:rsidRPr="000A0A5F" w:rsidRDefault="00CB0DD7">
            <w:pPr>
              <w:pStyle w:val="TAL"/>
            </w:pPr>
            <w:r w:rsidRPr="000A0A5F">
              <w:t>string</w:t>
            </w:r>
          </w:p>
        </w:tc>
        <w:tc>
          <w:tcPr>
            <w:tcW w:w="3375" w:type="pct"/>
            <w:shd w:val="clear" w:color="auto" w:fill="auto"/>
            <w:vAlign w:val="center"/>
          </w:tcPr>
          <w:p w:rsidR="00CB0DD7" w:rsidRPr="000A0A5F" w:rsidRDefault="00CB0DD7">
            <w:pPr>
              <w:pStyle w:val="TAL"/>
            </w:pPr>
            <w:r w:rsidRPr="000A0A5F">
              <w:t>See clause</w:t>
            </w:r>
            <w:r w:rsidRPr="000A0A5F">
              <w:rPr>
                <w:lang w:val="en-US" w:eastAsia="zh-CN"/>
              </w:rPr>
              <w:t> </w:t>
            </w:r>
            <w:r w:rsidRPr="000A0A5F">
              <w:t>5.2.4.</w:t>
            </w:r>
          </w:p>
        </w:tc>
      </w:tr>
      <w:tr w:rsidR="00CB0DD7" w:rsidRPr="000A0A5F" w:rsidTr="00FF0AF8">
        <w:trPr>
          <w:jc w:val="center"/>
        </w:trPr>
        <w:tc>
          <w:tcPr>
            <w:tcW w:w="1020" w:type="pct"/>
            <w:shd w:val="clear" w:color="auto" w:fill="auto"/>
          </w:tcPr>
          <w:p w:rsidR="00CB0DD7" w:rsidRPr="000A0A5F" w:rsidRDefault="00CB0DD7">
            <w:pPr>
              <w:pStyle w:val="TAL"/>
            </w:pPr>
            <w:r w:rsidRPr="000A0A5F">
              <w:t>scsAsId</w:t>
            </w:r>
          </w:p>
        </w:tc>
        <w:tc>
          <w:tcPr>
            <w:tcW w:w="606" w:type="pct"/>
          </w:tcPr>
          <w:p w:rsidR="00CB0DD7" w:rsidRPr="000A0A5F" w:rsidRDefault="00CB0DD7">
            <w:pPr>
              <w:pStyle w:val="TAL"/>
            </w:pPr>
            <w:r w:rsidRPr="000A0A5F">
              <w:rPr>
                <w:rFonts w:hint="eastAsia"/>
                <w:lang w:eastAsia="zh-CN"/>
              </w:rPr>
              <w:t>s</w:t>
            </w:r>
            <w:r w:rsidRPr="000A0A5F">
              <w:rPr>
                <w:lang w:eastAsia="zh-CN"/>
              </w:rPr>
              <w:t>tring</w:t>
            </w:r>
          </w:p>
        </w:tc>
        <w:tc>
          <w:tcPr>
            <w:tcW w:w="3375" w:type="pct"/>
            <w:shd w:val="clear" w:color="auto" w:fill="auto"/>
            <w:vAlign w:val="center"/>
          </w:tcPr>
          <w:p w:rsidR="00CB0DD7" w:rsidRPr="000A0A5F" w:rsidRDefault="00CB0DD7">
            <w:pPr>
              <w:pStyle w:val="TAL"/>
            </w:pPr>
            <w:r w:rsidRPr="000A0A5F">
              <w:t>Identifier of the SCS/AS.</w:t>
            </w:r>
          </w:p>
        </w:tc>
      </w:tr>
      <w:tr w:rsidR="00CB0DD7" w:rsidRPr="000A0A5F" w:rsidTr="00FF0AF8">
        <w:trPr>
          <w:jc w:val="center"/>
        </w:trPr>
        <w:tc>
          <w:tcPr>
            <w:tcW w:w="1020" w:type="pct"/>
            <w:shd w:val="clear" w:color="auto" w:fill="auto"/>
          </w:tcPr>
          <w:p w:rsidR="00CB0DD7" w:rsidRPr="000A0A5F" w:rsidRDefault="00CB0DD7">
            <w:pPr>
              <w:pStyle w:val="TAL"/>
            </w:pPr>
            <w:r w:rsidRPr="000A0A5F">
              <w:t>transactionId</w:t>
            </w:r>
          </w:p>
        </w:tc>
        <w:tc>
          <w:tcPr>
            <w:tcW w:w="606" w:type="pct"/>
          </w:tcPr>
          <w:p w:rsidR="00CB0DD7" w:rsidRPr="000A0A5F" w:rsidRDefault="00CB0DD7">
            <w:pPr>
              <w:pStyle w:val="TAL"/>
            </w:pPr>
            <w:r w:rsidRPr="000A0A5F">
              <w:t>string</w:t>
            </w:r>
          </w:p>
        </w:tc>
        <w:tc>
          <w:tcPr>
            <w:tcW w:w="3375" w:type="pct"/>
            <w:shd w:val="clear" w:color="auto" w:fill="auto"/>
            <w:vAlign w:val="center"/>
          </w:tcPr>
          <w:p w:rsidR="00CB0DD7" w:rsidRPr="000A0A5F" w:rsidRDefault="00CB0DD7">
            <w:pPr>
              <w:pStyle w:val="TAL"/>
            </w:pPr>
            <w:r w:rsidRPr="000A0A5F">
              <w:t>Identifier of the transaction. The transactionId corresponds to the stage 2 TLTRI.</w:t>
            </w:r>
          </w:p>
        </w:tc>
      </w:tr>
    </w:tbl>
    <w:p w:rsidR="00CB0DD7" w:rsidRPr="000A0A5F" w:rsidRDefault="00CB0DD7"/>
    <w:p w:rsidR="00CB0DD7" w:rsidRPr="000A0A5F" w:rsidRDefault="00CB0DD7">
      <w:pPr>
        <w:pStyle w:val="Heading5"/>
      </w:pPr>
      <w:bookmarkStart w:id="8077" w:name="_Toc11247793"/>
      <w:bookmarkStart w:id="8078" w:name="_Toc27044937"/>
      <w:bookmarkStart w:id="8079" w:name="_Toc36033979"/>
      <w:bookmarkStart w:id="8080" w:name="_Toc45132125"/>
      <w:bookmarkStart w:id="8081" w:name="_Toc49776410"/>
      <w:bookmarkStart w:id="8082" w:name="_Toc51747330"/>
      <w:bookmarkStart w:id="8083" w:name="_Toc66360903"/>
      <w:bookmarkStart w:id="8084" w:name="_Toc68105408"/>
      <w:bookmarkStart w:id="8085" w:name="_Toc74756038"/>
      <w:bookmarkStart w:id="8086" w:name="_Toc105674915"/>
      <w:bookmarkStart w:id="8087" w:name="_Toc130502979"/>
      <w:bookmarkStart w:id="8088" w:name="_Toc153625767"/>
      <w:r w:rsidRPr="000A0A5F">
        <w:t>5.11.3.3.3</w:t>
      </w:r>
      <w:r w:rsidRPr="000A0A5F">
        <w:tab/>
        <w:t>Resource methods</w:t>
      </w:r>
      <w:bookmarkEnd w:id="8077"/>
      <w:bookmarkEnd w:id="8078"/>
      <w:bookmarkEnd w:id="8079"/>
      <w:bookmarkEnd w:id="8080"/>
      <w:bookmarkEnd w:id="8081"/>
      <w:bookmarkEnd w:id="8082"/>
      <w:bookmarkEnd w:id="8083"/>
      <w:bookmarkEnd w:id="8084"/>
      <w:bookmarkEnd w:id="8085"/>
      <w:bookmarkEnd w:id="8086"/>
      <w:bookmarkEnd w:id="8087"/>
      <w:bookmarkEnd w:id="8088"/>
    </w:p>
    <w:p w:rsidR="00CB0DD7" w:rsidRPr="000A0A5F" w:rsidRDefault="00CB0DD7">
      <w:pPr>
        <w:pStyle w:val="Heading6"/>
      </w:pPr>
      <w:bookmarkStart w:id="8089" w:name="_Toc11247794"/>
      <w:bookmarkStart w:id="8090" w:name="_Toc27044938"/>
      <w:bookmarkStart w:id="8091" w:name="_Toc36033980"/>
      <w:bookmarkStart w:id="8092" w:name="_Toc45132126"/>
      <w:bookmarkStart w:id="8093" w:name="_Toc49776411"/>
      <w:bookmarkStart w:id="8094" w:name="_Toc51747331"/>
      <w:bookmarkStart w:id="8095" w:name="_Toc66360904"/>
      <w:bookmarkStart w:id="8096" w:name="_Toc68105409"/>
      <w:bookmarkStart w:id="8097" w:name="_Toc74756039"/>
      <w:bookmarkStart w:id="8098" w:name="_Toc105674916"/>
      <w:bookmarkStart w:id="8099" w:name="_Toc130502980"/>
      <w:bookmarkStart w:id="8100" w:name="_Toc153625768"/>
      <w:r w:rsidRPr="000A0A5F">
        <w:t>5.11.3.3.3.1</w:t>
      </w:r>
      <w:r w:rsidRPr="000A0A5F">
        <w:tab/>
        <w:t>GET</w:t>
      </w:r>
      <w:bookmarkEnd w:id="8089"/>
      <w:bookmarkEnd w:id="8090"/>
      <w:bookmarkEnd w:id="8091"/>
      <w:bookmarkEnd w:id="8092"/>
      <w:bookmarkEnd w:id="8093"/>
      <w:bookmarkEnd w:id="8094"/>
      <w:bookmarkEnd w:id="8095"/>
      <w:bookmarkEnd w:id="8096"/>
      <w:bookmarkEnd w:id="8097"/>
      <w:bookmarkEnd w:id="8098"/>
      <w:bookmarkEnd w:id="8099"/>
      <w:bookmarkEnd w:id="8100"/>
    </w:p>
    <w:p w:rsidR="00CB0DD7" w:rsidRPr="000A0A5F" w:rsidRDefault="00CB0DD7">
      <w:pPr>
        <w:rPr>
          <w:noProof/>
          <w:lang w:eastAsia="zh-CN"/>
        </w:rPr>
      </w:pPr>
      <w:r w:rsidRPr="000A0A5F">
        <w:rPr>
          <w:noProof/>
          <w:lang w:eastAsia="zh-CN"/>
        </w:rPr>
        <w:t xml:space="preserve">The GET method allows to read all PFDs for a given SCS/AS and a transaction Id generated by the SCEF. It is initiated by the SCS/AS and answered by the SCEF. </w:t>
      </w:r>
    </w:p>
    <w:p w:rsidR="00CB0DD7" w:rsidRPr="000A0A5F" w:rsidRDefault="00CB0DD7">
      <w:r w:rsidRPr="000A0A5F">
        <w:t>This method shall support request and response data structures, and response codes, as specified in the table 5.11.3.3.3.1-1.</w:t>
      </w:r>
    </w:p>
    <w:p w:rsidR="00CB0DD7" w:rsidRPr="000A0A5F" w:rsidRDefault="00CB0DD7">
      <w:pPr>
        <w:pStyle w:val="TH"/>
      </w:pPr>
      <w:r w:rsidRPr="000A0A5F">
        <w:t>Table 5.11.3.3.3.1-1: Data structures supported by the GET request/response by the resource</w:t>
      </w:r>
    </w:p>
    <w:tbl>
      <w:tblPr>
        <w:tblW w:w="4999" w:type="pct"/>
        <w:tblInd w:w="1" w:type="dxa"/>
        <w:tblBorders>
          <w:top w:val="single" w:sz="6" w:space="0" w:color="000000"/>
          <w:left w:val="single" w:sz="6" w:space="0" w:color="auto"/>
          <w:bottom w:val="single" w:sz="6" w:space="0" w:color="000000"/>
          <w:right w:val="single" w:sz="6" w:space="0" w:color="000000"/>
          <w:insideH w:val="single" w:sz="6" w:space="0" w:color="auto"/>
          <w:insideV w:val="single" w:sz="6" w:space="0" w:color="auto"/>
        </w:tblBorders>
        <w:tblLayout w:type="fixed"/>
        <w:tblCellMar>
          <w:top w:w="45" w:type="dxa"/>
          <w:left w:w="45" w:type="dxa"/>
          <w:bottom w:w="45" w:type="dxa"/>
          <w:right w:w="45" w:type="dxa"/>
        </w:tblCellMar>
        <w:tblLook w:val="0000" w:firstRow="0" w:lastRow="0" w:firstColumn="0" w:lastColumn="0" w:noHBand="0" w:noVBand="0"/>
      </w:tblPr>
      <w:tblGrid>
        <w:gridCol w:w="1035"/>
        <w:gridCol w:w="2127"/>
        <w:gridCol w:w="1053"/>
        <w:gridCol w:w="973"/>
        <w:gridCol w:w="4541"/>
      </w:tblGrid>
      <w:tr w:rsidR="00CB0DD7" w:rsidRPr="000A0A5F" w:rsidTr="0008146A">
        <w:tc>
          <w:tcPr>
            <w:tcW w:w="532" w:type="pct"/>
            <w:vMerge w:val="restart"/>
            <w:shd w:val="clear" w:color="auto" w:fill="C0C0C0"/>
            <w:vAlign w:val="center"/>
          </w:tcPr>
          <w:p w:rsidR="00CB0DD7" w:rsidRPr="000A0A5F" w:rsidRDefault="00CB0DD7">
            <w:pPr>
              <w:pStyle w:val="TAH"/>
            </w:pPr>
            <w:r w:rsidRPr="000A0A5F">
              <w:t>Request body</w:t>
            </w:r>
          </w:p>
        </w:tc>
        <w:tc>
          <w:tcPr>
            <w:tcW w:w="1093" w:type="pct"/>
            <w:shd w:val="clear" w:color="auto" w:fill="C0C0C0"/>
          </w:tcPr>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r w:rsidRPr="000A0A5F">
              <w:t>Cardinality</w:t>
            </w:r>
          </w:p>
        </w:tc>
        <w:tc>
          <w:tcPr>
            <w:tcW w:w="2834" w:type="pct"/>
            <w:gridSpan w:val="2"/>
            <w:shd w:val="clear" w:color="auto" w:fill="C0C0C0"/>
          </w:tcPr>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none</w:t>
            </w:r>
          </w:p>
        </w:tc>
        <w:tc>
          <w:tcPr>
            <w:tcW w:w="541" w:type="pct"/>
          </w:tcPr>
          <w:p w:rsidR="00CB0DD7" w:rsidRPr="000A0A5F" w:rsidRDefault="00CB0DD7">
            <w:pPr>
              <w:pStyle w:val="TAL"/>
            </w:pPr>
          </w:p>
        </w:tc>
        <w:tc>
          <w:tcPr>
            <w:tcW w:w="2834" w:type="pct"/>
            <w:gridSpan w:val="2"/>
          </w:tcPr>
          <w:p w:rsidR="00CB0DD7" w:rsidRPr="000A0A5F" w:rsidRDefault="00CB0DD7">
            <w:pPr>
              <w:pStyle w:val="TAL"/>
            </w:pPr>
          </w:p>
        </w:tc>
      </w:tr>
      <w:tr w:rsidR="00CB0DD7" w:rsidRPr="000A0A5F" w:rsidTr="0008146A">
        <w:tc>
          <w:tcPr>
            <w:tcW w:w="532" w:type="pct"/>
            <w:vMerge w:val="restart"/>
            <w:shd w:val="clear" w:color="auto" w:fill="C0C0C0"/>
            <w:vAlign w:val="center"/>
          </w:tcPr>
          <w:p w:rsidR="00CB0DD7" w:rsidRPr="000A0A5F" w:rsidRDefault="00CB0DD7">
            <w:pPr>
              <w:pStyle w:val="TAH"/>
            </w:pPr>
            <w:r w:rsidRPr="000A0A5F">
              <w:t>Response body</w:t>
            </w:r>
          </w:p>
        </w:tc>
        <w:tc>
          <w:tcPr>
            <w:tcW w:w="1093" w:type="pct"/>
            <w:shd w:val="clear" w:color="auto" w:fill="C0C0C0"/>
          </w:tcPr>
          <w:p w:rsidR="00CB0DD7" w:rsidRPr="000A0A5F" w:rsidRDefault="00CB0DD7">
            <w:pPr>
              <w:pStyle w:val="TAH"/>
            </w:pPr>
          </w:p>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p>
          <w:p w:rsidR="00CB0DD7" w:rsidRPr="000A0A5F" w:rsidRDefault="00CB0DD7">
            <w:pPr>
              <w:pStyle w:val="TAH"/>
            </w:pPr>
            <w:r w:rsidRPr="000A0A5F">
              <w:t>Cardinality</w:t>
            </w:r>
          </w:p>
        </w:tc>
        <w:tc>
          <w:tcPr>
            <w:tcW w:w="500" w:type="pct"/>
            <w:shd w:val="clear" w:color="auto" w:fill="C0C0C0"/>
          </w:tcPr>
          <w:p w:rsidR="00CB0DD7" w:rsidRPr="000A0A5F" w:rsidRDefault="00CB0DD7">
            <w:pPr>
              <w:pStyle w:val="TAH"/>
            </w:pPr>
            <w:r w:rsidRPr="000A0A5F">
              <w:t>Response</w:t>
            </w:r>
          </w:p>
          <w:p w:rsidR="00CB0DD7" w:rsidRPr="000A0A5F" w:rsidRDefault="00CB0DD7">
            <w:pPr>
              <w:pStyle w:val="TAH"/>
            </w:pPr>
            <w:r w:rsidRPr="000A0A5F">
              <w:t>codes</w:t>
            </w:r>
          </w:p>
        </w:tc>
        <w:tc>
          <w:tcPr>
            <w:tcW w:w="2334" w:type="pct"/>
            <w:shd w:val="clear" w:color="auto" w:fill="C0C0C0"/>
          </w:tcPr>
          <w:p w:rsidR="00CB0DD7" w:rsidRPr="000A0A5F" w:rsidRDefault="00CB0DD7">
            <w:pPr>
              <w:pStyle w:val="TAH"/>
            </w:pPr>
          </w:p>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rPr>
                <w:lang w:eastAsia="zh-CN"/>
              </w:rPr>
              <w:t>PfdManagement</w:t>
            </w:r>
          </w:p>
        </w:tc>
        <w:tc>
          <w:tcPr>
            <w:tcW w:w="541" w:type="pct"/>
          </w:tcPr>
          <w:p w:rsidR="00CB0DD7" w:rsidRPr="000A0A5F" w:rsidRDefault="00CB0DD7">
            <w:pPr>
              <w:pStyle w:val="TAL"/>
            </w:pPr>
            <w:r w:rsidRPr="000A0A5F">
              <w:t>1</w:t>
            </w:r>
          </w:p>
        </w:tc>
        <w:tc>
          <w:tcPr>
            <w:tcW w:w="500" w:type="pct"/>
          </w:tcPr>
          <w:p w:rsidR="00CB0DD7" w:rsidRPr="000A0A5F" w:rsidRDefault="00CB0DD7">
            <w:pPr>
              <w:pStyle w:val="TAL"/>
            </w:pPr>
            <w:r w:rsidRPr="000A0A5F">
              <w:t>200 OK</w:t>
            </w:r>
          </w:p>
        </w:tc>
        <w:tc>
          <w:tcPr>
            <w:tcW w:w="2334" w:type="pct"/>
          </w:tcPr>
          <w:p w:rsidR="00CB0DD7" w:rsidRPr="000A0A5F" w:rsidRDefault="00CB0DD7">
            <w:pPr>
              <w:pStyle w:val="TAL"/>
            </w:pPr>
            <w:r w:rsidRPr="000A0A5F">
              <w:t>The PFDs for the SCS/AS and the transaction Id for one or more application identifier(s) in the request URI are returned.</w:t>
            </w:r>
          </w:p>
          <w:p w:rsidR="00CB0DD7" w:rsidRPr="000A0A5F" w:rsidRDefault="00CB0DD7">
            <w:pPr>
              <w:pStyle w:val="TAL"/>
            </w:pP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lang w:eastAsia="zh-CN"/>
              </w:rPr>
            </w:pPr>
            <w:r w:rsidRPr="000A0A5F">
              <w:t>none</w:t>
            </w:r>
          </w:p>
        </w:tc>
        <w:tc>
          <w:tcPr>
            <w:tcW w:w="541" w:type="pct"/>
          </w:tcPr>
          <w:p w:rsidR="00CB0DD7" w:rsidRPr="000A0A5F" w:rsidRDefault="00CB0DD7">
            <w:pPr>
              <w:pStyle w:val="TAL"/>
            </w:pPr>
          </w:p>
        </w:tc>
        <w:tc>
          <w:tcPr>
            <w:tcW w:w="500" w:type="pct"/>
          </w:tcPr>
          <w:p w:rsidR="00CB0DD7" w:rsidRPr="000A0A5F" w:rsidRDefault="00CB0DD7">
            <w:pPr>
              <w:pStyle w:val="TAL"/>
            </w:pPr>
            <w:r w:rsidRPr="000A0A5F">
              <w:t>307 Temporary Redirect</w:t>
            </w:r>
          </w:p>
        </w:tc>
        <w:tc>
          <w:tcPr>
            <w:tcW w:w="2334" w:type="pct"/>
          </w:tcPr>
          <w:p w:rsidR="00CB0DD7" w:rsidRPr="000A0A5F" w:rsidRDefault="00CB0DD7">
            <w:pPr>
              <w:pStyle w:val="TAL"/>
            </w:pPr>
            <w:r w:rsidRPr="000A0A5F">
              <w:t>Temporary redirection, during transaction retrieval. The response shall include a Location header field containing an alternative URI of the resource located in an alternative SCEF.</w:t>
            </w:r>
          </w:p>
          <w:p w:rsidR="00CB0DD7" w:rsidRPr="000A0A5F" w:rsidRDefault="00CB0DD7">
            <w:pPr>
              <w:pStyle w:val="TAL"/>
            </w:pPr>
            <w:r w:rsidRPr="000A0A5F">
              <w:t>Redirection handling is described in clause 5.2.10.</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lang w:eastAsia="zh-CN"/>
              </w:rPr>
            </w:pPr>
            <w:r w:rsidRPr="000A0A5F">
              <w:t>none</w:t>
            </w:r>
          </w:p>
        </w:tc>
        <w:tc>
          <w:tcPr>
            <w:tcW w:w="541" w:type="pct"/>
          </w:tcPr>
          <w:p w:rsidR="00CB0DD7" w:rsidRPr="000A0A5F" w:rsidRDefault="00CB0DD7">
            <w:pPr>
              <w:pStyle w:val="TAL"/>
            </w:pPr>
          </w:p>
        </w:tc>
        <w:tc>
          <w:tcPr>
            <w:tcW w:w="500" w:type="pct"/>
          </w:tcPr>
          <w:p w:rsidR="00CB0DD7" w:rsidRPr="000A0A5F" w:rsidRDefault="00CB0DD7">
            <w:pPr>
              <w:pStyle w:val="TAL"/>
            </w:pPr>
            <w:r w:rsidRPr="000A0A5F">
              <w:t>308 Permanent Redirect</w:t>
            </w:r>
          </w:p>
        </w:tc>
        <w:tc>
          <w:tcPr>
            <w:tcW w:w="2334" w:type="pct"/>
          </w:tcPr>
          <w:p w:rsidR="00CB0DD7" w:rsidRPr="000A0A5F" w:rsidRDefault="00CB0DD7">
            <w:pPr>
              <w:pStyle w:val="TAL"/>
            </w:pPr>
            <w:r w:rsidRPr="000A0A5F">
              <w:t>Permanent redirection, during transaction retrieval. The response shall include a Location header field containing an alternative URI of the resource located in an alternative SCEF.</w:t>
            </w:r>
          </w:p>
          <w:p w:rsidR="00CB0DD7" w:rsidRPr="000A0A5F" w:rsidRDefault="00CB0DD7">
            <w:pPr>
              <w:pStyle w:val="TAL"/>
            </w:pPr>
            <w:r w:rsidRPr="000A0A5F">
              <w:t>Redirection handling is described in clause 5.2.10.</w:t>
            </w:r>
          </w:p>
        </w:tc>
      </w:tr>
      <w:tr w:rsidR="00CB0DD7" w:rsidRPr="000A0A5F" w:rsidTr="00FF0AF8">
        <w:tc>
          <w:tcPr>
            <w:tcW w:w="5000" w:type="pct"/>
            <w:gridSpan w:val="5"/>
            <w:shd w:val="clear" w:color="auto" w:fill="auto"/>
            <w:vAlign w:val="center"/>
          </w:tcPr>
          <w:p w:rsidR="00CB0DD7" w:rsidRPr="000A0A5F" w:rsidRDefault="00CB0DD7">
            <w:pPr>
              <w:pStyle w:val="TAN"/>
            </w:pPr>
            <w:r w:rsidRPr="000A0A5F">
              <w:t>NOTE:</w:t>
            </w:r>
            <w:r w:rsidRPr="000A0A5F">
              <w:tab/>
              <w:t>The mandatory HTTP error status codes for the GET method listed in table 5.2.6-1 also apply.</w:t>
            </w:r>
          </w:p>
        </w:tc>
      </w:tr>
    </w:tbl>
    <w:p w:rsidR="00CB0DD7" w:rsidRPr="000A0A5F" w:rsidRDefault="00CB0DD7"/>
    <w:p w:rsidR="00CB0DD7" w:rsidRPr="000A0A5F" w:rsidRDefault="002E466A">
      <w:pPr>
        <w:pStyle w:val="TH"/>
      </w:pPr>
      <w:r w:rsidRPr="000A0A5F">
        <w:t>Table </w:t>
      </w:r>
      <w:r w:rsidR="00CB0DD7" w:rsidRPr="000A0A5F">
        <w:t>5.11.3.3.3.1-2: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2E466A">
      <w:pPr>
        <w:pStyle w:val="TH"/>
      </w:pPr>
      <w:r w:rsidRPr="000A0A5F">
        <w:t>Table </w:t>
      </w:r>
      <w:r w:rsidR="00CB0DD7" w:rsidRPr="000A0A5F">
        <w:t>5.11.3.3.3.1-3: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CB0DD7">
      <w:pPr>
        <w:pStyle w:val="Heading6"/>
      </w:pPr>
      <w:bookmarkStart w:id="8101" w:name="_Toc11247795"/>
      <w:bookmarkStart w:id="8102" w:name="_Toc27044939"/>
      <w:bookmarkStart w:id="8103" w:name="_Toc36033981"/>
      <w:bookmarkStart w:id="8104" w:name="_Toc45132127"/>
      <w:bookmarkStart w:id="8105" w:name="_Toc49776412"/>
      <w:bookmarkStart w:id="8106" w:name="_Toc51747332"/>
      <w:bookmarkStart w:id="8107" w:name="_Toc66360905"/>
      <w:bookmarkStart w:id="8108" w:name="_Toc68105410"/>
      <w:bookmarkStart w:id="8109" w:name="_Toc74756040"/>
      <w:bookmarkStart w:id="8110" w:name="_Toc105674917"/>
      <w:bookmarkStart w:id="8111" w:name="_Toc130502981"/>
      <w:bookmarkStart w:id="8112" w:name="_Toc153625769"/>
      <w:r w:rsidRPr="000A0A5F">
        <w:t>5.11.3.3.3.2</w:t>
      </w:r>
      <w:r w:rsidRPr="000A0A5F">
        <w:tab/>
        <w:t>PUT</w:t>
      </w:r>
      <w:bookmarkEnd w:id="8101"/>
      <w:bookmarkEnd w:id="8102"/>
      <w:bookmarkEnd w:id="8103"/>
      <w:bookmarkEnd w:id="8104"/>
      <w:bookmarkEnd w:id="8105"/>
      <w:bookmarkEnd w:id="8106"/>
      <w:bookmarkEnd w:id="8107"/>
      <w:bookmarkEnd w:id="8108"/>
      <w:bookmarkEnd w:id="8109"/>
      <w:bookmarkEnd w:id="8110"/>
      <w:bookmarkEnd w:id="8111"/>
      <w:bookmarkEnd w:id="8112"/>
    </w:p>
    <w:p w:rsidR="00CB0DD7" w:rsidRPr="000A0A5F" w:rsidRDefault="00CB0DD7">
      <w:pPr>
        <w:rPr>
          <w:noProof/>
          <w:lang w:eastAsia="zh-CN"/>
        </w:rPr>
      </w:pPr>
      <w:r w:rsidRPr="000A0A5F">
        <w:rPr>
          <w:noProof/>
          <w:lang w:eastAsia="zh-CN"/>
        </w:rPr>
        <w:t xml:space="preserve">The PUT method modifies the PFDs for a given SCS/AS and an existing transaction Id generated by the SCEF. It is initiated by the SCS/AS and answered by the SCEF. </w:t>
      </w:r>
    </w:p>
    <w:p w:rsidR="00CB0DD7" w:rsidRPr="000A0A5F" w:rsidRDefault="00CB0DD7">
      <w:r w:rsidRPr="000A0A5F">
        <w:t>This method shall support the request and response data structures, and response codes, as specified in the table 5.11.3.3.3.2-1.</w:t>
      </w:r>
    </w:p>
    <w:p w:rsidR="00CB0DD7" w:rsidRPr="000A0A5F" w:rsidRDefault="00CB0DD7">
      <w:pPr>
        <w:pStyle w:val="TH"/>
        <w:rPr>
          <w:rFonts w:cs="Arial"/>
        </w:rPr>
      </w:pPr>
      <w:r w:rsidRPr="000A0A5F">
        <w:t xml:space="preserve">Table 5.11.3.3.3.2-1: Data structures supported by the PUT request/response by the resource </w:t>
      </w:r>
    </w:p>
    <w:tbl>
      <w:tblPr>
        <w:tblW w:w="4999" w:type="pct"/>
        <w:tblInd w:w="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45" w:type="dxa"/>
          <w:left w:w="45" w:type="dxa"/>
          <w:bottom w:w="45" w:type="dxa"/>
          <w:right w:w="45" w:type="dxa"/>
        </w:tblCellMar>
        <w:tblLook w:val="0000" w:firstRow="0" w:lastRow="0" w:firstColumn="0" w:lastColumn="0" w:noHBand="0" w:noVBand="0"/>
      </w:tblPr>
      <w:tblGrid>
        <w:gridCol w:w="1035"/>
        <w:gridCol w:w="2127"/>
        <w:gridCol w:w="1053"/>
        <w:gridCol w:w="973"/>
        <w:gridCol w:w="4541"/>
      </w:tblGrid>
      <w:tr w:rsidR="00CB0DD7" w:rsidRPr="000A0A5F" w:rsidTr="0008146A">
        <w:tc>
          <w:tcPr>
            <w:tcW w:w="532" w:type="pct"/>
            <w:vMerge w:val="restart"/>
            <w:shd w:val="clear" w:color="auto" w:fill="C0C0C0"/>
            <w:vAlign w:val="center"/>
          </w:tcPr>
          <w:p w:rsidR="00CB0DD7" w:rsidRPr="000A0A5F" w:rsidRDefault="00CB0DD7">
            <w:pPr>
              <w:pStyle w:val="TAH"/>
            </w:pPr>
            <w:r w:rsidRPr="000A0A5F">
              <w:t>Request body</w:t>
            </w:r>
          </w:p>
        </w:tc>
        <w:tc>
          <w:tcPr>
            <w:tcW w:w="1093" w:type="pct"/>
            <w:shd w:val="clear" w:color="auto" w:fill="C0C0C0"/>
          </w:tcPr>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r w:rsidRPr="000A0A5F">
              <w:t>Cardinality</w:t>
            </w:r>
          </w:p>
        </w:tc>
        <w:tc>
          <w:tcPr>
            <w:tcW w:w="2834" w:type="pct"/>
            <w:gridSpan w:val="2"/>
            <w:shd w:val="clear" w:color="auto" w:fill="C0C0C0"/>
          </w:tcPr>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rPr>
                <w:rFonts w:hint="eastAsia"/>
                <w:lang w:eastAsia="zh-CN"/>
              </w:rPr>
              <w:t>PfdManagement</w:t>
            </w:r>
          </w:p>
        </w:tc>
        <w:tc>
          <w:tcPr>
            <w:tcW w:w="541" w:type="pct"/>
          </w:tcPr>
          <w:p w:rsidR="00CB0DD7" w:rsidRPr="000A0A5F" w:rsidRDefault="00CB0DD7">
            <w:pPr>
              <w:pStyle w:val="TAL"/>
              <w:rPr>
                <w:rFonts w:hint="eastAsia"/>
                <w:lang w:eastAsia="zh-CN"/>
              </w:rPr>
            </w:pPr>
            <w:r w:rsidRPr="000A0A5F">
              <w:rPr>
                <w:rFonts w:hint="eastAsia"/>
                <w:lang w:eastAsia="zh-CN"/>
              </w:rPr>
              <w:t>1</w:t>
            </w:r>
          </w:p>
        </w:tc>
        <w:tc>
          <w:tcPr>
            <w:tcW w:w="2834" w:type="pct"/>
            <w:gridSpan w:val="2"/>
          </w:tcPr>
          <w:p w:rsidR="00CB0DD7" w:rsidRPr="000A0A5F" w:rsidRDefault="00CB0DD7">
            <w:pPr>
              <w:pStyle w:val="TAL"/>
              <w:rPr>
                <w:rFonts w:hint="eastAsia"/>
                <w:lang w:eastAsia="zh-CN"/>
              </w:rPr>
            </w:pPr>
            <w:r w:rsidRPr="000A0A5F">
              <w:rPr>
                <w:lang w:eastAsia="zh-CN"/>
              </w:rPr>
              <w:t>U</w:t>
            </w:r>
            <w:r w:rsidRPr="000A0A5F">
              <w:rPr>
                <w:rFonts w:hint="eastAsia"/>
                <w:lang w:eastAsia="zh-CN"/>
              </w:rPr>
              <w:t xml:space="preserve">pdate of PFD(s) for an existing </w:t>
            </w:r>
            <w:r w:rsidRPr="000A0A5F">
              <w:rPr>
                <w:lang w:eastAsia="zh-CN"/>
              </w:rPr>
              <w:t>transaction Id</w:t>
            </w:r>
            <w:r w:rsidRPr="000A0A5F">
              <w:rPr>
                <w:rFonts w:hint="eastAsia"/>
                <w:lang w:eastAsia="zh-CN"/>
              </w:rPr>
              <w:t>.</w:t>
            </w:r>
          </w:p>
        </w:tc>
      </w:tr>
      <w:tr w:rsidR="00CB0DD7" w:rsidRPr="000A0A5F" w:rsidTr="0008146A">
        <w:tc>
          <w:tcPr>
            <w:tcW w:w="532" w:type="pct"/>
            <w:vMerge w:val="restart"/>
            <w:shd w:val="clear" w:color="auto" w:fill="C0C0C0"/>
            <w:vAlign w:val="center"/>
          </w:tcPr>
          <w:p w:rsidR="00CB0DD7" w:rsidRPr="000A0A5F" w:rsidRDefault="00CB0DD7">
            <w:pPr>
              <w:pStyle w:val="TAH"/>
            </w:pPr>
            <w:r w:rsidRPr="000A0A5F">
              <w:t>Response body</w:t>
            </w:r>
          </w:p>
        </w:tc>
        <w:tc>
          <w:tcPr>
            <w:tcW w:w="1093" w:type="pct"/>
            <w:shd w:val="clear" w:color="auto" w:fill="C0C0C0"/>
          </w:tcPr>
          <w:p w:rsidR="00CB0DD7" w:rsidRPr="000A0A5F" w:rsidRDefault="00CB0DD7">
            <w:pPr>
              <w:pStyle w:val="TAH"/>
            </w:pPr>
          </w:p>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p>
          <w:p w:rsidR="00CB0DD7" w:rsidRPr="000A0A5F" w:rsidRDefault="00CB0DD7">
            <w:pPr>
              <w:pStyle w:val="TAH"/>
            </w:pPr>
            <w:r w:rsidRPr="000A0A5F">
              <w:t>Cardinality</w:t>
            </w:r>
          </w:p>
        </w:tc>
        <w:tc>
          <w:tcPr>
            <w:tcW w:w="500" w:type="pct"/>
            <w:shd w:val="clear" w:color="auto" w:fill="C0C0C0"/>
          </w:tcPr>
          <w:p w:rsidR="00CB0DD7" w:rsidRPr="000A0A5F" w:rsidRDefault="00CB0DD7">
            <w:pPr>
              <w:pStyle w:val="TAH"/>
            </w:pPr>
            <w:r w:rsidRPr="000A0A5F">
              <w:t>Response</w:t>
            </w:r>
          </w:p>
          <w:p w:rsidR="00CB0DD7" w:rsidRPr="000A0A5F" w:rsidRDefault="00CB0DD7">
            <w:pPr>
              <w:pStyle w:val="TAH"/>
            </w:pPr>
            <w:r w:rsidRPr="000A0A5F">
              <w:t>codes</w:t>
            </w:r>
          </w:p>
        </w:tc>
        <w:tc>
          <w:tcPr>
            <w:tcW w:w="2334" w:type="pct"/>
            <w:shd w:val="clear" w:color="auto" w:fill="C0C0C0"/>
          </w:tcPr>
          <w:p w:rsidR="00CB0DD7" w:rsidRPr="000A0A5F" w:rsidRDefault="00CB0DD7">
            <w:pPr>
              <w:pStyle w:val="TAH"/>
            </w:pPr>
          </w:p>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rPr>
                <w:rFonts w:hint="eastAsia"/>
                <w:lang w:eastAsia="zh-CN"/>
              </w:rPr>
              <w:t>PfdManagement</w:t>
            </w:r>
          </w:p>
        </w:tc>
        <w:tc>
          <w:tcPr>
            <w:tcW w:w="541" w:type="pct"/>
          </w:tcPr>
          <w:p w:rsidR="00CB0DD7" w:rsidRPr="000A0A5F" w:rsidRDefault="00CB0DD7">
            <w:pPr>
              <w:pStyle w:val="TAL"/>
            </w:pPr>
            <w:r w:rsidRPr="000A0A5F">
              <w:t>1</w:t>
            </w:r>
          </w:p>
        </w:tc>
        <w:tc>
          <w:tcPr>
            <w:tcW w:w="500" w:type="pct"/>
          </w:tcPr>
          <w:p w:rsidR="00CB0DD7" w:rsidRPr="000A0A5F" w:rsidRDefault="00CB0DD7">
            <w:pPr>
              <w:pStyle w:val="TAL"/>
            </w:pPr>
            <w:r w:rsidRPr="000A0A5F">
              <w:t>200 OK</w:t>
            </w:r>
          </w:p>
        </w:tc>
        <w:tc>
          <w:tcPr>
            <w:tcW w:w="2334" w:type="pct"/>
          </w:tcPr>
          <w:p w:rsidR="00CB0DD7" w:rsidRPr="000A0A5F" w:rsidRDefault="00CB0DD7">
            <w:pPr>
              <w:pStyle w:val="TAL"/>
            </w:pPr>
            <w:r w:rsidRPr="000A0A5F">
              <w:t>The PFDs were updated successfully</w:t>
            </w:r>
            <w:r w:rsidRPr="000A0A5F">
              <w:rPr>
                <w:noProof/>
              </w:rPr>
              <w:t xml:space="preserve"> and a representation is returned</w:t>
            </w:r>
            <w:r w:rsidRPr="000A0A5F">
              <w:t>. PfdReport may be included to provide detailed failure information for some applications.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rPr>
                <w:lang w:eastAsia="zh-CN"/>
              </w:rPr>
              <w:t>none</w:t>
            </w:r>
          </w:p>
        </w:tc>
        <w:tc>
          <w:tcPr>
            <w:tcW w:w="541" w:type="pct"/>
          </w:tcPr>
          <w:p w:rsidR="00CB0DD7" w:rsidRPr="000A0A5F" w:rsidRDefault="00CB0DD7">
            <w:pPr>
              <w:pStyle w:val="TAL"/>
            </w:pPr>
          </w:p>
        </w:tc>
        <w:tc>
          <w:tcPr>
            <w:tcW w:w="500" w:type="pct"/>
          </w:tcPr>
          <w:p w:rsidR="00CB0DD7" w:rsidRPr="000A0A5F" w:rsidRDefault="00CB0DD7">
            <w:pPr>
              <w:pStyle w:val="TAL"/>
            </w:pPr>
            <w:r w:rsidRPr="000A0A5F">
              <w:t>204 No Content</w:t>
            </w:r>
          </w:p>
        </w:tc>
        <w:tc>
          <w:tcPr>
            <w:tcW w:w="2334" w:type="pct"/>
          </w:tcPr>
          <w:p w:rsidR="00CB0DD7" w:rsidRPr="000A0A5F" w:rsidRDefault="00CB0DD7">
            <w:pPr>
              <w:pStyle w:val="TAL"/>
            </w:pPr>
            <w:r w:rsidRPr="000A0A5F">
              <w:t>The PFDs were updated successfully.</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rPr>
                <w:lang w:eastAsia="zh-CN"/>
              </w:rPr>
              <w:t>array(</w:t>
            </w:r>
            <w:r w:rsidRPr="000A0A5F">
              <w:rPr>
                <w:rFonts w:hint="eastAsia"/>
                <w:lang w:eastAsia="zh-CN"/>
              </w:rPr>
              <w:t>Pfd</w:t>
            </w:r>
            <w:r w:rsidRPr="000A0A5F">
              <w:rPr>
                <w:lang w:eastAsia="zh-CN"/>
              </w:rPr>
              <w:t>Report)</w:t>
            </w:r>
          </w:p>
        </w:tc>
        <w:tc>
          <w:tcPr>
            <w:tcW w:w="541" w:type="pct"/>
          </w:tcPr>
          <w:p w:rsidR="00CB0DD7" w:rsidRPr="000A0A5F" w:rsidRDefault="00CB0DD7">
            <w:pPr>
              <w:pStyle w:val="TAL"/>
            </w:pPr>
            <w:r w:rsidRPr="000A0A5F">
              <w:t>1..N</w:t>
            </w:r>
          </w:p>
        </w:tc>
        <w:tc>
          <w:tcPr>
            <w:tcW w:w="500" w:type="pct"/>
          </w:tcPr>
          <w:p w:rsidR="00CB0DD7" w:rsidRPr="000A0A5F" w:rsidRDefault="00CB0DD7">
            <w:pPr>
              <w:pStyle w:val="TAL"/>
            </w:pPr>
            <w:r w:rsidRPr="000A0A5F">
              <w:t>500 Internal Server Error</w:t>
            </w:r>
          </w:p>
        </w:tc>
        <w:tc>
          <w:tcPr>
            <w:tcW w:w="2334" w:type="pct"/>
          </w:tcPr>
          <w:p w:rsidR="00CB0DD7" w:rsidRPr="000A0A5F" w:rsidRDefault="00CB0DD7">
            <w:pPr>
              <w:pStyle w:val="TAL"/>
            </w:pPr>
            <w:r w:rsidRPr="000A0A5F">
              <w:t xml:space="preserve">The PFDs for all applications were not updated successfully. PfdReport is included with detailed information. </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lang w:eastAsia="zh-CN"/>
              </w:rPr>
            </w:pPr>
            <w:r w:rsidRPr="000A0A5F">
              <w:t>none</w:t>
            </w:r>
          </w:p>
        </w:tc>
        <w:tc>
          <w:tcPr>
            <w:tcW w:w="541" w:type="pct"/>
          </w:tcPr>
          <w:p w:rsidR="00CB0DD7" w:rsidRPr="000A0A5F" w:rsidRDefault="00CB0DD7">
            <w:pPr>
              <w:pStyle w:val="TAL"/>
            </w:pPr>
          </w:p>
        </w:tc>
        <w:tc>
          <w:tcPr>
            <w:tcW w:w="500" w:type="pct"/>
          </w:tcPr>
          <w:p w:rsidR="00CB0DD7" w:rsidRPr="000A0A5F" w:rsidRDefault="00CB0DD7">
            <w:pPr>
              <w:pStyle w:val="TAL"/>
            </w:pPr>
            <w:r w:rsidRPr="000A0A5F">
              <w:t>307 Temporary Redirect</w:t>
            </w:r>
          </w:p>
        </w:tc>
        <w:tc>
          <w:tcPr>
            <w:tcW w:w="2334" w:type="pct"/>
          </w:tcPr>
          <w:p w:rsidR="00CB0DD7" w:rsidRPr="000A0A5F" w:rsidRDefault="00CB0DD7">
            <w:pPr>
              <w:pStyle w:val="TAL"/>
            </w:pPr>
            <w:r w:rsidRPr="000A0A5F">
              <w:t>Temporary redirection, during transaction modification. The response shall include a Location header field containing an alternative URI of the resource located in an alternative SCEF.</w:t>
            </w:r>
          </w:p>
          <w:p w:rsidR="00CB0DD7" w:rsidRPr="000A0A5F" w:rsidRDefault="00CB0DD7">
            <w:pPr>
              <w:pStyle w:val="TAL"/>
            </w:pPr>
            <w:r w:rsidRPr="000A0A5F">
              <w:t>Redirection handling is described in clause 5.2.10.</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lang w:eastAsia="zh-CN"/>
              </w:rPr>
            </w:pPr>
            <w:r w:rsidRPr="000A0A5F">
              <w:t>none</w:t>
            </w:r>
          </w:p>
        </w:tc>
        <w:tc>
          <w:tcPr>
            <w:tcW w:w="541" w:type="pct"/>
          </w:tcPr>
          <w:p w:rsidR="00CB0DD7" w:rsidRPr="000A0A5F" w:rsidRDefault="00CB0DD7">
            <w:pPr>
              <w:pStyle w:val="TAL"/>
            </w:pPr>
          </w:p>
        </w:tc>
        <w:tc>
          <w:tcPr>
            <w:tcW w:w="500" w:type="pct"/>
          </w:tcPr>
          <w:p w:rsidR="00CB0DD7" w:rsidRPr="000A0A5F" w:rsidRDefault="00CB0DD7">
            <w:pPr>
              <w:pStyle w:val="TAL"/>
            </w:pPr>
            <w:r w:rsidRPr="000A0A5F">
              <w:t>308 Permanent Redirect</w:t>
            </w:r>
          </w:p>
        </w:tc>
        <w:tc>
          <w:tcPr>
            <w:tcW w:w="2334" w:type="pct"/>
          </w:tcPr>
          <w:p w:rsidR="00CB0DD7" w:rsidRPr="000A0A5F" w:rsidRDefault="00CB0DD7">
            <w:pPr>
              <w:pStyle w:val="TAL"/>
            </w:pPr>
            <w:r w:rsidRPr="000A0A5F">
              <w:t>Permanent redirection, during transaction modification. The response shall include a Location header field containing an alternative URI of the resource located in an alternative SCEF.</w:t>
            </w:r>
          </w:p>
          <w:p w:rsidR="00CB0DD7" w:rsidRPr="000A0A5F" w:rsidRDefault="00CB0DD7">
            <w:pPr>
              <w:pStyle w:val="TAL"/>
            </w:pPr>
            <w:r w:rsidRPr="000A0A5F">
              <w:t>Redirection handling is described in clause 5.2.10.</w:t>
            </w:r>
          </w:p>
        </w:tc>
      </w:tr>
      <w:tr w:rsidR="00CB0DD7" w:rsidRPr="000A0A5F" w:rsidTr="00FF0AF8">
        <w:tc>
          <w:tcPr>
            <w:tcW w:w="5000" w:type="pct"/>
            <w:gridSpan w:val="5"/>
            <w:shd w:val="clear" w:color="auto" w:fill="auto"/>
            <w:vAlign w:val="center"/>
          </w:tcPr>
          <w:p w:rsidR="00CB0DD7" w:rsidRPr="000A0A5F" w:rsidRDefault="00CB0DD7">
            <w:pPr>
              <w:pStyle w:val="TAN"/>
            </w:pPr>
            <w:r w:rsidRPr="000A0A5F">
              <w:t>NOTE:</w:t>
            </w:r>
            <w:r w:rsidRPr="000A0A5F">
              <w:tab/>
              <w:t>The mandatory HTTP error status codes for the PUT method listed in table 5.2.6-1 also apply.</w:t>
            </w:r>
          </w:p>
        </w:tc>
      </w:tr>
    </w:tbl>
    <w:p w:rsidR="00CB0DD7" w:rsidRPr="000A0A5F" w:rsidRDefault="00CB0DD7"/>
    <w:p w:rsidR="00CB0DD7" w:rsidRPr="000A0A5F" w:rsidRDefault="002E466A">
      <w:pPr>
        <w:pStyle w:val="TH"/>
      </w:pPr>
      <w:r w:rsidRPr="000A0A5F">
        <w:t>Table </w:t>
      </w:r>
      <w:r w:rsidR="00CB0DD7" w:rsidRPr="000A0A5F">
        <w:t>5.11.3.3.3.2-2: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2E466A">
      <w:pPr>
        <w:pStyle w:val="TH"/>
      </w:pPr>
      <w:r w:rsidRPr="000A0A5F">
        <w:t>Table </w:t>
      </w:r>
      <w:r w:rsidR="00CB0DD7" w:rsidRPr="000A0A5F">
        <w:t>5.11.3.3.3.2-3: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CB0DD7">
      <w:pPr>
        <w:pStyle w:val="Heading6"/>
      </w:pPr>
      <w:bookmarkStart w:id="8113" w:name="_Toc11247796"/>
      <w:bookmarkStart w:id="8114" w:name="_Toc27044940"/>
      <w:bookmarkStart w:id="8115" w:name="_Toc36033982"/>
      <w:bookmarkStart w:id="8116" w:name="_Toc45132128"/>
      <w:bookmarkStart w:id="8117" w:name="_Toc49776413"/>
      <w:bookmarkStart w:id="8118" w:name="_Toc51747333"/>
      <w:bookmarkStart w:id="8119" w:name="_Toc66360906"/>
      <w:bookmarkStart w:id="8120" w:name="_Toc68105411"/>
      <w:bookmarkStart w:id="8121" w:name="_Toc74756041"/>
      <w:bookmarkStart w:id="8122" w:name="_Toc105674918"/>
      <w:bookmarkStart w:id="8123" w:name="_Toc130502982"/>
      <w:bookmarkStart w:id="8124" w:name="_Toc153625770"/>
      <w:r w:rsidRPr="000A0A5F">
        <w:t>5.11.3.3.3.3</w:t>
      </w:r>
      <w:r w:rsidRPr="000A0A5F">
        <w:tab/>
        <w:t>PATCH</w:t>
      </w:r>
      <w:bookmarkEnd w:id="8113"/>
      <w:bookmarkEnd w:id="8114"/>
      <w:bookmarkEnd w:id="8115"/>
      <w:bookmarkEnd w:id="8116"/>
      <w:bookmarkEnd w:id="8117"/>
      <w:bookmarkEnd w:id="8118"/>
      <w:bookmarkEnd w:id="8119"/>
      <w:bookmarkEnd w:id="8120"/>
      <w:bookmarkEnd w:id="8121"/>
      <w:bookmarkEnd w:id="8122"/>
      <w:bookmarkEnd w:id="8123"/>
      <w:bookmarkEnd w:id="8124"/>
    </w:p>
    <w:p w:rsidR="00491D21" w:rsidRPr="000A0A5F" w:rsidRDefault="00491D21" w:rsidP="00491D21">
      <w:pPr>
        <w:rPr>
          <w:lang w:eastAsia="zh-CN"/>
        </w:rPr>
      </w:pPr>
      <w:bookmarkStart w:id="8125" w:name="_Toc11247797"/>
      <w:bookmarkStart w:id="8126" w:name="_Toc27044941"/>
      <w:bookmarkStart w:id="8127" w:name="_Toc36033983"/>
      <w:bookmarkStart w:id="8128" w:name="_Toc45132129"/>
      <w:bookmarkStart w:id="8129" w:name="_Toc49776414"/>
      <w:bookmarkStart w:id="8130" w:name="_Toc51747334"/>
      <w:bookmarkStart w:id="8131" w:name="_Toc66360907"/>
      <w:bookmarkStart w:id="8132" w:name="_Toc68105412"/>
      <w:bookmarkStart w:id="8133" w:name="_Toc74756042"/>
      <w:r w:rsidRPr="000A0A5F">
        <w:rPr>
          <w:noProof/>
          <w:lang w:eastAsia="zh-CN"/>
        </w:rPr>
        <w:t>The PATCH method modifies an existing PFD Management Transaction resource. The SCS/AS shall initiate the HTTP PATCH request message and the SCEF shall respond to the message.</w:t>
      </w:r>
    </w:p>
    <w:p w:rsidR="00491D21" w:rsidRPr="000A0A5F" w:rsidRDefault="00491D21" w:rsidP="00491D21">
      <w:r w:rsidRPr="000A0A5F">
        <w:t>This method shall support the request and response data structures, and response codes, as specified in the table 5.11.3.3.3.3-1.</w:t>
      </w:r>
    </w:p>
    <w:p w:rsidR="00491D21" w:rsidRPr="000A0A5F" w:rsidRDefault="00491D21" w:rsidP="00491D21">
      <w:pPr>
        <w:pStyle w:val="TH"/>
        <w:rPr>
          <w:rFonts w:cs="Arial"/>
        </w:rPr>
      </w:pPr>
      <w:r w:rsidRPr="000A0A5F">
        <w:t xml:space="preserve">Table 5.11.3.3.3.3-1: Data structures supported by the PATCH request/response by the resource </w:t>
      </w:r>
    </w:p>
    <w:tbl>
      <w:tblPr>
        <w:tblW w:w="4999" w:type="pct"/>
        <w:tblInd w:w="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45" w:type="dxa"/>
          <w:left w:w="45" w:type="dxa"/>
          <w:bottom w:w="45" w:type="dxa"/>
          <w:right w:w="45" w:type="dxa"/>
        </w:tblCellMar>
        <w:tblLook w:val="0000" w:firstRow="0" w:lastRow="0" w:firstColumn="0" w:lastColumn="0" w:noHBand="0" w:noVBand="0"/>
      </w:tblPr>
      <w:tblGrid>
        <w:gridCol w:w="1035"/>
        <w:gridCol w:w="2127"/>
        <w:gridCol w:w="1053"/>
        <w:gridCol w:w="973"/>
        <w:gridCol w:w="4541"/>
      </w:tblGrid>
      <w:tr w:rsidR="00491D21" w:rsidRPr="000A0A5F" w:rsidTr="0008146A">
        <w:tc>
          <w:tcPr>
            <w:tcW w:w="532" w:type="pct"/>
            <w:vMerge w:val="restart"/>
            <w:shd w:val="clear" w:color="auto" w:fill="C0C0C0"/>
            <w:vAlign w:val="center"/>
          </w:tcPr>
          <w:p w:rsidR="00491D21" w:rsidRPr="000A0A5F" w:rsidRDefault="00491D21" w:rsidP="00517DF6">
            <w:pPr>
              <w:pStyle w:val="TAH"/>
            </w:pPr>
            <w:r w:rsidRPr="000A0A5F">
              <w:t>Request body</w:t>
            </w:r>
          </w:p>
        </w:tc>
        <w:tc>
          <w:tcPr>
            <w:tcW w:w="1093" w:type="pct"/>
            <w:shd w:val="clear" w:color="auto" w:fill="C0C0C0"/>
          </w:tcPr>
          <w:p w:rsidR="00491D21" w:rsidRPr="000A0A5F" w:rsidRDefault="00491D21" w:rsidP="00517DF6">
            <w:pPr>
              <w:pStyle w:val="TAH"/>
            </w:pPr>
            <w:r w:rsidRPr="000A0A5F">
              <w:t>Data type</w:t>
            </w:r>
          </w:p>
        </w:tc>
        <w:tc>
          <w:tcPr>
            <w:tcW w:w="541" w:type="pct"/>
            <w:shd w:val="clear" w:color="auto" w:fill="C0C0C0"/>
          </w:tcPr>
          <w:p w:rsidR="00491D21" w:rsidRPr="000A0A5F" w:rsidRDefault="00491D21" w:rsidP="00517DF6">
            <w:pPr>
              <w:pStyle w:val="TAH"/>
            </w:pPr>
            <w:r w:rsidRPr="000A0A5F">
              <w:t>Cardinality</w:t>
            </w:r>
          </w:p>
        </w:tc>
        <w:tc>
          <w:tcPr>
            <w:tcW w:w="2834" w:type="pct"/>
            <w:gridSpan w:val="2"/>
            <w:shd w:val="clear" w:color="auto" w:fill="C0C0C0"/>
          </w:tcPr>
          <w:p w:rsidR="00491D21" w:rsidRPr="000A0A5F" w:rsidRDefault="00491D21" w:rsidP="00517DF6">
            <w:pPr>
              <w:pStyle w:val="TAH"/>
            </w:pPr>
            <w:r w:rsidRPr="000A0A5F">
              <w:t>Remarks</w:t>
            </w:r>
          </w:p>
        </w:tc>
      </w:tr>
      <w:tr w:rsidR="00491D21" w:rsidRPr="000A0A5F" w:rsidTr="00FF0AF8">
        <w:tc>
          <w:tcPr>
            <w:tcW w:w="532" w:type="pct"/>
            <w:vMerge/>
            <w:shd w:val="clear" w:color="auto" w:fill="BFBFBF"/>
            <w:vAlign w:val="center"/>
          </w:tcPr>
          <w:p w:rsidR="00491D21" w:rsidRPr="000A0A5F" w:rsidRDefault="00491D21" w:rsidP="00517DF6">
            <w:pPr>
              <w:pStyle w:val="TAL"/>
              <w:jc w:val="center"/>
            </w:pPr>
          </w:p>
        </w:tc>
        <w:tc>
          <w:tcPr>
            <w:tcW w:w="1093" w:type="pct"/>
            <w:shd w:val="clear" w:color="auto" w:fill="auto"/>
          </w:tcPr>
          <w:p w:rsidR="00491D21" w:rsidRPr="000A0A5F" w:rsidRDefault="00491D21" w:rsidP="00517DF6">
            <w:pPr>
              <w:pStyle w:val="TAL"/>
            </w:pPr>
            <w:r w:rsidRPr="000A0A5F">
              <w:rPr>
                <w:rFonts w:hint="eastAsia"/>
                <w:lang w:eastAsia="zh-CN"/>
              </w:rPr>
              <w:t>PfdManagement</w:t>
            </w:r>
            <w:r w:rsidRPr="000A0A5F">
              <w:rPr>
                <w:lang w:eastAsia="zh-CN"/>
              </w:rPr>
              <w:t>Patch</w:t>
            </w:r>
          </w:p>
        </w:tc>
        <w:tc>
          <w:tcPr>
            <w:tcW w:w="541" w:type="pct"/>
          </w:tcPr>
          <w:p w:rsidR="00491D21" w:rsidRPr="000A0A5F" w:rsidRDefault="00491D21" w:rsidP="00517DF6">
            <w:pPr>
              <w:pStyle w:val="TAL"/>
              <w:rPr>
                <w:lang w:eastAsia="zh-CN"/>
              </w:rPr>
            </w:pPr>
            <w:r w:rsidRPr="000A0A5F">
              <w:rPr>
                <w:rFonts w:hint="eastAsia"/>
                <w:lang w:eastAsia="zh-CN"/>
              </w:rPr>
              <w:t>1</w:t>
            </w:r>
          </w:p>
        </w:tc>
        <w:tc>
          <w:tcPr>
            <w:tcW w:w="2834" w:type="pct"/>
            <w:gridSpan w:val="2"/>
          </w:tcPr>
          <w:p w:rsidR="00491D21" w:rsidRPr="000A0A5F" w:rsidRDefault="00491D21" w:rsidP="00517DF6">
            <w:pPr>
              <w:pStyle w:val="TAL"/>
              <w:rPr>
                <w:lang w:eastAsia="zh-CN"/>
              </w:rPr>
            </w:pPr>
            <w:r w:rsidRPr="000A0A5F">
              <w:rPr>
                <w:lang w:eastAsia="zh-CN"/>
              </w:rPr>
              <w:t>Modify</w:t>
            </w:r>
            <w:r w:rsidRPr="000A0A5F">
              <w:rPr>
                <w:rFonts w:hint="eastAsia"/>
                <w:lang w:eastAsia="zh-CN"/>
              </w:rPr>
              <w:t xml:space="preserve"> of PFD(s) for an existing </w:t>
            </w:r>
            <w:r w:rsidRPr="000A0A5F">
              <w:rPr>
                <w:lang w:eastAsia="zh-CN"/>
              </w:rPr>
              <w:t>transaction ID</w:t>
            </w:r>
            <w:r w:rsidRPr="000A0A5F">
              <w:rPr>
                <w:rFonts w:hint="eastAsia"/>
                <w:lang w:eastAsia="zh-CN"/>
              </w:rPr>
              <w:t>.</w:t>
            </w:r>
          </w:p>
        </w:tc>
      </w:tr>
      <w:tr w:rsidR="00491D21" w:rsidRPr="000A0A5F" w:rsidTr="0008146A">
        <w:tc>
          <w:tcPr>
            <w:tcW w:w="532" w:type="pct"/>
            <w:vMerge w:val="restart"/>
            <w:shd w:val="clear" w:color="auto" w:fill="C0C0C0"/>
            <w:vAlign w:val="center"/>
          </w:tcPr>
          <w:p w:rsidR="00491D21" w:rsidRPr="000A0A5F" w:rsidRDefault="00491D21" w:rsidP="00517DF6">
            <w:pPr>
              <w:pStyle w:val="TAH"/>
            </w:pPr>
            <w:r w:rsidRPr="000A0A5F">
              <w:t>Response body</w:t>
            </w:r>
          </w:p>
        </w:tc>
        <w:tc>
          <w:tcPr>
            <w:tcW w:w="1093" w:type="pct"/>
            <w:shd w:val="clear" w:color="auto" w:fill="C0C0C0"/>
          </w:tcPr>
          <w:p w:rsidR="00491D21" w:rsidRPr="000A0A5F" w:rsidRDefault="00491D21" w:rsidP="00517DF6">
            <w:pPr>
              <w:pStyle w:val="TAH"/>
            </w:pPr>
          </w:p>
          <w:p w:rsidR="00491D21" w:rsidRPr="000A0A5F" w:rsidRDefault="00491D21" w:rsidP="00517DF6">
            <w:pPr>
              <w:pStyle w:val="TAH"/>
            </w:pPr>
            <w:r w:rsidRPr="000A0A5F">
              <w:t>Data type</w:t>
            </w:r>
          </w:p>
        </w:tc>
        <w:tc>
          <w:tcPr>
            <w:tcW w:w="541" w:type="pct"/>
            <w:shd w:val="clear" w:color="auto" w:fill="C0C0C0"/>
          </w:tcPr>
          <w:p w:rsidR="00491D21" w:rsidRPr="000A0A5F" w:rsidRDefault="00491D21" w:rsidP="00517DF6">
            <w:pPr>
              <w:pStyle w:val="TAH"/>
            </w:pPr>
          </w:p>
          <w:p w:rsidR="00491D21" w:rsidRPr="000A0A5F" w:rsidRDefault="00491D21" w:rsidP="00517DF6">
            <w:pPr>
              <w:pStyle w:val="TAH"/>
            </w:pPr>
            <w:r w:rsidRPr="000A0A5F">
              <w:t>Cardinality</w:t>
            </w:r>
          </w:p>
        </w:tc>
        <w:tc>
          <w:tcPr>
            <w:tcW w:w="500" w:type="pct"/>
            <w:shd w:val="clear" w:color="auto" w:fill="C0C0C0"/>
          </w:tcPr>
          <w:p w:rsidR="00491D21" w:rsidRPr="000A0A5F" w:rsidRDefault="00491D21" w:rsidP="00517DF6">
            <w:pPr>
              <w:pStyle w:val="TAH"/>
            </w:pPr>
            <w:r w:rsidRPr="000A0A5F">
              <w:t>Response</w:t>
            </w:r>
          </w:p>
          <w:p w:rsidR="00491D21" w:rsidRPr="000A0A5F" w:rsidRDefault="00491D21" w:rsidP="00517DF6">
            <w:pPr>
              <w:pStyle w:val="TAH"/>
            </w:pPr>
            <w:r w:rsidRPr="000A0A5F">
              <w:t>codes</w:t>
            </w:r>
          </w:p>
        </w:tc>
        <w:tc>
          <w:tcPr>
            <w:tcW w:w="2334" w:type="pct"/>
            <w:shd w:val="clear" w:color="auto" w:fill="C0C0C0"/>
          </w:tcPr>
          <w:p w:rsidR="00491D21" w:rsidRPr="000A0A5F" w:rsidRDefault="00491D21" w:rsidP="00517DF6">
            <w:pPr>
              <w:pStyle w:val="TAH"/>
            </w:pPr>
          </w:p>
          <w:p w:rsidR="00491D21" w:rsidRPr="000A0A5F" w:rsidRDefault="00491D21" w:rsidP="00517DF6">
            <w:pPr>
              <w:pStyle w:val="TAH"/>
            </w:pPr>
            <w:r w:rsidRPr="000A0A5F">
              <w:t>Remarks</w:t>
            </w:r>
          </w:p>
        </w:tc>
      </w:tr>
      <w:tr w:rsidR="00491D21" w:rsidRPr="000A0A5F" w:rsidTr="00FF0AF8">
        <w:tc>
          <w:tcPr>
            <w:tcW w:w="532" w:type="pct"/>
            <w:vMerge/>
            <w:shd w:val="clear" w:color="auto" w:fill="BFBFBF"/>
            <w:vAlign w:val="center"/>
          </w:tcPr>
          <w:p w:rsidR="00491D21" w:rsidRPr="000A0A5F" w:rsidRDefault="00491D21" w:rsidP="00517DF6">
            <w:pPr>
              <w:pStyle w:val="TAL"/>
              <w:jc w:val="center"/>
            </w:pPr>
          </w:p>
        </w:tc>
        <w:tc>
          <w:tcPr>
            <w:tcW w:w="1093" w:type="pct"/>
            <w:shd w:val="clear" w:color="auto" w:fill="auto"/>
          </w:tcPr>
          <w:p w:rsidR="00491D21" w:rsidRPr="000A0A5F" w:rsidRDefault="00491D21" w:rsidP="00517DF6">
            <w:pPr>
              <w:pStyle w:val="TAL"/>
            </w:pPr>
            <w:r w:rsidRPr="000A0A5F">
              <w:rPr>
                <w:rFonts w:hint="eastAsia"/>
                <w:lang w:eastAsia="zh-CN"/>
              </w:rPr>
              <w:t>PfdManagement</w:t>
            </w:r>
          </w:p>
        </w:tc>
        <w:tc>
          <w:tcPr>
            <w:tcW w:w="541" w:type="pct"/>
          </w:tcPr>
          <w:p w:rsidR="00491D21" w:rsidRPr="000A0A5F" w:rsidRDefault="00491D21" w:rsidP="00517DF6">
            <w:pPr>
              <w:pStyle w:val="TAL"/>
            </w:pPr>
            <w:r w:rsidRPr="000A0A5F">
              <w:t>1</w:t>
            </w:r>
          </w:p>
        </w:tc>
        <w:tc>
          <w:tcPr>
            <w:tcW w:w="500" w:type="pct"/>
          </w:tcPr>
          <w:p w:rsidR="00491D21" w:rsidRPr="000A0A5F" w:rsidRDefault="00491D21" w:rsidP="00517DF6">
            <w:pPr>
              <w:pStyle w:val="TAL"/>
            </w:pPr>
            <w:r w:rsidRPr="000A0A5F">
              <w:t>200 OK</w:t>
            </w:r>
          </w:p>
        </w:tc>
        <w:tc>
          <w:tcPr>
            <w:tcW w:w="2334" w:type="pct"/>
          </w:tcPr>
          <w:p w:rsidR="00491D21" w:rsidRPr="000A0A5F" w:rsidRDefault="00491D21" w:rsidP="00517DF6">
            <w:pPr>
              <w:pStyle w:val="TAL"/>
            </w:pPr>
            <w:r w:rsidRPr="000A0A5F">
              <w:t>The PFDs were modified successfully</w:t>
            </w:r>
            <w:r w:rsidRPr="000A0A5F">
              <w:rPr>
                <w:noProof/>
              </w:rPr>
              <w:t xml:space="preserve"> and a representation of the modified resource is returned</w:t>
            </w:r>
            <w:r w:rsidRPr="000A0A5F">
              <w:t>. The PfdReport data structure may be included in the response to provide the detailed failure information if the modification failed for some applications.</w:t>
            </w:r>
          </w:p>
        </w:tc>
      </w:tr>
      <w:tr w:rsidR="00491D21" w:rsidRPr="000A0A5F" w:rsidTr="00FF0AF8">
        <w:tc>
          <w:tcPr>
            <w:tcW w:w="532" w:type="pct"/>
            <w:vMerge/>
            <w:shd w:val="clear" w:color="auto" w:fill="BFBFBF"/>
            <w:vAlign w:val="center"/>
          </w:tcPr>
          <w:p w:rsidR="00491D21" w:rsidRPr="000A0A5F" w:rsidRDefault="00491D21" w:rsidP="00517DF6">
            <w:pPr>
              <w:pStyle w:val="TAL"/>
              <w:jc w:val="center"/>
            </w:pPr>
          </w:p>
        </w:tc>
        <w:tc>
          <w:tcPr>
            <w:tcW w:w="1093" w:type="pct"/>
            <w:shd w:val="clear" w:color="auto" w:fill="auto"/>
          </w:tcPr>
          <w:p w:rsidR="00491D21" w:rsidRPr="000A0A5F" w:rsidRDefault="00491D21" w:rsidP="00517DF6">
            <w:pPr>
              <w:pStyle w:val="TAL"/>
              <w:rPr>
                <w:lang w:eastAsia="zh-CN"/>
              </w:rPr>
            </w:pPr>
            <w:r w:rsidRPr="000A0A5F">
              <w:rPr>
                <w:lang w:eastAsia="zh-CN"/>
              </w:rPr>
              <w:t>none</w:t>
            </w:r>
          </w:p>
        </w:tc>
        <w:tc>
          <w:tcPr>
            <w:tcW w:w="541" w:type="pct"/>
          </w:tcPr>
          <w:p w:rsidR="00491D21" w:rsidRPr="000A0A5F" w:rsidRDefault="00491D21" w:rsidP="00517DF6">
            <w:pPr>
              <w:pStyle w:val="TAL"/>
            </w:pPr>
          </w:p>
        </w:tc>
        <w:tc>
          <w:tcPr>
            <w:tcW w:w="500" w:type="pct"/>
          </w:tcPr>
          <w:p w:rsidR="00491D21" w:rsidRPr="000A0A5F" w:rsidRDefault="00491D21" w:rsidP="00517DF6">
            <w:pPr>
              <w:pStyle w:val="TAL"/>
            </w:pPr>
            <w:r w:rsidRPr="000A0A5F">
              <w:t>204 No Content</w:t>
            </w:r>
          </w:p>
        </w:tc>
        <w:tc>
          <w:tcPr>
            <w:tcW w:w="2334" w:type="pct"/>
          </w:tcPr>
          <w:p w:rsidR="00491D21" w:rsidRPr="000A0A5F" w:rsidRDefault="00491D21" w:rsidP="00517DF6">
            <w:pPr>
              <w:pStyle w:val="TAL"/>
            </w:pPr>
            <w:r w:rsidRPr="000A0A5F">
              <w:t>The PFDs were modified successfully.</w:t>
            </w:r>
          </w:p>
        </w:tc>
      </w:tr>
      <w:tr w:rsidR="00491D21" w:rsidRPr="000A0A5F" w:rsidTr="00FF0AF8">
        <w:tc>
          <w:tcPr>
            <w:tcW w:w="532" w:type="pct"/>
            <w:vMerge/>
            <w:shd w:val="clear" w:color="auto" w:fill="BFBFBF"/>
            <w:vAlign w:val="center"/>
          </w:tcPr>
          <w:p w:rsidR="00491D21" w:rsidRPr="000A0A5F" w:rsidRDefault="00491D21" w:rsidP="00517DF6">
            <w:pPr>
              <w:pStyle w:val="TAL"/>
              <w:jc w:val="center"/>
            </w:pPr>
          </w:p>
        </w:tc>
        <w:tc>
          <w:tcPr>
            <w:tcW w:w="1093" w:type="pct"/>
            <w:shd w:val="clear" w:color="auto" w:fill="auto"/>
          </w:tcPr>
          <w:p w:rsidR="00491D21" w:rsidRPr="000A0A5F" w:rsidRDefault="00491D21" w:rsidP="00517DF6">
            <w:pPr>
              <w:pStyle w:val="TAL"/>
              <w:rPr>
                <w:lang w:eastAsia="zh-CN"/>
              </w:rPr>
            </w:pPr>
            <w:r w:rsidRPr="000A0A5F">
              <w:rPr>
                <w:lang w:eastAsia="zh-CN"/>
              </w:rPr>
              <w:t>array(</w:t>
            </w:r>
            <w:r w:rsidRPr="000A0A5F">
              <w:rPr>
                <w:rFonts w:hint="eastAsia"/>
                <w:lang w:eastAsia="zh-CN"/>
              </w:rPr>
              <w:t>Pfd</w:t>
            </w:r>
            <w:r w:rsidRPr="000A0A5F">
              <w:rPr>
                <w:lang w:eastAsia="zh-CN"/>
              </w:rPr>
              <w:t>Report)</w:t>
            </w:r>
          </w:p>
        </w:tc>
        <w:tc>
          <w:tcPr>
            <w:tcW w:w="541" w:type="pct"/>
          </w:tcPr>
          <w:p w:rsidR="00491D21" w:rsidRPr="000A0A5F" w:rsidRDefault="00491D21" w:rsidP="00517DF6">
            <w:pPr>
              <w:pStyle w:val="TAL"/>
            </w:pPr>
            <w:r w:rsidRPr="000A0A5F">
              <w:t>1..N</w:t>
            </w:r>
          </w:p>
        </w:tc>
        <w:tc>
          <w:tcPr>
            <w:tcW w:w="500" w:type="pct"/>
          </w:tcPr>
          <w:p w:rsidR="00491D21" w:rsidRPr="000A0A5F" w:rsidRDefault="00491D21" w:rsidP="00517DF6">
            <w:pPr>
              <w:pStyle w:val="TAL"/>
            </w:pPr>
            <w:r w:rsidRPr="000A0A5F">
              <w:t>500 Internal Server Error</w:t>
            </w:r>
          </w:p>
        </w:tc>
        <w:tc>
          <w:tcPr>
            <w:tcW w:w="2334" w:type="pct"/>
          </w:tcPr>
          <w:p w:rsidR="00491D21" w:rsidRPr="000A0A5F" w:rsidRDefault="00491D21" w:rsidP="00517DF6">
            <w:pPr>
              <w:pStyle w:val="TAL"/>
            </w:pPr>
            <w:r w:rsidRPr="000A0A5F">
              <w:t xml:space="preserve">The PFDs for all applications were not modified successfully. PFD Report(s) shall be included in the response body with the detailed information. </w:t>
            </w:r>
          </w:p>
        </w:tc>
      </w:tr>
      <w:tr w:rsidR="00491D21" w:rsidRPr="000A0A5F" w:rsidTr="00FF0AF8">
        <w:tc>
          <w:tcPr>
            <w:tcW w:w="532" w:type="pct"/>
            <w:vMerge/>
            <w:shd w:val="clear" w:color="auto" w:fill="BFBFBF"/>
            <w:vAlign w:val="center"/>
          </w:tcPr>
          <w:p w:rsidR="00491D21" w:rsidRPr="000A0A5F" w:rsidRDefault="00491D21" w:rsidP="00517DF6">
            <w:pPr>
              <w:pStyle w:val="TAL"/>
              <w:jc w:val="center"/>
            </w:pPr>
          </w:p>
        </w:tc>
        <w:tc>
          <w:tcPr>
            <w:tcW w:w="1093" w:type="pct"/>
            <w:shd w:val="clear" w:color="auto" w:fill="auto"/>
          </w:tcPr>
          <w:p w:rsidR="00491D21" w:rsidRPr="000A0A5F" w:rsidRDefault="00491D21" w:rsidP="00517DF6">
            <w:pPr>
              <w:pStyle w:val="TAL"/>
              <w:rPr>
                <w:lang w:eastAsia="zh-CN"/>
              </w:rPr>
            </w:pPr>
            <w:r w:rsidRPr="000A0A5F">
              <w:t>none</w:t>
            </w:r>
          </w:p>
        </w:tc>
        <w:tc>
          <w:tcPr>
            <w:tcW w:w="541" w:type="pct"/>
          </w:tcPr>
          <w:p w:rsidR="00491D21" w:rsidRPr="000A0A5F" w:rsidRDefault="00491D21" w:rsidP="00517DF6">
            <w:pPr>
              <w:pStyle w:val="TAL"/>
            </w:pPr>
          </w:p>
        </w:tc>
        <w:tc>
          <w:tcPr>
            <w:tcW w:w="500" w:type="pct"/>
          </w:tcPr>
          <w:p w:rsidR="00491D21" w:rsidRPr="000A0A5F" w:rsidRDefault="00491D21" w:rsidP="00517DF6">
            <w:pPr>
              <w:pStyle w:val="TAL"/>
            </w:pPr>
            <w:r w:rsidRPr="000A0A5F">
              <w:t>307 Temporary Redirect</w:t>
            </w:r>
          </w:p>
        </w:tc>
        <w:tc>
          <w:tcPr>
            <w:tcW w:w="2334" w:type="pct"/>
          </w:tcPr>
          <w:p w:rsidR="00491D21" w:rsidRPr="000A0A5F" w:rsidRDefault="00491D21" w:rsidP="00517DF6">
            <w:pPr>
              <w:pStyle w:val="TAL"/>
            </w:pPr>
            <w:r w:rsidRPr="000A0A5F">
              <w:t>Temporary redirection. The response shall include a Location header field containing an alternative URI of the resource located in an alternative SCEF.</w:t>
            </w:r>
          </w:p>
          <w:p w:rsidR="00491D21" w:rsidRPr="000A0A5F" w:rsidRDefault="00491D21" w:rsidP="00517DF6">
            <w:pPr>
              <w:pStyle w:val="TAL"/>
            </w:pPr>
          </w:p>
          <w:p w:rsidR="00491D21" w:rsidRPr="000A0A5F" w:rsidRDefault="00491D21" w:rsidP="00517DF6">
            <w:pPr>
              <w:pStyle w:val="TAL"/>
            </w:pPr>
            <w:r w:rsidRPr="000A0A5F">
              <w:t>Redirection handling is described in clause 5.2.10.</w:t>
            </w:r>
          </w:p>
        </w:tc>
      </w:tr>
      <w:tr w:rsidR="00491D21" w:rsidRPr="000A0A5F" w:rsidTr="00FF0AF8">
        <w:tc>
          <w:tcPr>
            <w:tcW w:w="532" w:type="pct"/>
            <w:vMerge/>
            <w:shd w:val="clear" w:color="auto" w:fill="BFBFBF"/>
            <w:vAlign w:val="center"/>
          </w:tcPr>
          <w:p w:rsidR="00491D21" w:rsidRPr="000A0A5F" w:rsidRDefault="00491D21" w:rsidP="00517DF6">
            <w:pPr>
              <w:pStyle w:val="TAL"/>
              <w:jc w:val="center"/>
            </w:pPr>
          </w:p>
        </w:tc>
        <w:tc>
          <w:tcPr>
            <w:tcW w:w="1093" w:type="pct"/>
            <w:shd w:val="clear" w:color="auto" w:fill="auto"/>
          </w:tcPr>
          <w:p w:rsidR="00491D21" w:rsidRPr="000A0A5F" w:rsidRDefault="00491D21" w:rsidP="00517DF6">
            <w:pPr>
              <w:pStyle w:val="TAL"/>
              <w:rPr>
                <w:lang w:eastAsia="zh-CN"/>
              </w:rPr>
            </w:pPr>
            <w:r w:rsidRPr="000A0A5F">
              <w:t>none</w:t>
            </w:r>
          </w:p>
        </w:tc>
        <w:tc>
          <w:tcPr>
            <w:tcW w:w="541" w:type="pct"/>
          </w:tcPr>
          <w:p w:rsidR="00491D21" w:rsidRPr="000A0A5F" w:rsidRDefault="00491D21" w:rsidP="00517DF6">
            <w:pPr>
              <w:pStyle w:val="TAL"/>
            </w:pPr>
          </w:p>
        </w:tc>
        <w:tc>
          <w:tcPr>
            <w:tcW w:w="500" w:type="pct"/>
          </w:tcPr>
          <w:p w:rsidR="00491D21" w:rsidRPr="000A0A5F" w:rsidRDefault="00491D21" w:rsidP="00517DF6">
            <w:pPr>
              <w:pStyle w:val="TAL"/>
            </w:pPr>
            <w:r w:rsidRPr="000A0A5F">
              <w:t>308 Permanent Redirect</w:t>
            </w:r>
          </w:p>
        </w:tc>
        <w:tc>
          <w:tcPr>
            <w:tcW w:w="2334" w:type="pct"/>
          </w:tcPr>
          <w:p w:rsidR="00491D21" w:rsidRPr="000A0A5F" w:rsidRDefault="00491D21" w:rsidP="00517DF6">
            <w:pPr>
              <w:pStyle w:val="TAL"/>
            </w:pPr>
            <w:r w:rsidRPr="000A0A5F">
              <w:t>Permanent redirection. The response shall include a Location header field containing an alternative URI of the resource located in an alternative SCEF.</w:t>
            </w:r>
          </w:p>
          <w:p w:rsidR="00491D21" w:rsidRPr="000A0A5F" w:rsidRDefault="00491D21" w:rsidP="00517DF6">
            <w:pPr>
              <w:pStyle w:val="TAL"/>
            </w:pPr>
          </w:p>
          <w:p w:rsidR="00491D21" w:rsidRPr="000A0A5F" w:rsidRDefault="00491D21" w:rsidP="00517DF6">
            <w:pPr>
              <w:pStyle w:val="TAL"/>
            </w:pPr>
            <w:r w:rsidRPr="000A0A5F">
              <w:t>Redirection handling is described in clause 5.2.10.</w:t>
            </w:r>
          </w:p>
        </w:tc>
      </w:tr>
      <w:tr w:rsidR="00491D21" w:rsidRPr="000A0A5F" w:rsidTr="00FF0AF8">
        <w:tc>
          <w:tcPr>
            <w:tcW w:w="5000" w:type="pct"/>
            <w:gridSpan w:val="5"/>
            <w:shd w:val="clear" w:color="auto" w:fill="auto"/>
            <w:vAlign w:val="center"/>
          </w:tcPr>
          <w:p w:rsidR="00491D21" w:rsidRPr="000A0A5F" w:rsidRDefault="00491D21" w:rsidP="00517DF6">
            <w:pPr>
              <w:pStyle w:val="TAN"/>
            </w:pPr>
            <w:r w:rsidRPr="000A0A5F">
              <w:t>NOTE:</w:t>
            </w:r>
            <w:r w:rsidRPr="000A0A5F">
              <w:tab/>
              <w:t>The mandatory HTTP error status codes for the PATCH method listed in table 5.2.6-1 also apply.</w:t>
            </w:r>
          </w:p>
        </w:tc>
      </w:tr>
    </w:tbl>
    <w:p w:rsidR="00491D21" w:rsidRPr="000A0A5F" w:rsidRDefault="00491D21" w:rsidP="00491D21"/>
    <w:p w:rsidR="00491D21" w:rsidRPr="000A0A5F" w:rsidRDefault="00491D21" w:rsidP="00491D21">
      <w:pPr>
        <w:pStyle w:val="TH"/>
      </w:pPr>
      <w:r w:rsidRPr="000A0A5F">
        <w:t>Table 5.11.3.3.3.3-2: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491D21" w:rsidRPr="000A0A5F" w:rsidTr="00FF0AF8">
        <w:trPr>
          <w:jc w:val="center"/>
        </w:trPr>
        <w:tc>
          <w:tcPr>
            <w:tcW w:w="825" w:type="pct"/>
            <w:shd w:val="clear" w:color="auto" w:fill="C0C0C0"/>
          </w:tcPr>
          <w:p w:rsidR="00491D21" w:rsidRPr="000A0A5F" w:rsidRDefault="00491D21" w:rsidP="00517DF6">
            <w:pPr>
              <w:pStyle w:val="TAH"/>
            </w:pPr>
            <w:r w:rsidRPr="000A0A5F">
              <w:t>Name</w:t>
            </w:r>
          </w:p>
        </w:tc>
        <w:tc>
          <w:tcPr>
            <w:tcW w:w="732" w:type="pct"/>
            <w:shd w:val="clear" w:color="auto" w:fill="C0C0C0"/>
          </w:tcPr>
          <w:p w:rsidR="00491D21" w:rsidRPr="000A0A5F" w:rsidRDefault="00491D21" w:rsidP="00517DF6">
            <w:pPr>
              <w:pStyle w:val="TAH"/>
            </w:pPr>
            <w:r w:rsidRPr="000A0A5F">
              <w:t>Data type</w:t>
            </w:r>
          </w:p>
        </w:tc>
        <w:tc>
          <w:tcPr>
            <w:tcW w:w="217" w:type="pct"/>
            <w:shd w:val="clear" w:color="auto" w:fill="C0C0C0"/>
          </w:tcPr>
          <w:p w:rsidR="00491D21" w:rsidRPr="000A0A5F" w:rsidRDefault="00491D21" w:rsidP="00517DF6">
            <w:pPr>
              <w:pStyle w:val="TAH"/>
            </w:pPr>
            <w:r w:rsidRPr="000A0A5F">
              <w:t>P</w:t>
            </w:r>
          </w:p>
        </w:tc>
        <w:tc>
          <w:tcPr>
            <w:tcW w:w="581" w:type="pct"/>
            <w:shd w:val="clear" w:color="auto" w:fill="C0C0C0"/>
          </w:tcPr>
          <w:p w:rsidR="00491D21" w:rsidRPr="000A0A5F" w:rsidRDefault="00491D21" w:rsidP="00517DF6">
            <w:pPr>
              <w:pStyle w:val="TAH"/>
            </w:pPr>
            <w:r w:rsidRPr="000A0A5F">
              <w:t>Cardinality</w:t>
            </w:r>
          </w:p>
        </w:tc>
        <w:tc>
          <w:tcPr>
            <w:tcW w:w="2645" w:type="pct"/>
            <w:shd w:val="clear" w:color="auto" w:fill="C0C0C0"/>
            <w:vAlign w:val="center"/>
          </w:tcPr>
          <w:p w:rsidR="00491D21" w:rsidRPr="000A0A5F" w:rsidRDefault="00491D21" w:rsidP="00517DF6">
            <w:pPr>
              <w:pStyle w:val="TAH"/>
            </w:pPr>
            <w:r w:rsidRPr="000A0A5F">
              <w:t>Description</w:t>
            </w:r>
          </w:p>
        </w:tc>
      </w:tr>
      <w:tr w:rsidR="00491D21" w:rsidRPr="000A0A5F" w:rsidTr="00FF0AF8">
        <w:trPr>
          <w:jc w:val="center"/>
        </w:trPr>
        <w:tc>
          <w:tcPr>
            <w:tcW w:w="825" w:type="pct"/>
            <w:shd w:val="clear" w:color="auto" w:fill="auto"/>
          </w:tcPr>
          <w:p w:rsidR="00491D21" w:rsidRPr="000A0A5F" w:rsidRDefault="00491D21" w:rsidP="00517DF6">
            <w:pPr>
              <w:pStyle w:val="TAL"/>
            </w:pPr>
            <w:r w:rsidRPr="000A0A5F">
              <w:t>Location</w:t>
            </w:r>
          </w:p>
        </w:tc>
        <w:tc>
          <w:tcPr>
            <w:tcW w:w="732" w:type="pct"/>
          </w:tcPr>
          <w:p w:rsidR="00491D21" w:rsidRPr="000A0A5F" w:rsidRDefault="00491D21" w:rsidP="00517DF6">
            <w:pPr>
              <w:pStyle w:val="TAL"/>
            </w:pPr>
            <w:r w:rsidRPr="000A0A5F">
              <w:t>string</w:t>
            </w:r>
          </w:p>
        </w:tc>
        <w:tc>
          <w:tcPr>
            <w:tcW w:w="217" w:type="pct"/>
          </w:tcPr>
          <w:p w:rsidR="00491D21" w:rsidRPr="000A0A5F" w:rsidRDefault="00491D21" w:rsidP="00517DF6">
            <w:pPr>
              <w:pStyle w:val="TAC"/>
            </w:pPr>
            <w:r w:rsidRPr="000A0A5F">
              <w:t>M</w:t>
            </w:r>
          </w:p>
        </w:tc>
        <w:tc>
          <w:tcPr>
            <w:tcW w:w="581" w:type="pct"/>
          </w:tcPr>
          <w:p w:rsidR="00491D21" w:rsidRPr="000A0A5F" w:rsidRDefault="00491D21" w:rsidP="00517DF6">
            <w:pPr>
              <w:pStyle w:val="TAL"/>
            </w:pPr>
            <w:r w:rsidRPr="000A0A5F">
              <w:t>1</w:t>
            </w:r>
          </w:p>
        </w:tc>
        <w:tc>
          <w:tcPr>
            <w:tcW w:w="2645" w:type="pct"/>
            <w:shd w:val="clear" w:color="auto" w:fill="auto"/>
            <w:vAlign w:val="center"/>
          </w:tcPr>
          <w:p w:rsidR="00491D21" w:rsidRPr="000A0A5F" w:rsidRDefault="00491D21" w:rsidP="00517DF6">
            <w:pPr>
              <w:pStyle w:val="TAL"/>
            </w:pPr>
            <w:r w:rsidRPr="000A0A5F">
              <w:t>An alternative URI of the resource located in an alternative SCEF.</w:t>
            </w:r>
          </w:p>
        </w:tc>
      </w:tr>
    </w:tbl>
    <w:p w:rsidR="00491D21" w:rsidRPr="000A0A5F" w:rsidRDefault="00491D21" w:rsidP="00491D21"/>
    <w:p w:rsidR="00491D21" w:rsidRPr="000A0A5F" w:rsidRDefault="00491D21" w:rsidP="00491D21">
      <w:pPr>
        <w:pStyle w:val="TH"/>
      </w:pPr>
      <w:r w:rsidRPr="000A0A5F">
        <w:t>Table 5.11.3.3.3.3-3: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491D21" w:rsidRPr="000A0A5F" w:rsidTr="00FF0AF8">
        <w:trPr>
          <w:jc w:val="center"/>
        </w:trPr>
        <w:tc>
          <w:tcPr>
            <w:tcW w:w="825" w:type="pct"/>
            <w:shd w:val="clear" w:color="auto" w:fill="C0C0C0"/>
          </w:tcPr>
          <w:p w:rsidR="00491D21" w:rsidRPr="000A0A5F" w:rsidRDefault="00491D21" w:rsidP="00517DF6">
            <w:pPr>
              <w:pStyle w:val="TAH"/>
            </w:pPr>
            <w:r w:rsidRPr="000A0A5F">
              <w:t>Name</w:t>
            </w:r>
          </w:p>
        </w:tc>
        <w:tc>
          <w:tcPr>
            <w:tcW w:w="732" w:type="pct"/>
            <w:shd w:val="clear" w:color="auto" w:fill="C0C0C0"/>
          </w:tcPr>
          <w:p w:rsidR="00491D21" w:rsidRPr="000A0A5F" w:rsidRDefault="00491D21" w:rsidP="00517DF6">
            <w:pPr>
              <w:pStyle w:val="TAH"/>
            </w:pPr>
            <w:r w:rsidRPr="000A0A5F">
              <w:t>Data type</w:t>
            </w:r>
          </w:p>
        </w:tc>
        <w:tc>
          <w:tcPr>
            <w:tcW w:w="217" w:type="pct"/>
            <w:shd w:val="clear" w:color="auto" w:fill="C0C0C0"/>
          </w:tcPr>
          <w:p w:rsidR="00491D21" w:rsidRPr="000A0A5F" w:rsidRDefault="00491D21" w:rsidP="00517DF6">
            <w:pPr>
              <w:pStyle w:val="TAH"/>
            </w:pPr>
            <w:r w:rsidRPr="000A0A5F">
              <w:t>P</w:t>
            </w:r>
          </w:p>
        </w:tc>
        <w:tc>
          <w:tcPr>
            <w:tcW w:w="581" w:type="pct"/>
            <w:shd w:val="clear" w:color="auto" w:fill="C0C0C0"/>
          </w:tcPr>
          <w:p w:rsidR="00491D21" w:rsidRPr="000A0A5F" w:rsidRDefault="00491D21" w:rsidP="00517DF6">
            <w:pPr>
              <w:pStyle w:val="TAH"/>
            </w:pPr>
            <w:r w:rsidRPr="000A0A5F">
              <w:t>Cardinality</w:t>
            </w:r>
          </w:p>
        </w:tc>
        <w:tc>
          <w:tcPr>
            <w:tcW w:w="2645" w:type="pct"/>
            <w:shd w:val="clear" w:color="auto" w:fill="C0C0C0"/>
            <w:vAlign w:val="center"/>
          </w:tcPr>
          <w:p w:rsidR="00491D21" w:rsidRPr="000A0A5F" w:rsidRDefault="00491D21" w:rsidP="00517DF6">
            <w:pPr>
              <w:pStyle w:val="TAH"/>
            </w:pPr>
            <w:r w:rsidRPr="000A0A5F">
              <w:t>Description</w:t>
            </w:r>
          </w:p>
        </w:tc>
      </w:tr>
      <w:tr w:rsidR="00491D21" w:rsidRPr="000A0A5F" w:rsidTr="00FF0AF8">
        <w:trPr>
          <w:jc w:val="center"/>
        </w:trPr>
        <w:tc>
          <w:tcPr>
            <w:tcW w:w="825" w:type="pct"/>
            <w:shd w:val="clear" w:color="auto" w:fill="auto"/>
          </w:tcPr>
          <w:p w:rsidR="00491D21" w:rsidRPr="000A0A5F" w:rsidRDefault="00491D21" w:rsidP="00517DF6">
            <w:pPr>
              <w:pStyle w:val="TAL"/>
            </w:pPr>
            <w:r w:rsidRPr="000A0A5F">
              <w:t>Location</w:t>
            </w:r>
          </w:p>
        </w:tc>
        <w:tc>
          <w:tcPr>
            <w:tcW w:w="732" w:type="pct"/>
          </w:tcPr>
          <w:p w:rsidR="00491D21" w:rsidRPr="000A0A5F" w:rsidRDefault="00491D21" w:rsidP="00517DF6">
            <w:pPr>
              <w:pStyle w:val="TAL"/>
            </w:pPr>
            <w:r w:rsidRPr="000A0A5F">
              <w:t>string</w:t>
            </w:r>
          </w:p>
        </w:tc>
        <w:tc>
          <w:tcPr>
            <w:tcW w:w="217" w:type="pct"/>
          </w:tcPr>
          <w:p w:rsidR="00491D21" w:rsidRPr="000A0A5F" w:rsidRDefault="00491D21" w:rsidP="00517DF6">
            <w:pPr>
              <w:pStyle w:val="TAC"/>
            </w:pPr>
            <w:r w:rsidRPr="000A0A5F">
              <w:t>M</w:t>
            </w:r>
          </w:p>
        </w:tc>
        <w:tc>
          <w:tcPr>
            <w:tcW w:w="581" w:type="pct"/>
          </w:tcPr>
          <w:p w:rsidR="00491D21" w:rsidRPr="000A0A5F" w:rsidRDefault="00491D21" w:rsidP="00517DF6">
            <w:pPr>
              <w:pStyle w:val="TAL"/>
            </w:pPr>
            <w:r w:rsidRPr="000A0A5F">
              <w:t>1</w:t>
            </w:r>
          </w:p>
        </w:tc>
        <w:tc>
          <w:tcPr>
            <w:tcW w:w="2645" w:type="pct"/>
            <w:shd w:val="clear" w:color="auto" w:fill="auto"/>
            <w:vAlign w:val="center"/>
          </w:tcPr>
          <w:p w:rsidR="00491D21" w:rsidRPr="000A0A5F" w:rsidRDefault="00491D21" w:rsidP="00517DF6">
            <w:pPr>
              <w:pStyle w:val="TAL"/>
            </w:pPr>
            <w:r w:rsidRPr="000A0A5F">
              <w:t>An alternative URI of the resource located in an alternative SCEF.</w:t>
            </w:r>
          </w:p>
        </w:tc>
      </w:tr>
    </w:tbl>
    <w:p w:rsidR="00491D21" w:rsidRPr="000A0A5F" w:rsidRDefault="00491D21" w:rsidP="00491D21"/>
    <w:p w:rsidR="00CB0DD7" w:rsidRPr="000A0A5F" w:rsidRDefault="00CB0DD7">
      <w:pPr>
        <w:pStyle w:val="Heading6"/>
      </w:pPr>
      <w:bookmarkStart w:id="8134" w:name="_Toc105674919"/>
      <w:bookmarkStart w:id="8135" w:name="_Toc130502983"/>
      <w:bookmarkStart w:id="8136" w:name="_Toc153625771"/>
      <w:r w:rsidRPr="000A0A5F">
        <w:t>5.11.3.3.3.4</w:t>
      </w:r>
      <w:r w:rsidRPr="000A0A5F">
        <w:tab/>
        <w:t>POST</w:t>
      </w:r>
      <w:bookmarkEnd w:id="8125"/>
      <w:bookmarkEnd w:id="8126"/>
      <w:bookmarkEnd w:id="8127"/>
      <w:bookmarkEnd w:id="8128"/>
      <w:bookmarkEnd w:id="8129"/>
      <w:bookmarkEnd w:id="8130"/>
      <w:bookmarkEnd w:id="8131"/>
      <w:bookmarkEnd w:id="8132"/>
      <w:bookmarkEnd w:id="8133"/>
      <w:bookmarkEnd w:id="8134"/>
      <w:bookmarkEnd w:id="8135"/>
      <w:bookmarkEnd w:id="8136"/>
    </w:p>
    <w:p w:rsidR="00CB0DD7" w:rsidRPr="000A0A5F" w:rsidRDefault="00CB0DD7">
      <w:pPr>
        <w:rPr>
          <w:lang w:eastAsia="zh-CN"/>
        </w:rPr>
      </w:pPr>
      <w:r w:rsidRPr="000A0A5F">
        <w:rPr>
          <w:rFonts w:hint="eastAsia"/>
          <w:lang w:eastAsia="zh-CN"/>
        </w:rPr>
        <w:t xml:space="preserve">This </w:t>
      </w:r>
      <w:r w:rsidRPr="000A0A5F">
        <w:rPr>
          <w:lang w:eastAsia="zh-CN"/>
        </w:rPr>
        <w:t>HTTP method is not supported for the resource.</w:t>
      </w:r>
    </w:p>
    <w:p w:rsidR="00CB0DD7" w:rsidRPr="000A0A5F" w:rsidRDefault="00CB0DD7">
      <w:pPr>
        <w:pStyle w:val="Heading6"/>
      </w:pPr>
      <w:bookmarkStart w:id="8137" w:name="_Toc11247798"/>
      <w:bookmarkStart w:id="8138" w:name="_Toc27044942"/>
      <w:bookmarkStart w:id="8139" w:name="_Toc36033984"/>
      <w:bookmarkStart w:id="8140" w:name="_Toc45132130"/>
      <w:bookmarkStart w:id="8141" w:name="_Toc49776415"/>
      <w:bookmarkStart w:id="8142" w:name="_Toc51747335"/>
      <w:bookmarkStart w:id="8143" w:name="_Toc66360908"/>
      <w:bookmarkStart w:id="8144" w:name="_Toc68105413"/>
      <w:bookmarkStart w:id="8145" w:name="_Toc74756043"/>
      <w:bookmarkStart w:id="8146" w:name="_Toc105674920"/>
      <w:bookmarkStart w:id="8147" w:name="_Toc130502984"/>
      <w:bookmarkStart w:id="8148" w:name="_Toc153625772"/>
      <w:r w:rsidRPr="000A0A5F">
        <w:t>5.11.3.3.3.5</w:t>
      </w:r>
      <w:r w:rsidRPr="000A0A5F">
        <w:tab/>
        <w:t>DELETE</w:t>
      </w:r>
      <w:bookmarkEnd w:id="8137"/>
      <w:bookmarkEnd w:id="8138"/>
      <w:bookmarkEnd w:id="8139"/>
      <w:bookmarkEnd w:id="8140"/>
      <w:bookmarkEnd w:id="8141"/>
      <w:bookmarkEnd w:id="8142"/>
      <w:bookmarkEnd w:id="8143"/>
      <w:bookmarkEnd w:id="8144"/>
      <w:bookmarkEnd w:id="8145"/>
      <w:bookmarkEnd w:id="8146"/>
      <w:bookmarkEnd w:id="8147"/>
      <w:bookmarkEnd w:id="8148"/>
    </w:p>
    <w:p w:rsidR="00CB0DD7" w:rsidRPr="000A0A5F" w:rsidRDefault="00CB0DD7">
      <w:pPr>
        <w:rPr>
          <w:noProof/>
          <w:lang w:eastAsia="zh-CN"/>
        </w:rPr>
      </w:pPr>
      <w:r w:rsidRPr="000A0A5F">
        <w:rPr>
          <w:noProof/>
          <w:lang w:eastAsia="zh-CN"/>
        </w:rPr>
        <w:t xml:space="preserve">The DELETE method deletes the PFDs for a given SCS/AS and an transaction Id generated by the SCEF. It is initiated by the SCS/AS and answered by the SCEF. </w:t>
      </w:r>
    </w:p>
    <w:p w:rsidR="00CB0DD7" w:rsidRPr="000A0A5F" w:rsidRDefault="00CB0DD7">
      <w:r w:rsidRPr="000A0A5F">
        <w:t>This method shall support the URI query parameters, request and response data structures, and response codes, as specified in the table 5.11.3.3.3.5-1 and table 5.11.3.3.3.5-2.</w:t>
      </w:r>
    </w:p>
    <w:p w:rsidR="00CB0DD7" w:rsidRPr="000A0A5F" w:rsidRDefault="00CB0DD7">
      <w:pPr>
        <w:pStyle w:val="TH"/>
        <w:rPr>
          <w:rFonts w:cs="Arial"/>
        </w:rPr>
      </w:pPr>
      <w:r w:rsidRPr="000A0A5F">
        <w:t xml:space="preserve">Table 5.11.3.3.3.5-1: URI query parameters supported by the DELETE method on this resource </w:t>
      </w:r>
    </w:p>
    <w:tbl>
      <w:tblPr>
        <w:tblW w:w="4999"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612"/>
        <w:gridCol w:w="1709"/>
        <w:gridCol w:w="1140"/>
        <w:gridCol w:w="5314"/>
      </w:tblGrid>
      <w:tr w:rsidR="00CB0DD7" w:rsidRPr="000A0A5F" w:rsidTr="00FF0AF8">
        <w:trPr>
          <w:jc w:val="center"/>
        </w:trPr>
        <w:tc>
          <w:tcPr>
            <w:tcW w:w="825" w:type="pct"/>
            <w:shd w:val="clear" w:color="000000" w:fill="C0C0C0"/>
          </w:tcPr>
          <w:p w:rsidR="00CB0DD7" w:rsidRPr="000A0A5F" w:rsidRDefault="00CB0DD7">
            <w:pPr>
              <w:pStyle w:val="TAH"/>
            </w:pPr>
            <w:r w:rsidRPr="000A0A5F">
              <w:t>Name</w:t>
            </w:r>
          </w:p>
        </w:tc>
        <w:tc>
          <w:tcPr>
            <w:tcW w:w="874" w:type="pct"/>
            <w:shd w:val="clear" w:color="000000" w:fill="C0C0C0"/>
          </w:tcPr>
          <w:p w:rsidR="00CB0DD7" w:rsidRPr="000A0A5F" w:rsidRDefault="00CB0DD7">
            <w:pPr>
              <w:pStyle w:val="TAH"/>
            </w:pPr>
            <w:r w:rsidRPr="000A0A5F">
              <w:t>Data type</w:t>
            </w:r>
          </w:p>
        </w:tc>
        <w:tc>
          <w:tcPr>
            <w:tcW w:w="583" w:type="pct"/>
            <w:shd w:val="clear" w:color="000000" w:fill="C0C0C0"/>
          </w:tcPr>
          <w:p w:rsidR="00CB0DD7" w:rsidRPr="000A0A5F" w:rsidRDefault="00CB0DD7">
            <w:pPr>
              <w:pStyle w:val="TAH"/>
            </w:pPr>
            <w:r w:rsidRPr="000A0A5F">
              <w:t>Cardinality</w:t>
            </w:r>
          </w:p>
        </w:tc>
        <w:tc>
          <w:tcPr>
            <w:tcW w:w="2718" w:type="pct"/>
            <w:shd w:val="clear" w:color="000000" w:fill="C0C0C0"/>
            <w:vAlign w:val="center"/>
          </w:tcPr>
          <w:p w:rsidR="00CB0DD7" w:rsidRPr="000A0A5F" w:rsidRDefault="00CB0DD7">
            <w:pPr>
              <w:pStyle w:val="TAH"/>
            </w:pPr>
            <w:r w:rsidRPr="000A0A5F">
              <w:t>Remarks</w:t>
            </w:r>
          </w:p>
        </w:tc>
      </w:tr>
      <w:tr w:rsidR="00CB0DD7" w:rsidRPr="000A0A5F" w:rsidTr="00FF0AF8">
        <w:trPr>
          <w:jc w:val="center"/>
        </w:trPr>
        <w:tc>
          <w:tcPr>
            <w:tcW w:w="825" w:type="pct"/>
            <w:shd w:val="clear" w:color="auto" w:fill="auto"/>
          </w:tcPr>
          <w:p w:rsidR="00CB0DD7" w:rsidRPr="000A0A5F" w:rsidRDefault="00CB0DD7">
            <w:pPr>
              <w:pStyle w:val="TAL"/>
              <w:rPr>
                <w:rFonts w:hint="eastAsia"/>
                <w:lang w:eastAsia="zh-CN"/>
              </w:rPr>
            </w:pPr>
            <w:r w:rsidRPr="000A0A5F">
              <w:rPr>
                <w:rFonts w:hint="eastAsia"/>
                <w:lang w:eastAsia="zh-CN"/>
              </w:rPr>
              <w:t>N/A</w:t>
            </w:r>
          </w:p>
        </w:tc>
        <w:tc>
          <w:tcPr>
            <w:tcW w:w="874" w:type="pct"/>
          </w:tcPr>
          <w:p w:rsidR="00CB0DD7" w:rsidRPr="000A0A5F" w:rsidRDefault="00CB0DD7">
            <w:pPr>
              <w:pStyle w:val="TAL"/>
            </w:pPr>
          </w:p>
        </w:tc>
        <w:tc>
          <w:tcPr>
            <w:tcW w:w="583" w:type="pct"/>
          </w:tcPr>
          <w:p w:rsidR="00CB0DD7" w:rsidRPr="000A0A5F" w:rsidRDefault="00CB0DD7">
            <w:pPr>
              <w:pStyle w:val="TAL"/>
            </w:pPr>
          </w:p>
        </w:tc>
        <w:tc>
          <w:tcPr>
            <w:tcW w:w="2718" w:type="pct"/>
            <w:shd w:val="clear" w:color="auto" w:fill="auto"/>
            <w:vAlign w:val="center"/>
          </w:tcPr>
          <w:p w:rsidR="00CB0DD7" w:rsidRPr="000A0A5F" w:rsidRDefault="00CB0DD7">
            <w:pPr>
              <w:pStyle w:val="TAL"/>
            </w:pPr>
          </w:p>
        </w:tc>
      </w:tr>
    </w:tbl>
    <w:p w:rsidR="00CB0DD7" w:rsidRPr="000A0A5F" w:rsidRDefault="00CB0DD7"/>
    <w:p w:rsidR="00CB0DD7" w:rsidRPr="000A0A5F" w:rsidRDefault="00CB0DD7">
      <w:pPr>
        <w:pStyle w:val="TH"/>
      </w:pPr>
      <w:r w:rsidRPr="000A0A5F">
        <w:t>Table 5.11.3.3.3.5-2: Data structures supported by the DELETE request/response by the resource</w:t>
      </w:r>
    </w:p>
    <w:tbl>
      <w:tblPr>
        <w:tblW w:w="4999" w:type="pct"/>
        <w:tblInd w:w="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45" w:type="dxa"/>
          <w:left w:w="45" w:type="dxa"/>
          <w:bottom w:w="45" w:type="dxa"/>
          <w:right w:w="45" w:type="dxa"/>
        </w:tblCellMar>
        <w:tblLook w:val="0000" w:firstRow="0" w:lastRow="0" w:firstColumn="0" w:lastColumn="0" w:noHBand="0" w:noVBand="0"/>
      </w:tblPr>
      <w:tblGrid>
        <w:gridCol w:w="1035"/>
        <w:gridCol w:w="2127"/>
        <w:gridCol w:w="1053"/>
        <w:gridCol w:w="973"/>
        <w:gridCol w:w="4541"/>
      </w:tblGrid>
      <w:tr w:rsidR="00CB0DD7" w:rsidRPr="000A0A5F" w:rsidTr="0008146A">
        <w:tc>
          <w:tcPr>
            <w:tcW w:w="532" w:type="pct"/>
            <w:vMerge w:val="restart"/>
            <w:shd w:val="clear" w:color="auto" w:fill="C0C0C0"/>
            <w:vAlign w:val="center"/>
          </w:tcPr>
          <w:p w:rsidR="00CB0DD7" w:rsidRPr="000A0A5F" w:rsidRDefault="00CB0DD7">
            <w:pPr>
              <w:pStyle w:val="TAH"/>
            </w:pPr>
            <w:r w:rsidRPr="000A0A5F">
              <w:t>Request body</w:t>
            </w:r>
          </w:p>
        </w:tc>
        <w:tc>
          <w:tcPr>
            <w:tcW w:w="1093" w:type="pct"/>
            <w:shd w:val="clear" w:color="auto" w:fill="C0C0C0"/>
          </w:tcPr>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r w:rsidRPr="000A0A5F">
              <w:t>Cardinality</w:t>
            </w:r>
          </w:p>
        </w:tc>
        <w:tc>
          <w:tcPr>
            <w:tcW w:w="2834" w:type="pct"/>
            <w:gridSpan w:val="2"/>
            <w:shd w:val="clear" w:color="auto" w:fill="C0C0C0"/>
          </w:tcPr>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none</w:t>
            </w:r>
          </w:p>
        </w:tc>
        <w:tc>
          <w:tcPr>
            <w:tcW w:w="541" w:type="pct"/>
          </w:tcPr>
          <w:p w:rsidR="00CB0DD7" w:rsidRPr="000A0A5F" w:rsidRDefault="00CB0DD7">
            <w:pPr>
              <w:pStyle w:val="TAL"/>
            </w:pPr>
          </w:p>
        </w:tc>
        <w:tc>
          <w:tcPr>
            <w:tcW w:w="2834" w:type="pct"/>
            <w:gridSpan w:val="2"/>
          </w:tcPr>
          <w:p w:rsidR="00CB0DD7" w:rsidRPr="000A0A5F" w:rsidRDefault="00CB0DD7">
            <w:pPr>
              <w:pStyle w:val="TAL"/>
            </w:pPr>
          </w:p>
        </w:tc>
      </w:tr>
      <w:tr w:rsidR="00CB0DD7" w:rsidRPr="000A0A5F" w:rsidTr="0008146A">
        <w:tc>
          <w:tcPr>
            <w:tcW w:w="532" w:type="pct"/>
            <w:vMerge w:val="restart"/>
            <w:shd w:val="clear" w:color="auto" w:fill="C0C0C0"/>
            <w:vAlign w:val="center"/>
          </w:tcPr>
          <w:p w:rsidR="00CB0DD7" w:rsidRPr="000A0A5F" w:rsidRDefault="00CB0DD7">
            <w:pPr>
              <w:pStyle w:val="TAH"/>
            </w:pPr>
            <w:r w:rsidRPr="000A0A5F">
              <w:t>Response body</w:t>
            </w:r>
          </w:p>
        </w:tc>
        <w:tc>
          <w:tcPr>
            <w:tcW w:w="1093" w:type="pct"/>
            <w:shd w:val="clear" w:color="auto" w:fill="C0C0C0"/>
          </w:tcPr>
          <w:p w:rsidR="00CB0DD7" w:rsidRPr="000A0A5F" w:rsidRDefault="00CB0DD7">
            <w:pPr>
              <w:pStyle w:val="TAH"/>
            </w:pPr>
          </w:p>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p>
          <w:p w:rsidR="00CB0DD7" w:rsidRPr="000A0A5F" w:rsidRDefault="00CB0DD7">
            <w:pPr>
              <w:pStyle w:val="TAH"/>
            </w:pPr>
            <w:r w:rsidRPr="000A0A5F">
              <w:t>Cardinality</w:t>
            </w:r>
          </w:p>
        </w:tc>
        <w:tc>
          <w:tcPr>
            <w:tcW w:w="500" w:type="pct"/>
            <w:shd w:val="clear" w:color="auto" w:fill="C0C0C0"/>
          </w:tcPr>
          <w:p w:rsidR="00CB0DD7" w:rsidRPr="000A0A5F" w:rsidRDefault="00CB0DD7">
            <w:pPr>
              <w:pStyle w:val="TAH"/>
            </w:pPr>
            <w:r w:rsidRPr="000A0A5F">
              <w:t>Response</w:t>
            </w:r>
          </w:p>
          <w:p w:rsidR="00CB0DD7" w:rsidRPr="000A0A5F" w:rsidRDefault="00CB0DD7">
            <w:pPr>
              <w:pStyle w:val="TAH"/>
            </w:pPr>
            <w:r w:rsidRPr="000A0A5F">
              <w:t>codes</w:t>
            </w:r>
          </w:p>
        </w:tc>
        <w:tc>
          <w:tcPr>
            <w:tcW w:w="2334" w:type="pct"/>
            <w:shd w:val="clear" w:color="auto" w:fill="C0C0C0"/>
          </w:tcPr>
          <w:p w:rsidR="00CB0DD7" w:rsidRPr="000A0A5F" w:rsidRDefault="00CB0DD7">
            <w:pPr>
              <w:pStyle w:val="TAH"/>
            </w:pPr>
          </w:p>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None</w:t>
            </w:r>
          </w:p>
        </w:tc>
        <w:tc>
          <w:tcPr>
            <w:tcW w:w="541" w:type="pct"/>
          </w:tcPr>
          <w:p w:rsidR="00CB0DD7" w:rsidRPr="000A0A5F" w:rsidRDefault="00CB0DD7">
            <w:pPr>
              <w:pStyle w:val="TAL"/>
            </w:pPr>
          </w:p>
        </w:tc>
        <w:tc>
          <w:tcPr>
            <w:tcW w:w="500" w:type="pct"/>
          </w:tcPr>
          <w:p w:rsidR="00CB0DD7" w:rsidRPr="000A0A5F" w:rsidRDefault="00CB0DD7">
            <w:pPr>
              <w:pStyle w:val="TAL"/>
            </w:pPr>
            <w:r w:rsidRPr="000A0A5F">
              <w:t>204 No Content</w:t>
            </w:r>
          </w:p>
        </w:tc>
        <w:tc>
          <w:tcPr>
            <w:tcW w:w="2334" w:type="pct"/>
          </w:tcPr>
          <w:p w:rsidR="00CB0DD7" w:rsidRPr="000A0A5F" w:rsidRDefault="00CB0DD7">
            <w:pPr>
              <w:pStyle w:val="TAL"/>
            </w:pPr>
            <w:r w:rsidRPr="000A0A5F">
              <w:t>The PFDs for an existing transaction Id were removed successfully.</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none</w:t>
            </w:r>
          </w:p>
        </w:tc>
        <w:tc>
          <w:tcPr>
            <w:tcW w:w="541" w:type="pct"/>
          </w:tcPr>
          <w:p w:rsidR="00CB0DD7" w:rsidRPr="000A0A5F" w:rsidRDefault="00CB0DD7">
            <w:pPr>
              <w:pStyle w:val="TAL"/>
            </w:pPr>
          </w:p>
        </w:tc>
        <w:tc>
          <w:tcPr>
            <w:tcW w:w="500" w:type="pct"/>
          </w:tcPr>
          <w:p w:rsidR="00CB0DD7" w:rsidRPr="000A0A5F" w:rsidRDefault="00CB0DD7">
            <w:pPr>
              <w:pStyle w:val="TAL"/>
            </w:pPr>
            <w:r w:rsidRPr="000A0A5F">
              <w:t>307 Temporary Redirect</w:t>
            </w:r>
          </w:p>
        </w:tc>
        <w:tc>
          <w:tcPr>
            <w:tcW w:w="2334" w:type="pct"/>
          </w:tcPr>
          <w:p w:rsidR="00CB0DD7" w:rsidRPr="000A0A5F" w:rsidRDefault="00CB0DD7">
            <w:pPr>
              <w:pStyle w:val="TAL"/>
            </w:pPr>
            <w:r w:rsidRPr="000A0A5F">
              <w:t>Temporary redirection, during transaction termination. The response shall include a Location header field containing an alternative URI of the resource located in an alternative SCEF.</w:t>
            </w:r>
          </w:p>
          <w:p w:rsidR="00CB0DD7" w:rsidRPr="000A0A5F" w:rsidRDefault="00CB0DD7">
            <w:pPr>
              <w:pStyle w:val="TAL"/>
            </w:pPr>
            <w:r w:rsidRPr="000A0A5F">
              <w:t>Redirection handling is described in clause 5.2.10.</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none</w:t>
            </w:r>
          </w:p>
        </w:tc>
        <w:tc>
          <w:tcPr>
            <w:tcW w:w="541" w:type="pct"/>
          </w:tcPr>
          <w:p w:rsidR="00CB0DD7" w:rsidRPr="000A0A5F" w:rsidRDefault="00CB0DD7">
            <w:pPr>
              <w:pStyle w:val="TAL"/>
            </w:pPr>
          </w:p>
        </w:tc>
        <w:tc>
          <w:tcPr>
            <w:tcW w:w="500" w:type="pct"/>
          </w:tcPr>
          <w:p w:rsidR="00CB0DD7" w:rsidRPr="000A0A5F" w:rsidRDefault="00CB0DD7">
            <w:pPr>
              <w:pStyle w:val="TAL"/>
            </w:pPr>
            <w:r w:rsidRPr="000A0A5F">
              <w:t>308 Permanent Redirect</w:t>
            </w:r>
          </w:p>
        </w:tc>
        <w:tc>
          <w:tcPr>
            <w:tcW w:w="2334" w:type="pct"/>
          </w:tcPr>
          <w:p w:rsidR="00CB0DD7" w:rsidRPr="000A0A5F" w:rsidRDefault="00CB0DD7">
            <w:pPr>
              <w:pStyle w:val="TAL"/>
            </w:pPr>
            <w:r w:rsidRPr="000A0A5F">
              <w:t>Permanent redirection, during transaction termination. The response shall include a Location header field containing an alternative URI of the resource located in an alternative SCEF.</w:t>
            </w:r>
          </w:p>
          <w:p w:rsidR="00CB0DD7" w:rsidRPr="000A0A5F" w:rsidRDefault="00CB0DD7">
            <w:pPr>
              <w:pStyle w:val="TAL"/>
            </w:pPr>
            <w:r w:rsidRPr="000A0A5F">
              <w:t>Redirection handling is described in clause 5.2.10.</w:t>
            </w:r>
          </w:p>
        </w:tc>
      </w:tr>
      <w:tr w:rsidR="00CB0DD7" w:rsidRPr="000A0A5F" w:rsidTr="00FF0AF8">
        <w:tc>
          <w:tcPr>
            <w:tcW w:w="5000" w:type="pct"/>
            <w:gridSpan w:val="5"/>
            <w:shd w:val="clear" w:color="auto" w:fill="auto"/>
            <w:vAlign w:val="center"/>
          </w:tcPr>
          <w:p w:rsidR="00CB0DD7" w:rsidRPr="000A0A5F" w:rsidRDefault="00CB0DD7">
            <w:pPr>
              <w:pStyle w:val="TAN"/>
            </w:pPr>
            <w:r w:rsidRPr="000A0A5F">
              <w:t>NOTE:</w:t>
            </w:r>
            <w:r w:rsidRPr="000A0A5F">
              <w:tab/>
              <w:t>The mandatory HTTP error status codes for the DELETE method listed in table 5.2.6-1 also apply.</w:t>
            </w:r>
          </w:p>
        </w:tc>
      </w:tr>
    </w:tbl>
    <w:p w:rsidR="00CB0DD7" w:rsidRPr="000A0A5F" w:rsidRDefault="00CB0DD7"/>
    <w:p w:rsidR="00CB0DD7" w:rsidRPr="000A0A5F" w:rsidRDefault="002E466A">
      <w:pPr>
        <w:pStyle w:val="TH"/>
      </w:pPr>
      <w:r w:rsidRPr="000A0A5F">
        <w:t>Table </w:t>
      </w:r>
      <w:r w:rsidR="00CB0DD7" w:rsidRPr="000A0A5F">
        <w:t>5.11.3.3.3.5-3: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2E466A">
      <w:pPr>
        <w:pStyle w:val="TH"/>
      </w:pPr>
      <w:r w:rsidRPr="000A0A5F">
        <w:t>Table </w:t>
      </w:r>
      <w:r w:rsidR="00CB0DD7" w:rsidRPr="000A0A5F">
        <w:t>5.11.3.3.3.5-4: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CB0DD7">
      <w:pPr>
        <w:pStyle w:val="Heading4"/>
      </w:pPr>
      <w:bookmarkStart w:id="8149" w:name="_Toc11247799"/>
      <w:bookmarkStart w:id="8150" w:name="_Toc27044943"/>
      <w:bookmarkStart w:id="8151" w:name="_Toc36033985"/>
      <w:bookmarkStart w:id="8152" w:name="_Toc45132131"/>
      <w:bookmarkStart w:id="8153" w:name="_Toc49776416"/>
      <w:bookmarkStart w:id="8154" w:name="_Toc51747336"/>
      <w:bookmarkStart w:id="8155" w:name="_Toc66360909"/>
      <w:bookmarkStart w:id="8156" w:name="_Toc68105414"/>
      <w:bookmarkStart w:id="8157" w:name="_Toc74756044"/>
      <w:bookmarkStart w:id="8158" w:name="_Toc105674921"/>
      <w:bookmarkStart w:id="8159" w:name="_Toc130502985"/>
      <w:bookmarkStart w:id="8160" w:name="_Toc153625773"/>
      <w:r w:rsidRPr="000A0A5F">
        <w:t>5.11.3.4</w:t>
      </w:r>
      <w:r w:rsidRPr="000A0A5F">
        <w:tab/>
        <w:t>Resource: Individual Application PFD Management</w:t>
      </w:r>
      <w:bookmarkEnd w:id="8149"/>
      <w:bookmarkEnd w:id="8150"/>
      <w:bookmarkEnd w:id="8151"/>
      <w:bookmarkEnd w:id="8152"/>
      <w:bookmarkEnd w:id="8153"/>
      <w:bookmarkEnd w:id="8154"/>
      <w:bookmarkEnd w:id="8155"/>
      <w:bookmarkEnd w:id="8156"/>
      <w:bookmarkEnd w:id="8157"/>
      <w:bookmarkEnd w:id="8158"/>
      <w:bookmarkEnd w:id="8159"/>
      <w:bookmarkEnd w:id="8160"/>
      <w:r w:rsidRPr="000A0A5F">
        <w:t xml:space="preserve"> </w:t>
      </w:r>
    </w:p>
    <w:p w:rsidR="00CB0DD7" w:rsidRPr="000A0A5F" w:rsidRDefault="00CB0DD7">
      <w:pPr>
        <w:pStyle w:val="Heading5"/>
      </w:pPr>
      <w:bookmarkStart w:id="8161" w:name="_Toc11247800"/>
      <w:bookmarkStart w:id="8162" w:name="_Toc27044944"/>
      <w:bookmarkStart w:id="8163" w:name="_Toc36033986"/>
      <w:bookmarkStart w:id="8164" w:name="_Toc45132132"/>
      <w:bookmarkStart w:id="8165" w:name="_Toc49776417"/>
      <w:bookmarkStart w:id="8166" w:name="_Toc51747337"/>
      <w:bookmarkStart w:id="8167" w:name="_Toc66360910"/>
      <w:bookmarkStart w:id="8168" w:name="_Toc68105415"/>
      <w:bookmarkStart w:id="8169" w:name="_Toc74756045"/>
      <w:bookmarkStart w:id="8170" w:name="_Toc105674922"/>
      <w:bookmarkStart w:id="8171" w:name="_Toc130502986"/>
      <w:bookmarkStart w:id="8172" w:name="_Toc153625774"/>
      <w:r w:rsidRPr="000A0A5F">
        <w:t>5.11.3.4.1</w:t>
      </w:r>
      <w:r w:rsidRPr="000A0A5F">
        <w:tab/>
        <w:t>Introduction</w:t>
      </w:r>
      <w:bookmarkEnd w:id="8161"/>
      <w:bookmarkEnd w:id="8162"/>
      <w:bookmarkEnd w:id="8163"/>
      <w:bookmarkEnd w:id="8164"/>
      <w:bookmarkEnd w:id="8165"/>
      <w:bookmarkEnd w:id="8166"/>
      <w:bookmarkEnd w:id="8167"/>
      <w:bookmarkEnd w:id="8168"/>
      <w:bookmarkEnd w:id="8169"/>
      <w:bookmarkEnd w:id="8170"/>
      <w:bookmarkEnd w:id="8171"/>
      <w:bookmarkEnd w:id="8172"/>
    </w:p>
    <w:p w:rsidR="00CB0DD7" w:rsidRPr="000A0A5F" w:rsidRDefault="00CB0DD7">
      <w:pPr>
        <w:rPr>
          <w:noProof/>
          <w:lang w:eastAsia="zh-CN"/>
        </w:rPr>
      </w:pPr>
      <w:r w:rsidRPr="000A0A5F">
        <w:rPr>
          <w:noProof/>
          <w:lang w:eastAsia="zh-CN"/>
        </w:rPr>
        <w:t xml:space="preserve">This resource allows an </w:t>
      </w:r>
      <w:r w:rsidRPr="000A0A5F">
        <w:rPr>
          <w:rFonts w:hint="eastAsia"/>
          <w:noProof/>
          <w:lang w:eastAsia="zh-CN"/>
        </w:rPr>
        <w:t xml:space="preserve">SCS/AS </w:t>
      </w:r>
      <w:r w:rsidRPr="000A0A5F">
        <w:rPr>
          <w:noProof/>
          <w:lang w:eastAsia="zh-CN"/>
        </w:rPr>
        <w:t xml:space="preserve">to read, update or remove the PFDs for a given SCS/AS and an external Application Identifier at the SCEF.  </w:t>
      </w:r>
    </w:p>
    <w:p w:rsidR="00CB0DD7" w:rsidRPr="000A0A5F" w:rsidRDefault="00CB0DD7">
      <w:pPr>
        <w:pStyle w:val="Heading5"/>
      </w:pPr>
      <w:bookmarkStart w:id="8173" w:name="_Toc11247801"/>
      <w:bookmarkStart w:id="8174" w:name="_Toc27044945"/>
      <w:bookmarkStart w:id="8175" w:name="_Toc36033987"/>
      <w:bookmarkStart w:id="8176" w:name="_Toc45132133"/>
      <w:bookmarkStart w:id="8177" w:name="_Toc49776418"/>
      <w:bookmarkStart w:id="8178" w:name="_Toc51747338"/>
      <w:bookmarkStart w:id="8179" w:name="_Toc66360911"/>
      <w:bookmarkStart w:id="8180" w:name="_Toc68105416"/>
      <w:bookmarkStart w:id="8181" w:name="_Toc74756046"/>
      <w:bookmarkStart w:id="8182" w:name="_Toc105674923"/>
      <w:bookmarkStart w:id="8183" w:name="_Toc130502987"/>
      <w:bookmarkStart w:id="8184" w:name="_Toc153625775"/>
      <w:r w:rsidRPr="000A0A5F">
        <w:t>5.11.3.4.2</w:t>
      </w:r>
      <w:r w:rsidRPr="000A0A5F">
        <w:tab/>
        <w:t>Resource definition</w:t>
      </w:r>
      <w:bookmarkEnd w:id="8173"/>
      <w:bookmarkEnd w:id="8174"/>
      <w:bookmarkEnd w:id="8175"/>
      <w:bookmarkEnd w:id="8176"/>
      <w:bookmarkEnd w:id="8177"/>
      <w:bookmarkEnd w:id="8178"/>
      <w:bookmarkEnd w:id="8179"/>
      <w:bookmarkEnd w:id="8180"/>
      <w:bookmarkEnd w:id="8181"/>
      <w:bookmarkEnd w:id="8182"/>
      <w:bookmarkEnd w:id="8183"/>
      <w:bookmarkEnd w:id="8184"/>
    </w:p>
    <w:p w:rsidR="00CB0DD7" w:rsidRPr="000A0A5F" w:rsidRDefault="00CB0DD7">
      <w:pPr>
        <w:rPr>
          <w:b/>
        </w:rPr>
      </w:pPr>
      <w:r w:rsidRPr="000A0A5F">
        <w:t xml:space="preserve">Resource URI: </w:t>
      </w:r>
      <w:r w:rsidRPr="000A0A5F">
        <w:rPr>
          <w:b/>
        </w:rPr>
        <w:t>{apiRoot}/3gpp-pfd-management/v1/{scsAsId}/transactions/{transactionId}/applications/{appId}</w:t>
      </w:r>
    </w:p>
    <w:p w:rsidR="00CB0DD7" w:rsidRPr="000A0A5F" w:rsidRDefault="00CB0DD7">
      <w:pPr>
        <w:rPr>
          <w:rFonts w:ascii="Arial" w:hAnsi="Arial" w:cs="Arial"/>
        </w:rPr>
      </w:pPr>
      <w:r w:rsidRPr="000A0A5F">
        <w:t>This resource shall support the resource URI variables defined in table 5.11.3.4.2-1</w:t>
      </w:r>
      <w:r w:rsidRPr="000A0A5F">
        <w:rPr>
          <w:rFonts w:ascii="Arial" w:hAnsi="Arial" w:cs="Arial"/>
        </w:rPr>
        <w:t>.</w:t>
      </w:r>
    </w:p>
    <w:p w:rsidR="00CB0DD7" w:rsidRPr="000A0A5F" w:rsidRDefault="00CB0DD7">
      <w:pPr>
        <w:pStyle w:val="TH"/>
        <w:rPr>
          <w:rFonts w:cs="Arial"/>
        </w:rPr>
      </w:pPr>
      <w:r w:rsidRPr="000A0A5F">
        <w:t>Table 5.11.3.3.4-1: Resource URI variables for resource "Individual Application PFD Management"</w:t>
      </w:r>
    </w:p>
    <w:tbl>
      <w:tblPr>
        <w:tblW w:w="4868"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970"/>
        <w:gridCol w:w="1312"/>
        <w:gridCol w:w="6237"/>
      </w:tblGrid>
      <w:tr w:rsidR="00CB0DD7" w:rsidRPr="000A0A5F" w:rsidTr="00FF0AF8">
        <w:trPr>
          <w:jc w:val="center"/>
        </w:trPr>
        <w:tc>
          <w:tcPr>
            <w:tcW w:w="1035" w:type="pct"/>
            <w:shd w:val="clear" w:color="000000" w:fill="C0C0C0"/>
          </w:tcPr>
          <w:p w:rsidR="00CB0DD7" w:rsidRPr="000A0A5F" w:rsidRDefault="00CB0DD7">
            <w:pPr>
              <w:pStyle w:val="TAH"/>
            </w:pPr>
            <w:r w:rsidRPr="000A0A5F">
              <w:t>Name</w:t>
            </w:r>
          </w:p>
        </w:tc>
        <w:tc>
          <w:tcPr>
            <w:tcW w:w="689" w:type="pct"/>
            <w:shd w:val="clear" w:color="000000" w:fill="C0C0C0"/>
          </w:tcPr>
          <w:p w:rsidR="00CB0DD7" w:rsidRPr="000A0A5F" w:rsidRDefault="00CB0DD7">
            <w:pPr>
              <w:pStyle w:val="TAH"/>
            </w:pPr>
            <w:r w:rsidRPr="000A0A5F">
              <w:t>Data type</w:t>
            </w:r>
          </w:p>
        </w:tc>
        <w:tc>
          <w:tcPr>
            <w:tcW w:w="3277" w:type="pct"/>
            <w:shd w:val="clear" w:color="000000" w:fill="C0C0C0"/>
            <w:vAlign w:val="center"/>
          </w:tcPr>
          <w:p w:rsidR="00CB0DD7" w:rsidRPr="000A0A5F" w:rsidRDefault="00CB0DD7">
            <w:pPr>
              <w:pStyle w:val="TAH"/>
            </w:pPr>
            <w:r w:rsidRPr="000A0A5F">
              <w:t>Definition</w:t>
            </w:r>
          </w:p>
        </w:tc>
      </w:tr>
      <w:tr w:rsidR="00CB0DD7" w:rsidRPr="000A0A5F" w:rsidTr="00FF0AF8">
        <w:trPr>
          <w:jc w:val="center"/>
        </w:trPr>
        <w:tc>
          <w:tcPr>
            <w:tcW w:w="1035" w:type="pct"/>
            <w:shd w:val="clear" w:color="auto" w:fill="auto"/>
          </w:tcPr>
          <w:p w:rsidR="00CB0DD7" w:rsidRPr="000A0A5F" w:rsidRDefault="00CB0DD7">
            <w:pPr>
              <w:pStyle w:val="TAL"/>
            </w:pPr>
            <w:r w:rsidRPr="000A0A5F">
              <w:t>apiRoot</w:t>
            </w:r>
          </w:p>
        </w:tc>
        <w:tc>
          <w:tcPr>
            <w:tcW w:w="689" w:type="pct"/>
          </w:tcPr>
          <w:p w:rsidR="00CB0DD7" w:rsidRPr="000A0A5F" w:rsidRDefault="00CB0DD7">
            <w:pPr>
              <w:pStyle w:val="TAL"/>
            </w:pPr>
            <w:r w:rsidRPr="000A0A5F">
              <w:t>string</w:t>
            </w:r>
          </w:p>
        </w:tc>
        <w:tc>
          <w:tcPr>
            <w:tcW w:w="3277" w:type="pct"/>
            <w:shd w:val="clear" w:color="auto" w:fill="auto"/>
            <w:vAlign w:val="center"/>
          </w:tcPr>
          <w:p w:rsidR="00CB0DD7" w:rsidRPr="000A0A5F" w:rsidRDefault="00CB0DD7">
            <w:pPr>
              <w:pStyle w:val="TAL"/>
            </w:pPr>
            <w:r w:rsidRPr="000A0A5F">
              <w:t>See clause</w:t>
            </w:r>
            <w:r w:rsidRPr="000A0A5F">
              <w:rPr>
                <w:lang w:val="en-US" w:eastAsia="zh-CN"/>
              </w:rPr>
              <w:t> </w:t>
            </w:r>
            <w:r w:rsidRPr="000A0A5F">
              <w:t>5.2.4.</w:t>
            </w:r>
          </w:p>
        </w:tc>
      </w:tr>
      <w:tr w:rsidR="00CB0DD7" w:rsidRPr="000A0A5F" w:rsidTr="00FF0AF8">
        <w:trPr>
          <w:jc w:val="center"/>
        </w:trPr>
        <w:tc>
          <w:tcPr>
            <w:tcW w:w="1035" w:type="pct"/>
            <w:shd w:val="clear" w:color="auto" w:fill="auto"/>
          </w:tcPr>
          <w:p w:rsidR="00CB0DD7" w:rsidRPr="000A0A5F" w:rsidRDefault="00CB0DD7">
            <w:pPr>
              <w:pStyle w:val="TAL"/>
            </w:pPr>
            <w:r w:rsidRPr="000A0A5F">
              <w:t>scsAsId</w:t>
            </w:r>
          </w:p>
        </w:tc>
        <w:tc>
          <w:tcPr>
            <w:tcW w:w="689" w:type="pct"/>
          </w:tcPr>
          <w:p w:rsidR="00CB0DD7" w:rsidRPr="000A0A5F" w:rsidRDefault="00CB0DD7">
            <w:pPr>
              <w:pStyle w:val="TAL"/>
            </w:pPr>
            <w:r w:rsidRPr="000A0A5F">
              <w:rPr>
                <w:rFonts w:hint="eastAsia"/>
                <w:lang w:eastAsia="zh-CN"/>
              </w:rPr>
              <w:t>s</w:t>
            </w:r>
            <w:r w:rsidRPr="000A0A5F">
              <w:rPr>
                <w:lang w:eastAsia="zh-CN"/>
              </w:rPr>
              <w:t>tring</w:t>
            </w:r>
          </w:p>
        </w:tc>
        <w:tc>
          <w:tcPr>
            <w:tcW w:w="3277" w:type="pct"/>
            <w:shd w:val="clear" w:color="auto" w:fill="auto"/>
            <w:vAlign w:val="center"/>
          </w:tcPr>
          <w:p w:rsidR="00CB0DD7" w:rsidRPr="000A0A5F" w:rsidRDefault="00CB0DD7">
            <w:pPr>
              <w:pStyle w:val="TAL"/>
            </w:pPr>
            <w:r w:rsidRPr="000A0A5F">
              <w:t>Identifier of the SCS/AS.</w:t>
            </w:r>
          </w:p>
        </w:tc>
      </w:tr>
      <w:tr w:rsidR="00CB0DD7" w:rsidRPr="000A0A5F" w:rsidTr="00FF0AF8">
        <w:trPr>
          <w:jc w:val="center"/>
        </w:trPr>
        <w:tc>
          <w:tcPr>
            <w:tcW w:w="1035" w:type="pct"/>
            <w:shd w:val="clear" w:color="auto" w:fill="auto"/>
          </w:tcPr>
          <w:p w:rsidR="00CB0DD7" w:rsidRPr="000A0A5F" w:rsidRDefault="00CB0DD7">
            <w:pPr>
              <w:pStyle w:val="TAL"/>
            </w:pPr>
            <w:r w:rsidRPr="000A0A5F">
              <w:t>transactionId</w:t>
            </w:r>
          </w:p>
        </w:tc>
        <w:tc>
          <w:tcPr>
            <w:tcW w:w="689" w:type="pct"/>
          </w:tcPr>
          <w:p w:rsidR="00CB0DD7" w:rsidRPr="000A0A5F" w:rsidRDefault="00CB0DD7">
            <w:pPr>
              <w:pStyle w:val="TAL"/>
            </w:pPr>
            <w:r w:rsidRPr="000A0A5F">
              <w:t>string</w:t>
            </w:r>
          </w:p>
        </w:tc>
        <w:tc>
          <w:tcPr>
            <w:tcW w:w="3277" w:type="pct"/>
            <w:shd w:val="clear" w:color="auto" w:fill="auto"/>
            <w:vAlign w:val="center"/>
          </w:tcPr>
          <w:p w:rsidR="00CB0DD7" w:rsidRPr="000A0A5F" w:rsidRDefault="00CB0DD7">
            <w:pPr>
              <w:pStyle w:val="TAL"/>
            </w:pPr>
            <w:r w:rsidRPr="000A0A5F">
              <w:t>Identifier of the transaction.</w:t>
            </w:r>
          </w:p>
        </w:tc>
      </w:tr>
      <w:tr w:rsidR="00CB0DD7" w:rsidRPr="000A0A5F" w:rsidTr="00FF0AF8">
        <w:trPr>
          <w:jc w:val="center"/>
        </w:trPr>
        <w:tc>
          <w:tcPr>
            <w:tcW w:w="1035" w:type="pct"/>
            <w:shd w:val="clear" w:color="auto" w:fill="auto"/>
          </w:tcPr>
          <w:p w:rsidR="00CB0DD7" w:rsidRPr="000A0A5F" w:rsidRDefault="00CB0DD7">
            <w:pPr>
              <w:pStyle w:val="TAL"/>
            </w:pPr>
            <w:r w:rsidRPr="000A0A5F">
              <w:t>appId</w:t>
            </w:r>
          </w:p>
        </w:tc>
        <w:tc>
          <w:tcPr>
            <w:tcW w:w="689" w:type="pct"/>
          </w:tcPr>
          <w:p w:rsidR="00CB0DD7" w:rsidRPr="000A0A5F" w:rsidRDefault="00CB0DD7">
            <w:pPr>
              <w:pStyle w:val="TAL"/>
            </w:pPr>
            <w:r w:rsidRPr="000A0A5F">
              <w:t>string</w:t>
            </w:r>
          </w:p>
        </w:tc>
        <w:tc>
          <w:tcPr>
            <w:tcW w:w="3277" w:type="pct"/>
            <w:shd w:val="clear" w:color="auto" w:fill="auto"/>
            <w:vAlign w:val="center"/>
          </w:tcPr>
          <w:p w:rsidR="00CB0DD7" w:rsidRPr="000A0A5F" w:rsidRDefault="00CB0DD7">
            <w:pPr>
              <w:pStyle w:val="TAL"/>
            </w:pPr>
            <w:r w:rsidRPr="000A0A5F">
              <w:t>External Application Identifier.</w:t>
            </w:r>
          </w:p>
        </w:tc>
      </w:tr>
    </w:tbl>
    <w:p w:rsidR="00CB0DD7" w:rsidRPr="000A0A5F" w:rsidRDefault="00CB0DD7"/>
    <w:p w:rsidR="00CB0DD7" w:rsidRPr="000A0A5F" w:rsidRDefault="00CB0DD7">
      <w:pPr>
        <w:pStyle w:val="Heading5"/>
      </w:pPr>
      <w:bookmarkStart w:id="8185" w:name="_Toc11247802"/>
      <w:bookmarkStart w:id="8186" w:name="_Toc27044946"/>
      <w:bookmarkStart w:id="8187" w:name="_Toc36033988"/>
      <w:bookmarkStart w:id="8188" w:name="_Toc45132134"/>
      <w:bookmarkStart w:id="8189" w:name="_Toc49776419"/>
      <w:bookmarkStart w:id="8190" w:name="_Toc51747339"/>
      <w:bookmarkStart w:id="8191" w:name="_Toc66360912"/>
      <w:bookmarkStart w:id="8192" w:name="_Toc68105417"/>
      <w:bookmarkStart w:id="8193" w:name="_Toc74756047"/>
      <w:bookmarkStart w:id="8194" w:name="_Toc105674924"/>
      <w:bookmarkStart w:id="8195" w:name="_Toc130502988"/>
      <w:bookmarkStart w:id="8196" w:name="_Toc153625776"/>
      <w:r w:rsidRPr="000A0A5F">
        <w:t>5.11.3.4.3</w:t>
      </w:r>
      <w:r w:rsidRPr="000A0A5F">
        <w:tab/>
        <w:t>Resource methods</w:t>
      </w:r>
      <w:bookmarkEnd w:id="8185"/>
      <w:bookmarkEnd w:id="8186"/>
      <w:bookmarkEnd w:id="8187"/>
      <w:bookmarkEnd w:id="8188"/>
      <w:bookmarkEnd w:id="8189"/>
      <w:bookmarkEnd w:id="8190"/>
      <w:bookmarkEnd w:id="8191"/>
      <w:bookmarkEnd w:id="8192"/>
      <w:bookmarkEnd w:id="8193"/>
      <w:bookmarkEnd w:id="8194"/>
      <w:bookmarkEnd w:id="8195"/>
      <w:bookmarkEnd w:id="8196"/>
    </w:p>
    <w:p w:rsidR="00CB0DD7" w:rsidRPr="000A0A5F" w:rsidRDefault="00CB0DD7">
      <w:pPr>
        <w:pStyle w:val="Heading6"/>
      </w:pPr>
      <w:bookmarkStart w:id="8197" w:name="_Toc11247803"/>
      <w:bookmarkStart w:id="8198" w:name="_Toc27044947"/>
      <w:bookmarkStart w:id="8199" w:name="_Toc36033989"/>
      <w:bookmarkStart w:id="8200" w:name="_Toc45132135"/>
      <w:bookmarkStart w:id="8201" w:name="_Toc49776420"/>
      <w:bookmarkStart w:id="8202" w:name="_Toc51747340"/>
      <w:bookmarkStart w:id="8203" w:name="_Toc66360913"/>
      <w:bookmarkStart w:id="8204" w:name="_Toc68105418"/>
      <w:bookmarkStart w:id="8205" w:name="_Toc74756048"/>
      <w:bookmarkStart w:id="8206" w:name="_Toc105674925"/>
      <w:bookmarkStart w:id="8207" w:name="_Toc130502989"/>
      <w:bookmarkStart w:id="8208" w:name="_Toc153625777"/>
      <w:r w:rsidRPr="000A0A5F">
        <w:t>5.11.3.4.3.1</w:t>
      </w:r>
      <w:r w:rsidRPr="000A0A5F">
        <w:tab/>
        <w:t>GET</w:t>
      </w:r>
      <w:bookmarkEnd w:id="8197"/>
      <w:bookmarkEnd w:id="8198"/>
      <w:bookmarkEnd w:id="8199"/>
      <w:bookmarkEnd w:id="8200"/>
      <w:bookmarkEnd w:id="8201"/>
      <w:bookmarkEnd w:id="8202"/>
      <w:bookmarkEnd w:id="8203"/>
      <w:bookmarkEnd w:id="8204"/>
      <w:bookmarkEnd w:id="8205"/>
      <w:bookmarkEnd w:id="8206"/>
      <w:bookmarkEnd w:id="8207"/>
      <w:bookmarkEnd w:id="8208"/>
    </w:p>
    <w:p w:rsidR="00CB0DD7" w:rsidRPr="000A0A5F" w:rsidRDefault="00CB0DD7">
      <w:pPr>
        <w:rPr>
          <w:noProof/>
          <w:lang w:eastAsia="zh-CN"/>
        </w:rPr>
      </w:pPr>
      <w:r w:rsidRPr="000A0A5F">
        <w:rPr>
          <w:noProof/>
          <w:lang w:eastAsia="zh-CN"/>
        </w:rPr>
        <w:t xml:space="preserve">The GET method allows to read all PFDs at individual application level. It is initiated by the SCS/AS and answered by the SCEF. </w:t>
      </w:r>
    </w:p>
    <w:p w:rsidR="00CB0DD7" w:rsidRPr="000A0A5F" w:rsidRDefault="00CB0DD7">
      <w:r w:rsidRPr="000A0A5F">
        <w:t>This method shall support request and response data structures, and response codes, as specified in the table 5.11.3.4.3.1-1.</w:t>
      </w:r>
    </w:p>
    <w:p w:rsidR="00CB0DD7" w:rsidRPr="000A0A5F" w:rsidRDefault="00CB0DD7">
      <w:pPr>
        <w:pStyle w:val="TH"/>
      </w:pPr>
      <w:r w:rsidRPr="000A0A5F">
        <w:t>Table 5.11.3.4.3.1-1: Data structures supported by the GET request/response by the resource</w:t>
      </w:r>
    </w:p>
    <w:tbl>
      <w:tblPr>
        <w:tblW w:w="4999" w:type="pct"/>
        <w:tblInd w:w="1" w:type="dxa"/>
        <w:tblBorders>
          <w:top w:val="single" w:sz="6" w:space="0" w:color="000000"/>
          <w:left w:val="single" w:sz="6" w:space="0" w:color="auto"/>
          <w:bottom w:val="single" w:sz="6" w:space="0" w:color="000000"/>
          <w:right w:val="single" w:sz="6" w:space="0" w:color="000000"/>
          <w:insideH w:val="single" w:sz="6" w:space="0" w:color="auto"/>
          <w:insideV w:val="single" w:sz="6" w:space="0" w:color="auto"/>
        </w:tblBorders>
        <w:tblLayout w:type="fixed"/>
        <w:tblCellMar>
          <w:top w:w="45" w:type="dxa"/>
          <w:left w:w="45" w:type="dxa"/>
          <w:bottom w:w="45" w:type="dxa"/>
          <w:right w:w="45" w:type="dxa"/>
        </w:tblCellMar>
        <w:tblLook w:val="0000" w:firstRow="0" w:lastRow="0" w:firstColumn="0" w:lastColumn="0" w:noHBand="0" w:noVBand="0"/>
      </w:tblPr>
      <w:tblGrid>
        <w:gridCol w:w="1035"/>
        <w:gridCol w:w="2127"/>
        <w:gridCol w:w="1053"/>
        <w:gridCol w:w="973"/>
        <w:gridCol w:w="4541"/>
      </w:tblGrid>
      <w:tr w:rsidR="00CB0DD7" w:rsidRPr="000A0A5F" w:rsidTr="0008146A">
        <w:tc>
          <w:tcPr>
            <w:tcW w:w="532" w:type="pct"/>
            <w:vMerge w:val="restart"/>
            <w:shd w:val="clear" w:color="auto" w:fill="C0C0C0"/>
            <w:vAlign w:val="center"/>
          </w:tcPr>
          <w:p w:rsidR="00CB0DD7" w:rsidRPr="000A0A5F" w:rsidRDefault="00CB0DD7">
            <w:pPr>
              <w:pStyle w:val="TAH"/>
            </w:pPr>
            <w:r w:rsidRPr="000A0A5F">
              <w:t>Request body</w:t>
            </w:r>
          </w:p>
        </w:tc>
        <w:tc>
          <w:tcPr>
            <w:tcW w:w="1093" w:type="pct"/>
            <w:shd w:val="clear" w:color="auto" w:fill="C0C0C0"/>
          </w:tcPr>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r w:rsidRPr="000A0A5F">
              <w:t>Cardinality</w:t>
            </w:r>
          </w:p>
        </w:tc>
        <w:tc>
          <w:tcPr>
            <w:tcW w:w="2834" w:type="pct"/>
            <w:gridSpan w:val="2"/>
            <w:shd w:val="clear" w:color="auto" w:fill="C0C0C0"/>
          </w:tcPr>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None</w:t>
            </w:r>
          </w:p>
        </w:tc>
        <w:tc>
          <w:tcPr>
            <w:tcW w:w="541" w:type="pct"/>
          </w:tcPr>
          <w:p w:rsidR="00CB0DD7" w:rsidRPr="000A0A5F" w:rsidRDefault="00CB0DD7">
            <w:pPr>
              <w:pStyle w:val="TAL"/>
            </w:pPr>
          </w:p>
        </w:tc>
        <w:tc>
          <w:tcPr>
            <w:tcW w:w="2834" w:type="pct"/>
            <w:gridSpan w:val="2"/>
          </w:tcPr>
          <w:p w:rsidR="00CB0DD7" w:rsidRPr="000A0A5F" w:rsidRDefault="00CB0DD7">
            <w:pPr>
              <w:pStyle w:val="TAL"/>
            </w:pPr>
          </w:p>
        </w:tc>
      </w:tr>
      <w:tr w:rsidR="00CB0DD7" w:rsidRPr="000A0A5F" w:rsidTr="0008146A">
        <w:tc>
          <w:tcPr>
            <w:tcW w:w="532" w:type="pct"/>
            <w:vMerge w:val="restart"/>
            <w:shd w:val="clear" w:color="auto" w:fill="C0C0C0"/>
            <w:vAlign w:val="center"/>
          </w:tcPr>
          <w:p w:rsidR="00CB0DD7" w:rsidRPr="000A0A5F" w:rsidRDefault="00CB0DD7">
            <w:pPr>
              <w:pStyle w:val="TAH"/>
            </w:pPr>
            <w:r w:rsidRPr="000A0A5F">
              <w:t>Response body</w:t>
            </w:r>
          </w:p>
        </w:tc>
        <w:tc>
          <w:tcPr>
            <w:tcW w:w="1093" w:type="pct"/>
            <w:shd w:val="clear" w:color="auto" w:fill="C0C0C0"/>
          </w:tcPr>
          <w:p w:rsidR="00CB0DD7" w:rsidRPr="000A0A5F" w:rsidRDefault="00CB0DD7">
            <w:pPr>
              <w:pStyle w:val="TAH"/>
            </w:pPr>
          </w:p>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p>
          <w:p w:rsidR="00CB0DD7" w:rsidRPr="000A0A5F" w:rsidRDefault="00CB0DD7">
            <w:pPr>
              <w:pStyle w:val="TAH"/>
            </w:pPr>
            <w:r w:rsidRPr="000A0A5F">
              <w:t>Cardinality</w:t>
            </w:r>
          </w:p>
        </w:tc>
        <w:tc>
          <w:tcPr>
            <w:tcW w:w="500" w:type="pct"/>
            <w:shd w:val="clear" w:color="auto" w:fill="C0C0C0"/>
          </w:tcPr>
          <w:p w:rsidR="00CB0DD7" w:rsidRPr="000A0A5F" w:rsidRDefault="00CB0DD7">
            <w:pPr>
              <w:pStyle w:val="TAH"/>
            </w:pPr>
            <w:r w:rsidRPr="000A0A5F">
              <w:t>Response</w:t>
            </w:r>
          </w:p>
          <w:p w:rsidR="00CB0DD7" w:rsidRPr="000A0A5F" w:rsidRDefault="00CB0DD7">
            <w:pPr>
              <w:pStyle w:val="TAH"/>
            </w:pPr>
            <w:r w:rsidRPr="000A0A5F">
              <w:t>codes</w:t>
            </w:r>
          </w:p>
        </w:tc>
        <w:tc>
          <w:tcPr>
            <w:tcW w:w="2334" w:type="pct"/>
            <w:shd w:val="clear" w:color="auto" w:fill="C0C0C0"/>
          </w:tcPr>
          <w:p w:rsidR="00CB0DD7" w:rsidRPr="000A0A5F" w:rsidRDefault="00CB0DD7">
            <w:pPr>
              <w:pStyle w:val="TAH"/>
            </w:pPr>
          </w:p>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rPr>
                <w:lang w:eastAsia="zh-CN"/>
              </w:rPr>
              <w:t>PfdData</w:t>
            </w:r>
          </w:p>
        </w:tc>
        <w:tc>
          <w:tcPr>
            <w:tcW w:w="541" w:type="pct"/>
          </w:tcPr>
          <w:p w:rsidR="00CB0DD7" w:rsidRPr="000A0A5F" w:rsidRDefault="00CB0DD7">
            <w:pPr>
              <w:pStyle w:val="TAL"/>
            </w:pPr>
            <w:r w:rsidRPr="000A0A5F">
              <w:t>1</w:t>
            </w:r>
          </w:p>
        </w:tc>
        <w:tc>
          <w:tcPr>
            <w:tcW w:w="500" w:type="pct"/>
          </w:tcPr>
          <w:p w:rsidR="00CB0DD7" w:rsidRPr="000A0A5F" w:rsidRDefault="00CB0DD7">
            <w:pPr>
              <w:pStyle w:val="TAL"/>
            </w:pPr>
            <w:r w:rsidRPr="000A0A5F">
              <w:t>200 OK</w:t>
            </w:r>
          </w:p>
        </w:tc>
        <w:tc>
          <w:tcPr>
            <w:tcW w:w="2334" w:type="pct"/>
          </w:tcPr>
          <w:p w:rsidR="00CB0DD7" w:rsidRPr="000A0A5F" w:rsidRDefault="00CB0DD7">
            <w:pPr>
              <w:pStyle w:val="TAL"/>
            </w:pPr>
            <w:r w:rsidRPr="000A0A5F">
              <w:t xml:space="preserve">The PFDs </w:t>
            </w:r>
            <w:r w:rsidRPr="000A0A5F">
              <w:rPr>
                <w:noProof/>
                <w:lang w:eastAsia="zh-CN"/>
              </w:rPr>
              <w:t>at individual application level</w:t>
            </w:r>
            <w:r w:rsidRPr="000A0A5F">
              <w:t xml:space="preserve"> in the request URI are returned.</w:t>
            </w:r>
          </w:p>
          <w:p w:rsidR="00CB0DD7" w:rsidRPr="000A0A5F" w:rsidRDefault="00CB0DD7">
            <w:pPr>
              <w:pStyle w:val="TAL"/>
            </w:pP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lang w:eastAsia="zh-CN"/>
              </w:rPr>
            </w:pPr>
            <w:r w:rsidRPr="000A0A5F">
              <w:t>none</w:t>
            </w:r>
          </w:p>
        </w:tc>
        <w:tc>
          <w:tcPr>
            <w:tcW w:w="541" w:type="pct"/>
          </w:tcPr>
          <w:p w:rsidR="00CB0DD7" w:rsidRPr="000A0A5F" w:rsidRDefault="00CB0DD7">
            <w:pPr>
              <w:pStyle w:val="TAL"/>
            </w:pPr>
          </w:p>
        </w:tc>
        <w:tc>
          <w:tcPr>
            <w:tcW w:w="500" w:type="pct"/>
          </w:tcPr>
          <w:p w:rsidR="00CB0DD7" w:rsidRPr="000A0A5F" w:rsidRDefault="00CB0DD7">
            <w:pPr>
              <w:pStyle w:val="TAL"/>
            </w:pPr>
            <w:r w:rsidRPr="000A0A5F">
              <w:t>307 Temporary Redirect</w:t>
            </w:r>
          </w:p>
        </w:tc>
        <w:tc>
          <w:tcPr>
            <w:tcW w:w="2334" w:type="pct"/>
          </w:tcPr>
          <w:p w:rsidR="00CB0DD7" w:rsidRPr="000A0A5F" w:rsidRDefault="00CB0DD7">
            <w:pPr>
              <w:pStyle w:val="TAL"/>
            </w:pPr>
            <w:r w:rsidRPr="000A0A5F">
              <w:t>Temporary redirection, during transaction retrieval. The response shall include a Location header field containing an alternative URI of the resource located in an alternative SCEF.</w:t>
            </w:r>
          </w:p>
          <w:p w:rsidR="00CB0DD7" w:rsidRPr="000A0A5F" w:rsidRDefault="00CB0DD7">
            <w:pPr>
              <w:pStyle w:val="TAL"/>
            </w:pPr>
            <w:r w:rsidRPr="000A0A5F">
              <w:t>Redirection handling is described in clause 5.2.10.</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lang w:eastAsia="zh-CN"/>
              </w:rPr>
            </w:pPr>
            <w:r w:rsidRPr="000A0A5F">
              <w:t>none</w:t>
            </w:r>
          </w:p>
        </w:tc>
        <w:tc>
          <w:tcPr>
            <w:tcW w:w="541" w:type="pct"/>
          </w:tcPr>
          <w:p w:rsidR="00CB0DD7" w:rsidRPr="000A0A5F" w:rsidRDefault="00CB0DD7">
            <w:pPr>
              <w:pStyle w:val="TAL"/>
            </w:pPr>
          </w:p>
        </w:tc>
        <w:tc>
          <w:tcPr>
            <w:tcW w:w="500" w:type="pct"/>
          </w:tcPr>
          <w:p w:rsidR="00CB0DD7" w:rsidRPr="000A0A5F" w:rsidRDefault="00CB0DD7">
            <w:pPr>
              <w:pStyle w:val="TAL"/>
            </w:pPr>
            <w:r w:rsidRPr="000A0A5F">
              <w:t>308 Permanent Redirect</w:t>
            </w:r>
          </w:p>
        </w:tc>
        <w:tc>
          <w:tcPr>
            <w:tcW w:w="2334" w:type="pct"/>
          </w:tcPr>
          <w:p w:rsidR="00CB0DD7" w:rsidRPr="000A0A5F" w:rsidRDefault="00CB0DD7">
            <w:pPr>
              <w:pStyle w:val="TAL"/>
            </w:pPr>
            <w:r w:rsidRPr="000A0A5F">
              <w:t>Permanent redirection, during transaction retrieval. The response shall include a Location header field containing an alternative URI of the resource located in an alternative SCEF.</w:t>
            </w:r>
          </w:p>
          <w:p w:rsidR="00CB0DD7" w:rsidRPr="000A0A5F" w:rsidRDefault="00CB0DD7">
            <w:pPr>
              <w:pStyle w:val="TAL"/>
            </w:pPr>
            <w:r w:rsidRPr="000A0A5F">
              <w:t>Redirection handling is described in clause 5.2.10.</w:t>
            </w:r>
          </w:p>
        </w:tc>
      </w:tr>
      <w:tr w:rsidR="00CB0DD7" w:rsidRPr="000A0A5F" w:rsidTr="00FF0AF8">
        <w:tc>
          <w:tcPr>
            <w:tcW w:w="5000" w:type="pct"/>
            <w:gridSpan w:val="5"/>
            <w:shd w:val="clear" w:color="auto" w:fill="auto"/>
            <w:vAlign w:val="center"/>
          </w:tcPr>
          <w:p w:rsidR="00CB0DD7" w:rsidRPr="000A0A5F" w:rsidRDefault="00CB0DD7">
            <w:pPr>
              <w:pStyle w:val="TAN"/>
            </w:pPr>
            <w:r w:rsidRPr="000A0A5F">
              <w:t>NOTE:</w:t>
            </w:r>
            <w:r w:rsidRPr="000A0A5F">
              <w:tab/>
              <w:t>The mandatory HTTP error status codes for the GET method listed in table 5.2.6-1 also apply.</w:t>
            </w:r>
          </w:p>
        </w:tc>
      </w:tr>
    </w:tbl>
    <w:p w:rsidR="00CB0DD7" w:rsidRPr="000A0A5F" w:rsidRDefault="00CB0DD7"/>
    <w:p w:rsidR="00CB0DD7" w:rsidRPr="000A0A5F" w:rsidRDefault="002E466A">
      <w:pPr>
        <w:pStyle w:val="TH"/>
      </w:pPr>
      <w:r w:rsidRPr="000A0A5F">
        <w:t>Table </w:t>
      </w:r>
      <w:r w:rsidR="00CB0DD7" w:rsidRPr="000A0A5F">
        <w:t>5.11.3.4.3.1-2: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2E466A">
      <w:pPr>
        <w:pStyle w:val="TH"/>
      </w:pPr>
      <w:r w:rsidRPr="000A0A5F">
        <w:t>Table </w:t>
      </w:r>
      <w:r w:rsidR="00CB0DD7" w:rsidRPr="000A0A5F">
        <w:t>5.11.3.4.3.1-3: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CB0DD7">
      <w:pPr>
        <w:pStyle w:val="Heading6"/>
      </w:pPr>
      <w:bookmarkStart w:id="8209" w:name="_Toc11247804"/>
      <w:bookmarkStart w:id="8210" w:name="_Toc27044948"/>
      <w:bookmarkStart w:id="8211" w:name="_Toc36033990"/>
      <w:bookmarkStart w:id="8212" w:name="_Toc45132136"/>
      <w:bookmarkStart w:id="8213" w:name="_Toc49776421"/>
      <w:bookmarkStart w:id="8214" w:name="_Toc51747341"/>
      <w:bookmarkStart w:id="8215" w:name="_Toc66360914"/>
      <w:bookmarkStart w:id="8216" w:name="_Toc68105419"/>
      <w:bookmarkStart w:id="8217" w:name="_Toc74756049"/>
      <w:bookmarkStart w:id="8218" w:name="_Toc105674926"/>
      <w:bookmarkStart w:id="8219" w:name="_Toc130502990"/>
      <w:bookmarkStart w:id="8220" w:name="_Toc153625778"/>
      <w:r w:rsidRPr="000A0A5F">
        <w:t>5.11.3.4.3.2</w:t>
      </w:r>
      <w:r w:rsidRPr="000A0A5F">
        <w:tab/>
        <w:t>PUT</w:t>
      </w:r>
      <w:bookmarkEnd w:id="8209"/>
      <w:bookmarkEnd w:id="8210"/>
      <w:bookmarkEnd w:id="8211"/>
      <w:bookmarkEnd w:id="8212"/>
      <w:bookmarkEnd w:id="8213"/>
      <w:bookmarkEnd w:id="8214"/>
      <w:bookmarkEnd w:id="8215"/>
      <w:bookmarkEnd w:id="8216"/>
      <w:bookmarkEnd w:id="8217"/>
      <w:bookmarkEnd w:id="8218"/>
      <w:bookmarkEnd w:id="8219"/>
      <w:bookmarkEnd w:id="8220"/>
    </w:p>
    <w:p w:rsidR="00CB0DD7" w:rsidRPr="000A0A5F" w:rsidRDefault="00CB0DD7">
      <w:pPr>
        <w:rPr>
          <w:noProof/>
          <w:lang w:eastAsia="zh-CN"/>
        </w:rPr>
      </w:pPr>
      <w:r w:rsidRPr="000A0A5F">
        <w:rPr>
          <w:noProof/>
          <w:lang w:eastAsia="zh-CN"/>
        </w:rPr>
        <w:t xml:space="preserve">The PUT method modifies the PFDs at individual application level. It is initiated by the SCS/AS and answered by the SCEF. </w:t>
      </w:r>
    </w:p>
    <w:p w:rsidR="00CB0DD7" w:rsidRPr="000A0A5F" w:rsidRDefault="00CB0DD7">
      <w:r w:rsidRPr="000A0A5F">
        <w:t>This method shall support the request and response data structures, and response codes, as specified in the table 5.11.3.4.3.2-1.</w:t>
      </w:r>
    </w:p>
    <w:p w:rsidR="00CB0DD7" w:rsidRPr="000A0A5F" w:rsidRDefault="00CB0DD7">
      <w:pPr>
        <w:pStyle w:val="TH"/>
        <w:rPr>
          <w:rFonts w:cs="Arial"/>
        </w:rPr>
      </w:pPr>
      <w:r w:rsidRPr="000A0A5F">
        <w:t xml:space="preserve">Table 5.11.3.4.3.2-1: Data structures supported by the PUT request/response by the resource </w:t>
      </w:r>
    </w:p>
    <w:tbl>
      <w:tblPr>
        <w:tblW w:w="4999" w:type="pct"/>
        <w:tblInd w:w="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45" w:type="dxa"/>
          <w:left w:w="45" w:type="dxa"/>
          <w:bottom w:w="45" w:type="dxa"/>
          <w:right w:w="45" w:type="dxa"/>
        </w:tblCellMar>
        <w:tblLook w:val="0000" w:firstRow="0" w:lastRow="0" w:firstColumn="0" w:lastColumn="0" w:noHBand="0" w:noVBand="0"/>
      </w:tblPr>
      <w:tblGrid>
        <w:gridCol w:w="1035"/>
        <w:gridCol w:w="2127"/>
        <w:gridCol w:w="1053"/>
        <w:gridCol w:w="973"/>
        <w:gridCol w:w="4541"/>
      </w:tblGrid>
      <w:tr w:rsidR="00CB0DD7" w:rsidRPr="000A0A5F" w:rsidTr="0008146A">
        <w:tc>
          <w:tcPr>
            <w:tcW w:w="532" w:type="pct"/>
            <w:vMerge w:val="restart"/>
            <w:shd w:val="clear" w:color="auto" w:fill="C0C0C0"/>
            <w:vAlign w:val="center"/>
          </w:tcPr>
          <w:p w:rsidR="00CB0DD7" w:rsidRPr="000A0A5F" w:rsidRDefault="00CB0DD7">
            <w:pPr>
              <w:pStyle w:val="TAH"/>
            </w:pPr>
            <w:r w:rsidRPr="000A0A5F">
              <w:t>Request body</w:t>
            </w:r>
          </w:p>
        </w:tc>
        <w:tc>
          <w:tcPr>
            <w:tcW w:w="1093" w:type="pct"/>
            <w:shd w:val="clear" w:color="auto" w:fill="C0C0C0"/>
          </w:tcPr>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r w:rsidRPr="000A0A5F">
              <w:t>Cardinality</w:t>
            </w:r>
          </w:p>
        </w:tc>
        <w:tc>
          <w:tcPr>
            <w:tcW w:w="2834" w:type="pct"/>
            <w:gridSpan w:val="2"/>
            <w:shd w:val="clear" w:color="auto" w:fill="C0C0C0"/>
          </w:tcPr>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rPr>
                <w:rFonts w:hint="eastAsia"/>
                <w:lang w:eastAsia="zh-CN"/>
              </w:rPr>
              <w:t>Pfd</w:t>
            </w:r>
            <w:r w:rsidRPr="000A0A5F">
              <w:rPr>
                <w:lang w:eastAsia="zh-CN"/>
              </w:rPr>
              <w:t>Data</w:t>
            </w:r>
          </w:p>
        </w:tc>
        <w:tc>
          <w:tcPr>
            <w:tcW w:w="541" w:type="pct"/>
          </w:tcPr>
          <w:p w:rsidR="00CB0DD7" w:rsidRPr="000A0A5F" w:rsidRDefault="00CB0DD7">
            <w:pPr>
              <w:pStyle w:val="TAL"/>
              <w:rPr>
                <w:rFonts w:hint="eastAsia"/>
                <w:lang w:eastAsia="zh-CN"/>
              </w:rPr>
            </w:pPr>
            <w:r w:rsidRPr="000A0A5F">
              <w:rPr>
                <w:rFonts w:hint="eastAsia"/>
                <w:lang w:eastAsia="zh-CN"/>
              </w:rPr>
              <w:t>1</w:t>
            </w:r>
          </w:p>
        </w:tc>
        <w:tc>
          <w:tcPr>
            <w:tcW w:w="2834" w:type="pct"/>
            <w:gridSpan w:val="2"/>
          </w:tcPr>
          <w:p w:rsidR="00CB0DD7" w:rsidRPr="000A0A5F" w:rsidRDefault="00CB0DD7">
            <w:pPr>
              <w:pStyle w:val="TAL"/>
              <w:rPr>
                <w:rFonts w:hint="eastAsia"/>
                <w:lang w:eastAsia="zh-CN"/>
              </w:rPr>
            </w:pPr>
            <w:r w:rsidRPr="000A0A5F">
              <w:rPr>
                <w:lang w:eastAsia="zh-CN"/>
              </w:rPr>
              <w:t>U</w:t>
            </w:r>
            <w:r w:rsidRPr="000A0A5F">
              <w:rPr>
                <w:rFonts w:hint="eastAsia"/>
                <w:lang w:eastAsia="zh-CN"/>
              </w:rPr>
              <w:t>pdate of PFD(s) for an existing external application identifier.</w:t>
            </w:r>
          </w:p>
        </w:tc>
      </w:tr>
      <w:tr w:rsidR="00CB0DD7" w:rsidRPr="000A0A5F" w:rsidTr="0008146A">
        <w:tc>
          <w:tcPr>
            <w:tcW w:w="532" w:type="pct"/>
            <w:vMerge w:val="restart"/>
            <w:shd w:val="clear" w:color="auto" w:fill="C0C0C0"/>
            <w:vAlign w:val="center"/>
          </w:tcPr>
          <w:p w:rsidR="00CB0DD7" w:rsidRPr="000A0A5F" w:rsidRDefault="00CB0DD7">
            <w:pPr>
              <w:pStyle w:val="TAH"/>
            </w:pPr>
            <w:r w:rsidRPr="000A0A5F">
              <w:t>Response body</w:t>
            </w:r>
          </w:p>
        </w:tc>
        <w:tc>
          <w:tcPr>
            <w:tcW w:w="1093" w:type="pct"/>
            <w:shd w:val="clear" w:color="auto" w:fill="C0C0C0"/>
          </w:tcPr>
          <w:p w:rsidR="00CB0DD7" w:rsidRPr="000A0A5F" w:rsidRDefault="00CB0DD7">
            <w:pPr>
              <w:pStyle w:val="TAH"/>
            </w:pPr>
          </w:p>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p>
          <w:p w:rsidR="00CB0DD7" w:rsidRPr="000A0A5F" w:rsidRDefault="00CB0DD7">
            <w:pPr>
              <w:pStyle w:val="TAH"/>
            </w:pPr>
            <w:r w:rsidRPr="000A0A5F">
              <w:t>Cardinality</w:t>
            </w:r>
          </w:p>
        </w:tc>
        <w:tc>
          <w:tcPr>
            <w:tcW w:w="500" w:type="pct"/>
            <w:shd w:val="clear" w:color="auto" w:fill="C0C0C0"/>
          </w:tcPr>
          <w:p w:rsidR="00CB0DD7" w:rsidRPr="000A0A5F" w:rsidRDefault="00CB0DD7">
            <w:pPr>
              <w:pStyle w:val="TAH"/>
            </w:pPr>
            <w:r w:rsidRPr="000A0A5F">
              <w:t>Response</w:t>
            </w:r>
          </w:p>
          <w:p w:rsidR="00CB0DD7" w:rsidRPr="000A0A5F" w:rsidRDefault="00CB0DD7">
            <w:pPr>
              <w:pStyle w:val="TAH"/>
            </w:pPr>
            <w:r w:rsidRPr="000A0A5F">
              <w:t>codes</w:t>
            </w:r>
          </w:p>
        </w:tc>
        <w:tc>
          <w:tcPr>
            <w:tcW w:w="2334" w:type="pct"/>
            <w:shd w:val="clear" w:color="auto" w:fill="C0C0C0"/>
          </w:tcPr>
          <w:p w:rsidR="00CB0DD7" w:rsidRPr="000A0A5F" w:rsidRDefault="00CB0DD7">
            <w:pPr>
              <w:pStyle w:val="TAH"/>
            </w:pPr>
          </w:p>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rPr>
                <w:rFonts w:hint="eastAsia"/>
                <w:lang w:eastAsia="zh-CN"/>
              </w:rPr>
              <w:t>Pfd</w:t>
            </w:r>
            <w:r w:rsidRPr="000A0A5F">
              <w:rPr>
                <w:lang w:eastAsia="zh-CN"/>
              </w:rPr>
              <w:t>Data</w:t>
            </w:r>
          </w:p>
        </w:tc>
        <w:tc>
          <w:tcPr>
            <w:tcW w:w="541" w:type="pct"/>
          </w:tcPr>
          <w:p w:rsidR="00CB0DD7" w:rsidRPr="000A0A5F" w:rsidRDefault="00CB0DD7">
            <w:pPr>
              <w:pStyle w:val="TAL"/>
            </w:pPr>
            <w:r w:rsidRPr="000A0A5F">
              <w:t>1</w:t>
            </w:r>
          </w:p>
        </w:tc>
        <w:tc>
          <w:tcPr>
            <w:tcW w:w="500" w:type="pct"/>
          </w:tcPr>
          <w:p w:rsidR="00CB0DD7" w:rsidRPr="000A0A5F" w:rsidRDefault="00CB0DD7">
            <w:pPr>
              <w:pStyle w:val="TAL"/>
            </w:pPr>
            <w:r w:rsidRPr="000A0A5F">
              <w:t>200 OK</w:t>
            </w:r>
          </w:p>
        </w:tc>
        <w:tc>
          <w:tcPr>
            <w:tcW w:w="2334" w:type="pct"/>
          </w:tcPr>
          <w:p w:rsidR="00CB0DD7" w:rsidRPr="000A0A5F" w:rsidRDefault="00CB0DD7">
            <w:pPr>
              <w:pStyle w:val="TAL"/>
            </w:pPr>
            <w:r w:rsidRPr="000A0A5F">
              <w:t>The PFDs for the existing external application identifier were updated successfully</w:t>
            </w:r>
            <w:r w:rsidRPr="000A0A5F">
              <w:rPr>
                <w:noProof/>
              </w:rPr>
              <w:t xml:space="preserve"> and a representation is returned</w:t>
            </w:r>
            <w:r w:rsidRPr="000A0A5F">
              <w:t>.</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rPr>
                <w:lang w:eastAsia="zh-CN"/>
              </w:rPr>
              <w:t>none</w:t>
            </w:r>
          </w:p>
        </w:tc>
        <w:tc>
          <w:tcPr>
            <w:tcW w:w="541" w:type="pct"/>
          </w:tcPr>
          <w:p w:rsidR="00CB0DD7" w:rsidRPr="000A0A5F" w:rsidRDefault="00CB0DD7">
            <w:pPr>
              <w:pStyle w:val="TAL"/>
            </w:pPr>
          </w:p>
        </w:tc>
        <w:tc>
          <w:tcPr>
            <w:tcW w:w="500" w:type="pct"/>
          </w:tcPr>
          <w:p w:rsidR="00CB0DD7" w:rsidRPr="000A0A5F" w:rsidRDefault="00CB0DD7">
            <w:pPr>
              <w:pStyle w:val="TAL"/>
            </w:pPr>
            <w:r w:rsidRPr="000A0A5F">
              <w:t>204 No Content</w:t>
            </w:r>
          </w:p>
        </w:tc>
        <w:tc>
          <w:tcPr>
            <w:tcW w:w="2334" w:type="pct"/>
          </w:tcPr>
          <w:p w:rsidR="00CB0DD7" w:rsidRPr="000A0A5F" w:rsidRDefault="00CB0DD7">
            <w:pPr>
              <w:pStyle w:val="TAL"/>
            </w:pPr>
            <w:r w:rsidRPr="000A0A5F">
              <w:t>The PFDs for the existing external application identifier were updated successfully.</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rPr>
                <w:lang w:eastAsia="zh-CN"/>
              </w:rPr>
              <w:t>PfdReport</w:t>
            </w:r>
          </w:p>
        </w:tc>
        <w:tc>
          <w:tcPr>
            <w:tcW w:w="541" w:type="pct"/>
          </w:tcPr>
          <w:p w:rsidR="00CB0DD7" w:rsidRPr="000A0A5F" w:rsidRDefault="00CB0DD7">
            <w:pPr>
              <w:pStyle w:val="TAL"/>
            </w:pPr>
            <w:r w:rsidRPr="000A0A5F">
              <w:t>1</w:t>
            </w:r>
          </w:p>
        </w:tc>
        <w:tc>
          <w:tcPr>
            <w:tcW w:w="500" w:type="pct"/>
          </w:tcPr>
          <w:p w:rsidR="00CB0DD7" w:rsidRPr="000A0A5F" w:rsidRDefault="00CB0DD7">
            <w:pPr>
              <w:pStyle w:val="TAL"/>
            </w:pPr>
            <w:r w:rsidRPr="000A0A5F">
              <w:t>403 Forbidden</w:t>
            </w:r>
          </w:p>
        </w:tc>
        <w:tc>
          <w:tcPr>
            <w:tcW w:w="2334" w:type="pct"/>
          </w:tcPr>
          <w:p w:rsidR="00CB0DD7" w:rsidRPr="000A0A5F" w:rsidRDefault="00CB0DD7">
            <w:pPr>
              <w:pStyle w:val="TAL"/>
            </w:pPr>
            <w:r w:rsidRPr="000A0A5F">
              <w:t>The PFDs for the application were not updated successfully, applicable for error SHORT_DELAY in table 5.11.2.2.3-1.</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rPr>
                <w:lang w:eastAsia="zh-CN"/>
              </w:rPr>
              <w:t>PfdReport</w:t>
            </w:r>
          </w:p>
        </w:tc>
        <w:tc>
          <w:tcPr>
            <w:tcW w:w="541" w:type="pct"/>
          </w:tcPr>
          <w:p w:rsidR="00CB0DD7" w:rsidRPr="000A0A5F" w:rsidRDefault="00CB0DD7">
            <w:pPr>
              <w:pStyle w:val="TAL"/>
            </w:pPr>
            <w:r w:rsidRPr="000A0A5F">
              <w:t>1</w:t>
            </w:r>
          </w:p>
        </w:tc>
        <w:tc>
          <w:tcPr>
            <w:tcW w:w="500" w:type="pct"/>
          </w:tcPr>
          <w:p w:rsidR="00CB0DD7" w:rsidRPr="000A0A5F" w:rsidRDefault="00CB0DD7">
            <w:pPr>
              <w:pStyle w:val="TAL"/>
            </w:pPr>
            <w:r w:rsidRPr="000A0A5F">
              <w:t>409 Conflict</w:t>
            </w:r>
          </w:p>
        </w:tc>
        <w:tc>
          <w:tcPr>
            <w:tcW w:w="2334" w:type="pct"/>
          </w:tcPr>
          <w:p w:rsidR="00CB0DD7" w:rsidRPr="000A0A5F" w:rsidRDefault="00CB0DD7">
            <w:pPr>
              <w:pStyle w:val="TAL"/>
            </w:pPr>
            <w:r w:rsidRPr="000A0A5F">
              <w:t xml:space="preserve">The PFDs for the application were not updated successfully, applicable for error </w:t>
            </w:r>
            <w:r w:rsidRPr="000A0A5F">
              <w:rPr>
                <w:rFonts w:cs="Arial"/>
                <w:bCs/>
                <w:color w:val="333333"/>
                <w:szCs w:val="18"/>
              </w:rPr>
              <w:t>APP_ID_DUPLICATED</w:t>
            </w:r>
            <w:r w:rsidRPr="000A0A5F">
              <w:t xml:space="preserve"> in table 5.11.2.2.3-1.</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rPr>
                <w:lang w:eastAsia="zh-CN"/>
              </w:rPr>
              <w:t>PfdReport</w:t>
            </w:r>
          </w:p>
        </w:tc>
        <w:tc>
          <w:tcPr>
            <w:tcW w:w="541" w:type="pct"/>
          </w:tcPr>
          <w:p w:rsidR="00CB0DD7" w:rsidRPr="000A0A5F" w:rsidRDefault="00CB0DD7">
            <w:pPr>
              <w:pStyle w:val="TAL"/>
            </w:pPr>
            <w:r w:rsidRPr="000A0A5F">
              <w:t>1</w:t>
            </w:r>
          </w:p>
        </w:tc>
        <w:tc>
          <w:tcPr>
            <w:tcW w:w="500" w:type="pct"/>
          </w:tcPr>
          <w:p w:rsidR="00CB0DD7" w:rsidRPr="000A0A5F" w:rsidRDefault="00CB0DD7">
            <w:pPr>
              <w:pStyle w:val="TAL"/>
            </w:pPr>
            <w:r w:rsidRPr="000A0A5F">
              <w:t>500 Internal Server Error</w:t>
            </w:r>
          </w:p>
        </w:tc>
        <w:tc>
          <w:tcPr>
            <w:tcW w:w="2334" w:type="pct"/>
          </w:tcPr>
          <w:p w:rsidR="00CB0DD7" w:rsidRPr="000A0A5F" w:rsidRDefault="00CB0DD7">
            <w:pPr>
              <w:pStyle w:val="TAL"/>
            </w:pPr>
            <w:r w:rsidRPr="000A0A5F">
              <w:t xml:space="preserve">The PFDs for the application were not updated successfully, applicable for other errors in table 5.11.2.2.3-1. </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lang w:eastAsia="zh-CN"/>
              </w:rPr>
            </w:pPr>
            <w:r w:rsidRPr="000A0A5F">
              <w:t>none</w:t>
            </w:r>
          </w:p>
        </w:tc>
        <w:tc>
          <w:tcPr>
            <w:tcW w:w="541" w:type="pct"/>
          </w:tcPr>
          <w:p w:rsidR="00CB0DD7" w:rsidRPr="000A0A5F" w:rsidRDefault="00CB0DD7">
            <w:pPr>
              <w:pStyle w:val="TAL"/>
            </w:pPr>
          </w:p>
        </w:tc>
        <w:tc>
          <w:tcPr>
            <w:tcW w:w="500" w:type="pct"/>
          </w:tcPr>
          <w:p w:rsidR="00CB0DD7" w:rsidRPr="000A0A5F" w:rsidRDefault="00CB0DD7">
            <w:pPr>
              <w:pStyle w:val="TAL"/>
            </w:pPr>
            <w:r w:rsidRPr="000A0A5F">
              <w:t>307 Temporary Redirect</w:t>
            </w:r>
          </w:p>
        </w:tc>
        <w:tc>
          <w:tcPr>
            <w:tcW w:w="2334" w:type="pct"/>
          </w:tcPr>
          <w:p w:rsidR="00CB0DD7" w:rsidRPr="000A0A5F" w:rsidRDefault="00CB0DD7">
            <w:pPr>
              <w:pStyle w:val="TAL"/>
            </w:pPr>
            <w:r w:rsidRPr="000A0A5F">
              <w:t>Temporary redirection, during transaction modification. The response shall include a Location header field containing an alternative URI of the resource located in an alternative SCEF.</w:t>
            </w:r>
          </w:p>
          <w:p w:rsidR="00CB0DD7" w:rsidRPr="000A0A5F" w:rsidRDefault="00CB0DD7">
            <w:pPr>
              <w:pStyle w:val="TAL"/>
            </w:pPr>
            <w:r w:rsidRPr="000A0A5F">
              <w:t>Redirection handling is described in clause 5.2.10.</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lang w:eastAsia="zh-CN"/>
              </w:rPr>
            </w:pPr>
            <w:r w:rsidRPr="000A0A5F">
              <w:t>none</w:t>
            </w:r>
          </w:p>
        </w:tc>
        <w:tc>
          <w:tcPr>
            <w:tcW w:w="541" w:type="pct"/>
          </w:tcPr>
          <w:p w:rsidR="00CB0DD7" w:rsidRPr="000A0A5F" w:rsidRDefault="00CB0DD7">
            <w:pPr>
              <w:pStyle w:val="TAL"/>
            </w:pPr>
          </w:p>
        </w:tc>
        <w:tc>
          <w:tcPr>
            <w:tcW w:w="500" w:type="pct"/>
          </w:tcPr>
          <w:p w:rsidR="00CB0DD7" w:rsidRPr="000A0A5F" w:rsidRDefault="00CB0DD7">
            <w:pPr>
              <w:pStyle w:val="TAL"/>
            </w:pPr>
            <w:r w:rsidRPr="000A0A5F">
              <w:t>308 Permanent Redirect</w:t>
            </w:r>
          </w:p>
        </w:tc>
        <w:tc>
          <w:tcPr>
            <w:tcW w:w="2334" w:type="pct"/>
          </w:tcPr>
          <w:p w:rsidR="00CB0DD7" w:rsidRPr="000A0A5F" w:rsidRDefault="00CB0DD7">
            <w:pPr>
              <w:pStyle w:val="TAL"/>
            </w:pPr>
            <w:r w:rsidRPr="000A0A5F">
              <w:t>Permanent redirection, during transaction modification. The response shall include a Location header field containing an alternative URI of the resource located in an alternative SCEF.</w:t>
            </w:r>
          </w:p>
          <w:p w:rsidR="00CB0DD7" w:rsidRPr="000A0A5F" w:rsidRDefault="00CB0DD7">
            <w:pPr>
              <w:pStyle w:val="TAL"/>
            </w:pPr>
            <w:r w:rsidRPr="000A0A5F">
              <w:t>Redirection handling is described in clause 5.2.10.</w:t>
            </w:r>
          </w:p>
        </w:tc>
      </w:tr>
      <w:tr w:rsidR="00CB0DD7" w:rsidRPr="000A0A5F" w:rsidTr="00FF0AF8">
        <w:tc>
          <w:tcPr>
            <w:tcW w:w="5000" w:type="pct"/>
            <w:gridSpan w:val="5"/>
            <w:shd w:val="clear" w:color="auto" w:fill="auto"/>
            <w:vAlign w:val="center"/>
          </w:tcPr>
          <w:p w:rsidR="00CB0DD7" w:rsidRPr="000A0A5F" w:rsidRDefault="00CB0DD7">
            <w:pPr>
              <w:pStyle w:val="TAN"/>
            </w:pPr>
            <w:r w:rsidRPr="000A0A5F">
              <w:t>NOTE:</w:t>
            </w:r>
            <w:r w:rsidRPr="000A0A5F">
              <w:tab/>
              <w:t>The mandatory HTTP error status codes for the PUT method listed in table 5.2.6-1 also apply.</w:t>
            </w:r>
          </w:p>
        </w:tc>
      </w:tr>
    </w:tbl>
    <w:p w:rsidR="00CB0DD7" w:rsidRPr="000A0A5F" w:rsidRDefault="00CB0DD7"/>
    <w:p w:rsidR="00CB0DD7" w:rsidRPr="000A0A5F" w:rsidRDefault="002E466A">
      <w:pPr>
        <w:pStyle w:val="TH"/>
      </w:pPr>
      <w:r w:rsidRPr="000A0A5F">
        <w:t>Table </w:t>
      </w:r>
      <w:r w:rsidR="00CB0DD7" w:rsidRPr="000A0A5F">
        <w:t>5.11.3.4.3.2-2: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2E466A">
      <w:pPr>
        <w:pStyle w:val="TH"/>
      </w:pPr>
      <w:r w:rsidRPr="000A0A5F">
        <w:t>Table </w:t>
      </w:r>
      <w:r w:rsidR="00CB0DD7" w:rsidRPr="000A0A5F">
        <w:t>5.11.3.4.3.2-3: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CB0DD7">
      <w:pPr>
        <w:pStyle w:val="Heading6"/>
      </w:pPr>
      <w:bookmarkStart w:id="8221" w:name="_Toc11247805"/>
      <w:bookmarkStart w:id="8222" w:name="_Toc27044949"/>
      <w:bookmarkStart w:id="8223" w:name="_Toc36033991"/>
      <w:bookmarkStart w:id="8224" w:name="_Toc45132137"/>
      <w:bookmarkStart w:id="8225" w:name="_Toc49776422"/>
      <w:bookmarkStart w:id="8226" w:name="_Toc51747342"/>
      <w:bookmarkStart w:id="8227" w:name="_Toc66360915"/>
      <w:bookmarkStart w:id="8228" w:name="_Toc68105420"/>
      <w:bookmarkStart w:id="8229" w:name="_Toc74756050"/>
      <w:bookmarkStart w:id="8230" w:name="_Toc105674927"/>
      <w:bookmarkStart w:id="8231" w:name="_Toc130502991"/>
      <w:bookmarkStart w:id="8232" w:name="_Toc153625779"/>
      <w:r w:rsidRPr="000A0A5F">
        <w:t>5.11.3.4.3.3</w:t>
      </w:r>
      <w:r w:rsidRPr="000A0A5F">
        <w:tab/>
        <w:t>PATCH</w:t>
      </w:r>
      <w:bookmarkEnd w:id="8221"/>
      <w:bookmarkEnd w:id="8222"/>
      <w:bookmarkEnd w:id="8223"/>
      <w:bookmarkEnd w:id="8224"/>
      <w:bookmarkEnd w:id="8225"/>
      <w:bookmarkEnd w:id="8226"/>
      <w:bookmarkEnd w:id="8227"/>
      <w:bookmarkEnd w:id="8228"/>
      <w:bookmarkEnd w:id="8229"/>
      <w:bookmarkEnd w:id="8230"/>
      <w:bookmarkEnd w:id="8231"/>
      <w:bookmarkEnd w:id="8232"/>
    </w:p>
    <w:p w:rsidR="00CB0DD7" w:rsidRPr="000A0A5F" w:rsidRDefault="00CB0DD7">
      <w:pPr>
        <w:rPr>
          <w:noProof/>
          <w:lang w:eastAsia="zh-CN"/>
        </w:rPr>
      </w:pPr>
      <w:r w:rsidRPr="000A0A5F">
        <w:rPr>
          <w:noProof/>
          <w:lang w:eastAsia="zh-CN"/>
        </w:rPr>
        <w:t xml:space="preserve">The PATCH method modifies the PFDs at individual application level. It is initiated by the SCS/AS and answered by the SCEF. </w:t>
      </w:r>
    </w:p>
    <w:p w:rsidR="00CB0DD7" w:rsidRPr="000A0A5F" w:rsidRDefault="00CB0DD7">
      <w:r w:rsidRPr="000A0A5F">
        <w:t>This method shall support the request and response data structures, and response codes, as specified in the table 5.11.3.</w:t>
      </w:r>
      <w:r w:rsidR="005C4552" w:rsidRPr="000A0A5F">
        <w:t>4</w:t>
      </w:r>
      <w:r w:rsidRPr="000A0A5F">
        <w:t>.3.3-1.</w:t>
      </w:r>
    </w:p>
    <w:p w:rsidR="00CB0DD7" w:rsidRPr="000A0A5F" w:rsidRDefault="00CB0DD7">
      <w:pPr>
        <w:pStyle w:val="TH"/>
        <w:spacing w:before="120"/>
      </w:pPr>
      <w:r w:rsidRPr="000A0A5F">
        <w:t>Table 5.11.3.</w:t>
      </w:r>
      <w:r w:rsidR="005C4552" w:rsidRPr="000A0A5F">
        <w:t>4</w:t>
      </w:r>
      <w:r w:rsidRPr="000A0A5F">
        <w:t>.3.3-1: Data structures supported by the PATCH request/response by the resource</w:t>
      </w:r>
    </w:p>
    <w:tbl>
      <w:tblPr>
        <w:tblW w:w="4999" w:type="pct"/>
        <w:tblInd w:w="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45" w:type="dxa"/>
          <w:left w:w="45" w:type="dxa"/>
          <w:bottom w:w="45" w:type="dxa"/>
          <w:right w:w="45" w:type="dxa"/>
        </w:tblCellMar>
        <w:tblLook w:val="0000" w:firstRow="0" w:lastRow="0" w:firstColumn="0" w:lastColumn="0" w:noHBand="0" w:noVBand="0"/>
      </w:tblPr>
      <w:tblGrid>
        <w:gridCol w:w="1035"/>
        <w:gridCol w:w="2127"/>
        <w:gridCol w:w="1053"/>
        <w:gridCol w:w="973"/>
        <w:gridCol w:w="4541"/>
      </w:tblGrid>
      <w:tr w:rsidR="00CB0DD7" w:rsidRPr="000A0A5F" w:rsidTr="0008146A">
        <w:tc>
          <w:tcPr>
            <w:tcW w:w="532" w:type="pct"/>
            <w:vMerge w:val="restart"/>
            <w:shd w:val="clear" w:color="auto" w:fill="C0C0C0"/>
            <w:vAlign w:val="center"/>
          </w:tcPr>
          <w:p w:rsidR="00CB0DD7" w:rsidRPr="000A0A5F" w:rsidRDefault="00CB0DD7">
            <w:pPr>
              <w:pStyle w:val="TAH"/>
            </w:pPr>
            <w:r w:rsidRPr="000A0A5F">
              <w:t>Request body</w:t>
            </w:r>
          </w:p>
        </w:tc>
        <w:tc>
          <w:tcPr>
            <w:tcW w:w="1093" w:type="pct"/>
            <w:shd w:val="clear" w:color="auto" w:fill="C0C0C0"/>
          </w:tcPr>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r w:rsidRPr="000A0A5F">
              <w:t>Cardinality</w:t>
            </w:r>
          </w:p>
        </w:tc>
        <w:tc>
          <w:tcPr>
            <w:tcW w:w="2834" w:type="pct"/>
            <w:gridSpan w:val="2"/>
            <w:shd w:val="clear" w:color="auto" w:fill="C0C0C0"/>
          </w:tcPr>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rPr>
                <w:rFonts w:hint="eastAsia"/>
                <w:lang w:eastAsia="zh-CN"/>
              </w:rPr>
              <w:t>Pfd</w:t>
            </w:r>
            <w:r w:rsidRPr="000A0A5F">
              <w:rPr>
                <w:lang w:eastAsia="zh-CN"/>
              </w:rPr>
              <w:t>Data</w:t>
            </w:r>
          </w:p>
        </w:tc>
        <w:tc>
          <w:tcPr>
            <w:tcW w:w="541" w:type="pct"/>
          </w:tcPr>
          <w:p w:rsidR="00CB0DD7" w:rsidRPr="000A0A5F" w:rsidRDefault="00CB0DD7">
            <w:pPr>
              <w:pStyle w:val="TAL"/>
              <w:rPr>
                <w:rFonts w:hint="eastAsia"/>
                <w:lang w:eastAsia="zh-CN"/>
              </w:rPr>
            </w:pPr>
            <w:r w:rsidRPr="000A0A5F">
              <w:rPr>
                <w:lang w:eastAsia="zh-CN"/>
              </w:rPr>
              <w:t>1</w:t>
            </w:r>
          </w:p>
        </w:tc>
        <w:tc>
          <w:tcPr>
            <w:tcW w:w="2834" w:type="pct"/>
            <w:gridSpan w:val="2"/>
          </w:tcPr>
          <w:p w:rsidR="00CB0DD7" w:rsidRPr="000A0A5F" w:rsidRDefault="00CB0DD7">
            <w:pPr>
              <w:pStyle w:val="TAL"/>
              <w:rPr>
                <w:rFonts w:hint="eastAsia"/>
                <w:lang w:eastAsia="zh-CN"/>
              </w:rPr>
            </w:pPr>
            <w:r w:rsidRPr="000A0A5F">
              <w:rPr>
                <w:lang w:eastAsia="zh-CN"/>
              </w:rPr>
              <w:t>U</w:t>
            </w:r>
            <w:r w:rsidRPr="000A0A5F">
              <w:rPr>
                <w:rFonts w:hint="eastAsia"/>
                <w:lang w:eastAsia="zh-CN"/>
              </w:rPr>
              <w:t>pdate of PFD(s) for an existing external application identifier.</w:t>
            </w:r>
          </w:p>
        </w:tc>
      </w:tr>
      <w:tr w:rsidR="00CB0DD7" w:rsidRPr="000A0A5F" w:rsidTr="0008146A">
        <w:tc>
          <w:tcPr>
            <w:tcW w:w="532" w:type="pct"/>
            <w:vMerge w:val="restart"/>
            <w:shd w:val="clear" w:color="auto" w:fill="C0C0C0"/>
            <w:vAlign w:val="center"/>
          </w:tcPr>
          <w:p w:rsidR="00CB0DD7" w:rsidRPr="000A0A5F" w:rsidRDefault="00CB0DD7">
            <w:pPr>
              <w:pStyle w:val="TAH"/>
            </w:pPr>
            <w:r w:rsidRPr="000A0A5F">
              <w:t>Response body</w:t>
            </w:r>
          </w:p>
        </w:tc>
        <w:tc>
          <w:tcPr>
            <w:tcW w:w="1093" w:type="pct"/>
            <w:shd w:val="clear" w:color="auto" w:fill="C0C0C0"/>
          </w:tcPr>
          <w:p w:rsidR="00CB0DD7" w:rsidRPr="000A0A5F" w:rsidRDefault="00CB0DD7">
            <w:pPr>
              <w:pStyle w:val="TAH"/>
            </w:pPr>
          </w:p>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p>
          <w:p w:rsidR="00CB0DD7" w:rsidRPr="000A0A5F" w:rsidRDefault="00CB0DD7">
            <w:pPr>
              <w:pStyle w:val="TAH"/>
            </w:pPr>
            <w:r w:rsidRPr="000A0A5F">
              <w:t>Cardinality</w:t>
            </w:r>
          </w:p>
        </w:tc>
        <w:tc>
          <w:tcPr>
            <w:tcW w:w="500" w:type="pct"/>
            <w:shd w:val="clear" w:color="auto" w:fill="C0C0C0"/>
          </w:tcPr>
          <w:p w:rsidR="00CB0DD7" w:rsidRPr="000A0A5F" w:rsidRDefault="00CB0DD7">
            <w:pPr>
              <w:pStyle w:val="TAH"/>
            </w:pPr>
            <w:r w:rsidRPr="000A0A5F">
              <w:t>Response</w:t>
            </w:r>
          </w:p>
          <w:p w:rsidR="00CB0DD7" w:rsidRPr="000A0A5F" w:rsidRDefault="00CB0DD7">
            <w:pPr>
              <w:pStyle w:val="TAH"/>
            </w:pPr>
            <w:r w:rsidRPr="000A0A5F">
              <w:t>codes</w:t>
            </w:r>
          </w:p>
        </w:tc>
        <w:tc>
          <w:tcPr>
            <w:tcW w:w="2334" w:type="pct"/>
            <w:shd w:val="clear" w:color="auto" w:fill="C0C0C0"/>
          </w:tcPr>
          <w:p w:rsidR="00CB0DD7" w:rsidRPr="000A0A5F" w:rsidRDefault="00CB0DD7">
            <w:pPr>
              <w:pStyle w:val="TAH"/>
            </w:pPr>
          </w:p>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rPr>
                <w:rFonts w:hint="eastAsia"/>
                <w:lang w:eastAsia="zh-CN"/>
              </w:rPr>
              <w:t>Pfd</w:t>
            </w:r>
            <w:r w:rsidRPr="000A0A5F">
              <w:rPr>
                <w:lang w:eastAsia="zh-CN"/>
              </w:rPr>
              <w:t>Data</w:t>
            </w:r>
          </w:p>
        </w:tc>
        <w:tc>
          <w:tcPr>
            <w:tcW w:w="541" w:type="pct"/>
          </w:tcPr>
          <w:p w:rsidR="00CB0DD7" w:rsidRPr="000A0A5F" w:rsidRDefault="00CB0DD7">
            <w:pPr>
              <w:pStyle w:val="TAL"/>
            </w:pPr>
            <w:r w:rsidRPr="000A0A5F">
              <w:t>1</w:t>
            </w:r>
          </w:p>
        </w:tc>
        <w:tc>
          <w:tcPr>
            <w:tcW w:w="500" w:type="pct"/>
          </w:tcPr>
          <w:p w:rsidR="00CB0DD7" w:rsidRPr="000A0A5F" w:rsidRDefault="00CB0DD7">
            <w:pPr>
              <w:pStyle w:val="TAL"/>
            </w:pPr>
            <w:r w:rsidRPr="000A0A5F">
              <w:t>200 OK</w:t>
            </w:r>
          </w:p>
        </w:tc>
        <w:tc>
          <w:tcPr>
            <w:tcW w:w="2334" w:type="pct"/>
          </w:tcPr>
          <w:p w:rsidR="00CB0DD7" w:rsidRPr="000A0A5F" w:rsidRDefault="00CB0DD7">
            <w:pPr>
              <w:pStyle w:val="TAL"/>
            </w:pPr>
            <w:r w:rsidRPr="000A0A5F">
              <w:t>The PFDs for the existing external application identifier were updated successfully</w:t>
            </w:r>
            <w:r w:rsidRPr="000A0A5F">
              <w:rPr>
                <w:noProof/>
              </w:rPr>
              <w:t xml:space="preserve"> and a representation is returned</w:t>
            </w:r>
            <w:r w:rsidRPr="000A0A5F">
              <w:t>.</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rPr>
                <w:lang w:eastAsia="zh-CN"/>
              </w:rPr>
              <w:t>none</w:t>
            </w:r>
          </w:p>
        </w:tc>
        <w:tc>
          <w:tcPr>
            <w:tcW w:w="541" w:type="pct"/>
          </w:tcPr>
          <w:p w:rsidR="00CB0DD7" w:rsidRPr="000A0A5F" w:rsidRDefault="00CB0DD7">
            <w:pPr>
              <w:pStyle w:val="TAL"/>
            </w:pPr>
          </w:p>
        </w:tc>
        <w:tc>
          <w:tcPr>
            <w:tcW w:w="500" w:type="pct"/>
          </w:tcPr>
          <w:p w:rsidR="00CB0DD7" w:rsidRPr="000A0A5F" w:rsidRDefault="00CB0DD7">
            <w:pPr>
              <w:pStyle w:val="TAL"/>
            </w:pPr>
            <w:r w:rsidRPr="000A0A5F">
              <w:t>204 No Content</w:t>
            </w:r>
          </w:p>
        </w:tc>
        <w:tc>
          <w:tcPr>
            <w:tcW w:w="2334" w:type="pct"/>
          </w:tcPr>
          <w:p w:rsidR="00CB0DD7" w:rsidRPr="000A0A5F" w:rsidRDefault="00CB0DD7">
            <w:pPr>
              <w:pStyle w:val="TAL"/>
            </w:pPr>
            <w:r w:rsidRPr="000A0A5F">
              <w:t>The PFDs for the existing external application identifier were updated successfully.</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rPr>
                <w:lang w:eastAsia="zh-CN"/>
              </w:rPr>
              <w:t>PfdReport</w:t>
            </w:r>
          </w:p>
        </w:tc>
        <w:tc>
          <w:tcPr>
            <w:tcW w:w="541" w:type="pct"/>
          </w:tcPr>
          <w:p w:rsidR="00CB0DD7" w:rsidRPr="000A0A5F" w:rsidRDefault="00CB0DD7">
            <w:pPr>
              <w:pStyle w:val="TAL"/>
            </w:pPr>
            <w:r w:rsidRPr="000A0A5F">
              <w:t>1</w:t>
            </w:r>
          </w:p>
        </w:tc>
        <w:tc>
          <w:tcPr>
            <w:tcW w:w="500" w:type="pct"/>
          </w:tcPr>
          <w:p w:rsidR="00CB0DD7" w:rsidRPr="000A0A5F" w:rsidRDefault="00CB0DD7">
            <w:pPr>
              <w:pStyle w:val="TAL"/>
            </w:pPr>
            <w:r w:rsidRPr="000A0A5F">
              <w:t>403 Forbidden</w:t>
            </w:r>
          </w:p>
        </w:tc>
        <w:tc>
          <w:tcPr>
            <w:tcW w:w="2334" w:type="pct"/>
          </w:tcPr>
          <w:p w:rsidR="00CB0DD7" w:rsidRPr="000A0A5F" w:rsidRDefault="00CB0DD7">
            <w:pPr>
              <w:pStyle w:val="TAL"/>
            </w:pPr>
            <w:r w:rsidRPr="000A0A5F">
              <w:t>The PFDs for the application were not updated successfully, applicable for error SHORT_DELAY in table 5.11.2.2.3-1.</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rPr>
                <w:lang w:eastAsia="zh-CN"/>
              </w:rPr>
              <w:t>PfdReport</w:t>
            </w:r>
          </w:p>
        </w:tc>
        <w:tc>
          <w:tcPr>
            <w:tcW w:w="541" w:type="pct"/>
          </w:tcPr>
          <w:p w:rsidR="00CB0DD7" w:rsidRPr="000A0A5F" w:rsidRDefault="00CB0DD7">
            <w:pPr>
              <w:pStyle w:val="TAL"/>
            </w:pPr>
            <w:r w:rsidRPr="000A0A5F">
              <w:t>1</w:t>
            </w:r>
          </w:p>
        </w:tc>
        <w:tc>
          <w:tcPr>
            <w:tcW w:w="500" w:type="pct"/>
          </w:tcPr>
          <w:p w:rsidR="00CB0DD7" w:rsidRPr="000A0A5F" w:rsidRDefault="00CB0DD7">
            <w:pPr>
              <w:pStyle w:val="TAL"/>
            </w:pPr>
            <w:r w:rsidRPr="000A0A5F">
              <w:t>409 Conflict</w:t>
            </w:r>
          </w:p>
        </w:tc>
        <w:tc>
          <w:tcPr>
            <w:tcW w:w="2334" w:type="pct"/>
          </w:tcPr>
          <w:p w:rsidR="00CB0DD7" w:rsidRPr="000A0A5F" w:rsidRDefault="00CB0DD7">
            <w:pPr>
              <w:pStyle w:val="TAL"/>
            </w:pPr>
            <w:r w:rsidRPr="000A0A5F">
              <w:t xml:space="preserve">The PFDs for the application were not updated successfully, applicable for error </w:t>
            </w:r>
            <w:r w:rsidRPr="000A0A5F">
              <w:rPr>
                <w:rFonts w:cs="Arial"/>
                <w:bCs/>
                <w:color w:val="333333"/>
                <w:szCs w:val="18"/>
              </w:rPr>
              <w:t>APP_ID_DUPLICATED</w:t>
            </w:r>
            <w:r w:rsidRPr="000A0A5F">
              <w:t xml:space="preserve"> in table 5.11.2.2.3-1.</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rPr>
                <w:lang w:eastAsia="zh-CN"/>
              </w:rPr>
              <w:t>PfdReport</w:t>
            </w:r>
          </w:p>
        </w:tc>
        <w:tc>
          <w:tcPr>
            <w:tcW w:w="541" w:type="pct"/>
          </w:tcPr>
          <w:p w:rsidR="00CB0DD7" w:rsidRPr="000A0A5F" w:rsidRDefault="00CB0DD7">
            <w:pPr>
              <w:pStyle w:val="TAL"/>
            </w:pPr>
            <w:r w:rsidRPr="000A0A5F">
              <w:t>1</w:t>
            </w:r>
          </w:p>
        </w:tc>
        <w:tc>
          <w:tcPr>
            <w:tcW w:w="500" w:type="pct"/>
          </w:tcPr>
          <w:p w:rsidR="00CB0DD7" w:rsidRPr="000A0A5F" w:rsidRDefault="00CB0DD7">
            <w:pPr>
              <w:pStyle w:val="TAL"/>
            </w:pPr>
            <w:r w:rsidRPr="000A0A5F">
              <w:t>500 Internal Server Error</w:t>
            </w:r>
          </w:p>
        </w:tc>
        <w:tc>
          <w:tcPr>
            <w:tcW w:w="2334" w:type="pct"/>
          </w:tcPr>
          <w:p w:rsidR="00CB0DD7" w:rsidRPr="000A0A5F" w:rsidRDefault="00CB0DD7">
            <w:pPr>
              <w:pStyle w:val="TAL"/>
            </w:pPr>
            <w:r w:rsidRPr="000A0A5F">
              <w:t xml:space="preserve">The PFDs for the application were not updated successfully, applicable for other errors in table 5.11.2.2.3-1. </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lang w:eastAsia="zh-CN"/>
              </w:rPr>
            </w:pPr>
            <w:r w:rsidRPr="000A0A5F">
              <w:t>none</w:t>
            </w:r>
          </w:p>
        </w:tc>
        <w:tc>
          <w:tcPr>
            <w:tcW w:w="541" w:type="pct"/>
          </w:tcPr>
          <w:p w:rsidR="00CB0DD7" w:rsidRPr="000A0A5F" w:rsidRDefault="00CB0DD7">
            <w:pPr>
              <w:pStyle w:val="TAL"/>
            </w:pPr>
          </w:p>
        </w:tc>
        <w:tc>
          <w:tcPr>
            <w:tcW w:w="500" w:type="pct"/>
          </w:tcPr>
          <w:p w:rsidR="00CB0DD7" w:rsidRPr="000A0A5F" w:rsidRDefault="00CB0DD7">
            <w:pPr>
              <w:pStyle w:val="TAL"/>
            </w:pPr>
            <w:r w:rsidRPr="000A0A5F">
              <w:t>307 Temporary Redirect</w:t>
            </w:r>
          </w:p>
        </w:tc>
        <w:tc>
          <w:tcPr>
            <w:tcW w:w="2334" w:type="pct"/>
          </w:tcPr>
          <w:p w:rsidR="00CB0DD7" w:rsidRPr="000A0A5F" w:rsidRDefault="00CB0DD7">
            <w:pPr>
              <w:pStyle w:val="TAL"/>
            </w:pPr>
            <w:r w:rsidRPr="000A0A5F">
              <w:t>Temporary redirection, during transaction modification. The response shall include a Location header field containing an alternative URI of the resource located in an alternative SCEF.</w:t>
            </w:r>
          </w:p>
          <w:p w:rsidR="00CB0DD7" w:rsidRPr="000A0A5F" w:rsidRDefault="00CB0DD7">
            <w:pPr>
              <w:pStyle w:val="TAL"/>
            </w:pPr>
            <w:r w:rsidRPr="000A0A5F">
              <w:t>Redirection handling is described in clause 5.2.10.</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lang w:eastAsia="zh-CN"/>
              </w:rPr>
            </w:pPr>
            <w:r w:rsidRPr="000A0A5F">
              <w:t>none</w:t>
            </w:r>
          </w:p>
        </w:tc>
        <w:tc>
          <w:tcPr>
            <w:tcW w:w="541" w:type="pct"/>
          </w:tcPr>
          <w:p w:rsidR="00CB0DD7" w:rsidRPr="000A0A5F" w:rsidRDefault="00CB0DD7">
            <w:pPr>
              <w:pStyle w:val="TAL"/>
            </w:pPr>
          </w:p>
        </w:tc>
        <w:tc>
          <w:tcPr>
            <w:tcW w:w="500" w:type="pct"/>
          </w:tcPr>
          <w:p w:rsidR="00CB0DD7" w:rsidRPr="000A0A5F" w:rsidRDefault="00CB0DD7">
            <w:pPr>
              <w:pStyle w:val="TAL"/>
            </w:pPr>
            <w:r w:rsidRPr="000A0A5F">
              <w:t>308 Permanent Redirect</w:t>
            </w:r>
          </w:p>
        </w:tc>
        <w:tc>
          <w:tcPr>
            <w:tcW w:w="2334" w:type="pct"/>
          </w:tcPr>
          <w:p w:rsidR="00CB0DD7" w:rsidRPr="000A0A5F" w:rsidRDefault="00CB0DD7">
            <w:pPr>
              <w:pStyle w:val="TAL"/>
            </w:pPr>
            <w:r w:rsidRPr="000A0A5F">
              <w:t>Permanent redirection, during transaction modification. The response shall include a Location header field containing an alternative URI of the resource located in an alternative SCEF.</w:t>
            </w:r>
          </w:p>
          <w:p w:rsidR="00CB0DD7" w:rsidRPr="000A0A5F" w:rsidRDefault="00CB0DD7">
            <w:pPr>
              <w:pStyle w:val="TAL"/>
            </w:pPr>
            <w:r w:rsidRPr="000A0A5F">
              <w:t>Redirection handling is described in clause 5.2.10.</w:t>
            </w:r>
          </w:p>
        </w:tc>
      </w:tr>
      <w:tr w:rsidR="00CB0DD7" w:rsidRPr="000A0A5F" w:rsidTr="00FF0AF8">
        <w:tc>
          <w:tcPr>
            <w:tcW w:w="5000" w:type="pct"/>
            <w:gridSpan w:val="5"/>
            <w:shd w:val="clear" w:color="auto" w:fill="auto"/>
            <w:vAlign w:val="center"/>
          </w:tcPr>
          <w:p w:rsidR="00CB0DD7" w:rsidRPr="000A0A5F" w:rsidRDefault="00CB0DD7">
            <w:pPr>
              <w:pStyle w:val="TAN"/>
            </w:pPr>
            <w:r w:rsidRPr="000A0A5F">
              <w:t>NOTE:</w:t>
            </w:r>
            <w:r w:rsidRPr="000A0A5F">
              <w:tab/>
              <w:t>The mandatory HTTP error status codes for the PATCH method listed in table 5.2.6-1 also apply.</w:t>
            </w:r>
          </w:p>
        </w:tc>
      </w:tr>
    </w:tbl>
    <w:p w:rsidR="00CB0DD7" w:rsidRPr="000A0A5F" w:rsidRDefault="00CB0DD7"/>
    <w:p w:rsidR="00CB0DD7" w:rsidRPr="000A0A5F" w:rsidRDefault="002E466A">
      <w:pPr>
        <w:pStyle w:val="TH"/>
      </w:pPr>
      <w:r w:rsidRPr="000A0A5F">
        <w:t>Table </w:t>
      </w:r>
      <w:r w:rsidR="00CB0DD7" w:rsidRPr="000A0A5F">
        <w:t>5.11.3.4.3.3-2: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2E466A">
      <w:pPr>
        <w:pStyle w:val="TH"/>
      </w:pPr>
      <w:r w:rsidRPr="000A0A5F">
        <w:t>Table </w:t>
      </w:r>
      <w:r w:rsidR="00CB0DD7" w:rsidRPr="000A0A5F">
        <w:t>5.11.3.4.3.3-3: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CB0DD7">
      <w:pPr>
        <w:pStyle w:val="Heading6"/>
      </w:pPr>
      <w:bookmarkStart w:id="8233" w:name="_Toc11247806"/>
      <w:bookmarkStart w:id="8234" w:name="_Toc27044950"/>
      <w:bookmarkStart w:id="8235" w:name="_Toc36033992"/>
      <w:bookmarkStart w:id="8236" w:name="_Toc45132138"/>
      <w:bookmarkStart w:id="8237" w:name="_Toc49776423"/>
      <w:bookmarkStart w:id="8238" w:name="_Toc51747343"/>
      <w:bookmarkStart w:id="8239" w:name="_Toc66360916"/>
      <w:bookmarkStart w:id="8240" w:name="_Toc68105421"/>
      <w:bookmarkStart w:id="8241" w:name="_Toc74756051"/>
      <w:bookmarkStart w:id="8242" w:name="_Toc105674928"/>
      <w:bookmarkStart w:id="8243" w:name="_Toc130502992"/>
      <w:bookmarkStart w:id="8244" w:name="_Toc153625780"/>
      <w:r w:rsidRPr="000A0A5F">
        <w:t>5.11.3.4.3.4</w:t>
      </w:r>
      <w:r w:rsidRPr="000A0A5F">
        <w:tab/>
        <w:t>POST</w:t>
      </w:r>
      <w:bookmarkEnd w:id="8233"/>
      <w:bookmarkEnd w:id="8234"/>
      <w:bookmarkEnd w:id="8235"/>
      <w:bookmarkEnd w:id="8236"/>
      <w:bookmarkEnd w:id="8237"/>
      <w:bookmarkEnd w:id="8238"/>
      <w:bookmarkEnd w:id="8239"/>
      <w:bookmarkEnd w:id="8240"/>
      <w:bookmarkEnd w:id="8241"/>
      <w:bookmarkEnd w:id="8242"/>
      <w:bookmarkEnd w:id="8243"/>
      <w:bookmarkEnd w:id="8244"/>
    </w:p>
    <w:p w:rsidR="00CB0DD7" w:rsidRPr="000A0A5F" w:rsidRDefault="00CB0DD7">
      <w:pPr>
        <w:rPr>
          <w:lang w:eastAsia="zh-CN"/>
        </w:rPr>
      </w:pPr>
      <w:r w:rsidRPr="000A0A5F">
        <w:rPr>
          <w:rFonts w:hint="eastAsia"/>
          <w:lang w:eastAsia="zh-CN"/>
        </w:rPr>
        <w:t xml:space="preserve">This </w:t>
      </w:r>
      <w:r w:rsidRPr="000A0A5F">
        <w:rPr>
          <w:lang w:eastAsia="zh-CN"/>
        </w:rPr>
        <w:t>HTTP method is not supported for the resource.</w:t>
      </w:r>
    </w:p>
    <w:p w:rsidR="00CB0DD7" w:rsidRPr="000A0A5F" w:rsidRDefault="00CB0DD7">
      <w:pPr>
        <w:pStyle w:val="Heading6"/>
      </w:pPr>
      <w:bookmarkStart w:id="8245" w:name="_Toc11247807"/>
      <w:bookmarkStart w:id="8246" w:name="_Toc27044951"/>
      <w:bookmarkStart w:id="8247" w:name="_Toc36033993"/>
      <w:bookmarkStart w:id="8248" w:name="_Toc45132139"/>
      <w:bookmarkStart w:id="8249" w:name="_Toc49776424"/>
      <w:bookmarkStart w:id="8250" w:name="_Toc51747344"/>
      <w:bookmarkStart w:id="8251" w:name="_Toc66360917"/>
      <w:bookmarkStart w:id="8252" w:name="_Toc68105422"/>
      <w:bookmarkStart w:id="8253" w:name="_Toc74756052"/>
      <w:bookmarkStart w:id="8254" w:name="_Toc105674929"/>
      <w:bookmarkStart w:id="8255" w:name="_Toc130502993"/>
      <w:bookmarkStart w:id="8256" w:name="_Toc153625781"/>
      <w:r w:rsidRPr="000A0A5F">
        <w:t>5.11.3.4.3.5</w:t>
      </w:r>
      <w:r w:rsidRPr="000A0A5F">
        <w:tab/>
        <w:t>DELETE</w:t>
      </w:r>
      <w:bookmarkEnd w:id="8245"/>
      <w:bookmarkEnd w:id="8246"/>
      <w:bookmarkEnd w:id="8247"/>
      <w:bookmarkEnd w:id="8248"/>
      <w:bookmarkEnd w:id="8249"/>
      <w:bookmarkEnd w:id="8250"/>
      <w:bookmarkEnd w:id="8251"/>
      <w:bookmarkEnd w:id="8252"/>
      <w:bookmarkEnd w:id="8253"/>
      <w:bookmarkEnd w:id="8254"/>
      <w:bookmarkEnd w:id="8255"/>
      <w:bookmarkEnd w:id="8256"/>
    </w:p>
    <w:p w:rsidR="00CB0DD7" w:rsidRPr="000A0A5F" w:rsidRDefault="00CB0DD7">
      <w:pPr>
        <w:rPr>
          <w:noProof/>
          <w:lang w:eastAsia="zh-CN"/>
        </w:rPr>
      </w:pPr>
      <w:r w:rsidRPr="000A0A5F">
        <w:rPr>
          <w:noProof/>
          <w:lang w:eastAsia="zh-CN"/>
        </w:rPr>
        <w:t xml:space="preserve">The DELETE method deletes all the PFDs at individual application level. It is initiated by the SCS/AS and answered by the SCEF. </w:t>
      </w:r>
    </w:p>
    <w:p w:rsidR="00CB0DD7" w:rsidRPr="000A0A5F" w:rsidRDefault="00CB0DD7">
      <w:r w:rsidRPr="000A0A5F">
        <w:t>This method shall support the URI query parameters, request and response data structures, and response codes, as specified in the table 5.11.3.4.3.5-1 and table 5.11.3.4.3.5-2.</w:t>
      </w:r>
    </w:p>
    <w:p w:rsidR="00CB0DD7" w:rsidRPr="000A0A5F" w:rsidRDefault="00CB0DD7">
      <w:pPr>
        <w:pStyle w:val="TH"/>
        <w:rPr>
          <w:rFonts w:cs="Arial"/>
        </w:rPr>
      </w:pPr>
      <w:r w:rsidRPr="000A0A5F">
        <w:t xml:space="preserve">Table 5.11.3.4.3.5-1: URI query parameters supported by the DELETE method on this resource </w:t>
      </w:r>
    </w:p>
    <w:tbl>
      <w:tblPr>
        <w:tblW w:w="4999"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612"/>
        <w:gridCol w:w="1709"/>
        <w:gridCol w:w="1140"/>
        <w:gridCol w:w="5314"/>
      </w:tblGrid>
      <w:tr w:rsidR="00CB0DD7" w:rsidRPr="000A0A5F" w:rsidTr="00FF0AF8">
        <w:trPr>
          <w:jc w:val="center"/>
        </w:trPr>
        <w:tc>
          <w:tcPr>
            <w:tcW w:w="825" w:type="pct"/>
            <w:shd w:val="clear" w:color="000000" w:fill="C0C0C0"/>
          </w:tcPr>
          <w:p w:rsidR="00CB0DD7" w:rsidRPr="000A0A5F" w:rsidRDefault="00CB0DD7">
            <w:pPr>
              <w:pStyle w:val="TAH"/>
            </w:pPr>
            <w:r w:rsidRPr="000A0A5F">
              <w:t>Name</w:t>
            </w:r>
          </w:p>
        </w:tc>
        <w:tc>
          <w:tcPr>
            <w:tcW w:w="874" w:type="pct"/>
            <w:shd w:val="clear" w:color="000000" w:fill="C0C0C0"/>
          </w:tcPr>
          <w:p w:rsidR="00CB0DD7" w:rsidRPr="000A0A5F" w:rsidRDefault="00CB0DD7">
            <w:pPr>
              <w:pStyle w:val="TAH"/>
            </w:pPr>
            <w:r w:rsidRPr="000A0A5F">
              <w:t>Data type</w:t>
            </w:r>
          </w:p>
        </w:tc>
        <w:tc>
          <w:tcPr>
            <w:tcW w:w="583" w:type="pct"/>
            <w:shd w:val="clear" w:color="000000" w:fill="C0C0C0"/>
          </w:tcPr>
          <w:p w:rsidR="00CB0DD7" w:rsidRPr="000A0A5F" w:rsidRDefault="00CB0DD7">
            <w:pPr>
              <w:pStyle w:val="TAH"/>
            </w:pPr>
            <w:r w:rsidRPr="000A0A5F">
              <w:t>Cardinality</w:t>
            </w:r>
          </w:p>
        </w:tc>
        <w:tc>
          <w:tcPr>
            <w:tcW w:w="2718" w:type="pct"/>
            <w:shd w:val="clear" w:color="000000" w:fill="C0C0C0"/>
            <w:vAlign w:val="center"/>
          </w:tcPr>
          <w:p w:rsidR="00CB0DD7" w:rsidRPr="000A0A5F" w:rsidRDefault="00CB0DD7">
            <w:pPr>
              <w:pStyle w:val="TAH"/>
            </w:pPr>
            <w:r w:rsidRPr="000A0A5F">
              <w:t>Remarks</w:t>
            </w:r>
          </w:p>
        </w:tc>
      </w:tr>
      <w:tr w:rsidR="00CB0DD7" w:rsidRPr="000A0A5F" w:rsidTr="00FF0AF8">
        <w:trPr>
          <w:jc w:val="center"/>
        </w:trPr>
        <w:tc>
          <w:tcPr>
            <w:tcW w:w="825" w:type="pct"/>
            <w:shd w:val="clear" w:color="auto" w:fill="auto"/>
          </w:tcPr>
          <w:p w:rsidR="00CB0DD7" w:rsidRPr="000A0A5F" w:rsidRDefault="00CB0DD7">
            <w:pPr>
              <w:pStyle w:val="TAL"/>
              <w:rPr>
                <w:rFonts w:hint="eastAsia"/>
                <w:lang w:eastAsia="zh-CN"/>
              </w:rPr>
            </w:pPr>
            <w:r w:rsidRPr="000A0A5F">
              <w:rPr>
                <w:rFonts w:hint="eastAsia"/>
                <w:lang w:eastAsia="zh-CN"/>
              </w:rPr>
              <w:t>N/A</w:t>
            </w:r>
          </w:p>
        </w:tc>
        <w:tc>
          <w:tcPr>
            <w:tcW w:w="874" w:type="pct"/>
          </w:tcPr>
          <w:p w:rsidR="00CB0DD7" w:rsidRPr="000A0A5F" w:rsidRDefault="00CB0DD7">
            <w:pPr>
              <w:pStyle w:val="TAL"/>
            </w:pPr>
          </w:p>
        </w:tc>
        <w:tc>
          <w:tcPr>
            <w:tcW w:w="583" w:type="pct"/>
          </w:tcPr>
          <w:p w:rsidR="00CB0DD7" w:rsidRPr="000A0A5F" w:rsidRDefault="00CB0DD7">
            <w:pPr>
              <w:pStyle w:val="TAL"/>
            </w:pPr>
          </w:p>
        </w:tc>
        <w:tc>
          <w:tcPr>
            <w:tcW w:w="2718" w:type="pct"/>
            <w:shd w:val="clear" w:color="auto" w:fill="auto"/>
            <w:vAlign w:val="center"/>
          </w:tcPr>
          <w:p w:rsidR="00CB0DD7" w:rsidRPr="000A0A5F" w:rsidRDefault="00CB0DD7">
            <w:pPr>
              <w:pStyle w:val="TAL"/>
            </w:pPr>
          </w:p>
        </w:tc>
      </w:tr>
    </w:tbl>
    <w:p w:rsidR="00CB0DD7" w:rsidRPr="000A0A5F" w:rsidRDefault="00CB0DD7"/>
    <w:p w:rsidR="00CB0DD7" w:rsidRPr="000A0A5F" w:rsidRDefault="00CB0DD7">
      <w:pPr>
        <w:pStyle w:val="TH"/>
      </w:pPr>
      <w:r w:rsidRPr="000A0A5F">
        <w:t>Table 5.11.3.4.3.5-2: Data structures supported by the DELETE request/response by the resource</w:t>
      </w:r>
    </w:p>
    <w:tbl>
      <w:tblPr>
        <w:tblW w:w="4999" w:type="pct"/>
        <w:tblInd w:w="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45" w:type="dxa"/>
          <w:left w:w="45" w:type="dxa"/>
          <w:bottom w:w="45" w:type="dxa"/>
          <w:right w:w="45" w:type="dxa"/>
        </w:tblCellMar>
        <w:tblLook w:val="0000" w:firstRow="0" w:lastRow="0" w:firstColumn="0" w:lastColumn="0" w:noHBand="0" w:noVBand="0"/>
      </w:tblPr>
      <w:tblGrid>
        <w:gridCol w:w="1035"/>
        <w:gridCol w:w="2127"/>
        <w:gridCol w:w="1053"/>
        <w:gridCol w:w="973"/>
        <w:gridCol w:w="4541"/>
      </w:tblGrid>
      <w:tr w:rsidR="00CB0DD7" w:rsidRPr="000A0A5F" w:rsidTr="0008146A">
        <w:tc>
          <w:tcPr>
            <w:tcW w:w="532" w:type="pct"/>
            <w:vMerge w:val="restart"/>
            <w:shd w:val="clear" w:color="auto" w:fill="C0C0C0"/>
            <w:vAlign w:val="center"/>
          </w:tcPr>
          <w:p w:rsidR="00CB0DD7" w:rsidRPr="000A0A5F" w:rsidRDefault="00CB0DD7">
            <w:pPr>
              <w:pStyle w:val="TAH"/>
            </w:pPr>
            <w:r w:rsidRPr="000A0A5F">
              <w:t>Request body</w:t>
            </w:r>
          </w:p>
        </w:tc>
        <w:tc>
          <w:tcPr>
            <w:tcW w:w="1093" w:type="pct"/>
            <w:shd w:val="clear" w:color="auto" w:fill="C0C0C0"/>
          </w:tcPr>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r w:rsidRPr="000A0A5F">
              <w:t>Cardinality</w:t>
            </w:r>
          </w:p>
        </w:tc>
        <w:tc>
          <w:tcPr>
            <w:tcW w:w="2834" w:type="pct"/>
            <w:gridSpan w:val="2"/>
            <w:shd w:val="clear" w:color="auto" w:fill="C0C0C0"/>
          </w:tcPr>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none</w:t>
            </w:r>
          </w:p>
        </w:tc>
        <w:tc>
          <w:tcPr>
            <w:tcW w:w="541" w:type="pct"/>
          </w:tcPr>
          <w:p w:rsidR="00CB0DD7" w:rsidRPr="000A0A5F" w:rsidRDefault="00CB0DD7">
            <w:pPr>
              <w:pStyle w:val="TAL"/>
            </w:pPr>
          </w:p>
        </w:tc>
        <w:tc>
          <w:tcPr>
            <w:tcW w:w="2834" w:type="pct"/>
            <w:gridSpan w:val="2"/>
          </w:tcPr>
          <w:p w:rsidR="00CB0DD7" w:rsidRPr="000A0A5F" w:rsidRDefault="00CB0DD7">
            <w:pPr>
              <w:pStyle w:val="TAL"/>
            </w:pPr>
          </w:p>
        </w:tc>
      </w:tr>
      <w:tr w:rsidR="00CB0DD7" w:rsidRPr="000A0A5F" w:rsidTr="0008146A">
        <w:tc>
          <w:tcPr>
            <w:tcW w:w="532" w:type="pct"/>
            <w:vMerge w:val="restart"/>
            <w:shd w:val="clear" w:color="auto" w:fill="C0C0C0"/>
            <w:vAlign w:val="center"/>
          </w:tcPr>
          <w:p w:rsidR="00CB0DD7" w:rsidRPr="000A0A5F" w:rsidRDefault="00CB0DD7">
            <w:pPr>
              <w:pStyle w:val="TAH"/>
            </w:pPr>
            <w:r w:rsidRPr="000A0A5F">
              <w:t>Response body</w:t>
            </w:r>
          </w:p>
        </w:tc>
        <w:tc>
          <w:tcPr>
            <w:tcW w:w="1093" w:type="pct"/>
            <w:shd w:val="clear" w:color="auto" w:fill="C0C0C0"/>
          </w:tcPr>
          <w:p w:rsidR="00CB0DD7" w:rsidRPr="000A0A5F" w:rsidRDefault="00CB0DD7">
            <w:pPr>
              <w:pStyle w:val="TAH"/>
            </w:pPr>
          </w:p>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p>
          <w:p w:rsidR="00CB0DD7" w:rsidRPr="000A0A5F" w:rsidRDefault="00CB0DD7">
            <w:pPr>
              <w:pStyle w:val="TAH"/>
            </w:pPr>
            <w:r w:rsidRPr="000A0A5F">
              <w:t>Cardinality</w:t>
            </w:r>
          </w:p>
        </w:tc>
        <w:tc>
          <w:tcPr>
            <w:tcW w:w="500" w:type="pct"/>
            <w:shd w:val="clear" w:color="auto" w:fill="C0C0C0"/>
          </w:tcPr>
          <w:p w:rsidR="00CB0DD7" w:rsidRPr="000A0A5F" w:rsidRDefault="00CB0DD7">
            <w:pPr>
              <w:pStyle w:val="TAH"/>
            </w:pPr>
            <w:r w:rsidRPr="000A0A5F">
              <w:t>Response</w:t>
            </w:r>
          </w:p>
          <w:p w:rsidR="00CB0DD7" w:rsidRPr="000A0A5F" w:rsidRDefault="00CB0DD7">
            <w:pPr>
              <w:pStyle w:val="TAH"/>
            </w:pPr>
            <w:r w:rsidRPr="000A0A5F">
              <w:t>codes</w:t>
            </w:r>
          </w:p>
        </w:tc>
        <w:tc>
          <w:tcPr>
            <w:tcW w:w="2334" w:type="pct"/>
            <w:shd w:val="clear" w:color="auto" w:fill="C0C0C0"/>
          </w:tcPr>
          <w:p w:rsidR="00CB0DD7" w:rsidRPr="000A0A5F" w:rsidRDefault="00CB0DD7">
            <w:pPr>
              <w:pStyle w:val="TAH"/>
            </w:pPr>
          </w:p>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none</w:t>
            </w:r>
          </w:p>
        </w:tc>
        <w:tc>
          <w:tcPr>
            <w:tcW w:w="541" w:type="pct"/>
          </w:tcPr>
          <w:p w:rsidR="00CB0DD7" w:rsidRPr="000A0A5F" w:rsidRDefault="00CB0DD7">
            <w:pPr>
              <w:pStyle w:val="TAL"/>
            </w:pPr>
          </w:p>
        </w:tc>
        <w:tc>
          <w:tcPr>
            <w:tcW w:w="500" w:type="pct"/>
          </w:tcPr>
          <w:p w:rsidR="00CB0DD7" w:rsidRPr="000A0A5F" w:rsidRDefault="00CB0DD7">
            <w:pPr>
              <w:pStyle w:val="TAL"/>
            </w:pPr>
            <w:r w:rsidRPr="000A0A5F">
              <w:t>204 No Content</w:t>
            </w:r>
          </w:p>
        </w:tc>
        <w:tc>
          <w:tcPr>
            <w:tcW w:w="2334" w:type="pct"/>
          </w:tcPr>
          <w:p w:rsidR="00CB0DD7" w:rsidRPr="000A0A5F" w:rsidRDefault="00CB0DD7">
            <w:pPr>
              <w:pStyle w:val="TAL"/>
            </w:pPr>
            <w:r w:rsidRPr="000A0A5F">
              <w:t>The PFDs were removed successfully.</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none</w:t>
            </w:r>
          </w:p>
        </w:tc>
        <w:tc>
          <w:tcPr>
            <w:tcW w:w="541" w:type="pct"/>
          </w:tcPr>
          <w:p w:rsidR="00CB0DD7" w:rsidRPr="000A0A5F" w:rsidRDefault="00CB0DD7">
            <w:pPr>
              <w:pStyle w:val="TAL"/>
            </w:pPr>
          </w:p>
        </w:tc>
        <w:tc>
          <w:tcPr>
            <w:tcW w:w="500" w:type="pct"/>
          </w:tcPr>
          <w:p w:rsidR="00CB0DD7" w:rsidRPr="000A0A5F" w:rsidRDefault="00CB0DD7">
            <w:pPr>
              <w:pStyle w:val="TAL"/>
            </w:pPr>
            <w:r w:rsidRPr="000A0A5F">
              <w:t>307 Temporary Redirect</w:t>
            </w:r>
          </w:p>
        </w:tc>
        <w:tc>
          <w:tcPr>
            <w:tcW w:w="2334" w:type="pct"/>
          </w:tcPr>
          <w:p w:rsidR="00CB0DD7" w:rsidRPr="000A0A5F" w:rsidRDefault="00CB0DD7">
            <w:pPr>
              <w:pStyle w:val="TAL"/>
            </w:pPr>
            <w:r w:rsidRPr="000A0A5F">
              <w:t>Temporary redirection, during transaction termination. The response shall include a Location header field containing an alternative URI of the resource located in an alternative SCEF.</w:t>
            </w:r>
          </w:p>
          <w:p w:rsidR="00CB0DD7" w:rsidRPr="000A0A5F" w:rsidRDefault="00CB0DD7">
            <w:pPr>
              <w:pStyle w:val="TAL"/>
            </w:pPr>
            <w:r w:rsidRPr="000A0A5F">
              <w:t>Redirection handling is described in clause 5.2.10.</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none</w:t>
            </w:r>
          </w:p>
        </w:tc>
        <w:tc>
          <w:tcPr>
            <w:tcW w:w="541" w:type="pct"/>
          </w:tcPr>
          <w:p w:rsidR="00CB0DD7" w:rsidRPr="000A0A5F" w:rsidRDefault="00CB0DD7">
            <w:pPr>
              <w:pStyle w:val="TAL"/>
            </w:pPr>
          </w:p>
        </w:tc>
        <w:tc>
          <w:tcPr>
            <w:tcW w:w="500" w:type="pct"/>
          </w:tcPr>
          <w:p w:rsidR="00CB0DD7" w:rsidRPr="000A0A5F" w:rsidRDefault="00CB0DD7">
            <w:pPr>
              <w:pStyle w:val="TAL"/>
            </w:pPr>
            <w:r w:rsidRPr="000A0A5F">
              <w:t>308 Permanent Redirect</w:t>
            </w:r>
          </w:p>
        </w:tc>
        <w:tc>
          <w:tcPr>
            <w:tcW w:w="2334" w:type="pct"/>
          </w:tcPr>
          <w:p w:rsidR="00CB0DD7" w:rsidRPr="000A0A5F" w:rsidRDefault="00CB0DD7">
            <w:pPr>
              <w:pStyle w:val="TAL"/>
            </w:pPr>
            <w:r w:rsidRPr="000A0A5F">
              <w:t>Permanent redirection, during transaction termination. The response shall include a Location header field containing an alternative URI of the resource located in an alternative SCEF.</w:t>
            </w:r>
          </w:p>
          <w:p w:rsidR="00CB0DD7" w:rsidRPr="000A0A5F" w:rsidRDefault="00CB0DD7">
            <w:pPr>
              <w:pStyle w:val="TAL"/>
            </w:pPr>
            <w:r w:rsidRPr="000A0A5F">
              <w:t>Redirection handling is described in clause 5.2.10.</w:t>
            </w:r>
          </w:p>
        </w:tc>
      </w:tr>
      <w:tr w:rsidR="00CB0DD7" w:rsidRPr="000A0A5F" w:rsidTr="00FF0AF8">
        <w:tc>
          <w:tcPr>
            <w:tcW w:w="5000" w:type="pct"/>
            <w:gridSpan w:val="5"/>
            <w:shd w:val="clear" w:color="auto" w:fill="auto"/>
            <w:vAlign w:val="center"/>
          </w:tcPr>
          <w:p w:rsidR="00CB0DD7" w:rsidRPr="000A0A5F" w:rsidRDefault="00CB0DD7">
            <w:pPr>
              <w:pStyle w:val="TAN"/>
            </w:pPr>
            <w:r w:rsidRPr="000A0A5F">
              <w:t>NOTE:</w:t>
            </w:r>
            <w:r w:rsidRPr="000A0A5F">
              <w:tab/>
              <w:t>The mandatory HTTP error status codes for the DELETE method listed in table 5.2.6-1 also apply.</w:t>
            </w:r>
          </w:p>
        </w:tc>
      </w:tr>
    </w:tbl>
    <w:p w:rsidR="00CB0DD7" w:rsidRPr="000A0A5F" w:rsidRDefault="00CB0DD7"/>
    <w:p w:rsidR="00CB0DD7" w:rsidRPr="000A0A5F" w:rsidRDefault="002E466A">
      <w:pPr>
        <w:pStyle w:val="TH"/>
      </w:pPr>
      <w:r w:rsidRPr="000A0A5F">
        <w:t>Table </w:t>
      </w:r>
      <w:r w:rsidR="00CB0DD7" w:rsidRPr="000A0A5F">
        <w:t>5.11.3.4.3.5-3: Headers supported by the 307 Response Code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CB0DD7" w:rsidRPr="000A0A5F" w:rsidTr="00FF0AF8">
        <w:trPr>
          <w:jc w:val="center"/>
        </w:trPr>
        <w:tc>
          <w:tcPr>
            <w:tcW w:w="825" w:type="pct"/>
            <w:shd w:val="clear" w:color="auto" w:fill="C0C0C0"/>
            <w:hideMark/>
          </w:tcPr>
          <w:p w:rsidR="00CB0DD7" w:rsidRPr="000A0A5F" w:rsidRDefault="00CB0DD7">
            <w:pPr>
              <w:pStyle w:val="TAH"/>
            </w:pPr>
            <w:r w:rsidRPr="000A0A5F">
              <w:t>Name</w:t>
            </w:r>
          </w:p>
        </w:tc>
        <w:tc>
          <w:tcPr>
            <w:tcW w:w="732" w:type="pct"/>
            <w:shd w:val="clear" w:color="auto" w:fill="C0C0C0"/>
            <w:hideMark/>
          </w:tcPr>
          <w:p w:rsidR="00CB0DD7" w:rsidRPr="000A0A5F" w:rsidRDefault="00CB0DD7">
            <w:pPr>
              <w:pStyle w:val="TAH"/>
            </w:pPr>
            <w:r w:rsidRPr="000A0A5F">
              <w:t>Data type</w:t>
            </w:r>
          </w:p>
        </w:tc>
        <w:tc>
          <w:tcPr>
            <w:tcW w:w="217" w:type="pct"/>
            <w:shd w:val="clear" w:color="auto" w:fill="C0C0C0"/>
            <w:hideMark/>
          </w:tcPr>
          <w:p w:rsidR="00CB0DD7" w:rsidRPr="000A0A5F" w:rsidRDefault="00CB0DD7">
            <w:pPr>
              <w:pStyle w:val="TAH"/>
            </w:pPr>
            <w:r w:rsidRPr="000A0A5F">
              <w:t>P</w:t>
            </w:r>
          </w:p>
        </w:tc>
        <w:tc>
          <w:tcPr>
            <w:tcW w:w="581" w:type="pct"/>
            <w:shd w:val="clear" w:color="auto" w:fill="C0C0C0"/>
            <w:hideMark/>
          </w:tcPr>
          <w:p w:rsidR="00CB0DD7" w:rsidRPr="000A0A5F" w:rsidRDefault="00CB0DD7">
            <w:pPr>
              <w:pStyle w:val="TAH"/>
            </w:pPr>
            <w:r w:rsidRPr="000A0A5F">
              <w:t>Cardinality</w:t>
            </w:r>
          </w:p>
        </w:tc>
        <w:tc>
          <w:tcPr>
            <w:tcW w:w="2645" w:type="pct"/>
            <w:shd w:val="clear" w:color="auto" w:fill="C0C0C0"/>
            <w:vAlign w:val="center"/>
            <w:hideMark/>
          </w:tcPr>
          <w:p w:rsidR="00CB0DD7" w:rsidRPr="000A0A5F" w:rsidRDefault="00CB0DD7">
            <w:pPr>
              <w:pStyle w:val="TAH"/>
            </w:pPr>
            <w:r w:rsidRPr="000A0A5F">
              <w:t>Description</w:t>
            </w:r>
          </w:p>
        </w:tc>
      </w:tr>
      <w:tr w:rsidR="00CB0DD7" w:rsidRPr="000A0A5F" w:rsidTr="00FF0AF8">
        <w:trPr>
          <w:jc w:val="center"/>
        </w:trPr>
        <w:tc>
          <w:tcPr>
            <w:tcW w:w="825" w:type="pct"/>
            <w:hideMark/>
          </w:tcPr>
          <w:p w:rsidR="00CB0DD7" w:rsidRPr="000A0A5F" w:rsidRDefault="00CB0DD7">
            <w:pPr>
              <w:pStyle w:val="TAL"/>
            </w:pPr>
            <w:r w:rsidRPr="000A0A5F">
              <w:t>Location</w:t>
            </w:r>
          </w:p>
        </w:tc>
        <w:tc>
          <w:tcPr>
            <w:tcW w:w="732" w:type="pct"/>
            <w:hideMark/>
          </w:tcPr>
          <w:p w:rsidR="00CB0DD7" w:rsidRPr="000A0A5F" w:rsidRDefault="00CB0DD7">
            <w:pPr>
              <w:pStyle w:val="TAL"/>
            </w:pPr>
            <w:r w:rsidRPr="000A0A5F">
              <w:t>string</w:t>
            </w:r>
          </w:p>
        </w:tc>
        <w:tc>
          <w:tcPr>
            <w:tcW w:w="217" w:type="pct"/>
            <w:hideMark/>
          </w:tcPr>
          <w:p w:rsidR="00CB0DD7" w:rsidRPr="000A0A5F" w:rsidRDefault="00CB0DD7">
            <w:pPr>
              <w:pStyle w:val="TAC"/>
            </w:pPr>
            <w:r w:rsidRPr="000A0A5F">
              <w:t>M</w:t>
            </w:r>
          </w:p>
        </w:tc>
        <w:tc>
          <w:tcPr>
            <w:tcW w:w="581" w:type="pct"/>
            <w:hideMark/>
          </w:tcPr>
          <w:p w:rsidR="00CB0DD7" w:rsidRPr="000A0A5F" w:rsidRDefault="00CB0DD7">
            <w:pPr>
              <w:pStyle w:val="TAL"/>
            </w:pPr>
            <w:r w:rsidRPr="000A0A5F">
              <w:t>1</w:t>
            </w:r>
          </w:p>
        </w:tc>
        <w:tc>
          <w:tcPr>
            <w:tcW w:w="2645" w:type="pct"/>
            <w:vAlign w:val="center"/>
            <w:hideMark/>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2E466A">
      <w:pPr>
        <w:pStyle w:val="TH"/>
      </w:pPr>
      <w:r w:rsidRPr="000A0A5F">
        <w:t>Table </w:t>
      </w:r>
      <w:r w:rsidR="00CB0DD7" w:rsidRPr="000A0A5F">
        <w:t>5.11.3.4.3.5-4: Headers supported by the 308 Response Code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CB0DD7" w:rsidRPr="000A0A5F" w:rsidTr="00FF0AF8">
        <w:trPr>
          <w:jc w:val="center"/>
        </w:trPr>
        <w:tc>
          <w:tcPr>
            <w:tcW w:w="825" w:type="pct"/>
            <w:shd w:val="clear" w:color="auto" w:fill="C0C0C0"/>
            <w:hideMark/>
          </w:tcPr>
          <w:p w:rsidR="00CB0DD7" w:rsidRPr="000A0A5F" w:rsidRDefault="00CB0DD7">
            <w:pPr>
              <w:pStyle w:val="TAH"/>
            </w:pPr>
            <w:r w:rsidRPr="000A0A5F">
              <w:t>Name</w:t>
            </w:r>
          </w:p>
        </w:tc>
        <w:tc>
          <w:tcPr>
            <w:tcW w:w="732" w:type="pct"/>
            <w:shd w:val="clear" w:color="auto" w:fill="C0C0C0"/>
            <w:hideMark/>
          </w:tcPr>
          <w:p w:rsidR="00CB0DD7" w:rsidRPr="000A0A5F" w:rsidRDefault="00CB0DD7">
            <w:pPr>
              <w:pStyle w:val="TAH"/>
            </w:pPr>
            <w:r w:rsidRPr="000A0A5F">
              <w:t>Data type</w:t>
            </w:r>
          </w:p>
        </w:tc>
        <w:tc>
          <w:tcPr>
            <w:tcW w:w="217" w:type="pct"/>
            <w:shd w:val="clear" w:color="auto" w:fill="C0C0C0"/>
            <w:hideMark/>
          </w:tcPr>
          <w:p w:rsidR="00CB0DD7" w:rsidRPr="000A0A5F" w:rsidRDefault="00CB0DD7">
            <w:pPr>
              <w:pStyle w:val="TAH"/>
            </w:pPr>
            <w:r w:rsidRPr="000A0A5F">
              <w:t>P</w:t>
            </w:r>
          </w:p>
        </w:tc>
        <w:tc>
          <w:tcPr>
            <w:tcW w:w="581" w:type="pct"/>
            <w:shd w:val="clear" w:color="auto" w:fill="C0C0C0"/>
            <w:hideMark/>
          </w:tcPr>
          <w:p w:rsidR="00CB0DD7" w:rsidRPr="000A0A5F" w:rsidRDefault="00CB0DD7">
            <w:pPr>
              <w:pStyle w:val="TAH"/>
            </w:pPr>
            <w:r w:rsidRPr="000A0A5F">
              <w:t>Cardinality</w:t>
            </w:r>
          </w:p>
        </w:tc>
        <w:tc>
          <w:tcPr>
            <w:tcW w:w="2645" w:type="pct"/>
            <w:shd w:val="clear" w:color="auto" w:fill="C0C0C0"/>
            <w:vAlign w:val="center"/>
            <w:hideMark/>
          </w:tcPr>
          <w:p w:rsidR="00CB0DD7" w:rsidRPr="000A0A5F" w:rsidRDefault="00CB0DD7">
            <w:pPr>
              <w:pStyle w:val="TAH"/>
            </w:pPr>
            <w:r w:rsidRPr="000A0A5F">
              <w:t>Description</w:t>
            </w:r>
          </w:p>
        </w:tc>
      </w:tr>
      <w:tr w:rsidR="00CB0DD7" w:rsidRPr="000A0A5F" w:rsidTr="00FF0AF8">
        <w:trPr>
          <w:jc w:val="center"/>
        </w:trPr>
        <w:tc>
          <w:tcPr>
            <w:tcW w:w="825" w:type="pct"/>
            <w:hideMark/>
          </w:tcPr>
          <w:p w:rsidR="00CB0DD7" w:rsidRPr="000A0A5F" w:rsidRDefault="00CB0DD7">
            <w:pPr>
              <w:pStyle w:val="TAL"/>
            </w:pPr>
            <w:r w:rsidRPr="000A0A5F">
              <w:t>Location</w:t>
            </w:r>
          </w:p>
        </w:tc>
        <w:tc>
          <w:tcPr>
            <w:tcW w:w="732" w:type="pct"/>
            <w:hideMark/>
          </w:tcPr>
          <w:p w:rsidR="00CB0DD7" w:rsidRPr="000A0A5F" w:rsidRDefault="00CB0DD7">
            <w:pPr>
              <w:pStyle w:val="TAL"/>
            </w:pPr>
            <w:r w:rsidRPr="000A0A5F">
              <w:t>string</w:t>
            </w:r>
          </w:p>
        </w:tc>
        <w:tc>
          <w:tcPr>
            <w:tcW w:w="217" w:type="pct"/>
            <w:hideMark/>
          </w:tcPr>
          <w:p w:rsidR="00CB0DD7" w:rsidRPr="000A0A5F" w:rsidRDefault="00CB0DD7">
            <w:pPr>
              <w:pStyle w:val="TAC"/>
            </w:pPr>
            <w:r w:rsidRPr="000A0A5F">
              <w:t>M</w:t>
            </w:r>
          </w:p>
        </w:tc>
        <w:tc>
          <w:tcPr>
            <w:tcW w:w="581" w:type="pct"/>
            <w:hideMark/>
          </w:tcPr>
          <w:p w:rsidR="00CB0DD7" w:rsidRPr="000A0A5F" w:rsidRDefault="00CB0DD7">
            <w:pPr>
              <w:pStyle w:val="TAL"/>
            </w:pPr>
            <w:r w:rsidRPr="000A0A5F">
              <w:t>1</w:t>
            </w:r>
          </w:p>
        </w:tc>
        <w:tc>
          <w:tcPr>
            <w:tcW w:w="2645" w:type="pct"/>
            <w:vAlign w:val="center"/>
            <w:hideMark/>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CB0DD7">
      <w:pPr>
        <w:pStyle w:val="Heading4"/>
      </w:pPr>
      <w:bookmarkStart w:id="8257" w:name="_Toc11247808"/>
      <w:bookmarkStart w:id="8258" w:name="_Toc27044952"/>
      <w:bookmarkStart w:id="8259" w:name="_Toc36033994"/>
      <w:bookmarkStart w:id="8260" w:name="_Toc45132140"/>
      <w:bookmarkStart w:id="8261" w:name="_Toc49776425"/>
      <w:bookmarkStart w:id="8262" w:name="_Toc51747345"/>
      <w:bookmarkStart w:id="8263" w:name="_Toc66360918"/>
      <w:bookmarkStart w:id="8264" w:name="_Toc68105423"/>
      <w:bookmarkStart w:id="8265" w:name="_Toc74756053"/>
      <w:bookmarkStart w:id="8266" w:name="_Toc105674930"/>
      <w:bookmarkStart w:id="8267" w:name="_Toc130502994"/>
      <w:bookmarkStart w:id="8268" w:name="_Toc153625782"/>
      <w:r w:rsidRPr="000A0A5F">
        <w:t>5.11.3.5</w:t>
      </w:r>
      <w:r w:rsidRPr="000A0A5F">
        <w:tab/>
        <w:t>Void</w:t>
      </w:r>
      <w:bookmarkEnd w:id="8257"/>
      <w:bookmarkEnd w:id="8258"/>
      <w:bookmarkEnd w:id="8259"/>
      <w:bookmarkEnd w:id="8260"/>
      <w:bookmarkEnd w:id="8261"/>
      <w:bookmarkEnd w:id="8262"/>
      <w:bookmarkEnd w:id="8263"/>
      <w:bookmarkEnd w:id="8264"/>
      <w:bookmarkEnd w:id="8265"/>
      <w:bookmarkEnd w:id="8266"/>
      <w:bookmarkEnd w:id="8267"/>
      <w:bookmarkEnd w:id="8268"/>
    </w:p>
    <w:p w:rsidR="00CB0DD7" w:rsidRPr="000A0A5F" w:rsidRDefault="00CB0DD7">
      <w:pPr>
        <w:pStyle w:val="Heading3"/>
      </w:pPr>
      <w:bookmarkStart w:id="8269" w:name="_Toc66360919"/>
      <w:bookmarkStart w:id="8270" w:name="_Toc68105424"/>
      <w:bookmarkStart w:id="8271" w:name="_Toc74756054"/>
      <w:bookmarkStart w:id="8272" w:name="_Toc105674931"/>
      <w:bookmarkStart w:id="8273" w:name="_Toc130502995"/>
      <w:bookmarkStart w:id="8274" w:name="_Toc153625783"/>
      <w:r w:rsidRPr="000A0A5F">
        <w:t>5.11.</w:t>
      </w:r>
      <w:r w:rsidR="0008146A" w:rsidRPr="000A0A5F">
        <w:t>3A</w:t>
      </w:r>
      <w:r w:rsidRPr="000A0A5F">
        <w:tab/>
        <w:t>Notifications</w:t>
      </w:r>
      <w:bookmarkEnd w:id="8269"/>
      <w:bookmarkEnd w:id="8270"/>
      <w:bookmarkEnd w:id="8271"/>
      <w:bookmarkEnd w:id="8272"/>
      <w:bookmarkEnd w:id="8273"/>
      <w:bookmarkEnd w:id="8274"/>
    </w:p>
    <w:p w:rsidR="00CB0DD7" w:rsidRPr="000A0A5F" w:rsidRDefault="00CB0DD7">
      <w:pPr>
        <w:pStyle w:val="Heading4"/>
      </w:pPr>
      <w:bookmarkStart w:id="8275" w:name="_Toc66360920"/>
      <w:bookmarkStart w:id="8276" w:name="_Toc68105425"/>
      <w:bookmarkStart w:id="8277" w:name="_Toc74756055"/>
      <w:bookmarkStart w:id="8278" w:name="_Toc105674932"/>
      <w:bookmarkStart w:id="8279" w:name="_Toc130502996"/>
      <w:bookmarkStart w:id="8280" w:name="_Toc153625784"/>
      <w:r w:rsidRPr="000A0A5F">
        <w:t>5.11.</w:t>
      </w:r>
      <w:r w:rsidR="0008146A" w:rsidRPr="000A0A5F">
        <w:t>3A</w:t>
      </w:r>
      <w:r w:rsidRPr="000A0A5F">
        <w:t>.1</w:t>
      </w:r>
      <w:r w:rsidRPr="000A0A5F">
        <w:tab/>
        <w:t>General</w:t>
      </w:r>
      <w:bookmarkEnd w:id="8275"/>
      <w:bookmarkEnd w:id="8276"/>
      <w:bookmarkEnd w:id="8277"/>
      <w:bookmarkEnd w:id="8278"/>
      <w:bookmarkEnd w:id="8279"/>
      <w:bookmarkEnd w:id="8280"/>
    </w:p>
    <w:p w:rsidR="00CB0DD7" w:rsidRPr="000A0A5F" w:rsidRDefault="00CB0DD7">
      <w:r w:rsidRPr="000A0A5F">
        <w:t xml:space="preserve">The notifications provided by the </w:t>
      </w:r>
      <w:r w:rsidRPr="000A0A5F">
        <w:rPr>
          <w:noProof/>
          <w:lang w:eastAsia="zh-CN"/>
        </w:rPr>
        <w:t>PfdManagement</w:t>
      </w:r>
      <w:r w:rsidRPr="000A0A5F">
        <w:t xml:space="preserve"> API are specified in this clause.</w:t>
      </w:r>
    </w:p>
    <w:p w:rsidR="00CB0DD7" w:rsidRPr="000A0A5F" w:rsidRDefault="002E466A">
      <w:pPr>
        <w:pStyle w:val="TH"/>
      </w:pPr>
      <w:r w:rsidRPr="000A0A5F">
        <w:t>Table </w:t>
      </w:r>
      <w:r w:rsidR="00CB0DD7" w:rsidRPr="000A0A5F">
        <w:t>5.11.</w:t>
      </w:r>
      <w:r w:rsidR="0008146A" w:rsidRPr="000A0A5F">
        <w:t>3A</w:t>
      </w:r>
      <w:r w:rsidR="00CB0DD7" w:rsidRPr="000A0A5F">
        <w:t>-1: Notifications overview</w:t>
      </w:r>
    </w:p>
    <w:tbl>
      <w:tblPr>
        <w:tblW w:w="4484"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1914"/>
        <w:gridCol w:w="3654"/>
        <w:gridCol w:w="1243"/>
        <w:gridCol w:w="1957"/>
      </w:tblGrid>
      <w:tr w:rsidR="00CB0DD7" w:rsidRPr="000A0A5F" w:rsidTr="00FF0AF8">
        <w:trPr>
          <w:jc w:val="center"/>
        </w:trPr>
        <w:tc>
          <w:tcPr>
            <w:tcW w:w="1091" w:type="pct"/>
            <w:shd w:val="clear" w:color="auto" w:fill="C0C0C0"/>
            <w:vAlign w:val="center"/>
            <w:hideMark/>
          </w:tcPr>
          <w:p w:rsidR="00CB0DD7" w:rsidRPr="000A0A5F" w:rsidRDefault="00CB0DD7">
            <w:pPr>
              <w:pStyle w:val="TAH"/>
            </w:pPr>
            <w:r w:rsidRPr="000A0A5F">
              <w:t>Notification</w:t>
            </w:r>
          </w:p>
        </w:tc>
        <w:tc>
          <w:tcPr>
            <w:tcW w:w="2083" w:type="pct"/>
            <w:shd w:val="clear" w:color="auto" w:fill="C0C0C0"/>
            <w:vAlign w:val="center"/>
            <w:hideMark/>
          </w:tcPr>
          <w:p w:rsidR="00CB0DD7" w:rsidRPr="000A0A5F" w:rsidRDefault="00CB0DD7">
            <w:pPr>
              <w:pStyle w:val="TAH"/>
            </w:pPr>
            <w:r w:rsidRPr="000A0A5F">
              <w:t>Callback URI</w:t>
            </w:r>
          </w:p>
        </w:tc>
        <w:tc>
          <w:tcPr>
            <w:tcW w:w="709" w:type="pct"/>
            <w:shd w:val="clear" w:color="auto" w:fill="C0C0C0"/>
            <w:vAlign w:val="center"/>
            <w:hideMark/>
          </w:tcPr>
          <w:p w:rsidR="00CB0DD7" w:rsidRPr="000A0A5F" w:rsidRDefault="00CB0DD7">
            <w:pPr>
              <w:pStyle w:val="TAH"/>
            </w:pPr>
            <w:r w:rsidRPr="000A0A5F">
              <w:t>HTTP method or custom operation</w:t>
            </w:r>
          </w:p>
        </w:tc>
        <w:tc>
          <w:tcPr>
            <w:tcW w:w="1116" w:type="pct"/>
            <w:shd w:val="clear" w:color="auto" w:fill="C0C0C0"/>
            <w:vAlign w:val="center"/>
            <w:hideMark/>
          </w:tcPr>
          <w:p w:rsidR="00CB0DD7" w:rsidRPr="000A0A5F" w:rsidRDefault="00CB0DD7">
            <w:pPr>
              <w:pStyle w:val="TAH"/>
            </w:pPr>
            <w:r w:rsidRPr="000A0A5F">
              <w:t>Description</w:t>
            </w:r>
          </w:p>
          <w:p w:rsidR="00CB0DD7" w:rsidRPr="000A0A5F" w:rsidRDefault="00CB0DD7">
            <w:pPr>
              <w:pStyle w:val="TAH"/>
            </w:pPr>
            <w:r w:rsidRPr="000A0A5F">
              <w:t>(service operation)</w:t>
            </w:r>
          </w:p>
        </w:tc>
      </w:tr>
      <w:tr w:rsidR="00CB0DD7" w:rsidRPr="000A0A5F" w:rsidTr="00FF0AF8">
        <w:trPr>
          <w:jc w:val="center"/>
        </w:trPr>
        <w:tc>
          <w:tcPr>
            <w:tcW w:w="1091" w:type="pct"/>
          </w:tcPr>
          <w:p w:rsidR="00CB0DD7" w:rsidRPr="000A0A5F" w:rsidRDefault="00CB0DD7">
            <w:pPr>
              <w:pStyle w:val="TAC"/>
              <w:jc w:val="left"/>
              <w:rPr>
                <w:lang w:val="en-US"/>
              </w:rPr>
            </w:pPr>
            <w:r w:rsidRPr="000A0A5F">
              <w:rPr>
                <w:rFonts w:eastAsia="MS Mincho"/>
                <w:lang w:eastAsia="ja-JP"/>
              </w:rPr>
              <w:t xml:space="preserve">PFD Management </w:t>
            </w:r>
            <w:r w:rsidRPr="000A0A5F">
              <w:rPr>
                <w:rFonts w:eastAsia="MS Mincho" w:hint="eastAsia"/>
                <w:lang w:eastAsia="ja-JP"/>
              </w:rPr>
              <w:t>Notification</w:t>
            </w:r>
          </w:p>
        </w:tc>
        <w:tc>
          <w:tcPr>
            <w:tcW w:w="2083" w:type="pct"/>
          </w:tcPr>
          <w:p w:rsidR="00CB0DD7" w:rsidRPr="000A0A5F" w:rsidRDefault="00CB0DD7">
            <w:pPr>
              <w:pStyle w:val="TAL"/>
              <w:rPr>
                <w:lang w:val="en-US"/>
              </w:rPr>
            </w:pPr>
            <w:r w:rsidRPr="000A0A5F">
              <w:rPr>
                <w:rFonts w:hint="eastAsia"/>
                <w:lang w:eastAsia="zh-CN"/>
              </w:rPr>
              <w:t>{notificationDestination</w:t>
            </w:r>
            <w:r w:rsidRPr="000A0A5F">
              <w:rPr>
                <w:lang w:eastAsia="zh-CN"/>
              </w:rPr>
              <w:t>}</w:t>
            </w:r>
          </w:p>
        </w:tc>
        <w:tc>
          <w:tcPr>
            <w:tcW w:w="709" w:type="pct"/>
          </w:tcPr>
          <w:p w:rsidR="00CB0DD7" w:rsidRPr="000A0A5F" w:rsidRDefault="00CB0DD7">
            <w:pPr>
              <w:pStyle w:val="TAC"/>
              <w:rPr>
                <w:lang w:val="fr-FR"/>
              </w:rPr>
            </w:pPr>
            <w:r w:rsidRPr="000A0A5F">
              <w:rPr>
                <w:rFonts w:hint="eastAsia"/>
                <w:lang w:eastAsia="zh-CN"/>
              </w:rPr>
              <w:t>POST</w:t>
            </w:r>
          </w:p>
        </w:tc>
        <w:tc>
          <w:tcPr>
            <w:tcW w:w="1116" w:type="pct"/>
          </w:tcPr>
          <w:p w:rsidR="00CB0DD7" w:rsidRPr="000A0A5F" w:rsidRDefault="00CB0DD7">
            <w:pPr>
              <w:pStyle w:val="TAL"/>
              <w:rPr>
                <w:lang w:val="en-US"/>
              </w:rPr>
            </w:pPr>
            <w:r w:rsidRPr="000A0A5F">
              <w:rPr>
                <w:lang w:eastAsia="zh-CN"/>
              </w:rPr>
              <w:t>Send asynchronous PFD management result.</w:t>
            </w:r>
          </w:p>
        </w:tc>
      </w:tr>
    </w:tbl>
    <w:p w:rsidR="00CB0DD7" w:rsidRPr="000A0A5F" w:rsidRDefault="00CB0DD7"/>
    <w:p w:rsidR="00CB0DD7" w:rsidRPr="000A0A5F" w:rsidRDefault="00CB0DD7">
      <w:pPr>
        <w:pStyle w:val="Heading4"/>
        <w:rPr>
          <w:lang w:val="fr-FR"/>
        </w:rPr>
      </w:pPr>
      <w:bookmarkStart w:id="8281" w:name="_Toc66360921"/>
      <w:bookmarkStart w:id="8282" w:name="_Toc68105426"/>
      <w:bookmarkStart w:id="8283" w:name="_Toc74756056"/>
      <w:bookmarkStart w:id="8284" w:name="_Toc105674933"/>
      <w:bookmarkStart w:id="8285" w:name="_Toc130502997"/>
      <w:bookmarkStart w:id="8286" w:name="_Toc153625785"/>
      <w:r w:rsidRPr="000A0A5F">
        <w:rPr>
          <w:lang w:val="fr-FR"/>
        </w:rPr>
        <w:t>5.11.</w:t>
      </w:r>
      <w:r w:rsidR="0008146A" w:rsidRPr="000A0A5F">
        <w:rPr>
          <w:lang w:val="fr-FR"/>
        </w:rPr>
        <w:t>3A</w:t>
      </w:r>
      <w:r w:rsidRPr="000A0A5F">
        <w:rPr>
          <w:lang w:val="fr-FR"/>
        </w:rPr>
        <w:t>.2</w:t>
      </w:r>
      <w:r w:rsidRPr="000A0A5F">
        <w:rPr>
          <w:lang w:val="fr-FR"/>
        </w:rPr>
        <w:tab/>
        <w:t>PFD Management Notification</w:t>
      </w:r>
      <w:bookmarkEnd w:id="8281"/>
      <w:bookmarkEnd w:id="8282"/>
      <w:bookmarkEnd w:id="8283"/>
      <w:bookmarkEnd w:id="8284"/>
      <w:bookmarkEnd w:id="8285"/>
      <w:bookmarkEnd w:id="8286"/>
    </w:p>
    <w:p w:rsidR="00CB0DD7" w:rsidRPr="000A0A5F" w:rsidRDefault="00CB0DD7">
      <w:pPr>
        <w:pStyle w:val="Heading5"/>
        <w:rPr>
          <w:noProof/>
          <w:lang w:val="fr-FR"/>
        </w:rPr>
      </w:pPr>
      <w:bookmarkStart w:id="8287" w:name="_Toc66360922"/>
      <w:bookmarkStart w:id="8288" w:name="_Toc68105427"/>
      <w:bookmarkStart w:id="8289" w:name="_Toc74756057"/>
      <w:bookmarkStart w:id="8290" w:name="_Toc105674934"/>
      <w:bookmarkStart w:id="8291" w:name="_Toc130502998"/>
      <w:bookmarkStart w:id="8292" w:name="_Toc153625786"/>
      <w:r w:rsidRPr="000A0A5F">
        <w:rPr>
          <w:lang w:val="fr-FR"/>
        </w:rPr>
        <w:t>5.11.</w:t>
      </w:r>
      <w:r w:rsidR="0008146A" w:rsidRPr="000A0A5F">
        <w:rPr>
          <w:lang w:val="fr-FR"/>
        </w:rPr>
        <w:t>3A</w:t>
      </w:r>
      <w:r w:rsidRPr="000A0A5F">
        <w:rPr>
          <w:lang w:val="fr-FR"/>
        </w:rPr>
        <w:t>.2</w:t>
      </w:r>
      <w:r w:rsidRPr="000A0A5F">
        <w:rPr>
          <w:noProof/>
          <w:lang w:val="fr-FR"/>
        </w:rPr>
        <w:t>.1</w:t>
      </w:r>
      <w:r w:rsidRPr="000A0A5F">
        <w:rPr>
          <w:noProof/>
          <w:lang w:val="fr-FR"/>
        </w:rPr>
        <w:tab/>
        <w:t>Description</w:t>
      </w:r>
      <w:bookmarkEnd w:id="8287"/>
      <w:bookmarkEnd w:id="8288"/>
      <w:bookmarkEnd w:id="8289"/>
      <w:bookmarkEnd w:id="8290"/>
      <w:bookmarkEnd w:id="8291"/>
      <w:bookmarkEnd w:id="8292"/>
    </w:p>
    <w:p w:rsidR="00CB0DD7" w:rsidRPr="000A0A5F" w:rsidRDefault="00CB0DD7">
      <w:pPr>
        <w:rPr>
          <w:noProof/>
          <w:lang w:eastAsia="zh-CN"/>
        </w:rPr>
      </w:pPr>
      <w:r w:rsidRPr="000A0A5F">
        <w:rPr>
          <w:noProof/>
          <w:lang w:eastAsia="zh-CN"/>
        </w:rPr>
        <w:t xml:space="preserve">The </w:t>
      </w:r>
      <w:r w:rsidRPr="000A0A5F">
        <w:t>PFD Management Notification</w:t>
      </w:r>
      <w:r w:rsidRPr="000A0A5F">
        <w:rPr>
          <w:noProof/>
          <w:lang w:eastAsia="zh-CN"/>
        </w:rPr>
        <w:t xml:space="preserve"> allows t</w:t>
      </w:r>
      <w:r w:rsidRPr="000A0A5F">
        <w:rPr>
          <w:rFonts w:hint="eastAsia"/>
          <w:noProof/>
          <w:lang w:eastAsia="zh-CN"/>
        </w:rPr>
        <w:t xml:space="preserve">he </w:t>
      </w:r>
      <w:r w:rsidRPr="000A0A5F">
        <w:rPr>
          <w:noProof/>
          <w:lang w:eastAsia="zh-CN"/>
        </w:rPr>
        <w:t xml:space="preserve">SCEF to send notification about PFD management result to the </w:t>
      </w:r>
      <w:r w:rsidRPr="000A0A5F">
        <w:rPr>
          <w:rFonts w:hint="eastAsia"/>
          <w:noProof/>
          <w:lang w:eastAsia="zh-CN"/>
        </w:rPr>
        <w:t>SCS/AS</w:t>
      </w:r>
      <w:r w:rsidRPr="000A0A5F">
        <w:rPr>
          <w:noProof/>
          <w:lang w:eastAsia="zh-CN"/>
        </w:rPr>
        <w:t xml:space="preserve">, if the PFD provisioning fails within the allowed delay. </w:t>
      </w:r>
    </w:p>
    <w:p w:rsidR="00CB0DD7" w:rsidRPr="000A0A5F" w:rsidRDefault="00CB0DD7">
      <w:pPr>
        <w:pStyle w:val="Heading5"/>
        <w:rPr>
          <w:noProof/>
        </w:rPr>
      </w:pPr>
      <w:bookmarkStart w:id="8293" w:name="_Toc66360923"/>
      <w:bookmarkStart w:id="8294" w:name="_Toc68105428"/>
      <w:bookmarkStart w:id="8295" w:name="_Toc74756058"/>
      <w:bookmarkStart w:id="8296" w:name="_Toc105674935"/>
      <w:bookmarkStart w:id="8297" w:name="_Toc130502999"/>
      <w:bookmarkStart w:id="8298" w:name="_Toc153625787"/>
      <w:r w:rsidRPr="000A0A5F">
        <w:t>5.11.</w:t>
      </w:r>
      <w:r w:rsidR="0008146A" w:rsidRPr="000A0A5F">
        <w:t>3A</w:t>
      </w:r>
      <w:r w:rsidRPr="000A0A5F">
        <w:t>.2</w:t>
      </w:r>
      <w:r w:rsidRPr="000A0A5F">
        <w:rPr>
          <w:noProof/>
        </w:rPr>
        <w:t>.2</w:t>
      </w:r>
      <w:r w:rsidRPr="000A0A5F">
        <w:rPr>
          <w:noProof/>
        </w:rPr>
        <w:tab/>
        <w:t>Target URI</w:t>
      </w:r>
      <w:bookmarkEnd w:id="8293"/>
      <w:bookmarkEnd w:id="8294"/>
      <w:bookmarkEnd w:id="8295"/>
      <w:bookmarkEnd w:id="8296"/>
      <w:bookmarkEnd w:id="8297"/>
      <w:bookmarkEnd w:id="8298"/>
    </w:p>
    <w:p w:rsidR="00CB0DD7" w:rsidRPr="000A0A5F" w:rsidRDefault="00CB0DD7">
      <w:pPr>
        <w:rPr>
          <w:rFonts w:ascii="Arial" w:hAnsi="Arial" w:cs="Arial"/>
          <w:noProof/>
        </w:rPr>
      </w:pPr>
      <w:r w:rsidRPr="000A0A5F">
        <w:rPr>
          <w:noProof/>
        </w:rPr>
        <w:t xml:space="preserve">The Callback URI </w:t>
      </w:r>
      <w:r w:rsidRPr="000A0A5F">
        <w:rPr>
          <w:b/>
          <w:noProof/>
        </w:rPr>
        <w:t>"{</w:t>
      </w:r>
      <w:r w:rsidRPr="000A0A5F">
        <w:rPr>
          <w:rFonts w:hint="eastAsia"/>
          <w:lang w:eastAsia="zh-CN"/>
        </w:rPr>
        <w:t>notificationDestination</w:t>
      </w:r>
      <w:r w:rsidRPr="000A0A5F">
        <w:rPr>
          <w:b/>
          <w:noProof/>
        </w:rPr>
        <w:t>}"</w:t>
      </w:r>
      <w:r w:rsidRPr="000A0A5F">
        <w:rPr>
          <w:noProof/>
        </w:rPr>
        <w:t xml:space="preserve"> shall be used with the callback URI variables defined in table </w:t>
      </w:r>
      <w:r w:rsidRPr="000A0A5F">
        <w:t>5.11.</w:t>
      </w:r>
      <w:r w:rsidR="0008146A" w:rsidRPr="000A0A5F">
        <w:t>3A</w:t>
      </w:r>
      <w:r w:rsidRPr="000A0A5F">
        <w:t>.2</w:t>
      </w:r>
      <w:r w:rsidRPr="000A0A5F">
        <w:rPr>
          <w:noProof/>
        </w:rPr>
        <w:t>.2-1</w:t>
      </w:r>
      <w:r w:rsidRPr="000A0A5F">
        <w:rPr>
          <w:rFonts w:ascii="Arial" w:hAnsi="Arial" w:cs="Arial"/>
          <w:noProof/>
        </w:rPr>
        <w:t>.</w:t>
      </w:r>
    </w:p>
    <w:p w:rsidR="00CB0DD7" w:rsidRPr="000A0A5F" w:rsidRDefault="00CB0DD7">
      <w:pPr>
        <w:pStyle w:val="TH"/>
        <w:rPr>
          <w:rFonts w:cs="Arial"/>
          <w:noProof/>
        </w:rPr>
      </w:pPr>
      <w:r w:rsidRPr="000A0A5F">
        <w:rPr>
          <w:noProof/>
        </w:rPr>
        <w:t>Table </w:t>
      </w:r>
      <w:r w:rsidRPr="000A0A5F">
        <w:t>5.11.</w:t>
      </w:r>
      <w:r w:rsidR="0008146A" w:rsidRPr="000A0A5F">
        <w:t>3A</w:t>
      </w:r>
      <w:r w:rsidRPr="000A0A5F">
        <w:t>.2</w:t>
      </w:r>
      <w:r w:rsidRPr="000A0A5F">
        <w:rPr>
          <w:noProof/>
        </w:rPr>
        <w:t>.2-1: Callback URI variables</w:t>
      </w:r>
    </w:p>
    <w:tbl>
      <w:tblPr>
        <w:tblW w:w="494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970"/>
        <w:gridCol w:w="1312"/>
        <w:gridCol w:w="6378"/>
      </w:tblGrid>
      <w:tr w:rsidR="00CB0DD7" w:rsidRPr="000A0A5F" w:rsidTr="00FF0AF8">
        <w:trPr>
          <w:jc w:val="center"/>
        </w:trPr>
        <w:tc>
          <w:tcPr>
            <w:tcW w:w="1020" w:type="pct"/>
            <w:shd w:val="clear" w:color="000000" w:fill="C0C0C0"/>
          </w:tcPr>
          <w:p w:rsidR="00CB0DD7" w:rsidRPr="000A0A5F" w:rsidRDefault="00CB0DD7">
            <w:pPr>
              <w:pStyle w:val="TAH"/>
            </w:pPr>
            <w:r w:rsidRPr="000A0A5F">
              <w:t>Name</w:t>
            </w:r>
          </w:p>
        </w:tc>
        <w:tc>
          <w:tcPr>
            <w:tcW w:w="679" w:type="pct"/>
            <w:shd w:val="clear" w:color="000000" w:fill="C0C0C0"/>
          </w:tcPr>
          <w:p w:rsidR="00CB0DD7" w:rsidRPr="000A0A5F" w:rsidRDefault="00CB0DD7">
            <w:pPr>
              <w:pStyle w:val="TAH"/>
            </w:pPr>
            <w:r w:rsidRPr="000A0A5F">
              <w:rPr>
                <w:rFonts w:hint="eastAsia"/>
                <w:lang w:eastAsia="zh-CN"/>
              </w:rPr>
              <w:t>D</w:t>
            </w:r>
            <w:r w:rsidRPr="000A0A5F">
              <w:rPr>
                <w:lang w:eastAsia="zh-CN"/>
              </w:rPr>
              <w:t>ata type</w:t>
            </w:r>
          </w:p>
        </w:tc>
        <w:tc>
          <w:tcPr>
            <w:tcW w:w="3301" w:type="pct"/>
            <w:shd w:val="clear" w:color="000000" w:fill="C0C0C0"/>
            <w:vAlign w:val="center"/>
          </w:tcPr>
          <w:p w:rsidR="00CB0DD7" w:rsidRPr="000A0A5F" w:rsidRDefault="00CB0DD7">
            <w:pPr>
              <w:pStyle w:val="TAH"/>
            </w:pPr>
            <w:r w:rsidRPr="000A0A5F">
              <w:t>Definition</w:t>
            </w:r>
          </w:p>
        </w:tc>
      </w:tr>
      <w:tr w:rsidR="00CB0DD7" w:rsidRPr="000A0A5F" w:rsidTr="00FF0AF8">
        <w:trPr>
          <w:jc w:val="center"/>
        </w:trPr>
        <w:tc>
          <w:tcPr>
            <w:tcW w:w="1020" w:type="pct"/>
            <w:shd w:val="clear" w:color="auto" w:fill="auto"/>
          </w:tcPr>
          <w:p w:rsidR="00CB0DD7" w:rsidRPr="000A0A5F" w:rsidRDefault="00CB0DD7">
            <w:pPr>
              <w:pStyle w:val="TAL"/>
              <w:rPr>
                <w:lang w:eastAsia="zh-CN"/>
              </w:rPr>
            </w:pPr>
            <w:r w:rsidRPr="000A0A5F">
              <w:rPr>
                <w:rFonts w:hint="eastAsia"/>
                <w:lang w:eastAsia="zh-CN"/>
              </w:rPr>
              <w:t>notificationDestination</w:t>
            </w:r>
          </w:p>
        </w:tc>
        <w:tc>
          <w:tcPr>
            <w:tcW w:w="679" w:type="pct"/>
          </w:tcPr>
          <w:p w:rsidR="00CB0DD7" w:rsidRPr="000A0A5F" w:rsidRDefault="00CB0DD7">
            <w:pPr>
              <w:pStyle w:val="TAL"/>
            </w:pPr>
            <w:r w:rsidRPr="000A0A5F">
              <w:rPr>
                <w:rFonts w:hint="eastAsia"/>
                <w:lang w:eastAsia="zh-CN"/>
              </w:rPr>
              <w:t>L</w:t>
            </w:r>
            <w:r w:rsidRPr="000A0A5F">
              <w:rPr>
                <w:lang w:eastAsia="zh-CN"/>
              </w:rPr>
              <w:t>ink</w:t>
            </w:r>
          </w:p>
        </w:tc>
        <w:tc>
          <w:tcPr>
            <w:tcW w:w="3301" w:type="pct"/>
            <w:shd w:val="clear" w:color="auto" w:fill="auto"/>
            <w:vAlign w:val="center"/>
          </w:tcPr>
          <w:p w:rsidR="00CB0DD7" w:rsidRPr="000A0A5F" w:rsidRDefault="00CB0DD7">
            <w:pPr>
              <w:pStyle w:val="TAL"/>
            </w:pPr>
            <w:r w:rsidRPr="000A0A5F">
              <w:t>Callback reference provided by the SCS/AS during creation or modification of the PFD management transaction.</w:t>
            </w:r>
          </w:p>
        </w:tc>
      </w:tr>
    </w:tbl>
    <w:p w:rsidR="00CB0DD7" w:rsidRPr="000A0A5F" w:rsidRDefault="00CB0DD7"/>
    <w:p w:rsidR="00CB0DD7" w:rsidRPr="000A0A5F" w:rsidRDefault="00CB0DD7">
      <w:pPr>
        <w:pStyle w:val="Heading5"/>
        <w:rPr>
          <w:noProof/>
        </w:rPr>
      </w:pPr>
      <w:bookmarkStart w:id="8299" w:name="_Toc66360924"/>
      <w:bookmarkStart w:id="8300" w:name="_Toc68105429"/>
      <w:bookmarkStart w:id="8301" w:name="_Toc74756059"/>
      <w:bookmarkStart w:id="8302" w:name="_Toc105674936"/>
      <w:bookmarkStart w:id="8303" w:name="_Toc130503000"/>
      <w:bookmarkStart w:id="8304" w:name="_Toc153625788"/>
      <w:r w:rsidRPr="000A0A5F">
        <w:t>5.11.</w:t>
      </w:r>
      <w:r w:rsidR="0008146A" w:rsidRPr="000A0A5F">
        <w:t>3A</w:t>
      </w:r>
      <w:r w:rsidRPr="000A0A5F">
        <w:t>.2</w:t>
      </w:r>
      <w:r w:rsidRPr="000A0A5F">
        <w:rPr>
          <w:noProof/>
        </w:rPr>
        <w:t>.3</w:t>
      </w:r>
      <w:r w:rsidRPr="000A0A5F">
        <w:rPr>
          <w:noProof/>
        </w:rPr>
        <w:tab/>
        <w:t>Standard Methods</w:t>
      </w:r>
      <w:bookmarkEnd w:id="8299"/>
      <w:bookmarkEnd w:id="8300"/>
      <w:bookmarkEnd w:id="8301"/>
      <w:bookmarkEnd w:id="8302"/>
      <w:bookmarkEnd w:id="8303"/>
      <w:bookmarkEnd w:id="8304"/>
    </w:p>
    <w:p w:rsidR="00CB0DD7" w:rsidRPr="000A0A5F" w:rsidRDefault="00CB0DD7">
      <w:pPr>
        <w:pStyle w:val="Heading6"/>
        <w:rPr>
          <w:noProof/>
        </w:rPr>
      </w:pPr>
      <w:bookmarkStart w:id="8305" w:name="_Toc66360925"/>
      <w:bookmarkStart w:id="8306" w:name="_Toc68105430"/>
      <w:bookmarkStart w:id="8307" w:name="_Toc74756060"/>
      <w:bookmarkStart w:id="8308" w:name="_Toc105674937"/>
      <w:bookmarkStart w:id="8309" w:name="_Toc130503001"/>
      <w:bookmarkStart w:id="8310" w:name="_Toc153625789"/>
      <w:r w:rsidRPr="000A0A5F">
        <w:t>5.11.</w:t>
      </w:r>
      <w:r w:rsidR="0008146A" w:rsidRPr="000A0A5F">
        <w:t>3A</w:t>
      </w:r>
      <w:r w:rsidRPr="000A0A5F">
        <w:t>.2.3</w:t>
      </w:r>
      <w:r w:rsidRPr="000A0A5F">
        <w:rPr>
          <w:noProof/>
        </w:rPr>
        <w:t>.1</w:t>
      </w:r>
      <w:r w:rsidRPr="000A0A5F">
        <w:rPr>
          <w:noProof/>
        </w:rPr>
        <w:tab/>
      </w:r>
      <w:r w:rsidRPr="000A0A5F">
        <w:t>Notification via POST</w:t>
      </w:r>
      <w:bookmarkEnd w:id="8305"/>
      <w:bookmarkEnd w:id="8306"/>
      <w:bookmarkEnd w:id="8307"/>
      <w:bookmarkEnd w:id="8308"/>
      <w:bookmarkEnd w:id="8309"/>
      <w:bookmarkEnd w:id="8310"/>
    </w:p>
    <w:p w:rsidR="00CB0DD7" w:rsidRPr="000A0A5F" w:rsidRDefault="00CB0DD7">
      <w:pPr>
        <w:rPr>
          <w:noProof/>
          <w:lang w:eastAsia="zh-CN"/>
        </w:rPr>
      </w:pPr>
      <w:r w:rsidRPr="000A0A5F">
        <w:rPr>
          <w:noProof/>
          <w:lang w:eastAsia="zh-CN"/>
        </w:rPr>
        <w:t>The HTTP POST method reports the asynchronous PFD management result. The SCEF shall initiate the HTTP POST request message and the SCS/AS shall respond to the message.</w:t>
      </w:r>
    </w:p>
    <w:p w:rsidR="00CB0DD7" w:rsidRPr="000A0A5F" w:rsidRDefault="00CB0DD7">
      <w:pPr>
        <w:rPr>
          <w:noProof/>
        </w:rPr>
      </w:pPr>
      <w:r w:rsidRPr="000A0A5F">
        <w:rPr>
          <w:noProof/>
        </w:rPr>
        <w:t>This method shall support the request data structures specified in table </w:t>
      </w:r>
      <w:r w:rsidRPr="000A0A5F">
        <w:t>5.11.</w:t>
      </w:r>
      <w:r w:rsidR="0008146A" w:rsidRPr="000A0A5F">
        <w:t>3A</w:t>
      </w:r>
      <w:r w:rsidRPr="000A0A5F">
        <w:t>.2</w:t>
      </w:r>
      <w:r w:rsidRPr="000A0A5F">
        <w:rPr>
          <w:noProof/>
        </w:rPr>
        <w:t>.3.1-1 and the response data structures and response codes specified in table </w:t>
      </w:r>
      <w:r w:rsidRPr="000A0A5F">
        <w:t>5.11.</w:t>
      </w:r>
      <w:r w:rsidR="0008146A" w:rsidRPr="000A0A5F">
        <w:t>3A</w:t>
      </w:r>
      <w:r w:rsidRPr="000A0A5F">
        <w:t>.2</w:t>
      </w:r>
      <w:r w:rsidRPr="000A0A5F">
        <w:rPr>
          <w:noProof/>
        </w:rPr>
        <w:t>.3.1-2.</w:t>
      </w:r>
    </w:p>
    <w:p w:rsidR="00CB0DD7" w:rsidRPr="000A0A5F" w:rsidRDefault="00CB0DD7">
      <w:pPr>
        <w:pStyle w:val="TH"/>
        <w:rPr>
          <w:noProof/>
        </w:rPr>
      </w:pPr>
      <w:r w:rsidRPr="000A0A5F">
        <w:rPr>
          <w:noProof/>
        </w:rPr>
        <w:t>Table </w:t>
      </w:r>
      <w:r w:rsidRPr="000A0A5F">
        <w:t>5.11.</w:t>
      </w:r>
      <w:r w:rsidR="0008146A" w:rsidRPr="000A0A5F">
        <w:t>3A</w:t>
      </w:r>
      <w:r w:rsidRPr="000A0A5F">
        <w:t>.2</w:t>
      </w:r>
      <w:r w:rsidRPr="000A0A5F">
        <w:rPr>
          <w:noProof/>
        </w:rPr>
        <w:t>.3.1-1: Data structures supported by the POST Request Body</w:t>
      </w:r>
    </w:p>
    <w:tbl>
      <w:tblPr>
        <w:tblW w:w="9670" w:type="dxa"/>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3340"/>
        <w:gridCol w:w="1170"/>
        <w:gridCol w:w="5160"/>
      </w:tblGrid>
      <w:tr w:rsidR="00CB0DD7" w:rsidRPr="000A0A5F" w:rsidTr="00846044">
        <w:trPr>
          <w:jc w:val="center"/>
        </w:trPr>
        <w:tc>
          <w:tcPr>
            <w:tcW w:w="3340" w:type="dxa"/>
            <w:tcBorders>
              <w:bottom w:val="single" w:sz="6" w:space="0" w:color="auto"/>
            </w:tcBorders>
            <w:shd w:val="clear" w:color="auto" w:fill="C0C0C0"/>
            <w:hideMark/>
          </w:tcPr>
          <w:p w:rsidR="00CB0DD7" w:rsidRPr="000A0A5F" w:rsidRDefault="00CB0DD7">
            <w:pPr>
              <w:pStyle w:val="TAH"/>
              <w:rPr>
                <w:noProof/>
              </w:rPr>
            </w:pPr>
            <w:r w:rsidRPr="000A0A5F">
              <w:rPr>
                <w:noProof/>
              </w:rPr>
              <w:t>Data type</w:t>
            </w:r>
          </w:p>
        </w:tc>
        <w:tc>
          <w:tcPr>
            <w:tcW w:w="1170" w:type="dxa"/>
            <w:tcBorders>
              <w:bottom w:val="single" w:sz="6" w:space="0" w:color="auto"/>
            </w:tcBorders>
            <w:shd w:val="clear" w:color="auto" w:fill="C0C0C0"/>
            <w:hideMark/>
          </w:tcPr>
          <w:p w:rsidR="00CB0DD7" w:rsidRPr="000A0A5F" w:rsidRDefault="00CB0DD7">
            <w:pPr>
              <w:pStyle w:val="TAH"/>
              <w:rPr>
                <w:noProof/>
              </w:rPr>
            </w:pPr>
            <w:r w:rsidRPr="000A0A5F">
              <w:rPr>
                <w:noProof/>
              </w:rPr>
              <w:t>Cardinality</w:t>
            </w:r>
          </w:p>
        </w:tc>
        <w:tc>
          <w:tcPr>
            <w:tcW w:w="5160" w:type="dxa"/>
            <w:tcBorders>
              <w:bottom w:val="single" w:sz="6" w:space="0" w:color="auto"/>
            </w:tcBorders>
            <w:shd w:val="clear" w:color="auto" w:fill="C0C0C0"/>
            <w:vAlign w:val="center"/>
            <w:hideMark/>
          </w:tcPr>
          <w:p w:rsidR="00CB0DD7" w:rsidRPr="000A0A5F" w:rsidRDefault="00CB0DD7">
            <w:pPr>
              <w:pStyle w:val="TAH"/>
              <w:rPr>
                <w:noProof/>
              </w:rPr>
            </w:pPr>
            <w:r w:rsidRPr="000A0A5F">
              <w:rPr>
                <w:noProof/>
              </w:rPr>
              <w:t>Description</w:t>
            </w:r>
          </w:p>
        </w:tc>
      </w:tr>
      <w:tr w:rsidR="00CB0DD7" w:rsidRPr="000A0A5F" w:rsidTr="00846044">
        <w:trPr>
          <w:jc w:val="center"/>
        </w:trPr>
        <w:tc>
          <w:tcPr>
            <w:tcW w:w="3340" w:type="dxa"/>
            <w:tcBorders>
              <w:top w:val="single" w:sz="6" w:space="0" w:color="auto"/>
            </w:tcBorders>
          </w:tcPr>
          <w:p w:rsidR="00CB0DD7" w:rsidRPr="000A0A5F" w:rsidRDefault="00CB0DD7">
            <w:pPr>
              <w:pStyle w:val="TAL"/>
              <w:rPr>
                <w:noProof/>
              </w:rPr>
            </w:pPr>
            <w:r w:rsidRPr="000A0A5F">
              <w:t>PfdReport</w:t>
            </w:r>
          </w:p>
        </w:tc>
        <w:tc>
          <w:tcPr>
            <w:tcW w:w="1170" w:type="dxa"/>
            <w:tcBorders>
              <w:top w:val="single" w:sz="6" w:space="0" w:color="auto"/>
            </w:tcBorders>
          </w:tcPr>
          <w:p w:rsidR="00CB0DD7" w:rsidRPr="000A0A5F" w:rsidRDefault="00CB0DD7">
            <w:pPr>
              <w:pStyle w:val="TAC"/>
              <w:rPr>
                <w:noProof/>
                <w:lang w:eastAsia="zh-CN"/>
              </w:rPr>
            </w:pPr>
            <w:r w:rsidRPr="000A0A5F">
              <w:rPr>
                <w:rFonts w:hint="eastAsia"/>
                <w:lang w:eastAsia="zh-CN"/>
              </w:rPr>
              <w:t>1</w:t>
            </w:r>
            <w:r w:rsidRPr="000A0A5F">
              <w:rPr>
                <w:lang w:eastAsia="zh-CN"/>
              </w:rPr>
              <w:t>..N</w:t>
            </w:r>
          </w:p>
        </w:tc>
        <w:tc>
          <w:tcPr>
            <w:tcW w:w="5160" w:type="dxa"/>
            <w:tcBorders>
              <w:top w:val="single" w:sz="6" w:space="0" w:color="auto"/>
            </w:tcBorders>
          </w:tcPr>
          <w:p w:rsidR="00CB0DD7" w:rsidRPr="000A0A5F" w:rsidRDefault="00CB0DD7">
            <w:pPr>
              <w:pStyle w:val="TAL"/>
              <w:rPr>
                <w:noProof/>
              </w:rPr>
            </w:pPr>
            <w:r w:rsidRPr="000A0A5F">
              <w:rPr>
                <w:lang w:eastAsia="zh-CN"/>
              </w:rPr>
              <w:t>T</w:t>
            </w:r>
            <w:r w:rsidRPr="000A0A5F">
              <w:rPr>
                <w:rFonts w:hint="eastAsia"/>
                <w:lang w:eastAsia="zh-CN"/>
              </w:rPr>
              <w:t xml:space="preserve">he </w:t>
            </w:r>
            <w:r w:rsidRPr="000A0A5F">
              <w:rPr>
                <w:lang w:eastAsia="zh-CN"/>
              </w:rPr>
              <w:t xml:space="preserve">PFD management </w:t>
            </w:r>
            <w:r w:rsidRPr="000A0A5F">
              <w:rPr>
                <w:rFonts w:hint="eastAsia"/>
                <w:lang w:eastAsia="zh-CN"/>
              </w:rPr>
              <w:t>notification provided by the SCEF</w:t>
            </w:r>
            <w:r w:rsidRPr="000A0A5F">
              <w:rPr>
                <w:lang w:eastAsia="zh-CN"/>
              </w:rPr>
              <w:t>.</w:t>
            </w:r>
          </w:p>
        </w:tc>
      </w:tr>
    </w:tbl>
    <w:p w:rsidR="00CB0DD7" w:rsidRPr="000A0A5F" w:rsidRDefault="00CB0DD7">
      <w:pPr>
        <w:rPr>
          <w:noProof/>
        </w:rPr>
      </w:pPr>
    </w:p>
    <w:p w:rsidR="00CB0DD7" w:rsidRPr="000A0A5F" w:rsidRDefault="00CB0DD7">
      <w:pPr>
        <w:pStyle w:val="TH"/>
        <w:rPr>
          <w:noProof/>
        </w:rPr>
      </w:pPr>
      <w:r w:rsidRPr="000A0A5F">
        <w:rPr>
          <w:noProof/>
        </w:rPr>
        <w:t>Table </w:t>
      </w:r>
      <w:r w:rsidRPr="000A0A5F">
        <w:t>5.11.</w:t>
      </w:r>
      <w:r w:rsidR="0008146A" w:rsidRPr="000A0A5F">
        <w:t>3A</w:t>
      </w:r>
      <w:r w:rsidRPr="000A0A5F">
        <w:t>.2</w:t>
      </w:r>
      <w:r w:rsidRPr="000A0A5F">
        <w:rPr>
          <w:noProof/>
        </w:rPr>
        <w:t>.3.1-2: Data structures supported by the POST Response Body</w:t>
      </w:r>
    </w:p>
    <w:tbl>
      <w:tblPr>
        <w:tblW w:w="961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293"/>
        <w:gridCol w:w="1259"/>
        <w:gridCol w:w="1441"/>
        <w:gridCol w:w="4619"/>
      </w:tblGrid>
      <w:tr w:rsidR="00CB0DD7" w:rsidRPr="000A0A5F" w:rsidTr="00FF0AF8">
        <w:trPr>
          <w:jc w:val="center"/>
        </w:trPr>
        <w:tc>
          <w:tcPr>
            <w:tcW w:w="2293" w:type="dxa"/>
            <w:shd w:val="clear" w:color="auto" w:fill="C0C0C0"/>
            <w:hideMark/>
          </w:tcPr>
          <w:p w:rsidR="00CB0DD7" w:rsidRPr="000A0A5F" w:rsidRDefault="00CB0DD7">
            <w:pPr>
              <w:pStyle w:val="TAH"/>
              <w:rPr>
                <w:noProof/>
              </w:rPr>
            </w:pPr>
            <w:r w:rsidRPr="000A0A5F">
              <w:rPr>
                <w:noProof/>
              </w:rPr>
              <w:t>Data type</w:t>
            </w:r>
          </w:p>
        </w:tc>
        <w:tc>
          <w:tcPr>
            <w:tcW w:w="1259" w:type="dxa"/>
            <w:shd w:val="clear" w:color="auto" w:fill="C0C0C0"/>
            <w:hideMark/>
          </w:tcPr>
          <w:p w:rsidR="00CB0DD7" w:rsidRPr="000A0A5F" w:rsidRDefault="00CB0DD7">
            <w:pPr>
              <w:pStyle w:val="TAH"/>
              <w:rPr>
                <w:noProof/>
              </w:rPr>
            </w:pPr>
            <w:r w:rsidRPr="000A0A5F">
              <w:rPr>
                <w:noProof/>
              </w:rPr>
              <w:t>Cardinality</w:t>
            </w:r>
          </w:p>
        </w:tc>
        <w:tc>
          <w:tcPr>
            <w:tcW w:w="1441" w:type="dxa"/>
            <w:shd w:val="clear" w:color="auto" w:fill="C0C0C0"/>
            <w:hideMark/>
          </w:tcPr>
          <w:p w:rsidR="00CB0DD7" w:rsidRPr="000A0A5F" w:rsidRDefault="00CB0DD7">
            <w:pPr>
              <w:pStyle w:val="TAH"/>
              <w:rPr>
                <w:noProof/>
              </w:rPr>
            </w:pPr>
            <w:r w:rsidRPr="000A0A5F">
              <w:rPr>
                <w:noProof/>
              </w:rPr>
              <w:t>Response codes</w:t>
            </w:r>
          </w:p>
        </w:tc>
        <w:tc>
          <w:tcPr>
            <w:tcW w:w="4619" w:type="dxa"/>
            <w:shd w:val="clear" w:color="auto" w:fill="C0C0C0"/>
            <w:hideMark/>
          </w:tcPr>
          <w:p w:rsidR="00CB0DD7" w:rsidRPr="000A0A5F" w:rsidRDefault="00CB0DD7">
            <w:pPr>
              <w:pStyle w:val="TAH"/>
              <w:rPr>
                <w:noProof/>
              </w:rPr>
            </w:pPr>
            <w:r w:rsidRPr="000A0A5F">
              <w:rPr>
                <w:noProof/>
              </w:rPr>
              <w:t>Description</w:t>
            </w:r>
          </w:p>
        </w:tc>
      </w:tr>
      <w:tr w:rsidR="00CB0DD7" w:rsidRPr="000A0A5F" w:rsidTr="00FF0AF8">
        <w:trPr>
          <w:jc w:val="center"/>
        </w:trPr>
        <w:tc>
          <w:tcPr>
            <w:tcW w:w="2293" w:type="dxa"/>
          </w:tcPr>
          <w:p w:rsidR="00CB0DD7" w:rsidRPr="000A0A5F" w:rsidRDefault="00CB0DD7">
            <w:pPr>
              <w:pStyle w:val="TAL"/>
              <w:rPr>
                <w:noProof/>
              </w:rPr>
            </w:pPr>
            <w:r w:rsidRPr="000A0A5F">
              <w:t>none</w:t>
            </w:r>
          </w:p>
        </w:tc>
        <w:tc>
          <w:tcPr>
            <w:tcW w:w="1259" w:type="dxa"/>
          </w:tcPr>
          <w:p w:rsidR="00CB0DD7" w:rsidRPr="000A0A5F" w:rsidRDefault="00CB0DD7">
            <w:pPr>
              <w:pStyle w:val="TAC"/>
              <w:rPr>
                <w:noProof/>
              </w:rPr>
            </w:pPr>
          </w:p>
        </w:tc>
        <w:tc>
          <w:tcPr>
            <w:tcW w:w="1441" w:type="dxa"/>
          </w:tcPr>
          <w:p w:rsidR="00CB0DD7" w:rsidRPr="000A0A5F" w:rsidRDefault="00CB0DD7">
            <w:pPr>
              <w:pStyle w:val="TAL"/>
              <w:rPr>
                <w:noProof/>
              </w:rPr>
            </w:pPr>
            <w:r w:rsidRPr="000A0A5F">
              <w:t>204 No Content</w:t>
            </w:r>
          </w:p>
        </w:tc>
        <w:tc>
          <w:tcPr>
            <w:tcW w:w="4619" w:type="dxa"/>
          </w:tcPr>
          <w:p w:rsidR="00CB0DD7" w:rsidRPr="000A0A5F" w:rsidRDefault="00CB0DD7">
            <w:pPr>
              <w:pStyle w:val="TAL"/>
              <w:rPr>
                <w:noProof/>
              </w:rPr>
            </w:pPr>
            <w:r w:rsidRPr="000A0A5F">
              <w:t>The PFD management notification is received successfully.</w:t>
            </w:r>
          </w:p>
        </w:tc>
      </w:tr>
      <w:tr w:rsidR="00CB0DD7" w:rsidRPr="000A0A5F" w:rsidTr="00FF0AF8">
        <w:trPr>
          <w:jc w:val="center"/>
        </w:trPr>
        <w:tc>
          <w:tcPr>
            <w:tcW w:w="2293" w:type="dxa"/>
          </w:tcPr>
          <w:p w:rsidR="00CB0DD7" w:rsidRPr="000A0A5F" w:rsidRDefault="00CB0DD7">
            <w:pPr>
              <w:pStyle w:val="TAL"/>
            </w:pPr>
            <w:r w:rsidRPr="000A0A5F">
              <w:t>none</w:t>
            </w:r>
          </w:p>
        </w:tc>
        <w:tc>
          <w:tcPr>
            <w:tcW w:w="1259" w:type="dxa"/>
          </w:tcPr>
          <w:p w:rsidR="00CB0DD7" w:rsidRPr="000A0A5F" w:rsidRDefault="00CB0DD7">
            <w:pPr>
              <w:pStyle w:val="TAC"/>
              <w:rPr>
                <w:noProof/>
              </w:rPr>
            </w:pPr>
          </w:p>
        </w:tc>
        <w:tc>
          <w:tcPr>
            <w:tcW w:w="1441" w:type="dxa"/>
          </w:tcPr>
          <w:p w:rsidR="00CB0DD7" w:rsidRPr="000A0A5F" w:rsidRDefault="00CB0DD7">
            <w:pPr>
              <w:pStyle w:val="TAL"/>
            </w:pPr>
            <w:r w:rsidRPr="000A0A5F">
              <w:t>307 Temporary Redirect</w:t>
            </w:r>
          </w:p>
        </w:tc>
        <w:tc>
          <w:tcPr>
            <w:tcW w:w="4619" w:type="dxa"/>
          </w:tcPr>
          <w:p w:rsidR="00CB0DD7" w:rsidRPr="000A0A5F" w:rsidRDefault="00CB0DD7">
            <w:pPr>
              <w:pStyle w:val="TAL"/>
            </w:pPr>
            <w:r w:rsidRPr="000A0A5F">
              <w:t>Temporary redirection, during notification. The response shall include a Location header field containing an alternative URI representing the end point of an alternative SCS/AS where the notification should be sent.</w:t>
            </w:r>
          </w:p>
          <w:p w:rsidR="00CB0DD7" w:rsidRPr="000A0A5F" w:rsidRDefault="00CB0DD7">
            <w:pPr>
              <w:pStyle w:val="TAL"/>
            </w:pPr>
            <w:r w:rsidRPr="000A0A5F">
              <w:t>Redirection handling is described in clause 5.2.10.</w:t>
            </w:r>
          </w:p>
        </w:tc>
      </w:tr>
      <w:tr w:rsidR="00CB0DD7" w:rsidRPr="000A0A5F" w:rsidTr="00FF0AF8">
        <w:trPr>
          <w:jc w:val="center"/>
        </w:trPr>
        <w:tc>
          <w:tcPr>
            <w:tcW w:w="2293" w:type="dxa"/>
          </w:tcPr>
          <w:p w:rsidR="00CB0DD7" w:rsidRPr="000A0A5F" w:rsidRDefault="00CB0DD7">
            <w:pPr>
              <w:pStyle w:val="TAL"/>
            </w:pPr>
            <w:r w:rsidRPr="000A0A5F">
              <w:t>none</w:t>
            </w:r>
          </w:p>
        </w:tc>
        <w:tc>
          <w:tcPr>
            <w:tcW w:w="1259" w:type="dxa"/>
          </w:tcPr>
          <w:p w:rsidR="00CB0DD7" w:rsidRPr="000A0A5F" w:rsidRDefault="00CB0DD7">
            <w:pPr>
              <w:pStyle w:val="TAC"/>
              <w:rPr>
                <w:noProof/>
              </w:rPr>
            </w:pPr>
          </w:p>
        </w:tc>
        <w:tc>
          <w:tcPr>
            <w:tcW w:w="1441" w:type="dxa"/>
          </w:tcPr>
          <w:p w:rsidR="00CB0DD7" w:rsidRPr="000A0A5F" w:rsidRDefault="00CB0DD7">
            <w:pPr>
              <w:pStyle w:val="TAL"/>
            </w:pPr>
            <w:r w:rsidRPr="000A0A5F">
              <w:t>308 Permanent Redirect</w:t>
            </w:r>
          </w:p>
        </w:tc>
        <w:tc>
          <w:tcPr>
            <w:tcW w:w="4619" w:type="dxa"/>
          </w:tcPr>
          <w:p w:rsidR="00CB0DD7" w:rsidRPr="000A0A5F" w:rsidRDefault="00CB0DD7">
            <w:pPr>
              <w:pStyle w:val="TAL"/>
            </w:pPr>
            <w:r w:rsidRPr="000A0A5F">
              <w:t>Permanent redirection, during notification. The response shall include a Location header field containing an alternative URI representing the end point of an alternative SCS/AS instance where the notification should be sent.</w:t>
            </w:r>
          </w:p>
          <w:p w:rsidR="00CB0DD7" w:rsidRPr="000A0A5F" w:rsidRDefault="00CB0DD7">
            <w:pPr>
              <w:pStyle w:val="TAL"/>
            </w:pPr>
            <w:r w:rsidRPr="000A0A5F">
              <w:t>Redirection handling is described in clause 5.2.10.</w:t>
            </w:r>
          </w:p>
        </w:tc>
      </w:tr>
      <w:tr w:rsidR="00CB0DD7" w:rsidRPr="000A0A5F" w:rsidTr="00FF0AF8">
        <w:trPr>
          <w:jc w:val="center"/>
        </w:trPr>
        <w:tc>
          <w:tcPr>
            <w:tcW w:w="9612" w:type="dxa"/>
            <w:gridSpan w:val="4"/>
          </w:tcPr>
          <w:p w:rsidR="00CB0DD7" w:rsidRPr="000A0A5F" w:rsidRDefault="00CB0DD7">
            <w:pPr>
              <w:pStyle w:val="TAN"/>
            </w:pPr>
            <w:r w:rsidRPr="000A0A5F">
              <w:t>NOTE:</w:t>
            </w:r>
            <w:r w:rsidRPr="000A0A5F">
              <w:tab/>
              <w:t>The mandatory HTTP error status codes for the POST method listed in table 5.2.6-1 also apply.</w:t>
            </w:r>
          </w:p>
        </w:tc>
      </w:tr>
    </w:tbl>
    <w:p w:rsidR="00CB0DD7" w:rsidRPr="000A0A5F" w:rsidRDefault="00CB0DD7">
      <w:pPr>
        <w:rPr>
          <w:noProof/>
        </w:rPr>
      </w:pPr>
    </w:p>
    <w:p w:rsidR="00CB0DD7" w:rsidRPr="000A0A5F" w:rsidRDefault="002E466A">
      <w:pPr>
        <w:pStyle w:val="TH"/>
      </w:pPr>
      <w:r w:rsidRPr="000A0A5F">
        <w:t>Table </w:t>
      </w:r>
      <w:r w:rsidR="00CB0DD7" w:rsidRPr="000A0A5F">
        <w:t>5.11.</w:t>
      </w:r>
      <w:r w:rsidR="0008146A" w:rsidRPr="000A0A5F">
        <w:t>3A</w:t>
      </w:r>
      <w:r w:rsidR="00CB0DD7" w:rsidRPr="000A0A5F">
        <w:t>.2</w:t>
      </w:r>
      <w:r w:rsidR="00CB0DD7" w:rsidRPr="000A0A5F">
        <w:rPr>
          <w:noProof/>
        </w:rPr>
        <w:t>.3.1</w:t>
      </w:r>
      <w:r w:rsidR="00CB0DD7" w:rsidRPr="000A0A5F">
        <w:t>-3: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representing the end point of an alternative SCS/AS towards which the notification should be redirected.</w:t>
            </w:r>
          </w:p>
        </w:tc>
      </w:tr>
    </w:tbl>
    <w:p w:rsidR="00CB0DD7" w:rsidRPr="000A0A5F" w:rsidRDefault="00CB0DD7"/>
    <w:p w:rsidR="00CB0DD7" w:rsidRPr="000A0A5F" w:rsidRDefault="002E466A">
      <w:pPr>
        <w:pStyle w:val="TH"/>
      </w:pPr>
      <w:r w:rsidRPr="000A0A5F">
        <w:t>Table </w:t>
      </w:r>
      <w:r w:rsidR="00CB0DD7" w:rsidRPr="000A0A5F">
        <w:t>5.11.</w:t>
      </w:r>
      <w:r w:rsidR="0008146A" w:rsidRPr="000A0A5F">
        <w:t>3A</w:t>
      </w:r>
      <w:r w:rsidR="00CB0DD7" w:rsidRPr="000A0A5F">
        <w:t>.2</w:t>
      </w:r>
      <w:r w:rsidR="00CB0DD7" w:rsidRPr="000A0A5F">
        <w:rPr>
          <w:noProof/>
        </w:rPr>
        <w:t>.3.1</w:t>
      </w:r>
      <w:r w:rsidR="00CB0DD7" w:rsidRPr="000A0A5F">
        <w:t>-4: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representing the end point of an alternative SCS/AS towards which the notification should be redirected.</w:t>
            </w:r>
          </w:p>
        </w:tc>
      </w:tr>
    </w:tbl>
    <w:p w:rsidR="00CB0DD7" w:rsidRPr="000A0A5F" w:rsidRDefault="00CB0DD7">
      <w:pPr>
        <w:rPr>
          <w:noProof/>
        </w:rPr>
      </w:pPr>
    </w:p>
    <w:p w:rsidR="00CB0DD7" w:rsidRPr="000A0A5F" w:rsidRDefault="00CB0DD7">
      <w:pPr>
        <w:pStyle w:val="Heading6"/>
        <w:rPr>
          <w:noProof/>
        </w:rPr>
      </w:pPr>
      <w:bookmarkStart w:id="8311" w:name="_Toc66360926"/>
      <w:bookmarkStart w:id="8312" w:name="_Toc68105431"/>
      <w:bookmarkStart w:id="8313" w:name="_Toc74756061"/>
      <w:bookmarkStart w:id="8314" w:name="_Toc105674938"/>
      <w:bookmarkStart w:id="8315" w:name="_Toc130503002"/>
      <w:bookmarkStart w:id="8316" w:name="_Toc153625790"/>
      <w:r w:rsidRPr="000A0A5F">
        <w:t>5.11.</w:t>
      </w:r>
      <w:r w:rsidR="0008146A" w:rsidRPr="000A0A5F">
        <w:t>3A</w:t>
      </w:r>
      <w:r w:rsidRPr="000A0A5F">
        <w:t>.2.3</w:t>
      </w:r>
      <w:r w:rsidRPr="000A0A5F">
        <w:rPr>
          <w:noProof/>
        </w:rPr>
        <w:t>.2</w:t>
      </w:r>
      <w:r w:rsidRPr="000A0A5F">
        <w:rPr>
          <w:noProof/>
        </w:rPr>
        <w:tab/>
      </w:r>
      <w:r w:rsidRPr="000A0A5F">
        <w:t>Notification via Websocket</w:t>
      </w:r>
      <w:bookmarkEnd w:id="8311"/>
      <w:bookmarkEnd w:id="8312"/>
      <w:bookmarkEnd w:id="8313"/>
      <w:bookmarkEnd w:id="8314"/>
      <w:bookmarkEnd w:id="8315"/>
      <w:bookmarkEnd w:id="8316"/>
    </w:p>
    <w:p w:rsidR="00CB0DD7" w:rsidRPr="000A0A5F" w:rsidRDefault="00CB0DD7">
      <w:pPr>
        <w:rPr>
          <w:rFonts w:eastAsia="MS Mincho" w:hint="eastAsia"/>
          <w:lang w:eastAsia="ja-JP"/>
        </w:rPr>
      </w:pPr>
      <w:r w:rsidRPr="000A0A5F">
        <w:t>If supported by both SCS/AS and SCEF and successfully negotiated</w:t>
      </w:r>
      <w:r w:rsidRPr="000A0A5F">
        <w:rPr>
          <w:lang w:eastAsia="zh-CN"/>
        </w:rPr>
        <w:t xml:space="preserve">, the </w:t>
      </w:r>
      <w:r w:rsidRPr="000A0A5F">
        <w:t>PfdReport</w:t>
      </w:r>
      <w:r w:rsidRPr="000A0A5F">
        <w:rPr>
          <w:lang w:eastAsia="zh-CN"/>
        </w:rPr>
        <w:t xml:space="preserve"> may alternatively be delivered through the Websocket mechanism as defined in clause 5.2.5.4.</w:t>
      </w:r>
    </w:p>
    <w:p w:rsidR="00CB0DD7" w:rsidRPr="000A0A5F" w:rsidRDefault="00CB0DD7">
      <w:pPr>
        <w:pStyle w:val="Heading3"/>
      </w:pPr>
      <w:bookmarkStart w:id="8317" w:name="_Toc11247814"/>
      <w:bookmarkStart w:id="8318" w:name="_Toc27044958"/>
      <w:bookmarkStart w:id="8319" w:name="_Toc36034000"/>
      <w:bookmarkStart w:id="8320" w:name="_Toc45132146"/>
      <w:bookmarkStart w:id="8321" w:name="_Toc49776431"/>
      <w:bookmarkStart w:id="8322" w:name="_Toc51747351"/>
      <w:bookmarkStart w:id="8323" w:name="_Toc66360927"/>
      <w:bookmarkStart w:id="8324" w:name="_Toc68105432"/>
      <w:bookmarkStart w:id="8325" w:name="_Toc74756062"/>
      <w:bookmarkStart w:id="8326" w:name="_Toc105674939"/>
      <w:bookmarkStart w:id="8327" w:name="_Toc130503003"/>
      <w:bookmarkStart w:id="8328" w:name="_Toc153625791"/>
      <w:r w:rsidRPr="000A0A5F">
        <w:t>5.11.4</w:t>
      </w:r>
      <w:r w:rsidRPr="000A0A5F">
        <w:tab/>
        <w:t>Used Features</w:t>
      </w:r>
      <w:bookmarkEnd w:id="8317"/>
      <w:bookmarkEnd w:id="8318"/>
      <w:bookmarkEnd w:id="8319"/>
      <w:bookmarkEnd w:id="8320"/>
      <w:bookmarkEnd w:id="8321"/>
      <w:bookmarkEnd w:id="8322"/>
      <w:bookmarkEnd w:id="8323"/>
      <w:bookmarkEnd w:id="8324"/>
      <w:bookmarkEnd w:id="8325"/>
      <w:bookmarkEnd w:id="8326"/>
      <w:bookmarkEnd w:id="8327"/>
      <w:bookmarkEnd w:id="8328"/>
    </w:p>
    <w:p w:rsidR="00CB0DD7" w:rsidRPr="000A0A5F" w:rsidRDefault="00CB0DD7">
      <w:r w:rsidRPr="000A0A5F">
        <w:t>The table below defines the features applicable to the PfdManagement API. Those features are negotiated as described in clause 5.2.7.</w:t>
      </w:r>
    </w:p>
    <w:p w:rsidR="00CB0DD7" w:rsidRPr="000A0A5F" w:rsidRDefault="00CB0DD7">
      <w:pPr>
        <w:pStyle w:val="TH"/>
      </w:pPr>
      <w:r w:rsidRPr="000A0A5F">
        <w:t>Table 5.11.4-1: Features used by PfdManagement API</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003"/>
        <w:gridCol w:w="2057"/>
        <w:gridCol w:w="6797"/>
      </w:tblGrid>
      <w:tr w:rsidR="00CB0DD7" w:rsidRPr="000A0A5F" w:rsidTr="00FF0AF8">
        <w:trPr>
          <w:cantSplit/>
        </w:trPr>
        <w:tc>
          <w:tcPr>
            <w:tcW w:w="509" w:type="pct"/>
            <w:shd w:val="clear" w:color="000000" w:fill="C0C0C0"/>
          </w:tcPr>
          <w:p w:rsidR="00CB0DD7" w:rsidRPr="000A0A5F" w:rsidRDefault="00CB0DD7">
            <w:pPr>
              <w:pStyle w:val="TAH"/>
              <w:rPr>
                <w:rFonts w:eastAsia="Times New Roman"/>
              </w:rPr>
            </w:pPr>
            <w:r w:rsidRPr="000A0A5F">
              <w:t>Feature Number</w:t>
            </w:r>
          </w:p>
        </w:tc>
        <w:tc>
          <w:tcPr>
            <w:tcW w:w="1043" w:type="pct"/>
            <w:shd w:val="clear" w:color="000000" w:fill="C0C0C0"/>
          </w:tcPr>
          <w:p w:rsidR="00CB0DD7" w:rsidRPr="000A0A5F" w:rsidRDefault="00CB0DD7">
            <w:pPr>
              <w:pStyle w:val="TAH"/>
              <w:rPr>
                <w:rFonts w:eastAsia="Times New Roman"/>
              </w:rPr>
            </w:pPr>
            <w:r w:rsidRPr="000A0A5F">
              <w:rPr>
                <w:rFonts w:eastAsia="Times New Roman"/>
              </w:rPr>
              <w:t>Feature</w:t>
            </w:r>
          </w:p>
        </w:tc>
        <w:tc>
          <w:tcPr>
            <w:tcW w:w="3448" w:type="pct"/>
            <w:shd w:val="clear" w:color="000000" w:fill="C0C0C0"/>
          </w:tcPr>
          <w:p w:rsidR="00CB0DD7" w:rsidRPr="000A0A5F" w:rsidRDefault="00CB0DD7">
            <w:pPr>
              <w:pStyle w:val="TAH"/>
              <w:rPr>
                <w:lang w:eastAsia="ko-KR"/>
              </w:rPr>
            </w:pPr>
            <w:r w:rsidRPr="000A0A5F">
              <w:rPr>
                <w:rFonts w:eastAsia="Times New Roman"/>
              </w:rPr>
              <w:t>Description</w:t>
            </w:r>
          </w:p>
        </w:tc>
      </w:tr>
      <w:tr w:rsidR="00CB0DD7" w:rsidRPr="000A0A5F" w:rsidTr="00FF0AF8">
        <w:trPr>
          <w:cantSplit/>
        </w:trPr>
        <w:tc>
          <w:tcPr>
            <w:tcW w:w="509" w:type="pct"/>
          </w:tcPr>
          <w:p w:rsidR="00CB0DD7" w:rsidRPr="000A0A5F" w:rsidRDefault="00CB0DD7">
            <w:pPr>
              <w:pStyle w:val="TAC"/>
              <w:rPr>
                <w:lang w:eastAsia="zh-CN"/>
              </w:rPr>
            </w:pPr>
            <w:r w:rsidRPr="000A0A5F">
              <w:rPr>
                <w:lang w:eastAsia="zh-CN"/>
              </w:rPr>
              <w:t>1</w:t>
            </w:r>
          </w:p>
        </w:tc>
        <w:tc>
          <w:tcPr>
            <w:tcW w:w="1043" w:type="pct"/>
          </w:tcPr>
          <w:p w:rsidR="00CB0DD7" w:rsidRPr="000A0A5F" w:rsidRDefault="00CB0DD7">
            <w:pPr>
              <w:pStyle w:val="TAC"/>
              <w:rPr>
                <w:lang w:eastAsia="zh-CN"/>
              </w:rPr>
            </w:pPr>
            <w:r w:rsidRPr="000A0A5F">
              <w:rPr>
                <w:rFonts w:eastAsia="Times New Roman" w:cs="Arial"/>
                <w:szCs w:val="18"/>
              </w:rPr>
              <w:t>DomainNameProtocol</w:t>
            </w:r>
          </w:p>
        </w:tc>
        <w:tc>
          <w:tcPr>
            <w:tcW w:w="3448" w:type="pct"/>
          </w:tcPr>
          <w:p w:rsidR="00CB0DD7" w:rsidRPr="000A0A5F" w:rsidRDefault="00CB0DD7">
            <w:pPr>
              <w:pStyle w:val="TAL"/>
              <w:rPr>
                <w:lang w:eastAsia="zh-CN"/>
              </w:rPr>
            </w:pPr>
            <w:r w:rsidRPr="000A0A5F">
              <w:rPr>
                <w:lang w:eastAsia="zh-CN"/>
              </w:rPr>
              <w:t>This feature supports the additional protocol matching condition for the domain name in PFD data.</w:t>
            </w:r>
          </w:p>
        </w:tc>
      </w:tr>
      <w:tr w:rsidR="00CB0DD7" w:rsidRPr="000A0A5F" w:rsidTr="00FF0AF8">
        <w:trPr>
          <w:cantSplit/>
        </w:trPr>
        <w:tc>
          <w:tcPr>
            <w:tcW w:w="509" w:type="pct"/>
          </w:tcPr>
          <w:p w:rsidR="00CB0DD7" w:rsidRPr="000A0A5F" w:rsidRDefault="00CB0DD7">
            <w:pPr>
              <w:pStyle w:val="TAC"/>
              <w:rPr>
                <w:lang w:eastAsia="zh-CN"/>
              </w:rPr>
            </w:pPr>
            <w:r w:rsidRPr="000A0A5F">
              <w:rPr>
                <w:lang w:eastAsia="zh-CN"/>
              </w:rPr>
              <w:t>2</w:t>
            </w:r>
          </w:p>
        </w:tc>
        <w:tc>
          <w:tcPr>
            <w:tcW w:w="1043" w:type="pct"/>
          </w:tcPr>
          <w:p w:rsidR="00CB0DD7" w:rsidRPr="000A0A5F" w:rsidRDefault="00CB0DD7">
            <w:pPr>
              <w:pStyle w:val="TAC"/>
              <w:rPr>
                <w:rFonts w:eastAsia="Times New Roman" w:cs="Arial"/>
                <w:szCs w:val="18"/>
              </w:rPr>
            </w:pPr>
            <w:r w:rsidRPr="000A0A5F">
              <w:rPr>
                <w:lang w:eastAsia="zh-CN"/>
              </w:rPr>
              <w:t>PfdMgmtNotification</w:t>
            </w:r>
          </w:p>
        </w:tc>
        <w:tc>
          <w:tcPr>
            <w:tcW w:w="3448" w:type="pct"/>
          </w:tcPr>
          <w:p w:rsidR="00CB0DD7" w:rsidRPr="000A0A5F" w:rsidRDefault="00CB0DD7">
            <w:pPr>
              <w:pStyle w:val="TAL"/>
              <w:rPr>
                <w:lang w:eastAsia="zh-CN"/>
              </w:rPr>
            </w:pPr>
            <w:r w:rsidRPr="000A0A5F">
              <w:rPr>
                <w:lang w:eastAsia="zh-CN"/>
              </w:rPr>
              <w:t>This feature supports PFD management notification.</w:t>
            </w:r>
          </w:p>
        </w:tc>
      </w:tr>
      <w:tr w:rsidR="00CB0DD7" w:rsidRPr="000A0A5F" w:rsidTr="00FF0AF8">
        <w:trPr>
          <w:cantSplit/>
        </w:trPr>
        <w:tc>
          <w:tcPr>
            <w:tcW w:w="509" w:type="pct"/>
          </w:tcPr>
          <w:p w:rsidR="00CB0DD7" w:rsidRPr="000A0A5F" w:rsidRDefault="00CB0DD7">
            <w:pPr>
              <w:pStyle w:val="TAC"/>
              <w:rPr>
                <w:lang w:eastAsia="zh-CN"/>
              </w:rPr>
            </w:pPr>
            <w:r w:rsidRPr="000A0A5F">
              <w:rPr>
                <w:lang w:eastAsia="zh-CN"/>
              </w:rPr>
              <w:t>3</w:t>
            </w:r>
          </w:p>
        </w:tc>
        <w:tc>
          <w:tcPr>
            <w:tcW w:w="1043" w:type="pct"/>
          </w:tcPr>
          <w:p w:rsidR="00CB0DD7" w:rsidRPr="000A0A5F" w:rsidRDefault="00CB0DD7">
            <w:pPr>
              <w:pStyle w:val="TAC"/>
              <w:rPr>
                <w:rFonts w:eastAsia="Times New Roman" w:cs="Arial"/>
                <w:szCs w:val="18"/>
              </w:rPr>
            </w:pPr>
            <w:r w:rsidRPr="000A0A5F">
              <w:rPr>
                <w:lang w:eastAsia="zh-CN"/>
              </w:rPr>
              <w:t>Notification_websocket</w:t>
            </w:r>
          </w:p>
        </w:tc>
        <w:tc>
          <w:tcPr>
            <w:tcW w:w="3448" w:type="pct"/>
          </w:tcPr>
          <w:p w:rsidR="00CB0DD7" w:rsidRPr="000A0A5F" w:rsidRDefault="00CB0DD7">
            <w:pPr>
              <w:pStyle w:val="TAL"/>
              <w:rPr>
                <w:lang w:eastAsia="zh-CN"/>
              </w:rPr>
            </w:pPr>
            <w:r w:rsidRPr="000A0A5F">
              <w:rPr>
                <w:rFonts w:cs="Arial"/>
                <w:szCs w:val="18"/>
                <w:lang w:eastAsia="zh-CN"/>
              </w:rPr>
              <w:t>The delivery of notifications over Websocket is supported according to clause</w:t>
            </w:r>
            <w:r w:rsidRPr="000A0A5F">
              <w:rPr>
                <w:rFonts w:cs="Arial"/>
                <w:szCs w:val="18"/>
                <w:lang w:val="en-US" w:eastAsia="zh-CN"/>
              </w:rPr>
              <w:t> </w:t>
            </w:r>
            <w:r w:rsidRPr="000A0A5F">
              <w:rPr>
                <w:rFonts w:cs="Arial"/>
                <w:szCs w:val="18"/>
                <w:lang w:eastAsia="zh-CN"/>
              </w:rPr>
              <w:t xml:space="preserve">5.2.5.4. This feature requires that the </w:t>
            </w:r>
            <w:r w:rsidRPr="000A0A5F">
              <w:t>Notification_test_event featute is also supported.</w:t>
            </w:r>
          </w:p>
        </w:tc>
      </w:tr>
      <w:tr w:rsidR="00CB0DD7" w:rsidRPr="000A0A5F" w:rsidTr="00FF0AF8">
        <w:trPr>
          <w:cantSplit/>
        </w:trPr>
        <w:tc>
          <w:tcPr>
            <w:tcW w:w="509" w:type="pct"/>
          </w:tcPr>
          <w:p w:rsidR="00CB0DD7" w:rsidRPr="000A0A5F" w:rsidRDefault="00CB0DD7">
            <w:pPr>
              <w:pStyle w:val="TAC"/>
              <w:rPr>
                <w:lang w:eastAsia="zh-CN"/>
              </w:rPr>
            </w:pPr>
            <w:r w:rsidRPr="000A0A5F">
              <w:t>4</w:t>
            </w:r>
          </w:p>
        </w:tc>
        <w:tc>
          <w:tcPr>
            <w:tcW w:w="1043" w:type="pct"/>
          </w:tcPr>
          <w:p w:rsidR="00CB0DD7" w:rsidRPr="000A0A5F" w:rsidRDefault="00CB0DD7">
            <w:pPr>
              <w:pStyle w:val="TAC"/>
              <w:rPr>
                <w:rFonts w:eastAsia="Times New Roman" w:cs="Arial"/>
                <w:szCs w:val="18"/>
              </w:rPr>
            </w:pPr>
            <w:r w:rsidRPr="000A0A5F">
              <w:t>Notification_test_event</w:t>
            </w:r>
          </w:p>
        </w:tc>
        <w:tc>
          <w:tcPr>
            <w:tcW w:w="3448" w:type="pct"/>
          </w:tcPr>
          <w:p w:rsidR="00CB0DD7" w:rsidRPr="000A0A5F" w:rsidRDefault="00CB0DD7">
            <w:pPr>
              <w:pStyle w:val="TAL"/>
              <w:rPr>
                <w:lang w:eastAsia="zh-CN"/>
              </w:rPr>
            </w:pPr>
            <w:r w:rsidRPr="000A0A5F">
              <w:rPr>
                <w:rFonts w:cs="Arial"/>
                <w:szCs w:val="18"/>
                <w:lang w:eastAsia="zh-CN"/>
              </w:rPr>
              <w:t>The testing of notification connection is supported according to clause</w:t>
            </w:r>
            <w:r w:rsidRPr="000A0A5F">
              <w:rPr>
                <w:rFonts w:cs="Arial"/>
                <w:szCs w:val="18"/>
                <w:lang w:val="en-US" w:eastAsia="zh-CN"/>
              </w:rPr>
              <w:t> </w:t>
            </w:r>
            <w:r w:rsidRPr="000A0A5F">
              <w:rPr>
                <w:rFonts w:cs="Arial"/>
                <w:szCs w:val="18"/>
                <w:lang w:eastAsia="zh-CN"/>
              </w:rPr>
              <w:t>5.2.5.3.</w:t>
            </w:r>
          </w:p>
        </w:tc>
      </w:tr>
      <w:tr w:rsidR="00CB0DD7" w:rsidRPr="000A0A5F" w:rsidTr="00FF0AF8">
        <w:trPr>
          <w:cantSplit/>
        </w:trPr>
        <w:tc>
          <w:tcPr>
            <w:tcW w:w="509" w:type="pct"/>
          </w:tcPr>
          <w:p w:rsidR="00CB0DD7" w:rsidRPr="000A0A5F" w:rsidRDefault="00CB0DD7">
            <w:pPr>
              <w:pStyle w:val="TAC"/>
            </w:pPr>
            <w:r w:rsidRPr="000A0A5F">
              <w:rPr>
                <w:lang w:eastAsia="zh-CN"/>
              </w:rPr>
              <w:t>5</w:t>
            </w:r>
          </w:p>
        </w:tc>
        <w:tc>
          <w:tcPr>
            <w:tcW w:w="1043" w:type="pct"/>
          </w:tcPr>
          <w:p w:rsidR="00CB0DD7" w:rsidRPr="000A0A5F" w:rsidRDefault="00CB0DD7">
            <w:pPr>
              <w:pStyle w:val="TAC"/>
            </w:pPr>
            <w:r w:rsidRPr="000A0A5F">
              <w:rPr>
                <w:lang w:eastAsia="zh-CN"/>
              </w:rPr>
              <w:t>FailureLocation</w:t>
            </w:r>
            <w:r w:rsidRPr="000A0A5F">
              <w:rPr>
                <w:rFonts w:hint="eastAsia"/>
                <w:lang w:eastAsia="zh-CN"/>
              </w:rPr>
              <w:t>_</w:t>
            </w:r>
            <w:r w:rsidRPr="000A0A5F">
              <w:rPr>
                <w:lang w:eastAsia="zh-CN"/>
              </w:rPr>
              <w:t>5G</w:t>
            </w:r>
          </w:p>
        </w:tc>
        <w:tc>
          <w:tcPr>
            <w:tcW w:w="3448" w:type="pct"/>
          </w:tcPr>
          <w:p w:rsidR="00CB0DD7" w:rsidRPr="000A0A5F" w:rsidRDefault="00CB0DD7">
            <w:pPr>
              <w:pStyle w:val="TAL"/>
              <w:rPr>
                <w:rFonts w:cs="Arial"/>
                <w:szCs w:val="18"/>
                <w:lang w:eastAsia="zh-CN"/>
              </w:rPr>
            </w:pPr>
            <w:r w:rsidRPr="000A0A5F">
              <w:rPr>
                <w:lang w:eastAsia="zh-CN"/>
              </w:rPr>
              <w:t>This feature supports the notification of specific failure location area of UPF for PFD management in 5G. T</w:t>
            </w:r>
            <w:r w:rsidRPr="000A0A5F">
              <w:rPr>
                <w:rFonts w:hint="eastAsia"/>
                <w:lang w:eastAsia="zh-CN"/>
              </w:rPr>
              <w:t xml:space="preserve">his feature is applicable only if </w:t>
            </w:r>
            <w:r w:rsidRPr="000A0A5F">
              <w:rPr>
                <w:lang w:eastAsia="zh-CN"/>
              </w:rPr>
              <w:t>PfdMgmtNotification feature is also supported.</w:t>
            </w:r>
            <w:r w:rsidRPr="000A0A5F">
              <w:rPr>
                <w:rFonts w:eastAsia="Malgun Gothic"/>
                <w:lang w:eastAsia="ja-JP"/>
              </w:rPr>
              <w:t xml:space="preserve"> The feature supports the 5G requirement and may only be supported in 5G.</w:t>
            </w:r>
          </w:p>
        </w:tc>
      </w:tr>
      <w:tr w:rsidR="00D85C5A" w:rsidRPr="000A0A5F" w:rsidTr="00FF0AF8">
        <w:trPr>
          <w:cantSplit/>
        </w:trPr>
        <w:tc>
          <w:tcPr>
            <w:tcW w:w="509" w:type="pct"/>
          </w:tcPr>
          <w:p w:rsidR="00D85C5A" w:rsidRPr="000A0A5F" w:rsidRDefault="00971DEA" w:rsidP="00D85C5A">
            <w:pPr>
              <w:pStyle w:val="TAC"/>
              <w:rPr>
                <w:lang w:eastAsia="zh-CN"/>
              </w:rPr>
            </w:pPr>
            <w:r w:rsidRPr="000A0A5F">
              <w:rPr>
                <w:lang w:eastAsia="zh-CN"/>
              </w:rPr>
              <w:t>6</w:t>
            </w:r>
          </w:p>
        </w:tc>
        <w:tc>
          <w:tcPr>
            <w:tcW w:w="1043" w:type="pct"/>
          </w:tcPr>
          <w:p w:rsidR="00D85C5A" w:rsidRPr="000A0A5F" w:rsidRDefault="00D85C5A" w:rsidP="00D85C5A">
            <w:pPr>
              <w:pStyle w:val="TAC"/>
              <w:rPr>
                <w:lang w:eastAsia="zh-CN"/>
              </w:rPr>
            </w:pPr>
            <w:r w:rsidRPr="000A0A5F">
              <w:rPr>
                <w:lang w:eastAsia="zh-CN"/>
              </w:rPr>
              <w:t>enNB</w:t>
            </w:r>
          </w:p>
        </w:tc>
        <w:tc>
          <w:tcPr>
            <w:tcW w:w="3448" w:type="pct"/>
          </w:tcPr>
          <w:p w:rsidR="00D85C5A" w:rsidRPr="000A0A5F" w:rsidRDefault="00D85C5A" w:rsidP="00D85C5A">
            <w:pPr>
              <w:pStyle w:val="TAL"/>
              <w:rPr>
                <w:lang w:eastAsia="zh-CN"/>
              </w:rPr>
            </w:pPr>
            <w:r w:rsidRPr="000A0A5F">
              <w:rPr>
                <w:lang w:eastAsia="zh-CN"/>
              </w:rPr>
              <w:t>Indicates the support of enhancements to the northbound interfaces.</w:t>
            </w:r>
          </w:p>
        </w:tc>
      </w:tr>
      <w:tr w:rsidR="00491D21" w:rsidRPr="000A0A5F" w:rsidTr="00FF0AF8">
        <w:trPr>
          <w:cantSplit/>
        </w:trPr>
        <w:tc>
          <w:tcPr>
            <w:tcW w:w="509" w:type="pct"/>
          </w:tcPr>
          <w:p w:rsidR="00491D21" w:rsidRPr="000A0A5F" w:rsidRDefault="00971DEA" w:rsidP="00491D21">
            <w:pPr>
              <w:pStyle w:val="TAC"/>
              <w:rPr>
                <w:lang w:eastAsia="zh-CN"/>
              </w:rPr>
            </w:pPr>
            <w:r w:rsidRPr="000A0A5F">
              <w:rPr>
                <w:lang w:eastAsia="zh-CN"/>
              </w:rPr>
              <w:t>7</w:t>
            </w:r>
          </w:p>
        </w:tc>
        <w:tc>
          <w:tcPr>
            <w:tcW w:w="1043" w:type="pct"/>
          </w:tcPr>
          <w:p w:rsidR="00491D21" w:rsidRPr="000A0A5F" w:rsidRDefault="00491D21" w:rsidP="00491D21">
            <w:pPr>
              <w:pStyle w:val="TAC"/>
              <w:rPr>
                <w:lang w:eastAsia="zh-CN"/>
              </w:rPr>
            </w:pPr>
            <w:r w:rsidRPr="000A0A5F">
              <w:rPr>
                <w:lang w:eastAsia="zh-CN"/>
              </w:rPr>
              <w:t>PatchUpdate</w:t>
            </w:r>
          </w:p>
        </w:tc>
        <w:tc>
          <w:tcPr>
            <w:tcW w:w="3448" w:type="pct"/>
          </w:tcPr>
          <w:p w:rsidR="00491D21" w:rsidRPr="000A0A5F" w:rsidRDefault="00491D21" w:rsidP="00491D21">
            <w:pPr>
              <w:pStyle w:val="TAL"/>
              <w:rPr>
                <w:lang w:eastAsia="zh-CN"/>
              </w:rPr>
            </w:pPr>
            <w:r w:rsidRPr="000A0A5F">
              <w:rPr>
                <w:rFonts w:cs="Arial"/>
              </w:rPr>
              <w:t>Indicates the support of enhancements to the northbound interfaces (e.g. support the partial modification of an existing PFD Management Transaction resource).</w:t>
            </w:r>
          </w:p>
        </w:tc>
      </w:tr>
    </w:tbl>
    <w:p w:rsidR="00491D21" w:rsidRPr="000A0A5F" w:rsidRDefault="00491D21" w:rsidP="00491D21">
      <w:bookmarkStart w:id="8329" w:name="_Toc11247815"/>
      <w:bookmarkStart w:id="8330" w:name="_Toc27044959"/>
      <w:bookmarkStart w:id="8331" w:name="_Toc36034001"/>
      <w:bookmarkStart w:id="8332" w:name="_Toc45132147"/>
      <w:bookmarkStart w:id="8333" w:name="_Toc49776432"/>
      <w:bookmarkStart w:id="8334" w:name="_Toc51747352"/>
      <w:bookmarkStart w:id="8335" w:name="_Toc66360928"/>
      <w:bookmarkStart w:id="8336" w:name="_Toc68105433"/>
      <w:bookmarkStart w:id="8337" w:name="_Toc74756063"/>
    </w:p>
    <w:p w:rsidR="00BE6B94" w:rsidRPr="000A0A5F" w:rsidRDefault="00BE6B94" w:rsidP="00BE6B94">
      <w:pPr>
        <w:pStyle w:val="Heading3"/>
      </w:pPr>
      <w:bookmarkStart w:id="8338" w:name="_Toc130503004"/>
      <w:bookmarkStart w:id="8339" w:name="_Toc153625792"/>
      <w:r w:rsidRPr="000A0A5F">
        <w:t>5.11.5</w:t>
      </w:r>
      <w:r w:rsidRPr="000A0A5F">
        <w:tab/>
        <w:t>Error handling</w:t>
      </w:r>
      <w:bookmarkEnd w:id="8338"/>
      <w:bookmarkEnd w:id="8339"/>
    </w:p>
    <w:p w:rsidR="00BE6B94" w:rsidRPr="000A0A5F" w:rsidRDefault="00BE6B94" w:rsidP="00BE6B94">
      <w:pPr>
        <w:pStyle w:val="Heading4"/>
      </w:pPr>
      <w:bookmarkStart w:id="8340" w:name="_Toc130503005"/>
      <w:bookmarkStart w:id="8341" w:name="_Toc153625793"/>
      <w:r w:rsidRPr="000A0A5F">
        <w:t>5.11.5.1</w:t>
      </w:r>
      <w:r w:rsidRPr="000A0A5F">
        <w:tab/>
        <w:t>General</w:t>
      </w:r>
      <w:bookmarkEnd w:id="8340"/>
      <w:bookmarkEnd w:id="8341"/>
    </w:p>
    <w:p w:rsidR="00BE6B94" w:rsidRPr="000A0A5F" w:rsidRDefault="00BE6B94" w:rsidP="00BE6B94">
      <w:r w:rsidRPr="000A0A5F">
        <w:t>HTTP error handling shall be supported as specified in clause 5.2.6.</w:t>
      </w:r>
    </w:p>
    <w:p w:rsidR="00BE6B94" w:rsidRPr="000A0A5F" w:rsidRDefault="00BE6B94" w:rsidP="00BE6B94">
      <w:r w:rsidRPr="000A0A5F">
        <w:t>In addition, the requirements in the following clauses shall apply.</w:t>
      </w:r>
    </w:p>
    <w:p w:rsidR="00BE6B94" w:rsidRPr="000A0A5F" w:rsidRDefault="00BE6B94" w:rsidP="00BE6B94">
      <w:pPr>
        <w:pStyle w:val="Heading4"/>
      </w:pPr>
      <w:bookmarkStart w:id="8342" w:name="_Toc130503006"/>
      <w:bookmarkStart w:id="8343" w:name="_Toc153625794"/>
      <w:r w:rsidRPr="000A0A5F">
        <w:t>5.11.5.2</w:t>
      </w:r>
      <w:r w:rsidRPr="000A0A5F">
        <w:tab/>
        <w:t>Protocol Errors</w:t>
      </w:r>
      <w:bookmarkEnd w:id="8342"/>
      <w:bookmarkEnd w:id="8343"/>
    </w:p>
    <w:p w:rsidR="00BE6B94" w:rsidRPr="000A0A5F" w:rsidRDefault="00BE6B94" w:rsidP="00BE6B94">
      <w:r w:rsidRPr="000A0A5F">
        <w:rPr>
          <w:lang w:eastAsia="zh-CN"/>
        </w:rPr>
        <w:t xml:space="preserve">In this Release </w:t>
      </w:r>
      <w:r w:rsidRPr="000A0A5F">
        <w:t>of the specification, there are no additional protocol errors applicable for the PfdManagement API.</w:t>
      </w:r>
    </w:p>
    <w:p w:rsidR="00BE6B94" w:rsidRPr="000A0A5F" w:rsidRDefault="00BE6B94" w:rsidP="00BE6B94">
      <w:pPr>
        <w:pStyle w:val="Heading4"/>
      </w:pPr>
      <w:bookmarkStart w:id="8344" w:name="_Toc130503007"/>
      <w:bookmarkStart w:id="8345" w:name="_Toc153625795"/>
      <w:r w:rsidRPr="000A0A5F">
        <w:t>5.11.5.3</w:t>
      </w:r>
      <w:r w:rsidRPr="000A0A5F">
        <w:tab/>
        <w:t>Application Errors</w:t>
      </w:r>
      <w:bookmarkEnd w:id="8344"/>
      <w:bookmarkEnd w:id="8345"/>
    </w:p>
    <w:p w:rsidR="00BE6B94" w:rsidRPr="000A0A5F" w:rsidRDefault="00BE6B94" w:rsidP="00BE6B94">
      <w:r w:rsidRPr="000A0A5F">
        <w:t>The application errors defined for PfdManagement API are listed in table 5.11.5.3-1.</w:t>
      </w:r>
    </w:p>
    <w:p w:rsidR="00BE6B94" w:rsidRPr="000A0A5F" w:rsidRDefault="00BE6B94" w:rsidP="00BE6B94">
      <w:pPr>
        <w:pStyle w:val="TH"/>
      </w:pPr>
      <w:r w:rsidRPr="000A0A5F">
        <w:t>Table 5.11.5.3-1: Application errors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686"/>
        <w:gridCol w:w="1275"/>
        <w:gridCol w:w="3289"/>
        <w:gridCol w:w="2373"/>
      </w:tblGrid>
      <w:tr w:rsidR="00BE6B94" w:rsidRPr="000A0A5F" w:rsidTr="004C13CC">
        <w:trPr>
          <w:cantSplit/>
          <w:jc w:val="center"/>
        </w:trPr>
        <w:tc>
          <w:tcPr>
            <w:tcW w:w="2686" w:type="dxa"/>
            <w:shd w:val="clear" w:color="auto" w:fill="C0C0C0"/>
            <w:hideMark/>
          </w:tcPr>
          <w:p w:rsidR="00BE6B94" w:rsidRPr="000A0A5F" w:rsidRDefault="00BE6B94" w:rsidP="004C13CC">
            <w:pPr>
              <w:pStyle w:val="TAH"/>
            </w:pPr>
            <w:r w:rsidRPr="000A0A5F">
              <w:t>Application Error</w:t>
            </w:r>
          </w:p>
        </w:tc>
        <w:tc>
          <w:tcPr>
            <w:tcW w:w="1275" w:type="dxa"/>
            <w:shd w:val="clear" w:color="auto" w:fill="C0C0C0"/>
            <w:hideMark/>
          </w:tcPr>
          <w:p w:rsidR="00BE6B94" w:rsidRPr="000A0A5F" w:rsidRDefault="00BE6B94" w:rsidP="004C13CC">
            <w:pPr>
              <w:pStyle w:val="TAH"/>
            </w:pPr>
            <w:r w:rsidRPr="000A0A5F">
              <w:t>HTTP status code</w:t>
            </w:r>
          </w:p>
        </w:tc>
        <w:tc>
          <w:tcPr>
            <w:tcW w:w="3289" w:type="dxa"/>
            <w:shd w:val="clear" w:color="auto" w:fill="C0C0C0"/>
            <w:hideMark/>
          </w:tcPr>
          <w:p w:rsidR="00BE6B94" w:rsidRPr="000A0A5F" w:rsidRDefault="00BE6B94" w:rsidP="004C13CC">
            <w:pPr>
              <w:pStyle w:val="TAH"/>
            </w:pPr>
            <w:r w:rsidRPr="000A0A5F">
              <w:t>Description</w:t>
            </w:r>
          </w:p>
        </w:tc>
        <w:tc>
          <w:tcPr>
            <w:tcW w:w="2373" w:type="dxa"/>
            <w:shd w:val="clear" w:color="auto" w:fill="C0C0C0"/>
          </w:tcPr>
          <w:p w:rsidR="00BE6B94" w:rsidRPr="000A0A5F" w:rsidRDefault="00BE6B94" w:rsidP="004C13CC">
            <w:pPr>
              <w:pStyle w:val="TAH"/>
            </w:pPr>
            <w:r w:rsidRPr="000A0A5F">
              <w:t>Applicability</w:t>
            </w:r>
          </w:p>
        </w:tc>
      </w:tr>
      <w:tr w:rsidR="00BE6B94" w:rsidRPr="000A0A5F" w:rsidTr="004C13CC">
        <w:trPr>
          <w:cantSplit/>
          <w:jc w:val="center"/>
        </w:trPr>
        <w:tc>
          <w:tcPr>
            <w:tcW w:w="2686" w:type="dxa"/>
          </w:tcPr>
          <w:p w:rsidR="00BE6B94" w:rsidRPr="000A0A5F" w:rsidRDefault="00BE6B94" w:rsidP="004C13CC">
            <w:pPr>
              <w:pStyle w:val="TAL"/>
              <w:rPr>
                <w:lang w:eastAsia="zh-CN"/>
              </w:rPr>
            </w:pPr>
          </w:p>
        </w:tc>
        <w:tc>
          <w:tcPr>
            <w:tcW w:w="1275" w:type="dxa"/>
          </w:tcPr>
          <w:p w:rsidR="00BE6B94" w:rsidRPr="000A0A5F" w:rsidRDefault="00BE6B94" w:rsidP="004C13CC">
            <w:pPr>
              <w:pStyle w:val="TAL"/>
              <w:rPr>
                <w:lang w:eastAsia="zh-CN"/>
              </w:rPr>
            </w:pPr>
          </w:p>
        </w:tc>
        <w:tc>
          <w:tcPr>
            <w:tcW w:w="3289" w:type="dxa"/>
          </w:tcPr>
          <w:p w:rsidR="00BE6B94" w:rsidRPr="000A0A5F" w:rsidRDefault="00BE6B94" w:rsidP="004C13CC">
            <w:pPr>
              <w:pStyle w:val="TAL"/>
            </w:pPr>
          </w:p>
        </w:tc>
        <w:tc>
          <w:tcPr>
            <w:tcW w:w="2373" w:type="dxa"/>
          </w:tcPr>
          <w:p w:rsidR="00BE6B94" w:rsidRPr="000A0A5F" w:rsidRDefault="00BE6B94" w:rsidP="004C13CC">
            <w:pPr>
              <w:pStyle w:val="TAL"/>
            </w:pPr>
          </w:p>
        </w:tc>
      </w:tr>
    </w:tbl>
    <w:p w:rsidR="00BE6B94" w:rsidRPr="000A0A5F" w:rsidRDefault="00BE6B94" w:rsidP="00491D21"/>
    <w:p w:rsidR="00CB0DD7" w:rsidRPr="000A0A5F" w:rsidRDefault="00CB0DD7">
      <w:pPr>
        <w:pStyle w:val="Heading2"/>
      </w:pPr>
      <w:bookmarkStart w:id="8346" w:name="_Toc105674940"/>
      <w:bookmarkStart w:id="8347" w:name="_Toc130503008"/>
      <w:bookmarkStart w:id="8348" w:name="_Toc153625796"/>
      <w:r w:rsidRPr="000A0A5F">
        <w:t>5.12</w:t>
      </w:r>
      <w:r w:rsidRPr="000A0A5F">
        <w:tab/>
        <w:t>ECRControl API</w:t>
      </w:r>
      <w:bookmarkEnd w:id="8329"/>
      <w:bookmarkEnd w:id="8330"/>
      <w:bookmarkEnd w:id="8331"/>
      <w:bookmarkEnd w:id="8332"/>
      <w:bookmarkEnd w:id="8333"/>
      <w:bookmarkEnd w:id="8334"/>
      <w:bookmarkEnd w:id="8335"/>
      <w:bookmarkEnd w:id="8336"/>
      <w:bookmarkEnd w:id="8337"/>
      <w:bookmarkEnd w:id="8346"/>
      <w:bookmarkEnd w:id="8347"/>
      <w:bookmarkEnd w:id="8348"/>
    </w:p>
    <w:p w:rsidR="00CB0DD7" w:rsidRPr="000A0A5F" w:rsidRDefault="00CB0DD7">
      <w:pPr>
        <w:pStyle w:val="Heading3"/>
      </w:pPr>
      <w:bookmarkStart w:id="8349" w:name="_Toc11247816"/>
      <w:bookmarkStart w:id="8350" w:name="_Toc27044960"/>
      <w:bookmarkStart w:id="8351" w:name="_Toc36034002"/>
      <w:bookmarkStart w:id="8352" w:name="_Toc45132148"/>
      <w:bookmarkStart w:id="8353" w:name="_Toc49776433"/>
      <w:bookmarkStart w:id="8354" w:name="_Toc51747353"/>
      <w:bookmarkStart w:id="8355" w:name="_Toc66360929"/>
      <w:bookmarkStart w:id="8356" w:name="_Toc68105434"/>
      <w:bookmarkStart w:id="8357" w:name="_Toc74756064"/>
      <w:bookmarkStart w:id="8358" w:name="_Toc105674941"/>
      <w:bookmarkStart w:id="8359" w:name="_Toc130503009"/>
      <w:bookmarkStart w:id="8360" w:name="_Toc153625797"/>
      <w:r w:rsidRPr="000A0A5F">
        <w:t>5.12.1</w:t>
      </w:r>
      <w:r w:rsidRPr="000A0A5F">
        <w:tab/>
        <w:t>Overview</w:t>
      </w:r>
      <w:bookmarkEnd w:id="8349"/>
      <w:bookmarkEnd w:id="8350"/>
      <w:bookmarkEnd w:id="8351"/>
      <w:bookmarkEnd w:id="8352"/>
      <w:bookmarkEnd w:id="8353"/>
      <w:bookmarkEnd w:id="8354"/>
      <w:bookmarkEnd w:id="8355"/>
      <w:bookmarkEnd w:id="8356"/>
      <w:bookmarkEnd w:id="8357"/>
      <w:bookmarkEnd w:id="8358"/>
      <w:bookmarkEnd w:id="8359"/>
      <w:bookmarkEnd w:id="8360"/>
    </w:p>
    <w:p w:rsidR="00CB0DD7" w:rsidRPr="000A0A5F" w:rsidRDefault="00CB0DD7">
      <w:r w:rsidRPr="000A0A5F">
        <w:rPr>
          <w:rFonts w:hint="eastAsia"/>
          <w:noProof/>
          <w:lang w:eastAsia="zh-CN"/>
        </w:rPr>
        <w:t>The</w:t>
      </w:r>
      <w:r w:rsidRPr="000A0A5F">
        <w:rPr>
          <w:noProof/>
          <w:lang w:eastAsia="zh-CN"/>
        </w:rPr>
        <w:t xml:space="preserve"> </w:t>
      </w:r>
      <w:r w:rsidRPr="000A0A5F">
        <w:t>ECRControl</w:t>
      </w:r>
      <w:r w:rsidRPr="000A0A5F">
        <w:rPr>
          <w:noProof/>
          <w:lang w:eastAsia="zh-CN"/>
        </w:rPr>
        <w:t xml:space="preserve"> API is a custom API (RPC interaction) that allows the SCS/AS to query or configure the enhanced converage restriction over 3GPP networks.</w:t>
      </w:r>
      <w:r w:rsidRPr="000A0A5F">
        <w:rPr>
          <w:noProof/>
          <w:lang w:val="en-US" w:eastAsia="zh-CN"/>
        </w:rPr>
        <w:t xml:space="preserve"> </w:t>
      </w:r>
      <w:r w:rsidRPr="000A0A5F">
        <w:t xml:space="preserve">The ECRControl API defines a set of data models and related custom operation procedures for the enhanced coverage restriction control request. The corresponding JSON schema for the representation of the operations defined by the ECRControl API is provided in its complete form in Annex A.12. </w:t>
      </w:r>
    </w:p>
    <w:p w:rsidR="00CB0DD7" w:rsidRPr="000A0A5F" w:rsidRDefault="00CB0DD7">
      <w:pPr>
        <w:pStyle w:val="Heading3"/>
      </w:pPr>
      <w:bookmarkStart w:id="8361" w:name="_Toc11247817"/>
      <w:bookmarkStart w:id="8362" w:name="_Toc27044961"/>
      <w:bookmarkStart w:id="8363" w:name="_Toc36034003"/>
      <w:bookmarkStart w:id="8364" w:name="_Toc45132149"/>
      <w:bookmarkStart w:id="8365" w:name="_Toc49776434"/>
      <w:bookmarkStart w:id="8366" w:name="_Toc51747354"/>
      <w:bookmarkStart w:id="8367" w:name="_Toc66360930"/>
      <w:bookmarkStart w:id="8368" w:name="_Toc68105435"/>
      <w:bookmarkStart w:id="8369" w:name="_Toc74756065"/>
      <w:bookmarkStart w:id="8370" w:name="_Toc105674942"/>
      <w:bookmarkStart w:id="8371" w:name="_Toc130503010"/>
      <w:bookmarkStart w:id="8372" w:name="_Toc153625798"/>
      <w:r w:rsidRPr="000A0A5F">
        <w:t>5.12.2</w:t>
      </w:r>
      <w:r w:rsidRPr="000A0A5F">
        <w:tab/>
        <w:t>Data model</w:t>
      </w:r>
      <w:bookmarkEnd w:id="8361"/>
      <w:bookmarkEnd w:id="8362"/>
      <w:bookmarkEnd w:id="8363"/>
      <w:bookmarkEnd w:id="8364"/>
      <w:bookmarkEnd w:id="8365"/>
      <w:bookmarkEnd w:id="8366"/>
      <w:bookmarkEnd w:id="8367"/>
      <w:bookmarkEnd w:id="8368"/>
      <w:bookmarkEnd w:id="8369"/>
      <w:bookmarkEnd w:id="8370"/>
      <w:bookmarkEnd w:id="8371"/>
      <w:bookmarkEnd w:id="8372"/>
    </w:p>
    <w:p w:rsidR="00CB0DD7" w:rsidRPr="000A0A5F" w:rsidRDefault="00CB0DD7">
      <w:pPr>
        <w:pStyle w:val="Heading4"/>
      </w:pPr>
      <w:bookmarkStart w:id="8373" w:name="_Toc11247818"/>
      <w:bookmarkStart w:id="8374" w:name="_Toc27044962"/>
      <w:bookmarkStart w:id="8375" w:name="_Toc36034004"/>
      <w:bookmarkStart w:id="8376" w:name="_Toc45132150"/>
      <w:bookmarkStart w:id="8377" w:name="_Toc49776435"/>
      <w:bookmarkStart w:id="8378" w:name="_Toc51747355"/>
      <w:bookmarkStart w:id="8379" w:name="_Toc66360931"/>
      <w:bookmarkStart w:id="8380" w:name="_Toc68105436"/>
      <w:bookmarkStart w:id="8381" w:name="_Toc74756066"/>
      <w:bookmarkStart w:id="8382" w:name="_Toc105674943"/>
      <w:bookmarkStart w:id="8383" w:name="_Toc130503011"/>
      <w:bookmarkStart w:id="8384" w:name="_Toc153625799"/>
      <w:r w:rsidRPr="000A0A5F">
        <w:t>5.12.2.1</w:t>
      </w:r>
      <w:r w:rsidRPr="000A0A5F">
        <w:tab/>
        <w:t>Data types</w:t>
      </w:r>
      <w:bookmarkEnd w:id="8373"/>
      <w:bookmarkEnd w:id="8374"/>
      <w:bookmarkEnd w:id="8375"/>
      <w:bookmarkEnd w:id="8376"/>
      <w:bookmarkEnd w:id="8377"/>
      <w:bookmarkEnd w:id="8378"/>
      <w:bookmarkEnd w:id="8379"/>
      <w:bookmarkEnd w:id="8380"/>
      <w:bookmarkEnd w:id="8381"/>
      <w:bookmarkEnd w:id="8382"/>
      <w:bookmarkEnd w:id="8383"/>
      <w:bookmarkEnd w:id="8384"/>
    </w:p>
    <w:p w:rsidR="00CB0DD7" w:rsidRPr="000A0A5F" w:rsidRDefault="00CB0DD7">
      <w:pPr>
        <w:pStyle w:val="Heading5"/>
      </w:pPr>
      <w:bookmarkStart w:id="8385" w:name="_Toc11247819"/>
      <w:bookmarkStart w:id="8386" w:name="_Toc27044963"/>
      <w:bookmarkStart w:id="8387" w:name="_Toc36034005"/>
      <w:bookmarkStart w:id="8388" w:name="_Toc45132151"/>
      <w:bookmarkStart w:id="8389" w:name="_Toc49776436"/>
      <w:bookmarkStart w:id="8390" w:name="_Toc51747356"/>
      <w:bookmarkStart w:id="8391" w:name="_Toc66360932"/>
      <w:bookmarkStart w:id="8392" w:name="_Toc68105437"/>
      <w:bookmarkStart w:id="8393" w:name="_Toc74756067"/>
      <w:bookmarkStart w:id="8394" w:name="_Toc105674944"/>
      <w:bookmarkStart w:id="8395" w:name="_Toc130503012"/>
      <w:bookmarkStart w:id="8396" w:name="_Toc153625800"/>
      <w:r w:rsidRPr="000A0A5F">
        <w:t>5.12.2.1.1</w:t>
      </w:r>
      <w:r w:rsidRPr="000A0A5F">
        <w:tab/>
        <w:t>Introduction</w:t>
      </w:r>
      <w:bookmarkEnd w:id="8385"/>
      <w:bookmarkEnd w:id="8386"/>
      <w:bookmarkEnd w:id="8387"/>
      <w:bookmarkEnd w:id="8388"/>
      <w:bookmarkEnd w:id="8389"/>
      <w:bookmarkEnd w:id="8390"/>
      <w:bookmarkEnd w:id="8391"/>
      <w:bookmarkEnd w:id="8392"/>
      <w:bookmarkEnd w:id="8393"/>
      <w:bookmarkEnd w:id="8394"/>
      <w:bookmarkEnd w:id="8395"/>
      <w:bookmarkEnd w:id="8396"/>
    </w:p>
    <w:p w:rsidR="00CB0DD7" w:rsidRPr="000A0A5F" w:rsidRDefault="00CB0DD7">
      <w:r w:rsidRPr="000A0A5F">
        <w:t>This clause defines data structures to be used in the request and response.</w:t>
      </w:r>
    </w:p>
    <w:p w:rsidR="00CB0DD7" w:rsidRPr="000A0A5F" w:rsidRDefault="00CB0DD7">
      <w:r w:rsidRPr="000A0A5F">
        <w:t xml:space="preserve">Table 5.12.2.1.1-1 specifies data types re-used by the ECRControl API from other specifications, including a reference to their respective specifications and when needed, a short description of their use within the ECRControl API. </w:t>
      </w:r>
    </w:p>
    <w:p w:rsidR="00CB0DD7" w:rsidRPr="000A0A5F" w:rsidRDefault="00CB0DD7">
      <w:pPr>
        <w:pStyle w:val="TH"/>
      </w:pPr>
      <w:r w:rsidRPr="000A0A5F">
        <w:t>Table 5.12.2.1.1-1: ECRControl API re-used Data Types</w:t>
      </w:r>
    </w:p>
    <w:tbl>
      <w:tblPr>
        <w:tblW w:w="917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018"/>
        <w:gridCol w:w="1848"/>
        <w:gridCol w:w="5308"/>
      </w:tblGrid>
      <w:tr w:rsidR="00CB0DD7" w:rsidRPr="000A0A5F" w:rsidTr="00FF0AF8">
        <w:trPr>
          <w:jc w:val="center"/>
        </w:trPr>
        <w:tc>
          <w:tcPr>
            <w:tcW w:w="2018" w:type="dxa"/>
            <w:shd w:val="clear" w:color="auto" w:fill="C0C0C0"/>
            <w:hideMark/>
          </w:tcPr>
          <w:p w:rsidR="00CB0DD7" w:rsidRPr="000A0A5F" w:rsidRDefault="00CB0DD7">
            <w:pPr>
              <w:pStyle w:val="TAH"/>
            </w:pPr>
            <w:r w:rsidRPr="000A0A5F">
              <w:t>Data type</w:t>
            </w:r>
          </w:p>
        </w:tc>
        <w:tc>
          <w:tcPr>
            <w:tcW w:w="1848" w:type="dxa"/>
            <w:shd w:val="clear" w:color="auto" w:fill="C0C0C0"/>
          </w:tcPr>
          <w:p w:rsidR="00CB0DD7" w:rsidRPr="000A0A5F" w:rsidRDefault="00CB0DD7">
            <w:pPr>
              <w:pStyle w:val="TAH"/>
            </w:pPr>
            <w:r w:rsidRPr="000A0A5F">
              <w:t>Reference</w:t>
            </w:r>
          </w:p>
        </w:tc>
        <w:tc>
          <w:tcPr>
            <w:tcW w:w="5308" w:type="dxa"/>
            <w:shd w:val="clear" w:color="auto" w:fill="C0C0C0"/>
            <w:hideMark/>
          </w:tcPr>
          <w:p w:rsidR="00CB0DD7" w:rsidRPr="000A0A5F" w:rsidRDefault="00CB0DD7">
            <w:pPr>
              <w:pStyle w:val="TAH"/>
            </w:pPr>
            <w:r w:rsidRPr="000A0A5F">
              <w:t>Comments</w:t>
            </w:r>
          </w:p>
        </w:tc>
      </w:tr>
      <w:tr w:rsidR="00CB0DD7" w:rsidRPr="000A0A5F" w:rsidTr="00FF0AF8">
        <w:trPr>
          <w:jc w:val="center"/>
        </w:trPr>
        <w:tc>
          <w:tcPr>
            <w:tcW w:w="2018" w:type="dxa"/>
          </w:tcPr>
          <w:p w:rsidR="00CB0DD7" w:rsidRPr="000A0A5F" w:rsidRDefault="00CB0DD7">
            <w:pPr>
              <w:pStyle w:val="TAL"/>
            </w:pPr>
            <w:r w:rsidRPr="000A0A5F">
              <w:rPr>
                <w:lang w:eastAsia="zh-CN"/>
              </w:rPr>
              <w:t>EcRestrictionDataWb</w:t>
            </w:r>
          </w:p>
        </w:tc>
        <w:tc>
          <w:tcPr>
            <w:tcW w:w="1848" w:type="dxa"/>
          </w:tcPr>
          <w:p w:rsidR="00CB0DD7" w:rsidRPr="000A0A5F" w:rsidRDefault="00CB0DD7">
            <w:pPr>
              <w:pStyle w:val="TAL"/>
              <w:rPr>
                <w:lang w:eastAsia="zh-CN"/>
              </w:rPr>
            </w:pPr>
            <w:r w:rsidRPr="000A0A5F">
              <w:rPr>
                <w:rFonts w:hint="eastAsia"/>
                <w:lang w:eastAsia="zh-CN"/>
              </w:rPr>
              <w:t>3</w:t>
            </w:r>
            <w:r w:rsidRPr="000A0A5F">
              <w:rPr>
                <w:lang w:eastAsia="zh-CN"/>
              </w:rPr>
              <w:t>GPP</w:t>
            </w:r>
            <w:r w:rsidRPr="000A0A5F">
              <w:rPr>
                <w:lang w:val="en-US" w:eastAsia="zh-CN"/>
              </w:rPr>
              <w:t> TS 29.503 [63]</w:t>
            </w:r>
          </w:p>
        </w:tc>
        <w:tc>
          <w:tcPr>
            <w:tcW w:w="5308" w:type="dxa"/>
          </w:tcPr>
          <w:p w:rsidR="00CB0DD7" w:rsidRPr="000A0A5F" w:rsidRDefault="00090953">
            <w:pPr>
              <w:pStyle w:val="TAL"/>
              <w:rPr>
                <w:lang w:eastAsia="zh-CN"/>
              </w:rPr>
            </w:pPr>
            <w:r>
              <w:rPr>
                <w:lang w:eastAsia="zh-CN"/>
              </w:rPr>
              <w:t xml:space="preserve">Contains the </w:t>
            </w:r>
            <w:r w:rsidRPr="00B06F7A">
              <w:rPr>
                <w:rFonts w:cs="Arial" w:hint="eastAsia"/>
                <w:szCs w:val="18"/>
              </w:rPr>
              <w:t>Enhance Coverage Restriction Data</w:t>
            </w:r>
            <w:r>
              <w:rPr>
                <w:rFonts w:cs="Arial"/>
                <w:szCs w:val="18"/>
              </w:rPr>
              <w:t>.</w:t>
            </w:r>
          </w:p>
        </w:tc>
      </w:tr>
      <w:tr w:rsidR="00CB0DD7" w:rsidRPr="000A0A5F" w:rsidTr="00FF0AF8">
        <w:trPr>
          <w:jc w:val="center"/>
        </w:trPr>
        <w:tc>
          <w:tcPr>
            <w:tcW w:w="2018" w:type="dxa"/>
          </w:tcPr>
          <w:p w:rsidR="00CB0DD7" w:rsidRPr="000A0A5F" w:rsidRDefault="00CB0DD7">
            <w:pPr>
              <w:pStyle w:val="TAL"/>
            </w:pPr>
            <w:r w:rsidRPr="000A0A5F">
              <w:t>SupportedFeatures</w:t>
            </w:r>
          </w:p>
        </w:tc>
        <w:tc>
          <w:tcPr>
            <w:tcW w:w="1848" w:type="dxa"/>
          </w:tcPr>
          <w:p w:rsidR="00CB0DD7" w:rsidRPr="000A0A5F" w:rsidRDefault="00CB0DD7">
            <w:pPr>
              <w:pStyle w:val="TAL"/>
              <w:rPr>
                <w:rFonts w:hint="eastAsia"/>
                <w:lang w:eastAsia="zh-CN"/>
              </w:rPr>
            </w:pPr>
            <w:r w:rsidRPr="000A0A5F">
              <w:rPr>
                <w:lang w:eastAsia="zh-CN"/>
              </w:rPr>
              <w:t>3GPP TS 29.571 [45]</w:t>
            </w:r>
          </w:p>
        </w:tc>
        <w:tc>
          <w:tcPr>
            <w:tcW w:w="5308" w:type="dxa"/>
          </w:tcPr>
          <w:p w:rsidR="00CB0DD7" w:rsidRPr="000A0A5F" w:rsidRDefault="00CB0DD7">
            <w:pPr>
              <w:pStyle w:val="TAL"/>
              <w:rPr>
                <w:lang w:eastAsia="zh-CN"/>
              </w:rPr>
            </w:pPr>
            <w:r w:rsidRPr="000A0A5F">
              <w:rPr>
                <w:lang w:eastAsia="zh-CN"/>
              </w:rPr>
              <w:t>Used to negotiate the applicability of the optional features defined in table 5.12.4-1.</w:t>
            </w:r>
          </w:p>
        </w:tc>
      </w:tr>
    </w:tbl>
    <w:p w:rsidR="00CB0DD7" w:rsidRPr="000A0A5F" w:rsidRDefault="00CB0DD7"/>
    <w:p w:rsidR="00AC0E52" w:rsidRPr="000A0A5F" w:rsidRDefault="00AC0E52" w:rsidP="00AC0E52">
      <w:bookmarkStart w:id="8397" w:name="_Toc11247820"/>
      <w:bookmarkStart w:id="8398" w:name="_Toc27044964"/>
      <w:bookmarkStart w:id="8399" w:name="_Toc36034006"/>
      <w:bookmarkStart w:id="8400" w:name="_Toc45132152"/>
      <w:bookmarkStart w:id="8401" w:name="_Toc49776437"/>
      <w:bookmarkStart w:id="8402" w:name="_Toc51747357"/>
      <w:bookmarkStart w:id="8403" w:name="_Toc66360933"/>
      <w:bookmarkStart w:id="8404" w:name="_Toc68105438"/>
      <w:bookmarkStart w:id="8405" w:name="_Toc74756068"/>
      <w:r w:rsidRPr="000A0A5F">
        <w:t>Table 5.12.2.1.1-2 specifies the data types defined for the ECRControl API.</w:t>
      </w:r>
    </w:p>
    <w:p w:rsidR="00AC0E52" w:rsidRPr="000A0A5F" w:rsidRDefault="00AC0E52" w:rsidP="00AC0E52">
      <w:pPr>
        <w:pStyle w:val="TH"/>
      </w:pPr>
      <w:r w:rsidRPr="000A0A5F">
        <w:t>Table 5.12.2.1.1-2: ECRControl API specific Data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294"/>
        <w:gridCol w:w="1396"/>
        <w:gridCol w:w="3825"/>
        <w:gridCol w:w="1609"/>
      </w:tblGrid>
      <w:tr w:rsidR="00AC0E52" w:rsidRPr="000A0A5F" w:rsidTr="00090953">
        <w:trPr>
          <w:jc w:val="center"/>
        </w:trPr>
        <w:tc>
          <w:tcPr>
            <w:tcW w:w="2294" w:type="dxa"/>
            <w:shd w:val="clear" w:color="auto" w:fill="C0C0C0"/>
            <w:vAlign w:val="center"/>
            <w:hideMark/>
          </w:tcPr>
          <w:p w:rsidR="00AC0E52" w:rsidRPr="000A0A5F" w:rsidRDefault="00AC0E52" w:rsidP="00AC0E52">
            <w:pPr>
              <w:pStyle w:val="TAH"/>
            </w:pPr>
            <w:r w:rsidRPr="000A0A5F">
              <w:t>Data type</w:t>
            </w:r>
          </w:p>
        </w:tc>
        <w:tc>
          <w:tcPr>
            <w:tcW w:w="1396" w:type="dxa"/>
            <w:shd w:val="clear" w:color="auto" w:fill="C0C0C0"/>
            <w:vAlign w:val="center"/>
          </w:tcPr>
          <w:p w:rsidR="00AC0E52" w:rsidRPr="000A0A5F" w:rsidRDefault="00AC0E52" w:rsidP="00AC0E52">
            <w:pPr>
              <w:pStyle w:val="TAH"/>
            </w:pPr>
            <w:r w:rsidRPr="000A0A5F">
              <w:t>Clause defined</w:t>
            </w:r>
          </w:p>
        </w:tc>
        <w:tc>
          <w:tcPr>
            <w:tcW w:w="3825" w:type="dxa"/>
            <w:shd w:val="clear" w:color="auto" w:fill="C0C0C0"/>
            <w:vAlign w:val="center"/>
            <w:hideMark/>
          </w:tcPr>
          <w:p w:rsidR="00AC0E52" w:rsidRPr="000A0A5F" w:rsidRDefault="00AC0E52" w:rsidP="00AC0E52">
            <w:pPr>
              <w:pStyle w:val="TAH"/>
            </w:pPr>
            <w:r w:rsidRPr="000A0A5F">
              <w:t>Description</w:t>
            </w:r>
          </w:p>
        </w:tc>
        <w:tc>
          <w:tcPr>
            <w:tcW w:w="1609" w:type="dxa"/>
            <w:shd w:val="clear" w:color="auto" w:fill="C0C0C0"/>
            <w:vAlign w:val="center"/>
          </w:tcPr>
          <w:p w:rsidR="00AC0E52" w:rsidRPr="000A0A5F" w:rsidRDefault="00AC0E52" w:rsidP="00AC0E52">
            <w:pPr>
              <w:pStyle w:val="TAH"/>
            </w:pPr>
            <w:r w:rsidRPr="000A0A5F">
              <w:t>Applicability</w:t>
            </w:r>
          </w:p>
        </w:tc>
      </w:tr>
      <w:tr w:rsidR="00AC0E52" w:rsidRPr="000A0A5F" w:rsidTr="00090953">
        <w:trPr>
          <w:jc w:val="center"/>
        </w:trPr>
        <w:tc>
          <w:tcPr>
            <w:tcW w:w="2294" w:type="dxa"/>
            <w:vAlign w:val="center"/>
          </w:tcPr>
          <w:p w:rsidR="00AC0E52" w:rsidRPr="000A0A5F" w:rsidRDefault="00AC0E52" w:rsidP="00AC0E52">
            <w:pPr>
              <w:pStyle w:val="TAL"/>
            </w:pPr>
            <w:r w:rsidRPr="000A0A5F">
              <w:t>ECRControl</w:t>
            </w:r>
          </w:p>
        </w:tc>
        <w:tc>
          <w:tcPr>
            <w:tcW w:w="1396" w:type="dxa"/>
            <w:vAlign w:val="center"/>
          </w:tcPr>
          <w:p w:rsidR="00AC0E52" w:rsidRPr="000A0A5F" w:rsidRDefault="00AC0E52" w:rsidP="00AC0E52">
            <w:pPr>
              <w:pStyle w:val="TAC"/>
            </w:pPr>
            <w:r w:rsidRPr="000A0A5F">
              <w:t>5.12.2.1.2</w:t>
            </w:r>
          </w:p>
        </w:tc>
        <w:tc>
          <w:tcPr>
            <w:tcW w:w="3825" w:type="dxa"/>
            <w:vAlign w:val="center"/>
          </w:tcPr>
          <w:p w:rsidR="00AC0E52" w:rsidRPr="000A0A5F" w:rsidRDefault="00AC0E52" w:rsidP="00AC0E52">
            <w:pPr>
              <w:pStyle w:val="TAL"/>
              <w:rPr>
                <w:rFonts w:cs="Arial"/>
                <w:szCs w:val="18"/>
              </w:rPr>
            </w:pPr>
            <w:r w:rsidRPr="000A0A5F">
              <w:t>Represents the parameters to request Enhanced Coverage Restriction control.</w:t>
            </w:r>
          </w:p>
        </w:tc>
        <w:tc>
          <w:tcPr>
            <w:tcW w:w="1609" w:type="dxa"/>
            <w:vAlign w:val="center"/>
          </w:tcPr>
          <w:p w:rsidR="00AC0E52" w:rsidRPr="000A0A5F" w:rsidRDefault="00AC0E52" w:rsidP="00AC0E52">
            <w:pPr>
              <w:pStyle w:val="TAL"/>
              <w:rPr>
                <w:rFonts w:cs="Arial"/>
                <w:szCs w:val="18"/>
              </w:rPr>
            </w:pPr>
          </w:p>
        </w:tc>
      </w:tr>
      <w:tr w:rsidR="00AC0E52" w:rsidRPr="000A0A5F" w:rsidTr="00090953">
        <w:trPr>
          <w:jc w:val="center"/>
        </w:trPr>
        <w:tc>
          <w:tcPr>
            <w:tcW w:w="2294" w:type="dxa"/>
            <w:vAlign w:val="center"/>
          </w:tcPr>
          <w:p w:rsidR="00AC0E52" w:rsidRPr="000A0A5F" w:rsidRDefault="00AC0E52" w:rsidP="00AC0E52">
            <w:pPr>
              <w:pStyle w:val="TAL"/>
            </w:pPr>
            <w:r w:rsidRPr="000A0A5F">
              <w:t>ECRData</w:t>
            </w:r>
          </w:p>
        </w:tc>
        <w:tc>
          <w:tcPr>
            <w:tcW w:w="1396" w:type="dxa"/>
            <w:vAlign w:val="center"/>
          </w:tcPr>
          <w:p w:rsidR="00AC0E52" w:rsidRPr="000A0A5F" w:rsidRDefault="00AC0E52" w:rsidP="00AC0E52">
            <w:pPr>
              <w:pStyle w:val="TAC"/>
            </w:pPr>
            <w:r w:rsidRPr="000A0A5F">
              <w:t>5.12.2.1.3</w:t>
            </w:r>
          </w:p>
        </w:tc>
        <w:tc>
          <w:tcPr>
            <w:tcW w:w="3825" w:type="dxa"/>
            <w:vAlign w:val="center"/>
          </w:tcPr>
          <w:p w:rsidR="00AC0E52" w:rsidRPr="000A0A5F" w:rsidRDefault="00AC0E52" w:rsidP="00AC0E52">
            <w:pPr>
              <w:pStyle w:val="TAL"/>
              <w:rPr>
                <w:rFonts w:cs="Arial"/>
                <w:szCs w:val="18"/>
              </w:rPr>
            </w:pPr>
            <w:r w:rsidRPr="000A0A5F">
              <w:t>Represents the current visited PLMN (if any) and the current settings of enhanced coverage restriction.</w:t>
            </w:r>
          </w:p>
        </w:tc>
        <w:tc>
          <w:tcPr>
            <w:tcW w:w="1609" w:type="dxa"/>
            <w:vAlign w:val="center"/>
          </w:tcPr>
          <w:p w:rsidR="00AC0E52" w:rsidRPr="000A0A5F" w:rsidRDefault="00AC0E52" w:rsidP="00AC0E52">
            <w:pPr>
              <w:pStyle w:val="TAL"/>
              <w:rPr>
                <w:rFonts w:cs="Arial"/>
                <w:szCs w:val="18"/>
              </w:rPr>
            </w:pPr>
          </w:p>
        </w:tc>
      </w:tr>
      <w:tr w:rsidR="00AC0E52" w:rsidRPr="000A0A5F" w:rsidTr="00090953">
        <w:trPr>
          <w:jc w:val="center"/>
        </w:trPr>
        <w:tc>
          <w:tcPr>
            <w:tcW w:w="2294" w:type="dxa"/>
            <w:vAlign w:val="center"/>
          </w:tcPr>
          <w:p w:rsidR="00AC0E52" w:rsidRPr="000A0A5F" w:rsidRDefault="00AC0E52" w:rsidP="00AC0E52">
            <w:pPr>
              <w:pStyle w:val="TAL"/>
            </w:pPr>
            <w:r w:rsidRPr="000A0A5F">
              <w:rPr>
                <w:lang w:eastAsia="zh-CN"/>
              </w:rPr>
              <w:t>PlmnEcRestrictionDataWb</w:t>
            </w:r>
          </w:p>
        </w:tc>
        <w:tc>
          <w:tcPr>
            <w:tcW w:w="1396" w:type="dxa"/>
            <w:vAlign w:val="center"/>
          </w:tcPr>
          <w:p w:rsidR="00AC0E52" w:rsidRPr="000A0A5F" w:rsidRDefault="00AC0E52" w:rsidP="00AC0E52">
            <w:pPr>
              <w:pStyle w:val="TAC"/>
            </w:pPr>
            <w:r w:rsidRPr="000A0A5F">
              <w:t>5.12.2.1.4</w:t>
            </w:r>
          </w:p>
        </w:tc>
        <w:tc>
          <w:tcPr>
            <w:tcW w:w="3825" w:type="dxa"/>
            <w:vAlign w:val="center"/>
          </w:tcPr>
          <w:p w:rsidR="00AC0E52" w:rsidRPr="000A0A5F" w:rsidRDefault="00AC0E52" w:rsidP="00AC0E52">
            <w:pPr>
              <w:pStyle w:val="TAL"/>
              <w:rPr>
                <w:rFonts w:cs="Arial"/>
                <w:szCs w:val="18"/>
              </w:rPr>
            </w:pPr>
            <w:r w:rsidRPr="000A0A5F">
              <w:t>Indicates whether enhanced coverage mode is restricted or not for a PLMN ID.</w:t>
            </w:r>
          </w:p>
        </w:tc>
        <w:tc>
          <w:tcPr>
            <w:tcW w:w="1609" w:type="dxa"/>
            <w:vAlign w:val="center"/>
          </w:tcPr>
          <w:p w:rsidR="00AC0E52" w:rsidRPr="000A0A5F" w:rsidRDefault="00AC0E52" w:rsidP="00AC0E52">
            <w:pPr>
              <w:pStyle w:val="TAL"/>
              <w:rPr>
                <w:rFonts w:cs="Arial"/>
                <w:szCs w:val="18"/>
              </w:rPr>
            </w:pPr>
            <w:r w:rsidRPr="000A0A5F">
              <w:rPr>
                <w:rFonts w:cs="Arial"/>
                <w:szCs w:val="18"/>
              </w:rPr>
              <w:t>ECR_WB_5G</w:t>
            </w:r>
          </w:p>
        </w:tc>
      </w:tr>
    </w:tbl>
    <w:p w:rsidR="00AC0E52" w:rsidRPr="000A0A5F" w:rsidRDefault="00AC0E52" w:rsidP="00AC0E52"/>
    <w:p w:rsidR="00CB0DD7" w:rsidRPr="000A0A5F" w:rsidRDefault="00CB0DD7">
      <w:pPr>
        <w:pStyle w:val="Heading5"/>
      </w:pPr>
      <w:bookmarkStart w:id="8406" w:name="_Toc105674945"/>
      <w:bookmarkStart w:id="8407" w:name="_Toc130503013"/>
      <w:bookmarkStart w:id="8408" w:name="_Toc153625801"/>
      <w:r w:rsidRPr="000A0A5F">
        <w:t>5.12.2.1.2</w:t>
      </w:r>
      <w:r w:rsidRPr="000A0A5F">
        <w:tab/>
        <w:t>Type: ECRControl</w:t>
      </w:r>
      <w:bookmarkEnd w:id="8397"/>
      <w:bookmarkEnd w:id="8398"/>
      <w:bookmarkEnd w:id="8399"/>
      <w:bookmarkEnd w:id="8400"/>
      <w:bookmarkEnd w:id="8401"/>
      <w:bookmarkEnd w:id="8402"/>
      <w:bookmarkEnd w:id="8403"/>
      <w:bookmarkEnd w:id="8404"/>
      <w:bookmarkEnd w:id="8405"/>
      <w:bookmarkEnd w:id="8406"/>
      <w:bookmarkEnd w:id="8407"/>
      <w:bookmarkEnd w:id="8408"/>
    </w:p>
    <w:p w:rsidR="00CB0DD7" w:rsidRPr="000A0A5F" w:rsidRDefault="00CB0DD7">
      <w:r w:rsidRPr="000A0A5F">
        <w:t>This type represents the Enhanced Coverage Restriction control request. The structure is used only for request.</w:t>
      </w:r>
    </w:p>
    <w:p w:rsidR="00CB0DD7" w:rsidRPr="000A0A5F" w:rsidRDefault="00CB0DD7">
      <w:pPr>
        <w:pStyle w:val="TH"/>
      </w:pPr>
      <w:r w:rsidRPr="000A0A5F">
        <w:rPr>
          <w:noProof/>
        </w:rPr>
        <w:t>Table </w:t>
      </w:r>
      <w:r w:rsidRPr="000A0A5F">
        <w:t xml:space="preserve">5.12.2.1.2-1: </w:t>
      </w:r>
      <w:r w:rsidRPr="000A0A5F">
        <w:rPr>
          <w:noProof/>
        </w:rPr>
        <w:t xml:space="preserve">Definition of type </w:t>
      </w:r>
      <w:r w:rsidRPr="000A0A5F">
        <w:t>ECRControl</w:t>
      </w:r>
    </w:p>
    <w:tbl>
      <w:tblPr>
        <w:tblW w:w="955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61"/>
        <w:gridCol w:w="1842"/>
        <w:gridCol w:w="1134"/>
        <w:gridCol w:w="3687"/>
        <w:gridCol w:w="1235"/>
        <w:tblGridChange w:id="8409">
          <w:tblGrid>
            <w:gridCol w:w="1661"/>
            <w:gridCol w:w="1842"/>
            <w:gridCol w:w="1134"/>
            <w:gridCol w:w="3687"/>
            <w:gridCol w:w="1235"/>
          </w:tblGrid>
        </w:tblGridChange>
      </w:tblGrid>
      <w:tr w:rsidR="00CB0DD7" w:rsidRPr="000A0A5F" w:rsidTr="00FF0AF8">
        <w:trPr>
          <w:trHeight w:val="288"/>
          <w:jc w:val="center"/>
        </w:trPr>
        <w:tc>
          <w:tcPr>
            <w:tcW w:w="1661" w:type="dxa"/>
            <w:shd w:val="clear" w:color="auto" w:fill="C0C0C0"/>
          </w:tcPr>
          <w:p w:rsidR="00CB0DD7" w:rsidRPr="000A0A5F" w:rsidRDefault="00CB0DD7">
            <w:pPr>
              <w:pStyle w:val="TAH"/>
              <w:rPr>
                <w:rFonts w:eastAsia="Times New Roman"/>
              </w:rPr>
            </w:pPr>
            <w:r w:rsidRPr="000A0A5F">
              <w:rPr>
                <w:rFonts w:eastAsia="Times New Roman"/>
              </w:rPr>
              <w:t>Attribute name</w:t>
            </w:r>
          </w:p>
        </w:tc>
        <w:tc>
          <w:tcPr>
            <w:tcW w:w="1842" w:type="dxa"/>
            <w:shd w:val="clear" w:color="auto" w:fill="C0C0C0"/>
          </w:tcPr>
          <w:p w:rsidR="00CB0DD7" w:rsidRPr="000A0A5F" w:rsidRDefault="00CB0DD7">
            <w:pPr>
              <w:pStyle w:val="TAH"/>
              <w:rPr>
                <w:rFonts w:eastAsia="Times New Roman"/>
              </w:rPr>
            </w:pPr>
            <w:r w:rsidRPr="000A0A5F">
              <w:rPr>
                <w:rFonts w:eastAsia="Times New Roman"/>
              </w:rPr>
              <w:t>Data type</w:t>
            </w:r>
          </w:p>
        </w:tc>
        <w:tc>
          <w:tcPr>
            <w:tcW w:w="1134" w:type="dxa"/>
            <w:shd w:val="clear" w:color="auto" w:fill="C0C0C0"/>
          </w:tcPr>
          <w:p w:rsidR="00CB0DD7" w:rsidRPr="000A0A5F" w:rsidRDefault="00CB0DD7">
            <w:pPr>
              <w:pStyle w:val="TAH"/>
              <w:rPr>
                <w:rFonts w:eastAsia="Times New Roman"/>
              </w:rPr>
            </w:pPr>
            <w:r w:rsidRPr="000A0A5F">
              <w:rPr>
                <w:rFonts w:eastAsia="Times New Roman"/>
              </w:rPr>
              <w:t>Cardinality</w:t>
            </w:r>
          </w:p>
        </w:tc>
        <w:tc>
          <w:tcPr>
            <w:tcW w:w="3687"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Description</w:t>
            </w:r>
          </w:p>
        </w:tc>
        <w:tc>
          <w:tcPr>
            <w:tcW w:w="1235" w:type="dxa"/>
            <w:shd w:val="clear" w:color="auto" w:fill="C0C0C0"/>
          </w:tcPr>
          <w:p w:rsidR="00CB0DD7" w:rsidRPr="000A0A5F" w:rsidRDefault="00CB0DD7">
            <w:pPr>
              <w:pStyle w:val="TAH"/>
              <w:rPr>
                <w:rFonts w:eastAsia="Times New Roman"/>
              </w:rPr>
            </w:pPr>
            <w:r w:rsidRPr="000A0A5F">
              <w:rPr>
                <w:rFonts w:eastAsia="Times New Roman" w:cs="Arial"/>
                <w:szCs w:val="18"/>
              </w:rPr>
              <w:t>Applicability (NOTE 1)</w:t>
            </w:r>
          </w:p>
        </w:tc>
      </w:tr>
      <w:tr w:rsidR="00CB0DD7" w:rsidRPr="000A0A5F" w:rsidTr="00FF0AF8">
        <w:trPr>
          <w:trHeight w:val="288"/>
          <w:jc w:val="center"/>
        </w:trPr>
        <w:tc>
          <w:tcPr>
            <w:tcW w:w="1661" w:type="dxa"/>
            <w:shd w:val="clear" w:color="auto" w:fill="auto"/>
          </w:tcPr>
          <w:p w:rsidR="00CB0DD7" w:rsidRPr="000A0A5F" w:rsidRDefault="00CB0DD7">
            <w:pPr>
              <w:pStyle w:val="TAH"/>
              <w:jc w:val="left"/>
              <w:rPr>
                <w:rFonts w:eastAsia="Times New Roman"/>
                <w:b w:val="0"/>
              </w:rPr>
            </w:pPr>
            <w:r w:rsidRPr="000A0A5F">
              <w:rPr>
                <w:b w:val="0"/>
              </w:rPr>
              <w:t>supportedFeatures</w:t>
            </w:r>
          </w:p>
        </w:tc>
        <w:tc>
          <w:tcPr>
            <w:tcW w:w="1842" w:type="dxa"/>
            <w:shd w:val="clear" w:color="auto" w:fill="auto"/>
          </w:tcPr>
          <w:p w:rsidR="00CB0DD7" w:rsidRPr="000A0A5F" w:rsidRDefault="00CB0DD7">
            <w:pPr>
              <w:pStyle w:val="TAH"/>
              <w:jc w:val="left"/>
              <w:rPr>
                <w:rFonts w:eastAsia="Times New Roman"/>
                <w:b w:val="0"/>
              </w:rPr>
            </w:pPr>
            <w:r w:rsidRPr="000A0A5F">
              <w:rPr>
                <w:b w:val="0"/>
              </w:rPr>
              <w:t>SupportedFeatures</w:t>
            </w:r>
          </w:p>
        </w:tc>
        <w:tc>
          <w:tcPr>
            <w:tcW w:w="1134" w:type="dxa"/>
            <w:shd w:val="clear" w:color="auto" w:fill="auto"/>
          </w:tcPr>
          <w:p w:rsidR="00CB0DD7" w:rsidRPr="000A0A5F" w:rsidRDefault="00CB0DD7">
            <w:pPr>
              <w:pStyle w:val="TAH"/>
              <w:jc w:val="left"/>
              <w:rPr>
                <w:rFonts w:eastAsia="Times New Roman"/>
                <w:b w:val="0"/>
              </w:rPr>
            </w:pPr>
            <w:r w:rsidRPr="000A0A5F">
              <w:rPr>
                <w:b w:val="0"/>
              </w:rPr>
              <w:t>1</w:t>
            </w:r>
          </w:p>
        </w:tc>
        <w:tc>
          <w:tcPr>
            <w:tcW w:w="3687" w:type="dxa"/>
            <w:shd w:val="clear" w:color="auto" w:fill="auto"/>
          </w:tcPr>
          <w:p w:rsidR="00CB0DD7" w:rsidRPr="000A0A5F" w:rsidRDefault="00CB0DD7">
            <w:pPr>
              <w:pStyle w:val="TAH"/>
              <w:jc w:val="left"/>
              <w:rPr>
                <w:rFonts w:eastAsia="Times New Roman" w:cs="Arial"/>
                <w:b w:val="0"/>
                <w:szCs w:val="18"/>
              </w:rPr>
            </w:pPr>
            <w:r w:rsidRPr="000A0A5F">
              <w:rPr>
                <w:b w:val="0"/>
              </w:rPr>
              <w:t>Used to negotiate the supported optional features of the API as described in clause</w:t>
            </w:r>
            <w:r w:rsidR="000902D9" w:rsidRPr="000A0A5F">
              <w:rPr>
                <w:b w:val="0"/>
              </w:rPr>
              <w:t> </w:t>
            </w:r>
            <w:r w:rsidRPr="000A0A5F">
              <w:rPr>
                <w:b w:val="0"/>
              </w:rPr>
              <w:t>5.2.7.</w:t>
            </w:r>
          </w:p>
        </w:tc>
        <w:tc>
          <w:tcPr>
            <w:tcW w:w="1235" w:type="dxa"/>
            <w:shd w:val="clear" w:color="auto" w:fill="auto"/>
          </w:tcPr>
          <w:p w:rsidR="00CB0DD7" w:rsidRPr="000A0A5F" w:rsidRDefault="00CB0DD7">
            <w:pPr>
              <w:pStyle w:val="TAH"/>
              <w:rPr>
                <w:rFonts w:eastAsia="Times New Roman" w:cs="Arial"/>
                <w:b w:val="0"/>
                <w:szCs w:val="18"/>
              </w:rPr>
            </w:pPr>
          </w:p>
        </w:tc>
      </w:tr>
      <w:tr w:rsidR="00CB0DD7" w:rsidRPr="000A0A5F" w:rsidTr="00FF0AF8">
        <w:trPr>
          <w:trHeight w:val="288"/>
          <w:jc w:val="center"/>
        </w:trPr>
        <w:tc>
          <w:tcPr>
            <w:tcW w:w="1661" w:type="dxa"/>
            <w:shd w:val="clear" w:color="auto" w:fill="auto"/>
          </w:tcPr>
          <w:p w:rsidR="00CB0DD7" w:rsidRPr="000A0A5F" w:rsidRDefault="00CB0DD7">
            <w:pPr>
              <w:pStyle w:val="TAL"/>
              <w:rPr>
                <w:b/>
              </w:rPr>
            </w:pPr>
            <w:r w:rsidRPr="000A0A5F">
              <w:t>mtcProviderId</w:t>
            </w:r>
          </w:p>
        </w:tc>
        <w:tc>
          <w:tcPr>
            <w:tcW w:w="1842" w:type="dxa"/>
            <w:shd w:val="clear" w:color="auto" w:fill="auto"/>
          </w:tcPr>
          <w:p w:rsidR="00CB0DD7" w:rsidRPr="000A0A5F" w:rsidRDefault="00CB0DD7">
            <w:pPr>
              <w:pStyle w:val="TAL"/>
              <w:rPr>
                <w:b/>
              </w:rPr>
            </w:pPr>
            <w:r w:rsidRPr="000A0A5F">
              <w:t>string</w:t>
            </w:r>
          </w:p>
        </w:tc>
        <w:tc>
          <w:tcPr>
            <w:tcW w:w="1134" w:type="dxa"/>
            <w:shd w:val="clear" w:color="auto" w:fill="auto"/>
          </w:tcPr>
          <w:p w:rsidR="00CB0DD7" w:rsidRPr="000A0A5F" w:rsidRDefault="00CB0DD7">
            <w:pPr>
              <w:pStyle w:val="TAL"/>
              <w:rPr>
                <w:b/>
              </w:rPr>
            </w:pPr>
            <w:r w:rsidRPr="000A0A5F">
              <w:t>0..1</w:t>
            </w:r>
          </w:p>
        </w:tc>
        <w:tc>
          <w:tcPr>
            <w:tcW w:w="3687" w:type="dxa"/>
            <w:shd w:val="clear" w:color="auto" w:fill="auto"/>
          </w:tcPr>
          <w:p w:rsidR="00CB0DD7" w:rsidRPr="000A0A5F" w:rsidRDefault="00CB0DD7">
            <w:pPr>
              <w:pStyle w:val="TAL"/>
              <w:rPr>
                <w:b/>
              </w:rPr>
            </w:pPr>
            <w:r w:rsidRPr="000A0A5F">
              <w:t>Identifier the MTC Service Provider and/or MTC Application. (</w:t>
            </w:r>
            <w:r w:rsidRPr="000A0A5F">
              <w:rPr>
                <w:rFonts w:cs="Arial"/>
                <w:bCs/>
                <w:szCs w:val="18"/>
                <w:lang w:eastAsia="zh-CN"/>
              </w:rPr>
              <w:t>NOTE 4</w:t>
            </w:r>
            <w:r w:rsidRPr="000A0A5F">
              <w:t>).</w:t>
            </w:r>
          </w:p>
        </w:tc>
        <w:tc>
          <w:tcPr>
            <w:tcW w:w="1235" w:type="dxa"/>
            <w:shd w:val="clear" w:color="auto" w:fill="auto"/>
          </w:tcPr>
          <w:p w:rsidR="00CB0DD7" w:rsidRPr="000A0A5F" w:rsidRDefault="00CB0DD7">
            <w:pPr>
              <w:pStyle w:val="TAL"/>
              <w:rPr>
                <w:rFonts w:eastAsia="Times New Roman" w:cs="Arial"/>
                <w:b/>
                <w:szCs w:val="18"/>
              </w:rPr>
            </w:pPr>
          </w:p>
        </w:tc>
      </w:tr>
      <w:tr w:rsidR="00CB0DD7" w:rsidRPr="000A0A5F" w:rsidTr="00FF0AF8">
        <w:trPr>
          <w:trHeight w:val="288"/>
          <w:jc w:val="center"/>
        </w:trPr>
        <w:tc>
          <w:tcPr>
            <w:tcW w:w="1661" w:type="dxa"/>
            <w:shd w:val="clear" w:color="auto" w:fill="auto"/>
          </w:tcPr>
          <w:p w:rsidR="00CB0DD7" w:rsidRPr="000A0A5F" w:rsidRDefault="00CB0DD7">
            <w:pPr>
              <w:pStyle w:val="TAL"/>
              <w:rPr>
                <w:b/>
              </w:rPr>
            </w:pPr>
            <w:r w:rsidRPr="000A0A5F">
              <w:t>scsAsId</w:t>
            </w:r>
          </w:p>
        </w:tc>
        <w:tc>
          <w:tcPr>
            <w:tcW w:w="1842" w:type="dxa"/>
            <w:shd w:val="clear" w:color="auto" w:fill="auto"/>
          </w:tcPr>
          <w:p w:rsidR="00CB0DD7" w:rsidRPr="000A0A5F" w:rsidRDefault="00CB0DD7">
            <w:pPr>
              <w:pStyle w:val="TAL"/>
              <w:rPr>
                <w:b/>
              </w:rPr>
            </w:pPr>
            <w:r w:rsidRPr="000A0A5F">
              <w:t>string</w:t>
            </w:r>
          </w:p>
        </w:tc>
        <w:tc>
          <w:tcPr>
            <w:tcW w:w="1134" w:type="dxa"/>
            <w:shd w:val="clear" w:color="auto" w:fill="auto"/>
          </w:tcPr>
          <w:p w:rsidR="00CB0DD7" w:rsidRPr="000A0A5F" w:rsidRDefault="00CB0DD7">
            <w:pPr>
              <w:pStyle w:val="TAL"/>
              <w:rPr>
                <w:b/>
              </w:rPr>
            </w:pPr>
            <w:r w:rsidRPr="000A0A5F">
              <w:t>0..1</w:t>
            </w:r>
          </w:p>
        </w:tc>
        <w:tc>
          <w:tcPr>
            <w:tcW w:w="3687" w:type="dxa"/>
            <w:shd w:val="clear" w:color="auto" w:fill="auto"/>
          </w:tcPr>
          <w:p w:rsidR="00CB0DD7" w:rsidRPr="000A0A5F" w:rsidRDefault="00CB0DD7">
            <w:pPr>
              <w:pStyle w:val="TAL"/>
              <w:rPr>
                <w:b/>
              </w:rPr>
            </w:pPr>
            <w:r w:rsidRPr="000A0A5F">
              <w:t>Identifier of the SCS/AS.</w:t>
            </w:r>
          </w:p>
        </w:tc>
        <w:tc>
          <w:tcPr>
            <w:tcW w:w="1235" w:type="dxa"/>
            <w:shd w:val="clear" w:color="auto" w:fill="auto"/>
          </w:tcPr>
          <w:p w:rsidR="00CB0DD7" w:rsidRPr="000A0A5F" w:rsidRDefault="00CB0DD7">
            <w:pPr>
              <w:pStyle w:val="TAL"/>
              <w:rPr>
                <w:rFonts w:eastAsia="Times New Roman" w:cs="Arial"/>
                <w:b/>
                <w:szCs w:val="18"/>
              </w:rPr>
            </w:pPr>
          </w:p>
        </w:tc>
      </w:tr>
      <w:tr w:rsidR="00CB0DD7" w:rsidRPr="000A0A5F" w:rsidTr="00FF0AF8">
        <w:trPr>
          <w:jc w:val="center"/>
        </w:trPr>
        <w:tc>
          <w:tcPr>
            <w:tcW w:w="1661" w:type="dxa"/>
            <w:shd w:val="clear" w:color="auto" w:fill="auto"/>
          </w:tcPr>
          <w:p w:rsidR="00CB0DD7" w:rsidRPr="000A0A5F" w:rsidRDefault="00CB0DD7">
            <w:pPr>
              <w:pStyle w:val="TAL"/>
              <w:rPr>
                <w:rFonts w:eastAsia="Times New Roman"/>
              </w:rPr>
            </w:pPr>
            <w:r w:rsidRPr="000A0A5F">
              <w:rPr>
                <w:lang w:eastAsia="zh-CN"/>
              </w:rPr>
              <w:t>e</w:t>
            </w:r>
            <w:r w:rsidRPr="000A0A5F">
              <w:rPr>
                <w:rFonts w:hint="eastAsia"/>
                <w:lang w:eastAsia="zh-CN"/>
              </w:rPr>
              <w:t>xternal</w:t>
            </w:r>
            <w:r w:rsidRPr="000A0A5F">
              <w:rPr>
                <w:lang w:eastAsia="zh-CN"/>
              </w:rPr>
              <w:t>Id</w:t>
            </w:r>
          </w:p>
        </w:tc>
        <w:tc>
          <w:tcPr>
            <w:tcW w:w="1842" w:type="dxa"/>
            <w:shd w:val="clear" w:color="auto" w:fill="auto"/>
          </w:tcPr>
          <w:p w:rsidR="00CB0DD7" w:rsidRPr="000A0A5F" w:rsidRDefault="00CB0DD7">
            <w:pPr>
              <w:pStyle w:val="TAL"/>
              <w:rPr>
                <w:rFonts w:eastAsia="Times New Roman"/>
              </w:rPr>
            </w:pPr>
            <w:r w:rsidRPr="000A0A5F">
              <w:rPr>
                <w:lang w:eastAsia="zh-CN"/>
              </w:rPr>
              <w:t>ExternalId</w:t>
            </w:r>
          </w:p>
        </w:tc>
        <w:tc>
          <w:tcPr>
            <w:tcW w:w="1134" w:type="dxa"/>
          </w:tcPr>
          <w:p w:rsidR="00CB0DD7" w:rsidRPr="000A0A5F" w:rsidRDefault="00CB0DD7">
            <w:pPr>
              <w:pStyle w:val="TAC"/>
              <w:jc w:val="left"/>
              <w:rPr>
                <w:rFonts w:eastAsia="Times New Roman"/>
              </w:rPr>
            </w:pPr>
            <w:r w:rsidRPr="000A0A5F">
              <w:rPr>
                <w:rFonts w:eastAsia="Times New Roman"/>
              </w:rPr>
              <w:t>0..1</w:t>
            </w:r>
          </w:p>
        </w:tc>
        <w:tc>
          <w:tcPr>
            <w:tcW w:w="3687" w:type="dxa"/>
          </w:tcPr>
          <w:p w:rsidR="00CB0DD7" w:rsidRPr="000A0A5F" w:rsidRDefault="00CB0DD7">
            <w:pPr>
              <w:pStyle w:val="TAL"/>
              <w:spacing w:after="60"/>
              <w:rPr>
                <w:rFonts w:eastAsia="Times New Roman" w:cs="Arial"/>
                <w:szCs w:val="18"/>
              </w:rPr>
            </w:pPr>
            <w:r w:rsidRPr="000A0A5F">
              <w:rPr>
                <w:rFonts w:eastAsia="Times New Roman" w:cs="Arial"/>
                <w:szCs w:val="18"/>
              </w:rPr>
              <w:t xml:space="preserve">Identifies a user as defined in </w:t>
            </w:r>
            <w:r w:rsidR="000902D9" w:rsidRPr="000A0A5F">
              <w:rPr>
                <w:rFonts w:eastAsia="Times New Roman" w:cs="Arial"/>
                <w:szCs w:val="18"/>
              </w:rPr>
              <w:t>Clause </w:t>
            </w:r>
            <w:r w:rsidRPr="000A0A5F">
              <w:rPr>
                <w:rFonts w:eastAsia="Times New Roman" w:cs="Arial"/>
                <w:szCs w:val="18"/>
              </w:rPr>
              <w:t>4.6.2 of 3GPP TS 23.682 [2].</w:t>
            </w:r>
          </w:p>
          <w:p w:rsidR="00CB0DD7" w:rsidRPr="000A0A5F" w:rsidRDefault="00CB0DD7">
            <w:pPr>
              <w:pStyle w:val="TAL"/>
              <w:rPr>
                <w:rFonts w:eastAsia="Times New Roman" w:cs="Arial"/>
                <w:szCs w:val="18"/>
              </w:rPr>
            </w:pPr>
            <w:r w:rsidRPr="000A0A5F">
              <w:rPr>
                <w:rFonts w:cs="Arial" w:hint="eastAsia"/>
                <w:szCs w:val="18"/>
                <w:lang w:eastAsia="zh-CN"/>
              </w:rPr>
              <w:t>(</w:t>
            </w:r>
            <w:r w:rsidRPr="000A0A5F">
              <w:rPr>
                <w:rFonts w:cs="Arial"/>
                <w:szCs w:val="18"/>
                <w:lang w:eastAsia="zh-CN"/>
              </w:rPr>
              <w:t>NOTE 2</w:t>
            </w:r>
            <w:r w:rsidRPr="000A0A5F">
              <w:rPr>
                <w:rFonts w:cs="Arial" w:hint="eastAsia"/>
                <w:szCs w:val="18"/>
                <w:lang w:eastAsia="zh-CN"/>
              </w:rPr>
              <w:t>)</w:t>
            </w:r>
          </w:p>
        </w:tc>
        <w:tc>
          <w:tcPr>
            <w:tcW w:w="1235" w:type="dxa"/>
          </w:tcPr>
          <w:p w:rsidR="00CB0DD7" w:rsidRPr="000A0A5F" w:rsidRDefault="00CB0DD7">
            <w:pPr>
              <w:pStyle w:val="TAC"/>
              <w:jc w:val="left"/>
              <w:rPr>
                <w:rFonts w:eastAsia="Times New Roman"/>
              </w:rPr>
            </w:pPr>
          </w:p>
        </w:tc>
      </w:tr>
      <w:tr w:rsidR="00CB0DD7" w:rsidRPr="000A0A5F" w:rsidTr="00FF0AF8">
        <w:trPr>
          <w:jc w:val="center"/>
        </w:trPr>
        <w:tc>
          <w:tcPr>
            <w:tcW w:w="1661" w:type="dxa"/>
            <w:shd w:val="clear" w:color="auto" w:fill="auto"/>
          </w:tcPr>
          <w:p w:rsidR="00CB0DD7" w:rsidRPr="000A0A5F" w:rsidRDefault="00CB0DD7">
            <w:pPr>
              <w:pStyle w:val="TAL"/>
              <w:rPr>
                <w:rFonts w:eastAsia="Times New Roman"/>
              </w:rPr>
            </w:pPr>
            <w:r w:rsidRPr="000A0A5F">
              <w:rPr>
                <w:lang w:eastAsia="zh-CN"/>
              </w:rPr>
              <w:t>msisdn</w:t>
            </w:r>
          </w:p>
        </w:tc>
        <w:tc>
          <w:tcPr>
            <w:tcW w:w="1842" w:type="dxa"/>
            <w:shd w:val="clear" w:color="auto" w:fill="auto"/>
          </w:tcPr>
          <w:p w:rsidR="00CB0DD7" w:rsidRPr="000A0A5F" w:rsidRDefault="00CB0DD7">
            <w:pPr>
              <w:pStyle w:val="TAL"/>
              <w:rPr>
                <w:rFonts w:eastAsia="Times New Roman"/>
              </w:rPr>
            </w:pPr>
            <w:r w:rsidRPr="000A0A5F">
              <w:rPr>
                <w:lang w:eastAsia="zh-CN"/>
              </w:rPr>
              <w:t>Msisdn</w:t>
            </w:r>
          </w:p>
        </w:tc>
        <w:tc>
          <w:tcPr>
            <w:tcW w:w="1134" w:type="dxa"/>
          </w:tcPr>
          <w:p w:rsidR="00CB0DD7" w:rsidRPr="000A0A5F" w:rsidRDefault="00CB0DD7">
            <w:pPr>
              <w:pStyle w:val="TAC"/>
              <w:jc w:val="left"/>
              <w:rPr>
                <w:rFonts w:eastAsia="Times New Roman"/>
              </w:rPr>
            </w:pPr>
            <w:r w:rsidRPr="000A0A5F">
              <w:rPr>
                <w:rFonts w:eastAsia="Times New Roman"/>
              </w:rPr>
              <w:t>0..1</w:t>
            </w:r>
          </w:p>
        </w:tc>
        <w:tc>
          <w:tcPr>
            <w:tcW w:w="3687" w:type="dxa"/>
          </w:tcPr>
          <w:p w:rsidR="00CB0DD7" w:rsidRPr="000A0A5F" w:rsidRDefault="00CB0DD7">
            <w:pPr>
              <w:pStyle w:val="TAL"/>
              <w:spacing w:after="60"/>
              <w:rPr>
                <w:rFonts w:cs="Arial" w:hint="eastAsia"/>
                <w:szCs w:val="18"/>
                <w:lang w:eastAsia="zh-CN"/>
              </w:rPr>
            </w:pPr>
            <w:r w:rsidRPr="000A0A5F">
              <w:rPr>
                <w:rFonts w:eastAsia="Times New Roman" w:cs="Arial"/>
                <w:szCs w:val="18"/>
              </w:rPr>
              <w:t>I</w:t>
            </w:r>
            <w:r w:rsidRPr="000A0A5F">
              <w:rPr>
                <w:rFonts w:cs="Arial"/>
                <w:szCs w:val="18"/>
                <w:lang w:eastAsia="zh-CN"/>
              </w:rPr>
              <w:t>dentifies the MS internal PSTN/ISDN number allocated for a UE.</w:t>
            </w:r>
          </w:p>
          <w:p w:rsidR="00CB0DD7" w:rsidRPr="000A0A5F" w:rsidRDefault="00CB0DD7">
            <w:pPr>
              <w:pStyle w:val="TAL"/>
              <w:rPr>
                <w:rFonts w:eastAsia="Times New Roman" w:cs="Arial"/>
                <w:szCs w:val="18"/>
              </w:rPr>
            </w:pPr>
            <w:r w:rsidRPr="000A0A5F">
              <w:rPr>
                <w:rFonts w:cs="Arial" w:hint="eastAsia"/>
                <w:szCs w:val="18"/>
                <w:lang w:eastAsia="zh-CN"/>
              </w:rPr>
              <w:t>(</w:t>
            </w:r>
            <w:r w:rsidRPr="000A0A5F">
              <w:rPr>
                <w:rFonts w:cs="Arial"/>
                <w:szCs w:val="18"/>
                <w:lang w:eastAsia="zh-CN"/>
              </w:rPr>
              <w:t>NOTE 2</w:t>
            </w:r>
            <w:r w:rsidRPr="000A0A5F">
              <w:rPr>
                <w:rFonts w:cs="Arial" w:hint="eastAsia"/>
                <w:szCs w:val="18"/>
                <w:lang w:eastAsia="zh-CN"/>
              </w:rPr>
              <w:t>)</w:t>
            </w:r>
          </w:p>
        </w:tc>
        <w:tc>
          <w:tcPr>
            <w:tcW w:w="1235" w:type="dxa"/>
          </w:tcPr>
          <w:p w:rsidR="00CB0DD7" w:rsidRPr="000A0A5F" w:rsidRDefault="00CB0DD7">
            <w:pPr>
              <w:pStyle w:val="TAC"/>
              <w:jc w:val="left"/>
              <w:rPr>
                <w:rFonts w:eastAsia="Times New Roman"/>
              </w:rPr>
            </w:pPr>
          </w:p>
        </w:tc>
      </w:tr>
      <w:tr w:rsidR="00CB0DD7" w:rsidRPr="000A0A5F" w:rsidTr="00FF0AF8">
        <w:trPr>
          <w:jc w:val="center"/>
        </w:trPr>
        <w:tc>
          <w:tcPr>
            <w:tcW w:w="1661" w:type="dxa"/>
            <w:shd w:val="clear" w:color="auto" w:fill="auto"/>
          </w:tcPr>
          <w:p w:rsidR="00CB0DD7" w:rsidRPr="000A0A5F" w:rsidRDefault="00CB0DD7">
            <w:pPr>
              <w:pStyle w:val="TAL"/>
              <w:rPr>
                <w:lang w:eastAsia="zh-CN"/>
              </w:rPr>
            </w:pPr>
            <w:r w:rsidRPr="000A0A5F">
              <w:rPr>
                <w:lang w:eastAsia="zh-CN"/>
              </w:rPr>
              <w:t>ecrDataWbs</w:t>
            </w:r>
          </w:p>
        </w:tc>
        <w:tc>
          <w:tcPr>
            <w:tcW w:w="1842" w:type="dxa"/>
            <w:shd w:val="clear" w:color="auto" w:fill="auto"/>
          </w:tcPr>
          <w:p w:rsidR="00CB0DD7" w:rsidRPr="000A0A5F" w:rsidRDefault="00CB0DD7">
            <w:pPr>
              <w:pStyle w:val="TAL"/>
              <w:rPr>
                <w:lang w:eastAsia="zh-CN"/>
              </w:rPr>
            </w:pPr>
            <w:r w:rsidRPr="000A0A5F">
              <w:rPr>
                <w:lang w:eastAsia="zh-CN"/>
              </w:rPr>
              <w:t>array(PlmnEcRestrictionDataWb)</w:t>
            </w:r>
          </w:p>
        </w:tc>
        <w:tc>
          <w:tcPr>
            <w:tcW w:w="1134" w:type="dxa"/>
          </w:tcPr>
          <w:p w:rsidR="00CB0DD7" w:rsidRPr="000A0A5F" w:rsidRDefault="00CB0DD7">
            <w:pPr>
              <w:pStyle w:val="TAC"/>
              <w:jc w:val="left"/>
              <w:rPr>
                <w:rFonts w:eastAsia="Times New Roman"/>
              </w:rPr>
            </w:pPr>
            <w:r w:rsidRPr="000A0A5F">
              <w:rPr>
                <w:rFonts w:hint="eastAsia"/>
                <w:lang w:eastAsia="zh-CN"/>
              </w:rPr>
              <w:t>0</w:t>
            </w:r>
            <w:r w:rsidRPr="000A0A5F">
              <w:rPr>
                <w:lang w:eastAsia="zh-CN"/>
              </w:rPr>
              <w:t>..N</w:t>
            </w:r>
          </w:p>
        </w:tc>
        <w:tc>
          <w:tcPr>
            <w:tcW w:w="3687" w:type="dxa"/>
          </w:tcPr>
          <w:p w:rsidR="00CB0DD7" w:rsidRPr="000A0A5F" w:rsidRDefault="00CB0DD7">
            <w:pPr>
              <w:pStyle w:val="TAL"/>
              <w:spacing w:after="60"/>
              <w:rPr>
                <w:rFonts w:eastAsia="Times New Roman" w:cs="Arial"/>
                <w:szCs w:val="18"/>
              </w:rPr>
            </w:pPr>
            <w:r w:rsidRPr="000A0A5F">
              <w:rPr>
                <w:rFonts w:cs="Arial" w:hint="eastAsia"/>
                <w:szCs w:val="18"/>
                <w:lang w:eastAsia="zh-CN"/>
              </w:rPr>
              <w:t>I</w:t>
            </w:r>
            <w:r w:rsidRPr="000A0A5F">
              <w:rPr>
                <w:rFonts w:cs="Arial"/>
                <w:szCs w:val="18"/>
                <w:lang w:eastAsia="zh-CN"/>
              </w:rPr>
              <w:t>dentifies whether enhanced coverage mode are restricted or not. This attribute shall not be present for the query custom operation.</w:t>
            </w:r>
          </w:p>
        </w:tc>
        <w:tc>
          <w:tcPr>
            <w:tcW w:w="1235" w:type="dxa"/>
          </w:tcPr>
          <w:p w:rsidR="00CB0DD7" w:rsidRPr="000A0A5F" w:rsidRDefault="00CB0DD7">
            <w:pPr>
              <w:pStyle w:val="TAC"/>
              <w:jc w:val="left"/>
              <w:rPr>
                <w:rFonts w:eastAsia="Times New Roman"/>
              </w:rPr>
            </w:pPr>
            <w:r w:rsidRPr="000A0A5F">
              <w:rPr>
                <w:lang w:eastAsia="zh-CN"/>
              </w:rPr>
              <w:t>ECR_WB</w:t>
            </w:r>
            <w:r w:rsidRPr="000A0A5F">
              <w:rPr>
                <w:rFonts w:hint="eastAsia"/>
                <w:lang w:eastAsia="zh-CN"/>
              </w:rPr>
              <w:t>_</w:t>
            </w:r>
            <w:r w:rsidRPr="000A0A5F">
              <w:rPr>
                <w:lang w:eastAsia="zh-CN"/>
              </w:rPr>
              <w:t>5G</w:t>
            </w:r>
          </w:p>
        </w:tc>
      </w:tr>
      <w:tr w:rsidR="00CB0DD7" w:rsidRPr="000A0A5F" w:rsidTr="00FF0AF8">
        <w:trPr>
          <w:jc w:val="center"/>
        </w:trPr>
        <w:tc>
          <w:tcPr>
            <w:tcW w:w="1661" w:type="dxa"/>
            <w:shd w:val="clear" w:color="auto" w:fill="auto"/>
            <w:vAlign w:val="center"/>
          </w:tcPr>
          <w:p w:rsidR="00CB0DD7" w:rsidRPr="000A0A5F" w:rsidRDefault="00CB0DD7">
            <w:pPr>
              <w:pStyle w:val="TAL"/>
              <w:rPr>
                <w:rFonts w:eastAsia="Times New Roman" w:hint="eastAsia"/>
                <w:lang w:eastAsia="ja-JP"/>
              </w:rPr>
            </w:pPr>
            <w:r w:rsidRPr="000A0A5F">
              <w:rPr>
                <w:rFonts w:eastAsia="Times New Roman" w:hint="eastAsia"/>
                <w:lang w:eastAsia="ja-JP"/>
              </w:rPr>
              <w:t>restrictedPlmnIds</w:t>
            </w:r>
          </w:p>
        </w:tc>
        <w:tc>
          <w:tcPr>
            <w:tcW w:w="1842" w:type="dxa"/>
            <w:shd w:val="clear" w:color="auto" w:fill="auto"/>
          </w:tcPr>
          <w:p w:rsidR="00CB0DD7" w:rsidRPr="000A0A5F" w:rsidRDefault="00CB0DD7">
            <w:pPr>
              <w:pStyle w:val="TAL"/>
              <w:rPr>
                <w:rFonts w:eastAsia="Times New Roman"/>
              </w:rPr>
            </w:pPr>
            <w:r w:rsidRPr="000A0A5F">
              <w:rPr>
                <w:lang w:eastAsia="zh-CN"/>
              </w:rPr>
              <w:t>array(PlmnI</w:t>
            </w:r>
            <w:r w:rsidRPr="000A0A5F">
              <w:rPr>
                <w:rFonts w:hint="eastAsia"/>
                <w:lang w:eastAsia="zh-CN"/>
              </w:rPr>
              <w:t>d</w:t>
            </w:r>
            <w:r w:rsidRPr="000A0A5F">
              <w:rPr>
                <w:lang w:eastAsia="zh-CN"/>
              </w:rPr>
              <w:t>)</w:t>
            </w:r>
          </w:p>
        </w:tc>
        <w:tc>
          <w:tcPr>
            <w:tcW w:w="1134" w:type="dxa"/>
          </w:tcPr>
          <w:p w:rsidR="00CB0DD7" w:rsidRPr="000A0A5F" w:rsidRDefault="00CB0DD7">
            <w:pPr>
              <w:pStyle w:val="TAL"/>
              <w:rPr>
                <w:rFonts w:eastAsia="Times New Roman"/>
              </w:rPr>
            </w:pPr>
            <w:r w:rsidRPr="000A0A5F">
              <w:rPr>
                <w:rFonts w:eastAsia="Times New Roman"/>
              </w:rPr>
              <w:t>0..N</w:t>
            </w:r>
          </w:p>
        </w:tc>
        <w:tc>
          <w:tcPr>
            <w:tcW w:w="3687" w:type="dxa"/>
          </w:tcPr>
          <w:p w:rsidR="00CB0DD7" w:rsidRPr="000A0A5F" w:rsidRDefault="00CB0DD7">
            <w:pPr>
              <w:pStyle w:val="TAL"/>
              <w:rPr>
                <w:rFonts w:eastAsia="Times New Roman" w:cs="Arial"/>
                <w:szCs w:val="18"/>
              </w:rPr>
            </w:pPr>
            <w:r w:rsidRPr="000A0A5F">
              <w:rPr>
                <w:rFonts w:cs="Arial" w:hint="eastAsia"/>
                <w:szCs w:val="18"/>
                <w:lang w:eastAsia="zh-CN"/>
              </w:rPr>
              <w:t>Indicates a complete list</w:t>
            </w:r>
            <w:r w:rsidRPr="000A0A5F">
              <w:rPr>
                <w:rFonts w:cs="Arial"/>
                <w:szCs w:val="18"/>
                <w:lang w:eastAsia="zh-CN"/>
              </w:rPr>
              <w:t xml:space="preserve"> (and possibly empty)</w:t>
            </w:r>
            <w:r w:rsidRPr="000A0A5F">
              <w:rPr>
                <w:rFonts w:cs="Arial" w:hint="eastAsia"/>
                <w:szCs w:val="18"/>
                <w:lang w:eastAsia="zh-CN"/>
              </w:rPr>
              <w:t xml:space="preserve"> of serving PLMNs where Enhanced Coverage shall be restricted.</w:t>
            </w:r>
            <w:r w:rsidRPr="000A0A5F">
              <w:rPr>
                <w:rFonts w:cs="Arial"/>
                <w:szCs w:val="18"/>
                <w:lang w:eastAsia="zh-CN"/>
              </w:rPr>
              <w:t xml:space="preserve"> This attribute shall not be present for the query custom operation. </w:t>
            </w:r>
            <w:r w:rsidRPr="000A0A5F">
              <w:rPr>
                <w:rFonts w:cs="Arial" w:hint="eastAsia"/>
                <w:szCs w:val="18"/>
                <w:lang w:eastAsia="zh-CN"/>
              </w:rPr>
              <w:t>(</w:t>
            </w:r>
            <w:r w:rsidRPr="000A0A5F">
              <w:rPr>
                <w:rFonts w:cs="Arial"/>
                <w:szCs w:val="18"/>
                <w:lang w:eastAsia="zh-CN"/>
              </w:rPr>
              <w:t>NOTE 3</w:t>
            </w:r>
            <w:r w:rsidRPr="000A0A5F">
              <w:rPr>
                <w:rFonts w:cs="Arial" w:hint="eastAsia"/>
                <w:szCs w:val="18"/>
                <w:lang w:eastAsia="zh-CN"/>
              </w:rPr>
              <w:t>)</w:t>
            </w:r>
          </w:p>
        </w:tc>
        <w:tc>
          <w:tcPr>
            <w:tcW w:w="1235" w:type="dxa"/>
          </w:tcPr>
          <w:p w:rsidR="00CB0DD7" w:rsidRPr="000A0A5F" w:rsidRDefault="00CB0DD7">
            <w:pPr>
              <w:pStyle w:val="TAC"/>
              <w:jc w:val="left"/>
              <w:rPr>
                <w:rFonts w:eastAsia="Times New Roman"/>
              </w:rPr>
            </w:pPr>
          </w:p>
        </w:tc>
      </w:tr>
      <w:tr w:rsidR="00CB0DD7" w:rsidRPr="000A0A5F" w:rsidTr="00FF0AF8">
        <w:trPr>
          <w:jc w:val="center"/>
        </w:trPr>
        <w:tc>
          <w:tcPr>
            <w:tcW w:w="1661" w:type="dxa"/>
            <w:shd w:val="clear" w:color="auto" w:fill="auto"/>
            <w:vAlign w:val="center"/>
          </w:tcPr>
          <w:p w:rsidR="00CB0DD7" w:rsidRPr="000A0A5F" w:rsidRDefault="00CB0DD7">
            <w:pPr>
              <w:pStyle w:val="TAL"/>
              <w:rPr>
                <w:rFonts w:eastAsia="Times New Roman"/>
              </w:rPr>
            </w:pPr>
            <w:r w:rsidRPr="000A0A5F">
              <w:rPr>
                <w:rFonts w:eastAsia="Times New Roman" w:hint="eastAsia"/>
                <w:lang w:eastAsia="ja-JP"/>
              </w:rPr>
              <w:t>allowedPlmnIds</w:t>
            </w:r>
          </w:p>
        </w:tc>
        <w:tc>
          <w:tcPr>
            <w:tcW w:w="1842" w:type="dxa"/>
            <w:shd w:val="clear" w:color="auto" w:fill="auto"/>
          </w:tcPr>
          <w:p w:rsidR="00CB0DD7" w:rsidRPr="000A0A5F" w:rsidRDefault="00CB0DD7">
            <w:pPr>
              <w:pStyle w:val="TAL"/>
              <w:rPr>
                <w:rFonts w:eastAsia="Times New Roman"/>
              </w:rPr>
            </w:pPr>
            <w:r w:rsidRPr="000A0A5F">
              <w:rPr>
                <w:lang w:eastAsia="zh-CN"/>
              </w:rPr>
              <w:t>array(PlmnI</w:t>
            </w:r>
            <w:r w:rsidRPr="000A0A5F">
              <w:rPr>
                <w:rFonts w:hint="eastAsia"/>
                <w:lang w:eastAsia="zh-CN"/>
              </w:rPr>
              <w:t>d</w:t>
            </w:r>
            <w:r w:rsidRPr="000A0A5F">
              <w:rPr>
                <w:lang w:eastAsia="zh-CN"/>
              </w:rPr>
              <w:t>)</w:t>
            </w:r>
          </w:p>
        </w:tc>
        <w:tc>
          <w:tcPr>
            <w:tcW w:w="1134" w:type="dxa"/>
          </w:tcPr>
          <w:p w:rsidR="00CB0DD7" w:rsidRPr="000A0A5F" w:rsidRDefault="00CB0DD7">
            <w:pPr>
              <w:pStyle w:val="TAL"/>
              <w:rPr>
                <w:rFonts w:eastAsia="Times New Roman"/>
              </w:rPr>
            </w:pPr>
            <w:r w:rsidRPr="000A0A5F">
              <w:rPr>
                <w:rFonts w:eastAsia="Times New Roman"/>
              </w:rPr>
              <w:t>0..N</w:t>
            </w:r>
          </w:p>
        </w:tc>
        <w:tc>
          <w:tcPr>
            <w:tcW w:w="3687" w:type="dxa"/>
          </w:tcPr>
          <w:p w:rsidR="00CB0DD7" w:rsidRPr="000A0A5F" w:rsidRDefault="00CB0DD7">
            <w:pPr>
              <w:pStyle w:val="TAL"/>
              <w:rPr>
                <w:rFonts w:eastAsia="Times New Roman" w:cs="Arial"/>
                <w:szCs w:val="18"/>
              </w:rPr>
            </w:pPr>
            <w:r w:rsidRPr="000A0A5F">
              <w:rPr>
                <w:rFonts w:cs="Arial" w:hint="eastAsia"/>
                <w:szCs w:val="18"/>
                <w:lang w:eastAsia="zh-CN"/>
              </w:rPr>
              <w:t>Indicates a complete list</w:t>
            </w:r>
            <w:r w:rsidRPr="000A0A5F">
              <w:rPr>
                <w:rFonts w:cs="Arial"/>
                <w:szCs w:val="18"/>
                <w:lang w:eastAsia="zh-CN"/>
              </w:rPr>
              <w:t xml:space="preserve"> (and possibly empty)</w:t>
            </w:r>
            <w:r w:rsidRPr="000A0A5F">
              <w:rPr>
                <w:rFonts w:cs="Arial" w:hint="eastAsia"/>
                <w:szCs w:val="18"/>
                <w:lang w:eastAsia="zh-CN"/>
              </w:rPr>
              <w:t xml:space="preserve"> of serving PLMNs where Enhanced Coverage shall be allowed.</w:t>
            </w:r>
            <w:r w:rsidRPr="000A0A5F">
              <w:rPr>
                <w:rFonts w:cs="Arial"/>
                <w:szCs w:val="18"/>
                <w:lang w:eastAsia="zh-CN"/>
              </w:rPr>
              <w:t xml:space="preserve"> This attribute shall not be present for the query custom operation. </w:t>
            </w:r>
            <w:r w:rsidRPr="000A0A5F">
              <w:rPr>
                <w:rFonts w:cs="Arial" w:hint="eastAsia"/>
                <w:szCs w:val="18"/>
                <w:lang w:eastAsia="zh-CN"/>
              </w:rPr>
              <w:t>(</w:t>
            </w:r>
            <w:r w:rsidRPr="000A0A5F">
              <w:rPr>
                <w:rFonts w:cs="Arial"/>
                <w:szCs w:val="18"/>
                <w:lang w:eastAsia="zh-CN"/>
              </w:rPr>
              <w:t>NOTE 3</w:t>
            </w:r>
            <w:r w:rsidRPr="000A0A5F">
              <w:rPr>
                <w:rFonts w:cs="Arial" w:hint="eastAsia"/>
                <w:szCs w:val="18"/>
                <w:lang w:eastAsia="zh-CN"/>
              </w:rPr>
              <w:t>)</w:t>
            </w:r>
          </w:p>
        </w:tc>
        <w:tc>
          <w:tcPr>
            <w:tcW w:w="1235" w:type="dxa"/>
          </w:tcPr>
          <w:p w:rsidR="00CB0DD7" w:rsidRPr="000A0A5F" w:rsidRDefault="00CB0DD7">
            <w:pPr>
              <w:pStyle w:val="TAC"/>
              <w:jc w:val="left"/>
              <w:rPr>
                <w:rFonts w:eastAsia="Times New Roman"/>
              </w:rPr>
            </w:pPr>
          </w:p>
        </w:tc>
      </w:tr>
      <w:tr w:rsidR="00CB0DD7" w:rsidRPr="000A0A5F" w:rsidTr="00FF0AF8">
        <w:trPr>
          <w:jc w:val="center"/>
        </w:trPr>
        <w:tc>
          <w:tcPr>
            <w:tcW w:w="9559" w:type="dxa"/>
            <w:gridSpan w:val="5"/>
            <w:shd w:val="clear" w:color="auto" w:fill="auto"/>
          </w:tcPr>
          <w:p w:rsidR="00CB0DD7" w:rsidRPr="000A0A5F" w:rsidRDefault="00CB0DD7" w:rsidP="002C1CAD">
            <w:pPr>
              <w:pStyle w:val="TAN"/>
              <w:rPr>
                <w:rFonts w:eastAsia="Yu Mincho" w:hint="eastAsia"/>
                <w:lang w:eastAsia="ja-JP"/>
              </w:rPr>
            </w:pPr>
            <w:r w:rsidRPr="000A0A5F">
              <w:rPr>
                <w:rFonts w:eastAsia="Yu Mincho" w:hint="eastAsia"/>
                <w:lang w:eastAsia="ja-JP"/>
              </w:rPr>
              <w:t>NOTE 1:</w:t>
            </w:r>
            <w:r w:rsidRPr="000A0A5F">
              <w:t xml:space="preserve"> </w:t>
            </w:r>
            <w:r w:rsidRPr="000A0A5F">
              <w:tab/>
              <w:t>Properties marked with a feature as defined in clause 5.4.4 are applicable as described in clause 5.2.7. If no feature are indicated, the related property applies for all the features.</w:t>
            </w:r>
          </w:p>
          <w:p w:rsidR="00CB0DD7" w:rsidRPr="000A0A5F" w:rsidRDefault="00CB0DD7">
            <w:pPr>
              <w:pStyle w:val="TAC"/>
              <w:jc w:val="left"/>
              <w:rPr>
                <w:noProof/>
                <w:lang w:eastAsia="zh-CN"/>
              </w:rPr>
            </w:pPr>
            <w:r w:rsidRPr="000A0A5F">
              <w:t>NOTE 2:</w:t>
            </w:r>
            <w:r w:rsidRPr="000A0A5F">
              <w:tab/>
            </w:r>
            <w:r w:rsidRPr="000A0A5F">
              <w:rPr>
                <w:noProof/>
                <w:lang w:eastAsia="zh-CN"/>
              </w:rPr>
              <w:t>One of the properties</w:t>
            </w:r>
            <w:r w:rsidRPr="000A0A5F">
              <w:rPr>
                <w:rFonts w:hint="eastAsia"/>
                <w:noProof/>
                <w:lang w:eastAsia="zh-CN"/>
              </w:rPr>
              <w:t xml:space="preserve"> </w:t>
            </w:r>
            <w:r w:rsidRPr="000A0A5F">
              <w:rPr>
                <w:noProof/>
                <w:lang w:eastAsia="zh-CN"/>
              </w:rPr>
              <w:t>"externalId" or "msisdn" shall be included.</w:t>
            </w:r>
          </w:p>
          <w:p w:rsidR="00CB0DD7" w:rsidRPr="000A0A5F" w:rsidRDefault="00CB0DD7">
            <w:pPr>
              <w:pStyle w:val="TAN"/>
            </w:pPr>
            <w:r w:rsidRPr="000A0A5F">
              <w:t>NOTE 3:</w:t>
            </w:r>
            <w:r w:rsidRPr="000A0A5F">
              <w:tab/>
            </w:r>
            <w:r w:rsidRPr="000A0A5F">
              <w:rPr>
                <w:noProof/>
                <w:lang w:eastAsia="zh-CN"/>
              </w:rPr>
              <w:t>"</w:t>
            </w:r>
            <w:r w:rsidRPr="000A0A5F">
              <w:rPr>
                <w:rFonts w:eastAsia="Times New Roman" w:hint="eastAsia"/>
                <w:lang w:eastAsia="ja-JP"/>
              </w:rPr>
              <w:t>restrictedPlmnIds</w:t>
            </w:r>
            <w:r w:rsidRPr="000A0A5F">
              <w:rPr>
                <w:noProof/>
                <w:lang w:eastAsia="zh-CN"/>
              </w:rPr>
              <w:t xml:space="preserve">" </w:t>
            </w:r>
            <w:r w:rsidRPr="000A0A5F">
              <w:t xml:space="preserve">and </w:t>
            </w:r>
            <w:r w:rsidRPr="000A0A5F">
              <w:rPr>
                <w:noProof/>
                <w:lang w:eastAsia="zh-CN"/>
              </w:rPr>
              <w:t>"</w:t>
            </w:r>
            <w:r w:rsidRPr="000A0A5F">
              <w:rPr>
                <w:rFonts w:eastAsia="Times New Roman" w:hint="eastAsia"/>
                <w:lang w:eastAsia="ja-JP"/>
              </w:rPr>
              <w:t>allowedPlmnIds</w:t>
            </w:r>
            <w:r w:rsidRPr="000A0A5F">
              <w:rPr>
                <w:noProof/>
                <w:lang w:eastAsia="zh-CN"/>
              </w:rPr>
              <w:t xml:space="preserve">" </w:t>
            </w:r>
            <w:r w:rsidRPr="000A0A5F">
              <w:t>shall be mutually exclusive.</w:t>
            </w:r>
          </w:p>
          <w:p w:rsidR="00CB0DD7" w:rsidRPr="000A0A5F" w:rsidRDefault="00CB0DD7">
            <w:pPr>
              <w:pStyle w:val="TAN"/>
              <w:rPr>
                <w:rFonts w:eastAsia="DengXian" w:hint="eastAsia"/>
                <w:noProof/>
                <w:lang w:eastAsia="zh-CN"/>
              </w:rPr>
            </w:pPr>
            <w:r w:rsidRPr="000A0A5F">
              <w:t>NOTE 4:</w:t>
            </w:r>
            <w:r w:rsidRPr="000A0A5F">
              <w:tab/>
              <w:t>The SCEF should check received MTC provider identifier and then the SCEF may:</w:t>
            </w:r>
            <w:r w:rsidRPr="000A0A5F">
              <w:br/>
              <w:t>-</w:t>
            </w:r>
            <w:r w:rsidRPr="000A0A5F">
              <w:tab/>
              <w:t>override it with local configured value and send it to HSS;</w:t>
            </w:r>
            <w:r w:rsidRPr="000A0A5F">
              <w:br/>
              <w:t>-</w:t>
            </w:r>
            <w:r w:rsidRPr="000A0A5F">
              <w:tab/>
              <w:t>send it directly to the HSS; or</w:t>
            </w:r>
            <w:r w:rsidRPr="000A0A5F">
              <w:br/>
              <w:t>-</w:t>
            </w:r>
            <w:r w:rsidRPr="000A0A5F">
              <w:tab/>
              <w:t>reject the Enhanced Coverage Restriction control request</w:t>
            </w:r>
          </w:p>
        </w:tc>
      </w:tr>
    </w:tbl>
    <w:p w:rsidR="00CB0DD7" w:rsidRPr="000A0A5F" w:rsidRDefault="00CB0DD7">
      <w:pPr>
        <w:rPr>
          <w:rFonts w:eastAsia="DengXian"/>
          <w:lang w:eastAsia="zh-CN"/>
        </w:rPr>
      </w:pPr>
    </w:p>
    <w:p w:rsidR="00CB0DD7" w:rsidRPr="000A0A5F" w:rsidRDefault="00CB0DD7">
      <w:pPr>
        <w:pStyle w:val="Heading5"/>
      </w:pPr>
      <w:bookmarkStart w:id="8410" w:name="_Toc11247821"/>
      <w:bookmarkStart w:id="8411" w:name="_Toc27044965"/>
      <w:bookmarkStart w:id="8412" w:name="_Toc36034007"/>
      <w:bookmarkStart w:id="8413" w:name="_Toc45132153"/>
      <w:bookmarkStart w:id="8414" w:name="_Toc49776438"/>
      <w:bookmarkStart w:id="8415" w:name="_Toc51747358"/>
      <w:bookmarkStart w:id="8416" w:name="_Toc66360934"/>
      <w:bookmarkStart w:id="8417" w:name="_Toc68105439"/>
      <w:bookmarkStart w:id="8418" w:name="_Toc74756069"/>
      <w:bookmarkStart w:id="8419" w:name="_Toc105674946"/>
      <w:bookmarkStart w:id="8420" w:name="_Toc130503014"/>
      <w:bookmarkStart w:id="8421" w:name="_Toc153625802"/>
      <w:r w:rsidRPr="000A0A5F">
        <w:t>5.12.2.1.3</w:t>
      </w:r>
      <w:r w:rsidRPr="000A0A5F">
        <w:tab/>
        <w:t>Type: ECRData</w:t>
      </w:r>
      <w:bookmarkEnd w:id="8410"/>
      <w:bookmarkEnd w:id="8411"/>
      <w:bookmarkEnd w:id="8412"/>
      <w:bookmarkEnd w:id="8413"/>
      <w:bookmarkEnd w:id="8414"/>
      <w:bookmarkEnd w:id="8415"/>
      <w:bookmarkEnd w:id="8416"/>
      <w:bookmarkEnd w:id="8417"/>
      <w:bookmarkEnd w:id="8418"/>
      <w:bookmarkEnd w:id="8419"/>
      <w:bookmarkEnd w:id="8420"/>
      <w:bookmarkEnd w:id="8421"/>
    </w:p>
    <w:p w:rsidR="00CB0DD7" w:rsidRPr="000A0A5F" w:rsidRDefault="00CB0DD7">
      <w:r w:rsidRPr="000A0A5F">
        <w:t>This data type represents the current visited PLMN (if any) and the current settings of enhanced coverage restriction. The structure is used only for response.</w:t>
      </w:r>
    </w:p>
    <w:p w:rsidR="00CB0DD7" w:rsidRPr="000A0A5F" w:rsidRDefault="00CB0DD7">
      <w:pPr>
        <w:pStyle w:val="TH"/>
      </w:pPr>
      <w:r w:rsidRPr="000A0A5F">
        <w:rPr>
          <w:noProof/>
        </w:rPr>
        <w:t>Table </w:t>
      </w:r>
      <w:r w:rsidRPr="000A0A5F">
        <w:t xml:space="preserve">5.12.2.1.3-1: </w:t>
      </w:r>
      <w:r w:rsidRPr="000A0A5F">
        <w:rPr>
          <w:noProof/>
        </w:rPr>
        <w:t xml:space="preserve">Definition of type </w:t>
      </w:r>
      <w:r w:rsidRPr="000A0A5F">
        <w:t>ECRData</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948"/>
        <w:gridCol w:w="1577"/>
        <w:gridCol w:w="1276"/>
        <w:gridCol w:w="3544"/>
        <w:gridCol w:w="1257"/>
      </w:tblGrid>
      <w:tr w:rsidR="00CB0DD7" w:rsidRPr="000A0A5F" w:rsidTr="00FF0AF8">
        <w:trPr>
          <w:jc w:val="center"/>
        </w:trPr>
        <w:tc>
          <w:tcPr>
            <w:tcW w:w="1948" w:type="dxa"/>
            <w:shd w:val="clear" w:color="auto" w:fill="C0C0C0"/>
          </w:tcPr>
          <w:p w:rsidR="00CB0DD7" w:rsidRPr="000A0A5F" w:rsidRDefault="00CB0DD7">
            <w:pPr>
              <w:pStyle w:val="TAH"/>
              <w:rPr>
                <w:rFonts w:eastAsia="Times New Roman"/>
              </w:rPr>
            </w:pPr>
            <w:r w:rsidRPr="000A0A5F">
              <w:rPr>
                <w:rFonts w:eastAsia="Times New Roman"/>
              </w:rPr>
              <w:t>Attribute name</w:t>
            </w:r>
          </w:p>
        </w:tc>
        <w:tc>
          <w:tcPr>
            <w:tcW w:w="1577" w:type="dxa"/>
            <w:shd w:val="clear" w:color="auto" w:fill="C0C0C0"/>
          </w:tcPr>
          <w:p w:rsidR="00CB0DD7" w:rsidRPr="000A0A5F" w:rsidRDefault="00CB0DD7">
            <w:pPr>
              <w:pStyle w:val="TAH"/>
              <w:rPr>
                <w:rFonts w:eastAsia="Times New Roman"/>
              </w:rPr>
            </w:pPr>
            <w:r w:rsidRPr="000A0A5F">
              <w:rPr>
                <w:rFonts w:eastAsia="Times New Roman"/>
              </w:rPr>
              <w:t>Data type</w:t>
            </w:r>
          </w:p>
        </w:tc>
        <w:tc>
          <w:tcPr>
            <w:tcW w:w="1276" w:type="dxa"/>
            <w:shd w:val="clear" w:color="auto" w:fill="C0C0C0"/>
          </w:tcPr>
          <w:p w:rsidR="00CB0DD7" w:rsidRPr="000A0A5F" w:rsidRDefault="00CB0DD7">
            <w:pPr>
              <w:pStyle w:val="TAH"/>
              <w:jc w:val="left"/>
              <w:rPr>
                <w:rFonts w:eastAsia="Times New Roman"/>
              </w:rPr>
            </w:pPr>
            <w:r w:rsidRPr="000A0A5F">
              <w:rPr>
                <w:rFonts w:eastAsia="Times New Roman"/>
              </w:rPr>
              <w:t>Cardinality</w:t>
            </w:r>
          </w:p>
        </w:tc>
        <w:tc>
          <w:tcPr>
            <w:tcW w:w="3544"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Description</w:t>
            </w:r>
          </w:p>
        </w:tc>
        <w:tc>
          <w:tcPr>
            <w:tcW w:w="1257"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Applicability (NOTE 1)</w:t>
            </w:r>
          </w:p>
        </w:tc>
      </w:tr>
      <w:tr w:rsidR="00CB0DD7" w:rsidRPr="000A0A5F" w:rsidTr="00FF0AF8">
        <w:trPr>
          <w:jc w:val="center"/>
        </w:trPr>
        <w:tc>
          <w:tcPr>
            <w:tcW w:w="1948" w:type="dxa"/>
            <w:shd w:val="clear" w:color="auto" w:fill="auto"/>
          </w:tcPr>
          <w:p w:rsidR="00CB0DD7" w:rsidRPr="000A0A5F" w:rsidRDefault="00CB0DD7">
            <w:pPr>
              <w:pStyle w:val="TAH"/>
              <w:jc w:val="left"/>
              <w:rPr>
                <w:rFonts w:eastAsia="Times New Roman"/>
                <w:b w:val="0"/>
              </w:rPr>
            </w:pPr>
            <w:r w:rsidRPr="000A0A5F">
              <w:rPr>
                <w:b w:val="0"/>
              </w:rPr>
              <w:t>supportedFeatures</w:t>
            </w:r>
          </w:p>
        </w:tc>
        <w:tc>
          <w:tcPr>
            <w:tcW w:w="1577" w:type="dxa"/>
            <w:shd w:val="clear" w:color="auto" w:fill="auto"/>
          </w:tcPr>
          <w:p w:rsidR="00CB0DD7" w:rsidRPr="000A0A5F" w:rsidRDefault="00CB0DD7">
            <w:pPr>
              <w:pStyle w:val="TAH"/>
              <w:jc w:val="left"/>
              <w:rPr>
                <w:rFonts w:eastAsia="Times New Roman"/>
                <w:b w:val="0"/>
              </w:rPr>
            </w:pPr>
            <w:r w:rsidRPr="000A0A5F">
              <w:rPr>
                <w:b w:val="0"/>
              </w:rPr>
              <w:t>SupportedFeatures</w:t>
            </w:r>
          </w:p>
        </w:tc>
        <w:tc>
          <w:tcPr>
            <w:tcW w:w="1276" w:type="dxa"/>
            <w:shd w:val="clear" w:color="auto" w:fill="auto"/>
          </w:tcPr>
          <w:p w:rsidR="00CB0DD7" w:rsidRPr="000A0A5F" w:rsidRDefault="00CB0DD7">
            <w:pPr>
              <w:pStyle w:val="TAH"/>
              <w:jc w:val="left"/>
              <w:rPr>
                <w:rFonts w:eastAsia="Times New Roman"/>
                <w:b w:val="0"/>
              </w:rPr>
            </w:pPr>
            <w:r w:rsidRPr="000A0A5F">
              <w:rPr>
                <w:b w:val="0"/>
              </w:rPr>
              <w:t>1</w:t>
            </w:r>
          </w:p>
        </w:tc>
        <w:tc>
          <w:tcPr>
            <w:tcW w:w="3544" w:type="dxa"/>
            <w:shd w:val="clear" w:color="auto" w:fill="auto"/>
          </w:tcPr>
          <w:p w:rsidR="00CB0DD7" w:rsidRPr="000A0A5F" w:rsidRDefault="00CB0DD7">
            <w:pPr>
              <w:pStyle w:val="TAH"/>
              <w:jc w:val="left"/>
              <w:rPr>
                <w:rFonts w:eastAsia="Times New Roman" w:cs="Arial"/>
                <w:b w:val="0"/>
                <w:szCs w:val="18"/>
              </w:rPr>
            </w:pPr>
            <w:r w:rsidRPr="000A0A5F">
              <w:rPr>
                <w:b w:val="0"/>
              </w:rPr>
              <w:t>Used to negotiate the supported optional features of the API as described in clause</w:t>
            </w:r>
            <w:r w:rsidR="000902D9" w:rsidRPr="000A0A5F">
              <w:rPr>
                <w:b w:val="0"/>
              </w:rPr>
              <w:t> </w:t>
            </w:r>
            <w:r w:rsidRPr="000A0A5F">
              <w:rPr>
                <w:b w:val="0"/>
              </w:rPr>
              <w:t>5.2.7.</w:t>
            </w:r>
          </w:p>
        </w:tc>
        <w:tc>
          <w:tcPr>
            <w:tcW w:w="1257" w:type="dxa"/>
            <w:shd w:val="clear" w:color="auto" w:fill="auto"/>
          </w:tcPr>
          <w:p w:rsidR="00CB0DD7" w:rsidRPr="000A0A5F" w:rsidRDefault="00CB0DD7">
            <w:pPr>
              <w:pStyle w:val="TAH"/>
              <w:rPr>
                <w:rFonts w:eastAsia="Times New Roman" w:cs="Arial"/>
                <w:b w:val="0"/>
                <w:szCs w:val="18"/>
              </w:rPr>
            </w:pPr>
          </w:p>
        </w:tc>
      </w:tr>
      <w:tr w:rsidR="00CB0DD7" w:rsidRPr="000A0A5F" w:rsidTr="00FF0AF8">
        <w:trPr>
          <w:jc w:val="center"/>
        </w:trPr>
        <w:tc>
          <w:tcPr>
            <w:tcW w:w="1948" w:type="dxa"/>
            <w:shd w:val="clear" w:color="auto" w:fill="auto"/>
            <w:vAlign w:val="center"/>
          </w:tcPr>
          <w:p w:rsidR="00CB0DD7" w:rsidRPr="000A0A5F" w:rsidRDefault="00CB0DD7">
            <w:pPr>
              <w:pStyle w:val="TAL"/>
              <w:rPr>
                <w:rFonts w:eastAsia="Times New Roman" w:hint="eastAsia"/>
                <w:lang w:eastAsia="ja-JP"/>
              </w:rPr>
            </w:pPr>
            <w:r w:rsidRPr="000A0A5F">
              <w:rPr>
                <w:rFonts w:eastAsia="Times New Roman" w:hint="eastAsia"/>
                <w:lang w:eastAsia="ja-JP"/>
              </w:rPr>
              <w:t>visited</w:t>
            </w:r>
            <w:r w:rsidRPr="000A0A5F">
              <w:rPr>
                <w:rFonts w:eastAsia="Times New Roman"/>
                <w:lang w:eastAsia="ja-JP"/>
              </w:rPr>
              <w:t>PlmnId</w:t>
            </w:r>
          </w:p>
        </w:tc>
        <w:tc>
          <w:tcPr>
            <w:tcW w:w="1577" w:type="dxa"/>
            <w:shd w:val="clear" w:color="auto" w:fill="auto"/>
          </w:tcPr>
          <w:p w:rsidR="00CB0DD7" w:rsidRPr="000A0A5F" w:rsidRDefault="00CB0DD7">
            <w:pPr>
              <w:pStyle w:val="TAL"/>
              <w:rPr>
                <w:rFonts w:eastAsia="Times New Roman" w:hint="eastAsia"/>
                <w:lang w:eastAsia="ja-JP"/>
              </w:rPr>
            </w:pPr>
            <w:r w:rsidRPr="000A0A5F">
              <w:rPr>
                <w:rFonts w:eastAsia="Times New Roman" w:hint="eastAsia"/>
                <w:lang w:eastAsia="ja-JP"/>
              </w:rPr>
              <w:t>PlmnId</w:t>
            </w:r>
          </w:p>
        </w:tc>
        <w:tc>
          <w:tcPr>
            <w:tcW w:w="1276" w:type="dxa"/>
            <w:shd w:val="clear" w:color="auto" w:fill="auto"/>
          </w:tcPr>
          <w:p w:rsidR="00CB0DD7" w:rsidRPr="000A0A5F" w:rsidRDefault="00CB0DD7">
            <w:pPr>
              <w:pStyle w:val="TAL"/>
              <w:rPr>
                <w:rFonts w:eastAsia="Times New Roman"/>
              </w:rPr>
            </w:pPr>
            <w:r w:rsidRPr="000A0A5F">
              <w:rPr>
                <w:rFonts w:eastAsia="Times New Roman"/>
              </w:rPr>
              <w:t>0..1</w:t>
            </w:r>
          </w:p>
        </w:tc>
        <w:tc>
          <w:tcPr>
            <w:tcW w:w="3544" w:type="dxa"/>
            <w:shd w:val="clear" w:color="auto" w:fill="auto"/>
          </w:tcPr>
          <w:p w:rsidR="00CB0DD7" w:rsidRPr="000A0A5F" w:rsidRDefault="00CB0DD7">
            <w:pPr>
              <w:pStyle w:val="TAL"/>
              <w:rPr>
                <w:rFonts w:eastAsia="Times New Roman" w:cs="Arial"/>
                <w:szCs w:val="18"/>
              </w:rPr>
            </w:pPr>
            <w:r w:rsidRPr="000A0A5F">
              <w:rPr>
                <w:rFonts w:cs="Arial" w:hint="eastAsia"/>
                <w:szCs w:val="18"/>
                <w:lang w:eastAsia="zh-CN"/>
              </w:rPr>
              <w:t xml:space="preserve">Indicates the </w:t>
            </w:r>
            <w:r w:rsidRPr="000A0A5F">
              <w:rPr>
                <w:rFonts w:cs="Arial"/>
                <w:szCs w:val="18"/>
                <w:lang w:eastAsia="zh-CN"/>
              </w:rPr>
              <w:t>current visited PLMN.</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tcPr>
          <w:p w:rsidR="00CB0DD7" w:rsidRPr="000A0A5F" w:rsidRDefault="00CB0DD7">
            <w:pPr>
              <w:pStyle w:val="TAL"/>
              <w:rPr>
                <w:rFonts w:eastAsia="Times New Roman" w:hint="eastAsia"/>
                <w:lang w:eastAsia="ja-JP"/>
              </w:rPr>
            </w:pPr>
            <w:r w:rsidRPr="000A0A5F">
              <w:rPr>
                <w:lang w:eastAsia="zh-CN"/>
              </w:rPr>
              <w:t>ecrDataWbs</w:t>
            </w:r>
          </w:p>
        </w:tc>
        <w:tc>
          <w:tcPr>
            <w:tcW w:w="1577" w:type="dxa"/>
            <w:shd w:val="clear" w:color="auto" w:fill="auto"/>
          </w:tcPr>
          <w:p w:rsidR="00CB0DD7" w:rsidRPr="000A0A5F" w:rsidRDefault="00CB0DD7">
            <w:pPr>
              <w:pStyle w:val="TAL"/>
              <w:rPr>
                <w:rFonts w:eastAsia="Times New Roman" w:hint="eastAsia"/>
                <w:lang w:eastAsia="ja-JP"/>
              </w:rPr>
            </w:pPr>
            <w:r w:rsidRPr="000A0A5F">
              <w:rPr>
                <w:lang w:eastAsia="zh-CN"/>
              </w:rPr>
              <w:t>array(PlmnEcRestrictionDataWb)</w:t>
            </w:r>
          </w:p>
        </w:tc>
        <w:tc>
          <w:tcPr>
            <w:tcW w:w="1276" w:type="dxa"/>
            <w:shd w:val="clear" w:color="auto" w:fill="auto"/>
          </w:tcPr>
          <w:p w:rsidR="00CB0DD7" w:rsidRPr="000A0A5F" w:rsidRDefault="00CB0DD7">
            <w:pPr>
              <w:pStyle w:val="TAL"/>
              <w:rPr>
                <w:rFonts w:eastAsia="Times New Roman"/>
              </w:rPr>
            </w:pPr>
            <w:r w:rsidRPr="000A0A5F">
              <w:rPr>
                <w:rFonts w:hint="eastAsia"/>
                <w:lang w:eastAsia="zh-CN"/>
              </w:rPr>
              <w:t>0</w:t>
            </w:r>
            <w:r w:rsidRPr="000A0A5F">
              <w:rPr>
                <w:lang w:eastAsia="zh-CN"/>
              </w:rPr>
              <w:t>..N</w:t>
            </w:r>
          </w:p>
        </w:tc>
        <w:tc>
          <w:tcPr>
            <w:tcW w:w="3544" w:type="dxa"/>
            <w:shd w:val="clear" w:color="auto" w:fill="auto"/>
          </w:tcPr>
          <w:p w:rsidR="00CB0DD7" w:rsidRPr="000A0A5F" w:rsidRDefault="00CB0DD7">
            <w:pPr>
              <w:pStyle w:val="TAL"/>
              <w:rPr>
                <w:rFonts w:cs="Arial" w:hint="eastAsia"/>
                <w:szCs w:val="18"/>
                <w:lang w:eastAsia="zh-CN"/>
              </w:rPr>
            </w:pPr>
            <w:r w:rsidRPr="000A0A5F">
              <w:rPr>
                <w:rFonts w:cs="Arial" w:hint="eastAsia"/>
                <w:szCs w:val="18"/>
                <w:lang w:eastAsia="zh-CN"/>
              </w:rPr>
              <w:t>I</w:t>
            </w:r>
            <w:r w:rsidRPr="000A0A5F">
              <w:rPr>
                <w:rFonts w:cs="Arial"/>
                <w:szCs w:val="18"/>
                <w:lang w:eastAsia="zh-CN"/>
              </w:rPr>
              <w:t>dentifies whether enhanced coverage mode are restricted or not.</w:t>
            </w:r>
          </w:p>
        </w:tc>
        <w:tc>
          <w:tcPr>
            <w:tcW w:w="1257" w:type="dxa"/>
          </w:tcPr>
          <w:p w:rsidR="00CB0DD7" w:rsidRPr="000A0A5F" w:rsidRDefault="00CB0DD7">
            <w:pPr>
              <w:pStyle w:val="TAL"/>
              <w:rPr>
                <w:rFonts w:eastAsia="Times New Roman" w:cs="Arial"/>
                <w:szCs w:val="18"/>
              </w:rPr>
            </w:pPr>
            <w:r w:rsidRPr="000A0A5F">
              <w:rPr>
                <w:lang w:eastAsia="zh-CN"/>
              </w:rPr>
              <w:t>ECR_WB_5G</w:t>
            </w:r>
          </w:p>
        </w:tc>
      </w:tr>
      <w:tr w:rsidR="00CB0DD7" w:rsidRPr="000A0A5F" w:rsidTr="00FF0AF8">
        <w:trPr>
          <w:jc w:val="center"/>
        </w:trPr>
        <w:tc>
          <w:tcPr>
            <w:tcW w:w="1948" w:type="dxa"/>
            <w:shd w:val="clear" w:color="auto" w:fill="auto"/>
            <w:vAlign w:val="center"/>
          </w:tcPr>
          <w:p w:rsidR="00CB0DD7" w:rsidRPr="000A0A5F" w:rsidRDefault="00CB0DD7">
            <w:pPr>
              <w:pStyle w:val="TAL"/>
              <w:rPr>
                <w:rFonts w:eastAsia="Times New Roman" w:hint="eastAsia"/>
                <w:lang w:eastAsia="ja-JP"/>
              </w:rPr>
            </w:pPr>
            <w:r w:rsidRPr="000A0A5F">
              <w:rPr>
                <w:rFonts w:eastAsia="Times New Roman" w:hint="eastAsia"/>
                <w:lang w:eastAsia="ja-JP"/>
              </w:rPr>
              <w:t>restrictedPlmnIds</w:t>
            </w:r>
          </w:p>
        </w:tc>
        <w:tc>
          <w:tcPr>
            <w:tcW w:w="1577" w:type="dxa"/>
            <w:shd w:val="clear" w:color="auto" w:fill="auto"/>
          </w:tcPr>
          <w:p w:rsidR="00CB0DD7" w:rsidRPr="000A0A5F" w:rsidRDefault="00CB0DD7">
            <w:pPr>
              <w:pStyle w:val="TAL"/>
              <w:rPr>
                <w:rFonts w:eastAsia="Times New Roman"/>
              </w:rPr>
            </w:pPr>
            <w:r w:rsidRPr="000A0A5F">
              <w:rPr>
                <w:lang w:eastAsia="zh-CN"/>
              </w:rPr>
              <w:t>array(PlmnI</w:t>
            </w:r>
            <w:r w:rsidRPr="000A0A5F">
              <w:rPr>
                <w:rFonts w:hint="eastAsia"/>
                <w:lang w:eastAsia="zh-CN"/>
              </w:rPr>
              <w:t>d</w:t>
            </w:r>
            <w:r w:rsidRPr="000A0A5F">
              <w:rPr>
                <w:lang w:eastAsia="zh-CN"/>
              </w:rPr>
              <w:t>)</w:t>
            </w:r>
          </w:p>
        </w:tc>
        <w:tc>
          <w:tcPr>
            <w:tcW w:w="1276" w:type="dxa"/>
            <w:shd w:val="clear" w:color="auto" w:fill="auto"/>
          </w:tcPr>
          <w:p w:rsidR="00CB0DD7" w:rsidRPr="000A0A5F" w:rsidRDefault="00CB0DD7">
            <w:pPr>
              <w:pStyle w:val="TAL"/>
              <w:rPr>
                <w:rFonts w:eastAsia="Times New Roman"/>
              </w:rPr>
            </w:pPr>
            <w:r w:rsidRPr="000A0A5F">
              <w:rPr>
                <w:rFonts w:eastAsia="Times New Roman"/>
              </w:rPr>
              <w:t>0..N</w:t>
            </w:r>
          </w:p>
        </w:tc>
        <w:tc>
          <w:tcPr>
            <w:tcW w:w="3544" w:type="dxa"/>
            <w:shd w:val="clear" w:color="auto" w:fill="auto"/>
          </w:tcPr>
          <w:p w:rsidR="00CB0DD7" w:rsidRPr="000A0A5F" w:rsidRDefault="00CB0DD7">
            <w:pPr>
              <w:pStyle w:val="TAL"/>
              <w:rPr>
                <w:rFonts w:cs="Arial"/>
                <w:szCs w:val="18"/>
                <w:lang w:eastAsia="zh-CN"/>
              </w:rPr>
            </w:pPr>
            <w:r w:rsidRPr="000A0A5F">
              <w:rPr>
                <w:rFonts w:cs="Arial" w:hint="eastAsia"/>
                <w:szCs w:val="18"/>
                <w:lang w:eastAsia="zh-CN"/>
              </w:rPr>
              <w:t>Indicates a complete list</w:t>
            </w:r>
            <w:r w:rsidRPr="000A0A5F">
              <w:rPr>
                <w:rFonts w:cs="Arial"/>
                <w:szCs w:val="18"/>
                <w:lang w:eastAsia="zh-CN"/>
              </w:rPr>
              <w:t xml:space="preserve"> (and possibly empty)</w:t>
            </w:r>
            <w:r w:rsidRPr="000A0A5F">
              <w:rPr>
                <w:rFonts w:cs="Arial" w:hint="eastAsia"/>
                <w:szCs w:val="18"/>
                <w:lang w:eastAsia="zh-CN"/>
              </w:rPr>
              <w:t xml:space="preserve"> of serving PLMNs where Enhanced Coverage shall be restricted.</w:t>
            </w:r>
          </w:p>
          <w:p w:rsidR="00CB0DD7" w:rsidRPr="000A0A5F" w:rsidRDefault="00CB0DD7">
            <w:pPr>
              <w:pStyle w:val="TAL"/>
              <w:rPr>
                <w:rFonts w:eastAsia="Times New Roman" w:cs="Arial"/>
                <w:szCs w:val="18"/>
              </w:rPr>
            </w:pPr>
            <w:r w:rsidRPr="000A0A5F">
              <w:rPr>
                <w:rFonts w:cs="Arial"/>
                <w:szCs w:val="18"/>
                <w:lang w:eastAsia="zh-CN"/>
              </w:rPr>
              <w:t>(NOTE 2)</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1948" w:type="dxa"/>
            <w:shd w:val="clear" w:color="auto" w:fill="auto"/>
            <w:vAlign w:val="center"/>
          </w:tcPr>
          <w:p w:rsidR="00CB0DD7" w:rsidRPr="000A0A5F" w:rsidRDefault="00CB0DD7">
            <w:pPr>
              <w:pStyle w:val="TAL"/>
              <w:rPr>
                <w:rFonts w:eastAsia="Times New Roman"/>
              </w:rPr>
            </w:pPr>
            <w:r w:rsidRPr="000A0A5F">
              <w:rPr>
                <w:rFonts w:eastAsia="Times New Roman" w:hint="eastAsia"/>
                <w:lang w:eastAsia="ja-JP"/>
              </w:rPr>
              <w:t>allowedPlmnIds</w:t>
            </w:r>
          </w:p>
        </w:tc>
        <w:tc>
          <w:tcPr>
            <w:tcW w:w="1577" w:type="dxa"/>
            <w:shd w:val="clear" w:color="auto" w:fill="auto"/>
          </w:tcPr>
          <w:p w:rsidR="00CB0DD7" w:rsidRPr="000A0A5F" w:rsidRDefault="00CB0DD7">
            <w:pPr>
              <w:pStyle w:val="TAL"/>
              <w:rPr>
                <w:rFonts w:eastAsia="Times New Roman"/>
              </w:rPr>
            </w:pPr>
            <w:r w:rsidRPr="000A0A5F">
              <w:rPr>
                <w:lang w:eastAsia="zh-CN"/>
              </w:rPr>
              <w:t>array(PlmnI</w:t>
            </w:r>
            <w:r w:rsidRPr="000A0A5F">
              <w:rPr>
                <w:rFonts w:hint="eastAsia"/>
                <w:lang w:eastAsia="zh-CN"/>
              </w:rPr>
              <w:t>d</w:t>
            </w:r>
            <w:r w:rsidRPr="000A0A5F">
              <w:rPr>
                <w:lang w:eastAsia="zh-CN"/>
              </w:rPr>
              <w:t>)</w:t>
            </w:r>
          </w:p>
        </w:tc>
        <w:tc>
          <w:tcPr>
            <w:tcW w:w="1276" w:type="dxa"/>
            <w:shd w:val="clear" w:color="auto" w:fill="auto"/>
          </w:tcPr>
          <w:p w:rsidR="00CB0DD7" w:rsidRPr="000A0A5F" w:rsidRDefault="00CB0DD7">
            <w:pPr>
              <w:pStyle w:val="TAL"/>
              <w:rPr>
                <w:rFonts w:eastAsia="Times New Roman"/>
              </w:rPr>
            </w:pPr>
            <w:r w:rsidRPr="000A0A5F">
              <w:rPr>
                <w:rFonts w:eastAsia="Times New Roman"/>
              </w:rPr>
              <w:t>0..N</w:t>
            </w:r>
          </w:p>
        </w:tc>
        <w:tc>
          <w:tcPr>
            <w:tcW w:w="3544" w:type="dxa"/>
            <w:shd w:val="clear" w:color="auto" w:fill="auto"/>
          </w:tcPr>
          <w:p w:rsidR="00CB0DD7" w:rsidRPr="000A0A5F" w:rsidRDefault="00CB0DD7">
            <w:pPr>
              <w:pStyle w:val="TAL"/>
              <w:rPr>
                <w:rFonts w:cs="Arial"/>
                <w:szCs w:val="18"/>
                <w:lang w:eastAsia="zh-CN"/>
              </w:rPr>
            </w:pPr>
            <w:r w:rsidRPr="000A0A5F">
              <w:rPr>
                <w:rFonts w:cs="Arial" w:hint="eastAsia"/>
                <w:szCs w:val="18"/>
                <w:lang w:eastAsia="zh-CN"/>
              </w:rPr>
              <w:t>Indicates a complete list</w:t>
            </w:r>
            <w:r w:rsidRPr="000A0A5F">
              <w:rPr>
                <w:rFonts w:cs="Arial"/>
                <w:szCs w:val="18"/>
                <w:lang w:eastAsia="zh-CN"/>
              </w:rPr>
              <w:t xml:space="preserve"> (and possibly empty)</w:t>
            </w:r>
            <w:r w:rsidRPr="000A0A5F">
              <w:rPr>
                <w:rFonts w:cs="Arial" w:hint="eastAsia"/>
                <w:szCs w:val="18"/>
                <w:lang w:eastAsia="zh-CN"/>
              </w:rPr>
              <w:t xml:space="preserve"> of serving PLMNs where Enhanced Coverage shall be allowed.</w:t>
            </w:r>
          </w:p>
          <w:p w:rsidR="00CB0DD7" w:rsidRPr="000A0A5F" w:rsidRDefault="00CB0DD7">
            <w:pPr>
              <w:pStyle w:val="TAL"/>
              <w:rPr>
                <w:rFonts w:eastAsia="Times New Roman" w:cs="Arial"/>
                <w:szCs w:val="18"/>
              </w:rPr>
            </w:pPr>
            <w:r w:rsidRPr="000A0A5F">
              <w:rPr>
                <w:rFonts w:cs="Arial" w:hint="eastAsia"/>
                <w:szCs w:val="18"/>
                <w:lang w:eastAsia="zh-CN"/>
              </w:rPr>
              <w:t>(</w:t>
            </w:r>
            <w:r w:rsidRPr="000A0A5F">
              <w:rPr>
                <w:rFonts w:cs="Arial"/>
                <w:szCs w:val="18"/>
                <w:lang w:eastAsia="zh-CN"/>
              </w:rPr>
              <w:t>NOTE 2</w:t>
            </w:r>
            <w:r w:rsidRPr="000A0A5F">
              <w:rPr>
                <w:rFonts w:cs="Arial" w:hint="eastAsia"/>
                <w:szCs w:val="18"/>
                <w:lang w:eastAsia="zh-CN"/>
              </w:rPr>
              <w:t>)</w:t>
            </w:r>
          </w:p>
        </w:tc>
        <w:tc>
          <w:tcPr>
            <w:tcW w:w="1257" w:type="dxa"/>
          </w:tcPr>
          <w:p w:rsidR="00CB0DD7" w:rsidRPr="000A0A5F" w:rsidRDefault="00CB0DD7">
            <w:pPr>
              <w:pStyle w:val="TAL"/>
              <w:rPr>
                <w:rFonts w:eastAsia="Times New Roman" w:cs="Arial"/>
                <w:szCs w:val="18"/>
              </w:rPr>
            </w:pPr>
          </w:p>
        </w:tc>
      </w:tr>
      <w:tr w:rsidR="00CB0DD7" w:rsidRPr="000A0A5F" w:rsidTr="00FF0AF8">
        <w:trPr>
          <w:jc w:val="center"/>
        </w:trPr>
        <w:tc>
          <w:tcPr>
            <w:tcW w:w="9602" w:type="dxa"/>
            <w:gridSpan w:val="5"/>
            <w:shd w:val="clear" w:color="auto" w:fill="auto"/>
          </w:tcPr>
          <w:p w:rsidR="00CB0DD7" w:rsidRPr="000A0A5F" w:rsidRDefault="00CB0DD7">
            <w:pPr>
              <w:pStyle w:val="TAN"/>
            </w:pPr>
            <w:r w:rsidRPr="000A0A5F">
              <w:t>NOTE 1:</w:t>
            </w:r>
            <w:r w:rsidRPr="000A0A5F">
              <w:tab/>
              <w:t>Properties marked with a feature as defined in clause 5.4.4 are applicable as described in clause 5.2.7. If no feature are indicated, the related property applies for all the features.</w:t>
            </w:r>
          </w:p>
          <w:p w:rsidR="00CB0DD7" w:rsidRPr="000A0A5F" w:rsidRDefault="00CB0DD7">
            <w:pPr>
              <w:pStyle w:val="TAN"/>
            </w:pPr>
            <w:r w:rsidRPr="000A0A5F">
              <w:t>NOTE 2:</w:t>
            </w:r>
            <w:r w:rsidRPr="000A0A5F">
              <w:tab/>
            </w:r>
            <w:r w:rsidRPr="000A0A5F">
              <w:rPr>
                <w:noProof/>
                <w:lang w:eastAsia="zh-CN"/>
              </w:rPr>
              <w:t>"</w:t>
            </w:r>
            <w:r w:rsidRPr="000A0A5F">
              <w:rPr>
                <w:rFonts w:eastAsia="Times New Roman" w:hint="eastAsia"/>
                <w:lang w:eastAsia="ja-JP"/>
              </w:rPr>
              <w:t>restrictedPlmnIds</w:t>
            </w:r>
            <w:r w:rsidRPr="000A0A5F">
              <w:rPr>
                <w:noProof/>
                <w:lang w:eastAsia="zh-CN"/>
              </w:rPr>
              <w:t xml:space="preserve">" </w:t>
            </w:r>
            <w:r w:rsidRPr="000A0A5F">
              <w:t xml:space="preserve">and </w:t>
            </w:r>
            <w:r w:rsidRPr="000A0A5F">
              <w:rPr>
                <w:noProof/>
                <w:lang w:eastAsia="zh-CN"/>
              </w:rPr>
              <w:t>"</w:t>
            </w:r>
            <w:r w:rsidRPr="000A0A5F">
              <w:rPr>
                <w:rFonts w:eastAsia="Times New Roman" w:hint="eastAsia"/>
                <w:lang w:eastAsia="ja-JP"/>
              </w:rPr>
              <w:t>allowedPlmnIds</w:t>
            </w:r>
            <w:r w:rsidRPr="000A0A5F">
              <w:rPr>
                <w:noProof/>
                <w:lang w:eastAsia="zh-CN"/>
              </w:rPr>
              <w:t xml:space="preserve">" </w:t>
            </w:r>
            <w:r w:rsidRPr="000A0A5F">
              <w:t>shall be mutually exclusive.</w:t>
            </w:r>
          </w:p>
        </w:tc>
      </w:tr>
    </w:tbl>
    <w:p w:rsidR="00CB0DD7" w:rsidRPr="000A0A5F" w:rsidRDefault="00CB0DD7"/>
    <w:p w:rsidR="00CB0DD7" w:rsidRPr="000A0A5F" w:rsidRDefault="00CB0DD7">
      <w:pPr>
        <w:pStyle w:val="Heading5"/>
      </w:pPr>
      <w:bookmarkStart w:id="8422" w:name="_Toc45132154"/>
      <w:bookmarkStart w:id="8423" w:name="_Toc49776439"/>
      <w:bookmarkStart w:id="8424" w:name="_Toc51747359"/>
      <w:bookmarkStart w:id="8425" w:name="_Toc66360935"/>
      <w:bookmarkStart w:id="8426" w:name="_Toc68105440"/>
      <w:bookmarkStart w:id="8427" w:name="_Toc74756070"/>
      <w:bookmarkStart w:id="8428" w:name="_Toc105674947"/>
      <w:bookmarkStart w:id="8429" w:name="_Toc130503015"/>
      <w:bookmarkStart w:id="8430" w:name="_Toc153625803"/>
      <w:r w:rsidRPr="000A0A5F">
        <w:t>5.12.2.1.4</w:t>
      </w:r>
      <w:r w:rsidRPr="000A0A5F">
        <w:tab/>
        <w:t xml:space="preserve">Type: </w:t>
      </w:r>
      <w:r w:rsidRPr="000A0A5F">
        <w:rPr>
          <w:lang w:eastAsia="zh-CN"/>
        </w:rPr>
        <w:t>PlmnEcRestrictionDataWb</w:t>
      </w:r>
      <w:bookmarkEnd w:id="8422"/>
      <w:bookmarkEnd w:id="8423"/>
      <w:bookmarkEnd w:id="8424"/>
      <w:bookmarkEnd w:id="8425"/>
      <w:bookmarkEnd w:id="8426"/>
      <w:bookmarkEnd w:id="8427"/>
      <w:bookmarkEnd w:id="8428"/>
      <w:bookmarkEnd w:id="8429"/>
      <w:bookmarkEnd w:id="8430"/>
    </w:p>
    <w:p w:rsidR="00CB0DD7" w:rsidRPr="000A0A5F" w:rsidRDefault="00CB0DD7">
      <w:pPr>
        <w:pStyle w:val="TH"/>
      </w:pPr>
      <w:r w:rsidRPr="000A0A5F">
        <w:rPr>
          <w:noProof/>
        </w:rPr>
        <w:t>Table </w:t>
      </w:r>
      <w:r w:rsidRPr="000A0A5F">
        <w:t xml:space="preserve">5.12.2.1.4-1: </w:t>
      </w:r>
      <w:r w:rsidRPr="000A0A5F">
        <w:rPr>
          <w:noProof/>
        </w:rPr>
        <w:t xml:space="preserve">Definition of type </w:t>
      </w:r>
      <w:r w:rsidRPr="000A0A5F">
        <w:rPr>
          <w:lang w:eastAsia="zh-CN"/>
        </w:rPr>
        <w:t>PlmnEcRestrictionDataWb</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948"/>
        <w:gridCol w:w="1577"/>
        <w:gridCol w:w="1276"/>
        <w:gridCol w:w="3544"/>
        <w:gridCol w:w="1257"/>
      </w:tblGrid>
      <w:tr w:rsidR="00CB0DD7" w:rsidRPr="000A0A5F" w:rsidTr="00FF0AF8">
        <w:trPr>
          <w:jc w:val="center"/>
        </w:trPr>
        <w:tc>
          <w:tcPr>
            <w:tcW w:w="1948" w:type="dxa"/>
            <w:shd w:val="clear" w:color="auto" w:fill="C0C0C0"/>
          </w:tcPr>
          <w:p w:rsidR="00CB0DD7" w:rsidRPr="000A0A5F" w:rsidRDefault="00CB0DD7">
            <w:pPr>
              <w:pStyle w:val="TAH"/>
              <w:rPr>
                <w:rFonts w:eastAsia="Times New Roman"/>
              </w:rPr>
            </w:pPr>
            <w:r w:rsidRPr="000A0A5F">
              <w:rPr>
                <w:rFonts w:eastAsia="Times New Roman"/>
              </w:rPr>
              <w:t>Attribute name</w:t>
            </w:r>
          </w:p>
        </w:tc>
        <w:tc>
          <w:tcPr>
            <w:tcW w:w="1577" w:type="dxa"/>
            <w:shd w:val="clear" w:color="auto" w:fill="C0C0C0"/>
          </w:tcPr>
          <w:p w:rsidR="00CB0DD7" w:rsidRPr="000A0A5F" w:rsidRDefault="00CB0DD7">
            <w:pPr>
              <w:pStyle w:val="TAH"/>
              <w:rPr>
                <w:rFonts w:eastAsia="Times New Roman"/>
              </w:rPr>
            </w:pPr>
            <w:r w:rsidRPr="000A0A5F">
              <w:rPr>
                <w:rFonts w:eastAsia="Times New Roman"/>
              </w:rPr>
              <w:t>Data type</w:t>
            </w:r>
          </w:p>
        </w:tc>
        <w:tc>
          <w:tcPr>
            <w:tcW w:w="1276" w:type="dxa"/>
            <w:shd w:val="clear" w:color="auto" w:fill="C0C0C0"/>
          </w:tcPr>
          <w:p w:rsidR="00CB0DD7" w:rsidRPr="000A0A5F" w:rsidRDefault="00CB0DD7">
            <w:pPr>
              <w:pStyle w:val="TAH"/>
              <w:jc w:val="left"/>
              <w:rPr>
                <w:rFonts w:eastAsia="Times New Roman"/>
              </w:rPr>
            </w:pPr>
            <w:r w:rsidRPr="000A0A5F">
              <w:rPr>
                <w:rFonts w:eastAsia="Times New Roman"/>
              </w:rPr>
              <w:t>Cardinality</w:t>
            </w:r>
          </w:p>
        </w:tc>
        <w:tc>
          <w:tcPr>
            <w:tcW w:w="3544"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Description</w:t>
            </w:r>
          </w:p>
        </w:tc>
        <w:tc>
          <w:tcPr>
            <w:tcW w:w="1257"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 xml:space="preserve">Applicability </w:t>
            </w:r>
          </w:p>
        </w:tc>
      </w:tr>
      <w:tr w:rsidR="00CB0DD7" w:rsidRPr="000A0A5F" w:rsidTr="00FF0AF8">
        <w:trPr>
          <w:jc w:val="center"/>
        </w:trPr>
        <w:tc>
          <w:tcPr>
            <w:tcW w:w="1948" w:type="dxa"/>
            <w:shd w:val="clear" w:color="auto" w:fill="auto"/>
          </w:tcPr>
          <w:p w:rsidR="00CB0DD7" w:rsidRPr="000A0A5F" w:rsidRDefault="00CB0DD7">
            <w:pPr>
              <w:pStyle w:val="TAH"/>
              <w:jc w:val="left"/>
              <w:rPr>
                <w:rFonts w:eastAsia="Times New Roman"/>
                <w:b w:val="0"/>
              </w:rPr>
            </w:pPr>
            <w:r w:rsidRPr="000A0A5F">
              <w:rPr>
                <w:b w:val="0"/>
              </w:rPr>
              <w:t>plmnId</w:t>
            </w:r>
          </w:p>
        </w:tc>
        <w:tc>
          <w:tcPr>
            <w:tcW w:w="1577" w:type="dxa"/>
            <w:shd w:val="clear" w:color="auto" w:fill="auto"/>
          </w:tcPr>
          <w:p w:rsidR="00CB0DD7" w:rsidRPr="000A0A5F" w:rsidRDefault="00CB0DD7">
            <w:pPr>
              <w:pStyle w:val="TAH"/>
              <w:jc w:val="left"/>
              <w:rPr>
                <w:rFonts w:eastAsia="Times New Roman"/>
                <w:b w:val="0"/>
              </w:rPr>
            </w:pPr>
            <w:r w:rsidRPr="000A0A5F">
              <w:rPr>
                <w:b w:val="0"/>
              </w:rPr>
              <w:t>PlmnId</w:t>
            </w:r>
          </w:p>
        </w:tc>
        <w:tc>
          <w:tcPr>
            <w:tcW w:w="1276" w:type="dxa"/>
            <w:shd w:val="clear" w:color="auto" w:fill="auto"/>
          </w:tcPr>
          <w:p w:rsidR="00CB0DD7" w:rsidRPr="000A0A5F" w:rsidRDefault="00CB0DD7">
            <w:pPr>
              <w:pStyle w:val="TAH"/>
              <w:jc w:val="left"/>
              <w:rPr>
                <w:b w:val="0"/>
                <w:lang w:eastAsia="zh-CN"/>
              </w:rPr>
            </w:pPr>
            <w:r w:rsidRPr="000A0A5F">
              <w:rPr>
                <w:rFonts w:hint="eastAsia"/>
                <w:b w:val="0"/>
                <w:lang w:eastAsia="zh-CN"/>
              </w:rPr>
              <w:t>1</w:t>
            </w:r>
          </w:p>
        </w:tc>
        <w:tc>
          <w:tcPr>
            <w:tcW w:w="3544" w:type="dxa"/>
            <w:shd w:val="clear" w:color="auto" w:fill="auto"/>
          </w:tcPr>
          <w:p w:rsidR="00CB0DD7" w:rsidRPr="000A0A5F" w:rsidRDefault="00CB0DD7">
            <w:pPr>
              <w:pStyle w:val="TAH"/>
              <w:jc w:val="left"/>
              <w:rPr>
                <w:rFonts w:eastAsia="Times New Roman" w:cs="Arial"/>
                <w:b w:val="0"/>
                <w:szCs w:val="18"/>
              </w:rPr>
            </w:pPr>
            <w:r w:rsidRPr="000A0A5F">
              <w:rPr>
                <w:b w:val="0"/>
                <w:lang w:eastAsia="zh-CN"/>
              </w:rPr>
              <w:t>Indicates the PLMN where enhanced coverage mode shall be restricted or not.</w:t>
            </w:r>
          </w:p>
        </w:tc>
        <w:tc>
          <w:tcPr>
            <w:tcW w:w="1257" w:type="dxa"/>
            <w:shd w:val="clear" w:color="auto" w:fill="auto"/>
          </w:tcPr>
          <w:p w:rsidR="00CB0DD7" w:rsidRPr="000A0A5F" w:rsidRDefault="00CB0DD7">
            <w:pPr>
              <w:pStyle w:val="TAH"/>
              <w:jc w:val="left"/>
              <w:rPr>
                <w:rFonts w:eastAsia="Times New Roman" w:cs="Arial"/>
                <w:b w:val="0"/>
                <w:szCs w:val="18"/>
              </w:rPr>
            </w:pPr>
          </w:p>
        </w:tc>
      </w:tr>
      <w:tr w:rsidR="00CB0DD7" w:rsidRPr="000A0A5F" w:rsidTr="00FF0AF8">
        <w:trPr>
          <w:jc w:val="center"/>
        </w:trPr>
        <w:tc>
          <w:tcPr>
            <w:tcW w:w="1948" w:type="dxa"/>
            <w:shd w:val="clear" w:color="auto" w:fill="auto"/>
          </w:tcPr>
          <w:p w:rsidR="00CB0DD7" w:rsidRPr="000A0A5F" w:rsidRDefault="00CB0DD7">
            <w:pPr>
              <w:pStyle w:val="TAL"/>
              <w:rPr>
                <w:rFonts w:eastAsia="Times New Roman"/>
                <w:lang w:eastAsia="ja-JP"/>
              </w:rPr>
            </w:pPr>
            <w:r w:rsidRPr="000A0A5F">
              <w:rPr>
                <w:lang w:eastAsia="zh-CN"/>
              </w:rPr>
              <w:t>plmnEcrDataWb</w:t>
            </w:r>
          </w:p>
        </w:tc>
        <w:tc>
          <w:tcPr>
            <w:tcW w:w="1577" w:type="dxa"/>
            <w:shd w:val="clear" w:color="auto" w:fill="auto"/>
          </w:tcPr>
          <w:p w:rsidR="00CB0DD7" w:rsidRPr="000A0A5F" w:rsidRDefault="00CB0DD7">
            <w:pPr>
              <w:pStyle w:val="TAL"/>
              <w:rPr>
                <w:rFonts w:eastAsia="Times New Roman"/>
                <w:lang w:eastAsia="ja-JP"/>
              </w:rPr>
            </w:pPr>
            <w:r w:rsidRPr="000A0A5F">
              <w:rPr>
                <w:lang w:eastAsia="zh-CN"/>
              </w:rPr>
              <w:t>EcRestrictionDataWb</w:t>
            </w:r>
          </w:p>
        </w:tc>
        <w:tc>
          <w:tcPr>
            <w:tcW w:w="1276" w:type="dxa"/>
            <w:shd w:val="clear" w:color="auto" w:fill="auto"/>
          </w:tcPr>
          <w:p w:rsidR="00CB0DD7" w:rsidRPr="000A0A5F" w:rsidRDefault="00CB0DD7">
            <w:pPr>
              <w:pStyle w:val="TAL"/>
              <w:rPr>
                <w:rFonts w:eastAsia="Times New Roman"/>
              </w:rPr>
            </w:pPr>
            <w:r w:rsidRPr="000A0A5F">
              <w:rPr>
                <w:rFonts w:hint="eastAsia"/>
                <w:lang w:eastAsia="zh-CN"/>
              </w:rPr>
              <w:t>0</w:t>
            </w:r>
            <w:r w:rsidRPr="000A0A5F">
              <w:rPr>
                <w:lang w:eastAsia="zh-CN"/>
              </w:rPr>
              <w:t>..1</w:t>
            </w:r>
          </w:p>
        </w:tc>
        <w:tc>
          <w:tcPr>
            <w:tcW w:w="3544" w:type="dxa"/>
            <w:shd w:val="clear" w:color="auto" w:fill="auto"/>
          </w:tcPr>
          <w:p w:rsidR="00CB0DD7" w:rsidRPr="000A0A5F" w:rsidRDefault="00CB0DD7">
            <w:pPr>
              <w:pStyle w:val="TAL"/>
              <w:rPr>
                <w:rFonts w:eastAsia="Times New Roman" w:cs="Arial"/>
                <w:szCs w:val="18"/>
              </w:rPr>
            </w:pPr>
            <w:r w:rsidRPr="000A0A5F">
              <w:rPr>
                <w:rFonts w:cs="Arial" w:hint="eastAsia"/>
                <w:szCs w:val="18"/>
                <w:lang w:eastAsia="zh-CN"/>
              </w:rPr>
              <w:t>I</w:t>
            </w:r>
            <w:r w:rsidRPr="000A0A5F">
              <w:rPr>
                <w:rFonts w:cs="Arial"/>
                <w:szCs w:val="18"/>
                <w:lang w:eastAsia="zh-CN"/>
              </w:rPr>
              <w:t>dentifies whether enhanced coverage mode are restricted or not.</w:t>
            </w:r>
          </w:p>
        </w:tc>
        <w:tc>
          <w:tcPr>
            <w:tcW w:w="1257" w:type="dxa"/>
          </w:tcPr>
          <w:p w:rsidR="00CB0DD7" w:rsidRPr="000A0A5F" w:rsidRDefault="00CB0DD7">
            <w:pPr>
              <w:pStyle w:val="TAL"/>
              <w:rPr>
                <w:rFonts w:eastAsia="Times New Roman" w:cs="Arial"/>
                <w:szCs w:val="18"/>
              </w:rPr>
            </w:pPr>
          </w:p>
        </w:tc>
      </w:tr>
    </w:tbl>
    <w:p w:rsidR="00CB0DD7" w:rsidRPr="000A0A5F" w:rsidRDefault="00CB0DD7"/>
    <w:p w:rsidR="00CB0DD7" w:rsidRPr="000A0A5F" w:rsidRDefault="00CB0DD7">
      <w:pPr>
        <w:pStyle w:val="Heading3"/>
      </w:pPr>
      <w:bookmarkStart w:id="8431" w:name="_Toc11247822"/>
      <w:bookmarkStart w:id="8432" w:name="_Toc27044966"/>
      <w:bookmarkStart w:id="8433" w:name="_Toc36034008"/>
      <w:bookmarkStart w:id="8434" w:name="_Toc45132155"/>
      <w:bookmarkStart w:id="8435" w:name="_Toc49776440"/>
      <w:bookmarkStart w:id="8436" w:name="_Toc51747360"/>
      <w:bookmarkStart w:id="8437" w:name="_Toc66360936"/>
      <w:bookmarkStart w:id="8438" w:name="_Toc68105441"/>
      <w:bookmarkStart w:id="8439" w:name="_Toc74756071"/>
      <w:bookmarkStart w:id="8440" w:name="_Toc105674948"/>
      <w:bookmarkStart w:id="8441" w:name="_Toc130503016"/>
      <w:bookmarkStart w:id="8442" w:name="_Toc153625804"/>
      <w:r w:rsidRPr="000A0A5F">
        <w:t>5.12.3</w:t>
      </w:r>
      <w:r w:rsidRPr="000A0A5F">
        <w:tab/>
        <w:t>Custom Operations without associated resources</w:t>
      </w:r>
      <w:bookmarkEnd w:id="8431"/>
      <w:bookmarkEnd w:id="8432"/>
      <w:bookmarkEnd w:id="8433"/>
      <w:bookmarkEnd w:id="8434"/>
      <w:bookmarkEnd w:id="8435"/>
      <w:bookmarkEnd w:id="8436"/>
      <w:bookmarkEnd w:id="8437"/>
      <w:bookmarkEnd w:id="8438"/>
      <w:bookmarkEnd w:id="8439"/>
      <w:bookmarkEnd w:id="8440"/>
      <w:bookmarkEnd w:id="8441"/>
      <w:bookmarkEnd w:id="8442"/>
    </w:p>
    <w:p w:rsidR="00CB0DD7" w:rsidRPr="000A0A5F" w:rsidRDefault="00CB0DD7">
      <w:pPr>
        <w:pStyle w:val="Heading4"/>
      </w:pPr>
      <w:bookmarkStart w:id="8443" w:name="_Toc11247823"/>
      <w:bookmarkStart w:id="8444" w:name="_Toc27044967"/>
      <w:bookmarkStart w:id="8445" w:name="_Toc36034009"/>
      <w:bookmarkStart w:id="8446" w:name="_Toc45132156"/>
      <w:bookmarkStart w:id="8447" w:name="_Toc49776441"/>
      <w:bookmarkStart w:id="8448" w:name="_Toc51747361"/>
      <w:bookmarkStart w:id="8449" w:name="_Toc66360937"/>
      <w:bookmarkStart w:id="8450" w:name="_Toc68105442"/>
      <w:bookmarkStart w:id="8451" w:name="_Toc74756072"/>
      <w:bookmarkStart w:id="8452" w:name="_Toc105674949"/>
      <w:bookmarkStart w:id="8453" w:name="_Toc130503017"/>
      <w:bookmarkStart w:id="8454" w:name="_Toc153625805"/>
      <w:r w:rsidRPr="000A0A5F">
        <w:t>5.12.3.1</w:t>
      </w:r>
      <w:r w:rsidRPr="000A0A5F">
        <w:tab/>
        <w:t>Overview</w:t>
      </w:r>
      <w:bookmarkEnd w:id="8443"/>
      <w:bookmarkEnd w:id="8444"/>
      <w:bookmarkEnd w:id="8445"/>
      <w:bookmarkEnd w:id="8446"/>
      <w:bookmarkEnd w:id="8447"/>
      <w:bookmarkEnd w:id="8448"/>
      <w:bookmarkEnd w:id="8449"/>
      <w:bookmarkEnd w:id="8450"/>
      <w:bookmarkEnd w:id="8451"/>
      <w:bookmarkEnd w:id="8452"/>
      <w:bookmarkEnd w:id="8453"/>
      <w:bookmarkEnd w:id="8454"/>
    </w:p>
    <w:p w:rsidR="00CB0DD7" w:rsidRPr="000A0A5F" w:rsidRDefault="00CB0DD7">
      <w:r w:rsidRPr="000A0A5F">
        <w:t>Custom operations used for this API are summarized in table 5.12.3.1-1. "apiRoot" is set as described in clause</w:t>
      </w:r>
      <w:r w:rsidRPr="000A0A5F">
        <w:rPr>
          <w:rFonts w:ascii="Segoe UI Symbol" w:hAnsi="Segoe UI Symbol"/>
        </w:rPr>
        <w:t> </w:t>
      </w:r>
      <w:r w:rsidRPr="000A0A5F">
        <w:t>5.2.4.</w:t>
      </w:r>
    </w:p>
    <w:p w:rsidR="00CB0DD7" w:rsidRPr="000A0A5F" w:rsidRDefault="002E466A">
      <w:pPr>
        <w:pStyle w:val="TH"/>
      </w:pPr>
      <w:r w:rsidRPr="000A0A5F">
        <w:t>Table </w:t>
      </w:r>
      <w:r w:rsidR="00CB0DD7" w:rsidRPr="000A0A5F">
        <w:t>5.12.3.1-1: Custom operations without associated resources</w:t>
      </w:r>
    </w:p>
    <w:tbl>
      <w:tblPr>
        <w:tblW w:w="4946"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1859"/>
        <w:gridCol w:w="3118"/>
        <w:gridCol w:w="1435"/>
        <w:gridCol w:w="3259"/>
        <w:tblGridChange w:id="8455">
          <w:tblGrid>
            <w:gridCol w:w="1859"/>
            <w:gridCol w:w="3118"/>
            <w:gridCol w:w="1435"/>
            <w:gridCol w:w="3259"/>
          </w:tblGrid>
        </w:tblGridChange>
      </w:tblGrid>
      <w:tr w:rsidR="00CB0DD7" w:rsidRPr="000A0A5F" w:rsidTr="00FF0AF8">
        <w:trPr>
          <w:jc w:val="center"/>
        </w:trPr>
        <w:tc>
          <w:tcPr>
            <w:tcW w:w="961" w:type="pct"/>
            <w:shd w:val="clear" w:color="auto" w:fill="C0C0C0"/>
          </w:tcPr>
          <w:p w:rsidR="00CB0DD7" w:rsidRPr="000A0A5F" w:rsidRDefault="00CB0DD7">
            <w:pPr>
              <w:pStyle w:val="TAH"/>
            </w:pPr>
            <w:r w:rsidRPr="000A0A5F">
              <w:rPr>
                <w:rFonts w:hint="eastAsia"/>
                <w:lang w:eastAsia="zh-CN"/>
              </w:rPr>
              <w:t>O</w:t>
            </w:r>
            <w:r w:rsidRPr="000A0A5F">
              <w:rPr>
                <w:lang w:eastAsia="zh-CN"/>
              </w:rPr>
              <w:t>peration name</w:t>
            </w:r>
          </w:p>
        </w:tc>
        <w:tc>
          <w:tcPr>
            <w:tcW w:w="1612" w:type="pct"/>
            <w:shd w:val="clear" w:color="auto" w:fill="C0C0C0"/>
            <w:vAlign w:val="center"/>
            <w:hideMark/>
          </w:tcPr>
          <w:p w:rsidR="00CB0DD7" w:rsidRPr="000A0A5F" w:rsidRDefault="00CB0DD7">
            <w:pPr>
              <w:pStyle w:val="TAH"/>
            </w:pPr>
            <w:r w:rsidRPr="000A0A5F">
              <w:t>Custom operation URI</w:t>
            </w:r>
          </w:p>
        </w:tc>
        <w:tc>
          <w:tcPr>
            <w:tcW w:w="742" w:type="pct"/>
            <w:shd w:val="clear" w:color="auto" w:fill="C0C0C0"/>
            <w:vAlign w:val="center"/>
            <w:hideMark/>
          </w:tcPr>
          <w:p w:rsidR="00CB0DD7" w:rsidRPr="000A0A5F" w:rsidRDefault="00CB0DD7">
            <w:pPr>
              <w:pStyle w:val="TAH"/>
            </w:pPr>
            <w:r w:rsidRPr="000A0A5F">
              <w:t>Mapped HTTP method</w:t>
            </w:r>
          </w:p>
        </w:tc>
        <w:tc>
          <w:tcPr>
            <w:tcW w:w="1685" w:type="pct"/>
            <w:shd w:val="clear" w:color="auto" w:fill="C0C0C0"/>
            <w:vAlign w:val="center"/>
            <w:hideMark/>
          </w:tcPr>
          <w:p w:rsidR="00CB0DD7" w:rsidRPr="000A0A5F" w:rsidRDefault="00CB0DD7">
            <w:pPr>
              <w:pStyle w:val="TAH"/>
            </w:pPr>
            <w:r w:rsidRPr="000A0A5F">
              <w:t>Description</w:t>
            </w:r>
          </w:p>
        </w:tc>
      </w:tr>
      <w:tr w:rsidR="00CB0DD7" w:rsidRPr="000A0A5F" w:rsidTr="00FF0AF8">
        <w:trPr>
          <w:jc w:val="center"/>
        </w:trPr>
        <w:tc>
          <w:tcPr>
            <w:tcW w:w="961" w:type="pct"/>
          </w:tcPr>
          <w:p w:rsidR="00CB0DD7" w:rsidRPr="000A0A5F" w:rsidRDefault="00CB0DD7">
            <w:pPr>
              <w:pStyle w:val="TAL"/>
            </w:pPr>
            <w:r w:rsidRPr="000A0A5F">
              <w:t>query</w:t>
            </w:r>
          </w:p>
        </w:tc>
        <w:tc>
          <w:tcPr>
            <w:tcW w:w="1612" w:type="pct"/>
            <w:hideMark/>
          </w:tcPr>
          <w:p w:rsidR="00CB0DD7" w:rsidRPr="000A0A5F" w:rsidRDefault="00CB0DD7">
            <w:pPr>
              <w:pStyle w:val="TAL"/>
            </w:pPr>
            <w:r w:rsidRPr="000A0A5F">
              <w:t>/query</w:t>
            </w:r>
          </w:p>
        </w:tc>
        <w:tc>
          <w:tcPr>
            <w:tcW w:w="742" w:type="pct"/>
            <w:hideMark/>
          </w:tcPr>
          <w:p w:rsidR="00CB0DD7" w:rsidRPr="000A0A5F" w:rsidRDefault="00CB0DD7">
            <w:pPr>
              <w:pStyle w:val="TAL"/>
            </w:pPr>
            <w:r w:rsidRPr="000A0A5F">
              <w:t>POST</w:t>
            </w:r>
          </w:p>
        </w:tc>
        <w:tc>
          <w:tcPr>
            <w:tcW w:w="1685" w:type="pct"/>
            <w:hideMark/>
          </w:tcPr>
          <w:p w:rsidR="00CB0DD7" w:rsidRPr="000A0A5F" w:rsidRDefault="00CB0DD7">
            <w:pPr>
              <w:pStyle w:val="TAL"/>
            </w:pPr>
            <w:r w:rsidRPr="000A0A5F">
              <w:rPr>
                <w:noProof/>
                <w:lang w:eastAsia="zh-CN"/>
              </w:rPr>
              <w:t>Query the status of enhanced converage restriction for a UE</w:t>
            </w:r>
          </w:p>
        </w:tc>
      </w:tr>
      <w:tr w:rsidR="00CB0DD7" w:rsidRPr="000A0A5F" w:rsidTr="00FF0AF8">
        <w:trPr>
          <w:jc w:val="center"/>
        </w:trPr>
        <w:tc>
          <w:tcPr>
            <w:tcW w:w="961" w:type="pct"/>
          </w:tcPr>
          <w:p w:rsidR="00CB0DD7" w:rsidRPr="000A0A5F" w:rsidRDefault="00CB0DD7">
            <w:pPr>
              <w:pStyle w:val="TAL"/>
            </w:pPr>
            <w:r w:rsidRPr="000A0A5F">
              <w:t>configure</w:t>
            </w:r>
          </w:p>
        </w:tc>
        <w:tc>
          <w:tcPr>
            <w:tcW w:w="1612" w:type="pct"/>
          </w:tcPr>
          <w:p w:rsidR="00CB0DD7" w:rsidRPr="000A0A5F" w:rsidRDefault="00CB0DD7">
            <w:pPr>
              <w:pStyle w:val="TAL"/>
            </w:pPr>
            <w:r w:rsidRPr="000A0A5F">
              <w:t>/configure</w:t>
            </w:r>
          </w:p>
        </w:tc>
        <w:tc>
          <w:tcPr>
            <w:tcW w:w="742" w:type="pct"/>
          </w:tcPr>
          <w:p w:rsidR="00CB0DD7" w:rsidRPr="000A0A5F" w:rsidRDefault="00CB0DD7">
            <w:pPr>
              <w:pStyle w:val="TAL"/>
            </w:pPr>
            <w:r w:rsidRPr="000A0A5F">
              <w:t>POST</w:t>
            </w:r>
          </w:p>
        </w:tc>
        <w:tc>
          <w:tcPr>
            <w:tcW w:w="1685" w:type="pct"/>
          </w:tcPr>
          <w:p w:rsidR="00CB0DD7" w:rsidRPr="000A0A5F" w:rsidRDefault="00CB0DD7">
            <w:pPr>
              <w:pStyle w:val="TAL"/>
            </w:pPr>
            <w:r w:rsidRPr="000A0A5F">
              <w:rPr>
                <w:noProof/>
                <w:lang w:eastAsia="zh-CN"/>
              </w:rPr>
              <w:t>Configure the enhanced converage restriction for a UE</w:t>
            </w:r>
          </w:p>
        </w:tc>
      </w:tr>
    </w:tbl>
    <w:p w:rsidR="00CB0DD7" w:rsidRPr="000A0A5F" w:rsidRDefault="00CB0DD7"/>
    <w:p w:rsidR="00CB0DD7" w:rsidRPr="000A0A5F" w:rsidRDefault="00CB0DD7">
      <w:pPr>
        <w:pStyle w:val="Heading4"/>
      </w:pPr>
      <w:bookmarkStart w:id="8456" w:name="_Toc11247824"/>
      <w:bookmarkStart w:id="8457" w:name="_Toc27044968"/>
      <w:bookmarkStart w:id="8458" w:name="_Toc36034010"/>
      <w:bookmarkStart w:id="8459" w:name="_Toc45132157"/>
      <w:bookmarkStart w:id="8460" w:name="_Toc49776442"/>
      <w:bookmarkStart w:id="8461" w:name="_Toc51747362"/>
      <w:bookmarkStart w:id="8462" w:name="_Toc66360938"/>
      <w:bookmarkStart w:id="8463" w:name="_Toc68105443"/>
      <w:bookmarkStart w:id="8464" w:name="_Toc74756073"/>
      <w:bookmarkStart w:id="8465" w:name="_Toc105674950"/>
      <w:bookmarkStart w:id="8466" w:name="_Toc130503018"/>
      <w:bookmarkStart w:id="8467" w:name="_Toc153625806"/>
      <w:r w:rsidRPr="000A0A5F">
        <w:t>5.12.3.2</w:t>
      </w:r>
      <w:r w:rsidRPr="000A0A5F">
        <w:tab/>
        <w:t>Operation: query</w:t>
      </w:r>
      <w:bookmarkEnd w:id="8456"/>
      <w:bookmarkEnd w:id="8457"/>
      <w:bookmarkEnd w:id="8458"/>
      <w:bookmarkEnd w:id="8459"/>
      <w:bookmarkEnd w:id="8460"/>
      <w:bookmarkEnd w:id="8461"/>
      <w:bookmarkEnd w:id="8462"/>
      <w:bookmarkEnd w:id="8463"/>
      <w:bookmarkEnd w:id="8464"/>
      <w:bookmarkEnd w:id="8465"/>
      <w:bookmarkEnd w:id="8466"/>
      <w:bookmarkEnd w:id="8467"/>
    </w:p>
    <w:p w:rsidR="00CB0DD7" w:rsidRPr="000A0A5F" w:rsidRDefault="00CB0DD7">
      <w:pPr>
        <w:pStyle w:val="Heading5"/>
      </w:pPr>
      <w:bookmarkStart w:id="8468" w:name="_Toc11247825"/>
      <w:bookmarkStart w:id="8469" w:name="_Toc27044969"/>
      <w:bookmarkStart w:id="8470" w:name="_Toc36034011"/>
      <w:bookmarkStart w:id="8471" w:name="_Toc45132158"/>
      <w:bookmarkStart w:id="8472" w:name="_Toc49776443"/>
      <w:bookmarkStart w:id="8473" w:name="_Toc51747363"/>
      <w:bookmarkStart w:id="8474" w:name="_Toc66360939"/>
      <w:bookmarkStart w:id="8475" w:name="_Toc68105444"/>
      <w:bookmarkStart w:id="8476" w:name="_Toc74756074"/>
      <w:bookmarkStart w:id="8477" w:name="_Toc105674951"/>
      <w:bookmarkStart w:id="8478" w:name="_Toc130503019"/>
      <w:bookmarkStart w:id="8479" w:name="_Toc153625807"/>
      <w:r w:rsidRPr="000A0A5F">
        <w:t>5.12.3.2.1</w:t>
      </w:r>
      <w:r w:rsidRPr="000A0A5F">
        <w:tab/>
        <w:t>Description</w:t>
      </w:r>
      <w:bookmarkEnd w:id="8468"/>
      <w:bookmarkEnd w:id="8469"/>
      <w:bookmarkEnd w:id="8470"/>
      <w:bookmarkEnd w:id="8471"/>
      <w:bookmarkEnd w:id="8472"/>
      <w:bookmarkEnd w:id="8473"/>
      <w:bookmarkEnd w:id="8474"/>
      <w:bookmarkEnd w:id="8475"/>
      <w:bookmarkEnd w:id="8476"/>
      <w:bookmarkEnd w:id="8477"/>
      <w:bookmarkEnd w:id="8478"/>
      <w:bookmarkEnd w:id="8479"/>
    </w:p>
    <w:p w:rsidR="00CB0DD7" w:rsidRPr="000A0A5F" w:rsidRDefault="00CB0DD7">
      <w:pPr>
        <w:rPr>
          <w:rFonts w:eastAsia="DengXian" w:hint="eastAsia"/>
          <w:lang w:eastAsia="zh-CN"/>
        </w:rPr>
      </w:pPr>
      <w:r w:rsidRPr="000A0A5F">
        <w:rPr>
          <w:noProof/>
          <w:lang w:eastAsia="zh-CN"/>
        </w:rPr>
        <w:t>This custom operation allows an SCS/AS to query the current status of enhanced converage restriction for a UE via the T8 interface</w:t>
      </w:r>
      <w:r w:rsidRPr="000A0A5F">
        <w:t xml:space="preserve"> as </w:t>
      </w:r>
      <w:r w:rsidRPr="000A0A5F">
        <w:rPr>
          <w:noProof/>
          <w:lang w:eastAsia="zh-CN"/>
        </w:rPr>
        <w:t>defined in 3GPP TS </w:t>
      </w:r>
      <w:r w:rsidRPr="000A0A5F">
        <w:rPr>
          <w:rFonts w:hint="eastAsia"/>
          <w:noProof/>
          <w:lang w:eastAsia="zh-CN"/>
        </w:rPr>
        <w:t>23.682</w:t>
      </w:r>
      <w:r w:rsidRPr="000A0A5F">
        <w:rPr>
          <w:noProof/>
          <w:lang w:val="en-US" w:eastAsia="zh-CN"/>
        </w:rPr>
        <w:t> </w:t>
      </w:r>
      <w:r w:rsidRPr="000A0A5F">
        <w:rPr>
          <w:rFonts w:hint="eastAsia"/>
          <w:noProof/>
          <w:lang w:eastAsia="zh-CN"/>
        </w:rPr>
        <w:t>[2]</w:t>
      </w:r>
      <w:r w:rsidRPr="000A0A5F">
        <w:t>.</w:t>
      </w:r>
      <w:r w:rsidRPr="000A0A5F">
        <w:rPr>
          <w:rFonts w:hint="eastAsia"/>
          <w:lang w:eastAsia="zh-CN"/>
        </w:rPr>
        <w:t xml:space="preserve"> </w:t>
      </w:r>
    </w:p>
    <w:p w:rsidR="00CB0DD7" w:rsidRPr="000A0A5F" w:rsidRDefault="00CB0DD7">
      <w:pPr>
        <w:pStyle w:val="Heading5"/>
      </w:pPr>
      <w:bookmarkStart w:id="8480" w:name="_Toc11247826"/>
      <w:bookmarkStart w:id="8481" w:name="_Toc27044970"/>
      <w:bookmarkStart w:id="8482" w:name="_Toc36034012"/>
      <w:bookmarkStart w:id="8483" w:name="_Toc45132159"/>
      <w:bookmarkStart w:id="8484" w:name="_Toc49776444"/>
      <w:bookmarkStart w:id="8485" w:name="_Toc51747364"/>
      <w:bookmarkStart w:id="8486" w:name="_Toc66360940"/>
      <w:bookmarkStart w:id="8487" w:name="_Toc68105445"/>
      <w:bookmarkStart w:id="8488" w:name="_Toc74756075"/>
      <w:bookmarkStart w:id="8489" w:name="_Toc105674952"/>
      <w:bookmarkStart w:id="8490" w:name="_Toc130503020"/>
      <w:bookmarkStart w:id="8491" w:name="_Toc153625808"/>
      <w:r w:rsidRPr="000A0A5F">
        <w:t>5.12.3.2.2</w:t>
      </w:r>
      <w:r w:rsidRPr="000A0A5F">
        <w:tab/>
        <w:t>Operation Definition</w:t>
      </w:r>
      <w:bookmarkEnd w:id="8480"/>
      <w:bookmarkEnd w:id="8481"/>
      <w:bookmarkEnd w:id="8482"/>
      <w:bookmarkEnd w:id="8483"/>
      <w:bookmarkEnd w:id="8484"/>
      <w:bookmarkEnd w:id="8485"/>
      <w:bookmarkEnd w:id="8486"/>
      <w:bookmarkEnd w:id="8487"/>
      <w:bookmarkEnd w:id="8488"/>
      <w:bookmarkEnd w:id="8489"/>
      <w:bookmarkEnd w:id="8490"/>
      <w:bookmarkEnd w:id="8491"/>
    </w:p>
    <w:p w:rsidR="00CB0DD7" w:rsidRPr="000A0A5F" w:rsidRDefault="00CB0DD7">
      <w:r w:rsidRPr="000A0A5F">
        <w:t>This operation shall support the URI query parameters, request and response data structures, and response codes, as specified in the table 5.12.3.2.2-1 and table 5.12.3.2.2-2.</w:t>
      </w:r>
    </w:p>
    <w:p w:rsidR="00CB0DD7" w:rsidRPr="000A0A5F" w:rsidRDefault="00CB0DD7">
      <w:pPr>
        <w:pStyle w:val="TH"/>
        <w:rPr>
          <w:rFonts w:cs="Arial"/>
        </w:rPr>
      </w:pPr>
      <w:r w:rsidRPr="000A0A5F">
        <w:t xml:space="preserve">Table 5.12.3.2.2-1: URI query parameters supported by the POST on this operation </w:t>
      </w:r>
    </w:p>
    <w:tbl>
      <w:tblPr>
        <w:tblW w:w="4999"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612"/>
        <w:gridCol w:w="1709"/>
        <w:gridCol w:w="1140"/>
        <w:gridCol w:w="5314"/>
      </w:tblGrid>
      <w:tr w:rsidR="00CB0DD7" w:rsidRPr="000A0A5F" w:rsidTr="00FF0AF8">
        <w:trPr>
          <w:jc w:val="center"/>
        </w:trPr>
        <w:tc>
          <w:tcPr>
            <w:tcW w:w="825" w:type="pct"/>
            <w:shd w:val="clear" w:color="000000" w:fill="C0C0C0"/>
          </w:tcPr>
          <w:p w:rsidR="00CB0DD7" w:rsidRPr="000A0A5F" w:rsidRDefault="00CB0DD7">
            <w:pPr>
              <w:pStyle w:val="TAH"/>
            </w:pPr>
            <w:r w:rsidRPr="000A0A5F">
              <w:t>Name</w:t>
            </w:r>
          </w:p>
        </w:tc>
        <w:tc>
          <w:tcPr>
            <w:tcW w:w="874" w:type="pct"/>
            <w:shd w:val="clear" w:color="000000" w:fill="C0C0C0"/>
          </w:tcPr>
          <w:p w:rsidR="00CB0DD7" w:rsidRPr="000A0A5F" w:rsidRDefault="00CB0DD7">
            <w:pPr>
              <w:pStyle w:val="TAH"/>
            </w:pPr>
            <w:r w:rsidRPr="000A0A5F">
              <w:t>Data type</w:t>
            </w:r>
          </w:p>
        </w:tc>
        <w:tc>
          <w:tcPr>
            <w:tcW w:w="583" w:type="pct"/>
            <w:shd w:val="clear" w:color="000000" w:fill="C0C0C0"/>
          </w:tcPr>
          <w:p w:rsidR="00CB0DD7" w:rsidRPr="000A0A5F" w:rsidRDefault="00CB0DD7">
            <w:pPr>
              <w:pStyle w:val="TAH"/>
            </w:pPr>
            <w:r w:rsidRPr="000A0A5F">
              <w:t>Cardinality</w:t>
            </w:r>
          </w:p>
        </w:tc>
        <w:tc>
          <w:tcPr>
            <w:tcW w:w="2718" w:type="pct"/>
            <w:shd w:val="clear" w:color="000000" w:fill="C0C0C0"/>
            <w:vAlign w:val="center"/>
          </w:tcPr>
          <w:p w:rsidR="00CB0DD7" w:rsidRPr="000A0A5F" w:rsidRDefault="00CB0DD7">
            <w:pPr>
              <w:pStyle w:val="TAH"/>
            </w:pPr>
            <w:r w:rsidRPr="000A0A5F">
              <w:t>Remarks</w:t>
            </w:r>
          </w:p>
        </w:tc>
      </w:tr>
      <w:tr w:rsidR="00CB0DD7" w:rsidRPr="000A0A5F" w:rsidTr="00FF0AF8">
        <w:trPr>
          <w:jc w:val="center"/>
        </w:trPr>
        <w:tc>
          <w:tcPr>
            <w:tcW w:w="825" w:type="pct"/>
            <w:shd w:val="clear" w:color="auto" w:fill="auto"/>
          </w:tcPr>
          <w:p w:rsidR="00CB0DD7" w:rsidRPr="000A0A5F" w:rsidRDefault="00CB0DD7">
            <w:pPr>
              <w:pStyle w:val="TAL"/>
            </w:pPr>
            <w:r w:rsidRPr="000A0A5F">
              <w:t>none specified</w:t>
            </w:r>
          </w:p>
        </w:tc>
        <w:tc>
          <w:tcPr>
            <w:tcW w:w="874" w:type="pct"/>
          </w:tcPr>
          <w:p w:rsidR="00CB0DD7" w:rsidRPr="000A0A5F" w:rsidRDefault="00CB0DD7">
            <w:pPr>
              <w:pStyle w:val="TAL"/>
            </w:pPr>
          </w:p>
        </w:tc>
        <w:tc>
          <w:tcPr>
            <w:tcW w:w="583" w:type="pct"/>
          </w:tcPr>
          <w:p w:rsidR="00CB0DD7" w:rsidRPr="000A0A5F" w:rsidRDefault="00CB0DD7">
            <w:pPr>
              <w:pStyle w:val="TAL"/>
            </w:pPr>
          </w:p>
        </w:tc>
        <w:tc>
          <w:tcPr>
            <w:tcW w:w="2718" w:type="pct"/>
            <w:shd w:val="clear" w:color="auto" w:fill="auto"/>
            <w:vAlign w:val="center"/>
          </w:tcPr>
          <w:p w:rsidR="00CB0DD7" w:rsidRPr="000A0A5F" w:rsidRDefault="00CB0DD7">
            <w:pPr>
              <w:pStyle w:val="TAL"/>
            </w:pPr>
          </w:p>
        </w:tc>
      </w:tr>
    </w:tbl>
    <w:p w:rsidR="00CB0DD7" w:rsidRPr="000A0A5F" w:rsidRDefault="00CB0DD7"/>
    <w:p w:rsidR="00CB0DD7" w:rsidRPr="000A0A5F" w:rsidRDefault="00CB0DD7">
      <w:pPr>
        <w:pStyle w:val="TH"/>
        <w:spacing w:before="120"/>
      </w:pPr>
      <w:r w:rsidRPr="000A0A5F">
        <w:t>Table 5.12.3.2.2-2: Data structures supported by the POST request/response on this operation</w:t>
      </w:r>
    </w:p>
    <w:tbl>
      <w:tblPr>
        <w:tblW w:w="4999" w:type="pct"/>
        <w:tblInd w:w="1"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top w:w="45" w:type="dxa"/>
          <w:left w:w="45" w:type="dxa"/>
          <w:bottom w:w="45" w:type="dxa"/>
          <w:right w:w="45" w:type="dxa"/>
        </w:tblCellMar>
        <w:tblLook w:val="0000" w:firstRow="0" w:lastRow="0" w:firstColumn="0" w:lastColumn="0" w:noHBand="0" w:noVBand="0"/>
      </w:tblPr>
      <w:tblGrid>
        <w:gridCol w:w="1043"/>
        <w:gridCol w:w="2831"/>
        <w:gridCol w:w="1138"/>
        <w:gridCol w:w="1273"/>
        <w:gridCol w:w="3444"/>
      </w:tblGrid>
      <w:tr w:rsidR="00CB0DD7" w:rsidRPr="000A0A5F" w:rsidTr="002C1CAD">
        <w:tc>
          <w:tcPr>
            <w:tcW w:w="536" w:type="pct"/>
            <w:vMerge w:val="restart"/>
            <w:shd w:val="clear" w:color="auto" w:fill="C0C0C0"/>
            <w:vAlign w:val="center"/>
          </w:tcPr>
          <w:p w:rsidR="00CB0DD7" w:rsidRPr="000A0A5F" w:rsidRDefault="00CB0DD7">
            <w:pPr>
              <w:pStyle w:val="TAH"/>
            </w:pPr>
            <w:r w:rsidRPr="000A0A5F">
              <w:t>Request body</w:t>
            </w:r>
          </w:p>
        </w:tc>
        <w:tc>
          <w:tcPr>
            <w:tcW w:w="1455" w:type="pct"/>
            <w:shd w:val="clear" w:color="auto" w:fill="C0C0C0"/>
          </w:tcPr>
          <w:p w:rsidR="00CB0DD7" w:rsidRPr="000A0A5F" w:rsidRDefault="00CB0DD7">
            <w:pPr>
              <w:pStyle w:val="TAH"/>
            </w:pPr>
            <w:r w:rsidRPr="000A0A5F">
              <w:t>Data type</w:t>
            </w:r>
          </w:p>
        </w:tc>
        <w:tc>
          <w:tcPr>
            <w:tcW w:w="585" w:type="pct"/>
            <w:shd w:val="clear" w:color="auto" w:fill="C0C0C0"/>
          </w:tcPr>
          <w:p w:rsidR="00CB0DD7" w:rsidRPr="000A0A5F" w:rsidRDefault="00CB0DD7">
            <w:pPr>
              <w:pStyle w:val="TAH"/>
            </w:pPr>
            <w:r w:rsidRPr="000A0A5F">
              <w:t>Cardinality</w:t>
            </w:r>
          </w:p>
        </w:tc>
        <w:tc>
          <w:tcPr>
            <w:tcW w:w="2424" w:type="pct"/>
            <w:gridSpan w:val="2"/>
            <w:shd w:val="clear" w:color="auto" w:fill="C0C0C0"/>
          </w:tcPr>
          <w:p w:rsidR="00CB0DD7" w:rsidRPr="000A0A5F" w:rsidRDefault="00CB0DD7">
            <w:pPr>
              <w:pStyle w:val="TAH"/>
            </w:pPr>
            <w:r w:rsidRPr="000A0A5F">
              <w:t>Remarks</w:t>
            </w:r>
          </w:p>
        </w:tc>
      </w:tr>
      <w:tr w:rsidR="00CB0DD7" w:rsidRPr="000A0A5F" w:rsidTr="00FF0AF8">
        <w:tc>
          <w:tcPr>
            <w:tcW w:w="536" w:type="pct"/>
            <w:vMerge/>
            <w:shd w:val="clear" w:color="auto" w:fill="BFBFBF"/>
            <w:vAlign w:val="center"/>
          </w:tcPr>
          <w:p w:rsidR="00CB0DD7" w:rsidRPr="000A0A5F" w:rsidRDefault="00CB0DD7">
            <w:pPr>
              <w:pStyle w:val="TAL"/>
              <w:jc w:val="center"/>
            </w:pPr>
          </w:p>
        </w:tc>
        <w:tc>
          <w:tcPr>
            <w:tcW w:w="1455" w:type="pct"/>
            <w:shd w:val="clear" w:color="auto" w:fill="auto"/>
          </w:tcPr>
          <w:p w:rsidR="00CB0DD7" w:rsidRPr="000A0A5F" w:rsidRDefault="00CB0DD7">
            <w:pPr>
              <w:pStyle w:val="TAL"/>
              <w:rPr>
                <w:rFonts w:hint="eastAsia"/>
                <w:lang w:eastAsia="zh-CN"/>
              </w:rPr>
            </w:pPr>
            <w:r w:rsidRPr="000A0A5F">
              <w:t>ECRControl</w:t>
            </w:r>
          </w:p>
        </w:tc>
        <w:tc>
          <w:tcPr>
            <w:tcW w:w="585" w:type="pct"/>
          </w:tcPr>
          <w:p w:rsidR="00CB0DD7" w:rsidRPr="000A0A5F" w:rsidRDefault="00CB0DD7">
            <w:pPr>
              <w:pStyle w:val="TAC"/>
              <w:jc w:val="left"/>
              <w:rPr>
                <w:rFonts w:hint="eastAsia"/>
                <w:lang w:eastAsia="zh-CN"/>
              </w:rPr>
            </w:pPr>
            <w:r w:rsidRPr="000A0A5F">
              <w:rPr>
                <w:rFonts w:hint="eastAsia"/>
                <w:lang w:eastAsia="zh-CN"/>
              </w:rPr>
              <w:t>1</w:t>
            </w:r>
          </w:p>
        </w:tc>
        <w:tc>
          <w:tcPr>
            <w:tcW w:w="2424" w:type="pct"/>
            <w:gridSpan w:val="2"/>
          </w:tcPr>
          <w:p w:rsidR="00CB0DD7" w:rsidRPr="000A0A5F" w:rsidRDefault="00CB0DD7">
            <w:pPr>
              <w:pStyle w:val="TAL"/>
              <w:rPr>
                <w:rFonts w:cs="Arial" w:hint="eastAsia"/>
                <w:szCs w:val="18"/>
                <w:lang w:eastAsia="zh-CN"/>
              </w:rPr>
            </w:pPr>
            <w:r w:rsidRPr="000A0A5F">
              <w:rPr>
                <w:rFonts w:cs="Arial" w:hint="eastAsia"/>
                <w:szCs w:val="18"/>
                <w:lang w:eastAsia="zh-CN"/>
              </w:rPr>
              <w:t xml:space="preserve">Parameters to </w:t>
            </w:r>
            <w:r w:rsidRPr="000A0A5F">
              <w:rPr>
                <w:noProof/>
                <w:lang w:eastAsia="zh-CN"/>
              </w:rPr>
              <w:t xml:space="preserve">query the current status of </w:t>
            </w:r>
            <w:r w:rsidRPr="000A0A5F">
              <w:rPr>
                <w:rFonts w:cs="Arial"/>
                <w:szCs w:val="18"/>
                <w:lang w:eastAsia="zh-CN"/>
              </w:rPr>
              <w:t>Enhanced Coverage Restriction.</w:t>
            </w:r>
          </w:p>
        </w:tc>
      </w:tr>
      <w:tr w:rsidR="004317C8" w:rsidRPr="000A0A5F" w:rsidTr="002C1CAD">
        <w:tc>
          <w:tcPr>
            <w:tcW w:w="536" w:type="pct"/>
            <w:vMerge w:val="restart"/>
            <w:shd w:val="clear" w:color="auto" w:fill="C0C0C0"/>
            <w:vAlign w:val="center"/>
          </w:tcPr>
          <w:p w:rsidR="004317C8" w:rsidRPr="000A0A5F" w:rsidRDefault="004317C8">
            <w:pPr>
              <w:pStyle w:val="TAH"/>
            </w:pPr>
            <w:r w:rsidRPr="000A0A5F">
              <w:t>Response body</w:t>
            </w:r>
          </w:p>
        </w:tc>
        <w:tc>
          <w:tcPr>
            <w:tcW w:w="1455" w:type="pct"/>
            <w:shd w:val="clear" w:color="auto" w:fill="C0C0C0"/>
          </w:tcPr>
          <w:p w:rsidR="004317C8" w:rsidRPr="000A0A5F" w:rsidRDefault="004317C8">
            <w:pPr>
              <w:pStyle w:val="TAH"/>
            </w:pPr>
          </w:p>
          <w:p w:rsidR="004317C8" w:rsidRPr="000A0A5F" w:rsidRDefault="004317C8">
            <w:pPr>
              <w:pStyle w:val="TAH"/>
            </w:pPr>
            <w:r w:rsidRPr="000A0A5F">
              <w:t>Data type</w:t>
            </w:r>
          </w:p>
        </w:tc>
        <w:tc>
          <w:tcPr>
            <w:tcW w:w="585" w:type="pct"/>
            <w:shd w:val="clear" w:color="auto" w:fill="C0C0C0"/>
          </w:tcPr>
          <w:p w:rsidR="004317C8" w:rsidRPr="000A0A5F" w:rsidRDefault="004317C8">
            <w:pPr>
              <w:pStyle w:val="TAH"/>
            </w:pPr>
          </w:p>
          <w:p w:rsidR="004317C8" w:rsidRPr="000A0A5F" w:rsidRDefault="004317C8">
            <w:pPr>
              <w:pStyle w:val="TAH"/>
            </w:pPr>
            <w:r w:rsidRPr="000A0A5F">
              <w:t>Cardinality</w:t>
            </w:r>
          </w:p>
        </w:tc>
        <w:tc>
          <w:tcPr>
            <w:tcW w:w="654" w:type="pct"/>
            <w:shd w:val="clear" w:color="auto" w:fill="C0C0C0"/>
          </w:tcPr>
          <w:p w:rsidR="004317C8" w:rsidRPr="000A0A5F" w:rsidRDefault="004317C8">
            <w:pPr>
              <w:pStyle w:val="TAH"/>
            </w:pPr>
            <w:r w:rsidRPr="000A0A5F">
              <w:t>Response</w:t>
            </w:r>
          </w:p>
          <w:p w:rsidR="004317C8" w:rsidRPr="000A0A5F" w:rsidRDefault="004317C8">
            <w:pPr>
              <w:pStyle w:val="TAH"/>
            </w:pPr>
            <w:r w:rsidRPr="000A0A5F">
              <w:t>codes</w:t>
            </w:r>
          </w:p>
        </w:tc>
        <w:tc>
          <w:tcPr>
            <w:tcW w:w="1770" w:type="pct"/>
            <w:shd w:val="clear" w:color="auto" w:fill="C0C0C0"/>
          </w:tcPr>
          <w:p w:rsidR="004317C8" w:rsidRPr="000A0A5F" w:rsidRDefault="004317C8">
            <w:pPr>
              <w:pStyle w:val="TAH"/>
            </w:pPr>
          </w:p>
          <w:p w:rsidR="004317C8" w:rsidRPr="000A0A5F" w:rsidRDefault="004317C8">
            <w:pPr>
              <w:pStyle w:val="TAH"/>
            </w:pPr>
            <w:r w:rsidRPr="000A0A5F">
              <w:t>Remarks</w:t>
            </w:r>
          </w:p>
        </w:tc>
      </w:tr>
      <w:tr w:rsidR="004317C8" w:rsidRPr="000A0A5F" w:rsidTr="004317C8">
        <w:tc>
          <w:tcPr>
            <w:tcW w:w="536" w:type="pct"/>
            <w:vMerge/>
            <w:shd w:val="clear" w:color="auto" w:fill="C0C0C0"/>
            <w:vAlign w:val="center"/>
          </w:tcPr>
          <w:p w:rsidR="004317C8" w:rsidRPr="000A0A5F" w:rsidRDefault="004317C8">
            <w:pPr>
              <w:pStyle w:val="TAL"/>
              <w:jc w:val="center"/>
            </w:pPr>
          </w:p>
        </w:tc>
        <w:tc>
          <w:tcPr>
            <w:tcW w:w="1455" w:type="pct"/>
            <w:shd w:val="clear" w:color="auto" w:fill="auto"/>
          </w:tcPr>
          <w:p w:rsidR="004317C8" w:rsidRPr="000A0A5F" w:rsidRDefault="004317C8">
            <w:pPr>
              <w:pStyle w:val="TAL"/>
            </w:pPr>
            <w:r w:rsidRPr="000A0A5F">
              <w:t>ECRData</w:t>
            </w:r>
          </w:p>
        </w:tc>
        <w:tc>
          <w:tcPr>
            <w:tcW w:w="585" w:type="pct"/>
          </w:tcPr>
          <w:p w:rsidR="004317C8" w:rsidRPr="000A0A5F" w:rsidRDefault="004317C8">
            <w:pPr>
              <w:pStyle w:val="TAL"/>
              <w:rPr>
                <w:rFonts w:hint="eastAsia"/>
                <w:lang w:eastAsia="zh-CN"/>
              </w:rPr>
            </w:pPr>
            <w:r w:rsidRPr="000A0A5F">
              <w:rPr>
                <w:rFonts w:hint="eastAsia"/>
                <w:lang w:eastAsia="zh-CN"/>
              </w:rPr>
              <w:t>1</w:t>
            </w:r>
          </w:p>
        </w:tc>
        <w:tc>
          <w:tcPr>
            <w:tcW w:w="654" w:type="pct"/>
          </w:tcPr>
          <w:p w:rsidR="004317C8" w:rsidRPr="000A0A5F" w:rsidRDefault="004317C8">
            <w:pPr>
              <w:pStyle w:val="TAL"/>
              <w:rPr>
                <w:rFonts w:hint="eastAsia"/>
                <w:lang w:eastAsia="zh-CN"/>
              </w:rPr>
            </w:pPr>
            <w:r w:rsidRPr="000A0A5F">
              <w:rPr>
                <w:rFonts w:hint="eastAsia"/>
                <w:lang w:eastAsia="zh-CN"/>
              </w:rPr>
              <w:t>20</w:t>
            </w:r>
            <w:r w:rsidRPr="000A0A5F">
              <w:rPr>
                <w:lang w:eastAsia="zh-CN"/>
              </w:rPr>
              <w:t>0 OK</w:t>
            </w:r>
          </w:p>
        </w:tc>
        <w:tc>
          <w:tcPr>
            <w:tcW w:w="1770" w:type="pct"/>
          </w:tcPr>
          <w:p w:rsidR="004317C8" w:rsidRPr="000A0A5F" w:rsidRDefault="004317C8">
            <w:pPr>
              <w:pStyle w:val="TAL"/>
              <w:spacing w:afterLines="50" w:after="120"/>
              <w:rPr>
                <w:rFonts w:hint="eastAsia"/>
              </w:rPr>
            </w:pPr>
            <w:r w:rsidRPr="000A0A5F">
              <w:t xml:space="preserve">The requested information was returned successfully. </w:t>
            </w:r>
          </w:p>
        </w:tc>
      </w:tr>
      <w:tr w:rsidR="004317C8" w:rsidRPr="000A0A5F" w:rsidTr="004317C8">
        <w:tc>
          <w:tcPr>
            <w:tcW w:w="536" w:type="pct"/>
            <w:vMerge/>
            <w:shd w:val="clear" w:color="auto" w:fill="C0C0C0"/>
            <w:vAlign w:val="center"/>
          </w:tcPr>
          <w:p w:rsidR="004317C8" w:rsidRPr="000A0A5F" w:rsidRDefault="004317C8" w:rsidP="004317C8">
            <w:pPr>
              <w:pStyle w:val="TAL"/>
              <w:jc w:val="center"/>
            </w:pPr>
          </w:p>
        </w:tc>
        <w:tc>
          <w:tcPr>
            <w:tcW w:w="1455" w:type="pct"/>
            <w:shd w:val="clear" w:color="auto" w:fill="auto"/>
          </w:tcPr>
          <w:p w:rsidR="004317C8" w:rsidRPr="000A0A5F" w:rsidRDefault="004317C8" w:rsidP="004317C8">
            <w:pPr>
              <w:pStyle w:val="TAL"/>
            </w:pPr>
            <w:r w:rsidRPr="000A0A5F">
              <w:t>none</w:t>
            </w:r>
          </w:p>
        </w:tc>
        <w:tc>
          <w:tcPr>
            <w:tcW w:w="585" w:type="pct"/>
          </w:tcPr>
          <w:p w:rsidR="004317C8" w:rsidRPr="000A0A5F" w:rsidRDefault="004317C8" w:rsidP="004317C8">
            <w:pPr>
              <w:pStyle w:val="TAL"/>
              <w:rPr>
                <w:rFonts w:hint="eastAsia"/>
                <w:lang w:eastAsia="zh-CN"/>
              </w:rPr>
            </w:pPr>
          </w:p>
        </w:tc>
        <w:tc>
          <w:tcPr>
            <w:tcW w:w="654" w:type="pct"/>
          </w:tcPr>
          <w:p w:rsidR="004317C8" w:rsidRPr="000A0A5F" w:rsidRDefault="004317C8" w:rsidP="004317C8">
            <w:pPr>
              <w:pStyle w:val="TAL"/>
              <w:rPr>
                <w:rFonts w:hint="eastAsia"/>
                <w:lang w:eastAsia="zh-CN"/>
              </w:rPr>
            </w:pPr>
            <w:r w:rsidRPr="000A0A5F">
              <w:t>307 Temporary Redirect</w:t>
            </w:r>
          </w:p>
        </w:tc>
        <w:tc>
          <w:tcPr>
            <w:tcW w:w="1770" w:type="pct"/>
          </w:tcPr>
          <w:p w:rsidR="004317C8" w:rsidRPr="000A0A5F" w:rsidRDefault="004317C8" w:rsidP="004317C8">
            <w:pPr>
              <w:pStyle w:val="TAL"/>
            </w:pPr>
            <w:r w:rsidRPr="000A0A5F">
              <w:t>Temporary redirection. The response shall include a Location header field containing an alternative URI of the resource located in an alternative SCEF.</w:t>
            </w:r>
          </w:p>
          <w:p w:rsidR="004317C8" w:rsidRPr="000A0A5F" w:rsidRDefault="004317C8" w:rsidP="004317C8">
            <w:pPr>
              <w:pStyle w:val="TAL"/>
            </w:pPr>
          </w:p>
          <w:p w:rsidR="004317C8" w:rsidRPr="000A0A5F" w:rsidRDefault="004317C8" w:rsidP="004317C8">
            <w:pPr>
              <w:pStyle w:val="TAL"/>
              <w:spacing w:afterLines="50" w:after="120"/>
            </w:pPr>
            <w:r w:rsidRPr="000A0A5F">
              <w:t>Redirection handling is described in clause 5.2.10.</w:t>
            </w:r>
          </w:p>
        </w:tc>
      </w:tr>
      <w:tr w:rsidR="004317C8" w:rsidRPr="000A0A5F" w:rsidTr="004317C8">
        <w:tc>
          <w:tcPr>
            <w:tcW w:w="536" w:type="pct"/>
            <w:vMerge/>
            <w:shd w:val="clear" w:color="auto" w:fill="C0C0C0"/>
            <w:vAlign w:val="center"/>
          </w:tcPr>
          <w:p w:rsidR="004317C8" w:rsidRPr="000A0A5F" w:rsidRDefault="004317C8" w:rsidP="004317C8">
            <w:pPr>
              <w:pStyle w:val="TAL"/>
              <w:jc w:val="center"/>
            </w:pPr>
          </w:p>
        </w:tc>
        <w:tc>
          <w:tcPr>
            <w:tcW w:w="1455" w:type="pct"/>
            <w:shd w:val="clear" w:color="auto" w:fill="auto"/>
          </w:tcPr>
          <w:p w:rsidR="004317C8" w:rsidRPr="000A0A5F" w:rsidRDefault="004317C8" w:rsidP="004317C8">
            <w:pPr>
              <w:pStyle w:val="TAL"/>
            </w:pPr>
            <w:r w:rsidRPr="000A0A5F">
              <w:t>none</w:t>
            </w:r>
          </w:p>
        </w:tc>
        <w:tc>
          <w:tcPr>
            <w:tcW w:w="585" w:type="pct"/>
          </w:tcPr>
          <w:p w:rsidR="004317C8" w:rsidRPr="000A0A5F" w:rsidRDefault="004317C8" w:rsidP="004317C8">
            <w:pPr>
              <w:pStyle w:val="TAL"/>
              <w:rPr>
                <w:rFonts w:hint="eastAsia"/>
                <w:lang w:eastAsia="zh-CN"/>
              </w:rPr>
            </w:pPr>
          </w:p>
        </w:tc>
        <w:tc>
          <w:tcPr>
            <w:tcW w:w="654" w:type="pct"/>
          </w:tcPr>
          <w:p w:rsidR="004317C8" w:rsidRPr="000A0A5F" w:rsidRDefault="004317C8" w:rsidP="004317C8">
            <w:pPr>
              <w:pStyle w:val="TAL"/>
              <w:rPr>
                <w:rFonts w:hint="eastAsia"/>
                <w:lang w:eastAsia="zh-CN"/>
              </w:rPr>
            </w:pPr>
            <w:r w:rsidRPr="000A0A5F">
              <w:t>308 Permanent Redirect</w:t>
            </w:r>
          </w:p>
        </w:tc>
        <w:tc>
          <w:tcPr>
            <w:tcW w:w="1770" w:type="pct"/>
          </w:tcPr>
          <w:p w:rsidR="004317C8" w:rsidRPr="000A0A5F" w:rsidRDefault="004317C8" w:rsidP="004317C8">
            <w:pPr>
              <w:pStyle w:val="TAL"/>
            </w:pPr>
            <w:r w:rsidRPr="000A0A5F">
              <w:t>Permanent redirection. The response shall include a Location header field containing an alternative URI of the resource located in an alternative SCEF.</w:t>
            </w:r>
          </w:p>
          <w:p w:rsidR="004317C8" w:rsidRPr="000A0A5F" w:rsidRDefault="004317C8" w:rsidP="004317C8">
            <w:pPr>
              <w:pStyle w:val="TAL"/>
            </w:pPr>
          </w:p>
          <w:p w:rsidR="004317C8" w:rsidRPr="000A0A5F" w:rsidRDefault="004317C8" w:rsidP="004317C8">
            <w:pPr>
              <w:pStyle w:val="TAL"/>
              <w:spacing w:afterLines="50" w:after="120"/>
            </w:pPr>
            <w:r w:rsidRPr="000A0A5F">
              <w:t>Redirection handling is described in clause 5.2.10.</w:t>
            </w:r>
          </w:p>
        </w:tc>
      </w:tr>
      <w:tr w:rsidR="004317C8" w:rsidRPr="000A0A5F" w:rsidTr="004317C8">
        <w:tc>
          <w:tcPr>
            <w:tcW w:w="536" w:type="pct"/>
            <w:vMerge/>
            <w:shd w:val="clear" w:color="auto" w:fill="C0C0C0"/>
            <w:vAlign w:val="center"/>
          </w:tcPr>
          <w:p w:rsidR="004317C8" w:rsidRPr="000A0A5F" w:rsidRDefault="004317C8" w:rsidP="004317C8">
            <w:pPr>
              <w:pStyle w:val="TAL"/>
              <w:jc w:val="center"/>
            </w:pPr>
          </w:p>
        </w:tc>
        <w:tc>
          <w:tcPr>
            <w:tcW w:w="1455" w:type="pct"/>
            <w:shd w:val="clear" w:color="auto" w:fill="auto"/>
          </w:tcPr>
          <w:p w:rsidR="004317C8" w:rsidRPr="000A0A5F" w:rsidRDefault="004317C8" w:rsidP="004317C8">
            <w:pPr>
              <w:pStyle w:val="TAL"/>
            </w:pPr>
            <w:r w:rsidRPr="000A0A5F">
              <w:rPr>
                <w:lang w:eastAsia="zh-CN"/>
              </w:rPr>
              <w:t>ProblemDetails</w:t>
            </w:r>
          </w:p>
        </w:tc>
        <w:tc>
          <w:tcPr>
            <w:tcW w:w="585" w:type="pct"/>
          </w:tcPr>
          <w:p w:rsidR="004317C8" w:rsidRPr="000A0A5F" w:rsidRDefault="004317C8" w:rsidP="004317C8">
            <w:pPr>
              <w:pStyle w:val="TAL"/>
              <w:rPr>
                <w:rFonts w:hint="eastAsia"/>
                <w:lang w:eastAsia="zh-CN"/>
              </w:rPr>
            </w:pPr>
            <w:r w:rsidRPr="000A0A5F">
              <w:t>0..1</w:t>
            </w:r>
          </w:p>
        </w:tc>
        <w:tc>
          <w:tcPr>
            <w:tcW w:w="654" w:type="pct"/>
          </w:tcPr>
          <w:p w:rsidR="004317C8" w:rsidRPr="000A0A5F" w:rsidRDefault="004317C8" w:rsidP="004317C8">
            <w:pPr>
              <w:pStyle w:val="TAL"/>
              <w:rPr>
                <w:rFonts w:hint="eastAsia"/>
                <w:lang w:eastAsia="zh-CN"/>
              </w:rPr>
            </w:pPr>
            <w:r w:rsidRPr="000A0A5F">
              <w:t>403 Forbidden</w:t>
            </w:r>
          </w:p>
        </w:tc>
        <w:tc>
          <w:tcPr>
            <w:tcW w:w="1770" w:type="pct"/>
          </w:tcPr>
          <w:p w:rsidR="004317C8" w:rsidRPr="000A0A5F" w:rsidRDefault="004317C8" w:rsidP="004317C8">
            <w:pPr>
              <w:pStyle w:val="TAL"/>
              <w:spacing w:afterLines="50" w:after="120"/>
            </w:pPr>
            <w:r w:rsidRPr="000A0A5F">
              <w:t>(NOTE 2)</w:t>
            </w:r>
          </w:p>
        </w:tc>
      </w:tr>
      <w:tr w:rsidR="004317C8" w:rsidRPr="000A0A5F" w:rsidTr="00FF0AF8">
        <w:tc>
          <w:tcPr>
            <w:tcW w:w="5000" w:type="pct"/>
            <w:gridSpan w:val="5"/>
            <w:shd w:val="clear" w:color="auto" w:fill="auto"/>
            <w:vAlign w:val="center"/>
          </w:tcPr>
          <w:p w:rsidR="004317C8" w:rsidRPr="000A0A5F" w:rsidRDefault="004317C8" w:rsidP="004317C8">
            <w:pPr>
              <w:pStyle w:val="TAN"/>
            </w:pPr>
            <w:r w:rsidRPr="000A0A5F">
              <w:t>NOTE 1:</w:t>
            </w:r>
            <w:r w:rsidRPr="000A0A5F">
              <w:tab/>
              <w:t>The mandatory HTTP error status codes for the POST method listed in table 5.2.6-1 also apply.</w:t>
            </w:r>
          </w:p>
          <w:p w:rsidR="004317C8" w:rsidRPr="000A0A5F" w:rsidRDefault="004317C8" w:rsidP="004317C8">
            <w:pPr>
              <w:pStyle w:val="TAN"/>
            </w:pPr>
            <w:r w:rsidRPr="000A0A5F">
              <w:t>NOTE 2:</w:t>
            </w:r>
            <w:r w:rsidRPr="000A0A5F">
              <w:tab/>
              <w:t>Failure cases are described in clause 5.12.5.3.</w:t>
            </w:r>
          </w:p>
        </w:tc>
      </w:tr>
    </w:tbl>
    <w:p w:rsidR="00CB0DD7" w:rsidRPr="000A0A5F" w:rsidRDefault="00CB0DD7"/>
    <w:p w:rsidR="00CB0DD7" w:rsidRPr="000A0A5F" w:rsidRDefault="002E466A">
      <w:pPr>
        <w:pStyle w:val="TH"/>
      </w:pPr>
      <w:r w:rsidRPr="000A0A5F">
        <w:t>Table </w:t>
      </w:r>
      <w:r w:rsidR="00CB0DD7" w:rsidRPr="000A0A5F">
        <w:t>5.12.3.2.2-3: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2E466A">
      <w:pPr>
        <w:pStyle w:val="TH"/>
      </w:pPr>
      <w:r w:rsidRPr="000A0A5F">
        <w:t>Table </w:t>
      </w:r>
      <w:r w:rsidR="00CB0DD7" w:rsidRPr="000A0A5F">
        <w:t>5.12.3.2.2-4: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CB0DD7">
      <w:pPr>
        <w:pStyle w:val="Heading4"/>
      </w:pPr>
      <w:bookmarkStart w:id="8492" w:name="_Toc11247827"/>
      <w:bookmarkStart w:id="8493" w:name="_Toc27044971"/>
      <w:bookmarkStart w:id="8494" w:name="_Toc36034013"/>
      <w:bookmarkStart w:id="8495" w:name="_Toc45132160"/>
      <w:bookmarkStart w:id="8496" w:name="_Toc49776445"/>
      <w:bookmarkStart w:id="8497" w:name="_Toc51747365"/>
      <w:bookmarkStart w:id="8498" w:name="_Toc66360941"/>
      <w:bookmarkStart w:id="8499" w:name="_Toc68105446"/>
      <w:bookmarkStart w:id="8500" w:name="_Toc74756076"/>
      <w:bookmarkStart w:id="8501" w:name="_Toc105674953"/>
      <w:bookmarkStart w:id="8502" w:name="_Toc130503021"/>
      <w:bookmarkStart w:id="8503" w:name="_Toc153625809"/>
      <w:r w:rsidRPr="000A0A5F">
        <w:t>5.12.3.3</w:t>
      </w:r>
      <w:r w:rsidRPr="000A0A5F">
        <w:tab/>
        <w:t>Operation: configure</w:t>
      </w:r>
      <w:bookmarkEnd w:id="8492"/>
      <w:bookmarkEnd w:id="8493"/>
      <w:bookmarkEnd w:id="8494"/>
      <w:bookmarkEnd w:id="8495"/>
      <w:bookmarkEnd w:id="8496"/>
      <w:bookmarkEnd w:id="8497"/>
      <w:bookmarkEnd w:id="8498"/>
      <w:bookmarkEnd w:id="8499"/>
      <w:bookmarkEnd w:id="8500"/>
      <w:bookmarkEnd w:id="8501"/>
      <w:bookmarkEnd w:id="8502"/>
      <w:bookmarkEnd w:id="8503"/>
    </w:p>
    <w:p w:rsidR="00CB0DD7" w:rsidRPr="000A0A5F" w:rsidRDefault="00CB0DD7">
      <w:pPr>
        <w:pStyle w:val="Heading5"/>
      </w:pPr>
      <w:bookmarkStart w:id="8504" w:name="_Toc11247828"/>
      <w:bookmarkStart w:id="8505" w:name="_Toc27044972"/>
      <w:bookmarkStart w:id="8506" w:name="_Toc36034014"/>
      <w:bookmarkStart w:id="8507" w:name="_Toc45132161"/>
      <w:bookmarkStart w:id="8508" w:name="_Toc49776446"/>
      <w:bookmarkStart w:id="8509" w:name="_Toc51747366"/>
      <w:bookmarkStart w:id="8510" w:name="_Toc66360942"/>
      <w:bookmarkStart w:id="8511" w:name="_Toc68105447"/>
      <w:bookmarkStart w:id="8512" w:name="_Toc74756077"/>
      <w:bookmarkStart w:id="8513" w:name="_Toc105674954"/>
      <w:bookmarkStart w:id="8514" w:name="_Toc130503022"/>
      <w:bookmarkStart w:id="8515" w:name="_Toc153625810"/>
      <w:r w:rsidRPr="000A0A5F">
        <w:t>5.12.3.3.1</w:t>
      </w:r>
      <w:r w:rsidRPr="000A0A5F">
        <w:tab/>
        <w:t>Description</w:t>
      </w:r>
      <w:bookmarkEnd w:id="8504"/>
      <w:bookmarkEnd w:id="8505"/>
      <w:bookmarkEnd w:id="8506"/>
      <w:bookmarkEnd w:id="8507"/>
      <w:bookmarkEnd w:id="8508"/>
      <w:bookmarkEnd w:id="8509"/>
      <w:bookmarkEnd w:id="8510"/>
      <w:bookmarkEnd w:id="8511"/>
      <w:bookmarkEnd w:id="8512"/>
      <w:bookmarkEnd w:id="8513"/>
      <w:bookmarkEnd w:id="8514"/>
      <w:bookmarkEnd w:id="8515"/>
    </w:p>
    <w:p w:rsidR="00CB0DD7" w:rsidRPr="000A0A5F" w:rsidRDefault="00CB0DD7">
      <w:pPr>
        <w:rPr>
          <w:rFonts w:eastAsia="DengXian" w:hint="eastAsia"/>
          <w:lang w:eastAsia="zh-CN"/>
        </w:rPr>
      </w:pPr>
      <w:r w:rsidRPr="000A0A5F">
        <w:rPr>
          <w:noProof/>
          <w:lang w:eastAsia="zh-CN"/>
        </w:rPr>
        <w:t>This custom operation allows an SCS/AS to configure the current setting of enhanced converage restriction for a UE via the T8 interface</w:t>
      </w:r>
      <w:r w:rsidRPr="000A0A5F">
        <w:t xml:space="preserve"> as </w:t>
      </w:r>
      <w:r w:rsidRPr="000A0A5F">
        <w:rPr>
          <w:noProof/>
          <w:lang w:eastAsia="zh-CN"/>
        </w:rPr>
        <w:t>defined in 3GPP TS </w:t>
      </w:r>
      <w:r w:rsidRPr="000A0A5F">
        <w:rPr>
          <w:rFonts w:hint="eastAsia"/>
          <w:noProof/>
          <w:lang w:eastAsia="zh-CN"/>
        </w:rPr>
        <w:t>23.682</w:t>
      </w:r>
      <w:r w:rsidRPr="000A0A5F">
        <w:rPr>
          <w:noProof/>
          <w:lang w:val="en-US" w:eastAsia="zh-CN"/>
        </w:rPr>
        <w:t> </w:t>
      </w:r>
      <w:r w:rsidRPr="000A0A5F">
        <w:rPr>
          <w:rFonts w:hint="eastAsia"/>
          <w:noProof/>
          <w:lang w:eastAsia="zh-CN"/>
        </w:rPr>
        <w:t>[2]</w:t>
      </w:r>
      <w:r w:rsidRPr="000A0A5F">
        <w:t>.</w:t>
      </w:r>
      <w:r w:rsidRPr="000A0A5F">
        <w:rPr>
          <w:rFonts w:hint="eastAsia"/>
          <w:lang w:eastAsia="zh-CN"/>
        </w:rPr>
        <w:t xml:space="preserve"> </w:t>
      </w:r>
    </w:p>
    <w:p w:rsidR="00CB0DD7" w:rsidRPr="000A0A5F" w:rsidRDefault="00CB0DD7">
      <w:pPr>
        <w:pStyle w:val="Heading5"/>
      </w:pPr>
      <w:bookmarkStart w:id="8516" w:name="_Toc11247829"/>
      <w:bookmarkStart w:id="8517" w:name="_Toc27044973"/>
      <w:bookmarkStart w:id="8518" w:name="_Toc36034015"/>
      <w:bookmarkStart w:id="8519" w:name="_Toc45132162"/>
      <w:bookmarkStart w:id="8520" w:name="_Toc49776447"/>
      <w:bookmarkStart w:id="8521" w:name="_Toc51747367"/>
      <w:bookmarkStart w:id="8522" w:name="_Toc66360943"/>
      <w:bookmarkStart w:id="8523" w:name="_Toc68105448"/>
      <w:bookmarkStart w:id="8524" w:name="_Toc74756078"/>
      <w:bookmarkStart w:id="8525" w:name="_Toc105674955"/>
      <w:bookmarkStart w:id="8526" w:name="_Toc130503023"/>
      <w:bookmarkStart w:id="8527" w:name="_Toc153625811"/>
      <w:r w:rsidRPr="000A0A5F">
        <w:t>5.12.3.3.2</w:t>
      </w:r>
      <w:r w:rsidRPr="000A0A5F">
        <w:tab/>
        <w:t>Operation Definition</w:t>
      </w:r>
      <w:bookmarkEnd w:id="8516"/>
      <w:bookmarkEnd w:id="8517"/>
      <w:bookmarkEnd w:id="8518"/>
      <w:bookmarkEnd w:id="8519"/>
      <w:bookmarkEnd w:id="8520"/>
      <w:bookmarkEnd w:id="8521"/>
      <w:bookmarkEnd w:id="8522"/>
      <w:bookmarkEnd w:id="8523"/>
      <w:bookmarkEnd w:id="8524"/>
      <w:bookmarkEnd w:id="8525"/>
      <w:bookmarkEnd w:id="8526"/>
      <w:bookmarkEnd w:id="8527"/>
    </w:p>
    <w:p w:rsidR="00CB0DD7" w:rsidRPr="000A0A5F" w:rsidRDefault="00CB0DD7">
      <w:r w:rsidRPr="000A0A5F">
        <w:t>This operation shall support the request data structures specified in table 5.12.3.3.2-1 and the response data structure and response codes specified in table 5.12.3.3.2-2.</w:t>
      </w:r>
    </w:p>
    <w:p w:rsidR="00CB0DD7" w:rsidRPr="000A0A5F" w:rsidRDefault="00CB0DD7">
      <w:pPr>
        <w:pStyle w:val="TH"/>
        <w:rPr>
          <w:rFonts w:cs="Arial"/>
        </w:rPr>
      </w:pPr>
      <w:r w:rsidRPr="000A0A5F">
        <w:t xml:space="preserve">Table 5.12.3.3.2-1: URI query parameters supported by the POST on this operation </w:t>
      </w:r>
    </w:p>
    <w:tbl>
      <w:tblPr>
        <w:tblW w:w="4999"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612"/>
        <w:gridCol w:w="1709"/>
        <w:gridCol w:w="1140"/>
        <w:gridCol w:w="5314"/>
      </w:tblGrid>
      <w:tr w:rsidR="00CB0DD7" w:rsidRPr="000A0A5F" w:rsidTr="00FF0AF8">
        <w:trPr>
          <w:jc w:val="center"/>
        </w:trPr>
        <w:tc>
          <w:tcPr>
            <w:tcW w:w="825" w:type="pct"/>
            <w:shd w:val="clear" w:color="000000" w:fill="C0C0C0"/>
          </w:tcPr>
          <w:p w:rsidR="00CB0DD7" w:rsidRPr="000A0A5F" w:rsidRDefault="00CB0DD7">
            <w:pPr>
              <w:pStyle w:val="TAH"/>
            </w:pPr>
            <w:r w:rsidRPr="000A0A5F">
              <w:t>Name</w:t>
            </w:r>
          </w:p>
        </w:tc>
        <w:tc>
          <w:tcPr>
            <w:tcW w:w="874" w:type="pct"/>
            <w:shd w:val="clear" w:color="000000" w:fill="C0C0C0"/>
          </w:tcPr>
          <w:p w:rsidR="00CB0DD7" w:rsidRPr="000A0A5F" w:rsidRDefault="00CB0DD7">
            <w:pPr>
              <w:pStyle w:val="TAH"/>
            </w:pPr>
            <w:r w:rsidRPr="000A0A5F">
              <w:t>Data type</w:t>
            </w:r>
          </w:p>
        </w:tc>
        <w:tc>
          <w:tcPr>
            <w:tcW w:w="583" w:type="pct"/>
            <w:shd w:val="clear" w:color="000000" w:fill="C0C0C0"/>
          </w:tcPr>
          <w:p w:rsidR="00CB0DD7" w:rsidRPr="000A0A5F" w:rsidRDefault="00CB0DD7">
            <w:pPr>
              <w:pStyle w:val="TAH"/>
            </w:pPr>
            <w:r w:rsidRPr="000A0A5F">
              <w:t>Cardinality</w:t>
            </w:r>
          </w:p>
        </w:tc>
        <w:tc>
          <w:tcPr>
            <w:tcW w:w="2718" w:type="pct"/>
            <w:shd w:val="clear" w:color="000000" w:fill="C0C0C0"/>
            <w:vAlign w:val="center"/>
          </w:tcPr>
          <w:p w:rsidR="00CB0DD7" w:rsidRPr="000A0A5F" w:rsidRDefault="00CB0DD7">
            <w:pPr>
              <w:pStyle w:val="TAH"/>
            </w:pPr>
            <w:r w:rsidRPr="000A0A5F">
              <w:t>Remarks</w:t>
            </w:r>
          </w:p>
        </w:tc>
      </w:tr>
      <w:tr w:rsidR="00CB0DD7" w:rsidRPr="000A0A5F" w:rsidTr="00FF0AF8">
        <w:trPr>
          <w:jc w:val="center"/>
        </w:trPr>
        <w:tc>
          <w:tcPr>
            <w:tcW w:w="825" w:type="pct"/>
            <w:shd w:val="clear" w:color="auto" w:fill="auto"/>
          </w:tcPr>
          <w:p w:rsidR="00CB0DD7" w:rsidRPr="000A0A5F" w:rsidRDefault="00CB0DD7">
            <w:pPr>
              <w:pStyle w:val="TAL"/>
            </w:pPr>
            <w:r w:rsidRPr="000A0A5F">
              <w:t>none specified</w:t>
            </w:r>
          </w:p>
        </w:tc>
        <w:tc>
          <w:tcPr>
            <w:tcW w:w="874" w:type="pct"/>
          </w:tcPr>
          <w:p w:rsidR="00CB0DD7" w:rsidRPr="000A0A5F" w:rsidRDefault="00CB0DD7">
            <w:pPr>
              <w:pStyle w:val="TAL"/>
            </w:pPr>
          </w:p>
        </w:tc>
        <w:tc>
          <w:tcPr>
            <w:tcW w:w="583" w:type="pct"/>
          </w:tcPr>
          <w:p w:rsidR="00CB0DD7" w:rsidRPr="000A0A5F" w:rsidRDefault="00CB0DD7">
            <w:pPr>
              <w:pStyle w:val="TAL"/>
            </w:pPr>
          </w:p>
        </w:tc>
        <w:tc>
          <w:tcPr>
            <w:tcW w:w="2718" w:type="pct"/>
            <w:shd w:val="clear" w:color="auto" w:fill="auto"/>
            <w:vAlign w:val="center"/>
          </w:tcPr>
          <w:p w:rsidR="00CB0DD7" w:rsidRPr="000A0A5F" w:rsidRDefault="00CB0DD7">
            <w:pPr>
              <w:pStyle w:val="TAL"/>
            </w:pPr>
          </w:p>
        </w:tc>
      </w:tr>
    </w:tbl>
    <w:p w:rsidR="00CB0DD7" w:rsidRPr="000A0A5F" w:rsidRDefault="00CB0DD7"/>
    <w:p w:rsidR="00CB0DD7" w:rsidRPr="000A0A5F" w:rsidRDefault="00CB0DD7">
      <w:pPr>
        <w:pStyle w:val="TH"/>
        <w:spacing w:before="120"/>
      </w:pPr>
      <w:r w:rsidRPr="000A0A5F">
        <w:t>Table 5.12.3.3.2-2: Data structures supported by the POST request/response on this operation</w:t>
      </w:r>
    </w:p>
    <w:tbl>
      <w:tblPr>
        <w:tblW w:w="4999" w:type="pct"/>
        <w:tblInd w:w="1"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top w:w="45" w:type="dxa"/>
          <w:left w:w="45" w:type="dxa"/>
          <w:bottom w:w="45" w:type="dxa"/>
          <w:right w:w="45" w:type="dxa"/>
        </w:tblCellMar>
        <w:tblLook w:val="0000" w:firstRow="0" w:lastRow="0" w:firstColumn="0" w:lastColumn="0" w:noHBand="0" w:noVBand="0"/>
      </w:tblPr>
      <w:tblGrid>
        <w:gridCol w:w="1043"/>
        <w:gridCol w:w="2831"/>
        <w:gridCol w:w="1138"/>
        <w:gridCol w:w="1273"/>
        <w:gridCol w:w="3444"/>
      </w:tblGrid>
      <w:tr w:rsidR="00CB0DD7" w:rsidRPr="000A0A5F" w:rsidTr="002C1CAD">
        <w:tc>
          <w:tcPr>
            <w:tcW w:w="536" w:type="pct"/>
            <w:vMerge w:val="restart"/>
            <w:shd w:val="clear" w:color="auto" w:fill="C0C0C0"/>
            <w:vAlign w:val="center"/>
          </w:tcPr>
          <w:p w:rsidR="00CB0DD7" w:rsidRPr="000A0A5F" w:rsidRDefault="00CB0DD7">
            <w:pPr>
              <w:pStyle w:val="TAH"/>
            </w:pPr>
            <w:r w:rsidRPr="000A0A5F">
              <w:t>Request body</w:t>
            </w:r>
          </w:p>
        </w:tc>
        <w:tc>
          <w:tcPr>
            <w:tcW w:w="1455" w:type="pct"/>
            <w:shd w:val="clear" w:color="auto" w:fill="C0C0C0"/>
          </w:tcPr>
          <w:p w:rsidR="00CB0DD7" w:rsidRPr="000A0A5F" w:rsidRDefault="00CB0DD7">
            <w:pPr>
              <w:pStyle w:val="TAH"/>
            </w:pPr>
            <w:r w:rsidRPr="000A0A5F">
              <w:t>Data type</w:t>
            </w:r>
          </w:p>
        </w:tc>
        <w:tc>
          <w:tcPr>
            <w:tcW w:w="585" w:type="pct"/>
            <w:shd w:val="clear" w:color="auto" w:fill="C0C0C0"/>
          </w:tcPr>
          <w:p w:rsidR="00CB0DD7" w:rsidRPr="000A0A5F" w:rsidRDefault="00CB0DD7">
            <w:pPr>
              <w:pStyle w:val="TAH"/>
            </w:pPr>
            <w:r w:rsidRPr="000A0A5F">
              <w:t>Cardinality</w:t>
            </w:r>
          </w:p>
        </w:tc>
        <w:tc>
          <w:tcPr>
            <w:tcW w:w="2424" w:type="pct"/>
            <w:gridSpan w:val="2"/>
            <w:shd w:val="clear" w:color="auto" w:fill="C0C0C0"/>
          </w:tcPr>
          <w:p w:rsidR="00CB0DD7" w:rsidRPr="000A0A5F" w:rsidRDefault="00CB0DD7">
            <w:pPr>
              <w:pStyle w:val="TAH"/>
            </w:pPr>
            <w:r w:rsidRPr="000A0A5F">
              <w:t>Remarks</w:t>
            </w:r>
          </w:p>
        </w:tc>
      </w:tr>
      <w:tr w:rsidR="00CB0DD7" w:rsidRPr="000A0A5F" w:rsidTr="00FF0AF8">
        <w:tc>
          <w:tcPr>
            <w:tcW w:w="536" w:type="pct"/>
            <w:vMerge/>
            <w:shd w:val="clear" w:color="auto" w:fill="BFBFBF"/>
            <w:vAlign w:val="center"/>
          </w:tcPr>
          <w:p w:rsidR="00CB0DD7" w:rsidRPr="000A0A5F" w:rsidRDefault="00CB0DD7">
            <w:pPr>
              <w:pStyle w:val="TAL"/>
              <w:jc w:val="center"/>
            </w:pPr>
          </w:p>
        </w:tc>
        <w:tc>
          <w:tcPr>
            <w:tcW w:w="1455" w:type="pct"/>
            <w:shd w:val="clear" w:color="auto" w:fill="auto"/>
          </w:tcPr>
          <w:p w:rsidR="00CB0DD7" w:rsidRPr="000A0A5F" w:rsidRDefault="00CB0DD7">
            <w:pPr>
              <w:pStyle w:val="TAL"/>
              <w:rPr>
                <w:rFonts w:hint="eastAsia"/>
                <w:lang w:eastAsia="zh-CN"/>
              </w:rPr>
            </w:pPr>
            <w:r w:rsidRPr="000A0A5F">
              <w:t>ECRControl</w:t>
            </w:r>
          </w:p>
        </w:tc>
        <w:tc>
          <w:tcPr>
            <w:tcW w:w="585" w:type="pct"/>
          </w:tcPr>
          <w:p w:rsidR="00CB0DD7" w:rsidRPr="000A0A5F" w:rsidRDefault="00CB0DD7">
            <w:pPr>
              <w:pStyle w:val="TAC"/>
              <w:jc w:val="left"/>
              <w:rPr>
                <w:rFonts w:hint="eastAsia"/>
                <w:lang w:eastAsia="zh-CN"/>
              </w:rPr>
            </w:pPr>
            <w:r w:rsidRPr="000A0A5F">
              <w:rPr>
                <w:rFonts w:hint="eastAsia"/>
                <w:lang w:eastAsia="zh-CN"/>
              </w:rPr>
              <w:t>1</w:t>
            </w:r>
          </w:p>
        </w:tc>
        <w:tc>
          <w:tcPr>
            <w:tcW w:w="2424" w:type="pct"/>
            <w:gridSpan w:val="2"/>
          </w:tcPr>
          <w:p w:rsidR="00CB0DD7" w:rsidRPr="000A0A5F" w:rsidRDefault="00CB0DD7">
            <w:pPr>
              <w:pStyle w:val="TAL"/>
              <w:rPr>
                <w:rFonts w:cs="Arial" w:hint="eastAsia"/>
                <w:szCs w:val="18"/>
                <w:lang w:eastAsia="zh-CN"/>
              </w:rPr>
            </w:pPr>
            <w:r w:rsidRPr="000A0A5F">
              <w:rPr>
                <w:rFonts w:cs="Arial" w:hint="eastAsia"/>
                <w:szCs w:val="18"/>
                <w:lang w:eastAsia="zh-CN"/>
              </w:rPr>
              <w:t xml:space="preserve">Parameters to </w:t>
            </w:r>
            <w:r w:rsidRPr="000A0A5F">
              <w:rPr>
                <w:noProof/>
                <w:lang w:eastAsia="zh-CN"/>
              </w:rPr>
              <w:t xml:space="preserve">configure the setting of </w:t>
            </w:r>
            <w:r w:rsidRPr="000A0A5F">
              <w:rPr>
                <w:rFonts w:cs="Arial"/>
                <w:szCs w:val="18"/>
                <w:lang w:eastAsia="zh-CN"/>
              </w:rPr>
              <w:t>Enhanced Coverage Restriction.</w:t>
            </w:r>
          </w:p>
        </w:tc>
      </w:tr>
      <w:tr w:rsidR="000F63C1" w:rsidRPr="000A0A5F" w:rsidTr="002C1CAD">
        <w:tc>
          <w:tcPr>
            <w:tcW w:w="536" w:type="pct"/>
            <w:vMerge w:val="restart"/>
            <w:shd w:val="clear" w:color="auto" w:fill="C0C0C0"/>
            <w:vAlign w:val="center"/>
          </w:tcPr>
          <w:p w:rsidR="000F63C1" w:rsidRPr="000A0A5F" w:rsidRDefault="000F63C1">
            <w:pPr>
              <w:pStyle w:val="TAH"/>
            </w:pPr>
            <w:r w:rsidRPr="000A0A5F">
              <w:t>Response body</w:t>
            </w:r>
          </w:p>
        </w:tc>
        <w:tc>
          <w:tcPr>
            <w:tcW w:w="1455" w:type="pct"/>
            <w:shd w:val="clear" w:color="auto" w:fill="C0C0C0"/>
          </w:tcPr>
          <w:p w:rsidR="000F63C1" w:rsidRPr="000A0A5F" w:rsidRDefault="000F63C1">
            <w:pPr>
              <w:pStyle w:val="TAH"/>
            </w:pPr>
          </w:p>
          <w:p w:rsidR="000F63C1" w:rsidRPr="000A0A5F" w:rsidRDefault="000F63C1">
            <w:pPr>
              <w:pStyle w:val="TAH"/>
            </w:pPr>
            <w:r w:rsidRPr="000A0A5F">
              <w:t>Data type</w:t>
            </w:r>
          </w:p>
        </w:tc>
        <w:tc>
          <w:tcPr>
            <w:tcW w:w="585" w:type="pct"/>
            <w:shd w:val="clear" w:color="auto" w:fill="C0C0C0"/>
          </w:tcPr>
          <w:p w:rsidR="000F63C1" w:rsidRPr="000A0A5F" w:rsidRDefault="000F63C1">
            <w:pPr>
              <w:pStyle w:val="TAH"/>
            </w:pPr>
          </w:p>
          <w:p w:rsidR="000F63C1" w:rsidRPr="000A0A5F" w:rsidRDefault="000F63C1">
            <w:pPr>
              <w:pStyle w:val="TAH"/>
            </w:pPr>
            <w:r w:rsidRPr="000A0A5F">
              <w:t>Cardinality</w:t>
            </w:r>
          </w:p>
        </w:tc>
        <w:tc>
          <w:tcPr>
            <w:tcW w:w="654" w:type="pct"/>
            <w:shd w:val="clear" w:color="auto" w:fill="C0C0C0"/>
          </w:tcPr>
          <w:p w:rsidR="000F63C1" w:rsidRPr="000A0A5F" w:rsidRDefault="000F63C1">
            <w:pPr>
              <w:pStyle w:val="TAH"/>
            </w:pPr>
            <w:r w:rsidRPr="000A0A5F">
              <w:t>Response</w:t>
            </w:r>
          </w:p>
          <w:p w:rsidR="000F63C1" w:rsidRPr="000A0A5F" w:rsidRDefault="000F63C1">
            <w:pPr>
              <w:pStyle w:val="TAH"/>
            </w:pPr>
            <w:r w:rsidRPr="000A0A5F">
              <w:t>codes</w:t>
            </w:r>
          </w:p>
        </w:tc>
        <w:tc>
          <w:tcPr>
            <w:tcW w:w="1770" w:type="pct"/>
            <w:shd w:val="clear" w:color="auto" w:fill="C0C0C0"/>
          </w:tcPr>
          <w:p w:rsidR="000F63C1" w:rsidRPr="000A0A5F" w:rsidRDefault="000F63C1">
            <w:pPr>
              <w:pStyle w:val="TAH"/>
            </w:pPr>
          </w:p>
          <w:p w:rsidR="000F63C1" w:rsidRPr="000A0A5F" w:rsidRDefault="000F63C1">
            <w:pPr>
              <w:pStyle w:val="TAH"/>
            </w:pPr>
            <w:r w:rsidRPr="000A0A5F">
              <w:t>Remarks</w:t>
            </w:r>
          </w:p>
        </w:tc>
      </w:tr>
      <w:tr w:rsidR="000F63C1" w:rsidRPr="000A0A5F" w:rsidTr="000F63C1">
        <w:tc>
          <w:tcPr>
            <w:tcW w:w="536" w:type="pct"/>
            <w:vMerge/>
            <w:shd w:val="clear" w:color="auto" w:fill="C0C0C0"/>
            <w:vAlign w:val="center"/>
          </w:tcPr>
          <w:p w:rsidR="000F63C1" w:rsidRPr="000A0A5F" w:rsidRDefault="000F63C1">
            <w:pPr>
              <w:pStyle w:val="TAL"/>
              <w:jc w:val="center"/>
            </w:pPr>
          </w:p>
        </w:tc>
        <w:tc>
          <w:tcPr>
            <w:tcW w:w="1455" w:type="pct"/>
            <w:shd w:val="clear" w:color="auto" w:fill="auto"/>
          </w:tcPr>
          <w:p w:rsidR="000F63C1" w:rsidRPr="000A0A5F" w:rsidRDefault="000F63C1">
            <w:pPr>
              <w:pStyle w:val="TAL"/>
              <w:rPr>
                <w:rFonts w:hint="eastAsia"/>
                <w:lang w:eastAsia="zh-CN"/>
              </w:rPr>
            </w:pPr>
            <w:r w:rsidRPr="000A0A5F">
              <w:t>ECRData</w:t>
            </w:r>
          </w:p>
        </w:tc>
        <w:tc>
          <w:tcPr>
            <w:tcW w:w="585" w:type="pct"/>
          </w:tcPr>
          <w:p w:rsidR="000F63C1" w:rsidRPr="000A0A5F" w:rsidRDefault="000F63C1">
            <w:pPr>
              <w:pStyle w:val="TAL"/>
              <w:rPr>
                <w:rFonts w:hint="eastAsia"/>
                <w:lang w:eastAsia="zh-CN"/>
              </w:rPr>
            </w:pPr>
            <w:r w:rsidRPr="000A0A5F">
              <w:rPr>
                <w:lang w:eastAsia="zh-CN"/>
              </w:rPr>
              <w:t>1</w:t>
            </w:r>
          </w:p>
        </w:tc>
        <w:tc>
          <w:tcPr>
            <w:tcW w:w="654" w:type="pct"/>
          </w:tcPr>
          <w:p w:rsidR="000F63C1" w:rsidRPr="000A0A5F" w:rsidRDefault="000F63C1">
            <w:pPr>
              <w:pStyle w:val="TAL"/>
              <w:rPr>
                <w:rFonts w:hint="eastAsia"/>
                <w:lang w:eastAsia="zh-CN"/>
              </w:rPr>
            </w:pPr>
            <w:r w:rsidRPr="000A0A5F">
              <w:rPr>
                <w:lang w:eastAsia="zh-CN"/>
              </w:rPr>
              <w:t>200 OK</w:t>
            </w:r>
          </w:p>
        </w:tc>
        <w:tc>
          <w:tcPr>
            <w:tcW w:w="1770" w:type="pct"/>
          </w:tcPr>
          <w:p w:rsidR="000F63C1" w:rsidRPr="000A0A5F" w:rsidRDefault="000F63C1">
            <w:pPr>
              <w:pStyle w:val="TAL"/>
              <w:spacing w:afterLines="50" w:after="120"/>
            </w:pPr>
            <w:r w:rsidRPr="000A0A5F">
              <w:t xml:space="preserve">The </w:t>
            </w:r>
            <w:r w:rsidRPr="000A0A5F">
              <w:rPr>
                <w:rFonts w:cs="Arial"/>
                <w:szCs w:val="18"/>
                <w:lang w:eastAsia="zh-CN"/>
              </w:rPr>
              <w:t xml:space="preserve">Enhanced Coverage Restriction setting </w:t>
            </w:r>
            <w:r w:rsidRPr="000A0A5F">
              <w:t xml:space="preserve">was configured successfully </w:t>
            </w:r>
          </w:p>
        </w:tc>
      </w:tr>
      <w:tr w:rsidR="000F63C1" w:rsidRPr="000A0A5F" w:rsidTr="000F63C1">
        <w:tc>
          <w:tcPr>
            <w:tcW w:w="536" w:type="pct"/>
            <w:vMerge/>
            <w:shd w:val="clear" w:color="auto" w:fill="C0C0C0"/>
            <w:vAlign w:val="center"/>
          </w:tcPr>
          <w:p w:rsidR="000F63C1" w:rsidRPr="000A0A5F" w:rsidRDefault="000F63C1" w:rsidP="000F63C1">
            <w:pPr>
              <w:pStyle w:val="TAL"/>
              <w:jc w:val="center"/>
            </w:pPr>
          </w:p>
        </w:tc>
        <w:tc>
          <w:tcPr>
            <w:tcW w:w="1455" w:type="pct"/>
            <w:shd w:val="clear" w:color="auto" w:fill="auto"/>
          </w:tcPr>
          <w:p w:rsidR="000F63C1" w:rsidRPr="000A0A5F" w:rsidRDefault="000F63C1" w:rsidP="000F63C1">
            <w:pPr>
              <w:pStyle w:val="TAL"/>
            </w:pPr>
            <w:r w:rsidRPr="000A0A5F">
              <w:t>none</w:t>
            </w:r>
          </w:p>
        </w:tc>
        <w:tc>
          <w:tcPr>
            <w:tcW w:w="585" w:type="pct"/>
          </w:tcPr>
          <w:p w:rsidR="000F63C1" w:rsidRPr="000A0A5F" w:rsidRDefault="000F63C1" w:rsidP="000F63C1">
            <w:pPr>
              <w:pStyle w:val="TAL"/>
              <w:rPr>
                <w:lang w:eastAsia="zh-CN"/>
              </w:rPr>
            </w:pPr>
          </w:p>
        </w:tc>
        <w:tc>
          <w:tcPr>
            <w:tcW w:w="654" w:type="pct"/>
          </w:tcPr>
          <w:p w:rsidR="000F63C1" w:rsidRPr="000A0A5F" w:rsidRDefault="000F63C1" w:rsidP="000F63C1">
            <w:pPr>
              <w:pStyle w:val="TAL"/>
              <w:rPr>
                <w:lang w:eastAsia="zh-CN"/>
              </w:rPr>
            </w:pPr>
            <w:r w:rsidRPr="000A0A5F">
              <w:t>307 Temporary Redirect</w:t>
            </w:r>
          </w:p>
        </w:tc>
        <w:tc>
          <w:tcPr>
            <w:tcW w:w="1770" w:type="pct"/>
          </w:tcPr>
          <w:p w:rsidR="000F63C1" w:rsidRPr="000A0A5F" w:rsidRDefault="000F63C1" w:rsidP="000F63C1">
            <w:pPr>
              <w:pStyle w:val="TAL"/>
            </w:pPr>
            <w:r w:rsidRPr="000A0A5F">
              <w:t>Temporary redirection. The response shall include a Location header field containing an alternative URI of the resource located in an alternative SCEF.</w:t>
            </w:r>
          </w:p>
          <w:p w:rsidR="000F63C1" w:rsidRPr="000A0A5F" w:rsidRDefault="000F63C1" w:rsidP="000F63C1">
            <w:pPr>
              <w:pStyle w:val="TAL"/>
            </w:pPr>
          </w:p>
          <w:p w:rsidR="000F63C1" w:rsidRPr="000A0A5F" w:rsidRDefault="000F63C1" w:rsidP="000F63C1">
            <w:pPr>
              <w:pStyle w:val="TAL"/>
              <w:spacing w:afterLines="50" w:after="120"/>
            </w:pPr>
            <w:r w:rsidRPr="000A0A5F">
              <w:t>Redirection handling is described in clause 5.2.10.</w:t>
            </w:r>
          </w:p>
        </w:tc>
      </w:tr>
      <w:tr w:rsidR="000F63C1" w:rsidRPr="000A0A5F" w:rsidTr="000F63C1">
        <w:tc>
          <w:tcPr>
            <w:tcW w:w="536" w:type="pct"/>
            <w:vMerge/>
            <w:shd w:val="clear" w:color="auto" w:fill="C0C0C0"/>
            <w:vAlign w:val="center"/>
          </w:tcPr>
          <w:p w:rsidR="000F63C1" w:rsidRPr="000A0A5F" w:rsidRDefault="000F63C1" w:rsidP="000F63C1">
            <w:pPr>
              <w:pStyle w:val="TAL"/>
              <w:jc w:val="center"/>
            </w:pPr>
          </w:p>
        </w:tc>
        <w:tc>
          <w:tcPr>
            <w:tcW w:w="1455" w:type="pct"/>
            <w:shd w:val="clear" w:color="auto" w:fill="auto"/>
          </w:tcPr>
          <w:p w:rsidR="000F63C1" w:rsidRPr="000A0A5F" w:rsidRDefault="000F63C1" w:rsidP="000F63C1">
            <w:pPr>
              <w:pStyle w:val="TAL"/>
            </w:pPr>
            <w:r w:rsidRPr="000A0A5F">
              <w:t>none</w:t>
            </w:r>
          </w:p>
        </w:tc>
        <w:tc>
          <w:tcPr>
            <w:tcW w:w="585" w:type="pct"/>
          </w:tcPr>
          <w:p w:rsidR="000F63C1" w:rsidRPr="000A0A5F" w:rsidRDefault="000F63C1" w:rsidP="000F63C1">
            <w:pPr>
              <w:pStyle w:val="TAL"/>
              <w:rPr>
                <w:lang w:eastAsia="zh-CN"/>
              </w:rPr>
            </w:pPr>
          </w:p>
        </w:tc>
        <w:tc>
          <w:tcPr>
            <w:tcW w:w="654" w:type="pct"/>
          </w:tcPr>
          <w:p w:rsidR="000F63C1" w:rsidRPr="000A0A5F" w:rsidRDefault="000F63C1" w:rsidP="000F63C1">
            <w:pPr>
              <w:pStyle w:val="TAL"/>
              <w:rPr>
                <w:lang w:eastAsia="zh-CN"/>
              </w:rPr>
            </w:pPr>
            <w:r w:rsidRPr="000A0A5F">
              <w:t>308 Permanent Redirect</w:t>
            </w:r>
          </w:p>
        </w:tc>
        <w:tc>
          <w:tcPr>
            <w:tcW w:w="1770" w:type="pct"/>
          </w:tcPr>
          <w:p w:rsidR="000F63C1" w:rsidRPr="000A0A5F" w:rsidRDefault="000F63C1" w:rsidP="000F63C1">
            <w:pPr>
              <w:pStyle w:val="TAL"/>
            </w:pPr>
            <w:r w:rsidRPr="000A0A5F">
              <w:t>Permanent redirection. The response shall include a Location header field containing an alternative URI of the resource located in an alternative SCEF.</w:t>
            </w:r>
          </w:p>
          <w:p w:rsidR="000F63C1" w:rsidRPr="000A0A5F" w:rsidRDefault="000F63C1" w:rsidP="000F63C1">
            <w:pPr>
              <w:pStyle w:val="TAL"/>
            </w:pPr>
          </w:p>
          <w:p w:rsidR="000F63C1" w:rsidRPr="000A0A5F" w:rsidRDefault="000F63C1" w:rsidP="000F63C1">
            <w:pPr>
              <w:pStyle w:val="TAL"/>
              <w:spacing w:afterLines="50" w:after="120"/>
            </w:pPr>
            <w:r w:rsidRPr="000A0A5F">
              <w:t>Redirection handling is described in clause 5.2.10.</w:t>
            </w:r>
          </w:p>
        </w:tc>
      </w:tr>
      <w:tr w:rsidR="000F63C1" w:rsidRPr="000A0A5F" w:rsidTr="000F63C1">
        <w:tc>
          <w:tcPr>
            <w:tcW w:w="536" w:type="pct"/>
            <w:vMerge/>
            <w:shd w:val="clear" w:color="auto" w:fill="C0C0C0"/>
            <w:vAlign w:val="center"/>
          </w:tcPr>
          <w:p w:rsidR="000F63C1" w:rsidRPr="000A0A5F" w:rsidRDefault="000F63C1" w:rsidP="000F63C1">
            <w:pPr>
              <w:pStyle w:val="TAL"/>
              <w:jc w:val="center"/>
            </w:pPr>
          </w:p>
        </w:tc>
        <w:tc>
          <w:tcPr>
            <w:tcW w:w="1455" w:type="pct"/>
            <w:shd w:val="clear" w:color="auto" w:fill="auto"/>
          </w:tcPr>
          <w:p w:rsidR="000F63C1" w:rsidRPr="000A0A5F" w:rsidRDefault="000F63C1" w:rsidP="000F63C1">
            <w:pPr>
              <w:pStyle w:val="TAL"/>
              <w:rPr>
                <w:rFonts w:hint="eastAsia"/>
                <w:lang w:eastAsia="zh-CN"/>
              </w:rPr>
            </w:pPr>
            <w:r w:rsidRPr="000A0A5F">
              <w:rPr>
                <w:lang w:eastAsia="zh-CN"/>
              </w:rPr>
              <w:t>ProblemDetails</w:t>
            </w:r>
          </w:p>
        </w:tc>
        <w:tc>
          <w:tcPr>
            <w:tcW w:w="585" w:type="pct"/>
          </w:tcPr>
          <w:p w:rsidR="000F63C1" w:rsidRPr="000A0A5F" w:rsidRDefault="000F63C1" w:rsidP="000F63C1">
            <w:pPr>
              <w:pStyle w:val="TAL"/>
              <w:rPr>
                <w:rFonts w:hint="eastAsia"/>
                <w:lang w:eastAsia="zh-CN"/>
              </w:rPr>
            </w:pPr>
            <w:r w:rsidRPr="000A0A5F">
              <w:t>0..1</w:t>
            </w:r>
          </w:p>
        </w:tc>
        <w:tc>
          <w:tcPr>
            <w:tcW w:w="654" w:type="pct"/>
          </w:tcPr>
          <w:p w:rsidR="000F63C1" w:rsidRPr="000A0A5F" w:rsidRDefault="000F63C1" w:rsidP="000F63C1">
            <w:pPr>
              <w:pStyle w:val="TAL"/>
              <w:rPr>
                <w:rFonts w:hint="eastAsia"/>
                <w:lang w:eastAsia="zh-CN"/>
              </w:rPr>
            </w:pPr>
            <w:r w:rsidRPr="000A0A5F">
              <w:t>403 Forbidden</w:t>
            </w:r>
          </w:p>
        </w:tc>
        <w:tc>
          <w:tcPr>
            <w:tcW w:w="1770" w:type="pct"/>
          </w:tcPr>
          <w:p w:rsidR="000F63C1" w:rsidRPr="000A0A5F" w:rsidRDefault="000F63C1" w:rsidP="000F63C1">
            <w:pPr>
              <w:pStyle w:val="TAL"/>
              <w:spacing w:afterLines="50" w:after="120"/>
            </w:pPr>
            <w:r w:rsidRPr="000A0A5F">
              <w:t>(NOTE 2)</w:t>
            </w:r>
          </w:p>
        </w:tc>
      </w:tr>
      <w:tr w:rsidR="000F63C1" w:rsidRPr="000A0A5F" w:rsidTr="00FF0AF8">
        <w:tc>
          <w:tcPr>
            <w:tcW w:w="5000" w:type="pct"/>
            <w:gridSpan w:val="5"/>
            <w:shd w:val="clear" w:color="auto" w:fill="auto"/>
            <w:vAlign w:val="center"/>
          </w:tcPr>
          <w:p w:rsidR="000F63C1" w:rsidRPr="000A0A5F" w:rsidRDefault="000F63C1" w:rsidP="000F63C1">
            <w:pPr>
              <w:pStyle w:val="TAN"/>
            </w:pPr>
            <w:r w:rsidRPr="000A0A5F">
              <w:t>NOTE 1:</w:t>
            </w:r>
            <w:r w:rsidRPr="000A0A5F">
              <w:tab/>
              <w:t>The mandatory HTTP error status codes for the POST method listed in table 5.2.6-1 also apply.</w:t>
            </w:r>
          </w:p>
          <w:p w:rsidR="000F63C1" w:rsidRPr="000A0A5F" w:rsidRDefault="000F63C1" w:rsidP="000F63C1">
            <w:pPr>
              <w:pStyle w:val="TAN"/>
            </w:pPr>
            <w:r w:rsidRPr="000A0A5F">
              <w:t>NOTE 2:</w:t>
            </w:r>
            <w:r w:rsidRPr="000A0A5F">
              <w:tab/>
              <w:t>Failure cases are described in clause 5.12.5.3.</w:t>
            </w:r>
          </w:p>
        </w:tc>
      </w:tr>
    </w:tbl>
    <w:p w:rsidR="00CB0DD7" w:rsidRPr="000A0A5F" w:rsidRDefault="00CB0DD7"/>
    <w:p w:rsidR="00CB0DD7" w:rsidRPr="000A0A5F" w:rsidRDefault="002E466A">
      <w:pPr>
        <w:pStyle w:val="TH"/>
      </w:pPr>
      <w:r w:rsidRPr="000A0A5F">
        <w:t>Table </w:t>
      </w:r>
      <w:r w:rsidR="00CB0DD7" w:rsidRPr="000A0A5F">
        <w:t>5.12.3.3.2-3: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2E466A">
      <w:pPr>
        <w:pStyle w:val="TH"/>
      </w:pPr>
      <w:r w:rsidRPr="000A0A5F">
        <w:t>Table </w:t>
      </w:r>
      <w:r w:rsidR="00CB0DD7" w:rsidRPr="000A0A5F">
        <w:t>5.12.3.3.2-4: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CB0DD7">
      <w:pPr>
        <w:pStyle w:val="Heading3"/>
      </w:pPr>
      <w:bookmarkStart w:id="8528" w:name="_Toc11247830"/>
      <w:bookmarkStart w:id="8529" w:name="_Toc27044974"/>
      <w:bookmarkStart w:id="8530" w:name="_Toc36034016"/>
      <w:bookmarkStart w:id="8531" w:name="_Toc45132163"/>
      <w:bookmarkStart w:id="8532" w:name="_Toc49776448"/>
      <w:bookmarkStart w:id="8533" w:name="_Toc51747368"/>
      <w:bookmarkStart w:id="8534" w:name="_Toc66360944"/>
      <w:bookmarkStart w:id="8535" w:name="_Toc68105449"/>
      <w:bookmarkStart w:id="8536" w:name="_Toc74756079"/>
      <w:bookmarkStart w:id="8537" w:name="_Toc105674956"/>
      <w:bookmarkStart w:id="8538" w:name="_Toc130503024"/>
      <w:bookmarkStart w:id="8539" w:name="_Toc153625812"/>
      <w:r w:rsidRPr="000A0A5F">
        <w:t>5.12.4</w:t>
      </w:r>
      <w:r w:rsidRPr="000A0A5F">
        <w:tab/>
        <w:t>Used Features</w:t>
      </w:r>
      <w:bookmarkEnd w:id="8528"/>
      <w:bookmarkEnd w:id="8529"/>
      <w:bookmarkEnd w:id="8530"/>
      <w:bookmarkEnd w:id="8531"/>
      <w:bookmarkEnd w:id="8532"/>
      <w:bookmarkEnd w:id="8533"/>
      <w:bookmarkEnd w:id="8534"/>
      <w:bookmarkEnd w:id="8535"/>
      <w:bookmarkEnd w:id="8536"/>
      <w:bookmarkEnd w:id="8537"/>
      <w:bookmarkEnd w:id="8538"/>
      <w:bookmarkEnd w:id="8539"/>
    </w:p>
    <w:p w:rsidR="00CB0DD7" w:rsidRPr="000A0A5F" w:rsidRDefault="00CB0DD7">
      <w:r w:rsidRPr="000A0A5F">
        <w:t>The table below defines the features applicable to the ECRControl API. Those features are negotiated as described in clause 5.2.7.</w:t>
      </w:r>
    </w:p>
    <w:p w:rsidR="00CB0DD7" w:rsidRPr="000A0A5F" w:rsidRDefault="00CB0DD7">
      <w:pPr>
        <w:pStyle w:val="TH"/>
      </w:pPr>
      <w:r w:rsidRPr="000A0A5F">
        <w:t>Table 5.12.4-1: Features used by ECRControl API</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355"/>
        <w:gridCol w:w="1354"/>
        <w:gridCol w:w="7148"/>
      </w:tblGrid>
      <w:tr w:rsidR="00CB0DD7" w:rsidRPr="000A0A5F" w:rsidTr="00FF0AF8">
        <w:trPr>
          <w:cantSplit/>
        </w:trPr>
        <w:tc>
          <w:tcPr>
            <w:tcW w:w="687" w:type="pct"/>
            <w:shd w:val="clear" w:color="auto" w:fill="C0C0C0"/>
          </w:tcPr>
          <w:p w:rsidR="00CB0DD7" w:rsidRPr="000A0A5F" w:rsidRDefault="00CB0DD7">
            <w:pPr>
              <w:pStyle w:val="TAH"/>
              <w:rPr>
                <w:rFonts w:eastAsia="Times New Roman"/>
              </w:rPr>
            </w:pPr>
            <w:r w:rsidRPr="000A0A5F">
              <w:t>Feature Number</w:t>
            </w:r>
          </w:p>
        </w:tc>
        <w:tc>
          <w:tcPr>
            <w:tcW w:w="687" w:type="pct"/>
            <w:shd w:val="clear" w:color="auto" w:fill="C0C0C0"/>
          </w:tcPr>
          <w:p w:rsidR="00CB0DD7" w:rsidRPr="000A0A5F" w:rsidRDefault="00CB0DD7">
            <w:pPr>
              <w:pStyle w:val="TAH"/>
              <w:rPr>
                <w:rFonts w:eastAsia="Times New Roman"/>
              </w:rPr>
            </w:pPr>
            <w:r w:rsidRPr="000A0A5F">
              <w:rPr>
                <w:rFonts w:eastAsia="Times New Roman"/>
              </w:rPr>
              <w:t>Feature</w:t>
            </w:r>
          </w:p>
        </w:tc>
        <w:tc>
          <w:tcPr>
            <w:tcW w:w="3626" w:type="pct"/>
            <w:shd w:val="clear" w:color="auto" w:fill="C0C0C0"/>
          </w:tcPr>
          <w:p w:rsidR="00CB0DD7" w:rsidRPr="000A0A5F" w:rsidRDefault="00CB0DD7">
            <w:pPr>
              <w:pStyle w:val="TAH"/>
              <w:rPr>
                <w:lang w:eastAsia="ko-KR"/>
              </w:rPr>
            </w:pPr>
            <w:r w:rsidRPr="000A0A5F">
              <w:rPr>
                <w:rFonts w:eastAsia="Times New Roman"/>
              </w:rPr>
              <w:t>Description</w:t>
            </w:r>
          </w:p>
        </w:tc>
      </w:tr>
      <w:tr w:rsidR="00CB0DD7" w:rsidRPr="000A0A5F" w:rsidTr="00FF0AF8">
        <w:trPr>
          <w:cantSplit/>
        </w:trPr>
        <w:tc>
          <w:tcPr>
            <w:tcW w:w="687" w:type="pct"/>
          </w:tcPr>
          <w:p w:rsidR="00CB0DD7" w:rsidRPr="000A0A5F" w:rsidRDefault="00CB0DD7">
            <w:pPr>
              <w:pStyle w:val="TAC"/>
              <w:rPr>
                <w:lang w:eastAsia="zh-CN"/>
              </w:rPr>
            </w:pPr>
            <w:r w:rsidRPr="000A0A5F">
              <w:rPr>
                <w:lang w:eastAsia="zh-CN"/>
              </w:rPr>
              <w:t>1</w:t>
            </w:r>
          </w:p>
        </w:tc>
        <w:tc>
          <w:tcPr>
            <w:tcW w:w="687" w:type="pct"/>
          </w:tcPr>
          <w:p w:rsidR="00CB0DD7" w:rsidRPr="000A0A5F" w:rsidRDefault="00CB0DD7">
            <w:pPr>
              <w:pStyle w:val="TAC"/>
              <w:rPr>
                <w:lang w:eastAsia="zh-CN"/>
              </w:rPr>
            </w:pPr>
            <w:r w:rsidRPr="000A0A5F">
              <w:rPr>
                <w:lang w:eastAsia="zh-CN"/>
              </w:rPr>
              <w:t>ECR_WB_5G</w:t>
            </w:r>
          </w:p>
        </w:tc>
        <w:tc>
          <w:tcPr>
            <w:tcW w:w="3626" w:type="pct"/>
          </w:tcPr>
          <w:p w:rsidR="00CB0DD7" w:rsidRPr="000A0A5F" w:rsidRDefault="00CB0DD7">
            <w:pPr>
              <w:pStyle w:val="TAL"/>
              <w:rPr>
                <w:lang w:eastAsia="zh-CN"/>
              </w:rPr>
            </w:pPr>
            <w:r w:rsidRPr="000A0A5F">
              <w:rPr>
                <w:lang w:eastAsia="zh-CN"/>
              </w:rPr>
              <w:t>The enhanced coverage restriction control information indicates whether the enhanced coverage modes are restricted or not for the WB UE.</w:t>
            </w:r>
            <w:r w:rsidRPr="000A0A5F">
              <w:rPr>
                <w:rFonts w:eastAsia="Malgun Gothic"/>
                <w:lang w:eastAsia="ja-JP"/>
              </w:rPr>
              <w:t xml:space="preserve"> The feature is not applicable to the pre-5G.</w:t>
            </w:r>
          </w:p>
        </w:tc>
      </w:tr>
      <w:tr w:rsidR="00CB0DD7" w:rsidRPr="000A0A5F" w:rsidTr="00FF0AF8">
        <w:tblPrEx>
          <w:tblLook w:val="04A0" w:firstRow="1" w:lastRow="0" w:firstColumn="1" w:lastColumn="0" w:noHBand="0" w:noVBand="1"/>
        </w:tblPrEx>
        <w:trPr>
          <w:cantSplit/>
        </w:trPr>
        <w:tc>
          <w:tcPr>
            <w:tcW w:w="5000" w:type="pct"/>
            <w:gridSpan w:val="3"/>
          </w:tcPr>
          <w:p w:rsidR="00CB0DD7" w:rsidRPr="000A0A5F" w:rsidRDefault="00CB0DD7">
            <w:pPr>
              <w:pStyle w:val="TAN"/>
              <w:rPr>
                <w:rFonts w:eastAsia="Times New Roman"/>
              </w:rPr>
            </w:pPr>
            <w:r w:rsidRPr="000A0A5F">
              <w:rPr>
                <w:rFonts w:eastAsia="Times New Roman"/>
              </w:rPr>
              <w:t>Feature:</w:t>
            </w:r>
            <w:r w:rsidRPr="000A0A5F">
              <w:rPr>
                <w:rFonts w:eastAsia="Times New Roman"/>
              </w:rPr>
              <w:tab/>
              <w:t>A short name that can be used to refer to the bit and to the feature, e.g. "</w:t>
            </w:r>
            <w:r w:rsidRPr="000A0A5F">
              <w:rPr>
                <w:rFonts w:hint="eastAsia"/>
                <w:lang w:eastAsia="zh-CN"/>
              </w:rPr>
              <w:t>Notification</w:t>
            </w:r>
            <w:r w:rsidRPr="000A0A5F">
              <w:rPr>
                <w:rFonts w:eastAsia="Times New Roman"/>
              </w:rPr>
              <w:t>".</w:t>
            </w:r>
          </w:p>
          <w:p w:rsidR="00CB0DD7" w:rsidRPr="000A0A5F" w:rsidRDefault="00CB0DD7">
            <w:pPr>
              <w:pStyle w:val="TAN"/>
              <w:rPr>
                <w:color w:val="000000"/>
                <w:lang w:eastAsia="zh-CN"/>
              </w:rPr>
            </w:pPr>
            <w:r w:rsidRPr="000A0A5F">
              <w:rPr>
                <w:rFonts w:eastAsia="Times New Roman"/>
              </w:rPr>
              <w:t>Description:</w:t>
            </w:r>
            <w:r w:rsidRPr="000A0A5F">
              <w:rPr>
                <w:rFonts w:eastAsia="Times New Roman"/>
              </w:rPr>
              <w:tab/>
              <w:t>A clear textual description of the feature.</w:t>
            </w:r>
          </w:p>
        </w:tc>
      </w:tr>
    </w:tbl>
    <w:p w:rsidR="00CB0DD7" w:rsidRPr="000A0A5F" w:rsidRDefault="00CB0DD7"/>
    <w:p w:rsidR="00CB0DD7" w:rsidRPr="000A0A5F" w:rsidRDefault="00CB0DD7">
      <w:pPr>
        <w:pStyle w:val="Heading3"/>
      </w:pPr>
      <w:bookmarkStart w:id="8540" w:name="_Toc11247831"/>
      <w:bookmarkStart w:id="8541" w:name="_Toc27044975"/>
      <w:bookmarkStart w:id="8542" w:name="_Toc36034017"/>
      <w:bookmarkStart w:id="8543" w:name="_Toc45132164"/>
      <w:bookmarkStart w:id="8544" w:name="_Toc49776449"/>
      <w:bookmarkStart w:id="8545" w:name="_Toc51747369"/>
      <w:bookmarkStart w:id="8546" w:name="_Toc66360945"/>
      <w:bookmarkStart w:id="8547" w:name="_Toc68105450"/>
      <w:bookmarkStart w:id="8548" w:name="_Toc74756080"/>
      <w:bookmarkStart w:id="8549" w:name="_Toc105674957"/>
      <w:bookmarkStart w:id="8550" w:name="_Toc130503025"/>
      <w:bookmarkStart w:id="8551" w:name="_Toc153625813"/>
      <w:r w:rsidRPr="000A0A5F">
        <w:t>5.12.5</w:t>
      </w:r>
      <w:r w:rsidRPr="000A0A5F">
        <w:tab/>
        <w:t>Error handling</w:t>
      </w:r>
      <w:bookmarkEnd w:id="8540"/>
      <w:bookmarkEnd w:id="8541"/>
      <w:bookmarkEnd w:id="8542"/>
      <w:bookmarkEnd w:id="8543"/>
      <w:bookmarkEnd w:id="8544"/>
      <w:bookmarkEnd w:id="8545"/>
      <w:bookmarkEnd w:id="8546"/>
      <w:bookmarkEnd w:id="8547"/>
      <w:bookmarkEnd w:id="8548"/>
      <w:bookmarkEnd w:id="8549"/>
      <w:bookmarkEnd w:id="8550"/>
      <w:bookmarkEnd w:id="8551"/>
    </w:p>
    <w:p w:rsidR="00CB0DD7" w:rsidRPr="000A0A5F" w:rsidRDefault="00CB0DD7">
      <w:pPr>
        <w:pStyle w:val="Heading4"/>
      </w:pPr>
      <w:bookmarkStart w:id="8552" w:name="_Toc11247832"/>
      <w:bookmarkStart w:id="8553" w:name="_Toc27044976"/>
      <w:bookmarkStart w:id="8554" w:name="_Toc36034018"/>
      <w:bookmarkStart w:id="8555" w:name="_Toc45132165"/>
      <w:bookmarkStart w:id="8556" w:name="_Toc49776450"/>
      <w:bookmarkStart w:id="8557" w:name="_Toc51747370"/>
      <w:bookmarkStart w:id="8558" w:name="_Toc66360946"/>
      <w:bookmarkStart w:id="8559" w:name="_Toc68105451"/>
      <w:bookmarkStart w:id="8560" w:name="_Toc74756081"/>
      <w:bookmarkStart w:id="8561" w:name="_Toc105674958"/>
      <w:bookmarkStart w:id="8562" w:name="_Toc130503026"/>
      <w:bookmarkStart w:id="8563" w:name="_Toc153625814"/>
      <w:r w:rsidRPr="000A0A5F">
        <w:t>5.12.5.1</w:t>
      </w:r>
      <w:r w:rsidRPr="000A0A5F">
        <w:tab/>
        <w:t>General</w:t>
      </w:r>
      <w:bookmarkEnd w:id="8552"/>
      <w:bookmarkEnd w:id="8553"/>
      <w:bookmarkEnd w:id="8554"/>
      <w:bookmarkEnd w:id="8555"/>
      <w:bookmarkEnd w:id="8556"/>
      <w:bookmarkEnd w:id="8557"/>
      <w:bookmarkEnd w:id="8558"/>
      <w:bookmarkEnd w:id="8559"/>
      <w:bookmarkEnd w:id="8560"/>
      <w:bookmarkEnd w:id="8561"/>
      <w:bookmarkEnd w:id="8562"/>
      <w:bookmarkEnd w:id="8563"/>
    </w:p>
    <w:p w:rsidR="00CB0DD7" w:rsidRPr="000A0A5F" w:rsidRDefault="00CB0DD7">
      <w:r w:rsidRPr="000A0A5F">
        <w:t>HTTP error handling shall be supported as specified in clause 5.2.6.</w:t>
      </w:r>
    </w:p>
    <w:p w:rsidR="00CB0DD7" w:rsidRPr="000A0A5F" w:rsidRDefault="00CB0DD7">
      <w:r w:rsidRPr="000A0A5F">
        <w:t>In addition, the requirements in the following clauses shall apply.</w:t>
      </w:r>
    </w:p>
    <w:p w:rsidR="00CB0DD7" w:rsidRPr="000A0A5F" w:rsidRDefault="00CB0DD7">
      <w:pPr>
        <w:pStyle w:val="Heading4"/>
      </w:pPr>
      <w:bookmarkStart w:id="8564" w:name="_Toc11247833"/>
      <w:bookmarkStart w:id="8565" w:name="_Toc27044977"/>
      <w:bookmarkStart w:id="8566" w:name="_Toc36034019"/>
      <w:bookmarkStart w:id="8567" w:name="_Toc45132166"/>
      <w:bookmarkStart w:id="8568" w:name="_Toc49776451"/>
      <w:bookmarkStart w:id="8569" w:name="_Toc51747371"/>
      <w:bookmarkStart w:id="8570" w:name="_Toc66360947"/>
      <w:bookmarkStart w:id="8571" w:name="_Toc68105452"/>
      <w:bookmarkStart w:id="8572" w:name="_Toc74756082"/>
      <w:bookmarkStart w:id="8573" w:name="_Toc105674959"/>
      <w:bookmarkStart w:id="8574" w:name="_Toc130503027"/>
      <w:bookmarkStart w:id="8575" w:name="_Toc153625815"/>
      <w:r w:rsidRPr="000A0A5F">
        <w:t>5.12.5.2</w:t>
      </w:r>
      <w:r w:rsidRPr="000A0A5F">
        <w:tab/>
        <w:t>Protocol Errors</w:t>
      </w:r>
      <w:bookmarkEnd w:id="8564"/>
      <w:bookmarkEnd w:id="8565"/>
      <w:bookmarkEnd w:id="8566"/>
      <w:bookmarkEnd w:id="8567"/>
      <w:bookmarkEnd w:id="8568"/>
      <w:bookmarkEnd w:id="8569"/>
      <w:bookmarkEnd w:id="8570"/>
      <w:bookmarkEnd w:id="8571"/>
      <w:bookmarkEnd w:id="8572"/>
      <w:bookmarkEnd w:id="8573"/>
      <w:bookmarkEnd w:id="8574"/>
      <w:bookmarkEnd w:id="8575"/>
    </w:p>
    <w:p w:rsidR="00CB0DD7" w:rsidRPr="000A0A5F" w:rsidRDefault="00CB0DD7">
      <w:r w:rsidRPr="000A0A5F">
        <w:rPr>
          <w:lang w:eastAsia="zh-CN"/>
        </w:rPr>
        <w:t xml:space="preserve">In this release </w:t>
      </w:r>
      <w:r w:rsidRPr="000A0A5F">
        <w:t>of the specification, there are no additional protocol errors applicable for the ECRControl</w:t>
      </w:r>
      <w:r w:rsidRPr="000A0A5F">
        <w:rPr>
          <w:noProof/>
          <w:lang w:eastAsia="zh-CN"/>
        </w:rPr>
        <w:t xml:space="preserve"> API</w:t>
      </w:r>
      <w:r w:rsidRPr="000A0A5F">
        <w:t>.</w:t>
      </w:r>
    </w:p>
    <w:p w:rsidR="00CB0DD7" w:rsidRPr="000A0A5F" w:rsidRDefault="00CB0DD7">
      <w:pPr>
        <w:pStyle w:val="Heading4"/>
      </w:pPr>
      <w:bookmarkStart w:id="8576" w:name="_Toc11247834"/>
      <w:bookmarkStart w:id="8577" w:name="_Toc27044978"/>
      <w:bookmarkStart w:id="8578" w:name="_Toc36034020"/>
      <w:bookmarkStart w:id="8579" w:name="_Toc45132167"/>
      <w:bookmarkStart w:id="8580" w:name="_Toc49776452"/>
      <w:bookmarkStart w:id="8581" w:name="_Toc51747372"/>
      <w:bookmarkStart w:id="8582" w:name="_Toc66360948"/>
      <w:bookmarkStart w:id="8583" w:name="_Toc68105453"/>
      <w:bookmarkStart w:id="8584" w:name="_Toc74756083"/>
      <w:bookmarkStart w:id="8585" w:name="_Toc105674960"/>
      <w:bookmarkStart w:id="8586" w:name="_Toc130503028"/>
      <w:bookmarkStart w:id="8587" w:name="_Toc153625816"/>
      <w:r w:rsidRPr="000A0A5F">
        <w:t>5.12.5.3</w:t>
      </w:r>
      <w:r w:rsidRPr="000A0A5F">
        <w:tab/>
        <w:t>Application Errors</w:t>
      </w:r>
      <w:bookmarkEnd w:id="8576"/>
      <w:bookmarkEnd w:id="8577"/>
      <w:bookmarkEnd w:id="8578"/>
      <w:bookmarkEnd w:id="8579"/>
      <w:bookmarkEnd w:id="8580"/>
      <w:bookmarkEnd w:id="8581"/>
      <w:bookmarkEnd w:id="8582"/>
      <w:bookmarkEnd w:id="8583"/>
      <w:bookmarkEnd w:id="8584"/>
      <w:bookmarkEnd w:id="8585"/>
      <w:bookmarkEnd w:id="8586"/>
      <w:bookmarkEnd w:id="8587"/>
    </w:p>
    <w:p w:rsidR="00CB0DD7" w:rsidRPr="000A0A5F" w:rsidRDefault="00CB0DD7">
      <w:r w:rsidRPr="000A0A5F">
        <w:t>The application errors defined for the ECRControl</w:t>
      </w:r>
      <w:r w:rsidRPr="000A0A5F">
        <w:rPr>
          <w:noProof/>
          <w:lang w:eastAsia="zh-CN"/>
        </w:rPr>
        <w:t xml:space="preserve"> API </w:t>
      </w:r>
      <w:r w:rsidRPr="000A0A5F">
        <w:t>are listed in table 5.12.5.3-1.</w:t>
      </w:r>
    </w:p>
    <w:p w:rsidR="00CB0DD7" w:rsidRPr="000A0A5F" w:rsidRDefault="002E466A">
      <w:pPr>
        <w:pStyle w:val="TH"/>
      </w:pPr>
      <w:r w:rsidRPr="000A0A5F">
        <w:t>Table </w:t>
      </w:r>
      <w:r w:rsidR="00CB0DD7" w:rsidRPr="000A0A5F">
        <w:t>5.12.5.3-1: Application errors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4A0" w:firstRow="1" w:lastRow="0" w:firstColumn="1" w:lastColumn="0" w:noHBand="0" w:noVBand="1"/>
      </w:tblPr>
      <w:tblGrid>
        <w:gridCol w:w="3203"/>
        <w:gridCol w:w="1980"/>
        <w:gridCol w:w="4564"/>
      </w:tblGrid>
      <w:tr w:rsidR="00CB0DD7" w:rsidRPr="000A0A5F" w:rsidTr="00FF0AF8">
        <w:trPr>
          <w:cantSplit/>
          <w:jc w:val="center"/>
        </w:trPr>
        <w:tc>
          <w:tcPr>
            <w:tcW w:w="3203" w:type="dxa"/>
            <w:shd w:val="clear" w:color="000000" w:fill="C0C0C0"/>
          </w:tcPr>
          <w:p w:rsidR="00CB0DD7" w:rsidRPr="000A0A5F" w:rsidRDefault="00CB0DD7">
            <w:pPr>
              <w:pStyle w:val="TAH"/>
            </w:pPr>
            <w:r w:rsidRPr="000A0A5F">
              <w:t>Application Error</w:t>
            </w:r>
          </w:p>
        </w:tc>
        <w:tc>
          <w:tcPr>
            <w:tcW w:w="1980" w:type="dxa"/>
            <w:shd w:val="clear" w:color="000000" w:fill="C0C0C0"/>
          </w:tcPr>
          <w:p w:rsidR="00CB0DD7" w:rsidRPr="000A0A5F" w:rsidRDefault="00CB0DD7">
            <w:pPr>
              <w:pStyle w:val="TAH"/>
            </w:pPr>
            <w:r w:rsidRPr="000A0A5F">
              <w:t>HTTP status code</w:t>
            </w:r>
          </w:p>
        </w:tc>
        <w:tc>
          <w:tcPr>
            <w:tcW w:w="4564" w:type="dxa"/>
            <w:shd w:val="clear" w:color="000000" w:fill="C0C0C0"/>
          </w:tcPr>
          <w:p w:rsidR="00CB0DD7" w:rsidRPr="000A0A5F" w:rsidRDefault="00CB0DD7">
            <w:pPr>
              <w:pStyle w:val="TAH"/>
            </w:pPr>
            <w:r w:rsidRPr="000A0A5F">
              <w:t>Description</w:t>
            </w:r>
          </w:p>
        </w:tc>
      </w:tr>
      <w:tr w:rsidR="00CB0DD7" w:rsidRPr="000A0A5F" w:rsidTr="00FF0AF8">
        <w:trPr>
          <w:cantSplit/>
          <w:jc w:val="center"/>
        </w:trPr>
        <w:tc>
          <w:tcPr>
            <w:tcW w:w="3203" w:type="dxa"/>
            <w:shd w:val="clear" w:color="auto" w:fill="auto"/>
          </w:tcPr>
          <w:p w:rsidR="00CB0DD7" w:rsidRPr="000A0A5F" w:rsidRDefault="00CB0DD7">
            <w:pPr>
              <w:pStyle w:val="TAL"/>
            </w:pPr>
            <w:r w:rsidRPr="000A0A5F">
              <w:t>QUOTA_EXCEEDED</w:t>
            </w:r>
          </w:p>
        </w:tc>
        <w:tc>
          <w:tcPr>
            <w:tcW w:w="1980" w:type="dxa"/>
            <w:shd w:val="clear" w:color="auto" w:fill="auto"/>
          </w:tcPr>
          <w:p w:rsidR="00CB0DD7" w:rsidRPr="000A0A5F" w:rsidRDefault="00CB0DD7">
            <w:pPr>
              <w:pStyle w:val="TAL"/>
            </w:pPr>
            <w:r w:rsidRPr="000A0A5F">
              <w:t>403 Forbidden</w:t>
            </w:r>
          </w:p>
        </w:tc>
        <w:tc>
          <w:tcPr>
            <w:tcW w:w="4564" w:type="dxa"/>
            <w:shd w:val="clear" w:color="auto" w:fill="auto"/>
          </w:tcPr>
          <w:p w:rsidR="00CB0DD7" w:rsidRPr="000A0A5F" w:rsidRDefault="00CB0DD7">
            <w:pPr>
              <w:pStyle w:val="TAL"/>
            </w:pPr>
            <w:r w:rsidRPr="000A0A5F">
              <w:t>Not enough quota for SCS/AS.</w:t>
            </w:r>
          </w:p>
        </w:tc>
      </w:tr>
    </w:tbl>
    <w:p w:rsidR="00CB0DD7" w:rsidRPr="000A0A5F" w:rsidRDefault="00CB0DD7"/>
    <w:p w:rsidR="00CB0DD7" w:rsidRPr="000A0A5F" w:rsidRDefault="00CB0DD7">
      <w:pPr>
        <w:pStyle w:val="Heading2"/>
      </w:pPr>
      <w:bookmarkStart w:id="8588" w:name="_Toc11247835"/>
      <w:bookmarkStart w:id="8589" w:name="_Toc27044979"/>
      <w:bookmarkStart w:id="8590" w:name="_Toc36034021"/>
      <w:bookmarkStart w:id="8591" w:name="_Toc45132168"/>
      <w:bookmarkStart w:id="8592" w:name="_Toc49776453"/>
      <w:bookmarkStart w:id="8593" w:name="_Toc51747373"/>
      <w:bookmarkStart w:id="8594" w:name="_Toc66360949"/>
      <w:bookmarkStart w:id="8595" w:name="_Toc68105454"/>
      <w:bookmarkStart w:id="8596" w:name="_Toc74756084"/>
      <w:bookmarkStart w:id="8597" w:name="_Toc105674961"/>
      <w:bookmarkStart w:id="8598" w:name="_Toc130503029"/>
      <w:bookmarkStart w:id="8599" w:name="_Toc153625817"/>
      <w:r w:rsidRPr="000A0A5F">
        <w:t>5.13</w:t>
      </w:r>
      <w:r w:rsidRPr="000A0A5F">
        <w:tab/>
        <w:t>NpConfiguration API</w:t>
      </w:r>
      <w:bookmarkEnd w:id="8588"/>
      <w:bookmarkEnd w:id="8589"/>
      <w:bookmarkEnd w:id="8590"/>
      <w:bookmarkEnd w:id="8591"/>
      <w:bookmarkEnd w:id="8592"/>
      <w:bookmarkEnd w:id="8593"/>
      <w:bookmarkEnd w:id="8594"/>
      <w:bookmarkEnd w:id="8595"/>
      <w:bookmarkEnd w:id="8596"/>
      <w:bookmarkEnd w:id="8597"/>
      <w:bookmarkEnd w:id="8598"/>
      <w:bookmarkEnd w:id="8599"/>
    </w:p>
    <w:p w:rsidR="00CB0DD7" w:rsidRPr="000A0A5F" w:rsidRDefault="00CB0DD7">
      <w:pPr>
        <w:pStyle w:val="Heading3"/>
      </w:pPr>
      <w:bookmarkStart w:id="8600" w:name="_Toc11247836"/>
      <w:bookmarkStart w:id="8601" w:name="_Toc27044980"/>
      <w:bookmarkStart w:id="8602" w:name="_Toc36034022"/>
      <w:bookmarkStart w:id="8603" w:name="_Toc45132169"/>
      <w:bookmarkStart w:id="8604" w:name="_Toc49776454"/>
      <w:bookmarkStart w:id="8605" w:name="_Toc51747374"/>
      <w:bookmarkStart w:id="8606" w:name="_Toc66360950"/>
      <w:bookmarkStart w:id="8607" w:name="_Toc68105455"/>
      <w:bookmarkStart w:id="8608" w:name="_Toc74756085"/>
      <w:bookmarkStart w:id="8609" w:name="_Toc105674962"/>
      <w:bookmarkStart w:id="8610" w:name="_Toc130503030"/>
      <w:bookmarkStart w:id="8611" w:name="_Toc153625818"/>
      <w:r w:rsidRPr="000A0A5F">
        <w:t>5.13.1</w:t>
      </w:r>
      <w:r w:rsidRPr="000A0A5F">
        <w:tab/>
        <w:t>Overview</w:t>
      </w:r>
      <w:bookmarkEnd w:id="8600"/>
      <w:bookmarkEnd w:id="8601"/>
      <w:bookmarkEnd w:id="8602"/>
      <w:bookmarkEnd w:id="8603"/>
      <w:bookmarkEnd w:id="8604"/>
      <w:bookmarkEnd w:id="8605"/>
      <w:bookmarkEnd w:id="8606"/>
      <w:bookmarkEnd w:id="8607"/>
      <w:bookmarkEnd w:id="8608"/>
      <w:bookmarkEnd w:id="8609"/>
      <w:bookmarkEnd w:id="8610"/>
      <w:bookmarkEnd w:id="8611"/>
    </w:p>
    <w:p w:rsidR="00CB0DD7" w:rsidRPr="000A0A5F" w:rsidRDefault="00CB0DD7">
      <w:pPr>
        <w:rPr>
          <w:rFonts w:hint="eastAsia"/>
        </w:rPr>
      </w:pPr>
      <w:r w:rsidRPr="000A0A5F">
        <w:rPr>
          <w:rFonts w:hint="eastAsia"/>
          <w:noProof/>
          <w:lang w:eastAsia="zh-CN"/>
        </w:rPr>
        <w:t xml:space="preserve">The </w:t>
      </w:r>
      <w:r w:rsidRPr="000A0A5F">
        <w:rPr>
          <w:noProof/>
          <w:lang w:eastAsia="zh-CN"/>
        </w:rPr>
        <w:t>Np</w:t>
      </w:r>
      <w:r w:rsidRPr="000A0A5F">
        <w:rPr>
          <w:rFonts w:hint="eastAsia"/>
          <w:noProof/>
          <w:lang w:eastAsia="zh-CN"/>
        </w:rPr>
        <w:t>Co</w:t>
      </w:r>
      <w:r w:rsidRPr="000A0A5F">
        <w:rPr>
          <w:noProof/>
          <w:lang w:eastAsia="zh-CN"/>
        </w:rPr>
        <w:t xml:space="preserve">nfiguration API is a RESTful API that allows the SCS/AS to send suggested network parameters to influence certain aspects of UE/network behaviour </w:t>
      </w:r>
      <w:r w:rsidRPr="000A0A5F">
        <w:t xml:space="preserve">such as the UE's PSM, extended idle mode DRX, and extended buffering configurations. The </w:t>
      </w:r>
      <w:r w:rsidRPr="000A0A5F">
        <w:rPr>
          <w:noProof/>
          <w:lang w:eastAsia="zh-CN"/>
        </w:rPr>
        <w:t>Np</w:t>
      </w:r>
      <w:r w:rsidRPr="000A0A5F">
        <w:rPr>
          <w:rFonts w:hint="eastAsia"/>
          <w:noProof/>
          <w:lang w:eastAsia="zh-CN"/>
        </w:rPr>
        <w:t>Co</w:t>
      </w:r>
      <w:r w:rsidRPr="000A0A5F">
        <w:rPr>
          <w:noProof/>
          <w:lang w:eastAsia="zh-CN"/>
        </w:rPr>
        <w:t>nfiguration</w:t>
      </w:r>
      <w:r w:rsidRPr="000A0A5F">
        <w:t xml:space="preserve"> API defines a set of data models, resources and the related procedures for the creation and management of the network parameter configuration. The corresponding JSON schema for the representation of the resources and operations defined by the </w:t>
      </w:r>
      <w:r w:rsidRPr="000A0A5F">
        <w:rPr>
          <w:noProof/>
          <w:lang w:eastAsia="zh-CN"/>
        </w:rPr>
        <w:t>Np</w:t>
      </w:r>
      <w:r w:rsidRPr="000A0A5F">
        <w:rPr>
          <w:rFonts w:hint="eastAsia"/>
          <w:noProof/>
          <w:lang w:eastAsia="zh-CN"/>
        </w:rPr>
        <w:t>Co</w:t>
      </w:r>
      <w:r w:rsidRPr="000A0A5F">
        <w:rPr>
          <w:noProof/>
          <w:lang w:eastAsia="zh-CN"/>
        </w:rPr>
        <w:t>nfiguration</w:t>
      </w:r>
      <w:r w:rsidRPr="000A0A5F">
        <w:t xml:space="preserve"> API is provided in its complete form in Annex A.13. </w:t>
      </w:r>
    </w:p>
    <w:p w:rsidR="00CB0DD7" w:rsidRPr="000A0A5F" w:rsidRDefault="00CB0DD7">
      <w:pPr>
        <w:pStyle w:val="Heading3"/>
      </w:pPr>
      <w:bookmarkStart w:id="8612" w:name="_Toc11247837"/>
      <w:bookmarkStart w:id="8613" w:name="_Toc27044981"/>
      <w:bookmarkStart w:id="8614" w:name="_Toc36034023"/>
      <w:bookmarkStart w:id="8615" w:name="_Toc45132170"/>
      <w:bookmarkStart w:id="8616" w:name="_Toc49776455"/>
      <w:bookmarkStart w:id="8617" w:name="_Toc51747375"/>
      <w:bookmarkStart w:id="8618" w:name="_Toc66360951"/>
      <w:bookmarkStart w:id="8619" w:name="_Toc68105456"/>
      <w:bookmarkStart w:id="8620" w:name="_Toc74756086"/>
      <w:bookmarkStart w:id="8621" w:name="_Toc105674963"/>
      <w:bookmarkStart w:id="8622" w:name="_Toc130503031"/>
      <w:bookmarkStart w:id="8623" w:name="_Toc153625819"/>
      <w:r w:rsidRPr="000A0A5F">
        <w:t>5.13.2</w:t>
      </w:r>
      <w:r w:rsidRPr="000A0A5F">
        <w:tab/>
        <w:t>Data model</w:t>
      </w:r>
      <w:bookmarkEnd w:id="8612"/>
      <w:bookmarkEnd w:id="8613"/>
      <w:bookmarkEnd w:id="8614"/>
      <w:bookmarkEnd w:id="8615"/>
      <w:bookmarkEnd w:id="8616"/>
      <w:bookmarkEnd w:id="8617"/>
      <w:bookmarkEnd w:id="8618"/>
      <w:bookmarkEnd w:id="8619"/>
      <w:bookmarkEnd w:id="8620"/>
      <w:bookmarkEnd w:id="8621"/>
      <w:bookmarkEnd w:id="8622"/>
      <w:bookmarkEnd w:id="8623"/>
    </w:p>
    <w:p w:rsidR="00CB0DD7" w:rsidRPr="000A0A5F" w:rsidRDefault="00CB0DD7">
      <w:pPr>
        <w:pStyle w:val="Heading4"/>
      </w:pPr>
      <w:bookmarkStart w:id="8624" w:name="_Toc11247838"/>
      <w:bookmarkStart w:id="8625" w:name="_Toc27044982"/>
      <w:bookmarkStart w:id="8626" w:name="_Toc36034024"/>
      <w:bookmarkStart w:id="8627" w:name="_Toc45132171"/>
      <w:bookmarkStart w:id="8628" w:name="_Toc49776456"/>
      <w:bookmarkStart w:id="8629" w:name="_Toc51747376"/>
      <w:bookmarkStart w:id="8630" w:name="_Toc66360952"/>
      <w:bookmarkStart w:id="8631" w:name="_Toc68105457"/>
      <w:bookmarkStart w:id="8632" w:name="_Toc74756087"/>
      <w:bookmarkStart w:id="8633" w:name="_Toc105674964"/>
      <w:bookmarkStart w:id="8634" w:name="_Toc130503032"/>
      <w:bookmarkStart w:id="8635" w:name="_Toc153625820"/>
      <w:r w:rsidRPr="000A0A5F">
        <w:t>5.13.2.1</w:t>
      </w:r>
      <w:r w:rsidRPr="000A0A5F">
        <w:tab/>
        <w:t>Resource data types</w:t>
      </w:r>
      <w:bookmarkEnd w:id="8624"/>
      <w:bookmarkEnd w:id="8625"/>
      <w:bookmarkEnd w:id="8626"/>
      <w:bookmarkEnd w:id="8627"/>
      <w:bookmarkEnd w:id="8628"/>
      <w:bookmarkEnd w:id="8629"/>
      <w:bookmarkEnd w:id="8630"/>
      <w:bookmarkEnd w:id="8631"/>
      <w:bookmarkEnd w:id="8632"/>
      <w:bookmarkEnd w:id="8633"/>
      <w:bookmarkEnd w:id="8634"/>
      <w:bookmarkEnd w:id="8635"/>
    </w:p>
    <w:p w:rsidR="00CB0DD7" w:rsidRPr="000A0A5F" w:rsidRDefault="00CB0DD7">
      <w:pPr>
        <w:pStyle w:val="Heading5"/>
      </w:pPr>
      <w:bookmarkStart w:id="8636" w:name="_Toc11247839"/>
      <w:bookmarkStart w:id="8637" w:name="_Toc27044983"/>
      <w:bookmarkStart w:id="8638" w:name="_Toc36034025"/>
      <w:bookmarkStart w:id="8639" w:name="_Toc45132172"/>
      <w:bookmarkStart w:id="8640" w:name="_Toc49776457"/>
      <w:bookmarkStart w:id="8641" w:name="_Toc51747377"/>
      <w:bookmarkStart w:id="8642" w:name="_Toc66360953"/>
      <w:bookmarkStart w:id="8643" w:name="_Toc68105458"/>
      <w:bookmarkStart w:id="8644" w:name="_Toc74756088"/>
      <w:bookmarkStart w:id="8645" w:name="_Toc105674965"/>
      <w:bookmarkStart w:id="8646" w:name="_Toc130503033"/>
      <w:bookmarkStart w:id="8647" w:name="_Toc153625821"/>
      <w:r w:rsidRPr="000A0A5F">
        <w:t>5.13.2.1.1</w:t>
      </w:r>
      <w:r w:rsidRPr="000A0A5F">
        <w:tab/>
        <w:t>Introduction</w:t>
      </w:r>
      <w:bookmarkEnd w:id="8636"/>
      <w:bookmarkEnd w:id="8637"/>
      <w:bookmarkEnd w:id="8638"/>
      <w:bookmarkEnd w:id="8639"/>
      <w:bookmarkEnd w:id="8640"/>
      <w:bookmarkEnd w:id="8641"/>
      <w:bookmarkEnd w:id="8642"/>
      <w:bookmarkEnd w:id="8643"/>
      <w:bookmarkEnd w:id="8644"/>
      <w:bookmarkEnd w:id="8645"/>
      <w:bookmarkEnd w:id="8646"/>
      <w:bookmarkEnd w:id="8647"/>
    </w:p>
    <w:p w:rsidR="00CB0DD7" w:rsidRPr="000A0A5F" w:rsidRDefault="00CB0DD7">
      <w:r w:rsidRPr="000A0A5F">
        <w:t>This clause defines data structures to be used in resource representations.</w:t>
      </w:r>
    </w:p>
    <w:p w:rsidR="00CB0DD7" w:rsidRPr="000A0A5F" w:rsidRDefault="00CB0DD7">
      <w:r w:rsidRPr="000A0A5F">
        <w:t xml:space="preserve">Table 5.13.2.1.1-1 specifies data types re-used by the NetworkParameterConfiguration API from other specifications, including a reference to their respective specifications and when needed, a short description of their use within the NetworkParameterConfiguration API. </w:t>
      </w:r>
    </w:p>
    <w:p w:rsidR="00CB0DD7" w:rsidRPr="000A0A5F" w:rsidRDefault="00CB0DD7">
      <w:pPr>
        <w:pStyle w:val="TH"/>
      </w:pPr>
      <w:r w:rsidRPr="000A0A5F">
        <w:t>Table 5.13.2.1.1-1: NetworkParameterConfiguration API re-used Data Types</w:t>
      </w:r>
    </w:p>
    <w:tbl>
      <w:tblPr>
        <w:tblW w:w="917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018"/>
        <w:gridCol w:w="1848"/>
        <w:gridCol w:w="5308"/>
      </w:tblGrid>
      <w:tr w:rsidR="00CB0DD7" w:rsidRPr="000A0A5F" w:rsidTr="00FF0AF8">
        <w:trPr>
          <w:jc w:val="center"/>
        </w:trPr>
        <w:tc>
          <w:tcPr>
            <w:tcW w:w="2018" w:type="dxa"/>
            <w:shd w:val="clear" w:color="auto" w:fill="C0C0C0"/>
            <w:hideMark/>
          </w:tcPr>
          <w:p w:rsidR="00CB0DD7" w:rsidRPr="000A0A5F" w:rsidRDefault="00CB0DD7">
            <w:pPr>
              <w:pStyle w:val="TAH"/>
            </w:pPr>
            <w:r w:rsidRPr="000A0A5F">
              <w:t>Data type</w:t>
            </w:r>
          </w:p>
        </w:tc>
        <w:tc>
          <w:tcPr>
            <w:tcW w:w="1848" w:type="dxa"/>
            <w:shd w:val="clear" w:color="auto" w:fill="C0C0C0"/>
          </w:tcPr>
          <w:p w:rsidR="00CB0DD7" w:rsidRPr="000A0A5F" w:rsidRDefault="00CB0DD7">
            <w:pPr>
              <w:pStyle w:val="TAH"/>
            </w:pPr>
            <w:r w:rsidRPr="000A0A5F">
              <w:t>Reference</w:t>
            </w:r>
          </w:p>
        </w:tc>
        <w:tc>
          <w:tcPr>
            <w:tcW w:w="5308" w:type="dxa"/>
            <w:shd w:val="clear" w:color="auto" w:fill="C0C0C0"/>
            <w:hideMark/>
          </w:tcPr>
          <w:p w:rsidR="00CB0DD7" w:rsidRPr="000A0A5F" w:rsidRDefault="00CB0DD7">
            <w:pPr>
              <w:pStyle w:val="TAH"/>
            </w:pPr>
            <w:r w:rsidRPr="000A0A5F">
              <w:t>Comments</w:t>
            </w:r>
          </w:p>
        </w:tc>
      </w:tr>
      <w:tr w:rsidR="00F2786F" w:rsidRPr="000A0A5F" w:rsidTr="00FF0AF8">
        <w:trPr>
          <w:jc w:val="center"/>
        </w:trPr>
        <w:tc>
          <w:tcPr>
            <w:tcW w:w="2018" w:type="dxa"/>
          </w:tcPr>
          <w:p w:rsidR="00F2786F" w:rsidRPr="000A0A5F" w:rsidRDefault="00F2786F" w:rsidP="00F2786F">
            <w:pPr>
              <w:pStyle w:val="TAL"/>
            </w:pPr>
            <w:r w:rsidRPr="000A0A5F">
              <w:t>Dnn</w:t>
            </w:r>
          </w:p>
        </w:tc>
        <w:tc>
          <w:tcPr>
            <w:tcW w:w="1848" w:type="dxa"/>
          </w:tcPr>
          <w:p w:rsidR="00F2786F" w:rsidRPr="000A0A5F" w:rsidRDefault="00F2786F" w:rsidP="00F2786F">
            <w:pPr>
              <w:pStyle w:val="TAL"/>
              <w:rPr>
                <w:lang w:eastAsia="zh-CN"/>
              </w:rPr>
            </w:pPr>
            <w:r w:rsidRPr="000A0A5F">
              <w:rPr>
                <w:lang w:eastAsia="zh-CN"/>
              </w:rPr>
              <w:t>3GPP TS 29.571 [45]</w:t>
            </w:r>
          </w:p>
        </w:tc>
        <w:tc>
          <w:tcPr>
            <w:tcW w:w="5308" w:type="dxa"/>
          </w:tcPr>
          <w:p w:rsidR="00F2786F" w:rsidRPr="000A0A5F" w:rsidRDefault="00F2786F" w:rsidP="00F2786F">
            <w:pPr>
              <w:pStyle w:val="TAL"/>
              <w:rPr>
                <w:lang w:eastAsia="zh-CN"/>
              </w:rPr>
            </w:pPr>
            <w:r w:rsidRPr="000A0A5F">
              <w:rPr>
                <w:lang w:eastAsia="zh-CN"/>
              </w:rPr>
              <w:t>Identifies a DNN.</w:t>
            </w:r>
          </w:p>
        </w:tc>
      </w:tr>
      <w:tr w:rsidR="00F2786F" w:rsidRPr="000A0A5F" w:rsidTr="00FF0AF8">
        <w:trPr>
          <w:jc w:val="center"/>
        </w:trPr>
        <w:tc>
          <w:tcPr>
            <w:tcW w:w="2018" w:type="dxa"/>
          </w:tcPr>
          <w:p w:rsidR="00F2786F" w:rsidRPr="000A0A5F" w:rsidRDefault="00F2786F" w:rsidP="00F2786F">
            <w:pPr>
              <w:pStyle w:val="TAL"/>
            </w:pPr>
            <w:r w:rsidRPr="000A0A5F">
              <w:t>IpAddr</w:t>
            </w:r>
          </w:p>
        </w:tc>
        <w:tc>
          <w:tcPr>
            <w:tcW w:w="1848" w:type="dxa"/>
          </w:tcPr>
          <w:p w:rsidR="00F2786F" w:rsidRPr="000A0A5F" w:rsidRDefault="00F2786F" w:rsidP="00F2786F">
            <w:pPr>
              <w:pStyle w:val="TAL"/>
              <w:rPr>
                <w:lang w:eastAsia="zh-CN"/>
              </w:rPr>
            </w:pPr>
            <w:r w:rsidRPr="000A0A5F">
              <w:rPr>
                <w:lang w:eastAsia="zh-CN"/>
              </w:rPr>
              <w:t>3GPP TS 29.571 [45]</w:t>
            </w:r>
          </w:p>
        </w:tc>
        <w:tc>
          <w:tcPr>
            <w:tcW w:w="5308" w:type="dxa"/>
          </w:tcPr>
          <w:p w:rsidR="00F2786F" w:rsidRPr="000A0A5F" w:rsidRDefault="00F2786F" w:rsidP="00F2786F">
            <w:pPr>
              <w:pStyle w:val="TAL"/>
              <w:rPr>
                <w:lang w:eastAsia="zh-CN"/>
              </w:rPr>
            </w:pPr>
            <w:r w:rsidRPr="000A0A5F">
              <w:rPr>
                <w:lang w:eastAsia="zh-CN"/>
              </w:rPr>
              <w:t>UE IP Address.</w:t>
            </w:r>
          </w:p>
        </w:tc>
      </w:tr>
      <w:tr w:rsidR="00F2786F" w:rsidRPr="000A0A5F" w:rsidTr="00FF0AF8">
        <w:trPr>
          <w:jc w:val="center"/>
        </w:trPr>
        <w:tc>
          <w:tcPr>
            <w:tcW w:w="2018" w:type="dxa"/>
          </w:tcPr>
          <w:p w:rsidR="00F2786F" w:rsidRPr="000A0A5F" w:rsidRDefault="00F2786F" w:rsidP="00F2786F">
            <w:pPr>
              <w:pStyle w:val="TAL"/>
            </w:pPr>
            <w:r w:rsidRPr="000A0A5F">
              <w:t>MacAddr48</w:t>
            </w:r>
          </w:p>
        </w:tc>
        <w:tc>
          <w:tcPr>
            <w:tcW w:w="1848" w:type="dxa"/>
          </w:tcPr>
          <w:p w:rsidR="00F2786F" w:rsidRPr="000A0A5F" w:rsidRDefault="00F2786F" w:rsidP="00F2786F">
            <w:pPr>
              <w:pStyle w:val="TAL"/>
              <w:rPr>
                <w:lang w:eastAsia="zh-CN"/>
              </w:rPr>
            </w:pPr>
            <w:r w:rsidRPr="000A0A5F">
              <w:rPr>
                <w:lang w:eastAsia="zh-CN"/>
              </w:rPr>
              <w:t>3GPP TS 29.571 [45]</w:t>
            </w:r>
          </w:p>
        </w:tc>
        <w:tc>
          <w:tcPr>
            <w:tcW w:w="5308" w:type="dxa"/>
          </w:tcPr>
          <w:p w:rsidR="00F2786F" w:rsidRPr="000A0A5F" w:rsidRDefault="00F2786F" w:rsidP="00F2786F">
            <w:pPr>
              <w:pStyle w:val="TAL"/>
              <w:rPr>
                <w:lang w:eastAsia="zh-CN"/>
              </w:rPr>
            </w:pPr>
            <w:r w:rsidRPr="000A0A5F">
              <w:rPr>
                <w:lang w:eastAsia="zh-CN"/>
              </w:rPr>
              <w:t>MAC Address.</w:t>
            </w:r>
          </w:p>
        </w:tc>
      </w:tr>
      <w:tr w:rsidR="007B467F" w:rsidRPr="000A0A5F" w:rsidTr="00FF0AF8">
        <w:trPr>
          <w:jc w:val="center"/>
        </w:trPr>
        <w:tc>
          <w:tcPr>
            <w:tcW w:w="2018" w:type="dxa"/>
          </w:tcPr>
          <w:p w:rsidR="007B467F" w:rsidRPr="000A0A5F" w:rsidRDefault="007B467F" w:rsidP="007B467F">
            <w:pPr>
              <w:pStyle w:val="TAL"/>
            </w:pPr>
            <w:r w:rsidRPr="000A0A5F">
              <w:t>Snssai</w:t>
            </w:r>
          </w:p>
        </w:tc>
        <w:tc>
          <w:tcPr>
            <w:tcW w:w="1848" w:type="dxa"/>
          </w:tcPr>
          <w:p w:rsidR="007B467F" w:rsidRPr="000A0A5F" w:rsidRDefault="007B467F" w:rsidP="007B467F">
            <w:pPr>
              <w:pStyle w:val="TAL"/>
              <w:rPr>
                <w:lang w:eastAsia="zh-CN"/>
              </w:rPr>
            </w:pPr>
            <w:r w:rsidRPr="000A0A5F">
              <w:rPr>
                <w:lang w:eastAsia="zh-CN"/>
              </w:rPr>
              <w:t>3GPP TS 29.571 [45]</w:t>
            </w:r>
          </w:p>
        </w:tc>
        <w:tc>
          <w:tcPr>
            <w:tcW w:w="5308" w:type="dxa"/>
          </w:tcPr>
          <w:p w:rsidR="007B467F" w:rsidRPr="000A0A5F" w:rsidRDefault="007B467F" w:rsidP="007B467F">
            <w:pPr>
              <w:pStyle w:val="TAL"/>
              <w:rPr>
                <w:lang w:eastAsia="zh-CN"/>
              </w:rPr>
            </w:pPr>
            <w:r w:rsidRPr="000A0A5F">
              <w:rPr>
                <w:lang w:eastAsia="zh-CN"/>
              </w:rPr>
              <w:t>Identifies an S-NSSAI.</w:t>
            </w:r>
          </w:p>
        </w:tc>
      </w:tr>
      <w:tr w:rsidR="007B467F" w:rsidRPr="000A0A5F" w:rsidTr="00FF0AF8">
        <w:trPr>
          <w:jc w:val="center"/>
        </w:trPr>
        <w:tc>
          <w:tcPr>
            <w:tcW w:w="2018" w:type="dxa"/>
          </w:tcPr>
          <w:p w:rsidR="007B467F" w:rsidRPr="000A0A5F" w:rsidRDefault="007B467F" w:rsidP="007B467F">
            <w:pPr>
              <w:pStyle w:val="TAL"/>
            </w:pPr>
            <w:r w:rsidRPr="000A0A5F">
              <w:t>SupportedFeatures</w:t>
            </w:r>
          </w:p>
        </w:tc>
        <w:tc>
          <w:tcPr>
            <w:tcW w:w="1848" w:type="dxa"/>
          </w:tcPr>
          <w:p w:rsidR="007B467F" w:rsidRPr="000A0A5F" w:rsidRDefault="007B467F" w:rsidP="007B467F">
            <w:pPr>
              <w:pStyle w:val="TAL"/>
              <w:rPr>
                <w:rFonts w:hint="eastAsia"/>
                <w:lang w:eastAsia="zh-CN"/>
              </w:rPr>
            </w:pPr>
            <w:r w:rsidRPr="000A0A5F">
              <w:rPr>
                <w:lang w:eastAsia="zh-CN"/>
              </w:rPr>
              <w:t>3GPP TS 29.571 [45]</w:t>
            </w:r>
          </w:p>
        </w:tc>
        <w:tc>
          <w:tcPr>
            <w:tcW w:w="5308" w:type="dxa"/>
          </w:tcPr>
          <w:p w:rsidR="007B467F" w:rsidRPr="000A0A5F" w:rsidRDefault="007B467F" w:rsidP="007B467F">
            <w:pPr>
              <w:pStyle w:val="TAL"/>
              <w:rPr>
                <w:lang w:eastAsia="zh-CN"/>
              </w:rPr>
            </w:pPr>
            <w:r w:rsidRPr="000A0A5F">
              <w:rPr>
                <w:lang w:eastAsia="zh-CN"/>
              </w:rPr>
              <w:t>Used to negotiate the applicability of the optional features defined in table 5.1</w:t>
            </w:r>
            <w:r w:rsidRPr="000A0A5F">
              <w:rPr>
                <w:rFonts w:hint="eastAsia"/>
                <w:lang w:eastAsia="zh-CN"/>
              </w:rPr>
              <w:t>3</w:t>
            </w:r>
            <w:r w:rsidRPr="000A0A5F">
              <w:rPr>
                <w:lang w:eastAsia="zh-CN"/>
              </w:rPr>
              <w:t>.4-1.</w:t>
            </w:r>
          </w:p>
        </w:tc>
      </w:tr>
    </w:tbl>
    <w:p w:rsidR="00CB0DD7" w:rsidRPr="000A0A5F" w:rsidRDefault="00CB0DD7"/>
    <w:p w:rsidR="005C0B9B" w:rsidRPr="000A0A5F" w:rsidRDefault="005C0B9B" w:rsidP="005C0B9B">
      <w:bookmarkStart w:id="8648" w:name="_Toc11247840"/>
      <w:bookmarkStart w:id="8649" w:name="_Toc27044984"/>
      <w:bookmarkStart w:id="8650" w:name="_Toc36034026"/>
      <w:bookmarkStart w:id="8651" w:name="_Toc45132173"/>
      <w:bookmarkStart w:id="8652" w:name="_Toc49776458"/>
      <w:bookmarkStart w:id="8653" w:name="_Toc51747378"/>
      <w:bookmarkStart w:id="8654" w:name="_Toc66360954"/>
      <w:bookmarkStart w:id="8655" w:name="_Toc68105459"/>
      <w:bookmarkStart w:id="8656" w:name="_Toc74756089"/>
      <w:r w:rsidRPr="000A0A5F">
        <w:t>Table 5.13.2.1.1-2 specifies the data types defined for the NpConfiguration API.</w:t>
      </w:r>
    </w:p>
    <w:p w:rsidR="005C0B9B" w:rsidRPr="000A0A5F" w:rsidRDefault="005C0B9B" w:rsidP="005C0B9B">
      <w:pPr>
        <w:pStyle w:val="TH"/>
      </w:pPr>
      <w:r w:rsidRPr="000A0A5F">
        <w:t>Table 5.13.2.1.1-2: NpConfiguration API specific Data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097"/>
        <w:gridCol w:w="1019"/>
        <w:gridCol w:w="3825"/>
        <w:gridCol w:w="1207"/>
      </w:tblGrid>
      <w:tr w:rsidR="005C0B9B" w:rsidRPr="000A0A5F" w:rsidTr="00FF0AF8">
        <w:trPr>
          <w:jc w:val="center"/>
        </w:trPr>
        <w:tc>
          <w:tcPr>
            <w:tcW w:w="0" w:type="auto"/>
            <w:shd w:val="clear" w:color="auto" w:fill="C0C0C0"/>
            <w:vAlign w:val="center"/>
            <w:hideMark/>
          </w:tcPr>
          <w:p w:rsidR="005C0B9B" w:rsidRPr="000A0A5F" w:rsidRDefault="005C0B9B" w:rsidP="00E4481A">
            <w:pPr>
              <w:pStyle w:val="TAH"/>
            </w:pPr>
            <w:r w:rsidRPr="000A0A5F">
              <w:t>Data type</w:t>
            </w:r>
          </w:p>
        </w:tc>
        <w:tc>
          <w:tcPr>
            <w:tcW w:w="1019" w:type="dxa"/>
            <w:shd w:val="clear" w:color="auto" w:fill="C0C0C0"/>
            <w:vAlign w:val="center"/>
          </w:tcPr>
          <w:p w:rsidR="005C0B9B" w:rsidRPr="000A0A5F" w:rsidRDefault="005C0B9B" w:rsidP="00E4481A">
            <w:pPr>
              <w:pStyle w:val="TAH"/>
            </w:pPr>
            <w:r w:rsidRPr="000A0A5F">
              <w:t>Clause defined</w:t>
            </w:r>
          </w:p>
        </w:tc>
        <w:tc>
          <w:tcPr>
            <w:tcW w:w="3825" w:type="dxa"/>
            <w:shd w:val="clear" w:color="auto" w:fill="C0C0C0"/>
            <w:vAlign w:val="center"/>
            <w:hideMark/>
          </w:tcPr>
          <w:p w:rsidR="005C0B9B" w:rsidRPr="000A0A5F" w:rsidRDefault="005C0B9B" w:rsidP="00E4481A">
            <w:pPr>
              <w:pStyle w:val="TAH"/>
            </w:pPr>
            <w:r w:rsidRPr="000A0A5F">
              <w:t>Description</w:t>
            </w:r>
          </w:p>
        </w:tc>
        <w:tc>
          <w:tcPr>
            <w:tcW w:w="0" w:type="auto"/>
            <w:shd w:val="clear" w:color="auto" w:fill="C0C0C0"/>
            <w:vAlign w:val="center"/>
          </w:tcPr>
          <w:p w:rsidR="005C0B9B" w:rsidRPr="000A0A5F" w:rsidRDefault="005C0B9B" w:rsidP="00E4481A">
            <w:pPr>
              <w:pStyle w:val="TAH"/>
            </w:pPr>
            <w:r w:rsidRPr="000A0A5F">
              <w:t>Applicability</w:t>
            </w:r>
          </w:p>
        </w:tc>
      </w:tr>
      <w:tr w:rsidR="005C0B9B" w:rsidRPr="000A0A5F" w:rsidTr="00FF0AF8">
        <w:trPr>
          <w:jc w:val="center"/>
        </w:trPr>
        <w:tc>
          <w:tcPr>
            <w:tcW w:w="0" w:type="auto"/>
            <w:vAlign w:val="center"/>
          </w:tcPr>
          <w:p w:rsidR="005C0B9B" w:rsidRPr="000A0A5F" w:rsidRDefault="005C0B9B" w:rsidP="00E4481A">
            <w:pPr>
              <w:pStyle w:val="TAL"/>
            </w:pPr>
            <w:r w:rsidRPr="000A0A5F">
              <w:t>ConfigurationNotification</w:t>
            </w:r>
          </w:p>
        </w:tc>
        <w:tc>
          <w:tcPr>
            <w:tcW w:w="1019" w:type="dxa"/>
            <w:vAlign w:val="center"/>
          </w:tcPr>
          <w:p w:rsidR="005C0B9B" w:rsidRPr="000A0A5F" w:rsidRDefault="005C0B9B" w:rsidP="00E4481A">
            <w:pPr>
              <w:pStyle w:val="TAC"/>
            </w:pPr>
            <w:r w:rsidRPr="000A0A5F">
              <w:t>5.13.2.1.4</w:t>
            </w:r>
          </w:p>
        </w:tc>
        <w:tc>
          <w:tcPr>
            <w:tcW w:w="3825" w:type="dxa"/>
            <w:vAlign w:val="center"/>
          </w:tcPr>
          <w:p w:rsidR="005C0B9B" w:rsidRPr="000A0A5F" w:rsidRDefault="005C0B9B" w:rsidP="00E4481A">
            <w:pPr>
              <w:pStyle w:val="TAL"/>
            </w:pPr>
            <w:r w:rsidRPr="000A0A5F">
              <w:t>Represents a configuration result notification.</w:t>
            </w:r>
          </w:p>
        </w:tc>
        <w:tc>
          <w:tcPr>
            <w:tcW w:w="0" w:type="auto"/>
            <w:vAlign w:val="center"/>
          </w:tcPr>
          <w:p w:rsidR="005C0B9B" w:rsidRPr="000A0A5F" w:rsidRDefault="005C0B9B" w:rsidP="00E4481A">
            <w:pPr>
              <w:pStyle w:val="TAL"/>
              <w:rPr>
                <w:rFonts w:cs="Arial"/>
                <w:szCs w:val="18"/>
              </w:rPr>
            </w:pPr>
          </w:p>
        </w:tc>
      </w:tr>
      <w:tr w:rsidR="005C0B9B" w:rsidRPr="000A0A5F" w:rsidTr="00FF0AF8">
        <w:trPr>
          <w:jc w:val="center"/>
        </w:trPr>
        <w:tc>
          <w:tcPr>
            <w:tcW w:w="0" w:type="auto"/>
            <w:vAlign w:val="center"/>
          </w:tcPr>
          <w:p w:rsidR="005C0B9B" w:rsidRPr="000A0A5F" w:rsidRDefault="005C0B9B" w:rsidP="00E4481A">
            <w:pPr>
              <w:pStyle w:val="TAL"/>
            </w:pPr>
            <w:r w:rsidRPr="000A0A5F">
              <w:t>NpConfiguration</w:t>
            </w:r>
          </w:p>
        </w:tc>
        <w:tc>
          <w:tcPr>
            <w:tcW w:w="1019" w:type="dxa"/>
            <w:vAlign w:val="center"/>
          </w:tcPr>
          <w:p w:rsidR="005C0B9B" w:rsidRPr="000A0A5F" w:rsidRDefault="005C0B9B" w:rsidP="00E4481A">
            <w:pPr>
              <w:pStyle w:val="TAC"/>
            </w:pPr>
            <w:r w:rsidRPr="000A0A5F">
              <w:t>5.13.2.1.2</w:t>
            </w:r>
          </w:p>
        </w:tc>
        <w:tc>
          <w:tcPr>
            <w:tcW w:w="3825" w:type="dxa"/>
            <w:vAlign w:val="center"/>
          </w:tcPr>
          <w:p w:rsidR="005C0B9B" w:rsidRPr="000A0A5F" w:rsidRDefault="005C0B9B" w:rsidP="00E4481A">
            <w:pPr>
              <w:pStyle w:val="TAL"/>
              <w:rPr>
                <w:rFonts w:cs="Arial"/>
                <w:szCs w:val="18"/>
              </w:rPr>
            </w:pPr>
            <w:r w:rsidRPr="000A0A5F">
              <w:t>Represents a network parameters configuration.</w:t>
            </w:r>
          </w:p>
        </w:tc>
        <w:tc>
          <w:tcPr>
            <w:tcW w:w="0" w:type="auto"/>
            <w:vAlign w:val="center"/>
          </w:tcPr>
          <w:p w:rsidR="005C0B9B" w:rsidRPr="000A0A5F" w:rsidRDefault="005C0B9B" w:rsidP="00E4481A">
            <w:pPr>
              <w:pStyle w:val="TAL"/>
              <w:rPr>
                <w:rFonts w:cs="Arial"/>
                <w:szCs w:val="18"/>
              </w:rPr>
            </w:pPr>
          </w:p>
        </w:tc>
      </w:tr>
      <w:tr w:rsidR="005C0B9B" w:rsidRPr="000A0A5F" w:rsidTr="00FF0AF8">
        <w:trPr>
          <w:jc w:val="center"/>
        </w:trPr>
        <w:tc>
          <w:tcPr>
            <w:tcW w:w="0" w:type="auto"/>
            <w:vAlign w:val="center"/>
          </w:tcPr>
          <w:p w:rsidR="005C0B9B" w:rsidRPr="000A0A5F" w:rsidRDefault="005C0B9B" w:rsidP="00E4481A">
            <w:pPr>
              <w:pStyle w:val="TAL"/>
            </w:pPr>
            <w:r w:rsidRPr="000A0A5F">
              <w:t>NpConfigurationPatch</w:t>
            </w:r>
          </w:p>
        </w:tc>
        <w:tc>
          <w:tcPr>
            <w:tcW w:w="1019" w:type="dxa"/>
            <w:vAlign w:val="center"/>
          </w:tcPr>
          <w:p w:rsidR="005C0B9B" w:rsidRPr="000A0A5F" w:rsidRDefault="005C0B9B" w:rsidP="00E4481A">
            <w:pPr>
              <w:pStyle w:val="TAC"/>
            </w:pPr>
            <w:r w:rsidRPr="000A0A5F">
              <w:t>5.13.2.1.3</w:t>
            </w:r>
          </w:p>
        </w:tc>
        <w:tc>
          <w:tcPr>
            <w:tcW w:w="3825" w:type="dxa"/>
            <w:vAlign w:val="center"/>
          </w:tcPr>
          <w:p w:rsidR="005C0B9B" w:rsidRPr="000A0A5F" w:rsidRDefault="005C0B9B" w:rsidP="00E4481A">
            <w:pPr>
              <w:pStyle w:val="TAL"/>
              <w:rPr>
                <w:rFonts w:cs="Arial"/>
                <w:szCs w:val="18"/>
              </w:rPr>
            </w:pPr>
            <w:r w:rsidRPr="000A0A5F">
              <w:t>Represents parameters used to request the modification of a network parameters configuration resource.</w:t>
            </w:r>
          </w:p>
        </w:tc>
        <w:tc>
          <w:tcPr>
            <w:tcW w:w="0" w:type="auto"/>
            <w:vAlign w:val="center"/>
          </w:tcPr>
          <w:p w:rsidR="005C0B9B" w:rsidRPr="000A0A5F" w:rsidRDefault="005C0B9B" w:rsidP="00E4481A">
            <w:pPr>
              <w:pStyle w:val="TAL"/>
              <w:rPr>
                <w:rFonts w:cs="Arial"/>
                <w:szCs w:val="18"/>
              </w:rPr>
            </w:pPr>
          </w:p>
        </w:tc>
      </w:tr>
    </w:tbl>
    <w:p w:rsidR="005C0B9B" w:rsidRPr="000A0A5F" w:rsidRDefault="005C0B9B" w:rsidP="005C0B9B"/>
    <w:p w:rsidR="00CB0DD7" w:rsidRPr="000A0A5F" w:rsidRDefault="00CB0DD7">
      <w:pPr>
        <w:pStyle w:val="Heading5"/>
      </w:pPr>
      <w:bookmarkStart w:id="8657" w:name="_Toc105674966"/>
      <w:bookmarkStart w:id="8658" w:name="_Toc130503034"/>
      <w:bookmarkStart w:id="8659" w:name="_Toc153625822"/>
      <w:r w:rsidRPr="000A0A5F">
        <w:t>5.13.2.1.2</w:t>
      </w:r>
      <w:r w:rsidRPr="000A0A5F">
        <w:tab/>
        <w:t>Type: NpConfiguration</w:t>
      </w:r>
      <w:bookmarkEnd w:id="8648"/>
      <w:bookmarkEnd w:id="8649"/>
      <w:bookmarkEnd w:id="8650"/>
      <w:bookmarkEnd w:id="8651"/>
      <w:bookmarkEnd w:id="8652"/>
      <w:bookmarkEnd w:id="8653"/>
      <w:bookmarkEnd w:id="8654"/>
      <w:bookmarkEnd w:id="8655"/>
      <w:bookmarkEnd w:id="8656"/>
      <w:bookmarkEnd w:id="8657"/>
      <w:bookmarkEnd w:id="8658"/>
      <w:bookmarkEnd w:id="8659"/>
    </w:p>
    <w:p w:rsidR="00CB0DD7" w:rsidRPr="000A0A5F" w:rsidRDefault="00CB0DD7">
      <w:r w:rsidRPr="000A0A5F">
        <w:t>This type represents a configuration of network parameters. The same structure is used in the configuration request and response.</w:t>
      </w:r>
    </w:p>
    <w:p w:rsidR="00CB0DD7" w:rsidRPr="000A0A5F" w:rsidRDefault="00CB0DD7">
      <w:pPr>
        <w:pStyle w:val="TH"/>
      </w:pPr>
      <w:r w:rsidRPr="000A0A5F">
        <w:rPr>
          <w:noProof/>
        </w:rPr>
        <w:t>Table </w:t>
      </w:r>
      <w:r w:rsidRPr="000A0A5F">
        <w:t xml:space="preserve">5.13.2.1.2-1: </w:t>
      </w:r>
      <w:r w:rsidRPr="000A0A5F">
        <w:rPr>
          <w:noProof/>
        </w:rPr>
        <w:t xml:space="preserve">Definition of type </w:t>
      </w:r>
      <w:r w:rsidRPr="000A0A5F">
        <w:t>NpConfiguration</w:t>
      </w:r>
    </w:p>
    <w:tbl>
      <w:tblPr>
        <w:tblW w:w="955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61"/>
        <w:gridCol w:w="1134"/>
        <w:gridCol w:w="1134"/>
        <w:gridCol w:w="4395"/>
        <w:gridCol w:w="1235"/>
        <w:tblGridChange w:id="8660">
          <w:tblGrid>
            <w:gridCol w:w="1661"/>
            <w:gridCol w:w="1134"/>
            <w:gridCol w:w="1134"/>
            <w:gridCol w:w="4395"/>
            <w:gridCol w:w="1235"/>
          </w:tblGrid>
        </w:tblGridChange>
      </w:tblGrid>
      <w:tr w:rsidR="00CB0DD7" w:rsidRPr="000A0A5F" w:rsidTr="00FF0AF8">
        <w:trPr>
          <w:trHeight w:val="288"/>
          <w:jc w:val="center"/>
        </w:trPr>
        <w:tc>
          <w:tcPr>
            <w:tcW w:w="1661" w:type="dxa"/>
            <w:shd w:val="clear" w:color="auto" w:fill="C0C0C0"/>
          </w:tcPr>
          <w:p w:rsidR="00CB0DD7" w:rsidRPr="000A0A5F" w:rsidRDefault="00CB0DD7">
            <w:pPr>
              <w:pStyle w:val="TAH"/>
              <w:rPr>
                <w:rFonts w:eastAsia="Times New Roman"/>
              </w:rPr>
            </w:pPr>
            <w:r w:rsidRPr="000A0A5F">
              <w:rPr>
                <w:rFonts w:eastAsia="Times New Roman"/>
              </w:rPr>
              <w:t>Attribute name</w:t>
            </w:r>
          </w:p>
        </w:tc>
        <w:tc>
          <w:tcPr>
            <w:tcW w:w="1134" w:type="dxa"/>
            <w:shd w:val="clear" w:color="auto" w:fill="C0C0C0"/>
          </w:tcPr>
          <w:p w:rsidR="00CB0DD7" w:rsidRPr="000A0A5F" w:rsidRDefault="00CB0DD7">
            <w:pPr>
              <w:pStyle w:val="TAH"/>
              <w:rPr>
                <w:rFonts w:eastAsia="Times New Roman"/>
              </w:rPr>
            </w:pPr>
            <w:r w:rsidRPr="000A0A5F">
              <w:rPr>
                <w:rFonts w:eastAsia="Times New Roman"/>
              </w:rPr>
              <w:t>Data type</w:t>
            </w:r>
          </w:p>
        </w:tc>
        <w:tc>
          <w:tcPr>
            <w:tcW w:w="1134" w:type="dxa"/>
            <w:shd w:val="clear" w:color="auto" w:fill="C0C0C0"/>
          </w:tcPr>
          <w:p w:rsidR="00CB0DD7" w:rsidRPr="000A0A5F" w:rsidRDefault="00CB0DD7">
            <w:pPr>
              <w:pStyle w:val="TAH"/>
              <w:rPr>
                <w:rFonts w:eastAsia="Times New Roman"/>
              </w:rPr>
            </w:pPr>
            <w:r w:rsidRPr="000A0A5F">
              <w:rPr>
                <w:rFonts w:eastAsia="Times New Roman"/>
              </w:rPr>
              <w:t>Cardinality</w:t>
            </w:r>
          </w:p>
        </w:tc>
        <w:tc>
          <w:tcPr>
            <w:tcW w:w="4395"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Description</w:t>
            </w:r>
          </w:p>
        </w:tc>
        <w:tc>
          <w:tcPr>
            <w:tcW w:w="1235" w:type="dxa"/>
            <w:shd w:val="clear" w:color="auto" w:fill="C0C0C0"/>
          </w:tcPr>
          <w:p w:rsidR="00CB0DD7" w:rsidRPr="000A0A5F" w:rsidRDefault="00CB0DD7">
            <w:pPr>
              <w:pStyle w:val="TAH"/>
              <w:rPr>
                <w:rFonts w:eastAsia="Times New Roman"/>
              </w:rPr>
            </w:pPr>
            <w:r w:rsidRPr="000A0A5F">
              <w:rPr>
                <w:rFonts w:eastAsia="Times New Roman" w:cs="Arial"/>
                <w:szCs w:val="18"/>
              </w:rPr>
              <w:t>Applicability (NOTE 2)</w:t>
            </w:r>
          </w:p>
        </w:tc>
      </w:tr>
      <w:tr w:rsidR="00CB0DD7" w:rsidRPr="000A0A5F" w:rsidTr="00FF0AF8">
        <w:trPr>
          <w:jc w:val="center"/>
        </w:trPr>
        <w:tc>
          <w:tcPr>
            <w:tcW w:w="1661" w:type="dxa"/>
            <w:shd w:val="clear" w:color="auto" w:fill="auto"/>
          </w:tcPr>
          <w:p w:rsidR="00CB0DD7" w:rsidRPr="000A0A5F" w:rsidRDefault="00CB0DD7">
            <w:pPr>
              <w:pStyle w:val="TAL"/>
              <w:rPr>
                <w:lang w:eastAsia="zh-CN"/>
              </w:rPr>
            </w:pPr>
            <w:r w:rsidRPr="000A0A5F">
              <w:rPr>
                <w:rFonts w:eastAsia="Times New Roman"/>
              </w:rPr>
              <w:t>self</w:t>
            </w:r>
          </w:p>
        </w:tc>
        <w:tc>
          <w:tcPr>
            <w:tcW w:w="1134" w:type="dxa"/>
            <w:shd w:val="clear" w:color="auto" w:fill="auto"/>
          </w:tcPr>
          <w:p w:rsidR="00CB0DD7" w:rsidRPr="000A0A5F" w:rsidRDefault="00CB0DD7">
            <w:pPr>
              <w:pStyle w:val="TAL"/>
              <w:rPr>
                <w:rFonts w:hint="eastAsia"/>
                <w:lang w:eastAsia="zh-CN"/>
              </w:rPr>
            </w:pPr>
            <w:r w:rsidRPr="000A0A5F">
              <w:rPr>
                <w:rFonts w:eastAsia="Times New Roman"/>
              </w:rPr>
              <w:t>Link</w:t>
            </w:r>
          </w:p>
        </w:tc>
        <w:tc>
          <w:tcPr>
            <w:tcW w:w="1134" w:type="dxa"/>
          </w:tcPr>
          <w:p w:rsidR="00CB0DD7" w:rsidRPr="000A0A5F" w:rsidRDefault="00CB0DD7">
            <w:pPr>
              <w:pStyle w:val="TAC"/>
              <w:jc w:val="left"/>
              <w:rPr>
                <w:rFonts w:eastAsia="Times New Roman"/>
              </w:rPr>
            </w:pPr>
            <w:r w:rsidRPr="000A0A5F">
              <w:rPr>
                <w:rFonts w:eastAsia="Times New Roman"/>
              </w:rPr>
              <w:t>0..1</w:t>
            </w:r>
          </w:p>
        </w:tc>
        <w:tc>
          <w:tcPr>
            <w:tcW w:w="4395" w:type="dxa"/>
          </w:tcPr>
          <w:p w:rsidR="00CB0DD7" w:rsidRPr="000A0A5F" w:rsidRDefault="00CB0DD7">
            <w:pPr>
              <w:pStyle w:val="TAL"/>
              <w:rPr>
                <w:rFonts w:eastAsia="Times New Roman" w:cs="Arial"/>
                <w:szCs w:val="18"/>
              </w:rPr>
            </w:pPr>
            <w:r w:rsidRPr="000A0A5F">
              <w:rPr>
                <w:rFonts w:eastAsia="Times New Roman" w:cs="Arial"/>
                <w:szCs w:val="18"/>
              </w:rPr>
              <w:t xml:space="preserve">Link to the resource </w:t>
            </w:r>
            <w:r w:rsidRPr="000A0A5F">
              <w:t>"Individual NP Configuration"</w:t>
            </w:r>
            <w:r w:rsidRPr="000A0A5F">
              <w:rPr>
                <w:rFonts w:eastAsia="Times New Roman" w:cs="Arial"/>
                <w:szCs w:val="18"/>
              </w:rPr>
              <w:t>. This parameter shall be supplied by the SCEF in HTTP responses.</w:t>
            </w:r>
          </w:p>
        </w:tc>
        <w:tc>
          <w:tcPr>
            <w:tcW w:w="1235" w:type="dxa"/>
          </w:tcPr>
          <w:p w:rsidR="00CB0DD7" w:rsidRPr="000A0A5F" w:rsidRDefault="00CB0DD7">
            <w:pPr>
              <w:pStyle w:val="TAC"/>
              <w:jc w:val="left"/>
              <w:rPr>
                <w:rFonts w:eastAsia="Times New Roman"/>
              </w:rPr>
            </w:pPr>
          </w:p>
        </w:tc>
      </w:tr>
      <w:tr w:rsidR="00CB0DD7" w:rsidRPr="000A0A5F" w:rsidTr="00FF0AF8">
        <w:trPr>
          <w:jc w:val="center"/>
        </w:trPr>
        <w:tc>
          <w:tcPr>
            <w:tcW w:w="1661" w:type="dxa"/>
            <w:shd w:val="clear" w:color="auto" w:fill="auto"/>
          </w:tcPr>
          <w:p w:rsidR="00CB0DD7" w:rsidRPr="000A0A5F" w:rsidRDefault="00CB0DD7">
            <w:pPr>
              <w:pStyle w:val="TAL"/>
              <w:rPr>
                <w:rFonts w:eastAsia="Times New Roman"/>
              </w:rPr>
            </w:pPr>
            <w:r w:rsidRPr="000A0A5F">
              <w:t>supportedFeatures</w:t>
            </w:r>
          </w:p>
        </w:tc>
        <w:tc>
          <w:tcPr>
            <w:tcW w:w="1134" w:type="dxa"/>
            <w:shd w:val="clear" w:color="auto" w:fill="auto"/>
          </w:tcPr>
          <w:p w:rsidR="00CB0DD7" w:rsidRPr="000A0A5F" w:rsidRDefault="00CB0DD7">
            <w:pPr>
              <w:pStyle w:val="TAL"/>
              <w:rPr>
                <w:rFonts w:eastAsia="Times New Roman"/>
              </w:rPr>
            </w:pPr>
            <w:r w:rsidRPr="000A0A5F">
              <w:t>SupportedFeatures</w:t>
            </w:r>
          </w:p>
        </w:tc>
        <w:tc>
          <w:tcPr>
            <w:tcW w:w="1134" w:type="dxa"/>
          </w:tcPr>
          <w:p w:rsidR="00CB0DD7" w:rsidRPr="000A0A5F" w:rsidRDefault="00CB0DD7">
            <w:pPr>
              <w:pStyle w:val="TAC"/>
              <w:jc w:val="left"/>
              <w:rPr>
                <w:rFonts w:eastAsia="Times New Roman"/>
              </w:rPr>
            </w:pPr>
            <w:r w:rsidRPr="000A0A5F">
              <w:t>0..1</w:t>
            </w:r>
          </w:p>
        </w:tc>
        <w:tc>
          <w:tcPr>
            <w:tcW w:w="4395" w:type="dxa"/>
          </w:tcPr>
          <w:p w:rsidR="00CB0DD7" w:rsidRPr="000A0A5F" w:rsidRDefault="00CB0DD7">
            <w:pPr>
              <w:pStyle w:val="TAL"/>
            </w:pPr>
            <w:r w:rsidRPr="000A0A5F">
              <w:t>Used to negotiate the supported optional features of the API as described in clause 5.2.7.</w:t>
            </w:r>
          </w:p>
          <w:p w:rsidR="00CB0DD7" w:rsidRPr="000A0A5F" w:rsidRDefault="00CB0DD7">
            <w:pPr>
              <w:pStyle w:val="TAL"/>
              <w:rPr>
                <w:rFonts w:eastAsia="Times New Roman" w:cs="Arial"/>
                <w:szCs w:val="18"/>
              </w:rPr>
            </w:pPr>
            <w:r w:rsidRPr="000A0A5F">
              <w:t>This attribute shall be provided in the POST request and in the response of successful resource creation.</w:t>
            </w:r>
          </w:p>
        </w:tc>
        <w:tc>
          <w:tcPr>
            <w:tcW w:w="1235" w:type="dxa"/>
          </w:tcPr>
          <w:p w:rsidR="00CB0DD7" w:rsidRPr="000A0A5F" w:rsidRDefault="00CB0DD7">
            <w:pPr>
              <w:pStyle w:val="TAC"/>
              <w:jc w:val="left"/>
              <w:rPr>
                <w:rFonts w:eastAsia="Times New Roman"/>
              </w:rPr>
            </w:pPr>
          </w:p>
        </w:tc>
      </w:tr>
      <w:tr w:rsidR="00CB0DD7" w:rsidRPr="000A0A5F" w:rsidTr="00FF0AF8">
        <w:trPr>
          <w:jc w:val="center"/>
        </w:trPr>
        <w:tc>
          <w:tcPr>
            <w:tcW w:w="1661" w:type="dxa"/>
            <w:shd w:val="clear" w:color="auto" w:fill="auto"/>
          </w:tcPr>
          <w:p w:rsidR="00CB0DD7" w:rsidRPr="000A0A5F" w:rsidRDefault="00CB0DD7">
            <w:pPr>
              <w:pStyle w:val="TAL"/>
            </w:pPr>
            <w:r w:rsidRPr="000A0A5F">
              <w:t>mtcProviderId</w:t>
            </w:r>
          </w:p>
        </w:tc>
        <w:tc>
          <w:tcPr>
            <w:tcW w:w="1134" w:type="dxa"/>
            <w:shd w:val="clear" w:color="auto" w:fill="auto"/>
          </w:tcPr>
          <w:p w:rsidR="00CB0DD7" w:rsidRPr="000A0A5F" w:rsidRDefault="00CB0DD7">
            <w:pPr>
              <w:pStyle w:val="TAL"/>
            </w:pPr>
            <w:r w:rsidRPr="000A0A5F">
              <w:t>string</w:t>
            </w:r>
          </w:p>
        </w:tc>
        <w:tc>
          <w:tcPr>
            <w:tcW w:w="1134" w:type="dxa"/>
          </w:tcPr>
          <w:p w:rsidR="00CB0DD7" w:rsidRPr="000A0A5F" w:rsidRDefault="00CB0DD7">
            <w:pPr>
              <w:pStyle w:val="TAC"/>
              <w:jc w:val="left"/>
            </w:pPr>
            <w:r w:rsidRPr="000A0A5F">
              <w:t>0..1</w:t>
            </w:r>
          </w:p>
        </w:tc>
        <w:tc>
          <w:tcPr>
            <w:tcW w:w="4395" w:type="dxa"/>
          </w:tcPr>
          <w:p w:rsidR="00CB0DD7" w:rsidRPr="000A0A5F" w:rsidRDefault="00CB0DD7">
            <w:pPr>
              <w:pStyle w:val="TAL"/>
            </w:pPr>
            <w:r w:rsidRPr="000A0A5F">
              <w:t>Identifies the MTC Service Provider and/or MTC Application. (NOTE 4)</w:t>
            </w:r>
          </w:p>
        </w:tc>
        <w:tc>
          <w:tcPr>
            <w:tcW w:w="1235" w:type="dxa"/>
          </w:tcPr>
          <w:p w:rsidR="00CB0DD7" w:rsidRPr="000A0A5F" w:rsidRDefault="00CB0DD7">
            <w:pPr>
              <w:pStyle w:val="TAC"/>
              <w:jc w:val="left"/>
              <w:rPr>
                <w:rFonts w:eastAsia="Times New Roman"/>
              </w:rPr>
            </w:pPr>
          </w:p>
        </w:tc>
      </w:tr>
      <w:tr w:rsidR="00F2786F" w:rsidRPr="000A0A5F" w:rsidTr="00FF0AF8">
        <w:trPr>
          <w:jc w:val="center"/>
        </w:trPr>
        <w:tc>
          <w:tcPr>
            <w:tcW w:w="1661" w:type="dxa"/>
            <w:shd w:val="clear" w:color="auto" w:fill="auto"/>
          </w:tcPr>
          <w:p w:rsidR="00F2786F" w:rsidRPr="000A0A5F" w:rsidRDefault="00F2786F" w:rsidP="00F2786F">
            <w:pPr>
              <w:pStyle w:val="TAL"/>
            </w:pPr>
            <w:r w:rsidRPr="000A0A5F">
              <w:t>dnn</w:t>
            </w:r>
          </w:p>
        </w:tc>
        <w:tc>
          <w:tcPr>
            <w:tcW w:w="1134" w:type="dxa"/>
            <w:shd w:val="clear" w:color="auto" w:fill="auto"/>
          </w:tcPr>
          <w:p w:rsidR="00F2786F" w:rsidRPr="000A0A5F" w:rsidRDefault="00F2786F" w:rsidP="00F2786F">
            <w:pPr>
              <w:pStyle w:val="TAL"/>
            </w:pPr>
            <w:r w:rsidRPr="000A0A5F">
              <w:t>Dnn</w:t>
            </w:r>
          </w:p>
        </w:tc>
        <w:tc>
          <w:tcPr>
            <w:tcW w:w="1134" w:type="dxa"/>
          </w:tcPr>
          <w:p w:rsidR="00F2786F" w:rsidRPr="000A0A5F" w:rsidRDefault="00F2786F" w:rsidP="00F2786F">
            <w:pPr>
              <w:pStyle w:val="TAC"/>
              <w:jc w:val="left"/>
            </w:pPr>
            <w:r w:rsidRPr="000A0A5F">
              <w:t>0..1</w:t>
            </w:r>
          </w:p>
        </w:tc>
        <w:tc>
          <w:tcPr>
            <w:tcW w:w="4395" w:type="dxa"/>
          </w:tcPr>
          <w:p w:rsidR="00F2786F" w:rsidRPr="000A0A5F" w:rsidRDefault="00F2786F" w:rsidP="00F2786F">
            <w:pPr>
              <w:pStyle w:val="TAL"/>
            </w:pPr>
            <w:r w:rsidRPr="000A0A5F">
              <w:t>Identifies a DNN, a full DNN with both the Network Identifier and Operator Identifier, or a DNN with the Network Identifier only.</w:t>
            </w:r>
          </w:p>
        </w:tc>
        <w:tc>
          <w:tcPr>
            <w:tcW w:w="1235" w:type="dxa"/>
          </w:tcPr>
          <w:p w:rsidR="00F2786F" w:rsidRPr="000A0A5F" w:rsidRDefault="00F2786F" w:rsidP="00F2786F">
            <w:pPr>
              <w:pStyle w:val="TAC"/>
              <w:jc w:val="left"/>
              <w:rPr>
                <w:rFonts w:eastAsia="Times New Roman"/>
              </w:rPr>
            </w:pPr>
            <w:r w:rsidRPr="000A0A5F">
              <w:t>UEId_retrieval</w:t>
            </w:r>
          </w:p>
        </w:tc>
      </w:tr>
      <w:tr w:rsidR="00CB0DD7" w:rsidRPr="000A0A5F" w:rsidTr="00FF0AF8">
        <w:trPr>
          <w:jc w:val="center"/>
        </w:trPr>
        <w:tc>
          <w:tcPr>
            <w:tcW w:w="1661" w:type="dxa"/>
            <w:shd w:val="clear" w:color="auto" w:fill="auto"/>
          </w:tcPr>
          <w:p w:rsidR="00CB0DD7" w:rsidRPr="000A0A5F" w:rsidRDefault="00CB0DD7">
            <w:pPr>
              <w:pStyle w:val="TAL"/>
              <w:rPr>
                <w:rFonts w:hint="eastAsia"/>
                <w:lang w:eastAsia="zh-CN"/>
              </w:rPr>
            </w:pPr>
            <w:r w:rsidRPr="000A0A5F">
              <w:rPr>
                <w:lang w:eastAsia="zh-CN"/>
              </w:rPr>
              <w:t>e</w:t>
            </w:r>
            <w:r w:rsidRPr="000A0A5F">
              <w:rPr>
                <w:rFonts w:hint="eastAsia"/>
                <w:lang w:eastAsia="zh-CN"/>
              </w:rPr>
              <w:t>xternal</w:t>
            </w:r>
            <w:r w:rsidRPr="000A0A5F">
              <w:rPr>
                <w:lang w:eastAsia="zh-CN"/>
              </w:rPr>
              <w:t>Id</w:t>
            </w:r>
          </w:p>
        </w:tc>
        <w:tc>
          <w:tcPr>
            <w:tcW w:w="1134" w:type="dxa"/>
            <w:shd w:val="clear" w:color="auto" w:fill="auto"/>
          </w:tcPr>
          <w:p w:rsidR="00CB0DD7" w:rsidRPr="000A0A5F" w:rsidRDefault="00CB0DD7">
            <w:pPr>
              <w:pStyle w:val="TAL"/>
              <w:rPr>
                <w:rFonts w:hint="eastAsia"/>
                <w:lang w:eastAsia="zh-CN"/>
              </w:rPr>
            </w:pPr>
            <w:r w:rsidRPr="000A0A5F">
              <w:rPr>
                <w:lang w:eastAsia="zh-CN"/>
              </w:rPr>
              <w:t>ExternalId</w:t>
            </w:r>
          </w:p>
        </w:tc>
        <w:tc>
          <w:tcPr>
            <w:tcW w:w="1134" w:type="dxa"/>
          </w:tcPr>
          <w:p w:rsidR="00CB0DD7" w:rsidRPr="000A0A5F" w:rsidRDefault="00CB0DD7">
            <w:pPr>
              <w:pStyle w:val="TAC"/>
              <w:jc w:val="left"/>
              <w:rPr>
                <w:rFonts w:eastAsia="Times New Roman"/>
              </w:rPr>
            </w:pPr>
            <w:r w:rsidRPr="000A0A5F">
              <w:rPr>
                <w:rFonts w:eastAsia="Times New Roman"/>
              </w:rPr>
              <w:t>0..1</w:t>
            </w:r>
          </w:p>
        </w:tc>
        <w:tc>
          <w:tcPr>
            <w:tcW w:w="4395" w:type="dxa"/>
          </w:tcPr>
          <w:p w:rsidR="00CB0DD7" w:rsidRPr="000A0A5F" w:rsidRDefault="00CB0DD7">
            <w:pPr>
              <w:pStyle w:val="TAL"/>
              <w:spacing w:after="60"/>
              <w:rPr>
                <w:rFonts w:eastAsia="Times New Roman" w:cs="Arial"/>
                <w:szCs w:val="18"/>
              </w:rPr>
            </w:pPr>
            <w:r w:rsidRPr="000A0A5F">
              <w:rPr>
                <w:rFonts w:eastAsia="Times New Roman" w:cs="Arial"/>
                <w:szCs w:val="18"/>
              </w:rPr>
              <w:t xml:space="preserve">Identifies a user as defined in </w:t>
            </w:r>
            <w:r w:rsidR="000902D9" w:rsidRPr="000A0A5F">
              <w:rPr>
                <w:rFonts w:eastAsia="Times New Roman" w:cs="Arial"/>
                <w:szCs w:val="18"/>
              </w:rPr>
              <w:t>Clause </w:t>
            </w:r>
            <w:r w:rsidRPr="000A0A5F">
              <w:rPr>
                <w:rFonts w:eastAsia="Times New Roman" w:cs="Arial"/>
                <w:szCs w:val="18"/>
              </w:rPr>
              <w:t>4.6.2 of 3GPP TS 23.682 [2].</w:t>
            </w:r>
          </w:p>
          <w:p w:rsidR="00F2786F" w:rsidRPr="000A0A5F" w:rsidRDefault="00F2786F">
            <w:pPr>
              <w:pStyle w:val="TAL"/>
              <w:spacing w:after="60"/>
              <w:rPr>
                <w:rFonts w:eastAsia="Times New Roman" w:cs="Arial"/>
                <w:szCs w:val="18"/>
              </w:rPr>
            </w:pPr>
            <w:r w:rsidRPr="000A0A5F">
              <w:rPr>
                <w:rFonts w:eastAsia="Times New Roman" w:cs="Arial"/>
                <w:szCs w:val="18"/>
              </w:rPr>
              <w:t>The attribute may also be present in the NP configuration response message, if the "UEId_retrieval" feature is supported and the corresponding request message includes the "ueIpAddr" attribute or the "ueMacAddr" attribute.</w:t>
            </w:r>
          </w:p>
          <w:p w:rsidR="00CB0DD7" w:rsidRPr="000A0A5F" w:rsidRDefault="00CB0DD7">
            <w:pPr>
              <w:pStyle w:val="TAL"/>
              <w:rPr>
                <w:rFonts w:eastAsia="Times New Roman" w:cs="Arial"/>
                <w:szCs w:val="18"/>
              </w:rPr>
            </w:pPr>
            <w:r w:rsidRPr="000A0A5F">
              <w:rPr>
                <w:rFonts w:cs="Arial" w:hint="eastAsia"/>
                <w:szCs w:val="18"/>
                <w:lang w:eastAsia="zh-CN"/>
              </w:rPr>
              <w:t>(</w:t>
            </w:r>
            <w:r w:rsidRPr="000A0A5F">
              <w:rPr>
                <w:rFonts w:cs="Arial"/>
                <w:szCs w:val="18"/>
                <w:lang w:eastAsia="zh-CN"/>
              </w:rPr>
              <w:t>NOTE 1</w:t>
            </w:r>
            <w:r w:rsidRPr="000A0A5F">
              <w:rPr>
                <w:rFonts w:cs="Arial" w:hint="eastAsia"/>
                <w:szCs w:val="18"/>
                <w:lang w:eastAsia="zh-CN"/>
              </w:rPr>
              <w:t>)</w:t>
            </w:r>
          </w:p>
        </w:tc>
        <w:tc>
          <w:tcPr>
            <w:tcW w:w="1235" w:type="dxa"/>
          </w:tcPr>
          <w:p w:rsidR="00CB0DD7" w:rsidRPr="000A0A5F" w:rsidRDefault="00CB0DD7">
            <w:pPr>
              <w:pStyle w:val="TAC"/>
              <w:jc w:val="left"/>
              <w:rPr>
                <w:rFonts w:eastAsia="Times New Roman"/>
              </w:rPr>
            </w:pPr>
          </w:p>
        </w:tc>
      </w:tr>
      <w:tr w:rsidR="00CB0DD7" w:rsidRPr="000A0A5F" w:rsidTr="00FF0AF8">
        <w:trPr>
          <w:jc w:val="center"/>
        </w:trPr>
        <w:tc>
          <w:tcPr>
            <w:tcW w:w="1661" w:type="dxa"/>
            <w:shd w:val="clear" w:color="auto" w:fill="auto"/>
          </w:tcPr>
          <w:p w:rsidR="00CB0DD7" w:rsidRPr="000A0A5F" w:rsidRDefault="00CB0DD7">
            <w:pPr>
              <w:pStyle w:val="TAL"/>
              <w:rPr>
                <w:lang w:eastAsia="zh-CN"/>
              </w:rPr>
            </w:pPr>
            <w:r w:rsidRPr="000A0A5F">
              <w:rPr>
                <w:lang w:eastAsia="zh-CN"/>
              </w:rPr>
              <w:t>msisdn</w:t>
            </w:r>
          </w:p>
        </w:tc>
        <w:tc>
          <w:tcPr>
            <w:tcW w:w="1134" w:type="dxa"/>
            <w:shd w:val="clear" w:color="auto" w:fill="auto"/>
          </w:tcPr>
          <w:p w:rsidR="00CB0DD7" w:rsidRPr="000A0A5F" w:rsidRDefault="00CB0DD7">
            <w:pPr>
              <w:pStyle w:val="TAL"/>
              <w:rPr>
                <w:rFonts w:hint="eastAsia"/>
                <w:lang w:eastAsia="zh-CN"/>
              </w:rPr>
            </w:pPr>
            <w:r w:rsidRPr="000A0A5F">
              <w:rPr>
                <w:lang w:eastAsia="zh-CN"/>
              </w:rPr>
              <w:t>Msisdn</w:t>
            </w:r>
          </w:p>
        </w:tc>
        <w:tc>
          <w:tcPr>
            <w:tcW w:w="1134" w:type="dxa"/>
          </w:tcPr>
          <w:p w:rsidR="00CB0DD7" w:rsidRPr="000A0A5F" w:rsidRDefault="00CB0DD7">
            <w:pPr>
              <w:pStyle w:val="TAC"/>
              <w:jc w:val="left"/>
              <w:rPr>
                <w:rFonts w:eastAsia="Times New Roman"/>
              </w:rPr>
            </w:pPr>
            <w:r w:rsidRPr="000A0A5F">
              <w:rPr>
                <w:rFonts w:eastAsia="Times New Roman"/>
              </w:rPr>
              <w:t>0..1</w:t>
            </w:r>
          </w:p>
        </w:tc>
        <w:tc>
          <w:tcPr>
            <w:tcW w:w="4395" w:type="dxa"/>
          </w:tcPr>
          <w:p w:rsidR="00CB0DD7" w:rsidRPr="000A0A5F" w:rsidRDefault="00CB0DD7">
            <w:pPr>
              <w:pStyle w:val="TAL"/>
              <w:spacing w:after="60"/>
              <w:rPr>
                <w:rFonts w:cs="Arial" w:hint="eastAsia"/>
                <w:szCs w:val="18"/>
                <w:lang w:eastAsia="zh-CN"/>
              </w:rPr>
            </w:pPr>
            <w:r w:rsidRPr="000A0A5F">
              <w:rPr>
                <w:rFonts w:eastAsia="Times New Roman" w:cs="Arial"/>
                <w:szCs w:val="18"/>
              </w:rPr>
              <w:t>I</w:t>
            </w:r>
            <w:r w:rsidRPr="000A0A5F">
              <w:rPr>
                <w:rFonts w:cs="Arial"/>
                <w:szCs w:val="18"/>
                <w:lang w:eastAsia="zh-CN"/>
              </w:rPr>
              <w:t>dentifies the MS internal PSTN/ISDN number allocated for a UE.</w:t>
            </w:r>
          </w:p>
          <w:p w:rsidR="00CB0DD7" w:rsidRPr="000A0A5F" w:rsidRDefault="00CB0DD7">
            <w:pPr>
              <w:pStyle w:val="TAL"/>
              <w:rPr>
                <w:rFonts w:eastAsia="Times New Roman" w:cs="Arial"/>
                <w:szCs w:val="18"/>
              </w:rPr>
            </w:pPr>
            <w:r w:rsidRPr="000A0A5F">
              <w:rPr>
                <w:rFonts w:cs="Arial" w:hint="eastAsia"/>
                <w:szCs w:val="18"/>
                <w:lang w:eastAsia="zh-CN"/>
              </w:rPr>
              <w:t>(</w:t>
            </w:r>
            <w:r w:rsidRPr="000A0A5F">
              <w:rPr>
                <w:rFonts w:cs="Arial"/>
                <w:szCs w:val="18"/>
                <w:lang w:eastAsia="zh-CN"/>
              </w:rPr>
              <w:t>NOTE 1</w:t>
            </w:r>
            <w:r w:rsidRPr="000A0A5F">
              <w:rPr>
                <w:rFonts w:cs="Arial" w:hint="eastAsia"/>
                <w:szCs w:val="18"/>
                <w:lang w:eastAsia="zh-CN"/>
              </w:rPr>
              <w:t>)</w:t>
            </w:r>
          </w:p>
        </w:tc>
        <w:tc>
          <w:tcPr>
            <w:tcW w:w="1235" w:type="dxa"/>
          </w:tcPr>
          <w:p w:rsidR="00CB0DD7" w:rsidRPr="000A0A5F" w:rsidRDefault="00CB0DD7">
            <w:pPr>
              <w:pStyle w:val="TAC"/>
              <w:jc w:val="left"/>
              <w:rPr>
                <w:rFonts w:eastAsia="Times New Roman"/>
              </w:rPr>
            </w:pPr>
          </w:p>
        </w:tc>
      </w:tr>
      <w:tr w:rsidR="00CB0DD7" w:rsidRPr="000A0A5F" w:rsidTr="00FF0AF8">
        <w:trPr>
          <w:jc w:val="center"/>
        </w:trPr>
        <w:tc>
          <w:tcPr>
            <w:tcW w:w="1661" w:type="dxa"/>
            <w:shd w:val="clear" w:color="auto" w:fill="auto"/>
          </w:tcPr>
          <w:p w:rsidR="00CB0DD7" w:rsidRPr="000A0A5F" w:rsidRDefault="00CB0DD7">
            <w:pPr>
              <w:pStyle w:val="TAL"/>
              <w:rPr>
                <w:lang w:eastAsia="zh-CN"/>
              </w:rPr>
            </w:pPr>
            <w:r w:rsidRPr="000A0A5F">
              <w:rPr>
                <w:lang w:eastAsia="zh-CN"/>
              </w:rPr>
              <w:t>e</w:t>
            </w:r>
            <w:r w:rsidRPr="000A0A5F">
              <w:rPr>
                <w:rFonts w:hint="eastAsia"/>
                <w:lang w:eastAsia="zh-CN"/>
              </w:rPr>
              <w:t>xternalGroup</w:t>
            </w:r>
            <w:r w:rsidRPr="000A0A5F">
              <w:rPr>
                <w:lang w:eastAsia="zh-CN"/>
              </w:rPr>
              <w:t>Id</w:t>
            </w:r>
          </w:p>
        </w:tc>
        <w:tc>
          <w:tcPr>
            <w:tcW w:w="1134" w:type="dxa"/>
            <w:shd w:val="clear" w:color="auto" w:fill="auto"/>
          </w:tcPr>
          <w:p w:rsidR="00CB0DD7" w:rsidRPr="000A0A5F" w:rsidRDefault="00CB0DD7">
            <w:pPr>
              <w:pStyle w:val="TAL"/>
              <w:rPr>
                <w:rFonts w:hint="eastAsia"/>
                <w:lang w:eastAsia="zh-CN"/>
              </w:rPr>
            </w:pPr>
            <w:r w:rsidRPr="000A0A5F">
              <w:rPr>
                <w:lang w:eastAsia="zh-CN"/>
              </w:rPr>
              <w:t>ExternalGroupId</w:t>
            </w:r>
          </w:p>
        </w:tc>
        <w:tc>
          <w:tcPr>
            <w:tcW w:w="1134" w:type="dxa"/>
          </w:tcPr>
          <w:p w:rsidR="00CB0DD7" w:rsidRPr="000A0A5F" w:rsidRDefault="00CB0DD7">
            <w:pPr>
              <w:pStyle w:val="TAC"/>
              <w:jc w:val="left"/>
              <w:rPr>
                <w:rFonts w:eastAsia="Times New Roman"/>
              </w:rPr>
            </w:pPr>
            <w:r w:rsidRPr="000A0A5F">
              <w:rPr>
                <w:rFonts w:eastAsia="Times New Roman"/>
              </w:rPr>
              <w:t>0..1</w:t>
            </w:r>
          </w:p>
        </w:tc>
        <w:tc>
          <w:tcPr>
            <w:tcW w:w="4395" w:type="dxa"/>
          </w:tcPr>
          <w:p w:rsidR="00CB0DD7" w:rsidRPr="000A0A5F" w:rsidRDefault="00CB0DD7">
            <w:pPr>
              <w:pStyle w:val="TAL"/>
              <w:spacing w:after="60"/>
              <w:rPr>
                <w:rFonts w:eastAsia="Times New Roman" w:cs="Arial"/>
                <w:szCs w:val="18"/>
              </w:rPr>
            </w:pPr>
            <w:r w:rsidRPr="000A0A5F">
              <w:rPr>
                <w:rFonts w:eastAsia="Times New Roman" w:cs="Arial"/>
                <w:szCs w:val="18"/>
              </w:rPr>
              <w:t xml:space="preserve">Identifies a user group as defined in </w:t>
            </w:r>
            <w:r w:rsidR="000902D9" w:rsidRPr="000A0A5F">
              <w:rPr>
                <w:rFonts w:eastAsia="Times New Roman" w:cs="Arial"/>
                <w:szCs w:val="18"/>
              </w:rPr>
              <w:t>Clause </w:t>
            </w:r>
            <w:r w:rsidRPr="000A0A5F">
              <w:rPr>
                <w:rFonts w:eastAsia="Times New Roman" w:cs="Arial"/>
                <w:szCs w:val="18"/>
              </w:rPr>
              <w:t>4.6.2 of 3GPP TS 23.682 [2].</w:t>
            </w:r>
          </w:p>
          <w:p w:rsidR="00CB0DD7" w:rsidRPr="000A0A5F" w:rsidRDefault="00CB0DD7">
            <w:pPr>
              <w:pStyle w:val="TAL"/>
              <w:rPr>
                <w:rFonts w:eastAsia="Times New Roman" w:cs="Arial"/>
                <w:szCs w:val="18"/>
              </w:rPr>
            </w:pPr>
            <w:r w:rsidRPr="000A0A5F">
              <w:rPr>
                <w:rFonts w:cs="Arial" w:hint="eastAsia"/>
                <w:szCs w:val="18"/>
                <w:lang w:eastAsia="zh-CN"/>
              </w:rPr>
              <w:t>(</w:t>
            </w:r>
            <w:r w:rsidRPr="000A0A5F">
              <w:rPr>
                <w:rFonts w:cs="Arial"/>
                <w:szCs w:val="18"/>
                <w:lang w:eastAsia="zh-CN"/>
              </w:rPr>
              <w:t>NOTE 1</w:t>
            </w:r>
            <w:r w:rsidRPr="000A0A5F">
              <w:rPr>
                <w:rFonts w:cs="Arial" w:hint="eastAsia"/>
                <w:szCs w:val="18"/>
                <w:lang w:eastAsia="zh-CN"/>
              </w:rPr>
              <w:t>)</w:t>
            </w:r>
          </w:p>
        </w:tc>
        <w:tc>
          <w:tcPr>
            <w:tcW w:w="1235" w:type="dxa"/>
          </w:tcPr>
          <w:p w:rsidR="00CB0DD7" w:rsidRPr="000A0A5F" w:rsidRDefault="00CB0DD7">
            <w:pPr>
              <w:pStyle w:val="TAC"/>
              <w:jc w:val="left"/>
              <w:rPr>
                <w:rFonts w:eastAsia="Times New Roman"/>
              </w:rPr>
            </w:pPr>
          </w:p>
        </w:tc>
      </w:tr>
      <w:tr w:rsidR="00CB0DD7" w:rsidRPr="000A0A5F" w:rsidTr="00FF0AF8">
        <w:trPr>
          <w:jc w:val="center"/>
        </w:trPr>
        <w:tc>
          <w:tcPr>
            <w:tcW w:w="1661" w:type="dxa"/>
            <w:shd w:val="clear" w:color="auto" w:fill="auto"/>
          </w:tcPr>
          <w:p w:rsidR="00CB0DD7" w:rsidRPr="000A0A5F" w:rsidRDefault="00CB0DD7">
            <w:pPr>
              <w:pStyle w:val="TAL"/>
              <w:rPr>
                <w:rFonts w:eastAsia="Times New Roman"/>
              </w:rPr>
            </w:pPr>
            <w:r w:rsidRPr="000A0A5F">
              <w:rPr>
                <w:lang w:eastAsia="zh-CN"/>
              </w:rPr>
              <w:t>m</w:t>
            </w:r>
            <w:r w:rsidRPr="000A0A5F">
              <w:rPr>
                <w:rFonts w:hint="eastAsia"/>
                <w:lang w:eastAsia="zh-CN"/>
              </w:rPr>
              <w:t>aximumLat</w:t>
            </w:r>
            <w:r w:rsidRPr="000A0A5F">
              <w:rPr>
                <w:lang w:eastAsia="zh-CN"/>
              </w:rPr>
              <w:t>ency</w:t>
            </w:r>
          </w:p>
        </w:tc>
        <w:tc>
          <w:tcPr>
            <w:tcW w:w="1134" w:type="dxa"/>
            <w:shd w:val="clear" w:color="auto" w:fill="auto"/>
          </w:tcPr>
          <w:p w:rsidR="00CB0DD7" w:rsidRPr="000A0A5F" w:rsidRDefault="00CB0DD7">
            <w:pPr>
              <w:pStyle w:val="TAL"/>
              <w:rPr>
                <w:rFonts w:eastAsia="Times New Roman"/>
              </w:rPr>
            </w:pPr>
            <w:r w:rsidRPr="000A0A5F">
              <w:rPr>
                <w:lang w:eastAsia="zh-CN"/>
              </w:rPr>
              <w:t>DurationSec</w:t>
            </w:r>
          </w:p>
        </w:tc>
        <w:tc>
          <w:tcPr>
            <w:tcW w:w="1134" w:type="dxa"/>
          </w:tcPr>
          <w:p w:rsidR="00CB0DD7" w:rsidRPr="000A0A5F" w:rsidRDefault="00CB0DD7">
            <w:pPr>
              <w:pStyle w:val="TAC"/>
              <w:jc w:val="left"/>
              <w:rPr>
                <w:rFonts w:eastAsia="Times New Roman"/>
              </w:rPr>
            </w:pPr>
            <w:r w:rsidRPr="000A0A5F">
              <w:rPr>
                <w:rFonts w:eastAsia="Times New Roman"/>
              </w:rPr>
              <w:t>0..1</w:t>
            </w:r>
          </w:p>
        </w:tc>
        <w:tc>
          <w:tcPr>
            <w:tcW w:w="4395" w:type="dxa"/>
          </w:tcPr>
          <w:p w:rsidR="00CB0DD7" w:rsidRPr="000A0A5F" w:rsidRDefault="00CB0DD7">
            <w:pPr>
              <w:pStyle w:val="TAL"/>
              <w:rPr>
                <w:rFonts w:eastAsia="Times New Roman" w:cs="Arial"/>
                <w:szCs w:val="18"/>
              </w:rPr>
            </w:pPr>
            <w:r w:rsidRPr="000A0A5F">
              <w:rPr>
                <w:rFonts w:cs="Arial"/>
                <w:szCs w:val="18"/>
                <w:lang w:eastAsia="zh-CN"/>
              </w:rPr>
              <w:t>This parameter may be included to identify the maximum delay acceptable for downlink data transfers.</w:t>
            </w:r>
          </w:p>
        </w:tc>
        <w:tc>
          <w:tcPr>
            <w:tcW w:w="1235" w:type="dxa"/>
          </w:tcPr>
          <w:p w:rsidR="00CB0DD7" w:rsidRPr="000A0A5F" w:rsidRDefault="00CB0DD7">
            <w:pPr>
              <w:pStyle w:val="TAC"/>
              <w:jc w:val="left"/>
              <w:rPr>
                <w:rFonts w:eastAsia="Times New Roman"/>
              </w:rPr>
            </w:pPr>
          </w:p>
        </w:tc>
      </w:tr>
      <w:tr w:rsidR="00CB0DD7" w:rsidRPr="000A0A5F" w:rsidTr="00FF0AF8">
        <w:trPr>
          <w:jc w:val="center"/>
        </w:trPr>
        <w:tc>
          <w:tcPr>
            <w:tcW w:w="1661" w:type="dxa"/>
            <w:shd w:val="clear" w:color="auto" w:fill="auto"/>
          </w:tcPr>
          <w:p w:rsidR="00CB0DD7" w:rsidRPr="000A0A5F" w:rsidRDefault="00CB0DD7">
            <w:pPr>
              <w:pStyle w:val="TAL"/>
              <w:rPr>
                <w:rFonts w:eastAsia="Times New Roman"/>
              </w:rPr>
            </w:pPr>
            <w:r w:rsidRPr="000A0A5F">
              <w:rPr>
                <w:lang w:eastAsia="zh-CN"/>
              </w:rPr>
              <w:t>maximumResponseTime</w:t>
            </w:r>
          </w:p>
        </w:tc>
        <w:tc>
          <w:tcPr>
            <w:tcW w:w="1134" w:type="dxa"/>
            <w:shd w:val="clear" w:color="auto" w:fill="auto"/>
          </w:tcPr>
          <w:p w:rsidR="00CB0DD7" w:rsidRPr="000A0A5F" w:rsidRDefault="00CB0DD7">
            <w:pPr>
              <w:pStyle w:val="TAL"/>
              <w:rPr>
                <w:rFonts w:eastAsia="Times New Roman"/>
              </w:rPr>
            </w:pPr>
            <w:r w:rsidRPr="000A0A5F">
              <w:rPr>
                <w:lang w:eastAsia="zh-CN"/>
              </w:rPr>
              <w:t>DurationSec</w:t>
            </w:r>
          </w:p>
        </w:tc>
        <w:tc>
          <w:tcPr>
            <w:tcW w:w="1134" w:type="dxa"/>
          </w:tcPr>
          <w:p w:rsidR="00CB0DD7" w:rsidRPr="000A0A5F" w:rsidRDefault="00CB0DD7">
            <w:pPr>
              <w:pStyle w:val="TAC"/>
              <w:jc w:val="left"/>
              <w:rPr>
                <w:rFonts w:eastAsia="Times New Roman"/>
              </w:rPr>
            </w:pPr>
            <w:r w:rsidRPr="000A0A5F">
              <w:rPr>
                <w:rFonts w:eastAsia="Times New Roman"/>
              </w:rPr>
              <w:t>0..1</w:t>
            </w:r>
          </w:p>
        </w:tc>
        <w:tc>
          <w:tcPr>
            <w:tcW w:w="4395" w:type="dxa"/>
          </w:tcPr>
          <w:p w:rsidR="00CB0DD7" w:rsidRPr="000A0A5F" w:rsidRDefault="00CB0DD7">
            <w:pPr>
              <w:pStyle w:val="TAL"/>
              <w:rPr>
                <w:rFonts w:eastAsia="Times New Roman" w:cs="Arial"/>
                <w:szCs w:val="18"/>
              </w:rPr>
            </w:pPr>
            <w:r w:rsidRPr="000A0A5F">
              <w:rPr>
                <w:rFonts w:cs="Arial"/>
                <w:szCs w:val="18"/>
                <w:lang w:eastAsia="zh-CN"/>
              </w:rPr>
              <w:t>This parameter may be included to identify the length of time for which the UE stays reachable to allow the SCS/AS to reliably deliver the required downlink data.</w:t>
            </w:r>
          </w:p>
        </w:tc>
        <w:tc>
          <w:tcPr>
            <w:tcW w:w="1235" w:type="dxa"/>
          </w:tcPr>
          <w:p w:rsidR="00CB0DD7" w:rsidRPr="000A0A5F" w:rsidRDefault="00CB0DD7">
            <w:pPr>
              <w:pStyle w:val="TAC"/>
              <w:jc w:val="left"/>
              <w:rPr>
                <w:rFonts w:eastAsia="Times New Roman"/>
              </w:rPr>
            </w:pPr>
          </w:p>
        </w:tc>
      </w:tr>
      <w:tr w:rsidR="00CB0DD7" w:rsidRPr="000A0A5F" w:rsidTr="00FF0AF8">
        <w:trPr>
          <w:jc w:val="center"/>
        </w:trPr>
        <w:tc>
          <w:tcPr>
            <w:tcW w:w="1661" w:type="dxa"/>
            <w:shd w:val="clear" w:color="auto" w:fill="auto"/>
          </w:tcPr>
          <w:p w:rsidR="00CB0DD7" w:rsidRPr="000A0A5F" w:rsidRDefault="00CB0DD7">
            <w:pPr>
              <w:pStyle w:val="TAL"/>
              <w:rPr>
                <w:rFonts w:eastAsia="Times New Roman"/>
              </w:rPr>
            </w:pPr>
            <w:r w:rsidRPr="000A0A5F">
              <w:rPr>
                <w:lang w:eastAsia="zh-CN"/>
              </w:rPr>
              <w:t>s</w:t>
            </w:r>
            <w:r w:rsidRPr="000A0A5F">
              <w:rPr>
                <w:rFonts w:hint="eastAsia"/>
                <w:lang w:eastAsia="zh-CN"/>
              </w:rPr>
              <w:t>uggestedNumber</w:t>
            </w:r>
            <w:r w:rsidRPr="000A0A5F">
              <w:rPr>
                <w:lang w:eastAsia="zh-CN"/>
              </w:rPr>
              <w:t>OfDlPackets</w:t>
            </w:r>
          </w:p>
        </w:tc>
        <w:tc>
          <w:tcPr>
            <w:tcW w:w="1134" w:type="dxa"/>
            <w:shd w:val="clear" w:color="auto" w:fill="auto"/>
          </w:tcPr>
          <w:p w:rsidR="00CB0DD7" w:rsidRPr="000A0A5F" w:rsidRDefault="00CB0DD7">
            <w:pPr>
              <w:pStyle w:val="TAL"/>
              <w:rPr>
                <w:rFonts w:eastAsia="Times New Roman"/>
              </w:rPr>
            </w:pPr>
            <w:r w:rsidRPr="000A0A5F">
              <w:rPr>
                <w:lang w:eastAsia="zh-CN"/>
              </w:rPr>
              <w:t>integer</w:t>
            </w:r>
          </w:p>
        </w:tc>
        <w:tc>
          <w:tcPr>
            <w:tcW w:w="1134" w:type="dxa"/>
          </w:tcPr>
          <w:p w:rsidR="00CB0DD7" w:rsidRPr="000A0A5F" w:rsidRDefault="00CB0DD7">
            <w:pPr>
              <w:pStyle w:val="TAC"/>
              <w:jc w:val="left"/>
              <w:rPr>
                <w:rFonts w:eastAsia="Times New Roman"/>
              </w:rPr>
            </w:pPr>
            <w:r w:rsidRPr="000A0A5F">
              <w:rPr>
                <w:rFonts w:eastAsia="Times New Roman"/>
              </w:rPr>
              <w:t>0..1</w:t>
            </w:r>
          </w:p>
        </w:tc>
        <w:tc>
          <w:tcPr>
            <w:tcW w:w="4395" w:type="dxa"/>
          </w:tcPr>
          <w:p w:rsidR="00CB0DD7" w:rsidRPr="000A0A5F" w:rsidRDefault="00CB0DD7">
            <w:pPr>
              <w:pStyle w:val="TAL"/>
              <w:rPr>
                <w:rFonts w:eastAsia="Times New Roman" w:cs="Arial"/>
                <w:szCs w:val="18"/>
              </w:rPr>
            </w:pPr>
            <w:r w:rsidRPr="000A0A5F">
              <w:rPr>
                <w:rFonts w:cs="Arial"/>
                <w:szCs w:val="18"/>
                <w:lang w:eastAsia="zh-CN"/>
              </w:rPr>
              <w:t>This parameter may be included to identify the number of packets that the serving gateway shall buffer in case that the UE is not reachable.</w:t>
            </w:r>
          </w:p>
        </w:tc>
        <w:tc>
          <w:tcPr>
            <w:tcW w:w="1235" w:type="dxa"/>
          </w:tcPr>
          <w:p w:rsidR="00CB0DD7" w:rsidRPr="000A0A5F" w:rsidRDefault="00CB0DD7">
            <w:pPr>
              <w:pStyle w:val="TAC"/>
              <w:jc w:val="left"/>
              <w:rPr>
                <w:rFonts w:eastAsia="Times New Roman"/>
              </w:rPr>
            </w:pPr>
          </w:p>
        </w:tc>
      </w:tr>
      <w:tr w:rsidR="00CB0DD7" w:rsidRPr="000A0A5F" w:rsidTr="00FF0AF8">
        <w:trPr>
          <w:jc w:val="center"/>
        </w:trPr>
        <w:tc>
          <w:tcPr>
            <w:tcW w:w="1661" w:type="dxa"/>
            <w:shd w:val="clear" w:color="auto" w:fill="auto"/>
          </w:tcPr>
          <w:p w:rsidR="00CB0DD7" w:rsidRPr="000A0A5F" w:rsidRDefault="00CB0DD7">
            <w:pPr>
              <w:pStyle w:val="TAL"/>
              <w:rPr>
                <w:rFonts w:hint="eastAsia"/>
                <w:lang w:eastAsia="zh-CN"/>
              </w:rPr>
            </w:pPr>
            <w:r w:rsidRPr="000A0A5F">
              <w:rPr>
                <w:rFonts w:hint="eastAsia"/>
                <w:lang w:eastAsia="zh-CN"/>
              </w:rPr>
              <w:t>groupReportingGuardTime</w:t>
            </w:r>
          </w:p>
        </w:tc>
        <w:tc>
          <w:tcPr>
            <w:tcW w:w="1134" w:type="dxa"/>
            <w:shd w:val="clear" w:color="auto" w:fill="auto"/>
          </w:tcPr>
          <w:p w:rsidR="00CB0DD7" w:rsidRPr="000A0A5F" w:rsidRDefault="00CB0DD7">
            <w:pPr>
              <w:pStyle w:val="TAL"/>
              <w:rPr>
                <w:rFonts w:eastAsia="Times New Roman"/>
              </w:rPr>
            </w:pPr>
            <w:r w:rsidRPr="000A0A5F">
              <w:rPr>
                <w:lang w:eastAsia="zh-CN"/>
              </w:rPr>
              <w:t>DurationSec</w:t>
            </w:r>
          </w:p>
        </w:tc>
        <w:tc>
          <w:tcPr>
            <w:tcW w:w="1134" w:type="dxa"/>
          </w:tcPr>
          <w:p w:rsidR="00CB0DD7" w:rsidRPr="000A0A5F" w:rsidRDefault="00CB0DD7">
            <w:pPr>
              <w:pStyle w:val="TAC"/>
              <w:jc w:val="left"/>
              <w:rPr>
                <w:rFonts w:eastAsia="Times New Roman"/>
              </w:rPr>
            </w:pPr>
            <w:r w:rsidRPr="000A0A5F">
              <w:rPr>
                <w:rFonts w:eastAsia="Times New Roman"/>
              </w:rPr>
              <w:t>0..1</w:t>
            </w:r>
          </w:p>
        </w:tc>
        <w:tc>
          <w:tcPr>
            <w:tcW w:w="4395" w:type="dxa"/>
          </w:tcPr>
          <w:p w:rsidR="00CB0DD7" w:rsidRPr="000A0A5F" w:rsidRDefault="00CB0DD7">
            <w:pPr>
              <w:pStyle w:val="TAL"/>
              <w:rPr>
                <w:rFonts w:eastAsia="Times New Roman" w:cs="Arial"/>
                <w:szCs w:val="18"/>
              </w:rPr>
            </w:pPr>
            <w:r w:rsidRPr="000A0A5F">
              <w:rPr>
                <w:rFonts w:cs="Arial"/>
                <w:szCs w:val="18"/>
                <w:lang w:eastAsia="zh-CN"/>
              </w:rPr>
              <w:t>Identifies the time for which the SCEF can aggregate the reports detected by the UEs in a group and report them together to the SCS/AS, as specified in clause 5.6.0 of 3GPP TS 23.682 [</w:t>
            </w:r>
            <w:r w:rsidRPr="000A0A5F">
              <w:rPr>
                <w:rFonts w:cs="Arial"/>
                <w:szCs w:val="18"/>
                <w:lang w:val="en-US" w:eastAsia="zh-CN"/>
              </w:rPr>
              <w:t>2</w:t>
            </w:r>
            <w:r w:rsidRPr="000A0A5F">
              <w:rPr>
                <w:rFonts w:cs="Arial"/>
                <w:szCs w:val="18"/>
                <w:lang w:eastAsia="zh-CN"/>
              </w:rPr>
              <w:t>].</w:t>
            </w:r>
          </w:p>
        </w:tc>
        <w:tc>
          <w:tcPr>
            <w:tcW w:w="1235" w:type="dxa"/>
          </w:tcPr>
          <w:p w:rsidR="00CB0DD7" w:rsidRPr="000A0A5F" w:rsidRDefault="00CB0DD7">
            <w:pPr>
              <w:pStyle w:val="TAC"/>
              <w:jc w:val="left"/>
              <w:rPr>
                <w:rFonts w:eastAsia="Times New Roman"/>
              </w:rPr>
            </w:pPr>
          </w:p>
        </w:tc>
      </w:tr>
      <w:tr w:rsidR="00CB0DD7" w:rsidRPr="000A0A5F" w:rsidTr="00FF0AF8">
        <w:trPr>
          <w:jc w:val="center"/>
        </w:trPr>
        <w:tc>
          <w:tcPr>
            <w:tcW w:w="1661" w:type="dxa"/>
            <w:shd w:val="clear" w:color="auto" w:fill="auto"/>
          </w:tcPr>
          <w:p w:rsidR="00CB0DD7" w:rsidRPr="000A0A5F" w:rsidRDefault="00CB0DD7">
            <w:pPr>
              <w:pStyle w:val="TAL"/>
              <w:rPr>
                <w:rFonts w:hint="eastAsia"/>
                <w:lang w:eastAsia="zh-CN"/>
              </w:rPr>
            </w:pPr>
            <w:r w:rsidRPr="000A0A5F">
              <w:rPr>
                <w:rFonts w:hint="eastAsia"/>
                <w:lang w:eastAsia="zh-CN"/>
              </w:rPr>
              <w:t>notification</w:t>
            </w:r>
            <w:r w:rsidRPr="000A0A5F">
              <w:rPr>
                <w:lang w:eastAsia="zh-CN"/>
              </w:rPr>
              <w:t>Destination</w:t>
            </w:r>
          </w:p>
        </w:tc>
        <w:tc>
          <w:tcPr>
            <w:tcW w:w="1134" w:type="dxa"/>
            <w:shd w:val="clear" w:color="auto" w:fill="auto"/>
          </w:tcPr>
          <w:p w:rsidR="00CB0DD7" w:rsidRPr="000A0A5F" w:rsidRDefault="00CB0DD7">
            <w:pPr>
              <w:pStyle w:val="TAL"/>
              <w:rPr>
                <w:lang w:eastAsia="zh-CN"/>
              </w:rPr>
            </w:pPr>
            <w:r w:rsidRPr="000A0A5F">
              <w:rPr>
                <w:rFonts w:hint="eastAsia"/>
                <w:lang w:eastAsia="zh-CN"/>
              </w:rPr>
              <w:t>Link</w:t>
            </w:r>
          </w:p>
        </w:tc>
        <w:tc>
          <w:tcPr>
            <w:tcW w:w="1134" w:type="dxa"/>
          </w:tcPr>
          <w:p w:rsidR="00CB0DD7" w:rsidRPr="000A0A5F" w:rsidRDefault="00CB0DD7">
            <w:pPr>
              <w:pStyle w:val="TAC"/>
              <w:jc w:val="left"/>
              <w:rPr>
                <w:rFonts w:eastAsia="Times New Roman"/>
              </w:rPr>
            </w:pPr>
            <w:r w:rsidRPr="000A0A5F">
              <w:rPr>
                <w:rFonts w:hint="eastAsia"/>
                <w:lang w:eastAsia="zh-CN"/>
              </w:rPr>
              <w:t>0..1</w:t>
            </w:r>
          </w:p>
        </w:tc>
        <w:tc>
          <w:tcPr>
            <w:tcW w:w="4395" w:type="dxa"/>
          </w:tcPr>
          <w:p w:rsidR="00CB0DD7" w:rsidRPr="000A0A5F" w:rsidRDefault="00CB0DD7">
            <w:pPr>
              <w:pStyle w:val="TAL"/>
              <w:rPr>
                <w:rFonts w:cs="Arial"/>
                <w:szCs w:val="18"/>
                <w:lang w:eastAsia="zh-CN"/>
              </w:rPr>
            </w:pPr>
            <w:r w:rsidRPr="000A0A5F">
              <w:rPr>
                <w:rFonts w:cs="Arial" w:hint="eastAsia"/>
                <w:szCs w:val="18"/>
                <w:lang w:eastAsia="zh-CN"/>
              </w:rPr>
              <w:t xml:space="preserve">A URI indicating the notification destination </w:t>
            </w:r>
            <w:r w:rsidRPr="000A0A5F">
              <w:rPr>
                <w:rFonts w:cs="Arial"/>
                <w:szCs w:val="18"/>
                <w:lang w:eastAsia="zh-CN"/>
              </w:rPr>
              <w:t xml:space="preserve">where </w:t>
            </w:r>
            <w:r w:rsidRPr="000A0A5F">
              <w:rPr>
                <w:rFonts w:cs="Arial" w:hint="eastAsia"/>
                <w:szCs w:val="18"/>
                <w:lang w:eastAsia="zh-CN"/>
              </w:rPr>
              <w:t xml:space="preserve">T8 </w:t>
            </w:r>
            <w:r w:rsidRPr="000A0A5F">
              <w:rPr>
                <w:rFonts w:cs="Arial"/>
                <w:szCs w:val="18"/>
                <w:lang w:eastAsia="zh-CN"/>
              </w:rPr>
              <w:t>notification requests shall be delivered. The attribute shall be provided if the attribute "</w:t>
            </w:r>
            <w:r w:rsidRPr="000A0A5F">
              <w:rPr>
                <w:lang w:eastAsia="zh-CN"/>
              </w:rPr>
              <w:t>e</w:t>
            </w:r>
            <w:r w:rsidRPr="000A0A5F">
              <w:rPr>
                <w:rFonts w:hint="eastAsia"/>
                <w:lang w:eastAsia="zh-CN"/>
              </w:rPr>
              <w:t>xternalGroup</w:t>
            </w:r>
            <w:r w:rsidRPr="000A0A5F">
              <w:rPr>
                <w:lang w:eastAsia="zh-CN"/>
              </w:rPr>
              <w:t>Id</w:t>
            </w:r>
            <w:r w:rsidRPr="000A0A5F">
              <w:rPr>
                <w:rFonts w:cs="Arial"/>
                <w:szCs w:val="18"/>
                <w:lang w:eastAsia="zh-CN"/>
              </w:rPr>
              <w:t>" is provided.</w:t>
            </w:r>
          </w:p>
        </w:tc>
        <w:tc>
          <w:tcPr>
            <w:tcW w:w="1235" w:type="dxa"/>
          </w:tcPr>
          <w:p w:rsidR="00CB0DD7" w:rsidRPr="000A0A5F" w:rsidRDefault="00CB0DD7">
            <w:pPr>
              <w:pStyle w:val="TAC"/>
              <w:jc w:val="left"/>
              <w:rPr>
                <w:rFonts w:eastAsia="Times New Roman"/>
              </w:rPr>
            </w:pPr>
          </w:p>
        </w:tc>
      </w:tr>
      <w:tr w:rsidR="00CB0DD7" w:rsidRPr="000A0A5F" w:rsidTr="00FF0AF8">
        <w:trPr>
          <w:jc w:val="center"/>
        </w:trPr>
        <w:tc>
          <w:tcPr>
            <w:tcW w:w="1661" w:type="dxa"/>
            <w:shd w:val="clear" w:color="auto" w:fill="auto"/>
          </w:tcPr>
          <w:p w:rsidR="00CB0DD7" w:rsidRPr="000A0A5F" w:rsidRDefault="00CB0DD7">
            <w:pPr>
              <w:pStyle w:val="TAL"/>
              <w:rPr>
                <w:rFonts w:hint="eastAsia"/>
                <w:lang w:eastAsia="zh-CN"/>
              </w:rPr>
            </w:pPr>
            <w:r w:rsidRPr="000A0A5F">
              <w:t>requestTestNotification</w:t>
            </w:r>
          </w:p>
        </w:tc>
        <w:tc>
          <w:tcPr>
            <w:tcW w:w="1134" w:type="dxa"/>
            <w:shd w:val="clear" w:color="auto" w:fill="auto"/>
          </w:tcPr>
          <w:p w:rsidR="00CB0DD7" w:rsidRPr="000A0A5F" w:rsidRDefault="00CB0DD7">
            <w:pPr>
              <w:pStyle w:val="TAL"/>
              <w:rPr>
                <w:lang w:eastAsia="zh-CN"/>
              </w:rPr>
            </w:pPr>
            <w:r w:rsidRPr="000A0A5F">
              <w:t>boolean</w:t>
            </w:r>
          </w:p>
        </w:tc>
        <w:tc>
          <w:tcPr>
            <w:tcW w:w="1134" w:type="dxa"/>
          </w:tcPr>
          <w:p w:rsidR="00CB0DD7" w:rsidRPr="000A0A5F" w:rsidRDefault="00CB0DD7">
            <w:pPr>
              <w:pStyle w:val="TAC"/>
              <w:jc w:val="left"/>
              <w:rPr>
                <w:rFonts w:eastAsia="Times New Roman"/>
              </w:rPr>
            </w:pPr>
            <w:r w:rsidRPr="000A0A5F">
              <w:t>0..1</w:t>
            </w:r>
          </w:p>
        </w:tc>
        <w:tc>
          <w:tcPr>
            <w:tcW w:w="4395" w:type="dxa"/>
          </w:tcPr>
          <w:p w:rsidR="00CB0DD7" w:rsidRPr="000A0A5F" w:rsidRDefault="00CB0DD7">
            <w:pPr>
              <w:pStyle w:val="TAL"/>
              <w:rPr>
                <w:lang w:eastAsia="zh-CN"/>
              </w:rPr>
            </w:pPr>
            <w:r w:rsidRPr="000A0A5F">
              <w:rPr>
                <w:lang w:eastAsia="zh-CN"/>
              </w:rPr>
              <w:t>Set to true by the SCS/AS to request the SCEF to send a test notification as defined in clause</w:t>
            </w:r>
            <w:r w:rsidRPr="000A0A5F">
              <w:rPr>
                <w:lang w:val="en-US" w:eastAsia="zh-CN"/>
              </w:rPr>
              <w:t> </w:t>
            </w:r>
            <w:r w:rsidRPr="000A0A5F">
              <w:rPr>
                <w:lang w:eastAsia="zh-CN"/>
              </w:rPr>
              <w:t>5.2.5.3. Set to false or omitted otherwise.</w:t>
            </w:r>
          </w:p>
          <w:p w:rsidR="00CB0DD7" w:rsidRPr="000A0A5F" w:rsidRDefault="00CB0DD7">
            <w:pPr>
              <w:pStyle w:val="TAL"/>
              <w:rPr>
                <w:rFonts w:cs="Arial"/>
                <w:szCs w:val="18"/>
                <w:lang w:eastAsia="zh-CN"/>
              </w:rPr>
            </w:pPr>
            <w:r w:rsidRPr="000A0A5F">
              <w:rPr>
                <w:rFonts w:cs="Arial"/>
                <w:szCs w:val="18"/>
                <w:lang w:eastAsia="zh-CN"/>
              </w:rPr>
              <w:t>The attribute may only be provided if the attribute "</w:t>
            </w:r>
            <w:r w:rsidRPr="000A0A5F">
              <w:rPr>
                <w:lang w:eastAsia="zh-CN"/>
              </w:rPr>
              <w:t>e</w:t>
            </w:r>
            <w:r w:rsidRPr="000A0A5F">
              <w:rPr>
                <w:rFonts w:hint="eastAsia"/>
                <w:lang w:eastAsia="zh-CN"/>
              </w:rPr>
              <w:t>xternalGroup</w:t>
            </w:r>
            <w:r w:rsidRPr="000A0A5F">
              <w:rPr>
                <w:lang w:eastAsia="zh-CN"/>
              </w:rPr>
              <w:t>Id</w:t>
            </w:r>
            <w:r w:rsidRPr="000A0A5F">
              <w:rPr>
                <w:rFonts w:cs="Arial"/>
                <w:szCs w:val="18"/>
                <w:lang w:eastAsia="zh-CN"/>
              </w:rPr>
              <w:t>" is provided.</w:t>
            </w:r>
          </w:p>
        </w:tc>
        <w:tc>
          <w:tcPr>
            <w:tcW w:w="1235" w:type="dxa"/>
          </w:tcPr>
          <w:p w:rsidR="00CB0DD7" w:rsidRPr="000A0A5F" w:rsidRDefault="00CB0DD7">
            <w:pPr>
              <w:pStyle w:val="TAC"/>
              <w:jc w:val="left"/>
              <w:rPr>
                <w:rFonts w:eastAsia="Times New Roman"/>
              </w:rPr>
            </w:pPr>
            <w:r w:rsidRPr="000A0A5F">
              <w:t>Notification_test_event</w:t>
            </w:r>
          </w:p>
        </w:tc>
      </w:tr>
      <w:tr w:rsidR="00CB0DD7" w:rsidRPr="000A0A5F" w:rsidTr="00FF0AF8">
        <w:trPr>
          <w:jc w:val="center"/>
        </w:trPr>
        <w:tc>
          <w:tcPr>
            <w:tcW w:w="1661" w:type="dxa"/>
            <w:shd w:val="clear" w:color="auto" w:fill="auto"/>
          </w:tcPr>
          <w:p w:rsidR="00CB0DD7" w:rsidRPr="000A0A5F" w:rsidRDefault="00CB0DD7">
            <w:pPr>
              <w:pStyle w:val="TAL"/>
              <w:rPr>
                <w:rFonts w:hint="eastAsia"/>
                <w:lang w:eastAsia="zh-CN"/>
              </w:rPr>
            </w:pPr>
            <w:r w:rsidRPr="000A0A5F">
              <w:rPr>
                <w:lang w:eastAsia="zh-CN"/>
              </w:rPr>
              <w:t>websockNotifConfig</w:t>
            </w:r>
          </w:p>
        </w:tc>
        <w:tc>
          <w:tcPr>
            <w:tcW w:w="1134" w:type="dxa"/>
            <w:shd w:val="clear" w:color="auto" w:fill="auto"/>
          </w:tcPr>
          <w:p w:rsidR="00CB0DD7" w:rsidRPr="000A0A5F" w:rsidRDefault="00CB0DD7">
            <w:pPr>
              <w:pStyle w:val="TAL"/>
              <w:rPr>
                <w:lang w:eastAsia="zh-CN"/>
              </w:rPr>
            </w:pPr>
            <w:r w:rsidRPr="000A0A5F">
              <w:rPr>
                <w:lang w:eastAsia="zh-CN"/>
              </w:rPr>
              <w:t>WebsockNotifConfig</w:t>
            </w:r>
          </w:p>
        </w:tc>
        <w:tc>
          <w:tcPr>
            <w:tcW w:w="1134" w:type="dxa"/>
          </w:tcPr>
          <w:p w:rsidR="00CB0DD7" w:rsidRPr="000A0A5F" w:rsidRDefault="00CB0DD7">
            <w:pPr>
              <w:pStyle w:val="TAC"/>
              <w:jc w:val="left"/>
              <w:rPr>
                <w:rFonts w:eastAsia="Times New Roman"/>
              </w:rPr>
            </w:pPr>
            <w:r w:rsidRPr="000A0A5F">
              <w:rPr>
                <w:lang w:eastAsia="zh-CN"/>
              </w:rPr>
              <w:t>0..1</w:t>
            </w:r>
          </w:p>
        </w:tc>
        <w:tc>
          <w:tcPr>
            <w:tcW w:w="4395" w:type="dxa"/>
          </w:tcPr>
          <w:p w:rsidR="00CB0DD7" w:rsidRPr="000A0A5F" w:rsidRDefault="00CB0DD7">
            <w:pPr>
              <w:pStyle w:val="TAL"/>
              <w:rPr>
                <w:rFonts w:cs="Arial"/>
                <w:szCs w:val="18"/>
                <w:lang w:eastAsia="zh-CN"/>
              </w:rPr>
            </w:pPr>
            <w:r w:rsidRPr="000A0A5F">
              <w:rPr>
                <w:rFonts w:cs="Arial"/>
                <w:szCs w:val="18"/>
                <w:lang w:eastAsia="zh-CN"/>
              </w:rPr>
              <w:t>Configuration parameters to set up notification delivery over Websocket protocol as defined in clause</w:t>
            </w:r>
            <w:r w:rsidRPr="000A0A5F">
              <w:rPr>
                <w:rFonts w:cs="Arial"/>
                <w:szCs w:val="18"/>
                <w:lang w:val="en-US" w:eastAsia="zh-CN"/>
              </w:rPr>
              <w:t> </w:t>
            </w:r>
            <w:r w:rsidRPr="000A0A5F">
              <w:rPr>
                <w:rFonts w:cs="Arial"/>
                <w:szCs w:val="18"/>
                <w:lang w:eastAsia="zh-CN"/>
              </w:rPr>
              <w:t>5.2.5.4.</w:t>
            </w:r>
          </w:p>
          <w:p w:rsidR="00CB0DD7" w:rsidRPr="000A0A5F" w:rsidRDefault="00CB0DD7">
            <w:pPr>
              <w:pStyle w:val="TAL"/>
              <w:rPr>
                <w:rFonts w:cs="Arial"/>
                <w:szCs w:val="18"/>
                <w:lang w:eastAsia="zh-CN"/>
              </w:rPr>
            </w:pPr>
            <w:r w:rsidRPr="000A0A5F">
              <w:rPr>
                <w:rFonts w:cs="Arial"/>
                <w:szCs w:val="18"/>
                <w:lang w:eastAsia="zh-CN"/>
              </w:rPr>
              <w:t>The attribute may only be provided if the attribute "</w:t>
            </w:r>
            <w:r w:rsidRPr="000A0A5F">
              <w:rPr>
                <w:lang w:eastAsia="zh-CN"/>
              </w:rPr>
              <w:t>e</w:t>
            </w:r>
            <w:r w:rsidRPr="000A0A5F">
              <w:rPr>
                <w:rFonts w:hint="eastAsia"/>
                <w:lang w:eastAsia="zh-CN"/>
              </w:rPr>
              <w:t>xternalGroup</w:t>
            </w:r>
            <w:r w:rsidRPr="000A0A5F">
              <w:rPr>
                <w:lang w:eastAsia="zh-CN"/>
              </w:rPr>
              <w:t>Id</w:t>
            </w:r>
            <w:r w:rsidRPr="000A0A5F">
              <w:rPr>
                <w:rFonts w:cs="Arial"/>
                <w:szCs w:val="18"/>
                <w:lang w:eastAsia="zh-CN"/>
              </w:rPr>
              <w:t>" is provided.</w:t>
            </w:r>
          </w:p>
        </w:tc>
        <w:tc>
          <w:tcPr>
            <w:tcW w:w="1235" w:type="dxa"/>
          </w:tcPr>
          <w:p w:rsidR="00CB0DD7" w:rsidRPr="000A0A5F" w:rsidRDefault="00CB0DD7">
            <w:pPr>
              <w:pStyle w:val="TAC"/>
              <w:jc w:val="left"/>
              <w:rPr>
                <w:rFonts w:eastAsia="Times New Roman"/>
              </w:rPr>
            </w:pPr>
            <w:r w:rsidRPr="000A0A5F">
              <w:rPr>
                <w:lang w:eastAsia="zh-CN"/>
              </w:rPr>
              <w:t>Notification_websocket</w:t>
            </w:r>
          </w:p>
        </w:tc>
      </w:tr>
      <w:tr w:rsidR="00CB0DD7" w:rsidRPr="000A0A5F" w:rsidTr="00FF0AF8">
        <w:trPr>
          <w:jc w:val="center"/>
        </w:trPr>
        <w:tc>
          <w:tcPr>
            <w:tcW w:w="1661" w:type="dxa"/>
            <w:shd w:val="clear" w:color="auto" w:fill="auto"/>
          </w:tcPr>
          <w:p w:rsidR="00CB0DD7" w:rsidRPr="000A0A5F" w:rsidRDefault="00CB0DD7">
            <w:pPr>
              <w:pStyle w:val="TAL"/>
              <w:rPr>
                <w:lang w:eastAsia="zh-CN"/>
              </w:rPr>
            </w:pPr>
            <w:r w:rsidRPr="000A0A5F">
              <w:rPr>
                <w:rFonts w:hint="eastAsia"/>
                <w:lang w:eastAsia="zh-CN"/>
              </w:rPr>
              <w:t>validityTime</w:t>
            </w:r>
          </w:p>
        </w:tc>
        <w:tc>
          <w:tcPr>
            <w:tcW w:w="1134" w:type="dxa"/>
            <w:shd w:val="clear" w:color="auto" w:fill="auto"/>
          </w:tcPr>
          <w:p w:rsidR="00CB0DD7" w:rsidRPr="000A0A5F" w:rsidRDefault="00CB0DD7">
            <w:pPr>
              <w:pStyle w:val="TAL"/>
              <w:rPr>
                <w:lang w:eastAsia="zh-CN"/>
              </w:rPr>
            </w:pPr>
            <w:r w:rsidRPr="000A0A5F">
              <w:rPr>
                <w:lang w:eastAsia="zh-CN"/>
              </w:rPr>
              <w:t>D</w:t>
            </w:r>
            <w:r w:rsidRPr="000A0A5F">
              <w:rPr>
                <w:rFonts w:hint="eastAsia"/>
                <w:lang w:eastAsia="zh-CN"/>
              </w:rPr>
              <w:t>ateTime</w:t>
            </w:r>
          </w:p>
        </w:tc>
        <w:tc>
          <w:tcPr>
            <w:tcW w:w="1134" w:type="dxa"/>
          </w:tcPr>
          <w:p w:rsidR="00CB0DD7" w:rsidRPr="000A0A5F" w:rsidRDefault="00CB0DD7">
            <w:pPr>
              <w:pStyle w:val="TAC"/>
              <w:jc w:val="left"/>
              <w:rPr>
                <w:lang w:eastAsia="zh-CN"/>
              </w:rPr>
            </w:pPr>
            <w:r w:rsidRPr="000A0A5F">
              <w:rPr>
                <w:rFonts w:hint="eastAsia"/>
                <w:lang w:eastAsia="zh-CN"/>
              </w:rPr>
              <w:t>0..1</w:t>
            </w:r>
          </w:p>
        </w:tc>
        <w:tc>
          <w:tcPr>
            <w:tcW w:w="4395" w:type="dxa"/>
          </w:tcPr>
          <w:p w:rsidR="00CB0DD7" w:rsidRPr="000A0A5F" w:rsidRDefault="00CB0DD7">
            <w:pPr>
              <w:pStyle w:val="TAL"/>
              <w:rPr>
                <w:rFonts w:cs="Arial"/>
                <w:szCs w:val="18"/>
                <w:lang w:eastAsia="zh-CN"/>
              </w:rPr>
            </w:pPr>
            <w:r w:rsidRPr="000A0A5F">
              <w:rPr>
                <w:rFonts w:cs="Arial" w:hint="eastAsia"/>
                <w:szCs w:val="18"/>
                <w:lang w:eastAsia="zh-CN"/>
              </w:rPr>
              <w:t>Identifies when the</w:t>
            </w:r>
            <w:r w:rsidRPr="000A0A5F">
              <w:rPr>
                <w:rFonts w:cs="Arial"/>
                <w:szCs w:val="18"/>
                <w:lang w:eastAsia="zh-CN"/>
              </w:rPr>
              <w:t xml:space="preserve"> network</w:t>
            </w:r>
            <w:r w:rsidRPr="000A0A5F">
              <w:rPr>
                <w:rFonts w:cs="Arial" w:hint="eastAsia"/>
                <w:szCs w:val="18"/>
                <w:lang w:eastAsia="zh-CN"/>
              </w:rPr>
              <w:t xml:space="preserve"> parameter</w:t>
            </w:r>
            <w:r w:rsidRPr="000A0A5F">
              <w:rPr>
                <w:rFonts w:cs="Arial"/>
                <w:szCs w:val="18"/>
                <w:lang w:eastAsia="zh-CN"/>
              </w:rPr>
              <w:t xml:space="preserve"> </w:t>
            </w:r>
            <w:r w:rsidRPr="000A0A5F">
              <w:rPr>
                <w:rFonts w:cs="Arial" w:hint="eastAsia"/>
                <w:szCs w:val="18"/>
                <w:lang w:eastAsia="zh-CN"/>
              </w:rPr>
              <w:t>expires and shall be deleted</w:t>
            </w:r>
            <w:r w:rsidRPr="000A0A5F">
              <w:rPr>
                <w:rFonts w:cs="Arial"/>
                <w:szCs w:val="18"/>
                <w:lang w:eastAsia="zh-CN"/>
              </w:rPr>
              <w:t xml:space="preserve"> locally if it expires. </w:t>
            </w:r>
            <w:r w:rsidRPr="000A0A5F">
              <w:t>The attribute is only applicable in 5G.</w:t>
            </w:r>
            <w:r w:rsidRPr="000A0A5F">
              <w:rPr>
                <w:rFonts w:cs="Arial"/>
                <w:szCs w:val="18"/>
                <w:lang w:eastAsia="zh-CN"/>
              </w:rPr>
              <w:t xml:space="preserve"> (NOTE 3)</w:t>
            </w:r>
          </w:p>
        </w:tc>
        <w:tc>
          <w:tcPr>
            <w:tcW w:w="1235" w:type="dxa"/>
          </w:tcPr>
          <w:p w:rsidR="00CB0DD7" w:rsidRPr="000A0A5F" w:rsidRDefault="00CB0DD7">
            <w:pPr>
              <w:pStyle w:val="TAC"/>
              <w:jc w:val="left"/>
              <w:rPr>
                <w:lang w:eastAsia="zh-CN"/>
              </w:rPr>
            </w:pPr>
            <w:r w:rsidRPr="000A0A5F">
              <w:rPr>
                <w:lang w:eastAsia="zh-CN"/>
              </w:rPr>
              <w:t>NpExpiry_5G</w:t>
            </w:r>
          </w:p>
        </w:tc>
      </w:tr>
      <w:tr w:rsidR="00F2786F" w:rsidRPr="000A0A5F" w:rsidTr="00FF0AF8">
        <w:trPr>
          <w:jc w:val="center"/>
        </w:trPr>
        <w:tc>
          <w:tcPr>
            <w:tcW w:w="1661" w:type="dxa"/>
            <w:shd w:val="clear" w:color="auto" w:fill="auto"/>
          </w:tcPr>
          <w:p w:rsidR="00F2786F" w:rsidRPr="000A0A5F" w:rsidRDefault="00F2786F" w:rsidP="00F2786F">
            <w:pPr>
              <w:pStyle w:val="TAL"/>
              <w:rPr>
                <w:rFonts w:hint="eastAsia"/>
                <w:lang w:eastAsia="zh-CN"/>
              </w:rPr>
            </w:pPr>
            <w:r w:rsidRPr="000A0A5F">
              <w:rPr>
                <w:lang w:eastAsia="zh-CN"/>
              </w:rPr>
              <w:t>snssai</w:t>
            </w:r>
          </w:p>
        </w:tc>
        <w:tc>
          <w:tcPr>
            <w:tcW w:w="1134" w:type="dxa"/>
            <w:shd w:val="clear" w:color="auto" w:fill="auto"/>
          </w:tcPr>
          <w:p w:rsidR="00F2786F" w:rsidRPr="000A0A5F" w:rsidRDefault="00F2786F" w:rsidP="00F2786F">
            <w:pPr>
              <w:pStyle w:val="TAL"/>
              <w:rPr>
                <w:lang w:eastAsia="zh-CN"/>
              </w:rPr>
            </w:pPr>
            <w:r w:rsidRPr="000A0A5F">
              <w:rPr>
                <w:lang w:eastAsia="zh-CN"/>
              </w:rPr>
              <w:t>Snssai</w:t>
            </w:r>
          </w:p>
        </w:tc>
        <w:tc>
          <w:tcPr>
            <w:tcW w:w="1134" w:type="dxa"/>
          </w:tcPr>
          <w:p w:rsidR="00F2786F" w:rsidRPr="000A0A5F" w:rsidRDefault="00F2786F" w:rsidP="00F2786F">
            <w:pPr>
              <w:pStyle w:val="TAC"/>
              <w:jc w:val="left"/>
              <w:rPr>
                <w:rFonts w:hint="eastAsia"/>
                <w:lang w:eastAsia="zh-CN"/>
              </w:rPr>
            </w:pPr>
            <w:r w:rsidRPr="000A0A5F">
              <w:rPr>
                <w:lang w:eastAsia="zh-CN"/>
              </w:rPr>
              <w:t>0..1</w:t>
            </w:r>
          </w:p>
        </w:tc>
        <w:tc>
          <w:tcPr>
            <w:tcW w:w="4395" w:type="dxa"/>
          </w:tcPr>
          <w:p w:rsidR="00F2786F" w:rsidRPr="000A0A5F" w:rsidRDefault="00F2786F" w:rsidP="00F2786F">
            <w:pPr>
              <w:pStyle w:val="TAL"/>
              <w:rPr>
                <w:rFonts w:cs="Arial" w:hint="eastAsia"/>
                <w:szCs w:val="18"/>
                <w:lang w:eastAsia="zh-CN"/>
              </w:rPr>
            </w:pPr>
            <w:r w:rsidRPr="000A0A5F">
              <w:rPr>
                <w:rFonts w:cs="Arial"/>
                <w:szCs w:val="18"/>
                <w:lang w:eastAsia="zh-CN"/>
              </w:rPr>
              <w:t>Indicate the S-NSSAI.</w:t>
            </w:r>
          </w:p>
        </w:tc>
        <w:tc>
          <w:tcPr>
            <w:tcW w:w="1235" w:type="dxa"/>
          </w:tcPr>
          <w:p w:rsidR="00F2786F" w:rsidRPr="000A0A5F" w:rsidRDefault="00F2786F" w:rsidP="00F2786F">
            <w:pPr>
              <w:pStyle w:val="TAC"/>
              <w:jc w:val="left"/>
              <w:rPr>
                <w:lang w:eastAsia="zh-CN"/>
              </w:rPr>
            </w:pPr>
            <w:r w:rsidRPr="000A0A5F">
              <w:rPr>
                <w:lang w:eastAsia="zh-CN"/>
              </w:rPr>
              <w:t>UEId_retrieval</w:t>
            </w:r>
          </w:p>
        </w:tc>
      </w:tr>
      <w:tr w:rsidR="00F2786F" w:rsidRPr="000A0A5F" w:rsidTr="00FF0AF8">
        <w:trPr>
          <w:jc w:val="center"/>
        </w:trPr>
        <w:tc>
          <w:tcPr>
            <w:tcW w:w="1661" w:type="dxa"/>
            <w:shd w:val="clear" w:color="auto" w:fill="auto"/>
          </w:tcPr>
          <w:p w:rsidR="00F2786F" w:rsidRPr="000A0A5F" w:rsidRDefault="00F2786F" w:rsidP="00F2786F">
            <w:pPr>
              <w:pStyle w:val="TAL"/>
              <w:rPr>
                <w:rFonts w:hint="eastAsia"/>
                <w:lang w:eastAsia="zh-CN"/>
              </w:rPr>
            </w:pPr>
            <w:r w:rsidRPr="000A0A5F">
              <w:rPr>
                <w:lang w:eastAsia="zh-CN"/>
              </w:rPr>
              <w:t>ueIpAddr</w:t>
            </w:r>
          </w:p>
        </w:tc>
        <w:tc>
          <w:tcPr>
            <w:tcW w:w="1134" w:type="dxa"/>
            <w:shd w:val="clear" w:color="auto" w:fill="auto"/>
          </w:tcPr>
          <w:p w:rsidR="00F2786F" w:rsidRPr="000A0A5F" w:rsidRDefault="00F2786F" w:rsidP="00F2786F">
            <w:pPr>
              <w:pStyle w:val="TAL"/>
              <w:rPr>
                <w:lang w:eastAsia="zh-CN"/>
              </w:rPr>
            </w:pPr>
            <w:r w:rsidRPr="000A0A5F">
              <w:rPr>
                <w:lang w:eastAsia="zh-CN"/>
              </w:rPr>
              <w:t>IpAddr</w:t>
            </w:r>
          </w:p>
        </w:tc>
        <w:tc>
          <w:tcPr>
            <w:tcW w:w="1134" w:type="dxa"/>
          </w:tcPr>
          <w:p w:rsidR="00F2786F" w:rsidRPr="000A0A5F" w:rsidRDefault="00F2786F" w:rsidP="00F2786F">
            <w:pPr>
              <w:pStyle w:val="TAC"/>
              <w:jc w:val="left"/>
              <w:rPr>
                <w:rFonts w:hint="eastAsia"/>
                <w:lang w:eastAsia="zh-CN"/>
              </w:rPr>
            </w:pPr>
            <w:r w:rsidRPr="000A0A5F">
              <w:rPr>
                <w:lang w:eastAsia="zh-CN"/>
              </w:rPr>
              <w:t>0..1</w:t>
            </w:r>
          </w:p>
        </w:tc>
        <w:tc>
          <w:tcPr>
            <w:tcW w:w="4395" w:type="dxa"/>
          </w:tcPr>
          <w:p w:rsidR="00F2786F" w:rsidRPr="000A0A5F" w:rsidRDefault="00F2786F" w:rsidP="00F2786F">
            <w:pPr>
              <w:pStyle w:val="TAL"/>
              <w:rPr>
                <w:rFonts w:cs="Arial" w:hint="eastAsia"/>
                <w:szCs w:val="18"/>
                <w:lang w:eastAsia="zh-CN"/>
              </w:rPr>
            </w:pPr>
            <w:r w:rsidRPr="000A0A5F">
              <w:rPr>
                <w:rFonts w:cs="Arial"/>
                <w:szCs w:val="18"/>
                <w:lang w:eastAsia="zh-CN"/>
              </w:rPr>
              <w:t>UE IP address.</w:t>
            </w:r>
          </w:p>
        </w:tc>
        <w:tc>
          <w:tcPr>
            <w:tcW w:w="1235" w:type="dxa"/>
          </w:tcPr>
          <w:p w:rsidR="00F2786F" w:rsidRPr="000A0A5F" w:rsidRDefault="00F2786F" w:rsidP="00F2786F">
            <w:pPr>
              <w:pStyle w:val="TAC"/>
              <w:jc w:val="left"/>
              <w:rPr>
                <w:lang w:eastAsia="zh-CN"/>
              </w:rPr>
            </w:pPr>
            <w:r w:rsidRPr="000A0A5F">
              <w:rPr>
                <w:lang w:eastAsia="zh-CN"/>
              </w:rPr>
              <w:t>UEId_retrieval</w:t>
            </w:r>
          </w:p>
        </w:tc>
      </w:tr>
      <w:tr w:rsidR="00F2786F" w:rsidRPr="000A0A5F" w:rsidTr="00FF0AF8">
        <w:trPr>
          <w:jc w:val="center"/>
        </w:trPr>
        <w:tc>
          <w:tcPr>
            <w:tcW w:w="1661" w:type="dxa"/>
            <w:shd w:val="clear" w:color="auto" w:fill="auto"/>
          </w:tcPr>
          <w:p w:rsidR="00F2786F" w:rsidRPr="000A0A5F" w:rsidRDefault="00F2786F" w:rsidP="00F2786F">
            <w:pPr>
              <w:pStyle w:val="TAL"/>
              <w:rPr>
                <w:rFonts w:hint="eastAsia"/>
                <w:lang w:eastAsia="zh-CN"/>
              </w:rPr>
            </w:pPr>
            <w:r w:rsidRPr="000A0A5F">
              <w:rPr>
                <w:lang w:eastAsia="zh-CN"/>
              </w:rPr>
              <w:t>ueMacAddr</w:t>
            </w:r>
          </w:p>
        </w:tc>
        <w:tc>
          <w:tcPr>
            <w:tcW w:w="1134" w:type="dxa"/>
            <w:shd w:val="clear" w:color="auto" w:fill="auto"/>
          </w:tcPr>
          <w:p w:rsidR="00F2786F" w:rsidRPr="000A0A5F" w:rsidRDefault="00F2786F" w:rsidP="00F2786F">
            <w:pPr>
              <w:pStyle w:val="TAL"/>
              <w:rPr>
                <w:lang w:eastAsia="zh-CN"/>
              </w:rPr>
            </w:pPr>
            <w:r w:rsidRPr="000A0A5F">
              <w:rPr>
                <w:lang w:eastAsia="zh-CN"/>
              </w:rPr>
              <w:t>MacAddr48</w:t>
            </w:r>
          </w:p>
        </w:tc>
        <w:tc>
          <w:tcPr>
            <w:tcW w:w="1134" w:type="dxa"/>
          </w:tcPr>
          <w:p w:rsidR="00F2786F" w:rsidRPr="000A0A5F" w:rsidRDefault="00F2786F" w:rsidP="00F2786F">
            <w:pPr>
              <w:pStyle w:val="TAC"/>
              <w:jc w:val="left"/>
              <w:rPr>
                <w:rFonts w:hint="eastAsia"/>
                <w:lang w:eastAsia="zh-CN"/>
              </w:rPr>
            </w:pPr>
            <w:r w:rsidRPr="000A0A5F">
              <w:rPr>
                <w:lang w:eastAsia="zh-CN"/>
              </w:rPr>
              <w:t>0..1</w:t>
            </w:r>
          </w:p>
        </w:tc>
        <w:tc>
          <w:tcPr>
            <w:tcW w:w="4395" w:type="dxa"/>
          </w:tcPr>
          <w:p w:rsidR="00F2786F" w:rsidRPr="000A0A5F" w:rsidRDefault="00F2786F" w:rsidP="00F2786F">
            <w:pPr>
              <w:pStyle w:val="TAL"/>
              <w:rPr>
                <w:rFonts w:cs="Arial" w:hint="eastAsia"/>
                <w:szCs w:val="18"/>
                <w:lang w:eastAsia="zh-CN"/>
              </w:rPr>
            </w:pPr>
            <w:r w:rsidRPr="000A0A5F">
              <w:rPr>
                <w:rFonts w:cs="Arial"/>
                <w:szCs w:val="18"/>
                <w:lang w:eastAsia="zh-CN"/>
              </w:rPr>
              <w:t>UE MAC address.</w:t>
            </w:r>
          </w:p>
        </w:tc>
        <w:tc>
          <w:tcPr>
            <w:tcW w:w="1235" w:type="dxa"/>
          </w:tcPr>
          <w:p w:rsidR="00F2786F" w:rsidRPr="000A0A5F" w:rsidRDefault="00F2786F" w:rsidP="00F2786F">
            <w:pPr>
              <w:pStyle w:val="TAC"/>
              <w:jc w:val="left"/>
              <w:rPr>
                <w:lang w:eastAsia="zh-CN"/>
              </w:rPr>
            </w:pPr>
            <w:r w:rsidRPr="000A0A5F">
              <w:rPr>
                <w:lang w:eastAsia="zh-CN"/>
              </w:rPr>
              <w:t>UEId_retrieval</w:t>
            </w:r>
          </w:p>
        </w:tc>
      </w:tr>
      <w:tr w:rsidR="00CB0DD7" w:rsidRPr="000A0A5F" w:rsidTr="00FF0AF8">
        <w:trPr>
          <w:jc w:val="center"/>
        </w:trPr>
        <w:tc>
          <w:tcPr>
            <w:tcW w:w="9559" w:type="dxa"/>
            <w:gridSpan w:val="5"/>
            <w:shd w:val="clear" w:color="auto" w:fill="auto"/>
          </w:tcPr>
          <w:p w:rsidR="00CB0DD7" w:rsidRPr="000A0A5F" w:rsidRDefault="00CB0DD7">
            <w:pPr>
              <w:pStyle w:val="TAN"/>
              <w:rPr>
                <w:noProof/>
                <w:lang w:eastAsia="zh-CN"/>
              </w:rPr>
            </w:pPr>
            <w:r w:rsidRPr="000A0A5F">
              <w:rPr>
                <w:noProof/>
                <w:lang w:eastAsia="zh-CN"/>
              </w:rPr>
              <w:t>NOT</w:t>
            </w:r>
            <w:r w:rsidRPr="000A0A5F">
              <w:t>E 1:</w:t>
            </w:r>
            <w:r w:rsidRPr="000A0A5F">
              <w:rPr>
                <w:noProof/>
                <w:lang w:eastAsia="zh-CN"/>
              </w:rPr>
              <w:tab/>
              <w:t>Only one of the properties</w:t>
            </w:r>
            <w:r w:rsidRPr="000A0A5F">
              <w:rPr>
                <w:rFonts w:hint="eastAsia"/>
                <w:noProof/>
                <w:lang w:eastAsia="zh-CN"/>
              </w:rPr>
              <w:t xml:space="preserve"> </w:t>
            </w:r>
            <w:r w:rsidRPr="000A0A5F">
              <w:rPr>
                <w:noProof/>
                <w:lang w:eastAsia="zh-CN"/>
              </w:rPr>
              <w:t>"externalId", "msisdn" or "externalGroupId" shall be included.</w:t>
            </w:r>
          </w:p>
          <w:p w:rsidR="00CB0DD7" w:rsidRPr="000A0A5F" w:rsidRDefault="00CB0DD7">
            <w:pPr>
              <w:pStyle w:val="TAN"/>
            </w:pPr>
            <w:r w:rsidRPr="000A0A5F">
              <w:t>NOTE 2:</w:t>
            </w:r>
            <w:r w:rsidRPr="000A0A5F">
              <w:tab/>
              <w:t>Properties marked with a feature as defined in clause 5.13.4 are applicable as described in clause 5.2.7. If no feature are indicated, the related property applies for all the features.</w:t>
            </w:r>
          </w:p>
          <w:p w:rsidR="00CB0DD7" w:rsidRPr="000A0A5F" w:rsidRDefault="00CB0DD7">
            <w:pPr>
              <w:pStyle w:val="TAN"/>
              <w:rPr>
                <w:noProof/>
                <w:lang w:eastAsia="zh-CN"/>
              </w:rPr>
            </w:pPr>
            <w:r w:rsidRPr="000A0A5F">
              <w:rPr>
                <w:noProof/>
                <w:lang w:eastAsia="zh-CN"/>
              </w:rPr>
              <w:t>NOT</w:t>
            </w:r>
            <w:r w:rsidRPr="000A0A5F">
              <w:t>E 3:</w:t>
            </w:r>
            <w:r w:rsidRPr="000A0A5F">
              <w:rPr>
                <w:noProof/>
                <w:lang w:eastAsia="zh-CN"/>
              </w:rPr>
              <w:tab/>
              <w:t>If this attribute is omitted, no expiry for network parameter configuration applies.</w:t>
            </w:r>
          </w:p>
          <w:p w:rsidR="00CB0DD7" w:rsidRPr="000A0A5F" w:rsidRDefault="00CB0DD7">
            <w:pPr>
              <w:pStyle w:val="TAN"/>
            </w:pPr>
            <w:r w:rsidRPr="000A0A5F">
              <w:rPr>
                <w:rFonts w:eastAsia="Times New Roman"/>
              </w:rPr>
              <w:t>NOTE 4:</w:t>
            </w:r>
            <w:r w:rsidRPr="000A0A5F">
              <w:rPr>
                <w:rFonts w:eastAsia="Times New Roman"/>
              </w:rPr>
              <w:tab/>
              <w:t xml:space="preserve">The SCEF should check received MTC provider identifier and then the SCEF may: </w:t>
            </w:r>
            <w:r w:rsidRPr="000A0A5F">
              <w:rPr>
                <w:rFonts w:eastAsia="Times New Roman"/>
              </w:rPr>
              <w:br/>
              <w:t>-</w:t>
            </w:r>
            <w:r w:rsidRPr="000A0A5F">
              <w:rPr>
                <w:rFonts w:eastAsia="Times New Roman"/>
              </w:rPr>
              <w:tab/>
              <w:t>override it with local configured value and send it to HSS;</w:t>
            </w:r>
            <w:r w:rsidRPr="000A0A5F">
              <w:rPr>
                <w:rFonts w:eastAsia="Times New Roman"/>
              </w:rPr>
              <w:br/>
              <w:t>-</w:t>
            </w:r>
            <w:r w:rsidRPr="000A0A5F">
              <w:rPr>
                <w:rFonts w:eastAsia="Times New Roman"/>
              </w:rPr>
              <w:tab/>
              <w:t>send it directly to the HSS; or</w:t>
            </w:r>
            <w:r w:rsidRPr="000A0A5F">
              <w:rPr>
                <w:rFonts w:eastAsia="Times New Roman"/>
              </w:rPr>
              <w:br/>
              <w:t>-</w:t>
            </w:r>
            <w:r w:rsidRPr="000A0A5F">
              <w:rPr>
                <w:rFonts w:eastAsia="Times New Roman"/>
              </w:rPr>
              <w:tab/>
              <w:t>reject the network parameter configuration request.</w:t>
            </w:r>
          </w:p>
        </w:tc>
      </w:tr>
    </w:tbl>
    <w:p w:rsidR="00CB0DD7" w:rsidRPr="000A0A5F" w:rsidRDefault="00CB0DD7"/>
    <w:p w:rsidR="00CB0DD7" w:rsidRPr="000A0A5F" w:rsidRDefault="00CB0DD7">
      <w:pPr>
        <w:pStyle w:val="Heading5"/>
      </w:pPr>
      <w:bookmarkStart w:id="8661" w:name="_Toc11247841"/>
      <w:bookmarkStart w:id="8662" w:name="_Toc27044985"/>
      <w:bookmarkStart w:id="8663" w:name="_Toc36034027"/>
      <w:bookmarkStart w:id="8664" w:name="_Toc45132174"/>
      <w:bookmarkStart w:id="8665" w:name="_Toc49776459"/>
      <w:bookmarkStart w:id="8666" w:name="_Toc51747379"/>
      <w:bookmarkStart w:id="8667" w:name="_Toc66360955"/>
      <w:bookmarkStart w:id="8668" w:name="_Toc68105460"/>
      <w:bookmarkStart w:id="8669" w:name="_Toc74756090"/>
      <w:bookmarkStart w:id="8670" w:name="_Toc105674967"/>
      <w:bookmarkStart w:id="8671" w:name="_Toc130503035"/>
      <w:bookmarkStart w:id="8672" w:name="_Toc153625823"/>
      <w:r w:rsidRPr="000A0A5F">
        <w:t>5.13.2.1.3</w:t>
      </w:r>
      <w:r w:rsidRPr="000A0A5F">
        <w:tab/>
        <w:t>Type: NpConfigurationPatch</w:t>
      </w:r>
      <w:bookmarkEnd w:id="8661"/>
      <w:bookmarkEnd w:id="8662"/>
      <w:bookmarkEnd w:id="8663"/>
      <w:bookmarkEnd w:id="8664"/>
      <w:bookmarkEnd w:id="8665"/>
      <w:bookmarkEnd w:id="8666"/>
      <w:bookmarkEnd w:id="8667"/>
      <w:bookmarkEnd w:id="8668"/>
      <w:bookmarkEnd w:id="8669"/>
      <w:bookmarkEnd w:id="8670"/>
      <w:bookmarkEnd w:id="8671"/>
      <w:bookmarkEnd w:id="8672"/>
    </w:p>
    <w:p w:rsidR="00CB0DD7" w:rsidRPr="000A0A5F" w:rsidRDefault="00CB0DD7">
      <w:r w:rsidRPr="000A0A5F">
        <w:t>This type represents a configuration of network parameters provided by the SCS/AS to the SCEF. The structure is used for HTTP PATCH request.</w:t>
      </w:r>
    </w:p>
    <w:p w:rsidR="00CB0DD7" w:rsidRPr="000A0A5F" w:rsidRDefault="00CB0DD7">
      <w:pPr>
        <w:pStyle w:val="TH"/>
      </w:pPr>
      <w:r w:rsidRPr="000A0A5F">
        <w:rPr>
          <w:noProof/>
        </w:rPr>
        <w:t>Table </w:t>
      </w:r>
      <w:r w:rsidRPr="000A0A5F">
        <w:t xml:space="preserve">5.13.2.1.3-1: </w:t>
      </w:r>
      <w:r w:rsidRPr="000A0A5F">
        <w:rPr>
          <w:noProof/>
        </w:rPr>
        <w:t xml:space="preserve">Definition of type </w:t>
      </w:r>
      <w:r w:rsidRPr="000A0A5F">
        <w:t>NpConfigurationPatch</w:t>
      </w:r>
    </w:p>
    <w:tbl>
      <w:tblPr>
        <w:tblW w:w="955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61"/>
        <w:gridCol w:w="1134"/>
        <w:gridCol w:w="1134"/>
        <w:gridCol w:w="4395"/>
        <w:gridCol w:w="1235"/>
        <w:tblGridChange w:id="8673">
          <w:tblGrid>
            <w:gridCol w:w="1661"/>
            <w:gridCol w:w="1134"/>
            <w:gridCol w:w="1134"/>
            <w:gridCol w:w="4395"/>
            <w:gridCol w:w="1235"/>
          </w:tblGrid>
        </w:tblGridChange>
      </w:tblGrid>
      <w:tr w:rsidR="00CB0DD7" w:rsidRPr="000A0A5F" w:rsidTr="00FF0AF8">
        <w:trPr>
          <w:trHeight w:val="288"/>
          <w:jc w:val="center"/>
        </w:trPr>
        <w:tc>
          <w:tcPr>
            <w:tcW w:w="1661" w:type="dxa"/>
            <w:shd w:val="clear" w:color="auto" w:fill="C0C0C0"/>
          </w:tcPr>
          <w:p w:rsidR="00CB0DD7" w:rsidRPr="000A0A5F" w:rsidRDefault="00CB0DD7">
            <w:pPr>
              <w:pStyle w:val="TAH"/>
              <w:rPr>
                <w:rFonts w:eastAsia="Times New Roman"/>
              </w:rPr>
            </w:pPr>
            <w:r w:rsidRPr="000A0A5F">
              <w:rPr>
                <w:rFonts w:eastAsia="Times New Roman"/>
              </w:rPr>
              <w:t>Attribute name</w:t>
            </w:r>
          </w:p>
        </w:tc>
        <w:tc>
          <w:tcPr>
            <w:tcW w:w="1134" w:type="dxa"/>
            <w:shd w:val="clear" w:color="auto" w:fill="C0C0C0"/>
          </w:tcPr>
          <w:p w:rsidR="00CB0DD7" w:rsidRPr="000A0A5F" w:rsidRDefault="00CB0DD7">
            <w:pPr>
              <w:pStyle w:val="TAH"/>
              <w:rPr>
                <w:rFonts w:eastAsia="Times New Roman"/>
              </w:rPr>
            </w:pPr>
            <w:r w:rsidRPr="000A0A5F">
              <w:rPr>
                <w:rFonts w:eastAsia="Times New Roman"/>
              </w:rPr>
              <w:t>Data type</w:t>
            </w:r>
          </w:p>
        </w:tc>
        <w:tc>
          <w:tcPr>
            <w:tcW w:w="1134" w:type="dxa"/>
            <w:shd w:val="clear" w:color="auto" w:fill="C0C0C0"/>
          </w:tcPr>
          <w:p w:rsidR="00CB0DD7" w:rsidRPr="000A0A5F" w:rsidRDefault="00CB0DD7">
            <w:pPr>
              <w:pStyle w:val="TAH"/>
              <w:rPr>
                <w:rFonts w:eastAsia="Times New Roman"/>
              </w:rPr>
            </w:pPr>
            <w:r w:rsidRPr="000A0A5F">
              <w:rPr>
                <w:rFonts w:eastAsia="Times New Roman"/>
              </w:rPr>
              <w:t>Cardinality</w:t>
            </w:r>
          </w:p>
        </w:tc>
        <w:tc>
          <w:tcPr>
            <w:tcW w:w="4395"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Description</w:t>
            </w:r>
          </w:p>
        </w:tc>
        <w:tc>
          <w:tcPr>
            <w:tcW w:w="1235" w:type="dxa"/>
            <w:shd w:val="clear" w:color="auto" w:fill="C0C0C0"/>
          </w:tcPr>
          <w:p w:rsidR="00CB0DD7" w:rsidRPr="000A0A5F" w:rsidRDefault="00CB0DD7">
            <w:pPr>
              <w:pStyle w:val="TAH"/>
              <w:rPr>
                <w:rFonts w:eastAsia="Times New Roman"/>
              </w:rPr>
            </w:pPr>
            <w:r w:rsidRPr="000A0A5F">
              <w:rPr>
                <w:rFonts w:eastAsia="Times New Roman" w:cs="Arial"/>
                <w:szCs w:val="18"/>
              </w:rPr>
              <w:t>Applicability (NOTE)</w:t>
            </w:r>
          </w:p>
        </w:tc>
      </w:tr>
      <w:tr w:rsidR="00CB0DD7" w:rsidRPr="000A0A5F" w:rsidTr="00FF0AF8">
        <w:trPr>
          <w:jc w:val="center"/>
        </w:trPr>
        <w:tc>
          <w:tcPr>
            <w:tcW w:w="1661" w:type="dxa"/>
            <w:shd w:val="clear" w:color="auto" w:fill="auto"/>
          </w:tcPr>
          <w:p w:rsidR="00CB0DD7" w:rsidRPr="000A0A5F" w:rsidRDefault="00CB0DD7">
            <w:pPr>
              <w:pStyle w:val="TAL"/>
              <w:rPr>
                <w:rFonts w:eastAsia="Times New Roman"/>
              </w:rPr>
            </w:pPr>
            <w:r w:rsidRPr="000A0A5F">
              <w:rPr>
                <w:lang w:eastAsia="zh-CN"/>
              </w:rPr>
              <w:t>m</w:t>
            </w:r>
            <w:r w:rsidRPr="000A0A5F">
              <w:rPr>
                <w:rFonts w:hint="eastAsia"/>
                <w:lang w:eastAsia="zh-CN"/>
              </w:rPr>
              <w:t>aximumLat</w:t>
            </w:r>
            <w:r w:rsidRPr="000A0A5F">
              <w:rPr>
                <w:lang w:eastAsia="zh-CN"/>
              </w:rPr>
              <w:t>ency</w:t>
            </w:r>
          </w:p>
        </w:tc>
        <w:tc>
          <w:tcPr>
            <w:tcW w:w="1134" w:type="dxa"/>
            <w:shd w:val="clear" w:color="auto" w:fill="auto"/>
          </w:tcPr>
          <w:p w:rsidR="00CB0DD7" w:rsidRPr="000A0A5F" w:rsidRDefault="00CB0DD7">
            <w:pPr>
              <w:pStyle w:val="TAL"/>
              <w:rPr>
                <w:rFonts w:eastAsia="Times New Roman"/>
              </w:rPr>
            </w:pPr>
            <w:r w:rsidRPr="000A0A5F">
              <w:rPr>
                <w:lang w:eastAsia="zh-CN"/>
              </w:rPr>
              <w:t>DurationSecRm</w:t>
            </w:r>
          </w:p>
        </w:tc>
        <w:tc>
          <w:tcPr>
            <w:tcW w:w="1134" w:type="dxa"/>
          </w:tcPr>
          <w:p w:rsidR="00CB0DD7" w:rsidRPr="000A0A5F" w:rsidRDefault="00CB0DD7">
            <w:pPr>
              <w:pStyle w:val="TAC"/>
              <w:jc w:val="left"/>
              <w:rPr>
                <w:rFonts w:eastAsia="Times New Roman"/>
              </w:rPr>
            </w:pPr>
            <w:r w:rsidRPr="000A0A5F">
              <w:rPr>
                <w:rFonts w:eastAsia="Times New Roman"/>
              </w:rPr>
              <w:t>0..1</w:t>
            </w:r>
          </w:p>
        </w:tc>
        <w:tc>
          <w:tcPr>
            <w:tcW w:w="4395" w:type="dxa"/>
          </w:tcPr>
          <w:p w:rsidR="00CB0DD7" w:rsidRPr="000A0A5F" w:rsidRDefault="00CB0DD7">
            <w:pPr>
              <w:pStyle w:val="TAL"/>
              <w:rPr>
                <w:rFonts w:eastAsia="Times New Roman" w:cs="Arial"/>
                <w:szCs w:val="18"/>
              </w:rPr>
            </w:pPr>
            <w:r w:rsidRPr="000A0A5F">
              <w:rPr>
                <w:rFonts w:cs="Arial"/>
                <w:szCs w:val="18"/>
                <w:lang w:eastAsia="zh-CN"/>
              </w:rPr>
              <w:t>This parameter may be included to identify the maximum delay acceptable for downlink data transfers.</w:t>
            </w:r>
          </w:p>
        </w:tc>
        <w:tc>
          <w:tcPr>
            <w:tcW w:w="1235" w:type="dxa"/>
          </w:tcPr>
          <w:p w:rsidR="00CB0DD7" w:rsidRPr="000A0A5F" w:rsidRDefault="00CB0DD7">
            <w:pPr>
              <w:pStyle w:val="TAC"/>
              <w:jc w:val="left"/>
              <w:rPr>
                <w:rFonts w:eastAsia="Times New Roman"/>
              </w:rPr>
            </w:pPr>
          </w:p>
        </w:tc>
      </w:tr>
      <w:tr w:rsidR="00CB0DD7" w:rsidRPr="000A0A5F" w:rsidTr="00FF0AF8">
        <w:trPr>
          <w:jc w:val="center"/>
        </w:trPr>
        <w:tc>
          <w:tcPr>
            <w:tcW w:w="1661" w:type="dxa"/>
            <w:shd w:val="clear" w:color="auto" w:fill="auto"/>
          </w:tcPr>
          <w:p w:rsidR="00CB0DD7" w:rsidRPr="000A0A5F" w:rsidRDefault="00CB0DD7">
            <w:pPr>
              <w:pStyle w:val="TAL"/>
              <w:rPr>
                <w:rFonts w:eastAsia="Times New Roman"/>
              </w:rPr>
            </w:pPr>
            <w:r w:rsidRPr="000A0A5F">
              <w:rPr>
                <w:lang w:eastAsia="zh-CN"/>
              </w:rPr>
              <w:t>maximumResponseTime</w:t>
            </w:r>
          </w:p>
        </w:tc>
        <w:tc>
          <w:tcPr>
            <w:tcW w:w="1134" w:type="dxa"/>
            <w:shd w:val="clear" w:color="auto" w:fill="auto"/>
          </w:tcPr>
          <w:p w:rsidR="00CB0DD7" w:rsidRPr="000A0A5F" w:rsidRDefault="00CB0DD7">
            <w:pPr>
              <w:pStyle w:val="TAL"/>
              <w:rPr>
                <w:rFonts w:eastAsia="Times New Roman"/>
              </w:rPr>
            </w:pPr>
            <w:r w:rsidRPr="000A0A5F">
              <w:rPr>
                <w:lang w:eastAsia="zh-CN"/>
              </w:rPr>
              <w:t>DurationSecRm</w:t>
            </w:r>
          </w:p>
        </w:tc>
        <w:tc>
          <w:tcPr>
            <w:tcW w:w="1134" w:type="dxa"/>
          </w:tcPr>
          <w:p w:rsidR="00CB0DD7" w:rsidRPr="000A0A5F" w:rsidRDefault="00CB0DD7">
            <w:pPr>
              <w:pStyle w:val="TAC"/>
              <w:jc w:val="left"/>
              <w:rPr>
                <w:rFonts w:eastAsia="Times New Roman"/>
              </w:rPr>
            </w:pPr>
            <w:r w:rsidRPr="000A0A5F">
              <w:rPr>
                <w:rFonts w:eastAsia="Times New Roman"/>
              </w:rPr>
              <w:t>0..1</w:t>
            </w:r>
          </w:p>
        </w:tc>
        <w:tc>
          <w:tcPr>
            <w:tcW w:w="4395" w:type="dxa"/>
          </w:tcPr>
          <w:p w:rsidR="00CB0DD7" w:rsidRPr="000A0A5F" w:rsidRDefault="00CB0DD7">
            <w:pPr>
              <w:pStyle w:val="TAL"/>
              <w:rPr>
                <w:rFonts w:eastAsia="Times New Roman" w:cs="Arial"/>
                <w:szCs w:val="18"/>
              </w:rPr>
            </w:pPr>
            <w:r w:rsidRPr="000A0A5F">
              <w:rPr>
                <w:rFonts w:cs="Arial"/>
                <w:szCs w:val="18"/>
                <w:lang w:eastAsia="zh-CN"/>
              </w:rPr>
              <w:t>This parameter may be included to identify the length of time for which the UE stays reachable to allow the SCS/AS to reliably deliver the required downlink data.</w:t>
            </w:r>
          </w:p>
        </w:tc>
        <w:tc>
          <w:tcPr>
            <w:tcW w:w="1235" w:type="dxa"/>
          </w:tcPr>
          <w:p w:rsidR="00CB0DD7" w:rsidRPr="000A0A5F" w:rsidRDefault="00CB0DD7">
            <w:pPr>
              <w:pStyle w:val="TAC"/>
              <w:jc w:val="left"/>
              <w:rPr>
                <w:rFonts w:eastAsia="Times New Roman"/>
              </w:rPr>
            </w:pPr>
          </w:p>
        </w:tc>
      </w:tr>
      <w:tr w:rsidR="00CB0DD7" w:rsidRPr="000A0A5F" w:rsidTr="00FF0AF8">
        <w:trPr>
          <w:jc w:val="center"/>
        </w:trPr>
        <w:tc>
          <w:tcPr>
            <w:tcW w:w="1661" w:type="dxa"/>
            <w:shd w:val="clear" w:color="auto" w:fill="auto"/>
          </w:tcPr>
          <w:p w:rsidR="00CB0DD7" w:rsidRPr="000A0A5F" w:rsidRDefault="00CB0DD7">
            <w:pPr>
              <w:pStyle w:val="TAL"/>
              <w:rPr>
                <w:rFonts w:eastAsia="Times New Roman"/>
              </w:rPr>
            </w:pPr>
            <w:r w:rsidRPr="000A0A5F">
              <w:rPr>
                <w:lang w:eastAsia="zh-CN"/>
              </w:rPr>
              <w:t>s</w:t>
            </w:r>
            <w:r w:rsidRPr="000A0A5F">
              <w:rPr>
                <w:rFonts w:hint="eastAsia"/>
                <w:lang w:eastAsia="zh-CN"/>
              </w:rPr>
              <w:t>uggestedNumber</w:t>
            </w:r>
            <w:r w:rsidRPr="000A0A5F">
              <w:rPr>
                <w:lang w:eastAsia="zh-CN"/>
              </w:rPr>
              <w:t>OfDlPackets</w:t>
            </w:r>
          </w:p>
        </w:tc>
        <w:tc>
          <w:tcPr>
            <w:tcW w:w="1134" w:type="dxa"/>
            <w:shd w:val="clear" w:color="auto" w:fill="auto"/>
          </w:tcPr>
          <w:p w:rsidR="00CB0DD7" w:rsidRPr="000A0A5F" w:rsidRDefault="00CB0DD7">
            <w:pPr>
              <w:pStyle w:val="TAL"/>
              <w:rPr>
                <w:rFonts w:eastAsia="Times New Roman"/>
              </w:rPr>
            </w:pPr>
            <w:r w:rsidRPr="000A0A5F">
              <w:rPr>
                <w:lang w:eastAsia="zh-CN"/>
              </w:rPr>
              <w:t>integer</w:t>
            </w:r>
          </w:p>
        </w:tc>
        <w:tc>
          <w:tcPr>
            <w:tcW w:w="1134" w:type="dxa"/>
          </w:tcPr>
          <w:p w:rsidR="00CB0DD7" w:rsidRPr="000A0A5F" w:rsidRDefault="00CB0DD7">
            <w:pPr>
              <w:pStyle w:val="TAC"/>
              <w:jc w:val="left"/>
              <w:rPr>
                <w:rFonts w:eastAsia="Times New Roman"/>
              </w:rPr>
            </w:pPr>
            <w:r w:rsidRPr="000A0A5F">
              <w:rPr>
                <w:rFonts w:eastAsia="Times New Roman"/>
              </w:rPr>
              <w:t>0..1</w:t>
            </w:r>
          </w:p>
        </w:tc>
        <w:tc>
          <w:tcPr>
            <w:tcW w:w="4395" w:type="dxa"/>
          </w:tcPr>
          <w:p w:rsidR="00CB0DD7" w:rsidRPr="000A0A5F" w:rsidRDefault="00CB0DD7">
            <w:pPr>
              <w:pStyle w:val="TAL"/>
              <w:rPr>
                <w:rFonts w:eastAsia="Times New Roman" w:cs="Arial"/>
                <w:szCs w:val="18"/>
              </w:rPr>
            </w:pPr>
            <w:r w:rsidRPr="000A0A5F">
              <w:rPr>
                <w:rFonts w:cs="Arial"/>
                <w:szCs w:val="18"/>
                <w:lang w:eastAsia="zh-CN"/>
              </w:rPr>
              <w:t>This parameter may be included to identify the number of packets that the serving gateway shall buffer in case that the UE is not reachable.</w:t>
            </w:r>
          </w:p>
        </w:tc>
        <w:tc>
          <w:tcPr>
            <w:tcW w:w="1235" w:type="dxa"/>
          </w:tcPr>
          <w:p w:rsidR="00CB0DD7" w:rsidRPr="000A0A5F" w:rsidRDefault="00CB0DD7">
            <w:pPr>
              <w:pStyle w:val="TAC"/>
              <w:jc w:val="left"/>
              <w:rPr>
                <w:rFonts w:eastAsia="Times New Roman"/>
              </w:rPr>
            </w:pPr>
          </w:p>
        </w:tc>
      </w:tr>
      <w:tr w:rsidR="00CB0DD7" w:rsidRPr="000A0A5F" w:rsidTr="00FF0AF8">
        <w:trPr>
          <w:jc w:val="center"/>
        </w:trPr>
        <w:tc>
          <w:tcPr>
            <w:tcW w:w="1661" w:type="dxa"/>
            <w:shd w:val="clear" w:color="auto" w:fill="auto"/>
          </w:tcPr>
          <w:p w:rsidR="00CB0DD7" w:rsidRPr="000A0A5F" w:rsidRDefault="00CB0DD7">
            <w:pPr>
              <w:pStyle w:val="TAL"/>
              <w:rPr>
                <w:rFonts w:hint="eastAsia"/>
                <w:lang w:eastAsia="zh-CN"/>
              </w:rPr>
            </w:pPr>
            <w:r w:rsidRPr="000A0A5F">
              <w:rPr>
                <w:rFonts w:hint="eastAsia"/>
                <w:lang w:eastAsia="zh-CN"/>
              </w:rPr>
              <w:t>groupReportGuardTime</w:t>
            </w:r>
          </w:p>
        </w:tc>
        <w:tc>
          <w:tcPr>
            <w:tcW w:w="1134" w:type="dxa"/>
            <w:shd w:val="clear" w:color="auto" w:fill="auto"/>
          </w:tcPr>
          <w:p w:rsidR="00CB0DD7" w:rsidRPr="000A0A5F" w:rsidRDefault="00CB0DD7">
            <w:pPr>
              <w:pStyle w:val="TAL"/>
              <w:rPr>
                <w:rFonts w:eastAsia="Times New Roman"/>
              </w:rPr>
            </w:pPr>
            <w:r w:rsidRPr="000A0A5F">
              <w:rPr>
                <w:lang w:eastAsia="zh-CN"/>
              </w:rPr>
              <w:t>DurationSecRm</w:t>
            </w:r>
          </w:p>
        </w:tc>
        <w:tc>
          <w:tcPr>
            <w:tcW w:w="1134" w:type="dxa"/>
          </w:tcPr>
          <w:p w:rsidR="00CB0DD7" w:rsidRPr="000A0A5F" w:rsidRDefault="00CB0DD7">
            <w:pPr>
              <w:pStyle w:val="TAC"/>
              <w:jc w:val="left"/>
              <w:rPr>
                <w:rFonts w:eastAsia="Times New Roman"/>
              </w:rPr>
            </w:pPr>
            <w:r w:rsidRPr="000A0A5F">
              <w:rPr>
                <w:rFonts w:eastAsia="Times New Roman"/>
              </w:rPr>
              <w:t>0..1</w:t>
            </w:r>
          </w:p>
        </w:tc>
        <w:tc>
          <w:tcPr>
            <w:tcW w:w="4395" w:type="dxa"/>
          </w:tcPr>
          <w:p w:rsidR="00CB0DD7" w:rsidRPr="000A0A5F" w:rsidRDefault="00CB0DD7">
            <w:pPr>
              <w:pStyle w:val="TAL"/>
              <w:rPr>
                <w:rFonts w:eastAsia="Times New Roman" w:cs="Arial"/>
                <w:szCs w:val="18"/>
              </w:rPr>
            </w:pPr>
            <w:r w:rsidRPr="000A0A5F">
              <w:rPr>
                <w:rFonts w:cs="Arial"/>
                <w:szCs w:val="18"/>
                <w:lang w:eastAsia="zh-CN"/>
              </w:rPr>
              <w:t>Identifies the time for which the SCEF can aggregate the reports detected by the UEs in a group and report them together to the SCS/AS, as specified in clause 5.6.0 of 3GPP TS 23.682 [</w:t>
            </w:r>
            <w:r w:rsidRPr="000A0A5F">
              <w:rPr>
                <w:rFonts w:cs="Arial"/>
                <w:szCs w:val="18"/>
                <w:lang w:val="en-US" w:eastAsia="zh-CN"/>
              </w:rPr>
              <w:t>2</w:t>
            </w:r>
            <w:r w:rsidRPr="000A0A5F">
              <w:rPr>
                <w:rFonts w:cs="Arial"/>
                <w:szCs w:val="18"/>
                <w:lang w:eastAsia="zh-CN"/>
              </w:rPr>
              <w:t>].</w:t>
            </w:r>
          </w:p>
        </w:tc>
        <w:tc>
          <w:tcPr>
            <w:tcW w:w="1235" w:type="dxa"/>
          </w:tcPr>
          <w:p w:rsidR="00CB0DD7" w:rsidRPr="000A0A5F" w:rsidRDefault="00CB0DD7">
            <w:pPr>
              <w:pStyle w:val="TAC"/>
              <w:jc w:val="left"/>
              <w:rPr>
                <w:rFonts w:eastAsia="Times New Roman"/>
              </w:rPr>
            </w:pPr>
          </w:p>
        </w:tc>
      </w:tr>
      <w:tr w:rsidR="00CB0DD7" w:rsidRPr="000A0A5F" w:rsidTr="00FF0AF8">
        <w:trPr>
          <w:jc w:val="center"/>
        </w:trPr>
        <w:tc>
          <w:tcPr>
            <w:tcW w:w="1661" w:type="dxa"/>
            <w:shd w:val="clear" w:color="auto" w:fill="auto"/>
          </w:tcPr>
          <w:p w:rsidR="00CB0DD7" w:rsidRPr="000A0A5F" w:rsidRDefault="00CB0DD7">
            <w:pPr>
              <w:pStyle w:val="TAL"/>
              <w:rPr>
                <w:rFonts w:hint="eastAsia"/>
                <w:lang w:eastAsia="zh-CN"/>
              </w:rPr>
            </w:pPr>
            <w:r w:rsidRPr="000A0A5F">
              <w:rPr>
                <w:rFonts w:hint="eastAsia"/>
                <w:lang w:eastAsia="zh-CN"/>
              </w:rPr>
              <w:t>validityTime</w:t>
            </w:r>
          </w:p>
        </w:tc>
        <w:tc>
          <w:tcPr>
            <w:tcW w:w="1134" w:type="dxa"/>
            <w:shd w:val="clear" w:color="auto" w:fill="auto"/>
          </w:tcPr>
          <w:p w:rsidR="00CB0DD7" w:rsidRPr="000A0A5F" w:rsidRDefault="00CB0DD7">
            <w:pPr>
              <w:pStyle w:val="TAL"/>
              <w:rPr>
                <w:lang w:eastAsia="zh-CN"/>
              </w:rPr>
            </w:pPr>
            <w:r w:rsidRPr="000A0A5F">
              <w:rPr>
                <w:lang w:eastAsia="zh-CN"/>
              </w:rPr>
              <w:t>D</w:t>
            </w:r>
            <w:r w:rsidRPr="000A0A5F">
              <w:rPr>
                <w:rFonts w:hint="eastAsia"/>
                <w:lang w:eastAsia="zh-CN"/>
              </w:rPr>
              <w:t>ateTime</w:t>
            </w:r>
            <w:r w:rsidRPr="000A0A5F">
              <w:rPr>
                <w:lang w:eastAsia="zh-CN"/>
              </w:rPr>
              <w:t>Rm</w:t>
            </w:r>
          </w:p>
        </w:tc>
        <w:tc>
          <w:tcPr>
            <w:tcW w:w="1134" w:type="dxa"/>
          </w:tcPr>
          <w:p w:rsidR="00CB0DD7" w:rsidRPr="000A0A5F" w:rsidRDefault="00CB0DD7">
            <w:pPr>
              <w:pStyle w:val="TAC"/>
              <w:jc w:val="left"/>
              <w:rPr>
                <w:rFonts w:eastAsia="Times New Roman"/>
              </w:rPr>
            </w:pPr>
            <w:r w:rsidRPr="000A0A5F">
              <w:rPr>
                <w:rFonts w:hint="eastAsia"/>
                <w:lang w:eastAsia="zh-CN"/>
              </w:rPr>
              <w:t>0..1</w:t>
            </w:r>
          </w:p>
        </w:tc>
        <w:tc>
          <w:tcPr>
            <w:tcW w:w="4395" w:type="dxa"/>
          </w:tcPr>
          <w:p w:rsidR="00CB0DD7" w:rsidRPr="000A0A5F" w:rsidRDefault="00CB0DD7">
            <w:pPr>
              <w:pStyle w:val="TAL"/>
              <w:rPr>
                <w:rFonts w:cs="Arial"/>
                <w:szCs w:val="18"/>
                <w:lang w:eastAsia="zh-CN"/>
              </w:rPr>
            </w:pPr>
            <w:r w:rsidRPr="000A0A5F">
              <w:rPr>
                <w:rFonts w:cs="Arial" w:hint="eastAsia"/>
                <w:szCs w:val="18"/>
                <w:lang w:eastAsia="zh-CN"/>
              </w:rPr>
              <w:t>Identifies when the</w:t>
            </w:r>
            <w:r w:rsidRPr="000A0A5F">
              <w:rPr>
                <w:rFonts w:cs="Arial"/>
                <w:szCs w:val="18"/>
                <w:lang w:eastAsia="zh-CN"/>
              </w:rPr>
              <w:t xml:space="preserve"> network</w:t>
            </w:r>
            <w:r w:rsidRPr="000A0A5F">
              <w:rPr>
                <w:rFonts w:cs="Arial" w:hint="eastAsia"/>
                <w:szCs w:val="18"/>
                <w:lang w:eastAsia="zh-CN"/>
              </w:rPr>
              <w:t xml:space="preserve"> parameter</w:t>
            </w:r>
            <w:r w:rsidRPr="000A0A5F">
              <w:rPr>
                <w:rFonts w:cs="Arial"/>
                <w:szCs w:val="18"/>
                <w:lang w:eastAsia="zh-CN"/>
              </w:rPr>
              <w:t xml:space="preserve"> </w:t>
            </w:r>
            <w:r w:rsidRPr="000A0A5F">
              <w:rPr>
                <w:rFonts w:cs="Arial" w:hint="eastAsia"/>
                <w:szCs w:val="18"/>
                <w:lang w:eastAsia="zh-CN"/>
              </w:rPr>
              <w:t>expires and shall be deleted</w:t>
            </w:r>
            <w:r w:rsidRPr="000A0A5F">
              <w:rPr>
                <w:rFonts w:cs="Arial"/>
                <w:szCs w:val="18"/>
                <w:lang w:eastAsia="zh-CN"/>
              </w:rPr>
              <w:t xml:space="preserve"> locally if it expires.</w:t>
            </w:r>
            <w:r w:rsidRPr="000A0A5F">
              <w:t xml:space="preserve"> The attribute is only applicable in 5G.</w:t>
            </w:r>
          </w:p>
        </w:tc>
        <w:tc>
          <w:tcPr>
            <w:tcW w:w="1235" w:type="dxa"/>
          </w:tcPr>
          <w:p w:rsidR="00CB0DD7" w:rsidRPr="000A0A5F" w:rsidRDefault="00CB0DD7">
            <w:pPr>
              <w:pStyle w:val="TAC"/>
              <w:jc w:val="left"/>
              <w:rPr>
                <w:rFonts w:eastAsia="Times New Roman"/>
              </w:rPr>
            </w:pPr>
            <w:r w:rsidRPr="000A0A5F">
              <w:rPr>
                <w:lang w:eastAsia="zh-CN"/>
              </w:rPr>
              <w:t>NpExpiry_5G</w:t>
            </w:r>
          </w:p>
        </w:tc>
      </w:tr>
      <w:tr w:rsidR="00CB0DD7" w:rsidRPr="000A0A5F" w:rsidTr="00FF0AF8">
        <w:trPr>
          <w:jc w:val="center"/>
        </w:trPr>
        <w:tc>
          <w:tcPr>
            <w:tcW w:w="1661" w:type="dxa"/>
            <w:shd w:val="clear" w:color="auto" w:fill="auto"/>
          </w:tcPr>
          <w:p w:rsidR="00CB0DD7" w:rsidRPr="000A0A5F" w:rsidRDefault="00CB0DD7">
            <w:pPr>
              <w:pStyle w:val="TAL"/>
              <w:rPr>
                <w:rFonts w:hint="eastAsia"/>
                <w:lang w:eastAsia="zh-CN"/>
              </w:rPr>
            </w:pPr>
            <w:r w:rsidRPr="000A0A5F">
              <w:rPr>
                <w:rFonts w:hint="eastAsia"/>
                <w:lang w:eastAsia="zh-CN"/>
              </w:rPr>
              <w:t>n</w:t>
            </w:r>
            <w:r w:rsidRPr="000A0A5F">
              <w:rPr>
                <w:lang w:eastAsia="zh-CN"/>
              </w:rPr>
              <w:t>otificationDestination</w:t>
            </w:r>
          </w:p>
        </w:tc>
        <w:tc>
          <w:tcPr>
            <w:tcW w:w="1134" w:type="dxa"/>
            <w:shd w:val="clear" w:color="auto" w:fill="auto"/>
          </w:tcPr>
          <w:p w:rsidR="00CB0DD7" w:rsidRPr="000A0A5F" w:rsidRDefault="00CB0DD7">
            <w:pPr>
              <w:pStyle w:val="TAL"/>
              <w:rPr>
                <w:lang w:eastAsia="zh-CN"/>
              </w:rPr>
            </w:pPr>
            <w:r w:rsidRPr="000A0A5F">
              <w:rPr>
                <w:rFonts w:hint="eastAsia"/>
                <w:lang w:eastAsia="zh-CN"/>
              </w:rPr>
              <w:t>L</w:t>
            </w:r>
            <w:r w:rsidRPr="000A0A5F">
              <w:rPr>
                <w:lang w:eastAsia="zh-CN"/>
              </w:rPr>
              <w:t>ink</w:t>
            </w:r>
          </w:p>
        </w:tc>
        <w:tc>
          <w:tcPr>
            <w:tcW w:w="1134" w:type="dxa"/>
          </w:tcPr>
          <w:p w:rsidR="00CB0DD7" w:rsidRPr="000A0A5F" w:rsidRDefault="00CB0DD7">
            <w:pPr>
              <w:pStyle w:val="TAC"/>
              <w:jc w:val="left"/>
              <w:rPr>
                <w:rFonts w:hint="eastAsia"/>
                <w:lang w:eastAsia="zh-CN"/>
              </w:rPr>
            </w:pPr>
            <w:r w:rsidRPr="000A0A5F">
              <w:rPr>
                <w:rFonts w:hint="eastAsia"/>
                <w:lang w:eastAsia="zh-CN"/>
              </w:rPr>
              <w:t>0</w:t>
            </w:r>
            <w:r w:rsidRPr="000A0A5F">
              <w:rPr>
                <w:lang w:eastAsia="zh-CN"/>
              </w:rPr>
              <w:t>..1</w:t>
            </w:r>
          </w:p>
        </w:tc>
        <w:tc>
          <w:tcPr>
            <w:tcW w:w="4395" w:type="dxa"/>
          </w:tcPr>
          <w:p w:rsidR="00CB0DD7" w:rsidRPr="000A0A5F" w:rsidRDefault="00CB0DD7">
            <w:pPr>
              <w:pStyle w:val="TAL"/>
              <w:rPr>
                <w:rFonts w:cs="Arial" w:hint="eastAsia"/>
                <w:szCs w:val="18"/>
                <w:lang w:eastAsia="zh-CN"/>
              </w:rPr>
            </w:pPr>
            <w:r w:rsidRPr="000A0A5F">
              <w:rPr>
                <w:rFonts w:cs="Arial"/>
                <w:szCs w:val="18"/>
                <w:lang w:eastAsia="zh-CN"/>
              </w:rPr>
              <w:t>A URI indicating the notification destination where T8 notification requests shall be delivered.</w:t>
            </w:r>
          </w:p>
        </w:tc>
        <w:tc>
          <w:tcPr>
            <w:tcW w:w="1235" w:type="dxa"/>
          </w:tcPr>
          <w:p w:rsidR="00CB0DD7" w:rsidRPr="000A0A5F" w:rsidRDefault="00CB0DD7">
            <w:pPr>
              <w:pStyle w:val="TAC"/>
              <w:jc w:val="left"/>
              <w:rPr>
                <w:lang w:eastAsia="zh-CN"/>
              </w:rPr>
            </w:pPr>
          </w:p>
        </w:tc>
      </w:tr>
      <w:tr w:rsidR="00CB0DD7" w:rsidRPr="000A0A5F" w:rsidTr="00FF0AF8">
        <w:trPr>
          <w:jc w:val="center"/>
        </w:trPr>
        <w:tc>
          <w:tcPr>
            <w:tcW w:w="9559" w:type="dxa"/>
            <w:gridSpan w:val="5"/>
            <w:shd w:val="clear" w:color="auto" w:fill="auto"/>
          </w:tcPr>
          <w:p w:rsidR="00CB0DD7" w:rsidRPr="000A0A5F" w:rsidRDefault="00CB0DD7">
            <w:pPr>
              <w:pStyle w:val="TAN"/>
            </w:pPr>
            <w:r w:rsidRPr="000A0A5F">
              <w:t>NOTE:</w:t>
            </w:r>
            <w:r w:rsidRPr="000A0A5F">
              <w:tab/>
              <w:t>Properties marked with a feature as defined in clause 5.13.4 are applicable as described in clause 5.2.7. If no feature are indicated, the related property applies for all the features.</w:t>
            </w:r>
          </w:p>
        </w:tc>
      </w:tr>
    </w:tbl>
    <w:p w:rsidR="00CB0DD7" w:rsidRPr="000A0A5F" w:rsidRDefault="00CB0DD7"/>
    <w:p w:rsidR="00CB0DD7" w:rsidRPr="000A0A5F" w:rsidRDefault="00CB0DD7">
      <w:pPr>
        <w:pStyle w:val="Heading5"/>
      </w:pPr>
      <w:bookmarkStart w:id="8674" w:name="_Toc11247842"/>
      <w:bookmarkStart w:id="8675" w:name="_Toc27044986"/>
      <w:bookmarkStart w:id="8676" w:name="_Toc36034028"/>
      <w:bookmarkStart w:id="8677" w:name="_Toc45132175"/>
      <w:bookmarkStart w:id="8678" w:name="_Toc49776460"/>
      <w:bookmarkStart w:id="8679" w:name="_Toc51747380"/>
      <w:bookmarkStart w:id="8680" w:name="_Toc66360956"/>
      <w:bookmarkStart w:id="8681" w:name="_Toc68105461"/>
      <w:bookmarkStart w:id="8682" w:name="_Toc74756091"/>
      <w:bookmarkStart w:id="8683" w:name="_Toc105674968"/>
      <w:bookmarkStart w:id="8684" w:name="_Toc130503036"/>
      <w:bookmarkStart w:id="8685" w:name="_Toc153625824"/>
      <w:r w:rsidRPr="000A0A5F">
        <w:t>5.13.2.1.4</w:t>
      </w:r>
      <w:r w:rsidRPr="000A0A5F">
        <w:tab/>
        <w:t>Type: ConfigurationNotification</w:t>
      </w:r>
      <w:bookmarkEnd w:id="8674"/>
      <w:bookmarkEnd w:id="8675"/>
      <w:bookmarkEnd w:id="8676"/>
      <w:bookmarkEnd w:id="8677"/>
      <w:bookmarkEnd w:id="8678"/>
      <w:bookmarkEnd w:id="8679"/>
      <w:bookmarkEnd w:id="8680"/>
      <w:bookmarkEnd w:id="8681"/>
      <w:bookmarkEnd w:id="8682"/>
      <w:bookmarkEnd w:id="8683"/>
      <w:bookmarkEnd w:id="8684"/>
      <w:bookmarkEnd w:id="8685"/>
    </w:p>
    <w:p w:rsidR="00CB0DD7" w:rsidRPr="000A0A5F" w:rsidRDefault="00CB0DD7">
      <w:r w:rsidRPr="000A0A5F">
        <w:t>This type represents a configuration result notification.</w:t>
      </w:r>
    </w:p>
    <w:p w:rsidR="00CB0DD7" w:rsidRPr="000A0A5F" w:rsidRDefault="00CB0DD7">
      <w:pPr>
        <w:pStyle w:val="TH"/>
      </w:pPr>
      <w:r w:rsidRPr="000A0A5F">
        <w:rPr>
          <w:noProof/>
        </w:rPr>
        <w:t>Table </w:t>
      </w:r>
      <w:r w:rsidRPr="000A0A5F">
        <w:t xml:space="preserve">5.13.2.1.4-1: </w:t>
      </w:r>
      <w:r w:rsidRPr="000A0A5F">
        <w:rPr>
          <w:noProof/>
        </w:rPr>
        <w:t xml:space="preserve">Definition of the </w:t>
      </w:r>
      <w:r w:rsidRPr="000A0A5F">
        <w:t>ConfigurationNotification data type</w:t>
      </w:r>
    </w:p>
    <w:tbl>
      <w:tblPr>
        <w:tblW w:w="955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803"/>
        <w:gridCol w:w="1985"/>
        <w:gridCol w:w="1417"/>
        <w:gridCol w:w="3119"/>
        <w:gridCol w:w="1235"/>
      </w:tblGrid>
      <w:tr w:rsidR="00CB0DD7" w:rsidRPr="000A0A5F" w:rsidTr="00FF0AF8">
        <w:trPr>
          <w:trHeight w:val="288"/>
          <w:jc w:val="center"/>
        </w:trPr>
        <w:tc>
          <w:tcPr>
            <w:tcW w:w="1803" w:type="dxa"/>
            <w:shd w:val="clear" w:color="auto" w:fill="C0C0C0"/>
          </w:tcPr>
          <w:p w:rsidR="00CB0DD7" w:rsidRPr="000A0A5F" w:rsidRDefault="00CB0DD7">
            <w:pPr>
              <w:pStyle w:val="TAH"/>
              <w:rPr>
                <w:rFonts w:eastAsia="Times New Roman"/>
              </w:rPr>
            </w:pPr>
            <w:r w:rsidRPr="000A0A5F">
              <w:rPr>
                <w:rFonts w:eastAsia="Times New Roman"/>
              </w:rPr>
              <w:t>Attribute name</w:t>
            </w:r>
          </w:p>
        </w:tc>
        <w:tc>
          <w:tcPr>
            <w:tcW w:w="1985" w:type="dxa"/>
            <w:shd w:val="clear" w:color="auto" w:fill="C0C0C0"/>
          </w:tcPr>
          <w:p w:rsidR="00CB0DD7" w:rsidRPr="000A0A5F" w:rsidRDefault="00CB0DD7">
            <w:pPr>
              <w:pStyle w:val="TAH"/>
              <w:rPr>
                <w:rFonts w:eastAsia="Times New Roman"/>
              </w:rPr>
            </w:pPr>
            <w:r w:rsidRPr="000A0A5F">
              <w:rPr>
                <w:rFonts w:eastAsia="Times New Roman"/>
              </w:rPr>
              <w:t>Data type</w:t>
            </w:r>
          </w:p>
        </w:tc>
        <w:tc>
          <w:tcPr>
            <w:tcW w:w="1417" w:type="dxa"/>
            <w:shd w:val="clear" w:color="auto" w:fill="C0C0C0"/>
          </w:tcPr>
          <w:p w:rsidR="00CB0DD7" w:rsidRPr="000A0A5F" w:rsidRDefault="00CB0DD7">
            <w:pPr>
              <w:pStyle w:val="TAH"/>
              <w:rPr>
                <w:rFonts w:eastAsia="Times New Roman"/>
              </w:rPr>
            </w:pPr>
            <w:r w:rsidRPr="000A0A5F">
              <w:rPr>
                <w:rFonts w:eastAsia="Times New Roman"/>
              </w:rPr>
              <w:t>Cardinality</w:t>
            </w:r>
          </w:p>
        </w:tc>
        <w:tc>
          <w:tcPr>
            <w:tcW w:w="3119"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Description</w:t>
            </w:r>
          </w:p>
        </w:tc>
        <w:tc>
          <w:tcPr>
            <w:tcW w:w="1235" w:type="dxa"/>
            <w:shd w:val="clear" w:color="auto" w:fill="C0C0C0"/>
          </w:tcPr>
          <w:p w:rsidR="00CB0DD7" w:rsidRPr="000A0A5F" w:rsidRDefault="00CB0DD7">
            <w:pPr>
              <w:pStyle w:val="TAH"/>
              <w:rPr>
                <w:rFonts w:eastAsia="Times New Roman"/>
              </w:rPr>
            </w:pPr>
            <w:r w:rsidRPr="000A0A5F">
              <w:rPr>
                <w:rFonts w:eastAsia="Times New Roman" w:cs="Arial"/>
                <w:szCs w:val="18"/>
              </w:rPr>
              <w:t>Applicability (NOTE)</w:t>
            </w:r>
          </w:p>
        </w:tc>
      </w:tr>
      <w:tr w:rsidR="00CB0DD7" w:rsidRPr="000A0A5F" w:rsidTr="00FF0AF8">
        <w:trPr>
          <w:jc w:val="center"/>
        </w:trPr>
        <w:tc>
          <w:tcPr>
            <w:tcW w:w="1803" w:type="dxa"/>
            <w:shd w:val="clear" w:color="auto" w:fill="auto"/>
          </w:tcPr>
          <w:p w:rsidR="00CB0DD7" w:rsidRPr="000A0A5F" w:rsidRDefault="00CB0DD7">
            <w:pPr>
              <w:pStyle w:val="TAL"/>
              <w:rPr>
                <w:rFonts w:hint="eastAsia"/>
                <w:lang w:eastAsia="zh-CN"/>
              </w:rPr>
            </w:pPr>
            <w:r w:rsidRPr="000A0A5F">
              <w:rPr>
                <w:rFonts w:hint="eastAsia"/>
                <w:lang w:eastAsia="zh-CN"/>
              </w:rPr>
              <w:t>configuration</w:t>
            </w:r>
          </w:p>
        </w:tc>
        <w:tc>
          <w:tcPr>
            <w:tcW w:w="1985" w:type="dxa"/>
            <w:shd w:val="clear" w:color="auto" w:fill="auto"/>
          </w:tcPr>
          <w:p w:rsidR="00CB0DD7" w:rsidRPr="000A0A5F" w:rsidRDefault="00CB0DD7">
            <w:pPr>
              <w:pStyle w:val="TAL"/>
              <w:rPr>
                <w:rFonts w:hint="eastAsia"/>
                <w:lang w:eastAsia="zh-CN"/>
              </w:rPr>
            </w:pPr>
            <w:r w:rsidRPr="000A0A5F">
              <w:rPr>
                <w:lang w:eastAsia="zh-CN"/>
              </w:rPr>
              <w:t>Link</w:t>
            </w:r>
          </w:p>
        </w:tc>
        <w:tc>
          <w:tcPr>
            <w:tcW w:w="1417" w:type="dxa"/>
          </w:tcPr>
          <w:p w:rsidR="00CB0DD7" w:rsidRPr="000A0A5F" w:rsidRDefault="00CB0DD7">
            <w:pPr>
              <w:pStyle w:val="TAC"/>
              <w:jc w:val="left"/>
              <w:rPr>
                <w:rFonts w:eastAsia="Batang"/>
                <w:lang w:eastAsia="zh-CN"/>
              </w:rPr>
            </w:pPr>
            <w:r w:rsidRPr="000A0A5F">
              <w:rPr>
                <w:lang w:eastAsia="zh-CN"/>
              </w:rPr>
              <w:t>1</w:t>
            </w:r>
          </w:p>
        </w:tc>
        <w:tc>
          <w:tcPr>
            <w:tcW w:w="3119" w:type="dxa"/>
          </w:tcPr>
          <w:p w:rsidR="00CB0DD7" w:rsidRPr="000A0A5F" w:rsidRDefault="00CB0DD7">
            <w:pPr>
              <w:pStyle w:val="TAL"/>
              <w:rPr>
                <w:rFonts w:eastAsia="Batang"/>
                <w:lang w:eastAsia="zh-CN"/>
              </w:rPr>
            </w:pPr>
            <w:r w:rsidRPr="000A0A5F">
              <w:rPr>
                <w:lang w:eastAsia="zh-CN"/>
              </w:rPr>
              <w:t>Link to the configuration resource to which this notification is related.</w:t>
            </w:r>
          </w:p>
        </w:tc>
        <w:tc>
          <w:tcPr>
            <w:tcW w:w="1235" w:type="dxa"/>
          </w:tcPr>
          <w:p w:rsidR="00CB0DD7" w:rsidRPr="000A0A5F" w:rsidRDefault="00CB0DD7">
            <w:pPr>
              <w:pStyle w:val="TAC"/>
              <w:jc w:val="left"/>
              <w:rPr>
                <w:rFonts w:eastAsia="Batang"/>
                <w:lang w:eastAsia="zh-CN"/>
              </w:rPr>
            </w:pPr>
          </w:p>
        </w:tc>
      </w:tr>
      <w:tr w:rsidR="00CB0DD7" w:rsidRPr="000A0A5F" w:rsidTr="00FF0AF8">
        <w:trPr>
          <w:jc w:val="center"/>
        </w:trPr>
        <w:tc>
          <w:tcPr>
            <w:tcW w:w="1803" w:type="dxa"/>
            <w:shd w:val="clear" w:color="auto" w:fill="auto"/>
          </w:tcPr>
          <w:p w:rsidR="00CB0DD7" w:rsidRPr="000A0A5F" w:rsidRDefault="00CB0DD7">
            <w:pPr>
              <w:pStyle w:val="TAL"/>
              <w:rPr>
                <w:lang w:eastAsia="zh-CN"/>
              </w:rPr>
            </w:pPr>
            <w:r w:rsidRPr="000A0A5F">
              <w:rPr>
                <w:lang w:eastAsia="zh-CN"/>
              </w:rPr>
              <w:t>configResults</w:t>
            </w:r>
          </w:p>
        </w:tc>
        <w:tc>
          <w:tcPr>
            <w:tcW w:w="1985" w:type="dxa"/>
            <w:shd w:val="clear" w:color="auto" w:fill="auto"/>
          </w:tcPr>
          <w:p w:rsidR="00CB0DD7" w:rsidRPr="000A0A5F" w:rsidRDefault="00CB0DD7">
            <w:pPr>
              <w:pStyle w:val="TAL"/>
              <w:rPr>
                <w:rFonts w:hint="eastAsia"/>
                <w:lang w:eastAsia="zh-CN"/>
              </w:rPr>
            </w:pPr>
            <w:r w:rsidRPr="000A0A5F">
              <w:t>array(ConfigResult)</w:t>
            </w:r>
          </w:p>
        </w:tc>
        <w:tc>
          <w:tcPr>
            <w:tcW w:w="1417" w:type="dxa"/>
          </w:tcPr>
          <w:p w:rsidR="00CB0DD7" w:rsidRPr="000A0A5F" w:rsidRDefault="00CB0DD7">
            <w:pPr>
              <w:pStyle w:val="TAC"/>
              <w:jc w:val="left"/>
              <w:rPr>
                <w:rFonts w:eastAsia="Times New Roman"/>
              </w:rPr>
            </w:pPr>
            <w:r w:rsidRPr="000A0A5F">
              <w:rPr>
                <w:rFonts w:eastAsia="Times New Roman"/>
              </w:rPr>
              <w:t>0..N</w:t>
            </w:r>
          </w:p>
        </w:tc>
        <w:tc>
          <w:tcPr>
            <w:tcW w:w="3119" w:type="dxa"/>
          </w:tcPr>
          <w:p w:rsidR="00CB0DD7" w:rsidRPr="000A0A5F" w:rsidRDefault="00CB0DD7">
            <w:pPr>
              <w:pStyle w:val="TAL"/>
              <w:rPr>
                <w:rFonts w:eastAsia="Times New Roman" w:cs="Arial"/>
                <w:szCs w:val="18"/>
              </w:rPr>
            </w:pPr>
            <w:r w:rsidRPr="000A0A5F">
              <w:rPr>
                <w:rFonts w:eastAsia="Times New Roman" w:cs="Arial"/>
                <w:szCs w:val="18"/>
              </w:rPr>
              <w:t>Each element i</w:t>
            </w:r>
            <w:r w:rsidRPr="000A0A5F">
              <w:rPr>
                <w:rFonts w:cs="Arial"/>
                <w:szCs w:val="18"/>
                <w:lang w:eastAsia="zh-CN"/>
              </w:rPr>
              <w:t xml:space="preserve">dentifies </w:t>
            </w:r>
            <w:r w:rsidRPr="000A0A5F">
              <w:t>a notification of grouping configuration result</w:t>
            </w:r>
            <w:r w:rsidRPr="000A0A5F">
              <w:rPr>
                <w:rFonts w:cs="Arial"/>
                <w:szCs w:val="18"/>
                <w:lang w:eastAsia="zh-CN"/>
              </w:rPr>
              <w:t>.</w:t>
            </w:r>
          </w:p>
        </w:tc>
        <w:tc>
          <w:tcPr>
            <w:tcW w:w="1235" w:type="dxa"/>
          </w:tcPr>
          <w:p w:rsidR="00CB0DD7" w:rsidRPr="000A0A5F" w:rsidRDefault="00CB0DD7">
            <w:pPr>
              <w:pStyle w:val="TAC"/>
              <w:jc w:val="left"/>
              <w:rPr>
                <w:rFonts w:eastAsia="Times New Roman"/>
              </w:rPr>
            </w:pPr>
          </w:p>
        </w:tc>
      </w:tr>
      <w:tr w:rsidR="00CB0DD7" w:rsidRPr="000A0A5F" w:rsidTr="00FF0AF8">
        <w:trPr>
          <w:jc w:val="center"/>
        </w:trPr>
        <w:tc>
          <w:tcPr>
            <w:tcW w:w="1803" w:type="dxa"/>
            <w:shd w:val="clear" w:color="auto" w:fill="auto"/>
          </w:tcPr>
          <w:p w:rsidR="00CB0DD7" w:rsidRPr="000A0A5F" w:rsidRDefault="00CB0DD7">
            <w:pPr>
              <w:pStyle w:val="TAL"/>
              <w:rPr>
                <w:lang w:eastAsia="zh-CN"/>
              </w:rPr>
            </w:pPr>
            <w:r w:rsidRPr="000A0A5F">
              <w:rPr>
                <w:lang w:eastAsia="zh-CN"/>
              </w:rPr>
              <w:t>appliedParam</w:t>
            </w:r>
          </w:p>
        </w:tc>
        <w:tc>
          <w:tcPr>
            <w:tcW w:w="1985" w:type="dxa"/>
            <w:shd w:val="clear" w:color="auto" w:fill="auto"/>
          </w:tcPr>
          <w:p w:rsidR="00CB0DD7" w:rsidRPr="000A0A5F" w:rsidRDefault="00CB0DD7">
            <w:pPr>
              <w:pStyle w:val="TAL"/>
            </w:pPr>
            <w:r w:rsidRPr="000A0A5F">
              <w:rPr>
                <w:lang w:eastAsia="zh-CN"/>
              </w:rPr>
              <w:t>AppliedParameterConfiguration</w:t>
            </w:r>
          </w:p>
        </w:tc>
        <w:tc>
          <w:tcPr>
            <w:tcW w:w="1417" w:type="dxa"/>
          </w:tcPr>
          <w:p w:rsidR="00CB0DD7" w:rsidRPr="000A0A5F" w:rsidRDefault="00CB0DD7">
            <w:pPr>
              <w:pStyle w:val="TAC"/>
              <w:jc w:val="left"/>
              <w:rPr>
                <w:rFonts w:eastAsia="Times New Roman"/>
              </w:rPr>
            </w:pPr>
            <w:r w:rsidRPr="000A0A5F">
              <w:rPr>
                <w:lang w:eastAsia="zh-CN"/>
              </w:rPr>
              <w:t>0..1</w:t>
            </w:r>
          </w:p>
        </w:tc>
        <w:tc>
          <w:tcPr>
            <w:tcW w:w="3119" w:type="dxa"/>
          </w:tcPr>
          <w:p w:rsidR="00CB0DD7" w:rsidRPr="000A0A5F" w:rsidRDefault="00CB0DD7">
            <w:pPr>
              <w:pStyle w:val="TAL"/>
              <w:rPr>
                <w:rFonts w:eastAsia="Times New Roman" w:cs="Arial"/>
                <w:szCs w:val="18"/>
              </w:rPr>
            </w:pPr>
            <w:r w:rsidRPr="000A0A5F">
              <w:rPr>
                <w:rFonts w:cs="Arial"/>
                <w:szCs w:val="18"/>
                <w:lang w:eastAsia="zh-CN"/>
              </w:rPr>
              <w:t>Indicates the applied parameter configuration in the network.</w:t>
            </w:r>
            <w:r w:rsidRPr="000A0A5F">
              <w:rPr>
                <w:lang w:eastAsia="zh-CN"/>
              </w:rPr>
              <w:t xml:space="preserve"> The </w:t>
            </w:r>
            <w:r w:rsidRPr="000A0A5F">
              <w:rPr>
                <w:rFonts w:cs="Arial"/>
                <w:szCs w:val="18"/>
              </w:rPr>
              <w:t>"</w:t>
            </w:r>
            <w:r w:rsidRPr="000A0A5F">
              <w:rPr>
                <w:lang w:eastAsia="zh-CN"/>
              </w:rPr>
              <w:t>m</w:t>
            </w:r>
            <w:r w:rsidRPr="000A0A5F">
              <w:rPr>
                <w:rFonts w:hint="eastAsia"/>
                <w:lang w:eastAsia="zh-CN"/>
              </w:rPr>
              <w:t>aximumDetectionTime</w:t>
            </w:r>
            <w:r w:rsidRPr="000A0A5F">
              <w:rPr>
                <w:rFonts w:cs="Arial"/>
                <w:szCs w:val="18"/>
              </w:rPr>
              <w:t>"</w:t>
            </w:r>
            <w:r w:rsidRPr="000A0A5F">
              <w:rPr>
                <w:lang w:eastAsia="zh-CN"/>
              </w:rPr>
              <w:t xml:space="preserve"> attribute</w:t>
            </w:r>
            <w:r w:rsidRPr="000A0A5F">
              <w:rPr>
                <w:rFonts w:cs="Arial"/>
                <w:szCs w:val="18"/>
                <w:lang w:eastAsia="zh-CN"/>
              </w:rPr>
              <w:t xml:space="preserve"> in </w:t>
            </w:r>
            <w:r w:rsidRPr="000A0A5F">
              <w:rPr>
                <w:lang w:eastAsia="zh-CN"/>
              </w:rPr>
              <w:t>AppliedParameterConfiguration</w:t>
            </w:r>
            <w:r w:rsidRPr="000A0A5F">
              <w:rPr>
                <w:rFonts w:cs="Arial"/>
                <w:szCs w:val="18"/>
                <w:lang w:eastAsia="zh-CN"/>
              </w:rPr>
              <w:t xml:space="preserve"> data type is not applicable for Network Parameter configuration.</w:t>
            </w:r>
          </w:p>
        </w:tc>
        <w:tc>
          <w:tcPr>
            <w:tcW w:w="1235" w:type="dxa"/>
          </w:tcPr>
          <w:p w:rsidR="00CB0DD7" w:rsidRPr="000A0A5F" w:rsidRDefault="00CB0DD7">
            <w:pPr>
              <w:pStyle w:val="TAC"/>
              <w:jc w:val="left"/>
              <w:rPr>
                <w:rFonts w:eastAsia="Times New Roman"/>
              </w:rPr>
            </w:pPr>
            <w:r w:rsidRPr="000A0A5F">
              <w:rPr>
                <w:lang w:eastAsia="zh-CN"/>
              </w:rPr>
              <w:t>Enhanced_param_config</w:t>
            </w:r>
          </w:p>
        </w:tc>
      </w:tr>
      <w:tr w:rsidR="00CB0DD7" w:rsidRPr="000A0A5F" w:rsidTr="00FF0AF8">
        <w:trPr>
          <w:jc w:val="center"/>
        </w:trPr>
        <w:tc>
          <w:tcPr>
            <w:tcW w:w="9559" w:type="dxa"/>
            <w:gridSpan w:val="5"/>
            <w:shd w:val="clear" w:color="auto" w:fill="auto"/>
          </w:tcPr>
          <w:p w:rsidR="00CB0DD7" w:rsidRPr="000A0A5F" w:rsidRDefault="00CB0DD7">
            <w:pPr>
              <w:pStyle w:val="NO"/>
              <w:spacing w:after="0"/>
              <w:ind w:left="782" w:hanging="782"/>
              <w:rPr>
                <w:rFonts w:eastAsia="Times New Roman"/>
              </w:rPr>
            </w:pPr>
            <w:r w:rsidRPr="000A0A5F">
              <w:rPr>
                <w:rFonts w:ascii="Arial" w:hAnsi="Arial"/>
                <w:sz w:val="18"/>
              </w:rPr>
              <w:t>NOTE:</w:t>
            </w:r>
            <w:r w:rsidRPr="000A0A5F">
              <w:rPr>
                <w:rFonts w:ascii="Arial" w:hAnsi="Arial"/>
                <w:sz w:val="18"/>
              </w:rPr>
              <w:tab/>
              <w:t>Properties marked with a feature as defined in clause 5.13.4 are applicable as described in clause 5.2.7. If no features are indicated, the related property applies for all the features.</w:t>
            </w:r>
          </w:p>
        </w:tc>
      </w:tr>
    </w:tbl>
    <w:p w:rsidR="00CB0DD7" w:rsidRPr="000A0A5F" w:rsidRDefault="00CB0DD7"/>
    <w:p w:rsidR="00CB0DD7" w:rsidRPr="000A0A5F" w:rsidRDefault="00CB0DD7">
      <w:pPr>
        <w:pStyle w:val="Heading3"/>
      </w:pPr>
      <w:bookmarkStart w:id="8686" w:name="_Toc11247843"/>
      <w:bookmarkStart w:id="8687" w:name="_Toc27044987"/>
      <w:bookmarkStart w:id="8688" w:name="_Toc36034029"/>
      <w:bookmarkStart w:id="8689" w:name="_Toc45132176"/>
      <w:bookmarkStart w:id="8690" w:name="_Toc49776461"/>
      <w:bookmarkStart w:id="8691" w:name="_Toc51747381"/>
      <w:bookmarkStart w:id="8692" w:name="_Toc66360957"/>
      <w:bookmarkStart w:id="8693" w:name="_Toc68105462"/>
      <w:bookmarkStart w:id="8694" w:name="_Toc74756092"/>
      <w:bookmarkStart w:id="8695" w:name="_Toc105674969"/>
      <w:bookmarkStart w:id="8696" w:name="_Toc130503037"/>
      <w:bookmarkStart w:id="8697" w:name="_Toc153625825"/>
      <w:r w:rsidRPr="000A0A5F">
        <w:t>5.13.3</w:t>
      </w:r>
      <w:r w:rsidRPr="000A0A5F">
        <w:tab/>
        <w:t>Resource structure</w:t>
      </w:r>
      <w:bookmarkEnd w:id="8686"/>
      <w:bookmarkEnd w:id="8687"/>
      <w:bookmarkEnd w:id="8688"/>
      <w:bookmarkEnd w:id="8689"/>
      <w:bookmarkEnd w:id="8690"/>
      <w:bookmarkEnd w:id="8691"/>
      <w:bookmarkEnd w:id="8692"/>
      <w:bookmarkEnd w:id="8693"/>
      <w:bookmarkEnd w:id="8694"/>
      <w:bookmarkEnd w:id="8695"/>
      <w:bookmarkEnd w:id="8696"/>
      <w:bookmarkEnd w:id="8697"/>
    </w:p>
    <w:p w:rsidR="00CB0DD7" w:rsidRPr="000A0A5F" w:rsidRDefault="00CB0DD7">
      <w:pPr>
        <w:pStyle w:val="Heading4"/>
      </w:pPr>
      <w:bookmarkStart w:id="8698" w:name="_Toc11247844"/>
      <w:bookmarkStart w:id="8699" w:name="_Toc27044988"/>
      <w:bookmarkStart w:id="8700" w:name="_Toc36034030"/>
      <w:bookmarkStart w:id="8701" w:name="_Toc45132177"/>
      <w:bookmarkStart w:id="8702" w:name="_Toc49776462"/>
      <w:bookmarkStart w:id="8703" w:name="_Toc51747382"/>
      <w:bookmarkStart w:id="8704" w:name="_Toc66360958"/>
      <w:bookmarkStart w:id="8705" w:name="_Toc68105463"/>
      <w:bookmarkStart w:id="8706" w:name="_Toc74756093"/>
      <w:bookmarkStart w:id="8707" w:name="_Toc105674970"/>
      <w:bookmarkStart w:id="8708" w:name="_Toc130503038"/>
      <w:bookmarkStart w:id="8709" w:name="_Toc153625826"/>
      <w:r w:rsidRPr="000A0A5F">
        <w:t>5.13.3.1</w:t>
      </w:r>
      <w:r w:rsidRPr="000A0A5F">
        <w:tab/>
        <w:t>General</w:t>
      </w:r>
      <w:bookmarkEnd w:id="8698"/>
      <w:bookmarkEnd w:id="8699"/>
      <w:bookmarkEnd w:id="8700"/>
      <w:bookmarkEnd w:id="8701"/>
      <w:bookmarkEnd w:id="8702"/>
      <w:bookmarkEnd w:id="8703"/>
      <w:bookmarkEnd w:id="8704"/>
      <w:bookmarkEnd w:id="8705"/>
      <w:bookmarkEnd w:id="8706"/>
      <w:bookmarkEnd w:id="8707"/>
      <w:bookmarkEnd w:id="8708"/>
      <w:bookmarkEnd w:id="8709"/>
    </w:p>
    <w:p w:rsidR="00CB0DD7" w:rsidRPr="000A0A5F" w:rsidRDefault="00CB0DD7">
      <w:r w:rsidRPr="000A0A5F">
        <w:t>All resource URIs of this API should have the following root:</w:t>
      </w:r>
    </w:p>
    <w:p w:rsidR="00CB0DD7" w:rsidRPr="000A0A5F" w:rsidRDefault="00CB0DD7">
      <w:pPr>
        <w:pStyle w:val="B1"/>
        <w:numPr>
          <w:ilvl w:val="0"/>
          <w:numId w:val="0"/>
        </w:numPr>
        <w:ind w:left="737"/>
        <w:rPr>
          <w:b/>
        </w:rPr>
      </w:pPr>
      <w:r w:rsidRPr="000A0A5F">
        <w:rPr>
          <w:b/>
        </w:rPr>
        <w:t>{apiRoot}/3gpp-network-parameter-configuration/v1</w:t>
      </w:r>
    </w:p>
    <w:p w:rsidR="00CB0DD7" w:rsidRPr="000A0A5F" w:rsidRDefault="00CB0DD7">
      <w:r w:rsidRPr="000A0A5F">
        <w:t>"apiRoot" is set as described in clause</w:t>
      </w:r>
      <w:r w:rsidRPr="000A0A5F">
        <w:rPr>
          <w:rFonts w:ascii="Segoe UI Symbol" w:hAnsi="Segoe UI Symbol"/>
        </w:rPr>
        <w:t> </w:t>
      </w:r>
      <w:r w:rsidRPr="000A0A5F">
        <w:t>5.2.4. "apiName" shall be set to "3gpp-network-parameter-configuration" and "apiVersion" shall be set to "v1" for the version defined in the present document. All resource URIs in the clauses below are defined relative to the above root URI.</w:t>
      </w:r>
    </w:p>
    <w:p w:rsidR="00CB0DD7" w:rsidRPr="000A0A5F" w:rsidRDefault="00CB0DD7">
      <w:r w:rsidRPr="000A0A5F">
        <w:t>The following resources and HTTP methods are supported for this API:</w:t>
      </w:r>
    </w:p>
    <w:p w:rsidR="00CB0DD7" w:rsidRPr="000A0A5F" w:rsidRDefault="00CB0DD7">
      <w:pPr>
        <w:pStyle w:val="TH"/>
      </w:pPr>
      <w:r w:rsidRPr="000A0A5F">
        <w:t>Table 5.13.3.1-1: Resources and methods overview</w:t>
      </w:r>
    </w:p>
    <w:tbl>
      <w:tblPr>
        <w:tblW w:w="4941"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1735"/>
        <w:gridCol w:w="4414"/>
        <w:gridCol w:w="1297"/>
        <w:gridCol w:w="2216"/>
      </w:tblGrid>
      <w:tr w:rsidR="00CB0DD7" w:rsidRPr="000A0A5F" w:rsidTr="00FF0AF8">
        <w:trPr>
          <w:trHeight w:val="446"/>
          <w:jc w:val="center"/>
        </w:trPr>
        <w:tc>
          <w:tcPr>
            <w:tcW w:w="898" w:type="pct"/>
            <w:shd w:val="clear" w:color="auto" w:fill="C0C0C0"/>
            <w:vAlign w:val="center"/>
            <w:hideMark/>
          </w:tcPr>
          <w:p w:rsidR="00CB0DD7" w:rsidRPr="000A0A5F" w:rsidRDefault="00CB0DD7">
            <w:pPr>
              <w:pStyle w:val="TAH"/>
              <w:spacing w:line="276" w:lineRule="auto"/>
            </w:pPr>
            <w:r w:rsidRPr="000A0A5F">
              <w:t>Resource name</w:t>
            </w:r>
          </w:p>
        </w:tc>
        <w:tc>
          <w:tcPr>
            <w:tcW w:w="2284" w:type="pct"/>
            <w:shd w:val="clear" w:color="auto" w:fill="C0C0C0"/>
            <w:vAlign w:val="center"/>
            <w:hideMark/>
          </w:tcPr>
          <w:p w:rsidR="00CB0DD7" w:rsidRPr="000A0A5F" w:rsidRDefault="00CB0DD7">
            <w:pPr>
              <w:pStyle w:val="TAH"/>
              <w:spacing w:line="276" w:lineRule="auto"/>
            </w:pPr>
            <w:r w:rsidRPr="000A0A5F">
              <w:t>Resource URI</w:t>
            </w:r>
          </w:p>
        </w:tc>
        <w:tc>
          <w:tcPr>
            <w:tcW w:w="671" w:type="pct"/>
            <w:shd w:val="clear" w:color="auto" w:fill="C0C0C0"/>
            <w:vAlign w:val="center"/>
            <w:hideMark/>
          </w:tcPr>
          <w:p w:rsidR="00CB0DD7" w:rsidRPr="000A0A5F" w:rsidRDefault="00CB0DD7">
            <w:pPr>
              <w:pStyle w:val="TAH"/>
              <w:spacing w:line="276" w:lineRule="auto"/>
            </w:pPr>
            <w:r w:rsidRPr="000A0A5F">
              <w:t>HTTP method</w:t>
            </w:r>
          </w:p>
        </w:tc>
        <w:tc>
          <w:tcPr>
            <w:tcW w:w="1147" w:type="pct"/>
            <w:shd w:val="clear" w:color="auto" w:fill="C0C0C0"/>
            <w:vAlign w:val="center"/>
            <w:hideMark/>
          </w:tcPr>
          <w:p w:rsidR="00CB0DD7" w:rsidRPr="000A0A5F" w:rsidRDefault="00CB0DD7">
            <w:pPr>
              <w:pStyle w:val="TAH"/>
              <w:spacing w:line="276" w:lineRule="auto"/>
            </w:pPr>
            <w:r w:rsidRPr="000A0A5F">
              <w:t>Meaning</w:t>
            </w:r>
          </w:p>
        </w:tc>
      </w:tr>
      <w:tr w:rsidR="00CB0DD7" w:rsidRPr="000A0A5F" w:rsidTr="00FF0AF8">
        <w:trPr>
          <w:jc w:val="center"/>
        </w:trPr>
        <w:tc>
          <w:tcPr>
            <w:tcW w:w="898" w:type="pct"/>
            <w:vMerge w:val="restart"/>
            <w:hideMark/>
          </w:tcPr>
          <w:p w:rsidR="00CB0DD7" w:rsidRPr="000A0A5F" w:rsidRDefault="00CB0DD7">
            <w:pPr>
              <w:pStyle w:val="TAL"/>
              <w:rPr>
                <w:lang w:eastAsia="zh-CN"/>
              </w:rPr>
            </w:pPr>
            <w:r w:rsidRPr="000A0A5F">
              <w:t>NP Configurations</w:t>
            </w:r>
          </w:p>
        </w:tc>
        <w:tc>
          <w:tcPr>
            <w:tcW w:w="2284" w:type="pct"/>
            <w:vMerge w:val="restart"/>
            <w:hideMark/>
          </w:tcPr>
          <w:p w:rsidR="00CB0DD7" w:rsidRPr="000A0A5F" w:rsidRDefault="00CB0DD7">
            <w:pPr>
              <w:pStyle w:val="TAL"/>
            </w:pPr>
            <w:r w:rsidRPr="000A0A5F">
              <w:t>/{scsAsId}/configurations</w:t>
            </w:r>
          </w:p>
        </w:tc>
        <w:tc>
          <w:tcPr>
            <w:tcW w:w="671" w:type="pct"/>
          </w:tcPr>
          <w:p w:rsidR="00CB0DD7" w:rsidRPr="000A0A5F" w:rsidRDefault="00CB0DD7">
            <w:pPr>
              <w:pStyle w:val="TAL"/>
              <w:rPr>
                <w:rFonts w:hint="eastAsia"/>
                <w:lang w:eastAsia="zh-CN"/>
              </w:rPr>
            </w:pPr>
            <w:r w:rsidRPr="000A0A5F">
              <w:t>GET</w:t>
            </w:r>
          </w:p>
        </w:tc>
        <w:tc>
          <w:tcPr>
            <w:tcW w:w="1147" w:type="pct"/>
          </w:tcPr>
          <w:p w:rsidR="00CB0DD7" w:rsidRPr="000A0A5F" w:rsidRDefault="00CB0DD7">
            <w:pPr>
              <w:pStyle w:val="TAL"/>
            </w:pPr>
            <w:r w:rsidRPr="000A0A5F">
              <w:t>Read all NP configurations for a given SCS/AS</w:t>
            </w:r>
          </w:p>
        </w:tc>
      </w:tr>
      <w:tr w:rsidR="00CB0DD7" w:rsidRPr="000A0A5F" w:rsidTr="00FF0AF8">
        <w:trPr>
          <w:jc w:val="center"/>
        </w:trPr>
        <w:tc>
          <w:tcPr>
            <w:tcW w:w="898" w:type="pct"/>
            <w:vMerge/>
          </w:tcPr>
          <w:p w:rsidR="00CB0DD7" w:rsidRPr="000A0A5F" w:rsidRDefault="00CB0DD7">
            <w:pPr>
              <w:pStyle w:val="TAL"/>
            </w:pPr>
          </w:p>
        </w:tc>
        <w:tc>
          <w:tcPr>
            <w:tcW w:w="2284" w:type="pct"/>
            <w:vMerge/>
          </w:tcPr>
          <w:p w:rsidR="00CB0DD7" w:rsidRPr="000A0A5F" w:rsidRDefault="00CB0DD7">
            <w:pPr>
              <w:pStyle w:val="TAL"/>
            </w:pPr>
          </w:p>
        </w:tc>
        <w:tc>
          <w:tcPr>
            <w:tcW w:w="671" w:type="pct"/>
          </w:tcPr>
          <w:p w:rsidR="00CB0DD7" w:rsidRPr="000A0A5F" w:rsidRDefault="00CB0DD7">
            <w:pPr>
              <w:pStyle w:val="TAL"/>
              <w:rPr>
                <w:rFonts w:hint="eastAsia"/>
                <w:lang w:eastAsia="zh-CN"/>
              </w:rPr>
            </w:pPr>
            <w:r w:rsidRPr="000A0A5F">
              <w:rPr>
                <w:rFonts w:hint="eastAsia"/>
                <w:lang w:eastAsia="zh-CN"/>
              </w:rPr>
              <w:t>P</w:t>
            </w:r>
            <w:r w:rsidRPr="000A0A5F">
              <w:rPr>
                <w:lang w:eastAsia="zh-CN"/>
              </w:rPr>
              <w:t>OST</w:t>
            </w:r>
          </w:p>
        </w:tc>
        <w:tc>
          <w:tcPr>
            <w:tcW w:w="1147" w:type="pct"/>
          </w:tcPr>
          <w:p w:rsidR="00CB0DD7" w:rsidRPr="000A0A5F" w:rsidRDefault="00CB0DD7">
            <w:pPr>
              <w:pStyle w:val="TAL"/>
            </w:pPr>
            <w:r w:rsidRPr="000A0A5F">
              <w:t>Create a new NP configuration</w:t>
            </w:r>
          </w:p>
        </w:tc>
      </w:tr>
      <w:tr w:rsidR="00CB0DD7" w:rsidRPr="000A0A5F" w:rsidTr="00FF0AF8">
        <w:trPr>
          <w:jc w:val="center"/>
        </w:trPr>
        <w:tc>
          <w:tcPr>
            <w:tcW w:w="898" w:type="pct"/>
            <w:vMerge w:val="restart"/>
          </w:tcPr>
          <w:p w:rsidR="00CB0DD7" w:rsidRPr="000A0A5F" w:rsidRDefault="00CB0DD7">
            <w:pPr>
              <w:pStyle w:val="TAL"/>
            </w:pPr>
            <w:r w:rsidRPr="000A0A5F">
              <w:t>Individual NP Configuration</w:t>
            </w:r>
          </w:p>
        </w:tc>
        <w:tc>
          <w:tcPr>
            <w:tcW w:w="2284" w:type="pct"/>
            <w:vMerge w:val="restart"/>
          </w:tcPr>
          <w:p w:rsidR="00CB0DD7" w:rsidRPr="000A0A5F" w:rsidRDefault="00CB0DD7">
            <w:pPr>
              <w:pStyle w:val="TAL"/>
            </w:pPr>
            <w:r w:rsidRPr="000A0A5F">
              <w:t xml:space="preserve">/{scsAsId}/configurations/{configurationId} </w:t>
            </w:r>
          </w:p>
        </w:tc>
        <w:tc>
          <w:tcPr>
            <w:tcW w:w="671" w:type="pct"/>
          </w:tcPr>
          <w:p w:rsidR="00CB0DD7" w:rsidRPr="000A0A5F" w:rsidRDefault="00CB0DD7">
            <w:pPr>
              <w:pStyle w:val="TAL"/>
              <w:rPr>
                <w:rFonts w:hint="eastAsia"/>
                <w:lang w:eastAsia="zh-CN"/>
              </w:rPr>
            </w:pPr>
            <w:r w:rsidRPr="000A0A5F">
              <w:t>PUT</w:t>
            </w:r>
          </w:p>
        </w:tc>
        <w:tc>
          <w:tcPr>
            <w:tcW w:w="1147" w:type="pct"/>
          </w:tcPr>
          <w:p w:rsidR="00CB0DD7" w:rsidRPr="000A0A5F" w:rsidRDefault="00CB0DD7">
            <w:pPr>
              <w:pStyle w:val="TAL"/>
            </w:pPr>
            <w:r w:rsidRPr="000A0A5F">
              <w:t>Replace all of the properties in an existing NP configuration</w:t>
            </w:r>
          </w:p>
        </w:tc>
      </w:tr>
      <w:tr w:rsidR="00CB0DD7" w:rsidRPr="000A0A5F" w:rsidTr="00FF0AF8">
        <w:trPr>
          <w:jc w:val="center"/>
        </w:trPr>
        <w:tc>
          <w:tcPr>
            <w:tcW w:w="898" w:type="pct"/>
            <w:vMerge/>
          </w:tcPr>
          <w:p w:rsidR="00CB0DD7" w:rsidRPr="000A0A5F" w:rsidRDefault="00CB0DD7">
            <w:pPr>
              <w:pStyle w:val="TAL"/>
            </w:pPr>
          </w:p>
        </w:tc>
        <w:tc>
          <w:tcPr>
            <w:tcW w:w="2284" w:type="pct"/>
            <w:vMerge/>
          </w:tcPr>
          <w:p w:rsidR="00CB0DD7" w:rsidRPr="000A0A5F" w:rsidRDefault="00CB0DD7">
            <w:pPr>
              <w:pStyle w:val="TAL"/>
            </w:pPr>
          </w:p>
        </w:tc>
        <w:tc>
          <w:tcPr>
            <w:tcW w:w="671" w:type="pct"/>
          </w:tcPr>
          <w:p w:rsidR="00CB0DD7" w:rsidRPr="000A0A5F" w:rsidRDefault="00CB0DD7">
            <w:pPr>
              <w:pStyle w:val="TAL"/>
            </w:pPr>
            <w:r w:rsidRPr="000A0A5F">
              <w:rPr>
                <w:rFonts w:hint="eastAsia"/>
                <w:lang w:eastAsia="zh-CN"/>
              </w:rPr>
              <w:t>PATCH</w:t>
            </w:r>
          </w:p>
        </w:tc>
        <w:tc>
          <w:tcPr>
            <w:tcW w:w="1147" w:type="pct"/>
          </w:tcPr>
          <w:p w:rsidR="00CB0DD7" w:rsidRPr="000A0A5F" w:rsidRDefault="00CB0DD7">
            <w:pPr>
              <w:pStyle w:val="TAL"/>
            </w:pPr>
            <w:r w:rsidRPr="000A0A5F">
              <w:t>Modify some properties in an existing NP configuration</w:t>
            </w:r>
          </w:p>
        </w:tc>
      </w:tr>
      <w:tr w:rsidR="00CB0DD7" w:rsidRPr="000A0A5F" w:rsidTr="00FF0AF8">
        <w:trPr>
          <w:jc w:val="center"/>
        </w:trPr>
        <w:tc>
          <w:tcPr>
            <w:tcW w:w="898" w:type="pct"/>
            <w:vMerge/>
          </w:tcPr>
          <w:p w:rsidR="00CB0DD7" w:rsidRPr="000A0A5F" w:rsidRDefault="00CB0DD7">
            <w:pPr>
              <w:pStyle w:val="TAL"/>
            </w:pPr>
          </w:p>
        </w:tc>
        <w:tc>
          <w:tcPr>
            <w:tcW w:w="2284" w:type="pct"/>
            <w:vMerge/>
          </w:tcPr>
          <w:p w:rsidR="00CB0DD7" w:rsidRPr="000A0A5F" w:rsidRDefault="00CB0DD7">
            <w:pPr>
              <w:pStyle w:val="TAL"/>
            </w:pPr>
          </w:p>
        </w:tc>
        <w:tc>
          <w:tcPr>
            <w:tcW w:w="671" w:type="pct"/>
          </w:tcPr>
          <w:p w:rsidR="00CB0DD7" w:rsidRPr="000A0A5F" w:rsidRDefault="00CB0DD7">
            <w:pPr>
              <w:pStyle w:val="TAL"/>
              <w:rPr>
                <w:rFonts w:hint="eastAsia"/>
                <w:lang w:eastAsia="zh-CN"/>
              </w:rPr>
            </w:pPr>
            <w:r w:rsidRPr="000A0A5F">
              <w:t>GET</w:t>
            </w:r>
          </w:p>
        </w:tc>
        <w:tc>
          <w:tcPr>
            <w:tcW w:w="1147" w:type="pct"/>
          </w:tcPr>
          <w:p w:rsidR="00CB0DD7" w:rsidRPr="000A0A5F" w:rsidRDefault="00CB0DD7">
            <w:pPr>
              <w:pStyle w:val="TAL"/>
            </w:pPr>
            <w:r w:rsidRPr="000A0A5F">
              <w:t>Read an existing NP configuration</w:t>
            </w:r>
          </w:p>
        </w:tc>
      </w:tr>
      <w:tr w:rsidR="00CB0DD7" w:rsidRPr="000A0A5F" w:rsidTr="00FF0AF8">
        <w:trPr>
          <w:jc w:val="center"/>
        </w:trPr>
        <w:tc>
          <w:tcPr>
            <w:tcW w:w="898" w:type="pct"/>
            <w:vMerge/>
          </w:tcPr>
          <w:p w:rsidR="00CB0DD7" w:rsidRPr="000A0A5F" w:rsidRDefault="00CB0DD7">
            <w:pPr>
              <w:pStyle w:val="TAL"/>
            </w:pPr>
          </w:p>
        </w:tc>
        <w:tc>
          <w:tcPr>
            <w:tcW w:w="2284" w:type="pct"/>
            <w:vMerge/>
          </w:tcPr>
          <w:p w:rsidR="00CB0DD7" w:rsidRPr="000A0A5F" w:rsidRDefault="00CB0DD7">
            <w:pPr>
              <w:pStyle w:val="TAL"/>
            </w:pPr>
          </w:p>
        </w:tc>
        <w:tc>
          <w:tcPr>
            <w:tcW w:w="671" w:type="pct"/>
          </w:tcPr>
          <w:p w:rsidR="00CB0DD7" w:rsidRPr="000A0A5F" w:rsidRDefault="00CB0DD7">
            <w:pPr>
              <w:pStyle w:val="TAL"/>
              <w:rPr>
                <w:rFonts w:hint="eastAsia"/>
                <w:lang w:eastAsia="zh-CN"/>
              </w:rPr>
            </w:pPr>
            <w:r w:rsidRPr="000A0A5F">
              <w:t>DELETE</w:t>
            </w:r>
          </w:p>
        </w:tc>
        <w:tc>
          <w:tcPr>
            <w:tcW w:w="1147" w:type="pct"/>
          </w:tcPr>
          <w:p w:rsidR="00CB0DD7" w:rsidRPr="000A0A5F" w:rsidRDefault="00CB0DD7">
            <w:pPr>
              <w:pStyle w:val="TAL"/>
            </w:pPr>
            <w:r w:rsidRPr="000A0A5F">
              <w:t>Delete a NP configuration</w:t>
            </w:r>
          </w:p>
        </w:tc>
      </w:tr>
    </w:tbl>
    <w:p w:rsidR="00CB0DD7" w:rsidRPr="000A0A5F" w:rsidRDefault="00CB0DD7"/>
    <w:p w:rsidR="00CB0DD7" w:rsidRPr="000A0A5F" w:rsidRDefault="00CB0DD7">
      <w:pPr>
        <w:pStyle w:val="Heading4"/>
      </w:pPr>
      <w:bookmarkStart w:id="8710" w:name="_Toc11247845"/>
      <w:bookmarkStart w:id="8711" w:name="_Toc27044989"/>
      <w:bookmarkStart w:id="8712" w:name="_Toc36034031"/>
      <w:bookmarkStart w:id="8713" w:name="_Toc45132178"/>
      <w:bookmarkStart w:id="8714" w:name="_Toc49776463"/>
      <w:bookmarkStart w:id="8715" w:name="_Toc51747383"/>
      <w:bookmarkStart w:id="8716" w:name="_Toc66360959"/>
      <w:bookmarkStart w:id="8717" w:name="_Toc68105464"/>
      <w:bookmarkStart w:id="8718" w:name="_Toc74756094"/>
      <w:bookmarkStart w:id="8719" w:name="_Toc105674971"/>
      <w:bookmarkStart w:id="8720" w:name="_Toc130503039"/>
      <w:bookmarkStart w:id="8721" w:name="_Toc153625827"/>
      <w:r w:rsidRPr="000A0A5F">
        <w:t>5.13.3.2</w:t>
      </w:r>
      <w:r w:rsidRPr="000A0A5F">
        <w:tab/>
        <w:t>Resource: NP Configurations</w:t>
      </w:r>
      <w:bookmarkEnd w:id="8710"/>
      <w:bookmarkEnd w:id="8711"/>
      <w:bookmarkEnd w:id="8712"/>
      <w:bookmarkEnd w:id="8713"/>
      <w:bookmarkEnd w:id="8714"/>
      <w:bookmarkEnd w:id="8715"/>
      <w:bookmarkEnd w:id="8716"/>
      <w:bookmarkEnd w:id="8717"/>
      <w:bookmarkEnd w:id="8718"/>
      <w:bookmarkEnd w:id="8719"/>
      <w:bookmarkEnd w:id="8720"/>
      <w:bookmarkEnd w:id="8721"/>
    </w:p>
    <w:p w:rsidR="00CB0DD7" w:rsidRPr="000A0A5F" w:rsidRDefault="00CB0DD7">
      <w:pPr>
        <w:pStyle w:val="Heading5"/>
      </w:pPr>
      <w:bookmarkStart w:id="8722" w:name="_Toc11247846"/>
      <w:bookmarkStart w:id="8723" w:name="_Toc27044990"/>
      <w:bookmarkStart w:id="8724" w:name="_Toc36034032"/>
      <w:bookmarkStart w:id="8725" w:name="_Toc45132179"/>
      <w:bookmarkStart w:id="8726" w:name="_Toc49776464"/>
      <w:bookmarkStart w:id="8727" w:name="_Toc51747384"/>
      <w:bookmarkStart w:id="8728" w:name="_Toc66360960"/>
      <w:bookmarkStart w:id="8729" w:name="_Toc68105465"/>
      <w:bookmarkStart w:id="8730" w:name="_Toc74756095"/>
      <w:bookmarkStart w:id="8731" w:name="_Toc105674972"/>
      <w:bookmarkStart w:id="8732" w:name="_Toc130503040"/>
      <w:bookmarkStart w:id="8733" w:name="_Toc153625828"/>
      <w:r w:rsidRPr="000A0A5F">
        <w:t>5.13.3.2.1</w:t>
      </w:r>
      <w:r w:rsidRPr="000A0A5F">
        <w:tab/>
        <w:t>Introduction</w:t>
      </w:r>
      <w:bookmarkEnd w:id="8722"/>
      <w:bookmarkEnd w:id="8723"/>
      <w:bookmarkEnd w:id="8724"/>
      <w:bookmarkEnd w:id="8725"/>
      <w:bookmarkEnd w:id="8726"/>
      <w:bookmarkEnd w:id="8727"/>
      <w:bookmarkEnd w:id="8728"/>
      <w:bookmarkEnd w:id="8729"/>
      <w:bookmarkEnd w:id="8730"/>
      <w:bookmarkEnd w:id="8731"/>
      <w:bookmarkEnd w:id="8732"/>
      <w:bookmarkEnd w:id="8733"/>
    </w:p>
    <w:p w:rsidR="00CB0DD7" w:rsidRPr="000A0A5F" w:rsidRDefault="00CB0DD7">
      <w:pPr>
        <w:rPr>
          <w:noProof/>
          <w:lang w:eastAsia="zh-CN"/>
        </w:rPr>
      </w:pPr>
      <w:r w:rsidRPr="000A0A5F">
        <w:rPr>
          <w:noProof/>
          <w:lang w:eastAsia="zh-CN"/>
        </w:rPr>
        <w:t>This resource allows an</w:t>
      </w:r>
      <w:r w:rsidRPr="000A0A5F">
        <w:rPr>
          <w:rFonts w:hint="eastAsia"/>
          <w:noProof/>
          <w:lang w:eastAsia="zh-CN"/>
        </w:rPr>
        <w:t xml:space="preserve"> SCS/AS </w:t>
      </w:r>
      <w:r w:rsidRPr="000A0A5F">
        <w:rPr>
          <w:noProof/>
          <w:lang w:eastAsia="zh-CN"/>
        </w:rPr>
        <w:t>to read all active network parameter configurations or create a new configuration to configure network parameters.</w:t>
      </w:r>
    </w:p>
    <w:p w:rsidR="00CB0DD7" w:rsidRPr="000A0A5F" w:rsidRDefault="00CB0DD7">
      <w:pPr>
        <w:pStyle w:val="Heading5"/>
      </w:pPr>
      <w:bookmarkStart w:id="8734" w:name="_Toc11247847"/>
      <w:bookmarkStart w:id="8735" w:name="_Toc27044991"/>
      <w:bookmarkStart w:id="8736" w:name="_Toc36034033"/>
      <w:bookmarkStart w:id="8737" w:name="_Toc45132180"/>
      <w:bookmarkStart w:id="8738" w:name="_Toc49776465"/>
      <w:bookmarkStart w:id="8739" w:name="_Toc51747385"/>
      <w:bookmarkStart w:id="8740" w:name="_Toc66360961"/>
      <w:bookmarkStart w:id="8741" w:name="_Toc68105466"/>
      <w:bookmarkStart w:id="8742" w:name="_Toc74756096"/>
      <w:bookmarkStart w:id="8743" w:name="_Toc105674973"/>
      <w:bookmarkStart w:id="8744" w:name="_Toc130503041"/>
      <w:bookmarkStart w:id="8745" w:name="_Toc153625829"/>
      <w:r w:rsidRPr="000A0A5F">
        <w:t>5.13.3.2.2</w:t>
      </w:r>
      <w:r w:rsidRPr="000A0A5F">
        <w:tab/>
        <w:t>Resource definition</w:t>
      </w:r>
      <w:bookmarkEnd w:id="8734"/>
      <w:bookmarkEnd w:id="8735"/>
      <w:bookmarkEnd w:id="8736"/>
      <w:bookmarkEnd w:id="8737"/>
      <w:bookmarkEnd w:id="8738"/>
      <w:bookmarkEnd w:id="8739"/>
      <w:bookmarkEnd w:id="8740"/>
      <w:bookmarkEnd w:id="8741"/>
      <w:bookmarkEnd w:id="8742"/>
      <w:bookmarkEnd w:id="8743"/>
      <w:bookmarkEnd w:id="8744"/>
      <w:bookmarkEnd w:id="8745"/>
    </w:p>
    <w:p w:rsidR="00CB0DD7" w:rsidRPr="000A0A5F" w:rsidRDefault="00CB0DD7">
      <w:r w:rsidRPr="000A0A5F">
        <w:t xml:space="preserve">Resource URI: </w:t>
      </w:r>
      <w:r w:rsidRPr="000A0A5F">
        <w:rPr>
          <w:b/>
        </w:rPr>
        <w:t>{apiRoot}/3gpp-network-parameter-configuration/v1/{scsAsId}/</w:t>
      </w:r>
      <w:r w:rsidRPr="000A0A5F">
        <w:rPr>
          <w:b/>
          <w:noProof/>
          <w:lang w:eastAsia="zh-CN"/>
        </w:rPr>
        <w:t>configuration</w:t>
      </w:r>
      <w:r w:rsidRPr="000A0A5F">
        <w:rPr>
          <w:b/>
        </w:rPr>
        <w:t>s</w:t>
      </w:r>
    </w:p>
    <w:p w:rsidR="00CB0DD7" w:rsidRPr="000A0A5F" w:rsidRDefault="00CB0DD7">
      <w:pPr>
        <w:rPr>
          <w:rFonts w:ascii="Arial" w:hAnsi="Arial" w:cs="Arial"/>
        </w:rPr>
      </w:pPr>
      <w:r w:rsidRPr="000A0A5F">
        <w:t>This resource shall support the resource URI variables defined in table 5.13.3.2.2-1</w:t>
      </w:r>
      <w:r w:rsidRPr="000A0A5F">
        <w:rPr>
          <w:rFonts w:ascii="Arial" w:hAnsi="Arial" w:cs="Arial"/>
        </w:rPr>
        <w:t>.</w:t>
      </w:r>
    </w:p>
    <w:p w:rsidR="00CB0DD7" w:rsidRPr="000A0A5F" w:rsidRDefault="00CB0DD7">
      <w:pPr>
        <w:pStyle w:val="TH"/>
        <w:rPr>
          <w:rFonts w:cs="Arial"/>
        </w:rPr>
      </w:pPr>
      <w:r w:rsidRPr="000A0A5F">
        <w:t>Table 5.13.3.2.2-1: Resource URI variables for resource "NP Configurations"</w:t>
      </w:r>
    </w:p>
    <w:tbl>
      <w:tblPr>
        <w:tblW w:w="4868"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970"/>
        <w:gridCol w:w="1312"/>
        <w:gridCol w:w="6237"/>
      </w:tblGrid>
      <w:tr w:rsidR="00CB0DD7" w:rsidRPr="000A0A5F" w:rsidTr="00FF0AF8">
        <w:trPr>
          <w:jc w:val="center"/>
        </w:trPr>
        <w:tc>
          <w:tcPr>
            <w:tcW w:w="1035" w:type="pct"/>
            <w:shd w:val="clear" w:color="000000" w:fill="C0C0C0"/>
          </w:tcPr>
          <w:p w:rsidR="00CB0DD7" w:rsidRPr="000A0A5F" w:rsidRDefault="00CB0DD7">
            <w:pPr>
              <w:pStyle w:val="TAH"/>
            </w:pPr>
            <w:r w:rsidRPr="000A0A5F">
              <w:t>Name</w:t>
            </w:r>
          </w:p>
        </w:tc>
        <w:tc>
          <w:tcPr>
            <w:tcW w:w="689" w:type="pct"/>
            <w:shd w:val="clear" w:color="000000" w:fill="C0C0C0"/>
          </w:tcPr>
          <w:p w:rsidR="00CB0DD7" w:rsidRPr="000A0A5F" w:rsidRDefault="00CB0DD7">
            <w:pPr>
              <w:pStyle w:val="TAH"/>
            </w:pPr>
            <w:r w:rsidRPr="000A0A5F">
              <w:t>Data type</w:t>
            </w:r>
          </w:p>
        </w:tc>
        <w:tc>
          <w:tcPr>
            <w:tcW w:w="3277" w:type="pct"/>
            <w:shd w:val="clear" w:color="000000" w:fill="C0C0C0"/>
            <w:vAlign w:val="center"/>
          </w:tcPr>
          <w:p w:rsidR="00CB0DD7" w:rsidRPr="000A0A5F" w:rsidRDefault="00CB0DD7">
            <w:pPr>
              <w:pStyle w:val="TAH"/>
            </w:pPr>
            <w:r w:rsidRPr="000A0A5F">
              <w:t>Definition</w:t>
            </w:r>
          </w:p>
        </w:tc>
      </w:tr>
      <w:tr w:rsidR="00CB0DD7" w:rsidRPr="000A0A5F" w:rsidTr="00FF0AF8">
        <w:trPr>
          <w:jc w:val="center"/>
        </w:trPr>
        <w:tc>
          <w:tcPr>
            <w:tcW w:w="1035" w:type="pct"/>
            <w:shd w:val="clear" w:color="auto" w:fill="auto"/>
          </w:tcPr>
          <w:p w:rsidR="00CB0DD7" w:rsidRPr="000A0A5F" w:rsidRDefault="00CB0DD7">
            <w:pPr>
              <w:pStyle w:val="TAL"/>
            </w:pPr>
            <w:r w:rsidRPr="000A0A5F">
              <w:t>apiRoot</w:t>
            </w:r>
          </w:p>
        </w:tc>
        <w:tc>
          <w:tcPr>
            <w:tcW w:w="689" w:type="pct"/>
          </w:tcPr>
          <w:p w:rsidR="00CB0DD7" w:rsidRPr="000A0A5F" w:rsidRDefault="00CB0DD7">
            <w:pPr>
              <w:pStyle w:val="TAL"/>
            </w:pPr>
            <w:r w:rsidRPr="000A0A5F">
              <w:t>string</w:t>
            </w:r>
          </w:p>
        </w:tc>
        <w:tc>
          <w:tcPr>
            <w:tcW w:w="3277" w:type="pct"/>
            <w:shd w:val="clear" w:color="auto" w:fill="auto"/>
            <w:vAlign w:val="center"/>
          </w:tcPr>
          <w:p w:rsidR="00CB0DD7" w:rsidRPr="000A0A5F" w:rsidRDefault="00CB0DD7">
            <w:pPr>
              <w:pStyle w:val="TAL"/>
            </w:pPr>
            <w:r w:rsidRPr="000A0A5F">
              <w:t>See clause</w:t>
            </w:r>
            <w:r w:rsidRPr="000A0A5F">
              <w:rPr>
                <w:lang w:val="en-US" w:eastAsia="zh-CN"/>
              </w:rPr>
              <w:t> </w:t>
            </w:r>
            <w:r w:rsidRPr="000A0A5F">
              <w:t>5.2.4.</w:t>
            </w:r>
          </w:p>
        </w:tc>
      </w:tr>
      <w:tr w:rsidR="00CB0DD7" w:rsidRPr="000A0A5F" w:rsidTr="00FF0AF8">
        <w:trPr>
          <w:jc w:val="center"/>
        </w:trPr>
        <w:tc>
          <w:tcPr>
            <w:tcW w:w="1035" w:type="pct"/>
            <w:shd w:val="clear" w:color="auto" w:fill="auto"/>
          </w:tcPr>
          <w:p w:rsidR="00CB0DD7" w:rsidRPr="000A0A5F" w:rsidRDefault="00CB0DD7">
            <w:pPr>
              <w:pStyle w:val="TAL"/>
            </w:pPr>
            <w:r w:rsidRPr="000A0A5F">
              <w:t>scsAsId</w:t>
            </w:r>
          </w:p>
        </w:tc>
        <w:tc>
          <w:tcPr>
            <w:tcW w:w="689" w:type="pct"/>
          </w:tcPr>
          <w:p w:rsidR="00CB0DD7" w:rsidRPr="000A0A5F" w:rsidRDefault="00CB0DD7">
            <w:pPr>
              <w:pStyle w:val="TAL"/>
            </w:pPr>
            <w:r w:rsidRPr="000A0A5F">
              <w:rPr>
                <w:rFonts w:hint="eastAsia"/>
                <w:lang w:eastAsia="zh-CN"/>
              </w:rPr>
              <w:t>s</w:t>
            </w:r>
            <w:r w:rsidRPr="000A0A5F">
              <w:rPr>
                <w:lang w:eastAsia="zh-CN"/>
              </w:rPr>
              <w:t>tring</w:t>
            </w:r>
          </w:p>
        </w:tc>
        <w:tc>
          <w:tcPr>
            <w:tcW w:w="3277" w:type="pct"/>
            <w:shd w:val="clear" w:color="auto" w:fill="auto"/>
            <w:vAlign w:val="center"/>
          </w:tcPr>
          <w:p w:rsidR="00CB0DD7" w:rsidRPr="000A0A5F" w:rsidRDefault="00CB0DD7">
            <w:pPr>
              <w:pStyle w:val="TAL"/>
            </w:pPr>
            <w:r w:rsidRPr="000A0A5F">
              <w:t>Identifier of the SCS/AS</w:t>
            </w:r>
            <w:r w:rsidRPr="000A0A5F">
              <w:rPr>
                <w:rFonts w:eastAsia="Times New Roman"/>
              </w:rPr>
              <w:t>.</w:t>
            </w:r>
          </w:p>
        </w:tc>
      </w:tr>
    </w:tbl>
    <w:p w:rsidR="00CB0DD7" w:rsidRPr="000A0A5F" w:rsidRDefault="00CB0DD7"/>
    <w:p w:rsidR="00CB0DD7" w:rsidRPr="000A0A5F" w:rsidRDefault="00CB0DD7">
      <w:pPr>
        <w:pStyle w:val="Heading5"/>
      </w:pPr>
      <w:bookmarkStart w:id="8746" w:name="_Toc11247848"/>
      <w:bookmarkStart w:id="8747" w:name="_Toc27044992"/>
      <w:bookmarkStart w:id="8748" w:name="_Toc36034034"/>
      <w:bookmarkStart w:id="8749" w:name="_Toc45132181"/>
      <w:bookmarkStart w:id="8750" w:name="_Toc49776466"/>
      <w:bookmarkStart w:id="8751" w:name="_Toc51747386"/>
      <w:bookmarkStart w:id="8752" w:name="_Toc66360962"/>
      <w:bookmarkStart w:id="8753" w:name="_Toc68105467"/>
      <w:bookmarkStart w:id="8754" w:name="_Toc74756097"/>
      <w:bookmarkStart w:id="8755" w:name="_Toc105674974"/>
      <w:bookmarkStart w:id="8756" w:name="_Toc130503042"/>
      <w:bookmarkStart w:id="8757" w:name="_Toc153625830"/>
      <w:r w:rsidRPr="000A0A5F">
        <w:t>5.13.3.2.3</w:t>
      </w:r>
      <w:r w:rsidRPr="000A0A5F">
        <w:tab/>
        <w:t>Resource methods</w:t>
      </w:r>
      <w:bookmarkEnd w:id="8746"/>
      <w:bookmarkEnd w:id="8747"/>
      <w:bookmarkEnd w:id="8748"/>
      <w:bookmarkEnd w:id="8749"/>
      <w:bookmarkEnd w:id="8750"/>
      <w:bookmarkEnd w:id="8751"/>
      <w:bookmarkEnd w:id="8752"/>
      <w:bookmarkEnd w:id="8753"/>
      <w:bookmarkEnd w:id="8754"/>
      <w:bookmarkEnd w:id="8755"/>
      <w:bookmarkEnd w:id="8756"/>
      <w:bookmarkEnd w:id="8757"/>
    </w:p>
    <w:p w:rsidR="00CB0DD7" w:rsidRPr="000A0A5F" w:rsidRDefault="00CB0DD7">
      <w:pPr>
        <w:pStyle w:val="Heading6"/>
        <w:rPr>
          <w:rFonts w:hint="eastAsia"/>
        </w:rPr>
      </w:pPr>
      <w:bookmarkStart w:id="8758" w:name="_Toc11247849"/>
      <w:bookmarkStart w:id="8759" w:name="_Toc27044993"/>
      <w:bookmarkStart w:id="8760" w:name="_Toc36034035"/>
      <w:bookmarkStart w:id="8761" w:name="_Toc45132182"/>
      <w:bookmarkStart w:id="8762" w:name="_Toc49776467"/>
      <w:bookmarkStart w:id="8763" w:name="_Toc51747387"/>
      <w:bookmarkStart w:id="8764" w:name="_Toc66360963"/>
      <w:bookmarkStart w:id="8765" w:name="_Toc68105468"/>
      <w:bookmarkStart w:id="8766" w:name="_Toc74756098"/>
      <w:bookmarkStart w:id="8767" w:name="_Toc105674975"/>
      <w:bookmarkStart w:id="8768" w:name="_Toc130503043"/>
      <w:bookmarkStart w:id="8769" w:name="_Toc153625831"/>
      <w:r w:rsidRPr="000A0A5F">
        <w:t>5.13.3.2.3.1</w:t>
      </w:r>
      <w:r w:rsidRPr="000A0A5F">
        <w:tab/>
        <w:t>GET</w:t>
      </w:r>
      <w:bookmarkEnd w:id="8758"/>
      <w:bookmarkEnd w:id="8759"/>
      <w:bookmarkEnd w:id="8760"/>
      <w:bookmarkEnd w:id="8761"/>
      <w:bookmarkEnd w:id="8762"/>
      <w:bookmarkEnd w:id="8763"/>
      <w:bookmarkEnd w:id="8764"/>
      <w:bookmarkEnd w:id="8765"/>
      <w:bookmarkEnd w:id="8766"/>
      <w:bookmarkEnd w:id="8767"/>
      <w:bookmarkEnd w:id="8768"/>
      <w:bookmarkEnd w:id="8769"/>
    </w:p>
    <w:p w:rsidR="00CB0DD7" w:rsidRPr="000A0A5F" w:rsidRDefault="00CB0DD7">
      <w:pPr>
        <w:rPr>
          <w:noProof/>
          <w:lang w:eastAsia="zh-CN"/>
        </w:rPr>
      </w:pPr>
      <w:r w:rsidRPr="000A0A5F">
        <w:rPr>
          <w:noProof/>
          <w:lang w:eastAsia="zh-CN"/>
        </w:rPr>
        <w:t>The GET method allows to read all active configurations indicated by the resource URI as defined in clause </w:t>
      </w:r>
      <w:r w:rsidRPr="000A0A5F">
        <w:rPr>
          <w:noProof/>
          <w:lang w:val="en-US" w:eastAsia="zh-CN"/>
        </w:rPr>
        <w:t>5.13.3.2.2</w:t>
      </w:r>
      <w:r w:rsidRPr="000A0A5F">
        <w:rPr>
          <w:noProof/>
          <w:lang w:eastAsia="zh-CN"/>
        </w:rPr>
        <w:t xml:space="preserve">. The SCS/AS shall initiate the HTTP GET request message and the SCEF shall respond to the message. </w:t>
      </w:r>
    </w:p>
    <w:p w:rsidR="00CB0DD7" w:rsidRPr="000A0A5F" w:rsidRDefault="00CB0DD7">
      <w:r w:rsidRPr="000A0A5F">
        <w:t>This method shall support the URI query parameters, request and response data structures, and response codes, as specified in the table 5.13.3.2.3.1-1 and table 5.13.3.2.3.1-2.</w:t>
      </w:r>
    </w:p>
    <w:p w:rsidR="00CB0DD7" w:rsidRPr="000A0A5F" w:rsidRDefault="00CB0DD7">
      <w:pPr>
        <w:pStyle w:val="TH"/>
        <w:rPr>
          <w:rFonts w:cs="Arial"/>
        </w:rPr>
      </w:pPr>
      <w:r w:rsidRPr="000A0A5F">
        <w:t xml:space="preserve">Table 5.13.3.2.3.1-1: URI query parameters supported by the GET method on this resource </w:t>
      </w:r>
    </w:p>
    <w:tbl>
      <w:tblPr>
        <w:tblW w:w="4999"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612"/>
        <w:gridCol w:w="1709"/>
        <w:gridCol w:w="1140"/>
        <w:gridCol w:w="5314"/>
      </w:tblGrid>
      <w:tr w:rsidR="00CB0DD7" w:rsidRPr="000A0A5F" w:rsidTr="00FF0AF8">
        <w:trPr>
          <w:jc w:val="center"/>
        </w:trPr>
        <w:tc>
          <w:tcPr>
            <w:tcW w:w="825" w:type="pct"/>
            <w:shd w:val="clear" w:color="000000" w:fill="C0C0C0"/>
          </w:tcPr>
          <w:p w:rsidR="00CB0DD7" w:rsidRPr="000A0A5F" w:rsidRDefault="00CB0DD7">
            <w:pPr>
              <w:pStyle w:val="TAH"/>
            </w:pPr>
            <w:r w:rsidRPr="000A0A5F">
              <w:t>Name</w:t>
            </w:r>
          </w:p>
        </w:tc>
        <w:tc>
          <w:tcPr>
            <w:tcW w:w="874" w:type="pct"/>
            <w:shd w:val="clear" w:color="000000" w:fill="C0C0C0"/>
          </w:tcPr>
          <w:p w:rsidR="00CB0DD7" w:rsidRPr="000A0A5F" w:rsidRDefault="00CB0DD7">
            <w:pPr>
              <w:pStyle w:val="TAH"/>
            </w:pPr>
            <w:r w:rsidRPr="000A0A5F">
              <w:t>Data type</w:t>
            </w:r>
          </w:p>
        </w:tc>
        <w:tc>
          <w:tcPr>
            <w:tcW w:w="583" w:type="pct"/>
            <w:shd w:val="clear" w:color="000000" w:fill="C0C0C0"/>
          </w:tcPr>
          <w:p w:rsidR="00CB0DD7" w:rsidRPr="000A0A5F" w:rsidRDefault="00CB0DD7">
            <w:pPr>
              <w:pStyle w:val="TAH"/>
            </w:pPr>
            <w:r w:rsidRPr="000A0A5F">
              <w:t>Cardinality</w:t>
            </w:r>
          </w:p>
        </w:tc>
        <w:tc>
          <w:tcPr>
            <w:tcW w:w="2718" w:type="pct"/>
            <w:shd w:val="clear" w:color="000000" w:fill="C0C0C0"/>
            <w:vAlign w:val="center"/>
          </w:tcPr>
          <w:p w:rsidR="00CB0DD7" w:rsidRPr="000A0A5F" w:rsidRDefault="00CB0DD7">
            <w:pPr>
              <w:pStyle w:val="TAH"/>
            </w:pPr>
            <w:r w:rsidRPr="000A0A5F">
              <w:t>Remarks</w:t>
            </w:r>
          </w:p>
        </w:tc>
      </w:tr>
      <w:tr w:rsidR="00CB0DD7" w:rsidRPr="000A0A5F" w:rsidTr="00FF0AF8">
        <w:trPr>
          <w:jc w:val="center"/>
        </w:trPr>
        <w:tc>
          <w:tcPr>
            <w:tcW w:w="825" w:type="pct"/>
            <w:shd w:val="clear" w:color="auto" w:fill="auto"/>
          </w:tcPr>
          <w:p w:rsidR="00CB0DD7" w:rsidRPr="000A0A5F" w:rsidRDefault="00CB0DD7">
            <w:pPr>
              <w:pStyle w:val="TAL"/>
            </w:pPr>
            <w:r w:rsidRPr="000A0A5F">
              <w:t>none specified</w:t>
            </w:r>
          </w:p>
        </w:tc>
        <w:tc>
          <w:tcPr>
            <w:tcW w:w="874" w:type="pct"/>
          </w:tcPr>
          <w:p w:rsidR="00CB0DD7" w:rsidRPr="000A0A5F" w:rsidRDefault="00CB0DD7">
            <w:pPr>
              <w:pStyle w:val="TAL"/>
            </w:pPr>
          </w:p>
        </w:tc>
        <w:tc>
          <w:tcPr>
            <w:tcW w:w="583" w:type="pct"/>
          </w:tcPr>
          <w:p w:rsidR="00CB0DD7" w:rsidRPr="000A0A5F" w:rsidRDefault="00CB0DD7">
            <w:pPr>
              <w:pStyle w:val="TAL"/>
            </w:pPr>
          </w:p>
        </w:tc>
        <w:tc>
          <w:tcPr>
            <w:tcW w:w="2718" w:type="pct"/>
            <w:shd w:val="clear" w:color="auto" w:fill="auto"/>
            <w:vAlign w:val="center"/>
          </w:tcPr>
          <w:p w:rsidR="00CB0DD7" w:rsidRPr="000A0A5F" w:rsidRDefault="00CB0DD7">
            <w:pPr>
              <w:pStyle w:val="TAL"/>
            </w:pPr>
          </w:p>
        </w:tc>
      </w:tr>
    </w:tbl>
    <w:p w:rsidR="00CB0DD7" w:rsidRPr="000A0A5F" w:rsidRDefault="00CB0DD7"/>
    <w:p w:rsidR="00CB0DD7" w:rsidRPr="000A0A5F" w:rsidRDefault="00CB0DD7">
      <w:pPr>
        <w:pStyle w:val="TH"/>
      </w:pPr>
      <w:r w:rsidRPr="000A0A5F">
        <w:t>Table 5.13.3.2.3.1-2: Data structures supported by the GET request/response by the resource</w:t>
      </w:r>
    </w:p>
    <w:tbl>
      <w:tblPr>
        <w:tblW w:w="4999" w:type="pct"/>
        <w:tblInd w:w="1"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top w:w="45" w:type="dxa"/>
          <w:left w:w="45" w:type="dxa"/>
          <w:bottom w:w="45" w:type="dxa"/>
          <w:right w:w="45" w:type="dxa"/>
        </w:tblCellMar>
        <w:tblLook w:val="0000" w:firstRow="0" w:lastRow="0" w:firstColumn="0" w:lastColumn="0" w:noHBand="0" w:noVBand="0"/>
      </w:tblPr>
      <w:tblGrid>
        <w:gridCol w:w="1035"/>
        <w:gridCol w:w="2127"/>
        <w:gridCol w:w="1053"/>
        <w:gridCol w:w="973"/>
        <w:gridCol w:w="4541"/>
      </w:tblGrid>
      <w:tr w:rsidR="00CB0DD7" w:rsidRPr="000A0A5F" w:rsidTr="002C1CAD">
        <w:tc>
          <w:tcPr>
            <w:tcW w:w="532" w:type="pct"/>
            <w:vMerge w:val="restart"/>
            <w:shd w:val="clear" w:color="auto" w:fill="C0C0C0"/>
            <w:vAlign w:val="center"/>
          </w:tcPr>
          <w:p w:rsidR="00CB0DD7" w:rsidRPr="000A0A5F" w:rsidRDefault="00CB0DD7">
            <w:pPr>
              <w:pStyle w:val="TAH"/>
            </w:pPr>
            <w:r w:rsidRPr="000A0A5F">
              <w:t>Request body</w:t>
            </w:r>
          </w:p>
        </w:tc>
        <w:tc>
          <w:tcPr>
            <w:tcW w:w="1093" w:type="pct"/>
            <w:shd w:val="clear" w:color="auto" w:fill="C0C0C0"/>
          </w:tcPr>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r w:rsidRPr="000A0A5F">
              <w:t>Cardinality</w:t>
            </w:r>
          </w:p>
        </w:tc>
        <w:tc>
          <w:tcPr>
            <w:tcW w:w="2834" w:type="pct"/>
            <w:gridSpan w:val="2"/>
            <w:shd w:val="clear" w:color="auto" w:fill="C0C0C0"/>
          </w:tcPr>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none</w:t>
            </w:r>
          </w:p>
        </w:tc>
        <w:tc>
          <w:tcPr>
            <w:tcW w:w="541" w:type="pct"/>
          </w:tcPr>
          <w:p w:rsidR="00CB0DD7" w:rsidRPr="000A0A5F" w:rsidRDefault="00CB0DD7">
            <w:pPr>
              <w:pStyle w:val="TAL"/>
            </w:pPr>
          </w:p>
        </w:tc>
        <w:tc>
          <w:tcPr>
            <w:tcW w:w="2834" w:type="pct"/>
            <w:gridSpan w:val="2"/>
          </w:tcPr>
          <w:p w:rsidR="00CB0DD7" w:rsidRPr="000A0A5F" w:rsidRDefault="00CB0DD7">
            <w:pPr>
              <w:pStyle w:val="TAL"/>
            </w:pPr>
          </w:p>
        </w:tc>
      </w:tr>
      <w:tr w:rsidR="00CB0DD7" w:rsidRPr="000A0A5F" w:rsidTr="002C1CAD">
        <w:tc>
          <w:tcPr>
            <w:tcW w:w="532" w:type="pct"/>
            <w:vMerge w:val="restart"/>
            <w:shd w:val="clear" w:color="auto" w:fill="C0C0C0"/>
            <w:vAlign w:val="center"/>
          </w:tcPr>
          <w:p w:rsidR="00CB0DD7" w:rsidRPr="000A0A5F" w:rsidRDefault="00CB0DD7">
            <w:pPr>
              <w:pStyle w:val="TAH"/>
            </w:pPr>
            <w:r w:rsidRPr="000A0A5F">
              <w:t>Response body</w:t>
            </w:r>
          </w:p>
        </w:tc>
        <w:tc>
          <w:tcPr>
            <w:tcW w:w="1093" w:type="pct"/>
            <w:shd w:val="clear" w:color="auto" w:fill="C0C0C0"/>
          </w:tcPr>
          <w:p w:rsidR="00CB0DD7" w:rsidRPr="000A0A5F" w:rsidRDefault="00CB0DD7">
            <w:pPr>
              <w:pStyle w:val="TAH"/>
            </w:pPr>
          </w:p>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p>
          <w:p w:rsidR="00CB0DD7" w:rsidRPr="000A0A5F" w:rsidRDefault="00CB0DD7">
            <w:pPr>
              <w:pStyle w:val="TAH"/>
            </w:pPr>
            <w:r w:rsidRPr="000A0A5F">
              <w:t>Cardinality</w:t>
            </w:r>
          </w:p>
        </w:tc>
        <w:tc>
          <w:tcPr>
            <w:tcW w:w="500" w:type="pct"/>
            <w:shd w:val="clear" w:color="auto" w:fill="C0C0C0"/>
          </w:tcPr>
          <w:p w:rsidR="00CB0DD7" w:rsidRPr="000A0A5F" w:rsidRDefault="00CB0DD7">
            <w:pPr>
              <w:pStyle w:val="TAH"/>
            </w:pPr>
            <w:r w:rsidRPr="000A0A5F">
              <w:t>Response</w:t>
            </w:r>
          </w:p>
          <w:p w:rsidR="00CB0DD7" w:rsidRPr="000A0A5F" w:rsidRDefault="00CB0DD7">
            <w:pPr>
              <w:pStyle w:val="TAH"/>
            </w:pPr>
            <w:r w:rsidRPr="000A0A5F">
              <w:t>codes</w:t>
            </w:r>
          </w:p>
        </w:tc>
        <w:tc>
          <w:tcPr>
            <w:tcW w:w="2334" w:type="pct"/>
            <w:shd w:val="clear" w:color="auto" w:fill="C0C0C0"/>
          </w:tcPr>
          <w:p w:rsidR="00CB0DD7" w:rsidRPr="000A0A5F" w:rsidRDefault="00CB0DD7">
            <w:pPr>
              <w:pStyle w:val="TAH"/>
            </w:pPr>
          </w:p>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array(NpConfiguration)</w:t>
            </w:r>
          </w:p>
        </w:tc>
        <w:tc>
          <w:tcPr>
            <w:tcW w:w="541" w:type="pct"/>
          </w:tcPr>
          <w:p w:rsidR="00CB0DD7" w:rsidRPr="000A0A5F" w:rsidRDefault="00CB0DD7">
            <w:pPr>
              <w:pStyle w:val="TAL"/>
            </w:pPr>
            <w:r w:rsidRPr="000A0A5F">
              <w:t>0..N</w:t>
            </w:r>
          </w:p>
        </w:tc>
        <w:tc>
          <w:tcPr>
            <w:tcW w:w="500" w:type="pct"/>
          </w:tcPr>
          <w:p w:rsidR="00CB0DD7" w:rsidRPr="000A0A5F" w:rsidRDefault="00CB0DD7">
            <w:pPr>
              <w:pStyle w:val="TAL"/>
            </w:pPr>
            <w:r w:rsidRPr="000A0A5F">
              <w:t>200 OK</w:t>
            </w:r>
          </w:p>
        </w:tc>
        <w:tc>
          <w:tcPr>
            <w:tcW w:w="2334" w:type="pct"/>
          </w:tcPr>
          <w:p w:rsidR="00CB0DD7" w:rsidRPr="000A0A5F" w:rsidRDefault="00CB0DD7">
            <w:pPr>
              <w:pStyle w:val="TAL"/>
            </w:pPr>
            <w:r w:rsidRPr="000A0A5F">
              <w:t>The NP configuration information related to the request URI is returned.</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none</w:t>
            </w:r>
          </w:p>
        </w:tc>
        <w:tc>
          <w:tcPr>
            <w:tcW w:w="541" w:type="pct"/>
          </w:tcPr>
          <w:p w:rsidR="00CB0DD7" w:rsidRPr="000A0A5F" w:rsidRDefault="00CB0DD7">
            <w:pPr>
              <w:pStyle w:val="TAL"/>
            </w:pPr>
          </w:p>
        </w:tc>
        <w:tc>
          <w:tcPr>
            <w:tcW w:w="500" w:type="pct"/>
          </w:tcPr>
          <w:p w:rsidR="00CB0DD7" w:rsidRPr="000A0A5F" w:rsidRDefault="00CB0DD7">
            <w:pPr>
              <w:pStyle w:val="TAL"/>
            </w:pPr>
            <w:r w:rsidRPr="000A0A5F">
              <w:t>307 Temporary Redirect</w:t>
            </w:r>
          </w:p>
        </w:tc>
        <w:tc>
          <w:tcPr>
            <w:tcW w:w="2334" w:type="pct"/>
          </w:tcPr>
          <w:p w:rsidR="00CB0DD7" w:rsidRPr="000A0A5F" w:rsidRDefault="00CB0DD7">
            <w:pPr>
              <w:pStyle w:val="TAL"/>
            </w:pPr>
            <w:r w:rsidRPr="000A0A5F">
              <w:t>Temporary redirection, during configuration retrieval. The response shall include a Location header field containing an alternative URI of the resource located in an alternative SCEF.</w:t>
            </w:r>
          </w:p>
          <w:p w:rsidR="00CB0DD7" w:rsidRPr="000A0A5F" w:rsidRDefault="00CB0DD7">
            <w:pPr>
              <w:pStyle w:val="TAL"/>
            </w:pPr>
            <w:r w:rsidRPr="000A0A5F">
              <w:t>Redirection handling is described in clause 5.2.10.</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none</w:t>
            </w:r>
          </w:p>
        </w:tc>
        <w:tc>
          <w:tcPr>
            <w:tcW w:w="541" w:type="pct"/>
          </w:tcPr>
          <w:p w:rsidR="00CB0DD7" w:rsidRPr="000A0A5F" w:rsidRDefault="00CB0DD7">
            <w:pPr>
              <w:pStyle w:val="TAL"/>
            </w:pPr>
          </w:p>
        </w:tc>
        <w:tc>
          <w:tcPr>
            <w:tcW w:w="500" w:type="pct"/>
          </w:tcPr>
          <w:p w:rsidR="00CB0DD7" w:rsidRPr="000A0A5F" w:rsidRDefault="00CB0DD7">
            <w:pPr>
              <w:pStyle w:val="TAL"/>
            </w:pPr>
            <w:r w:rsidRPr="000A0A5F">
              <w:t>308 Permanent Redirect</w:t>
            </w:r>
          </w:p>
        </w:tc>
        <w:tc>
          <w:tcPr>
            <w:tcW w:w="2334" w:type="pct"/>
          </w:tcPr>
          <w:p w:rsidR="00CB0DD7" w:rsidRPr="000A0A5F" w:rsidRDefault="00CB0DD7">
            <w:pPr>
              <w:pStyle w:val="TAL"/>
            </w:pPr>
            <w:r w:rsidRPr="000A0A5F">
              <w:t>Permanent redirection, during configuration retrieval. The response shall include a Location header field containing an alternative URI of the resource located in an alternative SCEF.</w:t>
            </w:r>
          </w:p>
          <w:p w:rsidR="00CB0DD7" w:rsidRPr="000A0A5F" w:rsidRDefault="00CB0DD7">
            <w:pPr>
              <w:pStyle w:val="TAL"/>
            </w:pPr>
            <w:r w:rsidRPr="000A0A5F">
              <w:t>Redirection handling is described in clause 5.2.10.</w:t>
            </w:r>
          </w:p>
        </w:tc>
      </w:tr>
      <w:tr w:rsidR="00CB0DD7" w:rsidRPr="000A0A5F" w:rsidTr="00FF0AF8">
        <w:tc>
          <w:tcPr>
            <w:tcW w:w="5000" w:type="pct"/>
            <w:gridSpan w:val="5"/>
            <w:shd w:val="clear" w:color="auto" w:fill="auto"/>
            <w:vAlign w:val="center"/>
          </w:tcPr>
          <w:p w:rsidR="00CB0DD7" w:rsidRPr="000A0A5F" w:rsidRDefault="00CB0DD7">
            <w:pPr>
              <w:pStyle w:val="TAN"/>
            </w:pPr>
            <w:r w:rsidRPr="000A0A5F">
              <w:t>NOTE:</w:t>
            </w:r>
            <w:r w:rsidRPr="000A0A5F">
              <w:tab/>
              <w:t>The mandatory HTTP error status codes for the GET method listed in table 5.2.6-1 also apply.</w:t>
            </w:r>
          </w:p>
        </w:tc>
      </w:tr>
    </w:tbl>
    <w:p w:rsidR="00CB0DD7" w:rsidRPr="000A0A5F" w:rsidRDefault="00CB0DD7"/>
    <w:p w:rsidR="00CB0DD7" w:rsidRPr="000A0A5F" w:rsidRDefault="002E466A">
      <w:pPr>
        <w:pStyle w:val="TH"/>
      </w:pPr>
      <w:r w:rsidRPr="000A0A5F">
        <w:t>Table </w:t>
      </w:r>
      <w:r w:rsidR="00CB0DD7" w:rsidRPr="000A0A5F">
        <w:t>5.13.3.2.3.1-3: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2E466A">
      <w:pPr>
        <w:pStyle w:val="TH"/>
      </w:pPr>
      <w:r w:rsidRPr="000A0A5F">
        <w:t>Table </w:t>
      </w:r>
      <w:r w:rsidR="00CB0DD7" w:rsidRPr="000A0A5F">
        <w:t>5.13.3.2.3.1-4: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CB0DD7">
      <w:pPr>
        <w:pStyle w:val="Heading6"/>
      </w:pPr>
      <w:bookmarkStart w:id="8770" w:name="_Toc11247850"/>
      <w:bookmarkStart w:id="8771" w:name="_Toc27044994"/>
      <w:bookmarkStart w:id="8772" w:name="_Toc36034036"/>
      <w:bookmarkStart w:id="8773" w:name="_Toc45132183"/>
      <w:bookmarkStart w:id="8774" w:name="_Toc49776468"/>
      <w:bookmarkStart w:id="8775" w:name="_Toc51747388"/>
      <w:bookmarkStart w:id="8776" w:name="_Toc66360964"/>
      <w:bookmarkStart w:id="8777" w:name="_Toc68105469"/>
      <w:bookmarkStart w:id="8778" w:name="_Toc74756099"/>
      <w:bookmarkStart w:id="8779" w:name="_Toc105674976"/>
      <w:bookmarkStart w:id="8780" w:name="_Toc130503044"/>
      <w:bookmarkStart w:id="8781" w:name="_Toc153625832"/>
      <w:r w:rsidRPr="000A0A5F">
        <w:t>5.13.3.2.3.2</w:t>
      </w:r>
      <w:r w:rsidRPr="000A0A5F">
        <w:tab/>
        <w:t>PUT</w:t>
      </w:r>
      <w:bookmarkEnd w:id="8770"/>
      <w:bookmarkEnd w:id="8771"/>
      <w:bookmarkEnd w:id="8772"/>
      <w:bookmarkEnd w:id="8773"/>
      <w:bookmarkEnd w:id="8774"/>
      <w:bookmarkEnd w:id="8775"/>
      <w:bookmarkEnd w:id="8776"/>
      <w:bookmarkEnd w:id="8777"/>
      <w:bookmarkEnd w:id="8778"/>
      <w:bookmarkEnd w:id="8779"/>
      <w:bookmarkEnd w:id="8780"/>
      <w:bookmarkEnd w:id="8781"/>
    </w:p>
    <w:p w:rsidR="00CB0DD7" w:rsidRPr="000A0A5F" w:rsidRDefault="00CB0DD7">
      <w:pPr>
        <w:rPr>
          <w:rFonts w:hint="eastAsia"/>
          <w:lang w:eastAsia="zh-CN"/>
        </w:rPr>
      </w:pPr>
      <w:r w:rsidRPr="000A0A5F">
        <w:rPr>
          <w:rFonts w:hint="eastAsia"/>
          <w:lang w:eastAsia="zh-CN"/>
        </w:rPr>
        <w:t xml:space="preserve">This </w:t>
      </w:r>
      <w:r w:rsidRPr="000A0A5F">
        <w:rPr>
          <w:lang w:eastAsia="zh-CN"/>
        </w:rPr>
        <w:t>HTTP method is not supported for the resource.</w:t>
      </w:r>
    </w:p>
    <w:p w:rsidR="00CB0DD7" w:rsidRPr="000A0A5F" w:rsidRDefault="00CB0DD7">
      <w:pPr>
        <w:pStyle w:val="Heading6"/>
      </w:pPr>
      <w:bookmarkStart w:id="8782" w:name="_Toc11247851"/>
      <w:bookmarkStart w:id="8783" w:name="_Toc27044995"/>
      <w:bookmarkStart w:id="8784" w:name="_Toc36034037"/>
      <w:bookmarkStart w:id="8785" w:name="_Toc45132184"/>
      <w:bookmarkStart w:id="8786" w:name="_Toc49776469"/>
      <w:bookmarkStart w:id="8787" w:name="_Toc51747389"/>
      <w:bookmarkStart w:id="8788" w:name="_Toc66360965"/>
      <w:bookmarkStart w:id="8789" w:name="_Toc68105470"/>
      <w:bookmarkStart w:id="8790" w:name="_Toc74756100"/>
      <w:bookmarkStart w:id="8791" w:name="_Toc105674977"/>
      <w:bookmarkStart w:id="8792" w:name="_Toc130503045"/>
      <w:bookmarkStart w:id="8793" w:name="_Toc153625833"/>
      <w:r w:rsidRPr="000A0A5F">
        <w:t>5.13.3.2.3.3</w:t>
      </w:r>
      <w:r w:rsidRPr="000A0A5F">
        <w:tab/>
        <w:t>PATCH</w:t>
      </w:r>
      <w:bookmarkEnd w:id="8782"/>
      <w:bookmarkEnd w:id="8783"/>
      <w:bookmarkEnd w:id="8784"/>
      <w:bookmarkEnd w:id="8785"/>
      <w:bookmarkEnd w:id="8786"/>
      <w:bookmarkEnd w:id="8787"/>
      <w:bookmarkEnd w:id="8788"/>
      <w:bookmarkEnd w:id="8789"/>
      <w:bookmarkEnd w:id="8790"/>
      <w:bookmarkEnd w:id="8791"/>
      <w:bookmarkEnd w:id="8792"/>
      <w:bookmarkEnd w:id="8793"/>
    </w:p>
    <w:p w:rsidR="00CB0DD7" w:rsidRPr="000A0A5F" w:rsidRDefault="00CB0DD7">
      <w:pPr>
        <w:rPr>
          <w:lang w:eastAsia="zh-CN"/>
        </w:rPr>
      </w:pPr>
      <w:r w:rsidRPr="000A0A5F">
        <w:rPr>
          <w:rFonts w:hint="eastAsia"/>
          <w:lang w:eastAsia="zh-CN"/>
        </w:rPr>
        <w:t xml:space="preserve">This </w:t>
      </w:r>
      <w:r w:rsidRPr="000A0A5F">
        <w:rPr>
          <w:lang w:eastAsia="zh-CN"/>
        </w:rPr>
        <w:t>HTTP method is not supported for the resource.</w:t>
      </w:r>
    </w:p>
    <w:p w:rsidR="00CB0DD7" w:rsidRPr="000A0A5F" w:rsidRDefault="00CB0DD7">
      <w:pPr>
        <w:pStyle w:val="Heading6"/>
      </w:pPr>
      <w:bookmarkStart w:id="8794" w:name="_Toc11247852"/>
      <w:bookmarkStart w:id="8795" w:name="_Toc27044996"/>
      <w:bookmarkStart w:id="8796" w:name="_Toc36034038"/>
      <w:bookmarkStart w:id="8797" w:name="_Toc45132185"/>
      <w:bookmarkStart w:id="8798" w:name="_Toc49776470"/>
      <w:bookmarkStart w:id="8799" w:name="_Toc51747390"/>
      <w:bookmarkStart w:id="8800" w:name="_Toc66360966"/>
      <w:bookmarkStart w:id="8801" w:name="_Toc68105471"/>
      <w:bookmarkStart w:id="8802" w:name="_Toc74756101"/>
      <w:bookmarkStart w:id="8803" w:name="_Toc105674978"/>
      <w:bookmarkStart w:id="8804" w:name="_Toc130503046"/>
      <w:bookmarkStart w:id="8805" w:name="_Toc153625834"/>
      <w:r w:rsidRPr="000A0A5F">
        <w:t>5.13.3.2.3.4</w:t>
      </w:r>
      <w:r w:rsidRPr="000A0A5F">
        <w:tab/>
        <w:t>POST</w:t>
      </w:r>
      <w:bookmarkEnd w:id="8794"/>
      <w:bookmarkEnd w:id="8795"/>
      <w:bookmarkEnd w:id="8796"/>
      <w:bookmarkEnd w:id="8797"/>
      <w:bookmarkEnd w:id="8798"/>
      <w:bookmarkEnd w:id="8799"/>
      <w:bookmarkEnd w:id="8800"/>
      <w:bookmarkEnd w:id="8801"/>
      <w:bookmarkEnd w:id="8802"/>
      <w:bookmarkEnd w:id="8803"/>
      <w:bookmarkEnd w:id="8804"/>
      <w:bookmarkEnd w:id="8805"/>
    </w:p>
    <w:p w:rsidR="00CB0DD7" w:rsidRPr="000A0A5F" w:rsidRDefault="00CB0DD7">
      <w:pPr>
        <w:rPr>
          <w:noProof/>
          <w:lang w:eastAsia="zh-CN"/>
        </w:rPr>
      </w:pPr>
      <w:r w:rsidRPr="000A0A5F">
        <w:rPr>
          <w:noProof/>
          <w:lang w:eastAsia="zh-CN"/>
        </w:rPr>
        <w:t>The POST method creates a new configuration resource for a given SCS/AS. The SCS/AS shall initiate the HTTP POST request message and the SCEF shall respond to the message. The SCEF shall construct the URI of the created resource.</w:t>
      </w:r>
    </w:p>
    <w:p w:rsidR="00CB0DD7" w:rsidRPr="000A0A5F" w:rsidRDefault="00CB0DD7">
      <w:r w:rsidRPr="000A0A5F">
        <w:t>This method shall support the URI query parameters, request and response data structures, and response codes, as specified in the table 5.13.3.2.3.4-1 and table 5.13.3.2.3.4-2.</w:t>
      </w:r>
    </w:p>
    <w:p w:rsidR="00CB0DD7" w:rsidRPr="000A0A5F" w:rsidRDefault="00CB0DD7">
      <w:pPr>
        <w:pStyle w:val="TH"/>
        <w:rPr>
          <w:rFonts w:cs="Arial"/>
        </w:rPr>
      </w:pPr>
      <w:r w:rsidRPr="000A0A5F">
        <w:t xml:space="preserve">Table 5.13.3.2.3.4-1: URI query parameters supported by the POST method on this resource </w:t>
      </w:r>
    </w:p>
    <w:tbl>
      <w:tblPr>
        <w:tblW w:w="4999"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612"/>
        <w:gridCol w:w="1709"/>
        <w:gridCol w:w="1140"/>
        <w:gridCol w:w="5314"/>
      </w:tblGrid>
      <w:tr w:rsidR="00CB0DD7" w:rsidRPr="000A0A5F" w:rsidTr="00FF0AF8">
        <w:trPr>
          <w:jc w:val="center"/>
        </w:trPr>
        <w:tc>
          <w:tcPr>
            <w:tcW w:w="825" w:type="pct"/>
            <w:shd w:val="clear" w:color="000000" w:fill="C0C0C0"/>
          </w:tcPr>
          <w:p w:rsidR="00CB0DD7" w:rsidRPr="000A0A5F" w:rsidRDefault="00CB0DD7">
            <w:pPr>
              <w:pStyle w:val="TAH"/>
            </w:pPr>
            <w:r w:rsidRPr="000A0A5F">
              <w:t>Name</w:t>
            </w:r>
          </w:p>
        </w:tc>
        <w:tc>
          <w:tcPr>
            <w:tcW w:w="874" w:type="pct"/>
            <w:shd w:val="clear" w:color="000000" w:fill="C0C0C0"/>
          </w:tcPr>
          <w:p w:rsidR="00CB0DD7" w:rsidRPr="000A0A5F" w:rsidRDefault="00CB0DD7">
            <w:pPr>
              <w:pStyle w:val="TAH"/>
            </w:pPr>
            <w:r w:rsidRPr="000A0A5F">
              <w:t>Data type</w:t>
            </w:r>
          </w:p>
        </w:tc>
        <w:tc>
          <w:tcPr>
            <w:tcW w:w="583" w:type="pct"/>
            <w:shd w:val="clear" w:color="000000" w:fill="C0C0C0"/>
          </w:tcPr>
          <w:p w:rsidR="00CB0DD7" w:rsidRPr="000A0A5F" w:rsidRDefault="00CB0DD7">
            <w:pPr>
              <w:pStyle w:val="TAH"/>
            </w:pPr>
            <w:r w:rsidRPr="000A0A5F">
              <w:t>Cardinality</w:t>
            </w:r>
          </w:p>
        </w:tc>
        <w:tc>
          <w:tcPr>
            <w:tcW w:w="2718" w:type="pct"/>
            <w:shd w:val="clear" w:color="000000" w:fill="C0C0C0"/>
            <w:vAlign w:val="center"/>
          </w:tcPr>
          <w:p w:rsidR="00CB0DD7" w:rsidRPr="000A0A5F" w:rsidRDefault="00CB0DD7">
            <w:pPr>
              <w:pStyle w:val="TAH"/>
            </w:pPr>
            <w:r w:rsidRPr="000A0A5F">
              <w:t>Remarks</w:t>
            </w:r>
          </w:p>
        </w:tc>
      </w:tr>
      <w:tr w:rsidR="00CB0DD7" w:rsidRPr="000A0A5F" w:rsidTr="00FF0AF8">
        <w:trPr>
          <w:jc w:val="center"/>
        </w:trPr>
        <w:tc>
          <w:tcPr>
            <w:tcW w:w="825" w:type="pct"/>
            <w:shd w:val="clear" w:color="auto" w:fill="auto"/>
          </w:tcPr>
          <w:p w:rsidR="00CB0DD7" w:rsidRPr="000A0A5F" w:rsidRDefault="00CB0DD7">
            <w:pPr>
              <w:pStyle w:val="TAL"/>
            </w:pPr>
            <w:r w:rsidRPr="000A0A5F">
              <w:t>none specified</w:t>
            </w:r>
          </w:p>
        </w:tc>
        <w:tc>
          <w:tcPr>
            <w:tcW w:w="874" w:type="pct"/>
          </w:tcPr>
          <w:p w:rsidR="00CB0DD7" w:rsidRPr="000A0A5F" w:rsidRDefault="00CB0DD7">
            <w:pPr>
              <w:pStyle w:val="TAL"/>
            </w:pPr>
          </w:p>
        </w:tc>
        <w:tc>
          <w:tcPr>
            <w:tcW w:w="583" w:type="pct"/>
          </w:tcPr>
          <w:p w:rsidR="00CB0DD7" w:rsidRPr="000A0A5F" w:rsidRDefault="00CB0DD7">
            <w:pPr>
              <w:pStyle w:val="TAL"/>
            </w:pPr>
          </w:p>
        </w:tc>
        <w:tc>
          <w:tcPr>
            <w:tcW w:w="2718" w:type="pct"/>
            <w:shd w:val="clear" w:color="auto" w:fill="auto"/>
            <w:vAlign w:val="center"/>
          </w:tcPr>
          <w:p w:rsidR="00CB0DD7" w:rsidRPr="000A0A5F" w:rsidRDefault="00CB0DD7">
            <w:pPr>
              <w:pStyle w:val="TAL"/>
            </w:pPr>
          </w:p>
        </w:tc>
      </w:tr>
    </w:tbl>
    <w:p w:rsidR="00CB0DD7" w:rsidRPr="000A0A5F" w:rsidRDefault="00CB0DD7"/>
    <w:p w:rsidR="00CB0DD7" w:rsidRPr="000A0A5F" w:rsidRDefault="00CB0DD7">
      <w:pPr>
        <w:pStyle w:val="TH"/>
        <w:spacing w:before="120"/>
      </w:pPr>
      <w:r w:rsidRPr="000A0A5F">
        <w:t>Table 5.13.3.2.3.4-2: Data structures supported by the POST request/response by the resource</w:t>
      </w:r>
    </w:p>
    <w:tbl>
      <w:tblPr>
        <w:tblW w:w="4999" w:type="pct"/>
        <w:tblInd w:w="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45" w:type="dxa"/>
          <w:left w:w="45" w:type="dxa"/>
          <w:bottom w:w="45" w:type="dxa"/>
          <w:right w:w="45" w:type="dxa"/>
        </w:tblCellMar>
        <w:tblLook w:val="0000" w:firstRow="0" w:lastRow="0" w:firstColumn="0" w:lastColumn="0" w:noHBand="0" w:noVBand="0"/>
      </w:tblPr>
      <w:tblGrid>
        <w:gridCol w:w="1043"/>
        <w:gridCol w:w="2831"/>
        <w:gridCol w:w="1138"/>
        <w:gridCol w:w="1273"/>
        <w:gridCol w:w="3444"/>
        <w:tblGridChange w:id="8806">
          <w:tblGrid>
            <w:gridCol w:w="1043"/>
            <w:gridCol w:w="2831"/>
            <w:gridCol w:w="1138"/>
            <w:gridCol w:w="1273"/>
            <w:gridCol w:w="3444"/>
          </w:tblGrid>
        </w:tblGridChange>
      </w:tblGrid>
      <w:tr w:rsidR="00CB0DD7" w:rsidRPr="000A0A5F" w:rsidTr="002C1CAD">
        <w:tc>
          <w:tcPr>
            <w:tcW w:w="536" w:type="pct"/>
            <w:vMerge w:val="restart"/>
            <w:shd w:val="clear" w:color="auto" w:fill="C0C0C0"/>
            <w:vAlign w:val="center"/>
          </w:tcPr>
          <w:p w:rsidR="00CB0DD7" w:rsidRPr="000A0A5F" w:rsidRDefault="00CB0DD7">
            <w:pPr>
              <w:pStyle w:val="TAH"/>
            </w:pPr>
            <w:r w:rsidRPr="000A0A5F">
              <w:t>Request body</w:t>
            </w:r>
          </w:p>
        </w:tc>
        <w:tc>
          <w:tcPr>
            <w:tcW w:w="1455" w:type="pct"/>
            <w:shd w:val="clear" w:color="auto" w:fill="C0C0C0"/>
          </w:tcPr>
          <w:p w:rsidR="00CB0DD7" w:rsidRPr="000A0A5F" w:rsidRDefault="00CB0DD7">
            <w:pPr>
              <w:pStyle w:val="TAH"/>
            </w:pPr>
            <w:r w:rsidRPr="000A0A5F">
              <w:t>Data type</w:t>
            </w:r>
          </w:p>
        </w:tc>
        <w:tc>
          <w:tcPr>
            <w:tcW w:w="585" w:type="pct"/>
            <w:shd w:val="clear" w:color="auto" w:fill="C0C0C0"/>
          </w:tcPr>
          <w:p w:rsidR="00CB0DD7" w:rsidRPr="000A0A5F" w:rsidRDefault="00CB0DD7">
            <w:pPr>
              <w:pStyle w:val="TAH"/>
            </w:pPr>
            <w:r w:rsidRPr="000A0A5F">
              <w:t>Cardinality</w:t>
            </w:r>
          </w:p>
        </w:tc>
        <w:tc>
          <w:tcPr>
            <w:tcW w:w="2424" w:type="pct"/>
            <w:gridSpan w:val="2"/>
            <w:shd w:val="clear" w:color="auto" w:fill="C0C0C0"/>
          </w:tcPr>
          <w:p w:rsidR="00CB0DD7" w:rsidRPr="000A0A5F" w:rsidRDefault="00CB0DD7">
            <w:pPr>
              <w:pStyle w:val="TAH"/>
            </w:pPr>
            <w:r w:rsidRPr="000A0A5F">
              <w:t>Remarks</w:t>
            </w:r>
          </w:p>
        </w:tc>
      </w:tr>
      <w:tr w:rsidR="00CB0DD7" w:rsidRPr="000A0A5F" w:rsidTr="00FF0AF8">
        <w:tc>
          <w:tcPr>
            <w:tcW w:w="536" w:type="pct"/>
            <w:vMerge/>
            <w:shd w:val="clear" w:color="auto" w:fill="BFBFBF"/>
            <w:vAlign w:val="center"/>
          </w:tcPr>
          <w:p w:rsidR="00CB0DD7" w:rsidRPr="000A0A5F" w:rsidRDefault="00CB0DD7">
            <w:pPr>
              <w:pStyle w:val="TAL"/>
              <w:jc w:val="center"/>
            </w:pPr>
          </w:p>
        </w:tc>
        <w:tc>
          <w:tcPr>
            <w:tcW w:w="1455" w:type="pct"/>
            <w:shd w:val="clear" w:color="auto" w:fill="auto"/>
          </w:tcPr>
          <w:p w:rsidR="00CB0DD7" w:rsidRPr="000A0A5F" w:rsidRDefault="00CB0DD7">
            <w:pPr>
              <w:pStyle w:val="TAL"/>
            </w:pPr>
            <w:r w:rsidRPr="000A0A5F">
              <w:t>NpConfiguration</w:t>
            </w:r>
          </w:p>
        </w:tc>
        <w:tc>
          <w:tcPr>
            <w:tcW w:w="585" w:type="pct"/>
          </w:tcPr>
          <w:p w:rsidR="00CB0DD7" w:rsidRPr="000A0A5F" w:rsidRDefault="00CB0DD7">
            <w:pPr>
              <w:pStyle w:val="TAL"/>
            </w:pPr>
            <w:r w:rsidRPr="000A0A5F">
              <w:t>1</w:t>
            </w:r>
          </w:p>
        </w:tc>
        <w:tc>
          <w:tcPr>
            <w:tcW w:w="2424" w:type="pct"/>
            <w:gridSpan w:val="2"/>
          </w:tcPr>
          <w:p w:rsidR="00CB0DD7" w:rsidRPr="000A0A5F" w:rsidRDefault="00CB0DD7">
            <w:pPr>
              <w:pStyle w:val="TAL"/>
            </w:pPr>
            <w:r w:rsidRPr="000A0A5F">
              <w:t>Parameters to create a new configuration to configure network parameters with the SCEF.</w:t>
            </w:r>
          </w:p>
        </w:tc>
      </w:tr>
      <w:tr w:rsidR="009C605C" w:rsidRPr="000A0A5F" w:rsidTr="002C1CAD">
        <w:tc>
          <w:tcPr>
            <w:tcW w:w="536" w:type="pct"/>
            <w:vMerge w:val="restart"/>
            <w:shd w:val="clear" w:color="auto" w:fill="C0C0C0"/>
            <w:vAlign w:val="center"/>
          </w:tcPr>
          <w:p w:rsidR="009C605C" w:rsidRPr="000A0A5F" w:rsidRDefault="009C605C">
            <w:pPr>
              <w:pStyle w:val="TAH"/>
            </w:pPr>
            <w:r w:rsidRPr="000A0A5F">
              <w:t>Response body</w:t>
            </w:r>
          </w:p>
        </w:tc>
        <w:tc>
          <w:tcPr>
            <w:tcW w:w="1455" w:type="pct"/>
            <w:shd w:val="clear" w:color="auto" w:fill="C0C0C0"/>
          </w:tcPr>
          <w:p w:rsidR="009C605C" w:rsidRPr="000A0A5F" w:rsidRDefault="009C605C">
            <w:pPr>
              <w:pStyle w:val="TAH"/>
            </w:pPr>
          </w:p>
          <w:p w:rsidR="009C605C" w:rsidRPr="000A0A5F" w:rsidRDefault="009C605C">
            <w:pPr>
              <w:pStyle w:val="TAH"/>
            </w:pPr>
            <w:r w:rsidRPr="000A0A5F">
              <w:t>Data type</w:t>
            </w:r>
          </w:p>
        </w:tc>
        <w:tc>
          <w:tcPr>
            <w:tcW w:w="585" w:type="pct"/>
            <w:shd w:val="clear" w:color="auto" w:fill="C0C0C0"/>
          </w:tcPr>
          <w:p w:rsidR="009C605C" w:rsidRPr="000A0A5F" w:rsidRDefault="009C605C">
            <w:pPr>
              <w:pStyle w:val="TAH"/>
            </w:pPr>
          </w:p>
          <w:p w:rsidR="009C605C" w:rsidRPr="000A0A5F" w:rsidRDefault="009C605C">
            <w:pPr>
              <w:pStyle w:val="TAH"/>
            </w:pPr>
            <w:r w:rsidRPr="000A0A5F">
              <w:t>Cardinality</w:t>
            </w:r>
          </w:p>
        </w:tc>
        <w:tc>
          <w:tcPr>
            <w:tcW w:w="654" w:type="pct"/>
            <w:shd w:val="clear" w:color="auto" w:fill="C0C0C0"/>
          </w:tcPr>
          <w:p w:rsidR="009C605C" w:rsidRPr="000A0A5F" w:rsidRDefault="009C605C">
            <w:pPr>
              <w:pStyle w:val="TAH"/>
            </w:pPr>
            <w:r w:rsidRPr="000A0A5F">
              <w:t>Response</w:t>
            </w:r>
          </w:p>
          <w:p w:rsidR="009C605C" w:rsidRPr="000A0A5F" w:rsidRDefault="009C605C">
            <w:pPr>
              <w:pStyle w:val="TAH"/>
            </w:pPr>
            <w:r w:rsidRPr="000A0A5F">
              <w:t>codes</w:t>
            </w:r>
          </w:p>
        </w:tc>
        <w:tc>
          <w:tcPr>
            <w:tcW w:w="1770" w:type="pct"/>
            <w:shd w:val="clear" w:color="auto" w:fill="C0C0C0"/>
          </w:tcPr>
          <w:p w:rsidR="009C605C" w:rsidRPr="000A0A5F" w:rsidRDefault="009C605C">
            <w:pPr>
              <w:pStyle w:val="TAH"/>
            </w:pPr>
          </w:p>
          <w:p w:rsidR="009C605C" w:rsidRPr="000A0A5F" w:rsidRDefault="009C605C">
            <w:pPr>
              <w:pStyle w:val="TAH"/>
            </w:pPr>
            <w:r w:rsidRPr="000A0A5F">
              <w:t>Remarks</w:t>
            </w:r>
          </w:p>
        </w:tc>
      </w:tr>
      <w:tr w:rsidR="009C605C" w:rsidRPr="000A0A5F" w:rsidTr="00FF0AF8">
        <w:tc>
          <w:tcPr>
            <w:tcW w:w="536" w:type="pct"/>
            <w:vMerge/>
            <w:shd w:val="clear" w:color="auto" w:fill="BFBFBF"/>
            <w:vAlign w:val="center"/>
          </w:tcPr>
          <w:p w:rsidR="009C605C" w:rsidRPr="000A0A5F" w:rsidRDefault="009C605C">
            <w:pPr>
              <w:pStyle w:val="TAL"/>
              <w:jc w:val="center"/>
            </w:pPr>
          </w:p>
        </w:tc>
        <w:tc>
          <w:tcPr>
            <w:tcW w:w="1455" w:type="pct"/>
            <w:shd w:val="clear" w:color="auto" w:fill="auto"/>
          </w:tcPr>
          <w:p w:rsidR="009C605C" w:rsidRPr="000A0A5F" w:rsidRDefault="009C605C">
            <w:pPr>
              <w:pStyle w:val="TAL"/>
            </w:pPr>
            <w:r w:rsidRPr="000A0A5F">
              <w:t>NpConfiguration</w:t>
            </w:r>
          </w:p>
        </w:tc>
        <w:tc>
          <w:tcPr>
            <w:tcW w:w="585" w:type="pct"/>
          </w:tcPr>
          <w:p w:rsidR="009C605C" w:rsidRPr="000A0A5F" w:rsidRDefault="009C605C">
            <w:pPr>
              <w:pStyle w:val="TAL"/>
            </w:pPr>
            <w:r w:rsidRPr="000A0A5F">
              <w:t>1</w:t>
            </w:r>
          </w:p>
        </w:tc>
        <w:tc>
          <w:tcPr>
            <w:tcW w:w="654" w:type="pct"/>
          </w:tcPr>
          <w:p w:rsidR="009C605C" w:rsidRPr="000A0A5F" w:rsidRDefault="009C605C">
            <w:pPr>
              <w:pStyle w:val="TAL"/>
            </w:pPr>
            <w:r w:rsidRPr="000A0A5F">
              <w:t>201 Created</w:t>
            </w:r>
          </w:p>
        </w:tc>
        <w:tc>
          <w:tcPr>
            <w:tcW w:w="1770" w:type="pct"/>
          </w:tcPr>
          <w:p w:rsidR="009C605C" w:rsidRPr="000A0A5F" w:rsidRDefault="009C605C">
            <w:pPr>
              <w:pStyle w:val="TAL"/>
              <w:spacing w:afterLines="50" w:after="120"/>
            </w:pPr>
            <w:r w:rsidRPr="000A0A5F">
              <w:t xml:space="preserve">The configuration was created successfully. </w:t>
            </w:r>
          </w:p>
          <w:p w:rsidR="009C605C" w:rsidRPr="000A0A5F" w:rsidRDefault="009C605C">
            <w:pPr>
              <w:pStyle w:val="TAL"/>
            </w:pPr>
            <w:r w:rsidRPr="000A0A5F">
              <w:t>The URI of the created resource shall be returned in the "Location" HTTP header</w:t>
            </w:r>
            <w:r w:rsidRPr="000A0A5F">
              <w:rPr>
                <w:lang w:eastAsia="zh-CN"/>
              </w:rPr>
              <w:t>.</w:t>
            </w:r>
          </w:p>
        </w:tc>
      </w:tr>
      <w:tr w:rsidR="009C605C" w:rsidRPr="000A0A5F" w:rsidTr="00FF0AF8">
        <w:tc>
          <w:tcPr>
            <w:tcW w:w="536" w:type="pct"/>
            <w:vMerge/>
            <w:shd w:val="clear" w:color="auto" w:fill="BFBFBF"/>
            <w:vAlign w:val="center"/>
          </w:tcPr>
          <w:p w:rsidR="009C605C" w:rsidRPr="000A0A5F" w:rsidRDefault="009C605C">
            <w:pPr>
              <w:pStyle w:val="TAL"/>
              <w:jc w:val="center"/>
            </w:pPr>
          </w:p>
        </w:tc>
        <w:tc>
          <w:tcPr>
            <w:tcW w:w="1455" w:type="pct"/>
            <w:shd w:val="clear" w:color="auto" w:fill="auto"/>
          </w:tcPr>
          <w:p w:rsidR="009C605C" w:rsidRPr="000A0A5F" w:rsidRDefault="009C605C">
            <w:pPr>
              <w:pStyle w:val="TAL"/>
            </w:pPr>
            <w:r w:rsidRPr="000A0A5F">
              <w:t>ProblemDetails</w:t>
            </w:r>
          </w:p>
        </w:tc>
        <w:tc>
          <w:tcPr>
            <w:tcW w:w="585" w:type="pct"/>
          </w:tcPr>
          <w:p w:rsidR="009C605C" w:rsidRPr="000A0A5F" w:rsidRDefault="009C605C">
            <w:pPr>
              <w:pStyle w:val="TAL"/>
            </w:pPr>
            <w:r w:rsidRPr="000A0A5F">
              <w:t>0..1</w:t>
            </w:r>
          </w:p>
        </w:tc>
        <w:tc>
          <w:tcPr>
            <w:tcW w:w="654" w:type="pct"/>
          </w:tcPr>
          <w:p w:rsidR="009C605C" w:rsidRPr="000A0A5F" w:rsidRDefault="009C605C">
            <w:pPr>
              <w:pStyle w:val="TAL"/>
            </w:pPr>
            <w:r w:rsidRPr="000A0A5F">
              <w:t>403 Forbidden</w:t>
            </w:r>
          </w:p>
        </w:tc>
        <w:tc>
          <w:tcPr>
            <w:tcW w:w="1770" w:type="pct"/>
          </w:tcPr>
          <w:p w:rsidR="009C605C" w:rsidRPr="000A0A5F" w:rsidRDefault="009C605C">
            <w:pPr>
              <w:pStyle w:val="TAL"/>
              <w:spacing w:afterLines="50" w:after="120"/>
            </w:pPr>
            <w:r w:rsidRPr="000A0A5F">
              <w:t>(NOTE 2)</w:t>
            </w:r>
          </w:p>
        </w:tc>
      </w:tr>
      <w:tr w:rsidR="009C605C" w:rsidRPr="000A0A5F" w:rsidTr="00FF0AF8">
        <w:tc>
          <w:tcPr>
            <w:tcW w:w="536" w:type="pct"/>
            <w:vMerge/>
            <w:shd w:val="clear" w:color="auto" w:fill="BFBFBF"/>
            <w:vAlign w:val="center"/>
          </w:tcPr>
          <w:p w:rsidR="009C605C" w:rsidRPr="000A0A5F" w:rsidRDefault="009C605C">
            <w:pPr>
              <w:pStyle w:val="TAL"/>
              <w:jc w:val="center"/>
            </w:pPr>
          </w:p>
        </w:tc>
        <w:tc>
          <w:tcPr>
            <w:tcW w:w="1455" w:type="pct"/>
            <w:shd w:val="clear" w:color="auto" w:fill="auto"/>
          </w:tcPr>
          <w:p w:rsidR="009C605C" w:rsidRPr="000A0A5F" w:rsidRDefault="00A34B09">
            <w:pPr>
              <w:pStyle w:val="TAL"/>
            </w:pPr>
            <w:r w:rsidRPr="000A0A5F">
              <w:t>ProblemDetails</w:t>
            </w:r>
          </w:p>
        </w:tc>
        <w:tc>
          <w:tcPr>
            <w:tcW w:w="585" w:type="pct"/>
          </w:tcPr>
          <w:p w:rsidR="009C605C" w:rsidRPr="000A0A5F" w:rsidRDefault="00A34B09">
            <w:pPr>
              <w:pStyle w:val="TAL"/>
            </w:pPr>
            <w:r w:rsidRPr="000A0A5F">
              <w:t>0..1</w:t>
            </w:r>
          </w:p>
        </w:tc>
        <w:tc>
          <w:tcPr>
            <w:tcW w:w="654" w:type="pct"/>
          </w:tcPr>
          <w:p w:rsidR="009C605C" w:rsidRPr="000A0A5F" w:rsidRDefault="00A34B09">
            <w:pPr>
              <w:pStyle w:val="TAL"/>
            </w:pPr>
            <w:r w:rsidRPr="000A0A5F">
              <w:t>404 Not Found</w:t>
            </w:r>
          </w:p>
        </w:tc>
        <w:tc>
          <w:tcPr>
            <w:tcW w:w="1770" w:type="pct"/>
          </w:tcPr>
          <w:p w:rsidR="009C605C" w:rsidRPr="000A0A5F" w:rsidRDefault="00437978">
            <w:pPr>
              <w:pStyle w:val="TAL"/>
            </w:pPr>
            <w:r w:rsidRPr="000A0A5F">
              <w:t>(NOTE 2)</w:t>
            </w:r>
          </w:p>
        </w:tc>
      </w:tr>
      <w:tr w:rsidR="00CB0DD7" w:rsidRPr="000A0A5F" w:rsidTr="00FF0AF8">
        <w:tc>
          <w:tcPr>
            <w:tcW w:w="5000" w:type="pct"/>
            <w:gridSpan w:val="5"/>
            <w:shd w:val="clear" w:color="auto" w:fill="auto"/>
            <w:vAlign w:val="center"/>
          </w:tcPr>
          <w:p w:rsidR="00CB0DD7" w:rsidRPr="000A0A5F" w:rsidRDefault="00CB0DD7">
            <w:pPr>
              <w:pStyle w:val="TAN"/>
            </w:pPr>
            <w:r w:rsidRPr="000A0A5F">
              <w:t>NOTE 1:</w:t>
            </w:r>
            <w:r w:rsidRPr="000A0A5F">
              <w:tab/>
              <w:t>The mandatory HTTP error status codes for the POST method listed in table 5.2.6-1 also apply.</w:t>
            </w:r>
          </w:p>
          <w:p w:rsidR="00CB0DD7" w:rsidRPr="000A0A5F" w:rsidRDefault="00CB0DD7">
            <w:pPr>
              <w:pStyle w:val="TAN"/>
            </w:pPr>
            <w:r w:rsidRPr="000A0A5F">
              <w:t>NOTE 2:</w:t>
            </w:r>
            <w:r w:rsidRPr="000A0A5F">
              <w:tab/>
            </w:r>
            <w:r w:rsidR="009A78CB" w:rsidRPr="000A0A5F">
              <w:t>Failure cases are described</w:t>
            </w:r>
            <w:r w:rsidRPr="000A0A5F">
              <w:t xml:space="preserve"> in clause 5.13.5.3.</w:t>
            </w:r>
          </w:p>
        </w:tc>
      </w:tr>
    </w:tbl>
    <w:p w:rsidR="00CB0DD7" w:rsidRPr="000A0A5F" w:rsidRDefault="00CB0DD7">
      <w:pPr>
        <w:rPr>
          <w:noProof/>
        </w:rPr>
      </w:pPr>
    </w:p>
    <w:p w:rsidR="00CB0DD7" w:rsidRPr="000A0A5F" w:rsidRDefault="00CB0DD7">
      <w:pPr>
        <w:pStyle w:val="TH"/>
      </w:pPr>
      <w:r w:rsidRPr="000A0A5F">
        <w:t>Table</w:t>
      </w:r>
      <w:r w:rsidRPr="000A0A5F">
        <w:rPr>
          <w:noProof/>
        </w:rPr>
        <w:t> </w:t>
      </w:r>
      <w:r w:rsidRPr="000A0A5F">
        <w:t xml:space="preserve">5.13.3.2.3.4-3: Headers supported by the 201 Response Code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846044">
        <w:trPr>
          <w:jc w:val="center"/>
        </w:trPr>
        <w:tc>
          <w:tcPr>
            <w:tcW w:w="825" w:type="pct"/>
            <w:tcBorders>
              <w:bottom w:val="single" w:sz="6" w:space="0" w:color="auto"/>
            </w:tcBorders>
            <w:shd w:val="clear" w:color="auto" w:fill="C0C0C0"/>
          </w:tcPr>
          <w:p w:rsidR="00CB0DD7" w:rsidRPr="000A0A5F" w:rsidRDefault="00CB0DD7">
            <w:pPr>
              <w:pStyle w:val="TAH"/>
            </w:pPr>
            <w:r w:rsidRPr="000A0A5F">
              <w:t>Name</w:t>
            </w:r>
          </w:p>
        </w:tc>
        <w:tc>
          <w:tcPr>
            <w:tcW w:w="732" w:type="pct"/>
            <w:tcBorders>
              <w:bottom w:val="single" w:sz="6" w:space="0" w:color="auto"/>
            </w:tcBorders>
            <w:shd w:val="clear" w:color="auto" w:fill="C0C0C0"/>
          </w:tcPr>
          <w:p w:rsidR="00CB0DD7" w:rsidRPr="000A0A5F" w:rsidRDefault="00CB0DD7">
            <w:pPr>
              <w:pStyle w:val="TAH"/>
            </w:pPr>
            <w:r w:rsidRPr="000A0A5F">
              <w:t>Data type</w:t>
            </w:r>
          </w:p>
        </w:tc>
        <w:tc>
          <w:tcPr>
            <w:tcW w:w="217" w:type="pct"/>
            <w:tcBorders>
              <w:bottom w:val="single" w:sz="6" w:space="0" w:color="auto"/>
            </w:tcBorders>
            <w:shd w:val="clear" w:color="auto" w:fill="C0C0C0"/>
          </w:tcPr>
          <w:p w:rsidR="00CB0DD7" w:rsidRPr="000A0A5F" w:rsidRDefault="00CB0DD7">
            <w:pPr>
              <w:pStyle w:val="TAH"/>
            </w:pPr>
            <w:r w:rsidRPr="000A0A5F">
              <w:t>P</w:t>
            </w:r>
          </w:p>
        </w:tc>
        <w:tc>
          <w:tcPr>
            <w:tcW w:w="581" w:type="pct"/>
            <w:tcBorders>
              <w:bottom w:val="single" w:sz="6" w:space="0" w:color="auto"/>
            </w:tcBorders>
            <w:shd w:val="clear" w:color="auto" w:fill="C0C0C0"/>
          </w:tcPr>
          <w:p w:rsidR="00CB0DD7" w:rsidRPr="000A0A5F" w:rsidRDefault="00CB0DD7">
            <w:pPr>
              <w:pStyle w:val="TAH"/>
            </w:pPr>
            <w:r w:rsidRPr="000A0A5F">
              <w:t>Cardinality</w:t>
            </w:r>
          </w:p>
        </w:tc>
        <w:tc>
          <w:tcPr>
            <w:tcW w:w="2645" w:type="pct"/>
            <w:tcBorders>
              <w:bottom w:val="single" w:sz="6" w:space="0" w:color="auto"/>
            </w:tcBorders>
            <w:shd w:val="clear" w:color="auto" w:fill="C0C0C0"/>
            <w:vAlign w:val="center"/>
          </w:tcPr>
          <w:p w:rsidR="00CB0DD7" w:rsidRPr="000A0A5F" w:rsidRDefault="00CB0DD7">
            <w:pPr>
              <w:pStyle w:val="TAH"/>
            </w:pPr>
            <w:r w:rsidRPr="000A0A5F">
              <w:t>Description</w:t>
            </w:r>
          </w:p>
        </w:tc>
      </w:tr>
      <w:tr w:rsidR="00CB0DD7" w:rsidRPr="000A0A5F" w:rsidTr="00846044">
        <w:trPr>
          <w:jc w:val="center"/>
        </w:trPr>
        <w:tc>
          <w:tcPr>
            <w:tcW w:w="825" w:type="pct"/>
            <w:tcBorders>
              <w:top w:val="single" w:sz="6" w:space="0" w:color="auto"/>
            </w:tcBorders>
            <w:shd w:val="clear" w:color="auto" w:fill="auto"/>
          </w:tcPr>
          <w:p w:rsidR="00CB0DD7" w:rsidRPr="000A0A5F" w:rsidRDefault="00CB0DD7">
            <w:pPr>
              <w:pStyle w:val="TAL"/>
            </w:pPr>
            <w:r w:rsidRPr="000A0A5F">
              <w:t>Location</w:t>
            </w:r>
          </w:p>
        </w:tc>
        <w:tc>
          <w:tcPr>
            <w:tcW w:w="732" w:type="pct"/>
            <w:tcBorders>
              <w:top w:val="single" w:sz="6" w:space="0" w:color="auto"/>
            </w:tcBorders>
          </w:tcPr>
          <w:p w:rsidR="00CB0DD7" w:rsidRPr="000A0A5F" w:rsidRDefault="00CB0DD7">
            <w:pPr>
              <w:pStyle w:val="TAL"/>
            </w:pPr>
            <w:r w:rsidRPr="000A0A5F">
              <w:t>string</w:t>
            </w:r>
          </w:p>
        </w:tc>
        <w:tc>
          <w:tcPr>
            <w:tcW w:w="217" w:type="pct"/>
            <w:tcBorders>
              <w:top w:val="single" w:sz="6" w:space="0" w:color="auto"/>
            </w:tcBorders>
          </w:tcPr>
          <w:p w:rsidR="00CB0DD7" w:rsidRPr="000A0A5F" w:rsidRDefault="00CB0DD7">
            <w:pPr>
              <w:pStyle w:val="TAC"/>
            </w:pPr>
            <w:r w:rsidRPr="000A0A5F">
              <w:t>M</w:t>
            </w:r>
          </w:p>
        </w:tc>
        <w:tc>
          <w:tcPr>
            <w:tcW w:w="581" w:type="pct"/>
            <w:tcBorders>
              <w:top w:val="single" w:sz="6" w:space="0" w:color="auto"/>
            </w:tcBorders>
          </w:tcPr>
          <w:p w:rsidR="00CB0DD7" w:rsidRPr="000A0A5F" w:rsidRDefault="00CB0DD7">
            <w:pPr>
              <w:pStyle w:val="TAL"/>
            </w:pPr>
            <w:r w:rsidRPr="000A0A5F">
              <w:t>1</w:t>
            </w:r>
          </w:p>
        </w:tc>
        <w:tc>
          <w:tcPr>
            <w:tcW w:w="2645" w:type="pct"/>
            <w:tcBorders>
              <w:top w:val="single" w:sz="6" w:space="0" w:color="auto"/>
            </w:tcBorders>
            <w:shd w:val="clear" w:color="auto" w:fill="auto"/>
            <w:vAlign w:val="center"/>
          </w:tcPr>
          <w:p w:rsidR="009A78CB" w:rsidRPr="000A0A5F" w:rsidRDefault="00CB0DD7">
            <w:pPr>
              <w:pStyle w:val="TAL"/>
              <w:rPr>
                <w:noProof/>
              </w:rPr>
            </w:pPr>
            <w:r w:rsidRPr="000A0A5F">
              <w:t>Contains the URI of the newly created resource, according to the structure:</w:t>
            </w:r>
          </w:p>
          <w:p w:rsidR="00CB0DD7" w:rsidRPr="000A0A5F" w:rsidRDefault="00CB0DD7">
            <w:pPr>
              <w:pStyle w:val="TAL"/>
            </w:pPr>
            <w:r w:rsidRPr="000A0A5F">
              <w:t>{apiRoot}/3gpp-network-parameter-configuration/v1/{scsAsId}/configurations/{configurationId}</w:t>
            </w:r>
          </w:p>
        </w:tc>
      </w:tr>
    </w:tbl>
    <w:p w:rsidR="00CB0DD7" w:rsidRPr="000A0A5F" w:rsidRDefault="00CB0DD7"/>
    <w:p w:rsidR="00CB0DD7" w:rsidRPr="000A0A5F" w:rsidRDefault="00CB0DD7">
      <w:pPr>
        <w:pStyle w:val="Heading6"/>
      </w:pPr>
      <w:bookmarkStart w:id="8807" w:name="_Toc11247853"/>
      <w:bookmarkStart w:id="8808" w:name="_Toc27044997"/>
      <w:bookmarkStart w:id="8809" w:name="_Toc36034039"/>
      <w:bookmarkStart w:id="8810" w:name="_Toc45132186"/>
      <w:bookmarkStart w:id="8811" w:name="_Toc49776471"/>
      <w:bookmarkStart w:id="8812" w:name="_Toc51747391"/>
      <w:bookmarkStart w:id="8813" w:name="_Toc66360967"/>
      <w:bookmarkStart w:id="8814" w:name="_Toc68105472"/>
      <w:bookmarkStart w:id="8815" w:name="_Toc74756102"/>
      <w:bookmarkStart w:id="8816" w:name="_Toc105674979"/>
      <w:bookmarkStart w:id="8817" w:name="_Toc130503047"/>
      <w:bookmarkStart w:id="8818" w:name="_Toc153625835"/>
      <w:r w:rsidRPr="000A0A5F">
        <w:t>5.13.3.2.3.5</w:t>
      </w:r>
      <w:r w:rsidRPr="000A0A5F">
        <w:tab/>
        <w:t>DELETE</w:t>
      </w:r>
      <w:bookmarkEnd w:id="8807"/>
      <w:bookmarkEnd w:id="8808"/>
      <w:bookmarkEnd w:id="8809"/>
      <w:bookmarkEnd w:id="8810"/>
      <w:bookmarkEnd w:id="8811"/>
      <w:bookmarkEnd w:id="8812"/>
      <w:bookmarkEnd w:id="8813"/>
      <w:bookmarkEnd w:id="8814"/>
      <w:bookmarkEnd w:id="8815"/>
      <w:bookmarkEnd w:id="8816"/>
      <w:bookmarkEnd w:id="8817"/>
      <w:bookmarkEnd w:id="8818"/>
    </w:p>
    <w:p w:rsidR="00CB0DD7" w:rsidRPr="000A0A5F" w:rsidRDefault="00CB0DD7">
      <w:pPr>
        <w:rPr>
          <w:rFonts w:hint="eastAsia"/>
          <w:lang w:eastAsia="zh-CN"/>
        </w:rPr>
      </w:pPr>
      <w:r w:rsidRPr="000A0A5F">
        <w:rPr>
          <w:rFonts w:hint="eastAsia"/>
          <w:lang w:eastAsia="zh-CN"/>
        </w:rPr>
        <w:t xml:space="preserve">This </w:t>
      </w:r>
      <w:r w:rsidRPr="000A0A5F">
        <w:rPr>
          <w:lang w:eastAsia="zh-CN"/>
        </w:rPr>
        <w:t>HTTP method is not supported for the resource.</w:t>
      </w:r>
    </w:p>
    <w:p w:rsidR="00CB0DD7" w:rsidRPr="000A0A5F" w:rsidRDefault="00CB0DD7">
      <w:pPr>
        <w:pStyle w:val="Heading4"/>
      </w:pPr>
      <w:bookmarkStart w:id="8819" w:name="_Toc11247854"/>
      <w:bookmarkStart w:id="8820" w:name="_Toc27044998"/>
      <w:bookmarkStart w:id="8821" w:name="_Toc36034040"/>
      <w:bookmarkStart w:id="8822" w:name="_Toc45132187"/>
      <w:bookmarkStart w:id="8823" w:name="_Toc49776472"/>
      <w:bookmarkStart w:id="8824" w:name="_Toc51747392"/>
      <w:bookmarkStart w:id="8825" w:name="_Toc66360968"/>
      <w:bookmarkStart w:id="8826" w:name="_Toc68105473"/>
      <w:bookmarkStart w:id="8827" w:name="_Toc74756103"/>
      <w:bookmarkStart w:id="8828" w:name="_Toc105674980"/>
      <w:bookmarkStart w:id="8829" w:name="_Toc130503048"/>
      <w:bookmarkStart w:id="8830" w:name="_Toc153625836"/>
      <w:r w:rsidRPr="000A0A5F">
        <w:t>5.13.3.3</w:t>
      </w:r>
      <w:r w:rsidRPr="000A0A5F">
        <w:tab/>
        <w:t>Resource: Individual NP Configuration</w:t>
      </w:r>
      <w:bookmarkEnd w:id="8819"/>
      <w:bookmarkEnd w:id="8820"/>
      <w:bookmarkEnd w:id="8821"/>
      <w:bookmarkEnd w:id="8822"/>
      <w:bookmarkEnd w:id="8823"/>
      <w:bookmarkEnd w:id="8824"/>
      <w:bookmarkEnd w:id="8825"/>
      <w:bookmarkEnd w:id="8826"/>
      <w:bookmarkEnd w:id="8827"/>
      <w:bookmarkEnd w:id="8828"/>
      <w:bookmarkEnd w:id="8829"/>
      <w:bookmarkEnd w:id="8830"/>
    </w:p>
    <w:p w:rsidR="00CB0DD7" w:rsidRPr="000A0A5F" w:rsidRDefault="00CB0DD7">
      <w:pPr>
        <w:pStyle w:val="Heading5"/>
      </w:pPr>
      <w:bookmarkStart w:id="8831" w:name="_Toc11247855"/>
      <w:bookmarkStart w:id="8832" w:name="_Toc27044999"/>
      <w:bookmarkStart w:id="8833" w:name="_Toc36034041"/>
      <w:bookmarkStart w:id="8834" w:name="_Toc45132188"/>
      <w:bookmarkStart w:id="8835" w:name="_Toc49776473"/>
      <w:bookmarkStart w:id="8836" w:name="_Toc51747393"/>
      <w:bookmarkStart w:id="8837" w:name="_Toc66360969"/>
      <w:bookmarkStart w:id="8838" w:name="_Toc68105474"/>
      <w:bookmarkStart w:id="8839" w:name="_Toc74756104"/>
      <w:bookmarkStart w:id="8840" w:name="_Toc105674981"/>
      <w:bookmarkStart w:id="8841" w:name="_Toc130503049"/>
      <w:bookmarkStart w:id="8842" w:name="_Toc153625837"/>
      <w:r w:rsidRPr="000A0A5F">
        <w:t>5.13.3.3.1</w:t>
      </w:r>
      <w:r w:rsidRPr="000A0A5F">
        <w:tab/>
        <w:t>Introduction</w:t>
      </w:r>
      <w:bookmarkEnd w:id="8831"/>
      <w:bookmarkEnd w:id="8832"/>
      <w:bookmarkEnd w:id="8833"/>
      <w:bookmarkEnd w:id="8834"/>
      <w:bookmarkEnd w:id="8835"/>
      <w:bookmarkEnd w:id="8836"/>
      <w:bookmarkEnd w:id="8837"/>
      <w:bookmarkEnd w:id="8838"/>
      <w:bookmarkEnd w:id="8839"/>
      <w:bookmarkEnd w:id="8840"/>
      <w:bookmarkEnd w:id="8841"/>
      <w:bookmarkEnd w:id="8842"/>
    </w:p>
    <w:p w:rsidR="00CB0DD7" w:rsidRPr="000A0A5F" w:rsidRDefault="00CB0DD7">
      <w:r w:rsidRPr="000A0A5F">
        <w:rPr>
          <w:noProof/>
          <w:lang w:eastAsia="zh-CN"/>
        </w:rPr>
        <w:t>This resource allows an</w:t>
      </w:r>
      <w:r w:rsidRPr="000A0A5F">
        <w:rPr>
          <w:rFonts w:hint="eastAsia"/>
          <w:noProof/>
          <w:lang w:eastAsia="zh-CN"/>
        </w:rPr>
        <w:t xml:space="preserve"> SCS/AS </w:t>
      </w:r>
      <w:r w:rsidRPr="000A0A5F">
        <w:rPr>
          <w:noProof/>
          <w:lang w:eastAsia="zh-CN"/>
        </w:rPr>
        <w:t>to query, update and delete a network parameter configuration indicated by the resource URI as defined in clause 5.13.3.3.2.</w:t>
      </w:r>
    </w:p>
    <w:p w:rsidR="00CB0DD7" w:rsidRPr="000A0A5F" w:rsidRDefault="00CB0DD7">
      <w:pPr>
        <w:pStyle w:val="Heading5"/>
      </w:pPr>
      <w:bookmarkStart w:id="8843" w:name="_Toc11247856"/>
      <w:bookmarkStart w:id="8844" w:name="_Toc27045000"/>
      <w:bookmarkStart w:id="8845" w:name="_Toc36034042"/>
      <w:bookmarkStart w:id="8846" w:name="_Toc45132189"/>
      <w:bookmarkStart w:id="8847" w:name="_Toc49776474"/>
      <w:bookmarkStart w:id="8848" w:name="_Toc51747394"/>
      <w:bookmarkStart w:id="8849" w:name="_Toc66360970"/>
      <w:bookmarkStart w:id="8850" w:name="_Toc68105475"/>
      <w:bookmarkStart w:id="8851" w:name="_Toc74756105"/>
      <w:bookmarkStart w:id="8852" w:name="_Toc105674982"/>
      <w:bookmarkStart w:id="8853" w:name="_Toc130503050"/>
      <w:bookmarkStart w:id="8854" w:name="_Toc153625838"/>
      <w:r w:rsidRPr="000A0A5F">
        <w:t>5.13.3.3.2</w:t>
      </w:r>
      <w:r w:rsidRPr="000A0A5F">
        <w:tab/>
        <w:t>Resource definition</w:t>
      </w:r>
      <w:bookmarkEnd w:id="8843"/>
      <w:bookmarkEnd w:id="8844"/>
      <w:bookmarkEnd w:id="8845"/>
      <w:bookmarkEnd w:id="8846"/>
      <w:bookmarkEnd w:id="8847"/>
      <w:bookmarkEnd w:id="8848"/>
      <w:bookmarkEnd w:id="8849"/>
      <w:bookmarkEnd w:id="8850"/>
      <w:bookmarkEnd w:id="8851"/>
      <w:bookmarkEnd w:id="8852"/>
      <w:bookmarkEnd w:id="8853"/>
      <w:bookmarkEnd w:id="8854"/>
    </w:p>
    <w:p w:rsidR="00CB0DD7" w:rsidRPr="000A0A5F" w:rsidRDefault="00CB0DD7">
      <w:r w:rsidRPr="000A0A5F">
        <w:t xml:space="preserve">Resource URI: </w:t>
      </w:r>
      <w:r w:rsidRPr="000A0A5F">
        <w:rPr>
          <w:b/>
        </w:rPr>
        <w:t>{apiRoot}/3gpp-network-parameter-configuration/v1/{scsAsId}/</w:t>
      </w:r>
      <w:r w:rsidRPr="000A0A5F">
        <w:rPr>
          <w:b/>
          <w:noProof/>
          <w:lang w:eastAsia="zh-CN"/>
        </w:rPr>
        <w:t>configuration</w:t>
      </w:r>
      <w:r w:rsidRPr="000A0A5F">
        <w:rPr>
          <w:b/>
        </w:rPr>
        <w:t>s/{</w:t>
      </w:r>
      <w:r w:rsidRPr="000A0A5F">
        <w:rPr>
          <w:b/>
          <w:noProof/>
          <w:lang w:eastAsia="zh-CN"/>
        </w:rPr>
        <w:t>configuration</w:t>
      </w:r>
      <w:r w:rsidRPr="000A0A5F">
        <w:rPr>
          <w:b/>
        </w:rPr>
        <w:t>Id}</w:t>
      </w:r>
    </w:p>
    <w:p w:rsidR="00CB0DD7" w:rsidRPr="000A0A5F" w:rsidRDefault="00CB0DD7">
      <w:pPr>
        <w:rPr>
          <w:rFonts w:ascii="Arial" w:hAnsi="Arial" w:cs="Arial"/>
        </w:rPr>
      </w:pPr>
      <w:r w:rsidRPr="000A0A5F">
        <w:t>This resource shall support the resource URI variables defined in table 5.13.3.3.2-1</w:t>
      </w:r>
      <w:r w:rsidRPr="000A0A5F">
        <w:rPr>
          <w:rFonts w:ascii="Arial" w:hAnsi="Arial" w:cs="Arial"/>
        </w:rPr>
        <w:t>.</w:t>
      </w:r>
    </w:p>
    <w:p w:rsidR="00CB0DD7" w:rsidRPr="000A0A5F" w:rsidRDefault="00CB0DD7">
      <w:pPr>
        <w:pStyle w:val="TH"/>
        <w:rPr>
          <w:rFonts w:cs="Arial"/>
        </w:rPr>
      </w:pPr>
      <w:r w:rsidRPr="000A0A5F">
        <w:t>Table 5.13.3.2.2-1: Resource URI variables for resource "Individual NP Configuration"</w:t>
      </w:r>
    </w:p>
    <w:tbl>
      <w:tblPr>
        <w:tblW w:w="494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970"/>
        <w:gridCol w:w="1312"/>
        <w:gridCol w:w="6378"/>
      </w:tblGrid>
      <w:tr w:rsidR="00CB0DD7" w:rsidRPr="000A0A5F" w:rsidTr="00FF0AF8">
        <w:trPr>
          <w:jc w:val="center"/>
        </w:trPr>
        <w:tc>
          <w:tcPr>
            <w:tcW w:w="1020" w:type="pct"/>
            <w:shd w:val="clear" w:color="000000" w:fill="C0C0C0"/>
          </w:tcPr>
          <w:p w:rsidR="00CB0DD7" w:rsidRPr="000A0A5F" w:rsidRDefault="00CB0DD7">
            <w:pPr>
              <w:pStyle w:val="TAH"/>
            </w:pPr>
            <w:r w:rsidRPr="000A0A5F">
              <w:t>Name</w:t>
            </w:r>
          </w:p>
        </w:tc>
        <w:tc>
          <w:tcPr>
            <w:tcW w:w="679" w:type="pct"/>
            <w:shd w:val="clear" w:color="000000" w:fill="C0C0C0"/>
          </w:tcPr>
          <w:p w:rsidR="00CB0DD7" w:rsidRPr="000A0A5F" w:rsidRDefault="00CB0DD7">
            <w:pPr>
              <w:pStyle w:val="TAH"/>
            </w:pPr>
            <w:r w:rsidRPr="000A0A5F">
              <w:t>Data type</w:t>
            </w:r>
          </w:p>
        </w:tc>
        <w:tc>
          <w:tcPr>
            <w:tcW w:w="3302" w:type="pct"/>
            <w:shd w:val="clear" w:color="000000" w:fill="C0C0C0"/>
            <w:vAlign w:val="center"/>
          </w:tcPr>
          <w:p w:rsidR="00CB0DD7" w:rsidRPr="000A0A5F" w:rsidRDefault="00CB0DD7">
            <w:pPr>
              <w:pStyle w:val="TAH"/>
            </w:pPr>
            <w:r w:rsidRPr="000A0A5F">
              <w:t>Definition</w:t>
            </w:r>
          </w:p>
        </w:tc>
      </w:tr>
      <w:tr w:rsidR="00CB0DD7" w:rsidRPr="000A0A5F" w:rsidTr="00FF0AF8">
        <w:trPr>
          <w:jc w:val="center"/>
        </w:trPr>
        <w:tc>
          <w:tcPr>
            <w:tcW w:w="1020" w:type="pct"/>
            <w:shd w:val="clear" w:color="auto" w:fill="auto"/>
          </w:tcPr>
          <w:p w:rsidR="00CB0DD7" w:rsidRPr="000A0A5F" w:rsidRDefault="00CB0DD7">
            <w:pPr>
              <w:pStyle w:val="TAL"/>
            </w:pPr>
            <w:r w:rsidRPr="000A0A5F">
              <w:t>apiRoot</w:t>
            </w:r>
          </w:p>
        </w:tc>
        <w:tc>
          <w:tcPr>
            <w:tcW w:w="679" w:type="pct"/>
          </w:tcPr>
          <w:p w:rsidR="00CB0DD7" w:rsidRPr="000A0A5F" w:rsidRDefault="00CB0DD7">
            <w:pPr>
              <w:pStyle w:val="TAL"/>
            </w:pPr>
            <w:r w:rsidRPr="000A0A5F">
              <w:t>string</w:t>
            </w:r>
          </w:p>
        </w:tc>
        <w:tc>
          <w:tcPr>
            <w:tcW w:w="3302" w:type="pct"/>
            <w:shd w:val="clear" w:color="auto" w:fill="auto"/>
            <w:vAlign w:val="center"/>
          </w:tcPr>
          <w:p w:rsidR="00CB0DD7" w:rsidRPr="000A0A5F" w:rsidRDefault="00CB0DD7">
            <w:pPr>
              <w:pStyle w:val="TAL"/>
            </w:pPr>
            <w:r w:rsidRPr="000A0A5F">
              <w:t>See clause</w:t>
            </w:r>
            <w:r w:rsidRPr="000A0A5F">
              <w:rPr>
                <w:lang w:val="en-US" w:eastAsia="zh-CN"/>
              </w:rPr>
              <w:t> </w:t>
            </w:r>
            <w:r w:rsidRPr="000A0A5F">
              <w:t>5.2.4.</w:t>
            </w:r>
          </w:p>
        </w:tc>
      </w:tr>
      <w:tr w:rsidR="00CB0DD7" w:rsidRPr="000A0A5F" w:rsidTr="00FF0AF8">
        <w:trPr>
          <w:jc w:val="center"/>
        </w:trPr>
        <w:tc>
          <w:tcPr>
            <w:tcW w:w="1020" w:type="pct"/>
            <w:shd w:val="clear" w:color="auto" w:fill="auto"/>
          </w:tcPr>
          <w:p w:rsidR="00CB0DD7" w:rsidRPr="000A0A5F" w:rsidRDefault="00CB0DD7">
            <w:pPr>
              <w:pStyle w:val="TAL"/>
            </w:pPr>
            <w:r w:rsidRPr="000A0A5F">
              <w:t>scsAsId</w:t>
            </w:r>
          </w:p>
        </w:tc>
        <w:tc>
          <w:tcPr>
            <w:tcW w:w="679" w:type="pct"/>
          </w:tcPr>
          <w:p w:rsidR="00CB0DD7" w:rsidRPr="000A0A5F" w:rsidRDefault="00CB0DD7">
            <w:pPr>
              <w:pStyle w:val="TAL"/>
            </w:pPr>
            <w:r w:rsidRPr="000A0A5F">
              <w:rPr>
                <w:rFonts w:hint="eastAsia"/>
                <w:lang w:eastAsia="zh-CN"/>
              </w:rPr>
              <w:t>s</w:t>
            </w:r>
            <w:r w:rsidRPr="000A0A5F">
              <w:rPr>
                <w:lang w:eastAsia="zh-CN"/>
              </w:rPr>
              <w:t>tring</w:t>
            </w:r>
          </w:p>
        </w:tc>
        <w:tc>
          <w:tcPr>
            <w:tcW w:w="3302" w:type="pct"/>
            <w:shd w:val="clear" w:color="auto" w:fill="auto"/>
            <w:vAlign w:val="center"/>
          </w:tcPr>
          <w:p w:rsidR="00CB0DD7" w:rsidRPr="000A0A5F" w:rsidRDefault="00CB0DD7">
            <w:pPr>
              <w:pStyle w:val="TAL"/>
            </w:pPr>
            <w:r w:rsidRPr="000A0A5F">
              <w:t>Identifier of the SCS/AS</w:t>
            </w:r>
            <w:r w:rsidRPr="000A0A5F">
              <w:rPr>
                <w:rFonts w:eastAsia="Times New Roman"/>
              </w:rPr>
              <w:t>.</w:t>
            </w:r>
          </w:p>
        </w:tc>
      </w:tr>
      <w:tr w:rsidR="00CB0DD7" w:rsidRPr="000A0A5F" w:rsidTr="00FF0AF8">
        <w:trPr>
          <w:jc w:val="center"/>
        </w:trPr>
        <w:tc>
          <w:tcPr>
            <w:tcW w:w="1020" w:type="pct"/>
            <w:shd w:val="clear" w:color="auto" w:fill="auto"/>
          </w:tcPr>
          <w:p w:rsidR="00CB0DD7" w:rsidRPr="000A0A5F" w:rsidRDefault="00CB0DD7">
            <w:pPr>
              <w:pStyle w:val="TAL"/>
              <w:rPr>
                <w:rFonts w:hint="eastAsia"/>
                <w:lang w:eastAsia="zh-CN"/>
              </w:rPr>
            </w:pPr>
            <w:r w:rsidRPr="000A0A5F">
              <w:rPr>
                <w:noProof/>
                <w:lang w:eastAsia="zh-CN"/>
              </w:rPr>
              <w:t>configuration</w:t>
            </w:r>
            <w:r w:rsidRPr="000A0A5F">
              <w:rPr>
                <w:rFonts w:hint="eastAsia"/>
                <w:lang w:eastAsia="zh-CN"/>
              </w:rPr>
              <w:t>Id</w:t>
            </w:r>
          </w:p>
        </w:tc>
        <w:tc>
          <w:tcPr>
            <w:tcW w:w="679" w:type="pct"/>
          </w:tcPr>
          <w:p w:rsidR="00CB0DD7" w:rsidRPr="000A0A5F" w:rsidRDefault="00CB0DD7">
            <w:pPr>
              <w:pStyle w:val="TAL"/>
            </w:pPr>
            <w:r w:rsidRPr="000A0A5F">
              <w:t>string</w:t>
            </w:r>
          </w:p>
        </w:tc>
        <w:tc>
          <w:tcPr>
            <w:tcW w:w="3302" w:type="pct"/>
            <w:shd w:val="clear" w:color="auto" w:fill="auto"/>
            <w:vAlign w:val="center"/>
          </w:tcPr>
          <w:p w:rsidR="00CB0DD7" w:rsidRPr="000A0A5F" w:rsidRDefault="00CB0DD7">
            <w:pPr>
              <w:pStyle w:val="TAL"/>
              <w:rPr>
                <w:rFonts w:hint="eastAsia"/>
                <w:lang w:eastAsia="zh-CN"/>
              </w:rPr>
            </w:pPr>
            <w:r w:rsidRPr="000A0A5F">
              <w:t xml:space="preserve">Identifier of the </w:t>
            </w:r>
            <w:r w:rsidRPr="000A0A5F">
              <w:rPr>
                <w:noProof/>
                <w:lang w:eastAsia="zh-CN"/>
              </w:rPr>
              <w:t>configuration</w:t>
            </w:r>
            <w:r w:rsidRPr="000A0A5F">
              <w:t xml:space="preserve"> resource.</w:t>
            </w:r>
          </w:p>
        </w:tc>
      </w:tr>
    </w:tbl>
    <w:p w:rsidR="00CB0DD7" w:rsidRPr="000A0A5F" w:rsidRDefault="00CB0DD7"/>
    <w:p w:rsidR="00CB0DD7" w:rsidRPr="000A0A5F" w:rsidRDefault="00CB0DD7">
      <w:pPr>
        <w:pStyle w:val="Heading5"/>
        <w:spacing w:before="180"/>
      </w:pPr>
      <w:bookmarkStart w:id="8855" w:name="_Toc11247857"/>
      <w:bookmarkStart w:id="8856" w:name="_Toc27045001"/>
      <w:bookmarkStart w:id="8857" w:name="_Toc36034043"/>
      <w:bookmarkStart w:id="8858" w:name="_Toc45132190"/>
      <w:bookmarkStart w:id="8859" w:name="_Toc49776475"/>
      <w:bookmarkStart w:id="8860" w:name="_Toc51747395"/>
      <w:bookmarkStart w:id="8861" w:name="_Toc66360971"/>
      <w:bookmarkStart w:id="8862" w:name="_Toc68105476"/>
      <w:bookmarkStart w:id="8863" w:name="_Toc74756106"/>
      <w:bookmarkStart w:id="8864" w:name="_Toc105674983"/>
      <w:bookmarkStart w:id="8865" w:name="_Toc130503051"/>
      <w:bookmarkStart w:id="8866" w:name="_Toc153625839"/>
      <w:r w:rsidRPr="000A0A5F">
        <w:t>5.13.3.3.3</w:t>
      </w:r>
      <w:r w:rsidRPr="000A0A5F">
        <w:tab/>
        <w:t>Resource methods</w:t>
      </w:r>
      <w:bookmarkEnd w:id="8855"/>
      <w:bookmarkEnd w:id="8856"/>
      <w:bookmarkEnd w:id="8857"/>
      <w:bookmarkEnd w:id="8858"/>
      <w:bookmarkEnd w:id="8859"/>
      <w:bookmarkEnd w:id="8860"/>
      <w:bookmarkEnd w:id="8861"/>
      <w:bookmarkEnd w:id="8862"/>
      <w:bookmarkEnd w:id="8863"/>
      <w:bookmarkEnd w:id="8864"/>
      <w:bookmarkEnd w:id="8865"/>
      <w:bookmarkEnd w:id="8866"/>
    </w:p>
    <w:p w:rsidR="00CB0DD7" w:rsidRPr="000A0A5F" w:rsidRDefault="00CB0DD7">
      <w:pPr>
        <w:pStyle w:val="Heading6"/>
      </w:pPr>
      <w:bookmarkStart w:id="8867" w:name="_Toc11247858"/>
      <w:bookmarkStart w:id="8868" w:name="_Toc27045002"/>
      <w:bookmarkStart w:id="8869" w:name="_Toc36034044"/>
      <w:bookmarkStart w:id="8870" w:name="_Toc45132191"/>
      <w:bookmarkStart w:id="8871" w:name="_Toc49776476"/>
      <w:bookmarkStart w:id="8872" w:name="_Toc51747396"/>
      <w:bookmarkStart w:id="8873" w:name="_Toc66360972"/>
      <w:bookmarkStart w:id="8874" w:name="_Toc68105477"/>
      <w:bookmarkStart w:id="8875" w:name="_Toc74756107"/>
      <w:bookmarkStart w:id="8876" w:name="_Toc105674984"/>
      <w:bookmarkStart w:id="8877" w:name="_Toc130503052"/>
      <w:bookmarkStart w:id="8878" w:name="_Toc153625840"/>
      <w:r w:rsidRPr="000A0A5F">
        <w:t>5.13.3.3.3.1</w:t>
      </w:r>
      <w:r w:rsidRPr="000A0A5F">
        <w:tab/>
        <w:t>GET</w:t>
      </w:r>
      <w:bookmarkEnd w:id="8867"/>
      <w:bookmarkEnd w:id="8868"/>
      <w:bookmarkEnd w:id="8869"/>
      <w:bookmarkEnd w:id="8870"/>
      <w:bookmarkEnd w:id="8871"/>
      <w:bookmarkEnd w:id="8872"/>
      <w:bookmarkEnd w:id="8873"/>
      <w:bookmarkEnd w:id="8874"/>
      <w:bookmarkEnd w:id="8875"/>
      <w:bookmarkEnd w:id="8876"/>
      <w:bookmarkEnd w:id="8877"/>
      <w:bookmarkEnd w:id="8878"/>
    </w:p>
    <w:p w:rsidR="00CB0DD7" w:rsidRPr="000A0A5F" w:rsidRDefault="00CB0DD7">
      <w:pPr>
        <w:rPr>
          <w:noProof/>
          <w:lang w:eastAsia="zh-CN"/>
        </w:rPr>
      </w:pPr>
      <w:r w:rsidRPr="000A0A5F">
        <w:rPr>
          <w:noProof/>
          <w:lang w:eastAsia="zh-CN"/>
        </w:rPr>
        <w:t>The GET method allows to read an active configuration i</w:t>
      </w:r>
      <w:r w:rsidRPr="000A0A5F">
        <w:rPr>
          <w:noProof/>
          <w:lang w:val="en-US" w:eastAsia="zh-CN"/>
        </w:rPr>
        <w:t>ndicated</w:t>
      </w:r>
      <w:r w:rsidRPr="000A0A5F">
        <w:rPr>
          <w:noProof/>
          <w:lang w:eastAsia="zh-CN"/>
        </w:rPr>
        <w:t xml:space="preserve"> by the resource URI as defined in subclause 5.</w:t>
      </w:r>
      <w:r w:rsidRPr="000A0A5F">
        <w:rPr>
          <w:noProof/>
          <w:lang w:val="en-US" w:eastAsia="zh-CN"/>
        </w:rPr>
        <w:t>13.3.3.2</w:t>
      </w:r>
      <w:r w:rsidRPr="000A0A5F">
        <w:rPr>
          <w:noProof/>
          <w:lang w:eastAsia="zh-CN"/>
        </w:rPr>
        <w:t xml:space="preserve">. The SCS/AS shall initiate the HTTP GET request message and the SCEF shall respond to the message. </w:t>
      </w:r>
    </w:p>
    <w:p w:rsidR="00CB0DD7" w:rsidRPr="000A0A5F" w:rsidRDefault="00CB0DD7">
      <w:r w:rsidRPr="000A0A5F">
        <w:t>This method shall support the URI query parameters, request and response data structures, and response codes, as specified in the table 5.13.3.3.3.1-1 and table 5.13.3.3.3.1-2.</w:t>
      </w:r>
    </w:p>
    <w:p w:rsidR="00CB0DD7" w:rsidRPr="000A0A5F" w:rsidRDefault="00CB0DD7">
      <w:pPr>
        <w:pStyle w:val="TH"/>
        <w:rPr>
          <w:rFonts w:cs="Arial"/>
        </w:rPr>
      </w:pPr>
      <w:r w:rsidRPr="000A0A5F">
        <w:t xml:space="preserve">Table 5.13.3.3.3.1-1: URI query parameters supported by the GET method on this resource </w:t>
      </w:r>
    </w:p>
    <w:tbl>
      <w:tblPr>
        <w:tblW w:w="4999"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612"/>
        <w:gridCol w:w="1709"/>
        <w:gridCol w:w="1140"/>
        <w:gridCol w:w="5314"/>
      </w:tblGrid>
      <w:tr w:rsidR="00CB0DD7" w:rsidRPr="000A0A5F" w:rsidTr="00FF0AF8">
        <w:trPr>
          <w:jc w:val="center"/>
        </w:trPr>
        <w:tc>
          <w:tcPr>
            <w:tcW w:w="825" w:type="pct"/>
            <w:shd w:val="clear" w:color="000000" w:fill="C0C0C0"/>
          </w:tcPr>
          <w:p w:rsidR="00CB0DD7" w:rsidRPr="000A0A5F" w:rsidRDefault="00CB0DD7">
            <w:pPr>
              <w:pStyle w:val="TAH"/>
            </w:pPr>
            <w:r w:rsidRPr="000A0A5F">
              <w:t>Name</w:t>
            </w:r>
          </w:p>
        </w:tc>
        <w:tc>
          <w:tcPr>
            <w:tcW w:w="874" w:type="pct"/>
            <w:shd w:val="clear" w:color="000000" w:fill="C0C0C0"/>
          </w:tcPr>
          <w:p w:rsidR="00CB0DD7" w:rsidRPr="000A0A5F" w:rsidRDefault="00CB0DD7">
            <w:pPr>
              <w:pStyle w:val="TAH"/>
            </w:pPr>
            <w:r w:rsidRPr="000A0A5F">
              <w:t>Data type</w:t>
            </w:r>
          </w:p>
        </w:tc>
        <w:tc>
          <w:tcPr>
            <w:tcW w:w="583" w:type="pct"/>
            <w:shd w:val="clear" w:color="000000" w:fill="C0C0C0"/>
          </w:tcPr>
          <w:p w:rsidR="00CB0DD7" w:rsidRPr="000A0A5F" w:rsidRDefault="00CB0DD7">
            <w:pPr>
              <w:pStyle w:val="TAH"/>
            </w:pPr>
            <w:r w:rsidRPr="000A0A5F">
              <w:t>Cardinality</w:t>
            </w:r>
          </w:p>
        </w:tc>
        <w:tc>
          <w:tcPr>
            <w:tcW w:w="2718" w:type="pct"/>
            <w:shd w:val="clear" w:color="000000" w:fill="C0C0C0"/>
            <w:vAlign w:val="center"/>
          </w:tcPr>
          <w:p w:rsidR="00CB0DD7" w:rsidRPr="000A0A5F" w:rsidRDefault="00CB0DD7">
            <w:pPr>
              <w:pStyle w:val="TAH"/>
            </w:pPr>
            <w:r w:rsidRPr="000A0A5F">
              <w:t>Remarks</w:t>
            </w:r>
          </w:p>
        </w:tc>
      </w:tr>
      <w:tr w:rsidR="00CB0DD7" w:rsidRPr="000A0A5F" w:rsidTr="00FF0AF8">
        <w:trPr>
          <w:jc w:val="center"/>
        </w:trPr>
        <w:tc>
          <w:tcPr>
            <w:tcW w:w="825" w:type="pct"/>
            <w:shd w:val="clear" w:color="auto" w:fill="auto"/>
          </w:tcPr>
          <w:p w:rsidR="00CB0DD7" w:rsidRPr="000A0A5F" w:rsidRDefault="00CB0DD7">
            <w:pPr>
              <w:pStyle w:val="TAL"/>
            </w:pPr>
          </w:p>
        </w:tc>
        <w:tc>
          <w:tcPr>
            <w:tcW w:w="874" w:type="pct"/>
          </w:tcPr>
          <w:p w:rsidR="00CB0DD7" w:rsidRPr="000A0A5F" w:rsidRDefault="00CB0DD7">
            <w:pPr>
              <w:pStyle w:val="TAL"/>
            </w:pPr>
          </w:p>
        </w:tc>
        <w:tc>
          <w:tcPr>
            <w:tcW w:w="583" w:type="pct"/>
          </w:tcPr>
          <w:p w:rsidR="00CB0DD7" w:rsidRPr="000A0A5F" w:rsidRDefault="00CB0DD7">
            <w:pPr>
              <w:pStyle w:val="TAL"/>
            </w:pPr>
          </w:p>
        </w:tc>
        <w:tc>
          <w:tcPr>
            <w:tcW w:w="2718" w:type="pct"/>
            <w:shd w:val="clear" w:color="auto" w:fill="auto"/>
            <w:vAlign w:val="center"/>
          </w:tcPr>
          <w:p w:rsidR="00CB0DD7" w:rsidRPr="000A0A5F" w:rsidRDefault="00CB0DD7">
            <w:pPr>
              <w:pStyle w:val="TAL"/>
            </w:pPr>
          </w:p>
        </w:tc>
      </w:tr>
    </w:tbl>
    <w:p w:rsidR="00CB0DD7" w:rsidRPr="000A0A5F" w:rsidRDefault="00CB0DD7"/>
    <w:p w:rsidR="00CB0DD7" w:rsidRPr="000A0A5F" w:rsidRDefault="00CB0DD7">
      <w:pPr>
        <w:pStyle w:val="TH"/>
        <w:spacing w:before="120"/>
      </w:pPr>
      <w:r w:rsidRPr="000A0A5F">
        <w:t>Table 5.13.3.3.3.1-2: Data structures supported by the GET request/response by the resource</w:t>
      </w:r>
    </w:p>
    <w:tbl>
      <w:tblPr>
        <w:tblW w:w="4999" w:type="pct"/>
        <w:tblInd w:w="1"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top w:w="45" w:type="dxa"/>
          <w:left w:w="45" w:type="dxa"/>
          <w:bottom w:w="45" w:type="dxa"/>
          <w:right w:w="45" w:type="dxa"/>
        </w:tblCellMar>
        <w:tblLook w:val="0000" w:firstRow="0" w:lastRow="0" w:firstColumn="0" w:lastColumn="0" w:noHBand="0" w:noVBand="0"/>
      </w:tblPr>
      <w:tblGrid>
        <w:gridCol w:w="1035"/>
        <w:gridCol w:w="2127"/>
        <w:gridCol w:w="1053"/>
        <w:gridCol w:w="973"/>
        <w:gridCol w:w="4541"/>
      </w:tblGrid>
      <w:tr w:rsidR="00CB0DD7" w:rsidRPr="000A0A5F" w:rsidTr="002C1CAD">
        <w:tc>
          <w:tcPr>
            <w:tcW w:w="532" w:type="pct"/>
            <w:vMerge w:val="restart"/>
            <w:shd w:val="clear" w:color="auto" w:fill="C0C0C0"/>
            <w:vAlign w:val="center"/>
          </w:tcPr>
          <w:p w:rsidR="00CB0DD7" w:rsidRPr="000A0A5F" w:rsidRDefault="00CB0DD7">
            <w:pPr>
              <w:pStyle w:val="TAH"/>
            </w:pPr>
            <w:r w:rsidRPr="000A0A5F">
              <w:t>Request body</w:t>
            </w:r>
          </w:p>
        </w:tc>
        <w:tc>
          <w:tcPr>
            <w:tcW w:w="1093" w:type="pct"/>
            <w:shd w:val="clear" w:color="auto" w:fill="C0C0C0"/>
          </w:tcPr>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r w:rsidRPr="000A0A5F">
              <w:t>Cardinality</w:t>
            </w:r>
          </w:p>
        </w:tc>
        <w:tc>
          <w:tcPr>
            <w:tcW w:w="2834" w:type="pct"/>
            <w:gridSpan w:val="2"/>
            <w:shd w:val="clear" w:color="auto" w:fill="C0C0C0"/>
          </w:tcPr>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none</w:t>
            </w:r>
          </w:p>
        </w:tc>
        <w:tc>
          <w:tcPr>
            <w:tcW w:w="541" w:type="pct"/>
          </w:tcPr>
          <w:p w:rsidR="00CB0DD7" w:rsidRPr="000A0A5F" w:rsidRDefault="00CB0DD7">
            <w:pPr>
              <w:pStyle w:val="TAL"/>
            </w:pPr>
          </w:p>
        </w:tc>
        <w:tc>
          <w:tcPr>
            <w:tcW w:w="2834" w:type="pct"/>
            <w:gridSpan w:val="2"/>
          </w:tcPr>
          <w:p w:rsidR="00CB0DD7" w:rsidRPr="000A0A5F" w:rsidRDefault="00CB0DD7">
            <w:pPr>
              <w:pStyle w:val="TAL"/>
            </w:pPr>
          </w:p>
        </w:tc>
      </w:tr>
      <w:tr w:rsidR="00CB0DD7" w:rsidRPr="000A0A5F" w:rsidTr="002C1CAD">
        <w:tc>
          <w:tcPr>
            <w:tcW w:w="532" w:type="pct"/>
            <w:vMerge w:val="restart"/>
            <w:shd w:val="clear" w:color="auto" w:fill="C0C0C0"/>
            <w:vAlign w:val="center"/>
          </w:tcPr>
          <w:p w:rsidR="00CB0DD7" w:rsidRPr="000A0A5F" w:rsidRDefault="00CB0DD7">
            <w:pPr>
              <w:pStyle w:val="TAH"/>
            </w:pPr>
            <w:r w:rsidRPr="000A0A5F">
              <w:t>Response body</w:t>
            </w:r>
          </w:p>
        </w:tc>
        <w:tc>
          <w:tcPr>
            <w:tcW w:w="1093" w:type="pct"/>
            <w:shd w:val="clear" w:color="auto" w:fill="C0C0C0"/>
          </w:tcPr>
          <w:p w:rsidR="00CB0DD7" w:rsidRPr="000A0A5F" w:rsidRDefault="00CB0DD7">
            <w:pPr>
              <w:pStyle w:val="TAH"/>
            </w:pPr>
          </w:p>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p>
          <w:p w:rsidR="00CB0DD7" w:rsidRPr="000A0A5F" w:rsidRDefault="00CB0DD7">
            <w:pPr>
              <w:pStyle w:val="TAH"/>
            </w:pPr>
            <w:r w:rsidRPr="000A0A5F">
              <w:t>Cardinality</w:t>
            </w:r>
          </w:p>
        </w:tc>
        <w:tc>
          <w:tcPr>
            <w:tcW w:w="500" w:type="pct"/>
            <w:shd w:val="clear" w:color="auto" w:fill="C0C0C0"/>
          </w:tcPr>
          <w:p w:rsidR="00CB0DD7" w:rsidRPr="000A0A5F" w:rsidRDefault="00CB0DD7">
            <w:pPr>
              <w:pStyle w:val="TAH"/>
            </w:pPr>
            <w:r w:rsidRPr="000A0A5F">
              <w:t>Response</w:t>
            </w:r>
          </w:p>
          <w:p w:rsidR="00CB0DD7" w:rsidRPr="000A0A5F" w:rsidRDefault="00CB0DD7">
            <w:pPr>
              <w:pStyle w:val="TAH"/>
            </w:pPr>
            <w:r w:rsidRPr="000A0A5F">
              <w:t>codes</w:t>
            </w:r>
          </w:p>
        </w:tc>
        <w:tc>
          <w:tcPr>
            <w:tcW w:w="2334" w:type="pct"/>
            <w:shd w:val="clear" w:color="auto" w:fill="C0C0C0"/>
          </w:tcPr>
          <w:p w:rsidR="00CB0DD7" w:rsidRPr="000A0A5F" w:rsidRDefault="00CB0DD7">
            <w:pPr>
              <w:pStyle w:val="TAH"/>
            </w:pPr>
          </w:p>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NpConfiguration</w:t>
            </w:r>
          </w:p>
        </w:tc>
        <w:tc>
          <w:tcPr>
            <w:tcW w:w="541" w:type="pct"/>
          </w:tcPr>
          <w:p w:rsidR="00CB0DD7" w:rsidRPr="000A0A5F" w:rsidRDefault="00CB0DD7">
            <w:pPr>
              <w:pStyle w:val="TAL"/>
            </w:pPr>
            <w:r w:rsidRPr="000A0A5F">
              <w:t>1</w:t>
            </w:r>
          </w:p>
        </w:tc>
        <w:tc>
          <w:tcPr>
            <w:tcW w:w="500" w:type="pct"/>
          </w:tcPr>
          <w:p w:rsidR="00CB0DD7" w:rsidRPr="000A0A5F" w:rsidRDefault="00CB0DD7">
            <w:pPr>
              <w:pStyle w:val="TAL"/>
            </w:pPr>
            <w:r w:rsidRPr="000A0A5F">
              <w:t>200 OK</w:t>
            </w:r>
          </w:p>
        </w:tc>
        <w:tc>
          <w:tcPr>
            <w:tcW w:w="2334" w:type="pct"/>
          </w:tcPr>
          <w:p w:rsidR="00CB0DD7" w:rsidRPr="000A0A5F" w:rsidRDefault="00CB0DD7">
            <w:pPr>
              <w:pStyle w:val="TAL"/>
            </w:pPr>
            <w:r w:rsidRPr="000A0A5F">
              <w:t xml:space="preserve">The configuration information related to the request URI is returned. </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none</w:t>
            </w:r>
          </w:p>
        </w:tc>
        <w:tc>
          <w:tcPr>
            <w:tcW w:w="541" w:type="pct"/>
          </w:tcPr>
          <w:p w:rsidR="00CB0DD7" w:rsidRPr="000A0A5F" w:rsidRDefault="00CB0DD7">
            <w:pPr>
              <w:pStyle w:val="TAL"/>
            </w:pPr>
          </w:p>
        </w:tc>
        <w:tc>
          <w:tcPr>
            <w:tcW w:w="500" w:type="pct"/>
          </w:tcPr>
          <w:p w:rsidR="00CB0DD7" w:rsidRPr="000A0A5F" w:rsidRDefault="00CB0DD7">
            <w:pPr>
              <w:pStyle w:val="TAL"/>
            </w:pPr>
            <w:r w:rsidRPr="000A0A5F">
              <w:t>307 Temporary Redirect</w:t>
            </w:r>
          </w:p>
        </w:tc>
        <w:tc>
          <w:tcPr>
            <w:tcW w:w="2334" w:type="pct"/>
          </w:tcPr>
          <w:p w:rsidR="00CB0DD7" w:rsidRPr="000A0A5F" w:rsidRDefault="00CB0DD7">
            <w:pPr>
              <w:pStyle w:val="TAL"/>
            </w:pPr>
            <w:r w:rsidRPr="000A0A5F">
              <w:t>Temporary redirection, during configuration retrieval. The response shall include a Location header field containing an alternative URI of the resource located in an alternative SCEF.</w:t>
            </w:r>
          </w:p>
          <w:p w:rsidR="00CB0DD7" w:rsidRPr="000A0A5F" w:rsidRDefault="00CB0DD7">
            <w:pPr>
              <w:pStyle w:val="TAL"/>
            </w:pPr>
            <w:r w:rsidRPr="000A0A5F">
              <w:t>Redirection handling is described in clause 5.2.10.</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none</w:t>
            </w:r>
          </w:p>
        </w:tc>
        <w:tc>
          <w:tcPr>
            <w:tcW w:w="541" w:type="pct"/>
          </w:tcPr>
          <w:p w:rsidR="00CB0DD7" w:rsidRPr="000A0A5F" w:rsidRDefault="00CB0DD7">
            <w:pPr>
              <w:pStyle w:val="TAL"/>
            </w:pPr>
          </w:p>
        </w:tc>
        <w:tc>
          <w:tcPr>
            <w:tcW w:w="500" w:type="pct"/>
          </w:tcPr>
          <w:p w:rsidR="00CB0DD7" w:rsidRPr="000A0A5F" w:rsidRDefault="00CB0DD7">
            <w:pPr>
              <w:pStyle w:val="TAL"/>
            </w:pPr>
            <w:r w:rsidRPr="000A0A5F">
              <w:t>308 Permanent Redirect</w:t>
            </w:r>
          </w:p>
        </w:tc>
        <w:tc>
          <w:tcPr>
            <w:tcW w:w="2334" w:type="pct"/>
          </w:tcPr>
          <w:p w:rsidR="00CB0DD7" w:rsidRPr="000A0A5F" w:rsidRDefault="00CB0DD7">
            <w:pPr>
              <w:pStyle w:val="TAL"/>
            </w:pPr>
            <w:r w:rsidRPr="000A0A5F">
              <w:t>Permanent redirection, during configuration retrieval. The response shall include a Location header field containing an alternative URI of the resource located in an alternative SCEF.</w:t>
            </w:r>
          </w:p>
          <w:p w:rsidR="00CB0DD7" w:rsidRPr="000A0A5F" w:rsidRDefault="00CB0DD7">
            <w:pPr>
              <w:pStyle w:val="TAL"/>
            </w:pPr>
            <w:r w:rsidRPr="000A0A5F">
              <w:t>Redirection handling is described in clause 5.2.10.</w:t>
            </w:r>
          </w:p>
        </w:tc>
      </w:tr>
      <w:tr w:rsidR="00CB0DD7" w:rsidRPr="000A0A5F" w:rsidTr="00FF0AF8">
        <w:tc>
          <w:tcPr>
            <w:tcW w:w="5000" w:type="pct"/>
            <w:gridSpan w:val="5"/>
            <w:shd w:val="clear" w:color="auto" w:fill="auto"/>
            <w:vAlign w:val="center"/>
          </w:tcPr>
          <w:p w:rsidR="00CB0DD7" w:rsidRPr="000A0A5F" w:rsidRDefault="00CB0DD7">
            <w:pPr>
              <w:pStyle w:val="TAN"/>
            </w:pPr>
            <w:r w:rsidRPr="000A0A5F">
              <w:t>NOTE:</w:t>
            </w:r>
            <w:r w:rsidRPr="000A0A5F">
              <w:tab/>
              <w:t>The mandatory HTTP error status codes for the GET method listed in table 5.2.6-1 also apply.</w:t>
            </w:r>
          </w:p>
        </w:tc>
      </w:tr>
    </w:tbl>
    <w:p w:rsidR="00CB0DD7" w:rsidRPr="000A0A5F" w:rsidRDefault="00CB0DD7"/>
    <w:p w:rsidR="00CB0DD7" w:rsidRPr="000A0A5F" w:rsidRDefault="002E466A">
      <w:pPr>
        <w:pStyle w:val="TH"/>
      </w:pPr>
      <w:r w:rsidRPr="000A0A5F">
        <w:t>Table </w:t>
      </w:r>
      <w:r w:rsidR="00CB0DD7" w:rsidRPr="000A0A5F">
        <w:t>5.13.3.3.3.1-3: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2E466A">
      <w:pPr>
        <w:pStyle w:val="TH"/>
      </w:pPr>
      <w:r w:rsidRPr="000A0A5F">
        <w:t>Table </w:t>
      </w:r>
      <w:r w:rsidR="00CB0DD7" w:rsidRPr="000A0A5F">
        <w:t>5.13.3.3.3.1-4: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CB0DD7">
      <w:pPr>
        <w:pStyle w:val="Heading6"/>
      </w:pPr>
      <w:bookmarkStart w:id="8879" w:name="_Toc11247859"/>
      <w:bookmarkStart w:id="8880" w:name="_Toc27045003"/>
      <w:bookmarkStart w:id="8881" w:name="_Toc36034045"/>
      <w:bookmarkStart w:id="8882" w:name="_Toc45132192"/>
      <w:bookmarkStart w:id="8883" w:name="_Toc49776477"/>
      <w:bookmarkStart w:id="8884" w:name="_Toc51747397"/>
      <w:bookmarkStart w:id="8885" w:name="_Toc66360973"/>
      <w:bookmarkStart w:id="8886" w:name="_Toc68105478"/>
      <w:bookmarkStart w:id="8887" w:name="_Toc74756108"/>
      <w:bookmarkStart w:id="8888" w:name="_Toc105674985"/>
      <w:bookmarkStart w:id="8889" w:name="_Toc130503053"/>
      <w:bookmarkStart w:id="8890" w:name="_Toc153625841"/>
      <w:r w:rsidRPr="000A0A5F">
        <w:t>5.13.3.3.3.2</w:t>
      </w:r>
      <w:r w:rsidRPr="000A0A5F">
        <w:tab/>
        <w:t>PUT</w:t>
      </w:r>
      <w:bookmarkEnd w:id="8879"/>
      <w:bookmarkEnd w:id="8880"/>
      <w:bookmarkEnd w:id="8881"/>
      <w:bookmarkEnd w:id="8882"/>
      <w:bookmarkEnd w:id="8883"/>
      <w:bookmarkEnd w:id="8884"/>
      <w:bookmarkEnd w:id="8885"/>
      <w:bookmarkEnd w:id="8886"/>
      <w:bookmarkEnd w:id="8887"/>
      <w:bookmarkEnd w:id="8888"/>
      <w:bookmarkEnd w:id="8889"/>
      <w:bookmarkEnd w:id="8890"/>
    </w:p>
    <w:p w:rsidR="00CB0DD7" w:rsidRPr="000A0A5F" w:rsidRDefault="00CB0DD7">
      <w:pPr>
        <w:rPr>
          <w:noProof/>
          <w:lang w:eastAsia="zh-CN"/>
        </w:rPr>
      </w:pPr>
      <w:r w:rsidRPr="000A0A5F">
        <w:rPr>
          <w:noProof/>
          <w:lang w:eastAsia="zh-CN"/>
        </w:rPr>
        <w:t>The PUT method modifies an existing configuration indicated by the resource URI as defined in clause 5.</w:t>
      </w:r>
      <w:r w:rsidRPr="000A0A5F">
        <w:rPr>
          <w:noProof/>
          <w:lang w:val="en-US" w:eastAsia="zh-CN"/>
        </w:rPr>
        <w:t>13.3.3.2</w:t>
      </w:r>
      <w:r w:rsidRPr="000A0A5F">
        <w:rPr>
          <w:noProof/>
          <w:lang w:eastAsia="zh-CN"/>
        </w:rPr>
        <w:t xml:space="preserve">. The SCS/AS shall initiate the HTTP PUT request message and the SCEF shall respond to the message. </w:t>
      </w:r>
    </w:p>
    <w:p w:rsidR="00CB0DD7" w:rsidRPr="000A0A5F" w:rsidRDefault="00CB0DD7">
      <w:r w:rsidRPr="000A0A5F">
        <w:t>This method shall support the URI query parameters, request and response data structures, and response codes, as specified in the table 5.13.3.3.3.2-1 and table 5.13.3.3.3.2-2.</w:t>
      </w:r>
    </w:p>
    <w:p w:rsidR="00CB0DD7" w:rsidRPr="000A0A5F" w:rsidRDefault="00CB0DD7">
      <w:pPr>
        <w:pStyle w:val="TH"/>
        <w:rPr>
          <w:rFonts w:cs="Arial"/>
        </w:rPr>
      </w:pPr>
      <w:r w:rsidRPr="000A0A5F">
        <w:t xml:space="preserve">Table 5.13.3.3.3.2-1: URI query parameters supported by the PUT method on this resource </w:t>
      </w:r>
    </w:p>
    <w:tbl>
      <w:tblPr>
        <w:tblW w:w="4999"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612"/>
        <w:gridCol w:w="1709"/>
        <w:gridCol w:w="1140"/>
        <w:gridCol w:w="5314"/>
      </w:tblGrid>
      <w:tr w:rsidR="00CB0DD7" w:rsidRPr="000A0A5F" w:rsidTr="00FF0AF8">
        <w:trPr>
          <w:jc w:val="center"/>
        </w:trPr>
        <w:tc>
          <w:tcPr>
            <w:tcW w:w="825" w:type="pct"/>
            <w:shd w:val="clear" w:color="000000" w:fill="C0C0C0"/>
          </w:tcPr>
          <w:p w:rsidR="00CB0DD7" w:rsidRPr="000A0A5F" w:rsidRDefault="00CB0DD7">
            <w:pPr>
              <w:pStyle w:val="TAH"/>
            </w:pPr>
            <w:r w:rsidRPr="000A0A5F">
              <w:t>Name</w:t>
            </w:r>
          </w:p>
        </w:tc>
        <w:tc>
          <w:tcPr>
            <w:tcW w:w="874" w:type="pct"/>
            <w:shd w:val="clear" w:color="000000" w:fill="C0C0C0"/>
          </w:tcPr>
          <w:p w:rsidR="00CB0DD7" w:rsidRPr="000A0A5F" w:rsidRDefault="00CB0DD7">
            <w:pPr>
              <w:pStyle w:val="TAH"/>
            </w:pPr>
            <w:r w:rsidRPr="000A0A5F">
              <w:t>Data type</w:t>
            </w:r>
          </w:p>
        </w:tc>
        <w:tc>
          <w:tcPr>
            <w:tcW w:w="583" w:type="pct"/>
            <w:shd w:val="clear" w:color="000000" w:fill="C0C0C0"/>
          </w:tcPr>
          <w:p w:rsidR="00CB0DD7" w:rsidRPr="000A0A5F" w:rsidRDefault="00CB0DD7">
            <w:pPr>
              <w:pStyle w:val="TAH"/>
            </w:pPr>
            <w:r w:rsidRPr="000A0A5F">
              <w:t>Cardinality</w:t>
            </w:r>
          </w:p>
        </w:tc>
        <w:tc>
          <w:tcPr>
            <w:tcW w:w="2718" w:type="pct"/>
            <w:shd w:val="clear" w:color="000000" w:fill="C0C0C0"/>
            <w:vAlign w:val="center"/>
          </w:tcPr>
          <w:p w:rsidR="00CB0DD7" w:rsidRPr="000A0A5F" w:rsidRDefault="00CB0DD7">
            <w:pPr>
              <w:pStyle w:val="TAH"/>
            </w:pPr>
            <w:r w:rsidRPr="000A0A5F">
              <w:t>Remarks</w:t>
            </w:r>
          </w:p>
        </w:tc>
      </w:tr>
      <w:tr w:rsidR="00CB0DD7" w:rsidRPr="000A0A5F" w:rsidTr="00FF0AF8">
        <w:trPr>
          <w:jc w:val="center"/>
        </w:trPr>
        <w:tc>
          <w:tcPr>
            <w:tcW w:w="825" w:type="pct"/>
            <w:shd w:val="clear" w:color="auto" w:fill="auto"/>
          </w:tcPr>
          <w:p w:rsidR="00CB0DD7" w:rsidRPr="000A0A5F" w:rsidRDefault="00CB0DD7">
            <w:pPr>
              <w:pStyle w:val="TAL"/>
            </w:pPr>
            <w:r w:rsidRPr="000A0A5F">
              <w:t>none specified</w:t>
            </w:r>
          </w:p>
        </w:tc>
        <w:tc>
          <w:tcPr>
            <w:tcW w:w="874" w:type="pct"/>
          </w:tcPr>
          <w:p w:rsidR="00CB0DD7" w:rsidRPr="000A0A5F" w:rsidRDefault="00CB0DD7">
            <w:pPr>
              <w:pStyle w:val="TAL"/>
            </w:pPr>
          </w:p>
        </w:tc>
        <w:tc>
          <w:tcPr>
            <w:tcW w:w="583" w:type="pct"/>
          </w:tcPr>
          <w:p w:rsidR="00CB0DD7" w:rsidRPr="000A0A5F" w:rsidRDefault="00CB0DD7">
            <w:pPr>
              <w:pStyle w:val="TAL"/>
            </w:pPr>
          </w:p>
        </w:tc>
        <w:tc>
          <w:tcPr>
            <w:tcW w:w="2718" w:type="pct"/>
            <w:shd w:val="clear" w:color="auto" w:fill="auto"/>
            <w:vAlign w:val="center"/>
          </w:tcPr>
          <w:p w:rsidR="00CB0DD7" w:rsidRPr="000A0A5F" w:rsidRDefault="00CB0DD7">
            <w:pPr>
              <w:pStyle w:val="TAL"/>
            </w:pPr>
          </w:p>
        </w:tc>
      </w:tr>
    </w:tbl>
    <w:p w:rsidR="00CB0DD7" w:rsidRPr="000A0A5F" w:rsidRDefault="00CB0DD7"/>
    <w:p w:rsidR="00CB0DD7" w:rsidRPr="000A0A5F" w:rsidRDefault="00CB0DD7">
      <w:pPr>
        <w:pStyle w:val="TH"/>
        <w:spacing w:before="120"/>
      </w:pPr>
      <w:r w:rsidRPr="000A0A5F">
        <w:t>Table 5.13.3.3.3.2-2: Data structures supported by the PUT request/response by the resource</w:t>
      </w:r>
    </w:p>
    <w:tbl>
      <w:tblPr>
        <w:tblW w:w="4999" w:type="pct"/>
        <w:tblInd w:w="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45" w:type="dxa"/>
          <w:left w:w="45" w:type="dxa"/>
          <w:bottom w:w="45" w:type="dxa"/>
          <w:right w:w="45" w:type="dxa"/>
        </w:tblCellMar>
        <w:tblLook w:val="0000" w:firstRow="0" w:lastRow="0" w:firstColumn="0" w:lastColumn="0" w:noHBand="0" w:noVBand="0"/>
      </w:tblPr>
      <w:tblGrid>
        <w:gridCol w:w="1035"/>
        <w:gridCol w:w="2127"/>
        <w:gridCol w:w="1053"/>
        <w:gridCol w:w="973"/>
        <w:gridCol w:w="4541"/>
      </w:tblGrid>
      <w:tr w:rsidR="00CB0DD7" w:rsidRPr="000A0A5F" w:rsidTr="002C1CAD">
        <w:tc>
          <w:tcPr>
            <w:tcW w:w="532" w:type="pct"/>
            <w:vMerge w:val="restart"/>
            <w:shd w:val="clear" w:color="auto" w:fill="C0C0C0"/>
            <w:vAlign w:val="center"/>
          </w:tcPr>
          <w:p w:rsidR="00CB0DD7" w:rsidRPr="000A0A5F" w:rsidRDefault="00CB0DD7">
            <w:pPr>
              <w:pStyle w:val="TAH"/>
            </w:pPr>
            <w:r w:rsidRPr="000A0A5F">
              <w:t>Request body</w:t>
            </w:r>
          </w:p>
        </w:tc>
        <w:tc>
          <w:tcPr>
            <w:tcW w:w="1093" w:type="pct"/>
            <w:shd w:val="clear" w:color="auto" w:fill="C0C0C0"/>
          </w:tcPr>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r w:rsidRPr="000A0A5F">
              <w:t>Cardinality</w:t>
            </w:r>
          </w:p>
        </w:tc>
        <w:tc>
          <w:tcPr>
            <w:tcW w:w="2834" w:type="pct"/>
            <w:gridSpan w:val="2"/>
            <w:shd w:val="clear" w:color="auto" w:fill="C0C0C0"/>
          </w:tcPr>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NpConfiguration</w:t>
            </w:r>
          </w:p>
        </w:tc>
        <w:tc>
          <w:tcPr>
            <w:tcW w:w="541" w:type="pct"/>
          </w:tcPr>
          <w:p w:rsidR="00CB0DD7" w:rsidRPr="000A0A5F" w:rsidRDefault="00CB0DD7">
            <w:pPr>
              <w:pStyle w:val="TAL"/>
            </w:pPr>
            <w:r w:rsidRPr="000A0A5F">
              <w:t>1</w:t>
            </w:r>
          </w:p>
        </w:tc>
        <w:tc>
          <w:tcPr>
            <w:tcW w:w="2834" w:type="pct"/>
            <w:gridSpan w:val="2"/>
          </w:tcPr>
          <w:p w:rsidR="00CB0DD7" w:rsidRPr="000A0A5F" w:rsidRDefault="00CB0DD7">
            <w:pPr>
              <w:pStyle w:val="TAL"/>
            </w:pPr>
            <w:r w:rsidRPr="000A0A5F">
              <w:t>Update of network parameter(s) for an existing Configuration.</w:t>
            </w:r>
          </w:p>
        </w:tc>
      </w:tr>
      <w:tr w:rsidR="00CB0DD7" w:rsidRPr="000A0A5F" w:rsidTr="002C1CAD">
        <w:tc>
          <w:tcPr>
            <w:tcW w:w="532" w:type="pct"/>
            <w:vMerge w:val="restart"/>
            <w:shd w:val="clear" w:color="auto" w:fill="C0C0C0"/>
            <w:vAlign w:val="center"/>
          </w:tcPr>
          <w:p w:rsidR="00CB0DD7" w:rsidRPr="000A0A5F" w:rsidRDefault="00CB0DD7">
            <w:pPr>
              <w:pStyle w:val="TAH"/>
            </w:pPr>
            <w:r w:rsidRPr="000A0A5F">
              <w:t>Response body</w:t>
            </w:r>
          </w:p>
        </w:tc>
        <w:tc>
          <w:tcPr>
            <w:tcW w:w="1093" w:type="pct"/>
            <w:shd w:val="clear" w:color="auto" w:fill="C0C0C0"/>
          </w:tcPr>
          <w:p w:rsidR="00CB0DD7" w:rsidRPr="000A0A5F" w:rsidRDefault="00CB0DD7">
            <w:pPr>
              <w:pStyle w:val="TAH"/>
            </w:pPr>
          </w:p>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p>
          <w:p w:rsidR="00CB0DD7" w:rsidRPr="000A0A5F" w:rsidRDefault="00CB0DD7">
            <w:pPr>
              <w:pStyle w:val="TAH"/>
            </w:pPr>
            <w:r w:rsidRPr="000A0A5F">
              <w:t>Cardinality</w:t>
            </w:r>
          </w:p>
        </w:tc>
        <w:tc>
          <w:tcPr>
            <w:tcW w:w="500" w:type="pct"/>
            <w:shd w:val="clear" w:color="auto" w:fill="C0C0C0"/>
          </w:tcPr>
          <w:p w:rsidR="00CB0DD7" w:rsidRPr="000A0A5F" w:rsidRDefault="00CB0DD7">
            <w:pPr>
              <w:pStyle w:val="TAH"/>
            </w:pPr>
            <w:r w:rsidRPr="000A0A5F">
              <w:t>Response</w:t>
            </w:r>
          </w:p>
          <w:p w:rsidR="00CB0DD7" w:rsidRPr="000A0A5F" w:rsidRDefault="00CB0DD7">
            <w:pPr>
              <w:pStyle w:val="TAH"/>
            </w:pPr>
            <w:r w:rsidRPr="000A0A5F">
              <w:t>codes</w:t>
            </w:r>
          </w:p>
        </w:tc>
        <w:tc>
          <w:tcPr>
            <w:tcW w:w="2334" w:type="pct"/>
            <w:shd w:val="clear" w:color="auto" w:fill="C0C0C0"/>
          </w:tcPr>
          <w:p w:rsidR="00CB0DD7" w:rsidRPr="000A0A5F" w:rsidRDefault="00CB0DD7">
            <w:pPr>
              <w:pStyle w:val="TAH"/>
            </w:pPr>
          </w:p>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NpConfiguration</w:t>
            </w:r>
          </w:p>
        </w:tc>
        <w:tc>
          <w:tcPr>
            <w:tcW w:w="541" w:type="pct"/>
          </w:tcPr>
          <w:p w:rsidR="00CB0DD7" w:rsidRPr="000A0A5F" w:rsidRDefault="00CB0DD7">
            <w:pPr>
              <w:pStyle w:val="TAL"/>
            </w:pPr>
            <w:r w:rsidRPr="000A0A5F">
              <w:t>1</w:t>
            </w:r>
          </w:p>
        </w:tc>
        <w:tc>
          <w:tcPr>
            <w:tcW w:w="500" w:type="pct"/>
          </w:tcPr>
          <w:p w:rsidR="00CB0DD7" w:rsidRPr="000A0A5F" w:rsidRDefault="00CB0DD7">
            <w:pPr>
              <w:pStyle w:val="TAL"/>
              <w:rPr>
                <w:rFonts w:hint="eastAsia"/>
                <w:lang w:eastAsia="zh-CN"/>
              </w:rPr>
            </w:pPr>
            <w:r w:rsidRPr="000A0A5F">
              <w:rPr>
                <w:lang w:eastAsia="zh-CN"/>
              </w:rPr>
              <w:t>200 OK</w:t>
            </w:r>
          </w:p>
        </w:tc>
        <w:tc>
          <w:tcPr>
            <w:tcW w:w="2334" w:type="pct"/>
          </w:tcPr>
          <w:p w:rsidR="00CB0DD7" w:rsidRPr="000A0A5F" w:rsidRDefault="00CB0DD7">
            <w:pPr>
              <w:pStyle w:val="TAL"/>
              <w:spacing w:afterLines="50" w:after="120"/>
            </w:pPr>
            <w:r w:rsidRPr="000A0A5F">
              <w:t xml:space="preserve">The resource was updated successfully. </w:t>
            </w:r>
          </w:p>
          <w:p w:rsidR="00CB0DD7" w:rsidRPr="000A0A5F" w:rsidRDefault="00CB0DD7">
            <w:pPr>
              <w:pStyle w:val="TAL"/>
            </w:pPr>
            <w:r w:rsidRPr="000A0A5F">
              <w:t xml:space="preserve">The SCEF </w:t>
            </w:r>
            <w:r w:rsidRPr="000A0A5F">
              <w:rPr>
                <w:rFonts w:hint="eastAsia"/>
                <w:lang w:eastAsia="zh-CN"/>
              </w:rPr>
              <w:t>shall</w:t>
            </w:r>
            <w:r w:rsidRPr="000A0A5F">
              <w:t xml:space="preserve"> return an updated Configuration information in the response.</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AE0BB9">
            <w:pPr>
              <w:pStyle w:val="TAL"/>
            </w:pPr>
            <w:r w:rsidRPr="000A0A5F">
              <w:t>none</w:t>
            </w:r>
          </w:p>
        </w:tc>
        <w:tc>
          <w:tcPr>
            <w:tcW w:w="541" w:type="pct"/>
          </w:tcPr>
          <w:p w:rsidR="00CB0DD7" w:rsidRPr="000A0A5F" w:rsidRDefault="00CB0DD7">
            <w:pPr>
              <w:pStyle w:val="TAL"/>
            </w:pPr>
          </w:p>
        </w:tc>
        <w:tc>
          <w:tcPr>
            <w:tcW w:w="500" w:type="pct"/>
          </w:tcPr>
          <w:p w:rsidR="00CB0DD7" w:rsidRPr="000A0A5F" w:rsidRDefault="00AE0BB9">
            <w:pPr>
              <w:pStyle w:val="TAL"/>
              <w:rPr>
                <w:lang w:eastAsia="zh-CN"/>
              </w:rPr>
            </w:pPr>
            <w:r w:rsidRPr="000A0A5F">
              <w:rPr>
                <w:rFonts w:hint="eastAsia"/>
                <w:lang w:eastAsia="zh-CN"/>
              </w:rPr>
              <w:t>2</w:t>
            </w:r>
            <w:r w:rsidRPr="000A0A5F">
              <w:rPr>
                <w:lang w:eastAsia="zh-CN"/>
              </w:rPr>
              <w:t>04 No Content</w:t>
            </w:r>
          </w:p>
        </w:tc>
        <w:tc>
          <w:tcPr>
            <w:tcW w:w="2334" w:type="pct"/>
          </w:tcPr>
          <w:p w:rsidR="00CB0DD7" w:rsidRPr="000A0A5F" w:rsidRDefault="00AE0BB9">
            <w:pPr>
              <w:pStyle w:val="TAL"/>
              <w:spacing w:afterLines="50" w:after="120"/>
            </w:pPr>
            <w:r w:rsidRPr="000A0A5F">
              <w:rPr>
                <w:rFonts w:hint="eastAsia"/>
                <w:lang w:eastAsia="zh-CN"/>
              </w:rPr>
              <w:t>T</w:t>
            </w:r>
            <w:r w:rsidRPr="000A0A5F">
              <w:rPr>
                <w:lang w:eastAsia="zh-CN"/>
              </w:rPr>
              <w:t>he resource was updated successfully.</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none</w:t>
            </w:r>
          </w:p>
        </w:tc>
        <w:tc>
          <w:tcPr>
            <w:tcW w:w="541" w:type="pct"/>
          </w:tcPr>
          <w:p w:rsidR="00CB0DD7" w:rsidRPr="000A0A5F" w:rsidRDefault="00CB0DD7">
            <w:pPr>
              <w:pStyle w:val="TAL"/>
            </w:pPr>
          </w:p>
        </w:tc>
        <w:tc>
          <w:tcPr>
            <w:tcW w:w="500" w:type="pct"/>
          </w:tcPr>
          <w:p w:rsidR="00CB0DD7" w:rsidRPr="000A0A5F" w:rsidRDefault="00AE0BB9">
            <w:pPr>
              <w:pStyle w:val="TAL"/>
            </w:pPr>
            <w:r w:rsidRPr="000A0A5F">
              <w:t>307 Temporary Redirect</w:t>
            </w:r>
          </w:p>
        </w:tc>
        <w:tc>
          <w:tcPr>
            <w:tcW w:w="2334" w:type="pct"/>
          </w:tcPr>
          <w:p w:rsidR="00AE0BB9" w:rsidRPr="000A0A5F" w:rsidRDefault="00AE0BB9" w:rsidP="00AE0BB9">
            <w:pPr>
              <w:pStyle w:val="TAL"/>
            </w:pPr>
            <w:r w:rsidRPr="000A0A5F">
              <w:t>Temporary redirection, during configuration modification. The response shall include a Location header field containing an alternative URI of the resource located in an alternative SCEF.</w:t>
            </w:r>
          </w:p>
          <w:p w:rsidR="00AE0BB9" w:rsidRPr="000A0A5F" w:rsidRDefault="00AE0BB9" w:rsidP="00AE0BB9">
            <w:pPr>
              <w:pStyle w:val="TAL"/>
            </w:pPr>
          </w:p>
          <w:p w:rsidR="00CB0DD7" w:rsidRPr="000A0A5F" w:rsidRDefault="00AE0BB9" w:rsidP="00AE0BB9">
            <w:pPr>
              <w:pStyle w:val="TAL"/>
            </w:pPr>
            <w:r w:rsidRPr="000A0A5F">
              <w:t>Redirection handling is described in clause 5.2.10.</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none</w:t>
            </w:r>
          </w:p>
        </w:tc>
        <w:tc>
          <w:tcPr>
            <w:tcW w:w="541" w:type="pct"/>
          </w:tcPr>
          <w:p w:rsidR="00CB0DD7" w:rsidRPr="000A0A5F" w:rsidRDefault="00CB0DD7">
            <w:pPr>
              <w:pStyle w:val="TAL"/>
            </w:pPr>
          </w:p>
        </w:tc>
        <w:tc>
          <w:tcPr>
            <w:tcW w:w="500" w:type="pct"/>
          </w:tcPr>
          <w:p w:rsidR="00CB0DD7" w:rsidRPr="000A0A5F" w:rsidRDefault="00AE0BB9">
            <w:pPr>
              <w:pStyle w:val="TAL"/>
            </w:pPr>
            <w:r w:rsidRPr="000A0A5F">
              <w:t>308 Permanent Redirect</w:t>
            </w:r>
          </w:p>
        </w:tc>
        <w:tc>
          <w:tcPr>
            <w:tcW w:w="2334" w:type="pct"/>
          </w:tcPr>
          <w:p w:rsidR="00AE0BB9" w:rsidRPr="000A0A5F" w:rsidRDefault="00AE0BB9" w:rsidP="00AE0BB9">
            <w:pPr>
              <w:pStyle w:val="TAL"/>
            </w:pPr>
            <w:r w:rsidRPr="000A0A5F">
              <w:t>Permanent redirection, during configuration modification. The response shall include a Location header field containing an alternative URI of the resource located in an alternative SCEF.</w:t>
            </w:r>
          </w:p>
          <w:p w:rsidR="00AE0BB9" w:rsidRPr="000A0A5F" w:rsidRDefault="00AE0BB9" w:rsidP="00AE0BB9">
            <w:pPr>
              <w:pStyle w:val="TAL"/>
            </w:pPr>
          </w:p>
          <w:p w:rsidR="00CB0DD7" w:rsidRPr="000A0A5F" w:rsidRDefault="00AE0BB9">
            <w:pPr>
              <w:pStyle w:val="TAL"/>
            </w:pPr>
            <w:r w:rsidRPr="000A0A5F">
              <w:t>Redirection handling is described in clause 5.2.10.</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3B2495">
            <w:pPr>
              <w:pStyle w:val="TAL"/>
            </w:pPr>
            <w:r w:rsidRPr="000A0A5F">
              <w:t>ProblemDetails</w:t>
            </w:r>
          </w:p>
        </w:tc>
        <w:tc>
          <w:tcPr>
            <w:tcW w:w="541" w:type="pct"/>
          </w:tcPr>
          <w:p w:rsidR="00CB0DD7" w:rsidRPr="000A0A5F" w:rsidRDefault="003B2495">
            <w:pPr>
              <w:pStyle w:val="TAL"/>
            </w:pPr>
            <w:r w:rsidRPr="000A0A5F">
              <w:t>0..1</w:t>
            </w:r>
          </w:p>
        </w:tc>
        <w:tc>
          <w:tcPr>
            <w:tcW w:w="500" w:type="pct"/>
          </w:tcPr>
          <w:p w:rsidR="00CB0DD7" w:rsidRPr="000A0A5F" w:rsidRDefault="003B2495">
            <w:pPr>
              <w:pStyle w:val="TAL"/>
            </w:pPr>
            <w:r w:rsidRPr="000A0A5F">
              <w:t>403 Forbidden</w:t>
            </w:r>
          </w:p>
        </w:tc>
        <w:tc>
          <w:tcPr>
            <w:tcW w:w="2334" w:type="pct"/>
          </w:tcPr>
          <w:p w:rsidR="00CB0DD7" w:rsidRPr="000A0A5F" w:rsidRDefault="003B2495">
            <w:pPr>
              <w:pStyle w:val="TAL"/>
            </w:pPr>
            <w:r w:rsidRPr="000A0A5F">
              <w:t>(NOTE 2)</w:t>
            </w:r>
          </w:p>
        </w:tc>
      </w:tr>
      <w:tr w:rsidR="00CB0DD7" w:rsidRPr="000A0A5F" w:rsidTr="00FF0AF8">
        <w:tc>
          <w:tcPr>
            <w:tcW w:w="5000" w:type="pct"/>
            <w:gridSpan w:val="5"/>
            <w:shd w:val="clear" w:color="auto" w:fill="auto"/>
            <w:vAlign w:val="center"/>
          </w:tcPr>
          <w:p w:rsidR="00CB0DD7" w:rsidRPr="000A0A5F" w:rsidRDefault="00CB0DD7">
            <w:pPr>
              <w:pStyle w:val="TAN"/>
            </w:pPr>
            <w:r w:rsidRPr="000A0A5F">
              <w:t>NOTE 1:</w:t>
            </w:r>
            <w:r w:rsidRPr="000A0A5F">
              <w:tab/>
              <w:t>The mandatory HTTP error status codes for the PUT method listed in table 5.2.6-1 also apply.</w:t>
            </w:r>
          </w:p>
          <w:p w:rsidR="00CB0DD7" w:rsidRPr="000A0A5F" w:rsidRDefault="00CB0DD7">
            <w:pPr>
              <w:pStyle w:val="TAN"/>
            </w:pPr>
            <w:r w:rsidRPr="000A0A5F">
              <w:t>NOTE 2:</w:t>
            </w:r>
            <w:r w:rsidRPr="000A0A5F">
              <w:tab/>
            </w:r>
            <w:r w:rsidR="00294F1C" w:rsidRPr="000A0A5F">
              <w:t>Failure cases are described</w:t>
            </w:r>
            <w:r w:rsidRPr="000A0A5F">
              <w:t xml:space="preserve"> in clause 5.13.5.3.</w:t>
            </w:r>
          </w:p>
        </w:tc>
      </w:tr>
    </w:tbl>
    <w:p w:rsidR="00CB0DD7" w:rsidRPr="000A0A5F" w:rsidRDefault="00CB0DD7"/>
    <w:p w:rsidR="00CB0DD7" w:rsidRPr="000A0A5F" w:rsidRDefault="002E466A">
      <w:pPr>
        <w:pStyle w:val="TH"/>
      </w:pPr>
      <w:r w:rsidRPr="000A0A5F">
        <w:t>Table </w:t>
      </w:r>
      <w:r w:rsidR="00CB0DD7" w:rsidRPr="000A0A5F">
        <w:t>5.13.3.3.3.2-3: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2E466A">
      <w:pPr>
        <w:pStyle w:val="TH"/>
      </w:pPr>
      <w:r w:rsidRPr="000A0A5F">
        <w:t>Table </w:t>
      </w:r>
      <w:r w:rsidR="00CB0DD7" w:rsidRPr="000A0A5F">
        <w:t>5.13.3.3.3.2-4: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CB0DD7">
      <w:pPr>
        <w:pStyle w:val="Heading6"/>
      </w:pPr>
      <w:bookmarkStart w:id="8891" w:name="_Toc11247860"/>
      <w:bookmarkStart w:id="8892" w:name="_Toc27045004"/>
      <w:bookmarkStart w:id="8893" w:name="_Toc36034046"/>
      <w:bookmarkStart w:id="8894" w:name="_Toc45132193"/>
      <w:bookmarkStart w:id="8895" w:name="_Toc49776478"/>
      <w:bookmarkStart w:id="8896" w:name="_Toc51747398"/>
      <w:bookmarkStart w:id="8897" w:name="_Toc66360974"/>
      <w:bookmarkStart w:id="8898" w:name="_Toc68105479"/>
      <w:bookmarkStart w:id="8899" w:name="_Toc74756109"/>
      <w:bookmarkStart w:id="8900" w:name="_Toc105674986"/>
      <w:bookmarkStart w:id="8901" w:name="_Toc130503054"/>
      <w:bookmarkStart w:id="8902" w:name="_Toc153625842"/>
      <w:r w:rsidRPr="000A0A5F">
        <w:t>5.13.3.3.3.3</w:t>
      </w:r>
      <w:r w:rsidRPr="000A0A5F">
        <w:tab/>
        <w:t>PATCH</w:t>
      </w:r>
      <w:bookmarkEnd w:id="8891"/>
      <w:bookmarkEnd w:id="8892"/>
      <w:bookmarkEnd w:id="8893"/>
      <w:bookmarkEnd w:id="8894"/>
      <w:bookmarkEnd w:id="8895"/>
      <w:bookmarkEnd w:id="8896"/>
      <w:bookmarkEnd w:id="8897"/>
      <w:bookmarkEnd w:id="8898"/>
      <w:bookmarkEnd w:id="8899"/>
      <w:bookmarkEnd w:id="8900"/>
      <w:bookmarkEnd w:id="8901"/>
      <w:bookmarkEnd w:id="8902"/>
    </w:p>
    <w:p w:rsidR="00CB0DD7" w:rsidRPr="000A0A5F" w:rsidRDefault="00CB0DD7">
      <w:pPr>
        <w:rPr>
          <w:rFonts w:hint="eastAsia"/>
          <w:noProof/>
          <w:lang w:eastAsia="zh-CN"/>
        </w:rPr>
      </w:pPr>
      <w:r w:rsidRPr="000A0A5F">
        <w:rPr>
          <w:noProof/>
          <w:lang w:eastAsia="zh-CN"/>
        </w:rPr>
        <w:t>The PATCH method shall be used to update some properties in an existing configuration indicated by the Resource URI as defined in clause 5.</w:t>
      </w:r>
      <w:r w:rsidRPr="000A0A5F">
        <w:rPr>
          <w:noProof/>
          <w:lang w:val="en-US" w:eastAsia="zh-CN"/>
        </w:rPr>
        <w:t>13.3.3.2</w:t>
      </w:r>
      <w:r w:rsidRPr="000A0A5F">
        <w:rPr>
          <w:noProof/>
          <w:lang w:eastAsia="zh-CN"/>
        </w:rPr>
        <w:t>. The SCS/AS shall initiate the HTTP PATCH request message and the SCEF shall respond to the message.</w:t>
      </w:r>
    </w:p>
    <w:p w:rsidR="00CB0DD7" w:rsidRPr="000A0A5F" w:rsidRDefault="00CB0DD7">
      <w:r w:rsidRPr="000A0A5F">
        <w:t>This method shall support the URI query parameters, request and response data structures, and response codes, as specified in the table 5.13.3.3.3.3-1 and table 5.13.3.3.3.3-2.</w:t>
      </w:r>
    </w:p>
    <w:p w:rsidR="00CB0DD7" w:rsidRPr="000A0A5F" w:rsidRDefault="00CB0DD7">
      <w:pPr>
        <w:pStyle w:val="TH"/>
        <w:rPr>
          <w:rFonts w:cs="Arial"/>
        </w:rPr>
      </w:pPr>
      <w:r w:rsidRPr="000A0A5F">
        <w:t xml:space="preserve">Table 5.13.3.3.3.3-1: URI query parameters supported by the PATCH method on this resource </w:t>
      </w:r>
    </w:p>
    <w:tbl>
      <w:tblPr>
        <w:tblW w:w="4999"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612"/>
        <w:gridCol w:w="1709"/>
        <w:gridCol w:w="1140"/>
        <w:gridCol w:w="5314"/>
      </w:tblGrid>
      <w:tr w:rsidR="00CB0DD7" w:rsidRPr="000A0A5F" w:rsidTr="00FF0AF8">
        <w:trPr>
          <w:jc w:val="center"/>
        </w:trPr>
        <w:tc>
          <w:tcPr>
            <w:tcW w:w="825" w:type="pct"/>
            <w:shd w:val="clear" w:color="000000" w:fill="C0C0C0"/>
          </w:tcPr>
          <w:p w:rsidR="00CB0DD7" w:rsidRPr="000A0A5F" w:rsidRDefault="00CB0DD7">
            <w:pPr>
              <w:pStyle w:val="TAH"/>
            </w:pPr>
            <w:r w:rsidRPr="000A0A5F">
              <w:t>Name</w:t>
            </w:r>
          </w:p>
        </w:tc>
        <w:tc>
          <w:tcPr>
            <w:tcW w:w="874" w:type="pct"/>
            <w:shd w:val="clear" w:color="000000" w:fill="C0C0C0"/>
          </w:tcPr>
          <w:p w:rsidR="00CB0DD7" w:rsidRPr="000A0A5F" w:rsidRDefault="00CB0DD7">
            <w:pPr>
              <w:pStyle w:val="TAH"/>
            </w:pPr>
            <w:r w:rsidRPr="000A0A5F">
              <w:t>Data type</w:t>
            </w:r>
          </w:p>
        </w:tc>
        <w:tc>
          <w:tcPr>
            <w:tcW w:w="583" w:type="pct"/>
            <w:shd w:val="clear" w:color="000000" w:fill="C0C0C0"/>
          </w:tcPr>
          <w:p w:rsidR="00CB0DD7" w:rsidRPr="000A0A5F" w:rsidRDefault="00CB0DD7">
            <w:pPr>
              <w:pStyle w:val="TAH"/>
            </w:pPr>
            <w:r w:rsidRPr="000A0A5F">
              <w:t>Cardinality</w:t>
            </w:r>
          </w:p>
        </w:tc>
        <w:tc>
          <w:tcPr>
            <w:tcW w:w="2718" w:type="pct"/>
            <w:shd w:val="clear" w:color="000000" w:fill="C0C0C0"/>
            <w:vAlign w:val="center"/>
          </w:tcPr>
          <w:p w:rsidR="00CB0DD7" w:rsidRPr="000A0A5F" w:rsidRDefault="00CB0DD7">
            <w:pPr>
              <w:pStyle w:val="TAH"/>
            </w:pPr>
            <w:r w:rsidRPr="000A0A5F">
              <w:t>Remarks</w:t>
            </w:r>
          </w:p>
        </w:tc>
      </w:tr>
      <w:tr w:rsidR="00CB0DD7" w:rsidRPr="000A0A5F" w:rsidTr="00FF0AF8">
        <w:trPr>
          <w:jc w:val="center"/>
        </w:trPr>
        <w:tc>
          <w:tcPr>
            <w:tcW w:w="825" w:type="pct"/>
            <w:shd w:val="clear" w:color="auto" w:fill="auto"/>
          </w:tcPr>
          <w:p w:rsidR="00CB0DD7" w:rsidRPr="000A0A5F" w:rsidRDefault="00CB0DD7">
            <w:pPr>
              <w:pStyle w:val="TAL"/>
            </w:pPr>
            <w:r w:rsidRPr="000A0A5F">
              <w:t>none specified</w:t>
            </w:r>
          </w:p>
        </w:tc>
        <w:tc>
          <w:tcPr>
            <w:tcW w:w="874" w:type="pct"/>
          </w:tcPr>
          <w:p w:rsidR="00CB0DD7" w:rsidRPr="000A0A5F" w:rsidRDefault="00CB0DD7">
            <w:pPr>
              <w:pStyle w:val="TAL"/>
            </w:pPr>
          </w:p>
        </w:tc>
        <w:tc>
          <w:tcPr>
            <w:tcW w:w="583" w:type="pct"/>
          </w:tcPr>
          <w:p w:rsidR="00CB0DD7" w:rsidRPr="000A0A5F" w:rsidRDefault="00CB0DD7">
            <w:pPr>
              <w:pStyle w:val="TAL"/>
            </w:pPr>
          </w:p>
        </w:tc>
        <w:tc>
          <w:tcPr>
            <w:tcW w:w="2718" w:type="pct"/>
            <w:shd w:val="clear" w:color="auto" w:fill="auto"/>
            <w:vAlign w:val="center"/>
          </w:tcPr>
          <w:p w:rsidR="00CB0DD7" w:rsidRPr="000A0A5F" w:rsidRDefault="00CB0DD7">
            <w:pPr>
              <w:pStyle w:val="TAL"/>
            </w:pPr>
          </w:p>
        </w:tc>
      </w:tr>
    </w:tbl>
    <w:p w:rsidR="00CB0DD7" w:rsidRPr="000A0A5F" w:rsidRDefault="00CB0DD7"/>
    <w:p w:rsidR="00CB0DD7" w:rsidRPr="000A0A5F" w:rsidRDefault="00CB0DD7">
      <w:pPr>
        <w:pStyle w:val="TH"/>
        <w:spacing w:before="120"/>
      </w:pPr>
      <w:r w:rsidRPr="000A0A5F">
        <w:t>Table 5.13.3.3.3.3-2: Data structures supported by the PATCH request/response by the resource</w:t>
      </w:r>
    </w:p>
    <w:tbl>
      <w:tblPr>
        <w:tblW w:w="4999" w:type="pct"/>
        <w:tblInd w:w="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45" w:type="dxa"/>
          <w:left w:w="45" w:type="dxa"/>
          <w:bottom w:w="45" w:type="dxa"/>
          <w:right w:w="45" w:type="dxa"/>
        </w:tblCellMar>
        <w:tblLook w:val="0000" w:firstRow="0" w:lastRow="0" w:firstColumn="0" w:lastColumn="0" w:noHBand="0" w:noVBand="0"/>
      </w:tblPr>
      <w:tblGrid>
        <w:gridCol w:w="1035"/>
        <w:gridCol w:w="2127"/>
        <w:gridCol w:w="1053"/>
        <w:gridCol w:w="973"/>
        <w:gridCol w:w="4541"/>
      </w:tblGrid>
      <w:tr w:rsidR="00CB0DD7" w:rsidRPr="000A0A5F" w:rsidTr="002C1CAD">
        <w:tc>
          <w:tcPr>
            <w:tcW w:w="532" w:type="pct"/>
            <w:vMerge w:val="restart"/>
            <w:shd w:val="clear" w:color="auto" w:fill="C0C0C0"/>
            <w:vAlign w:val="center"/>
          </w:tcPr>
          <w:p w:rsidR="00CB0DD7" w:rsidRPr="000A0A5F" w:rsidRDefault="00CB0DD7">
            <w:pPr>
              <w:pStyle w:val="TAH"/>
            </w:pPr>
            <w:r w:rsidRPr="000A0A5F">
              <w:t>Request body</w:t>
            </w:r>
          </w:p>
        </w:tc>
        <w:tc>
          <w:tcPr>
            <w:tcW w:w="1093" w:type="pct"/>
            <w:shd w:val="clear" w:color="auto" w:fill="C0C0C0"/>
          </w:tcPr>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r w:rsidRPr="000A0A5F">
              <w:t>Cardinality</w:t>
            </w:r>
          </w:p>
        </w:tc>
        <w:tc>
          <w:tcPr>
            <w:tcW w:w="2834" w:type="pct"/>
            <w:gridSpan w:val="2"/>
            <w:shd w:val="clear" w:color="auto" w:fill="C0C0C0"/>
          </w:tcPr>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NpConfigurationPatch</w:t>
            </w:r>
          </w:p>
        </w:tc>
        <w:tc>
          <w:tcPr>
            <w:tcW w:w="541" w:type="pct"/>
          </w:tcPr>
          <w:p w:rsidR="00CB0DD7" w:rsidRPr="000A0A5F" w:rsidRDefault="00CB0DD7">
            <w:pPr>
              <w:pStyle w:val="TAL"/>
            </w:pPr>
            <w:r w:rsidRPr="000A0A5F">
              <w:t>1</w:t>
            </w:r>
          </w:p>
        </w:tc>
        <w:tc>
          <w:tcPr>
            <w:tcW w:w="2834" w:type="pct"/>
            <w:gridSpan w:val="2"/>
          </w:tcPr>
          <w:p w:rsidR="00CB0DD7" w:rsidRPr="000A0A5F" w:rsidRDefault="00CB0DD7">
            <w:pPr>
              <w:pStyle w:val="TAL"/>
            </w:pPr>
            <w:r w:rsidRPr="000A0A5F">
              <w:t>Partial update an existing network parameter configuration.</w:t>
            </w:r>
          </w:p>
        </w:tc>
      </w:tr>
      <w:tr w:rsidR="00CB0DD7" w:rsidRPr="000A0A5F" w:rsidTr="002C1CAD">
        <w:tc>
          <w:tcPr>
            <w:tcW w:w="532" w:type="pct"/>
            <w:vMerge w:val="restart"/>
            <w:shd w:val="clear" w:color="auto" w:fill="C0C0C0"/>
            <w:vAlign w:val="center"/>
          </w:tcPr>
          <w:p w:rsidR="00CB0DD7" w:rsidRPr="000A0A5F" w:rsidRDefault="00CB0DD7">
            <w:pPr>
              <w:pStyle w:val="TAH"/>
            </w:pPr>
            <w:r w:rsidRPr="000A0A5F">
              <w:t>Response body</w:t>
            </w:r>
          </w:p>
        </w:tc>
        <w:tc>
          <w:tcPr>
            <w:tcW w:w="1093" w:type="pct"/>
            <w:shd w:val="clear" w:color="auto" w:fill="C0C0C0"/>
          </w:tcPr>
          <w:p w:rsidR="00CB0DD7" w:rsidRPr="000A0A5F" w:rsidRDefault="00CB0DD7">
            <w:pPr>
              <w:pStyle w:val="TAH"/>
            </w:pPr>
          </w:p>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p>
          <w:p w:rsidR="00CB0DD7" w:rsidRPr="000A0A5F" w:rsidRDefault="00CB0DD7">
            <w:pPr>
              <w:pStyle w:val="TAH"/>
            </w:pPr>
            <w:r w:rsidRPr="000A0A5F">
              <w:t>Cardinality</w:t>
            </w:r>
          </w:p>
        </w:tc>
        <w:tc>
          <w:tcPr>
            <w:tcW w:w="500" w:type="pct"/>
            <w:shd w:val="clear" w:color="auto" w:fill="C0C0C0"/>
          </w:tcPr>
          <w:p w:rsidR="00CB0DD7" w:rsidRPr="000A0A5F" w:rsidRDefault="00CB0DD7">
            <w:pPr>
              <w:pStyle w:val="TAH"/>
            </w:pPr>
            <w:r w:rsidRPr="000A0A5F">
              <w:t>Response</w:t>
            </w:r>
          </w:p>
          <w:p w:rsidR="00CB0DD7" w:rsidRPr="000A0A5F" w:rsidRDefault="00CB0DD7">
            <w:pPr>
              <w:pStyle w:val="TAH"/>
            </w:pPr>
            <w:r w:rsidRPr="000A0A5F">
              <w:t>codes</w:t>
            </w:r>
          </w:p>
        </w:tc>
        <w:tc>
          <w:tcPr>
            <w:tcW w:w="2334" w:type="pct"/>
            <w:shd w:val="clear" w:color="auto" w:fill="C0C0C0"/>
          </w:tcPr>
          <w:p w:rsidR="00CB0DD7" w:rsidRPr="000A0A5F" w:rsidRDefault="00CB0DD7">
            <w:pPr>
              <w:pStyle w:val="TAH"/>
            </w:pPr>
          </w:p>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NpConfiguration</w:t>
            </w:r>
          </w:p>
        </w:tc>
        <w:tc>
          <w:tcPr>
            <w:tcW w:w="541" w:type="pct"/>
          </w:tcPr>
          <w:p w:rsidR="00CB0DD7" w:rsidRPr="000A0A5F" w:rsidRDefault="00CB0DD7">
            <w:pPr>
              <w:pStyle w:val="TAL"/>
            </w:pPr>
            <w:r w:rsidRPr="000A0A5F">
              <w:t>1</w:t>
            </w:r>
          </w:p>
        </w:tc>
        <w:tc>
          <w:tcPr>
            <w:tcW w:w="500" w:type="pct"/>
          </w:tcPr>
          <w:p w:rsidR="00CB0DD7" w:rsidRPr="000A0A5F" w:rsidRDefault="00CB0DD7">
            <w:pPr>
              <w:pStyle w:val="TAL"/>
              <w:rPr>
                <w:rFonts w:hint="eastAsia"/>
                <w:lang w:eastAsia="zh-CN"/>
              </w:rPr>
            </w:pPr>
            <w:r w:rsidRPr="000A0A5F">
              <w:rPr>
                <w:lang w:eastAsia="zh-CN"/>
              </w:rPr>
              <w:t>200 OK</w:t>
            </w:r>
          </w:p>
        </w:tc>
        <w:tc>
          <w:tcPr>
            <w:tcW w:w="2334" w:type="pct"/>
          </w:tcPr>
          <w:p w:rsidR="00CB0DD7" w:rsidRPr="000A0A5F" w:rsidRDefault="00CB0DD7">
            <w:pPr>
              <w:pStyle w:val="TAL"/>
              <w:spacing w:afterLines="50" w:after="120"/>
            </w:pPr>
            <w:r w:rsidRPr="000A0A5F">
              <w:t xml:space="preserve">The configuration was updated successfully. </w:t>
            </w:r>
          </w:p>
          <w:p w:rsidR="00CB0DD7" w:rsidRPr="000A0A5F" w:rsidRDefault="00CB0DD7">
            <w:pPr>
              <w:pStyle w:val="TAL"/>
            </w:pPr>
            <w:r w:rsidRPr="000A0A5F">
              <w:t xml:space="preserve">The SCEF </w:t>
            </w:r>
            <w:r w:rsidRPr="000A0A5F">
              <w:rPr>
                <w:rFonts w:hint="eastAsia"/>
                <w:lang w:eastAsia="zh-CN"/>
              </w:rPr>
              <w:t>shall</w:t>
            </w:r>
            <w:r w:rsidRPr="000A0A5F">
              <w:t xml:space="preserve"> return an updated configuration information in the response.</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EC464B">
            <w:pPr>
              <w:pStyle w:val="TAL"/>
            </w:pPr>
            <w:r w:rsidRPr="000A0A5F">
              <w:t>none</w:t>
            </w:r>
          </w:p>
        </w:tc>
        <w:tc>
          <w:tcPr>
            <w:tcW w:w="541" w:type="pct"/>
          </w:tcPr>
          <w:p w:rsidR="00CB0DD7" w:rsidRPr="000A0A5F" w:rsidRDefault="00CB0DD7">
            <w:pPr>
              <w:pStyle w:val="TAL"/>
            </w:pPr>
          </w:p>
        </w:tc>
        <w:tc>
          <w:tcPr>
            <w:tcW w:w="500" w:type="pct"/>
          </w:tcPr>
          <w:p w:rsidR="00CB0DD7" w:rsidRPr="000A0A5F" w:rsidRDefault="00EC464B">
            <w:pPr>
              <w:pStyle w:val="TAL"/>
              <w:rPr>
                <w:lang w:eastAsia="zh-CN"/>
              </w:rPr>
            </w:pPr>
            <w:r w:rsidRPr="000A0A5F">
              <w:rPr>
                <w:rFonts w:hint="eastAsia"/>
                <w:lang w:eastAsia="zh-CN"/>
              </w:rPr>
              <w:t>2</w:t>
            </w:r>
            <w:r w:rsidRPr="000A0A5F">
              <w:rPr>
                <w:lang w:eastAsia="zh-CN"/>
              </w:rPr>
              <w:t>04 No Content</w:t>
            </w:r>
          </w:p>
        </w:tc>
        <w:tc>
          <w:tcPr>
            <w:tcW w:w="2334" w:type="pct"/>
          </w:tcPr>
          <w:p w:rsidR="00CB0DD7" w:rsidRPr="000A0A5F" w:rsidRDefault="00EC464B">
            <w:pPr>
              <w:pStyle w:val="TAL"/>
              <w:spacing w:afterLines="50" w:after="120"/>
            </w:pPr>
            <w:r w:rsidRPr="000A0A5F">
              <w:rPr>
                <w:rFonts w:hint="eastAsia"/>
                <w:lang w:eastAsia="zh-CN"/>
              </w:rPr>
              <w:t>T</w:t>
            </w:r>
            <w:r w:rsidRPr="000A0A5F">
              <w:rPr>
                <w:lang w:eastAsia="zh-CN"/>
              </w:rPr>
              <w:t>he configuration was updated successfully.</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none</w:t>
            </w:r>
          </w:p>
        </w:tc>
        <w:tc>
          <w:tcPr>
            <w:tcW w:w="541" w:type="pct"/>
          </w:tcPr>
          <w:p w:rsidR="00CB0DD7" w:rsidRPr="000A0A5F" w:rsidRDefault="00CB0DD7">
            <w:pPr>
              <w:pStyle w:val="TAL"/>
            </w:pPr>
          </w:p>
        </w:tc>
        <w:tc>
          <w:tcPr>
            <w:tcW w:w="500" w:type="pct"/>
          </w:tcPr>
          <w:p w:rsidR="00CB0DD7" w:rsidRPr="000A0A5F" w:rsidRDefault="00C917E3">
            <w:pPr>
              <w:pStyle w:val="TAL"/>
            </w:pPr>
            <w:r w:rsidRPr="000A0A5F">
              <w:t>307 Temporary Redirect</w:t>
            </w:r>
          </w:p>
        </w:tc>
        <w:tc>
          <w:tcPr>
            <w:tcW w:w="2334" w:type="pct"/>
          </w:tcPr>
          <w:p w:rsidR="00C917E3" w:rsidRPr="000A0A5F" w:rsidRDefault="00C917E3" w:rsidP="00C917E3">
            <w:pPr>
              <w:pStyle w:val="TAL"/>
            </w:pPr>
            <w:r w:rsidRPr="000A0A5F">
              <w:t>Temporary redirection, during configuration modification. The response shall include a Location header field containing an alternative URI of the resource located in an alternative SCEF.</w:t>
            </w:r>
          </w:p>
          <w:p w:rsidR="00C917E3" w:rsidRPr="000A0A5F" w:rsidRDefault="00C917E3" w:rsidP="00C917E3">
            <w:pPr>
              <w:pStyle w:val="TAL"/>
            </w:pPr>
          </w:p>
          <w:p w:rsidR="00CB0DD7" w:rsidRPr="000A0A5F" w:rsidRDefault="00C917E3" w:rsidP="00C917E3">
            <w:pPr>
              <w:pStyle w:val="TAL"/>
            </w:pPr>
            <w:r w:rsidRPr="000A0A5F">
              <w:t>Redirection handling is described in clause 5.2.10.</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none</w:t>
            </w:r>
          </w:p>
        </w:tc>
        <w:tc>
          <w:tcPr>
            <w:tcW w:w="541" w:type="pct"/>
          </w:tcPr>
          <w:p w:rsidR="00CB0DD7" w:rsidRPr="000A0A5F" w:rsidRDefault="00CB0DD7">
            <w:pPr>
              <w:pStyle w:val="TAL"/>
            </w:pPr>
          </w:p>
        </w:tc>
        <w:tc>
          <w:tcPr>
            <w:tcW w:w="500" w:type="pct"/>
          </w:tcPr>
          <w:p w:rsidR="00CB0DD7" w:rsidRPr="000A0A5F" w:rsidRDefault="00C917E3">
            <w:pPr>
              <w:pStyle w:val="TAL"/>
            </w:pPr>
            <w:r w:rsidRPr="000A0A5F">
              <w:t>308 Permanent Redirect</w:t>
            </w:r>
          </w:p>
        </w:tc>
        <w:tc>
          <w:tcPr>
            <w:tcW w:w="2334" w:type="pct"/>
          </w:tcPr>
          <w:p w:rsidR="00C917E3" w:rsidRPr="000A0A5F" w:rsidRDefault="00C917E3" w:rsidP="00C917E3">
            <w:pPr>
              <w:pStyle w:val="TAL"/>
            </w:pPr>
            <w:r w:rsidRPr="000A0A5F">
              <w:t>Permanent redirection, during configuration modification. The response shall include a Location header field containing an alternative URI of the resource located in an alternative SCEF.</w:t>
            </w:r>
          </w:p>
          <w:p w:rsidR="00C917E3" w:rsidRPr="000A0A5F" w:rsidRDefault="00C917E3" w:rsidP="00C917E3">
            <w:pPr>
              <w:pStyle w:val="TAL"/>
            </w:pPr>
          </w:p>
          <w:p w:rsidR="00CB0DD7" w:rsidRPr="000A0A5F" w:rsidRDefault="00C917E3">
            <w:pPr>
              <w:pStyle w:val="TAL"/>
            </w:pPr>
            <w:r w:rsidRPr="000A0A5F">
              <w:t>Redirection handling is described in clause 5.2.10.</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917E3">
            <w:pPr>
              <w:pStyle w:val="TAL"/>
            </w:pPr>
            <w:r w:rsidRPr="000A0A5F">
              <w:t>ProblemDetails</w:t>
            </w:r>
          </w:p>
        </w:tc>
        <w:tc>
          <w:tcPr>
            <w:tcW w:w="541" w:type="pct"/>
          </w:tcPr>
          <w:p w:rsidR="00CB0DD7" w:rsidRPr="000A0A5F" w:rsidRDefault="00C917E3">
            <w:pPr>
              <w:pStyle w:val="TAL"/>
            </w:pPr>
            <w:r w:rsidRPr="000A0A5F">
              <w:t>0..1</w:t>
            </w:r>
          </w:p>
        </w:tc>
        <w:tc>
          <w:tcPr>
            <w:tcW w:w="500" w:type="pct"/>
          </w:tcPr>
          <w:p w:rsidR="00CB0DD7" w:rsidRPr="000A0A5F" w:rsidRDefault="00C917E3">
            <w:pPr>
              <w:pStyle w:val="TAL"/>
            </w:pPr>
            <w:r w:rsidRPr="000A0A5F">
              <w:t>403 Forbidden</w:t>
            </w:r>
          </w:p>
        </w:tc>
        <w:tc>
          <w:tcPr>
            <w:tcW w:w="2334" w:type="pct"/>
          </w:tcPr>
          <w:p w:rsidR="00CB0DD7" w:rsidRPr="000A0A5F" w:rsidRDefault="00C917E3">
            <w:pPr>
              <w:pStyle w:val="TAL"/>
            </w:pPr>
            <w:r w:rsidRPr="000A0A5F">
              <w:t>(NOTE 2)</w:t>
            </w:r>
          </w:p>
        </w:tc>
      </w:tr>
      <w:tr w:rsidR="00CB0DD7" w:rsidRPr="000A0A5F" w:rsidTr="00FF0AF8">
        <w:tc>
          <w:tcPr>
            <w:tcW w:w="5000" w:type="pct"/>
            <w:gridSpan w:val="5"/>
            <w:shd w:val="clear" w:color="auto" w:fill="auto"/>
            <w:vAlign w:val="center"/>
          </w:tcPr>
          <w:p w:rsidR="00CB0DD7" w:rsidRPr="000A0A5F" w:rsidRDefault="00CB0DD7">
            <w:pPr>
              <w:pStyle w:val="TAN"/>
            </w:pPr>
            <w:r w:rsidRPr="000A0A5F">
              <w:t>NOTE 1:</w:t>
            </w:r>
            <w:r w:rsidRPr="000A0A5F">
              <w:tab/>
              <w:t>The mandatory HTTP error status codes for the PATCH method listed in table 5.2.6-1 also apply.</w:t>
            </w:r>
          </w:p>
          <w:p w:rsidR="00CB0DD7" w:rsidRPr="000A0A5F" w:rsidRDefault="00CB0DD7">
            <w:pPr>
              <w:pStyle w:val="TAN"/>
            </w:pPr>
            <w:r w:rsidRPr="000A0A5F">
              <w:t>NOTE 2:</w:t>
            </w:r>
            <w:r w:rsidRPr="000A0A5F">
              <w:tab/>
            </w:r>
            <w:r w:rsidR="00C917E3" w:rsidRPr="000A0A5F">
              <w:t>Failure cases are described</w:t>
            </w:r>
            <w:r w:rsidRPr="000A0A5F">
              <w:t xml:space="preserve"> in clause 5.13.5.3.</w:t>
            </w:r>
          </w:p>
        </w:tc>
      </w:tr>
    </w:tbl>
    <w:p w:rsidR="00CB0DD7" w:rsidRPr="000A0A5F" w:rsidRDefault="00CB0DD7"/>
    <w:p w:rsidR="00CB0DD7" w:rsidRPr="000A0A5F" w:rsidRDefault="002E466A">
      <w:pPr>
        <w:pStyle w:val="TH"/>
      </w:pPr>
      <w:r w:rsidRPr="000A0A5F">
        <w:t>Table </w:t>
      </w:r>
      <w:r w:rsidR="00CB0DD7" w:rsidRPr="000A0A5F">
        <w:t>5.13.3.3.3.3-3: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2E466A">
      <w:pPr>
        <w:pStyle w:val="TH"/>
      </w:pPr>
      <w:r w:rsidRPr="000A0A5F">
        <w:t>Table </w:t>
      </w:r>
      <w:r w:rsidR="00CB0DD7" w:rsidRPr="000A0A5F">
        <w:t>5.13.3.3.3.3-4: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CB0DD7">
      <w:pPr>
        <w:pStyle w:val="Heading6"/>
      </w:pPr>
      <w:bookmarkStart w:id="8903" w:name="_Toc11247861"/>
      <w:bookmarkStart w:id="8904" w:name="_Toc27045005"/>
      <w:bookmarkStart w:id="8905" w:name="_Toc36034047"/>
      <w:bookmarkStart w:id="8906" w:name="_Toc45132194"/>
      <w:bookmarkStart w:id="8907" w:name="_Toc49776479"/>
      <w:bookmarkStart w:id="8908" w:name="_Toc51747399"/>
      <w:bookmarkStart w:id="8909" w:name="_Toc66360975"/>
      <w:bookmarkStart w:id="8910" w:name="_Toc68105480"/>
      <w:bookmarkStart w:id="8911" w:name="_Toc74756110"/>
      <w:bookmarkStart w:id="8912" w:name="_Toc105674987"/>
      <w:bookmarkStart w:id="8913" w:name="_Toc130503055"/>
      <w:bookmarkStart w:id="8914" w:name="_Toc153625843"/>
      <w:r w:rsidRPr="000A0A5F">
        <w:t>5.13.3.3.3.4</w:t>
      </w:r>
      <w:r w:rsidRPr="000A0A5F">
        <w:tab/>
        <w:t>POST</w:t>
      </w:r>
      <w:bookmarkEnd w:id="8903"/>
      <w:bookmarkEnd w:id="8904"/>
      <w:bookmarkEnd w:id="8905"/>
      <w:bookmarkEnd w:id="8906"/>
      <w:bookmarkEnd w:id="8907"/>
      <w:bookmarkEnd w:id="8908"/>
      <w:bookmarkEnd w:id="8909"/>
      <w:bookmarkEnd w:id="8910"/>
      <w:bookmarkEnd w:id="8911"/>
      <w:bookmarkEnd w:id="8912"/>
      <w:bookmarkEnd w:id="8913"/>
      <w:bookmarkEnd w:id="8914"/>
    </w:p>
    <w:p w:rsidR="00CB0DD7" w:rsidRPr="000A0A5F" w:rsidRDefault="00CB0DD7">
      <w:pPr>
        <w:rPr>
          <w:rFonts w:hint="eastAsia"/>
          <w:lang w:eastAsia="zh-CN"/>
        </w:rPr>
      </w:pPr>
      <w:r w:rsidRPr="000A0A5F">
        <w:rPr>
          <w:rFonts w:hint="eastAsia"/>
          <w:lang w:eastAsia="zh-CN"/>
        </w:rPr>
        <w:t xml:space="preserve">This </w:t>
      </w:r>
      <w:r w:rsidRPr="000A0A5F">
        <w:rPr>
          <w:lang w:eastAsia="zh-CN"/>
        </w:rPr>
        <w:t>HTTP method is not supported for the resource.</w:t>
      </w:r>
    </w:p>
    <w:p w:rsidR="00CB0DD7" w:rsidRPr="000A0A5F" w:rsidRDefault="00CB0DD7">
      <w:pPr>
        <w:pStyle w:val="Heading6"/>
        <w:spacing w:before="180"/>
      </w:pPr>
      <w:bookmarkStart w:id="8915" w:name="_Toc11247862"/>
      <w:bookmarkStart w:id="8916" w:name="_Toc27045006"/>
      <w:bookmarkStart w:id="8917" w:name="_Toc36034048"/>
      <w:bookmarkStart w:id="8918" w:name="_Toc45132195"/>
      <w:bookmarkStart w:id="8919" w:name="_Toc49776480"/>
      <w:bookmarkStart w:id="8920" w:name="_Toc51747400"/>
      <w:bookmarkStart w:id="8921" w:name="_Toc66360976"/>
      <w:bookmarkStart w:id="8922" w:name="_Toc68105481"/>
      <w:bookmarkStart w:id="8923" w:name="_Toc74756111"/>
      <w:bookmarkStart w:id="8924" w:name="_Toc105674988"/>
      <w:bookmarkStart w:id="8925" w:name="_Toc130503056"/>
      <w:bookmarkStart w:id="8926" w:name="_Toc153625844"/>
      <w:r w:rsidRPr="000A0A5F">
        <w:t>5.13.3.3.3.5</w:t>
      </w:r>
      <w:r w:rsidRPr="000A0A5F">
        <w:tab/>
        <w:t>DELETE</w:t>
      </w:r>
      <w:bookmarkEnd w:id="8915"/>
      <w:bookmarkEnd w:id="8916"/>
      <w:bookmarkEnd w:id="8917"/>
      <w:bookmarkEnd w:id="8918"/>
      <w:bookmarkEnd w:id="8919"/>
      <w:bookmarkEnd w:id="8920"/>
      <w:bookmarkEnd w:id="8921"/>
      <w:bookmarkEnd w:id="8922"/>
      <w:bookmarkEnd w:id="8923"/>
      <w:bookmarkEnd w:id="8924"/>
      <w:bookmarkEnd w:id="8925"/>
      <w:bookmarkEnd w:id="8926"/>
    </w:p>
    <w:p w:rsidR="00CB0DD7" w:rsidRPr="000A0A5F" w:rsidRDefault="00CB0DD7">
      <w:pPr>
        <w:rPr>
          <w:noProof/>
          <w:lang w:eastAsia="zh-CN"/>
        </w:rPr>
      </w:pPr>
      <w:r w:rsidRPr="000A0A5F">
        <w:rPr>
          <w:noProof/>
          <w:lang w:eastAsia="zh-CN"/>
        </w:rPr>
        <w:t xml:space="preserve">The DELETE method deletes an existing configuration </w:t>
      </w:r>
      <w:r w:rsidRPr="000A0A5F">
        <w:t>resource "Individual NP Configuration"</w:t>
      </w:r>
      <w:r w:rsidRPr="000A0A5F">
        <w:rPr>
          <w:noProof/>
          <w:lang w:eastAsia="zh-CN"/>
        </w:rPr>
        <w:t xml:space="preserve">. The SCS/AS shall initiate the HTTP DELETE request message and the SCEF shall respond to the message. </w:t>
      </w:r>
    </w:p>
    <w:p w:rsidR="00CB0DD7" w:rsidRPr="000A0A5F" w:rsidRDefault="00CB0DD7">
      <w:r w:rsidRPr="000A0A5F">
        <w:t>This method shall support the URI query parameters, request and response data structures, and response codes, as specified in the table 5.13.3.3.3.5-1 and table 5.13.3.3.3.5-2.</w:t>
      </w:r>
    </w:p>
    <w:p w:rsidR="00CB0DD7" w:rsidRPr="000A0A5F" w:rsidRDefault="00CB0DD7">
      <w:pPr>
        <w:pStyle w:val="TH"/>
        <w:rPr>
          <w:rFonts w:cs="Arial"/>
        </w:rPr>
      </w:pPr>
      <w:r w:rsidRPr="000A0A5F">
        <w:t xml:space="preserve">Table 5.13.3.3.3.5-1: URI query parameters supported by the DELETE method on this resource </w:t>
      </w:r>
    </w:p>
    <w:tbl>
      <w:tblPr>
        <w:tblW w:w="4999"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612"/>
        <w:gridCol w:w="1709"/>
        <w:gridCol w:w="1140"/>
        <w:gridCol w:w="5314"/>
      </w:tblGrid>
      <w:tr w:rsidR="00CB0DD7" w:rsidRPr="000A0A5F" w:rsidTr="00FF0AF8">
        <w:trPr>
          <w:jc w:val="center"/>
        </w:trPr>
        <w:tc>
          <w:tcPr>
            <w:tcW w:w="825" w:type="pct"/>
            <w:shd w:val="clear" w:color="000000" w:fill="C0C0C0"/>
          </w:tcPr>
          <w:p w:rsidR="00CB0DD7" w:rsidRPr="000A0A5F" w:rsidRDefault="00CB0DD7">
            <w:pPr>
              <w:pStyle w:val="TAH"/>
            </w:pPr>
            <w:r w:rsidRPr="000A0A5F">
              <w:t>Name</w:t>
            </w:r>
          </w:p>
        </w:tc>
        <w:tc>
          <w:tcPr>
            <w:tcW w:w="874" w:type="pct"/>
            <w:shd w:val="clear" w:color="000000" w:fill="C0C0C0"/>
          </w:tcPr>
          <w:p w:rsidR="00CB0DD7" w:rsidRPr="000A0A5F" w:rsidRDefault="00CB0DD7">
            <w:pPr>
              <w:pStyle w:val="TAH"/>
            </w:pPr>
            <w:r w:rsidRPr="000A0A5F">
              <w:t>Data type</w:t>
            </w:r>
          </w:p>
        </w:tc>
        <w:tc>
          <w:tcPr>
            <w:tcW w:w="583" w:type="pct"/>
            <w:shd w:val="clear" w:color="000000" w:fill="C0C0C0"/>
          </w:tcPr>
          <w:p w:rsidR="00CB0DD7" w:rsidRPr="000A0A5F" w:rsidRDefault="00CB0DD7">
            <w:pPr>
              <w:pStyle w:val="TAH"/>
            </w:pPr>
            <w:r w:rsidRPr="000A0A5F">
              <w:t>Cardinality</w:t>
            </w:r>
          </w:p>
        </w:tc>
        <w:tc>
          <w:tcPr>
            <w:tcW w:w="2718" w:type="pct"/>
            <w:shd w:val="clear" w:color="000000" w:fill="C0C0C0"/>
            <w:vAlign w:val="center"/>
          </w:tcPr>
          <w:p w:rsidR="00CB0DD7" w:rsidRPr="000A0A5F" w:rsidRDefault="00CB0DD7">
            <w:pPr>
              <w:pStyle w:val="TAH"/>
            </w:pPr>
            <w:r w:rsidRPr="000A0A5F">
              <w:t>Remarks</w:t>
            </w:r>
          </w:p>
        </w:tc>
      </w:tr>
      <w:tr w:rsidR="00CB0DD7" w:rsidRPr="000A0A5F" w:rsidTr="00FF0AF8">
        <w:trPr>
          <w:jc w:val="center"/>
        </w:trPr>
        <w:tc>
          <w:tcPr>
            <w:tcW w:w="825" w:type="pct"/>
            <w:shd w:val="clear" w:color="auto" w:fill="auto"/>
          </w:tcPr>
          <w:p w:rsidR="00CB0DD7" w:rsidRPr="000A0A5F" w:rsidRDefault="00CB0DD7">
            <w:pPr>
              <w:pStyle w:val="TAL"/>
              <w:rPr>
                <w:rFonts w:hint="eastAsia"/>
                <w:lang w:eastAsia="zh-CN"/>
              </w:rPr>
            </w:pPr>
            <w:r w:rsidRPr="000A0A5F">
              <w:rPr>
                <w:rFonts w:hint="eastAsia"/>
                <w:lang w:eastAsia="zh-CN"/>
              </w:rPr>
              <w:t>N/A</w:t>
            </w:r>
          </w:p>
        </w:tc>
        <w:tc>
          <w:tcPr>
            <w:tcW w:w="874" w:type="pct"/>
          </w:tcPr>
          <w:p w:rsidR="00CB0DD7" w:rsidRPr="000A0A5F" w:rsidRDefault="00CB0DD7">
            <w:pPr>
              <w:pStyle w:val="TAL"/>
            </w:pPr>
          </w:p>
        </w:tc>
        <w:tc>
          <w:tcPr>
            <w:tcW w:w="583" w:type="pct"/>
          </w:tcPr>
          <w:p w:rsidR="00CB0DD7" w:rsidRPr="000A0A5F" w:rsidRDefault="00CB0DD7">
            <w:pPr>
              <w:pStyle w:val="TAL"/>
            </w:pPr>
          </w:p>
        </w:tc>
        <w:tc>
          <w:tcPr>
            <w:tcW w:w="2718" w:type="pct"/>
            <w:shd w:val="clear" w:color="auto" w:fill="auto"/>
            <w:vAlign w:val="center"/>
          </w:tcPr>
          <w:p w:rsidR="00CB0DD7" w:rsidRPr="000A0A5F" w:rsidRDefault="00CB0DD7">
            <w:pPr>
              <w:pStyle w:val="TAL"/>
            </w:pPr>
          </w:p>
        </w:tc>
      </w:tr>
    </w:tbl>
    <w:p w:rsidR="00CB0DD7" w:rsidRPr="000A0A5F" w:rsidRDefault="00CB0DD7"/>
    <w:p w:rsidR="00CB0DD7" w:rsidRPr="000A0A5F" w:rsidRDefault="00CB0DD7">
      <w:pPr>
        <w:pStyle w:val="TH"/>
      </w:pPr>
      <w:r w:rsidRPr="000A0A5F">
        <w:t>Table 5.13.3.3.3.5-2: Data structures supported by the DELETE request/response on the resource</w:t>
      </w:r>
    </w:p>
    <w:tbl>
      <w:tblPr>
        <w:tblW w:w="4999" w:type="pct"/>
        <w:tblInd w:w="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45" w:type="dxa"/>
          <w:left w:w="45" w:type="dxa"/>
          <w:bottom w:w="45" w:type="dxa"/>
          <w:right w:w="45" w:type="dxa"/>
        </w:tblCellMar>
        <w:tblLook w:val="0000" w:firstRow="0" w:lastRow="0" w:firstColumn="0" w:lastColumn="0" w:noHBand="0" w:noVBand="0"/>
      </w:tblPr>
      <w:tblGrid>
        <w:gridCol w:w="1035"/>
        <w:gridCol w:w="2127"/>
        <w:gridCol w:w="1053"/>
        <w:gridCol w:w="973"/>
        <w:gridCol w:w="4541"/>
      </w:tblGrid>
      <w:tr w:rsidR="00CB0DD7" w:rsidRPr="000A0A5F" w:rsidTr="002C1CAD">
        <w:tc>
          <w:tcPr>
            <w:tcW w:w="532" w:type="pct"/>
            <w:vMerge w:val="restart"/>
            <w:shd w:val="clear" w:color="auto" w:fill="C0C0C0"/>
            <w:vAlign w:val="center"/>
          </w:tcPr>
          <w:p w:rsidR="00CB0DD7" w:rsidRPr="000A0A5F" w:rsidRDefault="00CB0DD7">
            <w:pPr>
              <w:pStyle w:val="TAH"/>
            </w:pPr>
            <w:r w:rsidRPr="000A0A5F">
              <w:t>Request body</w:t>
            </w:r>
          </w:p>
        </w:tc>
        <w:tc>
          <w:tcPr>
            <w:tcW w:w="1093" w:type="pct"/>
            <w:shd w:val="clear" w:color="auto" w:fill="C0C0C0"/>
          </w:tcPr>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r w:rsidRPr="000A0A5F">
              <w:t>Cardinality</w:t>
            </w:r>
          </w:p>
        </w:tc>
        <w:tc>
          <w:tcPr>
            <w:tcW w:w="2834" w:type="pct"/>
            <w:gridSpan w:val="2"/>
            <w:shd w:val="clear" w:color="auto" w:fill="C0C0C0"/>
          </w:tcPr>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none</w:t>
            </w:r>
          </w:p>
        </w:tc>
        <w:tc>
          <w:tcPr>
            <w:tcW w:w="541" w:type="pct"/>
          </w:tcPr>
          <w:p w:rsidR="00CB0DD7" w:rsidRPr="000A0A5F" w:rsidRDefault="00CB0DD7">
            <w:pPr>
              <w:pStyle w:val="TAL"/>
            </w:pPr>
          </w:p>
        </w:tc>
        <w:tc>
          <w:tcPr>
            <w:tcW w:w="2834" w:type="pct"/>
            <w:gridSpan w:val="2"/>
          </w:tcPr>
          <w:p w:rsidR="00CB0DD7" w:rsidRPr="000A0A5F" w:rsidRDefault="00CB0DD7">
            <w:pPr>
              <w:pStyle w:val="TAL"/>
            </w:pPr>
          </w:p>
        </w:tc>
      </w:tr>
      <w:tr w:rsidR="00CB0DD7" w:rsidRPr="000A0A5F" w:rsidTr="002C1CAD">
        <w:tc>
          <w:tcPr>
            <w:tcW w:w="532" w:type="pct"/>
            <w:vMerge w:val="restart"/>
            <w:shd w:val="clear" w:color="auto" w:fill="C0C0C0"/>
            <w:vAlign w:val="center"/>
          </w:tcPr>
          <w:p w:rsidR="00CB0DD7" w:rsidRPr="000A0A5F" w:rsidRDefault="00CB0DD7">
            <w:pPr>
              <w:pStyle w:val="TAH"/>
            </w:pPr>
            <w:r w:rsidRPr="000A0A5F">
              <w:t>Response body</w:t>
            </w:r>
          </w:p>
        </w:tc>
        <w:tc>
          <w:tcPr>
            <w:tcW w:w="1093" w:type="pct"/>
            <w:shd w:val="clear" w:color="auto" w:fill="C0C0C0"/>
          </w:tcPr>
          <w:p w:rsidR="00CB0DD7" w:rsidRPr="000A0A5F" w:rsidRDefault="00CB0DD7">
            <w:pPr>
              <w:pStyle w:val="TAH"/>
            </w:pPr>
          </w:p>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p>
          <w:p w:rsidR="00CB0DD7" w:rsidRPr="000A0A5F" w:rsidRDefault="00CB0DD7">
            <w:pPr>
              <w:pStyle w:val="TAH"/>
            </w:pPr>
            <w:r w:rsidRPr="000A0A5F">
              <w:t>Cardinality</w:t>
            </w:r>
          </w:p>
        </w:tc>
        <w:tc>
          <w:tcPr>
            <w:tcW w:w="500" w:type="pct"/>
            <w:shd w:val="clear" w:color="auto" w:fill="C0C0C0"/>
          </w:tcPr>
          <w:p w:rsidR="00CB0DD7" w:rsidRPr="000A0A5F" w:rsidRDefault="00CB0DD7">
            <w:pPr>
              <w:pStyle w:val="TAH"/>
            </w:pPr>
            <w:r w:rsidRPr="000A0A5F">
              <w:t>Response</w:t>
            </w:r>
          </w:p>
          <w:p w:rsidR="00CB0DD7" w:rsidRPr="000A0A5F" w:rsidRDefault="00CB0DD7">
            <w:pPr>
              <w:pStyle w:val="TAH"/>
            </w:pPr>
            <w:r w:rsidRPr="000A0A5F">
              <w:t>codes</w:t>
            </w:r>
          </w:p>
        </w:tc>
        <w:tc>
          <w:tcPr>
            <w:tcW w:w="2334" w:type="pct"/>
            <w:shd w:val="clear" w:color="auto" w:fill="C0C0C0"/>
          </w:tcPr>
          <w:p w:rsidR="00CB0DD7" w:rsidRPr="000A0A5F" w:rsidRDefault="00CB0DD7">
            <w:pPr>
              <w:pStyle w:val="TAH"/>
            </w:pPr>
          </w:p>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446A39">
            <w:pPr>
              <w:pStyle w:val="TAL"/>
            </w:pPr>
            <w:r w:rsidRPr="000A0A5F">
              <w:t>array(ConfigResult)</w:t>
            </w:r>
          </w:p>
        </w:tc>
        <w:tc>
          <w:tcPr>
            <w:tcW w:w="541" w:type="pct"/>
          </w:tcPr>
          <w:p w:rsidR="00CB0DD7" w:rsidRPr="000A0A5F" w:rsidRDefault="00446A39">
            <w:pPr>
              <w:pStyle w:val="TAL"/>
            </w:pPr>
            <w:r w:rsidRPr="000A0A5F">
              <w:rPr>
                <w:rFonts w:hint="eastAsia"/>
                <w:lang w:eastAsia="zh-CN"/>
              </w:rPr>
              <w:t>1..N</w:t>
            </w:r>
          </w:p>
        </w:tc>
        <w:tc>
          <w:tcPr>
            <w:tcW w:w="500" w:type="pct"/>
          </w:tcPr>
          <w:p w:rsidR="00CB0DD7" w:rsidRPr="000A0A5F" w:rsidRDefault="00CB0DD7">
            <w:pPr>
              <w:pStyle w:val="TAL"/>
            </w:pPr>
            <w:r w:rsidRPr="000A0A5F">
              <w:t>20</w:t>
            </w:r>
            <w:r w:rsidR="001720ED" w:rsidRPr="000A0A5F">
              <w:t>0</w:t>
            </w:r>
            <w:r w:rsidRPr="000A0A5F">
              <w:t xml:space="preserve"> </w:t>
            </w:r>
            <w:r w:rsidR="001720ED" w:rsidRPr="000A0A5F">
              <w:t>OK</w:t>
            </w:r>
          </w:p>
        </w:tc>
        <w:tc>
          <w:tcPr>
            <w:tcW w:w="2334" w:type="pct"/>
          </w:tcPr>
          <w:p w:rsidR="00CB0DD7" w:rsidRPr="000A0A5F" w:rsidRDefault="00446A39">
            <w:pPr>
              <w:pStyle w:val="TAL"/>
            </w:pPr>
            <w:r w:rsidRPr="000A0A5F">
              <w:t>The configuration was terminated successfully, the configuration failure information for group members shall be included if received.</w:t>
            </w:r>
          </w:p>
        </w:tc>
      </w:tr>
      <w:tr w:rsidR="00CB0DD7" w:rsidRPr="000A0A5F" w:rsidTr="00FF0AF8">
        <w:trPr>
          <w:trHeight w:val="665"/>
        </w:trPr>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446A39">
            <w:pPr>
              <w:pStyle w:val="TAL"/>
            </w:pPr>
            <w:r w:rsidRPr="000A0A5F">
              <w:rPr>
                <w:lang w:eastAsia="zh-CN"/>
              </w:rPr>
              <w:t>none</w:t>
            </w:r>
          </w:p>
        </w:tc>
        <w:tc>
          <w:tcPr>
            <w:tcW w:w="541" w:type="pct"/>
          </w:tcPr>
          <w:p w:rsidR="00CB0DD7" w:rsidRPr="000A0A5F" w:rsidRDefault="00CB0DD7">
            <w:pPr>
              <w:pStyle w:val="TAL"/>
              <w:rPr>
                <w:rFonts w:hint="eastAsia"/>
                <w:lang w:eastAsia="zh-CN"/>
              </w:rPr>
            </w:pPr>
          </w:p>
        </w:tc>
        <w:tc>
          <w:tcPr>
            <w:tcW w:w="500" w:type="pct"/>
          </w:tcPr>
          <w:p w:rsidR="00CB0DD7" w:rsidRPr="000A0A5F" w:rsidRDefault="00446A39">
            <w:pPr>
              <w:pStyle w:val="TAL"/>
              <w:rPr>
                <w:rFonts w:hint="eastAsia"/>
                <w:lang w:eastAsia="zh-CN"/>
              </w:rPr>
            </w:pPr>
            <w:r w:rsidRPr="000A0A5F">
              <w:t>204 No Content</w:t>
            </w:r>
          </w:p>
        </w:tc>
        <w:tc>
          <w:tcPr>
            <w:tcW w:w="2334" w:type="pct"/>
          </w:tcPr>
          <w:p w:rsidR="00446A39" w:rsidRPr="000A0A5F" w:rsidRDefault="00446A39" w:rsidP="00446A39">
            <w:pPr>
              <w:pStyle w:val="TAL"/>
              <w:spacing w:afterLines="50" w:after="120"/>
            </w:pPr>
            <w:r w:rsidRPr="000A0A5F">
              <w:t>The configuration was terminated successfully.</w:t>
            </w:r>
          </w:p>
          <w:p w:rsidR="00CB0DD7" w:rsidRPr="000A0A5F" w:rsidRDefault="00446A39" w:rsidP="00446A39">
            <w:pPr>
              <w:pStyle w:val="TAL"/>
              <w:spacing w:afterLines="50" w:after="120"/>
            </w:pPr>
            <w:r w:rsidRPr="000A0A5F">
              <w:t>The response body shall be empty.</w:t>
            </w:r>
          </w:p>
        </w:tc>
      </w:tr>
      <w:tr w:rsidR="00CB0DD7" w:rsidRPr="000A0A5F" w:rsidTr="00FF0AF8">
        <w:trPr>
          <w:trHeight w:val="665"/>
        </w:trPr>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lang w:eastAsia="zh-CN"/>
              </w:rPr>
            </w:pPr>
            <w:r w:rsidRPr="000A0A5F">
              <w:t>none</w:t>
            </w:r>
          </w:p>
        </w:tc>
        <w:tc>
          <w:tcPr>
            <w:tcW w:w="541" w:type="pct"/>
          </w:tcPr>
          <w:p w:rsidR="00CB0DD7" w:rsidRPr="000A0A5F" w:rsidRDefault="00CB0DD7">
            <w:pPr>
              <w:pStyle w:val="TAL"/>
              <w:rPr>
                <w:rFonts w:hint="eastAsia"/>
                <w:lang w:eastAsia="zh-CN"/>
              </w:rPr>
            </w:pPr>
          </w:p>
        </w:tc>
        <w:tc>
          <w:tcPr>
            <w:tcW w:w="500" w:type="pct"/>
          </w:tcPr>
          <w:p w:rsidR="00CB0DD7" w:rsidRPr="000A0A5F" w:rsidRDefault="00CB0DD7">
            <w:pPr>
              <w:pStyle w:val="TAL"/>
              <w:rPr>
                <w:rFonts w:hint="eastAsia"/>
                <w:lang w:eastAsia="zh-CN"/>
              </w:rPr>
            </w:pPr>
            <w:r w:rsidRPr="000A0A5F">
              <w:t>307 Temporary Redirect</w:t>
            </w:r>
          </w:p>
        </w:tc>
        <w:tc>
          <w:tcPr>
            <w:tcW w:w="2334" w:type="pct"/>
          </w:tcPr>
          <w:p w:rsidR="00CB0DD7" w:rsidRPr="000A0A5F" w:rsidRDefault="00CB0DD7">
            <w:pPr>
              <w:pStyle w:val="TAL"/>
            </w:pPr>
            <w:r w:rsidRPr="000A0A5F">
              <w:t>Temporary redirection, during configuration termination. The response shall include a Location header field containing an alternative URI of the resource located in an alternative SCEF.</w:t>
            </w:r>
          </w:p>
          <w:p w:rsidR="0084215D" w:rsidRPr="000A0A5F" w:rsidRDefault="0084215D">
            <w:pPr>
              <w:pStyle w:val="TAL"/>
            </w:pPr>
          </w:p>
          <w:p w:rsidR="00CB0DD7" w:rsidRPr="000A0A5F" w:rsidRDefault="00CB0DD7">
            <w:pPr>
              <w:pStyle w:val="TAL"/>
              <w:spacing w:afterLines="50" w:after="120"/>
            </w:pPr>
            <w:r w:rsidRPr="000A0A5F">
              <w:t>Redirection handling is described in clause 5.2.10.</w:t>
            </w:r>
          </w:p>
        </w:tc>
      </w:tr>
      <w:tr w:rsidR="00CB0DD7" w:rsidRPr="000A0A5F" w:rsidTr="00FF0AF8">
        <w:trPr>
          <w:trHeight w:val="665"/>
        </w:trPr>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lang w:eastAsia="zh-CN"/>
              </w:rPr>
            </w:pPr>
            <w:r w:rsidRPr="000A0A5F">
              <w:t>none</w:t>
            </w:r>
          </w:p>
        </w:tc>
        <w:tc>
          <w:tcPr>
            <w:tcW w:w="541" w:type="pct"/>
          </w:tcPr>
          <w:p w:rsidR="00CB0DD7" w:rsidRPr="000A0A5F" w:rsidRDefault="00CB0DD7">
            <w:pPr>
              <w:pStyle w:val="TAL"/>
              <w:rPr>
                <w:rFonts w:hint="eastAsia"/>
                <w:lang w:eastAsia="zh-CN"/>
              </w:rPr>
            </w:pPr>
          </w:p>
        </w:tc>
        <w:tc>
          <w:tcPr>
            <w:tcW w:w="500" w:type="pct"/>
          </w:tcPr>
          <w:p w:rsidR="00CB0DD7" w:rsidRPr="000A0A5F" w:rsidRDefault="00CB0DD7">
            <w:pPr>
              <w:pStyle w:val="TAL"/>
              <w:rPr>
                <w:rFonts w:hint="eastAsia"/>
                <w:lang w:eastAsia="zh-CN"/>
              </w:rPr>
            </w:pPr>
            <w:r w:rsidRPr="000A0A5F">
              <w:t>308 Permanent Redirect</w:t>
            </w:r>
          </w:p>
        </w:tc>
        <w:tc>
          <w:tcPr>
            <w:tcW w:w="2334" w:type="pct"/>
          </w:tcPr>
          <w:p w:rsidR="00CB0DD7" w:rsidRPr="000A0A5F" w:rsidRDefault="00CB0DD7">
            <w:pPr>
              <w:pStyle w:val="TAL"/>
            </w:pPr>
            <w:r w:rsidRPr="000A0A5F">
              <w:t>Permanent redirection, during configuration termination. The response shall include a Location header field containing an alternative URI of the resource located in an alternative SCEF.</w:t>
            </w:r>
          </w:p>
          <w:p w:rsidR="0084215D" w:rsidRPr="000A0A5F" w:rsidRDefault="0084215D">
            <w:pPr>
              <w:pStyle w:val="TAL"/>
            </w:pPr>
          </w:p>
          <w:p w:rsidR="00CB0DD7" w:rsidRPr="000A0A5F" w:rsidRDefault="00CB0DD7">
            <w:pPr>
              <w:pStyle w:val="TAL"/>
              <w:spacing w:afterLines="50" w:after="120"/>
            </w:pPr>
            <w:r w:rsidRPr="000A0A5F">
              <w:t>Redirection handling is described in clause 5.2.10.</w:t>
            </w:r>
          </w:p>
        </w:tc>
      </w:tr>
      <w:tr w:rsidR="00CB0DD7" w:rsidRPr="000A0A5F" w:rsidTr="00FF0AF8">
        <w:tc>
          <w:tcPr>
            <w:tcW w:w="5000" w:type="pct"/>
            <w:gridSpan w:val="5"/>
            <w:shd w:val="clear" w:color="auto" w:fill="auto"/>
            <w:vAlign w:val="center"/>
          </w:tcPr>
          <w:p w:rsidR="00CB0DD7" w:rsidRPr="000A0A5F" w:rsidRDefault="00CB0DD7">
            <w:pPr>
              <w:pStyle w:val="TAN"/>
            </w:pPr>
            <w:r w:rsidRPr="000A0A5F">
              <w:t>NOTE:</w:t>
            </w:r>
            <w:r w:rsidRPr="000A0A5F">
              <w:tab/>
              <w:t>The mandatory HTTP error status codes for the DELETE method listed in table 5.2.6-1 also apply.</w:t>
            </w:r>
          </w:p>
        </w:tc>
      </w:tr>
    </w:tbl>
    <w:p w:rsidR="00CB0DD7" w:rsidRPr="000A0A5F" w:rsidRDefault="00CB0DD7"/>
    <w:p w:rsidR="00CB0DD7" w:rsidRPr="000A0A5F" w:rsidRDefault="002E466A">
      <w:pPr>
        <w:pStyle w:val="TH"/>
      </w:pPr>
      <w:r w:rsidRPr="000A0A5F">
        <w:t>Table </w:t>
      </w:r>
      <w:r w:rsidR="00CB0DD7" w:rsidRPr="000A0A5F">
        <w:t>5.13.3.3.3.5-3: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2E466A">
      <w:pPr>
        <w:pStyle w:val="TH"/>
      </w:pPr>
      <w:r w:rsidRPr="000A0A5F">
        <w:t>Table </w:t>
      </w:r>
      <w:r w:rsidR="00CB0DD7" w:rsidRPr="000A0A5F">
        <w:t>5.13.3.3.3.5-4: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CB0DD7">
      <w:pPr>
        <w:pStyle w:val="Heading4"/>
      </w:pPr>
      <w:bookmarkStart w:id="8927" w:name="_Toc11247863"/>
      <w:bookmarkStart w:id="8928" w:name="_Toc27045007"/>
      <w:bookmarkStart w:id="8929" w:name="_Toc36034049"/>
      <w:bookmarkStart w:id="8930" w:name="_Toc45132196"/>
      <w:bookmarkStart w:id="8931" w:name="_Toc49776481"/>
      <w:bookmarkStart w:id="8932" w:name="_Toc51747401"/>
      <w:bookmarkStart w:id="8933" w:name="_Toc66360977"/>
      <w:bookmarkStart w:id="8934" w:name="_Toc68105482"/>
      <w:bookmarkStart w:id="8935" w:name="_Toc74756112"/>
      <w:bookmarkStart w:id="8936" w:name="_Toc105674989"/>
      <w:bookmarkStart w:id="8937" w:name="_Toc130503057"/>
      <w:bookmarkStart w:id="8938" w:name="_Toc153625845"/>
      <w:r w:rsidRPr="000A0A5F">
        <w:t>5.13.3.4</w:t>
      </w:r>
      <w:r w:rsidRPr="000A0A5F">
        <w:tab/>
        <w:t>Void</w:t>
      </w:r>
      <w:bookmarkEnd w:id="8927"/>
      <w:bookmarkEnd w:id="8928"/>
      <w:bookmarkEnd w:id="8929"/>
      <w:bookmarkEnd w:id="8930"/>
      <w:bookmarkEnd w:id="8931"/>
      <w:bookmarkEnd w:id="8932"/>
      <w:bookmarkEnd w:id="8933"/>
      <w:bookmarkEnd w:id="8934"/>
      <w:bookmarkEnd w:id="8935"/>
      <w:bookmarkEnd w:id="8936"/>
      <w:bookmarkEnd w:id="8937"/>
      <w:bookmarkEnd w:id="8938"/>
    </w:p>
    <w:p w:rsidR="00CB0DD7" w:rsidRPr="000A0A5F" w:rsidRDefault="00CB0DD7">
      <w:pPr>
        <w:pStyle w:val="Heading3"/>
      </w:pPr>
      <w:bookmarkStart w:id="8939" w:name="_Toc66360978"/>
      <w:bookmarkStart w:id="8940" w:name="_Toc68105483"/>
      <w:bookmarkStart w:id="8941" w:name="_Toc74756113"/>
      <w:bookmarkStart w:id="8942" w:name="_Toc105674990"/>
      <w:bookmarkStart w:id="8943" w:name="_Toc130503058"/>
      <w:bookmarkStart w:id="8944" w:name="_Toc153625846"/>
      <w:r w:rsidRPr="000A0A5F">
        <w:t>5.13.</w:t>
      </w:r>
      <w:r w:rsidR="002C1CAD" w:rsidRPr="000A0A5F">
        <w:t>3A</w:t>
      </w:r>
      <w:r w:rsidRPr="000A0A5F">
        <w:tab/>
        <w:t>Notifications</w:t>
      </w:r>
      <w:bookmarkEnd w:id="8939"/>
      <w:bookmarkEnd w:id="8940"/>
      <w:bookmarkEnd w:id="8941"/>
      <w:bookmarkEnd w:id="8942"/>
      <w:bookmarkEnd w:id="8943"/>
      <w:bookmarkEnd w:id="8944"/>
    </w:p>
    <w:p w:rsidR="00CB0DD7" w:rsidRPr="000A0A5F" w:rsidRDefault="00CB0DD7">
      <w:pPr>
        <w:pStyle w:val="Heading4"/>
      </w:pPr>
      <w:bookmarkStart w:id="8945" w:name="_Toc66360979"/>
      <w:bookmarkStart w:id="8946" w:name="_Toc68105484"/>
      <w:bookmarkStart w:id="8947" w:name="_Toc74756114"/>
      <w:bookmarkStart w:id="8948" w:name="_Toc105674991"/>
      <w:bookmarkStart w:id="8949" w:name="_Toc130503059"/>
      <w:bookmarkStart w:id="8950" w:name="_Toc153625847"/>
      <w:r w:rsidRPr="000A0A5F">
        <w:t>5.13.</w:t>
      </w:r>
      <w:r w:rsidR="002C1CAD" w:rsidRPr="000A0A5F">
        <w:t>3A</w:t>
      </w:r>
      <w:r w:rsidRPr="000A0A5F">
        <w:t>.1</w:t>
      </w:r>
      <w:r w:rsidRPr="000A0A5F">
        <w:tab/>
        <w:t>General</w:t>
      </w:r>
      <w:bookmarkEnd w:id="8945"/>
      <w:bookmarkEnd w:id="8946"/>
      <w:bookmarkEnd w:id="8947"/>
      <w:bookmarkEnd w:id="8948"/>
      <w:bookmarkEnd w:id="8949"/>
      <w:bookmarkEnd w:id="8950"/>
    </w:p>
    <w:p w:rsidR="00CB0DD7" w:rsidRPr="000A0A5F" w:rsidRDefault="00CB0DD7">
      <w:r w:rsidRPr="000A0A5F">
        <w:t xml:space="preserve">The notifications provided by the </w:t>
      </w:r>
      <w:r w:rsidRPr="000A0A5F">
        <w:rPr>
          <w:noProof/>
          <w:lang w:eastAsia="zh-CN"/>
        </w:rPr>
        <w:t>Np</w:t>
      </w:r>
      <w:r w:rsidRPr="000A0A5F">
        <w:rPr>
          <w:rFonts w:hint="eastAsia"/>
          <w:noProof/>
          <w:lang w:eastAsia="zh-CN"/>
        </w:rPr>
        <w:t>Co</w:t>
      </w:r>
      <w:r w:rsidRPr="000A0A5F">
        <w:rPr>
          <w:noProof/>
          <w:lang w:eastAsia="zh-CN"/>
        </w:rPr>
        <w:t>nfiguration</w:t>
      </w:r>
      <w:r w:rsidRPr="000A0A5F">
        <w:t xml:space="preserve"> API are specified in this clause.</w:t>
      </w:r>
    </w:p>
    <w:p w:rsidR="00CB0DD7" w:rsidRPr="000A0A5F" w:rsidRDefault="002E466A">
      <w:pPr>
        <w:pStyle w:val="TH"/>
      </w:pPr>
      <w:r w:rsidRPr="000A0A5F">
        <w:t>Table </w:t>
      </w:r>
      <w:r w:rsidR="00CB0DD7" w:rsidRPr="000A0A5F">
        <w:t>5.13.</w:t>
      </w:r>
      <w:r w:rsidR="002C1CAD" w:rsidRPr="000A0A5F">
        <w:t>3A</w:t>
      </w:r>
      <w:r w:rsidR="00CB0DD7" w:rsidRPr="000A0A5F">
        <w:t>-1: Notifications overview</w:t>
      </w:r>
    </w:p>
    <w:tbl>
      <w:tblPr>
        <w:tblW w:w="4484"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1914"/>
        <w:gridCol w:w="3654"/>
        <w:gridCol w:w="1243"/>
        <w:gridCol w:w="1957"/>
      </w:tblGrid>
      <w:tr w:rsidR="00CB0DD7" w:rsidRPr="000A0A5F" w:rsidTr="00FF0AF8">
        <w:trPr>
          <w:jc w:val="center"/>
        </w:trPr>
        <w:tc>
          <w:tcPr>
            <w:tcW w:w="1091" w:type="pct"/>
            <w:shd w:val="clear" w:color="auto" w:fill="C0C0C0"/>
            <w:vAlign w:val="center"/>
            <w:hideMark/>
          </w:tcPr>
          <w:p w:rsidR="00CB0DD7" w:rsidRPr="000A0A5F" w:rsidRDefault="00CB0DD7">
            <w:pPr>
              <w:pStyle w:val="TAH"/>
            </w:pPr>
            <w:r w:rsidRPr="000A0A5F">
              <w:t>Notification</w:t>
            </w:r>
          </w:p>
        </w:tc>
        <w:tc>
          <w:tcPr>
            <w:tcW w:w="2083" w:type="pct"/>
            <w:shd w:val="clear" w:color="auto" w:fill="C0C0C0"/>
            <w:vAlign w:val="center"/>
            <w:hideMark/>
          </w:tcPr>
          <w:p w:rsidR="00CB0DD7" w:rsidRPr="000A0A5F" w:rsidRDefault="00CB0DD7">
            <w:pPr>
              <w:pStyle w:val="TAH"/>
            </w:pPr>
            <w:r w:rsidRPr="000A0A5F">
              <w:t>Callback URI</w:t>
            </w:r>
          </w:p>
        </w:tc>
        <w:tc>
          <w:tcPr>
            <w:tcW w:w="709" w:type="pct"/>
            <w:shd w:val="clear" w:color="auto" w:fill="C0C0C0"/>
            <w:vAlign w:val="center"/>
            <w:hideMark/>
          </w:tcPr>
          <w:p w:rsidR="00CB0DD7" w:rsidRPr="000A0A5F" w:rsidRDefault="00CB0DD7">
            <w:pPr>
              <w:pStyle w:val="TAH"/>
            </w:pPr>
            <w:r w:rsidRPr="000A0A5F">
              <w:t>HTTP method or custom operation</w:t>
            </w:r>
          </w:p>
        </w:tc>
        <w:tc>
          <w:tcPr>
            <w:tcW w:w="1116" w:type="pct"/>
            <w:shd w:val="clear" w:color="auto" w:fill="C0C0C0"/>
            <w:vAlign w:val="center"/>
            <w:hideMark/>
          </w:tcPr>
          <w:p w:rsidR="00CB0DD7" w:rsidRPr="000A0A5F" w:rsidRDefault="00CB0DD7">
            <w:pPr>
              <w:pStyle w:val="TAH"/>
            </w:pPr>
            <w:r w:rsidRPr="000A0A5F">
              <w:t>Description</w:t>
            </w:r>
          </w:p>
          <w:p w:rsidR="00CB0DD7" w:rsidRPr="000A0A5F" w:rsidRDefault="00CB0DD7">
            <w:pPr>
              <w:pStyle w:val="TAH"/>
            </w:pPr>
            <w:r w:rsidRPr="000A0A5F">
              <w:t>(service operation)</w:t>
            </w:r>
          </w:p>
        </w:tc>
      </w:tr>
      <w:tr w:rsidR="00CB0DD7" w:rsidRPr="000A0A5F" w:rsidTr="00FF0AF8">
        <w:trPr>
          <w:jc w:val="center"/>
        </w:trPr>
        <w:tc>
          <w:tcPr>
            <w:tcW w:w="1091" w:type="pct"/>
          </w:tcPr>
          <w:p w:rsidR="00CB0DD7" w:rsidRPr="000A0A5F" w:rsidRDefault="00CB0DD7">
            <w:pPr>
              <w:pStyle w:val="TAC"/>
              <w:jc w:val="left"/>
              <w:rPr>
                <w:lang w:val="en-US"/>
              </w:rPr>
            </w:pPr>
            <w:r w:rsidRPr="000A0A5F">
              <w:rPr>
                <w:rFonts w:eastAsia="MS Mincho"/>
                <w:lang w:eastAsia="ja-JP"/>
              </w:rPr>
              <w:t xml:space="preserve">Configuration </w:t>
            </w:r>
            <w:r w:rsidRPr="000A0A5F">
              <w:rPr>
                <w:rFonts w:eastAsia="MS Mincho" w:hint="eastAsia"/>
                <w:lang w:eastAsia="ja-JP"/>
              </w:rPr>
              <w:t>Notification</w:t>
            </w:r>
          </w:p>
        </w:tc>
        <w:tc>
          <w:tcPr>
            <w:tcW w:w="2083" w:type="pct"/>
          </w:tcPr>
          <w:p w:rsidR="00CB0DD7" w:rsidRPr="000A0A5F" w:rsidRDefault="00CB0DD7">
            <w:pPr>
              <w:pStyle w:val="TAL"/>
              <w:rPr>
                <w:lang w:val="en-US"/>
              </w:rPr>
            </w:pPr>
            <w:r w:rsidRPr="000A0A5F">
              <w:rPr>
                <w:rFonts w:hint="eastAsia"/>
                <w:lang w:eastAsia="zh-CN"/>
              </w:rPr>
              <w:t>{notificationDestination</w:t>
            </w:r>
            <w:r w:rsidRPr="000A0A5F">
              <w:rPr>
                <w:lang w:eastAsia="zh-CN"/>
              </w:rPr>
              <w:t>}</w:t>
            </w:r>
          </w:p>
        </w:tc>
        <w:tc>
          <w:tcPr>
            <w:tcW w:w="709" w:type="pct"/>
          </w:tcPr>
          <w:p w:rsidR="00CB0DD7" w:rsidRPr="000A0A5F" w:rsidRDefault="00CB0DD7">
            <w:pPr>
              <w:pStyle w:val="TAC"/>
              <w:rPr>
                <w:lang w:val="fr-FR"/>
              </w:rPr>
            </w:pPr>
            <w:r w:rsidRPr="000A0A5F">
              <w:rPr>
                <w:rFonts w:hint="eastAsia"/>
                <w:lang w:eastAsia="zh-CN"/>
              </w:rPr>
              <w:t>POST</w:t>
            </w:r>
          </w:p>
        </w:tc>
        <w:tc>
          <w:tcPr>
            <w:tcW w:w="1116" w:type="pct"/>
          </w:tcPr>
          <w:p w:rsidR="00CB0DD7" w:rsidRPr="000A0A5F" w:rsidRDefault="00CB0DD7">
            <w:pPr>
              <w:pStyle w:val="TAL"/>
              <w:rPr>
                <w:lang w:val="en-US"/>
              </w:rPr>
            </w:pPr>
            <w:r w:rsidRPr="000A0A5F">
              <w:rPr>
                <w:rFonts w:hint="eastAsia"/>
                <w:lang w:eastAsia="zh-CN"/>
              </w:rPr>
              <w:t xml:space="preserve">Report a </w:t>
            </w:r>
            <w:r w:rsidRPr="000A0A5F">
              <w:rPr>
                <w:lang w:eastAsia="zh-CN"/>
              </w:rPr>
              <w:t>grouping configuration result from the SCEF to the SCS/AS</w:t>
            </w:r>
          </w:p>
        </w:tc>
      </w:tr>
    </w:tbl>
    <w:p w:rsidR="00CB0DD7" w:rsidRPr="000A0A5F" w:rsidRDefault="00CB0DD7"/>
    <w:p w:rsidR="00CB0DD7" w:rsidRPr="000A0A5F" w:rsidRDefault="00CB0DD7">
      <w:pPr>
        <w:pStyle w:val="Heading4"/>
      </w:pPr>
      <w:bookmarkStart w:id="8951" w:name="_Toc66360980"/>
      <w:bookmarkStart w:id="8952" w:name="_Toc68105485"/>
      <w:bookmarkStart w:id="8953" w:name="_Toc74756115"/>
      <w:bookmarkStart w:id="8954" w:name="_Toc105674992"/>
      <w:bookmarkStart w:id="8955" w:name="_Toc130503060"/>
      <w:bookmarkStart w:id="8956" w:name="_Toc153625848"/>
      <w:r w:rsidRPr="000A0A5F">
        <w:t>5.13.</w:t>
      </w:r>
      <w:r w:rsidR="002C1CAD" w:rsidRPr="000A0A5F">
        <w:t>3A</w:t>
      </w:r>
      <w:r w:rsidRPr="000A0A5F">
        <w:t>.2</w:t>
      </w:r>
      <w:r w:rsidRPr="000A0A5F">
        <w:tab/>
        <w:t>Configuration Notification</w:t>
      </w:r>
      <w:bookmarkEnd w:id="8951"/>
      <w:bookmarkEnd w:id="8952"/>
      <w:bookmarkEnd w:id="8953"/>
      <w:bookmarkEnd w:id="8954"/>
      <w:bookmarkEnd w:id="8955"/>
      <w:bookmarkEnd w:id="8956"/>
    </w:p>
    <w:p w:rsidR="00CB0DD7" w:rsidRPr="000A0A5F" w:rsidRDefault="00CB0DD7">
      <w:pPr>
        <w:pStyle w:val="Heading5"/>
        <w:rPr>
          <w:noProof/>
        </w:rPr>
      </w:pPr>
      <w:bookmarkStart w:id="8957" w:name="_Toc66360981"/>
      <w:bookmarkStart w:id="8958" w:name="_Toc68105486"/>
      <w:bookmarkStart w:id="8959" w:name="_Toc74756116"/>
      <w:bookmarkStart w:id="8960" w:name="_Toc105674993"/>
      <w:bookmarkStart w:id="8961" w:name="_Toc130503061"/>
      <w:bookmarkStart w:id="8962" w:name="_Toc153625849"/>
      <w:r w:rsidRPr="000A0A5F">
        <w:t>5.13.</w:t>
      </w:r>
      <w:r w:rsidR="002C1CAD" w:rsidRPr="000A0A5F">
        <w:t>3A</w:t>
      </w:r>
      <w:r w:rsidRPr="000A0A5F">
        <w:t>.2</w:t>
      </w:r>
      <w:r w:rsidRPr="000A0A5F">
        <w:rPr>
          <w:noProof/>
        </w:rPr>
        <w:t>.1</w:t>
      </w:r>
      <w:r w:rsidRPr="000A0A5F">
        <w:rPr>
          <w:noProof/>
        </w:rPr>
        <w:tab/>
        <w:t>Description</w:t>
      </w:r>
      <w:bookmarkEnd w:id="8957"/>
      <w:bookmarkEnd w:id="8958"/>
      <w:bookmarkEnd w:id="8959"/>
      <w:bookmarkEnd w:id="8960"/>
      <w:bookmarkEnd w:id="8961"/>
      <w:bookmarkEnd w:id="8962"/>
    </w:p>
    <w:p w:rsidR="00CB0DD7" w:rsidRPr="000A0A5F" w:rsidRDefault="00CB0DD7">
      <w:pPr>
        <w:rPr>
          <w:noProof/>
          <w:lang w:eastAsia="zh-CN"/>
        </w:rPr>
      </w:pPr>
      <w:r w:rsidRPr="000A0A5F">
        <w:rPr>
          <w:noProof/>
          <w:lang w:eastAsia="zh-CN"/>
        </w:rPr>
        <w:t xml:space="preserve">The </w:t>
      </w:r>
      <w:r w:rsidRPr="000A0A5F">
        <w:t>Configuration Notification</w:t>
      </w:r>
      <w:r w:rsidRPr="000A0A5F">
        <w:rPr>
          <w:noProof/>
          <w:lang w:eastAsia="zh-CN"/>
        </w:rPr>
        <w:t xml:space="preserve"> allows t</w:t>
      </w:r>
      <w:r w:rsidRPr="000A0A5F">
        <w:rPr>
          <w:rFonts w:hint="eastAsia"/>
          <w:noProof/>
          <w:lang w:eastAsia="zh-CN"/>
        </w:rPr>
        <w:t xml:space="preserve">he </w:t>
      </w:r>
      <w:r w:rsidRPr="000A0A5F">
        <w:rPr>
          <w:noProof/>
          <w:lang w:eastAsia="zh-CN"/>
        </w:rPr>
        <w:t xml:space="preserve">SCEF to send notifications about </w:t>
      </w:r>
      <w:r w:rsidRPr="000A0A5F">
        <w:t>grouping configuration result to the SCS/AS</w:t>
      </w:r>
      <w:r w:rsidRPr="000A0A5F">
        <w:rPr>
          <w:noProof/>
          <w:lang w:eastAsia="zh-CN"/>
        </w:rPr>
        <w:t xml:space="preserve">. </w:t>
      </w:r>
    </w:p>
    <w:p w:rsidR="00CB0DD7" w:rsidRPr="000A0A5F" w:rsidRDefault="00CB0DD7">
      <w:pPr>
        <w:pStyle w:val="Heading5"/>
        <w:rPr>
          <w:noProof/>
        </w:rPr>
      </w:pPr>
      <w:bookmarkStart w:id="8963" w:name="_Toc66360982"/>
      <w:bookmarkStart w:id="8964" w:name="_Toc68105487"/>
      <w:bookmarkStart w:id="8965" w:name="_Toc74756117"/>
      <w:bookmarkStart w:id="8966" w:name="_Toc105674994"/>
      <w:bookmarkStart w:id="8967" w:name="_Toc130503062"/>
      <w:bookmarkStart w:id="8968" w:name="_Toc153625850"/>
      <w:r w:rsidRPr="000A0A5F">
        <w:t>5.13.</w:t>
      </w:r>
      <w:r w:rsidR="002C1CAD" w:rsidRPr="000A0A5F">
        <w:t>3A</w:t>
      </w:r>
      <w:r w:rsidRPr="000A0A5F">
        <w:t>.2</w:t>
      </w:r>
      <w:r w:rsidRPr="000A0A5F">
        <w:rPr>
          <w:noProof/>
        </w:rPr>
        <w:t>.2</w:t>
      </w:r>
      <w:r w:rsidRPr="000A0A5F">
        <w:rPr>
          <w:noProof/>
        </w:rPr>
        <w:tab/>
        <w:t>Target URI</w:t>
      </w:r>
      <w:bookmarkEnd w:id="8963"/>
      <w:bookmarkEnd w:id="8964"/>
      <w:bookmarkEnd w:id="8965"/>
      <w:bookmarkEnd w:id="8966"/>
      <w:bookmarkEnd w:id="8967"/>
      <w:bookmarkEnd w:id="8968"/>
    </w:p>
    <w:p w:rsidR="00CB0DD7" w:rsidRPr="000A0A5F" w:rsidRDefault="00CB0DD7">
      <w:pPr>
        <w:rPr>
          <w:rFonts w:ascii="Arial" w:hAnsi="Arial" w:cs="Arial"/>
          <w:noProof/>
        </w:rPr>
      </w:pPr>
      <w:r w:rsidRPr="000A0A5F">
        <w:rPr>
          <w:noProof/>
        </w:rPr>
        <w:t xml:space="preserve">The Callback URI </w:t>
      </w:r>
      <w:r w:rsidRPr="000A0A5F">
        <w:rPr>
          <w:b/>
          <w:noProof/>
        </w:rPr>
        <w:t>"{</w:t>
      </w:r>
      <w:r w:rsidRPr="000A0A5F">
        <w:rPr>
          <w:rFonts w:hint="eastAsia"/>
          <w:lang w:eastAsia="zh-CN"/>
        </w:rPr>
        <w:t>notificationDestination</w:t>
      </w:r>
      <w:r w:rsidRPr="000A0A5F">
        <w:rPr>
          <w:b/>
          <w:noProof/>
        </w:rPr>
        <w:t>}"</w:t>
      </w:r>
      <w:r w:rsidRPr="000A0A5F">
        <w:rPr>
          <w:noProof/>
        </w:rPr>
        <w:t xml:space="preserve"> shall be used with the callback URI variables defined in table </w:t>
      </w:r>
      <w:r w:rsidRPr="000A0A5F">
        <w:t>5.13.3a.2</w:t>
      </w:r>
      <w:r w:rsidRPr="000A0A5F">
        <w:rPr>
          <w:noProof/>
        </w:rPr>
        <w:t>.2-1</w:t>
      </w:r>
      <w:r w:rsidRPr="000A0A5F">
        <w:rPr>
          <w:rFonts w:ascii="Arial" w:hAnsi="Arial" w:cs="Arial"/>
          <w:noProof/>
        </w:rPr>
        <w:t>.</w:t>
      </w:r>
    </w:p>
    <w:p w:rsidR="00CB0DD7" w:rsidRPr="000A0A5F" w:rsidRDefault="00CB0DD7">
      <w:pPr>
        <w:pStyle w:val="TH"/>
        <w:rPr>
          <w:rFonts w:cs="Arial"/>
          <w:noProof/>
        </w:rPr>
      </w:pPr>
      <w:r w:rsidRPr="000A0A5F">
        <w:rPr>
          <w:noProof/>
        </w:rPr>
        <w:t>Table </w:t>
      </w:r>
      <w:r w:rsidRPr="000A0A5F">
        <w:t>5.13.</w:t>
      </w:r>
      <w:r w:rsidR="002C1CAD" w:rsidRPr="000A0A5F">
        <w:t>3A</w:t>
      </w:r>
      <w:r w:rsidRPr="000A0A5F">
        <w:t>.2</w:t>
      </w:r>
      <w:r w:rsidRPr="000A0A5F">
        <w:rPr>
          <w:noProof/>
        </w:rPr>
        <w:t>.2-1: Callback URI variables</w:t>
      </w:r>
    </w:p>
    <w:tbl>
      <w:tblPr>
        <w:tblW w:w="494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970"/>
        <w:gridCol w:w="1312"/>
        <w:gridCol w:w="6378"/>
      </w:tblGrid>
      <w:tr w:rsidR="00CB0DD7" w:rsidRPr="000A0A5F" w:rsidTr="00FF0AF8">
        <w:trPr>
          <w:jc w:val="center"/>
        </w:trPr>
        <w:tc>
          <w:tcPr>
            <w:tcW w:w="1020" w:type="pct"/>
            <w:shd w:val="clear" w:color="000000" w:fill="C0C0C0"/>
          </w:tcPr>
          <w:p w:rsidR="00CB0DD7" w:rsidRPr="000A0A5F" w:rsidRDefault="00CB0DD7">
            <w:pPr>
              <w:pStyle w:val="TAH"/>
            </w:pPr>
            <w:r w:rsidRPr="000A0A5F">
              <w:t>Name</w:t>
            </w:r>
          </w:p>
        </w:tc>
        <w:tc>
          <w:tcPr>
            <w:tcW w:w="679" w:type="pct"/>
            <w:shd w:val="clear" w:color="000000" w:fill="C0C0C0"/>
          </w:tcPr>
          <w:p w:rsidR="00CB0DD7" w:rsidRPr="000A0A5F" w:rsidRDefault="00CB0DD7">
            <w:pPr>
              <w:pStyle w:val="TAH"/>
            </w:pPr>
            <w:r w:rsidRPr="000A0A5F">
              <w:rPr>
                <w:rFonts w:hint="eastAsia"/>
                <w:lang w:eastAsia="zh-CN"/>
              </w:rPr>
              <w:t>D</w:t>
            </w:r>
            <w:r w:rsidRPr="000A0A5F">
              <w:rPr>
                <w:lang w:eastAsia="zh-CN"/>
              </w:rPr>
              <w:t>ata type</w:t>
            </w:r>
          </w:p>
        </w:tc>
        <w:tc>
          <w:tcPr>
            <w:tcW w:w="3301" w:type="pct"/>
            <w:shd w:val="clear" w:color="000000" w:fill="C0C0C0"/>
            <w:vAlign w:val="center"/>
          </w:tcPr>
          <w:p w:rsidR="00CB0DD7" w:rsidRPr="000A0A5F" w:rsidRDefault="00CB0DD7">
            <w:pPr>
              <w:pStyle w:val="TAH"/>
            </w:pPr>
            <w:r w:rsidRPr="000A0A5F">
              <w:t>Definition</w:t>
            </w:r>
          </w:p>
        </w:tc>
      </w:tr>
      <w:tr w:rsidR="00CB0DD7" w:rsidRPr="000A0A5F" w:rsidTr="00FF0AF8">
        <w:trPr>
          <w:jc w:val="center"/>
        </w:trPr>
        <w:tc>
          <w:tcPr>
            <w:tcW w:w="1020" w:type="pct"/>
            <w:shd w:val="clear" w:color="auto" w:fill="auto"/>
          </w:tcPr>
          <w:p w:rsidR="00CB0DD7" w:rsidRPr="000A0A5F" w:rsidRDefault="00CB0DD7">
            <w:pPr>
              <w:pStyle w:val="TAL"/>
              <w:rPr>
                <w:lang w:eastAsia="zh-CN"/>
              </w:rPr>
            </w:pPr>
            <w:r w:rsidRPr="000A0A5F">
              <w:rPr>
                <w:rFonts w:hint="eastAsia"/>
                <w:lang w:eastAsia="zh-CN"/>
              </w:rPr>
              <w:t>notificationDestination</w:t>
            </w:r>
          </w:p>
        </w:tc>
        <w:tc>
          <w:tcPr>
            <w:tcW w:w="679" w:type="pct"/>
          </w:tcPr>
          <w:p w:rsidR="00CB0DD7" w:rsidRPr="000A0A5F" w:rsidRDefault="00CB0DD7">
            <w:pPr>
              <w:pStyle w:val="TAL"/>
            </w:pPr>
            <w:r w:rsidRPr="000A0A5F">
              <w:rPr>
                <w:rFonts w:hint="eastAsia"/>
                <w:lang w:eastAsia="zh-CN"/>
              </w:rPr>
              <w:t>L</w:t>
            </w:r>
            <w:r w:rsidRPr="000A0A5F">
              <w:rPr>
                <w:lang w:eastAsia="zh-CN"/>
              </w:rPr>
              <w:t>ink</w:t>
            </w:r>
          </w:p>
        </w:tc>
        <w:tc>
          <w:tcPr>
            <w:tcW w:w="3301" w:type="pct"/>
            <w:shd w:val="clear" w:color="auto" w:fill="auto"/>
            <w:vAlign w:val="center"/>
          </w:tcPr>
          <w:p w:rsidR="00CB0DD7" w:rsidRPr="000A0A5F" w:rsidRDefault="00CB0DD7">
            <w:pPr>
              <w:pStyle w:val="TAL"/>
            </w:pPr>
            <w:r w:rsidRPr="000A0A5F">
              <w:t>Callback reference provided by the SCS/AS during creation or modification of the NP configuration subscription.</w:t>
            </w:r>
          </w:p>
        </w:tc>
      </w:tr>
    </w:tbl>
    <w:p w:rsidR="00CB0DD7" w:rsidRPr="000A0A5F" w:rsidRDefault="00CB0DD7"/>
    <w:p w:rsidR="00CB0DD7" w:rsidRPr="000A0A5F" w:rsidRDefault="00CB0DD7">
      <w:pPr>
        <w:pStyle w:val="Heading5"/>
        <w:rPr>
          <w:noProof/>
        </w:rPr>
      </w:pPr>
      <w:bookmarkStart w:id="8969" w:name="_Toc66360983"/>
      <w:bookmarkStart w:id="8970" w:name="_Toc68105488"/>
      <w:bookmarkStart w:id="8971" w:name="_Toc74756118"/>
      <w:bookmarkStart w:id="8972" w:name="_Toc105674995"/>
      <w:bookmarkStart w:id="8973" w:name="_Toc130503063"/>
      <w:bookmarkStart w:id="8974" w:name="_Toc153625851"/>
      <w:r w:rsidRPr="000A0A5F">
        <w:t>5.13.</w:t>
      </w:r>
      <w:r w:rsidR="002C1CAD" w:rsidRPr="000A0A5F">
        <w:t>3A</w:t>
      </w:r>
      <w:r w:rsidRPr="000A0A5F">
        <w:t>.2</w:t>
      </w:r>
      <w:r w:rsidRPr="000A0A5F">
        <w:rPr>
          <w:noProof/>
        </w:rPr>
        <w:t>.3</w:t>
      </w:r>
      <w:r w:rsidRPr="000A0A5F">
        <w:rPr>
          <w:noProof/>
        </w:rPr>
        <w:tab/>
        <w:t>Standard Methods</w:t>
      </w:r>
      <w:bookmarkEnd w:id="8969"/>
      <w:bookmarkEnd w:id="8970"/>
      <w:bookmarkEnd w:id="8971"/>
      <w:bookmarkEnd w:id="8972"/>
      <w:bookmarkEnd w:id="8973"/>
      <w:bookmarkEnd w:id="8974"/>
    </w:p>
    <w:p w:rsidR="00CB0DD7" w:rsidRPr="000A0A5F" w:rsidRDefault="00CB0DD7">
      <w:pPr>
        <w:pStyle w:val="Heading6"/>
        <w:rPr>
          <w:noProof/>
        </w:rPr>
      </w:pPr>
      <w:bookmarkStart w:id="8975" w:name="_Toc66360984"/>
      <w:bookmarkStart w:id="8976" w:name="_Toc68105489"/>
      <w:bookmarkStart w:id="8977" w:name="_Toc74756119"/>
      <w:bookmarkStart w:id="8978" w:name="_Toc105674996"/>
      <w:bookmarkStart w:id="8979" w:name="_Toc130503064"/>
      <w:bookmarkStart w:id="8980" w:name="_Toc153625852"/>
      <w:r w:rsidRPr="000A0A5F">
        <w:t>5.13.</w:t>
      </w:r>
      <w:r w:rsidR="002C1CAD" w:rsidRPr="000A0A5F">
        <w:t>3A</w:t>
      </w:r>
      <w:r w:rsidRPr="000A0A5F">
        <w:t>.2.3</w:t>
      </w:r>
      <w:r w:rsidRPr="000A0A5F">
        <w:rPr>
          <w:noProof/>
        </w:rPr>
        <w:t>.1</w:t>
      </w:r>
      <w:r w:rsidRPr="000A0A5F">
        <w:rPr>
          <w:noProof/>
        </w:rPr>
        <w:tab/>
      </w:r>
      <w:r w:rsidRPr="000A0A5F">
        <w:t>Notification via POST</w:t>
      </w:r>
      <w:bookmarkEnd w:id="8975"/>
      <w:bookmarkEnd w:id="8976"/>
      <w:bookmarkEnd w:id="8977"/>
      <w:bookmarkEnd w:id="8978"/>
      <w:bookmarkEnd w:id="8979"/>
      <w:bookmarkEnd w:id="8980"/>
    </w:p>
    <w:p w:rsidR="00CB0DD7" w:rsidRPr="000A0A5F" w:rsidRDefault="00CB0DD7">
      <w:pPr>
        <w:rPr>
          <w:noProof/>
          <w:lang w:eastAsia="zh-CN"/>
        </w:rPr>
      </w:pPr>
      <w:r w:rsidRPr="000A0A5F">
        <w:rPr>
          <w:noProof/>
          <w:lang w:eastAsia="zh-CN"/>
        </w:rPr>
        <w:t>The HTTP POST method reports the grouping configuration results for a NP configuration subscription. The SCEF shall initiate the HTTP POST request message and the SCS/AS shall respond to the message.</w:t>
      </w:r>
    </w:p>
    <w:p w:rsidR="00CB0DD7" w:rsidRPr="000A0A5F" w:rsidRDefault="00CB0DD7">
      <w:pPr>
        <w:rPr>
          <w:noProof/>
        </w:rPr>
      </w:pPr>
      <w:r w:rsidRPr="000A0A5F">
        <w:rPr>
          <w:noProof/>
        </w:rPr>
        <w:t>This method shall support the request data structures specified in table </w:t>
      </w:r>
      <w:r w:rsidRPr="000A0A5F">
        <w:t>5.13.</w:t>
      </w:r>
      <w:r w:rsidR="002C1CAD" w:rsidRPr="000A0A5F">
        <w:t>3A</w:t>
      </w:r>
      <w:r w:rsidRPr="000A0A5F">
        <w:t>.2</w:t>
      </w:r>
      <w:r w:rsidRPr="000A0A5F">
        <w:rPr>
          <w:noProof/>
        </w:rPr>
        <w:t>.3.1-1 and the response data structures and response codes specified in table </w:t>
      </w:r>
      <w:r w:rsidRPr="000A0A5F">
        <w:t>5.13.</w:t>
      </w:r>
      <w:r w:rsidR="002C1CAD" w:rsidRPr="000A0A5F">
        <w:t>3A</w:t>
      </w:r>
      <w:r w:rsidRPr="000A0A5F">
        <w:t>.2</w:t>
      </w:r>
      <w:r w:rsidRPr="000A0A5F">
        <w:rPr>
          <w:noProof/>
        </w:rPr>
        <w:t>.3.1-2.</w:t>
      </w:r>
    </w:p>
    <w:p w:rsidR="00CB0DD7" w:rsidRPr="000A0A5F" w:rsidRDefault="00CB0DD7">
      <w:pPr>
        <w:pStyle w:val="TH"/>
        <w:rPr>
          <w:noProof/>
        </w:rPr>
      </w:pPr>
      <w:r w:rsidRPr="000A0A5F">
        <w:rPr>
          <w:noProof/>
        </w:rPr>
        <w:t>Table </w:t>
      </w:r>
      <w:r w:rsidRPr="000A0A5F">
        <w:t>5.13.</w:t>
      </w:r>
      <w:r w:rsidR="002C1CAD" w:rsidRPr="000A0A5F">
        <w:t>3A</w:t>
      </w:r>
      <w:r w:rsidRPr="000A0A5F">
        <w:t>.2</w:t>
      </w:r>
      <w:r w:rsidRPr="000A0A5F">
        <w:rPr>
          <w:noProof/>
        </w:rPr>
        <w:t>.3.1-1: Data structures supported by the POST Request Body</w:t>
      </w:r>
    </w:p>
    <w:tbl>
      <w:tblPr>
        <w:tblW w:w="9670" w:type="dxa"/>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3340"/>
        <w:gridCol w:w="1170"/>
        <w:gridCol w:w="5160"/>
      </w:tblGrid>
      <w:tr w:rsidR="00CB0DD7" w:rsidRPr="000A0A5F" w:rsidTr="00846044">
        <w:trPr>
          <w:jc w:val="center"/>
        </w:trPr>
        <w:tc>
          <w:tcPr>
            <w:tcW w:w="3340" w:type="dxa"/>
            <w:tcBorders>
              <w:bottom w:val="single" w:sz="6" w:space="0" w:color="auto"/>
            </w:tcBorders>
            <w:shd w:val="clear" w:color="auto" w:fill="C0C0C0"/>
            <w:hideMark/>
          </w:tcPr>
          <w:p w:rsidR="00CB0DD7" w:rsidRPr="000A0A5F" w:rsidRDefault="00CB0DD7">
            <w:pPr>
              <w:pStyle w:val="TAH"/>
              <w:rPr>
                <w:noProof/>
              </w:rPr>
            </w:pPr>
            <w:r w:rsidRPr="000A0A5F">
              <w:rPr>
                <w:noProof/>
              </w:rPr>
              <w:t>Data type</w:t>
            </w:r>
          </w:p>
        </w:tc>
        <w:tc>
          <w:tcPr>
            <w:tcW w:w="1170" w:type="dxa"/>
            <w:tcBorders>
              <w:bottom w:val="single" w:sz="6" w:space="0" w:color="auto"/>
            </w:tcBorders>
            <w:shd w:val="clear" w:color="auto" w:fill="C0C0C0"/>
            <w:hideMark/>
          </w:tcPr>
          <w:p w:rsidR="00CB0DD7" w:rsidRPr="000A0A5F" w:rsidRDefault="00CB0DD7">
            <w:pPr>
              <w:pStyle w:val="TAH"/>
              <w:rPr>
                <w:noProof/>
              </w:rPr>
            </w:pPr>
            <w:r w:rsidRPr="000A0A5F">
              <w:rPr>
                <w:noProof/>
              </w:rPr>
              <w:t>Cardinality</w:t>
            </w:r>
          </w:p>
        </w:tc>
        <w:tc>
          <w:tcPr>
            <w:tcW w:w="5160" w:type="dxa"/>
            <w:tcBorders>
              <w:bottom w:val="single" w:sz="6" w:space="0" w:color="auto"/>
            </w:tcBorders>
            <w:shd w:val="clear" w:color="auto" w:fill="C0C0C0"/>
            <w:vAlign w:val="center"/>
            <w:hideMark/>
          </w:tcPr>
          <w:p w:rsidR="00CB0DD7" w:rsidRPr="000A0A5F" w:rsidRDefault="00CB0DD7">
            <w:pPr>
              <w:pStyle w:val="TAH"/>
              <w:rPr>
                <w:noProof/>
              </w:rPr>
            </w:pPr>
            <w:r w:rsidRPr="000A0A5F">
              <w:rPr>
                <w:noProof/>
              </w:rPr>
              <w:t>Description</w:t>
            </w:r>
          </w:p>
        </w:tc>
      </w:tr>
      <w:tr w:rsidR="00CB0DD7" w:rsidRPr="000A0A5F" w:rsidTr="00846044">
        <w:trPr>
          <w:jc w:val="center"/>
        </w:trPr>
        <w:tc>
          <w:tcPr>
            <w:tcW w:w="3340" w:type="dxa"/>
            <w:tcBorders>
              <w:top w:val="single" w:sz="6" w:space="0" w:color="auto"/>
            </w:tcBorders>
          </w:tcPr>
          <w:p w:rsidR="00CB0DD7" w:rsidRPr="000A0A5F" w:rsidRDefault="00CB0DD7">
            <w:pPr>
              <w:pStyle w:val="TAL"/>
              <w:rPr>
                <w:noProof/>
              </w:rPr>
            </w:pPr>
            <w:r w:rsidRPr="000A0A5F">
              <w:rPr>
                <w:rFonts w:hint="eastAsia"/>
                <w:lang w:eastAsia="zh-CN"/>
              </w:rPr>
              <w:t>Config</w:t>
            </w:r>
            <w:r w:rsidRPr="000A0A5F">
              <w:rPr>
                <w:lang w:eastAsia="zh-CN"/>
              </w:rPr>
              <w:t>u</w:t>
            </w:r>
            <w:r w:rsidR="006161B9" w:rsidRPr="000A0A5F">
              <w:rPr>
                <w:lang w:eastAsia="zh-CN"/>
              </w:rPr>
              <w:t>r</w:t>
            </w:r>
            <w:r w:rsidRPr="000A0A5F">
              <w:rPr>
                <w:lang w:eastAsia="zh-CN"/>
              </w:rPr>
              <w:t>ation</w:t>
            </w:r>
            <w:r w:rsidRPr="000A0A5F">
              <w:rPr>
                <w:rFonts w:hint="eastAsia"/>
                <w:lang w:eastAsia="zh-CN"/>
              </w:rPr>
              <w:t>Notification</w:t>
            </w:r>
          </w:p>
        </w:tc>
        <w:tc>
          <w:tcPr>
            <w:tcW w:w="1170" w:type="dxa"/>
            <w:tcBorders>
              <w:top w:val="single" w:sz="6" w:space="0" w:color="auto"/>
            </w:tcBorders>
          </w:tcPr>
          <w:p w:rsidR="00CB0DD7" w:rsidRPr="000A0A5F" w:rsidRDefault="00CB0DD7">
            <w:pPr>
              <w:pStyle w:val="TAC"/>
              <w:rPr>
                <w:noProof/>
                <w:lang w:eastAsia="zh-CN"/>
              </w:rPr>
            </w:pPr>
            <w:r w:rsidRPr="000A0A5F">
              <w:rPr>
                <w:rFonts w:hint="eastAsia"/>
                <w:lang w:eastAsia="zh-CN"/>
              </w:rPr>
              <w:t>1</w:t>
            </w:r>
          </w:p>
        </w:tc>
        <w:tc>
          <w:tcPr>
            <w:tcW w:w="5160" w:type="dxa"/>
            <w:tcBorders>
              <w:top w:val="single" w:sz="6" w:space="0" w:color="auto"/>
            </w:tcBorders>
          </w:tcPr>
          <w:p w:rsidR="00CB0DD7" w:rsidRPr="000A0A5F" w:rsidRDefault="00CB0DD7">
            <w:pPr>
              <w:pStyle w:val="TAL"/>
              <w:rPr>
                <w:noProof/>
              </w:rPr>
            </w:pPr>
            <w:r w:rsidRPr="000A0A5F">
              <w:rPr>
                <w:lang w:eastAsia="zh-CN"/>
              </w:rPr>
              <w:t>T</w:t>
            </w:r>
            <w:r w:rsidRPr="000A0A5F">
              <w:rPr>
                <w:rFonts w:hint="eastAsia"/>
                <w:lang w:eastAsia="zh-CN"/>
              </w:rPr>
              <w:t xml:space="preserve">he </w:t>
            </w:r>
            <w:r w:rsidRPr="000A0A5F">
              <w:rPr>
                <w:lang w:eastAsia="zh-CN"/>
              </w:rPr>
              <w:t xml:space="preserve">grouping configuration result </w:t>
            </w:r>
            <w:r w:rsidRPr="000A0A5F">
              <w:rPr>
                <w:rFonts w:hint="eastAsia"/>
                <w:lang w:eastAsia="zh-CN"/>
              </w:rPr>
              <w:t>notification provided by the SCEF</w:t>
            </w:r>
            <w:r w:rsidRPr="000A0A5F">
              <w:rPr>
                <w:lang w:eastAsia="zh-CN"/>
              </w:rPr>
              <w:t>.</w:t>
            </w:r>
          </w:p>
        </w:tc>
      </w:tr>
    </w:tbl>
    <w:p w:rsidR="00CB0DD7" w:rsidRPr="000A0A5F" w:rsidRDefault="00CB0DD7">
      <w:pPr>
        <w:rPr>
          <w:noProof/>
        </w:rPr>
      </w:pPr>
    </w:p>
    <w:p w:rsidR="00CB0DD7" w:rsidRPr="000A0A5F" w:rsidRDefault="00CB0DD7">
      <w:pPr>
        <w:pStyle w:val="TH"/>
        <w:rPr>
          <w:noProof/>
        </w:rPr>
      </w:pPr>
      <w:r w:rsidRPr="000A0A5F">
        <w:rPr>
          <w:noProof/>
        </w:rPr>
        <w:t>Table </w:t>
      </w:r>
      <w:r w:rsidRPr="000A0A5F">
        <w:t>5.13.</w:t>
      </w:r>
      <w:r w:rsidR="002C1CAD" w:rsidRPr="000A0A5F">
        <w:t>3A</w:t>
      </w:r>
      <w:r w:rsidRPr="000A0A5F">
        <w:t>.2</w:t>
      </w:r>
      <w:r w:rsidRPr="000A0A5F">
        <w:rPr>
          <w:noProof/>
        </w:rPr>
        <w:t>.3.1-2: Data structures supported by the POST Response Body</w:t>
      </w:r>
    </w:p>
    <w:tbl>
      <w:tblPr>
        <w:tblW w:w="961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293"/>
        <w:gridCol w:w="1259"/>
        <w:gridCol w:w="1441"/>
        <w:gridCol w:w="4619"/>
      </w:tblGrid>
      <w:tr w:rsidR="00CB0DD7" w:rsidRPr="000A0A5F" w:rsidTr="00FF0AF8">
        <w:trPr>
          <w:jc w:val="center"/>
        </w:trPr>
        <w:tc>
          <w:tcPr>
            <w:tcW w:w="2293" w:type="dxa"/>
            <w:shd w:val="clear" w:color="auto" w:fill="C0C0C0"/>
            <w:hideMark/>
          </w:tcPr>
          <w:p w:rsidR="00CB0DD7" w:rsidRPr="000A0A5F" w:rsidRDefault="00CB0DD7">
            <w:pPr>
              <w:pStyle w:val="TAH"/>
              <w:rPr>
                <w:noProof/>
              </w:rPr>
            </w:pPr>
            <w:r w:rsidRPr="000A0A5F">
              <w:rPr>
                <w:noProof/>
              </w:rPr>
              <w:t>Data type</w:t>
            </w:r>
          </w:p>
        </w:tc>
        <w:tc>
          <w:tcPr>
            <w:tcW w:w="1259" w:type="dxa"/>
            <w:shd w:val="clear" w:color="auto" w:fill="C0C0C0"/>
            <w:hideMark/>
          </w:tcPr>
          <w:p w:rsidR="00CB0DD7" w:rsidRPr="000A0A5F" w:rsidRDefault="00CB0DD7">
            <w:pPr>
              <w:pStyle w:val="TAH"/>
              <w:rPr>
                <w:noProof/>
              </w:rPr>
            </w:pPr>
            <w:r w:rsidRPr="000A0A5F">
              <w:rPr>
                <w:noProof/>
              </w:rPr>
              <w:t>Cardinality</w:t>
            </w:r>
          </w:p>
        </w:tc>
        <w:tc>
          <w:tcPr>
            <w:tcW w:w="1441" w:type="dxa"/>
            <w:shd w:val="clear" w:color="auto" w:fill="C0C0C0"/>
            <w:hideMark/>
          </w:tcPr>
          <w:p w:rsidR="00CB0DD7" w:rsidRPr="000A0A5F" w:rsidRDefault="00CB0DD7">
            <w:pPr>
              <w:pStyle w:val="TAH"/>
              <w:rPr>
                <w:noProof/>
              </w:rPr>
            </w:pPr>
            <w:r w:rsidRPr="000A0A5F">
              <w:rPr>
                <w:noProof/>
              </w:rPr>
              <w:t>Response codes</w:t>
            </w:r>
          </w:p>
        </w:tc>
        <w:tc>
          <w:tcPr>
            <w:tcW w:w="4619" w:type="dxa"/>
            <w:shd w:val="clear" w:color="auto" w:fill="C0C0C0"/>
            <w:hideMark/>
          </w:tcPr>
          <w:p w:rsidR="00CB0DD7" w:rsidRPr="000A0A5F" w:rsidRDefault="00CB0DD7">
            <w:pPr>
              <w:pStyle w:val="TAH"/>
              <w:rPr>
                <w:noProof/>
              </w:rPr>
            </w:pPr>
            <w:r w:rsidRPr="000A0A5F">
              <w:rPr>
                <w:noProof/>
              </w:rPr>
              <w:t>Description</w:t>
            </w:r>
          </w:p>
        </w:tc>
      </w:tr>
      <w:tr w:rsidR="00CB0DD7" w:rsidRPr="000A0A5F" w:rsidTr="00FF0AF8">
        <w:trPr>
          <w:jc w:val="center"/>
        </w:trPr>
        <w:tc>
          <w:tcPr>
            <w:tcW w:w="2293" w:type="dxa"/>
          </w:tcPr>
          <w:p w:rsidR="00CB0DD7" w:rsidRPr="000A0A5F" w:rsidRDefault="00CB0DD7">
            <w:pPr>
              <w:pStyle w:val="TAL"/>
              <w:rPr>
                <w:noProof/>
              </w:rPr>
            </w:pPr>
            <w:r w:rsidRPr="000A0A5F">
              <w:t>none</w:t>
            </w:r>
          </w:p>
        </w:tc>
        <w:tc>
          <w:tcPr>
            <w:tcW w:w="1259" w:type="dxa"/>
          </w:tcPr>
          <w:p w:rsidR="00CB0DD7" w:rsidRPr="000A0A5F" w:rsidRDefault="00CB0DD7">
            <w:pPr>
              <w:pStyle w:val="TAC"/>
              <w:rPr>
                <w:noProof/>
              </w:rPr>
            </w:pPr>
          </w:p>
        </w:tc>
        <w:tc>
          <w:tcPr>
            <w:tcW w:w="1441" w:type="dxa"/>
          </w:tcPr>
          <w:p w:rsidR="00CB0DD7" w:rsidRPr="000A0A5F" w:rsidRDefault="00CB0DD7">
            <w:pPr>
              <w:pStyle w:val="TAL"/>
              <w:rPr>
                <w:noProof/>
              </w:rPr>
            </w:pPr>
            <w:r w:rsidRPr="000A0A5F">
              <w:t>204 No Content</w:t>
            </w:r>
          </w:p>
        </w:tc>
        <w:tc>
          <w:tcPr>
            <w:tcW w:w="4619" w:type="dxa"/>
          </w:tcPr>
          <w:p w:rsidR="00CB0DD7" w:rsidRPr="000A0A5F" w:rsidRDefault="00CB0DD7">
            <w:pPr>
              <w:pStyle w:val="TAL"/>
              <w:rPr>
                <w:noProof/>
              </w:rPr>
            </w:pPr>
            <w:r w:rsidRPr="000A0A5F">
              <w:t>The notification is received successfully.</w:t>
            </w:r>
          </w:p>
        </w:tc>
      </w:tr>
      <w:tr w:rsidR="00CB0DD7" w:rsidRPr="000A0A5F" w:rsidTr="00FF0AF8">
        <w:trPr>
          <w:jc w:val="center"/>
        </w:trPr>
        <w:tc>
          <w:tcPr>
            <w:tcW w:w="2293" w:type="dxa"/>
          </w:tcPr>
          <w:p w:rsidR="00CB0DD7" w:rsidRPr="000A0A5F" w:rsidRDefault="00CB0DD7">
            <w:pPr>
              <w:pStyle w:val="TAL"/>
            </w:pPr>
            <w:r w:rsidRPr="000A0A5F">
              <w:t>none</w:t>
            </w:r>
          </w:p>
        </w:tc>
        <w:tc>
          <w:tcPr>
            <w:tcW w:w="1259" w:type="dxa"/>
          </w:tcPr>
          <w:p w:rsidR="00CB0DD7" w:rsidRPr="000A0A5F" w:rsidRDefault="00CB0DD7">
            <w:pPr>
              <w:pStyle w:val="TAC"/>
              <w:rPr>
                <w:noProof/>
              </w:rPr>
            </w:pPr>
          </w:p>
        </w:tc>
        <w:tc>
          <w:tcPr>
            <w:tcW w:w="1441" w:type="dxa"/>
          </w:tcPr>
          <w:p w:rsidR="00CB0DD7" w:rsidRPr="000A0A5F" w:rsidRDefault="00CB0DD7">
            <w:pPr>
              <w:pStyle w:val="TAL"/>
            </w:pPr>
            <w:r w:rsidRPr="000A0A5F">
              <w:t>307 Temporary Redirect</w:t>
            </w:r>
          </w:p>
        </w:tc>
        <w:tc>
          <w:tcPr>
            <w:tcW w:w="4619" w:type="dxa"/>
          </w:tcPr>
          <w:p w:rsidR="00CB0DD7" w:rsidRPr="000A0A5F" w:rsidRDefault="00CB0DD7">
            <w:pPr>
              <w:pStyle w:val="TAL"/>
            </w:pPr>
            <w:r w:rsidRPr="000A0A5F">
              <w:t>Temporary redirection, during notification. The response shall include a Location header field containing an alternative URI representing the end point of an alternative SCS/AS where the notification should be sent.</w:t>
            </w:r>
          </w:p>
          <w:p w:rsidR="00CB0DD7" w:rsidRPr="000A0A5F" w:rsidRDefault="00CB0DD7">
            <w:pPr>
              <w:pStyle w:val="TAL"/>
            </w:pPr>
            <w:r w:rsidRPr="000A0A5F">
              <w:t>Redirection handling is described in clause 5.2.10.</w:t>
            </w:r>
          </w:p>
        </w:tc>
      </w:tr>
      <w:tr w:rsidR="00CB0DD7" w:rsidRPr="000A0A5F" w:rsidTr="00FF0AF8">
        <w:trPr>
          <w:jc w:val="center"/>
        </w:trPr>
        <w:tc>
          <w:tcPr>
            <w:tcW w:w="2293" w:type="dxa"/>
          </w:tcPr>
          <w:p w:rsidR="00CB0DD7" w:rsidRPr="000A0A5F" w:rsidRDefault="00CB0DD7">
            <w:pPr>
              <w:pStyle w:val="TAL"/>
            </w:pPr>
            <w:r w:rsidRPr="000A0A5F">
              <w:t>none</w:t>
            </w:r>
          </w:p>
        </w:tc>
        <w:tc>
          <w:tcPr>
            <w:tcW w:w="1259" w:type="dxa"/>
          </w:tcPr>
          <w:p w:rsidR="00CB0DD7" w:rsidRPr="000A0A5F" w:rsidRDefault="00CB0DD7">
            <w:pPr>
              <w:pStyle w:val="TAC"/>
              <w:rPr>
                <w:noProof/>
              </w:rPr>
            </w:pPr>
          </w:p>
        </w:tc>
        <w:tc>
          <w:tcPr>
            <w:tcW w:w="1441" w:type="dxa"/>
          </w:tcPr>
          <w:p w:rsidR="00CB0DD7" w:rsidRPr="000A0A5F" w:rsidRDefault="00CB0DD7">
            <w:pPr>
              <w:pStyle w:val="TAL"/>
            </w:pPr>
            <w:r w:rsidRPr="000A0A5F">
              <w:t>308 Permanent Redirect</w:t>
            </w:r>
          </w:p>
        </w:tc>
        <w:tc>
          <w:tcPr>
            <w:tcW w:w="4619" w:type="dxa"/>
          </w:tcPr>
          <w:p w:rsidR="00CB0DD7" w:rsidRPr="000A0A5F" w:rsidRDefault="00CB0DD7">
            <w:pPr>
              <w:pStyle w:val="TAL"/>
            </w:pPr>
            <w:r w:rsidRPr="000A0A5F">
              <w:t>Permanent redirection, during notification. The response shall include a Location header field containing an alternative URI representing the end point of an alternative SCS/AS where the notification should be sent.</w:t>
            </w:r>
          </w:p>
          <w:p w:rsidR="00CB0DD7" w:rsidRPr="000A0A5F" w:rsidRDefault="00CB0DD7">
            <w:pPr>
              <w:pStyle w:val="TAL"/>
            </w:pPr>
            <w:r w:rsidRPr="000A0A5F">
              <w:t>Redirection handling is described in clause 5.2.10.</w:t>
            </w:r>
          </w:p>
        </w:tc>
      </w:tr>
      <w:tr w:rsidR="00CB0DD7" w:rsidRPr="000A0A5F" w:rsidTr="00FF0AF8">
        <w:trPr>
          <w:jc w:val="center"/>
        </w:trPr>
        <w:tc>
          <w:tcPr>
            <w:tcW w:w="9612" w:type="dxa"/>
            <w:gridSpan w:val="4"/>
          </w:tcPr>
          <w:p w:rsidR="00CB0DD7" w:rsidRPr="000A0A5F" w:rsidRDefault="00CB0DD7">
            <w:pPr>
              <w:pStyle w:val="TAN"/>
            </w:pPr>
            <w:r w:rsidRPr="000A0A5F">
              <w:t>NOTE:</w:t>
            </w:r>
            <w:r w:rsidRPr="000A0A5F">
              <w:tab/>
              <w:t>The mandatory HTTP error status codes for the POST method listed in table 5.2.6-1 also apply.</w:t>
            </w:r>
          </w:p>
        </w:tc>
      </w:tr>
    </w:tbl>
    <w:p w:rsidR="00CB0DD7" w:rsidRPr="000A0A5F" w:rsidRDefault="00CB0DD7">
      <w:pPr>
        <w:rPr>
          <w:noProof/>
        </w:rPr>
      </w:pPr>
    </w:p>
    <w:p w:rsidR="00CB0DD7" w:rsidRPr="000A0A5F" w:rsidRDefault="002E466A">
      <w:pPr>
        <w:pStyle w:val="TH"/>
      </w:pPr>
      <w:r w:rsidRPr="000A0A5F">
        <w:t>Table </w:t>
      </w:r>
      <w:r w:rsidR="00CB0DD7" w:rsidRPr="000A0A5F">
        <w:t>5.13.</w:t>
      </w:r>
      <w:r w:rsidR="002C1CAD" w:rsidRPr="000A0A5F">
        <w:t>3A</w:t>
      </w:r>
      <w:r w:rsidR="00CB0DD7" w:rsidRPr="000A0A5F">
        <w:t>.2</w:t>
      </w:r>
      <w:r w:rsidR="00CB0DD7" w:rsidRPr="000A0A5F">
        <w:rPr>
          <w:noProof/>
        </w:rPr>
        <w:t>.3.1</w:t>
      </w:r>
      <w:r w:rsidR="00CB0DD7" w:rsidRPr="000A0A5F">
        <w:t>-3: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representing the end point of an alternative SCS/AS towards which the notification should be redirected.</w:t>
            </w:r>
          </w:p>
        </w:tc>
      </w:tr>
    </w:tbl>
    <w:p w:rsidR="00CB0DD7" w:rsidRPr="000A0A5F" w:rsidRDefault="00CB0DD7"/>
    <w:p w:rsidR="00CB0DD7" w:rsidRPr="000A0A5F" w:rsidRDefault="002E466A">
      <w:pPr>
        <w:pStyle w:val="TH"/>
      </w:pPr>
      <w:r w:rsidRPr="000A0A5F">
        <w:t>Table </w:t>
      </w:r>
      <w:r w:rsidR="00CB0DD7" w:rsidRPr="000A0A5F">
        <w:t>5.13.</w:t>
      </w:r>
      <w:r w:rsidR="002C1CAD" w:rsidRPr="000A0A5F">
        <w:t>3A</w:t>
      </w:r>
      <w:r w:rsidR="00CB0DD7" w:rsidRPr="000A0A5F">
        <w:t>.2</w:t>
      </w:r>
      <w:r w:rsidR="00CB0DD7" w:rsidRPr="000A0A5F">
        <w:rPr>
          <w:noProof/>
        </w:rPr>
        <w:t>.3.1</w:t>
      </w:r>
      <w:r w:rsidR="00CB0DD7" w:rsidRPr="000A0A5F">
        <w:t>-4: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representing the end point of an alternative SCS/AS towards which the notification should be redirected.</w:t>
            </w:r>
          </w:p>
        </w:tc>
      </w:tr>
    </w:tbl>
    <w:p w:rsidR="00CB0DD7" w:rsidRPr="000A0A5F" w:rsidRDefault="00CB0DD7">
      <w:pPr>
        <w:rPr>
          <w:noProof/>
        </w:rPr>
      </w:pPr>
    </w:p>
    <w:p w:rsidR="00CB0DD7" w:rsidRPr="000A0A5F" w:rsidRDefault="00CB0DD7">
      <w:pPr>
        <w:pStyle w:val="Heading6"/>
        <w:rPr>
          <w:noProof/>
        </w:rPr>
      </w:pPr>
      <w:bookmarkStart w:id="8981" w:name="_Toc66360985"/>
      <w:bookmarkStart w:id="8982" w:name="_Toc68105490"/>
      <w:bookmarkStart w:id="8983" w:name="_Toc74756120"/>
      <w:bookmarkStart w:id="8984" w:name="_Toc105674997"/>
      <w:bookmarkStart w:id="8985" w:name="_Toc130503065"/>
      <w:bookmarkStart w:id="8986" w:name="_Toc153625853"/>
      <w:r w:rsidRPr="000A0A5F">
        <w:t>5.13.3a.2.3</w:t>
      </w:r>
      <w:r w:rsidRPr="000A0A5F">
        <w:rPr>
          <w:noProof/>
        </w:rPr>
        <w:t>.2</w:t>
      </w:r>
      <w:r w:rsidRPr="000A0A5F">
        <w:rPr>
          <w:noProof/>
        </w:rPr>
        <w:tab/>
      </w:r>
      <w:r w:rsidRPr="000A0A5F">
        <w:t>Notification via Websocket</w:t>
      </w:r>
      <w:bookmarkEnd w:id="8981"/>
      <w:bookmarkEnd w:id="8982"/>
      <w:bookmarkEnd w:id="8983"/>
      <w:bookmarkEnd w:id="8984"/>
      <w:bookmarkEnd w:id="8985"/>
      <w:bookmarkEnd w:id="8986"/>
    </w:p>
    <w:p w:rsidR="00CB0DD7" w:rsidRPr="000A0A5F" w:rsidRDefault="00CB0DD7">
      <w:pPr>
        <w:rPr>
          <w:rFonts w:eastAsia="MS Mincho"/>
          <w:lang w:eastAsia="ja-JP"/>
        </w:rPr>
      </w:pPr>
      <w:r w:rsidRPr="000A0A5F">
        <w:t>If supported by both SCS/AS and SCEF and successfully negotiated</w:t>
      </w:r>
      <w:r w:rsidRPr="000A0A5F">
        <w:rPr>
          <w:lang w:eastAsia="zh-CN"/>
        </w:rPr>
        <w:t xml:space="preserve">, the </w:t>
      </w:r>
      <w:r w:rsidRPr="000A0A5F">
        <w:t>ConfigurationNotification</w:t>
      </w:r>
      <w:r w:rsidRPr="000A0A5F">
        <w:rPr>
          <w:lang w:eastAsia="zh-CN"/>
        </w:rPr>
        <w:t xml:space="preserve"> may alternatively be delivered through the Websocket mechanism as defined in clause 5.2.5.4.</w:t>
      </w:r>
    </w:p>
    <w:p w:rsidR="00CB0DD7" w:rsidRPr="000A0A5F" w:rsidRDefault="00CB0DD7">
      <w:pPr>
        <w:rPr>
          <w:rFonts w:eastAsia="MS Mincho" w:hint="eastAsia"/>
          <w:lang w:eastAsia="ja-JP"/>
        </w:rPr>
      </w:pPr>
    </w:p>
    <w:p w:rsidR="00CB0DD7" w:rsidRPr="000A0A5F" w:rsidRDefault="00CB0DD7">
      <w:pPr>
        <w:pStyle w:val="Heading3"/>
      </w:pPr>
      <w:bookmarkStart w:id="8987" w:name="_Toc11247869"/>
      <w:bookmarkStart w:id="8988" w:name="_Toc27045013"/>
      <w:bookmarkStart w:id="8989" w:name="_Toc36034055"/>
      <w:bookmarkStart w:id="8990" w:name="_Toc45132202"/>
      <w:bookmarkStart w:id="8991" w:name="_Toc49776487"/>
      <w:bookmarkStart w:id="8992" w:name="_Toc51747407"/>
      <w:bookmarkStart w:id="8993" w:name="_Toc66360986"/>
      <w:bookmarkStart w:id="8994" w:name="_Toc68105491"/>
      <w:bookmarkStart w:id="8995" w:name="_Toc74756121"/>
      <w:bookmarkStart w:id="8996" w:name="_Toc105674998"/>
      <w:bookmarkStart w:id="8997" w:name="_Toc130503066"/>
      <w:bookmarkStart w:id="8998" w:name="_Toc153625854"/>
      <w:r w:rsidRPr="000A0A5F">
        <w:t>5.13.4</w:t>
      </w:r>
      <w:r w:rsidRPr="000A0A5F">
        <w:tab/>
        <w:t>Used Features</w:t>
      </w:r>
      <w:bookmarkEnd w:id="8987"/>
      <w:bookmarkEnd w:id="8988"/>
      <w:bookmarkEnd w:id="8989"/>
      <w:bookmarkEnd w:id="8990"/>
      <w:bookmarkEnd w:id="8991"/>
      <w:bookmarkEnd w:id="8992"/>
      <w:bookmarkEnd w:id="8993"/>
      <w:bookmarkEnd w:id="8994"/>
      <w:bookmarkEnd w:id="8995"/>
      <w:bookmarkEnd w:id="8996"/>
      <w:bookmarkEnd w:id="8997"/>
      <w:bookmarkEnd w:id="8998"/>
    </w:p>
    <w:p w:rsidR="00CB0DD7" w:rsidRPr="000A0A5F" w:rsidRDefault="00CB0DD7">
      <w:r w:rsidRPr="000A0A5F">
        <w:t>The table below defines the features applicable to the NpConfiguration API. Those features are negotiated as described in clause 5.2.7.</w:t>
      </w:r>
    </w:p>
    <w:p w:rsidR="00CB0DD7" w:rsidRPr="000A0A5F" w:rsidRDefault="00CB0DD7">
      <w:pPr>
        <w:pStyle w:val="TH"/>
      </w:pPr>
      <w:r w:rsidRPr="000A0A5F">
        <w:t>Table 5.13.4-1: Features used by NpConfiguration API</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039"/>
        <w:gridCol w:w="2218"/>
        <w:gridCol w:w="6600"/>
        <w:tblGridChange w:id="8999">
          <w:tblGrid>
            <w:gridCol w:w="1039"/>
            <w:gridCol w:w="2218"/>
            <w:gridCol w:w="6600"/>
          </w:tblGrid>
        </w:tblGridChange>
      </w:tblGrid>
      <w:tr w:rsidR="00CB0DD7" w:rsidRPr="000A0A5F" w:rsidTr="00FF0AF8">
        <w:trPr>
          <w:cantSplit/>
        </w:trPr>
        <w:tc>
          <w:tcPr>
            <w:tcW w:w="527" w:type="pct"/>
            <w:shd w:val="clear" w:color="auto" w:fill="C0C0C0"/>
          </w:tcPr>
          <w:p w:rsidR="00CB0DD7" w:rsidRPr="000A0A5F" w:rsidRDefault="00CB0DD7">
            <w:pPr>
              <w:pStyle w:val="TAH"/>
              <w:rPr>
                <w:rFonts w:eastAsia="Times New Roman"/>
              </w:rPr>
            </w:pPr>
            <w:r w:rsidRPr="000A0A5F">
              <w:t>Feature Number</w:t>
            </w:r>
          </w:p>
        </w:tc>
        <w:tc>
          <w:tcPr>
            <w:tcW w:w="1125" w:type="pct"/>
            <w:shd w:val="clear" w:color="auto" w:fill="C0C0C0"/>
          </w:tcPr>
          <w:p w:rsidR="00CB0DD7" w:rsidRPr="000A0A5F" w:rsidRDefault="00CB0DD7">
            <w:pPr>
              <w:pStyle w:val="TAH"/>
              <w:rPr>
                <w:rFonts w:eastAsia="Times New Roman"/>
              </w:rPr>
            </w:pPr>
            <w:r w:rsidRPr="000A0A5F">
              <w:rPr>
                <w:rFonts w:eastAsia="Times New Roman"/>
              </w:rPr>
              <w:t>Feature</w:t>
            </w:r>
          </w:p>
        </w:tc>
        <w:tc>
          <w:tcPr>
            <w:tcW w:w="3348" w:type="pct"/>
            <w:shd w:val="clear" w:color="auto" w:fill="C0C0C0"/>
          </w:tcPr>
          <w:p w:rsidR="00CB0DD7" w:rsidRPr="000A0A5F" w:rsidRDefault="00CB0DD7">
            <w:pPr>
              <w:pStyle w:val="TAH"/>
              <w:rPr>
                <w:lang w:eastAsia="ko-KR"/>
              </w:rPr>
            </w:pPr>
            <w:r w:rsidRPr="000A0A5F">
              <w:rPr>
                <w:rFonts w:eastAsia="Times New Roman"/>
              </w:rPr>
              <w:t>Description</w:t>
            </w:r>
          </w:p>
        </w:tc>
      </w:tr>
      <w:tr w:rsidR="00CB0DD7" w:rsidRPr="000A0A5F" w:rsidTr="00FF0AF8">
        <w:trPr>
          <w:cantSplit/>
        </w:trPr>
        <w:tc>
          <w:tcPr>
            <w:tcW w:w="527" w:type="pct"/>
          </w:tcPr>
          <w:p w:rsidR="00CB0DD7" w:rsidRPr="000A0A5F" w:rsidRDefault="00CB0DD7">
            <w:pPr>
              <w:pStyle w:val="TAC"/>
              <w:rPr>
                <w:lang w:eastAsia="zh-CN"/>
              </w:rPr>
            </w:pPr>
            <w:r w:rsidRPr="000A0A5F">
              <w:rPr>
                <w:rFonts w:hint="eastAsia"/>
                <w:lang w:eastAsia="zh-CN"/>
              </w:rPr>
              <w:t>1</w:t>
            </w:r>
          </w:p>
        </w:tc>
        <w:tc>
          <w:tcPr>
            <w:tcW w:w="1125" w:type="pct"/>
          </w:tcPr>
          <w:p w:rsidR="00CB0DD7" w:rsidRPr="000A0A5F" w:rsidRDefault="00CB0DD7">
            <w:pPr>
              <w:pStyle w:val="TAC"/>
              <w:rPr>
                <w:lang w:eastAsia="zh-CN"/>
              </w:rPr>
            </w:pPr>
            <w:r w:rsidRPr="000A0A5F">
              <w:rPr>
                <w:lang w:eastAsia="zh-CN"/>
              </w:rPr>
              <w:t>Notification_websocket</w:t>
            </w:r>
          </w:p>
        </w:tc>
        <w:tc>
          <w:tcPr>
            <w:tcW w:w="3348" w:type="pct"/>
          </w:tcPr>
          <w:p w:rsidR="00CB0DD7" w:rsidRPr="000A0A5F" w:rsidRDefault="00CB0DD7">
            <w:pPr>
              <w:pStyle w:val="TAL"/>
              <w:rPr>
                <w:lang w:eastAsia="zh-CN"/>
              </w:rPr>
            </w:pPr>
            <w:r w:rsidRPr="000A0A5F">
              <w:rPr>
                <w:rFonts w:cs="Arial"/>
                <w:szCs w:val="18"/>
                <w:lang w:eastAsia="zh-CN"/>
              </w:rPr>
              <w:t>The delivery of notifications over Websocket is supported according to clause</w:t>
            </w:r>
            <w:r w:rsidRPr="000A0A5F">
              <w:rPr>
                <w:rFonts w:cs="Arial"/>
                <w:szCs w:val="18"/>
                <w:lang w:val="en-US" w:eastAsia="zh-CN"/>
              </w:rPr>
              <w:t> </w:t>
            </w:r>
            <w:r w:rsidRPr="000A0A5F">
              <w:rPr>
                <w:rFonts w:cs="Arial"/>
                <w:szCs w:val="18"/>
                <w:lang w:eastAsia="zh-CN"/>
              </w:rPr>
              <w:t xml:space="preserve">5.2.5.4. This feature requires that the </w:t>
            </w:r>
            <w:r w:rsidRPr="000A0A5F">
              <w:t>Notification_test_event featute is also supported.</w:t>
            </w:r>
          </w:p>
        </w:tc>
      </w:tr>
      <w:tr w:rsidR="00CB0DD7" w:rsidRPr="000A0A5F" w:rsidTr="00FF0AF8">
        <w:trPr>
          <w:cantSplit/>
        </w:trPr>
        <w:tc>
          <w:tcPr>
            <w:tcW w:w="527" w:type="pct"/>
          </w:tcPr>
          <w:p w:rsidR="00CB0DD7" w:rsidRPr="000A0A5F" w:rsidRDefault="00CB0DD7">
            <w:pPr>
              <w:pStyle w:val="TAC"/>
              <w:rPr>
                <w:rFonts w:hint="eastAsia"/>
                <w:lang w:eastAsia="zh-CN"/>
              </w:rPr>
            </w:pPr>
            <w:r w:rsidRPr="000A0A5F">
              <w:rPr>
                <w:rFonts w:hint="eastAsia"/>
                <w:lang w:eastAsia="zh-CN"/>
              </w:rPr>
              <w:t>2</w:t>
            </w:r>
          </w:p>
        </w:tc>
        <w:tc>
          <w:tcPr>
            <w:tcW w:w="1125" w:type="pct"/>
          </w:tcPr>
          <w:p w:rsidR="00CB0DD7" w:rsidRPr="000A0A5F" w:rsidRDefault="00CB0DD7">
            <w:pPr>
              <w:pStyle w:val="TAC"/>
              <w:rPr>
                <w:lang w:eastAsia="zh-CN"/>
              </w:rPr>
            </w:pPr>
            <w:r w:rsidRPr="000A0A5F">
              <w:t>Notification_test_event</w:t>
            </w:r>
          </w:p>
        </w:tc>
        <w:tc>
          <w:tcPr>
            <w:tcW w:w="3348" w:type="pct"/>
          </w:tcPr>
          <w:p w:rsidR="00CB0DD7" w:rsidRPr="000A0A5F" w:rsidRDefault="00CB0DD7">
            <w:pPr>
              <w:pStyle w:val="TAL"/>
              <w:rPr>
                <w:lang w:eastAsia="zh-CN"/>
              </w:rPr>
            </w:pPr>
            <w:r w:rsidRPr="000A0A5F">
              <w:rPr>
                <w:rFonts w:cs="Arial"/>
                <w:szCs w:val="18"/>
                <w:lang w:eastAsia="zh-CN"/>
              </w:rPr>
              <w:t>The testing of notification connection is supported according to clause</w:t>
            </w:r>
            <w:r w:rsidRPr="000A0A5F">
              <w:rPr>
                <w:rFonts w:cs="Arial"/>
                <w:szCs w:val="18"/>
                <w:lang w:val="en-US" w:eastAsia="zh-CN"/>
              </w:rPr>
              <w:t> </w:t>
            </w:r>
            <w:r w:rsidRPr="000A0A5F">
              <w:rPr>
                <w:rFonts w:cs="Arial"/>
                <w:szCs w:val="18"/>
                <w:lang w:eastAsia="zh-CN"/>
              </w:rPr>
              <w:t>5.2.5.3.</w:t>
            </w:r>
          </w:p>
        </w:tc>
      </w:tr>
      <w:tr w:rsidR="00CB0DD7" w:rsidRPr="000A0A5F" w:rsidTr="00FF0AF8">
        <w:trPr>
          <w:cantSplit/>
        </w:trPr>
        <w:tc>
          <w:tcPr>
            <w:tcW w:w="527" w:type="pct"/>
          </w:tcPr>
          <w:p w:rsidR="00CB0DD7" w:rsidRPr="000A0A5F" w:rsidRDefault="00CB0DD7">
            <w:pPr>
              <w:pStyle w:val="TAC"/>
              <w:rPr>
                <w:rFonts w:hint="eastAsia"/>
                <w:lang w:eastAsia="zh-CN"/>
              </w:rPr>
            </w:pPr>
            <w:r w:rsidRPr="000A0A5F">
              <w:rPr>
                <w:lang w:eastAsia="zh-CN"/>
              </w:rPr>
              <w:t>3</w:t>
            </w:r>
          </w:p>
        </w:tc>
        <w:tc>
          <w:tcPr>
            <w:tcW w:w="1125" w:type="pct"/>
          </w:tcPr>
          <w:p w:rsidR="00CB0DD7" w:rsidRPr="000A0A5F" w:rsidRDefault="00CB0DD7">
            <w:pPr>
              <w:pStyle w:val="TAC"/>
            </w:pPr>
            <w:r w:rsidRPr="000A0A5F">
              <w:rPr>
                <w:lang w:eastAsia="zh-CN"/>
              </w:rPr>
              <w:t>NpExpiry_5G</w:t>
            </w:r>
          </w:p>
        </w:tc>
        <w:tc>
          <w:tcPr>
            <w:tcW w:w="3348" w:type="pct"/>
          </w:tcPr>
          <w:p w:rsidR="00CB0DD7" w:rsidRPr="000A0A5F" w:rsidRDefault="00CB0DD7">
            <w:pPr>
              <w:pStyle w:val="TAL"/>
              <w:rPr>
                <w:rFonts w:cs="Arial"/>
                <w:szCs w:val="18"/>
                <w:lang w:eastAsia="zh-CN"/>
              </w:rPr>
            </w:pPr>
            <w:r w:rsidRPr="000A0A5F">
              <w:rPr>
                <w:rFonts w:cs="Arial"/>
                <w:szCs w:val="18"/>
                <w:lang w:eastAsia="zh-CN"/>
              </w:rPr>
              <w:t>The network parameter expiry is supported.</w:t>
            </w:r>
            <w:r w:rsidRPr="000A0A5F">
              <w:rPr>
                <w:rFonts w:eastAsia="Malgun Gothic"/>
                <w:lang w:eastAsia="ja-JP"/>
              </w:rPr>
              <w:t xml:space="preserve"> This feature may only be supported in 5G.</w:t>
            </w:r>
          </w:p>
        </w:tc>
      </w:tr>
      <w:tr w:rsidR="00CB0DD7" w:rsidRPr="000A0A5F" w:rsidTr="00FF0AF8">
        <w:trPr>
          <w:cantSplit/>
        </w:trPr>
        <w:tc>
          <w:tcPr>
            <w:tcW w:w="527" w:type="pct"/>
          </w:tcPr>
          <w:p w:rsidR="00CB0DD7" w:rsidRPr="000A0A5F" w:rsidRDefault="00CB0DD7">
            <w:pPr>
              <w:pStyle w:val="TAC"/>
              <w:rPr>
                <w:lang w:eastAsia="zh-CN"/>
              </w:rPr>
            </w:pPr>
            <w:r w:rsidRPr="000A0A5F">
              <w:rPr>
                <w:lang w:eastAsia="zh-CN"/>
              </w:rPr>
              <w:t>4</w:t>
            </w:r>
          </w:p>
        </w:tc>
        <w:tc>
          <w:tcPr>
            <w:tcW w:w="1125" w:type="pct"/>
          </w:tcPr>
          <w:p w:rsidR="00CB0DD7" w:rsidRPr="000A0A5F" w:rsidRDefault="00CB0DD7">
            <w:pPr>
              <w:pStyle w:val="TAC"/>
              <w:rPr>
                <w:lang w:eastAsia="zh-CN"/>
              </w:rPr>
            </w:pPr>
            <w:r w:rsidRPr="000A0A5F">
              <w:rPr>
                <w:lang w:eastAsia="zh-CN"/>
              </w:rPr>
              <w:t>Enhanced_param_config</w:t>
            </w:r>
          </w:p>
        </w:tc>
        <w:tc>
          <w:tcPr>
            <w:tcW w:w="3348" w:type="pct"/>
          </w:tcPr>
          <w:p w:rsidR="00CB0DD7" w:rsidRPr="000A0A5F" w:rsidRDefault="00CB0DD7">
            <w:pPr>
              <w:pStyle w:val="TAL"/>
              <w:rPr>
                <w:rFonts w:cs="Arial"/>
                <w:szCs w:val="18"/>
                <w:lang w:eastAsia="zh-CN"/>
              </w:rPr>
            </w:pPr>
            <w:r w:rsidRPr="000A0A5F">
              <w:rPr>
                <w:rFonts w:cs="Arial"/>
                <w:szCs w:val="18"/>
                <w:lang w:eastAsia="zh-CN"/>
              </w:rPr>
              <w:t xml:space="preserve">This feature supports the co-existence of multiple event configurations for target UE(s) if there are parameters affecting </w:t>
            </w:r>
            <w:r w:rsidRPr="000A0A5F">
              <w:t>periodic RAU/TAU</w:t>
            </w:r>
            <w:r w:rsidRPr="000A0A5F">
              <w:rPr>
                <w:rFonts w:cs="Arial"/>
                <w:szCs w:val="18"/>
                <w:lang w:eastAsia="zh-CN"/>
              </w:rPr>
              <w:t xml:space="preserve"> timer and/or Active Time.</w:t>
            </w:r>
          </w:p>
        </w:tc>
      </w:tr>
      <w:tr w:rsidR="00F2786F" w:rsidRPr="000A0A5F" w:rsidTr="00FF0AF8">
        <w:trPr>
          <w:cantSplit/>
        </w:trPr>
        <w:tc>
          <w:tcPr>
            <w:tcW w:w="527" w:type="pct"/>
          </w:tcPr>
          <w:p w:rsidR="00F2786F" w:rsidRPr="000A0A5F" w:rsidRDefault="00343916" w:rsidP="00F2786F">
            <w:pPr>
              <w:pStyle w:val="TAC"/>
              <w:rPr>
                <w:lang w:eastAsia="zh-CN"/>
              </w:rPr>
            </w:pPr>
            <w:r w:rsidRPr="000A0A5F">
              <w:rPr>
                <w:lang w:eastAsia="zh-CN"/>
              </w:rPr>
              <w:t>5</w:t>
            </w:r>
          </w:p>
        </w:tc>
        <w:tc>
          <w:tcPr>
            <w:tcW w:w="1125" w:type="pct"/>
          </w:tcPr>
          <w:p w:rsidR="00F2786F" w:rsidRPr="000A0A5F" w:rsidRDefault="00F2786F" w:rsidP="00F2786F">
            <w:pPr>
              <w:pStyle w:val="TAC"/>
              <w:rPr>
                <w:lang w:eastAsia="zh-CN"/>
              </w:rPr>
            </w:pPr>
            <w:r w:rsidRPr="000A0A5F">
              <w:rPr>
                <w:lang w:eastAsia="zh-CN"/>
              </w:rPr>
              <w:t>UEId_retrieval</w:t>
            </w:r>
          </w:p>
        </w:tc>
        <w:tc>
          <w:tcPr>
            <w:tcW w:w="3348" w:type="pct"/>
          </w:tcPr>
          <w:p w:rsidR="00F2786F" w:rsidRPr="000A0A5F" w:rsidRDefault="00F2786F" w:rsidP="00F2786F">
            <w:pPr>
              <w:pStyle w:val="TAL"/>
              <w:rPr>
                <w:rFonts w:cs="Arial"/>
                <w:szCs w:val="18"/>
                <w:lang w:eastAsia="zh-CN"/>
              </w:rPr>
            </w:pPr>
            <w:r w:rsidRPr="000A0A5F">
              <w:rPr>
                <w:rFonts w:cs="Arial"/>
                <w:szCs w:val="18"/>
                <w:lang w:eastAsia="zh-CN"/>
              </w:rPr>
              <w:t>This feature supports AF specific UE ID retrieval.</w:t>
            </w:r>
          </w:p>
          <w:p w:rsidR="00F2786F" w:rsidRPr="000A0A5F" w:rsidRDefault="00F2786F" w:rsidP="00F2786F">
            <w:pPr>
              <w:pStyle w:val="TAL"/>
              <w:rPr>
                <w:rFonts w:cs="Arial"/>
                <w:szCs w:val="18"/>
                <w:lang w:eastAsia="zh-CN"/>
              </w:rPr>
            </w:pPr>
            <w:r w:rsidRPr="000A0A5F">
              <w:rPr>
                <w:rFonts w:cs="Arial"/>
                <w:szCs w:val="18"/>
                <w:lang w:eastAsia="zh-CN"/>
              </w:rPr>
              <w:t>The feature is not applicable to pre-5G (e.g. 4G).</w:t>
            </w:r>
          </w:p>
        </w:tc>
      </w:tr>
      <w:tr w:rsidR="00CB0DD7" w:rsidRPr="000A0A5F" w:rsidTr="00FF0AF8">
        <w:tblPrEx>
          <w:tblLook w:val="04A0" w:firstRow="1" w:lastRow="0" w:firstColumn="1" w:lastColumn="0" w:noHBand="0" w:noVBand="1"/>
        </w:tblPrEx>
        <w:trPr>
          <w:cantSplit/>
        </w:trPr>
        <w:tc>
          <w:tcPr>
            <w:tcW w:w="5000" w:type="pct"/>
            <w:gridSpan w:val="3"/>
          </w:tcPr>
          <w:p w:rsidR="00CB0DD7" w:rsidRPr="000A0A5F" w:rsidRDefault="00CB0DD7">
            <w:pPr>
              <w:pStyle w:val="TAN"/>
              <w:rPr>
                <w:rFonts w:eastAsia="Times New Roman"/>
              </w:rPr>
            </w:pPr>
            <w:r w:rsidRPr="000A0A5F">
              <w:rPr>
                <w:rFonts w:eastAsia="Times New Roman"/>
              </w:rPr>
              <w:t>Feature:</w:t>
            </w:r>
            <w:r w:rsidRPr="000A0A5F">
              <w:rPr>
                <w:rFonts w:eastAsia="Times New Roman"/>
              </w:rPr>
              <w:tab/>
              <w:t>A short name that can be used to refer to the bit and to the feature, e.g. "</w:t>
            </w:r>
            <w:r w:rsidRPr="000A0A5F">
              <w:rPr>
                <w:rFonts w:hint="eastAsia"/>
                <w:lang w:eastAsia="zh-CN"/>
              </w:rPr>
              <w:t>Notification</w:t>
            </w:r>
            <w:r w:rsidRPr="000A0A5F">
              <w:rPr>
                <w:rFonts w:eastAsia="Times New Roman"/>
              </w:rPr>
              <w:t>".</w:t>
            </w:r>
          </w:p>
          <w:p w:rsidR="00CB0DD7" w:rsidRPr="000A0A5F" w:rsidRDefault="00CB0DD7">
            <w:pPr>
              <w:pStyle w:val="TAN"/>
              <w:rPr>
                <w:color w:val="000000"/>
                <w:lang w:eastAsia="zh-CN"/>
              </w:rPr>
            </w:pPr>
            <w:r w:rsidRPr="000A0A5F">
              <w:rPr>
                <w:rFonts w:eastAsia="Times New Roman"/>
              </w:rPr>
              <w:t>Description:</w:t>
            </w:r>
            <w:r w:rsidRPr="000A0A5F">
              <w:rPr>
                <w:rFonts w:eastAsia="Times New Roman"/>
              </w:rPr>
              <w:tab/>
              <w:t>A clear textual description of the feature.</w:t>
            </w:r>
          </w:p>
        </w:tc>
      </w:tr>
    </w:tbl>
    <w:p w:rsidR="00CB0DD7" w:rsidRPr="000A0A5F" w:rsidRDefault="00CB0DD7">
      <w:pPr>
        <w:rPr>
          <w:noProof/>
          <w:lang w:eastAsia="zh-CN"/>
        </w:rPr>
      </w:pPr>
    </w:p>
    <w:p w:rsidR="00CB0DD7" w:rsidRPr="000A0A5F" w:rsidRDefault="00CB0DD7">
      <w:pPr>
        <w:pStyle w:val="Heading3"/>
      </w:pPr>
      <w:bookmarkStart w:id="9000" w:name="_Toc11247870"/>
      <w:bookmarkStart w:id="9001" w:name="_Toc27045014"/>
      <w:bookmarkStart w:id="9002" w:name="_Toc36034056"/>
      <w:bookmarkStart w:id="9003" w:name="_Toc45132203"/>
      <w:bookmarkStart w:id="9004" w:name="_Toc49776488"/>
      <w:bookmarkStart w:id="9005" w:name="_Toc51747408"/>
      <w:bookmarkStart w:id="9006" w:name="_Toc66360987"/>
      <w:bookmarkStart w:id="9007" w:name="_Toc68105492"/>
      <w:bookmarkStart w:id="9008" w:name="_Toc74756122"/>
      <w:bookmarkStart w:id="9009" w:name="_Toc105674999"/>
      <w:bookmarkStart w:id="9010" w:name="_Toc130503067"/>
      <w:bookmarkStart w:id="9011" w:name="_Toc153625855"/>
      <w:r w:rsidRPr="000A0A5F">
        <w:t>5.13.5</w:t>
      </w:r>
      <w:r w:rsidRPr="000A0A5F">
        <w:tab/>
        <w:t>Error handling</w:t>
      </w:r>
      <w:bookmarkEnd w:id="9000"/>
      <w:bookmarkEnd w:id="9001"/>
      <w:bookmarkEnd w:id="9002"/>
      <w:bookmarkEnd w:id="9003"/>
      <w:bookmarkEnd w:id="9004"/>
      <w:bookmarkEnd w:id="9005"/>
      <w:bookmarkEnd w:id="9006"/>
      <w:bookmarkEnd w:id="9007"/>
      <w:bookmarkEnd w:id="9008"/>
      <w:bookmarkEnd w:id="9009"/>
      <w:bookmarkEnd w:id="9010"/>
      <w:bookmarkEnd w:id="9011"/>
    </w:p>
    <w:p w:rsidR="00CB0DD7" w:rsidRPr="000A0A5F" w:rsidRDefault="00CB0DD7">
      <w:pPr>
        <w:pStyle w:val="Heading4"/>
      </w:pPr>
      <w:bookmarkStart w:id="9012" w:name="_Toc11247871"/>
      <w:bookmarkStart w:id="9013" w:name="_Toc27045015"/>
      <w:bookmarkStart w:id="9014" w:name="_Toc36034057"/>
      <w:bookmarkStart w:id="9015" w:name="_Toc45132204"/>
      <w:bookmarkStart w:id="9016" w:name="_Toc49776489"/>
      <w:bookmarkStart w:id="9017" w:name="_Toc51747409"/>
      <w:bookmarkStart w:id="9018" w:name="_Toc66360988"/>
      <w:bookmarkStart w:id="9019" w:name="_Toc68105493"/>
      <w:bookmarkStart w:id="9020" w:name="_Toc74756123"/>
      <w:bookmarkStart w:id="9021" w:name="_Toc105675000"/>
      <w:bookmarkStart w:id="9022" w:name="_Toc130503068"/>
      <w:bookmarkStart w:id="9023" w:name="_Toc153625856"/>
      <w:r w:rsidRPr="000A0A5F">
        <w:t>5.13.5.1</w:t>
      </w:r>
      <w:r w:rsidRPr="000A0A5F">
        <w:tab/>
        <w:t>General</w:t>
      </w:r>
      <w:bookmarkEnd w:id="9012"/>
      <w:bookmarkEnd w:id="9013"/>
      <w:bookmarkEnd w:id="9014"/>
      <w:bookmarkEnd w:id="9015"/>
      <w:bookmarkEnd w:id="9016"/>
      <w:bookmarkEnd w:id="9017"/>
      <w:bookmarkEnd w:id="9018"/>
      <w:bookmarkEnd w:id="9019"/>
      <w:bookmarkEnd w:id="9020"/>
      <w:bookmarkEnd w:id="9021"/>
      <w:bookmarkEnd w:id="9022"/>
      <w:bookmarkEnd w:id="9023"/>
    </w:p>
    <w:p w:rsidR="00CB0DD7" w:rsidRPr="000A0A5F" w:rsidRDefault="00CB0DD7">
      <w:r w:rsidRPr="000A0A5F">
        <w:t>HTTP error handling shall be supported as specified in clause 5.2.6.</w:t>
      </w:r>
    </w:p>
    <w:p w:rsidR="00CB0DD7" w:rsidRPr="000A0A5F" w:rsidRDefault="00CB0DD7">
      <w:r w:rsidRPr="000A0A5F">
        <w:t>In addition, the requirements in the following clauses shall apply.</w:t>
      </w:r>
    </w:p>
    <w:p w:rsidR="00CB0DD7" w:rsidRPr="000A0A5F" w:rsidRDefault="00CB0DD7">
      <w:pPr>
        <w:pStyle w:val="Heading4"/>
      </w:pPr>
      <w:bookmarkStart w:id="9024" w:name="_Toc11247872"/>
      <w:bookmarkStart w:id="9025" w:name="_Toc27045016"/>
      <w:bookmarkStart w:id="9026" w:name="_Toc36034058"/>
      <w:bookmarkStart w:id="9027" w:name="_Toc45132205"/>
      <w:bookmarkStart w:id="9028" w:name="_Toc49776490"/>
      <w:bookmarkStart w:id="9029" w:name="_Toc51747410"/>
      <w:bookmarkStart w:id="9030" w:name="_Toc66360989"/>
      <w:bookmarkStart w:id="9031" w:name="_Toc68105494"/>
      <w:bookmarkStart w:id="9032" w:name="_Toc74756124"/>
      <w:bookmarkStart w:id="9033" w:name="_Toc105675001"/>
      <w:bookmarkStart w:id="9034" w:name="_Toc130503069"/>
      <w:bookmarkStart w:id="9035" w:name="_Toc153625857"/>
      <w:r w:rsidRPr="000A0A5F">
        <w:t>5.13.5.2</w:t>
      </w:r>
      <w:r w:rsidRPr="000A0A5F">
        <w:tab/>
        <w:t>Protocol Errors</w:t>
      </w:r>
      <w:bookmarkEnd w:id="9024"/>
      <w:bookmarkEnd w:id="9025"/>
      <w:bookmarkEnd w:id="9026"/>
      <w:bookmarkEnd w:id="9027"/>
      <w:bookmarkEnd w:id="9028"/>
      <w:bookmarkEnd w:id="9029"/>
      <w:bookmarkEnd w:id="9030"/>
      <w:bookmarkEnd w:id="9031"/>
      <w:bookmarkEnd w:id="9032"/>
      <w:bookmarkEnd w:id="9033"/>
      <w:bookmarkEnd w:id="9034"/>
      <w:bookmarkEnd w:id="9035"/>
    </w:p>
    <w:p w:rsidR="00CB0DD7" w:rsidRPr="000A0A5F" w:rsidRDefault="00CB0DD7">
      <w:r w:rsidRPr="000A0A5F">
        <w:rPr>
          <w:lang w:eastAsia="zh-CN"/>
        </w:rPr>
        <w:t xml:space="preserve">In this release </w:t>
      </w:r>
      <w:r w:rsidRPr="000A0A5F">
        <w:t xml:space="preserve">of the specification, there are no additional protocol errors applicable for the </w:t>
      </w:r>
      <w:r w:rsidRPr="000A0A5F">
        <w:rPr>
          <w:noProof/>
          <w:lang w:eastAsia="zh-CN"/>
        </w:rPr>
        <w:t>Np</w:t>
      </w:r>
      <w:r w:rsidRPr="000A0A5F">
        <w:rPr>
          <w:rFonts w:hint="eastAsia"/>
          <w:noProof/>
          <w:lang w:eastAsia="zh-CN"/>
        </w:rPr>
        <w:t>Co</w:t>
      </w:r>
      <w:r w:rsidRPr="000A0A5F">
        <w:rPr>
          <w:noProof/>
          <w:lang w:eastAsia="zh-CN"/>
        </w:rPr>
        <w:t>nfiguration</w:t>
      </w:r>
      <w:r w:rsidRPr="000A0A5F">
        <w:t xml:space="preserve"> API.</w:t>
      </w:r>
    </w:p>
    <w:p w:rsidR="00CB0DD7" w:rsidRPr="000A0A5F" w:rsidRDefault="00CB0DD7">
      <w:pPr>
        <w:pStyle w:val="Heading4"/>
      </w:pPr>
      <w:bookmarkStart w:id="9036" w:name="_Toc11247873"/>
      <w:bookmarkStart w:id="9037" w:name="_Toc27045017"/>
      <w:bookmarkStart w:id="9038" w:name="_Toc36034059"/>
      <w:bookmarkStart w:id="9039" w:name="_Toc45132206"/>
      <w:bookmarkStart w:id="9040" w:name="_Toc49776491"/>
      <w:bookmarkStart w:id="9041" w:name="_Toc51747411"/>
      <w:bookmarkStart w:id="9042" w:name="_Toc66360990"/>
      <w:bookmarkStart w:id="9043" w:name="_Toc68105495"/>
      <w:bookmarkStart w:id="9044" w:name="_Toc74756125"/>
      <w:bookmarkStart w:id="9045" w:name="_Toc105675002"/>
      <w:bookmarkStart w:id="9046" w:name="_Toc130503070"/>
      <w:bookmarkStart w:id="9047" w:name="_Toc153625858"/>
      <w:r w:rsidRPr="000A0A5F">
        <w:t>5.13.5.3</w:t>
      </w:r>
      <w:r w:rsidRPr="000A0A5F">
        <w:tab/>
        <w:t>Application Errors</w:t>
      </w:r>
      <w:bookmarkEnd w:id="9036"/>
      <w:bookmarkEnd w:id="9037"/>
      <w:bookmarkEnd w:id="9038"/>
      <w:bookmarkEnd w:id="9039"/>
      <w:bookmarkEnd w:id="9040"/>
      <w:bookmarkEnd w:id="9041"/>
      <w:bookmarkEnd w:id="9042"/>
      <w:bookmarkEnd w:id="9043"/>
      <w:bookmarkEnd w:id="9044"/>
      <w:bookmarkEnd w:id="9045"/>
      <w:bookmarkEnd w:id="9046"/>
      <w:bookmarkEnd w:id="9047"/>
    </w:p>
    <w:p w:rsidR="00CB0DD7" w:rsidRPr="000A0A5F" w:rsidRDefault="00CB0DD7">
      <w:r w:rsidRPr="000A0A5F">
        <w:t xml:space="preserve">The application errors defined for the </w:t>
      </w:r>
      <w:r w:rsidRPr="000A0A5F">
        <w:rPr>
          <w:noProof/>
          <w:lang w:eastAsia="zh-CN"/>
        </w:rPr>
        <w:t>Np</w:t>
      </w:r>
      <w:r w:rsidRPr="000A0A5F">
        <w:rPr>
          <w:rFonts w:hint="eastAsia"/>
          <w:noProof/>
          <w:lang w:eastAsia="zh-CN"/>
        </w:rPr>
        <w:t>Co</w:t>
      </w:r>
      <w:r w:rsidRPr="000A0A5F">
        <w:rPr>
          <w:noProof/>
          <w:lang w:eastAsia="zh-CN"/>
        </w:rPr>
        <w:t>nfiguration</w:t>
      </w:r>
      <w:r w:rsidRPr="000A0A5F">
        <w:t xml:space="preserve"> API are listed in table 5.13.5.3-1.</w:t>
      </w:r>
    </w:p>
    <w:p w:rsidR="00CB0DD7" w:rsidRPr="000A0A5F" w:rsidRDefault="002E466A">
      <w:pPr>
        <w:pStyle w:val="TH"/>
      </w:pPr>
      <w:r w:rsidRPr="000A0A5F">
        <w:t>Table </w:t>
      </w:r>
      <w:r w:rsidR="00CB0DD7" w:rsidRPr="000A0A5F">
        <w:t>5.13.5.3-1: Application errors</w:t>
      </w:r>
    </w:p>
    <w:tbl>
      <w:tblPr>
        <w:tblW w:w="986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4A0" w:firstRow="1" w:lastRow="0" w:firstColumn="1" w:lastColumn="0" w:noHBand="0" w:noVBand="1"/>
      </w:tblPr>
      <w:tblGrid>
        <w:gridCol w:w="2946"/>
        <w:gridCol w:w="1843"/>
        <w:gridCol w:w="3686"/>
        <w:gridCol w:w="1387"/>
      </w:tblGrid>
      <w:tr w:rsidR="00092A14" w:rsidRPr="000A0A5F" w:rsidTr="00092A14">
        <w:trPr>
          <w:cantSplit/>
          <w:jc w:val="center"/>
        </w:trPr>
        <w:tc>
          <w:tcPr>
            <w:tcW w:w="2946" w:type="dxa"/>
            <w:shd w:val="clear" w:color="000000" w:fill="C0C0C0"/>
          </w:tcPr>
          <w:p w:rsidR="00092A14" w:rsidRPr="000A0A5F" w:rsidRDefault="00092A14">
            <w:pPr>
              <w:pStyle w:val="TAH"/>
            </w:pPr>
            <w:r w:rsidRPr="000A0A5F">
              <w:t>Application Error</w:t>
            </w:r>
          </w:p>
        </w:tc>
        <w:tc>
          <w:tcPr>
            <w:tcW w:w="1843" w:type="dxa"/>
            <w:shd w:val="clear" w:color="000000" w:fill="C0C0C0"/>
          </w:tcPr>
          <w:p w:rsidR="00092A14" w:rsidRPr="000A0A5F" w:rsidRDefault="00092A14">
            <w:pPr>
              <w:pStyle w:val="TAH"/>
            </w:pPr>
            <w:r w:rsidRPr="000A0A5F">
              <w:t>HTTP status code</w:t>
            </w:r>
          </w:p>
        </w:tc>
        <w:tc>
          <w:tcPr>
            <w:tcW w:w="3686" w:type="dxa"/>
            <w:shd w:val="clear" w:color="000000" w:fill="C0C0C0"/>
          </w:tcPr>
          <w:p w:rsidR="00092A14" w:rsidRPr="000A0A5F" w:rsidRDefault="00092A14">
            <w:pPr>
              <w:pStyle w:val="TAH"/>
            </w:pPr>
            <w:r w:rsidRPr="000A0A5F">
              <w:t>Description</w:t>
            </w:r>
          </w:p>
        </w:tc>
        <w:tc>
          <w:tcPr>
            <w:tcW w:w="1387" w:type="dxa"/>
            <w:shd w:val="clear" w:color="000000" w:fill="C0C0C0"/>
          </w:tcPr>
          <w:p w:rsidR="00092A14" w:rsidRPr="000A0A5F" w:rsidRDefault="00092A14" w:rsidP="00092A14">
            <w:pPr>
              <w:pStyle w:val="TAH"/>
            </w:pPr>
            <w:r w:rsidRPr="000A0A5F">
              <w:t>Applicability</w:t>
            </w:r>
          </w:p>
        </w:tc>
      </w:tr>
      <w:tr w:rsidR="00092A14" w:rsidRPr="000A0A5F" w:rsidTr="00092A14">
        <w:trPr>
          <w:cantSplit/>
          <w:jc w:val="center"/>
        </w:trPr>
        <w:tc>
          <w:tcPr>
            <w:tcW w:w="2946" w:type="dxa"/>
            <w:shd w:val="clear" w:color="auto" w:fill="auto"/>
          </w:tcPr>
          <w:p w:rsidR="00092A14" w:rsidRPr="000A0A5F" w:rsidRDefault="00092A14">
            <w:pPr>
              <w:pStyle w:val="TAL"/>
            </w:pPr>
            <w:r w:rsidRPr="000A0A5F">
              <w:rPr>
                <w:lang w:eastAsia="zh-CN"/>
              </w:rPr>
              <w:t>PARAMETER_OUT_OF_RANGE</w:t>
            </w:r>
          </w:p>
        </w:tc>
        <w:tc>
          <w:tcPr>
            <w:tcW w:w="1843" w:type="dxa"/>
            <w:shd w:val="clear" w:color="auto" w:fill="auto"/>
          </w:tcPr>
          <w:p w:rsidR="00092A14" w:rsidRPr="000A0A5F" w:rsidRDefault="00092A14">
            <w:pPr>
              <w:pStyle w:val="TAL"/>
            </w:pPr>
            <w:r w:rsidRPr="000A0A5F">
              <w:rPr>
                <w:rFonts w:hint="eastAsia"/>
                <w:lang w:eastAsia="zh-CN"/>
              </w:rPr>
              <w:t>403 Forbidden</w:t>
            </w:r>
          </w:p>
        </w:tc>
        <w:tc>
          <w:tcPr>
            <w:tcW w:w="3686" w:type="dxa"/>
            <w:shd w:val="clear" w:color="auto" w:fill="auto"/>
          </w:tcPr>
          <w:p w:rsidR="00092A14" w:rsidRPr="000A0A5F" w:rsidRDefault="00092A14">
            <w:pPr>
              <w:pStyle w:val="TAL"/>
            </w:pPr>
            <w:r w:rsidRPr="000A0A5F">
              <w:t xml:space="preserve">Indicates that </w:t>
            </w:r>
            <w:r w:rsidRPr="000A0A5F">
              <w:rPr>
                <w:rFonts w:hint="eastAsia"/>
                <w:lang w:eastAsia="zh-CN"/>
              </w:rPr>
              <w:t xml:space="preserve">the resource </w:t>
            </w:r>
            <w:r w:rsidRPr="000A0A5F">
              <w:rPr>
                <w:lang w:eastAsia="zh-CN"/>
              </w:rPr>
              <w:t xml:space="preserve">is </w:t>
            </w:r>
            <w:r w:rsidRPr="000A0A5F">
              <w:rPr>
                <w:rFonts w:hint="eastAsia"/>
                <w:lang w:eastAsia="zh-CN"/>
              </w:rPr>
              <w:t xml:space="preserve">not allowed to </w:t>
            </w:r>
            <w:r w:rsidRPr="000A0A5F">
              <w:rPr>
                <w:lang w:eastAsia="zh-CN"/>
              </w:rPr>
              <w:t>be created since one or more of the received parameter</w:t>
            </w:r>
            <w:r w:rsidR="00350998" w:rsidRPr="000A0A5F">
              <w:rPr>
                <w:lang w:eastAsia="zh-CN"/>
              </w:rPr>
              <w:t>s</w:t>
            </w:r>
            <w:r w:rsidRPr="000A0A5F">
              <w:rPr>
                <w:lang w:eastAsia="zh-CN"/>
              </w:rPr>
              <w:t xml:space="preserve"> are out of range defined by operator policies</w:t>
            </w:r>
            <w:r w:rsidRPr="000A0A5F">
              <w:rPr>
                <w:rFonts w:hint="eastAsia"/>
                <w:lang w:eastAsia="zh-CN"/>
              </w:rPr>
              <w:t>.</w:t>
            </w:r>
          </w:p>
        </w:tc>
        <w:tc>
          <w:tcPr>
            <w:tcW w:w="1387" w:type="dxa"/>
          </w:tcPr>
          <w:p w:rsidR="00092A14" w:rsidRPr="000A0A5F" w:rsidRDefault="00092A14">
            <w:pPr>
              <w:pStyle w:val="TAL"/>
            </w:pPr>
          </w:p>
        </w:tc>
      </w:tr>
      <w:tr w:rsidR="00092A14" w:rsidRPr="000A0A5F" w:rsidTr="00092A14">
        <w:trPr>
          <w:cantSplit/>
          <w:jc w:val="center"/>
        </w:trPr>
        <w:tc>
          <w:tcPr>
            <w:tcW w:w="2946" w:type="dxa"/>
            <w:shd w:val="clear" w:color="auto" w:fill="auto"/>
          </w:tcPr>
          <w:p w:rsidR="00092A14" w:rsidRPr="000A0A5F" w:rsidRDefault="00092A14">
            <w:pPr>
              <w:pStyle w:val="TAL"/>
              <w:rPr>
                <w:lang w:eastAsia="zh-CN"/>
              </w:rPr>
            </w:pPr>
            <w:r w:rsidRPr="000A0A5F">
              <w:rPr>
                <w:lang w:eastAsia="zh-CN"/>
              </w:rPr>
              <w:t>REQUEST_NOT_AUTHORIZED</w:t>
            </w:r>
          </w:p>
        </w:tc>
        <w:tc>
          <w:tcPr>
            <w:tcW w:w="1843" w:type="dxa"/>
            <w:shd w:val="clear" w:color="auto" w:fill="auto"/>
          </w:tcPr>
          <w:p w:rsidR="00092A14" w:rsidRPr="000A0A5F" w:rsidRDefault="00092A14">
            <w:pPr>
              <w:pStyle w:val="TAL"/>
              <w:rPr>
                <w:rFonts w:hint="eastAsia"/>
                <w:lang w:eastAsia="zh-CN"/>
              </w:rPr>
            </w:pPr>
            <w:r w:rsidRPr="000A0A5F">
              <w:rPr>
                <w:lang w:eastAsia="zh-CN"/>
              </w:rPr>
              <w:t>403 Forbidden</w:t>
            </w:r>
          </w:p>
        </w:tc>
        <w:tc>
          <w:tcPr>
            <w:tcW w:w="3686" w:type="dxa"/>
            <w:shd w:val="clear" w:color="auto" w:fill="auto"/>
          </w:tcPr>
          <w:p w:rsidR="00092A14" w:rsidRPr="000A0A5F" w:rsidRDefault="00092A14">
            <w:pPr>
              <w:pStyle w:val="TAL"/>
            </w:pPr>
            <w:r w:rsidRPr="000A0A5F">
              <w:t>Indicates that the AF specific UE ID retrieval request is not authorized.</w:t>
            </w:r>
          </w:p>
        </w:tc>
        <w:tc>
          <w:tcPr>
            <w:tcW w:w="1387" w:type="dxa"/>
          </w:tcPr>
          <w:p w:rsidR="00092A14" w:rsidRPr="000A0A5F" w:rsidRDefault="00092A14">
            <w:pPr>
              <w:pStyle w:val="TAL"/>
            </w:pPr>
            <w:r w:rsidRPr="000A0A5F">
              <w:t>UEId_retrieval</w:t>
            </w:r>
          </w:p>
        </w:tc>
      </w:tr>
      <w:tr w:rsidR="00092A14" w:rsidRPr="000A0A5F" w:rsidTr="00092A14">
        <w:trPr>
          <w:cantSplit/>
          <w:jc w:val="center"/>
        </w:trPr>
        <w:tc>
          <w:tcPr>
            <w:tcW w:w="2946" w:type="dxa"/>
            <w:shd w:val="clear" w:color="auto" w:fill="auto"/>
          </w:tcPr>
          <w:p w:rsidR="00092A14" w:rsidRPr="000A0A5F" w:rsidRDefault="00092A14" w:rsidP="00092A14">
            <w:pPr>
              <w:pStyle w:val="TAL"/>
              <w:rPr>
                <w:lang w:eastAsia="zh-CN"/>
              </w:rPr>
            </w:pPr>
            <w:r w:rsidRPr="000A0A5F">
              <w:rPr>
                <w:lang w:eastAsia="zh-CN"/>
              </w:rPr>
              <w:t>UE_ID_NOT_AV</w:t>
            </w:r>
            <w:r w:rsidRPr="000A0A5F">
              <w:rPr>
                <w:rFonts w:hint="eastAsia"/>
                <w:lang w:eastAsia="zh-CN"/>
              </w:rPr>
              <w:t>A</w:t>
            </w:r>
            <w:r w:rsidRPr="000A0A5F">
              <w:rPr>
                <w:lang w:eastAsia="zh-CN"/>
              </w:rPr>
              <w:t>ILABLE</w:t>
            </w:r>
          </w:p>
        </w:tc>
        <w:tc>
          <w:tcPr>
            <w:tcW w:w="1843" w:type="dxa"/>
            <w:shd w:val="clear" w:color="auto" w:fill="auto"/>
          </w:tcPr>
          <w:p w:rsidR="00092A14" w:rsidRPr="000A0A5F" w:rsidRDefault="00092A14" w:rsidP="00092A14">
            <w:pPr>
              <w:pStyle w:val="TAL"/>
              <w:rPr>
                <w:lang w:eastAsia="zh-CN"/>
              </w:rPr>
            </w:pPr>
            <w:r w:rsidRPr="000A0A5F">
              <w:rPr>
                <w:lang w:eastAsia="zh-CN"/>
              </w:rPr>
              <w:t>404 Not Found</w:t>
            </w:r>
          </w:p>
        </w:tc>
        <w:tc>
          <w:tcPr>
            <w:tcW w:w="3686" w:type="dxa"/>
            <w:shd w:val="clear" w:color="auto" w:fill="auto"/>
          </w:tcPr>
          <w:p w:rsidR="00092A14" w:rsidRPr="000A0A5F" w:rsidRDefault="00092A14" w:rsidP="00092A14">
            <w:pPr>
              <w:pStyle w:val="TAL"/>
            </w:pPr>
            <w:r w:rsidRPr="000A0A5F">
              <w:t>Indicates that the AF specific UE ID is not available.</w:t>
            </w:r>
          </w:p>
        </w:tc>
        <w:tc>
          <w:tcPr>
            <w:tcW w:w="1387" w:type="dxa"/>
          </w:tcPr>
          <w:p w:rsidR="00092A14" w:rsidRPr="000A0A5F" w:rsidRDefault="00092A14" w:rsidP="00092A14">
            <w:pPr>
              <w:pStyle w:val="TAL"/>
            </w:pPr>
            <w:r w:rsidRPr="000A0A5F">
              <w:t>UEId_retrieval</w:t>
            </w:r>
          </w:p>
        </w:tc>
      </w:tr>
      <w:tr w:rsidR="00092A14" w:rsidRPr="000A0A5F" w:rsidTr="00092A14">
        <w:trPr>
          <w:cantSplit/>
          <w:jc w:val="center"/>
        </w:trPr>
        <w:tc>
          <w:tcPr>
            <w:tcW w:w="2946" w:type="dxa"/>
            <w:shd w:val="clear" w:color="auto" w:fill="auto"/>
          </w:tcPr>
          <w:p w:rsidR="00092A14" w:rsidRPr="000A0A5F" w:rsidRDefault="00092A14" w:rsidP="00092A14">
            <w:pPr>
              <w:pStyle w:val="TAL"/>
              <w:rPr>
                <w:lang w:eastAsia="zh-CN"/>
              </w:rPr>
            </w:pPr>
            <w:r w:rsidRPr="000A0A5F">
              <w:t>UE_NOT_FOUND</w:t>
            </w:r>
          </w:p>
        </w:tc>
        <w:tc>
          <w:tcPr>
            <w:tcW w:w="1843" w:type="dxa"/>
            <w:shd w:val="clear" w:color="auto" w:fill="auto"/>
          </w:tcPr>
          <w:p w:rsidR="00092A14" w:rsidRPr="000A0A5F" w:rsidRDefault="00092A14" w:rsidP="00092A14">
            <w:pPr>
              <w:pStyle w:val="TAL"/>
              <w:rPr>
                <w:lang w:eastAsia="zh-CN"/>
              </w:rPr>
            </w:pPr>
            <w:r w:rsidRPr="000A0A5F">
              <w:t>404 Not Found</w:t>
            </w:r>
          </w:p>
        </w:tc>
        <w:tc>
          <w:tcPr>
            <w:tcW w:w="3686" w:type="dxa"/>
            <w:shd w:val="clear" w:color="auto" w:fill="auto"/>
          </w:tcPr>
          <w:p w:rsidR="00092A14" w:rsidRPr="000A0A5F" w:rsidRDefault="00092A14" w:rsidP="00092A14">
            <w:pPr>
              <w:pStyle w:val="TAL"/>
            </w:pPr>
            <w:r w:rsidRPr="000A0A5F">
              <w:t>Indicates that the requested UE address is not found.</w:t>
            </w:r>
          </w:p>
        </w:tc>
        <w:tc>
          <w:tcPr>
            <w:tcW w:w="1387" w:type="dxa"/>
          </w:tcPr>
          <w:p w:rsidR="00092A14" w:rsidRPr="000A0A5F" w:rsidRDefault="00092A14" w:rsidP="00092A14">
            <w:pPr>
              <w:pStyle w:val="TAL"/>
            </w:pPr>
            <w:r w:rsidRPr="000A0A5F">
              <w:t>UEId_retrieval</w:t>
            </w:r>
          </w:p>
        </w:tc>
      </w:tr>
    </w:tbl>
    <w:p w:rsidR="00CB0DD7" w:rsidRPr="000A0A5F" w:rsidRDefault="00CB0DD7">
      <w:pPr>
        <w:rPr>
          <w:noProof/>
          <w:lang w:eastAsia="zh-CN"/>
        </w:rPr>
      </w:pPr>
    </w:p>
    <w:p w:rsidR="00CB0DD7" w:rsidRPr="000A0A5F" w:rsidRDefault="00CB0DD7">
      <w:pPr>
        <w:pStyle w:val="Heading2"/>
      </w:pPr>
      <w:bookmarkStart w:id="9048" w:name="_Toc11247874"/>
      <w:bookmarkStart w:id="9049" w:name="_Toc27045018"/>
      <w:bookmarkStart w:id="9050" w:name="_Toc36034060"/>
      <w:bookmarkStart w:id="9051" w:name="_Toc45132207"/>
      <w:bookmarkStart w:id="9052" w:name="_Toc49776492"/>
      <w:bookmarkStart w:id="9053" w:name="_Toc51747412"/>
      <w:bookmarkStart w:id="9054" w:name="_Toc66360991"/>
      <w:bookmarkStart w:id="9055" w:name="_Toc68105496"/>
      <w:bookmarkStart w:id="9056" w:name="_Toc74756126"/>
      <w:bookmarkStart w:id="9057" w:name="_Toc105675003"/>
      <w:bookmarkStart w:id="9058" w:name="_Toc130503071"/>
      <w:bookmarkStart w:id="9059" w:name="_Toc153625859"/>
      <w:r w:rsidRPr="000A0A5F">
        <w:t>5.14</w:t>
      </w:r>
      <w:r w:rsidRPr="000A0A5F">
        <w:tab/>
        <w:t>AsSessionWithQoS API</w:t>
      </w:r>
      <w:bookmarkEnd w:id="9048"/>
      <w:bookmarkEnd w:id="9049"/>
      <w:bookmarkEnd w:id="9050"/>
      <w:bookmarkEnd w:id="9051"/>
      <w:bookmarkEnd w:id="9052"/>
      <w:bookmarkEnd w:id="9053"/>
      <w:bookmarkEnd w:id="9054"/>
      <w:bookmarkEnd w:id="9055"/>
      <w:bookmarkEnd w:id="9056"/>
      <w:bookmarkEnd w:id="9057"/>
      <w:bookmarkEnd w:id="9058"/>
      <w:bookmarkEnd w:id="9059"/>
    </w:p>
    <w:p w:rsidR="00CB0DD7" w:rsidRPr="000A0A5F" w:rsidRDefault="00CB0DD7">
      <w:pPr>
        <w:pStyle w:val="Heading3"/>
      </w:pPr>
      <w:bookmarkStart w:id="9060" w:name="_Toc11247875"/>
      <w:bookmarkStart w:id="9061" w:name="_Toc27045019"/>
      <w:bookmarkStart w:id="9062" w:name="_Toc36034061"/>
      <w:bookmarkStart w:id="9063" w:name="_Toc45132208"/>
      <w:bookmarkStart w:id="9064" w:name="_Toc49776493"/>
      <w:bookmarkStart w:id="9065" w:name="_Toc51747413"/>
      <w:bookmarkStart w:id="9066" w:name="_Toc66360992"/>
      <w:bookmarkStart w:id="9067" w:name="_Toc68105497"/>
      <w:bookmarkStart w:id="9068" w:name="_Toc74756127"/>
      <w:bookmarkStart w:id="9069" w:name="_Toc105675004"/>
      <w:bookmarkStart w:id="9070" w:name="_Toc130503072"/>
      <w:bookmarkStart w:id="9071" w:name="_Toc153625860"/>
      <w:r w:rsidRPr="000A0A5F">
        <w:t>5.14.1</w:t>
      </w:r>
      <w:r w:rsidRPr="000A0A5F">
        <w:tab/>
        <w:t>Overview</w:t>
      </w:r>
      <w:bookmarkEnd w:id="9060"/>
      <w:bookmarkEnd w:id="9061"/>
      <w:bookmarkEnd w:id="9062"/>
      <w:bookmarkEnd w:id="9063"/>
      <w:bookmarkEnd w:id="9064"/>
      <w:bookmarkEnd w:id="9065"/>
      <w:bookmarkEnd w:id="9066"/>
      <w:bookmarkEnd w:id="9067"/>
      <w:bookmarkEnd w:id="9068"/>
      <w:bookmarkEnd w:id="9069"/>
      <w:bookmarkEnd w:id="9070"/>
      <w:bookmarkEnd w:id="9071"/>
    </w:p>
    <w:p w:rsidR="00CB0DD7" w:rsidRPr="000A0A5F" w:rsidRDefault="00CB0DD7">
      <w:r w:rsidRPr="000A0A5F">
        <w:rPr>
          <w:rFonts w:hint="eastAsia"/>
          <w:noProof/>
          <w:lang w:eastAsia="zh-CN"/>
        </w:rPr>
        <w:t>The</w:t>
      </w:r>
      <w:r w:rsidRPr="000A0A5F">
        <w:rPr>
          <w:noProof/>
          <w:lang w:eastAsia="zh-CN"/>
        </w:rPr>
        <w:t xml:space="preserve"> AsSessionWithQoS API is a RESTful API that allows the SCS/AS to set up a session with SCEF with required QoS based on the application and service requirement.</w:t>
      </w:r>
      <w:r w:rsidRPr="000A0A5F">
        <w:rPr>
          <w:noProof/>
          <w:lang w:val="en-US" w:eastAsia="zh-CN"/>
        </w:rPr>
        <w:t xml:space="preserve"> </w:t>
      </w:r>
      <w:r w:rsidRPr="000A0A5F">
        <w:t xml:space="preserve">The </w:t>
      </w:r>
      <w:r w:rsidRPr="000A0A5F">
        <w:rPr>
          <w:noProof/>
          <w:lang w:eastAsia="zh-CN"/>
        </w:rPr>
        <w:t>AsSessionWithQoS</w:t>
      </w:r>
      <w:r w:rsidRPr="000A0A5F">
        <w:t xml:space="preserve"> API defines a set of data models, resources and the related procedures for the creation and management of the AS sessions with required QoS. The corresponding JSON schema for the representation of the resources and operations defined by the </w:t>
      </w:r>
      <w:r w:rsidRPr="000A0A5F">
        <w:rPr>
          <w:noProof/>
          <w:lang w:eastAsia="zh-CN"/>
        </w:rPr>
        <w:t>AsSessionWithQoS</w:t>
      </w:r>
      <w:r w:rsidRPr="000A0A5F">
        <w:t xml:space="preserve"> API is provided in its complete form in Annex A.14.</w:t>
      </w:r>
    </w:p>
    <w:p w:rsidR="00CB0DD7" w:rsidRPr="000A0A5F" w:rsidRDefault="00CB0DD7">
      <w:pPr>
        <w:pStyle w:val="Heading3"/>
      </w:pPr>
      <w:bookmarkStart w:id="9072" w:name="_Toc11247876"/>
      <w:bookmarkStart w:id="9073" w:name="_Toc27045020"/>
      <w:bookmarkStart w:id="9074" w:name="_Toc36034062"/>
      <w:bookmarkStart w:id="9075" w:name="_Toc45132209"/>
      <w:bookmarkStart w:id="9076" w:name="_Toc49776494"/>
      <w:bookmarkStart w:id="9077" w:name="_Toc51747414"/>
      <w:bookmarkStart w:id="9078" w:name="_Toc66360993"/>
      <w:bookmarkStart w:id="9079" w:name="_Toc68105498"/>
      <w:bookmarkStart w:id="9080" w:name="_Toc74756128"/>
      <w:bookmarkStart w:id="9081" w:name="_Toc105675005"/>
      <w:bookmarkStart w:id="9082" w:name="_Toc130503073"/>
      <w:bookmarkStart w:id="9083" w:name="_Toc153625861"/>
      <w:r w:rsidRPr="000A0A5F">
        <w:t>5.14.2</w:t>
      </w:r>
      <w:r w:rsidRPr="000A0A5F">
        <w:tab/>
        <w:t>Data model</w:t>
      </w:r>
      <w:bookmarkEnd w:id="9072"/>
      <w:bookmarkEnd w:id="9073"/>
      <w:bookmarkEnd w:id="9074"/>
      <w:bookmarkEnd w:id="9075"/>
      <w:bookmarkEnd w:id="9076"/>
      <w:bookmarkEnd w:id="9077"/>
      <w:bookmarkEnd w:id="9078"/>
      <w:bookmarkEnd w:id="9079"/>
      <w:bookmarkEnd w:id="9080"/>
      <w:bookmarkEnd w:id="9081"/>
      <w:bookmarkEnd w:id="9082"/>
      <w:bookmarkEnd w:id="9083"/>
    </w:p>
    <w:p w:rsidR="00CB0DD7" w:rsidRPr="000A0A5F" w:rsidRDefault="00CB0DD7">
      <w:pPr>
        <w:pStyle w:val="Heading4"/>
      </w:pPr>
      <w:bookmarkStart w:id="9084" w:name="_Toc11247877"/>
      <w:bookmarkStart w:id="9085" w:name="_Toc27045021"/>
      <w:bookmarkStart w:id="9086" w:name="_Toc36034063"/>
      <w:bookmarkStart w:id="9087" w:name="_Toc45132210"/>
      <w:bookmarkStart w:id="9088" w:name="_Toc49776495"/>
      <w:bookmarkStart w:id="9089" w:name="_Toc51747415"/>
      <w:bookmarkStart w:id="9090" w:name="_Toc66360994"/>
      <w:bookmarkStart w:id="9091" w:name="_Toc68105499"/>
      <w:bookmarkStart w:id="9092" w:name="_Toc74756129"/>
      <w:bookmarkStart w:id="9093" w:name="_Toc105675006"/>
      <w:bookmarkStart w:id="9094" w:name="_Toc130503074"/>
      <w:bookmarkStart w:id="9095" w:name="_Toc153625862"/>
      <w:r w:rsidRPr="000A0A5F">
        <w:t>5.14.2.1</w:t>
      </w:r>
      <w:r w:rsidRPr="000A0A5F">
        <w:tab/>
        <w:t>Resource data types</w:t>
      </w:r>
      <w:bookmarkEnd w:id="9084"/>
      <w:bookmarkEnd w:id="9085"/>
      <w:bookmarkEnd w:id="9086"/>
      <w:bookmarkEnd w:id="9087"/>
      <w:bookmarkEnd w:id="9088"/>
      <w:bookmarkEnd w:id="9089"/>
      <w:bookmarkEnd w:id="9090"/>
      <w:bookmarkEnd w:id="9091"/>
      <w:bookmarkEnd w:id="9092"/>
      <w:bookmarkEnd w:id="9093"/>
      <w:bookmarkEnd w:id="9094"/>
      <w:bookmarkEnd w:id="9095"/>
    </w:p>
    <w:p w:rsidR="00CB0DD7" w:rsidRPr="000A0A5F" w:rsidRDefault="00CB0DD7">
      <w:pPr>
        <w:pStyle w:val="Heading5"/>
      </w:pPr>
      <w:bookmarkStart w:id="9096" w:name="_Toc11247878"/>
      <w:bookmarkStart w:id="9097" w:name="_Toc27045022"/>
      <w:bookmarkStart w:id="9098" w:name="_Toc36034064"/>
      <w:bookmarkStart w:id="9099" w:name="_Toc45132211"/>
      <w:bookmarkStart w:id="9100" w:name="_Toc49776496"/>
      <w:bookmarkStart w:id="9101" w:name="_Toc51747416"/>
      <w:bookmarkStart w:id="9102" w:name="_Toc66360995"/>
      <w:bookmarkStart w:id="9103" w:name="_Toc68105500"/>
      <w:bookmarkStart w:id="9104" w:name="_Toc74756130"/>
      <w:bookmarkStart w:id="9105" w:name="_Toc105675007"/>
      <w:bookmarkStart w:id="9106" w:name="_Toc130503075"/>
      <w:bookmarkStart w:id="9107" w:name="_Toc153625863"/>
      <w:r w:rsidRPr="000A0A5F">
        <w:t>5.14.2.1.1</w:t>
      </w:r>
      <w:r w:rsidRPr="000A0A5F">
        <w:tab/>
        <w:t>Introduction</w:t>
      </w:r>
      <w:bookmarkEnd w:id="9096"/>
      <w:bookmarkEnd w:id="9097"/>
      <w:bookmarkEnd w:id="9098"/>
      <w:bookmarkEnd w:id="9099"/>
      <w:bookmarkEnd w:id="9100"/>
      <w:bookmarkEnd w:id="9101"/>
      <w:bookmarkEnd w:id="9102"/>
      <w:bookmarkEnd w:id="9103"/>
      <w:bookmarkEnd w:id="9104"/>
      <w:bookmarkEnd w:id="9105"/>
      <w:bookmarkEnd w:id="9106"/>
      <w:bookmarkEnd w:id="9107"/>
    </w:p>
    <w:p w:rsidR="00CB0DD7" w:rsidRPr="000A0A5F" w:rsidRDefault="00CB0DD7">
      <w:r w:rsidRPr="000A0A5F">
        <w:t>This clause defines data structures to be used in resource representations, including subscription resources.</w:t>
      </w:r>
    </w:p>
    <w:p w:rsidR="00CB0DD7" w:rsidRPr="000A0A5F" w:rsidRDefault="00CB0DD7">
      <w:r w:rsidRPr="000A0A5F">
        <w:t xml:space="preserve">Table 5.14.2.1.1-1 specifies data types re-used by the AsSessionWithQoS API from other specifications, including a reference to their respective specifications and when needed, a short description of their use within the AsSessionWithQoS API. </w:t>
      </w:r>
    </w:p>
    <w:p w:rsidR="00CB0DD7" w:rsidRPr="000A0A5F" w:rsidRDefault="00CB0DD7">
      <w:pPr>
        <w:pStyle w:val="TH"/>
      </w:pPr>
      <w:r w:rsidRPr="000A0A5F">
        <w:t>Table 5.14.2.1.1-1: AsSessionWithQoS API re-used Data Types</w:t>
      </w:r>
    </w:p>
    <w:tbl>
      <w:tblPr>
        <w:tblW w:w="97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3087"/>
        <w:gridCol w:w="1850"/>
        <w:gridCol w:w="3033"/>
        <w:gridCol w:w="1807"/>
      </w:tblGrid>
      <w:tr w:rsidR="00BF3AE5" w:rsidRPr="000A0A5F" w:rsidTr="00A60F32">
        <w:trPr>
          <w:jc w:val="center"/>
        </w:trPr>
        <w:tc>
          <w:tcPr>
            <w:tcW w:w="3087" w:type="dxa"/>
            <w:shd w:val="clear" w:color="auto" w:fill="C0C0C0"/>
            <w:hideMark/>
          </w:tcPr>
          <w:p w:rsidR="00BF3AE5" w:rsidRPr="000A0A5F" w:rsidRDefault="00BF3AE5">
            <w:pPr>
              <w:pStyle w:val="TAH"/>
            </w:pPr>
            <w:r w:rsidRPr="000A0A5F">
              <w:t>Data type</w:t>
            </w:r>
          </w:p>
        </w:tc>
        <w:tc>
          <w:tcPr>
            <w:tcW w:w="1850" w:type="dxa"/>
            <w:shd w:val="clear" w:color="auto" w:fill="C0C0C0"/>
          </w:tcPr>
          <w:p w:rsidR="00BF3AE5" w:rsidRPr="000A0A5F" w:rsidRDefault="00BF3AE5">
            <w:pPr>
              <w:pStyle w:val="TAH"/>
            </w:pPr>
            <w:r w:rsidRPr="000A0A5F">
              <w:t>Reference</w:t>
            </w:r>
          </w:p>
        </w:tc>
        <w:tc>
          <w:tcPr>
            <w:tcW w:w="3033" w:type="dxa"/>
            <w:shd w:val="clear" w:color="auto" w:fill="C0C0C0"/>
            <w:hideMark/>
          </w:tcPr>
          <w:p w:rsidR="00BF3AE5" w:rsidRPr="000A0A5F" w:rsidRDefault="00BF3AE5">
            <w:pPr>
              <w:pStyle w:val="TAH"/>
            </w:pPr>
            <w:r w:rsidRPr="000A0A5F">
              <w:t>Comments</w:t>
            </w:r>
          </w:p>
        </w:tc>
        <w:tc>
          <w:tcPr>
            <w:tcW w:w="1807" w:type="dxa"/>
            <w:shd w:val="clear" w:color="auto" w:fill="C0C0C0"/>
          </w:tcPr>
          <w:p w:rsidR="00BF3AE5" w:rsidRPr="000A0A5F" w:rsidRDefault="00BF3AE5">
            <w:pPr>
              <w:pStyle w:val="TAH"/>
            </w:pPr>
            <w:r w:rsidRPr="000A0A5F">
              <w:t>Applicability</w:t>
            </w:r>
          </w:p>
        </w:tc>
      </w:tr>
      <w:tr w:rsidR="00BF3AE5" w:rsidRPr="000A0A5F" w:rsidTr="00A60F32">
        <w:trPr>
          <w:jc w:val="center"/>
        </w:trPr>
        <w:tc>
          <w:tcPr>
            <w:tcW w:w="3087" w:type="dxa"/>
            <w:shd w:val="clear" w:color="auto" w:fill="auto"/>
          </w:tcPr>
          <w:p w:rsidR="00BF3AE5" w:rsidRPr="000A0A5F" w:rsidRDefault="00BF3AE5" w:rsidP="002C21E6">
            <w:pPr>
              <w:pStyle w:val="TAL"/>
            </w:pPr>
            <w:r w:rsidRPr="000A0A5F">
              <w:t>AcceptableServiceInfo</w:t>
            </w:r>
          </w:p>
        </w:tc>
        <w:tc>
          <w:tcPr>
            <w:tcW w:w="1850" w:type="dxa"/>
            <w:shd w:val="clear" w:color="auto" w:fill="auto"/>
          </w:tcPr>
          <w:p w:rsidR="00BF3AE5" w:rsidRPr="000A0A5F" w:rsidRDefault="00BF3AE5" w:rsidP="002C21E6">
            <w:pPr>
              <w:pStyle w:val="TAL"/>
            </w:pPr>
            <w:r w:rsidRPr="000A0A5F">
              <w:t>3GPP TS 29.514 [52]</w:t>
            </w:r>
          </w:p>
        </w:tc>
        <w:tc>
          <w:tcPr>
            <w:tcW w:w="3033" w:type="dxa"/>
            <w:shd w:val="clear" w:color="auto" w:fill="auto"/>
          </w:tcPr>
          <w:p w:rsidR="00BF3AE5" w:rsidRPr="000A0A5F" w:rsidRDefault="00BF3AE5" w:rsidP="002C21E6">
            <w:pPr>
              <w:pStyle w:val="TAL"/>
            </w:pPr>
            <w:r w:rsidRPr="000A0A5F">
              <w:rPr>
                <w:rFonts w:cs="Arial"/>
                <w:szCs w:val="18"/>
              </w:rPr>
              <w:t>Acceptable maximum requested bandwidth.</w:t>
            </w:r>
          </w:p>
        </w:tc>
        <w:tc>
          <w:tcPr>
            <w:tcW w:w="1807" w:type="dxa"/>
          </w:tcPr>
          <w:p w:rsidR="00BF3AE5" w:rsidRPr="000A0A5F" w:rsidRDefault="00BF3AE5" w:rsidP="002C21E6">
            <w:pPr>
              <w:pStyle w:val="TAL"/>
              <w:rPr>
                <w:rFonts w:cs="Arial"/>
                <w:szCs w:val="18"/>
              </w:rPr>
            </w:pPr>
          </w:p>
        </w:tc>
      </w:tr>
      <w:tr w:rsidR="00BF3AE5" w:rsidRPr="000A0A5F" w:rsidTr="00A60F32">
        <w:trPr>
          <w:jc w:val="center"/>
        </w:trPr>
        <w:tc>
          <w:tcPr>
            <w:tcW w:w="3087" w:type="dxa"/>
          </w:tcPr>
          <w:p w:rsidR="00BF3AE5" w:rsidRPr="000A0A5F" w:rsidRDefault="00BF3AE5" w:rsidP="002C21E6">
            <w:pPr>
              <w:pStyle w:val="TAL"/>
            </w:pPr>
            <w:r w:rsidRPr="000A0A5F">
              <w:t>AlternativeServiceRequirementsData</w:t>
            </w:r>
          </w:p>
        </w:tc>
        <w:tc>
          <w:tcPr>
            <w:tcW w:w="1850" w:type="dxa"/>
          </w:tcPr>
          <w:p w:rsidR="00BF3AE5" w:rsidRPr="000A0A5F" w:rsidRDefault="00BF3AE5" w:rsidP="002C21E6">
            <w:pPr>
              <w:pStyle w:val="TAL"/>
            </w:pPr>
            <w:r w:rsidRPr="000A0A5F">
              <w:t>3GPP TS 29.514 [52]</w:t>
            </w:r>
          </w:p>
        </w:tc>
        <w:tc>
          <w:tcPr>
            <w:tcW w:w="3033" w:type="dxa"/>
          </w:tcPr>
          <w:p w:rsidR="00BF3AE5" w:rsidRPr="000A0A5F" w:rsidRDefault="00BF3AE5" w:rsidP="002C21E6">
            <w:pPr>
              <w:pStyle w:val="TAL"/>
              <w:rPr>
                <w:rFonts w:cs="Arial"/>
                <w:szCs w:val="18"/>
              </w:rPr>
            </w:pPr>
            <w:r w:rsidRPr="000A0A5F">
              <w:rPr>
                <w:rFonts w:cs="Arial"/>
                <w:szCs w:val="18"/>
              </w:rPr>
              <w:t>Contains alternative QoS related parameters and a reference to them.</w:t>
            </w:r>
          </w:p>
        </w:tc>
        <w:tc>
          <w:tcPr>
            <w:tcW w:w="1807" w:type="dxa"/>
          </w:tcPr>
          <w:p w:rsidR="00BF3AE5" w:rsidRPr="000A0A5F" w:rsidRDefault="00BF3AE5" w:rsidP="002C21E6">
            <w:pPr>
              <w:pStyle w:val="TAL"/>
              <w:rPr>
                <w:rFonts w:cs="Arial"/>
                <w:szCs w:val="18"/>
              </w:rPr>
            </w:pPr>
          </w:p>
        </w:tc>
      </w:tr>
      <w:tr w:rsidR="00DE6211" w:rsidRPr="000A0A5F" w:rsidTr="00A60F32">
        <w:trPr>
          <w:jc w:val="center"/>
        </w:trPr>
        <w:tc>
          <w:tcPr>
            <w:tcW w:w="3087" w:type="dxa"/>
          </w:tcPr>
          <w:p w:rsidR="00DE6211" w:rsidRPr="000A0A5F" w:rsidRDefault="00DE6211" w:rsidP="00DE6211">
            <w:pPr>
              <w:pStyle w:val="TAL"/>
            </w:pPr>
            <w:r w:rsidRPr="000A0A5F">
              <w:t>AverWindow</w:t>
            </w:r>
          </w:p>
        </w:tc>
        <w:tc>
          <w:tcPr>
            <w:tcW w:w="1850" w:type="dxa"/>
          </w:tcPr>
          <w:p w:rsidR="00DE6211" w:rsidRPr="000A0A5F" w:rsidRDefault="00DE6211" w:rsidP="00DE6211">
            <w:pPr>
              <w:pStyle w:val="TAL"/>
            </w:pPr>
            <w:r w:rsidRPr="000A0A5F">
              <w:t>3GPP TS 29.571 [45]</w:t>
            </w:r>
          </w:p>
        </w:tc>
        <w:tc>
          <w:tcPr>
            <w:tcW w:w="3033" w:type="dxa"/>
          </w:tcPr>
          <w:p w:rsidR="00DE6211" w:rsidRPr="000A0A5F" w:rsidRDefault="00DE6211" w:rsidP="00DE6211">
            <w:pPr>
              <w:pStyle w:val="TAL"/>
              <w:rPr>
                <w:rFonts w:cs="Arial"/>
                <w:szCs w:val="18"/>
              </w:rPr>
            </w:pPr>
            <w:r w:rsidRPr="000A0A5F">
              <w:t>Averaging Window.</w:t>
            </w:r>
          </w:p>
        </w:tc>
        <w:tc>
          <w:tcPr>
            <w:tcW w:w="1807" w:type="dxa"/>
          </w:tcPr>
          <w:p w:rsidR="00DE6211" w:rsidRPr="000A0A5F" w:rsidRDefault="00DE6211" w:rsidP="00DE6211">
            <w:pPr>
              <w:pStyle w:val="TAL"/>
              <w:rPr>
                <w:rFonts w:cs="Arial"/>
                <w:szCs w:val="18"/>
              </w:rPr>
            </w:pPr>
            <w:r w:rsidRPr="000A0A5F">
              <w:rPr>
                <w:rFonts w:cs="Arial"/>
                <w:szCs w:val="18"/>
              </w:rPr>
              <w:t>EnQoSMon</w:t>
            </w:r>
          </w:p>
        </w:tc>
      </w:tr>
      <w:tr w:rsidR="00DE6211" w:rsidRPr="000A0A5F" w:rsidTr="00A60F32">
        <w:trPr>
          <w:jc w:val="center"/>
        </w:trPr>
        <w:tc>
          <w:tcPr>
            <w:tcW w:w="3087" w:type="dxa"/>
          </w:tcPr>
          <w:p w:rsidR="00DE6211" w:rsidRPr="000A0A5F" w:rsidRDefault="00DE6211" w:rsidP="00DE6211">
            <w:pPr>
              <w:pStyle w:val="TAL"/>
            </w:pPr>
            <w:r w:rsidRPr="000A0A5F">
              <w:t>AverWindowRm</w:t>
            </w:r>
          </w:p>
        </w:tc>
        <w:tc>
          <w:tcPr>
            <w:tcW w:w="1850" w:type="dxa"/>
          </w:tcPr>
          <w:p w:rsidR="00DE6211" w:rsidRPr="000A0A5F" w:rsidRDefault="00DE6211" w:rsidP="00DE6211">
            <w:pPr>
              <w:pStyle w:val="TAL"/>
            </w:pPr>
            <w:r w:rsidRPr="000A0A5F">
              <w:t>3GPP TS 29.571 [45]</w:t>
            </w:r>
          </w:p>
        </w:tc>
        <w:tc>
          <w:tcPr>
            <w:tcW w:w="3033" w:type="dxa"/>
          </w:tcPr>
          <w:p w:rsidR="00DE6211" w:rsidRPr="000A0A5F" w:rsidRDefault="00DE6211" w:rsidP="00DE6211">
            <w:pPr>
              <w:pStyle w:val="TAL"/>
              <w:rPr>
                <w:rFonts w:cs="Arial"/>
                <w:szCs w:val="18"/>
              </w:rPr>
            </w:pPr>
            <w:r w:rsidRPr="000A0A5F">
              <w:t>This data type is defined in the same way as the "AverWindow" data type, but with the OpenAPI "nullable: true" property.</w:t>
            </w:r>
          </w:p>
        </w:tc>
        <w:tc>
          <w:tcPr>
            <w:tcW w:w="1807" w:type="dxa"/>
          </w:tcPr>
          <w:p w:rsidR="00DE6211" w:rsidRPr="000A0A5F" w:rsidRDefault="00DE6211" w:rsidP="00DE6211">
            <w:pPr>
              <w:pStyle w:val="TAL"/>
              <w:rPr>
                <w:rFonts w:cs="Arial"/>
                <w:szCs w:val="18"/>
              </w:rPr>
            </w:pPr>
            <w:r w:rsidRPr="000A0A5F">
              <w:rPr>
                <w:rFonts w:cs="Arial"/>
                <w:szCs w:val="18"/>
              </w:rPr>
              <w:t>EnQoSMon</w:t>
            </w:r>
          </w:p>
        </w:tc>
      </w:tr>
      <w:tr w:rsidR="002F6485" w:rsidRPr="000A0A5F" w:rsidTr="00A60F32">
        <w:trPr>
          <w:jc w:val="center"/>
        </w:trPr>
        <w:tc>
          <w:tcPr>
            <w:tcW w:w="3087" w:type="dxa"/>
          </w:tcPr>
          <w:p w:rsidR="002F6485" w:rsidRPr="000A0A5F" w:rsidRDefault="002F6485" w:rsidP="002F6485">
            <w:pPr>
              <w:pStyle w:val="TAL"/>
            </w:pPr>
            <w:r w:rsidRPr="000A0A5F">
              <w:t>B</w:t>
            </w:r>
            <w:r w:rsidRPr="000A0A5F">
              <w:rPr>
                <w:rFonts w:hint="eastAsia"/>
              </w:rPr>
              <w:t>at</w:t>
            </w:r>
            <w:r w:rsidRPr="000A0A5F">
              <w:t>OffsetInfo</w:t>
            </w:r>
          </w:p>
        </w:tc>
        <w:tc>
          <w:tcPr>
            <w:tcW w:w="1850" w:type="dxa"/>
          </w:tcPr>
          <w:p w:rsidR="002F6485" w:rsidRPr="000A0A5F" w:rsidRDefault="002F6485" w:rsidP="002F6485">
            <w:pPr>
              <w:pStyle w:val="TAL"/>
            </w:pPr>
            <w:r w:rsidRPr="000A0A5F">
              <w:rPr>
                <w:rFonts w:eastAsia="DengXian"/>
              </w:rPr>
              <w:t>3GPP TS 29.514 [</w:t>
            </w:r>
            <w:r w:rsidRPr="000A0A5F">
              <w:t>52</w:t>
            </w:r>
            <w:r w:rsidRPr="000A0A5F">
              <w:rPr>
                <w:rFonts w:eastAsia="DengXian"/>
              </w:rPr>
              <w:t>]</w:t>
            </w:r>
          </w:p>
        </w:tc>
        <w:tc>
          <w:tcPr>
            <w:tcW w:w="3033" w:type="dxa"/>
          </w:tcPr>
          <w:p w:rsidR="002F6485" w:rsidRPr="000A0A5F" w:rsidRDefault="002F6485" w:rsidP="002F6485">
            <w:pPr>
              <w:pStyle w:val="TAL"/>
              <w:rPr>
                <w:rFonts w:cs="Arial"/>
                <w:szCs w:val="18"/>
              </w:rPr>
            </w:pPr>
            <w:r w:rsidRPr="000A0A5F">
              <w:rPr>
                <w:rFonts w:eastAsia="DengXian"/>
              </w:rPr>
              <w:t>Contains</w:t>
            </w:r>
            <w:r w:rsidRPr="000A0A5F">
              <w:t xml:space="preserve"> the offset of the BAT and the optionally adjusted periodicity.</w:t>
            </w:r>
          </w:p>
        </w:tc>
        <w:tc>
          <w:tcPr>
            <w:tcW w:w="1807" w:type="dxa"/>
          </w:tcPr>
          <w:p w:rsidR="002F6485" w:rsidRPr="000A0A5F" w:rsidRDefault="002F6485" w:rsidP="002F6485">
            <w:pPr>
              <w:pStyle w:val="TAL"/>
              <w:rPr>
                <w:rFonts w:cs="Arial"/>
                <w:szCs w:val="18"/>
              </w:rPr>
            </w:pPr>
          </w:p>
        </w:tc>
      </w:tr>
      <w:tr w:rsidR="002F6485" w:rsidRPr="000A0A5F" w:rsidTr="00A60F32">
        <w:trPr>
          <w:jc w:val="center"/>
        </w:trPr>
        <w:tc>
          <w:tcPr>
            <w:tcW w:w="3087" w:type="dxa"/>
          </w:tcPr>
          <w:p w:rsidR="002F6485" w:rsidRPr="000A0A5F" w:rsidRDefault="002F6485" w:rsidP="002F6485">
            <w:pPr>
              <w:pStyle w:val="TAL"/>
            </w:pPr>
            <w:r w:rsidRPr="000A0A5F">
              <w:t>BitRate</w:t>
            </w:r>
          </w:p>
        </w:tc>
        <w:tc>
          <w:tcPr>
            <w:tcW w:w="1850" w:type="dxa"/>
          </w:tcPr>
          <w:p w:rsidR="002F6485" w:rsidRPr="000A0A5F" w:rsidRDefault="002F6485" w:rsidP="002F6485">
            <w:pPr>
              <w:pStyle w:val="TAL"/>
            </w:pPr>
            <w:r w:rsidRPr="000A0A5F">
              <w:t>3GPP TS 29.571 [45]</w:t>
            </w:r>
          </w:p>
        </w:tc>
        <w:tc>
          <w:tcPr>
            <w:tcW w:w="3033" w:type="dxa"/>
          </w:tcPr>
          <w:p w:rsidR="002F6485" w:rsidRPr="000A0A5F" w:rsidRDefault="002F6485" w:rsidP="002F6485">
            <w:pPr>
              <w:pStyle w:val="TAL"/>
              <w:rPr>
                <w:lang w:eastAsia="zh-CN"/>
              </w:rPr>
            </w:pPr>
            <w:r w:rsidRPr="000A0A5F">
              <w:rPr>
                <w:lang w:eastAsia="zh-CN"/>
              </w:rPr>
              <w:t>String representing a bit rate that shall be formatted as follows:</w:t>
            </w:r>
          </w:p>
          <w:p w:rsidR="002F6485" w:rsidRPr="000A0A5F" w:rsidRDefault="002F6485" w:rsidP="002F6485">
            <w:pPr>
              <w:pStyle w:val="TAL"/>
            </w:pPr>
            <w:r w:rsidRPr="000A0A5F">
              <w:t>Pattern: '^\d+(\.\d+)? (bps|Kbps|Mbps|Gbps|Tbps)$'</w:t>
            </w:r>
          </w:p>
          <w:p w:rsidR="002F6485" w:rsidRPr="000A0A5F" w:rsidRDefault="002F6485" w:rsidP="002F6485">
            <w:pPr>
              <w:pStyle w:val="TAL"/>
            </w:pPr>
            <w:r w:rsidRPr="000A0A5F">
              <w:t>Examples:</w:t>
            </w:r>
          </w:p>
          <w:p w:rsidR="002F6485" w:rsidRPr="000A0A5F" w:rsidRDefault="002F6485" w:rsidP="002F6485">
            <w:pPr>
              <w:pStyle w:val="TAL"/>
              <w:rPr>
                <w:rFonts w:cs="Arial"/>
                <w:szCs w:val="18"/>
              </w:rPr>
            </w:pPr>
            <w:r w:rsidRPr="000A0A5F">
              <w:t>"125 Mbps", "0.125 Gbps", "125000 Kbps"</w:t>
            </w:r>
          </w:p>
        </w:tc>
        <w:tc>
          <w:tcPr>
            <w:tcW w:w="1807" w:type="dxa"/>
          </w:tcPr>
          <w:p w:rsidR="002F6485" w:rsidRPr="000A0A5F" w:rsidRDefault="002F6485" w:rsidP="002F6485">
            <w:pPr>
              <w:pStyle w:val="TAL"/>
              <w:rPr>
                <w:lang w:eastAsia="zh-CN"/>
              </w:rPr>
            </w:pPr>
          </w:p>
        </w:tc>
      </w:tr>
      <w:tr w:rsidR="002F6485" w:rsidRPr="000A0A5F" w:rsidTr="00A60F32">
        <w:trPr>
          <w:jc w:val="center"/>
        </w:trPr>
        <w:tc>
          <w:tcPr>
            <w:tcW w:w="3087" w:type="dxa"/>
          </w:tcPr>
          <w:p w:rsidR="002F6485" w:rsidRPr="000A0A5F" w:rsidRDefault="002F6485" w:rsidP="002F6485">
            <w:pPr>
              <w:pStyle w:val="TAL"/>
            </w:pPr>
            <w:r w:rsidRPr="000A0A5F">
              <w:t>BitRateRm</w:t>
            </w:r>
          </w:p>
        </w:tc>
        <w:tc>
          <w:tcPr>
            <w:tcW w:w="1850" w:type="dxa"/>
          </w:tcPr>
          <w:p w:rsidR="002F6485" w:rsidRPr="000A0A5F" w:rsidRDefault="002F6485" w:rsidP="002F6485">
            <w:pPr>
              <w:pStyle w:val="TAL"/>
            </w:pPr>
            <w:r w:rsidRPr="000A0A5F">
              <w:t>3GPP TS 29.571 [45]</w:t>
            </w:r>
          </w:p>
        </w:tc>
        <w:tc>
          <w:tcPr>
            <w:tcW w:w="3033" w:type="dxa"/>
          </w:tcPr>
          <w:p w:rsidR="002F6485" w:rsidRPr="000A0A5F" w:rsidRDefault="002F6485" w:rsidP="002F6485">
            <w:pPr>
              <w:pStyle w:val="TAL"/>
              <w:rPr>
                <w:rFonts w:cs="Arial"/>
                <w:szCs w:val="18"/>
              </w:rPr>
            </w:pPr>
            <w:r w:rsidRPr="000A0A5F">
              <w:t>This data type is defined in the same way as the "BitRate" data type, but with the OpenAPI "nullable: true" property.</w:t>
            </w:r>
          </w:p>
        </w:tc>
        <w:tc>
          <w:tcPr>
            <w:tcW w:w="1807" w:type="dxa"/>
          </w:tcPr>
          <w:p w:rsidR="002F6485" w:rsidRPr="000A0A5F" w:rsidRDefault="002F6485" w:rsidP="002F6485">
            <w:pPr>
              <w:pStyle w:val="TAL"/>
            </w:pPr>
          </w:p>
        </w:tc>
      </w:tr>
      <w:tr w:rsidR="002F6485" w:rsidRPr="000A0A5F" w:rsidTr="00A60F32">
        <w:trPr>
          <w:jc w:val="center"/>
        </w:trPr>
        <w:tc>
          <w:tcPr>
            <w:tcW w:w="3087" w:type="dxa"/>
          </w:tcPr>
          <w:p w:rsidR="002F6485" w:rsidRPr="000A0A5F" w:rsidRDefault="002F6485" w:rsidP="002F6485">
            <w:pPr>
              <w:pStyle w:val="TAL"/>
            </w:pPr>
            <w:r w:rsidRPr="000A0A5F">
              <w:t>Dnn</w:t>
            </w:r>
          </w:p>
        </w:tc>
        <w:tc>
          <w:tcPr>
            <w:tcW w:w="1850" w:type="dxa"/>
          </w:tcPr>
          <w:p w:rsidR="002F6485" w:rsidRPr="000A0A5F" w:rsidRDefault="002F6485" w:rsidP="002F6485">
            <w:pPr>
              <w:pStyle w:val="TAL"/>
            </w:pPr>
            <w:r w:rsidRPr="000A0A5F">
              <w:t>3GPP TS 29.571 [45]</w:t>
            </w:r>
          </w:p>
        </w:tc>
        <w:tc>
          <w:tcPr>
            <w:tcW w:w="3033" w:type="dxa"/>
          </w:tcPr>
          <w:p w:rsidR="002F6485" w:rsidRPr="000A0A5F" w:rsidRDefault="002F6485" w:rsidP="002F6485">
            <w:pPr>
              <w:pStyle w:val="TAL"/>
              <w:rPr>
                <w:rFonts w:cs="Arial"/>
                <w:szCs w:val="18"/>
              </w:rPr>
            </w:pPr>
            <w:r w:rsidRPr="000A0A5F">
              <w:rPr>
                <w:rFonts w:cs="Arial"/>
                <w:szCs w:val="18"/>
              </w:rPr>
              <w:t>Identifies a DNN.</w:t>
            </w:r>
          </w:p>
        </w:tc>
        <w:tc>
          <w:tcPr>
            <w:tcW w:w="1807" w:type="dxa"/>
          </w:tcPr>
          <w:p w:rsidR="002F6485" w:rsidRPr="000A0A5F" w:rsidRDefault="002F6485" w:rsidP="002F6485">
            <w:pPr>
              <w:pStyle w:val="TAL"/>
              <w:rPr>
                <w:rFonts w:cs="Arial"/>
                <w:szCs w:val="18"/>
              </w:rPr>
            </w:pPr>
          </w:p>
        </w:tc>
      </w:tr>
      <w:tr w:rsidR="002F6485" w:rsidRPr="000A0A5F" w:rsidTr="00A60F32">
        <w:trPr>
          <w:jc w:val="center"/>
        </w:trPr>
        <w:tc>
          <w:tcPr>
            <w:tcW w:w="3087" w:type="dxa"/>
          </w:tcPr>
          <w:p w:rsidR="002F6485" w:rsidRPr="000A0A5F" w:rsidRDefault="002F6485" w:rsidP="002F6485">
            <w:pPr>
              <w:pStyle w:val="TAL"/>
            </w:pPr>
            <w:r w:rsidRPr="000A0A5F">
              <w:t>EthFlowDescription</w:t>
            </w:r>
          </w:p>
        </w:tc>
        <w:tc>
          <w:tcPr>
            <w:tcW w:w="1850" w:type="dxa"/>
          </w:tcPr>
          <w:p w:rsidR="002F6485" w:rsidRPr="000A0A5F" w:rsidRDefault="002F6485" w:rsidP="002F6485">
            <w:pPr>
              <w:pStyle w:val="TAL"/>
              <w:rPr>
                <w:lang w:eastAsia="zh-CN"/>
              </w:rPr>
            </w:pPr>
            <w:r w:rsidRPr="000A0A5F">
              <w:t>3GPP TS 29.514 [52]</w:t>
            </w:r>
          </w:p>
        </w:tc>
        <w:tc>
          <w:tcPr>
            <w:tcW w:w="3033" w:type="dxa"/>
          </w:tcPr>
          <w:p w:rsidR="002F6485" w:rsidRPr="000A0A5F" w:rsidRDefault="002F6485" w:rsidP="002F6485">
            <w:pPr>
              <w:pStyle w:val="TAL"/>
              <w:rPr>
                <w:lang w:eastAsia="zh-CN"/>
              </w:rPr>
            </w:pPr>
            <w:r w:rsidRPr="000A0A5F">
              <w:rPr>
                <w:rFonts w:cs="Arial"/>
                <w:szCs w:val="18"/>
              </w:rPr>
              <w:t>Defines a packet filter for an Ethernet flow.(NOTE 1)</w:t>
            </w:r>
          </w:p>
        </w:tc>
        <w:tc>
          <w:tcPr>
            <w:tcW w:w="1807" w:type="dxa"/>
          </w:tcPr>
          <w:p w:rsidR="002F6485" w:rsidRPr="000A0A5F" w:rsidRDefault="002F6485" w:rsidP="002F6485">
            <w:pPr>
              <w:pStyle w:val="TAL"/>
              <w:rPr>
                <w:rFonts w:cs="Arial"/>
                <w:szCs w:val="18"/>
              </w:rPr>
            </w:pPr>
          </w:p>
        </w:tc>
      </w:tr>
      <w:tr w:rsidR="00DE6211" w:rsidRPr="000A0A5F" w:rsidTr="00A60F32">
        <w:trPr>
          <w:jc w:val="center"/>
        </w:trPr>
        <w:tc>
          <w:tcPr>
            <w:tcW w:w="3087" w:type="dxa"/>
          </w:tcPr>
          <w:p w:rsidR="00DE6211" w:rsidRPr="000A0A5F" w:rsidRDefault="00DE6211" w:rsidP="00DE6211">
            <w:pPr>
              <w:pStyle w:val="TAL"/>
            </w:pPr>
            <w:r w:rsidRPr="006A2752">
              <w:rPr>
                <w:color w:val="000000"/>
              </w:rPr>
              <w:t>EventsSubscReqData</w:t>
            </w:r>
          </w:p>
        </w:tc>
        <w:tc>
          <w:tcPr>
            <w:tcW w:w="1850" w:type="dxa"/>
          </w:tcPr>
          <w:p w:rsidR="00DE6211" w:rsidRPr="000A0A5F" w:rsidRDefault="00DE6211" w:rsidP="00DE6211">
            <w:pPr>
              <w:pStyle w:val="TAL"/>
            </w:pPr>
            <w:r w:rsidRPr="000A0A5F">
              <w:t>3GPP TS 29.514 [52]</w:t>
            </w:r>
          </w:p>
        </w:tc>
        <w:tc>
          <w:tcPr>
            <w:tcW w:w="3033" w:type="dxa"/>
          </w:tcPr>
          <w:p w:rsidR="00DE6211" w:rsidRPr="000A0A5F" w:rsidRDefault="00DE6211" w:rsidP="00DE6211">
            <w:pPr>
              <w:pStyle w:val="TAL"/>
              <w:rPr>
                <w:rFonts w:cs="Arial"/>
                <w:szCs w:val="18"/>
              </w:rPr>
            </w:pPr>
            <w:r w:rsidRPr="000A0A5F">
              <w:rPr>
                <w:rFonts w:cs="Arial" w:hint="eastAsia"/>
                <w:szCs w:val="18"/>
              </w:rPr>
              <w:t>Identifies the events the application subscribes to.</w:t>
            </w:r>
          </w:p>
        </w:tc>
        <w:tc>
          <w:tcPr>
            <w:tcW w:w="1807" w:type="dxa"/>
          </w:tcPr>
          <w:p w:rsidR="00DE6211" w:rsidRPr="000A0A5F" w:rsidRDefault="00DE6211" w:rsidP="00DE6211">
            <w:pPr>
              <w:pStyle w:val="TAL"/>
              <w:rPr>
                <w:rFonts w:cs="Arial"/>
                <w:szCs w:val="18"/>
              </w:rPr>
            </w:pPr>
            <w:r w:rsidRPr="000A0A5F">
              <w:rPr>
                <w:rFonts w:cs="Arial"/>
                <w:szCs w:val="18"/>
              </w:rPr>
              <w:t>EnQoSMon</w:t>
            </w:r>
          </w:p>
        </w:tc>
      </w:tr>
      <w:tr w:rsidR="00DE6211" w:rsidRPr="000A0A5F" w:rsidTr="00A60F32">
        <w:trPr>
          <w:jc w:val="center"/>
        </w:trPr>
        <w:tc>
          <w:tcPr>
            <w:tcW w:w="3087" w:type="dxa"/>
          </w:tcPr>
          <w:p w:rsidR="00DE6211" w:rsidRPr="006A2752" w:rsidRDefault="00DE6211" w:rsidP="00DE6211">
            <w:pPr>
              <w:pStyle w:val="TAL"/>
              <w:rPr>
                <w:color w:val="000000"/>
              </w:rPr>
            </w:pPr>
            <w:r w:rsidRPr="006A2752">
              <w:rPr>
                <w:color w:val="000000"/>
              </w:rPr>
              <w:t>EventsSubscReqData</w:t>
            </w:r>
            <w:r w:rsidRPr="006A2752">
              <w:rPr>
                <w:rFonts w:hint="eastAsia"/>
                <w:color w:val="000000"/>
                <w:lang w:eastAsia="zh-CN"/>
              </w:rPr>
              <w:t>R</w:t>
            </w:r>
            <w:r w:rsidRPr="006A2752">
              <w:rPr>
                <w:color w:val="000000"/>
                <w:lang w:eastAsia="zh-CN"/>
              </w:rPr>
              <w:t>m</w:t>
            </w:r>
          </w:p>
        </w:tc>
        <w:tc>
          <w:tcPr>
            <w:tcW w:w="1850" w:type="dxa"/>
          </w:tcPr>
          <w:p w:rsidR="00DE6211" w:rsidRPr="000A0A5F" w:rsidRDefault="00DE6211" w:rsidP="00DE6211">
            <w:pPr>
              <w:pStyle w:val="TAL"/>
            </w:pPr>
            <w:r w:rsidRPr="000A0A5F">
              <w:t>3GPP TS 29.514 [52]</w:t>
            </w:r>
          </w:p>
        </w:tc>
        <w:tc>
          <w:tcPr>
            <w:tcW w:w="3033" w:type="dxa"/>
          </w:tcPr>
          <w:p w:rsidR="00DE6211" w:rsidRPr="000A0A5F" w:rsidRDefault="00DE6211" w:rsidP="00DE6211">
            <w:pPr>
              <w:pStyle w:val="TAL"/>
              <w:rPr>
                <w:rFonts w:cs="Arial"/>
                <w:szCs w:val="18"/>
              </w:rPr>
            </w:pPr>
            <w:r w:rsidRPr="000A0A5F">
              <w:t>This data type is defined in the same way as the "</w:t>
            </w:r>
            <w:r w:rsidRPr="006A2752">
              <w:rPr>
                <w:color w:val="000000"/>
              </w:rPr>
              <w:t>EventsSubscReqData</w:t>
            </w:r>
            <w:r w:rsidRPr="000A0A5F">
              <w:t>l" data type, but with the OpenAPI "nullable: true" property</w:t>
            </w:r>
          </w:p>
        </w:tc>
        <w:tc>
          <w:tcPr>
            <w:tcW w:w="1807" w:type="dxa"/>
          </w:tcPr>
          <w:p w:rsidR="00DE6211" w:rsidRPr="000A0A5F" w:rsidRDefault="00DE6211" w:rsidP="00DE6211">
            <w:pPr>
              <w:pStyle w:val="TAL"/>
              <w:rPr>
                <w:rFonts w:cs="Arial"/>
                <w:szCs w:val="18"/>
              </w:rPr>
            </w:pPr>
            <w:r w:rsidRPr="000A0A5F">
              <w:rPr>
                <w:rFonts w:cs="Arial"/>
                <w:szCs w:val="18"/>
              </w:rPr>
              <w:t>EnQoSMon</w:t>
            </w:r>
          </w:p>
        </w:tc>
      </w:tr>
      <w:tr w:rsidR="00DE6211" w:rsidRPr="000A0A5F" w:rsidTr="00A60F32">
        <w:trPr>
          <w:jc w:val="center"/>
        </w:trPr>
        <w:tc>
          <w:tcPr>
            <w:tcW w:w="3087" w:type="dxa"/>
          </w:tcPr>
          <w:p w:rsidR="00DE6211" w:rsidRPr="000A0A5F" w:rsidRDefault="00DE6211" w:rsidP="00DE6211">
            <w:pPr>
              <w:pStyle w:val="TAL"/>
            </w:pPr>
            <w:r w:rsidRPr="000A0A5F">
              <w:t>ExtMaxDataBurstVol</w:t>
            </w:r>
          </w:p>
        </w:tc>
        <w:tc>
          <w:tcPr>
            <w:tcW w:w="1850" w:type="dxa"/>
          </w:tcPr>
          <w:p w:rsidR="00DE6211" w:rsidRPr="000A0A5F" w:rsidRDefault="00DE6211" w:rsidP="00DE6211">
            <w:pPr>
              <w:pStyle w:val="TAL"/>
            </w:pPr>
            <w:r w:rsidRPr="000A0A5F">
              <w:t>3GPP TS 29.571 [45]</w:t>
            </w:r>
          </w:p>
        </w:tc>
        <w:tc>
          <w:tcPr>
            <w:tcW w:w="3033" w:type="dxa"/>
          </w:tcPr>
          <w:p w:rsidR="00DE6211" w:rsidRPr="000A0A5F" w:rsidRDefault="00DE6211" w:rsidP="00DE6211">
            <w:pPr>
              <w:pStyle w:val="TAL"/>
            </w:pPr>
            <w:r w:rsidRPr="000A0A5F">
              <w:rPr>
                <w:lang w:eastAsia="zh-CN"/>
              </w:rPr>
              <w:t xml:space="preserve">Unsigned integer </w:t>
            </w:r>
            <w:r w:rsidRPr="000A0A5F">
              <w:t xml:space="preserve">indicating </w:t>
            </w:r>
            <w:r w:rsidRPr="000A0A5F">
              <w:rPr>
                <w:lang w:eastAsia="zh-CN"/>
              </w:rPr>
              <w:t>Maximum Data Burst Volume (</w:t>
            </w:r>
            <w:r w:rsidRPr="000A0A5F">
              <w:t xml:space="preserve">see clauses 5.7.3.7 and 5.7.4 </w:t>
            </w:r>
            <w:r w:rsidRPr="000A0A5F">
              <w:rPr>
                <w:lang w:eastAsia="zh-CN"/>
              </w:rPr>
              <w:t xml:space="preserve">of 3GPP TS 23.501 [8]), </w:t>
            </w:r>
            <w:r w:rsidRPr="000A0A5F">
              <w:t>expressed in Bytes.</w:t>
            </w:r>
          </w:p>
          <w:p w:rsidR="00DE6211" w:rsidRPr="000A0A5F" w:rsidRDefault="00DE6211" w:rsidP="00DE6211">
            <w:pPr>
              <w:pStyle w:val="TAL"/>
              <w:rPr>
                <w:rFonts w:cs="Arial"/>
                <w:szCs w:val="18"/>
              </w:rPr>
            </w:pPr>
            <w:r w:rsidRPr="000A0A5F">
              <w:t>Minimum = 4096. Maximum = 2000000.</w:t>
            </w:r>
          </w:p>
        </w:tc>
        <w:tc>
          <w:tcPr>
            <w:tcW w:w="1807" w:type="dxa"/>
          </w:tcPr>
          <w:p w:rsidR="00DE6211" w:rsidRPr="000A0A5F" w:rsidRDefault="00DE6211" w:rsidP="00DE6211">
            <w:pPr>
              <w:pStyle w:val="TAL"/>
              <w:rPr>
                <w:lang w:eastAsia="zh-CN"/>
              </w:rPr>
            </w:pPr>
          </w:p>
        </w:tc>
      </w:tr>
      <w:tr w:rsidR="00DE6211" w:rsidRPr="000A0A5F" w:rsidTr="00A60F32">
        <w:trPr>
          <w:jc w:val="center"/>
        </w:trPr>
        <w:tc>
          <w:tcPr>
            <w:tcW w:w="3087" w:type="dxa"/>
          </w:tcPr>
          <w:p w:rsidR="00DE6211" w:rsidRPr="000A0A5F" w:rsidRDefault="00DE6211" w:rsidP="00DE6211">
            <w:pPr>
              <w:pStyle w:val="TAL"/>
            </w:pPr>
            <w:r w:rsidRPr="000A0A5F">
              <w:t>ExtMaxDataBurstVolRm</w:t>
            </w:r>
          </w:p>
        </w:tc>
        <w:tc>
          <w:tcPr>
            <w:tcW w:w="1850" w:type="dxa"/>
          </w:tcPr>
          <w:p w:rsidR="00DE6211" w:rsidRPr="000A0A5F" w:rsidRDefault="00DE6211" w:rsidP="00DE6211">
            <w:pPr>
              <w:pStyle w:val="TAL"/>
            </w:pPr>
            <w:r w:rsidRPr="000A0A5F">
              <w:t>3GPP TS 29.571 [45]</w:t>
            </w:r>
          </w:p>
        </w:tc>
        <w:tc>
          <w:tcPr>
            <w:tcW w:w="3033" w:type="dxa"/>
          </w:tcPr>
          <w:p w:rsidR="00DE6211" w:rsidRPr="000A0A5F" w:rsidRDefault="00DE6211" w:rsidP="00DE6211">
            <w:pPr>
              <w:pStyle w:val="TAL"/>
              <w:rPr>
                <w:rFonts w:cs="Arial"/>
                <w:szCs w:val="18"/>
              </w:rPr>
            </w:pPr>
            <w:r w:rsidRPr="000A0A5F">
              <w:t>This data type is defined in the same way as the "ExtMaxDataBurstVol" data type, but with the OpenAPI "nullable: true" property.</w:t>
            </w:r>
          </w:p>
        </w:tc>
        <w:tc>
          <w:tcPr>
            <w:tcW w:w="1807" w:type="dxa"/>
          </w:tcPr>
          <w:p w:rsidR="00DE6211" w:rsidRPr="000A0A5F" w:rsidRDefault="00DE6211" w:rsidP="00DE6211">
            <w:pPr>
              <w:pStyle w:val="TAL"/>
            </w:pPr>
          </w:p>
        </w:tc>
      </w:tr>
      <w:tr w:rsidR="00DE6211" w:rsidRPr="000A0A5F" w:rsidTr="00A60F32">
        <w:trPr>
          <w:jc w:val="center"/>
        </w:trPr>
        <w:tc>
          <w:tcPr>
            <w:tcW w:w="3087" w:type="dxa"/>
          </w:tcPr>
          <w:p w:rsidR="00DE6211" w:rsidRPr="000A0A5F" w:rsidRDefault="00DE6211" w:rsidP="00DE6211">
            <w:pPr>
              <w:pStyle w:val="TAL"/>
            </w:pPr>
            <w:r w:rsidRPr="000A0A5F">
              <w:rPr>
                <w:lang w:eastAsia="zh-CN"/>
              </w:rPr>
              <w:t>E</w:t>
            </w:r>
            <w:r w:rsidRPr="000A0A5F">
              <w:rPr>
                <w:rFonts w:hint="eastAsia"/>
                <w:lang w:eastAsia="zh-CN"/>
              </w:rPr>
              <w:t>xternal</w:t>
            </w:r>
            <w:r w:rsidRPr="000A0A5F">
              <w:rPr>
                <w:lang w:eastAsia="zh-CN"/>
              </w:rPr>
              <w:t>GroupId</w:t>
            </w:r>
          </w:p>
        </w:tc>
        <w:tc>
          <w:tcPr>
            <w:tcW w:w="1850" w:type="dxa"/>
          </w:tcPr>
          <w:p w:rsidR="00DE6211" w:rsidRPr="000A0A5F" w:rsidRDefault="00090953" w:rsidP="00DE6211">
            <w:pPr>
              <w:pStyle w:val="TAL"/>
            </w:pPr>
            <w:r w:rsidRPr="001F2DCD">
              <w:t>5.2.1.3.2</w:t>
            </w:r>
          </w:p>
        </w:tc>
        <w:tc>
          <w:tcPr>
            <w:tcW w:w="3033" w:type="dxa"/>
          </w:tcPr>
          <w:p w:rsidR="00DE6211" w:rsidRPr="000A0A5F" w:rsidRDefault="00DE6211" w:rsidP="00DE6211">
            <w:pPr>
              <w:pStyle w:val="TAL"/>
            </w:pPr>
            <w:r w:rsidRPr="000A0A5F">
              <w:t>Represents an external group identifier.</w:t>
            </w:r>
          </w:p>
        </w:tc>
        <w:tc>
          <w:tcPr>
            <w:tcW w:w="1807" w:type="dxa"/>
          </w:tcPr>
          <w:p w:rsidR="00DE6211" w:rsidRPr="000A0A5F" w:rsidRDefault="00DE6211" w:rsidP="00DE6211">
            <w:pPr>
              <w:pStyle w:val="TAL"/>
            </w:pPr>
            <w:r w:rsidRPr="000A0A5F">
              <w:t>GMEC_5G</w:t>
            </w:r>
          </w:p>
        </w:tc>
      </w:tr>
      <w:tr w:rsidR="00DE6211" w:rsidRPr="000A0A5F" w:rsidTr="00A60F32">
        <w:trPr>
          <w:jc w:val="center"/>
        </w:trPr>
        <w:tc>
          <w:tcPr>
            <w:tcW w:w="3087" w:type="dxa"/>
          </w:tcPr>
          <w:p w:rsidR="00DE6211" w:rsidRPr="000A0A5F" w:rsidRDefault="00DE6211" w:rsidP="00DE6211">
            <w:pPr>
              <w:pStyle w:val="TAL"/>
              <w:rPr>
                <w:lang w:eastAsia="zh-CN"/>
              </w:rPr>
            </w:pPr>
            <w:r w:rsidRPr="000A0A5F">
              <w:rPr>
                <w:rFonts w:hint="eastAsia"/>
                <w:lang w:eastAsia="zh-CN"/>
              </w:rPr>
              <w:t>Gpsi</w:t>
            </w:r>
          </w:p>
        </w:tc>
        <w:tc>
          <w:tcPr>
            <w:tcW w:w="1850" w:type="dxa"/>
          </w:tcPr>
          <w:p w:rsidR="00DE6211" w:rsidRPr="000A0A5F" w:rsidRDefault="00DE6211" w:rsidP="00DE6211">
            <w:pPr>
              <w:pStyle w:val="TAL"/>
            </w:pPr>
            <w:r w:rsidRPr="000A0A5F">
              <w:rPr>
                <w:rFonts w:hint="eastAsia"/>
                <w:lang w:eastAsia="zh-CN"/>
              </w:rPr>
              <w:t>3GPP TS 29.</w:t>
            </w:r>
            <w:r w:rsidRPr="000A0A5F">
              <w:rPr>
                <w:lang w:eastAsia="zh-CN"/>
              </w:rPr>
              <w:t>571</w:t>
            </w:r>
            <w:r w:rsidRPr="000A0A5F">
              <w:rPr>
                <w:rFonts w:hint="eastAsia"/>
                <w:lang w:eastAsia="zh-CN"/>
              </w:rPr>
              <w:t> [</w:t>
            </w:r>
            <w:r w:rsidRPr="000A0A5F">
              <w:rPr>
                <w:lang w:eastAsia="zh-CN"/>
              </w:rPr>
              <w:t>45</w:t>
            </w:r>
            <w:r w:rsidRPr="000A0A5F">
              <w:rPr>
                <w:rFonts w:hint="eastAsia"/>
                <w:lang w:eastAsia="zh-CN"/>
              </w:rPr>
              <w:t>]</w:t>
            </w:r>
          </w:p>
        </w:tc>
        <w:tc>
          <w:tcPr>
            <w:tcW w:w="3033" w:type="dxa"/>
          </w:tcPr>
          <w:p w:rsidR="00DE6211" w:rsidRPr="000A0A5F" w:rsidRDefault="00DE6211" w:rsidP="00DE6211">
            <w:pPr>
              <w:pStyle w:val="TAL"/>
            </w:pPr>
            <w:r w:rsidRPr="000A0A5F">
              <w:rPr>
                <w:rFonts w:cs="Arial"/>
                <w:szCs w:val="18"/>
                <w:lang w:eastAsia="zh-CN"/>
              </w:rPr>
              <w:t>Represents</w:t>
            </w:r>
            <w:r w:rsidRPr="000A0A5F">
              <w:rPr>
                <w:rFonts w:cs="Arial" w:hint="eastAsia"/>
                <w:szCs w:val="18"/>
                <w:lang w:eastAsia="zh-CN"/>
              </w:rPr>
              <w:t xml:space="preserve"> a GPSI.</w:t>
            </w:r>
          </w:p>
        </w:tc>
        <w:tc>
          <w:tcPr>
            <w:tcW w:w="1807" w:type="dxa"/>
          </w:tcPr>
          <w:p w:rsidR="00DE6211" w:rsidRPr="000A0A5F" w:rsidRDefault="00DE6211" w:rsidP="00DE6211">
            <w:pPr>
              <w:pStyle w:val="TAL"/>
            </w:pPr>
            <w:r w:rsidRPr="000A0A5F">
              <w:t>GMEC_5G</w:t>
            </w:r>
          </w:p>
        </w:tc>
      </w:tr>
      <w:tr w:rsidR="00DE6211" w:rsidRPr="000A0A5F" w:rsidTr="00A60F32">
        <w:trPr>
          <w:jc w:val="center"/>
        </w:trPr>
        <w:tc>
          <w:tcPr>
            <w:tcW w:w="3087" w:type="dxa"/>
          </w:tcPr>
          <w:p w:rsidR="00DE6211" w:rsidRPr="000A0A5F" w:rsidRDefault="00DE6211" w:rsidP="00DE6211">
            <w:pPr>
              <w:pStyle w:val="TAL"/>
            </w:pPr>
            <w:r w:rsidRPr="000A0A5F">
              <w:t>IpAddr</w:t>
            </w:r>
          </w:p>
        </w:tc>
        <w:tc>
          <w:tcPr>
            <w:tcW w:w="1850" w:type="dxa"/>
          </w:tcPr>
          <w:p w:rsidR="00DE6211" w:rsidRPr="000A0A5F" w:rsidRDefault="00DE6211" w:rsidP="00DE6211">
            <w:pPr>
              <w:pStyle w:val="TAL"/>
            </w:pPr>
            <w:r w:rsidRPr="000A0A5F">
              <w:t>3GPP TS 29.571 [45]</w:t>
            </w:r>
          </w:p>
        </w:tc>
        <w:tc>
          <w:tcPr>
            <w:tcW w:w="3033" w:type="dxa"/>
          </w:tcPr>
          <w:p w:rsidR="00DE6211" w:rsidRPr="000A0A5F" w:rsidRDefault="00DE6211" w:rsidP="00DE6211">
            <w:pPr>
              <w:pStyle w:val="TAL"/>
              <w:rPr>
                <w:rFonts w:cs="Arial"/>
                <w:szCs w:val="18"/>
              </w:rPr>
            </w:pPr>
            <w:r w:rsidRPr="000A0A5F">
              <w:rPr>
                <w:rFonts w:cs="Arial"/>
                <w:szCs w:val="18"/>
              </w:rPr>
              <w:t>UE IP Address.</w:t>
            </w:r>
          </w:p>
        </w:tc>
        <w:tc>
          <w:tcPr>
            <w:tcW w:w="1807" w:type="dxa"/>
          </w:tcPr>
          <w:p w:rsidR="00DE6211" w:rsidRPr="000A0A5F" w:rsidRDefault="00DE6211" w:rsidP="00DE6211">
            <w:pPr>
              <w:pStyle w:val="TAL"/>
              <w:rPr>
                <w:rFonts w:cs="Arial"/>
                <w:szCs w:val="18"/>
              </w:rPr>
            </w:pPr>
          </w:p>
        </w:tc>
      </w:tr>
      <w:tr w:rsidR="00DE6211" w:rsidRPr="000A0A5F" w:rsidTr="00A60F32">
        <w:trPr>
          <w:jc w:val="center"/>
        </w:trPr>
        <w:tc>
          <w:tcPr>
            <w:tcW w:w="3087" w:type="dxa"/>
          </w:tcPr>
          <w:p w:rsidR="00DE6211" w:rsidRPr="000A0A5F" w:rsidRDefault="00DE6211" w:rsidP="00DE6211">
            <w:pPr>
              <w:pStyle w:val="TAL"/>
            </w:pPr>
            <w:r w:rsidRPr="000A0A5F">
              <w:t>MacAddr48</w:t>
            </w:r>
          </w:p>
        </w:tc>
        <w:tc>
          <w:tcPr>
            <w:tcW w:w="1850" w:type="dxa"/>
          </w:tcPr>
          <w:p w:rsidR="00DE6211" w:rsidRPr="000A0A5F" w:rsidRDefault="00DE6211" w:rsidP="00DE6211">
            <w:pPr>
              <w:pStyle w:val="TAL"/>
              <w:rPr>
                <w:lang w:eastAsia="zh-CN"/>
              </w:rPr>
            </w:pPr>
            <w:r w:rsidRPr="000A0A5F">
              <w:t>3GPP TS 29.571 [45]</w:t>
            </w:r>
          </w:p>
        </w:tc>
        <w:tc>
          <w:tcPr>
            <w:tcW w:w="3033" w:type="dxa"/>
          </w:tcPr>
          <w:p w:rsidR="00DE6211" w:rsidRPr="000A0A5F" w:rsidRDefault="00DE6211" w:rsidP="00DE6211">
            <w:pPr>
              <w:pStyle w:val="TAL"/>
              <w:rPr>
                <w:lang w:eastAsia="zh-CN"/>
              </w:rPr>
            </w:pPr>
            <w:r w:rsidRPr="000A0A5F">
              <w:rPr>
                <w:rFonts w:cs="Arial"/>
                <w:szCs w:val="18"/>
              </w:rPr>
              <w:t>MAC Address.</w:t>
            </w:r>
          </w:p>
        </w:tc>
        <w:tc>
          <w:tcPr>
            <w:tcW w:w="1807" w:type="dxa"/>
          </w:tcPr>
          <w:p w:rsidR="00DE6211" w:rsidRPr="000A0A5F" w:rsidRDefault="00DE6211" w:rsidP="00DE6211">
            <w:pPr>
              <w:pStyle w:val="TAL"/>
              <w:rPr>
                <w:rFonts w:cs="Arial"/>
                <w:szCs w:val="18"/>
              </w:rPr>
            </w:pPr>
          </w:p>
        </w:tc>
      </w:tr>
      <w:tr w:rsidR="00A60F32" w:rsidRPr="000A0A5F" w:rsidTr="00A60F32">
        <w:trPr>
          <w:jc w:val="center"/>
        </w:trPr>
        <w:tc>
          <w:tcPr>
            <w:tcW w:w="3087" w:type="dxa"/>
          </w:tcPr>
          <w:p w:rsidR="00A60F32" w:rsidRPr="000A0A5F" w:rsidRDefault="00A60F32" w:rsidP="00A60F32">
            <w:pPr>
              <w:pStyle w:val="TAL"/>
            </w:pPr>
            <w:r w:rsidRPr="000A0A5F">
              <w:t>MediaType</w:t>
            </w:r>
          </w:p>
        </w:tc>
        <w:tc>
          <w:tcPr>
            <w:tcW w:w="1850" w:type="dxa"/>
          </w:tcPr>
          <w:p w:rsidR="00A60F32" w:rsidRPr="000A0A5F" w:rsidRDefault="00A60F32" w:rsidP="00A60F32">
            <w:pPr>
              <w:pStyle w:val="TAL"/>
            </w:pPr>
            <w:r w:rsidRPr="000A0A5F">
              <w:rPr>
                <w:lang w:eastAsia="zh-CN"/>
              </w:rPr>
              <w:t>3GPP TS 29.514 [52]</w:t>
            </w:r>
          </w:p>
        </w:tc>
        <w:tc>
          <w:tcPr>
            <w:tcW w:w="3033" w:type="dxa"/>
          </w:tcPr>
          <w:p w:rsidR="00A60F32" w:rsidRPr="000A0A5F" w:rsidRDefault="00090953" w:rsidP="00A60F32">
            <w:pPr>
              <w:pStyle w:val="TAL"/>
              <w:rPr>
                <w:rFonts w:cs="Arial"/>
                <w:szCs w:val="18"/>
              </w:rPr>
            </w:pPr>
            <w:r>
              <w:rPr>
                <w:rFonts w:cs="Arial"/>
                <w:szCs w:val="18"/>
              </w:rPr>
              <w:t>Indicates the media type of a single-modal data flow of a multi-modal service.</w:t>
            </w:r>
          </w:p>
        </w:tc>
        <w:tc>
          <w:tcPr>
            <w:tcW w:w="1807" w:type="dxa"/>
          </w:tcPr>
          <w:p w:rsidR="00A60F32" w:rsidRPr="000A0A5F" w:rsidRDefault="00A60F32" w:rsidP="00A60F32">
            <w:pPr>
              <w:pStyle w:val="TAL"/>
              <w:rPr>
                <w:rFonts w:cs="Arial"/>
                <w:szCs w:val="18"/>
              </w:rPr>
            </w:pPr>
            <w:r w:rsidRPr="000A0A5F">
              <w:rPr>
                <w:rFonts w:cs="Arial"/>
                <w:szCs w:val="18"/>
              </w:rPr>
              <w:t>MultiMedia</w:t>
            </w:r>
          </w:p>
        </w:tc>
      </w:tr>
      <w:tr w:rsidR="00A60F32" w:rsidRPr="000A0A5F" w:rsidTr="00A60F32">
        <w:trPr>
          <w:jc w:val="center"/>
        </w:trPr>
        <w:tc>
          <w:tcPr>
            <w:tcW w:w="3087" w:type="dxa"/>
          </w:tcPr>
          <w:p w:rsidR="00A60F32" w:rsidRPr="000A0A5F" w:rsidRDefault="00A60F32" w:rsidP="00A60F32">
            <w:pPr>
              <w:pStyle w:val="TAL"/>
            </w:pPr>
            <w:r w:rsidRPr="000A0A5F">
              <w:t>MultiModalId</w:t>
            </w:r>
          </w:p>
        </w:tc>
        <w:tc>
          <w:tcPr>
            <w:tcW w:w="1850" w:type="dxa"/>
          </w:tcPr>
          <w:p w:rsidR="00A60F32" w:rsidRPr="000A0A5F" w:rsidRDefault="00A60F32" w:rsidP="00A60F32">
            <w:pPr>
              <w:pStyle w:val="TAL"/>
            </w:pPr>
            <w:r w:rsidRPr="000A0A5F">
              <w:rPr>
                <w:lang w:eastAsia="zh-CN"/>
              </w:rPr>
              <w:t>3GPP TS 29.514 [52]</w:t>
            </w:r>
          </w:p>
        </w:tc>
        <w:tc>
          <w:tcPr>
            <w:tcW w:w="3033" w:type="dxa"/>
          </w:tcPr>
          <w:p w:rsidR="00A60F32" w:rsidRPr="000A0A5F" w:rsidRDefault="00A60F32" w:rsidP="00A60F32">
            <w:pPr>
              <w:pStyle w:val="TAL"/>
              <w:rPr>
                <w:rFonts w:cs="Arial"/>
                <w:szCs w:val="18"/>
              </w:rPr>
            </w:pPr>
            <w:r w:rsidRPr="000A0A5F">
              <w:rPr>
                <w:lang w:eastAsia="zh-CN"/>
              </w:rPr>
              <w:t xml:space="preserve">Represents </w:t>
            </w:r>
            <w:r w:rsidRPr="000A0A5F">
              <w:t xml:space="preserve">multi-modal service identifier. </w:t>
            </w:r>
          </w:p>
        </w:tc>
        <w:tc>
          <w:tcPr>
            <w:tcW w:w="1807" w:type="dxa"/>
          </w:tcPr>
          <w:p w:rsidR="00A60F32" w:rsidRPr="000A0A5F" w:rsidRDefault="00A60F32" w:rsidP="00A60F32">
            <w:pPr>
              <w:pStyle w:val="TAL"/>
              <w:rPr>
                <w:rFonts w:cs="Arial"/>
                <w:szCs w:val="18"/>
              </w:rPr>
            </w:pPr>
            <w:r w:rsidRPr="000A0A5F">
              <w:rPr>
                <w:rFonts w:cs="Arial"/>
                <w:szCs w:val="18"/>
              </w:rPr>
              <w:t>MultiMedia</w:t>
            </w:r>
          </w:p>
        </w:tc>
      </w:tr>
      <w:tr w:rsidR="00DE6211" w:rsidRPr="000A0A5F" w:rsidTr="00A60F32">
        <w:trPr>
          <w:jc w:val="center"/>
        </w:trPr>
        <w:tc>
          <w:tcPr>
            <w:tcW w:w="3087" w:type="dxa"/>
          </w:tcPr>
          <w:p w:rsidR="00DE6211" w:rsidRPr="000A0A5F" w:rsidRDefault="00DE6211" w:rsidP="00DE6211">
            <w:pPr>
              <w:pStyle w:val="TAL"/>
            </w:pPr>
            <w:r w:rsidRPr="000A0A5F">
              <w:t>PacketDelBudget</w:t>
            </w:r>
          </w:p>
        </w:tc>
        <w:tc>
          <w:tcPr>
            <w:tcW w:w="1850" w:type="dxa"/>
          </w:tcPr>
          <w:p w:rsidR="00DE6211" w:rsidRPr="000A0A5F" w:rsidRDefault="00DE6211" w:rsidP="00DE6211">
            <w:pPr>
              <w:pStyle w:val="TAL"/>
            </w:pPr>
            <w:r w:rsidRPr="000A0A5F">
              <w:t>3GPP TS 29.571 [45]</w:t>
            </w:r>
          </w:p>
        </w:tc>
        <w:tc>
          <w:tcPr>
            <w:tcW w:w="3033" w:type="dxa"/>
          </w:tcPr>
          <w:p w:rsidR="00DE6211" w:rsidRPr="000A0A5F" w:rsidRDefault="00DE6211" w:rsidP="00DE6211">
            <w:pPr>
              <w:pStyle w:val="TAL"/>
            </w:pPr>
            <w:r w:rsidRPr="000A0A5F">
              <w:rPr>
                <w:lang w:eastAsia="zh-CN"/>
              </w:rPr>
              <w:t xml:space="preserve">Unsigned integer </w:t>
            </w:r>
            <w:r w:rsidRPr="000A0A5F">
              <w:t xml:space="preserve">indicating </w:t>
            </w:r>
            <w:r w:rsidRPr="000A0A5F">
              <w:rPr>
                <w:lang w:eastAsia="zh-CN"/>
              </w:rPr>
              <w:t>Packet Delay Budget (</w:t>
            </w:r>
            <w:r w:rsidRPr="000A0A5F">
              <w:t xml:space="preserve">see clauses 5.7.3.4 and 5.7.4 </w:t>
            </w:r>
            <w:r w:rsidRPr="000A0A5F">
              <w:rPr>
                <w:lang w:eastAsia="zh-CN"/>
              </w:rPr>
              <w:t xml:space="preserve">of 3GPP TS 23.501 [8])), </w:t>
            </w:r>
            <w:r w:rsidRPr="000A0A5F">
              <w:t>expressed in milliseconds.</w:t>
            </w:r>
          </w:p>
          <w:p w:rsidR="00DE6211" w:rsidRPr="000A0A5F" w:rsidRDefault="00DE6211" w:rsidP="00DE6211">
            <w:pPr>
              <w:pStyle w:val="TAL"/>
              <w:rPr>
                <w:rFonts w:cs="Arial"/>
                <w:szCs w:val="18"/>
              </w:rPr>
            </w:pPr>
            <w:r w:rsidRPr="000A0A5F">
              <w:t>Minimum = 1.</w:t>
            </w:r>
          </w:p>
        </w:tc>
        <w:tc>
          <w:tcPr>
            <w:tcW w:w="1807" w:type="dxa"/>
          </w:tcPr>
          <w:p w:rsidR="00DE6211" w:rsidRPr="000A0A5F" w:rsidRDefault="00DE6211" w:rsidP="00DE6211">
            <w:pPr>
              <w:pStyle w:val="TAL"/>
              <w:rPr>
                <w:lang w:eastAsia="zh-CN"/>
              </w:rPr>
            </w:pPr>
          </w:p>
        </w:tc>
      </w:tr>
      <w:tr w:rsidR="00DE6211" w:rsidRPr="000A0A5F" w:rsidTr="00A60F32">
        <w:trPr>
          <w:jc w:val="center"/>
        </w:trPr>
        <w:tc>
          <w:tcPr>
            <w:tcW w:w="3087" w:type="dxa"/>
          </w:tcPr>
          <w:p w:rsidR="00DE6211" w:rsidRPr="000A0A5F" w:rsidRDefault="00DE6211" w:rsidP="00DE6211">
            <w:pPr>
              <w:pStyle w:val="TAL"/>
            </w:pPr>
            <w:r w:rsidRPr="000A0A5F">
              <w:t>PacketDelBudgetRm</w:t>
            </w:r>
          </w:p>
        </w:tc>
        <w:tc>
          <w:tcPr>
            <w:tcW w:w="1850" w:type="dxa"/>
          </w:tcPr>
          <w:p w:rsidR="00DE6211" w:rsidRPr="000A0A5F" w:rsidRDefault="00DE6211" w:rsidP="00DE6211">
            <w:pPr>
              <w:pStyle w:val="TAL"/>
            </w:pPr>
            <w:r w:rsidRPr="000A0A5F">
              <w:t>3GPP TS 29.571 [45]</w:t>
            </w:r>
          </w:p>
        </w:tc>
        <w:tc>
          <w:tcPr>
            <w:tcW w:w="3033" w:type="dxa"/>
          </w:tcPr>
          <w:p w:rsidR="00DE6211" w:rsidRPr="000A0A5F" w:rsidRDefault="00DE6211" w:rsidP="00DE6211">
            <w:pPr>
              <w:pStyle w:val="TAL"/>
              <w:rPr>
                <w:rFonts w:cs="Arial"/>
                <w:szCs w:val="18"/>
              </w:rPr>
            </w:pPr>
            <w:r w:rsidRPr="000A0A5F">
              <w:t>This data type is defined in the same way as the "PacketDelBudget" data type, but with the OpenAPI "nullable: true" property.</w:t>
            </w:r>
          </w:p>
        </w:tc>
        <w:tc>
          <w:tcPr>
            <w:tcW w:w="1807" w:type="dxa"/>
          </w:tcPr>
          <w:p w:rsidR="00DE6211" w:rsidRPr="000A0A5F" w:rsidRDefault="00DE6211" w:rsidP="00DE6211">
            <w:pPr>
              <w:pStyle w:val="TAL"/>
            </w:pPr>
          </w:p>
        </w:tc>
      </w:tr>
      <w:tr w:rsidR="00DE6211" w:rsidRPr="000A0A5F" w:rsidTr="00A60F32">
        <w:trPr>
          <w:jc w:val="center"/>
        </w:trPr>
        <w:tc>
          <w:tcPr>
            <w:tcW w:w="3087" w:type="dxa"/>
          </w:tcPr>
          <w:p w:rsidR="00DE6211" w:rsidRPr="000A0A5F" w:rsidRDefault="00DE6211" w:rsidP="00DE6211">
            <w:pPr>
              <w:pStyle w:val="TAL"/>
            </w:pPr>
            <w:r w:rsidRPr="000A0A5F">
              <w:t>PacketErrRate</w:t>
            </w:r>
          </w:p>
        </w:tc>
        <w:tc>
          <w:tcPr>
            <w:tcW w:w="1850" w:type="dxa"/>
          </w:tcPr>
          <w:p w:rsidR="00DE6211" w:rsidRPr="000A0A5F" w:rsidRDefault="00DE6211" w:rsidP="00DE6211">
            <w:pPr>
              <w:pStyle w:val="TAL"/>
            </w:pPr>
            <w:r w:rsidRPr="000A0A5F">
              <w:t>3GPP TS 29.571 [45]</w:t>
            </w:r>
          </w:p>
        </w:tc>
        <w:tc>
          <w:tcPr>
            <w:tcW w:w="3033" w:type="dxa"/>
          </w:tcPr>
          <w:p w:rsidR="00DE6211" w:rsidRPr="000A0A5F" w:rsidRDefault="00DE6211" w:rsidP="00DE6211">
            <w:pPr>
              <w:pStyle w:val="TAL"/>
            </w:pPr>
            <w:r w:rsidRPr="000A0A5F">
              <w:rPr>
                <w:lang w:eastAsia="zh-CN"/>
              </w:rPr>
              <w:t xml:space="preserve">String representing Packet Error Rate </w:t>
            </w:r>
            <w:r w:rsidRPr="000A0A5F">
              <w:t xml:space="preserve">(see clauses 5.7.3.5 and 5.7.4 of 3GPP TS 23.501 [8]), </w:t>
            </w:r>
            <w:r w:rsidRPr="000A0A5F">
              <w:rPr>
                <w:rFonts w:cs="Arial"/>
                <w:szCs w:val="18"/>
              </w:rPr>
              <w:t xml:space="preserve">expressed as </w:t>
            </w:r>
            <w:r w:rsidRPr="000A0A5F">
              <w:rPr>
                <w:szCs w:val="22"/>
              </w:rPr>
              <w:t>a "</w:t>
            </w:r>
            <w:r w:rsidRPr="000A0A5F">
              <w:rPr>
                <w:i/>
                <w:szCs w:val="22"/>
              </w:rPr>
              <w:t>scalar</w:t>
            </w:r>
            <w:r w:rsidRPr="000A0A5F">
              <w:rPr>
                <w:szCs w:val="22"/>
              </w:rPr>
              <w:t xml:space="preserve"> x 10-k" where the scalar and the </w:t>
            </w:r>
            <w:r w:rsidRPr="000A0A5F">
              <w:rPr>
                <w:i/>
                <w:szCs w:val="22"/>
              </w:rPr>
              <w:t>exponent k are each encoded as one decimal digit</w:t>
            </w:r>
            <w:r w:rsidRPr="000A0A5F">
              <w:t>.</w:t>
            </w:r>
          </w:p>
          <w:p w:rsidR="00DE6211" w:rsidRPr="000A0A5F" w:rsidRDefault="00DE6211" w:rsidP="00DE6211">
            <w:pPr>
              <w:pStyle w:val="TAL"/>
            </w:pPr>
            <w:r w:rsidRPr="000A0A5F">
              <w:t>Pattern: '^([0-9]E-[0-9])$'</w:t>
            </w:r>
          </w:p>
          <w:p w:rsidR="00DE6211" w:rsidRPr="000A0A5F" w:rsidRDefault="00DE6211" w:rsidP="00DE6211">
            <w:pPr>
              <w:pStyle w:val="TAL"/>
            </w:pPr>
          </w:p>
          <w:p w:rsidR="00DE6211" w:rsidRPr="000A0A5F" w:rsidRDefault="00DE6211" w:rsidP="00DE6211">
            <w:pPr>
              <w:pStyle w:val="TAL"/>
              <w:rPr>
                <w:lang w:eastAsia="zh-CN"/>
              </w:rPr>
            </w:pPr>
            <w:r w:rsidRPr="000A0A5F">
              <w:rPr>
                <w:lang w:eastAsia="zh-CN"/>
              </w:rPr>
              <w:t>Examples:</w:t>
            </w:r>
          </w:p>
          <w:p w:rsidR="00DE6211" w:rsidRPr="000A0A5F" w:rsidRDefault="00DE6211" w:rsidP="00DE6211">
            <w:pPr>
              <w:pStyle w:val="TAL"/>
              <w:rPr>
                <w:lang w:eastAsia="zh-CN"/>
              </w:rPr>
            </w:pPr>
            <w:r w:rsidRPr="000A0A5F">
              <w:rPr>
                <w:lang w:eastAsia="zh-CN"/>
              </w:rPr>
              <w:t>Packer Error Rate 4x10</w:t>
            </w:r>
            <w:r w:rsidRPr="000A0A5F">
              <w:rPr>
                <w:vertAlign w:val="superscript"/>
                <w:lang w:eastAsia="zh-CN"/>
              </w:rPr>
              <w:t xml:space="preserve">-6 </w:t>
            </w:r>
            <w:r w:rsidRPr="000A0A5F">
              <w:rPr>
                <w:lang w:eastAsia="zh-CN"/>
              </w:rPr>
              <w:t>shall be encoded as "4E-6".</w:t>
            </w:r>
          </w:p>
          <w:p w:rsidR="00DE6211" w:rsidRPr="000A0A5F" w:rsidRDefault="00DE6211" w:rsidP="00DE6211">
            <w:pPr>
              <w:pStyle w:val="TAL"/>
            </w:pPr>
            <w:r w:rsidRPr="000A0A5F">
              <w:rPr>
                <w:lang w:eastAsia="zh-CN"/>
              </w:rPr>
              <w:t>Packer Error Rate 10</w:t>
            </w:r>
            <w:r w:rsidRPr="000A0A5F">
              <w:rPr>
                <w:vertAlign w:val="superscript"/>
                <w:lang w:eastAsia="zh-CN"/>
              </w:rPr>
              <w:t xml:space="preserve">-2 </w:t>
            </w:r>
            <w:r w:rsidRPr="000A0A5F">
              <w:rPr>
                <w:lang w:eastAsia="zh-CN"/>
              </w:rPr>
              <w:t>shall be encoded as "1E-2".</w:t>
            </w:r>
          </w:p>
        </w:tc>
        <w:tc>
          <w:tcPr>
            <w:tcW w:w="1807" w:type="dxa"/>
          </w:tcPr>
          <w:p w:rsidR="00DE6211" w:rsidRPr="000A0A5F" w:rsidRDefault="00DE6211" w:rsidP="00DE6211">
            <w:pPr>
              <w:pStyle w:val="TAL"/>
              <w:rPr>
                <w:lang w:eastAsia="zh-CN"/>
              </w:rPr>
            </w:pPr>
          </w:p>
        </w:tc>
      </w:tr>
      <w:tr w:rsidR="00DE6211" w:rsidRPr="000A0A5F" w:rsidTr="00A60F32">
        <w:trPr>
          <w:jc w:val="center"/>
        </w:trPr>
        <w:tc>
          <w:tcPr>
            <w:tcW w:w="3087" w:type="dxa"/>
          </w:tcPr>
          <w:p w:rsidR="00DE6211" w:rsidRPr="000A0A5F" w:rsidRDefault="00DE6211" w:rsidP="00DE6211">
            <w:pPr>
              <w:pStyle w:val="TAL"/>
            </w:pPr>
            <w:r w:rsidRPr="000A0A5F">
              <w:t>PacketErrRateRm</w:t>
            </w:r>
          </w:p>
        </w:tc>
        <w:tc>
          <w:tcPr>
            <w:tcW w:w="1850" w:type="dxa"/>
          </w:tcPr>
          <w:p w:rsidR="00DE6211" w:rsidRPr="000A0A5F" w:rsidRDefault="00DE6211" w:rsidP="00DE6211">
            <w:pPr>
              <w:pStyle w:val="TAL"/>
            </w:pPr>
            <w:r w:rsidRPr="000A0A5F">
              <w:t>3GPP TS 29.571 [45]</w:t>
            </w:r>
          </w:p>
        </w:tc>
        <w:tc>
          <w:tcPr>
            <w:tcW w:w="3033" w:type="dxa"/>
          </w:tcPr>
          <w:p w:rsidR="00DE6211" w:rsidRPr="000A0A5F" w:rsidRDefault="00DE6211" w:rsidP="00DE6211">
            <w:pPr>
              <w:pStyle w:val="TAL"/>
            </w:pPr>
            <w:r w:rsidRPr="000A0A5F">
              <w:t>This data type is defined in the same way as the "PacketErrRate" data type, but with the OpenAPI "nullable: true" property.</w:t>
            </w:r>
          </w:p>
        </w:tc>
        <w:tc>
          <w:tcPr>
            <w:tcW w:w="1807" w:type="dxa"/>
          </w:tcPr>
          <w:p w:rsidR="00DE6211" w:rsidRPr="000A0A5F" w:rsidRDefault="00DE6211" w:rsidP="00DE6211">
            <w:pPr>
              <w:pStyle w:val="TAL"/>
            </w:pPr>
          </w:p>
        </w:tc>
      </w:tr>
      <w:tr w:rsidR="00DE6211" w:rsidRPr="000A0A5F" w:rsidTr="00A60F32">
        <w:trPr>
          <w:jc w:val="center"/>
        </w:trPr>
        <w:tc>
          <w:tcPr>
            <w:tcW w:w="3087" w:type="dxa"/>
          </w:tcPr>
          <w:p w:rsidR="00DE6211" w:rsidRPr="000A0A5F" w:rsidRDefault="00DE6211" w:rsidP="00DE6211">
            <w:pPr>
              <w:pStyle w:val="TAL"/>
            </w:pPr>
            <w:r w:rsidRPr="000A0A5F">
              <w:rPr>
                <w:rFonts w:hint="eastAsia"/>
                <w:lang w:val="en-US" w:eastAsia="zh-CN"/>
              </w:rPr>
              <w:t>PdvMonitoringReport</w:t>
            </w:r>
          </w:p>
        </w:tc>
        <w:tc>
          <w:tcPr>
            <w:tcW w:w="1850" w:type="dxa"/>
          </w:tcPr>
          <w:p w:rsidR="00DE6211" w:rsidRPr="000A0A5F" w:rsidRDefault="00DE6211" w:rsidP="00DE6211">
            <w:pPr>
              <w:pStyle w:val="TAL"/>
            </w:pPr>
            <w:r w:rsidRPr="000A0A5F">
              <w:t>3GPP TS 29.514 [52]</w:t>
            </w:r>
          </w:p>
        </w:tc>
        <w:tc>
          <w:tcPr>
            <w:tcW w:w="3033" w:type="dxa"/>
          </w:tcPr>
          <w:p w:rsidR="00DE6211" w:rsidRPr="000A0A5F" w:rsidRDefault="00DE6211" w:rsidP="00DE6211">
            <w:pPr>
              <w:pStyle w:val="TAL"/>
            </w:pPr>
            <w:r w:rsidRPr="000A0A5F">
              <w:t xml:space="preserve">Represents a </w:t>
            </w:r>
            <w:r w:rsidRPr="000A0A5F">
              <w:rPr>
                <w:rFonts w:hint="eastAsia"/>
                <w:lang w:val="en-US" w:eastAsia="zh-CN"/>
              </w:rPr>
              <w:t>PDV</w:t>
            </w:r>
            <w:r w:rsidRPr="000A0A5F">
              <w:t xml:space="preserve"> monitoring report.</w:t>
            </w:r>
          </w:p>
        </w:tc>
        <w:tc>
          <w:tcPr>
            <w:tcW w:w="1807" w:type="dxa"/>
          </w:tcPr>
          <w:p w:rsidR="00DE6211" w:rsidRPr="000A0A5F" w:rsidRDefault="00DE6211" w:rsidP="00DE6211">
            <w:pPr>
              <w:pStyle w:val="TAL"/>
            </w:pPr>
          </w:p>
        </w:tc>
      </w:tr>
      <w:tr w:rsidR="00DE6211" w:rsidRPr="000A0A5F" w:rsidTr="00A60F32">
        <w:trPr>
          <w:jc w:val="center"/>
        </w:trPr>
        <w:tc>
          <w:tcPr>
            <w:tcW w:w="3087" w:type="dxa"/>
          </w:tcPr>
          <w:p w:rsidR="00DE6211" w:rsidRPr="000A0A5F" w:rsidRDefault="00DE6211" w:rsidP="00DE6211">
            <w:pPr>
              <w:pStyle w:val="TAL"/>
            </w:pPr>
            <w:r w:rsidRPr="000A0A5F">
              <w:t>PeriodicityInfo</w:t>
            </w:r>
          </w:p>
        </w:tc>
        <w:tc>
          <w:tcPr>
            <w:tcW w:w="1850" w:type="dxa"/>
          </w:tcPr>
          <w:p w:rsidR="00DE6211" w:rsidRPr="000A0A5F" w:rsidRDefault="00DE6211" w:rsidP="00DE6211">
            <w:pPr>
              <w:pStyle w:val="TAL"/>
            </w:pPr>
            <w:r w:rsidRPr="000A0A5F">
              <w:t>3GPP TS 29.514 [52]</w:t>
            </w:r>
          </w:p>
        </w:tc>
        <w:tc>
          <w:tcPr>
            <w:tcW w:w="3033" w:type="dxa"/>
          </w:tcPr>
          <w:p w:rsidR="00DE6211" w:rsidRPr="000A0A5F" w:rsidRDefault="00DE6211" w:rsidP="00DE6211">
            <w:pPr>
              <w:pStyle w:val="TAL"/>
            </w:pPr>
            <w:r w:rsidRPr="000A0A5F">
              <w:rPr>
                <w:rFonts w:hint="eastAsia"/>
              </w:rPr>
              <w:t>I</w:t>
            </w:r>
            <w:r w:rsidRPr="000A0A5F">
              <w:t>ndicates the time period between the start of the two data bursts in Uplink and/or Downlink direction.</w:t>
            </w:r>
          </w:p>
        </w:tc>
        <w:tc>
          <w:tcPr>
            <w:tcW w:w="1807" w:type="dxa"/>
          </w:tcPr>
          <w:p w:rsidR="00DE6211" w:rsidRPr="000A0A5F" w:rsidRDefault="00DE6211" w:rsidP="00DE6211">
            <w:pPr>
              <w:pStyle w:val="TAL"/>
            </w:pPr>
          </w:p>
        </w:tc>
      </w:tr>
      <w:tr w:rsidR="00DE6211" w:rsidRPr="000A0A5F" w:rsidTr="00A60F32">
        <w:trPr>
          <w:jc w:val="center"/>
        </w:trPr>
        <w:tc>
          <w:tcPr>
            <w:tcW w:w="3087" w:type="dxa"/>
            <w:vAlign w:val="center"/>
          </w:tcPr>
          <w:p w:rsidR="00DE6211" w:rsidRPr="000A0A5F" w:rsidRDefault="00DE6211" w:rsidP="00DE6211">
            <w:pPr>
              <w:pStyle w:val="TAL"/>
            </w:pPr>
            <w:r w:rsidRPr="000A0A5F">
              <w:rPr>
                <w:rFonts w:hint="eastAsia"/>
                <w:lang w:eastAsia="zh-CN"/>
              </w:rPr>
              <w:t>P</w:t>
            </w:r>
            <w:r w:rsidRPr="000A0A5F">
              <w:rPr>
                <w:lang w:eastAsia="zh-CN"/>
              </w:rPr>
              <w:t>duSetQosPara</w:t>
            </w:r>
          </w:p>
        </w:tc>
        <w:tc>
          <w:tcPr>
            <w:tcW w:w="1850" w:type="dxa"/>
            <w:vAlign w:val="center"/>
          </w:tcPr>
          <w:p w:rsidR="00DE6211" w:rsidRPr="000A0A5F" w:rsidRDefault="00DE6211" w:rsidP="00DE6211">
            <w:pPr>
              <w:pStyle w:val="TAL"/>
            </w:pPr>
            <w:r w:rsidRPr="000A0A5F">
              <w:t>3GPP TS 29.571 [45]</w:t>
            </w:r>
          </w:p>
        </w:tc>
        <w:tc>
          <w:tcPr>
            <w:tcW w:w="3033" w:type="dxa"/>
            <w:vAlign w:val="center"/>
          </w:tcPr>
          <w:p w:rsidR="00DE6211" w:rsidRPr="000A0A5F" w:rsidRDefault="00DE6211" w:rsidP="00DE6211">
            <w:pPr>
              <w:pStyle w:val="TAL"/>
              <w:rPr>
                <w:rFonts w:cs="Arial"/>
                <w:szCs w:val="18"/>
              </w:rPr>
            </w:pPr>
            <w:r w:rsidRPr="000A0A5F">
              <w:t>Represents the PDU Set level QoS parameters.</w:t>
            </w:r>
          </w:p>
        </w:tc>
        <w:tc>
          <w:tcPr>
            <w:tcW w:w="1807" w:type="dxa"/>
          </w:tcPr>
          <w:p w:rsidR="00DE6211" w:rsidRPr="000A0A5F" w:rsidRDefault="00DE6211" w:rsidP="00DE6211">
            <w:pPr>
              <w:pStyle w:val="TAL"/>
            </w:pPr>
          </w:p>
        </w:tc>
      </w:tr>
      <w:tr w:rsidR="00DE6211" w:rsidRPr="000A0A5F" w:rsidTr="00A60F32">
        <w:trPr>
          <w:jc w:val="center"/>
        </w:trPr>
        <w:tc>
          <w:tcPr>
            <w:tcW w:w="3087" w:type="dxa"/>
            <w:vAlign w:val="center"/>
          </w:tcPr>
          <w:p w:rsidR="00DE6211" w:rsidRPr="000A0A5F" w:rsidRDefault="00DE6211" w:rsidP="00DE6211">
            <w:pPr>
              <w:pStyle w:val="TAL"/>
            </w:pPr>
            <w:r w:rsidRPr="000A0A5F">
              <w:rPr>
                <w:rFonts w:hint="eastAsia"/>
                <w:lang w:eastAsia="zh-CN"/>
              </w:rPr>
              <w:t>P</w:t>
            </w:r>
            <w:r w:rsidRPr="000A0A5F">
              <w:rPr>
                <w:lang w:eastAsia="zh-CN"/>
              </w:rPr>
              <w:t>duSetQosParaRm</w:t>
            </w:r>
          </w:p>
        </w:tc>
        <w:tc>
          <w:tcPr>
            <w:tcW w:w="1850" w:type="dxa"/>
            <w:vAlign w:val="center"/>
          </w:tcPr>
          <w:p w:rsidR="00DE6211" w:rsidRPr="000A0A5F" w:rsidRDefault="00DE6211" w:rsidP="00DE6211">
            <w:pPr>
              <w:pStyle w:val="TAL"/>
            </w:pPr>
            <w:r w:rsidRPr="000A0A5F">
              <w:t>3GPP TS 29.571 [45]</w:t>
            </w:r>
          </w:p>
        </w:tc>
        <w:tc>
          <w:tcPr>
            <w:tcW w:w="3033" w:type="dxa"/>
            <w:vAlign w:val="center"/>
          </w:tcPr>
          <w:p w:rsidR="00DE6211" w:rsidRPr="000A0A5F" w:rsidRDefault="00DE6211" w:rsidP="00DE6211">
            <w:pPr>
              <w:pStyle w:val="TAL"/>
              <w:rPr>
                <w:rFonts w:cs="Arial"/>
                <w:szCs w:val="18"/>
              </w:rPr>
            </w:pPr>
            <w:r w:rsidRPr="000A0A5F">
              <w:t>Represents the PDU Set level QoS parameters to be modified.</w:t>
            </w:r>
          </w:p>
        </w:tc>
        <w:tc>
          <w:tcPr>
            <w:tcW w:w="1807" w:type="dxa"/>
          </w:tcPr>
          <w:p w:rsidR="00DE6211" w:rsidRPr="000A0A5F" w:rsidRDefault="00DE6211" w:rsidP="00DE6211">
            <w:pPr>
              <w:pStyle w:val="TAL"/>
            </w:pPr>
          </w:p>
        </w:tc>
      </w:tr>
      <w:tr w:rsidR="00DE6211" w:rsidRPr="000A0A5F" w:rsidTr="00A60F32">
        <w:trPr>
          <w:jc w:val="center"/>
        </w:trPr>
        <w:tc>
          <w:tcPr>
            <w:tcW w:w="3087" w:type="dxa"/>
          </w:tcPr>
          <w:p w:rsidR="00DE6211" w:rsidRPr="000A0A5F" w:rsidRDefault="00DE6211" w:rsidP="00DE6211">
            <w:pPr>
              <w:pStyle w:val="TAL"/>
            </w:pPr>
            <w:r w:rsidRPr="000A0A5F">
              <w:t>PlmnIdNid</w:t>
            </w:r>
          </w:p>
        </w:tc>
        <w:tc>
          <w:tcPr>
            <w:tcW w:w="1850" w:type="dxa"/>
          </w:tcPr>
          <w:p w:rsidR="00DE6211" w:rsidRPr="000A0A5F" w:rsidRDefault="00DE6211" w:rsidP="00DE6211">
            <w:pPr>
              <w:pStyle w:val="TAL"/>
            </w:pPr>
            <w:r w:rsidRPr="000A0A5F">
              <w:t>3GPP TS 29.571 [45]</w:t>
            </w:r>
          </w:p>
        </w:tc>
        <w:tc>
          <w:tcPr>
            <w:tcW w:w="3033" w:type="dxa"/>
          </w:tcPr>
          <w:p w:rsidR="00DE6211" w:rsidRPr="000A0A5F" w:rsidRDefault="00DE6211" w:rsidP="00DE6211">
            <w:pPr>
              <w:pStyle w:val="TAL"/>
            </w:pPr>
            <w:r w:rsidRPr="000A0A5F">
              <w:rPr>
                <w:rFonts w:cs="Arial"/>
                <w:szCs w:val="18"/>
              </w:rPr>
              <w:t xml:space="preserve">Identifies the network: the PLMN Identifier (the mobile country code and the mobile network code) or the SNPN Identifier </w:t>
            </w:r>
            <w:r w:rsidRPr="000A0A5F">
              <w:t>(the PLMN Identifier and the NID).</w:t>
            </w:r>
          </w:p>
        </w:tc>
        <w:tc>
          <w:tcPr>
            <w:tcW w:w="1807" w:type="dxa"/>
          </w:tcPr>
          <w:p w:rsidR="00DE6211" w:rsidRPr="000A0A5F" w:rsidRDefault="00DE6211" w:rsidP="00DE6211">
            <w:pPr>
              <w:pStyle w:val="TAL"/>
              <w:rPr>
                <w:rFonts w:cs="Arial"/>
                <w:szCs w:val="18"/>
              </w:rPr>
            </w:pPr>
          </w:p>
        </w:tc>
      </w:tr>
      <w:tr w:rsidR="009F079F" w:rsidRPr="000A0A5F" w:rsidTr="00A60F32">
        <w:trPr>
          <w:jc w:val="center"/>
        </w:trPr>
        <w:tc>
          <w:tcPr>
            <w:tcW w:w="3087" w:type="dxa"/>
          </w:tcPr>
          <w:p w:rsidR="009F079F" w:rsidRDefault="009F079F" w:rsidP="009F079F">
            <w:pPr>
              <w:pStyle w:val="TAL"/>
            </w:pPr>
            <w:r>
              <w:t>Port</w:t>
            </w:r>
          </w:p>
        </w:tc>
        <w:tc>
          <w:tcPr>
            <w:tcW w:w="1850" w:type="dxa"/>
          </w:tcPr>
          <w:p w:rsidR="009F079F" w:rsidRPr="001F2DCD" w:rsidRDefault="009F079F" w:rsidP="009F079F">
            <w:pPr>
              <w:pStyle w:val="TAL"/>
            </w:pPr>
            <w:r w:rsidRPr="001F2DCD">
              <w:t>5.2.1.3.2</w:t>
            </w:r>
          </w:p>
        </w:tc>
        <w:tc>
          <w:tcPr>
            <w:tcW w:w="3033" w:type="dxa"/>
          </w:tcPr>
          <w:p w:rsidR="009F079F" w:rsidRPr="00BB36D0" w:rsidRDefault="009F079F" w:rsidP="009F079F">
            <w:pPr>
              <w:pStyle w:val="TAL"/>
              <w:rPr>
                <w:rFonts w:cs="Arial"/>
                <w:szCs w:val="18"/>
              </w:rPr>
            </w:pPr>
            <w:r w:rsidRPr="00BB36D0">
              <w:rPr>
                <w:rFonts w:cs="Arial"/>
                <w:szCs w:val="18"/>
              </w:rPr>
              <w:t>Unsigned integer with valid values between 0 and 65535 representing a port.</w:t>
            </w:r>
          </w:p>
        </w:tc>
        <w:tc>
          <w:tcPr>
            <w:tcW w:w="1807" w:type="dxa"/>
          </w:tcPr>
          <w:p w:rsidR="009F079F" w:rsidRPr="00BB36D0" w:rsidRDefault="009F079F" w:rsidP="009F079F">
            <w:pPr>
              <w:pStyle w:val="TAL"/>
              <w:rPr>
                <w:rFonts w:cs="Arial"/>
                <w:szCs w:val="18"/>
              </w:rPr>
            </w:pPr>
            <w:r>
              <w:rPr>
                <w:rFonts w:cs="Arial"/>
                <w:szCs w:val="18"/>
              </w:rPr>
              <w:t>ListUE_5G</w:t>
            </w:r>
          </w:p>
        </w:tc>
      </w:tr>
      <w:tr w:rsidR="009F079F" w:rsidRPr="000A0A5F" w:rsidTr="00A60F32">
        <w:trPr>
          <w:jc w:val="center"/>
        </w:trPr>
        <w:tc>
          <w:tcPr>
            <w:tcW w:w="3087" w:type="dxa"/>
          </w:tcPr>
          <w:p w:rsidR="009F079F" w:rsidRPr="000A0A5F" w:rsidRDefault="009F079F" w:rsidP="009F079F">
            <w:pPr>
              <w:pStyle w:val="TAL"/>
            </w:pPr>
            <w:r w:rsidRPr="000A0A5F">
              <w:t>ProblemDetails</w:t>
            </w:r>
          </w:p>
        </w:tc>
        <w:tc>
          <w:tcPr>
            <w:tcW w:w="1850" w:type="dxa"/>
          </w:tcPr>
          <w:p w:rsidR="009F079F" w:rsidRPr="000A0A5F" w:rsidRDefault="009F079F" w:rsidP="009F079F">
            <w:pPr>
              <w:pStyle w:val="TAL"/>
            </w:pPr>
            <w:r w:rsidRPr="000A0A5F">
              <w:t>5.2.1.2.12</w:t>
            </w:r>
          </w:p>
        </w:tc>
        <w:tc>
          <w:tcPr>
            <w:tcW w:w="3033" w:type="dxa"/>
          </w:tcPr>
          <w:p w:rsidR="009F079F" w:rsidRPr="000A0A5F" w:rsidRDefault="009F079F" w:rsidP="009F079F">
            <w:pPr>
              <w:pStyle w:val="TAL"/>
              <w:rPr>
                <w:rFonts w:cs="Arial"/>
                <w:szCs w:val="18"/>
              </w:rPr>
            </w:pPr>
            <w:r w:rsidRPr="000A0A5F">
              <w:rPr>
                <w:rFonts w:cs="Arial"/>
                <w:szCs w:val="18"/>
              </w:rPr>
              <w:t>Problem Details when returning an error response.</w:t>
            </w:r>
          </w:p>
        </w:tc>
        <w:tc>
          <w:tcPr>
            <w:tcW w:w="1807" w:type="dxa"/>
          </w:tcPr>
          <w:p w:rsidR="009F079F" w:rsidRPr="000A0A5F" w:rsidRDefault="009F079F" w:rsidP="009F079F">
            <w:pPr>
              <w:pStyle w:val="TAL"/>
              <w:rPr>
                <w:rFonts w:cs="Arial"/>
                <w:szCs w:val="18"/>
              </w:rPr>
            </w:pPr>
          </w:p>
        </w:tc>
      </w:tr>
      <w:tr w:rsidR="009F079F" w:rsidRPr="000A0A5F" w:rsidTr="00A60F32">
        <w:trPr>
          <w:jc w:val="center"/>
        </w:trPr>
        <w:tc>
          <w:tcPr>
            <w:tcW w:w="3087" w:type="dxa"/>
          </w:tcPr>
          <w:p w:rsidR="009F079F" w:rsidRPr="000A0A5F" w:rsidRDefault="009F079F" w:rsidP="009F079F">
            <w:pPr>
              <w:pStyle w:val="TAL"/>
            </w:pPr>
            <w:r w:rsidRPr="000A0A5F">
              <w:t>ProtoDesc</w:t>
            </w:r>
          </w:p>
        </w:tc>
        <w:tc>
          <w:tcPr>
            <w:tcW w:w="1850" w:type="dxa"/>
          </w:tcPr>
          <w:p w:rsidR="009F079F" w:rsidRPr="000A0A5F" w:rsidRDefault="009F079F" w:rsidP="009F079F">
            <w:pPr>
              <w:pStyle w:val="TAL"/>
            </w:pPr>
            <w:r w:rsidRPr="000A0A5F">
              <w:rPr>
                <w:lang w:eastAsia="zh-CN"/>
              </w:rPr>
              <w:t>3GPP TS 29.514 [52]</w:t>
            </w:r>
          </w:p>
        </w:tc>
        <w:tc>
          <w:tcPr>
            <w:tcW w:w="3033" w:type="dxa"/>
          </w:tcPr>
          <w:p w:rsidR="009F079F" w:rsidRPr="000A0A5F" w:rsidRDefault="009F079F" w:rsidP="009F079F">
            <w:pPr>
              <w:pStyle w:val="TAL"/>
            </w:pPr>
            <w:r w:rsidRPr="000A0A5F">
              <w:rPr>
                <w:lang w:eastAsia="zh-CN"/>
              </w:rPr>
              <w:t>Represents Protocol description of the media flow</w:t>
            </w:r>
          </w:p>
        </w:tc>
        <w:tc>
          <w:tcPr>
            <w:tcW w:w="1807" w:type="dxa"/>
          </w:tcPr>
          <w:p w:rsidR="009F079F" w:rsidRPr="000A0A5F" w:rsidRDefault="009F079F" w:rsidP="009F079F">
            <w:pPr>
              <w:pStyle w:val="TAL"/>
            </w:pPr>
          </w:p>
        </w:tc>
      </w:tr>
      <w:tr w:rsidR="009F079F" w:rsidRPr="000A0A5F" w:rsidTr="00A60F32">
        <w:trPr>
          <w:jc w:val="center"/>
        </w:trPr>
        <w:tc>
          <w:tcPr>
            <w:tcW w:w="3087" w:type="dxa"/>
          </w:tcPr>
          <w:p w:rsidR="009F079F" w:rsidRPr="000A0A5F" w:rsidRDefault="009F079F" w:rsidP="009F079F">
            <w:pPr>
              <w:pStyle w:val="TAL"/>
            </w:pPr>
            <w:r w:rsidRPr="000A0A5F">
              <w:t>RatType</w:t>
            </w:r>
          </w:p>
        </w:tc>
        <w:tc>
          <w:tcPr>
            <w:tcW w:w="1850" w:type="dxa"/>
          </w:tcPr>
          <w:p w:rsidR="009F079F" w:rsidRPr="000A0A5F" w:rsidRDefault="009F079F" w:rsidP="009F079F">
            <w:pPr>
              <w:pStyle w:val="TAL"/>
            </w:pPr>
            <w:r w:rsidRPr="000A0A5F">
              <w:t>3GPP TS 29.571 [45]</w:t>
            </w:r>
          </w:p>
        </w:tc>
        <w:tc>
          <w:tcPr>
            <w:tcW w:w="3033" w:type="dxa"/>
          </w:tcPr>
          <w:p w:rsidR="009F079F" w:rsidRPr="000A0A5F" w:rsidRDefault="009F079F" w:rsidP="009F079F">
            <w:pPr>
              <w:pStyle w:val="TAL"/>
              <w:rPr>
                <w:rFonts w:cs="Arial"/>
                <w:szCs w:val="18"/>
              </w:rPr>
            </w:pPr>
            <w:r w:rsidRPr="000A0A5F">
              <w:rPr>
                <w:rFonts w:cs="Arial"/>
                <w:szCs w:val="18"/>
              </w:rPr>
              <w:t>Identifies the RAT Type.</w:t>
            </w:r>
          </w:p>
        </w:tc>
        <w:tc>
          <w:tcPr>
            <w:tcW w:w="1807" w:type="dxa"/>
          </w:tcPr>
          <w:p w:rsidR="009F079F" w:rsidRPr="000A0A5F" w:rsidRDefault="009F079F" w:rsidP="009F079F">
            <w:pPr>
              <w:pStyle w:val="TAL"/>
              <w:rPr>
                <w:rFonts w:cs="Arial"/>
                <w:szCs w:val="18"/>
              </w:rPr>
            </w:pPr>
          </w:p>
        </w:tc>
      </w:tr>
      <w:tr w:rsidR="009F079F" w:rsidRPr="000A0A5F" w:rsidTr="00A60F32">
        <w:trPr>
          <w:trHeight w:val="71"/>
          <w:jc w:val="center"/>
        </w:trPr>
        <w:tc>
          <w:tcPr>
            <w:tcW w:w="3087" w:type="dxa"/>
          </w:tcPr>
          <w:p w:rsidR="009F079F" w:rsidRPr="000A0A5F" w:rsidRDefault="009F079F" w:rsidP="009F079F">
            <w:pPr>
              <w:pStyle w:val="TAL"/>
            </w:pPr>
            <w:r w:rsidRPr="000A0A5F">
              <w:rPr>
                <w:rFonts w:hint="eastAsia"/>
                <w:noProof/>
                <w:lang w:eastAsia="zh-CN"/>
              </w:rPr>
              <w:t>ReportingFrequency</w:t>
            </w:r>
          </w:p>
        </w:tc>
        <w:tc>
          <w:tcPr>
            <w:tcW w:w="1850" w:type="dxa"/>
          </w:tcPr>
          <w:p w:rsidR="009F079F" w:rsidRPr="000A0A5F" w:rsidRDefault="009F079F" w:rsidP="009F079F">
            <w:pPr>
              <w:pStyle w:val="TAL"/>
            </w:pPr>
            <w:r w:rsidRPr="000A0A5F">
              <w:t>3GPP TS 29.512 [8]</w:t>
            </w:r>
          </w:p>
        </w:tc>
        <w:tc>
          <w:tcPr>
            <w:tcW w:w="3033" w:type="dxa"/>
          </w:tcPr>
          <w:p w:rsidR="009F079F" w:rsidRPr="000A0A5F" w:rsidRDefault="009F079F" w:rsidP="009F079F">
            <w:pPr>
              <w:pStyle w:val="TAL"/>
              <w:rPr>
                <w:rFonts w:cs="Arial"/>
                <w:szCs w:val="18"/>
              </w:rPr>
            </w:pPr>
            <w:r w:rsidRPr="000A0A5F">
              <w:rPr>
                <w:lang w:eastAsia="ko-KR"/>
              </w:rPr>
              <w:t xml:space="preserve">Indicates the </w:t>
            </w:r>
            <w:r w:rsidRPr="000A0A5F">
              <w:rPr>
                <w:lang w:val="en-US"/>
              </w:rPr>
              <w:t>frequency for the reporting, such as</w:t>
            </w:r>
            <w:r w:rsidRPr="000A0A5F">
              <w:rPr>
                <w:lang w:eastAsia="ko-KR"/>
              </w:rPr>
              <w:t xml:space="preserve"> event triggeredand/or </w:t>
            </w:r>
            <w:r w:rsidRPr="000A0A5F">
              <w:rPr>
                <w:lang w:val="en-US"/>
              </w:rPr>
              <w:t>periodic</w:t>
            </w:r>
            <w:r w:rsidRPr="000A0A5F">
              <w:rPr>
                <w:rFonts w:cs="Arial"/>
                <w:noProof/>
                <w:szCs w:val="18"/>
                <w:lang w:eastAsia="zh-CN"/>
              </w:rPr>
              <w:t>. (NOTE</w:t>
            </w:r>
            <w:r w:rsidRPr="000A0A5F">
              <w:rPr>
                <w:rFonts w:cs="Arial"/>
                <w:szCs w:val="18"/>
                <w:lang w:val="en-US" w:eastAsia="zh-CN"/>
              </w:rPr>
              <w:t> 2</w:t>
            </w:r>
            <w:r w:rsidRPr="000A0A5F">
              <w:rPr>
                <w:rFonts w:cs="Arial"/>
                <w:noProof/>
                <w:szCs w:val="18"/>
                <w:lang w:eastAsia="zh-CN"/>
              </w:rPr>
              <w:t>)</w:t>
            </w:r>
          </w:p>
        </w:tc>
        <w:tc>
          <w:tcPr>
            <w:tcW w:w="1807" w:type="dxa"/>
          </w:tcPr>
          <w:p w:rsidR="009F079F" w:rsidRPr="000A0A5F" w:rsidRDefault="009F079F" w:rsidP="009F079F">
            <w:pPr>
              <w:pStyle w:val="TAL"/>
              <w:rPr>
                <w:lang w:eastAsia="ko-KR"/>
              </w:rPr>
            </w:pPr>
          </w:p>
        </w:tc>
      </w:tr>
      <w:tr w:rsidR="009F079F" w:rsidRPr="000A0A5F" w:rsidTr="00A60F32">
        <w:trPr>
          <w:jc w:val="center"/>
        </w:trPr>
        <w:tc>
          <w:tcPr>
            <w:tcW w:w="3087" w:type="dxa"/>
          </w:tcPr>
          <w:p w:rsidR="009F079F" w:rsidRPr="000A0A5F" w:rsidRDefault="009F079F" w:rsidP="009F079F">
            <w:pPr>
              <w:pStyle w:val="TAL"/>
            </w:pPr>
            <w:r w:rsidRPr="000A0A5F">
              <w:rPr>
                <w:lang w:eastAsia="zh-CN"/>
              </w:rPr>
              <w:t>RequestedQosMonitoringParameter</w:t>
            </w:r>
          </w:p>
        </w:tc>
        <w:tc>
          <w:tcPr>
            <w:tcW w:w="1850" w:type="dxa"/>
          </w:tcPr>
          <w:p w:rsidR="009F079F" w:rsidRPr="000A0A5F" w:rsidRDefault="009F079F" w:rsidP="009F079F">
            <w:pPr>
              <w:pStyle w:val="TAL"/>
            </w:pPr>
            <w:r w:rsidRPr="000A0A5F">
              <w:t>3GPP TS 29.512 [8]</w:t>
            </w:r>
          </w:p>
        </w:tc>
        <w:tc>
          <w:tcPr>
            <w:tcW w:w="3033" w:type="dxa"/>
          </w:tcPr>
          <w:p w:rsidR="009F079F" w:rsidRPr="000A0A5F" w:rsidRDefault="009F079F" w:rsidP="009F079F">
            <w:pPr>
              <w:pStyle w:val="TAL"/>
              <w:rPr>
                <w:rFonts w:cs="Arial"/>
                <w:szCs w:val="18"/>
              </w:rPr>
            </w:pPr>
            <w:r w:rsidRPr="000A0A5F">
              <w:rPr>
                <w:rFonts w:cs="Arial"/>
                <w:szCs w:val="18"/>
                <w:lang w:eastAsia="zh-CN"/>
              </w:rPr>
              <w:t xml:space="preserve">Indicates </w:t>
            </w:r>
            <w:r w:rsidRPr="000A0A5F">
              <w:t>the QoS information to be measured, e.g.UL packet delay, DL packet delay or round trip packet delay between the UE and the UPF is to be monitored when the QoS Monitoring for packet delay is enabled for the service data flow</w:t>
            </w:r>
            <w:r w:rsidRPr="000A0A5F">
              <w:rPr>
                <w:rFonts w:cs="Arial"/>
                <w:szCs w:val="18"/>
                <w:lang w:eastAsia="zh-CN"/>
              </w:rPr>
              <w:t>. (NOTE</w:t>
            </w:r>
            <w:r w:rsidRPr="000A0A5F">
              <w:rPr>
                <w:rFonts w:cs="Arial"/>
                <w:szCs w:val="18"/>
                <w:lang w:val="en-US" w:eastAsia="zh-CN"/>
              </w:rPr>
              <w:t> 2)</w:t>
            </w:r>
          </w:p>
        </w:tc>
        <w:tc>
          <w:tcPr>
            <w:tcW w:w="1807" w:type="dxa"/>
          </w:tcPr>
          <w:p w:rsidR="009F079F" w:rsidRPr="000A0A5F" w:rsidRDefault="009F079F" w:rsidP="009F079F">
            <w:pPr>
              <w:pStyle w:val="TAL"/>
              <w:rPr>
                <w:rFonts w:cs="Arial"/>
                <w:szCs w:val="18"/>
                <w:lang w:eastAsia="zh-CN"/>
              </w:rPr>
            </w:pPr>
          </w:p>
        </w:tc>
      </w:tr>
      <w:tr w:rsidR="009F079F" w:rsidRPr="000A0A5F" w:rsidTr="00A60F32">
        <w:trPr>
          <w:jc w:val="center"/>
        </w:trPr>
        <w:tc>
          <w:tcPr>
            <w:tcW w:w="3087" w:type="dxa"/>
          </w:tcPr>
          <w:p w:rsidR="009F079F" w:rsidRPr="000A0A5F" w:rsidRDefault="009F079F" w:rsidP="009F079F">
            <w:pPr>
              <w:pStyle w:val="TAL"/>
              <w:rPr>
                <w:lang w:eastAsia="zh-CN"/>
              </w:rPr>
            </w:pPr>
            <w:r w:rsidRPr="000A0A5F">
              <w:t>ServAuthInfo</w:t>
            </w:r>
          </w:p>
        </w:tc>
        <w:tc>
          <w:tcPr>
            <w:tcW w:w="1850" w:type="dxa"/>
          </w:tcPr>
          <w:p w:rsidR="009F079F" w:rsidRPr="000A0A5F" w:rsidRDefault="009F079F" w:rsidP="009F079F">
            <w:pPr>
              <w:pStyle w:val="TAL"/>
            </w:pPr>
            <w:r w:rsidRPr="000A0A5F">
              <w:t>3GPP TS 29.514 [52]</w:t>
            </w:r>
          </w:p>
        </w:tc>
        <w:tc>
          <w:tcPr>
            <w:tcW w:w="3033" w:type="dxa"/>
          </w:tcPr>
          <w:p w:rsidR="009F079F" w:rsidRPr="000A0A5F" w:rsidRDefault="009F079F" w:rsidP="009F079F">
            <w:pPr>
              <w:pStyle w:val="TAL"/>
              <w:rPr>
                <w:rFonts w:cs="Arial"/>
                <w:szCs w:val="18"/>
                <w:lang w:eastAsia="zh-CN"/>
              </w:rPr>
            </w:pPr>
            <w:r w:rsidRPr="000A0A5F">
              <w:rPr>
                <w:rFonts w:cs="Arial" w:hint="eastAsia"/>
                <w:szCs w:val="18"/>
                <w:lang w:eastAsia="zh-CN"/>
              </w:rPr>
              <w:t>T</w:t>
            </w:r>
            <w:r w:rsidRPr="000A0A5F">
              <w:rPr>
                <w:rFonts w:cs="Arial"/>
                <w:szCs w:val="18"/>
                <w:lang w:eastAsia="zh-CN"/>
              </w:rPr>
              <w:t xml:space="preserve">he authorization result of </w:t>
            </w:r>
            <w:r w:rsidRPr="000A0A5F">
              <w:rPr>
                <w:rFonts w:cs="Arial"/>
                <w:szCs w:val="18"/>
              </w:rPr>
              <w:t>a request for QoS / QoS monitoring.</w:t>
            </w:r>
          </w:p>
        </w:tc>
        <w:tc>
          <w:tcPr>
            <w:tcW w:w="1807" w:type="dxa"/>
          </w:tcPr>
          <w:p w:rsidR="009F079F" w:rsidRPr="000A0A5F" w:rsidRDefault="009F079F" w:rsidP="009F079F">
            <w:pPr>
              <w:pStyle w:val="TAL"/>
              <w:rPr>
                <w:rFonts w:cs="Arial"/>
                <w:szCs w:val="18"/>
                <w:lang w:eastAsia="zh-CN"/>
              </w:rPr>
            </w:pPr>
            <w:r w:rsidRPr="000A0A5F">
              <w:rPr>
                <w:rFonts w:cs="Arial"/>
                <w:szCs w:val="18"/>
              </w:rPr>
              <w:t>EnQoSMon</w:t>
            </w:r>
          </w:p>
        </w:tc>
      </w:tr>
      <w:tr w:rsidR="009F079F" w:rsidRPr="000A0A5F" w:rsidTr="00A60F32">
        <w:trPr>
          <w:jc w:val="center"/>
        </w:trPr>
        <w:tc>
          <w:tcPr>
            <w:tcW w:w="3087" w:type="dxa"/>
          </w:tcPr>
          <w:p w:rsidR="009F079F" w:rsidRPr="000A0A5F" w:rsidRDefault="009F079F" w:rsidP="009F079F">
            <w:pPr>
              <w:pStyle w:val="TAL"/>
              <w:rPr>
                <w:lang w:eastAsia="zh-CN"/>
              </w:rPr>
            </w:pPr>
            <w:r w:rsidRPr="000A0A5F">
              <w:rPr>
                <w:lang w:eastAsia="zh-CN"/>
              </w:rPr>
              <w:t>Snssai</w:t>
            </w:r>
          </w:p>
        </w:tc>
        <w:tc>
          <w:tcPr>
            <w:tcW w:w="1850" w:type="dxa"/>
          </w:tcPr>
          <w:p w:rsidR="009F079F" w:rsidRPr="000A0A5F" w:rsidRDefault="009F079F" w:rsidP="009F079F">
            <w:pPr>
              <w:pStyle w:val="TAL"/>
            </w:pPr>
            <w:r w:rsidRPr="000A0A5F">
              <w:rPr>
                <w:rFonts w:hint="eastAsia"/>
              </w:rPr>
              <w:t>3GPP TS 29.</w:t>
            </w:r>
            <w:r w:rsidRPr="000A0A5F">
              <w:t>571</w:t>
            </w:r>
            <w:r w:rsidRPr="000A0A5F">
              <w:rPr>
                <w:rFonts w:hint="eastAsia"/>
              </w:rPr>
              <w:t> [</w:t>
            </w:r>
            <w:r w:rsidRPr="000A0A5F">
              <w:t>45</w:t>
            </w:r>
            <w:r w:rsidRPr="000A0A5F">
              <w:rPr>
                <w:rFonts w:hint="eastAsia"/>
              </w:rPr>
              <w:t>]</w:t>
            </w:r>
          </w:p>
        </w:tc>
        <w:tc>
          <w:tcPr>
            <w:tcW w:w="3033" w:type="dxa"/>
          </w:tcPr>
          <w:p w:rsidR="009F079F" w:rsidRPr="000A0A5F" w:rsidRDefault="009F079F" w:rsidP="009F079F">
            <w:pPr>
              <w:pStyle w:val="TAL"/>
              <w:rPr>
                <w:rFonts w:cs="Arial"/>
                <w:szCs w:val="18"/>
                <w:lang w:eastAsia="zh-CN"/>
              </w:rPr>
            </w:pPr>
            <w:r w:rsidRPr="000A0A5F">
              <w:rPr>
                <w:rFonts w:cs="Arial" w:hint="eastAsia"/>
                <w:szCs w:val="18"/>
                <w:lang w:eastAsia="zh-CN"/>
              </w:rPr>
              <w:t xml:space="preserve">Identifies the </w:t>
            </w:r>
            <w:r w:rsidRPr="000A0A5F">
              <w:rPr>
                <w:rFonts w:cs="Arial"/>
                <w:szCs w:val="18"/>
                <w:lang w:eastAsia="zh-CN"/>
              </w:rPr>
              <w:t>S-NSSAI.</w:t>
            </w:r>
          </w:p>
        </w:tc>
        <w:tc>
          <w:tcPr>
            <w:tcW w:w="1807" w:type="dxa"/>
          </w:tcPr>
          <w:p w:rsidR="009F079F" w:rsidRPr="000A0A5F" w:rsidRDefault="009F079F" w:rsidP="009F079F">
            <w:pPr>
              <w:pStyle w:val="TAL"/>
              <w:rPr>
                <w:rFonts w:cs="Arial" w:hint="eastAsia"/>
                <w:szCs w:val="18"/>
                <w:lang w:eastAsia="zh-CN"/>
              </w:rPr>
            </w:pPr>
          </w:p>
        </w:tc>
      </w:tr>
      <w:tr w:rsidR="009F079F" w:rsidRPr="000A0A5F" w:rsidTr="00A60F32">
        <w:trPr>
          <w:jc w:val="center"/>
        </w:trPr>
        <w:tc>
          <w:tcPr>
            <w:tcW w:w="3087" w:type="dxa"/>
          </w:tcPr>
          <w:p w:rsidR="009F079F" w:rsidRPr="000A0A5F" w:rsidRDefault="009F079F" w:rsidP="009F079F">
            <w:pPr>
              <w:pStyle w:val="TAL"/>
            </w:pPr>
            <w:r w:rsidRPr="000A0A5F">
              <w:t>SupportedFeatures</w:t>
            </w:r>
          </w:p>
        </w:tc>
        <w:tc>
          <w:tcPr>
            <w:tcW w:w="1850" w:type="dxa"/>
          </w:tcPr>
          <w:p w:rsidR="009F079F" w:rsidRPr="000A0A5F" w:rsidRDefault="009F079F" w:rsidP="009F079F">
            <w:pPr>
              <w:pStyle w:val="TAL"/>
              <w:rPr>
                <w:rFonts w:hint="eastAsia"/>
                <w:lang w:eastAsia="zh-CN"/>
              </w:rPr>
            </w:pPr>
            <w:r w:rsidRPr="000A0A5F">
              <w:rPr>
                <w:lang w:eastAsia="zh-CN"/>
              </w:rPr>
              <w:t>3GPP TS 29.571 [45]</w:t>
            </w:r>
          </w:p>
        </w:tc>
        <w:tc>
          <w:tcPr>
            <w:tcW w:w="3033" w:type="dxa"/>
          </w:tcPr>
          <w:p w:rsidR="009F079F" w:rsidRPr="000A0A5F" w:rsidRDefault="009F079F" w:rsidP="009F079F">
            <w:pPr>
              <w:pStyle w:val="TAL"/>
              <w:rPr>
                <w:lang w:eastAsia="zh-CN"/>
              </w:rPr>
            </w:pPr>
            <w:r w:rsidRPr="000A0A5F">
              <w:rPr>
                <w:lang w:eastAsia="zh-CN"/>
              </w:rPr>
              <w:t>Used to negotiate the applicability of the optional features defined in table 5.14.4-1.</w:t>
            </w:r>
          </w:p>
        </w:tc>
        <w:tc>
          <w:tcPr>
            <w:tcW w:w="1807" w:type="dxa"/>
          </w:tcPr>
          <w:p w:rsidR="009F079F" w:rsidRPr="000A0A5F" w:rsidRDefault="009F079F" w:rsidP="009F079F">
            <w:pPr>
              <w:pStyle w:val="TAL"/>
              <w:rPr>
                <w:lang w:eastAsia="zh-CN"/>
              </w:rPr>
            </w:pPr>
          </w:p>
        </w:tc>
      </w:tr>
      <w:tr w:rsidR="009F079F" w:rsidRPr="000A0A5F" w:rsidTr="00A60F32">
        <w:trPr>
          <w:jc w:val="center"/>
        </w:trPr>
        <w:tc>
          <w:tcPr>
            <w:tcW w:w="3087" w:type="dxa"/>
          </w:tcPr>
          <w:p w:rsidR="009F079F" w:rsidRPr="000A0A5F" w:rsidRDefault="009F079F" w:rsidP="009F079F">
            <w:pPr>
              <w:pStyle w:val="TAL"/>
            </w:pPr>
            <w:r w:rsidRPr="000A0A5F">
              <w:t>TscaiInputContainer</w:t>
            </w:r>
          </w:p>
        </w:tc>
        <w:tc>
          <w:tcPr>
            <w:tcW w:w="1850" w:type="dxa"/>
          </w:tcPr>
          <w:p w:rsidR="009F079F" w:rsidRPr="000A0A5F" w:rsidRDefault="009F079F" w:rsidP="009F079F">
            <w:pPr>
              <w:pStyle w:val="TAL"/>
              <w:rPr>
                <w:lang w:eastAsia="zh-CN"/>
              </w:rPr>
            </w:pPr>
            <w:r w:rsidRPr="000A0A5F">
              <w:t>3GPP TS 29.514 [52]</w:t>
            </w:r>
          </w:p>
        </w:tc>
        <w:tc>
          <w:tcPr>
            <w:tcW w:w="3033" w:type="dxa"/>
          </w:tcPr>
          <w:p w:rsidR="009F079F" w:rsidRPr="000A0A5F" w:rsidRDefault="009F079F" w:rsidP="009F079F">
            <w:pPr>
              <w:pStyle w:val="TAL"/>
              <w:rPr>
                <w:lang w:eastAsia="zh-CN"/>
              </w:rPr>
            </w:pPr>
            <w:r w:rsidRPr="000A0A5F">
              <w:t>TSCAI Input information container.</w:t>
            </w:r>
          </w:p>
        </w:tc>
        <w:tc>
          <w:tcPr>
            <w:tcW w:w="1807" w:type="dxa"/>
          </w:tcPr>
          <w:p w:rsidR="009F079F" w:rsidRPr="000A0A5F" w:rsidRDefault="009F079F" w:rsidP="009F079F">
            <w:pPr>
              <w:pStyle w:val="TAL"/>
            </w:pPr>
            <w:r w:rsidRPr="000A0A5F">
              <w:t>TSC_5G, MultiMedia</w:t>
            </w:r>
          </w:p>
        </w:tc>
      </w:tr>
      <w:tr w:rsidR="009F079F" w:rsidRPr="000A0A5F" w:rsidTr="00A60F32">
        <w:trPr>
          <w:jc w:val="center"/>
        </w:trPr>
        <w:tc>
          <w:tcPr>
            <w:tcW w:w="3087" w:type="dxa"/>
          </w:tcPr>
          <w:p w:rsidR="009F079F" w:rsidRPr="000A0A5F" w:rsidRDefault="009F079F" w:rsidP="009F079F">
            <w:pPr>
              <w:pStyle w:val="TAL"/>
            </w:pPr>
            <w:r w:rsidRPr="000A0A5F">
              <w:t>TscPriorityLevel</w:t>
            </w:r>
          </w:p>
        </w:tc>
        <w:tc>
          <w:tcPr>
            <w:tcW w:w="1850" w:type="dxa"/>
          </w:tcPr>
          <w:p w:rsidR="009F079F" w:rsidRPr="000A0A5F" w:rsidRDefault="009F079F" w:rsidP="009F079F">
            <w:pPr>
              <w:pStyle w:val="TAL"/>
            </w:pPr>
            <w:r w:rsidRPr="000A0A5F">
              <w:t>3GPP TS 29.514 [52]</w:t>
            </w:r>
          </w:p>
        </w:tc>
        <w:tc>
          <w:tcPr>
            <w:tcW w:w="3033" w:type="dxa"/>
          </w:tcPr>
          <w:p w:rsidR="009F079F" w:rsidRPr="000A0A5F" w:rsidRDefault="009F079F" w:rsidP="009F079F">
            <w:pPr>
              <w:pStyle w:val="TAL"/>
            </w:pPr>
            <w:r w:rsidRPr="000A0A5F">
              <w:rPr>
                <w:rFonts w:cs="Arial"/>
                <w:szCs w:val="18"/>
              </w:rPr>
              <w:t>Represents priority of TSC Flows.</w:t>
            </w:r>
          </w:p>
        </w:tc>
        <w:tc>
          <w:tcPr>
            <w:tcW w:w="1807" w:type="dxa"/>
          </w:tcPr>
          <w:p w:rsidR="009F079F" w:rsidRPr="000A0A5F" w:rsidRDefault="009F079F" w:rsidP="009F079F">
            <w:pPr>
              <w:pStyle w:val="TAL"/>
              <w:rPr>
                <w:rFonts w:cs="Arial"/>
                <w:szCs w:val="18"/>
              </w:rPr>
            </w:pPr>
            <w:r w:rsidRPr="000A0A5F">
              <w:t>TSC_5G, MultiMedia</w:t>
            </w:r>
          </w:p>
        </w:tc>
      </w:tr>
      <w:tr w:rsidR="009F079F" w:rsidRPr="000A0A5F" w:rsidTr="00A60F32">
        <w:trPr>
          <w:jc w:val="center"/>
        </w:trPr>
        <w:tc>
          <w:tcPr>
            <w:tcW w:w="3087" w:type="dxa"/>
          </w:tcPr>
          <w:p w:rsidR="009F079F" w:rsidRPr="000A0A5F" w:rsidRDefault="009F079F" w:rsidP="009F079F">
            <w:pPr>
              <w:pStyle w:val="TAL"/>
            </w:pPr>
            <w:r w:rsidRPr="000A0A5F">
              <w:t>TscPriorityLevelRm</w:t>
            </w:r>
          </w:p>
        </w:tc>
        <w:tc>
          <w:tcPr>
            <w:tcW w:w="1850" w:type="dxa"/>
          </w:tcPr>
          <w:p w:rsidR="009F079F" w:rsidRPr="000A0A5F" w:rsidRDefault="009F079F" w:rsidP="009F079F">
            <w:pPr>
              <w:pStyle w:val="TAL"/>
            </w:pPr>
            <w:r w:rsidRPr="000A0A5F">
              <w:t>3GPP TS 29.514 [52]</w:t>
            </w:r>
          </w:p>
        </w:tc>
        <w:tc>
          <w:tcPr>
            <w:tcW w:w="3033" w:type="dxa"/>
          </w:tcPr>
          <w:p w:rsidR="009F079F" w:rsidRPr="000A0A5F" w:rsidRDefault="009F079F" w:rsidP="009F079F">
            <w:pPr>
              <w:pStyle w:val="TAL"/>
            </w:pPr>
            <w:r w:rsidRPr="000A0A5F">
              <w:t>Represents the same as the TscPriorityLevel data type, but with the OpenAPI "nullable: true" property</w:t>
            </w:r>
            <w:r w:rsidRPr="000A0A5F">
              <w:rPr>
                <w:rFonts w:hint="eastAsia"/>
                <w:lang w:eastAsia="ja-JP"/>
              </w:rPr>
              <w:t>.</w:t>
            </w:r>
          </w:p>
        </w:tc>
        <w:tc>
          <w:tcPr>
            <w:tcW w:w="1807" w:type="dxa"/>
          </w:tcPr>
          <w:p w:rsidR="009F079F" w:rsidRPr="000A0A5F" w:rsidRDefault="009F079F" w:rsidP="009F079F">
            <w:pPr>
              <w:pStyle w:val="TAL"/>
            </w:pPr>
            <w:r w:rsidRPr="000A0A5F">
              <w:t>TSC_5G, MultiMedia</w:t>
            </w:r>
          </w:p>
        </w:tc>
      </w:tr>
      <w:tr w:rsidR="009F079F" w:rsidRPr="000A0A5F" w:rsidTr="00A60F32">
        <w:trPr>
          <w:jc w:val="center"/>
        </w:trPr>
        <w:tc>
          <w:tcPr>
            <w:tcW w:w="3087" w:type="dxa"/>
          </w:tcPr>
          <w:p w:rsidR="009F079F" w:rsidRPr="000A0A5F" w:rsidRDefault="009F079F" w:rsidP="009F079F">
            <w:pPr>
              <w:pStyle w:val="TAL"/>
            </w:pPr>
            <w:r w:rsidRPr="000A0A5F">
              <w:t>TsnQosContainer</w:t>
            </w:r>
          </w:p>
        </w:tc>
        <w:tc>
          <w:tcPr>
            <w:tcW w:w="1850" w:type="dxa"/>
          </w:tcPr>
          <w:p w:rsidR="009F079F" w:rsidRPr="000A0A5F" w:rsidRDefault="009F079F" w:rsidP="009F079F">
            <w:pPr>
              <w:pStyle w:val="TAL"/>
            </w:pPr>
            <w:r w:rsidRPr="000A0A5F">
              <w:t>3GPP TS 29.514 [52]</w:t>
            </w:r>
          </w:p>
        </w:tc>
        <w:tc>
          <w:tcPr>
            <w:tcW w:w="3033" w:type="dxa"/>
          </w:tcPr>
          <w:p w:rsidR="009F079F" w:rsidRPr="000A0A5F" w:rsidRDefault="009F079F" w:rsidP="009F079F">
            <w:pPr>
              <w:pStyle w:val="TAL"/>
            </w:pPr>
            <w:r w:rsidRPr="000A0A5F">
              <w:t xml:space="preserve">Represents individual QoS parameters </w:t>
            </w:r>
          </w:p>
        </w:tc>
        <w:tc>
          <w:tcPr>
            <w:tcW w:w="1807" w:type="dxa"/>
          </w:tcPr>
          <w:p w:rsidR="009F079F" w:rsidRPr="000A0A5F" w:rsidRDefault="009F079F" w:rsidP="009F079F">
            <w:pPr>
              <w:pStyle w:val="TAL"/>
            </w:pPr>
            <w:r w:rsidRPr="000A0A5F">
              <w:t>MultiMedia</w:t>
            </w:r>
          </w:p>
        </w:tc>
      </w:tr>
      <w:tr w:rsidR="009F079F" w:rsidRPr="000A0A5F" w:rsidTr="00A60F32">
        <w:trPr>
          <w:jc w:val="center"/>
        </w:trPr>
        <w:tc>
          <w:tcPr>
            <w:tcW w:w="3087" w:type="dxa"/>
          </w:tcPr>
          <w:p w:rsidR="009F079F" w:rsidRPr="000A0A5F" w:rsidRDefault="009F079F" w:rsidP="009F079F">
            <w:pPr>
              <w:pStyle w:val="TAL"/>
            </w:pPr>
            <w:r w:rsidRPr="000A0A5F">
              <w:t>TsnQosContainerRm</w:t>
            </w:r>
          </w:p>
        </w:tc>
        <w:tc>
          <w:tcPr>
            <w:tcW w:w="1850" w:type="dxa"/>
          </w:tcPr>
          <w:p w:rsidR="009F079F" w:rsidRPr="000A0A5F" w:rsidRDefault="009F079F" w:rsidP="009F079F">
            <w:pPr>
              <w:pStyle w:val="TAL"/>
            </w:pPr>
            <w:r w:rsidRPr="000A0A5F">
              <w:t>3GPP TS 29.514 [52]</w:t>
            </w:r>
          </w:p>
        </w:tc>
        <w:tc>
          <w:tcPr>
            <w:tcW w:w="3033" w:type="dxa"/>
          </w:tcPr>
          <w:p w:rsidR="009F079F" w:rsidRPr="000A0A5F" w:rsidRDefault="009F079F" w:rsidP="009F079F">
            <w:pPr>
              <w:pStyle w:val="TAL"/>
            </w:pPr>
            <w:r w:rsidRPr="000A0A5F">
              <w:t>Represents the same as the TsnQosContainer data type, but with the OpenAPI "nullable: true" property.</w:t>
            </w:r>
          </w:p>
        </w:tc>
        <w:tc>
          <w:tcPr>
            <w:tcW w:w="1807" w:type="dxa"/>
          </w:tcPr>
          <w:p w:rsidR="009F079F" w:rsidRPr="000A0A5F" w:rsidRDefault="009F079F" w:rsidP="009F079F">
            <w:pPr>
              <w:pStyle w:val="TAL"/>
            </w:pPr>
            <w:r w:rsidRPr="000A0A5F">
              <w:t>MultiMedia</w:t>
            </w:r>
          </w:p>
        </w:tc>
      </w:tr>
      <w:tr w:rsidR="009F079F" w:rsidRPr="000A0A5F" w:rsidTr="00A60F32">
        <w:trPr>
          <w:jc w:val="center"/>
        </w:trPr>
        <w:tc>
          <w:tcPr>
            <w:tcW w:w="3087" w:type="dxa"/>
          </w:tcPr>
          <w:p w:rsidR="009F079F" w:rsidRPr="000A0A5F" w:rsidRDefault="009F079F" w:rsidP="009F079F">
            <w:pPr>
              <w:pStyle w:val="TAL"/>
            </w:pPr>
            <w:r w:rsidRPr="000A0A5F">
              <w:t>Uinteger</w:t>
            </w:r>
          </w:p>
        </w:tc>
        <w:tc>
          <w:tcPr>
            <w:tcW w:w="1850" w:type="dxa"/>
          </w:tcPr>
          <w:p w:rsidR="009F079F" w:rsidRPr="000A0A5F" w:rsidRDefault="009F079F" w:rsidP="009F079F">
            <w:pPr>
              <w:pStyle w:val="TAL"/>
            </w:pPr>
            <w:r w:rsidRPr="000A0A5F">
              <w:t>3GPP TS 29.571 [45]</w:t>
            </w:r>
          </w:p>
        </w:tc>
        <w:tc>
          <w:tcPr>
            <w:tcW w:w="3033" w:type="dxa"/>
          </w:tcPr>
          <w:p w:rsidR="009F079F" w:rsidRPr="000A0A5F" w:rsidRDefault="009F079F" w:rsidP="009F079F">
            <w:pPr>
              <w:pStyle w:val="TAL"/>
            </w:pPr>
            <w:r w:rsidRPr="000A0A5F">
              <w:t>Unsigned Integer, i.e. only value 0 and integers above 0 are permissible.</w:t>
            </w:r>
          </w:p>
          <w:p w:rsidR="009F079F" w:rsidRPr="000A0A5F" w:rsidRDefault="009F079F" w:rsidP="009F079F">
            <w:pPr>
              <w:pStyle w:val="TAL"/>
            </w:pPr>
            <w:r w:rsidRPr="000A0A5F">
              <w:t>Minimum = 0.</w:t>
            </w:r>
          </w:p>
        </w:tc>
        <w:tc>
          <w:tcPr>
            <w:tcW w:w="1807" w:type="dxa"/>
          </w:tcPr>
          <w:p w:rsidR="009F079F" w:rsidRPr="000A0A5F" w:rsidRDefault="009F079F" w:rsidP="009F079F">
            <w:pPr>
              <w:pStyle w:val="TAL"/>
            </w:pPr>
          </w:p>
        </w:tc>
      </w:tr>
      <w:tr w:rsidR="009F079F" w:rsidRPr="000A0A5F" w:rsidTr="00A60F32">
        <w:trPr>
          <w:jc w:val="center"/>
        </w:trPr>
        <w:tc>
          <w:tcPr>
            <w:tcW w:w="3087" w:type="dxa"/>
          </w:tcPr>
          <w:p w:rsidR="009F079F" w:rsidRPr="000A0A5F" w:rsidRDefault="009F079F" w:rsidP="009F079F">
            <w:pPr>
              <w:pStyle w:val="TAL"/>
            </w:pPr>
            <w:r w:rsidRPr="000A0A5F">
              <w:t>UintegerRm</w:t>
            </w:r>
          </w:p>
        </w:tc>
        <w:tc>
          <w:tcPr>
            <w:tcW w:w="1850" w:type="dxa"/>
          </w:tcPr>
          <w:p w:rsidR="009F079F" w:rsidRPr="000A0A5F" w:rsidRDefault="009F079F" w:rsidP="009F079F">
            <w:pPr>
              <w:pStyle w:val="TAL"/>
            </w:pPr>
            <w:r w:rsidRPr="000A0A5F">
              <w:t>3GPP TS 29.571 [45]</w:t>
            </w:r>
          </w:p>
        </w:tc>
        <w:tc>
          <w:tcPr>
            <w:tcW w:w="3033" w:type="dxa"/>
          </w:tcPr>
          <w:p w:rsidR="009F079F" w:rsidRPr="000A0A5F" w:rsidRDefault="009F079F" w:rsidP="009F079F">
            <w:pPr>
              <w:pStyle w:val="TAL"/>
            </w:pPr>
            <w:r w:rsidRPr="000A0A5F">
              <w:t>This data type is defined in the same way as the "Uinteger" data type, but with the OpenAPI "nullable: true" property.</w:t>
            </w:r>
          </w:p>
        </w:tc>
        <w:tc>
          <w:tcPr>
            <w:tcW w:w="1807" w:type="dxa"/>
          </w:tcPr>
          <w:p w:rsidR="009F079F" w:rsidRPr="000A0A5F" w:rsidRDefault="009F079F" w:rsidP="009F079F">
            <w:pPr>
              <w:pStyle w:val="TAL"/>
            </w:pPr>
          </w:p>
        </w:tc>
      </w:tr>
      <w:tr w:rsidR="009F079F" w:rsidRPr="000A0A5F" w:rsidTr="00A60F32">
        <w:trPr>
          <w:jc w:val="center"/>
        </w:trPr>
        <w:tc>
          <w:tcPr>
            <w:tcW w:w="3087" w:type="dxa"/>
          </w:tcPr>
          <w:p w:rsidR="009F079F" w:rsidRPr="000A0A5F" w:rsidRDefault="009F079F" w:rsidP="009F079F">
            <w:pPr>
              <w:pStyle w:val="TAL"/>
            </w:pPr>
            <w:r w:rsidRPr="000A0A5F">
              <w:t>UplinkDownlinkSupport</w:t>
            </w:r>
          </w:p>
        </w:tc>
        <w:tc>
          <w:tcPr>
            <w:tcW w:w="1850" w:type="dxa"/>
          </w:tcPr>
          <w:p w:rsidR="009F079F" w:rsidRPr="000A0A5F" w:rsidRDefault="009F079F" w:rsidP="009F079F">
            <w:pPr>
              <w:pStyle w:val="TAL"/>
            </w:pPr>
            <w:r w:rsidRPr="000A0A5F">
              <w:t>3GPP TS 29.514 [52]</w:t>
            </w:r>
          </w:p>
        </w:tc>
        <w:tc>
          <w:tcPr>
            <w:tcW w:w="3033" w:type="dxa"/>
          </w:tcPr>
          <w:p w:rsidR="009F079F" w:rsidRPr="000A0A5F" w:rsidRDefault="009F079F" w:rsidP="009F079F">
            <w:pPr>
              <w:pStyle w:val="TAL"/>
            </w:pPr>
            <w:r w:rsidRPr="000A0A5F">
              <w:rPr>
                <w:rFonts w:cs="Arial"/>
                <w:szCs w:val="18"/>
              </w:rPr>
              <w:t>Provides L4S support information.</w:t>
            </w:r>
          </w:p>
        </w:tc>
        <w:tc>
          <w:tcPr>
            <w:tcW w:w="1807" w:type="dxa"/>
          </w:tcPr>
          <w:p w:rsidR="009F079F" w:rsidRPr="000A0A5F" w:rsidRDefault="009F079F" w:rsidP="009F079F">
            <w:pPr>
              <w:pStyle w:val="TAL"/>
            </w:pPr>
            <w:r w:rsidRPr="000A0A5F">
              <w:t>L4S</w:t>
            </w:r>
          </w:p>
        </w:tc>
      </w:tr>
      <w:tr w:rsidR="009F079F" w:rsidRPr="000A0A5F" w:rsidTr="00A60F32">
        <w:trPr>
          <w:jc w:val="center"/>
        </w:trPr>
        <w:tc>
          <w:tcPr>
            <w:tcW w:w="7970" w:type="dxa"/>
            <w:gridSpan w:val="3"/>
          </w:tcPr>
          <w:p w:rsidR="009F079F" w:rsidRPr="000A0A5F" w:rsidRDefault="009F079F" w:rsidP="009F079F">
            <w:pPr>
              <w:pStyle w:val="TAN"/>
              <w:rPr>
                <w:lang w:eastAsia="zh-CN"/>
              </w:rPr>
            </w:pPr>
            <w:r w:rsidRPr="000A0A5F">
              <w:t>NOTE 1:</w:t>
            </w:r>
            <w:r w:rsidRPr="000A0A5F">
              <w:tab/>
            </w:r>
            <w:r w:rsidRPr="000A0A5F">
              <w:rPr>
                <w:lang w:eastAsia="zh-CN"/>
              </w:rPr>
              <w:t>In order to support a set of MAC addresses with a specific range in the traffic filter, feature MacAddressRange</w:t>
            </w:r>
            <w:r w:rsidRPr="000A0A5F">
              <w:t>_5G</w:t>
            </w:r>
            <w:r w:rsidRPr="000A0A5F">
              <w:rPr>
                <w:lang w:eastAsia="zh-CN"/>
              </w:rPr>
              <w:t xml:space="preserve"> as specified in clause 5.14.4 shall be supported.</w:t>
            </w:r>
          </w:p>
          <w:p w:rsidR="009F079F" w:rsidRPr="000A0A5F" w:rsidRDefault="009F079F" w:rsidP="009F079F">
            <w:pPr>
              <w:pStyle w:val="TAN"/>
              <w:rPr>
                <w:lang w:eastAsia="zh-CN"/>
              </w:rPr>
            </w:pPr>
            <w:r w:rsidRPr="000A0A5F">
              <w:rPr>
                <w:lang w:eastAsia="zh-CN"/>
              </w:rPr>
              <w:t>NOTE</w:t>
            </w:r>
            <w:r w:rsidRPr="000A0A5F">
              <w:rPr>
                <w:lang w:val="en-US" w:eastAsia="zh-CN"/>
              </w:rPr>
              <w:t> 2:</w:t>
            </w:r>
            <w:r w:rsidRPr="000A0A5F">
              <w:t xml:space="preserve"> </w:t>
            </w:r>
            <w:r w:rsidRPr="000A0A5F">
              <w:tab/>
            </w:r>
            <w:r w:rsidRPr="000A0A5F">
              <w:rPr>
                <w:lang w:eastAsia="zh-CN"/>
              </w:rPr>
              <w:t xml:space="preserve">In order to support QoS Monitoring, feature </w:t>
            </w:r>
            <w:r w:rsidRPr="000A0A5F">
              <w:rPr>
                <w:rFonts w:cs="Arial" w:hint="eastAsia"/>
                <w:szCs w:val="18"/>
                <w:lang w:eastAsia="zh-CN"/>
              </w:rPr>
              <w:t>QoSMonitoring</w:t>
            </w:r>
            <w:r w:rsidRPr="000A0A5F">
              <w:rPr>
                <w:rFonts w:cs="Arial"/>
                <w:szCs w:val="18"/>
                <w:lang w:eastAsia="zh-CN"/>
              </w:rPr>
              <w:t>_5G</w:t>
            </w:r>
            <w:r w:rsidRPr="000A0A5F">
              <w:rPr>
                <w:lang w:eastAsia="zh-CN"/>
              </w:rPr>
              <w:t xml:space="preserve"> as specified in clause 5.14.4 shall be supported.</w:t>
            </w:r>
          </w:p>
        </w:tc>
        <w:tc>
          <w:tcPr>
            <w:tcW w:w="1807" w:type="dxa"/>
          </w:tcPr>
          <w:p w:rsidR="009F079F" w:rsidRPr="000A0A5F" w:rsidRDefault="009F079F" w:rsidP="009F079F">
            <w:pPr>
              <w:pStyle w:val="TAN"/>
            </w:pPr>
          </w:p>
        </w:tc>
      </w:tr>
    </w:tbl>
    <w:p w:rsidR="00CD2CC7" w:rsidRPr="000A0A5F" w:rsidRDefault="00CD2CC7" w:rsidP="00CD2CC7"/>
    <w:p w:rsidR="00CD2CC7" w:rsidRPr="000A0A5F" w:rsidRDefault="00CD2CC7" w:rsidP="00CD2CC7">
      <w:r w:rsidRPr="000A0A5F">
        <w:t>Table 5.14.2.1.1-2 specifies the data types defined for the AsSessionWithQoS API.</w:t>
      </w:r>
    </w:p>
    <w:p w:rsidR="00CD2CC7" w:rsidRPr="000A0A5F" w:rsidRDefault="00CD2CC7" w:rsidP="00CD2CC7">
      <w:pPr>
        <w:pStyle w:val="TH"/>
      </w:pPr>
      <w:r w:rsidRPr="000A0A5F">
        <w:t>Table 5.14.2.1.1-2: AsSessionWithQoS API specific Data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888"/>
        <w:gridCol w:w="1076"/>
        <w:gridCol w:w="4253"/>
        <w:gridCol w:w="1412"/>
      </w:tblGrid>
      <w:tr w:rsidR="00CD2CC7" w:rsidRPr="000A0A5F" w:rsidTr="00FF0AF8">
        <w:trPr>
          <w:jc w:val="center"/>
        </w:trPr>
        <w:tc>
          <w:tcPr>
            <w:tcW w:w="2888" w:type="dxa"/>
            <w:shd w:val="clear" w:color="auto" w:fill="C0C0C0"/>
            <w:vAlign w:val="center"/>
            <w:hideMark/>
          </w:tcPr>
          <w:p w:rsidR="00CD2CC7" w:rsidRPr="000A0A5F" w:rsidRDefault="00CD2CC7" w:rsidP="00B97EBD">
            <w:pPr>
              <w:pStyle w:val="TAH"/>
            </w:pPr>
            <w:r w:rsidRPr="000A0A5F">
              <w:t>Data type</w:t>
            </w:r>
          </w:p>
        </w:tc>
        <w:tc>
          <w:tcPr>
            <w:tcW w:w="1076" w:type="dxa"/>
            <w:shd w:val="clear" w:color="auto" w:fill="C0C0C0"/>
            <w:vAlign w:val="center"/>
          </w:tcPr>
          <w:p w:rsidR="00CD2CC7" w:rsidRPr="000A0A5F" w:rsidRDefault="00CD2CC7" w:rsidP="00B97EBD">
            <w:pPr>
              <w:pStyle w:val="TAH"/>
            </w:pPr>
            <w:r w:rsidRPr="000A0A5F">
              <w:t>Clause defined</w:t>
            </w:r>
          </w:p>
        </w:tc>
        <w:tc>
          <w:tcPr>
            <w:tcW w:w="4253" w:type="dxa"/>
            <w:shd w:val="clear" w:color="auto" w:fill="C0C0C0"/>
            <w:vAlign w:val="center"/>
            <w:hideMark/>
          </w:tcPr>
          <w:p w:rsidR="00CD2CC7" w:rsidRPr="000A0A5F" w:rsidRDefault="00CD2CC7" w:rsidP="00B97EBD">
            <w:pPr>
              <w:pStyle w:val="TAH"/>
            </w:pPr>
            <w:r w:rsidRPr="000A0A5F">
              <w:t>Description</w:t>
            </w:r>
          </w:p>
        </w:tc>
        <w:tc>
          <w:tcPr>
            <w:tcW w:w="1412" w:type="dxa"/>
            <w:shd w:val="clear" w:color="auto" w:fill="C0C0C0"/>
            <w:vAlign w:val="center"/>
          </w:tcPr>
          <w:p w:rsidR="00CD2CC7" w:rsidRPr="000A0A5F" w:rsidRDefault="00CD2CC7" w:rsidP="00B97EBD">
            <w:pPr>
              <w:pStyle w:val="TAH"/>
            </w:pPr>
            <w:r w:rsidRPr="000A0A5F">
              <w:t>Applicability</w:t>
            </w:r>
          </w:p>
        </w:tc>
      </w:tr>
      <w:tr w:rsidR="002C21E6" w:rsidRPr="000A0A5F" w:rsidTr="00223DE1">
        <w:trPr>
          <w:jc w:val="center"/>
        </w:trPr>
        <w:tc>
          <w:tcPr>
            <w:tcW w:w="2888" w:type="dxa"/>
            <w:shd w:val="clear" w:color="auto" w:fill="auto"/>
            <w:vAlign w:val="center"/>
          </w:tcPr>
          <w:p w:rsidR="002C21E6" w:rsidRPr="000A0A5F" w:rsidRDefault="002C21E6" w:rsidP="002C21E6">
            <w:pPr>
              <w:pStyle w:val="TAL"/>
            </w:pPr>
            <w:r w:rsidRPr="000A0A5F">
              <w:t>AdditionalInfoAsSessionWithQos</w:t>
            </w:r>
          </w:p>
        </w:tc>
        <w:tc>
          <w:tcPr>
            <w:tcW w:w="1076" w:type="dxa"/>
            <w:shd w:val="clear" w:color="auto" w:fill="auto"/>
            <w:vAlign w:val="center"/>
          </w:tcPr>
          <w:p w:rsidR="002C21E6" w:rsidRPr="000A0A5F" w:rsidRDefault="002C21E6" w:rsidP="002C21E6">
            <w:pPr>
              <w:pStyle w:val="TAL"/>
            </w:pPr>
            <w:r w:rsidRPr="000A0A5F">
              <w:t>5.14.2.1.10</w:t>
            </w:r>
          </w:p>
        </w:tc>
        <w:tc>
          <w:tcPr>
            <w:tcW w:w="4253" w:type="dxa"/>
            <w:shd w:val="clear" w:color="auto" w:fill="auto"/>
            <w:vAlign w:val="center"/>
          </w:tcPr>
          <w:p w:rsidR="002C21E6" w:rsidRPr="000A0A5F" w:rsidRDefault="002C21E6" w:rsidP="002C21E6">
            <w:pPr>
              <w:pStyle w:val="TAL"/>
            </w:pPr>
            <w:r w:rsidRPr="000A0A5F">
              <w:t>Describes additional error information specific for this API.</w:t>
            </w:r>
          </w:p>
        </w:tc>
        <w:tc>
          <w:tcPr>
            <w:tcW w:w="1412" w:type="dxa"/>
            <w:shd w:val="clear" w:color="auto" w:fill="auto"/>
            <w:vAlign w:val="center"/>
          </w:tcPr>
          <w:p w:rsidR="002C21E6" w:rsidRPr="000A0A5F" w:rsidRDefault="002C21E6" w:rsidP="002C21E6">
            <w:pPr>
              <w:pStyle w:val="TAL"/>
            </w:pPr>
          </w:p>
        </w:tc>
      </w:tr>
      <w:tr w:rsidR="002C21E6" w:rsidRPr="000A0A5F" w:rsidTr="00223DE1">
        <w:trPr>
          <w:jc w:val="center"/>
        </w:trPr>
        <w:tc>
          <w:tcPr>
            <w:tcW w:w="2888" w:type="dxa"/>
            <w:shd w:val="clear" w:color="auto" w:fill="auto"/>
            <w:vAlign w:val="center"/>
          </w:tcPr>
          <w:p w:rsidR="002C21E6" w:rsidRPr="000A0A5F" w:rsidRDefault="002C21E6" w:rsidP="002C21E6">
            <w:pPr>
              <w:pStyle w:val="TAL"/>
            </w:pPr>
            <w:r w:rsidRPr="000A0A5F">
              <w:t>AsSessionWithQoSSubscription</w:t>
            </w:r>
          </w:p>
        </w:tc>
        <w:tc>
          <w:tcPr>
            <w:tcW w:w="1076" w:type="dxa"/>
            <w:vAlign w:val="center"/>
          </w:tcPr>
          <w:p w:rsidR="002C21E6" w:rsidRPr="000A0A5F" w:rsidRDefault="002C21E6" w:rsidP="002C21E6">
            <w:pPr>
              <w:pStyle w:val="TAC"/>
            </w:pPr>
            <w:r w:rsidRPr="000A0A5F">
              <w:t>5.14.2.1.2</w:t>
            </w:r>
          </w:p>
        </w:tc>
        <w:tc>
          <w:tcPr>
            <w:tcW w:w="4253" w:type="dxa"/>
            <w:vAlign w:val="center"/>
          </w:tcPr>
          <w:p w:rsidR="002C21E6" w:rsidRPr="000A0A5F" w:rsidRDefault="002C21E6" w:rsidP="002C21E6">
            <w:pPr>
              <w:pStyle w:val="TAL"/>
            </w:pPr>
            <w:r w:rsidRPr="000A0A5F">
              <w:t>Represents an individual AS session with required QoS subscription resource.</w:t>
            </w:r>
          </w:p>
        </w:tc>
        <w:tc>
          <w:tcPr>
            <w:tcW w:w="1412" w:type="dxa"/>
            <w:vAlign w:val="center"/>
          </w:tcPr>
          <w:p w:rsidR="002C21E6" w:rsidRPr="000A0A5F" w:rsidRDefault="002C21E6" w:rsidP="002C21E6">
            <w:pPr>
              <w:pStyle w:val="TAL"/>
              <w:rPr>
                <w:rFonts w:cs="Arial"/>
                <w:szCs w:val="18"/>
                <w:lang w:eastAsia="ja-JP"/>
              </w:rPr>
            </w:pPr>
          </w:p>
        </w:tc>
      </w:tr>
      <w:tr w:rsidR="002C21E6" w:rsidRPr="000A0A5F" w:rsidTr="00FF0AF8">
        <w:trPr>
          <w:jc w:val="center"/>
        </w:trPr>
        <w:tc>
          <w:tcPr>
            <w:tcW w:w="2888" w:type="dxa"/>
            <w:vAlign w:val="center"/>
          </w:tcPr>
          <w:p w:rsidR="002C21E6" w:rsidRPr="000A0A5F" w:rsidRDefault="002C21E6" w:rsidP="002C21E6">
            <w:pPr>
              <w:pStyle w:val="TAL"/>
              <w:rPr>
                <w:lang w:eastAsia="ja-JP"/>
              </w:rPr>
            </w:pPr>
            <w:r w:rsidRPr="000A0A5F">
              <w:t>AsSessionWithQoSSubscriptionPatch</w:t>
            </w:r>
          </w:p>
        </w:tc>
        <w:tc>
          <w:tcPr>
            <w:tcW w:w="1076" w:type="dxa"/>
            <w:vAlign w:val="center"/>
          </w:tcPr>
          <w:p w:rsidR="002C21E6" w:rsidRPr="000A0A5F" w:rsidRDefault="002C21E6" w:rsidP="002C21E6">
            <w:pPr>
              <w:pStyle w:val="TAC"/>
              <w:rPr>
                <w:lang w:eastAsia="ja-JP"/>
              </w:rPr>
            </w:pPr>
            <w:r w:rsidRPr="000A0A5F">
              <w:rPr>
                <w:rFonts w:hint="eastAsia"/>
                <w:lang w:eastAsia="ja-JP"/>
              </w:rPr>
              <w:t>5</w:t>
            </w:r>
            <w:r w:rsidRPr="000A0A5F">
              <w:rPr>
                <w:lang w:eastAsia="ja-JP"/>
              </w:rPr>
              <w:t>.14.2.1.3</w:t>
            </w:r>
          </w:p>
        </w:tc>
        <w:tc>
          <w:tcPr>
            <w:tcW w:w="4253" w:type="dxa"/>
            <w:vAlign w:val="center"/>
          </w:tcPr>
          <w:p w:rsidR="002C21E6" w:rsidRPr="000A0A5F" w:rsidRDefault="002C21E6" w:rsidP="002C21E6">
            <w:pPr>
              <w:pStyle w:val="TAL"/>
            </w:pPr>
            <w:r w:rsidRPr="000A0A5F">
              <w:t>Represents parameters to modify an AS session with specific QoS subscription.</w:t>
            </w:r>
          </w:p>
        </w:tc>
        <w:tc>
          <w:tcPr>
            <w:tcW w:w="1412" w:type="dxa"/>
            <w:vAlign w:val="center"/>
          </w:tcPr>
          <w:p w:rsidR="002C21E6" w:rsidRPr="000A0A5F" w:rsidRDefault="002C21E6" w:rsidP="002C21E6">
            <w:pPr>
              <w:pStyle w:val="TAL"/>
              <w:rPr>
                <w:rFonts w:cs="Arial"/>
                <w:szCs w:val="18"/>
                <w:lang w:eastAsia="ja-JP"/>
              </w:rPr>
            </w:pPr>
          </w:p>
        </w:tc>
      </w:tr>
      <w:tr w:rsidR="00A60F32" w:rsidRPr="000A0A5F" w:rsidTr="00FF0AF8">
        <w:trPr>
          <w:jc w:val="center"/>
        </w:trPr>
        <w:tc>
          <w:tcPr>
            <w:tcW w:w="2888" w:type="dxa"/>
            <w:vAlign w:val="center"/>
          </w:tcPr>
          <w:p w:rsidR="00A60F32" w:rsidRPr="000A0A5F" w:rsidRDefault="00A60F32" w:rsidP="00A60F32">
            <w:pPr>
              <w:pStyle w:val="TAL"/>
            </w:pPr>
            <w:r w:rsidRPr="000A0A5F">
              <w:t>AsSessionMediaComponent</w:t>
            </w:r>
          </w:p>
        </w:tc>
        <w:tc>
          <w:tcPr>
            <w:tcW w:w="1076" w:type="dxa"/>
            <w:vAlign w:val="center"/>
          </w:tcPr>
          <w:p w:rsidR="00A60F32" w:rsidRPr="000A0A5F" w:rsidRDefault="00A60F32" w:rsidP="00A60F32">
            <w:pPr>
              <w:pStyle w:val="TAC"/>
              <w:rPr>
                <w:rFonts w:hint="eastAsia"/>
                <w:lang w:eastAsia="ja-JP"/>
              </w:rPr>
            </w:pPr>
            <w:r w:rsidRPr="000A0A5F">
              <w:rPr>
                <w:lang w:eastAsia="ja-JP"/>
              </w:rPr>
              <w:t>5.14.2.1.13</w:t>
            </w:r>
          </w:p>
        </w:tc>
        <w:tc>
          <w:tcPr>
            <w:tcW w:w="4253" w:type="dxa"/>
            <w:vAlign w:val="center"/>
          </w:tcPr>
          <w:p w:rsidR="00A60F32" w:rsidRPr="000A0A5F" w:rsidRDefault="00090953" w:rsidP="00A60F32">
            <w:pPr>
              <w:pStyle w:val="TAL"/>
            </w:pPr>
            <w:r>
              <w:t>Represents media component data for a multi-modal service. It contains service data flow information for a single modal data flow of a multi-modal service.</w:t>
            </w:r>
          </w:p>
        </w:tc>
        <w:tc>
          <w:tcPr>
            <w:tcW w:w="1412" w:type="dxa"/>
            <w:vAlign w:val="center"/>
          </w:tcPr>
          <w:p w:rsidR="00A60F32" w:rsidRPr="000A0A5F" w:rsidRDefault="00A60F32" w:rsidP="00A60F32">
            <w:pPr>
              <w:pStyle w:val="TAL"/>
              <w:rPr>
                <w:rFonts w:cs="Arial"/>
                <w:szCs w:val="18"/>
                <w:lang w:eastAsia="ja-JP"/>
              </w:rPr>
            </w:pPr>
            <w:r w:rsidRPr="000A0A5F">
              <w:rPr>
                <w:rFonts w:cs="Arial"/>
                <w:szCs w:val="18"/>
              </w:rPr>
              <w:t>MultiMedia</w:t>
            </w:r>
          </w:p>
        </w:tc>
      </w:tr>
      <w:tr w:rsidR="00A60F32" w:rsidRPr="000A0A5F" w:rsidTr="00FF0AF8">
        <w:trPr>
          <w:jc w:val="center"/>
        </w:trPr>
        <w:tc>
          <w:tcPr>
            <w:tcW w:w="2888" w:type="dxa"/>
            <w:vAlign w:val="center"/>
          </w:tcPr>
          <w:p w:rsidR="00A60F32" w:rsidRPr="000A0A5F" w:rsidRDefault="00A60F32" w:rsidP="00A60F32">
            <w:pPr>
              <w:pStyle w:val="TAL"/>
            </w:pPr>
            <w:r w:rsidRPr="000A0A5F">
              <w:t>AsSessionMediaComponentRm</w:t>
            </w:r>
          </w:p>
        </w:tc>
        <w:tc>
          <w:tcPr>
            <w:tcW w:w="1076" w:type="dxa"/>
            <w:vAlign w:val="center"/>
          </w:tcPr>
          <w:p w:rsidR="00A60F32" w:rsidRPr="000A0A5F" w:rsidRDefault="00A60F32" w:rsidP="00A60F32">
            <w:pPr>
              <w:pStyle w:val="TAC"/>
              <w:rPr>
                <w:rFonts w:hint="eastAsia"/>
                <w:lang w:eastAsia="ja-JP"/>
              </w:rPr>
            </w:pPr>
            <w:r w:rsidRPr="000A0A5F">
              <w:rPr>
                <w:lang w:eastAsia="ja-JP"/>
              </w:rPr>
              <w:t>5.14.2.1.14</w:t>
            </w:r>
          </w:p>
        </w:tc>
        <w:tc>
          <w:tcPr>
            <w:tcW w:w="4253" w:type="dxa"/>
            <w:vAlign w:val="center"/>
          </w:tcPr>
          <w:p w:rsidR="00A60F32" w:rsidRPr="000A0A5F" w:rsidRDefault="00A60F32" w:rsidP="00A60F32">
            <w:pPr>
              <w:pStyle w:val="TAL"/>
            </w:pPr>
            <w:r w:rsidRPr="000A0A5F">
              <w:t>Represents the same as the AsSessMediaComponent data type but with the "nullable: true" property.</w:t>
            </w:r>
          </w:p>
        </w:tc>
        <w:tc>
          <w:tcPr>
            <w:tcW w:w="1412" w:type="dxa"/>
            <w:vAlign w:val="center"/>
          </w:tcPr>
          <w:p w:rsidR="00A60F32" w:rsidRPr="000A0A5F" w:rsidRDefault="00A60F32" w:rsidP="00A60F32">
            <w:pPr>
              <w:pStyle w:val="TAL"/>
              <w:rPr>
                <w:rFonts w:cs="Arial"/>
                <w:szCs w:val="18"/>
                <w:lang w:eastAsia="ja-JP"/>
              </w:rPr>
            </w:pPr>
            <w:r w:rsidRPr="000A0A5F">
              <w:rPr>
                <w:rFonts w:cs="Arial"/>
                <w:szCs w:val="18"/>
              </w:rPr>
              <w:t>MultiMedia</w:t>
            </w:r>
          </w:p>
        </w:tc>
      </w:tr>
      <w:tr w:rsidR="00A60F32" w:rsidRPr="000A0A5F" w:rsidTr="00FF0AF8">
        <w:trPr>
          <w:jc w:val="center"/>
        </w:trPr>
        <w:tc>
          <w:tcPr>
            <w:tcW w:w="2888" w:type="dxa"/>
            <w:vAlign w:val="center"/>
          </w:tcPr>
          <w:p w:rsidR="00A60F32" w:rsidRPr="000A0A5F" w:rsidRDefault="00A60F32" w:rsidP="00A60F32">
            <w:pPr>
              <w:pStyle w:val="TAL"/>
            </w:pPr>
            <w:r w:rsidRPr="000A0A5F">
              <w:t>MultiModalFlows</w:t>
            </w:r>
          </w:p>
        </w:tc>
        <w:tc>
          <w:tcPr>
            <w:tcW w:w="1076" w:type="dxa"/>
            <w:vAlign w:val="center"/>
          </w:tcPr>
          <w:p w:rsidR="00A60F32" w:rsidRPr="000A0A5F" w:rsidRDefault="00A60F32" w:rsidP="00A60F32">
            <w:pPr>
              <w:pStyle w:val="TAC"/>
              <w:rPr>
                <w:rFonts w:hint="eastAsia"/>
                <w:lang w:eastAsia="ja-JP"/>
              </w:rPr>
            </w:pPr>
            <w:r w:rsidRPr="000A0A5F">
              <w:rPr>
                <w:lang w:eastAsia="ja-JP"/>
              </w:rPr>
              <w:t>5.14.2.1.15</w:t>
            </w:r>
          </w:p>
        </w:tc>
        <w:tc>
          <w:tcPr>
            <w:tcW w:w="4253" w:type="dxa"/>
            <w:vAlign w:val="center"/>
          </w:tcPr>
          <w:p w:rsidR="00A60F32" w:rsidRPr="000A0A5F" w:rsidRDefault="00090953" w:rsidP="00A60F32">
            <w:pPr>
              <w:pStyle w:val="TAL"/>
            </w:pPr>
            <w:r>
              <w:t>Represents flow information within a single-modal data flow for a multi-modal service.</w:t>
            </w:r>
          </w:p>
        </w:tc>
        <w:tc>
          <w:tcPr>
            <w:tcW w:w="1412" w:type="dxa"/>
            <w:vAlign w:val="center"/>
          </w:tcPr>
          <w:p w:rsidR="00A60F32" w:rsidRPr="000A0A5F" w:rsidRDefault="00A60F32" w:rsidP="00A60F32">
            <w:pPr>
              <w:pStyle w:val="TAL"/>
              <w:rPr>
                <w:rFonts w:cs="Arial"/>
                <w:szCs w:val="18"/>
                <w:lang w:eastAsia="ja-JP"/>
              </w:rPr>
            </w:pPr>
            <w:r w:rsidRPr="000A0A5F">
              <w:rPr>
                <w:rFonts w:cs="Arial"/>
                <w:szCs w:val="18"/>
              </w:rPr>
              <w:t>MultiMedia</w:t>
            </w:r>
          </w:p>
        </w:tc>
      </w:tr>
      <w:tr w:rsidR="00223DE1" w:rsidRPr="000A0A5F" w:rsidTr="00FF0AF8">
        <w:trPr>
          <w:jc w:val="center"/>
        </w:trPr>
        <w:tc>
          <w:tcPr>
            <w:tcW w:w="2888" w:type="dxa"/>
            <w:vAlign w:val="center"/>
          </w:tcPr>
          <w:p w:rsidR="00223DE1" w:rsidRPr="000A0A5F" w:rsidRDefault="00223DE1" w:rsidP="00223DE1">
            <w:pPr>
              <w:pStyle w:val="TAL"/>
            </w:pPr>
            <w:r w:rsidRPr="000A0A5F">
              <w:t>ProblemDetailsAsSessionWithQos</w:t>
            </w:r>
          </w:p>
        </w:tc>
        <w:tc>
          <w:tcPr>
            <w:tcW w:w="1076" w:type="dxa"/>
            <w:vAlign w:val="center"/>
          </w:tcPr>
          <w:p w:rsidR="00223DE1" w:rsidRPr="000A0A5F" w:rsidRDefault="00223DE1" w:rsidP="00223DE1">
            <w:pPr>
              <w:pStyle w:val="TAC"/>
              <w:rPr>
                <w:rFonts w:hint="eastAsia"/>
                <w:lang w:eastAsia="ja-JP"/>
              </w:rPr>
            </w:pPr>
            <w:r w:rsidRPr="000A0A5F">
              <w:rPr>
                <w:lang w:eastAsia="ja-JP"/>
              </w:rPr>
              <w:t>5.14.2.1.11</w:t>
            </w:r>
          </w:p>
        </w:tc>
        <w:tc>
          <w:tcPr>
            <w:tcW w:w="4253" w:type="dxa"/>
            <w:vAlign w:val="center"/>
          </w:tcPr>
          <w:p w:rsidR="00223DE1" w:rsidRPr="000A0A5F" w:rsidRDefault="00223DE1" w:rsidP="00223DE1">
            <w:pPr>
              <w:pStyle w:val="TAL"/>
            </w:pPr>
            <w:r w:rsidRPr="000A0A5F">
              <w:t>ProblemDetails as defined in clause</w:t>
            </w:r>
            <w:r w:rsidRPr="000A0A5F">
              <w:rPr>
                <w:rFonts w:hint="eastAsia"/>
              </w:rPr>
              <w:t> </w:t>
            </w:r>
            <w:r w:rsidRPr="000A0A5F">
              <w:t>5.2.12.12 extended with specific error information for this API, as described in AdditionalInfoAsSessionWithQos.</w:t>
            </w:r>
          </w:p>
        </w:tc>
        <w:tc>
          <w:tcPr>
            <w:tcW w:w="1412" w:type="dxa"/>
            <w:vAlign w:val="center"/>
          </w:tcPr>
          <w:p w:rsidR="00223DE1" w:rsidRPr="000A0A5F" w:rsidRDefault="00223DE1" w:rsidP="00223DE1">
            <w:pPr>
              <w:pStyle w:val="TAL"/>
              <w:rPr>
                <w:rFonts w:cs="Arial"/>
                <w:szCs w:val="18"/>
                <w:lang w:eastAsia="ja-JP"/>
              </w:rPr>
            </w:pPr>
          </w:p>
        </w:tc>
      </w:tr>
      <w:tr w:rsidR="00223DE1" w:rsidRPr="000A0A5F" w:rsidTr="00FF0AF8">
        <w:trPr>
          <w:jc w:val="center"/>
        </w:trPr>
        <w:tc>
          <w:tcPr>
            <w:tcW w:w="2888" w:type="dxa"/>
            <w:vAlign w:val="center"/>
          </w:tcPr>
          <w:p w:rsidR="00223DE1" w:rsidRPr="000A0A5F" w:rsidRDefault="00223DE1" w:rsidP="00223DE1">
            <w:pPr>
              <w:pStyle w:val="TAL"/>
            </w:pPr>
            <w:r w:rsidRPr="000A0A5F">
              <w:t>QosMonitoringInformation</w:t>
            </w:r>
          </w:p>
        </w:tc>
        <w:tc>
          <w:tcPr>
            <w:tcW w:w="1076" w:type="dxa"/>
            <w:vAlign w:val="center"/>
          </w:tcPr>
          <w:p w:rsidR="00223DE1" w:rsidRPr="000A0A5F" w:rsidRDefault="00223DE1" w:rsidP="00223DE1">
            <w:pPr>
              <w:pStyle w:val="TAC"/>
            </w:pPr>
            <w:r w:rsidRPr="000A0A5F">
              <w:t>5.14.2.1.6</w:t>
            </w:r>
          </w:p>
        </w:tc>
        <w:tc>
          <w:tcPr>
            <w:tcW w:w="4253" w:type="dxa"/>
            <w:vAlign w:val="center"/>
          </w:tcPr>
          <w:p w:rsidR="00223DE1" w:rsidRPr="000A0A5F" w:rsidRDefault="00223DE1" w:rsidP="00223DE1">
            <w:pPr>
              <w:pStyle w:val="TAL"/>
            </w:pPr>
            <w:r w:rsidRPr="000A0A5F">
              <w:t>Represents QoS monitoring information.</w:t>
            </w:r>
          </w:p>
        </w:tc>
        <w:tc>
          <w:tcPr>
            <w:tcW w:w="1412" w:type="dxa"/>
            <w:vAlign w:val="center"/>
          </w:tcPr>
          <w:p w:rsidR="00223DE1" w:rsidRPr="000A0A5F" w:rsidRDefault="00223DE1" w:rsidP="00223DE1">
            <w:pPr>
              <w:pStyle w:val="TAL"/>
              <w:rPr>
                <w:rFonts w:cs="Arial"/>
                <w:szCs w:val="18"/>
                <w:lang w:eastAsia="ja-JP"/>
              </w:rPr>
            </w:pPr>
            <w:r w:rsidRPr="000A0A5F">
              <w:rPr>
                <w:rFonts w:cs="Arial"/>
                <w:szCs w:val="18"/>
              </w:rPr>
              <w:t>QoSMonitoring_5G</w:t>
            </w:r>
          </w:p>
        </w:tc>
      </w:tr>
      <w:tr w:rsidR="00223DE1" w:rsidRPr="000A0A5F" w:rsidTr="00FF0AF8">
        <w:trPr>
          <w:jc w:val="center"/>
        </w:trPr>
        <w:tc>
          <w:tcPr>
            <w:tcW w:w="2888" w:type="dxa"/>
            <w:vAlign w:val="center"/>
          </w:tcPr>
          <w:p w:rsidR="00223DE1" w:rsidRPr="000A0A5F" w:rsidRDefault="00223DE1" w:rsidP="00223DE1">
            <w:pPr>
              <w:pStyle w:val="TAL"/>
            </w:pPr>
            <w:r w:rsidRPr="000A0A5F">
              <w:t>QosMonitoringInformationRm</w:t>
            </w:r>
          </w:p>
        </w:tc>
        <w:tc>
          <w:tcPr>
            <w:tcW w:w="1076" w:type="dxa"/>
            <w:vAlign w:val="center"/>
          </w:tcPr>
          <w:p w:rsidR="00223DE1" w:rsidRPr="000A0A5F" w:rsidRDefault="00223DE1" w:rsidP="00223DE1">
            <w:pPr>
              <w:pStyle w:val="TAC"/>
            </w:pPr>
            <w:r w:rsidRPr="000A0A5F">
              <w:t>5.14.2.1.7</w:t>
            </w:r>
          </w:p>
        </w:tc>
        <w:tc>
          <w:tcPr>
            <w:tcW w:w="4253" w:type="dxa"/>
            <w:vAlign w:val="center"/>
          </w:tcPr>
          <w:p w:rsidR="00223DE1" w:rsidRPr="000A0A5F" w:rsidRDefault="00223DE1" w:rsidP="00223DE1">
            <w:pPr>
              <w:pStyle w:val="TAL"/>
            </w:pPr>
            <w:r w:rsidRPr="000A0A5F">
              <w:t>Represents the same as the QosMonitoringInformation data type but with the "nullable: true" property.</w:t>
            </w:r>
          </w:p>
        </w:tc>
        <w:tc>
          <w:tcPr>
            <w:tcW w:w="1412" w:type="dxa"/>
            <w:vAlign w:val="center"/>
          </w:tcPr>
          <w:p w:rsidR="00223DE1" w:rsidRPr="000A0A5F" w:rsidRDefault="00223DE1" w:rsidP="00223DE1">
            <w:pPr>
              <w:pStyle w:val="TAL"/>
              <w:rPr>
                <w:rFonts w:cs="Arial"/>
                <w:szCs w:val="18"/>
              </w:rPr>
            </w:pPr>
            <w:r w:rsidRPr="000A0A5F">
              <w:rPr>
                <w:rFonts w:cs="Arial"/>
                <w:szCs w:val="18"/>
              </w:rPr>
              <w:t>QoSMonitoring_5G</w:t>
            </w:r>
          </w:p>
        </w:tc>
      </w:tr>
      <w:tr w:rsidR="00223DE1" w:rsidRPr="000A0A5F" w:rsidTr="00FF0AF8">
        <w:trPr>
          <w:jc w:val="center"/>
        </w:trPr>
        <w:tc>
          <w:tcPr>
            <w:tcW w:w="2888" w:type="dxa"/>
            <w:vAlign w:val="center"/>
          </w:tcPr>
          <w:p w:rsidR="00223DE1" w:rsidRPr="000A0A5F" w:rsidRDefault="00223DE1" w:rsidP="00223DE1">
            <w:pPr>
              <w:pStyle w:val="TAL"/>
            </w:pPr>
            <w:r w:rsidRPr="000A0A5F">
              <w:t>QosMonitoringReport</w:t>
            </w:r>
          </w:p>
        </w:tc>
        <w:tc>
          <w:tcPr>
            <w:tcW w:w="1076" w:type="dxa"/>
            <w:vAlign w:val="center"/>
          </w:tcPr>
          <w:p w:rsidR="00223DE1" w:rsidRPr="000A0A5F" w:rsidRDefault="00223DE1" w:rsidP="00223DE1">
            <w:pPr>
              <w:pStyle w:val="TAC"/>
            </w:pPr>
            <w:r w:rsidRPr="000A0A5F">
              <w:t>5.14.2.1.8</w:t>
            </w:r>
          </w:p>
        </w:tc>
        <w:tc>
          <w:tcPr>
            <w:tcW w:w="4253" w:type="dxa"/>
            <w:vAlign w:val="center"/>
          </w:tcPr>
          <w:p w:rsidR="00223DE1" w:rsidRPr="000A0A5F" w:rsidRDefault="00223DE1" w:rsidP="00223DE1">
            <w:pPr>
              <w:pStyle w:val="TAL"/>
            </w:pPr>
            <w:r w:rsidRPr="000A0A5F">
              <w:t>Represents a QoS monitoring report.</w:t>
            </w:r>
          </w:p>
        </w:tc>
        <w:tc>
          <w:tcPr>
            <w:tcW w:w="1412" w:type="dxa"/>
            <w:vAlign w:val="center"/>
          </w:tcPr>
          <w:p w:rsidR="00223DE1" w:rsidRPr="000A0A5F" w:rsidRDefault="00223DE1" w:rsidP="00223DE1">
            <w:pPr>
              <w:pStyle w:val="TAL"/>
              <w:rPr>
                <w:rFonts w:cs="Arial"/>
                <w:szCs w:val="18"/>
              </w:rPr>
            </w:pPr>
            <w:r w:rsidRPr="000A0A5F">
              <w:rPr>
                <w:rFonts w:cs="Arial"/>
                <w:szCs w:val="18"/>
              </w:rPr>
              <w:t>QoSMonitoring_5G</w:t>
            </w:r>
          </w:p>
        </w:tc>
      </w:tr>
      <w:tr w:rsidR="00A60F32" w:rsidRPr="000A0A5F" w:rsidTr="00FF0AF8">
        <w:trPr>
          <w:jc w:val="center"/>
        </w:trPr>
        <w:tc>
          <w:tcPr>
            <w:tcW w:w="2888" w:type="dxa"/>
            <w:vAlign w:val="center"/>
          </w:tcPr>
          <w:p w:rsidR="00A60F32" w:rsidRPr="000A0A5F" w:rsidRDefault="00A60F32" w:rsidP="00A60F32">
            <w:pPr>
              <w:pStyle w:val="TAL"/>
            </w:pPr>
            <w:r w:rsidRPr="000A0A5F">
              <w:rPr>
                <w:lang w:eastAsia="zh-CN"/>
              </w:rPr>
              <w:t>TscQosRequirement</w:t>
            </w:r>
          </w:p>
        </w:tc>
        <w:tc>
          <w:tcPr>
            <w:tcW w:w="1076" w:type="dxa"/>
            <w:vAlign w:val="center"/>
          </w:tcPr>
          <w:p w:rsidR="00A60F32" w:rsidRPr="000A0A5F" w:rsidRDefault="00A60F32" w:rsidP="00A60F32">
            <w:pPr>
              <w:pStyle w:val="TAC"/>
            </w:pPr>
            <w:r w:rsidRPr="000A0A5F">
              <w:t>5.14.2.1.9</w:t>
            </w:r>
          </w:p>
        </w:tc>
        <w:tc>
          <w:tcPr>
            <w:tcW w:w="4253" w:type="dxa"/>
            <w:vAlign w:val="center"/>
          </w:tcPr>
          <w:p w:rsidR="00A60F32" w:rsidRPr="000A0A5F" w:rsidRDefault="00A60F32" w:rsidP="00A60F32">
            <w:pPr>
              <w:pStyle w:val="TAL"/>
            </w:pPr>
            <w:r w:rsidRPr="000A0A5F">
              <w:t>Represents QoS requirements for time sensitive communication.</w:t>
            </w:r>
          </w:p>
        </w:tc>
        <w:tc>
          <w:tcPr>
            <w:tcW w:w="1412" w:type="dxa"/>
            <w:vAlign w:val="center"/>
          </w:tcPr>
          <w:p w:rsidR="00A60F32" w:rsidRPr="000A0A5F" w:rsidRDefault="00A60F32" w:rsidP="00A60F32">
            <w:pPr>
              <w:pStyle w:val="TAL"/>
              <w:rPr>
                <w:rFonts w:cs="Arial"/>
                <w:szCs w:val="18"/>
                <w:lang w:eastAsia="zh-CN"/>
              </w:rPr>
            </w:pPr>
            <w:r w:rsidRPr="000A0A5F">
              <w:rPr>
                <w:rFonts w:cs="Arial" w:hint="eastAsia"/>
                <w:szCs w:val="18"/>
                <w:lang w:eastAsia="zh-CN"/>
              </w:rPr>
              <w:t>T</w:t>
            </w:r>
            <w:r w:rsidRPr="000A0A5F">
              <w:rPr>
                <w:rFonts w:cs="Arial"/>
                <w:szCs w:val="18"/>
                <w:lang w:eastAsia="zh-CN"/>
              </w:rPr>
              <w:t>SC_5G</w:t>
            </w:r>
          </w:p>
          <w:p w:rsidR="00A60F32" w:rsidRPr="000A0A5F" w:rsidRDefault="00A60F32" w:rsidP="00A60F32">
            <w:pPr>
              <w:pStyle w:val="TAL"/>
              <w:rPr>
                <w:rFonts w:cs="Arial"/>
                <w:szCs w:val="18"/>
              </w:rPr>
            </w:pPr>
            <w:r w:rsidRPr="000A0A5F">
              <w:rPr>
                <w:rFonts w:cs="Arial"/>
                <w:szCs w:val="18"/>
              </w:rPr>
              <w:t>XRM_5G</w:t>
            </w:r>
          </w:p>
        </w:tc>
      </w:tr>
      <w:tr w:rsidR="00A60F32" w:rsidRPr="000A0A5F" w:rsidTr="00FF0AF8">
        <w:trPr>
          <w:jc w:val="center"/>
        </w:trPr>
        <w:tc>
          <w:tcPr>
            <w:tcW w:w="2888" w:type="dxa"/>
            <w:vAlign w:val="center"/>
          </w:tcPr>
          <w:p w:rsidR="00A60F32" w:rsidRPr="000A0A5F" w:rsidRDefault="00A60F32" w:rsidP="00A60F32">
            <w:pPr>
              <w:pStyle w:val="TAL"/>
            </w:pPr>
            <w:r w:rsidRPr="000A0A5F">
              <w:rPr>
                <w:lang w:eastAsia="zh-CN"/>
              </w:rPr>
              <w:t>TscQosRequirementRm</w:t>
            </w:r>
          </w:p>
        </w:tc>
        <w:tc>
          <w:tcPr>
            <w:tcW w:w="1076" w:type="dxa"/>
            <w:vAlign w:val="center"/>
          </w:tcPr>
          <w:p w:rsidR="00A60F32" w:rsidRPr="000A0A5F" w:rsidRDefault="00A60F32" w:rsidP="00A60F32">
            <w:pPr>
              <w:pStyle w:val="TAC"/>
            </w:pPr>
            <w:r w:rsidRPr="000A0A5F">
              <w:t>5.14.2.1.10</w:t>
            </w:r>
          </w:p>
        </w:tc>
        <w:tc>
          <w:tcPr>
            <w:tcW w:w="4253" w:type="dxa"/>
            <w:vAlign w:val="center"/>
          </w:tcPr>
          <w:p w:rsidR="00A60F32" w:rsidRPr="000A0A5F" w:rsidRDefault="00A60F32" w:rsidP="00A60F32">
            <w:pPr>
              <w:pStyle w:val="TAL"/>
            </w:pPr>
            <w:r w:rsidRPr="000A0A5F">
              <w:t>Represents the same as the TscQosRequirement data type but with the "nullable: true" property.</w:t>
            </w:r>
          </w:p>
        </w:tc>
        <w:tc>
          <w:tcPr>
            <w:tcW w:w="1412" w:type="dxa"/>
            <w:vAlign w:val="center"/>
          </w:tcPr>
          <w:p w:rsidR="00A60F32" w:rsidRPr="000A0A5F" w:rsidRDefault="00A60F32" w:rsidP="00A60F32">
            <w:pPr>
              <w:pStyle w:val="TAL"/>
              <w:rPr>
                <w:rFonts w:cs="Arial"/>
                <w:szCs w:val="18"/>
                <w:lang w:eastAsia="zh-CN"/>
              </w:rPr>
            </w:pPr>
            <w:r w:rsidRPr="000A0A5F">
              <w:rPr>
                <w:rFonts w:cs="Arial" w:hint="eastAsia"/>
                <w:szCs w:val="18"/>
                <w:lang w:eastAsia="zh-CN"/>
              </w:rPr>
              <w:t>T</w:t>
            </w:r>
            <w:r w:rsidRPr="000A0A5F">
              <w:rPr>
                <w:rFonts w:cs="Arial"/>
                <w:szCs w:val="18"/>
                <w:lang w:eastAsia="zh-CN"/>
              </w:rPr>
              <w:t>SC_5G</w:t>
            </w:r>
          </w:p>
          <w:p w:rsidR="00A60F32" w:rsidRPr="000A0A5F" w:rsidRDefault="00A60F32" w:rsidP="00A60F32">
            <w:pPr>
              <w:pStyle w:val="TAL"/>
              <w:rPr>
                <w:rFonts w:cs="Arial"/>
                <w:szCs w:val="18"/>
              </w:rPr>
            </w:pPr>
            <w:r w:rsidRPr="000A0A5F">
              <w:rPr>
                <w:rFonts w:cs="Arial"/>
                <w:szCs w:val="18"/>
              </w:rPr>
              <w:t>XRM_5G</w:t>
            </w:r>
          </w:p>
        </w:tc>
      </w:tr>
      <w:tr w:rsidR="00223DE1" w:rsidRPr="000A0A5F" w:rsidTr="00FF0AF8">
        <w:trPr>
          <w:jc w:val="center"/>
        </w:trPr>
        <w:tc>
          <w:tcPr>
            <w:tcW w:w="2888" w:type="dxa"/>
            <w:vAlign w:val="center"/>
          </w:tcPr>
          <w:p w:rsidR="00223DE1" w:rsidRPr="000A0A5F" w:rsidRDefault="00223DE1" w:rsidP="00223DE1">
            <w:pPr>
              <w:pStyle w:val="TAL"/>
            </w:pPr>
            <w:r w:rsidRPr="000A0A5F">
              <w:t>UserPlane</w:t>
            </w:r>
            <w:r w:rsidRPr="000A0A5F">
              <w:rPr>
                <w:rFonts w:hint="eastAsia"/>
                <w:lang w:eastAsia="zh-CN"/>
              </w:rPr>
              <w:t>Event</w:t>
            </w:r>
          </w:p>
        </w:tc>
        <w:tc>
          <w:tcPr>
            <w:tcW w:w="1076" w:type="dxa"/>
            <w:vAlign w:val="center"/>
          </w:tcPr>
          <w:p w:rsidR="00223DE1" w:rsidRPr="000A0A5F" w:rsidRDefault="00223DE1" w:rsidP="00223DE1">
            <w:pPr>
              <w:pStyle w:val="TAC"/>
            </w:pPr>
            <w:r w:rsidRPr="000A0A5F">
              <w:t>5.14.2.2.3</w:t>
            </w:r>
          </w:p>
        </w:tc>
        <w:tc>
          <w:tcPr>
            <w:tcW w:w="4253" w:type="dxa"/>
            <w:vAlign w:val="center"/>
          </w:tcPr>
          <w:p w:rsidR="00223DE1" w:rsidRPr="000A0A5F" w:rsidRDefault="00223DE1" w:rsidP="00223DE1">
            <w:pPr>
              <w:pStyle w:val="TAL"/>
            </w:pPr>
            <w:r w:rsidRPr="000A0A5F">
              <w:t>Represents the user plane event.</w:t>
            </w:r>
          </w:p>
        </w:tc>
        <w:tc>
          <w:tcPr>
            <w:tcW w:w="1412" w:type="dxa"/>
            <w:vAlign w:val="center"/>
          </w:tcPr>
          <w:p w:rsidR="00223DE1" w:rsidRPr="000A0A5F" w:rsidRDefault="00223DE1" w:rsidP="00223DE1">
            <w:pPr>
              <w:pStyle w:val="TAL"/>
              <w:rPr>
                <w:rFonts w:cs="Arial"/>
                <w:szCs w:val="18"/>
              </w:rPr>
            </w:pPr>
            <w:r w:rsidRPr="000A0A5F">
              <w:rPr>
                <w:rFonts w:cs="Arial"/>
                <w:szCs w:val="18"/>
              </w:rPr>
              <w:t>enNB</w:t>
            </w:r>
          </w:p>
        </w:tc>
      </w:tr>
      <w:tr w:rsidR="00223DE1" w:rsidRPr="000A0A5F" w:rsidTr="00FF0AF8">
        <w:trPr>
          <w:jc w:val="center"/>
        </w:trPr>
        <w:tc>
          <w:tcPr>
            <w:tcW w:w="2888" w:type="dxa"/>
            <w:vAlign w:val="center"/>
          </w:tcPr>
          <w:p w:rsidR="00223DE1" w:rsidRPr="000A0A5F" w:rsidRDefault="00223DE1" w:rsidP="00223DE1">
            <w:pPr>
              <w:pStyle w:val="TAL"/>
            </w:pPr>
            <w:r w:rsidRPr="000A0A5F">
              <w:t>UserPlaneEventReport</w:t>
            </w:r>
          </w:p>
        </w:tc>
        <w:tc>
          <w:tcPr>
            <w:tcW w:w="1076" w:type="dxa"/>
            <w:vAlign w:val="center"/>
          </w:tcPr>
          <w:p w:rsidR="00223DE1" w:rsidRPr="000A0A5F" w:rsidRDefault="00223DE1" w:rsidP="00223DE1">
            <w:pPr>
              <w:pStyle w:val="TAC"/>
            </w:pPr>
            <w:r w:rsidRPr="000A0A5F">
              <w:t>5.14.2.1.5</w:t>
            </w:r>
          </w:p>
        </w:tc>
        <w:tc>
          <w:tcPr>
            <w:tcW w:w="4253" w:type="dxa"/>
            <w:vAlign w:val="center"/>
          </w:tcPr>
          <w:p w:rsidR="00223DE1" w:rsidRPr="000A0A5F" w:rsidRDefault="00223DE1" w:rsidP="00223DE1">
            <w:pPr>
              <w:pStyle w:val="TAL"/>
            </w:pPr>
            <w:r w:rsidRPr="000A0A5F">
              <w:t>Represents an event report for user plane.</w:t>
            </w:r>
          </w:p>
        </w:tc>
        <w:tc>
          <w:tcPr>
            <w:tcW w:w="1412" w:type="dxa"/>
            <w:vAlign w:val="center"/>
          </w:tcPr>
          <w:p w:rsidR="00223DE1" w:rsidRPr="000A0A5F" w:rsidRDefault="00223DE1" w:rsidP="00223DE1">
            <w:pPr>
              <w:pStyle w:val="TAL"/>
              <w:rPr>
                <w:rFonts w:cs="Arial"/>
                <w:szCs w:val="18"/>
              </w:rPr>
            </w:pPr>
            <w:r w:rsidRPr="000A0A5F">
              <w:rPr>
                <w:rFonts w:cs="Arial"/>
                <w:szCs w:val="18"/>
              </w:rPr>
              <w:t>enNB</w:t>
            </w:r>
          </w:p>
        </w:tc>
      </w:tr>
      <w:tr w:rsidR="00223DE1" w:rsidRPr="000A0A5F" w:rsidTr="00FF0AF8">
        <w:trPr>
          <w:jc w:val="center"/>
        </w:trPr>
        <w:tc>
          <w:tcPr>
            <w:tcW w:w="2888" w:type="dxa"/>
            <w:vAlign w:val="center"/>
          </w:tcPr>
          <w:p w:rsidR="00223DE1" w:rsidRPr="000A0A5F" w:rsidRDefault="00223DE1" w:rsidP="00223DE1">
            <w:pPr>
              <w:pStyle w:val="TAL"/>
            </w:pPr>
            <w:r w:rsidRPr="000A0A5F">
              <w:t>UserPlaneNotificationData</w:t>
            </w:r>
          </w:p>
        </w:tc>
        <w:tc>
          <w:tcPr>
            <w:tcW w:w="1076" w:type="dxa"/>
            <w:vAlign w:val="center"/>
          </w:tcPr>
          <w:p w:rsidR="00223DE1" w:rsidRPr="000A0A5F" w:rsidRDefault="00223DE1" w:rsidP="00223DE1">
            <w:pPr>
              <w:pStyle w:val="TAC"/>
            </w:pPr>
            <w:r w:rsidRPr="000A0A5F">
              <w:t>5.14.2.1.4</w:t>
            </w:r>
          </w:p>
        </w:tc>
        <w:tc>
          <w:tcPr>
            <w:tcW w:w="4253" w:type="dxa"/>
            <w:vAlign w:val="center"/>
          </w:tcPr>
          <w:p w:rsidR="00223DE1" w:rsidRPr="000A0A5F" w:rsidRDefault="00223DE1" w:rsidP="00223DE1">
            <w:pPr>
              <w:pStyle w:val="TAL"/>
            </w:pPr>
            <w:r w:rsidRPr="000A0A5F">
              <w:t>Represents the parameters to be conveyed in a user plane event(s) notification.</w:t>
            </w:r>
          </w:p>
        </w:tc>
        <w:tc>
          <w:tcPr>
            <w:tcW w:w="1412" w:type="dxa"/>
            <w:vAlign w:val="center"/>
          </w:tcPr>
          <w:p w:rsidR="00223DE1" w:rsidRPr="000A0A5F" w:rsidRDefault="00223DE1" w:rsidP="00223DE1">
            <w:pPr>
              <w:pStyle w:val="TAL"/>
              <w:rPr>
                <w:rFonts w:cs="Arial"/>
                <w:szCs w:val="18"/>
              </w:rPr>
            </w:pPr>
            <w:r w:rsidRPr="000A0A5F">
              <w:rPr>
                <w:rFonts w:cs="Arial"/>
                <w:szCs w:val="18"/>
              </w:rPr>
              <w:t>enNB</w:t>
            </w:r>
          </w:p>
        </w:tc>
      </w:tr>
      <w:tr w:rsidR="009F079F" w:rsidRPr="000A0A5F" w:rsidTr="00FF0AF8">
        <w:trPr>
          <w:jc w:val="center"/>
        </w:trPr>
        <w:tc>
          <w:tcPr>
            <w:tcW w:w="2888" w:type="dxa"/>
            <w:vAlign w:val="center"/>
          </w:tcPr>
          <w:p w:rsidR="009F079F" w:rsidRDefault="009F079F" w:rsidP="009F079F">
            <w:pPr>
              <w:pStyle w:val="TAL"/>
            </w:pPr>
            <w:r>
              <w:t>UeAddInfo</w:t>
            </w:r>
          </w:p>
        </w:tc>
        <w:tc>
          <w:tcPr>
            <w:tcW w:w="1076" w:type="dxa"/>
            <w:vAlign w:val="center"/>
          </w:tcPr>
          <w:p w:rsidR="009F079F" w:rsidRDefault="009F079F" w:rsidP="009F079F">
            <w:pPr>
              <w:pStyle w:val="TAC"/>
            </w:pPr>
            <w:r>
              <w:t>5.14.2.1.16</w:t>
            </w:r>
          </w:p>
        </w:tc>
        <w:tc>
          <w:tcPr>
            <w:tcW w:w="4253" w:type="dxa"/>
            <w:vAlign w:val="center"/>
          </w:tcPr>
          <w:p w:rsidR="009F079F" w:rsidRDefault="009F079F" w:rsidP="009F079F">
            <w:pPr>
              <w:pStyle w:val="TAL"/>
            </w:pPr>
            <w:r>
              <w:t>Represents the UE address information.</w:t>
            </w:r>
          </w:p>
        </w:tc>
        <w:tc>
          <w:tcPr>
            <w:tcW w:w="1412" w:type="dxa"/>
            <w:vAlign w:val="center"/>
          </w:tcPr>
          <w:p w:rsidR="009F079F" w:rsidRDefault="009F079F" w:rsidP="009F079F">
            <w:pPr>
              <w:pStyle w:val="TAL"/>
              <w:rPr>
                <w:rFonts w:cs="Arial"/>
                <w:szCs w:val="18"/>
              </w:rPr>
            </w:pPr>
            <w:r>
              <w:rPr>
                <w:rFonts w:cs="Arial"/>
                <w:szCs w:val="18"/>
              </w:rPr>
              <w:t>ListUE_5G</w:t>
            </w:r>
          </w:p>
        </w:tc>
      </w:tr>
    </w:tbl>
    <w:p w:rsidR="00CB0DD7" w:rsidRPr="000A0A5F" w:rsidRDefault="00CB0DD7">
      <w:pPr>
        <w:rPr>
          <w:u w:val="single"/>
        </w:rPr>
      </w:pPr>
    </w:p>
    <w:p w:rsidR="00CB0DD7" w:rsidRPr="000A0A5F" w:rsidRDefault="00CB0DD7">
      <w:pPr>
        <w:pStyle w:val="Heading5"/>
      </w:pPr>
      <w:bookmarkStart w:id="9108" w:name="_Toc74756131"/>
      <w:bookmarkStart w:id="9109" w:name="_Toc105675008"/>
      <w:bookmarkStart w:id="9110" w:name="_Toc130503076"/>
      <w:bookmarkStart w:id="9111" w:name="_Toc153625864"/>
      <w:r w:rsidRPr="000A0A5F">
        <w:t>5.14.2.1.2</w:t>
      </w:r>
      <w:r w:rsidRPr="000A0A5F">
        <w:tab/>
        <w:t>Type: AsSessionWithQoSSubscription</w:t>
      </w:r>
      <w:bookmarkEnd w:id="9108"/>
      <w:bookmarkEnd w:id="9109"/>
      <w:bookmarkEnd w:id="9110"/>
      <w:bookmarkEnd w:id="9111"/>
    </w:p>
    <w:p w:rsidR="00CB0DD7" w:rsidRPr="000A0A5F" w:rsidRDefault="00CB0DD7">
      <w:r w:rsidRPr="000A0A5F">
        <w:t>This type represents an AS session request with specific QoS for the service provided by the SCS/AS to the SCEF via T8 interface. The structure is used for subscription request and response.</w:t>
      </w:r>
    </w:p>
    <w:p w:rsidR="00CB0DD7" w:rsidRPr="000A0A5F" w:rsidRDefault="00CB0DD7">
      <w:pPr>
        <w:pStyle w:val="TH"/>
      </w:pPr>
      <w:r w:rsidRPr="000A0A5F">
        <w:rPr>
          <w:noProof/>
        </w:rPr>
        <w:t>Table </w:t>
      </w:r>
      <w:r w:rsidRPr="000A0A5F">
        <w:t xml:space="preserve">5.14.2.1.2-1: </w:t>
      </w:r>
      <w:r w:rsidRPr="000A0A5F">
        <w:rPr>
          <w:noProof/>
        </w:rPr>
        <w:t xml:space="preserve">Definition of type </w:t>
      </w:r>
      <w:r w:rsidRPr="000A0A5F">
        <w:t>AsSessionWithQoSSubscription</w:t>
      </w:r>
    </w:p>
    <w:tbl>
      <w:tblPr>
        <w:tblW w:w="955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61"/>
        <w:gridCol w:w="1842"/>
        <w:gridCol w:w="1134"/>
        <w:gridCol w:w="3687"/>
        <w:gridCol w:w="1235"/>
        <w:tblGridChange w:id="9112">
          <w:tblGrid>
            <w:gridCol w:w="1661"/>
            <w:gridCol w:w="1842"/>
            <w:gridCol w:w="1134"/>
            <w:gridCol w:w="3687"/>
            <w:gridCol w:w="1235"/>
          </w:tblGrid>
        </w:tblGridChange>
      </w:tblGrid>
      <w:tr w:rsidR="00CB0DD7" w:rsidRPr="000A0A5F" w:rsidTr="00FF0AF8">
        <w:trPr>
          <w:trHeight w:val="288"/>
          <w:jc w:val="center"/>
        </w:trPr>
        <w:tc>
          <w:tcPr>
            <w:tcW w:w="1661" w:type="dxa"/>
            <w:shd w:val="clear" w:color="auto" w:fill="C0C0C0"/>
          </w:tcPr>
          <w:p w:rsidR="00CB0DD7" w:rsidRPr="000A0A5F" w:rsidRDefault="00CB0DD7">
            <w:pPr>
              <w:pStyle w:val="TAH"/>
              <w:rPr>
                <w:rFonts w:eastAsia="Times New Roman"/>
              </w:rPr>
            </w:pPr>
            <w:r w:rsidRPr="000A0A5F">
              <w:rPr>
                <w:rFonts w:eastAsia="Times New Roman"/>
              </w:rPr>
              <w:t>Attribute name</w:t>
            </w:r>
          </w:p>
        </w:tc>
        <w:tc>
          <w:tcPr>
            <w:tcW w:w="1842" w:type="dxa"/>
            <w:shd w:val="clear" w:color="auto" w:fill="C0C0C0"/>
          </w:tcPr>
          <w:p w:rsidR="00CB0DD7" w:rsidRPr="000A0A5F" w:rsidRDefault="00CB0DD7">
            <w:pPr>
              <w:pStyle w:val="TAH"/>
              <w:rPr>
                <w:rFonts w:eastAsia="Times New Roman"/>
              </w:rPr>
            </w:pPr>
            <w:r w:rsidRPr="000A0A5F">
              <w:rPr>
                <w:rFonts w:eastAsia="Times New Roman"/>
              </w:rPr>
              <w:t>Data type</w:t>
            </w:r>
          </w:p>
        </w:tc>
        <w:tc>
          <w:tcPr>
            <w:tcW w:w="1134" w:type="dxa"/>
            <w:shd w:val="clear" w:color="auto" w:fill="C0C0C0"/>
          </w:tcPr>
          <w:p w:rsidR="00CB0DD7" w:rsidRPr="000A0A5F" w:rsidRDefault="00CB0DD7">
            <w:pPr>
              <w:pStyle w:val="TAH"/>
              <w:rPr>
                <w:rFonts w:eastAsia="Times New Roman"/>
              </w:rPr>
            </w:pPr>
            <w:r w:rsidRPr="000A0A5F">
              <w:rPr>
                <w:rFonts w:eastAsia="Times New Roman"/>
              </w:rPr>
              <w:t>Cardinality</w:t>
            </w:r>
          </w:p>
        </w:tc>
        <w:tc>
          <w:tcPr>
            <w:tcW w:w="3687"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Description</w:t>
            </w:r>
          </w:p>
        </w:tc>
        <w:tc>
          <w:tcPr>
            <w:tcW w:w="1235" w:type="dxa"/>
            <w:shd w:val="clear" w:color="auto" w:fill="C0C0C0"/>
          </w:tcPr>
          <w:p w:rsidR="00CB0DD7" w:rsidRPr="000A0A5F" w:rsidRDefault="00CB0DD7">
            <w:pPr>
              <w:pStyle w:val="TAH"/>
              <w:rPr>
                <w:rFonts w:eastAsia="Times New Roman"/>
              </w:rPr>
            </w:pPr>
            <w:r w:rsidRPr="000A0A5F">
              <w:rPr>
                <w:rFonts w:eastAsia="Times New Roman" w:cs="Arial"/>
                <w:szCs w:val="18"/>
              </w:rPr>
              <w:t>Applicability (NOTE 1)</w:t>
            </w:r>
          </w:p>
        </w:tc>
      </w:tr>
      <w:tr w:rsidR="00CB0DD7" w:rsidRPr="000A0A5F" w:rsidTr="00FF0AF8">
        <w:trPr>
          <w:jc w:val="center"/>
        </w:trPr>
        <w:tc>
          <w:tcPr>
            <w:tcW w:w="1661" w:type="dxa"/>
            <w:shd w:val="clear" w:color="auto" w:fill="auto"/>
          </w:tcPr>
          <w:p w:rsidR="00CB0DD7" w:rsidRPr="000A0A5F" w:rsidRDefault="00CB0DD7">
            <w:pPr>
              <w:pStyle w:val="TAL"/>
            </w:pPr>
            <w:r w:rsidRPr="000A0A5F">
              <w:t>self</w:t>
            </w:r>
          </w:p>
        </w:tc>
        <w:tc>
          <w:tcPr>
            <w:tcW w:w="1842" w:type="dxa"/>
            <w:shd w:val="clear" w:color="auto" w:fill="auto"/>
          </w:tcPr>
          <w:p w:rsidR="00CB0DD7" w:rsidRPr="000A0A5F" w:rsidRDefault="00CB0DD7">
            <w:pPr>
              <w:pStyle w:val="TAL"/>
            </w:pPr>
            <w:r w:rsidRPr="000A0A5F">
              <w:t>Link</w:t>
            </w:r>
          </w:p>
        </w:tc>
        <w:tc>
          <w:tcPr>
            <w:tcW w:w="1134" w:type="dxa"/>
          </w:tcPr>
          <w:p w:rsidR="00CB0DD7" w:rsidRPr="000A0A5F" w:rsidRDefault="00CB0DD7">
            <w:pPr>
              <w:pStyle w:val="TAC"/>
              <w:jc w:val="left"/>
            </w:pPr>
            <w:r w:rsidRPr="000A0A5F">
              <w:t>0..1</w:t>
            </w:r>
          </w:p>
        </w:tc>
        <w:tc>
          <w:tcPr>
            <w:tcW w:w="3687" w:type="dxa"/>
          </w:tcPr>
          <w:p w:rsidR="00CB0DD7" w:rsidRPr="000A0A5F" w:rsidRDefault="00CB0DD7">
            <w:pPr>
              <w:pStyle w:val="TAL"/>
            </w:pPr>
            <w:r w:rsidRPr="000A0A5F">
              <w:t>Link to the resource "</w:t>
            </w:r>
            <w:r w:rsidRPr="000A0A5F">
              <w:rPr>
                <w:rFonts w:hint="eastAsia"/>
                <w:lang w:eastAsia="zh-CN"/>
              </w:rPr>
              <w:t>Ind</w:t>
            </w:r>
            <w:r w:rsidRPr="000A0A5F">
              <w:rPr>
                <w:lang w:eastAsia="zh-CN"/>
              </w:rPr>
              <w:t>i</w:t>
            </w:r>
            <w:r w:rsidRPr="000A0A5F">
              <w:rPr>
                <w:rFonts w:hint="eastAsia"/>
                <w:lang w:eastAsia="zh-CN"/>
              </w:rPr>
              <w:t>vidual AS Session with Required QoS</w:t>
            </w:r>
            <w:r w:rsidRPr="000A0A5F">
              <w:rPr>
                <w:lang w:eastAsia="zh-CN"/>
              </w:rPr>
              <w:t xml:space="preserve"> </w:t>
            </w:r>
            <w:r w:rsidRPr="000A0A5F">
              <w:t>Subscription".</w:t>
            </w:r>
          </w:p>
          <w:p w:rsidR="00CB0DD7" w:rsidRPr="000A0A5F" w:rsidRDefault="00CB0DD7">
            <w:pPr>
              <w:pStyle w:val="TAL"/>
            </w:pPr>
            <w:r w:rsidRPr="000A0A5F">
              <w:t>This parameter shall be supplied by the SCEF in HTTP responses.</w:t>
            </w:r>
          </w:p>
        </w:tc>
        <w:tc>
          <w:tcPr>
            <w:tcW w:w="1235" w:type="dxa"/>
          </w:tcPr>
          <w:p w:rsidR="00CB0DD7" w:rsidRPr="000A0A5F" w:rsidRDefault="00CB0DD7">
            <w:pPr>
              <w:pStyle w:val="TAC"/>
              <w:jc w:val="left"/>
              <w:rPr>
                <w:rFonts w:eastAsia="Times New Roman"/>
              </w:rPr>
            </w:pPr>
          </w:p>
        </w:tc>
      </w:tr>
      <w:tr w:rsidR="00CB0DD7" w:rsidRPr="000A0A5F" w:rsidTr="00FF0AF8">
        <w:trPr>
          <w:jc w:val="center"/>
        </w:trPr>
        <w:tc>
          <w:tcPr>
            <w:tcW w:w="1661" w:type="dxa"/>
            <w:shd w:val="clear" w:color="auto" w:fill="auto"/>
          </w:tcPr>
          <w:p w:rsidR="00CB0DD7" w:rsidRPr="000A0A5F" w:rsidRDefault="00CB0DD7">
            <w:pPr>
              <w:pStyle w:val="TAL"/>
            </w:pPr>
            <w:r w:rsidRPr="000A0A5F">
              <w:t>dnn</w:t>
            </w:r>
          </w:p>
        </w:tc>
        <w:tc>
          <w:tcPr>
            <w:tcW w:w="1842" w:type="dxa"/>
            <w:shd w:val="clear" w:color="auto" w:fill="auto"/>
          </w:tcPr>
          <w:p w:rsidR="00CB0DD7" w:rsidRPr="000A0A5F" w:rsidRDefault="00CB0DD7">
            <w:pPr>
              <w:pStyle w:val="TAL"/>
            </w:pPr>
            <w:r w:rsidRPr="000A0A5F">
              <w:t>Dnn</w:t>
            </w:r>
          </w:p>
        </w:tc>
        <w:tc>
          <w:tcPr>
            <w:tcW w:w="1134" w:type="dxa"/>
          </w:tcPr>
          <w:p w:rsidR="00CB0DD7" w:rsidRPr="000A0A5F" w:rsidRDefault="00CB0DD7">
            <w:pPr>
              <w:pStyle w:val="TAC"/>
              <w:jc w:val="left"/>
            </w:pPr>
            <w:r w:rsidRPr="000A0A5F">
              <w:t>0..1</w:t>
            </w:r>
          </w:p>
        </w:tc>
        <w:tc>
          <w:tcPr>
            <w:tcW w:w="3687" w:type="dxa"/>
          </w:tcPr>
          <w:p w:rsidR="00CB0DD7" w:rsidRPr="000A0A5F" w:rsidRDefault="00CB0DD7">
            <w:pPr>
              <w:pStyle w:val="TAL"/>
            </w:pPr>
            <w:r w:rsidRPr="000A0A5F">
              <w:t xml:space="preserve">Identifies a DNN, a full DNN with both the Network Identifier and Operator Identifier, or a DNN with the Network Identifier only. </w:t>
            </w:r>
            <w:r w:rsidRPr="000A0A5F">
              <w:rPr>
                <w:rFonts w:cs="Arial"/>
                <w:szCs w:val="18"/>
                <w:lang w:eastAsia="zh-CN"/>
              </w:rPr>
              <w:t>(NOTE 3)</w:t>
            </w:r>
          </w:p>
        </w:tc>
        <w:tc>
          <w:tcPr>
            <w:tcW w:w="1235" w:type="dxa"/>
          </w:tcPr>
          <w:p w:rsidR="00CB0DD7" w:rsidRPr="000A0A5F" w:rsidRDefault="00CB0DD7">
            <w:pPr>
              <w:pStyle w:val="TAC"/>
              <w:jc w:val="left"/>
              <w:rPr>
                <w:rFonts w:eastAsia="Times New Roman"/>
              </w:rPr>
            </w:pPr>
          </w:p>
        </w:tc>
      </w:tr>
      <w:tr w:rsidR="00CB0DD7" w:rsidRPr="000A0A5F" w:rsidTr="00FF0AF8">
        <w:trPr>
          <w:jc w:val="center"/>
        </w:trPr>
        <w:tc>
          <w:tcPr>
            <w:tcW w:w="1661" w:type="dxa"/>
            <w:shd w:val="clear" w:color="auto" w:fill="auto"/>
          </w:tcPr>
          <w:p w:rsidR="00CB0DD7" w:rsidRPr="000A0A5F" w:rsidRDefault="00CB0DD7">
            <w:pPr>
              <w:pStyle w:val="TAL"/>
            </w:pPr>
            <w:r w:rsidRPr="000A0A5F">
              <w:t>snssai</w:t>
            </w:r>
          </w:p>
        </w:tc>
        <w:tc>
          <w:tcPr>
            <w:tcW w:w="1842" w:type="dxa"/>
            <w:shd w:val="clear" w:color="auto" w:fill="auto"/>
          </w:tcPr>
          <w:p w:rsidR="00CB0DD7" w:rsidRPr="000A0A5F" w:rsidRDefault="00CB0DD7">
            <w:pPr>
              <w:pStyle w:val="TAL"/>
            </w:pPr>
            <w:r w:rsidRPr="000A0A5F">
              <w:t>Snssai</w:t>
            </w:r>
          </w:p>
        </w:tc>
        <w:tc>
          <w:tcPr>
            <w:tcW w:w="1134" w:type="dxa"/>
          </w:tcPr>
          <w:p w:rsidR="00CB0DD7" w:rsidRPr="000A0A5F" w:rsidRDefault="00CB0DD7">
            <w:pPr>
              <w:pStyle w:val="TAC"/>
              <w:jc w:val="left"/>
            </w:pPr>
            <w:r w:rsidRPr="000A0A5F">
              <w:t>0..1</w:t>
            </w:r>
          </w:p>
        </w:tc>
        <w:tc>
          <w:tcPr>
            <w:tcW w:w="3687" w:type="dxa"/>
          </w:tcPr>
          <w:p w:rsidR="00CB0DD7" w:rsidRPr="000A0A5F" w:rsidRDefault="00CB0DD7">
            <w:pPr>
              <w:pStyle w:val="TAL"/>
            </w:pPr>
            <w:r w:rsidRPr="000A0A5F">
              <w:t>Identifies an S-NSSAI.</w:t>
            </w:r>
            <w:r w:rsidRPr="000A0A5F">
              <w:rPr>
                <w:rFonts w:cs="Arial"/>
                <w:szCs w:val="18"/>
                <w:lang w:eastAsia="zh-CN"/>
              </w:rPr>
              <w:t xml:space="preserve"> (NOTE 3)</w:t>
            </w:r>
            <w:r w:rsidRPr="000A0A5F">
              <w:t xml:space="preserve"> </w:t>
            </w:r>
          </w:p>
        </w:tc>
        <w:tc>
          <w:tcPr>
            <w:tcW w:w="1235" w:type="dxa"/>
          </w:tcPr>
          <w:p w:rsidR="00CB0DD7" w:rsidRPr="000A0A5F" w:rsidRDefault="00CB0DD7">
            <w:pPr>
              <w:pStyle w:val="TAC"/>
              <w:jc w:val="left"/>
              <w:rPr>
                <w:rFonts w:eastAsia="Times New Roman"/>
              </w:rPr>
            </w:pPr>
          </w:p>
        </w:tc>
      </w:tr>
      <w:tr w:rsidR="00CB0DD7" w:rsidRPr="000A0A5F" w:rsidTr="00FF0AF8">
        <w:trPr>
          <w:jc w:val="center"/>
        </w:trPr>
        <w:tc>
          <w:tcPr>
            <w:tcW w:w="1661" w:type="dxa"/>
            <w:shd w:val="clear" w:color="auto" w:fill="auto"/>
          </w:tcPr>
          <w:p w:rsidR="00CB0DD7" w:rsidRPr="000A0A5F" w:rsidRDefault="00CB0DD7">
            <w:pPr>
              <w:pStyle w:val="TAL"/>
              <w:rPr>
                <w:rFonts w:eastAsia="Times New Roman"/>
              </w:rPr>
            </w:pPr>
            <w:r w:rsidRPr="000A0A5F">
              <w:t>supportedFeatures</w:t>
            </w:r>
          </w:p>
        </w:tc>
        <w:tc>
          <w:tcPr>
            <w:tcW w:w="1842" w:type="dxa"/>
            <w:shd w:val="clear" w:color="auto" w:fill="auto"/>
          </w:tcPr>
          <w:p w:rsidR="00CB0DD7" w:rsidRPr="000A0A5F" w:rsidRDefault="00CB0DD7">
            <w:pPr>
              <w:pStyle w:val="TAL"/>
              <w:rPr>
                <w:rFonts w:eastAsia="Times New Roman"/>
              </w:rPr>
            </w:pPr>
            <w:r w:rsidRPr="000A0A5F">
              <w:t>SupportedFeatures</w:t>
            </w:r>
          </w:p>
        </w:tc>
        <w:tc>
          <w:tcPr>
            <w:tcW w:w="1134" w:type="dxa"/>
          </w:tcPr>
          <w:p w:rsidR="00CB0DD7" w:rsidRPr="000A0A5F" w:rsidRDefault="00CB0DD7">
            <w:pPr>
              <w:pStyle w:val="TAC"/>
              <w:jc w:val="left"/>
              <w:rPr>
                <w:rFonts w:eastAsia="Times New Roman"/>
              </w:rPr>
            </w:pPr>
            <w:r w:rsidRPr="000A0A5F">
              <w:t>0..1</w:t>
            </w:r>
          </w:p>
        </w:tc>
        <w:tc>
          <w:tcPr>
            <w:tcW w:w="3687" w:type="dxa"/>
          </w:tcPr>
          <w:p w:rsidR="00CB0DD7" w:rsidRPr="000A0A5F" w:rsidRDefault="00CB0DD7">
            <w:pPr>
              <w:pStyle w:val="TAL"/>
            </w:pPr>
            <w:r w:rsidRPr="000A0A5F">
              <w:t>Used to negotiate the supported optional features of the API as described in clause 5.2.7.</w:t>
            </w:r>
          </w:p>
          <w:p w:rsidR="00CB0DD7" w:rsidRPr="000A0A5F" w:rsidRDefault="00CB0DD7">
            <w:pPr>
              <w:pStyle w:val="TAL"/>
              <w:rPr>
                <w:rFonts w:cs="Arial"/>
                <w:szCs w:val="18"/>
              </w:rPr>
            </w:pPr>
            <w:r w:rsidRPr="000A0A5F">
              <w:t>This attribute shall be provided in the POST request and in the response of successful resource creation.</w:t>
            </w:r>
          </w:p>
        </w:tc>
        <w:tc>
          <w:tcPr>
            <w:tcW w:w="1235" w:type="dxa"/>
          </w:tcPr>
          <w:p w:rsidR="00CB0DD7" w:rsidRPr="000A0A5F" w:rsidRDefault="00CB0DD7">
            <w:pPr>
              <w:pStyle w:val="TAC"/>
              <w:jc w:val="left"/>
              <w:rPr>
                <w:rFonts w:eastAsia="Times New Roman"/>
              </w:rPr>
            </w:pPr>
          </w:p>
        </w:tc>
      </w:tr>
      <w:tr w:rsidR="00CB0DD7" w:rsidRPr="000A0A5F" w:rsidTr="00FF0AF8">
        <w:trPr>
          <w:jc w:val="center"/>
        </w:trPr>
        <w:tc>
          <w:tcPr>
            <w:tcW w:w="1661" w:type="dxa"/>
            <w:shd w:val="clear" w:color="auto" w:fill="auto"/>
          </w:tcPr>
          <w:p w:rsidR="00CB0DD7" w:rsidRPr="000A0A5F" w:rsidRDefault="00CB0DD7">
            <w:pPr>
              <w:pStyle w:val="TAL"/>
              <w:rPr>
                <w:rFonts w:eastAsia="Times New Roman"/>
              </w:rPr>
            </w:pPr>
            <w:r w:rsidRPr="000A0A5F">
              <w:rPr>
                <w:rFonts w:hint="eastAsia"/>
                <w:lang w:eastAsia="zh-CN"/>
              </w:rPr>
              <w:t>notification</w:t>
            </w:r>
            <w:r w:rsidRPr="000A0A5F">
              <w:rPr>
                <w:lang w:eastAsia="zh-CN"/>
              </w:rPr>
              <w:t>Destination</w:t>
            </w:r>
          </w:p>
        </w:tc>
        <w:tc>
          <w:tcPr>
            <w:tcW w:w="1842" w:type="dxa"/>
            <w:shd w:val="clear" w:color="auto" w:fill="auto"/>
          </w:tcPr>
          <w:p w:rsidR="00CB0DD7" w:rsidRPr="000A0A5F" w:rsidRDefault="00CB0DD7">
            <w:pPr>
              <w:pStyle w:val="TAL"/>
              <w:rPr>
                <w:rFonts w:eastAsia="Times New Roman"/>
              </w:rPr>
            </w:pPr>
            <w:r w:rsidRPr="000A0A5F">
              <w:rPr>
                <w:rFonts w:hint="eastAsia"/>
                <w:lang w:eastAsia="zh-CN"/>
              </w:rPr>
              <w:t>Link</w:t>
            </w:r>
          </w:p>
        </w:tc>
        <w:tc>
          <w:tcPr>
            <w:tcW w:w="1134" w:type="dxa"/>
          </w:tcPr>
          <w:p w:rsidR="00CB0DD7" w:rsidRPr="000A0A5F" w:rsidRDefault="00CB0DD7">
            <w:pPr>
              <w:pStyle w:val="TAC"/>
              <w:jc w:val="left"/>
              <w:rPr>
                <w:rFonts w:eastAsia="Times New Roman"/>
              </w:rPr>
            </w:pPr>
            <w:r w:rsidRPr="000A0A5F">
              <w:rPr>
                <w:rFonts w:hint="eastAsia"/>
                <w:lang w:eastAsia="zh-CN"/>
              </w:rPr>
              <w:t>1</w:t>
            </w:r>
          </w:p>
        </w:tc>
        <w:tc>
          <w:tcPr>
            <w:tcW w:w="3687" w:type="dxa"/>
          </w:tcPr>
          <w:p w:rsidR="00CB0DD7" w:rsidRPr="000A0A5F" w:rsidRDefault="00CB0DD7">
            <w:pPr>
              <w:pStyle w:val="TAL"/>
              <w:rPr>
                <w:rFonts w:eastAsia="Times New Roman" w:cs="Arial"/>
                <w:szCs w:val="18"/>
              </w:rPr>
            </w:pPr>
            <w:r w:rsidRPr="000A0A5F">
              <w:rPr>
                <w:rFonts w:cs="Arial" w:hint="eastAsia"/>
                <w:szCs w:val="18"/>
                <w:lang w:eastAsia="zh-CN"/>
              </w:rPr>
              <w:t xml:space="preserve">Contains the URL to receive the notification </w:t>
            </w:r>
            <w:r w:rsidRPr="000A0A5F">
              <w:rPr>
                <w:rFonts w:cs="Arial"/>
                <w:szCs w:val="18"/>
                <w:lang w:eastAsia="zh-CN"/>
              </w:rPr>
              <w:t>bearer level event(s) from the SCEF.</w:t>
            </w:r>
          </w:p>
        </w:tc>
        <w:tc>
          <w:tcPr>
            <w:tcW w:w="1235" w:type="dxa"/>
          </w:tcPr>
          <w:p w:rsidR="00CB0DD7" w:rsidRPr="000A0A5F" w:rsidRDefault="00CB0DD7">
            <w:pPr>
              <w:pStyle w:val="TAC"/>
              <w:jc w:val="left"/>
              <w:rPr>
                <w:rFonts w:eastAsia="Times New Roman"/>
              </w:rPr>
            </w:pPr>
          </w:p>
        </w:tc>
      </w:tr>
      <w:tr w:rsidR="00CB0DD7" w:rsidRPr="000A0A5F" w:rsidTr="00FF0AF8">
        <w:trPr>
          <w:jc w:val="center"/>
        </w:trPr>
        <w:tc>
          <w:tcPr>
            <w:tcW w:w="1661" w:type="dxa"/>
            <w:shd w:val="clear" w:color="auto" w:fill="auto"/>
          </w:tcPr>
          <w:p w:rsidR="00CB0DD7" w:rsidRPr="000A0A5F" w:rsidRDefault="00CB0DD7">
            <w:pPr>
              <w:pStyle w:val="TAL"/>
              <w:rPr>
                <w:rFonts w:hint="eastAsia"/>
                <w:lang w:eastAsia="zh-CN"/>
              </w:rPr>
            </w:pPr>
            <w:r w:rsidRPr="000A0A5F">
              <w:t>exterAppId</w:t>
            </w:r>
          </w:p>
        </w:tc>
        <w:tc>
          <w:tcPr>
            <w:tcW w:w="1842" w:type="dxa"/>
            <w:shd w:val="clear" w:color="auto" w:fill="auto"/>
          </w:tcPr>
          <w:p w:rsidR="00CB0DD7" w:rsidRPr="000A0A5F" w:rsidRDefault="00CB0DD7">
            <w:pPr>
              <w:pStyle w:val="TAL"/>
              <w:rPr>
                <w:rFonts w:hint="eastAsia"/>
                <w:lang w:eastAsia="zh-CN"/>
              </w:rPr>
            </w:pPr>
            <w:r w:rsidRPr="000A0A5F">
              <w:t>string</w:t>
            </w:r>
          </w:p>
        </w:tc>
        <w:tc>
          <w:tcPr>
            <w:tcW w:w="1134" w:type="dxa"/>
          </w:tcPr>
          <w:p w:rsidR="00CB0DD7" w:rsidRPr="000A0A5F" w:rsidRDefault="00CB0DD7">
            <w:pPr>
              <w:pStyle w:val="TAC"/>
              <w:jc w:val="left"/>
              <w:rPr>
                <w:rFonts w:hint="eastAsia"/>
                <w:lang w:eastAsia="zh-CN"/>
              </w:rPr>
            </w:pPr>
            <w:r w:rsidRPr="000A0A5F">
              <w:t>0..1</w:t>
            </w:r>
          </w:p>
        </w:tc>
        <w:tc>
          <w:tcPr>
            <w:tcW w:w="3687" w:type="dxa"/>
          </w:tcPr>
          <w:p w:rsidR="00CB0DD7" w:rsidRPr="000A0A5F" w:rsidRDefault="00176399">
            <w:pPr>
              <w:pStyle w:val="TAL"/>
              <w:rPr>
                <w:rFonts w:cs="Arial" w:hint="eastAsia"/>
                <w:szCs w:val="18"/>
                <w:lang w:eastAsia="zh-CN"/>
              </w:rPr>
            </w:pPr>
            <w:r w:rsidRPr="000A0A5F">
              <w:t>Identifies the external Application Identifier.</w:t>
            </w:r>
            <w:r w:rsidRPr="000A0A5F">
              <w:rPr>
                <w:rFonts w:cs="Arial"/>
                <w:szCs w:val="18"/>
              </w:rPr>
              <w:t xml:space="preserve"> </w:t>
            </w:r>
            <w:r w:rsidR="00C520FB" w:rsidRPr="000A0A5F">
              <w:rPr>
                <w:rFonts w:cs="Arial"/>
                <w:szCs w:val="18"/>
              </w:rPr>
              <w:t>(NOTE 2)</w:t>
            </w:r>
            <w:r w:rsidR="00C520FB" w:rsidRPr="000A0A5F">
              <w:rPr>
                <w:rFonts w:cs="Arial"/>
                <w:szCs w:val="18"/>
                <w:lang w:eastAsia="zh-CN"/>
              </w:rPr>
              <w:t xml:space="preserve"> (NOTE 9) (NOTE 11)</w:t>
            </w:r>
          </w:p>
        </w:tc>
        <w:tc>
          <w:tcPr>
            <w:tcW w:w="1235" w:type="dxa"/>
          </w:tcPr>
          <w:p w:rsidR="00176399" w:rsidRPr="000A0A5F" w:rsidRDefault="00176399" w:rsidP="00176399">
            <w:pPr>
              <w:pStyle w:val="TAC"/>
              <w:jc w:val="left"/>
            </w:pPr>
            <w:r w:rsidRPr="000A0A5F">
              <w:t>AppId</w:t>
            </w:r>
          </w:p>
          <w:p w:rsidR="004D1043" w:rsidRPr="000A0A5F" w:rsidRDefault="00176399" w:rsidP="004D1043">
            <w:pPr>
              <w:pStyle w:val="TAC"/>
              <w:jc w:val="left"/>
              <w:rPr>
                <w:rFonts w:eastAsia="Times New Roman"/>
              </w:rPr>
            </w:pPr>
            <w:r w:rsidRPr="000A0A5F">
              <w:t>ListUE_5G</w:t>
            </w:r>
          </w:p>
          <w:p w:rsidR="00CB0DD7" w:rsidRPr="000A0A5F" w:rsidRDefault="004D1043" w:rsidP="004D1043">
            <w:pPr>
              <w:pStyle w:val="TAC"/>
              <w:jc w:val="left"/>
              <w:rPr>
                <w:rFonts w:eastAsia="Times New Roman"/>
              </w:rPr>
            </w:pPr>
            <w:r w:rsidRPr="000A0A5F">
              <w:rPr>
                <w:rFonts w:eastAsia="Times New Roman"/>
              </w:rPr>
              <w:t>GMEC_5G</w:t>
            </w:r>
          </w:p>
        </w:tc>
      </w:tr>
      <w:tr w:rsidR="00FA36FD" w:rsidRPr="000A0A5F" w:rsidTr="00FF0AF8">
        <w:trPr>
          <w:jc w:val="center"/>
        </w:trPr>
        <w:tc>
          <w:tcPr>
            <w:tcW w:w="1661" w:type="dxa"/>
            <w:shd w:val="clear" w:color="auto" w:fill="auto"/>
          </w:tcPr>
          <w:p w:rsidR="00FA36FD" w:rsidRPr="000A0A5F" w:rsidRDefault="00FA36FD" w:rsidP="00FA36FD">
            <w:pPr>
              <w:pStyle w:val="TAL"/>
            </w:pPr>
            <w:r w:rsidRPr="000A0A5F">
              <w:t>extGroupId</w:t>
            </w:r>
          </w:p>
        </w:tc>
        <w:tc>
          <w:tcPr>
            <w:tcW w:w="1842" w:type="dxa"/>
            <w:shd w:val="clear" w:color="auto" w:fill="auto"/>
          </w:tcPr>
          <w:p w:rsidR="00FA36FD" w:rsidRPr="000A0A5F" w:rsidRDefault="00FA36FD" w:rsidP="00FA36FD">
            <w:pPr>
              <w:pStyle w:val="TAL"/>
            </w:pPr>
            <w:r w:rsidRPr="000A0A5F">
              <w:t>ExternalGroupId</w:t>
            </w:r>
          </w:p>
        </w:tc>
        <w:tc>
          <w:tcPr>
            <w:tcW w:w="1134" w:type="dxa"/>
          </w:tcPr>
          <w:p w:rsidR="00FA36FD" w:rsidRPr="000A0A5F" w:rsidRDefault="00FA36FD" w:rsidP="00FA36FD">
            <w:pPr>
              <w:pStyle w:val="TAC"/>
              <w:jc w:val="left"/>
            </w:pPr>
            <w:r w:rsidRPr="000A0A5F">
              <w:t>0..1</w:t>
            </w:r>
          </w:p>
        </w:tc>
        <w:tc>
          <w:tcPr>
            <w:tcW w:w="3687" w:type="dxa"/>
          </w:tcPr>
          <w:p w:rsidR="00FA36FD" w:rsidRPr="000A0A5F" w:rsidRDefault="00FA36FD" w:rsidP="00FA36FD">
            <w:pPr>
              <w:pStyle w:val="TAL"/>
            </w:pPr>
            <w:r w:rsidRPr="000A0A5F">
              <w:t>Identifies a group of UE(s).</w:t>
            </w:r>
          </w:p>
          <w:p w:rsidR="00FA36FD" w:rsidRPr="000A0A5F" w:rsidRDefault="00FA36FD" w:rsidP="00FA36FD">
            <w:pPr>
              <w:pStyle w:val="TAL"/>
            </w:pPr>
          </w:p>
          <w:p w:rsidR="00FA36FD" w:rsidRPr="000A0A5F" w:rsidRDefault="00FA36FD" w:rsidP="00FA36FD">
            <w:pPr>
              <w:pStyle w:val="TAL"/>
            </w:pPr>
            <w:r w:rsidRPr="000A0A5F">
              <w:rPr>
                <w:rFonts w:cs="Arial"/>
                <w:szCs w:val="18"/>
                <w:lang w:eastAsia="zh-CN"/>
              </w:rPr>
              <w:t>(NOTE 10)</w:t>
            </w:r>
          </w:p>
        </w:tc>
        <w:tc>
          <w:tcPr>
            <w:tcW w:w="1235" w:type="dxa"/>
          </w:tcPr>
          <w:p w:rsidR="00FA36FD" w:rsidRPr="000A0A5F" w:rsidRDefault="00FA36FD" w:rsidP="00FA36FD">
            <w:pPr>
              <w:pStyle w:val="TAC"/>
              <w:jc w:val="left"/>
              <w:rPr>
                <w:rFonts w:eastAsia="Times New Roman"/>
              </w:rPr>
            </w:pPr>
            <w:r w:rsidRPr="000A0A5F">
              <w:rPr>
                <w:rFonts w:eastAsia="Times New Roman"/>
              </w:rPr>
              <w:t>GMEC_5G</w:t>
            </w:r>
          </w:p>
        </w:tc>
      </w:tr>
      <w:tr w:rsidR="00FA36FD" w:rsidRPr="000A0A5F" w:rsidTr="00FF0AF8">
        <w:trPr>
          <w:jc w:val="center"/>
        </w:trPr>
        <w:tc>
          <w:tcPr>
            <w:tcW w:w="1661" w:type="dxa"/>
            <w:shd w:val="clear" w:color="auto" w:fill="auto"/>
          </w:tcPr>
          <w:p w:rsidR="00FA36FD" w:rsidRPr="000A0A5F" w:rsidRDefault="00FA36FD" w:rsidP="00FA36FD">
            <w:pPr>
              <w:pStyle w:val="TAL"/>
            </w:pPr>
            <w:r w:rsidRPr="000A0A5F">
              <w:t>gpsi</w:t>
            </w:r>
          </w:p>
        </w:tc>
        <w:tc>
          <w:tcPr>
            <w:tcW w:w="1842" w:type="dxa"/>
            <w:shd w:val="clear" w:color="auto" w:fill="auto"/>
          </w:tcPr>
          <w:p w:rsidR="00FA36FD" w:rsidRPr="000A0A5F" w:rsidRDefault="00FA36FD" w:rsidP="00FA36FD">
            <w:pPr>
              <w:pStyle w:val="TAL"/>
            </w:pPr>
            <w:r w:rsidRPr="000A0A5F">
              <w:t>Gpsi</w:t>
            </w:r>
          </w:p>
        </w:tc>
        <w:tc>
          <w:tcPr>
            <w:tcW w:w="1134" w:type="dxa"/>
          </w:tcPr>
          <w:p w:rsidR="00FA36FD" w:rsidRPr="000A0A5F" w:rsidRDefault="00FA36FD" w:rsidP="00FA36FD">
            <w:pPr>
              <w:pStyle w:val="TAC"/>
              <w:jc w:val="left"/>
            </w:pPr>
            <w:r w:rsidRPr="000A0A5F">
              <w:t>0..1</w:t>
            </w:r>
          </w:p>
        </w:tc>
        <w:tc>
          <w:tcPr>
            <w:tcW w:w="3687" w:type="dxa"/>
          </w:tcPr>
          <w:p w:rsidR="00FA36FD" w:rsidRPr="000A0A5F" w:rsidRDefault="00FA36FD" w:rsidP="00FA36FD">
            <w:pPr>
              <w:pStyle w:val="TAL"/>
            </w:pPr>
            <w:r w:rsidRPr="000A0A5F">
              <w:t>Identifies a UE using its GPSI.</w:t>
            </w:r>
          </w:p>
          <w:p w:rsidR="00FA36FD" w:rsidRPr="000A0A5F" w:rsidRDefault="00FA36FD" w:rsidP="00FA36FD">
            <w:pPr>
              <w:pStyle w:val="TAL"/>
            </w:pPr>
          </w:p>
          <w:p w:rsidR="00FA36FD" w:rsidRPr="000A0A5F" w:rsidRDefault="00FA36FD" w:rsidP="00FA36FD">
            <w:pPr>
              <w:pStyle w:val="TAL"/>
            </w:pPr>
            <w:r w:rsidRPr="000A0A5F">
              <w:rPr>
                <w:rFonts w:cs="Arial"/>
                <w:szCs w:val="18"/>
                <w:lang w:eastAsia="zh-CN"/>
              </w:rPr>
              <w:t>(NOTE 10)</w:t>
            </w:r>
          </w:p>
        </w:tc>
        <w:tc>
          <w:tcPr>
            <w:tcW w:w="1235" w:type="dxa"/>
          </w:tcPr>
          <w:p w:rsidR="00FA36FD" w:rsidRPr="000A0A5F" w:rsidRDefault="00FA36FD" w:rsidP="00FA36FD">
            <w:pPr>
              <w:pStyle w:val="TAC"/>
              <w:jc w:val="left"/>
              <w:rPr>
                <w:rFonts w:eastAsia="Times New Roman"/>
              </w:rPr>
            </w:pPr>
            <w:r w:rsidRPr="000A0A5F">
              <w:rPr>
                <w:rFonts w:eastAsia="Times New Roman"/>
              </w:rPr>
              <w:t>GMEC_5G</w:t>
            </w:r>
          </w:p>
        </w:tc>
      </w:tr>
      <w:tr w:rsidR="00FA36FD" w:rsidRPr="000A0A5F" w:rsidTr="00FF0AF8">
        <w:trPr>
          <w:jc w:val="center"/>
        </w:trPr>
        <w:tc>
          <w:tcPr>
            <w:tcW w:w="1661" w:type="dxa"/>
            <w:shd w:val="clear" w:color="auto" w:fill="auto"/>
          </w:tcPr>
          <w:p w:rsidR="00FA36FD" w:rsidRPr="000A0A5F" w:rsidRDefault="00FA36FD" w:rsidP="00FA36FD">
            <w:pPr>
              <w:pStyle w:val="TAL"/>
              <w:rPr>
                <w:rFonts w:hint="eastAsia"/>
                <w:lang w:eastAsia="zh-CN"/>
              </w:rPr>
            </w:pPr>
            <w:r w:rsidRPr="000A0A5F">
              <w:rPr>
                <w:rFonts w:eastAsia="Times New Roman"/>
              </w:rPr>
              <w:t>flowInfo</w:t>
            </w:r>
          </w:p>
        </w:tc>
        <w:tc>
          <w:tcPr>
            <w:tcW w:w="1842" w:type="dxa"/>
            <w:shd w:val="clear" w:color="auto" w:fill="auto"/>
          </w:tcPr>
          <w:p w:rsidR="00FA36FD" w:rsidRPr="000A0A5F" w:rsidRDefault="00FA36FD" w:rsidP="00FA36FD">
            <w:pPr>
              <w:pStyle w:val="TAL"/>
              <w:rPr>
                <w:rFonts w:hint="eastAsia"/>
                <w:lang w:eastAsia="zh-CN"/>
              </w:rPr>
            </w:pPr>
            <w:r w:rsidRPr="000A0A5F">
              <w:rPr>
                <w:rFonts w:eastAsia="Times New Roman"/>
              </w:rPr>
              <w:t>array(FlowInfo)</w:t>
            </w:r>
          </w:p>
        </w:tc>
        <w:tc>
          <w:tcPr>
            <w:tcW w:w="1134" w:type="dxa"/>
          </w:tcPr>
          <w:p w:rsidR="00FA36FD" w:rsidRPr="000A0A5F" w:rsidRDefault="00FA36FD" w:rsidP="00FA36FD">
            <w:pPr>
              <w:pStyle w:val="TAC"/>
              <w:jc w:val="left"/>
              <w:rPr>
                <w:rFonts w:hint="eastAsia"/>
                <w:lang w:eastAsia="zh-CN"/>
              </w:rPr>
            </w:pPr>
            <w:r w:rsidRPr="000A0A5F">
              <w:rPr>
                <w:lang w:eastAsia="zh-CN"/>
              </w:rPr>
              <w:t>0..N</w:t>
            </w:r>
          </w:p>
        </w:tc>
        <w:tc>
          <w:tcPr>
            <w:tcW w:w="3687" w:type="dxa"/>
          </w:tcPr>
          <w:p w:rsidR="004D1043" w:rsidRPr="000A0A5F" w:rsidRDefault="00FA36FD" w:rsidP="004D1043">
            <w:pPr>
              <w:pStyle w:val="TAL"/>
              <w:rPr>
                <w:rFonts w:cs="Arial"/>
                <w:szCs w:val="18"/>
                <w:lang w:eastAsia="zh-CN"/>
              </w:rPr>
            </w:pPr>
            <w:r w:rsidRPr="000A0A5F">
              <w:rPr>
                <w:rFonts w:cs="Arial" w:hint="eastAsia"/>
                <w:szCs w:val="18"/>
                <w:lang w:eastAsia="zh-CN"/>
              </w:rPr>
              <w:t>Descr</w:t>
            </w:r>
            <w:r w:rsidRPr="000A0A5F">
              <w:rPr>
                <w:rFonts w:cs="Arial"/>
                <w:szCs w:val="18"/>
                <w:lang w:eastAsia="zh-CN"/>
              </w:rPr>
              <w:t>ibe the IP data flow which requires QoS.</w:t>
            </w:r>
            <w:r w:rsidR="004D1043" w:rsidRPr="000A0A5F">
              <w:rPr>
                <w:rFonts w:cs="Arial"/>
                <w:szCs w:val="18"/>
                <w:lang w:eastAsia="zh-CN"/>
              </w:rPr>
              <w:t xml:space="preserve"> </w:t>
            </w:r>
          </w:p>
          <w:p w:rsidR="00FA36FD" w:rsidRPr="000A0A5F" w:rsidRDefault="00FA36FD" w:rsidP="00FA36FD">
            <w:pPr>
              <w:pStyle w:val="TAL"/>
              <w:rPr>
                <w:rFonts w:cs="Arial"/>
                <w:szCs w:val="18"/>
                <w:lang w:eastAsia="zh-CN"/>
              </w:rPr>
            </w:pPr>
          </w:p>
          <w:p w:rsidR="00FA36FD" w:rsidRPr="000A0A5F" w:rsidRDefault="00C520FB" w:rsidP="00FA36FD">
            <w:pPr>
              <w:pStyle w:val="TAL"/>
              <w:rPr>
                <w:rFonts w:cs="Arial" w:hint="eastAsia"/>
                <w:szCs w:val="18"/>
                <w:lang w:eastAsia="zh-CN"/>
              </w:rPr>
            </w:pPr>
            <w:r w:rsidRPr="000A0A5F">
              <w:rPr>
                <w:rFonts w:cs="Arial"/>
                <w:szCs w:val="18"/>
                <w:lang w:eastAsia="zh-CN"/>
              </w:rPr>
              <w:t>(NOTE 2) (NOTE 7) (NOTE 9) (NOTE 11)</w:t>
            </w:r>
          </w:p>
        </w:tc>
        <w:tc>
          <w:tcPr>
            <w:tcW w:w="1235" w:type="dxa"/>
          </w:tcPr>
          <w:p w:rsidR="00FA36FD" w:rsidRPr="000A0A5F" w:rsidRDefault="00FA36FD" w:rsidP="00FA36FD">
            <w:pPr>
              <w:pStyle w:val="TAC"/>
              <w:jc w:val="left"/>
              <w:rPr>
                <w:rFonts w:eastAsia="Times New Roman"/>
              </w:rPr>
            </w:pPr>
          </w:p>
        </w:tc>
      </w:tr>
      <w:tr w:rsidR="00FA36FD" w:rsidRPr="000A0A5F" w:rsidTr="00FF0AF8">
        <w:trPr>
          <w:jc w:val="center"/>
        </w:trPr>
        <w:tc>
          <w:tcPr>
            <w:tcW w:w="1661" w:type="dxa"/>
            <w:shd w:val="clear" w:color="auto" w:fill="auto"/>
          </w:tcPr>
          <w:p w:rsidR="00FA36FD" w:rsidRPr="000A0A5F" w:rsidRDefault="00FA36FD" w:rsidP="00FA36FD">
            <w:pPr>
              <w:pStyle w:val="TAL"/>
              <w:rPr>
                <w:rFonts w:eastAsia="Times New Roman"/>
              </w:rPr>
            </w:pPr>
            <w:r w:rsidRPr="000A0A5F">
              <w:rPr>
                <w:lang w:eastAsia="zh-CN"/>
              </w:rPr>
              <w:t>ethFlowInfo</w:t>
            </w:r>
          </w:p>
        </w:tc>
        <w:tc>
          <w:tcPr>
            <w:tcW w:w="1842" w:type="dxa"/>
            <w:shd w:val="clear" w:color="auto" w:fill="auto"/>
          </w:tcPr>
          <w:p w:rsidR="00FA36FD" w:rsidRPr="000A0A5F" w:rsidRDefault="00FA36FD" w:rsidP="00FA36FD">
            <w:pPr>
              <w:pStyle w:val="TAL"/>
              <w:rPr>
                <w:rFonts w:eastAsia="Times New Roman"/>
              </w:rPr>
            </w:pPr>
            <w:r w:rsidRPr="000A0A5F">
              <w:t>array(EthFlowDescription)</w:t>
            </w:r>
          </w:p>
        </w:tc>
        <w:tc>
          <w:tcPr>
            <w:tcW w:w="1134" w:type="dxa"/>
          </w:tcPr>
          <w:p w:rsidR="00FA36FD" w:rsidRPr="000A0A5F" w:rsidRDefault="00FA36FD" w:rsidP="00FA36FD">
            <w:pPr>
              <w:pStyle w:val="TAC"/>
              <w:jc w:val="left"/>
              <w:rPr>
                <w:lang w:eastAsia="zh-CN"/>
              </w:rPr>
            </w:pPr>
            <w:r w:rsidRPr="000A0A5F">
              <w:rPr>
                <w:rFonts w:eastAsia="Times New Roman"/>
              </w:rPr>
              <w:t>0..N</w:t>
            </w:r>
          </w:p>
        </w:tc>
        <w:tc>
          <w:tcPr>
            <w:tcW w:w="3687" w:type="dxa"/>
          </w:tcPr>
          <w:p w:rsidR="00FA36FD" w:rsidRPr="000A0A5F" w:rsidRDefault="00FA36FD" w:rsidP="00FA36FD">
            <w:pPr>
              <w:pStyle w:val="TAL"/>
              <w:rPr>
                <w:rFonts w:cs="Arial"/>
                <w:szCs w:val="18"/>
                <w:lang w:eastAsia="zh-CN"/>
              </w:rPr>
            </w:pPr>
            <w:r w:rsidRPr="000A0A5F">
              <w:rPr>
                <w:rFonts w:cs="Arial" w:hint="eastAsia"/>
                <w:szCs w:val="18"/>
                <w:lang w:eastAsia="zh-CN"/>
              </w:rPr>
              <w:t xml:space="preserve">Identifies </w:t>
            </w:r>
            <w:r w:rsidRPr="000A0A5F">
              <w:rPr>
                <w:rFonts w:cs="Arial"/>
                <w:szCs w:val="18"/>
                <w:lang w:eastAsia="zh-CN"/>
              </w:rPr>
              <w:t xml:space="preserve">Ethernet </w:t>
            </w:r>
            <w:r w:rsidRPr="000A0A5F">
              <w:rPr>
                <w:rFonts w:cs="Arial" w:hint="eastAsia"/>
                <w:szCs w:val="18"/>
                <w:lang w:eastAsia="zh-CN"/>
              </w:rPr>
              <w:t>packet f</w:t>
            </w:r>
            <w:r w:rsidRPr="000A0A5F">
              <w:rPr>
                <w:rFonts w:cs="Arial"/>
                <w:szCs w:val="18"/>
                <w:lang w:eastAsia="zh-CN"/>
              </w:rPr>
              <w:t>lows</w:t>
            </w:r>
            <w:r w:rsidRPr="000A0A5F">
              <w:rPr>
                <w:rFonts w:cs="Arial" w:hint="eastAsia"/>
                <w:szCs w:val="18"/>
                <w:lang w:eastAsia="zh-CN"/>
              </w:rPr>
              <w:t>.</w:t>
            </w:r>
          </w:p>
          <w:p w:rsidR="00FA36FD" w:rsidRPr="000A0A5F" w:rsidRDefault="00FA36FD" w:rsidP="00FA36FD">
            <w:pPr>
              <w:pStyle w:val="TAL"/>
              <w:rPr>
                <w:rFonts w:cs="Arial" w:hint="eastAsia"/>
                <w:szCs w:val="18"/>
                <w:lang w:eastAsia="zh-CN"/>
              </w:rPr>
            </w:pPr>
            <w:r w:rsidRPr="000A0A5F">
              <w:rPr>
                <w:rFonts w:cs="Arial"/>
                <w:szCs w:val="18"/>
              </w:rPr>
              <w:t>(NOTE 2) (NOTE 6)</w:t>
            </w:r>
            <w:r w:rsidR="00A73C4E" w:rsidRPr="000A0A5F">
              <w:rPr>
                <w:rFonts w:cs="Arial"/>
                <w:szCs w:val="18"/>
                <w:lang w:eastAsia="zh-CN"/>
              </w:rPr>
              <w:t xml:space="preserve"> (NOTE 11)</w:t>
            </w:r>
          </w:p>
        </w:tc>
        <w:tc>
          <w:tcPr>
            <w:tcW w:w="1235" w:type="dxa"/>
          </w:tcPr>
          <w:p w:rsidR="00A73C4E" w:rsidRPr="000A0A5F" w:rsidRDefault="00FA36FD" w:rsidP="00A73C4E">
            <w:pPr>
              <w:pStyle w:val="TAC"/>
              <w:jc w:val="left"/>
            </w:pPr>
            <w:r w:rsidRPr="000A0A5F">
              <w:t>EthAsSessionQoS_5G</w:t>
            </w:r>
          </w:p>
          <w:p w:rsidR="00FA36FD" w:rsidRPr="000A0A5F" w:rsidRDefault="00A73C4E" w:rsidP="00A73C4E">
            <w:pPr>
              <w:pStyle w:val="TAC"/>
              <w:jc w:val="left"/>
              <w:rPr>
                <w:rFonts w:eastAsia="Times New Roman"/>
              </w:rPr>
            </w:pPr>
            <w:r w:rsidRPr="000A0A5F">
              <w:rPr>
                <w:rFonts w:eastAsia="Times New Roman"/>
              </w:rPr>
              <w:t>GMEC_5G</w:t>
            </w:r>
          </w:p>
        </w:tc>
      </w:tr>
      <w:tr w:rsidR="00FA36FD" w:rsidRPr="000A0A5F" w:rsidTr="00FF0AF8">
        <w:trPr>
          <w:jc w:val="center"/>
        </w:trPr>
        <w:tc>
          <w:tcPr>
            <w:tcW w:w="1661" w:type="dxa"/>
            <w:shd w:val="clear" w:color="auto" w:fill="auto"/>
          </w:tcPr>
          <w:p w:rsidR="00FA36FD" w:rsidRPr="000A0A5F" w:rsidRDefault="00FA36FD" w:rsidP="00FA36FD">
            <w:pPr>
              <w:pStyle w:val="TAL"/>
              <w:rPr>
                <w:lang w:eastAsia="zh-CN"/>
              </w:rPr>
            </w:pPr>
            <w:r w:rsidRPr="000A0A5F">
              <w:rPr>
                <w:lang w:eastAsia="zh-CN"/>
              </w:rPr>
              <w:t>enEthFlowInfo</w:t>
            </w:r>
          </w:p>
        </w:tc>
        <w:tc>
          <w:tcPr>
            <w:tcW w:w="1842" w:type="dxa"/>
            <w:shd w:val="clear" w:color="auto" w:fill="auto"/>
          </w:tcPr>
          <w:p w:rsidR="00FA36FD" w:rsidRPr="000A0A5F" w:rsidRDefault="00FA36FD" w:rsidP="00FA36FD">
            <w:pPr>
              <w:pStyle w:val="TAL"/>
            </w:pPr>
            <w:r w:rsidRPr="000A0A5F">
              <w:rPr>
                <w:lang w:eastAsia="zh-CN"/>
              </w:rPr>
              <w:t>array(EthFlowInfo)</w:t>
            </w:r>
          </w:p>
        </w:tc>
        <w:tc>
          <w:tcPr>
            <w:tcW w:w="1134" w:type="dxa"/>
          </w:tcPr>
          <w:p w:rsidR="00FA36FD" w:rsidRPr="000A0A5F" w:rsidRDefault="00FA36FD" w:rsidP="00FA36FD">
            <w:pPr>
              <w:pStyle w:val="TAC"/>
              <w:jc w:val="left"/>
              <w:rPr>
                <w:rFonts w:eastAsia="Times New Roman"/>
              </w:rPr>
            </w:pPr>
            <w:r w:rsidRPr="000A0A5F">
              <w:rPr>
                <w:lang w:eastAsia="zh-CN"/>
              </w:rPr>
              <w:t>0..N</w:t>
            </w:r>
          </w:p>
        </w:tc>
        <w:tc>
          <w:tcPr>
            <w:tcW w:w="3687" w:type="dxa"/>
          </w:tcPr>
          <w:p w:rsidR="00FA36FD" w:rsidRPr="000A0A5F" w:rsidRDefault="00FA36FD" w:rsidP="00FA36FD">
            <w:pPr>
              <w:pStyle w:val="TAL"/>
              <w:rPr>
                <w:rFonts w:cs="Arial"/>
                <w:szCs w:val="18"/>
                <w:lang w:eastAsia="zh-CN"/>
              </w:rPr>
            </w:pPr>
            <w:r w:rsidRPr="000A0A5F">
              <w:rPr>
                <w:rFonts w:cs="Arial"/>
                <w:szCs w:val="18"/>
                <w:lang w:eastAsia="zh-CN"/>
              </w:rPr>
              <w:t>Identifies the Ethernet flows which require QoS. Each Ethernet flow consists of a flow identifier and the corresponding UL and/or DL flows.</w:t>
            </w:r>
          </w:p>
          <w:p w:rsidR="00FA36FD" w:rsidRPr="000A0A5F" w:rsidRDefault="00FA36FD" w:rsidP="00FA36FD">
            <w:pPr>
              <w:pStyle w:val="TAL"/>
              <w:rPr>
                <w:rFonts w:cs="Arial" w:hint="eastAsia"/>
                <w:szCs w:val="18"/>
                <w:lang w:eastAsia="zh-CN"/>
              </w:rPr>
            </w:pPr>
            <w:r w:rsidRPr="000A0A5F">
              <w:rPr>
                <w:rFonts w:cs="Arial"/>
                <w:szCs w:val="18"/>
              </w:rPr>
              <w:t>(NOTE 2) (NOTE 6)</w:t>
            </w:r>
            <w:r w:rsidR="00A73C4E" w:rsidRPr="000A0A5F">
              <w:rPr>
                <w:rFonts w:cs="Arial"/>
                <w:szCs w:val="18"/>
                <w:lang w:eastAsia="zh-CN"/>
              </w:rPr>
              <w:t xml:space="preserve"> (NOTE 11)</w:t>
            </w:r>
          </w:p>
        </w:tc>
        <w:tc>
          <w:tcPr>
            <w:tcW w:w="1235" w:type="dxa"/>
          </w:tcPr>
          <w:p w:rsidR="00A73C4E" w:rsidRPr="000A0A5F" w:rsidRDefault="00A73C4E" w:rsidP="00A73C4E">
            <w:pPr>
              <w:pStyle w:val="TAC"/>
              <w:jc w:val="left"/>
            </w:pPr>
            <w:r w:rsidRPr="000A0A5F">
              <w:t>EnEthAsSessionQoS_5G</w:t>
            </w:r>
          </w:p>
          <w:p w:rsidR="00FA36FD" w:rsidRPr="000A0A5F" w:rsidRDefault="00A73C4E" w:rsidP="00A73C4E">
            <w:pPr>
              <w:pStyle w:val="TAC"/>
              <w:jc w:val="left"/>
            </w:pPr>
            <w:r w:rsidRPr="000A0A5F">
              <w:rPr>
                <w:rFonts w:eastAsia="Times New Roman"/>
              </w:rPr>
              <w:t>GMEC_5G</w:t>
            </w:r>
          </w:p>
        </w:tc>
      </w:tr>
      <w:tr w:rsidR="00FA36FD" w:rsidRPr="000A0A5F" w:rsidTr="00FF0AF8">
        <w:trPr>
          <w:jc w:val="center"/>
        </w:trPr>
        <w:tc>
          <w:tcPr>
            <w:tcW w:w="1661" w:type="dxa"/>
            <w:shd w:val="clear" w:color="auto" w:fill="auto"/>
          </w:tcPr>
          <w:p w:rsidR="00FA36FD" w:rsidRPr="000A0A5F" w:rsidRDefault="00FA36FD" w:rsidP="00FA36FD">
            <w:pPr>
              <w:pStyle w:val="TAL"/>
              <w:rPr>
                <w:rFonts w:hint="eastAsia"/>
                <w:lang w:eastAsia="zh-CN"/>
              </w:rPr>
            </w:pPr>
            <w:r w:rsidRPr="000A0A5F">
              <w:rPr>
                <w:rFonts w:hint="eastAsia"/>
                <w:lang w:eastAsia="zh-CN"/>
              </w:rPr>
              <w:t>qosReference</w:t>
            </w:r>
          </w:p>
        </w:tc>
        <w:tc>
          <w:tcPr>
            <w:tcW w:w="1842" w:type="dxa"/>
            <w:shd w:val="clear" w:color="auto" w:fill="auto"/>
          </w:tcPr>
          <w:p w:rsidR="00FA36FD" w:rsidRPr="000A0A5F" w:rsidRDefault="00FA36FD" w:rsidP="00FA36FD">
            <w:pPr>
              <w:pStyle w:val="TAL"/>
              <w:rPr>
                <w:rFonts w:hint="eastAsia"/>
                <w:lang w:eastAsia="zh-CN"/>
              </w:rPr>
            </w:pPr>
            <w:r w:rsidRPr="000A0A5F">
              <w:rPr>
                <w:rFonts w:hint="eastAsia"/>
                <w:lang w:eastAsia="zh-CN"/>
              </w:rPr>
              <w:t>string</w:t>
            </w:r>
          </w:p>
        </w:tc>
        <w:tc>
          <w:tcPr>
            <w:tcW w:w="1134" w:type="dxa"/>
          </w:tcPr>
          <w:p w:rsidR="00FA36FD" w:rsidRPr="000A0A5F" w:rsidRDefault="00FA36FD" w:rsidP="00FA36FD">
            <w:pPr>
              <w:pStyle w:val="TAC"/>
              <w:jc w:val="left"/>
              <w:rPr>
                <w:rFonts w:hint="eastAsia"/>
                <w:lang w:eastAsia="zh-CN"/>
              </w:rPr>
            </w:pPr>
            <w:r w:rsidRPr="000A0A5F">
              <w:rPr>
                <w:rFonts w:hint="eastAsia"/>
                <w:lang w:eastAsia="zh-CN"/>
              </w:rPr>
              <w:t>0..1</w:t>
            </w:r>
          </w:p>
        </w:tc>
        <w:tc>
          <w:tcPr>
            <w:tcW w:w="3687" w:type="dxa"/>
          </w:tcPr>
          <w:p w:rsidR="00FA36FD" w:rsidRPr="000A0A5F" w:rsidRDefault="00C520FB" w:rsidP="00FA36FD">
            <w:pPr>
              <w:pStyle w:val="TAL"/>
              <w:rPr>
                <w:rFonts w:cs="Arial" w:hint="eastAsia"/>
                <w:szCs w:val="18"/>
                <w:lang w:eastAsia="zh-CN"/>
              </w:rPr>
            </w:pPr>
            <w:r w:rsidRPr="000A0A5F">
              <w:rPr>
                <w:rFonts w:cs="Arial" w:hint="eastAsia"/>
                <w:szCs w:val="18"/>
                <w:lang w:eastAsia="zh-CN"/>
              </w:rPr>
              <w:t>Identifies a pre-defined QoS information</w:t>
            </w:r>
            <w:r w:rsidRPr="000A0A5F">
              <w:rPr>
                <w:rFonts w:cs="Arial"/>
                <w:szCs w:val="18"/>
                <w:lang w:eastAsia="zh-CN"/>
              </w:rPr>
              <w:t>.</w:t>
            </w:r>
            <w:r w:rsidRPr="000A0A5F">
              <w:rPr>
                <w:lang w:eastAsia="zh-CN"/>
              </w:rPr>
              <w:t xml:space="preserve"> </w:t>
            </w:r>
            <w:r w:rsidRPr="000A0A5F">
              <w:t>(NOTE 4)</w:t>
            </w:r>
            <w:r w:rsidRPr="000A0A5F">
              <w:rPr>
                <w:lang w:eastAsia="zh-CN"/>
              </w:rPr>
              <w:t xml:space="preserve"> (NOTE 5)</w:t>
            </w:r>
          </w:p>
        </w:tc>
        <w:tc>
          <w:tcPr>
            <w:tcW w:w="1235" w:type="dxa"/>
          </w:tcPr>
          <w:p w:rsidR="00FA36FD" w:rsidRPr="000A0A5F" w:rsidRDefault="00FA36FD" w:rsidP="00FA36FD">
            <w:pPr>
              <w:pStyle w:val="TAC"/>
              <w:jc w:val="left"/>
              <w:rPr>
                <w:rFonts w:eastAsia="Times New Roman"/>
              </w:rPr>
            </w:pPr>
          </w:p>
        </w:tc>
      </w:tr>
      <w:tr w:rsidR="00FA36FD" w:rsidRPr="000A0A5F" w:rsidTr="00FF0AF8">
        <w:trPr>
          <w:jc w:val="center"/>
        </w:trPr>
        <w:tc>
          <w:tcPr>
            <w:tcW w:w="1661" w:type="dxa"/>
            <w:shd w:val="clear" w:color="auto" w:fill="auto"/>
          </w:tcPr>
          <w:p w:rsidR="00FA36FD" w:rsidRPr="000A0A5F" w:rsidRDefault="00FA36FD" w:rsidP="00FA36FD">
            <w:pPr>
              <w:pStyle w:val="TAL"/>
              <w:rPr>
                <w:rFonts w:hint="eastAsia"/>
                <w:lang w:eastAsia="zh-CN"/>
              </w:rPr>
            </w:pPr>
            <w:r w:rsidRPr="000A0A5F">
              <w:rPr>
                <w:lang w:eastAsia="zh-CN"/>
              </w:rPr>
              <w:t>altQoSReferences</w:t>
            </w:r>
          </w:p>
        </w:tc>
        <w:tc>
          <w:tcPr>
            <w:tcW w:w="1842" w:type="dxa"/>
            <w:shd w:val="clear" w:color="auto" w:fill="auto"/>
          </w:tcPr>
          <w:p w:rsidR="00FA36FD" w:rsidRPr="000A0A5F" w:rsidRDefault="00FA36FD" w:rsidP="00FA36FD">
            <w:pPr>
              <w:pStyle w:val="TAL"/>
              <w:rPr>
                <w:rFonts w:hint="eastAsia"/>
                <w:lang w:eastAsia="zh-CN"/>
              </w:rPr>
            </w:pPr>
            <w:r w:rsidRPr="000A0A5F">
              <w:rPr>
                <w:lang w:eastAsia="zh-CN"/>
              </w:rPr>
              <w:t>array(string)</w:t>
            </w:r>
          </w:p>
        </w:tc>
        <w:tc>
          <w:tcPr>
            <w:tcW w:w="1134" w:type="dxa"/>
          </w:tcPr>
          <w:p w:rsidR="00FA36FD" w:rsidRPr="000A0A5F" w:rsidRDefault="00FA36FD" w:rsidP="00FA36FD">
            <w:pPr>
              <w:pStyle w:val="TAC"/>
              <w:jc w:val="left"/>
              <w:rPr>
                <w:rFonts w:hint="eastAsia"/>
                <w:lang w:eastAsia="zh-CN"/>
              </w:rPr>
            </w:pPr>
            <w:r w:rsidRPr="000A0A5F">
              <w:rPr>
                <w:lang w:eastAsia="zh-CN"/>
              </w:rPr>
              <w:t>0..N</w:t>
            </w:r>
          </w:p>
        </w:tc>
        <w:tc>
          <w:tcPr>
            <w:tcW w:w="3687" w:type="dxa"/>
          </w:tcPr>
          <w:p w:rsidR="00FA36FD" w:rsidRPr="000A0A5F" w:rsidRDefault="00FA36FD" w:rsidP="00FA36FD">
            <w:pPr>
              <w:pStyle w:val="TAL"/>
              <w:rPr>
                <w:rFonts w:cs="Arial" w:hint="eastAsia"/>
                <w:szCs w:val="18"/>
                <w:lang w:eastAsia="zh-CN"/>
              </w:rPr>
            </w:pPr>
            <w:r w:rsidRPr="000A0A5F">
              <w:rPr>
                <w:rFonts w:cs="Arial"/>
                <w:szCs w:val="18"/>
                <w:lang w:eastAsia="zh-CN"/>
              </w:rPr>
              <w:t xml:space="preserve">Identifies an ordered list of pre-defined QoS information. </w:t>
            </w:r>
            <w:r w:rsidRPr="000A0A5F">
              <w:t>The lower the index of the array for a given entry, the higher the priority. (NOTE 4)</w:t>
            </w:r>
          </w:p>
        </w:tc>
        <w:tc>
          <w:tcPr>
            <w:tcW w:w="1235" w:type="dxa"/>
          </w:tcPr>
          <w:p w:rsidR="00FA36FD" w:rsidRPr="000A0A5F" w:rsidRDefault="00FA36FD" w:rsidP="00FA36FD">
            <w:pPr>
              <w:pStyle w:val="TAC"/>
              <w:jc w:val="left"/>
              <w:rPr>
                <w:rFonts w:eastAsia="Times New Roman"/>
              </w:rPr>
            </w:pPr>
            <w:r w:rsidRPr="000A0A5F">
              <w:rPr>
                <w:rFonts w:eastAsia="Times New Roman"/>
              </w:rPr>
              <w:t>AlternativeQoS_5G</w:t>
            </w:r>
          </w:p>
        </w:tc>
      </w:tr>
      <w:tr w:rsidR="00FA36FD" w:rsidRPr="000A0A5F" w:rsidTr="00FF0AF8">
        <w:trPr>
          <w:jc w:val="center"/>
        </w:trPr>
        <w:tc>
          <w:tcPr>
            <w:tcW w:w="1661" w:type="dxa"/>
            <w:shd w:val="clear" w:color="auto" w:fill="auto"/>
          </w:tcPr>
          <w:p w:rsidR="00FA36FD" w:rsidRPr="000A0A5F" w:rsidRDefault="00FA36FD" w:rsidP="00FA36FD">
            <w:pPr>
              <w:pStyle w:val="TAL"/>
              <w:rPr>
                <w:lang w:eastAsia="zh-CN"/>
              </w:rPr>
            </w:pPr>
            <w:r w:rsidRPr="000A0A5F">
              <w:rPr>
                <w:lang w:eastAsia="zh-CN"/>
              </w:rPr>
              <w:t>altQosReqs</w:t>
            </w:r>
          </w:p>
        </w:tc>
        <w:tc>
          <w:tcPr>
            <w:tcW w:w="1842" w:type="dxa"/>
            <w:shd w:val="clear" w:color="auto" w:fill="auto"/>
          </w:tcPr>
          <w:p w:rsidR="00FA36FD" w:rsidRPr="000A0A5F" w:rsidRDefault="00FA36FD" w:rsidP="00FA36FD">
            <w:pPr>
              <w:pStyle w:val="TAL"/>
              <w:rPr>
                <w:lang w:eastAsia="zh-CN"/>
              </w:rPr>
            </w:pPr>
            <w:r w:rsidRPr="000A0A5F">
              <w:t>array(AlternativeServiceRequirementsData)</w:t>
            </w:r>
          </w:p>
        </w:tc>
        <w:tc>
          <w:tcPr>
            <w:tcW w:w="1134" w:type="dxa"/>
          </w:tcPr>
          <w:p w:rsidR="00FA36FD" w:rsidRPr="000A0A5F" w:rsidRDefault="00FA36FD" w:rsidP="00FA36FD">
            <w:pPr>
              <w:pStyle w:val="TAC"/>
              <w:jc w:val="left"/>
              <w:rPr>
                <w:lang w:eastAsia="zh-CN"/>
              </w:rPr>
            </w:pPr>
            <w:r w:rsidRPr="000A0A5F">
              <w:rPr>
                <w:lang w:eastAsia="zh-CN"/>
              </w:rPr>
              <w:t>0..N</w:t>
            </w:r>
          </w:p>
        </w:tc>
        <w:tc>
          <w:tcPr>
            <w:tcW w:w="3687" w:type="dxa"/>
          </w:tcPr>
          <w:p w:rsidR="00FA36FD" w:rsidRPr="000A0A5F" w:rsidRDefault="00FA36FD" w:rsidP="00FA36FD">
            <w:pPr>
              <w:pStyle w:val="TAL"/>
              <w:rPr>
                <w:rFonts w:cs="Arial"/>
                <w:szCs w:val="18"/>
                <w:lang w:eastAsia="zh-CN"/>
              </w:rPr>
            </w:pPr>
            <w:r w:rsidRPr="000A0A5F">
              <w:rPr>
                <w:rFonts w:cs="Arial"/>
                <w:szCs w:val="18"/>
                <w:lang w:eastAsia="zh-CN"/>
              </w:rPr>
              <w:t xml:space="preserve">Identifies an ordered list of </w:t>
            </w:r>
            <w:r w:rsidRPr="000A0A5F">
              <w:rPr>
                <w:rFonts w:eastAsia="Times New Roman"/>
                <w:lang w:val="en-US"/>
              </w:rPr>
              <w:t>alternative service requirements that include individual QoS parameter sets</w:t>
            </w:r>
            <w:r w:rsidRPr="000A0A5F">
              <w:rPr>
                <w:rFonts w:cs="Arial"/>
                <w:szCs w:val="18"/>
                <w:lang w:eastAsia="zh-CN"/>
              </w:rPr>
              <w:t xml:space="preserve">. </w:t>
            </w:r>
            <w:r w:rsidRPr="000A0A5F">
              <w:t>The lower the index of the array for a given entry, the higher the priority. (NOTE 4)</w:t>
            </w:r>
          </w:p>
        </w:tc>
        <w:tc>
          <w:tcPr>
            <w:tcW w:w="1235" w:type="dxa"/>
          </w:tcPr>
          <w:p w:rsidR="00FA36FD" w:rsidRPr="000A0A5F" w:rsidRDefault="00FA36FD" w:rsidP="00FA36FD">
            <w:pPr>
              <w:pStyle w:val="TAC"/>
              <w:jc w:val="left"/>
              <w:rPr>
                <w:rFonts w:eastAsia="Times New Roman"/>
              </w:rPr>
            </w:pPr>
            <w:bookmarkStart w:id="9113" w:name="_Hlk96468377"/>
            <w:r w:rsidRPr="000A0A5F">
              <w:rPr>
                <w:rFonts w:cs="Arial"/>
              </w:rPr>
              <w:t>AltQosWithIndParams_5G</w:t>
            </w:r>
            <w:bookmarkEnd w:id="9113"/>
          </w:p>
        </w:tc>
      </w:tr>
      <w:tr w:rsidR="00FA36FD" w:rsidRPr="000A0A5F" w:rsidTr="00FF0AF8">
        <w:trPr>
          <w:jc w:val="center"/>
        </w:trPr>
        <w:tc>
          <w:tcPr>
            <w:tcW w:w="1661" w:type="dxa"/>
            <w:shd w:val="clear" w:color="auto" w:fill="auto"/>
          </w:tcPr>
          <w:p w:rsidR="00FA36FD" w:rsidRPr="000A0A5F" w:rsidRDefault="00FA36FD" w:rsidP="00FA36FD">
            <w:pPr>
              <w:pStyle w:val="TAL"/>
              <w:spacing w:after="60"/>
              <w:rPr>
                <w:rFonts w:hint="eastAsia"/>
                <w:lang w:eastAsia="zh-CN"/>
              </w:rPr>
            </w:pPr>
            <w:r w:rsidRPr="000A0A5F">
              <w:rPr>
                <w:rFonts w:hint="eastAsia"/>
                <w:lang w:eastAsia="zh-CN"/>
              </w:rPr>
              <w:t>d</w:t>
            </w:r>
            <w:r w:rsidRPr="000A0A5F">
              <w:rPr>
                <w:lang w:eastAsia="zh-CN"/>
              </w:rPr>
              <w:t>isUeNotif</w:t>
            </w:r>
          </w:p>
        </w:tc>
        <w:tc>
          <w:tcPr>
            <w:tcW w:w="1842" w:type="dxa"/>
            <w:shd w:val="clear" w:color="auto" w:fill="auto"/>
          </w:tcPr>
          <w:p w:rsidR="00FA36FD" w:rsidRPr="000A0A5F" w:rsidRDefault="00FA36FD" w:rsidP="00FA36FD">
            <w:pPr>
              <w:pStyle w:val="TAL"/>
              <w:rPr>
                <w:lang w:eastAsia="zh-CN"/>
              </w:rPr>
            </w:pPr>
            <w:r w:rsidRPr="000A0A5F">
              <w:rPr>
                <w:rFonts w:hint="eastAsia"/>
                <w:lang w:eastAsia="zh-CN"/>
              </w:rPr>
              <w:t>b</w:t>
            </w:r>
            <w:r w:rsidRPr="000A0A5F">
              <w:rPr>
                <w:lang w:eastAsia="zh-CN"/>
              </w:rPr>
              <w:t>oolean</w:t>
            </w:r>
          </w:p>
        </w:tc>
        <w:tc>
          <w:tcPr>
            <w:tcW w:w="1134" w:type="dxa"/>
          </w:tcPr>
          <w:p w:rsidR="00FA36FD" w:rsidRPr="000A0A5F" w:rsidRDefault="00FA36FD" w:rsidP="00FA36FD">
            <w:pPr>
              <w:pStyle w:val="TAC"/>
              <w:jc w:val="left"/>
              <w:rPr>
                <w:rFonts w:eastAsia="Times New Roman"/>
              </w:rPr>
            </w:pPr>
            <w:r w:rsidRPr="000A0A5F">
              <w:rPr>
                <w:rFonts w:hint="eastAsia"/>
                <w:lang w:eastAsia="zh-CN"/>
              </w:rPr>
              <w:t>0</w:t>
            </w:r>
            <w:r w:rsidRPr="000A0A5F">
              <w:rPr>
                <w:lang w:eastAsia="zh-CN"/>
              </w:rPr>
              <w:t>..1</w:t>
            </w:r>
          </w:p>
        </w:tc>
        <w:tc>
          <w:tcPr>
            <w:tcW w:w="3687" w:type="dxa"/>
          </w:tcPr>
          <w:p w:rsidR="00FA36FD" w:rsidRPr="000A0A5F" w:rsidRDefault="00FA36FD" w:rsidP="00FA36FD">
            <w:pPr>
              <w:pStyle w:val="TAL"/>
              <w:spacing w:after="60"/>
              <w:rPr>
                <w:szCs w:val="18"/>
              </w:rPr>
            </w:pPr>
            <w:r w:rsidRPr="000A0A5F">
              <w:rPr>
                <w:szCs w:val="18"/>
              </w:rPr>
              <w:t>Indicates whether to disable QoS flow parameters signalling to the UE when the SMF is notified by the NG-RAN of changes in the fulfilled QoS situation</w:t>
            </w:r>
            <w:r w:rsidRPr="000A0A5F">
              <w:t xml:space="preserve">. </w:t>
            </w:r>
            <w:r w:rsidRPr="000A0A5F">
              <w:rPr>
                <w:szCs w:val="18"/>
              </w:rPr>
              <w:t>The fulfilled situation is either the QoS profile or an Alternative QoS Profile.</w:t>
            </w:r>
            <w:r w:rsidRPr="000A0A5F">
              <w:rPr>
                <w:rFonts w:cs="Arial"/>
                <w:szCs w:val="18"/>
              </w:rPr>
              <w:t xml:space="preserve"> </w:t>
            </w:r>
          </w:p>
          <w:p w:rsidR="00FA36FD" w:rsidRPr="000A0A5F" w:rsidRDefault="00FA36FD" w:rsidP="00FA36FD">
            <w:pPr>
              <w:pStyle w:val="TAL"/>
              <w:rPr>
                <w:lang w:eastAsia="zh-CN"/>
              </w:rPr>
            </w:pPr>
          </w:p>
          <w:p w:rsidR="00FA36FD" w:rsidRPr="000A0A5F" w:rsidRDefault="00FA36FD" w:rsidP="00FA36FD">
            <w:pPr>
              <w:pStyle w:val="TAL"/>
            </w:pPr>
            <w:r w:rsidRPr="000A0A5F">
              <w:rPr>
                <w:lang w:eastAsia="zh-CN"/>
              </w:rPr>
              <w:t xml:space="preserve">- true: the </w:t>
            </w:r>
            <w:r w:rsidRPr="000A0A5F">
              <w:t>QoS flow parameters signalling to the UE is disabled;</w:t>
            </w:r>
          </w:p>
          <w:p w:rsidR="00FA36FD" w:rsidRPr="000A0A5F" w:rsidRDefault="00FA36FD" w:rsidP="00FA36FD">
            <w:pPr>
              <w:pStyle w:val="TAL"/>
              <w:spacing w:after="60"/>
              <w:rPr>
                <w:rFonts w:eastAsia="Times New Roman" w:cs="Arial"/>
                <w:szCs w:val="18"/>
              </w:rPr>
            </w:pPr>
            <w:r w:rsidRPr="000A0A5F">
              <w:rPr>
                <w:lang w:eastAsia="zh-CN"/>
              </w:rPr>
              <w:t xml:space="preserve">- false </w:t>
            </w:r>
            <w:bookmarkStart w:id="9114" w:name="_Hlk112102748"/>
            <w:r w:rsidRPr="000A0A5F">
              <w:rPr>
                <w:lang w:eastAsia="zh-CN"/>
              </w:rPr>
              <w:t>(default)</w:t>
            </w:r>
            <w:bookmarkEnd w:id="9114"/>
            <w:r w:rsidRPr="000A0A5F">
              <w:rPr>
                <w:lang w:eastAsia="zh-CN"/>
              </w:rPr>
              <w:t xml:space="preserve">: the </w:t>
            </w:r>
            <w:r w:rsidRPr="000A0A5F">
              <w:t>QoS flow parameters signalling to the UE is not disabled.</w:t>
            </w:r>
          </w:p>
        </w:tc>
        <w:tc>
          <w:tcPr>
            <w:tcW w:w="1235" w:type="dxa"/>
          </w:tcPr>
          <w:p w:rsidR="00FA36FD" w:rsidRPr="000A0A5F" w:rsidRDefault="00FA36FD" w:rsidP="00FA36FD">
            <w:pPr>
              <w:pStyle w:val="TAC"/>
              <w:jc w:val="left"/>
              <w:rPr>
                <w:rFonts w:eastAsia="Times New Roman"/>
              </w:rPr>
            </w:pPr>
            <w:r w:rsidRPr="000A0A5F">
              <w:rPr>
                <w:rFonts w:hint="eastAsia"/>
                <w:lang w:eastAsia="zh-CN"/>
              </w:rPr>
              <w:t>D</w:t>
            </w:r>
            <w:r w:rsidRPr="000A0A5F">
              <w:rPr>
                <w:lang w:eastAsia="zh-CN"/>
              </w:rPr>
              <w:t>isableUENotification_5G</w:t>
            </w:r>
          </w:p>
        </w:tc>
      </w:tr>
      <w:tr w:rsidR="00FA36FD" w:rsidRPr="000A0A5F" w:rsidTr="00FF0AF8">
        <w:trPr>
          <w:jc w:val="center"/>
        </w:trPr>
        <w:tc>
          <w:tcPr>
            <w:tcW w:w="1661" w:type="dxa"/>
            <w:shd w:val="clear" w:color="auto" w:fill="auto"/>
          </w:tcPr>
          <w:p w:rsidR="00FA36FD" w:rsidRPr="000A0A5F" w:rsidRDefault="00FA36FD" w:rsidP="00FA36FD">
            <w:pPr>
              <w:pStyle w:val="TAL"/>
              <w:spacing w:after="60"/>
              <w:rPr>
                <w:rFonts w:hint="eastAsia"/>
                <w:lang w:eastAsia="zh-CN"/>
              </w:rPr>
            </w:pPr>
            <w:r w:rsidRPr="000A0A5F">
              <w:rPr>
                <w:rFonts w:hint="eastAsia"/>
                <w:lang w:eastAsia="zh-CN"/>
              </w:rPr>
              <w:t>ueIp</w:t>
            </w:r>
            <w:r w:rsidRPr="000A0A5F">
              <w:rPr>
                <w:lang w:eastAsia="zh-CN"/>
              </w:rPr>
              <w:t>v4</w:t>
            </w:r>
            <w:r w:rsidRPr="000A0A5F">
              <w:rPr>
                <w:rFonts w:hint="eastAsia"/>
                <w:lang w:eastAsia="zh-CN"/>
              </w:rPr>
              <w:t>Add</w:t>
            </w:r>
            <w:r w:rsidRPr="000A0A5F">
              <w:rPr>
                <w:lang w:eastAsia="zh-CN"/>
              </w:rPr>
              <w:t>r</w:t>
            </w:r>
          </w:p>
        </w:tc>
        <w:tc>
          <w:tcPr>
            <w:tcW w:w="1842" w:type="dxa"/>
            <w:shd w:val="clear" w:color="auto" w:fill="auto"/>
          </w:tcPr>
          <w:p w:rsidR="00FA36FD" w:rsidRPr="000A0A5F" w:rsidRDefault="00FA36FD" w:rsidP="00FA36FD">
            <w:pPr>
              <w:pStyle w:val="TAL"/>
              <w:rPr>
                <w:rFonts w:hint="eastAsia"/>
                <w:lang w:eastAsia="zh-CN"/>
              </w:rPr>
            </w:pPr>
            <w:r w:rsidRPr="000A0A5F">
              <w:rPr>
                <w:lang w:eastAsia="zh-CN"/>
              </w:rPr>
              <w:t>Ipv4Addr</w:t>
            </w:r>
          </w:p>
        </w:tc>
        <w:tc>
          <w:tcPr>
            <w:tcW w:w="1134" w:type="dxa"/>
          </w:tcPr>
          <w:p w:rsidR="00FA36FD" w:rsidRPr="000A0A5F" w:rsidRDefault="00FA36FD" w:rsidP="00FA36FD">
            <w:pPr>
              <w:pStyle w:val="TAC"/>
              <w:jc w:val="left"/>
              <w:rPr>
                <w:rFonts w:eastAsia="Times New Roman"/>
              </w:rPr>
            </w:pPr>
            <w:r w:rsidRPr="000A0A5F">
              <w:rPr>
                <w:rFonts w:eastAsia="Times New Roman"/>
              </w:rPr>
              <w:t>0..1</w:t>
            </w:r>
          </w:p>
        </w:tc>
        <w:tc>
          <w:tcPr>
            <w:tcW w:w="3687" w:type="dxa"/>
          </w:tcPr>
          <w:p w:rsidR="00FA36FD" w:rsidRPr="000A0A5F" w:rsidRDefault="00FA36FD" w:rsidP="00FA36FD">
            <w:pPr>
              <w:pStyle w:val="TAL"/>
              <w:spacing w:after="60"/>
              <w:rPr>
                <w:lang w:eastAsia="zh-CN"/>
              </w:rPr>
            </w:pPr>
            <w:r w:rsidRPr="000A0A5F">
              <w:rPr>
                <w:rFonts w:eastAsia="Times New Roman" w:cs="Arial"/>
                <w:szCs w:val="18"/>
              </w:rPr>
              <w:t>The Ipv4 address of the UE.</w:t>
            </w:r>
          </w:p>
          <w:p w:rsidR="00FA36FD" w:rsidRPr="000A0A5F" w:rsidRDefault="00FA36FD" w:rsidP="00FA36FD">
            <w:pPr>
              <w:pStyle w:val="TAL"/>
              <w:rPr>
                <w:rFonts w:eastAsia="Times New Roman" w:cs="Arial"/>
                <w:szCs w:val="18"/>
              </w:rPr>
            </w:pPr>
            <w:r w:rsidRPr="000A0A5F">
              <w:rPr>
                <w:lang w:eastAsia="zh-CN"/>
              </w:rPr>
              <w:t>(NOTE 2)</w:t>
            </w:r>
          </w:p>
        </w:tc>
        <w:tc>
          <w:tcPr>
            <w:tcW w:w="1235" w:type="dxa"/>
          </w:tcPr>
          <w:p w:rsidR="00FA36FD" w:rsidRPr="000A0A5F" w:rsidRDefault="00FA36FD" w:rsidP="00FA36FD">
            <w:pPr>
              <w:pStyle w:val="TAC"/>
              <w:jc w:val="left"/>
              <w:rPr>
                <w:rFonts w:eastAsia="Times New Roman"/>
              </w:rPr>
            </w:pPr>
          </w:p>
        </w:tc>
      </w:tr>
      <w:tr w:rsidR="00FA36FD" w:rsidRPr="000A0A5F" w:rsidTr="00FF0AF8">
        <w:trPr>
          <w:jc w:val="center"/>
        </w:trPr>
        <w:tc>
          <w:tcPr>
            <w:tcW w:w="1661" w:type="dxa"/>
            <w:shd w:val="clear" w:color="auto" w:fill="auto"/>
          </w:tcPr>
          <w:p w:rsidR="00FA36FD" w:rsidRPr="000A0A5F" w:rsidRDefault="00FA36FD" w:rsidP="00FA36FD">
            <w:pPr>
              <w:pStyle w:val="TAL"/>
              <w:spacing w:after="60"/>
              <w:rPr>
                <w:rFonts w:hint="eastAsia"/>
                <w:lang w:eastAsia="zh-CN"/>
              </w:rPr>
            </w:pPr>
            <w:r w:rsidRPr="000A0A5F">
              <w:t>ipDomain</w:t>
            </w:r>
          </w:p>
        </w:tc>
        <w:tc>
          <w:tcPr>
            <w:tcW w:w="1842" w:type="dxa"/>
            <w:shd w:val="clear" w:color="auto" w:fill="auto"/>
          </w:tcPr>
          <w:p w:rsidR="00FA36FD" w:rsidRPr="000A0A5F" w:rsidRDefault="00FA36FD" w:rsidP="00FA36FD">
            <w:pPr>
              <w:pStyle w:val="TAL"/>
              <w:rPr>
                <w:lang w:eastAsia="zh-CN"/>
              </w:rPr>
            </w:pPr>
            <w:r w:rsidRPr="000A0A5F">
              <w:rPr>
                <w:color w:val="000000"/>
              </w:rPr>
              <w:t>s</w:t>
            </w:r>
            <w:r w:rsidRPr="000A0A5F">
              <w:rPr>
                <w:rFonts w:hint="eastAsia"/>
                <w:color w:val="000000"/>
              </w:rPr>
              <w:t>tring</w:t>
            </w:r>
          </w:p>
        </w:tc>
        <w:tc>
          <w:tcPr>
            <w:tcW w:w="1134" w:type="dxa"/>
          </w:tcPr>
          <w:p w:rsidR="00FA36FD" w:rsidRPr="000A0A5F" w:rsidRDefault="00FA36FD" w:rsidP="00FA36FD">
            <w:pPr>
              <w:pStyle w:val="TAC"/>
              <w:jc w:val="left"/>
              <w:rPr>
                <w:rFonts w:eastAsia="Times New Roman"/>
              </w:rPr>
            </w:pPr>
            <w:r w:rsidRPr="000A0A5F">
              <w:rPr>
                <w:rFonts w:eastAsia="Times New Roman"/>
              </w:rPr>
              <w:t>0..1</w:t>
            </w:r>
          </w:p>
        </w:tc>
        <w:tc>
          <w:tcPr>
            <w:tcW w:w="3687" w:type="dxa"/>
          </w:tcPr>
          <w:p w:rsidR="00FA36FD" w:rsidRPr="000A0A5F" w:rsidRDefault="00FA36FD" w:rsidP="00FA36FD">
            <w:pPr>
              <w:pStyle w:val="TAL"/>
              <w:spacing w:after="60"/>
              <w:rPr>
                <w:noProof/>
              </w:rPr>
            </w:pPr>
            <w:r w:rsidRPr="000A0A5F">
              <w:rPr>
                <w:noProof/>
              </w:rPr>
              <w:t>The IPv4 address domain identifier.</w:t>
            </w:r>
          </w:p>
          <w:p w:rsidR="00FA36FD" w:rsidRPr="000A0A5F" w:rsidRDefault="00FA36FD" w:rsidP="00FA36FD">
            <w:pPr>
              <w:pStyle w:val="TAL"/>
              <w:spacing w:after="60"/>
              <w:rPr>
                <w:rFonts w:eastAsia="Times New Roman" w:cs="Arial"/>
                <w:szCs w:val="18"/>
              </w:rPr>
            </w:pPr>
            <w:r w:rsidRPr="000A0A5F">
              <w:rPr>
                <w:noProof/>
              </w:rPr>
              <w:t xml:space="preserve">The attribute </w:t>
            </w:r>
            <w:r w:rsidRPr="000A0A5F">
              <w:t xml:space="preserve">may only be provided if the </w:t>
            </w:r>
            <w:r w:rsidRPr="000A0A5F">
              <w:rPr>
                <w:rFonts w:hint="eastAsia"/>
                <w:lang w:eastAsia="zh-CN"/>
              </w:rPr>
              <w:t>ueIp</w:t>
            </w:r>
            <w:r w:rsidRPr="000A0A5F">
              <w:rPr>
                <w:lang w:eastAsia="zh-CN"/>
              </w:rPr>
              <w:t>v4</w:t>
            </w:r>
            <w:r w:rsidRPr="000A0A5F">
              <w:rPr>
                <w:rFonts w:hint="eastAsia"/>
                <w:lang w:eastAsia="zh-CN"/>
              </w:rPr>
              <w:t>Add</w:t>
            </w:r>
            <w:r w:rsidRPr="000A0A5F">
              <w:rPr>
                <w:lang w:eastAsia="zh-CN"/>
              </w:rPr>
              <w:t>r</w:t>
            </w:r>
            <w:r w:rsidRPr="000A0A5F">
              <w:t xml:space="preserve"> attribute is present.</w:t>
            </w:r>
          </w:p>
        </w:tc>
        <w:tc>
          <w:tcPr>
            <w:tcW w:w="1235" w:type="dxa"/>
          </w:tcPr>
          <w:p w:rsidR="00FA36FD" w:rsidRPr="000A0A5F" w:rsidRDefault="00FA36FD" w:rsidP="00FA36FD">
            <w:pPr>
              <w:pStyle w:val="TAC"/>
              <w:jc w:val="left"/>
              <w:rPr>
                <w:rFonts w:eastAsia="Times New Roman"/>
              </w:rPr>
            </w:pPr>
          </w:p>
        </w:tc>
      </w:tr>
      <w:tr w:rsidR="00FA36FD" w:rsidRPr="000A0A5F" w:rsidTr="00FF0AF8">
        <w:trPr>
          <w:jc w:val="center"/>
        </w:trPr>
        <w:tc>
          <w:tcPr>
            <w:tcW w:w="1661" w:type="dxa"/>
            <w:shd w:val="clear" w:color="auto" w:fill="auto"/>
          </w:tcPr>
          <w:p w:rsidR="00FA36FD" w:rsidRPr="000A0A5F" w:rsidRDefault="00FA36FD" w:rsidP="00FA36FD">
            <w:pPr>
              <w:pStyle w:val="TAL"/>
              <w:rPr>
                <w:rFonts w:hint="eastAsia"/>
              </w:rPr>
            </w:pPr>
            <w:r w:rsidRPr="000A0A5F">
              <w:rPr>
                <w:rFonts w:hint="eastAsia"/>
              </w:rPr>
              <w:t>ueIpv6Addr</w:t>
            </w:r>
          </w:p>
        </w:tc>
        <w:tc>
          <w:tcPr>
            <w:tcW w:w="1842" w:type="dxa"/>
            <w:shd w:val="clear" w:color="auto" w:fill="auto"/>
          </w:tcPr>
          <w:p w:rsidR="00FA36FD" w:rsidRPr="000A0A5F" w:rsidRDefault="00FA36FD" w:rsidP="00FA36FD">
            <w:pPr>
              <w:pStyle w:val="TAL"/>
              <w:rPr>
                <w:rFonts w:hint="eastAsia"/>
              </w:rPr>
            </w:pPr>
            <w:r w:rsidRPr="000A0A5F">
              <w:rPr>
                <w:rFonts w:hint="eastAsia"/>
              </w:rPr>
              <w:t>Ipv6Addr</w:t>
            </w:r>
          </w:p>
        </w:tc>
        <w:tc>
          <w:tcPr>
            <w:tcW w:w="1134" w:type="dxa"/>
          </w:tcPr>
          <w:p w:rsidR="00FA36FD" w:rsidRPr="000A0A5F" w:rsidRDefault="00FA36FD" w:rsidP="00FA36FD">
            <w:pPr>
              <w:pStyle w:val="TAC"/>
              <w:jc w:val="left"/>
              <w:rPr>
                <w:rFonts w:hint="eastAsia"/>
              </w:rPr>
            </w:pPr>
            <w:r w:rsidRPr="000A0A5F">
              <w:rPr>
                <w:rFonts w:hint="eastAsia"/>
              </w:rPr>
              <w:t>0..1</w:t>
            </w:r>
          </w:p>
        </w:tc>
        <w:tc>
          <w:tcPr>
            <w:tcW w:w="3687" w:type="dxa"/>
          </w:tcPr>
          <w:p w:rsidR="00FA36FD" w:rsidRPr="000A0A5F" w:rsidRDefault="00FA36FD" w:rsidP="00FA36FD">
            <w:pPr>
              <w:pStyle w:val="TAL"/>
              <w:rPr>
                <w:rFonts w:eastAsia="Times New Roman" w:cs="Arial"/>
                <w:szCs w:val="18"/>
              </w:rPr>
            </w:pPr>
            <w:r w:rsidRPr="000A0A5F">
              <w:rPr>
                <w:rFonts w:eastAsia="Times New Roman" w:cs="Arial" w:hint="eastAsia"/>
                <w:szCs w:val="18"/>
              </w:rPr>
              <w:t>The I</w:t>
            </w:r>
            <w:r w:rsidRPr="000A0A5F">
              <w:rPr>
                <w:rFonts w:eastAsia="Times New Roman" w:cs="Arial"/>
                <w:szCs w:val="18"/>
              </w:rPr>
              <w:t>p</w:t>
            </w:r>
            <w:r w:rsidRPr="000A0A5F">
              <w:rPr>
                <w:rFonts w:eastAsia="Times New Roman" w:cs="Arial" w:hint="eastAsia"/>
                <w:szCs w:val="18"/>
              </w:rPr>
              <w:t>v6</w:t>
            </w:r>
            <w:r w:rsidRPr="000A0A5F">
              <w:rPr>
                <w:rFonts w:eastAsia="Times New Roman" w:cs="Arial"/>
                <w:szCs w:val="18"/>
              </w:rPr>
              <w:t xml:space="preserve"> address of the UE. </w:t>
            </w:r>
          </w:p>
          <w:p w:rsidR="00FA36FD" w:rsidRPr="000A0A5F" w:rsidRDefault="00FA36FD" w:rsidP="00FA36FD">
            <w:pPr>
              <w:pStyle w:val="TAL"/>
              <w:rPr>
                <w:rFonts w:eastAsia="Times New Roman" w:cs="Arial" w:hint="eastAsia"/>
                <w:szCs w:val="18"/>
              </w:rPr>
            </w:pPr>
            <w:r w:rsidRPr="000A0A5F">
              <w:rPr>
                <w:rFonts w:eastAsia="Times New Roman" w:cs="Arial"/>
                <w:szCs w:val="18"/>
              </w:rPr>
              <w:t>(NOTE 2)</w:t>
            </w:r>
          </w:p>
        </w:tc>
        <w:tc>
          <w:tcPr>
            <w:tcW w:w="1235" w:type="dxa"/>
          </w:tcPr>
          <w:p w:rsidR="00FA36FD" w:rsidRPr="000A0A5F" w:rsidRDefault="00FA36FD" w:rsidP="00FA36FD">
            <w:pPr>
              <w:pStyle w:val="TAC"/>
              <w:jc w:val="left"/>
              <w:rPr>
                <w:rFonts w:eastAsia="Times New Roman"/>
              </w:rPr>
            </w:pPr>
          </w:p>
        </w:tc>
      </w:tr>
      <w:tr w:rsidR="00FA36FD" w:rsidRPr="000A0A5F" w:rsidTr="00FF0AF8">
        <w:trPr>
          <w:jc w:val="center"/>
        </w:trPr>
        <w:tc>
          <w:tcPr>
            <w:tcW w:w="1661" w:type="dxa"/>
            <w:shd w:val="clear" w:color="auto" w:fill="auto"/>
          </w:tcPr>
          <w:p w:rsidR="00FA36FD" w:rsidRPr="000A0A5F" w:rsidRDefault="00FA36FD" w:rsidP="00FA36FD">
            <w:pPr>
              <w:pStyle w:val="TAL"/>
              <w:rPr>
                <w:rFonts w:hint="eastAsia"/>
              </w:rPr>
            </w:pPr>
            <w:r w:rsidRPr="000A0A5F">
              <w:rPr>
                <w:rFonts w:hint="eastAsia"/>
              </w:rPr>
              <w:t>macAddr</w:t>
            </w:r>
          </w:p>
        </w:tc>
        <w:tc>
          <w:tcPr>
            <w:tcW w:w="1842" w:type="dxa"/>
            <w:shd w:val="clear" w:color="auto" w:fill="auto"/>
          </w:tcPr>
          <w:p w:rsidR="00FA36FD" w:rsidRPr="000A0A5F" w:rsidRDefault="00FA36FD" w:rsidP="00FA36FD">
            <w:pPr>
              <w:pStyle w:val="TAL"/>
              <w:rPr>
                <w:rFonts w:hint="eastAsia"/>
              </w:rPr>
            </w:pPr>
            <w:r w:rsidRPr="000A0A5F">
              <w:rPr>
                <w:rFonts w:hint="eastAsia"/>
              </w:rPr>
              <w:t>M</w:t>
            </w:r>
            <w:r w:rsidRPr="000A0A5F">
              <w:t>acAddr48</w:t>
            </w:r>
          </w:p>
        </w:tc>
        <w:tc>
          <w:tcPr>
            <w:tcW w:w="1134" w:type="dxa"/>
          </w:tcPr>
          <w:p w:rsidR="00FA36FD" w:rsidRPr="000A0A5F" w:rsidRDefault="00FA36FD" w:rsidP="00FA36FD">
            <w:pPr>
              <w:pStyle w:val="TAC"/>
              <w:jc w:val="left"/>
              <w:rPr>
                <w:rFonts w:hint="eastAsia"/>
              </w:rPr>
            </w:pPr>
            <w:r w:rsidRPr="000A0A5F">
              <w:t>0..1</w:t>
            </w:r>
          </w:p>
        </w:tc>
        <w:tc>
          <w:tcPr>
            <w:tcW w:w="3687" w:type="dxa"/>
          </w:tcPr>
          <w:p w:rsidR="00FA36FD" w:rsidRPr="000A0A5F" w:rsidRDefault="00FA36FD" w:rsidP="00FA36FD">
            <w:pPr>
              <w:pStyle w:val="TAL"/>
              <w:rPr>
                <w:rFonts w:eastAsia="Times New Roman" w:cs="Arial"/>
                <w:szCs w:val="18"/>
              </w:rPr>
            </w:pPr>
            <w:r w:rsidRPr="000A0A5F">
              <w:rPr>
                <w:rFonts w:eastAsia="Times New Roman" w:cs="Arial"/>
                <w:szCs w:val="18"/>
              </w:rPr>
              <w:t>Identifies the MAC address.</w:t>
            </w:r>
          </w:p>
          <w:p w:rsidR="00FA36FD" w:rsidRPr="000A0A5F" w:rsidRDefault="00FA36FD" w:rsidP="00FA36FD">
            <w:pPr>
              <w:pStyle w:val="TAL"/>
              <w:rPr>
                <w:rFonts w:eastAsia="Times New Roman" w:cs="Arial" w:hint="eastAsia"/>
                <w:szCs w:val="18"/>
              </w:rPr>
            </w:pPr>
            <w:r w:rsidRPr="000A0A5F">
              <w:rPr>
                <w:rFonts w:eastAsia="Times New Roman" w:cs="Arial"/>
                <w:szCs w:val="18"/>
              </w:rPr>
              <w:t>(NOTE 2)</w:t>
            </w:r>
          </w:p>
        </w:tc>
        <w:tc>
          <w:tcPr>
            <w:tcW w:w="1235" w:type="dxa"/>
          </w:tcPr>
          <w:p w:rsidR="00FA36FD" w:rsidRPr="000A0A5F" w:rsidRDefault="00FA36FD" w:rsidP="00FA36FD">
            <w:pPr>
              <w:pStyle w:val="TAC"/>
              <w:jc w:val="left"/>
              <w:rPr>
                <w:rFonts w:eastAsia="Times New Roman"/>
              </w:rPr>
            </w:pPr>
            <w:r w:rsidRPr="000A0A5F">
              <w:t>EthAsSessionQoS_5G</w:t>
            </w:r>
          </w:p>
        </w:tc>
      </w:tr>
      <w:tr w:rsidR="009F079F" w:rsidRPr="000A0A5F" w:rsidTr="00FF0AF8">
        <w:trPr>
          <w:jc w:val="center"/>
        </w:trPr>
        <w:tc>
          <w:tcPr>
            <w:tcW w:w="1661" w:type="dxa"/>
            <w:shd w:val="clear" w:color="auto" w:fill="auto"/>
          </w:tcPr>
          <w:p w:rsidR="009F079F" w:rsidRPr="000A0A5F" w:rsidRDefault="009F079F" w:rsidP="009F079F">
            <w:pPr>
              <w:pStyle w:val="TAL"/>
            </w:pPr>
            <w:r w:rsidRPr="000A0A5F">
              <w:t>listUeAddrs</w:t>
            </w:r>
          </w:p>
        </w:tc>
        <w:tc>
          <w:tcPr>
            <w:tcW w:w="1842" w:type="dxa"/>
            <w:shd w:val="clear" w:color="auto" w:fill="auto"/>
          </w:tcPr>
          <w:p w:rsidR="009F079F" w:rsidRDefault="009F079F" w:rsidP="009F079F">
            <w:pPr>
              <w:pStyle w:val="TAL"/>
            </w:pPr>
            <w:r>
              <w:t>array(UeAddInfo)</w:t>
            </w:r>
          </w:p>
        </w:tc>
        <w:tc>
          <w:tcPr>
            <w:tcW w:w="1134" w:type="dxa"/>
          </w:tcPr>
          <w:p w:rsidR="009F079F" w:rsidRDefault="009F079F" w:rsidP="009F079F">
            <w:pPr>
              <w:pStyle w:val="TAC"/>
              <w:jc w:val="left"/>
            </w:pPr>
            <w:r>
              <w:t>0..N</w:t>
            </w:r>
          </w:p>
        </w:tc>
        <w:tc>
          <w:tcPr>
            <w:tcW w:w="3687" w:type="dxa"/>
          </w:tcPr>
          <w:p w:rsidR="009F079F" w:rsidRPr="00176399" w:rsidRDefault="009F079F" w:rsidP="009F079F">
            <w:pPr>
              <w:pStyle w:val="TAL"/>
              <w:rPr>
                <w:rFonts w:eastAsia="Times New Roman" w:cs="Arial"/>
                <w:szCs w:val="18"/>
              </w:rPr>
            </w:pPr>
            <w:r w:rsidRPr="00176399">
              <w:rPr>
                <w:rFonts w:eastAsia="Times New Roman" w:cs="Arial"/>
                <w:szCs w:val="18"/>
              </w:rPr>
              <w:t>Identifies the list of UE address</w:t>
            </w:r>
            <w:r>
              <w:rPr>
                <w:rFonts w:cs="Arial"/>
                <w:szCs w:val="18"/>
              </w:rPr>
              <w:t>(es)</w:t>
            </w:r>
            <w:r w:rsidRPr="00176399">
              <w:rPr>
                <w:rFonts w:eastAsia="Times New Roman" w:cs="Arial"/>
                <w:szCs w:val="18"/>
              </w:rPr>
              <w:t>.</w:t>
            </w:r>
          </w:p>
          <w:p w:rsidR="009F079F" w:rsidRPr="000A0A5F" w:rsidRDefault="009F079F" w:rsidP="009F079F">
            <w:pPr>
              <w:pStyle w:val="TAL"/>
            </w:pPr>
            <w:r w:rsidRPr="00176399">
              <w:rPr>
                <w:rFonts w:eastAsia="Times New Roman" w:cs="Arial"/>
                <w:szCs w:val="18"/>
              </w:rPr>
              <w:t>(NOTE </w:t>
            </w:r>
            <w:r>
              <w:rPr>
                <w:rFonts w:eastAsia="Times New Roman" w:cs="Arial"/>
                <w:szCs w:val="18"/>
              </w:rPr>
              <w:t>9</w:t>
            </w:r>
            <w:r w:rsidRPr="00176399">
              <w:rPr>
                <w:rFonts w:eastAsia="Times New Roman" w:cs="Arial"/>
                <w:szCs w:val="18"/>
              </w:rPr>
              <w:t>) (NOTE </w:t>
            </w:r>
            <w:r>
              <w:rPr>
                <w:rFonts w:eastAsia="Times New Roman" w:cs="Arial"/>
                <w:szCs w:val="18"/>
              </w:rPr>
              <w:t>1</w:t>
            </w:r>
            <w:r w:rsidRPr="00176399">
              <w:rPr>
                <w:rFonts w:eastAsia="Times New Roman" w:cs="Arial"/>
                <w:szCs w:val="18"/>
              </w:rPr>
              <w:t>2)</w:t>
            </w:r>
          </w:p>
        </w:tc>
        <w:tc>
          <w:tcPr>
            <w:tcW w:w="1235" w:type="dxa"/>
          </w:tcPr>
          <w:p w:rsidR="009F079F" w:rsidRPr="000A0A5F" w:rsidRDefault="009F079F" w:rsidP="009F079F">
            <w:pPr>
              <w:pStyle w:val="TAC"/>
              <w:jc w:val="left"/>
            </w:pPr>
            <w:r w:rsidRPr="000A0A5F">
              <w:t>ListUE_5G</w:t>
            </w:r>
          </w:p>
        </w:tc>
      </w:tr>
      <w:tr w:rsidR="00FA36FD" w:rsidRPr="000A0A5F" w:rsidTr="00FF0AF8">
        <w:trPr>
          <w:jc w:val="center"/>
        </w:trPr>
        <w:tc>
          <w:tcPr>
            <w:tcW w:w="1661" w:type="dxa"/>
            <w:shd w:val="clear" w:color="auto" w:fill="auto"/>
          </w:tcPr>
          <w:p w:rsidR="00FA36FD" w:rsidRPr="000A0A5F" w:rsidRDefault="00FA36FD" w:rsidP="00FA36FD">
            <w:pPr>
              <w:pStyle w:val="TAL"/>
              <w:rPr>
                <w:rFonts w:hint="eastAsia"/>
                <w:lang w:eastAsia="zh-CN"/>
              </w:rPr>
            </w:pPr>
            <w:r w:rsidRPr="000A0A5F">
              <w:t>usageThreshold</w:t>
            </w:r>
          </w:p>
        </w:tc>
        <w:tc>
          <w:tcPr>
            <w:tcW w:w="1842" w:type="dxa"/>
            <w:shd w:val="clear" w:color="auto" w:fill="auto"/>
          </w:tcPr>
          <w:p w:rsidR="00FA36FD" w:rsidRPr="000A0A5F" w:rsidRDefault="00FA36FD" w:rsidP="00FA36FD">
            <w:pPr>
              <w:pStyle w:val="TAL"/>
              <w:rPr>
                <w:rFonts w:hint="eastAsia"/>
                <w:lang w:eastAsia="zh-CN"/>
              </w:rPr>
            </w:pPr>
            <w:r w:rsidRPr="000A0A5F">
              <w:t>UsageThreshold</w:t>
            </w:r>
          </w:p>
        </w:tc>
        <w:tc>
          <w:tcPr>
            <w:tcW w:w="1134" w:type="dxa"/>
          </w:tcPr>
          <w:p w:rsidR="00FA36FD" w:rsidRPr="000A0A5F" w:rsidRDefault="00FA36FD" w:rsidP="00FA36FD">
            <w:pPr>
              <w:pStyle w:val="TAC"/>
              <w:jc w:val="left"/>
              <w:rPr>
                <w:rFonts w:hint="eastAsia"/>
                <w:lang w:eastAsia="zh-CN"/>
              </w:rPr>
            </w:pPr>
            <w:r w:rsidRPr="000A0A5F">
              <w:rPr>
                <w:rFonts w:hint="eastAsia"/>
                <w:lang w:eastAsia="zh-CN"/>
              </w:rPr>
              <w:t>0..1</w:t>
            </w:r>
          </w:p>
        </w:tc>
        <w:tc>
          <w:tcPr>
            <w:tcW w:w="3687" w:type="dxa"/>
          </w:tcPr>
          <w:p w:rsidR="00FA36FD" w:rsidRPr="000A0A5F" w:rsidRDefault="00FA36FD" w:rsidP="00FA36FD">
            <w:pPr>
              <w:pStyle w:val="TAL"/>
              <w:rPr>
                <w:rFonts w:cs="Arial" w:hint="eastAsia"/>
                <w:szCs w:val="18"/>
                <w:lang w:eastAsia="zh-CN"/>
              </w:rPr>
            </w:pPr>
            <w:r w:rsidRPr="000A0A5F">
              <w:rPr>
                <w:rFonts w:eastAsia="Times New Roman" w:cs="Arial"/>
                <w:szCs w:val="18"/>
              </w:rPr>
              <w:t>Time period and/or traffic volume in which the QoS is to be applied.</w:t>
            </w:r>
          </w:p>
        </w:tc>
        <w:tc>
          <w:tcPr>
            <w:tcW w:w="1235" w:type="dxa"/>
          </w:tcPr>
          <w:p w:rsidR="00FA36FD" w:rsidRPr="000A0A5F" w:rsidRDefault="00FA36FD" w:rsidP="00FA36FD">
            <w:pPr>
              <w:pStyle w:val="TAC"/>
              <w:jc w:val="left"/>
              <w:rPr>
                <w:rFonts w:eastAsia="Times New Roman"/>
              </w:rPr>
            </w:pPr>
          </w:p>
        </w:tc>
      </w:tr>
      <w:tr w:rsidR="00FA36FD" w:rsidRPr="000A0A5F" w:rsidTr="00FF0AF8">
        <w:trPr>
          <w:jc w:val="center"/>
        </w:trPr>
        <w:tc>
          <w:tcPr>
            <w:tcW w:w="1661" w:type="dxa"/>
            <w:shd w:val="clear" w:color="auto" w:fill="auto"/>
          </w:tcPr>
          <w:p w:rsidR="00FA36FD" w:rsidRPr="000A0A5F" w:rsidRDefault="00FA36FD" w:rsidP="00FA36FD">
            <w:pPr>
              <w:pStyle w:val="TAL"/>
              <w:rPr>
                <w:rFonts w:hint="eastAsia"/>
                <w:lang w:eastAsia="zh-CN"/>
              </w:rPr>
            </w:pPr>
            <w:r w:rsidRPr="000A0A5F">
              <w:rPr>
                <w:rFonts w:hint="eastAsia"/>
                <w:lang w:eastAsia="zh-CN"/>
              </w:rPr>
              <w:t>sponsor</w:t>
            </w:r>
            <w:r w:rsidRPr="000A0A5F">
              <w:rPr>
                <w:lang w:eastAsia="zh-CN"/>
              </w:rPr>
              <w:t>Info</w:t>
            </w:r>
          </w:p>
        </w:tc>
        <w:tc>
          <w:tcPr>
            <w:tcW w:w="1842" w:type="dxa"/>
            <w:shd w:val="clear" w:color="auto" w:fill="auto"/>
          </w:tcPr>
          <w:p w:rsidR="00FA36FD" w:rsidRPr="000A0A5F" w:rsidRDefault="00FA36FD" w:rsidP="00FA36FD">
            <w:pPr>
              <w:pStyle w:val="TAL"/>
            </w:pPr>
            <w:r w:rsidRPr="000A0A5F">
              <w:t>SponsorInformation</w:t>
            </w:r>
          </w:p>
        </w:tc>
        <w:tc>
          <w:tcPr>
            <w:tcW w:w="1134" w:type="dxa"/>
          </w:tcPr>
          <w:p w:rsidR="00FA36FD" w:rsidRPr="000A0A5F" w:rsidRDefault="00FA36FD" w:rsidP="00FA36FD">
            <w:pPr>
              <w:pStyle w:val="TAC"/>
              <w:jc w:val="left"/>
              <w:rPr>
                <w:rFonts w:hint="eastAsia"/>
                <w:lang w:eastAsia="zh-CN"/>
              </w:rPr>
            </w:pPr>
            <w:r w:rsidRPr="000A0A5F">
              <w:rPr>
                <w:rFonts w:hint="eastAsia"/>
                <w:lang w:eastAsia="zh-CN"/>
              </w:rPr>
              <w:t>0..1</w:t>
            </w:r>
          </w:p>
        </w:tc>
        <w:tc>
          <w:tcPr>
            <w:tcW w:w="3687" w:type="dxa"/>
          </w:tcPr>
          <w:p w:rsidR="00FA36FD" w:rsidRPr="000A0A5F" w:rsidRDefault="00FA36FD" w:rsidP="00FA36FD">
            <w:pPr>
              <w:pStyle w:val="TAL"/>
              <w:rPr>
                <w:rFonts w:eastAsia="Times New Roman" w:cs="Arial"/>
                <w:szCs w:val="18"/>
              </w:rPr>
            </w:pPr>
            <w:r w:rsidRPr="000A0A5F">
              <w:t>Indicates a sponsor information</w:t>
            </w:r>
          </w:p>
        </w:tc>
        <w:tc>
          <w:tcPr>
            <w:tcW w:w="1235" w:type="dxa"/>
          </w:tcPr>
          <w:p w:rsidR="00FA36FD" w:rsidRPr="000A0A5F" w:rsidRDefault="00FA36FD" w:rsidP="00FA36FD">
            <w:pPr>
              <w:pStyle w:val="TAC"/>
              <w:jc w:val="left"/>
              <w:rPr>
                <w:rFonts w:eastAsia="Times New Roman"/>
              </w:rPr>
            </w:pPr>
          </w:p>
        </w:tc>
      </w:tr>
      <w:tr w:rsidR="00FA36FD" w:rsidRPr="000A0A5F" w:rsidTr="00FF0AF8">
        <w:trPr>
          <w:jc w:val="center"/>
        </w:trPr>
        <w:tc>
          <w:tcPr>
            <w:tcW w:w="1661" w:type="dxa"/>
            <w:shd w:val="clear" w:color="auto" w:fill="auto"/>
          </w:tcPr>
          <w:p w:rsidR="00FA36FD" w:rsidRPr="000A0A5F" w:rsidRDefault="00FA36FD" w:rsidP="00FA36FD">
            <w:pPr>
              <w:pStyle w:val="TAL"/>
              <w:rPr>
                <w:rFonts w:hint="eastAsia"/>
                <w:lang w:eastAsia="zh-CN"/>
              </w:rPr>
            </w:pPr>
            <w:r w:rsidRPr="000A0A5F">
              <w:rPr>
                <w:rFonts w:hint="eastAsia"/>
                <w:lang w:eastAsia="zh-CN"/>
              </w:rPr>
              <w:t>qosMon</w:t>
            </w:r>
            <w:r w:rsidRPr="000A0A5F">
              <w:rPr>
                <w:lang w:eastAsia="zh-CN"/>
              </w:rPr>
              <w:t>Info</w:t>
            </w:r>
          </w:p>
        </w:tc>
        <w:tc>
          <w:tcPr>
            <w:tcW w:w="1842" w:type="dxa"/>
            <w:shd w:val="clear" w:color="auto" w:fill="auto"/>
          </w:tcPr>
          <w:p w:rsidR="00FA36FD" w:rsidRPr="000A0A5F" w:rsidRDefault="00FA36FD" w:rsidP="00FA36FD">
            <w:pPr>
              <w:pStyle w:val="TAL"/>
            </w:pPr>
            <w:r w:rsidRPr="000A0A5F">
              <w:t>QosMonitoringInformation</w:t>
            </w:r>
          </w:p>
        </w:tc>
        <w:tc>
          <w:tcPr>
            <w:tcW w:w="1134" w:type="dxa"/>
          </w:tcPr>
          <w:p w:rsidR="00FA36FD" w:rsidRPr="000A0A5F" w:rsidRDefault="00FA36FD" w:rsidP="00FA36FD">
            <w:pPr>
              <w:pStyle w:val="TAC"/>
              <w:jc w:val="left"/>
              <w:rPr>
                <w:rFonts w:hint="eastAsia"/>
                <w:lang w:eastAsia="zh-CN"/>
              </w:rPr>
            </w:pPr>
            <w:r w:rsidRPr="000A0A5F">
              <w:t>0..1</w:t>
            </w:r>
          </w:p>
        </w:tc>
        <w:tc>
          <w:tcPr>
            <w:tcW w:w="3687" w:type="dxa"/>
          </w:tcPr>
          <w:p w:rsidR="00FA36FD" w:rsidRPr="000A0A5F" w:rsidRDefault="00FA36FD" w:rsidP="00FA36FD">
            <w:pPr>
              <w:pStyle w:val="TAL"/>
            </w:pPr>
            <w:r w:rsidRPr="000A0A5F">
              <w:t xml:space="preserve">Qos Monitoring information. </w:t>
            </w:r>
            <w:r w:rsidRPr="000A0A5F">
              <w:rPr>
                <w:rFonts w:cs="Arial"/>
                <w:szCs w:val="18"/>
              </w:rPr>
              <w:t>It can be present when the event "QOS_MONITORING" is subscribed.</w:t>
            </w:r>
          </w:p>
        </w:tc>
        <w:tc>
          <w:tcPr>
            <w:tcW w:w="1235" w:type="dxa"/>
          </w:tcPr>
          <w:p w:rsidR="00FA36FD" w:rsidRPr="000A0A5F" w:rsidRDefault="00FA36FD" w:rsidP="00FA36FD">
            <w:pPr>
              <w:pStyle w:val="TAC"/>
              <w:jc w:val="left"/>
              <w:rPr>
                <w:rFonts w:eastAsia="Times New Roman"/>
              </w:rPr>
            </w:pPr>
            <w:r w:rsidRPr="000A0A5F">
              <w:rPr>
                <w:rFonts w:cs="Arial"/>
                <w:szCs w:val="18"/>
              </w:rPr>
              <w:t>QoSMonitoring_5G</w:t>
            </w:r>
          </w:p>
        </w:tc>
      </w:tr>
      <w:tr w:rsidR="00FA36FD" w:rsidRPr="000A0A5F" w:rsidTr="00FF0AF8">
        <w:trPr>
          <w:jc w:val="center"/>
        </w:trPr>
        <w:tc>
          <w:tcPr>
            <w:tcW w:w="1661" w:type="dxa"/>
            <w:shd w:val="clear" w:color="auto" w:fill="auto"/>
          </w:tcPr>
          <w:p w:rsidR="00FA36FD" w:rsidRPr="000A0A5F" w:rsidRDefault="00FA36FD" w:rsidP="00FA36FD">
            <w:pPr>
              <w:pStyle w:val="TAL"/>
              <w:rPr>
                <w:rFonts w:hint="eastAsia"/>
                <w:lang w:eastAsia="zh-CN"/>
              </w:rPr>
            </w:pPr>
            <w:r w:rsidRPr="000A0A5F">
              <w:rPr>
                <w:lang w:eastAsia="zh-CN"/>
              </w:rPr>
              <w:t>directNotifInd</w:t>
            </w:r>
          </w:p>
        </w:tc>
        <w:tc>
          <w:tcPr>
            <w:tcW w:w="1842" w:type="dxa"/>
            <w:shd w:val="clear" w:color="auto" w:fill="auto"/>
          </w:tcPr>
          <w:p w:rsidR="00FA36FD" w:rsidRPr="000A0A5F" w:rsidRDefault="00FA36FD" w:rsidP="00FA36FD">
            <w:pPr>
              <w:pStyle w:val="TAL"/>
            </w:pPr>
            <w:r w:rsidRPr="000A0A5F">
              <w:rPr>
                <w:rFonts w:hint="eastAsia"/>
                <w:lang w:eastAsia="zh-CN"/>
              </w:rPr>
              <w:t>b</w:t>
            </w:r>
            <w:r w:rsidRPr="000A0A5F">
              <w:rPr>
                <w:lang w:eastAsia="zh-CN"/>
              </w:rPr>
              <w:t>oolean</w:t>
            </w:r>
          </w:p>
        </w:tc>
        <w:tc>
          <w:tcPr>
            <w:tcW w:w="1134" w:type="dxa"/>
          </w:tcPr>
          <w:p w:rsidR="00FA36FD" w:rsidRPr="000A0A5F" w:rsidRDefault="00FA36FD" w:rsidP="00FA36FD">
            <w:pPr>
              <w:pStyle w:val="TAC"/>
              <w:jc w:val="left"/>
            </w:pPr>
            <w:r w:rsidRPr="000A0A5F">
              <w:rPr>
                <w:rFonts w:hint="eastAsia"/>
                <w:lang w:eastAsia="zh-CN"/>
              </w:rPr>
              <w:t>0</w:t>
            </w:r>
            <w:r w:rsidRPr="000A0A5F">
              <w:rPr>
                <w:lang w:eastAsia="zh-CN"/>
              </w:rPr>
              <w:t>..1</w:t>
            </w:r>
          </w:p>
        </w:tc>
        <w:tc>
          <w:tcPr>
            <w:tcW w:w="3687" w:type="dxa"/>
          </w:tcPr>
          <w:p w:rsidR="00FA36FD" w:rsidRPr="000A0A5F" w:rsidRDefault="00FA36FD" w:rsidP="00FA36FD">
            <w:pPr>
              <w:pStyle w:val="TAL"/>
              <w:rPr>
                <w:lang w:eastAsia="zh-CN"/>
              </w:rPr>
            </w:pPr>
            <w:r w:rsidRPr="000A0A5F">
              <w:rPr>
                <w:lang w:eastAsia="zh-CN"/>
              </w:rPr>
              <w:t>Indicates whether the direct event notification is requested.</w:t>
            </w:r>
          </w:p>
          <w:p w:rsidR="00FA36FD" w:rsidRPr="000A0A5F" w:rsidRDefault="00FA36FD" w:rsidP="00FA36FD">
            <w:pPr>
              <w:pStyle w:val="TAL"/>
              <w:rPr>
                <w:lang w:eastAsia="zh-CN"/>
              </w:rPr>
            </w:pPr>
          </w:p>
          <w:p w:rsidR="00FA36FD" w:rsidRPr="000A0A5F" w:rsidRDefault="00FA36FD" w:rsidP="00FA36FD">
            <w:pPr>
              <w:pStyle w:val="TAL"/>
            </w:pPr>
            <w:r w:rsidRPr="000A0A5F">
              <w:rPr>
                <w:lang w:eastAsia="zh-CN"/>
              </w:rPr>
              <w:t>- true: the direct event notification is requested</w:t>
            </w:r>
            <w:r w:rsidRPr="000A0A5F">
              <w:t>;</w:t>
            </w:r>
          </w:p>
          <w:p w:rsidR="00FA36FD" w:rsidRPr="000A0A5F" w:rsidRDefault="00FA36FD" w:rsidP="00FA36FD">
            <w:pPr>
              <w:pStyle w:val="TAL"/>
            </w:pPr>
            <w:r w:rsidRPr="000A0A5F">
              <w:rPr>
                <w:lang w:eastAsia="zh-CN"/>
              </w:rPr>
              <w:t>- false (default): the direct event notification is not requested</w:t>
            </w:r>
            <w:r w:rsidRPr="000A0A5F">
              <w:t>.</w:t>
            </w:r>
          </w:p>
        </w:tc>
        <w:tc>
          <w:tcPr>
            <w:tcW w:w="1235" w:type="dxa"/>
          </w:tcPr>
          <w:p w:rsidR="00FA36FD" w:rsidRPr="000A0A5F" w:rsidRDefault="00FA36FD" w:rsidP="00FA36FD">
            <w:pPr>
              <w:pStyle w:val="TAC"/>
              <w:jc w:val="left"/>
              <w:rPr>
                <w:rFonts w:cs="Arial"/>
                <w:szCs w:val="18"/>
              </w:rPr>
            </w:pPr>
            <w:r w:rsidRPr="000A0A5F">
              <w:t>ExposureToEAS</w:t>
            </w:r>
          </w:p>
        </w:tc>
      </w:tr>
      <w:tr w:rsidR="00FA36FD" w:rsidRPr="000A0A5F" w:rsidTr="00FF0AF8">
        <w:trPr>
          <w:jc w:val="center"/>
        </w:trPr>
        <w:tc>
          <w:tcPr>
            <w:tcW w:w="1661" w:type="dxa"/>
            <w:shd w:val="clear" w:color="auto" w:fill="auto"/>
          </w:tcPr>
          <w:p w:rsidR="00FA36FD" w:rsidRPr="000A0A5F" w:rsidRDefault="00FA36FD" w:rsidP="00FA36FD">
            <w:pPr>
              <w:pStyle w:val="TAL"/>
              <w:rPr>
                <w:rFonts w:hint="eastAsia"/>
                <w:lang w:eastAsia="zh-CN"/>
              </w:rPr>
            </w:pPr>
            <w:r w:rsidRPr="000A0A5F">
              <w:rPr>
                <w:lang w:eastAsia="zh-CN"/>
              </w:rPr>
              <w:t>tscQosReq</w:t>
            </w:r>
          </w:p>
        </w:tc>
        <w:tc>
          <w:tcPr>
            <w:tcW w:w="1842" w:type="dxa"/>
            <w:shd w:val="clear" w:color="auto" w:fill="auto"/>
          </w:tcPr>
          <w:p w:rsidR="00FA36FD" w:rsidRPr="000A0A5F" w:rsidRDefault="00FA36FD" w:rsidP="00FA36FD">
            <w:pPr>
              <w:pStyle w:val="TAL"/>
              <w:rPr>
                <w:rFonts w:hint="eastAsia"/>
                <w:lang w:eastAsia="zh-CN"/>
              </w:rPr>
            </w:pPr>
            <w:r w:rsidRPr="000A0A5F">
              <w:rPr>
                <w:lang w:eastAsia="zh-CN"/>
              </w:rPr>
              <w:t>TscQosRequirement</w:t>
            </w:r>
          </w:p>
        </w:tc>
        <w:tc>
          <w:tcPr>
            <w:tcW w:w="1134" w:type="dxa"/>
          </w:tcPr>
          <w:p w:rsidR="00FA36FD" w:rsidRPr="000A0A5F" w:rsidRDefault="00FA36FD" w:rsidP="00FA36FD">
            <w:pPr>
              <w:pStyle w:val="TAC"/>
              <w:jc w:val="left"/>
              <w:rPr>
                <w:rFonts w:hint="eastAsia"/>
                <w:lang w:eastAsia="zh-CN"/>
              </w:rPr>
            </w:pPr>
            <w:r w:rsidRPr="000A0A5F">
              <w:rPr>
                <w:rFonts w:hint="eastAsia"/>
                <w:lang w:eastAsia="zh-CN"/>
              </w:rPr>
              <w:t>0</w:t>
            </w:r>
            <w:r w:rsidRPr="000A0A5F">
              <w:rPr>
                <w:lang w:eastAsia="zh-CN"/>
              </w:rPr>
              <w:t>..1</w:t>
            </w:r>
          </w:p>
        </w:tc>
        <w:tc>
          <w:tcPr>
            <w:tcW w:w="3687" w:type="dxa"/>
          </w:tcPr>
          <w:p w:rsidR="00FA36FD" w:rsidRPr="000A0A5F" w:rsidRDefault="00FA36FD" w:rsidP="00FA36FD">
            <w:pPr>
              <w:pStyle w:val="TAL"/>
              <w:rPr>
                <w:lang w:eastAsia="zh-CN"/>
              </w:rPr>
            </w:pPr>
            <w:r w:rsidRPr="000A0A5F">
              <w:rPr>
                <w:lang w:eastAsia="zh-CN"/>
              </w:rPr>
              <w:t>Contains the QoS requirements for time sensitive communication. (NOTE 5)</w:t>
            </w:r>
          </w:p>
        </w:tc>
        <w:tc>
          <w:tcPr>
            <w:tcW w:w="1235" w:type="dxa"/>
          </w:tcPr>
          <w:p w:rsidR="00A60F32" w:rsidRPr="000A0A5F" w:rsidRDefault="00A60F32" w:rsidP="00A60F32">
            <w:pPr>
              <w:pStyle w:val="TAC"/>
              <w:jc w:val="left"/>
              <w:rPr>
                <w:rFonts w:cs="Arial"/>
                <w:szCs w:val="18"/>
                <w:lang w:eastAsia="zh-CN"/>
              </w:rPr>
            </w:pPr>
            <w:r w:rsidRPr="000A0A5F">
              <w:rPr>
                <w:rFonts w:cs="Arial" w:hint="eastAsia"/>
                <w:szCs w:val="18"/>
                <w:lang w:eastAsia="zh-CN"/>
              </w:rPr>
              <w:t>T</w:t>
            </w:r>
            <w:r w:rsidRPr="000A0A5F">
              <w:rPr>
                <w:rFonts w:cs="Arial"/>
                <w:szCs w:val="18"/>
                <w:lang w:eastAsia="zh-CN"/>
              </w:rPr>
              <w:t>SC_5G</w:t>
            </w:r>
          </w:p>
          <w:p w:rsidR="00FA36FD" w:rsidRPr="000A0A5F" w:rsidRDefault="00A60F32" w:rsidP="00A60F32">
            <w:pPr>
              <w:pStyle w:val="TAC"/>
              <w:jc w:val="left"/>
            </w:pPr>
            <w:r w:rsidRPr="000A0A5F">
              <w:rPr>
                <w:rFonts w:cs="Arial"/>
                <w:szCs w:val="18"/>
              </w:rPr>
              <w:t>XRM_5G</w:t>
            </w:r>
          </w:p>
        </w:tc>
      </w:tr>
      <w:tr w:rsidR="00FA36FD" w:rsidRPr="000A0A5F" w:rsidTr="00FF0AF8">
        <w:trPr>
          <w:jc w:val="center"/>
        </w:trPr>
        <w:tc>
          <w:tcPr>
            <w:tcW w:w="1661" w:type="dxa"/>
            <w:shd w:val="clear" w:color="auto" w:fill="auto"/>
          </w:tcPr>
          <w:p w:rsidR="00FA36FD" w:rsidRPr="000A0A5F" w:rsidRDefault="00FA36FD" w:rsidP="00FA36FD">
            <w:pPr>
              <w:pStyle w:val="TAL"/>
              <w:rPr>
                <w:rFonts w:hint="eastAsia"/>
                <w:lang w:eastAsia="zh-CN"/>
              </w:rPr>
            </w:pPr>
            <w:r w:rsidRPr="000A0A5F">
              <w:t>requestTestNotification</w:t>
            </w:r>
          </w:p>
        </w:tc>
        <w:tc>
          <w:tcPr>
            <w:tcW w:w="1842" w:type="dxa"/>
            <w:shd w:val="clear" w:color="auto" w:fill="auto"/>
          </w:tcPr>
          <w:p w:rsidR="00FA36FD" w:rsidRPr="000A0A5F" w:rsidRDefault="00FA36FD" w:rsidP="00FA36FD">
            <w:pPr>
              <w:pStyle w:val="TAL"/>
            </w:pPr>
            <w:r w:rsidRPr="000A0A5F">
              <w:t>boolean</w:t>
            </w:r>
          </w:p>
        </w:tc>
        <w:tc>
          <w:tcPr>
            <w:tcW w:w="1134" w:type="dxa"/>
          </w:tcPr>
          <w:p w:rsidR="00FA36FD" w:rsidRPr="000A0A5F" w:rsidRDefault="00FA36FD" w:rsidP="00FA36FD">
            <w:pPr>
              <w:pStyle w:val="TAC"/>
              <w:jc w:val="left"/>
              <w:rPr>
                <w:rFonts w:hint="eastAsia"/>
                <w:lang w:eastAsia="zh-CN"/>
              </w:rPr>
            </w:pPr>
            <w:r w:rsidRPr="000A0A5F">
              <w:t>0..1</w:t>
            </w:r>
          </w:p>
        </w:tc>
        <w:tc>
          <w:tcPr>
            <w:tcW w:w="3687" w:type="dxa"/>
          </w:tcPr>
          <w:p w:rsidR="00FA36FD" w:rsidRPr="000A0A5F" w:rsidRDefault="00FA36FD" w:rsidP="00FA36FD">
            <w:pPr>
              <w:pStyle w:val="TAL"/>
            </w:pPr>
            <w:r w:rsidRPr="000A0A5F">
              <w:rPr>
                <w:lang w:eastAsia="zh-CN"/>
              </w:rPr>
              <w:t>Set to true by the SCS/AS to request the SCEF to send a test notification as defined in clause</w:t>
            </w:r>
            <w:r w:rsidRPr="000A0A5F">
              <w:rPr>
                <w:lang w:val="en-US" w:eastAsia="zh-CN"/>
              </w:rPr>
              <w:t> </w:t>
            </w:r>
            <w:r w:rsidRPr="000A0A5F">
              <w:rPr>
                <w:lang w:eastAsia="zh-CN"/>
              </w:rPr>
              <w:t>5.2.5.3. Set to false or omitted otherwise.</w:t>
            </w:r>
          </w:p>
        </w:tc>
        <w:tc>
          <w:tcPr>
            <w:tcW w:w="1235" w:type="dxa"/>
          </w:tcPr>
          <w:p w:rsidR="00FA36FD" w:rsidRPr="000A0A5F" w:rsidRDefault="00FA36FD" w:rsidP="00FA36FD">
            <w:pPr>
              <w:pStyle w:val="TAC"/>
              <w:jc w:val="left"/>
              <w:rPr>
                <w:rFonts w:eastAsia="Times New Roman"/>
              </w:rPr>
            </w:pPr>
            <w:r w:rsidRPr="000A0A5F">
              <w:t>Notification_test_event</w:t>
            </w:r>
          </w:p>
        </w:tc>
      </w:tr>
      <w:tr w:rsidR="00FA36FD" w:rsidRPr="000A0A5F" w:rsidTr="00FF0AF8">
        <w:trPr>
          <w:jc w:val="center"/>
        </w:trPr>
        <w:tc>
          <w:tcPr>
            <w:tcW w:w="1661" w:type="dxa"/>
            <w:shd w:val="clear" w:color="auto" w:fill="auto"/>
          </w:tcPr>
          <w:p w:rsidR="00FA36FD" w:rsidRPr="000A0A5F" w:rsidRDefault="00FA36FD" w:rsidP="00FA36FD">
            <w:pPr>
              <w:pStyle w:val="TAL"/>
              <w:rPr>
                <w:rFonts w:hint="eastAsia"/>
                <w:lang w:eastAsia="zh-CN"/>
              </w:rPr>
            </w:pPr>
            <w:r w:rsidRPr="000A0A5F">
              <w:rPr>
                <w:lang w:eastAsia="zh-CN"/>
              </w:rPr>
              <w:t>websockNotifConfig</w:t>
            </w:r>
          </w:p>
        </w:tc>
        <w:tc>
          <w:tcPr>
            <w:tcW w:w="1842" w:type="dxa"/>
            <w:shd w:val="clear" w:color="auto" w:fill="auto"/>
          </w:tcPr>
          <w:p w:rsidR="00FA36FD" w:rsidRPr="000A0A5F" w:rsidRDefault="00FA36FD" w:rsidP="00FA36FD">
            <w:pPr>
              <w:pStyle w:val="TAL"/>
            </w:pPr>
            <w:r w:rsidRPr="000A0A5F">
              <w:rPr>
                <w:lang w:eastAsia="zh-CN"/>
              </w:rPr>
              <w:t>WebsockNotifConfig</w:t>
            </w:r>
          </w:p>
        </w:tc>
        <w:tc>
          <w:tcPr>
            <w:tcW w:w="1134" w:type="dxa"/>
          </w:tcPr>
          <w:p w:rsidR="00FA36FD" w:rsidRPr="000A0A5F" w:rsidRDefault="00FA36FD" w:rsidP="00FA36FD">
            <w:pPr>
              <w:pStyle w:val="TAC"/>
              <w:jc w:val="left"/>
              <w:rPr>
                <w:rFonts w:hint="eastAsia"/>
                <w:lang w:eastAsia="zh-CN"/>
              </w:rPr>
            </w:pPr>
            <w:r w:rsidRPr="000A0A5F">
              <w:rPr>
                <w:lang w:eastAsia="zh-CN"/>
              </w:rPr>
              <w:t>0..1</w:t>
            </w:r>
          </w:p>
        </w:tc>
        <w:tc>
          <w:tcPr>
            <w:tcW w:w="3687" w:type="dxa"/>
          </w:tcPr>
          <w:p w:rsidR="00FA36FD" w:rsidRPr="000A0A5F" w:rsidRDefault="00FA36FD" w:rsidP="00FA36FD">
            <w:pPr>
              <w:pStyle w:val="TAL"/>
            </w:pPr>
            <w:r w:rsidRPr="000A0A5F">
              <w:rPr>
                <w:rFonts w:cs="Arial"/>
                <w:szCs w:val="18"/>
                <w:lang w:eastAsia="zh-CN"/>
              </w:rPr>
              <w:t>Configuration parameters to set up notification delivery over Websocket protocol as defined in clause</w:t>
            </w:r>
            <w:r w:rsidRPr="000A0A5F">
              <w:rPr>
                <w:rFonts w:cs="Arial"/>
                <w:szCs w:val="18"/>
                <w:lang w:val="en-US" w:eastAsia="zh-CN"/>
              </w:rPr>
              <w:t> </w:t>
            </w:r>
            <w:r w:rsidRPr="000A0A5F">
              <w:rPr>
                <w:rFonts w:cs="Arial"/>
                <w:szCs w:val="18"/>
                <w:lang w:eastAsia="zh-CN"/>
              </w:rPr>
              <w:t>5.2.5.4.</w:t>
            </w:r>
          </w:p>
        </w:tc>
        <w:tc>
          <w:tcPr>
            <w:tcW w:w="1235" w:type="dxa"/>
          </w:tcPr>
          <w:p w:rsidR="00FA36FD" w:rsidRPr="000A0A5F" w:rsidRDefault="00FA36FD" w:rsidP="00FA36FD">
            <w:pPr>
              <w:pStyle w:val="TAC"/>
              <w:jc w:val="left"/>
              <w:rPr>
                <w:rFonts w:eastAsia="Times New Roman"/>
              </w:rPr>
            </w:pPr>
            <w:r w:rsidRPr="000A0A5F">
              <w:rPr>
                <w:lang w:eastAsia="zh-CN"/>
              </w:rPr>
              <w:t>Notification_websocket</w:t>
            </w:r>
          </w:p>
        </w:tc>
      </w:tr>
      <w:tr w:rsidR="00FA36FD" w:rsidRPr="000A0A5F" w:rsidTr="00FF0AF8">
        <w:trPr>
          <w:jc w:val="center"/>
        </w:trPr>
        <w:tc>
          <w:tcPr>
            <w:tcW w:w="1661" w:type="dxa"/>
            <w:shd w:val="clear" w:color="auto" w:fill="auto"/>
          </w:tcPr>
          <w:p w:rsidR="00FA36FD" w:rsidRPr="000A0A5F" w:rsidRDefault="00FA36FD" w:rsidP="00FA36FD">
            <w:pPr>
              <w:pStyle w:val="TAL"/>
              <w:rPr>
                <w:lang w:eastAsia="zh-CN"/>
              </w:rPr>
            </w:pPr>
            <w:r w:rsidRPr="000A0A5F">
              <w:t>events</w:t>
            </w:r>
          </w:p>
        </w:tc>
        <w:tc>
          <w:tcPr>
            <w:tcW w:w="1842" w:type="dxa"/>
            <w:shd w:val="clear" w:color="auto" w:fill="auto"/>
          </w:tcPr>
          <w:p w:rsidR="00FA36FD" w:rsidRPr="000A0A5F" w:rsidRDefault="00FA36FD" w:rsidP="00FA36FD">
            <w:pPr>
              <w:pStyle w:val="TAL"/>
              <w:rPr>
                <w:lang w:eastAsia="zh-CN"/>
              </w:rPr>
            </w:pPr>
            <w:r w:rsidRPr="000A0A5F">
              <w:t>array(UserPlaneEvent)</w:t>
            </w:r>
          </w:p>
        </w:tc>
        <w:tc>
          <w:tcPr>
            <w:tcW w:w="1134" w:type="dxa"/>
          </w:tcPr>
          <w:p w:rsidR="00FA36FD" w:rsidRPr="000A0A5F" w:rsidRDefault="00FA36FD" w:rsidP="00FA36FD">
            <w:pPr>
              <w:pStyle w:val="TAC"/>
              <w:jc w:val="left"/>
              <w:rPr>
                <w:lang w:eastAsia="zh-CN"/>
              </w:rPr>
            </w:pPr>
            <w:r w:rsidRPr="000A0A5F">
              <w:t>0..N</w:t>
            </w:r>
          </w:p>
        </w:tc>
        <w:tc>
          <w:tcPr>
            <w:tcW w:w="3687" w:type="dxa"/>
          </w:tcPr>
          <w:p w:rsidR="00FA36FD" w:rsidRPr="000A0A5F" w:rsidRDefault="00FA36FD" w:rsidP="00FA36FD">
            <w:pPr>
              <w:pStyle w:val="TAL"/>
              <w:rPr>
                <w:rFonts w:cs="Arial"/>
                <w:szCs w:val="18"/>
                <w:lang w:eastAsia="zh-CN"/>
              </w:rPr>
            </w:pPr>
            <w:r w:rsidRPr="000A0A5F">
              <w:rPr>
                <w:rFonts w:cs="Arial"/>
                <w:szCs w:val="18"/>
              </w:rPr>
              <w:t>Corresponds to the list of user plane event(s) to which the SCS/AS requests to subscribe to.</w:t>
            </w:r>
          </w:p>
        </w:tc>
        <w:tc>
          <w:tcPr>
            <w:tcW w:w="1235" w:type="dxa"/>
          </w:tcPr>
          <w:p w:rsidR="00FA36FD" w:rsidRPr="000A0A5F" w:rsidRDefault="00FA36FD" w:rsidP="00FA36FD">
            <w:pPr>
              <w:pStyle w:val="TAC"/>
              <w:jc w:val="left"/>
              <w:rPr>
                <w:lang w:eastAsia="zh-CN"/>
              </w:rPr>
            </w:pPr>
            <w:r w:rsidRPr="000A0A5F">
              <w:rPr>
                <w:rFonts w:cs="Arial"/>
                <w:szCs w:val="18"/>
              </w:rPr>
              <w:t>enNB</w:t>
            </w:r>
          </w:p>
        </w:tc>
      </w:tr>
      <w:tr w:rsidR="00A60F32" w:rsidRPr="000A0A5F" w:rsidTr="00FF0AF8">
        <w:trPr>
          <w:jc w:val="center"/>
        </w:trPr>
        <w:tc>
          <w:tcPr>
            <w:tcW w:w="1661" w:type="dxa"/>
            <w:shd w:val="clear" w:color="auto" w:fill="auto"/>
          </w:tcPr>
          <w:p w:rsidR="00A60F32" w:rsidRPr="000A0A5F" w:rsidRDefault="00A60F32" w:rsidP="00A60F32">
            <w:pPr>
              <w:pStyle w:val="TAL"/>
            </w:pPr>
            <w:r w:rsidRPr="000A0A5F">
              <w:t>multiModalId</w:t>
            </w:r>
          </w:p>
        </w:tc>
        <w:tc>
          <w:tcPr>
            <w:tcW w:w="1842" w:type="dxa"/>
            <w:shd w:val="clear" w:color="auto" w:fill="auto"/>
          </w:tcPr>
          <w:p w:rsidR="00A60F32" w:rsidRPr="000A0A5F" w:rsidRDefault="00A60F32" w:rsidP="00A60F32">
            <w:pPr>
              <w:pStyle w:val="TAL"/>
            </w:pPr>
            <w:r w:rsidRPr="000A0A5F">
              <w:t>MultiModalId</w:t>
            </w:r>
          </w:p>
        </w:tc>
        <w:tc>
          <w:tcPr>
            <w:tcW w:w="1134" w:type="dxa"/>
          </w:tcPr>
          <w:p w:rsidR="00A60F32" w:rsidRPr="000A0A5F" w:rsidRDefault="00A60F32" w:rsidP="00A60F32">
            <w:pPr>
              <w:pStyle w:val="TAC"/>
              <w:jc w:val="left"/>
            </w:pPr>
            <w:r w:rsidRPr="000A0A5F">
              <w:t>0..1</w:t>
            </w:r>
          </w:p>
        </w:tc>
        <w:tc>
          <w:tcPr>
            <w:tcW w:w="3687" w:type="dxa"/>
          </w:tcPr>
          <w:p w:rsidR="00A60F32" w:rsidRPr="000A0A5F" w:rsidRDefault="00A60F32" w:rsidP="00A60F32">
            <w:pPr>
              <w:pStyle w:val="TAL"/>
              <w:rPr>
                <w:rFonts w:cs="Arial"/>
                <w:szCs w:val="18"/>
              </w:rPr>
            </w:pPr>
            <w:r w:rsidRPr="000A0A5F">
              <w:t>Multi-modal Service Identifier, as defined in 3GPP TS 29.514 [52].</w:t>
            </w:r>
          </w:p>
        </w:tc>
        <w:tc>
          <w:tcPr>
            <w:tcW w:w="1235" w:type="dxa"/>
          </w:tcPr>
          <w:p w:rsidR="00A60F32" w:rsidRPr="000A0A5F" w:rsidRDefault="00A60F32" w:rsidP="00A60F32">
            <w:pPr>
              <w:pStyle w:val="TAC"/>
              <w:jc w:val="left"/>
              <w:rPr>
                <w:rFonts w:cs="Arial"/>
                <w:szCs w:val="18"/>
              </w:rPr>
            </w:pPr>
            <w:r w:rsidRPr="000A0A5F">
              <w:rPr>
                <w:rFonts w:cs="Arial"/>
                <w:szCs w:val="18"/>
              </w:rPr>
              <w:t>MultiMedia</w:t>
            </w:r>
          </w:p>
        </w:tc>
      </w:tr>
      <w:tr w:rsidR="00A60F32" w:rsidRPr="000A0A5F" w:rsidTr="00FF0AF8">
        <w:trPr>
          <w:jc w:val="center"/>
        </w:trPr>
        <w:tc>
          <w:tcPr>
            <w:tcW w:w="1661" w:type="dxa"/>
            <w:shd w:val="clear" w:color="auto" w:fill="auto"/>
          </w:tcPr>
          <w:p w:rsidR="00A60F32" w:rsidRPr="000A0A5F" w:rsidRDefault="00A60F32" w:rsidP="00A60F32">
            <w:pPr>
              <w:pStyle w:val="TAL"/>
            </w:pPr>
            <w:r w:rsidRPr="000A0A5F">
              <w:t>multiModDatFlows</w:t>
            </w:r>
          </w:p>
        </w:tc>
        <w:tc>
          <w:tcPr>
            <w:tcW w:w="1842" w:type="dxa"/>
            <w:shd w:val="clear" w:color="auto" w:fill="auto"/>
          </w:tcPr>
          <w:p w:rsidR="00A60F32" w:rsidRPr="000A0A5F" w:rsidRDefault="00A60F32" w:rsidP="00A60F32">
            <w:pPr>
              <w:pStyle w:val="TAL"/>
            </w:pPr>
            <w:r w:rsidRPr="000A0A5F">
              <w:t>map(AsSessionMediaComponent)</w:t>
            </w:r>
          </w:p>
        </w:tc>
        <w:tc>
          <w:tcPr>
            <w:tcW w:w="1134" w:type="dxa"/>
          </w:tcPr>
          <w:p w:rsidR="00A60F32" w:rsidRPr="000A0A5F" w:rsidRDefault="00A60F32" w:rsidP="00A60F32">
            <w:pPr>
              <w:pStyle w:val="TAC"/>
              <w:jc w:val="left"/>
            </w:pPr>
            <w:r w:rsidRPr="000A0A5F">
              <w:t>0..N</w:t>
            </w:r>
          </w:p>
        </w:tc>
        <w:tc>
          <w:tcPr>
            <w:tcW w:w="3687" w:type="dxa"/>
          </w:tcPr>
          <w:p w:rsidR="00A60F32" w:rsidRPr="000A0A5F" w:rsidRDefault="00090953" w:rsidP="00A60F32">
            <w:pPr>
              <w:pStyle w:val="TAL"/>
            </w:pPr>
            <w:r>
              <w:t xml:space="preserve">Each element of the map represents </w:t>
            </w:r>
            <w:r w:rsidRPr="00DF2F7A">
              <w:t>Media Component</w:t>
            </w:r>
            <w:r>
              <w:t xml:space="preserve"> data for a single-modal data flow(s) of a multi-modal service</w:t>
            </w:r>
            <w:r w:rsidRPr="00DF2F7A">
              <w:t xml:space="preserve">. The key of the map is the attribute </w:t>
            </w:r>
            <w:r w:rsidRPr="0014134B">
              <w:t>"</w:t>
            </w:r>
            <w:r w:rsidRPr="00DF2F7A">
              <w:t>medCompN</w:t>
            </w:r>
            <w:r w:rsidRPr="0014134B">
              <w:t>"</w:t>
            </w:r>
            <w:r w:rsidRPr="00DF2F7A">
              <w:t>.</w:t>
            </w:r>
            <w:r>
              <w:t xml:space="preserve"> (NOTE 8)</w:t>
            </w:r>
          </w:p>
        </w:tc>
        <w:tc>
          <w:tcPr>
            <w:tcW w:w="1235" w:type="dxa"/>
          </w:tcPr>
          <w:p w:rsidR="00A60F32" w:rsidRPr="000A0A5F" w:rsidRDefault="00A60F32" w:rsidP="00A60F32">
            <w:pPr>
              <w:pStyle w:val="TAC"/>
              <w:jc w:val="left"/>
              <w:rPr>
                <w:rFonts w:cs="Arial"/>
                <w:szCs w:val="18"/>
              </w:rPr>
            </w:pPr>
            <w:r w:rsidRPr="000A0A5F">
              <w:rPr>
                <w:rFonts w:cs="Arial"/>
                <w:szCs w:val="18"/>
              </w:rPr>
              <w:t>MultiMedia</w:t>
            </w:r>
          </w:p>
        </w:tc>
      </w:tr>
      <w:tr w:rsidR="00FA36FD" w:rsidRPr="000A0A5F" w:rsidTr="00FF0AF8">
        <w:trPr>
          <w:jc w:val="center"/>
        </w:trPr>
        <w:tc>
          <w:tcPr>
            <w:tcW w:w="1661" w:type="dxa"/>
            <w:shd w:val="clear" w:color="auto" w:fill="auto"/>
          </w:tcPr>
          <w:p w:rsidR="00FA36FD" w:rsidRPr="000A0A5F" w:rsidRDefault="00FA36FD" w:rsidP="00FA36FD">
            <w:pPr>
              <w:pStyle w:val="TAL"/>
            </w:pPr>
            <w:r w:rsidRPr="000A0A5F">
              <w:t>l4sInfo</w:t>
            </w:r>
          </w:p>
        </w:tc>
        <w:tc>
          <w:tcPr>
            <w:tcW w:w="1842" w:type="dxa"/>
            <w:shd w:val="clear" w:color="auto" w:fill="auto"/>
          </w:tcPr>
          <w:p w:rsidR="00FA36FD" w:rsidRPr="000A0A5F" w:rsidRDefault="00FA36FD" w:rsidP="00FA36FD">
            <w:pPr>
              <w:pStyle w:val="TAL"/>
            </w:pPr>
            <w:r w:rsidRPr="000A0A5F">
              <w:t>UplinkDownlinkSupport</w:t>
            </w:r>
          </w:p>
        </w:tc>
        <w:tc>
          <w:tcPr>
            <w:tcW w:w="1134" w:type="dxa"/>
          </w:tcPr>
          <w:p w:rsidR="00FA36FD" w:rsidRPr="000A0A5F" w:rsidRDefault="00FA36FD" w:rsidP="00FA36FD">
            <w:pPr>
              <w:pStyle w:val="TAC"/>
              <w:jc w:val="left"/>
            </w:pPr>
            <w:r w:rsidRPr="000A0A5F">
              <w:rPr>
                <w:lang w:eastAsia="zh-CN"/>
              </w:rPr>
              <w:t>0..1</w:t>
            </w:r>
          </w:p>
        </w:tc>
        <w:tc>
          <w:tcPr>
            <w:tcW w:w="3687" w:type="dxa"/>
          </w:tcPr>
          <w:p w:rsidR="00FA36FD" w:rsidRPr="000A0A5F" w:rsidRDefault="00FA36FD" w:rsidP="00FA36FD">
            <w:pPr>
              <w:pStyle w:val="TAL"/>
            </w:pPr>
            <w:r w:rsidRPr="000A0A5F">
              <w:rPr>
                <w:rFonts w:cs="Arial"/>
                <w:szCs w:val="18"/>
              </w:rPr>
              <w:t>Provides L4S support information.</w:t>
            </w:r>
          </w:p>
        </w:tc>
        <w:tc>
          <w:tcPr>
            <w:tcW w:w="1235" w:type="dxa"/>
          </w:tcPr>
          <w:p w:rsidR="00FA36FD" w:rsidRPr="000A0A5F" w:rsidRDefault="00A60F32" w:rsidP="00FA36FD">
            <w:pPr>
              <w:pStyle w:val="TAC"/>
              <w:jc w:val="left"/>
              <w:rPr>
                <w:rFonts w:cs="Arial"/>
                <w:szCs w:val="18"/>
              </w:rPr>
            </w:pPr>
            <w:r w:rsidRPr="000A0A5F">
              <w:rPr>
                <w:lang w:val="en-US"/>
              </w:rPr>
              <w:t>L4S</w:t>
            </w:r>
          </w:p>
        </w:tc>
      </w:tr>
      <w:tr w:rsidR="00307040" w:rsidRPr="000A0A5F" w:rsidTr="00FF0AF8">
        <w:trPr>
          <w:jc w:val="center"/>
        </w:trPr>
        <w:tc>
          <w:tcPr>
            <w:tcW w:w="1661" w:type="dxa"/>
            <w:shd w:val="clear" w:color="auto" w:fill="auto"/>
          </w:tcPr>
          <w:p w:rsidR="00307040" w:rsidRPr="000A0A5F" w:rsidRDefault="00307040" w:rsidP="00307040">
            <w:pPr>
              <w:pStyle w:val="TAL"/>
            </w:pPr>
            <w:r w:rsidRPr="000A0A5F">
              <w:rPr>
                <w:rFonts w:hint="eastAsia"/>
                <w:lang w:eastAsia="zh-CN"/>
              </w:rPr>
              <w:t>p</w:t>
            </w:r>
            <w:r w:rsidRPr="000A0A5F">
              <w:rPr>
                <w:lang w:eastAsia="zh-CN"/>
              </w:rPr>
              <w:t>duSetQos</w:t>
            </w:r>
          </w:p>
        </w:tc>
        <w:tc>
          <w:tcPr>
            <w:tcW w:w="1842" w:type="dxa"/>
            <w:shd w:val="clear" w:color="auto" w:fill="auto"/>
          </w:tcPr>
          <w:p w:rsidR="00307040" w:rsidRPr="000A0A5F" w:rsidRDefault="00307040" w:rsidP="00307040">
            <w:pPr>
              <w:pStyle w:val="TAL"/>
            </w:pPr>
            <w:r w:rsidRPr="000A0A5F">
              <w:rPr>
                <w:rFonts w:hint="eastAsia"/>
                <w:lang w:eastAsia="zh-CN"/>
              </w:rPr>
              <w:t>P</w:t>
            </w:r>
            <w:r w:rsidRPr="000A0A5F">
              <w:rPr>
                <w:lang w:eastAsia="zh-CN"/>
              </w:rPr>
              <w:t>duSetQosPara</w:t>
            </w:r>
          </w:p>
        </w:tc>
        <w:tc>
          <w:tcPr>
            <w:tcW w:w="1134" w:type="dxa"/>
          </w:tcPr>
          <w:p w:rsidR="00307040" w:rsidRPr="000A0A5F" w:rsidRDefault="00307040" w:rsidP="00307040">
            <w:pPr>
              <w:pStyle w:val="TAC"/>
              <w:jc w:val="left"/>
              <w:rPr>
                <w:lang w:eastAsia="zh-CN"/>
              </w:rPr>
            </w:pPr>
            <w:r w:rsidRPr="000A0A5F">
              <w:t>0..1</w:t>
            </w:r>
          </w:p>
        </w:tc>
        <w:tc>
          <w:tcPr>
            <w:tcW w:w="3687" w:type="dxa"/>
          </w:tcPr>
          <w:p w:rsidR="00307040" w:rsidRPr="000A0A5F" w:rsidRDefault="00307040" w:rsidP="00307040">
            <w:pPr>
              <w:pStyle w:val="TAL"/>
              <w:rPr>
                <w:rFonts w:cs="Arial"/>
                <w:szCs w:val="18"/>
              </w:rPr>
            </w:pPr>
            <w:r w:rsidRPr="000A0A5F">
              <w:t xml:space="preserve">Contains the PDU Set QoS Parameters which are used to support PDU </w:t>
            </w:r>
            <w:r w:rsidRPr="000A0A5F">
              <w:rPr>
                <w:rFonts w:hint="eastAsia"/>
                <w:lang w:eastAsia="zh-CN"/>
              </w:rPr>
              <w:t>S</w:t>
            </w:r>
            <w:r w:rsidRPr="000A0A5F">
              <w:t xml:space="preserve">et </w:t>
            </w:r>
            <w:bookmarkStart w:id="9115" w:name="_Hlk127797738"/>
            <w:r w:rsidRPr="000A0A5F">
              <w:rPr>
                <w:lang w:eastAsia="zh-CN"/>
              </w:rPr>
              <w:t>based QoS</w:t>
            </w:r>
            <w:r w:rsidRPr="000A0A5F">
              <w:rPr>
                <w:lang w:val="en-US"/>
              </w:rPr>
              <w:t xml:space="preserve"> </w:t>
            </w:r>
            <w:r w:rsidRPr="000A0A5F">
              <w:t>handling</w:t>
            </w:r>
            <w:bookmarkEnd w:id="9115"/>
            <w:r w:rsidRPr="000A0A5F">
              <w:t>.</w:t>
            </w:r>
          </w:p>
        </w:tc>
        <w:tc>
          <w:tcPr>
            <w:tcW w:w="1235" w:type="dxa"/>
          </w:tcPr>
          <w:p w:rsidR="00307040" w:rsidRPr="000A0A5F" w:rsidRDefault="00307040" w:rsidP="00307040">
            <w:pPr>
              <w:pStyle w:val="TAC"/>
              <w:jc w:val="left"/>
              <w:rPr>
                <w:lang w:val="en-US"/>
              </w:rPr>
            </w:pPr>
            <w:r w:rsidRPr="000A0A5F">
              <w:rPr>
                <w:rFonts w:cs="Arial"/>
              </w:rPr>
              <w:t>PDUSetHandling</w:t>
            </w:r>
          </w:p>
        </w:tc>
      </w:tr>
      <w:tr w:rsidR="00307040" w:rsidRPr="000A0A5F" w:rsidTr="00FF0AF8">
        <w:trPr>
          <w:jc w:val="center"/>
        </w:trPr>
        <w:tc>
          <w:tcPr>
            <w:tcW w:w="1661" w:type="dxa"/>
            <w:shd w:val="clear" w:color="auto" w:fill="auto"/>
          </w:tcPr>
          <w:p w:rsidR="00307040" w:rsidRPr="000A0A5F" w:rsidRDefault="00307040" w:rsidP="00307040">
            <w:pPr>
              <w:pStyle w:val="TAL"/>
              <w:rPr>
                <w:rFonts w:hint="eastAsia"/>
                <w:lang w:eastAsia="zh-CN"/>
              </w:rPr>
            </w:pPr>
            <w:r w:rsidRPr="000A0A5F">
              <w:rPr>
                <w:rFonts w:hint="eastAsia"/>
                <w:lang w:eastAsia="zh-CN"/>
              </w:rPr>
              <w:t>r</w:t>
            </w:r>
            <w:r w:rsidRPr="000A0A5F">
              <w:rPr>
                <w:lang w:eastAsia="zh-CN"/>
              </w:rPr>
              <w:t>TLatencyInd</w:t>
            </w:r>
          </w:p>
        </w:tc>
        <w:tc>
          <w:tcPr>
            <w:tcW w:w="1842" w:type="dxa"/>
            <w:shd w:val="clear" w:color="auto" w:fill="auto"/>
          </w:tcPr>
          <w:p w:rsidR="00307040" w:rsidRPr="000A0A5F" w:rsidRDefault="00307040" w:rsidP="00307040">
            <w:pPr>
              <w:pStyle w:val="TAL"/>
              <w:rPr>
                <w:rFonts w:hint="eastAsia"/>
                <w:lang w:eastAsia="zh-CN"/>
              </w:rPr>
            </w:pPr>
            <w:r w:rsidRPr="000A0A5F">
              <w:rPr>
                <w:rFonts w:hint="eastAsia"/>
                <w:lang w:eastAsia="zh-CN"/>
              </w:rPr>
              <w:t>b</w:t>
            </w:r>
            <w:r w:rsidRPr="000A0A5F">
              <w:rPr>
                <w:lang w:eastAsia="zh-CN"/>
              </w:rPr>
              <w:t>oolean</w:t>
            </w:r>
          </w:p>
        </w:tc>
        <w:tc>
          <w:tcPr>
            <w:tcW w:w="1134" w:type="dxa"/>
          </w:tcPr>
          <w:p w:rsidR="00307040" w:rsidRPr="000A0A5F" w:rsidRDefault="00307040" w:rsidP="00307040">
            <w:pPr>
              <w:pStyle w:val="TAC"/>
              <w:jc w:val="left"/>
            </w:pPr>
            <w:r w:rsidRPr="000A0A5F">
              <w:t>0..1</w:t>
            </w:r>
          </w:p>
        </w:tc>
        <w:tc>
          <w:tcPr>
            <w:tcW w:w="3687" w:type="dxa"/>
          </w:tcPr>
          <w:p w:rsidR="00307040" w:rsidRPr="000A0A5F" w:rsidRDefault="00307040" w:rsidP="00307040">
            <w:pPr>
              <w:pStyle w:val="TAL"/>
            </w:pPr>
            <w:r w:rsidRPr="000A0A5F">
              <w:t>Indicates the service data flow needs to meet the Round-Trip (RT) latency requirement of the service, when it is included and set to "true". The default value is "false" if omitted.</w:t>
            </w:r>
          </w:p>
        </w:tc>
        <w:tc>
          <w:tcPr>
            <w:tcW w:w="1235" w:type="dxa"/>
          </w:tcPr>
          <w:p w:rsidR="00307040" w:rsidRPr="000A0A5F" w:rsidRDefault="00307040" w:rsidP="00307040">
            <w:pPr>
              <w:pStyle w:val="TAC"/>
              <w:jc w:val="left"/>
              <w:rPr>
                <w:rFonts w:cs="Arial"/>
                <w:szCs w:val="18"/>
              </w:rPr>
            </w:pPr>
            <w:r w:rsidRPr="000A0A5F">
              <w:rPr>
                <w:rFonts w:cs="Arial" w:hint="eastAsia"/>
                <w:lang w:eastAsia="zh-CN"/>
              </w:rPr>
              <w:t>R</w:t>
            </w:r>
            <w:r w:rsidRPr="000A0A5F">
              <w:rPr>
                <w:rFonts w:cs="Arial"/>
                <w:lang w:eastAsia="zh-CN"/>
              </w:rPr>
              <w:t>TLatency</w:t>
            </w:r>
          </w:p>
        </w:tc>
      </w:tr>
      <w:tr w:rsidR="0080605F" w:rsidRPr="000A0A5F" w:rsidTr="00FF0AF8">
        <w:trPr>
          <w:jc w:val="center"/>
        </w:trPr>
        <w:tc>
          <w:tcPr>
            <w:tcW w:w="1661" w:type="dxa"/>
            <w:shd w:val="clear" w:color="auto" w:fill="auto"/>
          </w:tcPr>
          <w:p w:rsidR="0080605F" w:rsidRPr="000A0A5F" w:rsidRDefault="0080605F" w:rsidP="0080605F">
            <w:pPr>
              <w:pStyle w:val="TAL"/>
              <w:rPr>
                <w:lang w:eastAsia="zh-CN"/>
              </w:rPr>
            </w:pPr>
            <w:r w:rsidRPr="000A0A5F">
              <w:t>protoDesc</w:t>
            </w:r>
          </w:p>
        </w:tc>
        <w:tc>
          <w:tcPr>
            <w:tcW w:w="1842" w:type="dxa"/>
            <w:shd w:val="clear" w:color="auto" w:fill="auto"/>
          </w:tcPr>
          <w:p w:rsidR="0080605F" w:rsidRPr="000A0A5F" w:rsidRDefault="0080605F" w:rsidP="0080605F">
            <w:pPr>
              <w:pStyle w:val="TAL"/>
              <w:rPr>
                <w:lang w:eastAsia="zh-CN"/>
              </w:rPr>
            </w:pPr>
            <w:r w:rsidRPr="000A0A5F">
              <w:t>ProtoDesc</w:t>
            </w:r>
          </w:p>
        </w:tc>
        <w:tc>
          <w:tcPr>
            <w:tcW w:w="1134" w:type="dxa"/>
          </w:tcPr>
          <w:p w:rsidR="0080605F" w:rsidRPr="000A0A5F" w:rsidRDefault="0080605F" w:rsidP="0080605F">
            <w:pPr>
              <w:pStyle w:val="TAC"/>
              <w:jc w:val="left"/>
            </w:pPr>
            <w:r w:rsidRPr="000A0A5F">
              <w:t>0..1</w:t>
            </w:r>
          </w:p>
        </w:tc>
        <w:tc>
          <w:tcPr>
            <w:tcW w:w="3687" w:type="dxa"/>
          </w:tcPr>
          <w:p w:rsidR="0080605F" w:rsidRPr="000A0A5F" w:rsidRDefault="0080605F" w:rsidP="0080605F">
            <w:pPr>
              <w:pStyle w:val="TAL"/>
            </w:pPr>
            <w:r w:rsidRPr="000A0A5F">
              <w:t>Protocol description for PDU Set identification and end of Data burst indication in UPF</w:t>
            </w:r>
          </w:p>
        </w:tc>
        <w:tc>
          <w:tcPr>
            <w:tcW w:w="1235" w:type="dxa"/>
          </w:tcPr>
          <w:p w:rsidR="0080605F" w:rsidRPr="000A0A5F" w:rsidRDefault="0080605F" w:rsidP="0080605F">
            <w:pPr>
              <w:pStyle w:val="TAC"/>
              <w:jc w:val="left"/>
              <w:rPr>
                <w:rFonts w:cs="Arial"/>
                <w:szCs w:val="18"/>
              </w:rPr>
            </w:pPr>
            <w:r w:rsidRPr="000A0A5F">
              <w:rPr>
                <w:rFonts w:cs="Arial"/>
              </w:rPr>
              <w:t>PDUSetHandling</w:t>
            </w:r>
          </w:p>
          <w:p w:rsidR="0080605F" w:rsidRPr="000A0A5F" w:rsidRDefault="0080605F" w:rsidP="0080605F">
            <w:pPr>
              <w:pStyle w:val="TAC"/>
              <w:jc w:val="left"/>
            </w:pPr>
            <w:r w:rsidRPr="000A0A5F">
              <w:t>PowerSaving</w:t>
            </w:r>
          </w:p>
        </w:tc>
      </w:tr>
      <w:tr w:rsidR="00FA36FD" w:rsidRPr="000A0A5F" w:rsidTr="00FF0AF8">
        <w:trPr>
          <w:jc w:val="center"/>
        </w:trPr>
        <w:tc>
          <w:tcPr>
            <w:tcW w:w="1661" w:type="dxa"/>
            <w:shd w:val="clear" w:color="auto" w:fill="auto"/>
          </w:tcPr>
          <w:p w:rsidR="00FA36FD" w:rsidRPr="000A0A5F" w:rsidRDefault="00FA36FD" w:rsidP="00FA36FD">
            <w:pPr>
              <w:pStyle w:val="TAL"/>
            </w:pPr>
            <w:r w:rsidRPr="000A0A5F">
              <w:rPr>
                <w:lang w:eastAsia="zh-CN"/>
              </w:rPr>
              <w:t>periodInfo</w:t>
            </w:r>
          </w:p>
        </w:tc>
        <w:tc>
          <w:tcPr>
            <w:tcW w:w="1842" w:type="dxa"/>
            <w:shd w:val="clear" w:color="auto" w:fill="auto"/>
          </w:tcPr>
          <w:p w:rsidR="00FA36FD" w:rsidRPr="000A0A5F" w:rsidRDefault="00FA36FD" w:rsidP="00FA36FD">
            <w:pPr>
              <w:pStyle w:val="TAL"/>
            </w:pPr>
            <w:r w:rsidRPr="000A0A5F">
              <w:t>PeriodicityInfo</w:t>
            </w:r>
          </w:p>
        </w:tc>
        <w:tc>
          <w:tcPr>
            <w:tcW w:w="1134" w:type="dxa"/>
          </w:tcPr>
          <w:p w:rsidR="00FA36FD" w:rsidRPr="000A0A5F" w:rsidRDefault="00FA36FD" w:rsidP="00FA36FD">
            <w:pPr>
              <w:pStyle w:val="TAC"/>
              <w:jc w:val="left"/>
            </w:pPr>
            <w:r w:rsidRPr="000A0A5F">
              <w:t>0..1</w:t>
            </w:r>
          </w:p>
        </w:tc>
        <w:tc>
          <w:tcPr>
            <w:tcW w:w="3687" w:type="dxa"/>
          </w:tcPr>
          <w:p w:rsidR="00FA36FD" w:rsidRPr="000A0A5F" w:rsidRDefault="00FA36FD" w:rsidP="00FA36FD">
            <w:pPr>
              <w:pStyle w:val="TAL"/>
            </w:pPr>
            <w:r w:rsidRPr="000A0A5F">
              <w:rPr>
                <w:rFonts w:hint="eastAsia"/>
              </w:rPr>
              <w:t>I</w:t>
            </w:r>
            <w:r w:rsidRPr="000A0A5F">
              <w:t>ndicates the time period between the start of the two data bursts in Uplink and/or Downlink direction.</w:t>
            </w:r>
          </w:p>
        </w:tc>
        <w:tc>
          <w:tcPr>
            <w:tcW w:w="1235" w:type="dxa"/>
          </w:tcPr>
          <w:p w:rsidR="00FA36FD" w:rsidRPr="000A0A5F" w:rsidRDefault="00A60F32" w:rsidP="00FA36FD">
            <w:pPr>
              <w:pStyle w:val="TAC"/>
              <w:jc w:val="left"/>
              <w:rPr>
                <w:rFonts w:cs="Arial"/>
                <w:szCs w:val="18"/>
              </w:rPr>
            </w:pPr>
            <w:r w:rsidRPr="000A0A5F">
              <w:t>PowerSaving</w:t>
            </w:r>
          </w:p>
        </w:tc>
      </w:tr>
      <w:tr w:rsidR="00FA36FD" w:rsidRPr="000A0A5F" w:rsidTr="00FF0AF8">
        <w:trPr>
          <w:jc w:val="center"/>
        </w:trPr>
        <w:tc>
          <w:tcPr>
            <w:tcW w:w="1661" w:type="dxa"/>
            <w:shd w:val="clear" w:color="auto" w:fill="auto"/>
          </w:tcPr>
          <w:p w:rsidR="00FA36FD" w:rsidRPr="000A0A5F" w:rsidRDefault="00FA36FD" w:rsidP="00FA36FD">
            <w:pPr>
              <w:pStyle w:val="TAL"/>
              <w:rPr>
                <w:lang w:eastAsia="zh-CN"/>
              </w:rPr>
            </w:pPr>
            <w:r w:rsidRPr="000A0A5F">
              <w:rPr>
                <w:rFonts w:hint="eastAsia"/>
                <w:lang w:eastAsia="zh-CN"/>
              </w:rPr>
              <w:t>p</w:t>
            </w:r>
            <w:r w:rsidRPr="000A0A5F">
              <w:rPr>
                <w:lang w:eastAsia="zh-CN"/>
              </w:rPr>
              <w:t>dvMon</w:t>
            </w:r>
          </w:p>
        </w:tc>
        <w:tc>
          <w:tcPr>
            <w:tcW w:w="1842" w:type="dxa"/>
            <w:shd w:val="clear" w:color="auto" w:fill="auto"/>
          </w:tcPr>
          <w:p w:rsidR="00FA36FD" w:rsidRPr="000A0A5F" w:rsidRDefault="00FA36FD" w:rsidP="00FA36FD">
            <w:pPr>
              <w:pStyle w:val="TAL"/>
            </w:pPr>
            <w:r w:rsidRPr="000A0A5F">
              <w:t>QosMonitoringInformation</w:t>
            </w:r>
          </w:p>
        </w:tc>
        <w:tc>
          <w:tcPr>
            <w:tcW w:w="1134" w:type="dxa"/>
          </w:tcPr>
          <w:p w:rsidR="00FA36FD" w:rsidRPr="000A0A5F" w:rsidRDefault="00FA36FD" w:rsidP="00FA36FD">
            <w:pPr>
              <w:pStyle w:val="TAC"/>
              <w:jc w:val="left"/>
            </w:pPr>
            <w:r w:rsidRPr="000A0A5F">
              <w:rPr>
                <w:rFonts w:hint="eastAsia"/>
                <w:lang w:eastAsia="zh-CN"/>
              </w:rPr>
              <w:t>0</w:t>
            </w:r>
            <w:r w:rsidRPr="000A0A5F">
              <w:rPr>
                <w:lang w:val="en-US" w:eastAsia="zh-CN"/>
              </w:rPr>
              <w:t>..1</w:t>
            </w:r>
          </w:p>
        </w:tc>
        <w:tc>
          <w:tcPr>
            <w:tcW w:w="3687" w:type="dxa"/>
          </w:tcPr>
          <w:p w:rsidR="00FA36FD" w:rsidRPr="000A0A5F" w:rsidRDefault="00510DDC" w:rsidP="00FA36FD">
            <w:pPr>
              <w:pStyle w:val="TAL"/>
              <w:rPr>
                <w:rFonts w:hint="eastAsia"/>
              </w:rPr>
            </w:pPr>
            <w:r w:rsidRPr="000A0A5F">
              <w:rPr>
                <w:lang w:eastAsia="zh-CN"/>
              </w:rPr>
              <w:t xml:space="preserve">Contains the Packet Delay Variation information for the subscribed report. </w:t>
            </w:r>
            <w:r w:rsidRPr="000A0A5F">
              <w:rPr>
                <w:rFonts w:cs="Arial"/>
                <w:szCs w:val="18"/>
              </w:rPr>
              <w:t>It shall be present when the event "</w:t>
            </w:r>
            <w:r w:rsidRPr="000A0A5F">
              <w:t>PACK_DELAY_VAR</w:t>
            </w:r>
            <w:r w:rsidRPr="000A0A5F">
              <w:rPr>
                <w:rFonts w:cs="Arial"/>
                <w:szCs w:val="18"/>
              </w:rPr>
              <w:t>" is subscribed.</w:t>
            </w:r>
          </w:p>
        </w:tc>
        <w:tc>
          <w:tcPr>
            <w:tcW w:w="1235" w:type="dxa"/>
          </w:tcPr>
          <w:p w:rsidR="00FA36FD" w:rsidRPr="000A0A5F" w:rsidRDefault="00DE6211" w:rsidP="00FA36FD">
            <w:pPr>
              <w:pStyle w:val="TAC"/>
              <w:jc w:val="left"/>
            </w:pPr>
            <w:r w:rsidRPr="000A0A5F">
              <w:rPr>
                <w:rFonts w:hint="eastAsia"/>
                <w:lang w:eastAsia="zh-CN"/>
              </w:rPr>
              <w:t>EnQoSMon</w:t>
            </w:r>
          </w:p>
        </w:tc>
      </w:tr>
      <w:tr w:rsidR="00FA36FD" w:rsidRPr="000A0A5F" w:rsidTr="00FF0AF8">
        <w:trPr>
          <w:jc w:val="center"/>
        </w:trPr>
        <w:tc>
          <w:tcPr>
            <w:tcW w:w="1661" w:type="dxa"/>
            <w:shd w:val="clear" w:color="auto" w:fill="auto"/>
          </w:tcPr>
          <w:p w:rsidR="00FA36FD" w:rsidRPr="000A0A5F" w:rsidRDefault="00FA36FD" w:rsidP="00FA36FD">
            <w:pPr>
              <w:pStyle w:val="TAL"/>
              <w:rPr>
                <w:lang w:eastAsia="zh-CN"/>
              </w:rPr>
            </w:pPr>
            <w:r w:rsidRPr="000A0A5F">
              <w:rPr>
                <w:lang w:eastAsia="zh-CN"/>
              </w:rPr>
              <w:t>qosDuration</w:t>
            </w:r>
          </w:p>
        </w:tc>
        <w:tc>
          <w:tcPr>
            <w:tcW w:w="1842" w:type="dxa"/>
            <w:shd w:val="clear" w:color="auto" w:fill="auto"/>
          </w:tcPr>
          <w:p w:rsidR="00FA36FD" w:rsidRPr="000A0A5F" w:rsidRDefault="00FA36FD" w:rsidP="00FA36FD">
            <w:pPr>
              <w:pStyle w:val="TAL"/>
            </w:pPr>
            <w:r w:rsidRPr="000A0A5F">
              <w:rPr>
                <w:rFonts w:hint="eastAsia"/>
                <w:lang w:eastAsia="zh-CN"/>
              </w:rPr>
              <w:t>Duration</w:t>
            </w:r>
            <w:r w:rsidRPr="000A0A5F">
              <w:rPr>
                <w:lang w:eastAsia="zh-CN"/>
              </w:rPr>
              <w:t>Sec</w:t>
            </w:r>
          </w:p>
        </w:tc>
        <w:tc>
          <w:tcPr>
            <w:tcW w:w="1134" w:type="dxa"/>
          </w:tcPr>
          <w:p w:rsidR="00FA36FD" w:rsidRPr="000A0A5F" w:rsidRDefault="00FA36FD" w:rsidP="00FA36FD">
            <w:pPr>
              <w:pStyle w:val="TAC"/>
              <w:jc w:val="left"/>
              <w:rPr>
                <w:lang w:eastAsia="zh-CN"/>
              </w:rPr>
            </w:pPr>
            <w:r w:rsidRPr="000A0A5F">
              <w:rPr>
                <w:lang w:eastAsia="zh-CN"/>
              </w:rPr>
              <w:t>0..1</w:t>
            </w:r>
          </w:p>
        </w:tc>
        <w:tc>
          <w:tcPr>
            <w:tcW w:w="3687" w:type="dxa"/>
          </w:tcPr>
          <w:p w:rsidR="00FA36FD" w:rsidRPr="000A0A5F" w:rsidRDefault="00FA36FD" w:rsidP="00FA36FD">
            <w:pPr>
              <w:pStyle w:val="TAL"/>
              <w:rPr>
                <w:lang w:eastAsia="zh-CN"/>
              </w:rPr>
            </w:pPr>
            <w:r w:rsidRPr="000A0A5F">
              <w:rPr>
                <w:lang w:eastAsia="zh-CN"/>
              </w:rPr>
              <w:t>Contains the QoS duration to transfer data traffic transmission (e.g., AI/ML transmission). The minimum value of the QoS duration shall be 60 sec.</w:t>
            </w:r>
          </w:p>
        </w:tc>
        <w:tc>
          <w:tcPr>
            <w:tcW w:w="1235" w:type="dxa"/>
          </w:tcPr>
          <w:p w:rsidR="00FA36FD" w:rsidRPr="000A0A5F" w:rsidRDefault="00FA36FD" w:rsidP="00FA36FD">
            <w:pPr>
              <w:pStyle w:val="TAC"/>
              <w:jc w:val="left"/>
              <w:rPr>
                <w:rFonts w:cs="Arial"/>
                <w:szCs w:val="18"/>
              </w:rPr>
            </w:pPr>
            <w:r w:rsidRPr="000A0A5F">
              <w:rPr>
                <w:rFonts w:cs="Arial"/>
              </w:rPr>
              <w:t>QoSTiming_5G</w:t>
            </w:r>
          </w:p>
        </w:tc>
      </w:tr>
      <w:tr w:rsidR="00FA36FD" w:rsidRPr="000A0A5F" w:rsidTr="00FF0AF8">
        <w:trPr>
          <w:jc w:val="center"/>
        </w:trPr>
        <w:tc>
          <w:tcPr>
            <w:tcW w:w="1661" w:type="dxa"/>
            <w:shd w:val="clear" w:color="auto" w:fill="auto"/>
          </w:tcPr>
          <w:p w:rsidR="00FA36FD" w:rsidRPr="000A0A5F" w:rsidRDefault="00FA36FD" w:rsidP="00FA36FD">
            <w:pPr>
              <w:pStyle w:val="TAL"/>
              <w:rPr>
                <w:lang w:eastAsia="zh-CN"/>
              </w:rPr>
            </w:pPr>
            <w:r w:rsidRPr="000A0A5F">
              <w:rPr>
                <w:lang w:eastAsia="zh-CN"/>
              </w:rPr>
              <w:t>qosInactInt</w:t>
            </w:r>
          </w:p>
        </w:tc>
        <w:tc>
          <w:tcPr>
            <w:tcW w:w="1842" w:type="dxa"/>
            <w:shd w:val="clear" w:color="auto" w:fill="auto"/>
          </w:tcPr>
          <w:p w:rsidR="00FA36FD" w:rsidRPr="000A0A5F" w:rsidRDefault="00FA36FD" w:rsidP="00FA36FD">
            <w:pPr>
              <w:pStyle w:val="TAL"/>
            </w:pPr>
            <w:r w:rsidRPr="000A0A5F">
              <w:rPr>
                <w:rFonts w:hint="eastAsia"/>
                <w:lang w:eastAsia="zh-CN"/>
              </w:rPr>
              <w:t>Duration</w:t>
            </w:r>
            <w:r w:rsidRPr="000A0A5F">
              <w:rPr>
                <w:lang w:eastAsia="zh-CN"/>
              </w:rPr>
              <w:t>Sec</w:t>
            </w:r>
          </w:p>
        </w:tc>
        <w:tc>
          <w:tcPr>
            <w:tcW w:w="1134" w:type="dxa"/>
          </w:tcPr>
          <w:p w:rsidR="00FA36FD" w:rsidRPr="000A0A5F" w:rsidRDefault="00FA36FD" w:rsidP="00FA36FD">
            <w:pPr>
              <w:pStyle w:val="TAC"/>
              <w:jc w:val="left"/>
              <w:rPr>
                <w:lang w:eastAsia="zh-CN"/>
              </w:rPr>
            </w:pPr>
            <w:r w:rsidRPr="000A0A5F">
              <w:rPr>
                <w:lang w:eastAsia="zh-CN"/>
              </w:rPr>
              <w:t>0..1</w:t>
            </w:r>
          </w:p>
        </w:tc>
        <w:tc>
          <w:tcPr>
            <w:tcW w:w="3687" w:type="dxa"/>
          </w:tcPr>
          <w:p w:rsidR="00FA36FD" w:rsidRPr="000A0A5F" w:rsidRDefault="00FA36FD" w:rsidP="00FA36FD">
            <w:pPr>
              <w:pStyle w:val="TAL"/>
              <w:rPr>
                <w:lang w:eastAsia="zh-CN"/>
              </w:rPr>
            </w:pPr>
            <w:r w:rsidRPr="000A0A5F">
              <w:rPr>
                <w:lang w:eastAsia="zh-CN"/>
              </w:rPr>
              <w:t xml:space="preserve">Contains the QoS inactivity interval for the given data traffic transmission (e.g., AI/ML transmission). The minimum value of the QoS inactivity interval shall be 60 sec. </w:t>
            </w:r>
          </w:p>
        </w:tc>
        <w:tc>
          <w:tcPr>
            <w:tcW w:w="1235" w:type="dxa"/>
          </w:tcPr>
          <w:p w:rsidR="00FA36FD" w:rsidRPr="000A0A5F" w:rsidRDefault="00FA36FD" w:rsidP="00FA36FD">
            <w:pPr>
              <w:pStyle w:val="TAC"/>
              <w:jc w:val="left"/>
              <w:rPr>
                <w:rFonts w:cs="Arial"/>
                <w:szCs w:val="18"/>
              </w:rPr>
            </w:pPr>
            <w:r w:rsidRPr="000A0A5F">
              <w:rPr>
                <w:rFonts w:cs="Arial"/>
              </w:rPr>
              <w:t>QoSTiming_5G</w:t>
            </w:r>
          </w:p>
        </w:tc>
      </w:tr>
      <w:tr w:rsidR="00DE6211" w:rsidRPr="000A0A5F" w:rsidTr="00FF0AF8">
        <w:trPr>
          <w:jc w:val="center"/>
        </w:trPr>
        <w:tc>
          <w:tcPr>
            <w:tcW w:w="1661" w:type="dxa"/>
            <w:shd w:val="clear" w:color="auto" w:fill="auto"/>
          </w:tcPr>
          <w:p w:rsidR="00DE6211" w:rsidRPr="000A0A5F" w:rsidRDefault="00DE6211" w:rsidP="00DE6211">
            <w:pPr>
              <w:pStyle w:val="TAL"/>
              <w:rPr>
                <w:lang w:eastAsia="zh-CN"/>
              </w:rPr>
            </w:pPr>
            <w:r w:rsidRPr="000A0A5F">
              <w:rPr>
                <w:lang w:eastAsia="zh-CN"/>
              </w:rPr>
              <w:t>rttMon</w:t>
            </w:r>
          </w:p>
        </w:tc>
        <w:tc>
          <w:tcPr>
            <w:tcW w:w="1842" w:type="dxa"/>
            <w:shd w:val="clear" w:color="auto" w:fill="auto"/>
          </w:tcPr>
          <w:p w:rsidR="00DE6211" w:rsidRPr="000A0A5F" w:rsidRDefault="00DE6211" w:rsidP="00DE6211">
            <w:pPr>
              <w:pStyle w:val="TAL"/>
            </w:pPr>
            <w:r w:rsidRPr="000A0A5F">
              <w:t>QosMonitoringInformation</w:t>
            </w:r>
          </w:p>
        </w:tc>
        <w:tc>
          <w:tcPr>
            <w:tcW w:w="1134" w:type="dxa"/>
          </w:tcPr>
          <w:p w:rsidR="00DE6211" w:rsidRPr="000A0A5F" w:rsidRDefault="00DE6211" w:rsidP="00DE6211">
            <w:pPr>
              <w:pStyle w:val="TAC"/>
              <w:jc w:val="left"/>
              <w:rPr>
                <w:lang w:eastAsia="zh-CN"/>
              </w:rPr>
            </w:pPr>
            <w:r w:rsidRPr="000A0A5F">
              <w:rPr>
                <w:lang w:eastAsia="zh-CN"/>
              </w:rPr>
              <w:t>0..1</w:t>
            </w:r>
          </w:p>
        </w:tc>
        <w:tc>
          <w:tcPr>
            <w:tcW w:w="3687" w:type="dxa"/>
          </w:tcPr>
          <w:p w:rsidR="00DE6211" w:rsidRPr="000A0A5F" w:rsidRDefault="00DE6211" w:rsidP="00DE6211">
            <w:pPr>
              <w:pStyle w:val="TAL"/>
              <w:rPr>
                <w:lang w:eastAsia="zh-CN"/>
              </w:rPr>
            </w:pPr>
            <w:r w:rsidRPr="000A0A5F">
              <w:rPr>
                <w:lang w:eastAsia="zh-CN"/>
              </w:rPr>
              <w:t>Contains the round-trip delay over two service data flow information for the subscribed report.</w:t>
            </w:r>
          </w:p>
          <w:p w:rsidR="00DE6211" w:rsidRPr="000A0A5F" w:rsidRDefault="00DE6211" w:rsidP="00DE6211">
            <w:pPr>
              <w:pStyle w:val="TAL"/>
              <w:rPr>
                <w:lang w:eastAsia="zh-CN"/>
              </w:rPr>
            </w:pPr>
            <w:r w:rsidRPr="000A0A5F">
              <w:rPr>
                <w:lang w:eastAsia="zh-CN"/>
              </w:rPr>
              <w:t>It shall be provided for</w:t>
            </w:r>
            <w:r w:rsidRPr="000A0A5F">
              <w:t xml:space="preserve"> "RT_DELAY_TWO_QOS_FLOWS" event.</w:t>
            </w:r>
          </w:p>
        </w:tc>
        <w:tc>
          <w:tcPr>
            <w:tcW w:w="1235" w:type="dxa"/>
          </w:tcPr>
          <w:p w:rsidR="00DE6211" w:rsidRPr="000A0A5F" w:rsidRDefault="00DE6211" w:rsidP="00DE6211">
            <w:pPr>
              <w:pStyle w:val="TAC"/>
              <w:jc w:val="left"/>
              <w:rPr>
                <w:rFonts w:cs="Arial"/>
                <w:szCs w:val="18"/>
              </w:rPr>
            </w:pPr>
            <w:r w:rsidRPr="000A0A5F">
              <w:rPr>
                <w:rFonts w:hint="eastAsia"/>
                <w:lang w:eastAsia="zh-CN"/>
              </w:rPr>
              <w:t>EnQoSMon</w:t>
            </w:r>
          </w:p>
        </w:tc>
      </w:tr>
      <w:tr w:rsidR="00DE6211" w:rsidRPr="000A0A5F" w:rsidTr="00FF0AF8">
        <w:trPr>
          <w:jc w:val="center"/>
        </w:trPr>
        <w:tc>
          <w:tcPr>
            <w:tcW w:w="1661" w:type="dxa"/>
            <w:shd w:val="clear" w:color="auto" w:fill="auto"/>
          </w:tcPr>
          <w:p w:rsidR="00DE6211" w:rsidRPr="000A0A5F" w:rsidRDefault="00DE6211" w:rsidP="00DE6211">
            <w:pPr>
              <w:pStyle w:val="TAL"/>
              <w:rPr>
                <w:lang w:eastAsia="zh-CN"/>
              </w:rPr>
            </w:pPr>
            <w:r w:rsidRPr="000A0A5F">
              <w:t>qosMonDatRate</w:t>
            </w:r>
          </w:p>
        </w:tc>
        <w:tc>
          <w:tcPr>
            <w:tcW w:w="1842" w:type="dxa"/>
            <w:shd w:val="clear" w:color="auto" w:fill="auto"/>
          </w:tcPr>
          <w:p w:rsidR="00DE6211" w:rsidRPr="000A0A5F" w:rsidRDefault="00DE6211" w:rsidP="00DE6211">
            <w:pPr>
              <w:pStyle w:val="TAL"/>
            </w:pPr>
            <w:r w:rsidRPr="000A0A5F">
              <w:t>QosMonitoringInformation</w:t>
            </w:r>
          </w:p>
        </w:tc>
        <w:tc>
          <w:tcPr>
            <w:tcW w:w="1134" w:type="dxa"/>
          </w:tcPr>
          <w:p w:rsidR="00DE6211" w:rsidRPr="000A0A5F" w:rsidRDefault="00DE6211" w:rsidP="00DE6211">
            <w:pPr>
              <w:pStyle w:val="TAC"/>
              <w:jc w:val="left"/>
              <w:rPr>
                <w:lang w:eastAsia="zh-CN"/>
              </w:rPr>
            </w:pPr>
            <w:r w:rsidRPr="000A0A5F">
              <w:rPr>
                <w:lang w:eastAsia="zh-CN"/>
              </w:rPr>
              <w:t>0..1</w:t>
            </w:r>
          </w:p>
        </w:tc>
        <w:tc>
          <w:tcPr>
            <w:tcW w:w="3687" w:type="dxa"/>
          </w:tcPr>
          <w:p w:rsidR="005D2EA0" w:rsidRDefault="00DE6211" w:rsidP="005D2EA0">
            <w:pPr>
              <w:pStyle w:val="TAL"/>
              <w:rPr>
                <w:rFonts w:cs="Arial"/>
                <w:szCs w:val="18"/>
              </w:rPr>
            </w:pPr>
            <w:r w:rsidRPr="000A0A5F">
              <w:rPr>
                <w:lang w:eastAsia="zh-CN"/>
              </w:rPr>
              <w:t xml:space="preserve">Contains the </w:t>
            </w:r>
            <w:r w:rsidRPr="000A0A5F">
              <w:rPr>
                <w:rFonts w:cs="Arial"/>
                <w:szCs w:val="18"/>
              </w:rPr>
              <w:t xml:space="preserve">data rate measurements information </w:t>
            </w:r>
            <w:r w:rsidRPr="000A0A5F">
              <w:rPr>
                <w:lang w:eastAsia="zh-CN"/>
              </w:rPr>
              <w:t>for the subscribed report</w:t>
            </w:r>
            <w:r w:rsidRPr="000A0A5F">
              <w:t xml:space="preserve">. </w:t>
            </w:r>
            <w:r w:rsidRPr="000A0A5F">
              <w:rPr>
                <w:rFonts w:cs="Arial"/>
                <w:szCs w:val="18"/>
              </w:rPr>
              <w:t>It shall be present when the event "QOS_MONITORING" is subscribed and data rate measurements are required.</w:t>
            </w:r>
          </w:p>
          <w:p w:rsidR="00DE6211" w:rsidRPr="000A0A5F" w:rsidRDefault="005D2EA0" w:rsidP="005D2EA0">
            <w:pPr>
              <w:pStyle w:val="TAL"/>
              <w:rPr>
                <w:lang w:eastAsia="zh-CN"/>
              </w:rPr>
            </w:pPr>
            <w:r w:rsidRPr="00176399">
              <w:rPr>
                <w:rFonts w:eastAsia="Times New Roman" w:cs="Arial"/>
                <w:szCs w:val="18"/>
              </w:rPr>
              <w:t>(NOTE </w:t>
            </w:r>
            <w:r>
              <w:rPr>
                <w:rFonts w:eastAsia="Times New Roman" w:cs="Arial"/>
                <w:szCs w:val="18"/>
              </w:rPr>
              <w:t>1</w:t>
            </w:r>
            <w:r w:rsidRPr="00176399">
              <w:rPr>
                <w:rFonts w:eastAsia="Times New Roman" w:cs="Arial"/>
                <w:szCs w:val="18"/>
              </w:rPr>
              <w:t>2)</w:t>
            </w:r>
          </w:p>
        </w:tc>
        <w:tc>
          <w:tcPr>
            <w:tcW w:w="1235" w:type="dxa"/>
          </w:tcPr>
          <w:p w:rsidR="005D2EA0" w:rsidRDefault="00DE6211" w:rsidP="005D2EA0">
            <w:pPr>
              <w:pStyle w:val="TAC"/>
              <w:jc w:val="left"/>
              <w:rPr>
                <w:rFonts w:cs="Arial"/>
                <w:szCs w:val="18"/>
              </w:rPr>
            </w:pPr>
            <w:r w:rsidRPr="000A0A5F">
              <w:rPr>
                <w:rFonts w:hint="eastAsia"/>
                <w:lang w:eastAsia="zh-CN"/>
              </w:rPr>
              <w:t>EnQoSMon</w:t>
            </w:r>
          </w:p>
          <w:p w:rsidR="00DE6211" w:rsidRPr="000A0A5F" w:rsidRDefault="005D2EA0" w:rsidP="005D2EA0">
            <w:pPr>
              <w:pStyle w:val="TAC"/>
              <w:jc w:val="left"/>
              <w:rPr>
                <w:rFonts w:cs="Arial"/>
                <w:szCs w:val="18"/>
              </w:rPr>
            </w:pPr>
            <w:r>
              <w:rPr>
                <w:rFonts w:cs="Arial"/>
                <w:szCs w:val="18"/>
              </w:rPr>
              <w:t>ListUE_5G</w:t>
            </w:r>
          </w:p>
        </w:tc>
      </w:tr>
      <w:tr w:rsidR="00DE6211" w:rsidRPr="000A0A5F" w:rsidTr="00FF0AF8">
        <w:trPr>
          <w:jc w:val="center"/>
        </w:trPr>
        <w:tc>
          <w:tcPr>
            <w:tcW w:w="1661" w:type="dxa"/>
            <w:shd w:val="clear" w:color="auto" w:fill="auto"/>
          </w:tcPr>
          <w:p w:rsidR="00DE6211" w:rsidRPr="000A0A5F" w:rsidRDefault="00DE6211" w:rsidP="00DE6211">
            <w:pPr>
              <w:pStyle w:val="TAL"/>
            </w:pPr>
            <w:r w:rsidRPr="000A0A5F">
              <w:rPr>
                <w:lang w:eastAsia="zh-CN"/>
              </w:rPr>
              <w:t>avrgWndw</w:t>
            </w:r>
          </w:p>
        </w:tc>
        <w:tc>
          <w:tcPr>
            <w:tcW w:w="1842" w:type="dxa"/>
            <w:shd w:val="clear" w:color="auto" w:fill="auto"/>
          </w:tcPr>
          <w:p w:rsidR="00DE6211" w:rsidRPr="000A0A5F" w:rsidRDefault="00DE6211" w:rsidP="00DE6211">
            <w:pPr>
              <w:pStyle w:val="TAL"/>
            </w:pPr>
            <w:r w:rsidRPr="000A0A5F">
              <w:rPr>
                <w:lang w:eastAsia="zh-CN"/>
              </w:rPr>
              <w:t>AverWindow</w:t>
            </w:r>
          </w:p>
        </w:tc>
        <w:tc>
          <w:tcPr>
            <w:tcW w:w="1134" w:type="dxa"/>
          </w:tcPr>
          <w:p w:rsidR="00DE6211" w:rsidRPr="000A0A5F" w:rsidRDefault="00DE6211" w:rsidP="00DE6211">
            <w:pPr>
              <w:pStyle w:val="TAC"/>
              <w:jc w:val="left"/>
              <w:rPr>
                <w:lang w:eastAsia="zh-CN"/>
              </w:rPr>
            </w:pPr>
            <w:r w:rsidRPr="000A0A5F">
              <w:rPr>
                <w:lang w:eastAsia="zh-CN"/>
              </w:rPr>
              <w:t>0..1</w:t>
            </w:r>
          </w:p>
        </w:tc>
        <w:tc>
          <w:tcPr>
            <w:tcW w:w="3687" w:type="dxa"/>
          </w:tcPr>
          <w:p w:rsidR="00DE6211" w:rsidRPr="000A0A5F" w:rsidRDefault="00DE6211" w:rsidP="00DE6211">
            <w:pPr>
              <w:pStyle w:val="TAL"/>
            </w:pPr>
            <w:r w:rsidRPr="000A0A5F">
              <w:rPr>
                <w:lang w:eastAsia="zh-CN"/>
              </w:rPr>
              <w:t xml:space="preserve">Averaging window for the calculation of the data rate for the service data flow. It may be present when the </w:t>
            </w:r>
            <w:r w:rsidRPr="000A0A5F">
              <w:t>"</w:t>
            </w:r>
            <w:r w:rsidRPr="000A0A5F">
              <w:rPr>
                <w:lang w:eastAsia="zh-CN"/>
              </w:rPr>
              <w:t>qosMonDatRate</w:t>
            </w:r>
            <w:r w:rsidRPr="000A0A5F">
              <w:t>"</w:t>
            </w:r>
            <w:r w:rsidRPr="000A0A5F">
              <w:rPr>
                <w:lang w:eastAsia="zh-CN"/>
              </w:rPr>
              <w:t xml:space="preserve"> attribute is present.</w:t>
            </w:r>
          </w:p>
        </w:tc>
        <w:tc>
          <w:tcPr>
            <w:tcW w:w="1235" w:type="dxa"/>
          </w:tcPr>
          <w:p w:rsidR="00DE6211" w:rsidRPr="000A0A5F" w:rsidRDefault="00DE6211" w:rsidP="00DE6211">
            <w:pPr>
              <w:pStyle w:val="TAC"/>
              <w:jc w:val="left"/>
              <w:rPr>
                <w:rFonts w:cs="Arial"/>
                <w:szCs w:val="18"/>
              </w:rPr>
            </w:pPr>
            <w:bookmarkStart w:id="9116" w:name="OLE_LINK5"/>
            <w:r w:rsidRPr="000A0A5F">
              <w:rPr>
                <w:lang w:eastAsia="zh-CN"/>
              </w:rPr>
              <w:t>XRM_5G</w:t>
            </w:r>
            <w:bookmarkEnd w:id="9116"/>
          </w:p>
        </w:tc>
      </w:tr>
      <w:tr w:rsidR="00DE6211" w:rsidRPr="000A0A5F" w:rsidTr="00FF0AF8">
        <w:trPr>
          <w:jc w:val="center"/>
        </w:trPr>
        <w:tc>
          <w:tcPr>
            <w:tcW w:w="1661" w:type="dxa"/>
            <w:shd w:val="clear" w:color="auto" w:fill="auto"/>
          </w:tcPr>
          <w:p w:rsidR="00DE6211" w:rsidRPr="000A0A5F" w:rsidRDefault="00DE6211" w:rsidP="00DE6211">
            <w:pPr>
              <w:pStyle w:val="TAL"/>
              <w:rPr>
                <w:lang w:eastAsia="zh-CN"/>
              </w:rPr>
            </w:pPr>
            <w:r w:rsidRPr="000A0A5F">
              <w:t>servAuthInfo</w:t>
            </w:r>
          </w:p>
        </w:tc>
        <w:tc>
          <w:tcPr>
            <w:tcW w:w="1842" w:type="dxa"/>
            <w:shd w:val="clear" w:color="auto" w:fill="auto"/>
          </w:tcPr>
          <w:p w:rsidR="00DE6211" w:rsidRPr="000A0A5F" w:rsidRDefault="00DE6211" w:rsidP="00DE6211">
            <w:pPr>
              <w:pStyle w:val="TAL"/>
              <w:rPr>
                <w:lang w:eastAsia="zh-CN"/>
              </w:rPr>
            </w:pPr>
            <w:r w:rsidRPr="000A0A5F">
              <w:t>ServAuthInfo</w:t>
            </w:r>
          </w:p>
        </w:tc>
        <w:tc>
          <w:tcPr>
            <w:tcW w:w="1134" w:type="dxa"/>
          </w:tcPr>
          <w:p w:rsidR="00DE6211" w:rsidRPr="000A0A5F" w:rsidRDefault="00DE6211" w:rsidP="00DE6211">
            <w:pPr>
              <w:pStyle w:val="TAC"/>
              <w:jc w:val="left"/>
              <w:rPr>
                <w:lang w:eastAsia="zh-CN"/>
              </w:rPr>
            </w:pPr>
            <w:r w:rsidRPr="000A0A5F">
              <w:rPr>
                <w:rFonts w:hint="eastAsia"/>
                <w:lang w:eastAsia="zh-CN"/>
              </w:rPr>
              <w:t>0</w:t>
            </w:r>
            <w:r w:rsidRPr="000A0A5F">
              <w:rPr>
                <w:lang w:eastAsia="zh-CN"/>
              </w:rPr>
              <w:t>..1</w:t>
            </w:r>
          </w:p>
        </w:tc>
        <w:tc>
          <w:tcPr>
            <w:tcW w:w="3687" w:type="dxa"/>
          </w:tcPr>
          <w:p w:rsidR="00DE6211" w:rsidRPr="000A0A5F" w:rsidRDefault="00DE6211" w:rsidP="00DE6211">
            <w:pPr>
              <w:pStyle w:val="TAL"/>
              <w:rPr>
                <w:rFonts w:cs="Arial"/>
                <w:szCs w:val="18"/>
              </w:rPr>
            </w:pPr>
            <w:r w:rsidRPr="000A0A5F">
              <w:rPr>
                <w:rFonts w:cs="Arial"/>
                <w:szCs w:val="18"/>
              </w:rPr>
              <w:t>Indicates the authorization result for the QoS monitoring request.</w:t>
            </w:r>
          </w:p>
          <w:p w:rsidR="00DE6211" w:rsidRPr="000A0A5F" w:rsidRDefault="00DE6211" w:rsidP="00DE6211">
            <w:pPr>
              <w:pStyle w:val="TAL"/>
              <w:rPr>
                <w:lang w:eastAsia="zh-CN"/>
              </w:rPr>
            </w:pPr>
            <w:r w:rsidRPr="000A0A5F">
              <w:t>Supplied by the NEF.</w:t>
            </w:r>
          </w:p>
        </w:tc>
        <w:tc>
          <w:tcPr>
            <w:tcW w:w="1235" w:type="dxa"/>
          </w:tcPr>
          <w:p w:rsidR="00DE6211" w:rsidRPr="000A0A5F" w:rsidRDefault="00DE6211" w:rsidP="00DE6211">
            <w:pPr>
              <w:pStyle w:val="TAC"/>
              <w:jc w:val="left"/>
              <w:rPr>
                <w:lang w:eastAsia="zh-CN"/>
              </w:rPr>
            </w:pPr>
            <w:r w:rsidRPr="000A0A5F">
              <w:rPr>
                <w:rFonts w:hint="eastAsia"/>
                <w:lang w:eastAsia="zh-CN"/>
              </w:rPr>
              <w:t>EnQoSMon</w:t>
            </w:r>
          </w:p>
        </w:tc>
      </w:tr>
      <w:tr w:rsidR="00DE6211" w:rsidRPr="000A0A5F" w:rsidTr="00FF0AF8">
        <w:trPr>
          <w:jc w:val="center"/>
        </w:trPr>
        <w:tc>
          <w:tcPr>
            <w:tcW w:w="1661" w:type="dxa"/>
            <w:shd w:val="clear" w:color="auto" w:fill="auto"/>
          </w:tcPr>
          <w:p w:rsidR="00DE6211" w:rsidRPr="000A0A5F" w:rsidRDefault="00DE6211" w:rsidP="00DE6211">
            <w:pPr>
              <w:pStyle w:val="TAL"/>
              <w:rPr>
                <w:lang w:eastAsia="zh-CN"/>
              </w:rPr>
            </w:pPr>
            <w:r w:rsidRPr="000A0A5F">
              <w:rPr>
                <w:lang w:eastAsia="zh-CN"/>
              </w:rPr>
              <w:t>qosMonConReq</w:t>
            </w:r>
          </w:p>
        </w:tc>
        <w:tc>
          <w:tcPr>
            <w:tcW w:w="1842" w:type="dxa"/>
            <w:shd w:val="clear" w:color="auto" w:fill="auto"/>
          </w:tcPr>
          <w:p w:rsidR="00DE6211" w:rsidRPr="000A0A5F" w:rsidRDefault="00DE6211" w:rsidP="00DE6211">
            <w:pPr>
              <w:pStyle w:val="TAL"/>
            </w:pPr>
            <w:r w:rsidRPr="000A0A5F">
              <w:t>QosMonitoringInformation</w:t>
            </w:r>
          </w:p>
        </w:tc>
        <w:tc>
          <w:tcPr>
            <w:tcW w:w="1134" w:type="dxa"/>
          </w:tcPr>
          <w:p w:rsidR="00DE6211" w:rsidRPr="000A0A5F" w:rsidRDefault="00DE6211" w:rsidP="00DE6211">
            <w:pPr>
              <w:pStyle w:val="TAC"/>
              <w:jc w:val="left"/>
              <w:rPr>
                <w:lang w:eastAsia="zh-CN"/>
              </w:rPr>
            </w:pPr>
            <w:r w:rsidRPr="000A0A5F">
              <w:rPr>
                <w:rFonts w:hint="eastAsia"/>
                <w:lang w:eastAsia="zh-CN"/>
              </w:rPr>
              <w:t>0</w:t>
            </w:r>
            <w:r w:rsidRPr="000A0A5F">
              <w:rPr>
                <w:lang w:val="en-US" w:eastAsia="zh-CN"/>
              </w:rPr>
              <w:t>..1</w:t>
            </w:r>
          </w:p>
        </w:tc>
        <w:tc>
          <w:tcPr>
            <w:tcW w:w="3687" w:type="dxa"/>
          </w:tcPr>
          <w:p w:rsidR="00DE6211" w:rsidRPr="000A0A5F" w:rsidRDefault="00DE6211" w:rsidP="00DE6211">
            <w:pPr>
              <w:pStyle w:val="TAL"/>
              <w:rPr>
                <w:rFonts w:cs="Arial"/>
                <w:szCs w:val="18"/>
              </w:rPr>
            </w:pPr>
            <w:r w:rsidRPr="000A0A5F">
              <w:rPr>
                <w:lang w:eastAsia="zh-CN"/>
              </w:rPr>
              <w:t xml:space="preserve">Contains the </w:t>
            </w:r>
            <w:r w:rsidRPr="000A0A5F">
              <w:t xml:space="preserve">requirements of the congestion information (ECN marking percentage) monitoring and reporting. </w:t>
            </w:r>
            <w:r w:rsidRPr="000A0A5F">
              <w:rPr>
                <w:rFonts w:cs="Arial"/>
                <w:szCs w:val="18"/>
              </w:rPr>
              <w:t>It shall be present when the event "QOS_MONITORING" is subscribed and congestion information measurements are required.</w:t>
            </w:r>
          </w:p>
        </w:tc>
        <w:tc>
          <w:tcPr>
            <w:tcW w:w="1235" w:type="dxa"/>
          </w:tcPr>
          <w:p w:rsidR="00DE6211" w:rsidRPr="000A0A5F" w:rsidRDefault="00DE6211" w:rsidP="00DE6211">
            <w:pPr>
              <w:pStyle w:val="TAC"/>
              <w:jc w:val="left"/>
              <w:rPr>
                <w:rFonts w:cs="Arial"/>
                <w:szCs w:val="18"/>
              </w:rPr>
            </w:pPr>
            <w:r w:rsidRPr="000A0A5F">
              <w:rPr>
                <w:rFonts w:hint="eastAsia"/>
                <w:lang w:eastAsia="zh-CN"/>
              </w:rPr>
              <w:t>EnQoSMon</w:t>
            </w:r>
          </w:p>
        </w:tc>
      </w:tr>
      <w:tr w:rsidR="005D2EA0" w:rsidRPr="000A0A5F" w:rsidTr="00FF0AF8">
        <w:trPr>
          <w:jc w:val="center"/>
        </w:trPr>
        <w:tc>
          <w:tcPr>
            <w:tcW w:w="1661" w:type="dxa"/>
            <w:shd w:val="clear" w:color="auto" w:fill="auto"/>
          </w:tcPr>
          <w:p w:rsidR="005D2EA0" w:rsidRDefault="005D2EA0" w:rsidP="005D2EA0">
            <w:pPr>
              <w:pStyle w:val="TAL"/>
              <w:rPr>
                <w:lang w:eastAsia="zh-CN"/>
              </w:rPr>
            </w:pPr>
            <w:r>
              <w:t>listUeConsDtRt</w:t>
            </w:r>
          </w:p>
        </w:tc>
        <w:tc>
          <w:tcPr>
            <w:tcW w:w="1842" w:type="dxa"/>
            <w:shd w:val="clear" w:color="auto" w:fill="auto"/>
          </w:tcPr>
          <w:p w:rsidR="005D2EA0" w:rsidRDefault="005D2EA0" w:rsidP="005D2EA0">
            <w:pPr>
              <w:pStyle w:val="TAL"/>
              <w:rPr>
                <w:lang w:eastAsia="zh-CN"/>
              </w:rPr>
            </w:pPr>
            <w:r>
              <w:t>array(IpAddr)</w:t>
            </w:r>
          </w:p>
        </w:tc>
        <w:tc>
          <w:tcPr>
            <w:tcW w:w="1134" w:type="dxa"/>
          </w:tcPr>
          <w:p w:rsidR="005D2EA0" w:rsidRDefault="005D2EA0" w:rsidP="005D2EA0">
            <w:pPr>
              <w:pStyle w:val="TAC"/>
              <w:jc w:val="left"/>
              <w:rPr>
                <w:lang w:eastAsia="zh-CN"/>
              </w:rPr>
            </w:pPr>
            <w:r>
              <w:t>0..N</w:t>
            </w:r>
          </w:p>
        </w:tc>
        <w:tc>
          <w:tcPr>
            <w:tcW w:w="3687" w:type="dxa"/>
          </w:tcPr>
          <w:p w:rsidR="005D2EA0" w:rsidRPr="00176399" w:rsidRDefault="005D2EA0" w:rsidP="005D2EA0">
            <w:pPr>
              <w:pStyle w:val="TAL"/>
              <w:rPr>
                <w:rFonts w:eastAsia="Times New Roman" w:cs="Arial"/>
                <w:szCs w:val="18"/>
              </w:rPr>
            </w:pPr>
            <w:r w:rsidRPr="00176399">
              <w:rPr>
                <w:rFonts w:eastAsia="Times New Roman" w:cs="Arial"/>
                <w:szCs w:val="18"/>
              </w:rPr>
              <w:t xml:space="preserve">Identifies </w:t>
            </w:r>
            <w:r>
              <w:t>the list of UE addresses subject for Consolidated Data Rate monitoring</w:t>
            </w:r>
            <w:r w:rsidRPr="00176399">
              <w:rPr>
                <w:rFonts w:eastAsia="Times New Roman" w:cs="Arial"/>
                <w:szCs w:val="18"/>
              </w:rPr>
              <w:t>.</w:t>
            </w:r>
          </w:p>
          <w:p w:rsidR="005D2EA0" w:rsidRDefault="005D2EA0" w:rsidP="005D2EA0">
            <w:pPr>
              <w:pStyle w:val="TAL"/>
              <w:rPr>
                <w:rFonts w:cs="Arial"/>
                <w:szCs w:val="18"/>
                <w:lang w:eastAsia="zh-CN"/>
              </w:rPr>
            </w:pPr>
            <w:r w:rsidRPr="00176399">
              <w:rPr>
                <w:rFonts w:eastAsia="Times New Roman" w:cs="Arial"/>
                <w:szCs w:val="18"/>
              </w:rPr>
              <w:t>(NOTE </w:t>
            </w:r>
            <w:r>
              <w:rPr>
                <w:rFonts w:eastAsia="Times New Roman" w:cs="Arial"/>
                <w:szCs w:val="18"/>
              </w:rPr>
              <w:t>1</w:t>
            </w:r>
            <w:r w:rsidRPr="00176399">
              <w:rPr>
                <w:rFonts w:eastAsia="Times New Roman" w:cs="Arial"/>
                <w:szCs w:val="18"/>
              </w:rPr>
              <w:t>2)</w:t>
            </w:r>
          </w:p>
        </w:tc>
        <w:tc>
          <w:tcPr>
            <w:tcW w:w="1235" w:type="dxa"/>
          </w:tcPr>
          <w:p w:rsidR="005D2EA0" w:rsidRDefault="005D2EA0" w:rsidP="005D2EA0">
            <w:pPr>
              <w:pStyle w:val="TAC"/>
              <w:jc w:val="left"/>
            </w:pPr>
            <w:r>
              <w:t>ListUE_5G</w:t>
            </w:r>
          </w:p>
        </w:tc>
      </w:tr>
      <w:tr w:rsidR="005D2EA0" w:rsidRPr="000A0A5F" w:rsidTr="00FF0AF8">
        <w:trPr>
          <w:jc w:val="center"/>
        </w:trPr>
        <w:tc>
          <w:tcPr>
            <w:tcW w:w="9559" w:type="dxa"/>
            <w:gridSpan w:val="5"/>
            <w:shd w:val="clear" w:color="auto" w:fill="auto"/>
          </w:tcPr>
          <w:p w:rsidR="005D2EA0" w:rsidRPr="000A0A5F" w:rsidRDefault="005D2EA0" w:rsidP="005D2EA0">
            <w:pPr>
              <w:pStyle w:val="TAN"/>
              <w:rPr>
                <w:lang w:eastAsia="zh-CN"/>
              </w:rPr>
            </w:pPr>
            <w:r w:rsidRPr="000A0A5F">
              <w:rPr>
                <w:lang w:eastAsia="zh-CN"/>
              </w:rPr>
              <w:t>NOTE 1:</w:t>
            </w:r>
            <w:r w:rsidRPr="000A0A5F">
              <w:rPr>
                <w:lang w:eastAsia="zh-CN"/>
              </w:rPr>
              <w:tab/>
              <w:t>Properties marked with a feature as defined in clause 5.14.4 are applicable as described in clause 5.2.7. If no features are indicated, the related property applies for all the features.</w:t>
            </w:r>
          </w:p>
          <w:p w:rsidR="005D2EA0" w:rsidRPr="000A0A5F" w:rsidRDefault="005D2EA0" w:rsidP="005D2EA0">
            <w:pPr>
              <w:pStyle w:val="TAN"/>
            </w:pPr>
            <w:r w:rsidRPr="000A0A5F">
              <w:rPr>
                <w:lang w:eastAsia="zh-CN"/>
              </w:rPr>
              <w:t>NOTE 2:</w:t>
            </w:r>
            <w:r w:rsidRPr="000A0A5F">
              <w:rPr>
                <w:lang w:eastAsia="zh-CN"/>
              </w:rPr>
              <w:tab/>
            </w:r>
            <w:r w:rsidRPr="000A0A5F">
              <w:t>When the GMEC_5G feature is not supported,</w:t>
            </w:r>
            <w:r w:rsidRPr="000A0A5F">
              <w:rPr>
                <w:lang w:val="en-US" w:eastAsia="zh-CN"/>
              </w:rPr>
              <w:t xml:space="preserve"> one of</w:t>
            </w:r>
            <w:r w:rsidRPr="000A0A5F">
              <w:rPr>
                <w:rFonts w:hint="eastAsia"/>
                <w:lang w:eastAsia="zh-CN"/>
              </w:rPr>
              <w:t xml:space="preserve"> </w:t>
            </w:r>
            <w:r w:rsidRPr="000A0A5F">
              <w:rPr>
                <w:lang w:eastAsia="zh-CN"/>
              </w:rPr>
              <w:t>"</w:t>
            </w:r>
            <w:r w:rsidRPr="000A0A5F">
              <w:rPr>
                <w:rFonts w:hint="eastAsia"/>
                <w:lang w:eastAsia="zh-CN"/>
              </w:rPr>
              <w:t>ueIp</w:t>
            </w:r>
            <w:r w:rsidRPr="000A0A5F">
              <w:rPr>
                <w:lang w:eastAsia="zh-CN"/>
              </w:rPr>
              <w:t>v4</w:t>
            </w:r>
            <w:r w:rsidRPr="000A0A5F">
              <w:rPr>
                <w:rFonts w:hint="eastAsia"/>
                <w:lang w:eastAsia="zh-CN"/>
              </w:rPr>
              <w:t>Add</w:t>
            </w:r>
            <w:r w:rsidRPr="000A0A5F">
              <w:rPr>
                <w:lang w:eastAsia="zh-CN"/>
              </w:rPr>
              <w:t>r", "</w:t>
            </w:r>
            <w:r w:rsidRPr="000A0A5F">
              <w:rPr>
                <w:rFonts w:hint="eastAsia"/>
                <w:lang w:eastAsia="zh-CN"/>
              </w:rPr>
              <w:t>ueIpv6Addr</w:t>
            </w:r>
            <w:r w:rsidRPr="000A0A5F">
              <w:rPr>
                <w:lang w:eastAsia="zh-CN"/>
              </w:rPr>
              <w:t>" or "</w:t>
            </w:r>
            <w:r w:rsidRPr="000A0A5F">
              <w:rPr>
                <w:rFonts w:hint="eastAsia"/>
                <w:lang w:eastAsia="zh-CN"/>
              </w:rPr>
              <w:t>m</w:t>
            </w:r>
            <w:r w:rsidRPr="000A0A5F">
              <w:rPr>
                <w:lang w:eastAsia="zh-CN"/>
              </w:rPr>
              <w:t>ac</w:t>
            </w:r>
            <w:r w:rsidRPr="000A0A5F">
              <w:rPr>
                <w:rFonts w:hint="eastAsia"/>
                <w:lang w:eastAsia="zh-CN"/>
              </w:rPr>
              <w:t>Addr</w:t>
            </w:r>
            <w:r w:rsidRPr="000A0A5F">
              <w:rPr>
                <w:lang w:eastAsia="zh-CN"/>
              </w:rPr>
              <w:t xml:space="preserve">" or </w:t>
            </w:r>
            <w:r w:rsidRPr="000A0A5F">
              <w:t>"</w:t>
            </w:r>
            <w:r w:rsidRPr="000A0A5F">
              <w:rPr>
                <w:lang w:eastAsia="zh-CN"/>
              </w:rPr>
              <w:t>listUeAddrs</w:t>
            </w:r>
            <w:r w:rsidRPr="000A0A5F">
              <w:t>"</w:t>
            </w:r>
            <w:r w:rsidRPr="000A0A5F">
              <w:rPr>
                <w:lang w:eastAsia="zh-CN"/>
              </w:rPr>
              <w:t xml:space="preserve"> shall be included. If ipv4 or ipv6 address is provided, IP flow information shall be provided. If MAC address is provided and the AppId feature is not supported, </w:t>
            </w:r>
            <w:r w:rsidRPr="000A0A5F">
              <w:t xml:space="preserve">Ethernet flow information (either "ethFlowInfo", or if the feature EnEthAsSessionQoS_5G is supported, "enEthFlowInfo") shall be provided. If the AppId feature is supported, one of </w:t>
            </w:r>
            <w:r w:rsidRPr="000A0A5F">
              <w:rPr>
                <w:lang w:eastAsia="zh-CN"/>
              </w:rPr>
              <w:t>IP flow information, Ethernet flow information (if Eth</w:t>
            </w:r>
            <w:r w:rsidRPr="000A0A5F">
              <w:t>AsSessionQoS</w:t>
            </w:r>
            <w:r w:rsidRPr="000A0A5F">
              <w:rPr>
                <w:lang w:eastAsia="zh-CN"/>
              </w:rPr>
              <w:t>_5G and/or EnEth</w:t>
            </w:r>
            <w:r w:rsidRPr="000A0A5F">
              <w:t xml:space="preserve">AsSessionQoS_5G </w:t>
            </w:r>
            <w:r w:rsidRPr="000A0A5F">
              <w:rPr>
                <w:lang w:eastAsia="zh-CN"/>
              </w:rPr>
              <w:t>is supported) or External Application Identifier</w:t>
            </w:r>
            <w:r w:rsidRPr="000A0A5F">
              <w:t xml:space="preserve"> shall be provided.</w:t>
            </w:r>
          </w:p>
          <w:p w:rsidR="005D2EA0" w:rsidRPr="000A0A5F" w:rsidRDefault="005D2EA0" w:rsidP="005D2EA0">
            <w:pPr>
              <w:pStyle w:val="TAN"/>
            </w:pPr>
            <w:r w:rsidRPr="000A0A5F">
              <w:t>NOTE 3:</w:t>
            </w:r>
            <w:r w:rsidRPr="000A0A5F">
              <w:tab/>
              <w:t>The property is only applicable for the NEF.</w:t>
            </w:r>
          </w:p>
          <w:p w:rsidR="005D2EA0" w:rsidRPr="000A0A5F" w:rsidRDefault="005D2EA0" w:rsidP="005D2EA0">
            <w:pPr>
              <w:pStyle w:val="TAN"/>
            </w:pPr>
            <w:r w:rsidRPr="000A0A5F">
              <w:t>NOTE 4:</w:t>
            </w:r>
            <w:r w:rsidRPr="000A0A5F">
              <w:tab/>
              <w:t>The attributes "altQoSReferences" and "altQosReqs" are mutually exclusive. The attributes "qosReference" and "altQosReqs" are also mutually exclusive.</w:t>
            </w:r>
          </w:p>
          <w:p w:rsidR="005D2EA0" w:rsidRPr="000A0A5F" w:rsidRDefault="005D2EA0" w:rsidP="005D2EA0">
            <w:pPr>
              <w:pStyle w:val="TAN"/>
            </w:pPr>
            <w:r w:rsidRPr="000A0A5F">
              <w:t>NOTE 5:</w:t>
            </w:r>
            <w:r w:rsidRPr="000A0A5F">
              <w:tab/>
              <w:t>The attributes "reqGbrDl", "reqGbrUl", "reqMbrDl", "reqMbrUl", "maxTscBurstSize", "req5Gsdelay", "reqPer" (if the ExtQoS_5G feature is supported), and "priority" within the "tscQosReq" attribute may be provided only if the "qosReference" attribute is not provided.</w:t>
            </w:r>
          </w:p>
          <w:p w:rsidR="005D2EA0" w:rsidRPr="000A0A5F" w:rsidRDefault="005D2EA0" w:rsidP="005D2EA0">
            <w:pPr>
              <w:pStyle w:val="TAN"/>
            </w:pPr>
            <w:r w:rsidRPr="000A0A5F">
              <w:t>NOTE 6:</w:t>
            </w:r>
            <w:r w:rsidRPr="000A0A5F">
              <w:tab/>
              <w:t>When the Ethernet flow information is provided and, the EthAsSessionQoS_5G and EnEthAsSessionQoS_5G features are supported, either the "ethFlowInfo" or the "enEthFlowInfo" shall be provided, but not both simultenously.</w:t>
            </w:r>
          </w:p>
          <w:p w:rsidR="005D2EA0" w:rsidRPr="000A0A5F" w:rsidRDefault="005D2EA0" w:rsidP="005D2EA0">
            <w:pPr>
              <w:pStyle w:val="TAN"/>
            </w:pPr>
            <w:r w:rsidRPr="000A0A5F">
              <w:t>NOTE 7:</w:t>
            </w:r>
            <w:r w:rsidRPr="000A0A5F">
              <w:tab/>
              <w:t>The "tosTC" attribute of the "flowInfo" attribute may only be present if the "ToSTC_5G" feature is supported.</w:t>
            </w:r>
          </w:p>
          <w:p w:rsidR="005D2EA0" w:rsidRPr="000A0A5F" w:rsidRDefault="005D2EA0" w:rsidP="005D2EA0">
            <w:pPr>
              <w:pStyle w:val="TAN"/>
            </w:pPr>
            <w:r w:rsidRPr="000A0A5F">
              <w:t>NOTE 8:</w:t>
            </w:r>
            <w:r w:rsidRPr="000A0A5F">
              <w:tab/>
              <w:t>The attributes "exterAppId", "flowInfo", "ethFlowInfo", "enEthFlowInfo", "qosReference", "altQoSReferences", "altQosReqs", "tscQosReq", "qosMonInfo" may be provided only if the "multiModDatFlows" attribute is not provided.</w:t>
            </w:r>
          </w:p>
          <w:p w:rsidR="005D2EA0" w:rsidRPr="000A0A5F" w:rsidRDefault="005D2EA0" w:rsidP="005D2EA0">
            <w:pPr>
              <w:pStyle w:val="TAN"/>
              <w:rPr>
                <w:lang w:eastAsia="zh-CN"/>
              </w:rPr>
            </w:pPr>
            <w:r w:rsidRPr="000A0A5F">
              <w:t>NOTE 9:</w:t>
            </w:r>
            <w:r w:rsidRPr="000A0A5F">
              <w:tab/>
              <w:t>When the "ListUE_5G" feature is supported, the "listUeAddrs" attribute shall be provided, and either "exterAppId" attribute or "flowInfo" attribute shall be provided.</w:t>
            </w:r>
          </w:p>
          <w:p w:rsidR="005D2EA0" w:rsidRPr="000A0A5F" w:rsidRDefault="005D2EA0" w:rsidP="005D2EA0">
            <w:pPr>
              <w:pStyle w:val="TAN"/>
            </w:pPr>
            <w:r w:rsidRPr="000A0A5F">
              <w:t>NOTE 10:</w:t>
            </w:r>
            <w:r w:rsidRPr="000A0A5F">
              <w:tab/>
              <w:t>When the GMEC_5G feature is supported and the target UE(s) are not identified by UE address(es) ("</w:t>
            </w:r>
            <w:r w:rsidRPr="000A0A5F">
              <w:rPr>
                <w:rFonts w:hint="eastAsia"/>
                <w:lang w:eastAsia="zh-CN"/>
              </w:rPr>
              <w:t>ueIp</w:t>
            </w:r>
            <w:r w:rsidRPr="000A0A5F">
              <w:rPr>
                <w:lang w:eastAsia="zh-CN"/>
              </w:rPr>
              <w:t>v4</w:t>
            </w:r>
            <w:r w:rsidRPr="000A0A5F">
              <w:rPr>
                <w:rFonts w:hint="eastAsia"/>
                <w:lang w:eastAsia="zh-CN"/>
              </w:rPr>
              <w:t>Add</w:t>
            </w:r>
            <w:r w:rsidRPr="000A0A5F">
              <w:rPr>
                <w:lang w:eastAsia="zh-CN"/>
              </w:rPr>
              <w:t>r", "</w:t>
            </w:r>
            <w:r w:rsidRPr="000A0A5F">
              <w:rPr>
                <w:rFonts w:hint="eastAsia"/>
                <w:lang w:eastAsia="zh-CN"/>
              </w:rPr>
              <w:t>ueIpv6Addr</w:t>
            </w:r>
            <w:r w:rsidRPr="000A0A5F">
              <w:rPr>
                <w:lang w:eastAsia="zh-CN"/>
              </w:rPr>
              <w:t>", "</w:t>
            </w:r>
            <w:r w:rsidRPr="000A0A5F">
              <w:rPr>
                <w:rFonts w:hint="eastAsia"/>
                <w:lang w:eastAsia="zh-CN"/>
              </w:rPr>
              <w:t>m</w:t>
            </w:r>
            <w:r w:rsidRPr="000A0A5F">
              <w:rPr>
                <w:lang w:eastAsia="zh-CN"/>
              </w:rPr>
              <w:t>ac</w:t>
            </w:r>
            <w:r w:rsidRPr="000A0A5F">
              <w:rPr>
                <w:rFonts w:hint="eastAsia"/>
                <w:lang w:eastAsia="zh-CN"/>
              </w:rPr>
              <w:t>Addr</w:t>
            </w:r>
            <w:r w:rsidRPr="000A0A5F">
              <w:rPr>
                <w:lang w:eastAsia="zh-CN"/>
              </w:rPr>
              <w:t>", or "listUEAddrs")</w:t>
            </w:r>
            <w:r w:rsidRPr="000A0A5F">
              <w:t xml:space="preserve">, the "extGroupId" attribute and the "gpsi" attribute are mutually exclusive. Either one of them shall be provided. If </w:t>
            </w:r>
            <w:r w:rsidRPr="000A0A5F">
              <w:rPr>
                <w:lang w:eastAsia="zh-CN"/>
              </w:rPr>
              <w:t>either the "gpsi" attribute or the "</w:t>
            </w:r>
            <w:r w:rsidRPr="000A0A5F">
              <w:t>e</w:t>
            </w:r>
            <w:r w:rsidRPr="000A0A5F">
              <w:rPr>
                <w:rFonts w:hint="eastAsia"/>
              </w:rPr>
              <w:t>xtGroup</w:t>
            </w:r>
            <w:r w:rsidRPr="000A0A5F">
              <w:t xml:space="preserve">Id" </w:t>
            </w:r>
            <w:r w:rsidRPr="000A0A5F">
              <w:rPr>
                <w:lang w:eastAsia="zh-CN"/>
              </w:rPr>
              <w:t xml:space="preserve">attribute are </w:t>
            </w:r>
            <w:r w:rsidRPr="000A0A5F">
              <w:t>present, then neither the "ueIpv4Addr" attribute, the "ueIpv6Addr" attribute nor the "macAddr" attribute shall be included.</w:t>
            </w:r>
          </w:p>
          <w:p w:rsidR="005D2EA0" w:rsidRDefault="005D2EA0" w:rsidP="005D2EA0">
            <w:pPr>
              <w:pStyle w:val="TAN"/>
            </w:pPr>
            <w:r w:rsidRPr="00B752B1">
              <w:t>NOTE</w:t>
            </w:r>
            <w:r>
              <w:t> 11</w:t>
            </w:r>
            <w:r w:rsidRPr="00B752B1">
              <w:t>:</w:t>
            </w:r>
            <w:r w:rsidRPr="00B752B1">
              <w:tab/>
            </w:r>
            <w:r>
              <w:t>When the GMEC</w:t>
            </w:r>
            <w:r w:rsidRPr="003031D7">
              <w:t>_5G feature is supported</w:t>
            </w:r>
            <w:r>
              <w:t xml:space="preserve">, either the "exterAppId" attribute, "flowInfo" attribute or </w:t>
            </w:r>
            <w:r w:rsidRPr="000760B1">
              <w:t>Ethernet flow information (either "ethFlowInfo"</w:t>
            </w:r>
            <w:r>
              <w:t xml:space="preserve"> attribute</w:t>
            </w:r>
            <w:r w:rsidRPr="000760B1">
              <w:t xml:space="preserve"> or "enEthFlowInfo"</w:t>
            </w:r>
            <w:r>
              <w:t xml:space="preserve"> attribute</w:t>
            </w:r>
            <w:r w:rsidRPr="000760B1">
              <w:t>)</w:t>
            </w:r>
            <w:r>
              <w:t xml:space="preserve"> shall be provided.</w:t>
            </w:r>
          </w:p>
          <w:p w:rsidR="005D2EA0" w:rsidRPr="000A0A5F" w:rsidRDefault="005D2EA0" w:rsidP="005D2EA0">
            <w:pPr>
              <w:pStyle w:val="TAN"/>
              <w:rPr>
                <w:rFonts w:eastAsia="Times New Roman"/>
              </w:rPr>
            </w:pPr>
            <w:r w:rsidRPr="00B752B1">
              <w:t>NOTE</w:t>
            </w:r>
            <w:r>
              <w:t> 12</w:t>
            </w:r>
            <w:r w:rsidRPr="00B752B1">
              <w:t>:</w:t>
            </w:r>
            <w:r w:rsidRPr="00B752B1">
              <w:tab/>
            </w:r>
            <w:r>
              <w:t xml:space="preserve">When the </w:t>
            </w:r>
            <w:r w:rsidRPr="00E93E1C">
              <w:rPr>
                <w:noProof/>
                <w:lang w:eastAsia="zh-CN"/>
              </w:rPr>
              <w:t>"ListUE_5G" feature is supported</w:t>
            </w:r>
            <w:r>
              <w:rPr>
                <w:noProof/>
                <w:lang w:eastAsia="zh-CN"/>
              </w:rPr>
              <w:t xml:space="preserve"> and the </w:t>
            </w:r>
            <w:r w:rsidRPr="00940168">
              <w:rPr>
                <w:noProof/>
                <w:lang w:eastAsia="zh-CN"/>
              </w:rPr>
              <w:t>"qosMon</w:t>
            </w:r>
            <w:r>
              <w:rPr>
                <w:noProof/>
                <w:lang w:eastAsia="zh-CN"/>
              </w:rPr>
              <w:t>DatRate</w:t>
            </w:r>
            <w:r w:rsidRPr="00940168">
              <w:rPr>
                <w:noProof/>
                <w:lang w:eastAsia="zh-CN"/>
              </w:rPr>
              <w:t>"</w:t>
            </w:r>
            <w:r>
              <w:rPr>
                <w:noProof/>
                <w:lang w:eastAsia="zh-CN"/>
              </w:rPr>
              <w:t xml:space="preserve"> attribute is provided, t</w:t>
            </w:r>
            <w:r>
              <w:t xml:space="preserve">he </w:t>
            </w:r>
            <w:bookmarkStart w:id="9117" w:name="_Hlk150843478"/>
            <w:r w:rsidRPr="00E93E1C">
              <w:rPr>
                <w:noProof/>
                <w:lang w:eastAsia="zh-CN"/>
              </w:rPr>
              <w:t>"</w:t>
            </w:r>
            <w:r>
              <w:rPr>
                <w:lang w:eastAsia="zh-CN"/>
              </w:rPr>
              <w:t>consDataRateThrDl</w:t>
            </w:r>
            <w:r w:rsidRPr="00E93E1C">
              <w:rPr>
                <w:noProof/>
                <w:lang w:eastAsia="zh-CN"/>
              </w:rPr>
              <w:t>"</w:t>
            </w:r>
            <w:r>
              <w:rPr>
                <w:noProof/>
                <w:lang w:eastAsia="zh-CN"/>
              </w:rPr>
              <w:t xml:space="preserve"> and </w:t>
            </w:r>
            <w:r w:rsidRPr="00940168">
              <w:rPr>
                <w:noProof/>
                <w:lang w:eastAsia="zh-CN"/>
              </w:rPr>
              <w:t>"</w:t>
            </w:r>
            <w:r>
              <w:rPr>
                <w:lang w:eastAsia="zh-CN"/>
              </w:rPr>
              <w:t>consDataRateThrUl</w:t>
            </w:r>
            <w:r w:rsidRPr="00940168">
              <w:rPr>
                <w:noProof/>
                <w:lang w:eastAsia="zh-CN"/>
              </w:rPr>
              <w:t>"</w:t>
            </w:r>
            <w:r>
              <w:rPr>
                <w:noProof/>
                <w:lang w:eastAsia="zh-CN"/>
              </w:rPr>
              <w:t xml:space="preserve"> attributes </w:t>
            </w:r>
            <w:bookmarkEnd w:id="9117"/>
            <w:r>
              <w:rPr>
                <w:noProof/>
                <w:lang w:eastAsia="zh-CN"/>
              </w:rPr>
              <w:t xml:space="preserve">contained in </w:t>
            </w:r>
            <w:r w:rsidRPr="00940168">
              <w:rPr>
                <w:noProof/>
                <w:lang w:eastAsia="zh-CN"/>
              </w:rPr>
              <w:t>"qosMon</w:t>
            </w:r>
            <w:r>
              <w:rPr>
                <w:noProof/>
                <w:lang w:eastAsia="zh-CN"/>
              </w:rPr>
              <w:t>DatRate</w:t>
            </w:r>
            <w:r w:rsidRPr="00940168">
              <w:rPr>
                <w:noProof/>
                <w:lang w:eastAsia="zh-CN"/>
              </w:rPr>
              <w:t>"</w:t>
            </w:r>
            <w:r>
              <w:rPr>
                <w:noProof/>
                <w:lang w:eastAsia="zh-CN"/>
              </w:rPr>
              <w:t xml:space="preserve"> attribute indicate the </w:t>
            </w:r>
            <w:r w:rsidRPr="000451F4">
              <w:rPr>
                <w:noProof/>
                <w:lang w:eastAsia="zh-CN"/>
              </w:rPr>
              <w:t xml:space="preserve">upper bound of the aggregated </w:t>
            </w:r>
            <w:r>
              <w:rPr>
                <w:noProof/>
                <w:lang w:eastAsia="zh-CN"/>
              </w:rPr>
              <w:t xml:space="preserve">DL/UL </w:t>
            </w:r>
            <w:r w:rsidRPr="000451F4">
              <w:rPr>
                <w:noProof/>
                <w:lang w:eastAsia="zh-CN"/>
              </w:rPr>
              <w:t xml:space="preserve">data rate </w:t>
            </w:r>
            <w:r>
              <w:rPr>
                <w:rFonts w:hint="eastAsia"/>
                <w:noProof/>
                <w:lang w:eastAsia="zh-CN"/>
              </w:rPr>
              <w:t>and</w:t>
            </w:r>
            <w:r>
              <w:rPr>
                <w:noProof/>
                <w:lang w:eastAsia="zh-CN"/>
              </w:rPr>
              <w:t xml:space="preserve"> </w:t>
            </w:r>
            <w:r>
              <w:t>by default</w:t>
            </w:r>
            <w:r>
              <w:rPr>
                <w:rFonts w:hint="eastAsia"/>
                <w:lang w:eastAsia="zh-CN"/>
              </w:rPr>
              <w:t>,</w:t>
            </w:r>
            <w:r>
              <w:t xml:space="preserve"> </w:t>
            </w:r>
            <w:r>
              <w:rPr>
                <w:rFonts w:hint="eastAsia"/>
                <w:lang w:eastAsia="zh-CN"/>
              </w:rPr>
              <w:t>are</w:t>
            </w:r>
            <w:r>
              <w:t xml:space="preserve"> </w:t>
            </w:r>
            <w:r>
              <w:rPr>
                <w:rFonts w:hint="eastAsia"/>
                <w:lang w:eastAsia="zh-CN"/>
              </w:rPr>
              <w:t>applicable</w:t>
            </w:r>
            <w:r>
              <w:t xml:space="preserve"> to the </w:t>
            </w:r>
            <w:r>
              <w:rPr>
                <w:rFonts w:hint="eastAsia"/>
                <w:lang w:eastAsia="zh-CN"/>
              </w:rPr>
              <w:t>list</w:t>
            </w:r>
            <w:r>
              <w:t xml:space="preserve"> </w:t>
            </w:r>
            <w:r>
              <w:rPr>
                <w:rFonts w:hint="eastAsia"/>
                <w:lang w:eastAsia="zh-CN"/>
              </w:rPr>
              <w:t>of</w:t>
            </w:r>
            <w:r>
              <w:t xml:space="preserve"> UE</w:t>
            </w:r>
            <w:r>
              <w:rPr>
                <w:rFonts w:hint="eastAsia"/>
                <w:lang w:eastAsia="zh-CN"/>
              </w:rPr>
              <w:t>s</w:t>
            </w:r>
            <w:r>
              <w:t xml:space="preserve"> </w:t>
            </w:r>
            <w:r>
              <w:rPr>
                <w:rFonts w:hint="eastAsia"/>
                <w:lang w:eastAsia="zh-CN"/>
              </w:rPr>
              <w:t>specified</w:t>
            </w:r>
            <w:r>
              <w:rPr>
                <w:lang w:eastAsia="zh-CN"/>
              </w:rPr>
              <w:t xml:space="preserve"> </w:t>
            </w:r>
            <w:r>
              <w:rPr>
                <w:rFonts w:hint="eastAsia"/>
                <w:lang w:eastAsia="zh-CN"/>
              </w:rPr>
              <w:t>by</w:t>
            </w:r>
            <w:r>
              <w:rPr>
                <w:lang w:eastAsia="zh-CN"/>
              </w:rPr>
              <w:t xml:space="preserve"> </w:t>
            </w:r>
            <w:r>
              <w:rPr>
                <w:rFonts w:hint="eastAsia"/>
                <w:lang w:eastAsia="zh-CN"/>
              </w:rPr>
              <w:t>the</w:t>
            </w:r>
            <w:r>
              <w:rPr>
                <w:lang w:eastAsia="zh-CN"/>
              </w:rPr>
              <w:t xml:space="preserve"> </w:t>
            </w:r>
            <w:r>
              <w:t>"listUeAddrs" attribute. If the "listUeConsDtRt" attribute is also provided, then it has to be the subset of "listUeAddrs" attribute.</w:t>
            </w:r>
          </w:p>
        </w:tc>
      </w:tr>
    </w:tbl>
    <w:p w:rsidR="00CB0DD7" w:rsidRPr="000A0A5F" w:rsidRDefault="00CB0DD7">
      <w:pPr>
        <w:rPr>
          <w:u w:val="single"/>
        </w:rPr>
      </w:pPr>
    </w:p>
    <w:p w:rsidR="00492243" w:rsidRPr="000A0A5F" w:rsidRDefault="00492243" w:rsidP="00905D83">
      <w:pPr>
        <w:pStyle w:val="EditorsNote"/>
        <w:rPr>
          <w:rFonts w:eastAsia="Times New Roman"/>
        </w:rPr>
      </w:pPr>
      <w:r w:rsidRPr="000A0A5F">
        <w:rPr>
          <w:rFonts w:eastAsia="Times New Roman"/>
        </w:rPr>
        <w:t xml:space="preserve">Editor’s </w:t>
      </w:r>
      <w:r w:rsidR="004820DC">
        <w:rPr>
          <w:rFonts w:eastAsia="Times New Roman"/>
        </w:rPr>
        <w:t>N</w:t>
      </w:r>
      <w:r w:rsidR="004820DC" w:rsidRPr="000A0A5F">
        <w:rPr>
          <w:rFonts w:eastAsia="Times New Roman"/>
        </w:rPr>
        <w:t>ote</w:t>
      </w:r>
      <w:r w:rsidRPr="000A0A5F">
        <w:rPr>
          <w:rFonts w:eastAsia="Times New Roman"/>
        </w:rPr>
        <w:t>: I</w:t>
      </w:r>
      <w:r w:rsidRPr="000A0A5F">
        <w:t>t is FFS whether other IEs within the "tscQosReq" attribute than "req5Gsdealy" attribute can apply for multi-modal communication services</w:t>
      </w:r>
      <w:r w:rsidRPr="000A0A5F">
        <w:rPr>
          <w:rFonts w:eastAsia="Times New Roman"/>
        </w:rPr>
        <w:t>.</w:t>
      </w:r>
    </w:p>
    <w:p w:rsidR="009F079F" w:rsidRPr="00860286" w:rsidRDefault="009F079F" w:rsidP="009F079F">
      <w:pPr>
        <w:pStyle w:val="EditorsNote"/>
      </w:pPr>
      <w:bookmarkStart w:id="9118" w:name="_Hlk143798720"/>
      <w:r w:rsidRPr="00860286">
        <w:t xml:space="preserve">Editor’s </w:t>
      </w:r>
      <w:r w:rsidR="004820DC">
        <w:t>N</w:t>
      </w:r>
      <w:r w:rsidRPr="00860286">
        <w:t xml:space="preserve">ote: </w:t>
      </w:r>
      <w:r w:rsidRPr="00176399">
        <w:t xml:space="preserve">It is FFS whether </w:t>
      </w:r>
      <w:r>
        <w:t>the port number requires the transport protocol (like UDP, TCP) for completion or not.</w:t>
      </w:r>
    </w:p>
    <w:bookmarkEnd w:id="9118"/>
    <w:p w:rsidR="002D3D3A" w:rsidRPr="000A0A5F" w:rsidRDefault="002D3D3A" w:rsidP="002D3D3A">
      <w:pPr>
        <w:pStyle w:val="EditorsNote"/>
      </w:pPr>
      <w:r w:rsidRPr="000A0A5F">
        <w:t>Editor’s Note: Whether the rttMon attribute is needed or the qosMonInfo attribute can be used instead to convey both, packet delay and RTT measurements information requires further discussion.</w:t>
      </w:r>
    </w:p>
    <w:p w:rsidR="002F6485" w:rsidRPr="000A0A5F" w:rsidRDefault="002F6485" w:rsidP="002F6485">
      <w:pPr>
        <w:pStyle w:val="EditorsNote"/>
        <w:tabs>
          <w:tab w:val="left" w:pos="3200"/>
        </w:tabs>
        <w:overflowPunct w:val="0"/>
        <w:autoSpaceDE w:val="0"/>
        <w:autoSpaceDN w:val="0"/>
        <w:adjustRightInd w:val="0"/>
        <w:ind w:left="1559" w:hanging="1276"/>
        <w:textAlignment w:val="baseline"/>
        <w:rPr>
          <w:lang w:eastAsia="en-GB"/>
        </w:rPr>
      </w:pPr>
      <w:r w:rsidRPr="000A0A5F">
        <w:rPr>
          <w:lang w:eastAsia="en-GB"/>
        </w:rPr>
        <w:t xml:space="preserve">Editor’s </w:t>
      </w:r>
      <w:r w:rsidR="004820DC">
        <w:rPr>
          <w:lang w:eastAsia="en-GB"/>
        </w:rPr>
        <w:t>N</w:t>
      </w:r>
      <w:r w:rsidR="004820DC" w:rsidRPr="000A0A5F">
        <w:rPr>
          <w:lang w:eastAsia="en-GB"/>
        </w:rPr>
        <w:t>ote</w:t>
      </w:r>
      <w:r w:rsidRPr="000A0A5F">
        <w:rPr>
          <w:lang w:eastAsia="en-GB"/>
        </w:rPr>
        <w:t>:</w:t>
      </w:r>
      <w:r w:rsidR="004820DC">
        <w:rPr>
          <w:lang w:eastAsia="en-GB"/>
        </w:rPr>
        <w:t xml:space="preserve"> </w:t>
      </w:r>
      <w:r w:rsidRPr="000A0A5F">
        <w:rPr>
          <w:lang w:eastAsia="en-GB"/>
        </w:rPr>
        <w:t>Whether the applicable reporting frequency for the Data Rate QoS monitoring can be event triggered and/or periodic is FFS.</w:t>
      </w:r>
    </w:p>
    <w:p w:rsidR="002961BB" w:rsidRPr="000A0A5F" w:rsidRDefault="002961BB" w:rsidP="002961BB">
      <w:pPr>
        <w:pStyle w:val="EditorsNote"/>
      </w:pPr>
      <w:r w:rsidRPr="000A0A5F">
        <w:t>Editor’s Note: It is FFS whether the QoS monitoring requirements for congestion measurements are different than the ones for packet delay, i.e., it is FFS whether reporting period and reporting frequency apply, or different criteria needs to be applied.</w:t>
      </w:r>
    </w:p>
    <w:p w:rsidR="00492243" w:rsidRPr="000A0A5F" w:rsidRDefault="00492243">
      <w:pPr>
        <w:rPr>
          <w:u w:val="single"/>
        </w:rPr>
      </w:pPr>
    </w:p>
    <w:p w:rsidR="00CB0DD7" w:rsidRPr="000A0A5F" w:rsidRDefault="00CB0DD7">
      <w:pPr>
        <w:pStyle w:val="Heading5"/>
      </w:pPr>
      <w:bookmarkStart w:id="9119" w:name="_Toc11247880"/>
      <w:bookmarkStart w:id="9120" w:name="_Toc27045024"/>
      <w:bookmarkStart w:id="9121" w:name="_Toc36034066"/>
      <w:bookmarkStart w:id="9122" w:name="_Toc45132213"/>
      <w:bookmarkStart w:id="9123" w:name="_Toc49776498"/>
      <w:bookmarkStart w:id="9124" w:name="_Toc51747418"/>
      <w:bookmarkStart w:id="9125" w:name="_Toc66360997"/>
      <w:bookmarkStart w:id="9126" w:name="_Toc68105502"/>
      <w:bookmarkStart w:id="9127" w:name="_Toc74756132"/>
      <w:bookmarkStart w:id="9128" w:name="_Toc105675009"/>
      <w:bookmarkStart w:id="9129" w:name="_Toc130503077"/>
      <w:bookmarkStart w:id="9130" w:name="_Toc153625865"/>
      <w:r w:rsidRPr="000A0A5F">
        <w:t>5.14.2.1.3</w:t>
      </w:r>
      <w:r w:rsidRPr="000A0A5F">
        <w:tab/>
        <w:t>Type: AsSessionWithQoSSubscriptionPatch</w:t>
      </w:r>
      <w:bookmarkEnd w:id="9119"/>
      <w:bookmarkEnd w:id="9120"/>
      <w:bookmarkEnd w:id="9121"/>
      <w:bookmarkEnd w:id="9122"/>
      <w:bookmarkEnd w:id="9123"/>
      <w:bookmarkEnd w:id="9124"/>
      <w:bookmarkEnd w:id="9125"/>
      <w:bookmarkEnd w:id="9126"/>
      <w:bookmarkEnd w:id="9127"/>
      <w:bookmarkEnd w:id="9128"/>
      <w:bookmarkEnd w:id="9129"/>
      <w:bookmarkEnd w:id="9130"/>
    </w:p>
    <w:p w:rsidR="00CB0DD7" w:rsidRPr="000A0A5F" w:rsidRDefault="00CB0DD7">
      <w:r w:rsidRPr="000A0A5F">
        <w:t>This type represents an AS session request with specific QoS for the service provided by the SCS/AS to the SCEF via T8 interface. The structure is used for PATCH request.</w:t>
      </w:r>
    </w:p>
    <w:p w:rsidR="00CB0DD7" w:rsidRPr="000A0A5F" w:rsidRDefault="00CB0DD7">
      <w:pPr>
        <w:pStyle w:val="TH"/>
      </w:pPr>
      <w:r w:rsidRPr="000A0A5F">
        <w:rPr>
          <w:noProof/>
        </w:rPr>
        <w:t>Table </w:t>
      </w:r>
      <w:r w:rsidRPr="000A0A5F">
        <w:t xml:space="preserve">5.14.2.1.3-1: </w:t>
      </w:r>
      <w:r w:rsidRPr="000A0A5F">
        <w:rPr>
          <w:noProof/>
        </w:rPr>
        <w:t xml:space="preserve">Definition of type </w:t>
      </w:r>
      <w:r w:rsidRPr="000A0A5F">
        <w:t>AsSessionWithQoSSubscriptionPatch</w:t>
      </w:r>
    </w:p>
    <w:tbl>
      <w:tblPr>
        <w:tblW w:w="955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61"/>
        <w:gridCol w:w="1842"/>
        <w:gridCol w:w="1134"/>
        <w:gridCol w:w="3687"/>
        <w:gridCol w:w="1235"/>
        <w:tblGridChange w:id="9131">
          <w:tblGrid>
            <w:gridCol w:w="1661"/>
            <w:gridCol w:w="1842"/>
            <w:gridCol w:w="1134"/>
            <w:gridCol w:w="3687"/>
            <w:gridCol w:w="1235"/>
          </w:tblGrid>
        </w:tblGridChange>
      </w:tblGrid>
      <w:tr w:rsidR="00CB0DD7" w:rsidRPr="000A0A5F" w:rsidTr="00FF0AF8">
        <w:trPr>
          <w:trHeight w:val="288"/>
          <w:jc w:val="center"/>
        </w:trPr>
        <w:tc>
          <w:tcPr>
            <w:tcW w:w="1661" w:type="dxa"/>
            <w:shd w:val="clear" w:color="auto" w:fill="C0C0C0"/>
          </w:tcPr>
          <w:p w:rsidR="00CB0DD7" w:rsidRPr="000A0A5F" w:rsidRDefault="00CB0DD7">
            <w:pPr>
              <w:pStyle w:val="TAH"/>
              <w:rPr>
                <w:rFonts w:eastAsia="Times New Roman"/>
              </w:rPr>
            </w:pPr>
            <w:r w:rsidRPr="000A0A5F">
              <w:rPr>
                <w:rFonts w:eastAsia="Times New Roman"/>
              </w:rPr>
              <w:t>Attribute name</w:t>
            </w:r>
          </w:p>
        </w:tc>
        <w:tc>
          <w:tcPr>
            <w:tcW w:w="1842" w:type="dxa"/>
            <w:shd w:val="clear" w:color="auto" w:fill="C0C0C0"/>
          </w:tcPr>
          <w:p w:rsidR="00CB0DD7" w:rsidRPr="000A0A5F" w:rsidRDefault="00CB0DD7">
            <w:pPr>
              <w:pStyle w:val="TAH"/>
              <w:rPr>
                <w:rFonts w:eastAsia="Times New Roman"/>
              </w:rPr>
            </w:pPr>
            <w:r w:rsidRPr="000A0A5F">
              <w:rPr>
                <w:rFonts w:eastAsia="Times New Roman"/>
              </w:rPr>
              <w:t>Data type</w:t>
            </w:r>
          </w:p>
        </w:tc>
        <w:tc>
          <w:tcPr>
            <w:tcW w:w="1134" w:type="dxa"/>
            <w:shd w:val="clear" w:color="auto" w:fill="C0C0C0"/>
          </w:tcPr>
          <w:p w:rsidR="00CB0DD7" w:rsidRPr="000A0A5F" w:rsidRDefault="00CB0DD7">
            <w:pPr>
              <w:pStyle w:val="TAH"/>
              <w:rPr>
                <w:rFonts w:eastAsia="Times New Roman"/>
              </w:rPr>
            </w:pPr>
            <w:r w:rsidRPr="000A0A5F">
              <w:rPr>
                <w:rFonts w:eastAsia="Times New Roman"/>
              </w:rPr>
              <w:t>Cardinality</w:t>
            </w:r>
          </w:p>
        </w:tc>
        <w:tc>
          <w:tcPr>
            <w:tcW w:w="3687"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Description</w:t>
            </w:r>
          </w:p>
        </w:tc>
        <w:tc>
          <w:tcPr>
            <w:tcW w:w="1235" w:type="dxa"/>
            <w:shd w:val="clear" w:color="auto" w:fill="C0C0C0"/>
          </w:tcPr>
          <w:p w:rsidR="00CB0DD7" w:rsidRPr="000A0A5F" w:rsidRDefault="00CB0DD7">
            <w:pPr>
              <w:pStyle w:val="TAH"/>
              <w:rPr>
                <w:rFonts w:eastAsia="Times New Roman"/>
              </w:rPr>
            </w:pPr>
            <w:r w:rsidRPr="000A0A5F">
              <w:rPr>
                <w:rFonts w:eastAsia="Times New Roman" w:cs="Arial"/>
                <w:szCs w:val="18"/>
              </w:rPr>
              <w:t>Applicability (NOTE</w:t>
            </w:r>
            <w:r w:rsidR="005B705B" w:rsidRPr="000A0A5F">
              <w:rPr>
                <w:rFonts w:eastAsia="Times New Roman" w:cs="Arial"/>
                <w:szCs w:val="18"/>
              </w:rPr>
              <w:t> 1</w:t>
            </w:r>
            <w:r w:rsidRPr="000A0A5F">
              <w:rPr>
                <w:rFonts w:eastAsia="Times New Roman" w:cs="Arial"/>
                <w:szCs w:val="18"/>
              </w:rPr>
              <w:t>)</w:t>
            </w:r>
          </w:p>
        </w:tc>
      </w:tr>
      <w:tr w:rsidR="00CB0DD7" w:rsidRPr="000A0A5F" w:rsidTr="00FF0AF8">
        <w:trPr>
          <w:jc w:val="center"/>
        </w:trPr>
        <w:tc>
          <w:tcPr>
            <w:tcW w:w="1661" w:type="dxa"/>
            <w:shd w:val="clear" w:color="auto" w:fill="auto"/>
          </w:tcPr>
          <w:p w:rsidR="00CB0DD7" w:rsidRPr="000A0A5F" w:rsidRDefault="00CB0DD7">
            <w:pPr>
              <w:pStyle w:val="TAL"/>
              <w:rPr>
                <w:rFonts w:eastAsia="Times New Roman"/>
              </w:rPr>
            </w:pPr>
            <w:r w:rsidRPr="000A0A5F">
              <w:t>exterAppId</w:t>
            </w:r>
          </w:p>
        </w:tc>
        <w:tc>
          <w:tcPr>
            <w:tcW w:w="1842" w:type="dxa"/>
            <w:shd w:val="clear" w:color="auto" w:fill="auto"/>
          </w:tcPr>
          <w:p w:rsidR="00CB0DD7" w:rsidRPr="000A0A5F" w:rsidRDefault="00CB0DD7">
            <w:pPr>
              <w:pStyle w:val="TAL"/>
              <w:rPr>
                <w:rFonts w:eastAsia="Times New Roman"/>
              </w:rPr>
            </w:pPr>
            <w:r w:rsidRPr="000A0A5F">
              <w:t>string</w:t>
            </w:r>
          </w:p>
        </w:tc>
        <w:tc>
          <w:tcPr>
            <w:tcW w:w="1134" w:type="dxa"/>
          </w:tcPr>
          <w:p w:rsidR="00CB0DD7" w:rsidRPr="000A0A5F" w:rsidRDefault="00CB0DD7">
            <w:pPr>
              <w:pStyle w:val="TAC"/>
              <w:jc w:val="left"/>
              <w:rPr>
                <w:lang w:eastAsia="zh-CN"/>
              </w:rPr>
            </w:pPr>
            <w:r w:rsidRPr="000A0A5F">
              <w:t>0..1</w:t>
            </w:r>
          </w:p>
        </w:tc>
        <w:tc>
          <w:tcPr>
            <w:tcW w:w="3687" w:type="dxa"/>
          </w:tcPr>
          <w:p w:rsidR="00CB0DD7" w:rsidRPr="000A0A5F" w:rsidRDefault="00CB0DD7">
            <w:pPr>
              <w:pStyle w:val="TAL"/>
              <w:rPr>
                <w:rFonts w:cs="Arial" w:hint="eastAsia"/>
                <w:szCs w:val="18"/>
                <w:lang w:eastAsia="zh-CN"/>
              </w:rPr>
            </w:pPr>
            <w:r w:rsidRPr="000A0A5F">
              <w:t>Identifies the external Application Identifier.</w:t>
            </w:r>
            <w:r w:rsidRPr="000A0A5F">
              <w:rPr>
                <w:rFonts w:cs="Arial"/>
                <w:szCs w:val="18"/>
              </w:rPr>
              <w:t xml:space="preserve"> </w:t>
            </w:r>
            <w:r w:rsidR="00C520FB" w:rsidRPr="000A0A5F">
              <w:rPr>
                <w:rFonts w:cs="Arial"/>
                <w:szCs w:val="18"/>
              </w:rPr>
              <w:t>(NOTE 2)</w:t>
            </w:r>
            <w:r w:rsidR="00C520FB" w:rsidRPr="000A0A5F">
              <w:rPr>
                <w:lang w:eastAsia="zh-CN"/>
              </w:rPr>
              <w:t xml:space="preserve"> (NOTE 8)</w:t>
            </w:r>
          </w:p>
        </w:tc>
        <w:tc>
          <w:tcPr>
            <w:tcW w:w="1235" w:type="dxa"/>
          </w:tcPr>
          <w:p w:rsidR="00176399" w:rsidRPr="000A0A5F" w:rsidRDefault="00176399" w:rsidP="00176399">
            <w:pPr>
              <w:pStyle w:val="TAC"/>
              <w:jc w:val="left"/>
            </w:pPr>
            <w:r w:rsidRPr="000A0A5F">
              <w:t>AppId</w:t>
            </w:r>
          </w:p>
          <w:p w:rsidR="00CB0DD7" w:rsidRPr="000A0A5F" w:rsidRDefault="00176399" w:rsidP="00176399">
            <w:pPr>
              <w:pStyle w:val="TAC"/>
              <w:jc w:val="left"/>
              <w:rPr>
                <w:rFonts w:eastAsia="Times New Roman"/>
              </w:rPr>
            </w:pPr>
            <w:r w:rsidRPr="000A0A5F">
              <w:t>ListUE_5G</w:t>
            </w:r>
          </w:p>
        </w:tc>
      </w:tr>
      <w:tr w:rsidR="00CB0DD7" w:rsidRPr="000A0A5F" w:rsidTr="00FF0AF8">
        <w:trPr>
          <w:jc w:val="center"/>
        </w:trPr>
        <w:tc>
          <w:tcPr>
            <w:tcW w:w="1661" w:type="dxa"/>
            <w:shd w:val="clear" w:color="auto" w:fill="auto"/>
          </w:tcPr>
          <w:p w:rsidR="00CB0DD7" w:rsidRPr="000A0A5F" w:rsidRDefault="00CB0DD7">
            <w:pPr>
              <w:pStyle w:val="TAL"/>
              <w:rPr>
                <w:rFonts w:hint="eastAsia"/>
                <w:lang w:eastAsia="zh-CN"/>
              </w:rPr>
            </w:pPr>
            <w:r w:rsidRPr="000A0A5F">
              <w:rPr>
                <w:rFonts w:eastAsia="Times New Roman"/>
              </w:rPr>
              <w:t>flowInfo</w:t>
            </w:r>
          </w:p>
        </w:tc>
        <w:tc>
          <w:tcPr>
            <w:tcW w:w="1842" w:type="dxa"/>
            <w:shd w:val="clear" w:color="auto" w:fill="auto"/>
          </w:tcPr>
          <w:p w:rsidR="00CB0DD7" w:rsidRPr="000A0A5F" w:rsidRDefault="00CB0DD7">
            <w:pPr>
              <w:pStyle w:val="TAL"/>
              <w:rPr>
                <w:rFonts w:hint="eastAsia"/>
                <w:lang w:eastAsia="zh-CN"/>
              </w:rPr>
            </w:pPr>
            <w:r w:rsidRPr="000A0A5F">
              <w:rPr>
                <w:rFonts w:eastAsia="Times New Roman"/>
              </w:rPr>
              <w:t>array(FlowInfo)</w:t>
            </w:r>
          </w:p>
        </w:tc>
        <w:tc>
          <w:tcPr>
            <w:tcW w:w="1134" w:type="dxa"/>
          </w:tcPr>
          <w:p w:rsidR="00CB0DD7" w:rsidRPr="000A0A5F" w:rsidRDefault="00CB0DD7">
            <w:pPr>
              <w:pStyle w:val="TAC"/>
              <w:jc w:val="left"/>
              <w:rPr>
                <w:rFonts w:hint="eastAsia"/>
                <w:lang w:eastAsia="zh-CN"/>
              </w:rPr>
            </w:pPr>
            <w:r w:rsidRPr="000A0A5F">
              <w:rPr>
                <w:lang w:eastAsia="zh-CN"/>
              </w:rPr>
              <w:t>0..N</w:t>
            </w:r>
          </w:p>
        </w:tc>
        <w:tc>
          <w:tcPr>
            <w:tcW w:w="3687" w:type="dxa"/>
          </w:tcPr>
          <w:p w:rsidR="00CB0DD7" w:rsidRPr="000A0A5F" w:rsidRDefault="00CB0DD7">
            <w:pPr>
              <w:pStyle w:val="TAL"/>
              <w:rPr>
                <w:rFonts w:cs="Arial" w:hint="eastAsia"/>
                <w:szCs w:val="18"/>
                <w:lang w:eastAsia="zh-CN"/>
              </w:rPr>
            </w:pPr>
            <w:r w:rsidRPr="000A0A5F">
              <w:rPr>
                <w:rFonts w:cs="Arial" w:hint="eastAsia"/>
                <w:szCs w:val="18"/>
                <w:lang w:eastAsia="zh-CN"/>
              </w:rPr>
              <w:t>Descr</w:t>
            </w:r>
            <w:r w:rsidRPr="000A0A5F">
              <w:rPr>
                <w:rFonts w:cs="Arial"/>
                <w:szCs w:val="18"/>
                <w:lang w:eastAsia="zh-CN"/>
              </w:rPr>
              <w:t>ibe the data flow which requires QoS.</w:t>
            </w:r>
            <w:r w:rsidRPr="000A0A5F">
              <w:rPr>
                <w:rFonts w:cs="Arial"/>
                <w:szCs w:val="18"/>
              </w:rPr>
              <w:t xml:space="preserve"> </w:t>
            </w:r>
            <w:r w:rsidR="00176399" w:rsidRPr="000A0A5F">
              <w:rPr>
                <w:rFonts w:cs="Arial"/>
                <w:szCs w:val="18"/>
              </w:rPr>
              <w:t>(NOTE 2)(NOTE 5)</w:t>
            </w:r>
            <w:r w:rsidR="00176399" w:rsidRPr="000A0A5F">
              <w:rPr>
                <w:lang w:eastAsia="zh-CN"/>
              </w:rPr>
              <w:t xml:space="preserve"> (NOTE 8)</w:t>
            </w:r>
          </w:p>
        </w:tc>
        <w:tc>
          <w:tcPr>
            <w:tcW w:w="1235" w:type="dxa"/>
          </w:tcPr>
          <w:p w:rsidR="00CB0DD7" w:rsidRPr="000A0A5F" w:rsidRDefault="00CB0DD7">
            <w:pPr>
              <w:pStyle w:val="TAC"/>
              <w:jc w:val="left"/>
              <w:rPr>
                <w:rFonts w:eastAsia="Times New Roman"/>
              </w:rPr>
            </w:pPr>
          </w:p>
        </w:tc>
      </w:tr>
      <w:tr w:rsidR="00CB0DD7" w:rsidRPr="000A0A5F" w:rsidTr="00FF0AF8">
        <w:trPr>
          <w:jc w:val="center"/>
        </w:trPr>
        <w:tc>
          <w:tcPr>
            <w:tcW w:w="1661" w:type="dxa"/>
            <w:shd w:val="clear" w:color="auto" w:fill="auto"/>
          </w:tcPr>
          <w:p w:rsidR="00CB0DD7" w:rsidRPr="000A0A5F" w:rsidRDefault="00CB0DD7">
            <w:pPr>
              <w:pStyle w:val="TAL"/>
              <w:rPr>
                <w:rFonts w:eastAsia="Times New Roman"/>
              </w:rPr>
            </w:pPr>
            <w:r w:rsidRPr="000A0A5F">
              <w:rPr>
                <w:lang w:eastAsia="zh-CN"/>
              </w:rPr>
              <w:t>ethFlowInfo</w:t>
            </w:r>
          </w:p>
        </w:tc>
        <w:tc>
          <w:tcPr>
            <w:tcW w:w="1842" w:type="dxa"/>
            <w:shd w:val="clear" w:color="auto" w:fill="auto"/>
          </w:tcPr>
          <w:p w:rsidR="00CB0DD7" w:rsidRPr="000A0A5F" w:rsidRDefault="00CB0DD7">
            <w:pPr>
              <w:pStyle w:val="TAL"/>
              <w:rPr>
                <w:rFonts w:eastAsia="Times New Roman"/>
              </w:rPr>
            </w:pPr>
            <w:r w:rsidRPr="000A0A5F">
              <w:t>array(EthFlowDescription)</w:t>
            </w:r>
          </w:p>
        </w:tc>
        <w:tc>
          <w:tcPr>
            <w:tcW w:w="1134" w:type="dxa"/>
          </w:tcPr>
          <w:p w:rsidR="00CB0DD7" w:rsidRPr="000A0A5F" w:rsidRDefault="00CB0DD7">
            <w:pPr>
              <w:pStyle w:val="TAC"/>
              <w:jc w:val="left"/>
              <w:rPr>
                <w:lang w:eastAsia="zh-CN"/>
              </w:rPr>
            </w:pPr>
            <w:r w:rsidRPr="000A0A5F">
              <w:rPr>
                <w:rFonts w:eastAsia="Times New Roman"/>
              </w:rPr>
              <w:t>0..N</w:t>
            </w:r>
          </w:p>
        </w:tc>
        <w:tc>
          <w:tcPr>
            <w:tcW w:w="3687" w:type="dxa"/>
          </w:tcPr>
          <w:p w:rsidR="00CB0DD7" w:rsidRPr="000A0A5F" w:rsidRDefault="00CB0DD7">
            <w:pPr>
              <w:pStyle w:val="TAL"/>
              <w:rPr>
                <w:rFonts w:cs="Arial" w:hint="eastAsia"/>
                <w:szCs w:val="18"/>
                <w:lang w:eastAsia="zh-CN"/>
              </w:rPr>
            </w:pPr>
            <w:r w:rsidRPr="000A0A5F">
              <w:rPr>
                <w:rFonts w:cs="Arial"/>
                <w:szCs w:val="18"/>
                <w:lang w:eastAsia="zh-CN"/>
              </w:rPr>
              <w:t>Describe</w:t>
            </w:r>
            <w:r w:rsidRPr="000A0A5F">
              <w:rPr>
                <w:rFonts w:cs="Arial" w:hint="eastAsia"/>
                <w:szCs w:val="18"/>
                <w:lang w:eastAsia="zh-CN"/>
              </w:rPr>
              <w:t xml:space="preserve">s </w:t>
            </w:r>
            <w:r w:rsidRPr="000A0A5F">
              <w:rPr>
                <w:rFonts w:cs="Arial"/>
                <w:szCs w:val="18"/>
                <w:lang w:eastAsia="zh-CN"/>
              </w:rPr>
              <w:t xml:space="preserve">Ethernet </w:t>
            </w:r>
            <w:r w:rsidRPr="000A0A5F">
              <w:rPr>
                <w:rFonts w:cs="Arial" w:hint="eastAsia"/>
                <w:szCs w:val="18"/>
                <w:lang w:eastAsia="zh-CN"/>
              </w:rPr>
              <w:t>packet f</w:t>
            </w:r>
            <w:r w:rsidRPr="000A0A5F">
              <w:rPr>
                <w:rFonts w:cs="Arial"/>
                <w:szCs w:val="18"/>
                <w:lang w:eastAsia="zh-CN"/>
              </w:rPr>
              <w:t>lows</w:t>
            </w:r>
            <w:r w:rsidRPr="000A0A5F">
              <w:rPr>
                <w:rFonts w:cs="Arial" w:hint="eastAsia"/>
                <w:szCs w:val="18"/>
                <w:lang w:eastAsia="zh-CN"/>
              </w:rPr>
              <w:t>.</w:t>
            </w:r>
            <w:r w:rsidRPr="000A0A5F">
              <w:rPr>
                <w:rFonts w:cs="Arial"/>
                <w:szCs w:val="18"/>
              </w:rPr>
              <w:t xml:space="preserve"> (NOTE 2)</w:t>
            </w:r>
          </w:p>
        </w:tc>
        <w:tc>
          <w:tcPr>
            <w:tcW w:w="1235" w:type="dxa"/>
          </w:tcPr>
          <w:p w:rsidR="00CB0DD7" w:rsidRPr="000A0A5F" w:rsidRDefault="00CB0DD7">
            <w:pPr>
              <w:pStyle w:val="TAC"/>
              <w:jc w:val="left"/>
              <w:rPr>
                <w:rFonts w:eastAsia="Times New Roman"/>
              </w:rPr>
            </w:pPr>
            <w:r w:rsidRPr="000A0A5F">
              <w:t>EthAsSessionQoS_5G</w:t>
            </w:r>
          </w:p>
        </w:tc>
      </w:tr>
      <w:tr w:rsidR="00E7552B" w:rsidRPr="000A0A5F" w:rsidTr="00FF0AF8">
        <w:trPr>
          <w:jc w:val="center"/>
        </w:trPr>
        <w:tc>
          <w:tcPr>
            <w:tcW w:w="1661" w:type="dxa"/>
            <w:shd w:val="clear" w:color="auto" w:fill="auto"/>
          </w:tcPr>
          <w:p w:rsidR="00E7552B" w:rsidRPr="000A0A5F" w:rsidRDefault="00E7552B" w:rsidP="00E7552B">
            <w:pPr>
              <w:pStyle w:val="TAL"/>
              <w:rPr>
                <w:lang w:eastAsia="zh-CN"/>
              </w:rPr>
            </w:pPr>
            <w:r w:rsidRPr="000A0A5F">
              <w:rPr>
                <w:lang w:eastAsia="zh-CN"/>
              </w:rPr>
              <w:t>enEthFlowInfo</w:t>
            </w:r>
          </w:p>
        </w:tc>
        <w:tc>
          <w:tcPr>
            <w:tcW w:w="1842" w:type="dxa"/>
            <w:shd w:val="clear" w:color="auto" w:fill="auto"/>
          </w:tcPr>
          <w:p w:rsidR="00E7552B" w:rsidRPr="000A0A5F" w:rsidRDefault="00E7552B" w:rsidP="00E7552B">
            <w:pPr>
              <w:pStyle w:val="TAL"/>
            </w:pPr>
            <w:r w:rsidRPr="000A0A5F">
              <w:rPr>
                <w:lang w:eastAsia="zh-CN"/>
              </w:rPr>
              <w:t>array(EthFlowInfo)</w:t>
            </w:r>
          </w:p>
        </w:tc>
        <w:tc>
          <w:tcPr>
            <w:tcW w:w="1134" w:type="dxa"/>
          </w:tcPr>
          <w:p w:rsidR="00E7552B" w:rsidRPr="000A0A5F" w:rsidRDefault="00E7552B" w:rsidP="00E7552B">
            <w:pPr>
              <w:pStyle w:val="TAC"/>
              <w:jc w:val="left"/>
              <w:rPr>
                <w:rFonts w:eastAsia="Times New Roman"/>
              </w:rPr>
            </w:pPr>
            <w:r w:rsidRPr="000A0A5F">
              <w:rPr>
                <w:lang w:eastAsia="zh-CN"/>
              </w:rPr>
              <w:t>0..N</w:t>
            </w:r>
          </w:p>
        </w:tc>
        <w:tc>
          <w:tcPr>
            <w:tcW w:w="3687" w:type="dxa"/>
          </w:tcPr>
          <w:p w:rsidR="00E7552B" w:rsidRPr="000A0A5F" w:rsidRDefault="00E7552B" w:rsidP="00E7552B">
            <w:pPr>
              <w:pStyle w:val="TAL"/>
              <w:rPr>
                <w:rFonts w:cs="Arial"/>
                <w:szCs w:val="18"/>
                <w:lang w:eastAsia="zh-CN"/>
              </w:rPr>
            </w:pPr>
            <w:r w:rsidRPr="000A0A5F">
              <w:rPr>
                <w:rFonts w:cs="Arial"/>
                <w:szCs w:val="18"/>
                <w:lang w:eastAsia="zh-CN"/>
              </w:rPr>
              <w:t>Identifies the Ethernet flows which require QoS. Each Ethernet flow consists of a flow identifier and the corresponding UL and/or DL flows.</w:t>
            </w:r>
          </w:p>
          <w:p w:rsidR="00E7552B" w:rsidRPr="000A0A5F" w:rsidRDefault="00E7552B" w:rsidP="00E7552B">
            <w:pPr>
              <w:pStyle w:val="TAL"/>
              <w:rPr>
                <w:rFonts w:cs="Arial"/>
                <w:szCs w:val="18"/>
                <w:lang w:eastAsia="zh-CN"/>
              </w:rPr>
            </w:pPr>
            <w:r w:rsidRPr="000A0A5F">
              <w:rPr>
                <w:rFonts w:cs="Arial"/>
                <w:szCs w:val="18"/>
              </w:rPr>
              <w:t>(NOTE 2)</w:t>
            </w:r>
          </w:p>
        </w:tc>
        <w:tc>
          <w:tcPr>
            <w:tcW w:w="1235" w:type="dxa"/>
          </w:tcPr>
          <w:p w:rsidR="00E7552B" w:rsidRPr="000A0A5F" w:rsidRDefault="00E7552B" w:rsidP="00E7552B">
            <w:pPr>
              <w:pStyle w:val="TAC"/>
              <w:jc w:val="left"/>
            </w:pPr>
            <w:r w:rsidRPr="000A0A5F">
              <w:t>EnEthAsSessionQoS_5G</w:t>
            </w:r>
          </w:p>
        </w:tc>
      </w:tr>
      <w:tr w:rsidR="00176399" w:rsidRPr="000A0A5F" w:rsidTr="00FF0AF8">
        <w:trPr>
          <w:jc w:val="center"/>
        </w:trPr>
        <w:tc>
          <w:tcPr>
            <w:tcW w:w="1661" w:type="dxa"/>
            <w:shd w:val="clear" w:color="auto" w:fill="auto"/>
          </w:tcPr>
          <w:p w:rsidR="00176399" w:rsidRPr="000A0A5F" w:rsidRDefault="00176399" w:rsidP="00176399">
            <w:pPr>
              <w:pStyle w:val="TAL"/>
              <w:rPr>
                <w:lang w:eastAsia="zh-CN"/>
              </w:rPr>
            </w:pPr>
            <w:r w:rsidRPr="000A0A5F">
              <w:rPr>
                <w:lang w:eastAsia="zh-CN"/>
              </w:rPr>
              <w:t>listUeAddrs</w:t>
            </w:r>
          </w:p>
        </w:tc>
        <w:tc>
          <w:tcPr>
            <w:tcW w:w="1842" w:type="dxa"/>
            <w:shd w:val="clear" w:color="auto" w:fill="auto"/>
          </w:tcPr>
          <w:p w:rsidR="00176399" w:rsidRPr="000A0A5F" w:rsidRDefault="009F079F" w:rsidP="00176399">
            <w:pPr>
              <w:pStyle w:val="TAL"/>
              <w:rPr>
                <w:lang w:eastAsia="zh-CN"/>
              </w:rPr>
            </w:pPr>
            <w:r>
              <w:rPr>
                <w:lang w:eastAsia="zh-CN"/>
              </w:rPr>
              <w:t>array(UeAddInfo)</w:t>
            </w:r>
          </w:p>
        </w:tc>
        <w:tc>
          <w:tcPr>
            <w:tcW w:w="1134" w:type="dxa"/>
          </w:tcPr>
          <w:p w:rsidR="00176399" w:rsidRPr="000A0A5F" w:rsidRDefault="00176399" w:rsidP="00176399">
            <w:pPr>
              <w:pStyle w:val="TAC"/>
              <w:jc w:val="left"/>
              <w:rPr>
                <w:lang w:eastAsia="zh-CN"/>
              </w:rPr>
            </w:pPr>
            <w:r w:rsidRPr="000A0A5F">
              <w:t>0..N</w:t>
            </w:r>
          </w:p>
        </w:tc>
        <w:tc>
          <w:tcPr>
            <w:tcW w:w="3687" w:type="dxa"/>
          </w:tcPr>
          <w:p w:rsidR="006366F5" w:rsidRDefault="006366F5" w:rsidP="006366F5">
            <w:pPr>
              <w:pStyle w:val="TAL"/>
              <w:rPr>
                <w:rFonts w:cs="Arial"/>
                <w:szCs w:val="18"/>
              </w:rPr>
            </w:pPr>
            <w:r>
              <w:rPr>
                <w:rFonts w:cs="Arial"/>
                <w:szCs w:val="18"/>
              </w:rPr>
              <w:t>Identifies the list of UE address</w:t>
            </w:r>
            <w:r w:rsidR="009F079F">
              <w:rPr>
                <w:rFonts w:cs="Arial"/>
                <w:szCs w:val="18"/>
              </w:rPr>
              <w:t>(es)</w:t>
            </w:r>
            <w:r>
              <w:rPr>
                <w:rFonts w:cs="Arial"/>
                <w:szCs w:val="18"/>
              </w:rPr>
              <w:t>.</w:t>
            </w:r>
          </w:p>
          <w:p w:rsidR="00176399" w:rsidRPr="000A0A5F" w:rsidRDefault="006366F5" w:rsidP="006366F5">
            <w:pPr>
              <w:pStyle w:val="TAL"/>
              <w:rPr>
                <w:rFonts w:cs="Arial"/>
                <w:szCs w:val="18"/>
                <w:lang w:eastAsia="zh-CN"/>
              </w:rPr>
            </w:pPr>
            <w:r>
              <w:rPr>
                <w:lang w:eastAsia="zh-CN"/>
              </w:rPr>
              <w:t>(NOTE 8)</w:t>
            </w:r>
            <w:r w:rsidRPr="00176399">
              <w:rPr>
                <w:rFonts w:eastAsia="Times New Roman" w:cs="Arial"/>
                <w:szCs w:val="18"/>
              </w:rPr>
              <w:t xml:space="preserve"> (NOTE </w:t>
            </w:r>
            <w:r>
              <w:rPr>
                <w:rFonts w:eastAsia="Times New Roman" w:cs="Arial"/>
                <w:szCs w:val="18"/>
              </w:rPr>
              <w:t>9</w:t>
            </w:r>
            <w:r w:rsidRPr="00176399">
              <w:rPr>
                <w:rFonts w:eastAsia="Times New Roman" w:cs="Arial"/>
                <w:szCs w:val="18"/>
              </w:rPr>
              <w:t>)</w:t>
            </w:r>
          </w:p>
        </w:tc>
        <w:tc>
          <w:tcPr>
            <w:tcW w:w="1235" w:type="dxa"/>
          </w:tcPr>
          <w:p w:rsidR="00176399" w:rsidRPr="000A0A5F" w:rsidRDefault="00176399" w:rsidP="00176399">
            <w:pPr>
              <w:pStyle w:val="TAC"/>
              <w:jc w:val="left"/>
            </w:pPr>
            <w:r w:rsidRPr="000A0A5F">
              <w:t>ListUE_5G</w:t>
            </w:r>
          </w:p>
        </w:tc>
      </w:tr>
      <w:tr w:rsidR="00176399" w:rsidRPr="000A0A5F" w:rsidTr="00FF0AF8">
        <w:trPr>
          <w:jc w:val="center"/>
        </w:trPr>
        <w:tc>
          <w:tcPr>
            <w:tcW w:w="1661" w:type="dxa"/>
            <w:shd w:val="clear" w:color="auto" w:fill="auto"/>
          </w:tcPr>
          <w:p w:rsidR="00176399" w:rsidRPr="000A0A5F" w:rsidRDefault="00176399" w:rsidP="00176399">
            <w:pPr>
              <w:pStyle w:val="TAL"/>
              <w:rPr>
                <w:rFonts w:hint="eastAsia"/>
                <w:lang w:eastAsia="zh-CN"/>
              </w:rPr>
            </w:pPr>
            <w:r w:rsidRPr="000A0A5F">
              <w:rPr>
                <w:rFonts w:hint="eastAsia"/>
                <w:lang w:eastAsia="zh-CN"/>
              </w:rPr>
              <w:t>qosReference</w:t>
            </w:r>
          </w:p>
        </w:tc>
        <w:tc>
          <w:tcPr>
            <w:tcW w:w="1842" w:type="dxa"/>
            <w:shd w:val="clear" w:color="auto" w:fill="auto"/>
          </w:tcPr>
          <w:p w:rsidR="00176399" w:rsidRPr="000A0A5F" w:rsidRDefault="00176399" w:rsidP="00176399">
            <w:pPr>
              <w:pStyle w:val="TAL"/>
              <w:rPr>
                <w:rFonts w:hint="eastAsia"/>
                <w:lang w:eastAsia="zh-CN"/>
              </w:rPr>
            </w:pPr>
            <w:r w:rsidRPr="000A0A5F">
              <w:rPr>
                <w:lang w:eastAsia="zh-CN"/>
              </w:rPr>
              <w:t>string</w:t>
            </w:r>
          </w:p>
        </w:tc>
        <w:tc>
          <w:tcPr>
            <w:tcW w:w="1134" w:type="dxa"/>
          </w:tcPr>
          <w:p w:rsidR="00176399" w:rsidRPr="000A0A5F" w:rsidRDefault="00176399" w:rsidP="00176399">
            <w:pPr>
              <w:pStyle w:val="TAC"/>
              <w:jc w:val="left"/>
              <w:rPr>
                <w:rFonts w:hint="eastAsia"/>
                <w:lang w:eastAsia="zh-CN"/>
              </w:rPr>
            </w:pPr>
            <w:r w:rsidRPr="000A0A5F">
              <w:rPr>
                <w:lang w:eastAsia="zh-CN"/>
              </w:rPr>
              <w:t>0..1</w:t>
            </w:r>
          </w:p>
        </w:tc>
        <w:tc>
          <w:tcPr>
            <w:tcW w:w="3687" w:type="dxa"/>
          </w:tcPr>
          <w:p w:rsidR="00176399" w:rsidRPr="000A0A5F" w:rsidRDefault="00176399" w:rsidP="00176399">
            <w:pPr>
              <w:pStyle w:val="TAL"/>
              <w:rPr>
                <w:rFonts w:cs="Arial" w:hint="eastAsia"/>
                <w:szCs w:val="18"/>
                <w:lang w:eastAsia="zh-CN"/>
              </w:rPr>
            </w:pPr>
            <w:r w:rsidRPr="000A0A5F">
              <w:rPr>
                <w:rFonts w:cs="Arial"/>
                <w:szCs w:val="18"/>
                <w:lang w:eastAsia="zh-CN"/>
              </w:rPr>
              <w:t>Pre-defined QoS reference. (NOTE 3)</w:t>
            </w:r>
            <w:r w:rsidRPr="000A0A5F">
              <w:rPr>
                <w:lang w:eastAsia="zh-CN"/>
              </w:rPr>
              <w:t xml:space="preserve"> (NOTE 4)</w:t>
            </w:r>
          </w:p>
        </w:tc>
        <w:tc>
          <w:tcPr>
            <w:tcW w:w="1235" w:type="dxa"/>
          </w:tcPr>
          <w:p w:rsidR="00176399" w:rsidRPr="000A0A5F" w:rsidRDefault="00176399" w:rsidP="00176399">
            <w:pPr>
              <w:pStyle w:val="TAC"/>
              <w:jc w:val="left"/>
              <w:rPr>
                <w:rFonts w:eastAsia="Times New Roman"/>
              </w:rPr>
            </w:pPr>
          </w:p>
        </w:tc>
      </w:tr>
      <w:tr w:rsidR="00176399" w:rsidRPr="000A0A5F" w:rsidTr="00FF0AF8">
        <w:trPr>
          <w:jc w:val="center"/>
        </w:trPr>
        <w:tc>
          <w:tcPr>
            <w:tcW w:w="1661" w:type="dxa"/>
            <w:shd w:val="clear" w:color="auto" w:fill="auto"/>
          </w:tcPr>
          <w:p w:rsidR="00176399" w:rsidRPr="000A0A5F" w:rsidRDefault="00176399" w:rsidP="00176399">
            <w:pPr>
              <w:pStyle w:val="TAL"/>
              <w:rPr>
                <w:rFonts w:hint="eastAsia"/>
                <w:lang w:eastAsia="zh-CN"/>
              </w:rPr>
            </w:pPr>
            <w:r w:rsidRPr="000A0A5F">
              <w:rPr>
                <w:lang w:eastAsia="zh-CN"/>
              </w:rPr>
              <w:t>altQoSReferences</w:t>
            </w:r>
          </w:p>
        </w:tc>
        <w:tc>
          <w:tcPr>
            <w:tcW w:w="1842" w:type="dxa"/>
            <w:shd w:val="clear" w:color="auto" w:fill="auto"/>
          </w:tcPr>
          <w:p w:rsidR="00176399" w:rsidRPr="000A0A5F" w:rsidRDefault="00176399" w:rsidP="00176399">
            <w:pPr>
              <w:pStyle w:val="TAL"/>
              <w:rPr>
                <w:lang w:eastAsia="zh-CN"/>
              </w:rPr>
            </w:pPr>
            <w:r w:rsidRPr="000A0A5F">
              <w:rPr>
                <w:lang w:eastAsia="zh-CN"/>
              </w:rPr>
              <w:t>array(string)</w:t>
            </w:r>
          </w:p>
        </w:tc>
        <w:tc>
          <w:tcPr>
            <w:tcW w:w="1134" w:type="dxa"/>
          </w:tcPr>
          <w:p w:rsidR="00176399" w:rsidRPr="000A0A5F" w:rsidRDefault="00176399" w:rsidP="00176399">
            <w:pPr>
              <w:pStyle w:val="TAC"/>
              <w:jc w:val="left"/>
              <w:rPr>
                <w:lang w:eastAsia="zh-CN"/>
              </w:rPr>
            </w:pPr>
            <w:r w:rsidRPr="000A0A5F">
              <w:rPr>
                <w:lang w:eastAsia="zh-CN"/>
              </w:rPr>
              <w:t>0..N</w:t>
            </w:r>
          </w:p>
        </w:tc>
        <w:tc>
          <w:tcPr>
            <w:tcW w:w="3687" w:type="dxa"/>
          </w:tcPr>
          <w:p w:rsidR="00176399" w:rsidRPr="000A0A5F" w:rsidRDefault="00176399" w:rsidP="00176399">
            <w:pPr>
              <w:pStyle w:val="TAL"/>
              <w:rPr>
                <w:rFonts w:cs="Arial"/>
                <w:szCs w:val="18"/>
                <w:lang w:eastAsia="zh-CN"/>
              </w:rPr>
            </w:pPr>
            <w:r w:rsidRPr="000A0A5F">
              <w:rPr>
                <w:rFonts w:cs="Arial"/>
                <w:szCs w:val="18"/>
                <w:lang w:eastAsia="zh-CN"/>
              </w:rPr>
              <w:t xml:space="preserve">Identifiers an ordered list of pre-defined QoS information. </w:t>
            </w:r>
            <w:r w:rsidRPr="000A0A5F">
              <w:t>The lower the index of the array for a given entry, the higher the priority. (NOTE 3)</w:t>
            </w:r>
          </w:p>
        </w:tc>
        <w:tc>
          <w:tcPr>
            <w:tcW w:w="1235" w:type="dxa"/>
          </w:tcPr>
          <w:p w:rsidR="00176399" w:rsidRPr="000A0A5F" w:rsidRDefault="00176399" w:rsidP="00176399">
            <w:pPr>
              <w:pStyle w:val="TAC"/>
              <w:jc w:val="left"/>
              <w:rPr>
                <w:rFonts w:eastAsia="Times New Roman"/>
              </w:rPr>
            </w:pPr>
            <w:r w:rsidRPr="000A0A5F">
              <w:rPr>
                <w:rFonts w:eastAsia="Times New Roman"/>
              </w:rPr>
              <w:t>AlternativeQoS_5G</w:t>
            </w:r>
          </w:p>
        </w:tc>
      </w:tr>
      <w:tr w:rsidR="00176399" w:rsidRPr="000A0A5F" w:rsidTr="00FF0AF8">
        <w:trPr>
          <w:jc w:val="center"/>
        </w:trPr>
        <w:tc>
          <w:tcPr>
            <w:tcW w:w="1661" w:type="dxa"/>
            <w:shd w:val="clear" w:color="auto" w:fill="auto"/>
          </w:tcPr>
          <w:p w:rsidR="00176399" w:rsidRPr="000A0A5F" w:rsidRDefault="00176399" w:rsidP="00176399">
            <w:pPr>
              <w:pStyle w:val="TAL"/>
              <w:rPr>
                <w:lang w:eastAsia="zh-CN"/>
              </w:rPr>
            </w:pPr>
            <w:r w:rsidRPr="000A0A5F">
              <w:rPr>
                <w:lang w:eastAsia="zh-CN"/>
              </w:rPr>
              <w:t>altQosReqs</w:t>
            </w:r>
          </w:p>
        </w:tc>
        <w:tc>
          <w:tcPr>
            <w:tcW w:w="1842" w:type="dxa"/>
            <w:shd w:val="clear" w:color="auto" w:fill="auto"/>
          </w:tcPr>
          <w:p w:rsidR="00176399" w:rsidRPr="000A0A5F" w:rsidRDefault="00176399" w:rsidP="00176399">
            <w:pPr>
              <w:pStyle w:val="TAL"/>
              <w:rPr>
                <w:lang w:eastAsia="zh-CN"/>
              </w:rPr>
            </w:pPr>
            <w:r w:rsidRPr="000A0A5F">
              <w:t>array(AlternativeServiceRequirementsData)</w:t>
            </w:r>
          </w:p>
        </w:tc>
        <w:tc>
          <w:tcPr>
            <w:tcW w:w="1134" w:type="dxa"/>
          </w:tcPr>
          <w:p w:rsidR="00176399" w:rsidRPr="000A0A5F" w:rsidRDefault="00176399" w:rsidP="00176399">
            <w:pPr>
              <w:pStyle w:val="TAC"/>
              <w:jc w:val="left"/>
              <w:rPr>
                <w:lang w:eastAsia="zh-CN"/>
              </w:rPr>
            </w:pPr>
            <w:r w:rsidRPr="000A0A5F">
              <w:rPr>
                <w:lang w:eastAsia="zh-CN"/>
              </w:rPr>
              <w:t>1..N</w:t>
            </w:r>
          </w:p>
        </w:tc>
        <w:tc>
          <w:tcPr>
            <w:tcW w:w="3687" w:type="dxa"/>
          </w:tcPr>
          <w:p w:rsidR="00176399" w:rsidRPr="000A0A5F" w:rsidRDefault="00176399" w:rsidP="00176399">
            <w:pPr>
              <w:pStyle w:val="TAL"/>
              <w:rPr>
                <w:rFonts w:cs="Arial"/>
                <w:szCs w:val="18"/>
                <w:lang w:eastAsia="zh-CN"/>
              </w:rPr>
            </w:pPr>
            <w:r w:rsidRPr="000A0A5F">
              <w:rPr>
                <w:rFonts w:cs="Arial"/>
                <w:szCs w:val="18"/>
                <w:lang w:eastAsia="zh-CN"/>
              </w:rPr>
              <w:t xml:space="preserve">Identifies an ordered list of </w:t>
            </w:r>
            <w:r w:rsidRPr="000A0A5F">
              <w:rPr>
                <w:rFonts w:eastAsia="Times New Roman"/>
                <w:lang w:val="en-US"/>
              </w:rPr>
              <w:t>alternative service requirements that include individual QoS parameter sets</w:t>
            </w:r>
            <w:r w:rsidRPr="000A0A5F">
              <w:rPr>
                <w:rFonts w:cs="Arial"/>
                <w:szCs w:val="18"/>
                <w:lang w:eastAsia="zh-CN"/>
              </w:rPr>
              <w:t xml:space="preserve">. </w:t>
            </w:r>
            <w:r w:rsidRPr="000A0A5F">
              <w:t>The lower the index of the array for a given entry, the higher the priority. (NOTE 3)</w:t>
            </w:r>
          </w:p>
        </w:tc>
        <w:tc>
          <w:tcPr>
            <w:tcW w:w="1235" w:type="dxa"/>
          </w:tcPr>
          <w:p w:rsidR="00176399" w:rsidRPr="000A0A5F" w:rsidRDefault="00176399" w:rsidP="00176399">
            <w:pPr>
              <w:pStyle w:val="TAC"/>
              <w:jc w:val="left"/>
              <w:rPr>
                <w:rFonts w:eastAsia="Times New Roman"/>
              </w:rPr>
            </w:pPr>
            <w:r w:rsidRPr="000A0A5F">
              <w:rPr>
                <w:rFonts w:cs="Arial"/>
              </w:rPr>
              <w:t>AltQosWithIndParams_5G</w:t>
            </w:r>
          </w:p>
        </w:tc>
      </w:tr>
      <w:tr w:rsidR="00176399" w:rsidRPr="000A0A5F" w:rsidTr="00FF0AF8">
        <w:trPr>
          <w:jc w:val="center"/>
        </w:trPr>
        <w:tc>
          <w:tcPr>
            <w:tcW w:w="1661" w:type="dxa"/>
            <w:shd w:val="clear" w:color="auto" w:fill="auto"/>
          </w:tcPr>
          <w:p w:rsidR="00176399" w:rsidRPr="000A0A5F" w:rsidRDefault="00176399" w:rsidP="00176399">
            <w:pPr>
              <w:pStyle w:val="TAL"/>
              <w:rPr>
                <w:lang w:eastAsia="zh-CN"/>
              </w:rPr>
            </w:pPr>
            <w:r w:rsidRPr="000A0A5F">
              <w:rPr>
                <w:rFonts w:hint="eastAsia"/>
                <w:lang w:eastAsia="zh-CN"/>
              </w:rPr>
              <w:t>d</w:t>
            </w:r>
            <w:r w:rsidRPr="000A0A5F">
              <w:rPr>
                <w:lang w:eastAsia="zh-CN"/>
              </w:rPr>
              <w:t>isUeNotif</w:t>
            </w:r>
          </w:p>
        </w:tc>
        <w:tc>
          <w:tcPr>
            <w:tcW w:w="1842" w:type="dxa"/>
            <w:shd w:val="clear" w:color="auto" w:fill="auto"/>
          </w:tcPr>
          <w:p w:rsidR="00176399" w:rsidRPr="000A0A5F" w:rsidRDefault="00176399" w:rsidP="00176399">
            <w:pPr>
              <w:pStyle w:val="TAL"/>
              <w:rPr>
                <w:lang w:eastAsia="zh-CN"/>
              </w:rPr>
            </w:pPr>
            <w:r w:rsidRPr="000A0A5F">
              <w:rPr>
                <w:rFonts w:hint="eastAsia"/>
                <w:lang w:eastAsia="zh-CN"/>
              </w:rPr>
              <w:t>b</w:t>
            </w:r>
            <w:r w:rsidRPr="000A0A5F">
              <w:rPr>
                <w:lang w:eastAsia="zh-CN"/>
              </w:rPr>
              <w:t>oolean</w:t>
            </w:r>
          </w:p>
        </w:tc>
        <w:tc>
          <w:tcPr>
            <w:tcW w:w="1134" w:type="dxa"/>
          </w:tcPr>
          <w:p w:rsidR="00176399" w:rsidRPr="000A0A5F" w:rsidRDefault="00176399" w:rsidP="00176399">
            <w:pPr>
              <w:pStyle w:val="TAC"/>
              <w:jc w:val="left"/>
              <w:rPr>
                <w:lang w:eastAsia="zh-CN"/>
              </w:rPr>
            </w:pPr>
            <w:r w:rsidRPr="000A0A5F">
              <w:rPr>
                <w:rFonts w:hint="eastAsia"/>
                <w:lang w:eastAsia="zh-CN"/>
              </w:rPr>
              <w:t>0</w:t>
            </w:r>
            <w:r w:rsidRPr="000A0A5F">
              <w:rPr>
                <w:lang w:eastAsia="zh-CN"/>
              </w:rPr>
              <w:t>..1</w:t>
            </w:r>
          </w:p>
        </w:tc>
        <w:tc>
          <w:tcPr>
            <w:tcW w:w="3687" w:type="dxa"/>
          </w:tcPr>
          <w:p w:rsidR="00176399" w:rsidRPr="000A0A5F" w:rsidRDefault="00176399" w:rsidP="00176399">
            <w:pPr>
              <w:pStyle w:val="TAL"/>
              <w:rPr>
                <w:szCs w:val="18"/>
              </w:rPr>
            </w:pPr>
            <w:r w:rsidRPr="000A0A5F">
              <w:rPr>
                <w:szCs w:val="18"/>
              </w:rPr>
              <w:t>Indicates whether to disable QoS flow parameters signalling to the UE when the SMF is notified by the NG-RAN of changes in the fulfilled QoS situation</w:t>
            </w:r>
            <w:r w:rsidRPr="000A0A5F">
              <w:t xml:space="preserve">. </w:t>
            </w:r>
            <w:r w:rsidRPr="000A0A5F">
              <w:rPr>
                <w:szCs w:val="18"/>
              </w:rPr>
              <w:t>The fulfilled situation is either the QoS profile or an Alternative QoS Profile.</w:t>
            </w:r>
          </w:p>
          <w:p w:rsidR="00176399" w:rsidRPr="000A0A5F" w:rsidRDefault="00176399" w:rsidP="00176399">
            <w:pPr>
              <w:pStyle w:val="TAL"/>
              <w:rPr>
                <w:lang w:eastAsia="zh-CN"/>
              </w:rPr>
            </w:pPr>
          </w:p>
          <w:p w:rsidR="00176399" w:rsidRPr="000A0A5F" w:rsidRDefault="00176399" w:rsidP="00176399">
            <w:pPr>
              <w:pStyle w:val="TAL"/>
            </w:pPr>
            <w:r w:rsidRPr="000A0A5F">
              <w:rPr>
                <w:lang w:eastAsia="zh-CN"/>
              </w:rPr>
              <w:t xml:space="preserve">- true: the </w:t>
            </w:r>
            <w:r w:rsidRPr="000A0A5F">
              <w:t>QoS flow parameters signalling to the UE is disabled;</w:t>
            </w:r>
          </w:p>
          <w:p w:rsidR="00176399" w:rsidRPr="000A0A5F" w:rsidRDefault="00176399" w:rsidP="00176399">
            <w:pPr>
              <w:pStyle w:val="TAL"/>
              <w:rPr>
                <w:rFonts w:cs="Arial"/>
                <w:szCs w:val="18"/>
                <w:lang w:eastAsia="zh-CN"/>
              </w:rPr>
            </w:pPr>
            <w:r w:rsidRPr="000A0A5F">
              <w:rPr>
                <w:lang w:eastAsia="zh-CN"/>
              </w:rPr>
              <w:t xml:space="preserve">- false: the </w:t>
            </w:r>
            <w:r w:rsidRPr="000A0A5F">
              <w:t>QoS flow parameters signalling to the UE is not disabled.</w:t>
            </w:r>
          </w:p>
        </w:tc>
        <w:tc>
          <w:tcPr>
            <w:tcW w:w="1235" w:type="dxa"/>
          </w:tcPr>
          <w:p w:rsidR="00176399" w:rsidRPr="000A0A5F" w:rsidRDefault="00176399" w:rsidP="00176399">
            <w:pPr>
              <w:pStyle w:val="TAC"/>
              <w:jc w:val="left"/>
              <w:rPr>
                <w:rFonts w:eastAsia="Times New Roman"/>
              </w:rPr>
            </w:pPr>
            <w:r w:rsidRPr="000A0A5F">
              <w:rPr>
                <w:rFonts w:hint="eastAsia"/>
                <w:lang w:eastAsia="zh-CN"/>
              </w:rPr>
              <w:t>D</w:t>
            </w:r>
            <w:r w:rsidRPr="000A0A5F">
              <w:rPr>
                <w:lang w:eastAsia="zh-CN"/>
              </w:rPr>
              <w:t>isableUENotification_5G</w:t>
            </w:r>
          </w:p>
        </w:tc>
      </w:tr>
      <w:tr w:rsidR="00176399" w:rsidRPr="000A0A5F" w:rsidTr="00FF0AF8">
        <w:trPr>
          <w:jc w:val="center"/>
        </w:trPr>
        <w:tc>
          <w:tcPr>
            <w:tcW w:w="1661" w:type="dxa"/>
            <w:shd w:val="clear" w:color="auto" w:fill="auto"/>
          </w:tcPr>
          <w:p w:rsidR="00176399" w:rsidRPr="000A0A5F" w:rsidRDefault="00176399" w:rsidP="00176399">
            <w:pPr>
              <w:pStyle w:val="TAL"/>
              <w:rPr>
                <w:rFonts w:hint="eastAsia"/>
                <w:lang w:eastAsia="zh-CN"/>
              </w:rPr>
            </w:pPr>
            <w:r w:rsidRPr="000A0A5F">
              <w:t>usageThreshold</w:t>
            </w:r>
          </w:p>
        </w:tc>
        <w:tc>
          <w:tcPr>
            <w:tcW w:w="1842" w:type="dxa"/>
            <w:shd w:val="clear" w:color="auto" w:fill="auto"/>
          </w:tcPr>
          <w:p w:rsidR="00176399" w:rsidRPr="000A0A5F" w:rsidRDefault="00176399" w:rsidP="00176399">
            <w:pPr>
              <w:pStyle w:val="TAL"/>
              <w:rPr>
                <w:rFonts w:hint="eastAsia"/>
                <w:lang w:eastAsia="zh-CN"/>
              </w:rPr>
            </w:pPr>
            <w:r w:rsidRPr="000A0A5F">
              <w:t>UsageThresholdRm</w:t>
            </w:r>
          </w:p>
        </w:tc>
        <w:tc>
          <w:tcPr>
            <w:tcW w:w="1134" w:type="dxa"/>
          </w:tcPr>
          <w:p w:rsidR="00176399" w:rsidRPr="000A0A5F" w:rsidRDefault="00176399" w:rsidP="00176399">
            <w:pPr>
              <w:pStyle w:val="TAC"/>
              <w:jc w:val="left"/>
              <w:rPr>
                <w:rFonts w:hint="eastAsia"/>
                <w:lang w:eastAsia="zh-CN"/>
              </w:rPr>
            </w:pPr>
            <w:r w:rsidRPr="000A0A5F">
              <w:rPr>
                <w:rFonts w:hint="eastAsia"/>
                <w:lang w:eastAsia="zh-CN"/>
              </w:rPr>
              <w:t>0..1</w:t>
            </w:r>
          </w:p>
        </w:tc>
        <w:tc>
          <w:tcPr>
            <w:tcW w:w="3687" w:type="dxa"/>
          </w:tcPr>
          <w:p w:rsidR="00176399" w:rsidRPr="000A0A5F" w:rsidRDefault="00176399" w:rsidP="00176399">
            <w:pPr>
              <w:pStyle w:val="TAL"/>
              <w:rPr>
                <w:rFonts w:cs="Arial" w:hint="eastAsia"/>
                <w:szCs w:val="18"/>
                <w:lang w:eastAsia="zh-CN"/>
              </w:rPr>
            </w:pPr>
            <w:r w:rsidRPr="000A0A5F">
              <w:rPr>
                <w:rFonts w:eastAsia="Times New Roman" w:cs="Arial"/>
                <w:szCs w:val="18"/>
              </w:rPr>
              <w:t>Time period and/or traffic volume in which the QoS is to be applied.</w:t>
            </w:r>
          </w:p>
        </w:tc>
        <w:tc>
          <w:tcPr>
            <w:tcW w:w="1235" w:type="dxa"/>
          </w:tcPr>
          <w:p w:rsidR="00176399" w:rsidRPr="000A0A5F" w:rsidRDefault="00176399" w:rsidP="00176399">
            <w:pPr>
              <w:pStyle w:val="TAC"/>
              <w:jc w:val="left"/>
              <w:rPr>
                <w:rFonts w:eastAsia="Times New Roman"/>
              </w:rPr>
            </w:pPr>
          </w:p>
        </w:tc>
      </w:tr>
      <w:tr w:rsidR="00176399" w:rsidRPr="000A0A5F" w:rsidTr="00FF0AF8">
        <w:trPr>
          <w:jc w:val="center"/>
        </w:trPr>
        <w:tc>
          <w:tcPr>
            <w:tcW w:w="1661" w:type="dxa"/>
            <w:shd w:val="clear" w:color="auto" w:fill="auto"/>
          </w:tcPr>
          <w:p w:rsidR="00176399" w:rsidRPr="000A0A5F" w:rsidRDefault="00176399" w:rsidP="00176399">
            <w:pPr>
              <w:pStyle w:val="TAL"/>
            </w:pPr>
            <w:r w:rsidRPr="000A0A5F">
              <w:rPr>
                <w:rFonts w:hint="eastAsia"/>
                <w:lang w:eastAsia="zh-CN"/>
              </w:rPr>
              <w:t>qosMon</w:t>
            </w:r>
            <w:r w:rsidRPr="000A0A5F">
              <w:rPr>
                <w:lang w:eastAsia="zh-CN"/>
              </w:rPr>
              <w:t>Info</w:t>
            </w:r>
          </w:p>
        </w:tc>
        <w:tc>
          <w:tcPr>
            <w:tcW w:w="1842" w:type="dxa"/>
            <w:shd w:val="clear" w:color="auto" w:fill="auto"/>
          </w:tcPr>
          <w:p w:rsidR="00176399" w:rsidRPr="000A0A5F" w:rsidRDefault="00176399" w:rsidP="00176399">
            <w:pPr>
              <w:pStyle w:val="TAL"/>
            </w:pPr>
            <w:r w:rsidRPr="000A0A5F">
              <w:t>QosMonitoringInformationRm</w:t>
            </w:r>
          </w:p>
        </w:tc>
        <w:tc>
          <w:tcPr>
            <w:tcW w:w="1134" w:type="dxa"/>
          </w:tcPr>
          <w:p w:rsidR="00176399" w:rsidRPr="000A0A5F" w:rsidRDefault="00176399" w:rsidP="00176399">
            <w:pPr>
              <w:pStyle w:val="TAC"/>
              <w:jc w:val="left"/>
              <w:rPr>
                <w:rFonts w:hint="eastAsia"/>
                <w:lang w:eastAsia="zh-CN"/>
              </w:rPr>
            </w:pPr>
            <w:r w:rsidRPr="000A0A5F">
              <w:t>0..1</w:t>
            </w:r>
          </w:p>
        </w:tc>
        <w:tc>
          <w:tcPr>
            <w:tcW w:w="3687" w:type="dxa"/>
          </w:tcPr>
          <w:p w:rsidR="00176399" w:rsidRPr="000A0A5F" w:rsidRDefault="00176399" w:rsidP="00176399">
            <w:pPr>
              <w:pStyle w:val="TAL"/>
              <w:rPr>
                <w:rFonts w:eastAsia="Times New Roman" w:cs="Arial"/>
                <w:szCs w:val="18"/>
              </w:rPr>
            </w:pPr>
            <w:r w:rsidRPr="000A0A5F">
              <w:t xml:space="preserve">Qos Monitoring information. </w:t>
            </w:r>
            <w:r w:rsidRPr="000A0A5F">
              <w:rPr>
                <w:rFonts w:cs="Arial"/>
                <w:szCs w:val="18"/>
              </w:rPr>
              <w:t>It can be present when the event "QOS_MONITORING" is subscribed.</w:t>
            </w:r>
          </w:p>
        </w:tc>
        <w:tc>
          <w:tcPr>
            <w:tcW w:w="1235" w:type="dxa"/>
          </w:tcPr>
          <w:p w:rsidR="00176399" w:rsidRPr="000A0A5F" w:rsidRDefault="00176399" w:rsidP="00176399">
            <w:pPr>
              <w:pStyle w:val="TAC"/>
              <w:jc w:val="left"/>
              <w:rPr>
                <w:rFonts w:eastAsia="Times New Roman"/>
              </w:rPr>
            </w:pPr>
            <w:r w:rsidRPr="000A0A5F">
              <w:rPr>
                <w:rFonts w:cs="Arial"/>
                <w:szCs w:val="18"/>
              </w:rPr>
              <w:t>QoSMonitoring_5G</w:t>
            </w:r>
          </w:p>
        </w:tc>
      </w:tr>
      <w:tr w:rsidR="00176399" w:rsidRPr="000A0A5F" w:rsidTr="00FF0AF8">
        <w:trPr>
          <w:jc w:val="center"/>
        </w:trPr>
        <w:tc>
          <w:tcPr>
            <w:tcW w:w="1661" w:type="dxa"/>
            <w:shd w:val="clear" w:color="auto" w:fill="auto"/>
          </w:tcPr>
          <w:p w:rsidR="00176399" w:rsidRPr="000A0A5F" w:rsidRDefault="00176399" w:rsidP="00176399">
            <w:pPr>
              <w:pStyle w:val="TAL"/>
              <w:rPr>
                <w:rFonts w:hint="eastAsia"/>
                <w:lang w:eastAsia="zh-CN"/>
              </w:rPr>
            </w:pPr>
            <w:r w:rsidRPr="000A0A5F">
              <w:rPr>
                <w:lang w:eastAsia="zh-CN"/>
              </w:rPr>
              <w:t>directNotifInd</w:t>
            </w:r>
          </w:p>
        </w:tc>
        <w:tc>
          <w:tcPr>
            <w:tcW w:w="1842" w:type="dxa"/>
            <w:shd w:val="clear" w:color="auto" w:fill="auto"/>
          </w:tcPr>
          <w:p w:rsidR="00176399" w:rsidRPr="000A0A5F" w:rsidRDefault="00176399" w:rsidP="00176399">
            <w:pPr>
              <w:pStyle w:val="TAL"/>
            </w:pPr>
            <w:r w:rsidRPr="000A0A5F">
              <w:rPr>
                <w:rFonts w:hint="eastAsia"/>
                <w:lang w:eastAsia="zh-CN"/>
              </w:rPr>
              <w:t>b</w:t>
            </w:r>
            <w:r w:rsidRPr="000A0A5F">
              <w:rPr>
                <w:lang w:eastAsia="zh-CN"/>
              </w:rPr>
              <w:t>oolean</w:t>
            </w:r>
          </w:p>
        </w:tc>
        <w:tc>
          <w:tcPr>
            <w:tcW w:w="1134" w:type="dxa"/>
          </w:tcPr>
          <w:p w:rsidR="00176399" w:rsidRPr="000A0A5F" w:rsidRDefault="00176399" w:rsidP="00176399">
            <w:pPr>
              <w:pStyle w:val="TAC"/>
              <w:jc w:val="left"/>
            </w:pPr>
            <w:r w:rsidRPr="000A0A5F">
              <w:rPr>
                <w:rFonts w:hint="eastAsia"/>
                <w:lang w:eastAsia="zh-CN"/>
              </w:rPr>
              <w:t>0</w:t>
            </w:r>
            <w:r w:rsidRPr="000A0A5F">
              <w:rPr>
                <w:lang w:eastAsia="zh-CN"/>
              </w:rPr>
              <w:t>..1</w:t>
            </w:r>
          </w:p>
        </w:tc>
        <w:tc>
          <w:tcPr>
            <w:tcW w:w="3687" w:type="dxa"/>
          </w:tcPr>
          <w:p w:rsidR="00176399" w:rsidRPr="000A0A5F" w:rsidRDefault="00176399" w:rsidP="00176399">
            <w:pPr>
              <w:pStyle w:val="TAL"/>
              <w:rPr>
                <w:lang w:eastAsia="zh-CN"/>
              </w:rPr>
            </w:pPr>
            <w:r w:rsidRPr="000A0A5F">
              <w:rPr>
                <w:lang w:eastAsia="zh-CN"/>
              </w:rPr>
              <w:t>Indicates whether the direct event notification is requested.</w:t>
            </w:r>
          </w:p>
          <w:p w:rsidR="00176399" w:rsidRPr="000A0A5F" w:rsidRDefault="00176399" w:rsidP="00176399">
            <w:pPr>
              <w:pStyle w:val="TAL"/>
              <w:rPr>
                <w:lang w:eastAsia="zh-CN"/>
              </w:rPr>
            </w:pPr>
          </w:p>
          <w:p w:rsidR="00176399" w:rsidRPr="000A0A5F" w:rsidRDefault="00176399" w:rsidP="00176399">
            <w:pPr>
              <w:pStyle w:val="TAL"/>
            </w:pPr>
            <w:r w:rsidRPr="000A0A5F">
              <w:rPr>
                <w:lang w:eastAsia="zh-CN"/>
              </w:rPr>
              <w:t>- true: the direct event notification is requested</w:t>
            </w:r>
            <w:r w:rsidRPr="000A0A5F">
              <w:t>;</w:t>
            </w:r>
          </w:p>
          <w:p w:rsidR="00176399" w:rsidRPr="000A0A5F" w:rsidRDefault="00176399" w:rsidP="00176399">
            <w:pPr>
              <w:pStyle w:val="TAL"/>
            </w:pPr>
            <w:r w:rsidRPr="000A0A5F">
              <w:rPr>
                <w:lang w:eastAsia="zh-CN"/>
              </w:rPr>
              <w:t>- false: the direct event notification is not requested</w:t>
            </w:r>
            <w:r w:rsidRPr="000A0A5F">
              <w:t>.</w:t>
            </w:r>
          </w:p>
        </w:tc>
        <w:tc>
          <w:tcPr>
            <w:tcW w:w="1235" w:type="dxa"/>
          </w:tcPr>
          <w:p w:rsidR="00176399" w:rsidRPr="000A0A5F" w:rsidRDefault="00176399" w:rsidP="00176399">
            <w:pPr>
              <w:pStyle w:val="TAC"/>
              <w:jc w:val="left"/>
              <w:rPr>
                <w:rFonts w:cs="Arial"/>
                <w:szCs w:val="18"/>
              </w:rPr>
            </w:pPr>
            <w:r w:rsidRPr="000A0A5F">
              <w:t>ExposureToEAS</w:t>
            </w:r>
          </w:p>
        </w:tc>
      </w:tr>
      <w:tr w:rsidR="00176399" w:rsidRPr="000A0A5F" w:rsidTr="00FF0AF8">
        <w:trPr>
          <w:jc w:val="center"/>
        </w:trPr>
        <w:tc>
          <w:tcPr>
            <w:tcW w:w="1661" w:type="dxa"/>
            <w:shd w:val="clear" w:color="auto" w:fill="auto"/>
          </w:tcPr>
          <w:p w:rsidR="00176399" w:rsidRPr="000A0A5F" w:rsidRDefault="00176399" w:rsidP="00176399">
            <w:pPr>
              <w:pStyle w:val="TAL"/>
              <w:rPr>
                <w:rFonts w:hint="eastAsia"/>
                <w:lang w:eastAsia="zh-CN"/>
              </w:rPr>
            </w:pPr>
            <w:r w:rsidRPr="000A0A5F">
              <w:rPr>
                <w:lang w:eastAsia="zh-CN"/>
              </w:rPr>
              <w:t>tscQosReq</w:t>
            </w:r>
          </w:p>
        </w:tc>
        <w:tc>
          <w:tcPr>
            <w:tcW w:w="1842" w:type="dxa"/>
            <w:shd w:val="clear" w:color="auto" w:fill="auto"/>
          </w:tcPr>
          <w:p w:rsidR="00176399" w:rsidRPr="000A0A5F" w:rsidRDefault="00176399" w:rsidP="00176399">
            <w:pPr>
              <w:pStyle w:val="TAL"/>
              <w:rPr>
                <w:rFonts w:hint="eastAsia"/>
                <w:lang w:eastAsia="zh-CN"/>
              </w:rPr>
            </w:pPr>
            <w:r w:rsidRPr="000A0A5F">
              <w:rPr>
                <w:lang w:eastAsia="zh-CN"/>
              </w:rPr>
              <w:t>TscQosRequirementRm</w:t>
            </w:r>
          </w:p>
        </w:tc>
        <w:tc>
          <w:tcPr>
            <w:tcW w:w="1134" w:type="dxa"/>
          </w:tcPr>
          <w:p w:rsidR="00176399" w:rsidRPr="000A0A5F" w:rsidRDefault="00176399" w:rsidP="00176399">
            <w:pPr>
              <w:pStyle w:val="TAC"/>
              <w:jc w:val="left"/>
              <w:rPr>
                <w:rFonts w:hint="eastAsia"/>
                <w:lang w:eastAsia="zh-CN"/>
              </w:rPr>
            </w:pPr>
            <w:r w:rsidRPr="000A0A5F">
              <w:rPr>
                <w:rFonts w:hint="eastAsia"/>
                <w:lang w:eastAsia="zh-CN"/>
              </w:rPr>
              <w:t>0</w:t>
            </w:r>
            <w:r w:rsidRPr="000A0A5F">
              <w:rPr>
                <w:lang w:eastAsia="zh-CN"/>
              </w:rPr>
              <w:t>..1</w:t>
            </w:r>
          </w:p>
        </w:tc>
        <w:tc>
          <w:tcPr>
            <w:tcW w:w="3687" w:type="dxa"/>
          </w:tcPr>
          <w:p w:rsidR="00176399" w:rsidRPr="000A0A5F" w:rsidRDefault="00176399" w:rsidP="00176399">
            <w:pPr>
              <w:pStyle w:val="TAL"/>
              <w:rPr>
                <w:lang w:eastAsia="zh-CN"/>
              </w:rPr>
            </w:pPr>
            <w:r w:rsidRPr="000A0A5F">
              <w:rPr>
                <w:lang w:eastAsia="zh-CN"/>
              </w:rPr>
              <w:t>Contains the QoS requirements for time sensitive communication. (NOTE 4)</w:t>
            </w:r>
          </w:p>
        </w:tc>
        <w:tc>
          <w:tcPr>
            <w:tcW w:w="1235" w:type="dxa"/>
          </w:tcPr>
          <w:p w:rsidR="00A60F32" w:rsidRPr="000A0A5F" w:rsidRDefault="00A60F32" w:rsidP="00A60F32">
            <w:pPr>
              <w:pStyle w:val="TAC"/>
              <w:jc w:val="left"/>
              <w:rPr>
                <w:rFonts w:cs="Arial"/>
                <w:szCs w:val="18"/>
                <w:lang w:eastAsia="zh-CN"/>
              </w:rPr>
            </w:pPr>
            <w:r w:rsidRPr="000A0A5F">
              <w:rPr>
                <w:rFonts w:cs="Arial" w:hint="eastAsia"/>
                <w:szCs w:val="18"/>
                <w:lang w:eastAsia="zh-CN"/>
              </w:rPr>
              <w:t>T</w:t>
            </w:r>
            <w:r w:rsidRPr="000A0A5F">
              <w:rPr>
                <w:rFonts w:cs="Arial"/>
                <w:szCs w:val="18"/>
                <w:lang w:eastAsia="zh-CN"/>
              </w:rPr>
              <w:t>SC_5G</w:t>
            </w:r>
          </w:p>
          <w:p w:rsidR="00176399" w:rsidRPr="000A0A5F" w:rsidRDefault="00A60F32" w:rsidP="00A60F32">
            <w:pPr>
              <w:pStyle w:val="TAC"/>
              <w:jc w:val="left"/>
            </w:pPr>
            <w:r w:rsidRPr="000A0A5F">
              <w:t>MultiMedia</w:t>
            </w:r>
          </w:p>
        </w:tc>
      </w:tr>
      <w:tr w:rsidR="00176399" w:rsidRPr="000A0A5F" w:rsidTr="00FF0AF8">
        <w:trPr>
          <w:jc w:val="center"/>
        </w:trPr>
        <w:tc>
          <w:tcPr>
            <w:tcW w:w="1661" w:type="dxa"/>
            <w:shd w:val="clear" w:color="auto" w:fill="auto"/>
          </w:tcPr>
          <w:p w:rsidR="00176399" w:rsidRPr="000A0A5F" w:rsidRDefault="00176399" w:rsidP="00176399">
            <w:pPr>
              <w:pStyle w:val="TAL"/>
              <w:rPr>
                <w:lang w:eastAsia="zh-CN"/>
              </w:rPr>
            </w:pPr>
            <w:r w:rsidRPr="000A0A5F">
              <w:rPr>
                <w:rFonts w:hint="eastAsia"/>
                <w:lang w:eastAsia="zh-CN"/>
              </w:rPr>
              <w:t>notification</w:t>
            </w:r>
            <w:r w:rsidRPr="000A0A5F">
              <w:rPr>
                <w:lang w:eastAsia="zh-CN"/>
              </w:rPr>
              <w:t>Destination</w:t>
            </w:r>
          </w:p>
        </w:tc>
        <w:tc>
          <w:tcPr>
            <w:tcW w:w="1842" w:type="dxa"/>
            <w:shd w:val="clear" w:color="auto" w:fill="auto"/>
          </w:tcPr>
          <w:p w:rsidR="00176399" w:rsidRPr="000A0A5F" w:rsidRDefault="00176399" w:rsidP="00176399">
            <w:pPr>
              <w:pStyle w:val="TAL"/>
              <w:rPr>
                <w:lang w:eastAsia="zh-CN"/>
              </w:rPr>
            </w:pPr>
            <w:r w:rsidRPr="000A0A5F">
              <w:rPr>
                <w:rFonts w:hint="eastAsia"/>
                <w:lang w:eastAsia="zh-CN"/>
              </w:rPr>
              <w:t>Link</w:t>
            </w:r>
          </w:p>
        </w:tc>
        <w:tc>
          <w:tcPr>
            <w:tcW w:w="1134" w:type="dxa"/>
          </w:tcPr>
          <w:p w:rsidR="00176399" w:rsidRPr="000A0A5F" w:rsidRDefault="00176399" w:rsidP="00176399">
            <w:pPr>
              <w:pStyle w:val="TAC"/>
              <w:jc w:val="left"/>
              <w:rPr>
                <w:rFonts w:hint="eastAsia"/>
                <w:lang w:eastAsia="zh-CN"/>
              </w:rPr>
            </w:pPr>
            <w:r w:rsidRPr="000A0A5F">
              <w:rPr>
                <w:lang w:eastAsia="zh-CN"/>
              </w:rPr>
              <w:t>0..</w:t>
            </w:r>
            <w:r w:rsidRPr="000A0A5F">
              <w:rPr>
                <w:rFonts w:hint="eastAsia"/>
                <w:lang w:eastAsia="zh-CN"/>
              </w:rPr>
              <w:t>1</w:t>
            </w:r>
          </w:p>
        </w:tc>
        <w:tc>
          <w:tcPr>
            <w:tcW w:w="3687" w:type="dxa"/>
          </w:tcPr>
          <w:p w:rsidR="00176399" w:rsidRPr="000A0A5F" w:rsidRDefault="00176399" w:rsidP="00176399">
            <w:pPr>
              <w:pStyle w:val="TAL"/>
              <w:rPr>
                <w:lang w:eastAsia="zh-CN"/>
              </w:rPr>
            </w:pPr>
            <w:r w:rsidRPr="000A0A5F">
              <w:rPr>
                <w:rFonts w:cs="Arial" w:hint="eastAsia"/>
                <w:szCs w:val="18"/>
                <w:lang w:eastAsia="zh-CN"/>
              </w:rPr>
              <w:t xml:space="preserve">Contains the URL to receive the notification </w:t>
            </w:r>
            <w:r w:rsidRPr="000A0A5F">
              <w:rPr>
                <w:rFonts w:cs="Arial"/>
                <w:szCs w:val="18"/>
                <w:lang w:eastAsia="zh-CN"/>
              </w:rPr>
              <w:t>event(s) from the SCEF.</w:t>
            </w:r>
          </w:p>
        </w:tc>
        <w:tc>
          <w:tcPr>
            <w:tcW w:w="1235" w:type="dxa"/>
          </w:tcPr>
          <w:p w:rsidR="00176399" w:rsidRPr="000A0A5F" w:rsidRDefault="00176399" w:rsidP="00176399">
            <w:pPr>
              <w:pStyle w:val="TAC"/>
              <w:jc w:val="left"/>
              <w:rPr>
                <w:rFonts w:cs="Arial" w:hint="eastAsia"/>
                <w:szCs w:val="18"/>
                <w:lang w:eastAsia="zh-CN"/>
              </w:rPr>
            </w:pPr>
          </w:p>
        </w:tc>
      </w:tr>
      <w:tr w:rsidR="00176399" w:rsidRPr="000A0A5F" w:rsidTr="00FF0AF8">
        <w:trPr>
          <w:jc w:val="center"/>
        </w:trPr>
        <w:tc>
          <w:tcPr>
            <w:tcW w:w="1661" w:type="dxa"/>
            <w:shd w:val="clear" w:color="auto" w:fill="auto"/>
          </w:tcPr>
          <w:p w:rsidR="00176399" w:rsidRPr="000A0A5F" w:rsidRDefault="00176399" w:rsidP="00176399">
            <w:pPr>
              <w:pStyle w:val="TAL"/>
              <w:rPr>
                <w:rFonts w:hint="eastAsia"/>
                <w:lang w:eastAsia="zh-CN"/>
              </w:rPr>
            </w:pPr>
            <w:r w:rsidRPr="000A0A5F">
              <w:t>events</w:t>
            </w:r>
          </w:p>
        </w:tc>
        <w:tc>
          <w:tcPr>
            <w:tcW w:w="1842" w:type="dxa"/>
            <w:shd w:val="clear" w:color="auto" w:fill="auto"/>
          </w:tcPr>
          <w:p w:rsidR="00176399" w:rsidRPr="000A0A5F" w:rsidRDefault="00176399" w:rsidP="00176399">
            <w:pPr>
              <w:pStyle w:val="TAL"/>
              <w:rPr>
                <w:rFonts w:hint="eastAsia"/>
                <w:lang w:eastAsia="zh-CN"/>
              </w:rPr>
            </w:pPr>
            <w:r w:rsidRPr="000A0A5F">
              <w:t>array(UserPlaneEvent)</w:t>
            </w:r>
          </w:p>
        </w:tc>
        <w:tc>
          <w:tcPr>
            <w:tcW w:w="1134" w:type="dxa"/>
          </w:tcPr>
          <w:p w:rsidR="00176399" w:rsidRPr="000A0A5F" w:rsidRDefault="00176399" w:rsidP="00176399">
            <w:pPr>
              <w:pStyle w:val="TAC"/>
              <w:jc w:val="left"/>
              <w:rPr>
                <w:lang w:eastAsia="zh-CN"/>
              </w:rPr>
            </w:pPr>
            <w:r w:rsidRPr="000A0A5F">
              <w:t>0..N</w:t>
            </w:r>
          </w:p>
        </w:tc>
        <w:tc>
          <w:tcPr>
            <w:tcW w:w="3687" w:type="dxa"/>
          </w:tcPr>
          <w:p w:rsidR="00176399" w:rsidRPr="000A0A5F" w:rsidRDefault="00176399" w:rsidP="00176399">
            <w:pPr>
              <w:pStyle w:val="TAL"/>
              <w:rPr>
                <w:rFonts w:cs="Arial" w:hint="eastAsia"/>
                <w:szCs w:val="18"/>
                <w:lang w:eastAsia="zh-CN"/>
              </w:rPr>
            </w:pPr>
            <w:r w:rsidRPr="000A0A5F">
              <w:rPr>
                <w:rFonts w:cs="Arial"/>
                <w:szCs w:val="18"/>
              </w:rPr>
              <w:t>Corresponds to the list of user plane event(s) to which the SCS/AS requests to subscribe to.</w:t>
            </w:r>
          </w:p>
        </w:tc>
        <w:tc>
          <w:tcPr>
            <w:tcW w:w="1235" w:type="dxa"/>
          </w:tcPr>
          <w:p w:rsidR="00176399" w:rsidRPr="000A0A5F" w:rsidRDefault="00176399" w:rsidP="00176399">
            <w:pPr>
              <w:pStyle w:val="TAC"/>
              <w:jc w:val="left"/>
              <w:rPr>
                <w:rFonts w:cs="Arial" w:hint="eastAsia"/>
                <w:szCs w:val="18"/>
                <w:lang w:eastAsia="zh-CN"/>
              </w:rPr>
            </w:pPr>
            <w:r w:rsidRPr="000A0A5F">
              <w:rPr>
                <w:rFonts w:cs="Arial"/>
                <w:szCs w:val="18"/>
              </w:rPr>
              <w:t>enNB</w:t>
            </w:r>
          </w:p>
        </w:tc>
      </w:tr>
      <w:tr w:rsidR="00A60F32" w:rsidRPr="000A0A5F" w:rsidTr="00FF0AF8">
        <w:trPr>
          <w:jc w:val="center"/>
        </w:trPr>
        <w:tc>
          <w:tcPr>
            <w:tcW w:w="1661" w:type="dxa"/>
            <w:shd w:val="clear" w:color="auto" w:fill="auto"/>
          </w:tcPr>
          <w:p w:rsidR="00A60F32" w:rsidRPr="000A0A5F" w:rsidRDefault="00A60F32" w:rsidP="00A60F32">
            <w:pPr>
              <w:pStyle w:val="TAL"/>
            </w:pPr>
            <w:r w:rsidRPr="000A0A5F">
              <w:t>multiModDatFlows</w:t>
            </w:r>
          </w:p>
        </w:tc>
        <w:tc>
          <w:tcPr>
            <w:tcW w:w="1842" w:type="dxa"/>
            <w:shd w:val="clear" w:color="auto" w:fill="auto"/>
          </w:tcPr>
          <w:p w:rsidR="00A60F32" w:rsidRPr="000A0A5F" w:rsidRDefault="00A60F32" w:rsidP="00A60F32">
            <w:pPr>
              <w:pStyle w:val="TAL"/>
            </w:pPr>
            <w:r w:rsidRPr="000A0A5F">
              <w:t>map(AsSessionMediaComponentRm)</w:t>
            </w:r>
          </w:p>
        </w:tc>
        <w:tc>
          <w:tcPr>
            <w:tcW w:w="1134" w:type="dxa"/>
          </w:tcPr>
          <w:p w:rsidR="00A60F32" w:rsidRPr="000A0A5F" w:rsidRDefault="00A60F32" w:rsidP="00A60F32">
            <w:pPr>
              <w:pStyle w:val="TAC"/>
              <w:jc w:val="left"/>
            </w:pPr>
            <w:r w:rsidRPr="000A0A5F">
              <w:t>0..N</w:t>
            </w:r>
          </w:p>
        </w:tc>
        <w:tc>
          <w:tcPr>
            <w:tcW w:w="3687" w:type="dxa"/>
          </w:tcPr>
          <w:p w:rsidR="00A60F32" w:rsidRPr="000A0A5F" w:rsidRDefault="00A60F32" w:rsidP="00A60F32">
            <w:pPr>
              <w:pStyle w:val="TAL"/>
            </w:pPr>
            <w:r w:rsidRPr="000A0A5F">
              <w:t>Each element of the map represents Media Component data for a single-modal data flow(s) of a multi</w:t>
            </w:r>
            <w:r w:rsidR="00090953">
              <w:t>-</w:t>
            </w:r>
            <w:r w:rsidRPr="000A0A5F">
              <w:t>modal service. The key of the map is the attribute "medCompN". (NOTE 6)</w:t>
            </w:r>
          </w:p>
        </w:tc>
        <w:tc>
          <w:tcPr>
            <w:tcW w:w="1235" w:type="dxa"/>
          </w:tcPr>
          <w:p w:rsidR="00A60F32" w:rsidRPr="000A0A5F" w:rsidRDefault="00A60F32" w:rsidP="00A60F32">
            <w:pPr>
              <w:pStyle w:val="TAC"/>
              <w:jc w:val="left"/>
              <w:rPr>
                <w:rFonts w:cs="Arial"/>
                <w:szCs w:val="18"/>
              </w:rPr>
            </w:pPr>
            <w:r w:rsidRPr="000A0A5F">
              <w:rPr>
                <w:rFonts w:cs="Arial"/>
                <w:szCs w:val="18"/>
              </w:rPr>
              <w:t>MultiMedia</w:t>
            </w:r>
          </w:p>
        </w:tc>
      </w:tr>
      <w:tr w:rsidR="00176399" w:rsidRPr="000A0A5F" w:rsidTr="00FF0AF8">
        <w:trPr>
          <w:jc w:val="center"/>
        </w:trPr>
        <w:tc>
          <w:tcPr>
            <w:tcW w:w="1661" w:type="dxa"/>
            <w:shd w:val="clear" w:color="auto" w:fill="auto"/>
          </w:tcPr>
          <w:p w:rsidR="00176399" w:rsidRPr="000A0A5F" w:rsidRDefault="00176399" w:rsidP="00176399">
            <w:pPr>
              <w:pStyle w:val="TAL"/>
            </w:pPr>
            <w:r w:rsidRPr="000A0A5F">
              <w:t>l4sInfo</w:t>
            </w:r>
          </w:p>
        </w:tc>
        <w:tc>
          <w:tcPr>
            <w:tcW w:w="1842" w:type="dxa"/>
            <w:shd w:val="clear" w:color="auto" w:fill="auto"/>
          </w:tcPr>
          <w:p w:rsidR="00176399" w:rsidRPr="000A0A5F" w:rsidRDefault="00176399" w:rsidP="00176399">
            <w:pPr>
              <w:pStyle w:val="TAL"/>
            </w:pPr>
            <w:r w:rsidRPr="000A0A5F">
              <w:t>UplinkDownlinkSupport</w:t>
            </w:r>
          </w:p>
        </w:tc>
        <w:tc>
          <w:tcPr>
            <w:tcW w:w="1134" w:type="dxa"/>
          </w:tcPr>
          <w:p w:rsidR="00176399" w:rsidRPr="000A0A5F" w:rsidRDefault="00176399" w:rsidP="00176399">
            <w:pPr>
              <w:pStyle w:val="TAC"/>
              <w:jc w:val="left"/>
            </w:pPr>
            <w:r w:rsidRPr="000A0A5F">
              <w:rPr>
                <w:lang w:eastAsia="zh-CN"/>
              </w:rPr>
              <w:t>0..1</w:t>
            </w:r>
          </w:p>
        </w:tc>
        <w:tc>
          <w:tcPr>
            <w:tcW w:w="3687" w:type="dxa"/>
          </w:tcPr>
          <w:p w:rsidR="00176399" w:rsidRPr="000A0A5F" w:rsidRDefault="00176399" w:rsidP="00176399">
            <w:pPr>
              <w:pStyle w:val="TAL"/>
            </w:pPr>
            <w:r w:rsidRPr="000A0A5F">
              <w:rPr>
                <w:rFonts w:cs="Arial"/>
                <w:szCs w:val="18"/>
              </w:rPr>
              <w:t>Provides L4S support information.</w:t>
            </w:r>
          </w:p>
        </w:tc>
        <w:tc>
          <w:tcPr>
            <w:tcW w:w="1235" w:type="dxa"/>
          </w:tcPr>
          <w:p w:rsidR="00176399" w:rsidRPr="000A0A5F" w:rsidRDefault="00A60F32" w:rsidP="00176399">
            <w:pPr>
              <w:pStyle w:val="TAC"/>
              <w:jc w:val="left"/>
              <w:rPr>
                <w:rFonts w:cs="Arial"/>
                <w:szCs w:val="18"/>
              </w:rPr>
            </w:pPr>
            <w:r w:rsidRPr="000A0A5F">
              <w:rPr>
                <w:rFonts w:cs="Arial"/>
                <w:szCs w:val="18"/>
              </w:rPr>
              <w:t>L4S</w:t>
            </w:r>
          </w:p>
        </w:tc>
      </w:tr>
      <w:tr w:rsidR="00307040" w:rsidRPr="000A0A5F" w:rsidTr="00FF0AF8">
        <w:trPr>
          <w:jc w:val="center"/>
        </w:trPr>
        <w:tc>
          <w:tcPr>
            <w:tcW w:w="1661" w:type="dxa"/>
            <w:shd w:val="clear" w:color="auto" w:fill="auto"/>
          </w:tcPr>
          <w:p w:rsidR="00307040" w:rsidRPr="000A0A5F" w:rsidRDefault="00307040" w:rsidP="00307040">
            <w:pPr>
              <w:pStyle w:val="TAL"/>
            </w:pPr>
            <w:r w:rsidRPr="000A0A5F">
              <w:rPr>
                <w:rFonts w:hint="eastAsia"/>
                <w:lang w:eastAsia="zh-CN"/>
              </w:rPr>
              <w:t>p</w:t>
            </w:r>
            <w:r w:rsidRPr="000A0A5F">
              <w:rPr>
                <w:lang w:eastAsia="zh-CN"/>
              </w:rPr>
              <w:t>duSetQos</w:t>
            </w:r>
          </w:p>
        </w:tc>
        <w:tc>
          <w:tcPr>
            <w:tcW w:w="1842" w:type="dxa"/>
            <w:shd w:val="clear" w:color="auto" w:fill="auto"/>
          </w:tcPr>
          <w:p w:rsidR="00307040" w:rsidRPr="000A0A5F" w:rsidRDefault="00307040" w:rsidP="00307040">
            <w:pPr>
              <w:pStyle w:val="TAL"/>
            </w:pPr>
            <w:r w:rsidRPr="000A0A5F">
              <w:rPr>
                <w:rFonts w:hint="eastAsia"/>
                <w:lang w:eastAsia="zh-CN"/>
              </w:rPr>
              <w:t>P</w:t>
            </w:r>
            <w:r w:rsidRPr="000A0A5F">
              <w:rPr>
                <w:lang w:eastAsia="zh-CN"/>
              </w:rPr>
              <w:t>duSetQosParaRm</w:t>
            </w:r>
          </w:p>
        </w:tc>
        <w:tc>
          <w:tcPr>
            <w:tcW w:w="1134" w:type="dxa"/>
          </w:tcPr>
          <w:p w:rsidR="00307040" w:rsidRPr="000A0A5F" w:rsidRDefault="00307040" w:rsidP="00307040">
            <w:pPr>
              <w:pStyle w:val="TAC"/>
              <w:jc w:val="left"/>
              <w:rPr>
                <w:lang w:eastAsia="zh-CN"/>
              </w:rPr>
            </w:pPr>
            <w:r w:rsidRPr="000A0A5F">
              <w:t>0..1</w:t>
            </w:r>
          </w:p>
        </w:tc>
        <w:tc>
          <w:tcPr>
            <w:tcW w:w="3687" w:type="dxa"/>
          </w:tcPr>
          <w:p w:rsidR="00307040" w:rsidRPr="000A0A5F" w:rsidRDefault="00307040" w:rsidP="00307040">
            <w:pPr>
              <w:pStyle w:val="TAL"/>
              <w:rPr>
                <w:rFonts w:cs="Arial"/>
                <w:szCs w:val="18"/>
              </w:rPr>
            </w:pPr>
            <w:r w:rsidRPr="000A0A5F">
              <w:t xml:space="preserve">Contains the PDU Set QoS Parameters which are used to support PDU </w:t>
            </w:r>
            <w:r w:rsidRPr="000A0A5F">
              <w:rPr>
                <w:rFonts w:hint="eastAsia"/>
                <w:lang w:eastAsia="zh-CN"/>
              </w:rPr>
              <w:t>S</w:t>
            </w:r>
            <w:r w:rsidRPr="000A0A5F">
              <w:t xml:space="preserve">et </w:t>
            </w:r>
            <w:r w:rsidRPr="000A0A5F">
              <w:rPr>
                <w:lang w:eastAsia="zh-CN"/>
              </w:rPr>
              <w:t>based QoS</w:t>
            </w:r>
            <w:r w:rsidRPr="000A0A5F">
              <w:rPr>
                <w:lang w:val="en-US"/>
              </w:rPr>
              <w:t xml:space="preserve"> </w:t>
            </w:r>
            <w:r w:rsidRPr="000A0A5F">
              <w:t>handling.</w:t>
            </w:r>
          </w:p>
        </w:tc>
        <w:tc>
          <w:tcPr>
            <w:tcW w:w="1235" w:type="dxa"/>
          </w:tcPr>
          <w:p w:rsidR="00307040" w:rsidRPr="000A0A5F" w:rsidRDefault="00307040" w:rsidP="00307040">
            <w:pPr>
              <w:pStyle w:val="TAC"/>
              <w:jc w:val="left"/>
              <w:rPr>
                <w:rFonts w:cs="Arial"/>
                <w:szCs w:val="18"/>
              </w:rPr>
            </w:pPr>
            <w:r w:rsidRPr="000A0A5F">
              <w:rPr>
                <w:rFonts w:cs="Arial"/>
              </w:rPr>
              <w:t>PDUSetHandling</w:t>
            </w:r>
          </w:p>
        </w:tc>
      </w:tr>
      <w:tr w:rsidR="00307040" w:rsidRPr="000A0A5F" w:rsidTr="00FF0AF8">
        <w:trPr>
          <w:jc w:val="center"/>
        </w:trPr>
        <w:tc>
          <w:tcPr>
            <w:tcW w:w="1661" w:type="dxa"/>
            <w:shd w:val="clear" w:color="auto" w:fill="auto"/>
          </w:tcPr>
          <w:p w:rsidR="00307040" w:rsidRPr="000A0A5F" w:rsidRDefault="00307040" w:rsidP="00307040">
            <w:pPr>
              <w:pStyle w:val="TAL"/>
              <w:rPr>
                <w:rFonts w:hint="eastAsia"/>
                <w:lang w:eastAsia="zh-CN"/>
              </w:rPr>
            </w:pPr>
            <w:r w:rsidRPr="000A0A5F">
              <w:rPr>
                <w:rFonts w:hint="eastAsia"/>
                <w:lang w:eastAsia="zh-CN"/>
              </w:rPr>
              <w:t>r</w:t>
            </w:r>
            <w:r w:rsidRPr="000A0A5F">
              <w:rPr>
                <w:lang w:eastAsia="zh-CN"/>
              </w:rPr>
              <w:t>TLatencyInd</w:t>
            </w:r>
          </w:p>
        </w:tc>
        <w:tc>
          <w:tcPr>
            <w:tcW w:w="1842" w:type="dxa"/>
            <w:shd w:val="clear" w:color="auto" w:fill="auto"/>
          </w:tcPr>
          <w:p w:rsidR="00307040" w:rsidRPr="000A0A5F" w:rsidRDefault="00307040" w:rsidP="00307040">
            <w:pPr>
              <w:pStyle w:val="TAL"/>
              <w:rPr>
                <w:rFonts w:hint="eastAsia"/>
                <w:lang w:eastAsia="zh-CN"/>
              </w:rPr>
            </w:pPr>
            <w:r w:rsidRPr="000A0A5F">
              <w:rPr>
                <w:rFonts w:hint="eastAsia"/>
                <w:lang w:eastAsia="zh-CN"/>
              </w:rPr>
              <w:t>b</w:t>
            </w:r>
            <w:r w:rsidRPr="000A0A5F">
              <w:rPr>
                <w:lang w:eastAsia="zh-CN"/>
              </w:rPr>
              <w:t>oolean</w:t>
            </w:r>
          </w:p>
        </w:tc>
        <w:tc>
          <w:tcPr>
            <w:tcW w:w="1134" w:type="dxa"/>
          </w:tcPr>
          <w:p w:rsidR="00307040" w:rsidRPr="000A0A5F" w:rsidRDefault="00307040" w:rsidP="00307040">
            <w:pPr>
              <w:pStyle w:val="TAC"/>
              <w:jc w:val="left"/>
            </w:pPr>
            <w:r w:rsidRPr="000A0A5F">
              <w:t>0..1</w:t>
            </w:r>
          </w:p>
        </w:tc>
        <w:tc>
          <w:tcPr>
            <w:tcW w:w="3687" w:type="dxa"/>
          </w:tcPr>
          <w:p w:rsidR="00307040" w:rsidRPr="000A0A5F" w:rsidRDefault="00307040" w:rsidP="00307040">
            <w:pPr>
              <w:pStyle w:val="TAL"/>
            </w:pPr>
            <w:r w:rsidRPr="000A0A5F">
              <w:t>Indicates the service data flow needs to meet the Round-Trip (RT) latency requirement of the service, when it is included and set to "true". The default value is "false" if omitted.</w:t>
            </w:r>
          </w:p>
        </w:tc>
        <w:tc>
          <w:tcPr>
            <w:tcW w:w="1235" w:type="dxa"/>
          </w:tcPr>
          <w:p w:rsidR="00307040" w:rsidRPr="000A0A5F" w:rsidRDefault="00307040" w:rsidP="00307040">
            <w:pPr>
              <w:pStyle w:val="TAC"/>
              <w:jc w:val="left"/>
              <w:rPr>
                <w:rFonts w:cs="Arial"/>
                <w:szCs w:val="18"/>
              </w:rPr>
            </w:pPr>
            <w:r w:rsidRPr="000A0A5F">
              <w:rPr>
                <w:rFonts w:cs="Arial" w:hint="eastAsia"/>
                <w:lang w:eastAsia="zh-CN"/>
              </w:rPr>
              <w:t>R</w:t>
            </w:r>
            <w:r w:rsidRPr="000A0A5F">
              <w:rPr>
                <w:rFonts w:cs="Arial"/>
                <w:lang w:eastAsia="zh-CN"/>
              </w:rPr>
              <w:t>TLatency</w:t>
            </w:r>
          </w:p>
        </w:tc>
      </w:tr>
      <w:tr w:rsidR="0080605F" w:rsidRPr="000A0A5F" w:rsidTr="00FF0AF8">
        <w:trPr>
          <w:jc w:val="center"/>
        </w:trPr>
        <w:tc>
          <w:tcPr>
            <w:tcW w:w="1661" w:type="dxa"/>
            <w:shd w:val="clear" w:color="auto" w:fill="auto"/>
          </w:tcPr>
          <w:p w:rsidR="0080605F" w:rsidRPr="000A0A5F" w:rsidRDefault="0080605F" w:rsidP="0080605F">
            <w:pPr>
              <w:pStyle w:val="TAL"/>
              <w:rPr>
                <w:lang w:eastAsia="zh-CN"/>
              </w:rPr>
            </w:pPr>
            <w:r w:rsidRPr="000A0A5F">
              <w:t>protoDesc</w:t>
            </w:r>
          </w:p>
        </w:tc>
        <w:tc>
          <w:tcPr>
            <w:tcW w:w="1842" w:type="dxa"/>
            <w:shd w:val="clear" w:color="auto" w:fill="auto"/>
          </w:tcPr>
          <w:p w:rsidR="0080605F" w:rsidRPr="000A0A5F" w:rsidRDefault="0080605F" w:rsidP="0080605F">
            <w:pPr>
              <w:pStyle w:val="TAL"/>
              <w:rPr>
                <w:lang w:eastAsia="zh-CN"/>
              </w:rPr>
            </w:pPr>
            <w:r w:rsidRPr="000A0A5F">
              <w:t>ProtoDesc</w:t>
            </w:r>
          </w:p>
        </w:tc>
        <w:tc>
          <w:tcPr>
            <w:tcW w:w="1134" w:type="dxa"/>
          </w:tcPr>
          <w:p w:rsidR="0080605F" w:rsidRPr="000A0A5F" w:rsidRDefault="0080605F" w:rsidP="0080605F">
            <w:pPr>
              <w:pStyle w:val="TAC"/>
              <w:jc w:val="left"/>
            </w:pPr>
            <w:r w:rsidRPr="000A0A5F">
              <w:t>0..1</w:t>
            </w:r>
          </w:p>
        </w:tc>
        <w:tc>
          <w:tcPr>
            <w:tcW w:w="3687" w:type="dxa"/>
          </w:tcPr>
          <w:p w:rsidR="0080605F" w:rsidRPr="000A0A5F" w:rsidRDefault="0080605F" w:rsidP="0080605F">
            <w:pPr>
              <w:pStyle w:val="TAL"/>
            </w:pPr>
            <w:r w:rsidRPr="000A0A5F">
              <w:t>Protocol description for PDU Set identification and end of Data burst indication in UPF</w:t>
            </w:r>
          </w:p>
        </w:tc>
        <w:tc>
          <w:tcPr>
            <w:tcW w:w="1235" w:type="dxa"/>
          </w:tcPr>
          <w:p w:rsidR="0080605F" w:rsidRPr="000A0A5F" w:rsidRDefault="0080605F" w:rsidP="0080605F">
            <w:pPr>
              <w:pStyle w:val="TAC"/>
              <w:jc w:val="left"/>
              <w:rPr>
                <w:rFonts w:cs="Arial"/>
                <w:szCs w:val="18"/>
              </w:rPr>
            </w:pPr>
            <w:r w:rsidRPr="000A0A5F">
              <w:rPr>
                <w:rFonts w:cs="Arial"/>
              </w:rPr>
              <w:t>PDUSetHandling</w:t>
            </w:r>
          </w:p>
          <w:p w:rsidR="0080605F" w:rsidRPr="000A0A5F" w:rsidRDefault="0080605F" w:rsidP="0080605F">
            <w:pPr>
              <w:pStyle w:val="TAC"/>
              <w:jc w:val="left"/>
            </w:pPr>
            <w:r w:rsidRPr="000A0A5F">
              <w:t>PowerSaving</w:t>
            </w:r>
          </w:p>
        </w:tc>
      </w:tr>
      <w:tr w:rsidR="00176399" w:rsidRPr="000A0A5F" w:rsidTr="00FF0AF8">
        <w:trPr>
          <w:jc w:val="center"/>
        </w:trPr>
        <w:tc>
          <w:tcPr>
            <w:tcW w:w="1661" w:type="dxa"/>
            <w:shd w:val="clear" w:color="auto" w:fill="auto"/>
          </w:tcPr>
          <w:p w:rsidR="00176399" w:rsidRPr="000A0A5F" w:rsidRDefault="00176399" w:rsidP="00176399">
            <w:pPr>
              <w:pStyle w:val="TAL"/>
            </w:pPr>
            <w:r w:rsidRPr="000A0A5F">
              <w:rPr>
                <w:lang w:eastAsia="zh-CN"/>
              </w:rPr>
              <w:t>periodInfo</w:t>
            </w:r>
          </w:p>
        </w:tc>
        <w:tc>
          <w:tcPr>
            <w:tcW w:w="1842" w:type="dxa"/>
            <w:shd w:val="clear" w:color="auto" w:fill="auto"/>
          </w:tcPr>
          <w:p w:rsidR="00176399" w:rsidRPr="000A0A5F" w:rsidRDefault="00176399" w:rsidP="00176399">
            <w:pPr>
              <w:pStyle w:val="TAL"/>
            </w:pPr>
            <w:r w:rsidRPr="000A0A5F">
              <w:t>PeriodicityInfo</w:t>
            </w:r>
          </w:p>
        </w:tc>
        <w:tc>
          <w:tcPr>
            <w:tcW w:w="1134" w:type="dxa"/>
          </w:tcPr>
          <w:p w:rsidR="00176399" w:rsidRPr="000A0A5F" w:rsidRDefault="00176399" w:rsidP="00176399">
            <w:pPr>
              <w:pStyle w:val="TAC"/>
              <w:jc w:val="left"/>
            </w:pPr>
            <w:r w:rsidRPr="000A0A5F">
              <w:t>0..1</w:t>
            </w:r>
          </w:p>
        </w:tc>
        <w:tc>
          <w:tcPr>
            <w:tcW w:w="3687" w:type="dxa"/>
          </w:tcPr>
          <w:p w:rsidR="00176399" w:rsidRPr="000A0A5F" w:rsidRDefault="00176399" w:rsidP="00176399">
            <w:pPr>
              <w:pStyle w:val="TAL"/>
            </w:pPr>
            <w:r w:rsidRPr="000A0A5F">
              <w:rPr>
                <w:rFonts w:hint="eastAsia"/>
              </w:rPr>
              <w:t>I</w:t>
            </w:r>
            <w:r w:rsidRPr="000A0A5F">
              <w:t>ndicates the time period between the start of the two data bursts in Uplink and/or Downlink direction.</w:t>
            </w:r>
          </w:p>
        </w:tc>
        <w:tc>
          <w:tcPr>
            <w:tcW w:w="1235" w:type="dxa"/>
          </w:tcPr>
          <w:p w:rsidR="00176399" w:rsidRPr="000A0A5F" w:rsidRDefault="00A60F32" w:rsidP="00176399">
            <w:pPr>
              <w:pStyle w:val="TAC"/>
              <w:jc w:val="left"/>
              <w:rPr>
                <w:rFonts w:cs="Arial"/>
                <w:szCs w:val="18"/>
              </w:rPr>
            </w:pPr>
            <w:r w:rsidRPr="000A0A5F">
              <w:t>PowerSaving</w:t>
            </w:r>
          </w:p>
        </w:tc>
      </w:tr>
      <w:tr w:rsidR="00176399" w:rsidRPr="000A0A5F" w:rsidTr="00FF0AF8">
        <w:trPr>
          <w:jc w:val="center"/>
        </w:trPr>
        <w:tc>
          <w:tcPr>
            <w:tcW w:w="1661" w:type="dxa"/>
            <w:shd w:val="clear" w:color="auto" w:fill="auto"/>
          </w:tcPr>
          <w:p w:rsidR="00176399" w:rsidRPr="000A0A5F" w:rsidRDefault="00176399" w:rsidP="00176399">
            <w:pPr>
              <w:pStyle w:val="TAL"/>
              <w:rPr>
                <w:lang w:eastAsia="zh-CN"/>
              </w:rPr>
            </w:pPr>
            <w:r w:rsidRPr="000A0A5F">
              <w:rPr>
                <w:rFonts w:hint="eastAsia"/>
                <w:lang w:eastAsia="zh-CN"/>
              </w:rPr>
              <w:t>p</w:t>
            </w:r>
            <w:r w:rsidRPr="000A0A5F">
              <w:rPr>
                <w:lang w:eastAsia="zh-CN"/>
              </w:rPr>
              <w:t>dvMon</w:t>
            </w:r>
          </w:p>
        </w:tc>
        <w:tc>
          <w:tcPr>
            <w:tcW w:w="1842" w:type="dxa"/>
            <w:shd w:val="clear" w:color="auto" w:fill="auto"/>
          </w:tcPr>
          <w:p w:rsidR="00176399" w:rsidRPr="000A0A5F" w:rsidRDefault="00176399" w:rsidP="00176399">
            <w:pPr>
              <w:pStyle w:val="TAL"/>
            </w:pPr>
            <w:r w:rsidRPr="000A0A5F">
              <w:t>QosMonitoringInformationRm</w:t>
            </w:r>
          </w:p>
        </w:tc>
        <w:tc>
          <w:tcPr>
            <w:tcW w:w="1134" w:type="dxa"/>
          </w:tcPr>
          <w:p w:rsidR="00176399" w:rsidRPr="000A0A5F" w:rsidRDefault="00176399" w:rsidP="00176399">
            <w:pPr>
              <w:pStyle w:val="TAC"/>
              <w:jc w:val="left"/>
            </w:pPr>
            <w:r w:rsidRPr="000A0A5F">
              <w:t>0..1</w:t>
            </w:r>
          </w:p>
        </w:tc>
        <w:tc>
          <w:tcPr>
            <w:tcW w:w="3687" w:type="dxa"/>
          </w:tcPr>
          <w:p w:rsidR="00176399" w:rsidRPr="000A0A5F" w:rsidRDefault="00176399" w:rsidP="00176399">
            <w:pPr>
              <w:pStyle w:val="TAL"/>
              <w:rPr>
                <w:rFonts w:hint="eastAsia"/>
              </w:rPr>
            </w:pPr>
            <w:r w:rsidRPr="000A0A5F">
              <w:rPr>
                <w:lang w:eastAsia="zh-CN"/>
              </w:rPr>
              <w:t>Packet Delay Variation information for the subscribed report.</w:t>
            </w:r>
          </w:p>
        </w:tc>
        <w:tc>
          <w:tcPr>
            <w:tcW w:w="1235" w:type="dxa"/>
          </w:tcPr>
          <w:p w:rsidR="00176399" w:rsidRPr="000A0A5F" w:rsidRDefault="00201D52" w:rsidP="00176399">
            <w:pPr>
              <w:pStyle w:val="TAC"/>
              <w:jc w:val="left"/>
            </w:pPr>
            <w:r w:rsidRPr="000A0A5F">
              <w:rPr>
                <w:rFonts w:hint="eastAsia"/>
                <w:lang w:eastAsia="zh-CN"/>
              </w:rPr>
              <w:t>EnQoSMon</w:t>
            </w:r>
          </w:p>
        </w:tc>
      </w:tr>
      <w:tr w:rsidR="00176399" w:rsidRPr="000A0A5F" w:rsidTr="00FF0AF8">
        <w:trPr>
          <w:jc w:val="center"/>
        </w:trPr>
        <w:tc>
          <w:tcPr>
            <w:tcW w:w="1661" w:type="dxa"/>
            <w:shd w:val="clear" w:color="auto" w:fill="auto"/>
          </w:tcPr>
          <w:p w:rsidR="00176399" w:rsidRPr="000A0A5F" w:rsidRDefault="00176399" w:rsidP="00176399">
            <w:pPr>
              <w:pStyle w:val="TAL"/>
              <w:rPr>
                <w:lang w:eastAsia="zh-CN"/>
              </w:rPr>
            </w:pPr>
            <w:r w:rsidRPr="000A0A5F">
              <w:rPr>
                <w:lang w:eastAsia="zh-CN"/>
              </w:rPr>
              <w:t>qosDuration</w:t>
            </w:r>
          </w:p>
        </w:tc>
        <w:tc>
          <w:tcPr>
            <w:tcW w:w="1842" w:type="dxa"/>
            <w:shd w:val="clear" w:color="auto" w:fill="auto"/>
          </w:tcPr>
          <w:p w:rsidR="00176399" w:rsidRPr="000A0A5F" w:rsidRDefault="00176399" w:rsidP="00176399">
            <w:pPr>
              <w:pStyle w:val="TAL"/>
            </w:pPr>
            <w:r w:rsidRPr="000A0A5F">
              <w:rPr>
                <w:rFonts w:hint="eastAsia"/>
                <w:lang w:eastAsia="zh-CN"/>
              </w:rPr>
              <w:t>Duration</w:t>
            </w:r>
            <w:r w:rsidRPr="000A0A5F">
              <w:rPr>
                <w:lang w:eastAsia="zh-CN"/>
              </w:rPr>
              <w:t>SecRm</w:t>
            </w:r>
          </w:p>
        </w:tc>
        <w:tc>
          <w:tcPr>
            <w:tcW w:w="1134" w:type="dxa"/>
          </w:tcPr>
          <w:p w:rsidR="00176399" w:rsidRPr="000A0A5F" w:rsidRDefault="00176399" w:rsidP="00176399">
            <w:pPr>
              <w:pStyle w:val="TAC"/>
              <w:jc w:val="left"/>
            </w:pPr>
            <w:r w:rsidRPr="000A0A5F">
              <w:rPr>
                <w:lang w:eastAsia="zh-CN"/>
              </w:rPr>
              <w:t>0..1</w:t>
            </w:r>
          </w:p>
        </w:tc>
        <w:tc>
          <w:tcPr>
            <w:tcW w:w="3687" w:type="dxa"/>
          </w:tcPr>
          <w:p w:rsidR="00176399" w:rsidRPr="000A0A5F" w:rsidRDefault="00176399" w:rsidP="00176399">
            <w:pPr>
              <w:pStyle w:val="TAL"/>
              <w:rPr>
                <w:lang w:eastAsia="zh-CN"/>
              </w:rPr>
            </w:pPr>
            <w:r w:rsidRPr="000A0A5F">
              <w:rPr>
                <w:lang w:eastAsia="zh-CN"/>
              </w:rPr>
              <w:t>Contains the QoS duration to transfer data transmission (e.g., AI/ML transmission). The minimum value of the QoS duration shall be 60 sec..</w:t>
            </w:r>
          </w:p>
        </w:tc>
        <w:tc>
          <w:tcPr>
            <w:tcW w:w="1235" w:type="dxa"/>
          </w:tcPr>
          <w:p w:rsidR="00176399" w:rsidRPr="000A0A5F" w:rsidRDefault="00176399" w:rsidP="00176399">
            <w:pPr>
              <w:pStyle w:val="TAC"/>
              <w:jc w:val="left"/>
              <w:rPr>
                <w:rFonts w:cs="Arial"/>
                <w:szCs w:val="18"/>
              </w:rPr>
            </w:pPr>
            <w:r w:rsidRPr="000A0A5F">
              <w:rPr>
                <w:rFonts w:cs="Arial"/>
              </w:rPr>
              <w:t>QoSTiming_5G</w:t>
            </w:r>
          </w:p>
        </w:tc>
      </w:tr>
      <w:tr w:rsidR="00176399" w:rsidRPr="000A0A5F" w:rsidTr="00FF0AF8">
        <w:trPr>
          <w:jc w:val="center"/>
        </w:trPr>
        <w:tc>
          <w:tcPr>
            <w:tcW w:w="1661" w:type="dxa"/>
            <w:shd w:val="clear" w:color="auto" w:fill="auto"/>
          </w:tcPr>
          <w:p w:rsidR="00176399" w:rsidRPr="000A0A5F" w:rsidRDefault="00176399" w:rsidP="00176399">
            <w:pPr>
              <w:pStyle w:val="TAL"/>
              <w:rPr>
                <w:lang w:eastAsia="zh-CN"/>
              </w:rPr>
            </w:pPr>
            <w:r w:rsidRPr="000A0A5F">
              <w:rPr>
                <w:lang w:eastAsia="zh-CN"/>
              </w:rPr>
              <w:t>qosInactInt</w:t>
            </w:r>
          </w:p>
        </w:tc>
        <w:tc>
          <w:tcPr>
            <w:tcW w:w="1842" w:type="dxa"/>
            <w:shd w:val="clear" w:color="auto" w:fill="auto"/>
          </w:tcPr>
          <w:p w:rsidR="00176399" w:rsidRPr="000A0A5F" w:rsidRDefault="00176399" w:rsidP="00176399">
            <w:pPr>
              <w:pStyle w:val="TAL"/>
            </w:pPr>
            <w:r w:rsidRPr="000A0A5F">
              <w:rPr>
                <w:rFonts w:hint="eastAsia"/>
                <w:lang w:eastAsia="zh-CN"/>
              </w:rPr>
              <w:t>Duration</w:t>
            </w:r>
            <w:r w:rsidRPr="000A0A5F">
              <w:rPr>
                <w:lang w:eastAsia="zh-CN"/>
              </w:rPr>
              <w:t>SecRm</w:t>
            </w:r>
          </w:p>
        </w:tc>
        <w:tc>
          <w:tcPr>
            <w:tcW w:w="1134" w:type="dxa"/>
          </w:tcPr>
          <w:p w:rsidR="00176399" w:rsidRPr="000A0A5F" w:rsidRDefault="00176399" w:rsidP="00176399">
            <w:pPr>
              <w:pStyle w:val="TAC"/>
              <w:jc w:val="left"/>
            </w:pPr>
            <w:r w:rsidRPr="000A0A5F">
              <w:rPr>
                <w:lang w:eastAsia="zh-CN"/>
              </w:rPr>
              <w:t>0..1</w:t>
            </w:r>
          </w:p>
        </w:tc>
        <w:tc>
          <w:tcPr>
            <w:tcW w:w="3687" w:type="dxa"/>
          </w:tcPr>
          <w:p w:rsidR="00176399" w:rsidRPr="000A0A5F" w:rsidRDefault="00176399" w:rsidP="00176399">
            <w:pPr>
              <w:pStyle w:val="TAL"/>
              <w:rPr>
                <w:lang w:eastAsia="zh-CN"/>
              </w:rPr>
            </w:pPr>
            <w:r w:rsidRPr="000A0A5F">
              <w:rPr>
                <w:lang w:eastAsia="zh-CN"/>
              </w:rPr>
              <w:t xml:space="preserve">Contains the QoS inactivity interval for the given data transfer transmission (e.g., AI/ML transmission). The minimum value of the QoS inactivity interval shall be 60 sec. </w:t>
            </w:r>
          </w:p>
        </w:tc>
        <w:tc>
          <w:tcPr>
            <w:tcW w:w="1235" w:type="dxa"/>
          </w:tcPr>
          <w:p w:rsidR="00176399" w:rsidRPr="000A0A5F" w:rsidRDefault="00176399" w:rsidP="00176399">
            <w:pPr>
              <w:pStyle w:val="TAC"/>
              <w:jc w:val="left"/>
              <w:rPr>
                <w:rFonts w:cs="Arial"/>
                <w:szCs w:val="18"/>
              </w:rPr>
            </w:pPr>
            <w:r w:rsidRPr="000A0A5F">
              <w:rPr>
                <w:rFonts w:cs="Arial"/>
              </w:rPr>
              <w:t>QoSTiming_5G</w:t>
            </w:r>
          </w:p>
        </w:tc>
      </w:tr>
      <w:tr w:rsidR="00201D52" w:rsidRPr="000A0A5F" w:rsidTr="00FF0AF8">
        <w:trPr>
          <w:jc w:val="center"/>
        </w:trPr>
        <w:tc>
          <w:tcPr>
            <w:tcW w:w="1661" w:type="dxa"/>
            <w:shd w:val="clear" w:color="auto" w:fill="auto"/>
          </w:tcPr>
          <w:p w:rsidR="00201D52" w:rsidRPr="000A0A5F" w:rsidRDefault="00201D52" w:rsidP="00201D52">
            <w:pPr>
              <w:pStyle w:val="TAL"/>
              <w:rPr>
                <w:lang w:eastAsia="zh-CN"/>
              </w:rPr>
            </w:pPr>
            <w:r w:rsidRPr="000A0A5F">
              <w:rPr>
                <w:lang w:eastAsia="zh-CN"/>
              </w:rPr>
              <w:t>rttMon</w:t>
            </w:r>
          </w:p>
        </w:tc>
        <w:tc>
          <w:tcPr>
            <w:tcW w:w="1842" w:type="dxa"/>
            <w:shd w:val="clear" w:color="auto" w:fill="auto"/>
          </w:tcPr>
          <w:p w:rsidR="00201D52" w:rsidRPr="000A0A5F" w:rsidRDefault="00201D52" w:rsidP="00201D52">
            <w:pPr>
              <w:pStyle w:val="TAL"/>
            </w:pPr>
            <w:r w:rsidRPr="000A0A5F">
              <w:t>QosMonitoringInformationRm</w:t>
            </w:r>
          </w:p>
        </w:tc>
        <w:tc>
          <w:tcPr>
            <w:tcW w:w="1134" w:type="dxa"/>
          </w:tcPr>
          <w:p w:rsidR="00201D52" w:rsidRPr="000A0A5F" w:rsidRDefault="00201D52" w:rsidP="00201D52">
            <w:pPr>
              <w:pStyle w:val="TAC"/>
              <w:jc w:val="left"/>
            </w:pPr>
            <w:r w:rsidRPr="000A0A5F">
              <w:rPr>
                <w:lang w:eastAsia="zh-CN"/>
              </w:rPr>
              <w:t>0..1</w:t>
            </w:r>
          </w:p>
        </w:tc>
        <w:tc>
          <w:tcPr>
            <w:tcW w:w="3687" w:type="dxa"/>
          </w:tcPr>
          <w:p w:rsidR="00201D52" w:rsidRPr="000A0A5F" w:rsidRDefault="00201D52" w:rsidP="00201D52">
            <w:pPr>
              <w:pStyle w:val="TAL"/>
              <w:rPr>
                <w:lang w:eastAsia="zh-CN"/>
              </w:rPr>
            </w:pPr>
            <w:r w:rsidRPr="000A0A5F">
              <w:rPr>
                <w:lang w:eastAsia="zh-CN"/>
              </w:rPr>
              <w:t>Contains the round-trip delay over two QoS flows information for the subscribed report.</w:t>
            </w:r>
          </w:p>
          <w:p w:rsidR="00201D52" w:rsidRPr="000A0A5F" w:rsidRDefault="00201D52" w:rsidP="00201D52">
            <w:pPr>
              <w:pStyle w:val="TAL"/>
              <w:rPr>
                <w:lang w:eastAsia="zh-CN"/>
              </w:rPr>
            </w:pPr>
            <w:r w:rsidRPr="000A0A5F">
              <w:rPr>
                <w:lang w:eastAsia="zh-CN"/>
              </w:rPr>
              <w:t>It shall be provided for</w:t>
            </w:r>
            <w:r w:rsidRPr="000A0A5F">
              <w:t xml:space="preserve"> "RT_DELAY_TWO_QOS_FLOWS" event.</w:t>
            </w:r>
          </w:p>
        </w:tc>
        <w:tc>
          <w:tcPr>
            <w:tcW w:w="1235" w:type="dxa"/>
          </w:tcPr>
          <w:p w:rsidR="00201D52" w:rsidRPr="000A0A5F" w:rsidRDefault="00201D52" w:rsidP="00201D52">
            <w:pPr>
              <w:pStyle w:val="TAC"/>
              <w:jc w:val="left"/>
              <w:rPr>
                <w:rFonts w:cs="Arial"/>
                <w:szCs w:val="18"/>
              </w:rPr>
            </w:pPr>
            <w:r w:rsidRPr="000A0A5F">
              <w:rPr>
                <w:rFonts w:hint="eastAsia"/>
                <w:lang w:eastAsia="zh-CN"/>
              </w:rPr>
              <w:t>EnQoSMon</w:t>
            </w:r>
          </w:p>
        </w:tc>
      </w:tr>
      <w:tr w:rsidR="00201D52" w:rsidRPr="000A0A5F" w:rsidTr="00FF0AF8">
        <w:trPr>
          <w:jc w:val="center"/>
        </w:trPr>
        <w:tc>
          <w:tcPr>
            <w:tcW w:w="1661" w:type="dxa"/>
            <w:shd w:val="clear" w:color="auto" w:fill="auto"/>
          </w:tcPr>
          <w:p w:rsidR="00201D52" w:rsidRPr="000A0A5F" w:rsidRDefault="00201D52" w:rsidP="00201D52">
            <w:pPr>
              <w:pStyle w:val="TAL"/>
              <w:rPr>
                <w:lang w:eastAsia="zh-CN"/>
              </w:rPr>
            </w:pPr>
            <w:r w:rsidRPr="000A0A5F">
              <w:t>qosMonDatRate</w:t>
            </w:r>
          </w:p>
        </w:tc>
        <w:tc>
          <w:tcPr>
            <w:tcW w:w="1842" w:type="dxa"/>
            <w:shd w:val="clear" w:color="auto" w:fill="auto"/>
          </w:tcPr>
          <w:p w:rsidR="00201D52" w:rsidRPr="000A0A5F" w:rsidRDefault="00201D52" w:rsidP="00201D52">
            <w:pPr>
              <w:pStyle w:val="TAL"/>
            </w:pPr>
            <w:r w:rsidRPr="000A0A5F">
              <w:t>QosMonitoringInformationRm</w:t>
            </w:r>
          </w:p>
        </w:tc>
        <w:tc>
          <w:tcPr>
            <w:tcW w:w="1134" w:type="dxa"/>
          </w:tcPr>
          <w:p w:rsidR="00201D52" w:rsidRPr="000A0A5F" w:rsidRDefault="00201D52" w:rsidP="00201D52">
            <w:pPr>
              <w:pStyle w:val="TAC"/>
              <w:jc w:val="left"/>
            </w:pPr>
            <w:r w:rsidRPr="000A0A5F">
              <w:rPr>
                <w:lang w:eastAsia="zh-CN"/>
              </w:rPr>
              <w:t>0..1</w:t>
            </w:r>
          </w:p>
        </w:tc>
        <w:tc>
          <w:tcPr>
            <w:tcW w:w="3687" w:type="dxa"/>
          </w:tcPr>
          <w:p w:rsidR="006366F5" w:rsidRDefault="00201D52" w:rsidP="006366F5">
            <w:pPr>
              <w:pStyle w:val="TAL"/>
              <w:rPr>
                <w:rFonts w:cs="Arial"/>
                <w:szCs w:val="18"/>
              </w:rPr>
            </w:pPr>
            <w:r w:rsidRPr="000A0A5F">
              <w:rPr>
                <w:lang w:eastAsia="zh-CN"/>
              </w:rPr>
              <w:t xml:space="preserve">Contains the </w:t>
            </w:r>
            <w:r w:rsidRPr="000A0A5F">
              <w:rPr>
                <w:rFonts w:cs="Arial"/>
                <w:szCs w:val="18"/>
              </w:rPr>
              <w:t xml:space="preserve">data rate measurements information </w:t>
            </w:r>
            <w:r w:rsidRPr="000A0A5F">
              <w:rPr>
                <w:lang w:eastAsia="zh-CN"/>
              </w:rPr>
              <w:t>for the subscribed report</w:t>
            </w:r>
            <w:r w:rsidRPr="000A0A5F">
              <w:t xml:space="preserve">. </w:t>
            </w:r>
            <w:r w:rsidRPr="000A0A5F">
              <w:rPr>
                <w:rFonts w:cs="Arial"/>
                <w:szCs w:val="18"/>
              </w:rPr>
              <w:t>It shall be present when the event "QOS_MONITORING" is subscribed and data rate measurements are modified.</w:t>
            </w:r>
          </w:p>
          <w:p w:rsidR="00201D52" w:rsidRPr="000A0A5F" w:rsidRDefault="006366F5" w:rsidP="006366F5">
            <w:pPr>
              <w:pStyle w:val="TAL"/>
              <w:rPr>
                <w:lang w:eastAsia="zh-CN"/>
              </w:rPr>
            </w:pPr>
            <w:r w:rsidRPr="007C111C">
              <w:rPr>
                <w:rFonts w:cs="Arial"/>
                <w:szCs w:val="18"/>
                <w:lang w:eastAsia="zh-CN"/>
              </w:rPr>
              <w:t>(NOTE </w:t>
            </w:r>
            <w:r>
              <w:rPr>
                <w:rFonts w:cs="Arial"/>
                <w:szCs w:val="18"/>
                <w:lang w:eastAsia="zh-CN"/>
              </w:rPr>
              <w:t>9</w:t>
            </w:r>
            <w:r w:rsidRPr="007C111C">
              <w:rPr>
                <w:rFonts w:cs="Arial"/>
                <w:szCs w:val="18"/>
                <w:lang w:eastAsia="zh-CN"/>
              </w:rPr>
              <w:t>)</w:t>
            </w:r>
          </w:p>
        </w:tc>
        <w:tc>
          <w:tcPr>
            <w:tcW w:w="1235" w:type="dxa"/>
          </w:tcPr>
          <w:p w:rsidR="006366F5" w:rsidRDefault="00201D52" w:rsidP="006366F5">
            <w:pPr>
              <w:pStyle w:val="TAC"/>
              <w:jc w:val="left"/>
              <w:rPr>
                <w:rFonts w:cs="Arial"/>
                <w:szCs w:val="18"/>
              </w:rPr>
            </w:pPr>
            <w:r w:rsidRPr="000A0A5F">
              <w:rPr>
                <w:rFonts w:hint="eastAsia"/>
                <w:lang w:eastAsia="zh-CN"/>
              </w:rPr>
              <w:t>EnQoSMon</w:t>
            </w:r>
          </w:p>
          <w:p w:rsidR="00201D52" w:rsidRPr="000A0A5F" w:rsidRDefault="006366F5" w:rsidP="006366F5">
            <w:pPr>
              <w:pStyle w:val="TAC"/>
              <w:jc w:val="left"/>
              <w:rPr>
                <w:rFonts w:cs="Arial"/>
                <w:szCs w:val="18"/>
              </w:rPr>
            </w:pPr>
            <w:r>
              <w:rPr>
                <w:rFonts w:cs="Arial"/>
                <w:szCs w:val="18"/>
              </w:rPr>
              <w:t>ListUE_5G</w:t>
            </w:r>
          </w:p>
        </w:tc>
      </w:tr>
      <w:tr w:rsidR="00201D52" w:rsidRPr="000A0A5F" w:rsidTr="00FF0AF8">
        <w:trPr>
          <w:jc w:val="center"/>
        </w:trPr>
        <w:tc>
          <w:tcPr>
            <w:tcW w:w="1661" w:type="dxa"/>
            <w:shd w:val="clear" w:color="auto" w:fill="auto"/>
          </w:tcPr>
          <w:p w:rsidR="00201D52" w:rsidRPr="000A0A5F" w:rsidRDefault="00201D52" w:rsidP="00201D52">
            <w:pPr>
              <w:pStyle w:val="TAL"/>
            </w:pPr>
            <w:r w:rsidRPr="000A0A5F">
              <w:rPr>
                <w:lang w:eastAsia="zh-CN"/>
              </w:rPr>
              <w:t>avrgWndw</w:t>
            </w:r>
          </w:p>
        </w:tc>
        <w:tc>
          <w:tcPr>
            <w:tcW w:w="1842" w:type="dxa"/>
            <w:shd w:val="clear" w:color="auto" w:fill="auto"/>
          </w:tcPr>
          <w:p w:rsidR="00201D52" w:rsidRPr="000A0A5F" w:rsidRDefault="00201D52" w:rsidP="00201D52">
            <w:pPr>
              <w:pStyle w:val="TAL"/>
            </w:pPr>
            <w:r w:rsidRPr="000A0A5F">
              <w:rPr>
                <w:lang w:eastAsia="zh-CN"/>
              </w:rPr>
              <w:t>AverWindowRm</w:t>
            </w:r>
          </w:p>
        </w:tc>
        <w:tc>
          <w:tcPr>
            <w:tcW w:w="1134" w:type="dxa"/>
          </w:tcPr>
          <w:p w:rsidR="00201D52" w:rsidRPr="000A0A5F" w:rsidRDefault="00201D52" w:rsidP="00201D52">
            <w:pPr>
              <w:pStyle w:val="TAC"/>
              <w:jc w:val="left"/>
              <w:rPr>
                <w:lang w:eastAsia="zh-CN"/>
              </w:rPr>
            </w:pPr>
            <w:r w:rsidRPr="000A0A5F">
              <w:rPr>
                <w:lang w:eastAsia="zh-CN"/>
              </w:rPr>
              <w:t>0..1</w:t>
            </w:r>
          </w:p>
        </w:tc>
        <w:tc>
          <w:tcPr>
            <w:tcW w:w="3687" w:type="dxa"/>
          </w:tcPr>
          <w:p w:rsidR="00201D52" w:rsidRPr="000A0A5F" w:rsidRDefault="00201D52" w:rsidP="00201D52">
            <w:pPr>
              <w:pStyle w:val="TAL"/>
            </w:pPr>
            <w:r w:rsidRPr="000A0A5F">
              <w:rPr>
                <w:lang w:eastAsia="zh-CN"/>
              </w:rPr>
              <w:t>Averaging window for the calculation of the data rate for the service data flow.</w:t>
            </w:r>
          </w:p>
        </w:tc>
        <w:tc>
          <w:tcPr>
            <w:tcW w:w="1235" w:type="dxa"/>
          </w:tcPr>
          <w:p w:rsidR="00201D52" w:rsidRPr="000A0A5F" w:rsidRDefault="00201D52" w:rsidP="00201D52">
            <w:pPr>
              <w:pStyle w:val="TAC"/>
              <w:jc w:val="left"/>
              <w:rPr>
                <w:rFonts w:cs="Arial"/>
                <w:szCs w:val="18"/>
              </w:rPr>
            </w:pPr>
            <w:r w:rsidRPr="000A0A5F">
              <w:rPr>
                <w:lang w:eastAsia="zh-CN"/>
              </w:rPr>
              <w:t>XRM_5G</w:t>
            </w:r>
          </w:p>
        </w:tc>
      </w:tr>
      <w:tr w:rsidR="00201D52" w:rsidRPr="000A0A5F" w:rsidTr="00FF0AF8">
        <w:trPr>
          <w:jc w:val="center"/>
        </w:trPr>
        <w:tc>
          <w:tcPr>
            <w:tcW w:w="1661" w:type="dxa"/>
            <w:shd w:val="clear" w:color="auto" w:fill="auto"/>
          </w:tcPr>
          <w:p w:rsidR="00201D52" w:rsidRPr="000A0A5F" w:rsidRDefault="00201D52" w:rsidP="00201D52">
            <w:pPr>
              <w:pStyle w:val="TAL"/>
              <w:rPr>
                <w:lang w:eastAsia="zh-CN"/>
              </w:rPr>
            </w:pPr>
            <w:r w:rsidRPr="000A0A5F">
              <w:rPr>
                <w:lang w:eastAsia="zh-CN"/>
              </w:rPr>
              <w:t>qosMonConReq</w:t>
            </w:r>
          </w:p>
        </w:tc>
        <w:tc>
          <w:tcPr>
            <w:tcW w:w="1842" w:type="dxa"/>
            <w:shd w:val="clear" w:color="auto" w:fill="auto"/>
          </w:tcPr>
          <w:p w:rsidR="00201D52" w:rsidRPr="000A0A5F" w:rsidRDefault="00201D52" w:rsidP="00201D52">
            <w:pPr>
              <w:pStyle w:val="TAL"/>
            </w:pPr>
            <w:r w:rsidRPr="000A0A5F">
              <w:t>QosMonitoringInformationRm</w:t>
            </w:r>
          </w:p>
        </w:tc>
        <w:tc>
          <w:tcPr>
            <w:tcW w:w="1134" w:type="dxa"/>
          </w:tcPr>
          <w:p w:rsidR="00201D52" w:rsidRPr="000A0A5F" w:rsidRDefault="00201D52" w:rsidP="00201D52">
            <w:pPr>
              <w:pStyle w:val="TAC"/>
              <w:jc w:val="left"/>
              <w:rPr>
                <w:lang w:eastAsia="zh-CN"/>
              </w:rPr>
            </w:pPr>
            <w:r w:rsidRPr="000A0A5F">
              <w:rPr>
                <w:rFonts w:hint="eastAsia"/>
                <w:lang w:eastAsia="zh-CN"/>
              </w:rPr>
              <w:t>0</w:t>
            </w:r>
            <w:r w:rsidRPr="000A0A5F">
              <w:rPr>
                <w:lang w:val="en-US" w:eastAsia="zh-CN"/>
              </w:rPr>
              <w:t>..1</w:t>
            </w:r>
          </w:p>
        </w:tc>
        <w:tc>
          <w:tcPr>
            <w:tcW w:w="3687" w:type="dxa"/>
          </w:tcPr>
          <w:p w:rsidR="00201D52" w:rsidRPr="000A0A5F" w:rsidRDefault="00201D52" w:rsidP="00201D52">
            <w:pPr>
              <w:pStyle w:val="TAL"/>
              <w:rPr>
                <w:lang w:eastAsia="zh-CN"/>
              </w:rPr>
            </w:pPr>
            <w:r w:rsidRPr="000A0A5F">
              <w:rPr>
                <w:lang w:eastAsia="zh-CN"/>
              </w:rPr>
              <w:t xml:space="preserve">Contains the </w:t>
            </w:r>
            <w:r w:rsidRPr="000A0A5F">
              <w:t xml:space="preserve">requirements of the congestion information (ECN marking percentage) monitoring and reporting. </w:t>
            </w:r>
            <w:r w:rsidRPr="000A0A5F">
              <w:rPr>
                <w:rFonts w:cs="Arial"/>
                <w:szCs w:val="18"/>
              </w:rPr>
              <w:t>It shall be present when the event "QOS_MONITORING" is subscribed and congestion information measurements are required.</w:t>
            </w:r>
          </w:p>
        </w:tc>
        <w:tc>
          <w:tcPr>
            <w:tcW w:w="1235" w:type="dxa"/>
          </w:tcPr>
          <w:p w:rsidR="00201D52" w:rsidRPr="000A0A5F" w:rsidRDefault="00201D52" w:rsidP="00201D52">
            <w:pPr>
              <w:pStyle w:val="TAC"/>
              <w:jc w:val="left"/>
              <w:rPr>
                <w:rFonts w:cs="Arial"/>
                <w:szCs w:val="18"/>
              </w:rPr>
            </w:pPr>
            <w:r w:rsidRPr="000A0A5F">
              <w:rPr>
                <w:rFonts w:hint="eastAsia"/>
                <w:lang w:eastAsia="zh-CN"/>
              </w:rPr>
              <w:t>EnQoSMon</w:t>
            </w:r>
          </w:p>
        </w:tc>
      </w:tr>
      <w:tr w:rsidR="006366F5" w:rsidRPr="000A0A5F" w:rsidTr="00FF0AF8">
        <w:trPr>
          <w:jc w:val="center"/>
        </w:trPr>
        <w:tc>
          <w:tcPr>
            <w:tcW w:w="1661" w:type="dxa"/>
            <w:shd w:val="clear" w:color="auto" w:fill="auto"/>
          </w:tcPr>
          <w:p w:rsidR="006366F5" w:rsidRDefault="006366F5" w:rsidP="006366F5">
            <w:pPr>
              <w:pStyle w:val="TAL"/>
              <w:rPr>
                <w:lang w:eastAsia="zh-CN"/>
              </w:rPr>
            </w:pPr>
            <w:r>
              <w:t>listUeConsDtRt</w:t>
            </w:r>
          </w:p>
        </w:tc>
        <w:tc>
          <w:tcPr>
            <w:tcW w:w="1842" w:type="dxa"/>
            <w:shd w:val="clear" w:color="auto" w:fill="auto"/>
          </w:tcPr>
          <w:p w:rsidR="006366F5" w:rsidRDefault="006366F5" w:rsidP="006366F5">
            <w:pPr>
              <w:pStyle w:val="TAL"/>
              <w:rPr>
                <w:lang w:eastAsia="zh-CN"/>
              </w:rPr>
            </w:pPr>
            <w:r>
              <w:t>array(IpAddr)</w:t>
            </w:r>
          </w:p>
        </w:tc>
        <w:tc>
          <w:tcPr>
            <w:tcW w:w="1134" w:type="dxa"/>
          </w:tcPr>
          <w:p w:rsidR="006366F5" w:rsidRDefault="006366F5" w:rsidP="006366F5">
            <w:pPr>
              <w:pStyle w:val="TAC"/>
              <w:jc w:val="left"/>
              <w:rPr>
                <w:lang w:eastAsia="zh-CN"/>
              </w:rPr>
            </w:pPr>
            <w:r>
              <w:t>0..N</w:t>
            </w:r>
          </w:p>
        </w:tc>
        <w:tc>
          <w:tcPr>
            <w:tcW w:w="3687" w:type="dxa"/>
          </w:tcPr>
          <w:p w:rsidR="006366F5" w:rsidRPr="00176399" w:rsidRDefault="006366F5" w:rsidP="006366F5">
            <w:pPr>
              <w:pStyle w:val="TAL"/>
              <w:rPr>
                <w:rFonts w:eastAsia="Times New Roman" w:cs="Arial"/>
                <w:szCs w:val="18"/>
              </w:rPr>
            </w:pPr>
            <w:r w:rsidRPr="00176399">
              <w:rPr>
                <w:rFonts w:eastAsia="Times New Roman" w:cs="Arial"/>
                <w:szCs w:val="18"/>
              </w:rPr>
              <w:t xml:space="preserve">Identifies </w:t>
            </w:r>
            <w:r>
              <w:t>the list of UE addresses subject for Consolidated Data Rate monitoring</w:t>
            </w:r>
            <w:r w:rsidRPr="00176399">
              <w:rPr>
                <w:rFonts w:eastAsia="Times New Roman" w:cs="Arial"/>
                <w:szCs w:val="18"/>
              </w:rPr>
              <w:t>.</w:t>
            </w:r>
          </w:p>
          <w:p w:rsidR="006366F5" w:rsidRDefault="006366F5" w:rsidP="006366F5">
            <w:pPr>
              <w:pStyle w:val="TAL"/>
              <w:rPr>
                <w:rFonts w:cs="Arial"/>
                <w:szCs w:val="18"/>
                <w:lang w:eastAsia="zh-CN"/>
              </w:rPr>
            </w:pPr>
            <w:r w:rsidRPr="00176399">
              <w:rPr>
                <w:rFonts w:eastAsia="Times New Roman" w:cs="Arial"/>
                <w:szCs w:val="18"/>
              </w:rPr>
              <w:t>(NOTE </w:t>
            </w:r>
            <w:r>
              <w:rPr>
                <w:rFonts w:eastAsia="Times New Roman" w:cs="Arial"/>
                <w:szCs w:val="18"/>
              </w:rPr>
              <w:t>9</w:t>
            </w:r>
            <w:r w:rsidRPr="00176399">
              <w:rPr>
                <w:rFonts w:eastAsia="Times New Roman" w:cs="Arial"/>
                <w:szCs w:val="18"/>
              </w:rPr>
              <w:t>)</w:t>
            </w:r>
          </w:p>
        </w:tc>
        <w:tc>
          <w:tcPr>
            <w:tcW w:w="1235" w:type="dxa"/>
          </w:tcPr>
          <w:p w:rsidR="006366F5" w:rsidRDefault="006366F5" w:rsidP="006366F5">
            <w:pPr>
              <w:pStyle w:val="TAC"/>
              <w:jc w:val="left"/>
            </w:pPr>
            <w:r>
              <w:t>ListUE_5G</w:t>
            </w:r>
          </w:p>
        </w:tc>
      </w:tr>
      <w:tr w:rsidR="006366F5" w:rsidRPr="000A0A5F" w:rsidTr="00FF0AF8">
        <w:trPr>
          <w:jc w:val="center"/>
        </w:trPr>
        <w:tc>
          <w:tcPr>
            <w:tcW w:w="9559" w:type="dxa"/>
            <w:gridSpan w:val="5"/>
            <w:shd w:val="clear" w:color="auto" w:fill="auto"/>
          </w:tcPr>
          <w:p w:rsidR="006366F5" w:rsidRPr="000A0A5F" w:rsidRDefault="006366F5" w:rsidP="006366F5">
            <w:pPr>
              <w:pStyle w:val="TAN"/>
            </w:pPr>
            <w:r w:rsidRPr="000A0A5F">
              <w:t>NOTE 1:</w:t>
            </w:r>
            <w:r w:rsidRPr="000A0A5F">
              <w:tab/>
              <w:t>Properties marked with a feature as defined in clause 5.14.4 are applicable as described in clause 5.2.7. If no features are indicated, the related property applies for all the features.</w:t>
            </w:r>
          </w:p>
          <w:p w:rsidR="006366F5" w:rsidRPr="000A0A5F" w:rsidRDefault="006366F5" w:rsidP="006366F5">
            <w:pPr>
              <w:pStyle w:val="TAN"/>
            </w:pPr>
            <w:r w:rsidRPr="000A0A5F">
              <w:t>NOTE 2:</w:t>
            </w:r>
            <w:r w:rsidRPr="000A0A5F">
              <w:tab/>
              <w:t>One of "exterAppId", "flowInfo" or either "ethFlowInfo" or "enEthFlowInfo" may be provided.</w:t>
            </w:r>
          </w:p>
          <w:p w:rsidR="006366F5" w:rsidRPr="000A0A5F" w:rsidRDefault="006366F5" w:rsidP="006366F5">
            <w:pPr>
              <w:pStyle w:val="TAN"/>
            </w:pPr>
            <w:r w:rsidRPr="000A0A5F">
              <w:t>NOTE 3</w:t>
            </w:r>
            <w:r w:rsidRPr="000A0A5F">
              <w:tab/>
              <w:t>The attributes "altQoSReferences" and "altQosReqs" are mutually exclusive. The attributes "qosReference" and "altQosReqs" are also mutually exclusive.</w:t>
            </w:r>
          </w:p>
          <w:p w:rsidR="006366F5" w:rsidRPr="000A0A5F" w:rsidRDefault="006366F5" w:rsidP="006366F5">
            <w:pPr>
              <w:pStyle w:val="TAN"/>
            </w:pPr>
            <w:r w:rsidRPr="000A0A5F">
              <w:t>NOTE 4:</w:t>
            </w:r>
            <w:r w:rsidRPr="000A0A5F">
              <w:tab/>
              <w:t>The attributes "reqGbrDl", "reqGbrUl", "reqMbrDl", "reqMbrUl", "maxTscBurstSize", "req5Gsdelay", "reqPer" (if the ExtQoS_5G feature is supported), and "priority" within the "tscQosReq" attribute may be provided only if the "qosReference" attribute is not provided.</w:t>
            </w:r>
          </w:p>
          <w:p w:rsidR="006366F5" w:rsidRPr="000A0A5F" w:rsidRDefault="006366F5" w:rsidP="006366F5">
            <w:pPr>
              <w:pStyle w:val="TAN"/>
            </w:pPr>
            <w:r w:rsidRPr="000A0A5F">
              <w:t>NOTE 5:</w:t>
            </w:r>
            <w:r w:rsidRPr="000A0A5F">
              <w:tab/>
              <w:t>The "tosTC" attribute of the "flowInfo" attribute may only be present if the "ToSTC_5G" feature is supported.</w:t>
            </w:r>
          </w:p>
          <w:p w:rsidR="006366F5" w:rsidRPr="000A0A5F" w:rsidRDefault="006366F5" w:rsidP="006366F5">
            <w:pPr>
              <w:pStyle w:val="TAN"/>
            </w:pPr>
            <w:r w:rsidRPr="000A0A5F">
              <w:t>NOTE 6:</w:t>
            </w:r>
            <w:r w:rsidRPr="000A0A5F">
              <w:tab/>
              <w:t>The attributes "exterAppId", "flowInfo", "ethFlowInfo", "enEthFlowInfo", "qosReference", "altQoSReferences", "altQosReqs", "tscQosReq", "qosMonInfo" may be provided only if the "multiModDatFlows" attribute is not provided.</w:t>
            </w:r>
          </w:p>
          <w:p w:rsidR="006366F5" w:rsidRDefault="006366F5" w:rsidP="006366F5">
            <w:pPr>
              <w:pStyle w:val="TAN"/>
            </w:pPr>
            <w:r w:rsidRPr="000A0A5F">
              <w:t>NOTE 8:</w:t>
            </w:r>
            <w:r w:rsidRPr="000A0A5F">
              <w:tab/>
              <w:t>When the "ListUE_5G" feature is supported, the "listUeAddrs" attribute may be provided, and/or either "exterAppId" attribute or "flowInfo" attribute may be provided.</w:t>
            </w:r>
          </w:p>
          <w:p w:rsidR="006366F5" w:rsidRPr="000A0A5F" w:rsidRDefault="006366F5" w:rsidP="006366F5">
            <w:pPr>
              <w:pStyle w:val="TAN"/>
              <w:rPr>
                <w:rFonts w:eastAsia="Batang"/>
              </w:rPr>
            </w:pPr>
            <w:r w:rsidRPr="00B752B1">
              <w:t>NOTE</w:t>
            </w:r>
            <w:r>
              <w:t> 9</w:t>
            </w:r>
            <w:r w:rsidRPr="00B752B1">
              <w:t>:</w:t>
            </w:r>
            <w:r w:rsidRPr="00B752B1">
              <w:tab/>
            </w:r>
            <w:r>
              <w:t xml:space="preserve">When the </w:t>
            </w:r>
            <w:r w:rsidRPr="00E93E1C">
              <w:rPr>
                <w:noProof/>
                <w:lang w:eastAsia="zh-CN"/>
              </w:rPr>
              <w:t>"ListUE_5G" feature is supported</w:t>
            </w:r>
            <w:r>
              <w:rPr>
                <w:noProof/>
                <w:lang w:eastAsia="zh-CN"/>
              </w:rPr>
              <w:t xml:space="preserve"> and the </w:t>
            </w:r>
            <w:r w:rsidRPr="00940168">
              <w:rPr>
                <w:noProof/>
                <w:lang w:eastAsia="zh-CN"/>
              </w:rPr>
              <w:t>"qosMon</w:t>
            </w:r>
            <w:r>
              <w:rPr>
                <w:noProof/>
                <w:lang w:eastAsia="zh-CN"/>
              </w:rPr>
              <w:t>DatRate</w:t>
            </w:r>
            <w:r w:rsidRPr="00940168">
              <w:rPr>
                <w:noProof/>
                <w:lang w:eastAsia="zh-CN"/>
              </w:rPr>
              <w:t>"</w:t>
            </w:r>
            <w:r>
              <w:rPr>
                <w:noProof/>
                <w:lang w:eastAsia="zh-CN"/>
              </w:rPr>
              <w:t xml:space="preserve"> attribute is provided, t</w:t>
            </w:r>
            <w:r>
              <w:t xml:space="preserve">he </w:t>
            </w:r>
            <w:r w:rsidRPr="00E93E1C">
              <w:rPr>
                <w:noProof/>
                <w:lang w:eastAsia="zh-CN"/>
              </w:rPr>
              <w:t>"</w:t>
            </w:r>
            <w:r>
              <w:rPr>
                <w:lang w:eastAsia="zh-CN"/>
              </w:rPr>
              <w:t>consDataRateThrDl</w:t>
            </w:r>
            <w:r w:rsidRPr="00E93E1C">
              <w:rPr>
                <w:noProof/>
                <w:lang w:eastAsia="zh-CN"/>
              </w:rPr>
              <w:t>"</w:t>
            </w:r>
            <w:r>
              <w:rPr>
                <w:noProof/>
                <w:lang w:eastAsia="zh-CN"/>
              </w:rPr>
              <w:t xml:space="preserve"> and </w:t>
            </w:r>
            <w:r w:rsidRPr="00940168">
              <w:rPr>
                <w:noProof/>
                <w:lang w:eastAsia="zh-CN"/>
              </w:rPr>
              <w:t>"</w:t>
            </w:r>
            <w:r>
              <w:rPr>
                <w:lang w:eastAsia="zh-CN"/>
              </w:rPr>
              <w:t>consDataRateThrUl</w:t>
            </w:r>
            <w:r w:rsidRPr="00940168">
              <w:rPr>
                <w:noProof/>
                <w:lang w:eastAsia="zh-CN"/>
              </w:rPr>
              <w:t>"</w:t>
            </w:r>
            <w:r>
              <w:rPr>
                <w:noProof/>
                <w:lang w:eastAsia="zh-CN"/>
              </w:rPr>
              <w:t xml:space="preserve"> attributes contained in </w:t>
            </w:r>
            <w:r w:rsidRPr="00940168">
              <w:rPr>
                <w:noProof/>
                <w:lang w:eastAsia="zh-CN"/>
              </w:rPr>
              <w:t>"qosMon</w:t>
            </w:r>
            <w:r>
              <w:rPr>
                <w:noProof/>
                <w:lang w:eastAsia="zh-CN"/>
              </w:rPr>
              <w:t>DatRate</w:t>
            </w:r>
            <w:r w:rsidRPr="00940168">
              <w:rPr>
                <w:noProof/>
                <w:lang w:eastAsia="zh-CN"/>
              </w:rPr>
              <w:t>"</w:t>
            </w:r>
            <w:r>
              <w:rPr>
                <w:noProof/>
                <w:lang w:eastAsia="zh-CN"/>
              </w:rPr>
              <w:t xml:space="preserve"> attribute indicate the </w:t>
            </w:r>
            <w:r w:rsidRPr="000451F4">
              <w:rPr>
                <w:noProof/>
                <w:lang w:eastAsia="zh-CN"/>
              </w:rPr>
              <w:t xml:space="preserve">upper bound of the aggregated </w:t>
            </w:r>
            <w:r>
              <w:rPr>
                <w:noProof/>
                <w:lang w:eastAsia="zh-CN"/>
              </w:rPr>
              <w:t xml:space="preserve">DL/UL </w:t>
            </w:r>
            <w:r w:rsidRPr="000451F4">
              <w:rPr>
                <w:noProof/>
                <w:lang w:eastAsia="zh-CN"/>
              </w:rPr>
              <w:t xml:space="preserve">data rate </w:t>
            </w:r>
            <w:r>
              <w:rPr>
                <w:rFonts w:hint="eastAsia"/>
                <w:noProof/>
                <w:lang w:eastAsia="zh-CN"/>
              </w:rPr>
              <w:t>and</w:t>
            </w:r>
            <w:r>
              <w:rPr>
                <w:noProof/>
                <w:lang w:eastAsia="zh-CN"/>
              </w:rPr>
              <w:t xml:space="preserve"> </w:t>
            </w:r>
            <w:r>
              <w:t>by default</w:t>
            </w:r>
            <w:r>
              <w:rPr>
                <w:rFonts w:hint="eastAsia"/>
                <w:lang w:eastAsia="zh-CN"/>
              </w:rPr>
              <w:t>,</w:t>
            </w:r>
            <w:r>
              <w:t xml:space="preserve"> </w:t>
            </w:r>
            <w:r>
              <w:rPr>
                <w:rFonts w:hint="eastAsia"/>
                <w:lang w:eastAsia="zh-CN"/>
              </w:rPr>
              <w:t>are</w:t>
            </w:r>
            <w:r>
              <w:t xml:space="preserve"> </w:t>
            </w:r>
            <w:r>
              <w:rPr>
                <w:rFonts w:hint="eastAsia"/>
                <w:lang w:eastAsia="zh-CN"/>
              </w:rPr>
              <w:t>applicable</w:t>
            </w:r>
            <w:r>
              <w:t xml:space="preserve"> to the </w:t>
            </w:r>
            <w:r>
              <w:rPr>
                <w:rFonts w:hint="eastAsia"/>
                <w:lang w:eastAsia="zh-CN"/>
              </w:rPr>
              <w:t>list</w:t>
            </w:r>
            <w:r>
              <w:t xml:space="preserve"> </w:t>
            </w:r>
            <w:r>
              <w:rPr>
                <w:rFonts w:hint="eastAsia"/>
                <w:lang w:eastAsia="zh-CN"/>
              </w:rPr>
              <w:t>of</w:t>
            </w:r>
            <w:r>
              <w:t xml:space="preserve"> UE</w:t>
            </w:r>
            <w:r>
              <w:rPr>
                <w:rFonts w:hint="eastAsia"/>
                <w:lang w:eastAsia="zh-CN"/>
              </w:rPr>
              <w:t>s</w:t>
            </w:r>
            <w:r>
              <w:t xml:space="preserve"> </w:t>
            </w:r>
            <w:r>
              <w:rPr>
                <w:rFonts w:hint="eastAsia"/>
                <w:lang w:eastAsia="zh-CN"/>
              </w:rPr>
              <w:t>specified</w:t>
            </w:r>
            <w:r>
              <w:rPr>
                <w:lang w:eastAsia="zh-CN"/>
              </w:rPr>
              <w:t xml:space="preserve"> </w:t>
            </w:r>
            <w:r>
              <w:rPr>
                <w:rFonts w:hint="eastAsia"/>
                <w:lang w:eastAsia="zh-CN"/>
              </w:rPr>
              <w:t>by</w:t>
            </w:r>
            <w:r>
              <w:rPr>
                <w:lang w:eastAsia="zh-CN"/>
              </w:rPr>
              <w:t xml:space="preserve"> </w:t>
            </w:r>
            <w:r>
              <w:rPr>
                <w:rFonts w:hint="eastAsia"/>
                <w:lang w:eastAsia="zh-CN"/>
              </w:rPr>
              <w:t>the</w:t>
            </w:r>
            <w:r>
              <w:rPr>
                <w:lang w:eastAsia="zh-CN"/>
              </w:rPr>
              <w:t xml:space="preserve"> </w:t>
            </w:r>
            <w:r>
              <w:t>"listUeAddrs" attribute. If the "listUeConsDtRt" attribute is also provided, then it has to be the subset of "listUeAddrs" attribute.</w:t>
            </w:r>
          </w:p>
        </w:tc>
      </w:tr>
    </w:tbl>
    <w:p w:rsidR="00CB0DD7" w:rsidRPr="000A0A5F" w:rsidRDefault="00CB0DD7">
      <w:pPr>
        <w:rPr>
          <w:lang w:val="en-US"/>
        </w:rPr>
      </w:pPr>
    </w:p>
    <w:p w:rsidR="00D26587" w:rsidRPr="000A0A5F" w:rsidRDefault="00D26587" w:rsidP="00905D83">
      <w:pPr>
        <w:pStyle w:val="EditorsNote"/>
      </w:pPr>
      <w:r w:rsidRPr="000A0A5F">
        <w:t xml:space="preserve">Editor’s </w:t>
      </w:r>
      <w:r w:rsidR="004820DC">
        <w:t>N</w:t>
      </w:r>
      <w:r w:rsidR="004820DC" w:rsidRPr="000A0A5F">
        <w:t>ote</w:t>
      </w:r>
      <w:r w:rsidRPr="000A0A5F">
        <w:t>: It is FFS whether other IEs within the "tscQosReq" attribute than "req5Gsdealy" attribute can apply for multi-modal communication services.</w:t>
      </w:r>
    </w:p>
    <w:p w:rsidR="00E46196" w:rsidRPr="000A0A5F" w:rsidRDefault="00E46196" w:rsidP="00E46196">
      <w:pPr>
        <w:pStyle w:val="EditorsNote"/>
        <w:tabs>
          <w:tab w:val="left" w:pos="3200"/>
        </w:tabs>
        <w:overflowPunct w:val="0"/>
        <w:autoSpaceDE w:val="0"/>
        <w:autoSpaceDN w:val="0"/>
        <w:adjustRightInd w:val="0"/>
        <w:ind w:left="1559" w:hanging="1276"/>
        <w:textAlignment w:val="baseline"/>
        <w:rPr>
          <w:lang w:eastAsia="en-GB"/>
        </w:rPr>
      </w:pPr>
      <w:r w:rsidRPr="000A0A5F">
        <w:rPr>
          <w:lang w:eastAsia="en-GB"/>
        </w:rPr>
        <w:t xml:space="preserve">Editor’s </w:t>
      </w:r>
      <w:r w:rsidR="004820DC">
        <w:rPr>
          <w:lang w:eastAsia="en-GB"/>
        </w:rPr>
        <w:t>N</w:t>
      </w:r>
      <w:r w:rsidR="004820DC" w:rsidRPr="000A0A5F">
        <w:rPr>
          <w:lang w:eastAsia="en-GB"/>
        </w:rPr>
        <w:t>ote</w:t>
      </w:r>
      <w:r w:rsidRPr="000A0A5F">
        <w:rPr>
          <w:lang w:eastAsia="en-GB"/>
        </w:rPr>
        <w:t>:</w:t>
      </w:r>
      <w:r w:rsidR="004820DC">
        <w:rPr>
          <w:lang w:eastAsia="en-GB"/>
        </w:rPr>
        <w:t xml:space="preserve"> </w:t>
      </w:r>
      <w:r w:rsidRPr="000A0A5F">
        <w:rPr>
          <w:lang w:eastAsia="en-GB"/>
        </w:rPr>
        <w:t>Whether the applicable reporting frequency for the Data Rate QoS monitoring can be event triggered and/or periodic is FFS.</w:t>
      </w:r>
    </w:p>
    <w:p w:rsidR="002961BB" w:rsidRPr="000A0A5F" w:rsidRDefault="002961BB" w:rsidP="002961BB">
      <w:pPr>
        <w:pStyle w:val="EditorsNote"/>
      </w:pPr>
      <w:r w:rsidRPr="000A0A5F">
        <w:t>Editor’s Note: It is FFS whether the QoS monitoring requirements for congestion measurements are different than the ones for packet delay, i.e., it is FFS whether reporting period and reporting frequency apply, or different criteria needs to be applied.</w:t>
      </w:r>
    </w:p>
    <w:p w:rsidR="00D26587" w:rsidRPr="000A0A5F" w:rsidRDefault="00D26587"/>
    <w:p w:rsidR="00CB0DD7" w:rsidRPr="000A0A5F" w:rsidRDefault="00CB0DD7">
      <w:pPr>
        <w:pStyle w:val="Heading5"/>
      </w:pPr>
      <w:bookmarkStart w:id="9132" w:name="_Toc36034067"/>
      <w:bookmarkStart w:id="9133" w:name="_Toc45132214"/>
      <w:bookmarkStart w:id="9134" w:name="_Toc49776499"/>
      <w:bookmarkStart w:id="9135" w:name="_Toc51747419"/>
      <w:bookmarkStart w:id="9136" w:name="_Toc66360998"/>
      <w:bookmarkStart w:id="9137" w:name="_Toc68105503"/>
      <w:bookmarkStart w:id="9138" w:name="_Toc74756133"/>
      <w:bookmarkStart w:id="9139" w:name="_Toc105675010"/>
      <w:bookmarkStart w:id="9140" w:name="_Toc130503078"/>
      <w:bookmarkStart w:id="9141" w:name="_Toc153625866"/>
      <w:r w:rsidRPr="000A0A5F">
        <w:t>5.14.2.1.4</w:t>
      </w:r>
      <w:r w:rsidRPr="000A0A5F">
        <w:tab/>
        <w:t>Type: UserPlaneNotificationData</w:t>
      </w:r>
      <w:bookmarkEnd w:id="9132"/>
      <w:bookmarkEnd w:id="9133"/>
      <w:bookmarkEnd w:id="9134"/>
      <w:bookmarkEnd w:id="9135"/>
      <w:bookmarkEnd w:id="9136"/>
      <w:bookmarkEnd w:id="9137"/>
      <w:bookmarkEnd w:id="9138"/>
      <w:bookmarkEnd w:id="9139"/>
      <w:bookmarkEnd w:id="9140"/>
      <w:bookmarkEnd w:id="9141"/>
    </w:p>
    <w:p w:rsidR="00CB0DD7" w:rsidRPr="000A0A5F" w:rsidRDefault="00CB0DD7">
      <w:r w:rsidRPr="000A0A5F">
        <w:t xml:space="preserve">This type represents the parameters which shall be notify the SCS/AS for user plane event(s). </w:t>
      </w:r>
    </w:p>
    <w:p w:rsidR="00CB0DD7" w:rsidRPr="000A0A5F" w:rsidRDefault="00CB0DD7">
      <w:pPr>
        <w:pStyle w:val="TH"/>
      </w:pPr>
      <w:r w:rsidRPr="000A0A5F">
        <w:rPr>
          <w:noProof/>
        </w:rPr>
        <w:t>Table </w:t>
      </w:r>
      <w:r w:rsidRPr="000A0A5F">
        <w:t xml:space="preserve">5.14.2.1.4-1: </w:t>
      </w:r>
      <w:r w:rsidRPr="000A0A5F">
        <w:rPr>
          <w:noProof/>
        </w:rPr>
        <w:t xml:space="preserve">Definition of the </w:t>
      </w:r>
      <w:r w:rsidRPr="000A0A5F">
        <w:t>UserPlane</w:t>
      </w:r>
      <w:r w:rsidRPr="000A0A5F">
        <w:rPr>
          <w:noProof/>
        </w:rPr>
        <w:t>NotificationData data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874"/>
        <w:gridCol w:w="1985"/>
        <w:gridCol w:w="1275"/>
        <w:gridCol w:w="4568"/>
        <w:tblGridChange w:id="9142">
          <w:tblGrid>
            <w:gridCol w:w="1874"/>
            <w:gridCol w:w="1985"/>
            <w:gridCol w:w="1275"/>
            <w:gridCol w:w="4568"/>
          </w:tblGrid>
        </w:tblGridChange>
      </w:tblGrid>
      <w:tr w:rsidR="00CB0DD7" w:rsidRPr="000A0A5F" w:rsidTr="00FF0AF8">
        <w:trPr>
          <w:jc w:val="center"/>
        </w:trPr>
        <w:tc>
          <w:tcPr>
            <w:tcW w:w="1874" w:type="dxa"/>
            <w:shd w:val="clear" w:color="auto" w:fill="C0C0C0"/>
          </w:tcPr>
          <w:p w:rsidR="00CB0DD7" w:rsidRPr="000A0A5F" w:rsidRDefault="00CB0DD7">
            <w:pPr>
              <w:pStyle w:val="TAH"/>
              <w:rPr>
                <w:rFonts w:eastAsia="Times New Roman"/>
              </w:rPr>
            </w:pPr>
            <w:r w:rsidRPr="000A0A5F">
              <w:rPr>
                <w:rFonts w:eastAsia="Times New Roman"/>
              </w:rPr>
              <w:t>Attribute name</w:t>
            </w:r>
          </w:p>
        </w:tc>
        <w:tc>
          <w:tcPr>
            <w:tcW w:w="1985" w:type="dxa"/>
            <w:shd w:val="clear" w:color="auto" w:fill="C0C0C0"/>
          </w:tcPr>
          <w:p w:rsidR="00CB0DD7" w:rsidRPr="000A0A5F" w:rsidRDefault="00CB0DD7">
            <w:pPr>
              <w:pStyle w:val="TAH"/>
              <w:rPr>
                <w:rFonts w:eastAsia="Times New Roman"/>
              </w:rPr>
            </w:pPr>
            <w:r w:rsidRPr="000A0A5F">
              <w:rPr>
                <w:rFonts w:eastAsia="Times New Roman"/>
              </w:rPr>
              <w:t>Data type</w:t>
            </w:r>
          </w:p>
        </w:tc>
        <w:tc>
          <w:tcPr>
            <w:tcW w:w="1275" w:type="dxa"/>
            <w:shd w:val="clear" w:color="auto" w:fill="C0C0C0"/>
          </w:tcPr>
          <w:p w:rsidR="00CB0DD7" w:rsidRPr="000A0A5F" w:rsidRDefault="00CB0DD7">
            <w:pPr>
              <w:pStyle w:val="TAH"/>
              <w:jc w:val="left"/>
              <w:rPr>
                <w:rFonts w:eastAsia="Times New Roman"/>
              </w:rPr>
            </w:pPr>
            <w:r w:rsidRPr="000A0A5F">
              <w:rPr>
                <w:rFonts w:eastAsia="Times New Roman"/>
              </w:rPr>
              <w:t>Cardinality</w:t>
            </w:r>
          </w:p>
        </w:tc>
        <w:tc>
          <w:tcPr>
            <w:tcW w:w="4568"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Description</w:t>
            </w:r>
          </w:p>
        </w:tc>
      </w:tr>
      <w:tr w:rsidR="00CB0DD7" w:rsidRPr="000A0A5F" w:rsidTr="00FF0AF8">
        <w:trPr>
          <w:jc w:val="center"/>
        </w:trPr>
        <w:tc>
          <w:tcPr>
            <w:tcW w:w="1874" w:type="dxa"/>
            <w:shd w:val="clear" w:color="auto" w:fill="auto"/>
          </w:tcPr>
          <w:p w:rsidR="00CB0DD7" w:rsidRPr="000A0A5F" w:rsidRDefault="00CB0DD7">
            <w:pPr>
              <w:pStyle w:val="TAH"/>
              <w:jc w:val="left"/>
              <w:rPr>
                <w:rFonts w:eastAsia="Times New Roman"/>
                <w:b w:val="0"/>
              </w:rPr>
            </w:pPr>
            <w:r w:rsidRPr="000A0A5F">
              <w:rPr>
                <w:b w:val="0"/>
              </w:rPr>
              <w:t>transaction</w:t>
            </w:r>
          </w:p>
        </w:tc>
        <w:tc>
          <w:tcPr>
            <w:tcW w:w="1985" w:type="dxa"/>
            <w:shd w:val="clear" w:color="auto" w:fill="auto"/>
          </w:tcPr>
          <w:p w:rsidR="00CB0DD7" w:rsidRPr="000A0A5F" w:rsidRDefault="00CB0DD7">
            <w:pPr>
              <w:pStyle w:val="TAH"/>
              <w:jc w:val="left"/>
              <w:rPr>
                <w:rFonts w:eastAsia="Times New Roman"/>
                <w:b w:val="0"/>
              </w:rPr>
            </w:pPr>
            <w:r w:rsidRPr="000A0A5F">
              <w:rPr>
                <w:b w:val="0"/>
              </w:rPr>
              <w:t>Link</w:t>
            </w:r>
          </w:p>
        </w:tc>
        <w:tc>
          <w:tcPr>
            <w:tcW w:w="1275" w:type="dxa"/>
            <w:shd w:val="clear" w:color="auto" w:fill="auto"/>
          </w:tcPr>
          <w:p w:rsidR="00CB0DD7" w:rsidRPr="000A0A5F" w:rsidRDefault="00CB0DD7">
            <w:pPr>
              <w:pStyle w:val="TAH"/>
              <w:jc w:val="left"/>
              <w:rPr>
                <w:rFonts w:eastAsia="Times New Roman"/>
                <w:b w:val="0"/>
              </w:rPr>
            </w:pPr>
            <w:r w:rsidRPr="000A0A5F">
              <w:rPr>
                <w:b w:val="0"/>
              </w:rPr>
              <w:t>1</w:t>
            </w:r>
          </w:p>
        </w:tc>
        <w:tc>
          <w:tcPr>
            <w:tcW w:w="4568" w:type="dxa"/>
            <w:shd w:val="clear" w:color="auto" w:fill="auto"/>
          </w:tcPr>
          <w:p w:rsidR="00CB0DD7" w:rsidRPr="000A0A5F" w:rsidRDefault="00CB0DD7">
            <w:pPr>
              <w:pStyle w:val="TAH"/>
              <w:jc w:val="left"/>
              <w:rPr>
                <w:rFonts w:eastAsia="Times New Roman"/>
                <w:b w:val="0"/>
              </w:rPr>
            </w:pPr>
            <w:r w:rsidRPr="000A0A5F">
              <w:rPr>
                <w:b w:val="0"/>
              </w:rPr>
              <w:t>Link to the transaction resource to which this notification is related.</w:t>
            </w:r>
          </w:p>
        </w:tc>
      </w:tr>
      <w:tr w:rsidR="00CB0DD7" w:rsidRPr="000A0A5F" w:rsidTr="00FF0AF8">
        <w:trPr>
          <w:jc w:val="center"/>
        </w:trPr>
        <w:tc>
          <w:tcPr>
            <w:tcW w:w="1874" w:type="dxa"/>
            <w:shd w:val="clear" w:color="auto" w:fill="auto"/>
          </w:tcPr>
          <w:p w:rsidR="00CB0DD7" w:rsidRPr="000A0A5F" w:rsidRDefault="00CB0DD7">
            <w:pPr>
              <w:pStyle w:val="TAL"/>
              <w:rPr>
                <w:rFonts w:hint="eastAsia"/>
                <w:lang w:eastAsia="zh-CN"/>
              </w:rPr>
            </w:pPr>
            <w:r w:rsidRPr="000A0A5F">
              <w:rPr>
                <w:rFonts w:hint="eastAsia"/>
                <w:lang w:eastAsia="zh-CN"/>
              </w:rPr>
              <w:t>eventReport</w:t>
            </w:r>
            <w:r w:rsidRPr="000A0A5F">
              <w:rPr>
                <w:lang w:eastAsia="zh-CN"/>
              </w:rPr>
              <w:t>s</w:t>
            </w:r>
          </w:p>
        </w:tc>
        <w:tc>
          <w:tcPr>
            <w:tcW w:w="1985" w:type="dxa"/>
            <w:shd w:val="clear" w:color="auto" w:fill="auto"/>
          </w:tcPr>
          <w:p w:rsidR="00CB0DD7" w:rsidRPr="000A0A5F" w:rsidRDefault="00CB0DD7">
            <w:pPr>
              <w:pStyle w:val="TAL"/>
              <w:rPr>
                <w:rFonts w:hint="eastAsia"/>
                <w:lang w:eastAsia="zh-CN"/>
              </w:rPr>
            </w:pPr>
            <w:r w:rsidRPr="000A0A5F">
              <w:rPr>
                <w:lang w:eastAsia="zh-CN"/>
              </w:rPr>
              <w:t>array(</w:t>
            </w:r>
            <w:r w:rsidRPr="000A0A5F">
              <w:t>UserPlane</w:t>
            </w:r>
            <w:r w:rsidRPr="000A0A5F">
              <w:rPr>
                <w:rFonts w:hint="eastAsia"/>
                <w:lang w:eastAsia="zh-CN"/>
              </w:rPr>
              <w:t>EventReport</w:t>
            </w:r>
            <w:r w:rsidRPr="000A0A5F">
              <w:rPr>
                <w:lang w:eastAsia="zh-CN"/>
              </w:rPr>
              <w:t>)</w:t>
            </w:r>
          </w:p>
        </w:tc>
        <w:tc>
          <w:tcPr>
            <w:tcW w:w="1275" w:type="dxa"/>
            <w:shd w:val="clear" w:color="auto" w:fill="auto"/>
          </w:tcPr>
          <w:p w:rsidR="00CB0DD7" w:rsidRPr="000A0A5F" w:rsidRDefault="00CB0DD7">
            <w:pPr>
              <w:pStyle w:val="TAL"/>
              <w:rPr>
                <w:rFonts w:eastAsia="Times New Roman"/>
              </w:rPr>
            </w:pPr>
            <w:r w:rsidRPr="000A0A5F">
              <w:rPr>
                <w:rFonts w:eastAsia="Times New Roman"/>
              </w:rPr>
              <w:t>1..N</w:t>
            </w:r>
          </w:p>
        </w:tc>
        <w:tc>
          <w:tcPr>
            <w:tcW w:w="4568" w:type="dxa"/>
            <w:shd w:val="clear" w:color="auto" w:fill="auto"/>
          </w:tcPr>
          <w:p w:rsidR="00CB0DD7" w:rsidRPr="000A0A5F" w:rsidRDefault="00CB0DD7">
            <w:pPr>
              <w:pStyle w:val="TAL"/>
              <w:rPr>
                <w:rFonts w:eastAsia="Times New Roman" w:cs="Arial"/>
                <w:szCs w:val="18"/>
              </w:rPr>
            </w:pPr>
            <w:r w:rsidRPr="000A0A5F">
              <w:rPr>
                <w:rFonts w:eastAsia="Times New Roman" w:cs="Arial"/>
                <w:szCs w:val="18"/>
              </w:rPr>
              <w:t>Contains the reported event and applicable information</w:t>
            </w:r>
          </w:p>
        </w:tc>
      </w:tr>
    </w:tbl>
    <w:p w:rsidR="00CB0DD7" w:rsidRPr="000A0A5F" w:rsidRDefault="00CB0DD7">
      <w:pPr>
        <w:rPr>
          <w:lang w:val="en-US"/>
        </w:rPr>
      </w:pPr>
    </w:p>
    <w:p w:rsidR="00CB0DD7" w:rsidRPr="000A0A5F" w:rsidRDefault="00CB0DD7">
      <w:pPr>
        <w:pStyle w:val="Heading5"/>
      </w:pPr>
      <w:bookmarkStart w:id="9143" w:name="_Toc36034068"/>
      <w:bookmarkStart w:id="9144" w:name="_Toc45132215"/>
      <w:bookmarkStart w:id="9145" w:name="_Toc49776500"/>
      <w:bookmarkStart w:id="9146" w:name="_Toc51747420"/>
      <w:bookmarkStart w:id="9147" w:name="_Toc66360999"/>
      <w:bookmarkStart w:id="9148" w:name="_Toc68105504"/>
      <w:bookmarkStart w:id="9149" w:name="_Toc74756134"/>
      <w:bookmarkStart w:id="9150" w:name="_Toc105675011"/>
      <w:bookmarkStart w:id="9151" w:name="_Toc130503079"/>
      <w:bookmarkStart w:id="9152" w:name="_Toc153625867"/>
      <w:r w:rsidRPr="000A0A5F">
        <w:t>5.14.2.1.5</w:t>
      </w:r>
      <w:r w:rsidRPr="000A0A5F">
        <w:tab/>
        <w:t>Type: UserPlaneEventReport</w:t>
      </w:r>
      <w:bookmarkEnd w:id="9143"/>
      <w:bookmarkEnd w:id="9144"/>
      <w:bookmarkEnd w:id="9145"/>
      <w:bookmarkEnd w:id="9146"/>
      <w:bookmarkEnd w:id="9147"/>
      <w:bookmarkEnd w:id="9148"/>
      <w:bookmarkEnd w:id="9149"/>
      <w:bookmarkEnd w:id="9150"/>
      <w:bookmarkEnd w:id="9151"/>
      <w:bookmarkEnd w:id="9152"/>
    </w:p>
    <w:p w:rsidR="00CB0DD7" w:rsidRPr="000A0A5F" w:rsidRDefault="00CB0DD7">
      <w:r w:rsidRPr="000A0A5F">
        <w:t>This type represents an event report for user plane. It shall comply with the provisions defined in table 5.14.2.1.5-1.</w:t>
      </w:r>
    </w:p>
    <w:p w:rsidR="00CB0DD7" w:rsidRPr="000A0A5F" w:rsidRDefault="00CB0DD7">
      <w:pPr>
        <w:pStyle w:val="TH"/>
      </w:pPr>
      <w:r w:rsidRPr="000A0A5F">
        <w:t>Table 5.14.2.1.5-1: Definition of the UserPlaneEventReport data type</w:t>
      </w:r>
    </w:p>
    <w:tbl>
      <w:tblPr>
        <w:tblW w:w="499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819"/>
        <w:gridCol w:w="1712"/>
        <w:gridCol w:w="1168"/>
        <w:gridCol w:w="3780"/>
        <w:gridCol w:w="1258"/>
      </w:tblGrid>
      <w:tr w:rsidR="00CB0DD7" w:rsidRPr="000A0A5F" w:rsidTr="00D57F67">
        <w:tc>
          <w:tcPr>
            <w:tcW w:w="934" w:type="pct"/>
            <w:shd w:val="clear" w:color="auto" w:fill="C0C0C0"/>
            <w:tcMar>
              <w:top w:w="0" w:type="dxa"/>
              <w:left w:w="108" w:type="dxa"/>
              <w:bottom w:w="0" w:type="dxa"/>
              <w:right w:w="108" w:type="dxa"/>
            </w:tcMar>
          </w:tcPr>
          <w:p w:rsidR="00CB0DD7" w:rsidRPr="000A0A5F" w:rsidRDefault="00CB0DD7">
            <w:pPr>
              <w:pStyle w:val="TAH"/>
            </w:pPr>
            <w:r w:rsidRPr="000A0A5F">
              <w:t>Attribute name</w:t>
            </w:r>
          </w:p>
        </w:tc>
        <w:tc>
          <w:tcPr>
            <w:tcW w:w="879" w:type="pct"/>
            <w:shd w:val="clear" w:color="auto" w:fill="C0C0C0"/>
            <w:tcMar>
              <w:top w:w="0" w:type="dxa"/>
              <w:left w:w="108" w:type="dxa"/>
              <w:bottom w:w="0" w:type="dxa"/>
              <w:right w:w="108" w:type="dxa"/>
            </w:tcMar>
          </w:tcPr>
          <w:p w:rsidR="00CB0DD7" w:rsidRPr="000A0A5F" w:rsidRDefault="00CB0DD7">
            <w:pPr>
              <w:pStyle w:val="TAH"/>
            </w:pPr>
            <w:r w:rsidRPr="000A0A5F">
              <w:t>Data type</w:t>
            </w:r>
          </w:p>
        </w:tc>
        <w:tc>
          <w:tcPr>
            <w:tcW w:w="600" w:type="pct"/>
            <w:shd w:val="clear" w:color="auto" w:fill="C0C0C0"/>
            <w:tcMar>
              <w:top w:w="0" w:type="dxa"/>
              <w:left w:w="108" w:type="dxa"/>
              <w:bottom w:w="0" w:type="dxa"/>
              <w:right w:w="108" w:type="dxa"/>
            </w:tcMar>
          </w:tcPr>
          <w:p w:rsidR="00CB0DD7" w:rsidRPr="000A0A5F" w:rsidRDefault="00CB0DD7">
            <w:pPr>
              <w:pStyle w:val="TAH"/>
            </w:pPr>
            <w:r w:rsidRPr="000A0A5F">
              <w:t>Cardinality</w:t>
            </w:r>
          </w:p>
        </w:tc>
        <w:tc>
          <w:tcPr>
            <w:tcW w:w="1941" w:type="pct"/>
            <w:shd w:val="clear" w:color="auto" w:fill="C0C0C0"/>
            <w:tcMar>
              <w:top w:w="0" w:type="dxa"/>
              <w:left w:w="108" w:type="dxa"/>
              <w:bottom w:w="0" w:type="dxa"/>
              <w:right w:w="108" w:type="dxa"/>
            </w:tcMar>
          </w:tcPr>
          <w:p w:rsidR="00CB0DD7" w:rsidRPr="000A0A5F" w:rsidRDefault="00CB0DD7">
            <w:pPr>
              <w:pStyle w:val="TAH"/>
            </w:pPr>
            <w:r w:rsidRPr="000A0A5F">
              <w:t>Description</w:t>
            </w:r>
          </w:p>
        </w:tc>
        <w:tc>
          <w:tcPr>
            <w:tcW w:w="646" w:type="pct"/>
            <w:shd w:val="clear" w:color="auto" w:fill="C0C0C0"/>
          </w:tcPr>
          <w:p w:rsidR="00CB0DD7" w:rsidRPr="000A0A5F" w:rsidRDefault="00CB0DD7">
            <w:pPr>
              <w:pStyle w:val="TAH"/>
            </w:pPr>
            <w:r w:rsidRPr="000A0A5F">
              <w:rPr>
                <w:rFonts w:eastAsia="Times New Roman" w:cs="Arial"/>
                <w:szCs w:val="18"/>
              </w:rPr>
              <w:t>Applicability (NOTE</w:t>
            </w:r>
            <w:r w:rsidR="005B705B" w:rsidRPr="000A0A5F">
              <w:rPr>
                <w:rFonts w:eastAsia="Times New Roman" w:cs="Arial"/>
                <w:szCs w:val="18"/>
              </w:rPr>
              <w:t> 1</w:t>
            </w:r>
            <w:r w:rsidRPr="000A0A5F">
              <w:rPr>
                <w:rFonts w:eastAsia="Times New Roman" w:cs="Arial"/>
                <w:szCs w:val="18"/>
              </w:rPr>
              <w:t>)</w:t>
            </w:r>
          </w:p>
        </w:tc>
      </w:tr>
      <w:tr w:rsidR="00CB0DD7" w:rsidRPr="000A0A5F" w:rsidTr="00D57F67">
        <w:tc>
          <w:tcPr>
            <w:tcW w:w="934" w:type="pct"/>
            <w:shd w:val="clear" w:color="auto" w:fill="auto"/>
            <w:tcMar>
              <w:top w:w="0" w:type="dxa"/>
              <w:left w:w="108" w:type="dxa"/>
              <w:bottom w:w="0" w:type="dxa"/>
              <w:right w:w="108" w:type="dxa"/>
            </w:tcMar>
          </w:tcPr>
          <w:p w:rsidR="00CB0DD7" w:rsidRPr="000A0A5F" w:rsidRDefault="00CB0DD7">
            <w:pPr>
              <w:pStyle w:val="TAL"/>
              <w:rPr>
                <w:rFonts w:hint="eastAsia"/>
                <w:lang w:eastAsia="zh-CN"/>
              </w:rPr>
            </w:pPr>
            <w:r w:rsidRPr="000A0A5F">
              <w:rPr>
                <w:lang w:eastAsia="zh-CN"/>
              </w:rPr>
              <w:t>event</w:t>
            </w:r>
          </w:p>
        </w:tc>
        <w:tc>
          <w:tcPr>
            <w:tcW w:w="879" w:type="pct"/>
            <w:shd w:val="clear" w:color="auto" w:fill="auto"/>
            <w:tcMar>
              <w:top w:w="0" w:type="dxa"/>
              <w:left w:w="108" w:type="dxa"/>
              <w:bottom w:w="0" w:type="dxa"/>
              <w:right w:w="108" w:type="dxa"/>
            </w:tcMar>
          </w:tcPr>
          <w:p w:rsidR="00CB0DD7" w:rsidRPr="000A0A5F" w:rsidRDefault="00CB0DD7">
            <w:pPr>
              <w:pStyle w:val="TAL"/>
              <w:rPr>
                <w:rFonts w:hint="eastAsia"/>
                <w:lang w:eastAsia="zh-CN"/>
              </w:rPr>
            </w:pPr>
            <w:r w:rsidRPr="000A0A5F">
              <w:t>UserPlane</w:t>
            </w:r>
            <w:r w:rsidRPr="000A0A5F">
              <w:rPr>
                <w:lang w:eastAsia="zh-CN"/>
              </w:rPr>
              <w:t>Event</w:t>
            </w:r>
          </w:p>
        </w:tc>
        <w:tc>
          <w:tcPr>
            <w:tcW w:w="600" w:type="pct"/>
            <w:shd w:val="clear" w:color="auto" w:fill="auto"/>
            <w:tcMar>
              <w:top w:w="0" w:type="dxa"/>
              <w:left w:w="108" w:type="dxa"/>
              <w:bottom w:w="0" w:type="dxa"/>
              <w:right w:w="108" w:type="dxa"/>
            </w:tcMar>
          </w:tcPr>
          <w:p w:rsidR="00CB0DD7" w:rsidRPr="000A0A5F" w:rsidRDefault="00CB0DD7">
            <w:pPr>
              <w:pStyle w:val="TAL"/>
              <w:rPr>
                <w:rFonts w:hint="eastAsia"/>
                <w:lang w:eastAsia="zh-CN"/>
              </w:rPr>
            </w:pPr>
            <w:r w:rsidRPr="000A0A5F">
              <w:rPr>
                <w:rFonts w:hint="eastAsia"/>
                <w:lang w:eastAsia="zh-CN"/>
              </w:rPr>
              <w:t>1</w:t>
            </w:r>
          </w:p>
        </w:tc>
        <w:tc>
          <w:tcPr>
            <w:tcW w:w="1941" w:type="pct"/>
            <w:shd w:val="clear" w:color="auto" w:fill="auto"/>
            <w:tcMar>
              <w:top w:w="0" w:type="dxa"/>
              <w:left w:w="108" w:type="dxa"/>
              <w:bottom w:w="0" w:type="dxa"/>
              <w:right w:w="108" w:type="dxa"/>
            </w:tcMar>
          </w:tcPr>
          <w:p w:rsidR="00CB0DD7" w:rsidRPr="000A0A5F" w:rsidRDefault="00CB0DD7">
            <w:pPr>
              <w:pageBreakBefo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hAnsi="Arial"/>
                <w:sz w:val="18"/>
              </w:rPr>
            </w:pPr>
            <w:r w:rsidRPr="000A0A5F">
              <w:rPr>
                <w:rFonts w:ascii="Arial" w:hAnsi="Arial"/>
                <w:sz w:val="18"/>
              </w:rPr>
              <w:t>Indicates the event reported by the SCEF.</w:t>
            </w:r>
          </w:p>
        </w:tc>
        <w:tc>
          <w:tcPr>
            <w:tcW w:w="646" w:type="pct"/>
          </w:tcPr>
          <w:p w:rsidR="00CB0DD7" w:rsidRPr="000A0A5F" w:rsidRDefault="00CB0DD7">
            <w:pPr>
              <w:pageBreakBefo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hAnsi="Arial"/>
                <w:sz w:val="18"/>
              </w:rPr>
            </w:pPr>
          </w:p>
        </w:tc>
      </w:tr>
      <w:tr w:rsidR="00CB0DD7" w:rsidRPr="000A0A5F" w:rsidTr="00D57F67">
        <w:tc>
          <w:tcPr>
            <w:tcW w:w="934" w:type="pct"/>
            <w:shd w:val="clear" w:color="auto" w:fill="auto"/>
            <w:tcMar>
              <w:top w:w="0" w:type="dxa"/>
              <w:left w:w="108" w:type="dxa"/>
              <w:bottom w:w="0" w:type="dxa"/>
              <w:right w:w="108" w:type="dxa"/>
            </w:tcMar>
          </w:tcPr>
          <w:p w:rsidR="00CB0DD7" w:rsidRPr="000A0A5F" w:rsidRDefault="00CB0DD7">
            <w:pPr>
              <w:pStyle w:val="TAL"/>
              <w:rPr>
                <w:rFonts w:hint="eastAsia"/>
                <w:lang w:eastAsia="zh-CN"/>
              </w:rPr>
            </w:pPr>
            <w:r w:rsidRPr="000A0A5F">
              <w:rPr>
                <w:rFonts w:hint="eastAsia"/>
                <w:lang w:eastAsia="zh-CN"/>
              </w:rPr>
              <w:t>accu</w:t>
            </w:r>
            <w:r w:rsidRPr="000A0A5F">
              <w:rPr>
                <w:lang w:eastAsia="zh-CN"/>
              </w:rPr>
              <w:t>mulatedUsage</w:t>
            </w:r>
          </w:p>
        </w:tc>
        <w:tc>
          <w:tcPr>
            <w:tcW w:w="879" w:type="pct"/>
            <w:shd w:val="clear" w:color="auto" w:fill="auto"/>
            <w:tcMar>
              <w:top w:w="0" w:type="dxa"/>
              <w:left w:w="108" w:type="dxa"/>
              <w:bottom w:w="0" w:type="dxa"/>
              <w:right w:w="108" w:type="dxa"/>
            </w:tcMar>
          </w:tcPr>
          <w:p w:rsidR="00CB0DD7" w:rsidRPr="000A0A5F" w:rsidRDefault="00CB0DD7">
            <w:pPr>
              <w:pStyle w:val="TAL"/>
              <w:rPr>
                <w:rFonts w:hint="eastAsia"/>
                <w:lang w:eastAsia="zh-CN"/>
              </w:rPr>
            </w:pPr>
            <w:r w:rsidRPr="000A0A5F">
              <w:rPr>
                <w:rFonts w:hint="eastAsia"/>
                <w:lang w:eastAsia="zh-CN"/>
              </w:rPr>
              <w:t>AccumulatedUsage</w:t>
            </w:r>
          </w:p>
        </w:tc>
        <w:tc>
          <w:tcPr>
            <w:tcW w:w="600" w:type="pct"/>
            <w:shd w:val="clear" w:color="auto" w:fill="auto"/>
            <w:tcMar>
              <w:top w:w="0" w:type="dxa"/>
              <w:left w:w="108" w:type="dxa"/>
              <w:bottom w:w="0" w:type="dxa"/>
              <w:right w:w="108" w:type="dxa"/>
            </w:tcMar>
          </w:tcPr>
          <w:p w:rsidR="00CB0DD7" w:rsidRPr="000A0A5F" w:rsidRDefault="00CB0DD7">
            <w:pPr>
              <w:pStyle w:val="TAL"/>
              <w:rPr>
                <w:rFonts w:hint="eastAsia"/>
                <w:lang w:eastAsia="zh-CN"/>
              </w:rPr>
            </w:pPr>
            <w:r w:rsidRPr="000A0A5F">
              <w:rPr>
                <w:rFonts w:hint="eastAsia"/>
                <w:lang w:eastAsia="zh-CN"/>
              </w:rPr>
              <w:t>0.</w:t>
            </w:r>
            <w:r w:rsidRPr="000A0A5F">
              <w:rPr>
                <w:lang w:eastAsia="zh-CN"/>
              </w:rPr>
              <w:t>.1</w:t>
            </w:r>
          </w:p>
        </w:tc>
        <w:tc>
          <w:tcPr>
            <w:tcW w:w="1941" w:type="pct"/>
            <w:shd w:val="clear" w:color="auto" w:fill="auto"/>
            <w:tcMar>
              <w:top w:w="0" w:type="dxa"/>
              <w:left w:w="108" w:type="dxa"/>
              <w:bottom w:w="0" w:type="dxa"/>
              <w:right w:w="108" w:type="dxa"/>
            </w:tcMar>
          </w:tcPr>
          <w:p w:rsidR="00CB0DD7" w:rsidRPr="000A0A5F" w:rsidRDefault="00CB0DD7">
            <w:pPr>
              <w:pStyle w:val="TAL"/>
              <w:rPr>
                <w:rFonts w:hint="eastAsia"/>
                <w:lang w:eastAsia="zh-CN"/>
              </w:rPr>
            </w:pPr>
            <w:r w:rsidRPr="000A0A5F">
              <w:rPr>
                <w:lang w:eastAsia="zh-CN"/>
              </w:rPr>
              <w:t>Contains the applicable information corresponding to the event.</w:t>
            </w:r>
          </w:p>
        </w:tc>
        <w:tc>
          <w:tcPr>
            <w:tcW w:w="646" w:type="pct"/>
          </w:tcPr>
          <w:p w:rsidR="00CB0DD7" w:rsidRPr="000A0A5F" w:rsidRDefault="00CB0DD7">
            <w:pPr>
              <w:pStyle w:val="TAL"/>
              <w:rPr>
                <w:lang w:eastAsia="zh-CN"/>
              </w:rPr>
            </w:pPr>
          </w:p>
        </w:tc>
      </w:tr>
      <w:tr w:rsidR="00CB0DD7" w:rsidRPr="000A0A5F" w:rsidTr="00D57F67">
        <w:tc>
          <w:tcPr>
            <w:tcW w:w="934" w:type="pct"/>
            <w:shd w:val="clear" w:color="auto" w:fill="auto"/>
            <w:tcMar>
              <w:top w:w="0" w:type="dxa"/>
              <w:left w:w="108" w:type="dxa"/>
              <w:bottom w:w="0" w:type="dxa"/>
              <w:right w:w="108" w:type="dxa"/>
            </w:tcMar>
          </w:tcPr>
          <w:p w:rsidR="00CB0DD7" w:rsidRPr="000A0A5F" w:rsidRDefault="00CB0DD7">
            <w:pPr>
              <w:pStyle w:val="TAL"/>
              <w:rPr>
                <w:rFonts w:hint="eastAsia"/>
                <w:lang w:eastAsia="zh-CN"/>
              </w:rPr>
            </w:pPr>
            <w:r w:rsidRPr="000A0A5F">
              <w:rPr>
                <w:rFonts w:hint="eastAsia"/>
                <w:lang w:eastAsia="zh-CN"/>
              </w:rPr>
              <w:t>flow</w:t>
            </w:r>
            <w:r w:rsidRPr="000A0A5F">
              <w:rPr>
                <w:lang w:eastAsia="zh-CN"/>
              </w:rPr>
              <w:t>Ids</w:t>
            </w:r>
          </w:p>
        </w:tc>
        <w:tc>
          <w:tcPr>
            <w:tcW w:w="879" w:type="pct"/>
            <w:shd w:val="clear" w:color="auto" w:fill="auto"/>
            <w:tcMar>
              <w:top w:w="0" w:type="dxa"/>
              <w:left w:w="108" w:type="dxa"/>
              <w:bottom w:w="0" w:type="dxa"/>
              <w:right w:w="108" w:type="dxa"/>
            </w:tcMar>
          </w:tcPr>
          <w:p w:rsidR="00CB0DD7" w:rsidRPr="000A0A5F" w:rsidRDefault="00CB0DD7">
            <w:pPr>
              <w:pStyle w:val="TAL"/>
              <w:rPr>
                <w:rFonts w:hint="eastAsia"/>
                <w:lang w:eastAsia="zh-CN"/>
              </w:rPr>
            </w:pPr>
            <w:r w:rsidRPr="000A0A5F">
              <w:rPr>
                <w:lang w:eastAsia="zh-CN"/>
              </w:rPr>
              <w:t>array(integer)</w:t>
            </w:r>
          </w:p>
        </w:tc>
        <w:tc>
          <w:tcPr>
            <w:tcW w:w="600" w:type="pct"/>
            <w:shd w:val="clear" w:color="auto" w:fill="auto"/>
            <w:tcMar>
              <w:top w:w="0" w:type="dxa"/>
              <w:left w:w="108" w:type="dxa"/>
              <w:bottom w:w="0" w:type="dxa"/>
              <w:right w:w="108" w:type="dxa"/>
            </w:tcMar>
          </w:tcPr>
          <w:p w:rsidR="00CB0DD7" w:rsidRPr="000A0A5F" w:rsidRDefault="00CB0DD7">
            <w:pPr>
              <w:pStyle w:val="TAL"/>
              <w:rPr>
                <w:rFonts w:hint="eastAsia"/>
                <w:lang w:eastAsia="zh-CN"/>
              </w:rPr>
            </w:pPr>
            <w:r w:rsidRPr="000A0A5F">
              <w:rPr>
                <w:rFonts w:hint="eastAsia"/>
                <w:lang w:eastAsia="zh-CN"/>
              </w:rPr>
              <w:t>0..N</w:t>
            </w:r>
          </w:p>
        </w:tc>
        <w:tc>
          <w:tcPr>
            <w:tcW w:w="1941" w:type="pct"/>
            <w:shd w:val="clear" w:color="auto" w:fill="auto"/>
            <w:tcMar>
              <w:top w:w="0" w:type="dxa"/>
              <w:left w:w="108" w:type="dxa"/>
              <w:bottom w:w="0" w:type="dxa"/>
              <w:right w:w="108" w:type="dxa"/>
            </w:tcMar>
          </w:tcPr>
          <w:p w:rsidR="005B705B" w:rsidRPr="000A0A5F" w:rsidRDefault="00CB0DD7" w:rsidP="005B705B">
            <w:pPr>
              <w:pStyle w:val="TAL"/>
              <w:rPr>
                <w:lang w:eastAsia="zh-CN"/>
              </w:rPr>
            </w:pPr>
            <w:r w:rsidRPr="000A0A5F">
              <w:rPr>
                <w:lang w:eastAsia="zh-CN"/>
              </w:rPr>
              <w:t xml:space="preserve">Identifies the </w:t>
            </w:r>
            <w:r w:rsidR="00590167" w:rsidRPr="000A0A5F">
              <w:rPr>
                <w:lang w:eastAsia="zh-CN"/>
              </w:rPr>
              <w:t xml:space="preserve">affected </w:t>
            </w:r>
            <w:r w:rsidRPr="000A0A5F">
              <w:rPr>
                <w:lang w:eastAsia="zh-CN"/>
              </w:rPr>
              <w:t>flows that were sent during event subscription</w:t>
            </w:r>
            <w:r w:rsidR="00590167" w:rsidRPr="000A0A5F">
              <w:rPr>
                <w:lang w:eastAsia="zh-CN"/>
              </w:rPr>
              <w:t>. It may be omitted when the reported event applies to all the flows sent during the subscription.</w:t>
            </w:r>
          </w:p>
          <w:p w:rsidR="00CB0DD7" w:rsidRPr="000A0A5F" w:rsidRDefault="005B705B" w:rsidP="005B705B">
            <w:pPr>
              <w:pStyle w:val="TAL"/>
              <w:rPr>
                <w:rFonts w:hint="eastAsia"/>
                <w:lang w:eastAsia="zh-CN"/>
              </w:rPr>
            </w:pPr>
            <w:r w:rsidRPr="000A0A5F">
              <w:rPr>
                <w:lang w:eastAsia="zh-CN"/>
              </w:rPr>
              <w:t>(NOTE</w:t>
            </w:r>
            <w:r w:rsidRPr="000A0A5F">
              <w:rPr>
                <w:lang w:val="en-US" w:eastAsia="zh-CN"/>
              </w:rPr>
              <w:t> </w:t>
            </w:r>
            <w:r w:rsidRPr="000A0A5F">
              <w:rPr>
                <w:lang w:eastAsia="zh-CN"/>
              </w:rPr>
              <w:t>2)</w:t>
            </w:r>
          </w:p>
        </w:tc>
        <w:tc>
          <w:tcPr>
            <w:tcW w:w="646" w:type="pct"/>
          </w:tcPr>
          <w:p w:rsidR="00CB0DD7" w:rsidRPr="000A0A5F" w:rsidRDefault="00CB0DD7">
            <w:pPr>
              <w:pStyle w:val="TAL"/>
              <w:rPr>
                <w:lang w:eastAsia="zh-CN"/>
              </w:rPr>
            </w:pPr>
          </w:p>
        </w:tc>
      </w:tr>
      <w:tr w:rsidR="005B705B" w:rsidRPr="000A0A5F" w:rsidTr="00D57F67">
        <w:tc>
          <w:tcPr>
            <w:tcW w:w="934" w:type="pct"/>
            <w:shd w:val="clear" w:color="auto" w:fill="auto"/>
            <w:tcMar>
              <w:top w:w="0" w:type="dxa"/>
              <w:left w:w="108" w:type="dxa"/>
              <w:bottom w:w="0" w:type="dxa"/>
              <w:right w:w="108" w:type="dxa"/>
            </w:tcMar>
          </w:tcPr>
          <w:p w:rsidR="005B705B" w:rsidRPr="000A0A5F" w:rsidRDefault="005B705B" w:rsidP="005B705B">
            <w:pPr>
              <w:pStyle w:val="TAL"/>
              <w:rPr>
                <w:rFonts w:hint="eastAsia"/>
                <w:lang w:eastAsia="zh-CN"/>
              </w:rPr>
            </w:pPr>
            <w:r w:rsidRPr="000A0A5F">
              <w:rPr>
                <w:lang w:eastAsia="zh-CN"/>
              </w:rPr>
              <w:t>multiModFlows</w:t>
            </w:r>
          </w:p>
        </w:tc>
        <w:tc>
          <w:tcPr>
            <w:tcW w:w="879" w:type="pct"/>
            <w:shd w:val="clear" w:color="auto" w:fill="auto"/>
            <w:tcMar>
              <w:top w:w="0" w:type="dxa"/>
              <w:left w:w="108" w:type="dxa"/>
              <w:bottom w:w="0" w:type="dxa"/>
              <w:right w:w="108" w:type="dxa"/>
            </w:tcMar>
          </w:tcPr>
          <w:p w:rsidR="005B705B" w:rsidRPr="000A0A5F" w:rsidRDefault="005B705B" w:rsidP="005B705B">
            <w:pPr>
              <w:pStyle w:val="TAL"/>
              <w:rPr>
                <w:lang w:eastAsia="zh-CN"/>
              </w:rPr>
            </w:pPr>
            <w:r w:rsidRPr="000A0A5F">
              <w:rPr>
                <w:lang w:eastAsia="zh-CN"/>
              </w:rPr>
              <w:t>array(MultiModalFlows)</w:t>
            </w:r>
          </w:p>
        </w:tc>
        <w:tc>
          <w:tcPr>
            <w:tcW w:w="600" w:type="pct"/>
            <w:shd w:val="clear" w:color="auto" w:fill="auto"/>
            <w:tcMar>
              <w:top w:w="0" w:type="dxa"/>
              <w:left w:w="108" w:type="dxa"/>
              <w:bottom w:w="0" w:type="dxa"/>
              <w:right w:w="108" w:type="dxa"/>
            </w:tcMar>
          </w:tcPr>
          <w:p w:rsidR="005B705B" w:rsidRPr="000A0A5F" w:rsidRDefault="005B705B" w:rsidP="005B705B">
            <w:pPr>
              <w:pStyle w:val="TAL"/>
              <w:rPr>
                <w:rFonts w:hint="eastAsia"/>
                <w:lang w:eastAsia="zh-CN"/>
              </w:rPr>
            </w:pPr>
            <w:r w:rsidRPr="000A0A5F">
              <w:rPr>
                <w:lang w:eastAsia="zh-CN"/>
              </w:rPr>
              <w:t>0..N</w:t>
            </w:r>
          </w:p>
        </w:tc>
        <w:tc>
          <w:tcPr>
            <w:tcW w:w="1941" w:type="pct"/>
            <w:shd w:val="clear" w:color="auto" w:fill="auto"/>
            <w:tcMar>
              <w:top w:w="0" w:type="dxa"/>
              <w:left w:w="108" w:type="dxa"/>
              <w:bottom w:w="0" w:type="dxa"/>
              <w:right w:w="108" w:type="dxa"/>
            </w:tcMar>
          </w:tcPr>
          <w:p w:rsidR="00090953" w:rsidRDefault="00090953" w:rsidP="00090953">
            <w:pPr>
              <w:pStyle w:val="TAL"/>
              <w:rPr>
                <w:lang w:eastAsia="zh-CN"/>
              </w:rPr>
            </w:pPr>
            <w:r>
              <w:rPr>
                <w:lang w:eastAsia="zh-CN"/>
              </w:rPr>
              <w:t>Each element of the array identifies the flow filters for the multi-modal data flows that were sent during event subscription and that are affected by the reported event. It may be omitted when the reported event applies to all the multi-modal data flows sent during the subscription.</w:t>
            </w:r>
          </w:p>
          <w:p w:rsidR="005B705B" w:rsidRPr="000A0A5F" w:rsidRDefault="00090953" w:rsidP="00090953">
            <w:pPr>
              <w:pStyle w:val="TAL"/>
              <w:rPr>
                <w:lang w:eastAsia="zh-CN"/>
              </w:rPr>
            </w:pPr>
            <w:r>
              <w:rPr>
                <w:lang w:eastAsia="zh-CN"/>
              </w:rPr>
              <w:t>(NOTE</w:t>
            </w:r>
            <w:r>
              <w:t> </w:t>
            </w:r>
            <w:r>
              <w:rPr>
                <w:lang w:eastAsia="zh-CN"/>
              </w:rPr>
              <w:t>2)</w:t>
            </w:r>
          </w:p>
        </w:tc>
        <w:tc>
          <w:tcPr>
            <w:tcW w:w="646" w:type="pct"/>
          </w:tcPr>
          <w:p w:rsidR="005B705B" w:rsidRPr="000A0A5F" w:rsidRDefault="00A60F32" w:rsidP="005B705B">
            <w:pPr>
              <w:pStyle w:val="TAL"/>
              <w:rPr>
                <w:lang w:eastAsia="zh-CN"/>
              </w:rPr>
            </w:pPr>
            <w:r w:rsidRPr="000A0A5F">
              <w:rPr>
                <w:rFonts w:cs="Arial"/>
                <w:szCs w:val="18"/>
              </w:rPr>
              <w:t>MultiMedia</w:t>
            </w:r>
          </w:p>
        </w:tc>
      </w:tr>
      <w:tr w:rsidR="005B705B" w:rsidRPr="000A0A5F" w:rsidTr="00D57F67">
        <w:tc>
          <w:tcPr>
            <w:tcW w:w="934" w:type="pct"/>
            <w:shd w:val="clear" w:color="auto" w:fill="auto"/>
            <w:tcMar>
              <w:top w:w="0" w:type="dxa"/>
              <w:left w:w="108" w:type="dxa"/>
              <w:bottom w:w="0" w:type="dxa"/>
              <w:right w:w="108" w:type="dxa"/>
            </w:tcMar>
          </w:tcPr>
          <w:p w:rsidR="005B705B" w:rsidRPr="000A0A5F" w:rsidRDefault="005B705B" w:rsidP="005B705B">
            <w:pPr>
              <w:pStyle w:val="TAL"/>
              <w:rPr>
                <w:rFonts w:hint="eastAsia"/>
                <w:lang w:eastAsia="zh-CN"/>
              </w:rPr>
            </w:pPr>
            <w:r w:rsidRPr="000A0A5F">
              <w:rPr>
                <w:lang w:eastAsia="zh-CN"/>
              </w:rPr>
              <w:t>appliedQosRef</w:t>
            </w:r>
          </w:p>
        </w:tc>
        <w:tc>
          <w:tcPr>
            <w:tcW w:w="879" w:type="pct"/>
            <w:shd w:val="clear" w:color="auto" w:fill="auto"/>
            <w:tcMar>
              <w:top w:w="0" w:type="dxa"/>
              <w:left w:w="108" w:type="dxa"/>
              <w:bottom w:w="0" w:type="dxa"/>
              <w:right w:w="108" w:type="dxa"/>
            </w:tcMar>
          </w:tcPr>
          <w:p w:rsidR="005B705B" w:rsidRPr="000A0A5F" w:rsidRDefault="005B705B" w:rsidP="005B705B">
            <w:pPr>
              <w:pStyle w:val="TAL"/>
              <w:rPr>
                <w:lang w:eastAsia="zh-CN"/>
              </w:rPr>
            </w:pPr>
            <w:r w:rsidRPr="000A0A5F">
              <w:rPr>
                <w:lang w:eastAsia="zh-CN"/>
              </w:rPr>
              <w:t>string</w:t>
            </w:r>
          </w:p>
        </w:tc>
        <w:tc>
          <w:tcPr>
            <w:tcW w:w="600" w:type="pct"/>
            <w:shd w:val="clear" w:color="auto" w:fill="auto"/>
            <w:tcMar>
              <w:top w:w="0" w:type="dxa"/>
              <w:left w:w="108" w:type="dxa"/>
              <w:bottom w:w="0" w:type="dxa"/>
              <w:right w:w="108" w:type="dxa"/>
            </w:tcMar>
          </w:tcPr>
          <w:p w:rsidR="005B705B" w:rsidRPr="000A0A5F" w:rsidRDefault="005B705B" w:rsidP="005B705B">
            <w:pPr>
              <w:pStyle w:val="TAL"/>
              <w:rPr>
                <w:rFonts w:hint="eastAsia"/>
                <w:lang w:eastAsia="zh-CN"/>
              </w:rPr>
            </w:pPr>
            <w:r w:rsidRPr="000A0A5F">
              <w:rPr>
                <w:lang w:eastAsia="zh-CN"/>
              </w:rPr>
              <w:t>0..1</w:t>
            </w:r>
          </w:p>
        </w:tc>
        <w:tc>
          <w:tcPr>
            <w:tcW w:w="1941" w:type="pct"/>
            <w:shd w:val="clear" w:color="auto" w:fill="auto"/>
            <w:tcMar>
              <w:top w:w="0" w:type="dxa"/>
              <w:left w:w="108" w:type="dxa"/>
              <w:bottom w:w="0" w:type="dxa"/>
              <w:right w:w="108" w:type="dxa"/>
            </w:tcMar>
          </w:tcPr>
          <w:p w:rsidR="005B705B" w:rsidRPr="000A0A5F" w:rsidRDefault="005B705B" w:rsidP="005B705B">
            <w:pPr>
              <w:pStyle w:val="TAL"/>
            </w:pPr>
            <w:r w:rsidRPr="000A0A5F">
              <w:rPr>
                <w:lang w:eastAsia="zh-CN"/>
              </w:rPr>
              <w:t xml:space="preserve">The currently applied QoS reference (or applied </w:t>
            </w:r>
            <w:r w:rsidRPr="000A0A5F">
              <w:rPr>
                <w:lang w:eastAsia="fr-FR"/>
              </w:rPr>
              <w:t xml:space="preserve">individual QoS parameter </w:t>
            </w:r>
            <w:r w:rsidRPr="000A0A5F">
              <w:rPr>
                <w:rFonts w:eastAsia="Times New Roman"/>
                <w:lang w:val="en-US"/>
              </w:rPr>
              <w:t>set, if</w:t>
            </w:r>
            <w:r w:rsidRPr="000A0A5F">
              <w:rPr>
                <w:rFonts w:cs="Arial"/>
              </w:rPr>
              <w:t xml:space="preserve"> AltQosWithIndParams_5G is supported)</w:t>
            </w:r>
            <w:r w:rsidRPr="000A0A5F">
              <w:rPr>
                <w:lang w:eastAsia="zh-CN"/>
              </w:rPr>
              <w:t>. Applicable for event</w:t>
            </w:r>
            <w:r w:rsidRPr="000A0A5F">
              <w:t xml:space="preserve"> QOS_NOT_GUARANTEED or SUCCESSFUL_RESOURCES_ALLOCATION.</w:t>
            </w:r>
          </w:p>
          <w:p w:rsidR="005B705B" w:rsidRPr="000A0A5F" w:rsidRDefault="005B705B" w:rsidP="005B705B">
            <w:pPr>
              <w:pStyle w:val="TAL"/>
            </w:pPr>
            <w:r w:rsidRPr="000A0A5F">
              <w:t>When it is omitted and the "event" attribute is QOS_NOT_GUARANTEED, the event report indicates that the lowest priority alternative QoS profile could not be fulfilled either.</w:t>
            </w:r>
          </w:p>
        </w:tc>
        <w:tc>
          <w:tcPr>
            <w:tcW w:w="646" w:type="pct"/>
          </w:tcPr>
          <w:p w:rsidR="005B705B" w:rsidRPr="000A0A5F" w:rsidRDefault="005B705B" w:rsidP="005B705B">
            <w:pPr>
              <w:pStyle w:val="TAL"/>
              <w:rPr>
                <w:lang w:eastAsia="zh-CN"/>
              </w:rPr>
            </w:pPr>
            <w:r w:rsidRPr="000A0A5F">
              <w:rPr>
                <w:rFonts w:eastAsia="Times New Roman"/>
              </w:rPr>
              <w:t xml:space="preserve">AlternativeQoS_5G, </w:t>
            </w:r>
            <w:r w:rsidRPr="000A0A5F">
              <w:rPr>
                <w:rFonts w:cs="Arial"/>
              </w:rPr>
              <w:t>AltQosWithIndParams_5G</w:t>
            </w:r>
          </w:p>
        </w:tc>
      </w:tr>
      <w:tr w:rsidR="005B705B" w:rsidRPr="000A0A5F" w:rsidTr="00D57F67">
        <w:tc>
          <w:tcPr>
            <w:tcW w:w="934" w:type="pct"/>
            <w:shd w:val="clear" w:color="auto" w:fill="auto"/>
            <w:tcMar>
              <w:top w:w="0" w:type="dxa"/>
              <w:left w:w="108" w:type="dxa"/>
              <w:bottom w:w="0" w:type="dxa"/>
              <w:right w:w="108" w:type="dxa"/>
            </w:tcMar>
          </w:tcPr>
          <w:p w:rsidR="005B705B" w:rsidRPr="000A0A5F" w:rsidRDefault="005B705B" w:rsidP="005B705B">
            <w:pPr>
              <w:pStyle w:val="TAL"/>
              <w:rPr>
                <w:lang w:eastAsia="zh-CN"/>
              </w:rPr>
            </w:pPr>
            <w:r w:rsidRPr="000A0A5F">
              <w:t>altQosNotSuppInd</w:t>
            </w:r>
          </w:p>
        </w:tc>
        <w:tc>
          <w:tcPr>
            <w:tcW w:w="879" w:type="pct"/>
            <w:shd w:val="clear" w:color="auto" w:fill="auto"/>
            <w:tcMar>
              <w:top w:w="0" w:type="dxa"/>
              <w:left w:w="108" w:type="dxa"/>
              <w:bottom w:w="0" w:type="dxa"/>
              <w:right w:w="108" w:type="dxa"/>
            </w:tcMar>
          </w:tcPr>
          <w:p w:rsidR="005B705B" w:rsidRPr="000A0A5F" w:rsidRDefault="005B705B" w:rsidP="005B705B">
            <w:pPr>
              <w:pStyle w:val="TAL"/>
              <w:rPr>
                <w:lang w:eastAsia="zh-CN"/>
              </w:rPr>
            </w:pPr>
            <w:r w:rsidRPr="000A0A5F">
              <w:rPr>
                <w:lang w:eastAsia="zh-CN"/>
              </w:rPr>
              <w:t>boolean</w:t>
            </w:r>
          </w:p>
        </w:tc>
        <w:tc>
          <w:tcPr>
            <w:tcW w:w="600" w:type="pct"/>
            <w:shd w:val="clear" w:color="auto" w:fill="auto"/>
            <w:tcMar>
              <w:top w:w="0" w:type="dxa"/>
              <w:left w:w="108" w:type="dxa"/>
              <w:bottom w:w="0" w:type="dxa"/>
              <w:right w:w="108" w:type="dxa"/>
            </w:tcMar>
          </w:tcPr>
          <w:p w:rsidR="005B705B" w:rsidRPr="000A0A5F" w:rsidRDefault="005B705B" w:rsidP="005B705B">
            <w:pPr>
              <w:pStyle w:val="TAL"/>
              <w:rPr>
                <w:lang w:eastAsia="zh-CN"/>
              </w:rPr>
            </w:pPr>
            <w:r w:rsidRPr="000A0A5F">
              <w:rPr>
                <w:lang w:eastAsia="zh-CN"/>
              </w:rPr>
              <w:t>0..1</w:t>
            </w:r>
          </w:p>
        </w:tc>
        <w:tc>
          <w:tcPr>
            <w:tcW w:w="1941" w:type="pct"/>
            <w:shd w:val="clear" w:color="auto" w:fill="auto"/>
            <w:tcMar>
              <w:top w:w="0" w:type="dxa"/>
              <w:left w:w="108" w:type="dxa"/>
              <w:bottom w:w="0" w:type="dxa"/>
              <w:right w:w="108" w:type="dxa"/>
            </w:tcMar>
          </w:tcPr>
          <w:p w:rsidR="005B705B" w:rsidRPr="000A0A5F" w:rsidRDefault="005B705B" w:rsidP="005B705B">
            <w:pPr>
              <w:pStyle w:val="TAL"/>
              <w:rPr>
                <w:lang w:eastAsia="zh-CN"/>
              </w:rPr>
            </w:pPr>
            <w:r w:rsidRPr="000A0A5F">
              <w:t>It may be set to true when the "event" attribute is QOS_NOT_GUARANTEED to indicate that alternative service requirements are not supported by the access network. The default value false shall apply if the attribute is not present.</w:t>
            </w:r>
          </w:p>
        </w:tc>
        <w:tc>
          <w:tcPr>
            <w:tcW w:w="646" w:type="pct"/>
          </w:tcPr>
          <w:p w:rsidR="005B705B" w:rsidRPr="000A0A5F" w:rsidRDefault="005B705B" w:rsidP="005B705B">
            <w:pPr>
              <w:pStyle w:val="TAL"/>
            </w:pPr>
            <w:r w:rsidRPr="000A0A5F">
              <w:rPr>
                <w:lang w:eastAsia="zh-CN"/>
              </w:rPr>
              <w:t>AltQoSProfiles</w:t>
            </w:r>
            <w:r w:rsidRPr="000A0A5F">
              <w:t>SupportReport</w:t>
            </w:r>
          </w:p>
          <w:p w:rsidR="005B705B" w:rsidRPr="000A0A5F" w:rsidRDefault="005B705B" w:rsidP="005B705B">
            <w:pPr>
              <w:pStyle w:val="TAL"/>
              <w:rPr>
                <w:rFonts w:eastAsia="Times New Roman"/>
              </w:rPr>
            </w:pPr>
          </w:p>
        </w:tc>
      </w:tr>
      <w:tr w:rsidR="005B705B" w:rsidRPr="000A0A5F" w:rsidTr="00D57F67">
        <w:tc>
          <w:tcPr>
            <w:tcW w:w="934" w:type="pct"/>
            <w:shd w:val="clear" w:color="auto" w:fill="auto"/>
            <w:tcMar>
              <w:top w:w="0" w:type="dxa"/>
              <w:left w:w="108" w:type="dxa"/>
              <w:bottom w:w="0" w:type="dxa"/>
              <w:right w:w="108" w:type="dxa"/>
            </w:tcMar>
          </w:tcPr>
          <w:p w:rsidR="005B705B" w:rsidRPr="000A0A5F" w:rsidRDefault="005B705B" w:rsidP="005B705B">
            <w:pPr>
              <w:pStyle w:val="TAL"/>
              <w:rPr>
                <w:lang w:eastAsia="zh-CN"/>
              </w:rPr>
            </w:pPr>
            <w:r w:rsidRPr="000A0A5F">
              <w:rPr>
                <w:lang w:eastAsia="zh-CN"/>
              </w:rPr>
              <w:t>plmnId</w:t>
            </w:r>
          </w:p>
        </w:tc>
        <w:tc>
          <w:tcPr>
            <w:tcW w:w="879" w:type="pct"/>
            <w:shd w:val="clear" w:color="auto" w:fill="auto"/>
            <w:tcMar>
              <w:top w:w="0" w:type="dxa"/>
              <w:left w:w="108" w:type="dxa"/>
              <w:bottom w:w="0" w:type="dxa"/>
              <w:right w:w="108" w:type="dxa"/>
            </w:tcMar>
          </w:tcPr>
          <w:p w:rsidR="005B705B" w:rsidRPr="000A0A5F" w:rsidRDefault="005B705B" w:rsidP="005B705B">
            <w:pPr>
              <w:pStyle w:val="TAL"/>
              <w:rPr>
                <w:lang w:eastAsia="zh-CN"/>
              </w:rPr>
            </w:pPr>
            <w:r w:rsidRPr="000A0A5F">
              <w:rPr>
                <w:lang w:eastAsia="zh-CN"/>
              </w:rPr>
              <w:t>PlmnIdNid</w:t>
            </w:r>
          </w:p>
        </w:tc>
        <w:tc>
          <w:tcPr>
            <w:tcW w:w="600" w:type="pct"/>
            <w:shd w:val="clear" w:color="auto" w:fill="auto"/>
            <w:tcMar>
              <w:top w:w="0" w:type="dxa"/>
              <w:left w:w="108" w:type="dxa"/>
              <w:bottom w:w="0" w:type="dxa"/>
              <w:right w:w="108" w:type="dxa"/>
            </w:tcMar>
          </w:tcPr>
          <w:p w:rsidR="005B705B" w:rsidRPr="000A0A5F" w:rsidRDefault="005B705B" w:rsidP="005B705B">
            <w:pPr>
              <w:pStyle w:val="TAL"/>
              <w:rPr>
                <w:lang w:eastAsia="zh-CN"/>
              </w:rPr>
            </w:pPr>
            <w:r w:rsidRPr="000A0A5F">
              <w:rPr>
                <w:lang w:eastAsia="zh-CN"/>
              </w:rPr>
              <w:t>0..1</w:t>
            </w:r>
          </w:p>
        </w:tc>
        <w:tc>
          <w:tcPr>
            <w:tcW w:w="1941" w:type="pct"/>
            <w:shd w:val="clear" w:color="auto" w:fill="auto"/>
            <w:tcMar>
              <w:top w:w="0" w:type="dxa"/>
              <w:left w:w="108" w:type="dxa"/>
              <w:bottom w:w="0" w:type="dxa"/>
              <w:right w:w="108" w:type="dxa"/>
            </w:tcMar>
          </w:tcPr>
          <w:p w:rsidR="005B705B" w:rsidRPr="000A0A5F" w:rsidRDefault="005B705B" w:rsidP="005B705B">
            <w:pPr>
              <w:pStyle w:val="TAL"/>
              <w:rPr>
                <w:lang w:eastAsia="zh-CN"/>
              </w:rPr>
            </w:pPr>
            <w:r w:rsidRPr="000A0A5F">
              <w:rPr>
                <w:lang w:eastAsia="zh-CN"/>
              </w:rPr>
              <w:t>PLMN Identifier or the SNPN Identifier.</w:t>
            </w:r>
          </w:p>
          <w:p w:rsidR="005B705B" w:rsidRPr="000A0A5F" w:rsidRDefault="005B705B" w:rsidP="005B705B">
            <w:pPr>
              <w:pStyle w:val="TAL"/>
              <w:rPr>
                <w:lang w:eastAsia="zh-CN"/>
              </w:rPr>
            </w:pPr>
            <w:r w:rsidRPr="000A0A5F">
              <w:rPr>
                <w:lang w:eastAsia="zh-CN"/>
              </w:rPr>
              <w:t>It may be present when the reported event is "PLMN_CHG" and which is allowed to be exposured to the AF based on the local policy or local configuration.</w:t>
            </w:r>
          </w:p>
        </w:tc>
        <w:tc>
          <w:tcPr>
            <w:tcW w:w="646" w:type="pct"/>
          </w:tcPr>
          <w:p w:rsidR="005B705B" w:rsidRPr="000A0A5F" w:rsidRDefault="005B705B" w:rsidP="005B705B">
            <w:pPr>
              <w:pStyle w:val="TAL"/>
              <w:rPr>
                <w:rFonts w:eastAsia="Times New Roman"/>
              </w:rPr>
            </w:pPr>
            <w:r w:rsidRPr="000A0A5F">
              <w:rPr>
                <w:rFonts w:eastAsia="Times New Roman"/>
              </w:rPr>
              <w:t>enNB_5G</w:t>
            </w:r>
          </w:p>
        </w:tc>
      </w:tr>
      <w:tr w:rsidR="005B705B" w:rsidRPr="000A0A5F" w:rsidTr="00D57F67">
        <w:tc>
          <w:tcPr>
            <w:tcW w:w="934" w:type="pct"/>
            <w:shd w:val="clear" w:color="auto" w:fill="auto"/>
            <w:tcMar>
              <w:top w:w="0" w:type="dxa"/>
              <w:left w:w="108" w:type="dxa"/>
              <w:bottom w:w="0" w:type="dxa"/>
              <w:right w:w="108" w:type="dxa"/>
            </w:tcMar>
          </w:tcPr>
          <w:p w:rsidR="005B705B" w:rsidRPr="000A0A5F" w:rsidRDefault="005B705B" w:rsidP="005B705B">
            <w:pPr>
              <w:pStyle w:val="TAL"/>
              <w:rPr>
                <w:lang w:eastAsia="zh-CN"/>
              </w:rPr>
            </w:pPr>
            <w:r w:rsidRPr="000A0A5F">
              <w:rPr>
                <w:lang w:eastAsia="zh-CN"/>
              </w:rPr>
              <w:t>qosMonReports</w:t>
            </w:r>
          </w:p>
        </w:tc>
        <w:tc>
          <w:tcPr>
            <w:tcW w:w="879" w:type="pct"/>
            <w:shd w:val="clear" w:color="auto" w:fill="auto"/>
            <w:tcMar>
              <w:top w:w="0" w:type="dxa"/>
              <w:left w:w="108" w:type="dxa"/>
              <w:bottom w:w="0" w:type="dxa"/>
              <w:right w:w="108" w:type="dxa"/>
            </w:tcMar>
          </w:tcPr>
          <w:p w:rsidR="005B705B" w:rsidRPr="000A0A5F" w:rsidRDefault="005B705B" w:rsidP="005B705B">
            <w:pPr>
              <w:pStyle w:val="TAL"/>
              <w:rPr>
                <w:lang w:eastAsia="zh-CN"/>
              </w:rPr>
            </w:pPr>
            <w:r w:rsidRPr="000A0A5F">
              <w:rPr>
                <w:lang w:eastAsia="zh-CN"/>
              </w:rPr>
              <w:t>array(QosMonitoringReport)</w:t>
            </w:r>
          </w:p>
        </w:tc>
        <w:tc>
          <w:tcPr>
            <w:tcW w:w="600" w:type="pct"/>
            <w:shd w:val="clear" w:color="auto" w:fill="auto"/>
            <w:tcMar>
              <w:top w:w="0" w:type="dxa"/>
              <w:left w:w="108" w:type="dxa"/>
              <w:bottom w:w="0" w:type="dxa"/>
              <w:right w:w="108" w:type="dxa"/>
            </w:tcMar>
          </w:tcPr>
          <w:p w:rsidR="005B705B" w:rsidRPr="000A0A5F" w:rsidRDefault="005B705B" w:rsidP="005B705B">
            <w:pPr>
              <w:pStyle w:val="TAL"/>
              <w:rPr>
                <w:lang w:eastAsia="zh-CN"/>
              </w:rPr>
            </w:pPr>
            <w:r w:rsidRPr="000A0A5F">
              <w:rPr>
                <w:lang w:eastAsia="zh-CN"/>
              </w:rPr>
              <w:t>0..N</w:t>
            </w:r>
          </w:p>
        </w:tc>
        <w:tc>
          <w:tcPr>
            <w:tcW w:w="1941" w:type="pct"/>
            <w:shd w:val="clear" w:color="auto" w:fill="auto"/>
            <w:tcMar>
              <w:top w:w="0" w:type="dxa"/>
              <w:left w:w="108" w:type="dxa"/>
              <w:bottom w:w="0" w:type="dxa"/>
              <w:right w:w="108" w:type="dxa"/>
            </w:tcMar>
          </w:tcPr>
          <w:p w:rsidR="005B705B" w:rsidRPr="000A0A5F" w:rsidRDefault="005B705B" w:rsidP="005B705B">
            <w:pPr>
              <w:pStyle w:val="TAL"/>
              <w:rPr>
                <w:lang w:eastAsia="zh-CN"/>
              </w:rPr>
            </w:pPr>
            <w:r w:rsidRPr="000A0A5F">
              <w:rPr>
                <w:lang w:eastAsia="zh-CN"/>
              </w:rPr>
              <w:t>Contains the QoS Monitoring Reporting information.</w:t>
            </w:r>
          </w:p>
        </w:tc>
        <w:tc>
          <w:tcPr>
            <w:tcW w:w="646" w:type="pct"/>
          </w:tcPr>
          <w:p w:rsidR="005B705B" w:rsidRPr="000A0A5F" w:rsidRDefault="005B705B" w:rsidP="005B705B">
            <w:pPr>
              <w:pStyle w:val="TAL"/>
              <w:rPr>
                <w:rFonts w:eastAsia="Times New Roman"/>
              </w:rPr>
            </w:pPr>
            <w:r w:rsidRPr="000A0A5F">
              <w:rPr>
                <w:rFonts w:cs="Arial"/>
                <w:szCs w:val="18"/>
              </w:rPr>
              <w:t>QoSMonitoring_5G</w:t>
            </w:r>
          </w:p>
        </w:tc>
      </w:tr>
      <w:tr w:rsidR="00201D52" w:rsidRPr="000A0A5F" w:rsidTr="00D57F67">
        <w:tc>
          <w:tcPr>
            <w:tcW w:w="934" w:type="pct"/>
            <w:shd w:val="clear" w:color="auto" w:fill="auto"/>
            <w:tcMar>
              <w:top w:w="0" w:type="dxa"/>
              <w:left w:w="108" w:type="dxa"/>
              <w:bottom w:w="0" w:type="dxa"/>
              <w:right w:w="108" w:type="dxa"/>
            </w:tcMar>
          </w:tcPr>
          <w:p w:rsidR="00201D52" w:rsidRPr="000A0A5F" w:rsidRDefault="00201D52" w:rsidP="00201D52">
            <w:pPr>
              <w:pStyle w:val="TAL"/>
              <w:rPr>
                <w:lang w:eastAsia="zh-CN"/>
              </w:rPr>
            </w:pPr>
            <w:r w:rsidRPr="000A0A5F">
              <w:rPr>
                <w:rFonts w:hint="eastAsia"/>
                <w:lang w:val="en-US" w:eastAsia="zh-CN"/>
              </w:rPr>
              <w:t>pdv</w:t>
            </w:r>
            <w:r w:rsidRPr="000A0A5F">
              <w:rPr>
                <w:lang w:eastAsia="zh-CN"/>
              </w:rPr>
              <w:t>MonReports</w:t>
            </w:r>
          </w:p>
        </w:tc>
        <w:tc>
          <w:tcPr>
            <w:tcW w:w="879" w:type="pct"/>
            <w:shd w:val="clear" w:color="auto" w:fill="auto"/>
            <w:tcMar>
              <w:top w:w="0" w:type="dxa"/>
              <w:left w:w="108" w:type="dxa"/>
              <w:bottom w:w="0" w:type="dxa"/>
              <w:right w:w="108" w:type="dxa"/>
            </w:tcMar>
          </w:tcPr>
          <w:p w:rsidR="00201D52" w:rsidRPr="000A0A5F" w:rsidRDefault="00201D52" w:rsidP="00201D52">
            <w:pPr>
              <w:pStyle w:val="TAL"/>
              <w:rPr>
                <w:lang w:eastAsia="zh-CN"/>
              </w:rPr>
            </w:pPr>
            <w:r w:rsidRPr="000A0A5F">
              <w:rPr>
                <w:lang w:eastAsia="zh-CN"/>
              </w:rPr>
              <w:t>array(</w:t>
            </w:r>
            <w:r w:rsidRPr="000A0A5F">
              <w:rPr>
                <w:rFonts w:hint="eastAsia"/>
                <w:lang w:val="en-US" w:eastAsia="zh-CN"/>
              </w:rPr>
              <w:t>Pdv</w:t>
            </w:r>
            <w:r w:rsidRPr="000A0A5F">
              <w:rPr>
                <w:lang w:eastAsia="zh-CN"/>
              </w:rPr>
              <w:t>MonitoringReport)</w:t>
            </w:r>
          </w:p>
        </w:tc>
        <w:tc>
          <w:tcPr>
            <w:tcW w:w="600" w:type="pct"/>
            <w:shd w:val="clear" w:color="auto" w:fill="auto"/>
            <w:tcMar>
              <w:top w:w="0" w:type="dxa"/>
              <w:left w:w="108" w:type="dxa"/>
              <w:bottom w:w="0" w:type="dxa"/>
              <w:right w:w="108" w:type="dxa"/>
            </w:tcMar>
          </w:tcPr>
          <w:p w:rsidR="00201D52" w:rsidRPr="000A0A5F" w:rsidRDefault="00201D52" w:rsidP="00201D52">
            <w:pPr>
              <w:pStyle w:val="TAL"/>
              <w:rPr>
                <w:lang w:eastAsia="zh-CN"/>
              </w:rPr>
            </w:pPr>
            <w:r w:rsidRPr="000A0A5F">
              <w:rPr>
                <w:lang w:eastAsia="zh-CN"/>
              </w:rPr>
              <w:t>0..N</w:t>
            </w:r>
          </w:p>
        </w:tc>
        <w:tc>
          <w:tcPr>
            <w:tcW w:w="1941" w:type="pct"/>
            <w:shd w:val="clear" w:color="auto" w:fill="auto"/>
            <w:tcMar>
              <w:top w:w="0" w:type="dxa"/>
              <w:left w:w="108" w:type="dxa"/>
              <w:bottom w:w="0" w:type="dxa"/>
              <w:right w:w="108" w:type="dxa"/>
            </w:tcMar>
          </w:tcPr>
          <w:p w:rsidR="00201D52" w:rsidRPr="000A0A5F" w:rsidRDefault="00201D52" w:rsidP="00201D52">
            <w:pPr>
              <w:pStyle w:val="TAL"/>
              <w:rPr>
                <w:lang w:eastAsia="zh-CN"/>
              </w:rPr>
            </w:pPr>
            <w:r w:rsidRPr="000A0A5F">
              <w:rPr>
                <w:lang w:eastAsia="zh-CN"/>
              </w:rPr>
              <w:t xml:space="preserve">Contains the </w:t>
            </w:r>
            <w:r w:rsidRPr="000A0A5F">
              <w:rPr>
                <w:rFonts w:hint="eastAsia"/>
                <w:lang w:val="en-US" w:eastAsia="zh-CN"/>
              </w:rPr>
              <w:t>PDV</w:t>
            </w:r>
            <w:r w:rsidRPr="000A0A5F">
              <w:rPr>
                <w:lang w:eastAsia="zh-CN"/>
              </w:rPr>
              <w:t xml:space="preserve"> Monitoring Reporting information.</w:t>
            </w:r>
          </w:p>
          <w:p w:rsidR="00201D52" w:rsidRPr="000A0A5F" w:rsidRDefault="00201D52" w:rsidP="00201D52">
            <w:pPr>
              <w:pStyle w:val="TAL"/>
              <w:rPr>
                <w:lang w:eastAsia="zh-CN"/>
              </w:rPr>
            </w:pPr>
            <w:r w:rsidRPr="000A0A5F">
              <w:rPr>
                <w:lang w:eastAsia="zh-CN"/>
              </w:rPr>
              <w:t>(</w:t>
            </w:r>
            <w:r w:rsidRPr="000A0A5F">
              <w:t>NOTE 3</w:t>
            </w:r>
            <w:r w:rsidRPr="000A0A5F">
              <w:rPr>
                <w:lang w:eastAsia="zh-CN"/>
              </w:rPr>
              <w:t>)</w:t>
            </w:r>
          </w:p>
        </w:tc>
        <w:tc>
          <w:tcPr>
            <w:tcW w:w="646" w:type="pct"/>
          </w:tcPr>
          <w:p w:rsidR="00201D52" w:rsidRPr="000A0A5F" w:rsidRDefault="00201D52" w:rsidP="00201D52">
            <w:pPr>
              <w:pStyle w:val="TAL"/>
              <w:rPr>
                <w:rFonts w:cs="Arial"/>
                <w:szCs w:val="18"/>
              </w:rPr>
            </w:pPr>
            <w:r w:rsidRPr="000A0A5F">
              <w:rPr>
                <w:rFonts w:hint="eastAsia"/>
                <w:lang w:eastAsia="zh-CN"/>
              </w:rPr>
              <w:t>EnQoSMon</w:t>
            </w:r>
          </w:p>
        </w:tc>
      </w:tr>
      <w:tr w:rsidR="00201D52" w:rsidRPr="000A0A5F" w:rsidTr="00D57F67">
        <w:tc>
          <w:tcPr>
            <w:tcW w:w="934" w:type="pct"/>
            <w:shd w:val="clear" w:color="auto" w:fill="auto"/>
            <w:tcMar>
              <w:top w:w="0" w:type="dxa"/>
              <w:left w:w="108" w:type="dxa"/>
              <w:bottom w:w="0" w:type="dxa"/>
              <w:right w:w="108" w:type="dxa"/>
            </w:tcMar>
          </w:tcPr>
          <w:p w:rsidR="00201D52" w:rsidRPr="000A0A5F" w:rsidRDefault="00201D52" w:rsidP="00201D52">
            <w:pPr>
              <w:pStyle w:val="TAL"/>
              <w:rPr>
                <w:lang w:eastAsia="zh-CN"/>
              </w:rPr>
            </w:pPr>
            <w:r w:rsidRPr="000A0A5F">
              <w:rPr>
                <w:lang w:eastAsia="zh-CN"/>
              </w:rPr>
              <w:t>ratType</w:t>
            </w:r>
          </w:p>
        </w:tc>
        <w:tc>
          <w:tcPr>
            <w:tcW w:w="879" w:type="pct"/>
            <w:shd w:val="clear" w:color="auto" w:fill="auto"/>
            <w:tcMar>
              <w:top w:w="0" w:type="dxa"/>
              <w:left w:w="108" w:type="dxa"/>
              <w:bottom w:w="0" w:type="dxa"/>
              <w:right w:w="108" w:type="dxa"/>
            </w:tcMar>
          </w:tcPr>
          <w:p w:rsidR="00201D52" w:rsidRPr="000A0A5F" w:rsidRDefault="00201D52" w:rsidP="00201D52">
            <w:pPr>
              <w:pStyle w:val="TAL"/>
              <w:rPr>
                <w:lang w:eastAsia="zh-CN"/>
              </w:rPr>
            </w:pPr>
            <w:r w:rsidRPr="000A0A5F">
              <w:rPr>
                <w:lang w:eastAsia="zh-CN"/>
              </w:rPr>
              <w:t>RatType</w:t>
            </w:r>
          </w:p>
        </w:tc>
        <w:tc>
          <w:tcPr>
            <w:tcW w:w="600" w:type="pct"/>
            <w:shd w:val="clear" w:color="auto" w:fill="auto"/>
            <w:tcMar>
              <w:top w:w="0" w:type="dxa"/>
              <w:left w:w="108" w:type="dxa"/>
              <w:bottom w:w="0" w:type="dxa"/>
              <w:right w:w="108" w:type="dxa"/>
            </w:tcMar>
          </w:tcPr>
          <w:p w:rsidR="00201D52" w:rsidRPr="000A0A5F" w:rsidRDefault="00201D52" w:rsidP="00201D52">
            <w:pPr>
              <w:pStyle w:val="TAL"/>
              <w:rPr>
                <w:lang w:eastAsia="zh-CN"/>
              </w:rPr>
            </w:pPr>
            <w:r w:rsidRPr="000A0A5F">
              <w:rPr>
                <w:lang w:eastAsia="zh-CN"/>
              </w:rPr>
              <w:t>0..1</w:t>
            </w:r>
          </w:p>
        </w:tc>
        <w:tc>
          <w:tcPr>
            <w:tcW w:w="1941" w:type="pct"/>
            <w:shd w:val="clear" w:color="auto" w:fill="auto"/>
            <w:tcMar>
              <w:top w:w="0" w:type="dxa"/>
              <w:left w:w="108" w:type="dxa"/>
              <w:bottom w:w="0" w:type="dxa"/>
              <w:right w:w="108" w:type="dxa"/>
            </w:tcMar>
          </w:tcPr>
          <w:p w:rsidR="00201D52" w:rsidRPr="000A0A5F" w:rsidRDefault="00201D52" w:rsidP="00201D52">
            <w:pPr>
              <w:pStyle w:val="TAL"/>
              <w:rPr>
                <w:lang w:eastAsia="zh-CN"/>
              </w:rPr>
            </w:pPr>
            <w:r w:rsidRPr="000A0A5F">
              <w:rPr>
                <w:lang w:eastAsia="zh-CN"/>
              </w:rPr>
              <w:t>RAT type may be present if applicable, when the notified event is "ACCESS_TYPE_CHANGE" and which is allowed to be exposured to the AF based on the local policy or local configuration.</w:t>
            </w:r>
          </w:p>
        </w:tc>
        <w:tc>
          <w:tcPr>
            <w:tcW w:w="646" w:type="pct"/>
          </w:tcPr>
          <w:p w:rsidR="00201D52" w:rsidRPr="000A0A5F" w:rsidRDefault="00201D52" w:rsidP="00201D52">
            <w:pPr>
              <w:pStyle w:val="TAL"/>
              <w:rPr>
                <w:rFonts w:cs="Arial"/>
                <w:szCs w:val="18"/>
              </w:rPr>
            </w:pPr>
            <w:r w:rsidRPr="000A0A5F">
              <w:rPr>
                <w:rFonts w:cs="Arial"/>
                <w:szCs w:val="18"/>
              </w:rPr>
              <w:t>enNB_5G</w:t>
            </w:r>
          </w:p>
        </w:tc>
      </w:tr>
      <w:tr w:rsidR="00201D52" w:rsidRPr="000A0A5F" w:rsidTr="00D57F67">
        <w:tc>
          <w:tcPr>
            <w:tcW w:w="934" w:type="pct"/>
            <w:shd w:val="clear" w:color="auto" w:fill="auto"/>
            <w:tcMar>
              <w:top w:w="0" w:type="dxa"/>
              <w:left w:w="108" w:type="dxa"/>
              <w:bottom w:w="0" w:type="dxa"/>
              <w:right w:w="108" w:type="dxa"/>
            </w:tcMar>
          </w:tcPr>
          <w:p w:rsidR="00201D52" w:rsidRPr="000A0A5F" w:rsidRDefault="00201D52" w:rsidP="00201D52">
            <w:pPr>
              <w:pStyle w:val="TAL"/>
              <w:rPr>
                <w:lang w:eastAsia="zh-CN"/>
              </w:rPr>
            </w:pPr>
            <w:r w:rsidRPr="000A0A5F">
              <w:t>batOffsetInfo</w:t>
            </w:r>
          </w:p>
        </w:tc>
        <w:tc>
          <w:tcPr>
            <w:tcW w:w="879" w:type="pct"/>
            <w:shd w:val="clear" w:color="auto" w:fill="auto"/>
            <w:tcMar>
              <w:top w:w="0" w:type="dxa"/>
              <w:left w:w="108" w:type="dxa"/>
              <w:bottom w:w="0" w:type="dxa"/>
              <w:right w:w="108" w:type="dxa"/>
            </w:tcMar>
          </w:tcPr>
          <w:p w:rsidR="00201D52" w:rsidRPr="000A0A5F" w:rsidRDefault="00201D52" w:rsidP="00201D52">
            <w:pPr>
              <w:pStyle w:val="TAL"/>
              <w:rPr>
                <w:lang w:eastAsia="zh-CN"/>
              </w:rPr>
            </w:pPr>
            <w:r w:rsidRPr="000A0A5F">
              <w:rPr>
                <w:lang w:eastAsia="zh-CN"/>
              </w:rPr>
              <w:t>BatOffsetInfo</w:t>
            </w:r>
          </w:p>
        </w:tc>
        <w:tc>
          <w:tcPr>
            <w:tcW w:w="600" w:type="pct"/>
            <w:shd w:val="clear" w:color="auto" w:fill="auto"/>
            <w:tcMar>
              <w:top w:w="0" w:type="dxa"/>
              <w:left w:w="108" w:type="dxa"/>
              <w:bottom w:w="0" w:type="dxa"/>
              <w:right w:w="108" w:type="dxa"/>
            </w:tcMar>
          </w:tcPr>
          <w:p w:rsidR="00201D52" w:rsidRPr="000A0A5F" w:rsidRDefault="00201D52" w:rsidP="00201D52">
            <w:pPr>
              <w:pStyle w:val="TAL"/>
              <w:rPr>
                <w:lang w:eastAsia="zh-CN"/>
              </w:rPr>
            </w:pPr>
            <w:r w:rsidRPr="000A0A5F">
              <w:rPr>
                <w:lang w:eastAsia="zh-CN"/>
              </w:rPr>
              <w:t>0..1</w:t>
            </w:r>
          </w:p>
        </w:tc>
        <w:tc>
          <w:tcPr>
            <w:tcW w:w="1941" w:type="pct"/>
            <w:shd w:val="clear" w:color="auto" w:fill="auto"/>
            <w:tcMar>
              <w:top w:w="0" w:type="dxa"/>
              <w:left w:w="108" w:type="dxa"/>
              <w:bottom w:w="0" w:type="dxa"/>
              <w:right w:w="108" w:type="dxa"/>
            </w:tcMar>
          </w:tcPr>
          <w:p w:rsidR="00201D52" w:rsidRPr="000A0A5F" w:rsidRDefault="00201D52" w:rsidP="00201D52">
            <w:pPr>
              <w:pStyle w:val="TAL"/>
              <w:rPr>
                <w:lang w:eastAsia="zh-CN"/>
              </w:rPr>
            </w:pPr>
            <w:r w:rsidRPr="000A0A5F">
              <w:rPr>
                <w:rFonts w:cs="Arial"/>
                <w:szCs w:val="18"/>
                <w:lang w:eastAsia="zh-CN"/>
              </w:rPr>
              <w:t>The BAT offset and the optionally adjusted periodicity.</w:t>
            </w:r>
          </w:p>
        </w:tc>
        <w:tc>
          <w:tcPr>
            <w:tcW w:w="646" w:type="pct"/>
          </w:tcPr>
          <w:p w:rsidR="00201D52" w:rsidRPr="000A0A5F" w:rsidRDefault="00201D52" w:rsidP="00201D52">
            <w:pPr>
              <w:pStyle w:val="TAL"/>
              <w:rPr>
                <w:rFonts w:cs="Arial"/>
                <w:szCs w:val="18"/>
              </w:rPr>
            </w:pPr>
            <w:r w:rsidRPr="000A0A5F">
              <w:t>EnTSCAC</w:t>
            </w:r>
          </w:p>
        </w:tc>
      </w:tr>
      <w:tr w:rsidR="006366F5" w:rsidRPr="000A0A5F" w:rsidTr="00D57F67">
        <w:tc>
          <w:tcPr>
            <w:tcW w:w="934" w:type="pct"/>
            <w:shd w:val="clear" w:color="auto" w:fill="auto"/>
            <w:tcMar>
              <w:top w:w="0" w:type="dxa"/>
              <w:left w:w="108" w:type="dxa"/>
              <w:bottom w:w="0" w:type="dxa"/>
              <w:right w:w="108" w:type="dxa"/>
            </w:tcMar>
          </w:tcPr>
          <w:p w:rsidR="006366F5" w:rsidRDefault="006366F5" w:rsidP="006366F5">
            <w:pPr>
              <w:pStyle w:val="TAL"/>
              <w:rPr>
                <w:lang w:eastAsia="zh-CN"/>
              </w:rPr>
            </w:pPr>
            <w:r>
              <w:rPr>
                <w:rFonts w:hint="eastAsia"/>
                <w:lang w:eastAsia="zh-CN"/>
              </w:rPr>
              <w:t>a</w:t>
            </w:r>
            <w:r>
              <w:rPr>
                <w:lang w:eastAsia="zh-CN"/>
              </w:rPr>
              <w:t>ggrDataRateRpts</w:t>
            </w:r>
          </w:p>
        </w:tc>
        <w:tc>
          <w:tcPr>
            <w:tcW w:w="879" w:type="pct"/>
            <w:shd w:val="clear" w:color="auto" w:fill="auto"/>
            <w:tcMar>
              <w:top w:w="0" w:type="dxa"/>
              <w:left w:w="108" w:type="dxa"/>
              <w:bottom w:w="0" w:type="dxa"/>
              <w:right w:w="108" w:type="dxa"/>
            </w:tcMar>
          </w:tcPr>
          <w:p w:rsidR="006366F5" w:rsidRDefault="006366F5" w:rsidP="006366F5">
            <w:pPr>
              <w:pStyle w:val="TAL"/>
              <w:rPr>
                <w:lang w:eastAsia="zh-CN"/>
              </w:rPr>
            </w:pPr>
            <w:r>
              <w:rPr>
                <w:lang w:eastAsia="zh-CN"/>
              </w:rPr>
              <w:t>array(QosMonitoringReport)</w:t>
            </w:r>
          </w:p>
        </w:tc>
        <w:tc>
          <w:tcPr>
            <w:tcW w:w="600" w:type="pct"/>
            <w:shd w:val="clear" w:color="auto" w:fill="auto"/>
            <w:tcMar>
              <w:top w:w="0" w:type="dxa"/>
              <w:left w:w="108" w:type="dxa"/>
              <w:bottom w:w="0" w:type="dxa"/>
              <w:right w:w="108" w:type="dxa"/>
            </w:tcMar>
          </w:tcPr>
          <w:p w:rsidR="006366F5" w:rsidRDefault="006366F5" w:rsidP="006366F5">
            <w:pPr>
              <w:pStyle w:val="TAL"/>
              <w:rPr>
                <w:lang w:eastAsia="zh-CN"/>
              </w:rPr>
            </w:pPr>
            <w:r>
              <w:rPr>
                <w:lang w:eastAsia="zh-CN"/>
              </w:rPr>
              <w:t>0..1</w:t>
            </w:r>
          </w:p>
        </w:tc>
        <w:tc>
          <w:tcPr>
            <w:tcW w:w="1941" w:type="pct"/>
            <w:shd w:val="clear" w:color="auto" w:fill="auto"/>
            <w:tcMar>
              <w:top w:w="0" w:type="dxa"/>
              <w:left w:w="108" w:type="dxa"/>
              <w:bottom w:w="0" w:type="dxa"/>
              <w:right w:w="108" w:type="dxa"/>
            </w:tcMar>
          </w:tcPr>
          <w:p w:rsidR="006366F5" w:rsidRDefault="006366F5" w:rsidP="006366F5">
            <w:pPr>
              <w:pStyle w:val="TAL"/>
              <w:rPr>
                <w:rFonts w:cs="Arial"/>
                <w:szCs w:val="18"/>
                <w:lang w:eastAsia="zh-CN"/>
              </w:rPr>
            </w:pPr>
            <w:r>
              <w:rPr>
                <w:rFonts w:cs="Arial"/>
                <w:szCs w:val="18"/>
              </w:rPr>
              <w:t xml:space="preserve">Contains QoS Monitoring for </w:t>
            </w:r>
            <w:r>
              <w:t xml:space="preserve">aggregated </w:t>
            </w:r>
            <w:r>
              <w:rPr>
                <w:rFonts w:cs="Arial"/>
                <w:szCs w:val="18"/>
              </w:rPr>
              <w:t xml:space="preserve">data rate reporting information. It shall be present when the notified event is </w:t>
            </w:r>
            <w:r>
              <w:t>"QOS_MONITORING" and data rate measurements are available.</w:t>
            </w:r>
          </w:p>
        </w:tc>
        <w:tc>
          <w:tcPr>
            <w:tcW w:w="646" w:type="pct"/>
          </w:tcPr>
          <w:p w:rsidR="006366F5" w:rsidRDefault="006366F5" w:rsidP="006366F5">
            <w:pPr>
              <w:pStyle w:val="TAL"/>
              <w:rPr>
                <w:noProof/>
              </w:rPr>
            </w:pPr>
            <w:r>
              <w:t>ListUE_5G</w:t>
            </w:r>
          </w:p>
        </w:tc>
      </w:tr>
      <w:tr w:rsidR="006366F5" w:rsidRPr="000A0A5F" w:rsidTr="00D57F67">
        <w:tc>
          <w:tcPr>
            <w:tcW w:w="934" w:type="pct"/>
            <w:shd w:val="clear" w:color="auto" w:fill="auto"/>
            <w:tcMar>
              <w:top w:w="0" w:type="dxa"/>
              <w:left w:w="108" w:type="dxa"/>
              <w:bottom w:w="0" w:type="dxa"/>
              <w:right w:w="108" w:type="dxa"/>
            </w:tcMar>
          </w:tcPr>
          <w:p w:rsidR="006366F5" w:rsidRPr="000A0A5F" w:rsidRDefault="006366F5" w:rsidP="006366F5">
            <w:pPr>
              <w:pStyle w:val="TAL"/>
            </w:pPr>
            <w:r w:rsidRPr="000A0A5F">
              <w:t>rttMonReports</w:t>
            </w:r>
          </w:p>
        </w:tc>
        <w:tc>
          <w:tcPr>
            <w:tcW w:w="879" w:type="pct"/>
            <w:shd w:val="clear" w:color="auto" w:fill="auto"/>
            <w:tcMar>
              <w:top w:w="0" w:type="dxa"/>
              <w:left w:w="108" w:type="dxa"/>
              <w:bottom w:w="0" w:type="dxa"/>
              <w:right w:w="108" w:type="dxa"/>
            </w:tcMar>
          </w:tcPr>
          <w:p w:rsidR="006366F5" w:rsidRPr="000A0A5F" w:rsidRDefault="006366F5" w:rsidP="006366F5">
            <w:pPr>
              <w:pStyle w:val="TAL"/>
              <w:rPr>
                <w:lang w:eastAsia="zh-CN"/>
              </w:rPr>
            </w:pPr>
            <w:r w:rsidRPr="000A0A5F">
              <w:rPr>
                <w:lang w:eastAsia="zh-CN"/>
              </w:rPr>
              <w:t>array(QosMonitoringReport)</w:t>
            </w:r>
          </w:p>
        </w:tc>
        <w:tc>
          <w:tcPr>
            <w:tcW w:w="600" w:type="pct"/>
            <w:shd w:val="clear" w:color="auto" w:fill="auto"/>
            <w:tcMar>
              <w:top w:w="0" w:type="dxa"/>
              <w:left w:w="108" w:type="dxa"/>
              <w:bottom w:w="0" w:type="dxa"/>
              <w:right w:w="108" w:type="dxa"/>
            </w:tcMar>
          </w:tcPr>
          <w:p w:rsidR="006366F5" w:rsidRPr="000A0A5F" w:rsidRDefault="006366F5" w:rsidP="006366F5">
            <w:pPr>
              <w:pStyle w:val="TAL"/>
              <w:rPr>
                <w:lang w:eastAsia="zh-CN"/>
              </w:rPr>
            </w:pPr>
            <w:r w:rsidRPr="000A0A5F">
              <w:rPr>
                <w:lang w:eastAsia="zh-CN"/>
              </w:rPr>
              <w:t>0..N</w:t>
            </w:r>
          </w:p>
        </w:tc>
        <w:tc>
          <w:tcPr>
            <w:tcW w:w="1941" w:type="pct"/>
            <w:shd w:val="clear" w:color="auto" w:fill="auto"/>
            <w:tcMar>
              <w:top w:w="0" w:type="dxa"/>
              <w:left w:w="108" w:type="dxa"/>
              <w:bottom w:w="0" w:type="dxa"/>
              <w:right w:w="108" w:type="dxa"/>
            </w:tcMar>
          </w:tcPr>
          <w:p w:rsidR="006366F5" w:rsidRPr="000A0A5F" w:rsidRDefault="006366F5" w:rsidP="006366F5">
            <w:pPr>
              <w:pStyle w:val="TAL"/>
              <w:rPr>
                <w:rFonts w:cs="Arial"/>
                <w:szCs w:val="18"/>
                <w:lang w:eastAsia="zh-CN"/>
              </w:rPr>
            </w:pPr>
            <w:r w:rsidRPr="000A0A5F">
              <w:rPr>
                <w:rFonts w:cs="Arial"/>
                <w:szCs w:val="18"/>
              </w:rPr>
              <w:t xml:space="preserve">Round-Trip delay for the indicated UL and DL QoS flows. It shall be present when the notified event is </w:t>
            </w:r>
            <w:r w:rsidRPr="000A0A5F">
              <w:t>"RT_DELAY_TWO_QOS_FLOWS".</w:t>
            </w:r>
          </w:p>
        </w:tc>
        <w:tc>
          <w:tcPr>
            <w:tcW w:w="646" w:type="pct"/>
          </w:tcPr>
          <w:p w:rsidR="006366F5" w:rsidRPr="000A0A5F" w:rsidRDefault="006366F5" w:rsidP="006366F5">
            <w:pPr>
              <w:pStyle w:val="TAL"/>
            </w:pPr>
            <w:r w:rsidRPr="000A0A5F">
              <w:rPr>
                <w:rFonts w:hint="eastAsia"/>
                <w:lang w:eastAsia="zh-CN"/>
              </w:rPr>
              <w:t>EnQoSMon</w:t>
            </w:r>
          </w:p>
        </w:tc>
      </w:tr>
      <w:tr w:rsidR="006366F5" w:rsidRPr="000A0A5F" w:rsidTr="00D57F67">
        <w:tc>
          <w:tcPr>
            <w:tcW w:w="934" w:type="pct"/>
            <w:shd w:val="clear" w:color="auto" w:fill="auto"/>
            <w:tcMar>
              <w:top w:w="0" w:type="dxa"/>
              <w:left w:w="108" w:type="dxa"/>
              <w:bottom w:w="0" w:type="dxa"/>
              <w:right w:w="108" w:type="dxa"/>
            </w:tcMar>
          </w:tcPr>
          <w:p w:rsidR="006366F5" w:rsidRPr="000A0A5F" w:rsidRDefault="006366F5" w:rsidP="006366F5">
            <w:pPr>
              <w:pStyle w:val="TAL"/>
            </w:pPr>
            <w:r w:rsidRPr="000A0A5F">
              <w:t>qosMonDatRateReps</w:t>
            </w:r>
          </w:p>
        </w:tc>
        <w:tc>
          <w:tcPr>
            <w:tcW w:w="879" w:type="pct"/>
            <w:shd w:val="clear" w:color="auto" w:fill="auto"/>
            <w:tcMar>
              <w:top w:w="0" w:type="dxa"/>
              <w:left w:w="108" w:type="dxa"/>
              <w:bottom w:w="0" w:type="dxa"/>
              <w:right w:w="108" w:type="dxa"/>
            </w:tcMar>
          </w:tcPr>
          <w:p w:rsidR="006366F5" w:rsidRPr="000A0A5F" w:rsidRDefault="006366F5" w:rsidP="006366F5">
            <w:pPr>
              <w:pStyle w:val="TAL"/>
              <w:rPr>
                <w:lang w:eastAsia="zh-CN"/>
              </w:rPr>
            </w:pPr>
            <w:r w:rsidRPr="000A0A5F">
              <w:rPr>
                <w:lang w:eastAsia="zh-CN"/>
              </w:rPr>
              <w:t>array(QosMonitoringReport)</w:t>
            </w:r>
          </w:p>
        </w:tc>
        <w:tc>
          <w:tcPr>
            <w:tcW w:w="600" w:type="pct"/>
            <w:shd w:val="clear" w:color="auto" w:fill="auto"/>
            <w:tcMar>
              <w:top w:w="0" w:type="dxa"/>
              <w:left w:w="108" w:type="dxa"/>
              <w:bottom w:w="0" w:type="dxa"/>
              <w:right w:w="108" w:type="dxa"/>
            </w:tcMar>
          </w:tcPr>
          <w:p w:rsidR="006366F5" w:rsidRPr="000A0A5F" w:rsidRDefault="006366F5" w:rsidP="006366F5">
            <w:pPr>
              <w:pStyle w:val="TAL"/>
              <w:rPr>
                <w:lang w:eastAsia="zh-CN"/>
              </w:rPr>
            </w:pPr>
            <w:r w:rsidRPr="000A0A5F">
              <w:rPr>
                <w:lang w:eastAsia="zh-CN"/>
              </w:rPr>
              <w:t>0..1</w:t>
            </w:r>
          </w:p>
        </w:tc>
        <w:tc>
          <w:tcPr>
            <w:tcW w:w="1941" w:type="pct"/>
            <w:shd w:val="clear" w:color="auto" w:fill="auto"/>
            <w:tcMar>
              <w:top w:w="0" w:type="dxa"/>
              <w:left w:w="108" w:type="dxa"/>
              <w:bottom w:w="0" w:type="dxa"/>
              <w:right w:w="108" w:type="dxa"/>
            </w:tcMar>
          </w:tcPr>
          <w:p w:rsidR="006366F5" w:rsidRPr="000A0A5F" w:rsidRDefault="006366F5" w:rsidP="006366F5">
            <w:pPr>
              <w:pStyle w:val="TAL"/>
              <w:rPr>
                <w:rFonts w:cs="Arial"/>
                <w:szCs w:val="18"/>
                <w:lang w:eastAsia="zh-CN"/>
              </w:rPr>
            </w:pPr>
            <w:r w:rsidRPr="000A0A5F">
              <w:rPr>
                <w:rFonts w:cs="Arial"/>
                <w:szCs w:val="18"/>
              </w:rPr>
              <w:t xml:space="preserve">Contains QoS Monitoring for data rate reporting information. It shall be present when the notified event is </w:t>
            </w:r>
            <w:r w:rsidRPr="000A0A5F">
              <w:t>"QOS_MONITORING" and data rate measurements are available.</w:t>
            </w:r>
          </w:p>
        </w:tc>
        <w:tc>
          <w:tcPr>
            <w:tcW w:w="646" w:type="pct"/>
          </w:tcPr>
          <w:p w:rsidR="006366F5" w:rsidRPr="000A0A5F" w:rsidRDefault="006366F5" w:rsidP="006366F5">
            <w:pPr>
              <w:pStyle w:val="TAL"/>
            </w:pPr>
            <w:r w:rsidRPr="000A0A5F">
              <w:rPr>
                <w:rFonts w:hint="eastAsia"/>
                <w:lang w:eastAsia="zh-CN"/>
              </w:rPr>
              <w:t>EnQoSMon</w:t>
            </w:r>
          </w:p>
        </w:tc>
      </w:tr>
      <w:tr w:rsidR="006366F5" w:rsidRPr="000A0A5F" w:rsidTr="00D57F67">
        <w:tc>
          <w:tcPr>
            <w:tcW w:w="934" w:type="pct"/>
            <w:shd w:val="clear" w:color="auto" w:fill="auto"/>
            <w:tcMar>
              <w:top w:w="0" w:type="dxa"/>
              <w:left w:w="108" w:type="dxa"/>
              <w:bottom w:w="0" w:type="dxa"/>
              <w:right w:w="108" w:type="dxa"/>
            </w:tcMar>
          </w:tcPr>
          <w:p w:rsidR="006366F5" w:rsidRPr="000A0A5F" w:rsidRDefault="006366F5" w:rsidP="006366F5">
            <w:pPr>
              <w:pStyle w:val="TAL"/>
              <w:rPr>
                <w:lang w:eastAsia="zh-CN"/>
              </w:rPr>
            </w:pPr>
            <w:r w:rsidRPr="000A0A5F">
              <w:rPr>
                <w:lang w:eastAsia="zh-CN"/>
              </w:rPr>
              <w:t>qosMonConInfoReps</w:t>
            </w:r>
          </w:p>
        </w:tc>
        <w:tc>
          <w:tcPr>
            <w:tcW w:w="879" w:type="pct"/>
            <w:shd w:val="clear" w:color="auto" w:fill="auto"/>
            <w:tcMar>
              <w:top w:w="0" w:type="dxa"/>
              <w:left w:w="108" w:type="dxa"/>
              <w:bottom w:w="0" w:type="dxa"/>
              <w:right w:w="108" w:type="dxa"/>
            </w:tcMar>
          </w:tcPr>
          <w:p w:rsidR="006366F5" w:rsidRPr="000A0A5F" w:rsidRDefault="006366F5" w:rsidP="006366F5">
            <w:pPr>
              <w:pStyle w:val="TAL"/>
              <w:rPr>
                <w:lang w:eastAsia="zh-CN"/>
              </w:rPr>
            </w:pPr>
            <w:r w:rsidRPr="000A0A5F">
              <w:rPr>
                <w:lang w:eastAsia="zh-CN"/>
              </w:rPr>
              <w:t>array(</w:t>
            </w:r>
            <w:r w:rsidRPr="000A0A5F">
              <w:t>QosMonitoringReport</w:t>
            </w:r>
            <w:r w:rsidRPr="000A0A5F">
              <w:rPr>
                <w:lang w:eastAsia="zh-CN"/>
              </w:rPr>
              <w:t>)</w:t>
            </w:r>
          </w:p>
        </w:tc>
        <w:tc>
          <w:tcPr>
            <w:tcW w:w="600" w:type="pct"/>
            <w:shd w:val="clear" w:color="auto" w:fill="auto"/>
            <w:tcMar>
              <w:top w:w="0" w:type="dxa"/>
              <w:left w:w="108" w:type="dxa"/>
              <w:bottom w:w="0" w:type="dxa"/>
              <w:right w:w="108" w:type="dxa"/>
            </w:tcMar>
          </w:tcPr>
          <w:p w:rsidR="006366F5" w:rsidRPr="000A0A5F" w:rsidRDefault="006366F5" w:rsidP="006366F5">
            <w:pPr>
              <w:pStyle w:val="TAL"/>
              <w:rPr>
                <w:lang w:eastAsia="zh-CN"/>
              </w:rPr>
            </w:pPr>
            <w:r w:rsidRPr="000A0A5F">
              <w:rPr>
                <w:lang w:eastAsia="zh-CN"/>
              </w:rPr>
              <w:t>0..N</w:t>
            </w:r>
          </w:p>
        </w:tc>
        <w:tc>
          <w:tcPr>
            <w:tcW w:w="1941" w:type="pct"/>
            <w:shd w:val="clear" w:color="auto" w:fill="auto"/>
            <w:tcMar>
              <w:top w:w="0" w:type="dxa"/>
              <w:left w:w="108" w:type="dxa"/>
              <w:bottom w:w="0" w:type="dxa"/>
              <w:right w:w="108" w:type="dxa"/>
            </w:tcMar>
          </w:tcPr>
          <w:p w:rsidR="006366F5" w:rsidRPr="000A0A5F" w:rsidRDefault="006366F5" w:rsidP="006366F5">
            <w:pPr>
              <w:pStyle w:val="TAL"/>
              <w:rPr>
                <w:rFonts w:cs="Arial"/>
                <w:szCs w:val="18"/>
                <w:lang w:eastAsia="zh-CN"/>
              </w:rPr>
            </w:pPr>
            <w:r w:rsidRPr="000A0A5F">
              <w:rPr>
                <w:rFonts w:cs="Arial"/>
                <w:szCs w:val="18"/>
              </w:rPr>
              <w:t xml:space="preserve">Contains QoS Monitoring for congestion information (ECN marking percentage). It shall be present when the notified event is </w:t>
            </w:r>
            <w:r w:rsidRPr="000A0A5F">
              <w:t>"QOS_MONITORING" and congestion measurements are available.</w:t>
            </w:r>
          </w:p>
        </w:tc>
        <w:tc>
          <w:tcPr>
            <w:tcW w:w="646" w:type="pct"/>
          </w:tcPr>
          <w:p w:rsidR="006366F5" w:rsidRPr="000A0A5F" w:rsidRDefault="006366F5" w:rsidP="006366F5">
            <w:pPr>
              <w:pStyle w:val="TAL"/>
            </w:pPr>
            <w:r w:rsidRPr="000A0A5F">
              <w:rPr>
                <w:rFonts w:hint="eastAsia"/>
                <w:lang w:eastAsia="zh-CN"/>
              </w:rPr>
              <w:t>EnQoSMon</w:t>
            </w:r>
          </w:p>
        </w:tc>
      </w:tr>
      <w:tr w:rsidR="006366F5" w:rsidRPr="000A0A5F" w:rsidTr="00FF0AF8">
        <w:tc>
          <w:tcPr>
            <w:tcW w:w="5000" w:type="pct"/>
            <w:gridSpan w:val="5"/>
            <w:shd w:val="clear" w:color="auto" w:fill="auto"/>
            <w:tcMar>
              <w:top w:w="0" w:type="dxa"/>
              <w:left w:w="108" w:type="dxa"/>
              <w:bottom w:w="0" w:type="dxa"/>
              <w:right w:w="108" w:type="dxa"/>
            </w:tcMar>
          </w:tcPr>
          <w:p w:rsidR="006366F5" w:rsidRPr="000A0A5F" w:rsidRDefault="006366F5" w:rsidP="006366F5">
            <w:pPr>
              <w:pStyle w:val="TAN"/>
            </w:pPr>
            <w:r w:rsidRPr="000A0A5F">
              <w:t>NOTE 1:</w:t>
            </w:r>
            <w:r w:rsidRPr="000A0A5F">
              <w:tab/>
              <w:t>Properties marked with a feature as defined in clause 5.14.4 are applicable as described in clause 5.2.7. If no features are indicated, the related property applies for all the features.</w:t>
            </w:r>
          </w:p>
          <w:p w:rsidR="006366F5" w:rsidRPr="000A0A5F" w:rsidRDefault="006366F5" w:rsidP="006366F5">
            <w:pPr>
              <w:pStyle w:val="TAN"/>
            </w:pPr>
            <w:r w:rsidRPr="000A0A5F">
              <w:t>NOTE 2:</w:t>
            </w:r>
            <w:r w:rsidRPr="000A0A5F">
              <w:tab/>
              <w:t>The attributes "flowIds" and "multiModFlows" are mutually exclusive.</w:t>
            </w:r>
          </w:p>
          <w:p w:rsidR="006366F5" w:rsidRPr="000A0A5F" w:rsidRDefault="006366F5" w:rsidP="006366F5">
            <w:pPr>
              <w:pStyle w:val="TAN"/>
              <w:rPr>
                <w:lang w:eastAsia="zh-CN"/>
              </w:rPr>
            </w:pPr>
            <w:r w:rsidRPr="000A0A5F">
              <w:t>NOTE 3:</w:t>
            </w:r>
            <w:r w:rsidRPr="000A0A5F">
              <w:tab/>
              <w:t>The PdvMonitoringReport API does not include the "flows" attribute in this API.</w:t>
            </w:r>
          </w:p>
        </w:tc>
      </w:tr>
    </w:tbl>
    <w:p w:rsidR="00CB0DD7" w:rsidRPr="000A0A5F" w:rsidRDefault="00CB0DD7"/>
    <w:p w:rsidR="004D0F38" w:rsidRPr="000A0A5F" w:rsidRDefault="004D0F38" w:rsidP="004D0F38">
      <w:pPr>
        <w:pStyle w:val="EditorsNote"/>
      </w:pPr>
      <w:r w:rsidRPr="000A0A5F">
        <w:t>Editor’s Note: Whether the rttMonReports attribute is needed or the qosMonReports attribute can be used instead to convey both, packet delay and RTT measurements reports requires further discussion.</w:t>
      </w:r>
    </w:p>
    <w:p w:rsidR="009A68D3" w:rsidRPr="000A0A5F" w:rsidRDefault="009A68D3" w:rsidP="00905D83">
      <w:pPr>
        <w:pStyle w:val="EditorsNote"/>
      </w:pPr>
      <w:r w:rsidRPr="000A0A5F">
        <w:t xml:space="preserve">Editor’s </w:t>
      </w:r>
      <w:r w:rsidR="004820DC">
        <w:t>N</w:t>
      </w:r>
      <w:r w:rsidR="004820DC" w:rsidRPr="000A0A5F">
        <w:t>ote</w:t>
      </w:r>
      <w:r w:rsidRPr="000A0A5F">
        <w:t>: If the pdvReport can include maximum and minimu UL delay variation and pdmf indication it is FFS whether the QosMonitoringReport can be used instead.</w:t>
      </w:r>
    </w:p>
    <w:p w:rsidR="00CB0DD7" w:rsidRPr="000A0A5F" w:rsidRDefault="00CB0DD7">
      <w:pPr>
        <w:pStyle w:val="Heading5"/>
      </w:pPr>
      <w:bookmarkStart w:id="9153" w:name="_Toc36034069"/>
      <w:bookmarkStart w:id="9154" w:name="_Toc45132216"/>
      <w:bookmarkStart w:id="9155" w:name="_Toc49776501"/>
      <w:bookmarkStart w:id="9156" w:name="_Toc51747421"/>
      <w:bookmarkStart w:id="9157" w:name="_Toc66361000"/>
      <w:bookmarkStart w:id="9158" w:name="_Toc68105505"/>
      <w:bookmarkStart w:id="9159" w:name="_Toc74756135"/>
      <w:bookmarkStart w:id="9160" w:name="_Toc105675012"/>
      <w:bookmarkStart w:id="9161" w:name="_Toc130503080"/>
      <w:bookmarkStart w:id="9162" w:name="_Toc153625868"/>
      <w:r w:rsidRPr="000A0A5F">
        <w:t>5.14.2.1.6</w:t>
      </w:r>
      <w:r w:rsidRPr="000A0A5F">
        <w:tab/>
        <w:t>Type: QosMonitoringInformation</w:t>
      </w:r>
      <w:bookmarkEnd w:id="9153"/>
      <w:bookmarkEnd w:id="9154"/>
      <w:bookmarkEnd w:id="9155"/>
      <w:bookmarkEnd w:id="9156"/>
      <w:bookmarkEnd w:id="9157"/>
      <w:bookmarkEnd w:id="9158"/>
      <w:bookmarkEnd w:id="9159"/>
      <w:bookmarkEnd w:id="9160"/>
      <w:bookmarkEnd w:id="9161"/>
      <w:bookmarkEnd w:id="9162"/>
    </w:p>
    <w:p w:rsidR="00CB0DD7" w:rsidRPr="000A0A5F" w:rsidRDefault="00CB0DD7">
      <w:pPr>
        <w:pStyle w:val="TH"/>
      </w:pPr>
      <w:r w:rsidRPr="000A0A5F">
        <w:rPr>
          <w:noProof/>
        </w:rPr>
        <w:t>Table </w:t>
      </w:r>
      <w:r w:rsidRPr="000A0A5F">
        <w:t xml:space="preserve">5.14.2.1.6-1: </w:t>
      </w:r>
      <w:r w:rsidRPr="000A0A5F">
        <w:rPr>
          <w:noProof/>
        </w:rPr>
        <w:t xml:space="preserve">Definition of type </w:t>
      </w:r>
      <w:r w:rsidRPr="000A0A5F">
        <w:t>QosMonitoringInformation</w:t>
      </w:r>
    </w:p>
    <w:tbl>
      <w:tblPr>
        <w:tblW w:w="955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61"/>
        <w:gridCol w:w="1842"/>
        <w:gridCol w:w="1134"/>
        <w:gridCol w:w="3687"/>
        <w:gridCol w:w="1235"/>
      </w:tblGrid>
      <w:tr w:rsidR="00CB0DD7" w:rsidRPr="000A0A5F" w:rsidTr="00FF0AF8">
        <w:trPr>
          <w:trHeight w:val="288"/>
          <w:jc w:val="center"/>
        </w:trPr>
        <w:tc>
          <w:tcPr>
            <w:tcW w:w="1661" w:type="dxa"/>
            <w:shd w:val="clear" w:color="auto" w:fill="C0C0C0"/>
          </w:tcPr>
          <w:p w:rsidR="00CB0DD7" w:rsidRPr="000A0A5F" w:rsidRDefault="00CB0DD7">
            <w:pPr>
              <w:pStyle w:val="TAH"/>
              <w:rPr>
                <w:rFonts w:eastAsia="Times New Roman"/>
              </w:rPr>
            </w:pPr>
            <w:r w:rsidRPr="000A0A5F">
              <w:rPr>
                <w:rFonts w:eastAsia="Times New Roman"/>
              </w:rPr>
              <w:t>Attribute name</w:t>
            </w:r>
          </w:p>
        </w:tc>
        <w:tc>
          <w:tcPr>
            <w:tcW w:w="1842" w:type="dxa"/>
            <w:shd w:val="clear" w:color="auto" w:fill="C0C0C0"/>
          </w:tcPr>
          <w:p w:rsidR="00CB0DD7" w:rsidRPr="000A0A5F" w:rsidRDefault="00CB0DD7">
            <w:pPr>
              <w:pStyle w:val="TAH"/>
              <w:rPr>
                <w:rFonts w:eastAsia="Times New Roman"/>
              </w:rPr>
            </w:pPr>
            <w:r w:rsidRPr="000A0A5F">
              <w:rPr>
                <w:rFonts w:eastAsia="Times New Roman"/>
              </w:rPr>
              <w:t>Data type</w:t>
            </w:r>
          </w:p>
        </w:tc>
        <w:tc>
          <w:tcPr>
            <w:tcW w:w="1134" w:type="dxa"/>
            <w:shd w:val="clear" w:color="auto" w:fill="C0C0C0"/>
          </w:tcPr>
          <w:p w:rsidR="00CB0DD7" w:rsidRPr="000A0A5F" w:rsidRDefault="00CB0DD7">
            <w:pPr>
              <w:pStyle w:val="TAH"/>
              <w:rPr>
                <w:rFonts w:eastAsia="Times New Roman"/>
              </w:rPr>
            </w:pPr>
            <w:r w:rsidRPr="000A0A5F">
              <w:rPr>
                <w:rFonts w:eastAsia="Times New Roman"/>
              </w:rPr>
              <w:t>Cardinality</w:t>
            </w:r>
          </w:p>
        </w:tc>
        <w:tc>
          <w:tcPr>
            <w:tcW w:w="3687"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Description</w:t>
            </w:r>
          </w:p>
        </w:tc>
        <w:tc>
          <w:tcPr>
            <w:tcW w:w="1235" w:type="dxa"/>
            <w:shd w:val="clear" w:color="auto" w:fill="C0C0C0"/>
          </w:tcPr>
          <w:p w:rsidR="00CB0DD7" w:rsidRPr="000A0A5F" w:rsidRDefault="00CB0DD7">
            <w:pPr>
              <w:pStyle w:val="TAH"/>
              <w:rPr>
                <w:rFonts w:eastAsia="Times New Roman"/>
              </w:rPr>
            </w:pPr>
            <w:r w:rsidRPr="000A0A5F">
              <w:rPr>
                <w:rFonts w:eastAsia="Times New Roman" w:cs="Arial"/>
                <w:szCs w:val="18"/>
              </w:rPr>
              <w:t>Applicability</w:t>
            </w:r>
          </w:p>
        </w:tc>
      </w:tr>
      <w:tr w:rsidR="00CB0DD7" w:rsidRPr="000A0A5F" w:rsidTr="00FF0AF8">
        <w:trPr>
          <w:jc w:val="center"/>
        </w:trPr>
        <w:tc>
          <w:tcPr>
            <w:tcW w:w="1661" w:type="dxa"/>
            <w:shd w:val="clear" w:color="auto" w:fill="auto"/>
          </w:tcPr>
          <w:p w:rsidR="00CB0DD7" w:rsidRPr="000A0A5F" w:rsidRDefault="00CB0DD7">
            <w:pPr>
              <w:pStyle w:val="TAL"/>
              <w:rPr>
                <w:lang w:eastAsia="zh-CN"/>
              </w:rPr>
            </w:pPr>
            <w:r w:rsidRPr="000A0A5F">
              <w:rPr>
                <w:noProof/>
                <w:lang w:eastAsia="zh-CN"/>
              </w:rPr>
              <w:t>reqQosMonParams</w:t>
            </w:r>
          </w:p>
        </w:tc>
        <w:tc>
          <w:tcPr>
            <w:tcW w:w="1842" w:type="dxa"/>
            <w:shd w:val="clear" w:color="auto" w:fill="auto"/>
          </w:tcPr>
          <w:p w:rsidR="00CB0DD7" w:rsidRPr="000A0A5F" w:rsidRDefault="00CB0DD7">
            <w:pPr>
              <w:pStyle w:val="TAL"/>
              <w:rPr>
                <w:lang w:eastAsia="zh-CN"/>
              </w:rPr>
            </w:pPr>
            <w:r w:rsidRPr="000A0A5F">
              <w:rPr>
                <w:noProof/>
                <w:lang w:eastAsia="zh-CN"/>
              </w:rPr>
              <w:t>array(RequestedQosMonitoringParameter)</w:t>
            </w:r>
          </w:p>
        </w:tc>
        <w:tc>
          <w:tcPr>
            <w:tcW w:w="1134" w:type="dxa"/>
          </w:tcPr>
          <w:p w:rsidR="00CB0DD7" w:rsidRPr="000A0A5F" w:rsidRDefault="00CB0DD7">
            <w:pPr>
              <w:pStyle w:val="TAC"/>
              <w:jc w:val="left"/>
              <w:rPr>
                <w:lang w:eastAsia="zh-CN"/>
              </w:rPr>
            </w:pPr>
            <w:r w:rsidRPr="000A0A5F">
              <w:rPr>
                <w:rFonts w:hint="eastAsia"/>
                <w:lang w:eastAsia="zh-CN"/>
              </w:rPr>
              <w:t>1</w:t>
            </w:r>
            <w:r w:rsidRPr="000A0A5F">
              <w:rPr>
                <w:lang w:eastAsia="zh-CN"/>
              </w:rPr>
              <w:t>..N</w:t>
            </w:r>
          </w:p>
        </w:tc>
        <w:tc>
          <w:tcPr>
            <w:tcW w:w="3687" w:type="dxa"/>
          </w:tcPr>
          <w:p w:rsidR="00CB0DD7" w:rsidRPr="000A0A5F" w:rsidRDefault="00CB0DD7">
            <w:pPr>
              <w:pStyle w:val="TAL"/>
            </w:pPr>
            <w:r w:rsidRPr="000A0A5F">
              <w:rPr>
                <w:rFonts w:cs="Arial" w:hint="eastAsia"/>
                <w:noProof/>
                <w:szCs w:val="18"/>
                <w:lang w:eastAsia="zh-CN"/>
              </w:rPr>
              <w:t xml:space="preserve">Indicates </w:t>
            </w:r>
            <w:r w:rsidRPr="000A0A5F">
              <w:t xml:space="preserve">the </w:t>
            </w:r>
            <w:r w:rsidR="00B160C4" w:rsidRPr="000A0A5F">
              <w:t>QoS information to be measured, e.g.</w:t>
            </w:r>
            <w:r w:rsidRPr="000A0A5F">
              <w:t>UL</w:t>
            </w:r>
            <w:r w:rsidRPr="000A0A5F">
              <w:rPr>
                <w:lang w:val="en-US"/>
              </w:rPr>
              <w:t xml:space="preserve"> packet delay,</w:t>
            </w:r>
            <w:r w:rsidRPr="000A0A5F">
              <w:t xml:space="preserve"> DL</w:t>
            </w:r>
            <w:r w:rsidRPr="000A0A5F">
              <w:rPr>
                <w:lang w:val="en-US"/>
              </w:rPr>
              <w:t xml:space="preserve"> packet delay</w:t>
            </w:r>
            <w:r w:rsidRPr="000A0A5F">
              <w:t xml:space="preserve"> and/or round trip packet delay between the UE and the UPF is to be monitored when the QoS Monitoring for </w:t>
            </w:r>
            <w:r w:rsidR="0098524E" w:rsidRPr="000A0A5F">
              <w:t>packet delay</w:t>
            </w:r>
            <w:r w:rsidRPr="000A0A5F">
              <w:t xml:space="preserve"> is enabled for the service data flow</w:t>
            </w:r>
            <w:r w:rsidRPr="000A0A5F">
              <w:rPr>
                <w:rFonts w:cs="Arial"/>
                <w:noProof/>
                <w:szCs w:val="18"/>
                <w:lang w:eastAsia="zh-CN"/>
              </w:rPr>
              <w:t>.</w:t>
            </w:r>
          </w:p>
        </w:tc>
        <w:tc>
          <w:tcPr>
            <w:tcW w:w="1235" w:type="dxa"/>
          </w:tcPr>
          <w:p w:rsidR="00CB0DD7" w:rsidRPr="000A0A5F" w:rsidRDefault="00CB0DD7">
            <w:pPr>
              <w:pStyle w:val="TAC"/>
              <w:jc w:val="left"/>
              <w:rPr>
                <w:rFonts w:eastAsia="Times New Roman"/>
              </w:rPr>
            </w:pPr>
          </w:p>
        </w:tc>
      </w:tr>
      <w:tr w:rsidR="00CB0DD7" w:rsidRPr="000A0A5F" w:rsidTr="00FF0AF8">
        <w:trPr>
          <w:jc w:val="center"/>
        </w:trPr>
        <w:tc>
          <w:tcPr>
            <w:tcW w:w="1661" w:type="dxa"/>
            <w:shd w:val="clear" w:color="auto" w:fill="auto"/>
          </w:tcPr>
          <w:p w:rsidR="00CB0DD7" w:rsidRPr="000A0A5F" w:rsidRDefault="00CB0DD7">
            <w:pPr>
              <w:pStyle w:val="TAL"/>
              <w:rPr>
                <w:noProof/>
                <w:lang w:eastAsia="zh-CN"/>
              </w:rPr>
            </w:pPr>
            <w:r w:rsidRPr="000A0A5F">
              <w:rPr>
                <w:noProof/>
                <w:lang w:eastAsia="zh-CN"/>
              </w:rPr>
              <w:t>repFreqs</w:t>
            </w:r>
          </w:p>
        </w:tc>
        <w:tc>
          <w:tcPr>
            <w:tcW w:w="1842" w:type="dxa"/>
            <w:shd w:val="clear" w:color="auto" w:fill="auto"/>
          </w:tcPr>
          <w:p w:rsidR="00CB0DD7" w:rsidRPr="000A0A5F" w:rsidRDefault="00CB0DD7">
            <w:pPr>
              <w:pStyle w:val="TAL"/>
              <w:rPr>
                <w:noProof/>
                <w:lang w:eastAsia="zh-CN"/>
              </w:rPr>
            </w:pPr>
            <w:r w:rsidRPr="000A0A5F">
              <w:rPr>
                <w:noProof/>
                <w:lang w:eastAsia="zh-CN"/>
              </w:rPr>
              <w:t>array(</w:t>
            </w:r>
            <w:r w:rsidRPr="000A0A5F">
              <w:rPr>
                <w:rFonts w:hint="eastAsia"/>
                <w:noProof/>
                <w:lang w:eastAsia="zh-CN"/>
              </w:rPr>
              <w:t>ReportingFrequency</w:t>
            </w:r>
            <w:r w:rsidRPr="000A0A5F">
              <w:rPr>
                <w:noProof/>
                <w:lang w:eastAsia="zh-CN"/>
              </w:rPr>
              <w:t>)</w:t>
            </w:r>
          </w:p>
        </w:tc>
        <w:tc>
          <w:tcPr>
            <w:tcW w:w="1134" w:type="dxa"/>
          </w:tcPr>
          <w:p w:rsidR="00CB0DD7" w:rsidRPr="000A0A5F" w:rsidRDefault="00CB0DD7">
            <w:pPr>
              <w:pStyle w:val="TAC"/>
              <w:jc w:val="left"/>
              <w:rPr>
                <w:lang w:eastAsia="zh-CN"/>
              </w:rPr>
            </w:pPr>
            <w:r w:rsidRPr="000A0A5F">
              <w:rPr>
                <w:rFonts w:hint="eastAsia"/>
                <w:lang w:eastAsia="zh-CN"/>
              </w:rPr>
              <w:t>1</w:t>
            </w:r>
            <w:r w:rsidRPr="000A0A5F">
              <w:rPr>
                <w:lang w:eastAsia="zh-CN"/>
              </w:rPr>
              <w:t>..N</w:t>
            </w:r>
          </w:p>
        </w:tc>
        <w:tc>
          <w:tcPr>
            <w:tcW w:w="3687" w:type="dxa"/>
          </w:tcPr>
          <w:p w:rsidR="00CB0DD7" w:rsidRPr="000A0A5F" w:rsidRDefault="00CB0DD7">
            <w:pPr>
              <w:pStyle w:val="TAL"/>
              <w:rPr>
                <w:rFonts w:cs="Arial"/>
                <w:noProof/>
                <w:szCs w:val="18"/>
                <w:lang w:eastAsia="zh-CN"/>
              </w:rPr>
            </w:pPr>
            <w:r w:rsidRPr="000A0A5F">
              <w:rPr>
                <w:lang w:eastAsia="ko-KR"/>
              </w:rPr>
              <w:t xml:space="preserve">Indicates the </w:t>
            </w:r>
            <w:r w:rsidRPr="000A0A5F">
              <w:rPr>
                <w:lang w:val="en-US"/>
              </w:rPr>
              <w:t>frequency for the reporting, such as</w:t>
            </w:r>
            <w:r w:rsidRPr="000A0A5F">
              <w:rPr>
                <w:lang w:eastAsia="ko-KR"/>
              </w:rPr>
              <w:t xml:space="preserve"> event triggered</w:t>
            </w:r>
            <w:r w:rsidR="00405709" w:rsidRPr="000A0A5F">
              <w:rPr>
                <w:lang w:eastAsia="ko-KR"/>
              </w:rPr>
              <w:t>and/or</w:t>
            </w:r>
            <w:r w:rsidRPr="000A0A5F">
              <w:rPr>
                <w:lang w:eastAsia="ko-KR"/>
              </w:rPr>
              <w:t xml:space="preserve"> </w:t>
            </w:r>
            <w:r w:rsidRPr="000A0A5F">
              <w:rPr>
                <w:lang w:val="en-US"/>
              </w:rPr>
              <w:t>periodic</w:t>
            </w:r>
            <w:r w:rsidRPr="000A0A5F">
              <w:rPr>
                <w:rFonts w:cs="Arial"/>
                <w:noProof/>
                <w:szCs w:val="18"/>
                <w:lang w:eastAsia="zh-CN"/>
              </w:rPr>
              <w:t>.</w:t>
            </w:r>
          </w:p>
        </w:tc>
        <w:tc>
          <w:tcPr>
            <w:tcW w:w="1235" w:type="dxa"/>
          </w:tcPr>
          <w:p w:rsidR="00CB0DD7" w:rsidRPr="000A0A5F" w:rsidRDefault="00CB0DD7">
            <w:pPr>
              <w:pStyle w:val="TAC"/>
              <w:jc w:val="left"/>
              <w:rPr>
                <w:rFonts w:eastAsia="Times New Roman"/>
              </w:rPr>
            </w:pPr>
          </w:p>
        </w:tc>
      </w:tr>
      <w:tr w:rsidR="00CB0DD7" w:rsidRPr="000A0A5F" w:rsidTr="00FF0AF8">
        <w:trPr>
          <w:jc w:val="center"/>
        </w:trPr>
        <w:tc>
          <w:tcPr>
            <w:tcW w:w="1661" w:type="dxa"/>
            <w:shd w:val="clear" w:color="auto" w:fill="auto"/>
          </w:tcPr>
          <w:p w:rsidR="00CB0DD7" w:rsidRPr="000A0A5F" w:rsidRDefault="00CB0DD7">
            <w:pPr>
              <w:pStyle w:val="TAL"/>
              <w:rPr>
                <w:lang w:eastAsia="zh-CN"/>
              </w:rPr>
            </w:pPr>
            <w:r w:rsidRPr="000A0A5F">
              <w:rPr>
                <w:lang w:eastAsia="zh-CN"/>
              </w:rPr>
              <w:t>repThreshDl</w:t>
            </w:r>
          </w:p>
        </w:tc>
        <w:tc>
          <w:tcPr>
            <w:tcW w:w="1842" w:type="dxa"/>
            <w:shd w:val="clear" w:color="auto" w:fill="auto"/>
          </w:tcPr>
          <w:p w:rsidR="00CB0DD7" w:rsidRPr="000A0A5F" w:rsidRDefault="00CB0DD7">
            <w:pPr>
              <w:pStyle w:val="TAL"/>
              <w:rPr>
                <w:lang w:eastAsia="zh-CN"/>
              </w:rPr>
            </w:pPr>
            <w:r w:rsidRPr="000A0A5F">
              <w:rPr>
                <w:lang w:eastAsia="zh-CN"/>
              </w:rPr>
              <w:t>Uinteger</w:t>
            </w:r>
          </w:p>
        </w:tc>
        <w:tc>
          <w:tcPr>
            <w:tcW w:w="1134" w:type="dxa"/>
          </w:tcPr>
          <w:p w:rsidR="00CB0DD7" w:rsidRPr="000A0A5F" w:rsidRDefault="00CB0DD7">
            <w:pPr>
              <w:pStyle w:val="TAC"/>
              <w:jc w:val="left"/>
              <w:rPr>
                <w:lang w:eastAsia="zh-CN"/>
              </w:rPr>
            </w:pPr>
            <w:r w:rsidRPr="000A0A5F">
              <w:rPr>
                <w:lang w:eastAsia="zh-CN"/>
              </w:rPr>
              <w:t>0..1</w:t>
            </w:r>
          </w:p>
        </w:tc>
        <w:tc>
          <w:tcPr>
            <w:tcW w:w="3687" w:type="dxa"/>
          </w:tcPr>
          <w:p w:rsidR="00CB0DD7" w:rsidRPr="000A0A5F" w:rsidRDefault="00CB0DD7">
            <w:pPr>
              <w:pStyle w:val="TAL"/>
              <w:rPr>
                <w:rFonts w:cs="Arial"/>
                <w:szCs w:val="18"/>
                <w:lang w:eastAsia="zh-CN"/>
              </w:rPr>
            </w:pPr>
            <w:r w:rsidRPr="000A0A5F">
              <w:t xml:space="preserve">Unsigned integer </w:t>
            </w:r>
            <w:r w:rsidRPr="000A0A5F">
              <w:rPr>
                <w:lang w:eastAsia="zh-CN"/>
              </w:rPr>
              <w:t>identifying a threshold in units of milliseconds for D</w:t>
            </w:r>
            <w:r w:rsidRPr="000A0A5F">
              <w:t>L packet delay</w:t>
            </w:r>
            <w:r w:rsidR="009A68D3" w:rsidRPr="000A0A5F">
              <w:t xml:space="preserve"> for packet delay or packet delay variation measurement reports</w:t>
            </w:r>
            <w:r w:rsidRPr="000A0A5F">
              <w:rPr>
                <w:lang w:eastAsia="zh-CN"/>
              </w:rPr>
              <w:t xml:space="preserve">. It shall be present when the </w:t>
            </w:r>
            <w:r w:rsidR="00065505" w:rsidRPr="000A0A5F">
              <w:t>"</w:t>
            </w:r>
            <w:r w:rsidR="00065505" w:rsidRPr="000A0A5F">
              <w:rPr>
                <w:noProof/>
                <w:lang w:eastAsia="zh-CN"/>
              </w:rPr>
              <w:t>reqQosMonParams</w:t>
            </w:r>
            <w:r w:rsidR="00065505" w:rsidRPr="000A0A5F">
              <w:t>" attribute includes "DOWNLINK"</w:t>
            </w:r>
            <w:r w:rsidRPr="000A0A5F">
              <w:t>.</w:t>
            </w:r>
          </w:p>
        </w:tc>
        <w:tc>
          <w:tcPr>
            <w:tcW w:w="1235" w:type="dxa"/>
          </w:tcPr>
          <w:p w:rsidR="00CB0DD7" w:rsidRPr="000A0A5F" w:rsidRDefault="00CB0DD7">
            <w:pPr>
              <w:pStyle w:val="TAC"/>
              <w:jc w:val="left"/>
              <w:rPr>
                <w:rFonts w:eastAsia="Times New Roman"/>
              </w:rPr>
            </w:pPr>
          </w:p>
        </w:tc>
      </w:tr>
      <w:tr w:rsidR="00CB0DD7" w:rsidRPr="000A0A5F" w:rsidTr="00FF0AF8">
        <w:trPr>
          <w:jc w:val="center"/>
        </w:trPr>
        <w:tc>
          <w:tcPr>
            <w:tcW w:w="1661" w:type="dxa"/>
            <w:shd w:val="clear" w:color="auto" w:fill="auto"/>
          </w:tcPr>
          <w:p w:rsidR="00CB0DD7" w:rsidRPr="000A0A5F" w:rsidRDefault="00CB0DD7">
            <w:pPr>
              <w:pStyle w:val="TAL"/>
              <w:rPr>
                <w:rFonts w:eastAsia="Times New Roman"/>
              </w:rPr>
            </w:pPr>
            <w:r w:rsidRPr="000A0A5F">
              <w:rPr>
                <w:lang w:eastAsia="zh-CN"/>
              </w:rPr>
              <w:t>repThreshUl</w:t>
            </w:r>
          </w:p>
        </w:tc>
        <w:tc>
          <w:tcPr>
            <w:tcW w:w="1842" w:type="dxa"/>
            <w:shd w:val="clear" w:color="auto" w:fill="auto"/>
          </w:tcPr>
          <w:p w:rsidR="00CB0DD7" w:rsidRPr="000A0A5F" w:rsidRDefault="00CB0DD7">
            <w:pPr>
              <w:pStyle w:val="TAL"/>
              <w:rPr>
                <w:rFonts w:eastAsia="Times New Roman"/>
              </w:rPr>
            </w:pPr>
            <w:r w:rsidRPr="000A0A5F">
              <w:rPr>
                <w:lang w:eastAsia="zh-CN"/>
              </w:rPr>
              <w:t>Uinteger</w:t>
            </w:r>
          </w:p>
        </w:tc>
        <w:tc>
          <w:tcPr>
            <w:tcW w:w="1134" w:type="dxa"/>
          </w:tcPr>
          <w:p w:rsidR="00CB0DD7" w:rsidRPr="000A0A5F" w:rsidRDefault="00CB0DD7">
            <w:pPr>
              <w:pStyle w:val="TAC"/>
              <w:jc w:val="left"/>
              <w:rPr>
                <w:lang w:eastAsia="zh-CN"/>
              </w:rPr>
            </w:pPr>
            <w:r w:rsidRPr="000A0A5F">
              <w:rPr>
                <w:lang w:eastAsia="zh-CN"/>
              </w:rPr>
              <w:t>0..1</w:t>
            </w:r>
          </w:p>
        </w:tc>
        <w:tc>
          <w:tcPr>
            <w:tcW w:w="3687" w:type="dxa"/>
          </w:tcPr>
          <w:p w:rsidR="00CB0DD7" w:rsidRPr="000A0A5F" w:rsidRDefault="00CB0DD7">
            <w:pPr>
              <w:pStyle w:val="TAL"/>
              <w:rPr>
                <w:rFonts w:cs="Arial"/>
                <w:szCs w:val="18"/>
                <w:lang w:eastAsia="zh-CN"/>
              </w:rPr>
            </w:pPr>
            <w:r w:rsidRPr="000A0A5F">
              <w:t xml:space="preserve">Unsigned integer </w:t>
            </w:r>
            <w:r w:rsidRPr="000A0A5F">
              <w:rPr>
                <w:lang w:eastAsia="zh-CN"/>
              </w:rPr>
              <w:t xml:space="preserve">identifying a threshold in units of milliseconds for </w:t>
            </w:r>
            <w:r w:rsidRPr="000A0A5F">
              <w:t>UL packet delay</w:t>
            </w:r>
            <w:r w:rsidR="009A68D3" w:rsidRPr="000A0A5F">
              <w:t xml:space="preserve"> for packet delay or packet delay variation measurement reports</w:t>
            </w:r>
            <w:r w:rsidRPr="000A0A5F">
              <w:t>.</w:t>
            </w:r>
            <w:r w:rsidRPr="000A0A5F">
              <w:rPr>
                <w:lang w:eastAsia="zh-CN"/>
              </w:rPr>
              <w:t xml:space="preserve"> It shall be present when the </w:t>
            </w:r>
            <w:r w:rsidR="00065505" w:rsidRPr="000A0A5F">
              <w:t>"</w:t>
            </w:r>
            <w:r w:rsidR="00065505" w:rsidRPr="000A0A5F">
              <w:rPr>
                <w:noProof/>
                <w:lang w:eastAsia="zh-CN"/>
              </w:rPr>
              <w:t>reqQosMonParams</w:t>
            </w:r>
            <w:r w:rsidR="00065505" w:rsidRPr="000A0A5F">
              <w:t>" attribute includes "UPLINK"</w:t>
            </w:r>
            <w:r w:rsidRPr="000A0A5F">
              <w:t>.</w:t>
            </w:r>
          </w:p>
        </w:tc>
        <w:tc>
          <w:tcPr>
            <w:tcW w:w="1235" w:type="dxa"/>
          </w:tcPr>
          <w:p w:rsidR="00CB0DD7" w:rsidRPr="000A0A5F" w:rsidRDefault="00CB0DD7">
            <w:pPr>
              <w:pStyle w:val="TAC"/>
              <w:jc w:val="left"/>
              <w:rPr>
                <w:rFonts w:eastAsia="Times New Roman"/>
              </w:rPr>
            </w:pPr>
          </w:p>
        </w:tc>
      </w:tr>
      <w:tr w:rsidR="00CB0DD7" w:rsidRPr="000A0A5F" w:rsidTr="00FF0AF8">
        <w:trPr>
          <w:jc w:val="center"/>
        </w:trPr>
        <w:tc>
          <w:tcPr>
            <w:tcW w:w="1661" w:type="dxa"/>
            <w:shd w:val="clear" w:color="auto" w:fill="auto"/>
          </w:tcPr>
          <w:p w:rsidR="00CB0DD7" w:rsidRPr="000A0A5F" w:rsidRDefault="00CB0DD7">
            <w:pPr>
              <w:pStyle w:val="TAL"/>
              <w:rPr>
                <w:lang w:eastAsia="zh-CN"/>
              </w:rPr>
            </w:pPr>
            <w:r w:rsidRPr="000A0A5F">
              <w:rPr>
                <w:lang w:eastAsia="zh-CN"/>
              </w:rPr>
              <w:t>repThreshRp</w:t>
            </w:r>
          </w:p>
        </w:tc>
        <w:tc>
          <w:tcPr>
            <w:tcW w:w="1842" w:type="dxa"/>
            <w:shd w:val="clear" w:color="auto" w:fill="auto"/>
          </w:tcPr>
          <w:p w:rsidR="00CB0DD7" w:rsidRPr="000A0A5F" w:rsidRDefault="00CB0DD7">
            <w:pPr>
              <w:pStyle w:val="TAL"/>
              <w:rPr>
                <w:lang w:eastAsia="zh-CN"/>
              </w:rPr>
            </w:pPr>
            <w:r w:rsidRPr="000A0A5F">
              <w:rPr>
                <w:lang w:eastAsia="zh-CN"/>
              </w:rPr>
              <w:t>Uinteger</w:t>
            </w:r>
          </w:p>
        </w:tc>
        <w:tc>
          <w:tcPr>
            <w:tcW w:w="1134" w:type="dxa"/>
          </w:tcPr>
          <w:p w:rsidR="00CB0DD7" w:rsidRPr="000A0A5F" w:rsidRDefault="00CB0DD7">
            <w:pPr>
              <w:pStyle w:val="TAC"/>
              <w:jc w:val="left"/>
              <w:rPr>
                <w:lang w:eastAsia="zh-CN"/>
              </w:rPr>
            </w:pPr>
            <w:r w:rsidRPr="000A0A5F">
              <w:rPr>
                <w:lang w:eastAsia="zh-CN"/>
              </w:rPr>
              <w:t>0..1</w:t>
            </w:r>
          </w:p>
        </w:tc>
        <w:tc>
          <w:tcPr>
            <w:tcW w:w="3687" w:type="dxa"/>
          </w:tcPr>
          <w:p w:rsidR="00CB0DD7" w:rsidRPr="000A0A5F" w:rsidRDefault="00CB0DD7">
            <w:pPr>
              <w:pStyle w:val="TAL"/>
              <w:rPr>
                <w:rFonts w:cs="Arial"/>
                <w:szCs w:val="18"/>
                <w:lang w:eastAsia="zh-CN"/>
              </w:rPr>
            </w:pPr>
            <w:r w:rsidRPr="000A0A5F">
              <w:t xml:space="preserve">Unsigned integer </w:t>
            </w:r>
            <w:r w:rsidRPr="000A0A5F">
              <w:rPr>
                <w:lang w:eastAsia="zh-CN"/>
              </w:rPr>
              <w:t>identifying a threshold in units of milliseconds for round trip</w:t>
            </w:r>
            <w:r w:rsidRPr="000A0A5F">
              <w:t xml:space="preserve"> packet delay</w:t>
            </w:r>
            <w:r w:rsidR="009A68D3" w:rsidRPr="000A0A5F">
              <w:t xml:space="preserve"> for packet delay or packet delay variation measurement reports</w:t>
            </w:r>
            <w:r w:rsidRPr="000A0A5F">
              <w:t xml:space="preserve">. </w:t>
            </w:r>
            <w:r w:rsidRPr="000A0A5F">
              <w:rPr>
                <w:lang w:eastAsia="zh-CN"/>
              </w:rPr>
              <w:t xml:space="preserve">It shall be present when the </w:t>
            </w:r>
            <w:r w:rsidR="00065505" w:rsidRPr="000A0A5F">
              <w:t>"</w:t>
            </w:r>
            <w:r w:rsidR="00065505" w:rsidRPr="000A0A5F">
              <w:rPr>
                <w:noProof/>
                <w:lang w:eastAsia="zh-CN"/>
              </w:rPr>
              <w:t>reqQosMonParams</w:t>
            </w:r>
            <w:r w:rsidR="00065505" w:rsidRPr="000A0A5F">
              <w:t>" attribute includes "ROUND_TRIP"</w:t>
            </w:r>
            <w:r w:rsidRPr="000A0A5F">
              <w:t>.</w:t>
            </w:r>
          </w:p>
        </w:tc>
        <w:tc>
          <w:tcPr>
            <w:tcW w:w="1235" w:type="dxa"/>
          </w:tcPr>
          <w:p w:rsidR="00CB0DD7" w:rsidRPr="000A0A5F" w:rsidRDefault="00CB0DD7">
            <w:pPr>
              <w:pStyle w:val="TAC"/>
              <w:jc w:val="left"/>
              <w:rPr>
                <w:rFonts w:eastAsia="Times New Roman"/>
              </w:rPr>
            </w:pPr>
          </w:p>
        </w:tc>
      </w:tr>
      <w:tr w:rsidR="00AB426B" w:rsidRPr="000A0A5F" w:rsidTr="00FF0AF8">
        <w:trPr>
          <w:jc w:val="center"/>
        </w:trPr>
        <w:tc>
          <w:tcPr>
            <w:tcW w:w="1661" w:type="dxa"/>
            <w:shd w:val="clear" w:color="auto" w:fill="auto"/>
          </w:tcPr>
          <w:p w:rsidR="00AB426B" w:rsidRPr="000A0A5F" w:rsidRDefault="00AB426B" w:rsidP="00AB426B">
            <w:pPr>
              <w:pStyle w:val="TAL"/>
              <w:rPr>
                <w:lang w:eastAsia="zh-CN"/>
              </w:rPr>
            </w:pPr>
            <w:r w:rsidRPr="000A0A5F">
              <w:rPr>
                <w:lang w:eastAsia="zh-CN"/>
              </w:rPr>
              <w:t>conThreshDl</w:t>
            </w:r>
          </w:p>
        </w:tc>
        <w:tc>
          <w:tcPr>
            <w:tcW w:w="1842" w:type="dxa"/>
            <w:shd w:val="clear" w:color="auto" w:fill="auto"/>
          </w:tcPr>
          <w:p w:rsidR="00AB426B" w:rsidRPr="000A0A5F" w:rsidRDefault="00AB426B" w:rsidP="00AB426B">
            <w:pPr>
              <w:pStyle w:val="TAL"/>
              <w:rPr>
                <w:lang w:eastAsia="zh-CN"/>
              </w:rPr>
            </w:pPr>
            <w:r w:rsidRPr="000A0A5F">
              <w:rPr>
                <w:lang w:eastAsia="zh-CN"/>
              </w:rPr>
              <w:t>Uinteger</w:t>
            </w:r>
          </w:p>
        </w:tc>
        <w:tc>
          <w:tcPr>
            <w:tcW w:w="1134" w:type="dxa"/>
          </w:tcPr>
          <w:p w:rsidR="00AB426B" w:rsidRPr="000A0A5F" w:rsidRDefault="00AB426B" w:rsidP="00AB426B">
            <w:pPr>
              <w:pStyle w:val="TAC"/>
              <w:jc w:val="left"/>
              <w:rPr>
                <w:lang w:eastAsia="zh-CN"/>
              </w:rPr>
            </w:pPr>
            <w:r w:rsidRPr="000A0A5F">
              <w:rPr>
                <w:lang w:eastAsia="zh-CN"/>
              </w:rPr>
              <w:t>0..1</w:t>
            </w:r>
          </w:p>
        </w:tc>
        <w:tc>
          <w:tcPr>
            <w:tcW w:w="3687" w:type="dxa"/>
          </w:tcPr>
          <w:p w:rsidR="00AB426B" w:rsidRPr="000A0A5F" w:rsidRDefault="00AB426B" w:rsidP="00AB426B">
            <w:pPr>
              <w:pStyle w:val="TAL"/>
            </w:pPr>
            <w:r w:rsidRPr="000A0A5F">
              <w:t>Indicates the</w:t>
            </w:r>
            <w:r w:rsidRPr="000A0A5F">
              <w:rPr>
                <w:lang w:eastAsia="zh-CN"/>
              </w:rPr>
              <w:t xml:space="preserve"> downlink threshold </w:t>
            </w:r>
            <w:r w:rsidRPr="000A0A5F">
              <w:t xml:space="preserve">for congestion </w:t>
            </w:r>
            <w:r w:rsidRPr="000A0A5F">
              <w:rPr>
                <w:rFonts w:hint="eastAsia"/>
                <w:lang w:eastAsia="zh-CN"/>
              </w:rPr>
              <w:t>reporting</w:t>
            </w:r>
            <w:r w:rsidRPr="000A0A5F">
              <w:rPr>
                <w:lang w:eastAsia="zh-CN"/>
              </w:rPr>
              <w:t xml:space="preserve">, i.e. for the reporting of the received ECN marking percentage for DL. Only applicable when the </w:t>
            </w:r>
            <w:r w:rsidRPr="000A0A5F">
              <w:t>"</w:t>
            </w:r>
            <w:r w:rsidRPr="000A0A5F">
              <w:rPr>
                <w:noProof/>
                <w:lang w:eastAsia="zh-CN"/>
              </w:rPr>
              <w:t>repFreqs</w:t>
            </w:r>
            <w:r w:rsidRPr="000A0A5F">
              <w:rPr>
                <w:lang w:eastAsia="zh-CN"/>
              </w:rPr>
              <w:t xml:space="preserve">" attribute is not supplied or the </w:t>
            </w:r>
            <w:r w:rsidRPr="000A0A5F">
              <w:t>"</w:t>
            </w:r>
            <w:r w:rsidRPr="000A0A5F">
              <w:rPr>
                <w:noProof/>
                <w:lang w:eastAsia="zh-CN"/>
              </w:rPr>
              <w:t>repFreqs</w:t>
            </w:r>
            <w:r w:rsidRPr="000A0A5F">
              <w:rPr>
                <w:lang w:eastAsia="zh-CN"/>
              </w:rPr>
              <w:t>" is set to "</w:t>
            </w:r>
            <w:r w:rsidRPr="000A0A5F">
              <w:t>EVENT_DETECTION".</w:t>
            </w:r>
          </w:p>
          <w:p w:rsidR="00AB426B" w:rsidRPr="000A0A5F" w:rsidRDefault="00AB426B" w:rsidP="00AB426B">
            <w:pPr>
              <w:pStyle w:val="TAL"/>
            </w:pPr>
            <w:r w:rsidRPr="000A0A5F">
              <w:rPr>
                <w:lang w:eastAsia="ko-KR"/>
              </w:rPr>
              <w:t>Minimum = 0%.</w:t>
            </w:r>
          </w:p>
        </w:tc>
        <w:tc>
          <w:tcPr>
            <w:tcW w:w="1235" w:type="dxa"/>
          </w:tcPr>
          <w:p w:rsidR="00AB426B" w:rsidRPr="000A0A5F" w:rsidRDefault="00AB426B" w:rsidP="00AB426B">
            <w:pPr>
              <w:pStyle w:val="TAC"/>
              <w:jc w:val="left"/>
              <w:rPr>
                <w:rFonts w:eastAsia="Times New Roman"/>
              </w:rPr>
            </w:pPr>
            <w:r w:rsidRPr="000A0A5F">
              <w:rPr>
                <w:rFonts w:hint="eastAsia"/>
                <w:lang w:eastAsia="zh-CN"/>
              </w:rPr>
              <w:t>EnQoSMon</w:t>
            </w:r>
          </w:p>
        </w:tc>
      </w:tr>
      <w:tr w:rsidR="00AB426B" w:rsidRPr="000A0A5F" w:rsidTr="00FF0AF8">
        <w:trPr>
          <w:jc w:val="center"/>
        </w:trPr>
        <w:tc>
          <w:tcPr>
            <w:tcW w:w="1661" w:type="dxa"/>
            <w:shd w:val="clear" w:color="auto" w:fill="auto"/>
          </w:tcPr>
          <w:p w:rsidR="00AB426B" w:rsidRPr="000A0A5F" w:rsidRDefault="00AB426B" w:rsidP="00AB426B">
            <w:pPr>
              <w:pStyle w:val="TAL"/>
              <w:rPr>
                <w:lang w:eastAsia="zh-CN"/>
              </w:rPr>
            </w:pPr>
            <w:r w:rsidRPr="000A0A5F">
              <w:rPr>
                <w:lang w:eastAsia="zh-CN"/>
              </w:rPr>
              <w:t>conThreshUl</w:t>
            </w:r>
          </w:p>
        </w:tc>
        <w:tc>
          <w:tcPr>
            <w:tcW w:w="1842" w:type="dxa"/>
            <w:shd w:val="clear" w:color="auto" w:fill="auto"/>
          </w:tcPr>
          <w:p w:rsidR="00AB426B" w:rsidRPr="000A0A5F" w:rsidRDefault="00AB426B" w:rsidP="00AB426B">
            <w:pPr>
              <w:pStyle w:val="TAL"/>
              <w:rPr>
                <w:lang w:eastAsia="zh-CN"/>
              </w:rPr>
            </w:pPr>
            <w:r w:rsidRPr="000A0A5F">
              <w:rPr>
                <w:lang w:eastAsia="zh-CN"/>
              </w:rPr>
              <w:t>Uinteger</w:t>
            </w:r>
          </w:p>
        </w:tc>
        <w:tc>
          <w:tcPr>
            <w:tcW w:w="1134" w:type="dxa"/>
          </w:tcPr>
          <w:p w:rsidR="00AB426B" w:rsidRPr="000A0A5F" w:rsidRDefault="00AB426B" w:rsidP="00AB426B">
            <w:pPr>
              <w:pStyle w:val="TAC"/>
              <w:jc w:val="left"/>
              <w:rPr>
                <w:lang w:eastAsia="zh-CN"/>
              </w:rPr>
            </w:pPr>
            <w:r w:rsidRPr="000A0A5F">
              <w:rPr>
                <w:lang w:eastAsia="zh-CN"/>
              </w:rPr>
              <w:t>0..1</w:t>
            </w:r>
          </w:p>
        </w:tc>
        <w:tc>
          <w:tcPr>
            <w:tcW w:w="3687" w:type="dxa"/>
          </w:tcPr>
          <w:p w:rsidR="00AB426B" w:rsidRPr="000A0A5F" w:rsidRDefault="00AB426B" w:rsidP="00AB426B">
            <w:pPr>
              <w:pStyle w:val="TAL"/>
            </w:pPr>
            <w:r w:rsidRPr="000A0A5F">
              <w:t>Indicates the</w:t>
            </w:r>
            <w:r w:rsidRPr="000A0A5F">
              <w:rPr>
                <w:lang w:eastAsia="zh-CN"/>
              </w:rPr>
              <w:t xml:space="preserve"> uplink threshold </w:t>
            </w:r>
            <w:r w:rsidRPr="000A0A5F">
              <w:t xml:space="preserve">for the congestion </w:t>
            </w:r>
            <w:r w:rsidRPr="000A0A5F">
              <w:rPr>
                <w:rFonts w:hint="eastAsia"/>
                <w:lang w:eastAsia="zh-CN"/>
              </w:rPr>
              <w:t>reporting</w:t>
            </w:r>
            <w:r w:rsidRPr="000A0A5F">
              <w:rPr>
                <w:lang w:eastAsia="zh-CN"/>
              </w:rPr>
              <w:t xml:space="preserve">, i.e. for the reporting of the received ECN marking percentage for UL. Only applicable when the </w:t>
            </w:r>
            <w:r w:rsidRPr="000A0A5F">
              <w:t>"</w:t>
            </w:r>
            <w:r w:rsidRPr="000A0A5F">
              <w:rPr>
                <w:noProof/>
                <w:lang w:eastAsia="zh-CN"/>
              </w:rPr>
              <w:t>repFreqs</w:t>
            </w:r>
            <w:r w:rsidRPr="000A0A5F">
              <w:rPr>
                <w:lang w:eastAsia="zh-CN"/>
              </w:rPr>
              <w:t xml:space="preserve">" attribute is not supplied or the </w:t>
            </w:r>
            <w:r w:rsidRPr="000A0A5F">
              <w:t>"</w:t>
            </w:r>
            <w:r w:rsidRPr="000A0A5F">
              <w:rPr>
                <w:noProof/>
                <w:lang w:eastAsia="zh-CN"/>
              </w:rPr>
              <w:t>repFreqs</w:t>
            </w:r>
            <w:r w:rsidRPr="000A0A5F">
              <w:rPr>
                <w:lang w:eastAsia="zh-CN"/>
              </w:rPr>
              <w:t>" is set to "</w:t>
            </w:r>
            <w:r w:rsidRPr="000A0A5F">
              <w:t>EVENT_DETECTION".</w:t>
            </w:r>
          </w:p>
          <w:p w:rsidR="00AB426B" w:rsidRPr="000A0A5F" w:rsidRDefault="00AB426B" w:rsidP="00AB426B">
            <w:pPr>
              <w:pStyle w:val="TAL"/>
            </w:pPr>
            <w:r w:rsidRPr="000A0A5F">
              <w:rPr>
                <w:lang w:eastAsia="ko-KR"/>
              </w:rPr>
              <w:t>Minimum = 0%.</w:t>
            </w:r>
          </w:p>
        </w:tc>
        <w:tc>
          <w:tcPr>
            <w:tcW w:w="1235" w:type="dxa"/>
          </w:tcPr>
          <w:p w:rsidR="00AB426B" w:rsidRPr="000A0A5F" w:rsidRDefault="00AB426B" w:rsidP="00AB426B">
            <w:pPr>
              <w:pStyle w:val="TAC"/>
              <w:jc w:val="left"/>
              <w:rPr>
                <w:rFonts w:eastAsia="Times New Roman"/>
              </w:rPr>
            </w:pPr>
            <w:r w:rsidRPr="000A0A5F">
              <w:rPr>
                <w:rFonts w:hint="eastAsia"/>
                <w:lang w:eastAsia="zh-CN"/>
              </w:rPr>
              <w:t>EnQoSMon</w:t>
            </w:r>
          </w:p>
        </w:tc>
      </w:tr>
      <w:tr w:rsidR="00AB426B" w:rsidRPr="000A0A5F" w:rsidTr="00FF0AF8">
        <w:trPr>
          <w:jc w:val="center"/>
        </w:trPr>
        <w:tc>
          <w:tcPr>
            <w:tcW w:w="1661" w:type="dxa"/>
            <w:shd w:val="clear" w:color="auto" w:fill="auto"/>
          </w:tcPr>
          <w:p w:rsidR="00AB426B" w:rsidRPr="000A0A5F" w:rsidRDefault="00AB426B" w:rsidP="00AB426B">
            <w:pPr>
              <w:pStyle w:val="TAL"/>
              <w:rPr>
                <w:lang w:eastAsia="zh-CN"/>
              </w:rPr>
            </w:pPr>
            <w:r w:rsidRPr="000A0A5F">
              <w:rPr>
                <w:lang w:eastAsia="zh-CN"/>
              </w:rPr>
              <w:t>waitTime</w:t>
            </w:r>
          </w:p>
        </w:tc>
        <w:tc>
          <w:tcPr>
            <w:tcW w:w="1842" w:type="dxa"/>
            <w:shd w:val="clear" w:color="auto" w:fill="auto"/>
          </w:tcPr>
          <w:p w:rsidR="00AB426B" w:rsidRPr="000A0A5F" w:rsidRDefault="00AB426B" w:rsidP="00AB426B">
            <w:pPr>
              <w:pStyle w:val="TAL"/>
              <w:rPr>
                <w:lang w:eastAsia="zh-CN"/>
              </w:rPr>
            </w:pPr>
            <w:r w:rsidRPr="000A0A5F">
              <w:rPr>
                <w:lang w:eastAsia="zh-CN"/>
              </w:rPr>
              <w:t>DurationSec</w:t>
            </w:r>
          </w:p>
        </w:tc>
        <w:tc>
          <w:tcPr>
            <w:tcW w:w="1134" w:type="dxa"/>
          </w:tcPr>
          <w:p w:rsidR="00AB426B" w:rsidRPr="000A0A5F" w:rsidRDefault="00AB426B" w:rsidP="00AB426B">
            <w:pPr>
              <w:pStyle w:val="TAC"/>
              <w:jc w:val="left"/>
              <w:rPr>
                <w:lang w:eastAsia="zh-CN"/>
              </w:rPr>
            </w:pPr>
            <w:r w:rsidRPr="000A0A5F">
              <w:rPr>
                <w:lang w:eastAsia="zh-CN"/>
              </w:rPr>
              <w:t>0..1</w:t>
            </w:r>
          </w:p>
        </w:tc>
        <w:tc>
          <w:tcPr>
            <w:tcW w:w="3687" w:type="dxa"/>
          </w:tcPr>
          <w:p w:rsidR="00AB426B" w:rsidRPr="000A0A5F" w:rsidRDefault="00AB426B" w:rsidP="00AB426B">
            <w:pPr>
              <w:pStyle w:val="TAL"/>
            </w:pPr>
            <w:r w:rsidRPr="000A0A5F">
              <w:t>Indicates the minimum waiting time between subsequent reports. It shall be present when the "repFreqs" attribute includes "EVENT_TRIGGERED".</w:t>
            </w:r>
          </w:p>
        </w:tc>
        <w:tc>
          <w:tcPr>
            <w:tcW w:w="1235" w:type="dxa"/>
          </w:tcPr>
          <w:p w:rsidR="00AB426B" w:rsidRPr="000A0A5F" w:rsidRDefault="00AB426B" w:rsidP="00AB426B">
            <w:pPr>
              <w:pStyle w:val="TAC"/>
              <w:jc w:val="left"/>
              <w:rPr>
                <w:rFonts w:eastAsia="Times New Roman"/>
              </w:rPr>
            </w:pPr>
          </w:p>
        </w:tc>
      </w:tr>
      <w:tr w:rsidR="00AB426B" w:rsidRPr="000A0A5F" w:rsidTr="00FF0AF8">
        <w:trPr>
          <w:jc w:val="center"/>
        </w:trPr>
        <w:tc>
          <w:tcPr>
            <w:tcW w:w="1661" w:type="dxa"/>
            <w:shd w:val="clear" w:color="auto" w:fill="auto"/>
          </w:tcPr>
          <w:p w:rsidR="00AB426B" w:rsidRPr="000A0A5F" w:rsidRDefault="00AB426B" w:rsidP="00AB426B">
            <w:pPr>
              <w:pStyle w:val="TAL"/>
              <w:rPr>
                <w:lang w:eastAsia="zh-CN"/>
              </w:rPr>
            </w:pPr>
            <w:r w:rsidRPr="000A0A5F">
              <w:t>repPeriod</w:t>
            </w:r>
          </w:p>
        </w:tc>
        <w:tc>
          <w:tcPr>
            <w:tcW w:w="1842" w:type="dxa"/>
            <w:shd w:val="clear" w:color="auto" w:fill="auto"/>
          </w:tcPr>
          <w:p w:rsidR="00AB426B" w:rsidRPr="000A0A5F" w:rsidRDefault="00AB426B" w:rsidP="00AB426B">
            <w:pPr>
              <w:pStyle w:val="TAL"/>
              <w:rPr>
                <w:lang w:eastAsia="zh-CN"/>
              </w:rPr>
            </w:pPr>
            <w:r w:rsidRPr="000A0A5F">
              <w:t>DurationSec</w:t>
            </w:r>
          </w:p>
        </w:tc>
        <w:tc>
          <w:tcPr>
            <w:tcW w:w="1134" w:type="dxa"/>
          </w:tcPr>
          <w:p w:rsidR="00AB426B" w:rsidRPr="000A0A5F" w:rsidRDefault="00AB426B" w:rsidP="00AB426B">
            <w:pPr>
              <w:pStyle w:val="TAC"/>
              <w:jc w:val="left"/>
              <w:rPr>
                <w:lang w:eastAsia="zh-CN"/>
              </w:rPr>
            </w:pPr>
            <w:r w:rsidRPr="000A0A5F">
              <w:rPr>
                <w:rFonts w:hint="eastAsia"/>
                <w:lang w:eastAsia="zh-CN"/>
              </w:rPr>
              <w:t>0..1</w:t>
            </w:r>
          </w:p>
        </w:tc>
        <w:tc>
          <w:tcPr>
            <w:tcW w:w="3687" w:type="dxa"/>
          </w:tcPr>
          <w:p w:rsidR="00AB426B" w:rsidRPr="000A0A5F" w:rsidRDefault="00AB426B" w:rsidP="00AB426B">
            <w:pPr>
              <w:pStyle w:val="TAL"/>
            </w:pPr>
            <w:r w:rsidRPr="000A0A5F">
              <w:t>Indicates the time interval between successive reporting. I</w:t>
            </w:r>
            <w:r w:rsidRPr="000A0A5F">
              <w:rPr>
                <w:lang w:eastAsia="zh-CN"/>
              </w:rPr>
              <w:t xml:space="preserve">t shall be present when the </w:t>
            </w:r>
            <w:r w:rsidRPr="000A0A5F">
              <w:t xml:space="preserve">"repFreqs" attribute includes "PERIODIC". </w:t>
            </w:r>
          </w:p>
          <w:p w:rsidR="00AB426B" w:rsidRPr="000A0A5F" w:rsidRDefault="00AB426B" w:rsidP="00AB426B">
            <w:pPr>
              <w:pStyle w:val="TAL"/>
              <w:rPr>
                <w:rFonts w:cs="Arial"/>
                <w:szCs w:val="18"/>
                <w:lang w:eastAsia="zh-CN"/>
              </w:rPr>
            </w:pPr>
            <w:r w:rsidRPr="000A0A5F">
              <w:t>If the feature "PacketDelayFailureReport" is supported, it also indicates the time interval at which a measurement failure needs to be reported if no measurement result is provided. It shall be present when the "repFreqs" attribute includes "PERIODIC" or "EVENT_TRIGGERED".</w:t>
            </w:r>
          </w:p>
        </w:tc>
        <w:tc>
          <w:tcPr>
            <w:tcW w:w="1235" w:type="dxa"/>
          </w:tcPr>
          <w:p w:rsidR="00AB426B" w:rsidRPr="000A0A5F" w:rsidRDefault="00AB426B" w:rsidP="00AB426B">
            <w:pPr>
              <w:pStyle w:val="TAC"/>
              <w:jc w:val="left"/>
              <w:rPr>
                <w:rFonts w:eastAsia="Times New Roman"/>
              </w:rPr>
            </w:pPr>
          </w:p>
        </w:tc>
      </w:tr>
      <w:tr w:rsidR="00AB426B" w:rsidRPr="000A0A5F" w:rsidTr="00FF0AF8">
        <w:trPr>
          <w:jc w:val="center"/>
        </w:trPr>
        <w:tc>
          <w:tcPr>
            <w:tcW w:w="1661" w:type="dxa"/>
            <w:shd w:val="clear" w:color="auto" w:fill="auto"/>
          </w:tcPr>
          <w:p w:rsidR="00AB426B" w:rsidRPr="000A0A5F" w:rsidRDefault="00AB426B" w:rsidP="00AB426B">
            <w:pPr>
              <w:pStyle w:val="TAL"/>
            </w:pPr>
            <w:r w:rsidRPr="000A0A5F">
              <w:rPr>
                <w:lang w:eastAsia="zh-CN"/>
              </w:rPr>
              <w:t>repThreshDatRateDl</w:t>
            </w:r>
          </w:p>
        </w:tc>
        <w:tc>
          <w:tcPr>
            <w:tcW w:w="1842" w:type="dxa"/>
            <w:shd w:val="clear" w:color="auto" w:fill="auto"/>
          </w:tcPr>
          <w:p w:rsidR="00AB426B" w:rsidRPr="000A0A5F" w:rsidRDefault="00AB426B" w:rsidP="00AB426B">
            <w:pPr>
              <w:pStyle w:val="TAL"/>
            </w:pPr>
            <w:r w:rsidRPr="000A0A5F">
              <w:rPr>
                <w:lang w:eastAsia="zh-CN"/>
              </w:rPr>
              <w:t>BitRate</w:t>
            </w:r>
          </w:p>
        </w:tc>
        <w:tc>
          <w:tcPr>
            <w:tcW w:w="1134" w:type="dxa"/>
          </w:tcPr>
          <w:p w:rsidR="00AB426B" w:rsidRPr="000A0A5F" w:rsidRDefault="00AB426B" w:rsidP="00AB426B">
            <w:pPr>
              <w:pStyle w:val="TAC"/>
              <w:jc w:val="left"/>
              <w:rPr>
                <w:lang w:eastAsia="zh-CN"/>
              </w:rPr>
            </w:pPr>
            <w:r w:rsidRPr="000A0A5F">
              <w:rPr>
                <w:rFonts w:eastAsia="DengXian"/>
                <w:lang w:eastAsia="zh-CN"/>
              </w:rPr>
              <w:t>0..1</w:t>
            </w:r>
          </w:p>
        </w:tc>
        <w:tc>
          <w:tcPr>
            <w:tcW w:w="3687" w:type="dxa"/>
          </w:tcPr>
          <w:p w:rsidR="00AB426B" w:rsidRPr="000A0A5F" w:rsidRDefault="00AB426B" w:rsidP="00AB426B">
            <w:pPr>
              <w:pStyle w:val="TAL"/>
            </w:pPr>
            <w:r w:rsidRPr="000A0A5F">
              <w:t xml:space="preserve">Indicates the bit rate </w:t>
            </w:r>
            <w:r w:rsidRPr="000A0A5F">
              <w:rPr>
                <w:lang w:eastAsia="zh-CN"/>
              </w:rPr>
              <w:t>threshold for the DL</w:t>
            </w:r>
            <w:r w:rsidRPr="000A0A5F">
              <w:t xml:space="preserve">. </w:t>
            </w:r>
            <w:r w:rsidRPr="000A0A5F">
              <w:rPr>
                <w:lang w:eastAsia="zh-CN"/>
              </w:rPr>
              <w:t xml:space="preserve">It shall be present when the </w:t>
            </w:r>
            <w:r w:rsidRPr="000A0A5F">
              <w:t>"</w:t>
            </w:r>
            <w:r w:rsidRPr="000A0A5F">
              <w:rPr>
                <w:noProof/>
                <w:lang w:eastAsia="zh-CN"/>
              </w:rPr>
              <w:t>reqQosMonParams</w:t>
            </w:r>
            <w:r w:rsidRPr="000A0A5F">
              <w:t>" attribute includes "DOWNLINK_DATA_RATE"</w:t>
            </w:r>
            <w:r w:rsidRPr="000A0A5F">
              <w:rPr>
                <w:lang w:eastAsia="ko-KR"/>
              </w:rPr>
              <w:t>.</w:t>
            </w:r>
          </w:p>
        </w:tc>
        <w:tc>
          <w:tcPr>
            <w:tcW w:w="1235" w:type="dxa"/>
          </w:tcPr>
          <w:p w:rsidR="00AB426B" w:rsidRPr="000A0A5F" w:rsidRDefault="00AB426B" w:rsidP="00AB426B">
            <w:pPr>
              <w:pStyle w:val="TAC"/>
              <w:jc w:val="left"/>
            </w:pPr>
            <w:r w:rsidRPr="000A0A5F">
              <w:rPr>
                <w:rFonts w:hint="eastAsia"/>
                <w:lang w:eastAsia="zh-CN"/>
              </w:rPr>
              <w:t>EnQoSMon</w:t>
            </w:r>
          </w:p>
        </w:tc>
      </w:tr>
      <w:tr w:rsidR="00AB426B" w:rsidRPr="000A0A5F" w:rsidTr="00FF0AF8">
        <w:trPr>
          <w:jc w:val="center"/>
        </w:trPr>
        <w:tc>
          <w:tcPr>
            <w:tcW w:w="1661" w:type="dxa"/>
            <w:shd w:val="clear" w:color="auto" w:fill="auto"/>
          </w:tcPr>
          <w:p w:rsidR="00AB426B" w:rsidRPr="000A0A5F" w:rsidRDefault="00AB426B" w:rsidP="00AB426B">
            <w:pPr>
              <w:pStyle w:val="TAL"/>
            </w:pPr>
            <w:r w:rsidRPr="000A0A5F">
              <w:rPr>
                <w:lang w:eastAsia="zh-CN"/>
              </w:rPr>
              <w:t>repThreshDatRateUl</w:t>
            </w:r>
          </w:p>
        </w:tc>
        <w:tc>
          <w:tcPr>
            <w:tcW w:w="1842" w:type="dxa"/>
            <w:shd w:val="clear" w:color="auto" w:fill="auto"/>
          </w:tcPr>
          <w:p w:rsidR="00AB426B" w:rsidRPr="000A0A5F" w:rsidRDefault="00AB426B" w:rsidP="00AB426B">
            <w:pPr>
              <w:pStyle w:val="TAL"/>
            </w:pPr>
            <w:r w:rsidRPr="000A0A5F">
              <w:rPr>
                <w:lang w:eastAsia="zh-CN"/>
              </w:rPr>
              <w:t>BitRate</w:t>
            </w:r>
          </w:p>
        </w:tc>
        <w:tc>
          <w:tcPr>
            <w:tcW w:w="1134" w:type="dxa"/>
          </w:tcPr>
          <w:p w:rsidR="00AB426B" w:rsidRPr="000A0A5F" w:rsidRDefault="00AB426B" w:rsidP="00AB426B">
            <w:pPr>
              <w:pStyle w:val="TAC"/>
              <w:jc w:val="left"/>
              <w:rPr>
                <w:lang w:eastAsia="zh-CN"/>
              </w:rPr>
            </w:pPr>
            <w:r w:rsidRPr="000A0A5F">
              <w:t>0..1</w:t>
            </w:r>
          </w:p>
        </w:tc>
        <w:tc>
          <w:tcPr>
            <w:tcW w:w="3687" w:type="dxa"/>
          </w:tcPr>
          <w:p w:rsidR="00AB426B" w:rsidRPr="000A0A5F" w:rsidRDefault="00AB426B" w:rsidP="00AB426B">
            <w:pPr>
              <w:pStyle w:val="TAL"/>
            </w:pPr>
            <w:r w:rsidRPr="000A0A5F">
              <w:t xml:space="preserve">Indicates the bit rate </w:t>
            </w:r>
            <w:r w:rsidRPr="000A0A5F">
              <w:rPr>
                <w:lang w:eastAsia="zh-CN"/>
              </w:rPr>
              <w:t>threshold for the UL</w:t>
            </w:r>
            <w:r w:rsidRPr="000A0A5F">
              <w:t xml:space="preserve">. </w:t>
            </w:r>
            <w:r w:rsidRPr="000A0A5F">
              <w:rPr>
                <w:lang w:eastAsia="zh-CN"/>
              </w:rPr>
              <w:t xml:space="preserve">It shall be present when the </w:t>
            </w:r>
            <w:r w:rsidRPr="000A0A5F">
              <w:t>"</w:t>
            </w:r>
            <w:r w:rsidRPr="000A0A5F">
              <w:rPr>
                <w:noProof/>
                <w:lang w:eastAsia="zh-CN"/>
              </w:rPr>
              <w:t>reqQosMonParams</w:t>
            </w:r>
            <w:r w:rsidRPr="000A0A5F">
              <w:t>" attribute includes "UPLINK_DATA_RATE".</w:t>
            </w:r>
          </w:p>
        </w:tc>
        <w:tc>
          <w:tcPr>
            <w:tcW w:w="1235" w:type="dxa"/>
          </w:tcPr>
          <w:p w:rsidR="00AB426B" w:rsidRPr="000A0A5F" w:rsidRDefault="00AB426B" w:rsidP="00AB426B">
            <w:pPr>
              <w:pStyle w:val="TAC"/>
              <w:jc w:val="left"/>
            </w:pPr>
            <w:r w:rsidRPr="000A0A5F">
              <w:rPr>
                <w:rFonts w:hint="eastAsia"/>
                <w:lang w:eastAsia="zh-CN"/>
              </w:rPr>
              <w:t>EnQoSMon</w:t>
            </w:r>
          </w:p>
        </w:tc>
      </w:tr>
      <w:tr w:rsidR="006366F5" w:rsidRPr="000A0A5F" w:rsidTr="00FF0AF8">
        <w:trPr>
          <w:jc w:val="center"/>
        </w:trPr>
        <w:tc>
          <w:tcPr>
            <w:tcW w:w="1661" w:type="dxa"/>
            <w:shd w:val="clear" w:color="auto" w:fill="auto"/>
          </w:tcPr>
          <w:p w:rsidR="006366F5" w:rsidRDefault="006366F5" w:rsidP="006366F5">
            <w:pPr>
              <w:pStyle w:val="TAL"/>
              <w:rPr>
                <w:lang w:eastAsia="zh-CN"/>
              </w:rPr>
            </w:pPr>
            <w:r>
              <w:rPr>
                <w:lang w:eastAsia="zh-CN"/>
              </w:rPr>
              <w:t>consDataRateThrDl</w:t>
            </w:r>
          </w:p>
        </w:tc>
        <w:tc>
          <w:tcPr>
            <w:tcW w:w="1842" w:type="dxa"/>
            <w:shd w:val="clear" w:color="auto" w:fill="auto"/>
          </w:tcPr>
          <w:p w:rsidR="006366F5" w:rsidRDefault="006366F5" w:rsidP="006366F5">
            <w:pPr>
              <w:pStyle w:val="TAL"/>
            </w:pPr>
            <w:r>
              <w:rPr>
                <w:lang w:eastAsia="zh-CN"/>
              </w:rPr>
              <w:t>BitRate</w:t>
            </w:r>
          </w:p>
        </w:tc>
        <w:tc>
          <w:tcPr>
            <w:tcW w:w="1134" w:type="dxa"/>
          </w:tcPr>
          <w:p w:rsidR="006366F5" w:rsidRDefault="006366F5" w:rsidP="006366F5">
            <w:pPr>
              <w:pStyle w:val="TAC"/>
              <w:jc w:val="left"/>
              <w:rPr>
                <w:lang w:eastAsia="zh-CN"/>
              </w:rPr>
            </w:pPr>
            <w:r>
              <w:rPr>
                <w:lang w:eastAsia="zh-CN"/>
              </w:rPr>
              <w:t>0..1</w:t>
            </w:r>
          </w:p>
        </w:tc>
        <w:tc>
          <w:tcPr>
            <w:tcW w:w="3687" w:type="dxa"/>
          </w:tcPr>
          <w:p w:rsidR="006366F5" w:rsidRDefault="006366F5" w:rsidP="006366F5">
            <w:pPr>
              <w:pStyle w:val="TAL"/>
              <w:rPr>
                <w:lang w:eastAsia="zh-CN"/>
              </w:rPr>
            </w:pPr>
            <w:r>
              <w:rPr>
                <w:rFonts w:cs="Arial" w:hint="eastAsia"/>
                <w:szCs w:val="18"/>
                <w:lang w:eastAsia="zh-CN"/>
              </w:rPr>
              <w:t>I</w:t>
            </w:r>
            <w:r>
              <w:rPr>
                <w:rFonts w:cs="Arial"/>
                <w:szCs w:val="18"/>
                <w:lang w:eastAsia="zh-CN"/>
              </w:rPr>
              <w:t xml:space="preserve">ndicates the Downlink </w:t>
            </w:r>
            <w:r>
              <w:t>Consolidated Data Rate Threshold.</w:t>
            </w:r>
          </w:p>
        </w:tc>
        <w:tc>
          <w:tcPr>
            <w:tcW w:w="1235" w:type="dxa"/>
          </w:tcPr>
          <w:p w:rsidR="006366F5" w:rsidRDefault="006366F5" w:rsidP="006366F5">
            <w:pPr>
              <w:pStyle w:val="TAC"/>
              <w:jc w:val="left"/>
              <w:rPr>
                <w:rFonts w:cs="Arial"/>
                <w:szCs w:val="18"/>
              </w:rPr>
            </w:pPr>
            <w:r>
              <w:t>ListUE_5G</w:t>
            </w:r>
          </w:p>
        </w:tc>
      </w:tr>
      <w:tr w:rsidR="006366F5" w:rsidRPr="000A0A5F" w:rsidTr="00FF0AF8">
        <w:trPr>
          <w:jc w:val="center"/>
        </w:trPr>
        <w:tc>
          <w:tcPr>
            <w:tcW w:w="1661" w:type="dxa"/>
            <w:shd w:val="clear" w:color="auto" w:fill="auto"/>
          </w:tcPr>
          <w:p w:rsidR="006366F5" w:rsidRDefault="006366F5" w:rsidP="006366F5">
            <w:pPr>
              <w:pStyle w:val="TAL"/>
              <w:rPr>
                <w:lang w:eastAsia="zh-CN"/>
              </w:rPr>
            </w:pPr>
            <w:r>
              <w:rPr>
                <w:lang w:eastAsia="zh-CN"/>
              </w:rPr>
              <w:t>consDataRateThrUl</w:t>
            </w:r>
          </w:p>
        </w:tc>
        <w:tc>
          <w:tcPr>
            <w:tcW w:w="1842" w:type="dxa"/>
            <w:shd w:val="clear" w:color="auto" w:fill="auto"/>
          </w:tcPr>
          <w:p w:rsidR="006366F5" w:rsidRDefault="006366F5" w:rsidP="006366F5">
            <w:pPr>
              <w:pStyle w:val="TAL"/>
              <w:rPr>
                <w:lang w:eastAsia="zh-CN"/>
              </w:rPr>
            </w:pPr>
            <w:r>
              <w:rPr>
                <w:lang w:eastAsia="zh-CN"/>
              </w:rPr>
              <w:t>BitRate</w:t>
            </w:r>
          </w:p>
        </w:tc>
        <w:tc>
          <w:tcPr>
            <w:tcW w:w="1134" w:type="dxa"/>
          </w:tcPr>
          <w:p w:rsidR="006366F5" w:rsidRDefault="006366F5" w:rsidP="006366F5">
            <w:pPr>
              <w:pStyle w:val="TAC"/>
              <w:jc w:val="left"/>
              <w:rPr>
                <w:lang w:eastAsia="zh-CN"/>
              </w:rPr>
            </w:pPr>
            <w:r>
              <w:rPr>
                <w:lang w:eastAsia="zh-CN"/>
              </w:rPr>
              <w:t>0..1</w:t>
            </w:r>
          </w:p>
        </w:tc>
        <w:tc>
          <w:tcPr>
            <w:tcW w:w="3687" w:type="dxa"/>
          </w:tcPr>
          <w:p w:rsidR="006366F5" w:rsidRDefault="006366F5" w:rsidP="006366F5">
            <w:pPr>
              <w:pStyle w:val="TAL"/>
              <w:rPr>
                <w:rFonts w:cs="Arial"/>
                <w:szCs w:val="18"/>
                <w:lang w:eastAsia="zh-CN"/>
              </w:rPr>
            </w:pPr>
            <w:r>
              <w:rPr>
                <w:rFonts w:cs="Arial"/>
                <w:szCs w:val="18"/>
                <w:lang w:eastAsia="zh-CN"/>
              </w:rPr>
              <w:t>Indicates the Uplink Consolidated Data Rate Threshold.</w:t>
            </w:r>
          </w:p>
        </w:tc>
        <w:tc>
          <w:tcPr>
            <w:tcW w:w="1235" w:type="dxa"/>
          </w:tcPr>
          <w:p w:rsidR="006366F5" w:rsidRDefault="006366F5" w:rsidP="006366F5">
            <w:pPr>
              <w:pStyle w:val="TAC"/>
              <w:jc w:val="left"/>
            </w:pPr>
            <w:r>
              <w:t>ListUE_5G</w:t>
            </w:r>
          </w:p>
        </w:tc>
      </w:tr>
    </w:tbl>
    <w:p w:rsidR="00CB0DD7" w:rsidRPr="000A0A5F" w:rsidRDefault="00CB0DD7">
      <w:pPr>
        <w:rPr>
          <w:noProof/>
        </w:rPr>
      </w:pPr>
    </w:p>
    <w:p w:rsidR="002961BB" w:rsidRPr="000A0A5F" w:rsidRDefault="002961BB" w:rsidP="002961BB">
      <w:pPr>
        <w:pStyle w:val="EditorsNote"/>
      </w:pPr>
      <w:r w:rsidRPr="000A0A5F">
        <w:t>Editor’s Note: It is FFS whether the event reporting frequency applies for congestion (ECN marking percentage) information.</w:t>
      </w:r>
    </w:p>
    <w:p w:rsidR="00CB0DD7" w:rsidRPr="000A0A5F" w:rsidRDefault="00CB0DD7">
      <w:pPr>
        <w:pStyle w:val="Heading5"/>
      </w:pPr>
      <w:bookmarkStart w:id="9163" w:name="_Toc36034070"/>
      <w:bookmarkStart w:id="9164" w:name="_Toc45132217"/>
      <w:bookmarkStart w:id="9165" w:name="_Toc49776502"/>
      <w:bookmarkStart w:id="9166" w:name="_Toc51747422"/>
      <w:bookmarkStart w:id="9167" w:name="_Toc66361001"/>
      <w:bookmarkStart w:id="9168" w:name="_Toc68105506"/>
      <w:bookmarkStart w:id="9169" w:name="_Toc74756136"/>
      <w:bookmarkStart w:id="9170" w:name="_Toc105675013"/>
      <w:bookmarkStart w:id="9171" w:name="_Toc130503081"/>
      <w:bookmarkStart w:id="9172" w:name="_Toc153625869"/>
      <w:r w:rsidRPr="000A0A5F">
        <w:t>5.14.2.1.7</w:t>
      </w:r>
      <w:r w:rsidRPr="000A0A5F">
        <w:tab/>
        <w:t>Type: QosMonitoringInformationRm</w:t>
      </w:r>
      <w:bookmarkEnd w:id="9163"/>
      <w:bookmarkEnd w:id="9164"/>
      <w:bookmarkEnd w:id="9165"/>
      <w:bookmarkEnd w:id="9166"/>
      <w:bookmarkEnd w:id="9167"/>
      <w:bookmarkEnd w:id="9168"/>
      <w:bookmarkEnd w:id="9169"/>
      <w:bookmarkEnd w:id="9170"/>
      <w:bookmarkEnd w:id="9171"/>
      <w:bookmarkEnd w:id="9172"/>
    </w:p>
    <w:p w:rsidR="00CB0DD7" w:rsidRPr="000A0A5F" w:rsidRDefault="00CB0DD7">
      <w:r w:rsidRPr="000A0A5F">
        <w:t>This type represents a QoS Monitoring Information which is defined in clause 5.14.2.1.7 but defined with "nullable: true" property so it can be removed in "JSON Merge Patch", as defined in IETF RFC 7396 [39]. It shall comply with the provisions defined in table 5.14.2.1.7-1.</w:t>
      </w:r>
    </w:p>
    <w:p w:rsidR="00CB0DD7" w:rsidRPr="000A0A5F" w:rsidRDefault="00CB0DD7">
      <w:pPr>
        <w:rPr>
          <w:rFonts w:cs="Arial"/>
        </w:rPr>
      </w:pPr>
      <w:r w:rsidRPr="000A0A5F">
        <w:t xml:space="preserve">Duration and volume are also removable in "JSON Merge Patch". </w:t>
      </w:r>
    </w:p>
    <w:p w:rsidR="00CB0DD7" w:rsidRPr="000A0A5F" w:rsidRDefault="00CB0DD7"/>
    <w:p w:rsidR="00CB0DD7" w:rsidRPr="000A0A5F" w:rsidRDefault="00CB0DD7">
      <w:pPr>
        <w:pStyle w:val="TH"/>
      </w:pPr>
      <w:r w:rsidRPr="000A0A5F">
        <w:rPr>
          <w:noProof/>
        </w:rPr>
        <w:t>Table </w:t>
      </w:r>
      <w:r w:rsidRPr="000A0A5F">
        <w:t xml:space="preserve">5.14.2.1.7-1: </w:t>
      </w:r>
      <w:r w:rsidRPr="000A0A5F">
        <w:rPr>
          <w:noProof/>
        </w:rPr>
        <w:t xml:space="preserve">Definition of type </w:t>
      </w:r>
      <w:r w:rsidRPr="000A0A5F">
        <w:t>QosMonitoringInformationRm</w:t>
      </w:r>
    </w:p>
    <w:tbl>
      <w:tblPr>
        <w:tblW w:w="955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61"/>
        <w:gridCol w:w="1842"/>
        <w:gridCol w:w="1134"/>
        <w:gridCol w:w="3687"/>
        <w:gridCol w:w="1235"/>
      </w:tblGrid>
      <w:tr w:rsidR="00CB0DD7" w:rsidRPr="000A0A5F" w:rsidTr="00FF0AF8">
        <w:trPr>
          <w:trHeight w:val="288"/>
          <w:jc w:val="center"/>
        </w:trPr>
        <w:tc>
          <w:tcPr>
            <w:tcW w:w="1661" w:type="dxa"/>
            <w:shd w:val="clear" w:color="auto" w:fill="C0C0C0"/>
          </w:tcPr>
          <w:p w:rsidR="00CB0DD7" w:rsidRPr="000A0A5F" w:rsidRDefault="00CB0DD7">
            <w:pPr>
              <w:pStyle w:val="TAH"/>
              <w:rPr>
                <w:rFonts w:eastAsia="Times New Roman"/>
              </w:rPr>
            </w:pPr>
            <w:r w:rsidRPr="000A0A5F">
              <w:rPr>
                <w:rFonts w:eastAsia="Times New Roman"/>
              </w:rPr>
              <w:t>Attribute name</w:t>
            </w:r>
          </w:p>
        </w:tc>
        <w:tc>
          <w:tcPr>
            <w:tcW w:w="1842" w:type="dxa"/>
            <w:shd w:val="clear" w:color="auto" w:fill="C0C0C0"/>
          </w:tcPr>
          <w:p w:rsidR="00CB0DD7" w:rsidRPr="000A0A5F" w:rsidRDefault="00CB0DD7">
            <w:pPr>
              <w:pStyle w:val="TAH"/>
              <w:rPr>
                <w:rFonts w:eastAsia="Times New Roman"/>
              </w:rPr>
            </w:pPr>
            <w:r w:rsidRPr="000A0A5F">
              <w:rPr>
                <w:rFonts w:eastAsia="Times New Roman"/>
              </w:rPr>
              <w:t>Data type</w:t>
            </w:r>
          </w:p>
        </w:tc>
        <w:tc>
          <w:tcPr>
            <w:tcW w:w="1134" w:type="dxa"/>
            <w:shd w:val="clear" w:color="auto" w:fill="C0C0C0"/>
          </w:tcPr>
          <w:p w:rsidR="00CB0DD7" w:rsidRPr="000A0A5F" w:rsidRDefault="00CB0DD7">
            <w:pPr>
              <w:pStyle w:val="TAH"/>
              <w:rPr>
                <w:rFonts w:eastAsia="Times New Roman"/>
              </w:rPr>
            </w:pPr>
            <w:r w:rsidRPr="000A0A5F">
              <w:rPr>
                <w:rFonts w:eastAsia="Times New Roman"/>
              </w:rPr>
              <w:t>Cardinality</w:t>
            </w:r>
          </w:p>
        </w:tc>
        <w:tc>
          <w:tcPr>
            <w:tcW w:w="3687"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Description</w:t>
            </w:r>
          </w:p>
        </w:tc>
        <w:tc>
          <w:tcPr>
            <w:tcW w:w="1235" w:type="dxa"/>
            <w:shd w:val="clear" w:color="auto" w:fill="C0C0C0"/>
          </w:tcPr>
          <w:p w:rsidR="00CB0DD7" w:rsidRPr="000A0A5F" w:rsidRDefault="00CB0DD7">
            <w:pPr>
              <w:pStyle w:val="TAH"/>
              <w:rPr>
                <w:rFonts w:eastAsia="Times New Roman"/>
              </w:rPr>
            </w:pPr>
            <w:r w:rsidRPr="000A0A5F">
              <w:rPr>
                <w:rFonts w:eastAsia="Times New Roman" w:cs="Arial"/>
                <w:szCs w:val="18"/>
              </w:rPr>
              <w:t>Applicability</w:t>
            </w:r>
          </w:p>
        </w:tc>
      </w:tr>
      <w:tr w:rsidR="00CB0DD7" w:rsidRPr="000A0A5F" w:rsidTr="00FF0AF8">
        <w:trPr>
          <w:jc w:val="center"/>
        </w:trPr>
        <w:tc>
          <w:tcPr>
            <w:tcW w:w="1661" w:type="dxa"/>
            <w:shd w:val="clear" w:color="auto" w:fill="auto"/>
          </w:tcPr>
          <w:p w:rsidR="00CB0DD7" w:rsidRPr="000A0A5F" w:rsidRDefault="00CB0DD7">
            <w:pPr>
              <w:pStyle w:val="TAL"/>
              <w:rPr>
                <w:lang w:eastAsia="zh-CN"/>
              </w:rPr>
            </w:pPr>
            <w:r w:rsidRPr="000A0A5F">
              <w:rPr>
                <w:noProof/>
                <w:lang w:eastAsia="zh-CN"/>
              </w:rPr>
              <w:t>reqQosMonParams</w:t>
            </w:r>
          </w:p>
        </w:tc>
        <w:tc>
          <w:tcPr>
            <w:tcW w:w="1842" w:type="dxa"/>
            <w:shd w:val="clear" w:color="auto" w:fill="auto"/>
          </w:tcPr>
          <w:p w:rsidR="00CB0DD7" w:rsidRPr="000A0A5F" w:rsidRDefault="00CB0DD7">
            <w:pPr>
              <w:pStyle w:val="TAL"/>
              <w:rPr>
                <w:lang w:eastAsia="zh-CN"/>
              </w:rPr>
            </w:pPr>
            <w:r w:rsidRPr="000A0A5F">
              <w:rPr>
                <w:noProof/>
                <w:lang w:eastAsia="zh-CN"/>
              </w:rPr>
              <w:t>array(RequestedQosMonitoringParameter)</w:t>
            </w:r>
          </w:p>
        </w:tc>
        <w:tc>
          <w:tcPr>
            <w:tcW w:w="1134" w:type="dxa"/>
          </w:tcPr>
          <w:p w:rsidR="00CB0DD7" w:rsidRPr="000A0A5F" w:rsidRDefault="00CB0DD7">
            <w:pPr>
              <w:pStyle w:val="TAC"/>
              <w:jc w:val="left"/>
              <w:rPr>
                <w:lang w:eastAsia="zh-CN"/>
              </w:rPr>
            </w:pPr>
            <w:r w:rsidRPr="000A0A5F">
              <w:rPr>
                <w:lang w:eastAsia="zh-CN"/>
              </w:rPr>
              <w:t>0..N</w:t>
            </w:r>
          </w:p>
        </w:tc>
        <w:tc>
          <w:tcPr>
            <w:tcW w:w="3687" w:type="dxa"/>
          </w:tcPr>
          <w:p w:rsidR="00CB0DD7" w:rsidRPr="000A0A5F" w:rsidRDefault="00CB0DD7">
            <w:pPr>
              <w:pStyle w:val="TAL"/>
            </w:pPr>
            <w:r w:rsidRPr="000A0A5F">
              <w:rPr>
                <w:rFonts w:cs="Arial" w:hint="eastAsia"/>
                <w:noProof/>
                <w:szCs w:val="18"/>
                <w:lang w:eastAsia="zh-CN"/>
              </w:rPr>
              <w:t xml:space="preserve">Indicates </w:t>
            </w:r>
            <w:r w:rsidRPr="000A0A5F">
              <w:t xml:space="preserve">the </w:t>
            </w:r>
            <w:r w:rsidR="0098524E" w:rsidRPr="000A0A5F">
              <w:t>QoS information to be measured, e.g.</w:t>
            </w:r>
            <w:r w:rsidRPr="000A0A5F">
              <w:t>UL</w:t>
            </w:r>
            <w:r w:rsidRPr="000A0A5F">
              <w:rPr>
                <w:lang w:val="en-US"/>
              </w:rPr>
              <w:t xml:space="preserve"> packet delay,</w:t>
            </w:r>
            <w:r w:rsidRPr="000A0A5F">
              <w:t xml:space="preserve"> DL</w:t>
            </w:r>
            <w:r w:rsidRPr="000A0A5F">
              <w:rPr>
                <w:lang w:val="en-US"/>
              </w:rPr>
              <w:t xml:space="preserve"> packet delay</w:t>
            </w:r>
            <w:r w:rsidRPr="000A0A5F">
              <w:t xml:space="preserve"> and/or round trip packet delay between the UE and the UPF is to be monitored when the QoS Monitoring for </w:t>
            </w:r>
            <w:r w:rsidR="0098524E" w:rsidRPr="000A0A5F">
              <w:t>packet delay</w:t>
            </w:r>
            <w:r w:rsidRPr="000A0A5F">
              <w:t xml:space="preserve"> is enabled for the service data flow</w:t>
            </w:r>
            <w:r w:rsidRPr="000A0A5F">
              <w:rPr>
                <w:rFonts w:cs="Arial"/>
                <w:noProof/>
                <w:szCs w:val="18"/>
                <w:lang w:eastAsia="zh-CN"/>
              </w:rPr>
              <w:t>.</w:t>
            </w:r>
          </w:p>
        </w:tc>
        <w:tc>
          <w:tcPr>
            <w:tcW w:w="1235" w:type="dxa"/>
          </w:tcPr>
          <w:p w:rsidR="00CB0DD7" w:rsidRPr="000A0A5F" w:rsidRDefault="00CB0DD7">
            <w:pPr>
              <w:pStyle w:val="TAC"/>
              <w:jc w:val="left"/>
              <w:rPr>
                <w:rFonts w:eastAsia="Times New Roman"/>
              </w:rPr>
            </w:pPr>
          </w:p>
        </w:tc>
      </w:tr>
      <w:tr w:rsidR="00CB0DD7" w:rsidRPr="000A0A5F" w:rsidTr="00FF0AF8">
        <w:trPr>
          <w:jc w:val="center"/>
        </w:trPr>
        <w:tc>
          <w:tcPr>
            <w:tcW w:w="1661" w:type="dxa"/>
            <w:shd w:val="clear" w:color="auto" w:fill="auto"/>
          </w:tcPr>
          <w:p w:rsidR="00CB0DD7" w:rsidRPr="000A0A5F" w:rsidRDefault="00CB0DD7">
            <w:pPr>
              <w:pStyle w:val="TAL"/>
              <w:rPr>
                <w:lang w:eastAsia="zh-CN"/>
              </w:rPr>
            </w:pPr>
            <w:r w:rsidRPr="000A0A5F">
              <w:rPr>
                <w:noProof/>
                <w:lang w:eastAsia="zh-CN"/>
              </w:rPr>
              <w:t>repFreqs</w:t>
            </w:r>
          </w:p>
        </w:tc>
        <w:tc>
          <w:tcPr>
            <w:tcW w:w="1842" w:type="dxa"/>
            <w:shd w:val="clear" w:color="auto" w:fill="auto"/>
          </w:tcPr>
          <w:p w:rsidR="00CB0DD7" w:rsidRPr="000A0A5F" w:rsidRDefault="00CB0DD7">
            <w:pPr>
              <w:pStyle w:val="TAL"/>
              <w:rPr>
                <w:lang w:eastAsia="zh-CN"/>
              </w:rPr>
            </w:pPr>
            <w:r w:rsidRPr="000A0A5F">
              <w:rPr>
                <w:noProof/>
                <w:lang w:eastAsia="zh-CN"/>
              </w:rPr>
              <w:t>array(</w:t>
            </w:r>
            <w:r w:rsidRPr="000A0A5F">
              <w:rPr>
                <w:rFonts w:hint="eastAsia"/>
                <w:noProof/>
                <w:lang w:eastAsia="zh-CN"/>
              </w:rPr>
              <w:t>ReportingFrequency</w:t>
            </w:r>
            <w:r w:rsidRPr="000A0A5F">
              <w:rPr>
                <w:noProof/>
                <w:lang w:eastAsia="zh-CN"/>
              </w:rPr>
              <w:t>)</w:t>
            </w:r>
          </w:p>
        </w:tc>
        <w:tc>
          <w:tcPr>
            <w:tcW w:w="1134" w:type="dxa"/>
          </w:tcPr>
          <w:p w:rsidR="00CB0DD7" w:rsidRPr="000A0A5F" w:rsidRDefault="00CB0DD7">
            <w:pPr>
              <w:pStyle w:val="TAC"/>
              <w:jc w:val="left"/>
              <w:rPr>
                <w:lang w:eastAsia="zh-CN"/>
              </w:rPr>
            </w:pPr>
            <w:r w:rsidRPr="000A0A5F">
              <w:rPr>
                <w:lang w:eastAsia="zh-CN"/>
              </w:rPr>
              <w:t>0..N</w:t>
            </w:r>
          </w:p>
        </w:tc>
        <w:tc>
          <w:tcPr>
            <w:tcW w:w="3687" w:type="dxa"/>
          </w:tcPr>
          <w:p w:rsidR="00CB0DD7" w:rsidRPr="000A0A5F" w:rsidRDefault="00CB0DD7">
            <w:pPr>
              <w:pStyle w:val="TAL"/>
            </w:pPr>
            <w:r w:rsidRPr="000A0A5F">
              <w:rPr>
                <w:lang w:eastAsia="ko-KR"/>
              </w:rPr>
              <w:t xml:space="preserve">Indicates the </w:t>
            </w:r>
            <w:r w:rsidRPr="000A0A5F">
              <w:rPr>
                <w:lang w:val="en-US"/>
              </w:rPr>
              <w:t>frequency for the reporting, such as</w:t>
            </w:r>
            <w:r w:rsidRPr="000A0A5F">
              <w:rPr>
                <w:lang w:eastAsia="ko-KR"/>
              </w:rPr>
              <w:t xml:space="preserve"> event triggered</w:t>
            </w:r>
            <w:r w:rsidR="00405709" w:rsidRPr="000A0A5F">
              <w:rPr>
                <w:lang w:eastAsia="ko-KR"/>
              </w:rPr>
              <w:t>and/or</w:t>
            </w:r>
            <w:r w:rsidRPr="000A0A5F">
              <w:rPr>
                <w:lang w:eastAsia="ko-KR"/>
              </w:rPr>
              <w:t xml:space="preserve"> </w:t>
            </w:r>
            <w:r w:rsidRPr="000A0A5F">
              <w:rPr>
                <w:lang w:val="en-US"/>
              </w:rPr>
              <w:t>periodic</w:t>
            </w:r>
            <w:r w:rsidRPr="000A0A5F">
              <w:rPr>
                <w:rFonts w:cs="Arial"/>
                <w:noProof/>
                <w:szCs w:val="18"/>
                <w:lang w:eastAsia="zh-CN"/>
              </w:rPr>
              <w:t>.</w:t>
            </w:r>
          </w:p>
        </w:tc>
        <w:tc>
          <w:tcPr>
            <w:tcW w:w="1235" w:type="dxa"/>
          </w:tcPr>
          <w:p w:rsidR="00CB0DD7" w:rsidRPr="000A0A5F" w:rsidRDefault="00CB0DD7">
            <w:pPr>
              <w:pStyle w:val="TAC"/>
              <w:jc w:val="left"/>
              <w:rPr>
                <w:rFonts w:eastAsia="Times New Roman"/>
              </w:rPr>
            </w:pPr>
          </w:p>
        </w:tc>
      </w:tr>
      <w:tr w:rsidR="00CB0DD7" w:rsidRPr="000A0A5F" w:rsidTr="00FF0AF8">
        <w:trPr>
          <w:jc w:val="center"/>
        </w:trPr>
        <w:tc>
          <w:tcPr>
            <w:tcW w:w="1661" w:type="dxa"/>
            <w:shd w:val="clear" w:color="auto" w:fill="auto"/>
          </w:tcPr>
          <w:p w:rsidR="00CB0DD7" w:rsidRPr="000A0A5F" w:rsidRDefault="00CB0DD7">
            <w:pPr>
              <w:pStyle w:val="TAL"/>
              <w:rPr>
                <w:lang w:eastAsia="zh-CN"/>
              </w:rPr>
            </w:pPr>
            <w:r w:rsidRPr="000A0A5F">
              <w:rPr>
                <w:lang w:eastAsia="zh-CN"/>
              </w:rPr>
              <w:t>repThreshDl</w:t>
            </w:r>
          </w:p>
        </w:tc>
        <w:tc>
          <w:tcPr>
            <w:tcW w:w="1842" w:type="dxa"/>
            <w:shd w:val="clear" w:color="auto" w:fill="auto"/>
          </w:tcPr>
          <w:p w:rsidR="00CB0DD7" w:rsidRPr="000A0A5F" w:rsidRDefault="00CB0DD7">
            <w:pPr>
              <w:pStyle w:val="TAL"/>
              <w:rPr>
                <w:lang w:eastAsia="zh-CN"/>
              </w:rPr>
            </w:pPr>
            <w:r w:rsidRPr="000A0A5F">
              <w:rPr>
                <w:lang w:eastAsia="zh-CN"/>
              </w:rPr>
              <w:t>UintegerRm</w:t>
            </w:r>
          </w:p>
        </w:tc>
        <w:tc>
          <w:tcPr>
            <w:tcW w:w="1134" w:type="dxa"/>
          </w:tcPr>
          <w:p w:rsidR="00CB0DD7" w:rsidRPr="000A0A5F" w:rsidRDefault="00CB0DD7">
            <w:pPr>
              <w:pStyle w:val="TAC"/>
              <w:jc w:val="left"/>
              <w:rPr>
                <w:lang w:eastAsia="zh-CN"/>
              </w:rPr>
            </w:pPr>
            <w:r w:rsidRPr="000A0A5F">
              <w:rPr>
                <w:lang w:eastAsia="zh-CN"/>
              </w:rPr>
              <w:t>0..1</w:t>
            </w:r>
          </w:p>
        </w:tc>
        <w:tc>
          <w:tcPr>
            <w:tcW w:w="3687" w:type="dxa"/>
          </w:tcPr>
          <w:p w:rsidR="00CB0DD7" w:rsidRPr="000A0A5F" w:rsidRDefault="00CB0DD7">
            <w:pPr>
              <w:pStyle w:val="TAL"/>
              <w:rPr>
                <w:rFonts w:cs="Arial"/>
                <w:szCs w:val="18"/>
                <w:lang w:eastAsia="zh-CN"/>
              </w:rPr>
            </w:pPr>
            <w:r w:rsidRPr="000A0A5F">
              <w:t xml:space="preserve">Unsigned integer </w:t>
            </w:r>
            <w:r w:rsidRPr="000A0A5F">
              <w:rPr>
                <w:lang w:eastAsia="zh-CN"/>
              </w:rPr>
              <w:t>identifying a threshold in units of milliseconds for D</w:t>
            </w:r>
            <w:r w:rsidRPr="000A0A5F">
              <w:t>L packet delay</w:t>
            </w:r>
            <w:r w:rsidR="009A68D3" w:rsidRPr="000A0A5F">
              <w:t xml:space="preserve"> for packet delay or packet delay variation measurement reports</w:t>
            </w:r>
            <w:r w:rsidRPr="000A0A5F">
              <w:rPr>
                <w:lang w:eastAsia="zh-CN"/>
              </w:rPr>
              <w:t xml:space="preserve">. It shall be present when the </w:t>
            </w:r>
            <w:r w:rsidR="00641176" w:rsidRPr="000A0A5F">
              <w:t>"</w:t>
            </w:r>
            <w:r w:rsidR="00641176" w:rsidRPr="000A0A5F">
              <w:rPr>
                <w:noProof/>
                <w:lang w:eastAsia="zh-CN"/>
              </w:rPr>
              <w:t>reqQosMonParams</w:t>
            </w:r>
            <w:r w:rsidR="00641176" w:rsidRPr="000A0A5F">
              <w:t>" attribute includes "DOWNLINK"</w:t>
            </w:r>
            <w:r w:rsidRPr="000A0A5F">
              <w:t>.</w:t>
            </w:r>
          </w:p>
        </w:tc>
        <w:tc>
          <w:tcPr>
            <w:tcW w:w="1235" w:type="dxa"/>
          </w:tcPr>
          <w:p w:rsidR="00CB0DD7" w:rsidRPr="000A0A5F" w:rsidRDefault="00CB0DD7">
            <w:pPr>
              <w:pStyle w:val="TAC"/>
              <w:jc w:val="left"/>
              <w:rPr>
                <w:rFonts w:eastAsia="Times New Roman"/>
              </w:rPr>
            </w:pPr>
          </w:p>
        </w:tc>
      </w:tr>
      <w:tr w:rsidR="00CB0DD7" w:rsidRPr="000A0A5F" w:rsidTr="00FF0AF8">
        <w:trPr>
          <w:jc w:val="center"/>
        </w:trPr>
        <w:tc>
          <w:tcPr>
            <w:tcW w:w="1661" w:type="dxa"/>
            <w:shd w:val="clear" w:color="auto" w:fill="auto"/>
          </w:tcPr>
          <w:p w:rsidR="00CB0DD7" w:rsidRPr="000A0A5F" w:rsidRDefault="00CB0DD7">
            <w:pPr>
              <w:pStyle w:val="TAL"/>
              <w:rPr>
                <w:rFonts w:eastAsia="Times New Roman"/>
              </w:rPr>
            </w:pPr>
            <w:r w:rsidRPr="000A0A5F">
              <w:rPr>
                <w:lang w:eastAsia="zh-CN"/>
              </w:rPr>
              <w:t>repThreshUl</w:t>
            </w:r>
          </w:p>
        </w:tc>
        <w:tc>
          <w:tcPr>
            <w:tcW w:w="1842" w:type="dxa"/>
            <w:shd w:val="clear" w:color="auto" w:fill="auto"/>
          </w:tcPr>
          <w:p w:rsidR="00CB0DD7" w:rsidRPr="000A0A5F" w:rsidRDefault="00CB0DD7">
            <w:pPr>
              <w:pStyle w:val="TAL"/>
              <w:rPr>
                <w:rFonts w:eastAsia="Times New Roman"/>
              </w:rPr>
            </w:pPr>
            <w:r w:rsidRPr="000A0A5F">
              <w:rPr>
                <w:lang w:eastAsia="zh-CN"/>
              </w:rPr>
              <w:t>UintegerRm</w:t>
            </w:r>
          </w:p>
        </w:tc>
        <w:tc>
          <w:tcPr>
            <w:tcW w:w="1134" w:type="dxa"/>
          </w:tcPr>
          <w:p w:rsidR="00CB0DD7" w:rsidRPr="000A0A5F" w:rsidRDefault="00CB0DD7">
            <w:pPr>
              <w:pStyle w:val="TAC"/>
              <w:jc w:val="left"/>
              <w:rPr>
                <w:lang w:eastAsia="zh-CN"/>
              </w:rPr>
            </w:pPr>
            <w:r w:rsidRPr="000A0A5F">
              <w:rPr>
                <w:lang w:eastAsia="zh-CN"/>
              </w:rPr>
              <w:t>0..1</w:t>
            </w:r>
          </w:p>
        </w:tc>
        <w:tc>
          <w:tcPr>
            <w:tcW w:w="3687" w:type="dxa"/>
          </w:tcPr>
          <w:p w:rsidR="00CB0DD7" w:rsidRPr="000A0A5F" w:rsidRDefault="00CB0DD7">
            <w:pPr>
              <w:pStyle w:val="TAL"/>
              <w:rPr>
                <w:rFonts w:cs="Arial"/>
                <w:szCs w:val="18"/>
                <w:lang w:eastAsia="zh-CN"/>
              </w:rPr>
            </w:pPr>
            <w:r w:rsidRPr="000A0A5F">
              <w:t xml:space="preserve">Unsigned integer </w:t>
            </w:r>
            <w:r w:rsidRPr="000A0A5F">
              <w:rPr>
                <w:lang w:eastAsia="zh-CN"/>
              </w:rPr>
              <w:t xml:space="preserve">identifying a threshold in units of milliseconds for </w:t>
            </w:r>
            <w:r w:rsidRPr="000A0A5F">
              <w:t>UL packet delay</w:t>
            </w:r>
            <w:r w:rsidR="009A68D3" w:rsidRPr="000A0A5F">
              <w:t xml:space="preserve"> for packet delay or packet delay variation measurement reports</w:t>
            </w:r>
            <w:r w:rsidRPr="000A0A5F">
              <w:t>.</w:t>
            </w:r>
            <w:r w:rsidRPr="000A0A5F">
              <w:rPr>
                <w:lang w:eastAsia="zh-CN"/>
              </w:rPr>
              <w:t xml:space="preserve"> It shall be present when the </w:t>
            </w:r>
            <w:r w:rsidR="00641176" w:rsidRPr="000A0A5F">
              <w:t>"</w:t>
            </w:r>
            <w:r w:rsidR="00641176" w:rsidRPr="000A0A5F">
              <w:rPr>
                <w:noProof/>
                <w:lang w:eastAsia="zh-CN"/>
              </w:rPr>
              <w:t>reqQosMonParams</w:t>
            </w:r>
            <w:r w:rsidR="00641176" w:rsidRPr="000A0A5F">
              <w:t>" attribute includes "UPLINK"</w:t>
            </w:r>
            <w:r w:rsidRPr="000A0A5F">
              <w:t>.</w:t>
            </w:r>
          </w:p>
        </w:tc>
        <w:tc>
          <w:tcPr>
            <w:tcW w:w="1235" w:type="dxa"/>
          </w:tcPr>
          <w:p w:rsidR="00CB0DD7" w:rsidRPr="000A0A5F" w:rsidRDefault="00CB0DD7">
            <w:pPr>
              <w:pStyle w:val="TAC"/>
              <w:jc w:val="left"/>
              <w:rPr>
                <w:rFonts w:eastAsia="Times New Roman"/>
              </w:rPr>
            </w:pPr>
          </w:p>
        </w:tc>
      </w:tr>
      <w:tr w:rsidR="00CB0DD7" w:rsidRPr="000A0A5F" w:rsidTr="00FF0AF8">
        <w:trPr>
          <w:jc w:val="center"/>
        </w:trPr>
        <w:tc>
          <w:tcPr>
            <w:tcW w:w="1661" w:type="dxa"/>
            <w:shd w:val="clear" w:color="auto" w:fill="auto"/>
          </w:tcPr>
          <w:p w:rsidR="00CB0DD7" w:rsidRPr="000A0A5F" w:rsidRDefault="00CB0DD7">
            <w:pPr>
              <w:pStyle w:val="TAL"/>
              <w:rPr>
                <w:lang w:eastAsia="zh-CN"/>
              </w:rPr>
            </w:pPr>
            <w:r w:rsidRPr="000A0A5F">
              <w:rPr>
                <w:lang w:eastAsia="zh-CN"/>
              </w:rPr>
              <w:t>repThreshRp</w:t>
            </w:r>
          </w:p>
        </w:tc>
        <w:tc>
          <w:tcPr>
            <w:tcW w:w="1842" w:type="dxa"/>
            <w:shd w:val="clear" w:color="auto" w:fill="auto"/>
          </w:tcPr>
          <w:p w:rsidR="00CB0DD7" w:rsidRPr="000A0A5F" w:rsidRDefault="00CB0DD7">
            <w:pPr>
              <w:pStyle w:val="TAL"/>
              <w:rPr>
                <w:lang w:eastAsia="zh-CN"/>
              </w:rPr>
            </w:pPr>
            <w:r w:rsidRPr="000A0A5F">
              <w:rPr>
                <w:lang w:eastAsia="zh-CN"/>
              </w:rPr>
              <w:t>UintegerRm</w:t>
            </w:r>
          </w:p>
        </w:tc>
        <w:tc>
          <w:tcPr>
            <w:tcW w:w="1134" w:type="dxa"/>
          </w:tcPr>
          <w:p w:rsidR="00CB0DD7" w:rsidRPr="000A0A5F" w:rsidRDefault="00CB0DD7">
            <w:pPr>
              <w:pStyle w:val="TAC"/>
              <w:jc w:val="left"/>
              <w:rPr>
                <w:lang w:eastAsia="zh-CN"/>
              </w:rPr>
            </w:pPr>
            <w:r w:rsidRPr="000A0A5F">
              <w:rPr>
                <w:lang w:eastAsia="zh-CN"/>
              </w:rPr>
              <w:t>0..1</w:t>
            </w:r>
          </w:p>
        </w:tc>
        <w:tc>
          <w:tcPr>
            <w:tcW w:w="3687" w:type="dxa"/>
          </w:tcPr>
          <w:p w:rsidR="00CB0DD7" w:rsidRPr="000A0A5F" w:rsidRDefault="00CB0DD7">
            <w:pPr>
              <w:pStyle w:val="TAL"/>
              <w:rPr>
                <w:rFonts w:cs="Arial"/>
                <w:szCs w:val="18"/>
                <w:lang w:eastAsia="zh-CN"/>
              </w:rPr>
            </w:pPr>
            <w:r w:rsidRPr="000A0A5F">
              <w:t xml:space="preserve">Unsigned integer </w:t>
            </w:r>
            <w:r w:rsidRPr="000A0A5F">
              <w:rPr>
                <w:lang w:eastAsia="zh-CN"/>
              </w:rPr>
              <w:t>identifying a threshold in units of milliseconds for round trip</w:t>
            </w:r>
            <w:r w:rsidRPr="000A0A5F">
              <w:t xml:space="preserve"> packet delay</w:t>
            </w:r>
            <w:r w:rsidR="009A68D3" w:rsidRPr="000A0A5F">
              <w:t xml:space="preserve"> for packet delay or packet delay variation measurement reports</w:t>
            </w:r>
            <w:r w:rsidRPr="000A0A5F">
              <w:t xml:space="preserve">. </w:t>
            </w:r>
            <w:r w:rsidRPr="000A0A5F">
              <w:rPr>
                <w:lang w:eastAsia="zh-CN"/>
              </w:rPr>
              <w:t xml:space="preserve">It shall be present when the </w:t>
            </w:r>
            <w:r w:rsidR="00B03BFC" w:rsidRPr="000A0A5F">
              <w:t>"</w:t>
            </w:r>
            <w:r w:rsidR="00B03BFC" w:rsidRPr="000A0A5F">
              <w:rPr>
                <w:noProof/>
                <w:lang w:eastAsia="zh-CN"/>
              </w:rPr>
              <w:t>reqQosMonParams</w:t>
            </w:r>
            <w:r w:rsidR="00B03BFC" w:rsidRPr="000A0A5F">
              <w:t>" attribute includes "ROUND_TRIP"</w:t>
            </w:r>
            <w:r w:rsidRPr="000A0A5F">
              <w:t>.</w:t>
            </w:r>
          </w:p>
        </w:tc>
        <w:tc>
          <w:tcPr>
            <w:tcW w:w="1235" w:type="dxa"/>
          </w:tcPr>
          <w:p w:rsidR="00CB0DD7" w:rsidRPr="000A0A5F" w:rsidRDefault="00CB0DD7">
            <w:pPr>
              <w:pStyle w:val="TAC"/>
              <w:jc w:val="left"/>
              <w:rPr>
                <w:rFonts w:eastAsia="Times New Roman"/>
              </w:rPr>
            </w:pPr>
          </w:p>
        </w:tc>
      </w:tr>
      <w:tr w:rsidR="00AB426B" w:rsidRPr="000A0A5F" w:rsidTr="00FF0AF8">
        <w:trPr>
          <w:jc w:val="center"/>
        </w:trPr>
        <w:tc>
          <w:tcPr>
            <w:tcW w:w="1661" w:type="dxa"/>
            <w:shd w:val="clear" w:color="auto" w:fill="auto"/>
          </w:tcPr>
          <w:p w:rsidR="00AB426B" w:rsidRPr="000A0A5F" w:rsidRDefault="00AB426B" w:rsidP="00AB426B">
            <w:pPr>
              <w:pStyle w:val="TAL"/>
              <w:rPr>
                <w:lang w:eastAsia="zh-CN"/>
              </w:rPr>
            </w:pPr>
            <w:r w:rsidRPr="000A0A5F">
              <w:rPr>
                <w:lang w:eastAsia="zh-CN"/>
              </w:rPr>
              <w:t>conThreshDl</w:t>
            </w:r>
          </w:p>
        </w:tc>
        <w:tc>
          <w:tcPr>
            <w:tcW w:w="1842" w:type="dxa"/>
            <w:shd w:val="clear" w:color="auto" w:fill="auto"/>
          </w:tcPr>
          <w:p w:rsidR="00AB426B" w:rsidRPr="000A0A5F" w:rsidRDefault="00AB426B" w:rsidP="00AB426B">
            <w:pPr>
              <w:pStyle w:val="TAL"/>
              <w:rPr>
                <w:lang w:eastAsia="zh-CN"/>
              </w:rPr>
            </w:pPr>
            <w:r w:rsidRPr="000A0A5F">
              <w:rPr>
                <w:lang w:eastAsia="zh-CN"/>
              </w:rPr>
              <w:t>UintegerRm</w:t>
            </w:r>
          </w:p>
        </w:tc>
        <w:tc>
          <w:tcPr>
            <w:tcW w:w="1134" w:type="dxa"/>
          </w:tcPr>
          <w:p w:rsidR="00AB426B" w:rsidRPr="000A0A5F" w:rsidRDefault="00AB426B" w:rsidP="00AB426B">
            <w:pPr>
              <w:pStyle w:val="TAC"/>
              <w:jc w:val="left"/>
              <w:rPr>
                <w:lang w:eastAsia="zh-CN"/>
              </w:rPr>
            </w:pPr>
            <w:r w:rsidRPr="000A0A5F">
              <w:rPr>
                <w:lang w:eastAsia="zh-CN"/>
              </w:rPr>
              <w:t>0..1</w:t>
            </w:r>
          </w:p>
        </w:tc>
        <w:tc>
          <w:tcPr>
            <w:tcW w:w="3687" w:type="dxa"/>
          </w:tcPr>
          <w:p w:rsidR="00AB426B" w:rsidRPr="000A0A5F" w:rsidRDefault="00AB426B" w:rsidP="00AB426B">
            <w:pPr>
              <w:pStyle w:val="TAL"/>
            </w:pPr>
            <w:r w:rsidRPr="000A0A5F">
              <w:t>Indicates the</w:t>
            </w:r>
            <w:r w:rsidRPr="000A0A5F">
              <w:rPr>
                <w:lang w:eastAsia="zh-CN"/>
              </w:rPr>
              <w:t xml:space="preserve"> downlink threshold </w:t>
            </w:r>
            <w:r w:rsidRPr="000A0A5F">
              <w:t xml:space="preserve">for congestion </w:t>
            </w:r>
            <w:r w:rsidRPr="000A0A5F">
              <w:rPr>
                <w:rFonts w:hint="eastAsia"/>
                <w:lang w:eastAsia="zh-CN"/>
              </w:rPr>
              <w:t>reporting</w:t>
            </w:r>
            <w:r w:rsidRPr="000A0A5F">
              <w:rPr>
                <w:lang w:eastAsia="zh-CN"/>
              </w:rPr>
              <w:t xml:space="preserve">, i.e. for the reporting of the received ECN marking percentage for DL. Only applicable when the </w:t>
            </w:r>
            <w:r w:rsidRPr="000A0A5F">
              <w:t>"</w:t>
            </w:r>
            <w:r w:rsidRPr="000A0A5F">
              <w:rPr>
                <w:noProof/>
                <w:lang w:eastAsia="zh-CN"/>
              </w:rPr>
              <w:t>repFreqs</w:t>
            </w:r>
            <w:r w:rsidRPr="000A0A5F">
              <w:rPr>
                <w:lang w:eastAsia="zh-CN"/>
              </w:rPr>
              <w:t xml:space="preserve">" attribute is not supplied or the </w:t>
            </w:r>
            <w:r w:rsidRPr="000A0A5F">
              <w:t>"</w:t>
            </w:r>
            <w:r w:rsidRPr="000A0A5F">
              <w:rPr>
                <w:noProof/>
                <w:lang w:eastAsia="zh-CN"/>
              </w:rPr>
              <w:t>repFreqs</w:t>
            </w:r>
            <w:r w:rsidRPr="000A0A5F">
              <w:rPr>
                <w:lang w:eastAsia="zh-CN"/>
              </w:rPr>
              <w:t>" is set to "</w:t>
            </w:r>
            <w:r w:rsidRPr="000A0A5F">
              <w:t>EVENT_DETECTION".</w:t>
            </w:r>
          </w:p>
          <w:p w:rsidR="00AB426B" w:rsidRPr="000A0A5F" w:rsidRDefault="00AB426B" w:rsidP="00AB426B">
            <w:pPr>
              <w:pStyle w:val="TAL"/>
            </w:pPr>
            <w:r w:rsidRPr="000A0A5F">
              <w:rPr>
                <w:lang w:eastAsia="ko-KR"/>
              </w:rPr>
              <w:t>Minimum = 0%.</w:t>
            </w:r>
          </w:p>
        </w:tc>
        <w:tc>
          <w:tcPr>
            <w:tcW w:w="1235" w:type="dxa"/>
          </w:tcPr>
          <w:p w:rsidR="00AB426B" w:rsidRPr="000A0A5F" w:rsidRDefault="00AB426B" w:rsidP="00AB426B">
            <w:pPr>
              <w:pStyle w:val="TAC"/>
              <w:jc w:val="left"/>
              <w:rPr>
                <w:rFonts w:eastAsia="Times New Roman"/>
              </w:rPr>
            </w:pPr>
            <w:r w:rsidRPr="000A0A5F">
              <w:rPr>
                <w:rFonts w:hint="eastAsia"/>
                <w:lang w:eastAsia="zh-CN"/>
              </w:rPr>
              <w:t>EnQoSMon</w:t>
            </w:r>
          </w:p>
        </w:tc>
      </w:tr>
      <w:tr w:rsidR="00AB426B" w:rsidRPr="000A0A5F" w:rsidTr="00FF0AF8">
        <w:trPr>
          <w:jc w:val="center"/>
        </w:trPr>
        <w:tc>
          <w:tcPr>
            <w:tcW w:w="1661" w:type="dxa"/>
            <w:shd w:val="clear" w:color="auto" w:fill="auto"/>
          </w:tcPr>
          <w:p w:rsidR="00AB426B" w:rsidRPr="000A0A5F" w:rsidRDefault="00AB426B" w:rsidP="00AB426B">
            <w:pPr>
              <w:pStyle w:val="TAL"/>
              <w:rPr>
                <w:lang w:eastAsia="zh-CN"/>
              </w:rPr>
            </w:pPr>
            <w:r w:rsidRPr="000A0A5F">
              <w:rPr>
                <w:lang w:eastAsia="zh-CN"/>
              </w:rPr>
              <w:t>conThreshUl</w:t>
            </w:r>
          </w:p>
        </w:tc>
        <w:tc>
          <w:tcPr>
            <w:tcW w:w="1842" w:type="dxa"/>
            <w:shd w:val="clear" w:color="auto" w:fill="auto"/>
          </w:tcPr>
          <w:p w:rsidR="00AB426B" w:rsidRPr="000A0A5F" w:rsidRDefault="00AB426B" w:rsidP="00AB426B">
            <w:pPr>
              <w:pStyle w:val="TAL"/>
              <w:rPr>
                <w:lang w:eastAsia="zh-CN"/>
              </w:rPr>
            </w:pPr>
            <w:r w:rsidRPr="000A0A5F">
              <w:rPr>
                <w:lang w:eastAsia="zh-CN"/>
              </w:rPr>
              <w:t>UintegerRm</w:t>
            </w:r>
          </w:p>
        </w:tc>
        <w:tc>
          <w:tcPr>
            <w:tcW w:w="1134" w:type="dxa"/>
          </w:tcPr>
          <w:p w:rsidR="00AB426B" w:rsidRPr="000A0A5F" w:rsidRDefault="00AB426B" w:rsidP="00AB426B">
            <w:pPr>
              <w:pStyle w:val="TAC"/>
              <w:jc w:val="left"/>
              <w:rPr>
                <w:lang w:eastAsia="zh-CN"/>
              </w:rPr>
            </w:pPr>
            <w:r w:rsidRPr="000A0A5F">
              <w:rPr>
                <w:lang w:eastAsia="zh-CN"/>
              </w:rPr>
              <w:t>0..1</w:t>
            </w:r>
          </w:p>
        </w:tc>
        <w:tc>
          <w:tcPr>
            <w:tcW w:w="3687" w:type="dxa"/>
          </w:tcPr>
          <w:p w:rsidR="00AB426B" w:rsidRPr="000A0A5F" w:rsidRDefault="00AB426B" w:rsidP="00AB426B">
            <w:pPr>
              <w:pStyle w:val="TAL"/>
            </w:pPr>
            <w:r w:rsidRPr="000A0A5F">
              <w:t>Indicates the</w:t>
            </w:r>
            <w:r w:rsidRPr="000A0A5F">
              <w:rPr>
                <w:lang w:eastAsia="zh-CN"/>
              </w:rPr>
              <w:t xml:space="preserve"> uplink threshold </w:t>
            </w:r>
            <w:r w:rsidRPr="000A0A5F">
              <w:t xml:space="preserve">for congestion </w:t>
            </w:r>
            <w:r w:rsidRPr="000A0A5F">
              <w:rPr>
                <w:rFonts w:hint="eastAsia"/>
                <w:lang w:eastAsia="zh-CN"/>
              </w:rPr>
              <w:t>reporting</w:t>
            </w:r>
            <w:r w:rsidRPr="000A0A5F">
              <w:rPr>
                <w:lang w:eastAsia="zh-CN"/>
              </w:rPr>
              <w:t xml:space="preserve">, i.e. for the reporting of the received ECN marking percentage for UL. Only applicable when the </w:t>
            </w:r>
            <w:r w:rsidRPr="000A0A5F">
              <w:t>"</w:t>
            </w:r>
            <w:r w:rsidRPr="000A0A5F">
              <w:rPr>
                <w:noProof/>
                <w:lang w:eastAsia="zh-CN"/>
              </w:rPr>
              <w:t>repFreqs</w:t>
            </w:r>
            <w:r w:rsidRPr="000A0A5F">
              <w:rPr>
                <w:lang w:eastAsia="zh-CN"/>
              </w:rPr>
              <w:t xml:space="preserve">" attribute is not supplied or the </w:t>
            </w:r>
            <w:r w:rsidRPr="000A0A5F">
              <w:t>"</w:t>
            </w:r>
            <w:r w:rsidRPr="000A0A5F">
              <w:rPr>
                <w:noProof/>
                <w:lang w:eastAsia="zh-CN"/>
              </w:rPr>
              <w:t>repFreqs</w:t>
            </w:r>
            <w:r w:rsidRPr="000A0A5F">
              <w:rPr>
                <w:lang w:eastAsia="zh-CN"/>
              </w:rPr>
              <w:t>" is set to "</w:t>
            </w:r>
            <w:r w:rsidRPr="000A0A5F">
              <w:t>EVENT_DETECTION".</w:t>
            </w:r>
          </w:p>
          <w:p w:rsidR="00AB426B" w:rsidRPr="000A0A5F" w:rsidRDefault="00AB426B" w:rsidP="00AB426B">
            <w:pPr>
              <w:pStyle w:val="TAL"/>
            </w:pPr>
            <w:r w:rsidRPr="000A0A5F">
              <w:rPr>
                <w:lang w:eastAsia="ko-KR"/>
              </w:rPr>
              <w:t>Minimum = 0%.</w:t>
            </w:r>
          </w:p>
        </w:tc>
        <w:tc>
          <w:tcPr>
            <w:tcW w:w="1235" w:type="dxa"/>
          </w:tcPr>
          <w:p w:rsidR="00AB426B" w:rsidRPr="000A0A5F" w:rsidRDefault="00AB426B" w:rsidP="00AB426B">
            <w:pPr>
              <w:pStyle w:val="TAC"/>
              <w:jc w:val="left"/>
              <w:rPr>
                <w:rFonts w:eastAsia="Times New Roman"/>
              </w:rPr>
            </w:pPr>
            <w:r w:rsidRPr="000A0A5F">
              <w:rPr>
                <w:rFonts w:hint="eastAsia"/>
                <w:lang w:eastAsia="zh-CN"/>
              </w:rPr>
              <w:t>EnQoSMon</w:t>
            </w:r>
          </w:p>
        </w:tc>
      </w:tr>
      <w:tr w:rsidR="00AB426B" w:rsidRPr="000A0A5F" w:rsidTr="00FF0AF8">
        <w:trPr>
          <w:jc w:val="center"/>
        </w:trPr>
        <w:tc>
          <w:tcPr>
            <w:tcW w:w="1661" w:type="dxa"/>
            <w:shd w:val="clear" w:color="auto" w:fill="auto"/>
          </w:tcPr>
          <w:p w:rsidR="00AB426B" w:rsidRPr="000A0A5F" w:rsidRDefault="00AB426B" w:rsidP="00AB426B">
            <w:pPr>
              <w:pStyle w:val="TAL"/>
              <w:rPr>
                <w:lang w:eastAsia="zh-CN"/>
              </w:rPr>
            </w:pPr>
            <w:r w:rsidRPr="000A0A5F">
              <w:rPr>
                <w:lang w:eastAsia="zh-CN"/>
              </w:rPr>
              <w:t>waitTime</w:t>
            </w:r>
          </w:p>
        </w:tc>
        <w:tc>
          <w:tcPr>
            <w:tcW w:w="1842" w:type="dxa"/>
            <w:shd w:val="clear" w:color="auto" w:fill="auto"/>
          </w:tcPr>
          <w:p w:rsidR="00AB426B" w:rsidRPr="000A0A5F" w:rsidRDefault="00AB426B" w:rsidP="00AB426B">
            <w:pPr>
              <w:pStyle w:val="TAL"/>
              <w:rPr>
                <w:lang w:eastAsia="zh-CN"/>
              </w:rPr>
            </w:pPr>
            <w:r w:rsidRPr="000A0A5F">
              <w:rPr>
                <w:lang w:eastAsia="zh-CN"/>
              </w:rPr>
              <w:t>DurationSecRm</w:t>
            </w:r>
          </w:p>
        </w:tc>
        <w:tc>
          <w:tcPr>
            <w:tcW w:w="1134" w:type="dxa"/>
          </w:tcPr>
          <w:p w:rsidR="00AB426B" w:rsidRPr="000A0A5F" w:rsidRDefault="00AB426B" w:rsidP="00AB426B">
            <w:pPr>
              <w:pStyle w:val="TAC"/>
              <w:jc w:val="left"/>
              <w:rPr>
                <w:lang w:eastAsia="zh-CN"/>
              </w:rPr>
            </w:pPr>
            <w:r w:rsidRPr="000A0A5F">
              <w:rPr>
                <w:lang w:eastAsia="zh-CN"/>
              </w:rPr>
              <w:t>0..1</w:t>
            </w:r>
          </w:p>
        </w:tc>
        <w:tc>
          <w:tcPr>
            <w:tcW w:w="3687" w:type="dxa"/>
          </w:tcPr>
          <w:p w:rsidR="00AB426B" w:rsidRPr="000A0A5F" w:rsidRDefault="00AB426B" w:rsidP="00AB426B">
            <w:pPr>
              <w:pStyle w:val="TAL"/>
            </w:pPr>
            <w:r w:rsidRPr="000A0A5F">
              <w:t>Indicates the minimum waiting time between subsequent reports. It shall be present</w:t>
            </w:r>
            <w:r w:rsidRPr="000A0A5F" w:rsidDel="00FB6AE7">
              <w:t xml:space="preserve"> </w:t>
            </w:r>
            <w:r w:rsidRPr="000A0A5F">
              <w:t>when the "repFreqs" attribute includes "EVENT_TRIGGERED".</w:t>
            </w:r>
          </w:p>
        </w:tc>
        <w:tc>
          <w:tcPr>
            <w:tcW w:w="1235" w:type="dxa"/>
          </w:tcPr>
          <w:p w:rsidR="00AB426B" w:rsidRPr="000A0A5F" w:rsidRDefault="00AB426B" w:rsidP="00AB426B">
            <w:pPr>
              <w:pStyle w:val="TAC"/>
              <w:jc w:val="left"/>
              <w:rPr>
                <w:rFonts w:eastAsia="Times New Roman"/>
              </w:rPr>
            </w:pPr>
          </w:p>
        </w:tc>
      </w:tr>
      <w:tr w:rsidR="00AB426B" w:rsidRPr="000A0A5F" w:rsidTr="00FF0AF8">
        <w:trPr>
          <w:jc w:val="center"/>
        </w:trPr>
        <w:tc>
          <w:tcPr>
            <w:tcW w:w="1661" w:type="dxa"/>
            <w:shd w:val="clear" w:color="auto" w:fill="auto"/>
          </w:tcPr>
          <w:p w:rsidR="00AB426B" w:rsidRPr="000A0A5F" w:rsidRDefault="00AB426B" w:rsidP="00AB426B">
            <w:pPr>
              <w:pStyle w:val="TAL"/>
              <w:rPr>
                <w:lang w:eastAsia="zh-CN"/>
              </w:rPr>
            </w:pPr>
            <w:r w:rsidRPr="000A0A5F">
              <w:t>repPeriod</w:t>
            </w:r>
          </w:p>
        </w:tc>
        <w:tc>
          <w:tcPr>
            <w:tcW w:w="1842" w:type="dxa"/>
            <w:shd w:val="clear" w:color="auto" w:fill="auto"/>
          </w:tcPr>
          <w:p w:rsidR="00AB426B" w:rsidRPr="000A0A5F" w:rsidRDefault="00AB426B" w:rsidP="00AB426B">
            <w:pPr>
              <w:pStyle w:val="TAL"/>
              <w:rPr>
                <w:lang w:eastAsia="zh-CN"/>
              </w:rPr>
            </w:pPr>
            <w:r w:rsidRPr="000A0A5F">
              <w:t>DurationSecRm</w:t>
            </w:r>
          </w:p>
        </w:tc>
        <w:tc>
          <w:tcPr>
            <w:tcW w:w="1134" w:type="dxa"/>
          </w:tcPr>
          <w:p w:rsidR="00AB426B" w:rsidRPr="000A0A5F" w:rsidRDefault="00AB426B" w:rsidP="00AB426B">
            <w:pPr>
              <w:pStyle w:val="TAC"/>
              <w:jc w:val="left"/>
              <w:rPr>
                <w:lang w:eastAsia="zh-CN"/>
              </w:rPr>
            </w:pPr>
            <w:r w:rsidRPr="000A0A5F">
              <w:rPr>
                <w:rFonts w:hint="eastAsia"/>
                <w:lang w:eastAsia="zh-CN"/>
              </w:rPr>
              <w:t>0..1</w:t>
            </w:r>
          </w:p>
        </w:tc>
        <w:tc>
          <w:tcPr>
            <w:tcW w:w="3687" w:type="dxa"/>
          </w:tcPr>
          <w:p w:rsidR="00AB426B" w:rsidRPr="000A0A5F" w:rsidRDefault="00AB426B" w:rsidP="00AB426B">
            <w:pPr>
              <w:pStyle w:val="TAL"/>
            </w:pPr>
            <w:r w:rsidRPr="000A0A5F">
              <w:t>Indicates the time interval between successive reporting. I</w:t>
            </w:r>
            <w:r w:rsidRPr="000A0A5F">
              <w:rPr>
                <w:lang w:eastAsia="zh-CN"/>
              </w:rPr>
              <w:t xml:space="preserve">t shall be present when the </w:t>
            </w:r>
            <w:r w:rsidRPr="000A0A5F">
              <w:t>"repFreqs" attribute includes "PERIODIC".</w:t>
            </w:r>
          </w:p>
          <w:p w:rsidR="00AB426B" w:rsidRPr="000A0A5F" w:rsidRDefault="00AB426B" w:rsidP="00AB426B">
            <w:pPr>
              <w:pStyle w:val="TAL"/>
              <w:rPr>
                <w:rFonts w:cs="Arial"/>
                <w:szCs w:val="18"/>
                <w:lang w:eastAsia="zh-CN"/>
              </w:rPr>
            </w:pPr>
            <w:r w:rsidRPr="000A0A5F">
              <w:t>If the feature "PacketDelayFailureReport" is supported, it also indicates the time interval at which a measurement failure needs to be reported if no measurement result is provided. It shall be present when the "repFreqs" attribute includes "PERIODIC" or "EVENT_TRIGGERED".</w:t>
            </w:r>
          </w:p>
        </w:tc>
        <w:tc>
          <w:tcPr>
            <w:tcW w:w="1235" w:type="dxa"/>
          </w:tcPr>
          <w:p w:rsidR="00AB426B" w:rsidRPr="000A0A5F" w:rsidRDefault="00AB426B" w:rsidP="00AB426B">
            <w:pPr>
              <w:pStyle w:val="TAC"/>
              <w:jc w:val="left"/>
              <w:rPr>
                <w:rFonts w:eastAsia="Times New Roman"/>
              </w:rPr>
            </w:pPr>
          </w:p>
        </w:tc>
      </w:tr>
      <w:tr w:rsidR="00AB426B" w:rsidRPr="000A0A5F" w:rsidTr="00FF0AF8">
        <w:trPr>
          <w:jc w:val="center"/>
        </w:trPr>
        <w:tc>
          <w:tcPr>
            <w:tcW w:w="1661" w:type="dxa"/>
            <w:shd w:val="clear" w:color="auto" w:fill="auto"/>
          </w:tcPr>
          <w:p w:rsidR="00AB426B" w:rsidRPr="000A0A5F" w:rsidRDefault="00AB426B" w:rsidP="00AB426B">
            <w:pPr>
              <w:pStyle w:val="TAL"/>
            </w:pPr>
            <w:r w:rsidRPr="000A0A5F">
              <w:rPr>
                <w:lang w:eastAsia="zh-CN"/>
              </w:rPr>
              <w:t>repThreshDatRateDl</w:t>
            </w:r>
          </w:p>
        </w:tc>
        <w:tc>
          <w:tcPr>
            <w:tcW w:w="1842" w:type="dxa"/>
            <w:shd w:val="clear" w:color="auto" w:fill="auto"/>
          </w:tcPr>
          <w:p w:rsidR="00AB426B" w:rsidRPr="000A0A5F" w:rsidRDefault="00AB426B" w:rsidP="00AB426B">
            <w:pPr>
              <w:pStyle w:val="TAL"/>
            </w:pPr>
            <w:r w:rsidRPr="000A0A5F">
              <w:rPr>
                <w:lang w:eastAsia="zh-CN"/>
              </w:rPr>
              <w:t>BitRateRm</w:t>
            </w:r>
          </w:p>
        </w:tc>
        <w:tc>
          <w:tcPr>
            <w:tcW w:w="1134" w:type="dxa"/>
          </w:tcPr>
          <w:p w:rsidR="00AB426B" w:rsidRPr="000A0A5F" w:rsidRDefault="00AB426B" w:rsidP="00AB426B">
            <w:pPr>
              <w:pStyle w:val="TAC"/>
              <w:jc w:val="left"/>
              <w:rPr>
                <w:lang w:eastAsia="zh-CN"/>
              </w:rPr>
            </w:pPr>
            <w:r w:rsidRPr="000A0A5F">
              <w:rPr>
                <w:rFonts w:eastAsia="DengXian"/>
                <w:lang w:eastAsia="zh-CN"/>
              </w:rPr>
              <w:t>0..1</w:t>
            </w:r>
          </w:p>
        </w:tc>
        <w:tc>
          <w:tcPr>
            <w:tcW w:w="3687" w:type="dxa"/>
          </w:tcPr>
          <w:p w:rsidR="00AB426B" w:rsidRPr="000A0A5F" w:rsidRDefault="00AB426B" w:rsidP="00AB426B">
            <w:pPr>
              <w:pStyle w:val="TAL"/>
            </w:pPr>
            <w:r w:rsidRPr="000A0A5F">
              <w:t xml:space="preserve">Indicates the bit rate </w:t>
            </w:r>
            <w:r w:rsidRPr="000A0A5F">
              <w:rPr>
                <w:lang w:eastAsia="zh-CN"/>
              </w:rPr>
              <w:t>threshold for the DL</w:t>
            </w:r>
            <w:r w:rsidRPr="000A0A5F">
              <w:t xml:space="preserve">. </w:t>
            </w:r>
            <w:r w:rsidRPr="000A0A5F">
              <w:rPr>
                <w:lang w:eastAsia="zh-CN"/>
              </w:rPr>
              <w:t xml:space="preserve">It shall be present when the </w:t>
            </w:r>
            <w:r w:rsidRPr="000A0A5F">
              <w:t>"</w:t>
            </w:r>
            <w:r w:rsidRPr="000A0A5F">
              <w:rPr>
                <w:noProof/>
                <w:lang w:eastAsia="zh-CN"/>
              </w:rPr>
              <w:t>reqQosMonParams</w:t>
            </w:r>
            <w:r w:rsidRPr="000A0A5F">
              <w:t>" attribute includes "DOWNLINK_DATA_RATE"</w:t>
            </w:r>
            <w:r w:rsidRPr="000A0A5F">
              <w:rPr>
                <w:lang w:eastAsia="ko-KR"/>
              </w:rPr>
              <w:t>.</w:t>
            </w:r>
          </w:p>
        </w:tc>
        <w:tc>
          <w:tcPr>
            <w:tcW w:w="1235" w:type="dxa"/>
          </w:tcPr>
          <w:p w:rsidR="00AB426B" w:rsidRPr="000A0A5F" w:rsidRDefault="00AB426B" w:rsidP="00AB426B">
            <w:pPr>
              <w:pStyle w:val="TAC"/>
              <w:jc w:val="left"/>
            </w:pPr>
            <w:r w:rsidRPr="000A0A5F">
              <w:rPr>
                <w:rFonts w:hint="eastAsia"/>
                <w:lang w:eastAsia="zh-CN"/>
              </w:rPr>
              <w:t>EnQoSMon</w:t>
            </w:r>
          </w:p>
        </w:tc>
      </w:tr>
      <w:tr w:rsidR="00AB426B" w:rsidRPr="000A0A5F" w:rsidTr="00FF0AF8">
        <w:trPr>
          <w:jc w:val="center"/>
        </w:trPr>
        <w:tc>
          <w:tcPr>
            <w:tcW w:w="1661" w:type="dxa"/>
            <w:shd w:val="clear" w:color="auto" w:fill="auto"/>
          </w:tcPr>
          <w:p w:rsidR="00AB426B" w:rsidRPr="000A0A5F" w:rsidRDefault="00AB426B" w:rsidP="00AB426B">
            <w:pPr>
              <w:pStyle w:val="TAL"/>
            </w:pPr>
            <w:r w:rsidRPr="000A0A5F">
              <w:rPr>
                <w:lang w:eastAsia="zh-CN"/>
              </w:rPr>
              <w:t>repThreshDatRateUl</w:t>
            </w:r>
          </w:p>
        </w:tc>
        <w:tc>
          <w:tcPr>
            <w:tcW w:w="1842" w:type="dxa"/>
            <w:shd w:val="clear" w:color="auto" w:fill="auto"/>
          </w:tcPr>
          <w:p w:rsidR="00AB426B" w:rsidRPr="000A0A5F" w:rsidRDefault="00AB426B" w:rsidP="00AB426B">
            <w:pPr>
              <w:pStyle w:val="TAL"/>
            </w:pPr>
            <w:r w:rsidRPr="000A0A5F">
              <w:rPr>
                <w:lang w:eastAsia="zh-CN"/>
              </w:rPr>
              <w:t>BitRateRm</w:t>
            </w:r>
          </w:p>
        </w:tc>
        <w:tc>
          <w:tcPr>
            <w:tcW w:w="1134" w:type="dxa"/>
          </w:tcPr>
          <w:p w:rsidR="00AB426B" w:rsidRPr="000A0A5F" w:rsidRDefault="00AB426B" w:rsidP="00AB426B">
            <w:pPr>
              <w:pStyle w:val="TAC"/>
              <w:jc w:val="left"/>
              <w:rPr>
                <w:lang w:eastAsia="zh-CN"/>
              </w:rPr>
            </w:pPr>
            <w:r w:rsidRPr="000A0A5F">
              <w:t>0..1</w:t>
            </w:r>
          </w:p>
        </w:tc>
        <w:tc>
          <w:tcPr>
            <w:tcW w:w="3687" w:type="dxa"/>
          </w:tcPr>
          <w:p w:rsidR="00AB426B" w:rsidRPr="000A0A5F" w:rsidRDefault="00AB426B" w:rsidP="00AB426B">
            <w:pPr>
              <w:pStyle w:val="TAL"/>
            </w:pPr>
            <w:r w:rsidRPr="000A0A5F">
              <w:t xml:space="preserve">Indicates the bit rate </w:t>
            </w:r>
            <w:r w:rsidRPr="000A0A5F">
              <w:rPr>
                <w:lang w:eastAsia="zh-CN"/>
              </w:rPr>
              <w:t>threshold for the UL</w:t>
            </w:r>
            <w:r w:rsidRPr="000A0A5F">
              <w:t xml:space="preserve">. </w:t>
            </w:r>
            <w:r w:rsidRPr="000A0A5F">
              <w:rPr>
                <w:lang w:eastAsia="zh-CN"/>
              </w:rPr>
              <w:t xml:space="preserve">It shall be present when the </w:t>
            </w:r>
            <w:r w:rsidRPr="000A0A5F">
              <w:t>"</w:t>
            </w:r>
            <w:r w:rsidRPr="000A0A5F">
              <w:rPr>
                <w:noProof/>
                <w:lang w:eastAsia="zh-CN"/>
              </w:rPr>
              <w:t>reqQosMonParams</w:t>
            </w:r>
            <w:r w:rsidRPr="000A0A5F">
              <w:t>" attribute includes "UPLINK_DATA_RATE".</w:t>
            </w:r>
          </w:p>
        </w:tc>
        <w:tc>
          <w:tcPr>
            <w:tcW w:w="1235" w:type="dxa"/>
          </w:tcPr>
          <w:p w:rsidR="00AB426B" w:rsidRPr="000A0A5F" w:rsidRDefault="00AB426B" w:rsidP="00AB426B">
            <w:pPr>
              <w:pStyle w:val="TAC"/>
              <w:jc w:val="left"/>
            </w:pPr>
            <w:r w:rsidRPr="000A0A5F">
              <w:rPr>
                <w:rFonts w:hint="eastAsia"/>
                <w:lang w:eastAsia="zh-CN"/>
              </w:rPr>
              <w:t>EnQoSMon</w:t>
            </w:r>
          </w:p>
        </w:tc>
      </w:tr>
      <w:tr w:rsidR="00A66DE6" w:rsidRPr="000A0A5F" w:rsidTr="00FF0AF8">
        <w:trPr>
          <w:jc w:val="center"/>
        </w:trPr>
        <w:tc>
          <w:tcPr>
            <w:tcW w:w="1661" w:type="dxa"/>
            <w:shd w:val="clear" w:color="auto" w:fill="auto"/>
          </w:tcPr>
          <w:p w:rsidR="00A66DE6" w:rsidRDefault="00A66DE6" w:rsidP="00A66DE6">
            <w:pPr>
              <w:pStyle w:val="TAL"/>
              <w:rPr>
                <w:lang w:eastAsia="zh-CN"/>
              </w:rPr>
            </w:pPr>
            <w:r>
              <w:rPr>
                <w:lang w:eastAsia="zh-CN"/>
              </w:rPr>
              <w:t>consDataRateThrDl</w:t>
            </w:r>
          </w:p>
        </w:tc>
        <w:tc>
          <w:tcPr>
            <w:tcW w:w="1842" w:type="dxa"/>
            <w:shd w:val="clear" w:color="auto" w:fill="auto"/>
          </w:tcPr>
          <w:p w:rsidR="00A66DE6" w:rsidRDefault="00A66DE6" w:rsidP="00A66DE6">
            <w:pPr>
              <w:pStyle w:val="TAL"/>
            </w:pPr>
            <w:r>
              <w:rPr>
                <w:lang w:eastAsia="zh-CN"/>
              </w:rPr>
              <w:t>BitRateRm</w:t>
            </w:r>
          </w:p>
        </w:tc>
        <w:tc>
          <w:tcPr>
            <w:tcW w:w="1134" w:type="dxa"/>
          </w:tcPr>
          <w:p w:rsidR="00A66DE6" w:rsidRDefault="00A66DE6" w:rsidP="00A66DE6">
            <w:pPr>
              <w:pStyle w:val="TAC"/>
              <w:jc w:val="left"/>
              <w:rPr>
                <w:lang w:eastAsia="zh-CN"/>
              </w:rPr>
            </w:pPr>
            <w:r>
              <w:rPr>
                <w:lang w:eastAsia="zh-CN"/>
              </w:rPr>
              <w:t>0..1</w:t>
            </w:r>
          </w:p>
        </w:tc>
        <w:tc>
          <w:tcPr>
            <w:tcW w:w="3687" w:type="dxa"/>
          </w:tcPr>
          <w:p w:rsidR="00A66DE6" w:rsidRDefault="00A66DE6" w:rsidP="00A66DE6">
            <w:pPr>
              <w:pStyle w:val="TAL"/>
              <w:rPr>
                <w:lang w:eastAsia="zh-CN"/>
              </w:rPr>
            </w:pPr>
            <w:r>
              <w:rPr>
                <w:rFonts w:cs="Arial" w:hint="eastAsia"/>
                <w:szCs w:val="18"/>
                <w:lang w:eastAsia="zh-CN"/>
              </w:rPr>
              <w:t>I</w:t>
            </w:r>
            <w:r>
              <w:rPr>
                <w:rFonts w:cs="Arial"/>
                <w:szCs w:val="18"/>
                <w:lang w:eastAsia="zh-CN"/>
              </w:rPr>
              <w:t xml:space="preserve">ndicates the Downlink </w:t>
            </w:r>
            <w:r>
              <w:t>Consolidated Data Rate Threshold.</w:t>
            </w:r>
          </w:p>
        </w:tc>
        <w:tc>
          <w:tcPr>
            <w:tcW w:w="1235" w:type="dxa"/>
          </w:tcPr>
          <w:p w:rsidR="00A66DE6" w:rsidRDefault="00A66DE6" w:rsidP="00A66DE6">
            <w:pPr>
              <w:pStyle w:val="TAC"/>
              <w:jc w:val="left"/>
              <w:rPr>
                <w:rFonts w:cs="Arial"/>
                <w:szCs w:val="18"/>
              </w:rPr>
            </w:pPr>
            <w:r>
              <w:t>ListUE_5G</w:t>
            </w:r>
          </w:p>
        </w:tc>
      </w:tr>
      <w:tr w:rsidR="00A66DE6" w:rsidRPr="000A0A5F" w:rsidTr="00FF0AF8">
        <w:trPr>
          <w:jc w:val="center"/>
        </w:trPr>
        <w:tc>
          <w:tcPr>
            <w:tcW w:w="1661" w:type="dxa"/>
            <w:shd w:val="clear" w:color="auto" w:fill="auto"/>
          </w:tcPr>
          <w:p w:rsidR="00A66DE6" w:rsidRDefault="00A66DE6" w:rsidP="00A66DE6">
            <w:pPr>
              <w:pStyle w:val="TAL"/>
              <w:rPr>
                <w:lang w:eastAsia="zh-CN"/>
              </w:rPr>
            </w:pPr>
            <w:r>
              <w:rPr>
                <w:lang w:eastAsia="zh-CN"/>
              </w:rPr>
              <w:t>consDataRateThrUl</w:t>
            </w:r>
          </w:p>
        </w:tc>
        <w:tc>
          <w:tcPr>
            <w:tcW w:w="1842" w:type="dxa"/>
            <w:shd w:val="clear" w:color="auto" w:fill="auto"/>
          </w:tcPr>
          <w:p w:rsidR="00A66DE6" w:rsidRDefault="00A66DE6" w:rsidP="00A66DE6">
            <w:pPr>
              <w:pStyle w:val="TAL"/>
              <w:rPr>
                <w:lang w:eastAsia="zh-CN"/>
              </w:rPr>
            </w:pPr>
            <w:r>
              <w:rPr>
                <w:lang w:eastAsia="zh-CN"/>
              </w:rPr>
              <w:t>BitRateRm</w:t>
            </w:r>
          </w:p>
        </w:tc>
        <w:tc>
          <w:tcPr>
            <w:tcW w:w="1134" w:type="dxa"/>
          </w:tcPr>
          <w:p w:rsidR="00A66DE6" w:rsidRDefault="00A66DE6" w:rsidP="00A66DE6">
            <w:pPr>
              <w:pStyle w:val="TAC"/>
              <w:jc w:val="left"/>
              <w:rPr>
                <w:lang w:eastAsia="zh-CN"/>
              </w:rPr>
            </w:pPr>
            <w:r>
              <w:rPr>
                <w:lang w:eastAsia="zh-CN"/>
              </w:rPr>
              <w:t>0..1</w:t>
            </w:r>
          </w:p>
        </w:tc>
        <w:tc>
          <w:tcPr>
            <w:tcW w:w="3687" w:type="dxa"/>
          </w:tcPr>
          <w:p w:rsidR="00A66DE6" w:rsidRDefault="00A66DE6" w:rsidP="00A66DE6">
            <w:pPr>
              <w:pStyle w:val="TAL"/>
              <w:rPr>
                <w:rFonts w:cs="Arial"/>
                <w:szCs w:val="18"/>
                <w:lang w:eastAsia="zh-CN"/>
              </w:rPr>
            </w:pPr>
            <w:r>
              <w:rPr>
                <w:rFonts w:cs="Arial"/>
                <w:szCs w:val="18"/>
                <w:lang w:eastAsia="zh-CN"/>
              </w:rPr>
              <w:t>Indicates the Uplink Consolidated Data Rate Threshold.</w:t>
            </w:r>
          </w:p>
        </w:tc>
        <w:tc>
          <w:tcPr>
            <w:tcW w:w="1235" w:type="dxa"/>
          </w:tcPr>
          <w:p w:rsidR="00A66DE6" w:rsidRDefault="00A66DE6" w:rsidP="00A66DE6">
            <w:pPr>
              <w:pStyle w:val="TAC"/>
              <w:jc w:val="left"/>
            </w:pPr>
            <w:r>
              <w:t>ListUE_5G</w:t>
            </w:r>
          </w:p>
        </w:tc>
      </w:tr>
    </w:tbl>
    <w:p w:rsidR="00CB0DD7" w:rsidRPr="000A0A5F" w:rsidRDefault="00CB0DD7"/>
    <w:p w:rsidR="002961BB" w:rsidRPr="000A0A5F" w:rsidRDefault="002961BB" w:rsidP="002961BB">
      <w:pPr>
        <w:pStyle w:val="EditorsNote"/>
      </w:pPr>
      <w:r w:rsidRPr="000A0A5F">
        <w:t>Editor’s Note: It is FFS whether the event reporting frequency applies for congestion (ECN marking percentage) information.</w:t>
      </w:r>
    </w:p>
    <w:p w:rsidR="00CB0DD7" w:rsidRPr="000A0A5F" w:rsidRDefault="00CB0DD7">
      <w:pPr>
        <w:pStyle w:val="Heading5"/>
      </w:pPr>
      <w:bookmarkStart w:id="9173" w:name="_Toc36034071"/>
      <w:bookmarkStart w:id="9174" w:name="_Toc45132218"/>
      <w:bookmarkStart w:id="9175" w:name="_Toc49776503"/>
      <w:bookmarkStart w:id="9176" w:name="_Toc51747423"/>
      <w:bookmarkStart w:id="9177" w:name="_Toc66361002"/>
      <w:bookmarkStart w:id="9178" w:name="_Toc68105507"/>
      <w:bookmarkStart w:id="9179" w:name="_Toc74756137"/>
      <w:bookmarkStart w:id="9180" w:name="_Toc105675014"/>
      <w:bookmarkStart w:id="9181" w:name="_Toc130503082"/>
      <w:bookmarkStart w:id="9182" w:name="_Toc153625870"/>
      <w:r w:rsidRPr="000A0A5F">
        <w:t>5.14.2.1.8</w:t>
      </w:r>
      <w:r w:rsidRPr="000A0A5F">
        <w:tab/>
        <w:t>Type: QosMonitoringReport</w:t>
      </w:r>
      <w:bookmarkEnd w:id="9173"/>
      <w:bookmarkEnd w:id="9174"/>
      <w:bookmarkEnd w:id="9175"/>
      <w:bookmarkEnd w:id="9176"/>
      <w:bookmarkEnd w:id="9177"/>
      <w:bookmarkEnd w:id="9178"/>
      <w:bookmarkEnd w:id="9179"/>
      <w:bookmarkEnd w:id="9180"/>
      <w:bookmarkEnd w:id="9181"/>
      <w:bookmarkEnd w:id="9182"/>
    </w:p>
    <w:p w:rsidR="00CB0DD7" w:rsidRPr="000A0A5F" w:rsidRDefault="00CB0DD7">
      <w:pPr>
        <w:pStyle w:val="TH"/>
      </w:pPr>
      <w:r w:rsidRPr="000A0A5F">
        <w:rPr>
          <w:noProof/>
        </w:rPr>
        <w:t>Table </w:t>
      </w:r>
      <w:r w:rsidRPr="000A0A5F">
        <w:t xml:space="preserve">5.14.2.1.8-1: </w:t>
      </w:r>
      <w:r w:rsidRPr="000A0A5F">
        <w:rPr>
          <w:noProof/>
        </w:rPr>
        <w:t xml:space="preserve">Definition of type </w:t>
      </w:r>
      <w:r w:rsidRPr="000A0A5F">
        <w:t>QosMonitoringReport</w:t>
      </w:r>
    </w:p>
    <w:tbl>
      <w:tblPr>
        <w:tblW w:w="955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61"/>
        <w:gridCol w:w="1842"/>
        <w:gridCol w:w="1134"/>
        <w:gridCol w:w="3687"/>
        <w:gridCol w:w="1235"/>
      </w:tblGrid>
      <w:tr w:rsidR="00CB0DD7" w:rsidRPr="000A0A5F" w:rsidTr="00FF0AF8">
        <w:trPr>
          <w:trHeight w:val="288"/>
          <w:jc w:val="center"/>
        </w:trPr>
        <w:tc>
          <w:tcPr>
            <w:tcW w:w="1661" w:type="dxa"/>
            <w:shd w:val="clear" w:color="auto" w:fill="C0C0C0"/>
          </w:tcPr>
          <w:p w:rsidR="00CB0DD7" w:rsidRPr="000A0A5F" w:rsidRDefault="00CB0DD7">
            <w:pPr>
              <w:pStyle w:val="TAH"/>
              <w:rPr>
                <w:rFonts w:eastAsia="Times New Roman"/>
              </w:rPr>
            </w:pPr>
            <w:r w:rsidRPr="000A0A5F">
              <w:rPr>
                <w:rFonts w:eastAsia="Times New Roman"/>
              </w:rPr>
              <w:t>Attribute name</w:t>
            </w:r>
          </w:p>
        </w:tc>
        <w:tc>
          <w:tcPr>
            <w:tcW w:w="1842" w:type="dxa"/>
            <w:shd w:val="clear" w:color="auto" w:fill="C0C0C0"/>
          </w:tcPr>
          <w:p w:rsidR="00CB0DD7" w:rsidRPr="000A0A5F" w:rsidRDefault="00CB0DD7">
            <w:pPr>
              <w:pStyle w:val="TAH"/>
              <w:rPr>
                <w:rFonts w:eastAsia="Times New Roman"/>
              </w:rPr>
            </w:pPr>
            <w:r w:rsidRPr="000A0A5F">
              <w:rPr>
                <w:rFonts w:eastAsia="Times New Roman"/>
              </w:rPr>
              <w:t>Data type</w:t>
            </w:r>
          </w:p>
        </w:tc>
        <w:tc>
          <w:tcPr>
            <w:tcW w:w="1134" w:type="dxa"/>
            <w:shd w:val="clear" w:color="auto" w:fill="C0C0C0"/>
          </w:tcPr>
          <w:p w:rsidR="00CB0DD7" w:rsidRPr="000A0A5F" w:rsidRDefault="00CB0DD7">
            <w:pPr>
              <w:pStyle w:val="TAH"/>
              <w:rPr>
                <w:rFonts w:eastAsia="Times New Roman"/>
              </w:rPr>
            </w:pPr>
            <w:r w:rsidRPr="000A0A5F">
              <w:rPr>
                <w:rFonts w:eastAsia="Times New Roman"/>
              </w:rPr>
              <w:t>Cardinality</w:t>
            </w:r>
          </w:p>
        </w:tc>
        <w:tc>
          <w:tcPr>
            <w:tcW w:w="3687"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Description</w:t>
            </w:r>
          </w:p>
        </w:tc>
        <w:tc>
          <w:tcPr>
            <w:tcW w:w="1235" w:type="dxa"/>
            <w:shd w:val="clear" w:color="auto" w:fill="C0C0C0"/>
          </w:tcPr>
          <w:p w:rsidR="00CB0DD7" w:rsidRPr="000A0A5F" w:rsidRDefault="00CB0DD7">
            <w:pPr>
              <w:pStyle w:val="TAH"/>
              <w:rPr>
                <w:rFonts w:eastAsia="Times New Roman"/>
              </w:rPr>
            </w:pPr>
            <w:r w:rsidRPr="000A0A5F">
              <w:rPr>
                <w:rFonts w:eastAsia="Times New Roman" w:cs="Arial"/>
                <w:szCs w:val="18"/>
              </w:rPr>
              <w:t>Applicability</w:t>
            </w:r>
          </w:p>
        </w:tc>
      </w:tr>
      <w:tr w:rsidR="00CB0DD7" w:rsidRPr="000A0A5F" w:rsidTr="00FF0AF8">
        <w:trPr>
          <w:jc w:val="center"/>
        </w:trPr>
        <w:tc>
          <w:tcPr>
            <w:tcW w:w="1661" w:type="dxa"/>
            <w:shd w:val="clear" w:color="auto" w:fill="auto"/>
          </w:tcPr>
          <w:p w:rsidR="00CB0DD7" w:rsidRPr="000A0A5F" w:rsidRDefault="00CB0DD7">
            <w:pPr>
              <w:pStyle w:val="TAL"/>
              <w:rPr>
                <w:lang w:eastAsia="zh-CN"/>
              </w:rPr>
            </w:pPr>
            <w:r w:rsidRPr="000A0A5F">
              <w:t>ulDelays</w:t>
            </w:r>
          </w:p>
        </w:tc>
        <w:tc>
          <w:tcPr>
            <w:tcW w:w="1842" w:type="dxa"/>
            <w:shd w:val="clear" w:color="auto" w:fill="auto"/>
          </w:tcPr>
          <w:p w:rsidR="00CB0DD7" w:rsidRPr="000A0A5F" w:rsidRDefault="00CB0DD7">
            <w:pPr>
              <w:pStyle w:val="TAL"/>
              <w:rPr>
                <w:lang w:eastAsia="zh-CN"/>
              </w:rPr>
            </w:pPr>
            <w:r w:rsidRPr="000A0A5F">
              <w:t>array(Uinteger)</w:t>
            </w:r>
          </w:p>
        </w:tc>
        <w:tc>
          <w:tcPr>
            <w:tcW w:w="1134" w:type="dxa"/>
          </w:tcPr>
          <w:p w:rsidR="00CB0DD7" w:rsidRPr="000A0A5F" w:rsidRDefault="00CB0DD7">
            <w:pPr>
              <w:pStyle w:val="TAC"/>
              <w:jc w:val="left"/>
              <w:rPr>
                <w:lang w:eastAsia="zh-CN"/>
              </w:rPr>
            </w:pPr>
            <w:r w:rsidRPr="000A0A5F">
              <w:rPr>
                <w:lang w:eastAsia="zh-CN"/>
              </w:rPr>
              <w:t>0..N</w:t>
            </w:r>
          </w:p>
        </w:tc>
        <w:tc>
          <w:tcPr>
            <w:tcW w:w="3687" w:type="dxa"/>
          </w:tcPr>
          <w:p w:rsidR="00CB0DD7" w:rsidRPr="000A0A5F" w:rsidRDefault="00CB0DD7">
            <w:pPr>
              <w:pStyle w:val="TAL"/>
            </w:pPr>
            <w:r w:rsidRPr="000A0A5F">
              <w:t>Uplink packet delay in units of milliseconds. (NOTE</w:t>
            </w:r>
            <w:r w:rsidR="005C601F" w:rsidRPr="000A0A5F">
              <w:t> 1</w:t>
            </w:r>
            <w:r w:rsidRPr="000A0A5F">
              <w:t>)</w:t>
            </w:r>
          </w:p>
        </w:tc>
        <w:tc>
          <w:tcPr>
            <w:tcW w:w="1235" w:type="dxa"/>
          </w:tcPr>
          <w:p w:rsidR="00CB0DD7" w:rsidRPr="000A0A5F" w:rsidRDefault="00CB0DD7">
            <w:pPr>
              <w:pStyle w:val="TAC"/>
              <w:jc w:val="left"/>
              <w:rPr>
                <w:rFonts w:eastAsia="Times New Roman"/>
              </w:rPr>
            </w:pPr>
          </w:p>
        </w:tc>
      </w:tr>
      <w:tr w:rsidR="00CB0DD7" w:rsidRPr="000A0A5F" w:rsidTr="00FF0AF8">
        <w:trPr>
          <w:jc w:val="center"/>
        </w:trPr>
        <w:tc>
          <w:tcPr>
            <w:tcW w:w="1661" w:type="dxa"/>
            <w:shd w:val="clear" w:color="auto" w:fill="auto"/>
          </w:tcPr>
          <w:p w:rsidR="00CB0DD7" w:rsidRPr="000A0A5F" w:rsidRDefault="00CB0DD7">
            <w:pPr>
              <w:pStyle w:val="TAL"/>
              <w:rPr>
                <w:lang w:eastAsia="zh-CN"/>
              </w:rPr>
            </w:pPr>
            <w:r w:rsidRPr="000A0A5F">
              <w:t>dlDelays</w:t>
            </w:r>
          </w:p>
        </w:tc>
        <w:tc>
          <w:tcPr>
            <w:tcW w:w="1842" w:type="dxa"/>
            <w:shd w:val="clear" w:color="auto" w:fill="auto"/>
          </w:tcPr>
          <w:p w:rsidR="00CB0DD7" w:rsidRPr="000A0A5F" w:rsidRDefault="00CB0DD7">
            <w:pPr>
              <w:pStyle w:val="TAL"/>
              <w:rPr>
                <w:lang w:eastAsia="zh-CN"/>
              </w:rPr>
            </w:pPr>
            <w:r w:rsidRPr="000A0A5F">
              <w:t>array(Uinteger)</w:t>
            </w:r>
          </w:p>
        </w:tc>
        <w:tc>
          <w:tcPr>
            <w:tcW w:w="1134" w:type="dxa"/>
          </w:tcPr>
          <w:p w:rsidR="00CB0DD7" w:rsidRPr="000A0A5F" w:rsidRDefault="00CB0DD7">
            <w:pPr>
              <w:pStyle w:val="TAC"/>
              <w:jc w:val="left"/>
              <w:rPr>
                <w:lang w:eastAsia="zh-CN"/>
              </w:rPr>
            </w:pPr>
            <w:r w:rsidRPr="000A0A5F">
              <w:rPr>
                <w:lang w:eastAsia="zh-CN"/>
              </w:rPr>
              <w:t>0..N</w:t>
            </w:r>
          </w:p>
        </w:tc>
        <w:tc>
          <w:tcPr>
            <w:tcW w:w="3687" w:type="dxa"/>
          </w:tcPr>
          <w:p w:rsidR="00CB0DD7" w:rsidRPr="000A0A5F" w:rsidRDefault="00CB0DD7">
            <w:pPr>
              <w:pStyle w:val="TAL"/>
            </w:pPr>
            <w:r w:rsidRPr="000A0A5F">
              <w:t>Downlink packet delay in units of milliseconds. (NOTE</w:t>
            </w:r>
            <w:r w:rsidR="005C601F" w:rsidRPr="000A0A5F">
              <w:t> 1</w:t>
            </w:r>
            <w:r w:rsidRPr="000A0A5F">
              <w:t>)</w:t>
            </w:r>
          </w:p>
        </w:tc>
        <w:tc>
          <w:tcPr>
            <w:tcW w:w="1235" w:type="dxa"/>
          </w:tcPr>
          <w:p w:rsidR="00CB0DD7" w:rsidRPr="000A0A5F" w:rsidRDefault="00CB0DD7">
            <w:pPr>
              <w:pStyle w:val="TAC"/>
              <w:jc w:val="left"/>
              <w:rPr>
                <w:rFonts w:eastAsia="Times New Roman"/>
              </w:rPr>
            </w:pPr>
          </w:p>
        </w:tc>
      </w:tr>
      <w:tr w:rsidR="00CB0DD7" w:rsidRPr="000A0A5F" w:rsidTr="00FF0AF8">
        <w:trPr>
          <w:jc w:val="center"/>
        </w:trPr>
        <w:tc>
          <w:tcPr>
            <w:tcW w:w="1661" w:type="dxa"/>
            <w:shd w:val="clear" w:color="auto" w:fill="auto"/>
          </w:tcPr>
          <w:p w:rsidR="00CB0DD7" w:rsidRPr="000A0A5F" w:rsidRDefault="00CB0DD7">
            <w:pPr>
              <w:pStyle w:val="TAL"/>
              <w:rPr>
                <w:lang w:eastAsia="zh-CN"/>
              </w:rPr>
            </w:pPr>
            <w:r w:rsidRPr="000A0A5F">
              <w:t>rtDelays</w:t>
            </w:r>
          </w:p>
        </w:tc>
        <w:tc>
          <w:tcPr>
            <w:tcW w:w="1842" w:type="dxa"/>
            <w:shd w:val="clear" w:color="auto" w:fill="auto"/>
          </w:tcPr>
          <w:p w:rsidR="00CB0DD7" w:rsidRPr="000A0A5F" w:rsidRDefault="00CB0DD7">
            <w:pPr>
              <w:pStyle w:val="TAL"/>
              <w:rPr>
                <w:lang w:eastAsia="zh-CN"/>
              </w:rPr>
            </w:pPr>
            <w:r w:rsidRPr="000A0A5F">
              <w:t>array(Uinteger)</w:t>
            </w:r>
          </w:p>
        </w:tc>
        <w:tc>
          <w:tcPr>
            <w:tcW w:w="1134" w:type="dxa"/>
          </w:tcPr>
          <w:p w:rsidR="00CB0DD7" w:rsidRPr="000A0A5F" w:rsidRDefault="00CB0DD7">
            <w:pPr>
              <w:pStyle w:val="TAC"/>
              <w:jc w:val="left"/>
              <w:rPr>
                <w:lang w:eastAsia="zh-CN"/>
              </w:rPr>
            </w:pPr>
            <w:r w:rsidRPr="000A0A5F">
              <w:rPr>
                <w:lang w:eastAsia="zh-CN"/>
              </w:rPr>
              <w:t>0..N</w:t>
            </w:r>
          </w:p>
        </w:tc>
        <w:tc>
          <w:tcPr>
            <w:tcW w:w="3687" w:type="dxa"/>
          </w:tcPr>
          <w:p w:rsidR="00CB0DD7" w:rsidRPr="000A0A5F" w:rsidRDefault="00CB0DD7">
            <w:pPr>
              <w:pStyle w:val="TAL"/>
              <w:rPr>
                <w:rFonts w:cs="Arial"/>
                <w:szCs w:val="18"/>
                <w:lang w:eastAsia="zh-CN"/>
              </w:rPr>
            </w:pPr>
            <w:r w:rsidRPr="000A0A5F">
              <w:t>Round trip delay in units of milliseconds. (NOTE</w:t>
            </w:r>
            <w:r w:rsidR="005C601F" w:rsidRPr="000A0A5F">
              <w:t> 1</w:t>
            </w:r>
            <w:r w:rsidRPr="000A0A5F">
              <w:t>)</w:t>
            </w:r>
          </w:p>
        </w:tc>
        <w:tc>
          <w:tcPr>
            <w:tcW w:w="1235" w:type="dxa"/>
          </w:tcPr>
          <w:p w:rsidR="00CB0DD7" w:rsidRPr="000A0A5F" w:rsidRDefault="00CB0DD7">
            <w:pPr>
              <w:pStyle w:val="TAC"/>
              <w:jc w:val="left"/>
              <w:rPr>
                <w:rFonts w:eastAsia="Times New Roman"/>
              </w:rPr>
            </w:pPr>
          </w:p>
        </w:tc>
      </w:tr>
      <w:tr w:rsidR="005C601F" w:rsidRPr="000A0A5F" w:rsidTr="00FF0AF8">
        <w:trPr>
          <w:jc w:val="center"/>
        </w:trPr>
        <w:tc>
          <w:tcPr>
            <w:tcW w:w="1661" w:type="dxa"/>
            <w:shd w:val="clear" w:color="auto" w:fill="auto"/>
          </w:tcPr>
          <w:p w:rsidR="005C601F" w:rsidRPr="000A0A5F" w:rsidRDefault="005C601F" w:rsidP="005C601F">
            <w:pPr>
              <w:pStyle w:val="TAL"/>
            </w:pPr>
            <w:r w:rsidRPr="000A0A5F">
              <w:t>pdmf</w:t>
            </w:r>
          </w:p>
        </w:tc>
        <w:tc>
          <w:tcPr>
            <w:tcW w:w="1842" w:type="dxa"/>
            <w:shd w:val="clear" w:color="auto" w:fill="auto"/>
          </w:tcPr>
          <w:p w:rsidR="005C601F" w:rsidRPr="000A0A5F" w:rsidRDefault="005C601F" w:rsidP="005C601F">
            <w:pPr>
              <w:pStyle w:val="TAL"/>
            </w:pPr>
            <w:r w:rsidRPr="000A0A5F">
              <w:t>boolean</w:t>
            </w:r>
          </w:p>
        </w:tc>
        <w:tc>
          <w:tcPr>
            <w:tcW w:w="1134" w:type="dxa"/>
          </w:tcPr>
          <w:p w:rsidR="005C601F" w:rsidRPr="000A0A5F" w:rsidRDefault="005C601F" w:rsidP="005C601F">
            <w:pPr>
              <w:pStyle w:val="TAC"/>
              <w:jc w:val="left"/>
              <w:rPr>
                <w:lang w:eastAsia="zh-CN"/>
              </w:rPr>
            </w:pPr>
            <w:r w:rsidRPr="000A0A5F">
              <w:t>0..1</w:t>
            </w:r>
          </w:p>
        </w:tc>
        <w:tc>
          <w:tcPr>
            <w:tcW w:w="3687" w:type="dxa"/>
          </w:tcPr>
          <w:p w:rsidR="005C601F" w:rsidRPr="000A0A5F" w:rsidRDefault="005C601F" w:rsidP="005C601F">
            <w:pPr>
              <w:pStyle w:val="TAL"/>
              <w:rPr>
                <w:color w:val="000000"/>
                <w:lang w:val="en-US" w:eastAsia="fr-FR"/>
              </w:rPr>
            </w:pPr>
            <w:r w:rsidRPr="000A0A5F">
              <w:rPr>
                <w:color w:val="000000"/>
                <w:lang w:val="en-US" w:eastAsia="fr-FR"/>
              </w:rPr>
              <w:t>Packet delay measurement failure indicator. When set to true, it indicates that a packet delay failure has occurred.</w:t>
            </w:r>
          </w:p>
          <w:p w:rsidR="005C601F" w:rsidRPr="000A0A5F" w:rsidRDefault="005C601F" w:rsidP="005C601F">
            <w:pPr>
              <w:pStyle w:val="TAL"/>
            </w:pPr>
            <w:r w:rsidRPr="000A0A5F">
              <w:rPr>
                <w:color w:val="000000"/>
                <w:lang w:val="en-US" w:eastAsia="fr-FR"/>
              </w:rPr>
              <w:t>Default value is false if omitted. (NOTE 2)</w:t>
            </w:r>
          </w:p>
        </w:tc>
        <w:tc>
          <w:tcPr>
            <w:tcW w:w="1235" w:type="dxa"/>
          </w:tcPr>
          <w:p w:rsidR="005C601F" w:rsidRPr="000A0A5F" w:rsidRDefault="005C601F" w:rsidP="005C601F">
            <w:pPr>
              <w:pStyle w:val="TAC"/>
              <w:jc w:val="left"/>
              <w:rPr>
                <w:rFonts w:eastAsia="Times New Roman"/>
              </w:rPr>
            </w:pPr>
            <w:r w:rsidRPr="000A0A5F">
              <w:rPr>
                <w:rFonts w:eastAsia="Times New Roman"/>
              </w:rPr>
              <w:t>PacketDelayFailureReport</w:t>
            </w:r>
          </w:p>
        </w:tc>
      </w:tr>
      <w:tr w:rsidR="00AB426B" w:rsidRPr="000A0A5F" w:rsidTr="00FF0AF8">
        <w:trPr>
          <w:jc w:val="center"/>
        </w:trPr>
        <w:tc>
          <w:tcPr>
            <w:tcW w:w="1661" w:type="dxa"/>
            <w:shd w:val="clear" w:color="auto" w:fill="auto"/>
          </w:tcPr>
          <w:p w:rsidR="00AB426B" w:rsidRPr="000A0A5F" w:rsidRDefault="00AB426B" w:rsidP="00AB426B">
            <w:pPr>
              <w:pStyle w:val="TAL"/>
            </w:pPr>
            <w:r w:rsidRPr="000A0A5F">
              <w:t>ulDataRate</w:t>
            </w:r>
          </w:p>
        </w:tc>
        <w:tc>
          <w:tcPr>
            <w:tcW w:w="1842" w:type="dxa"/>
            <w:shd w:val="clear" w:color="auto" w:fill="auto"/>
          </w:tcPr>
          <w:p w:rsidR="00AB426B" w:rsidRPr="000A0A5F" w:rsidRDefault="00AB426B" w:rsidP="00AB426B">
            <w:pPr>
              <w:pStyle w:val="TAL"/>
            </w:pPr>
            <w:r w:rsidRPr="000A0A5F">
              <w:t>BitRate</w:t>
            </w:r>
          </w:p>
        </w:tc>
        <w:tc>
          <w:tcPr>
            <w:tcW w:w="1134" w:type="dxa"/>
          </w:tcPr>
          <w:p w:rsidR="00AB426B" w:rsidRPr="000A0A5F" w:rsidRDefault="00AB426B" w:rsidP="00AB426B">
            <w:pPr>
              <w:pStyle w:val="TAC"/>
              <w:jc w:val="left"/>
            </w:pPr>
            <w:r w:rsidRPr="000A0A5F">
              <w:t>0..1</w:t>
            </w:r>
          </w:p>
        </w:tc>
        <w:tc>
          <w:tcPr>
            <w:tcW w:w="3687" w:type="dxa"/>
          </w:tcPr>
          <w:p w:rsidR="00AB426B" w:rsidRPr="000A0A5F" w:rsidRDefault="00AB426B" w:rsidP="00AB426B">
            <w:pPr>
              <w:pStyle w:val="TAL"/>
              <w:rPr>
                <w:color w:val="000000"/>
                <w:lang w:val="en-US" w:eastAsia="fr-FR"/>
              </w:rPr>
            </w:pPr>
            <w:r w:rsidRPr="000A0A5F">
              <w:rPr>
                <w:color w:val="000000"/>
                <w:lang w:val="en-US" w:eastAsia="fr-FR"/>
              </w:rPr>
              <w:t>UL data rate.</w:t>
            </w:r>
          </w:p>
          <w:p w:rsidR="00AB426B" w:rsidRPr="000A0A5F" w:rsidRDefault="00AB426B" w:rsidP="00AB426B">
            <w:pPr>
              <w:pStyle w:val="TAL"/>
              <w:rPr>
                <w:color w:val="000000"/>
                <w:lang w:val="en-US" w:eastAsia="fr-FR"/>
              </w:rPr>
            </w:pPr>
            <w:r w:rsidRPr="000A0A5F">
              <w:rPr>
                <w:lang w:eastAsia="zh-CN"/>
              </w:rPr>
              <w:t>(NOTE 3)</w:t>
            </w:r>
          </w:p>
        </w:tc>
        <w:tc>
          <w:tcPr>
            <w:tcW w:w="1235" w:type="dxa"/>
          </w:tcPr>
          <w:p w:rsidR="00AB426B" w:rsidRPr="000A0A5F" w:rsidRDefault="00AB426B" w:rsidP="00AB426B">
            <w:pPr>
              <w:pStyle w:val="TAC"/>
              <w:jc w:val="left"/>
            </w:pPr>
            <w:r w:rsidRPr="000A0A5F">
              <w:rPr>
                <w:rFonts w:hint="eastAsia"/>
                <w:lang w:eastAsia="zh-CN"/>
              </w:rPr>
              <w:t>EnQoSMon</w:t>
            </w:r>
          </w:p>
        </w:tc>
      </w:tr>
      <w:tr w:rsidR="00AB426B" w:rsidRPr="000A0A5F" w:rsidTr="00FF0AF8">
        <w:trPr>
          <w:jc w:val="center"/>
        </w:trPr>
        <w:tc>
          <w:tcPr>
            <w:tcW w:w="1661" w:type="dxa"/>
            <w:shd w:val="clear" w:color="auto" w:fill="auto"/>
          </w:tcPr>
          <w:p w:rsidR="00AB426B" w:rsidRPr="000A0A5F" w:rsidRDefault="00AB426B" w:rsidP="00AB426B">
            <w:pPr>
              <w:pStyle w:val="TAL"/>
            </w:pPr>
            <w:r w:rsidRPr="000A0A5F">
              <w:t>dlDataRate</w:t>
            </w:r>
          </w:p>
        </w:tc>
        <w:tc>
          <w:tcPr>
            <w:tcW w:w="1842" w:type="dxa"/>
            <w:shd w:val="clear" w:color="auto" w:fill="auto"/>
          </w:tcPr>
          <w:p w:rsidR="00AB426B" w:rsidRPr="000A0A5F" w:rsidRDefault="00AB426B" w:rsidP="00AB426B">
            <w:pPr>
              <w:pStyle w:val="TAL"/>
            </w:pPr>
            <w:r w:rsidRPr="000A0A5F">
              <w:t>BitRate</w:t>
            </w:r>
          </w:p>
        </w:tc>
        <w:tc>
          <w:tcPr>
            <w:tcW w:w="1134" w:type="dxa"/>
          </w:tcPr>
          <w:p w:rsidR="00AB426B" w:rsidRPr="000A0A5F" w:rsidRDefault="00AB426B" w:rsidP="00AB426B">
            <w:pPr>
              <w:pStyle w:val="TAC"/>
              <w:jc w:val="left"/>
            </w:pPr>
            <w:r w:rsidRPr="000A0A5F">
              <w:t>0..1</w:t>
            </w:r>
          </w:p>
        </w:tc>
        <w:tc>
          <w:tcPr>
            <w:tcW w:w="3687" w:type="dxa"/>
          </w:tcPr>
          <w:p w:rsidR="00AB426B" w:rsidRPr="000A0A5F" w:rsidRDefault="00AB426B" w:rsidP="00AB426B">
            <w:pPr>
              <w:pStyle w:val="TAL"/>
              <w:rPr>
                <w:color w:val="000000"/>
                <w:lang w:val="en-US" w:eastAsia="fr-FR"/>
              </w:rPr>
            </w:pPr>
            <w:r w:rsidRPr="000A0A5F">
              <w:rPr>
                <w:color w:val="000000"/>
                <w:lang w:val="en-US" w:eastAsia="fr-FR"/>
              </w:rPr>
              <w:t>DL data rate.</w:t>
            </w:r>
          </w:p>
          <w:p w:rsidR="00AB426B" w:rsidRPr="000A0A5F" w:rsidRDefault="00AB426B" w:rsidP="00AB426B">
            <w:pPr>
              <w:pStyle w:val="TAL"/>
              <w:rPr>
                <w:color w:val="000000"/>
                <w:lang w:val="en-US" w:eastAsia="fr-FR"/>
              </w:rPr>
            </w:pPr>
            <w:r w:rsidRPr="000A0A5F">
              <w:rPr>
                <w:lang w:eastAsia="zh-CN"/>
              </w:rPr>
              <w:t>(NOTE 3)</w:t>
            </w:r>
          </w:p>
        </w:tc>
        <w:tc>
          <w:tcPr>
            <w:tcW w:w="1235" w:type="dxa"/>
          </w:tcPr>
          <w:p w:rsidR="00AB426B" w:rsidRPr="000A0A5F" w:rsidRDefault="00AB426B" w:rsidP="00AB426B">
            <w:pPr>
              <w:pStyle w:val="TAC"/>
              <w:jc w:val="left"/>
            </w:pPr>
            <w:r w:rsidRPr="000A0A5F">
              <w:rPr>
                <w:rFonts w:hint="eastAsia"/>
                <w:lang w:eastAsia="zh-CN"/>
              </w:rPr>
              <w:t>EnQoSMon</w:t>
            </w:r>
          </w:p>
        </w:tc>
      </w:tr>
      <w:tr w:rsidR="00A66DE6" w:rsidRPr="000A0A5F" w:rsidTr="00FF0AF8">
        <w:trPr>
          <w:jc w:val="center"/>
        </w:trPr>
        <w:tc>
          <w:tcPr>
            <w:tcW w:w="1661" w:type="dxa"/>
            <w:shd w:val="clear" w:color="auto" w:fill="auto"/>
          </w:tcPr>
          <w:p w:rsidR="00A66DE6" w:rsidRDefault="00A66DE6" w:rsidP="00A66DE6">
            <w:pPr>
              <w:pStyle w:val="TAL"/>
            </w:pPr>
            <w:r>
              <w:t>ulAggrDataRate</w:t>
            </w:r>
          </w:p>
        </w:tc>
        <w:tc>
          <w:tcPr>
            <w:tcW w:w="1842" w:type="dxa"/>
            <w:shd w:val="clear" w:color="auto" w:fill="auto"/>
          </w:tcPr>
          <w:p w:rsidR="00A66DE6" w:rsidRDefault="00A66DE6" w:rsidP="00A66DE6">
            <w:pPr>
              <w:pStyle w:val="TAL"/>
            </w:pPr>
            <w:r>
              <w:rPr>
                <w:lang w:eastAsia="zh-CN"/>
              </w:rPr>
              <w:t>BitRate</w:t>
            </w:r>
          </w:p>
        </w:tc>
        <w:tc>
          <w:tcPr>
            <w:tcW w:w="1134" w:type="dxa"/>
          </w:tcPr>
          <w:p w:rsidR="00A66DE6" w:rsidRDefault="00A66DE6" w:rsidP="00A66DE6">
            <w:pPr>
              <w:pStyle w:val="TAC"/>
              <w:jc w:val="left"/>
            </w:pPr>
            <w:r>
              <w:rPr>
                <w:lang w:eastAsia="zh-CN"/>
              </w:rPr>
              <w:t>0..1</w:t>
            </w:r>
          </w:p>
        </w:tc>
        <w:tc>
          <w:tcPr>
            <w:tcW w:w="3687" w:type="dxa"/>
          </w:tcPr>
          <w:p w:rsidR="00A66DE6" w:rsidRPr="003142E0" w:rsidRDefault="00A66DE6" w:rsidP="00A66DE6">
            <w:pPr>
              <w:pStyle w:val="TAL"/>
              <w:rPr>
                <w:rFonts w:cs="Arial"/>
                <w:szCs w:val="18"/>
                <w:lang w:eastAsia="zh-CN"/>
              </w:rPr>
            </w:pPr>
            <w:r>
              <w:rPr>
                <w:rFonts w:cs="Arial"/>
                <w:szCs w:val="18"/>
                <w:lang w:eastAsia="zh-CN"/>
              </w:rPr>
              <w:t xml:space="preserve">Indicates the uplink </w:t>
            </w:r>
            <w:r>
              <w:t>aggregated</w:t>
            </w:r>
            <w:r>
              <w:rPr>
                <w:rFonts w:cs="Arial"/>
                <w:szCs w:val="18"/>
                <w:lang w:eastAsia="zh-CN"/>
              </w:rPr>
              <w:t xml:space="preserve"> Data Rate for the applicable list of UEs provided by AF.</w:t>
            </w:r>
          </w:p>
        </w:tc>
        <w:tc>
          <w:tcPr>
            <w:tcW w:w="1235" w:type="dxa"/>
          </w:tcPr>
          <w:p w:rsidR="00A66DE6" w:rsidRDefault="00A66DE6" w:rsidP="00A66DE6">
            <w:pPr>
              <w:pStyle w:val="TAC"/>
              <w:jc w:val="left"/>
            </w:pPr>
            <w:r>
              <w:rPr>
                <w:noProof/>
              </w:rPr>
              <w:t>ListUE_5G</w:t>
            </w:r>
          </w:p>
        </w:tc>
      </w:tr>
      <w:tr w:rsidR="00A66DE6" w:rsidRPr="000A0A5F" w:rsidTr="00FF0AF8">
        <w:trPr>
          <w:jc w:val="center"/>
        </w:trPr>
        <w:tc>
          <w:tcPr>
            <w:tcW w:w="1661" w:type="dxa"/>
            <w:shd w:val="clear" w:color="auto" w:fill="auto"/>
          </w:tcPr>
          <w:p w:rsidR="00A66DE6" w:rsidRDefault="00A66DE6" w:rsidP="00A66DE6">
            <w:pPr>
              <w:pStyle w:val="TAL"/>
            </w:pPr>
            <w:r>
              <w:t>dlAggrDataRate</w:t>
            </w:r>
          </w:p>
        </w:tc>
        <w:tc>
          <w:tcPr>
            <w:tcW w:w="1842" w:type="dxa"/>
            <w:shd w:val="clear" w:color="auto" w:fill="auto"/>
          </w:tcPr>
          <w:p w:rsidR="00A66DE6" w:rsidRDefault="00A66DE6" w:rsidP="00A66DE6">
            <w:pPr>
              <w:pStyle w:val="TAL"/>
              <w:rPr>
                <w:lang w:eastAsia="zh-CN"/>
              </w:rPr>
            </w:pPr>
            <w:r>
              <w:rPr>
                <w:lang w:eastAsia="zh-CN"/>
              </w:rPr>
              <w:t>BitRate</w:t>
            </w:r>
          </w:p>
        </w:tc>
        <w:tc>
          <w:tcPr>
            <w:tcW w:w="1134" w:type="dxa"/>
          </w:tcPr>
          <w:p w:rsidR="00A66DE6" w:rsidRDefault="00A66DE6" w:rsidP="00A66DE6">
            <w:pPr>
              <w:pStyle w:val="TAC"/>
              <w:jc w:val="left"/>
              <w:rPr>
                <w:lang w:eastAsia="zh-CN"/>
              </w:rPr>
            </w:pPr>
            <w:r>
              <w:rPr>
                <w:lang w:eastAsia="zh-CN"/>
              </w:rPr>
              <w:t>0..1</w:t>
            </w:r>
          </w:p>
        </w:tc>
        <w:tc>
          <w:tcPr>
            <w:tcW w:w="3687" w:type="dxa"/>
          </w:tcPr>
          <w:p w:rsidR="00A66DE6" w:rsidRDefault="00A66DE6" w:rsidP="00A66DE6">
            <w:pPr>
              <w:pStyle w:val="TAL"/>
              <w:rPr>
                <w:rFonts w:cs="Arial"/>
                <w:szCs w:val="18"/>
                <w:lang w:eastAsia="zh-CN"/>
              </w:rPr>
            </w:pPr>
            <w:r>
              <w:rPr>
                <w:rFonts w:cs="Arial"/>
                <w:szCs w:val="18"/>
                <w:lang w:eastAsia="zh-CN"/>
              </w:rPr>
              <w:t xml:space="preserve">Indicates the downlink </w:t>
            </w:r>
            <w:r>
              <w:t>aggregated</w:t>
            </w:r>
            <w:r>
              <w:rPr>
                <w:rFonts w:cs="Arial"/>
                <w:szCs w:val="18"/>
                <w:lang w:eastAsia="zh-CN"/>
              </w:rPr>
              <w:t xml:space="preserve"> Data Rate for the applicable list of UEs provided by AF.</w:t>
            </w:r>
          </w:p>
        </w:tc>
        <w:tc>
          <w:tcPr>
            <w:tcW w:w="1235" w:type="dxa"/>
          </w:tcPr>
          <w:p w:rsidR="00A66DE6" w:rsidRDefault="00A66DE6" w:rsidP="00A66DE6">
            <w:pPr>
              <w:pStyle w:val="TAC"/>
              <w:jc w:val="left"/>
              <w:rPr>
                <w:noProof/>
              </w:rPr>
            </w:pPr>
            <w:r>
              <w:rPr>
                <w:noProof/>
              </w:rPr>
              <w:t>ListUE_5G</w:t>
            </w:r>
          </w:p>
        </w:tc>
      </w:tr>
      <w:tr w:rsidR="00A66DE6" w:rsidRPr="000A0A5F" w:rsidTr="00FF0AF8">
        <w:trPr>
          <w:jc w:val="center"/>
        </w:trPr>
        <w:tc>
          <w:tcPr>
            <w:tcW w:w="1661" w:type="dxa"/>
            <w:shd w:val="clear" w:color="auto" w:fill="auto"/>
          </w:tcPr>
          <w:p w:rsidR="00A66DE6" w:rsidRPr="000A0A5F" w:rsidRDefault="00A66DE6" w:rsidP="00A66DE6">
            <w:pPr>
              <w:pStyle w:val="TAL"/>
            </w:pPr>
            <w:r w:rsidRPr="000A0A5F">
              <w:t>ulConInfo</w:t>
            </w:r>
          </w:p>
        </w:tc>
        <w:tc>
          <w:tcPr>
            <w:tcW w:w="1842" w:type="dxa"/>
            <w:shd w:val="clear" w:color="auto" w:fill="auto"/>
          </w:tcPr>
          <w:p w:rsidR="00A66DE6" w:rsidRPr="000A0A5F" w:rsidRDefault="00A66DE6" w:rsidP="00A66DE6">
            <w:pPr>
              <w:pStyle w:val="TAL"/>
            </w:pPr>
            <w:r w:rsidRPr="000A0A5F">
              <w:t>Uinteger</w:t>
            </w:r>
          </w:p>
        </w:tc>
        <w:tc>
          <w:tcPr>
            <w:tcW w:w="1134" w:type="dxa"/>
          </w:tcPr>
          <w:p w:rsidR="00A66DE6" w:rsidRPr="000A0A5F" w:rsidRDefault="00A66DE6" w:rsidP="00A66DE6">
            <w:pPr>
              <w:pStyle w:val="TAC"/>
              <w:jc w:val="left"/>
            </w:pPr>
            <w:r w:rsidRPr="000A0A5F">
              <w:t>0..1</w:t>
            </w:r>
          </w:p>
        </w:tc>
        <w:tc>
          <w:tcPr>
            <w:tcW w:w="3687" w:type="dxa"/>
          </w:tcPr>
          <w:p w:rsidR="00A66DE6" w:rsidRPr="000A0A5F" w:rsidRDefault="00A66DE6" w:rsidP="00A66DE6">
            <w:pPr>
              <w:pStyle w:val="TAL"/>
              <w:rPr>
                <w:color w:val="000000"/>
                <w:lang w:val="en-US" w:eastAsia="fr-FR"/>
              </w:rPr>
            </w:pPr>
            <w:r w:rsidRPr="000A0A5F">
              <w:rPr>
                <w:color w:val="000000"/>
                <w:lang w:val="en-US" w:eastAsia="fr-FR"/>
              </w:rPr>
              <w:t>Uplink congestion information, i.e., percentage of ECN marked packets for the UL.</w:t>
            </w:r>
          </w:p>
        </w:tc>
        <w:tc>
          <w:tcPr>
            <w:tcW w:w="1235" w:type="dxa"/>
          </w:tcPr>
          <w:p w:rsidR="00A66DE6" w:rsidRPr="000A0A5F" w:rsidRDefault="00A66DE6" w:rsidP="00A66DE6">
            <w:pPr>
              <w:pStyle w:val="TAC"/>
              <w:jc w:val="left"/>
              <w:rPr>
                <w:rFonts w:eastAsia="Times New Roman"/>
              </w:rPr>
            </w:pPr>
            <w:r w:rsidRPr="000A0A5F">
              <w:rPr>
                <w:rFonts w:hint="eastAsia"/>
                <w:lang w:eastAsia="zh-CN"/>
              </w:rPr>
              <w:t>EnQoSMon</w:t>
            </w:r>
          </w:p>
        </w:tc>
      </w:tr>
      <w:tr w:rsidR="00A66DE6" w:rsidRPr="000A0A5F" w:rsidTr="00FF0AF8">
        <w:trPr>
          <w:jc w:val="center"/>
        </w:trPr>
        <w:tc>
          <w:tcPr>
            <w:tcW w:w="1661" w:type="dxa"/>
            <w:shd w:val="clear" w:color="auto" w:fill="auto"/>
          </w:tcPr>
          <w:p w:rsidR="00A66DE6" w:rsidRPr="000A0A5F" w:rsidRDefault="00A66DE6" w:rsidP="00A66DE6">
            <w:pPr>
              <w:pStyle w:val="TAL"/>
            </w:pPr>
            <w:r w:rsidRPr="000A0A5F">
              <w:t>dlConInfo</w:t>
            </w:r>
          </w:p>
        </w:tc>
        <w:tc>
          <w:tcPr>
            <w:tcW w:w="1842" w:type="dxa"/>
            <w:shd w:val="clear" w:color="auto" w:fill="auto"/>
          </w:tcPr>
          <w:p w:rsidR="00A66DE6" w:rsidRPr="000A0A5F" w:rsidRDefault="00A66DE6" w:rsidP="00A66DE6">
            <w:pPr>
              <w:pStyle w:val="TAL"/>
            </w:pPr>
            <w:r w:rsidRPr="000A0A5F">
              <w:t>Uinteger</w:t>
            </w:r>
          </w:p>
        </w:tc>
        <w:tc>
          <w:tcPr>
            <w:tcW w:w="1134" w:type="dxa"/>
          </w:tcPr>
          <w:p w:rsidR="00A66DE6" w:rsidRPr="000A0A5F" w:rsidRDefault="00A66DE6" w:rsidP="00A66DE6">
            <w:pPr>
              <w:pStyle w:val="TAC"/>
              <w:jc w:val="left"/>
            </w:pPr>
            <w:r w:rsidRPr="000A0A5F">
              <w:t>0..1</w:t>
            </w:r>
          </w:p>
        </w:tc>
        <w:tc>
          <w:tcPr>
            <w:tcW w:w="3687" w:type="dxa"/>
          </w:tcPr>
          <w:p w:rsidR="00A66DE6" w:rsidRPr="000A0A5F" w:rsidRDefault="00A66DE6" w:rsidP="00A66DE6">
            <w:pPr>
              <w:pStyle w:val="TAL"/>
              <w:rPr>
                <w:color w:val="000000"/>
                <w:lang w:val="en-US" w:eastAsia="fr-FR"/>
              </w:rPr>
            </w:pPr>
            <w:r w:rsidRPr="000A0A5F">
              <w:rPr>
                <w:color w:val="000000"/>
                <w:lang w:val="en-US" w:eastAsia="fr-FR"/>
              </w:rPr>
              <w:t>Downlink congestion information, i.e., percentage of ECN marked packets for the DL.</w:t>
            </w:r>
          </w:p>
        </w:tc>
        <w:tc>
          <w:tcPr>
            <w:tcW w:w="1235" w:type="dxa"/>
          </w:tcPr>
          <w:p w:rsidR="00A66DE6" w:rsidRPr="000A0A5F" w:rsidRDefault="00A66DE6" w:rsidP="00A66DE6">
            <w:pPr>
              <w:pStyle w:val="TAC"/>
              <w:jc w:val="left"/>
              <w:rPr>
                <w:rFonts w:eastAsia="Times New Roman"/>
              </w:rPr>
            </w:pPr>
            <w:r w:rsidRPr="000A0A5F">
              <w:rPr>
                <w:rFonts w:hint="eastAsia"/>
                <w:lang w:eastAsia="zh-CN"/>
              </w:rPr>
              <w:t>EnQoSMon</w:t>
            </w:r>
          </w:p>
        </w:tc>
      </w:tr>
      <w:tr w:rsidR="00A66DE6" w:rsidRPr="000A0A5F" w:rsidTr="00FF0AF8">
        <w:trPr>
          <w:jc w:val="center"/>
        </w:trPr>
        <w:tc>
          <w:tcPr>
            <w:tcW w:w="1661" w:type="dxa"/>
            <w:shd w:val="clear" w:color="auto" w:fill="auto"/>
          </w:tcPr>
          <w:p w:rsidR="00A66DE6" w:rsidRPr="000A0A5F" w:rsidRDefault="00A66DE6" w:rsidP="00A66DE6">
            <w:pPr>
              <w:pStyle w:val="TAL"/>
            </w:pPr>
            <w:r w:rsidRPr="000A0A5F">
              <w:t>cimf</w:t>
            </w:r>
          </w:p>
        </w:tc>
        <w:tc>
          <w:tcPr>
            <w:tcW w:w="1842" w:type="dxa"/>
            <w:shd w:val="clear" w:color="auto" w:fill="auto"/>
          </w:tcPr>
          <w:p w:rsidR="00A66DE6" w:rsidRPr="000A0A5F" w:rsidRDefault="00A66DE6" w:rsidP="00A66DE6">
            <w:pPr>
              <w:pStyle w:val="TAL"/>
            </w:pPr>
            <w:r w:rsidRPr="000A0A5F">
              <w:t>boolean</w:t>
            </w:r>
          </w:p>
        </w:tc>
        <w:tc>
          <w:tcPr>
            <w:tcW w:w="1134" w:type="dxa"/>
          </w:tcPr>
          <w:p w:rsidR="00A66DE6" w:rsidRPr="000A0A5F" w:rsidRDefault="00A66DE6" w:rsidP="00A66DE6">
            <w:pPr>
              <w:pStyle w:val="TAC"/>
              <w:jc w:val="left"/>
            </w:pPr>
            <w:r w:rsidRPr="000A0A5F">
              <w:t>0..1</w:t>
            </w:r>
          </w:p>
        </w:tc>
        <w:tc>
          <w:tcPr>
            <w:tcW w:w="3687" w:type="dxa"/>
          </w:tcPr>
          <w:p w:rsidR="00A66DE6" w:rsidRPr="000A0A5F" w:rsidRDefault="00A66DE6" w:rsidP="00A66DE6">
            <w:pPr>
              <w:pStyle w:val="PL"/>
              <w:rPr>
                <w:color w:val="000000"/>
                <w:lang w:val="en-US" w:eastAsia="fr-FR"/>
              </w:rPr>
            </w:pPr>
            <w:r w:rsidRPr="000A0A5F">
              <w:rPr>
                <w:rFonts w:ascii="Arial" w:hAnsi="Arial"/>
                <w:color w:val="000000"/>
                <w:sz w:val="18"/>
                <w:lang w:val="en-US" w:eastAsia="fr-FR"/>
              </w:rPr>
              <w:t xml:space="preserve">Represents the </w:t>
            </w:r>
            <w:r w:rsidRPr="000A0A5F">
              <w:rPr>
                <w:rFonts w:ascii="Arial" w:hAnsi="Arial" w:hint="eastAsia"/>
                <w:color w:val="000000"/>
                <w:sz w:val="18"/>
                <w:lang w:val="en-US" w:eastAsia="fr-FR"/>
              </w:rPr>
              <w:t>congestion information</w:t>
            </w:r>
            <w:r w:rsidRPr="000A0A5F">
              <w:rPr>
                <w:rFonts w:ascii="Arial" w:hAnsi="Arial"/>
                <w:color w:val="000000"/>
                <w:sz w:val="18"/>
                <w:lang w:val="en-US" w:eastAsia="fr-FR"/>
              </w:rPr>
              <w:t xml:space="preserve"> measurement failure indicator. When set to "true", it indicates that a </w:t>
            </w:r>
            <w:r w:rsidRPr="000A0A5F">
              <w:rPr>
                <w:rFonts w:ascii="Arial" w:hAnsi="Arial" w:hint="eastAsia"/>
                <w:color w:val="000000"/>
                <w:sz w:val="18"/>
                <w:lang w:val="en-US" w:eastAsia="fr-FR"/>
              </w:rPr>
              <w:t>congestion information</w:t>
            </w:r>
            <w:r w:rsidRPr="000A0A5F">
              <w:rPr>
                <w:rFonts w:ascii="Arial" w:hAnsi="Arial"/>
                <w:color w:val="000000"/>
                <w:sz w:val="18"/>
                <w:lang w:val="en-US" w:eastAsia="fr-FR"/>
              </w:rPr>
              <w:t xml:space="preserve"> measurement failure has occurred. Default value is "false" if omitted.</w:t>
            </w:r>
          </w:p>
        </w:tc>
        <w:tc>
          <w:tcPr>
            <w:tcW w:w="1235" w:type="dxa"/>
          </w:tcPr>
          <w:p w:rsidR="00A66DE6" w:rsidRPr="000A0A5F" w:rsidRDefault="00A66DE6" w:rsidP="00A66DE6">
            <w:pPr>
              <w:pStyle w:val="TAC"/>
              <w:jc w:val="left"/>
              <w:rPr>
                <w:rFonts w:eastAsia="Times New Roman"/>
              </w:rPr>
            </w:pPr>
            <w:bookmarkStart w:id="9183" w:name="OLE_LINK6"/>
            <w:r w:rsidRPr="000A0A5F">
              <w:rPr>
                <w:rFonts w:hint="eastAsia"/>
                <w:lang w:eastAsia="zh-CN"/>
              </w:rPr>
              <w:t>EnQoSMon</w:t>
            </w:r>
            <w:bookmarkEnd w:id="9183"/>
          </w:p>
        </w:tc>
      </w:tr>
      <w:tr w:rsidR="00A66DE6" w:rsidRPr="000A0A5F" w:rsidTr="00FF0AF8">
        <w:trPr>
          <w:jc w:val="center"/>
        </w:trPr>
        <w:tc>
          <w:tcPr>
            <w:tcW w:w="9559" w:type="dxa"/>
            <w:gridSpan w:val="5"/>
            <w:shd w:val="clear" w:color="auto" w:fill="auto"/>
          </w:tcPr>
          <w:p w:rsidR="00A66DE6" w:rsidRPr="000A0A5F" w:rsidRDefault="00A66DE6" w:rsidP="00A66DE6">
            <w:pPr>
              <w:pStyle w:val="TAN"/>
            </w:pPr>
            <w:r w:rsidRPr="000A0A5F">
              <w:t>NOTE 1:</w:t>
            </w:r>
            <w:r w:rsidRPr="000A0A5F">
              <w:tab/>
              <w:t>In this release of the specification the maximum number of elements in the array is 2.</w:t>
            </w:r>
          </w:p>
          <w:p w:rsidR="00A66DE6" w:rsidRPr="000A0A5F" w:rsidRDefault="00A66DE6" w:rsidP="00A66DE6">
            <w:pPr>
              <w:pStyle w:val="TAN"/>
            </w:pPr>
            <w:r w:rsidRPr="000A0A5F">
              <w:rPr>
                <w:lang w:eastAsia="zh-CN"/>
              </w:rPr>
              <w:t>NOTE 2:</w:t>
            </w:r>
            <w:r w:rsidRPr="000A0A5F">
              <w:t xml:space="preserve"> </w:t>
            </w:r>
            <w:r w:rsidRPr="000A0A5F">
              <w:tab/>
              <w:t>When the "pdmf" attribute is set to true, "ulDelays", "dlDelays" and "rtDelays" and when the feature "</w:t>
            </w:r>
            <w:r w:rsidRPr="000A0A5F">
              <w:rPr>
                <w:rFonts w:hint="eastAsia"/>
                <w:lang w:eastAsia="zh-CN"/>
              </w:rPr>
              <w:t>EnQoSMon</w:t>
            </w:r>
            <w:r w:rsidRPr="000A0A5F">
              <w:t>" is supported, "ulDataRate" and "dlDataRate" shall not be present.</w:t>
            </w:r>
          </w:p>
          <w:p w:rsidR="00A66DE6" w:rsidRPr="000A0A5F" w:rsidRDefault="00A66DE6" w:rsidP="00A66DE6">
            <w:pPr>
              <w:pStyle w:val="TAN"/>
              <w:rPr>
                <w:rFonts w:eastAsia="Times New Roman"/>
              </w:rPr>
            </w:pPr>
            <w:r w:rsidRPr="000A0A5F">
              <w:rPr>
                <w:lang w:eastAsia="zh-CN"/>
              </w:rPr>
              <w:t>NOTE 3:</w:t>
            </w:r>
            <w:r w:rsidRPr="000A0A5F">
              <w:t xml:space="preserve"> </w:t>
            </w:r>
            <w:r w:rsidRPr="000A0A5F">
              <w:tab/>
            </w:r>
            <w:r w:rsidRPr="000A0A5F">
              <w:rPr>
                <w:noProof/>
              </w:rPr>
              <w:t>When the "ulDataRate" and/or the "dlDataRate" attribute are included, the parameters related to packet delay and/or congestion information shall not be present.</w:t>
            </w:r>
          </w:p>
        </w:tc>
      </w:tr>
    </w:tbl>
    <w:p w:rsidR="00CB0DD7" w:rsidRPr="000A0A5F" w:rsidRDefault="00CB0DD7">
      <w:pPr>
        <w:rPr>
          <w:noProof/>
        </w:rPr>
      </w:pPr>
    </w:p>
    <w:p w:rsidR="00DC5B3F" w:rsidRPr="000A0A5F" w:rsidRDefault="00DC5B3F" w:rsidP="00DC5B3F">
      <w:pPr>
        <w:pStyle w:val="EditorsNote"/>
      </w:pPr>
      <w:r w:rsidRPr="000A0A5F">
        <w:t>Editor’s Note: The presence conditions of the parameters of QosMonitoringReport are to be consolidated/detailed once all the possible reports are specified.</w:t>
      </w:r>
    </w:p>
    <w:p w:rsidR="00DC5B3F" w:rsidRPr="000A0A5F" w:rsidRDefault="00DC5B3F" w:rsidP="00DC5B3F">
      <w:pPr>
        <w:pStyle w:val="EditorsNote"/>
        <w:tabs>
          <w:tab w:val="left" w:pos="3200"/>
        </w:tabs>
        <w:overflowPunct w:val="0"/>
        <w:autoSpaceDE w:val="0"/>
        <w:autoSpaceDN w:val="0"/>
        <w:adjustRightInd w:val="0"/>
        <w:ind w:left="1559" w:hanging="1276"/>
        <w:textAlignment w:val="baseline"/>
        <w:rPr>
          <w:lang w:eastAsia="en-GB"/>
        </w:rPr>
      </w:pPr>
      <w:r w:rsidRPr="000A0A5F">
        <w:rPr>
          <w:lang w:eastAsia="en-GB"/>
        </w:rPr>
        <w:t xml:space="preserve">Editor’s </w:t>
      </w:r>
      <w:r w:rsidR="004820DC">
        <w:rPr>
          <w:lang w:eastAsia="en-GB"/>
        </w:rPr>
        <w:t>N</w:t>
      </w:r>
      <w:r w:rsidR="004820DC" w:rsidRPr="000A0A5F">
        <w:rPr>
          <w:lang w:eastAsia="en-GB"/>
        </w:rPr>
        <w:t>ote</w:t>
      </w:r>
      <w:r w:rsidRPr="000A0A5F">
        <w:rPr>
          <w:lang w:eastAsia="en-GB"/>
        </w:rPr>
        <w:t>:</w:t>
      </w:r>
      <w:r w:rsidR="004820DC">
        <w:rPr>
          <w:lang w:eastAsia="en-GB"/>
        </w:rPr>
        <w:t xml:space="preserve"> </w:t>
      </w:r>
      <w:r w:rsidRPr="000A0A5F">
        <w:rPr>
          <w:lang w:eastAsia="en-GB"/>
        </w:rPr>
        <w:t>Whether the maximum and minimum data rate measurements are reported for the data rates calculated during the waiting time is FFS.</w:t>
      </w:r>
    </w:p>
    <w:p w:rsidR="003E0CDC" w:rsidRPr="000A0A5F" w:rsidRDefault="003E0CDC" w:rsidP="003E0CDC">
      <w:pPr>
        <w:pStyle w:val="EditorsNote"/>
      </w:pPr>
      <w:r w:rsidRPr="000A0A5F">
        <w:t xml:space="preserve">Editor's </w:t>
      </w:r>
      <w:r w:rsidR="004820DC">
        <w:t>N</w:t>
      </w:r>
      <w:r w:rsidR="004820DC" w:rsidRPr="000A0A5F">
        <w:t>ote</w:t>
      </w:r>
      <w:r w:rsidRPr="000A0A5F">
        <w:t>:</w:t>
      </w:r>
      <w:r w:rsidR="004820DC">
        <w:t xml:space="preserve"> </w:t>
      </w:r>
      <w:r w:rsidRPr="000A0A5F">
        <w:t xml:space="preserve">It is FFS whether </w:t>
      </w:r>
      <w:r w:rsidRPr="000A0A5F">
        <w:rPr>
          <w:lang w:eastAsia="zh-CN"/>
        </w:rPr>
        <w:t xml:space="preserve">the </w:t>
      </w:r>
      <w:r w:rsidRPr="000A0A5F">
        <w:rPr>
          <w:noProof/>
        </w:rPr>
        <w:t>"</w:t>
      </w:r>
      <w:r w:rsidRPr="000A0A5F">
        <w:rPr>
          <w:rFonts w:hint="eastAsia"/>
          <w:lang w:val="en-US" w:eastAsia="zh-CN"/>
        </w:rPr>
        <w:t>cimf</w:t>
      </w:r>
      <w:r w:rsidRPr="000A0A5F">
        <w:rPr>
          <w:noProof/>
        </w:rPr>
        <w:t>"</w:t>
      </w:r>
      <w:r w:rsidRPr="000A0A5F">
        <w:rPr>
          <w:lang w:val="en-US" w:eastAsia="zh-CN"/>
        </w:rPr>
        <w:t xml:space="preserve"> attribute is needed</w:t>
      </w:r>
      <w:r w:rsidRPr="000A0A5F">
        <w:t>.</w:t>
      </w:r>
    </w:p>
    <w:p w:rsidR="003E0CDC" w:rsidRPr="000A0A5F" w:rsidRDefault="003E0CDC" w:rsidP="003E0CDC">
      <w:pPr>
        <w:pStyle w:val="EditorsNote"/>
      </w:pPr>
      <w:r w:rsidRPr="000A0A5F">
        <w:t xml:space="preserve">Editor's </w:t>
      </w:r>
      <w:r w:rsidR="004820DC">
        <w:t>N</w:t>
      </w:r>
      <w:r w:rsidR="004820DC" w:rsidRPr="000A0A5F">
        <w:t>ote</w:t>
      </w:r>
      <w:r w:rsidRPr="000A0A5F">
        <w:t>:</w:t>
      </w:r>
      <w:r w:rsidR="004820DC">
        <w:t xml:space="preserve"> </w:t>
      </w:r>
      <w:r w:rsidRPr="000A0A5F">
        <w:t xml:space="preserve">Whether the </w:t>
      </w:r>
      <w:r w:rsidRPr="000A0A5F">
        <w:rPr>
          <w:noProof/>
        </w:rPr>
        <w:t>"</w:t>
      </w:r>
      <w:r w:rsidRPr="000A0A5F">
        <w:rPr>
          <w:lang w:val="en-US" w:eastAsia="zh-CN"/>
        </w:rPr>
        <w:t>ul</w:t>
      </w:r>
      <w:r w:rsidRPr="000A0A5F">
        <w:rPr>
          <w:rFonts w:hint="eastAsia"/>
          <w:lang w:val="en-US" w:eastAsia="zh-CN"/>
        </w:rPr>
        <w:t>CongInfo</w:t>
      </w:r>
      <w:r w:rsidRPr="000A0A5F">
        <w:rPr>
          <w:noProof/>
        </w:rPr>
        <w:t>" and</w:t>
      </w:r>
      <w:r w:rsidRPr="000A0A5F">
        <w:t xml:space="preserve"> </w:t>
      </w:r>
      <w:r w:rsidRPr="000A0A5F">
        <w:rPr>
          <w:noProof/>
        </w:rPr>
        <w:t>"</w:t>
      </w:r>
      <w:r w:rsidRPr="000A0A5F">
        <w:rPr>
          <w:lang w:val="en-US" w:eastAsia="zh-CN"/>
        </w:rPr>
        <w:t>dl</w:t>
      </w:r>
      <w:r w:rsidRPr="000A0A5F">
        <w:rPr>
          <w:rFonts w:hint="eastAsia"/>
          <w:lang w:val="en-US" w:eastAsia="zh-CN"/>
        </w:rPr>
        <w:t>CongInfo</w:t>
      </w:r>
      <w:r w:rsidRPr="000A0A5F">
        <w:rPr>
          <w:noProof/>
        </w:rPr>
        <w:t>"</w:t>
      </w:r>
      <w:r w:rsidRPr="000A0A5F">
        <w:rPr>
          <w:lang w:eastAsia="zh-CN"/>
        </w:rPr>
        <w:t xml:space="preserve"> attributes are single or plural is FFS</w:t>
      </w:r>
      <w:r w:rsidRPr="000A0A5F">
        <w:t>.</w:t>
      </w:r>
    </w:p>
    <w:p w:rsidR="00DC5B3F" w:rsidRPr="000A0A5F" w:rsidRDefault="00DC5B3F">
      <w:pPr>
        <w:rPr>
          <w:noProof/>
        </w:rPr>
      </w:pPr>
    </w:p>
    <w:p w:rsidR="00CB0DD7" w:rsidRPr="000A0A5F" w:rsidRDefault="00CB0DD7">
      <w:pPr>
        <w:pStyle w:val="Heading5"/>
      </w:pPr>
      <w:bookmarkStart w:id="9184" w:name="_Toc74756138"/>
      <w:bookmarkStart w:id="9185" w:name="_Toc105675015"/>
      <w:bookmarkStart w:id="9186" w:name="_Toc130503083"/>
      <w:bookmarkStart w:id="9187" w:name="_Toc153625871"/>
      <w:r w:rsidRPr="000A0A5F">
        <w:t>5.14.2.1.9</w:t>
      </w:r>
      <w:r w:rsidRPr="000A0A5F">
        <w:tab/>
        <w:t xml:space="preserve">Type: </w:t>
      </w:r>
      <w:r w:rsidRPr="000A0A5F">
        <w:rPr>
          <w:lang w:eastAsia="zh-CN"/>
        </w:rPr>
        <w:t>TscQosRequirement</w:t>
      </w:r>
      <w:bookmarkEnd w:id="9184"/>
      <w:bookmarkEnd w:id="9185"/>
      <w:bookmarkEnd w:id="9186"/>
      <w:bookmarkEnd w:id="9187"/>
    </w:p>
    <w:p w:rsidR="00CB0DD7" w:rsidRPr="000A0A5F" w:rsidRDefault="00CB0DD7">
      <w:pPr>
        <w:pStyle w:val="TH"/>
      </w:pPr>
      <w:r w:rsidRPr="000A0A5F">
        <w:rPr>
          <w:noProof/>
        </w:rPr>
        <w:t>Table </w:t>
      </w:r>
      <w:r w:rsidRPr="000A0A5F">
        <w:t xml:space="preserve">5.14.2.1.9-1: </w:t>
      </w:r>
      <w:r w:rsidRPr="000A0A5F">
        <w:rPr>
          <w:noProof/>
        </w:rPr>
        <w:t xml:space="preserve">Definition of type </w:t>
      </w:r>
      <w:r w:rsidRPr="000A0A5F">
        <w:rPr>
          <w:lang w:eastAsia="zh-CN"/>
        </w:rPr>
        <w:t>TscQosRequirement</w:t>
      </w:r>
    </w:p>
    <w:tbl>
      <w:tblPr>
        <w:tblW w:w="955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61"/>
        <w:gridCol w:w="1842"/>
        <w:gridCol w:w="1134"/>
        <w:gridCol w:w="3687"/>
        <w:gridCol w:w="1235"/>
      </w:tblGrid>
      <w:tr w:rsidR="00CB0DD7" w:rsidRPr="000A0A5F" w:rsidTr="00FF0AF8">
        <w:trPr>
          <w:trHeight w:val="288"/>
          <w:jc w:val="center"/>
        </w:trPr>
        <w:tc>
          <w:tcPr>
            <w:tcW w:w="1661" w:type="dxa"/>
            <w:shd w:val="clear" w:color="auto" w:fill="C0C0C0"/>
          </w:tcPr>
          <w:p w:rsidR="00CB0DD7" w:rsidRPr="000A0A5F" w:rsidRDefault="00CB0DD7">
            <w:pPr>
              <w:pStyle w:val="TAH"/>
              <w:rPr>
                <w:rFonts w:eastAsia="Times New Roman"/>
              </w:rPr>
            </w:pPr>
            <w:r w:rsidRPr="000A0A5F">
              <w:rPr>
                <w:rFonts w:eastAsia="Times New Roman"/>
              </w:rPr>
              <w:t>Attribute name</w:t>
            </w:r>
          </w:p>
        </w:tc>
        <w:tc>
          <w:tcPr>
            <w:tcW w:w="1842" w:type="dxa"/>
            <w:shd w:val="clear" w:color="auto" w:fill="C0C0C0"/>
          </w:tcPr>
          <w:p w:rsidR="00CB0DD7" w:rsidRPr="000A0A5F" w:rsidRDefault="00CB0DD7">
            <w:pPr>
              <w:pStyle w:val="TAH"/>
              <w:rPr>
                <w:rFonts w:eastAsia="Times New Roman"/>
              </w:rPr>
            </w:pPr>
            <w:r w:rsidRPr="000A0A5F">
              <w:rPr>
                <w:rFonts w:eastAsia="Times New Roman"/>
              </w:rPr>
              <w:t>Data type</w:t>
            </w:r>
          </w:p>
        </w:tc>
        <w:tc>
          <w:tcPr>
            <w:tcW w:w="1134" w:type="dxa"/>
            <w:shd w:val="clear" w:color="auto" w:fill="C0C0C0"/>
          </w:tcPr>
          <w:p w:rsidR="00CB0DD7" w:rsidRPr="000A0A5F" w:rsidRDefault="00CB0DD7">
            <w:pPr>
              <w:pStyle w:val="TAH"/>
              <w:rPr>
                <w:rFonts w:eastAsia="Times New Roman"/>
              </w:rPr>
            </w:pPr>
            <w:r w:rsidRPr="000A0A5F">
              <w:rPr>
                <w:rFonts w:eastAsia="Times New Roman"/>
              </w:rPr>
              <w:t>Cardinality</w:t>
            </w:r>
          </w:p>
        </w:tc>
        <w:tc>
          <w:tcPr>
            <w:tcW w:w="3687"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Description</w:t>
            </w:r>
          </w:p>
        </w:tc>
        <w:tc>
          <w:tcPr>
            <w:tcW w:w="1235" w:type="dxa"/>
            <w:shd w:val="clear" w:color="auto" w:fill="C0C0C0"/>
          </w:tcPr>
          <w:p w:rsidR="00CB0DD7" w:rsidRPr="000A0A5F" w:rsidRDefault="00CB0DD7">
            <w:pPr>
              <w:pStyle w:val="TAH"/>
              <w:rPr>
                <w:rFonts w:eastAsia="Times New Roman"/>
              </w:rPr>
            </w:pPr>
            <w:r w:rsidRPr="000A0A5F">
              <w:rPr>
                <w:rFonts w:eastAsia="Times New Roman" w:cs="Arial"/>
                <w:szCs w:val="18"/>
              </w:rPr>
              <w:t>Applicability</w:t>
            </w:r>
          </w:p>
        </w:tc>
      </w:tr>
      <w:tr w:rsidR="00CB0DD7" w:rsidRPr="000A0A5F" w:rsidTr="00FF0AF8">
        <w:trPr>
          <w:jc w:val="center"/>
        </w:trPr>
        <w:tc>
          <w:tcPr>
            <w:tcW w:w="1661" w:type="dxa"/>
            <w:shd w:val="clear" w:color="auto" w:fill="auto"/>
          </w:tcPr>
          <w:p w:rsidR="00CB0DD7" w:rsidRPr="000A0A5F" w:rsidRDefault="00CB0DD7">
            <w:pPr>
              <w:pStyle w:val="TAL"/>
              <w:rPr>
                <w:lang w:eastAsia="zh-CN"/>
              </w:rPr>
            </w:pPr>
            <w:r w:rsidRPr="000A0A5F">
              <w:t>reqGbrDl</w:t>
            </w:r>
          </w:p>
        </w:tc>
        <w:tc>
          <w:tcPr>
            <w:tcW w:w="1842" w:type="dxa"/>
            <w:shd w:val="clear" w:color="auto" w:fill="auto"/>
          </w:tcPr>
          <w:p w:rsidR="00CB0DD7" w:rsidRPr="000A0A5F" w:rsidRDefault="00CB0DD7">
            <w:pPr>
              <w:pStyle w:val="TAL"/>
              <w:rPr>
                <w:lang w:eastAsia="zh-CN"/>
              </w:rPr>
            </w:pPr>
            <w:r w:rsidRPr="000A0A5F">
              <w:rPr>
                <w:rFonts w:cs="Arial"/>
              </w:rPr>
              <w:t>BitRate</w:t>
            </w:r>
          </w:p>
        </w:tc>
        <w:tc>
          <w:tcPr>
            <w:tcW w:w="1134" w:type="dxa"/>
          </w:tcPr>
          <w:p w:rsidR="00CB0DD7" w:rsidRPr="000A0A5F" w:rsidRDefault="00CB0DD7">
            <w:pPr>
              <w:pStyle w:val="TAC"/>
              <w:jc w:val="left"/>
              <w:rPr>
                <w:lang w:eastAsia="zh-CN"/>
              </w:rPr>
            </w:pPr>
            <w:r w:rsidRPr="000A0A5F">
              <w:t>0..1</w:t>
            </w:r>
          </w:p>
        </w:tc>
        <w:tc>
          <w:tcPr>
            <w:tcW w:w="3687" w:type="dxa"/>
          </w:tcPr>
          <w:p w:rsidR="00CB0DD7" w:rsidRPr="000A0A5F" w:rsidRDefault="00CB0DD7">
            <w:pPr>
              <w:pStyle w:val="TAL"/>
              <w:rPr>
                <w:rFonts w:hint="eastAsia"/>
                <w:lang w:eastAsia="zh-CN"/>
              </w:rPr>
            </w:pPr>
            <w:r w:rsidRPr="000A0A5F">
              <w:rPr>
                <w:rFonts w:hint="eastAsia"/>
                <w:lang w:eastAsia="zh-CN"/>
              </w:rPr>
              <w:t>R</w:t>
            </w:r>
            <w:r w:rsidRPr="000A0A5F">
              <w:rPr>
                <w:lang w:eastAsia="zh-CN"/>
              </w:rPr>
              <w:t>equested GBR in downlink.</w:t>
            </w:r>
          </w:p>
        </w:tc>
        <w:tc>
          <w:tcPr>
            <w:tcW w:w="1235" w:type="dxa"/>
          </w:tcPr>
          <w:p w:rsidR="00CB0DD7" w:rsidRPr="000A0A5F" w:rsidRDefault="00CB0DD7">
            <w:pPr>
              <w:pStyle w:val="TAC"/>
              <w:jc w:val="left"/>
              <w:rPr>
                <w:rFonts w:eastAsia="Times New Roman"/>
              </w:rPr>
            </w:pPr>
          </w:p>
        </w:tc>
      </w:tr>
      <w:tr w:rsidR="00CB0DD7" w:rsidRPr="000A0A5F" w:rsidTr="00FF0AF8">
        <w:trPr>
          <w:jc w:val="center"/>
        </w:trPr>
        <w:tc>
          <w:tcPr>
            <w:tcW w:w="1661" w:type="dxa"/>
            <w:shd w:val="clear" w:color="auto" w:fill="auto"/>
          </w:tcPr>
          <w:p w:rsidR="00CB0DD7" w:rsidRPr="000A0A5F" w:rsidRDefault="00CB0DD7">
            <w:pPr>
              <w:pStyle w:val="TAL"/>
              <w:rPr>
                <w:noProof/>
                <w:lang w:eastAsia="zh-CN"/>
              </w:rPr>
            </w:pPr>
            <w:r w:rsidRPr="000A0A5F">
              <w:t>reqGbrUl</w:t>
            </w:r>
          </w:p>
        </w:tc>
        <w:tc>
          <w:tcPr>
            <w:tcW w:w="1842" w:type="dxa"/>
            <w:shd w:val="clear" w:color="auto" w:fill="auto"/>
          </w:tcPr>
          <w:p w:rsidR="00CB0DD7" w:rsidRPr="000A0A5F" w:rsidRDefault="00CB0DD7">
            <w:pPr>
              <w:pStyle w:val="TAL"/>
              <w:rPr>
                <w:noProof/>
                <w:lang w:eastAsia="zh-CN"/>
              </w:rPr>
            </w:pPr>
            <w:r w:rsidRPr="000A0A5F">
              <w:rPr>
                <w:rFonts w:cs="Arial"/>
              </w:rPr>
              <w:t>BitRate</w:t>
            </w:r>
          </w:p>
        </w:tc>
        <w:tc>
          <w:tcPr>
            <w:tcW w:w="1134" w:type="dxa"/>
          </w:tcPr>
          <w:p w:rsidR="00CB0DD7" w:rsidRPr="000A0A5F" w:rsidRDefault="00CB0DD7">
            <w:pPr>
              <w:pStyle w:val="TAC"/>
              <w:jc w:val="left"/>
              <w:rPr>
                <w:lang w:eastAsia="zh-CN"/>
              </w:rPr>
            </w:pPr>
            <w:r w:rsidRPr="000A0A5F">
              <w:t>0..1</w:t>
            </w:r>
          </w:p>
        </w:tc>
        <w:tc>
          <w:tcPr>
            <w:tcW w:w="3687" w:type="dxa"/>
          </w:tcPr>
          <w:p w:rsidR="00CB0DD7" w:rsidRPr="000A0A5F" w:rsidRDefault="00CB0DD7">
            <w:pPr>
              <w:pStyle w:val="TAL"/>
              <w:rPr>
                <w:rFonts w:cs="Arial"/>
                <w:noProof/>
                <w:szCs w:val="18"/>
                <w:lang w:eastAsia="zh-CN"/>
              </w:rPr>
            </w:pPr>
            <w:r w:rsidRPr="000A0A5F">
              <w:rPr>
                <w:rFonts w:cs="Arial" w:hint="eastAsia"/>
                <w:noProof/>
                <w:szCs w:val="18"/>
                <w:lang w:eastAsia="zh-CN"/>
              </w:rPr>
              <w:t>R</w:t>
            </w:r>
            <w:r w:rsidRPr="000A0A5F">
              <w:rPr>
                <w:rFonts w:cs="Arial"/>
                <w:noProof/>
                <w:szCs w:val="18"/>
                <w:lang w:eastAsia="zh-CN"/>
              </w:rPr>
              <w:t>equested GBR in uplink.</w:t>
            </w:r>
          </w:p>
        </w:tc>
        <w:tc>
          <w:tcPr>
            <w:tcW w:w="1235" w:type="dxa"/>
          </w:tcPr>
          <w:p w:rsidR="00CB0DD7" w:rsidRPr="000A0A5F" w:rsidRDefault="00CB0DD7">
            <w:pPr>
              <w:pStyle w:val="TAC"/>
              <w:jc w:val="left"/>
              <w:rPr>
                <w:rFonts w:eastAsia="Times New Roman"/>
              </w:rPr>
            </w:pPr>
          </w:p>
        </w:tc>
      </w:tr>
      <w:tr w:rsidR="00CB0DD7" w:rsidRPr="000A0A5F" w:rsidTr="00FF0AF8">
        <w:trPr>
          <w:jc w:val="center"/>
        </w:trPr>
        <w:tc>
          <w:tcPr>
            <w:tcW w:w="1661" w:type="dxa"/>
            <w:shd w:val="clear" w:color="auto" w:fill="auto"/>
          </w:tcPr>
          <w:p w:rsidR="00CB0DD7" w:rsidRPr="000A0A5F" w:rsidRDefault="00CB0DD7">
            <w:pPr>
              <w:pStyle w:val="TAL"/>
              <w:rPr>
                <w:lang w:eastAsia="zh-CN"/>
              </w:rPr>
            </w:pPr>
            <w:r w:rsidRPr="000A0A5F">
              <w:t>reqMbrDl</w:t>
            </w:r>
          </w:p>
        </w:tc>
        <w:tc>
          <w:tcPr>
            <w:tcW w:w="1842" w:type="dxa"/>
            <w:shd w:val="clear" w:color="auto" w:fill="auto"/>
          </w:tcPr>
          <w:p w:rsidR="00CB0DD7" w:rsidRPr="000A0A5F" w:rsidRDefault="00CB0DD7">
            <w:pPr>
              <w:pStyle w:val="TAL"/>
              <w:rPr>
                <w:lang w:eastAsia="zh-CN"/>
              </w:rPr>
            </w:pPr>
            <w:r w:rsidRPr="000A0A5F">
              <w:rPr>
                <w:rFonts w:eastAsia="Times New Roman" w:cs="Arial"/>
              </w:rPr>
              <w:t>BitRate</w:t>
            </w:r>
          </w:p>
        </w:tc>
        <w:tc>
          <w:tcPr>
            <w:tcW w:w="1134" w:type="dxa"/>
          </w:tcPr>
          <w:p w:rsidR="00CB0DD7" w:rsidRPr="000A0A5F" w:rsidRDefault="00CB0DD7">
            <w:pPr>
              <w:pStyle w:val="TAC"/>
              <w:jc w:val="left"/>
              <w:rPr>
                <w:lang w:eastAsia="zh-CN"/>
              </w:rPr>
            </w:pPr>
            <w:r w:rsidRPr="000A0A5F">
              <w:t>0..1</w:t>
            </w:r>
          </w:p>
        </w:tc>
        <w:tc>
          <w:tcPr>
            <w:tcW w:w="3687" w:type="dxa"/>
          </w:tcPr>
          <w:p w:rsidR="00CB0DD7" w:rsidRPr="000A0A5F" w:rsidRDefault="00CB0DD7">
            <w:pPr>
              <w:pStyle w:val="TAL"/>
              <w:rPr>
                <w:rFonts w:cs="Arial"/>
                <w:szCs w:val="18"/>
                <w:lang w:eastAsia="zh-CN"/>
              </w:rPr>
            </w:pPr>
            <w:r w:rsidRPr="000A0A5F">
              <w:rPr>
                <w:rFonts w:hint="eastAsia"/>
                <w:lang w:eastAsia="zh-CN"/>
              </w:rPr>
              <w:t>R</w:t>
            </w:r>
            <w:r w:rsidRPr="000A0A5F">
              <w:rPr>
                <w:lang w:eastAsia="zh-CN"/>
              </w:rPr>
              <w:t>equested MBR in downlink.</w:t>
            </w:r>
          </w:p>
        </w:tc>
        <w:tc>
          <w:tcPr>
            <w:tcW w:w="1235" w:type="dxa"/>
          </w:tcPr>
          <w:p w:rsidR="00CB0DD7" w:rsidRPr="000A0A5F" w:rsidRDefault="00CB0DD7">
            <w:pPr>
              <w:pStyle w:val="TAC"/>
              <w:jc w:val="left"/>
              <w:rPr>
                <w:rFonts w:eastAsia="Times New Roman"/>
              </w:rPr>
            </w:pPr>
          </w:p>
        </w:tc>
      </w:tr>
      <w:tr w:rsidR="00CB0DD7" w:rsidRPr="000A0A5F" w:rsidTr="00FF0AF8">
        <w:trPr>
          <w:jc w:val="center"/>
        </w:trPr>
        <w:tc>
          <w:tcPr>
            <w:tcW w:w="1661" w:type="dxa"/>
            <w:shd w:val="clear" w:color="auto" w:fill="auto"/>
          </w:tcPr>
          <w:p w:rsidR="00CB0DD7" w:rsidRPr="000A0A5F" w:rsidRDefault="00CB0DD7">
            <w:pPr>
              <w:pStyle w:val="TAL"/>
              <w:rPr>
                <w:rFonts w:eastAsia="Times New Roman"/>
              </w:rPr>
            </w:pPr>
            <w:r w:rsidRPr="000A0A5F">
              <w:t>reqMbrUl</w:t>
            </w:r>
          </w:p>
        </w:tc>
        <w:tc>
          <w:tcPr>
            <w:tcW w:w="1842" w:type="dxa"/>
            <w:shd w:val="clear" w:color="auto" w:fill="auto"/>
          </w:tcPr>
          <w:p w:rsidR="00CB0DD7" w:rsidRPr="000A0A5F" w:rsidRDefault="00CB0DD7">
            <w:pPr>
              <w:pStyle w:val="TAL"/>
              <w:rPr>
                <w:rFonts w:eastAsia="Times New Roman"/>
              </w:rPr>
            </w:pPr>
            <w:r w:rsidRPr="000A0A5F">
              <w:rPr>
                <w:rFonts w:eastAsia="Times New Roman" w:cs="Arial"/>
              </w:rPr>
              <w:t>BitRate</w:t>
            </w:r>
          </w:p>
        </w:tc>
        <w:tc>
          <w:tcPr>
            <w:tcW w:w="1134" w:type="dxa"/>
          </w:tcPr>
          <w:p w:rsidR="00CB0DD7" w:rsidRPr="000A0A5F" w:rsidRDefault="00CB0DD7">
            <w:pPr>
              <w:pStyle w:val="TAC"/>
              <w:jc w:val="left"/>
              <w:rPr>
                <w:lang w:eastAsia="zh-CN"/>
              </w:rPr>
            </w:pPr>
            <w:r w:rsidRPr="000A0A5F">
              <w:t>0..1</w:t>
            </w:r>
          </w:p>
        </w:tc>
        <w:tc>
          <w:tcPr>
            <w:tcW w:w="3687" w:type="dxa"/>
          </w:tcPr>
          <w:p w:rsidR="00CB0DD7" w:rsidRPr="000A0A5F" w:rsidRDefault="00CB0DD7">
            <w:pPr>
              <w:pStyle w:val="TAL"/>
              <w:rPr>
                <w:rFonts w:cs="Arial"/>
                <w:szCs w:val="18"/>
                <w:lang w:eastAsia="zh-CN"/>
              </w:rPr>
            </w:pPr>
            <w:r w:rsidRPr="000A0A5F">
              <w:rPr>
                <w:rFonts w:cs="Arial" w:hint="eastAsia"/>
                <w:noProof/>
                <w:szCs w:val="18"/>
                <w:lang w:eastAsia="zh-CN"/>
              </w:rPr>
              <w:t>R</w:t>
            </w:r>
            <w:r w:rsidRPr="000A0A5F">
              <w:rPr>
                <w:rFonts w:cs="Arial"/>
                <w:noProof/>
                <w:szCs w:val="18"/>
                <w:lang w:eastAsia="zh-CN"/>
              </w:rPr>
              <w:t>equested MBR in uplink.</w:t>
            </w:r>
          </w:p>
        </w:tc>
        <w:tc>
          <w:tcPr>
            <w:tcW w:w="1235" w:type="dxa"/>
          </w:tcPr>
          <w:p w:rsidR="00CB0DD7" w:rsidRPr="000A0A5F" w:rsidRDefault="00CB0DD7">
            <w:pPr>
              <w:pStyle w:val="TAC"/>
              <w:jc w:val="left"/>
              <w:rPr>
                <w:rFonts w:eastAsia="Times New Roman"/>
              </w:rPr>
            </w:pPr>
          </w:p>
        </w:tc>
      </w:tr>
      <w:tr w:rsidR="00CB0DD7" w:rsidRPr="000A0A5F" w:rsidTr="00FF0AF8">
        <w:trPr>
          <w:jc w:val="center"/>
        </w:trPr>
        <w:tc>
          <w:tcPr>
            <w:tcW w:w="1661" w:type="dxa"/>
            <w:shd w:val="clear" w:color="auto" w:fill="auto"/>
          </w:tcPr>
          <w:p w:rsidR="00CB0DD7" w:rsidRPr="000A0A5F" w:rsidRDefault="00CB0DD7">
            <w:pPr>
              <w:pStyle w:val="TAL"/>
            </w:pPr>
            <w:r w:rsidRPr="000A0A5F">
              <w:t>maxTscBurstSize</w:t>
            </w:r>
          </w:p>
        </w:tc>
        <w:tc>
          <w:tcPr>
            <w:tcW w:w="1842" w:type="dxa"/>
            <w:shd w:val="clear" w:color="auto" w:fill="auto"/>
          </w:tcPr>
          <w:p w:rsidR="00CB0DD7" w:rsidRPr="000A0A5F" w:rsidRDefault="00CB0DD7">
            <w:pPr>
              <w:pStyle w:val="TAL"/>
              <w:rPr>
                <w:rFonts w:eastAsia="Times New Roman" w:cs="Arial"/>
              </w:rPr>
            </w:pPr>
            <w:r w:rsidRPr="000A0A5F">
              <w:t>ExtMaxDataBurstVol</w:t>
            </w:r>
          </w:p>
        </w:tc>
        <w:tc>
          <w:tcPr>
            <w:tcW w:w="1134" w:type="dxa"/>
          </w:tcPr>
          <w:p w:rsidR="00CB0DD7" w:rsidRPr="000A0A5F" w:rsidRDefault="00CB0DD7">
            <w:pPr>
              <w:pStyle w:val="TAC"/>
              <w:jc w:val="left"/>
            </w:pPr>
            <w:r w:rsidRPr="000A0A5F">
              <w:t>0..1</w:t>
            </w:r>
          </w:p>
        </w:tc>
        <w:tc>
          <w:tcPr>
            <w:tcW w:w="3687" w:type="dxa"/>
          </w:tcPr>
          <w:p w:rsidR="00CB0DD7" w:rsidRPr="000A0A5F" w:rsidRDefault="00CB0DD7">
            <w:pPr>
              <w:pStyle w:val="TAL"/>
              <w:rPr>
                <w:rFonts w:cs="Arial" w:hint="eastAsia"/>
                <w:noProof/>
                <w:szCs w:val="18"/>
                <w:lang w:eastAsia="zh-CN"/>
              </w:rPr>
            </w:pPr>
            <w:r w:rsidRPr="000A0A5F">
              <w:t>Maximum burst size of the TSC traffic in units of Bytes.</w:t>
            </w:r>
            <w:r w:rsidRPr="000A0A5F">
              <w:br/>
              <w:t>Minimum = 4096, Maximum = 2000000.</w:t>
            </w:r>
          </w:p>
        </w:tc>
        <w:tc>
          <w:tcPr>
            <w:tcW w:w="1235" w:type="dxa"/>
          </w:tcPr>
          <w:p w:rsidR="00CB0DD7" w:rsidRPr="000A0A5F" w:rsidRDefault="00CB0DD7">
            <w:pPr>
              <w:pStyle w:val="TAC"/>
              <w:jc w:val="left"/>
              <w:rPr>
                <w:rFonts w:eastAsia="Times New Roman"/>
              </w:rPr>
            </w:pPr>
          </w:p>
        </w:tc>
      </w:tr>
      <w:tr w:rsidR="00CB0DD7" w:rsidRPr="000A0A5F" w:rsidTr="00FF0AF8">
        <w:trPr>
          <w:jc w:val="center"/>
        </w:trPr>
        <w:tc>
          <w:tcPr>
            <w:tcW w:w="1661" w:type="dxa"/>
            <w:shd w:val="clear" w:color="auto" w:fill="auto"/>
          </w:tcPr>
          <w:p w:rsidR="00CB0DD7" w:rsidRPr="000A0A5F" w:rsidRDefault="00CB0DD7">
            <w:pPr>
              <w:pStyle w:val="TAL"/>
            </w:pPr>
            <w:r w:rsidRPr="000A0A5F">
              <w:t>req5Gsdelay</w:t>
            </w:r>
          </w:p>
        </w:tc>
        <w:tc>
          <w:tcPr>
            <w:tcW w:w="1842" w:type="dxa"/>
            <w:shd w:val="clear" w:color="auto" w:fill="auto"/>
          </w:tcPr>
          <w:p w:rsidR="00CB0DD7" w:rsidRPr="000A0A5F" w:rsidRDefault="00CB0DD7">
            <w:pPr>
              <w:pStyle w:val="TAL"/>
            </w:pPr>
            <w:r w:rsidRPr="000A0A5F">
              <w:t>PacketDelBudget</w:t>
            </w:r>
          </w:p>
        </w:tc>
        <w:tc>
          <w:tcPr>
            <w:tcW w:w="1134" w:type="dxa"/>
          </w:tcPr>
          <w:p w:rsidR="00CB0DD7" w:rsidRPr="000A0A5F" w:rsidRDefault="00CB0DD7">
            <w:pPr>
              <w:pStyle w:val="TAC"/>
              <w:jc w:val="left"/>
            </w:pPr>
            <w:r w:rsidRPr="000A0A5F">
              <w:t>0..1</w:t>
            </w:r>
          </w:p>
        </w:tc>
        <w:tc>
          <w:tcPr>
            <w:tcW w:w="3687" w:type="dxa"/>
          </w:tcPr>
          <w:p w:rsidR="00CB0DD7" w:rsidRPr="000A0A5F" w:rsidRDefault="00CB0DD7">
            <w:pPr>
              <w:pStyle w:val="TAL"/>
            </w:pPr>
            <w:r w:rsidRPr="000A0A5F">
              <w:t>Requested Delay of the TSC traffic.</w:t>
            </w:r>
          </w:p>
        </w:tc>
        <w:tc>
          <w:tcPr>
            <w:tcW w:w="1235" w:type="dxa"/>
          </w:tcPr>
          <w:p w:rsidR="00CB0DD7" w:rsidRPr="000A0A5F" w:rsidRDefault="00CB0DD7">
            <w:pPr>
              <w:pStyle w:val="TAC"/>
              <w:jc w:val="left"/>
              <w:rPr>
                <w:rFonts w:eastAsia="Times New Roman"/>
              </w:rPr>
            </w:pPr>
          </w:p>
        </w:tc>
      </w:tr>
      <w:tr w:rsidR="00F70163" w:rsidRPr="000A0A5F" w:rsidTr="00FF0AF8">
        <w:trPr>
          <w:jc w:val="center"/>
        </w:trPr>
        <w:tc>
          <w:tcPr>
            <w:tcW w:w="1661" w:type="dxa"/>
            <w:shd w:val="clear" w:color="auto" w:fill="auto"/>
          </w:tcPr>
          <w:p w:rsidR="00F70163" w:rsidRPr="000A0A5F" w:rsidRDefault="00F70163" w:rsidP="00F70163">
            <w:pPr>
              <w:pStyle w:val="TAL"/>
            </w:pPr>
            <w:r w:rsidRPr="000A0A5F">
              <w:t>reqPer</w:t>
            </w:r>
          </w:p>
        </w:tc>
        <w:tc>
          <w:tcPr>
            <w:tcW w:w="1842" w:type="dxa"/>
            <w:shd w:val="clear" w:color="auto" w:fill="auto"/>
          </w:tcPr>
          <w:p w:rsidR="00F70163" w:rsidRPr="000A0A5F" w:rsidRDefault="00F70163" w:rsidP="00F70163">
            <w:pPr>
              <w:pStyle w:val="TAL"/>
            </w:pPr>
            <w:r w:rsidRPr="000A0A5F">
              <w:t>PacketErrRate</w:t>
            </w:r>
          </w:p>
        </w:tc>
        <w:tc>
          <w:tcPr>
            <w:tcW w:w="1134" w:type="dxa"/>
          </w:tcPr>
          <w:p w:rsidR="00F70163" w:rsidRPr="000A0A5F" w:rsidRDefault="00F70163" w:rsidP="00F70163">
            <w:pPr>
              <w:pStyle w:val="TAC"/>
              <w:jc w:val="left"/>
            </w:pPr>
            <w:r w:rsidRPr="000A0A5F">
              <w:t>0..1</w:t>
            </w:r>
          </w:p>
        </w:tc>
        <w:tc>
          <w:tcPr>
            <w:tcW w:w="3687" w:type="dxa"/>
          </w:tcPr>
          <w:p w:rsidR="00F70163" w:rsidRPr="000A0A5F" w:rsidRDefault="00F70163" w:rsidP="00F70163">
            <w:pPr>
              <w:pStyle w:val="TAL"/>
            </w:pPr>
            <w:r w:rsidRPr="000A0A5F">
              <w:t>Requested Packet Error Rate of the TSC traffic.</w:t>
            </w:r>
          </w:p>
        </w:tc>
        <w:tc>
          <w:tcPr>
            <w:tcW w:w="1235" w:type="dxa"/>
          </w:tcPr>
          <w:p w:rsidR="00F70163" w:rsidRPr="000A0A5F" w:rsidRDefault="00F70163" w:rsidP="00F70163">
            <w:pPr>
              <w:pStyle w:val="TAC"/>
              <w:jc w:val="left"/>
              <w:rPr>
                <w:rFonts w:eastAsia="Times New Roman"/>
              </w:rPr>
            </w:pPr>
            <w:r w:rsidRPr="000A0A5F">
              <w:t>ExtQoS_5G</w:t>
            </w:r>
          </w:p>
        </w:tc>
      </w:tr>
      <w:tr w:rsidR="00F70163" w:rsidRPr="000A0A5F" w:rsidTr="00FF0AF8">
        <w:trPr>
          <w:jc w:val="center"/>
        </w:trPr>
        <w:tc>
          <w:tcPr>
            <w:tcW w:w="1661" w:type="dxa"/>
            <w:shd w:val="clear" w:color="auto" w:fill="auto"/>
          </w:tcPr>
          <w:p w:rsidR="00F70163" w:rsidRPr="000A0A5F" w:rsidRDefault="00F70163" w:rsidP="00F70163">
            <w:pPr>
              <w:pStyle w:val="TAL"/>
            </w:pPr>
            <w:r w:rsidRPr="000A0A5F">
              <w:rPr>
                <w:rFonts w:hint="eastAsia"/>
                <w:lang w:eastAsia="zh-CN"/>
              </w:rPr>
              <w:t>p</w:t>
            </w:r>
            <w:r w:rsidRPr="000A0A5F">
              <w:rPr>
                <w:lang w:eastAsia="zh-CN"/>
              </w:rPr>
              <w:t>riority</w:t>
            </w:r>
          </w:p>
        </w:tc>
        <w:tc>
          <w:tcPr>
            <w:tcW w:w="1842" w:type="dxa"/>
            <w:shd w:val="clear" w:color="auto" w:fill="auto"/>
          </w:tcPr>
          <w:p w:rsidR="00F70163" w:rsidRPr="000A0A5F" w:rsidRDefault="00F70163" w:rsidP="00F70163">
            <w:pPr>
              <w:pStyle w:val="TAL"/>
            </w:pPr>
            <w:r w:rsidRPr="000A0A5F">
              <w:t>TscPriorityLevel</w:t>
            </w:r>
          </w:p>
        </w:tc>
        <w:tc>
          <w:tcPr>
            <w:tcW w:w="1134" w:type="dxa"/>
          </w:tcPr>
          <w:p w:rsidR="00F70163" w:rsidRPr="000A0A5F" w:rsidRDefault="00F70163" w:rsidP="00F70163">
            <w:pPr>
              <w:pStyle w:val="TAC"/>
              <w:jc w:val="left"/>
            </w:pPr>
            <w:r w:rsidRPr="000A0A5F">
              <w:rPr>
                <w:rFonts w:hint="eastAsia"/>
                <w:lang w:eastAsia="zh-CN"/>
              </w:rPr>
              <w:t>0</w:t>
            </w:r>
            <w:r w:rsidRPr="000A0A5F">
              <w:rPr>
                <w:lang w:eastAsia="zh-CN"/>
              </w:rPr>
              <w:t>..1</w:t>
            </w:r>
          </w:p>
        </w:tc>
        <w:tc>
          <w:tcPr>
            <w:tcW w:w="3687" w:type="dxa"/>
          </w:tcPr>
          <w:p w:rsidR="00F70163" w:rsidRPr="000A0A5F" w:rsidRDefault="00F70163" w:rsidP="00F70163">
            <w:pPr>
              <w:pStyle w:val="TAL"/>
            </w:pPr>
            <w:r w:rsidRPr="000A0A5F">
              <w:t>Unsigned integer indicating the TSC traffic priority in relation to other TSC and non-TSC traffic.</w:t>
            </w:r>
          </w:p>
        </w:tc>
        <w:tc>
          <w:tcPr>
            <w:tcW w:w="1235" w:type="dxa"/>
          </w:tcPr>
          <w:p w:rsidR="00F70163" w:rsidRPr="000A0A5F" w:rsidRDefault="00F70163" w:rsidP="00F70163">
            <w:pPr>
              <w:pStyle w:val="TAC"/>
              <w:jc w:val="left"/>
              <w:rPr>
                <w:rFonts w:eastAsia="Times New Roman"/>
              </w:rPr>
            </w:pPr>
          </w:p>
        </w:tc>
      </w:tr>
      <w:tr w:rsidR="00F70163" w:rsidRPr="000A0A5F" w:rsidTr="00FF0AF8">
        <w:trPr>
          <w:jc w:val="center"/>
        </w:trPr>
        <w:tc>
          <w:tcPr>
            <w:tcW w:w="1661" w:type="dxa"/>
            <w:shd w:val="clear" w:color="auto" w:fill="auto"/>
          </w:tcPr>
          <w:p w:rsidR="00F70163" w:rsidRPr="000A0A5F" w:rsidRDefault="00F70163" w:rsidP="00F70163">
            <w:pPr>
              <w:pStyle w:val="TAL"/>
            </w:pPr>
            <w:r w:rsidRPr="000A0A5F">
              <w:t>tscaiTimeDom</w:t>
            </w:r>
          </w:p>
        </w:tc>
        <w:tc>
          <w:tcPr>
            <w:tcW w:w="1842" w:type="dxa"/>
            <w:shd w:val="clear" w:color="auto" w:fill="auto"/>
          </w:tcPr>
          <w:p w:rsidR="00F70163" w:rsidRPr="000A0A5F" w:rsidRDefault="00F70163" w:rsidP="00F70163">
            <w:pPr>
              <w:pStyle w:val="TAL"/>
            </w:pPr>
            <w:r w:rsidRPr="000A0A5F">
              <w:rPr>
                <w:rFonts w:hint="eastAsia"/>
                <w:lang w:eastAsia="zh-CN"/>
              </w:rPr>
              <w:t>U</w:t>
            </w:r>
            <w:r w:rsidRPr="000A0A5F">
              <w:rPr>
                <w:lang w:eastAsia="zh-CN"/>
              </w:rPr>
              <w:t>integer</w:t>
            </w:r>
          </w:p>
        </w:tc>
        <w:tc>
          <w:tcPr>
            <w:tcW w:w="1134" w:type="dxa"/>
          </w:tcPr>
          <w:p w:rsidR="00F70163" w:rsidRPr="000A0A5F" w:rsidRDefault="00F70163" w:rsidP="00F70163">
            <w:pPr>
              <w:pStyle w:val="TAC"/>
              <w:jc w:val="left"/>
            </w:pPr>
            <w:r w:rsidRPr="000A0A5F">
              <w:rPr>
                <w:rFonts w:hint="eastAsia"/>
                <w:lang w:eastAsia="zh-CN"/>
              </w:rPr>
              <w:t>0</w:t>
            </w:r>
            <w:r w:rsidRPr="000A0A5F">
              <w:rPr>
                <w:lang w:eastAsia="zh-CN"/>
              </w:rPr>
              <w:t>..1</w:t>
            </w:r>
          </w:p>
        </w:tc>
        <w:tc>
          <w:tcPr>
            <w:tcW w:w="3687" w:type="dxa"/>
          </w:tcPr>
          <w:p w:rsidR="00F70163" w:rsidRPr="000A0A5F" w:rsidRDefault="00F70163" w:rsidP="00F70163">
            <w:pPr>
              <w:pStyle w:val="TAL"/>
            </w:pPr>
            <w:r w:rsidRPr="000A0A5F">
              <w:rPr>
                <w:lang w:eastAsia="zh-CN"/>
              </w:rPr>
              <w:t>Indicates the (g)PTP domain that the (TSN)AF is located in.</w:t>
            </w:r>
          </w:p>
        </w:tc>
        <w:tc>
          <w:tcPr>
            <w:tcW w:w="1235" w:type="dxa"/>
          </w:tcPr>
          <w:p w:rsidR="00F70163" w:rsidRPr="000A0A5F" w:rsidRDefault="00F70163" w:rsidP="00F70163">
            <w:pPr>
              <w:pStyle w:val="TAC"/>
              <w:jc w:val="left"/>
              <w:rPr>
                <w:rFonts w:eastAsia="Times New Roman"/>
              </w:rPr>
            </w:pPr>
          </w:p>
        </w:tc>
      </w:tr>
      <w:tr w:rsidR="00F70163" w:rsidRPr="000A0A5F" w:rsidTr="00FF0AF8">
        <w:trPr>
          <w:jc w:val="center"/>
        </w:trPr>
        <w:tc>
          <w:tcPr>
            <w:tcW w:w="1661" w:type="dxa"/>
            <w:shd w:val="clear" w:color="auto" w:fill="auto"/>
          </w:tcPr>
          <w:p w:rsidR="00F70163" w:rsidRPr="000A0A5F" w:rsidRDefault="00F70163" w:rsidP="00F70163">
            <w:pPr>
              <w:pStyle w:val="TAL"/>
              <w:rPr>
                <w:lang w:eastAsia="zh-CN"/>
              </w:rPr>
            </w:pPr>
            <w:r w:rsidRPr="000A0A5F">
              <w:t>tscaiInputUl</w:t>
            </w:r>
          </w:p>
        </w:tc>
        <w:tc>
          <w:tcPr>
            <w:tcW w:w="1842" w:type="dxa"/>
            <w:shd w:val="clear" w:color="auto" w:fill="auto"/>
          </w:tcPr>
          <w:p w:rsidR="00F70163" w:rsidRPr="000A0A5F" w:rsidRDefault="00F70163" w:rsidP="00F70163">
            <w:pPr>
              <w:pStyle w:val="TAL"/>
              <w:rPr>
                <w:lang w:eastAsia="zh-CN"/>
              </w:rPr>
            </w:pPr>
            <w:r w:rsidRPr="000A0A5F">
              <w:t>TscaiInputContainer</w:t>
            </w:r>
          </w:p>
        </w:tc>
        <w:tc>
          <w:tcPr>
            <w:tcW w:w="1134" w:type="dxa"/>
          </w:tcPr>
          <w:p w:rsidR="00F70163" w:rsidRPr="000A0A5F" w:rsidRDefault="00F70163" w:rsidP="00F70163">
            <w:pPr>
              <w:pStyle w:val="TAC"/>
              <w:jc w:val="left"/>
              <w:rPr>
                <w:lang w:eastAsia="zh-CN"/>
              </w:rPr>
            </w:pPr>
            <w:r w:rsidRPr="000A0A5F">
              <w:rPr>
                <w:lang w:eastAsia="zh-CN"/>
              </w:rPr>
              <w:t>0..1</w:t>
            </w:r>
          </w:p>
        </w:tc>
        <w:tc>
          <w:tcPr>
            <w:tcW w:w="3687" w:type="dxa"/>
          </w:tcPr>
          <w:p w:rsidR="00F70163" w:rsidRPr="000A0A5F" w:rsidRDefault="00F70163" w:rsidP="00F70163">
            <w:pPr>
              <w:pStyle w:val="TAL"/>
            </w:pPr>
            <w:r w:rsidRPr="000A0A5F">
              <w:t>Transports the input parameters for TSC traffic</w:t>
            </w:r>
            <w:r w:rsidRPr="000A0A5F">
              <w:rPr>
                <w:rFonts w:cs="Arial"/>
                <w:szCs w:val="18"/>
              </w:rPr>
              <w:t xml:space="preserve"> </w:t>
            </w:r>
            <w:r w:rsidRPr="000A0A5F">
              <w:t>to construct the TSC Assistance Container in uplink direction.</w:t>
            </w:r>
          </w:p>
          <w:p w:rsidR="00F70163" w:rsidRPr="000A0A5F" w:rsidRDefault="00F70163" w:rsidP="00F70163">
            <w:pPr>
              <w:pStyle w:val="TAL"/>
              <w:rPr>
                <w:rFonts w:cs="Arial"/>
                <w:szCs w:val="18"/>
                <w:lang w:eastAsia="zh-CN"/>
              </w:rPr>
            </w:pPr>
            <w:r w:rsidRPr="000A0A5F">
              <w:t>(NOTE)</w:t>
            </w:r>
          </w:p>
        </w:tc>
        <w:tc>
          <w:tcPr>
            <w:tcW w:w="1235" w:type="dxa"/>
          </w:tcPr>
          <w:p w:rsidR="00F70163" w:rsidRPr="000A0A5F" w:rsidRDefault="00F70163" w:rsidP="00F70163">
            <w:pPr>
              <w:pStyle w:val="TAC"/>
              <w:jc w:val="left"/>
              <w:rPr>
                <w:rFonts w:eastAsia="Times New Roman"/>
              </w:rPr>
            </w:pPr>
          </w:p>
        </w:tc>
      </w:tr>
      <w:tr w:rsidR="00F70163" w:rsidRPr="000A0A5F" w:rsidTr="00FF0AF8">
        <w:trPr>
          <w:jc w:val="center"/>
        </w:trPr>
        <w:tc>
          <w:tcPr>
            <w:tcW w:w="1661" w:type="dxa"/>
            <w:shd w:val="clear" w:color="auto" w:fill="auto"/>
          </w:tcPr>
          <w:p w:rsidR="00F70163" w:rsidRPr="000A0A5F" w:rsidRDefault="00F70163" w:rsidP="00F70163">
            <w:pPr>
              <w:pStyle w:val="TAL"/>
              <w:rPr>
                <w:lang w:eastAsia="zh-CN"/>
              </w:rPr>
            </w:pPr>
            <w:r w:rsidRPr="000A0A5F">
              <w:t>tscaiInputDl</w:t>
            </w:r>
          </w:p>
        </w:tc>
        <w:tc>
          <w:tcPr>
            <w:tcW w:w="1842" w:type="dxa"/>
            <w:shd w:val="clear" w:color="auto" w:fill="auto"/>
          </w:tcPr>
          <w:p w:rsidR="00F70163" w:rsidRPr="000A0A5F" w:rsidRDefault="00F70163" w:rsidP="00F70163">
            <w:pPr>
              <w:pStyle w:val="TAL"/>
              <w:rPr>
                <w:lang w:eastAsia="zh-CN"/>
              </w:rPr>
            </w:pPr>
            <w:r w:rsidRPr="000A0A5F">
              <w:t>TscaiInputContainer</w:t>
            </w:r>
          </w:p>
        </w:tc>
        <w:tc>
          <w:tcPr>
            <w:tcW w:w="1134" w:type="dxa"/>
          </w:tcPr>
          <w:p w:rsidR="00F70163" w:rsidRPr="000A0A5F" w:rsidRDefault="00F70163" w:rsidP="00F70163">
            <w:pPr>
              <w:pStyle w:val="TAC"/>
              <w:jc w:val="left"/>
              <w:rPr>
                <w:lang w:eastAsia="zh-CN"/>
              </w:rPr>
            </w:pPr>
            <w:r w:rsidRPr="000A0A5F">
              <w:rPr>
                <w:lang w:eastAsia="zh-CN"/>
              </w:rPr>
              <w:t>0..1</w:t>
            </w:r>
          </w:p>
        </w:tc>
        <w:tc>
          <w:tcPr>
            <w:tcW w:w="3687" w:type="dxa"/>
          </w:tcPr>
          <w:p w:rsidR="00F70163" w:rsidRPr="000A0A5F" w:rsidRDefault="00F70163" w:rsidP="00F70163">
            <w:pPr>
              <w:pStyle w:val="TAL"/>
            </w:pPr>
            <w:r w:rsidRPr="000A0A5F">
              <w:t>Transports the input parameters for TSC traffic</w:t>
            </w:r>
            <w:r w:rsidRPr="000A0A5F">
              <w:rPr>
                <w:rFonts w:cs="Arial"/>
                <w:szCs w:val="18"/>
              </w:rPr>
              <w:t xml:space="preserve"> </w:t>
            </w:r>
            <w:r w:rsidRPr="000A0A5F">
              <w:t>to construct the TSC Assistance Container in downlink direction.</w:t>
            </w:r>
          </w:p>
          <w:p w:rsidR="00F70163" w:rsidRPr="000A0A5F" w:rsidRDefault="00F70163" w:rsidP="00F70163">
            <w:pPr>
              <w:pStyle w:val="TAL"/>
            </w:pPr>
            <w:r w:rsidRPr="000A0A5F">
              <w:t>(NOTE)</w:t>
            </w:r>
          </w:p>
        </w:tc>
        <w:tc>
          <w:tcPr>
            <w:tcW w:w="1235" w:type="dxa"/>
          </w:tcPr>
          <w:p w:rsidR="00F70163" w:rsidRPr="000A0A5F" w:rsidRDefault="00F70163" w:rsidP="00F70163">
            <w:pPr>
              <w:pStyle w:val="TAC"/>
              <w:jc w:val="left"/>
              <w:rPr>
                <w:rFonts w:eastAsia="Times New Roman"/>
              </w:rPr>
            </w:pPr>
          </w:p>
        </w:tc>
      </w:tr>
      <w:tr w:rsidR="00F70163" w:rsidRPr="000A0A5F" w:rsidTr="00FF0AF8">
        <w:trPr>
          <w:jc w:val="center"/>
        </w:trPr>
        <w:tc>
          <w:tcPr>
            <w:tcW w:w="1661" w:type="dxa"/>
            <w:shd w:val="clear" w:color="auto" w:fill="auto"/>
          </w:tcPr>
          <w:p w:rsidR="00F70163" w:rsidRPr="000A0A5F" w:rsidRDefault="00F70163" w:rsidP="00F70163">
            <w:pPr>
              <w:pStyle w:val="TAL"/>
            </w:pPr>
            <w:r w:rsidRPr="000A0A5F">
              <w:t>capBatAdaptation</w:t>
            </w:r>
          </w:p>
        </w:tc>
        <w:tc>
          <w:tcPr>
            <w:tcW w:w="1842" w:type="dxa"/>
            <w:shd w:val="clear" w:color="auto" w:fill="auto"/>
          </w:tcPr>
          <w:p w:rsidR="00F70163" w:rsidRPr="000A0A5F" w:rsidRDefault="00F70163" w:rsidP="00F70163">
            <w:pPr>
              <w:pStyle w:val="TAL"/>
            </w:pPr>
            <w:r w:rsidRPr="000A0A5F">
              <w:rPr>
                <w:lang w:eastAsia="zh-CN"/>
              </w:rPr>
              <w:t>boolean</w:t>
            </w:r>
          </w:p>
        </w:tc>
        <w:tc>
          <w:tcPr>
            <w:tcW w:w="1134" w:type="dxa"/>
          </w:tcPr>
          <w:p w:rsidR="00F70163" w:rsidRPr="000A0A5F" w:rsidRDefault="00F70163" w:rsidP="00F70163">
            <w:pPr>
              <w:pStyle w:val="TAC"/>
              <w:jc w:val="left"/>
              <w:rPr>
                <w:lang w:eastAsia="zh-CN"/>
              </w:rPr>
            </w:pPr>
            <w:r w:rsidRPr="000A0A5F">
              <w:rPr>
                <w:lang w:eastAsia="zh-CN"/>
              </w:rPr>
              <w:t>0..1</w:t>
            </w:r>
          </w:p>
        </w:tc>
        <w:tc>
          <w:tcPr>
            <w:tcW w:w="3687" w:type="dxa"/>
          </w:tcPr>
          <w:p w:rsidR="00F70163" w:rsidRPr="000A0A5F" w:rsidRDefault="00F70163" w:rsidP="00F70163">
            <w:pPr>
              <w:pStyle w:val="TAL"/>
            </w:pPr>
            <w:r w:rsidRPr="000A0A5F">
              <w:t>Indicates the capability for AF to adjust the burst sending time, when it is supported and set to "true".</w:t>
            </w:r>
          </w:p>
          <w:p w:rsidR="00F70163" w:rsidRPr="000A0A5F" w:rsidRDefault="00F70163" w:rsidP="00F70163">
            <w:pPr>
              <w:pStyle w:val="TAL"/>
              <w:rPr>
                <w:lang w:eastAsia="zh-CN"/>
              </w:rPr>
            </w:pPr>
            <w:r w:rsidRPr="000A0A5F">
              <w:rPr>
                <w:rFonts w:cs="Arial"/>
                <w:szCs w:val="18"/>
                <w:lang w:eastAsia="zh-CN"/>
              </w:rPr>
              <w:t xml:space="preserve">The default value is </w:t>
            </w:r>
            <w:r w:rsidRPr="000A0A5F">
              <w:t>"</w:t>
            </w:r>
            <w:r w:rsidRPr="000A0A5F">
              <w:rPr>
                <w:rFonts w:cs="Arial"/>
                <w:szCs w:val="18"/>
                <w:lang w:eastAsia="zh-CN"/>
              </w:rPr>
              <w:t>false</w:t>
            </w:r>
            <w:r w:rsidRPr="000A0A5F">
              <w:t>"</w:t>
            </w:r>
            <w:r w:rsidRPr="000A0A5F">
              <w:rPr>
                <w:rFonts w:cs="Arial"/>
                <w:szCs w:val="18"/>
                <w:lang w:eastAsia="zh-CN"/>
              </w:rPr>
              <w:t xml:space="preserve"> if omitted.</w:t>
            </w:r>
          </w:p>
          <w:p w:rsidR="00F70163" w:rsidRPr="000A0A5F" w:rsidRDefault="00F70163" w:rsidP="00F70163">
            <w:pPr>
              <w:pStyle w:val="TAL"/>
            </w:pPr>
            <w:r w:rsidRPr="000A0A5F">
              <w:t>(NOTE)</w:t>
            </w:r>
          </w:p>
        </w:tc>
        <w:tc>
          <w:tcPr>
            <w:tcW w:w="1235" w:type="dxa"/>
          </w:tcPr>
          <w:p w:rsidR="00F70163" w:rsidRPr="000A0A5F" w:rsidRDefault="00F70163" w:rsidP="00F70163">
            <w:pPr>
              <w:pStyle w:val="TAC"/>
              <w:jc w:val="left"/>
              <w:rPr>
                <w:rFonts w:eastAsia="Times New Roman"/>
              </w:rPr>
            </w:pPr>
            <w:r w:rsidRPr="000A0A5F">
              <w:t>EnTSCAC</w:t>
            </w:r>
          </w:p>
        </w:tc>
      </w:tr>
      <w:tr w:rsidR="00F70163" w:rsidRPr="000A0A5F" w:rsidTr="00220170">
        <w:trPr>
          <w:jc w:val="center"/>
        </w:trPr>
        <w:tc>
          <w:tcPr>
            <w:tcW w:w="9559" w:type="dxa"/>
            <w:gridSpan w:val="5"/>
            <w:shd w:val="clear" w:color="auto" w:fill="auto"/>
          </w:tcPr>
          <w:p w:rsidR="00F70163" w:rsidRPr="000A0A5F" w:rsidRDefault="00F70163" w:rsidP="00F70163">
            <w:pPr>
              <w:pStyle w:val="TAN"/>
            </w:pPr>
            <w:r w:rsidRPr="000A0A5F">
              <w:t>NOTE:</w:t>
            </w:r>
            <w:r w:rsidRPr="000A0A5F">
              <w:tab/>
              <w:t>The "burstArrivalTimeWnd" attribute, within the "tscaiInputUl" and/or "tscaiInputDl" attributes, and the "capBatAdaptation attribute are mutually exclusive.</w:t>
            </w:r>
          </w:p>
        </w:tc>
      </w:tr>
    </w:tbl>
    <w:p w:rsidR="00CB0DD7" w:rsidRPr="000A0A5F" w:rsidRDefault="00CB0DD7"/>
    <w:p w:rsidR="00CB0DD7" w:rsidRPr="000A0A5F" w:rsidRDefault="00CB0DD7">
      <w:pPr>
        <w:pStyle w:val="Heading5"/>
      </w:pPr>
      <w:bookmarkStart w:id="9188" w:name="_Toc74756139"/>
      <w:bookmarkStart w:id="9189" w:name="_Toc105675016"/>
      <w:bookmarkStart w:id="9190" w:name="_Toc130503084"/>
      <w:bookmarkStart w:id="9191" w:name="_Toc153625872"/>
      <w:r w:rsidRPr="000A0A5F">
        <w:t>5.14.2.1.10</w:t>
      </w:r>
      <w:r w:rsidRPr="000A0A5F">
        <w:tab/>
        <w:t xml:space="preserve">Type: </w:t>
      </w:r>
      <w:r w:rsidRPr="000A0A5F">
        <w:rPr>
          <w:lang w:eastAsia="zh-CN"/>
        </w:rPr>
        <w:t>TscQosRequirementRm</w:t>
      </w:r>
      <w:bookmarkEnd w:id="9188"/>
      <w:bookmarkEnd w:id="9189"/>
      <w:bookmarkEnd w:id="9190"/>
      <w:bookmarkEnd w:id="9191"/>
    </w:p>
    <w:p w:rsidR="00CB0DD7" w:rsidRPr="000A0A5F" w:rsidRDefault="00CB0DD7">
      <w:pPr>
        <w:pStyle w:val="B10"/>
      </w:pPr>
    </w:p>
    <w:p w:rsidR="00CB0DD7" w:rsidRPr="000A0A5F" w:rsidRDefault="00CB0DD7">
      <w:pPr>
        <w:pStyle w:val="TH"/>
      </w:pPr>
      <w:r w:rsidRPr="000A0A5F">
        <w:rPr>
          <w:noProof/>
        </w:rPr>
        <w:t>Table </w:t>
      </w:r>
      <w:r w:rsidRPr="000A0A5F">
        <w:t xml:space="preserve">5.14.2.1.10-1: </w:t>
      </w:r>
      <w:r w:rsidRPr="000A0A5F">
        <w:rPr>
          <w:noProof/>
        </w:rPr>
        <w:t xml:space="preserve">Definition of type </w:t>
      </w:r>
      <w:r w:rsidRPr="000A0A5F">
        <w:rPr>
          <w:lang w:eastAsia="zh-CN"/>
        </w:rPr>
        <w:t>TscQosRequirementRm</w:t>
      </w:r>
    </w:p>
    <w:tbl>
      <w:tblPr>
        <w:tblW w:w="955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61"/>
        <w:gridCol w:w="1842"/>
        <w:gridCol w:w="1134"/>
        <w:gridCol w:w="3687"/>
        <w:gridCol w:w="1235"/>
      </w:tblGrid>
      <w:tr w:rsidR="00CB0DD7" w:rsidRPr="000A0A5F" w:rsidTr="00FF0AF8">
        <w:trPr>
          <w:trHeight w:val="288"/>
          <w:jc w:val="center"/>
        </w:trPr>
        <w:tc>
          <w:tcPr>
            <w:tcW w:w="1661" w:type="dxa"/>
            <w:shd w:val="clear" w:color="auto" w:fill="C0C0C0"/>
          </w:tcPr>
          <w:p w:rsidR="00CB0DD7" w:rsidRPr="000A0A5F" w:rsidRDefault="00CB0DD7">
            <w:pPr>
              <w:pStyle w:val="TAH"/>
              <w:rPr>
                <w:rFonts w:eastAsia="Times New Roman"/>
              </w:rPr>
            </w:pPr>
            <w:r w:rsidRPr="000A0A5F">
              <w:rPr>
                <w:rFonts w:eastAsia="Times New Roman"/>
              </w:rPr>
              <w:t>Attribute name</w:t>
            </w:r>
          </w:p>
        </w:tc>
        <w:tc>
          <w:tcPr>
            <w:tcW w:w="1842" w:type="dxa"/>
            <w:shd w:val="clear" w:color="auto" w:fill="C0C0C0"/>
          </w:tcPr>
          <w:p w:rsidR="00CB0DD7" w:rsidRPr="000A0A5F" w:rsidRDefault="00CB0DD7">
            <w:pPr>
              <w:pStyle w:val="TAH"/>
              <w:rPr>
                <w:rFonts w:eastAsia="Times New Roman"/>
              </w:rPr>
            </w:pPr>
            <w:r w:rsidRPr="000A0A5F">
              <w:rPr>
                <w:rFonts w:eastAsia="Times New Roman"/>
              </w:rPr>
              <w:t>Data type</w:t>
            </w:r>
          </w:p>
        </w:tc>
        <w:tc>
          <w:tcPr>
            <w:tcW w:w="1134" w:type="dxa"/>
            <w:shd w:val="clear" w:color="auto" w:fill="C0C0C0"/>
          </w:tcPr>
          <w:p w:rsidR="00CB0DD7" w:rsidRPr="000A0A5F" w:rsidRDefault="00CB0DD7">
            <w:pPr>
              <w:pStyle w:val="TAH"/>
              <w:rPr>
                <w:rFonts w:eastAsia="Times New Roman"/>
              </w:rPr>
            </w:pPr>
            <w:r w:rsidRPr="000A0A5F">
              <w:rPr>
                <w:rFonts w:eastAsia="Times New Roman"/>
              </w:rPr>
              <w:t>Cardinality</w:t>
            </w:r>
          </w:p>
        </w:tc>
        <w:tc>
          <w:tcPr>
            <w:tcW w:w="3687"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Description</w:t>
            </w:r>
          </w:p>
        </w:tc>
        <w:tc>
          <w:tcPr>
            <w:tcW w:w="1235" w:type="dxa"/>
            <w:shd w:val="clear" w:color="auto" w:fill="C0C0C0"/>
          </w:tcPr>
          <w:p w:rsidR="00CB0DD7" w:rsidRPr="000A0A5F" w:rsidRDefault="00CB0DD7">
            <w:pPr>
              <w:pStyle w:val="TAH"/>
              <w:rPr>
                <w:rFonts w:eastAsia="Times New Roman"/>
              </w:rPr>
            </w:pPr>
            <w:r w:rsidRPr="000A0A5F">
              <w:rPr>
                <w:rFonts w:eastAsia="Times New Roman" w:cs="Arial"/>
                <w:szCs w:val="18"/>
              </w:rPr>
              <w:t>Applicability</w:t>
            </w:r>
          </w:p>
        </w:tc>
      </w:tr>
      <w:tr w:rsidR="00CB0DD7" w:rsidRPr="000A0A5F" w:rsidTr="00FF0AF8">
        <w:trPr>
          <w:jc w:val="center"/>
        </w:trPr>
        <w:tc>
          <w:tcPr>
            <w:tcW w:w="1661" w:type="dxa"/>
            <w:shd w:val="clear" w:color="auto" w:fill="auto"/>
          </w:tcPr>
          <w:p w:rsidR="00CB0DD7" w:rsidRPr="000A0A5F" w:rsidRDefault="00CB0DD7">
            <w:pPr>
              <w:pStyle w:val="TAL"/>
              <w:rPr>
                <w:lang w:eastAsia="zh-CN"/>
              </w:rPr>
            </w:pPr>
            <w:r w:rsidRPr="000A0A5F">
              <w:t>reqGbrDl</w:t>
            </w:r>
          </w:p>
        </w:tc>
        <w:tc>
          <w:tcPr>
            <w:tcW w:w="1842" w:type="dxa"/>
            <w:shd w:val="clear" w:color="auto" w:fill="auto"/>
          </w:tcPr>
          <w:p w:rsidR="00CB0DD7" w:rsidRPr="000A0A5F" w:rsidRDefault="00CB0DD7">
            <w:pPr>
              <w:pStyle w:val="TAL"/>
              <w:rPr>
                <w:lang w:eastAsia="zh-CN"/>
              </w:rPr>
            </w:pPr>
            <w:r w:rsidRPr="000A0A5F">
              <w:rPr>
                <w:rFonts w:cs="Arial"/>
              </w:rPr>
              <w:t>BitRateRm</w:t>
            </w:r>
          </w:p>
        </w:tc>
        <w:tc>
          <w:tcPr>
            <w:tcW w:w="1134" w:type="dxa"/>
          </w:tcPr>
          <w:p w:rsidR="00CB0DD7" w:rsidRPr="000A0A5F" w:rsidRDefault="00CB0DD7">
            <w:pPr>
              <w:pStyle w:val="TAC"/>
              <w:jc w:val="left"/>
              <w:rPr>
                <w:lang w:eastAsia="zh-CN"/>
              </w:rPr>
            </w:pPr>
            <w:r w:rsidRPr="000A0A5F">
              <w:t>0..1</w:t>
            </w:r>
          </w:p>
        </w:tc>
        <w:tc>
          <w:tcPr>
            <w:tcW w:w="3687" w:type="dxa"/>
          </w:tcPr>
          <w:p w:rsidR="00CB0DD7" w:rsidRPr="000A0A5F" w:rsidRDefault="00CB0DD7">
            <w:pPr>
              <w:pStyle w:val="TAL"/>
            </w:pPr>
            <w:r w:rsidRPr="000A0A5F">
              <w:rPr>
                <w:rFonts w:hint="eastAsia"/>
                <w:lang w:eastAsia="zh-CN"/>
              </w:rPr>
              <w:t>R</w:t>
            </w:r>
            <w:r w:rsidRPr="000A0A5F">
              <w:rPr>
                <w:lang w:eastAsia="zh-CN"/>
              </w:rPr>
              <w:t>equested GBR in downlink.</w:t>
            </w:r>
          </w:p>
        </w:tc>
        <w:tc>
          <w:tcPr>
            <w:tcW w:w="1235" w:type="dxa"/>
          </w:tcPr>
          <w:p w:rsidR="00CB0DD7" w:rsidRPr="000A0A5F" w:rsidRDefault="00CB0DD7">
            <w:pPr>
              <w:pStyle w:val="TAC"/>
              <w:jc w:val="left"/>
              <w:rPr>
                <w:rFonts w:eastAsia="Times New Roman"/>
              </w:rPr>
            </w:pPr>
          </w:p>
        </w:tc>
      </w:tr>
      <w:tr w:rsidR="00CB0DD7" w:rsidRPr="000A0A5F" w:rsidTr="00FF0AF8">
        <w:trPr>
          <w:jc w:val="center"/>
        </w:trPr>
        <w:tc>
          <w:tcPr>
            <w:tcW w:w="1661" w:type="dxa"/>
            <w:shd w:val="clear" w:color="auto" w:fill="auto"/>
          </w:tcPr>
          <w:p w:rsidR="00CB0DD7" w:rsidRPr="000A0A5F" w:rsidRDefault="00CB0DD7">
            <w:pPr>
              <w:pStyle w:val="TAL"/>
              <w:rPr>
                <w:lang w:eastAsia="zh-CN"/>
              </w:rPr>
            </w:pPr>
            <w:r w:rsidRPr="000A0A5F">
              <w:t>reqGbrUl</w:t>
            </w:r>
          </w:p>
        </w:tc>
        <w:tc>
          <w:tcPr>
            <w:tcW w:w="1842" w:type="dxa"/>
            <w:shd w:val="clear" w:color="auto" w:fill="auto"/>
          </w:tcPr>
          <w:p w:rsidR="00CB0DD7" w:rsidRPr="000A0A5F" w:rsidRDefault="00CB0DD7">
            <w:pPr>
              <w:pStyle w:val="TAL"/>
              <w:rPr>
                <w:lang w:eastAsia="zh-CN"/>
              </w:rPr>
            </w:pPr>
            <w:r w:rsidRPr="000A0A5F">
              <w:rPr>
                <w:rFonts w:cs="Arial"/>
              </w:rPr>
              <w:t>BitRateRm</w:t>
            </w:r>
          </w:p>
        </w:tc>
        <w:tc>
          <w:tcPr>
            <w:tcW w:w="1134" w:type="dxa"/>
          </w:tcPr>
          <w:p w:rsidR="00CB0DD7" w:rsidRPr="000A0A5F" w:rsidRDefault="00CB0DD7">
            <w:pPr>
              <w:pStyle w:val="TAC"/>
              <w:jc w:val="left"/>
              <w:rPr>
                <w:lang w:eastAsia="zh-CN"/>
              </w:rPr>
            </w:pPr>
            <w:r w:rsidRPr="000A0A5F">
              <w:t>0..1</w:t>
            </w:r>
          </w:p>
        </w:tc>
        <w:tc>
          <w:tcPr>
            <w:tcW w:w="3687" w:type="dxa"/>
          </w:tcPr>
          <w:p w:rsidR="00CB0DD7" w:rsidRPr="000A0A5F" w:rsidRDefault="00CB0DD7">
            <w:pPr>
              <w:pStyle w:val="TAL"/>
            </w:pPr>
            <w:r w:rsidRPr="000A0A5F">
              <w:rPr>
                <w:rFonts w:cs="Arial" w:hint="eastAsia"/>
                <w:noProof/>
                <w:szCs w:val="18"/>
                <w:lang w:eastAsia="zh-CN"/>
              </w:rPr>
              <w:t>R</w:t>
            </w:r>
            <w:r w:rsidRPr="000A0A5F">
              <w:rPr>
                <w:rFonts w:cs="Arial"/>
                <w:noProof/>
                <w:szCs w:val="18"/>
                <w:lang w:eastAsia="zh-CN"/>
              </w:rPr>
              <w:t>equested GBR in uplink.</w:t>
            </w:r>
          </w:p>
        </w:tc>
        <w:tc>
          <w:tcPr>
            <w:tcW w:w="1235" w:type="dxa"/>
          </w:tcPr>
          <w:p w:rsidR="00CB0DD7" w:rsidRPr="000A0A5F" w:rsidRDefault="00CB0DD7">
            <w:pPr>
              <w:pStyle w:val="TAC"/>
              <w:jc w:val="left"/>
              <w:rPr>
                <w:rFonts w:eastAsia="Times New Roman"/>
              </w:rPr>
            </w:pPr>
          </w:p>
        </w:tc>
      </w:tr>
      <w:tr w:rsidR="00CB0DD7" w:rsidRPr="000A0A5F" w:rsidTr="00FF0AF8">
        <w:trPr>
          <w:jc w:val="center"/>
        </w:trPr>
        <w:tc>
          <w:tcPr>
            <w:tcW w:w="1661" w:type="dxa"/>
            <w:shd w:val="clear" w:color="auto" w:fill="auto"/>
          </w:tcPr>
          <w:p w:rsidR="00CB0DD7" w:rsidRPr="000A0A5F" w:rsidRDefault="00CB0DD7">
            <w:pPr>
              <w:pStyle w:val="TAL"/>
              <w:rPr>
                <w:lang w:eastAsia="zh-CN"/>
              </w:rPr>
            </w:pPr>
            <w:r w:rsidRPr="000A0A5F">
              <w:t>reqMbrDl</w:t>
            </w:r>
          </w:p>
        </w:tc>
        <w:tc>
          <w:tcPr>
            <w:tcW w:w="1842" w:type="dxa"/>
            <w:shd w:val="clear" w:color="auto" w:fill="auto"/>
          </w:tcPr>
          <w:p w:rsidR="00CB0DD7" w:rsidRPr="000A0A5F" w:rsidRDefault="00CB0DD7">
            <w:pPr>
              <w:pStyle w:val="TAL"/>
              <w:rPr>
                <w:lang w:eastAsia="zh-CN"/>
              </w:rPr>
            </w:pPr>
            <w:r w:rsidRPr="000A0A5F">
              <w:rPr>
                <w:rFonts w:eastAsia="Times New Roman" w:cs="Arial"/>
              </w:rPr>
              <w:t>BitRateRm</w:t>
            </w:r>
          </w:p>
        </w:tc>
        <w:tc>
          <w:tcPr>
            <w:tcW w:w="1134" w:type="dxa"/>
          </w:tcPr>
          <w:p w:rsidR="00CB0DD7" w:rsidRPr="000A0A5F" w:rsidRDefault="00CB0DD7">
            <w:pPr>
              <w:pStyle w:val="TAC"/>
              <w:jc w:val="left"/>
              <w:rPr>
                <w:lang w:eastAsia="zh-CN"/>
              </w:rPr>
            </w:pPr>
            <w:r w:rsidRPr="000A0A5F">
              <w:t>0..1</w:t>
            </w:r>
          </w:p>
        </w:tc>
        <w:tc>
          <w:tcPr>
            <w:tcW w:w="3687" w:type="dxa"/>
          </w:tcPr>
          <w:p w:rsidR="00CB0DD7" w:rsidRPr="000A0A5F" w:rsidRDefault="00CB0DD7">
            <w:pPr>
              <w:pStyle w:val="TAL"/>
              <w:rPr>
                <w:rFonts w:cs="Arial"/>
                <w:szCs w:val="18"/>
                <w:lang w:eastAsia="zh-CN"/>
              </w:rPr>
            </w:pPr>
            <w:r w:rsidRPr="000A0A5F">
              <w:rPr>
                <w:rFonts w:hint="eastAsia"/>
                <w:lang w:eastAsia="zh-CN"/>
              </w:rPr>
              <w:t>R</w:t>
            </w:r>
            <w:r w:rsidRPr="000A0A5F">
              <w:rPr>
                <w:lang w:eastAsia="zh-CN"/>
              </w:rPr>
              <w:t>equested MBR in downlink.</w:t>
            </w:r>
          </w:p>
        </w:tc>
        <w:tc>
          <w:tcPr>
            <w:tcW w:w="1235" w:type="dxa"/>
          </w:tcPr>
          <w:p w:rsidR="00CB0DD7" w:rsidRPr="000A0A5F" w:rsidRDefault="00CB0DD7">
            <w:pPr>
              <w:pStyle w:val="TAC"/>
              <w:jc w:val="left"/>
              <w:rPr>
                <w:rFonts w:eastAsia="Times New Roman"/>
              </w:rPr>
            </w:pPr>
          </w:p>
        </w:tc>
      </w:tr>
      <w:tr w:rsidR="00CB0DD7" w:rsidRPr="000A0A5F" w:rsidTr="00FF0AF8">
        <w:trPr>
          <w:jc w:val="center"/>
        </w:trPr>
        <w:tc>
          <w:tcPr>
            <w:tcW w:w="1661" w:type="dxa"/>
            <w:shd w:val="clear" w:color="auto" w:fill="auto"/>
          </w:tcPr>
          <w:p w:rsidR="00CB0DD7" w:rsidRPr="000A0A5F" w:rsidRDefault="00CB0DD7">
            <w:pPr>
              <w:pStyle w:val="TAL"/>
              <w:rPr>
                <w:rFonts w:eastAsia="Times New Roman"/>
              </w:rPr>
            </w:pPr>
            <w:r w:rsidRPr="000A0A5F">
              <w:t>reqMbrUl</w:t>
            </w:r>
          </w:p>
        </w:tc>
        <w:tc>
          <w:tcPr>
            <w:tcW w:w="1842" w:type="dxa"/>
            <w:shd w:val="clear" w:color="auto" w:fill="auto"/>
          </w:tcPr>
          <w:p w:rsidR="00CB0DD7" w:rsidRPr="000A0A5F" w:rsidRDefault="00CB0DD7">
            <w:pPr>
              <w:pStyle w:val="TAL"/>
              <w:rPr>
                <w:rFonts w:eastAsia="Times New Roman"/>
              </w:rPr>
            </w:pPr>
            <w:r w:rsidRPr="000A0A5F">
              <w:rPr>
                <w:rFonts w:eastAsia="Times New Roman" w:cs="Arial"/>
              </w:rPr>
              <w:t>BitRateRm</w:t>
            </w:r>
          </w:p>
        </w:tc>
        <w:tc>
          <w:tcPr>
            <w:tcW w:w="1134" w:type="dxa"/>
          </w:tcPr>
          <w:p w:rsidR="00CB0DD7" w:rsidRPr="000A0A5F" w:rsidRDefault="00CB0DD7">
            <w:pPr>
              <w:pStyle w:val="TAC"/>
              <w:jc w:val="left"/>
              <w:rPr>
                <w:lang w:eastAsia="zh-CN"/>
              </w:rPr>
            </w:pPr>
            <w:r w:rsidRPr="000A0A5F">
              <w:t>0..1</w:t>
            </w:r>
          </w:p>
        </w:tc>
        <w:tc>
          <w:tcPr>
            <w:tcW w:w="3687" w:type="dxa"/>
          </w:tcPr>
          <w:p w:rsidR="00CB0DD7" w:rsidRPr="000A0A5F" w:rsidRDefault="00CB0DD7">
            <w:pPr>
              <w:pStyle w:val="TAL"/>
              <w:rPr>
                <w:rFonts w:cs="Arial"/>
                <w:szCs w:val="18"/>
                <w:lang w:eastAsia="zh-CN"/>
              </w:rPr>
            </w:pPr>
            <w:r w:rsidRPr="000A0A5F">
              <w:rPr>
                <w:rFonts w:cs="Arial" w:hint="eastAsia"/>
                <w:noProof/>
                <w:szCs w:val="18"/>
                <w:lang w:eastAsia="zh-CN"/>
              </w:rPr>
              <w:t>R</w:t>
            </w:r>
            <w:r w:rsidRPr="000A0A5F">
              <w:rPr>
                <w:rFonts w:cs="Arial"/>
                <w:noProof/>
                <w:szCs w:val="18"/>
                <w:lang w:eastAsia="zh-CN"/>
              </w:rPr>
              <w:t>equested MBR in uplink.</w:t>
            </w:r>
          </w:p>
        </w:tc>
        <w:tc>
          <w:tcPr>
            <w:tcW w:w="1235" w:type="dxa"/>
          </w:tcPr>
          <w:p w:rsidR="00CB0DD7" w:rsidRPr="000A0A5F" w:rsidRDefault="00CB0DD7">
            <w:pPr>
              <w:pStyle w:val="TAC"/>
              <w:jc w:val="left"/>
              <w:rPr>
                <w:rFonts w:eastAsia="Times New Roman"/>
              </w:rPr>
            </w:pPr>
          </w:p>
        </w:tc>
      </w:tr>
      <w:tr w:rsidR="00CB0DD7" w:rsidRPr="000A0A5F" w:rsidTr="00FF0AF8">
        <w:trPr>
          <w:jc w:val="center"/>
        </w:trPr>
        <w:tc>
          <w:tcPr>
            <w:tcW w:w="1661" w:type="dxa"/>
            <w:shd w:val="clear" w:color="auto" w:fill="auto"/>
          </w:tcPr>
          <w:p w:rsidR="00CB0DD7" w:rsidRPr="000A0A5F" w:rsidRDefault="00CB0DD7">
            <w:pPr>
              <w:pStyle w:val="TAL"/>
              <w:rPr>
                <w:lang w:eastAsia="zh-CN"/>
              </w:rPr>
            </w:pPr>
            <w:r w:rsidRPr="000A0A5F">
              <w:t>maxTscBurstSize</w:t>
            </w:r>
          </w:p>
        </w:tc>
        <w:tc>
          <w:tcPr>
            <w:tcW w:w="1842" w:type="dxa"/>
            <w:shd w:val="clear" w:color="auto" w:fill="auto"/>
          </w:tcPr>
          <w:p w:rsidR="00CB0DD7" w:rsidRPr="000A0A5F" w:rsidRDefault="00CB0DD7">
            <w:pPr>
              <w:pStyle w:val="TAL"/>
              <w:rPr>
                <w:lang w:eastAsia="zh-CN"/>
              </w:rPr>
            </w:pPr>
            <w:r w:rsidRPr="000A0A5F">
              <w:t>ExtMaxDataBurstVolRm</w:t>
            </w:r>
          </w:p>
        </w:tc>
        <w:tc>
          <w:tcPr>
            <w:tcW w:w="1134" w:type="dxa"/>
          </w:tcPr>
          <w:p w:rsidR="00CB0DD7" w:rsidRPr="000A0A5F" w:rsidRDefault="00CB0DD7">
            <w:pPr>
              <w:pStyle w:val="TAC"/>
              <w:jc w:val="left"/>
              <w:rPr>
                <w:lang w:eastAsia="zh-CN"/>
              </w:rPr>
            </w:pPr>
            <w:r w:rsidRPr="000A0A5F">
              <w:t>0..1</w:t>
            </w:r>
          </w:p>
        </w:tc>
        <w:tc>
          <w:tcPr>
            <w:tcW w:w="3687" w:type="dxa"/>
          </w:tcPr>
          <w:p w:rsidR="00CB0DD7" w:rsidRPr="000A0A5F" w:rsidRDefault="00CB0DD7">
            <w:pPr>
              <w:pStyle w:val="TAL"/>
              <w:rPr>
                <w:rFonts w:cs="Arial"/>
                <w:szCs w:val="18"/>
                <w:lang w:eastAsia="zh-CN"/>
              </w:rPr>
            </w:pPr>
            <w:r w:rsidRPr="000A0A5F">
              <w:t>Maximum burst size of the TSC traffic in units of Bytes.</w:t>
            </w:r>
            <w:r w:rsidRPr="000A0A5F">
              <w:br/>
              <w:t>Minimum = 4096, Maximum = 2000000.</w:t>
            </w:r>
          </w:p>
        </w:tc>
        <w:tc>
          <w:tcPr>
            <w:tcW w:w="1235" w:type="dxa"/>
          </w:tcPr>
          <w:p w:rsidR="00CB0DD7" w:rsidRPr="000A0A5F" w:rsidRDefault="00CB0DD7">
            <w:pPr>
              <w:pStyle w:val="TAC"/>
              <w:jc w:val="left"/>
              <w:rPr>
                <w:rFonts w:eastAsia="Times New Roman"/>
              </w:rPr>
            </w:pPr>
          </w:p>
        </w:tc>
      </w:tr>
      <w:tr w:rsidR="00CB0DD7" w:rsidRPr="000A0A5F" w:rsidTr="00FF0AF8">
        <w:trPr>
          <w:jc w:val="center"/>
        </w:trPr>
        <w:tc>
          <w:tcPr>
            <w:tcW w:w="1661" w:type="dxa"/>
            <w:shd w:val="clear" w:color="auto" w:fill="auto"/>
          </w:tcPr>
          <w:p w:rsidR="00CB0DD7" w:rsidRPr="000A0A5F" w:rsidRDefault="00CB0DD7">
            <w:pPr>
              <w:pStyle w:val="TAL"/>
              <w:rPr>
                <w:lang w:eastAsia="zh-CN"/>
              </w:rPr>
            </w:pPr>
            <w:r w:rsidRPr="000A0A5F">
              <w:t>req5Gsdelay</w:t>
            </w:r>
          </w:p>
        </w:tc>
        <w:tc>
          <w:tcPr>
            <w:tcW w:w="1842" w:type="dxa"/>
            <w:shd w:val="clear" w:color="auto" w:fill="auto"/>
          </w:tcPr>
          <w:p w:rsidR="00CB0DD7" w:rsidRPr="000A0A5F" w:rsidRDefault="00CB0DD7">
            <w:pPr>
              <w:pStyle w:val="TAL"/>
              <w:rPr>
                <w:lang w:eastAsia="zh-CN"/>
              </w:rPr>
            </w:pPr>
            <w:r w:rsidRPr="000A0A5F">
              <w:t>PacketDelBudgetRm</w:t>
            </w:r>
          </w:p>
        </w:tc>
        <w:tc>
          <w:tcPr>
            <w:tcW w:w="1134" w:type="dxa"/>
          </w:tcPr>
          <w:p w:rsidR="00CB0DD7" w:rsidRPr="000A0A5F" w:rsidRDefault="00CB0DD7">
            <w:pPr>
              <w:pStyle w:val="TAC"/>
              <w:jc w:val="left"/>
              <w:rPr>
                <w:lang w:eastAsia="zh-CN"/>
              </w:rPr>
            </w:pPr>
            <w:r w:rsidRPr="000A0A5F">
              <w:t>0..1</w:t>
            </w:r>
          </w:p>
        </w:tc>
        <w:tc>
          <w:tcPr>
            <w:tcW w:w="3687" w:type="dxa"/>
          </w:tcPr>
          <w:p w:rsidR="00CB0DD7" w:rsidRPr="000A0A5F" w:rsidRDefault="00CB0DD7">
            <w:pPr>
              <w:pStyle w:val="TAL"/>
            </w:pPr>
            <w:r w:rsidRPr="000A0A5F">
              <w:t>Requested Delay of the TSC traffic.</w:t>
            </w:r>
          </w:p>
        </w:tc>
        <w:tc>
          <w:tcPr>
            <w:tcW w:w="1235" w:type="dxa"/>
          </w:tcPr>
          <w:p w:rsidR="00CB0DD7" w:rsidRPr="000A0A5F" w:rsidRDefault="00CB0DD7">
            <w:pPr>
              <w:pStyle w:val="TAC"/>
              <w:jc w:val="left"/>
              <w:rPr>
                <w:rFonts w:eastAsia="Times New Roman"/>
              </w:rPr>
            </w:pPr>
          </w:p>
        </w:tc>
      </w:tr>
      <w:tr w:rsidR="00F70163" w:rsidRPr="000A0A5F" w:rsidTr="00FF0AF8">
        <w:trPr>
          <w:jc w:val="center"/>
        </w:trPr>
        <w:tc>
          <w:tcPr>
            <w:tcW w:w="1661" w:type="dxa"/>
            <w:shd w:val="clear" w:color="auto" w:fill="auto"/>
          </w:tcPr>
          <w:p w:rsidR="00F70163" w:rsidRPr="000A0A5F" w:rsidRDefault="00F70163" w:rsidP="00F70163">
            <w:pPr>
              <w:pStyle w:val="TAL"/>
            </w:pPr>
            <w:r w:rsidRPr="000A0A5F">
              <w:t>reqPer</w:t>
            </w:r>
          </w:p>
        </w:tc>
        <w:tc>
          <w:tcPr>
            <w:tcW w:w="1842" w:type="dxa"/>
            <w:shd w:val="clear" w:color="auto" w:fill="auto"/>
          </w:tcPr>
          <w:p w:rsidR="00F70163" w:rsidRPr="000A0A5F" w:rsidRDefault="00F70163" w:rsidP="00F70163">
            <w:pPr>
              <w:pStyle w:val="TAL"/>
            </w:pPr>
            <w:r w:rsidRPr="000A0A5F">
              <w:t>PacketErrRateRm</w:t>
            </w:r>
          </w:p>
        </w:tc>
        <w:tc>
          <w:tcPr>
            <w:tcW w:w="1134" w:type="dxa"/>
          </w:tcPr>
          <w:p w:rsidR="00F70163" w:rsidRPr="000A0A5F" w:rsidRDefault="00F70163" w:rsidP="00F70163">
            <w:pPr>
              <w:pStyle w:val="TAC"/>
              <w:jc w:val="left"/>
            </w:pPr>
            <w:r w:rsidRPr="000A0A5F">
              <w:t>0..1</w:t>
            </w:r>
          </w:p>
        </w:tc>
        <w:tc>
          <w:tcPr>
            <w:tcW w:w="3687" w:type="dxa"/>
          </w:tcPr>
          <w:p w:rsidR="00F70163" w:rsidRPr="000A0A5F" w:rsidRDefault="00F70163" w:rsidP="00F70163">
            <w:pPr>
              <w:pStyle w:val="TAL"/>
            </w:pPr>
            <w:r w:rsidRPr="000A0A5F">
              <w:t>Requested Packet Error Rate of the TSC traffic.</w:t>
            </w:r>
          </w:p>
        </w:tc>
        <w:tc>
          <w:tcPr>
            <w:tcW w:w="1235" w:type="dxa"/>
          </w:tcPr>
          <w:p w:rsidR="00F70163" w:rsidRPr="000A0A5F" w:rsidRDefault="00F70163" w:rsidP="00F70163">
            <w:pPr>
              <w:pStyle w:val="TAC"/>
              <w:jc w:val="left"/>
              <w:rPr>
                <w:rFonts w:eastAsia="Times New Roman"/>
              </w:rPr>
            </w:pPr>
            <w:r w:rsidRPr="000A0A5F">
              <w:t>ExtQoS_5G</w:t>
            </w:r>
          </w:p>
        </w:tc>
      </w:tr>
      <w:tr w:rsidR="00F70163" w:rsidRPr="000A0A5F" w:rsidTr="00FF0AF8">
        <w:trPr>
          <w:jc w:val="center"/>
        </w:trPr>
        <w:tc>
          <w:tcPr>
            <w:tcW w:w="1661" w:type="dxa"/>
            <w:shd w:val="clear" w:color="auto" w:fill="auto"/>
          </w:tcPr>
          <w:p w:rsidR="00F70163" w:rsidRPr="000A0A5F" w:rsidRDefault="00F70163" w:rsidP="00F70163">
            <w:pPr>
              <w:pStyle w:val="TAL"/>
            </w:pPr>
            <w:r w:rsidRPr="000A0A5F">
              <w:rPr>
                <w:rFonts w:hint="eastAsia"/>
                <w:lang w:eastAsia="zh-CN"/>
              </w:rPr>
              <w:t>p</w:t>
            </w:r>
            <w:r w:rsidRPr="000A0A5F">
              <w:rPr>
                <w:lang w:eastAsia="zh-CN"/>
              </w:rPr>
              <w:t>riority</w:t>
            </w:r>
          </w:p>
        </w:tc>
        <w:tc>
          <w:tcPr>
            <w:tcW w:w="1842" w:type="dxa"/>
            <w:shd w:val="clear" w:color="auto" w:fill="auto"/>
          </w:tcPr>
          <w:p w:rsidR="00F70163" w:rsidRPr="000A0A5F" w:rsidRDefault="00F70163" w:rsidP="00F70163">
            <w:pPr>
              <w:pStyle w:val="TAL"/>
            </w:pPr>
            <w:r w:rsidRPr="000A0A5F">
              <w:t>TscPriorityLevelRm</w:t>
            </w:r>
          </w:p>
        </w:tc>
        <w:tc>
          <w:tcPr>
            <w:tcW w:w="1134" w:type="dxa"/>
          </w:tcPr>
          <w:p w:rsidR="00F70163" w:rsidRPr="000A0A5F" w:rsidRDefault="00F70163" w:rsidP="00F70163">
            <w:pPr>
              <w:pStyle w:val="TAC"/>
              <w:jc w:val="left"/>
            </w:pPr>
            <w:r w:rsidRPr="000A0A5F">
              <w:rPr>
                <w:rFonts w:hint="eastAsia"/>
                <w:lang w:eastAsia="zh-CN"/>
              </w:rPr>
              <w:t>0</w:t>
            </w:r>
            <w:r w:rsidRPr="000A0A5F">
              <w:rPr>
                <w:lang w:eastAsia="zh-CN"/>
              </w:rPr>
              <w:t>..1</w:t>
            </w:r>
          </w:p>
        </w:tc>
        <w:tc>
          <w:tcPr>
            <w:tcW w:w="3687" w:type="dxa"/>
          </w:tcPr>
          <w:p w:rsidR="00F70163" w:rsidRPr="000A0A5F" w:rsidRDefault="00F70163" w:rsidP="00F70163">
            <w:pPr>
              <w:pStyle w:val="TAL"/>
            </w:pPr>
            <w:r w:rsidRPr="000A0A5F">
              <w:t>Unsigned integer indicating the TSC traffic priority in relation to other TSC and non-TSC traffic.</w:t>
            </w:r>
          </w:p>
        </w:tc>
        <w:tc>
          <w:tcPr>
            <w:tcW w:w="1235" w:type="dxa"/>
          </w:tcPr>
          <w:p w:rsidR="00F70163" w:rsidRPr="000A0A5F" w:rsidRDefault="00F70163" w:rsidP="00F70163">
            <w:pPr>
              <w:pStyle w:val="TAC"/>
              <w:jc w:val="left"/>
              <w:rPr>
                <w:rFonts w:eastAsia="Times New Roman"/>
              </w:rPr>
            </w:pPr>
          </w:p>
        </w:tc>
      </w:tr>
      <w:tr w:rsidR="00F70163" w:rsidRPr="000A0A5F" w:rsidTr="00FF0AF8">
        <w:trPr>
          <w:jc w:val="center"/>
        </w:trPr>
        <w:tc>
          <w:tcPr>
            <w:tcW w:w="1661" w:type="dxa"/>
            <w:shd w:val="clear" w:color="auto" w:fill="auto"/>
          </w:tcPr>
          <w:p w:rsidR="00F70163" w:rsidRPr="000A0A5F" w:rsidRDefault="00F70163" w:rsidP="00F70163">
            <w:pPr>
              <w:pStyle w:val="TAL"/>
            </w:pPr>
            <w:r w:rsidRPr="000A0A5F">
              <w:t>tscaiTimeDom</w:t>
            </w:r>
          </w:p>
        </w:tc>
        <w:tc>
          <w:tcPr>
            <w:tcW w:w="1842" w:type="dxa"/>
            <w:shd w:val="clear" w:color="auto" w:fill="auto"/>
          </w:tcPr>
          <w:p w:rsidR="00F70163" w:rsidRPr="000A0A5F" w:rsidRDefault="00F70163" w:rsidP="00F70163">
            <w:pPr>
              <w:pStyle w:val="TAL"/>
            </w:pPr>
            <w:r w:rsidRPr="000A0A5F">
              <w:rPr>
                <w:rFonts w:hint="eastAsia"/>
                <w:lang w:eastAsia="zh-CN"/>
              </w:rPr>
              <w:t>U</w:t>
            </w:r>
            <w:r w:rsidRPr="000A0A5F">
              <w:rPr>
                <w:lang w:eastAsia="zh-CN"/>
              </w:rPr>
              <w:t>integerRm</w:t>
            </w:r>
          </w:p>
        </w:tc>
        <w:tc>
          <w:tcPr>
            <w:tcW w:w="1134" w:type="dxa"/>
          </w:tcPr>
          <w:p w:rsidR="00F70163" w:rsidRPr="000A0A5F" w:rsidRDefault="00F70163" w:rsidP="00F70163">
            <w:pPr>
              <w:pStyle w:val="TAC"/>
              <w:jc w:val="left"/>
            </w:pPr>
            <w:r w:rsidRPr="000A0A5F">
              <w:rPr>
                <w:rFonts w:hint="eastAsia"/>
                <w:lang w:eastAsia="zh-CN"/>
              </w:rPr>
              <w:t>0</w:t>
            </w:r>
            <w:r w:rsidRPr="000A0A5F">
              <w:rPr>
                <w:lang w:eastAsia="zh-CN"/>
              </w:rPr>
              <w:t>..1</w:t>
            </w:r>
          </w:p>
        </w:tc>
        <w:tc>
          <w:tcPr>
            <w:tcW w:w="3687" w:type="dxa"/>
          </w:tcPr>
          <w:p w:rsidR="00F70163" w:rsidRPr="000A0A5F" w:rsidRDefault="00F70163" w:rsidP="00F70163">
            <w:pPr>
              <w:pStyle w:val="TAL"/>
            </w:pPr>
            <w:r w:rsidRPr="000A0A5F">
              <w:rPr>
                <w:lang w:eastAsia="zh-CN"/>
              </w:rPr>
              <w:t>Indicates the (g)PTP domain that the (TSN)AF is located in.</w:t>
            </w:r>
          </w:p>
        </w:tc>
        <w:tc>
          <w:tcPr>
            <w:tcW w:w="1235" w:type="dxa"/>
          </w:tcPr>
          <w:p w:rsidR="00F70163" w:rsidRPr="000A0A5F" w:rsidRDefault="00F70163" w:rsidP="00F70163">
            <w:pPr>
              <w:pStyle w:val="TAC"/>
              <w:jc w:val="left"/>
              <w:rPr>
                <w:rFonts w:eastAsia="Times New Roman"/>
              </w:rPr>
            </w:pPr>
          </w:p>
        </w:tc>
      </w:tr>
      <w:tr w:rsidR="00F70163" w:rsidRPr="000A0A5F" w:rsidTr="00FF0AF8">
        <w:trPr>
          <w:jc w:val="center"/>
        </w:trPr>
        <w:tc>
          <w:tcPr>
            <w:tcW w:w="1661" w:type="dxa"/>
            <w:shd w:val="clear" w:color="auto" w:fill="auto"/>
          </w:tcPr>
          <w:p w:rsidR="00F70163" w:rsidRPr="000A0A5F" w:rsidRDefault="00F70163" w:rsidP="00F70163">
            <w:pPr>
              <w:pStyle w:val="TAL"/>
              <w:rPr>
                <w:lang w:eastAsia="zh-CN"/>
              </w:rPr>
            </w:pPr>
            <w:r w:rsidRPr="000A0A5F">
              <w:t>tscaiInputUl</w:t>
            </w:r>
          </w:p>
        </w:tc>
        <w:tc>
          <w:tcPr>
            <w:tcW w:w="1842" w:type="dxa"/>
            <w:shd w:val="clear" w:color="auto" w:fill="auto"/>
          </w:tcPr>
          <w:p w:rsidR="00F70163" w:rsidRPr="000A0A5F" w:rsidRDefault="00F70163" w:rsidP="00F70163">
            <w:pPr>
              <w:pStyle w:val="TAL"/>
              <w:rPr>
                <w:lang w:eastAsia="zh-CN"/>
              </w:rPr>
            </w:pPr>
            <w:r w:rsidRPr="000A0A5F">
              <w:t>TscaiInputContainer</w:t>
            </w:r>
          </w:p>
        </w:tc>
        <w:tc>
          <w:tcPr>
            <w:tcW w:w="1134" w:type="dxa"/>
          </w:tcPr>
          <w:p w:rsidR="00F70163" w:rsidRPr="000A0A5F" w:rsidRDefault="00F70163" w:rsidP="00F70163">
            <w:pPr>
              <w:pStyle w:val="TAC"/>
              <w:jc w:val="left"/>
              <w:rPr>
                <w:lang w:eastAsia="zh-CN"/>
              </w:rPr>
            </w:pPr>
            <w:r w:rsidRPr="000A0A5F">
              <w:rPr>
                <w:lang w:eastAsia="zh-CN"/>
              </w:rPr>
              <w:t>0..1</w:t>
            </w:r>
          </w:p>
        </w:tc>
        <w:tc>
          <w:tcPr>
            <w:tcW w:w="3687" w:type="dxa"/>
          </w:tcPr>
          <w:p w:rsidR="00F70163" w:rsidRPr="000A0A5F" w:rsidRDefault="00F70163" w:rsidP="00F70163">
            <w:pPr>
              <w:pStyle w:val="TAL"/>
            </w:pPr>
            <w:r w:rsidRPr="000A0A5F">
              <w:t>Transports the input parameters for TSC traffic</w:t>
            </w:r>
            <w:r w:rsidRPr="000A0A5F">
              <w:rPr>
                <w:rFonts w:cs="Arial"/>
                <w:szCs w:val="18"/>
              </w:rPr>
              <w:t xml:space="preserve"> </w:t>
            </w:r>
            <w:r w:rsidRPr="000A0A5F">
              <w:t>to construct the TSC Assistance Container in uplink direction.</w:t>
            </w:r>
          </w:p>
          <w:p w:rsidR="00F70163" w:rsidRPr="000A0A5F" w:rsidRDefault="00F70163" w:rsidP="00F70163">
            <w:pPr>
              <w:pStyle w:val="TAL"/>
              <w:rPr>
                <w:rFonts w:cs="Arial"/>
                <w:szCs w:val="18"/>
                <w:lang w:eastAsia="zh-CN"/>
              </w:rPr>
            </w:pPr>
            <w:r w:rsidRPr="000A0A5F">
              <w:rPr>
                <w:rFonts w:cs="Arial"/>
                <w:szCs w:val="18"/>
                <w:lang w:eastAsia="zh-CN"/>
              </w:rPr>
              <w:t>(NOTE)</w:t>
            </w:r>
          </w:p>
        </w:tc>
        <w:tc>
          <w:tcPr>
            <w:tcW w:w="1235" w:type="dxa"/>
          </w:tcPr>
          <w:p w:rsidR="00F70163" w:rsidRPr="000A0A5F" w:rsidRDefault="00F70163" w:rsidP="00F70163">
            <w:pPr>
              <w:pStyle w:val="TAC"/>
              <w:jc w:val="left"/>
              <w:rPr>
                <w:rFonts w:eastAsia="Times New Roman"/>
              </w:rPr>
            </w:pPr>
          </w:p>
        </w:tc>
      </w:tr>
      <w:tr w:rsidR="00F70163" w:rsidRPr="000A0A5F" w:rsidTr="00FF0AF8">
        <w:trPr>
          <w:jc w:val="center"/>
        </w:trPr>
        <w:tc>
          <w:tcPr>
            <w:tcW w:w="1661" w:type="dxa"/>
            <w:shd w:val="clear" w:color="auto" w:fill="auto"/>
          </w:tcPr>
          <w:p w:rsidR="00F70163" w:rsidRPr="000A0A5F" w:rsidRDefault="00F70163" w:rsidP="00F70163">
            <w:pPr>
              <w:pStyle w:val="TAL"/>
            </w:pPr>
            <w:r w:rsidRPr="000A0A5F">
              <w:t>tscaiInputDl</w:t>
            </w:r>
          </w:p>
        </w:tc>
        <w:tc>
          <w:tcPr>
            <w:tcW w:w="1842" w:type="dxa"/>
            <w:shd w:val="clear" w:color="auto" w:fill="auto"/>
          </w:tcPr>
          <w:p w:rsidR="00F70163" w:rsidRPr="000A0A5F" w:rsidRDefault="00F70163" w:rsidP="00F70163">
            <w:pPr>
              <w:pStyle w:val="TAL"/>
            </w:pPr>
            <w:r w:rsidRPr="000A0A5F">
              <w:t>TscaiInputContainer</w:t>
            </w:r>
          </w:p>
        </w:tc>
        <w:tc>
          <w:tcPr>
            <w:tcW w:w="1134" w:type="dxa"/>
          </w:tcPr>
          <w:p w:rsidR="00F70163" w:rsidRPr="000A0A5F" w:rsidRDefault="00F70163" w:rsidP="00F70163">
            <w:pPr>
              <w:pStyle w:val="TAC"/>
              <w:jc w:val="left"/>
              <w:rPr>
                <w:lang w:eastAsia="zh-CN"/>
              </w:rPr>
            </w:pPr>
            <w:r w:rsidRPr="000A0A5F">
              <w:rPr>
                <w:lang w:eastAsia="zh-CN"/>
              </w:rPr>
              <w:t>0..1</w:t>
            </w:r>
          </w:p>
        </w:tc>
        <w:tc>
          <w:tcPr>
            <w:tcW w:w="3687" w:type="dxa"/>
          </w:tcPr>
          <w:p w:rsidR="00F70163" w:rsidRPr="000A0A5F" w:rsidRDefault="00F70163" w:rsidP="00F70163">
            <w:pPr>
              <w:pStyle w:val="TAL"/>
            </w:pPr>
            <w:r w:rsidRPr="000A0A5F">
              <w:t>Transports the input parameters for TSC traffic</w:t>
            </w:r>
            <w:r w:rsidRPr="000A0A5F">
              <w:rPr>
                <w:rFonts w:cs="Arial"/>
                <w:szCs w:val="18"/>
              </w:rPr>
              <w:t xml:space="preserve"> </w:t>
            </w:r>
            <w:r w:rsidRPr="000A0A5F">
              <w:t>to construct the TSC Assistance Container in downlink direction.</w:t>
            </w:r>
          </w:p>
          <w:p w:rsidR="00F70163" w:rsidRPr="000A0A5F" w:rsidRDefault="00F70163" w:rsidP="00F70163">
            <w:pPr>
              <w:pStyle w:val="TAL"/>
            </w:pPr>
            <w:r w:rsidRPr="000A0A5F">
              <w:t>(NOTE)</w:t>
            </w:r>
          </w:p>
        </w:tc>
        <w:tc>
          <w:tcPr>
            <w:tcW w:w="1235" w:type="dxa"/>
          </w:tcPr>
          <w:p w:rsidR="00F70163" w:rsidRPr="000A0A5F" w:rsidRDefault="00F70163" w:rsidP="00F70163">
            <w:pPr>
              <w:pStyle w:val="TAC"/>
              <w:jc w:val="left"/>
              <w:rPr>
                <w:rFonts w:eastAsia="Times New Roman"/>
              </w:rPr>
            </w:pPr>
          </w:p>
        </w:tc>
      </w:tr>
      <w:tr w:rsidR="00F70163" w:rsidRPr="000A0A5F" w:rsidTr="00FF0AF8">
        <w:trPr>
          <w:jc w:val="center"/>
        </w:trPr>
        <w:tc>
          <w:tcPr>
            <w:tcW w:w="1661" w:type="dxa"/>
            <w:shd w:val="clear" w:color="auto" w:fill="auto"/>
          </w:tcPr>
          <w:p w:rsidR="00F70163" w:rsidRPr="000A0A5F" w:rsidRDefault="00F70163" w:rsidP="00F70163">
            <w:pPr>
              <w:pStyle w:val="TAL"/>
            </w:pPr>
            <w:r w:rsidRPr="000A0A5F">
              <w:t>capBatAdaptation</w:t>
            </w:r>
          </w:p>
        </w:tc>
        <w:tc>
          <w:tcPr>
            <w:tcW w:w="1842" w:type="dxa"/>
            <w:shd w:val="clear" w:color="auto" w:fill="auto"/>
          </w:tcPr>
          <w:p w:rsidR="00F70163" w:rsidRPr="000A0A5F" w:rsidRDefault="00F70163" w:rsidP="00F70163">
            <w:pPr>
              <w:pStyle w:val="TAL"/>
            </w:pPr>
            <w:r w:rsidRPr="000A0A5F">
              <w:rPr>
                <w:lang w:eastAsia="zh-CN"/>
              </w:rPr>
              <w:t>boolean</w:t>
            </w:r>
          </w:p>
        </w:tc>
        <w:tc>
          <w:tcPr>
            <w:tcW w:w="1134" w:type="dxa"/>
          </w:tcPr>
          <w:p w:rsidR="00F70163" w:rsidRPr="000A0A5F" w:rsidRDefault="00F70163" w:rsidP="00F70163">
            <w:pPr>
              <w:pStyle w:val="TAC"/>
              <w:jc w:val="left"/>
              <w:rPr>
                <w:lang w:eastAsia="zh-CN"/>
              </w:rPr>
            </w:pPr>
            <w:r w:rsidRPr="000A0A5F">
              <w:rPr>
                <w:lang w:eastAsia="zh-CN"/>
              </w:rPr>
              <w:t>0..1</w:t>
            </w:r>
          </w:p>
        </w:tc>
        <w:tc>
          <w:tcPr>
            <w:tcW w:w="3687" w:type="dxa"/>
          </w:tcPr>
          <w:p w:rsidR="00F70163" w:rsidRPr="000A0A5F" w:rsidRDefault="00F70163" w:rsidP="00F70163">
            <w:pPr>
              <w:pStyle w:val="TAL"/>
            </w:pPr>
            <w:r w:rsidRPr="000A0A5F">
              <w:t>Indicates the capability for AF to adjust the burst sending time, when it is supported and set to "true".</w:t>
            </w:r>
          </w:p>
          <w:p w:rsidR="00F70163" w:rsidRPr="000A0A5F" w:rsidRDefault="00F70163" w:rsidP="00F70163">
            <w:pPr>
              <w:pStyle w:val="TAL"/>
              <w:rPr>
                <w:lang w:eastAsia="zh-CN"/>
              </w:rPr>
            </w:pPr>
            <w:r w:rsidRPr="000A0A5F">
              <w:rPr>
                <w:rFonts w:cs="Arial"/>
                <w:szCs w:val="18"/>
                <w:lang w:eastAsia="zh-CN"/>
              </w:rPr>
              <w:t xml:space="preserve">The default value is </w:t>
            </w:r>
            <w:r w:rsidRPr="000A0A5F">
              <w:t>"</w:t>
            </w:r>
            <w:r w:rsidRPr="000A0A5F">
              <w:rPr>
                <w:rFonts w:cs="Arial"/>
                <w:szCs w:val="18"/>
                <w:lang w:eastAsia="zh-CN"/>
              </w:rPr>
              <w:t>false</w:t>
            </w:r>
            <w:r w:rsidRPr="000A0A5F">
              <w:t>"</w:t>
            </w:r>
            <w:r w:rsidRPr="000A0A5F">
              <w:rPr>
                <w:rFonts w:cs="Arial"/>
                <w:szCs w:val="18"/>
                <w:lang w:eastAsia="zh-CN"/>
              </w:rPr>
              <w:t xml:space="preserve"> if omitted.</w:t>
            </w:r>
          </w:p>
          <w:p w:rsidR="00F70163" w:rsidRPr="000A0A5F" w:rsidRDefault="00F70163" w:rsidP="00F70163">
            <w:pPr>
              <w:pStyle w:val="TAL"/>
            </w:pPr>
            <w:r w:rsidRPr="000A0A5F">
              <w:t>(NOTE)</w:t>
            </w:r>
          </w:p>
        </w:tc>
        <w:tc>
          <w:tcPr>
            <w:tcW w:w="1235" w:type="dxa"/>
          </w:tcPr>
          <w:p w:rsidR="00F70163" w:rsidRPr="000A0A5F" w:rsidRDefault="00F70163" w:rsidP="00F70163">
            <w:pPr>
              <w:pStyle w:val="TAC"/>
              <w:jc w:val="left"/>
              <w:rPr>
                <w:rFonts w:eastAsia="Times New Roman"/>
              </w:rPr>
            </w:pPr>
            <w:r w:rsidRPr="000A0A5F">
              <w:t>EnTSCAC</w:t>
            </w:r>
          </w:p>
        </w:tc>
      </w:tr>
      <w:tr w:rsidR="00F70163" w:rsidRPr="000A0A5F" w:rsidTr="00220170">
        <w:trPr>
          <w:jc w:val="center"/>
        </w:trPr>
        <w:tc>
          <w:tcPr>
            <w:tcW w:w="9559" w:type="dxa"/>
            <w:gridSpan w:val="5"/>
            <w:shd w:val="clear" w:color="auto" w:fill="auto"/>
          </w:tcPr>
          <w:p w:rsidR="00F70163" w:rsidRPr="000A0A5F" w:rsidRDefault="00F70163" w:rsidP="00F70163">
            <w:pPr>
              <w:pStyle w:val="TAN"/>
            </w:pPr>
            <w:r w:rsidRPr="000A0A5F">
              <w:t>NOTE:</w:t>
            </w:r>
            <w:r w:rsidRPr="000A0A5F">
              <w:tab/>
              <w:t>The "burstArrivalTimeWnd" attribute, within the "tscaiInputUl" and/or "tscaiInputDl" attributes, and the "capBatAdaptation attribute are mutually exclusive.</w:t>
            </w:r>
          </w:p>
        </w:tc>
      </w:tr>
    </w:tbl>
    <w:p w:rsidR="00CB0DD7" w:rsidRPr="000A0A5F" w:rsidRDefault="00CB0DD7">
      <w:bookmarkStart w:id="9192" w:name="_Toc36034072"/>
      <w:bookmarkStart w:id="9193" w:name="_Toc45132219"/>
      <w:bookmarkStart w:id="9194" w:name="_Toc49776504"/>
      <w:bookmarkStart w:id="9195" w:name="_Toc51747424"/>
      <w:bookmarkStart w:id="9196" w:name="_Toc66361003"/>
      <w:bookmarkStart w:id="9197" w:name="_Toc68105508"/>
    </w:p>
    <w:p w:rsidR="006902C7" w:rsidRPr="000A0A5F" w:rsidRDefault="006902C7" w:rsidP="006902C7">
      <w:pPr>
        <w:pStyle w:val="Heading5"/>
      </w:pPr>
      <w:bookmarkStart w:id="9198" w:name="_Toc130503085"/>
      <w:bookmarkStart w:id="9199" w:name="_Toc153625873"/>
      <w:r w:rsidRPr="000A0A5F">
        <w:t>5.14.2.1.1</w:t>
      </w:r>
      <w:r w:rsidR="007547CF" w:rsidRPr="000A0A5F">
        <w:t>1</w:t>
      </w:r>
      <w:r w:rsidRPr="000A0A5F">
        <w:tab/>
        <w:t>Type AdditionalInfoAsSessionWithQos</w:t>
      </w:r>
      <w:bookmarkEnd w:id="9198"/>
      <w:bookmarkEnd w:id="9199"/>
    </w:p>
    <w:p w:rsidR="006902C7" w:rsidRPr="000A0A5F" w:rsidRDefault="006902C7" w:rsidP="006902C7">
      <w:pPr>
        <w:pStyle w:val="TH"/>
      </w:pPr>
      <w:r w:rsidRPr="000A0A5F">
        <w:t>Table 5.14.2.1.1</w:t>
      </w:r>
      <w:r w:rsidR="00B74E7B" w:rsidRPr="000A0A5F">
        <w:t>1</w:t>
      </w:r>
      <w:r w:rsidRPr="000A0A5F">
        <w:t>-1: Definition of type AdditionalInfoAsSessionWithQos</w:t>
      </w:r>
    </w:p>
    <w:tbl>
      <w:tblPr>
        <w:tblW w:w="961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609"/>
        <w:gridCol w:w="1800"/>
        <w:gridCol w:w="360"/>
        <w:gridCol w:w="1170"/>
        <w:gridCol w:w="3330"/>
        <w:gridCol w:w="1350"/>
      </w:tblGrid>
      <w:tr w:rsidR="006902C7" w:rsidRPr="000A0A5F" w:rsidTr="0037730B">
        <w:trPr>
          <w:cantSplit/>
          <w:tblHeader/>
          <w:jc w:val="center"/>
        </w:trPr>
        <w:tc>
          <w:tcPr>
            <w:tcW w:w="1609" w:type="dxa"/>
            <w:shd w:val="clear" w:color="auto" w:fill="C0C0C0"/>
            <w:hideMark/>
          </w:tcPr>
          <w:p w:rsidR="006902C7" w:rsidRPr="000A0A5F" w:rsidRDefault="006902C7" w:rsidP="0037730B">
            <w:pPr>
              <w:pStyle w:val="TAH"/>
            </w:pPr>
            <w:r w:rsidRPr="000A0A5F">
              <w:t>Attribute name</w:t>
            </w:r>
          </w:p>
        </w:tc>
        <w:tc>
          <w:tcPr>
            <w:tcW w:w="1800" w:type="dxa"/>
            <w:shd w:val="clear" w:color="auto" w:fill="C0C0C0"/>
            <w:hideMark/>
          </w:tcPr>
          <w:p w:rsidR="006902C7" w:rsidRPr="000A0A5F" w:rsidRDefault="006902C7" w:rsidP="0037730B">
            <w:pPr>
              <w:pStyle w:val="TAH"/>
            </w:pPr>
            <w:r w:rsidRPr="000A0A5F">
              <w:t>Data type</w:t>
            </w:r>
          </w:p>
        </w:tc>
        <w:tc>
          <w:tcPr>
            <w:tcW w:w="360" w:type="dxa"/>
            <w:shd w:val="clear" w:color="auto" w:fill="C0C0C0"/>
            <w:hideMark/>
          </w:tcPr>
          <w:p w:rsidR="006902C7" w:rsidRPr="000A0A5F" w:rsidRDefault="006902C7" w:rsidP="0037730B">
            <w:pPr>
              <w:pStyle w:val="TAH"/>
            </w:pPr>
            <w:r w:rsidRPr="000A0A5F">
              <w:t>P</w:t>
            </w:r>
          </w:p>
        </w:tc>
        <w:tc>
          <w:tcPr>
            <w:tcW w:w="1170" w:type="dxa"/>
            <w:shd w:val="clear" w:color="auto" w:fill="C0C0C0"/>
            <w:hideMark/>
          </w:tcPr>
          <w:p w:rsidR="006902C7" w:rsidRPr="000A0A5F" w:rsidRDefault="006902C7" w:rsidP="0037730B">
            <w:pPr>
              <w:pStyle w:val="TAH"/>
            </w:pPr>
            <w:r w:rsidRPr="000A0A5F">
              <w:t>Cardinality</w:t>
            </w:r>
          </w:p>
        </w:tc>
        <w:tc>
          <w:tcPr>
            <w:tcW w:w="3330" w:type="dxa"/>
            <w:shd w:val="clear" w:color="auto" w:fill="C0C0C0"/>
            <w:hideMark/>
          </w:tcPr>
          <w:p w:rsidR="006902C7" w:rsidRPr="000A0A5F" w:rsidRDefault="006902C7" w:rsidP="0037730B">
            <w:pPr>
              <w:pStyle w:val="TAH"/>
              <w:rPr>
                <w:rFonts w:cs="Arial"/>
                <w:szCs w:val="18"/>
              </w:rPr>
            </w:pPr>
            <w:r w:rsidRPr="000A0A5F">
              <w:rPr>
                <w:rFonts w:cs="Arial"/>
                <w:szCs w:val="18"/>
              </w:rPr>
              <w:t>Description</w:t>
            </w:r>
          </w:p>
        </w:tc>
        <w:tc>
          <w:tcPr>
            <w:tcW w:w="1350" w:type="dxa"/>
            <w:shd w:val="clear" w:color="auto" w:fill="C0C0C0"/>
          </w:tcPr>
          <w:p w:rsidR="006902C7" w:rsidRPr="000A0A5F" w:rsidRDefault="006902C7" w:rsidP="0037730B">
            <w:pPr>
              <w:pStyle w:val="TAH"/>
              <w:rPr>
                <w:rFonts w:cs="Arial"/>
                <w:szCs w:val="18"/>
              </w:rPr>
            </w:pPr>
            <w:r w:rsidRPr="000A0A5F">
              <w:rPr>
                <w:rFonts w:cs="Arial"/>
                <w:szCs w:val="18"/>
              </w:rPr>
              <w:t>Applicability</w:t>
            </w:r>
          </w:p>
        </w:tc>
      </w:tr>
      <w:tr w:rsidR="006902C7" w:rsidRPr="000A0A5F" w:rsidTr="0037730B">
        <w:trPr>
          <w:cantSplit/>
          <w:jc w:val="center"/>
        </w:trPr>
        <w:tc>
          <w:tcPr>
            <w:tcW w:w="1609" w:type="dxa"/>
          </w:tcPr>
          <w:p w:rsidR="006902C7" w:rsidRPr="000A0A5F" w:rsidRDefault="006902C7" w:rsidP="0037730B">
            <w:pPr>
              <w:pStyle w:val="TAL"/>
            </w:pPr>
            <w:r w:rsidRPr="000A0A5F">
              <w:t>acceptableServInfo</w:t>
            </w:r>
          </w:p>
        </w:tc>
        <w:tc>
          <w:tcPr>
            <w:tcW w:w="1800" w:type="dxa"/>
          </w:tcPr>
          <w:p w:rsidR="006902C7" w:rsidRPr="000A0A5F" w:rsidRDefault="006902C7" w:rsidP="0037730B">
            <w:pPr>
              <w:pStyle w:val="TAL"/>
            </w:pPr>
            <w:r w:rsidRPr="000A0A5F">
              <w:t>AcceptableServiceInfo</w:t>
            </w:r>
          </w:p>
        </w:tc>
        <w:tc>
          <w:tcPr>
            <w:tcW w:w="360" w:type="dxa"/>
          </w:tcPr>
          <w:p w:rsidR="006902C7" w:rsidRPr="000A0A5F" w:rsidRDefault="006902C7" w:rsidP="0037730B">
            <w:pPr>
              <w:pStyle w:val="TAC"/>
            </w:pPr>
            <w:r w:rsidRPr="000A0A5F">
              <w:t>O</w:t>
            </w:r>
          </w:p>
        </w:tc>
        <w:tc>
          <w:tcPr>
            <w:tcW w:w="1170" w:type="dxa"/>
          </w:tcPr>
          <w:p w:rsidR="006902C7" w:rsidRPr="000A0A5F" w:rsidRDefault="006902C7" w:rsidP="0037730B">
            <w:pPr>
              <w:pStyle w:val="TAC"/>
            </w:pPr>
            <w:r w:rsidRPr="000A0A5F">
              <w:t>0..1</w:t>
            </w:r>
          </w:p>
        </w:tc>
        <w:tc>
          <w:tcPr>
            <w:tcW w:w="3330" w:type="dxa"/>
          </w:tcPr>
          <w:p w:rsidR="006902C7" w:rsidRPr="000A0A5F" w:rsidRDefault="006902C7" w:rsidP="0037730B">
            <w:pPr>
              <w:pStyle w:val="TAL"/>
              <w:rPr>
                <w:rFonts w:cs="Arial"/>
                <w:szCs w:val="18"/>
              </w:rPr>
            </w:pPr>
            <w:r w:rsidRPr="000A0A5F">
              <w:rPr>
                <w:rFonts w:cs="Arial"/>
                <w:szCs w:val="18"/>
              </w:rPr>
              <w:t>Describes information related to the acceptable service information, i.e., the maximum acceptable bandwidth for an AF session and/or for specific media components.</w:t>
            </w:r>
          </w:p>
        </w:tc>
        <w:tc>
          <w:tcPr>
            <w:tcW w:w="1350" w:type="dxa"/>
          </w:tcPr>
          <w:p w:rsidR="006902C7" w:rsidRPr="000A0A5F" w:rsidRDefault="006902C7" w:rsidP="0037730B">
            <w:pPr>
              <w:pStyle w:val="TAL"/>
              <w:rPr>
                <w:rFonts w:cs="Arial"/>
                <w:szCs w:val="18"/>
              </w:rPr>
            </w:pPr>
          </w:p>
        </w:tc>
      </w:tr>
    </w:tbl>
    <w:p w:rsidR="006902C7" w:rsidRPr="000A0A5F" w:rsidRDefault="006902C7" w:rsidP="006902C7"/>
    <w:p w:rsidR="006902C7" w:rsidRPr="000A0A5F" w:rsidRDefault="006902C7" w:rsidP="006902C7">
      <w:pPr>
        <w:pStyle w:val="Heading5"/>
      </w:pPr>
      <w:bookmarkStart w:id="9200" w:name="_Toc130503086"/>
      <w:bookmarkStart w:id="9201" w:name="_Toc153625874"/>
      <w:r w:rsidRPr="000A0A5F">
        <w:t>5.14.2.1.1</w:t>
      </w:r>
      <w:r w:rsidR="007547CF" w:rsidRPr="000A0A5F">
        <w:t>2</w:t>
      </w:r>
      <w:r w:rsidRPr="000A0A5F">
        <w:tab/>
        <w:t>Type: ProblemDetailsAsSessionWithQos</w:t>
      </w:r>
      <w:bookmarkEnd w:id="9200"/>
      <w:bookmarkEnd w:id="9201"/>
    </w:p>
    <w:p w:rsidR="006902C7" w:rsidRPr="000A0A5F" w:rsidRDefault="006902C7" w:rsidP="006902C7">
      <w:pPr>
        <w:pStyle w:val="TH"/>
      </w:pPr>
      <w:r w:rsidRPr="000A0A5F">
        <w:rPr>
          <w:noProof/>
        </w:rPr>
        <w:t>Table </w:t>
      </w:r>
      <w:r w:rsidRPr="000A0A5F">
        <w:t>5.14.2.1.1</w:t>
      </w:r>
      <w:r w:rsidR="00B74E7B" w:rsidRPr="000A0A5F">
        <w:t>2</w:t>
      </w:r>
      <w:r w:rsidRPr="000A0A5F">
        <w:t xml:space="preserve">-1: </w:t>
      </w:r>
      <w:r w:rsidRPr="000A0A5F">
        <w:rPr>
          <w:noProof/>
        </w:rPr>
        <w:t xml:space="preserve">Definition of type </w:t>
      </w:r>
      <w:r w:rsidRPr="000A0A5F">
        <w:t xml:space="preserve">ProblemDetailsAsSessionWithQos </w:t>
      </w:r>
      <w:r w:rsidRPr="000A0A5F">
        <w:rPr>
          <w:noProof/>
        </w:rPr>
        <w:t>as a list of to be combined data types</w:t>
      </w:r>
    </w:p>
    <w:tbl>
      <w:tblPr>
        <w:tblW w:w="957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482"/>
        <w:gridCol w:w="1169"/>
        <w:gridCol w:w="3827"/>
        <w:gridCol w:w="2092"/>
      </w:tblGrid>
      <w:tr w:rsidR="006902C7" w:rsidRPr="000A0A5F" w:rsidTr="008C3F3F">
        <w:trPr>
          <w:jc w:val="center"/>
        </w:trPr>
        <w:tc>
          <w:tcPr>
            <w:tcW w:w="2482" w:type="dxa"/>
            <w:shd w:val="clear" w:color="auto" w:fill="C0C0C0"/>
            <w:hideMark/>
          </w:tcPr>
          <w:p w:rsidR="006902C7" w:rsidRPr="000A0A5F" w:rsidRDefault="006902C7" w:rsidP="0037730B">
            <w:pPr>
              <w:pStyle w:val="TAH"/>
            </w:pPr>
            <w:r w:rsidRPr="000A0A5F">
              <w:t>Data type</w:t>
            </w:r>
          </w:p>
        </w:tc>
        <w:tc>
          <w:tcPr>
            <w:tcW w:w="1169" w:type="dxa"/>
            <w:shd w:val="clear" w:color="auto" w:fill="C0C0C0"/>
          </w:tcPr>
          <w:p w:rsidR="006902C7" w:rsidRPr="000A0A5F" w:rsidRDefault="006902C7" w:rsidP="0037730B">
            <w:pPr>
              <w:pStyle w:val="TAH"/>
            </w:pPr>
            <w:r w:rsidRPr="000A0A5F">
              <w:t>Cardinality</w:t>
            </w:r>
          </w:p>
        </w:tc>
        <w:tc>
          <w:tcPr>
            <w:tcW w:w="3827" w:type="dxa"/>
            <w:shd w:val="clear" w:color="auto" w:fill="C0C0C0"/>
            <w:hideMark/>
          </w:tcPr>
          <w:p w:rsidR="006902C7" w:rsidRPr="000A0A5F" w:rsidRDefault="006902C7" w:rsidP="0037730B">
            <w:pPr>
              <w:pStyle w:val="TAH"/>
            </w:pPr>
            <w:r w:rsidRPr="000A0A5F">
              <w:t>Description</w:t>
            </w:r>
          </w:p>
        </w:tc>
        <w:tc>
          <w:tcPr>
            <w:tcW w:w="2092" w:type="dxa"/>
            <w:shd w:val="clear" w:color="auto" w:fill="C0C0C0"/>
          </w:tcPr>
          <w:p w:rsidR="006902C7" w:rsidRPr="000A0A5F" w:rsidRDefault="006902C7" w:rsidP="0037730B">
            <w:pPr>
              <w:pStyle w:val="TAH"/>
            </w:pPr>
            <w:r w:rsidRPr="000A0A5F">
              <w:t>Applicability</w:t>
            </w:r>
          </w:p>
        </w:tc>
      </w:tr>
      <w:tr w:rsidR="006902C7" w:rsidRPr="000A0A5F" w:rsidTr="008C3F3F">
        <w:trPr>
          <w:jc w:val="center"/>
        </w:trPr>
        <w:tc>
          <w:tcPr>
            <w:tcW w:w="2482" w:type="dxa"/>
          </w:tcPr>
          <w:p w:rsidR="006902C7" w:rsidRPr="000A0A5F" w:rsidRDefault="006902C7" w:rsidP="0037730B">
            <w:pPr>
              <w:pStyle w:val="TAL"/>
            </w:pPr>
            <w:r w:rsidRPr="000A0A5F">
              <w:t>ProblemDetails</w:t>
            </w:r>
          </w:p>
        </w:tc>
        <w:tc>
          <w:tcPr>
            <w:tcW w:w="1169" w:type="dxa"/>
          </w:tcPr>
          <w:p w:rsidR="006902C7" w:rsidRPr="000A0A5F" w:rsidRDefault="006902C7" w:rsidP="0037730B">
            <w:pPr>
              <w:pStyle w:val="TAL"/>
            </w:pPr>
            <w:r w:rsidRPr="000A0A5F">
              <w:t>1</w:t>
            </w:r>
          </w:p>
        </w:tc>
        <w:tc>
          <w:tcPr>
            <w:tcW w:w="3827" w:type="dxa"/>
          </w:tcPr>
          <w:p w:rsidR="006902C7" w:rsidRPr="000A0A5F" w:rsidRDefault="006902C7" w:rsidP="0037730B">
            <w:pPr>
              <w:pStyle w:val="TAL"/>
            </w:pPr>
            <w:r w:rsidRPr="000A0A5F">
              <w:t xml:space="preserve">Problem details as specified in clause 5.2.12.12 to include an error response </w:t>
            </w:r>
          </w:p>
        </w:tc>
        <w:tc>
          <w:tcPr>
            <w:tcW w:w="2092" w:type="dxa"/>
          </w:tcPr>
          <w:p w:rsidR="006902C7" w:rsidRPr="000A0A5F" w:rsidRDefault="006902C7" w:rsidP="0037730B">
            <w:pPr>
              <w:pStyle w:val="TAL"/>
            </w:pPr>
          </w:p>
        </w:tc>
      </w:tr>
      <w:tr w:rsidR="006902C7" w:rsidRPr="000A0A5F" w:rsidTr="008C3F3F">
        <w:trPr>
          <w:jc w:val="center"/>
        </w:trPr>
        <w:tc>
          <w:tcPr>
            <w:tcW w:w="2482" w:type="dxa"/>
          </w:tcPr>
          <w:p w:rsidR="006902C7" w:rsidRPr="000A0A5F" w:rsidRDefault="006902C7" w:rsidP="0037730B">
            <w:pPr>
              <w:pStyle w:val="TAL"/>
            </w:pPr>
            <w:r w:rsidRPr="000A0A5F">
              <w:t>AdditionalInfoAsSessionWithQos</w:t>
            </w:r>
          </w:p>
        </w:tc>
        <w:tc>
          <w:tcPr>
            <w:tcW w:w="1169" w:type="dxa"/>
          </w:tcPr>
          <w:p w:rsidR="006902C7" w:rsidRPr="000A0A5F" w:rsidRDefault="006902C7" w:rsidP="0037730B">
            <w:pPr>
              <w:pStyle w:val="TAL"/>
            </w:pPr>
            <w:r w:rsidRPr="000A0A5F">
              <w:t>1</w:t>
            </w:r>
          </w:p>
        </w:tc>
        <w:tc>
          <w:tcPr>
            <w:tcW w:w="3827" w:type="dxa"/>
          </w:tcPr>
          <w:p w:rsidR="006902C7" w:rsidRPr="000A0A5F" w:rsidRDefault="006902C7" w:rsidP="0037730B">
            <w:pPr>
              <w:pStyle w:val="TAL"/>
            </w:pPr>
            <w:r w:rsidRPr="000A0A5F">
              <w:rPr>
                <w:rFonts w:cs="Arial"/>
                <w:szCs w:val="18"/>
              </w:rPr>
              <w:t>Describes additional error information specific for this API</w:t>
            </w:r>
            <w:r w:rsidRPr="000A0A5F">
              <w:t>.</w:t>
            </w:r>
          </w:p>
        </w:tc>
        <w:tc>
          <w:tcPr>
            <w:tcW w:w="2092" w:type="dxa"/>
          </w:tcPr>
          <w:p w:rsidR="006902C7" w:rsidRPr="000A0A5F" w:rsidRDefault="006902C7" w:rsidP="0037730B">
            <w:pPr>
              <w:pStyle w:val="TAL"/>
            </w:pPr>
          </w:p>
        </w:tc>
      </w:tr>
    </w:tbl>
    <w:p w:rsidR="006902C7" w:rsidRPr="000A0A5F" w:rsidRDefault="006902C7"/>
    <w:p w:rsidR="005B5A0C" w:rsidRPr="000A0A5F" w:rsidRDefault="005B5A0C" w:rsidP="00305B31">
      <w:pPr>
        <w:pStyle w:val="Heading5"/>
      </w:pPr>
      <w:bookmarkStart w:id="9202" w:name="_Toc153625875"/>
      <w:r w:rsidRPr="000A0A5F">
        <w:t>5.14.2.1.13</w:t>
      </w:r>
      <w:r w:rsidRPr="000A0A5F">
        <w:tab/>
        <w:t>Type AsSessionMediaComponent</w:t>
      </w:r>
      <w:bookmarkEnd w:id="9202"/>
    </w:p>
    <w:p w:rsidR="00090953" w:rsidRDefault="00090953" w:rsidP="00090953">
      <w:r>
        <w:t>This type represents media component data</w:t>
      </w:r>
      <w:r w:rsidRPr="00A71008">
        <w:t xml:space="preserve"> </w:t>
      </w:r>
      <w:r>
        <w:t>for a single-modal data flow of a multi-modal service. It shall comply with the provisions defined in table 5.14.2.1.13-1.</w:t>
      </w:r>
    </w:p>
    <w:p w:rsidR="005B5A0C" w:rsidRPr="000A0A5F" w:rsidRDefault="005B5A0C" w:rsidP="005B5A0C"/>
    <w:p w:rsidR="005B5A0C" w:rsidRPr="000A0A5F" w:rsidRDefault="005B5A0C" w:rsidP="005B5A0C">
      <w:pPr>
        <w:pStyle w:val="TH"/>
      </w:pPr>
      <w:r w:rsidRPr="000A0A5F">
        <w:rPr>
          <w:noProof/>
        </w:rPr>
        <w:t>Table </w:t>
      </w:r>
      <w:r w:rsidRPr="000A0A5F">
        <w:t xml:space="preserve">5.14.2.1.13-1: </w:t>
      </w:r>
      <w:r w:rsidRPr="000A0A5F">
        <w:rPr>
          <w:noProof/>
        </w:rPr>
        <w:t xml:space="preserve">Definition of type </w:t>
      </w:r>
      <w:r w:rsidRPr="000A0A5F">
        <w:t xml:space="preserve">AsSessionMediaComponent </w:t>
      </w:r>
    </w:p>
    <w:tbl>
      <w:tblPr>
        <w:tblW w:w="925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09"/>
        <w:gridCol w:w="1800"/>
        <w:gridCol w:w="1170"/>
        <w:gridCol w:w="3271"/>
        <w:gridCol w:w="1408"/>
      </w:tblGrid>
      <w:tr w:rsidR="005B5A0C" w:rsidRPr="000A0A5F" w:rsidTr="00492243">
        <w:trPr>
          <w:cantSplit/>
          <w:tblHeader/>
          <w:jc w:val="center"/>
        </w:trPr>
        <w:tc>
          <w:tcPr>
            <w:tcW w:w="1609" w:type="dxa"/>
            <w:shd w:val="clear" w:color="auto" w:fill="C0C0C0"/>
            <w:hideMark/>
          </w:tcPr>
          <w:p w:rsidR="005B5A0C" w:rsidRPr="000A0A5F" w:rsidRDefault="005B5A0C" w:rsidP="00492243">
            <w:pPr>
              <w:pStyle w:val="TAH"/>
            </w:pPr>
            <w:r w:rsidRPr="000A0A5F">
              <w:t>Attribute name</w:t>
            </w:r>
          </w:p>
        </w:tc>
        <w:tc>
          <w:tcPr>
            <w:tcW w:w="1800" w:type="dxa"/>
            <w:shd w:val="clear" w:color="auto" w:fill="C0C0C0"/>
            <w:hideMark/>
          </w:tcPr>
          <w:p w:rsidR="005B5A0C" w:rsidRPr="000A0A5F" w:rsidRDefault="005B5A0C" w:rsidP="00492243">
            <w:pPr>
              <w:pStyle w:val="TAH"/>
            </w:pPr>
            <w:r w:rsidRPr="000A0A5F">
              <w:t>Data type</w:t>
            </w:r>
          </w:p>
        </w:tc>
        <w:tc>
          <w:tcPr>
            <w:tcW w:w="1170" w:type="dxa"/>
            <w:shd w:val="clear" w:color="auto" w:fill="C0C0C0"/>
            <w:hideMark/>
          </w:tcPr>
          <w:p w:rsidR="005B5A0C" w:rsidRPr="000A0A5F" w:rsidRDefault="005B5A0C" w:rsidP="00492243">
            <w:pPr>
              <w:pStyle w:val="TAH"/>
            </w:pPr>
            <w:r w:rsidRPr="000A0A5F">
              <w:t>Cardinality</w:t>
            </w:r>
          </w:p>
        </w:tc>
        <w:tc>
          <w:tcPr>
            <w:tcW w:w="3271" w:type="dxa"/>
            <w:shd w:val="clear" w:color="auto" w:fill="C0C0C0"/>
            <w:hideMark/>
          </w:tcPr>
          <w:p w:rsidR="005B5A0C" w:rsidRPr="000A0A5F" w:rsidRDefault="005B5A0C" w:rsidP="00492243">
            <w:pPr>
              <w:pStyle w:val="TAH"/>
            </w:pPr>
            <w:r w:rsidRPr="000A0A5F">
              <w:t>Description</w:t>
            </w:r>
          </w:p>
        </w:tc>
        <w:tc>
          <w:tcPr>
            <w:tcW w:w="1408" w:type="dxa"/>
            <w:shd w:val="clear" w:color="auto" w:fill="C0C0C0"/>
          </w:tcPr>
          <w:p w:rsidR="005B5A0C" w:rsidRPr="000A0A5F" w:rsidRDefault="005B5A0C" w:rsidP="00492243">
            <w:pPr>
              <w:pStyle w:val="TAH"/>
            </w:pPr>
            <w:r w:rsidRPr="000A0A5F">
              <w:t>Applicability</w:t>
            </w:r>
          </w:p>
        </w:tc>
      </w:tr>
      <w:tr w:rsidR="005B5A0C" w:rsidRPr="000A0A5F" w:rsidTr="00492243">
        <w:trPr>
          <w:cantSplit/>
          <w:jc w:val="center"/>
        </w:trPr>
        <w:tc>
          <w:tcPr>
            <w:tcW w:w="1609" w:type="dxa"/>
          </w:tcPr>
          <w:p w:rsidR="005B5A0C" w:rsidRPr="000A0A5F" w:rsidRDefault="005B5A0C" w:rsidP="00492243">
            <w:pPr>
              <w:pStyle w:val="TAL"/>
              <w:rPr>
                <w:lang w:eastAsia="zh-CN"/>
              </w:rPr>
            </w:pPr>
            <w:r w:rsidRPr="000A0A5F">
              <w:t>flowInfos</w:t>
            </w:r>
          </w:p>
        </w:tc>
        <w:tc>
          <w:tcPr>
            <w:tcW w:w="1800" w:type="dxa"/>
          </w:tcPr>
          <w:p w:rsidR="005B5A0C" w:rsidRPr="000A0A5F" w:rsidRDefault="005B5A0C" w:rsidP="00492243">
            <w:pPr>
              <w:pStyle w:val="TAL"/>
              <w:rPr>
                <w:lang w:eastAsia="zh-CN"/>
              </w:rPr>
            </w:pPr>
            <w:r w:rsidRPr="000A0A5F">
              <w:t>array(FlowInfo)</w:t>
            </w:r>
          </w:p>
        </w:tc>
        <w:tc>
          <w:tcPr>
            <w:tcW w:w="1170" w:type="dxa"/>
          </w:tcPr>
          <w:p w:rsidR="005B5A0C" w:rsidRPr="000A0A5F" w:rsidRDefault="005B5A0C" w:rsidP="00492243">
            <w:pPr>
              <w:pStyle w:val="TAC"/>
            </w:pPr>
            <w:r w:rsidRPr="000A0A5F">
              <w:rPr>
                <w:lang w:eastAsia="zh-CN"/>
              </w:rPr>
              <w:t>0..N</w:t>
            </w:r>
          </w:p>
        </w:tc>
        <w:tc>
          <w:tcPr>
            <w:tcW w:w="3271" w:type="dxa"/>
          </w:tcPr>
          <w:p w:rsidR="005B5A0C" w:rsidRPr="000A0A5F" w:rsidRDefault="005B5A0C" w:rsidP="00492243">
            <w:pPr>
              <w:pStyle w:val="TAL"/>
              <w:rPr>
                <w:rFonts w:cs="Arial"/>
                <w:szCs w:val="18"/>
                <w:lang w:eastAsia="zh-CN"/>
              </w:rPr>
            </w:pPr>
            <w:r w:rsidRPr="000A0A5F">
              <w:t>Contains the IP data flow(s) description for a single-modal data flow</w:t>
            </w:r>
            <w:r w:rsidRPr="000A0A5F">
              <w:rPr>
                <w:rFonts w:cs="Arial"/>
                <w:szCs w:val="18"/>
                <w:lang w:eastAsia="zh-CN"/>
              </w:rPr>
              <w:t>.</w:t>
            </w:r>
          </w:p>
        </w:tc>
        <w:tc>
          <w:tcPr>
            <w:tcW w:w="1408" w:type="dxa"/>
          </w:tcPr>
          <w:p w:rsidR="005B5A0C" w:rsidRPr="000A0A5F" w:rsidRDefault="005B5A0C" w:rsidP="00492243">
            <w:pPr>
              <w:pStyle w:val="TAL"/>
              <w:rPr>
                <w:rFonts w:cs="Arial"/>
                <w:szCs w:val="18"/>
              </w:rPr>
            </w:pPr>
          </w:p>
        </w:tc>
      </w:tr>
      <w:tr w:rsidR="005B5A0C" w:rsidRPr="000A0A5F" w:rsidTr="00492243">
        <w:trPr>
          <w:cantSplit/>
          <w:jc w:val="center"/>
        </w:trPr>
        <w:tc>
          <w:tcPr>
            <w:tcW w:w="1609" w:type="dxa"/>
          </w:tcPr>
          <w:p w:rsidR="005B5A0C" w:rsidRPr="000A0A5F" w:rsidRDefault="005B5A0C" w:rsidP="00492243">
            <w:pPr>
              <w:pStyle w:val="TAL"/>
            </w:pPr>
            <w:r w:rsidRPr="000A0A5F">
              <w:rPr>
                <w:lang w:eastAsia="zh-CN"/>
              </w:rPr>
              <w:t>qosReference</w:t>
            </w:r>
          </w:p>
        </w:tc>
        <w:tc>
          <w:tcPr>
            <w:tcW w:w="1800" w:type="dxa"/>
          </w:tcPr>
          <w:p w:rsidR="005B5A0C" w:rsidRPr="000A0A5F" w:rsidRDefault="005B5A0C" w:rsidP="00492243">
            <w:pPr>
              <w:pStyle w:val="TAL"/>
            </w:pPr>
            <w:r w:rsidRPr="000A0A5F">
              <w:rPr>
                <w:lang w:eastAsia="zh-CN"/>
              </w:rPr>
              <w:t>string</w:t>
            </w:r>
          </w:p>
        </w:tc>
        <w:tc>
          <w:tcPr>
            <w:tcW w:w="1170" w:type="dxa"/>
          </w:tcPr>
          <w:p w:rsidR="005B5A0C" w:rsidRPr="000A0A5F" w:rsidRDefault="005B5A0C" w:rsidP="00492243">
            <w:pPr>
              <w:pStyle w:val="TAC"/>
            </w:pPr>
            <w:r w:rsidRPr="000A0A5F">
              <w:t>0..1</w:t>
            </w:r>
          </w:p>
        </w:tc>
        <w:tc>
          <w:tcPr>
            <w:tcW w:w="3271" w:type="dxa"/>
          </w:tcPr>
          <w:p w:rsidR="005B5A0C" w:rsidRPr="000A0A5F" w:rsidRDefault="005B5A0C" w:rsidP="00492243">
            <w:pPr>
              <w:pStyle w:val="TAL"/>
              <w:rPr>
                <w:rFonts w:cs="Arial"/>
                <w:szCs w:val="18"/>
              </w:rPr>
            </w:pPr>
            <w:r w:rsidRPr="000A0A5F">
              <w:rPr>
                <w:rFonts w:cs="Arial"/>
                <w:szCs w:val="18"/>
                <w:lang w:eastAsia="zh-CN"/>
              </w:rPr>
              <w:t>Identifies a pre-defined QoS information</w:t>
            </w:r>
            <w:r w:rsidRPr="000A0A5F">
              <w:t>.</w:t>
            </w:r>
          </w:p>
        </w:tc>
        <w:tc>
          <w:tcPr>
            <w:tcW w:w="1408" w:type="dxa"/>
          </w:tcPr>
          <w:p w:rsidR="005B5A0C" w:rsidRPr="000A0A5F" w:rsidRDefault="005B5A0C" w:rsidP="00492243">
            <w:pPr>
              <w:pStyle w:val="TAL"/>
              <w:rPr>
                <w:rFonts w:cs="Arial"/>
                <w:szCs w:val="18"/>
              </w:rPr>
            </w:pPr>
          </w:p>
        </w:tc>
      </w:tr>
      <w:tr w:rsidR="005B5A0C" w:rsidRPr="000A0A5F" w:rsidTr="00492243">
        <w:trPr>
          <w:cantSplit/>
          <w:jc w:val="center"/>
        </w:trPr>
        <w:tc>
          <w:tcPr>
            <w:tcW w:w="1609" w:type="dxa"/>
          </w:tcPr>
          <w:p w:rsidR="005B5A0C" w:rsidRPr="000A0A5F" w:rsidRDefault="005B5A0C" w:rsidP="00492243">
            <w:pPr>
              <w:pStyle w:val="TAL"/>
            </w:pPr>
            <w:r w:rsidRPr="000A0A5F">
              <w:rPr>
                <w:lang w:eastAsia="zh-CN"/>
              </w:rPr>
              <w:t>altSerReqs</w:t>
            </w:r>
          </w:p>
        </w:tc>
        <w:tc>
          <w:tcPr>
            <w:tcW w:w="1800" w:type="dxa"/>
          </w:tcPr>
          <w:p w:rsidR="005B5A0C" w:rsidRPr="000A0A5F" w:rsidRDefault="005B5A0C" w:rsidP="00492243">
            <w:pPr>
              <w:pStyle w:val="TAL"/>
            </w:pPr>
            <w:r w:rsidRPr="000A0A5F">
              <w:t>array(string)</w:t>
            </w:r>
          </w:p>
        </w:tc>
        <w:tc>
          <w:tcPr>
            <w:tcW w:w="1170" w:type="dxa"/>
          </w:tcPr>
          <w:p w:rsidR="005B5A0C" w:rsidRPr="000A0A5F" w:rsidRDefault="005B5A0C" w:rsidP="00492243">
            <w:pPr>
              <w:pStyle w:val="TAC"/>
            </w:pPr>
            <w:r w:rsidRPr="000A0A5F">
              <w:t>0..N</w:t>
            </w:r>
          </w:p>
        </w:tc>
        <w:tc>
          <w:tcPr>
            <w:tcW w:w="3271" w:type="dxa"/>
          </w:tcPr>
          <w:p w:rsidR="005B5A0C" w:rsidRPr="000A0A5F" w:rsidRDefault="005B5A0C" w:rsidP="00492243">
            <w:pPr>
              <w:pStyle w:val="TAL"/>
              <w:rPr>
                <w:rFonts w:cs="Arial"/>
                <w:szCs w:val="18"/>
              </w:rPr>
            </w:pPr>
            <w:r w:rsidRPr="000A0A5F">
              <w:t xml:space="preserve">Ordered list of alternative service requirements </w:t>
            </w:r>
            <w:r w:rsidRPr="000A0A5F">
              <w:rPr>
                <w:lang w:val="en-US"/>
              </w:rPr>
              <w:t>that include a set of QoS references</w:t>
            </w:r>
            <w:r w:rsidRPr="000A0A5F">
              <w:t>. The lower the index of the array for a given entry, the higher the priority.(NOTE)</w:t>
            </w:r>
          </w:p>
        </w:tc>
        <w:tc>
          <w:tcPr>
            <w:tcW w:w="1408" w:type="dxa"/>
          </w:tcPr>
          <w:p w:rsidR="005B5A0C" w:rsidRPr="000A0A5F" w:rsidRDefault="005B5A0C" w:rsidP="00492243">
            <w:pPr>
              <w:pStyle w:val="TAL"/>
              <w:rPr>
                <w:rFonts w:cs="Arial"/>
                <w:szCs w:val="18"/>
              </w:rPr>
            </w:pPr>
          </w:p>
        </w:tc>
      </w:tr>
      <w:tr w:rsidR="005B5A0C" w:rsidRPr="000A0A5F" w:rsidTr="00492243">
        <w:trPr>
          <w:cantSplit/>
          <w:jc w:val="center"/>
        </w:trPr>
        <w:tc>
          <w:tcPr>
            <w:tcW w:w="1609" w:type="dxa"/>
          </w:tcPr>
          <w:p w:rsidR="005B5A0C" w:rsidRPr="000A0A5F" w:rsidRDefault="005B5A0C" w:rsidP="00492243">
            <w:pPr>
              <w:pStyle w:val="TAL"/>
              <w:rPr>
                <w:lang w:eastAsia="zh-CN"/>
              </w:rPr>
            </w:pPr>
            <w:r w:rsidRPr="000A0A5F">
              <w:rPr>
                <w:lang w:eastAsia="zh-CN"/>
              </w:rPr>
              <w:t>altSerReqsData</w:t>
            </w:r>
          </w:p>
        </w:tc>
        <w:tc>
          <w:tcPr>
            <w:tcW w:w="1800" w:type="dxa"/>
          </w:tcPr>
          <w:p w:rsidR="005B5A0C" w:rsidRPr="000A0A5F" w:rsidRDefault="005B5A0C" w:rsidP="00492243">
            <w:pPr>
              <w:pStyle w:val="TAL"/>
            </w:pPr>
            <w:r w:rsidRPr="000A0A5F">
              <w:t>array(AlternativeServiceRequirementsData)</w:t>
            </w:r>
          </w:p>
        </w:tc>
        <w:tc>
          <w:tcPr>
            <w:tcW w:w="1170" w:type="dxa"/>
          </w:tcPr>
          <w:p w:rsidR="005B5A0C" w:rsidRPr="000A0A5F" w:rsidRDefault="005B5A0C" w:rsidP="00492243">
            <w:pPr>
              <w:pStyle w:val="TAC"/>
            </w:pPr>
            <w:r w:rsidRPr="000A0A5F">
              <w:t>0..N</w:t>
            </w:r>
          </w:p>
        </w:tc>
        <w:tc>
          <w:tcPr>
            <w:tcW w:w="3271" w:type="dxa"/>
          </w:tcPr>
          <w:p w:rsidR="005B5A0C" w:rsidRPr="000A0A5F" w:rsidRDefault="005B5A0C" w:rsidP="00492243">
            <w:pPr>
              <w:pStyle w:val="TAL"/>
            </w:pPr>
            <w:r w:rsidRPr="000A0A5F">
              <w:rPr>
                <w:lang w:val="en-US"/>
              </w:rPr>
              <w:t>Ordered list of alternative service requirements that include individual QoS parameter sets.</w:t>
            </w:r>
            <w:r w:rsidRPr="000A0A5F">
              <w:t xml:space="preserve"> The lower the index of the array for a given entry, the higher the priority. (NOTE)</w:t>
            </w:r>
          </w:p>
        </w:tc>
        <w:tc>
          <w:tcPr>
            <w:tcW w:w="1408" w:type="dxa"/>
          </w:tcPr>
          <w:p w:rsidR="005B5A0C" w:rsidRPr="000A0A5F" w:rsidRDefault="005B5A0C" w:rsidP="00492243">
            <w:pPr>
              <w:pStyle w:val="TAL"/>
            </w:pPr>
          </w:p>
        </w:tc>
      </w:tr>
      <w:tr w:rsidR="005B5A0C" w:rsidRPr="000A0A5F" w:rsidTr="00492243">
        <w:trPr>
          <w:cantSplit/>
          <w:jc w:val="center"/>
        </w:trPr>
        <w:tc>
          <w:tcPr>
            <w:tcW w:w="1609" w:type="dxa"/>
          </w:tcPr>
          <w:p w:rsidR="005B5A0C" w:rsidRPr="000A0A5F" w:rsidRDefault="005B5A0C" w:rsidP="00492243">
            <w:pPr>
              <w:pStyle w:val="TAL"/>
              <w:rPr>
                <w:lang w:eastAsia="zh-CN"/>
              </w:rPr>
            </w:pPr>
            <w:r w:rsidRPr="000A0A5F">
              <w:rPr>
                <w:rFonts w:hint="eastAsia"/>
                <w:lang w:eastAsia="zh-CN"/>
              </w:rPr>
              <w:t>d</w:t>
            </w:r>
            <w:r w:rsidRPr="000A0A5F">
              <w:rPr>
                <w:lang w:eastAsia="zh-CN"/>
              </w:rPr>
              <w:t>isUeNotif</w:t>
            </w:r>
          </w:p>
        </w:tc>
        <w:tc>
          <w:tcPr>
            <w:tcW w:w="1800" w:type="dxa"/>
          </w:tcPr>
          <w:p w:rsidR="005B5A0C" w:rsidRPr="000A0A5F" w:rsidRDefault="005B5A0C" w:rsidP="00492243">
            <w:pPr>
              <w:pStyle w:val="TAL"/>
            </w:pPr>
            <w:r w:rsidRPr="000A0A5F">
              <w:rPr>
                <w:rFonts w:hint="eastAsia"/>
                <w:lang w:eastAsia="zh-CN"/>
              </w:rPr>
              <w:t>b</w:t>
            </w:r>
            <w:r w:rsidRPr="000A0A5F">
              <w:rPr>
                <w:lang w:eastAsia="zh-CN"/>
              </w:rPr>
              <w:t>oolean</w:t>
            </w:r>
          </w:p>
        </w:tc>
        <w:tc>
          <w:tcPr>
            <w:tcW w:w="1170" w:type="dxa"/>
          </w:tcPr>
          <w:p w:rsidR="005B5A0C" w:rsidRPr="000A0A5F" w:rsidRDefault="005B5A0C" w:rsidP="00492243">
            <w:pPr>
              <w:pStyle w:val="TAC"/>
            </w:pPr>
            <w:r w:rsidRPr="000A0A5F">
              <w:rPr>
                <w:rFonts w:hint="eastAsia"/>
                <w:lang w:eastAsia="zh-CN"/>
              </w:rPr>
              <w:t>0</w:t>
            </w:r>
            <w:r w:rsidRPr="000A0A5F">
              <w:rPr>
                <w:lang w:eastAsia="zh-CN"/>
              </w:rPr>
              <w:t>..1</w:t>
            </w:r>
          </w:p>
        </w:tc>
        <w:tc>
          <w:tcPr>
            <w:tcW w:w="3271" w:type="dxa"/>
          </w:tcPr>
          <w:p w:rsidR="005B5A0C" w:rsidRPr="000A0A5F" w:rsidRDefault="005B5A0C" w:rsidP="00492243">
            <w:pPr>
              <w:pStyle w:val="TAL"/>
            </w:pPr>
            <w:r w:rsidRPr="000A0A5F">
              <w:rPr>
                <w:szCs w:val="18"/>
              </w:rPr>
              <w:t xml:space="preserve">Indicates to disable QoS flow parameters signalling to the UE when the SMF is notified by the NG-RAN of changes in the fulfilled QoS situation </w:t>
            </w:r>
            <w:r w:rsidRPr="000A0A5F">
              <w:t xml:space="preserve">when it is included and set to "true". </w:t>
            </w:r>
            <w:r w:rsidRPr="000A0A5F">
              <w:rPr>
                <w:szCs w:val="18"/>
              </w:rPr>
              <w:t>The fulfilled situation is either the QoS profile or an Alternative QoS Profile.</w:t>
            </w:r>
            <w:r w:rsidRPr="000A0A5F">
              <w:rPr>
                <w:rFonts w:cs="Arial"/>
                <w:szCs w:val="18"/>
              </w:rPr>
              <w:t xml:space="preserve"> </w:t>
            </w:r>
            <w:r w:rsidRPr="000A0A5F">
              <w:t xml:space="preserve">The </w:t>
            </w:r>
            <w:r w:rsidRPr="000A0A5F">
              <w:rPr>
                <w:rFonts w:cs="Arial"/>
                <w:szCs w:val="18"/>
              </w:rPr>
              <w:t>default value "</w:t>
            </w:r>
            <w:r w:rsidRPr="000A0A5F">
              <w:t>false</w:t>
            </w:r>
            <w:r w:rsidRPr="000A0A5F">
              <w:rPr>
                <w:rFonts w:cs="Arial"/>
                <w:szCs w:val="18"/>
              </w:rPr>
              <w:t xml:space="preserve">" shall apply, if the attribute is not present and </w:t>
            </w:r>
            <w:r w:rsidRPr="000A0A5F">
              <w:t>has not been supplied previously</w:t>
            </w:r>
            <w:r w:rsidRPr="000A0A5F">
              <w:rPr>
                <w:rFonts w:cs="Arial"/>
                <w:szCs w:val="18"/>
              </w:rPr>
              <w:t>.</w:t>
            </w:r>
          </w:p>
        </w:tc>
        <w:tc>
          <w:tcPr>
            <w:tcW w:w="1408" w:type="dxa"/>
          </w:tcPr>
          <w:p w:rsidR="005B5A0C" w:rsidRPr="000A0A5F" w:rsidRDefault="005B5A0C" w:rsidP="00492243">
            <w:pPr>
              <w:pStyle w:val="TAL"/>
            </w:pPr>
          </w:p>
        </w:tc>
      </w:tr>
      <w:tr w:rsidR="005B5A0C" w:rsidRPr="000A0A5F" w:rsidTr="00492243">
        <w:trPr>
          <w:cantSplit/>
          <w:jc w:val="center"/>
        </w:trPr>
        <w:tc>
          <w:tcPr>
            <w:tcW w:w="1609" w:type="dxa"/>
          </w:tcPr>
          <w:p w:rsidR="005B5A0C" w:rsidRPr="000A0A5F" w:rsidRDefault="005B5A0C" w:rsidP="00492243">
            <w:pPr>
              <w:pStyle w:val="TAL"/>
            </w:pPr>
            <w:r w:rsidRPr="000A0A5F">
              <w:t>medCompN</w:t>
            </w:r>
          </w:p>
        </w:tc>
        <w:tc>
          <w:tcPr>
            <w:tcW w:w="1800" w:type="dxa"/>
          </w:tcPr>
          <w:p w:rsidR="005B5A0C" w:rsidRPr="000A0A5F" w:rsidRDefault="005B5A0C" w:rsidP="00492243">
            <w:pPr>
              <w:pStyle w:val="TAL"/>
            </w:pPr>
            <w:r w:rsidRPr="000A0A5F">
              <w:t>integer</w:t>
            </w:r>
          </w:p>
        </w:tc>
        <w:tc>
          <w:tcPr>
            <w:tcW w:w="1170" w:type="dxa"/>
          </w:tcPr>
          <w:p w:rsidR="005B5A0C" w:rsidRPr="000A0A5F" w:rsidRDefault="005B5A0C" w:rsidP="00492243">
            <w:pPr>
              <w:pStyle w:val="TAC"/>
            </w:pPr>
            <w:r w:rsidRPr="000A0A5F">
              <w:t>1</w:t>
            </w:r>
          </w:p>
        </w:tc>
        <w:tc>
          <w:tcPr>
            <w:tcW w:w="3271" w:type="dxa"/>
          </w:tcPr>
          <w:p w:rsidR="005B5A0C" w:rsidRPr="000A0A5F" w:rsidRDefault="005B5A0C" w:rsidP="00492243">
            <w:pPr>
              <w:pStyle w:val="TAL"/>
              <w:rPr>
                <w:rFonts w:cs="Arial"/>
                <w:szCs w:val="18"/>
              </w:rPr>
            </w:pPr>
            <w:r w:rsidRPr="000A0A5F">
              <w:rPr>
                <w:rFonts w:cs="Arial"/>
                <w:szCs w:val="18"/>
              </w:rPr>
              <w:t>Identifies the media component number, and it contains the ordinal number of the media component.</w:t>
            </w:r>
          </w:p>
        </w:tc>
        <w:tc>
          <w:tcPr>
            <w:tcW w:w="1408" w:type="dxa"/>
          </w:tcPr>
          <w:p w:rsidR="005B5A0C" w:rsidRPr="000A0A5F" w:rsidRDefault="005B5A0C" w:rsidP="00492243">
            <w:pPr>
              <w:pStyle w:val="TAL"/>
              <w:rPr>
                <w:rFonts w:cs="Arial"/>
                <w:szCs w:val="18"/>
              </w:rPr>
            </w:pPr>
          </w:p>
        </w:tc>
      </w:tr>
      <w:tr w:rsidR="005B5A0C" w:rsidRPr="000A0A5F" w:rsidTr="00492243">
        <w:trPr>
          <w:cantSplit/>
          <w:jc w:val="center"/>
        </w:trPr>
        <w:tc>
          <w:tcPr>
            <w:tcW w:w="1609" w:type="dxa"/>
          </w:tcPr>
          <w:p w:rsidR="005B5A0C" w:rsidRPr="000A0A5F" w:rsidRDefault="005B5A0C" w:rsidP="00492243">
            <w:pPr>
              <w:pStyle w:val="TAL"/>
            </w:pPr>
            <w:r w:rsidRPr="000A0A5F">
              <w:t>medType</w:t>
            </w:r>
          </w:p>
        </w:tc>
        <w:tc>
          <w:tcPr>
            <w:tcW w:w="1800" w:type="dxa"/>
          </w:tcPr>
          <w:p w:rsidR="005B5A0C" w:rsidRPr="000A0A5F" w:rsidRDefault="005B5A0C" w:rsidP="00492243">
            <w:pPr>
              <w:pStyle w:val="TAL"/>
            </w:pPr>
            <w:r w:rsidRPr="000A0A5F">
              <w:t>MediaType</w:t>
            </w:r>
          </w:p>
        </w:tc>
        <w:tc>
          <w:tcPr>
            <w:tcW w:w="1170" w:type="dxa"/>
          </w:tcPr>
          <w:p w:rsidR="005B5A0C" w:rsidRPr="000A0A5F" w:rsidRDefault="005B5A0C" w:rsidP="00492243">
            <w:pPr>
              <w:pStyle w:val="TAC"/>
            </w:pPr>
            <w:r w:rsidRPr="000A0A5F">
              <w:t>0..1</w:t>
            </w:r>
          </w:p>
        </w:tc>
        <w:tc>
          <w:tcPr>
            <w:tcW w:w="3271" w:type="dxa"/>
          </w:tcPr>
          <w:p w:rsidR="005B5A0C" w:rsidRPr="000A0A5F" w:rsidRDefault="005B5A0C" w:rsidP="00492243">
            <w:pPr>
              <w:pStyle w:val="TAL"/>
              <w:rPr>
                <w:rFonts w:cs="Arial"/>
                <w:szCs w:val="18"/>
              </w:rPr>
            </w:pPr>
            <w:r w:rsidRPr="000A0A5F">
              <w:rPr>
                <w:rFonts w:cs="Arial"/>
                <w:szCs w:val="18"/>
              </w:rPr>
              <w:t>Indicates the media type of the service.</w:t>
            </w:r>
          </w:p>
        </w:tc>
        <w:tc>
          <w:tcPr>
            <w:tcW w:w="1408" w:type="dxa"/>
          </w:tcPr>
          <w:p w:rsidR="005B5A0C" w:rsidRPr="000A0A5F" w:rsidRDefault="005B5A0C" w:rsidP="00492243">
            <w:pPr>
              <w:pStyle w:val="TAL"/>
              <w:rPr>
                <w:rFonts w:cs="Arial"/>
                <w:szCs w:val="18"/>
              </w:rPr>
            </w:pPr>
          </w:p>
        </w:tc>
      </w:tr>
      <w:tr w:rsidR="005B5A0C" w:rsidRPr="000A0A5F" w:rsidTr="00492243">
        <w:trPr>
          <w:cantSplit/>
          <w:jc w:val="center"/>
        </w:trPr>
        <w:tc>
          <w:tcPr>
            <w:tcW w:w="1609" w:type="dxa"/>
          </w:tcPr>
          <w:p w:rsidR="005B5A0C" w:rsidRPr="000A0A5F" w:rsidRDefault="005B5A0C" w:rsidP="00492243">
            <w:pPr>
              <w:pStyle w:val="TAL"/>
            </w:pPr>
            <w:r w:rsidRPr="000A0A5F">
              <w:t>marBwUl</w:t>
            </w:r>
          </w:p>
        </w:tc>
        <w:tc>
          <w:tcPr>
            <w:tcW w:w="1800" w:type="dxa"/>
          </w:tcPr>
          <w:p w:rsidR="005B5A0C" w:rsidRPr="000A0A5F" w:rsidRDefault="005B5A0C" w:rsidP="00492243">
            <w:pPr>
              <w:pStyle w:val="TAL"/>
            </w:pPr>
            <w:r w:rsidRPr="000A0A5F">
              <w:rPr>
                <w:rFonts w:cs="Arial"/>
              </w:rPr>
              <w:t>BitRate</w:t>
            </w:r>
          </w:p>
        </w:tc>
        <w:tc>
          <w:tcPr>
            <w:tcW w:w="1170" w:type="dxa"/>
          </w:tcPr>
          <w:p w:rsidR="005B5A0C" w:rsidRPr="000A0A5F" w:rsidRDefault="005B5A0C" w:rsidP="00492243">
            <w:pPr>
              <w:pStyle w:val="TAC"/>
            </w:pPr>
            <w:r w:rsidRPr="000A0A5F">
              <w:t>0..1</w:t>
            </w:r>
          </w:p>
        </w:tc>
        <w:tc>
          <w:tcPr>
            <w:tcW w:w="3271" w:type="dxa"/>
          </w:tcPr>
          <w:p w:rsidR="005B5A0C" w:rsidRPr="000A0A5F" w:rsidRDefault="005B5A0C" w:rsidP="00492243">
            <w:pPr>
              <w:pStyle w:val="TAL"/>
              <w:rPr>
                <w:rFonts w:cs="Arial"/>
                <w:szCs w:val="18"/>
              </w:rPr>
            </w:pPr>
            <w:r w:rsidRPr="000A0A5F">
              <w:rPr>
                <w:rFonts w:cs="Arial"/>
                <w:szCs w:val="18"/>
              </w:rPr>
              <w:t>Maximum requested bandwidth for the Uplink.</w:t>
            </w:r>
          </w:p>
        </w:tc>
        <w:tc>
          <w:tcPr>
            <w:tcW w:w="1408" w:type="dxa"/>
          </w:tcPr>
          <w:p w:rsidR="005B5A0C" w:rsidRPr="000A0A5F" w:rsidRDefault="005B5A0C" w:rsidP="00492243">
            <w:pPr>
              <w:pStyle w:val="TAL"/>
              <w:rPr>
                <w:rFonts w:cs="Arial"/>
                <w:szCs w:val="18"/>
              </w:rPr>
            </w:pPr>
          </w:p>
        </w:tc>
      </w:tr>
      <w:tr w:rsidR="005B5A0C" w:rsidRPr="000A0A5F" w:rsidTr="00492243">
        <w:trPr>
          <w:cantSplit/>
          <w:jc w:val="center"/>
        </w:trPr>
        <w:tc>
          <w:tcPr>
            <w:tcW w:w="1609" w:type="dxa"/>
          </w:tcPr>
          <w:p w:rsidR="005B5A0C" w:rsidRPr="000A0A5F" w:rsidRDefault="005B5A0C" w:rsidP="00492243">
            <w:pPr>
              <w:pStyle w:val="TAL"/>
            </w:pPr>
            <w:r w:rsidRPr="000A0A5F">
              <w:t>marBwDl</w:t>
            </w:r>
          </w:p>
        </w:tc>
        <w:tc>
          <w:tcPr>
            <w:tcW w:w="1800" w:type="dxa"/>
          </w:tcPr>
          <w:p w:rsidR="005B5A0C" w:rsidRPr="000A0A5F" w:rsidRDefault="005B5A0C" w:rsidP="00492243">
            <w:pPr>
              <w:pStyle w:val="TAL"/>
            </w:pPr>
            <w:r w:rsidRPr="000A0A5F">
              <w:rPr>
                <w:rFonts w:cs="Arial"/>
              </w:rPr>
              <w:t>BitRate</w:t>
            </w:r>
          </w:p>
        </w:tc>
        <w:tc>
          <w:tcPr>
            <w:tcW w:w="1170" w:type="dxa"/>
          </w:tcPr>
          <w:p w:rsidR="005B5A0C" w:rsidRPr="000A0A5F" w:rsidRDefault="005B5A0C" w:rsidP="00492243">
            <w:pPr>
              <w:pStyle w:val="TAC"/>
            </w:pPr>
            <w:r w:rsidRPr="000A0A5F">
              <w:t>0..1</w:t>
            </w:r>
          </w:p>
        </w:tc>
        <w:tc>
          <w:tcPr>
            <w:tcW w:w="3271" w:type="dxa"/>
          </w:tcPr>
          <w:p w:rsidR="005B5A0C" w:rsidRPr="000A0A5F" w:rsidRDefault="005B5A0C" w:rsidP="00492243">
            <w:pPr>
              <w:pStyle w:val="TAL"/>
              <w:rPr>
                <w:rFonts w:cs="Arial"/>
                <w:szCs w:val="18"/>
              </w:rPr>
            </w:pPr>
            <w:r w:rsidRPr="000A0A5F">
              <w:rPr>
                <w:rFonts w:cs="Arial"/>
                <w:szCs w:val="18"/>
              </w:rPr>
              <w:t>Maximum requested bandwidth for the Downlink.</w:t>
            </w:r>
          </w:p>
        </w:tc>
        <w:tc>
          <w:tcPr>
            <w:tcW w:w="1408" w:type="dxa"/>
          </w:tcPr>
          <w:p w:rsidR="005B5A0C" w:rsidRPr="000A0A5F" w:rsidRDefault="005B5A0C" w:rsidP="00492243">
            <w:pPr>
              <w:pStyle w:val="TAL"/>
              <w:rPr>
                <w:rFonts w:cs="Arial"/>
                <w:szCs w:val="18"/>
              </w:rPr>
            </w:pPr>
          </w:p>
        </w:tc>
      </w:tr>
      <w:tr w:rsidR="005B5A0C" w:rsidRPr="000A0A5F" w:rsidTr="00492243">
        <w:trPr>
          <w:cantSplit/>
          <w:jc w:val="center"/>
        </w:trPr>
        <w:tc>
          <w:tcPr>
            <w:tcW w:w="1609" w:type="dxa"/>
          </w:tcPr>
          <w:p w:rsidR="005B5A0C" w:rsidRPr="000A0A5F" w:rsidRDefault="005B5A0C" w:rsidP="00492243">
            <w:pPr>
              <w:pStyle w:val="TAL"/>
            </w:pPr>
            <w:r w:rsidRPr="000A0A5F">
              <w:t>mirBwUl</w:t>
            </w:r>
          </w:p>
        </w:tc>
        <w:tc>
          <w:tcPr>
            <w:tcW w:w="1800" w:type="dxa"/>
          </w:tcPr>
          <w:p w:rsidR="005B5A0C" w:rsidRPr="000A0A5F" w:rsidRDefault="005B5A0C" w:rsidP="00492243">
            <w:pPr>
              <w:pStyle w:val="TAL"/>
            </w:pPr>
            <w:r w:rsidRPr="000A0A5F">
              <w:rPr>
                <w:rFonts w:cs="Arial"/>
              </w:rPr>
              <w:t>BitRate</w:t>
            </w:r>
          </w:p>
        </w:tc>
        <w:tc>
          <w:tcPr>
            <w:tcW w:w="1170" w:type="dxa"/>
          </w:tcPr>
          <w:p w:rsidR="005B5A0C" w:rsidRPr="000A0A5F" w:rsidRDefault="005B5A0C" w:rsidP="00492243">
            <w:pPr>
              <w:pStyle w:val="TAC"/>
            </w:pPr>
            <w:r w:rsidRPr="000A0A5F">
              <w:t>0..1</w:t>
            </w:r>
          </w:p>
        </w:tc>
        <w:tc>
          <w:tcPr>
            <w:tcW w:w="3271" w:type="dxa"/>
          </w:tcPr>
          <w:p w:rsidR="005B5A0C" w:rsidRPr="000A0A5F" w:rsidRDefault="005B5A0C" w:rsidP="00492243">
            <w:pPr>
              <w:pStyle w:val="TAL"/>
              <w:rPr>
                <w:rFonts w:cs="Arial"/>
                <w:szCs w:val="18"/>
              </w:rPr>
            </w:pPr>
            <w:r w:rsidRPr="000A0A5F">
              <w:rPr>
                <w:rFonts w:cs="Arial"/>
                <w:szCs w:val="18"/>
              </w:rPr>
              <w:t>Minimum requested bandwidth for the Uplink.</w:t>
            </w:r>
          </w:p>
        </w:tc>
        <w:tc>
          <w:tcPr>
            <w:tcW w:w="1408" w:type="dxa"/>
          </w:tcPr>
          <w:p w:rsidR="005B5A0C" w:rsidRPr="000A0A5F" w:rsidRDefault="005B5A0C" w:rsidP="00492243">
            <w:pPr>
              <w:pStyle w:val="TAL"/>
              <w:rPr>
                <w:rFonts w:cs="Arial"/>
                <w:szCs w:val="18"/>
              </w:rPr>
            </w:pPr>
          </w:p>
        </w:tc>
      </w:tr>
      <w:tr w:rsidR="005B5A0C" w:rsidRPr="000A0A5F" w:rsidTr="00492243">
        <w:trPr>
          <w:cantSplit/>
          <w:jc w:val="center"/>
        </w:trPr>
        <w:tc>
          <w:tcPr>
            <w:tcW w:w="1609" w:type="dxa"/>
          </w:tcPr>
          <w:p w:rsidR="005B5A0C" w:rsidRPr="000A0A5F" w:rsidRDefault="005B5A0C" w:rsidP="00492243">
            <w:pPr>
              <w:pStyle w:val="TAL"/>
            </w:pPr>
            <w:r w:rsidRPr="000A0A5F">
              <w:t>mirBwDl</w:t>
            </w:r>
          </w:p>
        </w:tc>
        <w:tc>
          <w:tcPr>
            <w:tcW w:w="1800" w:type="dxa"/>
          </w:tcPr>
          <w:p w:rsidR="005B5A0C" w:rsidRPr="000A0A5F" w:rsidRDefault="005B5A0C" w:rsidP="00492243">
            <w:pPr>
              <w:pStyle w:val="TAL"/>
            </w:pPr>
            <w:r w:rsidRPr="000A0A5F">
              <w:rPr>
                <w:rFonts w:cs="Arial"/>
              </w:rPr>
              <w:t>BitRate</w:t>
            </w:r>
          </w:p>
        </w:tc>
        <w:tc>
          <w:tcPr>
            <w:tcW w:w="1170" w:type="dxa"/>
          </w:tcPr>
          <w:p w:rsidR="005B5A0C" w:rsidRPr="000A0A5F" w:rsidRDefault="005B5A0C" w:rsidP="00492243">
            <w:pPr>
              <w:pStyle w:val="TAC"/>
            </w:pPr>
            <w:r w:rsidRPr="000A0A5F">
              <w:t>0..1</w:t>
            </w:r>
          </w:p>
        </w:tc>
        <w:tc>
          <w:tcPr>
            <w:tcW w:w="3271" w:type="dxa"/>
          </w:tcPr>
          <w:p w:rsidR="005B5A0C" w:rsidRPr="000A0A5F" w:rsidRDefault="005B5A0C" w:rsidP="00492243">
            <w:pPr>
              <w:pStyle w:val="TAL"/>
              <w:rPr>
                <w:rFonts w:cs="Arial"/>
                <w:szCs w:val="18"/>
              </w:rPr>
            </w:pPr>
            <w:r w:rsidRPr="000A0A5F">
              <w:rPr>
                <w:rFonts w:cs="Arial"/>
                <w:szCs w:val="18"/>
              </w:rPr>
              <w:t>Minimum requested bandwidth for the Downlink.</w:t>
            </w:r>
          </w:p>
        </w:tc>
        <w:tc>
          <w:tcPr>
            <w:tcW w:w="1408" w:type="dxa"/>
          </w:tcPr>
          <w:p w:rsidR="005B5A0C" w:rsidRPr="000A0A5F" w:rsidRDefault="005B5A0C" w:rsidP="00492243">
            <w:pPr>
              <w:pStyle w:val="TAL"/>
              <w:rPr>
                <w:rFonts w:cs="Arial"/>
                <w:szCs w:val="18"/>
              </w:rPr>
            </w:pPr>
          </w:p>
        </w:tc>
      </w:tr>
      <w:tr w:rsidR="005B5A0C" w:rsidRPr="000A0A5F" w:rsidTr="00492243">
        <w:trPr>
          <w:cantSplit/>
          <w:jc w:val="center"/>
        </w:trPr>
        <w:tc>
          <w:tcPr>
            <w:tcW w:w="1609" w:type="dxa"/>
          </w:tcPr>
          <w:p w:rsidR="005B5A0C" w:rsidRPr="000A0A5F" w:rsidRDefault="005B5A0C" w:rsidP="00492243">
            <w:pPr>
              <w:pStyle w:val="TAL"/>
            </w:pPr>
            <w:r w:rsidRPr="000A0A5F">
              <w:t>tsnQos</w:t>
            </w:r>
          </w:p>
        </w:tc>
        <w:tc>
          <w:tcPr>
            <w:tcW w:w="1800" w:type="dxa"/>
          </w:tcPr>
          <w:p w:rsidR="005B5A0C" w:rsidRPr="000A0A5F" w:rsidRDefault="005B5A0C" w:rsidP="00492243">
            <w:pPr>
              <w:pStyle w:val="TAL"/>
            </w:pPr>
            <w:r w:rsidRPr="000A0A5F">
              <w:t>TsnQoSContainer</w:t>
            </w:r>
          </w:p>
        </w:tc>
        <w:tc>
          <w:tcPr>
            <w:tcW w:w="1170" w:type="dxa"/>
          </w:tcPr>
          <w:p w:rsidR="005B5A0C" w:rsidRPr="000A0A5F" w:rsidRDefault="005B5A0C" w:rsidP="00492243">
            <w:pPr>
              <w:pStyle w:val="TAC"/>
            </w:pPr>
            <w:r w:rsidRPr="000A0A5F">
              <w:rPr>
                <w:lang w:eastAsia="zh-CN"/>
              </w:rPr>
              <w:t>0..1</w:t>
            </w:r>
          </w:p>
        </w:tc>
        <w:tc>
          <w:tcPr>
            <w:tcW w:w="3271" w:type="dxa"/>
          </w:tcPr>
          <w:p w:rsidR="005B5A0C" w:rsidRPr="000A0A5F" w:rsidRDefault="005B5A0C" w:rsidP="00492243">
            <w:pPr>
              <w:pStyle w:val="TAL"/>
              <w:rPr>
                <w:rFonts w:cs="Arial"/>
                <w:szCs w:val="18"/>
              </w:rPr>
            </w:pPr>
            <w:r w:rsidRPr="000A0A5F">
              <w:t>Transports QoS parameters for TSC traffic.</w:t>
            </w:r>
          </w:p>
        </w:tc>
        <w:tc>
          <w:tcPr>
            <w:tcW w:w="1408" w:type="dxa"/>
          </w:tcPr>
          <w:p w:rsidR="005B5A0C" w:rsidRPr="000A0A5F" w:rsidRDefault="005B5A0C" w:rsidP="00492243">
            <w:pPr>
              <w:pStyle w:val="TAL"/>
              <w:rPr>
                <w:rFonts w:cs="Arial"/>
                <w:szCs w:val="18"/>
              </w:rPr>
            </w:pPr>
          </w:p>
        </w:tc>
      </w:tr>
      <w:tr w:rsidR="005B5A0C" w:rsidRPr="000A0A5F" w:rsidTr="00492243">
        <w:trPr>
          <w:cantSplit/>
          <w:jc w:val="center"/>
        </w:trPr>
        <w:tc>
          <w:tcPr>
            <w:tcW w:w="1609" w:type="dxa"/>
          </w:tcPr>
          <w:p w:rsidR="005B5A0C" w:rsidRPr="000A0A5F" w:rsidRDefault="005B5A0C" w:rsidP="00492243">
            <w:pPr>
              <w:pStyle w:val="TAL"/>
            </w:pPr>
            <w:r w:rsidRPr="000A0A5F">
              <w:t>tscaiInputUl</w:t>
            </w:r>
          </w:p>
        </w:tc>
        <w:tc>
          <w:tcPr>
            <w:tcW w:w="1800" w:type="dxa"/>
          </w:tcPr>
          <w:p w:rsidR="005B5A0C" w:rsidRPr="000A0A5F" w:rsidRDefault="005B5A0C" w:rsidP="00492243">
            <w:pPr>
              <w:pStyle w:val="TAL"/>
            </w:pPr>
            <w:r w:rsidRPr="000A0A5F">
              <w:t>TscaiInputContainer</w:t>
            </w:r>
          </w:p>
        </w:tc>
        <w:tc>
          <w:tcPr>
            <w:tcW w:w="1170" w:type="dxa"/>
          </w:tcPr>
          <w:p w:rsidR="005B5A0C" w:rsidRPr="000A0A5F" w:rsidRDefault="005B5A0C" w:rsidP="00492243">
            <w:pPr>
              <w:pStyle w:val="TAC"/>
              <w:rPr>
                <w:lang w:eastAsia="zh-CN"/>
              </w:rPr>
            </w:pPr>
            <w:r w:rsidRPr="000A0A5F">
              <w:rPr>
                <w:lang w:eastAsia="zh-CN"/>
              </w:rPr>
              <w:t>0..1</w:t>
            </w:r>
          </w:p>
        </w:tc>
        <w:tc>
          <w:tcPr>
            <w:tcW w:w="3271" w:type="dxa"/>
          </w:tcPr>
          <w:p w:rsidR="005B5A0C" w:rsidRPr="000A0A5F" w:rsidRDefault="005B5A0C" w:rsidP="00492243">
            <w:pPr>
              <w:pStyle w:val="TAL"/>
            </w:pPr>
            <w:r w:rsidRPr="000A0A5F">
              <w:t>Transports TSCAI input parameters for TSC traffic</w:t>
            </w:r>
            <w:r w:rsidRPr="000A0A5F">
              <w:rPr>
                <w:rFonts w:cs="Arial"/>
                <w:szCs w:val="18"/>
              </w:rPr>
              <w:t xml:space="preserve"> at the ingress interface of the DS-TT/UE (uplink flow direction)</w:t>
            </w:r>
            <w:r w:rsidRPr="000A0A5F">
              <w:t xml:space="preserve">. </w:t>
            </w:r>
          </w:p>
        </w:tc>
        <w:tc>
          <w:tcPr>
            <w:tcW w:w="1408" w:type="dxa"/>
          </w:tcPr>
          <w:p w:rsidR="005B5A0C" w:rsidRPr="000A0A5F" w:rsidRDefault="005B5A0C" w:rsidP="00492243">
            <w:pPr>
              <w:pStyle w:val="TAL"/>
            </w:pPr>
          </w:p>
        </w:tc>
      </w:tr>
      <w:tr w:rsidR="005B5A0C" w:rsidRPr="000A0A5F" w:rsidTr="00492243">
        <w:trPr>
          <w:cantSplit/>
          <w:jc w:val="center"/>
        </w:trPr>
        <w:tc>
          <w:tcPr>
            <w:tcW w:w="1609" w:type="dxa"/>
          </w:tcPr>
          <w:p w:rsidR="005B5A0C" w:rsidRPr="000A0A5F" w:rsidRDefault="005B5A0C" w:rsidP="00492243">
            <w:pPr>
              <w:pStyle w:val="TAL"/>
            </w:pPr>
            <w:r w:rsidRPr="000A0A5F">
              <w:t>tscaiInputDl</w:t>
            </w:r>
          </w:p>
        </w:tc>
        <w:tc>
          <w:tcPr>
            <w:tcW w:w="1800" w:type="dxa"/>
          </w:tcPr>
          <w:p w:rsidR="005B5A0C" w:rsidRPr="000A0A5F" w:rsidRDefault="005B5A0C" w:rsidP="00492243">
            <w:pPr>
              <w:pStyle w:val="TAL"/>
            </w:pPr>
            <w:r w:rsidRPr="000A0A5F">
              <w:t>TscaiInputContainer</w:t>
            </w:r>
          </w:p>
        </w:tc>
        <w:tc>
          <w:tcPr>
            <w:tcW w:w="1170" w:type="dxa"/>
          </w:tcPr>
          <w:p w:rsidR="005B5A0C" w:rsidRPr="000A0A5F" w:rsidRDefault="005B5A0C" w:rsidP="00492243">
            <w:pPr>
              <w:pStyle w:val="TAC"/>
              <w:rPr>
                <w:lang w:eastAsia="zh-CN"/>
              </w:rPr>
            </w:pPr>
            <w:r w:rsidRPr="000A0A5F">
              <w:rPr>
                <w:lang w:eastAsia="zh-CN"/>
              </w:rPr>
              <w:t>0..1</w:t>
            </w:r>
          </w:p>
        </w:tc>
        <w:tc>
          <w:tcPr>
            <w:tcW w:w="3271" w:type="dxa"/>
          </w:tcPr>
          <w:p w:rsidR="005B5A0C" w:rsidRPr="000A0A5F" w:rsidRDefault="005B5A0C" w:rsidP="00492243">
            <w:pPr>
              <w:pStyle w:val="TAL"/>
            </w:pPr>
            <w:r w:rsidRPr="000A0A5F">
              <w:t>Transports TSCAI input parameters for TSC traffic</w:t>
            </w:r>
            <w:r w:rsidRPr="000A0A5F">
              <w:rPr>
                <w:rFonts w:cs="Arial"/>
                <w:szCs w:val="18"/>
              </w:rPr>
              <w:t xml:space="preserve"> at the ingress of the NW-TT (downlink flow direction)</w:t>
            </w:r>
            <w:r w:rsidRPr="000A0A5F">
              <w:t>.</w:t>
            </w:r>
          </w:p>
        </w:tc>
        <w:tc>
          <w:tcPr>
            <w:tcW w:w="1408" w:type="dxa"/>
          </w:tcPr>
          <w:p w:rsidR="005B5A0C" w:rsidRPr="000A0A5F" w:rsidRDefault="005B5A0C" w:rsidP="00492243">
            <w:pPr>
              <w:pStyle w:val="TAL"/>
            </w:pPr>
          </w:p>
        </w:tc>
      </w:tr>
      <w:tr w:rsidR="005B5A0C" w:rsidRPr="000A0A5F" w:rsidTr="00492243">
        <w:trPr>
          <w:cantSplit/>
          <w:jc w:val="center"/>
        </w:trPr>
        <w:tc>
          <w:tcPr>
            <w:tcW w:w="1609" w:type="dxa"/>
          </w:tcPr>
          <w:p w:rsidR="005B5A0C" w:rsidRPr="000A0A5F" w:rsidRDefault="005B5A0C" w:rsidP="00492243">
            <w:pPr>
              <w:pStyle w:val="TAL"/>
            </w:pPr>
            <w:r w:rsidRPr="000A0A5F">
              <w:rPr>
                <w:rFonts w:hint="eastAsia"/>
                <w:lang w:eastAsia="zh-CN"/>
              </w:rPr>
              <w:t>r</w:t>
            </w:r>
            <w:r w:rsidRPr="000A0A5F">
              <w:rPr>
                <w:lang w:eastAsia="zh-CN"/>
              </w:rPr>
              <w:t>TLatencyReq</w:t>
            </w:r>
          </w:p>
        </w:tc>
        <w:tc>
          <w:tcPr>
            <w:tcW w:w="1800" w:type="dxa"/>
          </w:tcPr>
          <w:p w:rsidR="005B5A0C" w:rsidRPr="000A0A5F" w:rsidRDefault="005B5A0C" w:rsidP="00492243">
            <w:pPr>
              <w:pStyle w:val="TAL"/>
              <w:rPr>
                <w:lang w:eastAsia="zh-CN"/>
              </w:rPr>
            </w:pPr>
            <w:r w:rsidRPr="000A0A5F">
              <w:rPr>
                <w:lang w:eastAsia="zh-CN"/>
              </w:rPr>
              <w:t>boolean</w:t>
            </w:r>
          </w:p>
        </w:tc>
        <w:tc>
          <w:tcPr>
            <w:tcW w:w="1170" w:type="dxa"/>
          </w:tcPr>
          <w:p w:rsidR="005B5A0C" w:rsidRPr="000A0A5F" w:rsidRDefault="005B5A0C" w:rsidP="00492243">
            <w:pPr>
              <w:pStyle w:val="TAC"/>
              <w:rPr>
                <w:lang w:eastAsia="zh-CN"/>
              </w:rPr>
            </w:pPr>
            <w:r w:rsidRPr="000A0A5F">
              <w:rPr>
                <w:lang w:eastAsia="zh-CN"/>
              </w:rPr>
              <w:t>0..1</w:t>
            </w:r>
          </w:p>
        </w:tc>
        <w:tc>
          <w:tcPr>
            <w:tcW w:w="3271" w:type="dxa"/>
          </w:tcPr>
          <w:p w:rsidR="005B5A0C" w:rsidRPr="000A0A5F" w:rsidRDefault="005B5A0C" w:rsidP="00492243">
            <w:pPr>
              <w:pStyle w:val="TAL"/>
            </w:pPr>
            <w:r w:rsidRPr="000A0A5F">
              <w:t>Indicates the service data flow needs to meet the Round-Trip (RT) latency requirement of the service, when it is included and set to "true".</w:t>
            </w:r>
          </w:p>
          <w:p w:rsidR="005B5A0C" w:rsidRPr="000A0A5F" w:rsidRDefault="005B5A0C" w:rsidP="00492243">
            <w:pPr>
              <w:pStyle w:val="TAL"/>
              <w:rPr>
                <w:lang w:eastAsia="zh-CN"/>
              </w:rPr>
            </w:pPr>
            <w:r w:rsidRPr="000A0A5F">
              <w:rPr>
                <w:rFonts w:cs="Arial"/>
                <w:szCs w:val="18"/>
                <w:lang w:eastAsia="zh-CN"/>
              </w:rPr>
              <w:t xml:space="preserve">The default value is </w:t>
            </w:r>
            <w:r w:rsidRPr="000A0A5F">
              <w:t>"</w:t>
            </w:r>
            <w:r w:rsidRPr="000A0A5F">
              <w:rPr>
                <w:rFonts w:cs="Arial"/>
                <w:szCs w:val="18"/>
                <w:lang w:eastAsia="zh-CN"/>
              </w:rPr>
              <w:t>false</w:t>
            </w:r>
            <w:r w:rsidRPr="000A0A5F">
              <w:t>"</w:t>
            </w:r>
            <w:r w:rsidRPr="000A0A5F">
              <w:rPr>
                <w:rFonts w:cs="Arial"/>
                <w:szCs w:val="18"/>
                <w:lang w:eastAsia="zh-CN"/>
              </w:rPr>
              <w:t xml:space="preserve"> if omitted.</w:t>
            </w:r>
          </w:p>
        </w:tc>
        <w:tc>
          <w:tcPr>
            <w:tcW w:w="1408" w:type="dxa"/>
          </w:tcPr>
          <w:p w:rsidR="005B5A0C" w:rsidRPr="000A0A5F" w:rsidRDefault="005B5A0C" w:rsidP="00492243">
            <w:pPr>
              <w:pStyle w:val="TAL"/>
              <w:rPr>
                <w:lang w:eastAsia="zh-CN"/>
              </w:rPr>
            </w:pPr>
          </w:p>
        </w:tc>
      </w:tr>
      <w:tr w:rsidR="005B5A0C" w:rsidRPr="000A0A5F" w:rsidTr="00492243">
        <w:trPr>
          <w:cantSplit/>
          <w:jc w:val="center"/>
        </w:trPr>
        <w:tc>
          <w:tcPr>
            <w:tcW w:w="1609" w:type="dxa"/>
          </w:tcPr>
          <w:p w:rsidR="005B5A0C" w:rsidRPr="000A0A5F" w:rsidRDefault="005B5A0C" w:rsidP="00492243">
            <w:pPr>
              <w:pStyle w:val="TAL"/>
              <w:rPr>
                <w:lang w:eastAsia="zh-CN"/>
              </w:rPr>
            </w:pPr>
            <w:r w:rsidRPr="000A0A5F">
              <w:rPr>
                <w:lang w:val="en-US" w:eastAsia="zh-CN"/>
              </w:rPr>
              <w:t>p</w:t>
            </w:r>
            <w:r w:rsidRPr="000A0A5F">
              <w:rPr>
                <w:rFonts w:hint="eastAsia"/>
                <w:lang w:val="en-US" w:eastAsia="zh-CN"/>
              </w:rPr>
              <w:t>duSet</w:t>
            </w:r>
            <w:r w:rsidRPr="000A0A5F">
              <w:t>Qo</w:t>
            </w:r>
            <w:r w:rsidRPr="000A0A5F">
              <w:rPr>
                <w:rFonts w:hint="eastAsia"/>
                <w:lang w:val="en-US" w:eastAsia="zh-CN"/>
              </w:rPr>
              <w:t>s</w:t>
            </w:r>
          </w:p>
        </w:tc>
        <w:tc>
          <w:tcPr>
            <w:tcW w:w="1800" w:type="dxa"/>
          </w:tcPr>
          <w:p w:rsidR="005B5A0C" w:rsidRPr="000A0A5F" w:rsidRDefault="005B5A0C" w:rsidP="00492243">
            <w:pPr>
              <w:pStyle w:val="TAL"/>
              <w:rPr>
                <w:lang w:eastAsia="zh-CN"/>
              </w:rPr>
            </w:pPr>
            <w:r w:rsidRPr="000A0A5F">
              <w:rPr>
                <w:rFonts w:hint="eastAsia"/>
                <w:lang w:eastAsia="zh-CN"/>
              </w:rPr>
              <w:t>P</w:t>
            </w:r>
            <w:r w:rsidRPr="000A0A5F">
              <w:rPr>
                <w:lang w:eastAsia="zh-CN"/>
              </w:rPr>
              <w:t>duSetQosPara</w:t>
            </w:r>
          </w:p>
        </w:tc>
        <w:tc>
          <w:tcPr>
            <w:tcW w:w="1170" w:type="dxa"/>
          </w:tcPr>
          <w:p w:rsidR="005B5A0C" w:rsidRPr="000A0A5F" w:rsidRDefault="005B5A0C" w:rsidP="00492243">
            <w:pPr>
              <w:pStyle w:val="TAC"/>
              <w:rPr>
                <w:lang w:eastAsia="zh-CN"/>
              </w:rPr>
            </w:pPr>
            <w:r w:rsidRPr="000A0A5F">
              <w:rPr>
                <w:lang w:eastAsia="zh-CN"/>
              </w:rPr>
              <w:t>0..1</w:t>
            </w:r>
          </w:p>
        </w:tc>
        <w:tc>
          <w:tcPr>
            <w:tcW w:w="3271" w:type="dxa"/>
          </w:tcPr>
          <w:p w:rsidR="005B5A0C" w:rsidRPr="000A0A5F" w:rsidRDefault="005B5A0C" w:rsidP="00492243">
            <w:pPr>
              <w:pStyle w:val="TAL"/>
            </w:pPr>
            <w:r w:rsidRPr="000A0A5F">
              <w:t>PDU Set QoS parameters for XRM traffic.</w:t>
            </w:r>
          </w:p>
        </w:tc>
        <w:tc>
          <w:tcPr>
            <w:tcW w:w="1408" w:type="dxa"/>
          </w:tcPr>
          <w:p w:rsidR="005B5A0C" w:rsidRPr="000A0A5F" w:rsidRDefault="005B5A0C" w:rsidP="00492243">
            <w:pPr>
              <w:pStyle w:val="TAL"/>
              <w:rPr>
                <w:lang w:eastAsia="zh-CN"/>
              </w:rPr>
            </w:pPr>
          </w:p>
        </w:tc>
      </w:tr>
      <w:tr w:rsidR="00DE6211" w:rsidRPr="000A0A5F" w:rsidTr="00492243">
        <w:trPr>
          <w:cantSplit/>
          <w:jc w:val="center"/>
        </w:trPr>
        <w:tc>
          <w:tcPr>
            <w:tcW w:w="1609" w:type="dxa"/>
          </w:tcPr>
          <w:p w:rsidR="00DE6211" w:rsidRPr="006A2752" w:rsidRDefault="00DE6211" w:rsidP="00DE6211">
            <w:pPr>
              <w:pStyle w:val="TAL"/>
              <w:rPr>
                <w:color w:val="000000"/>
                <w:lang w:val="en-US" w:eastAsia="zh-CN"/>
              </w:rPr>
            </w:pPr>
            <w:r w:rsidRPr="006A2752">
              <w:rPr>
                <w:color w:val="000000"/>
              </w:rPr>
              <w:t>evSubsc</w:t>
            </w:r>
          </w:p>
        </w:tc>
        <w:tc>
          <w:tcPr>
            <w:tcW w:w="1800" w:type="dxa"/>
          </w:tcPr>
          <w:p w:rsidR="00DE6211" w:rsidRPr="006A2752" w:rsidRDefault="00DE6211" w:rsidP="00DE6211">
            <w:pPr>
              <w:pStyle w:val="TAL"/>
              <w:rPr>
                <w:color w:val="000000"/>
                <w:lang w:eastAsia="zh-CN"/>
              </w:rPr>
            </w:pPr>
            <w:r w:rsidRPr="006A2752">
              <w:rPr>
                <w:color w:val="000000"/>
              </w:rPr>
              <w:t>EventsSubscReqData</w:t>
            </w:r>
          </w:p>
        </w:tc>
        <w:tc>
          <w:tcPr>
            <w:tcW w:w="1170" w:type="dxa"/>
          </w:tcPr>
          <w:p w:rsidR="00DE6211" w:rsidRPr="006A2752" w:rsidRDefault="00DE6211" w:rsidP="00DE6211">
            <w:pPr>
              <w:pStyle w:val="TAC"/>
              <w:rPr>
                <w:color w:val="000000"/>
                <w:lang w:eastAsia="zh-CN"/>
              </w:rPr>
            </w:pPr>
            <w:r w:rsidRPr="006A2752">
              <w:rPr>
                <w:color w:val="000000"/>
              </w:rPr>
              <w:t>0..1</w:t>
            </w:r>
          </w:p>
        </w:tc>
        <w:tc>
          <w:tcPr>
            <w:tcW w:w="3271" w:type="dxa"/>
          </w:tcPr>
          <w:p w:rsidR="00DE6211" w:rsidRPr="006A2752" w:rsidRDefault="00DE6211" w:rsidP="00DE6211">
            <w:pPr>
              <w:pStyle w:val="TAL"/>
              <w:rPr>
                <w:color w:val="000000"/>
                <w:lang w:val="en-US" w:eastAsia="zh-CN"/>
              </w:rPr>
            </w:pPr>
            <w:r w:rsidRPr="006A2752">
              <w:rPr>
                <w:rFonts w:cs="Arial"/>
                <w:color w:val="000000"/>
                <w:szCs w:val="18"/>
              </w:rPr>
              <w:t>Identifies the events the application subscribes to at creation of a media component.</w:t>
            </w:r>
            <w:r w:rsidRPr="006A2752">
              <w:rPr>
                <w:rFonts w:cs="Arial" w:hint="eastAsia"/>
                <w:color w:val="000000"/>
                <w:szCs w:val="18"/>
                <w:lang w:val="en-US" w:eastAsia="zh-CN"/>
              </w:rPr>
              <w:t xml:space="preserve"> (NOTE)</w:t>
            </w:r>
          </w:p>
        </w:tc>
        <w:tc>
          <w:tcPr>
            <w:tcW w:w="1408" w:type="dxa"/>
          </w:tcPr>
          <w:p w:rsidR="00DE6211" w:rsidRPr="006A2752" w:rsidRDefault="00DE6211" w:rsidP="00DE6211">
            <w:pPr>
              <w:pStyle w:val="TAL"/>
              <w:rPr>
                <w:color w:val="000000"/>
                <w:lang w:eastAsia="zh-CN"/>
              </w:rPr>
            </w:pPr>
            <w:r w:rsidRPr="006A2752">
              <w:rPr>
                <w:rFonts w:hint="eastAsia"/>
                <w:color w:val="000000"/>
              </w:rPr>
              <w:t>EnQoSMon</w:t>
            </w:r>
          </w:p>
        </w:tc>
      </w:tr>
      <w:tr w:rsidR="00DE6211" w:rsidRPr="000A0A5F" w:rsidTr="00A66DE6">
        <w:trPr>
          <w:cantSplit/>
          <w:jc w:val="center"/>
        </w:trPr>
        <w:tc>
          <w:tcPr>
            <w:tcW w:w="9258" w:type="dxa"/>
            <w:gridSpan w:val="5"/>
          </w:tcPr>
          <w:p w:rsidR="00DE6211" w:rsidRPr="006A2752" w:rsidRDefault="00DE6211" w:rsidP="00DE6211">
            <w:pPr>
              <w:pStyle w:val="TAN"/>
              <w:rPr>
                <w:color w:val="000000"/>
                <w:lang w:val="en-US" w:eastAsia="zh-CN"/>
              </w:rPr>
            </w:pPr>
            <w:r w:rsidRPr="000A0A5F">
              <w:t>NOTE:</w:t>
            </w:r>
            <w:r w:rsidRPr="000A0A5F">
              <w:tab/>
            </w:r>
            <w:r w:rsidRPr="000A0A5F">
              <w:rPr>
                <w:rFonts w:hint="eastAsia"/>
                <w:lang w:eastAsia="zh-CN"/>
              </w:rPr>
              <w:t xml:space="preserve">If attribute "evSubsc" is present, </w:t>
            </w:r>
            <w:r w:rsidRPr="000A0A5F">
              <w:rPr>
                <w:rFonts w:hint="eastAsia"/>
                <w:lang w:val="en-US" w:eastAsia="zh-CN"/>
              </w:rPr>
              <w:t xml:space="preserve">one or more of the following IEs </w:t>
            </w:r>
            <w:r w:rsidRPr="000A0A5F">
              <w:rPr>
                <w:lang w:eastAsia="zh-CN"/>
              </w:rPr>
              <w:t>may</w:t>
            </w:r>
            <w:r w:rsidRPr="000A0A5F">
              <w:rPr>
                <w:rFonts w:hint="eastAsia"/>
                <w:lang w:eastAsia="zh-CN"/>
              </w:rPr>
              <w:t xml:space="preserve"> be </w:t>
            </w:r>
            <w:r w:rsidRPr="000A0A5F">
              <w:rPr>
                <w:rFonts w:hint="eastAsia"/>
                <w:lang w:val="en-US" w:eastAsia="zh-CN"/>
              </w:rPr>
              <w:t>included</w:t>
            </w:r>
            <w:r w:rsidRPr="000A0A5F">
              <w:rPr>
                <w:rFonts w:hint="eastAsia"/>
                <w:lang w:eastAsia="zh-CN"/>
              </w:rPr>
              <w:t>: "ev</w:t>
            </w:r>
            <w:r w:rsidRPr="000A0A5F">
              <w:rPr>
                <w:rFonts w:hint="eastAsia"/>
                <w:lang w:val="en-US" w:eastAsia="zh-CN"/>
              </w:rPr>
              <w:t>ents</w:t>
            </w:r>
            <w:r w:rsidRPr="000A0A5F">
              <w:rPr>
                <w:rFonts w:hint="eastAsia"/>
                <w:lang w:eastAsia="zh-CN"/>
              </w:rPr>
              <w:t>"</w:t>
            </w:r>
            <w:r w:rsidRPr="000A0A5F">
              <w:rPr>
                <w:rFonts w:hint="eastAsia"/>
                <w:lang w:val="en-US" w:eastAsia="zh-CN"/>
              </w:rPr>
              <w:t xml:space="preserve">, </w:t>
            </w:r>
            <w:r w:rsidRPr="000A0A5F">
              <w:rPr>
                <w:rFonts w:hint="eastAsia"/>
                <w:lang w:eastAsia="zh-CN"/>
              </w:rPr>
              <w:t>"</w:t>
            </w:r>
            <w:r w:rsidRPr="000A0A5F">
              <w:t>notifUri</w:t>
            </w:r>
            <w:r w:rsidRPr="000A0A5F">
              <w:rPr>
                <w:rFonts w:hint="eastAsia"/>
                <w:lang w:eastAsia="zh-CN"/>
              </w:rPr>
              <w:t>"</w:t>
            </w:r>
            <w:r w:rsidRPr="000A0A5F">
              <w:rPr>
                <w:rFonts w:hint="eastAsia"/>
                <w:lang w:val="en-US" w:eastAsia="zh-CN"/>
              </w:rPr>
              <w:t xml:space="preserve">, </w:t>
            </w:r>
            <w:r w:rsidRPr="000A0A5F">
              <w:rPr>
                <w:rFonts w:hint="eastAsia"/>
                <w:lang w:eastAsia="zh-CN"/>
              </w:rPr>
              <w:t>"</w:t>
            </w:r>
            <w:r w:rsidRPr="000A0A5F">
              <w:rPr>
                <w:lang w:eastAsia="zh-CN"/>
              </w:rPr>
              <w:t>reqQosMonParams</w:t>
            </w:r>
            <w:r w:rsidRPr="000A0A5F">
              <w:rPr>
                <w:rFonts w:hint="eastAsia"/>
                <w:lang w:eastAsia="zh-CN"/>
              </w:rPr>
              <w:t>"</w:t>
            </w:r>
            <w:r w:rsidRPr="000A0A5F">
              <w:rPr>
                <w:rFonts w:hint="eastAsia"/>
                <w:lang w:val="en-US" w:eastAsia="zh-CN"/>
              </w:rPr>
              <w:t xml:space="preserve">, </w:t>
            </w:r>
            <w:r w:rsidRPr="000A0A5F">
              <w:rPr>
                <w:rFonts w:hint="eastAsia"/>
                <w:lang w:eastAsia="zh-CN"/>
              </w:rPr>
              <w:t>"</w:t>
            </w:r>
            <w:r w:rsidRPr="000A0A5F">
              <w:t>qosMon</w:t>
            </w:r>
            <w:r w:rsidRPr="000A0A5F">
              <w:rPr>
                <w:rFonts w:hint="eastAsia"/>
                <w:lang w:eastAsia="zh-CN"/>
              </w:rPr>
              <w:t>"</w:t>
            </w:r>
            <w:r w:rsidRPr="000A0A5F">
              <w:rPr>
                <w:rFonts w:hint="eastAsia"/>
                <w:lang w:val="en-US" w:eastAsia="zh-CN"/>
              </w:rPr>
              <w:t xml:space="preserve">, </w:t>
            </w:r>
            <w:r w:rsidRPr="000A0A5F">
              <w:rPr>
                <w:rFonts w:hint="eastAsia"/>
                <w:lang w:eastAsia="zh-CN"/>
              </w:rPr>
              <w:t>"</w:t>
            </w:r>
            <w:r w:rsidRPr="000A0A5F">
              <w:t>qosMonDatRate</w:t>
            </w:r>
            <w:r w:rsidRPr="000A0A5F">
              <w:rPr>
                <w:rFonts w:hint="eastAsia"/>
                <w:lang w:eastAsia="zh-CN"/>
              </w:rPr>
              <w:t>"</w:t>
            </w:r>
            <w:r w:rsidRPr="000A0A5F">
              <w:rPr>
                <w:rFonts w:hint="eastAsia"/>
                <w:lang w:val="en-US" w:eastAsia="zh-CN"/>
              </w:rPr>
              <w:t xml:space="preserve">, </w:t>
            </w:r>
            <w:r w:rsidRPr="000A0A5F">
              <w:rPr>
                <w:rFonts w:hint="eastAsia"/>
                <w:lang w:eastAsia="zh-CN"/>
              </w:rPr>
              <w:t>"</w:t>
            </w:r>
            <w:r w:rsidRPr="000A0A5F">
              <w:t>pdvReqMonParams</w:t>
            </w:r>
            <w:r w:rsidRPr="000A0A5F">
              <w:rPr>
                <w:rFonts w:hint="eastAsia"/>
                <w:lang w:eastAsia="zh-CN"/>
              </w:rPr>
              <w:t>"</w:t>
            </w:r>
            <w:r w:rsidRPr="000A0A5F">
              <w:rPr>
                <w:rFonts w:hint="eastAsia"/>
                <w:lang w:val="en-US" w:eastAsia="zh-CN"/>
              </w:rPr>
              <w:t xml:space="preserve">, </w:t>
            </w:r>
            <w:r w:rsidRPr="000A0A5F">
              <w:rPr>
                <w:rFonts w:hint="eastAsia"/>
                <w:lang w:eastAsia="zh-CN"/>
              </w:rPr>
              <w:t>"p</w:t>
            </w:r>
            <w:r w:rsidRPr="000A0A5F">
              <w:rPr>
                <w:lang w:eastAsia="zh-CN"/>
              </w:rPr>
              <w:t>dvMon</w:t>
            </w:r>
            <w:r w:rsidRPr="000A0A5F">
              <w:rPr>
                <w:rFonts w:hint="eastAsia"/>
                <w:lang w:eastAsia="zh-CN"/>
              </w:rPr>
              <w:t>"</w:t>
            </w:r>
            <w:r w:rsidRPr="000A0A5F">
              <w:rPr>
                <w:rFonts w:hint="eastAsia"/>
                <w:lang w:val="en-US" w:eastAsia="zh-CN"/>
              </w:rPr>
              <w:t xml:space="preserve">, </w:t>
            </w:r>
            <w:r w:rsidRPr="000A0A5F">
              <w:rPr>
                <w:rFonts w:hint="eastAsia"/>
                <w:lang w:eastAsia="zh-CN"/>
              </w:rPr>
              <w:t>"</w:t>
            </w:r>
            <w:r w:rsidRPr="000A0A5F">
              <w:rPr>
                <w:lang w:eastAsia="zh-CN"/>
              </w:rPr>
              <w:t>congestMon</w:t>
            </w:r>
            <w:r w:rsidRPr="000A0A5F">
              <w:rPr>
                <w:rFonts w:hint="eastAsia"/>
                <w:lang w:eastAsia="zh-CN"/>
              </w:rPr>
              <w:t>"</w:t>
            </w:r>
            <w:r w:rsidRPr="000A0A5F">
              <w:rPr>
                <w:rFonts w:hint="eastAsia"/>
                <w:lang w:val="en-US" w:eastAsia="zh-CN"/>
              </w:rPr>
              <w:t xml:space="preserve">, </w:t>
            </w:r>
            <w:r w:rsidRPr="000A0A5F">
              <w:rPr>
                <w:rFonts w:hint="eastAsia"/>
                <w:lang w:eastAsia="zh-CN"/>
              </w:rPr>
              <w:t>"</w:t>
            </w:r>
            <w:r w:rsidRPr="000A0A5F">
              <w:rPr>
                <w:lang w:eastAsia="zh-CN"/>
              </w:rPr>
              <w:t>notifCorreId</w:t>
            </w:r>
            <w:r w:rsidRPr="000A0A5F">
              <w:rPr>
                <w:rFonts w:hint="eastAsia"/>
                <w:lang w:eastAsia="zh-CN"/>
              </w:rPr>
              <w:t>"</w:t>
            </w:r>
            <w:r w:rsidRPr="000A0A5F">
              <w:rPr>
                <w:rFonts w:hint="eastAsia"/>
                <w:lang w:val="en-US" w:eastAsia="zh-CN"/>
              </w:rPr>
              <w:t xml:space="preserve">, </w:t>
            </w:r>
            <w:r w:rsidRPr="000A0A5F">
              <w:rPr>
                <w:rFonts w:hint="eastAsia"/>
                <w:lang w:eastAsia="zh-CN"/>
              </w:rPr>
              <w:t>"</w:t>
            </w:r>
            <w:r w:rsidRPr="000A0A5F">
              <w:rPr>
                <w:lang w:eastAsia="zh-CN"/>
              </w:rPr>
              <w:t>afAppIds</w:t>
            </w:r>
            <w:r w:rsidRPr="000A0A5F">
              <w:rPr>
                <w:rFonts w:hint="eastAsia"/>
                <w:lang w:eastAsia="zh-CN"/>
              </w:rPr>
              <w:t>"</w:t>
            </w:r>
            <w:r w:rsidRPr="000A0A5F">
              <w:rPr>
                <w:rFonts w:hint="eastAsia"/>
                <w:lang w:val="en-US" w:eastAsia="zh-CN"/>
              </w:rPr>
              <w:t xml:space="preserve">, </w:t>
            </w:r>
            <w:r w:rsidRPr="000A0A5F">
              <w:rPr>
                <w:rFonts w:hint="eastAsia"/>
                <w:lang w:eastAsia="zh-CN"/>
              </w:rPr>
              <w:t>"</w:t>
            </w:r>
            <w:r w:rsidRPr="000A0A5F">
              <w:rPr>
                <w:lang w:eastAsia="zh-CN"/>
              </w:rPr>
              <w:t>directNotifInd</w:t>
            </w:r>
            <w:r w:rsidRPr="000A0A5F">
              <w:rPr>
                <w:rFonts w:hint="eastAsia"/>
                <w:lang w:eastAsia="zh-CN"/>
              </w:rPr>
              <w:t>"</w:t>
            </w:r>
            <w:r w:rsidRPr="000A0A5F">
              <w:rPr>
                <w:rFonts w:hint="eastAsia"/>
                <w:lang w:val="en-US" w:eastAsia="zh-CN"/>
              </w:rPr>
              <w:t xml:space="preserve">, </w:t>
            </w:r>
            <w:r w:rsidRPr="000A0A5F">
              <w:rPr>
                <w:rFonts w:hint="eastAsia"/>
                <w:lang w:eastAsia="zh-CN"/>
              </w:rPr>
              <w:t>"</w:t>
            </w:r>
            <w:r w:rsidRPr="000A0A5F">
              <w:rPr>
                <w:lang w:eastAsia="zh-CN"/>
              </w:rPr>
              <w:t>avrgWndw</w:t>
            </w:r>
            <w:r w:rsidRPr="000A0A5F">
              <w:rPr>
                <w:rFonts w:hint="eastAsia"/>
                <w:lang w:eastAsia="zh-CN"/>
              </w:rPr>
              <w:t>"</w:t>
            </w:r>
            <w:r w:rsidRPr="000A0A5F">
              <w:rPr>
                <w:rFonts w:hint="eastAsia"/>
                <w:lang w:val="en-US" w:eastAsia="zh-CN"/>
              </w:rPr>
              <w:t xml:space="preserve">. In addition, when present the attribute </w:t>
            </w:r>
            <w:r w:rsidRPr="000A0A5F">
              <w:rPr>
                <w:rFonts w:hint="eastAsia"/>
                <w:lang w:eastAsia="zh-CN"/>
              </w:rPr>
              <w:t>"ev</w:t>
            </w:r>
            <w:r w:rsidRPr="000A0A5F">
              <w:rPr>
                <w:rFonts w:hint="eastAsia"/>
                <w:lang w:val="en-US" w:eastAsia="zh-CN"/>
              </w:rPr>
              <w:t>ents</w:t>
            </w:r>
            <w:r w:rsidRPr="000A0A5F">
              <w:rPr>
                <w:rFonts w:hint="eastAsia"/>
                <w:lang w:eastAsia="zh-CN"/>
              </w:rPr>
              <w:t>"</w:t>
            </w:r>
            <w:r w:rsidRPr="000A0A5F">
              <w:rPr>
                <w:rFonts w:hint="eastAsia"/>
                <w:lang w:val="en-US" w:eastAsia="zh-CN"/>
              </w:rPr>
              <w:t xml:space="preserve">, one or more of the following </w:t>
            </w:r>
            <w:r w:rsidRPr="000A0A5F">
              <w:t>Enumeration</w:t>
            </w:r>
            <w:r w:rsidRPr="000A0A5F">
              <w:rPr>
                <w:rFonts w:hint="eastAsia"/>
                <w:lang w:val="en-US" w:eastAsia="zh-CN"/>
              </w:rPr>
              <w:t xml:space="preserve"> </w:t>
            </w:r>
            <w:r w:rsidRPr="000A0A5F">
              <w:rPr>
                <w:rFonts w:hint="eastAsia"/>
                <w:lang w:eastAsia="zh-CN"/>
              </w:rPr>
              <w:t>"</w:t>
            </w:r>
            <w:r w:rsidRPr="000A0A5F">
              <w:t>AfEvent</w:t>
            </w:r>
            <w:r w:rsidRPr="000A0A5F">
              <w:rPr>
                <w:rFonts w:hint="eastAsia"/>
                <w:lang w:eastAsia="zh-CN"/>
              </w:rPr>
              <w:t>"</w:t>
            </w:r>
            <w:r w:rsidRPr="000A0A5F">
              <w:rPr>
                <w:rFonts w:hint="eastAsia"/>
                <w:lang w:val="en-US" w:eastAsia="zh-CN"/>
              </w:rPr>
              <w:t xml:space="preserve"> </w:t>
            </w:r>
            <w:r w:rsidRPr="000A0A5F">
              <w:rPr>
                <w:lang w:val="en-US" w:eastAsia="zh-CN"/>
              </w:rPr>
              <w:t>may</w:t>
            </w:r>
            <w:r w:rsidRPr="000A0A5F">
              <w:rPr>
                <w:rFonts w:hint="eastAsia"/>
                <w:lang w:val="en-US" w:eastAsia="zh-CN"/>
              </w:rPr>
              <w:t xml:space="preserve"> be included: </w:t>
            </w:r>
            <w:r w:rsidRPr="000A0A5F">
              <w:rPr>
                <w:rFonts w:hint="eastAsia"/>
                <w:lang w:eastAsia="zh-CN"/>
              </w:rPr>
              <w:t>"</w:t>
            </w:r>
            <w:r w:rsidRPr="000A0A5F">
              <w:t>QOS_MONITORING</w:t>
            </w:r>
            <w:r w:rsidRPr="000A0A5F">
              <w:rPr>
                <w:rFonts w:hint="eastAsia"/>
                <w:lang w:eastAsia="zh-CN"/>
              </w:rPr>
              <w:t>"</w:t>
            </w:r>
            <w:r w:rsidRPr="000A0A5F">
              <w:rPr>
                <w:rFonts w:hint="eastAsia"/>
                <w:lang w:val="en-US" w:eastAsia="zh-CN"/>
              </w:rPr>
              <w:t xml:space="preserve">, </w:t>
            </w:r>
            <w:r w:rsidRPr="000A0A5F">
              <w:rPr>
                <w:rFonts w:hint="eastAsia"/>
                <w:lang w:eastAsia="zh-CN"/>
              </w:rPr>
              <w:t>"</w:t>
            </w:r>
            <w:r w:rsidRPr="000A0A5F">
              <w:t>PACK_DEL_VAR</w:t>
            </w:r>
            <w:r w:rsidRPr="000A0A5F">
              <w:rPr>
                <w:rFonts w:hint="eastAsia"/>
                <w:lang w:eastAsia="zh-CN"/>
              </w:rPr>
              <w:t>"</w:t>
            </w:r>
            <w:r w:rsidRPr="000A0A5F">
              <w:rPr>
                <w:rFonts w:hint="eastAsia"/>
                <w:lang w:val="en-US" w:eastAsia="zh-CN"/>
              </w:rPr>
              <w:t xml:space="preserve">, </w:t>
            </w:r>
            <w:r w:rsidRPr="000A0A5F">
              <w:rPr>
                <w:rFonts w:hint="eastAsia"/>
                <w:lang w:eastAsia="zh-CN"/>
              </w:rPr>
              <w:t>"</w:t>
            </w:r>
            <w:r w:rsidRPr="000A0A5F">
              <w:t>RT_DELAY_TWO_QOS_FLOWS</w:t>
            </w:r>
            <w:r w:rsidRPr="000A0A5F">
              <w:rPr>
                <w:rFonts w:hint="eastAsia"/>
                <w:lang w:eastAsia="zh-CN"/>
              </w:rPr>
              <w:t>"</w:t>
            </w:r>
            <w:r w:rsidRPr="000A0A5F">
              <w:rPr>
                <w:rFonts w:hint="eastAsia"/>
                <w:lang w:val="en-US" w:eastAsia="zh-CN"/>
              </w:rPr>
              <w:t>.</w:t>
            </w:r>
          </w:p>
        </w:tc>
      </w:tr>
    </w:tbl>
    <w:p w:rsidR="005B5A0C" w:rsidRPr="000A0A5F" w:rsidRDefault="005B5A0C" w:rsidP="005B5A0C"/>
    <w:p w:rsidR="005B5A0C" w:rsidRPr="000A0A5F" w:rsidRDefault="005B5A0C" w:rsidP="005B5A0C">
      <w:pPr>
        <w:pStyle w:val="EditorsNote"/>
      </w:pPr>
      <w:r w:rsidRPr="000A0A5F">
        <w:t>Editor’s Note: the list of IEs of a AsSessionMediaComponent to complete the QoS parameters developed for the MediaComponent data defined in TS 29.514 and applicable to external AFs is FFS.</w:t>
      </w:r>
    </w:p>
    <w:p w:rsidR="00DE6211" w:rsidRPr="000A0A5F" w:rsidRDefault="00DE6211" w:rsidP="00DE6211">
      <w:pPr>
        <w:pStyle w:val="EditorsNote"/>
      </w:pPr>
      <w:r w:rsidRPr="000A0A5F">
        <w:t xml:space="preserve">Editor’s </w:t>
      </w:r>
      <w:r w:rsidR="004820DC">
        <w:t>N</w:t>
      </w:r>
      <w:r w:rsidRPr="000A0A5F">
        <w:t>ote: It is FFS whether the notifUri and notifCorreId attributes may be required for the evSubsc attribute.</w:t>
      </w:r>
    </w:p>
    <w:p w:rsidR="005B5A0C" w:rsidRPr="000A0A5F" w:rsidRDefault="005B5A0C" w:rsidP="005B5A0C"/>
    <w:p w:rsidR="00305B31" w:rsidRPr="000A0A5F" w:rsidRDefault="00305B31" w:rsidP="00305B31">
      <w:pPr>
        <w:pStyle w:val="Heading5"/>
      </w:pPr>
      <w:bookmarkStart w:id="9203" w:name="_Toc153625876"/>
      <w:r w:rsidRPr="000A0A5F">
        <w:t>5.14.2.1.14</w:t>
      </w:r>
      <w:r w:rsidRPr="000A0A5F">
        <w:tab/>
        <w:t>Type AsSessionMediaComponentRm</w:t>
      </w:r>
      <w:bookmarkEnd w:id="9203"/>
    </w:p>
    <w:p w:rsidR="00305B31" w:rsidRPr="000A0A5F" w:rsidRDefault="00305B31" w:rsidP="00305B31">
      <w:r w:rsidRPr="000A0A5F">
        <w:t>This type represents the AsSessionMediaComponent with the "nullable: true" property. It shall comply with the provisions defined in table 5.14.2.1.14-1</w:t>
      </w:r>
    </w:p>
    <w:p w:rsidR="00305B31" w:rsidRPr="000A0A5F" w:rsidRDefault="00305B31" w:rsidP="00305B31">
      <w:pPr>
        <w:pStyle w:val="TH"/>
      </w:pPr>
      <w:r w:rsidRPr="000A0A5F">
        <w:rPr>
          <w:noProof/>
        </w:rPr>
        <w:t>Table </w:t>
      </w:r>
      <w:r w:rsidRPr="000A0A5F">
        <w:t xml:space="preserve">5.14.2.1.14-1: </w:t>
      </w:r>
      <w:r w:rsidRPr="000A0A5F">
        <w:rPr>
          <w:noProof/>
        </w:rPr>
        <w:t xml:space="preserve">Definition of type </w:t>
      </w:r>
      <w:r w:rsidRPr="000A0A5F">
        <w:t>AsSessionMediaComponentRm</w:t>
      </w:r>
    </w:p>
    <w:tbl>
      <w:tblPr>
        <w:tblW w:w="925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09"/>
        <w:gridCol w:w="1800"/>
        <w:gridCol w:w="1170"/>
        <w:gridCol w:w="3271"/>
        <w:gridCol w:w="1408"/>
      </w:tblGrid>
      <w:tr w:rsidR="00305B31" w:rsidRPr="000A0A5F" w:rsidTr="00492243">
        <w:trPr>
          <w:cantSplit/>
          <w:tblHeader/>
          <w:jc w:val="center"/>
        </w:trPr>
        <w:tc>
          <w:tcPr>
            <w:tcW w:w="1609" w:type="dxa"/>
            <w:shd w:val="clear" w:color="auto" w:fill="C0C0C0"/>
            <w:hideMark/>
          </w:tcPr>
          <w:p w:rsidR="00305B31" w:rsidRPr="000A0A5F" w:rsidRDefault="00305B31" w:rsidP="00492243">
            <w:pPr>
              <w:pStyle w:val="TAH"/>
            </w:pPr>
            <w:r w:rsidRPr="000A0A5F">
              <w:t>Attribute name</w:t>
            </w:r>
          </w:p>
        </w:tc>
        <w:tc>
          <w:tcPr>
            <w:tcW w:w="1800" w:type="dxa"/>
            <w:shd w:val="clear" w:color="auto" w:fill="C0C0C0"/>
            <w:hideMark/>
          </w:tcPr>
          <w:p w:rsidR="00305B31" w:rsidRPr="000A0A5F" w:rsidRDefault="00305B31" w:rsidP="00492243">
            <w:pPr>
              <w:pStyle w:val="TAH"/>
            </w:pPr>
            <w:r w:rsidRPr="000A0A5F">
              <w:t>Data type</w:t>
            </w:r>
          </w:p>
        </w:tc>
        <w:tc>
          <w:tcPr>
            <w:tcW w:w="1170" w:type="dxa"/>
            <w:shd w:val="clear" w:color="auto" w:fill="C0C0C0"/>
            <w:hideMark/>
          </w:tcPr>
          <w:p w:rsidR="00305B31" w:rsidRPr="000A0A5F" w:rsidRDefault="00305B31" w:rsidP="00492243">
            <w:pPr>
              <w:pStyle w:val="TAH"/>
            </w:pPr>
            <w:r w:rsidRPr="000A0A5F">
              <w:t>Cardinality</w:t>
            </w:r>
          </w:p>
        </w:tc>
        <w:tc>
          <w:tcPr>
            <w:tcW w:w="3271" w:type="dxa"/>
            <w:shd w:val="clear" w:color="auto" w:fill="C0C0C0"/>
            <w:hideMark/>
          </w:tcPr>
          <w:p w:rsidR="00305B31" w:rsidRPr="000A0A5F" w:rsidRDefault="00305B31" w:rsidP="00492243">
            <w:pPr>
              <w:pStyle w:val="TAH"/>
            </w:pPr>
            <w:r w:rsidRPr="000A0A5F">
              <w:t>Description</w:t>
            </w:r>
          </w:p>
        </w:tc>
        <w:tc>
          <w:tcPr>
            <w:tcW w:w="1408" w:type="dxa"/>
            <w:shd w:val="clear" w:color="auto" w:fill="C0C0C0"/>
          </w:tcPr>
          <w:p w:rsidR="00305B31" w:rsidRPr="000A0A5F" w:rsidRDefault="00305B31" w:rsidP="00492243">
            <w:pPr>
              <w:pStyle w:val="TAH"/>
            </w:pPr>
            <w:r w:rsidRPr="000A0A5F">
              <w:t>Applicability</w:t>
            </w:r>
          </w:p>
        </w:tc>
      </w:tr>
      <w:tr w:rsidR="00305B31" w:rsidRPr="000A0A5F" w:rsidTr="00492243">
        <w:trPr>
          <w:cantSplit/>
          <w:jc w:val="center"/>
        </w:trPr>
        <w:tc>
          <w:tcPr>
            <w:tcW w:w="1609" w:type="dxa"/>
          </w:tcPr>
          <w:p w:rsidR="00305B31" w:rsidRPr="000A0A5F" w:rsidRDefault="00305B31" w:rsidP="00492243">
            <w:pPr>
              <w:pStyle w:val="TAL"/>
              <w:rPr>
                <w:lang w:eastAsia="zh-CN"/>
              </w:rPr>
            </w:pPr>
            <w:r w:rsidRPr="000A0A5F">
              <w:t>flowInfos</w:t>
            </w:r>
          </w:p>
        </w:tc>
        <w:tc>
          <w:tcPr>
            <w:tcW w:w="1800" w:type="dxa"/>
          </w:tcPr>
          <w:p w:rsidR="00305B31" w:rsidRPr="000A0A5F" w:rsidRDefault="00305B31" w:rsidP="00492243">
            <w:pPr>
              <w:pStyle w:val="TAL"/>
              <w:rPr>
                <w:lang w:eastAsia="zh-CN"/>
              </w:rPr>
            </w:pPr>
            <w:r w:rsidRPr="000A0A5F">
              <w:t>array(FlowInfo)</w:t>
            </w:r>
          </w:p>
        </w:tc>
        <w:tc>
          <w:tcPr>
            <w:tcW w:w="1170" w:type="dxa"/>
          </w:tcPr>
          <w:p w:rsidR="00305B31" w:rsidRPr="000A0A5F" w:rsidRDefault="00305B31" w:rsidP="00492243">
            <w:pPr>
              <w:pStyle w:val="TAC"/>
            </w:pPr>
            <w:r w:rsidRPr="000A0A5F">
              <w:rPr>
                <w:lang w:eastAsia="zh-CN"/>
              </w:rPr>
              <w:t>0..N</w:t>
            </w:r>
          </w:p>
        </w:tc>
        <w:tc>
          <w:tcPr>
            <w:tcW w:w="3271" w:type="dxa"/>
          </w:tcPr>
          <w:p w:rsidR="00305B31" w:rsidRPr="000A0A5F" w:rsidRDefault="00305B31" w:rsidP="00492243">
            <w:pPr>
              <w:pStyle w:val="TAL"/>
              <w:rPr>
                <w:rFonts w:cs="Arial"/>
                <w:szCs w:val="18"/>
                <w:lang w:eastAsia="zh-CN"/>
              </w:rPr>
            </w:pPr>
            <w:r w:rsidRPr="000A0A5F">
              <w:t>Contains the IP data flow(s) description for a single-modal data flow</w:t>
            </w:r>
            <w:r w:rsidRPr="000A0A5F">
              <w:rPr>
                <w:rFonts w:cs="Arial"/>
                <w:szCs w:val="18"/>
                <w:lang w:eastAsia="zh-CN"/>
              </w:rPr>
              <w:t>.</w:t>
            </w:r>
          </w:p>
        </w:tc>
        <w:tc>
          <w:tcPr>
            <w:tcW w:w="1408" w:type="dxa"/>
          </w:tcPr>
          <w:p w:rsidR="00305B31" w:rsidRPr="000A0A5F" w:rsidRDefault="00305B31" w:rsidP="00492243">
            <w:pPr>
              <w:pStyle w:val="TAL"/>
              <w:rPr>
                <w:rFonts w:cs="Arial"/>
                <w:szCs w:val="18"/>
              </w:rPr>
            </w:pPr>
          </w:p>
        </w:tc>
      </w:tr>
      <w:tr w:rsidR="00305B31" w:rsidRPr="000A0A5F" w:rsidTr="00492243">
        <w:trPr>
          <w:cantSplit/>
          <w:jc w:val="center"/>
        </w:trPr>
        <w:tc>
          <w:tcPr>
            <w:tcW w:w="1609" w:type="dxa"/>
          </w:tcPr>
          <w:p w:rsidR="00305B31" w:rsidRPr="000A0A5F" w:rsidRDefault="00305B31" w:rsidP="00492243">
            <w:pPr>
              <w:pStyle w:val="TAL"/>
            </w:pPr>
            <w:r w:rsidRPr="000A0A5F">
              <w:rPr>
                <w:lang w:eastAsia="zh-CN"/>
              </w:rPr>
              <w:t>qosReference</w:t>
            </w:r>
          </w:p>
        </w:tc>
        <w:tc>
          <w:tcPr>
            <w:tcW w:w="1800" w:type="dxa"/>
          </w:tcPr>
          <w:p w:rsidR="00305B31" w:rsidRPr="000A0A5F" w:rsidRDefault="00305B31" w:rsidP="00492243">
            <w:pPr>
              <w:pStyle w:val="TAL"/>
            </w:pPr>
            <w:r w:rsidRPr="000A0A5F">
              <w:rPr>
                <w:lang w:eastAsia="zh-CN"/>
              </w:rPr>
              <w:t>string</w:t>
            </w:r>
          </w:p>
        </w:tc>
        <w:tc>
          <w:tcPr>
            <w:tcW w:w="1170" w:type="dxa"/>
          </w:tcPr>
          <w:p w:rsidR="00305B31" w:rsidRPr="000A0A5F" w:rsidRDefault="00305B31" w:rsidP="00492243">
            <w:pPr>
              <w:pStyle w:val="TAC"/>
            </w:pPr>
            <w:r w:rsidRPr="000A0A5F">
              <w:t>0..1</w:t>
            </w:r>
          </w:p>
        </w:tc>
        <w:tc>
          <w:tcPr>
            <w:tcW w:w="3271" w:type="dxa"/>
          </w:tcPr>
          <w:p w:rsidR="00305B31" w:rsidRPr="000A0A5F" w:rsidRDefault="00305B31" w:rsidP="00492243">
            <w:pPr>
              <w:pStyle w:val="TAL"/>
              <w:rPr>
                <w:rFonts w:cs="Arial"/>
                <w:szCs w:val="18"/>
              </w:rPr>
            </w:pPr>
            <w:r w:rsidRPr="000A0A5F">
              <w:rPr>
                <w:rFonts w:cs="Arial"/>
                <w:szCs w:val="18"/>
                <w:lang w:eastAsia="zh-CN"/>
              </w:rPr>
              <w:t>Identifies a pre-defined QoS information</w:t>
            </w:r>
            <w:r w:rsidRPr="000A0A5F">
              <w:t>.</w:t>
            </w:r>
          </w:p>
        </w:tc>
        <w:tc>
          <w:tcPr>
            <w:tcW w:w="1408" w:type="dxa"/>
          </w:tcPr>
          <w:p w:rsidR="00305B31" w:rsidRPr="000A0A5F" w:rsidRDefault="00305B31" w:rsidP="00492243">
            <w:pPr>
              <w:pStyle w:val="TAL"/>
              <w:rPr>
                <w:rFonts w:cs="Arial"/>
                <w:szCs w:val="18"/>
              </w:rPr>
            </w:pPr>
          </w:p>
        </w:tc>
      </w:tr>
      <w:tr w:rsidR="00305B31" w:rsidRPr="000A0A5F" w:rsidTr="00492243">
        <w:trPr>
          <w:cantSplit/>
          <w:jc w:val="center"/>
        </w:trPr>
        <w:tc>
          <w:tcPr>
            <w:tcW w:w="1609" w:type="dxa"/>
          </w:tcPr>
          <w:p w:rsidR="00305B31" w:rsidRPr="000A0A5F" w:rsidRDefault="00305B31" w:rsidP="00492243">
            <w:pPr>
              <w:pStyle w:val="TAL"/>
            </w:pPr>
            <w:r w:rsidRPr="000A0A5F">
              <w:rPr>
                <w:lang w:eastAsia="zh-CN"/>
              </w:rPr>
              <w:t>altSerReqs</w:t>
            </w:r>
          </w:p>
        </w:tc>
        <w:tc>
          <w:tcPr>
            <w:tcW w:w="1800" w:type="dxa"/>
          </w:tcPr>
          <w:p w:rsidR="00305B31" w:rsidRPr="000A0A5F" w:rsidRDefault="00305B31" w:rsidP="00492243">
            <w:pPr>
              <w:pStyle w:val="TAL"/>
            </w:pPr>
            <w:r w:rsidRPr="000A0A5F">
              <w:t>array(string)</w:t>
            </w:r>
          </w:p>
        </w:tc>
        <w:tc>
          <w:tcPr>
            <w:tcW w:w="1170" w:type="dxa"/>
          </w:tcPr>
          <w:p w:rsidR="00305B31" w:rsidRPr="000A0A5F" w:rsidRDefault="00305B31" w:rsidP="00492243">
            <w:pPr>
              <w:pStyle w:val="TAC"/>
            </w:pPr>
            <w:r w:rsidRPr="000A0A5F">
              <w:t>0..N</w:t>
            </w:r>
          </w:p>
        </w:tc>
        <w:tc>
          <w:tcPr>
            <w:tcW w:w="3271" w:type="dxa"/>
          </w:tcPr>
          <w:p w:rsidR="00305B31" w:rsidRPr="000A0A5F" w:rsidRDefault="00305B31" w:rsidP="00492243">
            <w:pPr>
              <w:pStyle w:val="TAL"/>
              <w:rPr>
                <w:rFonts w:cs="Arial"/>
                <w:szCs w:val="18"/>
              </w:rPr>
            </w:pPr>
            <w:r w:rsidRPr="000A0A5F">
              <w:t xml:space="preserve">Ordered list of alternative service requirements </w:t>
            </w:r>
            <w:r w:rsidRPr="000A0A5F">
              <w:rPr>
                <w:lang w:val="en-US"/>
              </w:rPr>
              <w:t>that include a set of QoS references</w:t>
            </w:r>
            <w:r w:rsidRPr="000A0A5F">
              <w:t>. The lower the index of the array for a given entry, the higher the priority.(NOTE)</w:t>
            </w:r>
          </w:p>
        </w:tc>
        <w:tc>
          <w:tcPr>
            <w:tcW w:w="1408" w:type="dxa"/>
          </w:tcPr>
          <w:p w:rsidR="00305B31" w:rsidRPr="000A0A5F" w:rsidRDefault="00305B31" w:rsidP="00492243">
            <w:pPr>
              <w:pStyle w:val="TAL"/>
              <w:rPr>
                <w:rFonts w:cs="Arial"/>
                <w:szCs w:val="18"/>
              </w:rPr>
            </w:pPr>
          </w:p>
        </w:tc>
      </w:tr>
      <w:tr w:rsidR="00305B31" w:rsidRPr="000A0A5F" w:rsidTr="00492243">
        <w:trPr>
          <w:cantSplit/>
          <w:jc w:val="center"/>
        </w:trPr>
        <w:tc>
          <w:tcPr>
            <w:tcW w:w="1609" w:type="dxa"/>
          </w:tcPr>
          <w:p w:rsidR="00305B31" w:rsidRPr="000A0A5F" w:rsidRDefault="00305B31" w:rsidP="00492243">
            <w:pPr>
              <w:pStyle w:val="TAL"/>
              <w:rPr>
                <w:lang w:eastAsia="zh-CN"/>
              </w:rPr>
            </w:pPr>
            <w:r w:rsidRPr="000A0A5F">
              <w:rPr>
                <w:lang w:eastAsia="zh-CN"/>
              </w:rPr>
              <w:t>altSerReqsData</w:t>
            </w:r>
          </w:p>
        </w:tc>
        <w:tc>
          <w:tcPr>
            <w:tcW w:w="1800" w:type="dxa"/>
          </w:tcPr>
          <w:p w:rsidR="00305B31" w:rsidRPr="000A0A5F" w:rsidRDefault="00305B31" w:rsidP="00492243">
            <w:pPr>
              <w:pStyle w:val="TAL"/>
            </w:pPr>
            <w:r w:rsidRPr="000A0A5F">
              <w:t>array(AlternativeServiceRequirementsData)</w:t>
            </w:r>
          </w:p>
        </w:tc>
        <w:tc>
          <w:tcPr>
            <w:tcW w:w="1170" w:type="dxa"/>
          </w:tcPr>
          <w:p w:rsidR="00305B31" w:rsidRPr="000A0A5F" w:rsidRDefault="00305B31" w:rsidP="00492243">
            <w:pPr>
              <w:pStyle w:val="TAC"/>
            </w:pPr>
            <w:r w:rsidRPr="000A0A5F">
              <w:t>0..N</w:t>
            </w:r>
          </w:p>
        </w:tc>
        <w:tc>
          <w:tcPr>
            <w:tcW w:w="3271" w:type="dxa"/>
          </w:tcPr>
          <w:p w:rsidR="00305B31" w:rsidRPr="000A0A5F" w:rsidRDefault="00305B31" w:rsidP="00492243">
            <w:pPr>
              <w:pStyle w:val="TAL"/>
            </w:pPr>
            <w:r w:rsidRPr="000A0A5F">
              <w:rPr>
                <w:lang w:val="en-US"/>
              </w:rPr>
              <w:t>Ordered list of alternative service requirements that include individual QoS parameter sets.</w:t>
            </w:r>
            <w:r w:rsidRPr="000A0A5F">
              <w:t xml:space="preserve"> The lower the index of the array for a given entry, the higher the priority. (NOTE)</w:t>
            </w:r>
          </w:p>
        </w:tc>
        <w:tc>
          <w:tcPr>
            <w:tcW w:w="1408" w:type="dxa"/>
          </w:tcPr>
          <w:p w:rsidR="00305B31" w:rsidRPr="000A0A5F" w:rsidRDefault="00305B31" w:rsidP="00492243">
            <w:pPr>
              <w:pStyle w:val="TAL"/>
            </w:pPr>
          </w:p>
        </w:tc>
      </w:tr>
      <w:tr w:rsidR="00305B31" w:rsidRPr="000A0A5F" w:rsidTr="00492243">
        <w:trPr>
          <w:cantSplit/>
          <w:jc w:val="center"/>
        </w:trPr>
        <w:tc>
          <w:tcPr>
            <w:tcW w:w="1609" w:type="dxa"/>
          </w:tcPr>
          <w:p w:rsidR="00305B31" w:rsidRPr="000A0A5F" w:rsidRDefault="00305B31" w:rsidP="00492243">
            <w:pPr>
              <w:pStyle w:val="TAL"/>
              <w:rPr>
                <w:lang w:eastAsia="zh-CN"/>
              </w:rPr>
            </w:pPr>
            <w:r w:rsidRPr="000A0A5F">
              <w:rPr>
                <w:rFonts w:hint="eastAsia"/>
                <w:lang w:eastAsia="zh-CN"/>
              </w:rPr>
              <w:t>d</w:t>
            </w:r>
            <w:r w:rsidRPr="000A0A5F">
              <w:rPr>
                <w:lang w:eastAsia="zh-CN"/>
              </w:rPr>
              <w:t>isUeNotif</w:t>
            </w:r>
          </w:p>
        </w:tc>
        <w:tc>
          <w:tcPr>
            <w:tcW w:w="1800" w:type="dxa"/>
          </w:tcPr>
          <w:p w:rsidR="00305B31" w:rsidRPr="000A0A5F" w:rsidRDefault="00305B31" w:rsidP="00492243">
            <w:pPr>
              <w:pStyle w:val="TAL"/>
            </w:pPr>
            <w:r w:rsidRPr="000A0A5F">
              <w:rPr>
                <w:rFonts w:hint="eastAsia"/>
                <w:lang w:eastAsia="zh-CN"/>
              </w:rPr>
              <w:t>b</w:t>
            </w:r>
            <w:r w:rsidRPr="000A0A5F">
              <w:rPr>
                <w:lang w:eastAsia="zh-CN"/>
              </w:rPr>
              <w:t>oolean</w:t>
            </w:r>
          </w:p>
        </w:tc>
        <w:tc>
          <w:tcPr>
            <w:tcW w:w="1170" w:type="dxa"/>
          </w:tcPr>
          <w:p w:rsidR="00305B31" w:rsidRPr="000A0A5F" w:rsidRDefault="00305B31" w:rsidP="00492243">
            <w:pPr>
              <w:pStyle w:val="TAC"/>
            </w:pPr>
            <w:r w:rsidRPr="000A0A5F">
              <w:rPr>
                <w:rFonts w:hint="eastAsia"/>
                <w:lang w:eastAsia="zh-CN"/>
              </w:rPr>
              <w:t>0</w:t>
            </w:r>
            <w:r w:rsidRPr="000A0A5F">
              <w:rPr>
                <w:lang w:eastAsia="zh-CN"/>
              </w:rPr>
              <w:t>..1</w:t>
            </w:r>
          </w:p>
        </w:tc>
        <w:tc>
          <w:tcPr>
            <w:tcW w:w="3271" w:type="dxa"/>
          </w:tcPr>
          <w:p w:rsidR="00305B31" w:rsidRPr="000A0A5F" w:rsidRDefault="00305B31" w:rsidP="00492243">
            <w:pPr>
              <w:pStyle w:val="TAL"/>
            </w:pPr>
            <w:r w:rsidRPr="000A0A5F">
              <w:rPr>
                <w:szCs w:val="18"/>
              </w:rPr>
              <w:t xml:space="preserve">Indicates to disable QoS flow parameters signalling to the UE when the SMF is notified by the NG-RAN of changes in the fulfilled QoS situation </w:t>
            </w:r>
            <w:r w:rsidRPr="000A0A5F">
              <w:t xml:space="preserve">when it is included and set to "true". </w:t>
            </w:r>
            <w:r w:rsidRPr="000A0A5F">
              <w:rPr>
                <w:szCs w:val="18"/>
              </w:rPr>
              <w:t>The fulfilled situation is either the QoS profile or an Alternative QoS Profile.</w:t>
            </w:r>
            <w:r w:rsidRPr="000A0A5F">
              <w:rPr>
                <w:rFonts w:cs="Arial"/>
                <w:szCs w:val="18"/>
              </w:rPr>
              <w:t xml:space="preserve"> </w:t>
            </w:r>
            <w:r w:rsidRPr="000A0A5F">
              <w:t xml:space="preserve">The </w:t>
            </w:r>
            <w:r w:rsidRPr="000A0A5F">
              <w:rPr>
                <w:rFonts w:cs="Arial"/>
                <w:szCs w:val="18"/>
              </w:rPr>
              <w:t>default value "</w:t>
            </w:r>
            <w:r w:rsidRPr="000A0A5F">
              <w:t>false</w:t>
            </w:r>
            <w:r w:rsidRPr="000A0A5F">
              <w:rPr>
                <w:rFonts w:cs="Arial"/>
                <w:szCs w:val="18"/>
              </w:rPr>
              <w:t xml:space="preserve">" shall apply, if the attribute is not present and </w:t>
            </w:r>
            <w:r w:rsidRPr="000A0A5F">
              <w:t>has not been supplied previously</w:t>
            </w:r>
            <w:r w:rsidRPr="000A0A5F">
              <w:rPr>
                <w:rFonts w:cs="Arial"/>
                <w:szCs w:val="18"/>
              </w:rPr>
              <w:t>.</w:t>
            </w:r>
          </w:p>
        </w:tc>
        <w:tc>
          <w:tcPr>
            <w:tcW w:w="1408" w:type="dxa"/>
          </w:tcPr>
          <w:p w:rsidR="00305B31" w:rsidRPr="000A0A5F" w:rsidRDefault="00305B31" w:rsidP="00492243">
            <w:pPr>
              <w:pStyle w:val="TAL"/>
            </w:pPr>
          </w:p>
        </w:tc>
      </w:tr>
      <w:tr w:rsidR="00305B31" w:rsidRPr="000A0A5F" w:rsidTr="00492243">
        <w:trPr>
          <w:cantSplit/>
          <w:jc w:val="center"/>
        </w:trPr>
        <w:tc>
          <w:tcPr>
            <w:tcW w:w="1609" w:type="dxa"/>
          </w:tcPr>
          <w:p w:rsidR="00305B31" w:rsidRPr="000A0A5F" w:rsidRDefault="00305B31" w:rsidP="00492243">
            <w:pPr>
              <w:pStyle w:val="TAL"/>
            </w:pPr>
            <w:r w:rsidRPr="000A0A5F">
              <w:t>medCompN</w:t>
            </w:r>
          </w:p>
        </w:tc>
        <w:tc>
          <w:tcPr>
            <w:tcW w:w="1800" w:type="dxa"/>
          </w:tcPr>
          <w:p w:rsidR="00305B31" w:rsidRPr="000A0A5F" w:rsidRDefault="00305B31" w:rsidP="00492243">
            <w:pPr>
              <w:pStyle w:val="TAL"/>
            </w:pPr>
            <w:r w:rsidRPr="000A0A5F">
              <w:t>integer</w:t>
            </w:r>
          </w:p>
        </w:tc>
        <w:tc>
          <w:tcPr>
            <w:tcW w:w="1170" w:type="dxa"/>
          </w:tcPr>
          <w:p w:rsidR="00305B31" w:rsidRPr="000A0A5F" w:rsidRDefault="00305B31" w:rsidP="00492243">
            <w:pPr>
              <w:pStyle w:val="TAC"/>
            </w:pPr>
            <w:r w:rsidRPr="000A0A5F">
              <w:t>1</w:t>
            </w:r>
          </w:p>
        </w:tc>
        <w:tc>
          <w:tcPr>
            <w:tcW w:w="3271" w:type="dxa"/>
          </w:tcPr>
          <w:p w:rsidR="00305B31" w:rsidRPr="000A0A5F" w:rsidRDefault="00305B31" w:rsidP="00492243">
            <w:pPr>
              <w:pStyle w:val="TAL"/>
              <w:rPr>
                <w:rFonts w:cs="Arial"/>
                <w:szCs w:val="18"/>
              </w:rPr>
            </w:pPr>
            <w:r w:rsidRPr="000A0A5F">
              <w:rPr>
                <w:rFonts w:cs="Arial"/>
                <w:szCs w:val="18"/>
              </w:rPr>
              <w:t>Identifies the media component number, and it contains the ordinal number of the media component.</w:t>
            </w:r>
          </w:p>
        </w:tc>
        <w:tc>
          <w:tcPr>
            <w:tcW w:w="1408" w:type="dxa"/>
          </w:tcPr>
          <w:p w:rsidR="00305B31" w:rsidRPr="000A0A5F" w:rsidRDefault="00305B31" w:rsidP="00492243">
            <w:pPr>
              <w:pStyle w:val="TAL"/>
              <w:rPr>
                <w:rFonts w:cs="Arial"/>
                <w:szCs w:val="18"/>
              </w:rPr>
            </w:pPr>
          </w:p>
        </w:tc>
      </w:tr>
      <w:tr w:rsidR="00305B31" w:rsidRPr="000A0A5F" w:rsidTr="00492243">
        <w:trPr>
          <w:cantSplit/>
          <w:jc w:val="center"/>
        </w:trPr>
        <w:tc>
          <w:tcPr>
            <w:tcW w:w="1609" w:type="dxa"/>
          </w:tcPr>
          <w:p w:rsidR="00305B31" w:rsidRPr="000A0A5F" w:rsidRDefault="00305B31" w:rsidP="00492243">
            <w:pPr>
              <w:pStyle w:val="TAL"/>
            </w:pPr>
            <w:r w:rsidRPr="000A0A5F">
              <w:t>medType</w:t>
            </w:r>
          </w:p>
        </w:tc>
        <w:tc>
          <w:tcPr>
            <w:tcW w:w="1800" w:type="dxa"/>
          </w:tcPr>
          <w:p w:rsidR="00305B31" w:rsidRPr="000A0A5F" w:rsidRDefault="00305B31" w:rsidP="00492243">
            <w:pPr>
              <w:pStyle w:val="TAL"/>
            </w:pPr>
            <w:r w:rsidRPr="000A0A5F">
              <w:t>MediaType</w:t>
            </w:r>
          </w:p>
        </w:tc>
        <w:tc>
          <w:tcPr>
            <w:tcW w:w="1170" w:type="dxa"/>
          </w:tcPr>
          <w:p w:rsidR="00305B31" w:rsidRPr="000A0A5F" w:rsidRDefault="00305B31" w:rsidP="00492243">
            <w:pPr>
              <w:pStyle w:val="TAC"/>
            </w:pPr>
            <w:r w:rsidRPr="000A0A5F">
              <w:t>0..1</w:t>
            </w:r>
          </w:p>
        </w:tc>
        <w:tc>
          <w:tcPr>
            <w:tcW w:w="3271" w:type="dxa"/>
          </w:tcPr>
          <w:p w:rsidR="00305B31" w:rsidRPr="000A0A5F" w:rsidRDefault="00305B31" w:rsidP="00492243">
            <w:pPr>
              <w:pStyle w:val="TAL"/>
              <w:rPr>
                <w:rFonts w:cs="Arial"/>
                <w:szCs w:val="18"/>
              </w:rPr>
            </w:pPr>
            <w:r w:rsidRPr="000A0A5F">
              <w:rPr>
                <w:rFonts w:cs="Arial"/>
                <w:szCs w:val="18"/>
              </w:rPr>
              <w:t>Indicates the media type of the service.</w:t>
            </w:r>
          </w:p>
        </w:tc>
        <w:tc>
          <w:tcPr>
            <w:tcW w:w="1408" w:type="dxa"/>
          </w:tcPr>
          <w:p w:rsidR="00305B31" w:rsidRPr="000A0A5F" w:rsidRDefault="00305B31" w:rsidP="00492243">
            <w:pPr>
              <w:pStyle w:val="TAL"/>
              <w:rPr>
                <w:rFonts w:cs="Arial"/>
                <w:szCs w:val="18"/>
              </w:rPr>
            </w:pPr>
          </w:p>
        </w:tc>
      </w:tr>
      <w:tr w:rsidR="00305B31" w:rsidRPr="000A0A5F" w:rsidTr="00492243">
        <w:trPr>
          <w:cantSplit/>
          <w:jc w:val="center"/>
        </w:trPr>
        <w:tc>
          <w:tcPr>
            <w:tcW w:w="1609" w:type="dxa"/>
          </w:tcPr>
          <w:p w:rsidR="00305B31" w:rsidRPr="000A0A5F" w:rsidRDefault="00305B31" w:rsidP="00492243">
            <w:pPr>
              <w:pStyle w:val="TAL"/>
            </w:pPr>
            <w:r w:rsidRPr="000A0A5F">
              <w:t>marBwUl</w:t>
            </w:r>
          </w:p>
        </w:tc>
        <w:tc>
          <w:tcPr>
            <w:tcW w:w="1800" w:type="dxa"/>
          </w:tcPr>
          <w:p w:rsidR="00305B31" w:rsidRPr="000A0A5F" w:rsidRDefault="00305B31" w:rsidP="00492243">
            <w:pPr>
              <w:pStyle w:val="TAL"/>
            </w:pPr>
            <w:r w:rsidRPr="000A0A5F">
              <w:rPr>
                <w:rFonts w:cs="Arial"/>
              </w:rPr>
              <w:t>BitRateRm</w:t>
            </w:r>
          </w:p>
        </w:tc>
        <w:tc>
          <w:tcPr>
            <w:tcW w:w="1170" w:type="dxa"/>
          </w:tcPr>
          <w:p w:rsidR="00305B31" w:rsidRPr="000A0A5F" w:rsidRDefault="00305B31" w:rsidP="00492243">
            <w:pPr>
              <w:pStyle w:val="TAC"/>
            </w:pPr>
            <w:r w:rsidRPr="000A0A5F">
              <w:t>0..1</w:t>
            </w:r>
          </w:p>
        </w:tc>
        <w:tc>
          <w:tcPr>
            <w:tcW w:w="3271" w:type="dxa"/>
          </w:tcPr>
          <w:p w:rsidR="00305B31" w:rsidRPr="000A0A5F" w:rsidRDefault="00305B31" w:rsidP="00492243">
            <w:pPr>
              <w:pStyle w:val="TAL"/>
              <w:rPr>
                <w:rFonts w:cs="Arial"/>
                <w:szCs w:val="18"/>
              </w:rPr>
            </w:pPr>
            <w:r w:rsidRPr="000A0A5F">
              <w:rPr>
                <w:rFonts w:cs="Arial"/>
                <w:szCs w:val="18"/>
              </w:rPr>
              <w:t>Maximum requested bandwidth for the Uplink.</w:t>
            </w:r>
          </w:p>
        </w:tc>
        <w:tc>
          <w:tcPr>
            <w:tcW w:w="1408" w:type="dxa"/>
          </w:tcPr>
          <w:p w:rsidR="00305B31" w:rsidRPr="000A0A5F" w:rsidRDefault="00305B31" w:rsidP="00492243">
            <w:pPr>
              <w:pStyle w:val="TAL"/>
              <w:rPr>
                <w:rFonts w:cs="Arial"/>
                <w:szCs w:val="18"/>
              </w:rPr>
            </w:pPr>
          </w:p>
        </w:tc>
      </w:tr>
      <w:tr w:rsidR="00305B31" w:rsidRPr="000A0A5F" w:rsidTr="00492243">
        <w:trPr>
          <w:cantSplit/>
          <w:jc w:val="center"/>
        </w:trPr>
        <w:tc>
          <w:tcPr>
            <w:tcW w:w="1609" w:type="dxa"/>
          </w:tcPr>
          <w:p w:rsidR="00305B31" w:rsidRPr="000A0A5F" w:rsidRDefault="00305B31" w:rsidP="00492243">
            <w:pPr>
              <w:pStyle w:val="TAL"/>
            </w:pPr>
            <w:r w:rsidRPr="000A0A5F">
              <w:t>marBwDl</w:t>
            </w:r>
          </w:p>
        </w:tc>
        <w:tc>
          <w:tcPr>
            <w:tcW w:w="1800" w:type="dxa"/>
          </w:tcPr>
          <w:p w:rsidR="00305B31" w:rsidRPr="000A0A5F" w:rsidRDefault="00305B31" w:rsidP="00492243">
            <w:pPr>
              <w:pStyle w:val="TAL"/>
            </w:pPr>
            <w:r w:rsidRPr="000A0A5F">
              <w:rPr>
                <w:rFonts w:cs="Arial"/>
              </w:rPr>
              <w:t>BitRateRm</w:t>
            </w:r>
          </w:p>
        </w:tc>
        <w:tc>
          <w:tcPr>
            <w:tcW w:w="1170" w:type="dxa"/>
          </w:tcPr>
          <w:p w:rsidR="00305B31" w:rsidRPr="000A0A5F" w:rsidRDefault="00305B31" w:rsidP="00492243">
            <w:pPr>
              <w:pStyle w:val="TAC"/>
            </w:pPr>
            <w:r w:rsidRPr="000A0A5F">
              <w:t>0..1</w:t>
            </w:r>
          </w:p>
        </w:tc>
        <w:tc>
          <w:tcPr>
            <w:tcW w:w="3271" w:type="dxa"/>
          </w:tcPr>
          <w:p w:rsidR="00305B31" w:rsidRPr="000A0A5F" w:rsidRDefault="00305B31" w:rsidP="00492243">
            <w:pPr>
              <w:pStyle w:val="TAL"/>
              <w:rPr>
                <w:rFonts w:cs="Arial"/>
                <w:szCs w:val="18"/>
              </w:rPr>
            </w:pPr>
            <w:r w:rsidRPr="000A0A5F">
              <w:rPr>
                <w:rFonts w:cs="Arial"/>
                <w:szCs w:val="18"/>
              </w:rPr>
              <w:t>Maximum requested bandwidth for the Downlink.</w:t>
            </w:r>
          </w:p>
        </w:tc>
        <w:tc>
          <w:tcPr>
            <w:tcW w:w="1408" w:type="dxa"/>
          </w:tcPr>
          <w:p w:rsidR="00305B31" w:rsidRPr="000A0A5F" w:rsidRDefault="00305B31" w:rsidP="00492243">
            <w:pPr>
              <w:pStyle w:val="TAL"/>
              <w:rPr>
                <w:rFonts w:cs="Arial"/>
                <w:szCs w:val="18"/>
              </w:rPr>
            </w:pPr>
          </w:p>
        </w:tc>
      </w:tr>
      <w:tr w:rsidR="00305B31" w:rsidRPr="000A0A5F" w:rsidTr="00492243">
        <w:trPr>
          <w:cantSplit/>
          <w:jc w:val="center"/>
        </w:trPr>
        <w:tc>
          <w:tcPr>
            <w:tcW w:w="1609" w:type="dxa"/>
          </w:tcPr>
          <w:p w:rsidR="00305B31" w:rsidRPr="000A0A5F" w:rsidRDefault="00305B31" w:rsidP="00492243">
            <w:pPr>
              <w:pStyle w:val="TAL"/>
            </w:pPr>
            <w:r w:rsidRPr="000A0A5F">
              <w:t>mirBwUl</w:t>
            </w:r>
          </w:p>
        </w:tc>
        <w:tc>
          <w:tcPr>
            <w:tcW w:w="1800" w:type="dxa"/>
          </w:tcPr>
          <w:p w:rsidR="00305B31" w:rsidRPr="000A0A5F" w:rsidRDefault="00305B31" w:rsidP="00492243">
            <w:pPr>
              <w:pStyle w:val="TAL"/>
            </w:pPr>
            <w:r w:rsidRPr="000A0A5F">
              <w:rPr>
                <w:rFonts w:cs="Arial"/>
              </w:rPr>
              <w:t>BitRateRm</w:t>
            </w:r>
          </w:p>
        </w:tc>
        <w:tc>
          <w:tcPr>
            <w:tcW w:w="1170" w:type="dxa"/>
          </w:tcPr>
          <w:p w:rsidR="00305B31" w:rsidRPr="000A0A5F" w:rsidRDefault="00305B31" w:rsidP="00492243">
            <w:pPr>
              <w:pStyle w:val="TAC"/>
            </w:pPr>
            <w:r w:rsidRPr="000A0A5F">
              <w:t>0..1</w:t>
            </w:r>
          </w:p>
        </w:tc>
        <w:tc>
          <w:tcPr>
            <w:tcW w:w="3271" w:type="dxa"/>
          </w:tcPr>
          <w:p w:rsidR="00305B31" w:rsidRPr="000A0A5F" w:rsidRDefault="00305B31" w:rsidP="00492243">
            <w:pPr>
              <w:pStyle w:val="TAL"/>
              <w:rPr>
                <w:rFonts w:cs="Arial"/>
                <w:szCs w:val="18"/>
              </w:rPr>
            </w:pPr>
            <w:r w:rsidRPr="000A0A5F">
              <w:rPr>
                <w:rFonts w:cs="Arial"/>
                <w:szCs w:val="18"/>
              </w:rPr>
              <w:t>Minimum requested bandwidth for the Uplink.</w:t>
            </w:r>
          </w:p>
        </w:tc>
        <w:tc>
          <w:tcPr>
            <w:tcW w:w="1408" w:type="dxa"/>
          </w:tcPr>
          <w:p w:rsidR="00305B31" w:rsidRPr="000A0A5F" w:rsidRDefault="00305B31" w:rsidP="00492243">
            <w:pPr>
              <w:pStyle w:val="TAL"/>
              <w:rPr>
                <w:rFonts w:cs="Arial"/>
                <w:szCs w:val="18"/>
              </w:rPr>
            </w:pPr>
          </w:p>
        </w:tc>
      </w:tr>
      <w:tr w:rsidR="00305B31" w:rsidRPr="000A0A5F" w:rsidTr="00492243">
        <w:trPr>
          <w:cantSplit/>
          <w:jc w:val="center"/>
        </w:trPr>
        <w:tc>
          <w:tcPr>
            <w:tcW w:w="1609" w:type="dxa"/>
          </w:tcPr>
          <w:p w:rsidR="00305B31" w:rsidRPr="000A0A5F" w:rsidRDefault="00305B31" w:rsidP="00492243">
            <w:pPr>
              <w:pStyle w:val="TAL"/>
            </w:pPr>
            <w:r w:rsidRPr="000A0A5F">
              <w:t>mirBwDl</w:t>
            </w:r>
          </w:p>
        </w:tc>
        <w:tc>
          <w:tcPr>
            <w:tcW w:w="1800" w:type="dxa"/>
          </w:tcPr>
          <w:p w:rsidR="00305B31" w:rsidRPr="000A0A5F" w:rsidRDefault="00305B31" w:rsidP="00492243">
            <w:pPr>
              <w:pStyle w:val="TAL"/>
            </w:pPr>
            <w:r w:rsidRPr="000A0A5F">
              <w:rPr>
                <w:rFonts w:cs="Arial"/>
              </w:rPr>
              <w:t>BitRateRm</w:t>
            </w:r>
          </w:p>
        </w:tc>
        <w:tc>
          <w:tcPr>
            <w:tcW w:w="1170" w:type="dxa"/>
          </w:tcPr>
          <w:p w:rsidR="00305B31" w:rsidRPr="000A0A5F" w:rsidRDefault="00305B31" w:rsidP="00492243">
            <w:pPr>
              <w:pStyle w:val="TAC"/>
            </w:pPr>
            <w:r w:rsidRPr="000A0A5F">
              <w:t>0..1</w:t>
            </w:r>
          </w:p>
        </w:tc>
        <w:tc>
          <w:tcPr>
            <w:tcW w:w="3271" w:type="dxa"/>
          </w:tcPr>
          <w:p w:rsidR="00305B31" w:rsidRPr="000A0A5F" w:rsidRDefault="00305B31" w:rsidP="00492243">
            <w:pPr>
              <w:pStyle w:val="TAL"/>
              <w:rPr>
                <w:rFonts w:cs="Arial"/>
                <w:szCs w:val="18"/>
              </w:rPr>
            </w:pPr>
            <w:r w:rsidRPr="000A0A5F">
              <w:rPr>
                <w:rFonts w:cs="Arial"/>
                <w:szCs w:val="18"/>
              </w:rPr>
              <w:t>Minimum requested bandwidth for the Downlink.</w:t>
            </w:r>
          </w:p>
        </w:tc>
        <w:tc>
          <w:tcPr>
            <w:tcW w:w="1408" w:type="dxa"/>
          </w:tcPr>
          <w:p w:rsidR="00305B31" w:rsidRPr="000A0A5F" w:rsidRDefault="00305B31" w:rsidP="00492243">
            <w:pPr>
              <w:pStyle w:val="TAL"/>
              <w:rPr>
                <w:rFonts w:cs="Arial"/>
                <w:szCs w:val="18"/>
              </w:rPr>
            </w:pPr>
          </w:p>
        </w:tc>
      </w:tr>
      <w:tr w:rsidR="00305B31" w:rsidRPr="000A0A5F" w:rsidTr="00492243">
        <w:trPr>
          <w:cantSplit/>
          <w:jc w:val="center"/>
        </w:trPr>
        <w:tc>
          <w:tcPr>
            <w:tcW w:w="1609" w:type="dxa"/>
          </w:tcPr>
          <w:p w:rsidR="00305B31" w:rsidRPr="000A0A5F" w:rsidRDefault="00305B31" w:rsidP="00492243">
            <w:pPr>
              <w:pStyle w:val="TAL"/>
            </w:pPr>
            <w:r w:rsidRPr="000A0A5F">
              <w:t>tsnQos</w:t>
            </w:r>
          </w:p>
        </w:tc>
        <w:tc>
          <w:tcPr>
            <w:tcW w:w="1800" w:type="dxa"/>
          </w:tcPr>
          <w:p w:rsidR="00305B31" w:rsidRPr="000A0A5F" w:rsidRDefault="00305B31" w:rsidP="00492243">
            <w:pPr>
              <w:pStyle w:val="TAL"/>
            </w:pPr>
            <w:r w:rsidRPr="000A0A5F">
              <w:t>TsnQoSContainerRm</w:t>
            </w:r>
          </w:p>
        </w:tc>
        <w:tc>
          <w:tcPr>
            <w:tcW w:w="1170" w:type="dxa"/>
          </w:tcPr>
          <w:p w:rsidR="00305B31" w:rsidRPr="000A0A5F" w:rsidRDefault="00305B31" w:rsidP="00492243">
            <w:pPr>
              <w:pStyle w:val="TAC"/>
            </w:pPr>
            <w:r w:rsidRPr="000A0A5F">
              <w:rPr>
                <w:lang w:eastAsia="zh-CN"/>
              </w:rPr>
              <w:t>0..1</w:t>
            </w:r>
          </w:p>
        </w:tc>
        <w:tc>
          <w:tcPr>
            <w:tcW w:w="3271" w:type="dxa"/>
          </w:tcPr>
          <w:p w:rsidR="00305B31" w:rsidRPr="000A0A5F" w:rsidRDefault="00305B31" w:rsidP="00492243">
            <w:pPr>
              <w:pStyle w:val="TAL"/>
              <w:rPr>
                <w:rFonts w:cs="Arial"/>
                <w:szCs w:val="18"/>
              </w:rPr>
            </w:pPr>
            <w:r w:rsidRPr="000A0A5F">
              <w:t>Transports QoS parameters for TSC traffic.</w:t>
            </w:r>
          </w:p>
        </w:tc>
        <w:tc>
          <w:tcPr>
            <w:tcW w:w="1408" w:type="dxa"/>
          </w:tcPr>
          <w:p w:rsidR="00305B31" w:rsidRPr="000A0A5F" w:rsidRDefault="00305B31" w:rsidP="00492243">
            <w:pPr>
              <w:pStyle w:val="TAL"/>
              <w:rPr>
                <w:rFonts w:cs="Arial"/>
                <w:szCs w:val="18"/>
              </w:rPr>
            </w:pPr>
          </w:p>
        </w:tc>
      </w:tr>
      <w:tr w:rsidR="00305B31" w:rsidRPr="000A0A5F" w:rsidTr="00492243">
        <w:trPr>
          <w:cantSplit/>
          <w:jc w:val="center"/>
        </w:trPr>
        <w:tc>
          <w:tcPr>
            <w:tcW w:w="1609" w:type="dxa"/>
          </w:tcPr>
          <w:p w:rsidR="00305B31" w:rsidRPr="000A0A5F" w:rsidRDefault="00305B31" w:rsidP="00492243">
            <w:pPr>
              <w:pStyle w:val="TAL"/>
            </w:pPr>
            <w:r w:rsidRPr="000A0A5F">
              <w:t>tscaiInputUl</w:t>
            </w:r>
          </w:p>
        </w:tc>
        <w:tc>
          <w:tcPr>
            <w:tcW w:w="1800" w:type="dxa"/>
          </w:tcPr>
          <w:p w:rsidR="00305B31" w:rsidRPr="000A0A5F" w:rsidRDefault="00305B31" w:rsidP="00492243">
            <w:pPr>
              <w:pStyle w:val="TAL"/>
            </w:pPr>
            <w:r w:rsidRPr="000A0A5F">
              <w:t>TscaiInputContainer</w:t>
            </w:r>
          </w:p>
        </w:tc>
        <w:tc>
          <w:tcPr>
            <w:tcW w:w="1170" w:type="dxa"/>
          </w:tcPr>
          <w:p w:rsidR="00305B31" w:rsidRPr="000A0A5F" w:rsidRDefault="00305B31" w:rsidP="00492243">
            <w:pPr>
              <w:pStyle w:val="TAC"/>
              <w:rPr>
                <w:lang w:eastAsia="zh-CN"/>
              </w:rPr>
            </w:pPr>
            <w:r w:rsidRPr="000A0A5F">
              <w:rPr>
                <w:lang w:eastAsia="zh-CN"/>
              </w:rPr>
              <w:t>0..1</w:t>
            </w:r>
          </w:p>
        </w:tc>
        <w:tc>
          <w:tcPr>
            <w:tcW w:w="3271" w:type="dxa"/>
          </w:tcPr>
          <w:p w:rsidR="00305B31" w:rsidRPr="000A0A5F" w:rsidRDefault="00305B31" w:rsidP="00492243">
            <w:pPr>
              <w:pStyle w:val="TAL"/>
            </w:pPr>
            <w:r w:rsidRPr="000A0A5F">
              <w:t>Transports TSCAI input parameters for TSC traffic</w:t>
            </w:r>
            <w:r w:rsidRPr="000A0A5F">
              <w:rPr>
                <w:rFonts w:cs="Arial"/>
                <w:szCs w:val="18"/>
              </w:rPr>
              <w:t xml:space="preserve"> at the ingress interface of the DS-TT/UE (uplink flow direction)</w:t>
            </w:r>
            <w:r w:rsidRPr="000A0A5F">
              <w:t xml:space="preserve">. </w:t>
            </w:r>
          </w:p>
        </w:tc>
        <w:tc>
          <w:tcPr>
            <w:tcW w:w="1408" w:type="dxa"/>
          </w:tcPr>
          <w:p w:rsidR="00305B31" w:rsidRPr="000A0A5F" w:rsidRDefault="00305B31" w:rsidP="00492243">
            <w:pPr>
              <w:pStyle w:val="TAL"/>
            </w:pPr>
          </w:p>
        </w:tc>
      </w:tr>
      <w:tr w:rsidR="00305B31" w:rsidRPr="000A0A5F" w:rsidTr="00492243">
        <w:trPr>
          <w:cantSplit/>
          <w:jc w:val="center"/>
        </w:trPr>
        <w:tc>
          <w:tcPr>
            <w:tcW w:w="1609" w:type="dxa"/>
          </w:tcPr>
          <w:p w:rsidR="00305B31" w:rsidRPr="000A0A5F" w:rsidRDefault="00305B31" w:rsidP="00492243">
            <w:pPr>
              <w:pStyle w:val="TAL"/>
            </w:pPr>
            <w:r w:rsidRPr="000A0A5F">
              <w:t>tscaiInputDl</w:t>
            </w:r>
          </w:p>
        </w:tc>
        <w:tc>
          <w:tcPr>
            <w:tcW w:w="1800" w:type="dxa"/>
          </w:tcPr>
          <w:p w:rsidR="00305B31" w:rsidRPr="000A0A5F" w:rsidRDefault="00305B31" w:rsidP="00492243">
            <w:pPr>
              <w:pStyle w:val="TAL"/>
            </w:pPr>
            <w:r w:rsidRPr="000A0A5F">
              <w:t>TscaiInputContainer</w:t>
            </w:r>
          </w:p>
        </w:tc>
        <w:tc>
          <w:tcPr>
            <w:tcW w:w="1170" w:type="dxa"/>
          </w:tcPr>
          <w:p w:rsidR="00305B31" w:rsidRPr="000A0A5F" w:rsidRDefault="00305B31" w:rsidP="00492243">
            <w:pPr>
              <w:pStyle w:val="TAC"/>
              <w:rPr>
                <w:lang w:eastAsia="zh-CN"/>
              </w:rPr>
            </w:pPr>
            <w:r w:rsidRPr="000A0A5F">
              <w:rPr>
                <w:lang w:eastAsia="zh-CN"/>
              </w:rPr>
              <w:t>0..1</w:t>
            </w:r>
          </w:p>
        </w:tc>
        <w:tc>
          <w:tcPr>
            <w:tcW w:w="3271" w:type="dxa"/>
          </w:tcPr>
          <w:p w:rsidR="00305B31" w:rsidRPr="000A0A5F" w:rsidRDefault="00305B31" w:rsidP="00492243">
            <w:pPr>
              <w:pStyle w:val="TAL"/>
            </w:pPr>
            <w:r w:rsidRPr="000A0A5F">
              <w:t>Transports TSCAI input parameters for TSC traffic</w:t>
            </w:r>
            <w:r w:rsidRPr="000A0A5F">
              <w:rPr>
                <w:rFonts w:cs="Arial"/>
                <w:szCs w:val="18"/>
              </w:rPr>
              <w:t xml:space="preserve"> at the ingress of the NW-TT (downlink flow direction)</w:t>
            </w:r>
            <w:r w:rsidRPr="000A0A5F">
              <w:t>.</w:t>
            </w:r>
          </w:p>
        </w:tc>
        <w:tc>
          <w:tcPr>
            <w:tcW w:w="1408" w:type="dxa"/>
          </w:tcPr>
          <w:p w:rsidR="00305B31" w:rsidRPr="000A0A5F" w:rsidRDefault="00305B31" w:rsidP="00492243">
            <w:pPr>
              <w:pStyle w:val="TAL"/>
            </w:pPr>
          </w:p>
        </w:tc>
      </w:tr>
      <w:tr w:rsidR="00305B31" w:rsidRPr="000A0A5F" w:rsidTr="00492243">
        <w:trPr>
          <w:cantSplit/>
          <w:jc w:val="center"/>
        </w:trPr>
        <w:tc>
          <w:tcPr>
            <w:tcW w:w="1609" w:type="dxa"/>
          </w:tcPr>
          <w:p w:rsidR="00305B31" w:rsidRPr="000A0A5F" w:rsidRDefault="00305B31" w:rsidP="00492243">
            <w:pPr>
              <w:pStyle w:val="TAL"/>
            </w:pPr>
            <w:r w:rsidRPr="000A0A5F">
              <w:rPr>
                <w:rFonts w:hint="eastAsia"/>
                <w:lang w:eastAsia="zh-CN"/>
              </w:rPr>
              <w:t>r</w:t>
            </w:r>
            <w:r w:rsidRPr="000A0A5F">
              <w:rPr>
                <w:lang w:eastAsia="zh-CN"/>
              </w:rPr>
              <w:t>TLatencyReq</w:t>
            </w:r>
          </w:p>
        </w:tc>
        <w:tc>
          <w:tcPr>
            <w:tcW w:w="1800" w:type="dxa"/>
          </w:tcPr>
          <w:p w:rsidR="00305B31" w:rsidRPr="000A0A5F" w:rsidRDefault="00305B31" w:rsidP="00492243">
            <w:pPr>
              <w:pStyle w:val="TAL"/>
              <w:rPr>
                <w:lang w:eastAsia="zh-CN"/>
              </w:rPr>
            </w:pPr>
            <w:r w:rsidRPr="000A0A5F">
              <w:rPr>
                <w:lang w:eastAsia="zh-CN"/>
              </w:rPr>
              <w:t>boolean</w:t>
            </w:r>
          </w:p>
        </w:tc>
        <w:tc>
          <w:tcPr>
            <w:tcW w:w="1170" w:type="dxa"/>
          </w:tcPr>
          <w:p w:rsidR="00305B31" w:rsidRPr="000A0A5F" w:rsidRDefault="00305B31" w:rsidP="00492243">
            <w:pPr>
              <w:pStyle w:val="TAC"/>
              <w:rPr>
                <w:lang w:eastAsia="zh-CN"/>
              </w:rPr>
            </w:pPr>
            <w:r w:rsidRPr="000A0A5F">
              <w:rPr>
                <w:lang w:eastAsia="zh-CN"/>
              </w:rPr>
              <w:t>0..1</w:t>
            </w:r>
          </w:p>
        </w:tc>
        <w:tc>
          <w:tcPr>
            <w:tcW w:w="3271" w:type="dxa"/>
          </w:tcPr>
          <w:p w:rsidR="00305B31" w:rsidRPr="000A0A5F" w:rsidRDefault="00305B31" w:rsidP="00492243">
            <w:pPr>
              <w:pStyle w:val="TAL"/>
            </w:pPr>
            <w:r w:rsidRPr="000A0A5F">
              <w:t>Indicates the service data flow needs to meet the Round-Trip (RT) latency requirement of the service, when it is included and set to "true".</w:t>
            </w:r>
          </w:p>
        </w:tc>
        <w:tc>
          <w:tcPr>
            <w:tcW w:w="1408" w:type="dxa"/>
          </w:tcPr>
          <w:p w:rsidR="00305B31" w:rsidRPr="000A0A5F" w:rsidRDefault="00305B31" w:rsidP="00492243">
            <w:pPr>
              <w:pStyle w:val="TAL"/>
              <w:rPr>
                <w:lang w:eastAsia="zh-CN"/>
              </w:rPr>
            </w:pPr>
          </w:p>
        </w:tc>
      </w:tr>
      <w:tr w:rsidR="00305B31" w:rsidRPr="000A0A5F" w:rsidTr="00492243">
        <w:trPr>
          <w:cantSplit/>
          <w:jc w:val="center"/>
        </w:trPr>
        <w:tc>
          <w:tcPr>
            <w:tcW w:w="1609" w:type="dxa"/>
          </w:tcPr>
          <w:p w:rsidR="00305B31" w:rsidRPr="000A0A5F" w:rsidRDefault="00305B31" w:rsidP="00492243">
            <w:pPr>
              <w:pStyle w:val="TAL"/>
              <w:rPr>
                <w:lang w:eastAsia="zh-CN"/>
              </w:rPr>
            </w:pPr>
            <w:r w:rsidRPr="000A0A5F">
              <w:rPr>
                <w:lang w:val="en-US" w:eastAsia="zh-CN"/>
              </w:rPr>
              <w:t>p</w:t>
            </w:r>
            <w:r w:rsidRPr="000A0A5F">
              <w:rPr>
                <w:rFonts w:hint="eastAsia"/>
                <w:lang w:val="en-US" w:eastAsia="zh-CN"/>
              </w:rPr>
              <w:t>duSet</w:t>
            </w:r>
            <w:r w:rsidRPr="000A0A5F">
              <w:t>Qo</w:t>
            </w:r>
            <w:r w:rsidRPr="000A0A5F">
              <w:rPr>
                <w:rFonts w:hint="eastAsia"/>
                <w:lang w:val="en-US" w:eastAsia="zh-CN"/>
              </w:rPr>
              <w:t>s</w:t>
            </w:r>
          </w:p>
        </w:tc>
        <w:tc>
          <w:tcPr>
            <w:tcW w:w="1800" w:type="dxa"/>
          </w:tcPr>
          <w:p w:rsidR="00305B31" w:rsidRPr="000A0A5F" w:rsidRDefault="00305B31" w:rsidP="00492243">
            <w:pPr>
              <w:pStyle w:val="TAL"/>
              <w:rPr>
                <w:lang w:eastAsia="zh-CN"/>
              </w:rPr>
            </w:pPr>
            <w:r w:rsidRPr="000A0A5F">
              <w:rPr>
                <w:rFonts w:hint="eastAsia"/>
                <w:lang w:eastAsia="zh-CN"/>
              </w:rPr>
              <w:t>P</w:t>
            </w:r>
            <w:r w:rsidRPr="000A0A5F">
              <w:rPr>
                <w:lang w:eastAsia="zh-CN"/>
              </w:rPr>
              <w:t>duSetQosPara</w:t>
            </w:r>
          </w:p>
        </w:tc>
        <w:tc>
          <w:tcPr>
            <w:tcW w:w="1170" w:type="dxa"/>
          </w:tcPr>
          <w:p w:rsidR="00305B31" w:rsidRPr="000A0A5F" w:rsidRDefault="00305B31" w:rsidP="00492243">
            <w:pPr>
              <w:pStyle w:val="TAC"/>
              <w:rPr>
                <w:lang w:eastAsia="zh-CN"/>
              </w:rPr>
            </w:pPr>
            <w:r w:rsidRPr="000A0A5F">
              <w:rPr>
                <w:lang w:eastAsia="zh-CN"/>
              </w:rPr>
              <w:t>0..1</w:t>
            </w:r>
          </w:p>
        </w:tc>
        <w:tc>
          <w:tcPr>
            <w:tcW w:w="3271" w:type="dxa"/>
          </w:tcPr>
          <w:p w:rsidR="00305B31" w:rsidRPr="000A0A5F" w:rsidRDefault="00305B31" w:rsidP="00492243">
            <w:pPr>
              <w:pStyle w:val="TAL"/>
            </w:pPr>
            <w:r w:rsidRPr="000A0A5F">
              <w:t>PDU Set QoS parameters for XRM traffic.</w:t>
            </w:r>
          </w:p>
        </w:tc>
        <w:tc>
          <w:tcPr>
            <w:tcW w:w="1408" w:type="dxa"/>
          </w:tcPr>
          <w:p w:rsidR="00305B31" w:rsidRPr="000A0A5F" w:rsidRDefault="00305B31" w:rsidP="00492243">
            <w:pPr>
              <w:pStyle w:val="TAL"/>
              <w:rPr>
                <w:lang w:eastAsia="zh-CN"/>
              </w:rPr>
            </w:pPr>
          </w:p>
        </w:tc>
      </w:tr>
      <w:tr w:rsidR="00DE6211" w:rsidRPr="000A0A5F" w:rsidTr="00492243">
        <w:trPr>
          <w:cantSplit/>
          <w:jc w:val="center"/>
        </w:trPr>
        <w:tc>
          <w:tcPr>
            <w:tcW w:w="1609" w:type="dxa"/>
          </w:tcPr>
          <w:p w:rsidR="00DE6211" w:rsidRPr="000A0A5F" w:rsidRDefault="00DE6211" w:rsidP="00DE6211">
            <w:pPr>
              <w:pStyle w:val="TAL"/>
              <w:rPr>
                <w:lang w:val="en-US" w:eastAsia="zh-CN"/>
              </w:rPr>
            </w:pPr>
            <w:r w:rsidRPr="006A2752">
              <w:rPr>
                <w:color w:val="000000"/>
              </w:rPr>
              <w:t>evSubsc</w:t>
            </w:r>
          </w:p>
        </w:tc>
        <w:tc>
          <w:tcPr>
            <w:tcW w:w="1800" w:type="dxa"/>
          </w:tcPr>
          <w:p w:rsidR="00DE6211" w:rsidRPr="000A0A5F" w:rsidRDefault="00DE6211" w:rsidP="00DE6211">
            <w:pPr>
              <w:pStyle w:val="TAL"/>
              <w:rPr>
                <w:lang w:eastAsia="zh-CN"/>
              </w:rPr>
            </w:pPr>
            <w:r w:rsidRPr="006A2752">
              <w:rPr>
                <w:color w:val="000000"/>
              </w:rPr>
              <w:t>EventsSubscReqData</w:t>
            </w:r>
            <w:r w:rsidRPr="006A2752">
              <w:rPr>
                <w:rFonts w:hint="eastAsia"/>
                <w:color w:val="000000"/>
                <w:lang w:val="en-US" w:eastAsia="zh-CN"/>
              </w:rPr>
              <w:t>Rm</w:t>
            </w:r>
          </w:p>
        </w:tc>
        <w:tc>
          <w:tcPr>
            <w:tcW w:w="1170" w:type="dxa"/>
          </w:tcPr>
          <w:p w:rsidR="00DE6211" w:rsidRPr="000A0A5F" w:rsidRDefault="00DE6211" w:rsidP="00DE6211">
            <w:pPr>
              <w:pStyle w:val="TAC"/>
              <w:rPr>
                <w:lang w:eastAsia="zh-CN"/>
              </w:rPr>
            </w:pPr>
            <w:r w:rsidRPr="006A2752">
              <w:rPr>
                <w:color w:val="000000"/>
              </w:rPr>
              <w:t>0..1</w:t>
            </w:r>
          </w:p>
        </w:tc>
        <w:tc>
          <w:tcPr>
            <w:tcW w:w="3271" w:type="dxa"/>
          </w:tcPr>
          <w:p w:rsidR="00DE6211" w:rsidRPr="000A0A5F" w:rsidRDefault="00DE6211" w:rsidP="00DE6211">
            <w:pPr>
              <w:pStyle w:val="TAL"/>
            </w:pPr>
            <w:r w:rsidRPr="006A2752">
              <w:rPr>
                <w:rFonts w:cs="Arial"/>
                <w:color w:val="000000"/>
                <w:szCs w:val="18"/>
              </w:rPr>
              <w:t>Identifies the events the application subscribes to at creation of a media component.</w:t>
            </w:r>
            <w:r w:rsidRPr="006A2752">
              <w:rPr>
                <w:rFonts w:cs="Arial" w:hint="eastAsia"/>
                <w:color w:val="000000"/>
                <w:szCs w:val="18"/>
                <w:lang w:val="en-US" w:eastAsia="zh-CN"/>
              </w:rPr>
              <w:t xml:space="preserve"> (NOTE)</w:t>
            </w:r>
          </w:p>
        </w:tc>
        <w:tc>
          <w:tcPr>
            <w:tcW w:w="1408" w:type="dxa"/>
          </w:tcPr>
          <w:p w:rsidR="00DE6211" w:rsidRPr="000A0A5F" w:rsidRDefault="00DE6211" w:rsidP="00DE6211">
            <w:pPr>
              <w:pStyle w:val="TAL"/>
              <w:rPr>
                <w:lang w:eastAsia="zh-CN"/>
              </w:rPr>
            </w:pPr>
            <w:r w:rsidRPr="006A2752">
              <w:rPr>
                <w:rFonts w:hint="eastAsia"/>
                <w:color w:val="000000"/>
              </w:rPr>
              <w:t>EnQoSMon</w:t>
            </w:r>
          </w:p>
        </w:tc>
      </w:tr>
      <w:tr w:rsidR="00DE6211" w:rsidRPr="000A0A5F" w:rsidTr="00A66DE6">
        <w:trPr>
          <w:cantSplit/>
          <w:jc w:val="center"/>
        </w:trPr>
        <w:tc>
          <w:tcPr>
            <w:tcW w:w="9258" w:type="dxa"/>
            <w:gridSpan w:val="5"/>
          </w:tcPr>
          <w:p w:rsidR="00DE6211" w:rsidRPr="006A2752" w:rsidRDefault="00DE6211" w:rsidP="00DE6211">
            <w:pPr>
              <w:pStyle w:val="TAN"/>
              <w:rPr>
                <w:color w:val="000000"/>
                <w:lang w:val="en-US"/>
              </w:rPr>
            </w:pPr>
            <w:r w:rsidRPr="000A0A5F">
              <w:t>NOTE:</w:t>
            </w:r>
            <w:r w:rsidRPr="000A0A5F">
              <w:tab/>
            </w:r>
            <w:r w:rsidRPr="000A0A5F">
              <w:rPr>
                <w:rFonts w:hint="eastAsia"/>
                <w:lang w:eastAsia="zh-CN"/>
              </w:rPr>
              <w:t xml:space="preserve">If attribute "evSubsc" is present, </w:t>
            </w:r>
            <w:r w:rsidRPr="000A0A5F">
              <w:rPr>
                <w:rFonts w:hint="eastAsia"/>
                <w:lang w:val="en-US" w:eastAsia="zh-CN"/>
              </w:rPr>
              <w:t xml:space="preserve">one or more of the following IEs </w:t>
            </w:r>
            <w:r w:rsidRPr="000A0A5F">
              <w:rPr>
                <w:lang w:eastAsia="zh-CN"/>
              </w:rPr>
              <w:t>may</w:t>
            </w:r>
            <w:r w:rsidRPr="000A0A5F">
              <w:rPr>
                <w:rFonts w:hint="eastAsia"/>
                <w:lang w:eastAsia="zh-CN"/>
              </w:rPr>
              <w:t xml:space="preserve"> be </w:t>
            </w:r>
            <w:r w:rsidRPr="000A0A5F">
              <w:rPr>
                <w:rFonts w:hint="eastAsia"/>
                <w:lang w:val="en-US" w:eastAsia="zh-CN"/>
              </w:rPr>
              <w:t>included</w:t>
            </w:r>
            <w:r w:rsidRPr="000A0A5F">
              <w:rPr>
                <w:rFonts w:hint="eastAsia"/>
                <w:lang w:eastAsia="zh-CN"/>
              </w:rPr>
              <w:t>: "ev</w:t>
            </w:r>
            <w:r w:rsidRPr="000A0A5F">
              <w:rPr>
                <w:rFonts w:hint="eastAsia"/>
                <w:lang w:val="en-US" w:eastAsia="zh-CN"/>
              </w:rPr>
              <w:t>ents</w:t>
            </w:r>
            <w:r w:rsidRPr="000A0A5F">
              <w:rPr>
                <w:rFonts w:hint="eastAsia"/>
                <w:lang w:eastAsia="zh-CN"/>
              </w:rPr>
              <w:t>"</w:t>
            </w:r>
            <w:r w:rsidRPr="000A0A5F">
              <w:rPr>
                <w:rFonts w:hint="eastAsia"/>
                <w:lang w:val="en-US" w:eastAsia="zh-CN"/>
              </w:rPr>
              <w:t xml:space="preserve">, </w:t>
            </w:r>
            <w:r w:rsidRPr="000A0A5F">
              <w:rPr>
                <w:rFonts w:hint="eastAsia"/>
                <w:lang w:eastAsia="zh-CN"/>
              </w:rPr>
              <w:t>"</w:t>
            </w:r>
            <w:r w:rsidRPr="000A0A5F">
              <w:t>notifUri</w:t>
            </w:r>
            <w:r w:rsidRPr="000A0A5F">
              <w:rPr>
                <w:rFonts w:hint="eastAsia"/>
                <w:lang w:eastAsia="zh-CN"/>
              </w:rPr>
              <w:t>"</w:t>
            </w:r>
            <w:r w:rsidRPr="000A0A5F">
              <w:rPr>
                <w:rFonts w:hint="eastAsia"/>
                <w:lang w:val="en-US" w:eastAsia="zh-CN"/>
              </w:rPr>
              <w:t xml:space="preserve">, </w:t>
            </w:r>
            <w:r w:rsidRPr="000A0A5F">
              <w:rPr>
                <w:rFonts w:hint="eastAsia"/>
                <w:lang w:eastAsia="zh-CN"/>
              </w:rPr>
              <w:t>"</w:t>
            </w:r>
            <w:r w:rsidRPr="000A0A5F">
              <w:rPr>
                <w:lang w:eastAsia="zh-CN"/>
              </w:rPr>
              <w:t>reqQosMonParams</w:t>
            </w:r>
            <w:r w:rsidRPr="000A0A5F">
              <w:rPr>
                <w:rFonts w:hint="eastAsia"/>
                <w:lang w:eastAsia="zh-CN"/>
              </w:rPr>
              <w:t>"</w:t>
            </w:r>
            <w:r w:rsidRPr="000A0A5F">
              <w:rPr>
                <w:rFonts w:hint="eastAsia"/>
                <w:lang w:val="en-US" w:eastAsia="zh-CN"/>
              </w:rPr>
              <w:t xml:space="preserve">, </w:t>
            </w:r>
            <w:r w:rsidRPr="000A0A5F">
              <w:rPr>
                <w:rFonts w:hint="eastAsia"/>
                <w:lang w:eastAsia="zh-CN"/>
              </w:rPr>
              <w:t>"</w:t>
            </w:r>
            <w:r w:rsidRPr="000A0A5F">
              <w:t>qosMon</w:t>
            </w:r>
            <w:r w:rsidRPr="000A0A5F">
              <w:rPr>
                <w:rFonts w:hint="eastAsia"/>
                <w:lang w:eastAsia="zh-CN"/>
              </w:rPr>
              <w:t>"</w:t>
            </w:r>
            <w:r w:rsidRPr="000A0A5F">
              <w:rPr>
                <w:rFonts w:hint="eastAsia"/>
                <w:lang w:val="en-US" w:eastAsia="zh-CN"/>
              </w:rPr>
              <w:t xml:space="preserve">, </w:t>
            </w:r>
            <w:r w:rsidRPr="000A0A5F">
              <w:rPr>
                <w:rFonts w:hint="eastAsia"/>
                <w:lang w:eastAsia="zh-CN"/>
              </w:rPr>
              <w:t>"</w:t>
            </w:r>
            <w:r w:rsidRPr="000A0A5F">
              <w:t>qosMonDatRate</w:t>
            </w:r>
            <w:r w:rsidRPr="000A0A5F">
              <w:rPr>
                <w:rFonts w:hint="eastAsia"/>
                <w:lang w:eastAsia="zh-CN"/>
              </w:rPr>
              <w:t>"</w:t>
            </w:r>
            <w:r w:rsidRPr="000A0A5F">
              <w:rPr>
                <w:rFonts w:hint="eastAsia"/>
                <w:lang w:val="en-US" w:eastAsia="zh-CN"/>
              </w:rPr>
              <w:t xml:space="preserve">, </w:t>
            </w:r>
            <w:r w:rsidRPr="000A0A5F">
              <w:rPr>
                <w:rFonts w:hint="eastAsia"/>
                <w:lang w:eastAsia="zh-CN"/>
              </w:rPr>
              <w:t>"</w:t>
            </w:r>
            <w:r w:rsidRPr="000A0A5F">
              <w:t>pdvReqMonParams</w:t>
            </w:r>
            <w:r w:rsidRPr="000A0A5F">
              <w:rPr>
                <w:rFonts w:hint="eastAsia"/>
                <w:lang w:eastAsia="zh-CN"/>
              </w:rPr>
              <w:t>"</w:t>
            </w:r>
            <w:r w:rsidRPr="000A0A5F">
              <w:rPr>
                <w:rFonts w:hint="eastAsia"/>
                <w:lang w:val="en-US" w:eastAsia="zh-CN"/>
              </w:rPr>
              <w:t xml:space="preserve">, </w:t>
            </w:r>
            <w:r w:rsidRPr="000A0A5F">
              <w:rPr>
                <w:rFonts w:hint="eastAsia"/>
                <w:lang w:eastAsia="zh-CN"/>
              </w:rPr>
              <w:t>"p</w:t>
            </w:r>
            <w:r w:rsidRPr="000A0A5F">
              <w:rPr>
                <w:lang w:eastAsia="zh-CN"/>
              </w:rPr>
              <w:t>dvMon</w:t>
            </w:r>
            <w:r w:rsidRPr="000A0A5F">
              <w:rPr>
                <w:rFonts w:hint="eastAsia"/>
                <w:lang w:eastAsia="zh-CN"/>
              </w:rPr>
              <w:t>"</w:t>
            </w:r>
            <w:r w:rsidRPr="000A0A5F">
              <w:rPr>
                <w:rFonts w:hint="eastAsia"/>
                <w:lang w:val="en-US" w:eastAsia="zh-CN"/>
              </w:rPr>
              <w:t xml:space="preserve">, </w:t>
            </w:r>
            <w:r w:rsidRPr="000A0A5F">
              <w:rPr>
                <w:rFonts w:hint="eastAsia"/>
                <w:lang w:eastAsia="zh-CN"/>
              </w:rPr>
              <w:t>"</w:t>
            </w:r>
            <w:r w:rsidRPr="000A0A5F">
              <w:rPr>
                <w:lang w:eastAsia="zh-CN"/>
              </w:rPr>
              <w:t>congestMon</w:t>
            </w:r>
            <w:r w:rsidRPr="000A0A5F">
              <w:rPr>
                <w:rFonts w:hint="eastAsia"/>
                <w:lang w:eastAsia="zh-CN"/>
              </w:rPr>
              <w:t>"</w:t>
            </w:r>
            <w:r w:rsidRPr="000A0A5F">
              <w:rPr>
                <w:rFonts w:hint="eastAsia"/>
                <w:lang w:val="en-US" w:eastAsia="zh-CN"/>
              </w:rPr>
              <w:t xml:space="preserve">, </w:t>
            </w:r>
            <w:r w:rsidRPr="000A0A5F">
              <w:rPr>
                <w:rFonts w:hint="eastAsia"/>
                <w:lang w:eastAsia="zh-CN"/>
              </w:rPr>
              <w:t>"</w:t>
            </w:r>
            <w:r w:rsidRPr="000A0A5F">
              <w:rPr>
                <w:lang w:eastAsia="zh-CN"/>
              </w:rPr>
              <w:t>notifCorreId</w:t>
            </w:r>
            <w:r w:rsidRPr="000A0A5F">
              <w:rPr>
                <w:rFonts w:hint="eastAsia"/>
                <w:lang w:eastAsia="zh-CN"/>
              </w:rPr>
              <w:t>"</w:t>
            </w:r>
            <w:r w:rsidRPr="000A0A5F">
              <w:rPr>
                <w:rFonts w:hint="eastAsia"/>
                <w:lang w:val="en-US" w:eastAsia="zh-CN"/>
              </w:rPr>
              <w:t xml:space="preserve">, </w:t>
            </w:r>
            <w:r w:rsidRPr="000A0A5F">
              <w:rPr>
                <w:rFonts w:hint="eastAsia"/>
                <w:lang w:eastAsia="zh-CN"/>
              </w:rPr>
              <w:t>"</w:t>
            </w:r>
            <w:r w:rsidRPr="000A0A5F">
              <w:rPr>
                <w:lang w:eastAsia="zh-CN"/>
              </w:rPr>
              <w:t>afAppIds</w:t>
            </w:r>
            <w:r w:rsidRPr="000A0A5F">
              <w:rPr>
                <w:rFonts w:hint="eastAsia"/>
                <w:lang w:eastAsia="zh-CN"/>
              </w:rPr>
              <w:t>"</w:t>
            </w:r>
            <w:r w:rsidRPr="000A0A5F">
              <w:rPr>
                <w:rFonts w:hint="eastAsia"/>
                <w:lang w:val="en-US" w:eastAsia="zh-CN"/>
              </w:rPr>
              <w:t xml:space="preserve">, </w:t>
            </w:r>
            <w:r w:rsidRPr="000A0A5F">
              <w:rPr>
                <w:rFonts w:hint="eastAsia"/>
                <w:lang w:eastAsia="zh-CN"/>
              </w:rPr>
              <w:t>"</w:t>
            </w:r>
            <w:r w:rsidRPr="000A0A5F">
              <w:rPr>
                <w:lang w:eastAsia="zh-CN"/>
              </w:rPr>
              <w:t>directNotifInd</w:t>
            </w:r>
            <w:r w:rsidRPr="000A0A5F">
              <w:rPr>
                <w:rFonts w:hint="eastAsia"/>
                <w:lang w:eastAsia="zh-CN"/>
              </w:rPr>
              <w:t>"</w:t>
            </w:r>
            <w:r w:rsidRPr="000A0A5F">
              <w:rPr>
                <w:rFonts w:hint="eastAsia"/>
                <w:lang w:val="en-US" w:eastAsia="zh-CN"/>
              </w:rPr>
              <w:t xml:space="preserve">, </w:t>
            </w:r>
            <w:r w:rsidRPr="000A0A5F">
              <w:rPr>
                <w:rFonts w:hint="eastAsia"/>
                <w:lang w:eastAsia="zh-CN"/>
              </w:rPr>
              <w:t>"</w:t>
            </w:r>
            <w:r w:rsidRPr="000A0A5F">
              <w:rPr>
                <w:lang w:eastAsia="zh-CN"/>
              </w:rPr>
              <w:t>avrgWndw</w:t>
            </w:r>
            <w:r w:rsidRPr="000A0A5F">
              <w:rPr>
                <w:rFonts w:hint="eastAsia"/>
                <w:lang w:eastAsia="zh-CN"/>
              </w:rPr>
              <w:t>"</w:t>
            </w:r>
            <w:r w:rsidRPr="000A0A5F">
              <w:rPr>
                <w:rFonts w:hint="eastAsia"/>
                <w:lang w:val="en-US" w:eastAsia="zh-CN"/>
              </w:rPr>
              <w:t xml:space="preserve">. In addition, when present the attribute </w:t>
            </w:r>
            <w:r w:rsidRPr="000A0A5F">
              <w:rPr>
                <w:rFonts w:hint="eastAsia"/>
                <w:lang w:eastAsia="zh-CN"/>
              </w:rPr>
              <w:t>"ev</w:t>
            </w:r>
            <w:r w:rsidRPr="000A0A5F">
              <w:rPr>
                <w:rFonts w:hint="eastAsia"/>
                <w:lang w:val="en-US" w:eastAsia="zh-CN"/>
              </w:rPr>
              <w:t>ents</w:t>
            </w:r>
            <w:r w:rsidRPr="000A0A5F">
              <w:rPr>
                <w:rFonts w:hint="eastAsia"/>
                <w:lang w:eastAsia="zh-CN"/>
              </w:rPr>
              <w:t>"</w:t>
            </w:r>
            <w:r w:rsidRPr="000A0A5F">
              <w:rPr>
                <w:rFonts w:hint="eastAsia"/>
                <w:lang w:val="en-US" w:eastAsia="zh-CN"/>
              </w:rPr>
              <w:t xml:space="preserve">, one or more of the following </w:t>
            </w:r>
            <w:r w:rsidRPr="000A0A5F">
              <w:t>Enumeration</w:t>
            </w:r>
            <w:r w:rsidRPr="000A0A5F">
              <w:rPr>
                <w:rFonts w:hint="eastAsia"/>
                <w:lang w:val="en-US" w:eastAsia="zh-CN"/>
              </w:rPr>
              <w:t xml:space="preserve"> </w:t>
            </w:r>
            <w:r w:rsidRPr="000A0A5F">
              <w:rPr>
                <w:rFonts w:hint="eastAsia"/>
                <w:lang w:eastAsia="zh-CN"/>
              </w:rPr>
              <w:t>"</w:t>
            </w:r>
            <w:r w:rsidRPr="000A0A5F">
              <w:t>AfEvent</w:t>
            </w:r>
            <w:r w:rsidRPr="000A0A5F">
              <w:rPr>
                <w:rFonts w:hint="eastAsia"/>
                <w:lang w:eastAsia="zh-CN"/>
              </w:rPr>
              <w:t>"</w:t>
            </w:r>
            <w:r w:rsidRPr="000A0A5F">
              <w:rPr>
                <w:rFonts w:hint="eastAsia"/>
                <w:lang w:val="en-US" w:eastAsia="zh-CN"/>
              </w:rPr>
              <w:t xml:space="preserve"> </w:t>
            </w:r>
            <w:r w:rsidRPr="000A0A5F">
              <w:rPr>
                <w:lang w:val="en-US" w:eastAsia="zh-CN"/>
              </w:rPr>
              <w:t>may</w:t>
            </w:r>
            <w:r w:rsidRPr="000A0A5F">
              <w:rPr>
                <w:rFonts w:hint="eastAsia"/>
                <w:lang w:val="en-US" w:eastAsia="zh-CN"/>
              </w:rPr>
              <w:t xml:space="preserve"> be included: </w:t>
            </w:r>
            <w:r w:rsidRPr="000A0A5F">
              <w:rPr>
                <w:rFonts w:hint="eastAsia"/>
                <w:lang w:eastAsia="zh-CN"/>
              </w:rPr>
              <w:t>"</w:t>
            </w:r>
            <w:r w:rsidRPr="000A0A5F">
              <w:t>QOS_MONITORING</w:t>
            </w:r>
            <w:r w:rsidRPr="000A0A5F">
              <w:rPr>
                <w:rFonts w:hint="eastAsia"/>
                <w:lang w:eastAsia="zh-CN"/>
              </w:rPr>
              <w:t>"</w:t>
            </w:r>
            <w:r w:rsidRPr="000A0A5F">
              <w:rPr>
                <w:rFonts w:hint="eastAsia"/>
                <w:lang w:val="en-US" w:eastAsia="zh-CN"/>
              </w:rPr>
              <w:t xml:space="preserve">, </w:t>
            </w:r>
            <w:r w:rsidRPr="000A0A5F">
              <w:rPr>
                <w:rFonts w:hint="eastAsia"/>
                <w:lang w:eastAsia="zh-CN"/>
              </w:rPr>
              <w:t>"</w:t>
            </w:r>
            <w:r w:rsidRPr="000A0A5F">
              <w:t>PACK_DEL_VAR</w:t>
            </w:r>
            <w:r w:rsidRPr="000A0A5F">
              <w:rPr>
                <w:rFonts w:hint="eastAsia"/>
                <w:lang w:eastAsia="zh-CN"/>
              </w:rPr>
              <w:t>"</w:t>
            </w:r>
            <w:r w:rsidRPr="000A0A5F">
              <w:rPr>
                <w:rFonts w:hint="eastAsia"/>
                <w:lang w:val="en-US" w:eastAsia="zh-CN"/>
              </w:rPr>
              <w:t xml:space="preserve">, </w:t>
            </w:r>
            <w:r w:rsidRPr="000A0A5F">
              <w:rPr>
                <w:rFonts w:hint="eastAsia"/>
                <w:lang w:eastAsia="zh-CN"/>
              </w:rPr>
              <w:t>"</w:t>
            </w:r>
            <w:r w:rsidRPr="000A0A5F">
              <w:t>RT_DELAY_TWO_QOS_FLOWS</w:t>
            </w:r>
            <w:r w:rsidRPr="000A0A5F">
              <w:rPr>
                <w:rFonts w:hint="eastAsia"/>
                <w:lang w:eastAsia="zh-CN"/>
              </w:rPr>
              <w:t>"</w:t>
            </w:r>
            <w:r w:rsidRPr="000A0A5F">
              <w:rPr>
                <w:rFonts w:hint="eastAsia"/>
                <w:lang w:val="en-US" w:eastAsia="zh-CN"/>
              </w:rPr>
              <w:t>.</w:t>
            </w:r>
          </w:p>
        </w:tc>
      </w:tr>
    </w:tbl>
    <w:p w:rsidR="00DE6211" w:rsidRPr="000A0A5F" w:rsidRDefault="00DE6211" w:rsidP="00DE6211"/>
    <w:p w:rsidR="00DE6211" w:rsidRPr="000A0A5F" w:rsidRDefault="00DE6211" w:rsidP="00DE6211">
      <w:pPr>
        <w:pStyle w:val="EditorsNote"/>
      </w:pPr>
      <w:r w:rsidRPr="000A0A5F">
        <w:t xml:space="preserve">Editor’s </w:t>
      </w:r>
      <w:r w:rsidR="004820DC">
        <w:t>N</w:t>
      </w:r>
      <w:r w:rsidRPr="000A0A5F">
        <w:t>ote: It is FFS whether the notifUri and notifCorreId attributes may be required for the evSubsc attribute.</w:t>
      </w:r>
    </w:p>
    <w:p w:rsidR="00305B31" w:rsidRPr="000A0A5F" w:rsidRDefault="00305B31" w:rsidP="00305B31"/>
    <w:p w:rsidR="00305B31" w:rsidRPr="000A0A5F" w:rsidRDefault="00305B31" w:rsidP="00305B31">
      <w:pPr>
        <w:pStyle w:val="Heading5"/>
      </w:pPr>
      <w:bookmarkStart w:id="9204" w:name="_Toc122110309"/>
      <w:bookmarkStart w:id="9205" w:name="_Toc153625877"/>
      <w:r w:rsidRPr="000A0A5F">
        <w:t>5.14.2.1.15</w:t>
      </w:r>
      <w:r w:rsidRPr="000A0A5F">
        <w:tab/>
        <w:t xml:space="preserve">Type: </w:t>
      </w:r>
      <w:bookmarkEnd w:id="9204"/>
      <w:r w:rsidRPr="000A0A5F">
        <w:t>MultiModalFlows</w:t>
      </w:r>
      <w:bookmarkEnd w:id="9205"/>
    </w:p>
    <w:p w:rsidR="00305B31" w:rsidRPr="000A0A5F" w:rsidRDefault="00305B31" w:rsidP="00305B31">
      <w:r w:rsidRPr="000A0A5F">
        <w:t>This type represents a flow information within a single-modal data flow. It shall comply with the provisions defined in table 5.14.2.1.15-1.</w:t>
      </w:r>
    </w:p>
    <w:p w:rsidR="00305B31" w:rsidRPr="000A0A5F" w:rsidRDefault="00305B31" w:rsidP="00305B31">
      <w:pPr>
        <w:pStyle w:val="TH"/>
      </w:pPr>
      <w:r w:rsidRPr="000A0A5F">
        <w:t>Table 5.14.2.1.15-1: Definition of the type MultiModalFlows</w:t>
      </w:r>
    </w:p>
    <w:tbl>
      <w:tblPr>
        <w:tblW w:w="5122"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870"/>
        <w:gridCol w:w="2068"/>
        <w:gridCol w:w="1323"/>
        <w:gridCol w:w="4837"/>
      </w:tblGrid>
      <w:tr w:rsidR="00305B31" w:rsidRPr="000A0A5F" w:rsidTr="00492243">
        <w:tc>
          <w:tcPr>
            <w:tcW w:w="926" w:type="pct"/>
            <w:shd w:val="clear" w:color="auto" w:fill="C0C0C0"/>
            <w:tcMar>
              <w:top w:w="0" w:type="dxa"/>
              <w:left w:w="108" w:type="dxa"/>
              <w:bottom w:w="0" w:type="dxa"/>
              <w:right w:w="108" w:type="dxa"/>
            </w:tcMar>
          </w:tcPr>
          <w:p w:rsidR="00305B31" w:rsidRPr="000A0A5F" w:rsidRDefault="00305B31" w:rsidP="00492243">
            <w:pPr>
              <w:pStyle w:val="TAH"/>
            </w:pPr>
            <w:r w:rsidRPr="000A0A5F">
              <w:t>Attribute name</w:t>
            </w:r>
          </w:p>
        </w:tc>
        <w:tc>
          <w:tcPr>
            <w:tcW w:w="1024" w:type="pct"/>
            <w:shd w:val="clear" w:color="auto" w:fill="C0C0C0"/>
            <w:tcMar>
              <w:top w:w="0" w:type="dxa"/>
              <w:left w:w="108" w:type="dxa"/>
              <w:bottom w:w="0" w:type="dxa"/>
              <w:right w:w="108" w:type="dxa"/>
            </w:tcMar>
          </w:tcPr>
          <w:p w:rsidR="00305B31" w:rsidRPr="000A0A5F" w:rsidRDefault="00305B31" w:rsidP="00492243">
            <w:pPr>
              <w:pStyle w:val="TAH"/>
            </w:pPr>
            <w:r w:rsidRPr="000A0A5F">
              <w:t>Data type</w:t>
            </w:r>
          </w:p>
        </w:tc>
        <w:tc>
          <w:tcPr>
            <w:tcW w:w="655" w:type="pct"/>
            <w:shd w:val="clear" w:color="auto" w:fill="C0C0C0"/>
            <w:tcMar>
              <w:top w:w="0" w:type="dxa"/>
              <w:left w:w="108" w:type="dxa"/>
              <w:bottom w:w="0" w:type="dxa"/>
              <w:right w:w="108" w:type="dxa"/>
            </w:tcMar>
          </w:tcPr>
          <w:p w:rsidR="00305B31" w:rsidRPr="000A0A5F" w:rsidRDefault="00305B31" w:rsidP="00492243">
            <w:pPr>
              <w:pStyle w:val="TAH"/>
            </w:pPr>
            <w:r w:rsidRPr="000A0A5F">
              <w:t>Cardinality</w:t>
            </w:r>
          </w:p>
        </w:tc>
        <w:tc>
          <w:tcPr>
            <w:tcW w:w="2395" w:type="pct"/>
            <w:shd w:val="clear" w:color="auto" w:fill="C0C0C0"/>
            <w:tcMar>
              <w:top w:w="0" w:type="dxa"/>
              <w:left w:w="108" w:type="dxa"/>
              <w:bottom w:w="0" w:type="dxa"/>
              <w:right w:w="108" w:type="dxa"/>
            </w:tcMar>
          </w:tcPr>
          <w:p w:rsidR="00305B31" w:rsidRPr="000A0A5F" w:rsidRDefault="00305B31" w:rsidP="00492243">
            <w:pPr>
              <w:pStyle w:val="TAH"/>
            </w:pPr>
            <w:r w:rsidRPr="000A0A5F">
              <w:t>Description</w:t>
            </w:r>
          </w:p>
        </w:tc>
      </w:tr>
      <w:tr w:rsidR="00305B31" w:rsidRPr="000A0A5F" w:rsidTr="00492243">
        <w:tc>
          <w:tcPr>
            <w:tcW w:w="926" w:type="pct"/>
            <w:shd w:val="clear" w:color="auto" w:fill="auto"/>
            <w:tcMar>
              <w:top w:w="0" w:type="dxa"/>
              <w:left w:w="108" w:type="dxa"/>
              <w:bottom w:w="0" w:type="dxa"/>
              <w:right w:w="108" w:type="dxa"/>
            </w:tcMar>
          </w:tcPr>
          <w:p w:rsidR="00305B31" w:rsidRPr="000A0A5F" w:rsidRDefault="00305B31" w:rsidP="00492243">
            <w:pPr>
              <w:pStyle w:val="TAL"/>
              <w:rPr>
                <w:lang w:eastAsia="zh-CN"/>
              </w:rPr>
            </w:pPr>
            <w:r w:rsidRPr="000A0A5F">
              <w:t>medCompN</w:t>
            </w:r>
          </w:p>
        </w:tc>
        <w:tc>
          <w:tcPr>
            <w:tcW w:w="1024" w:type="pct"/>
            <w:shd w:val="clear" w:color="auto" w:fill="auto"/>
            <w:tcMar>
              <w:top w:w="0" w:type="dxa"/>
              <w:left w:w="108" w:type="dxa"/>
              <w:bottom w:w="0" w:type="dxa"/>
              <w:right w:w="108" w:type="dxa"/>
            </w:tcMar>
          </w:tcPr>
          <w:p w:rsidR="00305B31" w:rsidRPr="000A0A5F" w:rsidRDefault="00305B31" w:rsidP="00492243">
            <w:pPr>
              <w:pStyle w:val="TAL"/>
            </w:pPr>
            <w:r w:rsidRPr="000A0A5F">
              <w:t>integer</w:t>
            </w:r>
          </w:p>
        </w:tc>
        <w:tc>
          <w:tcPr>
            <w:tcW w:w="655" w:type="pct"/>
            <w:shd w:val="clear" w:color="auto" w:fill="auto"/>
            <w:tcMar>
              <w:top w:w="0" w:type="dxa"/>
              <w:left w:w="108" w:type="dxa"/>
              <w:bottom w:w="0" w:type="dxa"/>
              <w:right w:w="108" w:type="dxa"/>
            </w:tcMar>
          </w:tcPr>
          <w:p w:rsidR="00305B31" w:rsidRPr="000A0A5F" w:rsidRDefault="00305B31" w:rsidP="00492243">
            <w:pPr>
              <w:pStyle w:val="TAL"/>
            </w:pPr>
            <w:r w:rsidRPr="000A0A5F">
              <w:t>1</w:t>
            </w:r>
          </w:p>
        </w:tc>
        <w:tc>
          <w:tcPr>
            <w:tcW w:w="2395" w:type="pct"/>
            <w:shd w:val="clear" w:color="auto" w:fill="auto"/>
            <w:tcMar>
              <w:top w:w="0" w:type="dxa"/>
              <w:left w:w="108" w:type="dxa"/>
              <w:bottom w:w="0" w:type="dxa"/>
              <w:right w:w="108" w:type="dxa"/>
            </w:tcMar>
          </w:tcPr>
          <w:p w:rsidR="00305B31" w:rsidRPr="000A0A5F" w:rsidRDefault="00305B31" w:rsidP="00492243">
            <w:pPr>
              <w:pStyle w:val="TAL"/>
            </w:pPr>
            <w:r w:rsidRPr="000A0A5F">
              <w:t>It contains the ordinal number of the single-modal data flow. Identifies the single-modal data flow</w:t>
            </w:r>
          </w:p>
        </w:tc>
      </w:tr>
      <w:tr w:rsidR="00305B31" w:rsidRPr="000A0A5F" w:rsidTr="00492243">
        <w:tc>
          <w:tcPr>
            <w:tcW w:w="926" w:type="pct"/>
            <w:shd w:val="clear" w:color="auto" w:fill="auto"/>
            <w:tcMar>
              <w:top w:w="0" w:type="dxa"/>
              <w:left w:w="108" w:type="dxa"/>
              <w:bottom w:w="0" w:type="dxa"/>
              <w:right w:w="108" w:type="dxa"/>
            </w:tcMar>
          </w:tcPr>
          <w:p w:rsidR="00305B31" w:rsidRPr="000A0A5F" w:rsidRDefault="00305B31" w:rsidP="00492243">
            <w:pPr>
              <w:pStyle w:val="TAL"/>
              <w:rPr>
                <w:lang w:eastAsia="zh-CN"/>
              </w:rPr>
            </w:pPr>
            <w:r w:rsidRPr="000A0A5F">
              <w:rPr>
                <w:rFonts w:hint="eastAsia"/>
                <w:lang w:eastAsia="zh-CN"/>
              </w:rPr>
              <w:t>flow</w:t>
            </w:r>
            <w:r w:rsidRPr="000A0A5F">
              <w:rPr>
                <w:lang w:eastAsia="zh-CN"/>
              </w:rPr>
              <w:t>Ids</w:t>
            </w:r>
          </w:p>
        </w:tc>
        <w:tc>
          <w:tcPr>
            <w:tcW w:w="1024" w:type="pct"/>
            <w:shd w:val="clear" w:color="auto" w:fill="auto"/>
            <w:tcMar>
              <w:top w:w="0" w:type="dxa"/>
              <w:left w:w="108" w:type="dxa"/>
              <w:bottom w:w="0" w:type="dxa"/>
              <w:right w:w="108" w:type="dxa"/>
            </w:tcMar>
          </w:tcPr>
          <w:p w:rsidR="00305B31" w:rsidRPr="000A0A5F" w:rsidRDefault="00305B31" w:rsidP="00492243">
            <w:pPr>
              <w:pStyle w:val="TAL"/>
            </w:pPr>
            <w:r w:rsidRPr="000A0A5F">
              <w:rPr>
                <w:lang w:eastAsia="zh-CN"/>
              </w:rPr>
              <w:t>array(integer)</w:t>
            </w:r>
          </w:p>
        </w:tc>
        <w:tc>
          <w:tcPr>
            <w:tcW w:w="655" w:type="pct"/>
            <w:shd w:val="clear" w:color="auto" w:fill="auto"/>
            <w:tcMar>
              <w:top w:w="0" w:type="dxa"/>
              <w:left w:w="108" w:type="dxa"/>
              <w:bottom w:w="0" w:type="dxa"/>
              <w:right w:w="108" w:type="dxa"/>
            </w:tcMar>
          </w:tcPr>
          <w:p w:rsidR="00305B31" w:rsidRPr="000A0A5F" w:rsidRDefault="00305B31" w:rsidP="00492243">
            <w:pPr>
              <w:pStyle w:val="TAL"/>
            </w:pPr>
            <w:r w:rsidRPr="000A0A5F">
              <w:rPr>
                <w:rFonts w:hint="eastAsia"/>
                <w:lang w:eastAsia="zh-CN"/>
              </w:rPr>
              <w:t>0..N</w:t>
            </w:r>
          </w:p>
        </w:tc>
        <w:tc>
          <w:tcPr>
            <w:tcW w:w="2395" w:type="pct"/>
            <w:shd w:val="clear" w:color="auto" w:fill="auto"/>
            <w:tcMar>
              <w:top w:w="0" w:type="dxa"/>
              <w:left w:w="108" w:type="dxa"/>
              <w:bottom w:w="0" w:type="dxa"/>
              <w:right w:w="108" w:type="dxa"/>
            </w:tcMar>
          </w:tcPr>
          <w:p w:rsidR="00305B31" w:rsidRPr="000A0A5F" w:rsidRDefault="00305B31" w:rsidP="00492243">
            <w:pPr>
              <w:pStyle w:val="TAL"/>
            </w:pPr>
            <w:r w:rsidRPr="000A0A5F">
              <w:rPr>
                <w:lang w:eastAsia="zh-CN"/>
              </w:rPr>
              <w:t>Identifies the affected flows within the single-modal data flow (identified by the medCompN attribute). It may be omitted when all flows are affected.</w:t>
            </w:r>
          </w:p>
        </w:tc>
      </w:tr>
    </w:tbl>
    <w:p w:rsidR="00305B31" w:rsidRPr="000A0A5F" w:rsidRDefault="00305B31" w:rsidP="00305B31">
      <w:pPr>
        <w:rPr>
          <w:lang w:val="en-US"/>
        </w:rPr>
      </w:pPr>
    </w:p>
    <w:p w:rsidR="009F079F" w:rsidRDefault="009F079F" w:rsidP="009F079F">
      <w:pPr>
        <w:pStyle w:val="Heading5"/>
      </w:pPr>
      <w:bookmarkStart w:id="9206" w:name="_Toc153625878"/>
      <w:r>
        <w:t>5.14.2.1.16</w:t>
      </w:r>
      <w:r>
        <w:tab/>
        <w:t>Type: UeAddInfo</w:t>
      </w:r>
      <w:bookmarkEnd w:id="9206"/>
    </w:p>
    <w:p w:rsidR="009F079F" w:rsidRDefault="009F079F" w:rsidP="009F079F">
      <w:r>
        <w:t>This type represents UEs Address information. It shall comply with the provisions defined in table 5.14.2.1.16-1.</w:t>
      </w:r>
    </w:p>
    <w:p w:rsidR="009F079F" w:rsidRDefault="009F079F" w:rsidP="009F079F">
      <w:pPr>
        <w:pStyle w:val="TH"/>
      </w:pPr>
      <w:r>
        <w:t>Table 5.14.2.1.16-1: Definition of the type UeAddInfo</w:t>
      </w:r>
    </w:p>
    <w:tbl>
      <w:tblPr>
        <w:tblW w:w="514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809"/>
        <w:gridCol w:w="1561"/>
        <w:gridCol w:w="1274"/>
        <w:gridCol w:w="3402"/>
        <w:gridCol w:w="1984"/>
      </w:tblGrid>
      <w:tr w:rsidR="009F079F" w:rsidTr="009F079F">
        <w:tc>
          <w:tcPr>
            <w:tcW w:w="902" w:type="pct"/>
            <w:shd w:val="clear" w:color="auto" w:fill="C0C0C0"/>
            <w:tcMar>
              <w:top w:w="0" w:type="dxa"/>
              <w:left w:w="108" w:type="dxa"/>
              <w:bottom w:w="0" w:type="dxa"/>
              <w:right w:w="108" w:type="dxa"/>
            </w:tcMar>
          </w:tcPr>
          <w:p w:rsidR="009F079F" w:rsidRDefault="009F079F" w:rsidP="006A2752">
            <w:pPr>
              <w:pStyle w:val="TAH"/>
            </w:pPr>
            <w:r>
              <w:t>Attribute name</w:t>
            </w:r>
          </w:p>
        </w:tc>
        <w:tc>
          <w:tcPr>
            <w:tcW w:w="778" w:type="pct"/>
            <w:shd w:val="clear" w:color="auto" w:fill="C0C0C0"/>
            <w:tcMar>
              <w:top w:w="0" w:type="dxa"/>
              <w:left w:w="108" w:type="dxa"/>
              <w:bottom w:w="0" w:type="dxa"/>
              <w:right w:w="108" w:type="dxa"/>
            </w:tcMar>
          </w:tcPr>
          <w:p w:rsidR="009F079F" w:rsidRDefault="009F079F" w:rsidP="006A2752">
            <w:pPr>
              <w:pStyle w:val="TAH"/>
            </w:pPr>
            <w:r>
              <w:t>Data type</w:t>
            </w:r>
          </w:p>
        </w:tc>
        <w:tc>
          <w:tcPr>
            <w:tcW w:w="635" w:type="pct"/>
            <w:shd w:val="clear" w:color="auto" w:fill="C0C0C0"/>
            <w:tcMar>
              <w:top w:w="0" w:type="dxa"/>
              <w:left w:w="108" w:type="dxa"/>
              <w:bottom w:w="0" w:type="dxa"/>
              <w:right w:w="108" w:type="dxa"/>
            </w:tcMar>
          </w:tcPr>
          <w:p w:rsidR="009F079F" w:rsidRDefault="009F079F" w:rsidP="006A2752">
            <w:pPr>
              <w:pStyle w:val="TAH"/>
            </w:pPr>
            <w:r>
              <w:t>Cardinality</w:t>
            </w:r>
          </w:p>
        </w:tc>
        <w:tc>
          <w:tcPr>
            <w:tcW w:w="1696" w:type="pct"/>
            <w:shd w:val="clear" w:color="auto" w:fill="C0C0C0"/>
            <w:tcMar>
              <w:top w:w="0" w:type="dxa"/>
              <w:left w:w="108" w:type="dxa"/>
              <w:bottom w:w="0" w:type="dxa"/>
              <w:right w:w="108" w:type="dxa"/>
            </w:tcMar>
          </w:tcPr>
          <w:p w:rsidR="009F079F" w:rsidRDefault="009F079F" w:rsidP="006A2752">
            <w:pPr>
              <w:pStyle w:val="TAH"/>
            </w:pPr>
            <w:r>
              <w:t>Description</w:t>
            </w:r>
          </w:p>
        </w:tc>
        <w:tc>
          <w:tcPr>
            <w:tcW w:w="989" w:type="pct"/>
            <w:shd w:val="clear" w:color="auto" w:fill="C0C0C0"/>
          </w:tcPr>
          <w:p w:rsidR="009F079F" w:rsidRDefault="009F079F" w:rsidP="006A2752">
            <w:pPr>
              <w:pStyle w:val="TAH"/>
            </w:pPr>
            <w:r>
              <w:rPr>
                <w:rFonts w:cs="Arial"/>
                <w:szCs w:val="18"/>
              </w:rPr>
              <w:t>Applicability</w:t>
            </w:r>
          </w:p>
        </w:tc>
      </w:tr>
      <w:tr w:rsidR="009F079F" w:rsidTr="009F079F">
        <w:tc>
          <w:tcPr>
            <w:tcW w:w="902" w:type="pct"/>
            <w:shd w:val="clear" w:color="auto" w:fill="auto"/>
            <w:tcMar>
              <w:top w:w="0" w:type="dxa"/>
              <w:left w:w="108" w:type="dxa"/>
              <w:bottom w:w="0" w:type="dxa"/>
              <w:right w:w="108" w:type="dxa"/>
            </w:tcMar>
          </w:tcPr>
          <w:p w:rsidR="009F079F" w:rsidRDefault="009F079F" w:rsidP="006A2752">
            <w:pPr>
              <w:pStyle w:val="TAL"/>
              <w:rPr>
                <w:lang w:eastAsia="zh-CN"/>
              </w:rPr>
            </w:pPr>
            <w:r>
              <w:rPr>
                <w:lang w:eastAsia="zh-CN"/>
              </w:rPr>
              <w:t>ueIpAddr</w:t>
            </w:r>
          </w:p>
        </w:tc>
        <w:tc>
          <w:tcPr>
            <w:tcW w:w="778" w:type="pct"/>
            <w:shd w:val="clear" w:color="auto" w:fill="auto"/>
            <w:tcMar>
              <w:top w:w="0" w:type="dxa"/>
              <w:left w:w="108" w:type="dxa"/>
              <w:bottom w:w="0" w:type="dxa"/>
              <w:right w:w="108" w:type="dxa"/>
            </w:tcMar>
          </w:tcPr>
          <w:p w:rsidR="009F079F" w:rsidRDefault="009F079F" w:rsidP="006A2752">
            <w:pPr>
              <w:pStyle w:val="TAL"/>
              <w:rPr>
                <w:lang w:eastAsia="zh-CN"/>
              </w:rPr>
            </w:pPr>
            <w:r>
              <w:rPr>
                <w:lang w:eastAsia="zh-CN"/>
              </w:rPr>
              <w:t>IpAddr</w:t>
            </w:r>
          </w:p>
        </w:tc>
        <w:tc>
          <w:tcPr>
            <w:tcW w:w="635" w:type="pct"/>
            <w:shd w:val="clear" w:color="auto" w:fill="auto"/>
            <w:tcMar>
              <w:top w:w="0" w:type="dxa"/>
              <w:left w:w="108" w:type="dxa"/>
              <w:bottom w:w="0" w:type="dxa"/>
              <w:right w:w="108" w:type="dxa"/>
            </w:tcMar>
          </w:tcPr>
          <w:p w:rsidR="009F079F" w:rsidRDefault="009F079F" w:rsidP="006A2752">
            <w:pPr>
              <w:pStyle w:val="TAL"/>
              <w:rPr>
                <w:lang w:eastAsia="zh-CN"/>
              </w:rPr>
            </w:pPr>
            <w:r>
              <w:rPr>
                <w:lang w:eastAsia="zh-CN"/>
              </w:rPr>
              <w:t>1</w:t>
            </w:r>
          </w:p>
        </w:tc>
        <w:tc>
          <w:tcPr>
            <w:tcW w:w="1696" w:type="pct"/>
            <w:shd w:val="clear" w:color="auto" w:fill="auto"/>
            <w:tcMar>
              <w:top w:w="0" w:type="dxa"/>
              <w:left w:w="108" w:type="dxa"/>
              <w:bottom w:w="0" w:type="dxa"/>
              <w:right w:w="108" w:type="dxa"/>
            </w:tcMar>
          </w:tcPr>
          <w:p w:rsidR="009F079F" w:rsidRDefault="009F079F" w:rsidP="006A2752">
            <w:pPr>
              <w:pStyle w:val="TAL"/>
              <w:spacing w:after="60"/>
              <w:rPr>
                <w:rFonts w:cs="Arial"/>
                <w:szCs w:val="18"/>
                <w:lang w:eastAsia="zh-CN"/>
              </w:rPr>
            </w:pPr>
            <w:r>
              <w:rPr>
                <w:rFonts w:cs="Arial"/>
                <w:szCs w:val="18"/>
                <w:lang w:eastAsia="zh-CN"/>
              </w:rPr>
              <w:t>Identifies the UE IP address.</w:t>
            </w:r>
          </w:p>
        </w:tc>
        <w:tc>
          <w:tcPr>
            <w:tcW w:w="989" w:type="pct"/>
          </w:tcPr>
          <w:p w:rsidR="009F079F" w:rsidRDefault="009F079F" w:rsidP="006A2752">
            <w:pPr>
              <w:pStyle w:val="TAL"/>
              <w:spacing w:after="60"/>
              <w:rPr>
                <w:rFonts w:cs="Arial"/>
                <w:szCs w:val="18"/>
                <w:lang w:eastAsia="zh-CN"/>
              </w:rPr>
            </w:pPr>
          </w:p>
        </w:tc>
      </w:tr>
      <w:tr w:rsidR="009F079F" w:rsidTr="009F079F">
        <w:tc>
          <w:tcPr>
            <w:tcW w:w="902" w:type="pct"/>
            <w:shd w:val="clear" w:color="auto" w:fill="auto"/>
            <w:tcMar>
              <w:top w:w="0" w:type="dxa"/>
              <w:left w:w="108" w:type="dxa"/>
              <w:bottom w:w="0" w:type="dxa"/>
              <w:right w:w="108" w:type="dxa"/>
            </w:tcMar>
          </w:tcPr>
          <w:p w:rsidR="009F079F" w:rsidRDefault="009F079F" w:rsidP="006A2752">
            <w:pPr>
              <w:pStyle w:val="TAL"/>
              <w:rPr>
                <w:lang w:eastAsia="zh-CN"/>
              </w:rPr>
            </w:pPr>
            <w:r>
              <w:rPr>
                <w:lang w:eastAsia="zh-CN"/>
              </w:rPr>
              <w:t>portNumber</w:t>
            </w:r>
          </w:p>
        </w:tc>
        <w:tc>
          <w:tcPr>
            <w:tcW w:w="778" w:type="pct"/>
            <w:shd w:val="clear" w:color="auto" w:fill="auto"/>
            <w:tcMar>
              <w:top w:w="0" w:type="dxa"/>
              <w:left w:w="108" w:type="dxa"/>
              <w:bottom w:w="0" w:type="dxa"/>
              <w:right w:w="108" w:type="dxa"/>
            </w:tcMar>
          </w:tcPr>
          <w:p w:rsidR="009F079F" w:rsidRDefault="009F079F" w:rsidP="006A2752">
            <w:pPr>
              <w:pStyle w:val="TAL"/>
              <w:rPr>
                <w:lang w:eastAsia="zh-CN"/>
              </w:rPr>
            </w:pPr>
            <w:r>
              <w:rPr>
                <w:lang w:eastAsia="zh-CN"/>
              </w:rPr>
              <w:t>Port</w:t>
            </w:r>
          </w:p>
        </w:tc>
        <w:tc>
          <w:tcPr>
            <w:tcW w:w="635" w:type="pct"/>
            <w:shd w:val="clear" w:color="auto" w:fill="auto"/>
            <w:tcMar>
              <w:top w:w="0" w:type="dxa"/>
              <w:left w:w="108" w:type="dxa"/>
              <w:bottom w:w="0" w:type="dxa"/>
              <w:right w:w="108" w:type="dxa"/>
            </w:tcMar>
          </w:tcPr>
          <w:p w:rsidR="009F079F" w:rsidRDefault="009F079F" w:rsidP="006A2752">
            <w:pPr>
              <w:pStyle w:val="TAL"/>
              <w:rPr>
                <w:lang w:eastAsia="zh-CN"/>
              </w:rPr>
            </w:pPr>
            <w:r>
              <w:rPr>
                <w:lang w:eastAsia="zh-CN"/>
              </w:rPr>
              <w:t>0..1</w:t>
            </w:r>
          </w:p>
        </w:tc>
        <w:tc>
          <w:tcPr>
            <w:tcW w:w="1696" w:type="pct"/>
            <w:shd w:val="clear" w:color="auto" w:fill="auto"/>
            <w:tcMar>
              <w:top w:w="0" w:type="dxa"/>
              <w:left w:w="108" w:type="dxa"/>
              <w:bottom w:w="0" w:type="dxa"/>
              <w:right w:w="108" w:type="dxa"/>
            </w:tcMar>
          </w:tcPr>
          <w:p w:rsidR="009F079F" w:rsidRDefault="009F079F" w:rsidP="006A2752">
            <w:pPr>
              <w:pStyle w:val="TAL"/>
              <w:spacing w:after="60"/>
              <w:rPr>
                <w:rFonts w:cs="Arial"/>
                <w:szCs w:val="18"/>
                <w:lang w:eastAsia="zh-CN"/>
              </w:rPr>
            </w:pPr>
            <w:r w:rsidRPr="00BB36D0">
              <w:rPr>
                <w:rFonts w:cs="Arial"/>
                <w:szCs w:val="18"/>
                <w:lang w:eastAsia="zh-CN"/>
              </w:rPr>
              <w:t>Indicates the UDP or TCP port number associated with the UE IP address as provided in the "ueIpAddr" attribute</w:t>
            </w:r>
          </w:p>
        </w:tc>
        <w:tc>
          <w:tcPr>
            <w:tcW w:w="989" w:type="pct"/>
          </w:tcPr>
          <w:p w:rsidR="009F079F" w:rsidRDefault="009F079F" w:rsidP="006A2752">
            <w:pPr>
              <w:pStyle w:val="TAL"/>
              <w:spacing w:after="60"/>
              <w:rPr>
                <w:rFonts w:cs="Arial"/>
                <w:szCs w:val="18"/>
                <w:lang w:eastAsia="zh-CN"/>
              </w:rPr>
            </w:pPr>
          </w:p>
        </w:tc>
      </w:tr>
    </w:tbl>
    <w:p w:rsidR="005B5A0C" w:rsidRPr="000A0A5F" w:rsidRDefault="005B5A0C"/>
    <w:p w:rsidR="00CB0DD7" w:rsidRPr="000A0A5F" w:rsidRDefault="00CB0DD7">
      <w:pPr>
        <w:pStyle w:val="Heading4"/>
      </w:pPr>
      <w:bookmarkStart w:id="9207" w:name="_Toc74756140"/>
      <w:bookmarkStart w:id="9208" w:name="_Toc105675017"/>
      <w:bookmarkStart w:id="9209" w:name="_Toc130503087"/>
      <w:bookmarkStart w:id="9210" w:name="_Toc153625879"/>
      <w:r w:rsidRPr="000A0A5F">
        <w:t>5.1</w:t>
      </w:r>
      <w:r w:rsidRPr="000A0A5F">
        <w:rPr>
          <w:rFonts w:hint="eastAsia"/>
          <w:lang w:eastAsia="zh-CN"/>
        </w:rPr>
        <w:t>4</w:t>
      </w:r>
      <w:r w:rsidRPr="000A0A5F">
        <w:t>.2.2</w:t>
      </w:r>
      <w:r w:rsidRPr="000A0A5F">
        <w:tab/>
        <w:t>Referenced simple data types and enumerations</w:t>
      </w:r>
      <w:bookmarkEnd w:id="9192"/>
      <w:bookmarkEnd w:id="9193"/>
      <w:bookmarkEnd w:id="9194"/>
      <w:bookmarkEnd w:id="9195"/>
      <w:bookmarkEnd w:id="9196"/>
      <w:bookmarkEnd w:id="9197"/>
      <w:bookmarkEnd w:id="9207"/>
      <w:bookmarkEnd w:id="9208"/>
      <w:bookmarkEnd w:id="9209"/>
      <w:bookmarkEnd w:id="9210"/>
    </w:p>
    <w:p w:rsidR="00CB0DD7" w:rsidRPr="000A0A5F" w:rsidRDefault="00CB0DD7">
      <w:pPr>
        <w:pStyle w:val="Heading5"/>
      </w:pPr>
      <w:bookmarkStart w:id="9211" w:name="_Toc19871736"/>
      <w:bookmarkStart w:id="9212" w:name="_Toc36034073"/>
      <w:bookmarkStart w:id="9213" w:name="_Toc45132220"/>
      <w:bookmarkStart w:id="9214" w:name="_Toc49776505"/>
      <w:bookmarkStart w:id="9215" w:name="_Toc51747425"/>
      <w:bookmarkStart w:id="9216" w:name="_Toc66361004"/>
      <w:bookmarkStart w:id="9217" w:name="_Toc68105509"/>
      <w:bookmarkStart w:id="9218" w:name="_Toc74756141"/>
      <w:bookmarkStart w:id="9219" w:name="_Toc105675018"/>
      <w:bookmarkStart w:id="9220" w:name="_Toc130503088"/>
      <w:bookmarkStart w:id="9221" w:name="_Toc153625880"/>
      <w:r w:rsidRPr="000A0A5F">
        <w:t>5.1</w:t>
      </w:r>
      <w:r w:rsidRPr="000A0A5F">
        <w:rPr>
          <w:rFonts w:hint="eastAsia"/>
          <w:lang w:eastAsia="zh-CN"/>
        </w:rPr>
        <w:t>4</w:t>
      </w:r>
      <w:r w:rsidRPr="000A0A5F">
        <w:t>.2.2.1</w:t>
      </w:r>
      <w:r w:rsidRPr="000A0A5F">
        <w:tab/>
        <w:t>Introduction</w:t>
      </w:r>
      <w:bookmarkEnd w:id="9211"/>
      <w:bookmarkEnd w:id="9212"/>
      <w:bookmarkEnd w:id="9213"/>
      <w:bookmarkEnd w:id="9214"/>
      <w:bookmarkEnd w:id="9215"/>
      <w:bookmarkEnd w:id="9216"/>
      <w:bookmarkEnd w:id="9217"/>
      <w:bookmarkEnd w:id="9218"/>
      <w:bookmarkEnd w:id="9219"/>
      <w:bookmarkEnd w:id="9220"/>
      <w:bookmarkEnd w:id="9221"/>
    </w:p>
    <w:p w:rsidR="00CB0DD7" w:rsidRPr="000A0A5F" w:rsidRDefault="00CB0DD7">
      <w:r w:rsidRPr="000A0A5F">
        <w:t>This clause defines simple data types and enumerations that can be referenced from data structures defined in the previous clauses. In addition, data types and enumerations defined in clause</w:t>
      </w:r>
      <w:r w:rsidR="000902D9" w:rsidRPr="000A0A5F">
        <w:t> </w:t>
      </w:r>
      <w:r w:rsidRPr="000A0A5F">
        <w:t>5.2.1 can be referenced.</w:t>
      </w:r>
    </w:p>
    <w:p w:rsidR="00CB0DD7" w:rsidRPr="000A0A5F" w:rsidRDefault="00CB0DD7">
      <w:pPr>
        <w:pStyle w:val="Heading5"/>
      </w:pPr>
      <w:bookmarkStart w:id="9222" w:name="_Toc19871737"/>
      <w:bookmarkStart w:id="9223" w:name="_Toc36034074"/>
      <w:bookmarkStart w:id="9224" w:name="_Toc45132221"/>
      <w:bookmarkStart w:id="9225" w:name="_Toc49776506"/>
      <w:bookmarkStart w:id="9226" w:name="_Toc51747426"/>
      <w:bookmarkStart w:id="9227" w:name="_Toc66361005"/>
      <w:bookmarkStart w:id="9228" w:name="_Toc68105510"/>
      <w:bookmarkStart w:id="9229" w:name="_Toc74756142"/>
      <w:bookmarkStart w:id="9230" w:name="_Toc105675019"/>
      <w:bookmarkStart w:id="9231" w:name="_Toc130503089"/>
      <w:bookmarkStart w:id="9232" w:name="_Toc153625881"/>
      <w:r w:rsidRPr="000A0A5F">
        <w:t>5.1</w:t>
      </w:r>
      <w:r w:rsidRPr="000A0A5F">
        <w:rPr>
          <w:rFonts w:hint="eastAsia"/>
          <w:lang w:eastAsia="zh-CN"/>
        </w:rPr>
        <w:t>4</w:t>
      </w:r>
      <w:r w:rsidRPr="000A0A5F">
        <w:t>.2.2.2</w:t>
      </w:r>
      <w:r w:rsidRPr="000A0A5F">
        <w:tab/>
        <w:t>Simple data types</w:t>
      </w:r>
      <w:bookmarkEnd w:id="9222"/>
      <w:bookmarkEnd w:id="9223"/>
      <w:bookmarkEnd w:id="9224"/>
      <w:bookmarkEnd w:id="9225"/>
      <w:bookmarkEnd w:id="9226"/>
      <w:bookmarkEnd w:id="9227"/>
      <w:bookmarkEnd w:id="9228"/>
      <w:bookmarkEnd w:id="9229"/>
      <w:bookmarkEnd w:id="9230"/>
      <w:bookmarkEnd w:id="9231"/>
      <w:bookmarkEnd w:id="9232"/>
      <w:r w:rsidRPr="000A0A5F">
        <w:t xml:space="preserve"> </w:t>
      </w:r>
    </w:p>
    <w:p w:rsidR="00CB0DD7" w:rsidRPr="000A0A5F" w:rsidRDefault="00CB0DD7">
      <w:r w:rsidRPr="000A0A5F">
        <w:t>The simple data types defined in table 5.1</w:t>
      </w:r>
      <w:r w:rsidRPr="000A0A5F">
        <w:rPr>
          <w:rFonts w:hint="eastAsia"/>
          <w:lang w:eastAsia="zh-CN"/>
        </w:rPr>
        <w:t>4</w:t>
      </w:r>
      <w:r w:rsidRPr="000A0A5F">
        <w:t>.2.2.2-1 shall be supported.</w:t>
      </w:r>
    </w:p>
    <w:p w:rsidR="00CB0DD7" w:rsidRPr="000A0A5F" w:rsidRDefault="00CB0DD7">
      <w:pPr>
        <w:pStyle w:val="TH"/>
      </w:pPr>
      <w:r w:rsidRPr="000A0A5F">
        <w:t>Table 5.1</w:t>
      </w:r>
      <w:r w:rsidRPr="000A0A5F">
        <w:rPr>
          <w:rFonts w:hint="eastAsia"/>
          <w:lang w:eastAsia="zh-CN"/>
        </w:rPr>
        <w:t>4</w:t>
      </w:r>
      <w:r w:rsidRPr="000A0A5F">
        <w:t>.2.2.2-1: Simple data types</w:t>
      </w:r>
    </w:p>
    <w:tbl>
      <w:tblPr>
        <w:tblW w:w="465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865"/>
        <w:gridCol w:w="7302"/>
      </w:tblGrid>
      <w:tr w:rsidR="00CB0DD7" w:rsidRPr="000A0A5F" w:rsidTr="00FF0AF8">
        <w:tc>
          <w:tcPr>
            <w:tcW w:w="1017" w:type="pct"/>
            <w:shd w:val="clear" w:color="auto" w:fill="C0C0C0"/>
            <w:tcMar>
              <w:top w:w="0" w:type="dxa"/>
              <w:left w:w="108" w:type="dxa"/>
              <w:bottom w:w="0" w:type="dxa"/>
              <w:right w:w="108" w:type="dxa"/>
            </w:tcMar>
            <w:hideMark/>
          </w:tcPr>
          <w:p w:rsidR="00CB0DD7" w:rsidRPr="000A0A5F" w:rsidRDefault="00CB0DD7">
            <w:pPr>
              <w:pStyle w:val="TAH"/>
            </w:pPr>
            <w:r w:rsidRPr="000A0A5F">
              <w:t>Type name</w:t>
            </w:r>
          </w:p>
        </w:tc>
        <w:tc>
          <w:tcPr>
            <w:tcW w:w="3983" w:type="pct"/>
            <w:shd w:val="clear" w:color="auto" w:fill="C0C0C0"/>
            <w:tcMar>
              <w:top w:w="0" w:type="dxa"/>
              <w:left w:w="108" w:type="dxa"/>
              <w:bottom w:w="0" w:type="dxa"/>
              <w:right w:w="108" w:type="dxa"/>
            </w:tcMar>
            <w:hideMark/>
          </w:tcPr>
          <w:p w:rsidR="00CB0DD7" w:rsidRPr="000A0A5F" w:rsidRDefault="00CB0DD7">
            <w:pPr>
              <w:pStyle w:val="TAH"/>
            </w:pPr>
            <w:r w:rsidRPr="000A0A5F">
              <w:t>Description</w:t>
            </w:r>
          </w:p>
        </w:tc>
      </w:tr>
      <w:tr w:rsidR="00CB0DD7" w:rsidRPr="000A0A5F" w:rsidTr="00FF0AF8">
        <w:tc>
          <w:tcPr>
            <w:tcW w:w="1017" w:type="pct"/>
            <w:tcMar>
              <w:top w:w="0" w:type="dxa"/>
              <w:left w:w="108" w:type="dxa"/>
              <w:bottom w:w="0" w:type="dxa"/>
              <w:right w:w="108" w:type="dxa"/>
            </w:tcMar>
          </w:tcPr>
          <w:p w:rsidR="00CB0DD7" w:rsidRPr="000A0A5F" w:rsidRDefault="00CB0DD7">
            <w:pPr>
              <w:pStyle w:val="TAL"/>
            </w:pPr>
          </w:p>
        </w:tc>
        <w:tc>
          <w:tcPr>
            <w:tcW w:w="3983" w:type="pct"/>
            <w:tcMar>
              <w:top w:w="0" w:type="dxa"/>
              <w:left w:w="108" w:type="dxa"/>
              <w:bottom w:w="0" w:type="dxa"/>
              <w:right w:w="108" w:type="dxa"/>
            </w:tcMar>
          </w:tcPr>
          <w:p w:rsidR="00CB0DD7" w:rsidRPr="000A0A5F" w:rsidRDefault="00CB0DD7">
            <w:pPr>
              <w:pStyle w:val="TAL"/>
            </w:pPr>
          </w:p>
        </w:tc>
      </w:tr>
    </w:tbl>
    <w:p w:rsidR="00CB0DD7" w:rsidRPr="000A0A5F" w:rsidRDefault="00CB0DD7"/>
    <w:p w:rsidR="00CB0DD7" w:rsidRPr="000A0A5F" w:rsidRDefault="00CB0DD7">
      <w:pPr>
        <w:pStyle w:val="Heading5"/>
      </w:pPr>
      <w:bookmarkStart w:id="9233" w:name="_Toc19871738"/>
      <w:bookmarkStart w:id="9234" w:name="_Toc36034075"/>
      <w:bookmarkStart w:id="9235" w:name="_Toc45132222"/>
      <w:bookmarkStart w:id="9236" w:name="_Toc49776507"/>
      <w:bookmarkStart w:id="9237" w:name="_Toc51747427"/>
      <w:bookmarkStart w:id="9238" w:name="_Toc66361006"/>
      <w:bookmarkStart w:id="9239" w:name="_Toc68105511"/>
      <w:bookmarkStart w:id="9240" w:name="_Toc74756143"/>
      <w:bookmarkStart w:id="9241" w:name="_Toc105675020"/>
      <w:bookmarkStart w:id="9242" w:name="_Toc130503090"/>
      <w:bookmarkStart w:id="9243" w:name="_Toc153625882"/>
      <w:r w:rsidRPr="000A0A5F">
        <w:t>5.1</w:t>
      </w:r>
      <w:r w:rsidRPr="000A0A5F">
        <w:rPr>
          <w:rFonts w:hint="eastAsia"/>
          <w:lang w:eastAsia="zh-CN"/>
        </w:rPr>
        <w:t>4</w:t>
      </w:r>
      <w:r w:rsidRPr="000A0A5F">
        <w:t>.2.2.3</w:t>
      </w:r>
      <w:r w:rsidRPr="000A0A5F">
        <w:tab/>
        <w:t xml:space="preserve">Enumeration: </w:t>
      </w:r>
      <w:bookmarkEnd w:id="9233"/>
      <w:r w:rsidRPr="000A0A5F">
        <w:t>UserPlane</w:t>
      </w:r>
      <w:r w:rsidRPr="000A0A5F">
        <w:rPr>
          <w:rFonts w:hint="eastAsia"/>
          <w:lang w:eastAsia="zh-CN"/>
        </w:rPr>
        <w:t>Event</w:t>
      </w:r>
      <w:bookmarkEnd w:id="9234"/>
      <w:bookmarkEnd w:id="9235"/>
      <w:bookmarkEnd w:id="9236"/>
      <w:bookmarkEnd w:id="9237"/>
      <w:bookmarkEnd w:id="9238"/>
      <w:bookmarkEnd w:id="9239"/>
      <w:bookmarkEnd w:id="9240"/>
      <w:bookmarkEnd w:id="9241"/>
      <w:bookmarkEnd w:id="9242"/>
      <w:bookmarkEnd w:id="9243"/>
    </w:p>
    <w:p w:rsidR="00CB0DD7" w:rsidRPr="000A0A5F" w:rsidRDefault="00CB0DD7">
      <w:r w:rsidRPr="000A0A5F">
        <w:t xml:space="preserve">The enumeration </w:t>
      </w:r>
      <w:r w:rsidRPr="000A0A5F">
        <w:rPr>
          <w:rFonts w:eastAsia="Times New Roman"/>
        </w:rPr>
        <w:t>UserPlaneEvent</w:t>
      </w:r>
      <w:r w:rsidRPr="000A0A5F">
        <w:t xml:space="preserve"> represents the user plane event.</w:t>
      </w:r>
    </w:p>
    <w:p w:rsidR="00CB0DD7" w:rsidRPr="000A0A5F" w:rsidRDefault="00CB0DD7">
      <w:pPr>
        <w:pStyle w:val="TH"/>
      </w:pPr>
      <w:r w:rsidRPr="000A0A5F">
        <w:t xml:space="preserve">Table 5.14.2.2.3-1: Enumeration </w:t>
      </w:r>
      <w:r w:rsidRPr="000A0A5F">
        <w:rPr>
          <w:rFonts w:eastAsia="Times New Roman"/>
        </w:rPr>
        <w:t>UserPlaneEvent</w:t>
      </w:r>
    </w:p>
    <w:tbl>
      <w:tblPr>
        <w:tblW w:w="4866" w:type="pct"/>
        <w:tblInd w:w="-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3907"/>
        <w:gridCol w:w="3903"/>
        <w:gridCol w:w="1686"/>
      </w:tblGrid>
      <w:tr w:rsidR="00CB0DD7" w:rsidRPr="000A0A5F" w:rsidTr="00A60F32">
        <w:tc>
          <w:tcPr>
            <w:tcW w:w="2057" w:type="pct"/>
            <w:shd w:val="clear" w:color="auto" w:fill="C0C0C0"/>
            <w:tcMar>
              <w:top w:w="0" w:type="dxa"/>
              <w:left w:w="108" w:type="dxa"/>
              <w:bottom w:w="0" w:type="dxa"/>
              <w:right w:w="108" w:type="dxa"/>
            </w:tcMar>
            <w:hideMark/>
          </w:tcPr>
          <w:p w:rsidR="00CB0DD7" w:rsidRPr="000A0A5F" w:rsidRDefault="00CB0DD7">
            <w:pPr>
              <w:pStyle w:val="TAH"/>
            </w:pPr>
            <w:r w:rsidRPr="000A0A5F">
              <w:t>Enumeration value</w:t>
            </w:r>
          </w:p>
        </w:tc>
        <w:tc>
          <w:tcPr>
            <w:tcW w:w="2055" w:type="pct"/>
            <w:shd w:val="clear" w:color="auto" w:fill="C0C0C0"/>
            <w:tcMar>
              <w:top w:w="0" w:type="dxa"/>
              <w:left w:w="108" w:type="dxa"/>
              <w:bottom w:w="0" w:type="dxa"/>
              <w:right w:w="108" w:type="dxa"/>
            </w:tcMar>
            <w:hideMark/>
          </w:tcPr>
          <w:p w:rsidR="00CB0DD7" w:rsidRPr="000A0A5F" w:rsidRDefault="00CB0DD7">
            <w:pPr>
              <w:pStyle w:val="TAH"/>
            </w:pPr>
            <w:r w:rsidRPr="000A0A5F">
              <w:t>Description</w:t>
            </w:r>
          </w:p>
        </w:tc>
        <w:tc>
          <w:tcPr>
            <w:tcW w:w="888" w:type="pct"/>
            <w:shd w:val="clear" w:color="auto" w:fill="C0C0C0"/>
            <w:hideMark/>
          </w:tcPr>
          <w:p w:rsidR="00CB0DD7" w:rsidRPr="000A0A5F" w:rsidRDefault="00CB0DD7">
            <w:pPr>
              <w:pStyle w:val="TAH"/>
            </w:pPr>
            <w:r w:rsidRPr="000A0A5F">
              <w:rPr>
                <w:rFonts w:eastAsia="Times New Roman" w:cs="Arial"/>
                <w:szCs w:val="18"/>
              </w:rPr>
              <w:t>Applicability (NOTE)</w:t>
            </w:r>
          </w:p>
        </w:tc>
      </w:tr>
      <w:tr w:rsidR="00CB0DD7" w:rsidRPr="000A0A5F" w:rsidTr="00A60F32">
        <w:tc>
          <w:tcPr>
            <w:tcW w:w="2057" w:type="pct"/>
            <w:tcMar>
              <w:top w:w="0" w:type="dxa"/>
              <w:left w:w="108" w:type="dxa"/>
              <w:bottom w:w="0" w:type="dxa"/>
              <w:right w:w="108" w:type="dxa"/>
            </w:tcMar>
          </w:tcPr>
          <w:p w:rsidR="00CB0DD7" w:rsidRPr="000A0A5F" w:rsidRDefault="00CB0DD7">
            <w:pPr>
              <w:pStyle w:val="TAL"/>
            </w:pPr>
            <w:r w:rsidRPr="000A0A5F">
              <w:rPr>
                <w:rFonts w:hint="eastAsia"/>
                <w:lang w:eastAsia="zh-CN"/>
              </w:rPr>
              <w:t>SESSION_TERMINATION</w:t>
            </w:r>
          </w:p>
        </w:tc>
        <w:tc>
          <w:tcPr>
            <w:tcW w:w="2055" w:type="pct"/>
            <w:tcMar>
              <w:top w:w="0" w:type="dxa"/>
              <w:left w:w="108" w:type="dxa"/>
              <w:bottom w:w="0" w:type="dxa"/>
              <w:right w:w="108" w:type="dxa"/>
            </w:tcMar>
          </w:tcPr>
          <w:p w:rsidR="00CB0DD7" w:rsidRPr="000A0A5F" w:rsidRDefault="00CB0DD7">
            <w:pPr>
              <w:pStyle w:val="TAL"/>
            </w:pPr>
            <w:r w:rsidRPr="000A0A5F">
              <w:t>Indicates that Rx session is terminated.</w:t>
            </w:r>
          </w:p>
        </w:tc>
        <w:tc>
          <w:tcPr>
            <w:tcW w:w="888" w:type="pct"/>
          </w:tcPr>
          <w:p w:rsidR="00CB0DD7" w:rsidRPr="000A0A5F" w:rsidRDefault="00CB0DD7">
            <w:pPr>
              <w:pStyle w:val="TAL"/>
              <w:rPr>
                <w:lang w:eastAsia="zh-CN"/>
              </w:rPr>
            </w:pPr>
          </w:p>
        </w:tc>
      </w:tr>
      <w:tr w:rsidR="00CB0DD7" w:rsidRPr="000A0A5F" w:rsidTr="00A60F32">
        <w:tc>
          <w:tcPr>
            <w:tcW w:w="2057" w:type="pct"/>
            <w:tcMar>
              <w:top w:w="0" w:type="dxa"/>
              <w:left w:w="108" w:type="dxa"/>
              <w:bottom w:w="0" w:type="dxa"/>
              <w:right w:w="108" w:type="dxa"/>
            </w:tcMar>
          </w:tcPr>
          <w:p w:rsidR="00CB0DD7" w:rsidRPr="000A0A5F" w:rsidRDefault="00CB0DD7">
            <w:pPr>
              <w:pStyle w:val="TAL"/>
            </w:pPr>
            <w:r w:rsidRPr="000A0A5F">
              <w:t xml:space="preserve">LOSS_OF_BEARER </w:t>
            </w:r>
          </w:p>
        </w:tc>
        <w:tc>
          <w:tcPr>
            <w:tcW w:w="2055" w:type="pct"/>
            <w:tcMar>
              <w:top w:w="0" w:type="dxa"/>
              <w:left w:w="108" w:type="dxa"/>
              <w:bottom w:w="0" w:type="dxa"/>
              <w:right w:w="108" w:type="dxa"/>
            </w:tcMar>
          </w:tcPr>
          <w:p w:rsidR="00CB0DD7" w:rsidRPr="000A0A5F" w:rsidRDefault="00CB0DD7">
            <w:pPr>
              <w:pStyle w:val="TAL"/>
            </w:pPr>
            <w:r w:rsidRPr="000A0A5F">
              <w:rPr>
                <w:rFonts w:hint="eastAsia"/>
                <w:lang w:eastAsia="zh-CN"/>
              </w:rPr>
              <w:t xml:space="preserve">Indicates </w:t>
            </w:r>
            <w:r w:rsidRPr="000A0A5F">
              <w:t>a loss of a bearer.</w:t>
            </w:r>
            <w:r w:rsidR="007E5BFF" w:rsidRPr="000A0A5F">
              <w:t xml:space="preserve"> (NOTE 3)</w:t>
            </w:r>
          </w:p>
        </w:tc>
        <w:tc>
          <w:tcPr>
            <w:tcW w:w="888" w:type="pct"/>
          </w:tcPr>
          <w:p w:rsidR="00CB0DD7" w:rsidRPr="000A0A5F" w:rsidRDefault="00CB0DD7">
            <w:pPr>
              <w:pStyle w:val="TAL"/>
              <w:rPr>
                <w:lang w:eastAsia="zh-CN"/>
              </w:rPr>
            </w:pPr>
          </w:p>
        </w:tc>
      </w:tr>
      <w:tr w:rsidR="00CB0DD7" w:rsidRPr="000A0A5F" w:rsidTr="00A60F32">
        <w:tc>
          <w:tcPr>
            <w:tcW w:w="2057" w:type="pct"/>
            <w:tcMar>
              <w:top w:w="0" w:type="dxa"/>
              <w:left w:w="108" w:type="dxa"/>
              <w:bottom w:w="0" w:type="dxa"/>
              <w:right w:w="108" w:type="dxa"/>
            </w:tcMar>
          </w:tcPr>
          <w:p w:rsidR="00CB0DD7" w:rsidRPr="000A0A5F" w:rsidRDefault="00CB0DD7">
            <w:pPr>
              <w:pStyle w:val="TAL"/>
            </w:pPr>
            <w:r w:rsidRPr="000A0A5F">
              <w:t>RECOVERY_OF_BEARER</w:t>
            </w:r>
          </w:p>
        </w:tc>
        <w:tc>
          <w:tcPr>
            <w:tcW w:w="2055" w:type="pct"/>
            <w:tcMar>
              <w:top w:w="0" w:type="dxa"/>
              <w:left w:w="108" w:type="dxa"/>
              <w:bottom w:w="0" w:type="dxa"/>
              <w:right w:w="108" w:type="dxa"/>
            </w:tcMar>
          </w:tcPr>
          <w:p w:rsidR="00CB0DD7" w:rsidRPr="000A0A5F" w:rsidRDefault="00CB0DD7">
            <w:pPr>
              <w:pStyle w:val="TAL"/>
            </w:pPr>
            <w:r w:rsidRPr="000A0A5F">
              <w:rPr>
                <w:rFonts w:hint="eastAsia"/>
                <w:lang w:eastAsia="zh-CN"/>
              </w:rPr>
              <w:t>Indicates a recove</w:t>
            </w:r>
            <w:r w:rsidRPr="000A0A5F">
              <w:rPr>
                <w:lang w:eastAsia="zh-CN"/>
              </w:rPr>
              <w:t>ry of a bearer.</w:t>
            </w:r>
            <w:r w:rsidR="007E5BFF" w:rsidRPr="000A0A5F">
              <w:rPr>
                <w:lang w:eastAsia="zh-CN"/>
              </w:rPr>
              <w:t xml:space="preserve"> </w:t>
            </w:r>
            <w:r w:rsidR="007E5BFF" w:rsidRPr="000A0A5F">
              <w:t>(NOTE 3)</w:t>
            </w:r>
          </w:p>
        </w:tc>
        <w:tc>
          <w:tcPr>
            <w:tcW w:w="888" w:type="pct"/>
          </w:tcPr>
          <w:p w:rsidR="00CB0DD7" w:rsidRPr="000A0A5F" w:rsidRDefault="00CB0DD7">
            <w:pPr>
              <w:pStyle w:val="TAL"/>
              <w:rPr>
                <w:lang w:eastAsia="zh-CN"/>
              </w:rPr>
            </w:pPr>
          </w:p>
        </w:tc>
      </w:tr>
      <w:tr w:rsidR="00CB0DD7" w:rsidRPr="000A0A5F" w:rsidTr="00A60F32">
        <w:tc>
          <w:tcPr>
            <w:tcW w:w="2057" w:type="pct"/>
            <w:tcMar>
              <w:top w:w="0" w:type="dxa"/>
              <w:left w:w="108" w:type="dxa"/>
              <w:bottom w:w="0" w:type="dxa"/>
              <w:right w:w="108" w:type="dxa"/>
            </w:tcMar>
          </w:tcPr>
          <w:p w:rsidR="00CB0DD7" w:rsidRPr="000A0A5F" w:rsidRDefault="00CB0DD7">
            <w:pPr>
              <w:pStyle w:val="TAL"/>
            </w:pPr>
            <w:r w:rsidRPr="000A0A5F">
              <w:t>RELEASE_OF_BEARER</w:t>
            </w:r>
          </w:p>
        </w:tc>
        <w:tc>
          <w:tcPr>
            <w:tcW w:w="2055" w:type="pct"/>
            <w:tcMar>
              <w:top w:w="0" w:type="dxa"/>
              <w:left w:w="108" w:type="dxa"/>
              <w:bottom w:w="0" w:type="dxa"/>
              <w:right w:w="108" w:type="dxa"/>
            </w:tcMar>
          </w:tcPr>
          <w:p w:rsidR="00CB0DD7" w:rsidRPr="000A0A5F" w:rsidRDefault="00CB0DD7">
            <w:pPr>
              <w:pStyle w:val="TAL"/>
            </w:pPr>
            <w:r w:rsidRPr="000A0A5F">
              <w:rPr>
                <w:rFonts w:hint="eastAsia"/>
                <w:lang w:eastAsia="zh-CN"/>
              </w:rPr>
              <w:t>Indicates a re</w:t>
            </w:r>
            <w:r w:rsidRPr="000A0A5F">
              <w:rPr>
                <w:lang w:eastAsia="zh-CN"/>
              </w:rPr>
              <w:t>lease of a bearer.</w:t>
            </w:r>
            <w:r w:rsidR="007E5BFF" w:rsidRPr="000A0A5F">
              <w:rPr>
                <w:lang w:eastAsia="zh-CN"/>
              </w:rPr>
              <w:t xml:space="preserve"> </w:t>
            </w:r>
            <w:r w:rsidR="007E5BFF" w:rsidRPr="000A0A5F">
              <w:t>(NOTE 3)</w:t>
            </w:r>
          </w:p>
        </w:tc>
        <w:tc>
          <w:tcPr>
            <w:tcW w:w="888" w:type="pct"/>
          </w:tcPr>
          <w:p w:rsidR="00CB0DD7" w:rsidRPr="000A0A5F" w:rsidRDefault="00CB0DD7">
            <w:pPr>
              <w:pStyle w:val="TAL"/>
              <w:rPr>
                <w:lang w:eastAsia="zh-CN"/>
              </w:rPr>
            </w:pPr>
          </w:p>
        </w:tc>
      </w:tr>
      <w:tr w:rsidR="00CB0DD7" w:rsidRPr="000A0A5F" w:rsidTr="00A60F32">
        <w:tc>
          <w:tcPr>
            <w:tcW w:w="2057" w:type="pct"/>
            <w:tcMar>
              <w:top w:w="0" w:type="dxa"/>
              <w:left w:w="108" w:type="dxa"/>
              <w:bottom w:w="0" w:type="dxa"/>
              <w:right w:w="108" w:type="dxa"/>
            </w:tcMar>
          </w:tcPr>
          <w:p w:rsidR="00CB0DD7" w:rsidRPr="000A0A5F" w:rsidRDefault="00CB0DD7">
            <w:pPr>
              <w:pStyle w:val="TAL"/>
            </w:pPr>
            <w:r w:rsidRPr="000A0A5F">
              <w:rPr>
                <w:rFonts w:hint="eastAsia"/>
                <w:lang w:eastAsia="zh-CN"/>
              </w:rPr>
              <w:t>USAGE_REPORT</w:t>
            </w:r>
          </w:p>
        </w:tc>
        <w:tc>
          <w:tcPr>
            <w:tcW w:w="2055" w:type="pct"/>
            <w:tcMar>
              <w:top w:w="0" w:type="dxa"/>
              <w:left w:w="108" w:type="dxa"/>
              <w:bottom w:w="0" w:type="dxa"/>
              <w:right w:w="108" w:type="dxa"/>
            </w:tcMar>
          </w:tcPr>
          <w:p w:rsidR="00CB0DD7" w:rsidRPr="000A0A5F" w:rsidRDefault="00CB0DD7">
            <w:pPr>
              <w:pStyle w:val="TAL"/>
            </w:pPr>
            <w:r w:rsidRPr="000A0A5F">
              <w:rPr>
                <w:rFonts w:hint="eastAsia"/>
                <w:lang w:eastAsia="zh-CN"/>
              </w:rPr>
              <w:t>Indicates the usage report event</w:t>
            </w:r>
            <w:r w:rsidRPr="000A0A5F">
              <w:rPr>
                <w:lang w:eastAsia="zh-CN"/>
              </w:rPr>
              <w:t>.</w:t>
            </w:r>
          </w:p>
        </w:tc>
        <w:tc>
          <w:tcPr>
            <w:tcW w:w="888" w:type="pct"/>
          </w:tcPr>
          <w:p w:rsidR="00CB0DD7" w:rsidRPr="000A0A5F" w:rsidRDefault="00CB0DD7">
            <w:pPr>
              <w:pStyle w:val="TAL"/>
              <w:rPr>
                <w:lang w:eastAsia="zh-CN"/>
              </w:rPr>
            </w:pPr>
          </w:p>
        </w:tc>
      </w:tr>
      <w:tr w:rsidR="00CB0DD7" w:rsidRPr="000A0A5F" w:rsidTr="00A60F32">
        <w:tc>
          <w:tcPr>
            <w:tcW w:w="2057" w:type="pct"/>
            <w:tcMar>
              <w:top w:w="0" w:type="dxa"/>
              <w:left w:w="108" w:type="dxa"/>
              <w:bottom w:w="0" w:type="dxa"/>
              <w:right w:w="108" w:type="dxa"/>
            </w:tcMar>
          </w:tcPr>
          <w:p w:rsidR="00CB0DD7" w:rsidRPr="000A0A5F" w:rsidRDefault="00CB0DD7">
            <w:pPr>
              <w:pStyle w:val="TAL"/>
            </w:pPr>
            <w:r w:rsidRPr="000A0A5F">
              <w:t>FAILED_RESOURCES_ALLOCATION</w:t>
            </w:r>
          </w:p>
        </w:tc>
        <w:tc>
          <w:tcPr>
            <w:tcW w:w="2055" w:type="pct"/>
            <w:tcMar>
              <w:top w:w="0" w:type="dxa"/>
              <w:left w:w="108" w:type="dxa"/>
              <w:bottom w:w="0" w:type="dxa"/>
              <w:right w:w="108" w:type="dxa"/>
            </w:tcMar>
          </w:tcPr>
          <w:p w:rsidR="00CB0DD7" w:rsidRPr="000A0A5F" w:rsidRDefault="00CB0DD7">
            <w:pPr>
              <w:pStyle w:val="TAL"/>
            </w:pPr>
            <w:r w:rsidRPr="000A0A5F">
              <w:rPr>
                <w:lang w:eastAsia="zh-CN"/>
              </w:rPr>
              <w:t>Indicates the resource allocation is failed.</w:t>
            </w:r>
          </w:p>
        </w:tc>
        <w:tc>
          <w:tcPr>
            <w:tcW w:w="888" w:type="pct"/>
          </w:tcPr>
          <w:p w:rsidR="00CB0DD7" w:rsidRPr="000A0A5F" w:rsidRDefault="00CB0DD7">
            <w:pPr>
              <w:pStyle w:val="TAL"/>
              <w:rPr>
                <w:lang w:eastAsia="zh-CN"/>
              </w:rPr>
            </w:pPr>
          </w:p>
        </w:tc>
      </w:tr>
      <w:tr w:rsidR="00CB0DD7" w:rsidRPr="000A0A5F" w:rsidTr="00A60F32">
        <w:tc>
          <w:tcPr>
            <w:tcW w:w="2057" w:type="pct"/>
            <w:tcMar>
              <w:top w:w="0" w:type="dxa"/>
              <w:left w:w="108" w:type="dxa"/>
              <w:bottom w:w="0" w:type="dxa"/>
              <w:right w:w="108" w:type="dxa"/>
            </w:tcMar>
          </w:tcPr>
          <w:p w:rsidR="00CB0DD7" w:rsidRPr="000A0A5F" w:rsidRDefault="00CB0DD7">
            <w:pPr>
              <w:pStyle w:val="TAL"/>
            </w:pPr>
            <w:r w:rsidRPr="000A0A5F">
              <w:t>SUCCESSFUL_RESOURCES_ALLOCATION</w:t>
            </w:r>
          </w:p>
        </w:tc>
        <w:tc>
          <w:tcPr>
            <w:tcW w:w="2055" w:type="pct"/>
            <w:tcMar>
              <w:top w:w="0" w:type="dxa"/>
              <w:left w:w="108" w:type="dxa"/>
              <w:bottom w:w="0" w:type="dxa"/>
              <w:right w:w="108" w:type="dxa"/>
            </w:tcMar>
          </w:tcPr>
          <w:p w:rsidR="00CB0DD7" w:rsidRPr="000A0A5F" w:rsidRDefault="00CB0DD7">
            <w:pPr>
              <w:pStyle w:val="TAL"/>
              <w:rPr>
                <w:lang w:eastAsia="zh-CN"/>
              </w:rPr>
            </w:pPr>
            <w:r w:rsidRPr="000A0A5F">
              <w:rPr>
                <w:lang w:eastAsia="zh-CN"/>
              </w:rPr>
              <w:t>Indicates the resource allocation is successful.</w:t>
            </w:r>
          </w:p>
        </w:tc>
        <w:tc>
          <w:tcPr>
            <w:tcW w:w="888" w:type="pct"/>
          </w:tcPr>
          <w:p w:rsidR="00CB0DD7" w:rsidRPr="000A0A5F" w:rsidRDefault="00CB0DD7">
            <w:pPr>
              <w:pStyle w:val="TAL"/>
              <w:rPr>
                <w:lang w:eastAsia="zh-CN"/>
              </w:rPr>
            </w:pPr>
          </w:p>
        </w:tc>
      </w:tr>
      <w:tr w:rsidR="00CB0DD7" w:rsidRPr="000A0A5F" w:rsidTr="00A60F32">
        <w:tc>
          <w:tcPr>
            <w:tcW w:w="2057" w:type="pct"/>
            <w:tcMar>
              <w:top w:w="0" w:type="dxa"/>
              <w:left w:w="108" w:type="dxa"/>
              <w:bottom w:w="0" w:type="dxa"/>
              <w:right w:w="108" w:type="dxa"/>
            </w:tcMar>
          </w:tcPr>
          <w:p w:rsidR="00CB0DD7" w:rsidRPr="000A0A5F" w:rsidRDefault="00CB0DD7">
            <w:pPr>
              <w:pStyle w:val="TAL"/>
            </w:pPr>
            <w:r w:rsidRPr="000A0A5F">
              <w:t>QOS_GUARANTEED</w:t>
            </w:r>
          </w:p>
        </w:tc>
        <w:tc>
          <w:tcPr>
            <w:tcW w:w="2055" w:type="pct"/>
            <w:tcMar>
              <w:top w:w="0" w:type="dxa"/>
              <w:left w:w="108" w:type="dxa"/>
              <w:bottom w:w="0" w:type="dxa"/>
              <w:right w:w="108" w:type="dxa"/>
            </w:tcMar>
          </w:tcPr>
          <w:p w:rsidR="00CB0DD7" w:rsidRPr="000A0A5F" w:rsidRDefault="00CB0DD7">
            <w:pPr>
              <w:pStyle w:val="TAL"/>
            </w:pPr>
            <w:r w:rsidRPr="000A0A5F">
              <w:t>The QoS targets of one or more SDFs are guaranteed again.</w:t>
            </w:r>
          </w:p>
        </w:tc>
        <w:tc>
          <w:tcPr>
            <w:tcW w:w="888" w:type="pct"/>
          </w:tcPr>
          <w:p w:rsidR="00CB0DD7" w:rsidRPr="000A0A5F" w:rsidRDefault="00CB0DD7">
            <w:pPr>
              <w:pStyle w:val="TAL"/>
              <w:rPr>
                <w:lang w:eastAsia="zh-CN"/>
              </w:rPr>
            </w:pPr>
            <w:r w:rsidRPr="000A0A5F">
              <w:rPr>
                <w:rFonts w:eastAsia="Times New Roman"/>
              </w:rPr>
              <w:t>AlternativeQoS_5G</w:t>
            </w:r>
          </w:p>
        </w:tc>
      </w:tr>
      <w:tr w:rsidR="00CB0DD7" w:rsidRPr="000A0A5F" w:rsidTr="00A60F32">
        <w:tc>
          <w:tcPr>
            <w:tcW w:w="2057" w:type="pct"/>
            <w:tcMar>
              <w:top w:w="0" w:type="dxa"/>
              <w:left w:w="108" w:type="dxa"/>
              <w:bottom w:w="0" w:type="dxa"/>
              <w:right w:w="108" w:type="dxa"/>
            </w:tcMar>
          </w:tcPr>
          <w:p w:rsidR="00CB0DD7" w:rsidRPr="000A0A5F" w:rsidRDefault="00CB0DD7">
            <w:pPr>
              <w:pStyle w:val="TAL"/>
            </w:pPr>
            <w:r w:rsidRPr="000A0A5F">
              <w:t>QOS_NOT_GUARANTEED</w:t>
            </w:r>
          </w:p>
        </w:tc>
        <w:tc>
          <w:tcPr>
            <w:tcW w:w="2055" w:type="pct"/>
            <w:tcMar>
              <w:top w:w="0" w:type="dxa"/>
              <w:left w:w="108" w:type="dxa"/>
              <w:bottom w:w="0" w:type="dxa"/>
              <w:right w:w="108" w:type="dxa"/>
            </w:tcMar>
          </w:tcPr>
          <w:p w:rsidR="00CB0DD7" w:rsidRPr="000A0A5F" w:rsidRDefault="00CB0DD7">
            <w:pPr>
              <w:pStyle w:val="TAL"/>
              <w:rPr>
                <w:lang w:eastAsia="zh-CN"/>
              </w:rPr>
            </w:pPr>
            <w:r w:rsidRPr="000A0A5F">
              <w:t>The QoS targets of one or more SDFs are not being guaranteed.</w:t>
            </w:r>
          </w:p>
        </w:tc>
        <w:tc>
          <w:tcPr>
            <w:tcW w:w="888" w:type="pct"/>
          </w:tcPr>
          <w:p w:rsidR="00CB0DD7" w:rsidRPr="000A0A5F" w:rsidRDefault="00CB0DD7">
            <w:pPr>
              <w:pStyle w:val="TAL"/>
              <w:rPr>
                <w:rFonts w:cs="Arial"/>
                <w:szCs w:val="18"/>
                <w:lang w:eastAsia="zh-CN"/>
              </w:rPr>
            </w:pPr>
            <w:r w:rsidRPr="000A0A5F">
              <w:rPr>
                <w:rFonts w:eastAsia="Times New Roman"/>
              </w:rPr>
              <w:t>AlternativeQoS_5G</w:t>
            </w:r>
          </w:p>
        </w:tc>
      </w:tr>
      <w:tr w:rsidR="00CB0DD7" w:rsidRPr="000A0A5F" w:rsidTr="00A60F32">
        <w:tc>
          <w:tcPr>
            <w:tcW w:w="2057" w:type="pct"/>
            <w:tcMar>
              <w:top w:w="0" w:type="dxa"/>
              <w:left w:w="108" w:type="dxa"/>
              <w:bottom w:w="0" w:type="dxa"/>
              <w:right w:w="108" w:type="dxa"/>
            </w:tcMar>
          </w:tcPr>
          <w:p w:rsidR="00CB0DD7" w:rsidRPr="000A0A5F" w:rsidRDefault="00CB0DD7">
            <w:pPr>
              <w:pStyle w:val="TAL"/>
            </w:pPr>
            <w:r w:rsidRPr="000A0A5F">
              <w:t>QOS_MONITORING</w:t>
            </w:r>
          </w:p>
        </w:tc>
        <w:tc>
          <w:tcPr>
            <w:tcW w:w="2055" w:type="pct"/>
            <w:tcMar>
              <w:top w:w="0" w:type="dxa"/>
              <w:left w:w="108" w:type="dxa"/>
              <w:bottom w:w="0" w:type="dxa"/>
              <w:right w:w="108" w:type="dxa"/>
            </w:tcMar>
          </w:tcPr>
          <w:p w:rsidR="00CB0DD7" w:rsidRPr="000A0A5F" w:rsidRDefault="00CB0DD7">
            <w:pPr>
              <w:pStyle w:val="TAL"/>
            </w:pPr>
            <w:r w:rsidRPr="000A0A5F">
              <w:t>Indicates a QoS monitoring event.</w:t>
            </w:r>
          </w:p>
        </w:tc>
        <w:tc>
          <w:tcPr>
            <w:tcW w:w="888" w:type="pct"/>
          </w:tcPr>
          <w:p w:rsidR="00CB0DD7" w:rsidRPr="000A0A5F" w:rsidRDefault="00CB0DD7">
            <w:pPr>
              <w:pStyle w:val="TAL"/>
              <w:rPr>
                <w:rFonts w:eastAsia="Times New Roman"/>
              </w:rPr>
            </w:pPr>
            <w:r w:rsidRPr="000A0A5F">
              <w:rPr>
                <w:rFonts w:cs="Arial"/>
                <w:szCs w:val="18"/>
              </w:rPr>
              <w:t>QoSMonitoring_5G</w:t>
            </w:r>
          </w:p>
        </w:tc>
      </w:tr>
      <w:tr w:rsidR="00DB22D0" w:rsidRPr="000A0A5F" w:rsidTr="00A60F32">
        <w:tc>
          <w:tcPr>
            <w:tcW w:w="2057" w:type="pct"/>
            <w:tcMar>
              <w:top w:w="0" w:type="dxa"/>
              <w:left w:w="108" w:type="dxa"/>
              <w:bottom w:w="0" w:type="dxa"/>
              <w:right w:w="108" w:type="dxa"/>
            </w:tcMar>
          </w:tcPr>
          <w:p w:rsidR="00DB22D0" w:rsidRPr="000A0A5F" w:rsidRDefault="00DB22D0" w:rsidP="00DB22D0">
            <w:pPr>
              <w:pStyle w:val="TAL"/>
            </w:pPr>
            <w:r w:rsidRPr="000A0A5F">
              <w:t>ACCESS_TYPE_CHANGE</w:t>
            </w:r>
          </w:p>
        </w:tc>
        <w:tc>
          <w:tcPr>
            <w:tcW w:w="2055" w:type="pct"/>
            <w:tcMar>
              <w:top w:w="0" w:type="dxa"/>
              <w:left w:w="108" w:type="dxa"/>
              <w:bottom w:w="0" w:type="dxa"/>
              <w:right w:w="108" w:type="dxa"/>
            </w:tcMar>
          </w:tcPr>
          <w:p w:rsidR="00DB22D0" w:rsidRPr="000A0A5F" w:rsidRDefault="00DB22D0" w:rsidP="00DB22D0">
            <w:pPr>
              <w:pStyle w:val="TAL"/>
            </w:pPr>
            <w:r w:rsidRPr="000A0A5F">
              <w:rPr>
                <w:rFonts w:hint="eastAsia"/>
                <w:lang w:eastAsia="zh-CN"/>
              </w:rPr>
              <w:t>I</w:t>
            </w:r>
            <w:r w:rsidRPr="000A0A5F">
              <w:rPr>
                <w:lang w:eastAsia="zh-CN"/>
              </w:rPr>
              <w:t>ndicates an Access type change.</w:t>
            </w:r>
            <w:r w:rsidR="00CF6AD3" w:rsidRPr="000A0A5F">
              <w:t xml:space="preserve"> (NOTE 2)</w:t>
            </w:r>
          </w:p>
        </w:tc>
        <w:tc>
          <w:tcPr>
            <w:tcW w:w="888" w:type="pct"/>
          </w:tcPr>
          <w:p w:rsidR="00DB22D0" w:rsidRPr="000A0A5F" w:rsidRDefault="00DB22D0" w:rsidP="00DB22D0">
            <w:pPr>
              <w:pStyle w:val="TAL"/>
              <w:rPr>
                <w:rFonts w:cs="Arial"/>
                <w:szCs w:val="18"/>
              </w:rPr>
            </w:pPr>
            <w:r w:rsidRPr="000A0A5F">
              <w:t>enNB_5G</w:t>
            </w:r>
          </w:p>
        </w:tc>
      </w:tr>
      <w:tr w:rsidR="00DB22D0" w:rsidRPr="000A0A5F" w:rsidTr="00A60F32">
        <w:tc>
          <w:tcPr>
            <w:tcW w:w="2057" w:type="pct"/>
            <w:tcMar>
              <w:top w:w="0" w:type="dxa"/>
              <w:left w:w="108" w:type="dxa"/>
              <w:bottom w:w="0" w:type="dxa"/>
              <w:right w:w="108" w:type="dxa"/>
            </w:tcMar>
          </w:tcPr>
          <w:p w:rsidR="00DB22D0" w:rsidRPr="000A0A5F" w:rsidRDefault="00DB22D0" w:rsidP="00DB22D0">
            <w:pPr>
              <w:pStyle w:val="TAL"/>
            </w:pPr>
            <w:r w:rsidRPr="000A0A5F">
              <w:t>PLMN_CHG</w:t>
            </w:r>
          </w:p>
        </w:tc>
        <w:tc>
          <w:tcPr>
            <w:tcW w:w="2055" w:type="pct"/>
            <w:tcMar>
              <w:top w:w="0" w:type="dxa"/>
              <w:left w:w="108" w:type="dxa"/>
              <w:bottom w:w="0" w:type="dxa"/>
              <w:right w:w="108" w:type="dxa"/>
            </w:tcMar>
          </w:tcPr>
          <w:p w:rsidR="00DB22D0" w:rsidRPr="000A0A5F" w:rsidRDefault="00DB22D0" w:rsidP="00DB22D0">
            <w:pPr>
              <w:pStyle w:val="TAL"/>
            </w:pPr>
            <w:r w:rsidRPr="000A0A5F">
              <w:t>Indicates a PLMN change.</w:t>
            </w:r>
            <w:r w:rsidR="00CF6AD3" w:rsidRPr="000A0A5F">
              <w:t xml:space="preserve"> (NOTE 2)</w:t>
            </w:r>
          </w:p>
        </w:tc>
        <w:tc>
          <w:tcPr>
            <w:tcW w:w="888" w:type="pct"/>
          </w:tcPr>
          <w:p w:rsidR="00DB22D0" w:rsidRPr="000A0A5F" w:rsidRDefault="00DB22D0" w:rsidP="00DB22D0">
            <w:pPr>
              <w:pStyle w:val="TAL"/>
              <w:rPr>
                <w:rFonts w:cs="Arial"/>
                <w:szCs w:val="18"/>
              </w:rPr>
            </w:pPr>
            <w:r w:rsidRPr="000A0A5F">
              <w:t>enNB_5G</w:t>
            </w:r>
          </w:p>
        </w:tc>
      </w:tr>
      <w:tr w:rsidR="00A60F32" w:rsidRPr="000A0A5F" w:rsidTr="00A60F32">
        <w:tc>
          <w:tcPr>
            <w:tcW w:w="2057" w:type="pct"/>
            <w:tcMar>
              <w:top w:w="0" w:type="dxa"/>
              <w:left w:w="108" w:type="dxa"/>
              <w:bottom w:w="0" w:type="dxa"/>
              <w:right w:w="108" w:type="dxa"/>
            </w:tcMar>
          </w:tcPr>
          <w:p w:rsidR="00A60F32" w:rsidRPr="000A0A5F" w:rsidRDefault="00A60F32" w:rsidP="00A60F32">
            <w:pPr>
              <w:pStyle w:val="TAL"/>
            </w:pPr>
            <w:r w:rsidRPr="000A0A5F">
              <w:t>L4S_NOT_AVAILABLE</w:t>
            </w:r>
          </w:p>
        </w:tc>
        <w:tc>
          <w:tcPr>
            <w:tcW w:w="2055" w:type="pct"/>
            <w:tcMar>
              <w:top w:w="0" w:type="dxa"/>
              <w:left w:w="108" w:type="dxa"/>
              <w:bottom w:w="0" w:type="dxa"/>
              <w:right w:w="108" w:type="dxa"/>
            </w:tcMar>
          </w:tcPr>
          <w:p w:rsidR="00A60F32" w:rsidRPr="000A0A5F" w:rsidRDefault="00A60F32" w:rsidP="00A60F32">
            <w:pPr>
              <w:pStyle w:val="TAL"/>
            </w:pPr>
            <w:r w:rsidRPr="000A0A5F">
              <w:t>The ECN marking for L4S of one or more SDFs is not available.</w:t>
            </w:r>
          </w:p>
        </w:tc>
        <w:tc>
          <w:tcPr>
            <w:tcW w:w="888" w:type="pct"/>
          </w:tcPr>
          <w:p w:rsidR="00A60F32" w:rsidRPr="000A0A5F" w:rsidRDefault="00A60F32" w:rsidP="00A60F32">
            <w:pPr>
              <w:pStyle w:val="TAL"/>
            </w:pPr>
            <w:r w:rsidRPr="000A0A5F">
              <w:t>L4S</w:t>
            </w:r>
          </w:p>
        </w:tc>
      </w:tr>
      <w:tr w:rsidR="00A60F32" w:rsidRPr="000A0A5F" w:rsidTr="00A60F32">
        <w:tc>
          <w:tcPr>
            <w:tcW w:w="2057" w:type="pct"/>
            <w:tcMar>
              <w:top w:w="0" w:type="dxa"/>
              <w:left w:w="108" w:type="dxa"/>
              <w:bottom w:w="0" w:type="dxa"/>
              <w:right w:w="108" w:type="dxa"/>
            </w:tcMar>
          </w:tcPr>
          <w:p w:rsidR="00A60F32" w:rsidRPr="000A0A5F" w:rsidRDefault="00A60F32" w:rsidP="00A60F32">
            <w:pPr>
              <w:pStyle w:val="TAL"/>
            </w:pPr>
            <w:r w:rsidRPr="000A0A5F">
              <w:t>L4S_AVAILABLE</w:t>
            </w:r>
          </w:p>
        </w:tc>
        <w:tc>
          <w:tcPr>
            <w:tcW w:w="2055" w:type="pct"/>
            <w:tcMar>
              <w:top w:w="0" w:type="dxa"/>
              <w:left w:w="108" w:type="dxa"/>
              <w:bottom w:w="0" w:type="dxa"/>
              <w:right w:w="108" w:type="dxa"/>
            </w:tcMar>
          </w:tcPr>
          <w:p w:rsidR="00A60F32" w:rsidRPr="000A0A5F" w:rsidRDefault="00A60F32" w:rsidP="00A60F32">
            <w:pPr>
              <w:pStyle w:val="TAL"/>
            </w:pPr>
            <w:r w:rsidRPr="000A0A5F">
              <w:t>The ECN marking for L4S of one or more SDFs is available again.</w:t>
            </w:r>
          </w:p>
        </w:tc>
        <w:tc>
          <w:tcPr>
            <w:tcW w:w="888" w:type="pct"/>
          </w:tcPr>
          <w:p w:rsidR="00A60F32" w:rsidRPr="000A0A5F" w:rsidRDefault="00A60F32" w:rsidP="00A60F32">
            <w:pPr>
              <w:pStyle w:val="TAL"/>
            </w:pPr>
            <w:r w:rsidRPr="000A0A5F">
              <w:t>L4S</w:t>
            </w:r>
          </w:p>
        </w:tc>
      </w:tr>
      <w:tr w:rsidR="00F7106A" w:rsidRPr="000A0A5F" w:rsidTr="00A60F32">
        <w:tc>
          <w:tcPr>
            <w:tcW w:w="2057" w:type="pct"/>
            <w:tcMar>
              <w:top w:w="0" w:type="dxa"/>
              <w:left w:w="108" w:type="dxa"/>
              <w:bottom w:w="0" w:type="dxa"/>
              <w:right w:w="108" w:type="dxa"/>
            </w:tcMar>
          </w:tcPr>
          <w:p w:rsidR="00F7106A" w:rsidRPr="000A0A5F" w:rsidRDefault="00F7106A" w:rsidP="00F7106A">
            <w:pPr>
              <w:pStyle w:val="TAL"/>
            </w:pPr>
            <w:r w:rsidRPr="000A0A5F">
              <w:t>BAT_OFFSET_INFO</w:t>
            </w:r>
          </w:p>
        </w:tc>
        <w:tc>
          <w:tcPr>
            <w:tcW w:w="2055" w:type="pct"/>
            <w:tcMar>
              <w:top w:w="0" w:type="dxa"/>
              <w:left w:w="108" w:type="dxa"/>
              <w:bottom w:w="0" w:type="dxa"/>
              <w:right w:w="108" w:type="dxa"/>
            </w:tcMar>
          </w:tcPr>
          <w:p w:rsidR="00F7106A" w:rsidRPr="000A0A5F" w:rsidRDefault="00F7106A" w:rsidP="00F7106A">
            <w:pPr>
              <w:pStyle w:val="TAL"/>
            </w:pPr>
            <w:r w:rsidRPr="000A0A5F">
              <w:t>Indicates the network provided BAT offset and the optionally adjusted periodicity.</w:t>
            </w:r>
          </w:p>
        </w:tc>
        <w:tc>
          <w:tcPr>
            <w:tcW w:w="888" w:type="pct"/>
          </w:tcPr>
          <w:p w:rsidR="00F7106A" w:rsidRPr="000A0A5F" w:rsidRDefault="00F7106A" w:rsidP="00F7106A">
            <w:pPr>
              <w:pStyle w:val="TAL"/>
            </w:pPr>
            <w:r w:rsidRPr="000A0A5F">
              <w:rPr>
                <w:noProof/>
              </w:rPr>
              <w:t>EnTSCAC</w:t>
            </w:r>
          </w:p>
        </w:tc>
      </w:tr>
      <w:tr w:rsidR="00AB426B" w:rsidRPr="000A0A5F" w:rsidTr="00A60F32">
        <w:tc>
          <w:tcPr>
            <w:tcW w:w="2057" w:type="pct"/>
            <w:tcMar>
              <w:top w:w="0" w:type="dxa"/>
              <w:left w:w="108" w:type="dxa"/>
              <w:bottom w:w="0" w:type="dxa"/>
              <w:right w:w="108" w:type="dxa"/>
            </w:tcMar>
          </w:tcPr>
          <w:p w:rsidR="00AB426B" w:rsidRPr="000A0A5F" w:rsidRDefault="00AB426B" w:rsidP="00AB426B">
            <w:pPr>
              <w:pStyle w:val="TAL"/>
            </w:pPr>
            <w:r w:rsidRPr="000A0A5F">
              <w:t>RT_DELAY_TWO_QOS_FLOWS</w:t>
            </w:r>
          </w:p>
        </w:tc>
        <w:tc>
          <w:tcPr>
            <w:tcW w:w="2055" w:type="pct"/>
            <w:tcMar>
              <w:top w:w="0" w:type="dxa"/>
              <w:left w:w="108" w:type="dxa"/>
              <w:bottom w:w="0" w:type="dxa"/>
              <w:right w:w="108" w:type="dxa"/>
            </w:tcMar>
          </w:tcPr>
          <w:p w:rsidR="00AB426B" w:rsidRPr="000A0A5F" w:rsidRDefault="00AB426B" w:rsidP="00AB426B">
            <w:pPr>
              <w:pStyle w:val="TAL"/>
            </w:pPr>
            <w:r w:rsidRPr="000A0A5F">
              <w:t>Indicates round-trip delay on UL and DL flows over two QoS flows.</w:t>
            </w:r>
          </w:p>
        </w:tc>
        <w:tc>
          <w:tcPr>
            <w:tcW w:w="888" w:type="pct"/>
          </w:tcPr>
          <w:p w:rsidR="00AB426B" w:rsidRPr="000A0A5F" w:rsidRDefault="00AB426B" w:rsidP="00AB426B">
            <w:pPr>
              <w:pStyle w:val="TAL"/>
            </w:pPr>
            <w:r w:rsidRPr="000A0A5F">
              <w:rPr>
                <w:rFonts w:hint="eastAsia"/>
                <w:lang w:eastAsia="zh-CN"/>
              </w:rPr>
              <w:t>EnQoSMon</w:t>
            </w:r>
          </w:p>
        </w:tc>
      </w:tr>
      <w:tr w:rsidR="00AB426B" w:rsidRPr="000A0A5F" w:rsidTr="00A60F32">
        <w:tc>
          <w:tcPr>
            <w:tcW w:w="2057" w:type="pct"/>
            <w:tcMar>
              <w:top w:w="0" w:type="dxa"/>
              <w:left w:w="108" w:type="dxa"/>
              <w:bottom w:w="0" w:type="dxa"/>
              <w:right w:w="108" w:type="dxa"/>
            </w:tcMar>
          </w:tcPr>
          <w:p w:rsidR="00AB426B" w:rsidRPr="000A0A5F" w:rsidRDefault="00AB426B" w:rsidP="00AB426B">
            <w:pPr>
              <w:pStyle w:val="TAL"/>
            </w:pPr>
            <w:r w:rsidRPr="000A0A5F">
              <w:t>PACK_DELAY_VAR</w:t>
            </w:r>
          </w:p>
        </w:tc>
        <w:tc>
          <w:tcPr>
            <w:tcW w:w="2055" w:type="pct"/>
            <w:tcMar>
              <w:top w:w="0" w:type="dxa"/>
              <w:left w:w="108" w:type="dxa"/>
              <w:bottom w:w="0" w:type="dxa"/>
              <w:right w:w="108" w:type="dxa"/>
            </w:tcMar>
          </w:tcPr>
          <w:p w:rsidR="00AB426B" w:rsidRPr="000A0A5F" w:rsidRDefault="00AB426B" w:rsidP="00AB426B">
            <w:pPr>
              <w:pStyle w:val="TAL"/>
            </w:pPr>
            <w:r w:rsidRPr="000A0A5F">
              <w:t>Indicates Packet Delay Variation is enabled for the SDF.</w:t>
            </w:r>
          </w:p>
        </w:tc>
        <w:tc>
          <w:tcPr>
            <w:tcW w:w="888" w:type="pct"/>
          </w:tcPr>
          <w:p w:rsidR="00AB426B" w:rsidRPr="000A0A5F" w:rsidRDefault="00AB426B" w:rsidP="00AB426B">
            <w:pPr>
              <w:pStyle w:val="TAL"/>
            </w:pPr>
            <w:r w:rsidRPr="000A0A5F">
              <w:rPr>
                <w:rFonts w:hint="eastAsia"/>
                <w:lang w:eastAsia="zh-CN"/>
              </w:rPr>
              <w:t>EnQoSMon</w:t>
            </w:r>
          </w:p>
        </w:tc>
      </w:tr>
      <w:tr w:rsidR="009A68D3" w:rsidRPr="000A0A5F" w:rsidTr="00FF0AF8">
        <w:tc>
          <w:tcPr>
            <w:tcW w:w="5000" w:type="pct"/>
            <w:gridSpan w:val="3"/>
            <w:tcMar>
              <w:top w:w="0" w:type="dxa"/>
              <w:left w:w="108" w:type="dxa"/>
              <w:bottom w:w="0" w:type="dxa"/>
              <w:right w:w="108" w:type="dxa"/>
            </w:tcMar>
            <w:hideMark/>
          </w:tcPr>
          <w:p w:rsidR="009A68D3" w:rsidRPr="000A0A5F" w:rsidRDefault="009A68D3" w:rsidP="009A68D3">
            <w:pPr>
              <w:pStyle w:val="TAN"/>
            </w:pPr>
            <w:r w:rsidRPr="000A0A5F">
              <w:t>NOTE 1:</w:t>
            </w:r>
            <w:r w:rsidRPr="000A0A5F">
              <w:tab/>
              <w:t>Properties marked with a feature as defined in clause 5.14.4 are applicable as described in clause 5.2.7. If no features are indicated, the related property applies for all the features.</w:t>
            </w:r>
          </w:p>
          <w:p w:rsidR="009A68D3" w:rsidRPr="000A0A5F" w:rsidRDefault="009A68D3" w:rsidP="009A68D3">
            <w:pPr>
              <w:pStyle w:val="TAN"/>
            </w:pPr>
            <w:r w:rsidRPr="000A0A5F">
              <w:t>NOTE 2:</w:t>
            </w:r>
            <w:r w:rsidRPr="000A0A5F">
              <w:tab/>
              <w:t>The exposure of such network information to the AF needs to be authorized based on the local policy or local configuration.</w:t>
            </w:r>
          </w:p>
          <w:p w:rsidR="009A68D3" w:rsidRPr="000A0A5F" w:rsidRDefault="009A68D3" w:rsidP="009A68D3">
            <w:pPr>
              <w:pStyle w:val="TAN"/>
            </w:pPr>
            <w:r w:rsidRPr="000A0A5F">
              <w:t>NOTE </w:t>
            </w:r>
            <w:r w:rsidRPr="000A0A5F">
              <w:rPr>
                <w:lang w:eastAsia="zh-CN"/>
              </w:rPr>
              <w:t>3</w:t>
            </w:r>
            <w:r w:rsidRPr="000A0A5F">
              <w:t>:</w:t>
            </w:r>
            <w:r w:rsidRPr="000A0A5F">
              <w:rPr>
                <w:noProof/>
              </w:rPr>
              <w:tab/>
              <w:t xml:space="preserve">The </w:t>
            </w:r>
            <w:r w:rsidRPr="000A0A5F">
              <w:t xml:space="preserve">"LOSS_OF_BEARER", </w:t>
            </w:r>
            <w:r w:rsidRPr="000A0A5F">
              <w:rPr>
                <w:lang w:eastAsia="zh-CN"/>
              </w:rPr>
              <w:t>RECOVERY_OF_BEARER, and RELEASE_OF_BEARER only apply to 4G.</w:t>
            </w:r>
          </w:p>
        </w:tc>
      </w:tr>
    </w:tbl>
    <w:p w:rsidR="00CB0DD7" w:rsidRPr="000A0A5F" w:rsidRDefault="00CB0DD7"/>
    <w:p w:rsidR="00CB0DD7" w:rsidRPr="000A0A5F" w:rsidRDefault="00CB0DD7">
      <w:pPr>
        <w:pStyle w:val="Heading3"/>
      </w:pPr>
      <w:bookmarkStart w:id="9244" w:name="_Toc11247881"/>
      <w:bookmarkStart w:id="9245" w:name="_Toc27045025"/>
      <w:bookmarkStart w:id="9246" w:name="_Toc36034076"/>
      <w:bookmarkStart w:id="9247" w:name="_Toc45132223"/>
      <w:bookmarkStart w:id="9248" w:name="_Toc49776508"/>
      <w:bookmarkStart w:id="9249" w:name="_Toc51747428"/>
      <w:bookmarkStart w:id="9250" w:name="_Toc66361007"/>
      <w:bookmarkStart w:id="9251" w:name="_Toc68105512"/>
      <w:bookmarkStart w:id="9252" w:name="_Toc74756144"/>
      <w:bookmarkStart w:id="9253" w:name="_Toc105675021"/>
      <w:bookmarkStart w:id="9254" w:name="_Toc130503091"/>
      <w:bookmarkStart w:id="9255" w:name="_Toc153625883"/>
      <w:r w:rsidRPr="000A0A5F">
        <w:t>5.14.3</w:t>
      </w:r>
      <w:r w:rsidRPr="000A0A5F">
        <w:tab/>
        <w:t>Resource structure</w:t>
      </w:r>
      <w:bookmarkEnd w:id="9244"/>
      <w:bookmarkEnd w:id="9245"/>
      <w:bookmarkEnd w:id="9246"/>
      <w:bookmarkEnd w:id="9247"/>
      <w:bookmarkEnd w:id="9248"/>
      <w:bookmarkEnd w:id="9249"/>
      <w:bookmarkEnd w:id="9250"/>
      <w:bookmarkEnd w:id="9251"/>
      <w:bookmarkEnd w:id="9252"/>
      <w:bookmarkEnd w:id="9253"/>
      <w:bookmarkEnd w:id="9254"/>
      <w:bookmarkEnd w:id="9255"/>
    </w:p>
    <w:p w:rsidR="00CB0DD7" w:rsidRPr="000A0A5F" w:rsidRDefault="00CB0DD7">
      <w:pPr>
        <w:pStyle w:val="Heading4"/>
      </w:pPr>
      <w:bookmarkStart w:id="9256" w:name="_Toc11247882"/>
      <w:bookmarkStart w:id="9257" w:name="_Toc27045026"/>
      <w:bookmarkStart w:id="9258" w:name="_Toc36034077"/>
      <w:bookmarkStart w:id="9259" w:name="_Toc45132224"/>
      <w:bookmarkStart w:id="9260" w:name="_Toc49776509"/>
      <w:bookmarkStart w:id="9261" w:name="_Toc51747429"/>
      <w:bookmarkStart w:id="9262" w:name="_Toc66361008"/>
      <w:bookmarkStart w:id="9263" w:name="_Toc68105513"/>
      <w:bookmarkStart w:id="9264" w:name="_Toc74756145"/>
      <w:bookmarkStart w:id="9265" w:name="_Toc105675022"/>
      <w:bookmarkStart w:id="9266" w:name="_Toc130503092"/>
      <w:bookmarkStart w:id="9267" w:name="_Toc153625884"/>
      <w:r w:rsidRPr="000A0A5F">
        <w:t>5.14.3.1</w:t>
      </w:r>
      <w:r w:rsidRPr="000A0A5F">
        <w:tab/>
        <w:t>General</w:t>
      </w:r>
      <w:bookmarkEnd w:id="9256"/>
      <w:bookmarkEnd w:id="9257"/>
      <w:bookmarkEnd w:id="9258"/>
      <w:bookmarkEnd w:id="9259"/>
      <w:bookmarkEnd w:id="9260"/>
      <w:bookmarkEnd w:id="9261"/>
      <w:bookmarkEnd w:id="9262"/>
      <w:bookmarkEnd w:id="9263"/>
      <w:bookmarkEnd w:id="9264"/>
      <w:bookmarkEnd w:id="9265"/>
      <w:bookmarkEnd w:id="9266"/>
      <w:bookmarkEnd w:id="9267"/>
    </w:p>
    <w:p w:rsidR="00CB0DD7" w:rsidRPr="000A0A5F" w:rsidRDefault="00CB0DD7">
      <w:r w:rsidRPr="000A0A5F">
        <w:t>All resource URIs of this API should have the following root:</w:t>
      </w:r>
    </w:p>
    <w:p w:rsidR="00CB0DD7" w:rsidRPr="000A0A5F" w:rsidRDefault="00CB0DD7">
      <w:pPr>
        <w:pStyle w:val="B1"/>
        <w:numPr>
          <w:ilvl w:val="0"/>
          <w:numId w:val="0"/>
        </w:numPr>
        <w:ind w:left="737"/>
        <w:rPr>
          <w:b/>
        </w:rPr>
      </w:pPr>
      <w:r w:rsidRPr="000A0A5F">
        <w:rPr>
          <w:b/>
        </w:rPr>
        <w:t>{apiRoot}/3gpp-as-session-with-qos/v1</w:t>
      </w:r>
    </w:p>
    <w:p w:rsidR="00CB0DD7" w:rsidRPr="000A0A5F" w:rsidRDefault="00CB0DD7">
      <w:r w:rsidRPr="000A0A5F">
        <w:t>"apiRoot" is set as described in clause</w:t>
      </w:r>
      <w:r w:rsidRPr="000A0A5F">
        <w:rPr>
          <w:rFonts w:ascii="Segoe UI Symbol" w:hAnsi="Segoe UI Symbol"/>
        </w:rPr>
        <w:t> </w:t>
      </w:r>
      <w:r w:rsidRPr="000A0A5F">
        <w:t>5.2.4. "apiName" shall be set to "3gpp</w:t>
      </w:r>
      <w:r w:rsidRPr="000A0A5F">
        <w:rPr>
          <w:b/>
        </w:rPr>
        <w:t>-</w:t>
      </w:r>
      <w:r w:rsidRPr="000A0A5F">
        <w:t>as</w:t>
      </w:r>
      <w:r w:rsidRPr="000A0A5F">
        <w:rPr>
          <w:b/>
        </w:rPr>
        <w:t>-</w:t>
      </w:r>
      <w:r w:rsidRPr="000A0A5F">
        <w:t>session</w:t>
      </w:r>
      <w:r w:rsidRPr="000A0A5F">
        <w:rPr>
          <w:b/>
        </w:rPr>
        <w:t>-</w:t>
      </w:r>
      <w:r w:rsidRPr="000A0A5F">
        <w:t>with</w:t>
      </w:r>
      <w:r w:rsidRPr="000A0A5F">
        <w:rPr>
          <w:b/>
        </w:rPr>
        <w:t>-</w:t>
      </w:r>
      <w:r w:rsidRPr="000A0A5F">
        <w:t>qos" and "apiVersion" shall be set to "v1" for the version defined in the present document. All resource URIs in the clauses below are defined relative to the above root URI.</w:t>
      </w:r>
    </w:p>
    <w:p w:rsidR="00CB0DD7" w:rsidRPr="000A0A5F" w:rsidRDefault="00CB0DD7">
      <w:r w:rsidRPr="000A0A5F">
        <w:t>The following resources and HTTP methods are supported for this API:</w:t>
      </w:r>
    </w:p>
    <w:p w:rsidR="00CB0DD7" w:rsidRPr="000A0A5F" w:rsidRDefault="00CB0DD7">
      <w:pPr>
        <w:pStyle w:val="TH"/>
      </w:pPr>
      <w:r w:rsidRPr="000A0A5F">
        <w:t>Table 5.14.3.1-1: Resources and methods overview</w:t>
      </w:r>
    </w:p>
    <w:tbl>
      <w:tblPr>
        <w:tblW w:w="4941"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1E0" w:firstRow="1" w:lastRow="1" w:firstColumn="1" w:lastColumn="1" w:noHBand="0" w:noVBand="0"/>
      </w:tblPr>
      <w:tblGrid>
        <w:gridCol w:w="1618"/>
        <w:gridCol w:w="5260"/>
        <w:gridCol w:w="931"/>
        <w:gridCol w:w="1853"/>
      </w:tblGrid>
      <w:tr w:rsidR="00CB0DD7" w:rsidRPr="000A0A5F" w:rsidTr="00FF0AF8">
        <w:trPr>
          <w:trHeight w:val="446"/>
          <w:jc w:val="center"/>
        </w:trPr>
        <w:tc>
          <w:tcPr>
            <w:tcW w:w="837" w:type="pct"/>
            <w:shd w:val="clear" w:color="auto" w:fill="C0C0C0"/>
            <w:vAlign w:val="center"/>
            <w:hideMark/>
          </w:tcPr>
          <w:p w:rsidR="00CB0DD7" w:rsidRPr="000A0A5F" w:rsidRDefault="00CB0DD7">
            <w:pPr>
              <w:pStyle w:val="TAH"/>
              <w:spacing w:line="276" w:lineRule="auto"/>
            </w:pPr>
            <w:r w:rsidRPr="000A0A5F">
              <w:t>Resource name</w:t>
            </w:r>
          </w:p>
        </w:tc>
        <w:tc>
          <w:tcPr>
            <w:tcW w:w="2722" w:type="pct"/>
            <w:shd w:val="clear" w:color="auto" w:fill="C0C0C0"/>
            <w:vAlign w:val="center"/>
            <w:hideMark/>
          </w:tcPr>
          <w:p w:rsidR="00CB0DD7" w:rsidRPr="000A0A5F" w:rsidRDefault="00CB0DD7">
            <w:pPr>
              <w:pStyle w:val="TAH"/>
              <w:spacing w:line="276" w:lineRule="auto"/>
            </w:pPr>
            <w:r w:rsidRPr="000A0A5F">
              <w:t>Resource URI</w:t>
            </w:r>
          </w:p>
        </w:tc>
        <w:tc>
          <w:tcPr>
            <w:tcW w:w="482" w:type="pct"/>
            <w:shd w:val="clear" w:color="auto" w:fill="C0C0C0"/>
            <w:vAlign w:val="center"/>
            <w:hideMark/>
          </w:tcPr>
          <w:p w:rsidR="00CB0DD7" w:rsidRPr="000A0A5F" w:rsidRDefault="00CB0DD7">
            <w:pPr>
              <w:pStyle w:val="TAH"/>
              <w:spacing w:line="276" w:lineRule="auto"/>
            </w:pPr>
            <w:r w:rsidRPr="000A0A5F">
              <w:t>HTTP method</w:t>
            </w:r>
          </w:p>
        </w:tc>
        <w:tc>
          <w:tcPr>
            <w:tcW w:w="959" w:type="pct"/>
            <w:shd w:val="clear" w:color="auto" w:fill="C0C0C0"/>
            <w:vAlign w:val="center"/>
            <w:hideMark/>
          </w:tcPr>
          <w:p w:rsidR="00CB0DD7" w:rsidRPr="000A0A5F" w:rsidRDefault="00CB0DD7">
            <w:pPr>
              <w:pStyle w:val="TAH"/>
              <w:spacing w:line="276" w:lineRule="auto"/>
            </w:pPr>
            <w:r w:rsidRPr="000A0A5F">
              <w:t>Meaning</w:t>
            </w:r>
          </w:p>
        </w:tc>
      </w:tr>
      <w:tr w:rsidR="00CB0DD7" w:rsidRPr="000A0A5F" w:rsidTr="00FF0AF8">
        <w:trPr>
          <w:trHeight w:val="640"/>
          <w:jc w:val="center"/>
        </w:trPr>
        <w:tc>
          <w:tcPr>
            <w:tcW w:w="837" w:type="pct"/>
            <w:vMerge w:val="restart"/>
            <w:hideMark/>
          </w:tcPr>
          <w:p w:rsidR="00CB0DD7" w:rsidRPr="000A0A5F" w:rsidRDefault="00CB0DD7">
            <w:pPr>
              <w:pStyle w:val="TAL"/>
              <w:rPr>
                <w:lang w:eastAsia="zh-CN"/>
              </w:rPr>
            </w:pPr>
            <w:r w:rsidRPr="000A0A5F">
              <w:t>AS Session with Required QoS Subscriptions</w:t>
            </w:r>
          </w:p>
        </w:tc>
        <w:tc>
          <w:tcPr>
            <w:tcW w:w="2722" w:type="pct"/>
            <w:vMerge w:val="restart"/>
            <w:hideMark/>
          </w:tcPr>
          <w:p w:rsidR="00CB0DD7" w:rsidRPr="000A0A5F" w:rsidRDefault="00CB0DD7">
            <w:pPr>
              <w:pStyle w:val="TAL"/>
            </w:pPr>
            <w:r w:rsidRPr="000A0A5F">
              <w:t>/{scsAsId}/subscriptions</w:t>
            </w:r>
          </w:p>
        </w:tc>
        <w:tc>
          <w:tcPr>
            <w:tcW w:w="482" w:type="pct"/>
          </w:tcPr>
          <w:p w:rsidR="00CB0DD7" w:rsidRPr="000A0A5F" w:rsidRDefault="00CB0DD7">
            <w:pPr>
              <w:pStyle w:val="TAL"/>
              <w:rPr>
                <w:rFonts w:hint="eastAsia"/>
                <w:lang w:eastAsia="zh-CN"/>
              </w:rPr>
            </w:pPr>
            <w:r w:rsidRPr="000A0A5F">
              <w:rPr>
                <w:lang w:eastAsia="zh-CN"/>
              </w:rPr>
              <w:t>GET</w:t>
            </w:r>
          </w:p>
        </w:tc>
        <w:tc>
          <w:tcPr>
            <w:tcW w:w="959" w:type="pct"/>
          </w:tcPr>
          <w:p w:rsidR="00CB0DD7" w:rsidRPr="000A0A5F" w:rsidRDefault="00CB0DD7">
            <w:pPr>
              <w:pStyle w:val="TAL"/>
            </w:pPr>
            <w:r w:rsidRPr="000A0A5F">
              <w:rPr>
                <w:lang w:eastAsia="zh-CN"/>
              </w:rPr>
              <w:t xml:space="preserve">Get all </w:t>
            </w:r>
            <w:r w:rsidR="009E4BF4" w:rsidRPr="000A0A5F">
              <w:rPr>
                <w:lang w:eastAsia="zh-CN"/>
              </w:rPr>
              <w:t xml:space="preserve">or queried </w:t>
            </w:r>
            <w:r w:rsidRPr="000A0A5F">
              <w:rPr>
                <w:lang w:eastAsia="zh-CN"/>
              </w:rPr>
              <w:t>subscription resources for a given SCS/AS.</w:t>
            </w:r>
          </w:p>
        </w:tc>
      </w:tr>
      <w:tr w:rsidR="00CB0DD7" w:rsidRPr="000A0A5F" w:rsidTr="00FF0AF8">
        <w:trPr>
          <w:trHeight w:val="472"/>
          <w:jc w:val="center"/>
        </w:trPr>
        <w:tc>
          <w:tcPr>
            <w:tcW w:w="837" w:type="pct"/>
            <w:vMerge/>
          </w:tcPr>
          <w:p w:rsidR="00CB0DD7" w:rsidRPr="000A0A5F" w:rsidRDefault="00CB0DD7">
            <w:pPr>
              <w:pStyle w:val="TAL"/>
            </w:pPr>
          </w:p>
        </w:tc>
        <w:tc>
          <w:tcPr>
            <w:tcW w:w="2722" w:type="pct"/>
            <w:vMerge/>
          </w:tcPr>
          <w:p w:rsidR="00CB0DD7" w:rsidRPr="000A0A5F" w:rsidRDefault="00CB0DD7">
            <w:pPr>
              <w:pStyle w:val="TAL"/>
            </w:pPr>
          </w:p>
        </w:tc>
        <w:tc>
          <w:tcPr>
            <w:tcW w:w="482" w:type="pct"/>
          </w:tcPr>
          <w:p w:rsidR="00CB0DD7" w:rsidRPr="000A0A5F" w:rsidRDefault="00CB0DD7">
            <w:pPr>
              <w:pStyle w:val="TAL"/>
              <w:rPr>
                <w:lang w:eastAsia="zh-CN"/>
              </w:rPr>
            </w:pPr>
            <w:r w:rsidRPr="000A0A5F">
              <w:rPr>
                <w:lang w:eastAsia="zh-CN"/>
              </w:rPr>
              <w:t>POST</w:t>
            </w:r>
          </w:p>
        </w:tc>
        <w:tc>
          <w:tcPr>
            <w:tcW w:w="959" w:type="pct"/>
          </w:tcPr>
          <w:p w:rsidR="00CB0DD7" w:rsidRPr="000A0A5F" w:rsidRDefault="00CB0DD7">
            <w:pPr>
              <w:pStyle w:val="TAL"/>
              <w:rPr>
                <w:rFonts w:hint="eastAsia"/>
                <w:lang w:eastAsia="zh-CN"/>
              </w:rPr>
            </w:pPr>
            <w:r w:rsidRPr="000A0A5F">
              <w:rPr>
                <w:lang w:eastAsia="zh-CN"/>
              </w:rPr>
              <w:t>Create a new AS session</w:t>
            </w:r>
            <w:r w:rsidRPr="000A0A5F">
              <w:t>.</w:t>
            </w:r>
          </w:p>
        </w:tc>
      </w:tr>
      <w:tr w:rsidR="00CB0DD7" w:rsidRPr="000A0A5F" w:rsidTr="00FF0AF8">
        <w:trPr>
          <w:jc w:val="center"/>
        </w:trPr>
        <w:tc>
          <w:tcPr>
            <w:tcW w:w="837" w:type="pct"/>
            <w:vMerge w:val="restart"/>
          </w:tcPr>
          <w:p w:rsidR="00CB0DD7" w:rsidRPr="000A0A5F" w:rsidRDefault="00CB0DD7">
            <w:pPr>
              <w:pStyle w:val="TAL"/>
              <w:rPr>
                <w:rFonts w:hint="eastAsia"/>
                <w:lang w:eastAsia="zh-CN"/>
              </w:rPr>
            </w:pPr>
            <w:r w:rsidRPr="000A0A5F">
              <w:rPr>
                <w:rFonts w:hint="eastAsia"/>
                <w:lang w:eastAsia="zh-CN"/>
              </w:rPr>
              <w:t>Ind</w:t>
            </w:r>
            <w:r w:rsidRPr="000A0A5F">
              <w:rPr>
                <w:lang w:eastAsia="zh-CN"/>
              </w:rPr>
              <w:t>i</w:t>
            </w:r>
            <w:r w:rsidRPr="000A0A5F">
              <w:rPr>
                <w:rFonts w:hint="eastAsia"/>
                <w:lang w:eastAsia="zh-CN"/>
              </w:rPr>
              <w:t>vidual AS Session with Required QoS</w:t>
            </w:r>
            <w:r w:rsidRPr="000A0A5F">
              <w:rPr>
                <w:lang w:eastAsia="zh-CN"/>
              </w:rPr>
              <w:t xml:space="preserve"> </w:t>
            </w:r>
            <w:r w:rsidRPr="000A0A5F">
              <w:t>Subscription</w:t>
            </w:r>
          </w:p>
        </w:tc>
        <w:tc>
          <w:tcPr>
            <w:tcW w:w="2722" w:type="pct"/>
            <w:vMerge w:val="restart"/>
          </w:tcPr>
          <w:p w:rsidR="00CB0DD7" w:rsidRPr="000A0A5F" w:rsidRDefault="00CB0DD7">
            <w:pPr>
              <w:pStyle w:val="TAL"/>
            </w:pPr>
            <w:r w:rsidRPr="000A0A5F">
              <w:t>/{scsAsId}/subscriptions/{subscriptionId}</w:t>
            </w:r>
          </w:p>
        </w:tc>
        <w:tc>
          <w:tcPr>
            <w:tcW w:w="482" w:type="pct"/>
          </w:tcPr>
          <w:p w:rsidR="00CB0DD7" w:rsidRPr="000A0A5F" w:rsidRDefault="00CB0DD7">
            <w:pPr>
              <w:pStyle w:val="TAL"/>
              <w:rPr>
                <w:rFonts w:hint="eastAsia"/>
                <w:lang w:eastAsia="zh-CN"/>
              </w:rPr>
            </w:pPr>
            <w:r w:rsidRPr="000A0A5F">
              <w:rPr>
                <w:lang w:eastAsia="zh-CN"/>
              </w:rPr>
              <w:t>GET</w:t>
            </w:r>
          </w:p>
        </w:tc>
        <w:tc>
          <w:tcPr>
            <w:tcW w:w="959" w:type="pct"/>
          </w:tcPr>
          <w:p w:rsidR="00CB0DD7" w:rsidRPr="000A0A5F" w:rsidRDefault="00CB0DD7">
            <w:pPr>
              <w:pStyle w:val="TAL"/>
              <w:rPr>
                <w:rFonts w:hint="eastAsia"/>
                <w:lang w:eastAsia="zh-CN"/>
              </w:rPr>
            </w:pPr>
            <w:r w:rsidRPr="000A0A5F">
              <w:rPr>
                <w:lang w:eastAsia="zh-CN"/>
              </w:rPr>
              <w:t>Read a subscription resource for a given SCS/AS and a subscription Id</w:t>
            </w:r>
            <w:r w:rsidRPr="000A0A5F">
              <w:t>.</w:t>
            </w:r>
          </w:p>
        </w:tc>
      </w:tr>
      <w:tr w:rsidR="00CB0DD7" w:rsidRPr="000A0A5F" w:rsidTr="00FF0AF8">
        <w:trPr>
          <w:jc w:val="center"/>
        </w:trPr>
        <w:tc>
          <w:tcPr>
            <w:tcW w:w="837" w:type="pct"/>
            <w:vMerge/>
          </w:tcPr>
          <w:p w:rsidR="00CB0DD7" w:rsidRPr="000A0A5F" w:rsidRDefault="00CB0DD7">
            <w:pPr>
              <w:pStyle w:val="TAL"/>
              <w:rPr>
                <w:rFonts w:hint="eastAsia"/>
                <w:lang w:eastAsia="zh-CN"/>
              </w:rPr>
            </w:pPr>
          </w:p>
        </w:tc>
        <w:tc>
          <w:tcPr>
            <w:tcW w:w="2722" w:type="pct"/>
            <w:vMerge/>
          </w:tcPr>
          <w:p w:rsidR="00CB0DD7" w:rsidRPr="000A0A5F" w:rsidRDefault="00CB0DD7">
            <w:pPr>
              <w:pStyle w:val="TAL"/>
            </w:pPr>
          </w:p>
        </w:tc>
        <w:tc>
          <w:tcPr>
            <w:tcW w:w="482" w:type="pct"/>
          </w:tcPr>
          <w:p w:rsidR="00CB0DD7" w:rsidRPr="000A0A5F" w:rsidRDefault="00CB0DD7">
            <w:pPr>
              <w:pStyle w:val="TAL"/>
              <w:rPr>
                <w:lang w:eastAsia="zh-CN"/>
              </w:rPr>
            </w:pPr>
            <w:r w:rsidRPr="000A0A5F">
              <w:rPr>
                <w:lang w:eastAsia="zh-CN"/>
              </w:rPr>
              <w:t>PUT</w:t>
            </w:r>
          </w:p>
        </w:tc>
        <w:tc>
          <w:tcPr>
            <w:tcW w:w="959" w:type="pct"/>
          </w:tcPr>
          <w:p w:rsidR="00CB0DD7" w:rsidRPr="000A0A5F" w:rsidRDefault="00CB0DD7">
            <w:pPr>
              <w:pStyle w:val="TAL"/>
              <w:rPr>
                <w:lang w:eastAsia="zh-CN"/>
              </w:rPr>
            </w:pPr>
            <w:r w:rsidRPr="000A0A5F">
              <w:rPr>
                <w:lang w:eastAsia="zh-CN"/>
              </w:rPr>
              <w:t>Modify a subscription resource for a given SCS/AS and a subscription Id</w:t>
            </w:r>
            <w:r w:rsidRPr="000A0A5F">
              <w:t>.</w:t>
            </w:r>
          </w:p>
        </w:tc>
      </w:tr>
      <w:tr w:rsidR="00CB0DD7" w:rsidRPr="000A0A5F" w:rsidTr="00FF0AF8">
        <w:trPr>
          <w:jc w:val="center"/>
        </w:trPr>
        <w:tc>
          <w:tcPr>
            <w:tcW w:w="837" w:type="pct"/>
            <w:vMerge/>
          </w:tcPr>
          <w:p w:rsidR="00CB0DD7" w:rsidRPr="000A0A5F" w:rsidRDefault="00CB0DD7">
            <w:pPr>
              <w:pStyle w:val="TAL"/>
              <w:rPr>
                <w:rFonts w:hint="eastAsia"/>
                <w:lang w:eastAsia="zh-CN"/>
              </w:rPr>
            </w:pPr>
          </w:p>
        </w:tc>
        <w:tc>
          <w:tcPr>
            <w:tcW w:w="2722" w:type="pct"/>
            <w:vMerge/>
          </w:tcPr>
          <w:p w:rsidR="00CB0DD7" w:rsidRPr="000A0A5F" w:rsidRDefault="00CB0DD7">
            <w:pPr>
              <w:pStyle w:val="TAL"/>
            </w:pPr>
          </w:p>
        </w:tc>
        <w:tc>
          <w:tcPr>
            <w:tcW w:w="482" w:type="pct"/>
          </w:tcPr>
          <w:p w:rsidR="00CB0DD7" w:rsidRPr="000A0A5F" w:rsidRDefault="00CB0DD7">
            <w:pPr>
              <w:pStyle w:val="TAL"/>
              <w:rPr>
                <w:rFonts w:hint="eastAsia"/>
                <w:lang w:eastAsia="zh-CN"/>
              </w:rPr>
            </w:pPr>
            <w:r w:rsidRPr="000A0A5F">
              <w:rPr>
                <w:lang w:eastAsia="zh-CN"/>
              </w:rPr>
              <w:t>PATCH</w:t>
            </w:r>
          </w:p>
        </w:tc>
        <w:tc>
          <w:tcPr>
            <w:tcW w:w="959" w:type="pct"/>
          </w:tcPr>
          <w:p w:rsidR="00CB0DD7" w:rsidRPr="000A0A5F" w:rsidRDefault="00CB0DD7">
            <w:pPr>
              <w:pStyle w:val="TAL"/>
              <w:rPr>
                <w:rFonts w:hint="eastAsia"/>
                <w:lang w:eastAsia="zh-CN"/>
              </w:rPr>
            </w:pPr>
            <w:r w:rsidRPr="000A0A5F">
              <w:rPr>
                <w:lang w:eastAsia="zh-CN"/>
              </w:rPr>
              <w:t>Modify</w:t>
            </w:r>
            <w:r w:rsidRPr="000A0A5F">
              <w:rPr>
                <w:rFonts w:hint="eastAsia"/>
                <w:lang w:eastAsia="zh-CN"/>
              </w:rPr>
              <w:t xml:space="preserve"> </w:t>
            </w:r>
            <w:r w:rsidRPr="000A0A5F">
              <w:rPr>
                <w:lang w:eastAsia="zh-CN"/>
              </w:rPr>
              <w:t>a subscription resource for a given SCS/AS and a subscription Id</w:t>
            </w:r>
            <w:r w:rsidRPr="000A0A5F">
              <w:t>.</w:t>
            </w:r>
          </w:p>
        </w:tc>
      </w:tr>
      <w:tr w:rsidR="00CB0DD7" w:rsidRPr="000A0A5F" w:rsidTr="00FF0AF8">
        <w:trPr>
          <w:jc w:val="center"/>
        </w:trPr>
        <w:tc>
          <w:tcPr>
            <w:tcW w:w="837" w:type="pct"/>
            <w:vMerge/>
          </w:tcPr>
          <w:p w:rsidR="00CB0DD7" w:rsidRPr="000A0A5F" w:rsidRDefault="00CB0DD7">
            <w:pPr>
              <w:pStyle w:val="TAL"/>
              <w:rPr>
                <w:rFonts w:hint="eastAsia"/>
                <w:lang w:eastAsia="zh-CN"/>
              </w:rPr>
            </w:pPr>
          </w:p>
        </w:tc>
        <w:tc>
          <w:tcPr>
            <w:tcW w:w="2722" w:type="pct"/>
            <w:vMerge/>
          </w:tcPr>
          <w:p w:rsidR="00CB0DD7" w:rsidRPr="000A0A5F" w:rsidRDefault="00CB0DD7">
            <w:pPr>
              <w:pStyle w:val="TAL"/>
            </w:pPr>
          </w:p>
        </w:tc>
        <w:tc>
          <w:tcPr>
            <w:tcW w:w="482" w:type="pct"/>
          </w:tcPr>
          <w:p w:rsidR="00CB0DD7" w:rsidRPr="000A0A5F" w:rsidRDefault="00CB0DD7">
            <w:pPr>
              <w:pStyle w:val="TAL"/>
              <w:rPr>
                <w:rFonts w:hint="eastAsia"/>
                <w:lang w:eastAsia="zh-CN"/>
              </w:rPr>
            </w:pPr>
            <w:r w:rsidRPr="000A0A5F">
              <w:rPr>
                <w:lang w:eastAsia="zh-CN"/>
              </w:rPr>
              <w:t>DELETE</w:t>
            </w:r>
          </w:p>
        </w:tc>
        <w:tc>
          <w:tcPr>
            <w:tcW w:w="959" w:type="pct"/>
          </w:tcPr>
          <w:p w:rsidR="00CB0DD7" w:rsidRPr="000A0A5F" w:rsidRDefault="00CB0DD7">
            <w:pPr>
              <w:pStyle w:val="TAL"/>
              <w:rPr>
                <w:rFonts w:hint="eastAsia"/>
                <w:lang w:eastAsia="zh-CN"/>
              </w:rPr>
            </w:pPr>
            <w:r w:rsidRPr="000A0A5F">
              <w:t xml:space="preserve">Delete </w:t>
            </w:r>
            <w:r w:rsidRPr="000A0A5F">
              <w:rPr>
                <w:lang w:eastAsia="zh-CN"/>
              </w:rPr>
              <w:t>a subscription resource for a given SCS/AS and a subscription Id</w:t>
            </w:r>
            <w:r w:rsidRPr="000A0A5F">
              <w:rPr>
                <w:rFonts w:hint="eastAsia"/>
                <w:lang w:eastAsia="zh-CN"/>
              </w:rPr>
              <w:t>.</w:t>
            </w:r>
          </w:p>
        </w:tc>
      </w:tr>
    </w:tbl>
    <w:p w:rsidR="00CB0DD7" w:rsidRPr="000A0A5F" w:rsidRDefault="00CB0DD7"/>
    <w:p w:rsidR="00CB0DD7" w:rsidRPr="000A0A5F" w:rsidRDefault="00CB0DD7">
      <w:pPr>
        <w:pStyle w:val="Heading4"/>
      </w:pPr>
      <w:bookmarkStart w:id="9268" w:name="_Toc11247883"/>
      <w:bookmarkStart w:id="9269" w:name="_Toc27045027"/>
      <w:bookmarkStart w:id="9270" w:name="_Toc36034078"/>
      <w:bookmarkStart w:id="9271" w:name="_Toc45132225"/>
      <w:bookmarkStart w:id="9272" w:name="_Toc49776510"/>
      <w:bookmarkStart w:id="9273" w:name="_Toc51747430"/>
      <w:bookmarkStart w:id="9274" w:name="_Toc66361009"/>
      <w:bookmarkStart w:id="9275" w:name="_Toc68105514"/>
      <w:bookmarkStart w:id="9276" w:name="_Toc74756146"/>
      <w:bookmarkStart w:id="9277" w:name="_Toc105675023"/>
      <w:bookmarkStart w:id="9278" w:name="_Toc130503093"/>
      <w:bookmarkStart w:id="9279" w:name="_Toc153625885"/>
      <w:r w:rsidRPr="000A0A5F">
        <w:t>5.14.3.2</w:t>
      </w:r>
      <w:r w:rsidRPr="000A0A5F">
        <w:tab/>
        <w:t>Resource: AS Session with Required QoS subscriptions</w:t>
      </w:r>
      <w:bookmarkEnd w:id="9268"/>
      <w:bookmarkEnd w:id="9269"/>
      <w:bookmarkEnd w:id="9270"/>
      <w:bookmarkEnd w:id="9271"/>
      <w:bookmarkEnd w:id="9272"/>
      <w:bookmarkEnd w:id="9273"/>
      <w:bookmarkEnd w:id="9274"/>
      <w:bookmarkEnd w:id="9275"/>
      <w:bookmarkEnd w:id="9276"/>
      <w:bookmarkEnd w:id="9277"/>
      <w:bookmarkEnd w:id="9278"/>
      <w:bookmarkEnd w:id="9279"/>
      <w:r w:rsidRPr="000A0A5F">
        <w:t xml:space="preserve"> </w:t>
      </w:r>
    </w:p>
    <w:p w:rsidR="00CB0DD7" w:rsidRPr="000A0A5F" w:rsidRDefault="00CB0DD7" w:rsidP="00DA1808">
      <w:pPr>
        <w:pStyle w:val="Heading5"/>
      </w:pPr>
      <w:bookmarkStart w:id="9280" w:name="_Toc11247884"/>
      <w:bookmarkStart w:id="9281" w:name="_Toc27045028"/>
      <w:bookmarkStart w:id="9282" w:name="_Toc36034079"/>
      <w:bookmarkStart w:id="9283" w:name="_Toc45132226"/>
      <w:bookmarkStart w:id="9284" w:name="_Toc49776511"/>
      <w:bookmarkStart w:id="9285" w:name="_Toc51747431"/>
      <w:bookmarkStart w:id="9286" w:name="_Toc66361010"/>
      <w:bookmarkStart w:id="9287" w:name="_Toc68105515"/>
      <w:bookmarkStart w:id="9288" w:name="_Toc74756147"/>
      <w:bookmarkStart w:id="9289" w:name="_Toc105675024"/>
      <w:bookmarkStart w:id="9290" w:name="_Toc130503094"/>
      <w:bookmarkStart w:id="9291" w:name="_Toc153625886"/>
      <w:r w:rsidRPr="000A0A5F">
        <w:t>5.14.3.2.1</w:t>
      </w:r>
      <w:r w:rsidRPr="000A0A5F">
        <w:tab/>
        <w:t>Introduction</w:t>
      </w:r>
      <w:bookmarkEnd w:id="9280"/>
      <w:bookmarkEnd w:id="9281"/>
      <w:bookmarkEnd w:id="9282"/>
      <w:bookmarkEnd w:id="9283"/>
      <w:bookmarkEnd w:id="9284"/>
      <w:bookmarkEnd w:id="9285"/>
      <w:bookmarkEnd w:id="9286"/>
      <w:bookmarkEnd w:id="9287"/>
      <w:bookmarkEnd w:id="9288"/>
      <w:bookmarkEnd w:id="9289"/>
      <w:bookmarkEnd w:id="9290"/>
      <w:bookmarkEnd w:id="9291"/>
    </w:p>
    <w:p w:rsidR="00CB0DD7" w:rsidRPr="000A0A5F" w:rsidRDefault="00CB0DD7">
      <w:pPr>
        <w:rPr>
          <w:noProof/>
          <w:lang w:eastAsia="zh-CN"/>
        </w:rPr>
      </w:pPr>
      <w:r w:rsidRPr="000A0A5F">
        <w:rPr>
          <w:noProof/>
          <w:lang w:eastAsia="zh-CN"/>
        </w:rPr>
        <w:t>This resource allows t</w:t>
      </w:r>
      <w:r w:rsidRPr="000A0A5F">
        <w:rPr>
          <w:rFonts w:hint="eastAsia"/>
          <w:noProof/>
          <w:lang w:eastAsia="zh-CN"/>
        </w:rPr>
        <w:t xml:space="preserve">he SCS/AS </w:t>
      </w:r>
      <w:r w:rsidRPr="000A0A5F">
        <w:rPr>
          <w:noProof/>
          <w:lang w:eastAsia="zh-CN"/>
        </w:rPr>
        <w:t>to read all active AS session with required QoS subscription resources, or create a new subscription resource for the SCS/AS.</w:t>
      </w:r>
    </w:p>
    <w:p w:rsidR="00CB0DD7" w:rsidRPr="000A0A5F" w:rsidRDefault="00CB0DD7">
      <w:pPr>
        <w:pStyle w:val="Heading5"/>
      </w:pPr>
      <w:bookmarkStart w:id="9292" w:name="_Toc11247885"/>
      <w:bookmarkStart w:id="9293" w:name="_Toc27045029"/>
      <w:bookmarkStart w:id="9294" w:name="_Toc36034080"/>
      <w:bookmarkStart w:id="9295" w:name="_Toc45132227"/>
      <w:bookmarkStart w:id="9296" w:name="_Toc49776512"/>
      <w:bookmarkStart w:id="9297" w:name="_Toc51747432"/>
      <w:bookmarkStart w:id="9298" w:name="_Toc66361011"/>
      <w:bookmarkStart w:id="9299" w:name="_Toc68105516"/>
      <w:bookmarkStart w:id="9300" w:name="_Toc74756148"/>
      <w:bookmarkStart w:id="9301" w:name="_Toc105675025"/>
      <w:bookmarkStart w:id="9302" w:name="_Toc130503095"/>
      <w:bookmarkStart w:id="9303" w:name="_Toc153625887"/>
      <w:r w:rsidRPr="000A0A5F">
        <w:t>5.14.3.2.2</w:t>
      </w:r>
      <w:r w:rsidRPr="000A0A5F">
        <w:tab/>
        <w:t>Resource definition</w:t>
      </w:r>
      <w:bookmarkEnd w:id="9292"/>
      <w:bookmarkEnd w:id="9293"/>
      <w:bookmarkEnd w:id="9294"/>
      <w:bookmarkEnd w:id="9295"/>
      <w:bookmarkEnd w:id="9296"/>
      <w:bookmarkEnd w:id="9297"/>
      <w:bookmarkEnd w:id="9298"/>
      <w:bookmarkEnd w:id="9299"/>
      <w:bookmarkEnd w:id="9300"/>
      <w:bookmarkEnd w:id="9301"/>
      <w:bookmarkEnd w:id="9302"/>
      <w:bookmarkEnd w:id="9303"/>
    </w:p>
    <w:p w:rsidR="00CB0DD7" w:rsidRPr="000A0A5F" w:rsidRDefault="00CB0DD7">
      <w:r w:rsidRPr="000A0A5F">
        <w:t xml:space="preserve">Resource URI: </w:t>
      </w:r>
      <w:r w:rsidRPr="000A0A5F">
        <w:rPr>
          <w:b/>
        </w:rPr>
        <w:t>{apiRoot}/3gpp-as-session-with-qos/v1/{scsAsId}/subscriptions</w:t>
      </w:r>
    </w:p>
    <w:p w:rsidR="00CB0DD7" w:rsidRPr="000A0A5F" w:rsidRDefault="00CB0DD7">
      <w:pPr>
        <w:rPr>
          <w:rFonts w:ascii="Arial" w:hAnsi="Arial" w:cs="Arial"/>
        </w:rPr>
      </w:pPr>
      <w:r w:rsidRPr="000A0A5F">
        <w:t>This resource shall support the resource URI variables defined in table 5.14.3.2.2-1</w:t>
      </w:r>
      <w:r w:rsidRPr="000A0A5F">
        <w:rPr>
          <w:rFonts w:ascii="Arial" w:hAnsi="Arial" w:cs="Arial"/>
        </w:rPr>
        <w:t>.</w:t>
      </w:r>
    </w:p>
    <w:p w:rsidR="00CB0DD7" w:rsidRPr="000A0A5F" w:rsidRDefault="00CB0DD7">
      <w:pPr>
        <w:pStyle w:val="TH"/>
        <w:rPr>
          <w:rFonts w:cs="Arial"/>
        </w:rPr>
      </w:pPr>
      <w:r w:rsidRPr="000A0A5F">
        <w:t>Table 5.14.3.2.2-1: Resource URI variables for resource "AS Session with Required QoS Subscriptions"</w:t>
      </w:r>
    </w:p>
    <w:tbl>
      <w:tblPr>
        <w:tblW w:w="494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970"/>
        <w:gridCol w:w="1312"/>
        <w:gridCol w:w="6378"/>
      </w:tblGrid>
      <w:tr w:rsidR="00CB0DD7" w:rsidRPr="000A0A5F" w:rsidTr="00FF0AF8">
        <w:trPr>
          <w:jc w:val="center"/>
        </w:trPr>
        <w:tc>
          <w:tcPr>
            <w:tcW w:w="1020" w:type="pct"/>
            <w:shd w:val="clear" w:color="000000" w:fill="C0C0C0"/>
          </w:tcPr>
          <w:p w:rsidR="00CB0DD7" w:rsidRPr="000A0A5F" w:rsidRDefault="00CB0DD7">
            <w:pPr>
              <w:pStyle w:val="TAH"/>
            </w:pPr>
            <w:r w:rsidRPr="000A0A5F">
              <w:t>Name</w:t>
            </w:r>
          </w:p>
        </w:tc>
        <w:tc>
          <w:tcPr>
            <w:tcW w:w="679" w:type="pct"/>
            <w:shd w:val="clear" w:color="000000" w:fill="C0C0C0"/>
          </w:tcPr>
          <w:p w:rsidR="00CB0DD7" w:rsidRPr="000A0A5F" w:rsidRDefault="00CB0DD7">
            <w:pPr>
              <w:pStyle w:val="TAH"/>
            </w:pPr>
            <w:r w:rsidRPr="000A0A5F">
              <w:t>Data type</w:t>
            </w:r>
          </w:p>
        </w:tc>
        <w:tc>
          <w:tcPr>
            <w:tcW w:w="3302" w:type="pct"/>
            <w:shd w:val="clear" w:color="000000" w:fill="C0C0C0"/>
            <w:vAlign w:val="center"/>
          </w:tcPr>
          <w:p w:rsidR="00CB0DD7" w:rsidRPr="000A0A5F" w:rsidRDefault="00CB0DD7">
            <w:pPr>
              <w:pStyle w:val="TAH"/>
            </w:pPr>
            <w:r w:rsidRPr="000A0A5F">
              <w:t>Definition</w:t>
            </w:r>
          </w:p>
        </w:tc>
      </w:tr>
      <w:tr w:rsidR="00CB0DD7" w:rsidRPr="000A0A5F" w:rsidTr="00FF0AF8">
        <w:trPr>
          <w:jc w:val="center"/>
        </w:trPr>
        <w:tc>
          <w:tcPr>
            <w:tcW w:w="1020" w:type="pct"/>
            <w:shd w:val="clear" w:color="auto" w:fill="auto"/>
          </w:tcPr>
          <w:p w:rsidR="00CB0DD7" w:rsidRPr="000A0A5F" w:rsidRDefault="00CB0DD7">
            <w:pPr>
              <w:pStyle w:val="TAL"/>
            </w:pPr>
            <w:r w:rsidRPr="000A0A5F">
              <w:t>apiRoot</w:t>
            </w:r>
          </w:p>
        </w:tc>
        <w:tc>
          <w:tcPr>
            <w:tcW w:w="679" w:type="pct"/>
          </w:tcPr>
          <w:p w:rsidR="00CB0DD7" w:rsidRPr="000A0A5F" w:rsidRDefault="00CB0DD7">
            <w:pPr>
              <w:pStyle w:val="TAL"/>
            </w:pPr>
            <w:r w:rsidRPr="000A0A5F">
              <w:t>string</w:t>
            </w:r>
          </w:p>
        </w:tc>
        <w:tc>
          <w:tcPr>
            <w:tcW w:w="3302" w:type="pct"/>
            <w:shd w:val="clear" w:color="auto" w:fill="auto"/>
            <w:vAlign w:val="center"/>
          </w:tcPr>
          <w:p w:rsidR="00CB0DD7" w:rsidRPr="000A0A5F" w:rsidRDefault="00CB0DD7">
            <w:pPr>
              <w:pStyle w:val="TAL"/>
            </w:pPr>
            <w:r w:rsidRPr="000A0A5F">
              <w:t>See clause</w:t>
            </w:r>
            <w:r w:rsidRPr="000A0A5F">
              <w:rPr>
                <w:lang w:val="en-US" w:eastAsia="zh-CN"/>
              </w:rPr>
              <w:t> </w:t>
            </w:r>
            <w:r w:rsidRPr="000A0A5F">
              <w:t>5.2.4.</w:t>
            </w:r>
          </w:p>
        </w:tc>
      </w:tr>
      <w:tr w:rsidR="00CB0DD7" w:rsidRPr="000A0A5F" w:rsidTr="00FF0AF8">
        <w:trPr>
          <w:jc w:val="center"/>
        </w:trPr>
        <w:tc>
          <w:tcPr>
            <w:tcW w:w="1020" w:type="pct"/>
            <w:shd w:val="clear" w:color="auto" w:fill="auto"/>
          </w:tcPr>
          <w:p w:rsidR="00CB0DD7" w:rsidRPr="000A0A5F" w:rsidRDefault="00CB0DD7">
            <w:pPr>
              <w:pStyle w:val="TAL"/>
            </w:pPr>
            <w:r w:rsidRPr="000A0A5F">
              <w:t>scsAsId</w:t>
            </w:r>
          </w:p>
        </w:tc>
        <w:tc>
          <w:tcPr>
            <w:tcW w:w="679" w:type="pct"/>
          </w:tcPr>
          <w:p w:rsidR="00CB0DD7" w:rsidRPr="000A0A5F" w:rsidRDefault="00CB0DD7">
            <w:pPr>
              <w:pStyle w:val="TAL"/>
            </w:pPr>
            <w:r w:rsidRPr="000A0A5F">
              <w:rPr>
                <w:rFonts w:hint="eastAsia"/>
                <w:lang w:eastAsia="zh-CN"/>
              </w:rPr>
              <w:t>s</w:t>
            </w:r>
            <w:r w:rsidRPr="000A0A5F">
              <w:rPr>
                <w:lang w:eastAsia="zh-CN"/>
              </w:rPr>
              <w:t>tring</w:t>
            </w:r>
          </w:p>
        </w:tc>
        <w:tc>
          <w:tcPr>
            <w:tcW w:w="3302" w:type="pct"/>
            <w:shd w:val="clear" w:color="auto" w:fill="auto"/>
            <w:vAlign w:val="center"/>
          </w:tcPr>
          <w:p w:rsidR="00CB0DD7" w:rsidRPr="000A0A5F" w:rsidRDefault="00CB0DD7">
            <w:pPr>
              <w:pStyle w:val="TAL"/>
            </w:pPr>
            <w:r w:rsidRPr="000A0A5F">
              <w:t>Identifier of the SCS/AS</w:t>
            </w:r>
            <w:r w:rsidRPr="000A0A5F">
              <w:rPr>
                <w:rFonts w:eastAsia="Times New Roman"/>
              </w:rPr>
              <w:t>.</w:t>
            </w:r>
          </w:p>
        </w:tc>
      </w:tr>
    </w:tbl>
    <w:p w:rsidR="00CB0DD7" w:rsidRPr="000A0A5F" w:rsidRDefault="00CB0DD7"/>
    <w:p w:rsidR="00CB0DD7" w:rsidRPr="000A0A5F" w:rsidRDefault="00CB0DD7">
      <w:pPr>
        <w:pStyle w:val="Heading5"/>
      </w:pPr>
      <w:bookmarkStart w:id="9304" w:name="_Toc11247886"/>
      <w:bookmarkStart w:id="9305" w:name="_Toc27045030"/>
      <w:bookmarkStart w:id="9306" w:name="_Toc36034081"/>
      <w:bookmarkStart w:id="9307" w:name="_Toc45132228"/>
      <w:bookmarkStart w:id="9308" w:name="_Toc49776513"/>
      <w:bookmarkStart w:id="9309" w:name="_Toc51747433"/>
      <w:bookmarkStart w:id="9310" w:name="_Toc66361012"/>
      <w:bookmarkStart w:id="9311" w:name="_Toc68105517"/>
      <w:bookmarkStart w:id="9312" w:name="_Toc74756149"/>
      <w:bookmarkStart w:id="9313" w:name="_Toc105675026"/>
      <w:bookmarkStart w:id="9314" w:name="_Toc130503096"/>
      <w:bookmarkStart w:id="9315" w:name="_Toc153625888"/>
      <w:r w:rsidRPr="000A0A5F">
        <w:t>5.14.3.2.3</w:t>
      </w:r>
      <w:r w:rsidRPr="000A0A5F">
        <w:tab/>
        <w:t>Resource methods</w:t>
      </w:r>
      <w:bookmarkEnd w:id="9304"/>
      <w:bookmarkEnd w:id="9305"/>
      <w:bookmarkEnd w:id="9306"/>
      <w:bookmarkEnd w:id="9307"/>
      <w:bookmarkEnd w:id="9308"/>
      <w:bookmarkEnd w:id="9309"/>
      <w:bookmarkEnd w:id="9310"/>
      <w:bookmarkEnd w:id="9311"/>
      <w:bookmarkEnd w:id="9312"/>
      <w:bookmarkEnd w:id="9313"/>
      <w:bookmarkEnd w:id="9314"/>
      <w:bookmarkEnd w:id="9315"/>
    </w:p>
    <w:p w:rsidR="00CB0DD7" w:rsidRPr="000A0A5F" w:rsidRDefault="00CB0DD7">
      <w:pPr>
        <w:pStyle w:val="Heading6"/>
      </w:pPr>
      <w:bookmarkStart w:id="9316" w:name="_Toc11247887"/>
      <w:bookmarkStart w:id="9317" w:name="_Toc27045031"/>
      <w:bookmarkStart w:id="9318" w:name="_Toc36034082"/>
      <w:bookmarkStart w:id="9319" w:name="_Toc45132229"/>
      <w:bookmarkStart w:id="9320" w:name="_Toc49776514"/>
      <w:bookmarkStart w:id="9321" w:name="_Toc51747434"/>
      <w:bookmarkStart w:id="9322" w:name="_Toc66361013"/>
      <w:bookmarkStart w:id="9323" w:name="_Toc68105518"/>
      <w:bookmarkStart w:id="9324" w:name="_Toc74756150"/>
      <w:bookmarkStart w:id="9325" w:name="_Toc105675027"/>
      <w:bookmarkStart w:id="9326" w:name="_Toc130503097"/>
      <w:bookmarkStart w:id="9327" w:name="_Toc153625889"/>
      <w:r w:rsidRPr="000A0A5F">
        <w:t>5.14.3.2.3.1</w:t>
      </w:r>
      <w:r w:rsidRPr="000A0A5F">
        <w:tab/>
        <w:t>GET</w:t>
      </w:r>
      <w:bookmarkEnd w:id="9316"/>
      <w:bookmarkEnd w:id="9317"/>
      <w:bookmarkEnd w:id="9318"/>
      <w:bookmarkEnd w:id="9319"/>
      <w:bookmarkEnd w:id="9320"/>
      <w:bookmarkEnd w:id="9321"/>
      <w:bookmarkEnd w:id="9322"/>
      <w:bookmarkEnd w:id="9323"/>
      <w:bookmarkEnd w:id="9324"/>
      <w:bookmarkEnd w:id="9325"/>
      <w:bookmarkEnd w:id="9326"/>
      <w:bookmarkEnd w:id="9327"/>
    </w:p>
    <w:p w:rsidR="00CB0DD7" w:rsidRPr="000A0A5F" w:rsidRDefault="00CB0DD7">
      <w:pPr>
        <w:rPr>
          <w:noProof/>
          <w:lang w:eastAsia="zh-CN"/>
        </w:rPr>
      </w:pPr>
      <w:r w:rsidRPr="000A0A5F">
        <w:rPr>
          <w:noProof/>
          <w:lang w:eastAsia="zh-CN"/>
        </w:rPr>
        <w:t xml:space="preserve">The GET method allows to read all </w:t>
      </w:r>
      <w:r w:rsidR="009E4BF4" w:rsidRPr="000A0A5F">
        <w:rPr>
          <w:lang w:eastAsia="zh-CN"/>
        </w:rPr>
        <w:t xml:space="preserve">or queried </w:t>
      </w:r>
      <w:r w:rsidRPr="000A0A5F">
        <w:rPr>
          <w:noProof/>
          <w:lang w:eastAsia="zh-CN"/>
        </w:rPr>
        <w:t>active subscriptions for a given SCS/AS. The SCS/AS shall initiate the HTTP GET request message and the SCEF shall respond to the message.</w:t>
      </w:r>
    </w:p>
    <w:p w:rsidR="00CB0DD7" w:rsidRPr="000A0A5F" w:rsidRDefault="00CB0DD7">
      <w:r w:rsidRPr="000A0A5F">
        <w:t>This method shall support the URI query parameters, request and response data structures, and response codes, as specified in the table 5.14.3.2.3.1-1 and table 5.14.3.2.3.1-2.</w:t>
      </w:r>
    </w:p>
    <w:p w:rsidR="00CB0DD7" w:rsidRPr="000A0A5F" w:rsidRDefault="00CB0DD7">
      <w:pPr>
        <w:pStyle w:val="TH"/>
        <w:rPr>
          <w:rFonts w:cs="Arial"/>
        </w:rPr>
      </w:pPr>
      <w:r w:rsidRPr="000A0A5F">
        <w:t xml:space="preserve">Table 5.14.3.2.3.1-1: URI query parameters supported by the GET method on this resource </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062"/>
        <w:gridCol w:w="1701"/>
        <w:gridCol w:w="1132"/>
        <w:gridCol w:w="4396"/>
        <w:gridCol w:w="1486"/>
        <w:tblGridChange w:id="9328">
          <w:tblGrid>
            <w:gridCol w:w="1062"/>
            <w:gridCol w:w="1701"/>
            <w:gridCol w:w="1132"/>
            <w:gridCol w:w="4396"/>
            <w:gridCol w:w="1486"/>
          </w:tblGrid>
        </w:tblGridChange>
      </w:tblGrid>
      <w:tr w:rsidR="00E057E3" w:rsidRPr="000A0A5F" w:rsidTr="00FF0AF8">
        <w:trPr>
          <w:jc w:val="center"/>
        </w:trPr>
        <w:tc>
          <w:tcPr>
            <w:tcW w:w="543" w:type="pct"/>
            <w:shd w:val="clear" w:color="000000" w:fill="C0C0C0"/>
          </w:tcPr>
          <w:p w:rsidR="00E057E3" w:rsidRPr="000A0A5F" w:rsidRDefault="00E057E3">
            <w:pPr>
              <w:pStyle w:val="TAH"/>
            </w:pPr>
            <w:r w:rsidRPr="000A0A5F">
              <w:t>Name</w:t>
            </w:r>
          </w:p>
        </w:tc>
        <w:tc>
          <w:tcPr>
            <w:tcW w:w="870" w:type="pct"/>
            <w:shd w:val="clear" w:color="000000" w:fill="C0C0C0"/>
          </w:tcPr>
          <w:p w:rsidR="00E057E3" w:rsidRPr="000A0A5F" w:rsidRDefault="00E057E3">
            <w:pPr>
              <w:pStyle w:val="TAH"/>
            </w:pPr>
            <w:r w:rsidRPr="000A0A5F">
              <w:t>Data type</w:t>
            </w:r>
          </w:p>
        </w:tc>
        <w:tc>
          <w:tcPr>
            <w:tcW w:w="579" w:type="pct"/>
            <w:shd w:val="clear" w:color="000000" w:fill="C0C0C0"/>
          </w:tcPr>
          <w:p w:rsidR="00E057E3" w:rsidRPr="000A0A5F" w:rsidRDefault="00E057E3">
            <w:pPr>
              <w:pStyle w:val="TAH"/>
            </w:pPr>
            <w:r w:rsidRPr="000A0A5F">
              <w:t>Cardinality</w:t>
            </w:r>
          </w:p>
        </w:tc>
        <w:tc>
          <w:tcPr>
            <w:tcW w:w="2248" w:type="pct"/>
            <w:shd w:val="clear" w:color="000000" w:fill="C0C0C0"/>
            <w:vAlign w:val="center"/>
          </w:tcPr>
          <w:p w:rsidR="00E057E3" w:rsidRPr="000A0A5F" w:rsidRDefault="00E057E3">
            <w:pPr>
              <w:pStyle w:val="TAH"/>
            </w:pPr>
            <w:r w:rsidRPr="000A0A5F">
              <w:t>Remarks</w:t>
            </w:r>
          </w:p>
        </w:tc>
        <w:tc>
          <w:tcPr>
            <w:tcW w:w="760" w:type="pct"/>
            <w:shd w:val="clear" w:color="000000" w:fill="C0C0C0"/>
          </w:tcPr>
          <w:p w:rsidR="00E057E3" w:rsidRPr="000A0A5F" w:rsidRDefault="00E057E3">
            <w:pPr>
              <w:pStyle w:val="TAH"/>
            </w:pPr>
            <w:r w:rsidRPr="000A0A5F">
              <w:t>Applicability</w:t>
            </w:r>
          </w:p>
        </w:tc>
      </w:tr>
      <w:tr w:rsidR="00E057E3" w:rsidRPr="000A0A5F" w:rsidTr="00FF0AF8">
        <w:trPr>
          <w:jc w:val="center"/>
        </w:trPr>
        <w:tc>
          <w:tcPr>
            <w:tcW w:w="543" w:type="pct"/>
            <w:shd w:val="clear" w:color="auto" w:fill="auto"/>
            <w:vAlign w:val="center"/>
          </w:tcPr>
          <w:p w:rsidR="00E057E3" w:rsidRPr="000A0A5F" w:rsidRDefault="00E057E3" w:rsidP="00E057E3">
            <w:pPr>
              <w:pStyle w:val="TAL"/>
            </w:pPr>
            <w:r w:rsidRPr="000A0A5F">
              <w:t>ip-addrs</w:t>
            </w:r>
          </w:p>
        </w:tc>
        <w:tc>
          <w:tcPr>
            <w:tcW w:w="870" w:type="pct"/>
            <w:vAlign w:val="center"/>
          </w:tcPr>
          <w:p w:rsidR="00E057E3" w:rsidRPr="000A0A5F" w:rsidRDefault="00E057E3" w:rsidP="00E057E3">
            <w:pPr>
              <w:pStyle w:val="TAL"/>
            </w:pPr>
            <w:r w:rsidRPr="000A0A5F">
              <w:t>array(IpAddr)</w:t>
            </w:r>
          </w:p>
        </w:tc>
        <w:tc>
          <w:tcPr>
            <w:tcW w:w="579" w:type="pct"/>
            <w:vAlign w:val="center"/>
          </w:tcPr>
          <w:p w:rsidR="00E057E3" w:rsidRPr="000A0A5F" w:rsidRDefault="00E057E3" w:rsidP="00E057E3">
            <w:pPr>
              <w:pStyle w:val="TAC"/>
            </w:pPr>
            <w:r w:rsidRPr="000A0A5F">
              <w:t>0..N</w:t>
            </w:r>
          </w:p>
        </w:tc>
        <w:tc>
          <w:tcPr>
            <w:tcW w:w="2248" w:type="pct"/>
            <w:shd w:val="clear" w:color="auto" w:fill="auto"/>
            <w:vAlign w:val="center"/>
          </w:tcPr>
          <w:p w:rsidR="00E057E3" w:rsidRPr="000A0A5F" w:rsidRDefault="00E057E3" w:rsidP="00E057E3">
            <w:pPr>
              <w:pStyle w:val="TAL"/>
            </w:pPr>
            <w:r w:rsidRPr="000A0A5F">
              <w:t>The IP address(es) of the requested UE(s).</w:t>
            </w:r>
          </w:p>
        </w:tc>
        <w:tc>
          <w:tcPr>
            <w:tcW w:w="760" w:type="pct"/>
            <w:vAlign w:val="center"/>
          </w:tcPr>
          <w:p w:rsidR="00E057E3" w:rsidRPr="000A0A5F" w:rsidRDefault="00E057E3" w:rsidP="00E057E3">
            <w:pPr>
              <w:pStyle w:val="TAL"/>
            </w:pPr>
            <w:r w:rsidRPr="000A0A5F">
              <w:t>enNB</w:t>
            </w:r>
          </w:p>
        </w:tc>
      </w:tr>
      <w:tr w:rsidR="00E057E3" w:rsidRPr="000A0A5F" w:rsidTr="00FF0AF8">
        <w:trPr>
          <w:jc w:val="center"/>
        </w:trPr>
        <w:tc>
          <w:tcPr>
            <w:tcW w:w="543" w:type="pct"/>
            <w:shd w:val="clear" w:color="auto" w:fill="auto"/>
            <w:vAlign w:val="center"/>
          </w:tcPr>
          <w:p w:rsidR="00E057E3" w:rsidRPr="000A0A5F" w:rsidRDefault="00E057E3" w:rsidP="00E057E3">
            <w:pPr>
              <w:pStyle w:val="TAL"/>
            </w:pPr>
            <w:r w:rsidRPr="000A0A5F">
              <w:t>ip-domain</w:t>
            </w:r>
          </w:p>
        </w:tc>
        <w:tc>
          <w:tcPr>
            <w:tcW w:w="870" w:type="pct"/>
            <w:vAlign w:val="center"/>
          </w:tcPr>
          <w:p w:rsidR="00E057E3" w:rsidRPr="000A0A5F" w:rsidRDefault="00E057E3" w:rsidP="00E057E3">
            <w:pPr>
              <w:pStyle w:val="TAL"/>
            </w:pPr>
            <w:r w:rsidRPr="000A0A5F">
              <w:t>string</w:t>
            </w:r>
          </w:p>
        </w:tc>
        <w:tc>
          <w:tcPr>
            <w:tcW w:w="579" w:type="pct"/>
            <w:vAlign w:val="center"/>
          </w:tcPr>
          <w:p w:rsidR="00E057E3" w:rsidRPr="000A0A5F" w:rsidRDefault="00E057E3" w:rsidP="00E057E3">
            <w:pPr>
              <w:pStyle w:val="TAC"/>
            </w:pPr>
            <w:r w:rsidRPr="000A0A5F">
              <w:t>0..1</w:t>
            </w:r>
          </w:p>
        </w:tc>
        <w:tc>
          <w:tcPr>
            <w:tcW w:w="2248" w:type="pct"/>
            <w:shd w:val="clear" w:color="auto" w:fill="auto"/>
            <w:vAlign w:val="center"/>
          </w:tcPr>
          <w:p w:rsidR="00E057E3" w:rsidRPr="000A0A5F" w:rsidRDefault="00E057E3" w:rsidP="00E057E3">
            <w:pPr>
              <w:pStyle w:val="TAL"/>
            </w:pPr>
            <w:r w:rsidRPr="000A0A5F">
              <w:t>The IPv4 address domain identifier.</w:t>
            </w:r>
          </w:p>
          <w:p w:rsidR="00E057E3" w:rsidRPr="000A0A5F" w:rsidRDefault="00E057E3" w:rsidP="00E057E3">
            <w:pPr>
              <w:pStyle w:val="TAL"/>
            </w:pPr>
            <w:r w:rsidRPr="000A0A5F">
              <w:t>The attribute may only be provided if IPv4 address is included in the ip-addrs query parameter.</w:t>
            </w:r>
          </w:p>
        </w:tc>
        <w:tc>
          <w:tcPr>
            <w:tcW w:w="760" w:type="pct"/>
            <w:vAlign w:val="center"/>
          </w:tcPr>
          <w:p w:rsidR="00E057E3" w:rsidRPr="000A0A5F" w:rsidRDefault="00E057E3" w:rsidP="00E057E3">
            <w:pPr>
              <w:pStyle w:val="TAL"/>
            </w:pPr>
            <w:r w:rsidRPr="000A0A5F">
              <w:t>enNB</w:t>
            </w:r>
          </w:p>
        </w:tc>
      </w:tr>
      <w:tr w:rsidR="00E057E3" w:rsidRPr="000A0A5F" w:rsidTr="00FF0AF8">
        <w:trPr>
          <w:jc w:val="center"/>
        </w:trPr>
        <w:tc>
          <w:tcPr>
            <w:tcW w:w="543" w:type="pct"/>
            <w:shd w:val="clear" w:color="auto" w:fill="auto"/>
            <w:vAlign w:val="center"/>
          </w:tcPr>
          <w:p w:rsidR="00E057E3" w:rsidRPr="000A0A5F" w:rsidRDefault="00E057E3" w:rsidP="00E057E3">
            <w:pPr>
              <w:pStyle w:val="TAL"/>
            </w:pPr>
            <w:r w:rsidRPr="000A0A5F">
              <w:t>mac-addrs</w:t>
            </w:r>
          </w:p>
        </w:tc>
        <w:tc>
          <w:tcPr>
            <w:tcW w:w="870" w:type="pct"/>
            <w:vAlign w:val="center"/>
          </w:tcPr>
          <w:p w:rsidR="00E057E3" w:rsidRPr="000A0A5F" w:rsidRDefault="00E057E3" w:rsidP="00E057E3">
            <w:pPr>
              <w:pStyle w:val="TAL"/>
            </w:pPr>
            <w:r w:rsidRPr="000A0A5F">
              <w:t>array(MacAddr48)</w:t>
            </w:r>
          </w:p>
        </w:tc>
        <w:tc>
          <w:tcPr>
            <w:tcW w:w="579" w:type="pct"/>
            <w:vAlign w:val="center"/>
          </w:tcPr>
          <w:p w:rsidR="00E057E3" w:rsidRPr="000A0A5F" w:rsidRDefault="00E057E3" w:rsidP="00E057E3">
            <w:pPr>
              <w:pStyle w:val="TAC"/>
            </w:pPr>
            <w:r w:rsidRPr="000A0A5F">
              <w:t>0..N</w:t>
            </w:r>
          </w:p>
        </w:tc>
        <w:tc>
          <w:tcPr>
            <w:tcW w:w="2248" w:type="pct"/>
            <w:shd w:val="clear" w:color="auto" w:fill="auto"/>
            <w:vAlign w:val="center"/>
          </w:tcPr>
          <w:p w:rsidR="00E057E3" w:rsidRPr="000A0A5F" w:rsidRDefault="00E057E3" w:rsidP="00E057E3">
            <w:pPr>
              <w:pStyle w:val="TAL"/>
            </w:pPr>
            <w:r w:rsidRPr="000A0A5F">
              <w:t>The MAC address(es) of the requested UE(s).</w:t>
            </w:r>
          </w:p>
        </w:tc>
        <w:tc>
          <w:tcPr>
            <w:tcW w:w="760" w:type="pct"/>
            <w:vAlign w:val="center"/>
          </w:tcPr>
          <w:p w:rsidR="00E057E3" w:rsidRPr="000A0A5F" w:rsidRDefault="00E057E3" w:rsidP="00E057E3">
            <w:pPr>
              <w:pStyle w:val="TAL"/>
            </w:pPr>
            <w:r w:rsidRPr="000A0A5F">
              <w:t>enNB</w:t>
            </w:r>
          </w:p>
        </w:tc>
      </w:tr>
      <w:tr w:rsidR="00E34307" w:rsidRPr="000A0A5F" w:rsidTr="00E34307">
        <w:trPr>
          <w:jc w:val="center"/>
        </w:trPr>
        <w:tc>
          <w:tcPr>
            <w:tcW w:w="5000" w:type="pct"/>
            <w:gridSpan w:val="5"/>
            <w:shd w:val="clear" w:color="auto" w:fill="auto"/>
            <w:vAlign w:val="center"/>
          </w:tcPr>
          <w:p w:rsidR="00E34307" w:rsidRPr="000A0A5F" w:rsidRDefault="00E34307" w:rsidP="00E34307">
            <w:pPr>
              <w:pStyle w:val="TAN"/>
            </w:pPr>
            <w:r w:rsidRPr="000A0A5F">
              <w:t>NOTE:</w:t>
            </w:r>
            <w:r w:rsidRPr="000A0A5F">
              <w:tab/>
              <w:t>Either the "ip-addrs" parameter or the "mac-addrs" parameter may be provided at the same time. If multiple elements are provided in the array structure, then each element shall be treated as a separate query parameter.</w:t>
            </w:r>
          </w:p>
        </w:tc>
      </w:tr>
    </w:tbl>
    <w:p w:rsidR="00CB0DD7" w:rsidRPr="000A0A5F" w:rsidRDefault="00CB0DD7"/>
    <w:p w:rsidR="00CB0DD7" w:rsidRPr="000A0A5F" w:rsidRDefault="00CB0DD7">
      <w:pPr>
        <w:pStyle w:val="TH"/>
        <w:spacing w:before="120"/>
      </w:pPr>
      <w:r w:rsidRPr="000A0A5F">
        <w:t>Table 5.14.3.2.3.1-2: Data structures supported by the GET request/response by the resource</w:t>
      </w:r>
    </w:p>
    <w:tbl>
      <w:tblPr>
        <w:tblW w:w="4999" w:type="pct"/>
        <w:tblInd w:w="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45" w:type="dxa"/>
          <w:left w:w="45" w:type="dxa"/>
          <w:bottom w:w="45" w:type="dxa"/>
          <w:right w:w="45" w:type="dxa"/>
        </w:tblCellMar>
        <w:tblLook w:val="0000" w:firstRow="0" w:lastRow="0" w:firstColumn="0" w:lastColumn="0" w:noHBand="0" w:noVBand="0"/>
      </w:tblPr>
      <w:tblGrid>
        <w:gridCol w:w="1035"/>
        <w:gridCol w:w="2127"/>
        <w:gridCol w:w="1053"/>
        <w:gridCol w:w="973"/>
        <w:gridCol w:w="4541"/>
      </w:tblGrid>
      <w:tr w:rsidR="00CB0DD7" w:rsidRPr="000A0A5F" w:rsidTr="000616DB">
        <w:tc>
          <w:tcPr>
            <w:tcW w:w="532" w:type="pct"/>
            <w:vMerge w:val="restart"/>
            <w:shd w:val="clear" w:color="auto" w:fill="C0C0C0"/>
            <w:vAlign w:val="center"/>
          </w:tcPr>
          <w:p w:rsidR="00CB0DD7" w:rsidRPr="000A0A5F" w:rsidRDefault="00CB0DD7">
            <w:pPr>
              <w:pStyle w:val="TAH"/>
            </w:pPr>
            <w:r w:rsidRPr="000A0A5F">
              <w:t>Request body</w:t>
            </w:r>
          </w:p>
        </w:tc>
        <w:tc>
          <w:tcPr>
            <w:tcW w:w="1093" w:type="pct"/>
            <w:shd w:val="clear" w:color="auto" w:fill="C0C0C0"/>
          </w:tcPr>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r w:rsidRPr="000A0A5F">
              <w:t>Cardinality</w:t>
            </w:r>
          </w:p>
        </w:tc>
        <w:tc>
          <w:tcPr>
            <w:tcW w:w="2834" w:type="pct"/>
            <w:gridSpan w:val="2"/>
            <w:shd w:val="clear" w:color="auto" w:fill="C0C0C0"/>
          </w:tcPr>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none</w:t>
            </w:r>
          </w:p>
        </w:tc>
        <w:tc>
          <w:tcPr>
            <w:tcW w:w="541" w:type="pct"/>
          </w:tcPr>
          <w:p w:rsidR="00CB0DD7" w:rsidRPr="000A0A5F" w:rsidRDefault="00CB0DD7">
            <w:pPr>
              <w:pStyle w:val="TAL"/>
            </w:pPr>
          </w:p>
        </w:tc>
        <w:tc>
          <w:tcPr>
            <w:tcW w:w="2834" w:type="pct"/>
            <w:gridSpan w:val="2"/>
          </w:tcPr>
          <w:p w:rsidR="00CB0DD7" w:rsidRPr="000A0A5F" w:rsidRDefault="00CB0DD7">
            <w:pPr>
              <w:pStyle w:val="TAL"/>
            </w:pPr>
          </w:p>
        </w:tc>
      </w:tr>
      <w:tr w:rsidR="00CB0DD7" w:rsidRPr="000A0A5F" w:rsidTr="000616DB">
        <w:tc>
          <w:tcPr>
            <w:tcW w:w="532" w:type="pct"/>
            <w:vMerge w:val="restart"/>
            <w:shd w:val="clear" w:color="auto" w:fill="C0C0C0"/>
            <w:vAlign w:val="center"/>
          </w:tcPr>
          <w:p w:rsidR="00CB0DD7" w:rsidRPr="000A0A5F" w:rsidRDefault="00CB0DD7">
            <w:pPr>
              <w:pStyle w:val="TAH"/>
            </w:pPr>
            <w:r w:rsidRPr="000A0A5F">
              <w:t>Response body</w:t>
            </w:r>
          </w:p>
        </w:tc>
        <w:tc>
          <w:tcPr>
            <w:tcW w:w="1093" w:type="pct"/>
            <w:shd w:val="clear" w:color="auto" w:fill="C0C0C0"/>
          </w:tcPr>
          <w:p w:rsidR="00CB0DD7" w:rsidRPr="000A0A5F" w:rsidRDefault="00CB0DD7">
            <w:pPr>
              <w:pStyle w:val="TAH"/>
            </w:pPr>
          </w:p>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p>
          <w:p w:rsidR="00CB0DD7" w:rsidRPr="000A0A5F" w:rsidRDefault="00CB0DD7">
            <w:pPr>
              <w:pStyle w:val="TAH"/>
            </w:pPr>
            <w:r w:rsidRPr="000A0A5F">
              <w:t>Cardinality</w:t>
            </w:r>
          </w:p>
        </w:tc>
        <w:tc>
          <w:tcPr>
            <w:tcW w:w="500" w:type="pct"/>
            <w:shd w:val="clear" w:color="auto" w:fill="C0C0C0"/>
          </w:tcPr>
          <w:p w:rsidR="00CB0DD7" w:rsidRPr="000A0A5F" w:rsidRDefault="00CB0DD7">
            <w:pPr>
              <w:pStyle w:val="TAH"/>
            </w:pPr>
            <w:r w:rsidRPr="000A0A5F">
              <w:t>Response</w:t>
            </w:r>
          </w:p>
          <w:p w:rsidR="00CB0DD7" w:rsidRPr="000A0A5F" w:rsidRDefault="00CB0DD7">
            <w:pPr>
              <w:pStyle w:val="TAH"/>
            </w:pPr>
            <w:r w:rsidRPr="000A0A5F">
              <w:t>codes</w:t>
            </w:r>
          </w:p>
        </w:tc>
        <w:tc>
          <w:tcPr>
            <w:tcW w:w="2334" w:type="pct"/>
            <w:shd w:val="clear" w:color="auto" w:fill="C0C0C0"/>
          </w:tcPr>
          <w:p w:rsidR="00CB0DD7" w:rsidRPr="000A0A5F" w:rsidRDefault="00CB0DD7">
            <w:pPr>
              <w:pStyle w:val="TAH"/>
            </w:pPr>
          </w:p>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array(AsSessionWithQoSSubscription)</w:t>
            </w:r>
          </w:p>
        </w:tc>
        <w:tc>
          <w:tcPr>
            <w:tcW w:w="541" w:type="pct"/>
          </w:tcPr>
          <w:p w:rsidR="00CB0DD7" w:rsidRPr="000A0A5F" w:rsidRDefault="00CB0DD7">
            <w:pPr>
              <w:pStyle w:val="TAL"/>
            </w:pPr>
            <w:r w:rsidRPr="000A0A5F">
              <w:t>0..N</w:t>
            </w:r>
          </w:p>
        </w:tc>
        <w:tc>
          <w:tcPr>
            <w:tcW w:w="500" w:type="pct"/>
          </w:tcPr>
          <w:p w:rsidR="00CB0DD7" w:rsidRPr="000A0A5F" w:rsidRDefault="00CB0DD7">
            <w:pPr>
              <w:pStyle w:val="TAL"/>
            </w:pPr>
            <w:r w:rsidRPr="000A0A5F">
              <w:t>200 OK</w:t>
            </w:r>
          </w:p>
        </w:tc>
        <w:tc>
          <w:tcPr>
            <w:tcW w:w="2334" w:type="pct"/>
          </w:tcPr>
          <w:p w:rsidR="00CB0DD7" w:rsidRPr="000A0A5F" w:rsidRDefault="00CB0DD7">
            <w:pPr>
              <w:pStyle w:val="TAL"/>
            </w:pPr>
            <w:r w:rsidRPr="000A0A5F">
              <w:t>The subscription information related to the request URI is returned.</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none</w:t>
            </w:r>
          </w:p>
        </w:tc>
        <w:tc>
          <w:tcPr>
            <w:tcW w:w="541" w:type="pct"/>
          </w:tcPr>
          <w:p w:rsidR="00CB0DD7" w:rsidRPr="000A0A5F" w:rsidRDefault="00CB0DD7">
            <w:pPr>
              <w:pStyle w:val="TAL"/>
            </w:pPr>
          </w:p>
        </w:tc>
        <w:tc>
          <w:tcPr>
            <w:tcW w:w="500" w:type="pct"/>
          </w:tcPr>
          <w:p w:rsidR="00CB0DD7" w:rsidRPr="000A0A5F" w:rsidRDefault="00CB0DD7">
            <w:pPr>
              <w:pStyle w:val="TAL"/>
            </w:pPr>
            <w:r w:rsidRPr="000A0A5F">
              <w:t>307 Temporary Redirect</w:t>
            </w:r>
          </w:p>
        </w:tc>
        <w:tc>
          <w:tcPr>
            <w:tcW w:w="2334" w:type="pct"/>
          </w:tcPr>
          <w:p w:rsidR="00CB0DD7" w:rsidRPr="000A0A5F" w:rsidRDefault="00CB0DD7">
            <w:pPr>
              <w:pStyle w:val="TAL"/>
            </w:pPr>
            <w:r w:rsidRPr="000A0A5F">
              <w:t>Temporary redirection, during subscription retrieval. The response shall include a Location header field containing an alternative URI of the resource located in an alternative SCEF.</w:t>
            </w:r>
          </w:p>
          <w:p w:rsidR="00CB0DD7" w:rsidRPr="000A0A5F" w:rsidRDefault="00CB0DD7">
            <w:pPr>
              <w:pStyle w:val="TAL"/>
            </w:pPr>
            <w:r w:rsidRPr="000A0A5F">
              <w:t>Redirection handling is described in clause 5.2.10.</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none</w:t>
            </w:r>
          </w:p>
        </w:tc>
        <w:tc>
          <w:tcPr>
            <w:tcW w:w="541" w:type="pct"/>
          </w:tcPr>
          <w:p w:rsidR="00CB0DD7" w:rsidRPr="000A0A5F" w:rsidRDefault="00CB0DD7">
            <w:pPr>
              <w:pStyle w:val="TAL"/>
            </w:pPr>
          </w:p>
        </w:tc>
        <w:tc>
          <w:tcPr>
            <w:tcW w:w="500" w:type="pct"/>
          </w:tcPr>
          <w:p w:rsidR="00CB0DD7" w:rsidRPr="000A0A5F" w:rsidRDefault="00CB0DD7">
            <w:pPr>
              <w:pStyle w:val="TAL"/>
            </w:pPr>
            <w:r w:rsidRPr="000A0A5F">
              <w:t>308 Permanent Redirect</w:t>
            </w:r>
          </w:p>
        </w:tc>
        <w:tc>
          <w:tcPr>
            <w:tcW w:w="2334" w:type="pct"/>
          </w:tcPr>
          <w:p w:rsidR="00CB0DD7" w:rsidRPr="000A0A5F" w:rsidRDefault="00CB0DD7">
            <w:pPr>
              <w:pStyle w:val="TAL"/>
            </w:pPr>
            <w:r w:rsidRPr="000A0A5F">
              <w:t>Permanent redirection, during subscription retrieval. The response shall include a Location header field containing an alternative URI of the resource located in an alternative SCEF.</w:t>
            </w:r>
          </w:p>
          <w:p w:rsidR="00CB0DD7" w:rsidRPr="000A0A5F" w:rsidRDefault="00CB0DD7">
            <w:pPr>
              <w:pStyle w:val="TAL"/>
            </w:pPr>
            <w:r w:rsidRPr="000A0A5F">
              <w:t>Redirection handling is described in clause 5.2.10.</w:t>
            </w:r>
          </w:p>
        </w:tc>
      </w:tr>
      <w:tr w:rsidR="00CB0DD7" w:rsidRPr="000A0A5F" w:rsidTr="00FF0AF8">
        <w:tc>
          <w:tcPr>
            <w:tcW w:w="5000" w:type="pct"/>
            <w:gridSpan w:val="5"/>
            <w:shd w:val="clear" w:color="auto" w:fill="auto"/>
            <w:vAlign w:val="center"/>
          </w:tcPr>
          <w:p w:rsidR="00CB0DD7" w:rsidRPr="000A0A5F" w:rsidRDefault="00CB0DD7">
            <w:pPr>
              <w:pStyle w:val="TAN"/>
            </w:pPr>
            <w:r w:rsidRPr="000A0A5F">
              <w:t>NOTE:</w:t>
            </w:r>
            <w:r w:rsidRPr="000A0A5F">
              <w:tab/>
              <w:t>The mandatory HTTP error status codes for the GET method listed in table 5.2.6-1 also apply.</w:t>
            </w:r>
          </w:p>
        </w:tc>
      </w:tr>
    </w:tbl>
    <w:p w:rsidR="00CB0DD7" w:rsidRPr="000A0A5F" w:rsidRDefault="00CB0DD7"/>
    <w:p w:rsidR="00CB0DD7" w:rsidRPr="000A0A5F" w:rsidRDefault="002E466A">
      <w:pPr>
        <w:pStyle w:val="TH"/>
      </w:pPr>
      <w:r w:rsidRPr="000A0A5F">
        <w:t>Table </w:t>
      </w:r>
      <w:r w:rsidR="00CB0DD7" w:rsidRPr="000A0A5F">
        <w:t>5.14.3.2.3.1-3: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2E466A">
      <w:pPr>
        <w:pStyle w:val="TH"/>
      </w:pPr>
      <w:r w:rsidRPr="000A0A5F">
        <w:t>Table </w:t>
      </w:r>
      <w:r w:rsidR="00CB0DD7" w:rsidRPr="000A0A5F">
        <w:t>5.14.3.2.3.1-4: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CB0DD7">
      <w:pPr>
        <w:pStyle w:val="Heading6"/>
        <w:rPr>
          <w:rFonts w:hint="eastAsia"/>
        </w:rPr>
      </w:pPr>
      <w:bookmarkStart w:id="9329" w:name="_Toc11247888"/>
      <w:bookmarkStart w:id="9330" w:name="_Toc27045032"/>
      <w:bookmarkStart w:id="9331" w:name="_Toc36034083"/>
      <w:bookmarkStart w:id="9332" w:name="_Toc45132230"/>
      <w:bookmarkStart w:id="9333" w:name="_Toc49776515"/>
      <w:bookmarkStart w:id="9334" w:name="_Toc51747435"/>
      <w:bookmarkStart w:id="9335" w:name="_Toc66361014"/>
      <w:bookmarkStart w:id="9336" w:name="_Toc68105519"/>
      <w:bookmarkStart w:id="9337" w:name="_Toc74756151"/>
      <w:bookmarkStart w:id="9338" w:name="_Toc105675028"/>
      <w:bookmarkStart w:id="9339" w:name="_Toc130503098"/>
      <w:bookmarkStart w:id="9340" w:name="_Toc153625890"/>
      <w:r w:rsidRPr="000A0A5F">
        <w:t>5.14.3.2.3.2</w:t>
      </w:r>
      <w:r w:rsidRPr="000A0A5F">
        <w:tab/>
        <w:t>PUT</w:t>
      </w:r>
      <w:bookmarkEnd w:id="9329"/>
      <w:bookmarkEnd w:id="9330"/>
      <w:bookmarkEnd w:id="9331"/>
      <w:bookmarkEnd w:id="9332"/>
      <w:bookmarkEnd w:id="9333"/>
      <w:bookmarkEnd w:id="9334"/>
      <w:bookmarkEnd w:id="9335"/>
      <w:bookmarkEnd w:id="9336"/>
      <w:bookmarkEnd w:id="9337"/>
      <w:bookmarkEnd w:id="9338"/>
      <w:bookmarkEnd w:id="9339"/>
      <w:bookmarkEnd w:id="9340"/>
    </w:p>
    <w:p w:rsidR="00CB0DD7" w:rsidRPr="000A0A5F" w:rsidRDefault="00CB0DD7">
      <w:pPr>
        <w:rPr>
          <w:lang w:eastAsia="zh-CN"/>
        </w:rPr>
      </w:pPr>
      <w:r w:rsidRPr="000A0A5F">
        <w:rPr>
          <w:rFonts w:hint="eastAsia"/>
          <w:lang w:eastAsia="zh-CN"/>
        </w:rPr>
        <w:t xml:space="preserve">This </w:t>
      </w:r>
      <w:r w:rsidRPr="000A0A5F">
        <w:rPr>
          <w:lang w:eastAsia="zh-CN"/>
        </w:rPr>
        <w:t>HTTP method is not supported for the resource.</w:t>
      </w:r>
    </w:p>
    <w:p w:rsidR="00CB0DD7" w:rsidRPr="000A0A5F" w:rsidRDefault="00CB0DD7">
      <w:pPr>
        <w:pStyle w:val="Heading6"/>
      </w:pPr>
      <w:bookmarkStart w:id="9341" w:name="_Toc11247889"/>
      <w:bookmarkStart w:id="9342" w:name="_Toc27045033"/>
      <w:bookmarkStart w:id="9343" w:name="_Toc36034084"/>
      <w:bookmarkStart w:id="9344" w:name="_Toc45132231"/>
      <w:bookmarkStart w:id="9345" w:name="_Toc49776516"/>
      <w:bookmarkStart w:id="9346" w:name="_Toc51747436"/>
      <w:bookmarkStart w:id="9347" w:name="_Toc66361015"/>
      <w:bookmarkStart w:id="9348" w:name="_Toc68105520"/>
      <w:bookmarkStart w:id="9349" w:name="_Toc74756152"/>
      <w:bookmarkStart w:id="9350" w:name="_Toc105675029"/>
      <w:bookmarkStart w:id="9351" w:name="_Toc130503099"/>
      <w:bookmarkStart w:id="9352" w:name="_Toc153625891"/>
      <w:r w:rsidRPr="000A0A5F">
        <w:t>5.14.3.2.3.3</w:t>
      </w:r>
      <w:r w:rsidRPr="000A0A5F">
        <w:tab/>
        <w:t>PATCH</w:t>
      </w:r>
      <w:bookmarkEnd w:id="9341"/>
      <w:bookmarkEnd w:id="9342"/>
      <w:bookmarkEnd w:id="9343"/>
      <w:bookmarkEnd w:id="9344"/>
      <w:bookmarkEnd w:id="9345"/>
      <w:bookmarkEnd w:id="9346"/>
      <w:bookmarkEnd w:id="9347"/>
      <w:bookmarkEnd w:id="9348"/>
      <w:bookmarkEnd w:id="9349"/>
      <w:bookmarkEnd w:id="9350"/>
      <w:bookmarkEnd w:id="9351"/>
      <w:bookmarkEnd w:id="9352"/>
    </w:p>
    <w:p w:rsidR="00CB0DD7" w:rsidRPr="000A0A5F" w:rsidRDefault="00CB0DD7">
      <w:pPr>
        <w:rPr>
          <w:rFonts w:hint="eastAsia"/>
          <w:lang w:eastAsia="zh-CN"/>
        </w:rPr>
      </w:pPr>
      <w:r w:rsidRPr="000A0A5F">
        <w:rPr>
          <w:rFonts w:hint="eastAsia"/>
          <w:lang w:eastAsia="zh-CN"/>
        </w:rPr>
        <w:t xml:space="preserve">This </w:t>
      </w:r>
      <w:r w:rsidRPr="000A0A5F">
        <w:rPr>
          <w:lang w:eastAsia="zh-CN"/>
        </w:rPr>
        <w:t>HTTP method is not supported for the resource.</w:t>
      </w:r>
    </w:p>
    <w:p w:rsidR="00CB0DD7" w:rsidRPr="000A0A5F" w:rsidRDefault="00CB0DD7">
      <w:pPr>
        <w:pStyle w:val="Heading6"/>
      </w:pPr>
      <w:bookmarkStart w:id="9353" w:name="_Toc11247890"/>
      <w:bookmarkStart w:id="9354" w:name="_Toc27045034"/>
      <w:bookmarkStart w:id="9355" w:name="_Toc36034085"/>
      <w:bookmarkStart w:id="9356" w:name="_Toc45132232"/>
      <w:bookmarkStart w:id="9357" w:name="_Toc49776517"/>
      <w:bookmarkStart w:id="9358" w:name="_Toc51747437"/>
      <w:bookmarkStart w:id="9359" w:name="_Toc66361016"/>
      <w:bookmarkStart w:id="9360" w:name="_Toc68105521"/>
      <w:bookmarkStart w:id="9361" w:name="_Toc74756153"/>
      <w:bookmarkStart w:id="9362" w:name="_Toc105675030"/>
      <w:bookmarkStart w:id="9363" w:name="_Toc130503100"/>
      <w:bookmarkStart w:id="9364" w:name="_Toc153625892"/>
      <w:r w:rsidRPr="000A0A5F">
        <w:t>5.14.3.2.3.4</w:t>
      </w:r>
      <w:r w:rsidRPr="000A0A5F">
        <w:tab/>
        <w:t>POST</w:t>
      </w:r>
      <w:bookmarkEnd w:id="9353"/>
      <w:bookmarkEnd w:id="9354"/>
      <w:bookmarkEnd w:id="9355"/>
      <w:bookmarkEnd w:id="9356"/>
      <w:bookmarkEnd w:id="9357"/>
      <w:bookmarkEnd w:id="9358"/>
      <w:bookmarkEnd w:id="9359"/>
      <w:bookmarkEnd w:id="9360"/>
      <w:bookmarkEnd w:id="9361"/>
      <w:bookmarkEnd w:id="9362"/>
      <w:bookmarkEnd w:id="9363"/>
      <w:bookmarkEnd w:id="9364"/>
    </w:p>
    <w:p w:rsidR="00CB0DD7" w:rsidRPr="000A0A5F" w:rsidRDefault="00CB0DD7">
      <w:pPr>
        <w:rPr>
          <w:noProof/>
          <w:lang w:eastAsia="zh-CN"/>
        </w:rPr>
      </w:pPr>
      <w:r w:rsidRPr="000A0A5F">
        <w:rPr>
          <w:noProof/>
          <w:lang w:eastAsia="zh-CN"/>
        </w:rPr>
        <w:t>The POST method creates a new subscription resource for a given SCS/AS. The SCS/AS shall initiate the HTTP POST request message and the SCEF shall respond to the message. The SCEF shall construct the URI of the created resource using that URI.</w:t>
      </w:r>
    </w:p>
    <w:p w:rsidR="00CB0DD7" w:rsidRPr="000A0A5F" w:rsidRDefault="00CB0DD7">
      <w:r w:rsidRPr="000A0A5F">
        <w:t>This method shall support the URI query parameters, request and response data structures, and response codes, as specified in the table 5.14.3.2.3.4-1 and table 5.14.3.2.3.4-2.</w:t>
      </w:r>
    </w:p>
    <w:p w:rsidR="00CB0DD7" w:rsidRPr="000A0A5F" w:rsidRDefault="00CB0DD7">
      <w:pPr>
        <w:pStyle w:val="TH"/>
        <w:rPr>
          <w:rFonts w:cs="Arial"/>
        </w:rPr>
      </w:pPr>
      <w:r w:rsidRPr="000A0A5F">
        <w:t xml:space="preserve">Table 5.14.3.2.3.4-1: URI query parameters supported by the POST method on this resource </w:t>
      </w:r>
    </w:p>
    <w:tbl>
      <w:tblPr>
        <w:tblW w:w="4999"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612"/>
        <w:gridCol w:w="1709"/>
        <w:gridCol w:w="1140"/>
        <w:gridCol w:w="5314"/>
      </w:tblGrid>
      <w:tr w:rsidR="00CB0DD7" w:rsidRPr="000A0A5F" w:rsidTr="00FF0AF8">
        <w:trPr>
          <w:jc w:val="center"/>
        </w:trPr>
        <w:tc>
          <w:tcPr>
            <w:tcW w:w="825" w:type="pct"/>
            <w:shd w:val="clear" w:color="000000" w:fill="C0C0C0"/>
          </w:tcPr>
          <w:p w:rsidR="00CB0DD7" w:rsidRPr="000A0A5F" w:rsidRDefault="00CB0DD7">
            <w:pPr>
              <w:pStyle w:val="TAH"/>
            </w:pPr>
            <w:r w:rsidRPr="000A0A5F">
              <w:t>Name</w:t>
            </w:r>
          </w:p>
        </w:tc>
        <w:tc>
          <w:tcPr>
            <w:tcW w:w="874" w:type="pct"/>
            <w:shd w:val="clear" w:color="000000" w:fill="C0C0C0"/>
          </w:tcPr>
          <w:p w:rsidR="00CB0DD7" w:rsidRPr="000A0A5F" w:rsidRDefault="00CB0DD7">
            <w:pPr>
              <w:pStyle w:val="TAH"/>
            </w:pPr>
            <w:r w:rsidRPr="000A0A5F">
              <w:t>Data type</w:t>
            </w:r>
          </w:p>
        </w:tc>
        <w:tc>
          <w:tcPr>
            <w:tcW w:w="583" w:type="pct"/>
            <w:shd w:val="clear" w:color="000000" w:fill="C0C0C0"/>
          </w:tcPr>
          <w:p w:rsidR="00CB0DD7" w:rsidRPr="000A0A5F" w:rsidRDefault="00CB0DD7">
            <w:pPr>
              <w:pStyle w:val="TAH"/>
            </w:pPr>
            <w:r w:rsidRPr="000A0A5F">
              <w:t>Cardinality</w:t>
            </w:r>
          </w:p>
        </w:tc>
        <w:tc>
          <w:tcPr>
            <w:tcW w:w="2718" w:type="pct"/>
            <w:shd w:val="clear" w:color="000000" w:fill="C0C0C0"/>
            <w:vAlign w:val="center"/>
          </w:tcPr>
          <w:p w:rsidR="00CB0DD7" w:rsidRPr="000A0A5F" w:rsidRDefault="00CB0DD7">
            <w:pPr>
              <w:pStyle w:val="TAH"/>
            </w:pPr>
            <w:r w:rsidRPr="000A0A5F">
              <w:t>Remarks</w:t>
            </w:r>
          </w:p>
        </w:tc>
      </w:tr>
      <w:tr w:rsidR="00CB0DD7" w:rsidRPr="000A0A5F" w:rsidTr="00FF0AF8">
        <w:trPr>
          <w:jc w:val="center"/>
        </w:trPr>
        <w:tc>
          <w:tcPr>
            <w:tcW w:w="825" w:type="pct"/>
            <w:shd w:val="clear" w:color="auto" w:fill="auto"/>
          </w:tcPr>
          <w:p w:rsidR="00CB0DD7" w:rsidRPr="000A0A5F" w:rsidRDefault="00CB0DD7">
            <w:pPr>
              <w:pStyle w:val="TAL"/>
            </w:pPr>
          </w:p>
        </w:tc>
        <w:tc>
          <w:tcPr>
            <w:tcW w:w="874" w:type="pct"/>
          </w:tcPr>
          <w:p w:rsidR="00CB0DD7" w:rsidRPr="000A0A5F" w:rsidRDefault="00CB0DD7">
            <w:pPr>
              <w:pStyle w:val="TAL"/>
            </w:pPr>
          </w:p>
        </w:tc>
        <w:tc>
          <w:tcPr>
            <w:tcW w:w="583" w:type="pct"/>
          </w:tcPr>
          <w:p w:rsidR="00CB0DD7" w:rsidRPr="000A0A5F" w:rsidRDefault="00CB0DD7">
            <w:pPr>
              <w:pStyle w:val="TAL"/>
            </w:pPr>
          </w:p>
        </w:tc>
        <w:tc>
          <w:tcPr>
            <w:tcW w:w="2718" w:type="pct"/>
            <w:shd w:val="clear" w:color="auto" w:fill="auto"/>
            <w:vAlign w:val="center"/>
          </w:tcPr>
          <w:p w:rsidR="00CB0DD7" w:rsidRPr="000A0A5F" w:rsidRDefault="00CB0DD7">
            <w:pPr>
              <w:pStyle w:val="TAL"/>
            </w:pPr>
          </w:p>
        </w:tc>
      </w:tr>
    </w:tbl>
    <w:p w:rsidR="00CB0DD7" w:rsidRPr="000A0A5F" w:rsidRDefault="00CB0DD7"/>
    <w:p w:rsidR="00CB0DD7" w:rsidRPr="000A0A5F" w:rsidRDefault="00CB0DD7">
      <w:pPr>
        <w:pStyle w:val="TH"/>
        <w:spacing w:before="120"/>
      </w:pPr>
      <w:r w:rsidRPr="000A0A5F">
        <w:t>Table 5.14.3.2.3.4-2: Data structures supported by the POST request/response by the resource</w:t>
      </w:r>
    </w:p>
    <w:tbl>
      <w:tblPr>
        <w:tblW w:w="4999" w:type="pct"/>
        <w:tblInd w:w="1"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top w:w="45" w:type="dxa"/>
          <w:left w:w="45" w:type="dxa"/>
          <w:bottom w:w="45" w:type="dxa"/>
          <w:right w:w="45" w:type="dxa"/>
        </w:tblCellMar>
        <w:tblLook w:val="0000" w:firstRow="0" w:lastRow="0" w:firstColumn="0" w:lastColumn="0" w:noHBand="0" w:noVBand="0"/>
      </w:tblPr>
      <w:tblGrid>
        <w:gridCol w:w="1043"/>
        <w:gridCol w:w="2831"/>
        <w:gridCol w:w="1138"/>
        <w:gridCol w:w="1273"/>
        <w:gridCol w:w="3444"/>
      </w:tblGrid>
      <w:tr w:rsidR="00CB0DD7" w:rsidRPr="000A0A5F" w:rsidTr="000616DB">
        <w:tc>
          <w:tcPr>
            <w:tcW w:w="536" w:type="pct"/>
            <w:vMerge w:val="restart"/>
            <w:shd w:val="clear" w:color="auto" w:fill="C0C0C0"/>
            <w:vAlign w:val="center"/>
          </w:tcPr>
          <w:p w:rsidR="00CB0DD7" w:rsidRPr="000A0A5F" w:rsidRDefault="00CB0DD7">
            <w:pPr>
              <w:pStyle w:val="TAH"/>
            </w:pPr>
            <w:r w:rsidRPr="000A0A5F">
              <w:t>Request body</w:t>
            </w:r>
          </w:p>
        </w:tc>
        <w:tc>
          <w:tcPr>
            <w:tcW w:w="1455" w:type="pct"/>
            <w:shd w:val="clear" w:color="auto" w:fill="C0C0C0"/>
          </w:tcPr>
          <w:p w:rsidR="00CB0DD7" w:rsidRPr="000A0A5F" w:rsidRDefault="00CB0DD7">
            <w:pPr>
              <w:pStyle w:val="TAH"/>
            </w:pPr>
            <w:r w:rsidRPr="000A0A5F">
              <w:t>Data type</w:t>
            </w:r>
          </w:p>
        </w:tc>
        <w:tc>
          <w:tcPr>
            <w:tcW w:w="585" w:type="pct"/>
            <w:shd w:val="clear" w:color="auto" w:fill="C0C0C0"/>
          </w:tcPr>
          <w:p w:rsidR="00CB0DD7" w:rsidRPr="000A0A5F" w:rsidRDefault="00CB0DD7">
            <w:pPr>
              <w:pStyle w:val="TAH"/>
            </w:pPr>
            <w:r w:rsidRPr="000A0A5F">
              <w:t>Cardinality</w:t>
            </w:r>
          </w:p>
        </w:tc>
        <w:tc>
          <w:tcPr>
            <w:tcW w:w="2424" w:type="pct"/>
            <w:gridSpan w:val="2"/>
            <w:shd w:val="clear" w:color="auto" w:fill="C0C0C0"/>
          </w:tcPr>
          <w:p w:rsidR="00CB0DD7" w:rsidRPr="000A0A5F" w:rsidRDefault="00CB0DD7">
            <w:pPr>
              <w:pStyle w:val="TAH"/>
            </w:pPr>
            <w:r w:rsidRPr="000A0A5F">
              <w:t>Remarks</w:t>
            </w:r>
          </w:p>
        </w:tc>
      </w:tr>
      <w:tr w:rsidR="00CB0DD7" w:rsidRPr="000A0A5F" w:rsidTr="00FF0AF8">
        <w:tc>
          <w:tcPr>
            <w:tcW w:w="536" w:type="pct"/>
            <w:vMerge/>
            <w:shd w:val="clear" w:color="auto" w:fill="BFBFBF"/>
            <w:vAlign w:val="center"/>
          </w:tcPr>
          <w:p w:rsidR="00CB0DD7" w:rsidRPr="000A0A5F" w:rsidRDefault="00CB0DD7">
            <w:pPr>
              <w:pStyle w:val="TAL"/>
              <w:jc w:val="center"/>
            </w:pPr>
          </w:p>
        </w:tc>
        <w:tc>
          <w:tcPr>
            <w:tcW w:w="1455" w:type="pct"/>
            <w:shd w:val="clear" w:color="auto" w:fill="auto"/>
          </w:tcPr>
          <w:p w:rsidR="00CB0DD7" w:rsidRPr="000A0A5F" w:rsidRDefault="00CB0DD7">
            <w:pPr>
              <w:pStyle w:val="TAL"/>
              <w:rPr>
                <w:rFonts w:hint="eastAsia"/>
                <w:lang w:eastAsia="zh-CN"/>
              </w:rPr>
            </w:pPr>
            <w:r w:rsidRPr="000A0A5F">
              <w:t>AsSessionWithQoSSubscription</w:t>
            </w:r>
          </w:p>
        </w:tc>
        <w:tc>
          <w:tcPr>
            <w:tcW w:w="585" w:type="pct"/>
          </w:tcPr>
          <w:p w:rsidR="00CB0DD7" w:rsidRPr="000A0A5F" w:rsidRDefault="00CB0DD7">
            <w:pPr>
              <w:pStyle w:val="TAC"/>
              <w:jc w:val="left"/>
              <w:rPr>
                <w:rFonts w:hint="eastAsia"/>
                <w:lang w:eastAsia="zh-CN"/>
              </w:rPr>
            </w:pPr>
            <w:r w:rsidRPr="000A0A5F">
              <w:rPr>
                <w:rFonts w:hint="eastAsia"/>
                <w:lang w:eastAsia="zh-CN"/>
              </w:rPr>
              <w:t>1</w:t>
            </w:r>
          </w:p>
        </w:tc>
        <w:tc>
          <w:tcPr>
            <w:tcW w:w="2424" w:type="pct"/>
            <w:gridSpan w:val="2"/>
          </w:tcPr>
          <w:p w:rsidR="00CB0DD7" w:rsidRPr="000A0A5F" w:rsidRDefault="00CB0DD7">
            <w:pPr>
              <w:pStyle w:val="TAL"/>
              <w:rPr>
                <w:rFonts w:cs="Arial" w:hint="eastAsia"/>
                <w:szCs w:val="18"/>
                <w:lang w:eastAsia="zh-CN"/>
              </w:rPr>
            </w:pPr>
            <w:r w:rsidRPr="000A0A5F">
              <w:rPr>
                <w:rFonts w:cs="Arial" w:hint="eastAsia"/>
                <w:szCs w:val="18"/>
                <w:lang w:eastAsia="zh-CN"/>
              </w:rPr>
              <w:t xml:space="preserve">Parameters to </w:t>
            </w:r>
            <w:r w:rsidRPr="000A0A5F">
              <w:rPr>
                <w:rFonts w:cs="Arial"/>
                <w:szCs w:val="18"/>
                <w:lang w:eastAsia="zh-CN"/>
              </w:rPr>
              <w:t>create a subscription for</w:t>
            </w:r>
            <w:r w:rsidRPr="000A0A5F">
              <w:rPr>
                <w:rFonts w:cs="Arial" w:hint="eastAsia"/>
                <w:szCs w:val="18"/>
                <w:lang w:eastAsia="zh-CN"/>
              </w:rPr>
              <w:t xml:space="preserve"> a</w:t>
            </w:r>
            <w:r w:rsidRPr="000A0A5F">
              <w:rPr>
                <w:rFonts w:cs="Arial"/>
                <w:szCs w:val="18"/>
                <w:lang w:eastAsia="zh-CN"/>
              </w:rPr>
              <w:t>n AS session</w:t>
            </w:r>
            <w:r w:rsidRPr="000A0A5F">
              <w:rPr>
                <w:rFonts w:cs="Arial" w:hint="eastAsia"/>
                <w:szCs w:val="18"/>
                <w:lang w:eastAsia="zh-CN"/>
              </w:rPr>
              <w:t xml:space="preserve"> with required QoS for the service</w:t>
            </w:r>
            <w:r w:rsidRPr="000A0A5F">
              <w:rPr>
                <w:rFonts w:cs="Arial"/>
                <w:szCs w:val="18"/>
                <w:lang w:eastAsia="zh-CN"/>
              </w:rPr>
              <w:t xml:space="preserve"> requirement.</w:t>
            </w:r>
          </w:p>
        </w:tc>
      </w:tr>
      <w:tr w:rsidR="007547CF" w:rsidRPr="000A0A5F" w:rsidTr="000616DB">
        <w:tc>
          <w:tcPr>
            <w:tcW w:w="536" w:type="pct"/>
            <w:vMerge w:val="restart"/>
            <w:shd w:val="clear" w:color="auto" w:fill="C0C0C0"/>
            <w:vAlign w:val="center"/>
          </w:tcPr>
          <w:p w:rsidR="007547CF" w:rsidRPr="000A0A5F" w:rsidRDefault="007547CF">
            <w:pPr>
              <w:pStyle w:val="TAH"/>
            </w:pPr>
            <w:r w:rsidRPr="000A0A5F">
              <w:t>Response body</w:t>
            </w:r>
          </w:p>
        </w:tc>
        <w:tc>
          <w:tcPr>
            <w:tcW w:w="1455" w:type="pct"/>
            <w:shd w:val="clear" w:color="auto" w:fill="C0C0C0"/>
          </w:tcPr>
          <w:p w:rsidR="007547CF" w:rsidRPr="000A0A5F" w:rsidRDefault="007547CF">
            <w:pPr>
              <w:pStyle w:val="TAH"/>
            </w:pPr>
          </w:p>
          <w:p w:rsidR="007547CF" w:rsidRPr="000A0A5F" w:rsidRDefault="007547CF">
            <w:pPr>
              <w:pStyle w:val="TAH"/>
            </w:pPr>
            <w:r w:rsidRPr="000A0A5F">
              <w:t>Data type</w:t>
            </w:r>
          </w:p>
        </w:tc>
        <w:tc>
          <w:tcPr>
            <w:tcW w:w="585" w:type="pct"/>
            <w:shd w:val="clear" w:color="auto" w:fill="C0C0C0"/>
          </w:tcPr>
          <w:p w:rsidR="007547CF" w:rsidRPr="000A0A5F" w:rsidRDefault="007547CF">
            <w:pPr>
              <w:pStyle w:val="TAH"/>
            </w:pPr>
          </w:p>
          <w:p w:rsidR="007547CF" w:rsidRPr="000A0A5F" w:rsidRDefault="007547CF">
            <w:pPr>
              <w:pStyle w:val="TAH"/>
            </w:pPr>
            <w:r w:rsidRPr="000A0A5F">
              <w:t>Cardinality</w:t>
            </w:r>
          </w:p>
        </w:tc>
        <w:tc>
          <w:tcPr>
            <w:tcW w:w="654" w:type="pct"/>
            <w:shd w:val="clear" w:color="auto" w:fill="C0C0C0"/>
          </w:tcPr>
          <w:p w:rsidR="007547CF" w:rsidRPr="000A0A5F" w:rsidRDefault="007547CF">
            <w:pPr>
              <w:pStyle w:val="TAH"/>
            </w:pPr>
            <w:r w:rsidRPr="000A0A5F">
              <w:t>Response</w:t>
            </w:r>
          </w:p>
          <w:p w:rsidR="007547CF" w:rsidRPr="000A0A5F" w:rsidRDefault="007547CF">
            <w:pPr>
              <w:pStyle w:val="TAH"/>
            </w:pPr>
            <w:r w:rsidRPr="000A0A5F">
              <w:t>codes</w:t>
            </w:r>
          </w:p>
        </w:tc>
        <w:tc>
          <w:tcPr>
            <w:tcW w:w="1770" w:type="pct"/>
            <w:shd w:val="clear" w:color="auto" w:fill="C0C0C0"/>
          </w:tcPr>
          <w:p w:rsidR="007547CF" w:rsidRPr="000A0A5F" w:rsidRDefault="007547CF">
            <w:pPr>
              <w:pStyle w:val="TAH"/>
            </w:pPr>
          </w:p>
          <w:p w:rsidR="007547CF" w:rsidRPr="000A0A5F" w:rsidRDefault="007547CF">
            <w:pPr>
              <w:pStyle w:val="TAH"/>
            </w:pPr>
            <w:r w:rsidRPr="000A0A5F">
              <w:t>Remarks</w:t>
            </w:r>
          </w:p>
        </w:tc>
      </w:tr>
      <w:tr w:rsidR="007547CF" w:rsidRPr="000A0A5F" w:rsidTr="00FF0AF8">
        <w:tc>
          <w:tcPr>
            <w:tcW w:w="536" w:type="pct"/>
            <w:vMerge/>
            <w:shd w:val="clear" w:color="auto" w:fill="BFBFBF"/>
            <w:vAlign w:val="center"/>
          </w:tcPr>
          <w:p w:rsidR="007547CF" w:rsidRPr="000A0A5F" w:rsidRDefault="007547CF">
            <w:pPr>
              <w:pStyle w:val="TAL"/>
              <w:jc w:val="center"/>
            </w:pPr>
          </w:p>
        </w:tc>
        <w:tc>
          <w:tcPr>
            <w:tcW w:w="1455" w:type="pct"/>
            <w:shd w:val="clear" w:color="auto" w:fill="auto"/>
          </w:tcPr>
          <w:p w:rsidR="007547CF" w:rsidRPr="000A0A5F" w:rsidRDefault="007547CF">
            <w:pPr>
              <w:pStyle w:val="TAL"/>
            </w:pPr>
            <w:r w:rsidRPr="000A0A5F">
              <w:t>AsSessionWithQoSSubscription</w:t>
            </w:r>
          </w:p>
        </w:tc>
        <w:tc>
          <w:tcPr>
            <w:tcW w:w="585" w:type="pct"/>
          </w:tcPr>
          <w:p w:rsidR="007547CF" w:rsidRPr="000A0A5F" w:rsidRDefault="007547CF">
            <w:pPr>
              <w:pStyle w:val="TAL"/>
              <w:rPr>
                <w:rFonts w:hint="eastAsia"/>
                <w:lang w:eastAsia="zh-CN"/>
              </w:rPr>
            </w:pPr>
            <w:r w:rsidRPr="000A0A5F">
              <w:rPr>
                <w:rFonts w:hint="eastAsia"/>
                <w:lang w:eastAsia="zh-CN"/>
              </w:rPr>
              <w:t>1</w:t>
            </w:r>
          </w:p>
        </w:tc>
        <w:tc>
          <w:tcPr>
            <w:tcW w:w="654" w:type="pct"/>
          </w:tcPr>
          <w:p w:rsidR="007547CF" w:rsidRPr="000A0A5F" w:rsidRDefault="007547CF">
            <w:pPr>
              <w:pStyle w:val="TAL"/>
              <w:rPr>
                <w:lang w:eastAsia="zh-CN"/>
              </w:rPr>
            </w:pPr>
            <w:r w:rsidRPr="000A0A5F">
              <w:rPr>
                <w:rFonts w:hint="eastAsia"/>
                <w:lang w:eastAsia="zh-CN"/>
              </w:rPr>
              <w:t>20</w:t>
            </w:r>
            <w:r w:rsidRPr="000A0A5F">
              <w:rPr>
                <w:lang w:eastAsia="zh-CN"/>
              </w:rPr>
              <w:t>1</w:t>
            </w:r>
          </w:p>
          <w:p w:rsidR="007547CF" w:rsidRPr="000A0A5F" w:rsidRDefault="007547CF">
            <w:pPr>
              <w:pStyle w:val="TAL"/>
              <w:rPr>
                <w:rFonts w:hint="eastAsia"/>
                <w:lang w:eastAsia="zh-CN"/>
              </w:rPr>
            </w:pPr>
            <w:r w:rsidRPr="000A0A5F">
              <w:rPr>
                <w:lang w:eastAsia="zh-CN"/>
              </w:rPr>
              <w:t>Created</w:t>
            </w:r>
          </w:p>
        </w:tc>
        <w:tc>
          <w:tcPr>
            <w:tcW w:w="1770" w:type="pct"/>
          </w:tcPr>
          <w:p w:rsidR="007547CF" w:rsidRPr="000A0A5F" w:rsidRDefault="007547CF">
            <w:pPr>
              <w:pStyle w:val="TAL"/>
              <w:spacing w:afterLines="50" w:after="120"/>
            </w:pPr>
            <w:r w:rsidRPr="000A0A5F">
              <w:t xml:space="preserve">The subscription was created successfully. </w:t>
            </w:r>
          </w:p>
          <w:p w:rsidR="007547CF" w:rsidRPr="000A0A5F" w:rsidRDefault="007547CF">
            <w:pPr>
              <w:pStyle w:val="TAL"/>
              <w:rPr>
                <w:rFonts w:hint="eastAsia"/>
              </w:rPr>
            </w:pPr>
            <w:r w:rsidRPr="000A0A5F">
              <w:t>The URI of the created resource shall be returned in the "Location" HTTP header</w:t>
            </w:r>
            <w:r w:rsidRPr="000A0A5F">
              <w:rPr>
                <w:lang w:eastAsia="zh-CN"/>
              </w:rPr>
              <w:t>.</w:t>
            </w:r>
          </w:p>
        </w:tc>
      </w:tr>
      <w:tr w:rsidR="007547CF" w:rsidRPr="000A0A5F" w:rsidTr="00FF0AF8">
        <w:tc>
          <w:tcPr>
            <w:tcW w:w="536" w:type="pct"/>
            <w:vMerge/>
            <w:shd w:val="clear" w:color="auto" w:fill="BFBFBF"/>
            <w:vAlign w:val="center"/>
          </w:tcPr>
          <w:p w:rsidR="007547CF" w:rsidRPr="000A0A5F" w:rsidRDefault="007547CF" w:rsidP="007547CF">
            <w:pPr>
              <w:pStyle w:val="TAL"/>
              <w:jc w:val="center"/>
            </w:pPr>
          </w:p>
        </w:tc>
        <w:tc>
          <w:tcPr>
            <w:tcW w:w="1455" w:type="pct"/>
            <w:shd w:val="clear" w:color="auto" w:fill="auto"/>
          </w:tcPr>
          <w:p w:rsidR="007547CF" w:rsidRPr="000A0A5F" w:rsidRDefault="007547CF" w:rsidP="007547CF">
            <w:pPr>
              <w:pStyle w:val="TAL"/>
            </w:pPr>
            <w:r w:rsidRPr="000A0A5F">
              <w:t>ProblemDetailsAsSessionWithQos</w:t>
            </w:r>
          </w:p>
        </w:tc>
        <w:tc>
          <w:tcPr>
            <w:tcW w:w="585" w:type="pct"/>
          </w:tcPr>
          <w:p w:rsidR="007547CF" w:rsidRPr="000A0A5F" w:rsidRDefault="007547CF" w:rsidP="007547CF">
            <w:pPr>
              <w:pStyle w:val="TAL"/>
              <w:rPr>
                <w:rFonts w:hint="eastAsia"/>
                <w:lang w:eastAsia="zh-CN"/>
              </w:rPr>
            </w:pPr>
            <w:r w:rsidRPr="000A0A5F">
              <w:rPr>
                <w:lang w:eastAsia="zh-CN"/>
              </w:rPr>
              <w:t>0..1</w:t>
            </w:r>
          </w:p>
        </w:tc>
        <w:tc>
          <w:tcPr>
            <w:tcW w:w="654" w:type="pct"/>
          </w:tcPr>
          <w:p w:rsidR="007547CF" w:rsidRPr="000A0A5F" w:rsidRDefault="007547CF" w:rsidP="007547CF">
            <w:pPr>
              <w:pStyle w:val="TAL"/>
              <w:rPr>
                <w:rFonts w:hint="eastAsia"/>
                <w:lang w:eastAsia="zh-CN"/>
              </w:rPr>
            </w:pPr>
            <w:r w:rsidRPr="000A0A5F">
              <w:rPr>
                <w:lang w:eastAsia="zh-CN"/>
              </w:rPr>
              <w:t>403 Forbidden</w:t>
            </w:r>
          </w:p>
        </w:tc>
        <w:tc>
          <w:tcPr>
            <w:tcW w:w="1770" w:type="pct"/>
          </w:tcPr>
          <w:p w:rsidR="007547CF" w:rsidRPr="000A0A5F" w:rsidRDefault="007547CF" w:rsidP="007547CF">
            <w:pPr>
              <w:pStyle w:val="TAL"/>
              <w:spacing w:afterLines="50" w:after="120"/>
            </w:pPr>
            <w:r w:rsidRPr="000A0A5F">
              <w:t>(NOTE 2)</w:t>
            </w:r>
          </w:p>
        </w:tc>
      </w:tr>
      <w:tr w:rsidR="007547CF" w:rsidRPr="000A0A5F" w:rsidTr="00FF0AF8">
        <w:tc>
          <w:tcPr>
            <w:tcW w:w="536" w:type="pct"/>
            <w:vMerge/>
            <w:shd w:val="clear" w:color="auto" w:fill="BFBFBF"/>
            <w:vAlign w:val="center"/>
          </w:tcPr>
          <w:p w:rsidR="007547CF" w:rsidRPr="000A0A5F" w:rsidRDefault="007547CF" w:rsidP="007547CF">
            <w:pPr>
              <w:pStyle w:val="TAL"/>
              <w:jc w:val="center"/>
            </w:pPr>
          </w:p>
        </w:tc>
        <w:tc>
          <w:tcPr>
            <w:tcW w:w="1455" w:type="pct"/>
            <w:shd w:val="clear" w:color="auto" w:fill="auto"/>
          </w:tcPr>
          <w:p w:rsidR="007547CF" w:rsidRPr="000A0A5F" w:rsidRDefault="007547CF" w:rsidP="007547CF">
            <w:pPr>
              <w:pStyle w:val="TAL"/>
            </w:pPr>
            <w:r w:rsidRPr="000A0A5F">
              <w:t>ProblemDetails</w:t>
            </w:r>
          </w:p>
        </w:tc>
        <w:tc>
          <w:tcPr>
            <w:tcW w:w="585" w:type="pct"/>
          </w:tcPr>
          <w:p w:rsidR="007547CF" w:rsidRPr="000A0A5F" w:rsidRDefault="007547CF" w:rsidP="007547CF">
            <w:pPr>
              <w:pStyle w:val="TAL"/>
              <w:rPr>
                <w:rFonts w:hint="eastAsia"/>
                <w:lang w:eastAsia="zh-CN"/>
              </w:rPr>
            </w:pPr>
            <w:r w:rsidRPr="000A0A5F">
              <w:rPr>
                <w:lang w:eastAsia="zh-CN"/>
              </w:rPr>
              <w:t>0..1</w:t>
            </w:r>
          </w:p>
        </w:tc>
        <w:tc>
          <w:tcPr>
            <w:tcW w:w="654" w:type="pct"/>
          </w:tcPr>
          <w:p w:rsidR="007547CF" w:rsidRPr="000A0A5F" w:rsidRDefault="007547CF" w:rsidP="007547CF">
            <w:pPr>
              <w:pStyle w:val="TAL"/>
              <w:rPr>
                <w:rFonts w:hint="eastAsia"/>
                <w:lang w:eastAsia="zh-CN"/>
              </w:rPr>
            </w:pPr>
            <w:r w:rsidRPr="000A0A5F">
              <w:t>500 Internal Server Error</w:t>
            </w:r>
          </w:p>
        </w:tc>
        <w:tc>
          <w:tcPr>
            <w:tcW w:w="1770" w:type="pct"/>
          </w:tcPr>
          <w:p w:rsidR="007547CF" w:rsidRPr="000A0A5F" w:rsidRDefault="007547CF" w:rsidP="007547CF">
            <w:pPr>
              <w:pStyle w:val="TAL"/>
              <w:spacing w:afterLines="50" w:after="120"/>
            </w:pPr>
            <w:r w:rsidRPr="000A0A5F">
              <w:t>(NOTE 2)</w:t>
            </w:r>
          </w:p>
        </w:tc>
      </w:tr>
      <w:tr w:rsidR="007547CF" w:rsidRPr="000A0A5F" w:rsidTr="00FF0AF8">
        <w:tc>
          <w:tcPr>
            <w:tcW w:w="5000" w:type="pct"/>
            <w:gridSpan w:val="5"/>
            <w:shd w:val="clear" w:color="auto" w:fill="auto"/>
            <w:vAlign w:val="center"/>
          </w:tcPr>
          <w:p w:rsidR="007547CF" w:rsidRPr="000A0A5F" w:rsidRDefault="007547CF" w:rsidP="007547CF">
            <w:pPr>
              <w:pStyle w:val="TAN"/>
            </w:pPr>
            <w:r w:rsidRPr="000A0A5F">
              <w:t>NOTE 1:</w:t>
            </w:r>
            <w:r w:rsidRPr="000A0A5F">
              <w:tab/>
              <w:t>The mandatory HTTP error status codes for the POST method listed in table 5.2.6-1 also apply.</w:t>
            </w:r>
          </w:p>
          <w:p w:rsidR="007547CF" w:rsidRPr="000A0A5F" w:rsidRDefault="007547CF" w:rsidP="007547CF">
            <w:pPr>
              <w:pStyle w:val="TAN"/>
            </w:pPr>
            <w:r w:rsidRPr="000A0A5F">
              <w:t>NOTE 2:</w:t>
            </w:r>
            <w:r w:rsidRPr="000A0A5F">
              <w:tab/>
              <w:t>Failure cases are described in clause 5.14.5.3.</w:t>
            </w:r>
          </w:p>
        </w:tc>
      </w:tr>
    </w:tbl>
    <w:p w:rsidR="00CB0DD7" w:rsidRPr="000A0A5F" w:rsidRDefault="00CB0DD7">
      <w:pPr>
        <w:rPr>
          <w:noProof/>
        </w:rPr>
      </w:pPr>
    </w:p>
    <w:p w:rsidR="00CB0DD7" w:rsidRPr="000A0A5F" w:rsidRDefault="00CB0DD7">
      <w:pPr>
        <w:pStyle w:val="TH"/>
      </w:pPr>
      <w:r w:rsidRPr="000A0A5F">
        <w:t xml:space="preserve">Table 5.14.3.2.3.4-3: Headers supported by the 201 Response Code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846044">
        <w:trPr>
          <w:jc w:val="center"/>
        </w:trPr>
        <w:tc>
          <w:tcPr>
            <w:tcW w:w="825" w:type="pct"/>
            <w:tcBorders>
              <w:bottom w:val="single" w:sz="6" w:space="0" w:color="auto"/>
            </w:tcBorders>
            <w:shd w:val="clear" w:color="auto" w:fill="C0C0C0"/>
          </w:tcPr>
          <w:p w:rsidR="00CB0DD7" w:rsidRPr="000A0A5F" w:rsidRDefault="00CB0DD7">
            <w:pPr>
              <w:pStyle w:val="TAH"/>
            </w:pPr>
            <w:r w:rsidRPr="000A0A5F">
              <w:t>Name</w:t>
            </w:r>
          </w:p>
        </w:tc>
        <w:tc>
          <w:tcPr>
            <w:tcW w:w="732" w:type="pct"/>
            <w:tcBorders>
              <w:bottom w:val="single" w:sz="6" w:space="0" w:color="auto"/>
            </w:tcBorders>
            <w:shd w:val="clear" w:color="auto" w:fill="C0C0C0"/>
          </w:tcPr>
          <w:p w:rsidR="00CB0DD7" w:rsidRPr="000A0A5F" w:rsidRDefault="00CB0DD7">
            <w:pPr>
              <w:pStyle w:val="TAH"/>
            </w:pPr>
            <w:r w:rsidRPr="000A0A5F">
              <w:t>Data type</w:t>
            </w:r>
          </w:p>
        </w:tc>
        <w:tc>
          <w:tcPr>
            <w:tcW w:w="217" w:type="pct"/>
            <w:tcBorders>
              <w:bottom w:val="single" w:sz="6" w:space="0" w:color="auto"/>
            </w:tcBorders>
            <w:shd w:val="clear" w:color="auto" w:fill="C0C0C0"/>
          </w:tcPr>
          <w:p w:rsidR="00CB0DD7" w:rsidRPr="000A0A5F" w:rsidRDefault="00CB0DD7">
            <w:pPr>
              <w:pStyle w:val="TAH"/>
            </w:pPr>
            <w:r w:rsidRPr="000A0A5F">
              <w:t>P</w:t>
            </w:r>
          </w:p>
        </w:tc>
        <w:tc>
          <w:tcPr>
            <w:tcW w:w="581" w:type="pct"/>
            <w:tcBorders>
              <w:bottom w:val="single" w:sz="6" w:space="0" w:color="auto"/>
            </w:tcBorders>
            <w:shd w:val="clear" w:color="auto" w:fill="C0C0C0"/>
          </w:tcPr>
          <w:p w:rsidR="00CB0DD7" w:rsidRPr="000A0A5F" w:rsidRDefault="00CB0DD7">
            <w:pPr>
              <w:pStyle w:val="TAH"/>
            </w:pPr>
            <w:r w:rsidRPr="000A0A5F">
              <w:t>Cardinality</w:t>
            </w:r>
          </w:p>
        </w:tc>
        <w:tc>
          <w:tcPr>
            <w:tcW w:w="2645" w:type="pct"/>
            <w:tcBorders>
              <w:bottom w:val="single" w:sz="6" w:space="0" w:color="auto"/>
            </w:tcBorders>
            <w:shd w:val="clear" w:color="auto" w:fill="C0C0C0"/>
            <w:vAlign w:val="center"/>
          </w:tcPr>
          <w:p w:rsidR="00CB0DD7" w:rsidRPr="000A0A5F" w:rsidRDefault="00CB0DD7">
            <w:pPr>
              <w:pStyle w:val="TAH"/>
            </w:pPr>
            <w:r w:rsidRPr="000A0A5F">
              <w:t>Description</w:t>
            </w:r>
          </w:p>
        </w:tc>
      </w:tr>
      <w:tr w:rsidR="00CB0DD7" w:rsidRPr="000A0A5F" w:rsidTr="00846044">
        <w:trPr>
          <w:jc w:val="center"/>
        </w:trPr>
        <w:tc>
          <w:tcPr>
            <w:tcW w:w="825" w:type="pct"/>
            <w:tcBorders>
              <w:top w:val="single" w:sz="6" w:space="0" w:color="auto"/>
            </w:tcBorders>
            <w:shd w:val="clear" w:color="auto" w:fill="auto"/>
          </w:tcPr>
          <w:p w:rsidR="00CB0DD7" w:rsidRPr="000A0A5F" w:rsidRDefault="00CB0DD7">
            <w:pPr>
              <w:pStyle w:val="TAL"/>
            </w:pPr>
            <w:r w:rsidRPr="000A0A5F">
              <w:t>Location</w:t>
            </w:r>
          </w:p>
        </w:tc>
        <w:tc>
          <w:tcPr>
            <w:tcW w:w="732" w:type="pct"/>
            <w:tcBorders>
              <w:top w:val="single" w:sz="6" w:space="0" w:color="auto"/>
            </w:tcBorders>
          </w:tcPr>
          <w:p w:rsidR="00CB0DD7" w:rsidRPr="000A0A5F" w:rsidRDefault="00CB0DD7">
            <w:pPr>
              <w:pStyle w:val="TAL"/>
            </w:pPr>
            <w:r w:rsidRPr="000A0A5F">
              <w:t>string</w:t>
            </w:r>
          </w:p>
        </w:tc>
        <w:tc>
          <w:tcPr>
            <w:tcW w:w="217" w:type="pct"/>
            <w:tcBorders>
              <w:top w:val="single" w:sz="6" w:space="0" w:color="auto"/>
            </w:tcBorders>
          </w:tcPr>
          <w:p w:rsidR="00CB0DD7" w:rsidRPr="000A0A5F" w:rsidRDefault="00CB0DD7">
            <w:pPr>
              <w:pStyle w:val="TAC"/>
            </w:pPr>
            <w:r w:rsidRPr="000A0A5F">
              <w:t>M</w:t>
            </w:r>
          </w:p>
        </w:tc>
        <w:tc>
          <w:tcPr>
            <w:tcW w:w="581" w:type="pct"/>
            <w:tcBorders>
              <w:top w:val="single" w:sz="6" w:space="0" w:color="auto"/>
            </w:tcBorders>
          </w:tcPr>
          <w:p w:rsidR="00CB0DD7" w:rsidRPr="000A0A5F" w:rsidRDefault="00CB0DD7">
            <w:pPr>
              <w:pStyle w:val="TAL"/>
            </w:pPr>
            <w:r w:rsidRPr="000A0A5F">
              <w:t>1</w:t>
            </w:r>
          </w:p>
        </w:tc>
        <w:tc>
          <w:tcPr>
            <w:tcW w:w="2645" w:type="pct"/>
            <w:tcBorders>
              <w:top w:val="single" w:sz="6" w:space="0" w:color="auto"/>
            </w:tcBorders>
            <w:shd w:val="clear" w:color="auto" w:fill="auto"/>
            <w:vAlign w:val="center"/>
          </w:tcPr>
          <w:p w:rsidR="00CB0DD7" w:rsidRPr="000A0A5F" w:rsidRDefault="00CB0DD7">
            <w:pPr>
              <w:pStyle w:val="TAL"/>
            </w:pPr>
            <w:r w:rsidRPr="000A0A5F">
              <w:t>Contains the URI of the newly created resource, according to the structure:</w:t>
            </w:r>
            <w:r w:rsidRPr="000A0A5F">
              <w:rPr>
                <w:noProof/>
              </w:rPr>
              <w:t xml:space="preserve"> </w:t>
            </w:r>
            <w:r w:rsidRPr="000A0A5F">
              <w:t>{apiRoot}/3gpp-as-session-with-qos/v1/{scsAsId}/subscriptions/{subscriptionId}</w:t>
            </w:r>
          </w:p>
        </w:tc>
      </w:tr>
    </w:tbl>
    <w:p w:rsidR="00CB0DD7" w:rsidRPr="000A0A5F" w:rsidRDefault="00CB0DD7"/>
    <w:p w:rsidR="007547CF" w:rsidRPr="000A0A5F" w:rsidRDefault="007547CF" w:rsidP="007547CF">
      <w:pPr>
        <w:pStyle w:val="TH"/>
      </w:pPr>
      <w:r w:rsidRPr="000A0A5F">
        <w:t xml:space="preserve">Table 5.14.3.2.3.4-4: Headers supported by the 403 Response Code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7547CF" w:rsidRPr="000A0A5F" w:rsidTr="00846044">
        <w:trPr>
          <w:jc w:val="center"/>
        </w:trPr>
        <w:tc>
          <w:tcPr>
            <w:tcW w:w="825" w:type="pct"/>
            <w:tcBorders>
              <w:bottom w:val="single" w:sz="6" w:space="0" w:color="auto"/>
            </w:tcBorders>
            <w:shd w:val="clear" w:color="auto" w:fill="C0C0C0"/>
          </w:tcPr>
          <w:p w:rsidR="007547CF" w:rsidRPr="000A0A5F" w:rsidRDefault="007547CF" w:rsidP="0037730B">
            <w:pPr>
              <w:pStyle w:val="TAH"/>
            </w:pPr>
            <w:r w:rsidRPr="000A0A5F">
              <w:t>Name</w:t>
            </w:r>
          </w:p>
        </w:tc>
        <w:tc>
          <w:tcPr>
            <w:tcW w:w="732" w:type="pct"/>
            <w:tcBorders>
              <w:bottom w:val="single" w:sz="6" w:space="0" w:color="auto"/>
            </w:tcBorders>
            <w:shd w:val="clear" w:color="auto" w:fill="C0C0C0"/>
          </w:tcPr>
          <w:p w:rsidR="007547CF" w:rsidRPr="000A0A5F" w:rsidRDefault="007547CF" w:rsidP="0037730B">
            <w:pPr>
              <w:pStyle w:val="TAH"/>
            </w:pPr>
            <w:r w:rsidRPr="000A0A5F">
              <w:t>Data type</w:t>
            </w:r>
          </w:p>
        </w:tc>
        <w:tc>
          <w:tcPr>
            <w:tcW w:w="217" w:type="pct"/>
            <w:tcBorders>
              <w:bottom w:val="single" w:sz="6" w:space="0" w:color="auto"/>
            </w:tcBorders>
            <w:shd w:val="clear" w:color="auto" w:fill="C0C0C0"/>
          </w:tcPr>
          <w:p w:rsidR="007547CF" w:rsidRPr="000A0A5F" w:rsidRDefault="007547CF" w:rsidP="0037730B">
            <w:pPr>
              <w:pStyle w:val="TAH"/>
            </w:pPr>
            <w:r w:rsidRPr="000A0A5F">
              <w:t>P</w:t>
            </w:r>
          </w:p>
        </w:tc>
        <w:tc>
          <w:tcPr>
            <w:tcW w:w="581" w:type="pct"/>
            <w:tcBorders>
              <w:bottom w:val="single" w:sz="6" w:space="0" w:color="auto"/>
            </w:tcBorders>
            <w:shd w:val="clear" w:color="auto" w:fill="C0C0C0"/>
          </w:tcPr>
          <w:p w:rsidR="007547CF" w:rsidRPr="000A0A5F" w:rsidRDefault="007547CF" w:rsidP="0037730B">
            <w:pPr>
              <w:pStyle w:val="TAH"/>
            </w:pPr>
            <w:r w:rsidRPr="000A0A5F">
              <w:t>Cardinality</w:t>
            </w:r>
          </w:p>
        </w:tc>
        <w:tc>
          <w:tcPr>
            <w:tcW w:w="2645" w:type="pct"/>
            <w:tcBorders>
              <w:bottom w:val="single" w:sz="6" w:space="0" w:color="auto"/>
            </w:tcBorders>
            <w:shd w:val="clear" w:color="auto" w:fill="C0C0C0"/>
            <w:vAlign w:val="center"/>
          </w:tcPr>
          <w:p w:rsidR="007547CF" w:rsidRPr="000A0A5F" w:rsidRDefault="007547CF" w:rsidP="0037730B">
            <w:pPr>
              <w:pStyle w:val="TAH"/>
            </w:pPr>
            <w:r w:rsidRPr="000A0A5F">
              <w:t>Description</w:t>
            </w:r>
          </w:p>
        </w:tc>
      </w:tr>
      <w:tr w:rsidR="007547CF" w:rsidRPr="000A0A5F" w:rsidTr="00846044">
        <w:trPr>
          <w:jc w:val="center"/>
        </w:trPr>
        <w:tc>
          <w:tcPr>
            <w:tcW w:w="825" w:type="pct"/>
            <w:tcBorders>
              <w:top w:val="single" w:sz="6" w:space="0" w:color="auto"/>
            </w:tcBorders>
            <w:shd w:val="clear" w:color="auto" w:fill="auto"/>
          </w:tcPr>
          <w:p w:rsidR="007547CF" w:rsidRPr="000A0A5F" w:rsidRDefault="007547CF" w:rsidP="0037730B">
            <w:pPr>
              <w:pStyle w:val="TAL"/>
            </w:pPr>
            <w:r w:rsidRPr="000A0A5F">
              <w:t>Retry-After</w:t>
            </w:r>
          </w:p>
        </w:tc>
        <w:tc>
          <w:tcPr>
            <w:tcW w:w="732" w:type="pct"/>
            <w:tcBorders>
              <w:top w:val="single" w:sz="6" w:space="0" w:color="auto"/>
            </w:tcBorders>
          </w:tcPr>
          <w:p w:rsidR="007547CF" w:rsidRPr="000A0A5F" w:rsidRDefault="007547CF" w:rsidP="0037730B">
            <w:pPr>
              <w:pStyle w:val="TAL"/>
            </w:pPr>
            <w:r w:rsidRPr="000A0A5F">
              <w:t>string</w:t>
            </w:r>
          </w:p>
        </w:tc>
        <w:tc>
          <w:tcPr>
            <w:tcW w:w="217" w:type="pct"/>
            <w:tcBorders>
              <w:top w:val="single" w:sz="6" w:space="0" w:color="auto"/>
            </w:tcBorders>
          </w:tcPr>
          <w:p w:rsidR="007547CF" w:rsidRPr="000A0A5F" w:rsidRDefault="007547CF" w:rsidP="0037730B">
            <w:pPr>
              <w:pStyle w:val="TAC"/>
            </w:pPr>
            <w:r w:rsidRPr="000A0A5F">
              <w:t>M</w:t>
            </w:r>
          </w:p>
        </w:tc>
        <w:tc>
          <w:tcPr>
            <w:tcW w:w="581" w:type="pct"/>
            <w:tcBorders>
              <w:top w:val="single" w:sz="6" w:space="0" w:color="auto"/>
            </w:tcBorders>
          </w:tcPr>
          <w:p w:rsidR="007547CF" w:rsidRPr="000A0A5F" w:rsidRDefault="007547CF" w:rsidP="0037730B">
            <w:pPr>
              <w:pStyle w:val="TAL"/>
            </w:pPr>
            <w:r w:rsidRPr="000A0A5F">
              <w:t>1</w:t>
            </w:r>
          </w:p>
        </w:tc>
        <w:tc>
          <w:tcPr>
            <w:tcW w:w="2645" w:type="pct"/>
            <w:tcBorders>
              <w:top w:val="single" w:sz="6" w:space="0" w:color="auto"/>
            </w:tcBorders>
            <w:shd w:val="clear" w:color="auto" w:fill="auto"/>
            <w:vAlign w:val="center"/>
          </w:tcPr>
          <w:p w:rsidR="007547CF" w:rsidRPr="000A0A5F" w:rsidRDefault="007547CF" w:rsidP="0037730B">
            <w:pPr>
              <w:pStyle w:val="TAL"/>
            </w:pPr>
            <w:r w:rsidRPr="000A0A5F">
              <w:t xml:space="preserve">Indicates the time the </w:t>
            </w:r>
            <w:r w:rsidRPr="000A0A5F">
              <w:rPr>
                <w:noProof/>
              </w:rPr>
              <w:t>NF service consumer</w:t>
            </w:r>
            <w:r w:rsidRPr="000A0A5F">
              <w:t xml:space="preserve"> has to wait before making a new request.</w:t>
            </w:r>
          </w:p>
        </w:tc>
      </w:tr>
    </w:tbl>
    <w:p w:rsidR="007547CF" w:rsidRPr="000A0A5F" w:rsidRDefault="007547CF"/>
    <w:p w:rsidR="00CB0DD7" w:rsidRPr="000A0A5F" w:rsidRDefault="00CB0DD7">
      <w:pPr>
        <w:pStyle w:val="Heading6"/>
      </w:pPr>
      <w:bookmarkStart w:id="9365" w:name="_Toc11247891"/>
      <w:bookmarkStart w:id="9366" w:name="_Toc27045035"/>
      <w:bookmarkStart w:id="9367" w:name="_Toc36034086"/>
      <w:bookmarkStart w:id="9368" w:name="_Toc45132233"/>
      <w:bookmarkStart w:id="9369" w:name="_Toc49776518"/>
      <w:bookmarkStart w:id="9370" w:name="_Toc51747438"/>
      <w:bookmarkStart w:id="9371" w:name="_Toc66361017"/>
      <w:bookmarkStart w:id="9372" w:name="_Toc68105522"/>
      <w:bookmarkStart w:id="9373" w:name="_Toc74756154"/>
      <w:bookmarkStart w:id="9374" w:name="_Toc105675031"/>
      <w:bookmarkStart w:id="9375" w:name="_Toc130503101"/>
      <w:bookmarkStart w:id="9376" w:name="_Toc153625893"/>
      <w:r w:rsidRPr="000A0A5F">
        <w:t>5.14.3.2.3.5</w:t>
      </w:r>
      <w:r w:rsidRPr="000A0A5F">
        <w:tab/>
        <w:t>DELETE</w:t>
      </w:r>
      <w:bookmarkEnd w:id="9365"/>
      <w:bookmarkEnd w:id="9366"/>
      <w:bookmarkEnd w:id="9367"/>
      <w:bookmarkEnd w:id="9368"/>
      <w:bookmarkEnd w:id="9369"/>
      <w:bookmarkEnd w:id="9370"/>
      <w:bookmarkEnd w:id="9371"/>
      <w:bookmarkEnd w:id="9372"/>
      <w:bookmarkEnd w:id="9373"/>
      <w:bookmarkEnd w:id="9374"/>
      <w:bookmarkEnd w:id="9375"/>
      <w:bookmarkEnd w:id="9376"/>
    </w:p>
    <w:p w:rsidR="00CB0DD7" w:rsidRPr="000A0A5F" w:rsidRDefault="00CB0DD7">
      <w:pPr>
        <w:rPr>
          <w:rFonts w:hint="eastAsia"/>
          <w:lang w:eastAsia="zh-CN"/>
        </w:rPr>
      </w:pPr>
      <w:r w:rsidRPr="000A0A5F">
        <w:rPr>
          <w:rFonts w:hint="eastAsia"/>
          <w:lang w:eastAsia="zh-CN"/>
        </w:rPr>
        <w:t xml:space="preserve">This </w:t>
      </w:r>
      <w:r w:rsidRPr="000A0A5F">
        <w:rPr>
          <w:lang w:eastAsia="zh-CN"/>
        </w:rPr>
        <w:t>HTTP method is not supported for the resource.</w:t>
      </w:r>
    </w:p>
    <w:p w:rsidR="00CB0DD7" w:rsidRPr="000A0A5F" w:rsidRDefault="00CB0DD7">
      <w:pPr>
        <w:pStyle w:val="Heading4"/>
      </w:pPr>
      <w:bookmarkStart w:id="9377" w:name="_Toc11247892"/>
      <w:bookmarkStart w:id="9378" w:name="_Toc27045036"/>
      <w:bookmarkStart w:id="9379" w:name="_Toc36034087"/>
      <w:bookmarkStart w:id="9380" w:name="_Toc45132234"/>
      <w:bookmarkStart w:id="9381" w:name="_Toc49776519"/>
      <w:bookmarkStart w:id="9382" w:name="_Toc51747439"/>
      <w:bookmarkStart w:id="9383" w:name="_Toc66361018"/>
      <w:bookmarkStart w:id="9384" w:name="_Toc68105523"/>
      <w:bookmarkStart w:id="9385" w:name="_Toc74756155"/>
      <w:bookmarkStart w:id="9386" w:name="_Toc105675032"/>
      <w:bookmarkStart w:id="9387" w:name="_Toc130503102"/>
      <w:bookmarkStart w:id="9388" w:name="_Toc153625894"/>
      <w:r w:rsidRPr="000A0A5F">
        <w:t>5.14.3.3</w:t>
      </w:r>
      <w:r w:rsidRPr="000A0A5F">
        <w:tab/>
        <w:t>Resource: Individual AS Session with Required QoS Subscription</w:t>
      </w:r>
      <w:bookmarkEnd w:id="9377"/>
      <w:bookmarkEnd w:id="9378"/>
      <w:bookmarkEnd w:id="9379"/>
      <w:bookmarkEnd w:id="9380"/>
      <w:bookmarkEnd w:id="9381"/>
      <w:bookmarkEnd w:id="9382"/>
      <w:bookmarkEnd w:id="9383"/>
      <w:bookmarkEnd w:id="9384"/>
      <w:bookmarkEnd w:id="9385"/>
      <w:bookmarkEnd w:id="9386"/>
      <w:bookmarkEnd w:id="9387"/>
      <w:bookmarkEnd w:id="9388"/>
    </w:p>
    <w:p w:rsidR="00CB0DD7" w:rsidRPr="000A0A5F" w:rsidRDefault="00CB0DD7">
      <w:pPr>
        <w:pStyle w:val="Heading5"/>
      </w:pPr>
      <w:bookmarkStart w:id="9389" w:name="_Toc11247893"/>
      <w:bookmarkStart w:id="9390" w:name="_Toc27045037"/>
      <w:bookmarkStart w:id="9391" w:name="_Toc36034088"/>
      <w:bookmarkStart w:id="9392" w:name="_Toc45132235"/>
      <w:bookmarkStart w:id="9393" w:name="_Toc49776520"/>
      <w:bookmarkStart w:id="9394" w:name="_Toc51747440"/>
      <w:bookmarkStart w:id="9395" w:name="_Toc66361019"/>
      <w:bookmarkStart w:id="9396" w:name="_Toc68105524"/>
      <w:bookmarkStart w:id="9397" w:name="_Toc74756156"/>
      <w:bookmarkStart w:id="9398" w:name="_Toc105675033"/>
      <w:bookmarkStart w:id="9399" w:name="_Toc130503103"/>
      <w:bookmarkStart w:id="9400" w:name="_Toc153625895"/>
      <w:r w:rsidRPr="000A0A5F">
        <w:t>5.14.3.3.1</w:t>
      </w:r>
      <w:r w:rsidRPr="000A0A5F">
        <w:tab/>
        <w:t>Introduction</w:t>
      </w:r>
      <w:bookmarkEnd w:id="9389"/>
      <w:bookmarkEnd w:id="9390"/>
      <w:bookmarkEnd w:id="9391"/>
      <w:bookmarkEnd w:id="9392"/>
      <w:bookmarkEnd w:id="9393"/>
      <w:bookmarkEnd w:id="9394"/>
      <w:bookmarkEnd w:id="9395"/>
      <w:bookmarkEnd w:id="9396"/>
      <w:bookmarkEnd w:id="9397"/>
      <w:bookmarkEnd w:id="9398"/>
      <w:bookmarkEnd w:id="9399"/>
      <w:bookmarkEnd w:id="9400"/>
    </w:p>
    <w:p w:rsidR="00CB0DD7" w:rsidRPr="000A0A5F" w:rsidRDefault="00CB0DD7">
      <w:r w:rsidRPr="000A0A5F">
        <w:rPr>
          <w:noProof/>
          <w:lang w:eastAsia="zh-CN"/>
        </w:rPr>
        <w:t>This resource allows an</w:t>
      </w:r>
      <w:r w:rsidRPr="000A0A5F">
        <w:rPr>
          <w:rFonts w:hint="eastAsia"/>
          <w:noProof/>
          <w:lang w:eastAsia="zh-CN"/>
        </w:rPr>
        <w:t xml:space="preserve"> SCS/AS </w:t>
      </w:r>
      <w:r w:rsidRPr="000A0A5F">
        <w:rPr>
          <w:noProof/>
          <w:lang w:eastAsia="zh-CN"/>
        </w:rPr>
        <w:t>to query, update and delete an AS session with required QoS subscription.</w:t>
      </w:r>
    </w:p>
    <w:p w:rsidR="00CB0DD7" w:rsidRPr="000A0A5F" w:rsidRDefault="00CB0DD7">
      <w:pPr>
        <w:pStyle w:val="Heading5"/>
      </w:pPr>
      <w:bookmarkStart w:id="9401" w:name="_Toc11247894"/>
      <w:bookmarkStart w:id="9402" w:name="_Toc27045038"/>
      <w:bookmarkStart w:id="9403" w:name="_Toc36034089"/>
      <w:bookmarkStart w:id="9404" w:name="_Toc45132236"/>
      <w:bookmarkStart w:id="9405" w:name="_Toc49776521"/>
      <w:bookmarkStart w:id="9406" w:name="_Toc51747441"/>
      <w:bookmarkStart w:id="9407" w:name="_Toc66361020"/>
      <w:bookmarkStart w:id="9408" w:name="_Toc68105525"/>
      <w:bookmarkStart w:id="9409" w:name="_Toc74756157"/>
      <w:bookmarkStart w:id="9410" w:name="_Toc105675034"/>
      <w:bookmarkStart w:id="9411" w:name="_Toc130503104"/>
      <w:bookmarkStart w:id="9412" w:name="_Toc153625896"/>
      <w:r w:rsidRPr="000A0A5F">
        <w:t>5.14.3.3.2</w:t>
      </w:r>
      <w:r w:rsidRPr="000A0A5F">
        <w:tab/>
        <w:t>Resource definition</w:t>
      </w:r>
      <w:bookmarkEnd w:id="9401"/>
      <w:bookmarkEnd w:id="9402"/>
      <w:bookmarkEnd w:id="9403"/>
      <w:bookmarkEnd w:id="9404"/>
      <w:bookmarkEnd w:id="9405"/>
      <w:bookmarkEnd w:id="9406"/>
      <w:bookmarkEnd w:id="9407"/>
      <w:bookmarkEnd w:id="9408"/>
      <w:bookmarkEnd w:id="9409"/>
      <w:bookmarkEnd w:id="9410"/>
      <w:bookmarkEnd w:id="9411"/>
      <w:bookmarkEnd w:id="9412"/>
    </w:p>
    <w:p w:rsidR="00CB0DD7" w:rsidRPr="000A0A5F" w:rsidRDefault="00CB0DD7">
      <w:r w:rsidRPr="000A0A5F">
        <w:t xml:space="preserve">Resource URI: </w:t>
      </w:r>
      <w:r w:rsidRPr="000A0A5F">
        <w:rPr>
          <w:b/>
        </w:rPr>
        <w:t>{apiRoot}/3gpp-as-session-with-qos/v1/{scsAsId}/subscriptions/{subscriptionId}</w:t>
      </w:r>
    </w:p>
    <w:p w:rsidR="00CB0DD7" w:rsidRPr="000A0A5F" w:rsidRDefault="00CB0DD7">
      <w:pPr>
        <w:rPr>
          <w:rFonts w:ascii="Arial" w:hAnsi="Arial" w:cs="Arial"/>
        </w:rPr>
      </w:pPr>
      <w:r w:rsidRPr="000A0A5F">
        <w:t>This resource shall support the resource URI variables defined in table 5.14.3.3.2-1</w:t>
      </w:r>
      <w:r w:rsidRPr="000A0A5F">
        <w:rPr>
          <w:rFonts w:ascii="Arial" w:hAnsi="Arial" w:cs="Arial"/>
        </w:rPr>
        <w:t>.</w:t>
      </w:r>
    </w:p>
    <w:p w:rsidR="00CB0DD7" w:rsidRPr="000A0A5F" w:rsidRDefault="00CB0DD7">
      <w:pPr>
        <w:pStyle w:val="TH"/>
        <w:rPr>
          <w:rFonts w:cs="Arial"/>
        </w:rPr>
      </w:pPr>
      <w:r w:rsidRPr="000A0A5F">
        <w:t>Table 5.14.3.2.2-1: Resource URI variables for resource "Individual AS Session with Required QoS Subscription"</w:t>
      </w:r>
    </w:p>
    <w:tbl>
      <w:tblPr>
        <w:tblW w:w="4868"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970"/>
        <w:gridCol w:w="1171"/>
        <w:gridCol w:w="6378"/>
      </w:tblGrid>
      <w:tr w:rsidR="00CB0DD7" w:rsidRPr="000A0A5F" w:rsidTr="00FF0AF8">
        <w:trPr>
          <w:jc w:val="center"/>
        </w:trPr>
        <w:tc>
          <w:tcPr>
            <w:tcW w:w="1035" w:type="pct"/>
            <w:shd w:val="clear" w:color="000000" w:fill="C0C0C0"/>
          </w:tcPr>
          <w:p w:rsidR="00CB0DD7" w:rsidRPr="000A0A5F" w:rsidRDefault="00CB0DD7">
            <w:pPr>
              <w:pStyle w:val="TAH"/>
            </w:pPr>
            <w:r w:rsidRPr="000A0A5F">
              <w:t>Name</w:t>
            </w:r>
          </w:p>
        </w:tc>
        <w:tc>
          <w:tcPr>
            <w:tcW w:w="615" w:type="pct"/>
            <w:shd w:val="clear" w:color="000000" w:fill="C0C0C0"/>
          </w:tcPr>
          <w:p w:rsidR="00CB0DD7" w:rsidRPr="000A0A5F" w:rsidRDefault="00CB0DD7">
            <w:pPr>
              <w:pStyle w:val="TAH"/>
            </w:pPr>
            <w:r w:rsidRPr="000A0A5F">
              <w:t>Data type</w:t>
            </w:r>
          </w:p>
        </w:tc>
        <w:tc>
          <w:tcPr>
            <w:tcW w:w="3351" w:type="pct"/>
            <w:shd w:val="clear" w:color="000000" w:fill="C0C0C0"/>
            <w:vAlign w:val="center"/>
          </w:tcPr>
          <w:p w:rsidR="00CB0DD7" w:rsidRPr="000A0A5F" w:rsidRDefault="00CB0DD7">
            <w:pPr>
              <w:pStyle w:val="TAH"/>
            </w:pPr>
            <w:r w:rsidRPr="000A0A5F">
              <w:t>Definition</w:t>
            </w:r>
          </w:p>
        </w:tc>
      </w:tr>
      <w:tr w:rsidR="00CB0DD7" w:rsidRPr="000A0A5F" w:rsidTr="00FF0AF8">
        <w:trPr>
          <w:jc w:val="center"/>
        </w:trPr>
        <w:tc>
          <w:tcPr>
            <w:tcW w:w="1035" w:type="pct"/>
            <w:shd w:val="clear" w:color="auto" w:fill="auto"/>
          </w:tcPr>
          <w:p w:rsidR="00CB0DD7" w:rsidRPr="000A0A5F" w:rsidRDefault="00CB0DD7">
            <w:pPr>
              <w:pStyle w:val="TAL"/>
            </w:pPr>
            <w:r w:rsidRPr="000A0A5F">
              <w:t>apiRoot</w:t>
            </w:r>
          </w:p>
        </w:tc>
        <w:tc>
          <w:tcPr>
            <w:tcW w:w="615" w:type="pct"/>
          </w:tcPr>
          <w:p w:rsidR="00CB0DD7" w:rsidRPr="000A0A5F" w:rsidRDefault="00CB0DD7">
            <w:pPr>
              <w:pStyle w:val="TAL"/>
            </w:pPr>
            <w:r w:rsidRPr="000A0A5F">
              <w:t>string</w:t>
            </w:r>
          </w:p>
        </w:tc>
        <w:tc>
          <w:tcPr>
            <w:tcW w:w="3351" w:type="pct"/>
            <w:shd w:val="clear" w:color="auto" w:fill="auto"/>
            <w:vAlign w:val="center"/>
          </w:tcPr>
          <w:p w:rsidR="00CB0DD7" w:rsidRPr="000A0A5F" w:rsidRDefault="00CB0DD7">
            <w:pPr>
              <w:pStyle w:val="TAL"/>
            </w:pPr>
            <w:r w:rsidRPr="000A0A5F">
              <w:t>See clause</w:t>
            </w:r>
            <w:r w:rsidRPr="000A0A5F">
              <w:rPr>
                <w:lang w:val="en-US" w:eastAsia="zh-CN"/>
              </w:rPr>
              <w:t> </w:t>
            </w:r>
            <w:r w:rsidRPr="000A0A5F">
              <w:t>5.2.4.</w:t>
            </w:r>
          </w:p>
        </w:tc>
      </w:tr>
      <w:tr w:rsidR="00CB0DD7" w:rsidRPr="000A0A5F" w:rsidTr="00FF0AF8">
        <w:trPr>
          <w:jc w:val="center"/>
        </w:trPr>
        <w:tc>
          <w:tcPr>
            <w:tcW w:w="1035" w:type="pct"/>
            <w:shd w:val="clear" w:color="auto" w:fill="auto"/>
          </w:tcPr>
          <w:p w:rsidR="00CB0DD7" w:rsidRPr="000A0A5F" w:rsidRDefault="00CB0DD7">
            <w:pPr>
              <w:pStyle w:val="TAL"/>
            </w:pPr>
            <w:r w:rsidRPr="000A0A5F">
              <w:t>scsAsId</w:t>
            </w:r>
          </w:p>
        </w:tc>
        <w:tc>
          <w:tcPr>
            <w:tcW w:w="615" w:type="pct"/>
          </w:tcPr>
          <w:p w:rsidR="00CB0DD7" w:rsidRPr="000A0A5F" w:rsidRDefault="00CB0DD7">
            <w:pPr>
              <w:pStyle w:val="TAL"/>
            </w:pPr>
            <w:r w:rsidRPr="000A0A5F">
              <w:rPr>
                <w:rFonts w:hint="eastAsia"/>
                <w:lang w:eastAsia="zh-CN"/>
              </w:rPr>
              <w:t>s</w:t>
            </w:r>
            <w:r w:rsidRPr="000A0A5F">
              <w:rPr>
                <w:lang w:eastAsia="zh-CN"/>
              </w:rPr>
              <w:t>tring</w:t>
            </w:r>
          </w:p>
        </w:tc>
        <w:tc>
          <w:tcPr>
            <w:tcW w:w="3351" w:type="pct"/>
            <w:shd w:val="clear" w:color="auto" w:fill="auto"/>
            <w:vAlign w:val="center"/>
          </w:tcPr>
          <w:p w:rsidR="00CB0DD7" w:rsidRPr="000A0A5F" w:rsidRDefault="00CB0DD7">
            <w:pPr>
              <w:pStyle w:val="TAL"/>
            </w:pPr>
            <w:r w:rsidRPr="000A0A5F">
              <w:t xml:space="preserve">Identifier of the SCS/AS of type </w:t>
            </w:r>
            <w:r w:rsidRPr="000A0A5F">
              <w:rPr>
                <w:rFonts w:eastAsia="Times New Roman"/>
              </w:rPr>
              <w:t>ScsAsId.</w:t>
            </w:r>
          </w:p>
        </w:tc>
      </w:tr>
      <w:tr w:rsidR="00CB0DD7" w:rsidRPr="000A0A5F" w:rsidTr="00FF0AF8">
        <w:trPr>
          <w:jc w:val="center"/>
        </w:trPr>
        <w:tc>
          <w:tcPr>
            <w:tcW w:w="1035" w:type="pct"/>
            <w:shd w:val="clear" w:color="auto" w:fill="auto"/>
          </w:tcPr>
          <w:p w:rsidR="00CB0DD7" w:rsidRPr="000A0A5F" w:rsidRDefault="00CB0DD7">
            <w:pPr>
              <w:pStyle w:val="TAL"/>
              <w:rPr>
                <w:rFonts w:hint="eastAsia"/>
                <w:lang w:eastAsia="zh-CN"/>
              </w:rPr>
            </w:pPr>
            <w:r w:rsidRPr="000A0A5F">
              <w:rPr>
                <w:lang w:eastAsia="zh-CN"/>
              </w:rPr>
              <w:t>subscription</w:t>
            </w:r>
            <w:r w:rsidRPr="000A0A5F">
              <w:rPr>
                <w:rFonts w:hint="eastAsia"/>
                <w:lang w:eastAsia="zh-CN"/>
              </w:rPr>
              <w:t>Id</w:t>
            </w:r>
          </w:p>
        </w:tc>
        <w:tc>
          <w:tcPr>
            <w:tcW w:w="615" w:type="pct"/>
          </w:tcPr>
          <w:p w:rsidR="00CB0DD7" w:rsidRPr="000A0A5F" w:rsidRDefault="00CB0DD7">
            <w:pPr>
              <w:pStyle w:val="TAL"/>
            </w:pPr>
            <w:r w:rsidRPr="000A0A5F">
              <w:t>string</w:t>
            </w:r>
          </w:p>
        </w:tc>
        <w:tc>
          <w:tcPr>
            <w:tcW w:w="3351" w:type="pct"/>
            <w:shd w:val="clear" w:color="auto" w:fill="auto"/>
            <w:vAlign w:val="center"/>
          </w:tcPr>
          <w:p w:rsidR="00CB0DD7" w:rsidRPr="000A0A5F" w:rsidRDefault="00CB0DD7">
            <w:pPr>
              <w:pStyle w:val="TAL"/>
              <w:rPr>
                <w:rFonts w:hint="eastAsia"/>
                <w:lang w:eastAsia="zh-CN"/>
              </w:rPr>
            </w:pPr>
            <w:r w:rsidRPr="000A0A5F">
              <w:t>Identifier of the subscription resource of type string. The subscriptionId corresponds to the stage 2 TLTRI.</w:t>
            </w:r>
          </w:p>
        </w:tc>
      </w:tr>
    </w:tbl>
    <w:p w:rsidR="00CB0DD7" w:rsidRPr="000A0A5F" w:rsidRDefault="00CB0DD7"/>
    <w:p w:rsidR="00CB0DD7" w:rsidRPr="000A0A5F" w:rsidRDefault="00CB0DD7">
      <w:pPr>
        <w:pStyle w:val="Heading5"/>
        <w:spacing w:before="180"/>
      </w:pPr>
      <w:bookmarkStart w:id="9413" w:name="_Toc11247895"/>
      <w:bookmarkStart w:id="9414" w:name="_Toc27045039"/>
      <w:bookmarkStart w:id="9415" w:name="_Toc36034090"/>
      <w:bookmarkStart w:id="9416" w:name="_Toc45132237"/>
      <w:bookmarkStart w:id="9417" w:name="_Toc49776522"/>
      <w:bookmarkStart w:id="9418" w:name="_Toc51747442"/>
      <w:bookmarkStart w:id="9419" w:name="_Toc66361021"/>
      <w:bookmarkStart w:id="9420" w:name="_Toc68105526"/>
      <w:bookmarkStart w:id="9421" w:name="_Toc74756158"/>
      <w:bookmarkStart w:id="9422" w:name="_Toc105675035"/>
      <w:bookmarkStart w:id="9423" w:name="_Toc130503105"/>
      <w:bookmarkStart w:id="9424" w:name="_Toc153625897"/>
      <w:r w:rsidRPr="000A0A5F">
        <w:t>5.14.3.3.3</w:t>
      </w:r>
      <w:r w:rsidRPr="000A0A5F">
        <w:tab/>
        <w:t>Resource methods</w:t>
      </w:r>
      <w:bookmarkEnd w:id="9413"/>
      <w:bookmarkEnd w:id="9414"/>
      <w:bookmarkEnd w:id="9415"/>
      <w:bookmarkEnd w:id="9416"/>
      <w:bookmarkEnd w:id="9417"/>
      <w:bookmarkEnd w:id="9418"/>
      <w:bookmarkEnd w:id="9419"/>
      <w:bookmarkEnd w:id="9420"/>
      <w:bookmarkEnd w:id="9421"/>
      <w:bookmarkEnd w:id="9422"/>
      <w:bookmarkEnd w:id="9423"/>
      <w:bookmarkEnd w:id="9424"/>
    </w:p>
    <w:p w:rsidR="00CB0DD7" w:rsidRPr="000A0A5F" w:rsidRDefault="00CB0DD7">
      <w:pPr>
        <w:pStyle w:val="Heading6"/>
      </w:pPr>
      <w:bookmarkStart w:id="9425" w:name="_Toc11247896"/>
      <w:bookmarkStart w:id="9426" w:name="_Toc27045040"/>
      <w:bookmarkStart w:id="9427" w:name="_Toc36034091"/>
      <w:bookmarkStart w:id="9428" w:name="_Toc45132238"/>
      <w:bookmarkStart w:id="9429" w:name="_Toc49776523"/>
      <w:bookmarkStart w:id="9430" w:name="_Toc51747443"/>
      <w:bookmarkStart w:id="9431" w:name="_Toc66361022"/>
      <w:bookmarkStart w:id="9432" w:name="_Toc68105527"/>
      <w:bookmarkStart w:id="9433" w:name="_Toc74756159"/>
      <w:bookmarkStart w:id="9434" w:name="_Toc105675036"/>
      <w:bookmarkStart w:id="9435" w:name="_Toc130503106"/>
      <w:bookmarkStart w:id="9436" w:name="_Toc153625898"/>
      <w:r w:rsidRPr="000A0A5F">
        <w:t>5.14.3.3.3.1</w:t>
      </w:r>
      <w:r w:rsidRPr="000A0A5F">
        <w:tab/>
        <w:t>GET</w:t>
      </w:r>
      <w:bookmarkEnd w:id="9425"/>
      <w:bookmarkEnd w:id="9426"/>
      <w:bookmarkEnd w:id="9427"/>
      <w:bookmarkEnd w:id="9428"/>
      <w:bookmarkEnd w:id="9429"/>
      <w:bookmarkEnd w:id="9430"/>
      <w:bookmarkEnd w:id="9431"/>
      <w:bookmarkEnd w:id="9432"/>
      <w:bookmarkEnd w:id="9433"/>
      <w:bookmarkEnd w:id="9434"/>
      <w:bookmarkEnd w:id="9435"/>
      <w:bookmarkEnd w:id="9436"/>
    </w:p>
    <w:p w:rsidR="00CB0DD7" w:rsidRPr="000A0A5F" w:rsidRDefault="00CB0DD7">
      <w:pPr>
        <w:rPr>
          <w:noProof/>
          <w:lang w:eastAsia="zh-CN"/>
        </w:rPr>
      </w:pPr>
      <w:r w:rsidRPr="000A0A5F">
        <w:rPr>
          <w:noProof/>
          <w:lang w:eastAsia="zh-CN"/>
        </w:rPr>
        <w:t xml:space="preserve">The GET method allows to read a subscription resource. The SCS/AS shall initiate the HTTP GET request message and the SCEF shall respond to the message. </w:t>
      </w:r>
    </w:p>
    <w:p w:rsidR="00CB0DD7" w:rsidRPr="000A0A5F" w:rsidRDefault="00CB0DD7">
      <w:r w:rsidRPr="000A0A5F">
        <w:t>This method shall support the URI query parameters, request and response data structures, and response codes, as specified in the table 5.14.3.3.3.1-1 and table 5.14.3.3.3.1-2.</w:t>
      </w:r>
    </w:p>
    <w:p w:rsidR="00CB0DD7" w:rsidRPr="000A0A5F" w:rsidRDefault="00CB0DD7">
      <w:pPr>
        <w:pStyle w:val="TH"/>
        <w:rPr>
          <w:rFonts w:cs="Arial"/>
        </w:rPr>
      </w:pPr>
      <w:r w:rsidRPr="000A0A5F">
        <w:t xml:space="preserve">Table 5.14.3.3.3.1-1: URI query parameters supported by the GET method on this resource </w:t>
      </w:r>
    </w:p>
    <w:tbl>
      <w:tblPr>
        <w:tblW w:w="4999"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612"/>
        <w:gridCol w:w="1709"/>
        <w:gridCol w:w="1140"/>
        <w:gridCol w:w="5314"/>
      </w:tblGrid>
      <w:tr w:rsidR="00CB0DD7" w:rsidRPr="000A0A5F" w:rsidTr="00FF0AF8">
        <w:trPr>
          <w:jc w:val="center"/>
        </w:trPr>
        <w:tc>
          <w:tcPr>
            <w:tcW w:w="825" w:type="pct"/>
            <w:shd w:val="clear" w:color="000000" w:fill="C0C0C0"/>
          </w:tcPr>
          <w:p w:rsidR="00CB0DD7" w:rsidRPr="000A0A5F" w:rsidRDefault="00CB0DD7">
            <w:pPr>
              <w:pStyle w:val="TAH"/>
            </w:pPr>
            <w:r w:rsidRPr="000A0A5F">
              <w:t>Name</w:t>
            </w:r>
          </w:p>
        </w:tc>
        <w:tc>
          <w:tcPr>
            <w:tcW w:w="874" w:type="pct"/>
            <w:shd w:val="clear" w:color="000000" w:fill="C0C0C0"/>
          </w:tcPr>
          <w:p w:rsidR="00CB0DD7" w:rsidRPr="000A0A5F" w:rsidRDefault="00CB0DD7">
            <w:pPr>
              <w:pStyle w:val="TAH"/>
            </w:pPr>
            <w:r w:rsidRPr="000A0A5F">
              <w:t>Data type</w:t>
            </w:r>
          </w:p>
        </w:tc>
        <w:tc>
          <w:tcPr>
            <w:tcW w:w="583" w:type="pct"/>
            <w:shd w:val="clear" w:color="000000" w:fill="C0C0C0"/>
          </w:tcPr>
          <w:p w:rsidR="00CB0DD7" w:rsidRPr="000A0A5F" w:rsidRDefault="00CB0DD7">
            <w:pPr>
              <w:pStyle w:val="TAH"/>
            </w:pPr>
            <w:r w:rsidRPr="000A0A5F">
              <w:t>Cardinality</w:t>
            </w:r>
          </w:p>
        </w:tc>
        <w:tc>
          <w:tcPr>
            <w:tcW w:w="2718" w:type="pct"/>
            <w:shd w:val="clear" w:color="000000" w:fill="C0C0C0"/>
            <w:vAlign w:val="center"/>
          </w:tcPr>
          <w:p w:rsidR="00CB0DD7" w:rsidRPr="000A0A5F" w:rsidRDefault="00CB0DD7">
            <w:pPr>
              <w:pStyle w:val="TAH"/>
            </w:pPr>
            <w:r w:rsidRPr="000A0A5F">
              <w:t>Remarks</w:t>
            </w:r>
          </w:p>
        </w:tc>
      </w:tr>
      <w:tr w:rsidR="00CB0DD7" w:rsidRPr="000A0A5F" w:rsidTr="00FF0AF8">
        <w:trPr>
          <w:jc w:val="center"/>
        </w:trPr>
        <w:tc>
          <w:tcPr>
            <w:tcW w:w="825" w:type="pct"/>
            <w:shd w:val="clear" w:color="auto" w:fill="auto"/>
          </w:tcPr>
          <w:p w:rsidR="00CB0DD7" w:rsidRPr="000A0A5F" w:rsidRDefault="00CB0DD7">
            <w:pPr>
              <w:pStyle w:val="TAL"/>
            </w:pPr>
          </w:p>
        </w:tc>
        <w:tc>
          <w:tcPr>
            <w:tcW w:w="874" w:type="pct"/>
          </w:tcPr>
          <w:p w:rsidR="00CB0DD7" w:rsidRPr="000A0A5F" w:rsidRDefault="00CB0DD7">
            <w:pPr>
              <w:pStyle w:val="TAL"/>
            </w:pPr>
          </w:p>
        </w:tc>
        <w:tc>
          <w:tcPr>
            <w:tcW w:w="583" w:type="pct"/>
          </w:tcPr>
          <w:p w:rsidR="00CB0DD7" w:rsidRPr="000A0A5F" w:rsidRDefault="00CB0DD7">
            <w:pPr>
              <w:pStyle w:val="TAL"/>
            </w:pPr>
          </w:p>
        </w:tc>
        <w:tc>
          <w:tcPr>
            <w:tcW w:w="2718" w:type="pct"/>
            <w:shd w:val="clear" w:color="auto" w:fill="auto"/>
            <w:vAlign w:val="center"/>
          </w:tcPr>
          <w:p w:rsidR="00CB0DD7" w:rsidRPr="000A0A5F" w:rsidRDefault="00CB0DD7">
            <w:pPr>
              <w:pStyle w:val="TAL"/>
            </w:pPr>
          </w:p>
        </w:tc>
      </w:tr>
    </w:tbl>
    <w:p w:rsidR="00CB0DD7" w:rsidRPr="000A0A5F" w:rsidRDefault="00CB0DD7"/>
    <w:p w:rsidR="00CB0DD7" w:rsidRPr="000A0A5F" w:rsidRDefault="00CB0DD7">
      <w:pPr>
        <w:pStyle w:val="TH"/>
      </w:pPr>
      <w:r w:rsidRPr="000A0A5F">
        <w:t>Table 5.14.3.3.3.1-2: Data structures supported by the GET request/response by the resource</w:t>
      </w:r>
    </w:p>
    <w:tbl>
      <w:tblPr>
        <w:tblW w:w="4999" w:type="pct"/>
        <w:tblInd w:w="1"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top w:w="45" w:type="dxa"/>
          <w:left w:w="45" w:type="dxa"/>
          <w:bottom w:w="45" w:type="dxa"/>
          <w:right w:w="45" w:type="dxa"/>
        </w:tblCellMar>
        <w:tblLook w:val="0000" w:firstRow="0" w:lastRow="0" w:firstColumn="0" w:lastColumn="0" w:noHBand="0" w:noVBand="0"/>
      </w:tblPr>
      <w:tblGrid>
        <w:gridCol w:w="1035"/>
        <w:gridCol w:w="2127"/>
        <w:gridCol w:w="1053"/>
        <w:gridCol w:w="973"/>
        <w:gridCol w:w="4541"/>
      </w:tblGrid>
      <w:tr w:rsidR="00CB0DD7" w:rsidRPr="000A0A5F" w:rsidTr="000616DB">
        <w:tc>
          <w:tcPr>
            <w:tcW w:w="532" w:type="pct"/>
            <w:vMerge w:val="restart"/>
            <w:shd w:val="clear" w:color="auto" w:fill="C0C0C0"/>
            <w:vAlign w:val="center"/>
          </w:tcPr>
          <w:p w:rsidR="00CB0DD7" w:rsidRPr="000A0A5F" w:rsidRDefault="00CB0DD7">
            <w:pPr>
              <w:pStyle w:val="TAH"/>
            </w:pPr>
            <w:r w:rsidRPr="000A0A5F">
              <w:t>Request body</w:t>
            </w:r>
          </w:p>
        </w:tc>
        <w:tc>
          <w:tcPr>
            <w:tcW w:w="1093" w:type="pct"/>
            <w:shd w:val="clear" w:color="auto" w:fill="C0C0C0"/>
          </w:tcPr>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r w:rsidRPr="000A0A5F">
              <w:t>Cardinality</w:t>
            </w:r>
          </w:p>
        </w:tc>
        <w:tc>
          <w:tcPr>
            <w:tcW w:w="2834" w:type="pct"/>
            <w:gridSpan w:val="2"/>
            <w:shd w:val="clear" w:color="auto" w:fill="C0C0C0"/>
          </w:tcPr>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none</w:t>
            </w:r>
          </w:p>
        </w:tc>
        <w:tc>
          <w:tcPr>
            <w:tcW w:w="541" w:type="pct"/>
          </w:tcPr>
          <w:p w:rsidR="00CB0DD7" w:rsidRPr="000A0A5F" w:rsidRDefault="00CB0DD7">
            <w:pPr>
              <w:pStyle w:val="TAL"/>
            </w:pPr>
          </w:p>
        </w:tc>
        <w:tc>
          <w:tcPr>
            <w:tcW w:w="2834" w:type="pct"/>
            <w:gridSpan w:val="2"/>
          </w:tcPr>
          <w:p w:rsidR="00CB0DD7" w:rsidRPr="000A0A5F" w:rsidRDefault="00CB0DD7">
            <w:pPr>
              <w:pStyle w:val="TAL"/>
            </w:pPr>
          </w:p>
        </w:tc>
      </w:tr>
      <w:tr w:rsidR="00CB0DD7" w:rsidRPr="000A0A5F" w:rsidTr="000616DB">
        <w:tc>
          <w:tcPr>
            <w:tcW w:w="532" w:type="pct"/>
            <w:vMerge w:val="restart"/>
            <w:shd w:val="clear" w:color="auto" w:fill="C0C0C0"/>
            <w:vAlign w:val="center"/>
          </w:tcPr>
          <w:p w:rsidR="00CB0DD7" w:rsidRPr="000A0A5F" w:rsidRDefault="00CB0DD7">
            <w:pPr>
              <w:pStyle w:val="TAH"/>
            </w:pPr>
            <w:r w:rsidRPr="000A0A5F">
              <w:t>Response body</w:t>
            </w:r>
          </w:p>
        </w:tc>
        <w:tc>
          <w:tcPr>
            <w:tcW w:w="1093" w:type="pct"/>
            <w:shd w:val="clear" w:color="auto" w:fill="C0C0C0"/>
          </w:tcPr>
          <w:p w:rsidR="00CB0DD7" w:rsidRPr="000A0A5F" w:rsidRDefault="00CB0DD7">
            <w:pPr>
              <w:pStyle w:val="TAH"/>
            </w:pPr>
          </w:p>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p>
          <w:p w:rsidR="00CB0DD7" w:rsidRPr="000A0A5F" w:rsidRDefault="00CB0DD7">
            <w:pPr>
              <w:pStyle w:val="TAH"/>
            </w:pPr>
            <w:r w:rsidRPr="000A0A5F">
              <w:t>Cardinality</w:t>
            </w:r>
          </w:p>
        </w:tc>
        <w:tc>
          <w:tcPr>
            <w:tcW w:w="500" w:type="pct"/>
            <w:shd w:val="clear" w:color="auto" w:fill="C0C0C0"/>
          </w:tcPr>
          <w:p w:rsidR="00CB0DD7" w:rsidRPr="000A0A5F" w:rsidRDefault="00CB0DD7">
            <w:pPr>
              <w:pStyle w:val="TAH"/>
            </w:pPr>
            <w:r w:rsidRPr="000A0A5F">
              <w:t>Response</w:t>
            </w:r>
          </w:p>
          <w:p w:rsidR="00CB0DD7" w:rsidRPr="000A0A5F" w:rsidRDefault="00CB0DD7">
            <w:pPr>
              <w:pStyle w:val="TAH"/>
            </w:pPr>
            <w:r w:rsidRPr="000A0A5F">
              <w:t>codes</w:t>
            </w:r>
          </w:p>
        </w:tc>
        <w:tc>
          <w:tcPr>
            <w:tcW w:w="2334" w:type="pct"/>
            <w:shd w:val="clear" w:color="auto" w:fill="C0C0C0"/>
          </w:tcPr>
          <w:p w:rsidR="00CB0DD7" w:rsidRPr="000A0A5F" w:rsidRDefault="00CB0DD7">
            <w:pPr>
              <w:pStyle w:val="TAH"/>
            </w:pPr>
          </w:p>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AsSessionWithQoSSubscription</w:t>
            </w:r>
          </w:p>
        </w:tc>
        <w:tc>
          <w:tcPr>
            <w:tcW w:w="541" w:type="pct"/>
          </w:tcPr>
          <w:p w:rsidR="00CB0DD7" w:rsidRPr="000A0A5F" w:rsidRDefault="00CB0DD7">
            <w:pPr>
              <w:pStyle w:val="TAL"/>
            </w:pPr>
            <w:r w:rsidRPr="000A0A5F">
              <w:t>1</w:t>
            </w:r>
          </w:p>
        </w:tc>
        <w:tc>
          <w:tcPr>
            <w:tcW w:w="500" w:type="pct"/>
          </w:tcPr>
          <w:p w:rsidR="00CB0DD7" w:rsidRPr="000A0A5F" w:rsidRDefault="00CB0DD7">
            <w:pPr>
              <w:pStyle w:val="TAL"/>
            </w:pPr>
            <w:r w:rsidRPr="000A0A5F">
              <w:t>200 OK</w:t>
            </w:r>
          </w:p>
        </w:tc>
        <w:tc>
          <w:tcPr>
            <w:tcW w:w="2334" w:type="pct"/>
          </w:tcPr>
          <w:p w:rsidR="00CB0DD7" w:rsidRPr="000A0A5F" w:rsidRDefault="00CB0DD7">
            <w:pPr>
              <w:pStyle w:val="TAL"/>
            </w:pPr>
            <w:r w:rsidRPr="000A0A5F">
              <w:t xml:space="preserve">The subscription information related to the resource URI is returned. </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none</w:t>
            </w:r>
          </w:p>
        </w:tc>
        <w:tc>
          <w:tcPr>
            <w:tcW w:w="541" w:type="pct"/>
          </w:tcPr>
          <w:p w:rsidR="00CB0DD7" w:rsidRPr="000A0A5F" w:rsidRDefault="00CB0DD7">
            <w:pPr>
              <w:pStyle w:val="TAL"/>
            </w:pPr>
          </w:p>
        </w:tc>
        <w:tc>
          <w:tcPr>
            <w:tcW w:w="500" w:type="pct"/>
          </w:tcPr>
          <w:p w:rsidR="00CB0DD7" w:rsidRPr="000A0A5F" w:rsidRDefault="00CB0DD7">
            <w:pPr>
              <w:pStyle w:val="TAL"/>
            </w:pPr>
            <w:r w:rsidRPr="000A0A5F">
              <w:t>307 Temporary Redirect</w:t>
            </w:r>
          </w:p>
        </w:tc>
        <w:tc>
          <w:tcPr>
            <w:tcW w:w="2334" w:type="pct"/>
          </w:tcPr>
          <w:p w:rsidR="00CB0DD7" w:rsidRPr="000A0A5F" w:rsidRDefault="00CB0DD7">
            <w:pPr>
              <w:pStyle w:val="TAL"/>
            </w:pPr>
            <w:r w:rsidRPr="000A0A5F">
              <w:t>Temporary redirection, during subscription retrieval. The response shall include a Location header field containing an alternative URI of the resource located in an alternative SCEF.</w:t>
            </w:r>
          </w:p>
          <w:p w:rsidR="00CB0DD7" w:rsidRPr="000A0A5F" w:rsidRDefault="00CB0DD7">
            <w:pPr>
              <w:pStyle w:val="TAL"/>
            </w:pPr>
            <w:r w:rsidRPr="000A0A5F">
              <w:t>Redirection handling is described in clause 5.2.10.</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none</w:t>
            </w:r>
          </w:p>
        </w:tc>
        <w:tc>
          <w:tcPr>
            <w:tcW w:w="541" w:type="pct"/>
          </w:tcPr>
          <w:p w:rsidR="00CB0DD7" w:rsidRPr="000A0A5F" w:rsidRDefault="00CB0DD7">
            <w:pPr>
              <w:pStyle w:val="TAL"/>
            </w:pPr>
          </w:p>
        </w:tc>
        <w:tc>
          <w:tcPr>
            <w:tcW w:w="500" w:type="pct"/>
          </w:tcPr>
          <w:p w:rsidR="00CB0DD7" w:rsidRPr="000A0A5F" w:rsidRDefault="00CB0DD7">
            <w:pPr>
              <w:pStyle w:val="TAL"/>
            </w:pPr>
            <w:r w:rsidRPr="000A0A5F">
              <w:t>308 Permanent Redirect</w:t>
            </w:r>
          </w:p>
        </w:tc>
        <w:tc>
          <w:tcPr>
            <w:tcW w:w="2334" w:type="pct"/>
          </w:tcPr>
          <w:p w:rsidR="00CB0DD7" w:rsidRPr="000A0A5F" w:rsidRDefault="00CB0DD7">
            <w:pPr>
              <w:pStyle w:val="TAL"/>
            </w:pPr>
            <w:r w:rsidRPr="000A0A5F">
              <w:t>Permanent redirection, during subscription retrieval. The response shall include a Location header field containing an alternative URI of the resource located in an alternative SCEF.</w:t>
            </w:r>
          </w:p>
          <w:p w:rsidR="00CB0DD7" w:rsidRPr="000A0A5F" w:rsidRDefault="00CB0DD7">
            <w:pPr>
              <w:pStyle w:val="TAL"/>
            </w:pPr>
            <w:r w:rsidRPr="000A0A5F">
              <w:t>Redirection handling is described in clause 5.2.10.</w:t>
            </w:r>
          </w:p>
        </w:tc>
      </w:tr>
      <w:tr w:rsidR="00CB0DD7" w:rsidRPr="000A0A5F" w:rsidTr="00FF0AF8">
        <w:tc>
          <w:tcPr>
            <w:tcW w:w="5000" w:type="pct"/>
            <w:gridSpan w:val="5"/>
            <w:shd w:val="clear" w:color="auto" w:fill="auto"/>
            <w:vAlign w:val="center"/>
          </w:tcPr>
          <w:p w:rsidR="00CB0DD7" w:rsidRPr="000A0A5F" w:rsidRDefault="00CB0DD7">
            <w:pPr>
              <w:pStyle w:val="TAN"/>
            </w:pPr>
            <w:r w:rsidRPr="000A0A5F">
              <w:t>NOTE:</w:t>
            </w:r>
            <w:r w:rsidRPr="000A0A5F">
              <w:tab/>
              <w:t>The mandatory HTTP error status codes for the GET method listed in table 5.2.6-1 also apply.</w:t>
            </w:r>
          </w:p>
        </w:tc>
      </w:tr>
    </w:tbl>
    <w:p w:rsidR="00CB0DD7" w:rsidRPr="000A0A5F" w:rsidRDefault="00CB0DD7"/>
    <w:p w:rsidR="00CB0DD7" w:rsidRPr="000A0A5F" w:rsidRDefault="002E466A">
      <w:pPr>
        <w:pStyle w:val="TH"/>
      </w:pPr>
      <w:r w:rsidRPr="000A0A5F">
        <w:t>Table </w:t>
      </w:r>
      <w:r w:rsidR="00CB0DD7" w:rsidRPr="000A0A5F">
        <w:t>5.14.3.3.3.1-3: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2E466A">
      <w:pPr>
        <w:pStyle w:val="TH"/>
      </w:pPr>
      <w:r w:rsidRPr="000A0A5F">
        <w:t>Table </w:t>
      </w:r>
      <w:r w:rsidR="00CB0DD7" w:rsidRPr="000A0A5F">
        <w:t>5.14.3.3.3.1-4: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CB0DD7">
      <w:pPr>
        <w:pStyle w:val="Heading6"/>
      </w:pPr>
      <w:bookmarkStart w:id="9437" w:name="_Toc11247897"/>
      <w:bookmarkStart w:id="9438" w:name="_Toc27045041"/>
      <w:bookmarkStart w:id="9439" w:name="_Toc36034092"/>
      <w:bookmarkStart w:id="9440" w:name="_Toc45132239"/>
      <w:bookmarkStart w:id="9441" w:name="_Toc49776524"/>
      <w:bookmarkStart w:id="9442" w:name="_Toc51747444"/>
      <w:bookmarkStart w:id="9443" w:name="_Toc66361023"/>
      <w:bookmarkStart w:id="9444" w:name="_Toc68105528"/>
      <w:bookmarkStart w:id="9445" w:name="_Toc74756160"/>
      <w:bookmarkStart w:id="9446" w:name="_Toc105675037"/>
      <w:bookmarkStart w:id="9447" w:name="_Toc130503107"/>
      <w:bookmarkStart w:id="9448" w:name="_Toc153625899"/>
      <w:r w:rsidRPr="000A0A5F">
        <w:t>5.14.3.3.3.2</w:t>
      </w:r>
      <w:r w:rsidRPr="000A0A5F">
        <w:tab/>
        <w:t>PUT</w:t>
      </w:r>
      <w:bookmarkEnd w:id="9437"/>
      <w:bookmarkEnd w:id="9438"/>
      <w:bookmarkEnd w:id="9439"/>
      <w:bookmarkEnd w:id="9440"/>
      <w:bookmarkEnd w:id="9441"/>
      <w:bookmarkEnd w:id="9442"/>
      <w:bookmarkEnd w:id="9443"/>
      <w:bookmarkEnd w:id="9444"/>
      <w:bookmarkEnd w:id="9445"/>
      <w:bookmarkEnd w:id="9446"/>
      <w:bookmarkEnd w:id="9447"/>
      <w:bookmarkEnd w:id="9448"/>
    </w:p>
    <w:p w:rsidR="00CB0DD7" w:rsidRPr="000A0A5F" w:rsidRDefault="00CB0DD7">
      <w:pPr>
        <w:rPr>
          <w:noProof/>
          <w:lang w:eastAsia="zh-CN"/>
        </w:rPr>
      </w:pPr>
      <w:r w:rsidRPr="000A0A5F">
        <w:t>The PUT method allows changing the service information of an active subscription. The properties "</w:t>
      </w:r>
      <w:r w:rsidRPr="000A0A5F">
        <w:rPr>
          <w:rFonts w:hint="eastAsia"/>
        </w:rPr>
        <w:t>ueIp</w:t>
      </w:r>
      <w:r w:rsidRPr="000A0A5F">
        <w:t>v4</w:t>
      </w:r>
      <w:r w:rsidRPr="000A0A5F">
        <w:rPr>
          <w:rFonts w:hint="eastAsia"/>
        </w:rPr>
        <w:t>Add</w:t>
      </w:r>
      <w:r w:rsidRPr="000A0A5F">
        <w:t>r" or "</w:t>
      </w:r>
      <w:r w:rsidRPr="000A0A5F">
        <w:rPr>
          <w:rFonts w:hint="eastAsia"/>
        </w:rPr>
        <w:t>ueIp</w:t>
      </w:r>
      <w:r w:rsidRPr="000A0A5F">
        <w:t>v6</w:t>
      </w:r>
      <w:r w:rsidRPr="000A0A5F">
        <w:rPr>
          <w:rFonts w:hint="eastAsia"/>
        </w:rPr>
        <w:t>Add</w:t>
      </w:r>
      <w:r w:rsidRPr="000A0A5F">
        <w:t>r" shall remain unchanged from previously provided value</w:t>
      </w:r>
      <w:r w:rsidRPr="000A0A5F">
        <w:rPr>
          <w:noProof/>
          <w:lang w:eastAsia="zh-CN"/>
        </w:rPr>
        <w:t>.</w:t>
      </w:r>
    </w:p>
    <w:p w:rsidR="00CB0DD7" w:rsidRPr="000A0A5F" w:rsidRDefault="00CB0DD7">
      <w:r w:rsidRPr="000A0A5F">
        <w:t>This method shall support request and response data structures, and response codes, as specified in the table 5.14.3.3.3.2-1.</w:t>
      </w:r>
    </w:p>
    <w:p w:rsidR="00CB0DD7" w:rsidRPr="000A0A5F" w:rsidRDefault="00CB0DD7">
      <w:pPr>
        <w:pStyle w:val="TH"/>
      </w:pPr>
      <w:r w:rsidRPr="000A0A5F">
        <w:t>Table 5.14.3.3.3.2</w:t>
      </w:r>
      <w:r w:rsidRPr="000A0A5F">
        <w:rPr>
          <w:rFonts w:hint="eastAsia"/>
          <w:lang w:eastAsia="zh-CN"/>
        </w:rPr>
        <w:t>-1</w:t>
      </w:r>
      <w:r w:rsidRPr="000A0A5F">
        <w:t xml:space="preserve">: Data structures supported by the </w:t>
      </w:r>
      <w:r w:rsidRPr="000A0A5F">
        <w:rPr>
          <w:rFonts w:hint="eastAsia"/>
          <w:lang w:eastAsia="zh-CN"/>
        </w:rPr>
        <w:t>PUT</w:t>
      </w:r>
      <w:r w:rsidRPr="000A0A5F">
        <w:t xml:space="preserve"> request/response by the resource</w:t>
      </w:r>
    </w:p>
    <w:tbl>
      <w:tblPr>
        <w:tblW w:w="4999" w:type="pct"/>
        <w:tblInd w:w="1" w:type="dxa"/>
        <w:tblBorders>
          <w:top w:val="single" w:sz="6" w:space="0" w:color="000000"/>
          <w:left w:val="single" w:sz="6" w:space="0" w:color="000000"/>
          <w:bottom w:val="single" w:sz="6" w:space="0" w:color="000000"/>
          <w:right w:val="single" w:sz="6" w:space="0" w:color="000000"/>
          <w:insideH w:val="single" w:sz="6" w:space="0" w:color="auto"/>
          <w:insideV w:val="single" w:sz="6" w:space="0" w:color="000000"/>
        </w:tblBorders>
        <w:tblLayout w:type="fixed"/>
        <w:tblCellMar>
          <w:top w:w="45" w:type="dxa"/>
          <w:left w:w="45" w:type="dxa"/>
          <w:bottom w:w="45" w:type="dxa"/>
          <w:right w:w="45" w:type="dxa"/>
        </w:tblCellMar>
        <w:tblLook w:val="0000" w:firstRow="0" w:lastRow="0" w:firstColumn="0" w:lastColumn="0" w:noHBand="0" w:noVBand="0"/>
      </w:tblPr>
      <w:tblGrid>
        <w:gridCol w:w="1035"/>
        <w:gridCol w:w="2127"/>
        <w:gridCol w:w="1053"/>
        <w:gridCol w:w="973"/>
        <w:gridCol w:w="4541"/>
      </w:tblGrid>
      <w:tr w:rsidR="00CB0DD7" w:rsidRPr="000A0A5F" w:rsidTr="000616DB">
        <w:tc>
          <w:tcPr>
            <w:tcW w:w="532" w:type="pct"/>
            <w:vMerge w:val="restart"/>
            <w:shd w:val="clear" w:color="auto" w:fill="C0C0C0"/>
            <w:vAlign w:val="center"/>
          </w:tcPr>
          <w:p w:rsidR="00CB0DD7" w:rsidRPr="000A0A5F" w:rsidRDefault="00CB0DD7">
            <w:pPr>
              <w:pStyle w:val="TAH"/>
            </w:pPr>
            <w:r w:rsidRPr="000A0A5F">
              <w:t>Request body</w:t>
            </w:r>
          </w:p>
        </w:tc>
        <w:tc>
          <w:tcPr>
            <w:tcW w:w="1093" w:type="pct"/>
            <w:shd w:val="clear" w:color="auto" w:fill="C0C0C0"/>
          </w:tcPr>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r w:rsidRPr="000A0A5F">
              <w:t>Cardinality</w:t>
            </w:r>
          </w:p>
        </w:tc>
        <w:tc>
          <w:tcPr>
            <w:tcW w:w="2834" w:type="pct"/>
            <w:gridSpan w:val="2"/>
            <w:shd w:val="clear" w:color="auto" w:fill="C0C0C0"/>
          </w:tcPr>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t>AsSessionWithQoSSubscription</w:t>
            </w:r>
          </w:p>
        </w:tc>
        <w:tc>
          <w:tcPr>
            <w:tcW w:w="541" w:type="pct"/>
          </w:tcPr>
          <w:p w:rsidR="00CB0DD7" w:rsidRPr="000A0A5F" w:rsidRDefault="00CB0DD7">
            <w:pPr>
              <w:pStyle w:val="TAL"/>
            </w:pPr>
            <w:r w:rsidRPr="000A0A5F">
              <w:t>1</w:t>
            </w:r>
          </w:p>
        </w:tc>
        <w:tc>
          <w:tcPr>
            <w:tcW w:w="2834" w:type="pct"/>
            <w:gridSpan w:val="2"/>
          </w:tcPr>
          <w:p w:rsidR="00CB0DD7" w:rsidRPr="000A0A5F" w:rsidRDefault="00CB0DD7">
            <w:pPr>
              <w:pStyle w:val="TAL"/>
            </w:pPr>
            <w:r w:rsidRPr="000A0A5F">
              <w:t>Set up AS session with required QoS.</w:t>
            </w:r>
          </w:p>
        </w:tc>
      </w:tr>
      <w:tr w:rsidR="006219BB" w:rsidRPr="000A0A5F" w:rsidTr="000616DB">
        <w:tc>
          <w:tcPr>
            <w:tcW w:w="532" w:type="pct"/>
            <w:vMerge w:val="restart"/>
            <w:shd w:val="clear" w:color="auto" w:fill="C0C0C0"/>
            <w:vAlign w:val="center"/>
          </w:tcPr>
          <w:p w:rsidR="006219BB" w:rsidRPr="000A0A5F" w:rsidRDefault="006219BB">
            <w:pPr>
              <w:pStyle w:val="TAH"/>
            </w:pPr>
            <w:r w:rsidRPr="000A0A5F">
              <w:t>Response body</w:t>
            </w:r>
          </w:p>
        </w:tc>
        <w:tc>
          <w:tcPr>
            <w:tcW w:w="1093" w:type="pct"/>
            <w:shd w:val="clear" w:color="auto" w:fill="C0C0C0"/>
          </w:tcPr>
          <w:p w:rsidR="006219BB" w:rsidRPr="000A0A5F" w:rsidRDefault="006219BB">
            <w:pPr>
              <w:pStyle w:val="TAH"/>
            </w:pPr>
          </w:p>
          <w:p w:rsidR="006219BB" w:rsidRPr="000A0A5F" w:rsidRDefault="006219BB">
            <w:pPr>
              <w:pStyle w:val="TAH"/>
            </w:pPr>
            <w:r w:rsidRPr="000A0A5F">
              <w:t>Data type</w:t>
            </w:r>
          </w:p>
        </w:tc>
        <w:tc>
          <w:tcPr>
            <w:tcW w:w="541" w:type="pct"/>
            <w:shd w:val="clear" w:color="auto" w:fill="C0C0C0"/>
          </w:tcPr>
          <w:p w:rsidR="006219BB" w:rsidRPr="000A0A5F" w:rsidRDefault="006219BB">
            <w:pPr>
              <w:pStyle w:val="TAH"/>
            </w:pPr>
          </w:p>
          <w:p w:rsidR="006219BB" w:rsidRPr="000A0A5F" w:rsidRDefault="006219BB">
            <w:pPr>
              <w:pStyle w:val="TAH"/>
            </w:pPr>
            <w:r w:rsidRPr="000A0A5F">
              <w:t>Cardinality</w:t>
            </w:r>
          </w:p>
        </w:tc>
        <w:tc>
          <w:tcPr>
            <w:tcW w:w="500" w:type="pct"/>
            <w:shd w:val="clear" w:color="auto" w:fill="C0C0C0"/>
          </w:tcPr>
          <w:p w:rsidR="006219BB" w:rsidRPr="000A0A5F" w:rsidRDefault="006219BB">
            <w:pPr>
              <w:pStyle w:val="TAH"/>
            </w:pPr>
            <w:r w:rsidRPr="000A0A5F">
              <w:t>Response</w:t>
            </w:r>
          </w:p>
          <w:p w:rsidR="006219BB" w:rsidRPr="000A0A5F" w:rsidRDefault="006219BB">
            <w:pPr>
              <w:pStyle w:val="TAH"/>
            </w:pPr>
            <w:r w:rsidRPr="000A0A5F">
              <w:t>codes</w:t>
            </w:r>
          </w:p>
        </w:tc>
        <w:tc>
          <w:tcPr>
            <w:tcW w:w="2334" w:type="pct"/>
            <w:shd w:val="clear" w:color="auto" w:fill="C0C0C0"/>
          </w:tcPr>
          <w:p w:rsidR="006219BB" w:rsidRPr="000A0A5F" w:rsidRDefault="006219BB">
            <w:pPr>
              <w:pStyle w:val="TAH"/>
            </w:pPr>
          </w:p>
          <w:p w:rsidR="006219BB" w:rsidRPr="000A0A5F" w:rsidRDefault="006219BB">
            <w:pPr>
              <w:pStyle w:val="TAH"/>
            </w:pPr>
            <w:r w:rsidRPr="000A0A5F">
              <w:t>Remarks</w:t>
            </w:r>
          </w:p>
        </w:tc>
      </w:tr>
      <w:tr w:rsidR="006219BB" w:rsidRPr="000A0A5F" w:rsidTr="00FF0AF8">
        <w:tc>
          <w:tcPr>
            <w:tcW w:w="532" w:type="pct"/>
            <w:vMerge/>
            <w:shd w:val="clear" w:color="auto" w:fill="BFBFBF"/>
            <w:vAlign w:val="center"/>
          </w:tcPr>
          <w:p w:rsidR="006219BB" w:rsidRPr="000A0A5F" w:rsidRDefault="006219BB">
            <w:pPr>
              <w:pStyle w:val="TAL"/>
              <w:jc w:val="center"/>
            </w:pPr>
          </w:p>
        </w:tc>
        <w:tc>
          <w:tcPr>
            <w:tcW w:w="1093" w:type="pct"/>
            <w:shd w:val="clear" w:color="auto" w:fill="auto"/>
          </w:tcPr>
          <w:p w:rsidR="006219BB" w:rsidRPr="000A0A5F" w:rsidRDefault="006219BB">
            <w:pPr>
              <w:pStyle w:val="TAL"/>
              <w:rPr>
                <w:rFonts w:hint="eastAsia"/>
                <w:lang w:eastAsia="zh-CN"/>
              </w:rPr>
            </w:pPr>
            <w:r w:rsidRPr="000A0A5F">
              <w:t>AsSessionWithQoSSubscription</w:t>
            </w:r>
          </w:p>
        </w:tc>
        <w:tc>
          <w:tcPr>
            <w:tcW w:w="541" w:type="pct"/>
          </w:tcPr>
          <w:p w:rsidR="006219BB" w:rsidRPr="000A0A5F" w:rsidRDefault="006219BB">
            <w:pPr>
              <w:pStyle w:val="TAL"/>
              <w:rPr>
                <w:rFonts w:hint="eastAsia"/>
                <w:lang w:eastAsia="zh-CN"/>
              </w:rPr>
            </w:pPr>
            <w:r w:rsidRPr="000A0A5F">
              <w:rPr>
                <w:rFonts w:hint="eastAsia"/>
                <w:lang w:eastAsia="zh-CN"/>
              </w:rPr>
              <w:t>1</w:t>
            </w:r>
          </w:p>
        </w:tc>
        <w:tc>
          <w:tcPr>
            <w:tcW w:w="500" w:type="pct"/>
          </w:tcPr>
          <w:p w:rsidR="006219BB" w:rsidRPr="000A0A5F" w:rsidRDefault="006219BB">
            <w:pPr>
              <w:pStyle w:val="TAL"/>
              <w:rPr>
                <w:rFonts w:hint="eastAsia"/>
                <w:lang w:eastAsia="zh-CN"/>
              </w:rPr>
            </w:pPr>
            <w:r w:rsidRPr="000A0A5F">
              <w:t>20</w:t>
            </w:r>
            <w:r w:rsidRPr="000A0A5F">
              <w:rPr>
                <w:rFonts w:hint="eastAsia"/>
                <w:lang w:eastAsia="zh-CN"/>
              </w:rPr>
              <w:t>0 OK</w:t>
            </w:r>
          </w:p>
        </w:tc>
        <w:tc>
          <w:tcPr>
            <w:tcW w:w="2334" w:type="pct"/>
          </w:tcPr>
          <w:p w:rsidR="006219BB" w:rsidRPr="000A0A5F" w:rsidRDefault="006219BB">
            <w:pPr>
              <w:pStyle w:val="TAL"/>
            </w:pPr>
            <w:r w:rsidRPr="000A0A5F">
              <w:t xml:space="preserve">The </w:t>
            </w:r>
            <w:r w:rsidRPr="000A0A5F">
              <w:rPr>
                <w:rFonts w:hint="eastAsia"/>
                <w:lang w:eastAsia="zh-CN"/>
              </w:rPr>
              <w:t>subscription</w:t>
            </w:r>
            <w:r w:rsidRPr="000A0A5F">
              <w:t xml:space="preserve"> was </w:t>
            </w:r>
            <w:r w:rsidRPr="000A0A5F">
              <w:rPr>
                <w:rFonts w:hint="eastAsia"/>
                <w:lang w:eastAsia="zh-CN"/>
              </w:rPr>
              <w:t>modified</w:t>
            </w:r>
            <w:r w:rsidRPr="000A0A5F">
              <w:t xml:space="preserve"> successfully. </w:t>
            </w:r>
          </w:p>
          <w:p w:rsidR="006219BB" w:rsidRPr="000A0A5F" w:rsidRDefault="006219BB">
            <w:pPr>
              <w:pStyle w:val="TAL"/>
            </w:pPr>
          </w:p>
          <w:p w:rsidR="006219BB" w:rsidRPr="000A0A5F" w:rsidRDefault="0089739F">
            <w:pPr>
              <w:pStyle w:val="TAL"/>
              <w:rPr>
                <w:rFonts w:hint="eastAsia"/>
                <w:lang w:eastAsia="zh-CN"/>
              </w:rPr>
            </w:pPr>
            <w:r w:rsidRPr="000A0A5F">
              <w:t xml:space="preserve">The SCEF </w:t>
            </w:r>
            <w:r w:rsidRPr="000A0A5F">
              <w:rPr>
                <w:rFonts w:hint="eastAsia"/>
                <w:lang w:eastAsia="zh-CN"/>
              </w:rPr>
              <w:t>shall</w:t>
            </w:r>
            <w:r w:rsidRPr="000A0A5F">
              <w:t xml:space="preserve"> return an updated subscription in the response content.</w:t>
            </w:r>
          </w:p>
        </w:tc>
      </w:tr>
      <w:tr w:rsidR="006219BB" w:rsidRPr="000A0A5F" w:rsidTr="00FF0AF8">
        <w:tc>
          <w:tcPr>
            <w:tcW w:w="532" w:type="pct"/>
            <w:vMerge/>
            <w:shd w:val="clear" w:color="auto" w:fill="BFBFBF"/>
            <w:vAlign w:val="center"/>
          </w:tcPr>
          <w:p w:rsidR="006219BB" w:rsidRPr="000A0A5F" w:rsidRDefault="006219BB">
            <w:pPr>
              <w:pStyle w:val="TAL"/>
              <w:jc w:val="center"/>
            </w:pPr>
          </w:p>
        </w:tc>
        <w:tc>
          <w:tcPr>
            <w:tcW w:w="1093" w:type="pct"/>
            <w:shd w:val="clear" w:color="auto" w:fill="auto"/>
          </w:tcPr>
          <w:p w:rsidR="006219BB" w:rsidRPr="000A0A5F" w:rsidRDefault="006219BB">
            <w:pPr>
              <w:pStyle w:val="TAL"/>
            </w:pPr>
            <w:r w:rsidRPr="000A0A5F">
              <w:t>none</w:t>
            </w:r>
          </w:p>
        </w:tc>
        <w:tc>
          <w:tcPr>
            <w:tcW w:w="541" w:type="pct"/>
          </w:tcPr>
          <w:p w:rsidR="006219BB" w:rsidRPr="000A0A5F" w:rsidRDefault="006219BB">
            <w:pPr>
              <w:pStyle w:val="TAL"/>
              <w:rPr>
                <w:rFonts w:hint="eastAsia"/>
                <w:lang w:eastAsia="zh-CN"/>
              </w:rPr>
            </w:pPr>
          </w:p>
        </w:tc>
        <w:tc>
          <w:tcPr>
            <w:tcW w:w="500" w:type="pct"/>
          </w:tcPr>
          <w:p w:rsidR="006219BB" w:rsidRPr="000A0A5F" w:rsidRDefault="006219BB">
            <w:pPr>
              <w:pStyle w:val="TAL"/>
            </w:pPr>
            <w:r w:rsidRPr="000A0A5F">
              <w:rPr>
                <w:rFonts w:hint="eastAsia"/>
                <w:lang w:eastAsia="zh-CN"/>
              </w:rPr>
              <w:t>2</w:t>
            </w:r>
            <w:r w:rsidRPr="000A0A5F">
              <w:rPr>
                <w:lang w:eastAsia="zh-CN"/>
              </w:rPr>
              <w:t>04 No Content</w:t>
            </w:r>
          </w:p>
        </w:tc>
        <w:tc>
          <w:tcPr>
            <w:tcW w:w="2334" w:type="pct"/>
          </w:tcPr>
          <w:p w:rsidR="006219BB" w:rsidRPr="000A0A5F" w:rsidRDefault="006219BB">
            <w:pPr>
              <w:pStyle w:val="TAL"/>
            </w:pPr>
            <w:r w:rsidRPr="000A0A5F">
              <w:t>The subscription was updated successfully.</w:t>
            </w:r>
          </w:p>
        </w:tc>
      </w:tr>
      <w:tr w:rsidR="006219BB" w:rsidRPr="000A0A5F" w:rsidTr="00FF0AF8">
        <w:tc>
          <w:tcPr>
            <w:tcW w:w="532" w:type="pct"/>
            <w:vMerge/>
            <w:shd w:val="clear" w:color="auto" w:fill="BFBFBF"/>
            <w:vAlign w:val="center"/>
          </w:tcPr>
          <w:p w:rsidR="006219BB" w:rsidRPr="000A0A5F" w:rsidRDefault="006219BB">
            <w:pPr>
              <w:pStyle w:val="TAL"/>
              <w:jc w:val="center"/>
            </w:pPr>
          </w:p>
        </w:tc>
        <w:tc>
          <w:tcPr>
            <w:tcW w:w="1093" w:type="pct"/>
            <w:shd w:val="clear" w:color="auto" w:fill="auto"/>
          </w:tcPr>
          <w:p w:rsidR="006219BB" w:rsidRPr="000A0A5F" w:rsidRDefault="006219BB">
            <w:pPr>
              <w:pStyle w:val="TAL"/>
            </w:pPr>
            <w:r w:rsidRPr="000A0A5F">
              <w:t>none</w:t>
            </w:r>
          </w:p>
        </w:tc>
        <w:tc>
          <w:tcPr>
            <w:tcW w:w="541" w:type="pct"/>
          </w:tcPr>
          <w:p w:rsidR="006219BB" w:rsidRPr="000A0A5F" w:rsidRDefault="006219BB">
            <w:pPr>
              <w:pStyle w:val="TAL"/>
              <w:rPr>
                <w:rFonts w:hint="eastAsia"/>
                <w:lang w:eastAsia="zh-CN"/>
              </w:rPr>
            </w:pPr>
          </w:p>
        </w:tc>
        <w:tc>
          <w:tcPr>
            <w:tcW w:w="500" w:type="pct"/>
          </w:tcPr>
          <w:p w:rsidR="006219BB" w:rsidRPr="000A0A5F" w:rsidRDefault="006219BB">
            <w:pPr>
              <w:pStyle w:val="TAL"/>
            </w:pPr>
            <w:r w:rsidRPr="000A0A5F">
              <w:t>307 Temporary Redirect</w:t>
            </w:r>
          </w:p>
        </w:tc>
        <w:tc>
          <w:tcPr>
            <w:tcW w:w="2334" w:type="pct"/>
          </w:tcPr>
          <w:p w:rsidR="006219BB" w:rsidRPr="000A0A5F" w:rsidRDefault="006219BB">
            <w:pPr>
              <w:pStyle w:val="TAL"/>
            </w:pPr>
            <w:r w:rsidRPr="000A0A5F">
              <w:t>Temporary redirection, during subscription modification. The response shall include a Location header field containing an alternative URI of the resource located in an alternative SCEF.</w:t>
            </w:r>
          </w:p>
          <w:p w:rsidR="006219BB" w:rsidRPr="000A0A5F" w:rsidRDefault="006219BB">
            <w:pPr>
              <w:pStyle w:val="TAL"/>
            </w:pPr>
            <w:r w:rsidRPr="000A0A5F">
              <w:t>Redirection handling is described in clause 5.2.10.</w:t>
            </w:r>
          </w:p>
        </w:tc>
      </w:tr>
      <w:tr w:rsidR="006219BB" w:rsidRPr="000A0A5F" w:rsidTr="00FF0AF8">
        <w:tc>
          <w:tcPr>
            <w:tcW w:w="532" w:type="pct"/>
            <w:vMerge/>
            <w:shd w:val="clear" w:color="auto" w:fill="BFBFBF"/>
            <w:vAlign w:val="center"/>
          </w:tcPr>
          <w:p w:rsidR="006219BB" w:rsidRPr="000A0A5F" w:rsidRDefault="006219BB">
            <w:pPr>
              <w:pStyle w:val="TAL"/>
              <w:jc w:val="center"/>
            </w:pPr>
          </w:p>
        </w:tc>
        <w:tc>
          <w:tcPr>
            <w:tcW w:w="1093" w:type="pct"/>
            <w:shd w:val="clear" w:color="auto" w:fill="auto"/>
          </w:tcPr>
          <w:p w:rsidR="006219BB" w:rsidRPr="000A0A5F" w:rsidRDefault="006219BB">
            <w:pPr>
              <w:pStyle w:val="TAL"/>
            </w:pPr>
            <w:r w:rsidRPr="000A0A5F">
              <w:t>none</w:t>
            </w:r>
          </w:p>
        </w:tc>
        <w:tc>
          <w:tcPr>
            <w:tcW w:w="541" w:type="pct"/>
          </w:tcPr>
          <w:p w:rsidR="006219BB" w:rsidRPr="000A0A5F" w:rsidRDefault="006219BB">
            <w:pPr>
              <w:pStyle w:val="TAL"/>
              <w:rPr>
                <w:rFonts w:hint="eastAsia"/>
                <w:lang w:eastAsia="zh-CN"/>
              </w:rPr>
            </w:pPr>
          </w:p>
        </w:tc>
        <w:tc>
          <w:tcPr>
            <w:tcW w:w="500" w:type="pct"/>
          </w:tcPr>
          <w:p w:rsidR="006219BB" w:rsidRPr="000A0A5F" w:rsidRDefault="006219BB">
            <w:pPr>
              <w:pStyle w:val="TAL"/>
            </w:pPr>
            <w:r w:rsidRPr="000A0A5F">
              <w:t>308 Permanent Redirect</w:t>
            </w:r>
          </w:p>
        </w:tc>
        <w:tc>
          <w:tcPr>
            <w:tcW w:w="2334" w:type="pct"/>
          </w:tcPr>
          <w:p w:rsidR="006219BB" w:rsidRPr="000A0A5F" w:rsidRDefault="006219BB">
            <w:pPr>
              <w:pStyle w:val="TAL"/>
            </w:pPr>
            <w:r w:rsidRPr="000A0A5F">
              <w:t>Permanent redirection, during subscription modification. The response shall include a Location header field containing an alternative URI of the resource located in an alternative SCEF.</w:t>
            </w:r>
          </w:p>
          <w:p w:rsidR="006219BB" w:rsidRPr="000A0A5F" w:rsidRDefault="006219BB">
            <w:pPr>
              <w:pStyle w:val="TAL"/>
            </w:pPr>
            <w:r w:rsidRPr="000A0A5F">
              <w:t>Redirection handling is described in clause 5.2.10.</w:t>
            </w:r>
          </w:p>
        </w:tc>
      </w:tr>
      <w:tr w:rsidR="006219BB" w:rsidRPr="000A0A5F" w:rsidTr="00FF0AF8">
        <w:tc>
          <w:tcPr>
            <w:tcW w:w="532" w:type="pct"/>
            <w:vMerge/>
            <w:shd w:val="clear" w:color="auto" w:fill="BFBFBF"/>
            <w:vAlign w:val="center"/>
          </w:tcPr>
          <w:p w:rsidR="006219BB" w:rsidRPr="000A0A5F" w:rsidRDefault="006219BB" w:rsidP="00502809">
            <w:pPr>
              <w:pStyle w:val="TAL"/>
              <w:jc w:val="center"/>
            </w:pPr>
          </w:p>
        </w:tc>
        <w:tc>
          <w:tcPr>
            <w:tcW w:w="1093" w:type="pct"/>
            <w:shd w:val="clear" w:color="auto" w:fill="auto"/>
          </w:tcPr>
          <w:p w:rsidR="006219BB" w:rsidRPr="000A0A5F" w:rsidRDefault="006219BB" w:rsidP="00502809">
            <w:pPr>
              <w:pStyle w:val="TAL"/>
            </w:pPr>
            <w:r w:rsidRPr="000A0A5F">
              <w:t>ProblemDetailsAsSessionWithQos</w:t>
            </w:r>
          </w:p>
        </w:tc>
        <w:tc>
          <w:tcPr>
            <w:tcW w:w="541" w:type="pct"/>
          </w:tcPr>
          <w:p w:rsidR="006219BB" w:rsidRPr="000A0A5F" w:rsidRDefault="006219BB" w:rsidP="00502809">
            <w:pPr>
              <w:pStyle w:val="TAL"/>
              <w:rPr>
                <w:rFonts w:hint="eastAsia"/>
                <w:lang w:eastAsia="zh-CN"/>
              </w:rPr>
            </w:pPr>
            <w:r w:rsidRPr="000A0A5F">
              <w:rPr>
                <w:lang w:eastAsia="zh-CN"/>
              </w:rPr>
              <w:t>0..1</w:t>
            </w:r>
          </w:p>
        </w:tc>
        <w:tc>
          <w:tcPr>
            <w:tcW w:w="500" w:type="pct"/>
          </w:tcPr>
          <w:p w:rsidR="006219BB" w:rsidRPr="000A0A5F" w:rsidRDefault="006219BB" w:rsidP="00502809">
            <w:pPr>
              <w:pStyle w:val="TAL"/>
            </w:pPr>
            <w:r w:rsidRPr="000A0A5F">
              <w:rPr>
                <w:lang w:eastAsia="zh-CN"/>
              </w:rPr>
              <w:t>403 Forbidden</w:t>
            </w:r>
          </w:p>
        </w:tc>
        <w:tc>
          <w:tcPr>
            <w:tcW w:w="2334" w:type="pct"/>
          </w:tcPr>
          <w:p w:rsidR="006219BB" w:rsidRPr="000A0A5F" w:rsidRDefault="006219BB" w:rsidP="00502809">
            <w:pPr>
              <w:pStyle w:val="TAL"/>
            </w:pPr>
            <w:r w:rsidRPr="000A0A5F">
              <w:t>(NOTE 2)</w:t>
            </w:r>
          </w:p>
        </w:tc>
      </w:tr>
      <w:tr w:rsidR="006219BB" w:rsidRPr="000A0A5F" w:rsidTr="00FF0AF8">
        <w:tc>
          <w:tcPr>
            <w:tcW w:w="532" w:type="pct"/>
            <w:vMerge/>
            <w:shd w:val="clear" w:color="auto" w:fill="BFBFBF"/>
            <w:vAlign w:val="center"/>
          </w:tcPr>
          <w:p w:rsidR="006219BB" w:rsidRPr="000A0A5F" w:rsidRDefault="006219BB" w:rsidP="006219BB">
            <w:pPr>
              <w:pStyle w:val="TAL"/>
              <w:jc w:val="center"/>
            </w:pPr>
          </w:p>
        </w:tc>
        <w:tc>
          <w:tcPr>
            <w:tcW w:w="1093" w:type="pct"/>
            <w:shd w:val="clear" w:color="auto" w:fill="auto"/>
          </w:tcPr>
          <w:p w:rsidR="006219BB" w:rsidRPr="000A0A5F" w:rsidRDefault="006219BB" w:rsidP="006219BB">
            <w:pPr>
              <w:pStyle w:val="TAL"/>
            </w:pPr>
            <w:r w:rsidRPr="000A0A5F">
              <w:t>ProblemDetails</w:t>
            </w:r>
          </w:p>
        </w:tc>
        <w:tc>
          <w:tcPr>
            <w:tcW w:w="541" w:type="pct"/>
          </w:tcPr>
          <w:p w:rsidR="006219BB" w:rsidRPr="000A0A5F" w:rsidRDefault="006219BB" w:rsidP="006219BB">
            <w:pPr>
              <w:pStyle w:val="TAL"/>
              <w:rPr>
                <w:lang w:eastAsia="zh-CN"/>
              </w:rPr>
            </w:pPr>
            <w:r w:rsidRPr="000A0A5F">
              <w:t>0..1</w:t>
            </w:r>
          </w:p>
        </w:tc>
        <w:tc>
          <w:tcPr>
            <w:tcW w:w="500" w:type="pct"/>
          </w:tcPr>
          <w:p w:rsidR="006219BB" w:rsidRPr="000A0A5F" w:rsidRDefault="006219BB" w:rsidP="006219BB">
            <w:pPr>
              <w:pStyle w:val="TAL"/>
              <w:rPr>
                <w:lang w:eastAsia="zh-CN"/>
              </w:rPr>
            </w:pPr>
            <w:r w:rsidRPr="000A0A5F">
              <w:t>403 Forbidden</w:t>
            </w:r>
          </w:p>
        </w:tc>
        <w:tc>
          <w:tcPr>
            <w:tcW w:w="2334" w:type="pct"/>
          </w:tcPr>
          <w:p w:rsidR="006219BB" w:rsidRPr="000A0A5F" w:rsidRDefault="006219BB" w:rsidP="006219BB">
            <w:pPr>
              <w:pStyle w:val="TAL"/>
            </w:pPr>
            <w:r w:rsidRPr="000A0A5F">
              <w:t>(NOTE </w:t>
            </w:r>
            <w:r w:rsidR="008C3F3F" w:rsidRPr="000A0A5F">
              <w:t>2</w:t>
            </w:r>
            <w:r w:rsidRPr="000A0A5F">
              <w:t>)</w:t>
            </w:r>
          </w:p>
        </w:tc>
      </w:tr>
      <w:tr w:rsidR="006219BB" w:rsidRPr="000A0A5F" w:rsidTr="00FF0AF8">
        <w:tc>
          <w:tcPr>
            <w:tcW w:w="5000" w:type="pct"/>
            <w:gridSpan w:val="5"/>
            <w:shd w:val="clear" w:color="auto" w:fill="auto"/>
            <w:vAlign w:val="center"/>
          </w:tcPr>
          <w:p w:rsidR="006219BB" w:rsidRPr="000A0A5F" w:rsidRDefault="006219BB" w:rsidP="006219BB">
            <w:pPr>
              <w:pStyle w:val="TAN"/>
            </w:pPr>
            <w:r w:rsidRPr="000A0A5F">
              <w:t>NOTE 1:</w:t>
            </w:r>
            <w:r w:rsidRPr="000A0A5F">
              <w:tab/>
              <w:t>The mandatory HTTP error status codes for the PUT method listed in table 5.2.6-1 also apply.</w:t>
            </w:r>
          </w:p>
          <w:p w:rsidR="006219BB" w:rsidRPr="000A0A5F" w:rsidRDefault="006219BB" w:rsidP="00BF174A">
            <w:pPr>
              <w:pStyle w:val="TAN"/>
              <w:rPr>
                <w:rFonts w:hint="eastAsia"/>
                <w:lang w:eastAsia="zh-CN"/>
              </w:rPr>
            </w:pPr>
            <w:r w:rsidRPr="000A0A5F">
              <w:t>NOTE 2:</w:t>
            </w:r>
            <w:r w:rsidRPr="000A0A5F">
              <w:tab/>
              <w:t>Failure cases are described in clause 5.14.5.3.</w:t>
            </w:r>
          </w:p>
        </w:tc>
      </w:tr>
    </w:tbl>
    <w:p w:rsidR="00CB0DD7" w:rsidRPr="000A0A5F" w:rsidRDefault="00CB0DD7"/>
    <w:p w:rsidR="00CB0DD7" w:rsidRPr="000A0A5F" w:rsidRDefault="002E466A">
      <w:pPr>
        <w:pStyle w:val="TH"/>
      </w:pPr>
      <w:r w:rsidRPr="000A0A5F">
        <w:t>Table </w:t>
      </w:r>
      <w:r w:rsidR="00CB0DD7" w:rsidRPr="000A0A5F">
        <w:t>5.14.3.3.3.2-2: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2E466A">
      <w:pPr>
        <w:pStyle w:val="TH"/>
      </w:pPr>
      <w:r w:rsidRPr="000A0A5F">
        <w:t>Table </w:t>
      </w:r>
      <w:r w:rsidR="00CB0DD7" w:rsidRPr="000A0A5F">
        <w:t>5.14.3.3.3.2-3: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502809" w:rsidRPr="000A0A5F" w:rsidRDefault="00502809" w:rsidP="00502809">
      <w:pPr>
        <w:pStyle w:val="TH"/>
      </w:pPr>
      <w:r w:rsidRPr="000A0A5F">
        <w:t xml:space="preserve">Table 5.14.3.3.3.2-4: Headers supported by the 403 Response Code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502809" w:rsidRPr="000A0A5F" w:rsidTr="00846044">
        <w:trPr>
          <w:jc w:val="center"/>
        </w:trPr>
        <w:tc>
          <w:tcPr>
            <w:tcW w:w="825" w:type="pct"/>
            <w:tcBorders>
              <w:bottom w:val="single" w:sz="6" w:space="0" w:color="auto"/>
            </w:tcBorders>
            <w:shd w:val="clear" w:color="auto" w:fill="C0C0C0"/>
          </w:tcPr>
          <w:p w:rsidR="00502809" w:rsidRPr="000A0A5F" w:rsidRDefault="00502809" w:rsidP="0037730B">
            <w:pPr>
              <w:pStyle w:val="TAH"/>
            </w:pPr>
            <w:r w:rsidRPr="000A0A5F">
              <w:t>Name</w:t>
            </w:r>
          </w:p>
        </w:tc>
        <w:tc>
          <w:tcPr>
            <w:tcW w:w="732" w:type="pct"/>
            <w:tcBorders>
              <w:bottom w:val="single" w:sz="6" w:space="0" w:color="auto"/>
            </w:tcBorders>
            <w:shd w:val="clear" w:color="auto" w:fill="C0C0C0"/>
          </w:tcPr>
          <w:p w:rsidR="00502809" w:rsidRPr="000A0A5F" w:rsidRDefault="00502809" w:rsidP="0037730B">
            <w:pPr>
              <w:pStyle w:val="TAH"/>
            </w:pPr>
            <w:r w:rsidRPr="000A0A5F">
              <w:t>Data type</w:t>
            </w:r>
          </w:p>
        </w:tc>
        <w:tc>
          <w:tcPr>
            <w:tcW w:w="217" w:type="pct"/>
            <w:tcBorders>
              <w:bottom w:val="single" w:sz="6" w:space="0" w:color="auto"/>
            </w:tcBorders>
            <w:shd w:val="clear" w:color="auto" w:fill="C0C0C0"/>
          </w:tcPr>
          <w:p w:rsidR="00502809" w:rsidRPr="000A0A5F" w:rsidRDefault="00502809" w:rsidP="0037730B">
            <w:pPr>
              <w:pStyle w:val="TAH"/>
            </w:pPr>
            <w:r w:rsidRPr="000A0A5F">
              <w:t>P</w:t>
            </w:r>
          </w:p>
        </w:tc>
        <w:tc>
          <w:tcPr>
            <w:tcW w:w="581" w:type="pct"/>
            <w:tcBorders>
              <w:bottom w:val="single" w:sz="6" w:space="0" w:color="auto"/>
            </w:tcBorders>
            <w:shd w:val="clear" w:color="auto" w:fill="C0C0C0"/>
          </w:tcPr>
          <w:p w:rsidR="00502809" w:rsidRPr="000A0A5F" w:rsidRDefault="00502809" w:rsidP="0037730B">
            <w:pPr>
              <w:pStyle w:val="TAH"/>
            </w:pPr>
            <w:r w:rsidRPr="000A0A5F">
              <w:t>Cardinality</w:t>
            </w:r>
          </w:p>
        </w:tc>
        <w:tc>
          <w:tcPr>
            <w:tcW w:w="2645" w:type="pct"/>
            <w:tcBorders>
              <w:bottom w:val="single" w:sz="6" w:space="0" w:color="auto"/>
            </w:tcBorders>
            <w:shd w:val="clear" w:color="auto" w:fill="C0C0C0"/>
            <w:vAlign w:val="center"/>
          </w:tcPr>
          <w:p w:rsidR="00502809" w:rsidRPr="000A0A5F" w:rsidRDefault="00502809" w:rsidP="0037730B">
            <w:pPr>
              <w:pStyle w:val="TAH"/>
            </w:pPr>
            <w:r w:rsidRPr="000A0A5F">
              <w:t>Description</w:t>
            </w:r>
          </w:p>
        </w:tc>
      </w:tr>
      <w:tr w:rsidR="00502809" w:rsidRPr="000A0A5F" w:rsidTr="00846044">
        <w:trPr>
          <w:jc w:val="center"/>
        </w:trPr>
        <w:tc>
          <w:tcPr>
            <w:tcW w:w="825" w:type="pct"/>
            <w:tcBorders>
              <w:top w:val="single" w:sz="6" w:space="0" w:color="auto"/>
            </w:tcBorders>
            <w:shd w:val="clear" w:color="auto" w:fill="auto"/>
          </w:tcPr>
          <w:p w:rsidR="00502809" w:rsidRPr="000A0A5F" w:rsidRDefault="00502809" w:rsidP="0037730B">
            <w:pPr>
              <w:pStyle w:val="TAL"/>
            </w:pPr>
            <w:r w:rsidRPr="000A0A5F">
              <w:t>Retry-After</w:t>
            </w:r>
          </w:p>
        </w:tc>
        <w:tc>
          <w:tcPr>
            <w:tcW w:w="732" w:type="pct"/>
            <w:tcBorders>
              <w:top w:val="single" w:sz="6" w:space="0" w:color="auto"/>
            </w:tcBorders>
          </w:tcPr>
          <w:p w:rsidR="00502809" w:rsidRPr="000A0A5F" w:rsidRDefault="00502809" w:rsidP="0037730B">
            <w:pPr>
              <w:pStyle w:val="TAL"/>
            </w:pPr>
            <w:r w:rsidRPr="000A0A5F">
              <w:t>string</w:t>
            </w:r>
          </w:p>
        </w:tc>
        <w:tc>
          <w:tcPr>
            <w:tcW w:w="217" w:type="pct"/>
            <w:tcBorders>
              <w:top w:val="single" w:sz="6" w:space="0" w:color="auto"/>
            </w:tcBorders>
          </w:tcPr>
          <w:p w:rsidR="00502809" w:rsidRPr="000A0A5F" w:rsidRDefault="00502809" w:rsidP="0037730B">
            <w:pPr>
              <w:pStyle w:val="TAC"/>
            </w:pPr>
            <w:r w:rsidRPr="000A0A5F">
              <w:t>M</w:t>
            </w:r>
          </w:p>
        </w:tc>
        <w:tc>
          <w:tcPr>
            <w:tcW w:w="581" w:type="pct"/>
            <w:tcBorders>
              <w:top w:val="single" w:sz="6" w:space="0" w:color="auto"/>
            </w:tcBorders>
          </w:tcPr>
          <w:p w:rsidR="00502809" w:rsidRPr="000A0A5F" w:rsidRDefault="00502809" w:rsidP="0037730B">
            <w:pPr>
              <w:pStyle w:val="TAL"/>
            </w:pPr>
            <w:r w:rsidRPr="000A0A5F">
              <w:t>1</w:t>
            </w:r>
          </w:p>
        </w:tc>
        <w:tc>
          <w:tcPr>
            <w:tcW w:w="2645" w:type="pct"/>
            <w:tcBorders>
              <w:top w:val="single" w:sz="6" w:space="0" w:color="auto"/>
            </w:tcBorders>
            <w:shd w:val="clear" w:color="auto" w:fill="auto"/>
            <w:vAlign w:val="center"/>
          </w:tcPr>
          <w:p w:rsidR="00502809" w:rsidRPr="000A0A5F" w:rsidRDefault="00502809" w:rsidP="0037730B">
            <w:pPr>
              <w:pStyle w:val="TAL"/>
            </w:pPr>
            <w:r w:rsidRPr="000A0A5F">
              <w:t xml:space="preserve">Indicates the time the </w:t>
            </w:r>
            <w:r w:rsidRPr="000A0A5F">
              <w:rPr>
                <w:noProof/>
              </w:rPr>
              <w:t>NF service consumer</w:t>
            </w:r>
            <w:r w:rsidRPr="000A0A5F">
              <w:t xml:space="preserve"> has to wait before making a new request.</w:t>
            </w:r>
          </w:p>
        </w:tc>
      </w:tr>
    </w:tbl>
    <w:p w:rsidR="00502809" w:rsidRPr="000A0A5F" w:rsidRDefault="00502809"/>
    <w:p w:rsidR="00CB0DD7" w:rsidRPr="000A0A5F" w:rsidRDefault="00CB0DD7">
      <w:pPr>
        <w:pStyle w:val="Heading6"/>
      </w:pPr>
      <w:bookmarkStart w:id="9449" w:name="_Toc11247898"/>
      <w:bookmarkStart w:id="9450" w:name="_Toc27045042"/>
      <w:bookmarkStart w:id="9451" w:name="_Toc36034093"/>
      <w:bookmarkStart w:id="9452" w:name="_Toc45132240"/>
      <w:bookmarkStart w:id="9453" w:name="_Toc49776525"/>
      <w:bookmarkStart w:id="9454" w:name="_Toc51747445"/>
      <w:bookmarkStart w:id="9455" w:name="_Toc66361024"/>
      <w:bookmarkStart w:id="9456" w:name="_Toc68105529"/>
      <w:bookmarkStart w:id="9457" w:name="_Toc74756161"/>
      <w:bookmarkStart w:id="9458" w:name="_Toc105675038"/>
      <w:bookmarkStart w:id="9459" w:name="_Toc130503108"/>
      <w:bookmarkStart w:id="9460" w:name="_Toc153625900"/>
      <w:r w:rsidRPr="000A0A5F">
        <w:t>5.14.3.3.3.3</w:t>
      </w:r>
      <w:r w:rsidRPr="000A0A5F">
        <w:tab/>
        <w:t>PATCH</w:t>
      </w:r>
      <w:bookmarkEnd w:id="9449"/>
      <w:bookmarkEnd w:id="9450"/>
      <w:bookmarkEnd w:id="9451"/>
      <w:bookmarkEnd w:id="9452"/>
      <w:bookmarkEnd w:id="9453"/>
      <w:bookmarkEnd w:id="9454"/>
      <w:bookmarkEnd w:id="9455"/>
      <w:bookmarkEnd w:id="9456"/>
      <w:bookmarkEnd w:id="9457"/>
      <w:bookmarkEnd w:id="9458"/>
      <w:bookmarkEnd w:id="9459"/>
      <w:bookmarkEnd w:id="9460"/>
    </w:p>
    <w:p w:rsidR="00CB0DD7" w:rsidRPr="000A0A5F" w:rsidRDefault="00CB0DD7">
      <w:pPr>
        <w:rPr>
          <w:noProof/>
          <w:lang w:eastAsia="zh-CN"/>
        </w:rPr>
      </w:pPr>
      <w:r w:rsidRPr="000A0A5F">
        <w:rPr>
          <w:noProof/>
          <w:lang w:eastAsia="zh-CN"/>
        </w:rPr>
        <w:t>The PATCH method allows to change the service information of an active subscription.</w:t>
      </w:r>
    </w:p>
    <w:p w:rsidR="00CB0DD7" w:rsidRPr="000A0A5F" w:rsidRDefault="00CB0DD7">
      <w:r w:rsidRPr="000A0A5F">
        <w:t>This method shall support request and response data structures, and response codes, as specified in the table 5.14.3.3.3.3-1.</w:t>
      </w:r>
    </w:p>
    <w:p w:rsidR="00CB0DD7" w:rsidRPr="000A0A5F" w:rsidRDefault="00CB0DD7">
      <w:pPr>
        <w:pStyle w:val="TH"/>
      </w:pPr>
      <w:r w:rsidRPr="000A0A5F">
        <w:t>Table 5.14.3.3.3.3</w:t>
      </w:r>
      <w:r w:rsidRPr="000A0A5F">
        <w:rPr>
          <w:rFonts w:hint="eastAsia"/>
          <w:lang w:eastAsia="zh-CN"/>
        </w:rPr>
        <w:t>-1</w:t>
      </w:r>
      <w:r w:rsidRPr="000A0A5F">
        <w:t xml:space="preserve">: Data structures supported by the </w:t>
      </w:r>
      <w:r w:rsidRPr="000A0A5F">
        <w:rPr>
          <w:rFonts w:hint="eastAsia"/>
          <w:lang w:eastAsia="zh-CN"/>
        </w:rPr>
        <w:t>PATCH</w:t>
      </w:r>
      <w:r w:rsidRPr="000A0A5F">
        <w:t xml:space="preserve"> request/response by the resource</w:t>
      </w:r>
    </w:p>
    <w:tbl>
      <w:tblPr>
        <w:tblW w:w="4999" w:type="pct"/>
        <w:tblInd w:w="1" w:type="dxa"/>
        <w:tblBorders>
          <w:top w:val="single" w:sz="6" w:space="0" w:color="000000"/>
          <w:left w:val="single" w:sz="6" w:space="0" w:color="000000"/>
          <w:bottom w:val="single" w:sz="6" w:space="0" w:color="000000"/>
          <w:right w:val="single" w:sz="6" w:space="0" w:color="000000"/>
          <w:insideH w:val="single" w:sz="6" w:space="0" w:color="auto"/>
          <w:insideV w:val="single" w:sz="6" w:space="0" w:color="000000"/>
        </w:tblBorders>
        <w:tblLayout w:type="fixed"/>
        <w:tblCellMar>
          <w:top w:w="45" w:type="dxa"/>
          <w:left w:w="45" w:type="dxa"/>
          <w:bottom w:w="45" w:type="dxa"/>
          <w:right w:w="45" w:type="dxa"/>
        </w:tblCellMar>
        <w:tblLook w:val="0000" w:firstRow="0" w:lastRow="0" w:firstColumn="0" w:lastColumn="0" w:noHBand="0" w:noVBand="0"/>
      </w:tblPr>
      <w:tblGrid>
        <w:gridCol w:w="1035"/>
        <w:gridCol w:w="2127"/>
        <w:gridCol w:w="1053"/>
        <w:gridCol w:w="973"/>
        <w:gridCol w:w="4541"/>
      </w:tblGrid>
      <w:tr w:rsidR="00CB0DD7" w:rsidRPr="000A0A5F" w:rsidTr="000616DB">
        <w:tc>
          <w:tcPr>
            <w:tcW w:w="532" w:type="pct"/>
            <w:vMerge w:val="restart"/>
            <w:shd w:val="clear" w:color="auto" w:fill="C0C0C0"/>
            <w:vAlign w:val="center"/>
          </w:tcPr>
          <w:p w:rsidR="00CB0DD7" w:rsidRPr="000A0A5F" w:rsidRDefault="00CB0DD7">
            <w:pPr>
              <w:pStyle w:val="TAH"/>
            </w:pPr>
            <w:r w:rsidRPr="000A0A5F">
              <w:t>Request body</w:t>
            </w:r>
          </w:p>
        </w:tc>
        <w:tc>
          <w:tcPr>
            <w:tcW w:w="1093" w:type="pct"/>
            <w:shd w:val="clear" w:color="auto" w:fill="C0C0C0"/>
          </w:tcPr>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r w:rsidRPr="000A0A5F">
              <w:t>Cardinality</w:t>
            </w:r>
          </w:p>
        </w:tc>
        <w:tc>
          <w:tcPr>
            <w:tcW w:w="2834" w:type="pct"/>
            <w:gridSpan w:val="2"/>
            <w:shd w:val="clear" w:color="auto" w:fill="C0C0C0"/>
          </w:tcPr>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rPr>
                <w:rFonts w:hint="eastAsia"/>
                <w:lang w:eastAsia="zh-CN"/>
              </w:rPr>
            </w:pPr>
            <w:r w:rsidRPr="000A0A5F">
              <w:t>AsSessionWithQoSSubscriptionPatch</w:t>
            </w:r>
          </w:p>
        </w:tc>
        <w:tc>
          <w:tcPr>
            <w:tcW w:w="541" w:type="pct"/>
          </w:tcPr>
          <w:p w:rsidR="00CB0DD7" w:rsidRPr="000A0A5F" w:rsidRDefault="00CB0DD7">
            <w:pPr>
              <w:pStyle w:val="TAL"/>
            </w:pPr>
            <w:r w:rsidRPr="000A0A5F">
              <w:t>1</w:t>
            </w:r>
          </w:p>
        </w:tc>
        <w:tc>
          <w:tcPr>
            <w:tcW w:w="2834" w:type="pct"/>
            <w:gridSpan w:val="2"/>
          </w:tcPr>
          <w:p w:rsidR="00CB0DD7" w:rsidRPr="000A0A5F" w:rsidRDefault="00CB0DD7">
            <w:pPr>
              <w:pStyle w:val="TAL"/>
            </w:pPr>
            <w:r w:rsidRPr="000A0A5F">
              <w:t>Partial update of an AS session with required QoS.</w:t>
            </w:r>
          </w:p>
        </w:tc>
      </w:tr>
      <w:tr w:rsidR="006219BB" w:rsidRPr="000A0A5F" w:rsidTr="000616DB">
        <w:tc>
          <w:tcPr>
            <w:tcW w:w="532" w:type="pct"/>
            <w:vMerge w:val="restart"/>
            <w:shd w:val="clear" w:color="auto" w:fill="C0C0C0"/>
            <w:vAlign w:val="center"/>
          </w:tcPr>
          <w:p w:rsidR="006219BB" w:rsidRPr="000A0A5F" w:rsidRDefault="006219BB">
            <w:pPr>
              <w:pStyle w:val="TAH"/>
            </w:pPr>
            <w:r w:rsidRPr="000A0A5F">
              <w:t>Response body</w:t>
            </w:r>
          </w:p>
        </w:tc>
        <w:tc>
          <w:tcPr>
            <w:tcW w:w="1093" w:type="pct"/>
            <w:shd w:val="clear" w:color="auto" w:fill="C0C0C0"/>
          </w:tcPr>
          <w:p w:rsidR="006219BB" w:rsidRPr="000A0A5F" w:rsidRDefault="006219BB">
            <w:pPr>
              <w:pStyle w:val="TAH"/>
            </w:pPr>
          </w:p>
          <w:p w:rsidR="006219BB" w:rsidRPr="000A0A5F" w:rsidRDefault="006219BB">
            <w:pPr>
              <w:pStyle w:val="TAH"/>
            </w:pPr>
            <w:r w:rsidRPr="000A0A5F">
              <w:t>Data type</w:t>
            </w:r>
          </w:p>
        </w:tc>
        <w:tc>
          <w:tcPr>
            <w:tcW w:w="541" w:type="pct"/>
            <w:shd w:val="clear" w:color="auto" w:fill="C0C0C0"/>
          </w:tcPr>
          <w:p w:rsidR="006219BB" w:rsidRPr="000A0A5F" w:rsidRDefault="006219BB">
            <w:pPr>
              <w:pStyle w:val="TAH"/>
            </w:pPr>
          </w:p>
          <w:p w:rsidR="006219BB" w:rsidRPr="000A0A5F" w:rsidRDefault="006219BB">
            <w:pPr>
              <w:pStyle w:val="TAH"/>
            </w:pPr>
            <w:r w:rsidRPr="000A0A5F">
              <w:t>Cardinality</w:t>
            </w:r>
          </w:p>
        </w:tc>
        <w:tc>
          <w:tcPr>
            <w:tcW w:w="500" w:type="pct"/>
            <w:shd w:val="clear" w:color="auto" w:fill="C0C0C0"/>
          </w:tcPr>
          <w:p w:rsidR="006219BB" w:rsidRPr="000A0A5F" w:rsidRDefault="006219BB">
            <w:pPr>
              <w:pStyle w:val="TAH"/>
            </w:pPr>
            <w:r w:rsidRPr="000A0A5F">
              <w:t>Response</w:t>
            </w:r>
          </w:p>
          <w:p w:rsidR="006219BB" w:rsidRPr="000A0A5F" w:rsidRDefault="006219BB">
            <w:pPr>
              <w:pStyle w:val="TAH"/>
            </w:pPr>
            <w:r w:rsidRPr="000A0A5F">
              <w:t>codes</w:t>
            </w:r>
          </w:p>
        </w:tc>
        <w:tc>
          <w:tcPr>
            <w:tcW w:w="2334" w:type="pct"/>
            <w:shd w:val="clear" w:color="auto" w:fill="C0C0C0"/>
          </w:tcPr>
          <w:p w:rsidR="006219BB" w:rsidRPr="000A0A5F" w:rsidRDefault="006219BB">
            <w:pPr>
              <w:pStyle w:val="TAH"/>
            </w:pPr>
          </w:p>
          <w:p w:rsidR="006219BB" w:rsidRPr="000A0A5F" w:rsidRDefault="006219BB">
            <w:pPr>
              <w:pStyle w:val="TAH"/>
            </w:pPr>
            <w:r w:rsidRPr="000A0A5F">
              <w:t>Remarks</w:t>
            </w:r>
          </w:p>
        </w:tc>
      </w:tr>
      <w:tr w:rsidR="006219BB" w:rsidRPr="000A0A5F" w:rsidTr="00FF0AF8">
        <w:tc>
          <w:tcPr>
            <w:tcW w:w="532" w:type="pct"/>
            <w:vMerge/>
            <w:shd w:val="clear" w:color="auto" w:fill="BFBFBF"/>
            <w:vAlign w:val="center"/>
          </w:tcPr>
          <w:p w:rsidR="006219BB" w:rsidRPr="000A0A5F" w:rsidRDefault="006219BB">
            <w:pPr>
              <w:pStyle w:val="TAL"/>
              <w:jc w:val="center"/>
            </w:pPr>
          </w:p>
        </w:tc>
        <w:tc>
          <w:tcPr>
            <w:tcW w:w="1093" w:type="pct"/>
            <w:shd w:val="clear" w:color="auto" w:fill="auto"/>
          </w:tcPr>
          <w:p w:rsidR="006219BB" w:rsidRPr="000A0A5F" w:rsidRDefault="006219BB">
            <w:pPr>
              <w:pStyle w:val="TAL"/>
              <w:rPr>
                <w:rFonts w:hint="eastAsia"/>
                <w:lang w:eastAsia="zh-CN"/>
              </w:rPr>
            </w:pPr>
            <w:r w:rsidRPr="000A0A5F">
              <w:t>AsSessionWithQoSSubscription</w:t>
            </w:r>
          </w:p>
        </w:tc>
        <w:tc>
          <w:tcPr>
            <w:tcW w:w="541" w:type="pct"/>
          </w:tcPr>
          <w:p w:rsidR="006219BB" w:rsidRPr="000A0A5F" w:rsidRDefault="006219BB">
            <w:pPr>
              <w:pStyle w:val="TAL"/>
              <w:rPr>
                <w:rFonts w:hint="eastAsia"/>
                <w:lang w:eastAsia="zh-CN"/>
              </w:rPr>
            </w:pPr>
            <w:r w:rsidRPr="000A0A5F">
              <w:rPr>
                <w:rFonts w:hint="eastAsia"/>
                <w:lang w:eastAsia="zh-CN"/>
              </w:rPr>
              <w:t>1</w:t>
            </w:r>
          </w:p>
        </w:tc>
        <w:tc>
          <w:tcPr>
            <w:tcW w:w="500" w:type="pct"/>
          </w:tcPr>
          <w:p w:rsidR="006219BB" w:rsidRPr="000A0A5F" w:rsidRDefault="006219BB">
            <w:pPr>
              <w:pStyle w:val="TAL"/>
              <w:rPr>
                <w:rFonts w:hint="eastAsia"/>
                <w:lang w:eastAsia="zh-CN"/>
              </w:rPr>
            </w:pPr>
            <w:r w:rsidRPr="000A0A5F">
              <w:t>20</w:t>
            </w:r>
            <w:r w:rsidRPr="000A0A5F">
              <w:rPr>
                <w:rFonts w:hint="eastAsia"/>
                <w:lang w:eastAsia="zh-CN"/>
              </w:rPr>
              <w:t>0 OK</w:t>
            </w:r>
          </w:p>
        </w:tc>
        <w:tc>
          <w:tcPr>
            <w:tcW w:w="2334" w:type="pct"/>
          </w:tcPr>
          <w:p w:rsidR="006219BB" w:rsidRPr="000A0A5F" w:rsidRDefault="006219BB">
            <w:pPr>
              <w:pStyle w:val="TAL"/>
            </w:pPr>
            <w:r w:rsidRPr="000A0A5F">
              <w:t xml:space="preserve">The </w:t>
            </w:r>
            <w:r w:rsidRPr="000A0A5F">
              <w:rPr>
                <w:rFonts w:hint="eastAsia"/>
                <w:lang w:eastAsia="zh-CN"/>
              </w:rPr>
              <w:t>subscription</w:t>
            </w:r>
            <w:r w:rsidRPr="000A0A5F">
              <w:t xml:space="preserve"> was </w:t>
            </w:r>
            <w:r w:rsidRPr="000A0A5F">
              <w:rPr>
                <w:rFonts w:hint="eastAsia"/>
                <w:lang w:eastAsia="zh-CN"/>
              </w:rPr>
              <w:t>modified</w:t>
            </w:r>
            <w:r w:rsidRPr="000A0A5F">
              <w:t xml:space="preserve"> successfully. </w:t>
            </w:r>
          </w:p>
          <w:p w:rsidR="006219BB" w:rsidRPr="000A0A5F" w:rsidRDefault="006219BB">
            <w:pPr>
              <w:pStyle w:val="TAL"/>
            </w:pPr>
          </w:p>
          <w:p w:rsidR="006219BB" w:rsidRPr="000A0A5F" w:rsidRDefault="0089739F">
            <w:pPr>
              <w:pStyle w:val="TAL"/>
              <w:rPr>
                <w:rFonts w:hint="eastAsia"/>
                <w:lang w:eastAsia="zh-CN"/>
              </w:rPr>
            </w:pPr>
            <w:r w:rsidRPr="000A0A5F">
              <w:t xml:space="preserve">The SCEF </w:t>
            </w:r>
            <w:r w:rsidRPr="000A0A5F">
              <w:rPr>
                <w:rFonts w:hint="eastAsia"/>
                <w:lang w:eastAsia="zh-CN"/>
              </w:rPr>
              <w:t>shall</w:t>
            </w:r>
            <w:r w:rsidRPr="000A0A5F">
              <w:t xml:space="preserve"> return an updated subscription in the response content.</w:t>
            </w:r>
          </w:p>
        </w:tc>
      </w:tr>
      <w:tr w:rsidR="006219BB" w:rsidRPr="000A0A5F" w:rsidTr="00FF0AF8">
        <w:tc>
          <w:tcPr>
            <w:tcW w:w="532" w:type="pct"/>
            <w:vMerge/>
            <w:shd w:val="clear" w:color="auto" w:fill="BFBFBF"/>
            <w:vAlign w:val="center"/>
          </w:tcPr>
          <w:p w:rsidR="006219BB" w:rsidRPr="000A0A5F" w:rsidRDefault="006219BB">
            <w:pPr>
              <w:pStyle w:val="TAL"/>
              <w:jc w:val="center"/>
            </w:pPr>
          </w:p>
        </w:tc>
        <w:tc>
          <w:tcPr>
            <w:tcW w:w="1093" w:type="pct"/>
            <w:shd w:val="clear" w:color="auto" w:fill="auto"/>
          </w:tcPr>
          <w:p w:rsidR="006219BB" w:rsidRPr="000A0A5F" w:rsidRDefault="006219BB">
            <w:pPr>
              <w:pStyle w:val="TAL"/>
            </w:pPr>
            <w:r w:rsidRPr="000A0A5F">
              <w:t>none</w:t>
            </w:r>
          </w:p>
        </w:tc>
        <w:tc>
          <w:tcPr>
            <w:tcW w:w="541" w:type="pct"/>
          </w:tcPr>
          <w:p w:rsidR="006219BB" w:rsidRPr="000A0A5F" w:rsidRDefault="006219BB">
            <w:pPr>
              <w:pStyle w:val="TAL"/>
              <w:rPr>
                <w:rFonts w:hint="eastAsia"/>
                <w:lang w:eastAsia="zh-CN"/>
              </w:rPr>
            </w:pPr>
          </w:p>
        </w:tc>
        <w:tc>
          <w:tcPr>
            <w:tcW w:w="500" w:type="pct"/>
          </w:tcPr>
          <w:p w:rsidR="006219BB" w:rsidRPr="000A0A5F" w:rsidRDefault="006219BB">
            <w:pPr>
              <w:pStyle w:val="TAL"/>
            </w:pPr>
            <w:r w:rsidRPr="000A0A5F">
              <w:rPr>
                <w:rFonts w:hint="eastAsia"/>
                <w:lang w:eastAsia="zh-CN"/>
              </w:rPr>
              <w:t>2</w:t>
            </w:r>
            <w:r w:rsidRPr="000A0A5F">
              <w:rPr>
                <w:lang w:eastAsia="zh-CN"/>
              </w:rPr>
              <w:t>04 No Content</w:t>
            </w:r>
          </w:p>
        </w:tc>
        <w:tc>
          <w:tcPr>
            <w:tcW w:w="2334" w:type="pct"/>
          </w:tcPr>
          <w:p w:rsidR="006219BB" w:rsidRPr="000A0A5F" w:rsidRDefault="006219BB">
            <w:pPr>
              <w:pStyle w:val="TAL"/>
            </w:pPr>
            <w:r w:rsidRPr="000A0A5F">
              <w:t xml:space="preserve">The subscription was </w:t>
            </w:r>
            <w:r w:rsidRPr="000A0A5F">
              <w:rPr>
                <w:rFonts w:hint="eastAsia"/>
                <w:lang w:eastAsia="zh-CN"/>
              </w:rPr>
              <w:t>modified</w:t>
            </w:r>
            <w:r w:rsidRPr="000A0A5F">
              <w:t xml:space="preserve"> successfully.</w:t>
            </w:r>
          </w:p>
        </w:tc>
      </w:tr>
      <w:tr w:rsidR="006219BB" w:rsidRPr="000A0A5F" w:rsidTr="00FF0AF8">
        <w:tc>
          <w:tcPr>
            <w:tcW w:w="532" w:type="pct"/>
            <w:vMerge/>
            <w:shd w:val="clear" w:color="auto" w:fill="BFBFBF"/>
            <w:vAlign w:val="center"/>
          </w:tcPr>
          <w:p w:rsidR="006219BB" w:rsidRPr="000A0A5F" w:rsidRDefault="006219BB">
            <w:pPr>
              <w:pStyle w:val="TAL"/>
              <w:jc w:val="center"/>
            </w:pPr>
          </w:p>
        </w:tc>
        <w:tc>
          <w:tcPr>
            <w:tcW w:w="1093" w:type="pct"/>
            <w:shd w:val="clear" w:color="auto" w:fill="auto"/>
          </w:tcPr>
          <w:p w:rsidR="006219BB" w:rsidRPr="000A0A5F" w:rsidRDefault="006219BB">
            <w:pPr>
              <w:pStyle w:val="TAL"/>
            </w:pPr>
            <w:r w:rsidRPr="000A0A5F">
              <w:t>none</w:t>
            </w:r>
          </w:p>
        </w:tc>
        <w:tc>
          <w:tcPr>
            <w:tcW w:w="541" w:type="pct"/>
          </w:tcPr>
          <w:p w:rsidR="006219BB" w:rsidRPr="000A0A5F" w:rsidRDefault="006219BB">
            <w:pPr>
              <w:pStyle w:val="TAL"/>
              <w:rPr>
                <w:rFonts w:hint="eastAsia"/>
                <w:lang w:eastAsia="zh-CN"/>
              </w:rPr>
            </w:pPr>
          </w:p>
        </w:tc>
        <w:tc>
          <w:tcPr>
            <w:tcW w:w="500" w:type="pct"/>
          </w:tcPr>
          <w:p w:rsidR="006219BB" w:rsidRPr="000A0A5F" w:rsidRDefault="006219BB">
            <w:pPr>
              <w:pStyle w:val="TAL"/>
            </w:pPr>
            <w:r w:rsidRPr="000A0A5F">
              <w:t>307 Temporary Redirect</w:t>
            </w:r>
          </w:p>
        </w:tc>
        <w:tc>
          <w:tcPr>
            <w:tcW w:w="2334" w:type="pct"/>
          </w:tcPr>
          <w:p w:rsidR="006219BB" w:rsidRPr="000A0A5F" w:rsidRDefault="006219BB">
            <w:pPr>
              <w:pStyle w:val="TAL"/>
            </w:pPr>
            <w:r w:rsidRPr="000A0A5F">
              <w:t>Temporary redirection, during subscription modification. The response shall include a Location header field containing an alternative URI of the resource located in an alternative SCEF.</w:t>
            </w:r>
          </w:p>
          <w:p w:rsidR="006219BB" w:rsidRPr="000A0A5F" w:rsidRDefault="006219BB">
            <w:pPr>
              <w:pStyle w:val="TAL"/>
            </w:pPr>
            <w:r w:rsidRPr="000A0A5F">
              <w:t>Redirection handling is described in clause 5.2.10.</w:t>
            </w:r>
          </w:p>
        </w:tc>
      </w:tr>
      <w:tr w:rsidR="006219BB" w:rsidRPr="000A0A5F" w:rsidTr="00FF0AF8">
        <w:tc>
          <w:tcPr>
            <w:tcW w:w="532" w:type="pct"/>
            <w:vMerge/>
            <w:shd w:val="clear" w:color="auto" w:fill="BFBFBF"/>
            <w:vAlign w:val="center"/>
          </w:tcPr>
          <w:p w:rsidR="006219BB" w:rsidRPr="000A0A5F" w:rsidRDefault="006219BB">
            <w:pPr>
              <w:pStyle w:val="TAL"/>
              <w:jc w:val="center"/>
            </w:pPr>
          </w:p>
        </w:tc>
        <w:tc>
          <w:tcPr>
            <w:tcW w:w="1093" w:type="pct"/>
            <w:shd w:val="clear" w:color="auto" w:fill="auto"/>
          </w:tcPr>
          <w:p w:rsidR="006219BB" w:rsidRPr="000A0A5F" w:rsidRDefault="006219BB">
            <w:pPr>
              <w:pStyle w:val="TAL"/>
            </w:pPr>
            <w:r w:rsidRPr="000A0A5F">
              <w:t>none</w:t>
            </w:r>
          </w:p>
        </w:tc>
        <w:tc>
          <w:tcPr>
            <w:tcW w:w="541" w:type="pct"/>
          </w:tcPr>
          <w:p w:rsidR="006219BB" w:rsidRPr="000A0A5F" w:rsidRDefault="006219BB">
            <w:pPr>
              <w:pStyle w:val="TAL"/>
              <w:rPr>
                <w:rFonts w:hint="eastAsia"/>
                <w:lang w:eastAsia="zh-CN"/>
              </w:rPr>
            </w:pPr>
          </w:p>
        </w:tc>
        <w:tc>
          <w:tcPr>
            <w:tcW w:w="500" w:type="pct"/>
          </w:tcPr>
          <w:p w:rsidR="006219BB" w:rsidRPr="000A0A5F" w:rsidRDefault="006219BB">
            <w:pPr>
              <w:pStyle w:val="TAL"/>
            </w:pPr>
            <w:r w:rsidRPr="000A0A5F">
              <w:t>308 Permanent Redirect</w:t>
            </w:r>
          </w:p>
        </w:tc>
        <w:tc>
          <w:tcPr>
            <w:tcW w:w="2334" w:type="pct"/>
          </w:tcPr>
          <w:p w:rsidR="006219BB" w:rsidRPr="000A0A5F" w:rsidRDefault="006219BB">
            <w:pPr>
              <w:pStyle w:val="TAL"/>
            </w:pPr>
            <w:r w:rsidRPr="000A0A5F">
              <w:t>Permanent redirection, during subscription modification. The response shall include a Location header field containing an alternative URI of the resource located in an alternative SCEF.</w:t>
            </w:r>
          </w:p>
          <w:p w:rsidR="006219BB" w:rsidRPr="000A0A5F" w:rsidRDefault="006219BB">
            <w:pPr>
              <w:pStyle w:val="TAL"/>
            </w:pPr>
            <w:r w:rsidRPr="000A0A5F">
              <w:t>Redirection handling is described in clause 5.2.10.</w:t>
            </w:r>
          </w:p>
        </w:tc>
      </w:tr>
      <w:tr w:rsidR="006219BB" w:rsidRPr="000A0A5F" w:rsidTr="00FF0AF8">
        <w:tc>
          <w:tcPr>
            <w:tcW w:w="532" w:type="pct"/>
            <w:vMerge/>
            <w:shd w:val="clear" w:color="auto" w:fill="BFBFBF"/>
            <w:vAlign w:val="center"/>
          </w:tcPr>
          <w:p w:rsidR="006219BB" w:rsidRPr="000A0A5F" w:rsidRDefault="006219BB" w:rsidP="008B5011">
            <w:pPr>
              <w:pStyle w:val="TAL"/>
              <w:jc w:val="center"/>
            </w:pPr>
          </w:p>
        </w:tc>
        <w:tc>
          <w:tcPr>
            <w:tcW w:w="1093" w:type="pct"/>
            <w:shd w:val="clear" w:color="auto" w:fill="auto"/>
          </w:tcPr>
          <w:p w:rsidR="006219BB" w:rsidRPr="000A0A5F" w:rsidRDefault="006219BB" w:rsidP="008B5011">
            <w:pPr>
              <w:pStyle w:val="TAL"/>
            </w:pPr>
            <w:r w:rsidRPr="000A0A5F">
              <w:t>ProblemDetailsAsSessionWithQos</w:t>
            </w:r>
          </w:p>
        </w:tc>
        <w:tc>
          <w:tcPr>
            <w:tcW w:w="541" w:type="pct"/>
          </w:tcPr>
          <w:p w:rsidR="006219BB" w:rsidRPr="000A0A5F" w:rsidRDefault="006219BB" w:rsidP="008B5011">
            <w:pPr>
              <w:pStyle w:val="TAL"/>
              <w:rPr>
                <w:rFonts w:hint="eastAsia"/>
                <w:lang w:eastAsia="zh-CN"/>
              </w:rPr>
            </w:pPr>
            <w:r w:rsidRPr="000A0A5F">
              <w:rPr>
                <w:lang w:eastAsia="zh-CN"/>
              </w:rPr>
              <w:t>0..1</w:t>
            </w:r>
          </w:p>
        </w:tc>
        <w:tc>
          <w:tcPr>
            <w:tcW w:w="500" w:type="pct"/>
          </w:tcPr>
          <w:p w:rsidR="006219BB" w:rsidRPr="000A0A5F" w:rsidRDefault="006219BB" w:rsidP="008B5011">
            <w:pPr>
              <w:pStyle w:val="TAL"/>
            </w:pPr>
            <w:r w:rsidRPr="000A0A5F">
              <w:rPr>
                <w:lang w:eastAsia="zh-CN"/>
              </w:rPr>
              <w:t>403 Forbidden</w:t>
            </w:r>
          </w:p>
        </w:tc>
        <w:tc>
          <w:tcPr>
            <w:tcW w:w="2334" w:type="pct"/>
          </w:tcPr>
          <w:p w:rsidR="006219BB" w:rsidRPr="000A0A5F" w:rsidRDefault="006219BB" w:rsidP="008B5011">
            <w:pPr>
              <w:pStyle w:val="TAL"/>
            </w:pPr>
            <w:r w:rsidRPr="000A0A5F">
              <w:t>(NOTE 2)</w:t>
            </w:r>
          </w:p>
        </w:tc>
      </w:tr>
      <w:tr w:rsidR="006219BB" w:rsidRPr="000A0A5F" w:rsidTr="00FF0AF8">
        <w:tc>
          <w:tcPr>
            <w:tcW w:w="532" w:type="pct"/>
            <w:vMerge/>
            <w:shd w:val="clear" w:color="auto" w:fill="BFBFBF"/>
            <w:vAlign w:val="center"/>
          </w:tcPr>
          <w:p w:rsidR="006219BB" w:rsidRPr="000A0A5F" w:rsidRDefault="006219BB" w:rsidP="006219BB">
            <w:pPr>
              <w:pStyle w:val="TAL"/>
              <w:jc w:val="center"/>
            </w:pPr>
          </w:p>
        </w:tc>
        <w:tc>
          <w:tcPr>
            <w:tcW w:w="1093" w:type="pct"/>
            <w:shd w:val="clear" w:color="auto" w:fill="auto"/>
          </w:tcPr>
          <w:p w:rsidR="006219BB" w:rsidRPr="000A0A5F" w:rsidRDefault="006219BB" w:rsidP="006219BB">
            <w:pPr>
              <w:pStyle w:val="TAL"/>
            </w:pPr>
            <w:r w:rsidRPr="000A0A5F">
              <w:t>ProblemDetails</w:t>
            </w:r>
          </w:p>
        </w:tc>
        <w:tc>
          <w:tcPr>
            <w:tcW w:w="541" w:type="pct"/>
          </w:tcPr>
          <w:p w:rsidR="006219BB" w:rsidRPr="000A0A5F" w:rsidRDefault="006219BB" w:rsidP="006219BB">
            <w:pPr>
              <w:pStyle w:val="TAL"/>
              <w:rPr>
                <w:lang w:eastAsia="zh-CN"/>
              </w:rPr>
            </w:pPr>
            <w:r w:rsidRPr="000A0A5F">
              <w:t>0..1</w:t>
            </w:r>
          </w:p>
        </w:tc>
        <w:tc>
          <w:tcPr>
            <w:tcW w:w="500" w:type="pct"/>
          </w:tcPr>
          <w:p w:rsidR="006219BB" w:rsidRPr="000A0A5F" w:rsidRDefault="006219BB" w:rsidP="006219BB">
            <w:pPr>
              <w:pStyle w:val="TAL"/>
              <w:rPr>
                <w:lang w:eastAsia="zh-CN"/>
              </w:rPr>
            </w:pPr>
            <w:r w:rsidRPr="000A0A5F">
              <w:t>403 Forbidden</w:t>
            </w:r>
          </w:p>
        </w:tc>
        <w:tc>
          <w:tcPr>
            <w:tcW w:w="2334" w:type="pct"/>
          </w:tcPr>
          <w:p w:rsidR="006219BB" w:rsidRPr="000A0A5F" w:rsidRDefault="006219BB" w:rsidP="006219BB">
            <w:pPr>
              <w:pStyle w:val="TAL"/>
            </w:pPr>
            <w:r w:rsidRPr="000A0A5F">
              <w:t>(NOTE </w:t>
            </w:r>
            <w:r w:rsidR="008C3F3F" w:rsidRPr="000A0A5F">
              <w:t>2</w:t>
            </w:r>
            <w:r w:rsidRPr="000A0A5F">
              <w:t>)</w:t>
            </w:r>
          </w:p>
        </w:tc>
      </w:tr>
      <w:tr w:rsidR="006219BB" w:rsidRPr="000A0A5F" w:rsidTr="00FF0AF8">
        <w:tc>
          <w:tcPr>
            <w:tcW w:w="5000" w:type="pct"/>
            <w:gridSpan w:val="5"/>
            <w:shd w:val="clear" w:color="auto" w:fill="auto"/>
            <w:vAlign w:val="center"/>
          </w:tcPr>
          <w:p w:rsidR="006219BB" w:rsidRPr="000A0A5F" w:rsidRDefault="006219BB" w:rsidP="006219BB">
            <w:pPr>
              <w:pStyle w:val="TAN"/>
            </w:pPr>
            <w:r w:rsidRPr="000A0A5F">
              <w:t>NOTE 1:</w:t>
            </w:r>
            <w:r w:rsidRPr="000A0A5F">
              <w:tab/>
              <w:t>The mandatory HTTP error status codes for the PATCH method listed in table 5.2.6-1 also apply.</w:t>
            </w:r>
          </w:p>
          <w:p w:rsidR="00D84ED4" w:rsidRPr="000A0A5F" w:rsidRDefault="006219BB" w:rsidP="00BF174A">
            <w:pPr>
              <w:pStyle w:val="TAN"/>
              <w:rPr>
                <w:rFonts w:hint="eastAsia"/>
                <w:lang w:eastAsia="zh-CN"/>
              </w:rPr>
            </w:pPr>
            <w:r w:rsidRPr="000A0A5F">
              <w:t>NOTE 2:</w:t>
            </w:r>
            <w:r w:rsidRPr="000A0A5F">
              <w:tab/>
              <w:t>Failure cases are described in clause 5.14.5.3.</w:t>
            </w:r>
          </w:p>
        </w:tc>
      </w:tr>
    </w:tbl>
    <w:p w:rsidR="00CB0DD7" w:rsidRPr="000A0A5F" w:rsidRDefault="00CB0DD7"/>
    <w:p w:rsidR="00CB0DD7" w:rsidRPr="000A0A5F" w:rsidRDefault="002E466A">
      <w:pPr>
        <w:pStyle w:val="TH"/>
      </w:pPr>
      <w:r w:rsidRPr="000A0A5F">
        <w:t>Table </w:t>
      </w:r>
      <w:r w:rsidR="00CB0DD7" w:rsidRPr="000A0A5F">
        <w:t>5.14.3.3.3.3-2: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2E466A">
      <w:pPr>
        <w:pStyle w:val="TH"/>
      </w:pPr>
      <w:r w:rsidRPr="000A0A5F">
        <w:t>Table </w:t>
      </w:r>
      <w:r w:rsidR="00CB0DD7" w:rsidRPr="000A0A5F">
        <w:t>5.14.3.3.3.3-3: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8B5011" w:rsidRPr="000A0A5F" w:rsidRDefault="008B5011" w:rsidP="008B5011">
      <w:pPr>
        <w:pStyle w:val="TH"/>
      </w:pPr>
      <w:r w:rsidRPr="000A0A5F">
        <w:t xml:space="preserve">Table 5.14.3.3.3.3-4: Headers supported by the 403 Response Code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8B5011" w:rsidRPr="000A0A5F" w:rsidTr="00846044">
        <w:trPr>
          <w:jc w:val="center"/>
        </w:trPr>
        <w:tc>
          <w:tcPr>
            <w:tcW w:w="825" w:type="pct"/>
            <w:tcBorders>
              <w:bottom w:val="single" w:sz="6" w:space="0" w:color="auto"/>
            </w:tcBorders>
            <w:shd w:val="clear" w:color="auto" w:fill="C0C0C0"/>
          </w:tcPr>
          <w:p w:rsidR="008B5011" w:rsidRPr="000A0A5F" w:rsidRDefault="008B5011" w:rsidP="0037730B">
            <w:pPr>
              <w:pStyle w:val="TAH"/>
            </w:pPr>
            <w:r w:rsidRPr="000A0A5F">
              <w:t>Name</w:t>
            </w:r>
          </w:p>
        </w:tc>
        <w:tc>
          <w:tcPr>
            <w:tcW w:w="732" w:type="pct"/>
            <w:tcBorders>
              <w:bottom w:val="single" w:sz="6" w:space="0" w:color="auto"/>
            </w:tcBorders>
            <w:shd w:val="clear" w:color="auto" w:fill="C0C0C0"/>
          </w:tcPr>
          <w:p w:rsidR="008B5011" w:rsidRPr="000A0A5F" w:rsidRDefault="008B5011" w:rsidP="0037730B">
            <w:pPr>
              <w:pStyle w:val="TAH"/>
            </w:pPr>
            <w:r w:rsidRPr="000A0A5F">
              <w:t>Data type</w:t>
            </w:r>
          </w:p>
        </w:tc>
        <w:tc>
          <w:tcPr>
            <w:tcW w:w="217" w:type="pct"/>
            <w:tcBorders>
              <w:bottom w:val="single" w:sz="6" w:space="0" w:color="auto"/>
            </w:tcBorders>
            <w:shd w:val="clear" w:color="auto" w:fill="C0C0C0"/>
          </w:tcPr>
          <w:p w:rsidR="008B5011" w:rsidRPr="000A0A5F" w:rsidRDefault="008B5011" w:rsidP="0037730B">
            <w:pPr>
              <w:pStyle w:val="TAH"/>
            </w:pPr>
            <w:r w:rsidRPr="000A0A5F">
              <w:t>P</w:t>
            </w:r>
          </w:p>
        </w:tc>
        <w:tc>
          <w:tcPr>
            <w:tcW w:w="581" w:type="pct"/>
            <w:tcBorders>
              <w:bottom w:val="single" w:sz="6" w:space="0" w:color="auto"/>
            </w:tcBorders>
            <w:shd w:val="clear" w:color="auto" w:fill="C0C0C0"/>
          </w:tcPr>
          <w:p w:rsidR="008B5011" w:rsidRPr="000A0A5F" w:rsidRDefault="008B5011" w:rsidP="0037730B">
            <w:pPr>
              <w:pStyle w:val="TAH"/>
            </w:pPr>
            <w:r w:rsidRPr="000A0A5F">
              <w:t>Cardinality</w:t>
            </w:r>
          </w:p>
        </w:tc>
        <w:tc>
          <w:tcPr>
            <w:tcW w:w="2645" w:type="pct"/>
            <w:tcBorders>
              <w:bottom w:val="single" w:sz="6" w:space="0" w:color="auto"/>
            </w:tcBorders>
            <w:shd w:val="clear" w:color="auto" w:fill="C0C0C0"/>
            <w:vAlign w:val="center"/>
          </w:tcPr>
          <w:p w:rsidR="008B5011" w:rsidRPr="000A0A5F" w:rsidRDefault="008B5011" w:rsidP="0037730B">
            <w:pPr>
              <w:pStyle w:val="TAH"/>
            </w:pPr>
            <w:r w:rsidRPr="000A0A5F">
              <w:t>Description</w:t>
            </w:r>
          </w:p>
        </w:tc>
      </w:tr>
      <w:tr w:rsidR="008B5011" w:rsidRPr="000A0A5F" w:rsidTr="00846044">
        <w:trPr>
          <w:jc w:val="center"/>
        </w:trPr>
        <w:tc>
          <w:tcPr>
            <w:tcW w:w="825" w:type="pct"/>
            <w:tcBorders>
              <w:top w:val="single" w:sz="6" w:space="0" w:color="auto"/>
            </w:tcBorders>
            <w:shd w:val="clear" w:color="auto" w:fill="auto"/>
          </w:tcPr>
          <w:p w:rsidR="008B5011" w:rsidRPr="000A0A5F" w:rsidRDefault="008B5011" w:rsidP="0037730B">
            <w:pPr>
              <w:pStyle w:val="TAL"/>
            </w:pPr>
            <w:r w:rsidRPr="000A0A5F">
              <w:t>Retry-After</w:t>
            </w:r>
          </w:p>
        </w:tc>
        <w:tc>
          <w:tcPr>
            <w:tcW w:w="732" w:type="pct"/>
            <w:tcBorders>
              <w:top w:val="single" w:sz="6" w:space="0" w:color="auto"/>
            </w:tcBorders>
          </w:tcPr>
          <w:p w:rsidR="008B5011" w:rsidRPr="000A0A5F" w:rsidRDefault="008B5011" w:rsidP="0037730B">
            <w:pPr>
              <w:pStyle w:val="TAL"/>
            </w:pPr>
            <w:r w:rsidRPr="000A0A5F">
              <w:t>string</w:t>
            </w:r>
          </w:p>
        </w:tc>
        <w:tc>
          <w:tcPr>
            <w:tcW w:w="217" w:type="pct"/>
            <w:tcBorders>
              <w:top w:val="single" w:sz="6" w:space="0" w:color="auto"/>
            </w:tcBorders>
          </w:tcPr>
          <w:p w:rsidR="008B5011" w:rsidRPr="000A0A5F" w:rsidRDefault="008B5011" w:rsidP="0037730B">
            <w:pPr>
              <w:pStyle w:val="TAC"/>
            </w:pPr>
            <w:r w:rsidRPr="000A0A5F">
              <w:t>M</w:t>
            </w:r>
          </w:p>
        </w:tc>
        <w:tc>
          <w:tcPr>
            <w:tcW w:w="581" w:type="pct"/>
            <w:tcBorders>
              <w:top w:val="single" w:sz="6" w:space="0" w:color="auto"/>
            </w:tcBorders>
          </w:tcPr>
          <w:p w:rsidR="008B5011" w:rsidRPr="000A0A5F" w:rsidRDefault="008B5011" w:rsidP="0037730B">
            <w:pPr>
              <w:pStyle w:val="TAL"/>
            </w:pPr>
            <w:r w:rsidRPr="000A0A5F">
              <w:t>1</w:t>
            </w:r>
          </w:p>
        </w:tc>
        <w:tc>
          <w:tcPr>
            <w:tcW w:w="2645" w:type="pct"/>
            <w:tcBorders>
              <w:top w:val="single" w:sz="6" w:space="0" w:color="auto"/>
            </w:tcBorders>
            <w:shd w:val="clear" w:color="auto" w:fill="auto"/>
            <w:vAlign w:val="center"/>
          </w:tcPr>
          <w:p w:rsidR="008B5011" w:rsidRPr="000A0A5F" w:rsidRDefault="008B5011" w:rsidP="0037730B">
            <w:pPr>
              <w:pStyle w:val="TAL"/>
            </w:pPr>
            <w:r w:rsidRPr="000A0A5F">
              <w:t xml:space="preserve">Indicates the time the </w:t>
            </w:r>
            <w:r w:rsidRPr="000A0A5F">
              <w:rPr>
                <w:noProof/>
              </w:rPr>
              <w:t>NF service consumer</w:t>
            </w:r>
            <w:r w:rsidRPr="000A0A5F">
              <w:t xml:space="preserve"> has to wait before making a new request.</w:t>
            </w:r>
          </w:p>
        </w:tc>
      </w:tr>
    </w:tbl>
    <w:p w:rsidR="008B5011" w:rsidRPr="000A0A5F" w:rsidRDefault="008B5011"/>
    <w:p w:rsidR="00CB0DD7" w:rsidRPr="000A0A5F" w:rsidRDefault="00CB0DD7">
      <w:pPr>
        <w:pStyle w:val="Heading6"/>
      </w:pPr>
      <w:bookmarkStart w:id="9461" w:name="_Toc11247899"/>
      <w:bookmarkStart w:id="9462" w:name="_Toc27045043"/>
      <w:bookmarkStart w:id="9463" w:name="_Toc36034094"/>
      <w:bookmarkStart w:id="9464" w:name="_Toc45132241"/>
      <w:bookmarkStart w:id="9465" w:name="_Toc49776526"/>
      <w:bookmarkStart w:id="9466" w:name="_Toc51747446"/>
      <w:bookmarkStart w:id="9467" w:name="_Toc66361025"/>
      <w:bookmarkStart w:id="9468" w:name="_Toc68105530"/>
      <w:bookmarkStart w:id="9469" w:name="_Toc74756162"/>
      <w:bookmarkStart w:id="9470" w:name="_Toc105675039"/>
      <w:bookmarkStart w:id="9471" w:name="_Toc130503109"/>
      <w:bookmarkStart w:id="9472" w:name="_Toc153625901"/>
      <w:r w:rsidRPr="000A0A5F">
        <w:t>5.14.3.3.3.4</w:t>
      </w:r>
      <w:r w:rsidRPr="000A0A5F">
        <w:tab/>
        <w:t>POST</w:t>
      </w:r>
      <w:bookmarkEnd w:id="9461"/>
      <w:bookmarkEnd w:id="9462"/>
      <w:bookmarkEnd w:id="9463"/>
      <w:bookmarkEnd w:id="9464"/>
      <w:bookmarkEnd w:id="9465"/>
      <w:bookmarkEnd w:id="9466"/>
      <w:bookmarkEnd w:id="9467"/>
      <w:bookmarkEnd w:id="9468"/>
      <w:bookmarkEnd w:id="9469"/>
      <w:bookmarkEnd w:id="9470"/>
      <w:bookmarkEnd w:id="9471"/>
      <w:bookmarkEnd w:id="9472"/>
    </w:p>
    <w:p w:rsidR="00CB0DD7" w:rsidRPr="000A0A5F" w:rsidRDefault="00CB0DD7">
      <w:pPr>
        <w:rPr>
          <w:rFonts w:hint="eastAsia"/>
          <w:lang w:eastAsia="zh-CN"/>
        </w:rPr>
      </w:pPr>
      <w:r w:rsidRPr="000A0A5F">
        <w:rPr>
          <w:rFonts w:hint="eastAsia"/>
          <w:lang w:eastAsia="zh-CN"/>
        </w:rPr>
        <w:t xml:space="preserve">This </w:t>
      </w:r>
      <w:r w:rsidRPr="000A0A5F">
        <w:rPr>
          <w:lang w:eastAsia="zh-CN"/>
        </w:rPr>
        <w:t>HTTP method is not supported for the resource.</w:t>
      </w:r>
    </w:p>
    <w:p w:rsidR="00CB0DD7" w:rsidRPr="000A0A5F" w:rsidRDefault="00CB0DD7">
      <w:pPr>
        <w:pStyle w:val="Heading6"/>
        <w:spacing w:before="180"/>
      </w:pPr>
      <w:bookmarkStart w:id="9473" w:name="_Toc11247900"/>
      <w:bookmarkStart w:id="9474" w:name="_Toc27045044"/>
      <w:bookmarkStart w:id="9475" w:name="_Toc36034095"/>
      <w:bookmarkStart w:id="9476" w:name="_Toc45132242"/>
      <w:bookmarkStart w:id="9477" w:name="_Toc49776527"/>
      <w:bookmarkStart w:id="9478" w:name="_Toc51747447"/>
      <w:bookmarkStart w:id="9479" w:name="_Toc66361026"/>
      <w:bookmarkStart w:id="9480" w:name="_Toc68105531"/>
      <w:bookmarkStart w:id="9481" w:name="_Toc74756163"/>
      <w:bookmarkStart w:id="9482" w:name="_Toc105675040"/>
      <w:bookmarkStart w:id="9483" w:name="_Toc130503110"/>
      <w:bookmarkStart w:id="9484" w:name="_Toc153625902"/>
      <w:r w:rsidRPr="000A0A5F">
        <w:t>5.14.3.3.3.5</w:t>
      </w:r>
      <w:r w:rsidRPr="000A0A5F">
        <w:tab/>
        <w:t>DELETE</w:t>
      </w:r>
      <w:bookmarkEnd w:id="9473"/>
      <w:bookmarkEnd w:id="9474"/>
      <w:bookmarkEnd w:id="9475"/>
      <w:bookmarkEnd w:id="9476"/>
      <w:bookmarkEnd w:id="9477"/>
      <w:bookmarkEnd w:id="9478"/>
      <w:bookmarkEnd w:id="9479"/>
      <w:bookmarkEnd w:id="9480"/>
      <w:bookmarkEnd w:id="9481"/>
      <w:bookmarkEnd w:id="9482"/>
      <w:bookmarkEnd w:id="9483"/>
      <w:bookmarkEnd w:id="9484"/>
    </w:p>
    <w:p w:rsidR="00CB0DD7" w:rsidRPr="000A0A5F" w:rsidRDefault="00CB0DD7">
      <w:pPr>
        <w:rPr>
          <w:noProof/>
          <w:lang w:eastAsia="zh-CN"/>
        </w:rPr>
      </w:pPr>
      <w:r w:rsidRPr="000A0A5F">
        <w:rPr>
          <w:noProof/>
          <w:lang w:eastAsia="zh-CN"/>
        </w:rPr>
        <w:t xml:space="preserve">The DELETE method deletes the AsSessionWithQoSSubscription </w:t>
      </w:r>
      <w:r w:rsidRPr="000A0A5F">
        <w:t>resource and</w:t>
      </w:r>
      <w:r w:rsidRPr="000A0A5F">
        <w:rPr>
          <w:noProof/>
          <w:lang w:eastAsia="zh-CN"/>
        </w:rPr>
        <w:t xml:space="preserve"> terminates the related subscription. The SCS/AS shall initiate the HTTP DELETE request message and the SCEF shall respond to the message. </w:t>
      </w:r>
    </w:p>
    <w:p w:rsidR="00CB0DD7" w:rsidRPr="000A0A5F" w:rsidRDefault="00CB0DD7">
      <w:r w:rsidRPr="000A0A5F">
        <w:t>This method shall support the URI query parameters, request and response data structures, and response codes, as specified in the table 5.14.3.3.3.5-1 and table 5.14.3.3.3.5-2.</w:t>
      </w:r>
    </w:p>
    <w:p w:rsidR="00CB0DD7" w:rsidRPr="000A0A5F" w:rsidRDefault="00CB0DD7">
      <w:pPr>
        <w:pStyle w:val="TH"/>
        <w:rPr>
          <w:rFonts w:cs="Arial"/>
        </w:rPr>
      </w:pPr>
      <w:r w:rsidRPr="000A0A5F">
        <w:t xml:space="preserve">Table 5.14.3.3.3.5-1: URI query parameters supported by the DELETE method on this resource </w:t>
      </w:r>
    </w:p>
    <w:tbl>
      <w:tblPr>
        <w:tblW w:w="4999"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612"/>
        <w:gridCol w:w="1709"/>
        <w:gridCol w:w="1140"/>
        <w:gridCol w:w="5314"/>
      </w:tblGrid>
      <w:tr w:rsidR="00CB0DD7" w:rsidRPr="000A0A5F" w:rsidTr="00FF0AF8">
        <w:trPr>
          <w:jc w:val="center"/>
        </w:trPr>
        <w:tc>
          <w:tcPr>
            <w:tcW w:w="825" w:type="pct"/>
            <w:shd w:val="clear" w:color="000000" w:fill="C0C0C0"/>
          </w:tcPr>
          <w:p w:rsidR="00CB0DD7" w:rsidRPr="000A0A5F" w:rsidRDefault="00CB0DD7">
            <w:pPr>
              <w:pStyle w:val="TAH"/>
            </w:pPr>
            <w:r w:rsidRPr="000A0A5F">
              <w:t>Name</w:t>
            </w:r>
          </w:p>
        </w:tc>
        <w:tc>
          <w:tcPr>
            <w:tcW w:w="874" w:type="pct"/>
            <w:shd w:val="clear" w:color="000000" w:fill="C0C0C0"/>
          </w:tcPr>
          <w:p w:rsidR="00CB0DD7" w:rsidRPr="000A0A5F" w:rsidRDefault="00CB0DD7">
            <w:pPr>
              <w:pStyle w:val="TAH"/>
            </w:pPr>
            <w:r w:rsidRPr="000A0A5F">
              <w:t>Data type</w:t>
            </w:r>
          </w:p>
        </w:tc>
        <w:tc>
          <w:tcPr>
            <w:tcW w:w="583" w:type="pct"/>
            <w:shd w:val="clear" w:color="000000" w:fill="C0C0C0"/>
          </w:tcPr>
          <w:p w:rsidR="00CB0DD7" w:rsidRPr="000A0A5F" w:rsidRDefault="00CB0DD7">
            <w:pPr>
              <w:pStyle w:val="TAH"/>
            </w:pPr>
            <w:r w:rsidRPr="000A0A5F">
              <w:t>Cardinality</w:t>
            </w:r>
          </w:p>
        </w:tc>
        <w:tc>
          <w:tcPr>
            <w:tcW w:w="2718" w:type="pct"/>
            <w:shd w:val="clear" w:color="000000" w:fill="C0C0C0"/>
            <w:vAlign w:val="center"/>
          </w:tcPr>
          <w:p w:rsidR="00CB0DD7" w:rsidRPr="000A0A5F" w:rsidRDefault="00CB0DD7">
            <w:pPr>
              <w:pStyle w:val="TAH"/>
            </w:pPr>
            <w:r w:rsidRPr="000A0A5F">
              <w:t>Remarks</w:t>
            </w:r>
          </w:p>
        </w:tc>
      </w:tr>
      <w:tr w:rsidR="00CB0DD7" w:rsidRPr="000A0A5F" w:rsidTr="00FF0AF8">
        <w:trPr>
          <w:jc w:val="center"/>
        </w:trPr>
        <w:tc>
          <w:tcPr>
            <w:tcW w:w="825" w:type="pct"/>
            <w:shd w:val="clear" w:color="auto" w:fill="auto"/>
          </w:tcPr>
          <w:p w:rsidR="00CB0DD7" w:rsidRPr="000A0A5F" w:rsidRDefault="00CB0DD7">
            <w:pPr>
              <w:pStyle w:val="TAL"/>
            </w:pPr>
          </w:p>
        </w:tc>
        <w:tc>
          <w:tcPr>
            <w:tcW w:w="874" w:type="pct"/>
          </w:tcPr>
          <w:p w:rsidR="00CB0DD7" w:rsidRPr="000A0A5F" w:rsidRDefault="00CB0DD7">
            <w:pPr>
              <w:pStyle w:val="TAL"/>
            </w:pPr>
          </w:p>
        </w:tc>
        <w:tc>
          <w:tcPr>
            <w:tcW w:w="583" w:type="pct"/>
          </w:tcPr>
          <w:p w:rsidR="00CB0DD7" w:rsidRPr="000A0A5F" w:rsidRDefault="00CB0DD7">
            <w:pPr>
              <w:pStyle w:val="TAL"/>
            </w:pPr>
          </w:p>
        </w:tc>
        <w:tc>
          <w:tcPr>
            <w:tcW w:w="2718" w:type="pct"/>
            <w:shd w:val="clear" w:color="auto" w:fill="auto"/>
            <w:vAlign w:val="center"/>
          </w:tcPr>
          <w:p w:rsidR="00CB0DD7" w:rsidRPr="000A0A5F" w:rsidRDefault="00CB0DD7">
            <w:pPr>
              <w:pStyle w:val="TAL"/>
            </w:pPr>
          </w:p>
        </w:tc>
      </w:tr>
    </w:tbl>
    <w:p w:rsidR="00CB0DD7" w:rsidRPr="000A0A5F" w:rsidRDefault="00CB0DD7"/>
    <w:p w:rsidR="00CB0DD7" w:rsidRPr="000A0A5F" w:rsidRDefault="00CB0DD7">
      <w:pPr>
        <w:pStyle w:val="TH"/>
      </w:pPr>
      <w:r w:rsidRPr="000A0A5F">
        <w:t>Table 5.14.3.3.3.5-2: Data structures supported by the DELETE request/response by the resource</w:t>
      </w:r>
    </w:p>
    <w:tbl>
      <w:tblPr>
        <w:tblW w:w="4999" w:type="pct"/>
        <w:tblInd w:w="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45" w:type="dxa"/>
          <w:left w:w="45" w:type="dxa"/>
          <w:bottom w:w="45" w:type="dxa"/>
          <w:right w:w="45" w:type="dxa"/>
        </w:tblCellMar>
        <w:tblLook w:val="0000" w:firstRow="0" w:lastRow="0" w:firstColumn="0" w:lastColumn="0" w:noHBand="0" w:noVBand="0"/>
      </w:tblPr>
      <w:tblGrid>
        <w:gridCol w:w="1035"/>
        <w:gridCol w:w="2127"/>
        <w:gridCol w:w="1053"/>
        <w:gridCol w:w="973"/>
        <w:gridCol w:w="4541"/>
      </w:tblGrid>
      <w:tr w:rsidR="00CB0DD7" w:rsidRPr="000A0A5F" w:rsidTr="000616DB">
        <w:tc>
          <w:tcPr>
            <w:tcW w:w="532" w:type="pct"/>
            <w:vMerge w:val="restart"/>
            <w:shd w:val="clear" w:color="auto" w:fill="C0C0C0"/>
            <w:vAlign w:val="center"/>
          </w:tcPr>
          <w:p w:rsidR="00CB0DD7" w:rsidRPr="000A0A5F" w:rsidRDefault="00CB0DD7">
            <w:pPr>
              <w:pStyle w:val="TAH"/>
            </w:pPr>
            <w:r w:rsidRPr="000A0A5F">
              <w:t>Request body</w:t>
            </w:r>
          </w:p>
        </w:tc>
        <w:tc>
          <w:tcPr>
            <w:tcW w:w="1093" w:type="pct"/>
            <w:shd w:val="clear" w:color="auto" w:fill="C0C0C0"/>
          </w:tcPr>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r w:rsidRPr="000A0A5F">
              <w:t>Cardinality</w:t>
            </w:r>
          </w:p>
        </w:tc>
        <w:tc>
          <w:tcPr>
            <w:tcW w:w="2834" w:type="pct"/>
            <w:gridSpan w:val="2"/>
            <w:shd w:val="clear" w:color="auto" w:fill="C0C0C0"/>
          </w:tcPr>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none</w:t>
            </w:r>
          </w:p>
        </w:tc>
        <w:tc>
          <w:tcPr>
            <w:tcW w:w="541" w:type="pct"/>
          </w:tcPr>
          <w:p w:rsidR="00CB0DD7" w:rsidRPr="000A0A5F" w:rsidRDefault="00CB0DD7">
            <w:pPr>
              <w:pStyle w:val="TAL"/>
            </w:pPr>
          </w:p>
        </w:tc>
        <w:tc>
          <w:tcPr>
            <w:tcW w:w="2834" w:type="pct"/>
            <w:gridSpan w:val="2"/>
          </w:tcPr>
          <w:p w:rsidR="00CB0DD7" w:rsidRPr="000A0A5F" w:rsidRDefault="00CB0DD7">
            <w:pPr>
              <w:pStyle w:val="TAL"/>
            </w:pPr>
          </w:p>
        </w:tc>
      </w:tr>
      <w:tr w:rsidR="00CB0DD7" w:rsidRPr="000A0A5F" w:rsidTr="000616DB">
        <w:tc>
          <w:tcPr>
            <w:tcW w:w="532" w:type="pct"/>
            <w:vMerge w:val="restart"/>
            <w:shd w:val="clear" w:color="auto" w:fill="C0C0C0"/>
            <w:vAlign w:val="center"/>
          </w:tcPr>
          <w:p w:rsidR="00CB0DD7" w:rsidRPr="000A0A5F" w:rsidRDefault="00CB0DD7">
            <w:pPr>
              <w:pStyle w:val="TAH"/>
            </w:pPr>
            <w:r w:rsidRPr="000A0A5F">
              <w:t>Response body</w:t>
            </w:r>
          </w:p>
        </w:tc>
        <w:tc>
          <w:tcPr>
            <w:tcW w:w="1093" w:type="pct"/>
            <w:shd w:val="clear" w:color="auto" w:fill="C0C0C0"/>
          </w:tcPr>
          <w:p w:rsidR="00CB0DD7" w:rsidRPr="000A0A5F" w:rsidRDefault="00CB0DD7">
            <w:pPr>
              <w:pStyle w:val="TAH"/>
            </w:pPr>
          </w:p>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p>
          <w:p w:rsidR="00CB0DD7" w:rsidRPr="000A0A5F" w:rsidRDefault="00CB0DD7">
            <w:pPr>
              <w:pStyle w:val="TAH"/>
            </w:pPr>
            <w:r w:rsidRPr="000A0A5F">
              <w:t>Cardinality</w:t>
            </w:r>
          </w:p>
        </w:tc>
        <w:tc>
          <w:tcPr>
            <w:tcW w:w="500" w:type="pct"/>
            <w:shd w:val="clear" w:color="auto" w:fill="C0C0C0"/>
          </w:tcPr>
          <w:p w:rsidR="00CB0DD7" w:rsidRPr="000A0A5F" w:rsidRDefault="00CB0DD7">
            <w:pPr>
              <w:pStyle w:val="TAH"/>
            </w:pPr>
            <w:r w:rsidRPr="000A0A5F">
              <w:t>Response</w:t>
            </w:r>
          </w:p>
          <w:p w:rsidR="00CB0DD7" w:rsidRPr="000A0A5F" w:rsidRDefault="00CB0DD7">
            <w:pPr>
              <w:pStyle w:val="TAH"/>
            </w:pPr>
            <w:r w:rsidRPr="000A0A5F">
              <w:t>codes</w:t>
            </w:r>
          </w:p>
        </w:tc>
        <w:tc>
          <w:tcPr>
            <w:tcW w:w="2334" w:type="pct"/>
            <w:shd w:val="clear" w:color="auto" w:fill="C0C0C0"/>
          </w:tcPr>
          <w:p w:rsidR="00CB0DD7" w:rsidRPr="000A0A5F" w:rsidRDefault="00CB0DD7">
            <w:pPr>
              <w:pStyle w:val="TAH"/>
            </w:pPr>
          </w:p>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none</w:t>
            </w:r>
          </w:p>
        </w:tc>
        <w:tc>
          <w:tcPr>
            <w:tcW w:w="541" w:type="pct"/>
          </w:tcPr>
          <w:p w:rsidR="00CB0DD7" w:rsidRPr="000A0A5F" w:rsidRDefault="00CB0DD7">
            <w:pPr>
              <w:pStyle w:val="TAL"/>
            </w:pPr>
          </w:p>
        </w:tc>
        <w:tc>
          <w:tcPr>
            <w:tcW w:w="500" w:type="pct"/>
          </w:tcPr>
          <w:p w:rsidR="00CB0DD7" w:rsidRPr="000A0A5F" w:rsidRDefault="00CB0DD7">
            <w:pPr>
              <w:pStyle w:val="TAL"/>
            </w:pPr>
            <w:r w:rsidRPr="000A0A5F">
              <w:t>204 No Content</w:t>
            </w:r>
          </w:p>
        </w:tc>
        <w:tc>
          <w:tcPr>
            <w:tcW w:w="2334" w:type="pct"/>
          </w:tcPr>
          <w:p w:rsidR="00CB0DD7" w:rsidRPr="000A0A5F" w:rsidRDefault="00CB0DD7">
            <w:pPr>
              <w:pStyle w:val="TAL"/>
              <w:spacing w:afterLines="50" w:after="120"/>
            </w:pPr>
            <w:r w:rsidRPr="000A0A5F">
              <w:t>The subscription was terminated successfully.</w:t>
            </w:r>
          </w:p>
          <w:p w:rsidR="00CB0DD7" w:rsidRPr="000A0A5F" w:rsidRDefault="00CB0DD7">
            <w:pPr>
              <w:pStyle w:val="TAL"/>
            </w:pPr>
            <w:r w:rsidRPr="000A0A5F">
              <w:t>The response body shall be empty.</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UserPlaneNotif</w:t>
            </w:r>
            <w:r w:rsidR="00A66A1E" w:rsidRPr="000A0A5F">
              <w:t>i</w:t>
            </w:r>
            <w:r w:rsidRPr="000A0A5F">
              <w:t>cationData</w:t>
            </w:r>
          </w:p>
        </w:tc>
        <w:tc>
          <w:tcPr>
            <w:tcW w:w="541" w:type="pct"/>
          </w:tcPr>
          <w:p w:rsidR="00CB0DD7" w:rsidRPr="000A0A5F" w:rsidRDefault="00CB0DD7">
            <w:pPr>
              <w:pStyle w:val="TAL"/>
            </w:pPr>
            <w:r w:rsidRPr="000A0A5F">
              <w:rPr>
                <w:rFonts w:hint="eastAsia"/>
                <w:lang w:eastAsia="zh-CN"/>
              </w:rPr>
              <w:t>1</w:t>
            </w:r>
          </w:p>
        </w:tc>
        <w:tc>
          <w:tcPr>
            <w:tcW w:w="500" w:type="pct"/>
          </w:tcPr>
          <w:p w:rsidR="00CB0DD7" w:rsidRPr="000A0A5F" w:rsidRDefault="00CB0DD7">
            <w:pPr>
              <w:pStyle w:val="TAL"/>
            </w:pPr>
            <w:r w:rsidRPr="000A0A5F">
              <w:rPr>
                <w:rFonts w:hint="eastAsia"/>
                <w:lang w:eastAsia="zh-CN"/>
              </w:rPr>
              <w:t>2</w:t>
            </w:r>
            <w:r w:rsidRPr="000A0A5F">
              <w:rPr>
                <w:lang w:eastAsia="zh-CN"/>
              </w:rPr>
              <w:t>00 OK</w:t>
            </w:r>
          </w:p>
        </w:tc>
        <w:tc>
          <w:tcPr>
            <w:tcW w:w="2334" w:type="pct"/>
          </w:tcPr>
          <w:p w:rsidR="00CB0DD7" w:rsidRPr="000A0A5F" w:rsidRDefault="00CB0DD7">
            <w:pPr>
              <w:pStyle w:val="TAL"/>
              <w:spacing w:afterLines="50" w:after="120"/>
            </w:pPr>
            <w:r w:rsidRPr="000A0A5F">
              <w:t>The subscription was terminated successfully.</w:t>
            </w:r>
            <w:r w:rsidRPr="000A0A5F">
              <w:rPr>
                <w:rFonts w:hint="eastAsia"/>
                <w:lang w:eastAsia="zh-CN"/>
              </w:rPr>
              <w:t xml:space="preserve"> </w:t>
            </w:r>
            <w:r w:rsidRPr="000A0A5F">
              <w:rPr>
                <w:lang w:eastAsia="zh-CN"/>
              </w:rPr>
              <w:t>The user plane notification data shall be included in the response.</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none</w:t>
            </w:r>
          </w:p>
        </w:tc>
        <w:tc>
          <w:tcPr>
            <w:tcW w:w="541" w:type="pct"/>
          </w:tcPr>
          <w:p w:rsidR="00CB0DD7" w:rsidRPr="000A0A5F" w:rsidRDefault="00CB0DD7">
            <w:pPr>
              <w:pStyle w:val="TAL"/>
              <w:rPr>
                <w:rFonts w:hint="eastAsia"/>
                <w:lang w:eastAsia="zh-CN"/>
              </w:rPr>
            </w:pPr>
          </w:p>
        </w:tc>
        <w:tc>
          <w:tcPr>
            <w:tcW w:w="500" w:type="pct"/>
          </w:tcPr>
          <w:p w:rsidR="00CB0DD7" w:rsidRPr="000A0A5F" w:rsidRDefault="00CB0DD7">
            <w:pPr>
              <w:pStyle w:val="TAL"/>
              <w:rPr>
                <w:rFonts w:hint="eastAsia"/>
                <w:lang w:eastAsia="zh-CN"/>
              </w:rPr>
            </w:pPr>
            <w:r w:rsidRPr="000A0A5F">
              <w:t>307 Temporary Redirect</w:t>
            </w:r>
          </w:p>
        </w:tc>
        <w:tc>
          <w:tcPr>
            <w:tcW w:w="2334" w:type="pct"/>
          </w:tcPr>
          <w:p w:rsidR="00CB0DD7" w:rsidRPr="000A0A5F" w:rsidRDefault="00CB0DD7">
            <w:pPr>
              <w:pStyle w:val="TAL"/>
            </w:pPr>
            <w:r w:rsidRPr="000A0A5F">
              <w:t>Temporary redirection, during subscription termination. The response shall include a Location header field containing an alternative URI of the resource located in an alternative SCEF.</w:t>
            </w:r>
          </w:p>
          <w:p w:rsidR="00CB0DD7" w:rsidRPr="000A0A5F" w:rsidRDefault="00CB0DD7">
            <w:pPr>
              <w:pStyle w:val="TAL"/>
              <w:spacing w:afterLines="50" w:after="120"/>
            </w:pPr>
            <w:r w:rsidRPr="000A0A5F">
              <w:t>Redirection handling is described in clause 5.2.10.</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none</w:t>
            </w:r>
          </w:p>
        </w:tc>
        <w:tc>
          <w:tcPr>
            <w:tcW w:w="541" w:type="pct"/>
          </w:tcPr>
          <w:p w:rsidR="00CB0DD7" w:rsidRPr="000A0A5F" w:rsidRDefault="00CB0DD7">
            <w:pPr>
              <w:pStyle w:val="TAL"/>
              <w:rPr>
                <w:rFonts w:hint="eastAsia"/>
                <w:lang w:eastAsia="zh-CN"/>
              </w:rPr>
            </w:pPr>
          </w:p>
        </w:tc>
        <w:tc>
          <w:tcPr>
            <w:tcW w:w="500" w:type="pct"/>
          </w:tcPr>
          <w:p w:rsidR="00CB0DD7" w:rsidRPr="000A0A5F" w:rsidRDefault="00CB0DD7">
            <w:pPr>
              <w:pStyle w:val="TAL"/>
              <w:rPr>
                <w:rFonts w:hint="eastAsia"/>
                <w:lang w:eastAsia="zh-CN"/>
              </w:rPr>
            </w:pPr>
            <w:r w:rsidRPr="000A0A5F">
              <w:t>308 Permanent Redirect</w:t>
            </w:r>
          </w:p>
        </w:tc>
        <w:tc>
          <w:tcPr>
            <w:tcW w:w="2334" w:type="pct"/>
          </w:tcPr>
          <w:p w:rsidR="00CB0DD7" w:rsidRPr="000A0A5F" w:rsidRDefault="00CB0DD7">
            <w:pPr>
              <w:pStyle w:val="TAL"/>
            </w:pPr>
            <w:r w:rsidRPr="000A0A5F">
              <w:t>Permanent redirection, during subscription termination. The response shall include a Location header field containing an alternative URI of the resource located in an alternative SCEF.</w:t>
            </w:r>
          </w:p>
          <w:p w:rsidR="00CB0DD7" w:rsidRPr="000A0A5F" w:rsidRDefault="00CB0DD7">
            <w:pPr>
              <w:pStyle w:val="TAL"/>
              <w:spacing w:afterLines="50" w:after="120"/>
            </w:pPr>
            <w:r w:rsidRPr="000A0A5F">
              <w:t>Redirection handling is described in clause 5.2.10.</w:t>
            </w:r>
          </w:p>
        </w:tc>
      </w:tr>
      <w:tr w:rsidR="00CB0DD7" w:rsidRPr="000A0A5F" w:rsidTr="00FF0AF8">
        <w:tc>
          <w:tcPr>
            <w:tcW w:w="5000" w:type="pct"/>
            <w:gridSpan w:val="5"/>
            <w:shd w:val="clear" w:color="auto" w:fill="auto"/>
            <w:vAlign w:val="center"/>
          </w:tcPr>
          <w:p w:rsidR="00CB0DD7" w:rsidRPr="000A0A5F" w:rsidRDefault="00CB0DD7">
            <w:pPr>
              <w:pStyle w:val="TAN"/>
            </w:pPr>
            <w:r w:rsidRPr="000A0A5F">
              <w:t>NOTE:</w:t>
            </w:r>
            <w:r w:rsidRPr="000A0A5F">
              <w:tab/>
              <w:t>The mandatory HTTP error status codes for the DELETE method listed in table 5.2.6-1 also apply.</w:t>
            </w:r>
          </w:p>
        </w:tc>
      </w:tr>
    </w:tbl>
    <w:p w:rsidR="00CB0DD7" w:rsidRPr="000A0A5F" w:rsidRDefault="00CB0DD7"/>
    <w:p w:rsidR="00CB0DD7" w:rsidRPr="000A0A5F" w:rsidRDefault="002E466A">
      <w:pPr>
        <w:pStyle w:val="TH"/>
      </w:pPr>
      <w:r w:rsidRPr="000A0A5F">
        <w:t>Table </w:t>
      </w:r>
      <w:r w:rsidR="00CB0DD7" w:rsidRPr="000A0A5F">
        <w:t>5.14.3.3.3.5-3: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2E466A">
      <w:pPr>
        <w:pStyle w:val="TH"/>
      </w:pPr>
      <w:r w:rsidRPr="000A0A5F">
        <w:t>Table </w:t>
      </w:r>
      <w:r w:rsidR="00CB0DD7" w:rsidRPr="000A0A5F">
        <w:t>5.14.3.3.3.5-4: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CB0DD7">
      <w:pPr>
        <w:pStyle w:val="Heading4"/>
      </w:pPr>
      <w:bookmarkStart w:id="9485" w:name="_Toc11247901"/>
      <w:bookmarkStart w:id="9486" w:name="_Toc27045045"/>
      <w:bookmarkStart w:id="9487" w:name="_Toc36034096"/>
      <w:bookmarkStart w:id="9488" w:name="_Toc45132243"/>
      <w:bookmarkStart w:id="9489" w:name="_Toc49776528"/>
      <w:bookmarkStart w:id="9490" w:name="_Toc51747448"/>
      <w:bookmarkStart w:id="9491" w:name="_Toc66361027"/>
      <w:bookmarkStart w:id="9492" w:name="_Toc68105532"/>
      <w:bookmarkStart w:id="9493" w:name="_Toc74756164"/>
      <w:bookmarkStart w:id="9494" w:name="_Toc105675041"/>
      <w:bookmarkStart w:id="9495" w:name="_Toc130503111"/>
      <w:bookmarkStart w:id="9496" w:name="_Toc153625903"/>
      <w:r w:rsidRPr="000A0A5F">
        <w:t>5.14.3.4</w:t>
      </w:r>
      <w:r w:rsidRPr="000A0A5F">
        <w:tab/>
        <w:t>Void</w:t>
      </w:r>
      <w:bookmarkEnd w:id="9485"/>
      <w:bookmarkEnd w:id="9486"/>
      <w:bookmarkEnd w:id="9487"/>
      <w:bookmarkEnd w:id="9488"/>
      <w:bookmarkEnd w:id="9489"/>
      <w:bookmarkEnd w:id="9490"/>
      <w:bookmarkEnd w:id="9491"/>
      <w:bookmarkEnd w:id="9492"/>
      <w:bookmarkEnd w:id="9493"/>
      <w:bookmarkEnd w:id="9494"/>
      <w:bookmarkEnd w:id="9495"/>
      <w:bookmarkEnd w:id="9496"/>
    </w:p>
    <w:p w:rsidR="00CB0DD7" w:rsidRPr="000A0A5F" w:rsidRDefault="00CB0DD7">
      <w:pPr>
        <w:pStyle w:val="Heading3"/>
      </w:pPr>
      <w:bookmarkStart w:id="9497" w:name="_Toc66361028"/>
      <w:bookmarkStart w:id="9498" w:name="_Toc68105533"/>
      <w:bookmarkStart w:id="9499" w:name="_Toc74756165"/>
      <w:bookmarkStart w:id="9500" w:name="_Toc105675042"/>
      <w:bookmarkStart w:id="9501" w:name="_Toc130503112"/>
      <w:bookmarkStart w:id="9502" w:name="_Toc153625904"/>
      <w:r w:rsidRPr="000A0A5F">
        <w:t>5.14.</w:t>
      </w:r>
      <w:r w:rsidR="000616DB" w:rsidRPr="000A0A5F">
        <w:t>3A</w:t>
      </w:r>
      <w:r w:rsidRPr="000A0A5F">
        <w:tab/>
        <w:t>Notifications</w:t>
      </w:r>
      <w:bookmarkEnd w:id="9497"/>
      <w:bookmarkEnd w:id="9498"/>
      <w:bookmarkEnd w:id="9499"/>
      <w:bookmarkEnd w:id="9500"/>
      <w:bookmarkEnd w:id="9501"/>
      <w:bookmarkEnd w:id="9502"/>
    </w:p>
    <w:p w:rsidR="00CB0DD7" w:rsidRPr="000A0A5F" w:rsidRDefault="00CB0DD7">
      <w:pPr>
        <w:pStyle w:val="Heading4"/>
      </w:pPr>
      <w:bookmarkStart w:id="9503" w:name="_Toc66361029"/>
      <w:bookmarkStart w:id="9504" w:name="_Toc68105534"/>
      <w:bookmarkStart w:id="9505" w:name="_Toc74756166"/>
      <w:bookmarkStart w:id="9506" w:name="_Toc105675043"/>
      <w:bookmarkStart w:id="9507" w:name="_Toc130503113"/>
      <w:bookmarkStart w:id="9508" w:name="_Toc153625905"/>
      <w:r w:rsidRPr="000A0A5F">
        <w:t>5.14.</w:t>
      </w:r>
      <w:r w:rsidR="000616DB" w:rsidRPr="000A0A5F">
        <w:t>3A</w:t>
      </w:r>
      <w:r w:rsidRPr="000A0A5F">
        <w:t>.1</w:t>
      </w:r>
      <w:r w:rsidRPr="000A0A5F">
        <w:tab/>
        <w:t>General</w:t>
      </w:r>
      <w:bookmarkEnd w:id="9503"/>
      <w:bookmarkEnd w:id="9504"/>
      <w:bookmarkEnd w:id="9505"/>
      <w:bookmarkEnd w:id="9506"/>
      <w:bookmarkEnd w:id="9507"/>
      <w:bookmarkEnd w:id="9508"/>
    </w:p>
    <w:p w:rsidR="00CB0DD7" w:rsidRPr="000A0A5F" w:rsidRDefault="00CB0DD7">
      <w:r w:rsidRPr="000A0A5F">
        <w:t xml:space="preserve">The notifications provided by the </w:t>
      </w:r>
      <w:r w:rsidRPr="000A0A5F">
        <w:rPr>
          <w:noProof/>
          <w:lang w:eastAsia="zh-CN"/>
        </w:rPr>
        <w:t>AsSessionWithQoS</w:t>
      </w:r>
      <w:r w:rsidRPr="000A0A5F">
        <w:t xml:space="preserve"> API are specified in this clause.</w:t>
      </w:r>
    </w:p>
    <w:p w:rsidR="00CB0DD7" w:rsidRPr="000A0A5F" w:rsidRDefault="002E466A">
      <w:pPr>
        <w:pStyle w:val="TH"/>
      </w:pPr>
      <w:r w:rsidRPr="000A0A5F">
        <w:t>Table </w:t>
      </w:r>
      <w:r w:rsidR="00CB0DD7" w:rsidRPr="000A0A5F">
        <w:t>5.14.</w:t>
      </w:r>
      <w:r w:rsidR="000616DB" w:rsidRPr="000A0A5F">
        <w:t>3A</w:t>
      </w:r>
      <w:r w:rsidR="00CB0DD7" w:rsidRPr="000A0A5F">
        <w:t>-1: Notifications overview</w:t>
      </w:r>
    </w:p>
    <w:tbl>
      <w:tblPr>
        <w:tblW w:w="4484"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1914"/>
        <w:gridCol w:w="3654"/>
        <w:gridCol w:w="1243"/>
        <w:gridCol w:w="1957"/>
      </w:tblGrid>
      <w:tr w:rsidR="00CB0DD7" w:rsidRPr="000A0A5F" w:rsidTr="00FF0AF8">
        <w:trPr>
          <w:jc w:val="center"/>
        </w:trPr>
        <w:tc>
          <w:tcPr>
            <w:tcW w:w="1091" w:type="pct"/>
            <w:shd w:val="clear" w:color="auto" w:fill="C0C0C0"/>
            <w:vAlign w:val="center"/>
            <w:hideMark/>
          </w:tcPr>
          <w:p w:rsidR="00CB0DD7" w:rsidRPr="000A0A5F" w:rsidRDefault="00CB0DD7">
            <w:pPr>
              <w:pStyle w:val="TAH"/>
            </w:pPr>
            <w:r w:rsidRPr="000A0A5F">
              <w:t>Notification</w:t>
            </w:r>
          </w:p>
        </w:tc>
        <w:tc>
          <w:tcPr>
            <w:tcW w:w="2083" w:type="pct"/>
            <w:shd w:val="clear" w:color="auto" w:fill="C0C0C0"/>
            <w:vAlign w:val="center"/>
            <w:hideMark/>
          </w:tcPr>
          <w:p w:rsidR="00CB0DD7" w:rsidRPr="000A0A5F" w:rsidRDefault="00CB0DD7">
            <w:pPr>
              <w:pStyle w:val="TAH"/>
            </w:pPr>
            <w:r w:rsidRPr="000A0A5F">
              <w:t>Callback URI</w:t>
            </w:r>
          </w:p>
        </w:tc>
        <w:tc>
          <w:tcPr>
            <w:tcW w:w="709" w:type="pct"/>
            <w:shd w:val="clear" w:color="auto" w:fill="C0C0C0"/>
            <w:vAlign w:val="center"/>
            <w:hideMark/>
          </w:tcPr>
          <w:p w:rsidR="00CB0DD7" w:rsidRPr="000A0A5F" w:rsidRDefault="00CB0DD7">
            <w:pPr>
              <w:pStyle w:val="TAH"/>
            </w:pPr>
            <w:r w:rsidRPr="000A0A5F">
              <w:t>HTTP method or custom operation</w:t>
            </w:r>
          </w:p>
        </w:tc>
        <w:tc>
          <w:tcPr>
            <w:tcW w:w="1116" w:type="pct"/>
            <w:shd w:val="clear" w:color="auto" w:fill="C0C0C0"/>
            <w:vAlign w:val="center"/>
            <w:hideMark/>
          </w:tcPr>
          <w:p w:rsidR="00CB0DD7" w:rsidRPr="000A0A5F" w:rsidRDefault="00CB0DD7">
            <w:pPr>
              <w:pStyle w:val="TAH"/>
            </w:pPr>
            <w:r w:rsidRPr="000A0A5F">
              <w:t>Description</w:t>
            </w:r>
          </w:p>
          <w:p w:rsidR="00CB0DD7" w:rsidRPr="000A0A5F" w:rsidRDefault="00CB0DD7">
            <w:pPr>
              <w:pStyle w:val="TAH"/>
            </w:pPr>
            <w:r w:rsidRPr="000A0A5F">
              <w:t>(service operation)</w:t>
            </w:r>
          </w:p>
        </w:tc>
      </w:tr>
      <w:tr w:rsidR="00CB0DD7" w:rsidRPr="000A0A5F" w:rsidTr="00FF0AF8">
        <w:trPr>
          <w:jc w:val="center"/>
        </w:trPr>
        <w:tc>
          <w:tcPr>
            <w:tcW w:w="1091" w:type="pct"/>
          </w:tcPr>
          <w:p w:rsidR="00CB0DD7" w:rsidRPr="000A0A5F" w:rsidRDefault="00CB0DD7">
            <w:pPr>
              <w:pStyle w:val="TAC"/>
              <w:jc w:val="left"/>
              <w:rPr>
                <w:lang w:val="en-US"/>
              </w:rPr>
            </w:pPr>
            <w:r w:rsidRPr="000A0A5F">
              <w:rPr>
                <w:rFonts w:hint="eastAsia"/>
                <w:lang w:eastAsia="zh-CN"/>
              </w:rPr>
              <w:t>Event Notification</w:t>
            </w:r>
          </w:p>
        </w:tc>
        <w:tc>
          <w:tcPr>
            <w:tcW w:w="2083" w:type="pct"/>
          </w:tcPr>
          <w:p w:rsidR="00CB0DD7" w:rsidRPr="000A0A5F" w:rsidRDefault="00CB0DD7">
            <w:pPr>
              <w:pStyle w:val="TAL"/>
              <w:rPr>
                <w:lang w:val="en-US"/>
              </w:rPr>
            </w:pPr>
            <w:r w:rsidRPr="000A0A5F">
              <w:rPr>
                <w:rFonts w:hint="eastAsia"/>
                <w:lang w:eastAsia="zh-CN"/>
              </w:rPr>
              <w:t>{notificationUri</w:t>
            </w:r>
            <w:r w:rsidRPr="000A0A5F">
              <w:rPr>
                <w:lang w:eastAsia="zh-CN"/>
              </w:rPr>
              <w:t>}</w:t>
            </w:r>
          </w:p>
        </w:tc>
        <w:tc>
          <w:tcPr>
            <w:tcW w:w="709" w:type="pct"/>
          </w:tcPr>
          <w:p w:rsidR="00CB0DD7" w:rsidRPr="000A0A5F" w:rsidRDefault="00CB0DD7">
            <w:pPr>
              <w:pStyle w:val="TAC"/>
              <w:rPr>
                <w:lang w:val="fr-FR"/>
              </w:rPr>
            </w:pPr>
            <w:r w:rsidRPr="000A0A5F">
              <w:rPr>
                <w:rFonts w:hint="eastAsia"/>
                <w:lang w:eastAsia="zh-CN"/>
              </w:rPr>
              <w:t>POST</w:t>
            </w:r>
          </w:p>
        </w:tc>
        <w:tc>
          <w:tcPr>
            <w:tcW w:w="1116" w:type="pct"/>
          </w:tcPr>
          <w:p w:rsidR="00CB0DD7" w:rsidRPr="000A0A5F" w:rsidRDefault="00CB0DD7">
            <w:pPr>
              <w:pStyle w:val="TAL"/>
              <w:rPr>
                <w:lang w:val="en-US"/>
              </w:rPr>
            </w:pPr>
            <w:r w:rsidRPr="000A0A5F">
              <w:rPr>
                <w:rFonts w:hint="eastAsia"/>
                <w:noProof/>
                <w:lang w:eastAsia="zh-CN"/>
              </w:rPr>
              <w:t xml:space="preserve">Notify the </w:t>
            </w:r>
            <w:r w:rsidRPr="000A0A5F">
              <w:t>bearer level event(s) from the SCEF to the SCS/AS</w:t>
            </w:r>
          </w:p>
        </w:tc>
      </w:tr>
    </w:tbl>
    <w:p w:rsidR="00CB0DD7" w:rsidRPr="000A0A5F" w:rsidRDefault="00CB0DD7"/>
    <w:p w:rsidR="00CB0DD7" w:rsidRPr="000A0A5F" w:rsidRDefault="00CB0DD7">
      <w:pPr>
        <w:pStyle w:val="Heading4"/>
      </w:pPr>
      <w:bookmarkStart w:id="9509" w:name="_Toc66361030"/>
      <w:bookmarkStart w:id="9510" w:name="_Toc68105535"/>
      <w:bookmarkStart w:id="9511" w:name="_Toc74756167"/>
      <w:bookmarkStart w:id="9512" w:name="_Toc105675044"/>
      <w:bookmarkStart w:id="9513" w:name="_Toc130503114"/>
      <w:bookmarkStart w:id="9514" w:name="_Toc153625906"/>
      <w:r w:rsidRPr="000A0A5F">
        <w:t>5.14.</w:t>
      </w:r>
      <w:r w:rsidR="00F040BC" w:rsidRPr="000A0A5F">
        <w:t>3A</w:t>
      </w:r>
      <w:r w:rsidRPr="000A0A5F">
        <w:t>.2</w:t>
      </w:r>
      <w:r w:rsidRPr="000A0A5F">
        <w:tab/>
        <w:t>Event Notification</w:t>
      </w:r>
      <w:bookmarkEnd w:id="9509"/>
      <w:bookmarkEnd w:id="9510"/>
      <w:bookmarkEnd w:id="9511"/>
      <w:bookmarkEnd w:id="9512"/>
      <w:bookmarkEnd w:id="9513"/>
      <w:bookmarkEnd w:id="9514"/>
    </w:p>
    <w:p w:rsidR="00CB0DD7" w:rsidRPr="000A0A5F" w:rsidRDefault="00CB0DD7">
      <w:pPr>
        <w:pStyle w:val="Heading5"/>
        <w:rPr>
          <w:noProof/>
        </w:rPr>
      </w:pPr>
      <w:bookmarkStart w:id="9515" w:name="_Toc66361031"/>
      <w:bookmarkStart w:id="9516" w:name="_Toc68105536"/>
      <w:bookmarkStart w:id="9517" w:name="_Toc74756168"/>
      <w:bookmarkStart w:id="9518" w:name="_Toc105675045"/>
      <w:bookmarkStart w:id="9519" w:name="_Toc130503115"/>
      <w:bookmarkStart w:id="9520" w:name="_Toc153625907"/>
      <w:r w:rsidRPr="000A0A5F">
        <w:t>5.14.</w:t>
      </w:r>
      <w:r w:rsidR="00F040BC" w:rsidRPr="000A0A5F">
        <w:t>3A</w:t>
      </w:r>
      <w:r w:rsidRPr="000A0A5F">
        <w:t>.2</w:t>
      </w:r>
      <w:r w:rsidRPr="000A0A5F">
        <w:rPr>
          <w:noProof/>
        </w:rPr>
        <w:t>.1</w:t>
      </w:r>
      <w:r w:rsidRPr="000A0A5F">
        <w:rPr>
          <w:noProof/>
        </w:rPr>
        <w:tab/>
        <w:t>Description</w:t>
      </w:r>
      <w:bookmarkEnd w:id="9515"/>
      <w:bookmarkEnd w:id="9516"/>
      <w:bookmarkEnd w:id="9517"/>
      <w:bookmarkEnd w:id="9518"/>
      <w:bookmarkEnd w:id="9519"/>
      <w:bookmarkEnd w:id="9520"/>
    </w:p>
    <w:p w:rsidR="00CB0DD7" w:rsidRPr="000A0A5F" w:rsidRDefault="00CB0DD7">
      <w:pPr>
        <w:rPr>
          <w:noProof/>
          <w:lang w:eastAsia="zh-CN"/>
        </w:rPr>
      </w:pPr>
      <w:r w:rsidRPr="000A0A5F">
        <w:rPr>
          <w:noProof/>
          <w:lang w:eastAsia="zh-CN"/>
        </w:rPr>
        <w:t xml:space="preserve">The </w:t>
      </w:r>
      <w:r w:rsidRPr="000A0A5F">
        <w:t>Event Notification</w:t>
      </w:r>
      <w:r w:rsidRPr="000A0A5F">
        <w:rPr>
          <w:noProof/>
          <w:lang w:eastAsia="zh-CN"/>
        </w:rPr>
        <w:t xml:space="preserve"> allows t</w:t>
      </w:r>
      <w:r w:rsidRPr="000A0A5F">
        <w:rPr>
          <w:rFonts w:hint="eastAsia"/>
          <w:noProof/>
          <w:lang w:eastAsia="zh-CN"/>
        </w:rPr>
        <w:t xml:space="preserve">he </w:t>
      </w:r>
      <w:r w:rsidRPr="000A0A5F">
        <w:rPr>
          <w:noProof/>
          <w:lang w:eastAsia="zh-CN"/>
        </w:rPr>
        <w:t xml:space="preserve">SCEF to notify the SCS/AS of the bearer level event(s). </w:t>
      </w:r>
    </w:p>
    <w:p w:rsidR="00CB0DD7" w:rsidRPr="000A0A5F" w:rsidRDefault="00CB0DD7">
      <w:pPr>
        <w:pStyle w:val="Heading5"/>
        <w:rPr>
          <w:noProof/>
        </w:rPr>
      </w:pPr>
      <w:bookmarkStart w:id="9521" w:name="_Toc66361032"/>
      <w:bookmarkStart w:id="9522" w:name="_Toc68105537"/>
      <w:bookmarkStart w:id="9523" w:name="_Toc74756169"/>
      <w:bookmarkStart w:id="9524" w:name="_Toc105675046"/>
      <w:bookmarkStart w:id="9525" w:name="_Toc130503116"/>
      <w:bookmarkStart w:id="9526" w:name="_Toc153625908"/>
      <w:r w:rsidRPr="000A0A5F">
        <w:t>5.14.</w:t>
      </w:r>
      <w:r w:rsidR="00F040BC" w:rsidRPr="000A0A5F">
        <w:t>3A</w:t>
      </w:r>
      <w:r w:rsidRPr="000A0A5F">
        <w:t>.2</w:t>
      </w:r>
      <w:r w:rsidRPr="000A0A5F">
        <w:rPr>
          <w:noProof/>
        </w:rPr>
        <w:t>.2</w:t>
      </w:r>
      <w:r w:rsidRPr="000A0A5F">
        <w:rPr>
          <w:noProof/>
        </w:rPr>
        <w:tab/>
        <w:t>Target URI</w:t>
      </w:r>
      <w:bookmarkEnd w:id="9521"/>
      <w:bookmarkEnd w:id="9522"/>
      <w:bookmarkEnd w:id="9523"/>
      <w:bookmarkEnd w:id="9524"/>
      <w:bookmarkEnd w:id="9525"/>
      <w:bookmarkEnd w:id="9526"/>
    </w:p>
    <w:p w:rsidR="00CB0DD7" w:rsidRPr="000A0A5F" w:rsidRDefault="00CB0DD7">
      <w:pPr>
        <w:rPr>
          <w:rFonts w:ascii="Arial" w:hAnsi="Arial" w:cs="Arial"/>
          <w:noProof/>
        </w:rPr>
      </w:pPr>
      <w:r w:rsidRPr="000A0A5F">
        <w:rPr>
          <w:noProof/>
        </w:rPr>
        <w:t xml:space="preserve">The Callback URI </w:t>
      </w:r>
      <w:r w:rsidRPr="000A0A5F">
        <w:rPr>
          <w:b/>
          <w:noProof/>
        </w:rPr>
        <w:t>"{</w:t>
      </w:r>
      <w:r w:rsidRPr="000A0A5F">
        <w:t>notificationUri</w:t>
      </w:r>
      <w:r w:rsidRPr="000A0A5F">
        <w:rPr>
          <w:b/>
          <w:noProof/>
        </w:rPr>
        <w:t>}"</w:t>
      </w:r>
      <w:r w:rsidRPr="000A0A5F">
        <w:rPr>
          <w:noProof/>
        </w:rPr>
        <w:t xml:space="preserve"> shall be used with the callback URI variables defined in table </w:t>
      </w:r>
      <w:r w:rsidRPr="000A0A5F">
        <w:t>5.14.</w:t>
      </w:r>
      <w:r w:rsidR="00F040BC" w:rsidRPr="000A0A5F">
        <w:t>3A</w:t>
      </w:r>
      <w:r w:rsidRPr="000A0A5F">
        <w:t>.2</w:t>
      </w:r>
      <w:r w:rsidRPr="000A0A5F">
        <w:rPr>
          <w:noProof/>
        </w:rPr>
        <w:t>.2-1</w:t>
      </w:r>
      <w:r w:rsidRPr="000A0A5F">
        <w:rPr>
          <w:rFonts w:ascii="Arial" w:hAnsi="Arial" w:cs="Arial"/>
          <w:noProof/>
        </w:rPr>
        <w:t>.</w:t>
      </w:r>
    </w:p>
    <w:p w:rsidR="00CB0DD7" w:rsidRPr="000A0A5F" w:rsidRDefault="00CB0DD7">
      <w:pPr>
        <w:pStyle w:val="TH"/>
        <w:rPr>
          <w:rFonts w:cs="Arial"/>
          <w:noProof/>
        </w:rPr>
      </w:pPr>
      <w:r w:rsidRPr="000A0A5F">
        <w:rPr>
          <w:noProof/>
        </w:rPr>
        <w:t>Table </w:t>
      </w:r>
      <w:r w:rsidRPr="000A0A5F">
        <w:t>5.14.</w:t>
      </w:r>
      <w:r w:rsidR="00F040BC" w:rsidRPr="000A0A5F">
        <w:t>3A</w:t>
      </w:r>
      <w:r w:rsidRPr="000A0A5F">
        <w:t>.2</w:t>
      </w:r>
      <w:r w:rsidRPr="000A0A5F">
        <w:rPr>
          <w:noProof/>
        </w:rPr>
        <w:t>.2-1: Callback URI variables</w:t>
      </w:r>
    </w:p>
    <w:tbl>
      <w:tblPr>
        <w:tblW w:w="494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970"/>
        <w:gridCol w:w="1312"/>
        <w:gridCol w:w="6378"/>
      </w:tblGrid>
      <w:tr w:rsidR="00CB0DD7" w:rsidRPr="000A0A5F" w:rsidTr="00FF0AF8">
        <w:trPr>
          <w:jc w:val="center"/>
        </w:trPr>
        <w:tc>
          <w:tcPr>
            <w:tcW w:w="1020" w:type="pct"/>
            <w:shd w:val="clear" w:color="000000" w:fill="C0C0C0"/>
          </w:tcPr>
          <w:p w:rsidR="00CB0DD7" w:rsidRPr="000A0A5F" w:rsidRDefault="00CB0DD7">
            <w:pPr>
              <w:pStyle w:val="TAH"/>
            </w:pPr>
            <w:r w:rsidRPr="000A0A5F">
              <w:t>Name</w:t>
            </w:r>
          </w:p>
        </w:tc>
        <w:tc>
          <w:tcPr>
            <w:tcW w:w="679" w:type="pct"/>
            <w:shd w:val="clear" w:color="000000" w:fill="C0C0C0"/>
          </w:tcPr>
          <w:p w:rsidR="00CB0DD7" w:rsidRPr="000A0A5F" w:rsidRDefault="00CB0DD7">
            <w:pPr>
              <w:pStyle w:val="TAH"/>
            </w:pPr>
            <w:r w:rsidRPr="000A0A5F">
              <w:rPr>
                <w:rFonts w:hint="eastAsia"/>
                <w:lang w:eastAsia="zh-CN"/>
              </w:rPr>
              <w:t>D</w:t>
            </w:r>
            <w:r w:rsidRPr="000A0A5F">
              <w:rPr>
                <w:lang w:eastAsia="zh-CN"/>
              </w:rPr>
              <w:t>ata type</w:t>
            </w:r>
          </w:p>
        </w:tc>
        <w:tc>
          <w:tcPr>
            <w:tcW w:w="3301" w:type="pct"/>
            <w:shd w:val="clear" w:color="000000" w:fill="C0C0C0"/>
            <w:vAlign w:val="center"/>
          </w:tcPr>
          <w:p w:rsidR="00CB0DD7" w:rsidRPr="000A0A5F" w:rsidRDefault="00CB0DD7">
            <w:pPr>
              <w:pStyle w:val="TAH"/>
            </w:pPr>
            <w:r w:rsidRPr="000A0A5F">
              <w:t>Definition</w:t>
            </w:r>
          </w:p>
        </w:tc>
      </w:tr>
      <w:tr w:rsidR="00CB0DD7" w:rsidRPr="000A0A5F" w:rsidTr="00FF0AF8">
        <w:trPr>
          <w:jc w:val="center"/>
        </w:trPr>
        <w:tc>
          <w:tcPr>
            <w:tcW w:w="1020" w:type="pct"/>
            <w:shd w:val="clear" w:color="auto" w:fill="auto"/>
          </w:tcPr>
          <w:p w:rsidR="00CB0DD7" w:rsidRPr="000A0A5F" w:rsidRDefault="00CB0DD7">
            <w:pPr>
              <w:pStyle w:val="TAL"/>
              <w:rPr>
                <w:lang w:eastAsia="zh-CN"/>
              </w:rPr>
            </w:pPr>
            <w:r w:rsidRPr="000A0A5F">
              <w:t>notificationUri</w:t>
            </w:r>
          </w:p>
        </w:tc>
        <w:tc>
          <w:tcPr>
            <w:tcW w:w="679" w:type="pct"/>
          </w:tcPr>
          <w:p w:rsidR="00CB0DD7" w:rsidRPr="000A0A5F" w:rsidRDefault="00CB0DD7">
            <w:pPr>
              <w:pStyle w:val="TAL"/>
            </w:pPr>
            <w:r w:rsidRPr="000A0A5F">
              <w:rPr>
                <w:rFonts w:hint="eastAsia"/>
                <w:lang w:eastAsia="zh-CN"/>
              </w:rPr>
              <w:t>L</w:t>
            </w:r>
            <w:r w:rsidRPr="000A0A5F">
              <w:rPr>
                <w:lang w:eastAsia="zh-CN"/>
              </w:rPr>
              <w:t>ink</w:t>
            </w:r>
          </w:p>
        </w:tc>
        <w:tc>
          <w:tcPr>
            <w:tcW w:w="3301" w:type="pct"/>
            <w:shd w:val="clear" w:color="auto" w:fill="auto"/>
            <w:vAlign w:val="center"/>
          </w:tcPr>
          <w:p w:rsidR="00CB0DD7" w:rsidRPr="000A0A5F" w:rsidRDefault="00CB0DD7">
            <w:pPr>
              <w:pStyle w:val="TAL"/>
            </w:pPr>
            <w:r w:rsidRPr="000A0A5F">
              <w:t>Reference provided by the SCS/AS when the SCS/AS requests to sponsor the traffic from the beginning or to become the chargeable party at a later point.</w:t>
            </w:r>
          </w:p>
          <w:p w:rsidR="00CB0DD7" w:rsidRPr="000A0A5F" w:rsidRDefault="00CB0DD7">
            <w:pPr>
              <w:pStyle w:val="TAL"/>
            </w:pPr>
            <w:r w:rsidRPr="000A0A5F">
              <w:rPr>
                <w:rFonts w:cs="Arial"/>
                <w:szCs w:val="18"/>
                <w:lang w:eastAsia="zh-CN"/>
              </w:rPr>
              <w:t xml:space="preserve">This URI shall be provided within the "notificationDestination" attribute in the </w:t>
            </w:r>
            <w:r w:rsidRPr="000A0A5F">
              <w:t>AsSessionWithQoSSubscription</w:t>
            </w:r>
            <w:r w:rsidRPr="000A0A5F">
              <w:rPr>
                <w:rFonts w:cs="Arial"/>
                <w:szCs w:val="18"/>
                <w:lang w:eastAsia="zh-CN"/>
              </w:rPr>
              <w:t xml:space="preserve"> type.</w:t>
            </w:r>
          </w:p>
        </w:tc>
      </w:tr>
    </w:tbl>
    <w:p w:rsidR="00CB0DD7" w:rsidRPr="000A0A5F" w:rsidRDefault="00CB0DD7"/>
    <w:p w:rsidR="00CB0DD7" w:rsidRPr="000A0A5F" w:rsidRDefault="00CB0DD7">
      <w:pPr>
        <w:pStyle w:val="Heading5"/>
        <w:rPr>
          <w:noProof/>
        </w:rPr>
      </w:pPr>
      <w:bookmarkStart w:id="9527" w:name="_Toc66361033"/>
      <w:bookmarkStart w:id="9528" w:name="_Toc68105538"/>
      <w:bookmarkStart w:id="9529" w:name="_Toc74756170"/>
      <w:bookmarkStart w:id="9530" w:name="_Toc105675047"/>
      <w:bookmarkStart w:id="9531" w:name="_Toc130503117"/>
      <w:bookmarkStart w:id="9532" w:name="_Toc153625909"/>
      <w:r w:rsidRPr="000A0A5F">
        <w:t>5.14.</w:t>
      </w:r>
      <w:r w:rsidR="00F040BC" w:rsidRPr="000A0A5F">
        <w:t>3A</w:t>
      </w:r>
      <w:r w:rsidRPr="000A0A5F">
        <w:t>.2</w:t>
      </w:r>
      <w:r w:rsidRPr="000A0A5F">
        <w:rPr>
          <w:noProof/>
        </w:rPr>
        <w:t>.3</w:t>
      </w:r>
      <w:r w:rsidRPr="000A0A5F">
        <w:rPr>
          <w:noProof/>
        </w:rPr>
        <w:tab/>
        <w:t>Standard Methods</w:t>
      </w:r>
      <w:bookmarkEnd w:id="9527"/>
      <w:bookmarkEnd w:id="9528"/>
      <w:bookmarkEnd w:id="9529"/>
      <w:bookmarkEnd w:id="9530"/>
      <w:bookmarkEnd w:id="9531"/>
      <w:bookmarkEnd w:id="9532"/>
    </w:p>
    <w:p w:rsidR="00CB0DD7" w:rsidRPr="000A0A5F" w:rsidRDefault="00CB0DD7">
      <w:pPr>
        <w:pStyle w:val="Heading6"/>
        <w:rPr>
          <w:noProof/>
        </w:rPr>
      </w:pPr>
      <w:bookmarkStart w:id="9533" w:name="_Toc66361034"/>
      <w:bookmarkStart w:id="9534" w:name="_Toc68105539"/>
      <w:bookmarkStart w:id="9535" w:name="_Toc74756171"/>
      <w:bookmarkStart w:id="9536" w:name="_Toc105675048"/>
      <w:bookmarkStart w:id="9537" w:name="_Toc130503118"/>
      <w:bookmarkStart w:id="9538" w:name="_Toc153625910"/>
      <w:r w:rsidRPr="000A0A5F">
        <w:t>5.14.</w:t>
      </w:r>
      <w:r w:rsidR="00F040BC" w:rsidRPr="000A0A5F">
        <w:t>3A</w:t>
      </w:r>
      <w:r w:rsidRPr="000A0A5F">
        <w:t>.2.3</w:t>
      </w:r>
      <w:r w:rsidRPr="000A0A5F">
        <w:rPr>
          <w:noProof/>
        </w:rPr>
        <w:t>.1</w:t>
      </w:r>
      <w:r w:rsidRPr="000A0A5F">
        <w:rPr>
          <w:noProof/>
        </w:rPr>
        <w:tab/>
      </w:r>
      <w:r w:rsidRPr="000A0A5F">
        <w:t>Notification via POST</w:t>
      </w:r>
      <w:bookmarkEnd w:id="9533"/>
      <w:bookmarkEnd w:id="9534"/>
      <w:bookmarkEnd w:id="9535"/>
      <w:bookmarkEnd w:id="9536"/>
      <w:bookmarkEnd w:id="9537"/>
      <w:bookmarkEnd w:id="9538"/>
    </w:p>
    <w:p w:rsidR="00CB0DD7" w:rsidRPr="000A0A5F" w:rsidRDefault="00CB0DD7">
      <w:pPr>
        <w:rPr>
          <w:noProof/>
          <w:lang w:eastAsia="zh-CN"/>
        </w:rPr>
      </w:pPr>
      <w:r w:rsidRPr="000A0A5F">
        <w:rPr>
          <w:noProof/>
          <w:lang w:eastAsia="zh-CN"/>
        </w:rPr>
        <w:t>The POST method allows to notify SCS/AS of the bearer level event(s) by the SCEF and the SCS/AS shall respond to the message.</w:t>
      </w:r>
    </w:p>
    <w:p w:rsidR="00CB0DD7" w:rsidRPr="000A0A5F" w:rsidRDefault="00CB0DD7">
      <w:pPr>
        <w:rPr>
          <w:noProof/>
        </w:rPr>
      </w:pPr>
      <w:r w:rsidRPr="000A0A5F">
        <w:rPr>
          <w:noProof/>
        </w:rPr>
        <w:t>This method shall support the request data structures specified in table </w:t>
      </w:r>
      <w:r w:rsidRPr="000A0A5F">
        <w:t>5.14.</w:t>
      </w:r>
      <w:r w:rsidR="00F040BC" w:rsidRPr="000A0A5F">
        <w:t>3A</w:t>
      </w:r>
      <w:r w:rsidRPr="000A0A5F">
        <w:t>.2</w:t>
      </w:r>
      <w:r w:rsidRPr="000A0A5F">
        <w:rPr>
          <w:noProof/>
        </w:rPr>
        <w:t>.3.1-1 and the response data structures and response codes specified in table </w:t>
      </w:r>
      <w:r w:rsidRPr="000A0A5F">
        <w:t>5.14.</w:t>
      </w:r>
      <w:r w:rsidR="00F040BC" w:rsidRPr="000A0A5F">
        <w:t>3A</w:t>
      </w:r>
      <w:r w:rsidRPr="000A0A5F">
        <w:t>.2</w:t>
      </w:r>
      <w:r w:rsidRPr="000A0A5F">
        <w:rPr>
          <w:noProof/>
        </w:rPr>
        <w:t>.3.1-2.</w:t>
      </w:r>
    </w:p>
    <w:p w:rsidR="00CB0DD7" w:rsidRPr="000A0A5F" w:rsidRDefault="00CB0DD7">
      <w:pPr>
        <w:pStyle w:val="TH"/>
        <w:rPr>
          <w:noProof/>
        </w:rPr>
      </w:pPr>
      <w:r w:rsidRPr="000A0A5F">
        <w:rPr>
          <w:noProof/>
        </w:rPr>
        <w:t>Table </w:t>
      </w:r>
      <w:r w:rsidRPr="000A0A5F">
        <w:t>5.14.</w:t>
      </w:r>
      <w:r w:rsidR="00F040BC" w:rsidRPr="000A0A5F">
        <w:t>3A</w:t>
      </w:r>
      <w:r w:rsidRPr="000A0A5F">
        <w:t>.2</w:t>
      </w:r>
      <w:r w:rsidRPr="000A0A5F">
        <w:rPr>
          <w:noProof/>
        </w:rPr>
        <w:t>.3.1-1: Data structures supported by the POST Request Body</w:t>
      </w:r>
    </w:p>
    <w:tbl>
      <w:tblPr>
        <w:tblW w:w="9670" w:type="dxa"/>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3340"/>
        <w:gridCol w:w="1170"/>
        <w:gridCol w:w="5160"/>
      </w:tblGrid>
      <w:tr w:rsidR="00CB0DD7" w:rsidRPr="000A0A5F" w:rsidTr="00846044">
        <w:trPr>
          <w:jc w:val="center"/>
        </w:trPr>
        <w:tc>
          <w:tcPr>
            <w:tcW w:w="3340" w:type="dxa"/>
            <w:tcBorders>
              <w:bottom w:val="single" w:sz="6" w:space="0" w:color="auto"/>
            </w:tcBorders>
            <w:shd w:val="clear" w:color="auto" w:fill="C0C0C0"/>
            <w:hideMark/>
          </w:tcPr>
          <w:p w:rsidR="00CB0DD7" w:rsidRPr="000A0A5F" w:rsidRDefault="00CB0DD7">
            <w:pPr>
              <w:pStyle w:val="TAH"/>
              <w:rPr>
                <w:noProof/>
              </w:rPr>
            </w:pPr>
            <w:r w:rsidRPr="000A0A5F">
              <w:rPr>
                <w:noProof/>
              </w:rPr>
              <w:t>Data type</w:t>
            </w:r>
          </w:p>
        </w:tc>
        <w:tc>
          <w:tcPr>
            <w:tcW w:w="1170" w:type="dxa"/>
            <w:tcBorders>
              <w:bottom w:val="single" w:sz="6" w:space="0" w:color="auto"/>
            </w:tcBorders>
            <w:shd w:val="clear" w:color="auto" w:fill="C0C0C0"/>
            <w:hideMark/>
          </w:tcPr>
          <w:p w:rsidR="00CB0DD7" w:rsidRPr="000A0A5F" w:rsidRDefault="00CB0DD7">
            <w:pPr>
              <w:pStyle w:val="TAH"/>
              <w:rPr>
                <w:noProof/>
              </w:rPr>
            </w:pPr>
            <w:r w:rsidRPr="000A0A5F">
              <w:rPr>
                <w:noProof/>
              </w:rPr>
              <w:t>Cardinality</w:t>
            </w:r>
          </w:p>
        </w:tc>
        <w:tc>
          <w:tcPr>
            <w:tcW w:w="5160" w:type="dxa"/>
            <w:tcBorders>
              <w:bottom w:val="single" w:sz="6" w:space="0" w:color="auto"/>
            </w:tcBorders>
            <w:shd w:val="clear" w:color="auto" w:fill="C0C0C0"/>
            <w:vAlign w:val="center"/>
            <w:hideMark/>
          </w:tcPr>
          <w:p w:rsidR="00CB0DD7" w:rsidRPr="000A0A5F" w:rsidRDefault="00CB0DD7">
            <w:pPr>
              <w:pStyle w:val="TAH"/>
              <w:rPr>
                <w:noProof/>
              </w:rPr>
            </w:pPr>
            <w:r w:rsidRPr="000A0A5F">
              <w:rPr>
                <w:noProof/>
              </w:rPr>
              <w:t>Description</w:t>
            </w:r>
          </w:p>
        </w:tc>
      </w:tr>
      <w:tr w:rsidR="00CB0DD7" w:rsidRPr="000A0A5F" w:rsidTr="00846044">
        <w:trPr>
          <w:jc w:val="center"/>
        </w:trPr>
        <w:tc>
          <w:tcPr>
            <w:tcW w:w="3340" w:type="dxa"/>
            <w:tcBorders>
              <w:top w:val="single" w:sz="6" w:space="0" w:color="auto"/>
            </w:tcBorders>
          </w:tcPr>
          <w:p w:rsidR="00CB0DD7" w:rsidRPr="000A0A5F" w:rsidRDefault="00CB0DD7">
            <w:pPr>
              <w:pStyle w:val="TAL"/>
              <w:rPr>
                <w:noProof/>
              </w:rPr>
            </w:pPr>
            <w:r w:rsidRPr="000A0A5F">
              <w:rPr>
                <w:lang w:eastAsia="zh-CN"/>
              </w:rPr>
              <w:t>UserPlane</w:t>
            </w:r>
            <w:r w:rsidRPr="000A0A5F">
              <w:rPr>
                <w:rFonts w:hint="eastAsia"/>
                <w:lang w:eastAsia="zh-CN"/>
              </w:rPr>
              <w:t>NotificationData</w:t>
            </w:r>
          </w:p>
        </w:tc>
        <w:tc>
          <w:tcPr>
            <w:tcW w:w="1170" w:type="dxa"/>
            <w:tcBorders>
              <w:top w:val="single" w:sz="6" w:space="0" w:color="auto"/>
            </w:tcBorders>
          </w:tcPr>
          <w:p w:rsidR="00CB0DD7" w:rsidRPr="000A0A5F" w:rsidRDefault="00CB0DD7">
            <w:pPr>
              <w:pStyle w:val="TAC"/>
              <w:rPr>
                <w:noProof/>
                <w:lang w:eastAsia="zh-CN"/>
              </w:rPr>
            </w:pPr>
            <w:r w:rsidRPr="000A0A5F">
              <w:rPr>
                <w:rFonts w:hint="eastAsia"/>
                <w:lang w:eastAsia="zh-CN"/>
              </w:rPr>
              <w:t>1</w:t>
            </w:r>
          </w:p>
        </w:tc>
        <w:tc>
          <w:tcPr>
            <w:tcW w:w="5160" w:type="dxa"/>
            <w:tcBorders>
              <w:top w:val="single" w:sz="6" w:space="0" w:color="auto"/>
            </w:tcBorders>
          </w:tcPr>
          <w:p w:rsidR="00CB0DD7" w:rsidRPr="000A0A5F" w:rsidRDefault="00CB0DD7">
            <w:pPr>
              <w:pStyle w:val="TAL"/>
              <w:rPr>
                <w:noProof/>
              </w:rPr>
            </w:pPr>
            <w:r w:rsidRPr="000A0A5F">
              <w:t>Representation of the bearer level notification.</w:t>
            </w:r>
          </w:p>
        </w:tc>
      </w:tr>
    </w:tbl>
    <w:p w:rsidR="00CB0DD7" w:rsidRPr="000A0A5F" w:rsidRDefault="00CB0DD7">
      <w:pPr>
        <w:rPr>
          <w:noProof/>
        </w:rPr>
      </w:pPr>
    </w:p>
    <w:p w:rsidR="00CB0DD7" w:rsidRPr="000A0A5F" w:rsidRDefault="00CB0DD7">
      <w:pPr>
        <w:pStyle w:val="TH"/>
        <w:rPr>
          <w:noProof/>
        </w:rPr>
      </w:pPr>
      <w:r w:rsidRPr="000A0A5F">
        <w:rPr>
          <w:noProof/>
        </w:rPr>
        <w:t>Table </w:t>
      </w:r>
      <w:r w:rsidRPr="000A0A5F">
        <w:t>5.14.</w:t>
      </w:r>
      <w:r w:rsidR="00F040BC" w:rsidRPr="000A0A5F">
        <w:t>3A</w:t>
      </w:r>
      <w:r w:rsidRPr="000A0A5F">
        <w:t>.2</w:t>
      </w:r>
      <w:r w:rsidRPr="000A0A5F">
        <w:rPr>
          <w:noProof/>
        </w:rPr>
        <w:t>.3.1-2: Data structures supported by the POST Response Body</w:t>
      </w:r>
    </w:p>
    <w:tbl>
      <w:tblPr>
        <w:tblW w:w="961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293"/>
        <w:gridCol w:w="1259"/>
        <w:gridCol w:w="1441"/>
        <w:gridCol w:w="4619"/>
      </w:tblGrid>
      <w:tr w:rsidR="00CB0DD7" w:rsidRPr="000A0A5F" w:rsidTr="00FF0AF8">
        <w:trPr>
          <w:jc w:val="center"/>
        </w:trPr>
        <w:tc>
          <w:tcPr>
            <w:tcW w:w="2293" w:type="dxa"/>
            <w:shd w:val="clear" w:color="auto" w:fill="C0C0C0"/>
            <w:hideMark/>
          </w:tcPr>
          <w:p w:rsidR="00CB0DD7" w:rsidRPr="000A0A5F" w:rsidRDefault="00CB0DD7">
            <w:pPr>
              <w:pStyle w:val="TAH"/>
              <w:rPr>
                <w:noProof/>
              </w:rPr>
            </w:pPr>
            <w:r w:rsidRPr="000A0A5F">
              <w:rPr>
                <w:noProof/>
              </w:rPr>
              <w:t>Data type</w:t>
            </w:r>
          </w:p>
        </w:tc>
        <w:tc>
          <w:tcPr>
            <w:tcW w:w="1259" w:type="dxa"/>
            <w:shd w:val="clear" w:color="auto" w:fill="C0C0C0"/>
            <w:hideMark/>
          </w:tcPr>
          <w:p w:rsidR="00CB0DD7" w:rsidRPr="000A0A5F" w:rsidRDefault="00CB0DD7">
            <w:pPr>
              <w:pStyle w:val="TAH"/>
              <w:rPr>
                <w:noProof/>
              </w:rPr>
            </w:pPr>
            <w:r w:rsidRPr="000A0A5F">
              <w:rPr>
                <w:noProof/>
              </w:rPr>
              <w:t>Cardinality</w:t>
            </w:r>
          </w:p>
        </w:tc>
        <w:tc>
          <w:tcPr>
            <w:tcW w:w="1441" w:type="dxa"/>
            <w:shd w:val="clear" w:color="auto" w:fill="C0C0C0"/>
            <w:hideMark/>
          </w:tcPr>
          <w:p w:rsidR="00CB0DD7" w:rsidRPr="000A0A5F" w:rsidRDefault="00CB0DD7">
            <w:pPr>
              <w:pStyle w:val="TAH"/>
              <w:rPr>
                <w:noProof/>
              </w:rPr>
            </w:pPr>
            <w:r w:rsidRPr="000A0A5F">
              <w:rPr>
                <w:noProof/>
              </w:rPr>
              <w:t>Response codes</w:t>
            </w:r>
          </w:p>
        </w:tc>
        <w:tc>
          <w:tcPr>
            <w:tcW w:w="4619" w:type="dxa"/>
            <w:shd w:val="clear" w:color="auto" w:fill="C0C0C0"/>
            <w:hideMark/>
          </w:tcPr>
          <w:p w:rsidR="00CB0DD7" w:rsidRPr="000A0A5F" w:rsidRDefault="00CB0DD7">
            <w:pPr>
              <w:pStyle w:val="TAH"/>
              <w:rPr>
                <w:noProof/>
              </w:rPr>
            </w:pPr>
            <w:r w:rsidRPr="000A0A5F">
              <w:rPr>
                <w:noProof/>
              </w:rPr>
              <w:t>Description</w:t>
            </w:r>
          </w:p>
        </w:tc>
      </w:tr>
      <w:tr w:rsidR="00CB0DD7" w:rsidRPr="000A0A5F" w:rsidTr="00FF0AF8">
        <w:trPr>
          <w:jc w:val="center"/>
        </w:trPr>
        <w:tc>
          <w:tcPr>
            <w:tcW w:w="2293" w:type="dxa"/>
          </w:tcPr>
          <w:p w:rsidR="00CB0DD7" w:rsidRPr="000A0A5F" w:rsidRDefault="00CB0DD7">
            <w:pPr>
              <w:pStyle w:val="TAL"/>
              <w:rPr>
                <w:noProof/>
              </w:rPr>
            </w:pPr>
            <w:r w:rsidRPr="000A0A5F">
              <w:rPr>
                <w:rFonts w:hint="eastAsia"/>
                <w:lang w:eastAsia="zh-CN"/>
              </w:rPr>
              <w:t>none</w:t>
            </w:r>
          </w:p>
        </w:tc>
        <w:tc>
          <w:tcPr>
            <w:tcW w:w="1259" w:type="dxa"/>
          </w:tcPr>
          <w:p w:rsidR="00CB0DD7" w:rsidRPr="000A0A5F" w:rsidRDefault="00CB0DD7">
            <w:pPr>
              <w:pStyle w:val="TAC"/>
              <w:rPr>
                <w:noProof/>
              </w:rPr>
            </w:pPr>
          </w:p>
        </w:tc>
        <w:tc>
          <w:tcPr>
            <w:tcW w:w="1441" w:type="dxa"/>
          </w:tcPr>
          <w:p w:rsidR="00CB0DD7" w:rsidRPr="000A0A5F" w:rsidRDefault="00CB0DD7">
            <w:pPr>
              <w:pStyle w:val="TAL"/>
              <w:rPr>
                <w:noProof/>
              </w:rPr>
            </w:pPr>
            <w:r w:rsidRPr="000A0A5F">
              <w:rPr>
                <w:lang w:eastAsia="zh-CN"/>
              </w:rPr>
              <w:t>204 No Content</w:t>
            </w:r>
          </w:p>
        </w:tc>
        <w:tc>
          <w:tcPr>
            <w:tcW w:w="4619" w:type="dxa"/>
          </w:tcPr>
          <w:p w:rsidR="00CB0DD7" w:rsidRPr="000A0A5F" w:rsidRDefault="00CB0DD7">
            <w:pPr>
              <w:pStyle w:val="TAL"/>
              <w:rPr>
                <w:noProof/>
              </w:rPr>
            </w:pPr>
            <w:r w:rsidRPr="000A0A5F">
              <w:t>This case represents a successful notification of bearer level event(s)</w:t>
            </w:r>
            <w:r w:rsidRPr="000A0A5F">
              <w:rPr>
                <w:rFonts w:hint="eastAsia"/>
                <w:lang w:eastAsia="zh-CN"/>
              </w:rPr>
              <w:t>.</w:t>
            </w:r>
          </w:p>
        </w:tc>
      </w:tr>
      <w:tr w:rsidR="00CB0DD7" w:rsidRPr="000A0A5F" w:rsidTr="00FF0AF8">
        <w:trPr>
          <w:jc w:val="center"/>
        </w:trPr>
        <w:tc>
          <w:tcPr>
            <w:tcW w:w="2293" w:type="dxa"/>
          </w:tcPr>
          <w:p w:rsidR="00CB0DD7" w:rsidRPr="000A0A5F" w:rsidRDefault="00CB0DD7">
            <w:pPr>
              <w:pStyle w:val="TAL"/>
              <w:rPr>
                <w:rFonts w:hint="eastAsia"/>
                <w:lang w:eastAsia="zh-CN"/>
              </w:rPr>
            </w:pPr>
            <w:r w:rsidRPr="000A0A5F">
              <w:t>none</w:t>
            </w:r>
          </w:p>
        </w:tc>
        <w:tc>
          <w:tcPr>
            <w:tcW w:w="1259" w:type="dxa"/>
          </w:tcPr>
          <w:p w:rsidR="00CB0DD7" w:rsidRPr="000A0A5F" w:rsidRDefault="00CB0DD7">
            <w:pPr>
              <w:pStyle w:val="TAC"/>
              <w:rPr>
                <w:noProof/>
              </w:rPr>
            </w:pPr>
          </w:p>
        </w:tc>
        <w:tc>
          <w:tcPr>
            <w:tcW w:w="1441" w:type="dxa"/>
          </w:tcPr>
          <w:p w:rsidR="00CB0DD7" w:rsidRPr="000A0A5F" w:rsidRDefault="00CB0DD7">
            <w:pPr>
              <w:pStyle w:val="TAL"/>
              <w:rPr>
                <w:lang w:eastAsia="zh-CN"/>
              </w:rPr>
            </w:pPr>
            <w:r w:rsidRPr="000A0A5F">
              <w:t>307 Temporary Redirect</w:t>
            </w:r>
          </w:p>
        </w:tc>
        <w:tc>
          <w:tcPr>
            <w:tcW w:w="4619" w:type="dxa"/>
          </w:tcPr>
          <w:p w:rsidR="00CB0DD7" w:rsidRPr="000A0A5F" w:rsidRDefault="00CB0DD7">
            <w:pPr>
              <w:pStyle w:val="TAL"/>
            </w:pPr>
            <w:r w:rsidRPr="000A0A5F">
              <w:t>Temporary redirection, during event notification. The response shall include a Location header field containing an alternative URI representing the end point of an alternative SCS/AS where the notification should be sent.</w:t>
            </w:r>
          </w:p>
          <w:p w:rsidR="00CB0DD7" w:rsidRPr="000A0A5F" w:rsidRDefault="00CB0DD7">
            <w:pPr>
              <w:pStyle w:val="TAL"/>
            </w:pPr>
            <w:r w:rsidRPr="000A0A5F">
              <w:t>Redirection handling is described in clause 5.2.10.</w:t>
            </w:r>
          </w:p>
        </w:tc>
      </w:tr>
      <w:tr w:rsidR="00CB0DD7" w:rsidRPr="000A0A5F" w:rsidTr="00FF0AF8">
        <w:trPr>
          <w:jc w:val="center"/>
        </w:trPr>
        <w:tc>
          <w:tcPr>
            <w:tcW w:w="2293" w:type="dxa"/>
          </w:tcPr>
          <w:p w:rsidR="00CB0DD7" w:rsidRPr="000A0A5F" w:rsidRDefault="00CB0DD7">
            <w:pPr>
              <w:pStyle w:val="TAL"/>
              <w:rPr>
                <w:rFonts w:hint="eastAsia"/>
                <w:lang w:eastAsia="zh-CN"/>
              </w:rPr>
            </w:pPr>
            <w:r w:rsidRPr="000A0A5F">
              <w:t>none</w:t>
            </w:r>
          </w:p>
        </w:tc>
        <w:tc>
          <w:tcPr>
            <w:tcW w:w="1259" w:type="dxa"/>
          </w:tcPr>
          <w:p w:rsidR="00CB0DD7" w:rsidRPr="000A0A5F" w:rsidRDefault="00CB0DD7">
            <w:pPr>
              <w:pStyle w:val="TAC"/>
              <w:rPr>
                <w:noProof/>
              </w:rPr>
            </w:pPr>
          </w:p>
        </w:tc>
        <w:tc>
          <w:tcPr>
            <w:tcW w:w="1441" w:type="dxa"/>
          </w:tcPr>
          <w:p w:rsidR="00CB0DD7" w:rsidRPr="000A0A5F" w:rsidRDefault="00CB0DD7">
            <w:pPr>
              <w:pStyle w:val="TAL"/>
              <w:rPr>
                <w:lang w:eastAsia="zh-CN"/>
              </w:rPr>
            </w:pPr>
            <w:r w:rsidRPr="000A0A5F">
              <w:t>308 Permanent Redirect</w:t>
            </w:r>
          </w:p>
        </w:tc>
        <w:tc>
          <w:tcPr>
            <w:tcW w:w="4619" w:type="dxa"/>
          </w:tcPr>
          <w:p w:rsidR="00CB0DD7" w:rsidRPr="000A0A5F" w:rsidRDefault="00CB0DD7">
            <w:pPr>
              <w:pStyle w:val="TAL"/>
            </w:pPr>
            <w:r w:rsidRPr="000A0A5F">
              <w:t>Permanent redirection, during event notification. The response shall include a Location header field containing an alternative URI representing the end point of an alternative SCS/AS where the notification should be sent.</w:t>
            </w:r>
          </w:p>
          <w:p w:rsidR="00CB0DD7" w:rsidRPr="000A0A5F" w:rsidRDefault="00CB0DD7">
            <w:pPr>
              <w:pStyle w:val="TAL"/>
            </w:pPr>
            <w:r w:rsidRPr="000A0A5F">
              <w:t>Redirection handling is described in clause 5.2.10.</w:t>
            </w:r>
          </w:p>
        </w:tc>
      </w:tr>
      <w:tr w:rsidR="00CB0DD7" w:rsidRPr="000A0A5F" w:rsidTr="00FF0AF8">
        <w:trPr>
          <w:jc w:val="center"/>
        </w:trPr>
        <w:tc>
          <w:tcPr>
            <w:tcW w:w="9612" w:type="dxa"/>
            <w:gridSpan w:val="4"/>
          </w:tcPr>
          <w:p w:rsidR="00CB0DD7" w:rsidRPr="000A0A5F" w:rsidRDefault="00CB0DD7">
            <w:pPr>
              <w:pStyle w:val="TAN"/>
            </w:pPr>
            <w:r w:rsidRPr="000A0A5F">
              <w:t>NOTE:</w:t>
            </w:r>
            <w:r w:rsidRPr="000A0A5F">
              <w:tab/>
              <w:t>The mandatory HTTP error status codes for the POST method listed in table 5.2.6-1 also apply.</w:t>
            </w:r>
          </w:p>
        </w:tc>
      </w:tr>
    </w:tbl>
    <w:p w:rsidR="00CB0DD7" w:rsidRPr="000A0A5F" w:rsidRDefault="00CB0DD7">
      <w:pPr>
        <w:rPr>
          <w:noProof/>
        </w:rPr>
      </w:pPr>
    </w:p>
    <w:p w:rsidR="00CB0DD7" w:rsidRPr="000A0A5F" w:rsidRDefault="002E466A">
      <w:pPr>
        <w:pStyle w:val="TH"/>
      </w:pPr>
      <w:r w:rsidRPr="000A0A5F">
        <w:t>Table </w:t>
      </w:r>
      <w:r w:rsidR="00CB0DD7" w:rsidRPr="000A0A5F">
        <w:t>5.14.</w:t>
      </w:r>
      <w:r w:rsidR="00F040BC" w:rsidRPr="000A0A5F">
        <w:t>3A</w:t>
      </w:r>
      <w:r w:rsidR="00CB0DD7" w:rsidRPr="000A0A5F">
        <w:t>.2</w:t>
      </w:r>
      <w:r w:rsidR="00CB0DD7" w:rsidRPr="000A0A5F">
        <w:rPr>
          <w:noProof/>
        </w:rPr>
        <w:t>.3.1</w:t>
      </w:r>
      <w:r w:rsidR="00CB0DD7" w:rsidRPr="000A0A5F">
        <w:t>-3: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representing the end point of an alternative SCS/AS towards which the notification should be redirected.</w:t>
            </w:r>
          </w:p>
        </w:tc>
      </w:tr>
    </w:tbl>
    <w:p w:rsidR="00CB0DD7" w:rsidRPr="000A0A5F" w:rsidRDefault="00CB0DD7"/>
    <w:p w:rsidR="00CB0DD7" w:rsidRPr="000A0A5F" w:rsidRDefault="002E466A">
      <w:pPr>
        <w:pStyle w:val="TH"/>
      </w:pPr>
      <w:r w:rsidRPr="000A0A5F">
        <w:t>Table </w:t>
      </w:r>
      <w:r w:rsidR="00CB0DD7" w:rsidRPr="000A0A5F">
        <w:t>5.14.</w:t>
      </w:r>
      <w:r w:rsidR="00F040BC" w:rsidRPr="000A0A5F">
        <w:t>3A</w:t>
      </w:r>
      <w:r w:rsidR="00CB0DD7" w:rsidRPr="000A0A5F">
        <w:t>.2</w:t>
      </w:r>
      <w:r w:rsidR="00CB0DD7" w:rsidRPr="000A0A5F">
        <w:rPr>
          <w:noProof/>
        </w:rPr>
        <w:t>.3.1</w:t>
      </w:r>
      <w:r w:rsidR="00CB0DD7" w:rsidRPr="000A0A5F">
        <w:t>-4: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representing the end point of an alternative SCS/AS towards which the notification should be redirected.</w:t>
            </w:r>
          </w:p>
        </w:tc>
      </w:tr>
    </w:tbl>
    <w:p w:rsidR="00CB0DD7" w:rsidRPr="000A0A5F" w:rsidRDefault="00CB0DD7">
      <w:pPr>
        <w:rPr>
          <w:noProof/>
        </w:rPr>
      </w:pPr>
    </w:p>
    <w:p w:rsidR="00CB0DD7" w:rsidRPr="000A0A5F" w:rsidRDefault="00CB0DD7">
      <w:pPr>
        <w:pStyle w:val="Heading6"/>
        <w:rPr>
          <w:noProof/>
        </w:rPr>
      </w:pPr>
      <w:bookmarkStart w:id="9539" w:name="_Toc66361035"/>
      <w:bookmarkStart w:id="9540" w:name="_Toc68105540"/>
      <w:bookmarkStart w:id="9541" w:name="_Toc74756172"/>
      <w:bookmarkStart w:id="9542" w:name="_Toc105675049"/>
      <w:bookmarkStart w:id="9543" w:name="_Toc130503119"/>
      <w:bookmarkStart w:id="9544" w:name="_Toc153625911"/>
      <w:r w:rsidRPr="000A0A5F">
        <w:t>5.14.</w:t>
      </w:r>
      <w:r w:rsidR="00F040BC" w:rsidRPr="000A0A5F">
        <w:t>3A</w:t>
      </w:r>
      <w:r w:rsidRPr="000A0A5F">
        <w:t>.2.3</w:t>
      </w:r>
      <w:r w:rsidRPr="000A0A5F">
        <w:rPr>
          <w:noProof/>
        </w:rPr>
        <w:t>.2</w:t>
      </w:r>
      <w:r w:rsidRPr="000A0A5F">
        <w:rPr>
          <w:noProof/>
        </w:rPr>
        <w:tab/>
      </w:r>
      <w:r w:rsidRPr="000A0A5F">
        <w:t>Notification via Websocket</w:t>
      </w:r>
      <w:bookmarkEnd w:id="9539"/>
      <w:bookmarkEnd w:id="9540"/>
      <w:bookmarkEnd w:id="9541"/>
      <w:bookmarkEnd w:id="9542"/>
      <w:bookmarkEnd w:id="9543"/>
      <w:bookmarkEnd w:id="9544"/>
    </w:p>
    <w:p w:rsidR="00CB0DD7" w:rsidRPr="000A0A5F" w:rsidRDefault="00CB0DD7">
      <w:pPr>
        <w:rPr>
          <w:rFonts w:ascii="Arial" w:hAnsi="Arial" w:cs="Arial"/>
          <w:b/>
          <w:sz w:val="24"/>
        </w:rPr>
      </w:pPr>
      <w:r w:rsidRPr="000A0A5F">
        <w:t>If supported by both SCS/AS and SCEF and successfully negotiated</w:t>
      </w:r>
      <w:r w:rsidRPr="000A0A5F">
        <w:rPr>
          <w:lang w:eastAsia="zh-CN"/>
        </w:rPr>
        <w:t>, the UserPlane</w:t>
      </w:r>
      <w:r w:rsidRPr="000A0A5F">
        <w:rPr>
          <w:rFonts w:hint="eastAsia"/>
          <w:lang w:eastAsia="zh-CN"/>
        </w:rPr>
        <w:t>NotificationData</w:t>
      </w:r>
      <w:r w:rsidRPr="000A0A5F">
        <w:rPr>
          <w:lang w:eastAsia="zh-CN"/>
        </w:rPr>
        <w:t xml:space="preserve"> may alternatively be delivered through the Websocket mechanism as defined in clause 5.2.5.4.</w:t>
      </w:r>
    </w:p>
    <w:p w:rsidR="00CB0DD7" w:rsidRPr="000A0A5F" w:rsidRDefault="00CB0DD7">
      <w:pPr>
        <w:rPr>
          <w:rFonts w:ascii="Arial" w:hAnsi="Arial" w:cs="Arial"/>
          <w:b/>
          <w:sz w:val="24"/>
        </w:rPr>
      </w:pPr>
    </w:p>
    <w:p w:rsidR="00CB0DD7" w:rsidRPr="000A0A5F" w:rsidRDefault="00CB0DD7">
      <w:pPr>
        <w:pStyle w:val="Heading3"/>
      </w:pPr>
      <w:bookmarkStart w:id="9545" w:name="_Toc11247907"/>
      <w:bookmarkStart w:id="9546" w:name="_Toc27045051"/>
      <w:bookmarkStart w:id="9547" w:name="_Toc36034102"/>
      <w:bookmarkStart w:id="9548" w:name="_Toc45132249"/>
      <w:bookmarkStart w:id="9549" w:name="_Toc49776534"/>
      <w:bookmarkStart w:id="9550" w:name="_Toc51747454"/>
      <w:bookmarkStart w:id="9551" w:name="_Toc66361036"/>
      <w:bookmarkStart w:id="9552" w:name="_Toc68105541"/>
      <w:bookmarkStart w:id="9553" w:name="_Toc74756173"/>
      <w:bookmarkStart w:id="9554" w:name="_Toc105675050"/>
      <w:bookmarkStart w:id="9555" w:name="_Toc130503120"/>
      <w:bookmarkStart w:id="9556" w:name="_Toc153625912"/>
      <w:r w:rsidRPr="000A0A5F">
        <w:t>5.14.4</w:t>
      </w:r>
      <w:r w:rsidRPr="000A0A5F">
        <w:tab/>
        <w:t>Used Features</w:t>
      </w:r>
      <w:bookmarkEnd w:id="9545"/>
      <w:bookmarkEnd w:id="9546"/>
      <w:bookmarkEnd w:id="9547"/>
      <w:bookmarkEnd w:id="9548"/>
      <w:bookmarkEnd w:id="9549"/>
      <w:bookmarkEnd w:id="9550"/>
      <w:bookmarkEnd w:id="9551"/>
      <w:bookmarkEnd w:id="9552"/>
      <w:bookmarkEnd w:id="9553"/>
      <w:bookmarkEnd w:id="9554"/>
      <w:bookmarkEnd w:id="9555"/>
      <w:bookmarkEnd w:id="9556"/>
    </w:p>
    <w:p w:rsidR="00CB0DD7" w:rsidRPr="000A0A5F" w:rsidRDefault="00CB0DD7">
      <w:r w:rsidRPr="000A0A5F">
        <w:t>The table below defines the features applicable to the AsSessionWithQoS API. Those features are negotiated as described in subclause 5.2.7.</w:t>
      </w:r>
    </w:p>
    <w:p w:rsidR="004110A9" w:rsidRPr="000A0A5F" w:rsidRDefault="004110A9" w:rsidP="004110A9">
      <w:pPr>
        <w:keepNext/>
        <w:keepLines/>
        <w:spacing w:before="60"/>
        <w:jc w:val="center"/>
        <w:rPr>
          <w:rFonts w:ascii="Arial" w:hAnsi="Arial"/>
          <w:b/>
        </w:rPr>
      </w:pPr>
      <w:r w:rsidRPr="000A0A5F">
        <w:rPr>
          <w:rFonts w:ascii="Arial" w:hAnsi="Arial"/>
          <w:b/>
        </w:rPr>
        <w:t>Table 5.14.4-1: Features used by AsSessionWithQoS API</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037"/>
        <w:gridCol w:w="2557"/>
        <w:gridCol w:w="6263"/>
      </w:tblGrid>
      <w:tr w:rsidR="004110A9" w:rsidRPr="000A0A5F" w:rsidTr="00F85004">
        <w:trPr>
          <w:cantSplit/>
        </w:trPr>
        <w:tc>
          <w:tcPr>
            <w:tcW w:w="526" w:type="pct"/>
            <w:shd w:val="clear" w:color="auto" w:fill="C0C0C0"/>
          </w:tcPr>
          <w:p w:rsidR="004110A9" w:rsidRPr="000A0A5F" w:rsidRDefault="004110A9" w:rsidP="00F85004">
            <w:pPr>
              <w:keepNext/>
              <w:keepLines/>
              <w:spacing w:after="0"/>
              <w:jc w:val="center"/>
              <w:rPr>
                <w:rFonts w:ascii="Arial" w:hAnsi="Arial"/>
                <w:b/>
                <w:sz w:val="18"/>
              </w:rPr>
            </w:pPr>
            <w:r w:rsidRPr="000A0A5F">
              <w:rPr>
                <w:rFonts w:ascii="Arial" w:hAnsi="Arial"/>
                <w:b/>
                <w:sz w:val="18"/>
              </w:rPr>
              <w:t>Feature Number</w:t>
            </w:r>
          </w:p>
        </w:tc>
        <w:tc>
          <w:tcPr>
            <w:tcW w:w="1297" w:type="pct"/>
            <w:shd w:val="clear" w:color="auto" w:fill="C0C0C0"/>
          </w:tcPr>
          <w:p w:rsidR="004110A9" w:rsidRPr="000A0A5F" w:rsidRDefault="004110A9" w:rsidP="00F85004">
            <w:pPr>
              <w:keepNext/>
              <w:keepLines/>
              <w:spacing w:after="0"/>
              <w:jc w:val="center"/>
              <w:rPr>
                <w:rFonts w:ascii="Arial" w:hAnsi="Arial"/>
                <w:b/>
                <w:sz w:val="18"/>
              </w:rPr>
            </w:pPr>
            <w:r w:rsidRPr="000A0A5F">
              <w:rPr>
                <w:rFonts w:ascii="Arial" w:hAnsi="Arial"/>
                <w:b/>
                <w:sz w:val="18"/>
              </w:rPr>
              <w:t>Feature</w:t>
            </w:r>
          </w:p>
        </w:tc>
        <w:tc>
          <w:tcPr>
            <w:tcW w:w="3177" w:type="pct"/>
            <w:shd w:val="clear" w:color="auto" w:fill="C0C0C0"/>
          </w:tcPr>
          <w:p w:rsidR="004110A9" w:rsidRPr="000A0A5F" w:rsidRDefault="004110A9" w:rsidP="00F85004">
            <w:pPr>
              <w:keepNext/>
              <w:keepLines/>
              <w:spacing w:after="0"/>
              <w:jc w:val="center"/>
              <w:rPr>
                <w:rFonts w:ascii="Arial" w:hAnsi="Arial"/>
                <w:b/>
                <w:sz w:val="18"/>
                <w:lang w:eastAsia="ko-KR"/>
              </w:rPr>
            </w:pPr>
            <w:r w:rsidRPr="000A0A5F">
              <w:rPr>
                <w:rFonts w:ascii="Arial" w:hAnsi="Arial"/>
                <w:b/>
                <w:sz w:val="18"/>
              </w:rPr>
              <w:t>Description</w:t>
            </w:r>
          </w:p>
        </w:tc>
      </w:tr>
      <w:tr w:rsidR="004110A9" w:rsidRPr="000A0A5F" w:rsidTr="00F85004">
        <w:trPr>
          <w:cantSplit/>
        </w:trPr>
        <w:tc>
          <w:tcPr>
            <w:tcW w:w="526" w:type="pct"/>
          </w:tcPr>
          <w:p w:rsidR="004110A9" w:rsidRPr="000A0A5F" w:rsidRDefault="004110A9" w:rsidP="00F85004">
            <w:pPr>
              <w:keepNext/>
              <w:keepLines/>
              <w:spacing w:after="0"/>
              <w:jc w:val="center"/>
              <w:rPr>
                <w:rFonts w:ascii="Arial" w:hAnsi="Arial"/>
                <w:sz w:val="18"/>
                <w:lang w:eastAsia="zh-CN"/>
              </w:rPr>
            </w:pPr>
            <w:r w:rsidRPr="000A0A5F">
              <w:rPr>
                <w:rFonts w:ascii="Arial" w:hAnsi="Arial" w:hint="eastAsia"/>
                <w:sz w:val="18"/>
                <w:lang w:eastAsia="zh-CN"/>
              </w:rPr>
              <w:t>1</w:t>
            </w:r>
          </w:p>
        </w:tc>
        <w:tc>
          <w:tcPr>
            <w:tcW w:w="1297" w:type="pct"/>
          </w:tcPr>
          <w:p w:rsidR="004110A9" w:rsidRPr="000A0A5F" w:rsidRDefault="004110A9" w:rsidP="00F85004">
            <w:pPr>
              <w:keepNext/>
              <w:keepLines/>
              <w:spacing w:after="0"/>
              <w:jc w:val="center"/>
              <w:rPr>
                <w:rFonts w:ascii="Arial" w:hAnsi="Arial"/>
                <w:sz w:val="18"/>
                <w:lang w:eastAsia="zh-CN"/>
              </w:rPr>
            </w:pPr>
            <w:r w:rsidRPr="000A0A5F">
              <w:rPr>
                <w:rFonts w:ascii="Arial" w:hAnsi="Arial"/>
                <w:sz w:val="18"/>
                <w:lang w:eastAsia="zh-CN"/>
              </w:rPr>
              <w:t>Notification_websocket</w:t>
            </w:r>
          </w:p>
        </w:tc>
        <w:tc>
          <w:tcPr>
            <w:tcW w:w="3177" w:type="pct"/>
          </w:tcPr>
          <w:p w:rsidR="004110A9" w:rsidRPr="000A0A5F" w:rsidRDefault="004110A9" w:rsidP="00F85004">
            <w:pPr>
              <w:keepNext/>
              <w:keepLines/>
              <w:spacing w:after="0"/>
              <w:rPr>
                <w:rFonts w:ascii="Arial" w:hAnsi="Arial"/>
                <w:sz w:val="18"/>
                <w:lang w:eastAsia="zh-CN"/>
              </w:rPr>
            </w:pPr>
            <w:r w:rsidRPr="000A0A5F">
              <w:rPr>
                <w:rFonts w:ascii="Arial" w:hAnsi="Arial" w:cs="Arial"/>
                <w:sz w:val="18"/>
                <w:szCs w:val="18"/>
                <w:lang w:eastAsia="zh-CN"/>
              </w:rPr>
              <w:t>The delivery of notifications over Websocket is supported according to clause</w:t>
            </w:r>
            <w:r w:rsidRPr="000A0A5F">
              <w:rPr>
                <w:rFonts w:ascii="Arial" w:hAnsi="Arial" w:cs="Arial"/>
                <w:sz w:val="18"/>
                <w:szCs w:val="18"/>
                <w:lang w:val="en-US" w:eastAsia="zh-CN"/>
              </w:rPr>
              <w:t> </w:t>
            </w:r>
            <w:r w:rsidRPr="000A0A5F">
              <w:rPr>
                <w:rFonts w:ascii="Arial" w:hAnsi="Arial" w:cs="Arial"/>
                <w:sz w:val="18"/>
                <w:szCs w:val="18"/>
                <w:lang w:eastAsia="zh-CN"/>
              </w:rPr>
              <w:t xml:space="preserve">5.2.5.4. This feature requires that the </w:t>
            </w:r>
            <w:r w:rsidRPr="000A0A5F">
              <w:rPr>
                <w:rFonts w:ascii="Arial" w:hAnsi="Arial"/>
                <w:sz w:val="18"/>
              </w:rPr>
              <w:t>Notification_test_event featute is also supported.</w:t>
            </w:r>
          </w:p>
        </w:tc>
      </w:tr>
      <w:tr w:rsidR="004110A9" w:rsidRPr="000A0A5F" w:rsidTr="00F85004">
        <w:trPr>
          <w:cantSplit/>
        </w:trPr>
        <w:tc>
          <w:tcPr>
            <w:tcW w:w="526" w:type="pct"/>
          </w:tcPr>
          <w:p w:rsidR="004110A9" w:rsidRPr="000A0A5F" w:rsidRDefault="004110A9" w:rsidP="00F85004">
            <w:pPr>
              <w:keepNext/>
              <w:keepLines/>
              <w:spacing w:after="0"/>
              <w:jc w:val="center"/>
              <w:rPr>
                <w:rFonts w:ascii="Arial" w:hAnsi="Arial"/>
                <w:sz w:val="18"/>
                <w:lang w:eastAsia="zh-CN"/>
              </w:rPr>
            </w:pPr>
            <w:r w:rsidRPr="000A0A5F">
              <w:rPr>
                <w:rFonts w:ascii="Arial" w:hAnsi="Arial" w:hint="eastAsia"/>
                <w:sz w:val="18"/>
                <w:lang w:eastAsia="zh-CN"/>
              </w:rPr>
              <w:t>2</w:t>
            </w:r>
          </w:p>
        </w:tc>
        <w:tc>
          <w:tcPr>
            <w:tcW w:w="1297" w:type="pct"/>
          </w:tcPr>
          <w:p w:rsidR="004110A9" w:rsidRPr="000A0A5F" w:rsidRDefault="004110A9" w:rsidP="00F85004">
            <w:pPr>
              <w:keepNext/>
              <w:keepLines/>
              <w:spacing w:after="0"/>
              <w:jc w:val="center"/>
              <w:rPr>
                <w:rFonts w:ascii="Arial" w:hAnsi="Arial"/>
                <w:sz w:val="18"/>
                <w:lang w:eastAsia="zh-CN"/>
              </w:rPr>
            </w:pPr>
            <w:r w:rsidRPr="000A0A5F">
              <w:rPr>
                <w:rFonts w:ascii="Arial" w:hAnsi="Arial"/>
                <w:sz w:val="18"/>
              </w:rPr>
              <w:t>Notification_test_event</w:t>
            </w:r>
          </w:p>
        </w:tc>
        <w:tc>
          <w:tcPr>
            <w:tcW w:w="3177" w:type="pct"/>
          </w:tcPr>
          <w:p w:rsidR="004110A9" w:rsidRPr="000A0A5F" w:rsidRDefault="004110A9" w:rsidP="00F85004">
            <w:pPr>
              <w:keepNext/>
              <w:keepLines/>
              <w:spacing w:after="0"/>
              <w:rPr>
                <w:rFonts w:ascii="Arial" w:hAnsi="Arial"/>
                <w:sz w:val="18"/>
                <w:lang w:eastAsia="zh-CN"/>
              </w:rPr>
            </w:pPr>
            <w:r w:rsidRPr="000A0A5F">
              <w:rPr>
                <w:rFonts w:ascii="Arial" w:hAnsi="Arial" w:cs="Arial"/>
                <w:sz w:val="18"/>
                <w:szCs w:val="18"/>
                <w:lang w:eastAsia="zh-CN"/>
              </w:rPr>
              <w:t>The testing of notifications connections is supported according to clause</w:t>
            </w:r>
            <w:r w:rsidRPr="000A0A5F">
              <w:rPr>
                <w:rFonts w:ascii="Arial" w:hAnsi="Arial" w:cs="Arial"/>
                <w:sz w:val="18"/>
                <w:szCs w:val="18"/>
                <w:lang w:val="en-US" w:eastAsia="zh-CN"/>
              </w:rPr>
              <w:t> </w:t>
            </w:r>
            <w:r w:rsidRPr="000A0A5F">
              <w:rPr>
                <w:rFonts w:ascii="Arial" w:hAnsi="Arial" w:cs="Arial"/>
                <w:sz w:val="18"/>
                <w:szCs w:val="18"/>
                <w:lang w:eastAsia="zh-CN"/>
              </w:rPr>
              <w:t>5.2.5.3.</w:t>
            </w:r>
          </w:p>
        </w:tc>
      </w:tr>
      <w:tr w:rsidR="004110A9" w:rsidRPr="000A0A5F" w:rsidTr="00F85004">
        <w:trPr>
          <w:cantSplit/>
        </w:trPr>
        <w:tc>
          <w:tcPr>
            <w:tcW w:w="526" w:type="pct"/>
          </w:tcPr>
          <w:p w:rsidR="004110A9" w:rsidRPr="000A0A5F" w:rsidRDefault="004110A9" w:rsidP="00F85004">
            <w:pPr>
              <w:keepNext/>
              <w:keepLines/>
              <w:spacing w:after="0"/>
              <w:jc w:val="center"/>
              <w:rPr>
                <w:rFonts w:ascii="Arial" w:hAnsi="Arial"/>
                <w:sz w:val="18"/>
                <w:lang w:eastAsia="zh-CN"/>
              </w:rPr>
            </w:pPr>
            <w:r w:rsidRPr="000A0A5F">
              <w:rPr>
                <w:rFonts w:ascii="Arial" w:hAnsi="Arial"/>
                <w:sz w:val="18"/>
                <w:lang w:eastAsia="zh-CN"/>
              </w:rPr>
              <w:t>3</w:t>
            </w:r>
          </w:p>
        </w:tc>
        <w:tc>
          <w:tcPr>
            <w:tcW w:w="1297" w:type="pct"/>
          </w:tcPr>
          <w:p w:rsidR="004110A9" w:rsidRPr="000A0A5F" w:rsidRDefault="004110A9" w:rsidP="00F85004">
            <w:pPr>
              <w:keepNext/>
              <w:keepLines/>
              <w:spacing w:after="0"/>
              <w:jc w:val="center"/>
              <w:rPr>
                <w:rFonts w:ascii="Arial" w:hAnsi="Arial"/>
                <w:sz w:val="18"/>
              </w:rPr>
            </w:pPr>
            <w:r w:rsidRPr="000A0A5F">
              <w:rPr>
                <w:rFonts w:ascii="Arial" w:hAnsi="Arial"/>
                <w:sz w:val="18"/>
              </w:rPr>
              <w:t>EthAsSessionQoS_5G</w:t>
            </w:r>
          </w:p>
        </w:tc>
        <w:tc>
          <w:tcPr>
            <w:tcW w:w="3177" w:type="pct"/>
          </w:tcPr>
          <w:p w:rsidR="004110A9" w:rsidRPr="000A0A5F" w:rsidRDefault="004110A9" w:rsidP="00F85004">
            <w:pPr>
              <w:keepNext/>
              <w:keepLines/>
              <w:spacing w:after="0"/>
              <w:rPr>
                <w:rFonts w:ascii="Arial" w:hAnsi="Arial" w:cs="Arial"/>
                <w:sz w:val="18"/>
                <w:szCs w:val="18"/>
                <w:lang w:eastAsia="zh-CN"/>
              </w:rPr>
            </w:pPr>
            <w:r w:rsidRPr="000A0A5F">
              <w:rPr>
                <w:rFonts w:ascii="Arial" w:hAnsi="Arial"/>
                <w:sz w:val="18"/>
                <w:lang w:eastAsia="zh-CN"/>
              </w:rPr>
              <w:t>Setting up required QoS for Ethernet UE</w:t>
            </w:r>
            <w:r w:rsidRPr="000A0A5F">
              <w:rPr>
                <w:rFonts w:ascii="Arial" w:eastAsia="Malgun Gothic" w:hAnsi="Arial"/>
                <w:sz w:val="18"/>
                <w:lang w:eastAsia="ja-JP"/>
              </w:rPr>
              <w:t>. This feature may only be supported in 5G.</w:t>
            </w:r>
          </w:p>
        </w:tc>
      </w:tr>
      <w:tr w:rsidR="004110A9" w:rsidRPr="000A0A5F" w:rsidTr="00F85004">
        <w:trPr>
          <w:cantSplit/>
        </w:trPr>
        <w:tc>
          <w:tcPr>
            <w:tcW w:w="526" w:type="pct"/>
          </w:tcPr>
          <w:p w:rsidR="004110A9" w:rsidRPr="000A0A5F" w:rsidRDefault="004110A9" w:rsidP="00F85004">
            <w:pPr>
              <w:keepNext/>
              <w:keepLines/>
              <w:spacing w:after="0"/>
              <w:jc w:val="center"/>
              <w:rPr>
                <w:rFonts w:ascii="Arial" w:hAnsi="Arial"/>
                <w:sz w:val="18"/>
                <w:lang w:eastAsia="zh-CN"/>
              </w:rPr>
            </w:pPr>
            <w:r w:rsidRPr="000A0A5F">
              <w:rPr>
                <w:rFonts w:ascii="Arial" w:hAnsi="Arial"/>
                <w:sz w:val="18"/>
                <w:lang w:eastAsia="zh-CN"/>
              </w:rPr>
              <w:t>4</w:t>
            </w:r>
          </w:p>
        </w:tc>
        <w:tc>
          <w:tcPr>
            <w:tcW w:w="1297" w:type="pct"/>
          </w:tcPr>
          <w:p w:rsidR="004110A9" w:rsidRPr="000A0A5F" w:rsidRDefault="004110A9" w:rsidP="00F85004">
            <w:pPr>
              <w:keepNext/>
              <w:keepLines/>
              <w:spacing w:after="0"/>
              <w:jc w:val="center"/>
              <w:rPr>
                <w:rFonts w:ascii="Arial" w:hAnsi="Arial"/>
                <w:sz w:val="18"/>
              </w:rPr>
            </w:pPr>
            <w:r w:rsidRPr="000A0A5F">
              <w:rPr>
                <w:rFonts w:ascii="Arial" w:hAnsi="Arial"/>
                <w:sz w:val="18"/>
              </w:rPr>
              <w:t>MacAddressRange_5G</w:t>
            </w:r>
          </w:p>
        </w:tc>
        <w:tc>
          <w:tcPr>
            <w:tcW w:w="3177" w:type="pct"/>
          </w:tcPr>
          <w:p w:rsidR="004110A9" w:rsidRPr="000A0A5F" w:rsidRDefault="004110A9" w:rsidP="00F85004">
            <w:pPr>
              <w:keepNext/>
              <w:keepLines/>
              <w:spacing w:after="0"/>
              <w:rPr>
                <w:rFonts w:ascii="Arial" w:hAnsi="Arial"/>
                <w:sz w:val="18"/>
                <w:lang w:eastAsia="zh-CN"/>
              </w:rPr>
            </w:pPr>
            <w:r w:rsidRPr="000A0A5F">
              <w:rPr>
                <w:rFonts w:ascii="Arial" w:hAnsi="Arial"/>
                <w:sz w:val="18"/>
                <w:lang w:eastAsia="zh-CN"/>
              </w:rPr>
              <w:t>Indicates the support of a set of MAC addresses with a specific range in the traffic filter.</w:t>
            </w:r>
            <w:r w:rsidRPr="000A0A5F">
              <w:rPr>
                <w:rFonts w:ascii="Arial" w:eastAsia="Malgun Gothic" w:hAnsi="Arial"/>
                <w:sz w:val="18"/>
                <w:lang w:eastAsia="ja-JP"/>
              </w:rPr>
              <w:t xml:space="preserve"> This feature may only be supported in 5G.</w:t>
            </w:r>
          </w:p>
        </w:tc>
      </w:tr>
      <w:tr w:rsidR="004110A9" w:rsidRPr="000A0A5F" w:rsidTr="00F85004">
        <w:trPr>
          <w:cantSplit/>
        </w:trPr>
        <w:tc>
          <w:tcPr>
            <w:tcW w:w="526" w:type="pct"/>
          </w:tcPr>
          <w:p w:rsidR="004110A9" w:rsidRPr="000A0A5F" w:rsidRDefault="004110A9" w:rsidP="00F85004">
            <w:pPr>
              <w:keepNext/>
              <w:keepLines/>
              <w:spacing w:after="0"/>
              <w:jc w:val="center"/>
              <w:rPr>
                <w:rFonts w:ascii="Arial" w:hAnsi="Arial"/>
                <w:sz w:val="18"/>
                <w:lang w:eastAsia="zh-CN"/>
              </w:rPr>
            </w:pPr>
            <w:r w:rsidRPr="000A0A5F">
              <w:rPr>
                <w:rFonts w:ascii="Arial" w:hAnsi="Arial"/>
                <w:sz w:val="18"/>
                <w:lang w:eastAsia="zh-CN"/>
              </w:rPr>
              <w:t>5</w:t>
            </w:r>
          </w:p>
        </w:tc>
        <w:tc>
          <w:tcPr>
            <w:tcW w:w="1297" w:type="pct"/>
          </w:tcPr>
          <w:p w:rsidR="004110A9" w:rsidRPr="000A0A5F" w:rsidRDefault="004110A9" w:rsidP="00F85004">
            <w:pPr>
              <w:keepNext/>
              <w:keepLines/>
              <w:spacing w:after="0"/>
              <w:jc w:val="center"/>
              <w:rPr>
                <w:rFonts w:ascii="Arial" w:hAnsi="Arial"/>
                <w:sz w:val="18"/>
              </w:rPr>
            </w:pPr>
            <w:r w:rsidRPr="000A0A5F">
              <w:rPr>
                <w:rFonts w:ascii="Arial" w:hAnsi="Arial"/>
                <w:sz w:val="18"/>
              </w:rPr>
              <w:t>AlternativeQoS_5G</w:t>
            </w:r>
          </w:p>
        </w:tc>
        <w:tc>
          <w:tcPr>
            <w:tcW w:w="3177" w:type="pct"/>
          </w:tcPr>
          <w:p w:rsidR="004110A9" w:rsidRPr="000A0A5F" w:rsidRDefault="004110A9" w:rsidP="00F85004">
            <w:pPr>
              <w:keepNext/>
              <w:keepLines/>
              <w:spacing w:after="0"/>
              <w:rPr>
                <w:rFonts w:ascii="Arial" w:hAnsi="Arial"/>
                <w:sz w:val="18"/>
                <w:lang w:eastAsia="zh-CN"/>
              </w:rPr>
            </w:pPr>
            <w:r w:rsidRPr="000A0A5F">
              <w:rPr>
                <w:rFonts w:ascii="Arial" w:hAnsi="Arial"/>
                <w:sz w:val="18"/>
                <w:lang w:eastAsia="zh-CN"/>
              </w:rPr>
              <w:t>Indicates the support of alternative QoS requirements and the QoS notification (i.e. whether the QoS targets for SDF(s) are not guaranteed or guaranteed again)</w:t>
            </w:r>
            <w:r w:rsidRPr="000A0A5F">
              <w:rPr>
                <w:rFonts w:ascii="Arial" w:eastAsia="Malgun Gothic" w:hAnsi="Arial"/>
                <w:sz w:val="18"/>
                <w:lang w:eastAsia="ja-JP"/>
              </w:rPr>
              <w:t>. This feature may only be supported in 5G.</w:t>
            </w:r>
          </w:p>
        </w:tc>
      </w:tr>
      <w:tr w:rsidR="004110A9" w:rsidRPr="000A0A5F" w:rsidTr="00F85004">
        <w:trPr>
          <w:cantSplit/>
        </w:trPr>
        <w:tc>
          <w:tcPr>
            <w:tcW w:w="526" w:type="pct"/>
          </w:tcPr>
          <w:p w:rsidR="004110A9" w:rsidRPr="000A0A5F" w:rsidRDefault="004110A9" w:rsidP="00F85004">
            <w:pPr>
              <w:keepNext/>
              <w:keepLines/>
              <w:spacing w:after="0"/>
              <w:jc w:val="center"/>
              <w:rPr>
                <w:rFonts w:ascii="Arial" w:hAnsi="Arial"/>
                <w:sz w:val="18"/>
                <w:lang w:eastAsia="zh-CN"/>
              </w:rPr>
            </w:pPr>
            <w:r w:rsidRPr="000A0A5F">
              <w:rPr>
                <w:rFonts w:ascii="Arial" w:hAnsi="Arial" w:hint="eastAsia"/>
                <w:sz w:val="18"/>
                <w:lang w:eastAsia="zh-CN"/>
              </w:rPr>
              <w:t>6</w:t>
            </w:r>
          </w:p>
        </w:tc>
        <w:tc>
          <w:tcPr>
            <w:tcW w:w="1297" w:type="pct"/>
          </w:tcPr>
          <w:p w:rsidR="004110A9" w:rsidRPr="000A0A5F" w:rsidRDefault="004110A9" w:rsidP="00F85004">
            <w:pPr>
              <w:keepNext/>
              <w:keepLines/>
              <w:spacing w:after="0"/>
              <w:jc w:val="center"/>
              <w:rPr>
                <w:rFonts w:ascii="Arial" w:hAnsi="Arial"/>
                <w:sz w:val="18"/>
              </w:rPr>
            </w:pPr>
            <w:r w:rsidRPr="000A0A5F">
              <w:rPr>
                <w:rFonts w:ascii="Arial" w:hAnsi="Arial" w:hint="eastAsia"/>
                <w:sz w:val="18"/>
                <w:lang w:eastAsia="zh-CN"/>
              </w:rPr>
              <w:t>QoSMonitoring_5G</w:t>
            </w:r>
          </w:p>
        </w:tc>
        <w:tc>
          <w:tcPr>
            <w:tcW w:w="3177" w:type="pct"/>
          </w:tcPr>
          <w:p w:rsidR="004110A9" w:rsidRPr="000A0A5F" w:rsidRDefault="004110A9" w:rsidP="00F85004">
            <w:pPr>
              <w:keepNext/>
              <w:keepLines/>
              <w:spacing w:after="0"/>
              <w:rPr>
                <w:rFonts w:ascii="Arial" w:hAnsi="Arial"/>
                <w:sz w:val="18"/>
                <w:lang w:eastAsia="zh-CN"/>
              </w:rPr>
            </w:pPr>
            <w:r w:rsidRPr="000A0A5F">
              <w:rPr>
                <w:rFonts w:ascii="Arial" w:hAnsi="Arial"/>
                <w:sz w:val="18"/>
                <w:lang w:eastAsia="zh-CN"/>
              </w:rPr>
              <w:t>Indicates the support of QoS Monitoring functionality and the report for packet delay monitoring.</w:t>
            </w:r>
            <w:r w:rsidRPr="000A0A5F">
              <w:rPr>
                <w:rFonts w:ascii="Arial" w:eastAsia="Malgun Gothic" w:hAnsi="Arial"/>
                <w:sz w:val="18"/>
                <w:lang w:eastAsia="ja-JP"/>
              </w:rPr>
              <w:t xml:space="preserve"> This feature may only be supported in 5G.</w:t>
            </w:r>
          </w:p>
        </w:tc>
      </w:tr>
      <w:tr w:rsidR="004110A9" w:rsidRPr="000A0A5F" w:rsidTr="00F85004">
        <w:trPr>
          <w:cantSplit/>
        </w:trPr>
        <w:tc>
          <w:tcPr>
            <w:tcW w:w="526" w:type="pct"/>
          </w:tcPr>
          <w:p w:rsidR="004110A9" w:rsidRPr="000A0A5F" w:rsidRDefault="004110A9" w:rsidP="00F85004">
            <w:pPr>
              <w:keepNext/>
              <w:keepLines/>
              <w:spacing w:after="0"/>
              <w:jc w:val="center"/>
              <w:rPr>
                <w:rFonts w:ascii="Arial" w:hAnsi="Arial"/>
                <w:sz w:val="18"/>
                <w:lang w:eastAsia="zh-CN"/>
              </w:rPr>
            </w:pPr>
            <w:r w:rsidRPr="000A0A5F">
              <w:rPr>
                <w:rFonts w:ascii="Arial" w:hAnsi="Arial"/>
                <w:sz w:val="18"/>
                <w:lang w:eastAsia="zh-CN"/>
              </w:rPr>
              <w:t>7</w:t>
            </w:r>
          </w:p>
        </w:tc>
        <w:tc>
          <w:tcPr>
            <w:tcW w:w="1297" w:type="pct"/>
          </w:tcPr>
          <w:p w:rsidR="004110A9" w:rsidRPr="000A0A5F" w:rsidRDefault="004110A9" w:rsidP="00F85004">
            <w:pPr>
              <w:keepNext/>
              <w:keepLines/>
              <w:spacing w:after="0"/>
              <w:jc w:val="center"/>
              <w:rPr>
                <w:rFonts w:ascii="Arial" w:hAnsi="Arial"/>
                <w:sz w:val="18"/>
                <w:lang w:eastAsia="zh-CN"/>
              </w:rPr>
            </w:pPr>
            <w:r w:rsidRPr="000A0A5F">
              <w:rPr>
                <w:rFonts w:ascii="Arial" w:hAnsi="Arial" w:hint="eastAsia"/>
                <w:sz w:val="18"/>
                <w:lang w:eastAsia="zh-CN"/>
              </w:rPr>
              <w:t>D</w:t>
            </w:r>
            <w:r w:rsidRPr="000A0A5F">
              <w:rPr>
                <w:rFonts w:ascii="Arial" w:hAnsi="Arial"/>
                <w:sz w:val="18"/>
                <w:lang w:eastAsia="zh-CN"/>
              </w:rPr>
              <w:t>isableUENotification_5G</w:t>
            </w:r>
          </w:p>
        </w:tc>
        <w:tc>
          <w:tcPr>
            <w:tcW w:w="3177" w:type="pct"/>
          </w:tcPr>
          <w:p w:rsidR="004110A9" w:rsidRPr="000A0A5F" w:rsidRDefault="004110A9" w:rsidP="00F85004">
            <w:pPr>
              <w:keepNext/>
              <w:keepLines/>
              <w:spacing w:after="0"/>
              <w:rPr>
                <w:rFonts w:ascii="Arial" w:hAnsi="Arial"/>
                <w:sz w:val="18"/>
                <w:lang w:eastAsia="zh-CN"/>
              </w:rPr>
            </w:pPr>
            <w:r w:rsidRPr="000A0A5F">
              <w:rPr>
                <w:rFonts w:ascii="Arial" w:hAnsi="Arial"/>
                <w:sz w:val="18"/>
                <w:lang w:eastAsia="zh-CN"/>
              </w:rPr>
              <w:t xml:space="preserve">Indicates the support of </w:t>
            </w:r>
            <w:r w:rsidRPr="000A0A5F">
              <w:rPr>
                <w:rFonts w:ascii="Arial" w:hAnsi="Arial"/>
                <w:sz w:val="18"/>
                <w:szCs w:val="18"/>
              </w:rPr>
              <w:t>disabling QoS flow parameters signalling to the UE when the SMF is notified by the NG-RAN of changes in the fulfilled QoS situation</w:t>
            </w:r>
            <w:r w:rsidRPr="000A0A5F">
              <w:rPr>
                <w:rFonts w:ascii="Arial" w:hAnsi="Arial"/>
                <w:sz w:val="18"/>
                <w:lang w:eastAsia="zh-CN"/>
              </w:rPr>
              <w:t>.</w:t>
            </w:r>
            <w:r w:rsidRPr="000A0A5F">
              <w:rPr>
                <w:rFonts w:ascii="Arial" w:eastAsia="Malgun Gothic" w:hAnsi="Arial"/>
                <w:sz w:val="18"/>
                <w:lang w:eastAsia="ja-JP"/>
              </w:rPr>
              <w:t xml:space="preserve"> This feature may only be supported in 5G. </w:t>
            </w:r>
            <w:r w:rsidRPr="000A0A5F">
              <w:rPr>
                <w:rFonts w:ascii="Arial" w:hAnsi="Arial" w:cs="Arial"/>
                <w:sz w:val="18"/>
                <w:szCs w:val="18"/>
                <w:lang w:eastAsia="zh-CN"/>
              </w:rPr>
              <w:t xml:space="preserve">This feature requires that the </w:t>
            </w:r>
            <w:r w:rsidRPr="000A0A5F">
              <w:rPr>
                <w:rFonts w:ascii="Arial" w:hAnsi="Arial"/>
                <w:sz w:val="18"/>
              </w:rPr>
              <w:t>AlternativeQoS_5G feature is also supported.</w:t>
            </w:r>
          </w:p>
        </w:tc>
      </w:tr>
      <w:tr w:rsidR="004110A9" w:rsidRPr="000A0A5F" w:rsidTr="00F85004">
        <w:trPr>
          <w:cantSplit/>
        </w:trPr>
        <w:tc>
          <w:tcPr>
            <w:tcW w:w="526" w:type="pct"/>
          </w:tcPr>
          <w:p w:rsidR="004110A9" w:rsidRPr="000A0A5F" w:rsidRDefault="004110A9" w:rsidP="00F85004">
            <w:pPr>
              <w:keepNext/>
              <w:keepLines/>
              <w:spacing w:after="0"/>
              <w:jc w:val="center"/>
              <w:rPr>
                <w:rFonts w:ascii="Arial" w:hAnsi="Arial"/>
                <w:sz w:val="18"/>
                <w:lang w:eastAsia="zh-CN"/>
              </w:rPr>
            </w:pPr>
            <w:r w:rsidRPr="000A0A5F">
              <w:rPr>
                <w:rFonts w:ascii="Arial" w:hAnsi="Arial"/>
                <w:sz w:val="18"/>
                <w:lang w:eastAsia="zh-CN"/>
              </w:rPr>
              <w:t>8</w:t>
            </w:r>
          </w:p>
        </w:tc>
        <w:tc>
          <w:tcPr>
            <w:tcW w:w="1297" w:type="pct"/>
          </w:tcPr>
          <w:p w:rsidR="004110A9" w:rsidRPr="000A0A5F" w:rsidRDefault="004110A9" w:rsidP="00F85004">
            <w:pPr>
              <w:keepNext/>
              <w:keepLines/>
              <w:spacing w:after="0"/>
              <w:jc w:val="center"/>
              <w:rPr>
                <w:rFonts w:ascii="Arial" w:hAnsi="Arial"/>
                <w:sz w:val="18"/>
                <w:lang w:eastAsia="zh-CN"/>
              </w:rPr>
            </w:pPr>
            <w:r w:rsidRPr="000A0A5F">
              <w:rPr>
                <w:rFonts w:ascii="Arial" w:hAnsi="Arial" w:cs="Arial" w:hint="eastAsia"/>
                <w:sz w:val="18"/>
                <w:szCs w:val="18"/>
                <w:lang w:eastAsia="zh-CN"/>
              </w:rPr>
              <w:t>T</w:t>
            </w:r>
            <w:r w:rsidRPr="000A0A5F">
              <w:rPr>
                <w:rFonts w:ascii="Arial" w:hAnsi="Arial" w:cs="Arial"/>
                <w:sz w:val="18"/>
                <w:szCs w:val="18"/>
                <w:lang w:eastAsia="zh-CN"/>
              </w:rPr>
              <w:t>SC_5G</w:t>
            </w:r>
          </w:p>
        </w:tc>
        <w:tc>
          <w:tcPr>
            <w:tcW w:w="3177" w:type="pct"/>
          </w:tcPr>
          <w:p w:rsidR="004110A9" w:rsidRPr="000A0A5F" w:rsidRDefault="004110A9" w:rsidP="00F85004">
            <w:pPr>
              <w:keepNext/>
              <w:keepLines/>
              <w:spacing w:after="0"/>
              <w:rPr>
                <w:rFonts w:ascii="Arial" w:hAnsi="Arial"/>
                <w:sz w:val="18"/>
                <w:lang w:eastAsia="zh-CN"/>
              </w:rPr>
            </w:pPr>
            <w:r w:rsidRPr="000A0A5F">
              <w:rPr>
                <w:rFonts w:ascii="Arial" w:hAnsi="Arial" w:hint="eastAsia"/>
                <w:sz w:val="18"/>
                <w:lang w:eastAsia="zh-CN"/>
              </w:rPr>
              <w:t>I</w:t>
            </w:r>
            <w:r w:rsidRPr="000A0A5F">
              <w:rPr>
                <w:rFonts w:ascii="Arial" w:hAnsi="Arial"/>
                <w:sz w:val="18"/>
                <w:lang w:eastAsia="zh-CN"/>
              </w:rPr>
              <w:t xml:space="preserve">ndicates the support of Time Sensitive Communication. </w:t>
            </w:r>
            <w:r w:rsidRPr="000A0A5F">
              <w:rPr>
                <w:rFonts w:ascii="Arial" w:eastAsia="Malgun Gothic" w:hAnsi="Arial"/>
                <w:sz w:val="18"/>
                <w:lang w:eastAsia="ja-JP"/>
              </w:rPr>
              <w:t>This feature may only be supported in 5G.</w:t>
            </w:r>
          </w:p>
        </w:tc>
      </w:tr>
      <w:tr w:rsidR="004110A9" w:rsidRPr="000A0A5F" w:rsidTr="00F85004">
        <w:trPr>
          <w:cantSplit/>
        </w:trPr>
        <w:tc>
          <w:tcPr>
            <w:tcW w:w="526" w:type="pct"/>
          </w:tcPr>
          <w:p w:rsidR="004110A9" w:rsidRPr="000A0A5F" w:rsidRDefault="004110A9" w:rsidP="00F85004">
            <w:pPr>
              <w:keepNext/>
              <w:keepLines/>
              <w:spacing w:after="0"/>
              <w:jc w:val="center"/>
              <w:rPr>
                <w:rFonts w:ascii="Arial" w:hAnsi="Arial"/>
                <w:sz w:val="18"/>
                <w:lang w:eastAsia="zh-CN"/>
              </w:rPr>
            </w:pPr>
            <w:r w:rsidRPr="000A0A5F">
              <w:rPr>
                <w:rFonts w:ascii="Arial" w:hAnsi="Arial"/>
                <w:sz w:val="18"/>
                <w:lang w:eastAsia="zh-CN"/>
              </w:rPr>
              <w:t>9</w:t>
            </w:r>
          </w:p>
        </w:tc>
        <w:tc>
          <w:tcPr>
            <w:tcW w:w="1297" w:type="pct"/>
          </w:tcPr>
          <w:p w:rsidR="004110A9" w:rsidRPr="000A0A5F" w:rsidRDefault="004110A9" w:rsidP="00F85004">
            <w:pPr>
              <w:keepNext/>
              <w:keepLines/>
              <w:spacing w:after="0"/>
              <w:jc w:val="center"/>
              <w:rPr>
                <w:rFonts w:ascii="Arial" w:hAnsi="Arial" w:cs="Arial"/>
                <w:sz w:val="18"/>
                <w:szCs w:val="18"/>
                <w:lang w:eastAsia="zh-CN"/>
              </w:rPr>
            </w:pPr>
            <w:r w:rsidRPr="000A0A5F">
              <w:rPr>
                <w:rFonts w:ascii="Arial" w:hAnsi="Arial"/>
                <w:sz w:val="18"/>
                <w:lang w:eastAsia="zh-CN"/>
              </w:rPr>
              <w:t>AppId</w:t>
            </w:r>
          </w:p>
        </w:tc>
        <w:tc>
          <w:tcPr>
            <w:tcW w:w="3177" w:type="pct"/>
          </w:tcPr>
          <w:p w:rsidR="004110A9" w:rsidRPr="000A0A5F" w:rsidRDefault="004110A9" w:rsidP="00F85004">
            <w:pPr>
              <w:keepNext/>
              <w:keepLines/>
              <w:spacing w:after="0"/>
              <w:rPr>
                <w:rFonts w:ascii="Arial" w:hAnsi="Arial"/>
                <w:sz w:val="18"/>
                <w:lang w:eastAsia="zh-CN"/>
              </w:rPr>
            </w:pPr>
            <w:r w:rsidRPr="000A0A5F">
              <w:rPr>
                <w:rFonts w:ascii="Arial" w:hAnsi="Arial"/>
                <w:sz w:val="18"/>
                <w:lang w:eastAsia="zh-CN"/>
              </w:rPr>
              <w:t>Indicates the support of dynamically providing the Application Identifier</w:t>
            </w:r>
            <w:r w:rsidRPr="000A0A5F">
              <w:rPr>
                <w:rFonts w:ascii="Arial" w:hAnsi="Arial"/>
                <w:sz w:val="18"/>
              </w:rPr>
              <w:t xml:space="preserve"> </w:t>
            </w:r>
            <w:r w:rsidRPr="000A0A5F">
              <w:rPr>
                <w:rFonts w:ascii="Arial" w:hAnsi="Arial"/>
                <w:sz w:val="18"/>
                <w:lang w:eastAsia="zh-CN"/>
              </w:rPr>
              <w:t>via the API.</w:t>
            </w:r>
          </w:p>
        </w:tc>
      </w:tr>
      <w:tr w:rsidR="004110A9" w:rsidRPr="000A0A5F" w:rsidTr="00F85004">
        <w:trPr>
          <w:cantSplit/>
        </w:trPr>
        <w:tc>
          <w:tcPr>
            <w:tcW w:w="526" w:type="pct"/>
          </w:tcPr>
          <w:p w:rsidR="004110A9" w:rsidRPr="000A0A5F" w:rsidRDefault="004110A9" w:rsidP="00F85004">
            <w:pPr>
              <w:keepNext/>
              <w:keepLines/>
              <w:spacing w:after="0"/>
              <w:jc w:val="center"/>
              <w:rPr>
                <w:rFonts w:ascii="Arial" w:hAnsi="Arial"/>
                <w:sz w:val="18"/>
                <w:lang w:eastAsia="zh-CN"/>
              </w:rPr>
            </w:pPr>
            <w:r w:rsidRPr="000A0A5F">
              <w:rPr>
                <w:rFonts w:ascii="Arial" w:hAnsi="Arial"/>
                <w:sz w:val="18"/>
              </w:rPr>
              <w:t>10</w:t>
            </w:r>
          </w:p>
        </w:tc>
        <w:tc>
          <w:tcPr>
            <w:tcW w:w="1297" w:type="pct"/>
          </w:tcPr>
          <w:p w:rsidR="004110A9" w:rsidRPr="000A0A5F" w:rsidRDefault="004110A9" w:rsidP="00F85004">
            <w:pPr>
              <w:keepNext/>
              <w:keepLines/>
              <w:spacing w:after="0"/>
              <w:jc w:val="center"/>
              <w:rPr>
                <w:rFonts w:ascii="Arial" w:hAnsi="Arial"/>
                <w:sz w:val="18"/>
                <w:lang w:eastAsia="zh-CN"/>
              </w:rPr>
            </w:pPr>
            <w:r w:rsidRPr="000A0A5F">
              <w:rPr>
                <w:rFonts w:ascii="Arial" w:hAnsi="Arial"/>
                <w:sz w:val="18"/>
              </w:rPr>
              <w:t>ExposureToEAS</w:t>
            </w:r>
          </w:p>
        </w:tc>
        <w:tc>
          <w:tcPr>
            <w:tcW w:w="3177" w:type="pct"/>
          </w:tcPr>
          <w:p w:rsidR="004110A9" w:rsidRPr="000A0A5F" w:rsidRDefault="004110A9" w:rsidP="00F85004">
            <w:pPr>
              <w:keepNext/>
              <w:keepLines/>
              <w:spacing w:after="0"/>
              <w:rPr>
                <w:rFonts w:ascii="Arial" w:hAnsi="Arial"/>
                <w:sz w:val="18"/>
                <w:lang w:eastAsia="zh-CN"/>
              </w:rPr>
            </w:pPr>
            <w:r w:rsidRPr="000A0A5F">
              <w:rPr>
                <w:rFonts w:ascii="Arial" w:hAnsi="Arial"/>
                <w:sz w:val="18"/>
              </w:rPr>
              <w:t xml:space="preserve">This feature indicates the support of direct notification in 5GC. </w:t>
            </w:r>
            <w:r w:rsidRPr="000A0A5F">
              <w:rPr>
                <w:rFonts w:ascii="Arial" w:hAnsi="Arial" w:cs="Arial"/>
                <w:sz w:val="18"/>
                <w:szCs w:val="18"/>
                <w:lang w:eastAsia="zh-CN"/>
              </w:rPr>
              <w:t xml:space="preserve">This feature requires that the </w:t>
            </w:r>
            <w:r w:rsidRPr="000A0A5F">
              <w:rPr>
                <w:rFonts w:ascii="Arial" w:hAnsi="Arial" w:hint="eastAsia"/>
                <w:sz w:val="18"/>
                <w:lang w:eastAsia="zh-CN"/>
              </w:rPr>
              <w:t>QoSMonitoring_5G</w:t>
            </w:r>
            <w:r w:rsidRPr="000A0A5F">
              <w:rPr>
                <w:rFonts w:ascii="Arial" w:hAnsi="Arial"/>
                <w:sz w:val="18"/>
              </w:rPr>
              <w:t xml:space="preserve"> feature is also supported.</w:t>
            </w:r>
          </w:p>
        </w:tc>
      </w:tr>
      <w:tr w:rsidR="004110A9" w:rsidRPr="000A0A5F" w:rsidTr="00F85004">
        <w:trPr>
          <w:cantSplit/>
        </w:trPr>
        <w:tc>
          <w:tcPr>
            <w:tcW w:w="526" w:type="pct"/>
          </w:tcPr>
          <w:p w:rsidR="004110A9" w:rsidRPr="000A0A5F" w:rsidRDefault="004110A9" w:rsidP="00F85004">
            <w:pPr>
              <w:keepNext/>
              <w:keepLines/>
              <w:spacing w:after="0"/>
              <w:jc w:val="center"/>
              <w:rPr>
                <w:rFonts w:ascii="Arial" w:hAnsi="Arial"/>
                <w:sz w:val="18"/>
              </w:rPr>
            </w:pPr>
            <w:r w:rsidRPr="000A0A5F">
              <w:rPr>
                <w:rFonts w:ascii="Arial" w:hAnsi="Arial" w:cs="Arial"/>
                <w:sz w:val="18"/>
              </w:rPr>
              <w:t>11</w:t>
            </w:r>
          </w:p>
        </w:tc>
        <w:tc>
          <w:tcPr>
            <w:tcW w:w="1297" w:type="pct"/>
          </w:tcPr>
          <w:p w:rsidR="004110A9" w:rsidRPr="000A0A5F" w:rsidRDefault="004110A9" w:rsidP="00F85004">
            <w:pPr>
              <w:keepNext/>
              <w:keepLines/>
              <w:spacing w:after="0"/>
              <w:jc w:val="center"/>
              <w:rPr>
                <w:rFonts w:ascii="Arial" w:hAnsi="Arial"/>
                <w:sz w:val="18"/>
              </w:rPr>
            </w:pPr>
            <w:r w:rsidRPr="000A0A5F">
              <w:rPr>
                <w:rFonts w:ascii="Arial" w:hAnsi="Arial" w:cs="Arial"/>
                <w:sz w:val="18"/>
              </w:rPr>
              <w:t>enNB</w:t>
            </w:r>
          </w:p>
        </w:tc>
        <w:tc>
          <w:tcPr>
            <w:tcW w:w="3177" w:type="pct"/>
          </w:tcPr>
          <w:p w:rsidR="004110A9" w:rsidRPr="000A0A5F" w:rsidRDefault="004110A9" w:rsidP="00F85004">
            <w:pPr>
              <w:keepNext/>
              <w:keepLines/>
              <w:spacing w:after="0"/>
              <w:rPr>
                <w:rFonts w:ascii="Arial" w:hAnsi="Arial"/>
                <w:sz w:val="18"/>
              </w:rPr>
            </w:pPr>
            <w:r w:rsidRPr="000A0A5F">
              <w:rPr>
                <w:rFonts w:ascii="Arial" w:hAnsi="Arial" w:cs="Arial"/>
                <w:sz w:val="18"/>
              </w:rPr>
              <w:t>Indicates the support of enhancements to the northbound interfaces.</w:t>
            </w:r>
          </w:p>
        </w:tc>
      </w:tr>
      <w:tr w:rsidR="004110A9" w:rsidRPr="000A0A5F" w:rsidTr="00F85004">
        <w:trPr>
          <w:cantSplit/>
        </w:trPr>
        <w:tc>
          <w:tcPr>
            <w:tcW w:w="526" w:type="pct"/>
          </w:tcPr>
          <w:p w:rsidR="004110A9" w:rsidRPr="000A0A5F" w:rsidRDefault="004110A9" w:rsidP="00F85004">
            <w:pPr>
              <w:keepNext/>
              <w:keepLines/>
              <w:spacing w:after="0"/>
              <w:jc w:val="center"/>
              <w:rPr>
                <w:rFonts w:ascii="Arial" w:hAnsi="Arial" w:cs="Arial"/>
                <w:sz w:val="18"/>
              </w:rPr>
            </w:pPr>
            <w:r w:rsidRPr="000A0A5F">
              <w:rPr>
                <w:rFonts w:ascii="Arial" w:hAnsi="Arial" w:cs="Arial"/>
                <w:sz w:val="18"/>
              </w:rPr>
              <w:t>12</w:t>
            </w:r>
          </w:p>
        </w:tc>
        <w:tc>
          <w:tcPr>
            <w:tcW w:w="1297" w:type="pct"/>
          </w:tcPr>
          <w:p w:rsidR="004110A9" w:rsidRPr="000A0A5F" w:rsidRDefault="004110A9" w:rsidP="00F85004">
            <w:pPr>
              <w:keepNext/>
              <w:keepLines/>
              <w:spacing w:after="0"/>
              <w:jc w:val="center"/>
              <w:rPr>
                <w:rFonts w:ascii="Arial" w:hAnsi="Arial" w:cs="Arial"/>
                <w:sz w:val="18"/>
              </w:rPr>
            </w:pPr>
            <w:r w:rsidRPr="000A0A5F">
              <w:rPr>
                <w:rFonts w:ascii="Arial" w:hAnsi="Arial" w:cs="Arial"/>
                <w:sz w:val="18"/>
              </w:rPr>
              <w:t>AltQosWithIndParams_5G</w:t>
            </w:r>
          </w:p>
        </w:tc>
        <w:tc>
          <w:tcPr>
            <w:tcW w:w="3177" w:type="pct"/>
          </w:tcPr>
          <w:p w:rsidR="004110A9" w:rsidRPr="000A0A5F" w:rsidRDefault="004110A9" w:rsidP="00F85004">
            <w:pPr>
              <w:keepNext/>
              <w:keepLines/>
              <w:spacing w:after="0"/>
              <w:rPr>
                <w:rFonts w:ascii="Arial" w:hAnsi="Arial" w:cs="Arial"/>
                <w:sz w:val="18"/>
              </w:rPr>
            </w:pPr>
            <w:r w:rsidRPr="000A0A5F">
              <w:rPr>
                <w:rFonts w:ascii="Arial" w:hAnsi="Arial" w:cs="Arial"/>
                <w:sz w:val="18"/>
              </w:rPr>
              <w:t xml:space="preserve">This feature indicates </w:t>
            </w:r>
            <w:r w:rsidRPr="000A0A5F">
              <w:rPr>
                <w:rFonts w:ascii="Arial" w:hAnsi="Arial" w:cs="Arial"/>
                <w:sz w:val="18"/>
                <w:szCs w:val="18"/>
                <w:lang w:eastAsia="fr-FR"/>
              </w:rPr>
              <w:t xml:space="preserve">the support of provisioning </w:t>
            </w:r>
            <w:r w:rsidRPr="000A0A5F">
              <w:rPr>
                <w:rFonts w:ascii="Arial" w:hAnsi="Arial"/>
                <w:sz w:val="18"/>
                <w:lang w:val="en-US"/>
              </w:rPr>
              <w:t xml:space="preserve">Alternative Service Requirements with individual QoS parameters. </w:t>
            </w:r>
            <w:r w:rsidRPr="000A0A5F">
              <w:rPr>
                <w:rFonts w:ascii="Arial" w:hAnsi="Arial" w:cs="Arial"/>
                <w:sz w:val="18"/>
                <w:szCs w:val="18"/>
                <w:lang w:eastAsia="zh-CN"/>
              </w:rPr>
              <w:t xml:space="preserve">This feature requires that the </w:t>
            </w:r>
            <w:r w:rsidRPr="000A0A5F">
              <w:rPr>
                <w:rFonts w:ascii="Arial" w:hAnsi="Arial"/>
                <w:sz w:val="18"/>
              </w:rPr>
              <w:t>AlternativeQoS_5G feature is also supported.</w:t>
            </w:r>
          </w:p>
        </w:tc>
      </w:tr>
      <w:tr w:rsidR="004110A9" w:rsidRPr="000A0A5F" w:rsidTr="00F85004">
        <w:trPr>
          <w:cantSplit/>
        </w:trPr>
        <w:tc>
          <w:tcPr>
            <w:tcW w:w="526" w:type="pct"/>
          </w:tcPr>
          <w:p w:rsidR="004110A9" w:rsidRPr="000A0A5F" w:rsidRDefault="004110A9" w:rsidP="00F85004">
            <w:pPr>
              <w:keepNext/>
              <w:keepLines/>
              <w:spacing w:after="0"/>
              <w:jc w:val="center"/>
              <w:rPr>
                <w:rFonts w:ascii="Arial" w:hAnsi="Arial" w:cs="Arial"/>
                <w:sz w:val="18"/>
              </w:rPr>
            </w:pPr>
            <w:r w:rsidRPr="000A0A5F">
              <w:rPr>
                <w:rFonts w:ascii="Arial" w:hAnsi="Arial" w:cs="Arial"/>
                <w:sz w:val="18"/>
              </w:rPr>
              <w:t>13</w:t>
            </w:r>
          </w:p>
        </w:tc>
        <w:tc>
          <w:tcPr>
            <w:tcW w:w="1297" w:type="pct"/>
          </w:tcPr>
          <w:p w:rsidR="004110A9" w:rsidRPr="000A0A5F" w:rsidRDefault="004110A9" w:rsidP="00F85004">
            <w:pPr>
              <w:keepNext/>
              <w:keepLines/>
              <w:spacing w:after="0"/>
              <w:jc w:val="center"/>
              <w:rPr>
                <w:rFonts w:ascii="Arial" w:hAnsi="Arial" w:cs="Arial"/>
                <w:sz w:val="18"/>
              </w:rPr>
            </w:pPr>
            <w:r w:rsidRPr="000A0A5F">
              <w:rPr>
                <w:rFonts w:ascii="Arial" w:hAnsi="Arial"/>
                <w:sz w:val="18"/>
              </w:rPr>
              <w:t>EnEthAsSessionQoS_5G</w:t>
            </w:r>
          </w:p>
        </w:tc>
        <w:tc>
          <w:tcPr>
            <w:tcW w:w="3177" w:type="pct"/>
          </w:tcPr>
          <w:p w:rsidR="004110A9" w:rsidRPr="000A0A5F" w:rsidRDefault="004110A9" w:rsidP="00F85004">
            <w:pPr>
              <w:keepNext/>
              <w:keepLines/>
              <w:spacing w:after="0"/>
              <w:rPr>
                <w:rFonts w:ascii="Arial" w:hAnsi="Arial" w:cs="Arial"/>
                <w:sz w:val="18"/>
              </w:rPr>
            </w:pPr>
            <w:r w:rsidRPr="000A0A5F">
              <w:rPr>
                <w:rFonts w:ascii="Arial" w:hAnsi="Arial"/>
                <w:sz w:val="18"/>
                <w:lang w:eastAsia="zh-CN"/>
              </w:rPr>
              <w:t>Indicates the support of required QoS for Ethernet UE, allowing to indicate separately different UL and/or DL Ethernet flows</w:t>
            </w:r>
            <w:r w:rsidRPr="000A0A5F">
              <w:rPr>
                <w:rFonts w:ascii="Arial" w:eastAsia="Malgun Gothic" w:hAnsi="Arial"/>
                <w:sz w:val="18"/>
                <w:lang w:eastAsia="ja-JP"/>
              </w:rPr>
              <w:t>. This feature may only be supported in 5G</w:t>
            </w:r>
            <w:r w:rsidRPr="000A0A5F">
              <w:rPr>
                <w:rFonts w:ascii="Arial" w:eastAsia="Malgun Gothic" w:hAnsi="Arial"/>
                <w:sz w:val="18"/>
              </w:rPr>
              <w:t>.</w:t>
            </w:r>
          </w:p>
        </w:tc>
      </w:tr>
      <w:tr w:rsidR="004110A9" w:rsidRPr="000A0A5F" w:rsidTr="00F85004">
        <w:trPr>
          <w:cantSplit/>
        </w:trPr>
        <w:tc>
          <w:tcPr>
            <w:tcW w:w="526" w:type="pct"/>
          </w:tcPr>
          <w:p w:rsidR="004110A9" w:rsidRPr="000A0A5F" w:rsidRDefault="004110A9" w:rsidP="00F85004">
            <w:pPr>
              <w:keepNext/>
              <w:keepLines/>
              <w:spacing w:after="0"/>
              <w:jc w:val="center"/>
              <w:rPr>
                <w:rFonts w:ascii="Arial" w:hAnsi="Arial" w:cs="Arial"/>
                <w:sz w:val="18"/>
              </w:rPr>
            </w:pPr>
            <w:r w:rsidRPr="000A0A5F">
              <w:rPr>
                <w:rFonts w:ascii="Arial" w:hAnsi="Arial" w:cs="Arial"/>
                <w:sz w:val="18"/>
                <w:lang w:eastAsia="zh-CN"/>
              </w:rPr>
              <w:t>14</w:t>
            </w:r>
          </w:p>
        </w:tc>
        <w:tc>
          <w:tcPr>
            <w:tcW w:w="1297" w:type="pct"/>
          </w:tcPr>
          <w:p w:rsidR="004110A9" w:rsidRPr="000A0A5F" w:rsidRDefault="004110A9" w:rsidP="00F85004">
            <w:pPr>
              <w:keepNext/>
              <w:keepLines/>
              <w:spacing w:after="0"/>
              <w:jc w:val="center"/>
              <w:rPr>
                <w:rFonts w:ascii="Arial" w:hAnsi="Arial" w:cs="Arial"/>
                <w:sz w:val="18"/>
              </w:rPr>
            </w:pPr>
            <w:r w:rsidRPr="000A0A5F">
              <w:rPr>
                <w:rFonts w:ascii="Arial" w:hAnsi="Arial" w:cs="Arial"/>
                <w:sz w:val="18"/>
              </w:rPr>
              <w:t>enNB_5G</w:t>
            </w:r>
          </w:p>
        </w:tc>
        <w:tc>
          <w:tcPr>
            <w:tcW w:w="3177" w:type="pct"/>
          </w:tcPr>
          <w:p w:rsidR="004110A9" w:rsidRPr="000A0A5F" w:rsidRDefault="004110A9" w:rsidP="00F85004">
            <w:pPr>
              <w:keepNext/>
              <w:keepLines/>
              <w:spacing w:after="0"/>
              <w:rPr>
                <w:rFonts w:ascii="Arial" w:hAnsi="Arial" w:cs="Arial"/>
                <w:sz w:val="18"/>
              </w:rPr>
            </w:pPr>
            <w:r w:rsidRPr="000A0A5F">
              <w:rPr>
                <w:rFonts w:ascii="Arial" w:hAnsi="Arial" w:cs="Arial"/>
                <w:sz w:val="18"/>
              </w:rPr>
              <w:t>Indicates the support of enhancements to the northbound interfaces and only applicable to 5G.</w:t>
            </w:r>
          </w:p>
        </w:tc>
      </w:tr>
      <w:tr w:rsidR="004110A9" w:rsidRPr="000A0A5F" w:rsidTr="00F85004">
        <w:trPr>
          <w:cantSplit/>
        </w:trPr>
        <w:tc>
          <w:tcPr>
            <w:tcW w:w="526" w:type="pct"/>
          </w:tcPr>
          <w:p w:rsidR="004110A9" w:rsidRPr="000A0A5F" w:rsidRDefault="00624C74" w:rsidP="00F85004">
            <w:pPr>
              <w:keepNext/>
              <w:keepLines/>
              <w:spacing w:after="0"/>
              <w:jc w:val="center"/>
              <w:rPr>
                <w:rFonts w:ascii="Arial" w:hAnsi="Arial" w:cs="Arial"/>
                <w:sz w:val="18"/>
                <w:lang w:eastAsia="zh-CN"/>
              </w:rPr>
            </w:pPr>
            <w:r w:rsidRPr="000A0A5F">
              <w:rPr>
                <w:rFonts w:ascii="Arial" w:hAnsi="Arial" w:cs="Arial"/>
                <w:sz w:val="18"/>
                <w:lang w:eastAsia="zh-CN"/>
              </w:rPr>
              <w:t>15</w:t>
            </w:r>
          </w:p>
        </w:tc>
        <w:tc>
          <w:tcPr>
            <w:tcW w:w="1297" w:type="pct"/>
          </w:tcPr>
          <w:p w:rsidR="004110A9" w:rsidRPr="000A0A5F" w:rsidRDefault="004110A9" w:rsidP="00F85004">
            <w:pPr>
              <w:keepNext/>
              <w:keepLines/>
              <w:spacing w:after="0"/>
              <w:jc w:val="center"/>
              <w:rPr>
                <w:rFonts w:ascii="Arial" w:hAnsi="Arial" w:cs="Arial"/>
                <w:sz w:val="18"/>
              </w:rPr>
            </w:pPr>
            <w:r w:rsidRPr="000A0A5F">
              <w:rPr>
                <w:rFonts w:ascii="Arial" w:hAnsi="Arial"/>
                <w:sz w:val="18"/>
                <w:lang w:eastAsia="zh-CN"/>
              </w:rPr>
              <w:t>PacketDelayFailureReport</w:t>
            </w:r>
          </w:p>
        </w:tc>
        <w:tc>
          <w:tcPr>
            <w:tcW w:w="3177" w:type="pct"/>
          </w:tcPr>
          <w:p w:rsidR="004110A9" w:rsidRPr="000A0A5F" w:rsidRDefault="004110A9" w:rsidP="00F85004">
            <w:pPr>
              <w:keepNext/>
              <w:keepLines/>
              <w:spacing w:after="0"/>
              <w:rPr>
                <w:rFonts w:ascii="Arial" w:hAnsi="Arial" w:cs="Arial"/>
                <w:sz w:val="18"/>
              </w:rPr>
            </w:pPr>
            <w:r w:rsidRPr="000A0A5F">
              <w:rPr>
                <w:rFonts w:ascii="Arial" w:hAnsi="Arial"/>
                <w:sz w:val="18"/>
                <w:lang w:eastAsia="zh-CN"/>
              </w:rPr>
              <w:t xml:space="preserve">Indicates the support of packet delay failure report as part of QoS Monitoring procedures. This feature requires that QoSMonitoring_5G is supported. </w:t>
            </w:r>
            <w:r w:rsidRPr="000A0A5F">
              <w:rPr>
                <w:rFonts w:ascii="Arial" w:eastAsia="Malgun Gothic" w:hAnsi="Arial"/>
                <w:sz w:val="18"/>
                <w:lang w:eastAsia="ja-JP"/>
              </w:rPr>
              <w:t>This feature may only be supported in 5G.</w:t>
            </w:r>
          </w:p>
        </w:tc>
      </w:tr>
      <w:tr w:rsidR="00624C74" w:rsidRPr="000A0A5F" w:rsidTr="00F85004">
        <w:trPr>
          <w:cantSplit/>
        </w:trPr>
        <w:tc>
          <w:tcPr>
            <w:tcW w:w="526" w:type="pct"/>
          </w:tcPr>
          <w:p w:rsidR="00624C74" w:rsidRPr="000A0A5F" w:rsidRDefault="00624C74" w:rsidP="00624C74">
            <w:pPr>
              <w:keepNext/>
              <w:keepLines/>
              <w:spacing w:after="0"/>
              <w:jc w:val="center"/>
              <w:rPr>
                <w:rFonts w:ascii="Arial" w:hAnsi="Arial" w:cs="Arial"/>
                <w:sz w:val="18"/>
                <w:lang w:eastAsia="zh-CN"/>
              </w:rPr>
            </w:pPr>
            <w:r w:rsidRPr="000A0A5F">
              <w:rPr>
                <w:rFonts w:ascii="Arial" w:hAnsi="Arial" w:cs="Arial"/>
                <w:sz w:val="18"/>
                <w:lang w:eastAsia="zh-CN"/>
              </w:rPr>
              <w:t>16</w:t>
            </w:r>
          </w:p>
        </w:tc>
        <w:tc>
          <w:tcPr>
            <w:tcW w:w="1297" w:type="pct"/>
          </w:tcPr>
          <w:p w:rsidR="00624C74" w:rsidRPr="000A0A5F" w:rsidRDefault="00624C74" w:rsidP="00624C74">
            <w:pPr>
              <w:keepNext/>
              <w:keepLines/>
              <w:spacing w:after="0"/>
              <w:jc w:val="center"/>
              <w:rPr>
                <w:rFonts w:ascii="Arial" w:hAnsi="Arial" w:cs="Arial"/>
                <w:sz w:val="18"/>
                <w:lang w:eastAsia="zh-CN"/>
              </w:rPr>
            </w:pPr>
            <w:r w:rsidRPr="000A0A5F">
              <w:rPr>
                <w:rFonts w:ascii="Arial" w:hAnsi="Arial" w:cs="Arial"/>
                <w:sz w:val="18"/>
                <w:lang w:eastAsia="zh-CN"/>
              </w:rPr>
              <w:t>ToSTC</w:t>
            </w:r>
            <w:r w:rsidRPr="000A0A5F">
              <w:rPr>
                <w:rFonts w:ascii="Arial" w:hAnsi="Arial" w:cs="Arial" w:hint="eastAsia"/>
                <w:sz w:val="18"/>
                <w:lang w:eastAsia="zh-CN"/>
              </w:rPr>
              <w:t>_</w:t>
            </w:r>
            <w:r w:rsidRPr="000A0A5F">
              <w:rPr>
                <w:rFonts w:ascii="Arial" w:hAnsi="Arial" w:cs="Arial"/>
                <w:sz w:val="18"/>
                <w:lang w:eastAsia="zh-CN"/>
              </w:rPr>
              <w:t>5G</w:t>
            </w:r>
          </w:p>
        </w:tc>
        <w:tc>
          <w:tcPr>
            <w:tcW w:w="3177" w:type="pct"/>
          </w:tcPr>
          <w:p w:rsidR="00624C74" w:rsidRPr="000A0A5F" w:rsidRDefault="00624C74" w:rsidP="00624C74">
            <w:pPr>
              <w:keepNext/>
              <w:keepLines/>
              <w:spacing w:after="0"/>
              <w:rPr>
                <w:rFonts w:ascii="Arial" w:hAnsi="Arial" w:cs="Arial"/>
                <w:sz w:val="18"/>
                <w:lang w:eastAsia="zh-CN"/>
              </w:rPr>
            </w:pPr>
            <w:r w:rsidRPr="000A0A5F">
              <w:rPr>
                <w:rFonts w:ascii="Arial" w:hAnsi="Arial" w:cs="Arial"/>
                <w:sz w:val="18"/>
                <w:lang w:eastAsia="zh-CN"/>
              </w:rPr>
              <w:t>Indicates the support of Type of Service or Traffic Class. This feature may only be supported in 5G.</w:t>
            </w:r>
          </w:p>
        </w:tc>
      </w:tr>
      <w:tr w:rsidR="00624C74" w:rsidRPr="000A0A5F" w:rsidTr="00F85004">
        <w:trPr>
          <w:cantSplit/>
        </w:trPr>
        <w:tc>
          <w:tcPr>
            <w:tcW w:w="526" w:type="pct"/>
          </w:tcPr>
          <w:p w:rsidR="00624C74" w:rsidRPr="000A0A5F" w:rsidRDefault="00624C74" w:rsidP="00624C74">
            <w:pPr>
              <w:keepNext/>
              <w:keepLines/>
              <w:spacing w:after="0"/>
              <w:jc w:val="center"/>
              <w:rPr>
                <w:rFonts w:ascii="Arial" w:hAnsi="Arial" w:cs="Arial"/>
                <w:sz w:val="18"/>
                <w:lang w:eastAsia="zh-CN"/>
              </w:rPr>
            </w:pPr>
            <w:r w:rsidRPr="000A0A5F">
              <w:rPr>
                <w:rFonts w:ascii="Arial" w:hAnsi="Arial" w:cs="Arial"/>
                <w:sz w:val="18"/>
                <w:lang w:eastAsia="zh-CN"/>
              </w:rPr>
              <w:t>17</w:t>
            </w:r>
          </w:p>
        </w:tc>
        <w:tc>
          <w:tcPr>
            <w:tcW w:w="1297" w:type="pct"/>
          </w:tcPr>
          <w:p w:rsidR="00624C74" w:rsidRPr="000A0A5F" w:rsidRDefault="00624C74" w:rsidP="00624C74">
            <w:pPr>
              <w:keepNext/>
              <w:keepLines/>
              <w:spacing w:after="0"/>
              <w:jc w:val="center"/>
              <w:rPr>
                <w:rFonts w:ascii="Arial" w:hAnsi="Arial"/>
                <w:sz w:val="18"/>
                <w:lang w:eastAsia="zh-CN"/>
              </w:rPr>
            </w:pPr>
            <w:r w:rsidRPr="000A0A5F">
              <w:rPr>
                <w:rFonts w:ascii="Arial" w:hAnsi="Arial"/>
                <w:sz w:val="18"/>
              </w:rPr>
              <w:t>EnTSCAC</w:t>
            </w:r>
          </w:p>
        </w:tc>
        <w:tc>
          <w:tcPr>
            <w:tcW w:w="3177" w:type="pct"/>
          </w:tcPr>
          <w:p w:rsidR="00624C74" w:rsidRPr="000A0A5F" w:rsidRDefault="00624C74" w:rsidP="00624C74">
            <w:pPr>
              <w:keepNext/>
              <w:keepLines/>
              <w:spacing w:after="0"/>
              <w:rPr>
                <w:rFonts w:ascii="Arial" w:hAnsi="Arial" w:cs="Arial"/>
                <w:sz w:val="18"/>
                <w:szCs w:val="18"/>
                <w:lang w:eastAsia="es-ES"/>
              </w:rPr>
            </w:pPr>
            <w:r w:rsidRPr="000A0A5F">
              <w:rPr>
                <w:rFonts w:ascii="Arial" w:hAnsi="Arial" w:cs="Arial"/>
                <w:sz w:val="18"/>
                <w:szCs w:val="18"/>
                <w:lang w:eastAsia="es-ES"/>
              </w:rPr>
              <w:t>Indicates the support of extensions to TSCAC and the RAN feedback for BAT offset and adjusted periodicity.</w:t>
            </w:r>
          </w:p>
          <w:p w:rsidR="00624C74" w:rsidRPr="000A0A5F" w:rsidRDefault="00624C74" w:rsidP="00624C74">
            <w:pPr>
              <w:keepNext/>
              <w:keepLines/>
              <w:spacing w:after="0"/>
              <w:rPr>
                <w:rFonts w:ascii="Arial" w:hAnsi="Arial"/>
                <w:sz w:val="18"/>
                <w:lang w:eastAsia="zh-CN"/>
              </w:rPr>
            </w:pPr>
            <w:r w:rsidRPr="000A0A5F">
              <w:rPr>
                <w:rFonts w:ascii="Arial" w:eastAsia="Malgun Gothic" w:hAnsi="Arial"/>
                <w:sz w:val="18"/>
                <w:lang w:eastAsia="ja-JP"/>
              </w:rPr>
              <w:t xml:space="preserve">This feature may only be supported in 5G, and </w:t>
            </w:r>
            <w:r w:rsidRPr="000A0A5F">
              <w:rPr>
                <w:rFonts w:ascii="Arial" w:hAnsi="Arial" w:cs="Arial"/>
                <w:sz w:val="18"/>
                <w:szCs w:val="18"/>
                <w:lang w:eastAsia="zh-CN"/>
              </w:rPr>
              <w:t xml:space="preserve">requires that the </w:t>
            </w:r>
            <w:r w:rsidRPr="000A0A5F">
              <w:rPr>
                <w:rFonts w:ascii="Arial" w:hAnsi="Arial" w:cs="Arial" w:hint="eastAsia"/>
                <w:sz w:val="18"/>
                <w:szCs w:val="18"/>
                <w:lang w:eastAsia="zh-CN"/>
              </w:rPr>
              <w:t>T</w:t>
            </w:r>
            <w:r w:rsidRPr="000A0A5F">
              <w:rPr>
                <w:rFonts w:ascii="Arial" w:hAnsi="Arial" w:cs="Arial"/>
                <w:sz w:val="18"/>
                <w:szCs w:val="18"/>
                <w:lang w:eastAsia="zh-CN"/>
              </w:rPr>
              <w:t>SC_5G</w:t>
            </w:r>
            <w:r w:rsidRPr="000A0A5F">
              <w:rPr>
                <w:rFonts w:ascii="Arial" w:hAnsi="Arial"/>
                <w:sz w:val="18"/>
              </w:rPr>
              <w:t xml:space="preserve"> feature is also supported.</w:t>
            </w:r>
          </w:p>
        </w:tc>
      </w:tr>
      <w:tr w:rsidR="00624C74" w:rsidRPr="000A0A5F" w:rsidTr="00F85004">
        <w:trPr>
          <w:cantSplit/>
        </w:trPr>
        <w:tc>
          <w:tcPr>
            <w:tcW w:w="526" w:type="pct"/>
          </w:tcPr>
          <w:p w:rsidR="00624C74" w:rsidRPr="000A0A5F" w:rsidRDefault="00624C74" w:rsidP="00624C74">
            <w:pPr>
              <w:keepNext/>
              <w:keepLines/>
              <w:spacing w:after="0"/>
              <w:jc w:val="center"/>
              <w:rPr>
                <w:rFonts w:ascii="Arial" w:hAnsi="Arial" w:cs="Arial"/>
                <w:sz w:val="18"/>
                <w:lang w:eastAsia="zh-CN"/>
              </w:rPr>
            </w:pPr>
            <w:r w:rsidRPr="000A0A5F">
              <w:rPr>
                <w:rFonts w:ascii="Arial" w:hAnsi="Arial" w:cs="Arial"/>
                <w:sz w:val="18"/>
                <w:lang w:eastAsia="zh-CN"/>
              </w:rPr>
              <w:t>18</w:t>
            </w:r>
          </w:p>
        </w:tc>
        <w:tc>
          <w:tcPr>
            <w:tcW w:w="1297" w:type="pct"/>
          </w:tcPr>
          <w:p w:rsidR="00624C74" w:rsidRPr="000A0A5F" w:rsidRDefault="00624C74" w:rsidP="00624C74">
            <w:pPr>
              <w:keepNext/>
              <w:keepLines/>
              <w:spacing w:after="0"/>
              <w:jc w:val="center"/>
              <w:rPr>
                <w:rFonts w:ascii="Arial" w:hAnsi="Arial"/>
                <w:sz w:val="18"/>
              </w:rPr>
            </w:pPr>
            <w:r w:rsidRPr="000A0A5F">
              <w:rPr>
                <w:rFonts w:ascii="Arial" w:hAnsi="Arial"/>
                <w:sz w:val="18"/>
                <w:lang w:eastAsia="zh-CN"/>
              </w:rPr>
              <w:t>AltQoSProfiles</w:t>
            </w:r>
            <w:r w:rsidRPr="000A0A5F">
              <w:rPr>
                <w:rFonts w:ascii="Arial" w:hAnsi="Arial"/>
                <w:sz w:val="18"/>
              </w:rPr>
              <w:t>SupportReport</w:t>
            </w:r>
          </w:p>
        </w:tc>
        <w:tc>
          <w:tcPr>
            <w:tcW w:w="3177" w:type="pct"/>
          </w:tcPr>
          <w:p w:rsidR="00624C74" w:rsidRPr="000A0A5F" w:rsidRDefault="00624C74" w:rsidP="00624C74">
            <w:pPr>
              <w:keepNext/>
              <w:keepLines/>
              <w:spacing w:after="0"/>
              <w:rPr>
                <w:rFonts w:ascii="Arial" w:hAnsi="Arial" w:cs="Arial"/>
                <w:sz w:val="18"/>
                <w:szCs w:val="18"/>
                <w:lang w:eastAsia="es-ES"/>
              </w:rPr>
            </w:pPr>
            <w:r w:rsidRPr="000A0A5F">
              <w:rPr>
                <w:rFonts w:ascii="Arial" w:hAnsi="Arial"/>
                <w:sz w:val="18"/>
              </w:rPr>
              <w:t xml:space="preserve">This feature indicates the support of the report of whether Alternative QoS parameters are supported by the access network. This feature requires that AlternativeQoS_5G and/or </w:t>
            </w:r>
            <w:r w:rsidRPr="000A0A5F">
              <w:rPr>
                <w:rFonts w:ascii="Arial" w:hAnsi="Arial" w:cs="Arial"/>
                <w:sz w:val="18"/>
              </w:rPr>
              <w:t>AltQosWithIndParams_5G features are also supported.</w:t>
            </w:r>
          </w:p>
        </w:tc>
      </w:tr>
      <w:tr w:rsidR="00624C74" w:rsidRPr="000A0A5F" w:rsidTr="00F85004">
        <w:trPr>
          <w:cantSplit/>
        </w:trPr>
        <w:tc>
          <w:tcPr>
            <w:tcW w:w="526" w:type="pct"/>
          </w:tcPr>
          <w:p w:rsidR="00624C74" w:rsidRPr="000A0A5F" w:rsidRDefault="00624C74" w:rsidP="00624C74">
            <w:pPr>
              <w:keepNext/>
              <w:keepLines/>
              <w:spacing w:after="0"/>
              <w:jc w:val="center"/>
              <w:rPr>
                <w:rFonts w:ascii="Arial" w:hAnsi="Arial" w:cs="Arial"/>
                <w:sz w:val="18"/>
                <w:lang w:eastAsia="zh-CN"/>
              </w:rPr>
            </w:pPr>
            <w:r w:rsidRPr="000A0A5F">
              <w:rPr>
                <w:rFonts w:ascii="Arial" w:hAnsi="Arial" w:cs="Arial"/>
                <w:sz w:val="18"/>
                <w:lang w:eastAsia="zh-CN"/>
              </w:rPr>
              <w:t>19</w:t>
            </w:r>
          </w:p>
        </w:tc>
        <w:tc>
          <w:tcPr>
            <w:tcW w:w="1297" w:type="pct"/>
          </w:tcPr>
          <w:p w:rsidR="00624C74" w:rsidRPr="000A0A5F" w:rsidRDefault="00624C74" w:rsidP="00624C74">
            <w:pPr>
              <w:keepNext/>
              <w:keepLines/>
              <w:spacing w:after="0"/>
              <w:jc w:val="center"/>
              <w:rPr>
                <w:rFonts w:ascii="Arial" w:hAnsi="Arial"/>
                <w:sz w:val="18"/>
                <w:lang w:eastAsia="zh-CN"/>
              </w:rPr>
            </w:pPr>
            <w:r w:rsidRPr="000A0A5F">
              <w:rPr>
                <w:rFonts w:ascii="Arial" w:hAnsi="Arial" w:cs="Arial"/>
                <w:sz w:val="18"/>
              </w:rPr>
              <w:t>ExtQoS_5G</w:t>
            </w:r>
          </w:p>
        </w:tc>
        <w:tc>
          <w:tcPr>
            <w:tcW w:w="3177" w:type="pct"/>
          </w:tcPr>
          <w:p w:rsidR="00624C74" w:rsidRPr="000A0A5F" w:rsidRDefault="00624C74" w:rsidP="00624C74">
            <w:pPr>
              <w:keepNext/>
              <w:keepLines/>
              <w:spacing w:after="0"/>
              <w:rPr>
                <w:rFonts w:ascii="Arial" w:hAnsi="Arial"/>
                <w:sz w:val="18"/>
              </w:rPr>
            </w:pPr>
            <w:r w:rsidRPr="000A0A5F">
              <w:rPr>
                <w:rFonts w:ascii="Arial" w:hAnsi="Arial"/>
                <w:sz w:val="18"/>
              </w:rPr>
              <w:t>This feature indicates the support of extended QoS parameters.</w:t>
            </w:r>
            <w:r w:rsidRPr="000A0A5F">
              <w:rPr>
                <w:rFonts w:ascii="Arial" w:eastAsia="Malgun Gothic" w:hAnsi="Arial"/>
                <w:sz w:val="18"/>
                <w:lang w:eastAsia="ja-JP"/>
              </w:rPr>
              <w:t xml:space="preserve"> This feature may only be supported in 5G</w:t>
            </w:r>
            <w:r w:rsidRPr="000A0A5F">
              <w:rPr>
                <w:rFonts w:ascii="Arial" w:eastAsia="Malgun Gothic" w:hAnsi="Arial"/>
                <w:sz w:val="18"/>
              </w:rPr>
              <w:t>.</w:t>
            </w:r>
          </w:p>
        </w:tc>
      </w:tr>
      <w:tr w:rsidR="00A60F32" w:rsidRPr="000A0A5F" w:rsidTr="00F85004">
        <w:trPr>
          <w:cantSplit/>
        </w:trPr>
        <w:tc>
          <w:tcPr>
            <w:tcW w:w="526" w:type="pct"/>
          </w:tcPr>
          <w:p w:rsidR="00A60F32" w:rsidRPr="000A0A5F" w:rsidRDefault="00A60F32" w:rsidP="00A60F32">
            <w:pPr>
              <w:keepNext/>
              <w:keepLines/>
              <w:spacing w:after="0"/>
              <w:jc w:val="center"/>
              <w:rPr>
                <w:rFonts w:ascii="Arial" w:hAnsi="Arial" w:cs="Arial"/>
                <w:sz w:val="18"/>
                <w:lang w:eastAsia="zh-CN"/>
              </w:rPr>
            </w:pPr>
            <w:r w:rsidRPr="000A0A5F">
              <w:rPr>
                <w:rFonts w:ascii="Arial" w:hAnsi="Arial" w:cs="Arial"/>
                <w:sz w:val="18"/>
                <w:lang w:eastAsia="zh-CN"/>
              </w:rPr>
              <w:t>20</w:t>
            </w:r>
          </w:p>
        </w:tc>
        <w:tc>
          <w:tcPr>
            <w:tcW w:w="1297" w:type="pct"/>
          </w:tcPr>
          <w:p w:rsidR="00A60F32" w:rsidRPr="000A0A5F" w:rsidRDefault="00A60F32" w:rsidP="00A60F32">
            <w:pPr>
              <w:keepNext/>
              <w:keepLines/>
              <w:spacing w:after="0"/>
              <w:jc w:val="center"/>
              <w:rPr>
                <w:rFonts w:ascii="Arial" w:hAnsi="Arial" w:cs="Arial"/>
                <w:sz w:val="18"/>
              </w:rPr>
            </w:pPr>
            <w:r w:rsidRPr="000A0A5F">
              <w:rPr>
                <w:rFonts w:ascii="Arial" w:hAnsi="Arial" w:cs="Arial"/>
                <w:sz w:val="18"/>
              </w:rPr>
              <w:t>MultiMedia</w:t>
            </w:r>
          </w:p>
        </w:tc>
        <w:tc>
          <w:tcPr>
            <w:tcW w:w="3177" w:type="pct"/>
          </w:tcPr>
          <w:p w:rsidR="00A60F32" w:rsidRPr="000A0A5F" w:rsidRDefault="00A60F32" w:rsidP="00A60F32">
            <w:pPr>
              <w:keepNext/>
              <w:keepLines/>
              <w:spacing w:after="0"/>
              <w:rPr>
                <w:rFonts w:ascii="Arial" w:hAnsi="Arial"/>
                <w:sz w:val="18"/>
              </w:rPr>
            </w:pPr>
            <w:r w:rsidRPr="000A0A5F">
              <w:rPr>
                <w:rFonts w:ascii="Arial" w:hAnsi="Arial" w:cs="Arial"/>
                <w:sz w:val="18"/>
              </w:rPr>
              <w:t>Indicates the support for multi-modal or multimedia flows for single UE and multiple UE. This feature may only be supported in 5G. This feature may be used in eXtend Reality (XR) use cases.</w:t>
            </w:r>
          </w:p>
        </w:tc>
      </w:tr>
      <w:tr w:rsidR="00624C74" w:rsidRPr="000A0A5F" w:rsidTr="00F85004">
        <w:trPr>
          <w:cantSplit/>
        </w:trPr>
        <w:tc>
          <w:tcPr>
            <w:tcW w:w="526" w:type="pct"/>
          </w:tcPr>
          <w:p w:rsidR="00624C74" w:rsidRPr="000A0A5F" w:rsidRDefault="00624C74" w:rsidP="00624C74">
            <w:pPr>
              <w:keepNext/>
              <w:keepLines/>
              <w:spacing w:after="0"/>
              <w:jc w:val="center"/>
              <w:rPr>
                <w:rFonts w:ascii="Arial" w:hAnsi="Arial" w:cs="Arial"/>
                <w:sz w:val="18"/>
                <w:lang w:eastAsia="zh-CN"/>
              </w:rPr>
            </w:pPr>
            <w:r w:rsidRPr="000A0A5F">
              <w:rPr>
                <w:rFonts w:ascii="Arial" w:hAnsi="Arial" w:cs="Arial"/>
                <w:sz w:val="18"/>
                <w:lang w:eastAsia="zh-CN"/>
              </w:rPr>
              <w:t>21</w:t>
            </w:r>
          </w:p>
        </w:tc>
        <w:tc>
          <w:tcPr>
            <w:tcW w:w="1297" w:type="pct"/>
          </w:tcPr>
          <w:p w:rsidR="00624C74" w:rsidRPr="000A0A5F" w:rsidRDefault="00624C74" w:rsidP="00624C74">
            <w:pPr>
              <w:keepNext/>
              <w:keepLines/>
              <w:spacing w:after="0"/>
              <w:jc w:val="center"/>
              <w:rPr>
                <w:rFonts w:ascii="Arial" w:hAnsi="Arial" w:cs="Arial"/>
                <w:sz w:val="18"/>
              </w:rPr>
            </w:pPr>
            <w:r w:rsidRPr="000A0A5F">
              <w:rPr>
                <w:rFonts w:ascii="Arial" w:hAnsi="Arial" w:cs="Arial"/>
                <w:sz w:val="18"/>
              </w:rPr>
              <w:t>ExtErrors</w:t>
            </w:r>
          </w:p>
        </w:tc>
        <w:tc>
          <w:tcPr>
            <w:tcW w:w="3177" w:type="pct"/>
          </w:tcPr>
          <w:p w:rsidR="00624C74" w:rsidRPr="000A0A5F" w:rsidRDefault="00624C74" w:rsidP="00624C74">
            <w:pPr>
              <w:keepNext/>
              <w:keepLines/>
              <w:spacing w:after="0"/>
              <w:rPr>
                <w:rFonts w:ascii="Arial" w:hAnsi="Arial" w:cs="Arial"/>
                <w:sz w:val="18"/>
              </w:rPr>
            </w:pPr>
            <w:r w:rsidRPr="000A0A5F">
              <w:rPr>
                <w:rFonts w:ascii="Arial" w:hAnsi="Arial" w:cs="Arial"/>
                <w:sz w:val="18"/>
              </w:rPr>
              <w:t>Indicates the support of additional application errors related to authorization or PDU Session availability.</w:t>
            </w:r>
          </w:p>
        </w:tc>
      </w:tr>
      <w:tr w:rsidR="00624C74" w:rsidRPr="000A0A5F" w:rsidTr="00F85004">
        <w:trPr>
          <w:cantSplit/>
        </w:trPr>
        <w:tc>
          <w:tcPr>
            <w:tcW w:w="526" w:type="pct"/>
          </w:tcPr>
          <w:p w:rsidR="00624C74" w:rsidRPr="000A0A5F" w:rsidRDefault="00624C74" w:rsidP="00624C74">
            <w:pPr>
              <w:pStyle w:val="TAC"/>
              <w:rPr>
                <w:rFonts w:cs="Arial"/>
                <w:lang w:eastAsia="zh-CN"/>
              </w:rPr>
            </w:pPr>
            <w:r w:rsidRPr="000A0A5F">
              <w:rPr>
                <w:rFonts w:cs="Arial"/>
                <w:lang w:eastAsia="zh-CN"/>
              </w:rPr>
              <w:t>22</w:t>
            </w:r>
          </w:p>
        </w:tc>
        <w:tc>
          <w:tcPr>
            <w:tcW w:w="1297" w:type="pct"/>
          </w:tcPr>
          <w:p w:rsidR="00624C74" w:rsidRPr="000A0A5F" w:rsidRDefault="00624C74" w:rsidP="00624C74">
            <w:pPr>
              <w:pStyle w:val="TAC"/>
              <w:rPr>
                <w:rFonts w:cs="Arial"/>
              </w:rPr>
            </w:pPr>
            <w:r w:rsidRPr="000A0A5F">
              <w:rPr>
                <w:rFonts w:cs="Arial"/>
              </w:rPr>
              <w:t>QoSTiming_5G</w:t>
            </w:r>
          </w:p>
        </w:tc>
        <w:tc>
          <w:tcPr>
            <w:tcW w:w="3177" w:type="pct"/>
          </w:tcPr>
          <w:p w:rsidR="00624C74" w:rsidRPr="000A0A5F" w:rsidRDefault="00624C74" w:rsidP="00624C74">
            <w:pPr>
              <w:pStyle w:val="TAL"/>
              <w:rPr>
                <w:rFonts w:cs="Arial"/>
              </w:rPr>
            </w:pPr>
            <w:r w:rsidRPr="000A0A5F">
              <w:rPr>
                <w:rFonts w:cs="Arial"/>
              </w:rPr>
              <w:t xml:space="preserve">This feature indicates the support of QoS timing information for the transfer and support of </w:t>
            </w:r>
            <w:r w:rsidRPr="000A0A5F">
              <w:rPr>
                <w:lang w:eastAsia="zh-CN"/>
              </w:rPr>
              <w:t>data transmission (e.g., AI/ML transmission)</w:t>
            </w:r>
            <w:r w:rsidRPr="000A0A5F">
              <w:rPr>
                <w:rFonts w:cs="Arial"/>
              </w:rPr>
              <w:t xml:space="preserve">. </w:t>
            </w:r>
            <w:r w:rsidRPr="000A0A5F">
              <w:rPr>
                <w:rFonts w:eastAsia="Malgun Gothic"/>
                <w:lang w:eastAsia="ja-JP"/>
              </w:rPr>
              <w:t>This feature may only be supported in 5G.</w:t>
            </w:r>
          </w:p>
        </w:tc>
      </w:tr>
      <w:tr w:rsidR="00624C74" w:rsidRPr="000A0A5F" w:rsidTr="00F85004">
        <w:trPr>
          <w:cantSplit/>
        </w:trPr>
        <w:tc>
          <w:tcPr>
            <w:tcW w:w="526" w:type="pct"/>
          </w:tcPr>
          <w:p w:rsidR="00624C74" w:rsidRPr="000A0A5F" w:rsidRDefault="00624C74" w:rsidP="00624C74">
            <w:pPr>
              <w:pStyle w:val="TAC"/>
              <w:rPr>
                <w:rFonts w:cs="Arial"/>
                <w:lang w:eastAsia="zh-CN"/>
              </w:rPr>
            </w:pPr>
            <w:r w:rsidRPr="000A0A5F">
              <w:rPr>
                <w:rFonts w:cs="Arial"/>
                <w:lang w:eastAsia="zh-CN"/>
              </w:rPr>
              <w:t>23</w:t>
            </w:r>
          </w:p>
        </w:tc>
        <w:tc>
          <w:tcPr>
            <w:tcW w:w="1297" w:type="pct"/>
          </w:tcPr>
          <w:p w:rsidR="00624C74" w:rsidRPr="000A0A5F" w:rsidRDefault="00624C74" w:rsidP="00624C74">
            <w:pPr>
              <w:pStyle w:val="TAC"/>
              <w:rPr>
                <w:rFonts w:cs="Arial"/>
              </w:rPr>
            </w:pPr>
            <w:r w:rsidRPr="000A0A5F">
              <w:rPr>
                <w:rFonts w:cs="Arial"/>
              </w:rPr>
              <w:t>ListUE_5G</w:t>
            </w:r>
          </w:p>
        </w:tc>
        <w:tc>
          <w:tcPr>
            <w:tcW w:w="3177" w:type="pct"/>
          </w:tcPr>
          <w:p w:rsidR="00624C74" w:rsidRPr="000A0A5F" w:rsidRDefault="00624C74" w:rsidP="00624C74">
            <w:pPr>
              <w:pStyle w:val="TAL"/>
              <w:rPr>
                <w:rFonts w:cs="Arial"/>
              </w:rPr>
            </w:pPr>
            <w:r w:rsidRPr="000A0A5F">
              <w:rPr>
                <w:rFonts w:cs="Arial"/>
              </w:rPr>
              <w:t xml:space="preserve">Indicates the support for the list of UEs </w:t>
            </w:r>
            <w:r w:rsidRPr="000A0A5F">
              <w:rPr>
                <w:rFonts w:eastAsia="Malgun Gothic"/>
                <w:lang w:eastAsia="ja-JP"/>
              </w:rPr>
              <w:t>This feature may only be supported in 5G.</w:t>
            </w:r>
          </w:p>
        </w:tc>
      </w:tr>
      <w:tr w:rsidR="00624C74" w:rsidRPr="000A0A5F" w:rsidTr="00F85004">
        <w:trPr>
          <w:cantSplit/>
        </w:trPr>
        <w:tc>
          <w:tcPr>
            <w:tcW w:w="526" w:type="pct"/>
          </w:tcPr>
          <w:p w:rsidR="00624C74" w:rsidRPr="000A0A5F" w:rsidRDefault="00624C74" w:rsidP="00624C74">
            <w:pPr>
              <w:pStyle w:val="TAC"/>
              <w:rPr>
                <w:rFonts w:cs="Arial"/>
                <w:lang w:eastAsia="zh-CN"/>
              </w:rPr>
            </w:pPr>
            <w:r w:rsidRPr="000A0A5F">
              <w:rPr>
                <w:rFonts w:cs="Arial"/>
                <w:lang w:eastAsia="zh-CN"/>
              </w:rPr>
              <w:t>24</w:t>
            </w:r>
          </w:p>
        </w:tc>
        <w:tc>
          <w:tcPr>
            <w:tcW w:w="1297" w:type="pct"/>
          </w:tcPr>
          <w:p w:rsidR="00624C74" w:rsidRPr="000A0A5F" w:rsidRDefault="00624C74" w:rsidP="00624C74">
            <w:pPr>
              <w:pStyle w:val="TAC"/>
              <w:rPr>
                <w:rFonts w:cs="Arial"/>
              </w:rPr>
            </w:pPr>
            <w:r w:rsidRPr="000A0A5F">
              <w:rPr>
                <w:rFonts w:cs="Arial"/>
              </w:rPr>
              <w:t>GMEC_5G</w:t>
            </w:r>
          </w:p>
        </w:tc>
        <w:tc>
          <w:tcPr>
            <w:tcW w:w="3177" w:type="pct"/>
          </w:tcPr>
          <w:p w:rsidR="00624C74" w:rsidRPr="000A0A5F" w:rsidRDefault="00624C74" w:rsidP="00624C74">
            <w:pPr>
              <w:pStyle w:val="TAL"/>
              <w:rPr>
                <w:rFonts w:cs="Arial"/>
              </w:rPr>
            </w:pPr>
            <w:r w:rsidRPr="000A0A5F">
              <w:rPr>
                <w:rFonts w:cs="Arial"/>
              </w:rPr>
              <w:t>This feature indicates the support of Generic Group Management Exposure and Communication related enhancements.</w:t>
            </w:r>
          </w:p>
          <w:p w:rsidR="00624C74" w:rsidRPr="000A0A5F" w:rsidRDefault="00624C74" w:rsidP="00624C74">
            <w:pPr>
              <w:pStyle w:val="TAL"/>
              <w:rPr>
                <w:rFonts w:cs="Arial"/>
              </w:rPr>
            </w:pPr>
          </w:p>
          <w:p w:rsidR="00624C74" w:rsidRPr="000A0A5F" w:rsidRDefault="00624C74" w:rsidP="00624C74">
            <w:pPr>
              <w:pStyle w:val="TAL"/>
              <w:rPr>
                <w:rFonts w:cs="Arial"/>
              </w:rPr>
            </w:pPr>
            <w:r w:rsidRPr="000A0A5F">
              <w:rPr>
                <w:rFonts w:cs="Arial"/>
              </w:rPr>
              <w:t>The following functionalities are supported:</w:t>
            </w:r>
          </w:p>
          <w:p w:rsidR="00624C74" w:rsidRPr="000A0A5F" w:rsidRDefault="00624C74" w:rsidP="00624C74">
            <w:pPr>
              <w:pStyle w:val="TAL"/>
              <w:ind w:left="284" w:hanging="284"/>
              <w:rPr>
                <w:rFonts w:cs="Arial"/>
              </w:rPr>
            </w:pPr>
            <w:r w:rsidRPr="000A0A5F">
              <w:rPr>
                <w:rFonts w:cs="Arial"/>
              </w:rPr>
              <w:t>-</w:t>
            </w:r>
            <w:r w:rsidRPr="000A0A5F">
              <w:rPr>
                <w:rFonts w:cs="Arial"/>
              </w:rPr>
              <w:tab/>
              <w:t>Support AF requested QoS for a UE or group of UE(s) not identified by the UE address.</w:t>
            </w:r>
          </w:p>
          <w:p w:rsidR="00624C74" w:rsidRPr="000A0A5F" w:rsidRDefault="00624C74" w:rsidP="00624C74">
            <w:pPr>
              <w:pStyle w:val="TAL"/>
              <w:ind w:left="284" w:hanging="284"/>
              <w:rPr>
                <w:rFonts w:cs="Arial"/>
              </w:rPr>
            </w:pPr>
          </w:p>
          <w:p w:rsidR="00624C74" w:rsidRPr="000A0A5F" w:rsidRDefault="00624C74" w:rsidP="00624C74">
            <w:pPr>
              <w:pStyle w:val="TAL"/>
              <w:rPr>
                <w:rFonts w:cs="Arial"/>
              </w:rPr>
            </w:pPr>
            <w:r w:rsidRPr="000A0A5F">
              <w:rPr>
                <w:rFonts w:cs="Arial"/>
              </w:rPr>
              <w:t>This feature may only be supported in 5G.</w:t>
            </w:r>
          </w:p>
        </w:tc>
      </w:tr>
      <w:tr w:rsidR="00307040" w:rsidRPr="000A0A5F" w:rsidTr="00F85004">
        <w:trPr>
          <w:cantSplit/>
        </w:trPr>
        <w:tc>
          <w:tcPr>
            <w:tcW w:w="526" w:type="pct"/>
          </w:tcPr>
          <w:p w:rsidR="00307040" w:rsidRPr="000A0A5F" w:rsidRDefault="00307040" w:rsidP="00307040">
            <w:pPr>
              <w:pStyle w:val="TAC"/>
              <w:rPr>
                <w:rFonts w:cs="Arial"/>
                <w:lang w:eastAsia="zh-CN"/>
              </w:rPr>
            </w:pPr>
            <w:r w:rsidRPr="000A0A5F">
              <w:rPr>
                <w:rFonts w:cs="Arial"/>
                <w:lang w:eastAsia="zh-CN"/>
              </w:rPr>
              <w:t>25</w:t>
            </w:r>
          </w:p>
        </w:tc>
        <w:tc>
          <w:tcPr>
            <w:tcW w:w="1297" w:type="pct"/>
          </w:tcPr>
          <w:p w:rsidR="00307040" w:rsidRPr="000A0A5F" w:rsidRDefault="00307040" w:rsidP="00307040">
            <w:pPr>
              <w:pStyle w:val="TAC"/>
              <w:rPr>
                <w:rFonts w:cs="Arial"/>
              </w:rPr>
            </w:pPr>
            <w:r w:rsidRPr="000A0A5F">
              <w:rPr>
                <w:rFonts w:cs="Arial"/>
              </w:rPr>
              <w:t>PDUSetHandling</w:t>
            </w:r>
          </w:p>
        </w:tc>
        <w:tc>
          <w:tcPr>
            <w:tcW w:w="3177" w:type="pct"/>
          </w:tcPr>
          <w:p w:rsidR="00307040" w:rsidRPr="000A0A5F" w:rsidRDefault="00307040" w:rsidP="00307040">
            <w:pPr>
              <w:pStyle w:val="TAL"/>
              <w:rPr>
                <w:rFonts w:cs="Arial"/>
              </w:rPr>
            </w:pPr>
            <w:r w:rsidRPr="000A0A5F">
              <w:rPr>
                <w:rFonts w:cs="Arial"/>
              </w:rPr>
              <w:t>This feature indicates the support of PDU Set handling. This feature may be used</w:t>
            </w:r>
            <w:r w:rsidRPr="000A0A5F">
              <w:rPr>
                <w:rFonts w:eastAsia="Times New Roman"/>
              </w:rPr>
              <w:t xml:space="preserve"> </w:t>
            </w:r>
            <w:r w:rsidRPr="000A0A5F">
              <w:rPr>
                <w:rFonts w:cs="Arial"/>
              </w:rPr>
              <w:t xml:space="preserve">for </w:t>
            </w:r>
            <w:r w:rsidRPr="000A0A5F">
              <w:t>eXtended Reality (XR) and interactive media services</w:t>
            </w:r>
            <w:r w:rsidRPr="000A0A5F">
              <w:rPr>
                <w:rFonts w:cs="Arial"/>
              </w:rPr>
              <w:t>.</w:t>
            </w:r>
          </w:p>
          <w:p w:rsidR="00307040" w:rsidRPr="000A0A5F" w:rsidRDefault="00307040" w:rsidP="00307040">
            <w:pPr>
              <w:pStyle w:val="TAL"/>
              <w:ind w:left="284" w:hanging="284"/>
              <w:rPr>
                <w:rFonts w:cs="Arial"/>
              </w:rPr>
            </w:pPr>
          </w:p>
          <w:p w:rsidR="00307040" w:rsidRPr="000A0A5F" w:rsidRDefault="00307040" w:rsidP="00307040">
            <w:pPr>
              <w:pStyle w:val="TAL"/>
              <w:rPr>
                <w:rFonts w:cs="Arial"/>
              </w:rPr>
            </w:pPr>
            <w:r w:rsidRPr="000A0A5F">
              <w:rPr>
                <w:rFonts w:cs="Arial"/>
              </w:rPr>
              <w:t>This feature may only be supported in 5G.</w:t>
            </w:r>
          </w:p>
        </w:tc>
      </w:tr>
      <w:tr w:rsidR="00307040" w:rsidRPr="000A0A5F" w:rsidTr="00F85004">
        <w:trPr>
          <w:cantSplit/>
        </w:trPr>
        <w:tc>
          <w:tcPr>
            <w:tcW w:w="526" w:type="pct"/>
          </w:tcPr>
          <w:p w:rsidR="00307040" w:rsidRPr="000A0A5F" w:rsidRDefault="00307040" w:rsidP="00307040">
            <w:pPr>
              <w:pStyle w:val="TAC"/>
              <w:rPr>
                <w:rFonts w:cs="Arial"/>
                <w:lang w:eastAsia="zh-CN"/>
              </w:rPr>
            </w:pPr>
            <w:r w:rsidRPr="000A0A5F">
              <w:rPr>
                <w:rFonts w:cs="Arial"/>
                <w:lang w:eastAsia="zh-CN"/>
              </w:rPr>
              <w:t>26</w:t>
            </w:r>
          </w:p>
        </w:tc>
        <w:tc>
          <w:tcPr>
            <w:tcW w:w="1297" w:type="pct"/>
          </w:tcPr>
          <w:p w:rsidR="00307040" w:rsidRPr="000A0A5F" w:rsidRDefault="00307040" w:rsidP="00307040">
            <w:pPr>
              <w:pStyle w:val="TAC"/>
              <w:rPr>
                <w:rFonts w:cs="Arial"/>
                <w:lang w:eastAsia="zh-CN"/>
              </w:rPr>
            </w:pPr>
            <w:r w:rsidRPr="000A0A5F">
              <w:rPr>
                <w:rFonts w:cs="Arial" w:hint="eastAsia"/>
                <w:lang w:eastAsia="zh-CN"/>
              </w:rPr>
              <w:t>R</w:t>
            </w:r>
            <w:r w:rsidRPr="000A0A5F">
              <w:rPr>
                <w:rFonts w:cs="Arial"/>
                <w:lang w:eastAsia="zh-CN"/>
              </w:rPr>
              <w:t>TLatency</w:t>
            </w:r>
          </w:p>
        </w:tc>
        <w:tc>
          <w:tcPr>
            <w:tcW w:w="3177" w:type="pct"/>
          </w:tcPr>
          <w:p w:rsidR="00307040" w:rsidRPr="000A0A5F" w:rsidRDefault="00307040" w:rsidP="00307040">
            <w:pPr>
              <w:pStyle w:val="TAL"/>
              <w:rPr>
                <w:rFonts w:cs="Arial"/>
              </w:rPr>
            </w:pPr>
            <w:r w:rsidRPr="000A0A5F">
              <w:rPr>
                <w:rFonts w:cs="Arial"/>
              </w:rPr>
              <w:t xml:space="preserve">This feature indicates the support of </w:t>
            </w:r>
            <w:r w:rsidRPr="000A0A5F">
              <w:t>Round-Trip latency</w:t>
            </w:r>
            <w:r w:rsidRPr="000A0A5F">
              <w:rPr>
                <w:rFonts w:cs="Arial"/>
              </w:rPr>
              <w:t>. This feature may be used</w:t>
            </w:r>
            <w:r w:rsidRPr="000A0A5F">
              <w:rPr>
                <w:rFonts w:eastAsia="Times New Roman"/>
              </w:rPr>
              <w:t xml:space="preserve"> </w:t>
            </w:r>
            <w:r w:rsidRPr="000A0A5F">
              <w:rPr>
                <w:rFonts w:cs="Arial"/>
              </w:rPr>
              <w:t xml:space="preserve">for </w:t>
            </w:r>
            <w:r w:rsidRPr="000A0A5F">
              <w:t>eXtended Reality (XR) and interactive media services</w:t>
            </w:r>
            <w:r w:rsidRPr="000A0A5F">
              <w:rPr>
                <w:rFonts w:cs="Arial"/>
              </w:rPr>
              <w:t>.</w:t>
            </w:r>
          </w:p>
          <w:p w:rsidR="00307040" w:rsidRPr="000A0A5F" w:rsidRDefault="00307040" w:rsidP="00307040">
            <w:pPr>
              <w:pStyle w:val="TAL"/>
              <w:rPr>
                <w:rFonts w:cs="Arial"/>
              </w:rPr>
            </w:pPr>
          </w:p>
          <w:p w:rsidR="00307040" w:rsidRPr="000A0A5F" w:rsidRDefault="00307040" w:rsidP="00307040">
            <w:pPr>
              <w:pStyle w:val="TAL"/>
              <w:ind w:left="284" w:hanging="284"/>
              <w:rPr>
                <w:rFonts w:cs="Arial"/>
              </w:rPr>
            </w:pPr>
          </w:p>
          <w:p w:rsidR="00307040" w:rsidRPr="000A0A5F" w:rsidRDefault="00307040" w:rsidP="00307040">
            <w:pPr>
              <w:pStyle w:val="TAL"/>
              <w:rPr>
                <w:rFonts w:cs="Arial"/>
              </w:rPr>
            </w:pPr>
            <w:r w:rsidRPr="000A0A5F">
              <w:rPr>
                <w:rFonts w:cs="Arial"/>
              </w:rPr>
              <w:t>This feature may only be supported in 5G.</w:t>
            </w:r>
          </w:p>
        </w:tc>
      </w:tr>
      <w:tr w:rsidR="0036364B" w:rsidRPr="000A0A5F" w:rsidTr="00F85004">
        <w:trPr>
          <w:cantSplit/>
        </w:trPr>
        <w:tc>
          <w:tcPr>
            <w:tcW w:w="526" w:type="pct"/>
          </w:tcPr>
          <w:p w:rsidR="0036364B" w:rsidRPr="000A0A5F" w:rsidRDefault="0036364B" w:rsidP="0036364B">
            <w:pPr>
              <w:pStyle w:val="TAC"/>
              <w:rPr>
                <w:rFonts w:cs="Arial"/>
                <w:lang w:val="en-US" w:eastAsia="zh-CN"/>
              </w:rPr>
            </w:pPr>
            <w:r w:rsidRPr="000A0A5F">
              <w:rPr>
                <w:rFonts w:cs="Arial" w:hint="eastAsia"/>
                <w:lang w:val="en-US" w:eastAsia="zh-CN"/>
              </w:rPr>
              <w:t>2</w:t>
            </w:r>
            <w:r w:rsidRPr="000A0A5F">
              <w:rPr>
                <w:rFonts w:cs="Arial"/>
                <w:lang w:val="en-US" w:eastAsia="zh-CN"/>
              </w:rPr>
              <w:t>7</w:t>
            </w:r>
          </w:p>
        </w:tc>
        <w:tc>
          <w:tcPr>
            <w:tcW w:w="1297" w:type="pct"/>
          </w:tcPr>
          <w:p w:rsidR="0036364B" w:rsidRPr="000A0A5F" w:rsidRDefault="0036364B" w:rsidP="0036364B">
            <w:pPr>
              <w:pStyle w:val="TAC"/>
              <w:rPr>
                <w:rFonts w:cs="Arial"/>
              </w:rPr>
            </w:pPr>
            <w:r w:rsidRPr="000A0A5F">
              <w:rPr>
                <w:rFonts w:hint="eastAsia"/>
              </w:rPr>
              <w:t>EnQoSMon</w:t>
            </w:r>
          </w:p>
        </w:tc>
        <w:tc>
          <w:tcPr>
            <w:tcW w:w="3177" w:type="pct"/>
          </w:tcPr>
          <w:p w:rsidR="0036364B" w:rsidRPr="000A0A5F" w:rsidRDefault="0036364B" w:rsidP="0036364B">
            <w:pPr>
              <w:pStyle w:val="TAL"/>
              <w:rPr>
                <w:lang w:val="en-US" w:eastAsia="zh-CN"/>
              </w:rPr>
            </w:pPr>
            <w:r w:rsidRPr="000A0A5F">
              <w:rPr>
                <w:rFonts w:cs="Arial" w:hint="eastAsia"/>
                <w:lang w:val="en-US" w:eastAsia="zh-CN"/>
              </w:rPr>
              <w:t>This feature i</w:t>
            </w:r>
            <w:r w:rsidRPr="000A0A5F">
              <w:rPr>
                <w:rFonts w:cs="Arial"/>
                <w:szCs w:val="18"/>
                <w:lang w:eastAsia="es-ES"/>
              </w:rPr>
              <w:t xml:space="preserve">ndicates the support of </w:t>
            </w:r>
            <w:r w:rsidRPr="000A0A5F">
              <w:rPr>
                <w:rFonts w:cs="Arial" w:hint="eastAsia"/>
                <w:szCs w:val="18"/>
                <w:lang w:val="en-US" w:eastAsia="zh-CN"/>
              </w:rPr>
              <w:t xml:space="preserve">enhanced </w:t>
            </w:r>
            <w:r w:rsidRPr="000A0A5F">
              <w:rPr>
                <w:rFonts w:cs="Arial"/>
                <w:szCs w:val="18"/>
                <w:lang w:eastAsia="es-ES"/>
              </w:rPr>
              <w:t>QoS monitoring functionality</w:t>
            </w:r>
            <w:r w:rsidRPr="000A0A5F">
              <w:rPr>
                <w:rFonts w:cs="Arial" w:hint="eastAsia"/>
                <w:szCs w:val="18"/>
                <w:lang w:val="en-US" w:eastAsia="zh-CN"/>
              </w:rPr>
              <w:t>, i.e.</w:t>
            </w:r>
            <w:r w:rsidRPr="000A0A5F">
              <w:rPr>
                <w:rFonts w:cs="Arial"/>
                <w:szCs w:val="18"/>
                <w:lang w:eastAsia="es-ES"/>
              </w:rPr>
              <w:t xml:space="preserve"> </w:t>
            </w:r>
            <w:r w:rsidRPr="000A0A5F">
              <w:rPr>
                <w:rFonts w:hint="eastAsia"/>
                <w:lang w:val="en-US" w:eastAsia="zh-CN"/>
              </w:rPr>
              <w:t xml:space="preserve">the report of the congestion information, </w:t>
            </w:r>
            <w:r w:rsidRPr="000A0A5F">
              <w:rPr>
                <w:lang w:val="en-US" w:eastAsia="zh-CN"/>
              </w:rPr>
              <w:t>and/o</w:t>
            </w:r>
            <w:r w:rsidRPr="000A0A5F">
              <w:rPr>
                <w:rFonts w:hint="eastAsia"/>
                <w:lang w:val="en-US" w:eastAsia="zh-CN"/>
              </w:rPr>
              <w:t xml:space="preserve">r, the RTT delay over two QoS flows, </w:t>
            </w:r>
            <w:r w:rsidRPr="000A0A5F">
              <w:rPr>
                <w:lang w:val="en-US" w:eastAsia="zh-CN"/>
              </w:rPr>
              <w:t>and/or</w:t>
            </w:r>
            <w:r w:rsidRPr="000A0A5F">
              <w:rPr>
                <w:rFonts w:hint="eastAsia"/>
                <w:lang w:val="en-US" w:eastAsia="zh-CN"/>
              </w:rPr>
              <w:t xml:space="preserve">, </w:t>
            </w:r>
            <w:r w:rsidRPr="000A0A5F">
              <w:rPr>
                <w:lang w:val="en-US" w:eastAsia="zh-CN"/>
              </w:rPr>
              <w:t>the data rate information</w:t>
            </w:r>
            <w:r w:rsidRPr="000A0A5F">
              <w:rPr>
                <w:rFonts w:hint="eastAsia"/>
                <w:lang w:val="en-US" w:eastAsia="zh-CN"/>
              </w:rPr>
              <w:t xml:space="preserve">, </w:t>
            </w:r>
            <w:r w:rsidRPr="000A0A5F">
              <w:rPr>
                <w:lang w:val="en-US" w:eastAsia="zh-CN"/>
              </w:rPr>
              <w:t>and/o</w:t>
            </w:r>
            <w:r w:rsidRPr="000A0A5F">
              <w:rPr>
                <w:rFonts w:hint="eastAsia"/>
                <w:lang w:val="en-US" w:eastAsia="zh-CN"/>
              </w:rPr>
              <w:t>r, the Packet Delay Variation monitoring.</w:t>
            </w:r>
          </w:p>
          <w:p w:rsidR="0036364B" w:rsidRPr="000A0A5F" w:rsidRDefault="0036364B" w:rsidP="0036364B">
            <w:pPr>
              <w:pStyle w:val="TAL"/>
              <w:rPr>
                <w:rFonts w:cs="Arial"/>
              </w:rPr>
            </w:pPr>
            <w:r w:rsidRPr="000A0A5F">
              <w:rPr>
                <w:rFonts w:eastAsia="Malgun Gothic"/>
                <w:lang w:eastAsia="ja-JP"/>
              </w:rPr>
              <w:t>This feature may only be supported in 5G</w:t>
            </w:r>
          </w:p>
        </w:tc>
      </w:tr>
      <w:tr w:rsidR="00A60F32" w:rsidRPr="000A0A5F" w:rsidTr="00F85004">
        <w:trPr>
          <w:cantSplit/>
        </w:trPr>
        <w:tc>
          <w:tcPr>
            <w:tcW w:w="526" w:type="pct"/>
          </w:tcPr>
          <w:p w:rsidR="00A60F32" w:rsidRPr="000A0A5F" w:rsidRDefault="00A60F32" w:rsidP="00A60F32">
            <w:pPr>
              <w:pStyle w:val="TAC"/>
              <w:rPr>
                <w:rFonts w:cs="Arial"/>
                <w:lang w:eastAsia="zh-CN"/>
              </w:rPr>
            </w:pPr>
            <w:r w:rsidRPr="000A0A5F">
              <w:rPr>
                <w:rFonts w:cs="Arial"/>
                <w:lang w:eastAsia="zh-CN"/>
              </w:rPr>
              <w:t>28</w:t>
            </w:r>
          </w:p>
        </w:tc>
        <w:tc>
          <w:tcPr>
            <w:tcW w:w="1297" w:type="pct"/>
          </w:tcPr>
          <w:p w:rsidR="00A60F32" w:rsidRPr="000A0A5F" w:rsidRDefault="00A60F32" w:rsidP="00A60F32">
            <w:pPr>
              <w:pStyle w:val="TAC"/>
              <w:rPr>
                <w:rFonts w:cs="Arial"/>
              </w:rPr>
            </w:pPr>
            <w:r w:rsidRPr="000A0A5F">
              <w:t>PowerSaving</w:t>
            </w:r>
          </w:p>
        </w:tc>
        <w:tc>
          <w:tcPr>
            <w:tcW w:w="3177" w:type="pct"/>
          </w:tcPr>
          <w:p w:rsidR="00A60F32" w:rsidRPr="000A0A5F" w:rsidRDefault="00A60F32" w:rsidP="00A60F32">
            <w:pPr>
              <w:pStyle w:val="TAL"/>
              <w:rPr>
                <w:noProof/>
              </w:rPr>
            </w:pPr>
            <w:r w:rsidRPr="000A0A5F">
              <w:rPr>
                <w:noProof/>
              </w:rPr>
              <w:t>This feature indicates the support of the Power Saving for different traffic measurement</w:t>
            </w:r>
            <w:r w:rsidRPr="000A0A5F">
              <w:rPr>
                <w:b/>
                <w:bCs/>
              </w:rPr>
              <w:t>.</w:t>
            </w:r>
          </w:p>
          <w:p w:rsidR="00A60F32" w:rsidRPr="000A0A5F" w:rsidRDefault="00A60F32" w:rsidP="00A60F32">
            <w:pPr>
              <w:pStyle w:val="TAL"/>
              <w:rPr>
                <w:rFonts w:cs="Arial"/>
              </w:rPr>
            </w:pPr>
            <w:r w:rsidRPr="000A0A5F">
              <w:rPr>
                <w:rFonts w:cs="Arial"/>
              </w:rPr>
              <w:t>This feature may only be supported in 5G.</w:t>
            </w:r>
          </w:p>
        </w:tc>
      </w:tr>
      <w:tr w:rsidR="00A60F32" w:rsidRPr="000A0A5F" w:rsidTr="00F85004">
        <w:trPr>
          <w:cantSplit/>
        </w:trPr>
        <w:tc>
          <w:tcPr>
            <w:tcW w:w="526" w:type="pct"/>
          </w:tcPr>
          <w:p w:rsidR="00A60F32" w:rsidRPr="000A0A5F" w:rsidRDefault="00A60F32" w:rsidP="00A60F32">
            <w:pPr>
              <w:pStyle w:val="TAC"/>
              <w:rPr>
                <w:rFonts w:cs="Arial"/>
                <w:lang w:eastAsia="zh-CN"/>
              </w:rPr>
            </w:pPr>
            <w:r w:rsidRPr="000A0A5F">
              <w:rPr>
                <w:rFonts w:cs="Arial"/>
                <w:lang w:eastAsia="zh-CN"/>
              </w:rPr>
              <w:t>29</w:t>
            </w:r>
          </w:p>
        </w:tc>
        <w:tc>
          <w:tcPr>
            <w:tcW w:w="1297" w:type="pct"/>
          </w:tcPr>
          <w:p w:rsidR="00A60F32" w:rsidRPr="000A0A5F" w:rsidRDefault="00A60F32" w:rsidP="00A60F32">
            <w:pPr>
              <w:pStyle w:val="TAC"/>
              <w:rPr>
                <w:rFonts w:cs="Arial"/>
              </w:rPr>
            </w:pPr>
            <w:r w:rsidRPr="000A0A5F">
              <w:rPr>
                <w:rFonts w:cs="Arial"/>
              </w:rPr>
              <w:t>L4S</w:t>
            </w:r>
          </w:p>
        </w:tc>
        <w:tc>
          <w:tcPr>
            <w:tcW w:w="3177" w:type="pct"/>
          </w:tcPr>
          <w:p w:rsidR="00A60F32" w:rsidRPr="000A0A5F" w:rsidRDefault="00A60F32" w:rsidP="00A60F32">
            <w:pPr>
              <w:pStyle w:val="TAL"/>
              <w:rPr>
                <w:rFonts w:cs="Arial"/>
              </w:rPr>
            </w:pPr>
            <w:r w:rsidRPr="000A0A5F">
              <w:rPr>
                <w:rFonts w:cs="Arial"/>
              </w:rPr>
              <w:t>This feature indicates the support of the AF indication of ECN marking for L4S support.</w:t>
            </w:r>
          </w:p>
          <w:p w:rsidR="00A60F32" w:rsidRPr="000A0A5F" w:rsidRDefault="00A60F32" w:rsidP="00A60F32">
            <w:pPr>
              <w:pStyle w:val="TAL"/>
              <w:rPr>
                <w:rFonts w:cs="Arial"/>
              </w:rPr>
            </w:pPr>
          </w:p>
          <w:p w:rsidR="00A60F32" w:rsidRPr="000A0A5F" w:rsidRDefault="00A60F32" w:rsidP="00A60F32">
            <w:pPr>
              <w:pStyle w:val="TAL"/>
              <w:rPr>
                <w:rFonts w:cs="Arial"/>
              </w:rPr>
            </w:pPr>
            <w:r w:rsidRPr="000A0A5F">
              <w:rPr>
                <w:rFonts w:cs="Arial"/>
              </w:rPr>
              <w:t>This feature may only be supported in 5G.</w:t>
            </w:r>
          </w:p>
        </w:tc>
      </w:tr>
      <w:tr w:rsidR="00A60F32" w:rsidRPr="000A0A5F" w:rsidTr="00F85004">
        <w:tblPrEx>
          <w:tblLook w:val="04A0" w:firstRow="1" w:lastRow="0" w:firstColumn="1" w:lastColumn="0" w:noHBand="0" w:noVBand="1"/>
        </w:tblPrEx>
        <w:trPr>
          <w:cantSplit/>
        </w:trPr>
        <w:tc>
          <w:tcPr>
            <w:tcW w:w="5000" w:type="pct"/>
            <w:gridSpan w:val="3"/>
          </w:tcPr>
          <w:p w:rsidR="00A60F32" w:rsidRPr="000A0A5F" w:rsidRDefault="00A60F32" w:rsidP="00A60F32">
            <w:pPr>
              <w:keepNext/>
              <w:keepLines/>
              <w:spacing w:after="0"/>
              <w:ind w:left="851" w:hanging="851"/>
              <w:rPr>
                <w:rFonts w:ascii="Arial" w:hAnsi="Arial"/>
                <w:sz w:val="18"/>
              </w:rPr>
            </w:pPr>
            <w:r w:rsidRPr="000A0A5F">
              <w:rPr>
                <w:rFonts w:ascii="Arial" w:hAnsi="Arial"/>
                <w:sz w:val="18"/>
              </w:rPr>
              <w:t>Feature:</w:t>
            </w:r>
            <w:r w:rsidRPr="000A0A5F">
              <w:rPr>
                <w:rFonts w:ascii="Arial" w:hAnsi="Arial"/>
                <w:sz w:val="18"/>
              </w:rPr>
              <w:tab/>
              <w:t>A short name that can be used to refer to the bit and to the feature, e.g. "</w:t>
            </w:r>
            <w:r w:rsidRPr="000A0A5F">
              <w:rPr>
                <w:rFonts w:ascii="Arial" w:hAnsi="Arial" w:hint="eastAsia"/>
                <w:sz w:val="18"/>
                <w:lang w:eastAsia="zh-CN"/>
              </w:rPr>
              <w:t>Notification</w:t>
            </w:r>
            <w:r w:rsidRPr="000A0A5F">
              <w:rPr>
                <w:rFonts w:ascii="Arial" w:hAnsi="Arial"/>
                <w:sz w:val="18"/>
              </w:rPr>
              <w:t>".</w:t>
            </w:r>
          </w:p>
          <w:p w:rsidR="00A60F32" w:rsidRPr="000A0A5F" w:rsidRDefault="00A60F32" w:rsidP="00A60F32">
            <w:pPr>
              <w:keepNext/>
              <w:keepLines/>
              <w:spacing w:after="0"/>
              <w:ind w:left="851" w:hanging="851"/>
              <w:rPr>
                <w:rFonts w:ascii="Arial" w:hAnsi="Arial"/>
                <w:color w:val="000000"/>
                <w:sz w:val="18"/>
                <w:lang w:eastAsia="zh-CN"/>
              </w:rPr>
            </w:pPr>
            <w:r w:rsidRPr="000A0A5F">
              <w:rPr>
                <w:rFonts w:ascii="Arial" w:hAnsi="Arial"/>
                <w:sz w:val="18"/>
              </w:rPr>
              <w:t>Description:</w:t>
            </w:r>
            <w:r w:rsidRPr="000A0A5F">
              <w:rPr>
                <w:rFonts w:ascii="Arial" w:hAnsi="Arial"/>
                <w:sz w:val="18"/>
              </w:rPr>
              <w:tab/>
              <w:t>A clear textual description of the feature.</w:t>
            </w:r>
          </w:p>
        </w:tc>
      </w:tr>
    </w:tbl>
    <w:p w:rsidR="00CB0DD7" w:rsidRPr="000A0A5F" w:rsidRDefault="00CB0DD7"/>
    <w:p w:rsidR="00A60F32" w:rsidRPr="000A0A5F" w:rsidRDefault="00A60F32" w:rsidP="00A60F32">
      <w:pPr>
        <w:pStyle w:val="EditorsNote"/>
      </w:pPr>
      <w:bookmarkStart w:id="9557" w:name="_Hlk151560425"/>
      <w:r w:rsidRPr="000A0A5F">
        <w:t xml:space="preserve">Editor's </w:t>
      </w:r>
      <w:r w:rsidR="004820DC">
        <w:t>N</w:t>
      </w:r>
      <w:r w:rsidRPr="000A0A5F">
        <w:t>ote:</w:t>
      </w:r>
      <w:r w:rsidRPr="000A0A5F">
        <w:tab/>
        <w:t>Whether and/how to indicate the support of end of burst indication, and provision the flow periodicity information within the Power Saving feature is FFS.</w:t>
      </w:r>
    </w:p>
    <w:bookmarkEnd w:id="9557"/>
    <w:p w:rsidR="000244CE" w:rsidRPr="000A0A5F" w:rsidRDefault="000244CE"/>
    <w:p w:rsidR="006D4DA5" w:rsidRPr="000A0A5F" w:rsidRDefault="006D4DA5" w:rsidP="006D4DA5">
      <w:pPr>
        <w:pStyle w:val="Heading3"/>
      </w:pPr>
      <w:bookmarkStart w:id="9558" w:name="_Toc130503121"/>
      <w:bookmarkStart w:id="9559" w:name="_Toc153625913"/>
      <w:r w:rsidRPr="000A0A5F">
        <w:t>5.14.5</w:t>
      </w:r>
      <w:r w:rsidRPr="000A0A5F">
        <w:tab/>
        <w:t>Error handling</w:t>
      </w:r>
      <w:bookmarkEnd w:id="9558"/>
      <w:bookmarkEnd w:id="9559"/>
    </w:p>
    <w:p w:rsidR="006D4DA5" w:rsidRPr="000A0A5F" w:rsidRDefault="006D4DA5" w:rsidP="006D4DA5">
      <w:pPr>
        <w:pStyle w:val="Heading4"/>
      </w:pPr>
      <w:bookmarkStart w:id="9560" w:name="_Toc130503122"/>
      <w:bookmarkStart w:id="9561" w:name="_Toc153625914"/>
      <w:r w:rsidRPr="000A0A5F">
        <w:t>5.14.5.1</w:t>
      </w:r>
      <w:r w:rsidRPr="000A0A5F">
        <w:tab/>
        <w:t>General</w:t>
      </w:r>
      <w:bookmarkEnd w:id="9560"/>
      <w:bookmarkEnd w:id="9561"/>
    </w:p>
    <w:p w:rsidR="006D4DA5" w:rsidRPr="000A0A5F" w:rsidRDefault="006D4DA5" w:rsidP="006D4DA5">
      <w:r w:rsidRPr="000A0A5F">
        <w:t>HTTP error handling shall be supported as specified in clause 5.2.6.</w:t>
      </w:r>
    </w:p>
    <w:p w:rsidR="006D4DA5" w:rsidRPr="000A0A5F" w:rsidRDefault="006D4DA5" w:rsidP="006D4DA5">
      <w:r w:rsidRPr="000A0A5F">
        <w:t>In addition, the requirements in the following clauses shall apply.</w:t>
      </w:r>
    </w:p>
    <w:p w:rsidR="006D4DA5" w:rsidRPr="000A0A5F" w:rsidRDefault="006D4DA5" w:rsidP="006D4DA5">
      <w:pPr>
        <w:pStyle w:val="Heading4"/>
      </w:pPr>
      <w:bookmarkStart w:id="9562" w:name="_Toc130503123"/>
      <w:bookmarkStart w:id="9563" w:name="_Toc153625915"/>
      <w:r w:rsidRPr="000A0A5F">
        <w:t>5.14.5.2</w:t>
      </w:r>
      <w:r w:rsidRPr="000A0A5F">
        <w:tab/>
        <w:t>Protocol Errors</w:t>
      </w:r>
      <w:bookmarkEnd w:id="9562"/>
      <w:bookmarkEnd w:id="9563"/>
    </w:p>
    <w:p w:rsidR="006D4DA5" w:rsidRPr="000A0A5F" w:rsidRDefault="006D4DA5" w:rsidP="006D4DA5">
      <w:r w:rsidRPr="000A0A5F">
        <w:rPr>
          <w:lang w:eastAsia="zh-CN"/>
        </w:rPr>
        <w:t xml:space="preserve">In this Release </w:t>
      </w:r>
      <w:r w:rsidRPr="000A0A5F">
        <w:t>of the specification, there are no additional protocol errors applicable for the AsSessionWithQoS API.</w:t>
      </w:r>
    </w:p>
    <w:p w:rsidR="006D4DA5" w:rsidRPr="000A0A5F" w:rsidRDefault="006D4DA5" w:rsidP="006D4DA5">
      <w:pPr>
        <w:pStyle w:val="Heading4"/>
      </w:pPr>
      <w:bookmarkStart w:id="9564" w:name="_Toc130503124"/>
      <w:bookmarkStart w:id="9565" w:name="_Toc153625916"/>
      <w:r w:rsidRPr="000A0A5F">
        <w:t>5.14.5.3</w:t>
      </w:r>
      <w:r w:rsidRPr="000A0A5F">
        <w:tab/>
        <w:t>Application Errors</w:t>
      </w:r>
      <w:bookmarkEnd w:id="9564"/>
      <w:bookmarkEnd w:id="9565"/>
    </w:p>
    <w:p w:rsidR="006D4DA5" w:rsidRPr="000A0A5F" w:rsidRDefault="006D4DA5" w:rsidP="006D4DA5">
      <w:r w:rsidRPr="000A0A5F">
        <w:t>The application errors defined for AsSessionWithQoS API are listed in table 5.14.5.3-1.</w:t>
      </w:r>
    </w:p>
    <w:p w:rsidR="003A0761" w:rsidRPr="000A0A5F" w:rsidRDefault="003A0761" w:rsidP="003A0761">
      <w:pPr>
        <w:keepNext/>
        <w:keepLines/>
        <w:spacing w:before="60"/>
        <w:jc w:val="center"/>
        <w:rPr>
          <w:rFonts w:ascii="Arial" w:hAnsi="Arial"/>
          <w:b/>
        </w:rPr>
      </w:pPr>
      <w:r w:rsidRPr="000A0A5F">
        <w:rPr>
          <w:rFonts w:ascii="Arial" w:hAnsi="Arial"/>
          <w:b/>
        </w:rPr>
        <w:t>Table 5.14.5.3-1: Application errors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686"/>
        <w:gridCol w:w="1275"/>
        <w:gridCol w:w="3289"/>
        <w:gridCol w:w="2373"/>
      </w:tblGrid>
      <w:tr w:rsidR="003A0761" w:rsidRPr="000A0A5F" w:rsidTr="00F85004">
        <w:trPr>
          <w:cantSplit/>
          <w:jc w:val="center"/>
        </w:trPr>
        <w:tc>
          <w:tcPr>
            <w:tcW w:w="2686" w:type="dxa"/>
            <w:shd w:val="clear" w:color="auto" w:fill="C0C0C0"/>
            <w:hideMark/>
          </w:tcPr>
          <w:p w:rsidR="003A0761" w:rsidRPr="000A0A5F" w:rsidRDefault="003A0761" w:rsidP="00F85004">
            <w:pPr>
              <w:keepNext/>
              <w:keepLines/>
              <w:spacing w:after="0"/>
              <w:jc w:val="center"/>
              <w:rPr>
                <w:rFonts w:ascii="Arial" w:hAnsi="Arial"/>
                <w:b/>
                <w:sz w:val="18"/>
              </w:rPr>
            </w:pPr>
            <w:r w:rsidRPr="000A0A5F">
              <w:rPr>
                <w:rFonts w:ascii="Arial" w:hAnsi="Arial"/>
                <w:b/>
                <w:sz w:val="18"/>
              </w:rPr>
              <w:t>Application Error</w:t>
            </w:r>
          </w:p>
        </w:tc>
        <w:tc>
          <w:tcPr>
            <w:tcW w:w="1275" w:type="dxa"/>
            <w:shd w:val="clear" w:color="auto" w:fill="C0C0C0"/>
            <w:hideMark/>
          </w:tcPr>
          <w:p w:rsidR="003A0761" w:rsidRPr="000A0A5F" w:rsidRDefault="003A0761" w:rsidP="00F85004">
            <w:pPr>
              <w:keepNext/>
              <w:keepLines/>
              <w:spacing w:after="0"/>
              <w:jc w:val="center"/>
              <w:rPr>
                <w:rFonts w:ascii="Arial" w:hAnsi="Arial"/>
                <w:b/>
                <w:sz w:val="18"/>
              </w:rPr>
            </w:pPr>
            <w:r w:rsidRPr="000A0A5F">
              <w:rPr>
                <w:rFonts w:ascii="Arial" w:hAnsi="Arial"/>
                <w:b/>
                <w:sz w:val="18"/>
              </w:rPr>
              <w:t>HTTP status code</w:t>
            </w:r>
          </w:p>
        </w:tc>
        <w:tc>
          <w:tcPr>
            <w:tcW w:w="3289" w:type="dxa"/>
            <w:shd w:val="clear" w:color="auto" w:fill="C0C0C0"/>
            <w:hideMark/>
          </w:tcPr>
          <w:p w:rsidR="003A0761" w:rsidRPr="000A0A5F" w:rsidRDefault="003A0761" w:rsidP="00F85004">
            <w:pPr>
              <w:keepNext/>
              <w:keepLines/>
              <w:spacing w:after="0"/>
              <w:jc w:val="center"/>
              <w:rPr>
                <w:rFonts w:ascii="Arial" w:hAnsi="Arial"/>
                <w:b/>
                <w:sz w:val="18"/>
              </w:rPr>
            </w:pPr>
            <w:r w:rsidRPr="000A0A5F">
              <w:rPr>
                <w:rFonts w:ascii="Arial" w:hAnsi="Arial"/>
                <w:b/>
                <w:sz w:val="18"/>
              </w:rPr>
              <w:t>Description</w:t>
            </w:r>
          </w:p>
        </w:tc>
        <w:tc>
          <w:tcPr>
            <w:tcW w:w="2373" w:type="dxa"/>
            <w:shd w:val="clear" w:color="auto" w:fill="C0C0C0"/>
          </w:tcPr>
          <w:p w:rsidR="003A0761" w:rsidRPr="000A0A5F" w:rsidRDefault="003A0761" w:rsidP="00F85004">
            <w:pPr>
              <w:keepNext/>
              <w:keepLines/>
              <w:spacing w:after="0"/>
              <w:jc w:val="center"/>
              <w:rPr>
                <w:rFonts w:ascii="Arial" w:hAnsi="Arial"/>
                <w:b/>
                <w:sz w:val="18"/>
              </w:rPr>
            </w:pPr>
            <w:r w:rsidRPr="000A0A5F">
              <w:rPr>
                <w:rFonts w:ascii="Arial" w:hAnsi="Arial"/>
                <w:b/>
                <w:sz w:val="18"/>
              </w:rPr>
              <w:t>Applicability</w:t>
            </w:r>
          </w:p>
        </w:tc>
      </w:tr>
      <w:tr w:rsidR="003A0761" w:rsidRPr="000A0A5F" w:rsidTr="00F85004">
        <w:trPr>
          <w:cantSplit/>
          <w:jc w:val="center"/>
        </w:trPr>
        <w:tc>
          <w:tcPr>
            <w:tcW w:w="2686" w:type="dxa"/>
          </w:tcPr>
          <w:p w:rsidR="003A0761" w:rsidRPr="000A0A5F" w:rsidRDefault="003A0761" w:rsidP="00F85004">
            <w:pPr>
              <w:keepNext/>
              <w:keepLines/>
              <w:spacing w:after="0"/>
              <w:rPr>
                <w:rFonts w:ascii="Arial" w:hAnsi="Arial"/>
                <w:sz w:val="18"/>
                <w:lang w:eastAsia="zh-CN"/>
              </w:rPr>
            </w:pPr>
            <w:r w:rsidRPr="000A0A5F">
              <w:rPr>
                <w:rFonts w:ascii="Arial" w:hAnsi="Arial"/>
                <w:sz w:val="18"/>
              </w:rPr>
              <w:t>REQUESTED_SERVICE_NOT_AUTHORIZED</w:t>
            </w:r>
          </w:p>
        </w:tc>
        <w:tc>
          <w:tcPr>
            <w:tcW w:w="1275" w:type="dxa"/>
          </w:tcPr>
          <w:p w:rsidR="003A0761" w:rsidRPr="000A0A5F" w:rsidRDefault="003A0761" w:rsidP="00F85004">
            <w:pPr>
              <w:keepNext/>
              <w:keepLines/>
              <w:spacing w:after="0"/>
              <w:rPr>
                <w:rFonts w:ascii="Arial" w:hAnsi="Arial"/>
                <w:sz w:val="18"/>
                <w:lang w:eastAsia="zh-CN"/>
              </w:rPr>
            </w:pPr>
            <w:r w:rsidRPr="000A0A5F">
              <w:rPr>
                <w:rFonts w:ascii="Arial" w:hAnsi="Arial"/>
                <w:sz w:val="18"/>
              </w:rPr>
              <w:t>403 Forbidden</w:t>
            </w:r>
          </w:p>
        </w:tc>
        <w:tc>
          <w:tcPr>
            <w:tcW w:w="3289" w:type="dxa"/>
          </w:tcPr>
          <w:p w:rsidR="003A0761" w:rsidRPr="000A0A5F" w:rsidRDefault="003A0761" w:rsidP="00F85004">
            <w:pPr>
              <w:keepNext/>
              <w:keepLines/>
              <w:spacing w:after="0"/>
              <w:rPr>
                <w:rFonts w:ascii="Arial" w:hAnsi="Arial"/>
                <w:sz w:val="18"/>
              </w:rPr>
            </w:pPr>
            <w:r w:rsidRPr="000A0A5F">
              <w:rPr>
                <w:rFonts w:ascii="Arial" w:hAnsi="Arial"/>
                <w:sz w:val="18"/>
              </w:rPr>
              <w:t>The service information provided in the request is rejected.</w:t>
            </w:r>
          </w:p>
        </w:tc>
        <w:tc>
          <w:tcPr>
            <w:tcW w:w="2373" w:type="dxa"/>
          </w:tcPr>
          <w:p w:rsidR="003A0761" w:rsidRPr="000A0A5F" w:rsidRDefault="001B646A" w:rsidP="00F85004">
            <w:pPr>
              <w:keepNext/>
              <w:keepLines/>
              <w:spacing w:after="0"/>
              <w:rPr>
                <w:rFonts w:ascii="Arial" w:hAnsi="Arial"/>
                <w:sz w:val="18"/>
              </w:rPr>
            </w:pPr>
            <w:r w:rsidRPr="000A0A5F">
              <w:rPr>
                <w:rFonts w:ascii="Arial" w:hAnsi="Arial"/>
                <w:sz w:val="18"/>
              </w:rPr>
              <w:t>ExtErrors</w:t>
            </w:r>
          </w:p>
        </w:tc>
      </w:tr>
      <w:tr w:rsidR="003A0761" w:rsidRPr="000A0A5F" w:rsidTr="00F85004">
        <w:trPr>
          <w:cantSplit/>
          <w:jc w:val="center"/>
        </w:trPr>
        <w:tc>
          <w:tcPr>
            <w:tcW w:w="2686" w:type="dxa"/>
          </w:tcPr>
          <w:p w:rsidR="003A0761" w:rsidRPr="000A0A5F" w:rsidRDefault="003A0761" w:rsidP="00F85004">
            <w:pPr>
              <w:keepNext/>
              <w:keepLines/>
              <w:spacing w:after="0"/>
              <w:rPr>
                <w:rFonts w:ascii="Arial" w:hAnsi="Arial"/>
                <w:sz w:val="18"/>
                <w:lang w:eastAsia="zh-CN"/>
              </w:rPr>
            </w:pPr>
            <w:r w:rsidRPr="000A0A5F">
              <w:rPr>
                <w:rFonts w:ascii="Arial" w:hAnsi="Arial"/>
                <w:sz w:val="18"/>
              </w:rPr>
              <w:t>REQUESTED_SERVICE_TEMPORARILY_NOT_AUTHORIZED</w:t>
            </w:r>
          </w:p>
        </w:tc>
        <w:tc>
          <w:tcPr>
            <w:tcW w:w="1275" w:type="dxa"/>
          </w:tcPr>
          <w:p w:rsidR="003A0761" w:rsidRPr="000A0A5F" w:rsidRDefault="003A0761" w:rsidP="00F85004">
            <w:pPr>
              <w:keepNext/>
              <w:keepLines/>
              <w:spacing w:after="0"/>
              <w:rPr>
                <w:rFonts w:ascii="Arial" w:hAnsi="Arial"/>
                <w:sz w:val="18"/>
                <w:lang w:eastAsia="zh-CN"/>
              </w:rPr>
            </w:pPr>
            <w:r w:rsidRPr="000A0A5F">
              <w:rPr>
                <w:rFonts w:ascii="Arial" w:hAnsi="Arial"/>
                <w:sz w:val="18"/>
              </w:rPr>
              <w:t>403 Forbidden</w:t>
            </w:r>
          </w:p>
        </w:tc>
        <w:tc>
          <w:tcPr>
            <w:tcW w:w="3289" w:type="dxa"/>
          </w:tcPr>
          <w:p w:rsidR="003A0761" w:rsidRPr="000A0A5F" w:rsidRDefault="003A0761" w:rsidP="00F85004">
            <w:pPr>
              <w:keepNext/>
              <w:keepLines/>
              <w:spacing w:after="0"/>
              <w:rPr>
                <w:rFonts w:ascii="Arial" w:hAnsi="Arial"/>
                <w:sz w:val="18"/>
              </w:rPr>
            </w:pPr>
            <w:r w:rsidRPr="000A0A5F">
              <w:rPr>
                <w:rFonts w:ascii="Arial" w:hAnsi="Arial"/>
                <w:sz w:val="18"/>
              </w:rPr>
              <w:t>The service information provided in the request is temporarily rejected.</w:t>
            </w:r>
          </w:p>
        </w:tc>
        <w:tc>
          <w:tcPr>
            <w:tcW w:w="2373" w:type="dxa"/>
          </w:tcPr>
          <w:p w:rsidR="003A0761" w:rsidRPr="000A0A5F" w:rsidRDefault="001B646A" w:rsidP="00F85004">
            <w:pPr>
              <w:keepNext/>
              <w:keepLines/>
              <w:spacing w:after="0"/>
              <w:rPr>
                <w:rFonts w:ascii="Arial" w:hAnsi="Arial"/>
                <w:sz w:val="18"/>
              </w:rPr>
            </w:pPr>
            <w:r w:rsidRPr="000A0A5F">
              <w:rPr>
                <w:rFonts w:ascii="Arial" w:hAnsi="Arial"/>
                <w:sz w:val="18"/>
              </w:rPr>
              <w:t>ExtErrors</w:t>
            </w:r>
          </w:p>
        </w:tc>
      </w:tr>
      <w:tr w:rsidR="003A0761" w:rsidRPr="000A0A5F" w:rsidTr="00F85004">
        <w:trPr>
          <w:cantSplit/>
          <w:jc w:val="center"/>
        </w:trPr>
        <w:tc>
          <w:tcPr>
            <w:tcW w:w="2686" w:type="dxa"/>
          </w:tcPr>
          <w:p w:rsidR="003A0761" w:rsidRPr="000A0A5F" w:rsidRDefault="003A0761" w:rsidP="00F85004">
            <w:pPr>
              <w:keepNext/>
              <w:keepLines/>
              <w:spacing w:after="0"/>
              <w:rPr>
                <w:rFonts w:ascii="Arial" w:hAnsi="Arial"/>
                <w:sz w:val="18"/>
                <w:lang w:eastAsia="zh-CN"/>
              </w:rPr>
            </w:pPr>
            <w:r w:rsidRPr="000A0A5F">
              <w:rPr>
                <w:rFonts w:ascii="Arial" w:hAnsi="Arial"/>
                <w:sz w:val="18"/>
              </w:rPr>
              <w:t>UNAUTHORIZED_SPONSORED_DATA_CONNECTIVITY</w:t>
            </w:r>
          </w:p>
        </w:tc>
        <w:tc>
          <w:tcPr>
            <w:tcW w:w="1275" w:type="dxa"/>
          </w:tcPr>
          <w:p w:rsidR="003A0761" w:rsidRPr="000A0A5F" w:rsidRDefault="003A0761" w:rsidP="00F85004">
            <w:pPr>
              <w:keepNext/>
              <w:keepLines/>
              <w:spacing w:after="0"/>
              <w:rPr>
                <w:rFonts w:ascii="Arial" w:hAnsi="Arial"/>
                <w:sz w:val="18"/>
                <w:lang w:eastAsia="zh-CN"/>
              </w:rPr>
            </w:pPr>
            <w:r w:rsidRPr="000A0A5F">
              <w:rPr>
                <w:rFonts w:ascii="Arial" w:hAnsi="Arial"/>
                <w:sz w:val="18"/>
              </w:rPr>
              <w:t>403 Forbidden</w:t>
            </w:r>
          </w:p>
        </w:tc>
        <w:tc>
          <w:tcPr>
            <w:tcW w:w="3289" w:type="dxa"/>
          </w:tcPr>
          <w:p w:rsidR="003A0761" w:rsidRPr="000A0A5F" w:rsidRDefault="003A0761" w:rsidP="00F85004">
            <w:pPr>
              <w:keepNext/>
              <w:keepLines/>
              <w:spacing w:after="0"/>
              <w:rPr>
                <w:rFonts w:ascii="Arial" w:hAnsi="Arial"/>
                <w:sz w:val="18"/>
              </w:rPr>
            </w:pPr>
            <w:r w:rsidRPr="000A0A5F">
              <w:rPr>
                <w:rFonts w:ascii="Arial" w:hAnsi="Arial"/>
                <w:sz w:val="18"/>
              </w:rPr>
              <w:t>The request for sponsored data connectivity is not authorized.</w:t>
            </w:r>
          </w:p>
        </w:tc>
        <w:tc>
          <w:tcPr>
            <w:tcW w:w="2373" w:type="dxa"/>
          </w:tcPr>
          <w:p w:rsidR="003A0761" w:rsidRPr="000A0A5F" w:rsidRDefault="001B646A" w:rsidP="00F85004">
            <w:pPr>
              <w:keepNext/>
              <w:keepLines/>
              <w:spacing w:after="0"/>
              <w:rPr>
                <w:rFonts w:ascii="Arial" w:hAnsi="Arial"/>
                <w:sz w:val="18"/>
              </w:rPr>
            </w:pPr>
            <w:r w:rsidRPr="000A0A5F">
              <w:rPr>
                <w:rFonts w:ascii="Arial" w:hAnsi="Arial"/>
                <w:sz w:val="18"/>
              </w:rPr>
              <w:t>ExtErrors</w:t>
            </w:r>
          </w:p>
        </w:tc>
      </w:tr>
      <w:tr w:rsidR="003A0761" w:rsidRPr="000A0A5F" w:rsidTr="00F85004">
        <w:trPr>
          <w:cantSplit/>
          <w:jc w:val="center"/>
        </w:trPr>
        <w:tc>
          <w:tcPr>
            <w:tcW w:w="2686" w:type="dxa"/>
          </w:tcPr>
          <w:p w:rsidR="003A0761" w:rsidRPr="000A0A5F" w:rsidRDefault="003A0761" w:rsidP="00F85004">
            <w:pPr>
              <w:keepNext/>
              <w:keepLines/>
              <w:spacing w:after="0"/>
              <w:rPr>
                <w:rFonts w:ascii="Arial" w:hAnsi="Arial"/>
                <w:sz w:val="18"/>
                <w:lang w:eastAsia="zh-CN"/>
              </w:rPr>
            </w:pPr>
            <w:r w:rsidRPr="000A0A5F">
              <w:rPr>
                <w:rFonts w:ascii="Arial" w:hAnsi="Arial"/>
                <w:sz w:val="18"/>
              </w:rPr>
              <w:t>PDU_SESSION_NOT_AVAILABLE</w:t>
            </w:r>
          </w:p>
        </w:tc>
        <w:tc>
          <w:tcPr>
            <w:tcW w:w="1275" w:type="dxa"/>
          </w:tcPr>
          <w:p w:rsidR="003A0761" w:rsidRPr="000A0A5F" w:rsidRDefault="003A0761" w:rsidP="00F85004">
            <w:pPr>
              <w:keepNext/>
              <w:keepLines/>
              <w:spacing w:after="0"/>
              <w:rPr>
                <w:rFonts w:ascii="Arial" w:hAnsi="Arial"/>
                <w:sz w:val="18"/>
                <w:lang w:eastAsia="zh-CN"/>
              </w:rPr>
            </w:pPr>
            <w:r w:rsidRPr="000A0A5F">
              <w:rPr>
                <w:rFonts w:ascii="Arial" w:hAnsi="Arial"/>
                <w:sz w:val="18"/>
              </w:rPr>
              <w:t>500 Internal Server Error</w:t>
            </w:r>
          </w:p>
        </w:tc>
        <w:tc>
          <w:tcPr>
            <w:tcW w:w="3289" w:type="dxa"/>
          </w:tcPr>
          <w:p w:rsidR="003A0761" w:rsidRPr="000A0A5F" w:rsidRDefault="003A0761" w:rsidP="00F85004">
            <w:pPr>
              <w:keepNext/>
              <w:keepLines/>
              <w:spacing w:after="0"/>
              <w:rPr>
                <w:rFonts w:ascii="Arial" w:hAnsi="Arial"/>
                <w:sz w:val="18"/>
              </w:rPr>
            </w:pPr>
            <w:r w:rsidRPr="000A0A5F">
              <w:rPr>
                <w:rFonts w:ascii="Arial" w:hAnsi="Arial"/>
                <w:sz w:val="18"/>
              </w:rPr>
              <w:t>The PDU session is not found for the provided UE address.</w:t>
            </w:r>
          </w:p>
        </w:tc>
        <w:tc>
          <w:tcPr>
            <w:tcW w:w="2373" w:type="dxa"/>
          </w:tcPr>
          <w:p w:rsidR="003A0761" w:rsidRPr="000A0A5F" w:rsidRDefault="001B646A" w:rsidP="00F85004">
            <w:pPr>
              <w:keepNext/>
              <w:keepLines/>
              <w:spacing w:after="0"/>
              <w:rPr>
                <w:rFonts w:ascii="Arial" w:hAnsi="Arial"/>
                <w:sz w:val="18"/>
              </w:rPr>
            </w:pPr>
            <w:r w:rsidRPr="000A0A5F">
              <w:rPr>
                <w:rFonts w:ascii="Arial" w:hAnsi="Arial"/>
                <w:sz w:val="18"/>
              </w:rPr>
              <w:t>ExtErrors</w:t>
            </w:r>
          </w:p>
        </w:tc>
      </w:tr>
      <w:tr w:rsidR="003A0761" w:rsidRPr="000A0A5F" w:rsidTr="00F85004">
        <w:trPr>
          <w:cantSplit/>
          <w:jc w:val="center"/>
        </w:trPr>
        <w:tc>
          <w:tcPr>
            <w:tcW w:w="2686" w:type="dxa"/>
          </w:tcPr>
          <w:p w:rsidR="003A0761" w:rsidRPr="000A0A5F" w:rsidRDefault="003A0761" w:rsidP="00F85004">
            <w:pPr>
              <w:keepNext/>
              <w:keepLines/>
              <w:spacing w:after="0"/>
              <w:rPr>
                <w:rFonts w:ascii="Arial" w:hAnsi="Arial"/>
                <w:sz w:val="18"/>
              </w:rPr>
            </w:pPr>
            <w:bookmarkStart w:id="9566" w:name="_Hlk127820109"/>
            <w:r w:rsidRPr="000A0A5F">
              <w:rPr>
                <w:rFonts w:ascii="Arial" w:hAnsi="Arial"/>
                <w:sz w:val="18"/>
                <w:lang w:eastAsia="zh-CN"/>
              </w:rPr>
              <w:t>INVALID_SESSION_UPDATE</w:t>
            </w:r>
            <w:bookmarkEnd w:id="9566"/>
          </w:p>
        </w:tc>
        <w:tc>
          <w:tcPr>
            <w:tcW w:w="1275" w:type="dxa"/>
          </w:tcPr>
          <w:p w:rsidR="003A0761" w:rsidRPr="000A0A5F" w:rsidRDefault="003A0761" w:rsidP="00F85004">
            <w:pPr>
              <w:keepNext/>
              <w:keepLines/>
              <w:spacing w:after="0"/>
              <w:rPr>
                <w:rFonts w:ascii="Arial" w:hAnsi="Arial"/>
                <w:sz w:val="18"/>
              </w:rPr>
            </w:pPr>
            <w:r w:rsidRPr="000A0A5F">
              <w:rPr>
                <w:rFonts w:ascii="Arial" w:hAnsi="Arial" w:hint="eastAsia"/>
                <w:sz w:val="18"/>
                <w:lang w:eastAsia="zh-CN"/>
              </w:rPr>
              <w:t>403 Forbidden</w:t>
            </w:r>
          </w:p>
        </w:tc>
        <w:tc>
          <w:tcPr>
            <w:tcW w:w="3289" w:type="dxa"/>
          </w:tcPr>
          <w:p w:rsidR="003A0761" w:rsidRPr="000A0A5F" w:rsidRDefault="003A0761" w:rsidP="00F85004">
            <w:pPr>
              <w:keepNext/>
              <w:keepLines/>
              <w:spacing w:after="0"/>
              <w:rPr>
                <w:rFonts w:ascii="Arial" w:hAnsi="Arial"/>
                <w:sz w:val="18"/>
              </w:rPr>
            </w:pPr>
            <w:r w:rsidRPr="000A0A5F">
              <w:rPr>
                <w:rFonts w:ascii="Arial" w:hAnsi="Arial"/>
                <w:sz w:val="18"/>
              </w:rPr>
              <w:t xml:space="preserve">Indicates that </w:t>
            </w:r>
            <w:r w:rsidRPr="000A0A5F">
              <w:rPr>
                <w:rFonts w:ascii="Arial" w:hAnsi="Arial" w:hint="eastAsia"/>
                <w:sz w:val="18"/>
                <w:lang w:eastAsia="zh-CN"/>
              </w:rPr>
              <w:t xml:space="preserve">the </w:t>
            </w:r>
            <w:r w:rsidRPr="000A0A5F">
              <w:rPr>
                <w:rFonts w:ascii="Arial" w:hAnsi="Arial"/>
                <w:sz w:val="18"/>
                <w:lang w:eastAsia="zh-CN"/>
              </w:rPr>
              <w:t>session</w:t>
            </w:r>
            <w:r w:rsidRPr="000A0A5F">
              <w:rPr>
                <w:rFonts w:ascii="Arial" w:hAnsi="Arial" w:hint="eastAsia"/>
                <w:sz w:val="18"/>
                <w:lang w:eastAsia="zh-CN"/>
              </w:rPr>
              <w:t xml:space="preserve"> </w:t>
            </w:r>
            <w:r w:rsidRPr="000A0A5F">
              <w:rPr>
                <w:rFonts w:ascii="Arial" w:hAnsi="Arial"/>
                <w:sz w:val="18"/>
                <w:lang w:eastAsia="zh-CN"/>
              </w:rPr>
              <w:t xml:space="preserve">is </w:t>
            </w:r>
            <w:r w:rsidRPr="000A0A5F">
              <w:rPr>
                <w:rFonts w:ascii="Arial" w:hAnsi="Arial" w:hint="eastAsia"/>
                <w:sz w:val="18"/>
                <w:lang w:eastAsia="zh-CN"/>
              </w:rPr>
              <w:t xml:space="preserve">not allowed to </w:t>
            </w:r>
            <w:r w:rsidRPr="000A0A5F">
              <w:rPr>
                <w:rFonts w:ascii="Arial" w:hAnsi="Arial"/>
                <w:sz w:val="18"/>
                <w:lang w:eastAsia="zh-CN"/>
              </w:rPr>
              <w:t>be updated since one or more of the received parameters can not be served in current session. The AF can retry with a new session</w:t>
            </w:r>
            <w:r w:rsidRPr="000A0A5F">
              <w:rPr>
                <w:rFonts w:ascii="Arial" w:hAnsi="Arial" w:hint="eastAsia"/>
                <w:sz w:val="18"/>
                <w:lang w:eastAsia="zh-CN"/>
              </w:rPr>
              <w:t>.</w:t>
            </w:r>
          </w:p>
        </w:tc>
        <w:tc>
          <w:tcPr>
            <w:tcW w:w="2373" w:type="dxa"/>
          </w:tcPr>
          <w:p w:rsidR="003A0761" w:rsidRPr="000A0A5F" w:rsidRDefault="003A0761" w:rsidP="00F85004">
            <w:pPr>
              <w:keepNext/>
              <w:keepLines/>
              <w:spacing w:after="0"/>
              <w:rPr>
                <w:rFonts w:ascii="Arial" w:hAnsi="Arial"/>
                <w:sz w:val="18"/>
              </w:rPr>
            </w:pPr>
            <w:r w:rsidRPr="000A0A5F">
              <w:rPr>
                <w:rFonts w:ascii="Arial" w:hAnsi="Arial"/>
                <w:sz w:val="18"/>
              </w:rPr>
              <w:t>TSC_5G</w:t>
            </w:r>
          </w:p>
        </w:tc>
      </w:tr>
    </w:tbl>
    <w:p w:rsidR="006D4DA5" w:rsidRPr="000A0A5F" w:rsidRDefault="006D4DA5"/>
    <w:p w:rsidR="00CB0DD7" w:rsidRPr="000A0A5F" w:rsidRDefault="00CB0DD7">
      <w:pPr>
        <w:pStyle w:val="Heading2"/>
      </w:pPr>
      <w:bookmarkStart w:id="9567" w:name="_Toc11247908"/>
      <w:bookmarkStart w:id="9568" w:name="_Toc27045052"/>
      <w:bookmarkStart w:id="9569" w:name="_Toc36034103"/>
      <w:bookmarkStart w:id="9570" w:name="_Toc45132250"/>
      <w:bookmarkStart w:id="9571" w:name="_Toc49776535"/>
      <w:bookmarkStart w:id="9572" w:name="_Toc51747455"/>
      <w:bookmarkStart w:id="9573" w:name="_Toc66361037"/>
      <w:bookmarkStart w:id="9574" w:name="_Toc68105542"/>
      <w:bookmarkStart w:id="9575" w:name="_Toc74756174"/>
      <w:bookmarkStart w:id="9576" w:name="_Toc105675051"/>
      <w:bookmarkStart w:id="9577" w:name="_Toc130503125"/>
      <w:bookmarkStart w:id="9578" w:name="_Toc153625917"/>
      <w:r w:rsidRPr="000A0A5F">
        <w:t>5.15</w:t>
      </w:r>
      <w:r w:rsidRPr="000A0A5F">
        <w:tab/>
        <w:t>MsisdnLessMoSms API</w:t>
      </w:r>
      <w:bookmarkEnd w:id="9567"/>
      <w:bookmarkEnd w:id="9568"/>
      <w:bookmarkEnd w:id="9569"/>
      <w:bookmarkEnd w:id="9570"/>
      <w:bookmarkEnd w:id="9571"/>
      <w:bookmarkEnd w:id="9572"/>
      <w:bookmarkEnd w:id="9573"/>
      <w:bookmarkEnd w:id="9574"/>
      <w:bookmarkEnd w:id="9575"/>
      <w:bookmarkEnd w:id="9576"/>
      <w:bookmarkEnd w:id="9577"/>
      <w:bookmarkEnd w:id="9578"/>
    </w:p>
    <w:p w:rsidR="00CB0DD7" w:rsidRPr="000A0A5F" w:rsidRDefault="00CB0DD7">
      <w:pPr>
        <w:pStyle w:val="Heading3"/>
      </w:pPr>
      <w:bookmarkStart w:id="9579" w:name="_Toc11247909"/>
      <w:bookmarkStart w:id="9580" w:name="_Toc27045053"/>
      <w:bookmarkStart w:id="9581" w:name="_Toc36034104"/>
      <w:bookmarkStart w:id="9582" w:name="_Toc45132251"/>
      <w:bookmarkStart w:id="9583" w:name="_Toc49776536"/>
      <w:bookmarkStart w:id="9584" w:name="_Toc51747456"/>
      <w:bookmarkStart w:id="9585" w:name="_Toc66361038"/>
      <w:bookmarkStart w:id="9586" w:name="_Toc68105543"/>
      <w:bookmarkStart w:id="9587" w:name="_Toc74756175"/>
      <w:bookmarkStart w:id="9588" w:name="_Toc105675052"/>
      <w:bookmarkStart w:id="9589" w:name="_Toc130503126"/>
      <w:bookmarkStart w:id="9590" w:name="_Toc153625918"/>
      <w:r w:rsidRPr="000A0A5F">
        <w:t>5.15.1</w:t>
      </w:r>
      <w:r w:rsidRPr="000A0A5F">
        <w:tab/>
        <w:t>Overview</w:t>
      </w:r>
      <w:bookmarkEnd w:id="9579"/>
      <w:bookmarkEnd w:id="9580"/>
      <w:bookmarkEnd w:id="9581"/>
      <w:bookmarkEnd w:id="9582"/>
      <w:bookmarkEnd w:id="9583"/>
      <w:bookmarkEnd w:id="9584"/>
      <w:bookmarkEnd w:id="9585"/>
      <w:bookmarkEnd w:id="9586"/>
      <w:bookmarkEnd w:id="9587"/>
      <w:bookmarkEnd w:id="9588"/>
      <w:bookmarkEnd w:id="9589"/>
      <w:bookmarkEnd w:id="9590"/>
    </w:p>
    <w:p w:rsidR="00CB0DD7" w:rsidRPr="000A0A5F" w:rsidRDefault="00CB0DD7">
      <w:r w:rsidRPr="000A0A5F">
        <w:rPr>
          <w:rFonts w:hint="eastAsia"/>
          <w:noProof/>
          <w:lang w:eastAsia="zh-CN"/>
        </w:rPr>
        <w:t>The</w:t>
      </w:r>
      <w:r w:rsidRPr="000A0A5F">
        <w:rPr>
          <w:noProof/>
          <w:lang w:eastAsia="zh-CN"/>
        </w:rPr>
        <w:t xml:space="preserve"> </w:t>
      </w:r>
      <w:r w:rsidRPr="000A0A5F">
        <w:t>MsisdnLessMoSms</w:t>
      </w:r>
      <w:r w:rsidRPr="000A0A5F">
        <w:rPr>
          <w:noProof/>
          <w:lang w:eastAsia="zh-CN"/>
        </w:rPr>
        <w:t xml:space="preserve"> API allows the delivery of MSISDN-less mobile originated SMSs from the SCEF to the SCS/AS.</w:t>
      </w:r>
      <w:r w:rsidRPr="000A0A5F">
        <w:t xml:space="preserve"> The corresponding JSON schema for the representation of the resources and operations defined by the MsisdnLessMoSms API is provided in its complete form in Annex A.15.</w:t>
      </w:r>
    </w:p>
    <w:p w:rsidR="00CB0DD7" w:rsidRPr="000A0A5F" w:rsidRDefault="00CB0DD7">
      <w:pPr>
        <w:pStyle w:val="Heading3"/>
      </w:pPr>
      <w:bookmarkStart w:id="9591" w:name="_Toc11247910"/>
      <w:bookmarkStart w:id="9592" w:name="_Toc27045054"/>
      <w:bookmarkStart w:id="9593" w:name="_Toc36034105"/>
      <w:bookmarkStart w:id="9594" w:name="_Toc45132252"/>
      <w:bookmarkStart w:id="9595" w:name="_Toc49776537"/>
      <w:bookmarkStart w:id="9596" w:name="_Toc51747457"/>
      <w:bookmarkStart w:id="9597" w:name="_Toc66361039"/>
      <w:bookmarkStart w:id="9598" w:name="_Toc68105544"/>
      <w:bookmarkStart w:id="9599" w:name="_Toc74756176"/>
      <w:bookmarkStart w:id="9600" w:name="_Toc105675053"/>
      <w:bookmarkStart w:id="9601" w:name="_Toc130503127"/>
      <w:bookmarkStart w:id="9602" w:name="_Toc153625919"/>
      <w:r w:rsidRPr="000A0A5F">
        <w:t>5.15.2</w:t>
      </w:r>
      <w:r w:rsidRPr="000A0A5F">
        <w:tab/>
        <w:t>Data model</w:t>
      </w:r>
      <w:bookmarkEnd w:id="9591"/>
      <w:bookmarkEnd w:id="9592"/>
      <w:bookmarkEnd w:id="9593"/>
      <w:bookmarkEnd w:id="9594"/>
      <w:bookmarkEnd w:id="9595"/>
      <w:bookmarkEnd w:id="9596"/>
      <w:bookmarkEnd w:id="9597"/>
      <w:bookmarkEnd w:id="9598"/>
      <w:bookmarkEnd w:id="9599"/>
      <w:bookmarkEnd w:id="9600"/>
      <w:bookmarkEnd w:id="9601"/>
      <w:bookmarkEnd w:id="9602"/>
    </w:p>
    <w:p w:rsidR="00CB0DD7" w:rsidRPr="000A0A5F" w:rsidRDefault="00CB0DD7">
      <w:pPr>
        <w:pStyle w:val="Heading4"/>
      </w:pPr>
      <w:bookmarkStart w:id="9603" w:name="_Toc11247911"/>
      <w:bookmarkStart w:id="9604" w:name="_Toc27045055"/>
      <w:bookmarkStart w:id="9605" w:name="_Toc36034106"/>
      <w:bookmarkStart w:id="9606" w:name="_Toc45132253"/>
      <w:bookmarkStart w:id="9607" w:name="_Toc49776538"/>
      <w:bookmarkStart w:id="9608" w:name="_Toc51747458"/>
      <w:bookmarkStart w:id="9609" w:name="_Toc66361040"/>
      <w:bookmarkStart w:id="9610" w:name="_Toc68105545"/>
      <w:bookmarkStart w:id="9611" w:name="_Toc74756177"/>
      <w:bookmarkStart w:id="9612" w:name="_Toc105675054"/>
      <w:bookmarkStart w:id="9613" w:name="_Toc130503128"/>
      <w:bookmarkStart w:id="9614" w:name="_Toc153625920"/>
      <w:r w:rsidRPr="000A0A5F">
        <w:t>5.15.2.1</w:t>
      </w:r>
      <w:r w:rsidRPr="000A0A5F">
        <w:tab/>
        <w:t>Notification data types</w:t>
      </w:r>
      <w:bookmarkEnd w:id="9603"/>
      <w:bookmarkEnd w:id="9604"/>
      <w:bookmarkEnd w:id="9605"/>
      <w:bookmarkEnd w:id="9606"/>
      <w:bookmarkEnd w:id="9607"/>
      <w:bookmarkEnd w:id="9608"/>
      <w:bookmarkEnd w:id="9609"/>
      <w:bookmarkEnd w:id="9610"/>
      <w:bookmarkEnd w:id="9611"/>
      <w:bookmarkEnd w:id="9612"/>
      <w:bookmarkEnd w:id="9613"/>
      <w:bookmarkEnd w:id="9614"/>
    </w:p>
    <w:p w:rsidR="00CB0DD7" w:rsidRPr="000A0A5F" w:rsidRDefault="00CB0DD7">
      <w:pPr>
        <w:pStyle w:val="Heading5"/>
      </w:pPr>
      <w:bookmarkStart w:id="9615" w:name="_Toc11247912"/>
      <w:bookmarkStart w:id="9616" w:name="_Toc27045056"/>
      <w:bookmarkStart w:id="9617" w:name="_Toc36034107"/>
      <w:bookmarkStart w:id="9618" w:name="_Toc45132254"/>
      <w:bookmarkStart w:id="9619" w:name="_Toc49776539"/>
      <w:bookmarkStart w:id="9620" w:name="_Toc51747459"/>
      <w:bookmarkStart w:id="9621" w:name="_Toc66361041"/>
      <w:bookmarkStart w:id="9622" w:name="_Toc68105546"/>
      <w:bookmarkStart w:id="9623" w:name="_Toc74756178"/>
      <w:bookmarkStart w:id="9624" w:name="_Toc105675055"/>
      <w:bookmarkStart w:id="9625" w:name="_Toc130503129"/>
      <w:bookmarkStart w:id="9626" w:name="_Toc153625921"/>
      <w:r w:rsidRPr="000A0A5F">
        <w:t>5.15.2.1.1</w:t>
      </w:r>
      <w:r w:rsidRPr="000A0A5F">
        <w:tab/>
        <w:t>Introduction</w:t>
      </w:r>
      <w:bookmarkEnd w:id="9615"/>
      <w:bookmarkEnd w:id="9616"/>
      <w:bookmarkEnd w:id="9617"/>
      <w:bookmarkEnd w:id="9618"/>
      <w:bookmarkEnd w:id="9619"/>
      <w:bookmarkEnd w:id="9620"/>
      <w:bookmarkEnd w:id="9621"/>
      <w:bookmarkEnd w:id="9622"/>
      <w:bookmarkEnd w:id="9623"/>
      <w:bookmarkEnd w:id="9624"/>
      <w:bookmarkEnd w:id="9625"/>
      <w:bookmarkEnd w:id="9626"/>
    </w:p>
    <w:p w:rsidR="00CB0DD7" w:rsidRPr="000A0A5F" w:rsidRDefault="00CB0DD7">
      <w:r w:rsidRPr="000A0A5F">
        <w:t>This clause defines data structures to be used in notifications.</w:t>
      </w:r>
    </w:p>
    <w:p w:rsidR="00CB0DD7" w:rsidRPr="000A0A5F" w:rsidRDefault="00CB0DD7">
      <w:r w:rsidRPr="000A0A5F">
        <w:t xml:space="preserve">Table 5.15.2.1.1-1 specifies data types re-used by the MsisdnLessMoSms API from other specifications, including a reference to their respective specifications and when needed, a short description of their use within the MsisdnLessMoSms API. </w:t>
      </w:r>
    </w:p>
    <w:p w:rsidR="00CB0DD7" w:rsidRPr="000A0A5F" w:rsidRDefault="00CB0DD7">
      <w:pPr>
        <w:pStyle w:val="TH"/>
      </w:pPr>
      <w:r w:rsidRPr="000A0A5F">
        <w:t>Table 5.15.2.1.1-1: MsisdnLessMoSms API re-used Data Types</w:t>
      </w:r>
    </w:p>
    <w:tbl>
      <w:tblPr>
        <w:tblW w:w="917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018"/>
        <w:gridCol w:w="1848"/>
        <w:gridCol w:w="5308"/>
      </w:tblGrid>
      <w:tr w:rsidR="00CB0DD7" w:rsidRPr="000A0A5F" w:rsidTr="00FF0AF8">
        <w:trPr>
          <w:jc w:val="center"/>
        </w:trPr>
        <w:tc>
          <w:tcPr>
            <w:tcW w:w="2018" w:type="dxa"/>
            <w:shd w:val="clear" w:color="auto" w:fill="C0C0C0"/>
            <w:hideMark/>
          </w:tcPr>
          <w:p w:rsidR="00CB0DD7" w:rsidRPr="000A0A5F" w:rsidRDefault="00CB0DD7">
            <w:pPr>
              <w:pStyle w:val="TAH"/>
            </w:pPr>
            <w:r w:rsidRPr="000A0A5F">
              <w:t>Data type</w:t>
            </w:r>
          </w:p>
        </w:tc>
        <w:tc>
          <w:tcPr>
            <w:tcW w:w="1848" w:type="dxa"/>
            <w:shd w:val="clear" w:color="auto" w:fill="C0C0C0"/>
          </w:tcPr>
          <w:p w:rsidR="00CB0DD7" w:rsidRPr="000A0A5F" w:rsidRDefault="00CB0DD7">
            <w:pPr>
              <w:pStyle w:val="TAH"/>
            </w:pPr>
            <w:r w:rsidRPr="000A0A5F">
              <w:t>Reference</w:t>
            </w:r>
          </w:p>
        </w:tc>
        <w:tc>
          <w:tcPr>
            <w:tcW w:w="5308" w:type="dxa"/>
            <w:shd w:val="clear" w:color="auto" w:fill="C0C0C0"/>
            <w:hideMark/>
          </w:tcPr>
          <w:p w:rsidR="00CB0DD7" w:rsidRPr="000A0A5F" w:rsidRDefault="00CB0DD7">
            <w:pPr>
              <w:pStyle w:val="TAH"/>
            </w:pPr>
            <w:r w:rsidRPr="000A0A5F">
              <w:t>Comments</w:t>
            </w:r>
          </w:p>
        </w:tc>
      </w:tr>
      <w:tr w:rsidR="00CB0DD7" w:rsidRPr="000A0A5F" w:rsidTr="00FF0AF8">
        <w:trPr>
          <w:jc w:val="center"/>
        </w:trPr>
        <w:tc>
          <w:tcPr>
            <w:tcW w:w="2018" w:type="dxa"/>
          </w:tcPr>
          <w:p w:rsidR="00CB0DD7" w:rsidRPr="000A0A5F" w:rsidRDefault="00CB0DD7">
            <w:pPr>
              <w:pStyle w:val="TAL"/>
            </w:pPr>
            <w:r w:rsidRPr="000A0A5F">
              <w:t>SupportedFeatures</w:t>
            </w:r>
          </w:p>
        </w:tc>
        <w:tc>
          <w:tcPr>
            <w:tcW w:w="1848" w:type="dxa"/>
          </w:tcPr>
          <w:p w:rsidR="00CB0DD7" w:rsidRPr="000A0A5F" w:rsidRDefault="00CB0DD7">
            <w:pPr>
              <w:pStyle w:val="TAL"/>
              <w:rPr>
                <w:rFonts w:hint="eastAsia"/>
                <w:lang w:eastAsia="zh-CN"/>
              </w:rPr>
            </w:pPr>
            <w:r w:rsidRPr="000A0A5F">
              <w:rPr>
                <w:lang w:eastAsia="zh-CN"/>
              </w:rPr>
              <w:t>3GPP TS 29.571 [45]</w:t>
            </w:r>
          </w:p>
        </w:tc>
        <w:tc>
          <w:tcPr>
            <w:tcW w:w="5308" w:type="dxa"/>
          </w:tcPr>
          <w:p w:rsidR="00CB0DD7" w:rsidRPr="000A0A5F" w:rsidRDefault="00CB0DD7">
            <w:pPr>
              <w:pStyle w:val="TAL"/>
              <w:rPr>
                <w:lang w:eastAsia="zh-CN"/>
              </w:rPr>
            </w:pPr>
            <w:r w:rsidRPr="000A0A5F">
              <w:rPr>
                <w:lang w:eastAsia="zh-CN"/>
              </w:rPr>
              <w:t>Used to negotiate the applicability of the optional features defined in table 5.15.4-1.</w:t>
            </w:r>
          </w:p>
        </w:tc>
      </w:tr>
    </w:tbl>
    <w:p w:rsidR="00CB0DD7" w:rsidRPr="000A0A5F" w:rsidRDefault="00CB0DD7"/>
    <w:p w:rsidR="007649C6" w:rsidRPr="000A0A5F" w:rsidRDefault="007649C6" w:rsidP="007649C6">
      <w:bookmarkStart w:id="9627" w:name="_Toc11247913"/>
      <w:bookmarkStart w:id="9628" w:name="_Toc27045057"/>
      <w:bookmarkStart w:id="9629" w:name="_Toc36034108"/>
      <w:bookmarkStart w:id="9630" w:name="_Toc45132255"/>
      <w:bookmarkStart w:id="9631" w:name="_Toc49776540"/>
      <w:bookmarkStart w:id="9632" w:name="_Toc51747460"/>
      <w:bookmarkStart w:id="9633" w:name="_Toc66361042"/>
      <w:bookmarkStart w:id="9634" w:name="_Toc68105547"/>
      <w:bookmarkStart w:id="9635" w:name="_Toc74756179"/>
      <w:r w:rsidRPr="000A0A5F">
        <w:t>Table 5.15.2.1.1-2 specifies the data types defined for the MsisdnLessMoSms API.</w:t>
      </w:r>
    </w:p>
    <w:p w:rsidR="007649C6" w:rsidRPr="000A0A5F" w:rsidRDefault="007649C6" w:rsidP="007649C6">
      <w:pPr>
        <w:pStyle w:val="TH"/>
      </w:pPr>
      <w:r w:rsidRPr="000A0A5F">
        <w:t>Table 5.15.2.1.1-2: MsisdnLessMoSms API specific Data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888"/>
        <w:gridCol w:w="1076"/>
        <w:gridCol w:w="4253"/>
        <w:gridCol w:w="1412"/>
      </w:tblGrid>
      <w:tr w:rsidR="007649C6" w:rsidRPr="000A0A5F" w:rsidTr="00FF0AF8">
        <w:trPr>
          <w:jc w:val="center"/>
        </w:trPr>
        <w:tc>
          <w:tcPr>
            <w:tcW w:w="2888" w:type="dxa"/>
            <w:shd w:val="clear" w:color="auto" w:fill="C0C0C0"/>
            <w:vAlign w:val="center"/>
            <w:hideMark/>
          </w:tcPr>
          <w:p w:rsidR="007649C6" w:rsidRPr="000A0A5F" w:rsidRDefault="007649C6" w:rsidP="00D513D3">
            <w:pPr>
              <w:pStyle w:val="TAH"/>
            </w:pPr>
            <w:r w:rsidRPr="000A0A5F">
              <w:t>Data type</w:t>
            </w:r>
          </w:p>
        </w:tc>
        <w:tc>
          <w:tcPr>
            <w:tcW w:w="1076" w:type="dxa"/>
            <w:shd w:val="clear" w:color="auto" w:fill="C0C0C0"/>
            <w:vAlign w:val="center"/>
          </w:tcPr>
          <w:p w:rsidR="007649C6" w:rsidRPr="000A0A5F" w:rsidRDefault="007649C6" w:rsidP="00D513D3">
            <w:pPr>
              <w:pStyle w:val="TAH"/>
            </w:pPr>
            <w:r w:rsidRPr="000A0A5F">
              <w:t>Clause defined</w:t>
            </w:r>
          </w:p>
        </w:tc>
        <w:tc>
          <w:tcPr>
            <w:tcW w:w="4253" w:type="dxa"/>
            <w:shd w:val="clear" w:color="auto" w:fill="C0C0C0"/>
            <w:vAlign w:val="center"/>
            <w:hideMark/>
          </w:tcPr>
          <w:p w:rsidR="007649C6" w:rsidRPr="000A0A5F" w:rsidRDefault="007649C6" w:rsidP="00D513D3">
            <w:pPr>
              <w:pStyle w:val="TAH"/>
            </w:pPr>
            <w:r w:rsidRPr="000A0A5F">
              <w:t>Description</w:t>
            </w:r>
          </w:p>
        </w:tc>
        <w:tc>
          <w:tcPr>
            <w:tcW w:w="1412" w:type="dxa"/>
            <w:shd w:val="clear" w:color="auto" w:fill="C0C0C0"/>
            <w:vAlign w:val="center"/>
          </w:tcPr>
          <w:p w:rsidR="007649C6" w:rsidRPr="000A0A5F" w:rsidRDefault="007649C6" w:rsidP="00D513D3">
            <w:pPr>
              <w:pStyle w:val="TAH"/>
            </w:pPr>
            <w:r w:rsidRPr="000A0A5F">
              <w:t>Applicability</w:t>
            </w:r>
          </w:p>
        </w:tc>
      </w:tr>
      <w:tr w:rsidR="007649C6" w:rsidRPr="000A0A5F" w:rsidTr="00FF0AF8">
        <w:trPr>
          <w:jc w:val="center"/>
        </w:trPr>
        <w:tc>
          <w:tcPr>
            <w:tcW w:w="2888" w:type="dxa"/>
            <w:vAlign w:val="center"/>
          </w:tcPr>
          <w:p w:rsidR="007649C6" w:rsidRPr="000A0A5F" w:rsidRDefault="007649C6" w:rsidP="00D513D3">
            <w:pPr>
              <w:pStyle w:val="TAL"/>
            </w:pPr>
            <w:r w:rsidRPr="000A0A5F">
              <w:t>MsisdnLessMoSmsNotification</w:t>
            </w:r>
          </w:p>
        </w:tc>
        <w:tc>
          <w:tcPr>
            <w:tcW w:w="1076" w:type="dxa"/>
            <w:vAlign w:val="center"/>
          </w:tcPr>
          <w:p w:rsidR="007649C6" w:rsidRPr="000A0A5F" w:rsidRDefault="007649C6" w:rsidP="00D513D3">
            <w:pPr>
              <w:pStyle w:val="TAC"/>
            </w:pPr>
            <w:r w:rsidRPr="000A0A5F">
              <w:t>5.15.2.1.2</w:t>
            </w:r>
          </w:p>
        </w:tc>
        <w:tc>
          <w:tcPr>
            <w:tcW w:w="4253" w:type="dxa"/>
            <w:vAlign w:val="center"/>
          </w:tcPr>
          <w:p w:rsidR="007649C6" w:rsidRPr="000A0A5F" w:rsidRDefault="007649C6" w:rsidP="00D513D3">
            <w:pPr>
              <w:pStyle w:val="TAL"/>
            </w:pPr>
            <w:r w:rsidRPr="000A0A5F">
              <w:t>Represents a MSISDN-less MO SMS notification.</w:t>
            </w:r>
          </w:p>
        </w:tc>
        <w:tc>
          <w:tcPr>
            <w:tcW w:w="1412" w:type="dxa"/>
            <w:vAlign w:val="center"/>
          </w:tcPr>
          <w:p w:rsidR="007649C6" w:rsidRPr="000A0A5F" w:rsidRDefault="007649C6" w:rsidP="00D513D3">
            <w:pPr>
              <w:pStyle w:val="TAL"/>
              <w:rPr>
                <w:rFonts w:cs="Arial"/>
                <w:szCs w:val="18"/>
              </w:rPr>
            </w:pPr>
          </w:p>
        </w:tc>
      </w:tr>
      <w:tr w:rsidR="007649C6" w:rsidRPr="000A0A5F" w:rsidTr="00FF0AF8">
        <w:trPr>
          <w:jc w:val="center"/>
        </w:trPr>
        <w:tc>
          <w:tcPr>
            <w:tcW w:w="2888" w:type="dxa"/>
            <w:vAlign w:val="center"/>
          </w:tcPr>
          <w:p w:rsidR="007649C6" w:rsidRPr="000A0A5F" w:rsidRDefault="007649C6" w:rsidP="00D513D3">
            <w:pPr>
              <w:pStyle w:val="TAL"/>
            </w:pPr>
            <w:r w:rsidRPr="000A0A5F">
              <w:t>MsisdnLessMoSmsNotificationReply</w:t>
            </w:r>
          </w:p>
        </w:tc>
        <w:tc>
          <w:tcPr>
            <w:tcW w:w="1076" w:type="dxa"/>
            <w:vAlign w:val="center"/>
          </w:tcPr>
          <w:p w:rsidR="007649C6" w:rsidRPr="000A0A5F" w:rsidRDefault="007649C6" w:rsidP="00D513D3">
            <w:pPr>
              <w:pStyle w:val="TAC"/>
            </w:pPr>
            <w:r w:rsidRPr="000A0A5F">
              <w:t>5.15.2.1.3</w:t>
            </w:r>
          </w:p>
        </w:tc>
        <w:tc>
          <w:tcPr>
            <w:tcW w:w="4253" w:type="dxa"/>
            <w:vAlign w:val="center"/>
          </w:tcPr>
          <w:p w:rsidR="007649C6" w:rsidRPr="000A0A5F" w:rsidRDefault="007649C6" w:rsidP="00D513D3">
            <w:pPr>
              <w:pStyle w:val="TAL"/>
            </w:pPr>
            <w:r w:rsidRPr="000A0A5F">
              <w:t>Represents a reply to a MSISDN-less MO SMS notification.</w:t>
            </w:r>
          </w:p>
        </w:tc>
        <w:tc>
          <w:tcPr>
            <w:tcW w:w="1412" w:type="dxa"/>
            <w:vAlign w:val="center"/>
          </w:tcPr>
          <w:p w:rsidR="007649C6" w:rsidRPr="000A0A5F" w:rsidRDefault="007649C6" w:rsidP="00D513D3">
            <w:pPr>
              <w:pStyle w:val="TAL"/>
              <w:rPr>
                <w:rFonts w:cs="Arial"/>
                <w:szCs w:val="18"/>
              </w:rPr>
            </w:pPr>
          </w:p>
        </w:tc>
      </w:tr>
    </w:tbl>
    <w:p w:rsidR="007649C6" w:rsidRPr="000A0A5F" w:rsidRDefault="007649C6" w:rsidP="007649C6"/>
    <w:p w:rsidR="00CB0DD7" w:rsidRPr="000A0A5F" w:rsidRDefault="00CB0DD7">
      <w:pPr>
        <w:pStyle w:val="Heading5"/>
      </w:pPr>
      <w:bookmarkStart w:id="9636" w:name="_Toc105675056"/>
      <w:bookmarkStart w:id="9637" w:name="_Toc130503130"/>
      <w:bookmarkStart w:id="9638" w:name="_Toc153625922"/>
      <w:r w:rsidRPr="000A0A5F">
        <w:t>5.15.2.1.2</w:t>
      </w:r>
      <w:r w:rsidRPr="000A0A5F">
        <w:tab/>
        <w:t>Type: MsisdnLessMoSmsNotification</w:t>
      </w:r>
      <w:bookmarkEnd w:id="9627"/>
      <w:bookmarkEnd w:id="9628"/>
      <w:bookmarkEnd w:id="9629"/>
      <w:bookmarkEnd w:id="9630"/>
      <w:bookmarkEnd w:id="9631"/>
      <w:bookmarkEnd w:id="9632"/>
      <w:bookmarkEnd w:id="9633"/>
      <w:bookmarkEnd w:id="9634"/>
      <w:bookmarkEnd w:id="9635"/>
      <w:bookmarkEnd w:id="9636"/>
      <w:bookmarkEnd w:id="9637"/>
      <w:bookmarkEnd w:id="9638"/>
    </w:p>
    <w:p w:rsidR="00CB0DD7" w:rsidRPr="000A0A5F" w:rsidRDefault="00CB0DD7">
      <w:r w:rsidRPr="000A0A5F">
        <w:t xml:space="preserve">This data type represents a MSISDN-less MO SMS, which is sent from the SCEF to the SCS/AS. </w:t>
      </w:r>
    </w:p>
    <w:p w:rsidR="00CB0DD7" w:rsidRPr="000A0A5F" w:rsidRDefault="00CB0DD7">
      <w:pPr>
        <w:pStyle w:val="TH"/>
      </w:pPr>
      <w:r w:rsidRPr="000A0A5F">
        <w:rPr>
          <w:noProof/>
        </w:rPr>
        <w:t>Table </w:t>
      </w:r>
      <w:r w:rsidRPr="000A0A5F">
        <w:t xml:space="preserve">5.15.2.1.2-1: </w:t>
      </w:r>
      <w:r w:rsidRPr="000A0A5F">
        <w:rPr>
          <w:noProof/>
        </w:rPr>
        <w:t xml:space="preserve">Definition of type </w:t>
      </w:r>
      <w:r w:rsidRPr="000A0A5F">
        <w:t>MsisdnLessMoSmsNotification</w:t>
      </w:r>
    </w:p>
    <w:tbl>
      <w:tblPr>
        <w:tblW w:w="9574" w:type="dxa"/>
        <w:tblInd w:w="-3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24"/>
        <w:gridCol w:w="1275"/>
        <w:gridCol w:w="1276"/>
        <w:gridCol w:w="4156"/>
        <w:gridCol w:w="1243"/>
      </w:tblGrid>
      <w:tr w:rsidR="00CB0DD7" w:rsidRPr="000A0A5F" w:rsidTr="00FF0AF8">
        <w:trPr>
          <w:trHeight w:val="211"/>
        </w:trPr>
        <w:tc>
          <w:tcPr>
            <w:tcW w:w="1624" w:type="dxa"/>
            <w:shd w:val="clear" w:color="auto" w:fill="C0C0C0"/>
          </w:tcPr>
          <w:p w:rsidR="00CB0DD7" w:rsidRPr="000A0A5F" w:rsidRDefault="00CB0DD7">
            <w:pPr>
              <w:pStyle w:val="TAH"/>
              <w:rPr>
                <w:rFonts w:eastAsia="Times New Roman"/>
              </w:rPr>
            </w:pPr>
            <w:r w:rsidRPr="000A0A5F">
              <w:rPr>
                <w:rFonts w:eastAsia="Times New Roman"/>
              </w:rPr>
              <w:t>Attribute name</w:t>
            </w:r>
          </w:p>
        </w:tc>
        <w:tc>
          <w:tcPr>
            <w:tcW w:w="1275" w:type="dxa"/>
            <w:shd w:val="clear" w:color="auto" w:fill="C0C0C0"/>
          </w:tcPr>
          <w:p w:rsidR="00CB0DD7" w:rsidRPr="000A0A5F" w:rsidRDefault="00CB0DD7">
            <w:pPr>
              <w:pStyle w:val="TAH"/>
              <w:rPr>
                <w:rFonts w:eastAsia="Times New Roman"/>
              </w:rPr>
            </w:pPr>
            <w:r w:rsidRPr="000A0A5F">
              <w:rPr>
                <w:rFonts w:eastAsia="Times New Roman"/>
              </w:rPr>
              <w:t>Data type</w:t>
            </w:r>
          </w:p>
        </w:tc>
        <w:tc>
          <w:tcPr>
            <w:tcW w:w="1276" w:type="dxa"/>
            <w:shd w:val="clear" w:color="auto" w:fill="C0C0C0"/>
          </w:tcPr>
          <w:p w:rsidR="00CB0DD7" w:rsidRPr="000A0A5F" w:rsidRDefault="00CB0DD7">
            <w:pPr>
              <w:pStyle w:val="TAH"/>
              <w:jc w:val="left"/>
              <w:rPr>
                <w:rFonts w:eastAsia="Times New Roman"/>
              </w:rPr>
            </w:pPr>
            <w:r w:rsidRPr="000A0A5F">
              <w:rPr>
                <w:rFonts w:eastAsia="Times New Roman"/>
              </w:rPr>
              <w:t>Cardinality</w:t>
            </w:r>
          </w:p>
        </w:tc>
        <w:tc>
          <w:tcPr>
            <w:tcW w:w="4156"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Description</w:t>
            </w:r>
          </w:p>
        </w:tc>
        <w:tc>
          <w:tcPr>
            <w:tcW w:w="1243"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Applicability (NOTE)</w:t>
            </w:r>
          </w:p>
        </w:tc>
      </w:tr>
      <w:tr w:rsidR="00CB0DD7" w:rsidRPr="000A0A5F" w:rsidTr="00FF0AF8">
        <w:tc>
          <w:tcPr>
            <w:tcW w:w="1624" w:type="dxa"/>
            <w:shd w:val="clear" w:color="auto" w:fill="auto"/>
          </w:tcPr>
          <w:p w:rsidR="00CB0DD7" w:rsidRPr="000A0A5F" w:rsidRDefault="00CB0DD7">
            <w:pPr>
              <w:pStyle w:val="TAH"/>
              <w:jc w:val="left"/>
              <w:rPr>
                <w:rFonts w:eastAsia="Times New Roman"/>
                <w:b w:val="0"/>
              </w:rPr>
            </w:pPr>
            <w:r w:rsidRPr="000A0A5F">
              <w:rPr>
                <w:b w:val="0"/>
                <w:lang w:eastAsia="zh-CN"/>
              </w:rPr>
              <w:t>supportedFeatures</w:t>
            </w:r>
          </w:p>
        </w:tc>
        <w:tc>
          <w:tcPr>
            <w:tcW w:w="1275" w:type="dxa"/>
            <w:shd w:val="clear" w:color="auto" w:fill="auto"/>
          </w:tcPr>
          <w:p w:rsidR="00CB0DD7" w:rsidRPr="000A0A5F" w:rsidRDefault="00CB0DD7">
            <w:pPr>
              <w:pStyle w:val="TAH"/>
              <w:jc w:val="left"/>
              <w:rPr>
                <w:rFonts w:eastAsia="Times New Roman"/>
                <w:b w:val="0"/>
              </w:rPr>
            </w:pPr>
            <w:r w:rsidRPr="000A0A5F">
              <w:rPr>
                <w:b w:val="0"/>
                <w:lang w:eastAsia="zh-CN"/>
              </w:rPr>
              <w:t>SupportedFeatures</w:t>
            </w:r>
          </w:p>
        </w:tc>
        <w:tc>
          <w:tcPr>
            <w:tcW w:w="1276" w:type="dxa"/>
            <w:shd w:val="clear" w:color="auto" w:fill="auto"/>
          </w:tcPr>
          <w:p w:rsidR="00CB0DD7" w:rsidRPr="000A0A5F" w:rsidRDefault="00CB0DD7">
            <w:pPr>
              <w:pStyle w:val="TAH"/>
              <w:jc w:val="left"/>
              <w:rPr>
                <w:rFonts w:eastAsia="Times New Roman"/>
                <w:b w:val="0"/>
              </w:rPr>
            </w:pPr>
            <w:r w:rsidRPr="000A0A5F">
              <w:rPr>
                <w:rFonts w:eastAsia="Times New Roman"/>
                <w:b w:val="0"/>
              </w:rPr>
              <w:t>1</w:t>
            </w:r>
          </w:p>
        </w:tc>
        <w:tc>
          <w:tcPr>
            <w:tcW w:w="4156" w:type="dxa"/>
            <w:shd w:val="clear" w:color="auto" w:fill="auto"/>
          </w:tcPr>
          <w:p w:rsidR="00CB0DD7" w:rsidRPr="000A0A5F" w:rsidRDefault="00CB0DD7">
            <w:pPr>
              <w:pStyle w:val="TAH"/>
              <w:jc w:val="left"/>
              <w:rPr>
                <w:rFonts w:eastAsia="Times New Roman" w:cs="Arial"/>
                <w:b w:val="0"/>
                <w:szCs w:val="18"/>
              </w:rPr>
            </w:pPr>
            <w:r w:rsidRPr="000A0A5F">
              <w:rPr>
                <w:rFonts w:eastAsia="Times New Roman" w:cs="Arial"/>
                <w:b w:val="0"/>
                <w:szCs w:val="18"/>
              </w:rPr>
              <w:t>Used to negotiate the supported optional features of the API as described in clause </w:t>
            </w:r>
            <w:r w:rsidRPr="000A0A5F">
              <w:rPr>
                <w:rFonts w:hint="eastAsia"/>
                <w:b w:val="0"/>
              </w:rPr>
              <w:t>5.</w:t>
            </w:r>
            <w:r w:rsidRPr="000A0A5F">
              <w:rPr>
                <w:b w:val="0"/>
              </w:rPr>
              <w:t>2</w:t>
            </w:r>
            <w:r w:rsidRPr="000A0A5F">
              <w:rPr>
                <w:rFonts w:hint="eastAsia"/>
                <w:b w:val="0"/>
              </w:rPr>
              <w:t>.</w:t>
            </w:r>
            <w:r w:rsidRPr="000A0A5F">
              <w:rPr>
                <w:b w:val="0"/>
              </w:rPr>
              <w:t>7.</w:t>
            </w:r>
          </w:p>
        </w:tc>
        <w:tc>
          <w:tcPr>
            <w:tcW w:w="1243" w:type="dxa"/>
          </w:tcPr>
          <w:p w:rsidR="00CB0DD7" w:rsidRPr="000A0A5F" w:rsidRDefault="00CB0DD7">
            <w:pPr>
              <w:pStyle w:val="TAH"/>
              <w:rPr>
                <w:rFonts w:eastAsia="Times New Roman" w:cs="Arial"/>
                <w:b w:val="0"/>
                <w:szCs w:val="18"/>
              </w:rPr>
            </w:pPr>
          </w:p>
        </w:tc>
      </w:tr>
      <w:tr w:rsidR="00CB0DD7" w:rsidRPr="000A0A5F" w:rsidTr="00FF0AF8">
        <w:tc>
          <w:tcPr>
            <w:tcW w:w="1624" w:type="dxa"/>
            <w:shd w:val="clear" w:color="auto" w:fill="auto"/>
          </w:tcPr>
          <w:p w:rsidR="00CB0DD7" w:rsidRPr="000A0A5F" w:rsidRDefault="00CB0DD7">
            <w:pPr>
              <w:pStyle w:val="TAL"/>
              <w:rPr>
                <w:rFonts w:hint="eastAsia"/>
              </w:rPr>
            </w:pPr>
            <w:r w:rsidRPr="000A0A5F">
              <w:t>sms</w:t>
            </w:r>
          </w:p>
        </w:tc>
        <w:tc>
          <w:tcPr>
            <w:tcW w:w="1275" w:type="dxa"/>
            <w:shd w:val="clear" w:color="auto" w:fill="auto"/>
          </w:tcPr>
          <w:p w:rsidR="00CB0DD7" w:rsidRPr="000A0A5F" w:rsidRDefault="00CB0DD7">
            <w:pPr>
              <w:pStyle w:val="TAL"/>
            </w:pPr>
            <w:r w:rsidRPr="000A0A5F">
              <w:t>Bytes</w:t>
            </w:r>
          </w:p>
        </w:tc>
        <w:tc>
          <w:tcPr>
            <w:tcW w:w="1276" w:type="dxa"/>
            <w:shd w:val="clear" w:color="auto" w:fill="auto"/>
          </w:tcPr>
          <w:p w:rsidR="00CB0DD7" w:rsidRPr="000A0A5F" w:rsidRDefault="00CB0DD7">
            <w:pPr>
              <w:pStyle w:val="TAL"/>
            </w:pPr>
            <w:r w:rsidRPr="000A0A5F">
              <w:t>1</w:t>
            </w:r>
          </w:p>
        </w:tc>
        <w:tc>
          <w:tcPr>
            <w:tcW w:w="4156" w:type="dxa"/>
            <w:shd w:val="clear" w:color="auto" w:fill="auto"/>
          </w:tcPr>
          <w:p w:rsidR="00CB0DD7" w:rsidRPr="000A0A5F" w:rsidRDefault="00CB0DD7">
            <w:pPr>
              <w:pStyle w:val="TAL"/>
            </w:pPr>
            <w:r w:rsidRPr="000A0A5F">
              <w:t>The MSISDN-less MO SMS containing a short message transfer protocol data unit (TPDU) which is defined in 3GPP TS 23.040 [43] and represents the user data field carried by the short message service relay sub-layer protocol.</w:t>
            </w:r>
          </w:p>
        </w:tc>
        <w:tc>
          <w:tcPr>
            <w:tcW w:w="1243" w:type="dxa"/>
          </w:tcPr>
          <w:p w:rsidR="00CB0DD7" w:rsidRPr="000A0A5F" w:rsidRDefault="00CB0DD7">
            <w:pPr>
              <w:pStyle w:val="TAH"/>
              <w:rPr>
                <w:rFonts w:eastAsia="Times New Roman" w:cs="Arial"/>
                <w:szCs w:val="18"/>
              </w:rPr>
            </w:pPr>
          </w:p>
        </w:tc>
      </w:tr>
      <w:tr w:rsidR="00CB0DD7" w:rsidRPr="000A0A5F" w:rsidTr="00FF0AF8">
        <w:tc>
          <w:tcPr>
            <w:tcW w:w="1624" w:type="dxa"/>
            <w:shd w:val="clear" w:color="auto" w:fill="auto"/>
          </w:tcPr>
          <w:p w:rsidR="00CB0DD7" w:rsidRPr="000A0A5F" w:rsidRDefault="00CB0DD7">
            <w:pPr>
              <w:pStyle w:val="TAL"/>
            </w:pPr>
            <w:r w:rsidRPr="000A0A5F">
              <w:t>externalId</w:t>
            </w:r>
          </w:p>
        </w:tc>
        <w:tc>
          <w:tcPr>
            <w:tcW w:w="1275" w:type="dxa"/>
            <w:shd w:val="clear" w:color="auto" w:fill="auto"/>
          </w:tcPr>
          <w:p w:rsidR="00CB0DD7" w:rsidRPr="000A0A5F" w:rsidRDefault="00CB0DD7">
            <w:pPr>
              <w:pStyle w:val="TAL"/>
            </w:pPr>
            <w:r w:rsidRPr="000A0A5F">
              <w:t>string</w:t>
            </w:r>
          </w:p>
        </w:tc>
        <w:tc>
          <w:tcPr>
            <w:tcW w:w="1276" w:type="dxa"/>
            <w:shd w:val="clear" w:color="auto" w:fill="auto"/>
          </w:tcPr>
          <w:p w:rsidR="00CB0DD7" w:rsidRPr="000A0A5F" w:rsidRDefault="00CB0DD7">
            <w:pPr>
              <w:pStyle w:val="TAL"/>
            </w:pPr>
            <w:r w:rsidRPr="000A0A5F">
              <w:t>1</w:t>
            </w:r>
          </w:p>
        </w:tc>
        <w:tc>
          <w:tcPr>
            <w:tcW w:w="4156" w:type="dxa"/>
            <w:shd w:val="clear" w:color="auto" w:fill="auto"/>
          </w:tcPr>
          <w:p w:rsidR="00CB0DD7" w:rsidRPr="000A0A5F" w:rsidRDefault="00CB0DD7">
            <w:pPr>
              <w:pStyle w:val="TAL"/>
            </w:pPr>
            <w:r w:rsidRPr="000A0A5F">
              <w:t>External identifier has the form username@realm.</w:t>
            </w:r>
          </w:p>
        </w:tc>
        <w:tc>
          <w:tcPr>
            <w:tcW w:w="1243" w:type="dxa"/>
          </w:tcPr>
          <w:p w:rsidR="00CB0DD7" w:rsidRPr="000A0A5F" w:rsidRDefault="00CB0DD7">
            <w:pPr>
              <w:pStyle w:val="TAH"/>
              <w:rPr>
                <w:rFonts w:eastAsia="Times New Roman" w:cs="Arial"/>
                <w:szCs w:val="18"/>
              </w:rPr>
            </w:pPr>
          </w:p>
        </w:tc>
      </w:tr>
      <w:tr w:rsidR="00CB0DD7" w:rsidRPr="000A0A5F" w:rsidTr="00FF0AF8">
        <w:tc>
          <w:tcPr>
            <w:tcW w:w="1624" w:type="dxa"/>
            <w:shd w:val="clear" w:color="auto" w:fill="auto"/>
          </w:tcPr>
          <w:p w:rsidR="00CB0DD7" w:rsidRPr="000A0A5F" w:rsidRDefault="00CB0DD7">
            <w:pPr>
              <w:pStyle w:val="TAL"/>
            </w:pPr>
            <w:r w:rsidRPr="000A0A5F">
              <w:t>applicationPort</w:t>
            </w:r>
          </w:p>
        </w:tc>
        <w:tc>
          <w:tcPr>
            <w:tcW w:w="1275" w:type="dxa"/>
            <w:shd w:val="clear" w:color="auto" w:fill="auto"/>
          </w:tcPr>
          <w:p w:rsidR="00CB0DD7" w:rsidRPr="000A0A5F" w:rsidRDefault="00CB0DD7">
            <w:pPr>
              <w:pStyle w:val="TAL"/>
            </w:pPr>
            <w:r w:rsidRPr="000A0A5F">
              <w:t>Port</w:t>
            </w:r>
          </w:p>
        </w:tc>
        <w:tc>
          <w:tcPr>
            <w:tcW w:w="1276" w:type="dxa"/>
            <w:shd w:val="clear" w:color="auto" w:fill="auto"/>
          </w:tcPr>
          <w:p w:rsidR="00CB0DD7" w:rsidRPr="000A0A5F" w:rsidRDefault="00CB0DD7">
            <w:pPr>
              <w:pStyle w:val="TAL"/>
            </w:pPr>
            <w:r w:rsidRPr="000A0A5F">
              <w:t>1</w:t>
            </w:r>
          </w:p>
        </w:tc>
        <w:tc>
          <w:tcPr>
            <w:tcW w:w="4156" w:type="dxa"/>
            <w:shd w:val="clear" w:color="auto" w:fill="auto"/>
          </w:tcPr>
          <w:p w:rsidR="00CB0DD7" w:rsidRPr="000A0A5F" w:rsidRDefault="00CB0DD7">
            <w:pPr>
              <w:pStyle w:val="TAL"/>
            </w:pPr>
            <w:r w:rsidRPr="000A0A5F">
              <w:rPr>
                <w:lang w:eastAsia="zh-CN"/>
              </w:rPr>
              <w:t>Unsigned i</w:t>
            </w:r>
            <w:r w:rsidRPr="000A0A5F">
              <w:rPr>
                <w:rFonts w:hint="eastAsia"/>
                <w:lang w:eastAsia="zh-CN"/>
              </w:rPr>
              <w:t>nteger</w:t>
            </w:r>
            <w:r w:rsidRPr="000A0A5F">
              <w:rPr>
                <w:lang w:eastAsia="zh-CN"/>
              </w:rPr>
              <w:t xml:space="preserve"> </w:t>
            </w:r>
            <w:r w:rsidRPr="000A0A5F">
              <w:t>used to uniquely identify the triggering application addressed in the device, see clause 9.2.3.24.4 in TS 23.040 [43] for further details.</w:t>
            </w:r>
          </w:p>
        </w:tc>
        <w:tc>
          <w:tcPr>
            <w:tcW w:w="1243" w:type="dxa"/>
          </w:tcPr>
          <w:p w:rsidR="00CB0DD7" w:rsidRPr="000A0A5F" w:rsidRDefault="00CB0DD7">
            <w:pPr>
              <w:pStyle w:val="TAH"/>
              <w:rPr>
                <w:rFonts w:eastAsia="Times New Roman" w:cs="Arial"/>
                <w:szCs w:val="18"/>
              </w:rPr>
            </w:pPr>
          </w:p>
        </w:tc>
      </w:tr>
      <w:tr w:rsidR="00CB0DD7" w:rsidRPr="000A0A5F" w:rsidTr="00FF0AF8">
        <w:tc>
          <w:tcPr>
            <w:tcW w:w="9574" w:type="dxa"/>
            <w:gridSpan w:val="5"/>
            <w:shd w:val="clear" w:color="auto" w:fill="auto"/>
          </w:tcPr>
          <w:p w:rsidR="00CB0DD7" w:rsidRPr="000A0A5F" w:rsidRDefault="00CB0DD7">
            <w:pPr>
              <w:pStyle w:val="TAH"/>
              <w:ind w:leftChars="18" w:left="886" w:hangingChars="472" w:hanging="850"/>
              <w:jc w:val="left"/>
              <w:rPr>
                <w:rFonts w:eastAsia="Times New Roman" w:cs="Arial"/>
                <w:b w:val="0"/>
                <w:szCs w:val="18"/>
              </w:rPr>
            </w:pPr>
            <w:r w:rsidRPr="000A0A5F">
              <w:rPr>
                <w:b w:val="0"/>
              </w:rPr>
              <w:t>NOTE:</w:t>
            </w:r>
            <w:r w:rsidRPr="000A0A5F">
              <w:rPr>
                <w:b w:val="0"/>
              </w:rPr>
              <w:tab/>
              <w:t>Properties marked with a feature as defined in clause 5.15.4 are applicable as described in clause 5.2.7. If no features are indicated, the related property applies for all the features.</w:t>
            </w:r>
          </w:p>
        </w:tc>
      </w:tr>
    </w:tbl>
    <w:p w:rsidR="00CB0DD7" w:rsidRPr="000A0A5F" w:rsidRDefault="00CB0DD7"/>
    <w:p w:rsidR="00CB0DD7" w:rsidRPr="000A0A5F" w:rsidRDefault="00CB0DD7">
      <w:pPr>
        <w:pStyle w:val="Heading5"/>
      </w:pPr>
      <w:bookmarkStart w:id="9639" w:name="_Toc11247914"/>
      <w:bookmarkStart w:id="9640" w:name="_Toc27045058"/>
      <w:bookmarkStart w:id="9641" w:name="_Toc36034109"/>
      <w:bookmarkStart w:id="9642" w:name="_Toc45132256"/>
      <w:bookmarkStart w:id="9643" w:name="_Toc49776541"/>
      <w:bookmarkStart w:id="9644" w:name="_Toc51747461"/>
      <w:bookmarkStart w:id="9645" w:name="_Toc66361043"/>
      <w:bookmarkStart w:id="9646" w:name="_Toc68105548"/>
      <w:bookmarkStart w:id="9647" w:name="_Toc74756180"/>
      <w:bookmarkStart w:id="9648" w:name="_Toc105675057"/>
      <w:bookmarkStart w:id="9649" w:name="_Toc130503131"/>
      <w:bookmarkStart w:id="9650" w:name="_Toc153625923"/>
      <w:r w:rsidRPr="000A0A5F">
        <w:t>5.15.2.1.3</w:t>
      </w:r>
      <w:r w:rsidRPr="000A0A5F">
        <w:tab/>
        <w:t>Type: MsisdnLessMoSmsNotificationReply</w:t>
      </w:r>
      <w:bookmarkEnd w:id="9639"/>
      <w:bookmarkEnd w:id="9640"/>
      <w:bookmarkEnd w:id="9641"/>
      <w:bookmarkEnd w:id="9642"/>
      <w:bookmarkEnd w:id="9643"/>
      <w:bookmarkEnd w:id="9644"/>
      <w:bookmarkEnd w:id="9645"/>
      <w:bookmarkEnd w:id="9646"/>
      <w:bookmarkEnd w:id="9647"/>
      <w:bookmarkEnd w:id="9648"/>
      <w:bookmarkEnd w:id="9649"/>
      <w:bookmarkEnd w:id="9650"/>
    </w:p>
    <w:p w:rsidR="00CB0DD7" w:rsidRPr="000A0A5F" w:rsidRDefault="00CB0DD7">
      <w:r w:rsidRPr="000A0A5F">
        <w:t xml:space="preserve">This data type represents a reply to an MSISDN-less MO SMS notification and is sent from the SCS/AS to the SCEF. </w:t>
      </w:r>
    </w:p>
    <w:p w:rsidR="00CB0DD7" w:rsidRPr="000A0A5F" w:rsidRDefault="00CB0DD7">
      <w:pPr>
        <w:pStyle w:val="TH"/>
      </w:pPr>
      <w:r w:rsidRPr="000A0A5F">
        <w:rPr>
          <w:noProof/>
        </w:rPr>
        <w:t>Table </w:t>
      </w:r>
      <w:r w:rsidRPr="000A0A5F">
        <w:t xml:space="preserve">5.15.2.1.3-1: </w:t>
      </w:r>
      <w:r w:rsidRPr="000A0A5F">
        <w:rPr>
          <w:noProof/>
        </w:rPr>
        <w:t xml:space="preserve">Definition of type </w:t>
      </w:r>
      <w:r w:rsidRPr="000A0A5F">
        <w:t>MsisdnLessMoSmsNotificationReply</w:t>
      </w:r>
    </w:p>
    <w:tbl>
      <w:tblPr>
        <w:tblW w:w="9574" w:type="dxa"/>
        <w:tblInd w:w="-3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24"/>
        <w:gridCol w:w="1275"/>
        <w:gridCol w:w="1276"/>
        <w:gridCol w:w="4156"/>
        <w:gridCol w:w="1243"/>
      </w:tblGrid>
      <w:tr w:rsidR="00CB0DD7" w:rsidRPr="000A0A5F" w:rsidTr="00FF0AF8">
        <w:tc>
          <w:tcPr>
            <w:tcW w:w="1624" w:type="dxa"/>
            <w:shd w:val="clear" w:color="auto" w:fill="C0C0C0"/>
          </w:tcPr>
          <w:p w:rsidR="00CB0DD7" w:rsidRPr="000A0A5F" w:rsidRDefault="00CB0DD7">
            <w:pPr>
              <w:pStyle w:val="TAH"/>
              <w:rPr>
                <w:rFonts w:eastAsia="Times New Roman"/>
              </w:rPr>
            </w:pPr>
            <w:r w:rsidRPr="000A0A5F">
              <w:rPr>
                <w:rFonts w:eastAsia="Times New Roman"/>
              </w:rPr>
              <w:t>Attribute name</w:t>
            </w:r>
          </w:p>
        </w:tc>
        <w:tc>
          <w:tcPr>
            <w:tcW w:w="1275" w:type="dxa"/>
            <w:shd w:val="clear" w:color="auto" w:fill="C0C0C0"/>
          </w:tcPr>
          <w:p w:rsidR="00CB0DD7" w:rsidRPr="000A0A5F" w:rsidRDefault="00CB0DD7">
            <w:pPr>
              <w:pStyle w:val="TAH"/>
              <w:rPr>
                <w:rFonts w:eastAsia="Times New Roman"/>
              </w:rPr>
            </w:pPr>
            <w:r w:rsidRPr="000A0A5F">
              <w:rPr>
                <w:rFonts w:eastAsia="Times New Roman"/>
              </w:rPr>
              <w:t>Data type</w:t>
            </w:r>
          </w:p>
        </w:tc>
        <w:tc>
          <w:tcPr>
            <w:tcW w:w="1276" w:type="dxa"/>
            <w:shd w:val="clear" w:color="auto" w:fill="C0C0C0"/>
          </w:tcPr>
          <w:p w:rsidR="00CB0DD7" w:rsidRPr="000A0A5F" w:rsidRDefault="00CB0DD7">
            <w:pPr>
              <w:pStyle w:val="TAH"/>
              <w:jc w:val="left"/>
              <w:rPr>
                <w:rFonts w:eastAsia="Times New Roman"/>
              </w:rPr>
            </w:pPr>
            <w:r w:rsidRPr="000A0A5F">
              <w:rPr>
                <w:rFonts w:eastAsia="Times New Roman"/>
              </w:rPr>
              <w:t>Cardinality</w:t>
            </w:r>
          </w:p>
        </w:tc>
        <w:tc>
          <w:tcPr>
            <w:tcW w:w="4156"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Description</w:t>
            </w:r>
          </w:p>
        </w:tc>
        <w:tc>
          <w:tcPr>
            <w:tcW w:w="1243" w:type="dxa"/>
            <w:shd w:val="clear" w:color="auto" w:fill="C0C0C0"/>
          </w:tcPr>
          <w:p w:rsidR="00CB0DD7" w:rsidRPr="000A0A5F" w:rsidRDefault="00CB0DD7">
            <w:pPr>
              <w:pStyle w:val="TAH"/>
              <w:rPr>
                <w:rFonts w:eastAsia="Times New Roman" w:cs="Arial"/>
                <w:szCs w:val="18"/>
              </w:rPr>
            </w:pPr>
            <w:r w:rsidRPr="000A0A5F">
              <w:rPr>
                <w:rFonts w:eastAsia="Times New Roman" w:cs="Arial"/>
                <w:szCs w:val="18"/>
              </w:rPr>
              <w:t>Applicability (NOTE)</w:t>
            </w:r>
          </w:p>
        </w:tc>
      </w:tr>
      <w:tr w:rsidR="00CB0DD7" w:rsidRPr="000A0A5F" w:rsidTr="00FF0AF8">
        <w:tc>
          <w:tcPr>
            <w:tcW w:w="1624" w:type="dxa"/>
            <w:shd w:val="clear" w:color="auto" w:fill="auto"/>
          </w:tcPr>
          <w:p w:rsidR="00CB0DD7" w:rsidRPr="000A0A5F" w:rsidRDefault="00CB0DD7">
            <w:pPr>
              <w:pStyle w:val="TAL"/>
              <w:rPr>
                <w:rFonts w:hint="eastAsia"/>
              </w:rPr>
            </w:pPr>
            <w:r w:rsidRPr="000A0A5F">
              <w:t>supportedFeatures</w:t>
            </w:r>
          </w:p>
        </w:tc>
        <w:tc>
          <w:tcPr>
            <w:tcW w:w="1275" w:type="dxa"/>
            <w:shd w:val="clear" w:color="auto" w:fill="auto"/>
          </w:tcPr>
          <w:p w:rsidR="00CB0DD7" w:rsidRPr="000A0A5F" w:rsidRDefault="00CB0DD7">
            <w:pPr>
              <w:pStyle w:val="TAL"/>
            </w:pPr>
            <w:r w:rsidRPr="000A0A5F">
              <w:t>SupportedFeatures</w:t>
            </w:r>
          </w:p>
        </w:tc>
        <w:tc>
          <w:tcPr>
            <w:tcW w:w="1276" w:type="dxa"/>
            <w:shd w:val="clear" w:color="auto" w:fill="auto"/>
          </w:tcPr>
          <w:p w:rsidR="00CB0DD7" w:rsidRPr="000A0A5F" w:rsidRDefault="00CB0DD7">
            <w:pPr>
              <w:pStyle w:val="TAL"/>
            </w:pPr>
            <w:r w:rsidRPr="000A0A5F">
              <w:t>1</w:t>
            </w:r>
          </w:p>
        </w:tc>
        <w:tc>
          <w:tcPr>
            <w:tcW w:w="4156" w:type="dxa"/>
            <w:shd w:val="clear" w:color="auto" w:fill="auto"/>
          </w:tcPr>
          <w:p w:rsidR="00CB0DD7" w:rsidRPr="000A0A5F" w:rsidRDefault="00CB0DD7">
            <w:pPr>
              <w:pStyle w:val="TAL"/>
            </w:pPr>
            <w:r w:rsidRPr="000A0A5F">
              <w:t>Used to negotiate the supported optional features of the API as described in clause</w:t>
            </w:r>
            <w:r w:rsidR="000902D9" w:rsidRPr="000A0A5F">
              <w:t> </w:t>
            </w:r>
            <w:r w:rsidRPr="000A0A5F">
              <w:t>5.2.7.</w:t>
            </w:r>
          </w:p>
        </w:tc>
        <w:tc>
          <w:tcPr>
            <w:tcW w:w="1243" w:type="dxa"/>
            <w:shd w:val="clear" w:color="auto" w:fill="auto"/>
          </w:tcPr>
          <w:p w:rsidR="00CB0DD7" w:rsidRPr="000A0A5F" w:rsidRDefault="00CB0DD7">
            <w:pPr>
              <w:pStyle w:val="TAH"/>
              <w:rPr>
                <w:rFonts w:eastAsia="Times New Roman" w:cs="Arial"/>
                <w:szCs w:val="18"/>
              </w:rPr>
            </w:pPr>
          </w:p>
        </w:tc>
      </w:tr>
      <w:tr w:rsidR="00CB0DD7" w:rsidRPr="000A0A5F" w:rsidTr="00FF0AF8">
        <w:trPr>
          <w:trHeight w:val="523"/>
        </w:trPr>
        <w:tc>
          <w:tcPr>
            <w:tcW w:w="9574" w:type="dxa"/>
            <w:gridSpan w:val="5"/>
            <w:shd w:val="clear" w:color="auto" w:fill="auto"/>
          </w:tcPr>
          <w:p w:rsidR="00CB0DD7" w:rsidRPr="000A0A5F" w:rsidRDefault="00CB0DD7">
            <w:pPr>
              <w:pStyle w:val="TAN"/>
              <w:rPr>
                <w:rFonts w:cs="Arial"/>
                <w:szCs w:val="18"/>
                <w:lang w:eastAsia="zh-CN"/>
              </w:rPr>
            </w:pPr>
            <w:r w:rsidRPr="000A0A5F">
              <w:rPr>
                <w:noProof/>
                <w:lang w:eastAsia="zh-CN"/>
              </w:rPr>
              <w:t>NOTE:</w:t>
            </w:r>
            <w:r w:rsidRPr="000A0A5F">
              <w:rPr>
                <w:noProof/>
                <w:lang w:eastAsia="zh-CN"/>
              </w:rPr>
              <w:tab/>
            </w:r>
            <w:r w:rsidRPr="000A0A5F">
              <w:t>Properties marked with a feature as defined in clause 5.3.4 are applicable as described in clause 5.2.7</w:t>
            </w:r>
            <w:r w:rsidRPr="000A0A5F">
              <w:rPr>
                <w:noProof/>
                <w:lang w:eastAsia="zh-CN"/>
              </w:rPr>
              <w:t xml:space="preserve">. </w:t>
            </w:r>
            <w:r w:rsidRPr="000A0A5F">
              <w:t>If no features are indicated, the related property applies for all the features.</w:t>
            </w:r>
          </w:p>
        </w:tc>
      </w:tr>
    </w:tbl>
    <w:p w:rsidR="00CB0DD7" w:rsidRPr="000A0A5F" w:rsidRDefault="00CB0DD7"/>
    <w:p w:rsidR="00CB0DD7" w:rsidRPr="000A0A5F" w:rsidRDefault="00CB0DD7">
      <w:pPr>
        <w:pStyle w:val="Heading3"/>
      </w:pPr>
      <w:bookmarkStart w:id="9651" w:name="_Toc11247915"/>
      <w:bookmarkStart w:id="9652" w:name="_Toc27045059"/>
      <w:bookmarkStart w:id="9653" w:name="_Toc36034110"/>
      <w:bookmarkStart w:id="9654" w:name="_Toc45132257"/>
      <w:bookmarkStart w:id="9655" w:name="_Toc49776542"/>
      <w:bookmarkStart w:id="9656" w:name="_Toc51747462"/>
      <w:bookmarkStart w:id="9657" w:name="_Toc66361044"/>
      <w:bookmarkStart w:id="9658" w:name="_Toc68105549"/>
      <w:bookmarkStart w:id="9659" w:name="_Toc74756181"/>
      <w:bookmarkStart w:id="9660" w:name="_Toc105675058"/>
      <w:bookmarkStart w:id="9661" w:name="_Toc130503132"/>
      <w:bookmarkStart w:id="9662" w:name="_Toc153625924"/>
      <w:r w:rsidRPr="000A0A5F">
        <w:t>5.15.3</w:t>
      </w:r>
      <w:r w:rsidRPr="000A0A5F">
        <w:tab/>
        <w:t>Resource structure</w:t>
      </w:r>
      <w:bookmarkEnd w:id="9651"/>
      <w:bookmarkEnd w:id="9652"/>
      <w:bookmarkEnd w:id="9653"/>
      <w:bookmarkEnd w:id="9654"/>
      <w:bookmarkEnd w:id="9655"/>
      <w:bookmarkEnd w:id="9656"/>
      <w:bookmarkEnd w:id="9657"/>
      <w:bookmarkEnd w:id="9658"/>
      <w:bookmarkEnd w:id="9659"/>
      <w:bookmarkEnd w:id="9660"/>
      <w:bookmarkEnd w:id="9661"/>
      <w:bookmarkEnd w:id="9662"/>
    </w:p>
    <w:p w:rsidR="00CB0DD7" w:rsidRPr="000A0A5F" w:rsidRDefault="00CB0DD7">
      <w:pPr>
        <w:pStyle w:val="Heading4"/>
      </w:pPr>
      <w:bookmarkStart w:id="9663" w:name="_Toc11247916"/>
      <w:bookmarkStart w:id="9664" w:name="_Toc27045060"/>
      <w:bookmarkStart w:id="9665" w:name="_Toc36034111"/>
      <w:bookmarkStart w:id="9666" w:name="_Toc45132258"/>
      <w:bookmarkStart w:id="9667" w:name="_Toc49776543"/>
      <w:bookmarkStart w:id="9668" w:name="_Toc51747463"/>
      <w:bookmarkStart w:id="9669" w:name="_Toc66361045"/>
      <w:bookmarkStart w:id="9670" w:name="_Toc68105550"/>
      <w:bookmarkStart w:id="9671" w:name="_Toc74756182"/>
      <w:bookmarkStart w:id="9672" w:name="_Toc105675059"/>
      <w:bookmarkStart w:id="9673" w:name="_Toc130503133"/>
      <w:bookmarkStart w:id="9674" w:name="_Toc153625925"/>
      <w:r w:rsidRPr="000A0A5F">
        <w:t>5.15.3.1</w:t>
      </w:r>
      <w:r w:rsidRPr="000A0A5F">
        <w:tab/>
        <w:t>General</w:t>
      </w:r>
      <w:bookmarkEnd w:id="9663"/>
      <w:bookmarkEnd w:id="9664"/>
      <w:bookmarkEnd w:id="9665"/>
      <w:bookmarkEnd w:id="9666"/>
      <w:bookmarkEnd w:id="9667"/>
      <w:bookmarkEnd w:id="9668"/>
      <w:bookmarkEnd w:id="9669"/>
      <w:bookmarkEnd w:id="9670"/>
      <w:bookmarkEnd w:id="9671"/>
      <w:bookmarkEnd w:id="9672"/>
      <w:bookmarkEnd w:id="9673"/>
      <w:bookmarkEnd w:id="9674"/>
    </w:p>
    <w:p w:rsidR="00CB0DD7" w:rsidRPr="000A0A5F" w:rsidRDefault="00CB0DD7">
      <w:r w:rsidRPr="000A0A5F">
        <w:t>All resource URIs of this API should have the following root:</w:t>
      </w:r>
    </w:p>
    <w:p w:rsidR="00CB0DD7" w:rsidRPr="000A0A5F" w:rsidRDefault="00CB0DD7">
      <w:pPr>
        <w:pStyle w:val="B1"/>
        <w:numPr>
          <w:ilvl w:val="0"/>
          <w:numId w:val="0"/>
        </w:numPr>
        <w:ind w:left="737"/>
        <w:rPr>
          <w:b/>
        </w:rPr>
      </w:pPr>
      <w:r w:rsidRPr="000A0A5F">
        <w:rPr>
          <w:b/>
        </w:rPr>
        <w:t>{notificationDestination}</w:t>
      </w:r>
    </w:p>
    <w:p w:rsidR="00CB0DD7" w:rsidRPr="000A0A5F" w:rsidRDefault="00CB0DD7">
      <w:r w:rsidRPr="000A0A5F">
        <w:t>"</w:t>
      </w:r>
      <w:r w:rsidRPr="000A0A5F">
        <w:rPr>
          <w:rFonts w:hint="eastAsia"/>
          <w:lang w:eastAsia="zh-CN"/>
        </w:rPr>
        <w:t>{notificationDestination</w:t>
      </w:r>
      <w:r w:rsidRPr="000A0A5F">
        <w:rPr>
          <w:lang w:eastAsia="zh-CN"/>
        </w:rPr>
        <w:t>}</w:t>
      </w:r>
      <w:r w:rsidRPr="000A0A5F">
        <w:t>" is determined based on preconfigured information in the SCEF as described in clause 4.4.14.2. All resource URIs in the clauses below are defined relative to the above root URI.</w:t>
      </w:r>
    </w:p>
    <w:p w:rsidR="00CB0DD7" w:rsidRPr="000A0A5F" w:rsidRDefault="00CB0DD7">
      <w:r w:rsidRPr="000A0A5F">
        <w:t>The following resources and HTTP methods are supported for this API:</w:t>
      </w:r>
    </w:p>
    <w:p w:rsidR="00CB0DD7" w:rsidRPr="000A0A5F" w:rsidRDefault="00CB0DD7">
      <w:pPr>
        <w:pStyle w:val="TH"/>
      </w:pPr>
      <w:r w:rsidRPr="000A0A5F">
        <w:t>Table 5.15.3.1-1: Resources and methods overview</w:t>
      </w:r>
    </w:p>
    <w:tbl>
      <w:tblPr>
        <w:tblW w:w="5063"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1E0" w:firstRow="1" w:lastRow="1" w:firstColumn="1" w:lastColumn="1" w:noHBand="0" w:noVBand="0"/>
      </w:tblPr>
      <w:tblGrid>
        <w:gridCol w:w="2058"/>
        <w:gridCol w:w="5019"/>
        <w:gridCol w:w="851"/>
        <w:gridCol w:w="1972"/>
      </w:tblGrid>
      <w:tr w:rsidR="00CB0DD7" w:rsidRPr="000A0A5F" w:rsidTr="00FF0AF8">
        <w:trPr>
          <w:jc w:val="center"/>
        </w:trPr>
        <w:tc>
          <w:tcPr>
            <w:tcW w:w="1039" w:type="pct"/>
            <w:shd w:val="clear" w:color="000000" w:fill="C0C0C0"/>
            <w:vAlign w:val="center"/>
            <w:hideMark/>
          </w:tcPr>
          <w:p w:rsidR="00CB0DD7" w:rsidRPr="000A0A5F" w:rsidRDefault="00CB0DD7">
            <w:pPr>
              <w:pStyle w:val="TAH"/>
              <w:spacing w:line="276" w:lineRule="auto"/>
            </w:pPr>
            <w:r w:rsidRPr="000A0A5F">
              <w:t>Resource name</w:t>
            </w:r>
          </w:p>
        </w:tc>
        <w:tc>
          <w:tcPr>
            <w:tcW w:w="2535" w:type="pct"/>
            <w:shd w:val="clear" w:color="000000" w:fill="C0C0C0"/>
            <w:vAlign w:val="center"/>
            <w:hideMark/>
          </w:tcPr>
          <w:p w:rsidR="00CB0DD7" w:rsidRPr="000A0A5F" w:rsidRDefault="00CB0DD7">
            <w:pPr>
              <w:pStyle w:val="TAH"/>
              <w:spacing w:line="276" w:lineRule="auto"/>
            </w:pPr>
            <w:r w:rsidRPr="000A0A5F">
              <w:t>Resource URI</w:t>
            </w:r>
          </w:p>
        </w:tc>
        <w:tc>
          <w:tcPr>
            <w:tcW w:w="430" w:type="pct"/>
            <w:shd w:val="clear" w:color="000000" w:fill="C0C0C0"/>
            <w:vAlign w:val="center"/>
            <w:hideMark/>
          </w:tcPr>
          <w:p w:rsidR="00CB0DD7" w:rsidRPr="000A0A5F" w:rsidRDefault="00CB0DD7">
            <w:pPr>
              <w:pStyle w:val="TAH"/>
              <w:spacing w:line="276" w:lineRule="auto"/>
            </w:pPr>
            <w:r w:rsidRPr="000A0A5F">
              <w:t>HTTP method</w:t>
            </w:r>
          </w:p>
        </w:tc>
        <w:tc>
          <w:tcPr>
            <w:tcW w:w="996" w:type="pct"/>
            <w:shd w:val="clear" w:color="000000" w:fill="C0C0C0"/>
            <w:vAlign w:val="center"/>
            <w:hideMark/>
          </w:tcPr>
          <w:p w:rsidR="00CB0DD7" w:rsidRPr="000A0A5F" w:rsidRDefault="00CB0DD7">
            <w:pPr>
              <w:pStyle w:val="TAH"/>
              <w:spacing w:line="276" w:lineRule="auto"/>
            </w:pPr>
            <w:r w:rsidRPr="000A0A5F">
              <w:t>Meaning</w:t>
            </w:r>
          </w:p>
        </w:tc>
      </w:tr>
      <w:tr w:rsidR="00CB0DD7" w:rsidRPr="000A0A5F" w:rsidTr="00FF0AF8">
        <w:trPr>
          <w:trHeight w:val="257"/>
          <w:jc w:val="center"/>
        </w:trPr>
        <w:tc>
          <w:tcPr>
            <w:tcW w:w="1039" w:type="pct"/>
          </w:tcPr>
          <w:p w:rsidR="00CB0DD7" w:rsidRPr="000A0A5F" w:rsidRDefault="00CB0DD7">
            <w:pPr>
              <w:pStyle w:val="TAL"/>
              <w:spacing w:line="276" w:lineRule="auto"/>
              <w:rPr>
                <w:rFonts w:hint="eastAsia"/>
                <w:lang w:eastAsia="zh-CN"/>
              </w:rPr>
            </w:pPr>
            <w:r w:rsidRPr="000A0A5F">
              <w:t xml:space="preserve">MSISDN-less MO SMS </w:t>
            </w:r>
            <w:r w:rsidRPr="000A0A5F">
              <w:rPr>
                <w:rFonts w:hint="eastAsia"/>
                <w:lang w:eastAsia="zh-CN"/>
              </w:rPr>
              <w:t>Notification</w:t>
            </w:r>
          </w:p>
        </w:tc>
        <w:tc>
          <w:tcPr>
            <w:tcW w:w="2535" w:type="pct"/>
          </w:tcPr>
          <w:p w:rsidR="00CB0DD7" w:rsidRPr="000A0A5F" w:rsidRDefault="00CB0DD7">
            <w:pPr>
              <w:pStyle w:val="TAL"/>
              <w:spacing w:line="276" w:lineRule="auto"/>
            </w:pPr>
            <w:bookmarkStart w:id="9675" w:name="_Hlk511949446"/>
            <w:r w:rsidRPr="000A0A5F">
              <w:rPr>
                <w:rFonts w:hint="eastAsia"/>
                <w:lang w:eastAsia="zh-CN"/>
              </w:rPr>
              <w:t>{notificationDestination</w:t>
            </w:r>
            <w:r w:rsidRPr="000A0A5F">
              <w:rPr>
                <w:lang w:eastAsia="zh-CN"/>
              </w:rPr>
              <w:t>}</w:t>
            </w:r>
            <w:bookmarkEnd w:id="9675"/>
          </w:p>
        </w:tc>
        <w:tc>
          <w:tcPr>
            <w:tcW w:w="430" w:type="pct"/>
          </w:tcPr>
          <w:p w:rsidR="00CB0DD7" w:rsidRPr="000A0A5F" w:rsidRDefault="00CB0DD7">
            <w:pPr>
              <w:pStyle w:val="TAL"/>
              <w:spacing w:line="276" w:lineRule="auto"/>
            </w:pPr>
            <w:r w:rsidRPr="000A0A5F">
              <w:rPr>
                <w:rFonts w:hint="eastAsia"/>
                <w:lang w:eastAsia="zh-CN"/>
              </w:rPr>
              <w:t>POST</w:t>
            </w:r>
          </w:p>
        </w:tc>
        <w:tc>
          <w:tcPr>
            <w:tcW w:w="996" w:type="pct"/>
          </w:tcPr>
          <w:p w:rsidR="00CB0DD7" w:rsidRPr="000A0A5F" w:rsidRDefault="00CB0DD7">
            <w:pPr>
              <w:pStyle w:val="TAL"/>
              <w:spacing w:line="276" w:lineRule="auto"/>
            </w:pPr>
            <w:r w:rsidRPr="000A0A5F">
              <w:rPr>
                <w:lang w:eastAsia="zh-CN"/>
              </w:rPr>
              <w:t xml:space="preserve">Deliver a received </w:t>
            </w:r>
            <w:r w:rsidRPr="000A0A5F">
              <w:t>MSIDN-less MO SMS</w:t>
            </w:r>
            <w:r w:rsidRPr="000A0A5F">
              <w:rPr>
                <w:lang w:eastAsia="zh-CN"/>
              </w:rPr>
              <w:t xml:space="preserve"> from the SCEF to the SCS/AS</w:t>
            </w:r>
          </w:p>
        </w:tc>
      </w:tr>
    </w:tbl>
    <w:p w:rsidR="00CB0DD7" w:rsidRPr="000A0A5F" w:rsidRDefault="00CB0DD7"/>
    <w:p w:rsidR="00CB0DD7" w:rsidRPr="000A0A5F" w:rsidRDefault="00CB0DD7">
      <w:pPr>
        <w:pStyle w:val="Heading4"/>
      </w:pPr>
      <w:bookmarkStart w:id="9676" w:name="_Toc11247917"/>
      <w:bookmarkStart w:id="9677" w:name="_Toc27045061"/>
      <w:bookmarkStart w:id="9678" w:name="_Toc36034112"/>
      <w:bookmarkStart w:id="9679" w:name="_Toc45132259"/>
      <w:bookmarkStart w:id="9680" w:name="_Toc49776544"/>
      <w:bookmarkStart w:id="9681" w:name="_Toc51747464"/>
      <w:bookmarkStart w:id="9682" w:name="_Toc66361046"/>
      <w:bookmarkStart w:id="9683" w:name="_Toc68105551"/>
      <w:bookmarkStart w:id="9684" w:name="_Toc74756183"/>
      <w:bookmarkStart w:id="9685" w:name="_Toc105675060"/>
      <w:bookmarkStart w:id="9686" w:name="_Toc130503134"/>
      <w:bookmarkStart w:id="9687" w:name="_Toc153625926"/>
      <w:r w:rsidRPr="000A0A5F">
        <w:t>5.15.3.2</w:t>
      </w:r>
      <w:r w:rsidRPr="000A0A5F">
        <w:tab/>
        <w:t>MSISDN-less MO SMS Notification</w:t>
      </w:r>
      <w:bookmarkEnd w:id="9676"/>
      <w:bookmarkEnd w:id="9677"/>
      <w:bookmarkEnd w:id="9678"/>
      <w:bookmarkEnd w:id="9679"/>
      <w:bookmarkEnd w:id="9680"/>
      <w:bookmarkEnd w:id="9681"/>
      <w:bookmarkEnd w:id="9682"/>
      <w:bookmarkEnd w:id="9683"/>
      <w:bookmarkEnd w:id="9684"/>
      <w:bookmarkEnd w:id="9685"/>
      <w:bookmarkEnd w:id="9686"/>
      <w:bookmarkEnd w:id="9687"/>
    </w:p>
    <w:p w:rsidR="00CB0DD7" w:rsidRPr="000A0A5F" w:rsidRDefault="00CB0DD7">
      <w:pPr>
        <w:pStyle w:val="Heading5"/>
      </w:pPr>
      <w:bookmarkStart w:id="9688" w:name="_Toc11247918"/>
      <w:bookmarkStart w:id="9689" w:name="_Toc27045062"/>
      <w:bookmarkStart w:id="9690" w:name="_Toc36034113"/>
      <w:bookmarkStart w:id="9691" w:name="_Toc45132260"/>
      <w:bookmarkStart w:id="9692" w:name="_Toc49776545"/>
      <w:bookmarkStart w:id="9693" w:name="_Toc51747465"/>
      <w:bookmarkStart w:id="9694" w:name="_Toc66361047"/>
      <w:bookmarkStart w:id="9695" w:name="_Toc68105552"/>
      <w:bookmarkStart w:id="9696" w:name="_Toc74756184"/>
      <w:bookmarkStart w:id="9697" w:name="_Toc105675061"/>
      <w:bookmarkStart w:id="9698" w:name="_Toc130503135"/>
      <w:bookmarkStart w:id="9699" w:name="_Toc153625927"/>
      <w:r w:rsidRPr="000A0A5F">
        <w:t>5.15.3.2.1</w:t>
      </w:r>
      <w:r w:rsidRPr="000A0A5F">
        <w:tab/>
        <w:t>Introduction</w:t>
      </w:r>
      <w:bookmarkEnd w:id="9688"/>
      <w:bookmarkEnd w:id="9689"/>
      <w:bookmarkEnd w:id="9690"/>
      <w:bookmarkEnd w:id="9691"/>
      <w:bookmarkEnd w:id="9692"/>
      <w:bookmarkEnd w:id="9693"/>
      <w:bookmarkEnd w:id="9694"/>
      <w:bookmarkEnd w:id="9695"/>
      <w:bookmarkEnd w:id="9696"/>
      <w:bookmarkEnd w:id="9697"/>
      <w:bookmarkEnd w:id="9698"/>
      <w:bookmarkEnd w:id="9699"/>
    </w:p>
    <w:p w:rsidR="00CB0DD7" w:rsidRPr="000A0A5F" w:rsidRDefault="00CB0DD7">
      <w:pPr>
        <w:rPr>
          <w:noProof/>
          <w:lang w:eastAsia="zh-CN"/>
        </w:rPr>
      </w:pPr>
      <w:r w:rsidRPr="000A0A5F">
        <w:rPr>
          <w:noProof/>
          <w:lang w:eastAsia="zh-CN"/>
        </w:rPr>
        <w:t xml:space="preserve">The </w:t>
      </w:r>
      <w:r w:rsidRPr="000A0A5F">
        <w:t>MSISDN-less MO SMS Notification</w:t>
      </w:r>
      <w:r w:rsidRPr="000A0A5F">
        <w:rPr>
          <w:noProof/>
          <w:lang w:eastAsia="zh-CN"/>
        </w:rPr>
        <w:t xml:space="preserve"> allows t</w:t>
      </w:r>
      <w:r w:rsidRPr="000A0A5F">
        <w:rPr>
          <w:rFonts w:hint="eastAsia"/>
          <w:noProof/>
          <w:lang w:eastAsia="zh-CN"/>
        </w:rPr>
        <w:t xml:space="preserve">he </w:t>
      </w:r>
      <w:r w:rsidRPr="000A0A5F">
        <w:rPr>
          <w:noProof/>
          <w:lang w:eastAsia="zh-CN"/>
        </w:rPr>
        <w:t xml:space="preserve">SCEF to </w:t>
      </w:r>
      <w:r w:rsidRPr="000A0A5F">
        <w:t xml:space="preserve">deliver a received MSIDN-less MO SMS </w:t>
      </w:r>
      <w:r w:rsidRPr="000A0A5F">
        <w:rPr>
          <w:noProof/>
          <w:lang w:eastAsia="zh-CN"/>
        </w:rPr>
        <w:t xml:space="preserve">to the </w:t>
      </w:r>
      <w:r w:rsidRPr="000A0A5F">
        <w:rPr>
          <w:rFonts w:hint="eastAsia"/>
          <w:noProof/>
          <w:lang w:eastAsia="zh-CN"/>
        </w:rPr>
        <w:t>SCS/AS</w:t>
      </w:r>
      <w:r w:rsidRPr="000A0A5F">
        <w:rPr>
          <w:noProof/>
          <w:lang w:eastAsia="zh-CN"/>
        </w:rPr>
        <w:t xml:space="preserve">. </w:t>
      </w:r>
    </w:p>
    <w:p w:rsidR="00CB0DD7" w:rsidRPr="000A0A5F" w:rsidRDefault="00CB0DD7">
      <w:pPr>
        <w:pStyle w:val="Heading5"/>
      </w:pPr>
      <w:bookmarkStart w:id="9700" w:name="_Toc11247919"/>
      <w:bookmarkStart w:id="9701" w:name="_Toc27045063"/>
      <w:bookmarkStart w:id="9702" w:name="_Toc36034114"/>
      <w:bookmarkStart w:id="9703" w:name="_Toc45132261"/>
      <w:bookmarkStart w:id="9704" w:name="_Toc49776546"/>
      <w:bookmarkStart w:id="9705" w:name="_Toc51747466"/>
      <w:bookmarkStart w:id="9706" w:name="_Toc66361048"/>
      <w:bookmarkStart w:id="9707" w:name="_Toc68105553"/>
      <w:bookmarkStart w:id="9708" w:name="_Toc74756185"/>
      <w:bookmarkStart w:id="9709" w:name="_Toc105675062"/>
      <w:bookmarkStart w:id="9710" w:name="_Toc130503136"/>
      <w:bookmarkStart w:id="9711" w:name="_Toc153625928"/>
      <w:r w:rsidRPr="000A0A5F">
        <w:t>5.15.3.2.2</w:t>
      </w:r>
      <w:r w:rsidRPr="000A0A5F">
        <w:tab/>
        <w:t>Resource definition</w:t>
      </w:r>
      <w:bookmarkEnd w:id="9700"/>
      <w:bookmarkEnd w:id="9701"/>
      <w:bookmarkEnd w:id="9702"/>
      <w:bookmarkEnd w:id="9703"/>
      <w:bookmarkEnd w:id="9704"/>
      <w:bookmarkEnd w:id="9705"/>
      <w:bookmarkEnd w:id="9706"/>
      <w:bookmarkEnd w:id="9707"/>
      <w:bookmarkEnd w:id="9708"/>
      <w:bookmarkEnd w:id="9709"/>
      <w:bookmarkEnd w:id="9710"/>
      <w:bookmarkEnd w:id="9711"/>
    </w:p>
    <w:p w:rsidR="00CB0DD7" w:rsidRPr="000A0A5F" w:rsidRDefault="00CB0DD7">
      <w:pPr>
        <w:rPr>
          <w:rFonts w:ascii="Arial" w:hAnsi="Arial" w:cs="Arial"/>
        </w:rPr>
      </w:pPr>
      <w:r w:rsidRPr="000A0A5F">
        <w:t xml:space="preserve">The Callback URI: </w:t>
      </w:r>
      <w:r w:rsidRPr="000A0A5F">
        <w:rPr>
          <w:b/>
        </w:rPr>
        <w:t>{</w:t>
      </w:r>
      <w:r w:rsidRPr="000A0A5F">
        <w:rPr>
          <w:rFonts w:hint="eastAsia"/>
          <w:lang w:eastAsia="zh-CN"/>
        </w:rPr>
        <w:t>notificationDestination</w:t>
      </w:r>
      <w:r w:rsidRPr="000A0A5F">
        <w:rPr>
          <w:b/>
        </w:rPr>
        <w:t>}</w:t>
      </w:r>
      <w:r w:rsidRPr="000A0A5F">
        <w:t xml:space="preserve"> shall support the callback URI variables defined in table 5.15.3.2.2-1</w:t>
      </w:r>
      <w:r w:rsidRPr="000A0A5F">
        <w:rPr>
          <w:rFonts w:ascii="Arial" w:hAnsi="Arial" w:cs="Arial"/>
        </w:rPr>
        <w:t>.</w:t>
      </w:r>
    </w:p>
    <w:p w:rsidR="00CB0DD7" w:rsidRPr="000A0A5F" w:rsidRDefault="00CB0DD7">
      <w:pPr>
        <w:pStyle w:val="TH"/>
        <w:rPr>
          <w:rFonts w:cs="Arial"/>
        </w:rPr>
      </w:pPr>
      <w:r w:rsidRPr="000A0A5F">
        <w:t>Table 5.15.3.2.2-1: Callback URI variables for resource "MSISDN-less MO SMS Notification"</w:t>
      </w:r>
    </w:p>
    <w:tbl>
      <w:tblPr>
        <w:tblW w:w="5013"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970"/>
        <w:gridCol w:w="1312"/>
        <w:gridCol w:w="6520"/>
      </w:tblGrid>
      <w:tr w:rsidR="00CB0DD7" w:rsidRPr="000A0A5F" w:rsidTr="00FF0AF8">
        <w:trPr>
          <w:jc w:val="center"/>
        </w:trPr>
        <w:tc>
          <w:tcPr>
            <w:tcW w:w="1005" w:type="pct"/>
            <w:shd w:val="clear" w:color="000000" w:fill="C0C0C0"/>
          </w:tcPr>
          <w:p w:rsidR="00CB0DD7" w:rsidRPr="000A0A5F" w:rsidRDefault="00CB0DD7">
            <w:pPr>
              <w:pStyle w:val="TAH"/>
            </w:pPr>
            <w:r w:rsidRPr="000A0A5F">
              <w:t>Name</w:t>
            </w:r>
          </w:p>
        </w:tc>
        <w:tc>
          <w:tcPr>
            <w:tcW w:w="669" w:type="pct"/>
            <w:shd w:val="clear" w:color="000000" w:fill="C0C0C0"/>
          </w:tcPr>
          <w:p w:rsidR="00CB0DD7" w:rsidRPr="000A0A5F" w:rsidRDefault="00CB0DD7">
            <w:pPr>
              <w:pStyle w:val="TAH"/>
            </w:pPr>
            <w:r w:rsidRPr="000A0A5F">
              <w:t>Data type</w:t>
            </w:r>
          </w:p>
        </w:tc>
        <w:tc>
          <w:tcPr>
            <w:tcW w:w="3326" w:type="pct"/>
            <w:shd w:val="clear" w:color="000000" w:fill="C0C0C0"/>
            <w:vAlign w:val="center"/>
          </w:tcPr>
          <w:p w:rsidR="00CB0DD7" w:rsidRPr="000A0A5F" w:rsidRDefault="00CB0DD7">
            <w:pPr>
              <w:pStyle w:val="TAH"/>
            </w:pPr>
            <w:r w:rsidRPr="000A0A5F">
              <w:t>Definition</w:t>
            </w:r>
          </w:p>
        </w:tc>
      </w:tr>
      <w:tr w:rsidR="00CB0DD7" w:rsidRPr="000A0A5F" w:rsidTr="00FF0AF8">
        <w:trPr>
          <w:jc w:val="center"/>
        </w:trPr>
        <w:tc>
          <w:tcPr>
            <w:tcW w:w="1005" w:type="pct"/>
            <w:shd w:val="clear" w:color="auto" w:fill="auto"/>
          </w:tcPr>
          <w:p w:rsidR="00CB0DD7" w:rsidRPr="000A0A5F" w:rsidRDefault="00CB0DD7">
            <w:pPr>
              <w:pStyle w:val="TAL"/>
              <w:rPr>
                <w:rFonts w:hint="eastAsia"/>
                <w:lang w:eastAsia="zh-CN"/>
              </w:rPr>
            </w:pPr>
            <w:r w:rsidRPr="000A0A5F">
              <w:rPr>
                <w:rFonts w:hint="eastAsia"/>
                <w:lang w:eastAsia="zh-CN"/>
              </w:rPr>
              <w:t>notificationDestination</w:t>
            </w:r>
          </w:p>
        </w:tc>
        <w:tc>
          <w:tcPr>
            <w:tcW w:w="669" w:type="pct"/>
          </w:tcPr>
          <w:p w:rsidR="00CB0DD7" w:rsidRPr="000A0A5F" w:rsidRDefault="00CB0DD7">
            <w:pPr>
              <w:pStyle w:val="TAL"/>
              <w:rPr>
                <w:rFonts w:cs="Arial" w:hint="eastAsia"/>
                <w:szCs w:val="18"/>
                <w:lang w:eastAsia="zh-CN"/>
              </w:rPr>
            </w:pPr>
            <w:r w:rsidRPr="000A0A5F">
              <w:rPr>
                <w:rFonts w:hint="eastAsia"/>
                <w:lang w:eastAsia="zh-CN"/>
              </w:rPr>
              <w:t>L</w:t>
            </w:r>
            <w:r w:rsidRPr="000A0A5F">
              <w:rPr>
                <w:lang w:eastAsia="zh-CN"/>
              </w:rPr>
              <w:t>ink</w:t>
            </w:r>
          </w:p>
        </w:tc>
        <w:tc>
          <w:tcPr>
            <w:tcW w:w="3326" w:type="pct"/>
            <w:shd w:val="clear" w:color="auto" w:fill="auto"/>
            <w:vAlign w:val="center"/>
          </w:tcPr>
          <w:p w:rsidR="00CB0DD7" w:rsidRPr="000A0A5F" w:rsidRDefault="00CB0DD7">
            <w:pPr>
              <w:pStyle w:val="TAL"/>
              <w:rPr>
                <w:rFonts w:cs="Arial"/>
                <w:szCs w:val="18"/>
                <w:lang w:eastAsia="zh-CN"/>
              </w:rPr>
            </w:pPr>
            <w:r w:rsidRPr="000A0A5F">
              <w:rPr>
                <w:rFonts w:cs="Arial" w:hint="eastAsia"/>
                <w:szCs w:val="18"/>
                <w:lang w:eastAsia="zh-CN"/>
              </w:rPr>
              <w:t xml:space="preserve">A URI indicating the notification destination </w:t>
            </w:r>
            <w:r w:rsidRPr="000A0A5F">
              <w:rPr>
                <w:rFonts w:cs="Arial"/>
                <w:szCs w:val="18"/>
                <w:lang w:eastAsia="zh-CN"/>
              </w:rPr>
              <w:t xml:space="preserve">where </w:t>
            </w:r>
            <w:r w:rsidRPr="000A0A5F">
              <w:rPr>
                <w:rFonts w:cs="Arial" w:hint="eastAsia"/>
                <w:szCs w:val="18"/>
                <w:lang w:eastAsia="zh-CN"/>
              </w:rPr>
              <w:t xml:space="preserve">T8 </w:t>
            </w:r>
            <w:r w:rsidRPr="000A0A5F">
              <w:rPr>
                <w:rFonts w:cs="Arial"/>
                <w:szCs w:val="18"/>
                <w:lang w:eastAsia="zh-CN"/>
              </w:rPr>
              <w:t>notification requests shall be delivered to</w:t>
            </w:r>
            <w:r w:rsidRPr="000A0A5F">
              <w:rPr>
                <w:rFonts w:cs="Arial" w:hint="eastAsia"/>
                <w:szCs w:val="18"/>
                <w:lang w:eastAsia="zh-CN"/>
              </w:rPr>
              <w:t>.</w:t>
            </w:r>
          </w:p>
          <w:p w:rsidR="00CB0DD7" w:rsidRPr="000A0A5F" w:rsidRDefault="00CB0DD7">
            <w:pPr>
              <w:pStyle w:val="TAL"/>
            </w:pPr>
            <w:r w:rsidRPr="000A0A5F">
              <w:rPr>
                <w:rFonts w:cs="Arial"/>
                <w:szCs w:val="18"/>
                <w:lang w:eastAsia="zh-CN"/>
              </w:rPr>
              <w:t>This URI shall be preconfigured in the SCEF.</w:t>
            </w:r>
          </w:p>
        </w:tc>
      </w:tr>
    </w:tbl>
    <w:p w:rsidR="00CB0DD7" w:rsidRPr="000A0A5F" w:rsidRDefault="00CB0DD7"/>
    <w:p w:rsidR="00CB0DD7" w:rsidRPr="000A0A5F" w:rsidRDefault="00CB0DD7">
      <w:pPr>
        <w:pStyle w:val="Heading5"/>
      </w:pPr>
      <w:bookmarkStart w:id="9712" w:name="_Toc11247920"/>
      <w:bookmarkStart w:id="9713" w:name="_Toc27045064"/>
      <w:bookmarkStart w:id="9714" w:name="_Toc36034115"/>
      <w:bookmarkStart w:id="9715" w:name="_Toc45132262"/>
      <w:bookmarkStart w:id="9716" w:name="_Toc49776547"/>
      <w:bookmarkStart w:id="9717" w:name="_Toc51747467"/>
      <w:bookmarkStart w:id="9718" w:name="_Toc66361049"/>
      <w:bookmarkStart w:id="9719" w:name="_Toc68105554"/>
      <w:bookmarkStart w:id="9720" w:name="_Toc74756186"/>
      <w:bookmarkStart w:id="9721" w:name="_Toc105675063"/>
      <w:bookmarkStart w:id="9722" w:name="_Toc130503137"/>
      <w:bookmarkStart w:id="9723" w:name="_Toc153625929"/>
      <w:r w:rsidRPr="000A0A5F">
        <w:t>5.15.3.2.3</w:t>
      </w:r>
      <w:r w:rsidRPr="000A0A5F">
        <w:tab/>
        <w:t>Standard methods</w:t>
      </w:r>
      <w:bookmarkEnd w:id="9712"/>
      <w:bookmarkEnd w:id="9713"/>
      <w:bookmarkEnd w:id="9714"/>
      <w:bookmarkEnd w:id="9715"/>
      <w:bookmarkEnd w:id="9716"/>
      <w:bookmarkEnd w:id="9717"/>
      <w:bookmarkEnd w:id="9718"/>
      <w:bookmarkEnd w:id="9719"/>
      <w:bookmarkEnd w:id="9720"/>
      <w:bookmarkEnd w:id="9721"/>
      <w:bookmarkEnd w:id="9722"/>
      <w:bookmarkEnd w:id="9723"/>
    </w:p>
    <w:p w:rsidR="00CB0DD7" w:rsidRPr="000A0A5F" w:rsidRDefault="00CB0DD7">
      <w:pPr>
        <w:pStyle w:val="Heading6"/>
      </w:pPr>
      <w:bookmarkStart w:id="9724" w:name="_Toc11247921"/>
      <w:bookmarkStart w:id="9725" w:name="_Toc27045065"/>
      <w:bookmarkStart w:id="9726" w:name="_Toc36034116"/>
      <w:bookmarkStart w:id="9727" w:name="_Toc45132263"/>
      <w:bookmarkStart w:id="9728" w:name="_Toc49776548"/>
      <w:bookmarkStart w:id="9729" w:name="_Toc51747468"/>
      <w:bookmarkStart w:id="9730" w:name="_Toc66361050"/>
      <w:bookmarkStart w:id="9731" w:name="_Toc68105555"/>
      <w:bookmarkStart w:id="9732" w:name="_Toc74756187"/>
      <w:bookmarkStart w:id="9733" w:name="_Toc105675064"/>
      <w:bookmarkStart w:id="9734" w:name="_Toc130503138"/>
      <w:bookmarkStart w:id="9735" w:name="_Toc153625930"/>
      <w:r w:rsidRPr="000A0A5F">
        <w:t>5.15.3.2.3.1</w:t>
      </w:r>
      <w:r w:rsidRPr="000A0A5F">
        <w:tab/>
        <w:t>Notification via POST</w:t>
      </w:r>
      <w:bookmarkEnd w:id="9724"/>
      <w:bookmarkEnd w:id="9725"/>
      <w:bookmarkEnd w:id="9726"/>
      <w:bookmarkEnd w:id="9727"/>
      <w:bookmarkEnd w:id="9728"/>
      <w:bookmarkEnd w:id="9729"/>
      <w:bookmarkEnd w:id="9730"/>
      <w:bookmarkEnd w:id="9731"/>
      <w:bookmarkEnd w:id="9732"/>
      <w:bookmarkEnd w:id="9733"/>
      <w:bookmarkEnd w:id="9734"/>
      <w:bookmarkEnd w:id="9735"/>
    </w:p>
    <w:p w:rsidR="00CB0DD7" w:rsidRPr="000A0A5F" w:rsidRDefault="00CB0DD7">
      <w:pPr>
        <w:rPr>
          <w:noProof/>
          <w:lang w:eastAsia="zh-CN"/>
        </w:rPr>
      </w:pPr>
      <w:r w:rsidRPr="000A0A5F">
        <w:rPr>
          <w:noProof/>
          <w:lang w:eastAsia="zh-CN"/>
        </w:rPr>
        <w:t xml:space="preserve">The HTTP POST method </w:t>
      </w:r>
      <w:r w:rsidRPr="000A0A5F">
        <w:t>delivers a received MSISDN-less MO SMS</w:t>
      </w:r>
      <w:r w:rsidRPr="000A0A5F">
        <w:rPr>
          <w:noProof/>
          <w:lang w:eastAsia="zh-CN"/>
        </w:rPr>
        <w:t>. The SCEF shall initiate the HTTP POST request message and the SCS/AS shall respond to the message.</w:t>
      </w:r>
    </w:p>
    <w:p w:rsidR="00CB0DD7" w:rsidRPr="000A0A5F" w:rsidRDefault="00CB0DD7">
      <w:r w:rsidRPr="000A0A5F">
        <w:t>This method shall support the URI query parameters, request and response data structures, and response codes, as specified in the table 5.15.3.2.3.1-1 and table 5.15.3.2.3.1-2.</w:t>
      </w:r>
    </w:p>
    <w:p w:rsidR="00CB0DD7" w:rsidRPr="000A0A5F" w:rsidRDefault="00CB0DD7">
      <w:pPr>
        <w:pStyle w:val="TH"/>
        <w:rPr>
          <w:rFonts w:cs="Arial"/>
        </w:rPr>
      </w:pPr>
      <w:r w:rsidRPr="000A0A5F">
        <w:t xml:space="preserve">Table 5.15.3.2.3.1-1: URI query parameters supported by the POST method on this resource </w:t>
      </w:r>
    </w:p>
    <w:tbl>
      <w:tblPr>
        <w:tblW w:w="4999"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612"/>
        <w:gridCol w:w="1709"/>
        <w:gridCol w:w="1140"/>
        <w:gridCol w:w="5314"/>
      </w:tblGrid>
      <w:tr w:rsidR="00CB0DD7" w:rsidRPr="000A0A5F" w:rsidTr="00FF0AF8">
        <w:trPr>
          <w:jc w:val="center"/>
        </w:trPr>
        <w:tc>
          <w:tcPr>
            <w:tcW w:w="825" w:type="pct"/>
            <w:shd w:val="clear" w:color="000000" w:fill="C0C0C0"/>
          </w:tcPr>
          <w:p w:rsidR="00CB0DD7" w:rsidRPr="000A0A5F" w:rsidRDefault="00CB0DD7">
            <w:pPr>
              <w:pStyle w:val="TAH"/>
            </w:pPr>
            <w:r w:rsidRPr="000A0A5F">
              <w:t>Name</w:t>
            </w:r>
          </w:p>
        </w:tc>
        <w:tc>
          <w:tcPr>
            <w:tcW w:w="874" w:type="pct"/>
            <w:shd w:val="clear" w:color="000000" w:fill="C0C0C0"/>
          </w:tcPr>
          <w:p w:rsidR="00CB0DD7" w:rsidRPr="000A0A5F" w:rsidRDefault="00CB0DD7">
            <w:pPr>
              <w:pStyle w:val="TAH"/>
            </w:pPr>
            <w:r w:rsidRPr="000A0A5F">
              <w:t>Data type</w:t>
            </w:r>
          </w:p>
        </w:tc>
        <w:tc>
          <w:tcPr>
            <w:tcW w:w="583" w:type="pct"/>
            <w:shd w:val="clear" w:color="000000" w:fill="C0C0C0"/>
          </w:tcPr>
          <w:p w:rsidR="00CB0DD7" w:rsidRPr="000A0A5F" w:rsidRDefault="00CB0DD7">
            <w:pPr>
              <w:pStyle w:val="TAH"/>
            </w:pPr>
            <w:r w:rsidRPr="000A0A5F">
              <w:t>Cardinality</w:t>
            </w:r>
          </w:p>
        </w:tc>
        <w:tc>
          <w:tcPr>
            <w:tcW w:w="2718" w:type="pct"/>
            <w:shd w:val="clear" w:color="000000" w:fill="C0C0C0"/>
            <w:vAlign w:val="center"/>
          </w:tcPr>
          <w:p w:rsidR="00CB0DD7" w:rsidRPr="000A0A5F" w:rsidRDefault="00CB0DD7">
            <w:pPr>
              <w:pStyle w:val="TAH"/>
            </w:pPr>
            <w:r w:rsidRPr="000A0A5F">
              <w:t>Remarks</w:t>
            </w:r>
          </w:p>
        </w:tc>
      </w:tr>
      <w:tr w:rsidR="00CB0DD7" w:rsidRPr="000A0A5F" w:rsidTr="00FF0AF8">
        <w:trPr>
          <w:jc w:val="center"/>
        </w:trPr>
        <w:tc>
          <w:tcPr>
            <w:tcW w:w="825" w:type="pct"/>
            <w:shd w:val="clear" w:color="auto" w:fill="auto"/>
          </w:tcPr>
          <w:p w:rsidR="00CB0DD7" w:rsidRPr="000A0A5F" w:rsidRDefault="00CB0DD7">
            <w:pPr>
              <w:pStyle w:val="TAL"/>
            </w:pPr>
            <w:r w:rsidRPr="000A0A5F">
              <w:t>none specified</w:t>
            </w:r>
          </w:p>
        </w:tc>
        <w:tc>
          <w:tcPr>
            <w:tcW w:w="874" w:type="pct"/>
          </w:tcPr>
          <w:p w:rsidR="00CB0DD7" w:rsidRPr="000A0A5F" w:rsidRDefault="00CB0DD7">
            <w:pPr>
              <w:pStyle w:val="TAL"/>
            </w:pPr>
          </w:p>
        </w:tc>
        <w:tc>
          <w:tcPr>
            <w:tcW w:w="583" w:type="pct"/>
          </w:tcPr>
          <w:p w:rsidR="00CB0DD7" w:rsidRPr="000A0A5F" w:rsidRDefault="00CB0DD7">
            <w:pPr>
              <w:pStyle w:val="TAL"/>
            </w:pPr>
          </w:p>
        </w:tc>
        <w:tc>
          <w:tcPr>
            <w:tcW w:w="2718" w:type="pct"/>
            <w:shd w:val="clear" w:color="auto" w:fill="auto"/>
            <w:vAlign w:val="center"/>
          </w:tcPr>
          <w:p w:rsidR="00CB0DD7" w:rsidRPr="000A0A5F" w:rsidRDefault="00CB0DD7">
            <w:pPr>
              <w:pStyle w:val="TAL"/>
            </w:pPr>
          </w:p>
        </w:tc>
      </w:tr>
    </w:tbl>
    <w:p w:rsidR="00CB0DD7" w:rsidRPr="000A0A5F" w:rsidRDefault="00CB0DD7"/>
    <w:p w:rsidR="00CB0DD7" w:rsidRPr="000A0A5F" w:rsidRDefault="00CB0DD7">
      <w:pPr>
        <w:pStyle w:val="TH"/>
      </w:pPr>
      <w:r w:rsidRPr="000A0A5F">
        <w:t>Table 5.15.3.2.3.1-2: Data structures supported by the POST request/response by the resource</w:t>
      </w:r>
    </w:p>
    <w:tbl>
      <w:tblPr>
        <w:tblW w:w="4999" w:type="pct"/>
        <w:tblInd w:w="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45" w:type="dxa"/>
          <w:left w:w="45" w:type="dxa"/>
          <w:bottom w:w="45" w:type="dxa"/>
          <w:right w:w="45" w:type="dxa"/>
        </w:tblCellMar>
        <w:tblLook w:val="0000" w:firstRow="0" w:lastRow="0" w:firstColumn="0" w:lastColumn="0" w:noHBand="0" w:noVBand="0"/>
      </w:tblPr>
      <w:tblGrid>
        <w:gridCol w:w="1035"/>
        <w:gridCol w:w="2127"/>
        <w:gridCol w:w="1053"/>
        <w:gridCol w:w="973"/>
        <w:gridCol w:w="4541"/>
      </w:tblGrid>
      <w:tr w:rsidR="00CB0DD7" w:rsidRPr="000A0A5F" w:rsidTr="00F040BC">
        <w:tc>
          <w:tcPr>
            <w:tcW w:w="532" w:type="pct"/>
            <w:vMerge w:val="restart"/>
            <w:shd w:val="clear" w:color="auto" w:fill="C0C0C0"/>
            <w:vAlign w:val="center"/>
          </w:tcPr>
          <w:p w:rsidR="00CB0DD7" w:rsidRPr="000A0A5F" w:rsidRDefault="00CB0DD7">
            <w:pPr>
              <w:pStyle w:val="TAH"/>
            </w:pPr>
            <w:r w:rsidRPr="000A0A5F">
              <w:t>Request body</w:t>
            </w:r>
          </w:p>
        </w:tc>
        <w:tc>
          <w:tcPr>
            <w:tcW w:w="1093" w:type="pct"/>
            <w:shd w:val="clear" w:color="auto" w:fill="C0C0C0"/>
          </w:tcPr>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r w:rsidRPr="000A0A5F">
              <w:t>Cardinality</w:t>
            </w:r>
          </w:p>
        </w:tc>
        <w:tc>
          <w:tcPr>
            <w:tcW w:w="2834" w:type="pct"/>
            <w:gridSpan w:val="2"/>
            <w:shd w:val="clear" w:color="auto" w:fill="C0C0C0"/>
          </w:tcPr>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MsisdnLessMoSmsNotification</w:t>
            </w:r>
          </w:p>
        </w:tc>
        <w:tc>
          <w:tcPr>
            <w:tcW w:w="541" w:type="pct"/>
          </w:tcPr>
          <w:p w:rsidR="00CB0DD7" w:rsidRPr="000A0A5F" w:rsidRDefault="00CB0DD7">
            <w:pPr>
              <w:pStyle w:val="TAL"/>
              <w:rPr>
                <w:rFonts w:hint="eastAsia"/>
                <w:lang w:eastAsia="zh-CN"/>
              </w:rPr>
            </w:pPr>
            <w:r w:rsidRPr="000A0A5F">
              <w:rPr>
                <w:rFonts w:hint="eastAsia"/>
                <w:lang w:eastAsia="zh-CN"/>
              </w:rPr>
              <w:t>1</w:t>
            </w:r>
          </w:p>
        </w:tc>
        <w:tc>
          <w:tcPr>
            <w:tcW w:w="2834" w:type="pct"/>
            <w:gridSpan w:val="2"/>
          </w:tcPr>
          <w:p w:rsidR="00CB0DD7" w:rsidRPr="000A0A5F" w:rsidRDefault="00CB0DD7">
            <w:pPr>
              <w:pStyle w:val="TAL"/>
              <w:rPr>
                <w:rFonts w:hint="eastAsia"/>
                <w:lang w:eastAsia="zh-CN"/>
              </w:rPr>
            </w:pPr>
            <w:r w:rsidRPr="000A0A5F">
              <w:rPr>
                <w:lang w:eastAsia="zh-CN"/>
              </w:rPr>
              <w:t>T</w:t>
            </w:r>
            <w:r w:rsidRPr="000A0A5F">
              <w:rPr>
                <w:rFonts w:hint="eastAsia"/>
                <w:lang w:eastAsia="zh-CN"/>
              </w:rPr>
              <w:t xml:space="preserve">he </w:t>
            </w:r>
            <w:r w:rsidRPr="000A0A5F">
              <w:t>MSISDN-less MO SMS</w:t>
            </w:r>
            <w:r w:rsidRPr="000A0A5F">
              <w:rPr>
                <w:lang w:eastAsia="zh-CN"/>
              </w:rPr>
              <w:t>.</w:t>
            </w:r>
          </w:p>
        </w:tc>
      </w:tr>
      <w:tr w:rsidR="00CB0DD7" w:rsidRPr="000A0A5F" w:rsidTr="00F040BC">
        <w:tc>
          <w:tcPr>
            <w:tcW w:w="532" w:type="pct"/>
            <w:vMerge w:val="restart"/>
            <w:shd w:val="clear" w:color="auto" w:fill="C0C0C0"/>
            <w:vAlign w:val="center"/>
          </w:tcPr>
          <w:p w:rsidR="00CB0DD7" w:rsidRPr="000A0A5F" w:rsidRDefault="00CB0DD7">
            <w:pPr>
              <w:pStyle w:val="TAH"/>
            </w:pPr>
            <w:r w:rsidRPr="000A0A5F">
              <w:t>Response body</w:t>
            </w:r>
          </w:p>
        </w:tc>
        <w:tc>
          <w:tcPr>
            <w:tcW w:w="1093" w:type="pct"/>
            <w:shd w:val="clear" w:color="auto" w:fill="C0C0C0"/>
          </w:tcPr>
          <w:p w:rsidR="00CB0DD7" w:rsidRPr="000A0A5F" w:rsidRDefault="00CB0DD7">
            <w:pPr>
              <w:pStyle w:val="TAH"/>
            </w:pPr>
          </w:p>
          <w:p w:rsidR="00CB0DD7" w:rsidRPr="000A0A5F" w:rsidRDefault="00CB0DD7">
            <w:pPr>
              <w:pStyle w:val="TAH"/>
            </w:pPr>
            <w:r w:rsidRPr="000A0A5F">
              <w:t>Data type</w:t>
            </w:r>
          </w:p>
        </w:tc>
        <w:tc>
          <w:tcPr>
            <w:tcW w:w="541" w:type="pct"/>
            <w:shd w:val="clear" w:color="auto" w:fill="C0C0C0"/>
          </w:tcPr>
          <w:p w:rsidR="00CB0DD7" w:rsidRPr="000A0A5F" w:rsidRDefault="00CB0DD7">
            <w:pPr>
              <w:pStyle w:val="TAH"/>
            </w:pPr>
          </w:p>
          <w:p w:rsidR="00CB0DD7" w:rsidRPr="000A0A5F" w:rsidRDefault="00CB0DD7">
            <w:pPr>
              <w:pStyle w:val="TAH"/>
            </w:pPr>
            <w:r w:rsidRPr="000A0A5F">
              <w:t>Cardinality</w:t>
            </w:r>
          </w:p>
        </w:tc>
        <w:tc>
          <w:tcPr>
            <w:tcW w:w="500" w:type="pct"/>
            <w:shd w:val="clear" w:color="auto" w:fill="C0C0C0"/>
          </w:tcPr>
          <w:p w:rsidR="00CB0DD7" w:rsidRPr="000A0A5F" w:rsidRDefault="00CB0DD7">
            <w:pPr>
              <w:pStyle w:val="TAH"/>
            </w:pPr>
            <w:r w:rsidRPr="000A0A5F">
              <w:t>Response</w:t>
            </w:r>
          </w:p>
          <w:p w:rsidR="00CB0DD7" w:rsidRPr="000A0A5F" w:rsidRDefault="00CB0DD7">
            <w:pPr>
              <w:pStyle w:val="TAH"/>
            </w:pPr>
            <w:r w:rsidRPr="000A0A5F">
              <w:t>codes</w:t>
            </w:r>
          </w:p>
        </w:tc>
        <w:tc>
          <w:tcPr>
            <w:tcW w:w="2334" w:type="pct"/>
            <w:shd w:val="clear" w:color="auto" w:fill="C0C0C0"/>
          </w:tcPr>
          <w:p w:rsidR="00CB0DD7" w:rsidRPr="000A0A5F" w:rsidRDefault="00CB0DD7">
            <w:pPr>
              <w:pStyle w:val="TAH"/>
            </w:pPr>
          </w:p>
          <w:p w:rsidR="00CB0DD7" w:rsidRPr="000A0A5F" w:rsidRDefault="00CB0DD7">
            <w:pPr>
              <w:pStyle w:val="TAH"/>
            </w:pPr>
            <w:r w:rsidRPr="000A0A5F">
              <w:t>Remarks</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MsisdnLessMoSmsNotificationReply</w:t>
            </w:r>
          </w:p>
        </w:tc>
        <w:tc>
          <w:tcPr>
            <w:tcW w:w="541" w:type="pct"/>
          </w:tcPr>
          <w:p w:rsidR="00CB0DD7" w:rsidRPr="000A0A5F" w:rsidRDefault="00CB0DD7">
            <w:pPr>
              <w:pStyle w:val="TAL"/>
            </w:pPr>
          </w:p>
        </w:tc>
        <w:tc>
          <w:tcPr>
            <w:tcW w:w="500" w:type="pct"/>
          </w:tcPr>
          <w:p w:rsidR="00CB0DD7" w:rsidRPr="000A0A5F" w:rsidRDefault="00CB0DD7">
            <w:pPr>
              <w:pStyle w:val="TAL"/>
            </w:pPr>
            <w:r w:rsidRPr="000A0A5F">
              <w:t>200 OK</w:t>
            </w:r>
          </w:p>
        </w:tc>
        <w:tc>
          <w:tcPr>
            <w:tcW w:w="2334" w:type="pct"/>
          </w:tcPr>
          <w:p w:rsidR="00CB0DD7" w:rsidRPr="000A0A5F" w:rsidRDefault="00CB0DD7">
            <w:pPr>
              <w:pStyle w:val="TAL"/>
            </w:pPr>
            <w:r w:rsidRPr="000A0A5F">
              <w:t>The MSISDN-less MO SMS is received successfully.</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rPr>
                <w:lang w:eastAsia="zh-CN"/>
              </w:rPr>
              <w:t>n</w:t>
            </w:r>
            <w:r w:rsidRPr="000A0A5F">
              <w:rPr>
                <w:rFonts w:hint="eastAsia"/>
                <w:lang w:eastAsia="zh-CN"/>
              </w:rPr>
              <w:t>one</w:t>
            </w:r>
          </w:p>
        </w:tc>
        <w:tc>
          <w:tcPr>
            <w:tcW w:w="541" w:type="pct"/>
          </w:tcPr>
          <w:p w:rsidR="00CB0DD7" w:rsidRPr="000A0A5F" w:rsidRDefault="00CB0DD7">
            <w:pPr>
              <w:pStyle w:val="TAL"/>
            </w:pPr>
            <w:r w:rsidRPr="000A0A5F">
              <w:t>0..1</w:t>
            </w:r>
          </w:p>
        </w:tc>
        <w:tc>
          <w:tcPr>
            <w:tcW w:w="500" w:type="pct"/>
          </w:tcPr>
          <w:p w:rsidR="00CB0DD7" w:rsidRPr="000A0A5F" w:rsidRDefault="00CB0DD7">
            <w:pPr>
              <w:pStyle w:val="TAL"/>
            </w:pPr>
            <w:r w:rsidRPr="000A0A5F">
              <w:t>307 Temporary Redirect</w:t>
            </w:r>
          </w:p>
        </w:tc>
        <w:tc>
          <w:tcPr>
            <w:tcW w:w="2334" w:type="pct"/>
          </w:tcPr>
          <w:p w:rsidR="00CB0DD7" w:rsidRPr="000A0A5F" w:rsidRDefault="00CB0DD7">
            <w:pPr>
              <w:pStyle w:val="TAL"/>
            </w:pPr>
            <w:r w:rsidRPr="000A0A5F">
              <w:t>Temporary redirection, during event notification. The response shall include a Location header field containing an alternative URI representing the end point of an alternative SCS/AS where the notification should be sent.</w:t>
            </w:r>
          </w:p>
          <w:p w:rsidR="00CB0DD7" w:rsidRPr="000A0A5F" w:rsidRDefault="00CB0DD7">
            <w:pPr>
              <w:pStyle w:val="TAL"/>
            </w:pPr>
            <w:r w:rsidRPr="000A0A5F">
              <w:t>Redirection handling is described in clause 5.2.10.</w:t>
            </w:r>
          </w:p>
        </w:tc>
      </w:tr>
      <w:tr w:rsidR="00CB0DD7" w:rsidRPr="000A0A5F" w:rsidTr="00FF0AF8">
        <w:tc>
          <w:tcPr>
            <w:tcW w:w="532" w:type="pct"/>
            <w:vMerge/>
            <w:shd w:val="clear" w:color="auto" w:fill="BFBFBF"/>
            <w:vAlign w:val="center"/>
          </w:tcPr>
          <w:p w:rsidR="00CB0DD7" w:rsidRPr="000A0A5F" w:rsidRDefault="00CB0DD7">
            <w:pPr>
              <w:pStyle w:val="TAL"/>
              <w:jc w:val="center"/>
            </w:pPr>
          </w:p>
        </w:tc>
        <w:tc>
          <w:tcPr>
            <w:tcW w:w="1093" w:type="pct"/>
            <w:shd w:val="clear" w:color="auto" w:fill="auto"/>
          </w:tcPr>
          <w:p w:rsidR="00CB0DD7" w:rsidRPr="000A0A5F" w:rsidRDefault="00CB0DD7">
            <w:pPr>
              <w:pStyle w:val="TAL"/>
            </w:pPr>
            <w:r w:rsidRPr="000A0A5F">
              <w:t>none</w:t>
            </w:r>
          </w:p>
        </w:tc>
        <w:tc>
          <w:tcPr>
            <w:tcW w:w="541" w:type="pct"/>
          </w:tcPr>
          <w:p w:rsidR="00CB0DD7" w:rsidRPr="000A0A5F" w:rsidRDefault="00CB0DD7">
            <w:pPr>
              <w:pStyle w:val="TAL"/>
            </w:pPr>
            <w:r w:rsidRPr="000A0A5F">
              <w:t>0..1</w:t>
            </w:r>
          </w:p>
        </w:tc>
        <w:tc>
          <w:tcPr>
            <w:tcW w:w="500" w:type="pct"/>
          </w:tcPr>
          <w:p w:rsidR="00CB0DD7" w:rsidRPr="000A0A5F" w:rsidRDefault="00CB0DD7">
            <w:pPr>
              <w:pStyle w:val="TAL"/>
            </w:pPr>
            <w:r w:rsidRPr="000A0A5F">
              <w:t>308 Permanent Redirect</w:t>
            </w:r>
          </w:p>
        </w:tc>
        <w:tc>
          <w:tcPr>
            <w:tcW w:w="2334" w:type="pct"/>
          </w:tcPr>
          <w:p w:rsidR="00CB0DD7" w:rsidRPr="000A0A5F" w:rsidRDefault="00CB0DD7">
            <w:pPr>
              <w:pStyle w:val="TAL"/>
            </w:pPr>
            <w:r w:rsidRPr="000A0A5F">
              <w:t>Permanent redirection, during event notification. The response shall include a Location header field containing an alternative URI representing the end point of an alternative SCS/AS where the notification should be sent.</w:t>
            </w:r>
          </w:p>
          <w:p w:rsidR="00CB0DD7" w:rsidRPr="000A0A5F" w:rsidRDefault="00CB0DD7">
            <w:pPr>
              <w:pStyle w:val="TAL"/>
            </w:pPr>
            <w:r w:rsidRPr="000A0A5F">
              <w:t>Redirection handling is described in clause 5.2.10.</w:t>
            </w:r>
          </w:p>
        </w:tc>
      </w:tr>
      <w:tr w:rsidR="00CB0DD7" w:rsidRPr="000A0A5F" w:rsidTr="00FF0AF8">
        <w:tc>
          <w:tcPr>
            <w:tcW w:w="5000" w:type="pct"/>
            <w:gridSpan w:val="5"/>
            <w:shd w:val="clear" w:color="auto" w:fill="auto"/>
            <w:vAlign w:val="center"/>
          </w:tcPr>
          <w:p w:rsidR="00CB0DD7" w:rsidRPr="000A0A5F" w:rsidRDefault="00CB0DD7">
            <w:pPr>
              <w:pStyle w:val="TAN"/>
            </w:pPr>
            <w:r w:rsidRPr="000A0A5F">
              <w:t>NOTE:</w:t>
            </w:r>
            <w:r w:rsidRPr="000A0A5F">
              <w:tab/>
              <w:t>The mandatory HTTP error status codes for the POST method listed in table 5.2.6-1 also apply.</w:t>
            </w:r>
          </w:p>
        </w:tc>
      </w:tr>
    </w:tbl>
    <w:p w:rsidR="00CB0DD7" w:rsidRPr="000A0A5F" w:rsidRDefault="00CB0DD7">
      <w:pPr>
        <w:rPr>
          <w:noProof/>
        </w:rPr>
      </w:pPr>
    </w:p>
    <w:p w:rsidR="00CB0DD7" w:rsidRPr="000A0A5F" w:rsidRDefault="002E466A">
      <w:pPr>
        <w:pStyle w:val="TH"/>
      </w:pPr>
      <w:r w:rsidRPr="000A0A5F">
        <w:t>Table </w:t>
      </w:r>
      <w:r w:rsidR="00CB0DD7" w:rsidRPr="000A0A5F">
        <w:t>5.15.3.2.3.1-3: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representing the end point of an alternative SCS/AS towards which the notification should be redirected.</w:t>
            </w:r>
          </w:p>
        </w:tc>
      </w:tr>
    </w:tbl>
    <w:p w:rsidR="00CB0DD7" w:rsidRPr="000A0A5F" w:rsidRDefault="00CB0DD7"/>
    <w:p w:rsidR="00CB0DD7" w:rsidRPr="000A0A5F" w:rsidRDefault="002E466A">
      <w:pPr>
        <w:pStyle w:val="TH"/>
      </w:pPr>
      <w:r w:rsidRPr="000A0A5F">
        <w:t>Table </w:t>
      </w:r>
      <w:r w:rsidR="00CB0DD7" w:rsidRPr="000A0A5F">
        <w:t>5.15.3.2.3.1-4: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representing the end point of an alternative SCS/AS towards which the notification should be redirected.</w:t>
            </w:r>
          </w:p>
        </w:tc>
      </w:tr>
    </w:tbl>
    <w:p w:rsidR="00CB0DD7" w:rsidRPr="000A0A5F" w:rsidRDefault="00CB0DD7"/>
    <w:p w:rsidR="00CB0DD7" w:rsidRPr="000A0A5F" w:rsidRDefault="00CB0DD7">
      <w:pPr>
        <w:pStyle w:val="Heading3"/>
      </w:pPr>
      <w:bookmarkStart w:id="9736" w:name="_Toc11247922"/>
      <w:bookmarkStart w:id="9737" w:name="_Toc27045066"/>
      <w:bookmarkStart w:id="9738" w:name="_Toc36034117"/>
      <w:bookmarkStart w:id="9739" w:name="_Toc45132264"/>
      <w:bookmarkStart w:id="9740" w:name="_Toc49776549"/>
      <w:bookmarkStart w:id="9741" w:name="_Toc51747469"/>
      <w:bookmarkStart w:id="9742" w:name="_Toc66361051"/>
      <w:bookmarkStart w:id="9743" w:name="_Toc68105556"/>
      <w:bookmarkStart w:id="9744" w:name="_Toc74756188"/>
      <w:bookmarkStart w:id="9745" w:name="_Toc105675065"/>
      <w:bookmarkStart w:id="9746" w:name="_Toc130503139"/>
      <w:bookmarkStart w:id="9747" w:name="_Toc153625931"/>
      <w:r w:rsidRPr="000A0A5F">
        <w:t>5.15.4</w:t>
      </w:r>
      <w:r w:rsidRPr="000A0A5F">
        <w:tab/>
        <w:t>Used Features</w:t>
      </w:r>
      <w:bookmarkEnd w:id="9736"/>
      <w:bookmarkEnd w:id="9737"/>
      <w:bookmarkEnd w:id="9738"/>
      <w:bookmarkEnd w:id="9739"/>
      <w:bookmarkEnd w:id="9740"/>
      <w:bookmarkEnd w:id="9741"/>
      <w:bookmarkEnd w:id="9742"/>
      <w:bookmarkEnd w:id="9743"/>
      <w:bookmarkEnd w:id="9744"/>
      <w:bookmarkEnd w:id="9745"/>
      <w:bookmarkEnd w:id="9746"/>
      <w:bookmarkEnd w:id="9747"/>
    </w:p>
    <w:p w:rsidR="00CB0DD7" w:rsidRPr="000A0A5F" w:rsidRDefault="00CB0DD7">
      <w:r w:rsidRPr="000A0A5F">
        <w:t>The table below defines the features applicable to the MsisdnLessMoSms API. Those features are negotiated as described in clause 5.2.7.</w:t>
      </w:r>
    </w:p>
    <w:p w:rsidR="00CB0DD7" w:rsidRPr="000A0A5F" w:rsidRDefault="002E466A">
      <w:pPr>
        <w:pStyle w:val="TH"/>
      </w:pPr>
      <w:r w:rsidRPr="000A0A5F">
        <w:t>Table </w:t>
      </w:r>
      <w:r w:rsidR="00CB0DD7" w:rsidRPr="000A0A5F">
        <w:t>5.15.4-1: Features used by MsisdnLessMoSms API</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342"/>
        <w:gridCol w:w="2342"/>
        <w:gridCol w:w="5173"/>
      </w:tblGrid>
      <w:tr w:rsidR="00CB0DD7" w:rsidRPr="000A0A5F" w:rsidTr="00FF0AF8">
        <w:trPr>
          <w:cantSplit/>
        </w:trPr>
        <w:tc>
          <w:tcPr>
            <w:tcW w:w="1188" w:type="pct"/>
            <w:shd w:val="clear" w:color="auto" w:fill="C0C0C0"/>
          </w:tcPr>
          <w:p w:rsidR="00CB0DD7" w:rsidRPr="000A0A5F" w:rsidRDefault="00CB0DD7">
            <w:pPr>
              <w:pStyle w:val="TAH"/>
              <w:rPr>
                <w:rFonts w:eastAsia="Times New Roman"/>
              </w:rPr>
            </w:pPr>
            <w:r w:rsidRPr="000A0A5F">
              <w:t>Feature Number</w:t>
            </w:r>
          </w:p>
        </w:tc>
        <w:tc>
          <w:tcPr>
            <w:tcW w:w="1188" w:type="pct"/>
            <w:shd w:val="clear" w:color="auto" w:fill="C0C0C0"/>
          </w:tcPr>
          <w:p w:rsidR="00CB0DD7" w:rsidRPr="000A0A5F" w:rsidRDefault="00CB0DD7">
            <w:pPr>
              <w:pStyle w:val="TAH"/>
              <w:rPr>
                <w:rFonts w:eastAsia="Times New Roman"/>
              </w:rPr>
            </w:pPr>
            <w:r w:rsidRPr="000A0A5F">
              <w:rPr>
                <w:rFonts w:eastAsia="Times New Roman"/>
              </w:rPr>
              <w:t>Feature</w:t>
            </w:r>
          </w:p>
        </w:tc>
        <w:tc>
          <w:tcPr>
            <w:tcW w:w="2624" w:type="pct"/>
            <w:shd w:val="clear" w:color="auto" w:fill="C0C0C0"/>
          </w:tcPr>
          <w:p w:rsidR="00CB0DD7" w:rsidRPr="000A0A5F" w:rsidRDefault="00CB0DD7">
            <w:pPr>
              <w:pStyle w:val="TAH"/>
              <w:rPr>
                <w:lang w:eastAsia="ko-KR"/>
              </w:rPr>
            </w:pPr>
            <w:r w:rsidRPr="000A0A5F">
              <w:rPr>
                <w:rFonts w:eastAsia="Times New Roman"/>
              </w:rPr>
              <w:t>Description</w:t>
            </w:r>
          </w:p>
        </w:tc>
      </w:tr>
      <w:tr w:rsidR="00CB0DD7" w:rsidRPr="000A0A5F" w:rsidTr="00FF0AF8">
        <w:trPr>
          <w:cantSplit/>
        </w:trPr>
        <w:tc>
          <w:tcPr>
            <w:tcW w:w="1188" w:type="pct"/>
          </w:tcPr>
          <w:p w:rsidR="00CB0DD7" w:rsidRPr="000A0A5F" w:rsidRDefault="00CB0DD7">
            <w:pPr>
              <w:pStyle w:val="TAL"/>
              <w:rPr>
                <w:rFonts w:hint="eastAsia"/>
                <w:lang w:eastAsia="zh-CN"/>
              </w:rPr>
            </w:pPr>
          </w:p>
        </w:tc>
        <w:tc>
          <w:tcPr>
            <w:tcW w:w="1188" w:type="pct"/>
          </w:tcPr>
          <w:p w:rsidR="00CB0DD7" w:rsidRPr="000A0A5F" w:rsidRDefault="00CB0DD7">
            <w:pPr>
              <w:pStyle w:val="TAL"/>
              <w:rPr>
                <w:rFonts w:hint="eastAsia"/>
                <w:lang w:eastAsia="zh-CN"/>
              </w:rPr>
            </w:pPr>
          </w:p>
        </w:tc>
        <w:tc>
          <w:tcPr>
            <w:tcW w:w="2624" w:type="pct"/>
          </w:tcPr>
          <w:p w:rsidR="00CB0DD7" w:rsidRPr="000A0A5F" w:rsidRDefault="00CB0DD7">
            <w:pPr>
              <w:pStyle w:val="TAL"/>
              <w:rPr>
                <w:rFonts w:cs="Arial"/>
                <w:szCs w:val="18"/>
                <w:lang w:eastAsia="zh-CN"/>
              </w:rPr>
            </w:pPr>
          </w:p>
        </w:tc>
      </w:tr>
      <w:tr w:rsidR="00CB0DD7" w:rsidRPr="000A0A5F" w:rsidTr="00FF0AF8">
        <w:tblPrEx>
          <w:tblLook w:val="04A0" w:firstRow="1" w:lastRow="0" w:firstColumn="1" w:lastColumn="0" w:noHBand="0" w:noVBand="1"/>
        </w:tblPrEx>
        <w:trPr>
          <w:cantSplit/>
        </w:trPr>
        <w:tc>
          <w:tcPr>
            <w:tcW w:w="5000" w:type="pct"/>
            <w:gridSpan w:val="3"/>
          </w:tcPr>
          <w:p w:rsidR="00CB0DD7" w:rsidRPr="000A0A5F" w:rsidRDefault="00CB0DD7">
            <w:pPr>
              <w:pStyle w:val="TAN"/>
              <w:rPr>
                <w:rFonts w:eastAsia="Times New Roman"/>
              </w:rPr>
            </w:pPr>
            <w:r w:rsidRPr="000A0A5F">
              <w:rPr>
                <w:rFonts w:eastAsia="Times New Roman"/>
              </w:rPr>
              <w:t>Feature:</w:t>
            </w:r>
            <w:r w:rsidRPr="000A0A5F">
              <w:rPr>
                <w:rFonts w:eastAsia="Times New Roman"/>
              </w:rPr>
              <w:tab/>
              <w:t>A short name that can be used to refer to the bit and to the feature, e.g. "</w:t>
            </w:r>
            <w:r w:rsidRPr="000A0A5F">
              <w:rPr>
                <w:rFonts w:hint="eastAsia"/>
                <w:lang w:eastAsia="zh-CN"/>
              </w:rPr>
              <w:t>Notification</w:t>
            </w:r>
            <w:r w:rsidRPr="000A0A5F">
              <w:rPr>
                <w:rFonts w:eastAsia="Times New Roman"/>
              </w:rPr>
              <w:t>".</w:t>
            </w:r>
          </w:p>
          <w:p w:rsidR="00CB0DD7" w:rsidRPr="000A0A5F" w:rsidRDefault="00CB0DD7">
            <w:pPr>
              <w:pStyle w:val="TAN"/>
              <w:rPr>
                <w:color w:val="000000"/>
                <w:lang w:eastAsia="zh-CN"/>
              </w:rPr>
            </w:pPr>
            <w:r w:rsidRPr="000A0A5F">
              <w:rPr>
                <w:rFonts w:eastAsia="Times New Roman"/>
              </w:rPr>
              <w:t>Description:</w:t>
            </w:r>
            <w:r w:rsidRPr="000A0A5F">
              <w:rPr>
                <w:rFonts w:eastAsia="Times New Roman"/>
              </w:rPr>
              <w:tab/>
              <w:t>A clear textual description of the feature.</w:t>
            </w:r>
          </w:p>
        </w:tc>
      </w:tr>
    </w:tbl>
    <w:p w:rsidR="00CB0DD7" w:rsidRPr="000A0A5F" w:rsidRDefault="00CB0DD7"/>
    <w:p w:rsidR="0046017D" w:rsidRPr="000A0A5F" w:rsidRDefault="0046017D" w:rsidP="0046017D">
      <w:pPr>
        <w:pStyle w:val="Heading3"/>
      </w:pPr>
      <w:bookmarkStart w:id="9748" w:name="_Toc130503140"/>
      <w:bookmarkStart w:id="9749" w:name="_Toc153625932"/>
      <w:r w:rsidRPr="000A0A5F">
        <w:t>5.15.5</w:t>
      </w:r>
      <w:r w:rsidRPr="000A0A5F">
        <w:tab/>
        <w:t>Error handling</w:t>
      </w:r>
      <w:bookmarkEnd w:id="9748"/>
      <w:bookmarkEnd w:id="9749"/>
    </w:p>
    <w:p w:rsidR="0046017D" w:rsidRPr="000A0A5F" w:rsidRDefault="0046017D" w:rsidP="0046017D">
      <w:pPr>
        <w:pStyle w:val="Heading4"/>
      </w:pPr>
      <w:bookmarkStart w:id="9750" w:name="_Toc130503141"/>
      <w:bookmarkStart w:id="9751" w:name="_Toc153625933"/>
      <w:r w:rsidRPr="000A0A5F">
        <w:t>5.15.5.1</w:t>
      </w:r>
      <w:r w:rsidRPr="000A0A5F">
        <w:tab/>
        <w:t>General</w:t>
      </w:r>
      <w:bookmarkEnd w:id="9750"/>
      <w:bookmarkEnd w:id="9751"/>
    </w:p>
    <w:p w:rsidR="0046017D" w:rsidRPr="000A0A5F" w:rsidRDefault="0046017D" w:rsidP="0046017D">
      <w:r w:rsidRPr="000A0A5F">
        <w:t>HTTP error handling shall be supported as specified in clause 5.2.6.</w:t>
      </w:r>
    </w:p>
    <w:p w:rsidR="0046017D" w:rsidRPr="000A0A5F" w:rsidRDefault="0046017D" w:rsidP="0046017D">
      <w:r w:rsidRPr="000A0A5F">
        <w:t>In addition, the requirements in the following clauses shall apply.</w:t>
      </w:r>
    </w:p>
    <w:p w:rsidR="0046017D" w:rsidRPr="000A0A5F" w:rsidRDefault="0046017D" w:rsidP="0046017D">
      <w:pPr>
        <w:pStyle w:val="Heading4"/>
      </w:pPr>
      <w:bookmarkStart w:id="9752" w:name="_Toc130503142"/>
      <w:bookmarkStart w:id="9753" w:name="_Toc153625934"/>
      <w:r w:rsidRPr="000A0A5F">
        <w:t>5.15.5.2</w:t>
      </w:r>
      <w:r w:rsidRPr="000A0A5F">
        <w:tab/>
        <w:t>Protocol Errors</w:t>
      </w:r>
      <w:bookmarkEnd w:id="9752"/>
      <w:bookmarkEnd w:id="9753"/>
    </w:p>
    <w:p w:rsidR="0046017D" w:rsidRPr="000A0A5F" w:rsidRDefault="0046017D" w:rsidP="0046017D">
      <w:r w:rsidRPr="000A0A5F">
        <w:rPr>
          <w:lang w:eastAsia="zh-CN"/>
        </w:rPr>
        <w:t xml:space="preserve">In this Release </w:t>
      </w:r>
      <w:r w:rsidRPr="000A0A5F">
        <w:t>of the specification, there are no additional protocol errors applicable for the MsisdnLessMoSms API.</w:t>
      </w:r>
    </w:p>
    <w:p w:rsidR="0046017D" w:rsidRPr="000A0A5F" w:rsidRDefault="0046017D" w:rsidP="0046017D">
      <w:pPr>
        <w:pStyle w:val="Heading4"/>
      </w:pPr>
      <w:bookmarkStart w:id="9754" w:name="_Toc130503143"/>
      <w:bookmarkStart w:id="9755" w:name="_Toc153625935"/>
      <w:r w:rsidRPr="000A0A5F">
        <w:t>5.15.5.3</w:t>
      </w:r>
      <w:r w:rsidRPr="000A0A5F">
        <w:tab/>
        <w:t>Application Errors</w:t>
      </w:r>
      <w:bookmarkEnd w:id="9754"/>
      <w:bookmarkEnd w:id="9755"/>
    </w:p>
    <w:p w:rsidR="0046017D" w:rsidRPr="000A0A5F" w:rsidRDefault="0046017D" w:rsidP="0046017D">
      <w:r w:rsidRPr="000A0A5F">
        <w:t>The application errors defined for MsisdnLessMoSms API are listed in table 5.15.5.3-1.</w:t>
      </w:r>
    </w:p>
    <w:p w:rsidR="0046017D" w:rsidRPr="000A0A5F" w:rsidRDefault="0046017D" w:rsidP="0046017D">
      <w:pPr>
        <w:pStyle w:val="TH"/>
      </w:pPr>
      <w:r w:rsidRPr="000A0A5F">
        <w:t>Table 5.15.5.3-1: Application errors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686"/>
        <w:gridCol w:w="1275"/>
        <w:gridCol w:w="3289"/>
        <w:gridCol w:w="2373"/>
      </w:tblGrid>
      <w:tr w:rsidR="0046017D" w:rsidRPr="000A0A5F" w:rsidTr="004C13CC">
        <w:trPr>
          <w:cantSplit/>
          <w:jc w:val="center"/>
        </w:trPr>
        <w:tc>
          <w:tcPr>
            <w:tcW w:w="2686" w:type="dxa"/>
            <w:shd w:val="clear" w:color="auto" w:fill="C0C0C0"/>
            <w:hideMark/>
          </w:tcPr>
          <w:p w:rsidR="0046017D" w:rsidRPr="000A0A5F" w:rsidRDefault="0046017D" w:rsidP="004C13CC">
            <w:pPr>
              <w:pStyle w:val="TAH"/>
            </w:pPr>
            <w:r w:rsidRPr="000A0A5F">
              <w:t>Application Error</w:t>
            </w:r>
          </w:p>
        </w:tc>
        <w:tc>
          <w:tcPr>
            <w:tcW w:w="1275" w:type="dxa"/>
            <w:shd w:val="clear" w:color="auto" w:fill="C0C0C0"/>
            <w:hideMark/>
          </w:tcPr>
          <w:p w:rsidR="0046017D" w:rsidRPr="000A0A5F" w:rsidRDefault="0046017D" w:rsidP="004C13CC">
            <w:pPr>
              <w:pStyle w:val="TAH"/>
            </w:pPr>
            <w:r w:rsidRPr="000A0A5F">
              <w:t>HTTP status code</w:t>
            </w:r>
          </w:p>
        </w:tc>
        <w:tc>
          <w:tcPr>
            <w:tcW w:w="3289" w:type="dxa"/>
            <w:shd w:val="clear" w:color="auto" w:fill="C0C0C0"/>
            <w:hideMark/>
          </w:tcPr>
          <w:p w:rsidR="0046017D" w:rsidRPr="000A0A5F" w:rsidRDefault="0046017D" w:rsidP="004C13CC">
            <w:pPr>
              <w:pStyle w:val="TAH"/>
            </w:pPr>
            <w:r w:rsidRPr="000A0A5F">
              <w:t>Description</w:t>
            </w:r>
          </w:p>
        </w:tc>
        <w:tc>
          <w:tcPr>
            <w:tcW w:w="2373" w:type="dxa"/>
            <w:shd w:val="clear" w:color="auto" w:fill="C0C0C0"/>
          </w:tcPr>
          <w:p w:rsidR="0046017D" w:rsidRPr="000A0A5F" w:rsidRDefault="0046017D" w:rsidP="004C13CC">
            <w:pPr>
              <w:pStyle w:val="TAH"/>
            </w:pPr>
            <w:r w:rsidRPr="000A0A5F">
              <w:t>Applicability</w:t>
            </w:r>
          </w:p>
        </w:tc>
      </w:tr>
      <w:tr w:rsidR="0046017D" w:rsidRPr="000A0A5F" w:rsidTr="004C13CC">
        <w:trPr>
          <w:cantSplit/>
          <w:jc w:val="center"/>
        </w:trPr>
        <w:tc>
          <w:tcPr>
            <w:tcW w:w="2686" w:type="dxa"/>
          </w:tcPr>
          <w:p w:rsidR="0046017D" w:rsidRPr="000A0A5F" w:rsidRDefault="0046017D" w:rsidP="004C13CC">
            <w:pPr>
              <w:pStyle w:val="TAL"/>
              <w:rPr>
                <w:lang w:eastAsia="zh-CN"/>
              </w:rPr>
            </w:pPr>
          </w:p>
        </w:tc>
        <w:tc>
          <w:tcPr>
            <w:tcW w:w="1275" w:type="dxa"/>
          </w:tcPr>
          <w:p w:rsidR="0046017D" w:rsidRPr="000A0A5F" w:rsidRDefault="0046017D" w:rsidP="004C13CC">
            <w:pPr>
              <w:pStyle w:val="TAL"/>
              <w:rPr>
                <w:lang w:eastAsia="zh-CN"/>
              </w:rPr>
            </w:pPr>
          </w:p>
        </w:tc>
        <w:tc>
          <w:tcPr>
            <w:tcW w:w="3289" w:type="dxa"/>
          </w:tcPr>
          <w:p w:rsidR="0046017D" w:rsidRPr="000A0A5F" w:rsidRDefault="0046017D" w:rsidP="004C13CC">
            <w:pPr>
              <w:pStyle w:val="TAL"/>
            </w:pPr>
          </w:p>
        </w:tc>
        <w:tc>
          <w:tcPr>
            <w:tcW w:w="2373" w:type="dxa"/>
          </w:tcPr>
          <w:p w:rsidR="0046017D" w:rsidRPr="000A0A5F" w:rsidRDefault="0046017D" w:rsidP="004C13CC">
            <w:pPr>
              <w:pStyle w:val="TAL"/>
            </w:pPr>
          </w:p>
        </w:tc>
      </w:tr>
    </w:tbl>
    <w:p w:rsidR="0046017D" w:rsidRPr="000A0A5F" w:rsidRDefault="0046017D"/>
    <w:p w:rsidR="00CB0DD7" w:rsidRPr="000A0A5F" w:rsidRDefault="00CB0DD7">
      <w:pPr>
        <w:pStyle w:val="Heading2"/>
      </w:pPr>
      <w:bookmarkStart w:id="9756" w:name="_Toc9325601"/>
      <w:bookmarkStart w:id="9757" w:name="_Toc27045067"/>
      <w:bookmarkStart w:id="9758" w:name="_Toc36034118"/>
      <w:bookmarkStart w:id="9759" w:name="_Toc45132265"/>
      <w:bookmarkStart w:id="9760" w:name="_Toc49776550"/>
      <w:bookmarkStart w:id="9761" w:name="_Toc51747470"/>
      <w:bookmarkStart w:id="9762" w:name="_Toc66361052"/>
      <w:bookmarkStart w:id="9763" w:name="_Toc68105557"/>
      <w:bookmarkStart w:id="9764" w:name="_Toc74756189"/>
      <w:bookmarkStart w:id="9765" w:name="_Toc105675066"/>
      <w:bookmarkStart w:id="9766" w:name="_Toc130503144"/>
      <w:bookmarkStart w:id="9767" w:name="_Toc153625936"/>
      <w:r w:rsidRPr="000A0A5F">
        <w:t>5.16</w:t>
      </w:r>
      <w:r w:rsidRPr="000A0A5F">
        <w:tab/>
        <w:t>RacsParameterProvisioning API</w:t>
      </w:r>
      <w:bookmarkEnd w:id="9756"/>
      <w:bookmarkEnd w:id="9757"/>
      <w:bookmarkEnd w:id="9758"/>
      <w:bookmarkEnd w:id="9759"/>
      <w:bookmarkEnd w:id="9760"/>
      <w:bookmarkEnd w:id="9761"/>
      <w:bookmarkEnd w:id="9762"/>
      <w:bookmarkEnd w:id="9763"/>
      <w:bookmarkEnd w:id="9764"/>
      <w:bookmarkEnd w:id="9765"/>
      <w:bookmarkEnd w:id="9766"/>
      <w:bookmarkEnd w:id="9767"/>
    </w:p>
    <w:p w:rsidR="00CB0DD7" w:rsidRPr="000A0A5F" w:rsidRDefault="00CB0DD7">
      <w:pPr>
        <w:pStyle w:val="Heading3"/>
      </w:pPr>
      <w:bookmarkStart w:id="9768" w:name="_Toc9325602"/>
      <w:bookmarkStart w:id="9769" w:name="_Toc27045068"/>
      <w:bookmarkStart w:id="9770" w:name="_Toc36034119"/>
      <w:bookmarkStart w:id="9771" w:name="_Toc45132266"/>
      <w:bookmarkStart w:id="9772" w:name="_Toc49776551"/>
      <w:bookmarkStart w:id="9773" w:name="_Toc51747471"/>
      <w:bookmarkStart w:id="9774" w:name="_Toc66361053"/>
      <w:bookmarkStart w:id="9775" w:name="_Toc68105558"/>
      <w:bookmarkStart w:id="9776" w:name="_Toc74756190"/>
      <w:bookmarkStart w:id="9777" w:name="_Toc105675067"/>
      <w:bookmarkStart w:id="9778" w:name="_Toc130503145"/>
      <w:bookmarkStart w:id="9779" w:name="_Toc153625937"/>
      <w:r w:rsidRPr="000A0A5F">
        <w:t>5.16.1</w:t>
      </w:r>
      <w:r w:rsidRPr="000A0A5F">
        <w:tab/>
        <w:t>Overview</w:t>
      </w:r>
      <w:bookmarkEnd w:id="9768"/>
      <w:bookmarkEnd w:id="9769"/>
      <w:bookmarkEnd w:id="9770"/>
      <w:bookmarkEnd w:id="9771"/>
      <w:bookmarkEnd w:id="9772"/>
      <w:bookmarkEnd w:id="9773"/>
      <w:bookmarkEnd w:id="9774"/>
      <w:bookmarkEnd w:id="9775"/>
      <w:bookmarkEnd w:id="9776"/>
      <w:bookmarkEnd w:id="9777"/>
      <w:bookmarkEnd w:id="9778"/>
      <w:bookmarkEnd w:id="9779"/>
    </w:p>
    <w:p w:rsidR="00CB0DD7" w:rsidRPr="000A0A5F" w:rsidRDefault="00CB0DD7">
      <w:r w:rsidRPr="000A0A5F">
        <w:rPr>
          <w:noProof/>
          <w:lang w:eastAsia="zh-CN"/>
        </w:rPr>
        <w:t>The RacsParameterProvisioning API is a RESTful API that allows the SCS/AS to provision manufacturer specific UE radio capability parameters</w:t>
      </w:r>
      <w:r w:rsidRPr="000A0A5F">
        <w:t>. The Racs</w:t>
      </w:r>
      <w:r w:rsidRPr="000A0A5F">
        <w:rPr>
          <w:noProof/>
          <w:lang w:eastAsia="zh-CN"/>
        </w:rPr>
        <w:t xml:space="preserve">ParameterProvisioning </w:t>
      </w:r>
      <w:r w:rsidRPr="000A0A5F">
        <w:t>API defines a set of data models, resources and the related procedures for the creation and management of the parameters. The corresponding JSON schema for the representation of the resources and operations defined by the Racs</w:t>
      </w:r>
      <w:r w:rsidRPr="000A0A5F">
        <w:rPr>
          <w:noProof/>
          <w:lang w:eastAsia="zh-CN"/>
        </w:rPr>
        <w:t xml:space="preserve">ParameterProvisioning </w:t>
      </w:r>
      <w:r w:rsidRPr="000A0A5F">
        <w:t xml:space="preserve">API is provided in its complete form in Annex A.16. </w:t>
      </w:r>
    </w:p>
    <w:p w:rsidR="00CB0DD7" w:rsidRPr="000A0A5F" w:rsidRDefault="00CB0DD7">
      <w:pPr>
        <w:pStyle w:val="Heading3"/>
      </w:pPr>
      <w:bookmarkStart w:id="9780" w:name="_Toc9325603"/>
      <w:bookmarkStart w:id="9781" w:name="_Toc27045069"/>
      <w:bookmarkStart w:id="9782" w:name="_Toc36034120"/>
      <w:bookmarkStart w:id="9783" w:name="_Toc45132267"/>
      <w:bookmarkStart w:id="9784" w:name="_Toc49776552"/>
      <w:bookmarkStart w:id="9785" w:name="_Toc51747472"/>
      <w:bookmarkStart w:id="9786" w:name="_Toc66361054"/>
      <w:bookmarkStart w:id="9787" w:name="_Toc68105559"/>
      <w:bookmarkStart w:id="9788" w:name="_Toc74756191"/>
      <w:bookmarkStart w:id="9789" w:name="_Toc105675068"/>
      <w:bookmarkStart w:id="9790" w:name="_Toc130503146"/>
      <w:bookmarkStart w:id="9791" w:name="_Toc153625938"/>
      <w:r w:rsidRPr="000A0A5F">
        <w:t>5.16.2</w:t>
      </w:r>
      <w:r w:rsidRPr="000A0A5F">
        <w:tab/>
        <w:t>Data model</w:t>
      </w:r>
      <w:bookmarkEnd w:id="9780"/>
      <w:bookmarkEnd w:id="9781"/>
      <w:bookmarkEnd w:id="9782"/>
      <w:bookmarkEnd w:id="9783"/>
      <w:bookmarkEnd w:id="9784"/>
      <w:bookmarkEnd w:id="9785"/>
      <w:bookmarkEnd w:id="9786"/>
      <w:bookmarkEnd w:id="9787"/>
      <w:bookmarkEnd w:id="9788"/>
      <w:bookmarkEnd w:id="9789"/>
      <w:bookmarkEnd w:id="9790"/>
      <w:bookmarkEnd w:id="9791"/>
    </w:p>
    <w:p w:rsidR="00CB0DD7" w:rsidRPr="000A0A5F" w:rsidRDefault="00CB0DD7">
      <w:pPr>
        <w:pStyle w:val="Heading4"/>
      </w:pPr>
      <w:bookmarkStart w:id="9792" w:name="_Toc27045070"/>
      <w:bookmarkStart w:id="9793" w:name="_Toc36034121"/>
      <w:bookmarkStart w:id="9794" w:name="_Toc45132268"/>
      <w:bookmarkStart w:id="9795" w:name="_Toc49776553"/>
      <w:bookmarkStart w:id="9796" w:name="_Toc51747473"/>
      <w:bookmarkStart w:id="9797" w:name="_Toc66361055"/>
      <w:bookmarkStart w:id="9798" w:name="_Toc68105560"/>
      <w:bookmarkStart w:id="9799" w:name="_Toc74756192"/>
      <w:bookmarkStart w:id="9800" w:name="_Toc105675069"/>
      <w:bookmarkStart w:id="9801" w:name="_Toc130503147"/>
      <w:bookmarkStart w:id="9802" w:name="_Toc153625939"/>
      <w:r w:rsidRPr="000A0A5F">
        <w:t>5.16.2.1</w:t>
      </w:r>
      <w:r w:rsidRPr="000A0A5F">
        <w:tab/>
        <w:t>Resource data types</w:t>
      </w:r>
      <w:bookmarkEnd w:id="9792"/>
      <w:bookmarkEnd w:id="9793"/>
      <w:bookmarkEnd w:id="9794"/>
      <w:bookmarkEnd w:id="9795"/>
      <w:bookmarkEnd w:id="9796"/>
      <w:bookmarkEnd w:id="9797"/>
      <w:bookmarkEnd w:id="9798"/>
      <w:bookmarkEnd w:id="9799"/>
      <w:bookmarkEnd w:id="9800"/>
      <w:bookmarkEnd w:id="9801"/>
      <w:bookmarkEnd w:id="9802"/>
    </w:p>
    <w:p w:rsidR="00CB0DD7" w:rsidRPr="000A0A5F" w:rsidRDefault="00CB0DD7">
      <w:pPr>
        <w:pStyle w:val="Heading5"/>
      </w:pPr>
      <w:bookmarkStart w:id="9803" w:name="_Toc27045071"/>
      <w:bookmarkStart w:id="9804" w:name="_Toc36034122"/>
      <w:bookmarkStart w:id="9805" w:name="_Toc45132269"/>
      <w:bookmarkStart w:id="9806" w:name="_Toc49776554"/>
      <w:bookmarkStart w:id="9807" w:name="_Toc51747474"/>
      <w:bookmarkStart w:id="9808" w:name="_Toc66361056"/>
      <w:bookmarkStart w:id="9809" w:name="_Toc68105561"/>
      <w:bookmarkStart w:id="9810" w:name="_Toc74756193"/>
      <w:bookmarkStart w:id="9811" w:name="_Toc105675070"/>
      <w:bookmarkStart w:id="9812" w:name="_Toc130503148"/>
      <w:bookmarkStart w:id="9813" w:name="_Toc153625940"/>
      <w:r w:rsidRPr="000A0A5F">
        <w:t>5.16.2.1.1</w:t>
      </w:r>
      <w:r w:rsidRPr="000A0A5F">
        <w:tab/>
        <w:t>Introduction</w:t>
      </w:r>
      <w:bookmarkEnd w:id="9803"/>
      <w:bookmarkEnd w:id="9804"/>
      <w:bookmarkEnd w:id="9805"/>
      <w:bookmarkEnd w:id="9806"/>
      <w:bookmarkEnd w:id="9807"/>
      <w:bookmarkEnd w:id="9808"/>
      <w:bookmarkEnd w:id="9809"/>
      <w:bookmarkEnd w:id="9810"/>
      <w:bookmarkEnd w:id="9811"/>
      <w:bookmarkEnd w:id="9812"/>
      <w:bookmarkEnd w:id="9813"/>
    </w:p>
    <w:p w:rsidR="00CB0DD7" w:rsidRPr="000A0A5F" w:rsidRDefault="00CB0DD7">
      <w:r w:rsidRPr="000A0A5F">
        <w:t>This clause defines data structures to be used in resource representations.</w:t>
      </w:r>
    </w:p>
    <w:p w:rsidR="00CB0DD7" w:rsidRPr="000A0A5F" w:rsidRDefault="00CB0DD7">
      <w:r w:rsidRPr="000A0A5F">
        <w:t>Table 5.16.2.1.1-1 specifies data types re-used by the Racs</w:t>
      </w:r>
      <w:r w:rsidRPr="000A0A5F">
        <w:rPr>
          <w:noProof/>
          <w:lang w:eastAsia="zh-CN"/>
        </w:rPr>
        <w:t xml:space="preserve">ParameterProvisioning </w:t>
      </w:r>
      <w:r w:rsidRPr="000A0A5F">
        <w:t>API from other specifications, including a reference to their respective specifications and when needed, a short description of their use within the Racs</w:t>
      </w:r>
      <w:r w:rsidRPr="000A0A5F">
        <w:rPr>
          <w:noProof/>
          <w:lang w:eastAsia="zh-CN"/>
        </w:rPr>
        <w:t xml:space="preserve">ParameterProvisioning </w:t>
      </w:r>
      <w:r w:rsidRPr="000A0A5F">
        <w:t xml:space="preserve">API. </w:t>
      </w:r>
    </w:p>
    <w:p w:rsidR="00CB0DD7" w:rsidRPr="000A0A5F" w:rsidRDefault="00CB0DD7">
      <w:pPr>
        <w:pStyle w:val="TH"/>
      </w:pPr>
      <w:r w:rsidRPr="000A0A5F">
        <w:t>Table 5.16.2.1.1-1: RacsParameterProvisioning API re-used Data Types</w:t>
      </w:r>
    </w:p>
    <w:tbl>
      <w:tblPr>
        <w:tblW w:w="917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018"/>
        <w:gridCol w:w="1848"/>
        <w:gridCol w:w="5308"/>
      </w:tblGrid>
      <w:tr w:rsidR="00CB0DD7" w:rsidRPr="000A0A5F" w:rsidTr="00FF0AF8">
        <w:trPr>
          <w:jc w:val="center"/>
        </w:trPr>
        <w:tc>
          <w:tcPr>
            <w:tcW w:w="2018" w:type="dxa"/>
            <w:shd w:val="clear" w:color="auto" w:fill="C0C0C0"/>
            <w:hideMark/>
          </w:tcPr>
          <w:p w:rsidR="00CB0DD7" w:rsidRPr="000A0A5F" w:rsidRDefault="00CB0DD7">
            <w:pPr>
              <w:pStyle w:val="TAH"/>
            </w:pPr>
            <w:r w:rsidRPr="000A0A5F">
              <w:t>Data type</w:t>
            </w:r>
          </w:p>
        </w:tc>
        <w:tc>
          <w:tcPr>
            <w:tcW w:w="1848" w:type="dxa"/>
            <w:shd w:val="clear" w:color="auto" w:fill="C0C0C0"/>
            <w:hideMark/>
          </w:tcPr>
          <w:p w:rsidR="00CB0DD7" w:rsidRPr="000A0A5F" w:rsidRDefault="00CB0DD7">
            <w:pPr>
              <w:pStyle w:val="TAH"/>
            </w:pPr>
            <w:r w:rsidRPr="000A0A5F">
              <w:t>Reference</w:t>
            </w:r>
          </w:p>
        </w:tc>
        <w:tc>
          <w:tcPr>
            <w:tcW w:w="5308" w:type="dxa"/>
            <w:shd w:val="clear" w:color="auto" w:fill="C0C0C0"/>
            <w:hideMark/>
          </w:tcPr>
          <w:p w:rsidR="00CB0DD7" w:rsidRPr="000A0A5F" w:rsidRDefault="00CB0DD7">
            <w:pPr>
              <w:pStyle w:val="TAH"/>
            </w:pPr>
            <w:r w:rsidRPr="000A0A5F">
              <w:t>Comments</w:t>
            </w:r>
          </w:p>
        </w:tc>
      </w:tr>
      <w:tr w:rsidR="00CB0DD7" w:rsidRPr="000A0A5F" w:rsidTr="00FF0AF8">
        <w:trPr>
          <w:jc w:val="center"/>
        </w:trPr>
        <w:tc>
          <w:tcPr>
            <w:tcW w:w="2018" w:type="dxa"/>
            <w:hideMark/>
          </w:tcPr>
          <w:p w:rsidR="00CB0DD7" w:rsidRPr="000A0A5F" w:rsidRDefault="00CB0DD7">
            <w:pPr>
              <w:pStyle w:val="TAL"/>
            </w:pPr>
            <w:r w:rsidRPr="000A0A5F">
              <w:t>SupportedFeatures</w:t>
            </w:r>
          </w:p>
        </w:tc>
        <w:tc>
          <w:tcPr>
            <w:tcW w:w="1848" w:type="dxa"/>
            <w:hideMark/>
          </w:tcPr>
          <w:p w:rsidR="00CB0DD7" w:rsidRPr="000A0A5F" w:rsidRDefault="00CB0DD7">
            <w:pPr>
              <w:pStyle w:val="TAL"/>
              <w:rPr>
                <w:lang w:eastAsia="zh-CN"/>
              </w:rPr>
            </w:pPr>
            <w:r w:rsidRPr="000A0A5F">
              <w:rPr>
                <w:lang w:eastAsia="zh-CN"/>
              </w:rPr>
              <w:t>3GPP TS 29.571 [45]</w:t>
            </w:r>
          </w:p>
        </w:tc>
        <w:tc>
          <w:tcPr>
            <w:tcW w:w="5308" w:type="dxa"/>
            <w:hideMark/>
          </w:tcPr>
          <w:p w:rsidR="00CB0DD7" w:rsidRPr="000A0A5F" w:rsidRDefault="00CB0DD7">
            <w:pPr>
              <w:pStyle w:val="TAL"/>
              <w:rPr>
                <w:lang w:eastAsia="zh-CN"/>
              </w:rPr>
            </w:pPr>
            <w:r w:rsidRPr="000A0A5F">
              <w:rPr>
                <w:lang w:eastAsia="zh-CN"/>
              </w:rPr>
              <w:t>Used to negotiate the applicability of the optional features defined in table 5.16.4-1.</w:t>
            </w:r>
          </w:p>
        </w:tc>
      </w:tr>
      <w:tr w:rsidR="00CB0DD7" w:rsidRPr="000A0A5F" w:rsidTr="00FF0AF8">
        <w:trPr>
          <w:jc w:val="center"/>
        </w:trPr>
        <w:tc>
          <w:tcPr>
            <w:tcW w:w="2018" w:type="dxa"/>
          </w:tcPr>
          <w:p w:rsidR="00CB0DD7" w:rsidRPr="000A0A5F" w:rsidRDefault="00CB0DD7">
            <w:pPr>
              <w:pStyle w:val="TAL"/>
            </w:pPr>
            <w:r w:rsidRPr="000A0A5F">
              <w:t>TypeAllocationCode</w:t>
            </w:r>
          </w:p>
        </w:tc>
        <w:tc>
          <w:tcPr>
            <w:tcW w:w="1848" w:type="dxa"/>
          </w:tcPr>
          <w:p w:rsidR="00CB0DD7" w:rsidRPr="000A0A5F" w:rsidRDefault="00CB0DD7">
            <w:pPr>
              <w:pStyle w:val="TAL"/>
              <w:rPr>
                <w:lang w:eastAsia="zh-CN"/>
              </w:rPr>
            </w:pPr>
            <w:r w:rsidRPr="000A0A5F">
              <w:rPr>
                <w:lang w:eastAsia="zh-CN"/>
              </w:rPr>
              <w:t>3GPP TS 29.571 [45]</w:t>
            </w:r>
          </w:p>
        </w:tc>
        <w:tc>
          <w:tcPr>
            <w:tcW w:w="5308" w:type="dxa"/>
          </w:tcPr>
          <w:p w:rsidR="00CB0DD7" w:rsidRPr="000A0A5F" w:rsidRDefault="00CB0DD7">
            <w:pPr>
              <w:pStyle w:val="TAL"/>
              <w:rPr>
                <w:lang w:eastAsia="zh-CN"/>
              </w:rPr>
            </w:pPr>
            <w:r w:rsidRPr="000A0A5F">
              <w:rPr>
                <w:lang w:eastAsia="zh-CN"/>
              </w:rPr>
              <w:t xml:space="preserve">Used to signal </w:t>
            </w:r>
            <w:r w:rsidRPr="000A0A5F">
              <w:rPr>
                <w:rFonts w:cs="Arial"/>
                <w:szCs w:val="18"/>
                <w:lang w:eastAsia="zh-CN"/>
              </w:rPr>
              <w:t>UE model's IMEI-TAC values in table 5.16.2.1.4-1.</w:t>
            </w:r>
          </w:p>
        </w:tc>
      </w:tr>
    </w:tbl>
    <w:p w:rsidR="00CB0DD7" w:rsidRPr="000A0A5F" w:rsidRDefault="00CB0DD7">
      <w:pPr>
        <w:rPr>
          <w:lang w:val="en-US"/>
        </w:rPr>
      </w:pPr>
    </w:p>
    <w:p w:rsidR="007649C6" w:rsidRPr="000A0A5F" w:rsidRDefault="007649C6" w:rsidP="007649C6">
      <w:bookmarkStart w:id="9814" w:name="_Toc27045072"/>
      <w:bookmarkStart w:id="9815" w:name="_Toc36034123"/>
      <w:bookmarkStart w:id="9816" w:name="_Toc45132270"/>
      <w:bookmarkStart w:id="9817" w:name="_Toc49776555"/>
      <w:bookmarkStart w:id="9818" w:name="_Toc51747475"/>
      <w:bookmarkStart w:id="9819" w:name="_Toc66361057"/>
      <w:bookmarkStart w:id="9820" w:name="_Toc68105562"/>
      <w:bookmarkStart w:id="9821" w:name="_Toc74756194"/>
      <w:r w:rsidRPr="000A0A5F">
        <w:t>Table 5.16.2.1.1-2 specifies the data types defined for the RacsParameterProvisioning API.</w:t>
      </w:r>
    </w:p>
    <w:p w:rsidR="007649C6" w:rsidRPr="000A0A5F" w:rsidRDefault="007649C6" w:rsidP="007649C6">
      <w:pPr>
        <w:pStyle w:val="TH"/>
      </w:pPr>
      <w:r w:rsidRPr="000A0A5F">
        <w:t>Table 5.16.2.1.1-2: RacsParameterProvisioning API specific Data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888"/>
        <w:gridCol w:w="1076"/>
        <w:gridCol w:w="4253"/>
        <w:gridCol w:w="1412"/>
      </w:tblGrid>
      <w:tr w:rsidR="007649C6" w:rsidRPr="000A0A5F" w:rsidTr="00FF0AF8">
        <w:trPr>
          <w:jc w:val="center"/>
        </w:trPr>
        <w:tc>
          <w:tcPr>
            <w:tcW w:w="2888" w:type="dxa"/>
            <w:shd w:val="clear" w:color="auto" w:fill="C0C0C0"/>
            <w:vAlign w:val="center"/>
            <w:hideMark/>
          </w:tcPr>
          <w:p w:rsidR="007649C6" w:rsidRPr="000A0A5F" w:rsidRDefault="007649C6" w:rsidP="00D513D3">
            <w:pPr>
              <w:pStyle w:val="TAH"/>
            </w:pPr>
            <w:r w:rsidRPr="000A0A5F">
              <w:t>Data type</w:t>
            </w:r>
          </w:p>
        </w:tc>
        <w:tc>
          <w:tcPr>
            <w:tcW w:w="1076" w:type="dxa"/>
            <w:shd w:val="clear" w:color="auto" w:fill="C0C0C0"/>
            <w:vAlign w:val="center"/>
          </w:tcPr>
          <w:p w:rsidR="007649C6" w:rsidRPr="000A0A5F" w:rsidRDefault="007649C6" w:rsidP="00D513D3">
            <w:pPr>
              <w:pStyle w:val="TAH"/>
            </w:pPr>
            <w:r w:rsidRPr="000A0A5F">
              <w:t>Clause defined</w:t>
            </w:r>
          </w:p>
        </w:tc>
        <w:tc>
          <w:tcPr>
            <w:tcW w:w="4253" w:type="dxa"/>
            <w:shd w:val="clear" w:color="auto" w:fill="C0C0C0"/>
            <w:vAlign w:val="center"/>
            <w:hideMark/>
          </w:tcPr>
          <w:p w:rsidR="007649C6" w:rsidRPr="000A0A5F" w:rsidRDefault="007649C6" w:rsidP="00D513D3">
            <w:pPr>
              <w:pStyle w:val="TAH"/>
            </w:pPr>
            <w:r w:rsidRPr="000A0A5F">
              <w:t>Description</w:t>
            </w:r>
          </w:p>
        </w:tc>
        <w:tc>
          <w:tcPr>
            <w:tcW w:w="1412" w:type="dxa"/>
            <w:shd w:val="clear" w:color="auto" w:fill="C0C0C0"/>
            <w:vAlign w:val="center"/>
          </w:tcPr>
          <w:p w:rsidR="007649C6" w:rsidRPr="000A0A5F" w:rsidRDefault="007649C6" w:rsidP="00D513D3">
            <w:pPr>
              <w:pStyle w:val="TAH"/>
            </w:pPr>
            <w:r w:rsidRPr="000A0A5F">
              <w:t>Applicability</w:t>
            </w:r>
          </w:p>
        </w:tc>
      </w:tr>
      <w:tr w:rsidR="007649C6" w:rsidRPr="000A0A5F" w:rsidTr="00FF0AF8">
        <w:trPr>
          <w:jc w:val="center"/>
        </w:trPr>
        <w:tc>
          <w:tcPr>
            <w:tcW w:w="2888" w:type="dxa"/>
            <w:vAlign w:val="center"/>
          </w:tcPr>
          <w:p w:rsidR="007649C6" w:rsidRPr="000A0A5F" w:rsidRDefault="007649C6" w:rsidP="00D513D3">
            <w:pPr>
              <w:pStyle w:val="TAL"/>
            </w:pPr>
            <w:r w:rsidRPr="000A0A5F">
              <w:t>RacsConfiguration</w:t>
            </w:r>
          </w:p>
        </w:tc>
        <w:tc>
          <w:tcPr>
            <w:tcW w:w="1076" w:type="dxa"/>
            <w:vAlign w:val="center"/>
          </w:tcPr>
          <w:p w:rsidR="007649C6" w:rsidRPr="000A0A5F" w:rsidRDefault="007649C6" w:rsidP="00D513D3">
            <w:pPr>
              <w:pStyle w:val="TAC"/>
            </w:pPr>
            <w:r w:rsidRPr="000A0A5F">
              <w:t>5.16.2.1.4</w:t>
            </w:r>
          </w:p>
        </w:tc>
        <w:tc>
          <w:tcPr>
            <w:tcW w:w="4253" w:type="dxa"/>
            <w:vAlign w:val="center"/>
          </w:tcPr>
          <w:p w:rsidR="007649C6" w:rsidRPr="000A0A5F" w:rsidRDefault="007649C6" w:rsidP="00D513D3">
            <w:pPr>
              <w:pStyle w:val="TAL"/>
            </w:pPr>
            <w:r w:rsidRPr="000A0A5F">
              <w:t>Represents a single UE radio capability configuration data.</w:t>
            </w:r>
          </w:p>
        </w:tc>
        <w:tc>
          <w:tcPr>
            <w:tcW w:w="1412" w:type="dxa"/>
            <w:vAlign w:val="center"/>
          </w:tcPr>
          <w:p w:rsidR="007649C6" w:rsidRPr="000A0A5F" w:rsidRDefault="007649C6" w:rsidP="00D513D3">
            <w:pPr>
              <w:pStyle w:val="TAL"/>
              <w:rPr>
                <w:rFonts w:cs="Arial"/>
                <w:szCs w:val="18"/>
              </w:rPr>
            </w:pPr>
          </w:p>
        </w:tc>
      </w:tr>
      <w:tr w:rsidR="007649C6" w:rsidRPr="000A0A5F" w:rsidTr="00FF0AF8">
        <w:trPr>
          <w:jc w:val="center"/>
        </w:trPr>
        <w:tc>
          <w:tcPr>
            <w:tcW w:w="2888" w:type="dxa"/>
            <w:vAlign w:val="center"/>
          </w:tcPr>
          <w:p w:rsidR="007649C6" w:rsidRPr="000A0A5F" w:rsidRDefault="007649C6" w:rsidP="00D513D3">
            <w:pPr>
              <w:pStyle w:val="TAL"/>
            </w:pPr>
            <w:r w:rsidRPr="000A0A5F">
              <w:t>RacsConfigurationRm</w:t>
            </w:r>
          </w:p>
        </w:tc>
        <w:tc>
          <w:tcPr>
            <w:tcW w:w="1076" w:type="dxa"/>
            <w:vAlign w:val="center"/>
          </w:tcPr>
          <w:p w:rsidR="007649C6" w:rsidRPr="000A0A5F" w:rsidRDefault="007649C6" w:rsidP="00D513D3">
            <w:pPr>
              <w:pStyle w:val="TAC"/>
            </w:pPr>
            <w:r w:rsidRPr="000A0A5F">
              <w:t>5.16.2.1.6</w:t>
            </w:r>
          </w:p>
        </w:tc>
        <w:tc>
          <w:tcPr>
            <w:tcW w:w="4253" w:type="dxa"/>
            <w:vAlign w:val="center"/>
          </w:tcPr>
          <w:p w:rsidR="007649C6" w:rsidRPr="000A0A5F" w:rsidRDefault="007649C6" w:rsidP="00D513D3">
            <w:pPr>
              <w:pStyle w:val="TAL"/>
            </w:pPr>
            <w:r w:rsidRPr="000A0A5F">
              <w:t>Represents the same as the RacsConfiguration data type but with the "nullable: true" property.</w:t>
            </w:r>
          </w:p>
        </w:tc>
        <w:tc>
          <w:tcPr>
            <w:tcW w:w="1412" w:type="dxa"/>
            <w:vAlign w:val="center"/>
          </w:tcPr>
          <w:p w:rsidR="007649C6" w:rsidRPr="000A0A5F" w:rsidRDefault="007649C6" w:rsidP="00D513D3">
            <w:pPr>
              <w:pStyle w:val="TAL"/>
              <w:rPr>
                <w:rFonts w:cs="Arial"/>
                <w:szCs w:val="18"/>
              </w:rPr>
            </w:pPr>
          </w:p>
        </w:tc>
      </w:tr>
      <w:tr w:rsidR="007649C6" w:rsidRPr="000A0A5F" w:rsidTr="00FF0AF8">
        <w:trPr>
          <w:jc w:val="center"/>
        </w:trPr>
        <w:tc>
          <w:tcPr>
            <w:tcW w:w="2888" w:type="dxa"/>
            <w:vAlign w:val="center"/>
          </w:tcPr>
          <w:p w:rsidR="007649C6" w:rsidRPr="000A0A5F" w:rsidRDefault="007649C6" w:rsidP="00D513D3">
            <w:pPr>
              <w:pStyle w:val="TAL"/>
            </w:pPr>
            <w:r w:rsidRPr="000A0A5F">
              <w:t>RacsFailureCode</w:t>
            </w:r>
          </w:p>
        </w:tc>
        <w:tc>
          <w:tcPr>
            <w:tcW w:w="1076" w:type="dxa"/>
            <w:vAlign w:val="center"/>
          </w:tcPr>
          <w:p w:rsidR="007649C6" w:rsidRPr="000A0A5F" w:rsidRDefault="007649C6" w:rsidP="00D513D3">
            <w:pPr>
              <w:pStyle w:val="TAC"/>
            </w:pPr>
            <w:r w:rsidRPr="000A0A5F">
              <w:t>5.16.2.2.3</w:t>
            </w:r>
          </w:p>
        </w:tc>
        <w:tc>
          <w:tcPr>
            <w:tcW w:w="4253" w:type="dxa"/>
            <w:vAlign w:val="center"/>
          </w:tcPr>
          <w:p w:rsidR="007649C6" w:rsidRPr="000A0A5F" w:rsidRDefault="007649C6" w:rsidP="00D513D3">
            <w:pPr>
              <w:pStyle w:val="TAL"/>
            </w:pPr>
            <w:r w:rsidRPr="000A0A5F">
              <w:t>Represents the failure result of UE radio capability provisioning.</w:t>
            </w:r>
          </w:p>
        </w:tc>
        <w:tc>
          <w:tcPr>
            <w:tcW w:w="1412" w:type="dxa"/>
            <w:vAlign w:val="center"/>
          </w:tcPr>
          <w:p w:rsidR="007649C6" w:rsidRPr="000A0A5F" w:rsidRDefault="007649C6" w:rsidP="00D513D3">
            <w:pPr>
              <w:pStyle w:val="TAL"/>
              <w:rPr>
                <w:rFonts w:cs="Arial"/>
                <w:szCs w:val="18"/>
              </w:rPr>
            </w:pPr>
          </w:p>
        </w:tc>
      </w:tr>
      <w:tr w:rsidR="007649C6" w:rsidRPr="000A0A5F" w:rsidTr="00FF0AF8">
        <w:trPr>
          <w:jc w:val="center"/>
        </w:trPr>
        <w:tc>
          <w:tcPr>
            <w:tcW w:w="2888" w:type="dxa"/>
            <w:vAlign w:val="center"/>
          </w:tcPr>
          <w:p w:rsidR="007649C6" w:rsidRPr="000A0A5F" w:rsidRDefault="007649C6" w:rsidP="00D513D3">
            <w:pPr>
              <w:pStyle w:val="TAL"/>
            </w:pPr>
            <w:r w:rsidRPr="000A0A5F">
              <w:t>RacsFailureReport</w:t>
            </w:r>
          </w:p>
        </w:tc>
        <w:tc>
          <w:tcPr>
            <w:tcW w:w="1076" w:type="dxa"/>
            <w:vAlign w:val="center"/>
          </w:tcPr>
          <w:p w:rsidR="007649C6" w:rsidRPr="000A0A5F" w:rsidRDefault="007649C6" w:rsidP="00D513D3">
            <w:pPr>
              <w:pStyle w:val="TAC"/>
            </w:pPr>
            <w:r w:rsidRPr="000A0A5F">
              <w:t>5.16.2.1.3</w:t>
            </w:r>
          </w:p>
        </w:tc>
        <w:tc>
          <w:tcPr>
            <w:tcW w:w="4253" w:type="dxa"/>
            <w:vAlign w:val="center"/>
          </w:tcPr>
          <w:p w:rsidR="007649C6" w:rsidRPr="000A0A5F" w:rsidRDefault="007649C6" w:rsidP="00D513D3">
            <w:pPr>
              <w:pStyle w:val="TAL"/>
            </w:pPr>
            <w:r w:rsidRPr="000A0A5F">
              <w:t>Represents a radio capability data provisioning failure report.</w:t>
            </w:r>
          </w:p>
        </w:tc>
        <w:tc>
          <w:tcPr>
            <w:tcW w:w="1412" w:type="dxa"/>
            <w:vAlign w:val="center"/>
          </w:tcPr>
          <w:p w:rsidR="007649C6" w:rsidRPr="000A0A5F" w:rsidRDefault="007649C6" w:rsidP="00D513D3">
            <w:pPr>
              <w:pStyle w:val="TAL"/>
              <w:rPr>
                <w:rFonts w:cs="Arial"/>
                <w:szCs w:val="18"/>
              </w:rPr>
            </w:pPr>
          </w:p>
        </w:tc>
      </w:tr>
      <w:tr w:rsidR="007649C6" w:rsidRPr="000A0A5F" w:rsidTr="00FF0AF8">
        <w:trPr>
          <w:jc w:val="center"/>
        </w:trPr>
        <w:tc>
          <w:tcPr>
            <w:tcW w:w="2888" w:type="dxa"/>
            <w:vAlign w:val="center"/>
          </w:tcPr>
          <w:p w:rsidR="007649C6" w:rsidRPr="000A0A5F" w:rsidRDefault="007649C6" w:rsidP="00D513D3">
            <w:pPr>
              <w:pStyle w:val="TAL"/>
            </w:pPr>
            <w:r w:rsidRPr="000A0A5F">
              <w:t>RacsProvisioningData</w:t>
            </w:r>
          </w:p>
        </w:tc>
        <w:tc>
          <w:tcPr>
            <w:tcW w:w="1076" w:type="dxa"/>
            <w:vAlign w:val="center"/>
          </w:tcPr>
          <w:p w:rsidR="007649C6" w:rsidRPr="000A0A5F" w:rsidRDefault="007649C6" w:rsidP="00D513D3">
            <w:pPr>
              <w:pStyle w:val="TAC"/>
            </w:pPr>
            <w:r w:rsidRPr="000A0A5F">
              <w:t>5.16.2.1.2</w:t>
            </w:r>
          </w:p>
        </w:tc>
        <w:tc>
          <w:tcPr>
            <w:tcW w:w="4253" w:type="dxa"/>
            <w:vAlign w:val="center"/>
          </w:tcPr>
          <w:p w:rsidR="007649C6" w:rsidRPr="000A0A5F" w:rsidRDefault="007649C6" w:rsidP="00D513D3">
            <w:pPr>
              <w:pStyle w:val="TAL"/>
            </w:pPr>
            <w:r w:rsidRPr="000A0A5F">
              <w:t>Represents a UE's radio capability data.</w:t>
            </w:r>
          </w:p>
        </w:tc>
        <w:tc>
          <w:tcPr>
            <w:tcW w:w="1412" w:type="dxa"/>
            <w:vAlign w:val="center"/>
          </w:tcPr>
          <w:p w:rsidR="007649C6" w:rsidRPr="000A0A5F" w:rsidRDefault="007649C6" w:rsidP="00D513D3">
            <w:pPr>
              <w:pStyle w:val="TAL"/>
              <w:rPr>
                <w:rFonts w:cs="Arial"/>
                <w:szCs w:val="18"/>
              </w:rPr>
            </w:pPr>
          </w:p>
        </w:tc>
      </w:tr>
      <w:tr w:rsidR="007649C6" w:rsidRPr="000A0A5F" w:rsidTr="00FF0AF8">
        <w:trPr>
          <w:jc w:val="center"/>
        </w:trPr>
        <w:tc>
          <w:tcPr>
            <w:tcW w:w="2888" w:type="dxa"/>
            <w:vAlign w:val="center"/>
          </w:tcPr>
          <w:p w:rsidR="007649C6" w:rsidRPr="000A0A5F" w:rsidRDefault="007649C6" w:rsidP="00D513D3">
            <w:pPr>
              <w:pStyle w:val="TAL"/>
            </w:pPr>
            <w:r w:rsidRPr="000A0A5F">
              <w:t>RacsProvisioningDataPatch</w:t>
            </w:r>
          </w:p>
        </w:tc>
        <w:tc>
          <w:tcPr>
            <w:tcW w:w="1076" w:type="dxa"/>
            <w:vAlign w:val="center"/>
          </w:tcPr>
          <w:p w:rsidR="007649C6" w:rsidRPr="000A0A5F" w:rsidRDefault="007649C6" w:rsidP="00D513D3">
            <w:pPr>
              <w:pStyle w:val="TAC"/>
            </w:pPr>
            <w:r w:rsidRPr="000A0A5F">
              <w:t>5.16.2.1.5</w:t>
            </w:r>
          </w:p>
        </w:tc>
        <w:tc>
          <w:tcPr>
            <w:tcW w:w="4253" w:type="dxa"/>
            <w:vAlign w:val="center"/>
          </w:tcPr>
          <w:p w:rsidR="007649C6" w:rsidRPr="000A0A5F" w:rsidRDefault="007649C6" w:rsidP="00D513D3">
            <w:pPr>
              <w:pStyle w:val="TAL"/>
            </w:pPr>
            <w:r w:rsidRPr="000A0A5F">
              <w:t>Represents parameters to request the modification of a UE's radio capability data.</w:t>
            </w:r>
          </w:p>
        </w:tc>
        <w:tc>
          <w:tcPr>
            <w:tcW w:w="1412" w:type="dxa"/>
            <w:vAlign w:val="center"/>
          </w:tcPr>
          <w:p w:rsidR="007649C6" w:rsidRPr="000A0A5F" w:rsidRDefault="007649C6" w:rsidP="00D513D3">
            <w:pPr>
              <w:pStyle w:val="TAL"/>
              <w:rPr>
                <w:rFonts w:cs="Arial"/>
                <w:szCs w:val="18"/>
              </w:rPr>
            </w:pPr>
          </w:p>
        </w:tc>
      </w:tr>
    </w:tbl>
    <w:p w:rsidR="007649C6" w:rsidRPr="000A0A5F" w:rsidRDefault="007649C6" w:rsidP="007649C6"/>
    <w:p w:rsidR="00CB0DD7" w:rsidRPr="000A0A5F" w:rsidRDefault="00CB0DD7">
      <w:pPr>
        <w:pStyle w:val="Heading5"/>
      </w:pPr>
      <w:bookmarkStart w:id="9822" w:name="_Toc105675071"/>
      <w:bookmarkStart w:id="9823" w:name="_Toc130503149"/>
      <w:bookmarkStart w:id="9824" w:name="_Toc153625941"/>
      <w:r w:rsidRPr="000A0A5F">
        <w:t>5.16.2.1.2</w:t>
      </w:r>
      <w:r w:rsidRPr="000A0A5F">
        <w:tab/>
        <w:t>Type: RacsProvisioningData</w:t>
      </w:r>
      <w:bookmarkEnd w:id="9814"/>
      <w:bookmarkEnd w:id="9815"/>
      <w:bookmarkEnd w:id="9816"/>
      <w:bookmarkEnd w:id="9817"/>
      <w:bookmarkEnd w:id="9818"/>
      <w:bookmarkEnd w:id="9819"/>
      <w:bookmarkEnd w:id="9820"/>
      <w:bookmarkEnd w:id="9821"/>
      <w:bookmarkEnd w:id="9822"/>
      <w:bookmarkEnd w:id="9823"/>
      <w:bookmarkEnd w:id="9824"/>
    </w:p>
    <w:p w:rsidR="00CB0DD7" w:rsidRPr="000A0A5F" w:rsidRDefault="00CB0DD7">
      <w:r w:rsidRPr="000A0A5F">
        <w:t xml:space="preserve">This type represents a UE radio capability data provided by the SCS/AS to the SCEF. </w:t>
      </w:r>
    </w:p>
    <w:p w:rsidR="00CB0DD7" w:rsidRPr="000A0A5F" w:rsidRDefault="00CB0DD7">
      <w:pPr>
        <w:pStyle w:val="TH"/>
      </w:pPr>
      <w:r w:rsidRPr="000A0A5F">
        <w:rPr>
          <w:noProof/>
        </w:rPr>
        <w:t>Table </w:t>
      </w:r>
      <w:r w:rsidRPr="000A0A5F">
        <w:t xml:space="preserve">5.16.2.1.2-1: </w:t>
      </w:r>
      <w:r w:rsidRPr="000A0A5F">
        <w:rPr>
          <w:noProof/>
        </w:rPr>
        <w:t>Definition of type Racs</w:t>
      </w:r>
      <w:r w:rsidRPr="000A0A5F">
        <w:t>ProvisioningData</w:t>
      </w:r>
    </w:p>
    <w:tbl>
      <w:tblPr>
        <w:tblW w:w="955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59"/>
        <w:gridCol w:w="1134"/>
        <w:gridCol w:w="1134"/>
        <w:gridCol w:w="4393"/>
        <w:gridCol w:w="1235"/>
      </w:tblGrid>
      <w:tr w:rsidR="00CB0DD7" w:rsidRPr="000A0A5F" w:rsidTr="00FF0AF8">
        <w:trPr>
          <w:trHeight w:val="288"/>
          <w:jc w:val="center"/>
        </w:trPr>
        <w:tc>
          <w:tcPr>
            <w:tcW w:w="1659" w:type="dxa"/>
            <w:shd w:val="clear" w:color="auto" w:fill="C0C0C0"/>
            <w:hideMark/>
          </w:tcPr>
          <w:p w:rsidR="00CB0DD7" w:rsidRPr="000A0A5F" w:rsidRDefault="00CB0DD7">
            <w:pPr>
              <w:pStyle w:val="TAH"/>
              <w:rPr>
                <w:rFonts w:eastAsia="Times New Roman"/>
              </w:rPr>
            </w:pPr>
            <w:r w:rsidRPr="000A0A5F">
              <w:rPr>
                <w:rFonts w:eastAsia="Times New Roman"/>
              </w:rPr>
              <w:t>Attribute name</w:t>
            </w:r>
          </w:p>
        </w:tc>
        <w:tc>
          <w:tcPr>
            <w:tcW w:w="1134" w:type="dxa"/>
            <w:shd w:val="clear" w:color="auto" w:fill="C0C0C0"/>
            <w:hideMark/>
          </w:tcPr>
          <w:p w:rsidR="00CB0DD7" w:rsidRPr="000A0A5F" w:rsidRDefault="00CB0DD7">
            <w:pPr>
              <w:pStyle w:val="TAH"/>
              <w:rPr>
                <w:rFonts w:eastAsia="Times New Roman"/>
              </w:rPr>
            </w:pPr>
            <w:r w:rsidRPr="000A0A5F">
              <w:rPr>
                <w:rFonts w:eastAsia="Times New Roman"/>
              </w:rPr>
              <w:t>Data type</w:t>
            </w:r>
          </w:p>
        </w:tc>
        <w:tc>
          <w:tcPr>
            <w:tcW w:w="1134" w:type="dxa"/>
            <w:shd w:val="clear" w:color="auto" w:fill="C0C0C0"/>
            <w:hideMark/>
          </w:tcPr>
          <w:p w:rsidR="00CB0DD7" w:rsidRPr="000A0A5F" w:rsidRDefault="00CB0DD7">
            <w:pPr>
              <w:pStyle w:val="TAH"/>
              <w:rPr>
                <w:rFonts w:eastAsia="Times New Roman"/>
              </w:rPr>
            </w:pPr>
            <w:r w:rsidRPr="000A0A5F">
              <w:rPr>
                <w:rFonts w:eastAsia="Times New Roman"/>
              </w:rPr>
              <w:t>Cardinality</w:t>
            </w:r>
          </w:p>
        </w:tc>
        <w:tc>
          <w:tcPr>
            <w:tcW w:w="4393" w:type="dxa"/>
            <w:shd w:val="clear" w:color="auto" w:fill="C0C0C0"/>
            <w:hideMark/>
          </w:tcPr>
          <w:p w:rsidR="00CB0DD7" w:rsidRPr="000A0A5F" w:rsidRDefault="00CB0DD7">
            <w:pPr>
              <w:pStyle w:val="TAH"/>
              <w:rPr>
                <w:rFonts w:eastAsia="Times New Roman" w:cs="Arial"/>
                <w:szCs w:val="18"/>
              </w:rPr>
            </w:pPr>
            <w:r w:rsidRPr="000A0A5F">
              <w:rPr>
                <w:rFonts w:eastAsia="Times New Roman" w:cs="Arial"/>
                <w:szCs w:val="18"/>
              </w:rPr>
              <w:t>Description</w:t>
            </w:r>
          </w:p>
        </w:tc>
        <w:tc>
          <w:tcPr>
            <w:tcW w:w="1235" w:type="dxa"/>
            <w:shd w:val="clear" w:color="auto" w:fill="C0C0C0"/>
            <w:hideMark/>
          </w:tcPr>
          <w:p w:rsidR="00CB0DD7" w:rsidRPr="000A0A5F" w:rsidRDefault="00CB0DD7">
            <w:pPr>
              <w:pStyle w:val="TAH"/>
              <w:rPr>
                <w:rFonts w:eastAsia="Times New Roman"/>
              </w:rPr>
            </w:pPr>
            <w:r w:rsidRPr="000A0A5F">
              <w:rPr>
                <w:rFonts w:eastAsia="Times New Roman" w:cs="Arial"/>
                <w:szCs w:val="18"/>
              </w:rPr>
              <w:t>Applicability (NOTE)</w:t>
            </w:r>
          </w:p>
        </w:tc>
      </w:tr>
      <w:tr w:rsidR="00CB0DD7" w:rsidRPr="000A0A5F" w:rsidTr="00FF0AF8">
        <w:trPr>
          <w:jc w:val="center"/>
        </w:trPr>
        <w:tc>
          <w:tcPr>
            <w:tcW w:w="1659" w:type="dxa"/>
            <w:hideMark/>
          </w:tcPr>
          <w:p w:rsidR="00CB0DD7" w:rsidRPr="000A0A5F" w:rsidRDefault="00CB0DD7">
            <w:pPr>
              <w:pStyle w:val="TAL"/>
              <w:rPr>
                <w:lang w:eastAsia="zh-CN"/>
              </w:rPr>
            </w:pPr>
            <w:r w:rsidRPr="000A0A5F">
              <w:rPr>
                <w:rFonts w:eastAsia="Times New Roman"/>
              </w:rPr>
              <w:t>self</w:t>
            </w:r>
          </w:p>
        </w:tc>
        <w:tc>
          <w:tcPr>
            <w:tcW w:w="1134" w:type="dxa"/>
            <w:hideMark/>
          </w:tcPr>
          <w:p w:rsidR="00CB0DD7" w:rsidRPr="000A0A5F" w:rsidRDefault="00CB0DD7">
            <w:pPr>
              <w:pStyle w:val="TAL"/>
              <w:rPr>
                <w:lang w:eastAsia="zh-CN"/>
              </w:rPr>
            </w:pPr>
            <w:r w:rsidRPr="000A0A5F">
              <w:rPr>
                <w:rFonts w:eastAsia="Times New Roman"/>
              </w:rPr>
              <w:t>Link</w:t>
            </w:r>
          </w:p>
        </w:tc>
        <w:tc>
          <w:tcPr>
            <w:tcW w:w="1134" w:type="dxa"/>
            <w:hideMark/>
          </w:tcPr>
          <w:p w:rsidR="00CB0DD7" w:rsidRPr="000A0A5F" w:rsidRDefault="00CB0DD7">
            <w:pPr>
              <w:pStyle w:val="TAC"/>
              <w:jc w:val="left"/>
              <w:rPr>
                <w:rFonts w:eastAsia="Times New Roman"/>
              </w:rPr>
            </w:pPr>
            <w:r w:rsidRPr="000A0A5F">
              <w:rPr>
                <w:rFonts w:eastAsia="Times New Roman"/>
              </w:rPr>
              <w:t>0..1</w:t>
            </w:r>
          </w:p>
        </w:tc>
        <w:tc>
          <w:tcPr>
            <w:tcW w:w="4393" w:type="dxa"/>
            <w:hideMark/>
          </w:tcPr>
          <w:p w:rsidR="00CB0DD7" w:rsidRPr="000A0A5F" w:rsidRDefault="00CB0DD7">
            <w:pPr>
              <w:pStyle w:val="TAL"/>
              <w:rPr>
                <w:rFonts w:eastAsia="Times New Roman" w:cs="Arial"/>
                <w:szCs w:val="18"/>
              </w:rPr>
            </w:pPr>
            <w:r w:rsidRPr="000A0A5F">
              <w:rPr>
                <w:rFonts w:eastAsia="Times New Roman" w:cs="Arial"/>
                <w:szCs w:val="18"/>
              </w:rPr>
              <w:t xml:space="preserve">Link to the resource </w:t>
            </w:r>
            <w:r w:rsidRPr="000A0A5F">
              <w:t>"Individual RACS parameter provisioning"</w:t>
            </w:r>
            <w:r w:rsidRPr="000A0A5F">
              <w:rPr>
                <w:rFonts w:eastAsia="Times New Roman" w:cs="Arial"/>
                <w:szCs w:val="18"/>
              </w:rPr>
              <w:t>. This parameter shall be supplied by the SCEF in HTTP responses.</w:t>
            </w:r>
          </w:p>
        </w:tc>
        <w:tc>
          <w:tcPr>
            <w:tcW w:w="1235" w:type="dxa"/>
          </w:tcPr>
          <w:p w:rsidR="00CB0DD7" w:rsidRPr="000A0A5F" w:rsidRDefault="00CB0DD7">
            <w:pPr>
              <w:pStyle w:val="TAC"/>
              <w:jc w:val="left"/>
              <w:rPr>
                <w:rFonts w:eastAsia="Times New Roman"/>
              </w:rPr>
            </w:pPr>
          </w:p>
        </w:tc>
      </w:tr>
      <w:tr w:rsidR="00CB0DD7" w:rsidRPr="000A0A5F" w:rsidTr="00FF0AF8">
        <w:trPr>
          <w:jc w:val="center"/>
        </w:trPr>
        <w:tc>
          <w:tcPr>
            <w:tcW w:w="1659" w:type="dxa"/>
            <w:hideMark/>
          </w:tcPr>
          <w:p w:rsidR="00CB0DD7" w:rsidRPr="000A0A5F" w:rsidRDefault="00CB0DD7">
            <w:pPr>
              <w:pStyle w:val="TAL"/>
              <w:rPr>
                <w:rFonts w:eastAsia="Times New Roman"/>
              </w:rPr>
            </w:pPr>
            <w:r w:rsidRPr="000A0A5F">
              <w:t>supportedFeatures</w:t>
            </w:r>
          </w:p>
        </w:tc>
        <w:tc>
          <w:tcPr>
            <w:tcW w:w="1134" w:type="dxa"/>
            <w:hideMark/>
          </w:tcPr>
          <w:p w:rsidR="00CB0DD7" w:rsidRPr="000A0A5F" w:rsidRDefault="00CB0DD7">
            <w:pPr>
              <w:pStyle w:val="TAL"/>
              <w:rPr>
                <w:rFonts w:eastAsia="Times New Roman"/>
              </w:rPr>
            </w:pPr>
            <w:r w:rsidRPr="000A0A5F">
              <w:t>SupportedFeatures</w:t>
            </w:r>
          </w:p>
        </w:tc>
        <w:tc>
          <w:tcPr>
            <w:tcW w:w="1134" w:type="dxa"/>
            <w:hideMark/>
          </w:tcPr>
          <w:p w:rsidR="00CB0DD7" w:rsidRPr="000A0A5F" w:rsidRDefault="00CB0DD7">
            <w:pPr>
              <w:pStyle w:val="TAC"/>
              <w:jc w:val="left"/>
              <w:rPr>
                <w:rFonts w:eastAsia="Times New Roman"/>
              </w:rPr>
            </w:pPr>
            <w:r w:rsidRPr="000A0A5F">
              <w:t>0..1</w:t>
            </w:r>
          </w:p>
        </w:tc>
        <w:tc>
          <w:tcPr>
            <w:tcW w:w="4393" w:type="dxa"/>
            <w:hideMark/>
          </w:tcPr>
          <w:p w:rsidR="00CB0DD7" w:rsidRPr="000A0A5F" w:rsidRDefault="00CB0DD7">
            <w:pPr>
              <w:pStyle w:val="TAL"/>
            </w:pPr>
            <w:r w:rsidRPr="000A0A5F">
              <w:t>Used to negotiate the supported optional features of the API as described in clause 5.2.7.</w:t>
            </w:r>
          </w:p>
          <w:p w:rsidR="00CB0DD7" w:rsidRPr="000A0A5F" w:rsidRDefault="00CB0DD7">
            <w:pPr>
              <w:pStyle w:val="TAL"/>
              <w:rPr>
                <w:rFonts w:eastAsia="Times New Roman" w:cs="Arial"/>
                <w:szCs w:val="18"/>
              </w:rPr>
            </w:pPr>
            <w:r w:rsidRPr="000A0A5F">
              <w:t>This attribute shall be provided in the POST request and in the response of successful resource creation.</w:t>
            </w:r>
          </w:p>
        </w:tc>
        <w:tc>
          <w:tcPr>
            <w:tcW w:w="1235" w:type="dxa"/>
          </w:tcPr>
          <w:p w:rsidR="00CB0DD7" w:rsidRPr="000A0A5F" w:rsidRDefault="00CB0DD7">
            <w:pPr>
              <w:pStyle w:val="TAC"/>
              <w:jc w:val="left"/>
              <w:rPr>
                <w:rFonts w:eastAsia="Times New Roman"/>
              </w:rPr>
            </w:pPr>
          </w:p>
        </w:tc>
      </w:tr>
      <w:tr w:rsidR="00CB0DD7" w:rsidRPr="000A0A5F" w:rsidTr="00FF0AF8">
        <w:trPr>
          <w:jc w:val="center"/>
        </w:trPr>
        <w:tc>
          <w:tcPr>
            <w:tcW w:w="1659" w:type="dxa"/>
            <w:hideMark/>
          </w:tcPr>
          <w:p w:rsidR="00CB0DD7" w:rsidRPr="000A0A5F" w:rsidRDefault="00CB0DD7">
            <w:pPr>
              <w:pStyle w:val="TAL"/>
              <w:rPr>
                <w:lang w:eastAsia="zh-CN"/>
              </w:rPr>
            </w:pPr>
            <w:r w:rsidRPr="000A0A5F">
              <w:rPr>
                <w:lang w:eastAsia="zh-CN"/>
              </w:rPr>
              <w:t>racsConfigs</w:t>
            </w:r>
          </w:p>
        </w:tc>
        <w:tc>
          <w:tcPr>
            <w:tcW w:w="1134" w:type="dxa"/>
            <w:hideMark/>
          </w:tcPr>
          <w:p w:rsidR="00CB0DD7" w:rsidRPr="000A0A5F" w:rsidRDefault="00CB0DD7">
            <w:pPr>
              <w:pStyle w:val="TAL"/>
              <w:rPr>
                <w:rFonts w:eastAsia="Times New Roman"/>
              </w:rPr>
            </w:pPr>
            <w:r w:rsidRPr="000A0A5F">
              <w:rPr>
                <w:lang w:eastAsia="zh-CN"/>
              </w:rPr>
              <w:t>map(Racs Configuration)</w:t>
            </w:r>
          </w:p>
        </w:tc>
        <w:tc>
          <w:tcPr>
            <w:tcW w:w="1134" w:type="dxa"/>
            <w:hideMark/>
          </w:tcPr>
          <w:p w:rsidR="00CB0DD7" w:rsidRPr="000A0A5F" w:rsidRDefault="00CB0DD7">
            <w:pPr>
              <w:pStyle w:val="TAC"/>
              <w:jc w:val="left"/>
              <w:rPr>
                <w:rFonts w:eastAsia="Times New Roman"/>
              </w:rPr>
            </w:pPr>
            <w:r w:rsidRPr="000A0A5F">
              <w:rPr>
                <w:rFonts w:eastAsia="Times New Roman"/>
              </w:rPr>
              <w:t>1..N</w:t>
            </w:r>
          </w:p>
        </w:tc>
        <w:tc>
          <w:tcPr>
            <w:tcW w:w="4393" w:type="dxa"/>
            <w:hideMark/>
          </w:tcPr>
          <w:p w:rsidR="00CB0DD7" w:rsidRPr="000A0A5F" w:rsidRDefault="00CB0DD7">
            <w:pPr>
              <w:pStyle w:val="TAL"/>
              <w:rPr>
                <w:rFonts w:eastAsia="Times New Roman" w:cs="Arial"/>
                <w:szCs w:val="18"/>
              </w:rPr>
            </w:pPr>
            <w:r w:rsidRPr="000A0A5F">
              <w:rPr>
                <w:rFonts w:cs="Arial"/>
                <w:szCs w:val="18"/>
                <w:lang w:eastAsia="zh-CN"/>
              </w:rPr>
              <w:t>Identifies the configuration related to manufacturer specific UE radio capability.</w:t>
            </w:r>
            <w:r w:rsidRPr="000A0A5F">
              <w:rPr>
                <w:rFonts w:eastAsia="Times New Roman" w:cs="Arial"/>
                <w:szCs w:val="18"/>
              </w:rPr>
              <w:t xml:space="preserve"> Each element uniquely identifies an RACS configuration for an RACS ID and is identified in the map via the RACS ID as key. The response shall include successfully provisioned RACS data.</w:t>
            </w:r>
          </w:p>
        </w:tc>
        <w:tc>
          <w:tcPr>
            <w:tcW w:w="1235" w:type="dxa"/>
          </w:tcPr>
          <w:p w:rsidR="00CB0DD7" w:rsidRPr="000A0A5F" w:rsidRDefault="00CB0DD7">
            <w:pPr>
              <w:pStyle w:val="TAC"/>
              <w:jc w:val="left"/>
              <w:rPr>
                <w:rFonts w:eastAsia="Times New Roman"/>
              </w:rPr>
            </w:pPr>
          </w:p>
        </w:tc>
      </w:tr>
      <w:tr w:rsidR="00CB0DD7" w:rsidRPr="000A0A5F" w:rsidTr="00FF0AF8">
        <w:trPr>
          <w:jc w:val="center"/>
        </w:trPr>
        <w:tc>
          <w:tcPr>
            <w:tcW w:w="1659" w:type="dxa"/>
          </w:tcPr>
          <w:p w:rsidR="00CB0DD7" w:rsidRPr="000A0A5F" w:rsidRDefault="00CB0DD7">
            <w:pPr>
              <w:pStyle w:val="TAL"/>
              <w:rPr>
                <w:lang w:eastAsia="zh-CN"/>
              </w:rPr>
            </w:pPr>
            <w:r w:rsidRPr="000A0A5F">
              <w:rPr>
                <w:lang w:eastAsia="zh-CN"/>
              </w:rPr>
              <w:t>racsReports</w:t>
            </w:r>
          </w:p>
        </w:tc>
        <w:tc>
          <w:tcPr>
            <w:tcW w:w="1134" w:type="dxa"/>
          </w:tcPr>
          <w:p w:rsidR="00CB0DD7" w:rsidRPr="000A0A5F" w:rsidRDefault="00CB0DD7">
            <w:pPr>
              <w:pStyle w:val="TAL"/>
              <w:rPr>
                <w:lang w:eastAsia="zh-CN"/>
              </w:rPr>
            </w:pPr>
            <w:r w:rsidRPr="000A0A5F">
              <w:rPr>
                <w:lang w:eastAsia="zh-CN"/>
              </w:rPr>
              <w:t>map(RacsFailureReport)</w:t>
            </w:r>
          </w:p>
        </w:tc>
        <w:tc>
          <w:tcPr>
            <w:tcW w:w="1134" w:type="dxa"/>
          </w:tcPr>
          <w:p w:rsidR="00CB0DD7" w:rsidRPr="000A0A5F" w:rsidRDefault="00CB0DD7">
            <w:pPr>
              <w:pStyle w:val="TAC"/>
              <w:jc w:val="left"/>
              <w:rPr>
                <w:rFonts w:eastAsia="Times New Roman"/>
              </w:rPr>
            </w:pPr>
            <w:r w:rsidRPr="000A0A5F">
              <w:rPr>
                <w:rFonts w:eastAsia="Times New Roman"/>
              </w:rPr>
              <w:t>0..N</w:t>
            </w:r>
          </w:p>
        </w:tc>
        <w:tc>
          <w:tcPr>
            <w:tcW w:w="4393" w:type="dxa"/>
          </w:tcPr>
          <w:p w:rsidR="00CB0DD7" w:rsidRPr="000A0A5F" w:rsidRDefault="00CB0DD7">
            <w:pPr>
              <w:pStyle w:val="TAL"/>
              <w:rPr>
                <w:rFonts w:cs="Arial"/>
                <w:szCs w:val="18"/>
                <w:lang w:eastAsia="zh-CN"/>
              </w:rPr>
            </w:pPr>
            <w:r w:rsidRPr="000A0A5F">
              <w:rPr>
                <w:rFonts w:cs="Arial"/>
                <w:szCs w:val="18"/>
                <w:lang w:eastAsia="zh-CN"/>
              </w:rPr>
              <w:t>Supplied by the SCEF. Contains the RACS IDs for which the RACS data are not provisioned successfully.</w:t>
            </w:r>
          </w:p>
          <w:p w:rsidR="00CB0DD7" w:rsidRPr="000A0A5F" w:rsidRDefault="00CB0DD7">
            <w:pPr>
              <w:pStyle w:val="TAL"/>
              <w:rPr>
                <w:rFonts w:cs="Arial"/>
                <w:szCs w:val="18"/>
                <w:lang w:eastAsia="zh-CN"/>
              </w:rPr>
            </w:pPr>
            <w:r w:rsidRPr="000A0A5F">
              <w:t>Any string value can be used as a key of the map.</w:t>
            </w:r>
          </w:p>
        </w:tc>
        <w:tc>
          <w:tcPr>
            <w:tcW w:w="1235" w:type="dxa"/>
          </w:tcPr>
          <w:p w:rsidR="00CB0DD7" w:rsidRPr="000A0A5F" w:rsidRDefault="00CB0DD7">
            <w:pPr>
              <w:pStyle w:val="TAC"/>
              <w:jc w:val="left"/>
              <w:rPr>
                <w:rFonts w:eastAsia="Times New Roman"/>
              </w:rPr>
            </w:pPr>
          </w:p>
        </w:tc>
      </w:tr>
      <w:tr w:rsidR="00CB0DD7" w:rsidRPr="000A0A5F" w:rsidTr="00FF0AF8">
        <w:trPr>
          <w:jc w:val="center"/>
        </w:trPr>
        <w:tc>
          <w:tcPr>
            <w:tcW w:w="9555" w:type="dxa"/>
            <w:gridSpan w:val="5"/>
            <w:hideMark/>
          </w:tcPr>
          <w:p w:rsidR="00CB0DD7" w:rsidRPr="000A0A5F" w:rsidRDefault="00CB0DD7">
            <w:pPr>
              <w:pStyle w:val="TAN"/>
            </w:pPr>
            <w:r w:rsidRPr="000A0A5F">
              <w:t>NOTE:</w:t>
            </w:r>
            <w:r w:rsidRPr="000A0A5F">
              <w:tab/>
              <w:t>Properties marked with a feature as defined in clause 5.16.4 are applicable as described in clause 5.2.7. If no features are indicated, the related property applies for all the features.</w:t>
            </w:r>
          </w:p>
        </w:tc>
      </w:tr>
    </w:tbl>
    <w:p w:rsidR="00CB0DD7" w:rsidRPr="000A0A5F" w:rsidRDefault="00CB0DD7"/>
    <w:p w:rsidR="00CB0DD7" w:rsidRPr="000A0A5F" w:rsidRDefault="00CB0DD7">
      <w:pPr>
        <w:pStyle w:val="Heading5"/>
      </w:pPr>
      <w:bookmarkStart w:id="9825" w:name="_Toc9325604"/>
      <w:bookmarkStart w:id="9826" w:name="_Toc27045073"/>
      <w:bookmarkStart w:id="9827" w:name="_Toc36034124"/>
      <w:bookmarkStart w:id="9828" w:name="_Toc45132271"/>
      <w:bookmarkStart w:id="9829" w:name="_Toc49776556"/>
      <w:bookmarkStart w:id="9830" w:name="_Toc51747476"/>
      <w:bookmarkStart w:id="9831" w:name="_Toc66361058"/>
      <w:bookmarkStart w:id="9832" w:name="_Toc68105563"/>
      <w:bookmarkStart w:id="9833" w:name="_Toc74756195"/>
      <w:bookmarkStart w:id="9834" w:name="_Toc105675072"/>
      <w:bookmarkStart w:id="9835" w:name="_Toc130503150"/>
      <w:bookmarkStart w:id="9836" w:name="_Toc153625942"/>
      <w:r w:rsidRPr="000A0A5F">
        <w:t>5.16.2.1.3</w:t>
      </w:r>
      <w:r w:rsidRPr="000A0A5F">
        <w:tab/>
        <w:t>Type: RacsFailureReport</w:t>
      </w:r>
      <w:bookmarkEnd w:id="9826"/>
      <w:bookmarkEnd w:id="9827"/>
      <w:bookmarkEnd w:id="9828"/>
      <w:bookmarkEnd w:id="9829"/>
      <w:bookmarkEnd w:id="9830"/>
      <w:bookmarkEnd w:id="9831"/>
      <w:bookmarkEnd w:id="9832"/>
      <w:bookmarkEnd w:id="9833"/>
      <w:bookmarkEnd w:id="9834"/>
      <w:bookmarkEnd w:id="9835"/>
      <w:bookmarkEnd w:id="9836"/>
    </w:p>
    <w:p w:rsidR="00CB0DD7" w:rsidRPr="000A0A5F" w:rsidRDefault="00CB0DD7">
      <w:r w:rsidRPr="000A0A5F">
        <w:t>This type represents a radio capability data provisioning report provided by the SCEF.</w:t>
      </w:r>
    </w:p>
    <w:p w:rsidR="00CB0DD7" w:rsidRPr="000A0A5F" w:rsidRDefault="00CB0DD7">
      <w:pPr>
        <w:pStyle w:val="TH"/>
      </w:pPr>
      <w:r w:rsidRPr="000A0A5F">
        <w:rPr>
          <w:noProof/>
        </w:rPr>
        <w:t>Table </w:t>
      </w:r>
      <w:r w:rsidRPr="000A0A5F">
        <w:t xml:space="preserve">5.16.2.1.3-1: </w:t>
      </w:r>
      <w:r w:rsidRPr="000A0A5F">
        <w:rPr>
          <w:noProof/>
        </w:rPr>
        <w:t xml:space="preserve">Definition of type </w:t>
      </w:r>
      <w:r w:rsidRPr="000A0A5F">
        <w:t>RacsFailureReport</w:t>
      </w:r>
    </w:p>
    <w:tbl>
      <w:tblPr>
        <w:tblW w:w="955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59"/>
        <w:gridCol w:w="1134"/>
        <w:gridCol w:w="1134"/>
        <w:gridCol w:w="4393"/>
        <w:gridCol w:w="1235"/>
      </w:tblGrid>
      <w:tr w:rsidR="00CB0DD7" w:rsidRPr="000A0A5F" w:rsidTr="00FF0AF8">
        <w:trPr>
          <w:trHeight w:val="288"/>
          <w:jc w:val="center"/>
        </w:trPr>
        <w:tc>
          <w:tcPr>
            <w:tcW w:w="1659" w:type="dxa"/>
            <w:shd w:val="clear" w:color="auto" w:fill="C0C0C0"/>
            <w:hideMark/>
          </w:tcPr>
          <w:p w:rsidR="00CB0DD7" w:rsidRPr="000A0A5F" w:rsidRDefault="00CB0DD7">
            <w:pPr>
              <w:pStyle w:val="TAH"/>
              <w:rPr>
                <w:rFonts w:eastAsia="Times New Roman"/>
              </w:rPr>
            </w:pPr>
            <w:r w:rsidRPr="000A0A5F">
              <w:rPr>
                <w:rFonts w:eastAsia="Times New Roman"/>
              </w:rPr>
              <w:t>Attribute name</w:t>
            </w:r>
          </w:p>
        </w:tc>
        <w:tc>
          <w:tcPr>
            <w:tcW w:w="1134" w:type="dxa"/>
            <w:shd w:val="clear" w:color="auto" w:fill="C0C0C0"/>
            <w:hideMark/>
          </w:tcPr>
          <w:p w:rsidR="00CB0DD7" w:rsidRPr="000A0A5F" w:rsidRDefault="00CB0DD7">
            <w:pPr>
              <w:pStyle w:val="TAH"/>
              <w:rPr>
                <w:rFonts w:eastAsia="Times New Roman"/>
              </w:rPr>
            </w:pPr>
            <w:r w:rsidRPr="000A0A5F">
              <w:rPr>
                <w:rFonts w:eastAsia="Times New Roman"/>
              </w:rPr>
              <w:t>Data type</w:t>
            </w:r>
          </w:p>
        </w:tc>
        <w:tc>
          <w:tcPr>
            <w:tcW w:w="1134" w:type="dxa"/>
            <w:shd w:val="clear" w:color="auto" w:fill="C0C0C0"/>
            <w:hideMark/>
          </w:tcPr>
          <w:p w:rsidR="00CB0DD7" w:rsidRPr="000A0A5F" w:rsidRDefault="00CB0DD7">
            <w:pPr>
              <w:pStyle w:val="TAH"/>
              <w:rPr>
                <w:rFonts w:eastAsia="Times New Roman"/>
              </w:rPr>
            </w:pPr>
            <w:r w:rsidRPr="000A0A5F">
              <w:rPr>
                <w:rFonts w:eastAsia="Times New Roman"/>
              </w:rPr>
              <w:t>Cardinality</w:t>
            </w:r>
          </w:p>
        </w:tc>
        <w:tc>
          <w:tcPr>
            <w:tcW w:w="4393" w:type="dxa"/>
            <w:shd w:val="clear" w:color="auto" w:fill="C0C0C0"/>
            <w:hideMark/>
          </w:tcPr>
          <w:p w:rsidR="00CB0DD7" w:rsidRPr="000A0A5F" w:rsidRDefault="00CB0DD7">
            <w:pPr>
              <w:pStyle w:val="TAH"/>
              <w:rPr>
                <w:rFonts w:eastAsia="Times New Roman" w:cs="Arial"/>
                <w:szCs w:val="18"/>
              </w:rPr>
            </w:pPr>
            <w:r w:rsidRPr="000A0A5F">
              <w:rPr>
                <w:rFonts w:eastAsia="Times New Roman" w:cs="Arial"/>
                <w:szCs w:val="18"/>
              </w:rPr>
              <w:t>Description</w:t>
            </w:r>
          </w:p>
        </w:tc>
        <w:tc>
          <w:tcPr>
            <w:tcW w:w="1235" w:type="dxa"/>
            <w:shd w:val="clear" w:color="auto" w:fill="C0C0C0"/>
            <w:hideMark/>
          </w:tcPr>
          <w:p w:rsidR="00CB0DD7" w:rsidRPr="000A0A5F" w:rsidRDefault="00CB0DD7">
            <w:pPr>
              <w:pStyle w:val="TAH"/>
              <w:rPr>
                <w:rFonts w:eastAsia="Times New Roman"/>
              </w:rPr>
            </w:pPr>
            <w:r w:rsidRPr="000A0A5F">
              <w:rPr>
                <w:rFonts w:eastAsia="Times New Roman" w:cs="Arial"/>
                <w:szCs w:val="18"/>
              </w:rPr>
              <w:t>Applicability (NOTE)</w:t>
            </w:r>
          </w:p>
        </w:tc>
      </w:tr>
      <w:tr w:rsidR="00CB0DD7" w:rsidRPr="000A0A5F" w:rsidTr="00FF0AF8">
        <w:trPr>
          <w:jc w:val="center"/>
        </w:trPr>
        <w:tc>
          <w:tcPr>
            <w:tcW w:w="1659" w:type="dxa"/>
            <w:hideMark/>
          </w:tcPr>
          <w:p w:rsidR="00CB0DD7" w:rsidRPr="000A0A5F" w:rsidRDefault="00CB0DD7">
            <w:pPr>
              <w:pStyle w:val="TAL"/>
              <w:rPr>
                <w:rFonts w:eastAsia="Times New Roman"/>
              </w:rPr>
            </w:pPr>
            <w:r w:rsidRPr="000A0A5F">
              <w:rPr>
                <w:lang w:eastAsia="zh-CN"/>
              </w:rPr>
              <w:t>racsIds</w:t>
            </w:r>
          </w:p>
        </w:tc>
        <w:tc>
          <w:tcPr>
            <w:tcW w:w="1134" w:type="dxa"/>
            <w:hideMark/>
          </w:tcPr>
          <w:p w:rsidR="00CB0DD7" w:rsidRPr="000A0A5F" w:rsidRDefault="00CB0DD7">
            <w:pPr>
              <w:pStyle w:val="TAL"/>
              <w:rPr>
                <w:rFonts w:eastAsia="Times New Roman"/>
              </w:rPr>
            </w:pPr>
            <w:r w:rsidRPr="000A0A5F">
              <w:rPr>
                <w:lang w:eastAsia="zh-CN"/>
              </w:rPr>
              <w:t>array(string)</w:t>
            </w:r>
          </w:p>
        </w:tc>
        <w:tc>
          <w:tcPr>
            <w:tcW w:w="1134" w:type="dxa"/>
            <w:hideMark/>
          </w:tcPr>
          <w:p w:rsidR="00CB0DD7" w:rsidRPr="000A0A5F" w:rsidRDefault="00CB0DD7">
            <w:pPr>
              <w:pStyle w:val="TAC"/>
              <w:jc w:val="left"/>
              <w:rPr>
                <w:rFonts w:eastAsia="Times New Roman"/>
              </w:rPr>
            </w:pPr>
            <w:r w:rsidRPr="000A0A5F">
              <w:t>1..N</w:t>
            </w:r>
          </w:p>
        </w:tc>
        <w:tc>
          <w:tcPr>
            <w:tcW w:w="4393" w:type="dxa"/>
            <w:hideMark/>
          </w:tcPr>
          <w:p w:rsidR="00CB0DD7" w:rsidRPr="000A0A5F" w:rsidRDefault="00CB0DD7">
            <w:pPr>
              <w:pStyle w:val="TAL"/>
              <w:rPr>
                <w:rFonts w:eastAsia="Times New Roman" w:cs="Arial"/>
                <w:szCs w:val="18"/>
              </w:rPr>
            </w:pPr>
            <w:r w:rsidRPr="000A0A5F">
              <w:rPr>
                <w:rFonts w:eastAsia="Times New Roman" w:cs="Arial"/>
                <w:szCs w:val="18"/>
              </w:rPr>
              <w:t xml:space="preserve">Identifies </w:t>
            </w:r>
            <w:r w:rsidRPr="000A0A5F">
              <w:t>the RACS ID(s) for which the RACS data are not provisioned successfully.</w:t>
            </w:r>
          </w:p>
        </w:tc>
        <w:tc>
          <w:tcPr>
            <w:tcW w:w="1235" w:type="dxa"/>
          </w:tcPr>
          <w:p w:rsidR="00CB0DD7" w:rsidRPr="000A0A5F" w:rsidRDefault="00CB0DD7">
            <w:pPr>
              <w:pStyle w:val="TAC"/>
              <w:jc w:val="left"/>
              <w:rPr>
                <w:rFonts w:eastAsia="Times New Roman"/>
              </w:rPr>
            </w:pPr>
          </w:p>
        </w:tc>
      </w:tr>
      <w:tr w:rsidR="00CB0DD7" w:rsidRPr="000A0A5F" w:rsidTr="00FF0AF8">
        <w:trPr>
          <w:jc w:val="center"/>
        </w:trPr>
        <w:tc>
          <w:tcPr>
            <w:tcW w:w="1659" w:type="dxa"/>
          </w:tcPr>
          <w:p w:rsidR="00CB0DD7" w:rsidRPr="000A0A5F" w:rsidRDefault="00CB0DD7">
            <w:pPr>
              <w:pStyle w:val="TAL"/>
              <w:rPr>
                <w:lang w:eastAsia="zh-CN"/>
              </w:rPr>
            </w:pPr>
            <w:r w:rsidRPr="000A0A5F">
              <w:rPr>
                <w:lang w:eastAsia="zh-CN"/>
              </w:rPr>
              <w:t>failureCode</w:t>
            </w:r>
          </w:p>
        </w:tc>
        <w:tc>
          <w:tcPr>
            <w:tcW w:w="1134" w:type="dxa"/>
          </w:tcPr>
          <w:p w:rsidR="00CB0DD7" w:rsidRPr="000A0A5F" w:rsidRDefault="00CB0DD7">
            <w:pPr>
              <w:pStyle w:val="TAL"/>
              <w:rPr>
                <w:lang w:eastAsia="zh-CN"/>
              </w:rPr>
            </w:pPr>
            <w:r w:rsidRPr="000A0A5F">
              <w:rPr>
                <w:lang w:eastAsia="zh-CN"/>
              </w:rPr>
              <w:t>RacsFailureCode</w:t>
            </w:r>
          </w:p>
        </w:tc>
        <w:tc>
          <w:tcPr>
            <w:tcW w:w="1134" w:type="dxa"/>
          </w:tcPr>
          <w:p w:rsidR="00CB0DD7" w:rsidRPr="000A0A5F" w:rsidRDefault="00CB0DD7">
            <w:pPr>
              <w:pStyle w:val="TAC"/>
              <w:jc w:val="left"/>
            </w:pPr>
            <w:r w:rsidRPr="000A0A5F">
              <w:rPr>
                <w:lang w:eastAsia="zh-CN"/>
              </w:rPr>
              <w:t>1</w:t>
            </w:r>
          </w:p>
        </w:tc>
        <w:tc>
          <w:tcPr>
            <w:tcW w:w="4393" w:type="dxa"/>
          </w:tcPr>
          <w:p w:rsidR="00CB0DD7" w:rsidRPr="000A0A5F" w:rsidRDefault="00CB0DD7">
            <w:pPr>
              <w:pStyle w:val="TAL"/>
              <w:rPr>
                <w:rFonts w:eastAsia="Times New Roman" w:cs="Arial"/>
                <w:szCs w:val="18"/>
              </w:rPr>
            </w:pPr>
            <w:r w:rsidRPr="000A0A5F">
              <w:rPr>
                <w:rFonts w:cs="Arial"/>
                <w:szCs w:val="18"/>
                <w:lang w:eastAsia="zh-CN"/>
              </w:rPr>
              <w:t>It indicates the failure reason.</w:t>
            </w:r>
          </w:p>
        </w:tc>
        <w:tc>
          <w:tcPr>
            <w:tcW w:w="1235" w:type="dxa"/>
          </w:tcPr>
          <w:p w:rsidR="00CB0DD7" w:rsidRPr="000A0A5F" w:rsidRDefault="00CB0DD7">
            <w:pPr>
              <w:pStyle w:val="TAC"/>
              <w:jc w:val="left"/>
              <w:rPr>
                <w:rFonts w:eastAsia="Times New Roman"/>
              </w:rPr>
            </w:pPr>
          </w:p>
        </w:tc>
      </w:tr>
      <w:tr w:rsidR="00CB0DD7" w:rsidRPr="000A0A5F" w:rsidTr="00FF0AF8">
        <w:trPr>
          <w:jc w:val="center"/>
        </w:trPr>
        <w:tc>
          <w:tcPr>
            <w:tcW w:w="9555" w:type="dxa"/>
            <w:gridSpan w:val="5"/>
            <w:hideMark/>
          </w:tcPr>
          <w:p w:rsidR="00CB0DD7" w:rsidRPr="000A0A5F" w:rsidRDefault="00CB0DD7">
            <w:pPr>
              <w:pStyle w:val="TAN"/>
            </w:pPr>
            <w:r w:rsidRPr="000A0A5F">
              <w:t>NOTE:</w:t>
            </w:r>
            <w:r w:rsidRPr="000A0A5F">
              <w:tab/>
              <w:t>Properties marked with a feature as defined in clause 5.16.4 are applicable as described in clause 5.2.7. If no features are indicated, the related property applies for all the features.</w:t>
            </w:r>
          </w:p>
        </w:tc>
      </w:tr>
    </w:tbl>
    <w:p w:rsidR="00CB0DD7" w:rsidRPr="000A0A5F" w:rsidRDefault="00CB0DD7">
      <w:pPr>
        <w:rPr>
          <w:lang w:val="en-US"/>
        </w:rPr>
      </w:pPr>
    </w:p>
    <w:p w:rsidR="00CB0DD7" w:rsidRPr="000A0A5F" w:rsidRDefault="00CB0DD7">
      <w:pPr>
        <w:pStyle w:val="Heading5"/>
      </w:pPr>
      <w:bookmarkStart w:id="9837" w:name="_Toc27045074"/>
      <w:bookmarkStart w:id="9838" w:name="_Toc36034125"/>
      <w:bookmarkStart w:id="9839" w:name="_Toc45132272"/>
      <w:bookmarkStart w:id="9840" w:name="_Toc49776557"/>
      <w:bookmarkStart w:id="9841" w:name="_Toc51747477"/>
      <w:bookmarkStart w:id="9842" w:name="_Toc66361059"/>
      <w:bookmarkStart w:id="9843" w:name="_Toc68105564"/>
      <w:bookmarkStart w:id="9844" w:name="_Toc74756196"/>
      <w:bookmarkStart w:id="9845" w:name="_Toc105675073"/>
      <w:bookmarkStart w:id="9846" w:name="_Toc130503151"/>
      <w:bookmarkStart w:id="9847" w:name="_Toc153625943"/>
      <w:r w:rsidRPr="000A0A5F">
        <w:t>5.16.2.1.4</w:t>
      </w:r>
      <w:r w:rsidRPr="000A0A5F">
        <w:tab/>
        <w:t>Type: RacsConfiguration</w:t>
      </w:r>
      <w:bookmarkEnd w:id="9837"/>
      <w:bookmarkEnd w:id="9838"/>
      <w:bookmarkEnd w:id="9839"/>
      <w:bookmarkEnd w:id="9840"/>
      <w:bookmarkEnd w:id="9841"/>
      <w:bookmarkEnd w:id="9842"/>
      <w:bookmarkEnd w:id="9843"/>
      <w:bookmarkEnd w:id="9844"/>
      <w:bookmarkEnd w:id="9845"/>
      <w:bookmarkEnd w:id="9846"/>
      <w:bookmarkEnd w:id="9847"/>
    </w:p>
    <w:p w:rsidR="00CB0DD7" w:rsidRPr="000A0A5F" w:rsidRDefault="00CB0DD7">
      <w:r w:rsidRPr="000A0A5F">
        <w:t xml:space="preserve">This type represents a single UE radio capability configuration data provided by the SCS/AS to the SCEF. </w:t>
      </w:r>
    </w:p>
    <w:p w:rsidR="00CB0DD7" w:rsidRPr="000A0A5F" w:rsidRDefault="00CB0DD7">
      <w:pPr>
        <w:pStyle w:val="TH"/>
      </w:pPr>
      <w:r w:rsidRPr="000A0A5F">
        <w:rPr>
          <w:noProof/>
        </w:rPr>
        <w:t>Table </w:t>
      </w:r>
      <w:r w:rsidRPr="000A0A5F">
        <w:t xml:space="preserve">5.16.2.1.4-1: </w:t>
      </w:r>
      <w:r w:rsidRPr="000A0A5F">
        <w:rPr>
          <w:noProof/>
        </w:rPr>
        <w:t xml:space="preserve">Definition of type </w:t>
      </w:r>
      <w:r w:rsidRPr="000A0A5F">
        <w:t>RacsConfiguration</w:t>
      </w:r>
    </w:p>
    <w:tbl>
      <w:tblPr>
        <w:tblW w:w="955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59"/>
        <w:gridCol w:w="1134"/>
        <w:gridCol w:w="1134"/>
        <w:gridCol w:w="4393"/>
        <w:gridCol w:w="1235"/>
      </w:tblGrid>
      <w:tr w:rsidR="00CB0DD7" w:rsidRPr="000A0A5F" w:rsidTr="00FF0AF8">
        <w:trPr>
          <w:trHeight w:val="288"/>
          <w:jc w:val="center"/>
        </w:trPr>
        <w:tc>
          <w:tcPr>
            <w:tcW w:w="1659" w:type="dxa"/>
            <w:shd w:val="clear" w:color="auto" w:fill="C0C0C0"/>
            <w:hideMark/>
          </w:tcPr>
          <w:p w:rsidR="00CB0DD7" w:rsidRPr="000A0A5F" w:rsidRDefault="00CB0DD7">
            <w:pPr>
              <w:pStyle w:val="TAH"/>
              <w:rPr>
                <w:rFonts w:eastAsia="Times New Roman"/>
              </w:rPr>
            </w:pPr>
            <w:r w:rsidRPr="000A0A5F">
              <w:rPr>
                <w:rFonts w:eastAsia="Times New Roman"/>
              </w:rPr>
              <w:t>Attribute name</w:t>
            </w:r>
          </w:p>
        </w:tc>
        <w:tc>
          <w:tcPr>
            <w:tcW w:w="1134" w:type="dxa"/>
            <w:shd w:val="clear" w:color="auto" w:fill="C0C0C0"/>
            <w:hideMark/>
          </w:tcPr>
          <w:p w:rsidR="00CB0DD7" w:rsidRPr="000A0A5F" w:rsidRDefault="00CB0DD7">
            <w:pPr>
              <w:pStyle w:val="TAH"/>
              <w:rPr>
                <w:rFonts w:eastAsia="Times New Roman"/>
              </w:rPr>
            </w:pPr>
            <w:r w:rsidRPr="000A0A5F">
              <w:rPr>
                <w:rFonts w:eastAsia="Times New Roman"/>
              </w:rPr>
              <w:t>Data type</w:t>
            </w:r>
          </w:p>
        </w:tc>
        <w:tc>
          <w:tcPr>
            <w:tcW w:w="1134" w:type="dxa"/>
            <w:shd w:val="clear" w:color="auto" w:fill="C0C0C0"/>
            <w:hideMark/>
          </w:tcPr>
          <w:p w:rsidR="00CB0DD7" w:rsidRPr="000A0A5F" w:rsidRDefault="00CB0DD7">
            <w:pPr>
              <w:pStyle w:val="TAH"/>
              <w:rPr>
                <w:rFonts w:eastAsia="Times New Roman"/>
              </w:rPr>
            </w:pPr>
            <w:r w:rsidRPr="000A0A5F">
              <w:rPr>
                <w:rFonts w:eastAsia="Times New Roman"/>
              </w:rPr>
              <w:t>Cardinality</w:t>
            </w:r>
          </w:p>
        </w:tc>
        <w:tc>
          <w:tcPr>
            <w:tcW w:w="4393" w:type="dxa"/>
            <w:shd w:val="clear" w:color="auto" w:fill="C0C0C0"/>
            <w:hideMark/>
          </w:tcPr>
          <w:p w:rsidR="00CB0DD7" w:rsidRPr="000A0A5F" w:rsidRDefault="00CB0DD7">
            <w:pPr>
              <w:pStyle w:val="TAH"/>
              <w:rPr>
                <w:rFonts w:eastAsia="Times New Roman" w:cs="Arial"/>
                <w:szCs w:val="18"/>
              </w:rPr>
            </w:pPr>
            <w:r w:rsidRPr="000A0A5F">
              <w:rPr>
                <w:rFonts w:eastAsia="Times New Roman" w:cs="Arial"/>
                <w:szCs w:val="18"/>
              </w:rPr>
              <w:t>Description</w:t>
            </w:r>
          </w:p>
        </w:tc>
        <w:tc>
          <w:tcPr>
            <w:tcW w:w="1235" w:type="dxa"/>
            <w:shd w:val="clear" w:color="auto" w:fill="C0C0C0"/>
            <w:hideMark/>
          </w:tcPr>
          <w:p w:rsidR="00CB0DD7" w:rsidRPr="000A0A5F" w:rsidRDefault="00CB0DD7">
            <w:pPr>
              <w:pStyle w:val="TAH"/>
              <w:rPr>
                <w:rFonts w:eastAsia="Times New Roman"/>
              </w:rPr>
            </w:pPr>
            <w:r w:rsidRPr="000A0A5F">
              <w:rPr>
                <w:rFonts w:eastAsia="Times New Roman" w:cs="Arial"/>
                <w:szCs w:val="18"/>
              </w:rPr>
              <w:t>Applicability (NOTE 1)</w:t>
            </w:r>
          </w:p>
        </w:tc>
      </w:tr>
      <w:tr w:rsidR="00CB0DD7" w:rsidRPr="000A0A5F" w:rsidTr="00FF0AF8">
        <w:trPr>
          <w:jc w:val="center"/>
        </w:trPr>
        <w:tc>
          <w:tcPr>
            <w:tcW w:w="1659" w:type="dxa"/>
            <w:hideMark/>
          </w:tcPr>
          <w:p w:rsidR="00CB0DD7" w:rsidRPr="000A0A5F" w:rsidRDefault="00CB0DD7">
            <w:pPr>
              <w:pStyle w:val="TAL"/>
              <w:rPr>
                <w:rFonts w:eastAsia="Times New Roman"/>
              </w:rPr>
            </w:pPr>
            <w:r w:rsidRPr="000A0A5F">
              <w:rPr>
                <w:lang w:eastAsia="zh-CN"/>
              </w:rPr>
              <w:t>racsId</w:t>
            </w:r>
          </w:p>
        </w:tc>
        <w:tc>
          <w:tcPr>
            <w:tcW w:w="1134" w:type="dxa"/>
            <w:hideMark/>
          </w:tcPr>
          <w:p w:rsidR="00CB0DD7" w:rsidRPr="000A0A5F" w:rsidRDefault="00CB0DD7">
            <w:pPr>
              <w:pStyle w:val="TAL"/>
              <w:rPr>
                <w:rFonts w:eastAsia="Times New Roman"/>
              </w:rPr>
            </w:pPr>
            <w:r w:rsidRPr="000A0A5F">
              <w:rPr>
                <w:rFonts w:eastAsia="Times New Roman"/>
              </w:rPr>
              <w:t>string</w:t>
            </w:r>
          </w:p>
        </w:tc>
        <w:tc>
          <w:tcPr>
            <w:tcW w:w="1134" w:type="dxa"/>
            <w:hideMark/>
          </w:tcPr>
          <w:p w:rsidR="00CB0DD7" w:rsidRPr="000A0A5F" w:rsidRDefault="00CB0DD7">
            <w:pPr>
              <w:pStyle w:val="TAC"/>
              <w:jc w:val="left"/>
              <w:rPr>
                <w:rFonts w:eastAsia="Times New Roman"/>
              </w:rPr>
            </w:pPr>
            <w:r w:rsidRPr="000A0A5F">
              <w:rPr>
                <w:rFonts w:eastAsia="Times New Roman"/>
              </w:rPr>
              <w:t>1</w:t>
            </w:r>
          </w:p>
        </w:tc>
        <w:tc>
          <w:tcPr>
            <w:tcW w:w="4393" w:type="dxa"/>
            <w:hideMark/>
          </w:tcPr>
          <w:p w:rsidR="00CB0DD7" w:rsidRPr="000A0A5F" w:rsidRDefault="00CB0DD7">
            <w:pPr>
              <w:pStyle w:val="TAL"/>
              <w:rPr>
                <w:rFonts w:cs="Arial"/>
                <w:szCs w:val="18"/>
                <w:lang w:eastAsia="zh-CN"/>
              </w:rPr>
            </w:pPr>
            <w:r w:rsidRPr="000A0A5F">
              <w:rPr>
                <w:rFonts w:cs="Arial"/>
                <w:szCs w:val="18"/>
                <w:lang w:eastAsia="zh-CN"/>
              </w:rPr>
              <w:t>The UE radio capability ID provided by the SCS/AS to identify the UE radio capability data. See 3GPP </w:t>
            </w:r>
            <w:r w:rsidRPr="000A0A5F">
              <w:rPr>
                <w:rFonts w:cs="Arial"/>
                <w:lang w:eastAsia="ja-JP"/>
              </w:rPr>
              <w:t>TS 23.003 [14] for the encoding. (NOTE</w:t>
            </w:r>
            <w:r w:rsidRPr="000A0A5F">
              <w:rPr>
                <w:rFonts w:cs="Arial"/>
                <w:lang w:val="en-US" w:eastAsia="ja-JP"/>
              </w:rPr>
              <w:t> 3</w:t>
            </w:r>
            <w:r w:rsidRPr="000A0A5F">
              <w:rPr>
                <w:rFonts w:cs="Arial"/>
                <w:lang w:eastAsia="ja-JP"/>
              </w:rPr>
              <w:t>)</w:t>
            </w:r>
          </w:p>
        </w:tc>
        <w:tc>
          <w:tcPr>
            <w:tcW w:w="1235" w:type="dxa"/>
          </w:tcPr>
          <w:p w:rsidR="00CB0DD7" w:rsidRPr="000A0A5F" w:rsidRDefault="00CB0DD7">
            <w:pPr>
              <w:pStyle w:val="TAC"/>
              <w:jc w:val="left"/>
              <w:rPr>
                <w:rFonts w:eastAsia="Times New Roman"/>
              </w:rPr>
            </w:pPr>
          </w:p>
        </w:tc>
      </w:tr>
      <w:tr w:rsidR="00CB0DD7" w:rsidRPr="000A0A5F" w:rsidTr="00FF0AF8">
        <w:trPr>
          <w:jc w:val="center"/>
        </w:trPr>
        <w:tc>
          <w:tcPr>
            <w:tcW w:w="1659" w:type="dxa"/>
            <w:hideMark/>
          </w:tcPr>
          <w:p w:rsidR="00CB0DD7" w:rsidRPr="000A0A5F" w:rsidRDefault="00CB0DD7">
            <w:pPr>
              <w:pStyle w:val="TAL"/>
              <w:rPr>
                <w:lang w:eastAsia="zh-CN"/>
              </w:rPr>
            </w:pPr>
            <w:r w:rsidRPr="000A0A5F">
              <w:rPr>
                <w:lang w:eastAsia="zh-CN"/>
              </w:rPr>
              <w:t>racsParamEps</w:t>
            </w:r>
          </w:p>
        </w:tc>
        <w:tc>
          <w:tcPr>
            <w:tcW w:w="1134" w:type="dxa"/>
            <w:hideMark/>
          </w:tcPr>
          <w:p w:rsidR="00CB0DD7" w:rsidRPr="000A0A5F" w:rsidRDefault="00CB0DD7">
            <w:pPr>
              <w:pStyle w:val="TAL"/>
              <w:rPr>
                <w:lang w:eastAsia="zh-CN"/>
              </w:rPr>
            </w:pPr>
            <w:r w:rsidRPr="000A0A5F">
              <w:rPr>
                <w:lang w:eastAsia="zh-CN"/>
              </w:rPr>
              <w:t>string</w:t>
            </w:r>
          </w:p>
        </w:tc>
        <w:tc>
          <w:tcPr>
            <w:tcW w:w="1134" w:type="dxa"/>
            <w:hideMark/>
          </w:tcPr>
          <w:p w:rsidR="00CB0DD7" w:rsidRPr="000A0A5F" w:rsidRDefault="00CB0DD7">
            <w:pPr>
              <w:pStyle w:val="TAC"/>
              <w:jc w:val="left"/>
              <w:rPr>
                <w:rFonts w:eastAsia="Times New Roman"/>
              </w:rPr>
            </w:pPr>
            <w:r w:rsidRPr="000A0A5F">
              <w:rPr>
                <w:lang w:eastAsia="zh-CN"/>
              </w:rPr>
              <w:t>0..1</w:t>
            </w:r>
          </w:p>
        </w:tc>
        <w:tc>
          <w:tcPr>
            <w:tcW w:w="4393" w:type="dxa"/>
            <w:hideMark/>
          </w:tcPr>
          <w:p w:rsidR="00CB0DD7" w:rsidRPr="000A0A5F" w:rsidRDefault="00CB0DD7">
            <w:pPr>
              <w:pStyle w:val="TAL"/>
              <w:rPr>
                <w:rFonts w:cs="Arial"/>
                <w:szCs w:val="18"/>
                <w:lang w:eastAsia="zh-CN"/>
              </w:rPr>
            </w:pPr>
            <w:r w:rsidRPr="000A0A5F">
              <w:rPr>
                <w:rFonts w:cs="Arial"/>
                <w:szCs w:val="18"/>
                <w:lang w:eastAsia="zh-CN"/>
              </w:rPr>
              <w:t xml:space="preserve">The UE radio capability data in EPS, </w:t>
            </w:r>
            <w:r w:rsidRPr="000A0A5F">
              <w:t>its encoding shall comply with the UE-CapabilityRAT-ContainerList as defined in clause</w:t>
            </w:r>
            <w:r w:rsidR="000902D9" w:rsidRPr="000A0A5F">
              <w:t> </w:t>
            </w:r>
            <w:r w:rsidRPr="000A0A5F">
              <w:t>6.3.6 of 3GPP TS 36.331 [59].</w:t>
            </w:r>
            <w:r w:rsidRPr="000A0A5F">
              <w:rPr>
                <w:rFonts w:hint="eastAsia"/>
              </w:rPr>
              <w:t xml:space="preserve"> </w:t>
            </w:r>
            <w:r w:rsidRPr="000A0A5F">
              <w:t>(NOTE 2, NOTE 4)</w:t>
            </w:r>
          </w:p>
        </w:tc>
        <w:tc>
          <w:tcPr>
            <w:tcW w:w="1235" w:type="dxa"/>
            <w:hideMark/>
          </w:tcPr>
          <w:p w:rsidR="00CB0DD7" w:rsidRPr="000A0A5F" w:rsidRDefault="00CB0DD7">
            <w:pPr>
              <w:pStyle w:val="TAC"/>
              <w:jc w:val="left"/>
              <w:rPr>
                <w:rFonts w:eastAsia="Times New Roman"/>
              </w:rPr>
            </w:pPr>
          </w:p>
        </w:tc>
      </w:tr>
      <w:tr w:rsidR="00CB0DD7" w:rsidRPr="000A0A5F" w:rsidTr="00FF0AF8">
        <w:trPr>
          <w:jc w:val="center"/>
        </w:trPr>
        <w:tc>
          <w:tcPr>
            <w:tcW w:w="1659" w:type="dxa"/>
          </w:tcPr>
          <w:p w:rsidR="00CB0DD7" w:rsidRPr="000A0A5F" w:rsidRDefault="00CB0DD7">
            <w:pPr>
              <w:pStyle w:val="TAL"/>
              <w:rPr>
                <w:lang w:eastAsia="zh-CN"/>
              </w:rPr>
            </w:pPr>
            <w:r w:rsidRPr="000A0A5F">
              <w:t>racsParam5Gs</w:t>
            </w:r>
          </w:p>
        </w:tc>
        <w:tc>
          <w:tcPr>
            <w:tcW w:w="1134" w:type="dxa"/>
          </w:tcPr>
          <w:p w:rsidR="00CB0DD7" w:rsidRPr="000A0A5F" w:rsidRDefault="00CB0DD7">
            <w:pPr>
              <w:pStyle w:val="TAL"/>
              <w:rPr>
                <w:lang w:eastAsia="zh-CN"/>
              </w:rPr>
            </w:pPr>
            <w:r w:rsidRPr="000A0A5F">
              <w:t>string</w:t>
            </w:r>
          </w:p>
        </w:tc>
        <w:tc>
          <w:tcPr>
            <w:tcW w:w="1134" w:type="dxa"/>
          </w:tcPr>
          <w:p w:rsidR="00CB0DD7" w:rsidRPr="000A0A5F" w:rsidRDefault="00CB0DD7">
            <w:pPr>
              <w:pStyle w:val="TAC"/>
              <w:jc w:val="left"/>
              <w:rPr>
                <w:lang w:eastAsia="zh-CN"/>
              </w:rPr>
            </w:pPr>
            <w:r w:rsidRPr="000A0A5F">
              <w:t>0..1</w:t>
            </w:r>
          </w:p>
        </w:tc>
        <w:tc>
          <w:tcPr>
            <w:tcW w:w="4393" w:type="dxa"/>
          </w:tcPr>
          <w:p w:rsidR="00CB0DD7" w:rsidRPr="000A0A5F" w:rsidRDefault="00CB0DD7">
            <w:pPr>
              <w:pStyle w:val="TAL"/>
              <w:rPr>
                <w:rFonts w:cs="Arial"/>
                <w:szCs w:val="18"/>
                <w:lang w:eastAsia="zh-CN"/>
              </w:rPr>
            </w:pPr>
            <w:r w:rsidRPr="000A0A5F">
              <w:t>The UE radio capability data in 5GS, its encoding shall comply with the UE-CapabilityRAT-ContainerList as defined in clause</w:t>
            </w:r>
            <w:r w:rsidR="000902D9" w:rsidRPr="000A0A5F">
              <w:t> </w:t>
            </w:r>
            <w:r w:rsidRPr="000A0A5F">
              <w:t>6.3.3 of 3GPP TS 38.331 [60]. (NOTE 2, NOTE 4)</w:t>
            </w:r>
          </w:p>
        </w:tc>
        <w:tc>
          <w:tcPr>
            <w:tcW w:w="1235" w:type="dxa"/>
          </w:tcPr>
          <w:p w:rsidR="00CB0DD7" w:rsidRPr="000A0A5F" w:rsidRDefault="00CB0DD7">
            <w:pPr>
              <w:pStyle w:val="TAC"/>
              <w:jc w:val="left"/>
              <w:rPr>
                <w:rFonts w:eastAsia="Times New Roman"/>
              </w:rPr>
            </w:pPr>
          </w:p>
        </w:tc>
      </w:tr>
      <w:tr w:rsidR="00CB0DD7" w:rsidRPr="000A0A5F" w:rsidTr="00FF0AF8">
        <w:trPr>
          <w:jc w:val="center"/>
        </w:trPr>
        <w:tc>
          <w:tcPr>
            <w:tcW w:w="1659" w:type="dxa"/>
          </w:tcPr>
          <w:p w:rsidR="00CB0DD7" w:rsidRPr="000A0A5F" w:rsidRDefault="00CB0DD7">
            <w:pPr>
              <w:pStyle w:val="TAL"/>
              <w:rPr>
                <w:lang w:eastAsia="zh-CN"/>
              </w:rPr>
            </w:pPr>
            <w:bookmarkStart w:id="9848" w:name="_Hlk37423452"/>
            <w:r w:rsidRPr="000A0A5F">
              <w:rPr>
                <w:lang w:eastAsia="zh-CN"/>
              </w:rPr>
              <w:t>imeiTac</w:t>
            </w:r>
            <w:bookmarkEnd w:id="9848"/>
            <w:r w:rsidRPr="000A0A5F">
              <w:rPr>
                <w:lang w:eastAsia="zh-CN"/>
              </w:rPr>
              <w:t>s</w:t>
            </w:r>
          </w:p>
        </w:tc>
        <w:tc>
          <w:tcPr>
            <w:tcW w:w="1134" w:type="dxa"/>
          </w:tcPr>
          <w:p w:rsidR="00CB0DD7" w:rsidRPr="000A0A5F" w:rsidRDefault="00CB0DD7">
            <w:pPr>
              <w:pStyle w:val="TAL"/>
              <w:rPr>
                <w:lang w:eastAsia="zh-CN"/>
              </w:rPr>
            </w:pPr>
            <w:r w:rsidRPr="000A0A5F">
              <w:rPr>
                <w:lang w:eastAsia="zh-CN"/>
              </w:rPr>
              <w:t>array(TypeAllocationCode)</w:t>
            </w:r>
          </w:p>
        </w:tc>
        <w:tc>
          <w:tcPr>
            <w:tcW w:w="1134" w:type="dxa"/>
          </w:tcPr>
          <w:p w:rsidR="00CB0DD7" w:rsidRPr="000A0A5F" w:rsidRDefault="00CB0DD7">
            <w:pPr>
              <w:pStyle w:val="TAC"/>
              <w:jc w:val="left"/>
              <w:rPr>
                <w:lang w:eastAsia="zh-CN"/>
              </w:rPr>
            </w:pPr>
            <w:r w:rsidRPr="000A0A5F">
              <w:rPr>
                <w:lang w:eastAsia="zh-CN"/>
              </w:rPr>
              <w:t>1..N</w:t>
            </w:r>
          </w:p>
        </w:tc>
        <w:tc>
          <w:tcPr>
            <w:tcW w:w="4393" w:type="dxa"/>
          </w:tcPr>
          <w:p w:rsidR="00CB0DD7" w:rsidRPr="000A0A5F" w:rsidRDefault="00CB0DD7">
            <w:pPr>
              <w:pStyle w:val="TAL"/>
              <w:rPr>
                <w:rFonts w:cs="Arial"/>
                <w:szCs w:val="18"/>
                <w:lang w:eastAsia="zh-CN"/>
              </w:rPr>
            </w:pPr>
            <w:r w:rsidRPr="000A0A5F">
              <w:rPr>
                <w:rFonts w:cs="Arial"/>
                <w:szCs w:val="18"/>
                <w:lang w:eastAsia="zh-CN"/>
              </w:rPr>
              <w:t>Related UE model's IMEI-TAC values</w:t>
            </w:r>
          </w:p>
        </w:tc>
        <w:tc>
          <w:tcPr>
            <w:tcW w:w="1235" w:type="dxa"/>
          </w:tcPr>
          <w:p w:rsidR="00CB0DD7" w:rsidRPr="000A0A5F" w:rsidRDefault="00CB0DD7">
            <w:pPr>
              <w:pStyle w:val="TAC"/>
              <w:jc w:val="left"/>
              <w:rPr>
                <w:rFonts w:eastAsia="Times New Roman"/>
              </w:rPr>
            </w:pPr>
          </w:p>
        </w:tc>
      </w:tr>
      <w:tr w:rsidR="00CB0DD7" w:rsidRPr="000A0A5F" w:rsidTr="00FF0AF8">
        <w:trPr>
          <w:jc w:val="center"/>
        </w:trPr>
        <w:tc>
          <w:tcPr>
            <w:tcW w:w="9555" w:type="dxa"/>
            <w:gridSpan w:val="5"/>
            <w:hideMark/>
          </w:tcPr>
          <w:p w:rsidR="00CB0DD7" w:rsidRPr="000A0A5F" w:rsidRDefault="00CB0DD7">
            <w:pPr>
              <w:pStyle w:val="TAN"/>
            </w:pPr>
            <w:r w:rsidRPr="000A0A5F">
              <w:t>NOTE</w:t>
            </w:r>
            <w:r w:rsidRPr="000A0A5F">
              <w:rPr>
                <w:rFonts w:ascii="Cambria" w:eastAsia="Cambria" w:hAnsi="Cambria"/>
              </w:rPr>
              <w:t> 1</w:t>
            </w:r>
            <w:r w:rsidRPr="000A0A5F">
              <w:t>:</w:t>
            </w:r>
            <w:r w:rsidRPr="000A0A5F">
              <w:tab/>
              <w:t>Properties marked with a feature as defined in clause 5.16.4 are applicable as described in clause 5.2.7. If no features are indicated, the related property applies for all the features.</w:t>
            </w:r>
          </w:p>
          <w:p w:rsidR="00CB0DD7" w:rsidRPr="000A0A5F" w:rsidRDefault="00CB0DD7">
            <w:pPr>
              <w:pStyle w:val="TAN"/>
            </w:pPr>
            <w:r w:rsidRPr="000A0A5F">
              <w:t>NOTE 2:</w:t>
            </w:r>
            <w:r w:rsidRPr="000A0A5F">
              <w:tab/>
              <w:t xml:space="preserve">At least one of racsParamEps or racsParam5Gs shall be provided. </w:t>
            </w:r>
          </w:p>
          <w:p w:rsidR="00CB0DD7" w:rsidRPr="000A0A5F" w:rsidRDefault="00CB0DD7">
            <w:pPr>
              <w:keepNext/>
              <w:keepLines/>
              <w:spacing w:after="0"/>
              <w:ind w:left="851" w:hanging="851"/>
              <w:rPr>
                <w:rFonts w:ascii="Arial" w:hAnsi="Arial"/>
                <w:sz w:val="18"/>
              </w:rPr>
            </w:pPr>
            <w:r w:rsidRPr="000A0A5F">
              <w:t>NOTE 3:</w:t>
            </w:r>
            <w:r w:rsidRPr="000A0A5F">
              <w:tab/>
              <w:t>A racsId shall only belong to one "Individual RACS Parameter Provisioning" resource.</w:t>
            </w:r>
            <w:r w:rsidRPr="000A0A5F">
              <w:rPr>
                <w:rFonts w:ascii="Arial" w:hAnsi="Arial"/>
                <w:sz w:val="18"/>
              </w:rPr>
              <w:t xml:space="preserve"> </w:t>
            </w:r>
          </w:p>
          <w:p w:rsidR="00CB0DD7" w:rsidRPr="000A0A5F" w:rsidRDefault="00CB0DD7">
            <w:pPr>
              <w:pStyle w:val="TAN"/>
            </w:pPr>
            <w:r w:rsidRPr="000A0A5F">
              <w:t xml:space="preserve">NOTE 4: </w:t>
            </w:r>
            <w:r w:rsidRPr="000A0A5F">
              <w:tab/>
              <w:t>UTRAN capabilities shall not be included within the "racsParamEps" attribute and/or the "racsParam5Gs" attribute.</w:t>
            </w:r>
          </w:p>
        </w:tc>
      </w:tr>
    </w:tbl>
    <w:p w:rsidR="00CB0DD7" w:rsidRPr="000A0A5F" w:rsidRDefault="00CB0DD7">
      <w:pPr>
        <w:rPr>
          <w:lang w:val="en-US"/>
        </w:rPr>
      </w:pPr>
    </w:p>
    <w:p w:rsidR="00CB0DD7" w:rsidRPr="000A0A5F" w:rsidRDefault="00CB0DD7">
      <w:pPr>
        <w:pStyle w:val="Heading5"/>
      </w:pPr>
      <w:bookmarkStart w:id="9849" w:name="_Toc27045075"/>
      <w:bookmarkStart w:id="9850" w:name="_Toc36034126"/>
      <w:bookmarkStart w:id="9851" w:name="_Toc45132273"/>
      <w:bookmarkStart w:id="9852" w:name="_Toc49776558"/>
      <w:bookmarkStart w:id="9853" w:name="_Toc51747478"/>
      <w:bookmarkStart w:id="9854" w:name="_Toc66361060"/>
      <w:bookmarkStart w:id="9855" w:name="_Toc68105565"/>
      <w:bookmarkStart w:id="9856" w:name="_Toc74756197"/>
      <w:bookmarkStart w:id="9857" w:name="_Toc105675074"/>
      <w:bookmarkStart w:id="9858" w:name="_Toc130503152"/>
      <w:bookmarkStart w:id="9859" w:name="_Toc153625944"/>
      <w:r w:rsidRPr="000A0A5F">
        <w:t>5.16.2.1.5</w:t>
      </w:r>
      <w:r w:rsidRPr="000A0A5F">
        <w:tab/>
        <w:t>Type: RacsProvisioningDataPatch</w:t>
      </w:r>
      <w:bookmarkEnd w:id="9849"/>
      <w:bookmarkEnd w:id="9850"/>
      <w:bookmarkEnd w:id="9851"/>
      <w:bookmarkEnd w:id="9852"/>
      <w:bookmarkEnd w:id="9853"/>
      <w:bookmarkEnd w:id="9854"/>
      <w:bookmarkEnd w:id="9855"/>
      <w:bookmarkEnd w:id="9856"/>
      <w:bookmarkEnd w:id="9857"/>
      <w:bookmarkEnd w:id="9858"/>
      <w:bookmarkEnd w:id="9859"/>
    </w:p>
    <w:p w:rsidR="00CB0DD7" w:rsidRPr="000A0A5F" w:rsidRDefault="00CB0DD7">
      <w:r w:rsidRPr="000A0A5F">
        <w:t>This type represents a UE radio capability data provided by the SCS/AS to the SCEF. This structure is used in the PATCH request.</w:t>
      </w:r>
    </w:p>
    <w:p w:rsidR="00CB0DD7" w:rsidRPr="000A0A5F" w:rsidRDefault="00CB0DD7">
      <w:pPr>
        <w:pStyle w:val="TH"/>
      </w:pPr>
      <w:r w:rsidRPr="000A0A5F">
        <w:rPr>
          <w:noProof/>
        </w:rPr>
        <w:t>Table </w:t>
      </w:r>
      <w:r w:rsidRPr="000A0A5F">
        <w:t xml:space="preserve">5.16.2.1.5-1: </w:t>
      </w:r>
      <w:r w:rsidRPr="000A0A5F">
        <w:rPr>
          <w:noProof/>
        </w:rPr>
        <w:t>Definition of type Racs</w:t>
      </w:r>
      <w:r w:rsidRPr="000A0A5F">
        <w:t>ProvisioningDataPatch</w:t>
      </w:r>
    </w:p>
    <w:tbl>
      <w:tblPr>
        <w:tblW w:w="955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59"/>
        <w:gridCol w:w="1134"/>
        <w:gridCol w:w="1134"/>
        <w:gridCol w:w="4393"/>
        <w:gridCol w:w="1235"/>
      </w:tblGrid>
      <w:tr w:rsidR="00CB0DD7" w:rsidRPr="000A0A5F" w:rsidTr="00FF0AF8">
        <w:trPr>
          <w:trHeight w:val="288"/>
          <w:jc w:val="center"/>
        </w:trPr>
        <w:tc>
          <w:tcPr>
            <w:tcW w:w="1659" w:type="dxa"/>
            <w:shd w:val="clear" w:color="auto" w:fill="C0C0C0"/>
            <w:hideMark/>
          </w:tcPr>
          <w:p w:rsidR="00CB0DD7" w:rsidRPr="000A0A5F" w:rsidRDefault="00CB0DD7">
            <w:pPr>
              <w:pStyle w:val="TAH"/>
              <w:rPr>
                <w:rFonts w:eastAsia="Times New Roman"/>
              </w:rPr>
            </w:pPr>
            <w:r w:rsidRPr="000A0A5F">
              <w:rPr>
                <w:rFonts w:eastAsia="Times New Roman"/>
              </w:rPr>
              <w:t>Attribute name</w:t>
            </w:r>
          </w:p>
        </w:tc>
        <w:tc>
          <w:tcPr>
            <w:tcW w:w="1134" w:type="dxa"/>
            <w:shd w:val="clear" w:color="auto" w:fill="C0C0C0"/>
            <w:hideMark/>
          </w:tcPr>
          <w:p w:rsidR="00CB0DD7" w:rsidRPr="000A0A5F" w:rsidRDefault="00CB0DD7">
            <w:pPr>
              <w:pStyle w:val="TAH"/>
              <w:rPr>
                <w:rFonts w:eastAsia="Times New Roman"/>
              </w:rPr>
            </w:pPr>
            <w:r w:rsidRPr="000A0A5F">
              <w:rPr>
                <w:rFonts w:eastAsia="Times New Roman"/>
              </w:rPr>
              <w:t>Data type</w:t>
            </w:r>
          </w:p>
        </w:tc>
        <w:tc>
          <w:tcPr>
            <w:tcW w:w="1134" w:type="dxa"/>
            <w:shd w:val="clear" w:color="auto" w:fill="C0C0C0"/>
            <w:hideMark/>
          </w:tcPr>
          <w:p w:rsidR="00CB0DD7" w:rsidRPr="000A0A5F" w:rsidRDefault="00CB0DD7">
            <w:pPr>
              <w:pStyle w:val="TAH"/>
              <w:rPr>
                <w:rFonts w:eastAsia="Times New Roman"/>
              </w:rPr>
            </w:pPr>
            <w:r w:rsidRPr="000A0A5F">
              <w:rPr>
                <w:rFonts w:eastAsia="Times New Roman"/>
              </w:rPr>
              <w:t>Cardinality</w:t>
            </w:r>
          </w:p>
        </w:tc>
        <w:tc>
          <w:tcPr>
            <w:tcW w:w="4393" w:type="dxa"/>
            <w:shd w:val="clear" w:color="auto" w:fill="C0C0C0"/>
            <w:hideMark/>
          </w:tcPr>
          <w:p w:rsidR="00CB0DD7" w:rsidRPr="000A0A5F" w:rsidRDefault="00CB0DD7">
            <w:pPr>
              <w:pStyle w:val="TAH"/>
              <w:rPr>
                <w:rFonts w:eastAsia="Times New Roman" w:cs="Arial"/>
                <w:szCs w:val="18"/>
              </w:rPr>
            </w:pPr>
            <w:r w:rsidRPr="000A0A5F">
              <w:rPr>
                <w:rFonts w:eastAsia="Times New Roman" w:cs="Arial"/>
                <w:szCs w:val="18"/>
              </w:rPr>
              <w:t>Description</w:t>
            </w:r>
          </w:p>
        </w:tc>
        <w:tc>
          <w:tcPr>
            <w:tcW w:w="1235" w:type="dxa"/>
            <w:shd w:val="clear" w:color="auto" w:fill="C0C0C0"/>
            <w:hideMark/>
          </w:tcPr>
          <w:p w:rsidR="00CB0DD7" w:rsidRPr="000A0A5F" w:rsidRDefault="00CB0DD7">
            <w:pPr>
              <w:pStyle w:val="TAH"/>
              <w:rPr>
                <w:rFonts w:eastAsia="Times New Roman"/>
              </w:rPr>
            </w:pPr>
            <w:r w:rsidRPr="000A0A5F">
              <w:rPr>
                <w:rFonts w:eastAsia="Times New Roman" w:cs="Arial"/>
                <w:szCs w:val="18"/>
              </w:rPr>
              <w:t>Applicability (NOTE)</w:t>
            </w:r>
          </w:p>
        </w:tc>
      </w:tr>
      <w:tr w:rsidR="00CB0DD7" w:rsidRPr="000A0A5F" w:rsidTr="00FF0AF8">
        <w:trPr>
          <w:jc w:val="center"/>
        </w:trPr>
        <w:tc>
          <w:tcPr>
            <w:tcW w:w="1659" w:type="dxa"/>
            <w:hideMark/>
          </w:tcPr>
          <w:p w:rsidR="00CB0DD7" w:rsidRPr="000A0A5F" w:rsidRDefault="00CB0DD7">
            <w:pPr>
              <w:pStyle w:val="TAL"/>
              <w:rPr>
                <w:lang w:eastAsia="zh-CN"/>
              </w:rPr>
            </w:pPr>
            <w:r w:rsidRPr="000A0A5F">
              <w:rPr>
                <w:lang w:eastAsia="zh-CN"/>
              </w:rPr>
              <w:t>racsConfigs</w:t>
            </w:r>
          </w:p>
        </w:tc>
        <w:tc>
          <w:tcPr>
            <w:tcW w:w="1134" w:type="dxa"/>
            <w:hideMark/>
          </w:tcPr>
          <w:p w:rsidR="00CB0DD7" w:rsidRPr="000A0A5F" w:rsidRDefault="00CB0DD7">
            <w:pPr>
              <w:pStyle w:val="TAL"/>
              <w:rPr>
                <w:rFonts w:eastAsia="Times New Roman"/>
              </w:rPr>
            </w:pPr>
            <w:r w:rsidRPr="000A0A5F">
              <w:rPr>
                <w:lang w:eastAsia="zh-CN"/>
              </w:rPr>
              <w:t>map(RacsConfigurationRm)</w:t>
            </w:r>
          </w:p>
        </w:tc>
        <w:tc>
          <w:tcPr>
            <w:tcW w:w="1134" w:type="dxa"/>
            <w:hideMark/>
          </w:tcPr>
          <w:p w:rsidR="00CB0DD7" w:rsidRPr="000A0A5F" w:rsidRDefault="00CB0DD7">
            <w:pPr>
              <w:pStyle w:val="TAC"/>
              <w:jc w:val="left"/>
              <w:rPr>
                <w:rFonts w:eastAsia="Times New Roman"/>
              </w:rPr>
            </w:pPr>
            <w:r w:rsidRPr="000A0A5F">
              <w:rPr>
                <w:rFonts w:eastAsia="Times New Roman"/>
              </w:rPr>
              <w:t>0..N</w:t>
            </w:r>
          </w:p>
        </w:tc>
        <w:tc>
          <w:tcPr>
            <w:tcW w:w="4393" w:type="dxa"/>
            <w:hideMark/>
          </w:tcPr>
          <w:p w:rsidR="00CB0DD7" w:rsidRPr="000A0A5F" w:rsidRDefault="00CB0DD7">
            <w:pPr>
              <w:pStyle w:val="TAL"/>
              <w:rPr>
                <w:rFonts w:eastAsia="Times New Roman" w:cs="Arial"/>
                <w:szCs w:val="18"/>
              </w:rPr>
            </w:pPr>
            <w:r w:rsidRPr="000A0A5F">
              <w:rPr>
                <w:rFonts w:cs="Arial"/>
                <w:szCs w:val="18"/>
                <w:lang w:eastAsia="zh-CN"/>
              </w:rPr>
              <w:t>Identifies the configuration related to manufactuer specific UE radio capability.</w:t>
            </w:r>
            <w:r w:rsidRPr="000A0A5F">
              <w:rPr>
                <w:rFonts w:eastAsia="Times New Roman" w:cs="Arial"/>
                <w:szCs w:val="18"/>
              </w:rPr>
              <w:t xml:space="preserve"> Each element uniquely identifies an RACS configuration for an RACS ID and is identified in the map via the RACS ID as key.</w:t>
            </w:r>
          </w:p>
        </w:tc>
        <w:tc>
          <w:tcPr>
            <w:tcW w:w="1235" w:type="dxa"/>
          </w:tcPr>
          <w:p w:rsidR="00CB0DD7" w:rsidRPr="000A0A5F" w:rsidRDefault="00CB0DD7">
            <w:pPr>
              <w:pStyle w:val="TAC"/>
              <w:jc w:val="left"/>
              <w:rPr>
                <w:rFonts w:eastAsia="Times New Roman"/>
              </w:rPr>
            </w:pPr>
          </w:p>
        </w:tc>
      </w:tr>
      <w:tr w:rsidR="00CB0DD7" w:rsidRPr="000A0A5F" w:rsidTr="00FF0AF8">
        <w:trPr>
          <w:jc w:val="center"/>
        </w:trPr>
        <w:tc>
          <w:tcPr>
            <w:tcW w:w="9555" w:type="dxa"/>
            <w:gridSpan w:val="5"/>
            <w:hideMark/>
          </w:tcPr>
          <w:p w:rsidR="00CB0DD7" w:rsidRPr="000A0A5F" w:rsidRDefault="00CB0DD7">
            <w:pPr>
              <w:pStyle w:val="TAN"/>
            </w:pPr>
            <w:r w:rsidRPr="000A0A5F">
              <w:t>NOTE:</w:t>
            </w:r>
            <w:r w:rsidRPr="000A0A5F">
              <w:tab/>
              <w:t>Properties marked with a feature as defined in clause 5.16.4 are applicable as described in clause 5.2.7. If no features are indicated, the related property applies for all the features.</w:t>
            </w:r>
          </w:p>
        </w:tc>
      </w:tr>
    </w:tbl>
    <w:p w:rsidR="00CB0DD7" w:rsidRPr="000A0A5F" w:rsidRDefault="00CB0DD7">
      <w:pPr>
        <w:rPr>
          <w:lang w:val="en-US"/>
        </w:rPr>
      </w:pPr>
    </w:p>
    <w:p w:rsidR="00CB0DD7" w:rsidRPr="000A0A5F" w:rsidRDefault="00CB0DD7">
      <w:pPr>
        <w:pStyle w:val="Heading5"/>
      </w:pPr>
      <w:bookmarkStart w:id="9860" w:name="_Toc45132274"/>
      <w:bookmarkStart w:id="9861" w:name="_Toc49776559"/>
      <w:bookmarkStart w:id="9862" w:name="_Toc51747479"/>
      <w:bookmarkStart w:id="9863" w:name="_Toc66361061"/>
      <w:bookmarkStart w:id="9864" w:name="_Toc68105566"/>
      <w:bookmarkStart w:id="9865" w:name="_Toc74756198"/>
      <w:bookmarkStart w:id="9866" w:name="_Toc105675075"/>
      <w:bookmarkStart w:id="9867" w:name="_Toc130503153"/>
      <w:bookmarkStart w:id="9868" w:name="_Toc153625945"/>
      <w:r w:rsidRPr="000A0A5F">
        <w:t>5.16.2.1.6</w:t>
      </w:r>
      <w:r w:rsidRPr="000A0A5F">
        <w:tab/>
        <w:t>Type: RacsConfigurationRm</w:t>
      </w:r>
      <w:bookmarkEnd w:id="9860"/>
      <w:bookmarkEnd w:id="9861"/>
      <w:bookmarkEnd w:id="9862"/>
      <w:bookmarkEnd w:id="9863"/>
      <w:bookmarkEnd w:id="9864"/>
      <w:bookmarkEnd w:id="9865"/>
      <w:bookmarkEnd w:id="9866"/>
      <w:bookmarkEnd w:id="9867"/>
      <w:bookmarkEnd w:id="9868"/>
    </w:p>
    <w:p w:rsidR="00CB0DD7" w:rsidRPr="000A0A5F" w:rsidRDefault="00CB0DD7">
      <w:r w:rsidRPr="000A0A5F">
        <w:t xml:space="preserve">This type represents a single UE radio capability configuration data provided by the SCS/AS to the SCEF. It is defined with </w:t>
      </w:r>
      <w:r w:rsidRPr="000A0A5F">
        <w:rPr>
          <w:lang w:eastAsia="zh-CN"/>
        </w:rPr>
        <w:t>"nullable: true" property.</w:t>
      </w:r>
    </w:p>
    <w:p w:rsidR="00CB0DD7" w:rsidRPr="000A0A5F" w:rsidRDefault="00CB0DD7">
      <w:pPr>
        <w:pStyle w:val="TH"/>
      </w:pPr>
      <w:r w:rsidRPr="000A0A5F">
        <w:rPr>
          <w:noProof/>
        </w:rPr>
        <w:t>Table </w:t>
      </w:r>
      <w:r w:rsidRPr="000A0A5F">
        <w:t xml:space="preserve">5.16.2.1.6-1: </w:t>
      </w:r>
      <w:r w:rsidRPr="000A0A5F">
        <w:rPr>
          <w:noProof/>
        </w:rPr>
        <w:t xml:space="preserve">Definition of type </w:t>
      </w:r>
      <w:r w:rsidRPr="000A0A5F">
        <w:t>RacsConfigurationRm</w:t>
      </w:r>
    </w:p>
    <w:tbl>
      <w:tblPr>
        <w:tblW w:w="955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59"/>
        <w:gridCol w:w="1700"/>
        <w:gridCol w:w="1134"/>
        <w:gridCol w:w="3827"/>
        <w:gridCol w:w="1235"/>
      </w:tblGrid>
      <w:tr w:rsidR="00CB0DD7" w:rsidRPr="000A0A5F" w:rsidTr="00FF0AF8">
        <w:trPr>
          <w:trHeight w:val="288"/>
          <w:jc w:val="center"/>
        </w:trPr>
        <w:tc>
          <w:tcPr>
            <w:tcW w:w="1659" w:type="dxa"/>
            <w:shd w:val="clear" w:color="auto" w:fill="C0C0C0"/>
            <w:hideMark/>
          </w:tcPr>
          <w:p w:rsidR="00CB0DD7" w:rsidRPr="000A0A5F" w:rsidRDefault="00CB0DD7">
            <w:pPr>
              <w:pStyle w:val="TAH"/>
              <w:rPr>
                <w:rFonts w:eastAsia="Times New Roman"/>
              </w:rPr>
            </w:pPr>
            <w:r w:rsidRPr="000A0A5F">
              <w:rPr>
                <w:rFonts w:eastAsia="Times New Roman"/>
              </w:rPr>
              <w:t>Attribute name</w:t>
            </w:r>
          </w:p>
        </w:tc>
        <w:tc>
          <w:tcPr>
            <w:tcW w:w="1700" w:type="dxa"/>
            <w:shd w:val="clear" w:color="auto" w:fill="C0C0C0"/>
            <w:hideMark/>
          </w:tcPr>
          <w:p w:rsidR="00CB0DD7" w:rsidRPr="000A0A5F" w:rsidRDefault="00CB0DD7">
            <w:pPr>
              <w:pStyle w:val="TAH"/>
              <w:rPr>
                <w:rFonts w:eastAsia="Times New Roman"/>
              </w:rPr>
            </w:pPr>
            <w:r w:rsidRPr="000A0A5F">
              <w:rPr>
                <w:rFonts w:eastAsia="Times New Roman"/>
              </w:rPr>
              <w:t>Data type</w:t>
            </w:r>
          </w:p>
        </w:tc>
        <w:tc>
          <w:tcPr>
            <w:tcW w:w="1134" w:type="dxa"/>
            <w:shd w:val="clear" w:color="auto" w:fill="C0C0C0"/>
            <w:hideMark/>
          </w:tcPr>
          <w:p w:rsidR="00CB0DD7" w:rsidRPr="000A0A5F" w:rsidRDefault="00CB0DD7">
            <w:pPr>
              <w:pStyle w:val="TAH"/>
              <w:rPr>
                <w:rFonts w:eastAsia="Times New Roman"/>
              </w:rPr>
            </w:pPr>
            <w:r w:rsidRPr="000A0A5F">
              <w:rPr>
                <w:rFonts w:eastAsia="Times New Roman"/>
              </w:rPr>
              <w:t>Cardinality</w:t>
            </w:r>
          </w:p>
        </w:tc>
        <w:tc>
          <w:tcPr>
            <w:tcW w:w="3827" w:type="dxa"/>
            <w:shd w:val="clear" w:color="auto" w:fill="C0C0C0"/>
            <w:hideMark/>
          </w:tcPr>
          <w:p w:rsidR="00CB0DD7" w:rsidRPr="000A0A5F" w:rsidRDefault="00CB0DD7">
            <w:pPr>
              <w:pStyle w:val="TAH"/>
              <w:rPr>
                <w:rFonts w:eastAsia="Times New Roman" w:cs="Arial"/>
                <w:szCs w:val="18"/>
              </w:rPr>
            </w:pPr>
            <w:r w:rsidRPr="000A0A5F">
              <w:rPr>
                <w:rFonts w:eastAsia="Times New Roman" w:cs="Arial"/>
                <w:szCs w:val="18"/>
              </w:rPr>
              <w:t>Description</w:t>
            </w:r>
          </w:p>
        </w:tc>
        <w:tc>
          <w:tcPr>
            <w:tcW w:w="1235" w:type="dxa"/>
            <w:shd w:val="clear" w:color="auto" w:fill="C0C0C0"/>
            <w:hideMark/>
          </w:tcPr>
          <w:p w:rsidR="00CB0DD7" w:rsidRPr="000A0A5F" w:rsidRDefault="00CB0DD7">
            <w:pPr>
              <w:pStyle w:val="TAH"/>
              <w:rPr>
                <w:rFonts w:eastAsia="Times New Roman"/>
              </w:rPr>
            </w:pPr>
            <w:r w:rsidRPr="000A0A5F">
              <w:rPr>
                <w:rFonts w:eastAsia="Times New Roman" w:cs="Arial"/>
                <w:szCs w:val="18"/>
              </w:rPr>
              <w:t>Applicability</w:t>
            </w:r>
          </w:p>
        </w:tc>
      </w:tr>
      <w:tr w:rsidR="00CB0DD7" w:rsidRPr="000A0A5F" w:rsidTr="00FF0AF8">
        <w:trPr>
          <w:jc w:val="center"/>
        </w:trPr>
        <w:tc>
          <w:tcPr>
            <w:tcW w:w="1659" w:type="dxa"/>
            <w:hideMark/>
          </w:tcPr>
          <w:p w:rsidR="00CB0DD7" w:rsidRPr="000A0A5F" w:rsidRDefault="00CB0DD7">
            <w:pPr>
              <w:pStyle w:val="TAL"/>
              <w:rPr>
                <w:lang w:eastAsia="zh-CN"/>
              </w:rPr>
            </w:pPr>
            <w:r w:rsidRPr="000A0A5F">
              <w:rPr>
                <w:lang w:eastAsia="zh-CN"/>
              </w:rPr>
              <w:t>racsParamEps</w:t>
            </w:r>
          </w:p>
        </w:tc>
        <w:tc>
          <w:tcPr>
            <w:tcW w:w="1700" w:type="dxa"/>
            <w:hideMark/>
          </w:tcPr>
          <w:p w:rsidR="00CB0DD7" w:rsidRPr="000A0A5F" w:rsidRDefault="00CB0DD7">
            <w:pPr>
              <w:pStyle w:val="TAL"/>
              <w:rPr>
                <w:lang w:eastAsia="zh-CN"/>
              </w:rPr>
            </w:pPr>
            <w:r w:rsidRPr="000A0A5F">
              <w:rPr>
                <w:lang w:eastAsia="zh-CN"/>
              </w:rPr>
              <w:t>string</w:t>
            </w:r>
          </w:p>
        </w:tc>
        <w:tc>
          <w:tcPr>
            <w:tcW w:w="1134" w:type="dxa"/>
            <w:hideMark/>
          </w:tcPr>
          <w:p w:rsidR="00CB0DD7" w:rsidRPr="000A0A5F" w:rsidRDefault="00CB0DD7">
            <w:pPr>
              <w:pStyle w:val="TAC"/>
              <w:jc w:val="left"/>
              <w:rPr>
                <w:rFonts w:eastAsia="Times New Roman"/>
              </w:rPr>
            </w:pPr>
            <w:r w:rsidRPr="000A0A5F">
              <w:rPr>
                <w:lang w:eastAsia="zh-CN"/>
              </w:rPr>
              <w:t>0..1</w:t>
            </w:r>
          </w:p>
        </w:tc>
        <w:tc>
          <w:tcPr>
            <w:tcW w:w="3827" w:type="dxa"/>
            <w:hideMark/>
          </w:tcPr>
          <w:p w:rsidR="00CB0DD7" w:rsidRPr="000A0A5F" w:rsidRDefault="00CB0DD7">
            <w:pPr>
              <w:pStyle w:val="TAL"/>
              <w:rPr>
                <w:rFonts w:cs="Arial"/>
                <w:szCs w:val="18"/>
                <w:lang w:eastAsia="zh-CN"/>
              </w:rPr>
            </w:pPr>
            <w:r w:rsidRPr="000A0A5F">
              <w:rPr>
                <w:rFonts w:cs="Arial"/>
                <w:szCs w:val="18"/>
                <w:lang w:eastAsia="zh-CN"/>
              </w:rPr>
              <w:t>The UE radio capability data in EPS, its encoding shall comply with</w:t>
            </w:r>
            <w:r w:rsidRPr="000A0A5F">
              <w:rPr>
                <w:rFonts w:cs="Arial"/>
                <w:lang w:eastAsia="ja-JP"/>
              </w:rPr>
              <w:t xml:space="preserve"> the </w:t>
            </w:r>
            <w:r w:rsidRPr="000A0A5F">
              <w:t>UE-CapabilityRAT-ContainerList</w:t>
            </w:r>
            <w:r w:rsidRPr="000A0A5F">
              <w:rPr>
                <w:rFonts w:cs="Arial"/>
                <w:lang w:eastAsia="ja-JP"/>
              </w:rPr>
              <w:t xml:space="preserve"> as defined in clause 6.3.6 of</w:t>
            </w:r>
            <w:r w:rsidRPr="000A0A5F">
              <w:rPr>
                <w:rFonts w:cs="Arial"/>
                <w:b/>
                <w:snapToGrid w:val="0"/>
                <w:lang w:eastAsia="ja-JP"/>
              </w:rPr>
              <w:t xml:space="preserve"> </w:t>
            </w:r>
            <w:r w:rsidRPr="000A0A5F">
              <w:rPr>
                <w:rFonts w:cs="Arial"/>
                <w:szCs w:val="18"/>
                <w:lang w:eastAsia="zh-CN"/>
              </w:rPr>
              <w:t>3GPP </w:t>
            </w:r>
            <w:r w:rsidRPr="000A0A5F">
              <w:rPr>
                <w:rFonts w:cs="Arial"/>
                <w:lang w:eastAsia="ja-JP"/>
              </w:rPr>
              <w:t>TS 36.331 [59].</w:t>
            </w:r>
          </w:p>
        </w:tc>
        <w:tc>
          <w:tcPr>
            <w:tcW w:w="1235" w:type="dxa"/>
            <w:hideMark/>
          </w:tcPr>
          <w:p w:rsidR="00CB0DD7" w:rsidRPr="000A0A5F" w:rsidRDefault="00CB0DD7">
            <w:pPr>
              <w:pStyle w:val="TAC"/>
              <w:jc w:val="left"/>
              <w:rPr>
                <w:rFonts w:eastAsia="Times New Roman"/>
              </w:rPr>
            </w:pPr>
          </w:p>
        </w:tc>
      </w:tr>
      <w:tr w:rsidR="00CB0DD7" w:rsidRPr="000A0A5F" w:rsidTr="00FF0AF8">
        <w:trPr>
          <w:jc w:val="center"/>
        </w:trPr>
        <w:tc>
          <w:tcPr>
            <w:tcW w:w="1659" w:type="dxa"/>
          </w:tcPr>
          <w:p w:rsidR="00CB0DD7" w:rsidRPr="000A0A5F" w:rsidRDefault="00CB0DD7">
            <w:pPr>
              <w:pStyle w:val="TAL"/>
              <w:rPr>
                <w:lang w:eastAsia="zh-CN"/>
              </w:rPr>
            </w:pPr>
            <w:r w:rsidRPr="000A0A5F">
              <w:t>racsParam5Gs</w:t>
            </w:r>
          </w:p>
        </w:tc>
        <w:tc>
          <w:tcPr>
            <w:tcW w:w="1700" w:type="dxa"/>
          </w:tcPr>
          <w:p w:rsidR="00CB0DD7" w:rsidRPr="000A0A5F" w:rsidRDefault="00CB0DD7">
            <w:pPr>
              <w:pStyle w:val="TAL"/>
              <w:rPr>
                <w:lang w:eastAsia="zh-CN"/>
              </w:rPr>
            </w:pPr>
            <w:r w:rsidRPr="000A0A5F">
              <w:t>string</w:t>
            </w:r>
          </w:p>
        </w:tc>
        <w:tc>
          <w:tcPr>
            <w:tcW w:w="1134" w:type="dxa"/>
          </w:tcPr>
          <w:p w:rsidR="00CB0DD7" w:rsidRPr="000A0A5F" w:rsidRDefault="00CB0DD7">
            <w:pPr>
              <w:pStyle w:val="TAC"/>
              <w:jc w:val="left"/>
              <w:rPr>
                <w:lang w:eastAsia="zh-CN"/>
              </w:rPr>
            </w:pPr>
            <w:r w:rsidRPr="000A0A5F">
              <w:t>0..1</w:t>
            </w:r>
          </w:p>
        </w:tc>
        <w:tc>
          <w:tcPr>
            <w:tcW w:w="3827" w:type="dxa"/>
          </w:tcPr>
          <w:p w:rsidR="00CB0DD7" w:rsidRPr="000A0A5F" w:rsidRDefault="00CB0DD7">
            <w:pPr>
              <w:pStyle w:val="TAL"/>
              <w:rPr>
                <w:rFonts w:cs="Arial"/>
                <w:szCs w:val="18"/>
                <w:lang w:eastAsia="zh-CN"/>
              </w:rPr>
            </w:pPr>
            <w:r w:rsidRPr="000A0A5F">
              <w:t xml:space="preserve">The UE radio capability data in 5GS, </w:t>
            </w:r>
            <w:r w:rsidRPr="000A0A5F">
              <w:rPr>
                <w:rFonts w:cs="Arial"/>
                <w:szCs w:val="18"/>
                <w:lang w:eastAsia="zh-CN"/>
              </w:rPr>
              <w:t>its encoding shall comply with</w:t>
            </w:r>
            <w:r w:rsidRPr="000A0A5F">
              <w:rPr>
                <w:rFonts w:cs="Arial"/>
                <w:lang w:eastAsia="ja-JP"/>
              </w:rPr>
              <w:t xml:space="preserve"> the </w:t>
            </w:r>
            <w:r w:rsidRPr="000A0A5F">
              <w:t>UE-CapabilityRAT-ContainerList</w:t>
            </w:r>
            <w:r w:rsidRPr="000A0A5F">
              <w:rPr>
                <w:rFonts w:cs="Arial"/>
                <w:lang w:eastAsia="ja-JP"/>
              </w:rPr>
              <w:t xml:space="preserve"> as defined in clause 6.3.3 of</w:t>
            </w:r>
            <w:r w:rsidRPr="000A0A5F">
              <w:rPr>
                <w:rFonts w:cs="Arial"/>
                <w:b/>
                <w:snapToGrid w:val="0"/>
                <w:lang w:eastAsia="ja-JP"/>
              </w:rPr>
              <w:t xml:space="preserve"> </w:t>
            </w:r>
            <w:r w:rsidRPr="000A0A5F">
              <w:rPr>
                <w:rFonts w:cs="Arial"/>
                <w:szCs w:val="18"/>
                <w:lang w:eastAsia="zh-CN"/>
              </w:rPr>
              <w:t>3GPP </w:t>
            </w:r>
            <w:r w:rsidRPr="000A0A5F">
              <w:rPr>
                <w:rFonts w:cs="Arial"/>
                <w:lang w:eastAsia="ja-JP"/>
              </w:rPr>
              <w:t>TS 38.331 [60].</w:t>
            </w:r>
          </w:p>
        </w:tc>
        <w:tc>
          <w:tcPr>
            <w:tcW w:w="1235" w:type="dxa"/>
          </w:tcPr>
          <w:p w:rsidR="00CB0DD7" w:rsidRPr="000A0A5F" w:rsidRDefault="00CB0DD7">
            <w:pPr>
              <w:pStyle w:val="TAC"/>
              <w:jc w:val="left"/>
              <w:rPr>
                <w:rFonts w:eastAsia="Times New Roman"/>
              </w:rPr>
            </w:pPr>
          </w:p>
        </w:tc>
      </w:tr>
      <w:tr w:rsidR="00CB0DD7" w:rsidRPr="000A0A5F" w:rsidTr="00FF0AF8">
        <w:trPr>
          <w:jc w:val="center"/>
        </w:trPr>
        <w:tc>
          <w:tcPr>
            <w:tcW w:w="1659" w:type="dxa"/>
          </w:tcPr>
          <w:p w:rsidR="00CB0DD7" w:rsidRPr="000A0A5F" w:rsidRDefault="00CB0DD7">
            <w:pPr>
              <w:pStyle w:val="TAL"/>
              <w:rPr>
                <w:lang w:eastAsia="zh-CN"/>
              </w:rPr>
            </w:pPr>
            <w:r w:rsidRPr="000A0A5F">
              <w:rPr>
                <w:lang w:eastAsia="zh-CN"/>
              </w:rPr>
              <w:t>imeiTacs</w:t>
            </w:r>
          </w:p>
        </w:tc>
        <w:tc>
          <w:tcPr>
            <w:tcW w:w="1700" w:type="dxa"/>
          </w:tcPr>
          <w:p w:rsidR="00CB0DD7" w:rsidRPr="000A0A5F" w:rsidRDefault="00CB0DD7">
            <w:pPr>
              <w:pStyle w:val="TAL"/>
              <w:rPr>
                <w:lang w:eastAsia="zh-CN"/>
              </w:rPr>
            </w:pPr>
            <w:r w:rsidRPr="000A0A5F">
              <w:rPr>
                <w:lang w:eastAsia="zh-CN"/>
              </w:rPr>
              <w:t>array(TypeAllocationCode)</w:t>
            </w:r>
          </w:p>
        </w:tc>
        <w:tc>
          <w:tcPr>
            <w:tcW w:w="1134" w:type="dxa"/>
          </w:tcPr>
          <w:p w:rsidR="00CB0DD7" w:rsidRPr="000A0A5F" w:rsidRDefault="00CB0DD7">
            <w:pPr>
              <w:pStyle w:val="TAC"/>
              <w:jc w:val="left"/>
              <w:rPr>
                <w:lang w:eastAsia="zh-CN"/>
              </w:rPr>
            </w:pPr>
            <w:r w:rsidRPr="000A0A5F">
              <w:rPr>
                <w:lang w:eastAsia="zh-CN"/>
              </w:rPr>
              <w:t>0..N</w:t>
            </w:r>
          </w:p>
        </w:tc>
        <w:tc>
          <w:tcPr>
            <w:tcW w:w="3827" w:type="dxa"/>
          </w:tcPr>
          <w:p w:rsidR="00CB0DD7" w:rsidRPr="000A0A5F" w:rsidRDefault="00CB0DD7">
            <w:pPr>
              <w:pStyle w:val="TAL"/>
              <w:rPr>
                <w:rFonts w:cs="Arial"/>
                <w:szCs w:val="18"/>
                <w:lang w:eastAsia="zh-CN"/>
              </w:rPr>
            </w:pPr>
            <w:r w:rsidRPr="000A0A5F">
              <w:rPr>
                <w:rFonts w:cs="Arial"/>
                <w:szCs w:val="18"/>
                <w:lang w:eastAsia="zh-CN"/>
              </w:rPr>
              <w:t>Related UE model's IMEI-TAC values.</w:t>
            </w:r>
          </w:p>
        </w:tc>
        <w:tc>
          <w:tcPr>
            <w:tcW w:w="1235" w:type="dxa"/>
          </w:tcPr>
          <w:p w:rsidR="00CB0DD7" w:rsidRPr="000A0A5F" w:rsidRDefault="00CB0DD7">
            <w:pPr>
              <w:pStyle w:val="TAC"/>
              <w:jc w:val="left"/>
              <w:rPr>
                <w:rFonts w:eastAsia="Times New Roman"/>
              </w:rPr>
            </w:pPr>
          </w:p>
        </w:tc>
      </w:tr>
    </w:tbl>
    <w:p w:rsidR="00CB0DD7" w:rsidRPr="000A0A5F" w:rsidRDefault="00CB0DD7">
      <w:pPr>
        <w:rPr>
          <w:lang w:val="en-US"/>
        </w:rPr>
      </w:pPr>
    </w:p>
    <w:p w:rsidR="00CB0DD7" w:rsidRPr="000A0A5F" w:rsidRDefault="00CB0DD7">
      <w:pPr>
        <w:pStyle w:val="Heading4"/>
      </w:pPr>
      <w:bookmarkStart w:id="9869" w:name="_Toc27045076"/>
      <w:bookmarkStart w:id="9870" w:name="_Toc36034127"/>
      <w:bookmarkStart w:id="9871" w:name="_Toc45132275"/>
      <w:bookmarkStart w:id="9872" w:name="_Toc49776560"/>
      <w:bookmarkStart w:id="9873" w:name="_Toc51747480"/>
      <w:bookmarkStart w:id="9874" w:name="_Toc66361062"/>
      <w:bookmarkStart w:id="9875" w:name="_Toc68105567"/>
      <w:bookmarkStart w:id="9876" w:name="_Toc74756199"/>
      <w:bookmarkStart w:id="9877" w:name="_Toc105675076"/>
      <w:bookmarkStart w:id="9878" w:name="_Toc130503154"/>
      <w:bookmarkStart w:id="9879" w:name="_Toc153625946"/>
      <w:r w:rsidRPr="000A0A5F">
        <w:t>5.16.2.2</w:t>
      </w:r>
      <w:r w:rsidRPr="000A0A5F">
        <w:tab/>
        <w:t>Referenced simple data types and enumerations</w:t>
      </w:r>
      <w:bookmarkEnd w:id="9869"/>
      <w:bookmarkEnd w:id="9870"/>
      <w:bookmarkEnd w:id="9871"/>
      <w:bookmarkEnd w:id="9872"/>
      <w:bookmarkEnd w:id="9873"/>
      <w:bookmarkEnd w:id="9874"/>
      <w:bookmarkEnd w:id="9875"/>
      <w:bookmarkEnd w:id="9876"/>
      <w:bookmarkEnd w:id="9877"/>
      <w:bookmarkEnd w:id="9878"/>
      <w:bookmarkEnd w:id="9879"/>
    </w:p>
    <w:p w:rsidR="00CB0DD7" w:rsidRPr="000A0A5F" w:rsidRDefault="00CB0DD7">
      <w:pPr>
        <w:pStyle w:val="Heading5"/>
      </w:pPr>
      <w:bookmarkStart w:id="9880" w:name="_Toc27045077"/>
      <w:bookmarkStart w:id="9881" w:name="_Toc36034128"/>
      <w:bookmarkStart w:id="9882" w:name="_Toc45132276"/>
      <w:bookmarkStart w:id="9883" w:name="_Toc49776561"/>
      <w:bookmarkStart w:id="9884" w:name="_Toc51747481"/>
      <w:bookmarkStart w:id="9885" w:name="_Toc66361063"/>
      <w:bookmarkStart w:id="9886" w:name="_Toc68105568"/>
      <w:bookmarkStart w:id="9887" w:name="_Toc74756200"/>
      <w:bookmarkStart w:id="9888" w:name="_Toc105675077"/>
      <w:bookmarkStart w:id="9889" w:name="_Toc130503155"/>
      <w:bookmarkStart w:id="9890" w:name="_Toc153625947"/>
      <w:r w:rsidRPr="000A0A5F">
        <w:t>5.16.2.2.1</w:t>
      </w:r>
      <w:r w:rsidRPr="000A0A5F">
        <w:tab/>
        <w:t>Introduction</w:t>
      </w:r>
      <w:bookmarkEnd w:id="9880"/>
      <w:bookmarkEnd w:id="9881"/>
      <w:bookmarkEnd w:id="9882"/>
      <w:bookmarkEnd w:id="9883"/>
      <w:bookmarkEnd w:id="9884"/>
      <w:bookmarkEnd w:id="9885"/>
      <w:bookmarkEnd w:id="9886"/>
      <w:bookmarkEnd w:id="9887"/>
      <w:bookmarkEnd w:id="9888"/>
      <w:bookmarkEnd w:id="9889"/>
      <w:bookmarkEnd w:id="9890"/>
    </w:p>
    <w:p w:rsidR="00CB0DD7" w:rsidRPr="000A0A5F" w:rsidRDefault="00CB0DD7">
      <w:r w:rsidRPr="000A0A5F">
        <w:t>This clause defines simple data types and enumerations that can be referenced from data structures defined in the previous clauses. In addition, data types and enumerations defined in clause</w:t>
      </w:r>
      <w:r w:rsidR="000902D9" w:rsidRPr="000A0A5F">
        <w:t> </w:t>
      </w:r>
      <w:r w:rsidRPr="000A0A5F">
        <w:t>5.2.1 can be referenced.</w:t>
      </w:r>
    </w:p>
    <w:p w:rsidR="00CB0DD7" w:rsidRPr="000A0A5F" w:rsidRDefault="00CB0DD7">
      <w:pPr>
        <w:pStyle w:val="Heading5"/>
      </w:pPr>
      <w:bookmarkStart w:id="9891" w:name="_Toc27045078"/>
      <w:bookmarkStart w:id="9892" w:name="_Toc36034129"/>
      <w:bookmarkStart w:id="9893" w:name="_Toc45132277"/>
      <w:bookmarkStart w:id="9894" w:name="_Toc49776562"/>
      <w:bookmarkStart w:id="9895" w:name="_Toc51747482"/>
      <w:bookmarkStart w:id="9896" w:name="_Toc66361064"/>
      <w:bookmarkStart w:id="9897" w:name="_Toc68105569"/>
      <w:bookmarkStart w:id="9898" w:name="_Toc74756201"/>
      <w:bookmarkStart w:id="9899" w:name="_Toc105675078"/>
      <w:bookmarkStart w:id="9900" w:name="_Toc130503156"/>
      <w:bookmarkStart w:id="9901" w:name="_Toc153625948"/>
      <w:r w:rsidRPr="000A0A5F">
        <w:t>5.16.2.2.2</w:t>
      </w:r>
      <w:r w:rsidRPr="000A0A5F">
        <w:tab/>
        <w:t>Simple data types</w:t>
      </w:r>
      <w:bookmarkEnd w:id="9891"/>
      <w:bookmarkEnd w:id="9892"/>
      <w:bookmarkEnd w:id="9893"/>
      <w:bookmarkEnd w:id="9894"/>
      <w:bookmarkEnd w:id="9895"/>
      <w:bookmarkEnd w:id="9896"/>
      <w:bookmarkEnd w:id="9897"/>
      <w:bookmarkEnd w:id="9898"/>
      <w:bookmarkEnd w:id="9899"/>
      <w:bookmarkEnd w:id="9900"/>
      <w:bookmarkEnd w:id="9901"/>
      <w:r w:rsidRPr="000A0A5F">
        <w:t xml:space="preserve"> </w:t>
      </w:r>
    </w:p>
    <w:p w:rsidR="00CB0DD7" w:rsidRPr="000A0A5F" w:rsidRDefault="00CB0DD7">
      <w:r w:rsidRPr="000A0A5F">
        <w:t>The simple data types defined in table 5.16.2.2.2-1 shall be supported.</w:t>
      </w:r>
    </w:p>
    <w:p w:rsidR="00CB0DD7" w:rsidRPr="000A0A5F" w:rsidRDefault="00CB0DD7">
      <w:pPr>
        <w:pStyle w:val="TH"/>
      </w:pPr>
      <w:r w:rsidRPr="000A0A5F">
        <w:t>Table 5.16.2.2.2-1: Simple data types</w:t>
      </w:r>
    </w:p>
    <w:tbl>
      <w:tblPr>
        <w:tblW w:w="465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865"/>
        <w:gridCol w:w="7302"/>
      </w:tblGrid>
      <w:tr w:rsidR="00CB0DD7" w:rsidRPr="000A0A5F" w:rsidTr="00FF0AF8">
        <w:tc>
          <w:tcPr>
            <w:tcW w:w="1017" w:type="pct"/>
            <w:shd w:val="clear" w:color="auto" w:fill="C0C0C0"/>
            <w:tcMar>
              <w:top w:w="0" w:type="dxa"/>
              <w:left w:w="108" w:type="dxa"/>
              <w:bottom w:w="0" w:type="dxa"/>
              <w:right w:w="108" w:type="dxa"/>
            </w:tcMar>
            <w:hideMark/>
          </w:tcPr>
          <w:p w:rsidR="00CB0DD7" w:rsidRPr="000A0A5F" w:rsidRDefault="00CB0DD7">
            <w:pPr>
              <w:pStyle w:val="TAH"/>
            </w:pPr>
            <w:r w:rsidRPr="000A0A5F">
              <w:t>Type name</w:t>
            </w:r>
          </w:p>
        </w:tc>
        <w:tc>
          <w:tcPr>
            <w:tcW w:w="3983" w:type="pct"/>
            <w:shd w:val="clear" w:color="auto" w:fill="C0C0C0"/>
            <w:tcMar>
              <w:top w:w="0" w:type="dxa"/>
              <w:left w:w="108" w:type="dxa"/>
              <w:bottom w:w="0" w:type="dxa"/>
              <w:right w:w="108" w:type="dxa"/>
            </w:tcMar>
            <w:hideMark/>
          </w:tcPr>
          <w:p w:rsidR="00CB0DD7" w:rsidRPr="000A0A5F" w:rsidRDefault="00CB0DD7">
            <w:pPr>
              <w:pStyle w:val="TAH"/>
            </w:pPr>
            <w:r w:rsidRPr="000A0A5F">
              <w:t>Description</w:t>
            </w:r>
          </w:p>
        </w:tc>
      </w:tr>
      <w:tr w:rsidR="00CB0DD7" w:rsidRPr="000A0A5F" w:rsidTr="00FF0AF8">
        <w:tc>
          <w:tcPr>
            <w:tcW w:w="1017" w:type="pct"/>
            <w:tcMar>
              <w:top w:w="0" w:type="dxa"/>
              <w:left w:w="108" w:type="dxa"/>
              <w:bottom w:w="0" w:type="dxa"/>
              <w:right w:w="108" w:type="dxa"/>
            </w:tcMar>
          </w:tcPr>
          <w:p w:rsidR="00CB0DD7" w:rsidRPr="000A0A5F" w:rsidRDefault="00CB0DD7">
            <w:pPr>
              <w:pStyle w:val="TAL"/>
            </w:pPr>
          </w:p>
        </w:tc>
        <w:tc>
          <w:tcPr>
            <w:tcW w:w="3983" w:type="pct"/>
            <w:tcMar>
              <w:top w:w="0" w:type="dxa"/>
              <w:left w:w="108" w:type="dxa"/>
              <w:bottom w:w="0" w:type="dxa"/>
              <w:right w:w="108" w:type="dxa"/>
            </w:tcMar>
          </w:tcPr>
          <w:p w:rsidR="00CB0DD7" w:rsidRPr="000A0A5F" w:rsidRDefault="00CB0DD7">
            <w:pPr>
              <w:pStyle w:val="TAL"/>
            </w:pPr>
          </w:p>
        </w:tc>
      </w:tr>
    </w:tbl>
    <w:p w:rsidR="00CB0DD7" w:rsidRPr="000A0A5F" w:rsidRDefault="00CB0DD7"/>
    <w:p w:rsidR="00CB0DD7" w:rsidRPr="000A0A5F" w:rsidRDefault="00CB0DD7">
      <w:pPr>
        <w:pStyle w:val="Heading5"/>
      </w:pPr>
      <w:bookmarkStart w:id="9902" w:name="_Toc27045079"/>
      <w:bookmarkStart w:id="9903" w:name="_Toc36034130"/>
      <w:bookmarkStart w:id="9904" w:name="_Toc45132278"/>
      <w:bookmarkStart w:id="9905" w:name="_Toc49776563"/>
      <w:bookmarkStart w:id="9906" w:name="_Toc51747483"/>
      <w:bookmarkStart w:id="9907" w:name="_Toc66361065"/>
      <w:bookmarkStart w:id="9908" w:name="_Toc68105570"/>
      <w:bookmarkStart w:id="9909" w:name="_Toc74756202"/>
      <w:bookmarkStart w:id="9910" w:name="_Toc105675079"/>
      <w:bookmarkStart w:id="9911" w:name="_Toc130503157"/>
      <w:bookmarkStart w:id="9912" w:name="_Toc153625949"/>
      <w:r w:rsidRPr="000A0A5F">
        <w:t>5.16.2.2.3</w:t>
      </w:r>
      <w:r w:rsidRPr="000A0A5F">
        <w:tab/>
        <w:t>Enumeration: RacsFailureCode</w:t>
      </w:r>
      <w:bookmarkEnd w:id="9902"/>
      <w:bookmarkEnd w:id="9903"/>
      <w:bookmarkEnd w:id="9904"/>
      <w:bookmarkEnd w:id="9905"/>
      <w:bookmarkEnd w:id="9906"/>
      <w:bookmarkEnd w:id="9907"/>
      <w:bookmarkEnd w:id="9908"/>
      <w:bookmarkEnd w:id="9909"/>
      <w:bookmarkEnd w:id="9910"/>
      <w:bookmarkEnd w:id="9911"/>
      <w:bookmarkEnd w:id="9912"/>
    </w:p>
    <w:p w:rsidR="00CB0DD7" w:rsidRPr="000A0A5F" w:rsidRDefault="00CB0DD7">
      <w:r w:rsidRPr="000A0A5F">
        <w:t>The enumeration Racs</w:t>
      </w:r>
      <w:r w:rsidRPr="000A0A5F">
        <w:rPr>
          <w:rFonts w:eastAsia="Times New Roman"/>
        </w:rPr>
        <w:t>FailureCode</w:t>
      </w:r>
      <w:r w:rsidRPr="000A0A5F">
        <w:t xml:space="preserve"> represents the failure result of UE radio capability provisioning.</w:t>
      </w:r>
    </w:p>
    <w:p w:rsidR="00CB0DD7" w:rsidRPr="000A0A5F" w:rsidRDefault="00CB0DD7">
      <w:pPr>
        <w:pStyle w:val="TH"/>
      </w:pPr>
      <w:r w:rsidRPr="000A0A5F">
        <w:t>Table 5.16.2.2.3-1: Enumeration Racs</w:t>
      </w:r>
      <w:r w:rsidRPr="000A0A5F">
        <w:rPr>
          <w:rFonts w:eastAsia="Times New Roman"/>
        </w:rPr>
        <w:t>FailureCode</w:t>
      </w:r>
    </w:p>
    <w:tbl>
      <w:tblPr>
        <w:tblW w:w="4673" w:type="pct"/>
        <w:tblInd w:w="-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2470"/>
        <w:gridCol w:w="4499"/>
        <w:gridCol w:w="2150"/>
      </w:tblGrid>
      <w:tr w:rsidR="00CB0DD7" w:rsidRPr="000A0A5F" w:rsidTr="00FF0AF8">
        <w:tc>
          <w:tcPr>
            <w:tcW w:w="1354" w:type="pct"/>
            <w:shd w:val="clear" w:color="auto" w:fill="C0C0C0"/>
            <w:tcMar>
              <w:top w:w="0" w:type="dxa"/>
              <w:left w:w="108" w:type="dxa"/>
              <w:bottom w:w="0" w:type="dxa"/>
              <w:right w:w="108" w:type="dxa"/>
            </w:tcMar>
            <w:hideMark/>
          </w:tcPr>
          <w:p w:rsidR="00CB0DD7" w:rsidRPr="000A0A5F" w:rsidRDefault="00CB0DD7">
            <w:pPr>
              <w:pStyle w:val="TAH"/>
            </w:pPr>
            <w:r w:rsidRPr="000A0A5F">
              <w:t>Enumeration value</w:t>
            </w:r>
          </w:p>
        </w:tc>
        <w:tc>
          <w:tcPr>
            <w:tcW w:w="2467" w:type="pct"/>
            <w:shd w:val="clear" w:color="auto" w:fill="C0C0C0"/>
            <w:tcMar>
              <w:top w:w="0" w:type="dxa"/>
              <w:left w:w="108" w:type="dxa"/>
              <w:bottom w:w="0" w:type="dxa"/>
              <w:right w:w="108" w:type="dxa"/>
            </w:tcMar>
            <w:hideMark/>
          </w:tcPr>
          <w:p w:rsidR="00CB0DD7" w:rsidRPr="000A0A5F" w:rsidRDefault="00CB0DD7">
            <w:pPr>
              <w:pStyle w:val="TAH"/>
            </w:pPr>
            <w:r w:rsidRPr="000A0A5F">
              <w:t>Description</w:t>
            </w:r>
          </w:p>
        </w:tc>
        <w:tc>
          <w:tcPr>
            <w:tcW w:w="1179" w:type="pct"/>
            <w:shd w:val="clear" w:color="auto" w:fill="C0C0C0"/>
            <w:hideMark/>
          </w:tcPr>
          <w:p w:rsidR="00CB0DD7" w:rsidRPr="000A0A5F" w:rsidRDefault="00CB0DD7">
            <w:pPr>
              <w:pStyle w:val="TAH"/>
            </w:pPr>
            <w:r w:rsidRPr="000A0A5F">
              <w:rPr>
                <w:rFonts w:eastAsia="Times New Roman" w:cs="Arial"/>
                <w:szCs w:val="18"/>
              </w:rPr>
              <w:t>Applicability</w:t>
            </w:r>
          </w:p>
        </w:tc>
      </w:tr>
      <w:tr w:rsidR="00CB0DD7" w:rsidRPr="000A0A5F" w:rsidTr="00FF0AF8">
        <w:tc>
          <w:tcPr>
            <w:tcW w:w="1354" w:type="pct"/>
            <w:tcMar>
              <w:top w:w="0" w:type="dxa"/>
              <w:left w:w="108" w:type="dxa"/>
              <w:bottom w:w="0" w:type="dxa"/>
              <w:right w:w="108" w:type="dxa"/>
            </w:tcMar>
            <w:hideMark/>
          </w:tcPr>
          <w:p w:rsidR="00CB0DD7" w:rsidRPr="000A0A5F" w:rsidRDefault="00CB0DD7">
            <w:pPr>
              <w:pStyle w:val="TAL"/>
            </w:pPr>
            <w:r w:rsidRPr="000A0A5F">
              <w:t>MALFUNCTION</w:t>
            </w:r>
          </w:p>
        </w:tc>
        <w:tc>
          <w:tcPr>
            <w:tcW w:w="2467" w:type="pct"/>
            <w:tcMar>
              <w:top w:w="0" w:type="dxa"/>
              <w:left w:w="108" w:type="dxa"/>
              <w:bottom w:w="0" w:type="dxa"/>
              <w:right w:w="108" w:type="dxa"/>
            </w:tcMar>
            <w:hideMark/>
          </w:tcPr>
          <w:p w:rsidR="00CB0DD7" w:rsidRPr="000A0A5F" w:rsidRDefault="00CB0DD7">
            <w:pPr>
              <w:pStyle w:val="TAL"/>
              <w:rPr>
                <w:rFonts w:cs="Arial"/>
                <w:bCs/>
                <w:color w:val="333333"/>
                <w:szCs w:val="18"/>
              </w:rPr>
            </w:pPr>
            <w:r w:rsidRPr="000A0A5F">
              <w:rPr>
                <w:rFonts w:cs="Arial"/>
                <w:bCs/>
                <w:color w:val="333333"/>
                <w:szCs w:val="18"/>
              </w:rPr>
              <w:t>This value indicates that something functions wrongly in RACS provisioning or the RACS provisioning does not function at all.</w:t>
            </w:r>
          </w:p>
        </w:tc>
        <w:tc>
          <w:tcPr>
            <w:tcW w:w="1179" w:type="pct"/>
          </w:tcPr>
          <w:p w:rsidR="00CB0DD7" w:rsidRPr="000A0A5F" w:rsidRDefault="00CB0DD7">
            <w:pPr>
              <w:pStyle w:val="TAL"/>
              <w:rPr>
                <w:rFonts w:cs="Arial"/>
                <w:szCs w:val="18"/>
                <w:lang w:eastAsia="zh-CN"/>
              </w:rPr>
            </w:pPr>
          </w:p>
        </w:tc>
      </w:tr>
      <w:tr w:rsidR="00CB0DD7" w:rsidRPr="000A0A5F" w:rsidTr="00FF0AF8">
        <w:tc>
          <w:tcPr>
            <w:tcW w:w="1354" w:type="pct"/>
            <w:tcMar>
              <w:top w:w="0" w:type="dxa"/>
              <w:left w:w="108" w:type="dxa"/>
              <w:bottom w:w="0" w:type="dxa"/>
              <w:right w:w="108" w:type="dxa"/>
            </w:tcMar>
          </w:tcPr>
          <w:p w:rsidR="00CB0DD7" w:rsidRPr="000A0A5F" w:rsidRDefault="00CB0DD7">
            <w:pPr>
              <w:pStyle w:val="TAL"/>
              <w:rPr>
                <w:rFonts w:cs="Arial"/>
                <w:bCs/>
                <w:color w:val="333333"/>
                <w:szCs w:val="18"/>
              </w:rPr>
            </w:pPr>
            <w:r w:rsidRPr="000A0A5F">
              <w:t>RESOURCE_LIMITATION</w:t>
            </w:r>
          </w:p>
        </w:tc>
        <w:tc>
          <w:tcPr>
            <w:tcW w:w="2467" w:type="pct"/>
            <w:tcMar>
              <w:top w:w="0" w:type="dxa"/>
              <w:left w:w="108" w:type="dxa"/>
              <w:bottom w:w="0" w:type="dxa"/>
              <w:right w:w="108" w:type="dxa"/>
            </w:tcMar>
          </w:tcPr>
          <w:p w:rsidR="00CB0DD7" w:rsidRPr="000A0A5F" w:rsidRDefault="00CB0DD7">
            <w:pPr>
              <w:pStyle w:val="TAL"/>
              <w:rPr>
                <w:rFonts w:cs="Arial"/>
                <w:bCs/>
                <w:color w:val="333333"/>
                <w:szCs w:val="18"/>
              </w:rPr>
            </w:pPr>
            <w:r w:rsidRPr="000A0A5F">
              <w:rPr>
                <w:rFonts w:cs="Arial"/>
                <w:bCs/>
                <w:color w:val="333333"/>
                <w:szCs w:val="18"/>
              </w:rPr>
              <w:t>This value indicates there is resource limitation for RACS data storage.</w:t>
            </w:r>
          </w:p>
        </w:tc>
        <w:tc>
          <w:tcPr>
            <w:tcW w:w="1179" w:type="pct"/>
          </w:tcPr>
          <w:p w:rsidR="00CB0DD7" w:rsidRPr="000A0A5F" w:rsidRDefault="00CB0DD7">
            <w:pPr>
              <w:pStyle w:val="TAL"/>
              <w:rPr>
                <w:rFonts w:cs="Arial"/>
                <w:szCs w:val="18"/>
                <w:lang w:eastAsia="zh-CN"/>
              </w:rPr>
            </w:pPr>
          </w:p>
        </w:tc>
      </w:tr>
      <w:tr w:rsidR="00CB0DD7" w:rsidRPr="000A0A5F" w:rsidTr="00FF0AF8">
        <w:tc>
          <w:tcPr>
            <w:tcW w:w="1354" w:type="pct"/>
            <w:tcMar>
              <w:top w:w="0" w:type="dxa"/>
              <w:left w:w="108" w:type="dxa"/>
              <w:bottom w:w="0" w:type="dxa"/>
              <w:right w:w="108" w:type="dxa"/>
            </w:tcMar>
          </w:tcPr>
          <w:p w:rsidR="00CB0DD7" w:rsidRPr="000A0A5F" w:rsidRDefault="00CB0DD7">
            <w:pPr>
              <w:pStyle w:val="TAL"/>
              <w:rPr>
                <w:rFonts w:cs="Arial"/>
                <w:bCs/>
                <w:color w:val="333333"/>
                <w:szCs w:val="18"/>
              </w:rPr>
            </w:pPr>
            <w:r w:rsidRPr="000A0A5F">
              <w:rPr>
                <w:rFonts w:cs="Arial"/>
                <w:bCs/>
                <w:color w:val="333333"/>
                <w:szCs w:val="18"/>
              </w:rPr>
              <w:t>RACS_ID_DUPLICATED</w:t>
            </w:r>
          </w:p>
        </w:tc>
        <w:tc>
          <w:tcPr>
            <w:tcW w:w="2467" w:type="pct"/>
            <w:tcMar>
              <w:top w:w="0" w:type="dxa"/>
              <w:left w:w="108" w:type="dxa"/>
              <w:bottom w:w="0" w:type="dxa"/>
              <w:right w:w="108" w:type="dxa"/>
            </w:tcMar>
          </w:tcPr>
          <w:p w:rsidR="00CB0DD7" w:rsidRPr="000A0A5F" w:rsidRDefault="00CB0DD7">
            <w:pPr>
              <w:pStyle w:val="TAL"/>
              <w:rPr>
                <w:rFonts w:cs="Arial"/>
                <w:bCs/>
                <w:color w:val="333333"/>
                <w:szCs w:val="18"/>
              </w:rPr>
            </w:pPr>
            <w:r w:rsidRPr="000A0A5F">
              <w:rPr>
                <w:rFonts w:cs="Arial"/>
                <w:bCs/>
                <w:color w:val="333333"/>
                <w:szCs w:val="18"/>
              </w:rPr>
              <w:t>The received RACS identifier(s) are already provisioned.</w:t>
            </w:r>
          </w:p>
        </w:tc>
        <w:tc>
          <w:tcPr>
            <w:tcW w:w="1179" w:type="pct"/>
          </w:tcPr>
          <w:p w:rsidR="00CB0DD7" w:rsidRPr="000A0A5F" w:rsidRDefault="00CB0DD7">
            <w:pPr>
              <w:pStyle w:val="TAL"/>
              <w:rPr>
                <w:rFonts w:cs="Arial"/>
                <w:szCs w:val="18"/>
                <w:lang w:eastAsia="zh-CN"/>
              </w:rPr>
            </w:pPr>
          </w:p>
        </w:tc>
      </w:tr>
      <w:tr w:rsidR="00CB0DD7" w:rsidRPr="000A0A5F" w:rsidTr="00FF0AF8">
        <w:tc>
          <w:tcPr>
            <w:tcW w:w="1354" w:type="pct"/>
            <w:tcMar>
              <w:top w:w="0" w:type="dxa"/>
              <w:left w:w="108" w:type="dxa"/>
              <w:bottom w:w="0" w:type="dxa"/>
              <w:right w:w="108" w:type="dxa"/>
            </w:tcMar>
            <w:hideMark/>
          </w:tcPr>
          <w:p w:rsidR="00CB0DD7" w:rsidRPr="000A0A5F" w:rsidRDefault="00CB0DD7">
            <w:pPr>
              <w:pStyle w:val="TAL"/>
            </w:pPr>
            <w:r w:rsidRPr="000A0A5F">
              <w:rPr>
                <w:rFonts w:cs="Arial"/>
                <w:bCs/>
                <w:color w:val="333333"/>
                <w:szCs w:val="18"/>
              </w:rPr>
              <w:t>OTHER_REASON</w:t>
            </w:r>
          </w:p>
        </w:tc>
        <w:tc>
          <w:tcPr>
            <w:tcW w:w="2467" w:type="pct"/>
            <w:tcMar>
              <w:top w:w="0" w:type="dxa"/>
              <w:left w:w="108" w:type="dxa"/>
              <w:bottom w:w="0" w:type="dxa"/>
              <w:right w:w="108" w:type="dxa"/>
            </w:tcMar>
            <w:hideMark/>
          </w:tcPr>
          <w:p w:rsidR="00CB0DD7" w:rsidRPr="000A0A5F" w:rsidRDefault="00CB0DD7">
            <w:pPr>
              <w:pStyle w:val="TAL"/>
              <w:rPr>
                <w:rFonts w:cs="Arial"/>
                <w:bCs/>
                <w:color w:val="333333"/>
                <w:szCs w:val="18"/>
              </w:rPr>
            </w:pPr>
            <w:r w:rsidRPr="000A0A5F">
              <w:rPr>
                <w:rFonts w:cs="Arial"/>
                <w:bCs/>
                <w:color w:val="333333"/>
                <w:szCs w:val="18"/>
              </w:rPr>
              <w:t>Other reason unspecified.</w:t>
            </w:r>
          </w:p>
        </w:tc>
        <w:tc>
          <w:tcPr>
            <w:tcW w:w="1179" w:type="pct"/>
          </w:tcPr>
          <w:p w:rsidR="00CB0DD7" w:rsidRPr="000A0A5F" w:rsidRDefault="00CB0DD7">
            <w:pPr>
              <w:pStyle w:val="TAL"/>
              <w:rPr>
                <w:rFonts w:cs="Arial"/>
                <w:szCs w:val="18"/>
                <w:lang w:eastAsia="zh-CN"/>
              </w:rPr>
            </w:pPr>
          </w:p>
        </w:tc>
      </w:tr>
    </w:tbl>
    <w:p w:rsidR="00CB0DD7" w:rsidRPr="000A0A5F" w:rsidRDefault="00CB0DD7">
      <w:pPr>
        <w:rPr>
          <w:lang w:val="en-US"/>
        </w:rPr>
      </w:pPr>
    </w:p>
    <w:p w:rsidR="00CB0DD7" w:rsidRPr="000A0A5F" w:rsidRDefault="00CB0DD7">
      <w:pPr>
        <w:pStyle w:val="Heading3"/>
      </w:pPr>
      <w:bookmarkStart w:id="9913" w:name="_Toc27045080"/>
      <w:bookmarkStart w:id="9914" w:name="_Toc36034131"/>
      <w:bookmarkStart w:id="9915" w:name="_Toc45132279"/>
      <w:bookmarkStart w:id="9916" w:name="_Toc49776564"/>
      <w:bookmarkStart w:id="9917" w:name="_Toc51747484"/>
      <w:bookmarkStart w:id="9918" w:name="_Toc66361066"/>
      <w:bookmarkStart w:id="9919" w:name="_Toc68105571"/>
      <w:bookmarkStart w:id="9920" w:name="_Toc74756203"/>
      <w:bookmarkStart w:id="9921" w:name="_Toc105675080"/>
      <w:bookmarkStart w:id="9922" w:name="_Toc130503158"/>
      <w:bookmarkStart w:id="9923" w:name="_Toc153625950"/>
      <w:r w:rsidRPr="000A0A5F">
        <w:t>5.16.3</w:t>
      </w:r>
      <w:r w:rsidRPr="000A0A5F">
        <w:tab/>
        <w:t>Resource structure</w:t>
      </w:r>
      <w:bookmarkEnd w:id="9825"/>
      <w:bookmarkEnd w:id="9913"/>
      <w:bookmarkEnd w:id="9914"/>
      <w:bookmarkEnd w:id="9915"/>
      <w:bookmarkEnd w:id="9916"/>
      <w:bookmarkEnd w:id="9917"/>
      <w:bookmarkEnd w:id="9918"/>
      <w:bookmarkEnd w:id="9919"/>
      <w:bookmarkEnd w:id="9920"/>
      <w:bookmarkEnd w:id="9921"/>
      <w:bookmarkEnd w:id="9922"/>
      <w:bookmarkEnd w:id="9923"/>
    </w:p>
    <w:p w:rsidR="00CB0DD7" w:rsidRPr="000A0A5F" w:rsidRDefault="00CB0DD7">
      <w:pPr>
        <w:pStyle w:val="Heading4"/>
      </w:pPr>
      <w:bookmarkStart w:id="9924" w:name="_Toc27045081"/>
      <w:bookmarkStart w:id="9925" w:name="_Toc36034132"/>
      <w:bookmarkStart w:id="9926" w:name="_Toc45132280"/>
      <w:bookmarkStart w:id="9927" w:name="_Toc49776565"/>
      <w:bookmarkStart w:id="9928" w:name="_Toc51747485"/>
      <w:bookmarkStart w:id="9929" w:name="_Toc66361067"/>
      <w:bookmarkStart w:id="9930" w:name="_Toc68105572"/>
      <w:bookmarkStart w:id="9931" w:name="_Toc74756204"/>
      <w:bookmarkStart w:id="9932" w:name="_Toc105675081"/>
      <w:bookmarkStart w:id="9933" w:name="_Toc130503159"/>
      <w:bookmarkStart w:id="9934" w:name="_Toc153625951"/>
      <w:r w:rsidRPr="000A0A5F">
        <w:t>5.16.3.1</w:t>
      </w:r>
      <w:r w:rsidRPr="000A0A5F">
        <w:tab/>
        <w:t>General</w:t>
      </w:r>
      <w:bookmarkEnd w:id="9924"/>
      <w:bookmarkEnd w:id="9925"/>
      <w:bookmarkEnd w:id="9926"/>
      <w:bookmarkEnd w:id="9927"/>
      <w:bookmarkEnd w:id="9928"/>
      <w:bookmarkEnd w:id="9929"/>
      <w:bookmarkEnd w:id="9930"/>
      <w:bookmarkEnd w:id="9931"/>
      <w:bookmarkEnd w:id="9932"/>
      <w:bookmarkEnd w:id="9933"/>
      <w:bookmarkEnd w:id="9934"/>
    </w:p>
    <w:p w:rsidR="00CB0DD7" w:rsidRPr="000A0A5F" w:rsidRDefault="00CB0DD7">
      <w:r w:rsidRPr="000A0A5F">
        <w:t>All resource URIs of this API should have the following root:</w:t>
      </w:r>
    </w:p>
    <w:p w:rsidR="00CB0DD7" w:rsidRPr="000A0A5F" w:rsidRDefault="00CB0DD7">
      <w:pPr>
        <w:pStyle w:val="B1"/>
        <w:numPr>
          <w:ilvl w:val="0"/>
          <w:numId w:val="0"/>
        </w:numPr>
        <w:tabs>
          <w:tab w:val="left" w:pos="720"/>
        </w:tabs>
        <w:ind w:left="737"/>
        <w:rPr>
          <w:b/>
        </w:rPr>
      </w:pPr>
      <w:r w:rsidRPr="000A0A5F">
        <w:rPr>
          <w:b/>
        </w:rPr>
        <w:t>{apiRoot}/3gpp-racs-pp/v1</w:t>
      </w:r>
    </w:p>
    <w:p w:rsidR="00CB0DD7" w:rsidRPr="000A0A5F" w:rsidRDefault="00CB0DD7">
      <w:r w:rsidRPr="000A0A5F">
        <w:t>"apiRoot" is set as described in clause</w:t>
      </w:r>
      <w:r w:rsidRPr="000A0A5F">
        <w:rPr>
          <w:rFonts w:ascii="Segoe UI Symbol" w:hAnsi="Segoe UI Symbol"/>
        </w:rPr>
        <w:t> </w:t>
      </w:r>
      <w:r w:rsidRPr="000A0A5F">
        <w:t>5.2.4. "apiName" shall be set to "3gpp-racs-pp" and "apiVersion" shall be set to "v1" for the version defined in the present document. All resource URIs in the clauses below are defined relative to the above root URI.</w:t>
      </w:r>
    </w:p>
    <w:p w:rsidR="00CB0DD7" w:rsidRPr="000A0A5F" w:rsidRDefault="00CB0DD7">
      <w:r w:rsidRPr="000A0A5F">
        <w:t>The following resources and HTTP methods are supported for this API:</w:t>
      </w:r>
    </w:p>
    <w:p w:rsidR="00CB0DD7" w:rsidRPr="000A0A5F" w:rsidRDefault="00CB0DD7">
      <w:pPr>
        <w:pStyle w:val="TH"/>
      </w:pPr>
      <w:r w:rsidRPr="000A0A5F">
        <w:t>Table 5.16.3.1-1: Resources and methods overview</w:t>
      </w:r>
    </w:p>
    <w:tbl>
      <w:tblPr>
        <w:tblW w:w="4941"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1735"/>
        <w:gridCol w:w="4414"/>
        <w:gridCol w:w="1297"/>
        <w:gridCol w:w="2216"/>
        <w:tblGridChange w:id="9935">
          <w:tblGrid>
            <w:gridCol w:w="1735"/>
            <w:gridCol w:w="4414"/>
            <w:gridCol w:w="1297"/>
            <w:gridCol w:w="2216"/>
          </w:tblGrid>
        </w:tblGridChange>
      </w:tblGrid>
      <w:tr w:rsidR="00CB0DD7" w:rsidRPr="000A0A5F" w:rsidTr="00FF0AF8">
        <w:trPr>
          <w:trHeight w:val="446"/>
          <w:jc w:val="center"/>
        </w:trPr>
        <w:tc>
          <w:tcPr>
            <w:tcW w:w="898" w:type="pct"/>
            <w:shd w:val="clear" w:color="auto" w:fill="C0C0C0"/>
            <w:vAlign w:val="center"/>
            <w:hideMark/>
          </w:tcPr>
          <w:p w:rsidR="00CB0DD7" w:rsidRPr="000A0A5F" w:rsidRDefault="00CB0DD7">
            <w:pPr>
              <w:pStyle w:val="TAH"/>
              <w:spacing w:line="276" w:lineRule="auto"/>
            </w:pPr>
            <w:r w:rsidRPr="000A0A5F">
              <w:t>Resource name</w:t>
            </w:r>
          </w:p>
        </w:tc>
        <w:tc>
          <w:tcPr>
            <w:tcW w:w="2284" w:type="pct"/>
            <w:shd w:val="clear" w:color="auto" w:fill="C0C0C0"/>
            <w:vAlign w:val="center"/>
            <w:hideMark/>
          </w:tcPr>
          <w:p w:rsidR="00CB0DD7" w:rsidRPr="000A0A5F" w:rsidRDefault="00CB0DD7">
            <w:pPr>
              <w:pStyle w:val="TAH"/>
              <w:spacing w:line="276" w:lineRule="auto"/>
            </w:pPr>
            <w:r w:rsidRPr="000A0A5F">
              <w:t>Resource URI</w:t>
            </w:r>
          </w:p>
        </w:tc>
        <w:tc>
          <w:tcPr>
            <w:tcW w:w="671" w:type="pct"/>
            <w:shd w:val="clear" w:color="auto" w:fill="C0C0C0"/>
            <w:vAlign w:val="center"/>
            <w:hideMark/>
          </w:tcPr>
          <w:p w:rsidR="00CB0DD7" w:rsidRPr="000A0A5F" w:rsidRDefault="00CB0DD7">
            <w:pPr>
              <w:pStyle w:val="TAH"/>
              <w:spacing w:line="276" w:lineRule="auto"/>
            </w:pPr>
            <w:r w:rsidRPr="000A0A5F">
              <w:t>HTTP method</w:t>
            </w:r>
          </w:p>
        </w:tc>
        <w:tc>
          <w:tcPr>
            <w:tcW w:w="1147" w:type="pct"/>
            <w:shd w:val="clear" w:color="auto" w:fill="C0C0C0"/>
            <w:vAlign w:val="center"/>
            <w:hideMark/>
          </w:tcPr>
          <w:p w:rsidR="00CB0DD7" w:rsidRPr="000A0A5F" w:rsidRDefault="00CB0DD7">
            <w:pPr>
              <w:pStyle w:val="TAH"/>
              <w:spacing w:line="276" w:lineRule="auto"/>
            </w:pPr>
            <w:r w:rsidRPr="000A0A5F">
              <w:t>Meaning</w:t>
            </w:r>
          </w:p>
        </w:tc>
      </w:tr>
      <w:tr w:rsidR="00CB0DD7" w:rsidRPr="000A0A5F" w:rsidTr="00FF0AF8">
        <w:trPr>
          <w:jc w:val="center"/>
        </w:trPr>
        <w:tc>
          <w:tcPr>
            <w:tcW w:w="898" w:type="pct"/>
            <w:vMerge w:val="restart"/>
            <w:hideMark/>
          </w:tcPr>
          <w:p w:rsidR="00CB0DD7" w:rsidRPr="000A0A5F" w:rsidRDefault="00CB0DD7">
            <w:pPr>
              <w:pStyle w:val="TAL"/>
              <w:rPr>
                <w:lang w:eastAsia="zh-CN"/>
              </w:rPr>
            </w:pPr>
            <w:r w:rsidRPr="000A0A5F">
              <w:t>RACS Parameter Provisionings</w:t>
            </w:r>
          </w:p>
        </w:tc>
        <w:tc>
          <w:tcPr>
            <w:tcW w:w="2284" w:type="pct"/>
            <w:vMerge w:val="restart"/>
            <w:hideMark/>
          </w:tcPr>
          <w:p w:rsidR="00CB0DD7" w:rsidRPr="000A0A5F" w:rsidRDefault="00CB0DD7">
            <w:pPr>
              <w:pStyle w:val="TAL"/>
            </w:pPr>
            <w:r w:rsidRPr="000A0A5F">
              <w:t>/{scsAsId}/provisionings</w:t>
            </w:r>
          </w:p>
        </w:tc>
        <w:tc>
          <w:tcPr>
            <w:tcW w:w="671" w:type="pct"/>
            <w:hideMark/>
          </w:tcPr>
          <w:p w:rsidR="00CB0DD7" w:rsidRPr="000A0A5F" w:rsidRDefault="00CB0DD7">
            <w:pPr>
              <w:pStyle w:val="TAL"/>
              <w:rPr>
                <w:lang w:eastAsia="zh-CN"/>
              </w:rPr>
            </w:pPr>
            <w:r w:rsidRPr="000A0A5F">
              <w:t>GET</w:t>
            </w:r>
          </w:p>
        </w:tc>
        <w:tc>
          <w:tcPr>
            <w:tcW w:w="1147" w:type="pct"/>
            <w:hideMark/>
          </w:tcPr>
          <w:p w:rsidR="00CB0DD7" w:rsidRPr="000A0A5F" w:rsidRDefault="00CB0DD7">
            <w:pPr>
              <w:pStyle w:val="TAL"/>
            </w:pPr>
            <w:r w:rsidRPr="000A0A5F">
              <w:t>Read all RACS parameter provisionings for a given AF</w:t>
            </w:r>
          </w:p>
        </w:tc>
      </w:tr>
      <w:tr w:rsidR="00CB0DD7" w:rsidRPr="000A0A5F" w:rsidTr="00FF0AF8">
        <w:trPr>
          <w:jc w:val="center"/>
        </w:trPr>
        <w:tc>
          <w:tcPr>
            <w:tcW w:w="0" w:type="auto"/>
            <w:vMerge/>
            <w:vAlign w:val="center"/>
            <w:hideMark/>
          </w:tcPr>
          <w:p w:rsidR="00CB0DD7" w:rsidRPr="000A0A5F" w:rsidRDefault="00CB0DD7">
            <w:pPr>
              <w:spacing w:after="0"/>
              <w:rPr>
                <w:rFonts w:ascii="Arial" w:hAnsi="Arial"/>
                <w:sz w:val="18"/>
                <w:lang w:eastAsia="zh-CN"/>
              </w:rPr>
            </w:pPr>
          </w:p>
        </w:tc>
        <w:tc>
          <w:tcPr>
            <w:tcW w:w="0" w:type="auto"/>
            <w:vMerge/>
            <w:vAlign w:val="center"/>
            <w:hideMark/>
          </w:tcPr>
          <w:p w:rsidR="00CB0DD7" w:rsidRPr="000A0A5F" w:rsidRDefault="00CB0DD7">
            <w:pPr>
              <w:spacing w:after="0"/>
              <w:rPr>
                <w:rFonts w:ascii="Arial" w:hAnsi="Arial"/>
                <w:sz w:val="18"/>
              </w:rPr>
            </w:pPr>
          </w:p>
        </w:tc>
        <w:tc>
          <w:tcPr>
            <w:tcW w:w="671" w:type="pct"/>
            <w:hideMark/>
          </w:tcPr>
          <w:p w:rsidR="00CB0DD7" w:rsidRPr="000A0A5F" w:rsidRDefault="00CB0DD7">
            <w:pPr>
              <w:pStyle w:val="TAL"/>
              <w:rPr>
                <w:lang w:eastAsia="zh-CN"/>
              </w:rPr>
            </w:pPr>
            <w:r w:rsidRPr="000A0A5F">
              <w:rPr>
                <w:lang w:eastAsia="zh-CN"/>
              </w:rPr>
              <w:t>POST</w:t>
            </w:r>
          </w:p>
        </w:tc>
        <w:tc>
          <w:tcPr>
            <w:tcW w:w="1147" w:type="pct"/>
            <w:hideMark/>
          </w:tcPr>
          <w:p w:rsidR="00CB0DD7" w:rsidRPr="000A0A5F" w:rsidRDefault="00CB0DD7">
            <w:pPr>
              <w:pStyle w:val="TAL"/>
            </w:pPr>
            <w:r w:rsidRPr="000A0A5F">
              <w:t>Create a new RACS parameter provisioning</w:t>
            </w:r>
          </w:p>
        </w:tc>
      </w:tr>
      <w:tr w:rsidR="00CB0DD7" w:rsidRPr="000A0A5F" w:rsidTr="00FF0AF8">
        <w:trPr>
          <w:trHeight w:val="621"/>
          <w:jc w:val="center"/>
        </w:trPr>
        <w:tc>
          <w:tcPr>
            <w:tcW w:w="0" w:type="auto"/>
            <w:vMerge w:val="restart"/>
          </w:tcPr>
          <w:p w:rsidR="00CB0DD7" w:rsidRPr="000A0A5F" w:rsidRDefault="00CB0DD7">
            <w:pPr>
              <w:pStyle w:val="TAL"/>
              <w:rPr>
                <w:lang w:eastAsia="zh-CN"/>
              </w:rPr>
            </w:pPr>
            <w:r w:rsidRPr="000A0A5F">
              <w:t>Individual RACS Parameter Provisioning</w:t>
            </w:r>
          </w:p>
        </w:tc>
        <w:tc>
          <w:tcPr>
            <w:tcW w:w="0" w:type="auto"/>
            <w:vMerge w:val="restart"/>
          </w:tcPr>
          <w:p w:rsidR="00CB0DD7" w:rsidRPr="000A0A5F" w:rsidRDefault="00CB0DD7">
            <w:pPr>
              <w:pStyle w:val="TAL"/>
            </w:pPr>
            <w:r w:rsidRPr="000A0A5F">
              <w:t>/{scsAsId}/provisionings/{provisioningId}</w:t>
            </w:r>
          </w:p>
        </w:tc>
        <w:tc>
          <w:tcPr>
            <w:tcW w:w="671" w:type="pct"/>
          </w:tcPr>
          <w:p w:rsidR="00CB0DD7" w:rsidRPr="000A0A5F" w:rsidRDefault="00CB0DD7">
            <w:pPr>
              <w:pStyle w:val="TAL"/>
              <w:rPr>
                <w:lang w:eastAsia="zh-CN"/>
              </w:rPr>
            </w:pPr>
            <w:r w:rsidRPr="000A0A5F">
              <w:rPr>
                <w:lang w:eastAsia="zh-CN"/>
              </w:rPr>
              <w:t>PUT</w:t>
            </w:r>
          </w:p>
        </w:tc>
        <w:tc>
          <w:tcPr>
            <w:tcW w:w="1147" w:type="pct"/>
          </w:tcPr>
          <w:p w:rsidR="00CB0DD7" w:rsidRPr="000A0A5F" w:rsidRDefault="00CB0DD7">
            <w:pPr>
              <w:pStyle w:val="TAL"/>
            </w:pPr>
            <w:r w:rsidRPr="000A0A5F">
              <w:t>Modify all properties in an existing RACS parameter provisioning</w:t>
            </w:r>
          </w:p>
        </w:tc>
      </w:tr>
      <w:tr w:rsidR="00CB0DD7" w:rsidRPr="000A0A5F" w:rsidTr="00FF0AF8">
        <w:trPr>
          <w:trHeight w:val="621"/>
          <w:jc w:val="center"/>
        </w:trPr>
        <w:tc>
          <w:tcPr>
            <w:tcW w:w="0" w:type="auto"/>
            <w:vMerge/>
          </w:tcPr>
          <w:p w:rsidR="00CB0DD7" w:rsidRPr="000A0A5F" w:rsidRDefault="00CB0DD7">
            <w:pPr>
              <w:pStyle w:val="TAL"/>
            </w:pPr>
          </w:p>
        </w:tc>
        <w:tc>
          <w:tcPr>
            <w:tcW w:w="0" w:type="auto"/>
            <w:vMerge/>
          </w:tcPr>
          <w:p w:rsidR="00CB0DD7" w:rsidRPr="000A0A5F" w:rsidRDefault="00CB0DD7">
            <w:pPr>
              <w:pStyle w:val="TAL"/>
              <w:rPr>
                <w:lang w:eastAsia="zh-CN"/>
              </w:rPr>
            </w:pPr>
          </w:p>
        </w:tc>
        <w:tc>
          <w:tcPr>
            <w:tcW w:w="671" w:type="pct"/>
          </w:tcPr>
          <w:p w:rsidR="00CB0DD7" w:rsidRPr="000A0A5F" w:rsidRDefault="00CB0DD7">
            <w:pPr>
              <w:pStyle w:val="TAL"/>
              <w:rPr>
                <w:lang w:eastAsia="zh-CN"/>
              </w:rPr>
            </w:pPr>
            <w:r w:rsidRPr="000A0A5F">
              <w:rPr>
                <w:lang w:eastAsia="zh-CN"/>
              </w:rPr>
              <w:t>PATCH</w:t>
            </w:r>
          </w:p>
        </w:tc>
        <w:tc>
          <w:tcPr>
            <w:tcW w:w="1147" w:type="pct"/>
          </w:tcPr>
          <w:p w:rsidR="00CB0DD7" w:rsidRPr="000A0A5F" w:rsidRDefault="00CB0DD7">
            <w:pPr>
              <w:pStyle w:val="TAL"/>
            </w:pPr>
            <w:r w:rsidRPr="000A0A5F">
              <w:t>Modify some properties in an existing RACS parameter provisioning</w:t>
            </w:r>
          </w:p>
        </w:tc>
      </w:tr>
      <w:tr w:rsidR="00CB0DD7" w:rsidRPr="000A0A5F" w:rsidTr="00FF0AF8">
        <w:trPr>
          <w:jc w:val="center"/>
        </w:trPr>
        <w:tc>
          <w:tcPr>
            <w:tcW w:w="0" w:type="auto"/>
            <w:vMerge/>
          </w:tcPr>
          <w:p w:rsidR="00CB0DD7" w:rsidRPr="000A0A5F" w:rsidRDefault="00CB0DD7">
            <w:pPr>
              <w:pStyle w:val="TAL"/>
            </w:pPr>
          </w:p>
        </w:tc>
        <w:tc>
          <w:tcPr>
            <w:tcW w:w="0" w:type="auto"/>
            <w:vMerge/>
          </w:tcPr>
          <w:p w:rsidR="00CB0DD7" w:rsidRPr="000A0A5F" w:rsidRDefault="00CB0DD7">
            <w:pPr>
              <w:pStyle w:val="TAL"/>
              <w:rPr>
                <w:lang w:eastAsia="zh-CN"/>
              </w:rPr>
            </w:pPr>
          </w:p>
        </w:tc>
        <w:tc>
          <w:tcPr>
            <w:tcW w:w="671" w:type="pct"/>
          </w:tcPr>
          <w:p w:rsidR="00CB0DD7" w:rsidRPr="000A0A5F" w:rsidRDefault="00CB0DD7">
            <w:pPr>
              <w:pStyle w:val="TAL"/>
              <w:rPr>
                <w:lang w:eastAsia="zh-CN"/>
              </w:rPr>
            </w:pPr>
            <w:r w:rsidRPr="000A0A5F">
              <w:t>GET</w:t>
            </w:r>
          </w:p>
        </w:tc>
        <w:tc>
          <w:tcPr>
            <w:tcW w:w="1147" w:type="pct"/>
          </w:tcPr>
          <w:p w:rsidR="00CB0DD7" w:rsidRPr="000A0A5F" w:rsidRDefault="00CB0DD7">
            <w:pPr>
              <w:pStyle w:val="TAL"/>
            </w:pPr>
            <w:r w:rsidRPr="000A0A5F">
              <w:t>Read an existing RACS parameter provisioning</w:t>
            </w:r>
          </w:p>
        </w:tc>
      </w:tr>
      <w:tr w:rsidR="00CB0DD7" w:rsidRPr="000A0A5F" w:rsidTr="00FF0AF8">
        <w:trPr>
          <w:jc w:val="center"/>
        </w:trPr>
        <w:tc>
          <w:tcPr>
            <w:tcW w:w="0" w:type="auto"/>
            <w:vMerge/>
          </w:tcPr>
          <w:p w:rsidR="00CB0DD7" w:rsidRPr="000A0A5F" w:rsidRDefault="00CB0DD7">
            <w:pPr>
              <w:pStyle w:val="TAL"/>
            </w:pPr>
          </w:p>
        </w:tc>
        <w:tc>
          <w:tcPr>
            <w:tcW w:w="0" w:type="auto"/>
            <w:vMerge/>
          </w:tcPr>
          <w:p w:rsidR="00CB0DD7" w:rsidRPr="000A0A5F" w:rsidRDefault="00CB0DD7">
            <w:pPr>
              <w:pStyle w:val="TAL"/>
              <w:rPr>
                <w:lang w:eastAsia="zh-CN"/>
              </w:rPr>
            </w:pPr>
          </w:p>
        </w:tc>
        <w:tc>
          <w:tcPr>
            <w:tcW w:w="671" w:type="pct"/>
          </w:tcPr>
          <w:p w:rsidR="00CB0DD7" w:rsidRPr="000A0A5F" w:rsidRDefault="00CB0DD7">
            <w:pPr>
              <w:pStyle w:val="TAL"/>
              <w:rPr>
                <w:lang w:eastAsia="zh-CN"/>
              </w:rPr>
            </w:pPr>
            <w:r w:rsidRPr="000A0A5F">
              <w:t>DELETE</w:t>
            </w:r>
          </w:p>
        </w:tc>
        <w:tc>
          <w:tcPr>
            <w:tcW w:w="1147" w:type="pct"/>
          </w:tcPr>
          <w:p w:rsidR="00CB0DD7" w:rsidRPr="000A0A5F" w:rsidRDefault="00CB0DD7">
            <w:pPr>
              <w:pStyle w:val="TAL"/>
            </w:pPr>
            <w:r w:rsidRPr="000A0A5F">
              <w:t>Delete a RACS parameter provisioning</w:t>
            </w:r>
          </w:p>
        </w:tc>
      </w:tr>
    </w:tbl>
    <w:p w:rsidR="00CB0DD7" w:rsidRPr="000A0A5F" w:rsidRDefault="00CB0DD7">
      <w:bookmarkStart w:id="9936" w:name="_Toc27045082"/>
      <w:bookmarkStart w:id="9937" w:name="_Toc36034133"/>
      <w:bookmarkStart w:id="9938" w:name="_Toc45132281"/>
      <w:bookmarkStart w:id="9939" w:name="_Toc49776566"/>
      <w:bookmarkStart w:id="9940" w:name="_Toc51747486"/>
    </w:p>
    <w:p w:rsidR="00CB0DD7" w:rsidRPr="000A0A5F" w:rsidRDefault="00CB0DD7">
      <w:pPr>
        <w:pStyle w:val="Heading4"/>
      </w:pPr>
      <w:bookmarkStart w:id="9941" w:name="_Toc66361068"/>
      <w:bookmarkStart w:id="9942" w:name="_Toc68105573"/>
      <w:bookmarkStart w:id="9943" w:name="_Toc74756205"/>
      <w:bookmarkStart w:id="9944" w:name="_Toc105675082"/>
      <w:bookmarkStart w:id="9945" w:name="_Toc130503160"/>
      <w:bookmarkStart w:id="9946" w:name="_Toc153625952"/>
      <w:r w:rsidRPr="000A0A5F">
        <w:t>5.16.3.2</w:t>
      </w:r>
      <w:r w:rsidRPr="000A0A5F">
        <w:tab/>
        <w:t>Resource: RACS Parameter Provisionings</w:t>
      </w:r>
      <w:bookmarkEnd w:id="9936"/>
      <w:bookmarkEnd w:id="9937"/>
      <w:bookmarkEnd w:id="9938"/>
      <w:bookmarkEnd w:id="9939"/>
      <w:bookmarkEnd w:id="9940"/>
      <w:bookmarkEnd w:id="9941"/>
      <w:bookmarkEnd w:id="9942"/>
      <w:bookmarkEnd w:id="9943"/>
      <w:bookmarkEnd w:id="9944"/>
      <w:bookmarkEnd w:id="9945"/>
      <w:bookmarkEnd w:id="9946"/>
    </w:p>
    <w:p w:rsidR="00CB0DD7" w:rsidRPr="000A0A5F" w:rsidRDefault="00CB0DD7">
      <w:pPr>
        <w:pStyle w:val="Heading5"/>
      </w:pPr>
      <w:bookmarkStart w:id="9947" w:name="_Toc27045083"/>
      <w:bookmarkStart w:id="9948" w:name="_Toc36034134"/>
      <w:bookmarkStart w:id="9949" w:name="_Toc45132282"/>
      <w:bookmarkStart w:id="9950" w:name="_Toc49776567"/>
      <w:bookmarkStart w:id="9951" w:name="_Toc51747487"/>
      <w:bookmarkStart w:id="9952" w:name="_Toc66361069"/>
      <w:bookmarkStart w:id="9953" w:name="_Toc68105574"/>
      <w:bookmarkStart w:id="9954" w:name="_Toc74756206"/>
      <w:bookmarkStart w:id="9955" w:name="_Toc105675083"/>
      <w:bookmarkStart w:id="9956" w:name="_Toc130503161"/>
      <w:bookmarkStart w:id="9957" w:name="_Toc153625953"/>
      <w:r w:rsidRPr="000A0A5F">
        <w:t>5.16.3.2.1</w:t>
      </w:r>
      <w:r w:rsidRPr="000A0A5F">
        <w:tab/>
        <w:t>Introduction</w:t>
      </w:r>
      <w:bookmarkEnd w:id="9947"/>
      <w:bookmarkEnd w:id="9948"/>
      <w:bookmarkEnd w:id="9949"/>
      <w:bookmarkEnd w:id="9950"/>
      <w:bookmarkEnd w:id="9951"/>
      <w:bookmarkEnd w:id="9952"/>
      <w:bookmarkEnd w:id="9953"/>
      <w:bookmarkEnd w:id="9954"/>
      <w:bookmarkEnd w:id="9955"/>
      <w:bookmarkEnd w:id="9956"/>
      <w:bookmarkEnd w:id="9957"/>
    </w:p>
    <w:p w:rsidR="00CB0DD7" w:rsidRPr="000A0A5F" w:rsidRDefault="00CB0DD7">
      <w:pPr>
        <w:rPr>
          <w:noProof/>
          <w:lang w:eastAsia="zh-CN"/>
        </w:rPr>
      </w:pPr>
      <w:r w:rsidRPr="000A0A5F">
        <w:rPr>
          <w:noProof/>
          <w:lang w:eastAsia="zh-CN"/>
        </w:rPr>
        <w:t>This resource allows an SCS/AS to read all active RACS parameter provisionings or create a new RACS parameter provisioning.</w:t>
      </w:r>
    </w:p>
    <w:p w:rsidR="00CB0DD7" w:rsidRPr="000A0A5F" w:rsidRDefault="00CB0DD7">
      <w:pPr>
        <w:pStyle w:val="Heading5"/>
      </w:pPr>
      <w:bookmarkStart w:id="9958" w:name="_Toc27045084"/>
      <w:bookmarkStart w:id="9959" w:name="_Toc36034135"/>
      <w:bookmarkStart w:id="9960" w:name="_Toc45132283"/>
      <w:bookmarkStart w:id="9961" w:name="_Toc49776568"/>
      <w:bookmarkStart w:id="9962" w:name="_Toc51747488"/>
      <w:bookmarkStart w:id="9963" w:name="_Toc66361070"/>
      <w:bookmarkStart w:id="9964" w:name="_Toc68105575"/>
      <w:bookmarkStart w:id="9965" w:name="_Toc74756207"/>
      <w:bookmarkStart w:id="9966" w:name="_Toc105675084"/>
      <w:bookmarkStart w:id="9967" w:name="_Toc130503162"/>
      <w:bookmarkStart w:id="9968" w:name="_Toc153625954"/>
      <w:r w:rsidRPr="000A0A5F">
        <w:t>5.16.3.2.2</w:t>
      </w:r>
      <w:r w:rsidRPr="000A0A5F">
        <w:tab/>
        <w:t>Resource definition</w:t>
      </w:r>
      <w:bookmarkEnd w:id="9958"/>
      <w:bookmarkEnd w:id="9959"/>
      <w:bookmarkEnd w:id="9960"/>
      <w:bookmarkEnd w:id="9961"/>
      <w:bookmarkEnd w:id="9962"/>
      <w:bookmarkEnd w:id="9963"/>
      <w:bookmarkEnd w:id="9964"/>
      <w:bookmarkEnd w:id="9965"/>
      <w:bookmarkEnd w:id="9966"/>
      <w:bookmarkEnd w:id="9967"/>
      <w:bookmarkEnd w:id="9968"/>
    </w:p>
    <w:p w:rsidR="00CB0DD7" w:rsidRPr="000A0A5F" w:rsidRDefault="00CB0DD7">
      <w:r w:rsidRPr="000A0A5F">
        <w:t xml:space="preserve">Resource URI: </w:t>
      </w:r>
      <w:r w:rsidRPr="000A0A5F">
        <w:rPr>
          <w:b/>
        </w:rPr>
        <w:t>{apiRoot}/3gpp-racs-pp/v1/{scsAsId}/</w:t>
      </w:r>
      <w:r w:rsidRPr="000A0A5F">
        <w:rPr>
          <w:b/>
          <w:noProof/>
          <w:lang w:eastAsia="zh-CN"/>
        </w:rPr>
        <w:t>provisioning</w:t>
      </w:r>
      <w:r w:rsidRPr="000A0A5F">
        <w:rPr>
          <w:b/>
        </w:rPr>
        <w:t>s</w:t>
      </w:r>
    </w:p>
    <w:p w:rsidR="00CB0DD7" w:rsidRPr="000A0A5F" w:rsidRDefault="00CB0DD7">
      <w:pPr>
        <w:rPr>
          <w:rFonts w:ascii="Arial" w:hAnsi="Arial" w:cs="Arial"/>
        </w:rPr>
      </w:pPr>
      <w:r w:rsidRPr="000A0A5F">
        <w:t>This resource shall support the resource URI variables defined in table 5.16.3.2.2-1</w:t>
      </w:r>
      <w:r w:rsidRPr="000A0A5F">
        <w:rPr>
          <w:rFonts w:ascii="Arial" w:hAnsi="Arial" w:cs="Arial"/>
        </w:rPr>
        <w:t>.</w:t>
      </w:r>
    </w:p>
    <w:p w:rsidR="00CB0DD7" w:rsidRPr="000A0A5F" w:rsidRDefault="00CB0DD7">
      <w:pPr>
        <w:pStyle w:val="TH"/>
        <w:rPr>
          <w:rFonts w:cs="Arial"/>
        </w:rPr>
      </w:pPr>
      <w:r w:rsidRPr="000A0A5F">
        <w:t>Table 5.16.3.2.2-1: Resource URI variables for resource "Parameter Provisioning"</w:t>
      </w:r>
    </w:p>
    <w:tbl>
      <w:tblPr>
        <w:tblW w:w="5005"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967"/>
        <w:gridCol w:w="1298"/>
        <w:gridCol w:w="6522"/>
      </w:tblGrid>
      <w:tr w:rsidR="00CB0DD7" w:rsidRPr="000A0A5F" w:rsidTr="00FF0AF8">
        <w:trPr>
          <w:jc w:val="center"/>
        </w:trPr>
        <w:tc>
          <w:tcPr>
            <w:tcW w:w="1005" w:type="pct"/>
            <w:shd w:val="clear" w:color="000000" w:fill="C0C0C0"/>
            <w:hideMark/>
          </w:tcPr>
          <w:p w:rsidR="00CB0DD7" w:rsidRPr="000A0A5F" w:rsidRDefault="00CB0DD7">
            <w:pPr>
              <w:pStyle w:val="TAH"/>
            </w:pPr>
            <w:r w:rsidRPr="000A0A5F">
              <w:t>Name</w:t>
            </w:r>
          </w:p>
        </w:tc>
        <w:tc>
          <w:tcPr>
            <w:tcW w:w="663" w:type="pct"/>
            <w:shd w:val="clear" w:color="000000" w:fill="C0C0C0"/>
          </w:tcPr>
          <w:p w:rsidR="00CB0DD7" w:rsidRPr="000A0A5F" w:rsidRDefault="00CB0DD7">
            <w:pPr>
              <w:pStyle w:val="TAH"/>
            </w:pPr>
            <w:r w:rsidRPr="000A0A5F">
              <w:t>Data type</w:t>
            </w:r>
          </w:p>
        </w:tc>
        <w:tc>
          <w:tcPr>
            <w:tcW w:w="3332" w:type="pct"/>
            <w:shd w:val="clear" w:color="000000" w:fill="C0C0C0"/>
            <w:vAlign w:val="center"/>
            <w:hideMark/>
          </w:tcPr>
          <w:p w:rsidR="00CB0DD7" w:rsidRPr="000A0A5F" w:rsidRDefault="00CB0DD7">
            <w:pPr>
              <w:pStyle w:val="TAH"/>
            </w:pPr>
            <w:r w:rsidRPr="000A0A5F">
              <w:t>Definition</w:t>
            </w:r>
          </w:p>
        </w:tc>
      </w:tr>
      <w:tr w:rsidR="00CB0DD7" w:rsidRPr="000A0A5F" w:rsidTr="00FF0AF8">
        <w:trPr>
          <w:jc w:val="center"/>
        </w:trPr>
        <w:tc>
          <w:tcPr>
            <w:tcW w:w="1005" w:type="pct"/>
            <w:hideMark/>
          </w:tcPr>
          <w:p w:rsidR="00CB0DD7" w:rsidRPr="000A0A5F" w:rsidRDefault="00CB0DD7">
            <w:pPr>
              <w:pStyle w:val="TAL"/>
            </w:pPr>
            <w:r w:rsidRPr="000A0A5F">
              <w:t>apiRoot</w:t>
            </w:r>
          </w:p>
        </w:tc>
        <w:tc>
          <w:tcPr>
            <w:tcW w:w="663" w:type="pct"/>
          </w:tcPr>
          <w:p w:rsidR="00CB0DD7" w:rsidRPr="000A0A5F" w:rsidRDefault="00CB0DD7">
            <w:pPr>
              <w:pStyle w:val="TAL"/>
            </w:pPr>
            <w:r w:rsidRPr="000A0A5F">
              <w:t>string</w:t>
            </w:r>
          </w:p>
        </w:tc>
        <w:tc>
          <w:tcPr>
            <w:tcW w:w="3332" w:type="pct"/>
            <w:vAlign w:val="center"/>
            <w:hideMark/>
          </w:tcPr>
          <w:p w:rsidR="00CB0DD7" w:rsidRPr="000A0A5F" w:rsidRDefault="00CB0DD7">
            <w:pPr>
              <w:pStyle w:val="TAL"/>
            </w:pPr>
            <w:r w:rsidRPr="000A0A5F">
              <w:t>See clause</w:t>
            </w:r>
            <w:r w:rsidRPr="000A0A5F">
              <w:rPr>
                <w:lang w:val="en-US" w:eastAsia="zh-CN"/>
              </w:rPr>
              <w:t> </w:t>
            </w:r>
            <w:r w:rsidRPr="000A0A5F">
              <w:t>5.2.4.</w:t>
            </w:r>
          </w:p>
        </w:tc>
      </w:tr>
      <w:tr w:rsidR="00CB0DD7" w:rsidRPr="000A0A5F" w:rsidTr="00FF0AF8">
        <w:trPr>
          <w:jc w:val="center"/>
        </w:trPr>
        <w:tc>
          <w:tcPr>
            <w:tcW w:w="1005" w:type="pct"/>
            <w:hideMark/>
          </w:tcPr>
          <w:p w:rsidR="00CB0DD7" w:rsidRPr="000A0A5F" w:rsidRDefault="00CB0DD7">
            <w:pPr>
              <w:pStyle w:val="TAL"/>
            </w:pPr>
            <w:r w:rsidRPr="000A0A5F">
              <w:t>scsAsId</w:t>
            </w:r>
          </w:p>
        </w:tc>
        <w:tc>
          <w:tcPr>
            <w:tcW w:w="663" w:type="pct"/>
          </w:tcPr>
          <w:p w:rsidR="00CB0DD7" w:rsidRPr="000A0A5F" w:rsidRDefault="00CB0DD7">
            <w:pPr>
              <w:pStyle w:val="TAL"/>
            </w:pPr>
            <w:r w:rsidRPr="000A0A5F">
              <w:rPr>
                <w:rFonts w:hint="eastAsia"/>
                <w:lang w:eastAsia="zh-CN"/>
              </w:rPr>
              <w:t>s</w:t>
            </w:r>
            <w:r w:rsidRPr="000A0A5F">
              <w:rPr>
                <w:lang w:eastAsia="zh-CN"/>
              </w:rPr>
              <w:t>tring</w:t>
            </w:r>
          </w:p>
        </w:tc>
        <w:tc>
          <w:tcPr>
            <w:tcW w:w="3332" w:type="pct"/>
            <w:vAlign w:val="center"/>
            <w:hideMark/>
          </w:tcPr>
          <w:p w:rsidR="00CB0DD7" w:rsidRPr="000A0A5F" w:rsidRDefault="00CB0DD7">
            <w:pPr>
              <w:pStyle w:val="TAL"/>
            </w:pPr>
            <w:r w:rsidRPr="000A0A5F">
              <w:t>Identifier of the SCS/AS</w:t>
            </w:r>
            <w:r w:rsidRPr="000A0A5F">
              <w:rPr>
                <w:rFonts w:eastAsia="Times New Roman"/>
              </w:rPr>
              <w:t>.</w:t>
            </w:r>
          </w:p>
        </w:tc>
      </w:tr>
    </w:tbl>
    <w:p w:rsidR="00CB0DD7" w:rsidRPr="000A0A5F" w:rsidRDefault="00CB0DD7"/>
    <w:p w:rsidR="00CB0DD7" w:rsidRPr="000A0A5F" w:rsidRDefault="00CB0DD7">
      <w:pPr>
        <w:pStyle w:val="Heading5"/>
      </w:pPr>
      <w:bookmarkStart w:id="9969" w:name="_Toc27045085"/>
      <w:bookmarkStart w:id="9970" w:name="_Toc36034136"/>
      <w:bookmarkStart w:id="9971" w:name="_Toc45132284"/>
      <w:bookmarkStart w:id="9972" w:name="_Toc49776569"/>
      <w:bookmarkStart w:id="9973" w:name="_Toc51747489"/>
      <w:bookmarkStart w:id="9974" w:name="_Toc66361071"/>
      <w:bookmarkStart w:id="9975" w:name="_Toc68105576"/>
      <w:bookmarkStart w:id="9976" w:name="_Toc74756208"/>
      <w:bookmarkStart w:id="9977" w:name="_Toc105675085"/>
      <w:bookmarkStart w:id="9978" w:name="_Toc130503163"/>
      <w:bookmarkStart w:id="9979" w:name="_Toc153625955"/>
      <w:r w:rsidRPr="000A0A5F">
        <w:t>5.16.3.2.3</w:t>
      </w:r>
      <w:r w:rsidRPr="000A0A5F">
        <w:tab/>
        <w:t>Resource methods</w:t>
      </w:r>
      <w:bookmarkEnd w:id="9969"/>
      <w:bookmarkEnd w:id="9970"/>
      <w:bookmarkEnd w:id="9971"/>
      <w:bookmarkEnd w:id="9972"/>
      <w:bookmarkEnd w:id="9973"/>
      <w:bookmarkEnd w:id="9974"/>
      <w:bookmarkEnd w:id="9975"/>
      <w:bookmarkEnd w:id="9976"/>
      <w:bookmarkEnd w:id="9977"/>
      <w:bookmarkEnd w:id="9978"/>
      <w:bookmarkEnd w:id="9979"/>
    </w:p>
    <w:p w:rsidR="00CB0DD7" w:rsidRPr="000A0A5F" w:rsidRDefault="00CB0DD7">
      <w:pPr>
        <w:pStyle w:val="Heading6"/>
      </w:pPr>
      <w:bookmarkStart w:id="9980" w:name="_Toc27045086"/>
      <w:bookmarkStart w:id="9981" w:name="_Toc36034137"/>
      <w:bookmarkStart w:id="9982" w:name="_Toc45132285"/>
      <w:bookmarkStart w:id="9983" w:name="_Toc49776570"/>
      <w:bookmarkStart w:id="9984" w:name="_Toc51747490"/>
      <w:bookmarkStart w:id="9985" w:name="_Toc66361072"/>
      <w:bookmarkStart w:id="9986" w:name="_Toc68105577"/>
      <w:bookmarkStart w:id="9987" w:name="_Toc74756209"/>
      <w:bookmarkStart w:id="9988" w:name="_Toc105675086"/>
      <w:bookmarkStart w:id="9989" w:name="_Toc130503164"/>
      <w:bookmarkStart w:id="9990" w:name="_Toc153625956"/>
      <w:r w:rsidRPr="000A0A5F">
        <w:t>5.16.3.2.3.1</w:t>
      </w:r>
      <w:r w:rsidRPr="000A0A5F">
        <w:tab/>
        <w:t>GET</w:t>
      </w:r>
      <w:bookmarkEnd w:id="9980"/>
      <w:bookmarkEnd w:id="9981"/>
      <w:bookmarkEnd w:id="9982"/>
      <w:bookmarkEnd w:id="9983"/>
      <w:bookmarkEnd w:id="9984"/>
      <w:bookmarkEnd w:id="9985"/>
      <w:bookmarkEnd w:id="9986"/>
      <w:bookmarkEnd w:id="9987"/>
      <w:bookmarkEnd w:id="9988"/>
      <w:bookmarkEnd w:id="9989"/>
      <w:bookmarkEnd w:id="9990"/>
    </w:p>
    <w:p w:rsidR="00CB0DD7" w:rsidRPr="000A0A5F" w:rsidRDefault="00CB0DD7">
      <w:pPr>
        <w:rPr>
          <w:noProof/>
          <w:lang w:eastAsia="zh-CN"/>
        </w:rPr>
      </w:pPr>
      <w:r w:rsidRPr="000A0A5F">
        <w:rPr>
          <w:noProof/>
          <w:lang w:eastAsia="zh-CN"/>
        </w:rPr>
        <w:t>The GET method allows to read all active RACS parameter provisionings indicated by the resource URI as defined in clause </w:t>
      </w:r>
      <w:r w:rsidRPr="000A0A5F">
        <w:rPr>
          <w:noProof/>
          <w:lang w:val="en-US" w:eastAsia="zh-CN"/>
        </w:rPr>
        <w:t>5.16.3.2.2</w:t>
      </w:r>
      <w:r w:rsidRPr="000A0A5F">
        <w:rPr>
          <w:noProof/>
          <w:lang w:eastAsia="zh-CN"/>
        </w:rPr>
        <w:t xml:space="preserve">. The SCS/AS shall initiate the HTTP GET request message and the SCEF shall respond to the message. </w:t>
      </w:r>
    </w:p>
    <w:p w:rsidR="00CB0DD7" w:rsidRPr="000A0A5F" w:rsidRDefault="00CB0DD7">
      <w:r w:rsidRPr="000A0A5F">
        <w:t>This method shall support the URI query parameters, request and response data structures, and response codes, as specified in the table 5.16.3.2.3.1-1 and table 5.16.3.2.3.1-2.</w:t>
      </w:r>
    </w:p>
    <w:p w:rsidR="00CB0DD7" w:rsidRPr="000A0A5F" w:rsidRDefault="00CB0DD7">
      <w:pPr>
        <w:pStyle w:val="TH"/>
        <w:rPr>
          <w:rFonts w:cs="Arial"/>
        </w:rPr>
      </w:pPr>
      <w:r w:rsidRPr="000A0A5F">
        <w:t xml:space="preserve">Table 5.16.3.2.3.1-1: URI query parameters supported by the GET method on this resource </w:t>
      </w:r>
    </w:p>
    <w:tbl>
      <w:tblPr>
        <w:tblW w:w="495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596"/>
        <w:gridCol w:w="1692"/>
        <w:gridCol w:w="1129"/>
        <w:gridCol w:w="5262"/>
      </w:tblGrid>
      <w:tr w:rsidR="00CB0DD7" w:rsidRPr="000A0A5F" w:rsidTr="00FF0AF8">
        <w:trPr>
          <w:jc w:val="center"/>
        </w:trPr>
        <w:tc>
          <w:tcPr>
            <w:tcW w:w="825" w:type="pct"/>
            <w:shd w:val="clear" w:color="000000" w:fill="C0C0C0"/>
            <w:hideMark/>
          </w:tcPr>
          <w:p w:rsidR="00CB0DD7" w:rsidRPr="000A0A5F" w:rsidRDefault="00CB0DD7">
            <w:pPr>
              <w:pStyle w:val="TAH"/>
            </w:pPr>
            <w:r w:rsidRPr="000A0A5F">
              <w:t>Name</w:t>
            </w:r>
          </w:p>
        </w:tc>
        <w:tc>
          <w:tcPr>
            <w:tcW w:w="874" w:type="pct"/>
            <w:shd w:val="clear" w:color="000000" w:fill="C0C0C0"/>
            <w:hideMark/>
          </w:tcPr>
          <w:p w:rsidR="00CB0DD7" w:rsidRPr="000A0A5F" w:rsidRDefault="00CB0DD7">
            <w:pPr>
              <w:pStyle w:val="TAH"/>
            </w:pPr>
            <w:r w:rsidRPr="000A0A5F">
              <w:t>Data type</w:t>
            </w:r>
          </w:p>
        </w:tc>
        <w:tc>
          <w:tcPr>
            <w:tcW w:w="583" w:type="pct"/>
            <w:shd w:val="clear" w:color="000000" w:fill="C0C0C0"/>
            <w:hideMark/>
          </w:tcPr>
          <w:p w:rsidR="00CB0DD7" w:rsidRPr="000A0A5F" w:rsidRDefault="00CB0DD7">
            <w:pPr>
              <w:pStyle w:val="TAH"/>
            </w:pPr>
            <w:r w:rsidRPr="000A0A5F">
              <w:t>Cardinality</w:t>
            </w:r>
          </w:p>
        </w:tc>
        <w:tc>
          <w:tcPr>
            <w:tcW w:w="2718" w:type="pct"/>
            <w:shd w:val="clear" w:color="000000" w:fill="C0C0C0"/>
            <w:vAlign w:val="center"/>
            <w:hideMark/>
          </w:tcPr>
          <w:p w:rsidR="00CB0DD7" w:rsidRPr="000A0A5F" w:rsidRDefault="00CB0DD7">
            <w:pPr>
              <w:pStyle w:val="TAH"/>
            </w:pPr>
            <w:r w:rsidRPr="000A0A5F">
              <w:t>Remarks</w:t>
            </w:r>
          </w:p>
        </w:tc>
      </w:tr>
      <w:tr w:rsidR="00CB0DD7" w:rsidRPr="000A0A5F" w:rsidTr="00FF0AF8">
        <w:trPr>
          <w:jc w:val="center"/>
        </w:trPr>
        <w:tc>
          <w:tcPr>
            <w:tcW w:w="825" w:type="pct"/>
            <w:hideMark/>
          </w:tcPr>
          <w:p w:rsidR="00CB0DD7" w:rsidRPr="000A0A5F" w:rsidRDefault="00CB0DD7">
            <w:pPr>
              <w:pStyle w:val="TAL"/>
            </w:pPr>
            <w:r w:rsidRPr="000A0A5F">
              <w:t>none specified</w:t>
            </w:r>
          </w:p>
        </w:tc>
        <w:tc>
          <w:tcPr>
            <w:tcW w:w="874" w:type="pct"/>
          </w:tcPr>
          <w:p w:rsidR="00CB0DD7" w:rsidRPr="000A0A5F" w:rsidRDefault="00CB0DD7">
            <w:pPr>
              <w:pStyle w:val="TAL"/>
            </w:pPr>
          </w:p>
        </w:tc>
        <w:tc>
          <w:tcPr>
            <w:tcW w:w="583" w:type="pct"/>
          </w:tcPr>
          <w:p w:rsidR="00CB0DD7" w:rsidRPr="000A0A5F" w:rsidRDefault="00CB0DD7">
            <w:pPr>
              <w:pStyle w:val="TAL"/>
            </w:pPr>
          </w:p>
        </w:tc>
        <w:tc>
          <w:tcPr>
            <w:tcW w:w="2718" w:type="pct"/>
            <w:vAlign w:val="center"/>
          </w:tcPr>
          <w:p w:rsidR="00CB0DD7" w:rsidRPr="000A0A5F" w:rsidRDefault="00CB0DD7">
            <w:pPr>
              <w:pStyle w:val="TAL"/>
            </w:pPr>
          </w:p>
        </w:tc>
      </w:tr>
    </w:tbl>
    <w:p w:rsidR="00CB0DD7" w:rsidRPr="000A0A5F" w:rsidRDefault="00CB0DD7"/>
    <w:p w:rsidR="00CB0DD7" w:rsidRPr="000A0A5F" w:rsidRDefault="00CB0DD7">
      <w:pPr>
        <w:pStyle w:val="TH"/>
      </w:pPr>
      <w:r w:rsidRPr="000A0A5F">
        <w:t>Table 5.16.3.2.3.1-2: Data structures supported by the GET request/response by the resource</w:t>
      </w:r>
    </w:p>
    <w:tbl>
      <w:tblPr>
        <w:tblW w:w="4950" w:type="pct"/>
        <w:tblInd w:w="1"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top w:w="45" w:type="dxa"/>
          <w:left w:w="45" w:type="dxa"/>
          <w:bottom w:w="45" w:type="dxa"/>
          <w:right w:w="45" w:type="dxa"/>
        </w:tblCellMar>
        <w:tblLook w:val="04A0" w:firstRow="1" w:lastRow="0" w:firstColumn="1" w:lastColumn="0" w:noHBand="0" w:noVBand="1"/>
      </w:tblPr>
      <w:tblGrid>
        <w:gridCol w:w="952"/>
        <w:gridCol w:w="2391"/>
        <w:gridCol w:w="1021"/>
        <w:gridCol w:w="971"/>
        <w:gridCol w:w="4299"/>
      </w:tblGrid>
      <w:tr w:rsidR="00CB0DD7" w:rsidRPr="000A0A5F" w:rsidTr="00F040BC">
        <w:tc>
          <w:tcPr>
            <w:tcW w:w="494" w:type="pct"/>
            <w:vMerge w:val="restart"/>
            <w:shd w:val="clear" w:color="auto" w:fill="C0C0C0"/>
            <w:vAlign w:val="center"/>
            <w:hideMark/>
          </w:tcPr>
          <w:p w:rsidR="00CB0DD7" w:rsidRPr="000A0A5F" w:rsidRDefault="00CB0DD7">
            <w:pPr>
              <w:pStyle w:val="TAH"/>
            </w:pPr>
            <w:r w:rsidRPr="000A0A5F">
              <w:t>Request body</w:t>
            </w:r>
          </w:p>
        </w:tc>
        <w:tc>
          <w:tcPr>
            <w:tcW w:w="1241" w:type="pct"/>
            <w:shd w:val="clear" w:color="auto" w:fill="C0C0C0"/>
            <w:hideMark/>
          </w:tcPr>
          <w:p w:rsidR="00CB0DD7" w:rsidRPr="000A0A5F" w:rsidRDefault="00CB0DD7">
            <w:pPr>
              <w:pStyle w:val="TAH"/>
            </w:pPr>
            <w:r w:rsidRPr="000A0A5F">
              <w:t>Data type</w:t>
            </w:r>
          </w:p>
        </w:tc>
        <w:tc>
          <w:tcPr>
            <w:tcW w:w="530" w:type="pct"/>
            <w:shd w:val="clear" w:color="auto" w:fill="C0C0C0"/>
            <w:hideMark/>
          </w:tcPr>
          <w:p w:rsidR="00CB0DD7" w:rsidRPr="000A0A5F" w:rsidRDefault="00CB0DD7">
            <w:pPr>
              <w:pStyle w:val="TAH"/>
            </w:pPr>
            <w:r w:rsidRPr="000A0A5F">
              <w:t>Cardinality</w:t>
            </w:r>
          </w:p>
        </w:tc>
        <w:tc>
          <w:tcPr>
            <w:tcW w:w="2736" w:type="pct"/>
            <w:gridSpan w:val="2"/>
            <w:shd w:val="clear" w:color="auto" w:fill="C0C0C0"/>
            <w:hideMark/>
          </w:tcPr>
          <w:p w:rsidR="00CB0DD7" w:rsidRPr="000A0A5F" w:rsidRDefault="00CB0DD7">
            <w:pPr>
              <w:pStyle w:val="TAH"/>
            </w:pPr>
            <w:r w:rsidRPr="000A0A5F">
              <w:t>Remarks</w:t>
            </w:r>
          </w:p>
        </w:tc>
      </w:tr>
      <w:tr w:rsidR="00CB0DD7" w:rsidRPr="000A0A5F" w:rsidTr="00FF0AF8">
        <w:tc>
          <w:tcPr>
            <w:tcW w:w="0" w:type="auto"/>
            <w:vMerge/>
            <w:vAlign w:val="center"/>
            <w:hideMark/>
          </w:tcPr>
          <w:p w:rsidR="00CB0DD7" w:rsidRPr="000A0A5F" w:rsidRDefault="00CB0DD7">
            <w:pPr>
              <w:spacing w:after="0"/>
              <w:rPr>
                <w:rFonts w:ascii="Arial" w:hAnsi="Arial"/>
                <w:b/>
                <w:sz w:val="18"/>
              </w:rPr>
            </w:pPr>
          </w:p>
        </w:tc>
        <w:tc>
          <w:tcPr>
            <w:tcW w:w="1241" w:type="pct"/>
            <w:hideMark/>
          </w:tcPr>
          <w:p w:rsidR="00CB0DD7" w:rsidRPr="000A0A5F" w:rsidRDefault="00CB0DD7">
            <w:pPr>
              <w:pStyle w:val="TAL"/>
            </w:pPr>
            <w:r w:rsidRPr="000A0A5F">
              <w:t>none</w:t>
            </w:r>
          </w:p>
        </w:tc>
        <w:tc>
          <w:tcPr>
            <w:tcW w:w="530" w:type="pct"/>
          </w:tcPr>
          <w:p w:rsidR="00CB0DD7" w:rsidRPr="000A0A5F" w:rsidRDefault="00CB0DD7">
            <w:pPr>
              <w:pStyle w:val="TAL"/>
            </w:pPr>
          </w:p>
        </w:tc>
        <w:tc>
          <w:tcPr>
            <w:tcW w:w="2736" w:type="pct"/>
            <w:gridSpan w:val="2"/>
          </w:tcPr>
          <w:p w:rsidR="00CB0DD7" w:rsidRPr="000A0A5F" w:rsidRDefault="00CB0DD7">
            <w:pPr>
              <w:pStyle w:val="TAL"/>
            </w:pPr>
          </w:p>
        </w:tc>
      </w:tr>
      <w:tr w:rsidR="00CB0DD7" w:rsidRPr="000A0A5F" w:rsidTr="00F040BC">
        <w:tc>
          <w:tcPr>
            <w:tcW w:w="494" w:type="pct"/>
            <w:vMerge w:val="restart"/>
            <w:shd w:val="clear" w:color="auto" w:fill="C0C0C0"/>
            <w:vAlign w:val="center"/>
            <w:hideMark/>
          </w:tcPr>
          <w:p w:rsidR="00CB0DD7" w:rsidRPr="000A0A5F" w:rsidRDefault="00CB0DD7">
            <w:pPr>
              <w:pStyle w:val="TAH"/>
            </w:pPr>
            <w:r w:rsidRPr="000A0A5F">
              <w:t>Response body</w:t>
            </w:r>
          </w:p>
        </w:tc>
        <w:tc>
          <w:tcPr>
            <w:tcW w:w="1241" w:type="pct"/>
            <w:shd w:val="clear" w:color="auto" w:fill="C0C0C0"/>
          </w:tcPr>
          <w:p w:rsidR="00CB0DD7" w:rsidRPr="000A0A5F" w:rsidRDefault="00CB0DD7">
            <w:pPr>
              <w:pStyle w:val="TAH"/>
            </w:pPr>
          </w:p>
          <w:p w:rsidR="00CB0DD7" w:rsidRPr="000A0A5F" w:rsidRDefault="00CB0DD7">
            <w:pPr>
              <w:pStyle w:val="TAH"/>
            </w:pPr>
            <w:r w:rsidRPr="000A0A5F">
              <w:t>Data type</w:t>
            </w:r>
          </w:p>
        </w:tc>
        <w:tc>
          <w:tcPr>
            <w:tcW w:w="530" w:type="pct"/>
            <w:shd w:val="clear" w:color="auto" w:fill="C0C0C0"/>
          </w:tcPr>
          <w:p w:rsidR="00CB0DD7" w:rsidRPr="000A0A5F" w:rsidRDefault="00CB0DD7">
            <w:pPr>
              <w:pStyle w:val="TAH"/>
            </w:pPr>
          </w:p>
          <w:p w:rsidR="00CB0DD7" w:rsidRPr="000A0A5F" w:rsidRDefault="00CB0DD7">
            <w:pPr>
              <w:pStyle w:val="TAH"/>
            </w:pPr>
            <w:r w:rsidRPr="000A0A5F">
              <w:t>Cardinality</w:t>
            </w:r>
          </w:p>
        </w:tc>
        <w:tc>
          <w:tcPr>
            <w:tcW w:w="504" w:type="pct"/>
            <w:shd w:val="clear" w:color="auto" w:fill="C0C0C0"/>
            <w:hideMark/>
          </w:tcPr>
          <w:p w:rsidR="00CB0DD7" w:rsidRPr="000A0A5F" w:rsidRDefault="00CB0DD7">
            <w:pPr>
              <w:pStyle w:val="TAH"/>
            </w:pPr>
            <w:r w:rsidRPr="000A0A5F">
              <w:t>Response</w:t>
            </w:r>
          </w:p>
          <w:p w:rsidR="00CB0DD7" w:rsidRPr="000A0A5F" w:rsidRDefault="00CB0DD7">
            <w:pPr>
              <w:pStyle w:val="TAH"/>
            </w:pPr>
            <w:r w:rsidRPr="000A0A5F">
              <w:t>codes</w:t>
            </w:r>
          </w:p>
        </w:tc>
        <w:tc>
          <w:tcPr>
            <w:tcW w:w="2232" w:type="pct"/>
            <w:shd w:val="clear" w:color="auto" w:fill="C0C0C0"/>
          </w:tcPr>
          <w:p w:rsidR="00CB0DD7" w:rsidRPr="000A0A5F" w:rsidRDefault="00CB0DD7">
            <w:pPr>
              <w:pStyle w:val="TAH"/>
            </w:pPr>
          </w:p>
          <w:p w:rsidR="00CB0DD7" w:rsidRPr="000A0A5F" w:rsidRDefault="00CB0DD7">
            <w:pPr>
              <w:pStyle w:val="TAH"/>
            </w:pPr>
            <w:r w:rsidRPr="000A0A5F">
              <w:t>Remarks</w:t>
            </w:r>
          </w:p>
        </w:tc>
      </w:tr>
      <w:tr w:rsidR="00CB0DD7" w:rsidRPr="000A0A5F" w:rsidTr="00FF0AF8">
        <w:tc>
          <w:tcPr>
            <w:tcW w:w="0" w:type="auto"/>
            <w:vMerge/>
            <w:vAlign w:val="center"/>
            <w:hideMark/>
          </w:tcPr>
          <w:p w:rsidR="00CB0DD7" w:rsidRPr="000A0A5F" w:rsidRDefault="00CB0DD7">
            <w:pPr>
              <w:spacing w:after="0"/>
              <w:rPr>
                <w:rFonts w:ascii="Arial" w:hAnsi="Arial"/>
                <w:b/>
                <w:sz w:val="18"/>
              </w:rPr>
            </w:pPr>
          </w:p>
        </w:tc>
        <w:tc>
          <w:tcPr>
            <w:tcW w:w="1241" w:type="pct"/>
            <w:hideMark/>
          </w:tcPr>
          <w:p w:rsidR="00CB0DD7" w:rsidRPr="000A0A5F" w:rsidRDefault="00CB0DD7">
            <w:pPr>
              <w:pStyle w:val="TAL"/>
            </w:pPr>
            <w:r w:rsidRPr="000A0A5F">
              <w:t>array(RacsProvisioningData)</w:t>
            </w:r>
          </w:p>
        </w:tc>
        <w:tc>
          <w:tcPr>
            <w:tcW w:w="530" w:type="pct"/>
            <w:hideMark/>
          </w:tcPr>
          <w:p w:rsidR="00CB0DD7" w:rsidRPr="000A0A5F" w:rsidRDefault="00CB0DD7">
            <w:pPr>
              <w:pStyle w:val="TAL"/>
            </w:pPr>
            <w:r w:rsidRPr="000A0A5F">
              <w:t>0..N</w:t>
            </w:r>
          </w:p>
        </w:tc>
        <w:tc>
          <w:tcPr>
            <w:tcW w:w="504" w:type="pct"/>
            <w:hideMark/>
          </w:tcPr>
          <w:p w:rsidR="00CB0DD7" w:rsidRPr="000A0A5F" w:rsidRDefault="00CB0DD7">
            <w:pPr>
              <w:pStyle w:val="TAL"/>
            </w:pPr>
            <w:r w:rsidRPr="000A0A5F">
              <w:t>200 OK</w:t>
            </w:r>
          </w:p>
        </w:tc>
        <w:tc>
          <w:tcPr>
            <w:tcW w:w="2232" w:type="pct"/>
            <w:hideMark/>
          </w:tcPr>
          <w:p w:rsidR="00CB0DD7" w:rsidRPr="000A0A5F" w:rsidRDefault="00CB0DD7">
            <w:pPr>
              <w:pStyle w:val="TAL"/>
            </w:pPr>
            <w:r w:rsidRPr="000A0A5F">
              <w:t>The provisioning information related to the request URI is returned.</w:t>
            </w:r>
          </w:p>
        </w:tc>
      </w:tr>
      <w:tr w:rsidR="00CB0DD7" w:rsidRPr="000A0A5F" w:rsidTr="00FF0AF8">
        <w:tc>
          <w:tcPr>
            <w:tcW w:w="0" w:type="auto"/>
            <w:vMerge/>
            <w:vAlign w:val="center"/>
          </w:tcPr>
          <w:p w:rsidR="00CB0DD7" w:rsidRPr="000A0A5F" w:rsidRDefault="00CB0DD7">
            <w:pPr>
              <w:spacing w:after="0"/>
              <w:rPr>
                <w:rFonts w:ascii="Arial" w:hAnsi="Arial"/>
                <w:b/>
                <w:sz w:val="18"/>
              </w:rPr>
            </w:pPr>
          </w:p>
        </w:tc>
        <w:tc>
          <w:tcPr>
            <w:tcW w:w="1241" w:type="pct"/>
          </w:tcPr>
          <w:p w:rsidR="00CB0DD7" w:rsidRPr="000A0A5F" w:rsidRDefault="00CB0DD7">
            <w:pPr>
              <w:pStyle w:val="TAL"/>
            </w:pPr>
            <w:r w:rsidRPr="000A0A5F">
              <w:t>none</w:t>
            </w:r>
          </w:p>
        </w:tc>
        <w:tc>
          <w:tcPr>
            <w:tcW w:w="530" w:type="pct"/>
          </w:tcPr>
          <w:p w:rsidR="00CB0DD7" w:rsidRPr="000A0A5F" w:rsidRDefault="00CB0DD7">
            <w:pPr>
              <w:pStyle w:val="TAL"/>
            </w:pPr>
          </w:p>
        </w:tc>
        <w:tc>
          <w:tcPr>
            <w:tcW w:w="504" w:type="pct"/>
          </w:tcPr>
          <w:p w:rsidR="00CB0DD7" w:rsidRPr="000A0A5F" w:rsidRDefault="00CB0DD7">
            <w:pPr>
              <w:pStyle w:val="TAL"/>
            </w:pPr>
            <w:r w:rsidRPr="000A0A5F">
              <w:t>307 Temporary Redirect</w:t>
            </w:r>
          </w:p>
        </w:tc>
        <w:tc>
          <w:tcPr>
            <w:tcW w:w="2232" w:type="pct"/>
          </w:tcPr>
          <w:p w:rsidR="00CB0DD7" w:rsidRPr="000A0A5F" w:rsidRDefault="00CB0DD7">
            <w:pPr>
              <w:pStyle w:val="TAL"/>
            </w:pPr>
            <w:r w:rsidRPr="000A0A5F">
              <w:t>Temporary redirection, during resource retrieval. The response shall include a Location header field containing an alternative URI of the resource located in an alternative SCEF.</w:t>
            </w:r>
          </w:p>
          <w:p w:rsidR="00CB0DD7" w:rsidRPr="000A0A5F" w:rsidRDefault="00CB0DD7">
            <w:pPr>
              <w:pStyle w:val="TAL"/>
            </w:pPr>
            <w:r w:rsidRPr="000A0A5F">
              <w:t>Redirection handling is described in clause 5.2.10.</w:t>
            </w:r>
          </w:p>
        </w:tc>
      </w:tr>
      <w:tr w:rsidR="00CB0DD7" w:rsidRPr="000A0A5F" w:rsidTr="00FF0AF8">
        <w:tc>
          <w:tcPr>
            <w:tcW w:w="0" w:type="auto"/>
            <w:vMerge/>
            <w:vAlign w:val="center"/>
          </w:tcPr>
          <w:p w:rsidR="00CB0DD7" w:rsidRPr="000A0A5F" w:rsidRDefault="00CB0DD7">
            <w:pPr>
              <w:spacing w:after="0"/>
              <w:rPr>
                <w:rFonts w:ascii="Arial" w:hAnsi="Arial"/>
                <w:b/>
                <w:sz w:val="18"/>
              </w:rPr>
            </w:pPr>
          </w:p>
        </w:tc>
        <w:tc>
          <w:tcPr>
            <w:tcW w:w="1241" w:type="pct"/>
          </w:tcPr>
          <w:p w:rsidR="00CB0DD7" w:rsidRPr="000A0A5F" w:rsidRDefault="00CB0DD7">
            <w:pPr>
              <w:pStyle w:val="TAL"/>
            </w:pPr>
            <w:r w:rsidRPr="000A0A5F">
              <w:t>none</w:t>
            </w:r>
          </w:p>
        </w:tc>
        <w:tc>
          <w:tcPr>
            <w:tcW w:w="530" w:type="pct"/>
          </w:tcPr>
          <w:p w:rsidR="00CB0DD7" w:rsidRPr="000A0A5F" w:rsidRDefault="00CB0DD7">
            <w:pPr>
              <w:pStyle w:val="TAL"/>
            </w:pPr>
          </w:p>
        </w:tc>
        <w:tc>
          <w:tcPr>
            <w:tcW w:w="504" w:type="pct"/>
          </w:tcPr>
          <w:p w:rsidR="00CB0DD7" w:rsidRPr="000A0A5F" w:rsidRDefault="00CB0DD7">
            <w:pPr>
              <w:pStyle w:val="TAL"/>
            </w:pPr>
            <w:r w:rsidRPr="000A0A5F">
              <w:t>308 Permanent Redirect</w:t>
            </w:r>
          </w:p>
        </w:tc>
        <w:tc>
          <w:tcPr>
            <w:tcW w:w="2232" w:type="pct"/>
          </w:tcPr>
          <w:p w:rsidR="00CB0DD7" w:rsidRPr="000A0A5F" w:rsidRDefault="00CB0DD7">
            <w:pPr>
              <w:pStyle w:val="TAL"/>
            </w:pPr>
            <w:r w:rsidRPr="000A0A5F">
              <w:t>Permanent redirection, during resource retrieval. The response shall include a Location header field containing an alternative URI of the resource located in an alternative SCEF.</w:t>
            </w:r>
          </w:p>
          <w:p w:rsidR="00CB0DD7" w:rsidRPr="000A0A5F" w:rsidRDefault="00CB0DD7">
            <w:pPr>
              <w:pStyle w:val="TAL"/>
            </w:pPr>
            <w:r w:rsidRPr="000A0A5F">
              <w:t>Redirection handling is described in clause 5.2.10.</w:t>
            </w:r>
          </w:p>
        </w:tc>
      </w:tr>
      <w:tr w:rsidR="00CB0DD7" w:rsidRPr="000A0A5F" w:rsidTr="00FF0AF8">
        <w:tc>
          <w:tcPr>
            <w:tcW w:w="5000" w:type="pct"/>
            <w:gridSpan w:val="5"/>
            <w:vAlign w:val="center"/>
            <w:hideMark/>
          </w:tcPr>
          <w:p w:rsidR="00CB0DD7" w:rsidRPr="000A0A5F" w:rsidRDefault="00CB0DD7">
            <w:pPr>
              <w:pStyle w:val="TAN"/>
            </w:pPr>
            <w:r w:rsidRPr="000A0A5F">
              <w:t>NOTE:</w:t>
            </w:r>
            <w:r w:rsidRPr="000A0A5F">
              <w:tab/>
              <w:t>The mandatory HTTP error status codes for the GET method listed in table 5.2.6-1 also apply.</w:t>
            </w:r>
          </w:p>
        </w:tc>
      </w:tr>
    </w:tbl>
    <w:p w:rsidR="00CB0DD7" w:rsidRPr="000A0A5F" w:rsidRDefault="00CB0DD7"/>
    <w:p w:rsidR="00CB0DD7" w:rsidRPr="000A0A5F" w:rsidRDefault="002E466A">
      <w:pPr>
        <w:pStyle w:val="TH"/>
      </w:pPr>
      <w:r w:rsidRPr="000A0A5F">
        <w:t>Table </w:t>
      </w:r>
      <w:r w:rsidR="00CB0DD7" w:rsidRPr="000A0A5F">
        <w:t>5.16.3.2.3.1-3: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2E466A">
      <w:pPr>
        <w:pStyle w:val="TH"/>
      </w:pPr>
      <w:r w:rsidRPr="000A0A5F">
        <w:t>Table </w:t>
      </w:r>
      <w:r w:rsidR="00CB0DD7" w:rsidRPr="000A0A5F">
        <w:t>5.16.3.2.3.1-4: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CB0DD7">
      <w:pPr>
        <w:pStyle w:val="Heading6"/>
      </w:pPr>
      <w:bookmarkStart w:id="9991" w:name="_Toc27045087"/>
      <w:bookmarkStart w:id="9992" w:name="_Toc36034138"/>
      <w:bookmarkStart w:id="9993" w:name="_Toc45132286"/>
      <w:bookmarkStart w:id="9994" w:name="_Toc49776571"/>
      <w:bookmarkStart w:id="9995" w:name="_Toc51747491"/>
      <w:bookmarkStart w:id="9996" w:name="_Toc66361073"/>
      <w:bookmarkStart w:id="9997" w:name="_Toc68105578"/>
      <w:bookmarkStart w:id="9998" w:name="_Toc74756210"/>
      <w:bookmarkStart w:id="9999" w:name="_Toc105675087"/>
      <w:bookmarkStart w:id="10000" w:name="_Toc130503165"/>
      <w:bookmarkStart w:id="10001" w:name="_Toc153625957"/>
      <w:r w:rsidRPr="000A0A5F">
        <w:t>5.16.3.2.3.2</w:t>
      </w:r>
      <w:r w:rsidRPr="000A0A5F">
        <w:tab/>
        <w:t>PUT</w:t>
      </w:r>
      <w:bookmarkEnd w:id="9991"/>
      <w:bookmarkEnd w:id="9992"/>
      <w:bookmarkEnd w:id="9993"/>
      <w:bookmarkEnd w:id="9994"/>
      <w:bookmarkEnd w:id="9995"/>
      <w:bookmarkEnd w:id="9996"/>
      <w:bookmarkEnd w:id="9997"/>
      <w:bookmarkEnd w:id="9998"/>
      <w:bookmarkEnd w:id="9999"/>
      <w:bookmarkEnd w:id="10000"/>
      <w:bookmarkEnd w:id="10001"/>
    </w:p>
    <w:p w:rsidR="00CB0DD7" w:rsidRPr="000A0A5F" w:rsidRDefault="00CB0DD7">
      <w:pPr>
        <w:rPr>
          <w:lang w:eastAsia="zh-CN"/>
        </w:rPr>
      </w:pPr>
      <w:r w:rsidRPr="000A0A5F">
        <w:rPr>
          <w:lang w:eastAsia="zh-CN"/>
        </w:rPr>
        <w:t>This HTTP method is not supported for the resource.</w:t>
      </w:r>
    </w:p>
    <w:p w:rsidR="00CB0DD7" w:rsidRPr="000A0A5F" w:rsidRDefault="00CB0DD7">
      <w:pPr>
        <w:pStyle w:val="Heading6"/>
      </w:pPr>
      <w:bookmarkStart w:id="10002" w:name="_Toc27045088"/>
      <w:bookmarkStart w:id="10003" w:name="_Toc36034139"/>
      <w:bookmarkStart w:id="10004" w:name="_Toc45132287"/>
      <w:bookmarkStart w:id="10005" w:name="_Toc49776572"/>
      <w:bookmarkStart w:id="10006" w:name="_Toc51747492"/>
      <w:bookmarkStart w:id="10007" w:name="_Toc66361074"/>
      <w:bookmarkStart w:id="10008" w:name="_Toc68105579"/>
      <w:bookmarkStart w:id="10009" w:name="_Toc74756211"/>
      <w:bookmarkStart w:id="10010" w:name="_Toc105675088"/>
      <w:bookmarkStart w:id="10011" w:name="_Toc130503166"/>
      <w:bookmarkStart w:id="10012" w:name="_Toc153625958"/>
      <w:r w:rsidRPr="000A0A5F">
        <w:t>5.16.3.2.3.3</w:t>
      </w:r>
      <w:r w:rsidRPr="000A0A5F">
        <w:tab/>
        <w:t>PATCH</w:t>
      </w:r>
      <w:bookmarkEnd w:id="10002"/>
      <w:bookmarkEnd w:id="10003"/>
      <w:bookmarkEnd w:id="10004"/>
      <w:bookmarkEnd w:id="10005"/>
      <w:bookmarkEnd w:id="10006"/>
      <w:bookmarkEnd w:id="10007"/>
      <w:bookmarkEnd w:id="10008"/>
      <w:bookmarkEnd w:id="10009"/>
      <w:bookmarkEnd w:id="10010"/>
      <w:bookmarkEnd w:id="10011"/>
      <w:bookmarkEnd w:id="10012"/>
    </w:p>
    <w:p w:rsidR="00CB0DD7" w:rsidRPr="000A0A5F" w:rsidRDefault="00CB0DD7">
      <w:pPr>
        <w:rPr>
          <w:lang w:eastAsia="zh-CN"/>
        </w:rPr>
      </w:pPr>
      <w:r w:rsidRPr="000A0A5F">
        <w:rPr>
          <w:lang w:eastAsia="zh-CN"/>
        </w:rPr>
        <w:t>This HTTP method is not supported for the resource.</w:t>
      </w:r>
    </w:p>
    <w:p w:rsidR="00CB0DD7" w:rsidRPr="000A0A5F" w:rsidRDefault="00CB0DD7">
      <w:pPr>
        <w:pStyle w:val="Heading6"/>
      </w:pPr>
      <w:bookmarkStart w:id="10013" w:name="_Toc27045089"/>
      <w:bookmarkStart w:id="10014" w:name="_Toc36034140"/>
      <w:bookmarkStart w:id="10015" w:name="_Toc45132288"/>
      <w:bookmarkStart w:id="10016" w:name="_Toc49776573"/>
      <w:bookmarkStart w:id="10017" w:name="_Toc51747493"/>
      <w:bookmarkStart w:id="10018" w:name="_Toc66361075"/>
      <w:bookmarkStart w:id="10019" w:name="_Toc68105580"/>
      <w:bookmarkStart w:id="10020" w:name="_Toc74756212"/>
      <w:bookmarkStart w:id="10021" w:name="_Toc105675089"/>
      <w:bookmarkStart w:id="10022" w:name="_Toc130503167"/>
      <w:bookmarkStart w:id="10023" w:name="_Toc153625959"/>
      <w:r w:rsidRPr="000A0A5F">
        <w:t>5.16.3.2.3.4</w:t>
      </w:r>
      <w:r w:rsidRPr="000A0A5F">
        <w:tab/>
        <w:t>POST</w:t>
      </w:r>
      <w:bookmarkEnd w:id="10013"/>
      <w:bookmarkEnd w:id="10014"/>
      <w:bookmarkEnd w:id="10015"/>
      <w:bookmarkEnd w:id="10016"/>
      <w:bookmarkEnd w:id="10017"/>
      <w:bookmarkEnd w:id="10018"/>
      <w:bookmarkEnd w:id="10019"/>
      <w:bookmarkEnd w:id="10020"/>
      <w:bookmarkEnd w:id="10021"/>
      <w:bookmarkEnd w:id="10022"/>
      <w:bookmarkEnd w:id="10023"/>
    </w:p>
    <w:p w:rsidR="00CB0DD7" w:rsidRPr="000A0A5F" w:rsidRDefault="00CB0DD7">
      <w:pPr>
        <w:rPr>
          <w:noProof/>
          <w:lang w:eastAsia="zh-CN"/>
        </w:rPr>
      </w:pPr>
      <w:r w:rsidRPr="000A0A5F">
        <w:rPr>
          <w:noProof/>
          <w:lang w:eastAsia="zh-CN"/>
        </w:rPr>
        <w:t>The POST method creates a new parameter provisioning resource for a given SCS/AS. The SCS/AS shall initiate the HTTP POST request message and the SCEF shall respond to the message. The SCEF shall construct the URI of the created resource.</w:t>
      </w:r>
    </w:p>
    <w:p w:rsidR="00CB0DD7" w:rsidRPr="000A0A5F" w:rsidRDefault="00CB0DD7">
      <w:r w:rsidRPr="000A0A5F">
        <w:t>This method shall support the URI query parameters, request and response data structures, and response codes, as specified in the table 5.16.3.2.3.4-1 and table 5.16.3.2.3.4-2.</w:t>
      </w:r>
    </w:p>
    <w:p w:rsidR="00CB0DD7" w:rsidRPr="000A0A5F" w:rsidRDefault="00CB0DD7">
      <w:pPr>
        <w:pStyle w:val="TH"/>
        <w:rPr>
          <w:rFonts w:cs="Arial"/>
        </w:rPr>
      </w:pPr>
      <w:r w:rsidRPr="000A0A5F">
        <w:t xml:space="preserve">Table 5.16.3.2.3.4-1: URI query parameters supported by the POST method on this resource </w:t>
      </w:r>
    </w:p>
    <w:tbl>
      <w:tblPr>
        <w:tblW w:w="495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596"/>
        <w:gridCol w:w="1692"/>
        <w:gridCol w:w="1129"/>
        <w:gridCol w:w="5262"/>
      </w:tblGrid>
      <w:tr w:rsidR="00CB0DD7" w:rsidRPr="000A0A5F" w:rsidTr="00FF0AF8">
        <w:trPr>
          <w:jc w:val="center"/>
        </w:trPr>
        <w:tc>
          <w:tcPr>
            <w:tcW w:w="825" w:type="pct"/>
            <w:shd w:val="clear" w:color="000000" w:fill="C0C0C0"/>
            <w:hideMark/>
          </w:tcPr>
          <w:p w:rsidR="00CB0DD7" w:rsidRPr="000A0A5F" w:rsidRDefault="00CB0DD7">
            <w:pPr>
              <w:pStyle w:val="TAH"/>
            </w:pPr>
            <w:r w:rsidRPr="000A0A5F">
              <w:t>Name</w:t>
            </w:r>
          </w:p>
        </w:tc>
        <w:tc>
          <w:tcPr>
            <w:tcW w:w="874" w:type="pct"/>
            <w:shd w:val="clear" w:color="000000" w:fill="C0C0C0"/>
            <w:hideMark/>
          </w:tcPr>
          <w:p w:rsidR="00CB0DD7" w:rsidRPr="000A0A5F" w:rsidRDefault="00CB0DD7">
            <w:pPr>
              <w:pStyle w:val="TAH"/>
            </w:pPr>
            <w:r w:rsidRPr="000A0A5F">
              <w:t>Data type</w:t>
            </w:r>
          </w:p>
        </w:tc>
        <w:tc>
          <w:tcPr>
            <w:tcW w:w="583" w:type="pct"/>
            <w:shd w:val="clear" w:color="000000" w:fill="C0C0C0"/>
            <w:hideMark/>
          </w:tcPr>
          <w:p w:rsidR="00CB0DD7" w:rsidRPr="000A0A5F" w:rsidRDefault="00CB0DD7">
            <w:pPr>
              <w:pStyle w:val="TAH"/>
            </w:pPr>
            <w:r w:rsidRPr="000A0A5F">
              <w:t>Cardinality</w:t>
            </w:r>
          </w:p>
        </w:tc>
        <w:tc>
          <w:tcPr>
            <w:tcW w:w="2718" w:type="pct"/>
            <w:shd w:val="clear" w:color="000000" w:fill="C0C0C0"/>
            <w:vAlign w:val="center"/>
            <w:hideMark/>
          </w:tcPr>
          <w:p w:rsidR="00CB0DD7" w:rsidRPr="000A0A5F" w:rsidRDefault="00CB0DD7">
            <w:pPr>
              <w:pStyle w:val="TAH"/>
            </w:pPr>
            <w:r w:rsidRPr="000A0A5F">
              <w:t>Remarks</w:t>
            </w:r>
          </w:p>
        </w:tc>
      </w:tr>
      <w:tr w:rsidR="00CB0DD7" w:rsidRPr="000A0A5F" w:rsidTr="00FF0AF8">
        <w:trPr>
          <w:jc w:val="center"/>
        </w:trPr>
        <w:tc>
          <w:tcPr>
            <w:tcW w:w="825" w:type="pct"/>
            <w:hideMark/>
          </w:tcPr>
          <w:p w:rsidR="00CB0DD7" w:rsidRPr="000A0A5F" w:rsidRDefault="00CB0DD7">
            <w:pPr>
              <w:pStyle w:val="TAL"/>
            </w:pPr>
            <w:r w:rsidRPr="000A0A5F">
              <w:t>none specified</w:t>
            </w:r>
          </w:p>
        </w:tc>
        <w:tc>
          <w:tcPr>
            <w:tcW w:w="874" w:type="pct"/>
          </w:tcPr>
          <w:p w:rsidR="00CB0DD7" w:rsidRPr="000A0A5F" w:rsidRDefault="00CB0DD7">
            <w:pPr>
              <w:pStyle w:val="TAL"/>
            </w:pPr>
          </w:p>
        </w:tc>
        <w:tc>
          <w:tcPr>
            <w:tcW w:w="583" w:type="pct"/>
          </w:tcPr>
          <w:p w:rsidR="00CB0DD7" w:rsidRPr="000A0A5F" w:rsidRDefault="00CB0DD7">
            <w:pPr>
              <w:pStyle w:val="TAL"/>
            </w:pPr>
          </w:p>
        </w:tc>
        <w:tc>
          <w:tcPr>
            <w:tcW w:w="2718" w:type="pct"/>
            <w:vAlign w:val="center"/>
          </w:tcPr>
          <w:p w:rsidR="00CB0DD7" w:rsidRPr="000A0A5F" w:rsidRDefault="00CB0DD7">
            <w:pPr>
              <w:pStyle w:val="TAL"/>
            </w:pPr>
          </w:p>
        </w:tc>
      </w:tr>
    </w:tbl>
    <w:p w:rsidR="00CB0DD7" w:rsidRPr="000A0A5F" w:rsidRDefault="00CB0DD7"/>
    <w:p w:rsidR="00CB0DD7" w:rsidRPr="000A0A5F" w:rsidRDefault="00CB0DD7">
      <w:pPr>
        <w:pStyle w:val="TH"/>
        <w:spacing w:before="120"/>
      </w:pPr>
      <w:r w:rsidRPr="000A0A5F">
        <w:t>Table 5.16.3.2.3.4-2: Data structures supported by the POST request/response by the resource</w:t>
      </w:r>
    </w:p>
    <w:tbl>
      <w:tblPr>
        <w:tblW w:w="4950" w:type="pct"/>
        <w:tblInd w:w="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5" w:type="dxa"/>
          <w:left w:w="45" w:type="dxa"/>
          <w:bottom w:w="45" w:type="dxa"/>
          <w:right w:w="45" w:type="dxa"/>
        </w:tblCellMar>
        <w:tblLook w:val="04A0" w:firstRow="1" w:lastRow="0" w:firstColumn="1" w:lastColumn="0" w:noHBand="0" w:noVBand="1"/>
      </w:tblPr>
      <w:tblGrid>
        <w:gridCol w:w="1035"/>
        <w:gridCol w:w="2803"/>
        <w:gridCol w:w="1127"/>
        <w:gridCol w:w="1260"/>
        <w:gridCol w:w="3409"/>
        <w:tblGridChange w:id="10024">
          <w:tblGrid>
            <w:gridCol w:w="1035"/>
            <w:gridCol w:w="2803"/>
            <w:gridCol w:w="1127"/>
            <w:gridCol w:w="1260"/>
            <w:gridCol w:w="3409"/>
          </w:tblGrid>
        </w:tblGridChange>
      </w:tblGrid>
      <w:tr w:rsidR="00CB0DD7" w:rsidRPr="000A0A5F" w:rsidTr="00F040BC">
        <w:tc>
          <w:tcPr>
            <w:tcW w:w="537" w:type="pct"/>
            <w:vMerge w:val="restart"/>
            <w:shd w:val="clear" w:color="auto" w:fill="C0C0C0"/>
            <w:vAlign w:val="center"/>
            <w:hideMark/>
          </w:tcPr>
          <w:p w:rsidR="00CB0DD7" w:rsidRPr="000A0A5F" w:rsidRDefault="00CB0DD7">
            <w:pPr>
              <w:pStyle w:val="TAH"/>
            </w:pPr>
            <w:r w:rsidRPr="000A0A5F">
              <w:t>Request body</w:t>
            </w:r>
          </w:p>
        </w:tc>
        <w:tc>
          <w:tcPr>
            <w:tcW w:w="1455" w:type="pct"/>
            <w:shd w:val="clear" w:color="auto" w:fill="C0C0C0"/>
            <w:hideMark/>
          </w:tcPr>
          <w:p w:rsidR="00CB0DD7" w:rsidRPr="000A0A5F" w:rsidRDefault="00CB0DD7">
            <w:pPr>
              <w:pStyle w:val="TAH"/>
            </w:pPr>
            <w:r w:rsidRPr="000A0A5F">
              <w:t>Data type</w:t>
            </w:r>
          </w:p>
        </w:tc>
        <w:tc>
          <w:tcPr>
            <w:tcW w:w="585" w:type="pct"/>
            <w:shd w:val="clear" w:color="auto" w:fill="C0C0C0"/>
            <w:hideMark/>
          </w:tcPr>
          <w:p w:rsidR="00CB0DD7" w:rsidRPr="000A0A5F" w:rsidRDefault="00CB0DD7">
            <w:pPr>
              <w:pStyle w:val="TAH"/>
            </w:pPr>
            <w:r w:rsidRPr="000A0A5F">
              <w:t>Cardinality</w:t>
            </w:r>
          </w:p>
        </w:tc>
        <w:tc>
          <w:tcPr>
            <w:tcW w:w="2423" w:type="pct"/>
            <w:gridSpan w:val="2"/>
            <w:shd w:val="clear" w:color="auto" w:fill="C0C0C0"/>
            <w:hideMark/>
          </w:tcPr>
          <w:p w:rsidR="00CB0DD7" w:rsidRPr="000A0A5F" w:rsidRDefault="00CB0DD7">
            <w:pPr>
              <w:pStyle w:val="TAH"/>
            </w:pPr>
            <w:r w:rsidRPr="000A0A5F">
              <w:t>Remarks</w:t>
            </w:r>
          </w:p>
        </w:tc>
      </w:tr>
      <w:tr w:rsidR="00CB0DD7" w:rsidRPr="000A0A5F" w:rsidTr="00FF0AF8">
        <w:tc>
          <w:tcPr>
            <w:tcW w:w="0" w:type="auto"/>
            <w:vMerge/>
            <w:vAlign w:val="center"/>
            <w:hideMark/>
          </w:tcPr>
          <w:p w:rsidR="00CB0DD7" w:rsidRPr="000A0A5F" w:rsidRDefault="00CB0DD7">
            <w:pPr>
              <w:spacing w:after="0"/>
              <w:rPr>
                <w:rFonts w:ascii="Arial" w:hAnsi="Arial"/>
                <w:b/>
                <w:sz w:val="18"/>
              </w:rPr>
            </w:pPr>
          </w:p>
        </w:tc>
        <w:tc>
          <w:tcPr>
            <w:tcW w:w="1455" w:type="pct"/>
            <w:hideMark/>
          </w:tcPr>
          <w:p w:rsidR="00CB0DD7" w:rsidRPr="000A0A5F" w:rsidRDefault="00CB0DD7">
            <w:pPr>
              <w:pStyle w:val="TAL"/>
            </w:pPr>
            <w:r w:rsidRPr="000A0A5F">
              <w:t>RacsProvisioningData</w:t>
            </w:r>
          </w:p>
        </w:tc>
        <w:tc>
          <w:tcPr>
            <w:tcW w:w="585" w:type="pct"/>
            <w:hideMark/>
          </w:tcPr>
          <w:p w:rsidR="00CB0DD7" w:rsidRPr="000A0A5F" w:rsidRDefault="00CB0DD7">
            <w:pPr>
              <w:pStyle w:val="TAL"/>
            </w:pPr>
            <w:r w:rsidRPr="000A0A5F">
              <w:t>1</w:t>
            </w:r>
          </w:p>
        </w:tc>
        <w:tc>
          <w:tcPr>
            <w:tcW w:w="2423" w:type="pct"/>
            <w:gridSpan w:val="2"/>
            <w:hideMark/>
          </w:tcPr>
          <w:p w:rsidR="00CB0DD7" w:rsidRPr="000A0A5F" w:rsidRDefault="00CB0DD7">
            <w:pPr>
              <w:pStyle w:val="TAL"/>
            </w:pPr>
            <w:r w:rsidRPr="000A0A5F">
              <w:t>Parameters to create a new provisioning.</w:t>
            </w:r>
          </w:p>
        </w:tc>
      </w:tr>
      <w:tr w:rsidR="00CB0DD7" w:rsidRPr="000A0A5F" w:rsidTr="00F040BC">
        <w:tc>
          <w:tcPr>
            <w:tcW w:w="537" w:type="pct"/>
            <w:vMerge w:val="restart"/>
            <w:shd w:val="clear" w:color="auto" w:fill="C0C0C0"/>
            <w:vAlign w:val="center"/>
            <w:hideMark/>
          </w:tcPr>
          <w:p w:rsidR="00CB0DD7" w:rsidRPr="000A0A5F" w:rsidRDefault="00CB0DD7">
            <w:pPr>
              <w:pStyle w:val="TAH"/>
            </w:pPr>
            <w:r w:rsidRPr="000A0A5F">
              <w:t>Response body</w:t>
            </w:r>
          </w:p>
        </w:tc>
        <w:tc>
          <w:tcPr>
            <w:tcW w:w="1455" w:type="pct"/>
            <w:shd w:val="clear" w:color="auto" w:fill="C0C0C0"/>
          </w:tcPr>
          <w:p w:rsidR="00CB0DD7" w:rsidRPr="000A0A5F" w:rsidRDefault="00CB0DD7">
            <w:pPr>
              <w:pStyle w:val="TAH"/>
            </w:pPr>
          </w:p>
          <w:p w:rsidR="00CB0DD7" w:rsidRPr="000A0A5F" w:rsidRDefault="00CB0DD7">
            <w:pPr>
              <w:pStyle w:val="TAH"/>
            </w:pPr>
            <w:r w:rsidRPr="000A0A5F">
              <w:t>Data type</w:t>
            </w:r>
          </w:p>
        </w:tc>
        <w:tc>
          <w:tcPr>
            <w:tcW w:w="585" w:type="pct"/>
            <w:shd w:val="clear" w:color="auto" w:fill="C0C0C0"/>
          </w:tcPr>
          <w:p w:rsidR="00CB0DD7" w:rsidRPr="000A0A5F" w:rsidRDefault="00CB0DD7">
            <w:pPr>
              <w:pStyle w:val="TAH"/>
            </w:pPr>
          </w:p>
          <w:p w:rsidR="00CB0DD7" w:rsidRPr="000A0A5F" w:rsidRDefault="00CB0DD7">
            <w:pPr>
              <w:pStyle w:val="TAH"/>
            </w:pPr>
            <w:r w:rsidRPr="000A0A5F">
              <w:t>Cardinality</w:t>
            </w:r>
          </w:p>
        </w:tc>
        <w:tc>
          <w:tcPr>
            <w:tcW w:w="654" w:type="pct"/>
            <w:shd w:val="clear" w:color="auto" w:fill="C0C0C0"/>
            <w:hideMark/>
          </w:tcPr>
          <w:p w:rsidR="00CB0DD7" w:rsidRPr="000A0A5F" w:rsidRDefault="00CB0DD7">
            <w:pPr>
              <w:pStyle w:val="TAH"/>
            </w:pPr>
            <w:r w:rsidRPr="000A0A5F">
              <w:t>Response</w:t>
            </w:r>
          </w:p>
          <w:p w:rsidR="00CB0DD7" w:rsidRPr="000A0A5F" w:rsidRDefault="00CB0DD7">
            <w:pPr>
              <w:pStyle w:val="TAH"/>
            </w:pPr>
            <w:r w:rsidRPr="000A0A5F">
              <w:t>codes</w:t>
            </w:r>
          </w:p>
        </w:tc>
        <w:tc>
          <w:tcPr>
            <w:tcW w:w="1769" w:type="pct"/>
            <w:shd w:val="clear" w:color="auto" w:fill="C0C0C0"/>
          </w:tcPr>
          <w:p w:rsidR="00CB0DD7" w:rsidRPr="000A0A5F" w:rsidRDefault="00CB0DD7">
            <w:pPr>
              <w:pStyle w:val="TAH"/>
            </w:pPr>
          </w:p>
          <w:p w:rsidR="00CB0DD7" w:rsidRPr="000A0A5F" w:rsidRDefault="00CB0DD7">
            <w:pPr>
              <w:pStyle w:val="TAH"/>
            </w:pPr>
            <w:r w:rsidRPr="000A0A5F">
              <w:t>Remarks</w:t>
            </w:r>
          </w:p>
        </w:tc>
      </w:tr>
      <w:tr w:rsidR="00CB0DD7" w:rsidRPr="000A0A5F" w:rsidTr="00FF0AF8">
        <w:tc>
          <w:tcPr>
            <w:tcW w:w="0" w:type="auto"/>
            <w:vMerge/>
            <w:vAlign w:val="center"/>
            <w:hideMark/>
          </w:tcPr>
          <w:p w:rsidR="00CB0DD7" w:rsidRPr="000A0A5F" w:rsidRDefault="00CB0DD7">
            <w:pPr>
              <w:spacing w:after="0"/>
              <w:rPr>
                <w:rFonts w:ascii="Arial" w:hAnsi="Arial"/>
                <w:b/>
                <w:sz w:val="18"/>
              </w:rPr>
            </w:pPr>
          </w:p>
        </w:tc>
        <w:tc>
          <w:tcPr>
            <w:tcW w:w="1455" w:type="pct"/>
            <w:hideMark/>
          </w:tcPr>
          <w:p w:rsidR="00CB0DD7" w:rsidRPr="000A0A5F" w:rsidRDefault="00CB0DD7">
            <w:pPr>
              <w:pStyle w:val="TAL"/>
            </w:pPr>
            <w:r w:rsidRPr="000A0A5F">
              <w:t>RacsProvisioningData</w:t>
            </w:r>
          </w:p>
        </w:tc>
        <w:tc>
          <w:tcPr>
            <w:tcW w:w="585" w:type="pct"/>
            <w:hideMark/>
          </w:tcPr>
          <w:p w:rsidR="00CB0DD7" w:rsidRPr="000A0A5F" w:rsidRDefault="00CB0DD7">
            <w:pPr>
              <w:pStyle w:val="TAL"/>
            </w:pPr>
            <w:r w:rsidRPr="000A0A5F">
              <w:t>1</w:t>
            </w:r>
          </w:p>
        </w:tc>
        <w:tc>
          <w:tcPr>
            <w:tcW w:w="654" w:type="pct"/>
            <w:hideMark/>
          </w:tcPr>
          <w:p w:rsidR="00CB0DD7" w:rsidRPr="000A0A5F" w:rsidRDefault="00CB0DD7">
            <w:pPr>
              <w:pStyle w:val="TAL"/>
            </w:pPr>
            <w:r w:rsidRPr="000A0A5F">
              <w:t>201 Created</w:t>
            </w:r>
          </w:p>
        </w:tc>
        <w:tc>
          <w:tcPr>
            <w:tcW w:w="1769" w:type="pct"/>
            <w:hideMark/>
          </w:tcPr>
          <w:p w:rsidR="00CB0DD7" w:rsidRPr="000A0A5F" w:rsidRDefault="00CB0DD7">
            <w:pPr>
              <w:pStyle w:val="TAL"/>
              <w:spacing w:afterLines="50" w:after="120"/>
            </w:pPr>
            <w:r w:rsidRPr="000A0A5F">
              <w:t xml:space="preserve">The provisioning was created successfully. </w:t>
            </w:r>
          </w:p>
          <w:p w:rsidR="00CB0DD7" w:rsidRPr="000A0A5F" w:rsidRDefault="00CB0DD7">
            <w:pPr>
              <w:pStyle w:val="TAL"/>
            </w:pPr>
            <w:r w:rsidRPr="000A0A5F">
              <w:t>The URI of the created resource shall be returned in the "Location" HTTP header</w:t>
            </w:r>
            <w:r w:rsidRPr="000A0A5F">
              <w:rPr>
                <w:lang w:eastAsia="zh-CN"/>
              </w:rPr>
              <w:t>.</w:t>
            </w:r>
          </w:p>
        </w:tc>
      </w:tr>
      <w:tr w:rsidR="00CB0DD7" w:rsidRPr="000A0A5F" w:rsidTr="00FF0AF8">
        <w:tc>
          <w:tcPr>
            <w:tcW w:w="0" w:type="auto"/>
            <w:vMerge/>
            <w:vAlign w:val="center"/>
          </w:tcPr>
          <w:p w:rsidR="00CB0DD7" w:rsidRPr="000A0A5F" w:rsidRDefault="00CB0DD7">
            <w:pPr>
              <w:spacing w:after="0"/>
              <w:rPr>
                <w:rFonts w:ascii="Arial" w:hAnsi="Arial"/>
                <w:b/>
                <w:sz w:val="18"/>
              </w:rPr>
            </w:pPr>
          </w:p>
        </w:tc>
        <w:tc>
          <w:tcPr>
            <w:tcW w:w="1455" w:type="pct"/>
          </w:tcPr>
          <w:p w:rsidR="00CB0DD7" w:rsidRPr="000A0A5F" w:rsidRDefault="00CB0DD7">
            <w:pPr>
              <w:pStyle w:val="TAL"/>
            </w:pPr>
            <w:r w:rsidRPr="000A0A5F">
              <w:rPr>
                <w:lang w:eastAsia="zh-CN"/>
              </w:rPr>
              <w:t>array(RacsFailureReport)</w:t>
            </w:r>
          </w:p>
        </w:tc>
        <w:tc>
          <w:tcPr>
            <w:tcW w:w="585" w:type="pct"/>
          </w:tcPr>
          <w:p w:rsidR="00CB0DD7" w:rsidRPr="000A0A5F" w:rsidRDefault="00CB0DD7">
            <w:pPr>
              <w:pStyle w:val="TAL"/>
            </w:pPr>
            <w:r w:rsidRPr="000A0A5F">
              <w:t>1..N</w:t>
            </w:r>
          </w:p>
        </w:tc>
        <w:tc>
          <w:tcPr>
            <w:tcW w:w="654" w:type="pct"/>
          </w:tcPr>
          <w:p w:rsidR="00CB0DD7" w:rsidRPr="000A0A5F" w:rsidRDefault="00CB0DD7">
            <w:pPr>
              <w:pStyle w:val="TAL"/>
            </w:pPr>
            <w:r w:rsidRPr="000A0A5F">
              <w:t>500 Internal Server Error</w:t>
            </w:r>
          </w:p>
        </w:tc>
        <w:tc>
          <w:tcPr>
            <w:tcW w:w="1769" w:type="pct"/>
          </w:tcPr>
          <w:p w:rsidR="00CB0DD7" w:rsidRPr="000A0A5F" w:rsidRDefault="00CB0DD7">
            <w:pPr>
              <w:pStyle w:val="TAL"/>
              <w:spacing w:afterLines="50" w:after="120"/>
            </w:pPr>
            <w:r w:rsidRPr="000A0A5F">
              <w:t>The RACS data for all RACS IDs were not provisioned successfully.</w:t>
            </w:r>
          </w:p>
        </w:tc>
      </w:tr>
      <w:tr w:rsidR="00CB0DD7" w:rsidRPr="000A0A5F" w:rsidTr="00FF0AF8">
        <w:tc>
          <w:tcPr>
            <w:tcW w:w="0" w:type="auto"/>
            <w:vMerge/>
            <w:vAlign w:val="center"/>
            <w:hideMark/>
          </w:tcPr>
          <w:p w:rsidR="00CB0DD7" w:rsidRPr="000A0A5F" w:rsidRDefault="00CB0DD7">
            <w:pPr>
              <w:spacing w:after="0"/>
              <w:rPr>
                <w:rFonts w:ascii="Arial" w:hAnsi="Arial"/>
                <w:b/>
                <w:sz w:val="18"/>
              </w:rPr>
            </w:pPr>
          </w:p>
        </w:tc>
        <w:tc>
          <w:tcPr>
            <w:tcW w:w="1455" w:type="pct"/>
            <w:hideMark/>
          </w:tcPr>
          <w:p w:rsidR="00CB0DD7" w:rsidRPr="000A0A5F" w:rsidRDefault="00CB0DD7">
            <w:pPr>
              <w:pStyle w:val="TAL"/>
            </w:pPr>
          </w:p>
        </w:tc>
        <w:tc>
          <w:tcPr>
            <w:tcW w:w="585" w:type="pct"/>
            <w:hideMark/>
          </w:tcPr>
          <w:p w:rsidR="00CB0DD7" w:rsidRPr="000A0A5F" w:rsidRDefault="00CB0DD7">
            <w:pPr>
              <w:pStyle w:val="TAL"/>
            </w:pPr>
          </w:p>
        </w:tc>
        <w:tc>
          <w:tcPr>
            <w:tcW w:w="654" w:type="pct"/>
            <w:hideMark/>
          </w:tcPr>
          <w:p w:rsidR="00CB0DD7" w:rsidRPr="000A0A5F" w:rsidRDefault="00CB0DD7">
            <w:pPr>
              <w:pStyle w:val="TAL"/>
            </w:pPr>
          </w:p>
        </w:tc>
        <w:tc>
          <w:tcPr>
            <w:tcW w:w="1769" w:type="pct"/>
            <w:hideMark/>
          </w:tcPr>
          <w:p w:rsidR="00CB0DD7" w:rsidRPr="000A0A5F" w:rsidRDefault="00CB0DD7">
            <w:pPr>
              <w:pStyle w:val="TAL"/>
              <w:spacing w:afterLines="50" w:after="120"/>
            </w:pPr>
          </w:p>
        </w:tc>
      </w:tr>
      <w:tr w:rsidR="00CB0DD7" w:rsidRPr="000A0A5F" w:rsidTr="00FF0AF8">
        <w:tc>
          <w:tcPr>
            <w:tcW w:w="5000" w:type="pct"/>
            <w:gridSpan w:val="5"/>
            <w:vAlign w:val="center"/>
            <w:hideMark/>
          </w:tcPr>
          <w:p w:rsidR="00CB0DD7" w:rsidRPr="000A0A5F" w:rsidRDefault="00CB0DD7">
            <w:pPr>
              <w:pStyle w:val="TAN"/>
            </w:pPr>
            <w:r w:rsidRPr="000A0A5F">
              <w:t>NOTE:</w:t>
            </w:r>
            <w:r w:rsidRPr="000A0A5F">
              <w:tab/>
              <w:t>The mandatory HTTP error status codes for the POST method listed in table 5.2.6-1 also apply.</w:t>
            </w:r>
          </w:p>
        </w:tc>
      </w:tr>
    </w:tbl>
    <w:p w:rsidR="00CB0DD7" w:rsidRPr="000A0A5F" w:rsidRDefault="00CB0DD7">
      <w:pPr>
        <w:rPr>
          <w:noProof/>
        </w:rPr>
      </w:pPr>
    </w:p>
    <w:p w:rsidR="00CB0DD7" w:rsidRPr="000A0A5F" w:rsidRDefault="00CB0DD7">
      <w:pPr>
        <w:pStyle w:val="TH"/>
      </w:pPr>
      <w:r w:rsidRPr="000A0A5F">
        <w:t>Table</w:t>
      </w:r>
      <w:r w:rsidRPr="000A0A5F">
        <w:rPr>
          <w:noProof/>
        </w:rPr>
        <w:t> </w:t>
      </w:r>
      <w:r w:rsidRPr="000A0A5F">
        <w:t xml:space="preserve">5.16.3.2.3.4-3: Headers supported by the 201 Response Code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846044">
        <w:trPr>
          <w:jc w:val="center"/>
        </w:trPr>
        <w:tc>
          <w:tcPr>
            <w:tcW w:w="825" w:type="pct"/>
            <w:tcBorders>
              <w:bottom w:val="single" w:sz="6" w:space="0" w:color="auto"/>
            </w:tcBorders>
            <w:shd w:val="clear" w:color="auto" w:fill="C0C0C0"/>
          </w:tcPr>
          <w:p w:rsidR="00CB0DD7" w:rsidRPr="000A0A5F" w:rsidRDefault="00CB0DD7">
            <w:pPr>
              <w:pStyle w:val="TAH"/>
            </w:pPr>
            <w:r w:rsidRPr="000A0A5F">
              <w:t>Name</w:t>
            </w:r>
          </w:p>
        </w:tc>
        <w:tc>
          <w:tcPr>
            <w:tcW w:w="732" w:type="pct"/>
            <w:tcBorders>
              <w:bottom w:val="single" w:sz="6" w:space="0" w:color="auto"/>
            </w:tcBorders>
            <w:shd w:val="clear" w:color="auto" w:fill="C0C0C0"/>
          </w:tcPr>
          <w:p w:rsidR="00CB0DD7" w:rsidRPr="000A0A5F" w:rsidRDefault="00CB0DD7">
            <w:pPr>
              <w:pStyle w:val="TAH"/>
            </w:pPr>
            <w:r w:rsidRPr="000A0A5F">
              <w:t>Data type</w:t>
            </w:r>
          </w:p>
        </w:tc>
        <w:tc>
          <w:tcPr>
            <w:tcW w:w="217" w:type="pct"/>
            <w:tcBorders>
              <w:bottom w:val="single" w:sz="6" w:space="0" w:color="auto"/>
            </w:tcBorders>
            <w:shd w:val="clear" w:color="auto" w:fill="C0C0C0"/>
          </w:tcPr>
          <w:p w:rsidR="00CB0DD7" w:rsidRPr="000A0A5F" w:rsidRDefault="00CB0DD7">
            <w:pPr>
              <w:pStyle w:val="TAH"/>
            </w:pPr>
            <w:r w:rsidRPr="000A0A5F">
              <w:t>P</w:t>
            </w:r>
          </w:p>
        </w:tc>
        <w:tc>
          <w:tcPr>
            <w:tcW w:w="581" w:type="pct"/>
            <w:tcBorders>
              <w:bottom w:val="single" w:sz="6" w:space="0" w:color="auto"/>
            </w:tcBorders>
            <w:shd w:val="clear" w:color="auto" w:fill="C0C0C0"/>
          </w:tcPr>
          <w:p w:rsidR="00CB0DD7" w:rsidRPr="000A0A5F" w:rsidRDefault="00CB0DD7">
            <w:pPr>
              <w:pStyle w:val="TAH"/>
            </w:pPr>
            <w:r w:rsidRPr="000A0A5F">
              <w:t>Cardinality</w:t>
            </w:r>
          </w:p>
        </w:tc>
        <w:tc>
          <w:tcPr>
            <w:tcW w:w="2645" w:type="pct"/>
            <w:tcBorders>
              <w:bottom w:val="single" w:sz="6" w:space="0" w:color="auto"/>
            </w:tcBorders>
            <w:shd w:val="clear" w:color="auto" w:fill="C0C0C0"/>
            <w:vAlign w:val="center"/>
          </w:tcPr>
          <w:p w:rsidR="00CB0DD7" w:rsidRPr="000A0A5F" w:rsidRDefault="00CB0DD7">
            <w:pPr>
              <w:pStyle w:val="TAH"/>
            </w:pPr>
            <w:r w:rsidRPr="000A0A5F">
              <w:t>Description</w:t>
            </w:r>
          </w:p>
        </w:tc>
      </w:tr>
      <w:tr w:rsidR="00CB0DD7" w:rsidRPr="000A0A5F" w:rsidTr="00846044">
        <w:trPr>
          <w:jc w:val="center"/>
        </w:trPr>
        <w:tc>
          <w:tcPr>
            <w:tcW w:w="825" w:type="pct"/>
            <w:tcBorders>
              <w:top w:val="single" w:sz="6" w:space="0" w:color="auto"/>
            </w:tcBorders>
            <w:shd w:val="clear" w:color="auto" w:fill="auto"/>
          </w:tcPr>
          <w:p w:rsidR="00CB0DD7" w:rsidRPr="000A0A5F" w:rsidRDefault="00CB0DD7">
            <w:pPr>
              <w:pStyle w:val="TAL"/>
            </w:pPr>
            <w:r w:rsidRPr="000A0A5F">
              <w:t>Location</w:t>
            </w:r>
          </w:p>
        </w:tc>
        <w:tc>
          <w:tcPr>
            <w:tcW w:w="732" w:type="pct"/>
            <w:tcBorders>
              <w:top w:val="single" w:sz="6" w:space="0" w:color="auto"/>
            </w:tcBorders>
          </w:tcPr>
          <w:p w:rsidR="00CB0DD7" w:rsidRPr="000A0A5F" w:rsidRDefault="00CB0DD7">
            <w:pPr>
              <w:pStyle w:val="TAL"/>
            </w:pPr>
            <w:r w:rsidRPr="000A0A5F">
              <w:t>string</w:t>
            </w:r>
          </w:p>
        </w:tc>
        <w:tc>
          <w:tcPr>
            <w:tcW w:w="217" w:type="pct"/>
            <w:tcBorders>
              <w:top w:val="single" w:sz="6" w:space="0" w:color="auto"/>
            </w:tcBorders>
          </w:tcPr>
          <w:p w:rsidR="00CB0DD7" w:rsidRPr="000A0A5F" w:rsidRDefault="00CB0DD7">
            <w:pPr>
              <w:pStyle w:val="TAC"/>
            </w:pPr>
            <w:r w:rsidRPr="000A0A5F">
              <w:t>M</w:t>
            </w:r>
          </w:p>
        </w:tc>
        <w:tc>
          <w:tcPr>
            <w:tcW w:w="581" w:type="pct"/>
            <w:tcBorders>
              <w:top w:val="single" w:sz="6" w:space="0" w:color="auto"/>
            </w:tcBorders>
          </w:tcPr>
          <w:p w:rsidR="00CB0DD7" w:rsidRPr="000A0A5F" w:rsidRDefault="00CB0DD7">
            <w:pPr>
              <w:pStyle w:val="TAL"/>
            </w:pPr>
            <w:r w:rsidRPr="000A0A5F">
              <w:t>1</w:t>
            </w:r>
          </w:p>
        </w:tc>
        <w:tc>
          <w:tcPr>
            <w:tcW w:w="2645" w:type="pct"/>
            <w:tcBorders>
              <w:top w:val="single" w:sz="6" w:space="0" w:color="auto"/>
            </w:tcBorders>
            <w:shd w:val="clear" w:color="auto" w:fill="auto"/>
            <w:vAlign w:val="center"/>
          </w:tcPr>
          <w:p w:rsidR="00CB0DD7" w:rsidRPr="000A0A5F" w:rsidRDefault="00CB0DD7">
            <w:pPr>
              <w:pStyle w:val="TAL"/>
            </w:pPr>
            <w:r w:rsidRPr="000A0A5F">
              <w:t>Contains the URI of the newly created resource, according to the structure:</w:t>
            </w:r>
            <w:r w:rsidRPr="000A0A5F">
              <w:rPr>
                <w:noProof/>
              </w:rPr>
              <w:t xml:space="preserve"> </w:t>
            </w:r>
            <w:r w:rsidRPr="000A0A5F">
              <w:rPr>
                <w:lang w:eastAsia="zh-CN"/>
              </w:rPr>
              <w:t>{apiRoot}/</w:t>
            </w:r>
            <w:r w:rsidRPr="000A0A5F">
              <w:t>3gpp-racs-pp/v1/{scsAsId}/provisionings/{provisioningId}</w:t>
            </w:r>
          </w:p>
        </w:tc>
      </w:tr>
    </w:tbl>
    <w:p w:rsidR="00CB0DD7" w:rsidRPr="000A0A5F" w:rsidRDefault="00CB0DD7"/>
    <w:p w:rsidR="00CB0DD7" w:rsidRPr="000A0A5F" w:rsidRDefault="00CB0DD7">
      <w:pPr>
        <w:pStyle w:val="Heading6"/>
      </w:pPr>
      <w:bookmarkStart w:id="10025" w:name="_Toc27045090"/>
      <w:bookmarkStart w:id="10026" w:name="_Toc36034141"/>
      <w:bookmarkStart w:id="10027" w:name="_Toc45132289"/>
      <w:bookmarkStart w:id="10028" w:name="_Toc49776574"/>
      <w:bookmarkStart w:id="10029" w:name="_Toc51747494"/>
      <w:bookmarkStart w:id="10030" w:name="_Toc66361076"/>
      <w:bookmarkStart w:id="10031" w:name="_Toc68105581"/>
      <w:bookmarkStart w:id="10032" w:name="_Toc74756213"/>
      <w:bookmarkStart w:id="10033" w:name="_Toc105675090"/>
      <w:bookmarkStart w:id="10034" w:name="_Toc130503168"/>
      <w:bookmarkStart w:id="10035" w:name="_Toc153625960"/>
      <w:r w:rsidRPr="000A0A5F">
        <w:t>5.16.3.2.3.5</w:t>
      </w:r>
      <w:r w:rsidRPr="000A0A5F">
        <w:tab/>
        <w:t>DELETE</w:t>
      </w:r>
      <w:bookmarkEnd w:id="10025"/>
      <w:bookmarkEnd w:id="10026"/>
      <w:bookmarkEnd w:id="10027"/>
      <w:bookmarkEnd w:id="10028"/>
      <w:bookmarkEnd w:id="10029"/>
      <w:bookmarkEnd w:id="10030"/>
      <w:bookmarkEnd w:id="10031"/>
      <w:bookmarkEnd w:id="10032"/>
      <w:bookmarkEnd w:id="10033"/>
      <w:bookmarkEnd w:id="10034"/>
      <w:bookmarkEnd w:id="10035"/>
    </w:p>
    <w:p w:rsidR="00CB0DD7" w:rsidRPr="000A0A5F" w:rsidRDefault="00CB0DD7">
      <w:pPr>
        <w:rPr>
          <w:lang w:eastAsia="zh-CN"/>
        </w:rPr>
      </w:pPr>
      <w:r w:rsidRPr="000A0A5F">
        <w:rPr>
          <w:lang w:eastAsia="zh-CN"/>
        </w:rPr>
        <w:t>This HTTP method is not supported for the resource.</w:t>
      </w:r>
    </w:p>
    <w:p w:rsidR="00CB0DD7" w:rsidRPr="000A0A5F" w:rsidRDefault="00CB0DD7">
      <w:pPr>
        <w:pStyle w:val="Heading4"/>
      </w:pPr>
      <w:bookmarkStart w:id="10036" w:name="_Toc27045091"/>
      <w:bookmarkStart w:id="10037" w:name="_Toc36034142"/>
      <w:bookmarkStart w:id="10038" w:name="_Toc45132290"/>
      <w:bookmarkStart w:id="10039" w:name="_Toc49776575"/>
      <w:bookmarkStart w:id="10040" w:name="_Toc51747495"/>
      <w:bookmarkStart w:id="10041" w:name="_Toc66361077"/>
      <w:bookmarkStart w:id="10042" w:name="_Toc68105582"/>
      <w:bookmarkStart w:id="10043" w:name="_Toc74756214"/>
      <w:bookmarkStart w:id="10044" w:name="_Toc105675091"/>
      <w:bookmarkStart w:id="10045" w:name="_Toc130503169"/>
      <w:bookmarkStart w:id="10046" w:name="_Toc153625961"/>
      <w:r w:rsidRPr="000A0A5F">
        <w:t>5.16.3.3</w:t>
      </w:r>
      <w:r w:rsidRPr="000A0A5F">
        <w:tab/>
        <w:t>Resource: Individual RACS Parameter Provisioning</w:t>
      </w:r>
      <w:bookmarkEnd w:id="10036"/>
      <w:bookmarkEnd w:id="10037"/>
      <w:bookmarkEnd w:id="10038"/>
      <w:bookmarkEnd w:id="10039"/>
      <w:bookmarkEnd w:id="10040"/>
      <w:bookmarkEnd w:id="10041"/>
      <w:bookmarkEnd w:id="10042"/>
      <w:bookmarkEnd w:id="10043"/>
      <w:bookmarkEnd w:id="10044"/>
      <w:bookmarkEnd w:id="10045"/>
      <w:bookmarkEnd w:id="10046"/>
    </w:p>
    <w:p w:rsidR="00CB0DD7" w:rsidRPr="000A0A5F" w:rsidRDefault="00CB0DD7">
      <w:pPr>
        <w:pStyle w:val="Heading5"/>
      </w:pPr>
      <w:bookmarkStart w:id="10047" w:name="_Toc27045092"/>
      <w:bookmarkStart w:id="10048" w:name="_Toc36034143"/>
      <w:bookmarkStart w:id="10049" w:name="_Toc45132291"/>
      <w:bookmarkStart w:id="10050" w:name="_Toc49776576"/>
      <w:bookmarkStart w:id="10051" w:name="_Toc51747496"/>
      <w:bookmarkStart w:id="10052" w:name="_Toc66361078"/>
      <w:bookmarkStart w:id="10053" w:name="_Toc68105583"/>
      <w:bookmarkStart w:id="10054" w:name="_Toc74756215"/>
      <w:bookmarkStart w:id="10055" w:name="_Toc105675092"/>
      <w:bookmarkStart w:id="10056" w:name="_Toc130503170"/>
      <w:bookmarkStart w:id="10057" w:name="_Toc153625962"/>
      <w:r w:rsidRPr="000A0A5F">
        <w:t>5.16.3.3.1</w:t>
      </w:r>
      <w:r w:rsidRPr="000A0A5F">
        <w:tab/>
        <w:t>Introduction</w:t>
      </w:r>
      <w:bookmarkEnd w:id="10047"/>
      <w:bookmarkEnd w:id="10048"/>
      <w:bookmarkEnd w:id="10049"/>
      <w:bookmarkEnd w:id="10050"/>
      <w:bookmarkEnd w:id="10051"/>
      <w:bookmarkEnd w:id="10052"/>
      <w:bookmarkEnd w:id="10053"/>
      <w:bookmarkEnd w:id="10054"/>
      <w:bookmarkEnd w:id="10055"/>
      <w:bookmarkEnd w:id="10056"/>
      <w:bookmarkEnd w:id="10057"/>
    </w:p>
    <w:p w:rsidR="00CB0DD7" w:rsidRPr="000A0A5F" w:rsidRDefault="00CB0DD7">
      <w:r w:rsidRPr="000A0A5F">
        <w:rPr>
          <w:noProof/>
          <w:lang w:eastAsia="zh-CN"/>
        </w:rPr>
        <w:t>This resource allows an SCS/AS to query, update and delete a parameter provisioning indicated by the resource URI as defined in clause 5.16.3.3.2.</w:t>
      </w:r>
    </w:p>
    <w:p w:rsidR="00CB0DD7" w:rsidRPr="000A0A5F" w:rsidRDefault="00CB0DD7">
      <w:pPr>
        <w:pStyle w:val="Heading5"/>
      </w:pPr>
      <w:bookmarkStart w:id="10058" w:name="_Toc27045093"/>
      <w:bookmarkStart w:id="10059" w:name="_Toc36034144"/>
      <w:bookmarkStart w:id="10060" w:name="_Toc45132292"/>
      <w:bookmarkStart w:id="10061" w:name="_Toc49776577"/>
      <w:bookmarkStart w:id="10062" w:name="_Toc51747497"/>
      <w:bookmarkStart w:id="10063" w:name="_Toc66361079"/>
      <w:bookmarkStart w:id="10064" w:name="_Toc68105584"/>
      <w:bookmarkStart w:id="10065" w:name="_Toc74756216"/>
      <w:bookmarkStart w:id="10066" w:name="_Toc105675093"/>
      <w:bookmarkStart w:id="10067" w:name="_Toc130503171"/>
      <w:bookmarkStart w:id="10068" w:name="_Toc153625963"/>
      <w:r w:rsidRPr="000A0A5F">
        <w:t>5.16.3.3.2</w:t>
      </w:r>
      <w:r w:rsidRPr="000A0A5F">
        <w:tab/>
        <w:t>Resource definition</w:t>
      </w:r>
      <w:bookmarkEnd w:id="10058"/>
      <w:bookmarkEnd w:id="10059"/>
      <w:bookmarkEnd w:id="10060"/>
      <w:bookmarkEnd w:id="10061"/>
      <w:bookmarkEnd w:id="10062"/>
      <w:bookmarkEnd w:id="10063"/>
      <w:bookmarkEnd w:id="10064"/>
      <w:bookmarkEnd w:id="10065"/>
      <w:bookmarkEnd w:id="10066"/>
      <w:bookmarkEnd w:id="10067"/>
      <w:bookmarkEnd w:id="10068"/>
    </w:p>
    <w:p w:rsidR="00CB0DD7" w:rsidRPr="000A0A5F" w:rsidRDefault="00CB0DD7">
      <w:r w:rsidRPr="000A0A5F">
        <w:t xml:space="preserve">Resource URI: </w:t>
      </w:r>
      <w:r w:rsidRPr="000A0A5F">
        <w:rPr>
          <w:b/>
        </w:rPr>
        <w:t>{apiRoot}/3gpp-racs-pp/v1/{scsAsId}/</w:t>
      </w:r>
      <w:r w:rsidRPr="000A0A5F">
        <w:rPr>
          <w:b/>
          <w:noProof/>
          <w:lang w:eastAsia="zh-CN"/>
        </w:rPr>
        <w:t>provisioning</w:t>
      </w:r>
      <w:r w:rsidRPr="000A0A5F">
        <w:rPr>
          <w:b/>
        </w:rPr>
        <w:t>s/{</w:t>
      </w:r>
      <w:r w:rsidRPr="000A0A5F">
        <w:rPr>
          <w:b/>
          <w:noProof/>
          <w:lang w:eastAsia="zh-CN"/>
        </w:rPr>
        <w:t>provisioning</w:t>
      </w:r>
      <w:r w:rsidRPr="000A0A5F">
        <w:rPr>
          <w:b/>
        </w:rPr>
        <w:t>Id}</w:t>
      </w:r>
    </w:p>
    <w:p w:rsidR="00CB0DD7" w:rsidRPr="000A0A5F" w:rsidRDefault="00CB0DD7">
      <w:pPr>
        <w:rPr>
          <w:rFonts w:ascii="Arial" w:hAnsi="Arial" w:cs="Arial"/>
        </w:rPr>
      </w:pPr>
      <w:r w:rsidRPr="000A0A5F">
        <w:t>This resource shall support the resource URI variables defined in table 5.16.3.3.2-1</w:t>
      </w:r>
      <w:r w:rsidRPr="000A0A5F">
        <w:rPr>
          <w:rFonts w:ascii="Arial" w:hAnsi="Arial" w:cs="Arial"/>
        </w:rPr>
        <w:t>.</w:t>
      </w:r>
    </w:p>
    <w:p w:rsidR="00CB0DD7" w:rsidRPr="000A0A5F" w:rsidRDefault="00CB0DD7">
      <w:pPr>
        <w:pStyle w:val="TH"/>
        <w:rPr>
          <w:rFonts w:cs="Arial"/>
        </w:rPr>
      </w:pPr>
      <w:r w:rsidRPr="000A0A5F">
        <w:t>Table 5.16.3.2.2-1: Resource URI variables for resource "Individual RACS Parameter Provisioning"</w:t>
      </w:r>
    </w:p>
    <w:tbl>
      <w:tblPr>
        <w:tblW w:w="4932"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968"/>
        <w:gridCol w:w="1157"/>
        <w:gridCol w:w="6519"/>
      </w:tblGrid>
      <w:tr w:rsidR="00CB0DD7" w:rsidRPr="000A0A5F" w:rsidTr="00FF0AF8">
        <w:trPr>
          <w:jc w:val="center"/>
        </w:trPr>
        <w:tc>
          <w:tcPr>
            <w:tcW w:w="1020" w:type="pct"/>
            <w:shd w:val="clear" w:color="000000" w:fill="C0C0C0"/>
            <w:hideMark/>
          </w:tcPr>
          <w:p w:rsidR="00CB0DD7" w:rsidRPr="000A0A5F" w:rsidRDefault="00CB0DD7">
            <w:pPr>
              <w:pStyle w:val="TAH"/>
            </w:pPr>
            <w:r w:rsidRPr="000A0A5F">
              <w:t>Name</w:t>
            </w:r>
          </w:p>
        </w:tc>
        <w:tc>
          <w:tcPr>
            <w:tcW w:w="600" w:type="pct"/>
            <w:shd w:val="clear" w:color="000000" w:fill="C0C0C0"/>
          </w:tcPr>
          <w:p w:rsidR="00CB0DD7" w:rsidRPr="000A0A5F" w:rsidRDefault="00CB0DD7">
            <w:pPr>
              <w:pStyle w:val="TAH"/>
            </w:pPr>
            <w:r w:rsidRPr="000A0A5F">
              <w:t>Data type</w:t>
            </w:r>
          </w:p>
        </w:tc>
        <w:tc>
          <w:tcPr>
            <w:tcW w:w="3380" w:type="pct"/>
            <w:shd w:val="clear" w:color="000000" w:fill="C0C0C0"/>
            <w:vAlign w:val="center"/>
            <w:hideMark/>
          </w:tcPr>
          <w:p w:rsidR="00CB0DD7" w:rsidRPr="000A0A5F" w:rsidRDefault="00CB0DD7">
            <w:pPr>
              <w:pStyle w:val="TAH"/>
            </w:pPr>
            <w:r w:rsidRPr="000A0A5F">
              <w:t>Definition</w:t>
            </w:r>
          </w:p>
        </w:tc>
      </w:tr>
      <w:tr w:rsidR="00CB0DD7" w:rsidRPr="000A0A5F" w:rsidTr="00FF0AF8">
        <w:trPr>
          <w:jc w:val="center"/>
        </w:trPr>
        <w:tc>
          <w:tcPr>
            <w:tcW w:w="1020" w:type="pct"/>
            <w:hideMark/>
          </w:tcPr>
          <w:p w:rsidR="00CB0DD7" w:rsidRPr="000A0A5F" w:rsidRDefault="00CB0DD7">
            <w:pPr>
              <w:pStyle w:val="TAL"/>
            </w:pPr>
            <w:r w:rsidRPr="000A0A5F">
              <w:t>apiRoot</w:t>
            </w:r>
          </w:p>
        </w:tc>
        <w:tc>
          <w:tcPr>
            <w:tcW w:w="600" w:type="pct"/>
          </w:tcPr>
          <w:p w:rsidR="00CB0DD7" w:rsidRPr="000A0A5F" w:rsidRDefault="00CB0DD7">
            <w:pPr>
              <w:pStyle w:val="TAL"/>
            </w:pPr>
            <w:r w:rsidRPr="000A0A5F">
              <w:t>string</w:t>
            </w:r>
          </w:p>
        </w:tc>
        <w:tc>
          <w:tcPr>
            <w:tcW w:w="3380" w:type="pct"/>
            <w:vAlign w:val="center"/>
            <w:hideMark/>
          </w:tcPr>
          <w:p w:rsidR="00CB0DD7" w:rsidRPr="000A0A5F" w:rsidRDefault="00CB0DD7">
            <w:pPr>
              <w:pStyle w:val="TAL"/>
            </w:pPr>
            <w:r w:rsidRPr="000A0A5F">
              <w:t>See clause</w:t>
            </w:r>
            <w:r w:rsidRPr="000A0A5F">
              <w:rPr>
                <w:lang w:val="en-US" w:eastAsia="zh-CN"/>
              </w:rPr>
              <w:t> </w:t>
            </w:r>
            <w:r w:rsidRPr="000A0A5F">
              <w:t>5.2.4.</w:t>
            </w:r>
          </w:p>
        </w:tc>
      </w:tr>
      <w:tr w:rsidR="00CB0DD7" w:rsidRPr="000A0A5F" w:rsidTr="00FF0AF8">
        <w:trPr>
          <w:jc w:val="center"/>
        </w:trPr>
        <w:tc>
          <w:tcPr>
            <w:tcW w:w="1020" w:type="pct"/>
            <w:hideMark/>
          </w:tcPr>
          <w:p w:rsidR="00CB0DD7" w:rsidRPr="000A0A5F" w:rsidRDefault="00CB0DD7">
            <w:pPr>
              <w:pStyle w:val="TAL"/>
            </w:pPr>
            <w:r w:rsidRPr="000A0A5F">
              <w:t>scsAsId</w:t>
            </w:r>
          </w:p>
        </w:tc>
        <w:tc>
          <w:tcPr>
            <w:tcW w:w="600" w:type="pct"/>
          </w:tcPr>
          <w:p w:rsidR="00CB0DD7" w:rsidRPr="000A0A5F" w:rsidRDefault="00CB0DD7">
            <w:pPr>
              <w:pStyle w:val="TAL"/>
            </w:pPr>
            <w:r w:rsidRPr="000A0A5F">
              <w:rPr>
                <w:rFonts w:hint="eastAsia"/>
                <w:lang w:eastAsia="zh-CN"/>
              </w:rPr>
              <w:t>s</w:t>
            </w:r>
            <w:r w:rsidRPr="000A0A5F">
              <w:rPr>
                <w:lang w:eastAsia="zh-CN"/>
              </w:rPr>
              <w:t>tring</w:t>
            </w:r>
          </w:p>
        </w:tc>
        <w:tc>
          <w:tcPr>
            <w:tcW w:w="3380" w:type="pct"/>
            <w:vAlign w:val="center"/>
            <w:hideMark/>
          </w:tcPr>
          <w:p w:rsidR="00CB0DD7" w:rsidRPr="000A0A5F" w:rsidRDefault="00CB0DD7">
            <w:pPr>
              <w:pStyle w:val="TAL"/>
            </w:pPr>
            <w:r w:rsidRPr="000A0A5F">
              <w:t xml:space="preserve">Identifier of the SCS/AS of type </w:t>
            </w:r>
            <w:r w:rsidRPr="000A0A5F">
              <w:rPr>
                <w:rFonts w:eastAsia="Times New Roman"/>
              </w:rPr>
              <w:t>ScsAsId.</w:t>
            </w:r>
          </w:p>
        </w:tc>
      </w:tr>
      <w:tr w:rsidR="00CB0DD7" w:rsidRPr="000A0A5F" w:rsidTr="00FF0AF8">
        <w:trPr>
          <w:jc w:val="center"/>
        </w:trPr>
        <w:tc>
          <w:tcPr>
            <w:tcW w:w="1020" w:type="pct"/>
            <w:hideMark/>
          </w:tcPr>
          <w:p w:rsidR="00CB0DD7" w:rsidRPr="000A0A5F" w:rsidRDefault="00CB0DD7">
            <w:pPr>
              <w:pStyle w:val="TAL"/>
              <w:rPr>
                <w:lang w:eastAsia="zh-CN"/>
              </w:rPr>
            </w:pPr>
            <w:r w:rsidRPr="000A0A5F">
              <w:rPr>
                <w:lang w:eastAsia="zh-CN"/>
              </w:rPr>
              <w:t>provisioningId</w:t>
            </w:r>
          </w:p>
        </w:tc>
        <w:tc>
          <w:tcPr>
            <w:tcW w:w="600" w:type="pct"/>
          </w:tcPr>
          <w:p w:rsidR="00CB0DD7" w:rsidRPr="000A0A5F" w:rsidRDefault="00CB0DD7">
            <w:pPr>
              <w:pStyle w:val="TAL"/>
            </w:pPr>
            <w:r w:rsidRPr="000A0A5F">
              <w:t>string</w:t>
            </w:r>
          </w:p>
        </w:tc>
        <w:tc>
          <w:tcPr>
            <w:tcW w:w="3380" w:type="pct"/>
            <w:vAlign w:val="center"/>
            <w:hideMark/>
          </w:tcPr>
          <w:p w:rsidR="00CB0DD7" w:rsidRPr="000A0A5F" w:rsidRDefault="00CB0DD7">
            <w:pPr>
              <w:pStyle w:val="TAL"/>
              <w:rPr>
                <w:lang w:eastAsia="zh-CN"/>
              </w:rPr>
            </w:pPr>
            <w:r w:rsidRPr="000A0A5F">
              <w:t xml:space="preserve">Identifier of the </w:t>
            </w:r>
            <w:r w:rsidRPr="000A0A5F">
              <w:rPr>
                <w:noProof/>
                <w:lang w:eastAsia="zh-CN"/>
              </w:rPr>
              <w:t>provisioning</w:t>
            </w:r>
            <w:r w:rsidRPr="000A0A5F">
              <w:t xml:space="preserve"> resource of type string.</w:t>
            </w:r>
          </w:p>
        </w:tc>
      </w:tr>
    </w:tbl>
    <w:p w:rsidR="00CB0DD7" w:rsidRPr="000A0A5F" w:rsidRDefault="00CB0DD7"/>
    <w:p w:rsidR="00CB0DD7" w:rsidRPr="000A0A5F" w:rsidRDefault="00CB0DD7">
      <w:pPr>
        <w:pStyle w:val="Heading5"/>
        <w:spacing w:before="180"/>
      </w:pPr>
      <w:bookmarkStart w:id="10069" w:name="_Toc27045094"/>
      <w:bookmarkStart w:id="10070" w:name="_Toc36034145"/>
      <w:bookmarkStart w:id="10071" w:name="_Toc45132293"/>
      <w:bookmarkStart w:id="10072" w:name="_Toc49776578"/>
      <w:bookmarkStart w:id="10073" w:name="_Toc51747498"/>
      <w:bookmarkStart w:id="10074" w:name="_Toc66361080"/>
      <w:bookmarkStart w:id="10075" w:name="_Toc68105585"/>
      <w:bookmarkStart w:id="10076" w:name="_Toc74756217"/>
      <w:bookmarkStart w:id="10077" w:name="_Toc105675094"/>
      <w:bookmarkStart w:id="10078" w:name="_Toc130503172"/>
      <w:bookmarkStart w:id="10079" w:name="_Toc153625964"/>
      <w:r w:rsidRPr="000A0A5F">
        <w:t>5.16.3.3.3</w:t>
      </w:r>
      <w:r w:rsidRPr="000A0A5F">
        <w:tab/>
        <w:t>Resource methods</w:t>
      </w:r>
      <w:bookmarkEnd w:id="10069"/>
      <w:bookmarkEnd w:id="10070"/>
      <w:bookmarkEnd w:id="10071"/>
      <w:bookmarkEnd w:id="10072"/>
      <w:bookmarkEnd w:id="10073"/>
      <w:bookmarkEnd w:id="10074"/>
      <w:bookmarkEnd w:id="10075"/>
      <w:bookmarkEnd w:id="10076"/>
      <w:bookmarkEnd w:id="10077"/>
      <w:bookmarkEnd w:id="10078"/>
      <w:bookmarkEnd w:id="10079"/>
    </w:p>
    <w:p w:rsidR="00CB0DD7" w:rsidRPr="000A0A5F" w:rsidRDefault="00CB0DD7">
      <w:pPr>
        <w:pStyle w:val="Heading6"/>
      </w:pPr>
      <w:bookmarkStart w:id="10080" w:name="_Toc27045095"/>
      <w:bookmarkStart w:id="10081" w:name="_Toc36034146"/>
      <w:bookmarkStart w:id="10082" w:name="_Toc45132294"/>
      <w:bookmarkStart w:id="10083" w:name="_Toc49776579"/>
      <w:bookmarkStart w:id="10084" w:name="_Toc51747499"/>
      <w:bookmarkStart w:id="10085" w:name="_Toc66361081"/>
      <w:bookmarkStart w:id="10086" w:name="_Toc68105586"/>
      <w:bookmarkStart w:id="10087" w:name="_Toc74756218"/>
      <w:bookmarkStart w:id="10088" w:name="_Toc105675095"/>
      <w:bookmarkStart w:id="10089" w:name="_Toc130503173"/>
      <w:bookmarkStart w:id="10090" w:name="_Toc153625965"/>
      <w:r w:rsidRPr="000A0A5F">
        <w:t>5.16.3.3.3.1</w:t>
      </w:r>
      <w:r w:rsidRPr="000A0A5F">
        <w:tab/>
        <w:t>GET</w:t>
      </w:r>
      <w:bookmarkEnd w:id="10080"/>
      <w:bookmarkEnd w:id="10081"/>
      <w:bookmarkEnd w:id="10082"/>
      <w:bookmarkEnd w:id="10083"/>
      <w:bookmarkEnd w:id="10084"/>
      <w:bookmarkEnd w:id="10085"/>
      <w:bookmarkEnd w:id="10086"/>
      <w:bookmarkEnd w:id="10087"/>
      <w:bookmarkEnd w:id="10088"/>
      <w:bookmarkEnd w:id="10089"/>
      <w:bookmarkEnd w:id="10090"/>
    </w:p>
    <w:p w:rsidR="00CB0DD7" w:rsidRPr="000A0A5F" w:rsidRDefault="00CB0DD7">
      <w:pPr>
        <w:rPr>
          <w:noProof/>
          <w:lang w:eastAsia="zh-CN"/>
        </w:rPr>
      </w:pPr>
      <w:r w:rsidRPr="000A0A5F">
        <w:rPr>
          <w:noProof/>
          <w:lang w:eastAsia="zh-CN"/>
        </w:rPr>
        <w:t>The GET method allows to read an active parameter provisioning i</w:t>
      </w:r>
      <w:r w:rsidRPr="000A0A5F">
        <w:rPr>
          <w:noProof/>
          <w:lang w:val="en-US" w:eastAsia="zh-CN"/>
        </w:rPr>
        <w:t>ndicated</w:t>
      </w:r>
      <w:r w:rsidRPr="000A0A5F">
        <w:rPr>
          <w:noProof/>
          <w:lang w:eastAsia="zh-CN"/>
        </w:rPr>
        <w:t xml:space="preserve"> by the resource URI as defined in clause 5.16</w:t>
      </w:r>
      <w:r w:rsidRPr="000A0A5F">
        <w:rPr>
          <w:noProof/>
          <w:lang w:val="en-US" w:eastAsia="zh-CN"/>
        </w:rPr>
        <w:t>.3.3.2</w:t>
      </w:r>
      <w:r w:rsidRPr="000A0A5F">
        <w:rPr>
          <w:noProof/>
          <w:lang w:eastAsia="zh-CN"/>
        </w:rPr>
        <w:t xml:space="preserve">. The SCS/AS shall initiate the HTTP GET request message and the SCEF shall respond to the message. </w:t>
      </w:r>
    </w:p>
    <w:p w:rsidR="00CB0DD7" w:rsidRPr="000A0A5F" w:rsidRDefault="00CB0DD7">
      <w:r w:rsidRPr="000A0A5F">
        <w:t>This method shall support the URI query parameters, request and response data structures, and response codes, as specified in the table 5.16.3.3.3.1-1 and table 5.16.3.3.3.1-2.</w:t>
      </w:r>
    </w:p>
    <w:p w:rsidR="00CB0DD7" w:rsidRPr="000A0A5F" w:rsidRDefault="00CB0DD7">
      <w:pPr>
        <w:pStyle w:val="TH"/>
        <w:rPr>
          <w:rFonts w:cs="Arial"/>
        </w:rPr>
      </w:pPr>
      <w:r w:rsidRPr="000A0A5F">
        <w:t xml:space="preserve">Table 5.16.3.3.3.1-1: URI query parameters supported by the GET method on this resource </w:t>
      </w:r>
    </w:p>
    <w:tbl>
      <w:tblPr>
        <w:tblW w:w="495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596"/>
        <w:gridCol w:w="1692"/>
        <w:gridCol w:w="1129"/>
        <w:gridCol w:w="5262"/>
      </w:tblGrid>
      <w:tr w:rsidR="00CB0DD7" w:rsidRPr="000A0A5F" w:rsidTr="00FF0AF8">
        <w:trPr>
          <w:jc w:val="center"/>
        </w:trPr>
        <w:tc>
          <w:tcPr>
            <w:tcW w:w="825" w:type="pct"/>
            <w:shd w:val="clear" w:color="000000" w:fill="C0C0C0"/>
            <w:hideMark/>
          </w:tcPr>
          <w:p w:rsidR="00CB0DD7" w:rsidRPr="000A0A5F" w:rsidRDefault="00CB0DD7">
            <w:pPr>
              <w:pStyle w:val="TAH"/>
            </w:pPr>
            <w:r w:rsidRPr="000A0A5F">
              <w:t>Name</w:t>
            </w:r>
          </w:p>
        </w:tc>
        <w:tc>
          <w:tcPr>
            <w:tcW w:w="874" w:type="pct"/>
            <w:shd w:val="clear" w:color="000000" w:fill="C0C0C0"/>
            <w:hideMark/>
          </w:tcPr>
          <w:p w:rsidR="00CB0DD7" w:rsidRPr="000A0A5F" w:rsidRDefault="00CB0DD7">
            <w:pPr>
              <w:pStyle w:val="TAH"/>
            </w:pPr>
            <w:r w:rsidRPr="000A0A5F">
              <w:t>Data type</w:t>
            </w:r>
          </w:p>
        </w:tc>
        <w:tc>
          <w:tcPr>
            <w:tcW w:w="583" w:type="pct"/>
            <w:shd w:val="clear" w:color="000000" w:fill="C0C0C0"/>
            <w:hideMark/>
          </w:tcPr>
          <w:p w:rsidR="00CB0DD7" w:rsidRPr="000A0A5F" w:rsidRDefault="00CB0DD7">
            <w:pPr>
              <w:pStyle w:val="TAH"/>
            </w:pPr>
            <w:r w:rsidRPr="000A0A5F">
              <w:t>Cardinality</w:t>
            </w:r>
          </w:p>
        </w:tc>
        <w:tc>
          <w:tcPr>
            <w:tcW w:w="2718" w:type="pct"/>
            <w:shd w:val="clear" w:color="000000" w:fill="C0C0C0"/>
            <w:vAlign w:val="center"/>
            <w:hideMark/>
          </w:tcPr>
          <w:p w:rsidR="00CB0DD7" w:rsidRPr="000A0A5F" w:rsidRDefault="00CB0DD7">
            <w:pPr>
              <w:pStyle w:val="TAH"/>
            </w:pPr>
            <w:r w:rsidRPr="000A0A5F">
              <w:t>Remarks</w:t>
            </w:r>
          </w:p>
        </w:tc>
      </w:tr>
      <w:tr w:rsidR="00CB0DD7" w:rsidRPr="000A0A5F" w:rsidTr="00FF0AF8">
        <w:trPr>
          <w:jc w:val="center"/>
        </w:trPr>
        <w:tc>
          <w:tcPr>
            <w:tcW w:w="825" w:type="pct"/>
          </w:tcPr>
          <w:p w:rsidR="00CB0DD7" w:rsidRPr="000A0A5F" w:rsidRDefault="00CB0DD7">
            <w:pPr>
              <w:pStyle w:val="TAL"/>
            </w:pPr>
          </w:p>
        </w:tc>
        <w:tc>
          <w:tcPr>
            <w:tcW w:w="874" w:type="pct"/>
          </w:tcPr>
          <w:p w:rsidR="00CB0DD7" w:rsidRPr="000A0A5F" w:rsidRDefault="00CB0DD7">
            <w:pPr>
              <w:pStyle w:val="TAL"/>
            </w:pPr>
          </w:p>
        </w:tc>
        <w:tc>
          <w:tcPr>
            <w:tcW w:w="583" w:type="pct"/>
          </w:tcPr>
          <w:p w:rsidR="00CB0DD7" w:rsidRPr="000A0A5F" w:rsidRDefault="00CB0DD7">
            <w:pPr>
              <w:pStyle w:val="TAL"/>
            </w:pPr>
          </w:p>
        </w:tc>
        <w:tc>
          <w:tcPr>
            <w:tcW w:w="2718" w:type="pct"/>
            <w:vAlign w:val="center"/>
          </w:tcPr>
          <w:p w:rsidR="00CB0DD7" w:rsidRPr="000A0A5F" w:rsidRDefault="00CB0DD7">
            <w:pPr>
              <w:pStyle w:val="TAL"/>
            </w:pPr>
          </w:p>
        </w:tc>
      </w:tr>
    </w:tbl>
    <w:p w:rsidR="00CB0DD7" w:rsidRPr="000A0A5F" w:rsidRDefault="00CB0DD7"/>
    <w:p w:rsidR="00CB0DD7" w:rsidRPr="000A0A5F" w:rsidRDefault="00CB0DD7">
      <w:pPr>
        <w:pStyle w:val="TH"/>
        <w:spacing w:before="120"/>
      </w:pPr>
      <w:r w:rsidRPr="000A0A5F">
        <w:t>Table 5.16.3.3.3.1-2: Data structures supported by the GET request/response by the resource</w:t>
      </w:r>
    </w:p>
    <w:tbl>
      <w:tblPr>
        <w:tblW w:w="4950" w:type="pct"/>
        <w:tblInd w:w="1"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top w:w="45" w:type="dxa"/>
          <w:left w:w="45" w:type="dxa"/>
          <w:bottom w:w="45" w:type="dxa"/>
          <w:right w:w="45" w:type="dxa"/>
        </w:tblCellMar>
        <w:tblLook w:val="04A0" w:firstRow="1" w:lastRow="0" w:firstColumn="1" w:lastColumn="0" w:noHBand="0" w:noVBand="1"/>
      </w:tblPr>
      <w:tblGrid>
        <w:gridCol w:w="1024"/>
        <w:gridCol w:w="2104"/>
        <w:gridCol w:w="1040"/>
        <w:gridCol w:w="971"/>
        <w:gridCol w:w="4495"/>
      </w:tblGrid>
      <w:tr w:rsidR="00CB0DD7" w:rsidRPr="000A0A5F" w:rsidTr="00F040BC">
        <w:tc>
          <w:tcPr>
            <w:tcW w:w="531" w:type="pct"/>
            <w:vMerge w:val="restart"/>
            <w:shd w:val="clear" w:color="auto" w:fill="C0C0C0"/>
            <w:vAlign w:val="center"/>
            <w:hideMark/>
          </w:tcPr>
          <w:p w:rsidR="00CB0DD7" w:rsidRPr="000A0A5F" w:rsidRDefault="00CB0DD7">
            <w:pPr>
              <w:pStyle w:val="TAH"/>
            </w:pPr>
            <w:r w:rsidRPr="000A0A5F">
              <w:t>Request body</w:t>
            </w:r>
          </w:p>
        </w:tc>
        <w:tc>
          <w:tcPr>
            <w:tcW w:w="1092" w:type="pct"/>
            <w:shd w:val="clear" w:color="auto" w:fill="C0C0C0"/>
            <w:hideMark/>
          </w:tcPr>
          <w:p w:rsidR="00CB0DD7" w:rsidRPr="000A0A5F" w:rsidRDefault="00CB0DD7">
            <w:pPr>
              <w:pStyle w:val="TAH"/>
            </w:pPr>
            <w:r w:rsidRPr="000A0A5F">
              <w:t>Data type</w:t>
            </w:r>
          </w:p>
        </w:tc>
        <w:tc>
          <w:tcPr>
            <w:tcW w:w="540" w:type="pct"/>
            <w:shd w:val="clear" w:color="auto" w:fill="C0C0C0"/>
            <w:hideMark/>
          </w:tcPr>
          <w:p w:rsidR="00CB0DD7" w:rsidRPr="000A0A5F" w:rsidRDefault="00CB0DD7">
            <w:pPr>
              <w:pStyle w:val="TAH"/>
            </w:pPr>
            <w:r w:rsidRPr="000A0A5F">
              <w:t>Cardinality</w:t>
            </w:r>
          </w:p>
        </w:tc>
        <w:tc>
          <w:tcPr>
            <w:tcW w:w="2837" w:type="pct"/>
            <w:gridSpan w:val="2"/>
            <w:shd w:val="clear" w:color="auto" w:fill="C0C0C0"/>
            <w:hideMark/>
          </w:tcPr>
          <w:p w:rsidR="00CB0DD7" w:rsidRPr="000A0A5F" w:rsidRDefault="00CB0DD7">
            <w:pPr>
              <w:pStyle w:val="TAH"/>
            </w:pPr>
            <w:r w:rsidRPr="000A0A5F">
              <w:t>Remarks</w:t>
            </w:r>
          </w:p>
        </w:tc>
      </w:tr>
      <w:tr w:rsidR="00CB0DD7" w:rsidRPr="000A0A5F" w:rsidTr="00FF0AF8">
        <w:tc>
          <w:tcPr>
            <w:tcW w:w="0" w:type="auto"/>
            <w:vMerge/>
            <w:vAlign w:val="center"/>
            <w:hideMark/>
          </w:tcPr>
          <w:p w:rsidR="00CB0DD7" w:rsidRPr="000A0A5F" w:rsidRDefault="00CB0DD7">
            <w:pPr>
              <w:spacing w:after="0"/>
              <w:rPr>
                <w:rFonts w:ascii="Arial" w:hAnsi="Arial"/>
                <w:b/>
                <w:sz w:val="18"/>
              </w:rPr>
            </w:pPr>
          </w:p>
        </w:tc>
        <w:tc>
          <w:tcPr>
            <w:tcW w:w="1092" w:type="pct"/>
            <w:hideMark/>
          </w:tcPr>
          <w:p w:rsidR="00CB0DD7" w:rsidRPr="000A0A5F" w:rsidRDefault="00CB0DD7">
            <w:pPr>
              <w:pStyle w:val="TAL"/>
            </w:pPr>
            <w:r w:rsidRPr="000A0A5F">
              <w:t>none</w:t>
            </w:r>
          </w:p>
        </w:tc>
        <w:tc>
          <w:tcPr>
            <w:tcW w:w="540" w:type="pct"/>
          </w:tcPr>
          <w:p w:rsidR="00CB0DD7" w:rsidRPr="000A0A5F" w:rsidRDefault="00CB0DD7">
            <w:pPr>
              <w:pStyle w:val="TAL"/>
            </w:pPr>
          </w:p>
        </w:tc>
        <w:tc>
          <w:tcPr>
            <w:tcW w:w="2837" w:type="pct"/>
            <w:gridSpan w:val="2"/>
          </w:tcPr>
          <w:p w:rsidR="00CB0DD7" w:rsidRPr="000A0A5F" w:rsidRDefault="00CB0DD7">
            <w:pPr>
              <w:pStyle w:val="TAL"/>
            </w:pPr>
          </w:p>
        </w:tc>
      </w:tr>
      <w:tr w:rsidR="00CB0DD7" w:rsidRPr="000A0A5F" w:rsidTr="00F040BC">
        <w:tc>
          <w:tcPr>
            <w:tcW w:w="531" w:type="pct"/>
            <w:vMerge w:val="restart"/>
            <w:shd w:val="clear" w:color="auto" w:fill="C0C0C0"/>
            <w:vAlign w:val="center"/>
            <w:hideMark/>
          </w:tcPr>
          <w:p w:rsidR="00CB0DD7" w:rsidRPr="000A0A5F" w:rsidRDefault="00CB0DD7">
            <w:pPr>
              <w:pStyle w:val="TAH"/>
            </w:pPr>
            <w:r w:rsidRPr="000A0A5F">
              <w:t>Response body</w:t>
            </w:r>
          </w:p>
        </w:tc>
        <w:tc>
          <w:tcPr>
            <w:tcW w:w="1092" w:type="pct"/>
            <w:shd w:val="clear" w:color="auto" w:fill="C0C0C0"/>
          </w:tcPr>
          <w:p w:rsidR="00CB0DD7" w:rsidRPr="000A0A5F" w:rsidRDefault="00CB0DD7">
            <w:pPr>
              <w:pStyle w:val="TAH"/>
            </w:pPr>
          </w:p>
          <w:p w:rsidR="00CB0DD7" w:rsidRPr="000A0A5F" w:rsidRDefault="00CB0DD7">
            <w:pPr>
              <w:pStyle w:val="TAH"/>
            </w:pPr>
            <w:r w:rsidRPr="000A0A5F">
              <w:t>Data type</w:t>
            </w:r>
          </w:p>
        </w:tc>
        <w:tc>
          <w:tcPr>
            <w:tcW w:w="540" w:type="pct"/>
            <w:shd w:val="clear" w:color="auto" w:fill="C0C0C0"/>
          </w:tcPr>
          <w:p w:rsidR="00CB0DD7" w:rsidRPr="000A0A5F" w:rsidRDefault="00CB0DD7">
            <w:pPr>
              <w:pStyle w:val="TAH"/>
            </w:pPr>
          </w:p>
          <w:p w:rsidR="00CB0DD7" w:rsidRPr="000A0A5F" w:rsidRDefault="00CB0DD7">
            <w:pPr>
              <w:pStyle w:val="TAH"/>
            </w:pPr>
            <w:r w:rsidRPr="000A0A5F">
              <w:t>Cardinality</w:t>
            </w:r>
          </w:p>
        </w:tc>
        <w:tc>
          <w:tcPr>
            <w:tcW w:w="504" w:type="pct"/>
            <w:shd w:val="clear" w:color="auto" w:fill="C0C0C0"/>
            <w:hideMark/>
          </w:tcPr>
          <w:p w:rsidR="00CB0DD7" w:rsidRPr="000A0A5F" w:rsidRDefault="00CB0DD7">
            <w:pPr>
              <w:pStyle w:val="TAH"/>
            </w:pPr>
            <w:r w:rsidRPr="000A0A5F">
              <w:t>Response</w:t>
            </w:r>
          </w:p>
          <w:p w:rsidR="00CB0DD7" w:rsidRPr="000A0A5F" w:rsidRDefault="00CB0DD7">
            <w:pPr>
              <w:pStyle w:val="TAH"/>
            </w:pPr>
            <w:r w:rsidRPr="000A0A5F">
              <w:t>codes</w:t>
            </w:r>
          </w:p>
        </w:tc>
        <w:tc>
          <w:tcPr>
            <w:tcW w:w="2333" w:type="pct"/>
            <w:shd w:val="clear" w:color="auto" w:fill="C0C0C0"/>
          </w:tcPr>
          <w:p w:rsidR="00CB0DD7" w:rsidRPr="000A0A5F" w:rsidRDefault="00CB0DD7">
            <w:pPr>
              <w:pStyle w:val="TAH"/>
            </w:pPr>
          </w:p>
          <w:p w:rsidR="00CB0DD7" w:rsidRPr="000A0A5F" w:rsidRDefault="00CB0DD7">
            <w:pPr>
              <w:pStyle w:val="TAH"/>
            </w:pPr>
            <w:r w:rsidRPr="000A0A5F">
              <w:t>Remarks</w:t>
            </w:r>
          </w:p>
        </w:tc>
      </w:tr>
      <w:tr w:rsidR="00CB0DD7" w:rsidRPr="000A0A5F" w:rsidTr="00FF0AF8">
        <w:tc>
          <w:tcPr>
            <w:tcW w:w="0" w:type="auto"/>
            <w:vMerge/>
            <w:vAlign w:val="center"/>
            <w:hideMark/>
          </w:tcPr>
          <w:p w:rsidR="00CB0DD7" w:rsidRPr="000A0A5F" w:rsidRDefault="00CB0DD7">
            <w:pPr>
              <w:spacing w:after="0"/>
              <w:rPr>
                <w:rFonts w:ascii="Arial" w:hAnsi="Arial"/>
                <w:b/>
                <w:sz w:val="18"/>
              </w:rPr>
            </w:pPr>
          </w:p>
        </w:tc>
        <w:tc>
          <w:tcPr>
            <w:tcW w:w="1092" w:type="pct"/>
            <w:hideMark/>
          </w:tcPr>
          <w:p w:rsidR="00CB0DD7" w:rsidRPr="000A0A5F" w:rsidRDefault="00CB0DD7">
            <w:pPr>
              <w:pStyle w:val="TAL"/>
            </w:pPr>
            <w:r w:rsidRPr="000A0A5F">
              <w:t>RacsProvisioningData</w:t>
            </w:r>
          </w:p>
        </w:tc>
        <w:tc>
          <w:tcPr>
            <w:tcW w:w="540" w:type="pct"/>
            <w:hideMark/>
          </w:tcPr>
          <w:p w:rsidR="00CB0DD7" w:rsidRPr="000A0A5F" w:rsidRDefault="00CB0DD7">
            <w:pPr>
              <w:pStyle w:val="TAL"/>
            </w:pPr>
            <w:r w:rsidRPr="000A0A5F">
              <w:t>1</w:t>
            </w:r>
          </w:p>
        </w:tc>
        <w:tc>
          <w:tcPr>
            <w:tcW w:w="504" w:type="pct"/>
            <w:hideMark/>
          </w:tcPr>
          <w:p w:rsidR="00CB0DD7" w:rsidRPr="000A0A5F" w:rsidRDefault="00CB0DD7">
            <w:pPr>
              <w:pStyle w:val="TAL"/>
            </w:pPr>
            <w:r w:rsidRPr="000A0A5F">
              <w:t>200 OK</w:t>
            </w:r>
          </w:p>
        </w:tc>
        <w:tc>
          <w:tcPr>
            <w:tcW w:w="2333" w:type="pct"/>
            <w:hideMark/>
          </w:tcPr>
          <w:p w:rsidR="00CB0DD7" w:rsidRPr="000A0A5F" w:rsidRDefault="00CB0DD7">
            <w:pPr>
              <w:pStyle w:val="TAL"/>
            </w:pPr>
            <w:r w:rsidRPr="000A0A5F">
              <w:t xml:space="preserve">The provisioning information related to the request URI is returned. </w:t>
            </w:r>
          </w:p>
        </w:tc>
      </w:tr>
      <w:tr w:rsidR="00CB0DD7" w:rsidRPr="000A0A5F" w:rsidTr="00FF0AF8">
        <w:tc>
          <w:tcPr>
            <w:tcW w:w="0" w:type="auto"/>
            <w:vMerge/>
            <w:vAlign w:val="center"/>
          </w:tcPr>
          <w:p w:rsidR="00CB0DD7" w:rsidRPr="000A0A5F" w:rsidRDefault="00CB0DD7">
            <w:pPr>
              <w:spacing w:after="0"/>
              <w:rPr>
                <w:rFonts w:ascii="Arial" w:hAnsi="Arial"/>
                <w:b/>
                <w:sz w:val="18"/>
              </w:rPr>
            </w:pPr>
          </w:p>
        </w:tc>
        <w:tc>
          <w:tcPr>
            <w:tcW w:w="1092" w:type="pct"/>
          </w:tcPr>
          <w:p w:rsidR="00CB0DD7" w:rsidRPr="000A0A5F" w:rsidRDefault="00CB0DD7">
            <w:pPr>
              <w:pStyle w:val="TAL"/>
            </w:pPr>
            <w:r w:rsidRPr="000A0A5F">
              <w:t>none</w:t>
            </w:r>
          </w:p>
        </w:tc>
        <w:tc>
          <w:tcPr>
            <w:tcW w:w="540" w:type="pct"/>
          </w:tcPr>
          <w:p w:rsidR="00CB0DD7" w:rsidRPr="000A0A5F" w:rsidRDefault="00CB0DD7">
            <w:pPr>
              <w:pStyle w:val="TAL"/>
            </w:pPr>
          </w:p>
        </w:tc>
        <w:tc>
          <w:tcPr>
            <w:tcW w:w="504" w:type="pct"/>
          </w:tcPr>
          <w:p w:rsidR="00CB0DD7" w:rsidRPr="000A0A5F" w:rsidRDefault="00CB0DD7">
            <w:pPr>
              <w:pStyle w:val="TAL"/>
            </w:pPr>
            <w:r w:rsidRPr="000A0A5F">
              <w:t>307 Temporary Redirect</w:t>
            </w:r>
          </w:p>
        </w:tc>
        <w:tc>
          <w:tcPr>
            <w:tcW w:w="2333" w:type="pct"/>
          </w:tcPr>
          <w:p w:rsidR="00CB0DD7" w:rsidRPr="000A0A5F" w:rsidRDefault="00CB0DD7">
            <w:pPr>
              <w:pStyle w:val="TAL"/>
            </w:pPr>
            <w:r w:rsidRPr="000A0A5F">
              <w:t>Temporary redirection, during resource retrieval. The response shall include a Location header field containing an alternative URI of the resource located in an alternative SCEF.</w:t>
            </w:r>
          </w:p>
          <w:p w:rsidR="00CB0DD7" w:rsidRPr="000A0A5F" w:rsidRDefault="00CB0DD7">
            <w:pPr>
              <w:pStyle w:val="TAL"/>
            </w:pPr>
            <w:r w:rsidRPr="000A0A5F">
              <w:t>Redirection handling is described in clause 5.2.10.</w:t>
            </w:r>
          </w:p>
        </w:tc>
      </w:tr>
      <w:tr w:rsidR="00CB0DD7" w:rsidRPr="000A0A5F" w:rsidTr="00FF0AF8">
        <w:tc>
          <w:tcPr>
            <w:tcW w:w="0" w:type="auto"/>
            <w:vMerge/>
            <w:vAlign w:val="center"/>
          </w:tcPr>
          <w:p w:rsidR="00CB0DD7" w:rsidRPr="000A0A5F" w:rsidRDefault="00CB0DD7">
            <w:pPr>
              <w:spacing w:after="0"/>
              <w:rPr>
                <w:rFonts w:ascii="Arial" w:hAnsi="Arial"/>
                <w:b/>
                <w:sz w:val="18"/>
              </w:rPr>
            </w:pPr>
          </w:p>
        </w:tc>
        <w:tc>
          <w:tcPr>
            <w:tcW w:w="1092" w:type="pct"/>
          </w:tcPr>
          <w:p w:rsidR="00CB0DD7" w:rsidRPr="000A0A5F" w:rsidRDefault="00CB0DD7">
            <w:pPr>
              <w:pStyle w:val="TAL"/>
            </w:pPr>
            <w:r w:rsidRPr="000A0A5F">
              <w:t>none</w:t>
            </w:r>
          </w:p>
        </w:tc>
        <w:tc>
          <w:tcPr>
            <w:tcW w:w="540" w:type="pct"/>
          </w:tcPr>
          <w:p w:rsidR="00CB0DD7" w:rsidRPr="000A0A5F" w:rsidRDefault="00CB0DD7">
            <w:pPr>
              <w:pStyle w:val="TAL"/>
            </w:pPr>
          </w:p>
        </w:tc>
        <w:tc>
          <w:tcPr>
            <w:tcW w:w="504" w:type="pct"/>
          </w:tcPr>
          <w:p w:rsidR="00CB0DD7" w:rsidRPr="000A0A5F" w:rsidRDefault="00CB0DD7">
            <w:pPr>
              <w:pStyle w:val="TAL"/>
            </w:pPr>
            <w:r w:rsidRPr="000A0A5F">
              <w:t>308 Permanent Redirect</w:t>
            </w:r>
          </w:p>
        </w:tc>
        <w:tc>
          <w:tcPr>
            <w:tcW w:w="2333" w:type="pct"/>
          </w:tcPr>
          <w:p w:rsidR="00CB0DD7" w:rsidRPr="000A0A5F" w:rsidRDefault="00CB0DD7">
            <w:pPr>
              <w:pStyle w:val="TAL"/>
            </w:pPr>
            <w:r w:rsidRPr="000A0A5F">
              <w:t>Permanent redirection, during resource retrieval. The response shall include a Location header field containing an alternative URI of the resource located in an alternative SCEF.</w:t>
            </w:r>
          </w:p>
          <w:p w:rsidR="00CB0DD7" w:rsidRPr="000A0A5F" w:rsidRDefault="00CB0DD7">
            <w:pPr>
              <w:pStyle w:val="TAL"/>
            </w:pPr>
            <w:r w:rsidRPr="000A0A5F">
              <w:t>Redirection handling is described in clause 5.2.10.</w:t>
            </w:r>
          </w:p>
        </w:tc>
      </w:tr>
      <w:tr w:rsidR="00CB0DD7" w:rsidRPr="000A0A5F" w:rsidTr="00FF0AF8">
        <w:tc>
          <w:tcPr>
            <w:tcW w:w="5000" w:type="pct"/>
            <w:gridSpan w:val="5"/>
            <w:vAlign w:val="center"/>
            <w:hideMark/>
          </w:tcPr>
          <w:p w:rsidR="00CB0DD7" w:rsidRPr="000A0A5F" w:rsidRDefault="00CB0DD7">
            <w:pPr>
              <w:pStyle w:val="TAN"/>
            </w:pPr>
            <w:r w:rsidRPr="000A0A5F">
              <w:t>NOTE:</w:t>
            </w:r>
            <w:r w:rsidRPr="000A0A5F">
              <w:tab/>
              <w:t>The mandatory HTTP error status codes for the GET method listed in table 5.2.6-1 also apply.</w:t>
            </w:r>
          </w:p>
        </w:tc>
      </w:tr>
    </w:tbl>
    <w:p w:rsidR="00CB0DD7" w:rsidRPr="000A0A5F" w:rsidRDefault="00CB0DD7"/>
    <w:p w:rsidR="00CB0DD7" w:rsidRPr="000A0A5F" w:rsidRDefault="002E466A">
      <w:pPr>
        <w:pStyle w:val="TH"/>
      </w:pPr>
      <w:r w:rsidRPr="000A0A5F">
        <w:t>Table </w:t>
      </w:r>
      <w:r w:rsidR="00CB0DD7" w:rsidRPr="000A0A5F">
        <w:t>5.16.3.3.3.1-3: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2E466A">
      <w:pPr>
        <w:pStyle w:val="TH"/>
      </w:pPr>
      <w:r w:rsidRPr="000A0A5F">
        <w:t>Table </w:t>
      </w:r>
      <w:r w:rsidR="00CB0DD7" w:rsidRPr="000A0A5F">
        <w:t>5.16.3.3.3.1-4: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CB0DD7">
      <w:pPr>
        <w:pStyle w:val="Heading6"/>
      </w:pPr>
      <w:bookmarkStart w:id="10091" w:name="_Toc27045096"/>
      <w:bookmarkStart w:id="10092" w:name="_Toc36034147"/>
      <w:bookmarkStart w:id="10093" w:name="_Toc45132295"/>
      <w:bookmarkStart w:id="10094" w:name="_Toc49776580"/>
      <w:bookmarkStart w:id="10095" w:name="_Toc51747500"/>
      <w:bookmarkStart w:id="10096" w:name="_Toc66361082"/>
      <w:bookmarkStart w:id="10097" w:name="_Toc68105587"/>
      <w:bookmarkStart w:id="10098" w:name="_Toc74756219"/>
      <w:bookmarkStart w:id="10099" w:name="_Toc105675096"/>
      <w:bookmarkStart w:id="10100" w:name="_Toc130503174"/>
      <w:bookmarkStart w:id="10101" w:name="_Toc153625966"/>
      <w:r w:rsidRPr="000A0A5F">
        <w:t>5.16.3.3.3.2</w:t>
      </w:r>
      <w:r w:rsidRPr="000A0A5F">
        <w:tab/>
        <w:t>PATCH</w:t>
      </w:r>
      <w:bookmarkEnd w:id="10091"/>
      <w:bookmarkEnd w:id="10092"/>
      <w:bookmarkEnd w:id="10093"/>
      <w:bookmarkEnd w:id="10094"/>
      <w:bookmarkEnd w:id="10095"/>
      <w:bookmarkEnd w:id="10096"/>
      <w:bookmarkEnd w:id="10097"/>
      <w:bookmarkEnd w:id="10098"/>
      <w:bookmarkEnd w:id="10099"/>
      <w:bookmarkEnd w:id="10100"/>
      <w:bookmarkEnd w:id="10101"/>
    </w:p>
    <w:p w:rsidR="00CB0DD7" w:rsidRPr="000A0A5F" w:rsidRDefault="00CB0DD7">
      <w:pPr>
        <w:rPr>
          <w:noProof/>
          <w:lang w:eastAsia="zh-CN"/>
        </w:rPr>
      </w:pPr>
      <w:r w:rsidRPr="000A0A5F">
        <w:rPr>
          <w:noProof/>
          <w:lang w:eastAsia="zh-CN"/>
        </w:rPr>
        <w:t>The PATCH method shall be used to update some properties in an existing provisioning indicated by the Resource URI as defined in clause 5.16</w:t>
      </w:r>
      <w:r w:rsidRPr="000A0A5F">
        <w:rPr>
          <w:noProof/>
          <w:lang w:val="en-US" w:eastAsia="zh-CN"/>
        </w:rPr>
        <w:t>.3.3.2</w:t>
      </w:r>
      <w:r w:rsidRPr="000A0A5F">
        <w:rPr>
          <w:noProof/>
          <w:lang w:eastAsia="zh-CN"/>
        </w:rPr>
        <w:t>. The SCS/AS shall initiate the HTTP PATCH request message and the SCEF shall respond to the message.</w:t>
      </w:r>
    </w:p>
    <w:p w:rsidR="00CB0DD7" w:rsidRPr="000A0A5F" w:rsidRDefault="00CB0DD7">
      <w:r w:rsidRPr="000A0A5F">
        <w:t>This method shall support the URI query parameters, request and response data structures, and response codes, as specified in the table 5.16.3.3.3.2-1 and table 5.16.3.3.3.2-2.</w:t>
      </w:r>
    </w:p>
    <w:p w:rsidR="00CB0DD7" w:rsidRPr="000A0A5F" w:rsidRDefault="00CB0DD7">
      <w:pPr>
        <w:pStyle w:val="TH"/>
        <w:rPr>
          <w:rFonts w:cs="Arial"/>
        </w:rPr>
      </w:pPr>
      <w:r w:rsidRPr="000A0A5F">
        <w:t xml:space="preserve">Table 5.16.3.3.3.2-1: URI query parameters supported by the PATCH method on this resource </w:t>
      </w:r>
    </w:p>
    <w:tbl>
      <w:tblPr>
        <w:tblW w:w="495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596"/>
        <w:gridCol w:w="1692"/>
        <w:gridCol w:w="1129"/>
        <w:gridCol w:w="5262"/>
      </w:tblGrid>
      <w:tr w:rsidR="00CB0DD7" w:rsidRPr="000A0A5F" w:rsidTr="00FF0AF8">
        <w:trPr>
          <w:jc w:val="center"/>
        </w:trPr>
        <w:tc>
          <w:tcPr>
            <w:tcW w:w="825" w:type="pct"/>
            <w:shd w:val="clear" w:color="000000" w:fill="C0C0C0"/>
            <w:hideMark/>
          </w:tcPr>
          <w:p w:rsidR="00CB0DD7" w:rsidRPr="000A0A5F" w:rsidRDefault="00CB0DD7">
            <w:pPr>
              <w:pStyle w:val="TAH"/>
            </w:pPr>
            <w:r w:rsidRPr="000A0A5F">
              <w:t>Name</w:t>
            </w:r>
          </w:p>
        </w:tc>
        <w:tc>
          <w:tcPr>
            <w:tcW w:w="874" w:type="pct"/>
            <w:shd w:val="clear" w:color="000000" w:fill="C0C0C0"/>
            <w:hideMark/>
          </w:tcPr>
          <w:p w:rsidR="00CB0DD7" w:rsidRPr="000A0A5F" w:rsidRDefault="00CB0DD7">
            <w:pPr>
              <w:pStyle w:val="TAH"/>
            </w:pPr>
            <w:r w:rsidRPr="000A0A5F">
              <w:t>Data type</w:t>
            </w:r>
          </w:p>
        </w:tc>
        <w:tc>
          <w:tcPr>
            <w:tcW w:w="583" w:type="pct"/>
            <w:shd w:val="clear" w:color="000000" w:fill="C0C0C0"/>
            <w:hideMark/>
          </w:tcPr>
          <w:p w:rsidR="00CB0DD7" w:rsidRPr="000A0A5F" w:rsidRDefault="00CB0DD7">
            <w:pPr>
              <w:pStyle w:val="TAH"/>
            </w:pPr>
            <w:r w:rsidRPr="000A0A5F">
              <w:t>Cardinality</w:t>
            </w:r>
          </w:p>
        </w:tc>
        <w:tc>
          <w:tcPr>
            <w:tcW w:w="2718" w:type="pct"/>
            <w:shd w:val="clear" w:color="000000" w:fill="C0C0C0"/>
            <w:vAlign w:val="center"/>
            <w:hideMark/>
          </w:tcPr>
          <w:p w:rsidR="00CB0DD7" w:rsidRPr="000A0A5F" w:rsidRDefault="00CB0DD7">
            <w:pPr>
              <w:pStyle w:val="TAH"/>
            </w:pPr>
            <w:r w:rsidRPr="000A0A5F">
              <w:t>Remarks</w:t>
            </w:r>
          </w:p>
        </w:tc>
      </w:tr>
      <w:tr w:rsidR="00CB0DD7" w:rsidRPr="000A0A5F" w:rsidTr="00FF0AF8">
        <w:trPr>
          <w:jc w:val="center"/>
        </w:trPr>
        <w:tc>
          <w:tcPr>
            <w:tcW w:w="825" w:type="pct"/>
            <w:hideMark/>
          </w:tcPr>
          <w:p w:rsidR="00CB0DD7" w:rsidRPr="000A0A5F" w:rsidRDefault="00CB0DD7">
            <w:pPr>
              <w:pStyle w:val="TAL"/>
            </w:pPr>
            <w:r w:rsidRPr="000A0A5F">
              <w:t>none specified</w:t>
            </w:r>
          </w:p>
        </w:tc>
        <w:tc>
          <w:tcPr>
            <w:tcW w:w="874" w:type="pct"/>
          </w:tcPr>
          <w:p w:rsidR="00CB0DD7" w:rsidRPr="000A0A5F" w:rsidRDefault="00CB0DD7">
            <w:pPr>
              <w:pStyle w:val="TAL"/>
            </w:pPr>
          </w:p>
        </w:tc>
        <w:tc>
          <w:tcPr>
            <w:tcW w:w="583" w:type="pct"/>
          </w:tcPr>
          <w:p w:rsidR="00CB0DD7" w:rsidRPr="000A0A5F" w:rsidRDefault="00CB0DD7">
            <w:pPr>
              <w:pStyle w:val="TAL"/>
            </w:pPr>
          </w:p>
        </w:tc>
        <w:tc>
          <w:tcPr>
            <w:tcW w:w="2718" w:type="pct"/>
            <w:vAlign w:val="center"/>
          </w:tcPr>
          <w:p w:rsidR="00CB0DD7" w:rsidRPr="000A0A5F" w:rsidRDefault="00CB0DD7">
            <w:pPr>
              <w:pStyle w:val="TAL"/>
            </w:pPr>
          </w:p>
        </w:tc>
      </w:tr>
    </w:tbl>
    <w:p w:rsidR="00CB0DD7" w:rsidRPr="000A0A5F" w:rsidRDefault="00CB0DD7"/>
    <w:p w:rsidR="00CB0DD7" w:rsidRPr="000A0A5F" w:rsidRDefault="00CB0DD7">
      <w:pPr>
        <w:pStyle w:val="TH"/>
        <w:spacing w:before="120"/>
      </w:pPr>
      <w:r w:rsidRPr="000A0A5F">
        <w:t>Table 5.16.3.3.3.2-2: Data structures supported by the PATCH request/response by the resource</w:t>
      </w:r>
    </w:p>
    <w:tbl>
      <w:tblPr>
        <w:tblW w:w="4950" w:type="pct"/>
        <w:tblInd w:w="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5" w:type="dxa"/>
          <w:left w:w="45" w:type="dxa"/>
          <w:bottom w:w="45" w:type="dxa"/>
          <w:right w:w="45" w:type="dxa"/>
        </w:tblCellMar>
        <w:tblLook w:val="04A0" w:firstRow="1" w:lastRow="0" w:firstColumn="1" w:lastColumn="0" w:noHBand="0" w:noVBand="1"/>
      </w:tblPr>
      <w:tblGrid>
        <w:gridCol w:w="964"/>
        <w:gridCol w:w="2322"/>
        <w:gridCol w:w="1021"/>
        <w:gridCol w:w="971"/>
        <w:gridCol w:w="4356"/>
      </w:tblGrid>
      <w:tr w:rsidR="00CB0DD7" w:rsidRPr="000A0A5F" w:rsidTr="00F040BC">
        <w:tc>
          <w:tcPr>
            <w:tcW w:w="500" w:type="pct"/>
            <w:vMerge w:val="restart"/>
            <w:shd w:val="clear" w:color="auto" w:fill="C0C0C0"/>
            <w:vAlign w:val="center"/>
            <w:hideMark/>
          </w:tcPr>
          <w:p w:rsidR="00CB0DD7" w:rsidRPr="000A0A5F" w:rsidRDefault="00CB0DD7">
            <w:pPr>
              <w:pStyle w:val="TAH"/>
            </w:pPr>
            <w:r w:rsidRPr="000A0A5F">
              <w:t>Request body</w:t>
            </w:r>
          </w:p>
        </w:tc>
        <w:tc>
          <w:tcPr>
            <w:tcW w:w="1205" w:type="pct"/>
            <w:shd w:val="clear" w:color="auto" w:fill="C0C0C0"/>
            <w:hideMark/>
          </w:tcPr>
          <w:p w:rsidR="00CB0DD7" w:rsidRPr="000A0A5F" w:rsidRDefault="00CB0DD7">
            <w:pPr>
              <w:pStyle w:val="TAH"/>
            </w:pPr>
            <w:r w:rsidRPr="000A0A5F">
              <w:t>Data type</w:t>
            </w:r>
          </w:p>
        </w:tc>
        <w:tc>
          <w:tcPr>
            <w:tcW w:w="530" w:type="pct"/>
            <w:shd w:val="clear" w:color="auto" w:fill="C0C0C0"/>
            <w:hideMark/>
          </w:tcPr>
          <w:p w:rsidR="00CB0DD7" w:rsidRPr="000A0A5F" w:rsidRDefault="00CB0DD7">
            <w:pPr>
              <w:pStyle w:val="TAH"/>
            </w:pPr>
            <w:r w:rsidRPr="000A0A5F">
              <w:t>Cardinality</w:t>
            </w:r>
          </w:p>
        </w:tc>
        <w:tc>
          <w:tcPr>
            <w:tcW w:w="2765" w:type="pct"/>
            <w:gridSpan w:val="2"/>
            <w:shd w:val="clear" w:color="auto" w:fill="C0C0C0"/>
            <w:hideMark/>
          </w:tcPr>
          <w:p w:rsidR="00CB0DD7" w:rsidRPr="000A0A5F" w:rsidRDefault="00CB0DD7">
            <w:pPr>
              <w:pStyle w:val="TAH"/>
            </w:pPr>
            <w:r w:rsidRPr="000A0A5F">
              <w:t>Remarks</w:t>
            </w:r>
          </w:p>
        </w:tc>
      </w:tr>
      <w:tr w:rsidR="00CB0DD7" w:rsidRPr="000A0A5F" w:rsidTr="00FF0AF8">
        <w:tc>
          <w:tcPr>
            <w:tcW w:w="0" w:type="auto"/>
            <w:vMerge/>
            <w:vAlign w:val="center"/>
            <w:hideMark/>
          </w:tcPr>
          <w:p w:rsidR="00CB0DD7" w:rsidRPr="000A0A5F" w:rsidRDefault="00CB0DD7">
            <w:pPr>
              <w:spacing w:after="0"/>
              <w:rPr>
                <w:rFonts w:ascii="Arial" w:hAnsi="Arial"/>
                <w:b/>
                <w:sz w:val="18"/>
              </w:rPr>
            </w:pPr>
          </w:p>
        </w:tc>
        <w:tc>
          <w:tcPr>
            <w:tcW w:w="1205" w:type="pct"/>
            <w:hideMark/>
          </w:tcPr>
          <w:p w:rsidR="00CB0DD7" w:rsidRPr="000A0A5F" w:rsidRDefault="00CB0DD7">
            <w:pPr>
              <w:pStyle w:val="TAL"/>
            </w:pPr>
            <w:r w:rsidRPr="000A0A5F">
              <w:t>RacsProvisioningDataPatch</w:t>
            </w:r>
          </w:p>
        </w:tc>
        <w:tc>
          <w:tcPr>
            <w:tcW w:w="530" w:type="pct"/>
            <w:hideMark/>
          </w:tcPr>
          <w:p w:rsidR="00CB0DD7" w:rsidRPr="000A0A5F" w:rsidRDefault="00CB0DD7">
            <w:pPr>
              <w:pStyle w:val="TAL"/>
            </w:pPr>
            <w:r w:rsidRPr="000A0A5F">
              <w:t>1</w:t>
            </w:r>
          </w:p>
        </w:tc>
        <w:tc>
          <w:tcPr>
            <w:tcW w:w="2765" w:type="pct"/>
            <w:gridSpan w:val="2"/>
            <w:hideMark/>
          </w:tcPr>
          <w:p w:rsidR="00CB0DD7" w:rsidRPr="000A0A5F" w:rsidRDefault="00CB0DD7">
            <w:pPr>
              <w:pStyle w:val="TAL"/>
            </w:pPr>
            <w:r w:rsidRPr="000A0A5F">
              <w:t>Partial update an existing parameter provisioning.</w:t>
            </w:r>
          </w:p>
        </w:tc>
      </w:tr>
      <w:tr w:rsidR="00CB0DD7" w:rsidRPr="000A0A5F" w:rsidTr="00F040BC">
        <w:tc>
          <w:tcPr>
            <w:tcW w:w="500" w:type="pct"/>
            <w:vMerge w:val="restart"/>
            <w:shd w:val="clear" w:color="auto" w:fill="C0C0C0"/>
            <w:vAlign w:val="center"/>
            <w:hideMark/>
          </w:tcPr>
          <w:p w:rsidR="00CB0DD7" w:rsidRPr="000A0A5F" w:rsidRDefault="00CB0DD7">
            <w:pPr>
              <w:pStyle w:val="TAH"/>
            </w:pPr>
            <w:r w:rsidRPr="000A0A5F">
              <w:t>Response body</w:t>
            </w:r>
          </w:p>
        </w:tc>
        <w:tc>
          <w:tcPr>
            <w:tcW w:w="1205" w:type="pct"/>
            <w:shd w:val="clear" w:color="auto" w:fill="C0C0C0"/>
          </w:tcPr>
          <w:p w:rsidR="00CB0DD7" w:rsidRPr="000A0A5F" w:rsidRDefault="00CB0DD7">
            <w:pPr>
              <w:pStyle w:val="TAH"/>
            </w:pPr>
          </w:p>
          <w:p w:rsidR="00CB0DD7" w:rsidRPr="000A0A5F" w:rsidRDefault="00CB0DD7">
            <w:pPr>
              <w:pStyle w:val="TAH"/>
            </w:pPr>
            <w:r w:rsidRPr="000A0A5F">
              <w:t>Data type</w:t>
            </w:r>
          </w:p>
        </w:tc>
        <w:tc>
          <w:tcPr>
            <w:tcW w:w="530" w:type="pct"/>
            <w:shd w:val="clear" w:color="auto" w:fill="C0C0C0"/>
          </w:tcPr>
          <w:p w:rsidR="00CB0DD7" w:rsidRPr="000A0A5F" w:rsidRDefault="00CB0DD7">
            <w:pPr>
              <w:pStyle w:val="TAH"/>
            </w:pPr>
          </w:p>
          <w:p w:rsidR="00CB0DD7" w:rsidRPr="000A0A5F" w:rsidRDefault="00CB0DD7">
            <w:pPr>
              <w:pStyle w:val="TAH"/>
            </w:pPr>
            <w:r w:rsidRPr="000A0A5F">
              <w:t>Cardinality</w:t>
            </w:r>
          </w:p>
        </w:tc>
        <w:tc>
          <w:tcPr>
            <w:tcW w:w="504" w:type="pct"/>
            <w:shd w:val="clear" w:color="auto" w:fill="C0C0C0"/>
            <w:hideMark/>
          </w:tcPr>
          <w:p w:rsidR="00CB0DD7" w:rsidRPr="000A0A5F" w:rsidRDefault="00CB0DD7">
            <w:pPr>
              <w:pStyle w:val="TAH"/>
            </w:pPr>
            <w:r w:rsidRPr="000A0A5F">
              <w:t>Response</w:t>
            </w:r>
          </w:p>
          <w:p w:rsidR="00CB0DD7" w:rsidRPr="000A0A5F" w:rsidRDefault="00CB0DD7">
            <w:pPr>
              <w:pStyle w:val="TAH"/>
            </w:pPr>
            <w:r w:rsidRPr="000A0A5F">
              <w:t>codes</w:t>
            </w:r>
          </w:p>
        </w:tc>
        <w:tc>
          <w:tcPr>
            <w:tcW w:w="2261" w:type="pct"/>
            <w:shd w:val="clear" w:color="auto" w:fill="C0C0C0"/>
          </w:tcPr>
          <w:p w:rsidR="00CB0DD7" w:rsidRPr="000A0A5F" w:rsidRDefault="00CB0DD7">
            <w:pPr>
              <w:pStyle w:val="TAH"/>
            </w:pPr>
          </w:p>
          <w:p w:rsidR="00CB0DD7" w:rsidRPr="000A0A5F" w:rsidRDefault="00CB0DD7">
            <w:pPr>
              <w:pStyle w:val="TAH"/>
            </w:pPr>
            <w:r w:rsidRPr="000A0A5F">
              <w:t>Remarks</w:t>
            </w:r>
          </w:p>
        </w:tc>
      </w:tr>
      <w:tr w:rsidR="00CB0DD7" w:rsidRPr="000A0A5F" w:rsidTr="00FF0AF8">
        <w:tc>
          <w:tcPr>
            <w:tcW w:w="0" w:type="auto"/>
            <w:vMerge/>
            <w:vAlign w:val="center"/>
            <w:hideMark/>
          </w:tcPr>
          <w:p w:rsidR="00CB0DD7" w:rsidRPr="000A0A5F" w:rsidRDefault="00CB0DD7">
            <w:pPr>
              <w:spacing w:after="0"/>
              <w:rPr>
                <w:rFonts w:ascii="Arial" w:hAnsi="Arial"/>
                <w:b/>
                <w:sz w:val="18"/>
              </w:rPr>
            </w:pPr>
          </w:p>
        </w:tc>
        <w:tc>
          <w:tcPr>
            <w:tcW w:w="1205" w:type="pct"/>
            <w:hideMark/>
          </w:tcPr>
          <w:p w:rsidR="00CB0DD7" w:rsidRPr="000A0A5F" w:rsidRDefault="00CB0DD7">
            <w:pPr>
              <w:pStyle w:val="TAL"/>
            </w:pPr>
            <w:r w:rsidRPr="000A0A5F">
              <w:t>RacsProvisioningData</w:t>
            </w:r>
          </w:p>
        </w:tc>
        <w:tc>
          <w:tcPr>
            <w:tcW w:w="530" w:type="pct"/>
            <w:hideMark/>
          </w:tcPr>
          <w:p w:rsidR="00CB0DD7" w:rsidRPr="000A0A5F" w:rsidRDefault="00CB0DD7">
            <w:pPr>
              <w:pStyle w:val="TAL"/>
            </w:pPr>
            <w:r w:rsidRPr="000A0A5F">
              <w:t>1</w:t>
            </w:r>
          </w:p>
        </w:tc>
        <w:tc>
          <w:tcPr>
            <w:tcW w:w="504" w:type="pct"/>
            <w:hideMark/>
          </w:tcPr>
          <w:p w:rsidR="00CB0DD7" w:rsidRPr="000A0A5F" w:rsidRDefault="00CB0DD7">
            <w:pPr>
              <w:pStyle w:val="TAL"/>
              <w:rPr>
                <w:lang w:eastAsia="zh-CN"/>
              </w:rPr>
            </w:pPr>
            <w:r w:rsidRPr="000A0A5F">
              <w:rPr>
                <w:lang w:eastAsia="zh-CN"/>
              </w:rPr>
              <w:t>200 OK</w:t>
            </w:r>
          </w:p>
        </w:tc>
        <w:tc>
          <w:tcPr>
            <w:tcW w:w="2261" w:type="pct"/>
            <w:hideMark/>
          </w:tcPr>
          <w:p w:rsidR="00CB0DD7" w:rsidRPr="000A0A5F" w:rsidRDefault="00CB0DD7">
            <w:pPr>
              <w:pStyle w:val="TAL"/>
              <w:spacing w:afterLines="50" w:after="120"/>
            </w:pPr>
            <w:r w:rsidRPr="000A0A5F">
              <w:t xml:space="preserve">The provisioning data was updated successfully. </w:t>
            </w:r>
          </w:p>
          <w:p w:rsidR="00CB0DD7" w:rsidRPr="000A0A5F" w:rsidRDefault="00CB0DD7">
            <w:pPr>
              <w:pStyle w:val="TAL"/>
            </w:pPr>
            <w:r w:rsidRPr="000A0A5F">
              <w:t xml:space="preserve">The SCEF </w:t>
            </w:r>
            <w:r w:rsidRPr="000A0A5F">
              <w:rPr>
                <w:lang w:eastAsia="zh-CN"/>
              </w:rPr>
              <w:t>shall</w:t>
            </w:r>
            <w:r w:rsidRPr="000A0A5F">
              <w:t xml:space="preserve"> return an updated provisioning information in the response.</w:t>
            </w:r>
          </w:p>
        </w:tc>
      </w:tr>
      <w:tr w:rsidR="00CB0DD7" w:rsidRPr="000A0A5F" w:rsidTr="00FF0AF8">
        <w:tc>
          <w:tcPr>
            <w:tcW w:w="0" w:type="auto"/>
            <w:vMerge/>
            <w:vAlign w:val="center"/>
          </w:tcPr>
          <w:p w:rsidR="00CB0DD7" w:rsidRPr="000A0A5F" w:rsidRDefault="00CB0DD7">
            <w:pPr>
              <w:spacing w:after="0"/>
              <w:rPr>
                <w:rFonts w:ascii="Arial" w:hAnsi="Arial"/>
                <w:b/>
                <w:sz w:val="18"/>
              </w:rPr>
            </w:pPr>
          </w:p>
        </w:tc>
        <w:tc>
          <w:tcPr>
            <w:tcW w:w="1205" w:type="pct"/>
          </w:tcPr>
          <w:p w:rsidR="00CB0DD7" w:rsidRPr="000A0A5F" w:rsidRDefault="00CB0DD7">
            <w:pPr>
              <w:pStyle w:val="TAL"/>
            </w:pPr>
            <w:r w:rsidRPr="000A0A5F">
              <w:t>none</w:t>
            </w:r>
          </w:p>
        </w:tc>
        <w:tc>
          <w:tcPr>
            <w:tcW w:w="530" w:type="pct"/>
          </w:tcPr>
          <w:p w:rsidR="00CB0DD7" w:rsidRPr="000A0A5F" w:rsidRDefault="00CB0DD7">
            <w:pPr>
              <w:pStyle w:val="TAL"/>
            </w:pPr>
          </w:p>
        </w:tc>
        <w:tc>
          <w:tcPr>
            <w:tcW w:w="504" w:type="pct"/>
          </w:tcPr>
          <w:p w:rsidR="00CB0DD7" w:rsidRPr="000A0A5F" w:rsidRDefault="00CB0DD7">
            <w:pPr>
              <w:pStyle w:val="TAL"/>
              <w:rPr>
                <w:lang w:eastAsia="zh-CN"/>
              </w:rPr>
            </w:pPr>
            <w:r w:rsidRPr="000A0A5F">
              <w:rPr>
                <w:lang w:eastAsia="zh-CN"/>
              </w:rPr>
              <w:t>204 No Content</w:t>
            </w:r>
          </w:p>
        </w:tc>
        <w:tc>
          <w:tcPr>
            <w:tcW w:w="2261" w:type="pct"/>
          </w:tcPr>
          <w:p w:rsidR="00CB0DD7" w:rsidRPr="000A0A5F" w:rsidRDefault="00CB0DD7">
            <w:pPr>
              <w:pStyle w:val="TAL"/>
              <w:spacing w:afterLines="50" w:after="120"/>
            </w:pPr>
            <w:r w:rsidRPr="000A0A5F">
              <w:t>The provisioning data was updated successfully, and no content is to be sent in the response message body.</w:t>
            </w:r>
          </w:p>
        </w:tc>
      </w:tr>
      <w:tr w:rsidR="00CB0DD7" w:rsidRPr="000A0A5F" w:rsidTr="00FF0AF8">
        <w:trPr>
          <w:trHeight w:val="503"/>
        </w:trPr>
        <w:tc>
          <w:tcPr>
            <w:tcW w:w="0" w:type="auto"/>
            <w:vMerge/>
            <w:vAlign w:val="center"/>
            <w:hideMark/>
          </w:tcPr>
          <w:p w:rsidR="00CB0DD7" w:rsidRPr="000A0A5F" w:rsidRDefault="00CB0DD7">
            <w:pPr>
              <w:spacing w:after="0"/>
              <w:rPr>
                <w:rFonts w:ascii="Arial" w:hAnsi="Arial"/>
                <w:b/>
                <w:sz w:val="18"/>
              </w:rPr>
            </w:pPr>
          </w:p>
        </w:tc>
        <w:tc>
          <w:tcPr>
            <w:tcW w:w="1205" w:type="pct"/>
            <w:hideMark/>
          </w:tcPr>
          <w:p w:rsidR="00CB0DD7" w:rsidRPr="000A0A5F" w:rsidRDefault="00CB0DD7">
            <w:pPr>
              <w:pStyle w:val="TAL"/>
            </w:pPr>
            <w:r w:rsidRPr="000A0A5F">
              <w:rPr>
                <w:lang w:eastAsia="zh-CN"/>
              </w:rPr>
              <w:t>array(RacsFailureReport)</w:t>
            </w:r>
          </w:p>
        </w:tc>
        <w:tc>
          <w:tcPr>
            <w:tcW w:w="530" w:type="pct"/>
            <w:hideMark/>
          </w:tcPr>
          <w:p w:rsidR="00CB0DD7" w:rsidRPr="000A0A5F" w:rsidRDefault="00CB0DD7">
            <w:pPr>
              <w:pStyle w:val="TAL"/>
            </w:pPr>
            <w:r w:rsidRPr="000A0A5F">
              <w:t>1..N</w:t>
            </w:r>
          </w:p>
        </w:tc>
        <w:tc>
          <w:tcPr>
            <w:tcW w:w="504" w:type="pct"/>
            <w:hideMark/>
          </w:tcPr>
          <w:p w:rsidR="00CB0DD7" w:rsidRPr="000A0A5F" w:rsidRDefault="00CB0DD7">
            <w:pPr>
              <w:pStyle w:val="TAL"/>
              <w:rPr>
                <w:lang w:eastAsia="zh-CN"/>
              </w:rPr>
            </w:pPr>
            <w:r w:rsidRPr="000A0A5F">
              <w:t>500 Internal Server Error</w:t>
            </w:r>
          </w:p>
        </w:tc>
        <w:tc>
          <w:tcPr>
            <w:tcW w:w="2261" w:type="pct"/>
            <w:hideMark/>
          </w:tcPr>
          <w:p w:rsidR="00CB0DD7" w:rsidRPr="000A0A5F" w:rsidRDefault="00CB0DD7">
            <w:pPr>
              <w:pStyle w:val="TAL"/>
              <w:spacing w:afterLines="50" w:after="120"/>
            </w:pPr>
            <w:r w:rsidRPr="000A0A5F">
              <w:t>The RACS data for all RACS IDs were not provisioned successfully.</w:t>
            </w:r>
          </w:p>
        </w:tc>
      </w:tr>
      <w:tr w:rsidR="00CB0DD7" w:rsidRPr="000A0A5F" w:rsidTr="00FF0AF8">
        <w:trPr>
          <w:trHeight w:val="503"/>
        </w:trPr>
        <w:tc>
          <w:tcPr>
            <w:tcW w:w="0" w:type="auto"/>
            <w:vMerge/>
            <w:vAlign w:val="center"/>
          </w:tcPr>
          <w:p w:rsidR="00CB0DD7" w:rsidRPr="000A0A5F" w:rsidRDefault="00CB0DD7">
            <w:pPr>
              <w:spacing w:after="0"/>
              <w:rPr>
                <w:rFonts w:ascii="Arial" w:hAnsi="Arial"/>
                <w:b/>
                <w:sz w:val="18"/>
              </w:rPr>
            </w:pPr>
          </w:p>
        </w:tc>
        <w:tc>
          <w:tcPr>
            <w:tcW w:w="1205" w:type="pct"/>
          </w:tcPr>
          <w:p w:rsidR="00CB0DD7" w:rsidRPr="000A0A5F" w:rsidRDefault="00CB0DD7">
            <w:pPr>
              <w:pStyle w:val="TAL"/>
              <w:rPr>
                <w:lang w:eastAsia="zh-CN"/>
              </w:rPr>
            </w:pPr>
            <w:r w:rsidRPr="000A0A5F">
              <w:t>none</w:t>
            </w:r>
          </w:p>
        </w:tc>
        <w:tc>
          <w:tcPr>
            <w:tcW w:w="530" w:type="pct"/>
          </w:tcPr>
          <w:p w:rsidR="00CB0DD7" w:rsidRPr="000A0A5F" w:rsidRDefault="00CB0DD7">
            <w:pPr>
              <w:pStyle w:val="TAL"/>
            </w:pPr>
          </w:p>
        </w:tc>
        <w:tc>
          <w:tcPr>
            <w:tcW w:w="504" w:type="pct"/>
          </w:tcPr>
          <w:p w:rsidR="00CB0DD7" w:rsidRPr="000A0A5F" w:rsidRDefault="00CB0DD7">
            <w:pPr>
              <w:pStyle w:val="TAL"/>
            </w:pPr>
            <w:r w:rsidRPr="000A0A5F">
              <w:t>307 Temporary Redirect</w:t>
            </w:r>
          </w:p>
        </w:tc>
        <w:tc>
          <w:tcPr>
            <w:tcW w:w="2261" w:type="pct"/>
          </w:tcPr>
          <w:p w:rsidR="00CB0DD7" w:rsidRPr="000A0A5F" w:rsidRDefault="00CB0DD7">
            <w:pPr>
              <w:pStyle w:val="TAL"/>
            </w:pPr>
            <w:r w:rsidRPr="000A0A5F">
              <w:t>Temporary redirection, during resource modification. The response shall include a Location header field containing an alternative URI of the resource located in an alternative SCEF.</w:t>
            </w:r>
          </w:p>
          <w:p w:rsidR="00CB0DD7" w:rsidRPr="000A0A5F" w:rsidRDefault="00CB0DD7">
            <w:pPr>
              <w:pStyle w:val="TAL"/>
              <w:spacing w:afterLines="50" w:after="120"/>
            </w:pPr>
            <w:r w:rsidRPr="000A0A5F">
              <w:t>Redirection handling is described in clause 5.2.10.</w:t>
            </w:r>
          </w:p>
        </w:tc>
      </w:tr>
      <w:tr w:rsidR="00CB0DD7" w:rsidRPr="000A0A5F" w:rsidTr="00FF0AF8">
        <w:trPr>
          <w:trHeight w:val="503"/>
        </w:trPr>
        <w:tc>
          <w:tcPr>
            <w:tcW w:w="0" w:type="auto"/>
            <w:vMerge/>
            <w:vAlign w:val="center"/>
          </w:tcPr>
          <w:p w:rsidR="00CB0DD7" w:rsidRPr="000A0A5F" w:rsidRDefault="00CB0DD7">
            <w:pPr>
              <w:spacing w:after="0"/>
              <w:rPr>
                <w:rFonts w:ascii="Arial" w:hAnsi="Arial"/>
                <w:b/>
                <w:sz w:val="18"/>
              </w:rPr>
            </w:pPr>
          </w:p>
        </w:tc>
        <w:tc>
          <w:tcPr>
            <w:tcW w:w="1205" w:type="pct"/>
          </w:tcPr>
          <w:p w:rsidR="00CB0DD7" w:rsidRPr="000A0A5F" w:rsidRDefault="00CB0DD7">
            <w:pPr>
              <w:pStyle w:val="TAL"/>
              <w:rPr>
                <w:lang w:eastAsia="zh-CN"/>
              </w:rPr>
            </w:pPr>
            <w:r w:rsidRPr="000A0A5F">
              <w:t>none</w:t>
            </w:r>
          </w:p>
        </w:tc>
        <w:tc>
          <w:tcPr>
            <w:tcW w:w="530" w:type="pct"/>
          </w:tcPr>
          <w:p w:rsidR="00CB0DD7" w:rsidRPr="000A0A5F" w:rsidRDefault="00CB0DD7">
            <w:pPr>
              <w:pStyle w:val="TAL"/>
            </w:pPr>
          </w:p>
        </w:tc>
        <w:tc>
          <w:tcPr>
            <w:tcW w:w="504" w:type="pct"/>
          </w:tcPr>
          <w:p w:rsidR="00CB0DD7" w:rsidRPr="000A0A5F" w:rsidRDefault="00CB0DD7">
            <w:pPr>
              <w:pStyle w:val="TAL"/>
            </w:pPr>
            <w:r w:rsidRPr="000A0A5F">
              <w:t>308 Permanent Redirect</w:t>
            </w:r>
          </w:p>
        </w:tc>
        <w:tc>
          <w:tcPr>
            <w:tcW w:w="2261" w:type="pct"/>
          </w:tcPr>
          <w:p w:rsidR="00CB0DD7" w:rsidRPr="000A0A5F" w:rsidRDefault="00CB0DD7">
            <w:pPr>
              <w:pStyle w:val="TAL"/>
            </w:pPr>
            <w:r w:rsidRPr="000A0A5F">
              <w:t>Permanent redirection, during resource modification. The response shall include a Location header field containing an alternative URI of the resource located in an alternative SCEF.</w:t>
            </w:r>
          </w:p>
          <w:p w:rsidR="00CB0DD7" w:rsidRPr="000A0A5F" w:rsidRDefault="00CB0DD7">
            <w:pPr>
              <w:pStyle w:val="TAL"/>
              <w:spacing w:afterLines="50" w:after="120"/>
            </w:pPr>
            <w:r w:rsidRPr="000A0A5F">
              <w:t>Redirection handling is described in clause 5.2.10.</w:t>
            </w:r>
          </w:p>
        </w:tc>
      </w:tr>
      <w:tr w:rsidR="00CB0DD7" w:rsidRPr="000A0A5F" w:rsidTr="00FF0AF8">
        <w:tc>
          <w:tcPr>
            <w:tcW w:w="5000" w:type="pct"/>
            <w:gridSpan w:val="5"/>
            <w:vAlign w:val="center"/>
            <w:hideMark/>
          </w:tcPr>
          <w:p w:rsidR="00CB0DD7" w:rsidRPr="000A0A5F" w:rsidRDefault="00CB0DD7">
            <w:pPr>
              <w:pStyle w:val="TAN"/>
            </w:pPr>
            <w:r w:rsidRPr="000A0A5F">
              <w:t>NOTE:</w:t>
            </w:r>
            <w:r w:rsidRPr="000A0A5F">
              <w:tab/>
              <w:t>The mandatory HTTP error status codes for the PATCH method listed in table 5.2.6-1 also apply.</w:t>
            </w:r>
          </w:p>
        </w:tc>
      </w:tr>
    </w:tbl>
    <w:p w:rsidR="00CB0DD7" w:rsidRPr="000A0A5F" w:rsidRDefault="00CB0DD7"/>
    <w:p w:rsidR="00CB0DD7" w:rsidRPr="000A0A5F" w:rsidRDefault="002E466A">
      <w:pPr>
        <w:pStyle w:val="TH"/>
      </w:pPr>
      <w:r w:rsidRPr="000A0A5F">
        <w:t>Table </w:t>
      </w:r>
      <w:r w:rsidR="00CB0DD7" w:rsidRPr="000A0A5F">
        <w:t>5.16.3.3.3.2-3: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2E466A">
      <w:pPr>
        <w:pStyle w:val="TH"/>
      </w:pPr>
      <w:r w:rsidRPr="000A0A5F">
        <w:t>Table </w:t>
      </w:r>
      <w:r w:rsidR="00CB0DD7" w:rsidRPr="000A0A5F">
        <w:t>5.16.3.3.3.2-4: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CB0DD7">
      <w:pPr>
        <w:pStyle w:val="Heading6"/>
      </w:pPr>
      <w:bookmarkStart w:id="10102" w:name="_Toc27045097"/>
      <w:bookmarkStart w:id="10103" w:name="_Toc36034148"/>
      <w:bookmarkStart w:id="10104" w:name="_Toc45132296"/>
      <w:bookmarkStart w:id="10105" w:name="_Toc49776581"/>
      <w:bookmarkStart w:id="10106" w:name="_Toc51747501"/>
      <w:bookmarkStart w:id="10107" w:name="_Toc66361083"/>
      <w:bookmarkStart w:id="10108" w:name="_Toc68105588"/>
      <w:bookmarkStart w:id="10109" w:name="_Toc74756220"/>
      <w:bookmarkStart w:id="10110" w:name="_Toc105675097"/>
      <w:bookmarkStart w:id="10111" w:name="_Toc130503175"/>
      <w:bookmarkStart w:id="10112" w:name="_Toc153625967"/>
      <w:r w:rsidRPr="000A0A5F">
        <w:t>5.16.3.3.3.3</w:t>
      </w:r>
      <w:r w:rsidRPr="000A0A5F">
        <w:tab/>
        <w:t>PUT</w:t>
      </w:r>
      <w:bookmarkEnd w:id="10102"/>
      <w:bookmarkEnd w:id="10103"/>
      <w:bookmarkEnd w:id="10104"/>
      <w:bookmarkEnd w:id="10105"/>
      <w:bookmarkEnd w:id="10106"/>
      <w:bookmarkEnd w:id="10107"/>
      <w:bookmarkEnd w:id="10108"/>
      <w:bookmarkEnd w:id="10109"/>
      <w:bookmarkEnd w:id="10110"/>
      <w:bookmarkEnd w:id="10111"/>
      <w:bookmarkEnd w:id="10112"/>
    </w:p>
    <w:p w:rsidR="00CB0DD7" w:rsidRPr="000A0A5F" w:rsidRDefault="00CB0DD7">
      <w:pPr>
        <w:rPr>
          <w:noProof/>
          <w:lang w:eastAsia="zh-CN"/>
        </w:rPr>
      </w:pPr>
      <w:r w:rsidRPr="000A0A5F">
        <w:rPr>
          <w:noProof/>
          <w:lang w:eastAsia="zh-CN"/>
        </w:rPr>
        <w:t>The PUT method shall be used to update all properties in an existing provisioning indicated by the Resource URI as defined in clause 5.16</w:t>
      </w:r>
      <w:r w:rsidRPr="000A0A5F">
        <w:rPr>
          <w:noProof/>
          <w:lang w:val="en-US" w:eastAsia="zh-CN"/>
        </w:rPr>
        <w:t>.3.3.2</w:t>
      </w:r>
      <w:r w:rsidRPr="000A0A5F">
        <w:rPr>
          <w:noProof/>
          <w:lang w:eastAsia="zh-CN"/>
        </w:rPr>
        <w:t>. The SCS/AS shall initiate the HTTP PUT request message and the SCEF shall respond to the message.</w:t>
      </w:r>
    </w:p>
    <w:p w:rsidR="00CB0DD7" w:rsidRPr="000A0A5F" w:rsidRDefault="00CB0DD7">
      <w:r w:rsidRPr="000A0A5F">
        <w:t>This method shall support the URI query parameters, request and response data structures, and response codes, as specified in the table 5.16.3.3.3.3-1 and table 5.16.3.3.3.3-2.</w:t>
      </w:r>
    </w:p>
    <w:p w:rsidR="00CB0DD7" w:rsidRPr="000A0A5F" w:rsidRDefault="00CB0DD7">
      <w:pPr>
        <w:pStyle w:val="TH"/>
        <w:rPr>
          <w:rFonts w:cs="Arial"/>
        </w:rPr>
      </w:pPr>
      <w:r w:rsidRPr="000A0A5F">
        <w:t xml:space="preserve">Table 5.16.3.3.3.3-1: URI query parameters supported by the PUT method on this resource </w:t>
      </w:r>
    </w:p>
    <w:tbl>
      <w:tblPr>
        <w:tblW w:w="495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596"/>
        <w:gridCol w:w="1692"/>
        <w:gridCol w:w="1129"/>
        <w:gridCol w:w="5262"/>
      </w:tblGrid>
      <w:tr w:rsidR="00CB0DD7" w:rsidRPr="000A0A5F" w:rsidTr="00FF0AF8">
        <w:trPr>
          <w:jc w:val="center"/>
        </w:trPr>
        <w:tc>
          <w:tcPr>
            <w:tcW w:w="825" w:type="pct"/>
            <w:shd w:val="clear" w:color="000000" w:fill="C0C0C0"/>
            <w:hideMark/>
          </w:tcPr>
          <w:p w:rsidR="00CB0DD7" w:rsidRPr="000A0A5F" w:rsidRDefault="00CB0DD7">
            <w:pPr>
              <w:pStyle w:val="TAH"/>
            </w:pPr>
            <w:r w:rsidRPr="000A0A5F">
              <w:t>Name</w:t>
            </w:r>
          </w:p>
        </w:tc>
        <w:tc>
          <w:tcPr>
            <w:tcW w:w="874" w:type="pct"/>
            <w:shd w:val="clear" w:color="000000" w:fill="C0C0C0"/>
            <w:hideMark/>
          </w:tcPr>
          <w:p w:rsidR="00CB0DD7" w:rsidRPr="000A0A5F" w:rsidRDefault="00CB0DD7">
            <w:pPr>
              <w:pStyle w:val="TAH"/>
            </w:pPr>
            <w:r w:rsidRPr="000A0A5F">
              <w:t>Data type</w:t>
            </w:r>
          </w:p>
        </w:tc>
        <w:tc>
          <w:tcPr>
            <w:tcW w:w="583" w:type="pct"/>
            <w:shd w:val="clear" w:color="000000" w:fill="C0C0C0"/>
            <w:hideMark/>
          </w:tcPr>
          <w:p w:rsidR="00CB0DD7" w:rsidRPr="000A0A5F" w:rsidRDefault="00CB0DD7">
            <w:pPr>
              <w:pStyle w:val="TAH"/>
            </w:pPr>
            <w:r w:rsidRPr="000A0A5F">
              <w:t>Cardinality</w:t>
            </w:r>
          </w:p>
        </w:tc>
        <w:tc>
          <w:tcPr>
            <w:tcW w:w="2718" w:type="pct"/>
            <w:shd w:val="clear" w:color="000000" w:fill="C0C0C0"/>
            <w:vAlign w:val="center"/>
            <w:hideMark/>
          </w:tcPr>
          <w:p w:rsidR="00CB0DD7" w:rsidRPr="000A0A5F" w:rsidRDefault="00CB0DD7">
            <w:pPr>
              <w:pStyle w:val="TAH"/>
            </w:pPr>
            <w:r w:rsidRPr="000A0A5F">
              <w:t>Remarks</w:t>
            </w:r>
          </w:p>
        </w:tc>
      </w:tr>
      <w:tr w:rsidR="00CB0DD7" w:rsidRPr="000A0A5F" w:rsidTr="00FF0AF8">
        <w:trPr>
          <w:jc w:val="center"/>
        </w:trPr>
        <w:tc>
          <w:tcPr>
            <w:tcW w:w="825" w:type="pct"/>
            <w:hideMark/>
          </w:tcPr>
          <w:p w:rsidR="00CB0DD7" w:rsidRPr="000A0A5F" w:rsidRDefault="00CB0DD7">
            <w:pPr>
              <w:pStyle w:val="TAL"/>
            </w:pPr>
            <w:r w:rsidRPr="000A0A5F">
              <w:t>none specified</w:t>
            </w:r>
          </w:p>
        </w:tc>
        <w:tc>
          <w:tcPr>
            <w:tcW w:w="874" w:type="pct"/>
          </w:tcPr>
          <w:p w:rsidR="00CB0DD7" w:rsidRPr="000A0A5F" w:rsidRDefault="00CB0DD7">
            <w:pPr>
              <w:pStyle w:val="TAL"/>
            </w:pPr>
          </w:p>
        </w:tc>
        <w:tc>
          <w:tcPr>
            <w:tcW w:w="583" w:type="pct"/>
          </w:tcPr>
          <w:p w:rsidR="00CB0DD7" w:rsidRPr="000A0A5F" w:rsidRDefault="00CB0DD7">
            <w:pPr>
              <w:pStyle w:val="TAL"/>
            </w:pPr>
          </w:p>
        </w:tc>
        <w:tc>
          <w:tcPr>
            <w:tcW w:w="2718" w:type="pct"/>
            <w:vAlign w:val="center"/>
          </w:tcPr>
          <w:p w:rsidR="00CB0DD7" w:rsidRPr="000A0A5F" w:rsidRDefault="00CB0DD7">
            <w:pPr>
              <w:pStyle w:val="TAL"/>
            </w:pPr>
          </w:p>
        </w:tc>
      </w:tr>
    </w:tbl>
    <w:p w:rsidR="00CB0DD7" w:rsidRPr="000A0A5F" w:rsidRDefault="00CB0DD7"/>
    <w:p w:rsidR="00CB0DD7" w:rsidRPr="000A0A5F" w:rsidRDefault="00CB0DD7">
      <w:pPr>
        <w:pStyle w:val="TH"/>
        <w:spacing w:before="120"/>
      </w:pPr>
      <w:r w:rsidRPr="000A0A5F">
        <w:t>Table 5.16.3.3.3.3-2: Data structures supported by the PUT request/response by the resource</w:t>
      </w:r>
    </w:p>
    <w:tbl>
      <w:tblPr>
        <w:tblW w:w="4950" w:type="pct"/>
        <w:tblInd w:w="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5" w:type="dxa"/>
          <w:left w:w="45" w:type="dxa"/>
          <w:bottom w:w="45" w:type="dxa"/>
          <w:right w:w="45" w:type="dxa"/>
        </w:tblCellMar>
        <w:tblLook w:val="04A0" w:firstRow="1" w:lastRow="0" w:firstColumn="1" w:lastColumn="0" w:noHBand="0" w:noVBand="1"/>
      </w:tblPr>
      <w:tblGrid>
        <w:gridCol w:w="1018"/>
        <w:gridCol w:w="2121"/>
        <w:gridCol w:w="1035"/>
        <w:gridCol w:w="971"/>
        <w:gridCol w:w="4489"/>
      </w:tblGrid>
      <w:tr w:rsidR="00CB0DD7" w:rsidRPr="000A0A5F" w:rsidTr="00F040BC">
        <w:tc>
          <w:tcPr>
            <w:tcW w:w="528" w:type="pct"/>
            <w:vMerge w:val="restart"/>
            <w:shd w:val="clear" w:color="auto" w:fill="C0C0C0"/>
            <w:vAlign w:val="center"/>
            <w:hideMark/>
          </w:tcPr>
          <w:p w:rsidR="00CB0DD7" w:rsidRPr="000A0A5F" w:rsidRDefault="00CB0DD7">
            <w:pPr>
              <w:pStyle w:val="TAH"/>
            </w:pPr>
            <w:r w:rsidRPr="000A0A5F">
              <w:t>Request body</w:t>
            </w:r>
          </w:p>
        </w:tc>
        <w:tc>
          <w:tcPr>
            <w:tcW w:w="1101" w:type="pct"/>
            <w:shd w:val="clear" w:color="auto" w:fill="C0C0C0"/>
            <w:hideMark/>
          </w:tcPr>
          <w:p w:rsidR="00CB0DD7" w:rsidRPr="000A0A5F" w:rsidRDefault="00CB0DD7">
            <w:pPr>
              <w:pStyle w:val="TAH"/>
            </w:pPr>
            <w:r w:rsidRPr="000A0A5F">
              <w:t>Data type</w:t>
            </w:r>
          </w:p>
        </w:tc>
        <w:tc>
          <w:tcPr>
            <w:tcW w:w="537" w:type="pct"/>
            <w:shd w:val="clear" w:color="auto" w:fill="C0C0C0"/>
            <w:hideMark/>
          </w:tcPr>
          <w:p w:rsidR="00CB0DD7" w:rsidRPr="000A0A5F" w:rsidRDefault="00CB0DD7">
            <w:pPr>
              <w:pStyle w:val="TAH"/>
            </w:pPr>
            <w:r w:rsidRPr="000A0A5F">
              <w:t>Cardinality</w:t>
            </w:r>
          </w:p>
        </w:tc>
        <w:tc>
          <w:tcPr>
            <w:tcW w:w="2834" w:type="pct"/>
            <w:gridSpan w:val="2"/>
            <w:shd w:val="clear" w:color="auto" w:fill="C0C0C0"/>
            <w:hideMark/>
          </w:tcPr>
          <w:p w:rsidR="00CB0DD7" w:rsidRPr="000A0A5F" w:rsidRDefault="00CB0DD7">
            <w:pPr>
              <w:pStyle w:val="TAH"/>
            </w:pPr>
            <w:r w:rsidRPr="000A0A5F">
              <w:t>Remarks</w:t>
            </w:r>
          </w:p>
        </w:tc>
      </w:tr>
      <w:tr w:rsidR="00CB0DD7" w:rsidRPr="000A0A5F" w:rsidTr="00FF0AF8">
        <w:tc>
          <w:tcPr>
            <w:tcW w:w="0" w:type="auto"/>
            <w:vMerge/>
            <w:vAlign w:val="center"/>
            <w:hideMark/>
          </w:tcPr>
          <w:p w:rsidR="00CB0DD7" w:rsidRPr="000A0A5F" w:rsidRDefault="00CB0DD7">
            <w:pPr>
              <w:spacing w:after="0"/>
              <w:rPr>
                <w:rFonts w:ascii="Arial" w:hAnsi="Arial"/>
                <w:b/>
                <w:sz w:val="18"/>
              </w:rPr>
            </w:pPr>
          </w:p>
        </w:tc>
        <w:tc>
          <w:tcPr>
            <w:tcW w:w="1101" w:type="pct"/>
            <w:hideMark/>
          </w:tcPr>
          <w:p w:rsidR="00CB0DD7" w:rsidRPr="000A0A5F" w:rsidRDefault="00CB0DD7">
            <w:pPr>
              <w:pStyle w:val="TAL"/>
            </w:pPr>
            <w:r w:rsidRPr="000A0A5F">
              <w:t>RacsProvisioningData</w:t>
            </w:r>
          </w:p>
        </w:tc>
        <w:tc>
          <w:tcPr>
            <w:tcW w:w="537" w:type="pct"/>
            <w:hideMark/>
          </w:tcPr>
          <w:p w:rsidR="00CB0DD7" w:rsidRPr="000A0A5F" w:rsidRDefault="00CB0DD7">
            <w:pPr>
              <w:pStyle w:val="TAL"/>
            </w:pPr>
            <w:r w:rsidRPr="000A0A5F">
              <w:t>1</w:t>
            </w:r>
          </w:p>
        </w:tc>
        <w:tc>
          <w:tcPr>
            <w:tcW w:w="2834" w:type="pct"/>
            <w:gridSpan w:val="2"/>
            <w:hideMark/>
          </w:tcPr>
          <w:p w:rsidR="00CB0DD7" w:rsidRPr="000A0A5F" w:rsidRDefault="00CB0DD7">
            <w:pPr>
              <w:pStyle w:val="TAL"/>
            </w:pPr>
            <w:r w:rsidRPr="000A0A5F">
              <w:t>Replace an existing parameter provisioning.</w:t>
            </w:r>
          </w:p>
        </w:tc>
      </w:tr>
      <w:tr w:rsidR="00CB0DD7" w:rsidRPr="000A0A5F" w:rsidTr="00F040BC">
        <w:tc>
          <w:tcPr>
            <w:tcW w:w="528" w:type="pct"/>
            <w:vMerge w:val="restart"/>
            <w:shd w:val="clear" w:color="auto" w:fill="C0C0C0"/>
            <w:vAlign w:val="center"/>
            <w:hideMark/>
          </w:tcPr>
          <w:p w:rsidR="00CB0DD7" w:rsidRPr="000A0A5F" w:rsidRDefault="00CB0DD7">
            <w:pPr>
              <w:pStyle w:val="TAH"/>
            </w:pPr>
            <w:r w:rsidRPr="000A0A5F">
              <w:t>Response body</w:t>
            </w:r>
          </w:p>
        </w:tc>
        <w:tc>
          <w:tcPr>
            <w:tcW w:w="1101" w:type="pct"/>
            <w:shd w:val="clear" w:color="auto" w:fill="C0C0C0"/>
          </w:tcPr>
          <w:p w:rsidR="00CB0DD7" w:rsidRPr="000A0A5F" w:rsidRDefault="00CB0DD7">
            <w:pPr>
              <w:pStyle w:val="TAH"/>
            </w:pPr>
          </w:p>
          <w:p w:rsidR="00CB0DD7" w:rsidRPr="000A0A5F" w:rsidRDefault="00CB0DD7">
            <w:pPr>
              <w:pStyle w:val="TAH"/>
            </w:pPr>
            <w:r w:rsidRPr="000A0A5F">
              <w:t>Data type</w:t>
            </w:r>
          </w:p>
        </w:tc>
        <w:tc>
          <w:tcPr>
            <w:tcW w:w="537" w:type="pct"/>
            <w:shd w:val="clear" w:color="auto" w:fill="C0C0C0"/>
          </w:tcPr>
          <w:p w:rsidR="00CB0DD7" w:rsidRPr="000A0A5F" w:rsidRDefault="00CB0DD7">
            <w:pPr>
              <w:pStyle w:val="TAH"/>
            </w:pPr>
          </w:p>
          <w:p w:rsidR="00CB0DD7" w:rsidRPr="000A0A5F" w:rsidRDefault="00CB0DD7">
            <w:pPr>
              <w:pStyle w:val="TAH"/>
            </w:pPr>
            <w:r w:rsidRPr="000A0A5F">
              <w:t>Cardinality</w:t>
            </w:r>
          </w:p>
        </w:tc>
        <w:tc>
          <w:tcPr>
            <w:tcW w:w="504" w:type="pct"/>
            <w:shd w:val="clear" w:color="auto" w:fill="C0C0C0"/>
            <w:hideMark/>
          </w:tcPr>
          <w:p w:rsidR="00CB0DD7" w:rsidRPr="000A0A5F" w:rsidRDefault="00CB0DD7">
            <w:pPr>
              <w:pStyle w:val="TAH"/>
            </w:pPr>
            <w:r w:rsidRPr="000A0A5F">
              <w:t>Response</w:t>
            </w:r>
          </w:p>
          <w:p w:rsidR="00CB0DD7" w:rsidRPr="000A0A5F" w:rsidRDefault="00CB0DD7">
            <w:pPr>
              <w:pStyle w:val="TAH"/>
            </w:pPr>
            <w:r w:rsidRPr="000A0A5F">
              <w:t>codes</w:t>
            </w:r>
          </w:p>
        </w:tc>
        <w:tc>
          <w:tcPr>
            <w:tcW w:w="2330" w:type="pct"/>
            <w:shd w:val="clear" w:color="auto" w:fill="C0C0C0"/>
          </w:tcPr>
          <w:p w:rsidR="00CB0DD7" w:rsidRPr="000A0A5F" w:rsidRDefault="00CB0DD7">
            <w:pPr>
              <w:pStyle w:val="TAH"/>
            </w:pPr>
          </w:p>
          <w:p w:rsidR="00CB0DD7" w:rsidRPr="000A0A5F" w:rsidRDefault="00CB0DD7">
            <w:pPr>
              <w:pStyle w:val="TAH"/>
            </w:pPr>
            <w:r w:rsidRPr="000A0A5F">
              <w:t>Remarks</w:t>
            </w:r>
          </w:p>
        </w:tc>
      </w:tr>
      <w:tr w:rsidR="00CB0DD7" w:rsidRPr="000A0A5F" w:rsidTr="00FF0AF8">
        <w:tc>
          <w:tcPr>
            <w:tcW w:w="0" w:type="auto"/>
            <w:vMerge/>
            <w:vAlign w:val="center"/>
            <w:hideMark/>
          </w:tcPr>
          <w:p w:rsidR="00CB0DD7" w:rsidRPr="000A0A5F" w:rsidRDefault="00CB0DD7">
            <w:pPr>
              <w:spacing w:after="0"/>
              <w:rPr>
                <w:rFonts w:ascii="Arial" w:hAnsi="Arial"/>
                <w:b/>
                <w:sz w:val="18"/>
              </w:rPr>
            </w:pPr>
          </w:p>
        </w:tc>
        <w:tc>
          <w:tcPr>
            <w:tcW w:w="1101" w:type="pct"/>
            <w:hideMark/>
          </w:tcPr>
          <w:p w:rsidR="00CB0DD7" w:rsidRPr="000A0A5F" w:rsidRDefault="00CB0DD7">
            <w:pPr>
              <w:pStyle w:val="TAL"/>
            </w:pPr>
            <w:r w:rsidRPr="000A0A5F">
              <w:t>RacsProvisioningData</w:t>
            </w:r>
          </w:p>
        </w:tc>
        <w:tc>
          <w:tcPr>
            <w:tcW w:w="537" w:type="pct"/>
            <w:hideMark/>
          </w:tcPr>
          <w:p w:rsidR="00CB0DD7" w:rsidRPr="000A0A5F" w:rsidRDefault="00CB0DD7">
            <w:pPr>
              <w:pStyle w:val="TAL"/>
            </w:pPr>
            <w:r w:rsidRPr="000A0A5F">
              <w:t>1</w:t>
            </w:r>
          </w:p>
        </w:tc>
        <w:tc>
          <w:tcPr>
            <w:tcW w:w="504" w:type="pct"/>
            <w:hideMark/>
          </w:tcPr>
          <w:p w:rsidR="00CB0DD7" w:rsidRPr="000A0A5F" w:rsidRDefault="00CB0DD7">
            <w:pPr>
              <w:pStyle w:val="TAL"/>
              <w:rPr>
                <w:lang w:eastAsia="zh-CN"/>
              </w:rPr>
            </w:pPr>
            <w:r w:rsidRPr="000A0A5F">
              <w:rPr>
                <w:lang w:eastAsia="zh-CN"/>
              </w:rPr>
              <w:t>200 OK</w:t>
            </w:r>
          </w:p>
        </w:tc>
        <w:tc>
          <w:tcPr>
            <w:tcW w:w="2330" w:type="pct"/>
            <w:hideMark/>
          </w:tcPr>
          <w:p w:rsidR="00CB0DD7" w:rsidRPr="000A0A5F" w:rsidRDefault="00CB0DD7">
            <w:pPr>
              <w:pStyle w:val="TAL"/>
              <w:spacing w:afterLines="50" w:after="120"/>
            </w:pPr>
            <w:r w:rsidRPr="000A0A5F">
              <w:t xml:space="preserve">The provisioning data was replaced successfully. </w:t>
            </w:r>
          </w:p>
          <w:p w:rsidR="00CB0DD7" w:rsidRPr="000A0A5F" w:rsidRDefault="00CB0DD7">
            <w:pPr>
              <w:pStyle w:val="TAL"/>
            </w:pPr>
            <w:r w:rsidRPr="000A0A5F">
              <w:t xml:space="preserve">The SCEF </w:t>
            </w:r>
            <w:r w:rsidRPr="000A0A5F">
              <w:rPr>
                <w:lang w:eastAsia="zh-CN"/>
              </w:rPr>
              <w:t>shall</w:t>
            </w:r>
            <w:r w:rsidRPr="000A0A5F">
              <w:t xml:space="preserve"> return an updated provisioning information in the response.</w:t>
            </w:r>
          </w:p>
        </w:tc>
      </w:tr>
      <w:tr w:rsidR="00CB0DD7" w:rsidRPr="000A0A5F" w:rsidTr="00FF0AF8">
        <w:tc>
          <w:tcPr>
            <w:tcW w:w="0" w:type="auto"/>
            <w:vMerge/>
            <w:vAlign w:val="center"/>
          </w:tcPr>
          <w:p w:rsidR="00CB0DD7" w:rsidRPr="000A0A5F" w:rsidRDefault="00CB0DD7">
            <w:pPr>
              <w:spacing w:after="0"/>
              <w:rPr>
                <w:rFonts w:ascii="Arial" w:hAnsi="Arial"/>
                <w:b/>
                <w:sz w:val="18"/>
              </w:rPr>
            </w:pPr>
          </w:p>
        </w:tc>
        <w:tc>
          <w:tcPr>
            <w:tcW w:w="1101" w:type="pct"/>
          </w:tcPr>
          <w:p w:rsidR="00CB0DD7" w:rsidRPr="000A0A5F" w:rsidRDefault="00CB0DD7">
            <w:pPr>
              <w:pStyle w:val="TAL"/>
            </w:pPr>
            <w:r w:rsidRPr="000A0A5F">
              <w:t>none</w:t>
            </w:r>
          </w:p>
        </w:tc>
        <w:tc>
          <w:tcPr>
            <w:tcW w:w="537" w:type="pct"/>
          </w:tcPr>
          <w:p w:rsidR="00CB0DD7" w:rsidRPr="000A0A5F" w:rsidRDefault="00CB0DD7">
            <w:pPr>
              <w:pStyle w:val="TAL"/>
            </w:pPr>
          </w:p>
        </w:tc>
        <w:tc>
          <w:tcPr>
            <w:tcW w:w="504" w:type="pct"/>
          </w:tcPr>
          <w:p w:rsidR="00CB0DD7" w:rsidRPr="000A0A5F" w:rsidRDefault="00CB0DD7">
            <w:pPr>
              <w:pStyle w:val="TAL"/>
              <w:rPr>
                <w:lang w:eastAsia="zh-CN"/>
              </w:rPr>
            </w:pPr>
            <w:r w:rsidRPr="000A0A5F">
              <w:t>204 No Content</w:t>
            </w:r>
          </w:p>
        </w:tc>
        <w:tc>
          <w:tcPr>
            <w:tcW w:w="2330" w:type="pct"/>
          </w:tcPr>
          <w:p w:rsidR="00CB0DD7" w:rsidRPr="000A0A5F" w:rsidRDefault="00CB0DD7">
            <w:pPr>
              <w:pStyle w:val="TAL"/>
              <w:spacing w:afterLines="50" w:after="120"/>
            </w:pPr>
            <w:r w:rsidRPr="000A0A5F">
              <w:t>The existing RACS Parameter Provisioning has been replaced successfully and no content is to be sent in the response message body.</w:t>
            </w:r>
          </w:p>
        </w:tc>
      </w:tr>
      <w:tr w:rsidR="00CB0DD7" w:rsidRPr="000A0A5F" w:rsidTr="00FF0AF8">
        <w:trPr>
          <w:trHeight w:val="541"/>
        </w:trPr>
        <w:tc>
          <w:tcPr>
            <w:tcW w:w="0" w:type="auto"/>
            <w:vMerge/>
            <w:vAlign w:val="center"/>
            <w:hideMark/>
          </w:tcPr>
          <w:p w:rsidR="00CB0DD7" w:rsidRPr="000A0A5F" w:rsidRDefault="00CB0DD7">
            <w:pPr>
              <w:spacing w:after="0"/>
              <w:rPr>
                <w:rFonts w:ascii="Arial" w:hAnsi="Arial"/>
                <w:b/>
                <w:sz w:val="18"/>
              </w:rPr>
            </w:pPr>
          </w:p>
        </w:tc>
        <w:tc>
          <w:tcPr>
            <w:tcW w:w="1101" w:type="pct"/>
            <w:hideMark/>
          </w:tcPr>
          <w:p w:rsidR="00CB0DD7" w:rsidRPr="000A0A5F" w:rsidRDefault="00CB0DD7">
            <w:pPr>
              <w:pStyle w:val="TAL"/>
            </w:pPr>
            <w:r w:rsidRPr="000A0A5F">
              <w:rPr>
                <w:lang w:eastAsia="zh-CN"/>
              </w:rPr>
              <w:t>array(RacsFailureReport)</w:t>
            </w:r>
          </w:p>
        </w:tc>
        <w:tc>
          <w:tcPr>
            <w:tcW w:w="537" w:type="pct"/>
            <w:hideMark/>
          </w:tcPr>
          <w:p w:rsidR="00CB0DD7" w:rsidRPr="000A0A5F" w:rsidRDefault="00CB0DD7">
            <w:pPr>
              <w:pStyle w:val="TAL"/>
            </w:pPr>
            <w:r w:rsidRPr="000A0A5F">
              <w:t>1..N</w:t>
            </w:r>
          </w:p>
        </w:tc>
        <w:tc>
          <w:tcPr>
            <w:tcW w:w="504" w:type="pct"/>
            <w:hideMark/>
          </w:tcPr>
          <w:p w:rsidR="00CB0DD7" w:rsidRPr="000A0A5F" w:rsidRDefault="00CB0DD7">
            <w:pPr>
              <w:pStyle w:val="TAL"/>
              <w:rPr>
                <w:lang w:eastAsia="zh-CN"/>
              </w:rPr>
            </w:pPr>
            <w:r w:rsidRPr="000A0A5F">
              <w:t>500 Internal Server Error</w:t>
            </w:r>
          </w:p>
        </w:tc>
        <w:tc>
          <w:tcPr>
            <w:tcW w:w="2330" w:type="pct"/>
            <w:hideMark/>
          </w:tcPr>
          <w:p w:rsidR="00CB0DD7" w:rsidRPr="000A0A5F" w:rsidRDefault="00CB0DD7">
            <w:pPr>
              <w:pStyle w:val="TAL"/>
              <w:spacing w:afterLines="50" w:after="120"/>
            </w:pPr>
            <w:r w:rsidRPr="000A0A5F">
              <w:t>The RACS data for all RACS IDs were not provisioned successfully.</w:t>
            </w:r>
          </w:p>
        </w:tc>
      </w:tr>
      <w:tr w:rsidR="00CB0DD7" w:rsidRPr="000A0A5F" w:rsidTr="00FF0AF8">
        <w:trPr>
          <w:trHeight w:val="541"/>
        </w:trPr>
        <w:tc>
          <w:tcPr>
            <w:tcW w:w="0" w:type="auto"/>
            <w:vMerge/>
            <w:vAlign w:val="center"/>
          </w:tcPr>
          <w:p w:rsidR="00CB0DD7" w:rsidRPr="000A0A5F" w:rsidRDefault="00CB0DD7">
            <w:pPr>
              <w:spacing w:after="0"/>
              <w:rPr>
                <w:rFonts w:ascii="Arial" w:hAnsi="Arial"/>
                <w:b/>
                <w:sz w:val="18"/>
              </w:rPr>
            </w:pPr>
          </w:p>
        </w:tc>
        <w:tc>
          <w:tcPr>
            <w:tcW w:w="1101" w:type="pct"/>
          </w:tcPr>
          <w:p w:rsidR="00CB0DD7" w:rsidRPr="000A0A5F" w:rsidRDefault="00CB0DD7">
            <w:pPr>
              <w:pStyle w:val="TAL"/>
              <w:rPr>
                <w:lang w:eastAsia="zh-CN"/>
              </w:rPr>
            </w:pPr>
            <w:r w:rsidRPr="000A0A5F">
              <w:t>none</w:t>
            </w:r>
          </w:p>
        </w:tc>
        <w:tc>
          <w:tcPr>
            <w:tcW w:w="537" w:type="pct"/>
          </w:tcPr>
          <w:p w:rsidR="00CB0DD7" w:rsidRPr="000A0A5F" w:rsidRDefault="00CB0DD7">
            <w:pPr>
              <w:pStyle w:val="TAL"/>
            </w:pPr>
          </w:p>
        </w:tc>
        <w:tc>
          <w:tcPr>
            <w:tcW w:w="504" w:type="pct"/>
          </w:tcPr>
          <w:p w:rsidR="00CB0DD7" w:rsidRPr="000A0A5F" w:rsidRDefault="00CB0DD7">
            <w:pPr>
              <w:pStyle w:val="TAL"/>
            </w:pPr>
            <w:r w:rsidRPr="000A0A5F">
              <w:t>307 Temporary Redirect</w:t>
            </w:r>
          </w:p>
        </w:tc>
        <w:tc>
          <w:tcPr>
            <w:tcW w:w="2330" w:type="pct"/>
          </w:tcPr>
          <w:p w:rsidR="00CB0DD7" w:rsidRPr="000A0A5F" w:rsidRDefault="00CB0DD7">
            <w:pPr>
              <w:pStyle w:val="TAL"/>
            </w:pPr>
            <w:r w:rsidRPr="000A0A5F">
              <w:t>Temporary redirection, during resource modification. The response shall include a Location header field containing an alternative URI of the resource located in an alternative SCEF.</w:t>
            </w:r>
          </w:p>
          <w:p w:rsidR="00CB0DD7" w:rsidRPr="000A0A5F" w:rsidRDefault="00CB0DD7">
            <w:pPr>
              <w:pStyle w:val="TAL"/>
              <w:spacing w:afterLines="50" w:after="120"/>
            </w:pPr>
            <w:r w:rsidRPr="000A0A5F">
              <w:t>Redirection handling is described in clause 5.2.10.</w:t>
            </w:r>
          </w:p>
        </w:tc>
      </w:tr>
      <w:tr w:rsidR="00CB0DD7" w:rsidRPr="000A0A5F" w:rsidTr="00FF0AF8">
        <w:trPr>
          <w:trHeight w:val="541"/>
        </w:trPr>
        <w:tc>
          <w:tcPr>
            <w:tcW w:w="0" w:type="auto"/>
            <w:vMerge/>
            <w:vAlign w:val="center"/>
          </w:tcPr>
          <w:p w:rsidR="00CB0DD7" w:rsidRPr="000A0A5F" w:rsidRDefault="00CB0DD7">
            <w:pPr>
              <w:spacing w:after="0"/>
              <w:rPr>
                <w:rFonts w:ascii="Arial" w:hAnsi="Arial"/>
                <w:b/>
                <w:sz w:val="18"/>
              </w:rPr>
            </w:pPr>
          </w:p>
        </w:tc>
        <w:tc>
          <w:tcPr>
            <w:tcW w:w="1101" w:type="pct"/>
          </w:tcPr>
          <w:p w:rsidR="00CB0DD7" w:rsidRPr="000A0A5F" w:rsidRDefault="00CB0DD7">
            <w:pPr>
              <w:pStyle w:val="TAL"/>
              <w:rPr>
                <w:lang w:eastAsia="zh-CN"/>
              </w:rPr>
            </w:pPr>
            <w:r w:rsidRPr="000A0A5F">
              <w:t>none</w:t>
            </w:r>
          </w:p>
        </w:tc>
        <w:tc>
          <w:tcPr>
            <w:tcW w:w="537" w:type="pct"/>
          </w:tcPr>
          <w:p w:rsidR="00CB0DD7" w:rsidRPr="000A0A5F" w:rsidRDefault="00CB0DD7">
            <w:pPr>
              <w:pStyle w:val="TAL"/>
            </w:pPr>
          </w:p>
        </w:tc>
        <w:tc>
          <w:tcPr>
            <w:tcW w:w="504" w:type="pct"/>
          </w:tcPr>
          <w:p w:rsidR="00CB0DD7" w:rsidRPr="000A0A5F" w:rsidRDefault="00CB0DD7">
            <w:pPr>
              <w:pStyle w:val="TAL"/>
            </w:pPr>
            <w:r w:rsidRPr="000A0A5F">
              <w:t>308 Permanent Redirect</w:t>
            </w:r>
          </w:p>
        </w:tc>
        <w:tc>
          <w:tcPr>
            <w:tcW w:w="2330" w:type="pct"/>
          </w:tcPr>
          <w:p w:rsidR="00CB0DD7" w:rsidRPr="000A0A5F" w:rsidRDefault="00CB0DD7">
            <w:pPr>
              <w:pStyle w:val="TAL"/>
            </w:pPr>
            <w:r w:rsidRPr="000A0A5F">
              <w:t>Permanent redirection, during resource modification. The response shall include a Location header field containing an alternative URI of the resource located in an alternative SCEF.</w:t>
            </w:r>
          </w:p>
          <w:p w:rsidR="00CB0DD7" w:rsidRPr="000A0A5F" w:rsidRDefault="00CB0DD7">
            <w:pPr>
              <w:pStyle w:val="TAL"/>
              <w:spacing w:afterLines="50" w:after="120"/>
            </w:pPr>
            <w:r w:rsidRPr="000A0A5F">
              <w:t>Redirection handling is described in clause 5.2.10.</w:t>
            </w:r>
          </w:p>
        </w:tc>
      </w:tr>
      <w:tr w:rsidR="00CB0DD7" w:rsidRPr="000A0A5F" w:rsidTr="00FF0AF8">
        <w:tc>
          <w:tcPr>
            <w:tcW w:w="5000" w:type="pct"/>
            <w:gridSpan w:val="5"/>
            <w:vAlign w:val="center"/>
            <w:hideMark/>
          </w:tcPr>
          <w:p w:rsidR="00CB0DD7" w:rsidRPr="000A0A5F" w:rsidRDefault="00CB0DD7">
            <w:pPr>
              <w:pStyle w:val="TAN"/>
            </w:pPr>
            <w:r w:rsidRPr="000A0A5F">
              <w:t>NOTE:</w:t>
            </w:r>
            <w:r w:rsidRPr="000A0A5F">
              <w:tab/>
              <w:t>The mandatory HTTP error status codes for the PUT method listed in table 5.2.6-1 also apply.</w:t>
            </w:r>
          </w:p>
        </w:tc>
      </w:tr>
    </w:tbl>
    <w:p w:rsidR="00CB0DD7" w:rsidRPr="000A0A5F" w:rsidRDefault="00CB0DD7"/>
    <w:p w:rsidR="00CB0DD7" w:rsidRPr="000A0A5F" w:rsidRDefault="002E466A">
      <w:pPr>
        <w:pStyle w:val="TH"/>
      </w:pPr>
      <w:r w:rsidRPr="000A0A5F">
        <w:t>Table </w:t>
      </w:r>
      <w:r w:rsidR="00CB0DD7" w:rsidRPr="000A0A5F">
        <w:t>5.16.3.3.3.3-3: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2E466A">
      <w:pPr>
        <w:pStyle w:val="TH"/>
      </w:pPr>
      <w:r w:rsidRPr="000A0A5F">
        <w:t>Table </w:t>
      </w:r>
      <w:r w:rsidR="00CB0DD7" w:rsidRPr="000A0A5F">
        <w:t>5.16.3.3.3.3-4: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CB0DD7">
      <w:pPr>
        <w:pStyle w:val="Heading6"/>
      </w:pPr>
      <w:bookmarkStart w:id="10113" w:name="_Toc27045098"/>
      <w:bookmarkStart w:id="10114" w:name="_Toc36034149"/>
      <w:bookmarkStart w:id="10115" w:name="_Toc45132297"/>
      <w:bookmarkStart w:id="10116" w:name="_Toc49776582"/>
      <w:bookmarkStart w:id="10117" w:name="_Toc51747502"/>
      <w:bookmarkStart w:id="10118" w:name="_Toc66361084"/>
      <w:bookmarkStart w:id="10119" w:name="_Toc68105589"/>
      <w:bookmarkStart w:id="10120" w:name="_Toc74756221"/>
      <w:bookmarkStart w:id="10121" w:name="_Toc105675098"/>
      <w:bookmarkStart w:id="10122" w:name="_Toc130503176"/>
      <w:bookmarkStart w:id="10123" w:name="_Toc153625968"/>
      <w:r w:rsidRPr="000A0A5F">
        <w:t>5.16.3.3.3.4</w:t>
      </w:r>
      <w:r w:rsidRPr="000A0A5F">
        <w:tab/>
        <w:t>POST</w:t>
      </w:r>
      <w:bookmarkEnd w:id="10113"/>
      <w:bookmarkEnd w:id="10114"/>
      <w:bookmarkEnd w:id="10115"/>
      <w:bookmarkEnd w:id="10116"/>
      <w:bookmarkEnd w:id="10117"/>
      <w:bookmarkEnd w:id="10118"/>
      <w:bookmarkEnd w:id="10119"/>
      <w:bookmarkEnd w:id="10120"/>
      <w:bookmarkEnd w:id="10121"/>
      <w:bookmarkEnd w:id="10122"/>
      <w:bookmarkEnd w:id="10123"/>
    </w:p>
    <w:p w:rsidR="00CB0DD7" w:rsidRPr="000A0A5F" w:rsidRDefault="00CB0DD7">
      <w:pPr>
        <w:rPr>
          <w:lang w:eastAsia="zh-CN"/>
        </w:rPr>
      </w:pPr>
      <w:r w:rsidRPr="000A0A5F">
        <w:rPr>
          <w:lang w:eastAsia="zh-CN"/>
        </w:rPr>
        <w:t>This HTTP method is not supported for the resource.</w:t>
      </w:r>
    </w:p>
    <w:p w:rsidR="00CB0DD7" w:rsidRPr="000A0A5F" w:rsidRDefault="00CB0DD7">
      <w:pPr>
        <w:pStyle w:val="Heading6"/>
        <w:spacing w:before="180"/>
      </w:pPr>
      <w:bookmarkStart w:id="10124" w:name="_Toc27045099"/>
      <w:bookmarkStart w:id="10125" w:name="_Toc36034150"/>
      <w:bookmarkStart w:id="10126" w:name="_Toc45132298"/>
      <w:bookmarkStart w:id="10127" w:name="_Toc49776583"/>
      <w:bookmarkStart w:id="10128" w:name="_Toc51747503"/>
      <w:bookmarkStart w:id="10129" w:name="_Toc66361085"/>
      <w:bookmarkStart w:id="10130" w:name="_Toc68105590"/>
      <w:bookmarkStart w:id="10131" w:name="_Toc74756222"/>
      <w:bookmarkStart w:id="10132" w:name="_Toc105675099"/>
      <w:bookmarkStart w:id="10133" w:name="_Toc130503177"/>
      <w:bookmarkStart w:id="10134" w:name="_Toc153625969"/>
      <w:r w:rsidRPr="000A0A5F">
        <w:t>5.16.3.3.3.5</w:t>
      </w:r>
      <w:r w:rsidRPr="000A0A5F">
        <w:tab/>
        <w:t>DELETE</w:t>
      </w:r>
      <w:bookmarkEnd w:id="10124"/>
      <w:bookmarkEnd w:id="10125"/>
      <w:bookmarkEnd w:id="10126"/>
      <w:bookmarkEnd w:id="10127"/>
      <w:bookmarkEnd w:id="10128"/>
      <w:bookmarkEnd w:id="10129"/>
      <w:bookmarkEnd w:id="10130"/>
      <w:bookmarkEnd w:id="10131"/>
      <w:bookmarkEnd w:id="10132"/>
      <w:bookmarkEnd w:id="10133"/>
      <w:bookmarkEnd w:id="10134"/>
    </w:p>
    <w:p w:rsidR="00CB0DD7" w:rsidRPr="000A0A5F" w:rsidRDefault="00CB0DD7">
      <w:pPr>
        <w:rPr>
          <w:noProof/>
          <w:lang w:eastAsia="zh-CN"/>
        </w:rPr>
      </w:pPr>
      <w:r w:rsidRPr="000A0A5F">
        <w:rPr>
          <w:noProof/>
          <w:lang w:eastAsia="zh-CN"/>
        </w:rPr>
        <w:t xml:space="preserve">The DELETE method deletes an existing provisioning </w:t>
      </w:r>
      <w:r w:rsidRPr="000A0A5F">
        <w:t>resource "Individual RACS Parameter Provisioning"</w:t>
      </w:r>
      <w:r w:rsidRPr="000A0A5F">
        <w:rPr>
          <w:noProof/>
          <w:lang w:eastAsia="zh-CN"/>
        </w:rPr>
        <w:t xml:space="preserve">. The SCS/AS shall initiate the HTTP DELETE request message and the SCEF shall respond to the message. </w:t>
      </w:r>
    </w:p>
    <w:p w:rsidR="00CB0DD7" w:rsidRPr="000A0A5F" w:rsidRDefault="00CB0DD7">
      <w:r w:rsidRPr="000A0A5F">
        <w:t>This method shall support the URI query parameters, request and response data structures, and response codes, as specified in the table 5.16.3.3.3.5-1 and table 5.16.3.3.3.5-2.</w:t>
      </w:r>
    </w:p>
    <w:p w:rsidR="00CB0DD7" w:rsidRPr="000A0A5F" w:rsidRDefault="00CB0DD7">
      <w:pPr>
        <w:pStyle w:val="TH"/>
        <w:rPr>
          <w:rFonts w:cs="Arial"/>
        </w:rPr>
      </w:pPr>
      <w:r w:rsidRPr="000A0A5F">
        <w:t xml:space="preserve">Table 5.16.3.3.3.5-1: URI query parameters supported by the DELETE method on this resource </w:t>
      </w:r>
    </w:p>
    <w:tbl>
      <w:tblPr>
        <w:tblW w:w="495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596"/>
        <w:gridCol w:w="1692"/>
        <w:gridCol w:w="1129"/>
        <w:gridCol w:w="5262"/>
      </w:tblGrid>
      <w:tr w:rsidR="00CB0DD7" w:rsidRPr="000A0A5F" w:rsidTr="00FF0AF8">
        <w:trPr>
          <w:jc w:val="center"/>
        </w:trPr>
        <w:tc>
          <w:tcPr>
            <w:tcW w:w="825" w:type="pct"/>
            <w:shd w:val="clear" w:color="000000" w:fill="C0C0C0"/>
            <w:hideMark/>
          </w:tcPr>
          <w:p w:rsidR="00CB0DD7" w:rsidRPr="000A0A5F" w:rsidRDefault="00CB0DD7">
            <w:pPr>
              <w:pStyle w:val="TAH"/>
            </w:pPr>
            <w:r w:rsidRPr="000A0A5F">
              <w:t>Name</w:t>
            </w:r>
          </w:p>
        </w:tc>
        <w:tc>
          <w:tcPr>
            <w:tcW w:w="874" w:type="pct"/>
            <w:shd w:val="clear" w:color="000000" w:fill="C0C0C0"/>
            <w:hideMark/>
          </w:tcPr>
          <w:p w:rsidR="00CB0DD7" w:rsidRPr="000A0A5F" w:rsidRDefault="00CB0DD7">
            <w:pPr>
              <w:pStyle w:val="TAH"/>
            </w:pPr>
            <w:r w:rsidRPr="000A0A5F">
              <w:t>Data type</w:t>
            </w:r>
          </w:p>
        </w:tc>
        <w:tc>
          <w:tcPr>
            <w:tcW w:w="583" w:type="pct"/>
            <w:shd w:val="clear" w:color="000000" w:fill="C0C0C0"/>
            <w:hideMark/>
          </w:tcPr>
          <w:p w:rsidR="00CB0DD7" w:rsidRPr="000A0A5F" w:rsidRDefault="00CB0DD7">
            <w:pPr>
              <w:pStyle w:val="TAH"/>
            </w:pPr>
            <w:r w:rsidRPr="000A0A5F">
              <w:t>Cardinality</w:t>
            </w:r>
          </w:p>
        </w:tc>
        <w:tc>
          <w:tcPr>
            <w:tcW w:w="2718" w:type="pct"/>
            <w:shd w:val="clear" w:color="000000" w:fill="C0C0C0"/>
            <w:vAlign w:val="center"/>
            <w:hideMark/>
          </w:tcPr>
          <w:p w:rsidR="00CB0DD7" w:rsidRPr="000A0A5F" w:rsidRDefault="00CB0DD7">
            <w:pPr>
              <w:pStyle w:val="TAH"/>
            </w:pPr>
            <w:r w:rsidRPr="000A0A5F">
              <w:t>Remarks</w:t>
            </w:r>
          </w:p>
        </w:tc>
      </w:tr>
      <w:tr w:rsidR="00CB0DD7" w:rsidRPr="000A0A5F" w:rsidTr="00FF0AF8">
        <w:trPr>
          <w:jc w:val="center"/>
        </w:trPr>
        <w:tc>
          <w:tcPr>
            <w:tcW w:w="825" w:type="pct"/>
            <w:hideMark/>
          </w:tcPr>
          <w:p w:rsidR="00CB0DD7" w:rsidRPr="000A0A5F" w:rsidRDefault="00CB0DD7">
            <w:pPr>
              <w:pStyle w:val="TAL"/>
              <w:rPr>
                <w:lang w:eastAsia="zh-CN"/>
              </w:rPr>
            </w:pPr>
            <w:r w:rsidRPr="000A0A5F">
              <w:rPr>
                <w:lang w:eastAsia="zh-CN"/>
              </w:rPr>
              <w:t>N/A</w:t>
            </w:r>
          </w:p>
        </w:tc>
        <w:tc>
          <w:tcPr>
            <w:tcW w:w="874" w:type="pct"/>
          </w:tcPr>
          <w:p w:rsidR="00CB0DD7" w:rsidRPr="000A0A5F" w:rsidRDefault="00CB0DD7">
            <w:pPr>
              <w:pStyle w:val="TAL"/>
            </w:pPr>
          </w:p>
        </w:tc>
        <w:tc>
          <w:tcPr>
            <w:tcW w:w="583" w:type="pct"/>
          </w:tcPr>
          <w:p w:rsidR="00CB0DD7" w:rsidRPr="000A0A5F" w:rsidRDefault="00CB0DD7">
            <w:pPr>
              <w:pStyle w:val="TAL"/>
            </w:pPr>
          </w:p>
        </w:tc>
        <w:tc>
          <w:tcPr>
            <w:tcW w:w="2718" w:type="pct"/>
            <w:vAlign w:val="center"/>
          </w:tcPr>
          <w:p w:rsidR="00CB0DD7" w:rsidRPr="000A0A5F" w:rsidRDefault="00CB0DD7">
            <w:pPr>
              <w:pStyle w:val="TAL"/>
            </w:pPr>
          </w:p>
        </w:tc>
      </w:tr>
    </w:tbl>
    <w:p w:rsidR="00CB0DD7" w:rsidRPr="000A0A5F" w:rsidRDefault="00CB0DD7"/>
    <w:p w:rsidR="00CB0DD7" w:rsidRPr="000A0A5F" w:rsidRDefault="00CB0DD7">
      <w:pPr>
        <w:pStyle w:val="TH"/>
      </w:pPr>
      <w:r w:rsidRPr="000A0A5F">
        <w:t>Table 5.16.3.3.3.5-2: Data structures supported by the DELETE request/response on the resource</w:t>
      </w:r>
    </w:p>
    <w:tbl>
      <w:tblPr>
        <w:tblW w:w="4950" w:type="pct"/>
        <w:tblInd w:w="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5" w:type="dxa"/>
          <w:left w:w="45" w:type="dxa"/>
          <w:bottom w:w="45" w:type="dxa"/>
          <w:right w:w="45" w:type="dxa"/>
        </w:tblCellMar>
        <w:tblLook w:val="04A0" w:firstRow="1" w:lastRow="0" w:firstColumn="1" w:lastColumn="0" w:noHBand="0" w:noVBand="1"/>
      </w:tblPr>
      <w:tblGrid>
        <w:gridCol w:w="1024"/>
        <w:gridCol w:w="2104"/>
        <w:gridCol w:w="1040"/>
        <w:gridCol w:w="971"/>
        <w:gridCol w:w="4495"/>
      </w:tblGrid>
      <w:tr w:rsidR="00CB0DD7" w:rsidRPr="000A0A5F" w:rsidTr="00706FFD">
        <w:tc>
          <w:tcPr>
            <w:tcW w:w="531" w:type="pct"/>
            <w:vMerge w:val="restart"/>
            <w:shd w:val="clear" w:color="auto" w:fill="C0C0C0"/>
            <w:vAlign w:val="center"/>
            <w:hideMark/>
          </w:tcPr>
          <w:p w:rsidR="00CB0DD7" w:rsidRPr="000A0A5F" w:rsidRDefault="00CB0DD7">
            <w:pPr>
              <w:pStyle w:val="TAH"/>
            </w:pPr>
            <w:r w:rsidRPr="000A0A5F">
              <w:t>Request body</w:t>
            </w:r>
          </w:p>
        </w:tc>
        <w:tc>
          <w:tcPr>
            <w:tcW w:w="1092" w:type="pct"/>
            <w:shd w:val="clear" w:color="auto" w:fill="C0C0C0"/>
            <w:hideMark/>
          </w:tcPr>
          <w:p w:rsidR="00CB0DD7" w:rsidRPr="000A0A5F" w:rsidRDefault="00CB0DD7">
            <w:pPr>
              <w:pStyle w:val="TAH"/>
            </w:pPr>
            <w:r w:rsidRPr="000A0A5F">
              <w:t>Data type</w:t>
            </w:r>
          </w:p>
        </w:tc>
        <w:tc>
          <w:tcPr>
            <w:tcW w:w="540" w:type="pct"/>
            <w:shd w:val="clear" w:color="auto" w:fill="C0C0C0"/>
            <w:hideMark/>
          </w:tcPr>
          <w:p w:rsidR="00CB0DD7" w:rsidRPr="000A0A5F" w:rsidRDefault="00CB0DD7">
            <w:pPr>
              <w:pStyle w:val="TAH"/>
            </w:pPr>
            <w:r w:rsidRPr="000A0A5F">
              <w:t>Cardinality</w:t>
            </w:r>
          </w:p>
        </w:tc>
        <w:tc>
          <w:tcPr>
            <w:tcW w:w="2837" w:type="pct"/>
            <w:gridSpan w:val="2"/>
            <w:shd w:val="clear" w:color="auto" w:fill="C0C0C0"/>
            <w:hideMark/>
          </w:tcPr>
          <w:p w:rsidR="00CB0DD7" w:rsidRPr="000A0A5F" w:rsidRDefault="00CB0DD7">
            <w:pPr>
              <w:pStyle w:val="TAH"/>
            </w:pPr>
            <w:r w:rsidRPr="000A0A5F">
              <w:t>Remarks</w:t>
            </w:r>
          </w:p>
        </w:tc>
      </w:tr>
      <w:tr w:rsidR="00CB0DD7" w:rsidRPr="000A0A5F" w:rsidTr="00FF0AF8">
        <w:tc>
          <w:tcPr>
            <w:tcW w:w="0" w:type="auto"/>
            <w:vMerge/>
            <w:vAlign w:val="center"/>
            <w:hideMark/>
          </w:tcPr>
          <w:p w:rsidR="00CB0DD7" w:rsidRPr="000A0A5F" w:rsidRDefault="00CB0DD7">
            <w:pPr>
              <w:spacing w:after="0"/>
              <w:rPr>
                <w:rFonts w:ascii="Arial" w:hAnsi="Arial"/>
                <w:b/>
                <w:sz w:val="18"/>
              </w:rPr>
            </w:pPr>
          </w:p>
        </w:tc>
        <w:tc>
          <w:tcPr>
            <w:tcW w:w="1092" w:type="pct"/>
            <w:hideMark/>
          </w:tcPr>
          <w:p w:rsidR="00CB0DD7" w:rsidRPr="000A0A5F" w:rsidRDefault="00CB0DD7">
            <w:pPr>
              <w:pStyle w:val="TAL"/>
            </w:pPr>
            <w:r w:rsidRPr="000A0A5F">
              <w:t>none</w:t>
            </w:r>
          </w:p>
        </w:tc>
        <w:tc>
          <w:tcPr>
            <w:tcW w:w="540" w:type="pct"/>
          </w:tcPr>
          <w:p w:rsidR="00CB0DD7" w:rsidRPr="000A0A5F" w:rsidRDefault="00CB0DD7">
            <w:pPr>
              <w:pStyle w:val="TAL"/>
            </w:pPr>
          </w:p>
        </w:tc>
        <w:tc>
          <w:tcPr>
            <w:tcW w:w="2837" w:type="pct"/>
            <w:gridSpan w:val="2"/>
          </w:tcPr>
          <w:p w:rsidR="00CB0DD7" w:rsidRPr="000A0A5F" w:rsidRDefault="00CB0DD7">
            <w:pPr>
              <w:pStyle w:val="TAL"/>
            </w:pPr>
          </w:p>
        </w:tc>
      </w:tr>
      <w:tr w:rsidR="00CB0DD7" w:rsidRPr="000A0A5F" w:rsidTr="00706FFD">
        <w:tc>
          <w:tcPr>
            <w:tcW w:w="531" w:type="pct"/>
            <w:vMerge w:val="restart"/>
            <w:shd w:val="clear" w:color="auto" w:fill="C0C0C0"/>
            <w:vAlign w:val="center"/>
            <w:hideMark/>
          </w:tcPr>
          <w:p w:rsidR="00CB0DD7" w:rsidRPr="000A0A5F" w:rsidRDefault="00CB0DD7">
            <w:pPr>
              <w:pStyle w:val="TAH"/>
            </w:pPr>
            <w:r w:rsidRPr="000A0A5F">
              <w:t>Response body</w:t>
            </w:r>
          </w:p>
        </w:tc>
        <w:tc>
          <w:tcPr>
            <w:tcW w:w="1092" w:type="pct"/>
            <w:shd w:val="clear" w:color="auto" w:fill="C0C0C0"/>
          </w:tcPr>
          <w:p w:rsidR="00CB0DD7" w:rsidRPr="000A0A5F" w:rsidRDefault="00CB0DD7">
            <w:pPr>
              <w:pStyle w:val="TAH"/>
            </w:pPr>
          </w:p>
          <w:p w:rsidR="00CB0DD7" w:rsidRPr="000A0A5F" w:rsidRDefault="00CB0DD7">
            <w:pPr>
              <w:pStyle w:val="TAH"/>
            </w:pPr>
            <w:r w:rsidRPr="000A0A5F">
              <w:t>Data type</w:t>
            </w:r>
          </w:p>
        </w:tc>
        <w:tc>
          <w:tcPr>
            <w:tcW w:w="540" w:type="pct"/>
            <w:shd w:val="clear" w:color="auto" w:fill="C0C0C0"/>
          </w:tcPr>
          <w:p w:rsidR="00CB0DD7" w:rsidRPr="000A0A5F" w:rsidRDefault="00CB0DD7">
            <w:pPr>
              <w:pStyle w:val="TAH"/>
            </w:pPr>
          </w:p>
          <w:p w:rsidR="00CB0DD7" w:rsidRPr="000A0A5F" w:rsidRDefault="00CB0DD7">
            <w:pPr>
              <w:pStyle w:val="TAH"/>
            </w:pPr>
            <w:r w:rsidRPr="000A0A5F">
              <w:t>Cardinality</w:t>
            </w:r>
          </w:p>
        </w:tc>
        <w:tc>
          <w:tcPr>
            <w:tcW w:w="504" w:type="pct"/>
            <w:shd w:val="clear" w:color="auto" w:fill="C0C0C0"/>
            <w:hideMark/>
          </w:tcPr>
          <w:p w:rsidR="00CB0DD7" w:rsidRPr="000A0A5F" w:rsidRDefault="00CB0DD7">
            <w:pPr>
              <w:pStyle w:val="TAH"/>
            </w:pPr>
            <w:r w:rsidRPr="000A0A5F">
              <w:t>Response</w:t>
            </w:r>
          </w:p>
          <w:p w:rsidR="00CB0DD7" w:rsidRPr="000A0A5F" w:rsidRDefault="00CB0DD7">
            <w:pPr>
              <w:pStyle w:val="TAH"/>
            </w:pPr>
            <w:r w:rsidRPr="000A0A5F">
              <w:t>codes</w:t>
            </w:r>
          </w:p>
        </w:tc>
        <w:tc>
          <w:tcPr>
            <w:tcW w:w="2333" w:type="pct"/>
            <w:shd w:val="clear" w:color="auto" w:fill="C0C0C0"/>
          </w:tcPr>
          <w:p w:rsidR="00CB0DD7" w:rsidRPr="000A0A5F" w:rsidRDefault="00CB0DD7">
            <w:pPr>
              <w:pStyle w:val="TAH"/>
            </w:pPr>
          </w:p>
          <w:p w:rsidR="00CB0DD7" w:rsidRPr="000A0A5F" w:rsidRDefault="00CB0DD7">
            <w:pPr>
              <w:pStyle w:val="TAH"/>
            </w:pPr>
            <w:r w:rsidRPr="000A0A5F">
              <w:t>Remarks</w:t>
            </w:r>
          </w:p>
        </w:tc>
      </w:tr>
      <w:tr w:rsidR="00CB0DD7" w:rsidRPr="000A0A5F" w:rsidTr="00FF0AF8">
        <w:tc>
          <w:tcPr>
            <w:tcW w:w="0" w:type="auto"/>
            <w:vMerge/>
            <w:vAlign w:val="center"/>
            <w:hideMark/>
          </w:tcPr>
          <w:p w:rsidR="00CB0DD7" w:rsidRPr="000A0A5F" w:rsidRDefault="00CB0DD7">
            <w:pPr>
              <w:spacing w:after="0"/>
              <w:rPr>
                <w:rFonts w:ascii="Arial" w:hAnsi="Arial"/>
                <w:b/>
                <w:sz w:val="18"/>
              </w:rPr>
            </w:pPr>
          </w:p>
        </w:tc>
        <w:tc>
          <w:tcPr>
            <w:tcW w:w="1092" w:type="pct"/>
            <w:hideMark/>
          </w:tcPr>
          <w:p w:rsidR="00CB0DD7" w:rsidRPr="000A0A5F" w:rsidRDefault="00CB0DD7">
            <w:pPr>
              <w:pStyle w:val="TAL"/>
            </w:pPr>
            <w:r w:rsidRPr="000A0A5F">
              <w:t>none</w:t>
            </w:r>
          </w:p>
        </w:tc>
        <w:tc>
          <w:tcPr>
            <w:tcW w:w="540" w:type="pct"/>
          </w:tcPr>
          <w:p w:rsidR="00CB0DD7" w:rsidRPr="000A0A5F" w:rsidRDefault="00CB0DD7">
            <w:pPr>
              <w:pStyle w:val="TAL"/>
            </w:pPr>
          </w:p>
        </w:tc>
        <w:tc>
          <w:tcPr>
            <w:tcW w:w="504" w:type="pct"/>
            <w:hideMark/>
          </w:tcPr>
          <w:p w:rsidR="00CB0DD7" w:rsidRPr="000A0A5F" w:rsidRDefault="00CB0DD7">
            <w:pPr>
              <w:pStyle w:val="TAL"/>
            </w:pPr>
            <w:r w:rsidRPr="000A0A5F">
              <w:t>204 No Content</w:t>
            </w:r>
          </w:p>
        </w:tc>
        <w:tc>
          <w:tcPr>
            <w:tcW w:w="2333" w:type="pct"/>
            <w:hideMark/>
          </w:tcPr>
          <w:p w:rsidR="00CB0DD7" w:rsidRPr="000A0A5F" w:rsidRDefault="00CB0DD7">
            <w:pPr>
              <w:pStyle w:val="TAL"/>
              <w:spacing w:afterLines="50" w:after="120"/>
            </w:pPr>
            <w:r w:rsidRPr="000A0A5F">
              <w:t>The provisioning was terminated successfully.</w:t>
            </w:r>
          </w:p>
          <w:p w:rsidR="00CB0DD7" w:rsidRPr="000A0A5F" w:rsidRDefault="00CB0DD7">
            <w:pPr>
              <w:pStyle w:val="TAL"/>
            </w:pPr>
            <w:r w:rsidRPr="000A0A5F">
              <w:t>The response body shall be empty.</w:t>
            </w:r>
          </w:p>
        </w:tc>
      </w:tr>
      <w:tr w:rsidR="00CB0DD7" w:rsidRPr="000A0A5F" w:rsidTr="00FF0AF8">
        <w:tc>
          <w:tcPr>
            <w:tcW w:w="0" w:type="auto"/>
            <w:vMerge/>
            <w:vAlign w:val="center"/>
          </w:tcPr>
          <w:p w:rsidR="00CB0DD7" w:rsidRPr="000A0A5F" w:rsidRDefault="00CB0DD7">
            <w:pPr>
              <w:spacing w:after="0"/>
              <w:rPr>
                <w:rFonts w:ascii="Arial" w:hAnsi="Arial"/>
                <w:b/>
                <w:sz w:val="18"/>
              </w:rPr>
            </w:pPr>
          </w:p>
        </w:tc>
        <w:tc>
          <w:tcPr>
            <w:tcW w:w="1092" w:type="pct"/>
          </w:tcPr>
          <w:p w:rsidR="00CB0DD7" w:rsidRPr="000A0A5F" w:rsidRDefault="00CB0DD7">
            <w:pPr>
              <w:pStyle w:val="TAL"/>
            </w:pPr>
            <w:r w:rsidRPr="000A0A5F">
              <w:t>none</w:t>
            </w:r>
          </w:p>
        </w:tc>
        <w:tc>
          <w:tcPr>
            <w:tcW w:w="540" w:type="pct"/>
          </w:tcPr>
          <w:p w:rsidR="00CB0DD7" w:rsidRPr="000A0A5F" w:rsidRDefault="00CB0DD7">
            <w:pPr>
              <w:pStyle w:val="TAL"/>
            </w:pPr>
          </w:p>
        </w:tc>
        <w:tc>
          <w:tcPr>
            <w:tcW w:w="504" w:type="pct"/>
          </w:tcPr>
          <w:p w:rsidR="00CB0DD7" w:rsidRPr="000A0A5F" w:rsidRDefault="00CB0DD7">
            <w:pPr>
              <w:pStyle w:val="TAL"/>
            </w:pPr>
            <w:r w:rsidRPr="000A0A5F">
              <w:t>307 Temporary Redirect</w:t>
            </w:r>
          </w:p>
        </w:tc>
        <w:tc>
          <w:tcPr>
            <w:tcW w:w="2333" w:type="pct"/>
          </w:tcPr>
          <w:p w:rsidR="00CB0DD7" w:rsidRPr="000A0A5F" w:rsidRDefault="00CB0DD7">
            <w:pPr>
              <w:pStyle w:val="TAL"/>
            </w:pPr>
            <w:r w:rsidRPr="000A0A5F">
              <w:t>Temporary redirection, during resource termination. The response shall include a Location header field containing an alternative URI of the resource located in an alternative SCEF.</w:t>
            </w:r>
          </w:p>
          <w:p w:rsidR="00CB0DD7" w:rsidRPr="000A0A5F" w:rsidRDefault="00CB0DD7">
            <w:pPr>
              <w:pStyle w:val="TAL"/>
              <w:spacing w:afterLines="50" w:after="120"/>
            </w:pPr>
            <w:r w:rsidRPr="000A0A5F">
              <w:t>Redirection handling is described in clause 5.2.10.</w:t>
            </w:r>
          </w:p>
        </w:tc>
      </w:tr>
      <w:tr w:rsidR="00CB0DD7" w:rsidRPr="000A0A5F" w:rsidTr="00FF0AF8">
        <w:tc>
          <w:tcPr>
            <w:tcW w:w="0" w:type="auto"/>
            <w:vMerge/>
            <w:vAlign w:val="center"/>
          </w:tcPr>
          <w:p w:rsidR="00CB0DD7" w:rsidRPr="000A0A5F" w:rsidRDefault="00CB0DD7">
            <w:pPr>
              <w:spacing w:after="0"/>
              <w:rPr>
                <w:rFonts w:ascii="Arial" w:hAnsi="Arial"/>
                <w:b/>
                <w:sz w:val="18"/>
              </w:rPr>
            </w:pPr>
          </w:p>
        </w:tc>
        <w:tc>
          <w:tcPr>
            <w:tcW w:w="1092" w:type="pct"/>
          </w:tcPr>
          <w:p w:rsidR="00CB0DD7" w:rsidRPr="000A0A5F" w:rsidRDefault="00CB0DD7">
            <w:pPr>
              <w:pStyle w:val="TAL"/>
            </w:pPr>
            <w:r w:rsidRPr="000A0A5F">
              <w:t>none</w:t>
            </w:r>
          </w:p>
        </w:tc>
        <w:tc>
          <w:tcPr>
            <w:tcW w:w="540" w:type="pct"/>
          </w:tcPr>
          <w:p w:rsidR="00CB0DD7" w:rsidRPr="000A0A5F" w:rsidRDefault="00CB0DD7">
            <w:pPr>
              <w:pStyle w:val="TAL"/>
            </w:pPr>
          </w:p>
        </w:tc>
        <w:tc>
          <w:tcPr>
            <w:tcW w:w="504" w:type="pct"/>
          </w:tcPr>
          <w:p w:rsidR="00CB0DD7" w:rsidRPr="000A0A5F" w:rsidRDefault="00CB0DD7">
            <w:pPr>
              <w:pStyle w:val="TAL"/>
            </w:pPr>
            <w:r w:rsidRPr="000A0A5F">
              <w:t>308 Permanent Redirect</w:t>
            </w:r>
          </w:p>
        </w:tc>
        <w:tc>
          <w:tcPr>
            <w:tcW w:w="2333" w:type="pct"/>
          </w:tcPr>
          <w:p w:rsidR="00CB0DD7" w:rsidRPr="000A0A5F" w:rsidRDefault="00CB0DD7">
            <w:pPr>
              <w:pStyle w:val="TAL"/>
            </w:pPr>
            <w:r w:rsidRPr="000A0A5F">
              <w:t>Permanent redirection, during resource termination. The response shall include a Location header field containing an alternative URI of the resource located in an alternative SCEF.</w:t>
            </w:r>
          </w:p>
          <w:p w:rsidR="00CB0DD7" w:rsidRPr="000A0A5F" w:rsidRDefault="00CB0DD7">
            <w:pPr>
              <w:pStyle w:val="TAL"/>
              <w:spacing w:afterLines="50" w:after="120"/>
            </w:pPr>
            <w:r w:rsidRPr="000A0A5F">
              <w:t>Redirection handling is described in clause 5.2.10.</w:t>
            </w:r>
          </w:p>
        </w:tc>
      </w:tr>
      <w:tr w:rsidR="00CB0DD7" w:rsidRPr="000A0A5F" w:rsidTr="00FF0AF8">
        <w:tc>
          <w:tcPr>
            <w:tcW w:w="5000" w:type="pct"/>
            <w:gridSpan w:val="5"/>
            <w:vAlign w:val="center"/>
            <w:hideMark/>
          </w:tcPr>
          <w:p w:rsidR="00CB0DD7" w:rsidRPr="000A0A5F" w:rsidRDefault="00CB0DD7">
            <w:pPr>
              <w:pStyle w:val="TAN"/>
            </w:pPr>
            <w:r w:rsidRPr="000A0A5F">
              <w:t>NOTE:</w:t>
            </w:r>
            <w:r w:rsidRPr="000A0A5F">
              <w:tab/>
              <w:t>The mandatory HTTP error status codes for the DELETE method listed in table 5.2.6-1 also apply.</w:t>
            </w:r>
          </w:p>
        </w:tc>
      </w:tr>
    </w:tbl>
    <w:p w:rsidR="00CB0DD7" w:rsidRPr="000A0A5F" w:rsidRDefault="00CB0DD7"/>
    <w:p w:rsidR="00CB0DD7" w:rsidRPr="000A0A5F" w:rsidRDefault="002E466A">
      <w:pPr>
        <w:pStyle w:val="TH"/>
      </w:pPr>
      <w:r w:rsidRPr="000A0A5F">
        <w:t>Table </w:t>
      </w:r>
      <w:r w:rsidR="00CB0DD7" w:rsidRPr="000A0A5F">
        <w:t>5.16.3.3.3.5-3: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2E466A">
      <w:pPr>
        <w:pStyle w:val="TH"/>
      </w:pPr>
      <w:r w:rsidRPr="000A0A5F">
        <w:t>Table </w:t>
      </w:r>
      <w:r w:rsidR="00CB0DD7" w:rsidRPr="000A0A5F">
        <w:t>5.16.3.3.3.5-4: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B0DD7" w:rsidRPr="000A0A5F" w:rsidTr="00FF0AF8">
        <w:trPr>
          <w:jc w:val="center"/>
        </w:trPr>
        <w:tc>
          <w:tcPr>
            <w:tcW w:w="825" w:type="pct"/>
            <w:shd w:val="clear" w:color="auto" w:fill="C0C0C0"/>
          </w:tcPr>
          <w:p w:rsidR="00CB0DD7" w:rsidRPr="000A0A5F" w:rsidRDefault="00CB0DD7">
            <w:pPr>
              <w:pStyle w:val="TAH"/>
            </w:pPr>
            <w:r w:rsidRPr="000A0A5F">
              <w:t>Name</w:t>
            </w:r>
          </w:p>
        </w:tc>
        <w:tc>
          <w:tcPr>
            <w:tcW w:w="732" w:type="pct"/>
            <w:shd w:val="clear" w:color="auto" w:fill="C0C0C0"/>
          </w:tcPr>
          <w:p w:rsidR="00CB0DD7" w:rsidRPr="000A0A5F" w:rsidRDefault="00CB0DD7">
            <w:pPr>
              <w:pStyle w:val="TAH"/>
            </w:pPr>
            <w:r w:rsidRPr="000A0A5F">
              <w:t>Data type</w:t>
            </w:r>
          </w:p>
        </w:tc>
        <w:tc>
          <w:tcPr>
            <w:tcW w:w="217" w:type="pct"/>
            <w:shd w:val="clear" w:color="auto" w:fill="C0C0C0"/>
          </w:tcPr>
          <w:p w:rsidR="00CB0DD7" w:rsidRPr="000A0A5F" w:rsidRDefault="00CB0DD7">
            <w:pPr>
              <w:pStyle w:val="TAH"/>
            </w:pPr>
            <w:r w:rsidRPr="000A0A5F">
              <w:t>P</w:t>
            </w:r>
          </w:p>
        </w:tc>
        <w:tc>
          <w:tcPr>
            <w:tcW w:w="581" w:type="pct"/>
            <w:shd w:val="clear" w:color="auto" w:fill="C0C0C0"/>
          </w:tcPr>
          <w:p w:rsidR="00CB0DD7" w:rsidRPr="000A0A5F" w:rsidRDefault="00CB0DD7">
            <w:pPr>
              <w:pStyle w:val="TAH"/>
            </w:pPr>
            <w:r w:rsidRPr="000A0A5F">
              <w:t>Cardinality</w:t>
            </w:r>
          </w:p>
        </w:tc>
        <w:tc>
          <w:tcPr>
            <w:tcW w:w="2645" w:type="pct"/>
            <w:shd w:val="clear" w:color="auto" w:fill="C0C0C0"/>
            <w:vAlign w:val="center"/>
          </w:tcPr>
          <w:p w:rsidR="00CB0DD7" w:rsidRPr="000A0A5F" w:rsidRDefault="00CB0DD7">
            <w:pPr>
              <w:pStyle w:val="TAH"/>
            </w:pPr>
            <w:r w:rsidRPr="000A0A5F">
              <w:t>Description</w:t>
            </w:r>
          </w:p>
        </w:tc>
      </w:tr>
      <w:tr w:rsidR="00CB0DD7" w:rsidRPr="000A0A5F" w:rsidTr="00FF0AF8">
        <w:trPr>
          <w:jc w:val="center"/>
        </w:trPr>
        <w:tc>
          <w:tcPr>
            <w:tcW w:w="825" w:type="pct"/>
            <w:shd w:val="clear" w:color="auto" w:fill="auto"/>
          </w:tcPr>
          <w:p w:rsidR="00CB0DD7" w:rsidRPr="000A0A5F" w:rsidRDefault="00CB0DD7">
            <w:pPr>
              <w:pStyle w:val="TAL"/>
            </w:pPr>
            <w:r w:rsidRPr="000A0A5F">
              <w:t>Location</w:t>
            </w:r>
          </w:p>
        </w:tc>
        <w:tc>
          <w:tcPr>
            <w:tcW w:w="732" w:type="pct"/>
          </w:tcPr>
          <w:p w:rsidR="00CB0DD7" w:rsidRPr="000A0A5F" w:rsidRDefault="00CB0DD7">
            <w:pPr>
              <w:pStyle w:val="TAL"/>
            </w:pPr>
            <w:r w:rsidRPr="000A0A5F">
              <w:t>string</w:t>
            </w:r>
          </w:p>
        </w:tc>
        <w:tc>
          <w:tcPr>
            <w:tcW w:w="217" w:type="pct"/>
          </w:tcPr>
          <w:p w:rsidR="00CB0DD7" w:rsidRPr="000A0A5F" w:rsidRDefault="00CB0DD7">
            <w:pPr>
              <w:pStyle w:val="TAC"/>
            </w:pPr>
            <w:r w:rsidRPr="000A0A5F">
              <w:t>M</w:t>
            </w:r>
          </w:p>
        </w:tc>
        <w:tc>
          <w:tcPr>
            <w:tcW w:w="581" w:type="pct"/>
          </w:tcPr>
          <w:p w:rsidR="00CB0DD7" w:rsidRPr="000A0A5F" w:rsidRDefault="00CB0DD7">
            <w:pPr>
              <w:pStyle w:val="TAL"/>
            </w:pPr>
            <w:r w:rsidRPr="000A0A5F">
              <w:t>1</w:t>
            </w:r>
          </w:p>
        </w:tc>
        <w:tc>
          <w:tcPr>
            <w:tcW w:w="2645" w:type="pct"/>
            <w:shd w:val="clear" w:color="auto" w:fill="auto"/>
            <w:vAlign w:val="center"/>
          </w:tcPr>
          <w:p w:rsidR="00CB0DD7" w:rsidRPr="000A0A5F" w:rsidRDefault="00CB0DD7">
            <w:pPr>
              <w:pStyle w:val="TAL"/>
            </w:pPr>
            <w:r w:rsidRPr="000A0A5F">
              <w:t>An alternative URI of the resource located in an alternative SCEF.</w:t>
            </w:r>
          </w:p>
        </w:tc>
      </w:tr>
    </w:tbl>
    <w:p w:rsidR="00CB0DD7" w:rsidRPr="000A0A5F" w:rsidRDefault="00CB0DD7"/>
    <w:p w:rsidR="00CB0DD7" w:rsidRPr="000A0A5F" w:rsidRDefault="00CB0DD7">
      <w:pPr>
        <w:pStyle w:val="Heading3"/>
      </w:pPr>
      <w:bookmarkStart w:id="10135" w:name="_Toc9325605"/>
      <w:bookmarkStart w:id="10136" w:name="_Toc27045100"/>
      <w:bookmarkStart w:id="10137" w:name="_Toc36034151"/>
      <w:bookmarkStart w:id="10138" w:name="_Toc45132299"/>
      <w:bookmarkStart w:id="10139" w:name="_Toc49776584"/>
      <w:bookmarkStart w:id="10140" w:name="_Toc51747504"/>
      <w:bookmarkStart w:id="10141" w:name="_Toc66361086"/>
      <w:bookmarkStart w:id="10142" w:name="_Toc68105591"/>
      <w:bookmarkStart w:id="10143" w:name="_Toc74756223"/>
      <w:bookmarkStart w:id="10144" w:name="_Toc105675100"/>
      <w:bookmarkStart w:id="10145" w:name="_Toc130503178"/>
      <w:bookmarkStart w:id="10146" w:name="_Toc153625970"/>
      <w:r w:rsidRPr="000A0A5F">
        <w:t>5.16.4</w:t>
      </w:r>
      <w:r w:rsidRPr="000A0A5F">
        <w:tab/>
        <w:t>Used Features</w:t>
      </w:r>
      <w:bookmarkEnd w:id="10135"/>
      <w:bookmarkEnd w:id="10136"/>
      <w:bookmarkEnd w:id="10137"/>
      <w:bookmarkEnd w:id="10138"/>
      <w:bookmarkEnd w:id="10139"/>
      <w:bookmarkEnd w:id="10140"/>
      <w:bookmarkEnd w:id="10141"/>
      <w:bookmarkEnd w:id="10142"/>
      <w:bookmarkEnd w:id="10143"/>
      <w:bookmarkEnd w:id="10144"/>
      <w:bookmarkEnd w:id="10145"/>
      <w:bookmarkEnd w:id="10146"/>
    </w:p>
    <w:p w:rsidR="00CB0DD7" w:rsidRPr="000A0A5F" w:rsidRDefault="00CB0DD7">
      <w:r w:rsidRPr="000A0A5F">
        <w:t>The table below defines the features applicable to the RacsParameterProvisioning API. Those features are negotiated as described in clause 5.2.7.</w:t>
      </w:r>
    </w:p>
    <w:p w:rsidR="00CB0DD7" w:rsidRPr="000A0A5F" w:rsidRDefault="00CB0DD7">
      <w:pPr>
        <w:pStyle w:val="TH"/>
      </w:pPr>
      <w:r w:rsidRPr="000A0A5F">
        <w:t>Table 5.16.4-1: Features used by RacsParameterProvisioning API</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120"/>
        <w:gridCol w:w="2058"/>
        <w:gridCol w:w="6679"/>
        <w:tblGridChange w:id="10147">
          <w:tblGrid>
            <w:gridCol w:w="1120"/>
            <w:gridCol w:w="2058"/>
            <w:gridCol w:w="6679"/>
          </w:tblGrid>
        </w:tblGridChange>
      </w:tblGrid>
      <w:tr w:rsidR="00CB0DD7" w:rsidRPr="000A0A5F" w:rsidTr="00FF0AF8">
        <w:trPr>
          <w:cantSplit/>
        </w:trPr>
        <w:tc>
          <w:tcPr>
            <w:tcW w:w="568" w:type="pct"/>
            <w:shd w:val="clear" w:color="auto" w:fill="C0C0C0"/>
            <w:hideMark/>
          </w:tcPr>
          <w:p w:rsidR="00CB0DD7" w:rsidRPr="000A0A5F" w:rsidRDefault="00CB0DD7">
            <w:pPr>
              <w:pStyle w:val="TAH"/>
              <w:rPr>
                <w:rFonts w:eastAsia="Times New Roman"/>
              </w:rPr>
            </w:pPr>
            <w:r w:rsidRPr="000A0A5F">
              <w:t>Feature Number</w:t>
            </w:r>
          </w:p>
        </w:tc>
        <w:tc>
          <w:tcPr>
            <w:tcW w:w="1044" w:type="pct"/>
            <w:shd w:val="clear" w:color="auto" w:fill="C0C0C0"/>
            <w:hideMark/>
          </w:tcPr>
          <w:p w:rsidR="00CB0DD7" w:rsidRPr="000A0A5F" w:rsidRDefault="00CB0DD7">
            <w:pPr>
              <w:pStyle w:val="TAH"/>
              <w:rPr>
                <w:rFonts w:eastAsia="Times New Roman"/>
              </w:rPr>
            </w:pPr>
            <w:r w:rsidRPr="000A0A5F">
              <w:rPr>
                <w:rFonts w:eastAsia="Times New Roman"/>
              </w:rPr>
              <w:t>Feature</w:t>
            </w:r>
          </w:p>
        </w:tc>
        <w:tc>
          <w:tcPr>
            <w:tcW w:w="3389" w:type="pct"/>
            <w:shd w:val="clear" w:color="auto" w:fill="C0C0C0"/>
            <w:hideMark/>
          </w:tcPr>
          <w:p w:rsidR="00CB0DD7" w:rsidRPr="000A0A5F" w:rsidRDefault="00CB0DD7">
            <w:pPr>
              <w:pStyle w:val="TAH"/>
              <w:rPr>
                <w:lang w:eastAsia="ko-KR"/>
              </w:rPr>
            </w:pPr>
            <w:r w:rsidRPr="000A0A5F">
              <w:rPr>
                <w:rFonts w:eastAsia="Times New Roman"/>
              </w:rPr>
              <w:t>Description</w:t>
            </w:r>
          </w:p>
        </w:tc>
      </w:tr>
      <w:tr w:rsidR="00CB0DD7" w:rsidRPr="000A0A5F" w:rsidTr="00FF0AF8">
        <w:trPr>
          <w:cantSplit/>
        </w:trPr>
        <w:tc>
          <w:tcPr>
            <w:tcW w:w="568" w:type="pct"/>
            <w:shd w:val="clear" w:color="auto" w:fill="auto"/>
          </w:tcPr>
          <w:p w:rsidR="00CB0DD7" w:rsidRPr="000A0A5F" w:rsidRDefault="00CB0DD7">
            <w:pPr>
              <w:pStyle w:val="TAH"/>
            </w:pPr>
          </w:p>
        </w:tc>
        <w:tc>
          <w:tcPr>
            <w:tcW w:w="1044" w:type="pct"/>
            <w:shd w:val="clear" w:color="auto" w:fill="auto"/>
          </w:tcPr>
          <w:p w:rsidR="00CB0DD7" w:rsidRPr="000A0A5F" w:rsidRDefault="00CB0DD7">
            <w:pPr>
              <w:pStyle w:val="TAH"/>
              <w:rPr>
                <w:rFonts w:eastAsia="Times New Roman"/>
              </w:rPr>
            </w:pPr>
          </w:p>
        </w:tc>
        <w:tc>
          <w:tcPr>
            <w:tcW w:w="3389" w:type="pct"/>
            <w:shd w:val="clear" w:color="auto" w:fill="auto"/>
          </w:tcPr>
          <w:p w:rsidR="00CB0DD7" w:rsidRPr="000A0A5F" w:rsidRDefault="00CB0DD7">
            <w:pPr>
              <w:pStyle w:val="TAH"/>
              <w:rPr>
                <w:rFonts w:eastAsia="Times New Roman"/>
              </w:rPr>
            </w:pPr>
          </w:p>
        </w:tc>
      </w:tr>
      <w:tr w:rsidR="00CB0DD7" w:rsidRPr="000A0A5F" w:rsidTr="00FF0AF8">
        <w:trPr>
          <w:cantSplit/>
        </w:trPr>
        <w:tc>
          <w:tcPr>
            <w:tcW w:w="568" w:type="pct"/>
            <w:hideMark/>
          </w:tcPr>
          <w:p w:rsidR="00CB0DD7" w:rsidRPr="000A0A5F" w:rsidRDefault="00CB0DD7">
            <w:pPr>
              <w:pStyle w:val="TAC"/>
              <w:rPr>
                <w:lang w:eastAsia="zh-CN"/>
              </w:rPr>
            </w:pPr>
          </w:p>
        </w:tc>
        <w:tc>
          <w:tcPr>
            <w:tcW w:w="1044" w:type="pct"/>
            <w:hideMark/>
          </w:tcPr>
          <w:p w:rsidR="00CB0DD7" w:rsidRPr="000A0A5F" w:rsidRDefault="00CB0DD7">
            <w:pPr>
              <w:pStyle w:val="TAC"/>
            </w:pPr>
          </w:p>
        </w:tc>
        <w:tc>
          <w:tcPr>
            <w:tcW w:w="3389" w:type="pct"/>
            <w:hideMark/>
          </w:tcPr>
          <w:p w:rsidR="00CB0DD7" w:rsidRPr="000A0A5F" w:rsidRDefault="00CB0DD7">
            <w:pPr>
              <w:pStyle w:val="TAL"/>
              <w:rPr>
                <w:rFonts w:cs="Arial"/>
                <w:szCs w:val="18"/>
                <w:lang w:eastAsia="zh-CN"/>
              </w:rPr>
            </w:pPr>
          </w:p>
        </w:tc>
      </w:tr>
      <w:tr w:rsidR="00CB0DD7" w:rsidRPr="000A0A5F" w:rsidTr="00FF0AF8">
        <w:trPr>
          <w:cantSplit/>
        </w:trPr>
        <w:tc>
          <w:tcPr>
            <w:tcW w:w="5000" w:type="pct"/>
            <w:gridSpan w:val="3"/>
            <w:hideMark/>
          </w:tcPr>
          <w:p w:rsidR="00CB0DD7" w:rsidRPr="000A0A5F" w:rsidRDefault="00CB0DD7">
            <w:pPr>
              <w:pStyle w:val="TAN"/>
              <w:rPr>
                <w:rFonts w:eastAsia="Times New Roman"/>
              </w:rPr>
            </w:pPr>
            <w:r w:rsidRPr="000A0A5F">
              <w:rPr>
                <w:rFonts w:eastAsia="Times New Roman"/>
              </w:rPr>
              <w:t>Feature:</w:t>
            </w:r>
            <w:r w:rsidRPr="000A0A5F">
              <w:rPr>
                <w:rFonts w:eastAsia="Times New Roman"/>
              </w:rPr>
              <w:tab/>
              <w:t>A short name that can be used to refer to the bit and to the feature, e.g. "</w:t>
            </w:r>
            <w:r w:rsidRPr="000A0A5F">
              <w:rPr>
                <w:lang w:eastAsia="zh-CN"/>
              </w:rPr>
              <w:t>Notification</w:t>
            </w:r>
            <w:r w:rsidRPr="000A0A5F">
              <w:rPr>
                <w:rFonts w:eastAsia="Times New Roman"/>
              </w:rPr>
              <w:t>".</w:t>
            </w:r>
          </w:p>
          <w:p w:rsidR="00CB0DD7" w:rsidRPr="000A0A5F" w:rsidRDefault="00CB0DD7">
            <w:pPr>
              <w:pStyle w:val="TAN"/>
              <w:rPr>
                <w:color w:val="000000"/>
                <w:lang w:eastAsia="zh-CN"/>
              </w:rPr>
            </w:pPr>
            <w:r w:rsidRPr="000A0A5F">
              <w:rPr>
                <w:rFonts w:eastAsia="Times New Roman"/>
              </w:rPr>
              <w:t>Description:</w:t>
            </w:r>
            <w:r w:rsidRPr="000A0A5F">
              <w:rPr>
                <w:rFonts w:eastAsia="Times New Roman"/>
              </w:rPr>
              <w:tab/>
              <w:t>A clear textual description of the feature.</w:t>
            </w:r>
          </w:p>
        </w:tc>
      </w:tr>
    </w:tbl>
    <w:p w:rsidR="00CB0DD7" w:rsidRPr="000A0A5F" w:rsidRDefault="00CB0DD7">
      <w:pPr>
        <w:rPr>
          <w:noProof/>
          <w:lang w:eastAsia="zh-CN"/>
        </w:rPr>
      </w:pPr>
    </w:p>
    <w:p w:rsidR="00CB0DD7" w:rsidRPr="000A0A5F" w:rsidRDefault="00CB0DD7">
      <w:pPr>
        <w:pStyle w:val="Heading3"/>
      </w:pPr>
      <w:bookmarkStart w:id="10148" w:name="_Toc9325606"/>
      <w:bookmarkStart w:id="10149" w:name="_Toc27045101"/>
      <w:bookmarkStart w:id="10150" w:name="_Toc36034152"/>
      <w:bookmarkStart w:id="10151" w:name="_Toc45132300"/>
      <w:bookmarkStart w:id="10152" w:name="_Toc49776585"/>
      <w:bookmarkStart w:id="10153" w:name="_Toc51747505"/>
      <w:bookmarkStart w:id="10154" w:name="_Toc66361087"/>
      <w:bookmarkStart w:id="10155" w:name="_Toc68105592"/>
      <w:bookmarkStart w:id="10156" w:name="_Toc74756224"/>
      <w:bookmarkStart w:id="10157" w:name="_Toc105675101"/>
      <w:bookmarkStart w:id="10158" w:name="_Toc130503179"/>
      <w:bookmarkStart w:id="10159" w:name="_Toc153625971"/>
      <w:r w:rsidRPr="000A0A5F">
        <w:t>5.16.5</w:t>
      </w:r>
      <w:r w:rsidRPr="000A0A5F">
        <w:tab/>
        <w:t>Error handling</w:t>
      </w:r>
      <w:bookmarkEnd w:id="10148"/>
      <w:bookmarkEnd w:id="10149"/>
      <w:bookmarkEnd w:id="10150"/>
      <w:bookmarkEnd w:id="10151"/>
      <w:bookmarkEnd w:id="10152"/>
      <w:bookmarkEnd w:id="10153"/>
      <w:bookmarkEnd w:id="10154"/>
      <w:bookmarkEnd w:id="10155"/>
      <w:bookmarkEnd w:id="10156"/>
      <w:bookmarkEnd w:id="10157"/>
      <w:bookmarkEnd w:id="10158"/>
      <w:bookmarkEnd w:id="10159"/>
    </w:p>
    <w:p w:rsidR="00CB0DD7" w:rsidRPr="000A0A5F" w:rsidRDefault="00CB0DD7">
      <w:pPr>
        <w:pStyle w:val="Heading4"/>
      </w:pPr>
      <w:bookmarkStart w:id="10160" w:name="_Toc27045102"/>
      <w:bookmarkStart w:id="10161" w:name="_Toc36034153"/>
      <w:bookmarkStart w:id="10162" w:name="_Toc45132301"/>
      <w:bookmarkStart w:id="10163" w:name="_Toc49776586"/>
      <w:bookmarkStart w:id="10164" w:name="_Toc51747506"/>
      <w:bookmarkStart w:id="10165" w:name="_Toc66361088"/>
      <w:bookmarkStart w:id="10166" w:name="_Toc68105593"/>
      <w:bookmarkStart w:id="10167" w:name="_Toc74756225"/>
      <w:bookmarkStart w:id="10168" w:name="_Toc105675102"/>
      <w:bookmarkStart w:id="10169" w:name="_Toc130503180"/>
      <w:bookmarkStart w:id="10170" w:name="_Toc153625972"/>
      <w:r w:rsidRPr="000A0A5F">
        <w:t>5.16.5.1</w:t>
      </w:r>
      <w:r w:rsidRPr="000A0A5F">
        <w:tab/>
        <w:t>General</w:t>
      </w:r>
      <w:bookmarkEnd w:id="10160"/>
      <w:bookmarkEnd w:id="10161"/>
      <w:bookmarkEnd w:id="10162"/>
      <w:bookmarkEnd w:id="10163"/>
      <w:bookmarkEnd w:id="10164"/>
      <w:bookmarkEnd w:id="10165"/>
      <w:bookmarkEnd w:id="10166"/>
      <w:bookmarkEnd w:id="10167"/>
      <w:bookmarkEnd w:id="10168"/>
      <w:bookmarkEnd w:id="10169"/>
      <w:bookmarkEnd w:id="10170"/>
    </w:p>
    <w:p w:rsidR="00CB0DD7" w:rsidRPr="000A0A5F" w:rsidRDefault="00CB0DD7">
      <w:r w:rsidRPr="000A0A5F">
        <w:t>HTTP error handling shall be supported as specified in clause 5.2.6.</w:t>
      </w:r>
    </w:p>
    <w:p w:rsidR="00CB0DD7" w:rsidRPr="000A0A5F" w:rsidRDefault="00CB0DD7">
      <w:r w:rsidRPr="000A0A5F">
        <w:t>In addition, the requirements in the following clauses shall apply.</w:t>
      </w:r>
    </w:p>
    <w:p w:rsidR="00CB0DD7" w:rsidRPr="000A0A5F" w:rsidRDefault="00CB0DD7">
      <w:pPr>
        <w:pStyle w:val="Heading4"/>
      </w:pPr>
      <w:bookmarkStart w:id="10171" w:name="_Toc27045103"/>
      <w:bookmarkStart w:id="10172" w:name="_Toc36034154"/>
      <w:bookmarkStart w:id="10173" w:name="_Toc45132302"/>
      <w:bookmarkStart w:id="10174" w:name="_Toc49776587"/>
      <w:bookmarkStart w:id="10175" w:name="_Toc51747507"/>
      <w:bookmarkStart w:id="10176" w:name="_Toc66361089"/>
      <w:bookmarkStart w:id="10177" w:name="_Toc68105594"/>
      <w:bookmarkStart w:id="10178" w:name="_Toc74756226"/>
      <w:bookmarkStart w:id="10179" w:name="_Toc105675103"/>
      <w:bookmarkStart w:id="10180" w:name="_Toc130503181"/>
      <w:bookmarkStart w:id="10181" w:name="_Toc153625973"/>
      <w:r w:rsidRPr="000A0A5F">
        <w:t>5.16.5.2</w:t>
      </w:r>
      <w:r w:rsidRPr="000A0A5F">
        <w:tab/>
        <w:t>Protocol Errors</w:t>
      </w:r>
      <w:bookmarkEnd w:id="10171"/>
      <w:bookmarkEnd w:id="10172"/>
      <w:bookmarkEnd w:id="10173"/>
      <w:bookmarkEnd w:id="10174"/>
      <w:bookmarkEnd w:id="10175"/>
      <w:bookmarkEnd w:id="10176"/>
      <w:bookmarkEnd w:id="10177"/>
      <w:bookmarkEnd w:id="10178"/>
      <w:bookmarkEnd w:id="10179"/>
      <w:bookmarkEnd w:id="10180"/>
      <w:bookmarkEnd w:id="10181"/>
    </w:p>
    <w:p w:rsidR="00CB0DD7" w:rsidRPr="000A0A5F" w:rsidRDefault="00CB0DD7">
      <w:r w:rsidRPr="000A0A5F">
        <w:rPr>
          <w:lang w:eastAsia="zh-CN"/>
        </w:rPr>
        <w:t xml:space="preserve">In this release </w:t>
      </w:r>
      <w:r w:rsidRPr="000A0A5F">
        <w:t>of the specification, there are no additional protocol errors applicable for the Racs</w:t>
      </w:r>
      <w:r w:rsidRPr="000A0A5F">
        <w:rPr>
          <w:noProof/>
          <w:lang w:eastAsia="zh-CN"/>
        </w:rPr>
        <w:t xml:space="preserve">ParameterProvisioning </w:t>
      </w:r>
      <w:r w:rsidRPr="000A0A5F">
        <w:t>API.</w:t>
      </w:r>
    </w:p>
    <w:p w:rsidR="00CB0DD7" w:rsidRPr="000A0A5F" w:rsidRDefault="00CB0DD7">
      <w:pPr>
        <w:pStyle w:val="Heading4"/>
      </w:pPr>
      <w:bookmarkStart w:id="10182" w:name="_Toc27045104"/>
      <w:bookmarkStart w:id="10183" w:name="_Toc36034155"/>
      <w:bookmarkStart w:id="10184" w:name="_Toc45132303"/>
      <w:bookmarkStart w:id="10185" w:name="_Toc49776588"/>
      <w:bookmarkStart w:id="10186" w:name="_Toc51747508"/>
      <w:bookmarkStart w:id="10187" w:name="_Toc66361090"/>
      <w:bookmarkStart w:id="10188" w:name="_Toc68105595"/>
      <w:bookmarkStart w:id="10189" w:name="_Toc74756227"/>
      <w:bookmarkStart w:id="10190" w:name="_Toc105675104"/>
      <w:bookmarkStart w:id="10191" w:name="_Toc130503182"/>
      <w:bookmarkStart w:id="10192" w:name="_Toc153625974"/>
      <w:r w:rsidRPr="000A0A5F">
        <w:t>5.16.5.3</w:t>
      </w:r>
      <w:r w:rsidRPr="000A0A5F">
        <w:tab/>
        <w:t>Application Errors</w:t>
      </w:r>
      <w:bookmarkEnd w:id="10182"/>
      <w:bookmarkEnd w:id="10183"/>
      <w:bookmarkEnd w:id="10184"/>
      <w:bookmarkEnd w:id="10185"/>
      <w:bookmarkEnd w:id="10186"/>
      <w:bookmarkEnd w:id="10187"/>
      <w:bookmarkEnd w:id="10188"/>
      <w:bookmarkEnd w:id="10189"/>
      <w:bookmarkEnd w:id="10190"/>
      <w:bookmarkEnd w:id="10191"/>
      <w:bookmarkEnd w:id="10192"/>
    </w:p>
    <w:p w:rsidR="00CB0DD7" w:rsidRPr="000A0A5F" w:rsidRDefault="00CB0DD7">
      <w:r w:rsidRPr="000A0A5F">
        <w:t>The application errors defined for the Racs</w:t>
      </w:r>
      <w:r w:rsidRPr="000A0A5F">
        <w:rPr>
          <w:noProof/>
          <w:lang w:eastAsia="zh-CN"/>
        </w:rPr>
        <w:t xml:space="preserve">ParameterProvisioning </w:t>
      </w:r>
      <w:r w:rsidRPr="000A0A5F">
        <w:t>API are listed in table 5.16.5.3-1.</w:t>
      </w:r>
    </w:p>
    <w:p w:rsidR="00CB0DD7" w:rsidRPr="000A0A5F" w:rsidRDefault="002E466A">
      <w:pPr>
        <w:pStyle w:val="TH"/>
      </w:pPr>
      <w:r w:rsidRPr="000A0A5F">
        <w:t>Table </w:t>
      </w:r>
      <w:r w:rsidR="00CB0DD7" w:rsidRPr="000A0A5F">
        <w:t>5.16.5.3-1: Application errors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4A0" w:firstRow="1" w:lastRow="0" w:firstColumn="1" w:lastColumn="0" w:noHBand="0" w:noVBand="1"/>
      </w:tblPr>
      <w:tblGrid>
        <w:gridCol w:w="3203"/>
        <w:gridCol w:w="1980"/>
        <w:gridCol w:w="4564"/>
      </w:tblGrid>
      <w:tr w:rsidR="00CB0DD7" w:rsidRPr="000A0A5F" w:rsidTr="00FF0AF8">
        <w:trPr>
          <w:cantSplit/>
          <w:jc w:val="center"/>
        </w:trPr>
        <w:tc>
          <w:tcPr>
            <w:tcW w:w="3203" w:type="dxa"/>
            <w:shd w:val="clear" w:color="000000" w:fill="C0C0C0"/>
            <w:hideMark/>
          </w:tcPr>
          <w:p w:rsidR="00CB0DD7" w:rsidRPr="000A0A5F" w:rsidRDefault="00CB0DD7">
            <w:pPr>
              <w:pStyle w:val="TAH"/>
            </w:pPr>
            <w:r w:rsidRPr="000A0A5F">
              <w:t>Application Error</w:t>
            </w:r>
          </w:p>
        </w:tc>
        <w:tc>
          <w:tcPr>
            <w:tcW w:w="1980" w:type="dxa"/>
            <w:shd w:val="clear" w:color="000000" w:fill="C0C0C0"/>
            <w:hideMark/>
          </w:tcPr>
          <w:p w:rsidR="00CB0DD7" w:rsidRPr="000A0A5F" w:rsidRDefault="00CB0DD7">
            <w:pPr>
              <w:pStyle w:val="TAH"/>
            </w:pPr>
            <w:r w:rsidRPr="000A0A5F">
              <w:t>HTTP status code</w:t>
            </w:r>
          </w:p>
        </w:tc>
        <w:tc>
          <w:tcPr>
            <w:tcW w:w="4564" w:type="dxa"/>
            <w:shd w:val="clear" w:color="000000" w:fill="C0C0C0"/>
            <w:hideMark/>
          </w:tcPr>
          <w:p w:rsidR="00CB0DD7" w:rsidRPr="000A0A5F" w:rsidRDefault="00CB0DD7">
            <w:pPr>
              <w:pStyle w:val="TAH"/>
            </w:pPr>
            <w:r w:rsidRPr="000A0A5F">
              <w:t>Description</w:t>
            </w:r>
          </w:p>
        </w:tc>
      </w:tr>
      <w:tr w:rsidR="00CB0DD7" w:rsidRPr="000A0A5F" w:rsidTr="00FF0AF8">
        <w:trPr>
          <w:cantSplit/>
          <w:jc w:val="center"/>
        </w:trPr>
        <w:tc>
          <w:tcPr>
            <w:tcW w:w="3203" w:type="dxa"/>
            <w:shd w:val="clear" w:color="auto" w:fill="auto"/>
          </w:tcPr>
          <w:p w:rsidR="00CB0DD7" w:rsidRPr="000A0A5F" w:rsidRDefault="00CB0DD7">
            <w:pPr>
              <w:pStyle w:val="TAH"/>
            </w:pPr>
          </w:p>
        </w:tc>
        <w:tc>
          <w:tcPr>
            <w:tcW w:w="1980" w:type="dxa"/>
            <w:shd w:val="clear" w:color="auto" w:fill="auto"/>
          </w:tcPr>
          <w:p w:rsidR="00CB0DD7" w:rsidRPr="000A0A5F" w:rsidRDefault="00CB0DD7">
            <w:pPr>
              <w:pStyle w:val="TAH"/>
            </w:pPr>
          </w:p>
        </w:tc>
        <w:tc>
          <w:tcPr>
            <w:tcW w:w="4564" w:type="dxa"/>
            <w:shd w:val="clear" w:color="auto" w:fill="auto"/>
          </w:tcPr>
          <w:p w:rsidR="00CB0DD7" w:rsidRPr="000A0A5F" w:rsidRDefault="00CB0DD7">
            <w:pPr>
              <w:pStyle w:val="TAH"/>
            </w:pPr>
          </w:p>
        </w:tc>
      </w:tr>
    </w:tbl>
    <w:p w:rsidR="00CB0DD7" w:rsidRPr="000A0A5F" w:rsidRDefault="00CB0DD7">
      <w:pPr>
        <w:rPr>
          <w:rFonts w:hint="eastAsia"/>
        </w:rPr>
      </w:pPr>
    </w:p>
    <w:p w:rsidR="00CB0DD7" w:rsidRPr="000A0A5F" w:rsidRDefault="00CB0DD7">
      <w:pPr>
        <w:pStyle w:val="Heading1"/>
      </w:pPr>
      <w:bookmarkStart w:id="10193" w:name="_Toc11247923"/>
      <w:bookmarkStart w:id="10194" w:name="_Toc27045105"/>
      <w:bookmarkStart w:id="10195" w:name="_Toc36034156"/>
      <w:bookmarkStart w:id="10196" w:name="_Toc45132304"/>
      <w:bookmarkStart w:id="10197" w:name="_Toc49776589"/>
      <w:bookmarkStart w:id="10198" w:name="_Toc51747509"/>
      <w:bookmarkStart w:id="10199" w:name="_Toc66361091"/>
      <w:bookmarkStart w:id="10200" w:name="_Toc68105596"/>
      <w:bookmarkStart w:id="10201" w:name="_Toc74756228"/>
      <w:bookmarkStart w:id="10202" w:name="_Toc105675105"/>
      <w:bookmarkStart w:id="10203" w:name="_Toc130503183"/>
      <w:bookmarkStart w:id="10204" w:name="_Toc153625975"/>
      <w:r w:rsidRPr="000A0A5F">
        <w:rPr>
          <w:rFonts w:hint="eastAsia"/>
          <w:lang w:eastAsia="zh-CN"/>
        </w:rPr>
        <w:t>6</w:t>
      </w:r>
      <w:r w:rsidRPr="000A0A5F">
        <w:tab/>
      </w:r>
      <w:r w:rsidRPr="000A0A5F">
        <w:rPr>
          <w:lang w:eastAsia="zh-CN"/>
        </w:rPr>
        <w:t>Security</w:t>
      </w:r>
      <w:bookmarkEnd w:id="10193"/>
      <w:bookmarkEnd w:id="10194"/>
      <w:bookmarkEnd w:id="10195"/>
      <w:bookmarkEnd w:id="10196"/>
      <w:bookmarkEnd w:id="10197"/>
      <w:bookmarkEnd w:id="10198"/>
      <w:bookmarkEnd w:id="10199"/>
      <w:bookmarkEnd w:id="10200"/>
      <w:bookmarkEnd w:id="10201"/>
      <w:bookmarkEnd w:id="10202"/>
      <w:bookmarkEnd w:id="10203"/>
      <w:bookmarkEnd w:id="10204"/>
    </w:p>
    <w:p w:rsidR="00CB0DD7" w:rsidRPr="000A0A5F" w:rsidRDefault="00CB0DD7">
      <w:pPr>
        <w:rPr>
          <w:lang w:eastAsia="zh-CN"/>
        </w:rPr>
      </w:pPr>
      <w:r w:rsidRPr="000A0A5F">
        <w:rPr>
          <w:lang w:val="en-US" w:eastAsia="zh-CN"/>
        </w:rPr>
        <w:t xml:space="preserve">TLS shall be used to support the </w:t>
      </w:r>
      <w:r w:rsidRPr="000A0A5F">
        <w:rPr>
          <w:rFonts w:hint="eastAsia"/>
          <w:lang w:eastAsia="zh-CN"/>
        </w:rPr>
        <w:t xml:space="preserve">security communication </w:t>
      </w:r>
      <w:r w:rsidRPr="000A0A5F">
        <w:rPr>
          <w:lang w:eastAsia="zh-CN"/>
        </w:rPr>
        <w:t>between the SCEF and the SCS/AS over T8 as</w:t>
      </w:r>
      <w:r w:rsidRPr="000A0A5F">
        <w:rPr>
          <w:rFonts w:hint="eastAsia"/>
          <w:lang w:eastAsia="zh-CN"/>
        </w:rPr>
        <w:t xml:space="preserve"> defined in</w:t>
      </w:r>
      <w:r w:rsidRPr="000A0A5F">
        <w:rPr>
          <w:lang w:eastAsia="zh-CN"/>
        </w:rPr>
        <w:t xml:space="preserve"> clause 5.5 of</w:t>
      </w:r>
      <w:r w:rsidRPr="000A0A5F">
        <w:rPr>
          <w:rFonts w:hint="eastAsia"/>
          <w:lang w:eastAsia="zh-CN"/>
        </w:rPr>
        <w:t xml:space="preserve"> 3GPP TS 33.187 [</w:t>
      </w:r>
      <w:r w:rsidRPr="000A0A5F">
        <w:rPr>
          <w:lang w:eastAsia="zh-CN"/>
        </w:rPr>
        <w:t>35</w:t>
      </w:r>
      <w:r w:rsidRPr="000A0A5F">
        <w:rPr>
          <w:rFonts w:hint="eastAsia"/>
          <w:lang w:eastAsia="zh-CN"/>
        </w:rPr>
        <w:t>].</w:t>
      </w:r>
      <w:r w:rsidRPr="000A0A5F">
        <w:rPr>
          <w:lang w:val="en-US" w:eastAsia="zh-CN"/>
        </w:rPr>
        <w:t xml:space="preserve"> The access to the SCEF northbound APIs shall be authorized by means of OAuth2 protocol </w:t>
      </w:r>
      <w:r w:rsidRPr="000A0A5F">
        <w:rPr>
          <w:lang w:val="en-US"/>
        </w:rPr>
        <w:t xml:space="preserve">(see IETF RFC 6749 [51]), based on local configuration, </w:t>
      </w:r>
      <w:r w:rsidRPr="000A0A5F">
        <w:t>using the "Client Credentials" authorization grant</w:t>
      </w:r>
      <w:r w:rsidRPr="000A0A5F">
        <w:rPr>
          <w:lang w:val="en-US"/>
        </w:rPr>
        <w:t xml:space="preserve">. </w:t>
      </w:r>
      <w:r w:rsidRPr="000A0A5F">
        <w:t xml:space="preserve">If OAuth2 is used, a client, prior to consuming services offered by the </w:t>
      </w:r>
      <w:r w:rsidRPr="000A0A5F">
        <w:rPr>
          <w:noProof/>
        </w:rPr>
        <w:t xml:space="preserve">SCEF Northbound </w:t>
      </w:r>
      <w:r w:rsidRPr="000A0A5F">
        <w:t>APIs, shall obtain a "token" from the authorization server.</w:t>
      </w:r>
    </w:p>
    <w:p w:rsidR="00CB0DD7" w:rsidRPr="000A0A5F" w:rsidRDefault="00CB0DD7">
      <w:pPr>
        <w:pStyle w:val="Heading1"/>
      </w:pPr>
      <w:bookmarkStart w:id="10205" w:name="_Toc11247924"/>
      <w:bookmarkStart w:id="10206" w:name="_Toc27045106"/>
      <w:bookmarkStart w:id="10207" w:name="_Toc36034157"/>
      <w:bookmarkStart w:id="10208" w:name="_Toc45132305"/>
      <w:bookmarkStart w:id="10209" w:name="_Toc49776590"/>
      <w:bookmarkStart w:id="10210" w:name="_Toc51747510"/>
      <w:bookmarkStart w:id="10211" w:name="_Toc66361092"/>
      <w:bookmarkStart w:id="10212" w:name="_Toc68105597"/>
      <w:bookmarkStart w:id="10213" w:name="_Toc74756229"/>
      <w:bookmarkStart w:id="10214" w:name="_Toc105675106"/>
      <w:bookmarkStart w:id="10215" w:name="_Toc130503184"/>
      <w:bookmarkStart w:id="10216" w:name="_Toc153625976"/>
      <w:r w:rsidRPr="000A0A5F">
        <w:t>7</w:t>
      </w:r>
      <w:r w:rsidRPr="000A0A5F">
        <w:tab/>
        <w:t>Using Common API Framework</w:t>
      </w:r>
      <w:bookmarkEnd w:id="10205"/>
      <w:bookmarkEnd w:id="10206"/>
      <w:bookmarkEnd w:id="10207"/>
      <w:bookmarkEnd w:id="10208"/>
      <w:bookmarkEnd w:id="10209"/>
      <w:bookmarkEnd w:id="10210"/>
      <w:bookmarkEnd w:id="10211"/>
      <w:bookmarkEnd w:id="10212"/>
      <w:bookmarkEnd w:id="10213"/>
      <w:bookmarkEnd w:id="10214"/>
      <w:bookmarkEnd w:id="10215"/>
      <w:bookmarkEnd w:id="10216"/>
    </w:p>
    <w:p w:rsidR="00CB0DD7" w:rsidRPr="000A0A5F" w:rsidRDefault="00CB0DD7">
      <w:pPr>
        <w:pStyle w:val="Heading2"/>
      </w:pPr>
      <w:bookmarkStart w:id="10217" w:name="_Toc11247925"/>
      <w:bookmarkStart w:id="10218" w:name="_Toc27045107"/>
      <w:bookmarkStart w:id="10219" w:name="_Toc36034158"/>
      <w:bookmarkStart w:id="10220" w:name="_Toc45132306"/>
      <w:bookmarkStart w:id="10221" w:name="_Toc49776591"/>
      <w:bookmarkStart w:id="10222" w:name="_Toc51747511"/>
      <w:bookmarkStart w:id="10223" w:name="_Toc66361093"/>
      <w:bookmarkStart w:id="10224" w:name="_Toc68105598"/>
      <w:bookmarkStart w:id="10225" w:name="_Toc74756230"/>
      <w:bookmarkStart w:id="10226" w:name="_Toc105675107"/>
      <w:bookmarkStart w:id="10227" w:name="_Toc130503185"/>
      <w:bookmarkStart w:id="10228" w:name="_Toc153625977"/>
      <w:r w:rsidRPr="000A0A5F">
        <w:t>7.1</w:t>
      </w:r>
      <w:r w:rsidRPr="000A0A5F">
        <w:tab/>
        <w:t>General</w:t>
      </w:r>
      <w:bookmarkEnd w:id="10217"/>
      <w:bookmarkEnd w:id="10218"/>
      <w:bookmarkEnd w:id="10219"/>
      <w:bookmarkEnd w:id="10220"/>
      <w:bookmarkEnd w:id="10221"/>
      <w:bookmarkEnd w:id="10222"/>
      <w:bookmarkEnd w:id="10223"/>
      <w:bookmarkEnd w:id="10224"/>
      <w:bookmarkEnd w:id="10225"/>
      <w:bookmarkEnd w:id="10226"/>
      <w:bookmarkEnd w:id="10227"/>
      <w:bookmarkEnd w:id="10228"/>
    </w:p>
    <w:p w:rsidR="00CB0DD7" w:rsidRPr="000A0A5F" w:rsidRDefault="00CB0DD7">
      <w:r w:rsidRPr="000A0A5F">
        <w:t>When CAPIF is used with the SCEF, the SCEF shall support the following as defined in 3GPP TS 29.222 [48]:</w:t>
      </w:r>
    </w:p>
    <w:p w:rsidR="00CB0DD7" w:rsidRPr="000A0A5F" w:rsidRDefault="00CB0DD7">
      <w:pPr>
        <w:pStyle w:val="B10"/>
      </w:pPr>
      <w:r w:rsidRPr="000A0A5F">
        <w:t>-</w:t>
      </w:r>
      <w:r w:rsidRPr="000A0A5F">
        <w:tab/>
        <w:t>the API exposing function and related APIs over CAPIF-2/2e and CAPIF-3/3e reference points;</w:t>
      </w:r>
    </w:p>
    <w:p w:rsidR="00CB0DD7" w:rsidRPr="000A0A5F" w:rsidRDefault="00CB0DD7">
      <w:pPr>
        <w:pStyle w:val="B10"/>
      </w:pPr>
      <w:r w:rsidRPr="000A0A5F">
        <w:t>-</w:t>
      </w:r>
      <w:r w:rsidRPr="000A0A5F">
        <w:tab/>
        <w:t>the API publishing function and related APIs over CAPIF-4/4e reference point;</w:t>
      </w:r>
    </w:p>
    <w:p w:rsidR="00CB0DD7" w:rsidRPr="000A0A5F" w:rsidRDefault="00CB0DD7">
      <w:pPr>
        <w:pStyle w:val="B10"/>
      </w:pPr>
      <w:r w:rsidRPr="000A0A5F">
        <w:t>-</w:t>
      </w:r>
      <w:r w:rsidRPr="000A0A5F">
        <w:tab/>
        <w:t>the API management function and related APIs over CAPIF-5/5e reference point; and</w:t>
      </w:r>
    </w:p>
    <w:p w:rsidR="00CB0DD7" w:rsidRPr="000A0A5F" w:rsidRDefault="00CB0DD7">
      <w:pPr>
        <w:pStyle w:val="B10"/>
      </w:pPr>
      <w:r w:rsidRPr="000A0A5F">
        <w:t>-</w:t>
      </w:r>
      <w:r w:rsidRPr="000A0A5F">
        <w:tab/>
        <w:t>at least one of the the security methods for authentication and authorization, and related security mechanisms.</w:t>
      </w:r>
    </w:p>
    <w:p w:rsidR="00CB0DD7" w:rsidRPr="000A0A5F" w:rsidRDefault="00CB0DD7">
      <w:r w:rsidRPr="000A0A5F">
        <w:t xml:space="preserve">In a centralized deployment as defined in 3GPP TS 23.222 [47], where the CAPIF core function and API provider domain functions are co-located, the interactions between the CAPIF core function and API provider domain functions may be independent of CAPIF-3/3e, CAPIF-4/4e and CAPIF-5/5e reference points. </w:t>
      </w:r>
    </w:p>
    <w:p w:rsidR="00CB0DD7" w:rsidRPr="000A0A5F" w:rsidRDefault="00CB0DD7">
      <w:r w:rsidRPr="000A0A5F">
        <w:t>When CAPIF is used with the SCEF, the SCEF shall register all the features for northbound APIs in the CAPIF Core Function.</w:t>
      </w:r>
    </w:p>
    <w:p w:rsidR="00CB0DD7" w:rsidRPr="000A0A5F" w:rsidRDefault="00CB0DD7">
      <w:pPr>
        <w:pStyle w:val="Heading2"/>
      </w:pPr>
      <w:bookmarkStart w:id="10229" w:name="_Toc11247926"/>
      <w:bookmarkStart w:id="10230" w:name="_Toc27045108"/>
      <w:bookmarkStart w:id="10231" w:name="_Toc36034159"/>
      <w:bookmarkStart w:id="10232" w:name="_Toc45132307"/>
      <w:bookmarkStart w:id="10233" w:name="_Toc49776592"/>
      <w:bookmarkStart w:id="10234" w:name="_Toc51747512"/>
      <w:bookmarkStart w:id="10235" w:name="_Toc66361094"/>
      <w:bookmarkStart w:id="10236" w:name="_Toc68105599"/>
      <w:bookmarkStart w:id="10237" w:name="_Toc74756231"/>
      <w:bookmarkStart w:id="10238" w:name="_Toc105675108"/>
      <w:bookmarkStart w:id="10239" w:name="_Toc130503186"/>
      <w:bookmarkStart w:id="10240" w:name="_Toc153625978"/>
      <w:r w:rsidRPr="000A0A5F">
        <w:t>7.2</w:t>
      </w:r>
      <w:r w:rsidRPr="000A0A5F">
        <w:tab/>
        <w:t>Security</w:t>
      </w:r>
      <w:bookmarkEnd w:id="10229"/>
      <w:bookmarkEnd w:id="10230"/>
      <w:bookmarkEnd w:id="10231"/>
      <w:bookmarkEnd w:id="10232"/>
      <w:bookmarkEnd w:id="10233"/>
      <w:bookmarkEnd w:id="10234"/>
      <w:bookmarkEnd w:id="10235"/>
      <w:bookmarkEnd w:id="10236"/>
      <w:bookmarkEnd w:id="10237"/>
      <w:bookmarkEnd w:id="10238"/>
      <w:bookmarkEnd w:id="10239"/>
      <w:bookmarkEnd w:id="10240"/>
    </w:p>
    <w:p w:rsidR="00CB0DD7" w:rsidRPr="000A0A5F" w:rsidRDefault="00CB0DD7">
      <w:r w:rsidRPr="000A0A5F">
        <w:t>When CAPIF is used for external exposure, before invoking the API exposed by the SCEF, the SCS/AS as API invoker shall negotiate the security method (PKI, TLS-PSK or OAUTH2) with CAPIF core function and ensure the SCEF has enough credential to authenticate the SCS/AS (see 3GPP TS 29.222 [48], clause 5.6.2.2 and clause 6.2.2.2).</w:t>
      </w:r>
    </w:p>
    <w:p w:rsidR="00CB0DD7" w:rsidRPr="000A0A5F" w:rsidRDefault="00CB0DD7">
      <w:r w:rsidRPr="000A0A5F">
        <w:t xml:space="preserve">If PKI or TLS-PSK is used as the selected security method between the AF and the NEF, upon API invocation, the NEF shall retrieve the authorization information from the CAPIF core function as described in 3GPP TS 29.222 [48], clause 5.6.2.4. </w:t>
      </w:r>
    </w:p>
    <w:p w:rsidR="00CB0DD7" w:rsidRPr="000A0A5F" w:rsidRDefault="00CB0DD7">
      <w:r w:rsidRPr="000A0A5F">
        <w:t>As indicated in 3GPP TS 33.122 [53], the access to the T8 APIs may be authorized by means of the OAuth2 protocol (see IETF RFC 6749 [51]), using the "Client Credentials" authorization grant, where the CAPIF core function (see 3GPP TS 29.222 [48]) plays the role of the authorization server.</w:t>
      </w:r>
    </w:p>
    <w:p w:rsidR="00CB0DD7" w:rsidRPr="000A0A5F" w:rsidRDefault="00CB0DD7">
      <w:pPr>
        <w:pStyle w:val="NO"/>
        <w:rPr>
          <w:lang w:val="en-US"/>
        </w:rPr>
      </w:pPr>
      <w:r w:rsidRPr="000A0A5F">
        <w:rPr>
          <w:lang w:val="en-US"/>
        </w:rPr>
        <w:t>NOTE 1:</w:t>
      </w:r>
      <w:r w:rsidRPr="000A0A5F">
        <w:rPr>
          <w:lang w:val="en-US"/>
        </w:rPr>
        <w:tab/>
        <w:t xml:space="preserve">In this release, only </w:t>
      </w:r>
      <w:r w:rsidRPr="000A0A5F">
        <w:t>"Client Credentials" authorization grant is supported.</w:t>
      </w:r>
    </w:p>
    <w:p w:rsidR="00CB0DD7" w:rsidRPr="000A0A5F" w:rsidRDefault="00CB0DD7">
      <w:r w:rsidRPr="000A0A5F">
        <w:t>If OAuth2 is used as the selected security method between the SCS/AS and the SCEF, the SCS/AS, prior to consuming services offered by the T8 APIs, shall obtain a "token" from the authorization server, by invoking the Obtain_Authorization service, as described in 3GPP TS 29.222 [48], clause 5.6.2.3.2.</w:t>
      </w:r>
    </w:p>
    <w:p w:rsidR="00CB0DD7" w:rsidRPr="000A0A5F" w:rsidRDefault="00CB0DD7">
      <w:pPr>
        <w:rPr>
          <w:lang w:val="en-US"/>
        </w:rPr>
      </w:pPr>
      <w:r w:rsidRPr="000A0A5F">
        <w:rPr>
          <w:lang w:val="en-US"/>
        </w:rPr>
        <w:t xml:space="preserve">The T8 APIs do not define any scopes for OAuth2 authorization. It is the SCEF responsibility to check whether the SCS/AS is authorized to use an API based on the </w:t>
      </w:r>
      <w:r w:rsidRPr="000A0A5F">
        <w:t>"</w:t>
      </w:r>
      <w:r w:rsidRPr="000A0A5F">
        <w:rPr>
          <w:lang w:val="en-US"/>
        </w:rPr>
        <w:t>token</w:t>
      </w:r>
      <w:r w:rsidRPr="000A0A5F">
        <w:t>"</w:t>
      </w:r>
      <w:r w:rsidRPr="000A0A5F">
        <w:rPr>
          <w:lang w:val="en-US"/>
        </w:rPr>
        <w:t xml:space="preserve">. Once the SCEF verifies the </w:t>
      </w:r>
      <w:r w:rsidRPr="000A0A5F">
        <w:t>"</w:t>
      </w:r>
      <w:r w:rsidRPr="000A0A5F">
        <w:rPr>
          <w:lang w:val="en-US"/>
        </w:rPr>
        <w:t>token</w:t>
      </w:r>
      <w:r w:rsidRPr="000A0A5F">
        <w:t>", it shall check whether the NEF identifier in the "</w:t>
      </w:r>
      <w:r w:rsidRPr="000A0A5F">
        <w:rPr>
          <w:lang w:val="en-US"/>
        </w:rPr>
        <w:t>token</w:t>
      </w:r>
      <w:r w:rsidRPr="000A0A5F">
        <w:t>" matches its own published identifier, and whether the API name in the "</w:t>
      </w:r>
      <w:r w:rsidRPr="000A0A5F">
        <w:rPr>
          <w:lang w:val="en-US"/>
        </w:rPr>
        <w:t>token</w:t>
      </w:r>
      <w:r w:rsidRPr="000A0A5F">
        <w:t>" matches its own published API name. If those checks are passed,</w:t>
      </w:r>
      <w:r w:rsidRPr="000A0A5F">
        <w:rPr>
          <w:lang w:val="en-US"/>
        </w:rPr>
        <w:t xml:space="preserve"> the AF has full authority to access any resource or operation for the invoked API.</w:t>
      </w:r>
    </w:p>
    <w:p w:rsidR="00CB0DD7" w:rsidRPr="000A0A5F" w:rsidRDefault="00CB0DD7">
      <w:pPr>
        <w:pStyle w:val="NO"/>
        <w:rPr>
          <w:noProof/>
          <w:lang w:eastAsia="zh-CN"/>
        </w:rPr>
      </w:pPr>
      <w:r w:rsidRPr="000A0A5F">
        <w:rPr>
          <w:lang w:val="en-US"/>
        </w:rPr>
        <w:t>NOTE 2:</w:t>
      </w:r>
      <w:r w:rsidRPr="000A0A5F">
        <w:rPr>
          <w:lang w:val="en-US"/>
        </w:rPr>
        <w:tab/>
        <w:t xml:space="preserve">The security requirement in the current clause does not apply for the </w:t>
      </w:r>
      <w:r w:rsidRPr="000A0A5F">
        <w:t>MsisdnLessMoSms</w:t>
      </w:r>
      <w:r w:rsidRPr="000A0A5F">
        <w:rPr>
          <w:noProof/>
          <w:lang w:eastAsia="zh-CN"/>
        </w:rPr>
        <w:t xml:space="preserve"> API since it is the SCEF initiated interaction with the SCS/AS. How the security scheme works for </w:t>
      </w:r>
      <w:r w:rsidRPr="000A0A5F">
        <w:rPr>
          <w:lang w:val="en-US"/>
        </w:rPr>
        <w:t xml:space="preserve">the </w:t>
      </w:r>
      <w:r w:rsidRPr="000A0A5F">
        <w:t>MsisdnLessMoSms</w:t>
      </w:r>
      <w:r w:rsidRPr="000A0A5F">
        <w:rPr>
          <w:noProof/>
          <w:lang w:eastAsia="zh-CN"/>
        </w:rPr>
        <w:t xml:space="preserve"> API is left to configuration.</w:t>
      </w:r>
    </w:p>
    <w:p w:rsidR="00CB0DD7" w:rsidRPr="000A0A5F" w:rsidRDefault="00CB0DD7">
      <w:pPr>
        <w:pStyle w:val="NO"/>
        <w:rPr>
          <w:noProof/>
          <w:lang w:eastAsia="zh-CN"/>
        </w:rPr>
      </w:pPr>
      <w:r w:rsidRPr="000A0A5F">
        <w:rPr>
          <w:lang w:val="en-US"/>
        </w:rPr>
        <w:t>NOTE 3:</w:t>
      </w:r>
      <w:r w:rsidRPr="000A0A5F">
        <w:rPr>
          <w:lang w:val="en-US"/>
        </w:rPr>
        <w:tab/>
        <w:t>For aforementioned security methods, the SCEF needs to apply admission control according to access control policies after performing the authorization checks</w:t>
      </w:r>
      <w:r w:rsidRPr="000A0A5F">
        <w:rPr>
          <w:noProof/>
          <w:lang w:eastAsia="zh-CN"/>
        </w:rPr>
        <w:t>.</w:t>
      </w:r>
    </w:p>
    <w:p w:rsidR="00CB0DD7" w:rsidRPr="000A0A5F" w:rsidRDefault="00CB0DD7">
      <w:pPr>
        <w:pStyle w:val="Heading8"/>
        <w:rPr>
          <w:noProof/>
        </w:rPr>
      </w:pPr>
      <w:r w:rsidRPr="000A0A5F">
        <w:rPr>
          <w:noProof/>
          <w:lang w:eastAsia="zh-CN"/>
        </w:rPr>
        <w:br w:type="page"/>
      </w:r>
      <w:bookmarkStart w:id="10241" w:name="_Toc11247927"/>
      <w:bookmarkStart w:id="10242" w:name="_Toc27045109"/>
      <w:bookmarkStart w:id="10243" w:name="_Toc36034160"/>
      <w:bookmarkStart w:id="10244" w:name="_Toc45132308"/>
      <w:bookmarkStart w:id="10245" w:name="_Toc49776593"/>
      <w:bookmarkStart w:id="10246" w:name="_Toc51747513"/>
      <w:bookmarkStart w:id="10247" w:name="_Toc66361095"/>
      <w:bookmarkStart w:id="10248" w:name="_Toc68105600"/>
      <w:bookmarkStart w:id="10249" w:name="_Toc74756232"/>
      <w:bookmarkStart w:id="10250" w:name="_Toc105675109"/>
      <w:bookmarkStart w:id="10251" w:name="_Toc130503187"/>
      <w:bookmarkStart w:id="10252" w:name="_Toc153625979"/>
      <w:bookmarkEnd w:id="139"/>
      <w:r w:rsidRPr="000A0A5F">
        <w:rPr>
          <w:noProof/>
        </w:rPr>
        <w:t xml:space="preserve">Annex A </w:t>
      </w:r>
      <w:r w:rsidRPr="000A0A5F">
        <w:t>(normative)</w:t>
      </w:r>
      <w:r w:rsidRPr="000A0A5F">
        <w:rPr>
          <w:noProof/>
        </w:rPr>
        <w:t>:</w:t>
      </w:r>
      <w:r w:rsidRPr="000A0A5F">
        <w:rPr>
          <w:lang w:eastAsia="zh-CN"/>
        </w:rPr>
        <w:br/>
      </w:r>
      <w:r w:rsidRPr="000A0A5F">
        <w:rPr>
          <w:noProof/>
        </w:rPr>
        <w:t>OpenAPI representation for the APIs defined in the present document</w:t>
      </w:r>
      <w:bookmarkEnd w:id="10241"/>
      <w:bookmarkEnd w:id="10242"/>
      <w:bookmarkEnd w:id="10243"/>
      <w:bookmarkEnd w:id="10244"/>
      <w:bookmarkEnd w:id="10245"/>
      <w:bookmarkEnd w:id="10246"/>
      <w:bookmarkEnd w:id="10247"/>
      <w:bookmarkEnd w:id="10248"/>
      <w:bookmarkEnd w:id="10249"/>
      <w:bookmarkEnd w:id="10250"/>
      <w:bookmarkEnd w:id="10251"/>
      <w:bookmarkEnd w:id="10252"/>
    </w:p>
    <w:p w:rsidR="00CB0DD7" w:rsidRPr="000A0A5F" w:rsidRDefault="00CB0DD7" w:rsidP="00DA1808">
      <w:pPr>
        <w:pStyle w:val="Heading1"/>
      </w:pPr>
      <w:bookmarkStart w:id="10253" w:name="_Toc11247928"/>
      <w:bookmarkStart w:id="10254" w:name="_Toc27045110"/>
      <w:bookmarkStart w:id="10255" w:name="_Toc36034161"/>
      <w:bookmarkStart w:id="10256" w:name="_Toc45132309"/>
      <w:bookmarkStart w:id="10257" w:name="_Toc49776594"/>
      <w:bookmarkStart w:id="10258" w:name="_Toc51747514"/>
      <w:bookmarkStart w:id="10259" w:name="_Toc66361096"/>
      <w:bookmarkStart w:id="10260" w:name="_Toc68105601"/>
      <w:bookmarkStart w:id="10261" w:name="_Toc74756233"/>
      <w:bookmarkStart w:id="10262" w:name="_Toc105675110"/>
      <w:bookmarkStart w:id="10263" w:name="_Toc130503188"/>
      <w:bookmarkStart w:id="10264" w:name="_Toc153625980"/>
      <w:r w:rsidRPr="000A0A5F">
        <w:t>A.1</w:t>
      </w:r>
      <w:r w:rsidRPr="000A0A5F">
        <w:tab/>
        <w:t>General</w:t>
      </w:r>
      <w:bookmarkEnd w:id="10253"/>
      <w:bookmarkEnd w:id="10254"/>
      <w:bookmarkEnd w:id="10255"/>
      <w:bookmarkEnd w:id="10256"/>
      <w:bookmarkEnd w:id="10257"/>
      <w:bookmarkEnd w:id="10258"/>
      <w:bookmarkEnd w:id="10259"/>
      <w:bookmarkEnd w:id="10260"/>
      <w:bookmarkEnd w:id="10261"/>
      <w:bookmarkEnd w:id="10262"/>
      <w:bookmarkEnd w:id="10263"/>
      <w:bookmarkEnd w:id="10264"/>
    </w:p>
    <w:p w:rsidR="00CB0DD7" w:rsidRPr="000A0A5F" w:rsidRDefault="00CB0DD7">
      <w:pPr>
        <w:rPr>
          <w:noProof/>
        </w:rPr>
      </w:pPr>
      <w:r w:rsidRPr="000A0A5F">
        <w:rPr>
          <w:noProof/>
        </w:rPr>
        <w:t>This Annex is based on the OpenAPI Specification [27] and provides corresponding representations of all APIs defined in the present specification.</w:t>
      </w:r>
    </w:p>
    <w:p w:rsidR="00CB0DD7" w:rsidRPr="000A0A5F" w:rsidRDefault="00CB0DD7">
      <w:pPr>
        <w:pStyle w:val="NO"/>
        <w:rPr>
          <w:noProof/>
        </w:rPr>
      </w:pPr>
      <w:r w:rsidRPr="000A0A5F">
        <w:rPr>
          <w:noProof/>
        </w:rPr>
        <w:t>NOTE 1:</w:t>
      </w:r>
      <w:r w:rsidRPr="000A0A5F">
        <w:rPr>
          <w:noProof/>
        </w:rPr>
        <w:tab/>
        <w:t>An OpenAPIs representation embeds JSON Schema representations of HTTP message bodies.</w:t>
      </w:r>
    </w:p>
    <w:p w:rsidR="00CB0DD7" w:rsidRPr="000A0A5F" w:rsidRDefault="00CB0DD7">
      <w:r w:rsidRPr="000A0A5F">
        <w:t>This Annex shall take precedence when being discrepant to other parts of the specification with respect to the encoding of information elements and methods within the API(s).</w:t>
      </w:r>
    </w:p>
    <w:p w:rsidR="00CB0DD7" w:rsidRPr="000A0A5F" w:rsidRDefault="00CB0DD7">
      <w:pPr>
        <w:pStyle w:val="NO"/>
      </w:pPr>
      <w:r w:rsidRPr="000A0A5F">
        <w:t>NOTE 2:</w:t>
      </w:r>
      <w:r w:rsidRPr="000A0A5F">
        <w:tab/>
        <w:t>The semantics and procedures, as well as conditions, e.g. for the applicability and allowed combinations of attributes or values, not expressed in the OpenAPI definitions but defined in other parts of the specification also apply.</w:t>
      </w:r>
    </w:p>
    <w:p w:rsidR="00CB0DD7" w:rsidRPr="000A0A5F" w:rsidRDefault="00CB0DD7">
      <w:pPr>
        <w:rPr>
          <w:lang w:eastAsia="zh-CN"/>
        </w:rPr>
      </w:pPr>
      <w:r w:rsidRPr="000A0A5F">
        <w:t xml:space="preserve">Informative copies of the OpenAPI specification files contained in this 3GPP Technical Specification are available on a Git-based repository that uses the GitLab software version control system </w:t>
      </w:r>
      <w:r w:rsidRPr="000A0A5F">
        <w:rPr>
          <w:lang w:eastAsia="zh-CN"/>
        </w:rPr>
        <w:t>(see clause</w:t>
      </w:r>
      <w:r w:rsidRPr="000A0A5F">
        <w:rPr>
          <w:lang w:val="en-US" w:eastAsia="zh-CN"/>
        </w:rPr>
        <w:t> </w:t>
      </w:r>
      <w:r w:rsidRPr="000A0A5F">
        <w:rPr>
          <w:lang w:eastAsia="zh-CN"/>
        </w:rPr>
        <w:t xml:space="preserve">5B of the 3GPP TR 21.900 [58] and </w:t>
      </w:r>
      <w:r w:rsidRPr="000A0A5F">
        <w:t xml:space="preserve">clause 5.3.1 of the 3GPP TS 29.501 [49] </w:t>
      </w:r>
      <w:r w:rsidRPr="000A0A5F">
        <w:rPr>
          <w:lang w:eastAsia="zh-CN"/>
        </w:rPr>
        <w:t>for further information).</w:t>
      </w:r>
    </w:p>
    <w:p w:rsidR="00CB0DD7" w:rsidRPr="000A0A5F" w:rsidRDefault="00CB0DD7" w:rsidP="00706FFD">
      <w:pPr>
        <w:pStyle w:val="Heading1"/>
      </w:pPr>
      <w:bookmarkStart w:id="10265" w:name="_Toc11247929"/>
      <w:bookmarkStart w:id="10266" w:name="_Toc27045111"/>
      <w:bookmarkStart w:id="10267" w:name="_Toc36034162"/>
      <w:bookmarkStart w:id="10268" w:name="_Toc45132310"/>
      <w:bookmarkStart w:id="10269" w:name="_Toc49776595"/>
      <w:bookmarkStart w:id="10270" w:name="_Toc51747515"/>
      <w:bookmarkStart w:id="10271" w:name="_Toc66361097"/>
      <w:bookmarkStart w:id="10272" w:name="_Toc68105602"/>
      <w:bookmarkStart w:id="10273" w:name="_Toc74756234"/>
      <w:bookmarkStart w:id="10274" w:name="_Toc105675111"/>
      <w:bookmarkStart w:id="10275" w:name="_Toc130503189"/>
      <w:bookmarkStart w:id="10276" w:name="_Toc153625981"/>
      <w:r w:rsidRPr="000A0A5F">
        <w:t>A.2</w:t>
      </w:r>
      <w:r w:rsidRPr="000A0A5F">
        <w:tab/>
        <w:t>Data Types applicable to several APIs</w:t>
      </w:r>
      <w:bookmarkEnd w:id="10265"/>
      <w:bookmarkEnd w:id="10266"/>
      <w:bookmarkEnd w:id="10267"/>
      <w:bookmarkEnd w:id="10268"/>
      <w:bookmarkEnd w:id="10269"/>
      <w:bookmarkEnd w:id="10270"/>
      <w:bookmarkEnd w:id="10271"/>
      <w:bookmarkEnd w:id="10272"/>
      <w:bookmarkEnd w:id="10273"/>
      <w:bookmarkEnd w:id="10274"/>
      <w:bookmarkEnd w:id="10275"/>
      <w:bookmarkEnd w:id="10276"/>
    </w:p>
    <w:p w:rsidR="00CB0DD7" w:rsidRPr="000A0A5F" w:rsidRDefault="00CB0DD7">
      <w:r w:rsidRPr="000A0A5F">
        <w:t>For the purpose of referencing entities in the Open API file defined in this Annex, it shall be assumed that this Open API file is contained in a physical file named "TS29122_CommonData.yaml".</w:t>
      </w:r>
    </w:p>
    <w:p w:rsidR="00CB0DD7" w:rsidRPr="000A0A5F" w:rsidRDefault="00CB0DD7">
      <w:pPr>
        <w:pStyle w:val="NO"/>
        <w:rPr>
          <w:lang w:eastAsia="zh-CN"/>
        </w:rPr>
      </w:pPr>
      <w:r w:rsidRPr="000A0A5F">
        <w:t>NOTE:</w:t>
      </w:r>
      <w:r w:rsidRPr="000A0A5F">
        <w:tab/>
        <w:t>For the purpose of referencing the error status codes in the Open API file defined in this Annex, this Open API file contains all the mandatory status codes as defined in table 5.2.6-1, all the API specific error status codes defined for T8 APIs, in addition, some error status codes not used in the current release of this specification but for the purpose of referencing by other specifications.</w:t>
      </w:r>
    </w:p>
    <w:p w:rsidR="00CB0DD7" w:rsidRPr="000A0A5F" w:rsidRDefault="00CB0DD7">
      <w:pPr>
        <w:pStyle w:val="PL"/>
      </w:pPr>
      <w:r w:rsidRPr="000A0A5F">
        <w:t>openapi: 3.0.0</w:t>
      </w:r>
    </w:p>
    <w:p w:rsidR="007037F2" w:rsidRPr="000A0A5F" w:rsidRDefault="007037F2">
      <w:pPr>
        <w:pStyle w:val="PL"/>
      </w:pPr>
    </w:p>
    <w:p w:rsidR="00CB0DD7" w:rsidRPr="000A0A5F" w:rsidRDefault="00CB0DD7">
      <w:pPr>
        <w:pStyle w:val="PL"/>
      </w:pPr>
      <w:r w:rsidRPr="000A0A5F">
        <w:t>info:</w:t>
      </w:r>
    </w:p>
    <w:p w:rsidR="00CB0DD7" w:rsidRPr="000A0A5F" w:rsidRDefault="00CB0DD7">
      <w:pPr>
        <w:pStyle w:val="PL"/>
      </w:pPr>
      <w:r w:rsidRPr="000A0A5F">
        <w:t xml:space="preserve">  title: TS 29.122 Common Data Types</w:t>
      </w:r>
    </w:p>
    <w:p w:rsidR="00CB0DD7" w:rsidRPr="000A0A5F" w:rsidRDefault="00CB0DD7">
      <w:pPr>
        <w:pStyle w:val="PL"/>
      </w:pPr>
      <w:r w:rsidRPr="000A0A5F">
        <w:t xml:space="preserve">  version: 1.</w:t>
      </w:r>
      <w:r w:rsidR="000B3A6A" w:rsidRPr="000A0A5F">
        <w:t>3</w:t>
      </w:r>
      <w:r w:rsidRPr="000A0A5F">
        <w:t>.</w:t>
      </w:r>
      <w:r w:rsidR="000B3A6A" w:rsidRPr="000A0A5F">
        <w:t>0-alpha.</w:t>
      </w:r>
      <w:r w:rsidR="000140FC">
        <w:t>4</w:t>
      </w:r>
    </w:p>
    <w:p w:rsidR="00CB0DD7" w:rsidRPr="000A0A5F" w:rsidRDefault="00CB0DD7">
      <w:pPr>
        <w:pStyle w:val="PL"/>
      </w:pPr>
      <w:r w:rsidRPr="000A0A5F">
        <w:t xml:space="preserve">  description: |</w:t>
      </w:r>
    </w:p>
    <w:p w:rsidR="00CB0DD7" w:rsidRPr="000A0A5F" w:rsidRDefault="00CB0DD7">
      <w:pPr>
        <w:pStyle w:val="PL"/>
      </w:pPr>
      <w:r w:rsidRPr="000A0A5F">
        <w:t xml:space="preserve">    Data types applicable to several APIs.</w:t>
      </w:r>
      <w:r w:rsidR="005B6DFB" w:rsidRPr="000A0A5F">
        <w:t xml:space="preserve">  </w:t>
      </w:r>
    </w:p>
    <w:p w:rsidR="00CB0DD7" w:rsidRPr="000A0A5F" w:rsidRDefault="00CB0DD7">
      <w:pPr>
        <w:pStyle w:val="PL"/>
      </w:pPr>
      <w:r w:rsidRPr="000A0A5F">
        <w:t xml:space="preserve">    © 202</w:t>
      </w:r>
      <w:r w:rsidR="000C6C8D" w:rsidRPr="000A0A5F">
        <w:t>3</w:t>
      </w:r>
      <w:r w:rsidRPr="000A0A5F">
        <w:t>, 3GPP Organizational Partners (ARIB, ATIS, CCSA, ETSI, TSDSI, TTA, TTC).</w:t>
      </w:r>
      <w:r w:rsidR="005B6DFB" w:rsidRPr="000A0A5F">
        <w:t xml:space="preserve">  </w:t>
      </w:r>
    </w:p>
    <w:p w:rsidR="00CB0DD7" w:rsidRPr="000A0A5F" w:rsidRDefault="00CB0DD7">
      <w:pPr>
        <w:pStyle w:val="PL"/>
      </w:pPr>
      <w:r w:rsidRPr="000A0A5F">
        <w:t xml:space="preserve">    All rights reserved.</w:t>
      </w:r>
    </w:p>
    <w:p w:rsidR="007037F2" w:rsidRPr="000A0A5F" w:rsidRDefault="007037F2">
      <w:pPr>
        <w:pStyle w:val="PL"/>
      </w:pPr>
    </w:p>
    <w:p w:rsidR="00CB0DD7" w:rsidRPr="000A0A5F" w:rsidRDefault="00CB0DD7">
      <w:pPr>
        <w:pStyle w:val="PL"/>
      </w:pPr>
      <w:r w:rsidRPr="000A0A5F">
        <w:t>externalDocs:</w:t>
      </w:r>
    </w:p>
    <w:p w:rsidR="00CB0DD7" w:rsidRPr="000A0A5F" w:rsidRDefault="00CB0DD7">
      <w:pPr>
        <w:pStyle w:val="PL"/>
      </w:pPr>
      <w:r w:rsidRPr="000A0A5F">
        <w:t xml:space="preserve">  description: 3GPP TS 29.122 V1</w:t>
      </w:r>
      <w:r w:rsidR="000B3A6A" w:rsidRPr="000A0A5F">
        <w:t>8</w:t>
      </w:r>
      <w:r w:rsidRPr="000A0A5F">
        <w:t>.</w:t>
      </w:r>
      <w:r w:rsidR="000140FC">
        <w:t>4</w:t>
      </w:r>
      <w:r w:rsidRPr="000A0A5F">
        <w:t>.0 T8 reference point for Northbound APIs</w:t>
      </w:r>
    </w:p>
    <w:p w:rsidR="00CB0DD7" w:rsidRPr="000A0A5F" w:rsidRDefault="00CB0DD7">
      <w:pPr>
        <w:pStyle w:val="PL"/>
      </w:pPr>
      <w:r w:rsidRPr="000A0A5F">
        <w:t xml:space="preserve">  url: 'http</w:t>
      </w:r>
      <w:r w:rsidR="005B6DFB" w:rsidRPr="000A0A5F">
        <w:t>s</w:t>
      </w:r>
      <w:r w:rsidRPr="000A0A5F">
        <w:t>://www.3gpp.org/ftp/Specs/archive/29_series/29.122/'</w:t>
      </w:r>
    </w:p>
    <w:p w:rsidR="007037F2" w:rsidRPr="000A0A5F" w:rsidRDefault="007037F2">
      <w:pPr>
        <w:pStyle w:val="PL"/>
      </w:pPr>
    </w:p>
    <w:p w:rsidR="00CB0DD7" w:rsidRPr="000A0A5F" w:rsidRDefault="00CB0DD7">
      <w:pPr>
        <w:pStyle w:val="PL"/>
      </w:pPr>
      <w:r w:rsidRPr="000A0A5F">
        <w:t>paths: {}</w:t>
      </w:r>
    </w:p>
    <w:p w:rsidR="007037F2" w:rsidRPr="000A0A5F" w:rsidRDefault="007037F2">
      <w:pPr>
        <w:pStyle w:val="PL"/>
      </w:pPr>
    </w:p>
    <w:p w:rsidR="00CB0DD7" w:rsidRPr="000A0A5F" w:rsidRDefault="00CB0DD7">
      <w:pPr>
        <w:pStyle w:val="PL"/>
      </w:pPr>
      <w:r w:rsidRPr="000A0A5F">
        <w:t>components:</w:t>
      </w:r>
    </w:p>
    <w:p w:rsidR="00CB0DD7" w:rsidRPr="000A0A5F" w:rsidRDefault="00CB0DD7">
      <w:pPr>
        <w:pStyle w:val="PL"/>
      </w:pPr>
      <w:r w:rsidRPr="000A0A5F">
        <w:t xml:space="preserve">  schemas:</w:t>
      </w:r>
    </w:p>
    <w:p w:rsidR="00CB0DD7" w:rsidRPr="000A0A5F" w:rsidRDefault="00CB0DD7">
      <w:pPr>
        <w:pStyle w:val="PL"/>
      </w:pPr>
      <w:r w:rsidRPr="000A0A5F">
        <w:t xml:space="preserve">    SponsorInformation:</w:t>
      </w:r>
    </w:p>
    <w:p w:rsidR="00CB0DD7" w:rsidRPr="000A0A5F" w:rsidRDefault="00CB0DD7">
      <w:pPr>
        <w:pStyle w:val="PL"/>
      </w:pPr>
      <w:r w:rsidRPr="000A0A5F">
        <w:t xml:space="preserve">      description: Represents a sponsor information.</w:t>
      </w:r>
    </w:p>
    <w:p w:rsidR="00CB0DD7" w:rsidRPr="000A0A5F" w:rsidRDefault="00CB0DD7">
      <w:pPr>
        <w:pStyle w:val="PL"/>
      </w:pPr>
      <w:r w:rsidRPr="000A0A5F">
        <w:t xml:space="preserve">      type: object</w:t>
      </w:r>
    </w:p>
    <w:p w:rsidR="00CB0DD7" w:rsidRPr="000A0A5F" w:rsidRDefault="00CB0DD7">
      <w:pPr>
        <w:pStyle w:val="PL"/>
      </w:pPr>
      <w:r w:rsidRPr="000A0A5F">
        <w:t xml:space="preserve">      properties:</w:t>
      </w:r>
    </w:p>
    <w:p w:rsidR="00CB0DD7" w:rsidRPr="000A0A5F" w:rsidRDefault="00CB0DD7">
      <w:pPr>
        <w:pStyle w:val="PL"/>
      </w:pPr>
      <w:r w:rsidRPr="000A0A5F">
        <w:t xml:space="preserve">        sponsorId:</w:t>
      </w:r>
    </w:p>
    <w:p w:rsidR="00CB0DD7" w:rsidRPr="000A0A5F" w:rsidRDefault="00CB0DD7">
      <w:pPr>
        <w:pStyle w:val="PL"/>
      </w:pPr>
      <w:r w:rsidRPr="000A0A5F">
        <w:t xml:space="preserve">          type: string</w:t>
      </w:r>
    </w:p>
    <w:p w:rsidR="00CB0DD7" w:rsidRPr="000A0A5F" w:rsidRDefault="00CB0DD7">
      <w:pPr>
        <w:pStyle w:val="PL"/>
      </w:pPr>
      <w:r w:rsidRPr="000A0A5F">
        <w:t xml:space="preserve">          description: It indicates Sponsor ID.</w:t>
      </w:r>
    </w:p>
    <w:p w:rsidR="00CB0DD7" w:rsidRPr="000A0A5F" w:rsidRDefault="00CB0DD7">
      <w:pPr>
        <w:pStyle w:val="PL"/>
      </w:pPr>
      <w:r w:rsidRPr="000A0A5F">
        <w:t xml:space="preserve">        aspId:</w:t>
      </w:r>
    </w:p>
    <w:p w:rsidR="00CB0DD7" w:rsidRPr="000A0A5F" w:rsidRDefault="00CB0DD7">
      <w:pPr>
        <w:pStyle w:val="PL"/>
      </w:pPr>
      <w:r w:rsidRPr="000A0A5F">
        <w:t xml:space="preserve">          type: string</w:t>
      </w:r>
    </w:p>
    <w:p w:rsidR="00CB0DD7" w:rsidRPr="000A0A5F" w:rsidRDefault="00CB0DD7">
      <w:pPr>
        <w:pStyle w:val="PL"/>
      </w:pPr>
      <w:r w:rsidRPr="000A0A5F">
        <w:t xml:space="preserve">          description: It indicates Application Service Provider ID.</w:t>
      </w:r>
    </w:p>
    <w:p w:rsidR="00CB0DD7" w:rsidRPr="000A0A5F" w:rsidRDefault="00CB0DD7">
      <w:pPr>
        <w:pStyle w:val="PL"/>
      </w:pPr>
      <w:r w:rsidRPr="000A0A5F">
        <w:t xml:space="preserve">      required:</w:t>
      </w:r>
    </w:p>
    <w:p w:rsidR="00CB0DD7" w:rsidRPr="000A0A5F" w:rsidRDefault="00CB0DD7">
      <w:pPr>
        <w:pStyle w:val="PL"/>
      </w:pPr>
      <w:r w:rsidRPr="000A0A5F">
        <w:t xml:space="preserve">        - sponsorId</w:t>
      </w:r>
    </w:p>
    <w:p w:rsidR="00CB0DD7" w:rsidRPr="000A0A5F" w:rsidRDefault="00CB0DD7">
      <w:pPr>
        <w:pStyle w:val="PL"/>
      </w:pPr>
      <w:r w:rsidRPr="000A0A5F">
        <w:t xml:space="preserve">        - aspId</w:t>
      </w:r>
    </w:p>
    <w:p w:rsidR="007037F2" w:rsidRPr="000A0A5F" w:rsidRDefault="007037F2">
      <w:pPr>
        <w:pStyle w:val="PL"/>
      </w:pPr>
    </w:p>
    <w:p w:rsidR="00CB0DD7" w:rsidRPr="000A0A5F" w:rsidRDefault="00CB0DD7">
      <w:pPr>
        <w:pStyle w:val="PL"/>
      </w:pPr>
      <w:r w:rsidRPr="000A0A5F">
        <w:t xml:space="preserve">    UsageThreshold:</w:t>
      </w:r>
    </w:p>
    <w:p w:rsidR="00CB0DD7" w:rsidRPr="000A0A5F" w:rsidRDefault="00CB0DD7">
      <w:pPr>
        <w:pStyle w:val="PL"/>
      </w:pPr>
      <w:r w:rsidRPr="000A0A5F">
        <w:t xml:space="preserve">      description: Represents a usage threshold.</w:t>
      </w:r>
    </w:p>
    <w:p w:rsidR="00CB0DD7" w:rsidRPr="000A0A5F" w:rsidRDefault="00CB0DD7">
      <w:pPr>
        <w:pStyle w:val="PL"/>
      </w:pPr>
      <w:r w:rsidRPr="000A0A5F">
        <w:t xml:space="preserve">      type: object</w:t>
      </w:r>
    </w:p>
    <w:p w:rsidR="00CB0DD7" w:rsidRPr="000A0A5F" w:rsidRDefault="00CB0DD7">
      <w:pPr>
        <w:pStyle w:val="PL"/>
      </w:pPr>
      <w:r w:rsidRPr="000A0A5F">
        <w:t xml:space="preserve">      properties:</w:t>
      </w:r>
    </w:p>
    <w:p w:rsidR="00CB0DD7" w:rsidRPr="000A0A5F" w:rsidRDefault="00CB0DD7">
      <w:pPr>
        <w:pStyle w:val="PL"/>
      </w:pPr>
      <w:r w:rsidRPr="000A0A5F">
        <w:t xml:space="preserve">        duration:</w:t>
      </w:r>
    </w:p>
    <w:p w:rsidR="00CB0DD7" w:rsidRPr="000A0A5F" w:rsidRDefault="00CB0DD7">
      <w:pPr>
        <w:pStyle w:val="PL"/>
      </w:pPr>
      <w:r w:rsidRPr="000A0A5F">
        <w:t xml:space="preserve">          $ref: '#/components/schemas/DurationSec'</w:t>
      </w:r>
    </w:p>
    <w:p w:rsidR="00CB0DD7" w:rsidRPr="000A0A5F" w:rsidRDefault="00CB0DD7">
      <w:pPr>
        <w:pStyle w:val="PL"/>
      </w:pPr>
      <w:r w:rsidRPr="000A0A5F">
        <w:t xml:space="preserve">        totalVolume:</w:t>
      </w:r>
    </w:p>
    <w:p w:rsidR="00CB0DD7" w:rsidRPr="000A0A5F" w:rsidRDefault="00CB0DD7">
      <w:pPr>
        <w:pStyle w:val="PL"/>
      </w:pPr>
      <w:r w:rsidRPr="000A0A5F">
        <w:t xml:space="preserve">          $ref: '#/components/schemas/Volume'</w:t>
      </w:r>
    </w:p>
    <w:p w:rsidR="00CB0DD7" w:rsidRPr="000A0A5F" w:rsidRDefault="00CB0DD7">
      <w:pPr>
        <w:pStyle w:val="PL"/>
      </w:pPr>
      <w:r w:rsidRPr="000A0A5F">
        <w:t xml:space="preserve">        downlinkVolume:</w:t>
      </w:r>
    </w:p>
    <w:p w:rsidR="00CB0DD7" w:rsidRPr="000A0A5F" w:rsidRDefault="00CB0DD7">
      <w:pPr>
        <w:pStyle w:val="PL"/>
      </w:pPr>
      <w:r w:rsidRPr="000A0A5F">
        <w:t xml:space="preserve">          $ref: '#/components/schemas/Volume'</w:t>
      </w:r>
    </w:p>
    <w:p w:rsidR="00CB0DD7" w:rsidRPr="000A0A5F" w:rsidRDefault="00CB0DD7">
      <w:pPr>
        <w:pStyle w:val="PL"/>
      </w:pPr>
      <w:r w:rsidRPr="000A0A5F">
        <w:t xml:space="preserve">        uplinkVolume:</w:t>
      </w:r>
    </w:p>
    <w:p w:rsidR="00CB0DD7" w:rsidRPr="000A0A5F" w:rsidRDefault="00CB0DD7">
      <w:pPr>
        <w:pStyle w:val="PL"/>
      </w:pPr>
      <w:r w:rsidRPr="000A0A5F">
        <w:t xml:space="preserve">          $ref: '#/components/schemas/Volume'</w:t>
      </w:r>
    </w:p>
    <w:p w:rsidR="000501A6" w:rsidRPr="000A0A5F" w:rsidRDefault="000501A6">
      <w:pPr>
        <w:pStyle w:val="PL"/>
      </w:pPr>
    </w:p>
    <w:p w:rsidR="00CB0DD7" w:rsidRPr="000A0A5F" w:rsidRDefault="00CB0DD7">
      <w:pPr>
        <w:pStyle w:val="PL"/>
      </w:pPr>
      <w:r w:rsidRPr="000A0A5F">
        <w:t xml:space="preserve">    UsageThresholdRm:</w:t>
      </w:r>
    </w:p>
    <w:p w:rsidR="000501A6" w:rsidRPr="000A0A5F" w:rsidRDefault="00CB0DD7" w:rsidP="000501A6">
      <w:pPr>
        <w:pStyle w:val="PL"/>
      </w:pPr>
      <w:r w:rsidRPr="000A0A5F">
        <w:t xml:space="preserve">      description: </w:t>
      </w:r>
      <w:r w:rsidR="000501A6" w:rsidRPr="000A0A5F">
        <w:t>&gt;</w:t>
      </w:r>
    </w:p>
    <w:p w:rsidR="00CB0DD7" w:rsidRPr="000A0A5F" w:rsidRDefault="000501A6" w:rsidP="000501A6">
      <w:pPr>
        <w:pStyle w:val="PL"/>
      </w:pPr>
      <w:r w:rsidRPr="000A0A5F">
        <w:t xml:space="preserve">        </w:t>
      </w:r>
      <w:r w:rsidR="00CB0DD7" w:rsidRPr="000A0A5F">
        <w:t>Represents the same as the UsageThreshold data type but with the nullable:true property.</w:t>
      </w:r>
    </w:p>
    <w:p w:rsidR="00CB0DD7" w:rsidRPr="000A0A5F" w:rsidRDefault="00CB0DD7">
      <w:pPr>
        <w:pStyle w:val="PL"/>
      </w:pPr>
      <w:r w:rsidRPr="000A0A5F">
        <w:t xml:space="preserve">      type: object</w:t>
      </w:r>
    </w:p>
    <w:p w:rsidR="00CB0DD7" w:rsidRPr="000A0A5F" w:rsidRDefault="00CB0DD7">
      <w:pPr>
        <w:pStyle w:val="PL"/>
      </w:pPr>
      <w:r w:rsidRPr="000A0A5F">
        <w:t xml:space="preserve">      properties:</w:t>
      </w:r>
    </w:p>
    <w:p w:rsidR="00CB0DD7" w:rsidRPr="000A0A5F" w:rsidRDefault="00CB0DD7">
      <w:pPr>
        <w:pStyle w:val="PL"/>
      </w:pPr>
      <w:r w:rsidRPr="000A0A5F">
        <w:t xml:space="preserve">        duration:</w:t>
      </w:r>
    </w:p>
    <w:p w:rsidR="00CB0DD7" w:rsidRPr="000A0A5F" w:rsidRDefault="00CB0DD7">
      <w:pPr>
        <w:pStyle w:val="PL"/>
      </w:pPr>
      <w:r w:rsidRPr="000A0A5F">
        <w:t xml:space="preserve">          $ref: '#/components/schemas/DurationSecRm'</w:t>
      </w:r>
    </w:p>
    <w:p w:rsidR="00CB0DD7" w:rsidRPr="000A0A5F" w:rsidRDefault="00CB0DD7">
      <w:pPr>
        <w:pStyle w:val="PL"/>
      </w:pPr>
      <w:r w:rsidRPr="000A0A5F">
        <w:t xml:space="preserve">        totalVolume:</w:t>
      </w:r>
    </w:p>
    <w:p w:rsidR="00CB0DD7" w:rsidRPr="000A0A5F" w:rsidRDefault="00CB0DD7">
      <w:pPr>
        <w:pStyle w:val="PL"/>
      </w:pPr>
      <w:r w:rsidRPr="000A0A5F">
        <w:t xml:space="preserve">          $ref: '#/components/schemas/VolumeRm'</w:t>
      </w:r>
    </w:p>
    <w:p w:rsidR="00CB0DD7" w:rsidRPr="000A0A5F" w:rsidRDefault="00CB0DD7">
      <w:pPr>
        <w:pStyle w:val="PL"/>
      </w:pPr>
      <w:r w:rsidRPr="000A0A5F">
        <w:t xml:space="preserve">        downlinkVolume:</w:t>
      </w:r>
    </w:p>
    <w:p w:rsidR="00CB0DD7" w:rsidRPr="000A0A5F" w:rsidRDefault="00CB0DD7">
      <w:pPr>
        <w:pStyle w:val="PL"/>
      </w:pPr>
      <w:r w:rsidRPr="000A0A5F">
        <w:t xml:space="preserve">          $ref: '#/components/schemas/VolumeRm'</w:t>
      </w:r>
    </w:p>
    <w:p w:rsidR="00CB0DD7" w:rsidRPr="000A0A5F" w:rsidRDefault="00CB0DD7">
      <w:pPr>
        <w:pStyle w:val="PL"/>
      </w:pPr>
      <w:r w:rsidRPr="000A0A5F">
        <w:t xml:space="preserve">        uplinkVolume:</w:t>
      </w:r>
    </w:p>
    <w:p w:rsidR="00CB0DD7" w:rsidRPr="000A0A5F" w:rsidRDefault="00CB0DD7">
      <w:pPr>
        <w:pStyle w:val="PL"/>
      </w:pPr>
      <w:r w:rsidRPr="000A0A5F">
        <w:t xml:space="preserve">          $ref: '#/components/schemas/VolumeRm'</w:t>
      </w:r>
    </w:p>
    <w:p w:rsidR="00CB0DD7" w:rsidRPr="000A0A5F" w:rsidRDefault="00CB0DD7">
      <w:pPr>
        <w:pStyle w:val="PL"/>
      </w:pPr>
      <w:r w:rsidRPr="000A0A5F">
        <w:t xml:space="preserve">      nullable: true</w:t>
      </w:r>
    </w:p>
    <w:p w:rsidR="000501A6" w:rsidRPr="000A0A5F" w:rsidRDefault="000501A6">
      <w:pPr>
        <w:pStyle w:val="PL"/>
      </w:pPr>
    </w:p>
    <w:p w:rsidR="00CB0DD7" w:rsidRPr="000A0A5F" w:rsidRDefault="00CB0DD7">
      <w:pPr>
        <w:pStyle w:val="PL"/>
      </w:pPr>
      <w:r w:rsidRPr="000A0A5F">
        <w:t xml:space="preserve">    TimeWindow:</w:t>
      </w:r>
    </w:p>
    <w:p w:rsidR="00CB0DD7" w:rsidRPr="000A0A5F" w:rsidRDefault="00CB0DD7">
      <w:pPr>
        <w:pStyle w:val="PL"/>
      </w:pPr>
      <w:r w:rsidRPr="000A0A5F">
        <w:t xml:space="preserve">      description: Represents a time window identified by a start time and a stop time.</w:t>
      </w:r>
    </w:p>
    <w:p w:rsidR="00CB0DD7" w:rsidRPr="000A0A5F" w:rsidRDefault="00CB0DD7">
      <w:pPr>
        <w:pStyle w:val="PL"/>
      </w:pPr>
      <w:r w:rsidRPr="000A0A5F">
        <w:t xml:space="preserve">      type: object</w:t>
      </w:r>
    </w:p>
    <w:p w:rsidR="00CB0DD7" w:rsidRPr="000A0A5F" w:rsidRDefault="00CB0DD7">
      <w:pPr>
        <w:pStyle w:val="PL"/>
      </w:pPr>
      <w:r w:rsidRPr="000A0A5F">
        <w:t xml:space="preserve">      properties:</w:t>
      </w:r>
    </w:p>
    <w:p w:rsidR="00CB0DD7" w:rsidRPr="000A0A5F" w:rsidRDefault="00CB0DD7">
      <w:pPr>
        <w:pStyle w:val="PL"/>
      </w:pPr>
      <w:r w:rsidRPr="000A0A5F">
        <w:t xml:space="preserve">        startTime:</w:t>
      </w:r>
    </w:p>
    <w:p w:rsidR="00CB0DD7" w:rsidRPr="000A0A5F" w:rsidRDefault="00CB0DD7">
      <w:pPr>
        <w:pStyle w:val="PL"/>
      </w:pPr>
      <w:r w:rsidRPr="000A0A5F">
        <w:t xml:space="preserve">          $ref: '#/components/schemas/DateTime'</w:t>
      </w:r>
    </w:p>
    <w:p w:rsidR="00CB0DD7" w:rsidRPr="000A0A5F" w:rsidRDefault="00CB0DD7">
      <w:pPr>
        <w:pStyle w:val="PL"/>
      </w:pPr>
      <w:r w:rsidRPr="000A0A5F">
        <w:t xml:space="preserve">        stopTime:</w:t>
      </w:r>
    </w:p>
    <w:p w:rsidR="00CB0DD7" w:rsidRPr="000A0A5F" w:rsidRDefault="00CB0DD7">
      <w:pPr>
        <w:pStyle w:val="PL"/>
      </w:pPr>
      <w:r w:rsidRPr="000A0A5F">
        <w:t xml:space="preserve">          $ref: '#/components/schemas/DateTime'</w:t>
      </w:r>
    </w:p>
    <w:p w:rsidR="00CB0DD7" w:rsidRPr="000A0A5F" w:rsidRDefault="00CB0DD7">
      <w:pPr>
        <w:pStyle w:val="PL"/>
      </w:pPr>
      <w:r w:rsidRPr="000A0A5F">
        <w:t xml:space="preserve">      required:</w:t>
      </w:r>
    </w:p>
    <w:p w:rsidR="00CB0DD7" w:rsidRPr="000A0A5F" w:rsidRDefault="00CB0DD7">
      <w:pPr>
        <w:pStyle w:val="PL"/>
      </w:pPr>
      <w:r w:rsidRPr="000A0A5F">
        <w:t xml:space="preserve">        - startTime</w:t>
      </w:r>
    </w:p>
    <w:p w:rsidR="00CB0DD7" w:rsidRPr="000A0A5F" w:rsidRDefault="00CB0DD7">
      <w:pPr>
        <w:pStyle w:val="PL"/>
      </w:pPr>
      <w:r w:rsidRPr="000A0A5F">
        <w:t xml:space="preserve">        - stopTime</w:t>
      </w:r>
    </w:p>
    <w:p w:rsidR="000501A6" w:rsidRPr="000A0A5F" w:rsidRDefault="000501A6">
      <w:pPr>
        <w:pStyle w:val="PL"/>
      </w:pPr>
    </w:p>
    <w:p w:rsidR="00CB0DD7" w:rsidRPr="000A0A5F" w:rsidRDefault="00CB0DD7">
      <w:pPr>
        <w:pStyle w:val="PL"/>
      </w:pPr>
      <w:r w:rsidRPr="000A0A5F">
        <w:t xml:space="preserve">    Acknowledgement:</w:t>
      </w:r>
    </w:p>
    <w:p w:rsidR="00CB0DD7" w:rsidRPr="000A0A5F" w:rsidRDefault="00CB0DD7">
      <w:pPr>
        <w:pStyle w:val="PL"/>
      </w:pPr>
      <w:r w:rsidRPr="000A0A5F">
        <w:t xml:space="preserve">      description: Represents a successful acknowledgement of a notification.</w:t>
      </w:r>
    </w:p>
    <w:p w:rsidR="00CB0DD7" w:rsidRPr="000A0A5F" w:rsidRDefault="00CB0DD7">
      <w:pPr>
        <w:pStyle w:val="PL"/>
      </w:pPr>
      <w:r w:rsidRPr="000A0A5F">
        <w:t xml:space="preserve">      type: object</w:t>
      </w:r>
    </w:p>
    <w:p w:rsidR="00CB0DD7" w:rsidRPr="000A0A5F" w:rsidRDefault="00CB0DD7">
      <w:pPr>
        <w:pStyle w:val="PL"/>
      </w:pPr>
      <w:r w:rsidRPr="000A0A5F">
        <w:t xml:space="preserve">      properties:</w:t>
      </w:r>
    </w:p>
    <w:p w:rsidR="00CB0DD7" w:rsidRPr="000A0A5F" w:rsidRDefault="00CB0DD7">
      <w:pPr>
        <w:pStyle w:val="PL"/>
      </w:pPr>
      <w:r w:rsidRPr="000A0A5F">
        <w:t xml:space="preserve">        details:</w:t>
      </w:r>
    </w:p>
    <w:p w:rsidR="00CB0DD7" w:rsidRPr="000A0A5F" w:rsidRDefault="00CB0DD7">
      <w:pPr>
        <w:pStyle w:val="PL"/>
      </w:pPr>
      <w:r w:rsidRPr="000A0A5F">
        <w:t xml:space="preserve">          type: string</w:t>
      </w:r>
    </w:p>
    <w:p w:rsidR="00CB0DD7" w:rsidRPr="000A0A5F" w:rsidRDefault="00CB0DD7">
      <w:pPr>
        <w:pStyle w:val="PL"/>
      </w:pPr>
      <w:r w:rsidRPr="000A0A5F">
        <w:t xml:space="preserve">          description: A human-readable explanation specific to this successful acknowledgement</w:t>
      </w:r>
    </w:p>
    <w:p w:rsidR="00CB0DD7" w:rsidRPr="000A0A5F" w:rsidRDefault="00CB0DD7">
      <w:pPr>
        <w:pStyle w:val="PL"/>
      </w:pPr>
      <w:r w:rsidRPr="000A0A5F">
        <w:t xml:space="preserve">      required:</w:t>
      </w:r>
    </w:p>
    <w:p w:rsidR="00CB0DD7" w:rsidRPr="000A0A5F" w:rsidRDefault="00CB0DD7">
      <w:pPr>
        <w:pStyle w:val="PL"/>
      </w:pPr>
      <w:r w:rsidRPr="000A0A5F">
        <w:t xml:space="preserve">        - details</w:t>
      </w:r>
    </w:p>
    <w:p w:rsidR="000501A6" w:rsidRPr="000A0A5F" w:rsidRDefault="000501A6">
      <w:pPr>
        <w:pStyle w:val="PL"/>
      </w:pPr>
    </w:p>
    <w:p w:rsidR="00CB0DD7" w:rsidRPr="000A0A5F" w:rsidRDefault="00CB0DD7">
      <w:pPr>
        <w:pStyle w:val="PL"/>
      </w:pPr>
      <w:r w:rsidRPr="000A0A5F">
        <w:t xml:space="preserve">    NotificationData:</w:t>
      </w:r>
    </w:p>
    <w:p w:rsidR="000501A6" w:rsidRPr="000A0A5F" w:rsidRDefault="00CB0DD7" w:rsidP="000501A6">
      <w:pPr>
        <w:pStyle w:val="PL"/>
      </w:pPr>
      <w:r w:rsidRPr="000A0A5F">
        <w:t xml:space="preserve">      description: </w:t>
      </w:r>
      <w:r w:rsidR="000501A6" w:rsidRPr="000A0A5F">
        <w:t>&gt;</w:t>
      </w:r>
    </w:p>
    <w:p w:rsidR="00CB0DD7" w:rsidRPr="000A0A5F" w:rsidRDefault="000501A6" w:rsidP="000501A6">
      <w:pPr>
        <w:pStyle w:val="PL"/>
      </w:pPr>
      <w:r w:rsidRPr="000A0A5F">
        <w:t xml:space="preserve">        </w:t>
      </w:r>
      <w:r w:rsidR="00CB0DD7" w:rsidRPr="000A0A5F">
        <w:t>Represents the information to be conveyed in a bearer level event(s) notification.</w:t>
      </w:r>
    </w:p>
    <w:p w:rsidR="00CB0DD7" w:rsidRPr="000A0A5F" w:rsidRDefault="00CB0DD7">
      <w:pPr>
        <w:pStyle w:val="PL"/>
      </w:pPr>
      <w:r w:rsidRPr="000A0A5F">
        <w:t xml:space="preserve">      type: object</w:t>
      </w:r>
    </w:p>
    <w:p w:rsidR="00CB0DD7" w:rsidRPr="000A0A5F" w:rsidRDefault="00CB0DD7">
      <w:pPr>
        <w:pStyle w:val="PL"/>
      </w:pPr>
      <w:r w:rsidRPr="000A0A5F">
        <w:t xml:space="preserve">      properties:</w:t>
      </w:r>
    </w:p>
    <w:p w:rsidR="00CB0DD7" w:rsidRPr="000A0A5F" w:rsidRDefault="00CB0DD7">
      <w:pPr>
        <w:pStyle w:val="PL"/>
      </w:pPr>
      <w:r w:rsidRPr="000A0A5F">
        <w:t xml:space="preserve">        transaction:</w:t>
      </w:r>
    </w:p>
    <w:p w:rsidR="00CB0DD7" w:rsidRPr="000A0A5F" w:rsidRDefault="00CB0DD7">
      <w:pPr>
        <w:pStyle w:val="PL"/>
      </w:pPr>
      <w:r w:rsidRPr="000A0A5F">
        <w:t xml:space="preserve">          $ref: '#/components/schemas/Link'</w:t>
      </w:r>
    </w:p>
    <w:p w:rsidR="00CB0DD7" w:rsidRPr="000A0A5F" w:rsidRDefault="00CB0DD7">
      <w:pPr>
        <w:pStyle w:val="PL"/>
      </w:pPr>
      <w:r w:rsidRPr="000A0A5F">
        <w:t xml:space="preserve">        eventReports:</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$ref: '#/components/schemas/EventReport'</w:t>
      </w:r>
    </w:p>
    <w:p w:rsidR="00CB0DD7" w:rsidRPr="000A0A5F" w:rsidRDefault="00CB0DD7">
      <w:pPr>
        <w:pStyle w:val="PL"/>
      </w:pPr>
      <w:r w:rsidRPr="000A0A5F">
        <w:t xml:space="preserve">          minItems: 1</w:t>
      </w:r>
    </w:p>
    <w:p w:rsidR="00CB0DD7" w:rsidRPr="000A0A5F" w:rsidRDefault="00CB0DD7">
      <w:pPr>
        <w:pStyle w:val="PL"/>
      </w:pPr>
      <w:r w:rsidRPr="000A0A5F">
        <w:t xml:space="preserve">          description: Contains the reported event and applicable information</w:t>
      </w:r>
    </w:p>
    <w:p w:rsidR="00CB0DD7" w:rsidRPr="000A0A5F" w:rsidRDefault="00CB0DD7">
      <w:pPr>
        <w:pStyle w:val="PL"/>
      </w:pPr>
      <w:r w:rsidRPr="000A0A5F">
        <w:t xml:space="preserve">      required:</w:t>
      </w:r>
    </w:p>
    <w:p w:rsidR="00CB0DD7" w:rsidRPr="000A0A5F" w:rsidRDefault="00CB0DD7">
      <w:pPr>
        <w:pStyle w:val="PL"/>
      </w:pPr>
      <w:r w:rsidRPr="000A0A5F">
        <w:t xml:space="preserve">        - transaction</w:t>
      </w:r>
    </w:p>
    <w:p w:rsidR="00CB0DD7" w:rsidRPr="000A0A5F" w:rsidRDefault="00CB0DD7">
      <w:pPr>
        <w:pStyle w:val="PL"/>
      </w:pPr>
      <w:r w:rsidRPr="000A0A5F">
        <w:t xml:space="preserve">        - eventReports</w:t>
      </w:r>
    </w:p>
    <w:p w:rsidR="000501A6" w:rsidRPr="000A0A5F" w:rsidRDefault="000501A6">
      <w:pPr>
        <w:pStyle w:val="PL"/>
      </w:pPr>
    </w:p>
    <w:p w:rsidR="00CB0DD7" w:rsidRPr="000A0A5F" w:rsidRDefault="00CB0DD7">
      <w:pPr>
        <w:pStyle w:val="PL"/>
      </w:pPr>
      <w:r w:rsidRPr="000A0A5F">
        <w:t xml:space="preserve">    EventReport:</w:t>
      </w:r>
    </w:p>
    <w:p w:rsidR="00CB0DD7" w:rsidRPr="000A0A5F" w:rsidRDefault="00CB0DD7">
      <w:pPr>
        <w:pStyle w:val="PL"/>
      </w:pPr>
      <w:r w:rsidRPr="000A0A5F">
        <w:t xml:space="preserve">      description: Represents an event report.</w:t>
      </w:r>
    </w:p>
    <w:p w:rsidR="00CB0DD7" w:rsidRPr="000A0A5F" w:rsidRDefault="00CB0DD7">
      <w:pPr>
        <w:pStyle w:val="PL"/>
      </w:pPr>
      <w:r w:rsidRPr="000A0A5F">
        <w:t xml:space="preserve">      type: object</w:t>
      </w:r>
    </w:p>
    <w:p w:rsidR="00CB0DD7" w:rsidRPr="000A0A5F" w:rsidRDefault="00CB0DD7">
      <w:pPr>
        <w:pStyle w:val="PL"/>
      </w:pPr>
      <w:r w:rsidRPr="000A0A5F">
        <w:t xml:space="preserve">      properties:</w:t>
      </w:r>
    </w:p>
    <w:p w:rsidR="00CB0DD7" w:rsidRPr="000A0A5F" w:rsidRDefault="00CB0DD7">
      <w:pPr>
        <w:pStyle w:val="PL"/>
      </w:pPr>
      <w:r w:rsidRPr="000A0A5F">
        <w:t xml:space="preserve">        event:</w:t>
      </w:r>
    </w:p>
    <w:p w:rsidR="00CB0DD7" w:rsidRPr="000A0A5F" w:rsidRDefault="00CB0DD7">
      <w:pPr>
        <w:pStyle w:val="PL"/>
      </w:pPr>
      <w:r w:rsidRPr="000A0A5F">
        <w:t xml:space="preserve">          $ref: '#/components/schemas/Event'</w:t>
      </w:r>
    </w:p>
    <w:p w:rsidR="00CB0DD7" w:rsidRPr="000A0A5F" w:rsidRDefault="00CB0DD7">
      <w:pPr>
        <w:pStyle w:val="PL"/>
      </w:pPr>
      <w:r w:rsidRPr="000A0A5F">
        <w:t xml:space="preserve">        accumulatedUsage:</w:t>
      </w:r>
    </w:p>
    <w:p w:rsidR="00CB0DD7" w:rsidRPr="000A0A5F" w:rsidRDefault="00CB0DD7">
      <w:pPr>
        <w:pStyle w:val="PL"/>
      </w:pPr>
      <w:r w:rsidRPr="000A0A5F">
        <w:t xml:space="preserve">          $ref: '#/components/schemas/AccumulatedUsage'</w:t>
      </w:r>
    </w:p>
    <w:p w:rsidR="00CB0DD7" w:rsidRPr="000A0A5F" w:rsidRDefault="00CB0DD7">
      <w:pPr>
        <w:pStyle w:val="PL"/>
      </w:pPr>
      <w:r w:rsidRPr="000A0A5F">
        <w:t xml:space="preserve">        flowIds:</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type: integer</w:t>
      </w:r>
    </w:p>
    <w:p w:rsidR="00CB0DD7" w:rsidRPr="000A0A5F" w:rsidRDefault="00CB0DD7">
      <w:pPr>
        <w:pStyle w:val="PL"/>
      </w:pPr>
      <w:r w:rsidRPr="000A0A5F">
        <w:t xml:space="preserve">          minItems: 1</w:t>
      </w:r>
    </w:p>
    <w:p w:rsidR="00CB0DD7" w:rsidRPr="000A0A5F" w:rsidRDefault="00CB0DD7">
      <w:pPr>
        <w:pStyle w:val="PL"/>
      </w:pPr>
      <w:r w:rsidRPr="000A0A5F">
        <w:t xml:space="preserve">          description: Identifies the IP flows that were sent during event subscription</w:t>
      </w:r>
    </w:p>
    <w:p w:rsidR="00CB0DD7" w:rsidRPr="000A0A5F" w:rsidRDefault="00CB0DD7">
      <w:pPr>
        <w:pStyle w:val="PL"/>
      </w:pPr>
      <w:r w:rsidRPr="000A0A5F">
        <w:t xml:space="preserve">      required:</w:t>
      </w:r>
    </w:p>
    <w:p w:rsidR="00CB0DD7" w:rsidRPr="000A0A5F" w:rsidRDefault="00CB0DD7">
      <w:pPr>
        <w:pStyle w:val="PL"/>
      </w:pPr>
      <w:r w:rsidRPr="000A0A5F">
        <w:t xml:space="preserve">        - event</w:t>
      </w:r>
    </w:p>
    <w:p w:rsidR="000501A6" w:rsidRPr="000A0A5F" w:rsidRDefault="000501A6">
      <w:pPr>
        <w:pStyle w:val="PL"/>
      </w:pPr>
    </w:p>
    <w:p w:rsidR="00CB0DD7" w:rsidRPr="000A0A5F" w:rsidRDefault="00CB0DD7">
      <w:pPr>
        <w:pStyle w:val="PL"/>
      </w:pPr>
      <w:r w:rsidRPr="000A0A5F">
        <w:t xml:space="preserve">    AccumulatedUsage:</w:t>
      </w:r>
    </w:p>
    <w:p w:rsidR="00CB0DD7" w:rsidRPr="000A0A5F" w:rsidRDefault="00CB0DD7">
      <w:pPr>
        <w:pStyle w:val="PL"/>
      </w:pPr>
      <w:r w:rsidRPr="000A0A5F">
        <w:t xml:space="preserve">      description: Represents an accumulated usage.</w:t>
      </w:r>
    </w:p>
    <w:p w:rsidR="00CB0DD7" w:rsidRPr="000A0A5F" w:rsidRDefault="00CB0DD7">
      <w:pPr>
        <w:pStyle w:val="PL"/>
      </w:pPr>
      <w:r w:rsidRPr="000A0A5F">
        <w:t xml:space="preserve">      type: object</w:t>
      </w:r>
    </w:p>
    <w:p w:rsidR="00CB0DD7" w:rsidRPr="000A0A5F" w:rsidRDefault="00CB0DD7">
      <w:pPr>
        <w:pStyle w:val="PL"/>
      </w:pPr>
      <w:r w:rsidRPr="000A0A5F">
        <w:t xml:space="preserve">      properties:</w:t>
      </w:r>
    </w:p>
    <w:p w:rsidR="00CB0DD7" w:rsidRPr="000A0A5F" w:rsidRDefault="00CB0DD7">
      <w:pPr>
        <w:pStyle w:val="PL"/>
      </w:pPr>
      <w:r w:rsidRPr="000A0A5F">
        <w:t xml:space="preserve">        duration:</w:t>
      </w:r>
    </w:p>
    <w:p w:rsidR="00CB0DD7" w:rsidRPr="000A0A5F" w:rsidRDefault="00CB0DD7">
      <w:pPr>
        <w:pStyle w:val="PL"/>
      </w:pPr>
      <w:r w:rsidRPr="000A0A5F">
        <w:t xml:space="preserve">          $ref: '#/components/schemas/DurationSec'</w:t>
      </w:r>
    </w:p>
    <w:p w:rsidR="00CB0DD7" w:rsidRPr="000A0A5F" w:rsidRDefault="00CB0DD7">
      <w:pPr>
        <w:pStyle w:val="PL"/>
      </w:pPr>
      <w:r w:rsidRPr="000A0A5F">
        <w:t xml:space="preserve">        totalVolume:</w:t>
      </w:r>
    </w:p>
    <w:p w:rsidR="00CB0DD7" w:rsidRPr="000A0A5F" w:rsidRDefault="00CB0DD7">
      <w:pPr>
        <w:pStyle w:val="PL"/>
      </w:pPr>
      <w:r w:rsidRPr="000A0A5F">
        <w:t xml:space="preserve">          $ref: '#/components/schemas/Volume'</w:t>
      </w:r>
    </w:p>
    <w:p w:rsidR="00CB0DD7" w:rsidRPr="000A0A5F" w:rsidRDefault="00CB0DD7">
      <w:pPr>
        <w:pStyle w:val="PL"/>
      </w:pPr>
      <w:r w:rsidRPr="000A0A5F">
        <w:t xml:space="preserve">        downlinkVolume:</w:t>
      </w:r>
    </w:p>
    <w:p w:rsidR="00CB0DD7" w:rsidRPr="000A0A5F" w:rsidRDefault="00CB0DD7">
      <w:pPr>
        <w:pStyle w:val="PL"/>
      </w:pPr>
      <w:r w:rsidRPr="000A0A5F">
        <w:t xml:space="preserve">          $ref: '#/components/schemas/Volume'</w:t>
      </w:r>
    </w:p>
    <w:p w:rsidR="00CB0DD7" w:rsidRPr="000A0A5F" w:rsidRDefault="00CB0DD7">
      <w:pPr>
        <w:pStyle w:val="PL"/>
      </w:pPr>
      <w:r w:rsidRPr="000A0A5F">
        <w:t xml:space="preserve">        uplinkVolume:</w:t>
      </w:r>
    </w:p>
    <w:p w:rsidR="00CB0DD7" w:rsidRPr="000A0A5F" w:rsidRDefault="00CB0DD7">
      <w:pPr>
        <w:pStyle w:val="PL"/>
      </w:pPr>
      <w:r w:rsidRPr="000A0A5F">
        <w:t xml:space="preserve">          $ref: '#/components/schemas/Volume'</w:t>
      </w:r>
    </w:p>
    <w:p w:rsidR="000501A6" w:rsidRPr="000A0A5F" w:rsidRDefault="000501A6">
      <w:pPr>
        <w:pStyle w:val="PL"/>
      </w:pPr>
    </w:p>
    <w:p w:rsidR="00CB0DD7" w:rsidRPr="000A0A5F" w:rsidRDefault="00CB0DD7">
      <w:pPr>
        <w:pStyle w:val="PL"/>
      </w:pPr>
      <w:r w:rsidRPr="000A0A5F">
        <w:t xml:space="preserve">    FlowInfo:</w:t>
      </w:r>
    </w:p>
    <w:p w:rsidR="00CB0DD7" w:rsidRPr="000A0A5F" w:rsidRDefault="00CB0DD7">
      <w:pPr>
        <w:pStyle w:val="PL"/>
      </w:pPr>
      <w:r w:rsidRPr="000A0A5F">
        <w:t xml:space="preserve">      description: Represents </w:t>
      </w:r>
      <w:r w:rsidR="007D3857" w:rsidRPr="000A0A5F">
        <w:t xml:space="preserve">IP </w:t>
      </w:r>
      <w:r w:rsidRPr="000A0A5F">
        <w:t>flow information.</w:t>
      </w:r>
    </w:p>
    <w:p w:rsidR="00CB0DD7" w:rsidRPr="000A0A5F" w:rsidRDefault="00CB0DD7">
      <w:pPr>
        <w:pStyle w:val="PL"/>
      </w:pPr>
      <w:r w:rsidRPr="000A0A5F">
        <w:t xml:space="preserve">      type: object</w:t>
      </w:r>
    </w:p>
    <w:p w:rsidR="00CB0DD7" w:rsidRPr="000A0A5F" w:rsidRDefault="00CB0DD7">
      <w:pPr>
        <w:pStyle w:val="PL"/>
      </w:pPr>
      <w:r w:rsidRPr="000A0A5F">
        <w:t xml:space="preserve">      properties:</w:t>
      </w:r>
    </w:p>
    <w:p w:rsidR="00CB0DD7" w:rsidRPr="000A0A5F" w:rsidRDefault="00CB0DD7">
      <w:pPr>
        <w:pStyle w:val="PL"/>
      </w:pPr>
      <w:r w:rsidRPr="000A0A5F">
        <w:t xml:space="preserve">        flowId:</w:t>
      </w:r>
    </w:p>
    <w:p w:rsidR="00CB0DD7" w:rsidRPr="000A0A5F" w:rsidRDefault="00CB0DD7">
      <w:pPr>
        <w:pStyle w:val="PL"/>
      </w:pPr>
      <w:r w:rsidRPr="000A0A5F">
        <w:t xml:space="preserve">          type: integer</w:t>
      </w:r>
    </w:p>
    <w:p w:rsidR="00CB0DD7" w:rsidRPr="000A0A5F" w:rsidRDefault="00CB0DD7">
      <w:pPr>
        <w:pStyle w:val="PL"/>
      </w:pPr>
      <w:r w:rsidRPr="000A0A5F">
        <w:t xml:space="preserve">          description: Indicates the IP flow</w:t>
      </w:r>
      <w:r w:rsidR="007D3857" w:rsidRPr="000A0A5F">
        <w:t xml:space="preserve"> identifier</w:t>
      </w:r>
      <w:r w:rsidRPr="000A0A5F">
        <w:t>.</w:t>
      </w:r>
    </w:p>
    <w:p w:rsidR="00CB0DD7" w:rsidRPr="000A0A5F" w:rsidRDefault="00CB0DD7">
      <w:pPr>
        <w:pStyle w:val="PL"/>
      </w:pPr>
      <w:r w:rsidRPr="000A0A5F">
        <w:t xml:space="preserve">        flowDescriptions:</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type: string</w:t>
      </w:r>
    </w:p>
    <w:p w:rsidR="007D3857" w:rsidRPr="000A0A5F" w:rsidRDefault="00CB0DD7" w:rsidP="007D3857">
      <w:pPr>
        <w:pStyle w:val="PL"/>
      </w:pPr>
      <w:r w:rsidRPr="000A0A5F">
        <w:t xml:space="preserve">          description: </w:t>
      </w:r>
      <w:r w:rsidR="007D3857" w:rsidRPr="000A0A5F">
        <w:t>&gt;</w:t>
      </w:r>
    </w:p>
    <w:p w:rsidR="007D3857" w:rsidRPr="000A0A5F" w:rsidRDefault="007D3857" w:rsidP="007D3857">
      <w:pPr>
        <w:pStyle w:val="PL"/>
      </w:pPr>
      <w:r w:rsidRPr="000A0A5F">
        <w:t xml:space="preserve">           </w:t>
      </w:r>
      <w:r w:rsidR="00CB0DD7" w:rsidRPr="000A0A5F">
        <w:t>Indicates the packet filters of the IP flow. Refer to clause 5.3.8 of 3GPP TS 29.214 for</w:t>
      </w:r>
    </w:p>
    <w:p w:rsidR="00CB0DD7" w:rsidRPr="000A0A5F" w:rsidRDefault="007D3857" w:rsidP="007D3857">
      <w:pPr>
        <w:pStyle w:val="PL"/>
      </w:pPr>
      <w:r w:rsidRPr="000A0A5F">
        <w:t xml:space="preserve">           </w:t>
      </w:r>
      <w:r w:rsidR="00CB0DD7" w:rsidRPr="000A0A5F">
        <w:t>encoding. It shall contain UL and/or DL IP flow description.</w:t>
      </w:r>
    </w:p>
    <w:p w:rsidR="00CB0DD7" w:rsidRPr="000A0A5F" w:rsidRDefault="00CB0DD7">
      <w:pPr>
        <w:pStyle w:val="PL"/>
      </w:pPr>
      <w:r w:rsidRPr="000A0A5F">
        <w:t xml:space="preserve">          minItems: 1</w:t>
      </w:r>
    </w:p>
    <w:p w:rsidR="00CB0DD7" w:rsidRPr="000A0A5F" w:rsidRDefault="00CB0DD7">
      <w:pPr>
        <w:pStyle w:val="PL"/>
      </w:pPr>
      <w:r w:rsidRPr="000A0A5F">
        <w:t xml:space="preserve">          maxItems: 2</w:t>
      </w:r>
    </w:p>
    <w:p w:rsidR="0089557B" w:rsidRPr="000A0A5F" w:rsidRDefault="0089557B" w:rsidP="0089557B">
      <w:pPr>
        <w:pStyle w:val="PL"/>
      </w:pPr>
      <w:r w:rsidRPr="000A0A5F">
        <w:t xml:space="preserve">        tosTC:</w:t>
      </w:r>
    </w:p>
    <w:p w:rsidR="0089557B" w:rsidRPr="000A0A5F" w:rsidRDefault="0089557B" w:rsidP="0089557B">
      <w:pPr>
        <w:pStyle w:val="PL"/>
      </w:pPr>
      <w:r w:rsidRPr="000A0A5F">
        <w:t xml:space="preserve">          $ref: 'TS29514_Npcf_PolicyAuthorization.yaml#/components/schemas/TosTrafficClass'</w:t>
      </w:r>
    </w:p>
    <w:p w:rsidR="00CB0DD7" w:rsidRPr="000A0A5F" w:rsidRDefault="00CB0DD7">
      <w:pPr>
        <w:pStyle w:val="PL"/>
      </w:pPr>
      <w:r w:rsidRPr="000A0A5F">
        <w:t xml:space="preserve">      required:</w:t>
      </w:r>
    </w:p>
    <w:p w:rsidR="00CB0DD7" w:rsidRPr="000A0A5F" w:rsidRDefault="00CB0DD7">
      <w:pPr>
        <w:pStyle w:val="PL"/>
      </w:pPr>
      <w:r w:rsidRPr="000A0A5F">
        <w:t xml:space="preserve">        - flowId</w:t>
      </w:r>
    </w:p>
    <w:p w:rsidR="000501A6" w:rsidRPr="000A0A5F" w:rsidRDefault="000501A6">
      <w:pPr>
        <w:pStyle w:val="PL"/>
      </w:pPr>
    </w:p>
    <w:p w:rsidR="00CB0DD7" w:rsidRPr="000A0A5F" w:rsidRDefault="00CB0DD7">
      <w:pPr>
        <w:pStyle w:val="PL"/>
      </w:pPr>
      <w:r w:rsidRPr="000A0A5F">
        <w:t xml:space="preserve">    TestNotification:</w:t>
      </w:r>
    </w:p>
    <w:p w:rsidR="000501A6" w:rsidRPr="000A0A5F" w:rsidRDefault="00CB0DD7" w:rsidP="000501A6">
      <w:pPr>
        <w:pStyle w:val="PL"/>
      </w:pPr>
      <w:r w:rsidRPr="000A0A5F">
        <w:t xml:space="preserve">      description: </w:t>
      </w:r>
      <w:r w:rsidR="000501A6" w:rsidRPr="000A0A5F">
        <w:t>&gt;</w:t>
      </w:r>
    </w:p>
    <w:p w:rsidR="000501A6" w:rsidRPr="000A0A5F" w:rsidRDefault="000501A6" w:rsidP="000501A6">
      <w:pPr>
        <w:pStyle w:val="PL"/>
      </w:pPr>
      <w:r w:rsidRPr="000A0A5F">
        <w:t xml:space="preserve">        </w:t>
      </w:r>
      <w:r w:rsidR="00CB0DD7" w:rsidRPr="000A0A5F">
        <w:t>Represents a notification that can be sent to test whether a chosen notification mechanism</w:t>
      </w:r>
    </w:p>
    <w:p w:rsidR="00CB0DD7" w:rsidRPr="000A0A5F" w:rsidRDefault="000501A6" w:rsidP="000501A6">
      <w:pPr>
        <w:pStyle w:val="PL"/>
      </w:pPr>
      <w:r w:rsidRPr="000A0A5F">
        <w:t xml:space="preserve">       </w:t>
      </w:r>
      <w:r w:rsidR="00CB0DD7" w:rsidRPr="000A0A5F">
        <w:t xml:space="preserve"> works.</w:t>
      </w:r>
    </w:p>
    <w:p w:rsidR="00CB0DD7" w:rsidRPr="000A0A5F" w:rsidRDefault="00CB0DD7">
      <w:pPr>
        <w:pStyle w:val="PL"/>
      </w:pPr>
      <w:r w:rsidRPr="000A0A5F">
        <w:t xml:space="preserve">      type: object</w:t>
      </w:r>
    </w:p>
    <w:p w:rsidR="00CB0DD7" w:rsidRPr="000A0A5F" w:rsidRDefault="00CB0DD7">
      <w:pPr>
        <w:pStyle w:val="PL"/>
      </w:pPr>
      <w:r w:rsidRPr="000A0A5F">
        <w:t xml:space="preserve">      properties:</w:t>
      </w:r>
    </w:p>
    <w:p w:rsidR="00CB0DD7" w:rsidRPr="000A0A5F" w:rsidRDefault="00CB0DD7">
      <w:pPr>
        <w:pStyle w:val="PL"/>
      </w:pPr>
      <w:r w:rsidRPr="000A0A5F">
        <w:t xml:space="preserve">        subscription:</w:t>
      </w:r>
    </w:p>
    <w:p w:rsidR="00CB0DD7" w:rsidRPr="000A0A5F" w:rsidRDefault="00CB0DD7">
      <w:pPr>
        <w:pStyle w:val="PL"/>
      </w:pPr>
      <w:r w:rsidRPr="000A0A5F">
        <w:t xml:space="preserve">          $ref: '#/components/schemas/Link'</w:t>
      </w:r>
    </w:p>
    <w:p w:rsidR="00CB0DD7" w:rsidRPr="000A0A5F" w:rsidRDefault="00CB0DD7">
      <w:pPr>
        <w:pStyle w:val="PL"/>
      </w:pPr>
      <w:r w:rsidRPr="000A0A5F">
        <w:t xml:space="preserve">      required:</w:t>
      </w:r>
    </w:p>
    <w:p w:rsidR="00CB0DD7" w:rsidRPr="000A0A5F" w:rsidRDefault="00CB0DD7">
      <w:pPr>
        <w:pStyle w:val="PL"/>
      </w:pPr>
      <w:r w:rsidRPr="000A0A5F">
        <w:t xml:space="preserve">        - subscription</w:t>
      </w:r>
    </w:p>
    <w:p w:rsidR="000501A6" w:rsidRPr="000A0A5F" w:rsidRDefault="000501A6">
      <w:pPr>
        <w:pStyle w:val="PL"/>
      </w:pPr>
    </w:p>
    <w:p w:rsidR="00CB0DD7" w:rsidRPr="000A0A5F" w:rsidRDefault="00CB0DD7">
      <w:pPr>
        <w:pStyle w:val="PL"/>
      </w:pPr>
      <w:r w:rsidRPr="000A0A5F">
        <w:t xml:space="preserve">    WebsockNotifConfig:</w:t>
      </w:r>
    </w:p>
    <w:p w:rsidR="000501A6" w:rsidRPr="000A0A5F" w:rsidRDefault="00CB0DD7" w:rsidP="000501A6">
      <w:pPr>
        <w:pStyle w:val="PL"/>
      </w:pPr>
      <w:r w:rsidRPr="000A0A5F">
        <w:t xml:space="preserve">      description: </w:t>
      </w:r>
      <w:r w:rsidR="000501A6" w:rsidRPr="000A0A5F">
        <w:t>&gt;</w:t>
      </w:r>
    </w:p>
    <w:p w:rsidR="00CB0DD7" w:rsidRPr="000A0A5F" w:rsidRDefault="000501A6" w:rsidP="000501A6">
      <w:pPr>
        <w:pStyle w:val="PL"/>
      </w:pPr>
      <w:r w:rsidRPr="000A0A5F">
        <w:t xml:space="preserve">        </w:t>
      </w:r>
      <w:r w:rsidR="00CB0DD7" w:rsidRPr="000A0A5F">
        <w:t>Represents the configuration information for the delivery of notifications over Websockets.</w:t>
      </w:r>
    </w:p>
    <w:p w:rsidR="00CB0DD7" w:rsidRPr="000A0A5F" w:rsidRDefault="00CB0DD7">
      <w:pPr>
        <w:pStyle w:val="PL"/>
      </w:pPr>
      <w:r w:rsidRPr="000A0A5F">
        <w:t xml:space="preserve">      type: object</w:t>
      </w:r>
    </w:p>
    <w:p w:rsidR="00CB0DD7" w:rsidRPr="000A0A5F" w:rsidRDefault="00CB0DD7">
      <w:pPr>
        <w:pStyle w:val="PL"/>
      </w:pPr>
      <w:r w:rsidRPr="000A0A5F">
        <w:t xml:space="preserve">      properties:</w:t>
      </w:r>
    </w:p>
    <w:p w:rsidR="00CB0DD7" w:rsidRPr="000A0A5F" w:rsidRDefault="00CB0DD7">
      <w:pPr>
        <w:pStyle w:val="PL"/>
      </w:pPr>
      <w:r w:rsidRPr="000A0A5F">
        <w:t xml:space="preserve">        websocketUri:</w:t>
      </w:r>
    </w:p>
    <w:p w:rsidR="00CB0DD7" w:rsidRPr="000A0A5F" w:rsidRDefault="00CB0DD7">
      <w:pPr>
        <w:pStyle w:val="PL"/>
      </w:pPr>
      <w:r w:rsidRPr="000A0A5F">
        <w:t xml:space="preserve">          $ref: '#/components/schemas/Link'</w:t>
      </w:r>
    </w:p>
    <w:p w:rsidR="00CB0DD7" w:rsidRPr="000A0A5F" w:rsidRDefault="00CB0DD7">
      <w:pPr>
        <w:pStyle w:val="PL"/>
      </w:pPr>
      <w:r w:rsidRPr="000A0A5F">
        <w:t xml:space="preserve">        requestWebsocketUri:</w:t>
      </w:r>
    </w:p>
    <w:p w:rsidR="00CB0DD7" w:rsidRPr="000A0A5F" w:rsidRDefault="00CB0DD7">
      <w:pPr>
        <w:pStyle w:val="PL"/>
      </w:pPr>
      <w:r w:rsidRPr="000A0A5F">
        <w:t xml:space="preserve">          type: boolean</w:t>
      </w:r>
    </w:p>
    <w:p w:rsidR="00CB0DD7" w:rsidRPr="000A0A5F" w:rsidRDefault="00CB0DD7">
      <w:pPr>
        <w:pStyle w:val="PL"/>
      </w:pPr>
      <w:r w:rsidRPr="000A0A5F">
        <w:t xml:space="preserve">          description: Set by the SCS/AS to indicate that the Websocket delivery is requested.</w:t>
      </w:r>
    </w:p>
    <w:p w:rsidR="000501A6" w:rsidRPr="000A0A5F" w:rsidRDefault="000501A6">
      <w:pPr>
        <w:pStyle w:val="PL"/>
      </w:pPr>
    </w:p>
    <w:p w:rsidR="00CB0DD7" w:rsidRPr="000A0A5F" w:rsidRDefault="00CB0DD7">
      <w:pPr>
        <w:pStyle w:val="PL"/>
      </w:pPr>
      <w:r w:rsidRPr="000A0A5F">
        <w:t xml:space="preserve">    LocationArea:</w:t>
      </w:r>
    </w:p>
    <w:p w:rsidR="00CB0DD7" w:rsidRPr="000A0A5F" w:rsidRDefault="00CB0DD7">
      <w:pPr>
        <w:pStyle w:val="PL"/>
      </w:pPr>
      <w:r w:rsidRPr="000A0A5F">
        <w:t xml:space="preserve">      description: Represents a user location area.</w:t>
      </w:r>
    </w:p>
    <w:p w:rsidR="00CB0DD7" w:rsidRPr="000A0A5F" w:rsidRDefault="00CB0DD7">
      <w:pPr>
        <w:pStyle w:val="PL"/>
      </w:pPr>
      <w:r w:rsidRPr="000A0A5F">
        <w:t xml:space="preserve">      type: object</w:t>
      </w:r>
    </w:p>
    <w:p w:rsidR="00CB0DD7" w:rsidRPr="000A0A5F" w:rsidRDefault="00CB0DD7">
      <w:pPr>
        <w:pStyle w:val="PL"/>
      </w:pPr>
      <w:r w:rsidRPr="000A0A5F">
        <w:t xml:space="preserve">      properties:</w:t>
      </w:r>
    </w:p>
    <w:p w:rsidR="00CB0DD7" w:rsidRPr="000A0A5F" w:rsidRDefault="00CB0DD7">
      <w:pPr>
        <w:pStyle w:val="PL"/>
      </w:pPr>
      <w:r w:rsidRPr="000A0A5F">
        <w:t xml:space="preserve">        cellIds:</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type: string</w:t>
      </w:r>
    </w:p>
    <w:p w:rsidR="00CB0DD7" w:rsidRPr="000A0A5F" w:rsidRDefault="00CB0DD7">
      <w:pPr>
        <w:pStyle w:val="PL"/>
      </w:pPr>
      <w:r w:rsidRPr="000A0A5F">
        <w:t xml:space="preserve">          minItems: 1</w:t>
      </w:r>
    </w:p>
    <w:p w:rsidR="000501A6" w:rsidRPr="000A0A5F" w:rsidRDefault="00CB0DD7" w:rsidP="000501A6">
      <w:pPr>
        <w:pStyle w:val="PL"/>
      </w:pPr>
      <w:r w:rsidRPr="000A0A5F">
        <w:t xml:space="preserve">          description: </w:t>
      </w:r>
      <w:r w:rsidR="000501A6" w:rsidRPr="000A0A5F">
        <w:t>&gt;</w:t>
      </w:r>
    </w:p>
    <w:p w:rsidR="000A76E7" w:rsidRPr="000A0A5F" w:rsidRDefault="000501A6" w:rsidP="000A76E7">
      <w:pPr>
        <w:pStyle w:val="PL"/>
      </w:pPr>
      <w:r w:rsidRPr="000A0A5F">
        <w:t xml:space="preserve">        </w:t>
      </w:r>
      <w:r w:rsidR="00AB3A35" w:rsidRPr="000A0A5F">
        <w:t xml:space="preserve">    </w:t>
      </w:r>
      <w:r w:rsidR="00CB0DD7" w:rsidRPr="000A0A5F">
        <w:t>Indicates a list of Cell Global Identities of the user which identifies the cell the UE</w:t>
      </w:r>
    </w:p>
    <w:p w:rsidR="00CB0DD7" w:rsidRPr="000A0A5F" w:rsidRDefault="000A76E7" w:rsidP="000A76E7">
      <w:pPr>
        <w:pStyle w:val="PL"/>
      </w:pPr>
      <w:r w:rsidRPr="000A0A5F">
        <w:t xml:space="preserve">           </w:t>
      </w:r>
      <w:r w:rsidR="00CB0DD7" w:rsidRPr="000A0A5F">
        <w:t xml:space="preserve"> is registered.</w:t>
      </w:r>
    </w:p>
    <w:p w:rsidR="00CB0DD7" w:rsidRPr="000A0A5F" w:rsidRDefault="00CB0DD7">
      <w:pPr>
        <w:pStyle w:val="PL"/>
      </w:pPr>
      <w:r w:rsidRPr="000A0A5F">
        <w:t xml:space="preserve">        enodeBIds:</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type: string</w:t>
      </w:r>
    </w:p>
    <w:p w:rsidR="00CB0DD7" w:rsidRPr="000A0A5F" w:rsidRDefault="00CB0DD7">
      <w:pPr>
        <w:pStyle w:val="PL"/>
      </w:pPr>
      <w:r w:rsidRPr="000A0A5F">
        <w:t xml:space="preserve">          minItems: 1</w:t>
      </w:r>
    </w:p>
    <w:p w:rsidR="00CB0DD7" w:rsidRPr="000A0A5F" w:rsidRDefault="00CB0DD7" w:rsidP="00AB3A35">
      <w:pPr>
        <w:pStyle w:val="PL"/>
      </w:pPr>
      <w:r w:rsidRPr="000A0A5F">
        <w:t xml:space="preserve">          description: Indicates a list of eNodeB identities in which the UE is currently located.</w:t>
      </w:r>
    </w:p>
    <w:p w:rsidR="00CB0DD7" w:rsidRPr="000A0A5F" w:rsidRDefault="00CB0DD7">
      <w:pPr>
        <w:pStyle w:val="PL"/>
      </w:pPr>
      <w:r w:rsidRPr="000A0A5F">
        <w:t xml:space="preserve">        routingAreaIds:</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type: string</w:t>
      </w:r>
    </w:p>
    <w:p w:rsidR="00CB0DD7" w:rsidRPr="000A0A5F" w:rsidRDefault="00CB0DD7">
      <w:pPr>
        <w:pStyle w:val="PL"/>
      </w:pPr>
      <w:r w:rsidRPr="000A0A5F">
        <w:t xml:space="preserve">          minItems: 1</w:t>
      </w:r>
    </w:p>
    <w:p w:rsidR="00AB3A35" w:rsidRPr="000A0A5F" w:rsidRDefault="00CB0DD7" w:rsidP="00AB3A35">
      <w:pPr>
        <w:pStyle w:val="PL"/>
      </w:pPr>
      <w:r w:rsidRPr="000A0A5F">
        <w:t xml:space="preserve">          description: </w:t>
      </w:r>
      <w:r w:rsidR="00AB3A35" w:rsidRPr="000A0A5F">
        <w:t>&gt;</w:t>
      </w:r>
    </w:p>
    <w:p w:rsidR="00CB0DD7" w:rsidRPr="000A0A5F" w:rsidRDefault="00AB3A35" w:rsidP="00AB3A35">
      <w:pPr>
        <w:pStyle w:val="PL"/>
      </w:pPr>
      <w:r w:rsidRPr="000A0A5F">
        <w:t xml:space="preserve">            </w:t>
      </w:r>
      <w:r w:rsidR="00CB0DD7" w:rsidRPr="000A0A5F">
        <w:t>Identifies a list of Routing Area Identities of the user where the UE is located.</w:t>
      </w:r>
    </w:p>
    <w:p w:rsidR="00CB0DD7" w:rsidRPr="000A0A5F" w:rsidRDefault="00CB0DD7">
      <w:pPr>
        <w:pStyle w:val="PL"/>
      </w:pPr>
      <w:r w:rsidRPr="000A0A5F">
        <w:t xml:space="preserve">        trackingAreaIds:</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type: string</w:t>
      </w:r>
    </w:p>
    <w:p w:rsidR="00CB0DD7" w:rsidRPr="000A0A5F" w:rsidRDefault="00CB0DD7">
      <w:pPr>
        <w:pStyle w:val="PL"/>
      </w:pPr>
      <w:r w:rsidRPr="000A0A5F">
        <w:t xml:space="preserve">          minItems: 1</w:t>
      </w:r>
    </w:p>
    <w:p w:rsidR="00AB3A35" w:rsidRPr="000A0A5F" w:rsidRDefault="00CB0DD7" w:rsidP="00AB3A35">
      <w:pPr>
        <w:pStyle w:val="PL"/>
      </w:pPr>
      <w:r w:rsidRPr="000A0A5F">
        <w:t xml:space="preserve">          description: </w:t>
      </w:r>
      <w:r w:rsidR="00AB3A35" w:rsidRPr="000A0A5F">
        <w:t>&gt;</w:t>
      </w:r>
    </w:p>
    <w:p w:rsidR="00CB0DD7" w:rsidRPr="000A0A5F" w:rsidRDefault="00AB3A35" w:rsidP="00AB3A35">
      <w:pPr>
        <w:pStyle w:val="PL"/>
      </w:pPr>
      <w:r w:rsidRPr="000A0A5F">
        <w:t xml:space="preserve">            </w:t>
      </w:r>
      <w:r w:rsidR="00CB0DD7" w:rsidRPr="000A0A5F">
        <w:t>Identifies a list of Tracking Area Identities of the user where the UE is located.</w:t>
      </w:r>
    </w:p>
    <w:p w:rsidR="00CB0DD7" w:rsidRPr="000A0A5F" w:rsidRDefault="00CB0DD7">
      <w:pPr>
        <w:pStyle w:val="PL"/>
      </w:pPr>
      <w:r w:rsidRPr="000A0A5F">
        <w:t xml:space="preserve">        geographicAreas:</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$ref: 'TS29572_Nlmf_Location.yaml#/components/schemas/GeographicArea'</w:t>
      </w:r>
    </w:p>
    <w:p w:rsidR="00CB0DD7" w:rsidRPr="000A0A5F" w:rsidRDefault="00CB0DD7">
      <w:pPr>
        <w:pStyle w:val="PL"/>
      </w:pPr>
      <w:r w:rsidRPr="000A0A5F">
        <w:t xml:space="preserve">          minItems: 1</w:t>
      </w:r>
    </w:p>
    <w:p w:rsidR="00CB0DD7" w:rsidRPr="000A0A5F" w:rsidRDefault="00CB0DD7">
      <w:pPr>
        <w:pStyle w:val="PL"/>
      </w:pPr>
      <w:r w:rsidRPr="000A0A5F">
        <w:t xml:space="preserve">          description: Identifies a list of geographic area of the user where the UE is located.</w:t>
      </w:r>
    </w:p>
    <w:p w:rsidR="00CB0DD7" w:rsidRPr="000A0A5F" w:rsidRDefault="00CB0DD7">
      <w:pPr>
        <w:pStyle w:val="PL"/>
      </w:pPr>
      <w:r w:rsidRPr="000A0A5F">
        <w:t xml:space="preserve">        civicAddresses:</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$ref: 'TS29572_Nlmf_Location.yaml#/components/schemas/CivicAddress'</w:t>
      </w:r>
    </w:p>
    <w:p w:rsidR="00CB0DD7" w:rsidRPr="000A0A5F" w:rsidRDefault="00CB0DD7">
      <w:pPr>
        <w:pStyle w:val="PL"/>
      </w:pPr>
      <w:r w:rsidRPr="000A0A5F">
        <w:t xml:space="preserve">          minItems: 1</w:t>
      </w:r>
    </w:p>
    <w:p w:rsidR="00CB0DD7" w:rsidRPr="000A0A5F" w:rsidRDefault="00CB0DD7">
      <w:pPr>
        <w:pStyle w:val="PL"/>
      </w:pPr>
      <w:r w:rsidRPr="000A0A5F">
        <w:t xml:space="preserve">          description: Identifies a list of civic addresses of the user where the UE is located.</w:t>
      </w:r>
    </w:p>
    <w:p w:rsidR="00AB3A35" w:rsidRPr="000A0A5F" w:rsidRDefault="00AB3A35">
      <w:pPr>
        <w:pStyle w:val="PL"/>
      </w:pPr>
    </w:p>
    <w:p w:rsidR="00CB0DD7" w:rsidRPr="000A0A5F" w:rsidRDefault="00CB0DD7">
      <w:pPr>
        <w:pStyle w:val="PL"/>
      </w:pPr>
      <w:r w:rsidRPr="000A0A5F">
        <w:t xml:space="preserve">    LocationArea5G:</w:t>
      </w:r>
    </w:p>
    <w:p w:rsidR="00CB0DD7" w:rsidRPr="000A0A5F" w:rsidRDefault="00CB0DD7">
      <w:pPr>
        <w:pStyle w:val="PL"/>
      </w:pPr>
      <w:r w:rsidRPr="000A0A5F">
        <w:t xml:space="preserve">      description: Represents a user location area when the UE is attached to 5G.</w:t>
      </w:r>
    </w:p>
    <w:p w:rsidR="00CB0DD7" w:rsidRPr="000A0A5F" w:rsidRDefault="00CB0DD7">
      <w:pPr>
        <w:pStyle w:val="PL"/>
      </w:pPr>
      <w:r w:rsidRPr="000A0A5F">
        <w:t xml:space="preserve">      type: object</w:t>
      </w:r>
    </w:p>
    <w:p w:rsidR="00CB0DD7" w:rsidRPr="000A0A5F" w:rsidRDefault="00CB0DD7">
      <w:pPr>
        <w:pStyle w:val="PL"/>
      </w:pPr>
      <w:r w:rsidRPr="000A0A5F">
        <w:t xml:space="preserve">      properties:</w:t>
      </w:r>
    </w:p>
    <w:p w:rsidR="00CB0DD7" w:rsidRPr="000A0A5F" w:rsidRDefault="00CB0DD7">
      <w:pPr>
        <w:pStyle w:val="PL"/>
      </w:pPr>
      <w:r w:rsidRPr="000A0A5F">
        <w:t xml:space="preserve">        geographicAreas:</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$ref: 'TS29572_Nlmf_Location.yaml#/components/schemas/GeographicArea'</w:t>
      </w:r>
    </w:p>
    <w:p w:rsidR="00CB0DD7" w:rsidRPr="000A0A5F" w:rsidRDefault="00CB0DD7">
      <w:pPr>
        <w:pStyle w:val="PL"/>
      </w:pPr>
      <w:r w:rsidRPr="000A0A5F">
        <w:t xml:space="preserve">          minItems: 0</w:t>
      </w:r>
    </w:p>
    <w:p w:rsidR="00CB0DD7" w:rsidRPr="000A0A5F" w:rsidRDefault="00CB0DD7">
      <w:pPr>
        <w:pStyle w:val="PL"/>
      </w:pPr>
      <w:r w:rsidRPr="000A0A5F">
        <w:t xml:space="preserve">          description: Identifies a list of geographic area of the user where the UE is located.</w:t>
      </w:r>
    </w:p>
    <w:p w:rsidR="00CB0DD7" w:rsidRPr="000A0A5F" w:rsidRDefault="00CB0DD7">
      <w:pPr>
        <w:pStyle w:val="PL"/>
      </w:pPr>
      <w:r w:rsidRPr="000A0A5F">
        <w:t xml:space="preserve">        civicAddresses:</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$ref: 'TS29572_Nlmf_Location.yaml#/components/schemas/CivicAddress'</w:t>
      </w:r>
    </w:p>
    <w:p w:rsidR="00CB0DD7" w:rsidRPr="000A0A5F" w:rsidRDefault="00CB0DD7">
      <w:pPr>
        <w:pStyle w:val="PL"/>
      </w:pPr>
      <w:r w:rsidRPr="000A0A5F">
        <w:t xml:space="preserve">          minItems: 0</w:t>
      </w:r>
    </w:p>
    <w:p w:rsidR="00CB0DD7" w:rsidRPr="000A0A5F" w:rsidRDefault="00CB0DD7">
      <w:pPr>
        <w:pStyle w:val="PL"/>
      </w:pPr>
      <w:r w:rsidRPr="000A0A5F">
        <w:t xml:space="preserve">          description: Identifies a list of civic addresses of the user where the UE is located.</w:t>
      </w:r>
    </w:p>
    <w:p w:rsidR="00CB0DD7" w:rsidRPr="000A0A5F" w:rsidRDefault="00CB0DD7">
      <w:pPr>
        <w:pStyle w:val="PL"/>
      </w:pPr>
      <w:r w:rsidRPr="000A0A5F">
        <w:t xml:space="preserve">        nwAreaInfo:</w:t>
      </w:r>
    </w:p>
    <w:p w:rsidR="00CB0DD7" w:rsidRPr="000A0A5F" w:rsidRDefault="00CB0DD7">
      <w:pPr>
        <w:pStyle w:val="PL"/>
      </w:pPr>
      <w:r w:rsidRPr="000A0A5F">
        <w:t xml:space="preserve">          $ref: 'TS29554_Npcf_BDTPolicyControl.yaml#/components/schemas/NetworkAreaInfo'</w:t>
      </w:r>
    </w:p>
    <w:p w:rsidR="0091648F" w:rsidRPr="000A0A5F" w:rsidRDefault="0091648F">
      <w:pPr>
        <w:pStyle w:val="PL"/>
      </w:pPr>
    </w:p>
    <w:p w:rsidR="00CB0DD7" w:rsidRPr="000A0A5F" w:rsidRDefault="00CB0DD7">
      <w:pPr>
        <w:pStyle w:val="PL"/>
      </w:pPr>
      <w:r w:rsidRPr="000A0A5F">
        <w:t xml:space="preserve">    ProblemDetails:</w:t>
      </w:r>
    </w:p>
    <w:p w:rsidR="00CB0DD7" w:rsidRPr="000A0A5F" w:rsidRDefault="00CB0DD7">
      <w:pPr>
        <w:pStyle w:val="PL"/>
      </w:pPr>
      <w:r w:rsidRPr="000A0A5F">
        <w:t xml:space="preserve">      description: Represents additional information and details on an error response.</w:t>
      </w:r>
    </w:p>
    <w:p w:rsidR="00CB0DD7" w:rsidRPr="000A0A5F" w:rsidRDefault="00CB0DD7">
      <w:pPr>
        <w:pStyle w:val="PL"/>
      </w:pPr>
      <w:r w:rsidRPr="000A0A5F">
        <w:t xml:space="preserve">      type: object</w:t>
      </w:r>
    </w:p>
    <w:p w:rsidR="00CB0DD7" w:rsidRPr="000A0A5F" w:rsidRDefault="00CB0DD7">
      <w:pPr>
        <w:pStyle w:val="PL"/>
      </w:pPr>
      <w:r w:rsidRPr="000A0A5F">
        <w:t xml:space="preserve">      properties:</w:t>
      </w:r>
    </w:p>
    <w:p w:rsidR="00CB0DD7" w:rsidRPr="000A0A5F" w:rsidRDefault="00CB0DD7">
      <w:pPr>
        <w:pStyle w:val="PL"/>
      </w:pPr>
      <w:r w:rsidRPr="000A0A5F">
        <w:t xml:space="preserve">        type:</w:t>
      </w:r>
    </w:p>
    <w:p w:rsidR="00CB0DD7" w:rsidRPr="000A0A5F" w:rsidRDefault="00CB0DD7">
      <w:pPr>
        <w:pStyle w:val="PL"/>
      </w:pPr>
      <w:r w:rsidRPr="000A0A5F">
        <w:t xml:space="preserve">          $ref: '#/components/schemas/Uri'</w:t>
      </w:r>
    </w:p>
    <w:p w:rsidR="00CB0DD7" w:rsidRPr="000A0A5F" w:rsidRDefault="00CB0DD7">
      <w:pPr>
        <w:pStyle w:val="PL"/>
      </w:pPr>
      <w:r w:rsidRPr="000A0A5F">
        <w:t xml:space="preserve">        title:</w:t>
      </w:r>
    </w:p>
    <w:p w:rsidR="00CB0DD7" w:rsidRPr="000A0A5F" w:rsidRDefault="00CB0DD7">
      <w:pPr>
        <w:pStyle w:val="PL"/>
      </w:pPr>
      <w:r w:rsidRPr="000A0A5F">
        <w:t xml:space="preserve">          type: string</w:t>
      </w:r>
    </w:p>
    <w:p w:rsidR="0091648F" w:rsidRPr="000A0A5F" w:rsidRDefault="00CB0DD7" w:rsidP="0091648F">
      <w:pPr>
        <w:pStyle w:val="PL"/>
      </w:pPr>
      <w:r w:rsidRPr="000A0A5F">
        <w:t xml:space="preserve">          description: </w:t>
      </w:r>
      <w:r w:rsidR="0091648F" w:rsidRPr="000A0A5F">
        <w:t>&gt;</w:t>
      </w:r>
    </w:p>
    <w:p w:rsidR="00DE08B9" w:rsidRPr="000A0A5F" w:rsidRDefault="0091648F" w:rsidP="0091648F">
      <w:pPr>
        <w:pStyle w:val="PL"/>
      </w:pPr>
      <w:r w:rsidRPr="000A0A5F">
        <w:t xml:space="preserve">            </w:t>
      </w:r>
      <w:r w:rsidR="00CB0DD7" w:rsidRPr="000A0A5F">
        <w:t>A short, human-readable summary of the problem type. It should not change from occurrence</w:t>
      </w:r>
    </w:p>
    <w:p w:rsidR="00CB0DD7" w:rsidRPr="000A0A5F" w:rsidRDefault="00DE08B9" w:rsidP="0091648F">
      <w:pPr>
        <w:pStyle w:val="PL"/>
      </w:pPr>
      <w:r w:rsidRPr="000A0A5F">
        <w:t xml:space="preserve">           </w:t>
      </w:r>
      <w:r w:rsidR="00CB0DD7" w:rsidRPr="000A0A5F">
        <w:t xml:space="preserve"> to occurrence of the problem. </w:t>
      </w:r>
    </w:p>
    <w:p w:rsidR="00CB0DD7" w:rsidRPr="000A0A5F" w:rsidRDefault="00CB0DD7">
      <w:pPr>
        <w:pStyle w:val="PL"/>
      </w:pPr>
      <w:r w:rsidRPr="000A0A5F">
        <w:t xml:space="preserve">        status:</w:t>
      </w:r>
    </w:p>
    <w:p w:rsidR="00CB0DD7" w:rsidRPr="000A0A5F" w:rsidRDefault="00CB0DD7">
      <w:pPr>
        <w:pStyle w:val="PL"/>
      </w:pPr>
      <w:r w:rsidRPr="000A0A5F">
        <w:t xml:space="preserve">          type: integer</w:t>
      </w:r>
    </w:p>
    <w:p w:rsidR="00CB0DD7" w:rsidRPr="000A0A5F" w:rsidRDefault="00CB0DD7">
      <w:pPr>
        <w:pStyle w:val="PL"/>
      </w:pPr>
      <w:r w:rsidRPr="000A0A5F">
        <w:t xml:space="preserve">          description: The HTTP status code for this occurrence of the problem.</w:t>
      </w:r>
    </w:p>
    <w:p w:rsidR="00CB0DD7" w:rsidRPr="000A0A5F" w:rsidRDefault="00CB0DD7">
      <w:pPr>
        <w:pStyle w:val="PL"/>
      </w:pPr>
      <w:r w:rsidRPr="000A0A5F">
        <w:t xml:space="preserve">        detail:</w:t>
      </w:r>
    </w:p>
    <w:p w:rsidR="00CB0DD7" w:rsidRPr="000A0A5F" w:rsidRDefault="00CB0DD7">
      <w:pPr>
        <w:pStyle w:val="PL"/>
      </w:pPr>
      <w:r w:rsidRPr="000A0A5F">
        <w:t xml:space="preserve">          type: string</w:t>
      </w:r>
    </w:p>
    <w:p w:rsidR="00CB0DD7" w:rsidRPr="000A0A5F" w:rsidRDefault="00CB0DD7">
      <w:pPr>
        <w:pStyle w:val="PL"/>
      </w:pPr>
      <w:r w:rsidRPr="000A0A5F">
        <w:t xml:space="preserve">          description: A human-readable explanation specific to this occurrence of the problem.</w:t>
      </w:r>
    </w:p>
    <w:p w:rsidR="00CB0DD7" w:rsidRPr="000A0A5F" w:rsidRDefault="00CB0DD7">
      <w:pPr>
        <w:pStyle w:val="PL"/>
      </w:pPr>
      <w:r w:rsidRPr="000A0A5F">
        <w:t xml:space="preserve">        instance:</w:t>
      </w:r>
    </w:p>
    <w:p w:rsidR="00CB0DD7" w:rsidRPr="000A0A5F" w:rsidRDefault="00CB0DD7">
      <w:pPr>
        <w:pStyle w:val="PL"/>
      </w:pPr>
      <w:r w:rsidRPr="000A0A5F">
        <w:t xml:space="preserve">          $ref: '#/components/schemas/Uri'</w:t>
      </w:r>
    </w:p>
    <w:p w:rsidR="00CB0DD7" w:rsidRPr="000A0A5F" w:rsidRDefault="00CB0DD7">
      <w:pPr>
        <w:pStyle w:val="PL"/>
        <w:rPr>
          <w:lang w:val="en-US"/>
        </w:rPr>
      </w:pPr>
      <w:r w:rsidRPr="000A0A5F">
        <w:rPr>
          <w:lang w:val="en-US"/>
        </w:rPr>
        <w:t xml:space="preserve">        cause:</w:t>
      </w:r>
    </w:p>
    <w:p w:rsidR="00CB0DD7" w:rsidRPr="000A0A5F" w:rsidRDefault="00CB0DD7">
      <w:pPr>
        <w:pStyle w:val="PL"/>
        <w:rPr>
          <w:lang w:val="en-US"/>
        </w:rPr>
      </w:pPr>
      <w:r w:rsidRPr="000A0A5F">
        <w:rPr>
          <w:lang w:val="en-US"/>
        </w:rPr>
        <w:t xml:space="preserve">          type: string</w:t>
      </w:r>
    </w:p>
    <w:p w:rsidR="00DE08B9" w:rsidRPr="000A0A5F" w:rsidRDefault="00CB0DD7" w:rsidP="00DE08B9">
      <w:pPr>
        <w:pStyle w:val="PL"/>
      </w:pPr>
      <w:r w:rsidRPr="000A0A5F">
        <w:t xml:space="preserve">          description: </w:t>
      </w:r>
      <w:r w:rsidR="00DE08B9" w:rsidRPr="000A0A5F">
        <w:t>&gt;</w:t>
      </w:r>
    </w:p>
    <w:p w:rsidR="00DE08B9" w:rsidRPr="000A0A5F" w:rsidRDefault="00DE08B9" w:rsidP="00DE08B9">
      <w:pPr>
        <w:pStyle w:val="PL"/>
      </w:pPr>
      <w:r w:rsidRPr="000A0A5F">
        <w:t xml:space="preserve">            </w:t>
      </w:r>
      <w:r w:rsidR="00CB0DD7" w:rsidRPr="000A0A5F">
        <w:t>A machine-readable application error cause specific to this occurrence of the problem.</w:t>
      </w:r>
    </w:p>
    <w:p w:rsidR="000A76E7" w:rsidRPr="000A0A5F" w:rsidRDefault="00DE08B9" w:rsidP="000A76E7">
      <w:pPr>
        <w:pStyle w:val="PL"/>
      </w:pPr>
      <w:r w:rsidRPr="000A0A5F">
        <w:t xml:space="preserve">           </w:t>
      </w:r>
      <w:r w:rsidR="00CB0DD7" w:rsidRPr="000A0A5F">
        <w:t xml:space="preserve"> This IE should be present and provide application-related error information, if</w:t>
      </w:r>
    </w:p>
    <w:p w:rsidR="00CB0DD7" w:rsidRPr="000A0A5F" w:rsidRDefault="000A76E7" w:rsidP="000A76E7">
      <w:pPr>
        <w:pStyle w:val="PL"/>
      </w:pPr>
      <w:r w:rsidRPr="000A0A5F">
        <w:t xml:space="preserve">           </w:t>
      </w:r>
      <w:r w:rsidR="00CB0DD7" w:rsidRPr="000A0A5F">
        <w:t xml:space="preserve"> available.</w:t>
      </w:r>
    </w:p>
    <w:p w:rsidR="00CB0DD7" w:rsidRPr="000A0A5F" w:rsidRDefault="00CB0DD7">
      <w:pPr>
        <w:pStyle w:val="PL"/>
      </w:pPr>
      <w:r w:rsidRPr="000A0A5F">
        <w:t xml:space="preserve">        invalidParams:</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$ref: '#/components/schemas/InvalidParam'</w:t>
      </w:r>
    </w:p>
    <w:p w:rsidR="00CB0DD7" w:rsidRPr="000A0A5F" w:rsidRDefault="00CB0DD7">
      <w:pPr>
        <w:pStyle w:val="PL"/>
      </w:pPr>
      <w:r w:rsidRPr="000A0A5F">
        <w:t xml:space="preserve">          minItems: 1</w:t>
      </w:r>
    </w:p>
    <w:p w:rsidR="002E38FE" w:rsidRPr="000A0A5F" w:rsidRDefault="00CB0DD7">
      <w:pPr>
        <w:pStyle w:val="PL"/>
      </w:pPr>
      <w:r w:rsidRPr="000A0A5F">
        <w:t xml:space="preserve">          description: </w:t>
      </w:r>
      <w:r w:rsidR="002E38FE" w:rsidRPr="000A0A5F">
        <w:t>&gt;</w:t>
      </w:r>
    </w:p>
    <w:p w:rsidR="00CB0DD7" w:rsidRPr="000A0A5F" w:rsidRDefault="002E38FE">
      <w:pPr>
        <w:pStyle w:val="PL"/>
      </w:pPr>
      <w:r w:rsidRPr="000A0A5F">
        <w:t xml:space="preserve">            </w:t>
      </w:r>
      <w:r w:rsidR="00CB0DD7" w:rsidRPr="000A0A5F">
        <w:t>Description of invalid parameters, for a request rejected due to invalid parameters.</w:t>
      </w:r>
    </w:p>
    <w:p w:rsidR="00CB0DD7" w:rsidRPr="000A0A5F" w:rsidRDefault="00CB0DD7">
      <w:pPr>
        <w:pStyle w:val="PL"/>
        <w:rPr>
          <w:lang w:val="en-US"/>
        </w:rPr>
      </w:pPr>
      <w:r w:rsidRPr="000A0A5F">
        <w:rPr>
          <w:lang w:val="en-US"/>
        </w:rPr>
        <w:t xml:space="preserve">        supportedFeatures:</w:t>
      </w:r>
    </w:p>
    <w:p w:rsidR="00CB0DD7" w:rsidRPr="000A0A5F" w:rsidRDefault="00CB0DD7">
      <w:pPr>
        <w:pStyle w:val="PL"/>
        <w:rPr>
          <w:lang w:val="en-US"/>
        </w:rPr>
      </w:pPr>
      <w:r w:rsidRPr="000A0A5F">
        <w:rPr>
          <w:lang w:val="en-US"/>
        </w:rPr>
        <w:t xml:space="preserve">          $ref: 'TS29571_CommonData.yaml#/components/schemas/SupportedFeatures'</w:t>
      </w:r>
    </w:p>
    <w:p w:rsidR="002E38FE" w:rsidRPr="000A0A5F" w:rsidRDefault="002E38FE">
      <w:pPr>
        <w:pStyle w:val="PL"/>
      </w:pPr>
    </w:p>
    <w:p w:rsidR="00CB0DD7" w:rsidRPr="000A0A5F" w:rsidRDefault="00CB0DD7">
      <w:pPr>
        <w:pStyle w:val="PL"/>
      </w:pPr>
      <w:r w:rsidRPr="000A0A5F">
        <w:t xml:space="preserve">    InvalidParam:</w:t>
      </w:r>
    </w:p>
    <w:p w:rsidR="002E38FE" w:rsidRPr="000A0A5F" w:rsidRDefault="00CB0DD7">
      <w:pPr>
        <w:pStyle w:val="PL"/>
      </w:pPr>
      <w:r w:rsidRPr="000A0A5F">
        <w:t xml:space="preserve">      description: </w:t>
      </w:r>
      <w:r w:rsidR="002E38FE" w:rsidRPr="000A0A5F">
        <w:t>&gt;</w:t>
      </w:r>
    </w:p>
    <w:p w:rsidR="002E38FE" w:rsidRPr="000A0A5F" w:rsidRDefault="002E38FE">
      <w:pPr>
        <w:pStyle w:val="PL"/>
      </w:pPr>
      <w:r w:rsidRPr="000A0A5F">
        <w:t xml:space="preserve">        </w:t>
      </w:r>
      <w:r w:rsidR="00CB0DD7" w:rsidRPr="000A0A5F">
        <w:t>Represents the description of invalid parameters, for a request rejected due to invalid</w:t>
      </w:r>
    </w:p>
    <w:p w:rsidR="00CB0DD7" w:rsidRPr="000A0A5F" w:rsidRDefault="000A76E7">
      <w:pPr>
        <w:pStyle w:val="PL"/>
      </w:pPr>
      <w:r w:rsidRPr="000A0A5F">
        <w:t xml:space="preserve">       </w:t>
      </w:r>
      <w:r w:rsidR="00CB0DD7" w:rsidRPr="000A0A5F">
        <w:t xml:space="preserve"> parameters.</w:t>
      </w:r>
    </w:p>
    <w:p w:rsidR="00CB0DD7" w:rsidRPr="000A0A5F" w:rsidRDefault="00CB0DD7">
      <w:pPr>
        <w:pStyle w:val="PL"/>
      </w:pPr>
      <w:r w:rsidRPr="000A0A5F">
        <w:t xml:space="preserve">      type: object</w:t>
      </w:r>
    </w:p>
    <w:p w:rsidR="00CB0DD7" w:rsidRPr="000A0A5F" w:rsidRDefault="00CB0DD7">
      <w:pPr>
        <w:pStyle w:val="PL"/>
      </w:pPr>
      <w:r w:rsidRPr="000A0A5F">
        <w:t xml:space="preserve">      properties:</w:t>
      </w:r>
    </w:p>
    <w:p w:rsidR="00CB0DD7" w:rsidRPr="000A0A5F" w:rsidRDefault="00CB0DD7">
      <w:pPr>
        <w:pStyle w:val="PL"/>
      </w:pPr>
      <w:r w:rsidRPr="000A0A5F">
        <w:t xml:space="preserve">        param:</w:t>
      </w:r>
    </w:p>
    <w:p w:rsidR="00CB0DD7" w:rsidRPr="000A0A5F" w:rsidRDefault="00CB0DD7">
      <w:pPr>
        <w:pStyle w:val="PL"/>
      </w:pPr>
      <w:r w:rsidRPr="000A0A5F">
        <w:t xml:space="preserve">          type: string</w:t>
      </w:r>
    </w:p>
    <w:p w:rsidR="00CB0DD7" w:rsidRPr="000A0A5F" w:rsidRDefault="00CB0DD7">
      <w:pPr>
        <w:pStyle w:val="PL"/>
      </w:pPr>
      <w:r w:rsidRPr="000A0A5F">
        <w:t xml:space="preserve">          description: Attribute's name encoded as a JSON Pointer, or header's name.</w:t>
      </w:r>
    </w:p>
    <w:p w:rsidR="00CB0DD7" w:rsidRPr="000A0A5F" w:rsidRDefault="00CB0DD7">
      <w:pPr>
        <w:pStyle w:val="PL"/>
      </w:pPr>
      <w:r w:rsidRPr="000A0A5F">
        <w:t xml:space="preserve">        reason:</w:t>
      </w:r>
    </w:p>
    <w:p w:rsidR="00CB0DD7" w:rsidRPr="000A0A5F" w:rsidRDefault="00CB0DD7">
      <w:pPr>
        <w:pStyle w:val="PL"/>
      </w:pPr>
      <w:r w:rsidRPr="000A0A5F">
        <w:t xml:space="preserve">          type: string</w:t>
      </w:r>
    </w:p>
    <w:p w:rsidR="00CB0DD7" w:rsidRPr="000A0A5F" w:rsidRDefault="00CB0DD7">
      <w:pPr>
        <w:pStyle w:val="PL"/>
      </w:pPr>
      <w:r w:rsidRPr="000A0A5F">
        <w:t xml:space="preserve">          description: A human-readable reason, e.g. "must be a positive integer".</w:t>
      </w:r>
    </w:p>
    <w:p w:rsidR="00CB0DD7" w:rsidRPr="000A0A5F" w:rsidRDefault="00CB0DD7">
      <w:pPr>
        <w:pStyle w:val="PL"/>
      </w:pPr>
      <w:r w:rsidRPr="000A0A5F">
        <w:t xml:space="preserve">      required:</w:t>
      </w:r>
    </w:p>
    <w:p w:rsidR="00CB0DD7" w:rsidRPr="000A0A5F" w:rsidRDefault="00CB0DD7">
      <w:pPr>
        <w:pStyle w:val="PL"/>
      </w:pPr>
      <w:r w:rsidRPr="000A0A5F">
        <w:t xml:space="preserve">        - param</w:t>
      </w:r>
    </w:p>
    <w:p w:rsidR="000A76E7" w:rsidRPr="000A0A5F" w:rsidRDefault="000A76E7">
      <w:pPr>
        <w:pStyle w:val="PL"/>
      </w:pPr>
    </w:p>
    <w:p w:rsidR="00CB0DD7" w:rsidRPr="000A0A5F" w:rsidRDefault="00CB0DD7">
      <w:pPr>
        <w:pStyle w:val="PL"/>
      </w:pPr>
      <w:r w:rsidRPr="000A0A5F">
        <w:t xml:space="preserve">    PlmnId:</w:t>
      </w:r>
    </w:p>
    <w:p w:rsidR="00CB0DD7" w:rsidRPr="000A0A5F" w:rsidRDefault="00CB0DD7">
      <w:pPr>
        <w:pStyle w:val="PL"/>
      </w:pPr>
      <w:r w:rsidRPr="000A0A5F">
        <w:t xml:space="preserve">      description: Represents the identifier of a PLMN.</w:t>
      </w:r>
    </w:p>
    <w:p w:rsidR="00CB0DD7" w:rsidRPr="000A0A5F" w:rsidRDefault="00CB0DD7">
      <w:pPr>
        <w:pStyle w:val="PL"/>
      </w:pPr>
      <w:r w:rsidRPr="000A0A5F">
        <w:t xml:space="preserve">      type: object</w:t>
      </w:r>
    </w:p>
    <w:p w:rsidR="00CB0DD7" w:rsidRPr="000A0A5F" w:rsidRDefault="00CB0DD7">
      <w:pPr>
        <w:pStyle w:val="PL"/>
      </w:pPr>
      <w:r w:rsidRPr="000A0A5F">
        <w:t xml:space="preserve">      properties:</w:t>
      </w:r>
    </w:p>
    <w:p w:rsidR="00CB0DD7" w:rsidRPr="000A0A5F" w:rsidRDefault="00CB0DD7">
      <w:pPr>
        <w:pStyle w:val="PL"/>
      </w:pPr>
      <w:r w:rsidRPr="000A0A5F">
        <w:t xml:space="preserve">        mcc:</w:t>
      </w:r>
    </w:p>
    <w:p w:rsidR="00CB0DD7" w:rsidRPr="000A0A5F" w:rsidRDefault="00CB0DD7">
      <w:pPr>
        <w:pStyle w:val="PL"/>
      </w:pPr>
      <w:r w:rsidRPr="000A0A5F">
        <w:t xml:space="preserve">          $ref: '#/components/schemas/Mcc'</w:t>
      </w:r>
    </w:p>
    <w:p w:rsidR="00CB0DD7" w:rsidRPr="000A0A5F" w:rsidRDefault="00CB0DD7">
      <w:pPr>
        <w:pStyle w:val="PL"/>
      </w:pPr>
      <w:r w:rsidRPr="000A0A5F">
        <w:t xml:space="preserve">        mnc:</w:t>
      </w:r>
    </w:p>
    <w:p w:rsidR="00CB0DD7" w:rsidRPr="000A0A5F" w:rsidRDefault="00CB0DD7">
      <w:pPr>
        <w:pStyle w:val="PL"/>
      </w:pPr>
      <w:r w:rsidRPr="000A0A5F">
        <w:t xml:space="preserve">          $ref: '#/components/schemas/Mnc'</w:t>
      </w:r>
    </w:p>
    <w:p w:rsidR="00CB0DD7" w:rsidRPr="000A0A5F" w:rsidRDefault="00CB0DD7">
      <w:pPr>
        <w:pStyle w:val="PL"/>
      </w:pPr>
      <w:r w:rsidRPr="000A0A5F">
        <w:t xml:space="preserve">      required:</w:t>
      </w:r>
    </w:p>
    <w:p w:rsidR="00CB0DD7" w:rsidRPr="000A0A5F" w:rsidRDefault="00CB0DD7">
      <w:pPr>
        <w:pStyle w:val="PL"/>
      </w:pPr>
      <w:r w:rsidRPr="000A0A5F">
        <w:t xml:space="preserve">        - mcc</w:t>
      </w:r>
    </w:p>
    <w:p w:rsidR="00CB0DD7" w:rsidRPr="000A0A5F" w:rsidRDefault="00CB0DD7">
      <w:pPr>
        <w:pStyle w:val="PL"/>
      </w:pPr>
      <w:r w:rsidRPr="000A0A5F">
        <w:t xml:space="preserve">        - mnc</w:t>
      </w:r>
    </w:p>
    <w:p w:rsidR="000A76E7" w:rsidRPr="000A0A5F" w:rsidRDefault="000A76E7">
      <w:pPr>
        <w:pStyle w:val="PL"/>
      </w:pPr>
    </w:p>
    <w:p w:rsidR="00CB0DD7" w:rsidRPr="000A0A5F" w:rsidRDefault="00CB0DD7">
      <w:pPr>
        <w:pStyle w:val="PL"/>
      </w:pPr>
      <w:r w:rsidRPr="000A0A5F">
        <w:t xml:space="preserve">    ConfigResult:</w:t>
      </w:r>
    </w:p>
    <w:p w:rsidR="00CB0DD7" w:rsidRPr="000A0A5F" w:rsidRDefault="00CB0DD7">
      <w:pPr>
        <w:pStyle w:val="PL"/>
      </w:pPr>
      <w:r w:rsidRPr="000A0A5F">
        <w:t xml:space="preserve">      description: Represents one configuration processing result for a group's members.</w:t>
      </w:r>
    </w:p>
    <w:p w:rsidR="00CB0DD7" w:rsidRPr="000A0A5F" w:rsidRDefault="00CB0DD7">
      <w:pPr>
        <w:pStyle w:val="PL"/>
      </w:pPr>
      <w:r w:rsidRPr="000A0A5F">
        <w:t xml:space="preserve">      type: object</w:t>
      </w:r>
    </w:p>
    <w:p w:rsidR="00CB0DD7" w:rsidRPr="000A0A5F" w:rsidRDefault="00CB0DD7">
      <w:pPr>
        <w:pStyle w:val="PL"/>
      </w:pPr>
      <w:r w:rsidRPr="000A0A5F">
        <w:t xml:space="preserve">      properties:</w:t>
      </w:r>
    </w:p>
    <w:p w:rsidR="00CB0DD7" w:rsidRPr="000A0A5F" w:rsidRDefault="00CB0DD7">
      <w:pPr>
        <w:pStyle w:val="PL"/>
      </w:pPr>
      <w:r w:rsidRPr="000A0A5F">
        <w:t xml:space="preserve">        externalIds:</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$ref: '#/components/schemas/ExternalId'</w:t>
      </w:r>
    </w:p>
    <w:p w:rsidR="00CB0DD7" w:rsidRPr="000A0A5F" w:rsidRDefault="00CB0DD7">
      <w:pPr>
        <w:pStyle w:val="PL"/>
      </w:pPr>
      <w:r w:rsidRPr="000A0A5F">
        <w:t xml:space="preserve">          minItems: 1</w:t>
      </w:r>
    </w:p>
    <w:p w:rsidR="00CB0DD7" w:rsidRPr="000A0A5F" w:rsidRDefault="00CB0DD7">
      <w:pPr>
        <w:pStyle w:val="PL"/>
      </w:pPr>
      <w:r w:rsidRPr="000A0A5F">
        <w:t xml:space="preserve">          description: Each element indicates an external identifier of the UE.</w:t>
      </w:r>
    </w:p>
    <w:p w:rsidR="00CB0DD7" w:rsidRPr="000A0A5F" w:rsidRDefault="00CB0DD7">
      <w:pPr>
        <w:pStyle w:val="PL"/>
      </w:pPr>
      <w:r w:rsidRPr="000A0A5F">
        <w:t xml:space="preserve">        msisdns:</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$ref: '#/components/schemas/Msisdn'</w:t>
      </w:r>
    </w:p>
    <w:p w:rsidR="00CB0DD7" w:rsidRPr="000A0A5F" w:rsidRDefault="00CB0DD7">
      <w:pPr>
        <w:pStyle w:val="PL"/>
      </w:pPr>
      <w:r w:rsidRPr="000A0A5F">
        <w:t xml:space="preserve">          minItems: 1</w:t>
      </w:r>
    </w:p>
    <w:p w:rsidR="000A76E7" w:rsidRPr="000A0A5F" w:rsidRDefault="00CB0DD7" w:rsidP="000A76E7">
      <w:pPr>
        <w:pStyle w:val="PL"/>
      </w:pPr>
      <w:r w:rsidRPr="000A0A5F">
        <w:t xml:space="preserve">          description: </w:t>
      </w:r>
      <w:r w:rsidR="000A76E7" w:rsidRPr="000A0A5F">
        <w:t>&gt;</w:t>
      </w:r>
    </w:p>
    <w:p w:rsidR="00CB0DD7" w:rsidRPr="000A0A5F" w:rsidRDefault="000A76E7" w:rsidP="000A76E7">
      <w:pPr>
        <w:pStyle w:val="PL"/>
      </w:pPr>
      <w:r w:rsidRPr="000A0A5F">
        <w:t xml:space="preserve">            </w:t>
      </w:r>
      <w:r w:rsidR="00CB0DD7" w:rsidRPr="000A0A5F">
        <w:t xml:space="preserve">Each element identifies </w:t>
      </w:r>
      <w:r w:rsidR="00CB0DD7" w:rsidRPr="000A0A5F">
        <w:rPr>
          <w:rFonts w:cs="Arial"/>
          <w:szCs w:val="18"/>
          <w:lang w:eastAsia="zh-CN"/>
        </w:rPr>
        <w:t>the MS internal PSTN/ISDN number allocated for the UE</w:t>
      </w:r>
      <w:r w:rsidR="00CB0DD7" w:rsidRPr="000A0A5F">
        <w:t>.</w:t>
      </w:r>
    </w:p>
    <w:p w:rsidR="00CB0DD7" w:rsidRPr="000A0A5F" w:rsidRDefault="00CB0DD7">
      <w:pPr>
        <w:pStyle w:val="PL"/>
      </w:pPr>
      <w:r w:rsidRPr="000A0A5F">
        <w:t xml:space="preserve">        resultReason:</w:t>
      </w:r>
    </w:p>
    <w:p w:rsidR="00CB0DD7" w:rsidRPr="000A0A5F" w:rsidRDefault="00CB0DD7">
      <w:pPr>
        <w:pStyle w:val="PL"/>
      </w:pPr>
      <w:r w:rsidRPr="000A0A5F">
        <w:t xml:space="preserve">          $ref: '#/components/schemas/ResultReason'</w:t>
      </w:r>
    </w:p>
    <w:p w:rsidR="00CB0DD7" w:rsidRPr="000A0A5F" w:rsidRDefault="00CB0DD7">
      <w:pPr>
        <w:pStyle w:val="PL"/>
      </w:pPr>
      <w:r w:rsidRPr="000A0A5F">
        <w:t xml:space="preserve">      required:</w:t>
      </w:r>
    </w:p>
    <w:p w:rsidR="00CB0DD7" w:rsidRPr="000A0A5F" w:rsidRDefault="00CB0DD7">
      <w:pPr>
        <w:pStyle w:val="PL"/>
      </w:pPr>
      <w:r w:rsidRPr="000A0A5F">
        <w:t xml:space="preserve">        - resultReason</w:t>
      </w:r>
    </w:p>
    <w:p w:rsidR="00CB0DD7" w:rsidRPr="000A0A5F" w:rsidRDefault="00CB0DD7">
      <w:pPr>
        <w:pStyle w:val="PL"/>
      </w:pPr>
      <w:r w:rsidRPr="000A0A5F">
        <w:t xml:space="preserve">      oneOf:</w:t>
      </w:r>
    </w:p>
    <w:p w:rsidR="00CB0DD7" w:rsidRPr="000A0A5F" w:rsidRDefault="00CB0DD7">
      <w:pPr>
        <w:pStyle w:val="PL"/>
      </w:pPr>
      <w:r w:rsidRPr="000A0A5F">
        <w:t xml:space="preserve">        - required: [externalIds]</w:t>
      </w:r>
    </w:p>
    <w:p w:rsidR="00CB0DD7" w:rsidRPr="000A0A5F" w:rsidRDefault="00CB0DD7">
      <w:pPr>
        <w:pStyle w:val="PL"/>
      </w:pPr>
      <w:r w:rsidRPr="000A0A5F">
        <w:t xml:space="preserve">        - required: [msisdns]</w:t>
      </w:r>
    </w:p>
    <w:p w:rsidR="000A76E7" w:rsidRPr="000A0A5F" w:rsidRDefault="000A76E7">
      <w:pPr>
        <w:pStyle w:val="PL"/>
      </w:pPr>
    </w:p>
    <w:p w:rsidR="00075BA0" w:rsidRPr="000A0A5F" w:rsidRDefault="00075BA0" w:rsidP="00075BA0">
      <w:pPr>
        <w:pStyle w:val="PL"/>
      </w:pPr>
      <w:r w:rsidRPr="000A0A5F">
        <w:t xml:space="preserve">    Bandwidth:</w:t>
      </w:r>
    </w:p>
    <w:p w:rsidR="00075BA0" w:rsidRPr="000A0A5F" w:rsidRDefault="00075BA0" w:rsidP="00075BA0">
      <w:pPr>
        <w:pStyle w:val="PL"/>
      </w:pPr>
      <w:r w:rsidRPr="000A0A5F">
        <w:t xml:space="preserve">      type: integer</w:t>
      </w:r>
    </w:p>
    <w:p w:rsidR="00075BA0" w:rsidRPr="000A0A5F" w:rsidRDefault="00075BA0" w:rsidP="00075BA0">
      <w:pPr>
        <w:pStyle w:val="PL"/>
      </w:pPr>
      <w:r w:rsidRPr="000A0A5F">
        <w:t xml:space="preserve">      minimum: 0</w:t>
      </w:r>
    </w:p>
    <w:p w:rsidR="00075BA0" w:rsidRPr="000A0A5F" w:rsidRDefault="00075BA0" w:rsidP="00075BA0">
      <w:pPr>
        <w:pStyle w:val="PL"/>
      </w:pPr>
      <w:r w:rsidRPr="000A0A5F">
        <w:t xml:space="preserve">      description: integer indicating a bandwidth in bits per second.</w:t>
      </w:r>
    </w:p>
    <w:p w:rsidR="00075BA0" w:rsidRPr="000A0A5F" w:rsidRDefault="00075BA0" w:rsidP="00075BA0">
      <w:pPr>
        <w:pStyle w:val="PL"/>
      </w:pPr>
      <w:r w:rsidRPr="000A0A5F">
        <w:t xml:space="preserve">    BdtReferenceId:</w:t>
      </w:r>
    </w:p>
    <w:p w:rsidR="00075BA0" w:rsidRPr="000A0A5F" w:rsidRDefault="00075BA0" w:rsidP="00075BA0">
      <w:pPr>
        <w:pStyle w:val="PL"/>
      </w:pPr>
      <w:r w:rsidRPr="000A0A5F">
        <w:t xml:space="preserve">      type: string</w:t>
      </w:r>
    </w:p>
    <w:p w:rsidR="00075BA0" w:rsidRPr="000A0A5F" w:rsidRDefault="00075BA0" w:rsidP="00075BA0">
      <w:pPr>
        <w:pStyle w:val="PL"/>
      </w:pPr>
      <w:r w:rsidRPr="000A0A5F">
        <w:t xml:space="preserve">      description: string identifying a BDT Reference ID as defined in clause 5.3.3 of 3GPP TS 29.154. </w:t>
      </w:r>
    </w:p>
    <w:p w:rsidR="00075BA0" w:rsidRPr="000A0A5F" w:rsidRDefault="00075BA0" w:rsidP="00075BA0">
      <w:pPr>
        <w:pStyle w:val="PL"/>
      </w:pPr>
    </w:p>
    <w:p w:rsidR="00075BA0" w:rsidRPr="000A0A5F" w:rsidRDefault="00075BA0" w:rsidP="00075BA0">
      <w:pPr>
        <w:pStyle w:val="PL"/>
      </w:pPr>
      <w:r w:rsidRPr="000A0A5F">
        <w:t xml:space="preserve">    Binary:</w:t>
      </w:r>
    </w:p>
    <w:p w:rsidR="00075BA0" w:rsidRPr="000A0A5F" w:rsidRDefault="00075BA0" w:rsidP="00075BA0">
      <w:pPr>
        <w:pStyle w:val="PL"/>
      </w:pPr>
      <w:r w:rsidRPr="000A0A5F">
        <w:t xml:space="preserve">      type: string</w:t>
      </w:r>
    </w:p>
    <w:p w:rsidR="00075BA0" w:rsidRPr="000A0A5F" w:rsidRDefault="00075BA0" w:rsidP="00075BA0">
      <w:pPr>
        <w:pStyle w:val="PL"/>
      </w:pPr>
      <w:r w:rsidRPr="000A0A5F">
        <w:t xml:space="preserve">      description: string with format "binary" as defined in OpenAPI Specification.</w:t>
      </w:r>
    </w:p>
    <w:p w:rsidR="000A76E7" w:rsidRPr="000A0A5F" w:rsidRDefault="000A76E7">
      <w:pPr>
        <w:pStyle w:val="PL"/>
      </w:pPr>
    </w:p>
    <w:p w:rsidR="00CB0DD7" w:rsidRPr="000A0A5F" w:rsidRDefault="00CB0DD7">
      <w:pPr>
        <w:pStyle w:val="PL"/>
      </w:pPr>
      <w:r w:rsidRPr="000A0A5F">
        <w:t xml:space="preserve">    Bytes:</w:t>
      </w:r>
    </w:p>
    <w:p w:rsidR="00CB0DD7" w:rsidRPr="000A0A5F" w:rsidRDefault="00CB0DD7">
      <w:pPr>
        <w:pStyle w:val="PL"/>
      </w:pPr>
      <w:r w:rsidRPr="000A0A5F">
        <w:t xml:space="preserve">      type: string</w:t>
      </w:r>
    </w:p>
    <w:p w:rsidR="000A76E7" w:rsidRPr="000A0A5F" w:rsidRDefault="00CB0DD7" w:rsidP="000A76E7">
      <w:pPr>
        <w:pStyle w:val="PL"/>
      </w:pPr>
      <w:r w:rsidRPr="000A0A5F">
        <w:t xml:space="preserve">      description: </w:t>
      </w:r>
      <w:r w:rsidR="000A76E7" w:rsidRPr="000A0A5F">
        <w:t>&gt;</w:t>
      </w:r>
    </w:p>
    <w:p w:rsidR="000A76E7" w:rsidRPr="000A0A5F" w:rsidRDefault="000A76E7" w:rsidP="000A76E7">
      <w:pPr>
        <w:pStyle w:val="PL"/>
      </w:pPr>
      <w:r w:rsidRPr="000A0A5F">
        <w:t xml:space="preserve">        </w:t>
      </w:r>
      <w:r w:rsidR="00CB0DD7" w:rsidRPr="000A0A5F">
        <w:t>String with format "byte" as defined in OpenAPI Specification, i.e, base64-encoded</w:t>
      </w:r>
    </w:p>
    <w:p w:rsidR="00CB0DD7" w:rsidRPr="000A0A5F" w:rsidRDefault="000A76E7" w:rsidP="000A76E7">
      <w:pPr>
        <w:pStyle w:val="PL"/>
      </w:pPr>
      <w:r w:rsidRPr="000A0A5F">
        <w:t xml:space="preserve">       </w:t>
      </w:r>
      <w:r w:rsidR="00CB0DD7" w:rsidRPr="000A0A5F">
        <w:t xml:space="preserve"> characters.</w:t>
      </w:r>
    </w:p>
    <w:p w:rsidR="000A76E7" w:rsidRPr="000A0A5F" w:rsidRDefault="000A76E7">
      <w:pPr>
        <w:pStyle w:val="PL"/>
      </w:pPr>
    </w:p>
    <w:p w:rsidR="00CB0DD7" w:rsidRPr="000A0A5F" w:rsidRDefault="00CB0DD7">
      <w:pPr>
        <w:pStyle w:val="PL"/>
      </w:pPr>
      <w:r w:rsidRPr="000A0A5F">
        <w:t xml:space="preserve">    DayOfWeek:</w:t>
      </w:r>
    </w:p>
    <w:p w:rsidR="00CB0DD7" w:rsidRPr="000A0A5F" w:rsidRDefault="00CB0DD7">
      <w:pPr>
        <w:pStyle w:val="PL"/>
      </w:pPr>
      <w:r w:rsidRPr="000A0A5F">
        <w:t xml:space="preserve">      type: integer</w:t>
      </w:r>
    </w:p>
    <w:p w:rsidR="00CB0DD7" w:rsidRPr="000A0A5F" w:rsidRDefault="00CB0DD7">
      <w:pPr>
        <w:pStyle w:val="PL"/>
      </w:pPr>
      <w:r w:rsidRPr="000A0A5F">
        <w:t xml:space="preserve">      minimum: 1</w:t>
      </w:r>
    </w:p>
    <w:p w:rsidR="00CB0DD7" w:rsidRPr="000A0A5F" w:rsidRDefault="00CB0DD7">
      <w:pPr>
        <w:pStyle w:val="PL"/>
      </w:pPr>
      <w:r w:rsidRPr="000A0A5F">
        <w:t xml:space="preserve">      maximum: 7</w:t>
      </w:r>
    </w:p>
    <w:p w:rsidR="000A76E7" w:rsidRPr="000A0A5F" w:rsidRDefault="00CB0DD7" w:rsidP="000A76E7">
      <w:pPr>
        <w:pStyle w:val="PL"/>
      </w:pPr>
      <w:r w:rsidRPr="000A0A5F">
        <w:t xml:space="preserve">      description: </w:t>
      </w:r>
      <w:r w:rsidR="000A76E7" w:rsidRPr="000A0A5F">
        <w:t>&gt;</w:t>
      </w:r>
    </w:p>
    <w:p w:rsidR="000A76E7" w:rsidRPr="000A0A5F" w:rsidRDefault="000A76E7" w:rsidP="000A76E7">
      <w:pPr>
        <w:pStyle w:val="PL"/>
      </w:pPr>
      <w:r w:rsidRPr="000A0A5F">
        <w:t xml:space="preserve">        </w:t>
      </w:r>
      <w:r w:rsidR="00CB0DD7" w:rsidRPr="000A0A5F">
        <w:t>integer between and including 1 and 7 denoting a weekday. 1 shall indicate Monday, and the</w:t>
      </w:r>
    </w:p>
    <w:p w:rsidR="000A76E7" w:rsidRPr="000A0A5F" w:rsidRDefault="000A76E7" w:rsidP="000A76E7">
      <w:pPr>
        <w:pStyle w:val="PL"/>
      </w:pPr>
      <w:r w:rsidRPr="000A0A5F">
        <w:t xml:space="preserve">       </w:t>
      </w:r>
      <w:r w:rsidR="00CB0DD7" w:rsidRPr="000A0A5F">
        <w:t xml:space="preserve"> subsequent weekdays shall be indicated with the next higher numbers. 7 shall indicate</w:t>
      </w:r>
    </w:p>
    <w:p w:rsidR="00CB0DD7" w:rsidRPr="000A0A5F" w:rsidRDefault="000A76E7" w:rsidP="000A76E7">
      <w:pPr>
        <w:pStyle w:val="PL"/>
      </w:pPr>
      <w:r w:rsidRPr="000A0A5F">
        <w:t xml:space="preserve">       </w:t>
      </w:r>
      <w:r w:rsidR="00CB0DD7" w:rsidRPr="000A0A5F">
        <w:t xml:space="preserve"> Sunday.</w:t>
      </w:r>
    </w:p>
    <w:p w:rsidR="000A76E7" w:rsidRPr="000A0A5F" w:rsidRDefault="000A76E7">
      <w:pPr>
        <w:pStyle w:val="PL"/>
      </w:pPr>
    </w:p>
    <w:p w:rsidR="00CB0DD7" w:rsidRPr="000A0A5F" w:rsidRDefault="00CB0DD7">
      <w:pPr>
        <w:pStyle w:val="PL"/>
      </w:pPr>
      <w:r w:rsidRPr="000A0A5F">
        <w:t xml:space="preserve">    DateTime:</w:t>
      </w:r>
    </w:p>
    <w:p w:rsidR="00CB0DD7" w:rsidRPr="000A0A5F" w:rsidRDefault="00CB0DD7">
      <w:pPr>
        <w:pStyle w:val="PL"/>
      </w:pPr>
      <w:r w:rsidRPr="000A0A5F">
        <w:t xml:space="preserve">      format: date-time</w:t>
      </w:r>
    </w:p>
    <w:p w:rsidR="00CB0DD7" w:rsidRPr="000A0A5F" w:rsidRDefault="00CB0DD7">
      <w:pPr>
        <w:pStyle w:val="PL"/>
      </w:pPr>
      <w:r w:rsidRPr="000A0A5F">
        <w:t xml:space="preserve">      type: string</w:t>
      </w:r>
    </w:p>
    <w:p w:rsidR="00CB0DD7" w:rsidRPr="000A0A5F" w:rsidRDefault="00CB0DD7">
      <w:pPr>
        <w:pStyle w:val="PL"/>
      </w:pPr>
      <w:r w:rsidRPr="000A0A5F">
        <w:t xml:space="preserve">      description: string with format "date-time" as defined in OpenAPI.</w:t>
      </w:r>
    </w:p>
    <w:p w:rsidR="000A76E7" w:rsidRPr="000A0A5F" w:rsidRDefault="000A76E7">
      <w:pPr>
        <w:pStyle w:val="PL"/>
      </w:pPr>
    </w:p>
    <w:p w:rsidR="00CB0DD7" w:rsidRPr="000A0A5F" w:rsidRDefault="00CB0DD7">
      <w:pPr>
        <w:pStyle w:val="PL"/>
      </w:pPr>
      <w:r w:rsidRPr="000A0A5F">
        <w:t xml:space="preserve">    DateTimeRm:</w:t>
      </w:r>
    </w:p>
    <w:p w:rsidR="00CB0DD7" w:rsidRPr="000A0A5F" w:rsidRDefault="00CB0DD7">
      <w:pPr>
        <w:pStyle w:val="PL"/>
      </w:pPr>
      <w:r w:rsidRPr="000A0A5F">
        <w:t xml:space="preserve">      format: date-time</w:t>
      </w:r>
    </w:p>
    <w:p w:rsidR="00CB0DD7" w:rsidRPr="000A0A5F" w:rsidRDefault="00CB0DD7">
      <w:pPr>
        <w:pStyle w:val="PL"/>
      </w:pPr>
      <w:r w:rsidRPr="000A0A5F">
        <w:t xml:space="preserve">      type: string</w:t>
      </w:r>
    </w:p>
    <w:p w:rsidR="000A76E7" w:rsidRPr="000A0A5F" w:rsidRDefault="00CB0DD7">
      <w:pPr>
        <w:pStyle w:val="PL"/>
      </w:pPr>
      <w:r w:rsidRPr="000A0A5F">
        <w:t xml:space="preserve">      description: </w:t>
      </w:r>
      <w:r w:rsidR="000A76E7" w:rsidRPr="000A0A5F">
        <w:t>&gt;</w:t>
      </w:r>
    </w:p>
    <w:p w:rsidR="00CB0DD7" w:rsidRPr="000A0A5F" w:rsidRDefault="000A76E7">
      <w:pPr>
        <w:pStyle w:val="PL"/>
      </w:pPr>
      <w:r w:rsidRPr="000A0A5F">
        <w:t xml:space="preserve">        </w:t>
      </w:r>
      <w:r w:rsidR="00CB0DD7" w:rsidRPr="000A0A5F">
        <w:t>string with format "date-time" as defined in OpenAPI with "nullable=true" property.</w:t>
      </w:r>
    </w:p>
    <w:p w:rsidR="00CB0DD7" w:rsidRPr="000A0A5F" w:rsidRDefault="00CB0DD7">
      <w:pPr>
        <w:pStyle w:val="PL"/>
      </w:pPr>
      <w:r w:rsidRPr="000A0A5F">
        <w:t xml:space="preserve">      nullable: true</w:t>
      </w:r>
    </w:p>
    <w:p w:rsidR="000A76E7" w:rsidRPr="000A0A5F" w:rsidRDefault="000A76E7">
      <w:pPr>
        <w:pStyle w:val="PL"/>
      </w:pPr>
    </w:p>
    <w:p w:rsidR="00CB0DD7" w:rsidRPr="000A0A5F" w:rsidRDefault="00CB0DD7">
      <w:pPr>
        <w:pStyle w:val="PL"/>
      </w:pPr>
      <w:r w:rsidRPr="000A0A5F">
        <w:t xml:space="preserve">    DateTimeRo:</w:t>
      </w:r>
    </w:p>
    <w:p w:rsidR="00CB0DD7" w:rsidRPr="000A0A5F" w:rsidRDefault="00CB0DD7">
      <w:pPr>
        <w:pStyle w:val="PL"/>
      </w:pPr>
      <w:r w:rsidRPr="000A0A5F">
        <w:t xml:space="preserve">      format: date-time</w:t>
      </w:r>
    </w:p>
    <w:p w:rsidR="00CB0DD7" w:rsidRPr="000A0A5F" w:rsidRDefault="00CB0DD7">
      <w:pPr>
        <w:pStyle w:val="PL"/>
      </w:pPr>
      <w:r w:rsidRPr="000A0A5F">
        <w:t xml:space="preserve">      type: string</w:t>
      </w:r>
    </w:p>
    <w:p w:rsidR="000A76E7" w:rsidRPr="000A0A5F" w:rsidRDefault="00CB0DD7">
      <w:pPr>
        <w:pStyle w:val="PL"/>
      </w:pPr>
      <w:r w:rsidRPr="000A0A5F">
        <w:t xml:space="preserve">      description: </w:t>
      </w:r>
      <w:r w:rsidR="000A76E7" w:rsidRPr="000A0A5F">
        <w:t>&gt;</w:t>
      </w:r>
    </w:p>
    <w:p w:rsidR="00CB0DD7" w:rsidRPr="000A0A5F" w:rsidRDefault="000A76E7">
      <w:pPr>
        <w:pStyle w:val="PL"/>
      </w:pPr>
      <w:r w:rsidRPr="000A0A5F">
        <w:t xml:space="preserve">        </w:t>
      </w:r>
      <w:r w:rsidR="00CB0DD7" w:rsidRPr="000A0A5F">
        <w:t>string with format "date-time" as defined in OpenAPI with "readOnly=true" property.</w:t>
      </w:r>
    </w:p>
    <w:p w:rsidR="00CB0DD7" w:rsidRPr="000A0A5F" w:rsidRDefault="00CB0DD7">
      <w:pPr>
        <w:pStyle w:val="PL"/>
      </w:pPr>
      <w:r w:rsidRPr="000A0A5F">
        <w:t xml:space="preserve">      readOnly: true</w:t>
      </w:r>
    </w:p>
    <w:p w:rsidR="000A76E7" w:rsidRPr="000A0A5F" w:rsidRDefault="000A76E7">
      <w:pPr>
        <w:pStyle w:val="PL"/>
      </w:pPr>
    </w:p>
    <w:p w:rsidR="00CB0DD7" w:rsidRPr="000A0A5F" w:rsidRDefault="00CB0DD7">
      <w:pPr>
        <w:pStyle w:val="PL"/>
      </w:pPr>
      <w:r w:rsidRPr="000A0A5F">
        <w:t xml:space="preserve">    DurationSec:</w:t>
      </w:r>
    </w:p>
    <w:p w:rsidR="00CB0DD7" w:rsidRPr="000A0A5F" w:rsidRDefault="00CB0DD7">
      <w:pPr>
        <w:pStyle w:val="PL"/>
      </w:pPr>
      <w:r w:rsidRPr="000A0A5F">
        <w:t xml:space="preserve">      type: integer</w:t>
      </w:r>
    </w:p>
    <w:p w:rsidR="00CB0DD7" w:rsidRPr="000A0A5F" w:rsidRDefault="00CB0DD7">
      <w:pPr>
        <w:pStyle w:val="PL"/>
      </w:pPr>
      <w:r w:rsidRPr="000A0A5F">
        <w:t xml:space="preserve">      minimum: 0</w:t>
      </w:r>
    </w:p>
    <w:p w:rsidR="00CB0DD7" w:rsidRPr="000A0A5F" w:rsidRDefault="00CB0DD7">
      <w:pPr>
        <w:pStyle w:val="PL"/>
      </w:pPr>
      <w:r w:rsidRPr="000A0A5F">
        <w:t xml:space="preserve">      description: Unsigned integer identifying a period of time in units of seconds.</w:t>
      </w:r>
    </w:p>
    <w:p w:rsidR="000A76E7" w:rsidRPr="000A0A5F" w:rsidRDefault="000A76E7">
      <w:pPr>
        <w:pStyle w:val="PL"/>
      </w:pPr>
    </w:p>
    <w:p w:rsidR="00CB0DD7" w:rsidRPr="000A0A5F" w:rsidRDefault="00CB0DD7">
      <w:pPr>
        <w:pStyle w:val="PL"/>
      </w:pPr>
      <w:r w:rsidRPr="000A0A5F">
        <w:t xml:space="preserve">    DurationSecRm:</w:t>
      </w:r>
    </w:p>
    <w:p w:rsidR="00CB0DD7" w:rsidRPr="000A0A5F" w:rsidRDefault="00CB0DD7">
      <w:pPr>
        <w:pStyle w:val="PL"/>
      </w:pPr>
      <w:r w:rsidRPr="000A0A5F">
        <w:t xml:space="preserve">      type: integer</w:t>
      </w:r>
    </w:p>
    <w:p w:rsidR="00CB0DD7" w:rsidRPr="000A0A5F" w:rsidRDefault="00CB0DD7">
      <w:pPr>
        <w:pStyle w:val="PL"/>
      </w:pPr>
      <w:r w:rsidRPr="000A0A5F">
        <w:t xml:space="preserve">      minimum: 0</w:t>
      </w:r>
    </w:p>
    <w:p w:rsidR="00717590" w:rsidRPr="000A0A5F" w:rsidRDefault="00CB0DD7">
      <w:pPr>
        <w:pStyle w:val="PL"/>
      </w:pPr>
      <w:r w:rsidRPr="000A0A5F">
        <w:t xml:space="preserve">      description: </w:t>
      </w:r>
      <w:r w:rsidR="00717590" w:rsidRPr="000A0A5F">
        <w:t>&gt;</w:t>
      </w:r>
    </w:p>
    <w:p w:rsidR="00717590" w:rsidRPr="000A0A5F" w:rsidRDefault="00717590">
      <w:pPr>
        <w:pStyle w:val="PL"/>
      </w:pPr>
      <w:r w:rsidRPr="000A0A5F">
        <w:t xml:space="preserve">        </w:t>
      </w:r>
      <w:r w:rsidR="00CB0DD7" w:rsidRPr="000A0A5F">
        <w:t>Unsigned integer identifying a period of time in units of seconds</w:t>
      </w:r>
      <w:r w:rsidR="00CB0DD7" w:rsidRPr="000A0A5F">
        <w:rPr>
          <w:lang w:eastAsia="zh-CN"/>
        </w:rPr>
        <w:t xml:space="preserve"> with </w:t>
      </w:r>
      <w:r w:rsidR="00CB0DD7" w:rsidRPr="000A0A5F">
        <w:t>"nullable=true"</w:t>
      </w:r>
    </w:p>
    <w:p w:rsidR="00CB0DD7" w:rsidRPr="000A0A5F" w:rsidRDefault="00717590">
      <w:pPr>
        <w:pStyle w:val="PL"/>
      </w:pPr>
      <w:r w:rsidRPr="000A0A5F">
        <w:rPr>
          <w:lang w:eastAsia="zh-CN"/>
        </w:rPr>
        <w:t xml:space="preserve">       </w:t>
      </w:r>
      <w:r w:rsidR="00CB0DD7" w:rsidRPr="000A0A5F">
        <w:rPr>
          <w:lang w:eastAsia="zh-CN"/>
        </w:rPr>
        <w:t xml:space="preserve"> property</w:t>
      </w:r>
      <w:r w:rsidR="00CB0DD7" w:rsidRPr="000A0A5F">
        <w:t>.</w:t>
      </w:r>
    </w:p>
    <w:p w:rsidR="00CB0DD7" w:rsidRPr="000A0A5F" w:rsidRDefault="00CB0DD7">
      <w:pPr>
        <w:pStyle w:val="PL"/>
        <w:rPr>
          <w:lang w:val="fr-FR"/>
        </w:rPr>
      </w:pPr>
      <w:r w:rsidRPr="000A0A5F">
        <w:t xml:space="preserve">      </w:t>
      </w:r>
      <w:r w:rsidRPr="000A0A5F">
        <w:rPr>
          <w:lang w:val="fr-FR"/>
        </w:rPr>
        <w:t>nullable: true</w:t>
      </w:r>
    </w:p>
    <w:p w:rsidR="000A76E7" w:rsidRPr="000A0A5F" w:rsidRDefault="000A76E7">
      <w:pPr>
        <w:pStyle w:val="PL"/>
        <w:rPr>
          <w:lang w:val="fr-FR"/>
        </w:rPr>
      </w:pPr>
    </w:p>
    <w:p w:rsidR="00CB0DD7" w:rsidRPr="000A0A5F" w:rsidRDefault="00CB0DD7">
      <w:pPr>
        <w:pStyle w:val="PL"/>
        <w:rPr>
          <w:lang w:val="fr-FR"/>
        </w:rPr>
      </w:pPr>
      <w:r w:rsidRPr="000A0A5F">
        <w:rPr>
          <w:lang w:val="fr-FR"/>
        </w:rPr>
        <w:t xml:space="preserve">    DurationSecRo:</w:t>
      </w:r>
    </w:p>
    <w:p w:rsidR="00CB0DD7" w:rsidRPr="000A0A5F" w:rsidRDefault="00CB0DD7">
      <w:pPr>
        <w:pStyle w:val="PL"/>
        <w:rPr>
          <w:lang w:val="fr-FR"/>
        </w:rPr>
      </w:pPr>
      <w:r w:rsidRPr="000A0A5F">
        <w:rPr>
          <w:lang w:val="fr-FR"/>
        </w:rPr>
        <w:t xml:space="preserve">      type: integer</w:t>
      </w:r>
    </w:p>
    <w:p w:rsidR="00CB0DD7" w:rsidRPr="000A0A5F" w:rsidRDefault="00CB0DD7">
      <w:pPr>
        <w:pStyle w:val="PL"/>
        <w:rPr>
          <w:lang w:val="fr-FR"/>
        </w:rPr>
      </w:pPr>
      <w:r w:rsidRPr="000A0A5F">
        <w:rPr>
          <w:lang w:val="fr-FR"/>
        </w:rPr>
        <w:t xml:space="preserve">      minimum: 0</w:t>
      </w:r>
    </w:p>
    <w:p w:rsidR="000A76E7" w:rsidRPr="000A0A5F" w:rsidRDefault="00CB0DD7">
      <w:pPr>
        <w:pStyle w:val="PL"/>
      </w:pPr>
      <w:r w:rsidRPr="000A0A5F">
        <w:rPr>
          <w:lang w:val="fr-FR"/>
        </w:rPr>
        <w:t xml:space="preserve">      </w:t>
      </w:r>
      <w:r w:rsidRPr="000A0A5F">
        <w:t xml:space="preserve">description: </w:t>
      </w:r>
      <w:r w:rsidR="000A76E7" w:rsidRPr="000A0A5F">
        <w:t>&gt;</w:t>
      </w:r>
    </w:p>
    <w:p w:rsidR="000A76E7" w:rsidRPr="000A0A5F" w:rsidRDefault="000A76E7">
      <w:pPr>
        <w:pStyle w:val="PL"/>
      </w:pPr>
      <w:r w:rsidRPr="000A0A5F">
        <w:t xml:space="preserve">        </w:t>
      </w:r>
      <w:r w:rsidR="00CB0DD7" w:rsidRPr="000A0A5F">
        <w:t>Unsigned integer identifying a period of time in units of seconds</w:t>
      </w:r>
      <w:r w:rsidR="00CB0DD7" w:rsidRPr="000A0A5F">
        <w:rPr>
          <w:lang w:eastAsia="zh-CN"/>
        </w:rPr>
        <w:t xml:space="preserve"> with </w:t>
      </w:r>
      <w:r w:rsidR="00CB0DD7" w:rsidRPr="000A0A5F">
        <w:t>"readOnly=true"</w:t>
      </w:r>
    </w:p>
    <w:p w:rsidR="00CB0DD7" w:rsidRPr="000A0A5F" w:rsidRDefault="000A76E7">
      <w:pPr>
        <w:pStyle w:val="PL"/>
      </w:pPr>
      <w:r w:rsidRPr="000A0A5F">
        <w:rPr>
          <w:lang w:eastAsia="zh-CN"/>
        </w:rPr>
        <w:t xml:space="preserve">       </w:t>
      </w:r>
      <w:r w:rsidR="00CB0DD7" w:rsidRPr="000A0A5F">
        <w:rPr>
          <w:lang w:eastAsia="zh-CN"/>
        </w:rPr>
        <w:t xml:space="preserve"> property</w:t>
      </w:r>
      <w:r w:rsidR="00CB0DD7" w:rsidRPr="000A0A5F">
        <w:t>.</w:t>
      </w:r>
    </w:p>
    <w:p w:rsidR="00CB0DD7" w:rsidRPr="000A0A5F" w:rsidRDefault="00CB0DD7">
      <w:pPr>
        <w:pStyle w:val="PL"/>
      </w:pPr>
      <w:r w:rsidRPr="000A0A5F">
        <w:t xml:space="preserve">      readOnly: true</w:t>
      </w:r>
    </w:p>
    <w:p w:rsidR="000A76E7" w:rsidRPr="000A0A5F" w:rsidRDefault="000A76E7">
      <w:pPr>
        <w:pStyle w:val="PL"/>
      </w:pPr>
    </w:p>
    <w:p w:rsidR="00CB0DD7" w:rsidRPr="000A0A5F" w:rsidRDefault="00CB0DD7">
      <w:pPr>
        <w:pStyle w:val="PL"/>
      </w:pPr>
      <w:r w:rsidRPr="000A0A5F">
        <w:t xml:space="preserve">    DurationMin:</w:t>
      </w:r>
    </w:p>
    <w:p w:rsidR="00CB0DD7" w:rsidRPr="000A0A5F" w:rsidRDefault="00CB0DD7">
      <w:pPr>
        <w:pStyle w:val="PL"/>
      </w:pPr>
      <w:r w:rsidRPr="000A0A5F">
        <w:t xml:space="preserve">      type: integer</w:t>
      </w:r>
    </w:p>
    <w:p w:rsidR="00CB0DD7" w:rsidRPr="000A0A5F" w:rsidRDefault="00CB0DD7">
      <w:pPr>
        <w:pStyle w:val="PL"/>
      </w:pPr>
      <w:r w:rsidRPr="000A0A5F">
        <w:t xml:space="preserve">      format: int32</w:t>
      </w:r>
    </w:p>
    <w:p w:rsidR="00CB0DD7" w:rsidRPr="000A0A5F" w:rsidRDefault="00CB0DD7">
      <w:pPr>
        <w:pStyle w:val="PL"/>
      </w:pPr>
      <w:r w:rsidRPr="000A0A5F">
        <w:t xml:space="preserve">      minimum: 0</w:t>
      </w:r>
    </w:p>
    <w:p w:rsidR="00CB0DD7" w:rsidRPr="000A0A5F" w:rsidRDefault="00CB0DD7">
      <w:pPr>
        <w:pStyle w:val="PL"/>
      </w:pPr>
      <w:r w:rsidRPr="000A0A5F">
        <w:t xml:space="preserve">      description: Unsigned integer identifying a period of time in units of minutes.</w:t>
      </w:r>
    </w:p>
    <w:p w:rsidR="00717590" w:rsidRPr="000A0A5F" w:rsidRDefault="00717590">
      <w:pPr>
        <w:pStyle w:val="PL"/>
      </w:pPr>
    </w:p>
    <w:p w:rsidR="00CB0DD7" w:rsidRPr="000A0A5F" w:rsidRDefault="00CB0DD7">
      <w:pPr>
        <w:pStyle w:val="PL"/>
      </w:pPr>
      <w:r w:rsidRPr="000A0A5F">
        <w:t xml:space="preserve">    ExternalId:</w:t>
      </w:r>
    </w:p>
    <w:p w:rsidR="00CB0DD7" w:rsidRPr="000A0A5F" w:rsidRDefault="00CB0DD7">
      <w:pPr>
        <w:pStyle w:val="PL"/>
      </w:pPr>
      <w:r w:rsidRPr="000A0A5F">
        <w:t xml:space="preserve">      type: string</w:t>
      </w:r>
    </w:p>
    <w:p w:rsidR="00717590" w:rsidRPr="000A0A5F" w:rsidRDefault="00CB0DD7">
      <w:pPr>
        <w:pStyle w:val="PL"/>
      </w:pPr>
      <w:r w:rsidRPr="000A0A5F">
        <w:t xml:space="preserve">      description: </w:t>
      </w:r>
      <w:r w:rsidR="00717590" w:rsidRPr="000A0A5F">
        <w:t>&gt;</w:t>
      </w:r>
    </w:p>
    <w:p w:rsidR="00717590" w:rsidRPr="000A0A5F" w:rsidRDefault="00717590">
      <w:pPr>
        <w:pStyle w:val="PL"/>
      </w:pPr>
      <w:r w:rsidRPr="000A0A5F">
        <w:t xml:space="preserve">        </w:t>
      </w:r>
      <w:r w:rsidR="00CB0DD7" w:rsidRPr="000A0A5F">
        <w:t>string containing a local identifier followed by "@" and a domain identifier. Both the local</w:t>
      </w:r>
    </w:p>
    <w:p w:rsidR="00717590" w:rsidRPr="000A0A5F" w:rsidRDefault="00717590">
      <w:pPr>
        <w:pStyle w:val="PL"/>
      </w:pPr>
      <w:r w:rsidRPr="000A0A5F">
        <w:t xml:space="preserve">       </w:t>
      </w:r>
      <w:r w:rsidR="00CB0DD7" w:rsidRPr="000A0A5F">
        <w:t xml:space="preserve"> identifier and the domain identifier shall be encoded as strings that do not contain any "@"</w:t>
      </w:r>
    </w:p>
    <w:p w:rsidR="00CB0DD7" w:rsidRPr="000A0A5F" w:rsidRDefault="00717590">
      <w:pPr>
        <w:pStyle w:val="PL"/>
      </w:pPr>
      <w:r w:rsidRPr="000A0A5F">
        <w:t xml:space="preserve">       </w:t>
      </w:r>
      <w:r w:rsidR="00CB0DD7" w:rsidRPr="000A0A5F">
        <w:t xml:space="preserve"> characters. See Clause 4.6.2 of 3GPP TS 23.682 for more information.</w:t>
      </w:r>
    </w:p>
    <w:p w:rsidR="00717590" w:rsidRPr="000A0A5F" w:rsidRDefault="00717590">
      <w:pPr>
        <w:pStyle w:val="PL"/>
      </w:pPr>
    </w:p>
    <w:p w:rsidR="00CB0DD7" w:rsidRPr="000A0A5F" w:rsidRDefault="00CB0DD7">
      <w:pPr>
        <w:pStyle w:val="PL"/>
      </w:pPr>
      <w:r w:rsidRPr="000A0A5F">
        <w:t xml:space="preserve">    ExternalGroupId:</w:t>
      </w:r>
    </w:p>
    <w:p w:rsidR="00CB0DD7" w:rsidRPr="000A0A5F" w:rsidRDefault="00CB0DD7">
      <w:pPr>
        <w:pStyle w:val="PL"/>
      </w:pPr>
      <w:r w:rsidRPr="000A0A5F">
        <w:t xml:space="preserve">      type: string</w:t>
      </w:r>
    </w:p>
    <w:p w:rsidR="00717590" w:rsidRPr="000A0A5F" w:rsidRDefault="00CB0DD7">
      <w:pPr>
        <w:pStyle w:val="PL"/>
      </w:pPr>
      <w:r w:rsidRPr="000A0A5F">
        <w:t xml:space="preserve">      description: </w:t>
      </w:r>
      <w:r w:rsidR="00717590" w:rsidRPr="000A0A5F">
        <w:t>&gt;</w:t>
      </w:r>
    </w:p>
    <w:p w:rsidR="00717590" w:rsidRPr="000A0A5F" w:rsidRDefault="00717590">
      <w:pPr>
        <w:pStyle w:val="PL"/>
      </w:pPr>
      <w:r w:rsidRPr="000A0A5F">
        <w:t xml:space="preserve">        </w:t>
      </w:r>
      <w:r w:rsidR="00CB0DD7" w:rsidRPr="000A0A5F">
        <w:t>string containing a local identifier followed by "@" and a domain identifier. Both the local</w:t>
      </w:r>
    </w:p>
    <w:p w:rsidR="00717590" w:rsidRPr="000A0A5F" w:rsidRDefault="00717590">
      <w:pPr>
        <w:pStyle w:val="PL"/>
      </w:pPr>
      <w:r w:rsidRPr="000A0A5F">
        <w:t xml:space="preserve">       </w:t>
      </w:r>
      <w:r w:rsidR="00CB0DD7" w:rsidRPr="000A0A5F">
        <w:t xml:space="preserve"> identifier and the domain identifier shall be encoded as strings that do not contain any "@"</w:t>
      </w:r>
    </w:p>
    <w:p w:rsidR="00CB0DD7" w:rsidRPr="000A0A5F" w:rsidRDefault="00717590">
      <w:pPr>
        <w:pStyle w:val="PL"/>
      </w:pPr>
      <w:r w:rsidRPr="000A0A5F">
        <w:t xml:space="preserve">       </w:t>
      </w:r>
      <w:r w:rsidR="00CB0DD7" w:rsidRPr="000A0A5F">
        <w:t xml:space="preserve"> characters. See Clauses 4.6.2 and 4.6.3 of 3GPP TS 23.682 for more information.</w:t>
      </w:r>
    </w:p>
    <w:p w:rsidR="00717590" w:rsidRPr="000A0A5F" w:rsidRDefault="00717590">
      <w:pPr>
        <w:pStyle w:val="PL"/>
      </w:pPr>
    </w:p>
    <w:p w:rsidR="00CB0DD7" w:rsidRPr="000A0A5F" w:rsidRDefault="00CB0DD7">
      <w:pPr>
        <w:pStyle w:val="PL"/>
      </w:pPr>
      <w:r w:rsidRPr="000A0A5F">
        <w:t xml:space="preserve">    Ipv4Addr:</w:t>
      </w:r>
    </w:p>
    <w:p w:rsidR="00CB0DD7" w:rsidRPr="000A0A5F" w:rsidRDefault="00CB0DD7">
      <w:pPr>
        <w:pStyle w:val="PL"/>
      </w:pPr>
      <w:r w:rsidRPr="000A0A5F">
        <w:t xml:space="preserve">      type: string</w:t>
      </w:r>
    </w:p>
    <w:p w:rsidR="00717590" w:rsidRPr="000A0A5F" w:rsidRDefault="00CB0DD7">
      <w:pPr>
        <w:pStyle w:val="PL"/>
      </w:pPr>
      <w:r w:rsidRPr="000A0A5F">
        <w:t xml:space="preserve">      description: </w:t>
      </w:r>
      <w:r w:rsidR="00717590" w:rsidRPr="000A0A5F">
        <w:t>&gt;</w:t>
      </w:r>
    </w:p>
    <w:p w:rsidR="00717590" w:rsidRPr="000A0A5F" w:rsidRDefault="00717590">
      <w:pPr>
        <w:pStyle w:val="PL"/>
      </w:pPr>
      <w:r w:rsidRPr="000A0A5F">
        <w:t xml:space="preserve">        </w:t>
      </w:r>
      <w:r w:rsidR="00CB0DD7" w:rsidRPr="000A0A5F">
        <w:t>string identifying a Ipv4 address formatted in the "dotted decimal" notation as defined in</w:t>
      </w:r>
    </w:p>
    <w:p w:rsidR="00CB0DD7" w:rsidRPr="000A0A5F" w:rsidRDefault="00717590">
      <w:pPr>
        <w:pStyle w:val="PL"/>
      </w:pPr>
      <w:r w:rsidRPr="000A0A5F">
        <w:t xml:space="preserve">       </w:t>
      </w:r>
      <w:r w:rsidR="00CB0DD7" w:rsidRPr="000A0A5F">
        <w:t xml:space="preserve"> IETF RFC 1166.</w:t>
      </w:r>
    </w:p>
    <w:p w:rsidR="00717590" w:rsidRPr="000A0A5F" w:rsidRDefault="00717590">
      <w:pPr>
        <w:pStyle w:val="PL"/>
      </w:pPr>
    </w:p>
    <w:p w:rsidR="00CB0DD7" w:rsidRPr="000A0A5F" w:rsidRDefault="00CB0DD7">
      <w:pPr>
        <w:pStyle w:val="PL"/>
      </w:pPr>
      <w:r w:rsidRPr="000A0A5F">
        <w:t xml:space="preserve">    Ipv6Addr:</w:t>
      </w:r>
    </w:p>
    <w:p w:rsidR="00CB0DD7" w:rsidRPr="000A0A5F" w:rsidRDefault="00CB0DD7">
      <w:pPr>
        <w:pStyle w:val="PL"/>
      </w:pPr>
      <w:r w:rsidRPr="000A0A5F">
        <w:t xml:space="preserve">      type: string</w:t>
      </w:r>
    </w:p>
    <w:p w:rsidR="00717590" w:rsidRPr="000A0A5F" w:rsidRDefault="00CB0DD7">
      <w:pPr>
        <w:pStyle w:val="PL"/>
      </w:pPr>
      <w:r w:rsidRPr="000A0A5F">
        <w:t xml:space="preserve">      description: </w:t>
      </w:r>
      <w:r w:rsidR="00717590" w:rsidRPr="000A0A5F">
        <w:t>&gt;</w:t>
      </w:r>
    </w:p>
    <w:p w:rsidR="00717590" w:rsidRPr="000A0A5F" w:rsidRDefault="00717590">
      <w:pPr>
        <w:pStyle w:val="PL"/>
      </w:pPr>
      <w:r w:rsidRPr="000A0A5F">
        <w:t xml:space="preserve">        </w:t>
      </w:r>
      <w:r w:rsidR="00CB0DD7" w:rsidRPr="000A0A5F">
        <w:t>string identifying a Ipv6 address formatted according to clause 4 in IETF RFC 5952.</w:t>
      </w:r>
    </w:p>
    <w:p w:rsidR="00CB0DD7" w:rsidRPr="000A0A5F" w:rsidRDefault="00717590">
      <w:pPr>
        <w:pStyle w:val="PL"/>
      </w:pPr>
      <w:r w:rsidRPr="000A0A5F">
        <w:t xml:space="preserve">       </w:t>
      </w:r>
      <w:r w:rsidR="00CB0DD7" w:rsidRPr="000A0A5F">
        <w:t xml:space="preserve"> The mixed Ipv4 Ipv6 notation according to clause 5 of IETF RFC 5952 shall not be used.</w:t>
      </w:r>
    </w:p>
    <w:p w:rsidR="00717590" w:rsidRPr="000A0A5F" w:rsidRDefault="00717590">
      <w:pPr>
        <w:pStyle w:val="PL"/>
      </w:pPr>
    </w:p>
    <w:p w:rsidR="00CB0DD7" w:rsidRPr="000A0A5F" w:rsidRDefault="00CB0DD7">
      <w:pPr>
        <w:pStyle w:val="PL"/>
      </w:pPr>
      <w:r w:rsidRPr="000A0A5F">
        <w:t xml:space="preserve">    Ipv4AddrRo:</w:t>
      </w:r>
    </w:p>
    <w:p w:rsidR="00CB0DD7" w:rsidRPr="000A0A5F" w:rsidRDefault="00CB0DD7">
      <w:pPr>
        <w:pStyle w:val="PL"/>
      </w:pPr>
      <w:r w:rsidRPr="000A0A5F">
        <w:t xml:space="preserve">      type: string</w:t>
      </w:r>
    </w:p>
    <w:p w:rsidR="00717590" w:rsidRPr="000A0A5F" w:rsidRDefault="00CB0DD7">
      <w:pPr>
        <w:pStyle w:val="PL"/>
      </w:pPr>
      <w:r w:rsidRPr="000A0A5F">
        <w:t xml:space="preserve">      description: </w:t>
      </w:r>
      <w:r w:rsidR="00717590" w:rsidRPr="000A0A5F">
        <w:t>&gt;</w:t>
      </w:r>
    </w:p>
    <w:p w:rsidR="00717590" w:rsidRPr="000A0A5F" w:rsidRDefault="00717590" w:rsidP="00717590">
      <w:pPr>
        <w:pStyle w:val="PL"/>
      </w:pPr>
      <w:r w:rsidRPr="000A0A5F">
        <w:t xml:space="preserve">        </w:t>
      </w:r>
      <w:r w:rsidR="00CB0DD7" w:rsidRPr="000A0A5F">
        <w:t>string identifying a Ipv4 address formatted in the "dotted decimal" notation</w:t>
      </w:r>
    </w:p>
    <w:p w:rsidR="00CB0DD7" w:rsidRPr="000A0A5F" w:rsidRDefault="00717590" w:rsidP="00717590">
      <w:pPr>
        <w:pStyle w:val="PL"/>
      </w:pPr>
      <w:r w:rsidRPr="000A0A5F">
        <w:t xml:space="preserve">       </w:t>
      </w:r>
      <w:r w:rsidR="00CB0DD7" w:rsidRPr="000A0A5F">
        <w:t xml:space="preserve"> as defined in IETF RFC 1166, </w:t>
      </w:r>
      <w:r w:rsidR="00CB0DD7" w:rsidRPr="000A0A5F">
        <w:rPr>
          <w:lang w:eastAsia="zh-CN"/>
        </w:rPr>
        <w:t xml:space="preserve">with </w:t>
      </w:r>
      <w:r w:rsidR="00CB0DD7" w:rsidRPr="000A0A5F">
        <w:t>"readOnly=true"</w:t>
      </w:r>
      <w:r w:rsidR="00CB0DD7" w:rsidRPr="000A0A5F">
        <w:rPr>
          <w:lang w:eastAsia="zh-CN"/>
        </w:rPr>
        <w:t xml:space="preserve"> property</w:t>
      </w:r>
      <w:r w:rsidR="00CB0DD7" w:rsidRPr="000A0A5F">
        <w:t>.</w:t>
      </w:r>
    </w:p>
    <w:p w:rsidR="00CB0DD7" w:rsidRPr="000A0A5F" w:rsidRDefault="00CB0DD7">
      <w:pPr>
        <w:pStyle w:val="PL"/>
      </w:pPr>
      <w:r w:rsidRPr="000A0A5F">
        <w:t xml:space="preserve">      readOnly: true</w:t>
      </w:r>
    </w:p>
    <w:p w:rsidR="00717590" w:rsidRPr="000A0A5F" w:rsidRDefault="00717590">
      <w:pPr>
        <w:pStyle w:val="PL"/>
      </w:pPr>
    </w:p>
    <w:p w:rsidR="00CB0DD7" w:rsidRPr="000A0A5F" w:rsidRDefault="00CB0DD7">
      <w:pPr>
        <w:pStyle w:val="PL"/>
      </w:pPr>
      <w:r w:rsidRPr="000A0A5F">
        <w:t xml:space="preserve">    Ipv6AddrRo:</w:t>
      </w:r>
    </w:p>
    <w:p w:rsidR="00CB0DD7" w:rsidRPr="000A0A5F" w:rsidRDefault="00CB0DD7">
      <w:pPr>
        <w:pStyle w:val="PL"/>
      </w:pPr>
      <w:r w:rsidRPr="000A0A5F">
        <w:t xml:space="preserve">      type: string</w:t>
      </w:r>
    </w:p>
    <w:p w:rsidR="00717590" w:rsidRPr="000A0A5F" w:rsidRDefault="00CB0DD7">
      <w:pPr>
        <w:pStyle w:val="PL"/>
      </w:pPr>
      <w:r w:rsidRPr="000A0A5F">
        <w:t xml:space="preserve">      description: </w:t>
      </w:r>
      <w:r w:rsidR="00717590" w:rsidRPr="000A0A5F">
        <w:t>&gt;</w:t>
      </w:r>
    </w:p>
    <w:p w:rsidR="00717590" w:rsidRPr="000A0A5F" w:rsidRDefault="00717590">
      <w:pPr>
        <w:pStyle w:val="PL"/>
      </w:pPr>
      <w:r w:rsidRPr="000A0A5F">
        <w:t xml:space="preserve">        </w:t>
      </w:r>
      <w:r w:rsidR="00CB0DD7" w:rsidRPr="000A0A5F">
        <w:t>string identifying a Ipv6 address formatted according to clause 4 in IETF RFC 5952,</w:t>
      </w:r>
    </w:p>
    <w:p w:rsidR="00717590" w:rsidRPr="000A0A5F" w:rsidRDefault="00717590">
      <w:pPr>
        <w:pStyle w:val="PL"/>
      </w:pPr>
      <w:r w:rsidRPr="000A0A5F">
        <w:rPr>
          <w:lang w:eastAsia="zh-CN"/>
        </w:rPr>
        <w:t xml:space="preserve">       </w:t>
      </w:r>
      <w:r w:rsidR="00CB0DD7" w:rsidRPr="000A0A5F">
        <w:rPr>
          <w:lang w:eastAsia="zh-CN"/>
        </w:rPr>
        <w:t xml:space="preserve"> with </w:t>
      </w:r>
      <w:r w:rsidR="00CB0DD7" w:rsidRPr="000A0A5F">
        <w:t>"readOnly=true"</w:t>
      </w:r>
      <w:r w:rsidR="00CB0DD7" w:rsidRPr="000A0A5F">
        <w:rPr>
          <w:lang w:eastAsia="zh-CN"/>
        </w:rPr>
        <w:t xml:space="preserve"> property</w:t>
      </w:r>
      <w:r w:rsidR="00CB0DD7" w:rsidRPr="000A0A5F">
        <w:t>. The mixed Ipv4 Ipv6 notation according to clause 5 of</w:t>
      </w:r>
    </w:p>
    <w:p w:rsidR="00CB0DD7" w:rsidRPr="000A0A5F" w:rsidRDefault="00717590">
      <w:pPr>
        <w:pStyle w:val="PL"/>
      </w:pPr>
      <w:r w:rsidRPr="000A0A5F">
        <w:t xml:space="preserve">       </w:t>
      </w:r>
      <w:r w:rsidR="00CB0DD7" w:rsidRPr="000A0A5F">
        <w:t xml:space="preserve"> IETF RFC 5952 shall not be used.</w:t>
      </w:r>
    </w:p>
    <w:p w:rsidR="00CB0DD7" w:rsidRPr="000A0A5F" w:rsidRDefault="00CB0DD7">
      <w:pPr>
        <w:pStyle w:val="PL"/>
      </w:pPr>
      <w:r w:rsidRPr="000A0A5F">
        <w:t xml:space="preserve">      readOnly: true</w:t>
      </w:r>
    </w:p>
    <w:p w:rsidR="0037730B" w:rsidRPr="000A0A5F" w:rsidRDefault="0037730B">
      <w:pPr>
        <w:pStyle w:val="PL"/>
      </w:pPr>
    </w:p>
    <w:p w:rsidR="00CB0DD7" w:rsidRPr="000A0A5F" w:rsidRDefault="00CB0DD7">
      <w:pPr>
        <w:pStyle w:val="PL"/>
      </w:pPr>
      <w:r w:rsidRPr="000A0A5F">
        <w:t xml:space="preserve">    Link:</w:t>
      </w:r>
    </w:p>
    <w:p w:rsidR="00CB0DD7" w:rsidRPr="000A0A5F" w:rsidRDefault="00CB0DD7">
      <w:pPr>
        <w:pStyle w:val="PL"/>
      </w:pPr>
      <w:r w:rsidRPr="000A0A5F">
        <w:t xml:space="preserve">      type: string</w:t>
      </w:r>
    </w:p>
    <w:p w:rsidR="00CB0DD7" w:rsidRPr="000A0A5F" w:rsidRDefault="00CB0DD7">
      <w:pPr>
        <w:pStyle w:val="PL"/>
      </w:pPr>
      <w:r w:rsidRPr="000A0A5F">
        <w:t xml:space="preserve">      description: string formatted according to IETF RFC 3986 identifying a referenced resource.</w:t>
      </w:r>
    </w:p>
    <w:p w:rsidR="00A62BEC" w:rsidRPr="000A0A5F" w:rsidRDefault="00A62BEC" w:rsidP="00A62BEC">
      <w:pPr>
        <w:pStyle w:val="PL"/>
      </w:pPr>
      <w:r w:rsidRPr="000A0A5F">
        <w:t xml:space="preserve">    LinkRm:</w:t>
      </w:r>
    </w:p>
    <w:p w:rsidR="00A62BEC" w:rsidRPr="000A0A5F" w:rsidRDefault="00A62BEC" w:rsidP="00A62BEC">
      <w:pPr>
        <w:pStyle w:val="PL"/>
      </w:pPr>
      <w:r w:rsidRPr="000A0A5F">
        <w:t xml:space="preserve">      type: string</w:t>
      </w:r>
    </w:p>
    <w:p w:rsidR="00A62BEC" w:rsidRPr="000A0A5F" w:rsidRDefault="00A62BEC" w:rsidP="00A62BEC">
      <w:pPr>
        <w:pStyle w:val="PL"/>
      </w:pPr>
      <w:r w:rsidRPr="000A0A5F">
        <w:t xml:space="preserve">      description: &gt;</w:t>
      </w:r>
    </w:p>
    <w:p w:rsidR="00A62BEC" w:rsidRPr="000A0A5F" w:rsidRDefault="00A62BEC" w:rsidP="00A62BEC">
      <w:pPr>
        <w:pStyle w:val="PL"/>
      </w:pPr>
      <w:r w:rsidRPr="000A0A5F">
        <w:t xml:space="preserve">        String formatted according to IETF RFC 3986 identifying a referenced resource,</w:t>
      </w:r>
    </w:p>
    <w:p w:rsidR="00A62BEC" w:rsidRPr="000A0A5F" w:rsidRDefault="00A62BEC" w:rsidP="00A62BEC">
      <w:pPr>
        <w:pStyle w:val="PL"/>
      </w:pPr>
      <w:r w:rsidRPr="000A0A5F">
        <w:t xml:space="preserve">        but with the nullable property set to true.</w:t>
      </w:r>
    </w:p>
    <w:p w:rsidR="00A62BEC" w:rsidRPr="000A0A5F" w:rsidRDefault="00A62BEC" w:rsidP="00A62BEC">
      <w:pPr>
        <w:pStyle w:val="PL"/>
      </w:pPr>
      <w:r w:rsidRPr="000A0A5F">
        <w:t xml:space="preserve">      nullable: true</w:t>
      </w:r>
    </w:p>
    <w:p w:rsidR="0037730B" w:rsidRPr="000A0A5F" w:rsidRDefault="0037730B">
      <w:pPr>
        <w:pStyle w:val="PL"/>
      </w:pPr>
    </w:p>
    <w:p w:rsidR="00CB0DD7" w:rsidRPr="000A0A5F" w:rsidRDefault="00CB0DD7">
      <w:pPr>
        <w:pStyle w:val="PL"/>
      </w:pPr>
      <w:r w:rsidRPr="000A0A5F">
        <w:t xml:space="preserve">    Mcc:</w:t>
      </w:r>
    </w:p>
    <w:p w:rsidR="00CB0DD7" w:rsidRPr="000A0A5F" w:rsidRDefault="00CB0DD7">
      <w:pPr>
        <w:pStyle w:val="PL"/>
      </w:pPr>
      <w:r w:rsidRPr="000A0A5F">
        <w:t xml:space="preserve">      type: string</w:t>
      </w:r>
    </w:p>
    <w:p w:rsidR="0037730B" w:rsidRPr="000A0A5F" w:rsidRDefault="00CB0DD7">
      <w:pPr>
        <w:pStyle w:val="PL"/>
      </w:pPr>
      <w:r w:rsidRPr="000A0A5F">
        <w:t xml:space="preserve">      description: </w:t>
      </w:r>
      <w:r w:rsidR="0037730B" w:rsidRPr="000A0A5F">
        <w:t>&gt;</w:t>
      </w:r>
    </w:p>
    <w:p w:rsidR="0037730B" w:rsidRPr="000A0A5F" w:rsidRDefault="0037730B">
      <w:pPr>
        <w:pStyle w:val="PL"/>
      </w:pPr>
      <w:r w:rsidRPr="000A0A5F">
        <w:t xml:space="preserve">        </w:t>
      </w:r>
      <w:r w:rsidR="00CB0DD7" w:rsidRPr="000A0A5F">
        <w:t>String encoding a Mobile Country Code part of the PLMN, comprising 3 digits,</w:t>
      </w:r>
    </w:p>
    <w:p w:rsidR="00CB0DD7" w:rsidRPr="000A0A5F" w:rsidRDefault="0037730B">
      <w:pPr>
        <w:pStyle w:val="PL"/>
      </w:pPr>
      <w:r w:rsidRPr="000A0A5F">
        <w:t xml:space="preserve">       </w:t>
      </w:r>
      <w:r w:rsidR="00CB0DD7" w:rsidRPr="000A0A5F">
        <w:t xml:space="preserve"> as defined in 3GPP TS 38.413.</w:t>
      </w:r>
    </w:p>
    <w:p w:rsidR="0037730B" w:rsidRPr="000A0A5F" w:rsidRDefault="0037730B">
      <w:pPr>
        <w:pStyle w:val="PL"/>
      </w:pPr>
    </w:p>
    <w:p w:rsidR="00CB0DD7" w:rsidRPr="000A0A5F" w:rsidRDefault="00CB0DD7">
      <w:pPr>
        <w:pStyle w:val="PL"/>
      </w:pPr>
      <w:r w:rsidRPr="000A0A5F">
        <w:t xml:space="preserve">    Mnc:</w:t>
      </w:r>
    </w:p>
    <w:p w:rsidR="00CB0DD7" w:rsidRPr="000A0A5F" w:rsidRDefault="00CB0DD7">
      <w:pPr>
        <w:pStyle w:val="PL"/>
      </w:pPr>
      <w:r w:rsidRPr="000A0A5F">
        <w:t xml:space="preserve">      type: string</w:t>
      </w:r>
    </w:p>
    <w:p w:rsidR="0037730B" w:rsidRPr="000A0A5F" w:rsidRDefault="00CB0DD7">
      <w:pPr>
        <w:pStyle w:val="PL"/>
      </w:pPr>
      <w:r w:rsidRPr="000A0A5F">
        <w:t xml:space="preserve">      description: </w:t>
      </w:r>
      <w:r w:rsidR="0037730B" w:rsidRPr="000A0A5F">
        <w:t>&gt;</w:t>
      </w:r>
    </w:p>
    <w:p w:rsidR="0037730B" w:rsidRPr="000A0A5F" w:rsidRDefault="0037730B">
      <w:pPr>
        <w:pStyle w:val="PL"/>
      </w:pPr>
      <w:r w:rsidRPr="000A0A5F">
        <w:t xml:space="preserve">        </w:t>
      </w:r>
      <w:r w:rsidR="00CB0DD7" w:rsidRPr="000A0A5F">
        <w:t>String encoding a Mobile Network Code part of the PLMN, comprising 2 or 3 digits,</w:t>
      </w:r>
    </w:p>
    <w:p w:rsidR="00CB0DD7" w:rsidRPr="000A0A5F" w:rsidRDefault="0037730B">
      <w:pPr>
        <w:pStyle w:val="PL"/>
      </w:pPr>
      <w:r w:rsidRPr="000A0A5F">
        <w:t xml:space="preserve">       </w:t>
      </w:r>
      <w:r w:rsidR="00CB0DD7" w:rsidRPr="000A0A5F">
        <w:t xml:space="preserve"> as defined in 3GPP TS 38.413.</w:t>
      </w:r>
    </w:p>
    <w:p w:rsidR="0037730B" w:rsidRPr="000A0A5F" w:rsidRDefault="0037730B">
      <w:pPr>
        <w:pStyle w:val="PL"/>
      </w:pPr>
    </w:p>
    <w:p w:rsidR="00CB0DD7" w:rsidRPr="000A0A5F" w:rsidRDefault="00CB0DD7">
      <w:pPr>
        <w:pStyle w:val="PL"/>
      </w:pPr>
      <w:r w:rsidRPr="000A0A5F">
        <w:t xml:space="preserve">    Msisdn:</w:t>
      </w:r>
    </w:p>
    <w:p w:rsidR="00CB0DD7" w:rsidRPr="000A0A5F" w:rsidRDefault="00CB0DD7">
      <w:pPr>
        <w:pStyle w:val="PL"/>
      </w:pPr>
      <w:r w:rsidRPr="000A0A5F">
        <w:t xml:space="preserve">      type: string</w:t>
      </w:r>
    </w:p>
    <w:p w:rsidR="0037730B" w:rsidRPr="000A0A5F" w:rsidRDefault="00CB0DD7">
      <w:pPr>
        <w:pStyle w:val="PL"/>
      </w:pPr>
      <w:r w:rsidRPr="000A0A5F">
        <w:t xml:space="preserve">      description: </w:t>
      </w:r>
      <w:r w:rsidR="0037730B" w:rsidRPr="000A0A5F">
        <w:t>&gt;</w:t>
      </w:r>
    </w:p>
    <w:p w:rsidR="00CB0DD7" w:rsidRPr="000A0A5F" w:rsidRDefault="0037730B">
      <w:pPr>
        <w:pStyle w:val="PL"/>
      </w:pPr>
      <w:r w:rsidRPr="000A0A5F">
        <w:t xml:space="preserve">        </w:t>
      </w:r>
      <w:r w:rsidR="00CB0DD7" w:rsidRPr="000A0A5F">
        <w:t>string formatted according to clause 3.3 of 3GPP TS 23.003 that describes an MSISDN.</w:t>
      </w:r>
    </w:p>
    <w:p w:rsidR="0037730B" w:rsidRPr="000A0A5F" w:rsidRDefault="0037730B">
      <w:pPr>
        <w:pStyle w:val="PL"/>
      </w:pPr>
    </w:p>
    <w:p w:rsidR="00CB0DD7" w:rsidRPr="000A0A5F" w:rsidRDefault="00CB0DD7">
      <w:pPr>
        <w:pStyle w:val="PL"/>
      </w:pPr>
      <w:r w:rsidRPr="000A0A5F">
        <w:t xml:space="preserve">    Port:</w:t>
      </w:r>
    </w:p>
    <w:p w:rsidR="00CB0DD7" w:rsidRPr="000A0A5F" w:rsidRDefault="00CB0DD7">
      <w:pPr>
        <w:pStyle w:val="PL"/>
      </w:pPr>
      <w:r w:rsidRPr="000A0A5F">
        <w:t xml:space="preserve">      type: integer</w:t>
      </w:r>
    </w:p>
    <w:p w:rsidR="00CB0DD7" w:rsidRPr="000A0A5F" w:rsidRDefault="00CB0DD7">
      <w:pPr>
        <w:pStyle w:val="PL"/>
      </w:pPr>
      <w:r w:rsidRPr="000A0A5F">
        <w:t xml:space="preserve">      description: Unsigned integer with valid values between 0 and 65535.</w:t>
      </w:r>
    </w:p>
    <w:p w:rsidR="00CB0DD7" w:rsidRPr="000A0A5F" w:rsidRDefault="00CB0DD7">
      <w:pPr>
        <w:pStyle w:val="PL"/>
      </w:pPr>
      <w:r w:rsidRPr="000A0A5F">
        <w:t xml:space="preserve">      minimum: 0</w:t>
      </w:r>
    </w:p>
    <w:p w:rsidR="00CB0DD7" w:rsidRPr="000A0A5F" w:rsidRDefault="00CB0DD7">
      <w:pPr>
        <w:pStyle w:val="PL"/>
      </w:pPr>
      <w:r w:rsidRPr="000A0A5F">
        <w:t xml:space="preserve">      maximum: 65535</w:t>
      </w:r>
    </w:p>
    <w:p w:rsidR="0037730B" w:rsidRPr="000A0A5F" w:rsidRDefault="0037730B">
      <w:pPr>
        <w:pStyle w:val="PL"/>
      </w:pPr>
    </w:p>
    <w:p w:rsidR="00CB0DD7" w:rsidRPr="000A0A5F" w:rsidRDefault="00CB0DD7">
      <w:pPr>
        <w:pStyle w:val="PL"/>
      </w:pPr>
      <w:r w:rsidRPr="000A0A5F">
        <w:t xml:space="preserve">    PortRo:</w:t>
      </w:r>
    </w:p>
    <w:p w:rsidR="00CB0DD7" w:rsidRPr="000A0A5F" w:rsidRDefault="00CB0DD7">
      <w:pPr>
        <w:pStyle w:val="PL"/>
      </w:pPr>
      <w:r w:rsidRPr="000A0A5F">
        <w:t xml:space="preserve">      type: integer</w:t>
      </w:r>
    </w:p>
    <w:p w:rsidR="0037730B" w:rsidRPr="000A0A5F" w:rsidRDefault="00CB0DD7">
      <w:pPr>
        <w:pStyle w:val="PL"/>
      </w:pPr>
      <w:r w:rsidRPr="000A0A5F">
        <w:t xml:space="preserve">      description: </w:t>
      </w:r>
      <w:r w:rsidR="0037730B" w:rsidRPr="000A0A5F">
        <w:t>&gt;</w:t>
      </w:r>
    </w:p>
    <w:p w:rsidR="00CB0DD7" w:rsidRPr="000A0A5F" w:rsidRDefault="0037730B">
      <w:pPr>
        <w:pStyle w:val="PL"/>
      </w:pPr>
      <w:r w:rsidRPr="000A0A5F">
        <w:t xml:space="preserve">        </w:t>
      </w:r>
      <w:r w:rsidR="00CB0DD7" w:rsidRPr="000A0A5F">
        <w:t xml:space="preserve">Unsigned integer with valid values between 0 and 65535, </w:t>
      </w:r>
      <w:r w:rsidR="00CB0DD7" w:rsidRPr="000A0A5F">
        <w:rPr>
          <w:lang w:eastAsia="zh-CN"/>
        </w:rPr>
        <w:t xml:space="preserve">with </w:t>
      </w:r>
      <w:r w:rsidR="00CB0DD7" w:rsidRPr="000A0A5F">
        <w:t>"readOnly=true"</w:t>
      </w:r>
      <w:r w:rsidR="00CB0DD7" w:rsidRPr="000A0A5F">
        <w:rPr>
          <w:lang w:eastAsia="zh-CN"/>
        </w:rPr>
        <w:t xml:space="preserve"> property</w:t>
      </w:r>
      <w:r w:rsidR="00CB0DD7" w:rsidRPr="000A0A5F">
        <w:t>.</w:t>
      </w:r>
    </w:p>
    <w:p w:rsidR="00CB0DD7" w:rsidRPr="000A0A5F" w:rsidRDefault="00CB0DD7">
      <w:pPr>
        <w:pStyle w:val="PL"/>
      </w:pPr>
      <w:r w:rsidRPr="000A0A5F">
        <w:t xml:space="preserve">      minimum: 0</w:t>
      </w:r>
    </w:p>
    <w:p w:rsidR="00CB0DD7" w:rsidRPr="000A0A5F" w:rsidRDefault="00CB0DD7">
      <w:pPr>
        <w:pStyle w:val="PL"/>
      </w:pPr>
      <w:r w:rsidRPr="000A0A5F">
        <w:t xml:space="preserve">      maximum: 65535</w:t>
      </w:r>
    </w:p>
    <w:p w:rsidR="00CB0DD7" w:rsidRPr="000A0A5F" w:rsidRDefault="00CB0DD7">
      <w:pPr>
        <w:pStyle w:val="PL"/>
      </w:pPr>
      <w:r w:rsidRPr="000A0A5F">
        <w:t xml:space="preserve">      readOnly: true</w:t>
      </w:r>
    </w:p>
    <w:p w:rsidR="0037730B" w:rsidRPr="000A0A5F" w:rsidRDefault="0037730B">
      <w:pPr>
        <w:pStyle w:val="PL"/>
      </w:pPr>
    </w:p>
    <w:p w:rsidR="00CB0DD7" w:rsidRPr="000A0A5F" w:rsidRDefault="00CB0DD7">
      <w:pPr>
        <w:pStyle w:val="PL"/>
      </w:pPr>
      <w:r w:rsidRPr="000A0A5F">
        <w:t xml:space="preserve">    ResourceId:</w:t>
      </w:r>
    </w:p>
    <w:p w:rsidR="00CB0DD7" w:rsidRPr="000A0A5F" w:rsidRDefault="00CB0DD7">
      <w:pPr>
        <w:pStyle w:val="PL"/>
      </w:pPr>
      <w:r w:rsidRPr="000A0A5F">
        <w:t xml:space="preserve">      type: string</w:t>
      </w:r>
    </w:p>
    <w:p w:rsidR="00CB0DD7" w:rsidRPr="000A0A5F" w:rsidRDefault="00CB0DD7">
      <w:pPr>
        <w:pStyle w:val="PL"/>
      </w:pPr>
      <w:r w:rsidRPr="000A0A5F">
        <w:t xml:space="preserve">      description: string chosen by the SCEF to serve as identifier in a resource URI.</w:t>
      </w:r>
    </w:p>
    <w:p w:rsidR="0037730B" w:rsidRPr="000A0A5F" w:rsidRDefault="0037730B">
      <w:pPr>
        <w:pStyle w:val="PL"/>
      </w:pPr>
    </w:p>
    <w:p w:rsidR="00CB0DD7" w:rsidRPr="000A0A5F" w:rsidRDefault="00CB0DD7">
      <w:pPr>
        <w:pStyle w:val="PL"/>
      </w:pPr>
      <w:r w:rsidRPr="000A0A5F">
        <w:t xml:space="preserve">    ScsAsId:</w:t>
      </w:r>
    </w:p>
    <w:p w:rsidR="00CB0DD7" w:rsidRPr="000A0A5F" w:rsidRDefault="00CB0DD7">
      <w:pPr>
        <w:pStyle w:val="PL"/>
      </w:pPr>
      <w:r w:rsidRPr="000A0A5F">
        <w:t xml:space="preserve">      type: string</w:t>
      </w:r>
    </w:p>
    <w:p w:rsidR="00CB0DD7" w:rsidRPr="000A0A5F" w:rsidRDefault="00CB0DD7">
      <w:pPr>
        <w:pStyle w:val="PL"/>
      </w:pPr>
      <w:r w:rsidRPr="000A0A5F">
        <w:t xml:space="preserve">      description: string that identifies an SCS/AS.</w:t>
      </w:r>
    </w:p>
    <w:p w:rsidR="0037730B" w:rsidRPr="000A0A5F" w:rsidRDefault="0037730B">
      <w:pPr>
        <w:pStyle w:val="PL"/>
      </w:pPr>
    </w:p>
    <w:p w:rsidR="00CB0DD7" w:rsidRPr="000A0A5F" w:rsidRDefault="00CB0DD7">
      <w:pPr>
        <w:pStyle w:val="PL"/>
      </w:pPr>
      <w:r w:rsidRPr="000A0A5F">
        <w:t xml:space="preserve">    </w:t>
      </w:r>
      <w:r w:rsidRPr="000A0A5F">
        <w:rPr>
          <w:lang w:eastAsia="zh-CN"/>
        </w:rPr>
        <w:t>TimeOfDay</w:t>
      </w:r>
      <w:r w:rsidRPr="000A0A5F">
        <w:t>:</w:t>
      </w:r>
    </w:p>
    <w:p w:rsidR="00CB0DD7" w:rsidRPr="000A0A5F" w:rsidRDefault="00CB0DD7">
      <w:pPr>
        <w:pStyle w:val="PL"/>
      </w:pPr>
      <w:r w:rsidRPr="000A0A5F">
        <w:t xml:space="preserve">      type: string</w:t>
      </w:r>
    </w:p>
    <w:p w:rsidR="0037730B" w:rsidRPr="000A0A5F" w:rsidRDefault="00CB0DD7">
      <w:pPr>
        <w:pStyle w:val="PL"/>
      </w:pPr>
      <w:r w:rsidRPr="000A0A5F">
        <w:t xml:space="preserve">      description: </w:t>
      </w:r>
      <w:r w:rsidR="0037730B" w:rsidRPr="000A0A5F">
        <w:t>&gt;</w:t>
      </w:r>
    </w:p>
    <w:p w:rsidR="0037730B" w:rsidRPr="000A0A5F" w:rsidRDefault="0037730B">
      <w:pPr>
        <w:pStyle w:val="PL"/>
      </w:pPr>
      <w:r w:rsidRPr="000A0A5F">
        <w:t xml:space="preserve">        </w:t>
      </w:r>
      <w:r w:rsidR="00CB0DD7" w:rsidRPr="000A0A5F">
        <w:t>String with format partial-time or full-time as defined in clause 5.6 of IETF RFC 3339.</w:t>
      </w:r>
    </w:p>
    <w:p w:rsidR="00CB0DD7" w:rsidRPr="000A0A5F" w:rsidRDefault="0037730B">
      <w:pPr>
        <w:pStyle w:val="PL"/>
      </w:pPr>
      <w:r w:rsidRPr="000A0A5F">
        <w:t xml:space="preserve">       </w:t>
      </w:r>
      <w:r w:rsidR="00CB0DD7" w:rsidRPr="000A0A5F">
        <w:t xml:space="preserve"> Examples, 20:15:00, 20:15:00-08:00 (for 8 hours behind UTC).</w:t>
      </w:r>
    </w:p>
    <w:p w:rsidR="0037730B" w:rsidRPr="000A0A5F" w:rsidRDefault="0037730B">
      <w:pPr>
        <w:pStyle w:val="PL"/>
      </w:pPr>
    </w:p>
    <w:p w:rsidR="00CB0DD7" w:rsidRPr="000A0A5F" w:rsidRDefault="00CB0DD7">
      <w:pPr>
        <w:pStyle w:val="PL"/>
      </w:pPr>
      <w:r w:rsidRPr="000A0A5F">
        <w:t xml:space="preserve">    Uri:</w:t>
      </w:r>
    </w:p>
    <w:p w:rsidR="00CB0DD7" w:rsidRPr="000A0A5F" w:rsidRDefault="00CB0DD7">
      <w:pPr>
        <w:pStyle w:val="PL"/>
      </w:pPr>
      <w:r w:rsidRPr="000A0A5F">
        <w:t xml:space="preserve">      type: string</w:t>
      </w:r>
    </w:p>
    <w:p w:rsidR="00CB0DD7" w:rsidRPr="000A0A5F" w:rsidRDefault="00CB0DD7">
      <w:pPr>
        <w:pStyle w:val="PL"/>
      </w:pPr>
      <w:r w:rsidRPr="000A0A5F">
        <w:t xml:space="preserve">      description: string providing an URI formatted according to IETF RFC 3986. </w:t>
      </w:r>
    </w:p>
    <w:p w:rsidR="0037730B" w:rsidRPr="000A0A5F" w:rsidRDefault="0037730B">
      <w:pPr>
        <w:pStyle w:val="PL"/>
      </w:pPr>
    </w:p>
    <w:p w:rsidR="00CB0DD7" w:rsidRPr="000A0A5F" w:rsidRDefault="00CB0DD7">
      <w:pPr>
        <w:pStyle w:val="PL"/>
      </w:pPr>
      <w:r w:rsidRPr="000A0A5F">
        <w:t xml:space="preserve">    Volume:</w:t>
      </w:r>
    </w:p>
    <w:p w:rsidR="00CB0DD7" w:rsidRPr="000A0A5F" w:rsidRDefault="00CB0DD7">
      <w:pPr>
        <w:pStyle w:val="PL"/>
      </w:pPr>
      <w:r w:rsidRPr="000A0A5F">
        <w:t xml:space="preserve">      type: integer</w:t>
      </w:r>
    </w:p>
    <w:p w:rsidR="00CB0DD7" w:rsidRPr="000A0A5F" w:rsidRDefault="00CB0DD7">
      <w:pPr>
        <w:pStyle w:val="PL"/>
      </w:pPr>
      <w:r w:rsidRPr="000A0A5F">
        <w:t xml:space="preserve">      format: int64</w:t>
      </w:r>
    </w:p>
    <w:p w:rsidR="00CB0DD7" w:rsidRPr="000A0A5F" w:rsidRDefault="00CB0DD7">
      <w:pPr>
        <w:pStyle w:val="PL"/>
      </w:pPr>
      <w:r w:rsidRPr="000A0A5F">
        <w:t xml:space="preserve">      minimum: 0</w:t>
      </w:r>
    </w:p>
    <w:p w:rsidR="00CB0DD7" w:rsidRPr="000A0A5F" w:rsidRDefault="00CB0DD7">
      <w:pPr>
        <w:pStyle w:val="PL"/>
      </w:pPr>
      <w:r w:rsidRPr="000A0A5F">
        <w:t xml:space="preserve">      description: Unsigned integer identifying a volume in units of bytes.</w:t>
      </w:r>
    </w:p>
    <w:p w:rsidR="0037730B" w:rsidRPr="000A0A5F" w:rsidRDefault="0037730B">
      <w:pPr>
        <w:pStyle w:val="PL"/>
      </w:pPr>
    </w:p>
    <w:p w:rsidR="00CB0DD7" w:rsidRPr="000A0A5F" w:rsidRDefault="00CB0DD7">
      <w:pPr>
        <w:pStyle w:val="PL"/>
      </w:pPr>
      <w:r w:rsidRPr="000A0A5F">
        <w:t xml:space="preserve">    VolumeRm:</w:t>
      </w:r>
    </w:p>
    <w:p w:rsidR="00CB0DD7" w:rsidRPr="000A0A5F" w:rsidRDefault="00CB0DD7">
      <w:pPr>
        <w:pStyle w:val="PL"/>
      </w:pPr>
      <w:r w:rsidRPr="000A0A5F">
        <w:t xml:space="preserve">      type: integer</w:t>
      </w:r>
    </w:p>
    <w:p w:rsidR="00CB0DD7" w:rsidRPr="000A0A5F" w:rsidRDefault="00CB0DD7">
      <w:pPr>
        <w:pStyle w:val="PL"/>
      </w:pPr>
      <w:r w:rsidRPr="000A0A5F">
        <w:t xml:space="preserve">      format: int64</w:t>
      </w:r>
    </w:p>
    <w:p w:rsidR="00CB0DD7" w:rsidRPr="000A0A5F" w:rsidRDefault="00CB0DD7">
      <w:pPr>
        <w:pStyle w:val="PL"/>
      </w:pPr>
      <w:r w:rsidRPr="000A0A5F">
        <w:t xml:space="preserve">      minimum: 0</w:t>
      </w:r>
    </w:p>
    <w:p w:rsidR="0037730B" w:rsidRPr="000A0A5F" w:rsidRDefault="00CB0DD7">
      <w:pPr>
        <w:pStyle w:val="PL"/>
      </w:pPr>
      <w:r w:rsidRPr="000A0A5F">
        <w:t xml:space="preserve">      description: </w:t>
      </w:r>
      <w:r w:rsidR="0037730B" w:rsidRPr="000A0A5F">
        <w:t>&gt;</w:t>
      </w:r>
    </w:p>
    <w:p w:rsidR="00CB0DD7" w:rsidRPr="000A0A5F" w:rsidRDefault="0037730B">
      <w:pPr>
        <w:pStyle w:val="PL"/>
      </w:pPr>
      <w:r w:rsidRPr="000A0A5F">
        <w:t xml:space="preserve">        </w:t>
      </w:r>
      <w:r w:rsidR="00CB0DD7" w:rsidRPr="000A0A5F">
        <w:t xml:space="preserve">Unsigned integer identifying a volume in units of bytes </w:t>
      </w:r>
      <w:r w:rsidR="00CB0DD7" w:rsidRPr="000A0A5F">
        <w:rPr>
          <w:lang w:eastAsia="zh-CN"/>
        </w:rPr>
        <w:t xml:space="preserve">with </w:t>
      </w:r>
      <w:r w:rsidR="00CB0DD7" w:rsidRPr="000A0A5F">
        <w:t>"nullable=true"</w:t>
      </w:r>
      <w:r w:rsidR="00CB0DD7" w:rsidRPr="000A0A5F">
        <w:rPr>
          <w:lang w:eastAsia="zh-CN"/>
        </w:rPr>
        <w:t xml:space="preserve"> property.</w:t>
      </w:r>
    </w:p>
    <w:p w:rsidR="00CB0DD7" w:rsidRPr="000A0A5F" w:rsidRDefault="00CB0DD7">
      <w:pPr>
        <w:pStyle w:val="PL"/>
      </w:pPr>
      <w:r w:rsidRPr="000A0A5F">
        <w:t xml:space="preserve">      nullable: true</w:t>
      </w:r>
    </w:p>
    <w:p w:rsidR="0037730B" w:rsidRPr="000A0A5F" w:rsidRDefault="0037730B" w:rsidP="00BB037D">
      <w:pPr>
        <w:pStyle w:val="PL"/>
      </w:pPr>
    </w:p>
    <w:p w:rsidR="00BB037D" w:rsidRPr="000A0A5F" w:rsidRDefault="00BB037D" w:rsidP="00BB037D">
      <w:pPr>
        <w:pStyle w:val="PL"/>
      </w:pPr>
      <w:r w:rsidRPr="000A0A5F">
        <w:t xml:space="preserve">    EthFlowInfo:</w:t>
      </w:r>
    </w:p>
    <w:p w:rsidR="00BB037D" w:rsidRPr="000A0A5F" w:rsidRDefault="00BB037D" w:rsidP="00BB037D">
      <w:pPr>
        <w:pStyle w:val="PL"/>
      </w:pPr>
      <w:r w:rsidRPr="000A0A5F">
        <w:t xml:space="preserve">      description: Represents Ethernet flow information.</w:t>
      </w:r>
    </w:p>
    <w:p w:rsidR="00BB037D" w:rsidRPr="000A0A5F" w:rsidRDefault="00BB037D" w:rsidP="00BB037D">
      <w:pPr>
        <w:pStyle w:val="PL"/>
      </w:pPr>
      <w:r w:rsidRPr="000A0A5F">
        <w:t xml:space="preserve">      type: object</w:t>
      </w:r>
    </w:p>
    <w:p w:rsidR="00BB037D" w:rsidRPr="000A0A5F" w:rsidRDefault="00BB037D" w:rsidP="00BB037D">
      <w:pPr>
        <w:pStyle w:val="PL"/>
      </w:pPr>
      <w:r w:rsidRPr="000A0A5F">
        <w:t xml:space="preserve">      properties:</w:t>
      </w:r>
    </w:p>
    <w:p w:rsidR="00BB037D" w:rsidRPr="000A0A5F" w:rsidRDefault="00BB037D" w:rsidP="00BB037D">
      <w:pPr>
        <w:pStyle w:val="PL"/>
      </w:pPr>
      <w:r w:rsidRPr="000A0A5F">
        <w:t xml:space="preserve">        flowId:</w:t>
      </w:r>
    </w:p>
    <w:p w:rsidR="00BB037D" w:rsidRPr="000A0A5F" w:rsidRDefault="00BB037D" w:rsidP="00BB037D">
      <w:pPr>
        <w:pStyle w:val="PL"/>
      </w:pPr>
      <w:r w:rsidRPr="000A0A5F">
        <w:t xml:space="preserve">          type: integer</w:t>
      </w:r>
    </w:p>
    <w:p w:rsidR="00BB037D" w:rsidRPr="000A0A5F" w:rsidRDefault="00BB037D" w:rsidP="00BB037D">
      <w:pPr>
        <w:pStyle w:val="PL"/>
      </w:pPr>
      <w:r w:rsidRPr="000A0A5F">
        <w:t xml:space="preserve">          description: Indicates the Ethernet flow identifier.</w:t>
      </w:r>
    </w:p>
    <w:p w:rsidR="00BB037D" w:rsidRPr="000A0A5F" w:rsidRDefault="00BB037D" w:rsidP="00BB037D">
      <w:pPr>
        <w:pStyle w:val="PL"/>
      </w:pPr>
      <w:r w:rsidRPr="000A0A5F">
        <w:t xml:space="preserve">        ethFlowDescriptions:</w:t>
      </w:r>
    </w:p>
    <w:p w:rsidR="00BB037D" w:rsidRPr="000A0A5F" w:rsidRDefault="00BB037D" w:rsidP="00BB037D">
      <w:pPr>
        <w:pStyle w:val="PL"/>
      </w:pPr>
      <w:r w:rsidRPr="000A0A5F">
        <w:t xml:space="preserve">          type: array</w:t>
      </w:r>
    </w:p>
    <w:p w:rsidR="00BB037D" w:rsidRPr="000A0A5F" w:rsidRDefault="00BB037D" w:rsidP="00BB037D">
      <w:pPr>
        <w:pStyle w:val="PL"/>
      </w:pPr>
      <w:r w:rsidRPr="000A0A5F">
        <w:t xml:space="preserve">          items:</w:t>
      </w:r>
    </w:p>
    <w:p w:rsidR="00BB037D" w:rsidRPr="000A0A5F" w:rsidRDefault="00BB037D" w:rsidP="00BB037D">
      <w:pPr>
        <w:pStyle w:val="PL"/>
      </w:pPr>
      <w:r w:rsidRPr="000A0A5F">
        <w:t xml:space="preserve">            $ref: </w:t>
      </w:r>
      <w:r w:rsidRPr="000A0A5F">
        <w:rPr>
          <w:rFonts w:cs="Courier New"/>
          <w:szCs w:val="16"/>
          <w:lang w:val="en-US"/>
        </w:rPr>
        <w:t>'TS29514_</w:t>
      </w:r>
      <w:r w:rsidRPr="000A0A5F">
        <w:t>Npcf_PolicyAuthorization</w:t>
      </w:r>
      <w:r w:rsidRPr="000A0A5F">
        <w:rPr>
          <w:rFonts w:cs="Courier New"/>
          <w:szCs w:val="16"/>
          <w:lang w:val="en-US"/>
        </w:rPr>
        <w:t>.yaml#/components/schemas/EthFlowDescription'</w:t>
      </w:r>
    </w:p>
    <w:p w:rsidR="00BB037D" w:rsidRPr="000A0A5F" w:rsidRDefault="00BB037D" w:rsidP="00BB037D">
      <w:pPr>
        <w:pStyle w:val="PL"/>
      </w:pPr>
      <w:r w:rsidRPr="000A0A5F">
        <w:t xml:space="preserve">          description: &gt;</w:t>
      </w:r>
    </w:p>
    <w:p w:rsidR="00BB037D" w:rsidRPr="000A0A5F" w:rsidRDefault="00BB037D" w:rsidP="00BB037D">
      <w:pPr>
        <w:pStyle w:val="PL"/>
      </w:pPr>
      <w:r w:rsidRPr="000A0A5F">
        <w:t xml:space="preserve">            Indicates the packet filters of the Ethernet flow. It shall contain UL and/or DL</w:t>
      </w:r>
    </w:p>
    <w:p w:rsidR="00BB037D" w:rsidRPr="000A0A5F" w:rsidRDefault="00BB037D" w:rsidP="00BB037D">
      <w:pPr>
        <w:pStyle w:val="PL"/>
      </w:pPr>
      <w:r w:rsidRPr="000A0A5F">
        <w:t xml:space="preserve">            Ethernet flow description.</w:t>
      </w:r>
    </w:p>
    <w:p w:rsidR="00BB037D" w:rsidRPr="000A0A5F" w:rsidRDefault="00BB037D" w:rsidP="00BB037D">
      <w:pPr>
        <w:pStyle w:val="PL"/>
      </w:pPr>
      <w:r w:rsidRPr="000A0A5F">
        <w:t xml:space="preserve">          minItems: 1</w:t>
      </w:r>
    </w:p>
    <w:p w:rsidR="00BB037D" w:rsidRPr="000A0A5F" w:rsidRDefault="00BB037D" w:rsidP="00BB037D">
      <w:pPr>
        <w:pStyle w:val="PL"/>
      </w:pPr>
      <w:r w:rsidRPr="000A0A5F">
        <w:t xml:space="preserve">          maxItems: 2</w:t>
      </w:r>
    </w:p>
    <w:p w:rsidR="00BB037D" w:rsidRPr="000A0A5F" w:rsidRDefault="00BB037D" w:rsidP="00BB037D">
      <w:pPr>
        <w:pStyle w:val="PL"/>
      </w:pPr>
      <w:r w:rsidRPr="000A0A5F">
        <w:t xml:space="preserve">      required:</w:t>
      </w:r>
    </w:p>
    <w:p w:rsidR="00BB037D" w:rsidRPr="000A0A5F" w:rsidRDefault="00BB037D" w:rsidP="00BB037D">
      <w:pPr>
        <w:pStyle w:val="PL"/>
      </w:pPr>
      <w:r w:rsidRPr="000A0A5F">
        <w:t xml:space="preserve">        - flowId</w:t>
      </w:r>
    </w:p>
    <w:p w:rsidR="0037730B" w:rsidRPr="000A0A5F" w:rsidRDefault="0037730B">
      <w:pPr>
        <w:pStyle w:val="PL"/>
      </w:pPr>
    </w:p>
    <w:p w:rsidR="00CB0DD7" w:rsidRPr="000A0A5F" w:rsidRDefault="00CB0DD7">
      <w:pPr>
        <w:pStyle w:val="PL"/>
      </w:pPr>
      <w:r w:rsidRPr="000A0A5F">
        <w:t xml:space="preserve">    Event:</w:t>
      </w:r>
    </w:p>
    <w:p w:rsidR="00CB0DD7" w:rsidRPr="000A0A5F" w:rsidRDefault="00CB0DD7">
      <w:pPr>
        <w:pStyle w:val="PL"/>
      </w:pPr>
      <w:r w:rsidRPr="000A0A5F">
        <w:t xml:space="preserve">      anyOf:</w:t>
      </w:r>
    </w:p>
    <w:p w:rsidR="00CB0DD7" w:rsidRPr="000A0A5F" w:rsidRDefault="00CB0DD7">
      <w:pPr>
        <w:pStyle w:val="PL"/>
      </w:pPr>
      <w:r w:rsidRPr="000A0A5F">
        <w:t xml:space="preserve">      - type: string</w:t>
      </w:r>
    </w:p>
    <w:p w:rsidR="00CB0DD7" w:rsidRPr="000A0A5F" w:rsidRDefault="00CB0DD7">
      <w:pPr>
        <w:pStyle w:val="PL"/>
      </w:pPr>
      <w:r w:rsidRPr="000A0A5F">
        <w:t xml:space="preserve">        enum:</w:t>
      </w:r>
    </w:p>
    <w:p w:rsidR="00CB0DD7" w:rsidRPr="000A0A5F" w:rsidRDefault="00CB0DD7">
      <w:pPr>
        <w:pStyle w:val="PL"/>
      </w:pPr>
      <w:r w:rsidRPr="000A0A5F">
        <w:t xml:space="preserve">          - SESSION_TERMINATION</w:t>
      </w:r>
    </w:p>
    <w:p w:rsidR="00CB0DD7" w:rsidRPr="000A0A5F" w:rsidRDefault="00CB0DD7">
      <w:pPr>
        <w:pStyle w:val="PL"/>
      </w:pPr>
      <w:r w:rsidRPr="000A0A5F">
        <w:t xml:space="preserve">          - LOSS_OF_BEARER </w:t>
      </w:r>
    </w:p>
    <w:p w:rsidR="00CB0DD7" w:rsidRPr="000A0A5F" w:rsidRDefault="00CB0DD7">
      <w:pPr>
        <w:pStyle w:val="PL"/>
      </w:pPr>
      <w:r w:rsidRPr="000A0A5F">
        <w:t xml:space="preserve">          - RECOVERY_OF_BEARER</w:t>
      </w:r>
    </w:p>
    <w:p w:rsidR="00CB0DD7" w:rsidRPr="000A0A5F" w:rsidRDefault="00CB0DD7">
      <w:pPr>
        <w:pStyle w:val="PL"/>
      </w:pPr>
      <w:r w:rsidRPr="000A0A5F">
        <w:t xml:space="preserve">          - RELEASE_OF_BEARER</w:t>
      </w:r>
    </w:p>
    <w:p w:rsidR="00CB0DD7" w:rsidRPr="000A0A5F" w:rsidRDefault="00CB0DD7">
      <w:pPr>
        <w:pStyle w:val="PL"/>
      </w:pPr>
      <w:r w:rsidRPr="000A0A5F">
        <w:t xml:space="preserve">          - USAGE_REPORT</w:t>
      </w:r>
    </w:p>
    <w:p w:rsidR="00CB0DD7" w:rsidRPr="000A0A5F" w:rsidRDefault="00CB0DD7">
      <w:pPr>
        <w:pStyle w:val="PL"/>
      </w:pPr>
      <w:r w:rsidRPr="000A0A5F">
        <w:t xml:space="preserve">          - FAILED_RESOURCES_ALLOCATION</w:t>
      </w:r>
    </w:p>
    <w:p w:rsidR="005706B4" w:rsidRPr="000A0A5F" w:rsidRDefault="005706B4" w:rsidP="005706B4">
      <w:pPr>
        <w:pStyle w:val="PL"/>
      </w:pPr>
      <w:r w:rsidRPr="000A0A5F">
        <w:t xml:space="preserve">          - SUCCESSFUL_RESOURCES_ALLOCATION</w:t>
      </w:r>
    </w:p>
    <w:p w:rsidR="00CB0DD7" w:rsidRPr="000A0A5F" w:rsidRDefault="00CB0DD7">
      <w:pPr>
        <w:pStyle w:val="PL"/>
      </w:pPr>
      <w:r w:rsidRPr="000A0A5F">
        <w:t xml:space="preserve">      - type: string</w:t>
      </w:r>
    </w:p>
    <w:p w:rsidR="00CB0DD7" w:rsidRPr="000A0A5F" w:rsidRDefault="00CB0DD7">
      <w:pPr>
        <w:pStyle w:val="PL"/>
      </w:pPr>
      <w:r w:rsidRPr="000A0A5F">
        <w:t xml:space="preserve">        description: &gt;</w:t>
      </w:r>
    </w:p>
    <w:p w:rsidR="00CB0DD7" w:rsidRPr="000A0A5F" w:rsidRDefault="00CB0DD7">
      <w:pPr>
        <w:pStyle w:val="PL"/>
      </w:pPr>
      <w:r w:rsidRPr="000A0A5F">
        <w:t xml:space="preserve">          This string provides forward-compatibility with future</w:t>
      </w:r>
    </w:p>
    <w:p w:rsidR="00CB0DD7" w:rsidRPr="000A0A5F" w:rsidRDefault="00CB0DD7">
      <w:pPr>
        <w:pStyle w:val="PL"/>
      </w:pPr>
      <w:r w:rsidRPr="000A0A5F">
        <w:t xml:space="preserve">          extensions to the enumeration </w:t>
      </w:r>
      <w:r w:rsidR="00AA05D2" w:rsidRPr="000A0A5F">
        <w:t>and</w:t>
      </w:r>
      <w:r w:rsidRPr="000A0A5F">
        <w:t xml:space="preserve"> is not used to encode</w:t>
      </w:r>
    </w:p>
    <w:p w:rsidR="00CB0DD7" w:rsidRPr="000A0A5F" w:rsidRDefault="00CB0DD7">
      <w:pPr>
        <w:pStyle w:val="PL"/>
      </w:pPr>
      <w:r w:rsidRPr="000A0A5F">
        <w:t xml:space="preserve">          content defined in the present version of this API.</w:t>
      </w:r>
    </w:p>
    <w:p w:rsidR="0037730B" w:rsidRPr="000A0A5F" w:rsidRDefault="00CB0DD7" w:rsidP="0037730B">
      <w:pPr>
        <w:pStyle w:val="PL"/>
      </w:pPr>
      <w:r w:rsidRPr="000A0A5F">
        <w:t xml:space="preserve">      description: </w:t>
      </w:r>
      <w:r w:rsidR="00486D78" w:rsidRPr="000A0A5F">
        <w:t>|</w:t>
      </w:r>
    </w:p>
    <w:p w:rsidR="00CB0DD7" w:rsidRPr="000A0A5F" w:rsidRDefault="0037730B" w:rsidP="0037730B">
      <w:pPr>
        <w:pStyle w:val="PL"/>
      </w:pPr>
      <w:r w:rsidRPr="000A0A5F">
        <w:t xml:space="preserve">        Represents</w:t>
      </w:r>
      <w:r w:rsidRPr="000A0A5F">
        <w:rPr>
          <w:rFonts w:hint="eastAsia"/>
          <w:lang w:eastAsia="zh-CN"/>
        </w:rPr>
        <w:t xml:space="preserve"> </w:t>
      </w:r>
      <w:r w:rsidRPr="000A0A5F">
        <w:rPr>
          <w:lang w:eastAsia="zh-CN"/>
        </w:rPr>
        <w:t>the event reported by the SCEF</w:t>
      </w:r>
      <w:r w:rsidRPr="000A0A5F">
        <w:t xml:space="preserve">.  </w:t>
      </w:r>
    </w:p>
    <w:p w:rsidR="00CB0DD7" w:rsidRPr="000A0A5F" w:rsidRDefault="00CB0DD7">
      <w:pPr>
        <w:pStyle w:val="PL"/>
      </w:pPr>
      <w:r w:rsidRPr="000A0A5F">
        <w:t xml:space="preserve">        Possible values are</w:t>
      </w:r>
      <w:r w:rsidR="007E593B" w:rsidRPr="000A0A5F">
        <w:t>:</w:t>
      </w:r>
    </w:p>
    <w:p w:rsidR="00CB0DD7" w:rsidRPr="000A0A5F" w:rsidRDefault="00CB0DD7">
      <w:pPr>
        <w:pStyle w:val="PL"/>
      </w:pPr>
      <w:r w:rsidRPr="000A0A5F">
        <w:t xml:space="preserve">        - SESSION_TERMINATION: Indicates that Rx session is terminated.</w:t>
      </w:r>
    </w:p>
    <w:p w:rsidR="00CB0DD7" w:rsidRPr="000A0A5F" w:rsidRDefault="00CB0DD7">
      <w:pPr>
        <w:pStyle w:val="PL"/>
      </w:pPr>
      <w:r w:rsidRPr="000A0A5F">
        <w:t xml:space="preserve">        - LOSS_OF_BEARER : Indicates a loss of a bearer.</w:t>
      </w:r>
    </w:p>
    <w:p w:rsidR="00CB0DD7" w:rsidRPr="000A0A5F" w:rsidRDefault="00CB0DD7">
      <w:pPr>
        <w:pStyle w:val="PL"/>
      </w:pPr>
      <w:r w:rsidRPr="000A0A5F">
        <w:t xml:space="preserve">        - RECOVERY_OF_BEARER: Indicates a recovery of a bearer.</w:t>
      </w:r>
    </w:p>
    <w:p w:rsidR="00CB0DD7" w:rsidRPr="000A0A5F" w:rsidRDefault="00CB0DD7">
      <w:pPr>
        <w:pStyle w:val="PL"/>
      </w:pPr>
      <w:r w:rsidRPr="000A0A5F">
        <w:t xml:space="preserve">        - RELEASE_OF_BEARER: Indicates a release of a bearer.</w:t>
      </w:r>
    </w:p>
    <w:p w:rsidR="00CB0DD7" w:rsidRPr="000A0A5F" w:rsidRDefault="00CB0DD7">
      <w:pPr>
        <w:pStyle w:val="PL"/>
      </w:pPr>
      <w:r w:rsidRPr="000A0A5F">
        <w:t xml:space="preserve">        - USAGE_REPORT: Indicates the usage report event. </w:t>
      </w:r>
    </w:p>
    <w:p w:rsidR="00CB0DD7" w:rsidRPr="000A0A5F" w:rsidRDefault="00CB0DD7">
      <w:pPr>
        <w:pStyle w:val="PL"/>
      </w:pPr>
      <w:r w:rsidRPr="000A0A5F">
        <w:t xml:space="preserve">        - FAILED_RESOURCES_ALLOCATION: </w:t>
      </w:r>
      <w:r w:rsidRPr="000A0A5F">
        <w:rPr>
          <w:lang w:eastAsia="zh-CN"/>
        </w:rPr>
        <w:t>Indicates the resource allocation is failed.</w:t>
      </w:r>
    </w:p>
    <w:p w:rsidR="005706B4" w:rsidRPr="000A0A5F" w:rsidRDefault="005706B4" w:rsidP="005706B4">
      <w:pPr>
        <w:pStyle w:val="PL"/>
      </w:pPr>
      <w:r w:rsidRPr="000A0A5F">
        <w:t xml:space="preserve">        - SUCCESSFUL_RESOURCES_ALLOCATION: Indicates the resource allocation is successful.</w:t>
      </w:r>
    </w:p>
    <w:p w:rsidR="0037730B" w:rsidRPr="000A0A5F" w:rsidRDefault="0037730B">
      <w:pPr>
        <w:pStyle w:val="PL"/>
      </w:pPr>
    </w:p>
    <w:p w:rsidR="00CB0DD7" w:rsidRPr="000A0A5F" w:rsidRDefault="00CB0DD7">
      <w:pPr>
        <w:pStyle w:val="PL"/>
      </w:pPr>
      <w:r w:rsidRPr="000A0A5F">
        <w:t xml:space="preserve">    ResultReason:</w:t>
      </w:r>
    </w:p>
    <w:p w:rsidR="00CB0DD7" w:rsidRPr="000A0A5F" w:rsidRDefault="00CB0DD7">
      <w:pPr>
        <w:pStyle w:val="PL"/>
      </w:pPr>
      <w:r w:rsidRPr="000A0A5F">
        <w:t xml:space="preserve">      anyOf:</w:t>
      </w:r>
    </w:p>
    <w:p w:rsidR="00CB0DD7" w:rsidRPr="000A0A5F" w:rsidRDefault="00CB0DD7">
      <w:pPr>
        <w:pStyle w:val="PL"/>
      </w:pPr>
      <w:r w:rsidRPr="000A0A5F">
        <w:t xml:space="preserve">      - type: string</w:t>
      </w:r>
    </w:p>
    <w:p w:rsidR="00CB0DD7" w:rsidRPr="000A0A5F" w:rsidRDefault="00CB0DD7">
      <w:pPr>
        <w:pStyle w:val="PL"/>
      </w:pPr>
      <w:r w:rsidRPr="000A0A5F">
        <w:t xml:space="preserve">        enum:</w:t>
      </w:r>
    </w:p>
    <w:p w:rsidR="00CB0DD7" w:rsidRPr="000A0A5F" w:rsidRDefault="00CB0DD7">
      <w:pPr>
        <w:pStyle w:val="PL"/>
      </w:pPr>
      <w:r w:rsidRPr="000A0A5F">
        <w:t xml:space="preserve">          - </w:t>
      </w:r>
      <w:r w:rsidRPr="000A0A5F">
        <w:rPr>
          <w:rFonts w:cs="Arial"/>
          <w:szCs w:val="18"/>
        </w:rPr>
        <w:t>ROAMING_NOT_ALLOWED</w:t>
      </w:r>
    </w:p>
    <w:p w:rsidR="00CB0DD7" w:rsidRPr="000A0A5F" w:rsidRDefault="00CB0DD7">
      <w:pPr>
        <w:pStyle w:val="PL"/>
      </w:pPr>
      <w:r w:rsidRPr="000A0A5F">
        <w:t xml:space="preserve">          - </w:t>
      </w:r>
      <w:r w:rsidRPr="000A0A5F">
        <w:rPr>
          <w:rFonts w:cs="Arial"/>
          <w:szCs w:val="18"/>
          <w:lang w:eastAsia="zh-CN"/>
        </w:rPr>
        <w:t>OTHER_REASON</w:t>
      </w:r>
    </w:p>
    <w:p w:rsidR="00CB0DD7" w:rsidRPr="000A0A5F" w:rsidRDefault="00CB0DD7">
      <w:pPr>
        <w:pStyle w:val="PL"/>
      </w:pPr>
      <w:r w:rsidRPr="000A0A5F">
        <w:t xml:space="preserve">      - type: string</w:t>
      </w:r>
    </w:p>
    <w:p w:rsidR="00CB0DD7" w:rsidRPr="000A0A5F" w:rsidRDefault="00CB0DD7">
      <w:pPr>
        <w:pStyle w:val="PL"/>
      </w:pPr>
      <w:r w:rsidRPr="000A0A5F">
        <w:t xml:space="preserve">        description: &gt;</w:t>
      </w:r>
    </w:p>
    <w:p w:rsidR="00486D78" w:rsidRPr="000A0A5F" w:rsidRDefault="00486D78" w:rsidP="00486D78">
      <w:pPr>
        <w:pStyle w:val="PL"/>
      </w:pPr>
      <w:r w:rsidRPr="000A0A5F">
        <w:t xml:space="preserve">          This string provides forward-compatibility with future extensions to the enumeration</w:t>
      </w:r>
    </w:p>
    <w:p w:rsidR="00486D78" w:rsidRPr="000A0A5F" w:rsidRDefault="00486D78">
      <w:pPr>
        <w:pStyle w:val="PL"/>
      </w:pPr>
      <w:r w:rsidRPr="000A0A5F">
        <w:t xml:space="preserve">          and is not used to encode content defined in the present version of this API.</w:t>
      </w:r>
    </w:p>
    <w:p w:rsidR="0037730B" w:rsidRPr="000A0A5F" w:rsidRDefault="00CB0DD7" w:rsidP="0037730B">
      <w:pPr>
        <w:pStyle w:val="PL"/>
      </w:pPr>
      <w:r w:rsidRPr="000A0A5F">
        <w:t xml:space="preserve">      description: </w:t>
      </w:r>
      <w:r w:rsidR="00A85853" w:rsidRPr="000A0A5F">
        <w:t>|</w:t>
      </w:r>
    </w:p>
    <w:p w:rsidR="00CB0DD7" w:rsidRPr="000A0A5F" w:rsidRDefault="0037730B" w:rsidP="0037730B">
      <w:pPr>
        <w:pStyle w:val="PL"/>
      </w:pPr>
      <w:r w:rsidRPr="000A0A5F">
        <w:t xml:space="preserve">        Represents a failure result reason.  </w:t>
      </w:r>
    </w:p>
    <w:p w:rsidR="00CB0DD7" w:rsidRPr="000A0A5F" w:rsidRDefault="00CB0DD7">
      <w:pPr>
        <w:pStyle w:val="PL"/>
      </w:pPr>
      <w:r w:rsidRPr="000A0A5F">
        <w:t xml:space="preserve">        Possible values are</w:t>
      </w:r>
      <w:r w:rsidR="00275E03" w:rsidRPr="000A0A5F">
        <w:t>:</w:t>
      </w:r>
    </w:p>
    <w:p w:rsidR="0037730B" w:rsidRPr="000A0A5F" w:rsidRDefault="00CB0DD7">
      <w:pPr>
        <w:pStyle w:val="PL"/>
        <w:rPr>
          <w:rFonts w:cs="Arial"/>
          <w:szCs w:val="18"/>
          <w:lang w:eastAsia="zh-CN"/>
        </w:rPr>
      </w:pPr>
      <w:r w:rsidRPr="000A0A5F">
        <w:t xml:space="preserve">        - </w:t>
      </w:r>
      <w:r w:rsidRPr="000A0A5F">
        <w:rPr>
          <w:rFonts w:cs="Arial"/>
          <w:szCs w:val="18"/>
        </w:rPr>
        <w:t>ROAMING_NOT_ALLOWED</w:t>
      </w:r>
      <w:r w:rsidRPr="000A0A5F">
        <w:t xml:space="preserve">: </w:t>
      </w:r>
      <w:r w:rsidRPr="000A0A5F">
        <w:rPr>
          <w:rFonts w:cs="Arial"/>
          <w:szCs w:val="18"/>
          <w:lang w:eastAsia="zh-CN"/>
        </w:rPr>
        <w:t>Identifies the configuration parameters are not allowed by roaming</w:t>
      </w:r>
    </w:p>
    <w:p w:rsidR="00CB0DD7" w:rsidRPr="000A0A5F" w:rsidRDefault="0037730B">
      <w:pPr>
        <w:pStyle w:val="PL"/>
      </w:pPr>
      <w:r w:rsidRPr="000A0A5F">
        <w:rPr>
          <w:rFonts w:cs="Arial"/>
          <w:szCs w:val="18"/>
          <w:lang w:eastAsia="zh-CN"/>
        </w:rPr>
        <w:t xml:space="preserve">         </w:t>
      </w:r>
      <w:r w:rsidR="00CB0DD7" w:rsidRPr="000A0A5F">
        <w:rPr>
          <w:rFonts w:cs="Arial"/>
          <w:szCs w:val="18"/>
          <w:lang w:eastAsia="zh-CN"/>
        </w:rPr>
        <w:t xml:space="preserve"> agreement</w:t>
      </w:r>
      <w:r w:rsidR="00CB0DD7" w:rsidRPr="000A0A5F">
        <w:t>.</w:t>
      </w:r>
    </w:p>
    <w:p w:rsidR="001D1EAA" w:rsidRPr="000A0A5F" w:rsidRDefault="00CB0DD7">
      <w:pPr>
        <w:pStyle w:val="PL"/>
        <w:rPr>
          <w:rFonts w:cs="Arial"/>
          <w:szCs w:val="18"/>
          <w:lang w:eastAsia="zh-CN"/>
        </w:rPr>
      </w:pPr>
      <w:r w:rsidRPr="000A0A5F">
        <w:t xml:space="preserve">        - </w:t>
      </w:r>
      <w:r w:rsidRPr="000A0A5F">
        <w:rPr>
          <w:rFonts w:cs="Arial"/>
          <w:szCs w:val="18"/>
          <w:lang w:eastAsia="zh-CN"/>
        </w:rPr>
        <w:t>OTHER_REASON</w:t>
      </w:r>
      <w:r w:rsidRPr="000A0A5F">
        <w:t xml:space="preserve">: </w:t>
      </w:r>
      <w:r w:rsidRPr="000A0A5F">
        <w:rPr>
          <w:rFonts w:cs="Arial"/>
          <w:szCs w:val="18"/>
          <w:lang w:eastAsia="zh-CN"/>
        </w:rPr>
        <w:t>Identifies the configuration parameters are not configured due to other</w:t>
      </w:r>
    </w:p>
    <w:p w:rsidR="00CB0DD7" w:rsidRPr="000A0A5F" w:rsidRDefault="001D1EAA">
      <w:pPr>
        <w:pStyle w:val="PL"/>
      </w:pPr>
      <w:r w:rsidRPr="000A0A5F">
        <w:rPr>
          <w:rFonts w:cs="Arial"/>
          <w:szCs w:val="18"/>
          <w:lang w:eastAsia="zh-CN"/>
        </w:rPr>
        <w:t xml:space="preserve">         </w:t>
      </w:r>
      <w:r w:rsidR="00CB0DD7" w:rsidRPr="000A0A5F">
        <w:rPr>
          <w:rFonts w:cs="Arial"/>
          <w:szCs w:val="18"/>
          <w:lang w:eastAsia="zh-CN"/>
        </w:rPr>
        <w:t xml:space="preserve"> reason.</w:t>
      </w:r>
    </w:p>
    <w:p w:rsidR="00CB0DD7" w:rsidRPr="000A0A5F" w:rsidRDefault="00CB0DD7">
      <w:pPr>
        <w:pStyle w:val="PL"/>
        <w:rPr>
          <w:lang w:val="en-US"/>
        </w:rPr>
      </w:pPr>
      <w:r w:rsidRPr="000A0A5F">
        <w:rPr>
          <w:lang w:val="en-US"/>
        </w:rPr>
        <w:t>#</w:t>
      </w:r>
    </w:p>
    <w:p w:rsidR="00CB0DD7" w:rsidRPr="000A0A5F" w:rsidRDefault="00CB0DD7">
      <w:pPr>
        <w:pStyle w:val="PL"/>
        <w:rPr>
          <w:lang w:val="en-US"/>
        </w:rPr>
      </w:pPr>
      <w:r w:rsidRPr="000A0A5F">
        <w:rPr>
          <w:lang w:val="en-US"/>
        </w:rPr>
        <w:t xml:space="preserve"># </w:t>
      </w:r>
      <w:r w:rsidRPr="000A0A5F">
        <w:t>HTTP responses</w:t>
      </w:r>
    </w:p>
    <w:p w:rsidR="00CB0DD7" w:rsidRPr="000A0A5F" w:rsidRDefault="00CB0DD7">
      <w:pPr>
        <w:pStyle w:val="PL"/>
        <w:rPr>
          <w:lang w:val="en-US"/>
        </w:rPr>
      </w:pPr>
      <w:r w:rsidRPr="000A0A5F">
        <w:rPr>
          <w:lang w:val="en-US"/>
        </w:rPr>
        <w:t>#</w:t>
      </w:r>
    </w:p>
    <w:p w:rsidR="00CB0DD7" w:rsidRPr="000A0A5F" w:rsidRDefault="00CB0DD7">
      <w:pPr>
        <w:pStyle w:val="PL"/>
        <w:rPr>
          <w:lang w:eastAsia="zh-CN"/>
        </w:rPr>
      </w:pPr>
      <w:r w:rsidRPr="000A0A5F">
        <w:rPr>
          <w:lang w:eastAsia="zh-CN"/>
        </w:rPr>
        <w:t xml:space="preserve">  responses:</w:t>
      </w:r>
    </w:p>
    <w:p w:rsidR="00CB0DD7" w:rsidRPr="000A0A5F" w:rsidRDefault="00CB0DD7">
      <w:pPr>
        <w:pStyle w:val="PL"/>
      </w:pPr>
      <w:r w:rsidRPr="000A0A5F">
        <w:t xml:space="preserve">    '307':</w:t>
      </w:r>
    </w:p>
    <w:p w:rsidR="00CB0DD7" w:rsidRPr="000A0A5F" w:rsidRDefault="00CB0DD7">
      <w:pPr>
        <w:pStyle w:val="PL"/>
      </w:pPr>
      <w:r w:rsidRPr="000A0A5F">
        <w:t xml:space="preserve">      description: Temporary Redirect</w:t>
      </w:r>
    </w:p>
    <w:p w:rsidR="00CB0DD7" w:rsidRPr="000A0A5F" w:rsidRDefault="00CB0DD7">
      <w:pPr>
        <w:pStyle w:val="PL"/>
      </w:pPr>
      <w:r w:rsidRPr="000A0A5F">
        <w:t xml:space="preserve">      headers:</w:t>
      </w:r>
    </w:p>
    <w:p w:rsidR="00CB0DD7" w:rsidRPr="000A0A5F" w:rsidRDefault="00CB0DD7">
      <w:pPr>
        <w:pStyle w:val="PL"/>
      </w:pPr>
      <w:r w:rsidRPr="000A0A5F">
        <w:t xml:space="preserve">       </w:t>
      </w:r>
      <w:r w:rsidRPr="000A0A5F">
        <w:rPr>
          <w:lang w:eastAsia="zh-CN"/>
        </w:rPr>
        <w:t xml:space="preserve"> </w:t>
      </w:r>
      <w:r w:rsidRPr="000A0A5F">
        <w:t>Location:</w:t>
      </w:r>
    </w:p>
    <w:p w:rsidR="00CB0DD7" w:rsidRPr="000A0A5F" w:rsidRDefault="00CB0DD7">
      <w:pPr>
        <w:pStyle w:val="PL"/>
      </w:pPr>
      <w:r w:rsidRPr="000A0A5F">
        <w:t xml:space="preserve">       </w:t>
      </w:r>
      <w:r w:rsidRPr="000A0A5F">
        <w:rPr>
          <w:lang w:eastAsia="zh-CN"/>
        </w:rPr>
        <w:t xml:space="preserve">   </w:t>
      </w:r>
      <w:r w:rsidRPr="000A0A5F">
        <w:t>description: '</w:t>
      </w:r>
      <w:r w:rsidRPr="000A0A5F">
        <w:rPr>
          <w:lang w:eastAsia="zh-CN"/>
        </w:rPr>
        <w:t>A</w:t>
      </w:r>
      <w:r w:rsidRPr="000A0A5F">
        <w:t xml:space="preserve">n alternative URI of the </w:t>
      </w:r>
      <w:r w:rsidRPr="000A0A5F">
        <w:rPr>
          <w:lang w:eastAsia="zh-CN"/>
        </w:rPr>
        <w:t>resource</w:t>
      </w:r>
      <w:r w:rsidRPr="000A0A5F">
        <w:t>.'</w:t>
      </w:r>
    </w:p>
    <w:p w:rsidR="00CB0DD7" w:rsidRPr="000A0A5F" w:rsidRDefault="00CB0DD7">
      <w:pPr>
        <w:pStyle w:val="PL"/>
      </w:pPr>
      <w:r w:rsidRPr="000A0A5F">
        <w:t xml:space="preserve">       </w:t>
      </w:r>
      <w:r w:rsidRPr="000A0A5F">
        <w:rPr>
          <w:lang w:eastAsia="zh-CN"/>
        </w:rPr>
        <w:t xml:space="preserve">   </w:t>
      </w:r>
      <w:r w:rsidRPr="000A0A5F">
        <w:t>required: true</w:t>
      </w:r>
    </w:p>
    <w:p w:rsidR="00CB0DD7" w:rsidRPr="000A0A5F" w:rsidRDefault="00CB0DD7">
      <w:pPr>
        <w:pStyle w:val="PL"/>
      </w:pPr>
      <w:r w:rsidRPr="000A0A5F">
        <w:t xml:space="preserve">       </w:t>
      </w:r>
      <w:r w:rsidRPr="000A0A5F">
        <w:rPr>
          <w:lang w:eastAsia="zh-CN"/>
        </w:rPr>
        <w:t xml:space="preserve">   </w:t>
      </w:r>
      <w:r w:rsidRPr="000A0A5F">
        <w:t>schema:</w:t>
      </w:r>
    </w:p>
    <w:p w:rsidR="00CB0DD7" w:rsidRPr="000A0A5F" w:rsidRDefault="00CB0DD7">
      <w:pPr>
        <w:pStyle w:val="PL"/>
        <w:rPr>
          <w:lang w:eastAsia="zh-CN"/>
        </w:rPr>
      </w:pPr>
      <w:r w:rsidRPr="000A0A5F">
        <w:t xml:space="preserve">       </w:t>
      </w:r>
      <w:r w:rsidRPr="000A0A5F">
        <w:rPr>
          <w:lang w:eastAsia="zh-CN"/>
        </w:rPr>
        <w:t xml:space="preserve">     </w:t>
      </w:r>
      <w:r w:rsidRPr="000A0A5F">
        <w:t>type: string</w:t>
      </w:r>
    </w:p>
    <w:p w:rsidR="00CB0DD7" w:rsidRPr="000A0A5F" w:rsidRDefault="00CB0DD7">
      <w:pPr>
        <w:pStyle w:val="PL"/>
      </w:pPr>
      <w:r w:rsidRPr="000A0A5F">
        <w:t xml:space="preserve">    '308':</w:t>
      </w:r>
    </w:p>
    <w:p w:rsidR="00CB0DD7" w:rsidRPr="000A0A5F" w:rsidRDefault="00CB0DD7">
      <w:pPr>
        <w:pStyle w:val="PL"/>
      </w:pPr>
      <w:r w:rsidRPr="000A0A5F">
        <w:t xml:space="preserve">      description: Permanent Redirect</w:t>
      </w:r>
    </w:p>
    <w:p w:rsidR="00CB0DD7" w:rsidRPr="000A0A5F" w:rsidRDefault="00CB0DD7">
      <w:pPr>
        <w:pStyle w:val="PL"/>
      </w:pPr>
      <w:r w:rsidRPr="000A0A5F">
        <w:t xml:space="preserve">      headers:</w:t>
      </w:r>
    </w:p>
    <w:p w:rsidR="00CB0DD7" w:rsidRPr="000A0A5F" w:rsidRDefault="00CB0DD7">
      <w:pPr>
        <w:pStyle w:val="PL"/>
      </w:pPr>
      <w:r w:rsidRPr="000A0A5F">
        <w:t xml:space="preserve">      </w:t>
      </w:r>
      <w:r w:rsidRPr="000A0A5F">
        <w:rPr>
          <w:lang w:eastAsia="zh-CN"/>
        </w:rPr>
        <w:t xml:space="preserve">  </w:t>
      </w:r>
      <w:r w:rsidRPr="000A0A5F">
        <w:t>Location:</w:t>
      </w:r>
    </w:p>
    <w:p w:rsidR="00CB0DD7" w:rsidRPr="000A0A5F" w:rsidRDefault="00CB0DD7">
      <w:pPr>
        <w:pStyle w:val="PL"/>
      </w:pPr>
      <w:r w:rsidRPr="000A0A5F">
        <w:t xml:space="preserve">      </w:t>
      </w:r>
      <w:r w:rsidRPr="000A0A5F">
        <w:rPr>
          <w:lang w:eastAsia="zh-CN"/>
        </w:rPr>
        <w:t xml:space="preserve">    </w:t>
      </w:r>
      <w:r w:rsidRPr="000A0A5F">
        <w:t>description: '</w:t>
      </w:r>
      <w:r w:rsidRPr="000A0A5F">
        <w:rPr>
          <w:lang w:eastAsia="zh-CN"/>
        </w:rPr>
        <w:t>A</w:t>
      </w:r>
      <w:r w:rsidRPr="000A0A5F">
        <w:t xml:space="preserve">n alternative URI of the </w:t>
      </w:r>
      <w:r w:rsidRPr="000A0A5F">
        <w:rPr>
          <w:lang w:eastAsia="zh-CN"/>
        </w:rPr>
        <w:t>resource</w:t>
      </w:r>
      <w:r w:rsidRPr="000A0A5F">
        <w:t>.'</w:t>
      </w:r>
    </w:p>
    <w:p w:rsidR="00CB0DD7" w:rsidRPr="000A0A5F" w:rsidRDefault="00CB0DD7">
      <w:pPr>
        <w:pStyle w:val="PL"/>
      </w:pPr>
      <w:r w:rsidRPr="000A0A5F">
        <w:t xml:space="preserve">      </w:t>
      </w:r>
      <w:r w:rsidRPr="000A0A5F">
        <w:rPr>
          <w:lang w:eastAsia="zh-CN"/>
        </w:rPr>
        <w:t xml:space="preserve">    </w:t>
      </w:r>
      <w:r w:rsidRPr="000A0A5F">
        <w:t>required: true</w:t>
      </w:r>
    </w:p>
    <w:p w:rsidR="00CB0DD7" w:rsidRPr="000A0A5F" w:rsidRDefault="00CB0DD7">
      <w:pPr>
        <w:pStyle w:val="PL"/>
      </w:pPr>
      <w:r w:rsidRPr="000A0A5F">
        <w:t xml:space="preserve">      </w:t>
      </w:r>
      <w:r w:rsidRPr="000A0A5F">
        <w:rPr>
          <w:lang w:eastAsia="zh-CN"/>
        </w:rPr>
        <w:t xml:space="preserve">    </w:t>
      </w:r>
      <w:r w:rsidRPr="000A0A5F">
        <w:t>schema:</w:t>
      </w:r>
    </w:p>
    <w:p w:rsidR="00CB0DD7" w:rsidRPr="000A0A5F" w:rsidRDefault="00CB0DD7">
      <w:pPr>
        <w:pStyle w:val="PL"/>
        <w:rPr>
          <w:lang w:eastAsia="zh-CN"/>
        </w:rPr>
      </w:pPr>
      <w:r w:rsidRPr="000A0A5F">
        <w:t xml:space="preserve">      </w:t>
      </w:r>
      <w:r w:rsidRPr="000A0A5F">
        <w:rPr>
          <w:lang w:eastAsia="zh-CN"/>
        </w:rPr>
        <w:t xml:space="preserve">      </w:t>
      </w:r>
      <w:r w:rsidRPr="000A0A5F">
        <w:t>type: string</w:t>
      </w:r>
    </w:p>
    <w:p w:rsidR="00CB0DD7" w:rsidRPr="000A0A5F" w:rsidRDefault="00CB0DD7">
      <w:pPr>
        <w:pStyle w:val="PL"/>
        <w:rPr>
          <w:lang w:eastAsia="zh-CN"/>
        </w:rPr>
      </w:pPr>
      <w:r w:rsidRPr="000A0A5F">
        <w:rPr>
          <w:lang w:eastAsia="zh-CN"/>
        </w:rPr>
        <w:t xml:space="preserve">    '400':</w:t>
      </w:r>
    </w:p>
    <w:p w:rsidR="00CB0DD7" w:rsidRPr="000A0A5F" w:rsidRDefault="00CB0DD7">
      <w:pPr>
        <w:pStyle w:val="PL"/>
        <w:rPr>
          <w:lang w:eastAsia="zh-CN"/>
        </w:rPr>
      </w:pPr>
      <w:r w:rsidRPr="000A0A5F">
        <w:rPr>
          <w:lang w:eastAsia="zh-CN"/>
        </w:rPr>
        <w:t xml:space="preserve">      description: Bad request</w:t>
      </w:r>
    </w:p>
    <w:p w:rsidR="00CB0DD7" w:rsidRPr="000A0A5F" w:rsidRDefault="00CB0DD7">
      <w:pPr>
        <w:pStyle w:val="PL"/>
        <w:rPr>
          <w:lang w:eastAsia="zh-CN"/>
        </w:rPr>
      </w:pPr>
      <w:r w:rsidRPr="000A0A5F">
        <w:rPr>
          <w:lang w:eastAsia="zh-CN"/>
        </w:rPr>
        <w:t xml:space="preserve">      content:</w:t>
      </w:r>
    </w:p>
    <w:p w:rsidR="00CB0DD7" w:rsidRPr="000A0A5F" w:rsidRDefault="00CB0DD7">
      <w:pPr>
        <w:pStyle w:val="PL"/>
        <w:rPr>
          <w:lang w:eastAsia="zh-CN"/>
        </w:rPr>
      </w:pPr>
      <w:r w:rsidRPr="000A0A5F">
        <w:rPr>
          <w:lang w:eastAsia="zh-CN"/>
        </w:rPr>
        <w:t xml:space="preserve">        application/problem+json:</w:t>
      </w:r>
    </w:p>
    <w:p w:rsidR="00CB0DD7" w:rsidRPr="000A0A5F" w:rsidRDefault="00CB0DD7">
      <w:pPr>
        <w:pStyle w:val="PL"/>
        <w:rPr>
          <w:lang w:eastAsia="zh-CN"/>
        </w:rPr>
      </w:pPr>
      <w:r w:rsidRPr="000A0A5F">
        <w:rPr>
          <w:lang w:eastAsia="zh-CN"/>
        </w:rPr>
        <w:t xml:space="preserve">          schema:</w:t>
      </w:r>
    </w:p>
    <w:p w:rsidR="00CB0DD7" w:rsidRPr="000A0A5F" w:rsidRDefault="00CB0DD7">
      <w:pPr>
        <w:pStyle w:val="PL"/>
        <w:rPr>
          <w:lang w:eastAsia="zh-CN"/>
        </w:rPr>
      </w:pPr>
      <w:r w:rsidRPr="000A0A5F">
        <w:rPr>
          <w:lang w:eastAsia="zh-CN"/>
        </w:rPr>
        <w:t xml:space="preserve">            $ref: '#/components/schemas/ProblemDetails'</w:t>
      </w:r>
    </w:p>
    <w:p w:rsidR="00CB0DD7" w:rsidRPr="000A0A5F" w:rsidRDefault="00CB0DD7">
      <w:pPr>
        <w:pStyle w:val="PL"/>
        <w:rPr>
          <w:lang w:eastAsia="zh-CN"/>
        </w:rPr>
      </w:pPr>
      <w:r w:rsidRPr="000A0A5F">
        <w:rPr>
          <w:lang w:eastAsia="zh-CN"/>
        </w:rPr>
        <w:t xml:space="preserve">    '401':</w:t>
      </w:r>
    </w:p>
    <w:p w:rsidR="00CB0DD7" w:rsidRPr="000A0A5F" w:rsidRDefault="00CB0DD7">
      <w:pPr>
        <w:pStyle w:val="PL"/>
        <w:rPr>
          <w:lang w:eastAsia="zh-CN"/>
        </w:rPr>
      </w:pPr>
      <w:r w:rsidRPr="000A0A5F">
        <w:rPr>
          <w:lang w:eastAsia="zh-CN"/>
        </w:rPr>
        <w:t xml:space="preserve">      description: Unauthorized</w:t>
      </w:r>
    </w:p>
    <w:p w:rsidR="00CB0DD7" w:rsidRPr="000A0A5F" w:rsidRDefault="00CB0DD7">
      <w:pPr>
        <w:pStyle w:val="PL"/>
        <w:rPr>
          <w:lang w:eastAsia="zh-CN"/>
        </w:rPr>
      </w:pPr>
      <w:r w:rsidRPr="000A0A5F">
        <w:rPr>
          <w:lang w:eastAsia="zh-CN"/>
        </w:rPr>
        <w:t xml:space="preserve">      content:</w:t>
      </w:r>
    </w:p>
    <w:p w:rsidR="00CB0DD7" w:rsidRPr="000A0A5F" w:rsidRDefault="00CB0DD7">
      <w:pPr>
        <w:pStyle w:val="PL"/>
        <w:rPr>
          <w:lang w:eastAsia="zh-CN"/>
        </w:rPr>
      </w:pPr>
      <w:r w:rsidRPr="000A0A5F">
        <w:rPr>
          <w:lang w:eastAsia="zh-CN"/>
        </w:rPr>
        <w:t xml:space="preserve">        application/problem+json:</w:t>
      </w:r>
    </w:p>
    <w:p w:rsidR="00CB0DD7" w:rsidRPr="000A0A5F" w:rsidRDefault="00CB0DD7">
      <w:pPr>
        <w:pStyle w:val="PL"/>
        <w:rPr>
          <w:lang w:eastAsia="zh-CN"/>
        </w:rPr>
      </w:pPr>
      <w:r w:rsidRPr="000A0A5F">
        <w:rPr>
          <w:lang w:eastAsia="zh-CN"/>
        </w:rPr>
        <w:t xml:space="preserve">          schema:</w:t>
      </w:r>
    </w:p>
    <w:p w:rsidR="00CB0DD7" w:rsidRPr="000A0A5F" w:rsidRDefault="00CB0DD7">
      <w:pPr>
        <w:pStyle w:val="PL"/>
        <w:rPr>
          <w:lang w:eastAsia="zh-CN"/>
        </w:rPr>
      </w:pPr>
      <w:r w:rsidRPr="000A0A5F">
        <w:rPr>
          <w:lang w:eastAsia="zh-CN"/>
        </w:rPr>
        <w:t xml:space="preserve">            $ref: '#/components/schemas/ProblemDetails'</w:t>
      </w:r>
    </w:p>
    <w:p w:rsidR="00CB0DD7" w:rsidRPr="000A0A5F" w:rsidRDefault="00CB0DD7">
      <w:pPr>
        <w:pStyle w:val="PL"/>
        <w:rPr>
          <w:lang w:eastAsia="zh-CN"/>
        </w:rPr>
      </w:pPr>
      <w:r w:rsidRPr="000A0A5F">
        <w:rPr>
          <w:lang w:eastAsia="zh-CN"/>
        </w:rPr>
        <w:t xml:space="preserve">    '403':</w:t>
      </w:r>
    </w:p>
    <w:p w:rsidR="00CB0DD7" w:rsidRPr="000A0A5F" w:rsidRDefault="00CB0DD7">
      <w:pPr>
        <w:pStyle w:val="PL"/>
        <w:rPr>
          <w:lang w:eastAsia="zh-CN"/>
        </w:rPr>
      </w:pPr>
      <w:r w:rsidRPr="000A0A5F">
        <w:rPr>
          <w:lang w:eastAsia="zh-CN"/>
        </w:rPr>
        <w:t xml:space="preserve">      description: Forbidden</w:t>
      </w:r>
    </w:p>
    <w:p w:rsidR="00CB0DD7" w:rsidRPr="000A0A5F" w:rsidRDefault="00CB0DD7">
      <w:pPr>
        <w:pStyle w:val="PL"/>
        <w:rPr>
          <w:lang w:eastAsia="zh-CN"/>
        </w:rPr>
      </w:pPr>
      <w:r w:rsidRPr="000A0A5F">
        <w:rPr>
          <w:lang w:eastAsia="zh-CN"/>
        </w:rPr>
        <w:t xml:space="preserve">      content:</w:t>
      </w:r>
    </w:p>
    <w:p w:rsidR="00CB0DD7" w:rsidRPr="000A0A5F" w:rsidRDefault="00CB0DD7">
      <w:pPr>
        <w:pStyle w:val="PL"/>
        <w:rPr>
          <w:lang w:eastAsia="zh-CN"/>
        </w:rPr>
      </w:pPr>
      <w:r w:rsidRPr="000A0A5F">
        <w:rPr>
          <w:lang w:eastAsia="zh-CN"/>
        </w:rPr>
        <w:t xml:space="preserve">        application/problem+json:</w:t>
      </w:r>
    </w:p>
    <w:p w:rsidR="00CB0DD7" w:rsidRPr="000A0A5F" w:rsidRDefault="00CB0DD7">
      <w:pPr>
        <w:pStyle w:val="PL"/>
        <w:rPr>
          <w:lang w:eastAsia="zh-CN"/>
        </w:rPr>
      </w:pPr>
      <w:r w:rsidRPr="000A0A5F">
        <w:rPr>
          <w:lang w:eastAsia="zh-CN"/>
        </w:rPr>
        <w:t xml:space="preserve">          schema:</w:t>
      </w:r>
    </w:p>
    <w:p w:rsidR="00CB0DD7" w:rsidRPr="000A0A5F" w:rsidRDefault="00CB0DD7">
      <w:pPr>
        <w:pStyle w:val="PL"/>
        <w:rPr>
          <w:lang w:eastAsia="zh-CN"/>
        </w:rPr>
      </w:pPr>
      <w:r w:rsidRPr="000A0A5F">
        <w:rPr>
          <w:lang w:eastAsia="zh-CN"/>
        </w:rPr>
        <w:t xml:space="preserve">            $ref: '#/components/schemas/ProblemDetails'</w:t>
      </w:r>
    </w:p>
    <w:p w:rsidR="00CB0DD7" w:rsidRPr="000A0A5F" w:rsidRDefault="00CB0DD7">
      <w:pPr>
        <w:pStyle w:val="PL"/>
        <w:rPr>
          <w:lang w:eastAsia="zh-CN"/>
        </w:rPr>
      </w:pPr>
      <w:r w:rsidRPr="000A0A5F">
        <w:rPr>
          <w:lang w:eastAsia="zh-CN"/>
        </w:rPr>
        <w:t xml:space="preserve">    '404':</w:t>
      </w:r>
    </w:p>
    <w:p w:rsidR="00CB0DD7" w:rsidRPr="000A0A5F" w:rsidRDefault="00CB0DD7">
      <w:pPr>
        <w:pStyle w:val="PL"/>
        <w:rPr>
          <w:lang w:eastAsia="zh-CN"/>
        </w:rPr>
      </w:pPr>
      <w:r w:rsidRPr="000A0A5F">
        <w:rPr>
          <w:lang w:eastAsia="zh-CN"/>
        </w:rPr>
        <w:t xml:space="preserve">      description: Not Found</w:t>
      </w:r>
    </w:p>
    <w:p w:rsidR="00CB0DD7" w:rsidRPr="000A0A5F" w:rsidRDefault="00CB0DD7">
      <w:pPr>
        <w:pStyle w:val="PL"/>
        <w:rPr>
          <w:lang w:eastAsia="zh-CN"/>
        </w:rPr>
      </w:pPr>
      <w:r w:rsidRPr="000A0A5F">
        <w:rPr>
          <w:lang w:eastAsia="zh-CN"/>
        </w:rPr>
        <w:t xml:space="preserve">      content:</w:t>
      </w:r>
    </w:p>
    <w:p w:rsidR="00CB0DD7" w:rsidRPr="000A0A5F" w:rsidRDefault="00CB0DD7">
      <w:pPr>
        <w:pStyle w:val="PL"/>
        <w:rPr>
          <w:lang w:eastAsia="zh-CN"/>
        </w:rPr>
      </w:pPr>
      <w:r w:rsidRPr="000A0A5F">
        <w:rPr>
          <w:lang w:eastAsia="zh-CN"/>
        </w:rPr>
        <w:t xml:space="preserve">        application/problem+json:</w:t>
      </w:r>
    </w:p>
    <w:p w:rsidR="00CB0DD7" w:rsidRPr="000A0A5F" w:rsidRDefault="00CB0DD7">
      <w:pPr>
        <w:pStyle w:val="PL"/>
        <w:rPr>
          <w:lang w:eastAsia="zh-CN"/>
        </w:rPr>
      </w:pPr>
      <w:r w:rsidRPr="000A0A5F">
        <w:rPr>
          <w:lang w:eastAsia="zh-CN"/>
        </w:rPr>
        <w:t xml:space="preserve">          schema:</w:t>
      </w:r>
    </w:p>
    <w:p w:rsidR="00CB0DD7" w:rsidRPr="000A0A5F" w:rsidRDefault="00CB0DD7">
      <w:pPr>
        <w:pStyle w:val="PL"/>
        <w:rPr>
          <w:lang w:eastAsia="zh-CN"/>
        </w:rPr>
      </w:pPr>
      <w:r w:rsidRPr="000A0A5F">
        <w:rPr>
          <w:lang w:eastAsia="zh-CN"/>
        </w:rPr>
        <w:t xml:space="preserve">            $ref: '#/components/schemas/ProblemDetails'</w:t>
      </w:r>
    </w:p>
    <w:p w:rsidR="00CB0DD7" w:rsidRPr="000A0A5F" w:rsidRDefault="00CB0DD7">
      <w:pPr>
        <w:pStyle w:val="PL"/>
      </w:pPr>
      <w:r w:rsidRPr="000A0A5F">
        <w:t xml:space="preserve">    '406':</w:t>
      </w:r>
    </w:p>
    <w:p w:rsidR="00CB0DD7" w:rsidRPr="000A0A5F" w:rsidRDefault="00CB0DD7">
      <w:pPr>
        <w:pStyle w:val="PL"/>
      </w:pPr>
      <w:r w:rsidRPr="000A0A5F">
        <w:t xml:space="preserve">      description: Not Acceptable</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application/problem+json:</w:t>
      </w:r>
    </w:p>
    <w:p w:rsidR="00CB0DD7" w:rsidRPr="000A0A5F" w:rsidRDefault="00CB0DD7">
      <w:pPr>
        <w:pStyle w:val="PL"/>
      </w:pPr>
      <w:r w:rsidRPr="000A0A5F">
        <w:t xml:space="preserve">          schema:</w:t>
      </w:r>
    </w:p>
    <w:p w:rsidR="00CB0DD7" w:rsidRPr="000A0A5F" w:rsidRDefault="00CB0DD7">
      <w:pPr>
        <w:pStyle w:val="PL"/>
      </w:pPr>
      <w:r w:rsidRPr="000A0A5F">
        <w:t xml:space="preserve">            $ref: '#/components/schemas/ProblemDetails'</w:t>
      </w:r>
    </w:p>
    <w:p w:rsidR="00CB0DD7" w:rsidRPr="000A0A5F" w:rsidRDefault="00CB0DD7">
      <w:pPr>
        <w:pStyle w:val="PL"/>
        <w:rPr>
          <w:lang w:eastAsia="zh-CN"/>
        </w:rPr>
      </w:pPr>
      <w:r w:rsidRPr="000A0A5F">
        <w:rPr>
          <w:lang w:eastAsia="zh-CN"/>
        </w:rPr>
        <w:t xml:space="preserve">    '409':</w:t>
      </w:r>
    </w:p>
    <w:p w:rsidR="00CB0DD7" w:rsidRPr="000A0A5F" w:rsidRDefault="00CB0DD7">
      <w:pPr>
        <w:pStyle w:val="PL"/>
        <w:rPr>
          <w:lang w:eastAsia="zh-CN"/>
        </w:rPr>
      </w:pPr>
      <w:r w:rsidRPr="000A0A5F">
        <w:rPr>
          <w:lang w:eastAsia="zh-CN"/>
        </w:rPr>
        <w:t xml:space="preserve">      description: Conflict</w:t>
      </w:r>
    </w:p>
    <w:p w:rsidR="00CB0DD7" w:rsidRPr="000A0A5F" w:rsidRDefault="00CB0DD7">
      <w:pPr>
        <w:pStyle w:val="PL"/>
        <w:rPr>
          <w:lang w:eastAsia="zh-CN"/>
        </w:rPr>
      </w:pPr>
      <w:r w:rsidRPr="000A0A5F">
        <w:rPr>
          <w:lang w:eastAsia="zh-CN"/>
        </w:rPr>
        <w:t xml:space="preserve">      content:</w:t>
      </w:r>
    </w:p>
    <w:p w:rsidR="00CB0DD7" w:rsidRPr="000A0A5F" w:rsidRDefault="00CB0DD7">
      <w:pPr>
        <w:pStyle w:val="PL"/>
        <w:rPr>
          <w:lang w:eastAsia="zh-CN"/>
        </w:rPr>
      </w:pPr>
      <w:r w:rsidRPr="000A0A5F">
        <w:rPr>
          <w:lang w:eastAsia="zh-CN"/>
        </w:rPr>
        <w:t xml:space="preserve">        application/problem+json:</w:t>
      </w:r>
    </w:p>
    <w:p w:rsidR="00CB0DD7" w:rsidRPr="000A0A5F" w:rsidRDefault="00CB0DD7">
      <w:pPr>
        <w:pStyle w:val="PL"/>
        <w:rPr>
          <w:lang w:eastAsia="zh-CN"/>
        </w:rPr>
      </w:pPr>
      <w:r w:rsidRPr="000A0A5F">
        <w:rPr>
          <w:lang w:eastAsia="zh-CN"/>
        </w:rPr>
        <w:t xml:space="preserve">          schema:</w:t>
      </w:r>
    </w:p>
    <w:p w:rsidR="00CB0DD7" w:rsidRPr="000A0A5F" w:rsidRDefault="00CB0DD7">
      <w:pPr>
        <w:pStyle w:val="PL"/>
        <w:rPr>
          <w:lang w:eastAsia="zh-CN"/>
        </w:rPr>
      </w:pPr>
      <w:r w:rsidRPr="000A0A5F">
        <w:rPr>
          <w:lang w:eastAsia="zh-CN"/>
        </w:rPr>
        <w:t xml:space="preserve">            $ref: '#/components/schemas/ProblemDetails'</w:t>
      </w:r>
    </w:p>
    <w:p w:rsidR="00CB0DD7" w:rsidRPr="000A0A5F" w:rsidRDefault="00CB0DD7">
      <w:pPr>
        <w:pStyle w:val="PL"/>
        <w:rPr>
          <w:lang w:eastAsia="zh-CN"/>
        </w:rPr>
      </w:pPr>
      <w:r w:rsidRPr="000A0A5F">
        <w:rPr>
          <w:lang w:eastAsia="zh-CN"/>
        </w:rPr>
        <w:t xml:space="preserve">    '411':</w:t>
      </w:r>
    </w:p>
    <w:p w:rsidR="00CB0DD7" w:rsidRPr="000A0A5F" w:rsidRDefault="00CB0DD7">
      <w:pPr>
        <w:pStyle w:val="PL"/>
        <w:rPr>
          <w:lang w:eastAsia="zh-CN"/>
        </w:rPr>
      </w:pPr>
      <w:r w:rsidRPr="000A0A5F">
        <w:rPr>
          <w:lang w:eastAsia="zh-CN"/>
        </w:rPr>
        <w:t xml:space="preserve">      description: </w:t>
      </w:r>
      <w:r w:rsidRPr="000A0A5F">
        <w:t>Length Required</w:t>
      </w:r>
    </w:p>
    <w:p w:rsidR="00CB0DD7" w:rsidRPr="000A0A5F" w:rsidRDefault="00CB0DD7">
      <w:pPr>
        <w:pStyle w:val="PL"/>
        <w:rPr>
          <w:lang w:eastAsia="zh-CN"/>
        </w:rPr>
      </w:pPr>
      <w:r w:rsidRPr="000A0A5F">
        <w:rPr>
          <w:lang w:eastAsia="zh-CN"/>
        </w:rPr>
        <w:t xml:space="preserve">      content:</w:t>
      </w:r>
    </w:p>
    <w:p w:rsidR="00CB0DD7" w:rsidRPr="000A0A5F" w:rsidRDefault="00CB0DD7">
      <w:pPr>
        <w:pStyle w:val="PL"/>
        <w:rPr>
          <w:lang w:eastAsia="zh-CN"/>
        </w:rPr>
      </w:pPr>
      <w:r w:rsidRPr="000A0A5F">
        <w:rPr>
          <w:lang w:eastAsia="zh-CN"/>
        </w:rPr>
        <w:t xml:space="preserve">        application/problem+json:</w:t>
      </w:r>
    </w:p>
    <w:p w:rsidR="00CB0DD7" w:rsidRPr="000A0A5F" w:rsidRDefault="00CB0DD7">
      <w:pPr>
        <w:pStyle w:val="PL"/>
        <w:rPr>
          <w:lang w:eastAsia="zh-CN"/>
        </w:rPr>
      </w:pPr>
      <w:r w:rsidRPr="000A0A5F">
        <w:rPr>
          <w:lang w:eastAsia="zh-CN"/>
        </w:rPr>
        <w:t xml:space="preserve">          schema:</w:t>
      </w:r>
    </w:p>
    <w:p w:rsidR="00CB0DD7" w:rsidRPr="000A0A5F" w:rsidRDefault="00CB0DD7">
      <w:pPr>
        <w:pStyle w:val="PL"/>
        <w:rPr>
          <w:rFonts w:hint="eastAsia"/>
          <w:lang w:eastAsia="zh-CN"/>
        </w:rPr>
      </w:pPr>
      <w:r w:rsidRPr="000A0A5F">
        <w:rPr>
          <w:lang w:eastAsia="zh-CN"/>
        </w:rPr>
        <w:t xml:space="preserve">            $ref: '#/components/schemas/ProblemDetails'</w:t>
      </w:r>
    </w:p>
    <w:p w:rsidR="00CB0DD7" w:rsidRPr="000A0A5F" w:rsidRDefault="00CB0DD7">
      <w:pPr>
        <w:pStyle w:val="PL"/>
        <w:rPr>
          <w:lang w:eastAsia="zh-CN"/>
        </w:rPr>
      </w:pPr>
      <w:r w:rsidRPr="000A0A5F">
        <w:rPr>
          <w:lang w:eastAsia="zh-CN"/>
        </w:rPr>
        <w:t xml:space="preserve">    '412':</w:t>
      </w:r>
    </w:p>
    <w:p w:rsidR="00CB0DD7" w:rsidRPr="000A0A5F" w:rsidRDefault="00CB0DD7">
      <w:pPr>
        <w:pStyle w:val="PL"/>
        <w:rPr>
          <w:lang w:eastAsia="zh-CN"/>
        </w:rPr>
      </w:pPr>
      <w:r w:rsidRPr="000A0A5F">
        <w:rPr>
          <w:lang w:eastAsia="zh-CN"/>
        </w:rPr>
        <w:t xml:space="preserve">      description: Precondition Failed</w:t>
      </w:r>
    </w:p>
    <w:p w:rsidR="00CB0DD7" w:rsidRPr="000A0A5F" w:rsidRDefault="00CB0DD7">
      <w:pPr>
        <w:pStyle w:val="PL"/>
        <w:rPr>
          <w:lang w:eastAsia="zh-CN"/>
        </w:rPr>
      </w:pPr>
      <w:r w:rsidRPr="000A0A5F">
        <w:rPr>
          <w:lang w:eastAsia="zh-CN"/>
        </w:rPr>
        <w:t xml:space="preserve">      content:</w:t>
      </w:r>
    </w:p>
    <w:p w:rsidR="00CB0DD7" w:rsidRPr="000A0A5F" w:rsidRDefault="00CB0DD7">
      <w:pPr>
        <w:pStyle w:val="PL"/>
        <w:rPr>
          <w:lang w:eastAsia="zh-CN"/>
        </w:rPr>
      </w:pPr>
      <w:r w:rsidRPr="000A0A5F">
        <w:rPr>
          <w:lang w:eastAsia="zh-CN"/>
        </w:rPr>
        <w:t xml:space="preserve">        application/problem+json:</w:t>
      </w:r>
    </w:p>
    <w:p w:rsidR="00CB0DD7" w:rsidRPr="000A0A5F" w:rsidRDefault="00CB0DD7">
      <w:pPr>
        <w:pStyle w:val="PL"/>
        <w:rPr>
          <w:lang w:eastAsia="zh-CN"/>
        </w:rPr>
      </w:pPr>
      <w:r w:rsidRPr="000A0A5F">
        <w:rPr>
          <w:lang w:eastAsia="zh-CN"/>
        </w:rPr>
        <w:t xml:space="preserve">          schema:</w:t>
      </w:r>
    </w:p>
    <w:p w:rsidR="00CB0DD7" w:rsidRPr="000A0A5F" w:rsidRDefault="00CB0DD7">
      <w:pPr>
        <w:pStyle w:val="PL"/>
        <w:rPr>
          <w:lang w:eastAsia="zh-CN"/>
        </w:rPr>
      </w:pPr>
      <w:r w:rsidRPr="000A0A5F">
        <w:rPr>
          <w:lang w:eastAsia="zh-CN"/>
        </w:rPr>
        <w:t xml:space="preserve">            $ref: '#/components/schemas/ProblemDetails'</w:t>
      </w:r>
    </w:p>
    <w:p w:rsidR="00CB0DD7" w:rsidRPr="000A0A5F" w:rsidRDefault="00CB0DD7">
      <w:pPr>
        <w:pStyle w:val="PL"/>
        <w:rPr>
          <w:lang w:eastAsia="zh-CN"/>
        </w:rPr>
      </w:pPr>
      <w:r w:rsidRPr="000A0A5F">
        <w:rPr>
          <w:lang w:eastAsia="zh-CN"/>
        </w:rPr>
        <w:t xml:space="preserve">    '413':</w:t>
      </w:r>
    </w:p>
    <w:p w:rsidR="00CB0DD7" w:rsidRPr="000A0A5F" w:rsidRDefault="00CB0DD7">
      <w:pPr>
        <w:pStyle w:val="PL"/>
        <w:rPr>
          <w:lang w:eastAsia="zh-CN"/>
        </w:rPr>
      </w:pPr>
      <w:r w:rsidRPr="000A0A5F">
        <w:rPr>
          <w:lang w:eastAsia="zh-CN"/>
        </w:rPr>
        <w:t xml:space="preserve">      description: </w:t>
      </w:r>
      <w:r w:rsidR="0089739F" w:rsidRPr="000A0A5F">
        <w:t>Content Too Large</w:t>
      </w:r>
    </w:p>
    <w:p w:rsidR="00CB0DD7" w:rsidRPr="000A0A5F" w:rsidRDefault="00CB0DD7">
      <w:pPr>
        <w:pStyle w:val="PL"/>
        <w:rPr>
          <w:lang w:eastAsia="zh-CN"/>
        </w:rPr>
      </w:pPr>
      <w:r w:rsidRPr="000A0A5F">
        <w:rPr>
          <w:lang w:eastAsia="zh-CN"/>
        </w:rPr>
        <w:t xml:space="preserve">      content:</w:t>
      </w:r>
    </w:p>
    <w:p w:rsidR="00CB0DD7" w:rsidRPr="000A0A5F" w:rsidRDefault="00CB0DD7">
      <w:pPr>
        <w:pStyle w:val="PL"/>
        <w:rPr>
          <w:lang w:eastAsia="zh-CN"/>
        </w:rPr>
      </w:pPr>
      <w:r w:rsidRPr="000A0A5F">
        <w:rPr>
          <w:lang w:eastAsia="zh-CN"/>
        </w:rPr>
        <w:t xml:space="preserve">        application/problem+json:</w:t>
      </w:r>
    </w:p>
    <w:p w:rsidR="00CB0DD7" w:rsidRPr="000A0A5F" w:rsidRDefault="00CB0DD7">
      <w:pPr>
        <w:pStyle w:val="PL"/>
        <w:rPr>
          <w:lang w:eastAsia="zh-CN"/>
        </w:rPr>
      </w:pPr>
      <w:r w:rsidRPr="000A0A5F">
        <w:rPr>
          <w:lang w:eastAsia="zh-CN"/>
        </w:rPr>
        <w:t xml:space="preserve">          schema:</w:t>
      </w:r>
    </w:p>
    <w:p w:rsidR="00CB0DD7" w:rsidRPr="000A0A5F" w:rsidRDefault="00CB0DD7">
      <w:pPr>
        <w:pStyle w:val="PL"/>
        <w:rPr>
          <w:lang w:eastAsia="zh-CN"/>
        </w:rPr>
      </w:pPr>
      <w:r w:rsidRPr="000A0A5F">
        <w:rPr>
          <w:lang w:eastAsia="zh-CN"/>
        </w:rPr>
        <w:t xml:space="preserve">            $ref: '#/components/schemas/ProblemDetails'</w:t>
      </w:r>
    </w:p>
    <w:p w:rsidR="00CB0DD7" w:rsidRPr="000A0A5F" w:rsidRDefault="00CB0DD7">
      <w:pPr>
        <w:pStyle w:val="PL"/>
        <w:rPr>
          <w:lang w:eastAsia="zh-CN"/>
        </w:rPr>
      </w:pPr>
      <w:r w:rsidRPr="000A0A5F">
        <w:rPr>
          <w:lang w:eastAsia="zh-CN"/>
        </w:rPr>
        <w:t xml:space="preserve">    '414':</w:t>
      </w:r>
    </w:p>
    <w:p w:rsidR="00CB0DD7" w:rsidRPr="000A0A5F" w:rsidRDefault="00CB0DD7">
      <w:pPr>
        <w:pStyle w:val="PL"/>
        <w:rPr>
          <w:lang w:eastAsia="zh-CN"/>
        </w:rPr>
      </w:pPr>
      <w:r w:rsidRPr="000A0A5F">
        <w:rPr>
          <w:lang w:eastAsia="zh-CN"/>
        </w:rPr>
        <w:t xml:space="preserve">      description: URI Too Long</w:t>
      </w:r>
    </w:p>
    <w:p w:rsidR="00CB0DD7" w:rsidRPr="000A0A5F" w:rsidRDefault="00CB0DD7">
      <w:pPr>
        <w:pStyle w:val="PL"/>
        <w:rPr>
          <w:lang w:eastAsia="zh-CN"/>
        </w:rPr>
      </w:pPr>
      <w:r w:rsidRPr="000A0A5F">
        <w:rPr>
          <w:lang w:eastAsia="zh-CN"/>
        </w:rPr>
        <w:t xml:space="preserve">      content:</w:t>
      </w:r>
    </w:p>
    <w:p w:rsidR="00CB0DD7" w:rsidRPr="000A0A5F" w:rsidRDefault="00CB0DD7">
      <w:pPr>
        <w:pStyle w:val="PL"/>
        <w:rPr>
          <w:lang w:eastAsia="zh-CN"/>
        </w:rPr>
      </w:pPr>
      <w:r w:rsidRPr="000A0A5F">
        <w:rPr>
          <w:lang w:eastAsia="zh-CN"/>
        </w:rPr>
        <w:t xml:space="preserve">        application/problem+json:</w:t>
      </w:r>
    </w:p>
    <w:p w:rsidR="00CB0DD7" w:rsidRPr="000A0A5F" w:rsidRDefault="00CB0DD7">
      <w:pPr>
        <w:pStyle w:val="PL"/>
        <w:rPr>
          <w:lang w:eastAsia="zh-CN"/>
        </w:rPr>
      </w:pPr>
      <w:r w:rsidRPr="000A0A5F">
        <w:rPr>
          <w:lang w:eastAsia="zh-CN"/>
        </w:rPr>
        <w:t xml:space="preserve">          schema:</w:t>
      </w:r>
    </w:p>
    <w:p w:rsidR="00CB0DD7" w:rsidRPr="000A0A5F" w:rsidRDefault="00CB0DD7">
      <w:pPr>
        <w:pStyle w:val="PL"/>
        <w:rPr>
          <w:rFonts w:hint="eastAsia"/>
          <w:lang w:eastAsia="zh-CN"/>
        </w:rPr>
      </w:pPr>
      <w:r w:rsidRPr="000A0A5F">
        <w:rPr>
          <w:lang w:eastAsia="zh-CN"/>
        </w:rPr>
        <w:t xml:space="preserve">            $ref: '#/components/schemas/ProblemDetails'</w:t>
      </w:r>
    </w:p>
    <w:p w:rsidR="00CB0DD7" w:rsidRPr="000A0A5F" w:rsidRDefault="00CB0DD7">
      <w:pPr>
        <w:pStyle w:val="PL"/>
        <w:rPr>
          <w:lang w:eastAsia="zh-CN"/>
        </w:rPr>
      </w:pPr>
      <w:r w:rsidRPr="000A0A5F">
        <w:rPr>
          <w:lang w:eastAsia="zh-CN"/>
        </w:rPr>
        <w:t xml:space="preserve">    '415':</w:t>
      </w:r>
    </w:p>
    <w:p w:rsidR="00CB0DD7" w:rsidRPr="000A0A5F" w:rsidRDefault="00CB0DD7">
      <w:pPr>
        <w:pStyle w:val="PL"/>
        <w:rPr>
          <w:lang w:eastAsia="zh-CN"/>
        </w:rPr>
      </w:pPr>
      <w:r w:rsidRPr="000A0A5F">
        <w:rPr>
          <w:lang w:eastAsia="zh-CN"/>
        </w:rPr>
        <w:t xml:space="preserve">      description: </w:t>
      </w:r>
      <w:r w:rsidRPr="000A0A5F">
        <w:t>Unsupported Media Type</w:t>
      </w:r>
    </w:p>
    <w:p w:rsidR="00CB0DD7" w:rsidRPr="000A0A5F" w:rsidRDefault="00CB0DD7">
      <w:pPr>
        <w:pStyle w:val="PL"/>
        <w:rPr>
          <w:lang w:eastAsia="zh-CN"/>
        </w:rPr>
      </w:pPr>
      <w:r w:rsidRPr="000A0A5F">
        <w:rPr>
          <w:lang w:eastAsia="zh-CN"/>
        </w:rPr>
        <w:t xml:space="preserve">      content:</w:t>
      </w:r>
    </w:p>
    <w:p w:rsidR="00CB0DD7" w:rsidRPr="000A0A5F" w:rsidRDefault="00CB0DD7">
      <w:pPr>
        <w:pStyle w:val="PL"/>
        <w:rPr>
          <w:lang w:eastAsia="zh-CN"/>
        </w:rPr>
      </w:pPr>
      <w:r w:rsidRPr="000A0A5F">
        <w:rPr>
          <w:lang w:eastAsia="zh-CN"/>
        </w:rPr>
        <w:t xml:space="preserve">        application/problem+json:</w:t>
      </w:r>
    </w:p>
    <w:p w:rsidR="00CB0DD7" w:rsidRPr="000A0A5F" w:rsidRDefault="00CB0DD7">
      <w:pPr>
        <w:pStyle w:val="PL"/>
        <w:rPr>
          <w:lang w:eastAsia="zh-CN"/>
        </w:rPr>
      </w:pPr>
      <w:r w:rsidRPr="000A0A5F">
        <w:rPr>
          <w:lang w:eastAsia="zh-CN"/>
        </w:rPr>
        <w:t xml:space="preserve">          schema:</w:t>
      </w:r>
    </w:p>
    <w:p w:rsidR="00CB0DD7" w:rsidRPr="000A0A5F" w:rsidRDefault="00CB0DD7">
      <w:pPr>
        <w:pStyle w:val="PL"/>
        <w:rPr>
          <w:lang w:eastAsia="zh-CN"/>
        </w:rPr>
      </w:pPr>
      <w:r w:rsidRPr="000A0A5F">
        <w:rPr>
          <w:lang w:eastAsia="zh-CN"/>
        </w:rPr>
        <w:t xml:space="preserve">            $ref: '#/components/schemas/ProblemDetails'</w:t>
      </w:r>
    </w:p>
    <w:p w:rsidR="00CB0DD7" w:rsidRPr="000A0A5F" w:rsidRDefault="00CB0DD7">
      <w:pPr>
        <w:pStyle w:val="PL"/>
        <w:rPr>
          <w:lang w:eastAsia="zh-CN"/>
        </w:rPr>
      </w:pPr>
      <w:r w:rsidRPr="000A0A5F">
        <w:rPr>
          <w:lang w:eastAsia="zh-CN"/>
        </w:rPr>
        <w:t xml:space="preserve">    '429':</w:t>
      </w:r>
    </w:p>
    <w:p w:rsidR="00CB0DD7" w:rsidRPr="000A0A5F" w:rsidRDefault="00CB0DD7">
      <w:pPr>
        <w:pStyle w:val="PL"/>
        <w:rPr>
          <w:lang w:eastAsia="zh-CN"/>
        </w:rPr>
      </w:pPr>
      <w:r w:rsidRPr="000A0A5F">
        <w:rPr>
          <w:lang w:eastAsia="zh-CN"/>
        </w:rPr>
        <w:t xml:space="preserve">      description: </w:t>
      </w:r>
      <w:r w:rsidRPr="000A0A5F">
        <w:t>Too Many Requests</w:t>
      </w:r>
    </w:p>
    <w:p w:rsidR="00CB0DD7" w:rsidRPr="000A0A5F" w:rsidRDefault="00CB0DD7">
      <w:pPr>
        <w:pStyle w:val="PL"/>
        <w:rPr>
          <w:lang w:eastAsia="zh-CN"/>
        </w:rPr>
      </w:pPr>
      <w:r w:rsidRPr="000A0A5F">
        <w:rPr>
          <w:lang w:eastAsia="zh-CN"/>
        </w:rPr>
        <w:t xml:space="preserve">      content:</w:t>
      </w:r>
    </w:p>
    <w:p w:rsidR="00CB0DD7" w:rsidRPr="000A0A5F" w:rsidRDefault="00CB0DD7">
      <w:pPr>
        <w:pStyle w:val="PL"/>
        <w:rPr>
          <w:lang w:eastAsia="zh-CN"/>
        </w:rPr>
      </w:pPr>
      <w:r w:rsidRPr="000A0A5F">
        <w:rPr>
          <w:lang w:eastAsia="zh-CN"/>
        </w:rPr>
        <w:t xml:space="preserve">        application/problem+json:</w:t>
      </w:r>
    </w:p>
    <w:p w:rsidR="00CB0DD7" w:rsidRPr="000A0A5F" w:rsidRDefault="00CB0DD7">
      <w:pPr>
        <w:pStyle w:val="PL"/>
        <w:rPr>
          <w:lang w:eastAsia="zh-CN"/>
        </w:rPr>
      </w:pPr>
      <w:r w:rsidRPr="000A0A5F">
        <w:rPr>
          <w:lang w:eastAsia="zh-CN"/>
        </w:rPr>
        <w:t xml:space="preserve">          schema:</w:t>
      </w:r>
    </w:p>
    <w:p w:rsidR="00CB0DD7" w:rsidRPr="000A0A5F" w:rsidRDefault="00CB0DD7">
      <w:pPr>
        <w:pStyle w:val="PL"/>
        <w:rPr>
          <w:rFonts w:hint="eastAsia"/>
          <w:lang w:eastAsia="zh-CN"/>
        </w:rPr>
      </w:pPr>
      <w:r w:rsidRPr="000A0A5F">
        <w:rPr>
          <w:lang w:eastAsia="zh-CN"/>
        </w:rPr>
        <w:t xml:space="preserve">            $ref: '#/components/schemas/ProblemDetails'</w:t>
      </w:r>
    </w:p>
    <w:p w:rsidR="00CB0DD7" w:rsidRPr="000A0A5F" w:rsidRDefault="00CB0DD7">
      <w:pPr>
        <w:pStyle w:val="PL"/>
        <w:rPr>
          <w:lang w:eastAsia="zh-CN"/>
        </w:rPr>
      </w:pPr>
      <w:r w:rsidRPr="000A0A5F">
        <w:rPr>
          <w:lang w:eastAsia="zh-CN"/>
        </w:rPr>
        <w:t xml:space="preserve">    '500':</w:t>
      </w:r>
    </w:p>
    <w:p w:rsidR="00CB0DD7" w:rsidRPr="000A0A5F" w:rsidRDefault="00CB0DD7">
      <w:pPr>
        <w:pStyle w:val="PL"/>
        <w:rPr>
          <w:lang w:eastAsia="zh-CN"/>
        </w:rPr>
      </w:pPr>
      <w:r w:rsidRPr="000A0A5F">
        <w:rPr>
          <w:lang w:eastAsia="zh-CN"/>
        </w:rPr>
        <w:t xml:space="preserve">      description: Internal Server Error</w:t>
      </w:r>
    </w:p>
    <w:p w:rsidR="00CB0DD7" w:rsidRPr="000A0A5F" w:rsidRDefault="00CB0DD7">
      <w:pPr>
        <w:pStyle w:val="PL"/>
        <w:rPr>
          <w:lang w:eastAsia="zh-CN"/>
        </w:rPr>
      </w:pPr>
      <w:r w:rsidRPr="000A0A5F">
        <w:rPr>
          <w:lang w:eastAsia="zh-CN"/>
        </w:rPr>
        <w:t xml:space="preserve">      content:</w:t>
      </w:r>
    </w:p>
    <w:p w:rsidR="00CB0DD7" w:rsidRPr="000A0A5F" w:rsidRDefault="00CB0DD7">
      <w:pPr>
        <w:pStyle w:val="PL"/>
        <w:rPr>
          <w:lang w:eastAsia="zh-CN"/>
        </w:rPr>
      </w:pPr>
      <w:r w:rsidRPr="000A0A5F">
        <w:rPr>
          <w:lang w:eastAsia="zh-CN"/>
        </w:rPr>
        <w:t xml:space="preserve">        application/problem+json:</w:t>
      </w:r>
    </w:p>
    <w:p w:rsidR="00CB0DD7" w:rsidRPr="000A0A5F" w:rsidRDefault="00CB0DD7">
      <w:pPr>
        <w:pStyle w:val="PL"/>
        <w:rPr>
          <w:lang w:eastAsia="zh-CN"/>
        </w:rPr>
      </w:pPr>
      <w:r w:rsidRPr="000A0A5F">
        <w:rPr>
          <w:lang w:eastAsia="zh-CN"/>
        </w:rPr>
        <w:t xml:space="preserve">          schema:</w:t>
      </w:r>
    </w:p>
    <w:p w:rsidR="00CB0DD7" w:rsidRPr="000A0A5F" w:rsidRDefault="00CB0DD7">
      <w:pPr>
        <w:pStyle w:val="PL"/>
        <w:rPr>
          <w:lang w:eastAsia="zh-CN"/>
        </w:rPr>
      </w:pPr>
      <w:r w:rsidRPr="000A0A5F">
        <w:rPr>
          <w:lang w:eastAsia="zh-CN"/>
        </w:rPr>
        <w:t xml:space="preserve">            $ref: '#/components/schemas/ProblemDetails'</w:t>
      </w:r>
    </w:p>
    <w:p w:rsidR="00CB0DD7" w:rsidRPr="000A0A5F" w:rsidRDefault="00CB0DD7">
      <w:pPr>
        <w:pStyle w:val="PL"/>
        <w:rPr>
          <w:lang w:eastAsia="zh-CN"/>
        </w:rPr>
      </w:pPr>
      <w:r w:rsidRPr="000A0A5F">
        <w:rPr>
          <w:lang w:eastAsia="zh-CN"/>
        </w:rPr>
        <w:t xml:space="preserve">    '503':</w:t>
      </w:r>
    </w:p>
    <w:p w:rsidR="00CB0DD7" w:rsidRPr="000A0A5F" w:rsidRDefault="00CB0DD7">
      <w:pPr>
        <w:pStyle w:val="PL"/>
        <w:rPr>
          <w:lang w:eastAsia="zh-CN"/>
        </w:rPr>
      </w:pPr>
      <w:r w:rsidRPr="000A0A5F">
        <w:rPr>
          <w:lang w:eastAsia="zh-CN"/>
        </w:rPr>
        <w:t xml:space="preserve">      description: Service Unavailable</w:t>
      </w:r>
    </w:p>
    <w:p w:rsidR="00CB0DD7" w:rsidRPr="000A0A5F" w:rsidRDefault="00CB0DD7">
      <w:pPr>
        <w:pStyle w:val="PL"/>
        <w:rPr>
          <w:lang w:eastAsia="zh-CN"/>
        </w:rPr>
      </w:pPr>
      <w:r w:rsidRPr="000A0A5F">
        <w:rPr>
          <w:lang w:eastAsia="zh-CN"/>
        </w:rPr>
        <w:t xml:space="preserve">      content:</w:t>
      </w:r>
    </w:p>
    <w:p w:rsidR="00CB0DD7" w:rsidRPr="000A0A5F" w:rsidRDefault="00CB0DD7">
      <w:pPr>
        <w:pStyle w:val="PL"/>
        <w:rPr>
          <w:lang w:eastAsia="zh-CN"/>
        </w:rPr>
      </w:pPr>
      <w:r w:rsidRPr="000A0A5F">
        <w:rPr>
          <w:lang w:eastAsia="zh-CN"/>
        </w:rPr>
        <w:t xml:space="preserve">        application/problem+json:</w:t>
      </w:r>
    </w:p>
    <w:p w:rsidR="00CB0DD7" w:rsidRPr="000A0A5F" w:rsidRDefault="00CB0DD7">
      <w:pPr>
        <w:pStyle w:val="PL"/>
        <w:rPr>
          <w:lang w:eastAsia="zh-CN"/>
        </w:rPr>
      </w:pPr>
      <w:r w:rsidRPr="000A0A5F">
        <w:rPr>
          <w:lang w:eastAsia="zh-CN"/>
        </w:rPr>
        <w:t xml:space="preserve">          schema:</w:t>
      </w:r>
    </w:p>
    <w:p w:rsidR="00CB0DD7" w:rsidRPr="000A0A5F" w:rsidRDefault="00CB0DD7">
      <w:pPr>
        <w:pStyle w:val="PL"/>
        <w:rPr>
          <w:rFonts w:hint="eastAsia"/>
          <w:lang w:eastAsia="zh-CN"/>
        </w:rPr>
      </w:pPr>
      <w:r w:rsidRPr="000A0A5F">
        <w:rPr>
          <w:lang w:eastAsia="zh-CN"/>
        </w:rPr>
        <w:t xml:space="preserve">            $ref: '#/components/schemas/ProblemDetails'</w:t>
      </w:r>
    </w:p>
    <w:p w:rsidR="00CB0DD7" w:rsidRPr="000A0A5F" w:rsidRDefault="00CB0DD7">
      <w:pPr>
        <w:pStyle w:val="PL"/>
      </w:pPr>
      <w:r w:rsidRPr="000A0A5F">
        <w:t xml:space="preserve">    default:</w:t>
      </w:r>
    </w:p>
    <w:p w:rsidR="00CB0DD7" w:rsidRPr="000A0A5F" w:rsidRDefault="00CB0DD7">
      <w:pPr>
        <w:pStyle w:val="PL"/>
        <w:rPr>
          <w:rFonts w:hint="eastAsia"/>
        </w:rPr>
      </w:pPr>
      <w:r w:rsidRPr="000A0A5F">
        <w:t xml:space="preserve">      description: Generic Error</w:t>
      </w:r>
    </w:p>
    <w:p w:rsidR="00CB0DD7" w:rsidRPr="000A0A5F" w:rsidRDefault="00CB0DD7" w:rsidP="00706FFD">
      <w:pPr>
        <w:pStyle w:val="Heading1"/>
        <w:rPr>
          <w:noProof/>
        </w:rPr>
      </w:pPr>
      <w:bookmarkStart w:id="10277" w:name="_Toc11247930"/>
      <w:bookmarkStart w:id="10278" w:name="_Toc27045112"/>
      <w:bookmarkStart w:id="10279" w:name="_Toc36034163"/>
      <w:bookmarkStart w:id="10280" w:name="_Toc45132311"/>
      <w:bookmarkStart w:id="10281" w:name="_Toc49776596"/>
      <w:bookmarkStart w:id="10282" w:name="_Toc51747516"/>
      <w:bookmarkStart w:id="10283" w:name="_Toc66361098"/>
      <w:bookmarkStart w:id="10284" w:name="_Toc68105603"/>
      <w:bookmarkStart w:id="10285" w:name="_Toc74756235"/>
      <w:bookmarkStart w:id="10286" w:name="_Toc105675112"/>
      <w:bookmarkStart w:id="10287" w:name="_Toc130503190"/>
      <w:bookmarkStart w:id="10288" w:name="_Toc153625982"/>
      <w:r w:rsidRPr="000A0A5F">
        <w:t>A.3</w:t>
      </w:r>
      <w:r w:rsidRPr="000A0A5F">
        <w:tab/>
      </w:r>
      <w:r w:rsidRPr="000A0A5F">
        <w:rPr>
          <w:noProof/>
        </w:rPr>
        <w:t>MonitoringEvent API</w:t>
      </w:r>
      <w:bookmarkEnd w:id="10277"/>
      <w:bookmarkEnd w:id="10278"/>
      <w:bookmarkEnd w:id="10279"/>
      <w:bookmarkEnd w:id="10280"/>
      <w:bookmarkEnd w:id="10281"/>
      <w:bookmarkEnd w:id="10282"/>
      <w:bookmarkEnd w:id="10283"/>
      <w:bookmarkEnd w:id="10284"/>
      <w:bookmarkEnd w:id="10285"/>
      <w:bookmarkEnd w:id="10286"/>
      <w:bookmarkEnd w:id="10287"/>
      <w:bookmarkEnd w:id="10288"/>
    </w:p>
    <w:p w:rsidR="00CB0DD7" w:rsidRPr="000A0A5F" w:rsidRDefault="00CB0DD7">
      <w:pPr>
        <w:pStyle w:val="PL"/>
      </w:pPr>
      <w:r w:rsidRPr="000A0A5F">
        <w:t>openapi: 3.0.0</w:t>
      </w:r>
    </w:p>
    <w:p w:rsidR="00815FEF" w:rsidRPr="000A0A5F" w:rsidRDefault="00815FEF">
      <w:pPr>
        <w:pStyle w:val="PL"/>
      </w:pPr>
    </w:p>
    <w:p w:rsidR="00CB0DD7" w:rsidRPr="000A0A5F" w:rsidRDefault="00CB0DD7">
      <w:pPr>
        <w:pStyle w:val="PL"/>
      </w:pPr>
      <w:r w:rsidRPr="000A0A5F">
        <w:t>info:</w:t>
      </w:r>
    </w:p>
    <w:p w:rsidR="00CB0DD7" w:rsidRPr="000A0A5F" w:rsidRDefault="00CB0DD7">
      <w:pPr>
        <w:pStyle w:val="PL"/>
      </w:pPr>
      <w:r w:rsidRPr="000A0A5F">
        <w:t xml:space="preserve">  title: 3gpp-monitoring-event</w:t>
      </w:r>
    </w:p>
    <w:p w:rsidR="00CB0DD7" w:rsidRPr="000A0A5F" w:rsidRDefault="00CB0DD7">
      <w:pPr>
        <w:pStyle w:val="PL"/>
      </w:pPr>
      <w:r w:rsidRPr="000A0A5F">
        <w:t xml:space="preserve">  version: 1.</w:t>
      </w:r>
      <w:r w:rsidR="00B94C78" w:rsidRPr="000A0A5F">
        <w:t>3</w:t>
      </w:r>
      <w:r w:rsidRPr="000A0A5F">
        <w:t>.</w:t>
      </w:r>
      <w:r w:rsidR="00B94C78" w:rsidRPr="000A0A5F">
        <w:t>0-alpha.</w:t>
      </w:r>
      <w:r w:rsidR="000140FC">
        <w:t>4</w:t>
      </w:r>
    </w:p>
    <w:p w:rsidR="00CB0DD7" w:rsidRPr="000A0A5F" w:rsidRDefault="00CB0DD7">
      <w:pPr>
        <w:pStyle w:val="PL"/>
      </w:pPr>
      <w:r w:rsidRPr="000A0A5F">
        <w:t xml:space="preserve">  description: |</w:t>
      </w:r>
    </w:p>
    <w:p w:rsidR="00CB0DD7" w:rsidRPr="000A0A5F" w:rsidRDefault="00CB0DD7">
      <w:pPr>
        <w:pStyle w:val="PL"/>
      </w:pPr>
      <w:r w:rsidRPr="000A0A5F">
        <w:t xml:space="preserve">    API for Monitoring Event.</w:t>
      </w:r>
      <w:r w:rsidR="00C01559" w:rsidRPr="000A0A5F">
        <w:t xml:space="preserve">  </w:t>
      </w:r>
    </w:p>
    <w:p w:rsidR="00CB0DD7" w:rsidRPr="000A0A5F" w:rsidRDefault="00CB0DD7">
      <w:pPr>
        <w:pStyle w:val="PL"/>
      </w:pPr>
      <w:r w:rsidRPr="000A0A5F">
        <w:t xml:space="preserve">    © 202</w:t>
      </w:r>
      <w:r w:rsidR="00B94C78" w:rsidRPr="000A0A5F">
        <w:t>3</w:t>
      </w:r>
      <w:r w:rsidRPr="000A0A5F">
        <w:t>, 3GPP Organizational Partners (ARIB, ATIS, CCSA, ETSI, TSDSI, TTA, TTC).</w:t>
      </w:r>
      <w:r w:rsidR="00C01559" w:rsidRPr="000A0A5F">
        <w:t xml:space="preserve">  </w:t>
      </w:r>
    </w:p>
    <w:p w:rsidR="00CB0DD7" w:rsidRPr="000A0A5F" w:rsidRDefault="00CB0DD7">
      <w:pPr>
        <w:pStyle w:val="PL"/>
      </w:pPr>
      <w:r w:rsidRPr="000A0A5F">
        <w:t xml:space="preserve">    All rights reserved.</w:t>
      </w:r>
    </w:p>
    <w:p w:rsidR="00815FEF" w:rsidRPr="000A0A5F" w:rsidRDefault="00815FEF">
      <w:pPr>
        <w:pStyle w:val="PL"/>
      </w:pPr>
    </w:p>
    <w:p w:rsidR="00CB0DD7" w:rsidRPr="000A0A5F" w:rsidRDefault="00CB0DD7">
      <w:pPr>
        <w:pStyle w:val="PL"/>
      </w:pPr>
      <w:r w:rsidRPr="000A0A5F">
        <w:t>externalDocs:</w:t>
      </w:r>
    </w:p>
    <w:p w:rsidR="00CB0DD7" w:rsidRPr="000A0A5F" w:rsidRDefault="00CB0DD7">
      <w:pPr>
        <w:pStyle w:val="PL"/>
      </w:pPr>
      <w:r w:rsidRPr="000A0A5F">
        <w:t xml:space="preserve">  description: 3GPP TS 29.122 V1</w:t>
      </w:r>
      <w:r w:rsidR="00B94C78" w:rsidRPr="000A0A5F">
        <w:t>8</w:t>
      </w:r>
      <w:r w:rsidRPr="000A0A5F">
        <w:t>.</w:t>
      </w:r>
      <w:r w:rsidR="000140FC">
        <w:t>4</w:t>
      </w:r>
      <w:r w:rsidRPr="000A0A5F">
        <w:t>.0 T8 reference point for Northbound APIs</w:t>
      </w:r>
    </w:p>
    <w:p w:rsidR="00CB0DD7" w:rsidRPr="000A0A5F" w:rsidRDefault="00CB0DD7">
      <w:pPr>
        <w:pStyle w:val="PL"/>
      </w:pPr>
      <w:r w:rsidRPr="000A0A5F">
        <w:t xml:space="preserve">  url: 'http</w:t>
      </w:r>
      <w:r w:rsidR="00C01559" w:rsidRPr="000A0A5F">
        <w:t>s</w:t>
      </w:r>
      <w:r w:rsidRPr="000A0A5F">
        <w:t>://www.3gpp.org/ftp/Specs/archive/29_series/29.122/'</w:t>
      </w:r>
    </w:p>
    <w:p w:rsidR="00815FEF" w:rsidRPr="000A0A5F" w:rsidRDefault="00815FEF">
      <w:pPr>
        <w:pStyle w:val="PL"/>
      </w:pPr>
    </w:p>
    <w:p w:rsidR="00CB0DD7" w:rsidRPr="000A0A5F" w:rsidRDefault="00CB0DD7">
      <w:pPr>
        <w:pStyle w:val="PL"/>
      </w:pPr>
      <w:r w:rsidRPr="000A0A5F">
        <w:t>security:</w:t>
      </w:r>
    </w:p>
    <w:p w:rsidR="00CB0DD7" w:rsidRPr="000A0A5F" w:rsidRDefault="00CB0DD7">
      <w:pPr>
        <w:pStyle w:val="PL"/>
        <w:rPr>
          <w:lang w:val="en-US"/>
        </w:rPr>
      </w:pPr>
      <w:r w:rsidRPr="000A0A5F">
        <w:rPr>
          <w:lang w:val="en-US"/>
        </w:rPr>
        <w:t xml:space="preserve">  - {}</w:t>
      </w:r>
    </w:p>
    <w:p w:rsidR="00CB0DD7" w:rsidRPr="000A0A5F" w:rsidRDefault="00CB0DD7">
      <w:pPr>
        <w:pStyle w:val="PL"/>
      </w:pPr>
      <w:r w:rsidRPr="000A0A5F">
        <w:t xml:space="preserve">  - oAuth2ClientCredentials: []</w:t>
      </w:r>
    </w:p>
    <w:p w:rsidR="00815FEF" w:rsidRPr="000A0A5F" w:rsidRDefault="00815FEF">
      <w:pPr>
        <w:pStyle w:val="PL"/>
      </w:pPr>
    </w:p>
    <w:p w:rsidR="00CB0DD7" w:rsidRPr="000A0A5F" w:rsidRDefault="00CB0DD7">
      <w:pPr>
        <w:pStyle w:val="PL"/>
      </w:pPr>
      <w:r w:rsidRPr="000A0A5F">
        <w:t>servers:</w:t>
      </w:r>
    </w:p>
    <w:p w:rsidR="00CB0DD7" w:rsidRPr="000A0A5F" w:rsidRDefault="00CB0DD7">
      <w:pPr>
        <w:pStyle w:val="PL"/>
      </w:pPr>
      <w:r w:rsidRPr="000A0A5F">
        <w:t xml:space="preserve">  - url: '{apiRoot}/3gpp-monitoring-event/v1'</w:t>
      </w:r>
    </w:p>
    <w:p w:rsidR="00CB0DD7" w:rsidRPr="000A0A5F" w:rsidRDefault="00CB0DD7">
      <w:pPr>
        <w:pStyle w:val="PL"/>
      </w:pPr>
      <w:r w:rsidRPr="000A0A5F">
        <w:t xml:space="preserve">    variables:</w:t>
      </w:r>
    </w:p>
    <w:p w:rsidR="00CB0DD7" w:rsidRPr="000A0A5F" w:rsidRDefault="00CB0DD7">
      <w:pPr>
        <w:pStyle w:val="PL"/>
      </w:pPr>
      <w:r w:rsidRPr="000A0A5F">
        <w:t xml:space="preserve">      apiRoot:</w:t>
      </w:r>
    </w:p>
    <w:p w:rsidR="00CB0DD7" w:rsidRPr="000A0A5F" w:rsidRDefault="00CB0DD7">
      <w:pPr>
        <w:pStyle w:val="PL"/>
      </w:pPr>
      <w:r w:rsidRPr="000A0A5F">
        <w:t xml:space="preserve">        default: https://example.com</w:t>
      </w:r>
    </w:p>
    <w:p w:rsidR="00CB0DD7" w:rsidRPr="000A0A5F" w:rsidRDefault="00CB0DD7">
      <w:pPr>
        <w:pStyle w:val="PL"/>
      </w:pPr>
      <w:r w:rsidRPr="000A0A5F">
        <w:t xml:space="preserve">        description: apiRoot as defined in clause 5.2.4 of 3GPP TS 29.122.</w:t>
      </w:r>
    </w:p>
    <w:p w:rsidR="00815FEF" w:rsidRPr="000A0A5F" w:rsidRDefault="00815FEF">
      <w:pPr>
        <w:pStyle w:val="PL"/>
      </w:pPr>
    </w:p>
    <w:p w:rsidR="00CB0DD7" w:rsidRPr="000A0A5F" w:rsidRDefault="00CB0DD7">
      <w:pPr>
        <w:pStyle w:val="PL"/>
      </w:pPr>
      <w:r w:rsidRPr="000A0A5F">
        <w:t>paths:</w:t>
      </w:r>
    </w:p>
    <w:p w:rsidR="00CB0DD7" w:rsidRPr="000A0A5F" w:rsidRDefault="00CB0DD7">
      <w:pPr>
        <w:pStyle w:val="PL"/>
      </w:pPr>
      <w:r w:rsidRPr="000A0A5F">
        <w:t xml:space="preserve">  /{scsAsId}/subscriptions:</w:t>
      </w:r>
    </w:p>
    <w:p w:rsidR="00CB0DD7" w:rsidRPr="000A0A5F" w:rsidRDefault="00CB0DD7">
      <w:pPr>
        <w:pStyle w:val="PL"/>
      </w:pPr>
      <w:r w:rsidRPr="000A0A5F">
        <w:t xml:space="preserve">    get:</w:t>
      </w:r>
    </w:p>
    <w:p w:rsidR="00CB0DD7" w:rsidRPr="000A0A5F" w:rsidRDefault="00CB0DD7">
      <w:pPr>
        <w:pStyle w:val="PL"/>
      </w:pPr>
      <w:r w:rsidRPr="000A0A5F">
        <w:t xml:space="preserve">      summary: </w:t>
      </w:r>
      <w:r w:rsidR="00DE4D25" w:rsidRPr="000A0A5F">
        <w:t>R</w:t>
      </w:r>
      <w:r w:rsidRPr="000A0A5F">
        <w:t xml:space="preserve">ead all </w:t>
      </w:r>
      <w:r w:rsidR="00F4764B" w:rsidRPr="000A0A5F">
        <w:t>or queried</w:t>
      </w:r>
      <w:r w:rsidRPr="000A0A5F">
        <w:t xml:space="preserve"> active subscriptions for the SCS/AS</w:t>
      </w:r>
      <w:r w:rsidR="00DE4D25" w:rsidRPr="000A0A5F">
        <w:t>.</w:t>
      </w:r>
    </w:p>
    <w:p w:rsidR="00DE4D25" w:rsidRPr="000A0A5F" w:rsidRDefault="00DE4D25">
      <w:pPr>
        <w:pStyle w:val="PL"/>
      </w:pPr>
      <w:r w:rsidRPr="000A0A5F">
        <w:t xml:space="preserve">      </w:t>
      </w:r>
      <w:r w:rsidRPr="000A0A5F">
        <w:rPr>
          <w:rFonts w:cs="Courier New"/>
          <w:szCs w:val="16"/>
        </w:rPr>
        <w:t>operationId: FetchAll</w:t>
      </w:r>
      <w:r w:rsidRPr="000A0A5F">
        <w:t>MonitoringEventSubscriptions</w:t>
      </w:r>
    </w:p>
    <w:p w:rsidR="00CB0DD7" w:rsidRPr="000A0A5F" w:rsidRDefault="00CB0DD7">
      <w:pPr>
        <w:pStyle w:val="PL"/>
      </w:pPr>
      <w:r w:rsidRPr="000A0A5F">
        <w:t xml:space="preserve">      tags:</w:t>
      </w:r>
    </w:p>
    <w:p w:rsidR="00CB0DD7" w:rsidRPr="000A0A5F" w:rsidRDefault="00CB0DD7">
      <w:pPr>
        <w:pStyle w:val="PL"/>
      </w:pPr>
      <w:r w:rsidRPr="000A0A5F">
        <w:t xml:space="preserve">        - Monitoring</w:t>
      </w:r>
      <w:r w:rsidR="00DE4D25" w:rsidRPr="000A0A5F">
        <w:t xml:space="preserve"> </w:t>
      </w:r>
      <w:r w:rsidRPr="000A0A5F">
        <w:t xml:space="preserve">Event </w:t>
      </w:r>
      <w:r w:rsidR="00DE4D25" w:rsidRPr="000A0A5F">
        <w:t>Subscriptions</w:t>
      </w:r>
    </w:p>
    <w:p w:rsidR="00CB0DD7" w:rsidRPr="000A0A5F" w:rsidRDefault="00CB0DD7">
      <w:pPr>
        <w:pStyle w:val="PL"/>
      </w:pPr>
      <w:r w:rsidRPr="000A0A5F">
        <w:t xml:space="preserve">      parameters:</w:t>
      </w:r>
    </w:p>
    <w:p w:rsidR="00CB0DD7" w:rsidRPr="000A0A5F" w:rsidRDefault="00CB0DD7">
      <w:pPr>
        <w:pStyle w:val="PL"/>
      </w:pPr>
      <w:r w:rsidRPr="000A0A5F">
        <w:t xml:space="preserve">        - name: scsAsId</w:t>
      </w:r>
    </w:p>
    <w:p w:rsidR="00CB0DD7" w:rsidRPr="000A0A5F" w:rsidRDefault="00CB0DD7">
      <w:pPr>
        <w:pStyle w:val="PL"/>
      </w:pPr>
      <w:r w:rsidRPr="000A0A5F">
        <w:t xml:space="preserve">          in: path</w:t>
      </w:r>
    </w:p>
    <w:p w:rsidR="00CB0DD7" w:rsidRPr="000A0A5F" w:rsidRDefault="00CB0DD7">
      <w:pPr>
        <w:pStyle w:val="PL"/>
      </w:pPr>
      <w:r w:rsidRPr="000A0A5F">
        <w:t xml:space="preserve">          description: Identifier of the SCS/AS</w:t>
      </w:r>
    </w:p>
    <w:p w:rsidR="00CB0DD7" w:rsidRPr="000A0A5F" w:rsidRDefault="00CB0DD7">
      <w:pPr>
        <w:pStyle w:val="PL"/>
      </w:pPr>
      <w:r w:rsidRPr="000A0A5F">
        <w:t xml:space="preserve">          required: true</w:t>
      </w:r>
    </w:p>
    <w:p w:rsidR="00CB0DD7" w:rsidRPr="000A0A5F" w:rsidRDefault="00CB0DD7">
      <w:pPr>
        <w:pStyle w:val="PL"/>
      </w:pPr>
      <w:r w:rsidRPr="000A0A5F">
        <w:t xml:space="preserve">          schema:</w:t>
      </w:r>
    </w:p>
    <w:p w:rsidR="00CB0DD7" w:rsidRPr="000A0A5F" w:rsidRDefault="00CB0DD7">
      <w:pPr>
        <w:pStyle w:val="PL"/>
        <w:rPr>
          <w:lang w:val="en-US"/>
        </w:rPr>
      </w:pPr>
      <w:r w:rsidRPr="000A0A5F">
        <w:rPr>
          <w:lang w:val="en-US"/>
        </w:rPr>
        <w:t xml:space="preserve">            type: string</w:t>
      </w:r>
    </w:p>
    <w:p w:rsidR="00A84DCA" w:rsidRPr="000A0A5F" w:rsidRDefault="00A84DCA" w:rsidP="00A84DCA">
      <w:pPr>
        <w:pStyle w:val="PL"/>
      </w:pPr>
      <w:r w:rsidRPr="000A0A5F">
        <w:t xml:space="preserve">        - name: ip-addrs</w:t>
      </w:r>
    </w:p>
    <w:p w:rsidR="00A84DCA" w:rsidRPr="000A0A5F" w:rsidRDefault="00A84DCA" w:rsidP="00A84DCA">
      <w:pPr>
        <w:pStyle w:val="PL"/>
      </w:pPr>
      <w:r w:rsidRPr="000A0A5F">
        <w:t xml:space="preserve">          in: query</w:t>
      </w:r>
    </w:p>
    <w:p w:rsidR="00A84DCA" w:rsidRPr="000A0A5F" w:rsidRDefault="00A84DCA" w:rsidP="00A84DCA">
      <w:pPr>
        <w:pStyle w:val="PL"/>
      </w:pPr>
      <w:r w:rsidRPr="000A0A5F">
        <w:t xml:space="preserve">          description: The IP address(es) of the requested UE(s).</w:t>
      </w:r>
    </w:p>
    <w:p w:rsidR="00A84DCA" w:rsidRPr="000A0A5F" w:rsidRDefault="00A84DCA" w:rsidP="00A84DCA">
      <w:pPr>
        <w:pStyle w:val="PL"/>
      </w:pPr>
      <w:r w:rsidRPr="000A0A5F">
        <w:t xml:space="preserve">          required: false</w:t>
      </w:r>
    </w:p>
    <w:p w:rsidR="00491D21" w:rsidRPr="000A0A5F" w:rsidRDefault="00491D21" w:rsidP="00491D21">
      <w:pPr>
        <w:pStyle w:val="PL"/>
      </w:pPr>
      <w:r w:rsidRPr="000A0A5F">
        <w:t xml:space="preserve">          content:</w:t>
      </w:r>
    </w:p>
    <w:p w:rsidR="00491D21" w:rsidRPr="000A0A5F" w:rsidRDefault="00491D21" w:rsidP="00491D21">
      <w:pPr>
        <w:pStyle w:val="PL"/>
      </w:pPr>
      <w:r w:rsidRPr="000A0A5F">
        <w:t xml:space="preserve">            application/json:</w:t>
      </w:r>
    </w:p>
    <w:p w:rsidR="00A84DCA" w:rsidRPr="000A0A5F" w:rsidRDefault="00A84DCA" w:rsidP="00A84DCA">
      <w:pPr>
        <w:pStyle w:val="PL"/>
      </w:pPr>
      <w:r w:rsidRPr="000A0A5F">
        <w:t xml:space="preserve">          </w:t>
      </w:r>
      <w:r w:rsidR="00491D21" w:rsidRPr="000A0A5F">
        <w:t xml:space="preserve">    </w:t>
      </w:r>
      <w:r w:rsidRPr="000A0A5F">
        <w:t>schema:</w:t>
      </w:r>
    </w:p>
    <w:p w:rsidR="00A84DCA" w:rsidRPr="000A0A5F" w:rsidRDefault="00A84DCA" w:rsidP="00A84DCA">
      <w:pPr>
        <w:pStyle w:val="PL"/>
      </w:pPr>
      <w:r w:rsidRPr="000A0A5F">
        <w:t xml:space="preserve">            </w:t>
      </w:r>
      <w:r w:rsidR="00491D21" w:rsidRPr="000A0A5F">
        <w:t xml:space="preserve">    </w:t>
      </w:r>
      <w:r w:rsidRPr="000A0A5F">
        <w:t>type: array</w:t>
      </w:r>
    </w:p>
    <w:p w:rsidR="00A84DCA" w:rsidRPr="000A0A5F" w:rsidRDefault="00A84DCA" w:rsidP="00A84DCA">
      <w:pPr>
        <w:pStyle w:val="PL"/>
      </w:pPr>
      <w:r w:rsidRPr="000A0A5F">
        <w:t xml:space="preserve">            </w:t>
      </w:r>
      <w:r w:rsidR="00491D21" w:rsidRPr="000A0A5F">
        <w:t xml:space="preserve">    </w:t>
      </w:r>
      <w:r w:rsidRPr="000A0A5F">
        <w:t>items:</w:t>
      </w:r>
    </w:p>
    <w:p w:rsidR="00A84DCA" w:rsidRPr="000A0A5F" w:rsidRDefault="00A84DCA" w:rsidP="00A84DCA">
      <w:pPr>
        <w:pStyle w:val="PL"/>
      </w:pPr>
      <w:r w:rsidRPr="000A0A5F">
        <w:t xml:space="preserve">              </w:t>
      </w:r>
      <w:r w:rsidR="00491D21" w:rsidRPr="000A0A5F">
        <w:t xml:space="preserve">    </w:t>
      </w:r>
      <w:r w:rsidRPr="000A0A5F">
        <w:t>$ref: 'TS29571_CommonData.yaml#/components/schemas/IpAddr'</w:t>
      </w:r>
    </w:p>
    <w:p w:rsidR="00A84DCA" w:rsidRPr="000A0A5F" w:rsidRDefault="00A84DCA" w:rsidP="00A84DCA">
      <w:pPr>
        <w:pStyle w:val="PL"/>
      </w:pPr>
      <w:r w:rsidRPr="000A0A5F">
        <w:t xml:space="preserve">            </w:t>
      </w:r>
      <w:r w:rsidR="00491D21" w:rsidRPr="000A0A5F">
        <w:t xml:space="preserve">    </w:t>
      </w:r>
      <w:r w:rsidRPr="000A0A5F">
        <w:t>minItems: 1</w:t>
      </w:r>
    </w:p>
    <w:p w:rsidR="00A84DCA" w:rsidRPr="000A0A5F" w:rsidRDefault="00A84DCA" w:rsidP="00A84DCA">
      <w:pPr>
        <w:pStyle w:val="PL"/>
      </w:pPr>
      <w:r w:rsidRPr="000A0A5F">
        <w:t xml:space="preserve">        - name: ip-domain</w:t>
      </w:r>
    </w:p>
    <w:p w:rsidR="00A84DCA" w:rsidRPr="000A0A5F" w:rsidRDefault="00A84DCA" w:rsidP="00A84DCA">
      <w:pPr>
        <w:pStyle w:val="PL"/>
      </w:pPr>
      <w:r w:rsidRPr="000A0A5F">
        <w:t xml:space="preserve">          in: query</w:t>
      </w:r>
    </w:p>
    <w:p w:rsidR="00815FEF" w:rsidRPr="000A0A5F" w:rsidRDefault="00A84DCA" w:rsidP="00A84DCA">
      <w:pPr>
        <w:pStyle w:val="PL"/>
      </w:pPr>
      <w:r w:rsidRPr="000A0A5F">
        <w:t xml:space="preserve">          description: </w:t>
      </w:r>
      <w:r w:rsidR="00815FEF" w:rsidRPr="000A0A5F">
        <w:t>&gt;</w:t>
      </w:r>
    </w:p>
    <w:p w:rsidR="00815FEF" w:rsidRPr="000A0A5F" w:rsidRDefault="00815FEF" w:rsidP="00A84DCA">
      <w:pPr>
        <w:pStyle w:val="PL"/>
      </w:pPr>
      <w:r w:rsidRPr="000A0A5F">
        <w:t xml:space="preserve">            </w:t>
      </w:r>
      <w:r w:rsidR="00A84DCA" w:rsidRPr="000A0A5F">
        <w:t>The IPv4 address domain identifier. The attribute may only be provided if IPv4 address</w:t>
      </w:r>
    </w:p>
    <w:p w:rsidR="00A84DCA" w:rsidRPr="000A0A5F" w:rsidRDefault="00815FEF" w:rsidP="00A84DCA">
      <w:pPr>
        <w:pStyle w:val="PL"/>
      </w:pPr>
      <w:r w:rsidRPr="000A0A5F">
        <w:t xml:space="preserve">           </w:t>
      </w:r>
      <w:r w:rsidR="00A84DCA" w:rsidRPr="000A0A5F">
        <w:t xml:space="preserve"> is included in the ip-addrs query parameter.</w:t>
      </w:r>
    </w:p>
    <w:p w:rsidR="00A84DCA" w:rsidRPr="000A0A5F" w:rsidRDefault="00A84DCA" w:rsidP="00A84DCA">
      <w:pPr>
        <w:pStyle w:val="PL"/>
      </w:pPr>
      <w:r w:rsidRPr="000A0A5F">
        <w:t xml:space="preserve">          required: false</w:t>
      </w:r>
    </w:p>
    <w:p w:rsidR="00A84DCA" w:rsidRPr="000A0A5F" w:rsidRDefault="00A84DCA" w:rsidP="00A84DCA">
      <w:pPr>
        <w:pStyle w:val="PL"/>
      </w:pPr>
      <w:r w:rsidRPr="000A0A5F">
        <w:t xml:space="preserve">          schema:</w:t>
      </w:r>
    </w:p>
    <w:p w:rsidR="00A84DCA" w:rsidRPr="000A0A5F" w:rsidRDefault="00A84DCA" w:rsidP="00A84DCA">
      <w:pPr>
        <w:pStyle w:val="PL"/>
      </w:pPr>
      <w:r w:rsidRPr="000A0A5F">
        <w:t xml:space="preserve">            type: string</w:t>
      </w:r>
    </w:p>
    <w:p w:rsidR="00A84DCA" w:rsidRPr="000A0A5F" w:rsidRDefault="00A84DCA" w:rsidP="00A84DCA">
      <w:pPr>
        <w:pStyle w:val="PL"/>
      </w:pPr>
      <w:r w:rsidRPr="000A0A5F">
        <w:t xml:space="preserve">        - name: mac-addrs</w:t>
      </w:r>
    </w:p>
    <w:p w:rsidR="00A84DCA" w:rsidRPr="000A0A5F" w:rsidRDefault="00A84DCA" w:rsidP="00A84DCA">
      <w:pPr>
        <w:pStyle w:val="PL"/>
      </w:pPr>
      <w:r w:rsidRPr="000A0A5F">
        <w:t xml:space="preserve">          in: query</w:t>
      </w:r>
    </w:p>
    <w:p w:rsidR="00A84DCA" w:rsidRPr="000A0A5F" w:rsidRDefault="00A84DCA" w:rsidP="00A84DCA">
      <w:pPr>
        <w:pStyle w:val="PL"/>
      </w:pPr>
      <w:r w:rsidRPr="000A0A5F">
        <w:t xml:space="preserve">          description: The MAC address(es) of the requested UE(s).</w:t>
      </w:r>
    </w:p>
    <w:p w:rsidR="00A84DCA" w:rsidRPr="000A0A5F" w:rsidRDefault="00A84DCA" w:rsidP="00A84DCA">
      <w:pPr>
        <w:pStyle w:val="PL"/>
      </w:pPr>
      <w:r w:rsidRPr="000A0A5F">
        <w:t xml:space="preserve">          required: false</w:t>
      </w:r>
    </w:p>
    <w:p w:rsidR="00A84DCA" w:rsidRPr="000A0A5F" w:rsidRDefault="00A84DCA" w:rsidP="00A84DCA">
      <w:pPr>
        <w:pStyle w:val="PL"/>
      </w:pPr>
      <w:r w:rsidRPr="000A0A5F">
        <w:t xml:space="preserve">          schema:</w:t>
      </w:r>
    </w:p>
    <w:p w:rsidR="00A84DCA" w:rsidRPr="000A0A5F" w:rsidRDefault="00A84DCA" w:rsidP="00A84DCA">
      <w:pPr>
        <w:pStyle w:val="PL"/>
      </w:pPr>
      <w:r w:rsidRPr="000A0A5F">
        <w:t xml:space="preserve">            type: array</w:t>
      </w:r>
    </w:p>
    <w:p w:rsidR="00A84DCA" w:rsidRPr="000A0A5F" w:rsidRDefault="00A84DCA" w:rsidP="00A84DCA">
      <w:pPr>
        <w:pStyle w:val="PL"/>
      </w:pPr>
      <w:r w:rsidRPr="000A0A5F">
        <w:t xml:space="preserve">            items:</w:t>
      </w:r>
    </w:p>
    <w:p w:rsidR="00A84DCA" w:rsidRPr="000A0A5F" w:rsidRDefault="00A84DCA" w:rsidP="00A84DCA">
      <w:pPr>
        <w:pStyle w:val="PL"/>
      </w:pPr>
      <w:r w:rsidRPr="000A0A5F">
        <w:t xml:space="preserve">              $ref: 'TS29571_CommonData.yaml#/components/schemas/MacAddr48'</w:t>
      </w:r>
    </w:p>
    <w:p w:rsidR="00A84DCA" w:rsidRPr="000A0A5F" w:rsidRDefault="00A84DCA" w:rsidP="00A84DCA">
      <w:pPr>
        <w:pStyle w:val="PL"/>
      </w:pPr>
      <w:r w:rsidRPr="000A0A5F">
        <w:t xml:space="preserve">            minItems: 1</w:t>
      </w:r>
    </w:p>
    <w:p w:rsidR="00CB0DD7" w:rsidRPr="000A0A5F" w:rsidRDefault="00CB0DD7">
      <w:pPr>
        <w:pStyle w:val="PL"/>
      </w:pPr>
      <w:r w:rsidRPr="000A0A5F">
        <w:t xml:space="preserve">      responses:</w:t>
      </w:r>
    </w:p>
    <w:p w:rsidR="00CB0DD7" w:rsidRPr="000A0A5F" w:rsidRDefault="00CB0DD7">
      <w:pPr>
        <w:pStyle w:val="PL"/>
      </w:pPr>
      <w:r w:rsidRPr="000A0A5F">
        <w:t xml:space="preserve">        '200':</w:t>
      </w:r>
    </w:p>
    <w:p w:rsidR="00CB0DD7" w:rsidRPr="000A0A5F" w:rsidRDefault="00CB0DD7">
      <w:pPr>
        <w:pStyle w:val="PL"/>
      </w:pPr>
      <w:r w:rsidRPr="000A0A5F">
        <w:t xml:space="preserve">          description: OK (Successful get all </w:t>
      </w:r>
      <w:r w:rsidR="00F4764B" w:rsidRPr="000A0A5F">
        <w:t>or queried</w:t>
      </w:r>
      <w:r w:rsidRPr="000A0A5F">
        <w:t xml:space="preserve"> active subscriptions for the SCS/AS)</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application/json:</w:t>
      </w:r>
    </w:p>
    <w:p w:rsidR="00CB0DD7" w:rsidRPr="000A0A5F" w:rsidRDefault="00CB0DD7">
      <w:pPr>
        <w:pStyle w:val="PL"/>
      </w:pPr>
      <w:r w:rsidRPr="000A0A5F">
        <w:t xml:space="preserve">              schema:</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$ref: '#/components/schemas/MonitoringEventSubscription'</w:t>
      </w:r>
    </w:p>
    <w:p w:rsidR="00CB0DD7" w:rsidRPr="000A0A5F" w:rsidRDefault="00CB0DD7">
      <w:pPr>
        <w:pStyle w:val="PL"/>
      </w:pPr>
      <w:r w:rsidRPr="000A0A5F">
        <w:t xml:space="preserve">                minItems: 0</w:t>
      </w:r>
    </w:p>
    <w:p w:rsidR="00CB0DD7" w:rsidRPr="000A0A5F" w:rsidRDefault="00CB0DD7">
      <w:pPr>
        <w:pStyle w:val="PL"/>
      </w:pPr>
      <w:r w:rsidRPr="000A0A5F">
        <w:t xml:space="preserve">                description: Monitoring event subscriptions</w:t>
      </w:r>
    </w:p>
    <w:p w:rsidR="00CB0DD7" w:rsidRPr="000A0A5F" w:rsidRDefault="00CB0DD7">
      <w:pPr>
        <w:pStyle w:val="PL"/>
      </w:pPr>
      <w:r w:rsidRPr="000A0A5F">
        <w:t xml:space="preserve">        '307':</w:t>
      </w:r>
    </w:p>
    <w:p w:rsidR="00CB0DD7" w:rsidRPr="000A0A5F" w:rsidRDefault="00CB0DD7">
      <w:pPr>
        <w:pStyle w:val="PL"/>
      </w:pPr>
      <w:r w:rsidRPr="000A0A5F">
        <w:t xml:space="preserve">          $ref: 'TS29122_CommonData.yaml#/components/responses/307'</w:t>
      </w:r>
    </w:p>
    <w:p w:rsidR="00CB0DD7" w:rsidRPr="000A0A5F" w:rsidRDefault="00CB0DD7">
      <w:pPr>
        <w:pStyle w:val="PL"/>
      </w:pPr>
      <w:r w:rsidRPr="000A0A5F">
        <w:t xml:space="preserve">        '308':</w:t>
      </w:r>
    </w:p>
    <w:p w:rsidR="00CB0DD7" w:rsidRPr="000A0A5F" w:rsidRDefault="00CB0DD7">
      <w:pPr>
        <w:pStyle w:val="PL"/>
      </w:pPr>
      <w:r w:rsidRPr="000A0A5F">
        <w:t xml:space="preserve">          $ref: 'TS29122_CommonData.yaml#/components/responses/308'</w:t>
      </w:r>
    </w:p>
    <w:p w:rsidR="00CB0DD7" w:rsidRPr="000A0A5F" w:rsidRDefault="00CB0DD7">
      <w:pPr>
        <w:pStyle w:val="PL"/>
      </w:pPr>
      <w:r w:rsidRPr="000A0A5F">
        <w:t xml:space="preserve">        '400':</w:t>
      </w:r>
    </w:p>
    <w:p w:rsidR="00CB0DD7" w:rsidRPr="000A0A5F" w:rsidRDefault="00CB0DD7">
      <w:pPr>
        <w:pStyle w:val="PL"/>
      </w:pPr>
      <w:r w:rsidRPr="000A0A5F">
        <w:t xml:space="preserve">          $ref: 'TS29122_CommonData.yaml#/components/responses/400'</w:t>
      </w:r>
    </w:p>
    <w:p w:rsidR="00CB0DD7" w:rsidRPr="000A0A5F" w:rsidRDefault="00CB0DD7">
      <w:pPr>
        <w:pStyle w:val="PL"/>
      </w:pPr>
      <w:r w:rsidRPr="000A0A5F">
        <w:t xml:space="preserve">        '401':</w:t>
      </w:r>
    </w:p>
    <w:p w:rsidR="00CB0DD7" w:rsidRPr="000A0A5F" w:rsidRDefault="00CB0DD7">
      <w:pPr>
        <w:pStyle w:val="PL"/>
      </w:pPr>
      <w:r w:rsidRPr="000A0A5F">
        <w:t xml:space="preserve">          $ref: 'TS29122_CommonData.yaml#/components/responses/401'</w:t>
      </w:r>
    </w:p>
    <w:p w:rsidR="00CB0DD7" w:rsidRPr="000A0A5F" w:rsidRDefault="00CB0DD7">
      <w:pPr>
        <w:pStyle w:val="PL"/>
      </w:pPr>
      <w:r w:rsidRPr="000A0A5F">
        <w:t xml:space="preserve">        '403':</w:t>
      </w:r>
    </w:p>
    <w:p w:rsidR="00CB0DD7" w:rsidRPr="000A0A5F" w:rsidRDefault="00CB0DD7">
      <w:pPr>
        <w:pStyle w:val="PL"/>
      </w:pPr>
      <w:r w:rsidRPr="000A0A5F">
        <w:t xml:space="preserve">          $ref: 'TS29122_CommonData.yaml#/components/responses/403'</w:t>
      </w:r>
    </w:p>
    <w:p w:rsidR="00CB0DD7" w:rsidRPr="000A0A5F" w:rsidRDefault="00CB0DD7">
      <w:pPr>
        <w:pStyle w:val="PL"/>
      </w:pPr>
      <w:r w:rsidRPr="000A0A5F">
        <w:t xml:space="preserve">        '404':</w:t>
      </w:r>
    </w:p>
    <w:p w:rsidR="00CB0DD7" w:rsidRPr="000A0A5F" w:rsidRDefault="00CB0DD7">
      <w:pPr>
        <w:pStyle w:val="PL"/>
      </w:pPr>
      <w:r w:rsidRPr="000A0A5F">
        <w:t xml:space="preserve">          $ref: 'TS29122_CommonData.yaml#/components/responses/404'</w:t>
      </w:r>
    </w:p>
    <w:p w:rsidR="00CB0DD7" w:rsidRPr="000A0A5F" w:rsidRDefault="00CB0DD7">
      <w:pPr>
        <w:pStyle w:val="PL"/>
      </w:pPr>
      <w:r w:rsidRPr="000A0A5F">
        <w:t xml:space="preserve">        '406':</w:t>
      </w:r>
    </w:p>
    <w:p w:rsidR="00CB0DD7" w:rsidRPr="000A0A5F" w:rsidRDefault="00CB0DD7">
      <w:pPr>
        <w:pStyle w:val="PL"/>
      </w:pPr>
      <w:r w:rsidRPr="000A0A5F">
        <w:t xml:space="preserve">          $ref: 'TS29122_CommonData.yaml#/components/responses/406'</w:t>
      </w:r>
    </w:p>
    <w:p w:rsidR="00CB0DD7" w:rsidRPr="000A0A5F" w:rsidRDefault="00CB0DD7">
      <w:pPr>
        <w:pStyle w:val="PL"/>
      </w:pPr>
      <w:r w:rsidRPr="000A0A5F">
        <w:t xml:space="preserve">        '429':</w:t>
      </w:r>
    </w:p>
    <w:p w:rsidR="00CB0DD7" w:rsidRPr="000A0A5F" w:rsidRDefault="00CB0DD7">
      <w:pPr>
        <w:pStyle w:val="PL"/>
      </w:pPr>
      <w:r w:rsidRPr="000A0A5F">
        <w:t xml:space="preserve">          $ref: 'TS29122_CommonData.yaml#/components/responses/429'</w:t>
      </w:r>
    </w:p>
    <w:p w:rsidR="00CB0DD7" w:rsidRPr="000A0A5F" w:rsidRDefault="00CB0DD7">
      <w:pPr>
        <w:pStyle w:val="PL"/>
      </w:pPr>
      <w:r w:rsidRPr="000A0A5F">
        <w:t xml:space="preserve">        '500':</w:t>
      </w:r>
    </w:p>
    <w:p w:rsidR="00CB0DD7" w:rsidRPr="000A0A5F" w:rsidRDefault="00CB0DD7">
      <w:pPr>
        <w:pStyle w:val="PL"/>
      </w:pPr>
      <w:r w:rsidRPr="000A0A5F">
        <w:t xml:space="preserve">          $ref: 'TS29122_CommonData.yaml#/components/responses/500'</w:t>
      </w:r>
    </w:p>
    <w:p w:rsidR="00CB0DD7" w:rsidRPr="000A0A5F" w:rsidRDefault="00CB0DD7">
      <w:pPr>
        <w:pStyle w:val="PL"/>
      </w:pPr>
      <w:r w:rsidRPr="000A0A5F">
        <w:t xml:space="preserve">        '503':</w:t>
      </w:r>
    </w:p>
    <w:p w:rsidR="00CB0DD7" w:rsidRPr="000A0A5F" w:rsidRDefault="00CB0DD7">
      <w:pPr>
        <w:pStyle w:val="PL"/>
      </w:pPr>
      <w:r w:rsidRPr="000A0A5F">
        <w:t xml:space="preserve">          $ref: 'TS29122_CommonData.yaml#/components/responses/503'</w:t>
      </w:r>
    </w:p>
    <w:p w:rsidR="00CB0DD7" w:rsidRPr="000A0A5F" w:rsidRDefault="00CB0DD7">
      <w:pPr>
        <w:pStyle w:val="PL"/>
      </w:pPr>
      <w:r w:rsidRPr="000A0A5F">
        <w:t xml:space="preserve">        default:</w:t>
      </w:r>
    </w:p>
    <w:p w:rsidR="00CB0DD7" w:rsidRPr="000A0A5F" w:rsidRDefault="00CB0DD7">
      <w:pPr>
        <w:pStyle w:val="PL"/>
      </w:pPr>
      <w:r w:rsidRPr="000A0A5F">
        <w:t xml:space="preserve">          $ref: 'TS29122_CommonData.yaml#/components/responses/default'</w:t>
      </w:r>
    </w:p>
    <w:p w:rsidR="00CB0DD7" w:rsidRPr="000A0A5F" w:rsidRDefault="00CB0DD7">
      <w:pPr>
        <w:pStyle w:val="PL"/>
      </w:pPr>
    </w:p>
    <w:p w:rsidR="00CB0DD7" w:rsidRPr="000A0A5F" w:rsidRDefault="00CB0DD7">
      <w:pPr>
        <w:pStyle w:val="PL"/>
      </w:pPr>
      <w:r w:rsidRPr="000A0A5F">
        <w:t xml:space="preserve">    post:</w:t>
      </w:r>
    </w:p>
    <w:p w:rsidR="00CB0DD7" w:rsidRPr="000A0A5F" w:rsidRDefault="00CB0DD7">
      <w:pPr>
        <w:pStyle w:val="PL"/>
      </w:pPr>
      <w:r w:rsidRPr="000A0A5F">
        <w:t xml:space="preserve">      summary: Creates a new subscription resource for monitoring event notification</w:t>
      </w:r>
      <w:r w:rsidR="00DE4D25" w:rsidRPr="000A0A5F">
        <w:t>.</w:t>
      </w:r>
    </w:p>
    <w:p w:rsidR="00DE4D25" w:rsidRPr="000A0A5F" w:rsidRDefault="00DE4D25" w:rsidP="00DE4D25">
      <w:pPr>
        <w:pStyle w:val="PL"/>
      </w:pPr>
      <w:r w:rsidRPr="000A0A5F">
        <w:t xml:space="preserve">      </w:t>
      </w:r>
      <w:r w:rsidRPr="000A0A5F">
        <w:rPr>
          <w:rFonts w:cs="Courier New"/>
          <w:szCs w:val="16"/>
        </w:rPr>
        <w:t>operationId: Create</w:t>
      </w:r>
      <w:r w:rsidRPr="000A0A5F">
        <w:t>MonitoringEventSubscription</w:t>
      </w:r>
    </w:p>
    <w:p w:rsidR="00CB0DD7" w:rsidRPr="000A0A5F" w:rsidRDefault="00CB0DD7">
      <w:pPr>
        <w:pStyle w:val="PL"/>
      </w:pPr>
      <w:r w:rsidRPr="000A0A5F">
        <w:t xml:space="preserve">      tags:</w:t>
      </w:r>
    </w:p>
    <w:p w:rsidR="00CB0DD7" w:rsidRPr="000A0A5F" w:rsidRDefault="00CB0DD7">
      <w:pPr>
        <w:pStyle w:val="PL"/>
      </w:pPr>
      <w:r w:rsidRPr="000A0A5F">
        <w:t xml:space="preserve">        - Monitoring</w:t>
      </w:r>
      <w:r w:rsidR="00DE4D25" w:rsidRPr="000A0A5F">
        <w:t xml:space="preserve"> </w:t>
      </w:r>
      <w:r w:rsidRPr="000A0A5F">
        <w:t>Event Subscription</w:t>
      </w:r>
      <w:r w:rsidR="00DE4D25" w:rsidRPr="000A0A5F">
        <w:t>s</w:t>
      </w:r>
    </w:p>
    <w:p w:rsidR="00CB0DD7" w:rsidRPr="000A0A5F" w:rsidRDefault="00CB0DD7">
      <w:pPr>
        <w:pStyle w:val="PL"/>
      </w:pPr>
      <w:r w:rsidRPr="000A0A5F">
        <w:t xml:space="preserve">      parameters:</w:t>
      </w:r>
    </w:p>
    <w:p w:rsidR="00CB0DD7" w:rsidRPr="000A0A5F" w:rsidRDefault="00CB0DD7">
      <w:pPr>
        <w:pStyle w:val="PL"/>
      </w:pPr>
      <w:r w:rsidRPr="000A0A5F">
        <w:t xml:space="preserve">        - name: scsAsId</w:t>
      </w:r>
    </w:p>
    <w:p w:rsidR="00CB0DD7" w:rsidRPr="000A0A5F" w:rsidRDefault="00CB0DD7">
      <w:pPr>
        <w:pStyle w:val="PL"/>
      </w:pPr>
      <w:r w:rsidRPr="000A0A5F">
        <w:t xml:space="preserve">          in: path</w:t>
      </w:r>
    </w:p>
    <w:p w:rsidR="00CB0DD7" w:rsidRPr="000A0A5F" w:rsidRDefault="00CB0DD7">
      <w:pPr>
        <w:pStyle w:val="PL"/>
      </w:pPr>
      <w:r w:rsidRPr="000A0A5F">
        <w:t xml:space="preserve">          description: Identifier of the SCS/AS</w:t>
      </w:r>
    </w:p>
    <w:p w:rsidR="00CB0DD7" w:rsidRPr="000A0A5F" w:rsidRDefault="00CB0DD7">
      <w:pPr>
        <w:pStyle w:val="PL"/>
      </w:pPr>
      <w:r w:rsidRPr="000A0A5F">
        <w:t xml:space="preserve">          required: true</w:t>
      </w:r>
    </w:p>
    <w:p w:rsidR="00CB0DD7" w:rsidRPr="000A0A5F" w:rsidRDefault="00CB0DD7">
      <w:pPr>
        <w:pStyle w:val="PL"/>
      </w:pPr>
      <w:r w:rsidRPr="000A0A5F">
        <w:t xml:space="preserve">          schema:</w:t>
      </w:r>
    </w:p>
    <w:p w:rsidR="00CB0DD7" w:rsidRPr="000A0A5F" w:rsidRDefault="00CB0DD7">
      <w:pPr>
        <w:pStyle w:val="PL"/>
      </w:pPr>
      <w:r w:rsidRPr="000A0A5F">
        <w:t xml:space="preserve">            type: string</w:t>
      </w:r>
    </w:p>
    <w:p w:rsidR="00CB0DD7" w:rsidRPr="000A0A5F" w:rsidRDefault="00CB0DD7">
      <w:pPr>
        <w:pStyle w:val="PL"/>
      </w:pPr>
      <w:r w:rsidRPr="000A0A5F">
        <w:t xml:space="preserve">      requestBody:</w:t>
      </w:r>
    </w:p>
    <w:p w:rsidR="00CB0DD7" w:rsidRPr="000A0A5F" w:rsidRDefault="00CB0DD7">
      <w:pPr>
        <w:pStyle w:val="PL"/>
      </w:pPr>
      <w:r w:rsidRPr="000A0A5F">
        <w:t xml:space="preserve">        description: Subscription for notification about monitoring event</w:t>
      </w:r>
    </w:p>
    <w:p w:rsidR="00CB0DD7" w:rsidRPr="000A0A5F" w:rsidRDefault="00CB0DD7">
      <w:pPr>
        <w:pStyle w:val="PL"/>
      </w:pPr>
      <w:r w:rsidRPr="000A0A5F">
        <w:t xml:space="preserve">        required: true</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application/json:</w:t>
      </w:r>
    </w:p>
    <w:p w:rsidR="00CB0DD7" w:rsidRPr="000A0A5F" w:rsidRDefault="00CB0DD7">
      <w:pPr>
        <w:pStyle w:val="PL"/>
      </w:pPr>
      <w:r w:rsidRPr="000A0A5F">
        <w:t xml:space="preserve">            schema:</w:t>
      </w:r>
    </w:p>
    <w:p w:rsidR="00CB0DD7" w:rsidRPr="000A0A5F" w:rsidRDefault="00CB0DD7">
      <w:pPr>
        <w:pStyle w:val="PL"/>
      </w:pPr>
      <w:r w:rsidRPr="000A0A5F">
        <w:t xml:space="preserve">              $ref: '#/components/schemas/MonitoringEventSubscription'</w:t>
      </w:r>
    </w:p>
    <w:p w:rsidR="00CB0DD7" w:rsidRPr="000A0A5F" w:rsidRDefault="00CB0DD7">
      <w:pPr>
        <w:pStyle w:val="PL"/>
      </w:pPr>
      <w:r w:rsidRPr="000A0A5F">
        <w:t xml:space="preserve">      callbacks:</w:t>
      </w:r>
    </w:p>
    <w:p w:rsidR="00CB0DD7" w:rsidRPr="000A0A5F" w:rsidRDefault="00CB0DD7">
      <w:pPr>
        <w:pStyle w:val="PL"/>
        <w:rPr>
          <w:lang w:val="fr-FR"/>
        </w:rPr>
      </w:pPr>
      <w:r w:rsidRPr="000A0A5F">
        <w:t xml:space="preserve">        </w:t>
      </w:r>
      <w:r w:rsidRPr="000A0A5F">
        <w:rPr>
          <w:lang w:val="fr-FR"/>
        </w:rPr>
        <w:t>notificationDestination:</w:t>
      </w:r>
    </w:p>
    <w:p w:rsidR="00CB0DD7" w:rsidRPr="000A0A5F" w:rsidRDefault="00CB0DD7">
      <w:pPr>
        <w:pStyle w:val="PL"/>
        <w:rPr>
          <w:lang w:val="fr-FR"/>
        </w:rPr>
      </w:pPr>
      <w:r w:rsidRPr="000A0A5F">
        <w:rPr>
          <w:lang w:val="fr-FR"/>
        </w:rPr>
        <w:t xml:space="preserve">          '{request.body#/notificationDestination}':</w:t>
      </w:r>
    </w:p>
    <w:p w:rsidR="00CB0DD7" w:rsidRPr="000A0A5F" w:rsidRDefault="00CB0DD7">
      <w:pPr>
        <w:pStyle w:val="PL"/>
      </w:pPr>
      <w:r w:rsidRPr="000A0A5F">
        <w:rPr>
          <w:lang w:val="fr-FR"/>
        </w:rPr>
        <w:t xml:space="preserve">            </w:t>
      </w:r>
      <w:r w:rsidRPr="000A0A5F">
        <w:t>post:</w:t>
      </w:r>
    </w:p>
    <w:p w:rsidR="00CB0DD7" w:rsidRPr="000A0A5F" w:rsidRDefault="00CB0DD7">
      <w:pPr>
        <w:pStyle w:val="PL"/>
      </w:pPr>
      <w:r w:rsidRPr="000A0A5F">
        <w:t xml:space="preserve">              requestBody:  # contents of the callback message</w:t>
      </w:r>
    </w:p>
    <w:p w:rsidR="00CB0DD7" w:rsidRPr="000A0A5F" w:rsidRDefault="00CB0DD7">
      <w:pPr>
        <w:pStyle w:val="PL"/>
      </w:pPr>
      <w:r w:rsidRPr="000A0A5F">
        <w:t xml:space="preserve">                required: true</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application/json:</w:t>
      </w:r>
    </w:p>
    <w:p w:rsidR="00CB0DD7" w:rsidRPr="000A0A5F" w:rsidRDefault="00CB0DD7">
      <w:pPr>
        <w:pStyle w:val="PL"/>
      </w:pPr>
      <w:r w:rsidRPr="000A0A5F">
        <w:t xml:space="preserve">                    schema:</w:t>
      </w:r>
    </w:p>
    <w:p w:rsidR="00CB0DD7" w:rsidRPr="000A0A5F" w:rsidRDefault="00CB0DD7">
      <w:pPr>
        <w:pStyle w:val="PL"/>
      </w:pPr>
      <w:r w:rsidRPr="000A0A5F">
        <w:t xml:space="preserve">                      $ref: '#/components/schemas/MonitoringNotification'</w:t>
      </w:r>
    </w:p>
    <w:p w:rsidR="00CB0DD7" w:rsidRPr="000A0A5F" w:rsidRDefault="00CB0DD7">
      <w:pPr>
        <w:pStyle w:val="PL"/>
      </w:pPr>
      <w:r w:rsidRPr="000A0A5F">
        <w:t xml:space="preserve">              responses:</w:t>
      </w:r>
    </w:p>
    <w:p w:rsidR="00CB0DD7" w:rsidRPr="000A0A5F" w:rsidRDefault="00CB0DD7">
      <w:pPr>
        <w:pStyle w:val="PL"/>
      </w:pPr>
      <w:r w:rsidRPr="000A0A5F">
        <w:t xml:space="preserve">                '204':</w:t>
      </w:r>
    </w:p>
    <w:p w:rsidR="00CB0DD7" w:rsidRPr="000A0A5F" w:rsidRDefault="00CB0DD7">
      <w:pPr>
        <w:pStyle w:val="PL"/>
      </w:pPr>
      <w:r w:rsidRPr="000A0A5F">
        <w:t xml:space="preserve">                  description: No Content (successful notification)</w:t>
      </w:r>
    </w:p>
    <w:p w:rsidR="00CB0DD7" w:rsidRPr="000A0A5F" w:rsidRDefault="00CB0DD7">
      <w:pPr>
        <w:pStyle w:val="PL"/>
      </w:pPr>
      <w:r w:rsidRPr="000A0A5F">
        <w:t xml:space="preserve">                '307':</w:t>
      </w:r>
    </w:p>
    <w:p w:rsidR="00CB0DD7" w:rsidRPr="000A0A5F" w:rsidRDefault="00CB0DD7">
      <w:pPr>
        <w:pStyle w:val="PL"/>
      </w:pPr>
      <w:r w:rsidRPr="000A0A5F">
        <w:t xml:space="preserve">                  $ref: 'TS29122_CommonData.yaml#/components/responses/307'</w:t>
      </w:r>
    </w:p>
    <w:p w:rsidR="00CB0DD7" w:rsidRPr="000A0A5F" w:rsidRDefault="00CB0DD7">
      <w:pPr>
        <w:pStyle w:val="PL"/>
      </w:pPr>
      <w:r w:rsidRPr="000A0A5F">
        <w:t xml:space="preserve">                '308':</w:t>
      </w:r>
    </w:p>
    <w:p w:rsidR="00CB0DD7" w:rsidRPr="000A0A5F" w:rsidRDefault="00CB0DD7">
      <w:pPr>
        <w:pStyle w:val="PL"/>
      </w:pPr>
      <w:r w:rsidRPr="000A0A5F">
        <w:t xml:space="preserve">                  $ref: 'TS29122_CommonData.yaml#/components/responses/308'</w:t>
      </w:r>
    </w:p>
    <w:p w:rsidR="00CB0DD7" w:rsidRPr="000A0A5F" w:rsidRDefault="00CB0DD7">
      <w:pPr>
        <w:pStyle w:val="PL"/>
      </w:pPr>
      <w:r w:rsidRPr="000A0A5F">
        <w:t xml:space="preserve">                '400':</w:t>
      </w:r>
    </w:p>
    <w:p w:rsidR="00CB0DD7" w:rsidRPr="000A0A5F" w:rsidRDefault="00CB0DD7">
      <w:pPr>
        <w:pStyle w:val="PL"/>
      </w:pPr>
      <w:r w:rsidRPr="000A0A5F">
        <w:t xml:space="preserve">                  $ref: 'TS29122_CommonData.yaml#/components/responses/400'</w:t>
      </w:r>
    </w:p>
    <w:p w:rsidR="00CB0DD7" w:rsidRPr="000A0A5F" w:rsidRDefault="00CB0DD7">
      <w:pPr>
        <w:pStyle w:val="PL"/>
      </w:pPr>
      <w:r w:rsidRPr="000A0A5F">
        <w:t xml:space="preserve">                '401':</w:t>
      </w:r>
    </w:p>
    <w:p w:rsidR="00CB0DD7" w:rsidRPr="000A0A5F" w:rsidRDefault="00CB0DD7">
      <w:pPr>
        <w:pStyle w:val="PL"/>
      </w:pPr>
      <w:r w:rsidRPr="000A0A5F">
        <w:t xml:space="preserve">                  $ref: 'TS29122_CommonData.yaml#/components/responses/401'</w:t>
      </w:r>
    </w:p>
    <w:p w:rsidR="00CB0DD7" w:rsidRPr="000A0A5F" w:rsidRDefault="00CB0DD7">
      <w:pPr>
        <w:pStyle w:val="PL"/>
      </w:pPr>
      <w:r w:rsidRPr="000A0A5F">
        <w:t xml:space="preserve">                '403':</w:t>
      </w:r>
    </w:p>
    <w:p w:rsidR="00CB0DD7" w:rsidRPr="000A0A5F" w:rsidRDefault="00CB0DD7">
      <w:pPr>
        <w:pStyle w:val="PL"/>
      </w:pPr>
      <w:r w:rsidRPr="000A0A5F">
        <w:t xml:space="preserve">                  $ref: 'TS29122_CommonData.yaml#/components/responses/403'</w:t>
      </w:r>
    </w:p>
    <w:p w:rsidR="00CB0DD7" w:rsidRPr="000A0A5F" w:rsidRDefault="00CB0DD7">
      <w:pPr>
        <w:pStyle w:val="PL"/>
      </w:pPr>
      <w:r w:rsidRPr="000A0A5F">
        <w:t xml:space="preserve">                '404':</w:t>
      </w:r>
    </w:p>
    <w:p w:rsidR="00CB0DD7" w:rsidRPr="000A0A5F" w:rsidRDefault="00CB0DD7">
      <w:pPr>
        <w:pStyle w:val="PL"/>
      </w:pPr>
      <w:r w:rsidRPr="000A0A5F">
        <w:t xml:space="preserve">                  $ref: 'TS29122_CommonData.yaml#/components/responses/404'</w:t>
      </w:r>
    </w:p>
    <w:p w:rsidR="00CB0DD7" w:rsidRPr="000A0A5F" w:rsidRDefault="00CB0DD7">
      <w:pPr>
        <w:pStyle w:val="PL"/>
      </w:pPr>
      <w:r w:rsidRPr="000A0A5F">
        <w:t xml:space="preserve">                '411':</w:t>
      </w:r>
    </w:p>
    <w:p w:rsidR="00CB0DD7" w:rsidRPr="000A0A5F" w:rsidRDefault="00CB0DD7">
      <w:pPr>
        <w:pStyle w:val="PL"/>
      </w:pPr>
      <w:r w:rsidRPr="000A0A5F">
        <w:t xml:space="preserve">                  $ref: 'TS29122_CommonData.yaml#/components/responses/411'</w:t>
      </w:r>
    </w:p>
    <w:p w:rsidR="00CB0DD7" w:rsidRPr="000A0A5F" w:rsidRDefault="00CB0DD7">
      <w:pPr>
        <w:pStyle w:val="PL"/>
      </w:pPr>
      <w:r w:rsidRPr="000A0A5F">
        <w:t xml:space="preserve">                '413':</w:t>
      </w:r>
    </w:p>
    <w:p w:rsidR="00CB0DD7" w:rsidRPr="000A0A5F" w:rsidRDefault="00CB0DD7">
      <w:pPr>
        <w:pStyle w:val="PL"/>
      </w:pPr>
      <w:r w:rsidRPr="000A0A5F">
        <w:t xml:space="preserve">                  $ref: 'TS29122_CommonData.yaml#/components/responses/413'</w:t>
      </w:r>
    </w:p>
    <w:p w:rsidR="00CB0DD7" w:rsidRPr="000A0A5F" w:rsidRDefault="00CB0DD7">
      <w:pPr>
        <w:pStyle w:val="PL"/>
      </w:pPr>
      <w:r w:rsidRPr="000A0A5F">
        <w:t xml:space="preserve">                '415':</w:t>
      </w:r>
    </w:p>
    <w:p w:rsidR="00CB0DD7" w:rsidRPr="000A0A5F" w:rsidRDefault="00CB0DD7">
      <w:pPr>
        <w:pStyle w:val="PL"/>
      </w:pPr>
      <w:r w:rsidRPr="000A0A5F">
        <w:t xml:space="preserve">                  $ref: 'TS29122_CommonData.yaml#/components/responses/415'</w:t>
      </w:r>
    </w:p>
    <w:p w:rsidR="00CB0DD7" w:rsidRPr="000A0A5F" w:rsidRDefault="00CB0DD7">
      <w:pPr>
        <w:pStyle w:val="PL"/>
      </w:pPr>
      <w:r w:rsidRPr="000A0A5F">
        <w:t xml:space="preserve">                '429':</w:t>
      </w:r>
    </w:p>
    <w:p w:rsidR="00CB0DD7" w:rsidRPr="000A0A5F" w:rsidRDefault="00CB0DD7">
      <w:pPr>
        <w:pStyle w:val="PL"/>
      </w:pPr>
      <w:r w:rsidRPr="000A0A5F">
        <w:t xml:space="preserve">                  $ref: 'TS29122_CommonData.yaml#/components/responses/429'</w:t>
      </w:r>
    </w:p>
    <w:p w:rsidR="00CB0DD7" w:rsidRPr="000A0A5F" w:rsidRDefault="00CB0DD7">
      <w:pPr>
        <w:pStyle w:val="PL"/>
      </w:pPr>
      <w:r w:rsidRPr="000A0A5F">
        <w:t xml:space="preserve">                '500':</w:t>
      </w:r>
    </w:p>
    <w:p w:rsidR="00CB0DD7" w:rsidRPr="000A0A5F" w:rsidRDefault="00CB0DD7">
      <w:pPr>
        <w:pStyle w:val="PL"/>
      </w:pPr>
      <w:r w:rsidRPr="000A0A5F">
        <w:t xml:space="preserve">                  $ref: 'TS29122_CommonData.yaml#/components/responses/500'</w:t>
      </w:r>
    </w:p>
    <w:p w:rsidR="00CB0DD7" w:rsidRPr="000A0A5F" w:rsidRDefault="00CB0DD7">
      <w:pPr>
        <w:pStyle w:val="PL"/>
      </w:pPr>
      <w:r w:rsidRPr="000A0A5F">
        <w:t xml:space="preserve">                '503':</w:t>
      </w:r>
    </w:p>
    <w:p w:rsidR="00CB0DD7" w:rsidRPr="000A0A5F" w:rsidRDefault="00CB0DD7">
      <w:pPr>
        <w:pStyle w:val="PL"/>
      </w:pPr>
      <w:r w:rsidRPr="000A0A5F">
        <w:t xml:space="preserve">                  $ref: 'TS29122_CommonData.yaml#/components/responses/503'</w:t>
      </w:r>
    </w:p>
    <w:p w:rsidR="00CB0DD7" w:rsidRPr="000A0A5F" w:rsidRDefault="00CB0DD7">
      <w:pPr>
        <w:pStyle w:val="PL"/>
      </w:pPr>
      <w:r w:rsidRPr="000A0A5F">
        <w:t xml:space="preserve">                default:</w:t>
      </w:r>
    </w:p>
    <w:p w:rsidR="00CB0DD7" w:rsidRPr="000A0A5F" w:rsidRDefault="00CB0DD7">
      <w:pPr>
        <w:pStyle w:val="PL"/>
      </w:pPr>
      <w:r w:rsidRPr="000A0A5F">
        <w:t xml:space="preserve">                  $ref: 'TS29122_CommonData.yaml#/components/responses/default'</w:t>
      </w:r>
    </w:p>
    <w:p w:rsidR="00E37664" w:rsidRPr="000A0A5F" w:rsidRDefault="00E37664" w:rsidP="00E37664">
      <w:pPr>
        <w:pStyle w:val="PL"/>
        <w:rPr>
          <w:lang w:val="fr-FR"/>
        </w:rPr>
      </w:pPr>
      <w:r w:rsidRPr="000A0A5F">
        <w:rPr>
          <w:lang w:val="en-US"/>
        </w:rPr>
        <w:t xml:space="preserve">        </w:t>
      </w:r>
      <w:r w:rsidRPr="000A0A5F">
        <w:rPr>
          <w:lang w:val="fr-FR"/>
        </w:rPr>
        <w:t>UserConsentRevocationNotif:</w:t>
      </w:r>
    </w:p>
    <w:p w:rsidR="00E37664" w:rsidRPr="000A0A5F" w:rsidRDefault="00E37664" w:rsidP="00E37664">
      <w:pPr>
        <w:pStyle w:val="PL"/>
        <w:rPr>
          <w:lang w:val="fr-FR"/>
        </w:rPr>
      </w:pPr>
      <w:r w:rsidRPr="000A0A5F">
        <w:rPr>
          <w:lang w:val="fr-FR"/>
        </w:rPr>
        <w:t xml:space="preserve">          '{request.body#/revocationNotifUri}':</w:t>
      </w:r>
    </w:p>
    <w:p w:rsidR="00E37664" w:rsidRPr="000A0A5F" w:rsidRDefault="00E37664" w:rsidP="00E37664">
      <w:pPr>
        <w:pStyle w:val="PL"/>
      </w:pPr>
      <w:r w:rsidRPr="000A0A5F">
        <w:rPr>
          <w:lang w:val="fr-FR"/>
        </w:rPr>
        <w:t xml:space="preserve">            </w:t>
      </w:r>
      <w:r w:rsidRPr="000A0A5F">
        <w:t>post:</w:t>
      </w:r>
    </w:p>
    <w:p w:rsidR="00E37664" w:rsidRPr="000A0A5F" w:rsidRDefault="00E37664" w:rsidP="00E37664">
      <w:pPr>
        <w:pStyle w:val="PL"/>
      </w:pPr>
      <w:r w:rsidRPr="000A0A5F">
        <w:t xml:space="preserve">              requestBody:</w:t>
      </w:r>
    </w:p>
    <w:p w:rsidR="00E37664" w:rsidRPr="000A0A5F" w:rsidRDefault="00E37664" w:rsidP="00E37664">
      <w:pPr>
        <w:pStyle w:val="PL"/>
      </w:pPr>
      <w:r w:rsidRPr="000A0A5F">
        <w:t xml:space="preserve">                required: true</w:t>
      </w:r>
    </w:p>
    <w:p w:rsidR="00E37664" w:rsidRPr="000A0A5F" w:rsidRDefault="00E37664" w:rsidP="00E37664">
      <w:pPr>
        <w:pStyle w:val="PL"/>
      </w:pPr>
      <w:r w:rsidRPr="000A0A5F">
        <w:t xml:space="preserve">                content:</w:t>
      </w:r>
    </w:p>
    <w:p w:rsidR="00E37664" w:rsidRPr="000A0A5F" w:rsidRDefault="00E37664" w:rsidP="00E37664">
      <w:pPr>
        <w:pStyle w:val="PL"/>
      </w:pPr>
      <w:r w:rsidRPr="000A0A5F">
        <w:t xml:space="preserve">                  application/json:</w:t>
      </w:r>
    </w:p>
    <w:p w:rsidR="00E37664" w:rsidRPr="000A0A5F" w:rsidRDefault="00E37664" w:rsidP="00E37664">
      <w:pPr>
        <w:pStyle w:val="PL"/>
      </w:pPr>
      <w:r w:rsidRPr="000A0A5F">
        <w:t xml:space="preserve">                    schema:</w:t>
      </w:r>
    </w:p>
    <w:p w:rsidR="00E37664" w:rsidRPr="000A0A5F" w:rsidRDefault="00E37664" w:rsidP="00E37664">
      <w:pPr>
        <w:pStyle w:val="PL"/>
      </w:pPr>
      <w:r w:rsidRPr="000A0A5F">
        <w:t xml:space="preserve">                      $ref: '#/components/schemas/ConsentRevocNotif'</w:t>
      </w:r>
    </w:p>
    <w:p w:rsidR="00E37664" w:rsidRPr="000A0A5F" w:rsidRDefault="00E37664" w:rsidP="00E37664">
      <w:pPr>
        <w:pStyle w:val="PL"/>
      </w:pPr>
      <w:r w:rsidRPr="000A0A5F">
        <w:t xml:space="preserve">              responses:</w:t>
      </w:r>
    </w:p>
    <w:p w:rsidR="00E37664" w:rsidRPr="000A0A5F" w:rsidRDefault="00E37664" w:rsidP="00E37664">
      <w:pPr>
        <w:pStyle w:val="PL"/>
      </w:pPr>
      <w:r w:rsidRPr="000A0A5F">
        <w:t xml:space="preserve">                '204':</w:t>
      </w:r>
    </w:p>
    <w:p w:rsidR="00E37664" w:rsidRPr="000A0A5F" w:rsidRDefault="00E37664" w:rsidP="00E37664">
      <w:pPr>
        <w:pStyle w:val="PL"/>
      </w:pPr>
      <w:r w:rsidRPr="000A0A5F">
        <w:t xml:space="preserve">                  description: No Content (successful notification).</w:t>
      </w:r>
    </w:p>
    <w:p w:rsidR="00E37664" w:rsidRPr="000A0A5F" w:rsidRDefault="00E37664" w:rsidP="00E37664">
      <w:pPr>
        <w:pStyle w:val="PL"/>
      </w:pPr>
      <w:r w:rsidRPr="000A0A5F">
        <w:t xml:space="preserve">                '307':</w:t>
      </w:r>
    </w:p>
    <w:p w:rsidR="00E37664" w:rsidRPr="000A0A5F" w:rsidRDefault="00E37664" w:rsidP="00E37664">
      <w:pPr>
        <w:pStyle w:val="PL"/>
      </w:pPr>
      <w:r w:rsidRPr="000A0A5F">
        <w:t xml:space="preserve">                  $ref: 'TS29122_CommonData.yaml#/components/responses/307'</w:t>
      </w:r>
    </w:p>
    <w:p w:rsidR="00E37664" w:rsidRPr="000A0A5F" w:rsidRDefault="00E37664" w:rsidP="00E37664">
      <w:pPr>
        <w:pStyle w:val="PL"/>
      </w:pPr>
      <w:r w:rsidRPr="000A0A5F">
        <w:t xml:space="preserve">                '308':</w:t>
      </w:r>
    </w:p>
    <w:p w:rsidR="00E37664" w:rsidRPr="000A0A5F" w:rsidRDefault="00E37664" w:rsidP="00E37664">
      <w:pPr>
        <w:pStyle w:val="PL"/>
      </w:pPr>
      <w:r w:rsidRPr="000A0A5F">
        <w:t xml:space="preserve">                  $ref: 'TS29122_CommonData.yaml#/components/responses/308'</w:t>
      </w:r>
    </w:p>
    <w:p w:rsidR="00E37664" w:rsidRPr="000A0A5F" w:rsidRDefault="00E37664" w:rsidP="00E37664">
      <w:pPr>
        <w:pStyle w:val="PL"/>
      </w:pPr>
      <w:r w:rsidRPr="000A0A5F">
        <w:t xml:space="preserve">                '400':</w:t>
      </w:r>
    </w:p>
    <w:p w:rsidR="00E37664" w:rsidRPr="000A0A5F" w:rsidRDefault="00E37664" w:rsidP="00E37664">
      <w:pPr>
        <w:pStyle w:val="PL"/>
      </w:pPr>
      <w:r w:rsidRPr="000A0A5F">
        <w:t xml:space="preserve">                  $ref: 'TS29122_CommonData.yaml#/components/responses/400'</w:t>
      </w:r>
    </w:p>
    <w:p w:rsidR="00E37664" w:rsidRPr="000A0A5F" w:rsidRDefault="00E37664" w:rsidP="00E37664">
      <w:pPr>
        <w:pStyle w:val="PL"/>
      </w:pPr>
      <w:r w:rsidRPr="000A0A5F">
        <w:t xml:space="preserve">                '401':</w:t>
      </w:r>
    </w:p>
    <w:p w:rsidR="00E37664" w:rsidRPr="000A0A5F" w:rsidRDefault="00E37664" w:rsidP="00E37664">
      <w:pPr>
        <w:pStyle w:val="PL"/>
      </w:pPr>
      <w:r w:rsidRPr="000A0A5F">
        <w:t xml:space="preserve">                  $ref: 'TS29122_CommonData.yaml#/components/responses/401'</w:t>
      </w:r>
    </w:p>
    <w:p w:rsidR="00E37664" w:rsidRPr="000A0A5F" w:rsidRDefault="00E37664" w:rsidP="00E37664">
      <w:pPr>
        <w:pStyle w:val="PL"/>
      </w:pPr>
      <w:r w:rsidRPr="000A0A5F">
        <w:t xml:space="preserve">                '403':</w:t>
      </w:r>
    </w:p>
    <w:p w:rsidR="00E37664" w:rsidRPr="000A0A5F" w:rsidRDefault="00E37664" w:rsidP="00E37664">
      <w:pPr>
        <w:pStyle w:val="PL"/>
      </w:pPr>
      <w:r w:rsidRPr="000A0A5F">
        <w:t xml:space="preserve">                  $ref: 'TS29122_CommonData.yaml#/components/responses/403'</w:t>
      </w:r>
    </w:p>
    <w:p w:rsidR="00E37664" w:rsidRPr="000A0A5F" w:rsidRDefault="00E37664" w:rsidP="00E37664">
      <w:pPr>
        <w:pStyle w:val="PL"/>
      </w:pPr>
      <w:r w:rsidRPr="000A0A5F">
        <w:t xml:space="preserve">                '404':</w:t>
      </w:r>
    </w:p>
    <w:p w:rsidR="00E37664" w:rsidRPr="000A0A5F" w:rsidRDefault="00E37664" w:rsidP="00E37664">
      <w:pPr>
        <w:pStyle w:val="PL"/>
      </w:pPr>
      <w:r w:rsidRPr="000A0A5F">
        <w:t xml:space="preserve">                  $ref: 'TS29122_CommonData.yaml#/components/responses/404'</w:t>
      </w:r>
    </w:p>
    <w:p w:rsidR="00E37664" w:rsidRPr="000A0A5F" w:rsidRDefault="00E37664" w:rsidP="00E37664">
      <w:pPr>
        <w:pStyle w:val="PL"/>
      </w:pPr>
      <w:r w:rsidRPr="000A0A5F">
        <w:t xml:space="preserve">                '411':</w:t>
      </w:r>
    </w:p>
    <w:p w:rsidR="00E37664" w:rsidRPr="000A0A5F" w:rsidRDefault="00E37664" w:rsidP="00E37664">
      <w:pPr>
        <w:pStyle w:val="PL"/>
      </w:pPr>
      <w:r w:rsidRPr="000A0A5F">
        <w:t xml:space="preserve">                  $ref: 'TS29122_CommonData.yaml#/components/responses/411'</w:t>
      </w:r>
    </w:p>
    <w:p w:rsidR="00E37664" w:rsidRPr="000A0A5F" w:rsidRDefault="00E37664" w:rsidP="00E37664">
      <w:pPr>
        <w:pStyle w:val="PL"/>
      </w:pPr>
      <w:r w:rsidRPr="000A0A5F">
        <w:t xml:space="preserve">                '413':</w:t>
      </w:r>
    </w:p>
    <w:p w:rsidR="00E37664" w:rsidRPr="000A0A5F" w:rsidRDefault="00E37664" w:rsidP="00E37664">
      <w:pPr>
        <w:pStyle w:val="PL"/>
      </w:pPr>
      <w:r w:rsidRPr="000A0A5F">
        <w:t xml:space="preserve">                  $ref: 'TS29122_CommonData.yaml#/components/responses/413'</w:t>
      </w:r>
    </w:p>
    <w:p w:rsidR="00E37664" w:rsidRPr="000A0A5F" w:rsidRDefault="00E37664" w:rsidP="00E37664">
      <w:pPr>
        <w:pStyle w:val="PL"/>
      </w:pPr>
      <w:r w:rsidRPr="000A0A5F">
        <w:t xml:space="preserve">                '415':</w:t>
      </w:r>
    </w:p>
    <w:p w:rsidR="00E37664" w:rsidRPr="000A0A5F" w:rsidRDefault="00E37664" w:rsidP="00E37664">
      <w:pPr>
        <w:pStyle w:val="PL"/>
      </w:pPr>
      <w:r w:rsidRPr="000A0A5F">
        <w:t xml:space="preserve">                  $ref: 'TS29122_CommonData.yaml#/components/responses/415'</w:t>
      </w:r>
    </w:p>
    <w:p w:rsidR="00E37664" w:rsidRPr="000A0A5F" w:rsidRDefault="00E37664" w:rsidP="00E37664">
      <w:pPr>
        <w:pStyle w:val="PL"/>
      </w:pPr>
      <w:r w:rsidRPr="000A0A5F">
        <w:t xml:space="preserve">                '429':</w:t>
      </w:r>
    </w:p>
    <w:p w:rsidR="00E37664" w:rsidRPr="000A0A5F" w:rsidRDefault="00E37664" w:rsidP="00E37664">
      <w:pPr>
        <w:pStyle w:val="PL"/>
      </w:pPr>
      <w:r w:rsidRPr="000A0A5F">
        <w:t xml:space="preserve">                  $ref: 'TS29122_CommonData.yaml#/components/responses/429'</w:t>
      </w:r>
    </w:p>
    <w:p w:rsidR="00E37664" w:rsidRPr="000A0A5F" w:rsidRDefault="00E37664" w:rsidP="00E37664">
      <w:pPr>
        <w:pStyle w:val="PL"/>
      </w:pPr>
      <w:r w:rsidRPr="000A0A5F">
        <w:t xml:space="preserve">                '500':</w:t>
      </w:r>
    </w:p>
    <w:p w:rsidR="00E37664" w:rsidRPr="000A0A5F" w:rsidRDefault="00E37664" w:rsidP="00E37664">
      <w:pPr>
        <w:pStyle w:val="PL"/>
      </w:pPr>
      <w:r w:rsidRPr="000A0A5F">
        <w:t xml:space="preserve">                  $ref: 'TS29122_CommonData.yaml#/components/responses/500'</w:t>
      </w:r>
    </w:p>
    <w:p w:rsidR="00E37664" w:rsidRPr="000A0A5F" w:rsidRDefault="00E37664" w:rsidP="00E37664">
      <w:pPr>
        <w:pStyle w:val="PL"/>
      </w:pPr>
      <w:r w:rsidRPr="000A0A5F">
        <w:t xml:space="preserve">                '503':</w:t>
      </w:r>
    </w:p>
    <w:p w:rsidR="00E37664" w:rsidRPr="000A0A5F" w:rsidRDefault="00E37664" w:rsidP="00E37664">
      <w:pPr>
        <w:pStyle w:val="PL"/>
      </w:pPr>
      <w:r w:rsidRPr="000A0A5F">
        <w:t xml:space="preserve">                  $ref: 'TS29122_CommonData.yaml#/components/responses/503'</w:t>
      </w:r>
    </w:p>
    <w:p w:rsidR="00E37664" w:rsidRPr="000A0A5F" w:rsidRDefault="00E37664" w:rsidP="00E37664">
      <w:pPr>
        <w:pStyle w:val="PL"/>
      </w:pPr>
      <w:r w:rsidRPr="000A0A5F">
        <w:t xml:space="preserve">                default:</w:t>
      </w:r>
    </w:p>
    <w:p w:rsidR="00E37664" w:rsidRPr="000A0A5F" w:rsidRDefault="00E37664" w:rsidP="00E37664">
      <w:pPr>
        <w:pStyle w:val="PL"/>
      </w:pPr>
      <w:r w:rsidRPr="000A0A5F">
        <w:t xml:space="preserve">                  $ref: 'TS29122_CommonData.yaml#/components/responses/default'</w:t>
      </w:r>
    </w:p>
    <w:p w:rsidR="00CB0DD7" w:rsidRPr="000A0A5F" w:rsidRDefault="00CB0DD7">
      <w:pPr>
        <w:pStyle w:val="PL"/>
      </w:pPr>
      <w:r w:rsidRPr="000A0A5F">
        <w:t xml:space="preserve">      responses:</w:t>
      </w:r>
    </w:p>
    <w:p w:rsidR="00CB0DD7" w:rsidRPr="000A0A5F" w:rsidRDefault="00CB0DD7">
      <w:pPr>
        <w:pStyle w:val="PL"/>
      </w:pPr>
      <w:r w:rsidRPr="000A0A5F">
        <w:t xml:space="preserve">        '201':</w:t>
      </w:r>
    </w:p>
    <w:p w:rsidR="00CB0DD7" w:rsidRPr="000A0A5F" w:rsidRDefault="00CB0DD7">
      <w:pPr>
        <w:pStyle w:val="PL"/>
      </w:pPr>
      <w:r w:rsidRPr="000A0A5F">
        <w:t xml:space="preserve">          description: Created (Successful creation of subscription)</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application/json:</w:t>
      </w:r>
    </w:p>
    <w:p w:rsidR="00CB0DD7" w:rsidRPr="000A0A5F" w:rsidRDefault="00CB0DD7">
      <w:pPr>
        <w:pStyle w:val="PL"/>
      </w:pPr>
      <w:r w:rsidRPr="000A0A5F">
        <w:t xml:space="preserve">              schema:</w:t>
      </w:r>
    </w:p>
    <w:p w:rsidR="00CB0DD7" w:rsidRPr="000A0A5F" w:rsidRDefault="00CB0DD7">
      <w:pPr>
        <w:pStyle w:val="PL"/>
      </w:pPr>
      <w:r w:rsidRPr="000A0A5F">
        <w:t xml:space="preserve">                $ref: '#/components/schemas/MonitoringEventSubscription'</w:t>
      </w:r>
    </w:p>
    <w:p w:rsidR="00CB0DD7" w:rsidRPr="000A0A5F" w:rsidRDefault="00CB0DD7">
      <w:pPr>
        <w:pStyle w:val="PL"/>
      </w:pPr>
      <w:r w:rsidRPr="000A0A5F">
        <w:t xml:space="preserve">          headers:</w:t>
      </w:r>
    </w:p>
    <w:p w:rsidR="00CB0DD7" w:rsidRPr="000A0A5F" w:rsidRDefault="00CB0DD7">
      <w:pPr>
        <w:pStyle w:val="PL"/>
      </w:pPr>
      <w:r w:rsidRPr="000A0A5F">
        <w:t xml:space="preserve">            Location:</w:t>
      </w:r>
    </w:p>
    <w:p w:rsidR="00CB0DD7" w:rsidRPr="000A0A5F" w:rsidRDefault="00CB0DD7">
      <w:pPr>
        <w:pStyle w:val="PL"/>
      </w:pPr>
      <w:r w:rsidRPr="000A0A5F">
        <w:t xml:space="preserve">              description: 'Contains the URI of the newly created resource'</w:t>
      </w:r>
    </w:p>
    <w:p w:rsidR="00CB0DD7" w:rsidRPr="000A0A5F" w:rsidRDefault="00CB0DD7">
      <w:pPr>
        <w:pStyle w:val="PL"/>
      </w:pPr>
      <w:r w:rsidRPr="000A0A5F">
        <w:t xml:space="preserve">              required: true</w:t>
      </w:r>
    </w:p>
    <w:p w:rsidR="00CB0DD7" w:rsidRPr="000A0A5F" w:rsidRDefault="00CB0DD7">
      <w:pPr>
        <w:pStyle w:val="PL"/>
      </w:pPr>
      <w:r w:rsidRPr="000A0A5F">
        <w:t xml:space="preserve">              schema:</w:t>
      </w:r>
    </w:p>
    <w:p w:rsidR="00CB0DD7" w:rsidRPr="000A0A5F" w:rsidRDefault="00CB0DD7">
      <w:pPr>
        <w:pStyle w:val="PL"/>
      </w:pPr>
      <w:r w:rsidRPr="000A0A5F">
        <w:t xml:space="preserve">                type: string</w:t>
      </w:r>
    </w:p>
    <w:p w:rsidR="00CB0DD7" w:rsidRPr="000A0A5F" w:rsidRDefault="00CB0DD7">
      <w:pPr>
        <w:pStyle w:val="PL"/>
      </w:pPr>
      <w:r w:rsidRPr="000A0A5F">
        <w:t xml:space="preserve">        '200':</w:t>
      </w:r>
    </w:p>
    <w:p w:rsidR="00CB0DD7" w:rsidRPr="000A0A5F" w:rsidRDefault="00CB0DD7">
      <w:pPr>
        <w:pStyle w:val="PL"/>
      </w:pPr>
      <w:r w:rsidRPr="000A0A5F">
        <w:t xml:space="preserve">          description: The operation is successful and immediate report is included.</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application/json:</w:t>
      </w:r>
    </w:p>
    <w:p w:rsidR="00CB0DD7" w:rsidRPr="000A0A5F" w:rsidRDefault="00CB0DD7">
      <w:pPr>
        <w:pStyle w:val="PL"/>
      </w:pPr>
      <w:r w:rsidRPr="000A0A5F">
        <w:t xml:space="preserve">              schema:</w:t>
      </w:r>
    </w:p>
    <w:p w:rsidR="0089078D" w:rsidRPr="000A0A5F" w:rsidRDefault="00CB0DD7">
      <w:pPr>
        <w:pStyle w:val="PL"/>
      </w:pPr>
      <w:r w:rsidRPr="000A0A5F">
        <w:t xml:space="preserve">                </w:t>
      </w:r>
      <w:r w:rsidR="0089078D" w:rsidRPr="000A0A5F">
        <w:t>one</w:t>
      </w:r>
      <w:r w:rsidR="00687AC5" w:rsidRPr="000A0A5F">
        <w:t>O</w:t>
      </w:r>
      <w:r w:rsidR="0089078D" w:rsidRPr="000A0A5F">
        <w:t>f:</w:t>
      </w:r>
    </w:p>
    <w:p w:rsidR="00CB0DD7" w:rsidRPr="000A0A5F" w:rsidRDefault="0089078D">
      <w:pPr>
        <w:pStyle w:val="PL"/>
      </w:pPr>
      <w:r w:rsidRPr="000A0A5F">
        <w:t xml:space="preserve">                - </w:t>
      </w:r>
      <w:r w:rsidR="00CB0DD7" w:rsidRPr="000A0A5F">
        <w:t>$ref: '#/components/schemas/MonitoringEventReport'</w:t>
      </w:r>
    </w:p>
    <w:p w:rsidR="0089078D" w:rsidRPr="000A0A5F" w:rsidRDefault="0089078D">
      <w:pPr>
        <w:pStyle w:val="PL"/>
      </w:pPr>
      <w:r w:rsidRPr="000A0A5F">
        <w:t xml:space="preserve">                - $ref: '#/components/schemas/MonitoringEventReports'</w:t>
      </w:r>
    </w:p>
    <w:p w:rsidR="00CB0DD7" w:rsidRPr="000A0A5F" w:rsidRDefault="00CB0DD7">
      <w:pPr>
        <w:pStyle w:val="PL"/>
      </w:pPr>
      <w:r w:rsidRPr="000A0A5F">
        <w:t xml:space="preserve">        '400':</w:t>
      </w:r>
    </w:p>
    <w:p w:rsidR="00CB0DD7" w:rsidRPr="000A0A5F" w:rsidRDefault="00CB0DD7">
      <w:pPr>
        <w:pStyle w:val="PL"/>
      </w:pPr>
      <w:r w:rsidRPr="000A0A5F">
        <w:t xml:space="preserve">          $ref: 'TS29122_CommonData.yaml#/components/responses/400'</w:t>
      </w:r>
    </w:p>
    <w:p w:rsidR="00CB0DD7" w:rsidRPr="000A0A5F" w:rsidRDefault="00CB0DD7">
      <w:pPr>
        <w:pStyle w:val="PL"/>
      </w:pPr>
      <w:r w:rsidRPr="000A0A5F">
        <w:t xml:space="preserve">        '401':</w:t>
      </w:r>
    </w:p>
    <w:p w:rsidR="00CB0DD7" w:rsidRPr="000A0A5F" w:rsidRDefault="00CB0DD7">
      <w:pPr>
        <w:pStyle w:val="PL"/>
      </w:pPr>
      <w:r w:rsidRPr="000A0A5F">
        <w:t xml:space="preserve">          $ref: 'TS29122_CommonData.yaml#/components/responses/401'</w:t>
      </w:r>
    </w:p>
    <w:p w:rsidR="00CB0DD7" w:rsidRPr="000A0A5F" w:rsidRDefault="00CB0DD7">
      <w:pPr>
        <w:pStyle w:val="PL"/>
      </w:pPr>
      <w:r w:rsidRPr="000A0A5F">
        <w:t xml:space="preserve">        '403':</w:t>
      </w:r>
    </w:p>
    <w:p w:rsidR="00CB0DD7" w:rsidRPr="000A0A5F" w:rsidRDefault="00CB0DD7">
      <w:pPr>
        <w:pStyle w:val="PL"/>
      </w:pPr>
      <w:r w:rsidRPr="000A0A5F">
        <w:t xml:space="preserve">          $ref: 'TS29122_CommonData.yaml#/components/responses/403'</w:t>
      </w:r>
    </w:p>
    <w:p w:rsidR="00CB0DD7" w:rsidRPr="000A0A5F" w:rsidRDefault="00CB0DD7">
      <w:pPr>
        <w:pStyle w:val="PL"/>
      </w:pPr>
      <w:r w:rsidRPr="000A0A5F">
        <w:t xml:space="preserve">        '404':</w:t>
      </w:r>
    </w:p>
    <w:p w:rsidR="00CB0DD7" w:rsidRPr="000A0A5F" w:rsidRDefault="00CB0DD7">
      <w:pPr>
        <w:pStyle w:val="PL"/>
      </w:pPr>
      <w:r w:rsidRPr="000A0A5F">
        <w:t xml:space="preserve">          $ref: 'TS29122_CommonData.yaml#/components/responses/404'</w:t>
      </w:r>
    </w:p>
    <w:p w:rsidR="00CB0DD7" w:rsidRPr="000A0A5F" w:rsidRDefault="00CB0DD7">
      <w:pPr>
        <w:pStyle w:val="PL"/>
      </w:pPr>
      <w:r w:rsidRPr="000A0A5F">
        <w:t xml:space="preserve">        '411':</w:t>
      </w:r>
    </w:p>
    <w:p w:rsidR="00CB0DD7" w:rsidRPr="000A0A5F" w:rsidRDefault="00CB0DD7">
      <w:pPr>
        <w:pStyle w:val="PL"/>
      </w:pPr>
      <w:r w:rsidRPr="000A0A5F">
        <w:t xml:space="preserve">          $ref: 'TS29122_CommonData.yaml#/components/responses/411'</w:t>
      </w:r>
    </w:p>
    <w:p w:rsidR="00CB0DD7" w:rsidRPr="000A0A5F" w:rsidRDefault="00CB0DD7">
      <w:pPr>
        <w:pStyle w:val="PL"/>
      </w:pPr>
      <w:r w:rsidRPr="000A0A5F">
        <w:t xml:space="preserve">        '413':</w:t>
      </w:r>
    </w:p>
    <w:p w:rsidR="00CB0DD7" w:rsidRPr="000A0A5F" w:rsidRDefault="00CB0DD7">
      <w:pPr>
        <w:pStyle w:val="PL"/>
      </w:pPr>
      <w:r w:rsidRPr="000A0A5F">
        <w:t xml:space="preserve">          $ref: 'TS29122_CommonData.yaml#/components/responses/413'</w:t>
      </w:r>
    </w:p>
    <w:p w:rsidR="00CB0DD7" w:rsidRPr="000A0A5F" w:rsidRDefault="00CB0DD7">
      <w:pPr>
        <w:pStyle w:val="PL"/>
      </w:pPr>
      <w:r w:rsidRPr="000A0A5F">
        <w:t xml:space="preserve">        '415':</w:t>
      </w:r>
    </w:p>
    <w:p w:rsidR="00CB0DD7" w:rsidRPr="000A0A5F" w:rsidRDefault="00CB0DD7">
      <w:pPr>
        <w:pStyle w:val="PL"/>
      </w:pPr>
      <w:r w:rsidRPr="000A0A5F">
        <w:t xml:space="preserve">          $ref: 'TS29122_CommonData.yaml#/components/responses/415'</w:t>
      </w:r>
    </w:p>
    <w:p w:rsidR="00CB0DD7" w:rsidRPr="000A0A5F" w:rsidRDefault="00CB0DD7">
      <w:pPr>
        <w:pStyle w:val="PL"/>
      </w:pPr>
      <w:r w:rsidRPr="000A0A5F">
        <w:t xml:space="preserve">        '429':</w:t>
      </w:r>
    </w:p>
    <w:p w:rsidR="00CB0DD7" w:rsidRPr="000A0A5F" w:rsidRDefault="00CB0DD7">
      <w:pPr>
        <w:pStyle w:val="PL"/>
      </w:pPr>
      <w:r w:rsidRPr="000A0A5F">
        <w:t xml:space="preserve">          $ref: 'TS29122_CommonData.yaml#/components/responses/429'</w:t>
      </w:r>
    </w:p>
    <w:p w:rsidR="00CB0DD7" w:rsidRPr="000A0A5F" w:rsidRDefault="00CB0DD7">
      <w:pPr>
        <w:pStyle w:val="PL"/>
      </w:pPr>
      <w:r w:rsidRPr="000A0A5F">
        <w:t xml:space="preserve">        '500':</w:t>
      </w:r>
    </w:p>
    <w:p w:rsidR="00CB0DD7" w:rsidRPr="000A0A5F" w:rsidRDefault="00CB0DD7">
      <w:pPr>
        <w:pStyle w:val="PL"/>
      </w:pPr>
      <w:r w:rsidRPr="000A0A5F">
        <w:t xml:space="preserve">          $ref: 'TS29122_CommonData.yaml#/components/responses/500'</w:t>
      </w:r>
    </w:p>
    <w:p w:rsidR="00CB0DD7" w:rsidRPr="000A0A5F" w:rsidRDefault="00CB0DD7">
      <w:pPr>
        <w:pStyle w:val="PL"/>
      </w:pPr>
      <w:r w:rsidRPr="000A0A5F">
        <w:t xml:space="preserve">        '503':</w:t>
      </w:r>
    </w:p>
    <w:p w:rsidR="00CB0DD7" w:rsidRPr="000A0A5F" w:rsidRDefault="00CB0DD7">
      <w:pPr>
        <w:pStyle w:val="PL"/>
      </w:pPr>
      <w:r w:rsidRPr="000A0A5F">
        <w:t xml:space="preserve">          $ref: 'TS29122_CommonData.yaml#/components/responses/503'</w:t>
      </w:r>
    </w:p>
    <w:p w:rsidR="00CB0DD7" w:rsidRPr="000A0A5F" w:rsidRDefault="00CB0DD7">
      <w:pPr>
        <w:pStyle w:val="PL"/>
      </w:pPr>
      <w:r w:rsidRPr="000A0A5F">
        <w:t xml:space="preserve">        default:</w:t>
      </w:r>
    </w:p>
    <w:p w:rsidR="00CB0DD7" w:rsidRPr="000A0A5F" w:rsidRDefault="00CB0DD7">
      <w:pPr>
        <w:pStyle w:val="PL"/>
      </w:pPr>
      <w:r w:rsidRPr="000A0A5F">
        <w:t xml:space="preserve">          $ref: 'TS29122_CommonData.yaml#/components/responses/default'</w:t>
      </w:r>
    </w:p>
    <w:p w:rsidR="00CB0DD7" w:rsidRPr="000A0A5F" w:rsidRDefault="00CB0DD7">
      <w:pPr>
        <w:pStyle w:val="PL"/>
      </w:pPr>
    </w:p>
    <w:p w:rsidR="00CB0DD7" w:rsidRPr="000A0A5F" w:rsidRDefault="00CB0DD7">
      <w:pPr>
        <w:pStyle w:val="PL"/>
      </w:pPr>
      <w:r w:rsidRPr="000A0A5F">
        <w:t xml:space="preserve">  /{scsAsId}/subscriptions/{subscriptionId}:</w:t>
      </w:r>
    </w:p>
    <w:p w:rsidR="00CB0DD7" w:rsidRPr="000A0A5F" w:rsidRDefault="00CB0DD7">
      <w:pPr>
        <w:pStyle w:val="PL"/>
      </w:pPr>
      <w:r w:rsidRPr="000A0A5F">
        <w:t xml:space="preserve">    get:</w:t>
      </w:r>
    </w:p>
    <w:p w:rsidR="00CB0DD7" w:rsidRPr="000A0A5F" w:rsidRDefault="00CB0DD7">
      <w:pPr>
        <w:pStyle w:val="PL"/>
      </w:pPr>
      <w:r w:rsidRPr="000A0A5F">
        <w:t xml:space="preserve">      summary: </w:t>
      </w:r>
      <w:r w:rsidR="00DE4D25" w:rsidRPr="000A0A5F">
        <w:t>R</w:t>
      </w:r>
      <w:r w:rsidRPr="000A0A5F">
        <w:t>ead an active subscriptions for the SCS/AS and the subscription Id</w:t>
      </w:r>
      <w:r w:rsidR="00DE4D25" w:rsidRPr="000A0A5F">
        <w:t>.</w:t>
      </w:r>
    </w:p>
    <w:p w:rsidR="00DE4D25" w:rsidRPr="000A0A5F" w:rsidRDefault="00DE4D25" w:rsidP="00DE4D25">
      <w:pPr>
        <w:pStyle w:val="PL"/>
      </w:pPr>
      <w:r w:rsidRPr="000A0A5F">
        <w:t xml:space="preserve">      </w:t>
      </w:r>
      <w:r w:rsidRPr="000A0A5F">
        <w:rPr>
          <w:rFonts w:cs="Courier New"/>
          <w:szCs w:val="16"/>
        </w:rPr>
        <w:t>operationId: FetchInd</w:t>
      </w:r>
      <w:r w:rsidRPr="000A0A5F">
        <w:t>MonitoringEventSubscription</w:t>
      </w:r>
    </w:p>
    <w:p w:rsidR="00CB0DD7" w:rsidRPr="000A0A5F" w:rsidRDefault="00CB0DD7">
      <w:pPr>
        <w:pStyle w:val="PL"/>
      </w:pPr>
      <w:r w:rsidRPr="000A0A5F">
        <w:t xml:space="preserve">      tags:</w:t>
      </w:r>
    </w:p>
    <w:p w:rsidR="00CB0DD7" w:rsidRPr="000A0A5F" w:rsidRDefault="00CB0DD7">
      <w:pPr>
        <w:pStyle w:val="PL"/>
      </w:pPr>
      <w:r w:rsidRPr="000A0A5F">
        <w:t xml:space="preserve">        - </w:t>
      </w:r>
      <w:r w:rsidR="00DE4D25" w:rsidRPr="000A0A5F">
        <w:t xml:space="preserve">Individual </w:t>
      </w:r>
      <w:r w:rsidRPr="000A0A5F">
        <w:t>Monitoring</w:t>
      </w:r>
      <w:r w:rsidR="00DE4D25" w:rsidRPr="000A0A5F">
        <w:t xml:space="preserve"> </w:t>
      </w:r>
      <w:r w:rsidRPr="000A0A5F">
        <w:t>Event Subscription</w:t>
      </w:r>
    </w:p>
    <w:p w:rsidR="00CB0DD7" w:rsidRPr="000A0A5F" w:rsidRDefault="00CB0DD7">
      <w:pPr>
        <w:pStyle w:val="PL"/>
      </w:pPr>
      <w:r w:rsidRPr="000A0A5F">
        <w:t xml:space="preserve">      parameters:</w:t>
      </w:r>
    </w:p>
    <w:p w:rsidR="00CB0DD7" w:rsidRPr="000A0A5F" w:rsidRDefault="00CB0DD7">
      <w:pPr>
        <w:pStyle w:val="PL"/>
      </w:pPr>
      <w:r w:rsidRPr="000A0A5F">
        <w:t xml:space="preserve">        - name: scsAsId</w:t>
      </w:r>
    </w:p>
    <w:p w:rsidR="00CB0DD7" w:rsidRPr="000A0A5F" w:rsidRDefault="00CB0DD7">
      <w:pPr>
        <w:pStyle w:val="PL"/>
      </w:pPr>
      <w:r w:rsidRPr="000A0A5F">
        <w:t xml:space="preserve">          in: path</w:t>
      </w:r>
    </w:p>
    <w:p w:rsidR="00CB0DD7" w:rsidRPr="000A0A5F" w:rsidRDefault="00CB0DD7">
      <w:pPr>
        <w:pStyle w:val="PL"/>
      </w:pPr>
      <w:r w:rsidRPr="000A0A5F">
        <w:t xml:space="preserve">          description: Identifier of the SCS/AS</w:t>
      </w:r>
    </w:p>
    <w:p w:rsidR="00CB0DD7" w:rsidRPr="000A0A5F" w:rsidRDefault="00CB0DD7">
      <w:pPr>
        <w:pStyle w:val="PL"/>
      </w:pPr>
      <w:r w:rsidRPr="000A0A5F">
        <w:t xml:space="preserve">          required: true</w:t>
      </w:r>
    </w:p>
    <w:p w:rsidR="00CB0DD7" w:rsidRPr="000A0A5F" w:rsidRDefault="00CB0DD7">
      <w:pPr>
        <w:pStyle w:val="PL"/>
      </w:pPr>
      <w:r w:rsidRPr="000A0A5F">
        <w:t xml:space="preserve">          schema:</w:t>
      </w:r>
    </w:p>
    <w:p w:rsidR="00CB0DD7" w:rsidRPr="000A0A5F" w:rsidRDefault="00CB0DD7">
      <w:pPr>
        <w:pStyle w:val="PL"/>
      </w:pPr>
      <w:r w:rsidRPr="000A0A5F">
        <w:t xml:space="preserve">            type: string</w:t>
      </w:r>
    </w:p>
    <w:p w:rsidR="00CB0DD7" w:rsidRPr="000A0A5F" w:rsidRDefault="00CB0DD7">
      <w:pPr>
        <w:pStyle w:val="PL"/>
      </w:pPr>
      <w:r w:rsidRPr="000A0A5F">
        <w:t xml:space="preserve">        - name: subscriptionId</w:t>
      </w:r>
    </w:p>
    <w:p w:rsidR="00CB0DD7" w:rsidRPr="000A0A5F" w:rsidRDefault="00CB0DD7">
      <w:pPr>
        <w:pStyle w:val="PL"/>
      </w:pPr>
      <w:r w:rsidRPr="000A0A5F">
        <w:t xml:space="preserve">          in: path</w:t>
      </w:r>
    </w:p>
    <w:p w:rsidR="00CB0DD7" w:rsidRPr="000A0A5F" w:rsidRDefault="00CB0DD7">
      <w:pPr>
        <w:pStyle w:val="PL"/>
      </w:pPr>
      <w:r w:rsidRPr="000A0A5F">
        <w:t xml:space="preserve">          description: Identifier of the subscription resource</w:t>
      </w:r>
    </w:p>
    <w:p w:rsidR="00CB0DD7" w:rsidRPr="000A0A5F" w:rsidRDefault="00CB0DD7">
      <w:pPr>
        <w:pStyle w:val="PL"/>
      </w:pPr>
      <w:r w:rsidRPr="000A0A5F">
        <w:t xml:space="preserve">          required: true</w:t>
      </w:r>
    </w:p>
    <w:p w:rsidR="00CB0DD7" w:rsidRPr="000A0A5F" w:rsidRDefault="00CB0DD7">
      <w:pPr>
        <w:pStyle w:val="PL"/>
      </w:pPr>
      <w:r w:rsidRPr="000A0A5F">
        <w:t xml:space="preserve">          schema:</w:t>
      </w:r>
    </w:p>
    <w:p w:rsidR="00CB0DD7" w:rsidRPr="000A0A5F" w:rsidRDefault="00CB0DD7">
      <w:pPr>
        <w:pStyle w:val="PL"/>
      </w:pPr>
      <w:r w:rsidRPr="000A0A5F">
        <w:t xml:space="preserve">            type: string</w:t>
      </w:r>
    </w:p>
    <w:p w:rsidR="00CB0DD7" w:rsidRPr="000A0A5F" w:rsidRDefault="00CB0DD7">
      <w:pPr>
        <w:pStyle w:val="PL"/>
      </w:pPr>
      <w:r w:rsidRPr="000A0A5F">
        <w:t xml:space="preserve">      responses:</w:t>
      </w:r>
    </w:p>
    <w:p w:rsidR="00CB0DD7" w:rsidRPr="000A0A5F" w:rsidRDefault="00CB0DD7">
      <w:pPr>
        <w:pStyle w:val="PL"/>
      </w:pPr>
      <w:r w:rsidRPr="000A0A5F">
        <w:t xml:space="preserve">        '200':</w:t>
      </w:r>
    </w:p>
    <w:p w:rsidR="00CB0DD7" w:rsidRPr="000A0A5F" w:rsidRDefault="00CB0DD7">
      <w:pPr>
        <w:pStyle w:val="PL"/>
      </w:pPr>
      <w:r w:rsidRPr="000A0A5F">
        <w:t xml:space="preserve">          description: OK (Successful get the active subscription)</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application/json:</w:t>
      </w:r>
    </w:p>
    <w:p w:rsidR="00CB0DD7" w:rsidRPr="000A0A5F" w:rsidRDefault="00CB0DD7">
      <w:pPr>
        <w:pStyle w:val="PL"/>
      </w:pPr>
      <w:r w:rsidRPr="000A0A5F">
        <w:t xml:space="preserve">              schema:</w:t>
      </w:r>
    </w:p>
    <w:p w:rsidR="00CB0DD7" w:rsidRPr="000A0A5F" w:rsidRDefault="00CB0DD7">
      <w:pPr>
        <w:pStyle w:val="PL"/>
      </w:pPr>
      <w:r w:rsidRPr="000A0A5F">
        <w:t xml:space="preserve">                $ref: '#/components/schemas/MonitoringEventSubscription'</w:t>
      </w:r>
    </w:p>
    <w:p w:rsidR="00CB0DD7" w:rsidRPr="000A0A5F" w:rsidRDefault="00CB0DD7">
      <w:pPr>
        <w:pStyle w:val="PL"/>
      </w:pPr>
      <w:r w:rsidRPr="000A0A5F">
        <w:t xml:space="preserve">        '307':</w:t>
      </w:r>
    </w:p>
    <w:p w:rsidR="00CB0DD7" w:rsidRPr="000A0A5F" w:rsidRDefault="00CB0DD7">
      <w:pPr>
        <w:pStyle w:val="PL"/>
      </w:pPr>
      <w:r w:rsidRPr="000A0A5F">
        <w:t xml:space="preserve">          $ref: 'TS29122_CommonData.yaml#/components/responses/307'</w:t>
      </w:r>
    </w:p>
    <w:p w:rsidR="00CB0DD7" w:rsidRPr="000A0A5F" w:rsidRDefault="00CB0DD7">
      <w:pPr>
        <w:pStyle w:val="PL"/>
      </w:pPr>
      <w:r w:rsidRPr="000A0A5F">
        <w:t xml:space="preserve">        '308':</w:t>
      </w:r>
    </w:p>
    <w:p w:rsidR="00CB0DD7" w:rsidRPr="000A0A5F" w:rsidRDefault="00CB0DD7">
      <w:pPr>
        <w:pStyle w:val="PL"/>
      </w:pPr>
      <w:r w:rsidRPr="000A0A5F">
        <w:t xml:space="preserve">          $ref: 'TS29122_CommonData.yaml#/components/responses/308'</w:t>
      </w:r>
    </w:p>
    <w:p w:rsidR="00CB0DD7" w:rsidRPr="000A0A5F" w:rsidRDefault="00CB0DD7">
      <w:pPr>
        <w:pStyle w:val="PL"/>
      </w:pPr>
      <w:r w:rsidRPr="000A0A5F">
        <w:t xml:space="preserve">        '400':</w:t>
      </w:r>
    </w:p>
    <w:p w:rsidR="00CB0DD7" w:rsidRPr="000A0A5F" w:rsidRDefault="00CB0DD7">
      <w:pPr>
        <w:pStyle w:val="PL"/>
      </w:pPr>
      <w:r w:rsidRPr="000A0A5F">
        <w:t xml:space="preserve">          $ref: 'TS29122_CommonData.yaml#/components/responses/400'</w:t>
      </w:r>
    </w:p>
    <w:p w:rsidR="00CB0DD7" w:rsidRPr="000A0A5F" w:rsidRDefault="00CB0DD7">
      <w:pPr>
        <w:pStyle w:val="PL"/>
      </w:pPr>
      <w:r w:rsidRPr="000A0A5F">
        <w:t xml:space="preserve">        '401':</w:t>
      </w:r>
    </w:p>
    <w:p w:rsidR="00CB0DD7" w:rsidRPr="000A0A5F" w:rsidRDefault="00CB0DD7">
      <w:pPr>
        <w:pStyle w:val="PL"/>
      </w:pPr>
      <w:r w:rsidRPr="000A0A5F">
        <w:t xml:space="preserve">          $ref: 'TS29122_CommonData.yaml#/components/responses/401'</w:t>
      </w:r>
    </w:p>
    <w:p w:rsidR="00CB0DD7" w:rsidRPr="000A0A5F" w:rsidRDefault="00CB0DD7">
      <w:pPr>
        <w:pStyle w:val="PL"/>
      </w:pPr>
      <w:r w:rsidRPr="000A0A5F">
        <w:t xml:space="preserve">        '403':</w:t>
      </w:r>
    </w:p>
    <w:p w:rsidR="00CB0DD7" w:rsidRPr="000A0A5F" w:rsidRDefault="00CB0DD7">
      <w:pPr>
        <w:pStyle w:val="PL"/>
      </w:pPr>
      <w:r w:rsidRPr="000A0A5F">
        <w:t xml:space="preserve">          $ref: 'TS29122_CommonData.yaml#/components/responses/403'</w:t>
      </w:r>
    </w:p>
    <w:p w:rsidR="00CB0DD7" w:rsidRPr="000A0A5F" w:rsidRDefault="00CB0DD7">
      <w:pPr>
        <w:pStyle w:val="PL"/>
      </w:pPr>
      <w:r w:rsidRPr="000A0A5F">
        <w:t xml:space="preserve">        '404':</w:t>
      </w:r>
    </w:p>
    <w:p w:rsidR="00CB0DD7" w:rsidRPr="000A0A5F" w:rsidRDefault="00CB0DD7">
      <w:pPr>
        <w:pStyle w:val="PL"/>
      </w:pPr>
      <w:r w:rsidRPr="000A0A5F">
        <w:t xml:space="preserve">          $ref: 'TS29122_CommonData.yaml#/components/responses/404'</w:t>
      </w:r>
    </w:p>
    <w:p w:rsidR="00CB0DD7" w:rsidRPr="000A0A5F" w:rsidRDefault="00CB0DD7">
      <w:pPr>
        <w:pStyle w:val="PL"/>
      </w:pPr>
      <w:r w:rsidRPr="000A0A5F">
        <w:t xml:space="preserve">        '406':</w:t>
      </w:r>
    </w:p>
    <w:p w:rsidR="00CB0DD7" w:rsidRPr="000A0A5F" w:rsidRDefault="00CB0DD7">
      <w:pPr>
        <w:pStyle w:val="PL"/>
      </w:pPr>
      <w:r w:rsidRPr="000A0A5F">
        <w:t xml:space="preserve">          $ref: 'TS29122_CommonData.yaml#/components/responses/406'</w:t>
      </w:r>
    </w:p>
    <w:p w:rsidR="00CB0DD7" w:rsidRPr="000A0A5F" w:rsidRDefault="00CB0DD7">
      <w:pPr>
        <w:pStyle w:val="PL"/>
      </w:pPr>
      <w:r w:rsidRPr="000A0A5F">
        <w:t xml:space="preserve">        '429':</w:t>
      </w:r>
    </w:p>
    <w:p w:rsidR="00CB0DD7" w:rsidRPr="000A0A5F" w:rsidRDefault="00CB0DD7">
      <w:pPr>
        <w:pStyle w:val="PL"/>
      </w:pPr>
      <w:r w:rsidRPr="000A0A5F">
        <w:t xml:space="preserve">          $ref: 'TS29122_CommonData.yaml#/components/responses/429'</w:t>
      </w:r>
    </w:p>
    <w:p w:rsidR="00CB0DD7" w:rsidRPr="000A0A5F" w:rsidRDefault="00CB0DD7">
      <w:pPr>
        <w:pStyle w:val="PL"/>
      </w:pPr>
      <w:r w:rsidRPr="000A0A5F">
        <w:t xml:space="preserve">        '500':</w:t>
      </w:r>
    </w:p>
    <w:p w:rsidR="00CB0DD7" w:rsidRPr="000A0A5F" w:rsidRDefault="00CB0DD7">
      <w:pPr>
        <w:pStyle w:val="PL"/>
      </w:pPr>
      <w:r w:rsidRPr="000A0A5F">
        <w:t xml:space="preserve">          $ref: 'TS29122_CommonData.yaml#/components/responses/500'</w:t>
      </w:r>
    </w:p>
    <w:p w:rsidR="00CB0DD7" w:rsidRPr="000A0A5F" w:rsidRDefault="00CB0DD7">
      <w:pPr>
        <w:pStyle w:val="PL"/>
      </w:pPr>
      <w:r w:rsidRPr="000A0A5F">
        <w:t xml:space="preserve">        '503':</w:t>
      </w:r>
    </w:p>
    <w:p w:rsidR="00CB0DD7" w:rsidRPr="000A0A5F" w:rsidRDefault="00CB0DD7">
      <w:pPr>
        <w:pStyle w:val="PL"/>
      </w:pPr>
      <w:r w:rsidRPr="000A0A5F">
        <w:t xml:space="preserve">          $ref: 'TS29122_CommonData.yaml#/components/responses/503'</w:t>
      </w:r>
    </w:p>
    <w:p w:rsidR="00CB0DD7" w:rsidRPr="000A0A5F" w:rsidRDefault="00CB0DD7">
      <w:pPr>
        <w:pStyle w:val="PL"/>
      </w:pPr>
      <w:r w:rsidRPr="000A0A5F">
        <w:t xml:space="preserve">        default:</w:t>
      </w:r>
    </w:p>
    <w:p w:rsidR="00CB0DD7" w:rsidRPr="000A0A5F" w:rsidRDefault="00CB0DD7">
      <w:pPr>
        <w:pStyle w:val="PL"/>
      </w:pPr>
      <w:r w:rsidRPr="000A0A5F">
        <w:t xml:space="preserve">          $ref: 'TS29122_CommonData.yaml#/components/responses/default'</w:t>
      </w:r>
    </w:p>
    <w:p w:rsidR="00CB0DD7" w:rsidRPr="000A0A5F" w:rsidRDefault="00CB0DD7">
      <w:pPr>
        <w:pStyle w:val="PL"/>
      </w:pPr>
    </w:p>
    <w:p w:rsidR="00CB0DD7" w:rsidRPr="000A0A5F" w:rsidRDefault="00CB0DD7">
      <w:pPr>
        <w:pStyle w:val="PL"/>
      </w:pPr>
      <w:r w:rsidRPr="000A0A5F">
        <w:t xml:space="preserve">    put:</w:t>
      </w:r>
    </w:p>
    <w:p w:rsidR="00CB0DD7" w:rsidRPr="000A0A5F" w:rsidRDefault="00CB0DD7">
      <w:pPr>
        <w:pStyle w:val="PL"/>
      </w:pPr>
      <w:r w:rsidRPr="000A0A5F">
        <w:t xml:space="preserve">      summary: Updates/replaces an existing subscription resource</w:t>
      </w:r>
      <w:r w:rsidR="00DE4D25" w:rsidRPr="000A0A5F">
        <w:t>.</w:t>
      </w:r>
    </w:p>
    <w:p w:rsidR="00DE4D25" w:rsidRPr="000A0A5F" w:rsidRDefault="00DE4D25" w:rsidP="00DE4D25">
      <w:pPr>
        <w:pStyle w:val="PL"/>
      </w:pPr>
      <w:r w:rsidRPr="000A0A5F">
        <w:t xml:space="preserve">      </w:t>
      </w:r>
      <w:r w:rsidRPr="000A0A5F">
        <w:rPr>
          <w:rFonts w:cs="Courier New"/>
          <w:szCs w:val="16"/>
        </w:rPr>
        <w:t>operationId: UpdateInd</w:t>
      </w:r>
      <w:r w:rsidRPr="000A0A5F">
        <w:t>MonitoringEventSubscription</w:t>
      </w:r>
    </w:p>
    <w:p w:rsidR="00CB0DD7" w:rsidRPr="000A0A5F" w:rsidRDefault="00CB0DD7">
      <w:pPr>
        <w:pStyle w:val="PL"/>
      </w:pPr>
      <w:r w:rsidRPr="000A0A5F">
        <w:t xml:space="preserve">      tags:</w:t>
      </w:r>
    </w:p>
    <w:p w:rsidR="00CB0DD7" w:rsidRPr="000A0A5F" w:rsidRDefault="00CB0DD7">
      <w:pPr>
        <w:pStyle w:val="PL"/>
      </w:pPr>
      <w:r w:rsidRPr="000A0A5F">
        <w:t xml:space="preserve">        - </w:t>
      </w:r>
      <w:r w:rsidR="00DE4D25" w:rsidRPr="000A0A5F">
        <w:t xml:space="preserve">Individual </w:t>
      </w:r>
      <w:r w:rsidRPr="000A0A5F">
        <w:t>Monitoring</w:t>
      </w:r>
      <w:r w:rsidR="00DE4D25" w:rsidRPr="000A0A5F">
        <w:t xml:space="preserve"> </w:t>
      </w:r>
      <w:r w:rsidRPr="000A0A5F">
        <w:t xml:space="preserve">Event </w:t>
      </w:r>
      <w:r w:rsidR="00DE4D25" w:rsidRPr="000A0A5F">
        <w:t>Subscription</w:t>
      </w:r>
    </w:p>
    <w:p w:rsidR="00CB0DD7" w:rsidRPr="000A0A5F" w:rsidRDefault="00CB0DD7">
      <w:pPr>
        <w:pStyle w:val="PL"/>
      </w:pPr>
      <w:r w:rsidRPr="000A0A5F">
        <w:t xml:space="preserve">      parameters:</w:t>
      </w:r>
    </w:p>
    <w:p w:rsidR="00CB0DD7" w:rsidRPr="000A0A5F" w:rsidRDefault="00CB0DD7">
      <w:pPr>
        <w:pStyle w:val="PL"/>
      </w:pPr>
      <w:r w:rsidRPr="000A0A5F">
        <w:t xml:space="preserve">        - name: scsAsId</w:t>
      </w:r>
    </w:p>
    <w:p w:rsidR="00CB0DD7" w:rsidRPr="000A0A5F" w:rsidRDefault="00CB0DD7">
      <w:pPr>
        <w:pStyle w:val="PL"/>
      </w:pPr>
      <w:r w:rsidRPr="000A0A5F">
        <w:t xml:space="preserve">          in: path</w:t>
      </w:r>
    </w:p>
    <w:p w:rsidR="00CB0DD7" w:rsidRPr="000A0A5F" w:rsidRDefault="00CB0DD7">
      <w:pPr>
        <w:pStyle w:val="PL"/>
      </w:pPr>
      <w:r w:rsidRPr="000A0A5F">
        <w:t xml:space="preserve">          description: Identifier of the SCS/AS</w:t>
      </w:r>
    </w:p>
    <w:p w:rsidR="00CB0DD7" w:rsidRPr="000A0A5F" w:rsidRDefault="00CB0DD7">
      <w:pPr>
        <w:pStyle w:val="PL"/>
      </w:pPr>
      <w:r w:rsidRPr="000A0A5F">
        <w:t xml:space="preserve">          required: true</w:t>
      </w:r>
    </w:p>
    <w:p w:rsidR="00CB0DD7" w:rsidRPr="000A0A5F" w:rsidRDefault="00CB0DD7">
      <w:pPr>
        <w:pStyle w:val="PL"/>
      </w:pPr>
      <w:r w:rsidRPr="000A0A5F">
        <w:t xml:space="preserve">          schema:</w:t>
      </w:r>
    </w:p>
    <w:p w:rsidR="00CB0DD7" w:rsidRPr="000A0A5F" w:rsidRDefault="00CB0DD7">
      <w:pPr>
        <w:pStyle w:val="PL"/>
      </w:pPr>
      <w:r w:rsidRPr="000A0A5F">
        <w:t xml:space="preserve">            type: string</w:t>
      </w:r>
    </w:p>
    <w:p w:rsidR="00CB0DD7" w:rsidRPr="000A0A5F" w:rsidRDefault="00CB0DD7">
      <w:pPr>
        <w:pStyle w:val="PL"/>
      </w:pPr>
      <w:r w:rsidRPr="000A0A5F">
        <w:t xml:space="preserve">        - name: subscriptionId</w:t>
      </w:r>
    </w:p>
    <w:p w:rsidR="00CB0DD7" w:rsidRPr="000A0A5F" w:rsidRDefault="00CB0DD7">
      <w:pPr>
        <w:pStyle w:val="PL"/>
      </w:pPr>
      <w:r w:rsidRPr="000A0A5F">
        <w:t xml:space="preserve">          in: path</w:t>
      </w:r>
    </w:p>
    <w:p w:rsidR="00CB0DD7" w:rsidRPr="000A0A5F" w:rsidRDefault="00CB0DD7">
      <w:pPr>
        <w:pStyle w:val="PL"/>
      </w:pPr>
      <w:r w:rsidRPr="000A0A5F">
        <w:t xml:space="preserve">          description: Identifier of the subscription resource</w:t>
      </w:r>
    </w:p>
    <w:p w:rsidR="00CB0DD7" w:rsidRPr="000A0A5F" w:rsidRDefault="00CB0DD7">
      <w:pPr>
        <w:pStyle w:val="PL"/>
      </w:pPr>
      <w:r w:rsidRPr="000A0A5F">
        <w:t xml:space="preserve">          required: true</w:t>
      </w:r>
    </w:p>
    <w:p w:rsidR="00CB0DD7" w:rsidRPr="000A0A5F" w:rsidRDefault="00CB0DD7">
      <w:pPr>
        <w:pStyle w:val="PL"/>
      </w:pPr>
      <w:r w:rsidRPr="000A0A5F">
        <w:t xml:space="preserve">          schema:</w:t>
      </w:r>
    </w:p>
    <w:p w:rsidR="00CB0DD7" w:rsidRPr="000A0A5F" w:rsidRDefault="00CB0DD7">
      <w:pPr>
        <w:pStyle w:val="PL"/>
      </w:pPr>
      <w:r w:rsidRPr="000A0A5F">
        <w:t xml:space="preserve">            type: string</w:t>
      </w:r>
    </w:p>
    <w:p w:rsidR="00CB0DD7" w:rsidRPr="000A0A5F" w:rsidRDefault="00CB0DD7">
      <w:pPr>
        <w:pStyle w:val="PL"/>
      </w:pPr>
      <w:r w:rsidRPr="000A0A5F">
        <w:t xml:space="preserve">      requestBody:</w:t>
      </w:r>
    </w:p>
    <w:p w:rsidR="00CB0DD7" w:rsidRPr="000A0A5F" w:rsidRDefault="00CB0DD7">
      <w:pPr>
        <w:pStyle w:val="PL"/>
      </w:pPr>
      <w:r w:rsidRPr="000A0A5F">
        <w:t xml:space="preserve">        description: Parameters to update/replace the existing subscription</w:t>
      </w:r>
    </w:p>
    <w:p w:rsidR="00CB0DD7" w:rsidRPr="000A0A5F" w:rsidRDefault="00CB0DD7">
      <w:pPr>
        <w:pStyle w:val="PL"/>
      </w:pPr>
      <w:r w:rsidRPr="000A0A5F">
        <w:t xml:space="preserve">        required: true</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application/json:</w:t>
      </w:r>
    </w:p>
    <w:p w:rsidR="00CB0DD7" w:rsidRPr="000A0A5F" w:rsidRDefault="00CB0DD7">
      <w:pPr>
        <w:pStyle w:val="PL"/>
      </w:pPr>
      <w:r w:rsidRPr="000A0A5F">
        <w:t xml:space="preserve">            schema:</w:t>
      </w:r>
    </w:p>
    <w:p w:rsidR="00CB0DD7" w:rsidRPr="000A0A5F" w:rsidRDefault="00CB0DD7">
      <w:pPr>
        <w:pStyle w:val="PL"/>
      </w:pPr>
      <w:r w:rsidRPr="000A0A5F">
        <w:t xml:space="preserve">              $ref: '#/components/schemas/MonitoringEventSubscription'</w:t>
      </w:r>
    </w:p>
    <w:p w:rsidR="00CB0DD7" w:rsidRPr="000A0A5F" w:rsidRDefault="00CB0DD7">
      <w:pPr>
        <w:pStyle w:val="PL"/>
      </w:pPr>
      <w:r w:rsidRPr="000A0A5F">
        <w:t xml:space="preserve">      responses:</w:t>
      </w:r>
    </w:p>
    <w:p w:rsidR="00CB0DD7" w:rsidRPr="000A0A5F" w:rsidRDefault="00CB0DD7">
      <w:pPr>
        <w:pStyle w:val="PL"/>
      </w:pPr>
      <w:r w:rsidRPr="000A0A5F">
        <w:t xml:space="preserve">        '200':</w:t>
      </w:r>
    </w:p>
    <w:p w:rsidR="00CB0DD7" w:rsidRPr="000A0A5F" w:rsidRDefault="00CB0DD7">
      <w:pPr>
        <w:pStyle w:val="PL"/>
      </w:pPr>
      <w:r w:rsidRPr="000A0A5F">
        <w:t xml:space="preserve">          description: OK (Successful update of the subscription)</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application/json:</w:t>
      </w:r>
    </w:p>
    <w:p w:rsidR="00CB0DD7" w:rsidRPr="000A0A5F" w:rsidRDefault="00CB0DD7">
      <w:pPr>
        <w:pStyle w:val="PL"/>
      </w:pPr>
      <w:r w:rsidRPr="000A0A5F">
        <w:t xml:space="preserve">              schema:</w:t>
      </w:r>
    </w:p>
    <w:p w:rsidR="00CB0DD7" w:rsidRPr="000A0A5F" w:rsidRDefault="00CB0DD7">
      <w:pPr>
        <w:pStyle w:val="PL"/>
      </w:pPr>
      <w:r w:rsidRPr="000A0A5F">
        <w:t xml:space="preserve">                $ref: '#/components/schemas/MonitoringEventSubscription'</w:t>
      </w:r>
    </w:p>
    <w:p w:rsidR="00CB0DD7" w:rsidRPr="000A0A5F" w:rsidRDefault="00CB0DD7">
      <w:pPr>
        <w:pStyle w:val="PL"/>
      </w:pPr>
      <w:r w:rsidRPr="000A0A5F">
        <w:t xml:space="preserve">        '204':</w:t>
      </w:r>
    </w:p>
    <w:p w:rsidR="00CB0DD7" w:rsidRPr="000A0A5F" w:rsidRDefault="00CB0DD7">
      <w:pPr>
        <w:pStyle w:val="PL"/>
      </w:pPr>
      <w:r w:rsidRPr="000A0A5F">
        <w:t xml:space="preserve">          description: No Content (Successful update of the subscription)</w:t>
      </w:r>
    </w:p>
    <w:p w:rsidR="00CB0DD7" w:rsidRPr="000A0A5F" w:rsidRDefault="00CB0DD7">
      <w:pPr>
        <w:pStyle w:val="PL"/>
      </w:pPr>
      <w:r w:rsidRPr="000A0A5F">
        <w:t xml:space="preserve">        '307':</w:t>
      </w:r>
    </w:p>
    <w:p w:rsidR="00CB0DD7" w:rsidRPr="000A0A5F" w:rsidRDefault="00CB0DD7">
      <w:pPr>
        <w:pStyle w:val="PL"/>
      </w:pPr>
      <w:r w:rsidRPr="000A0A5F">
        <w:t xml:space="preserve">          $ref: 'TS29122_CommonData.yaml#/components/responses/307'</w:t>
      </w:r>
    </w:p>
    <w:p w:rsidR="00CB0DD7" w:rsidRPr="000A0A5F" w:rsidRDefault="00CB0DD7">
      <w:pPr>
        <w:pStyle w:val="PL"/>
      </w:pPr>
      <w:r w:rsidRPr="000A0A5F">
        <w:t xml:space="preserve">        '308':</w:t>
      </w:r>
    </w:p>
    <w:p w:rsidR="00CB0DD7" w:rsidRPr="000A0A5F" w:rsidRDefault="00CB0DD7">
      <w:pPr>
        <w:pStyle w:val="PL"/>
      </w:pPr>
      <w:r w:rsidRPr="000A0A5F">
        <w:t xml:space="preserve">          $ref: 'TS29122_CommonData.yaml#/components/responses/308'</w:t>
      </w:r>
    </w:p>
    <w:p w:rsidR="00CB0DD7" w:rsidRPr="000A0A5F" w:rsidRDefault="00CB0DD7">
      <w:pPr>
        <w:pStyle w:val="PL"/>
      </w:pPr>
      <w:r w:rsidRPr="000A0A5F">
        <w:t xml:space="preserve">        '400':</w:t>
      </w:r>
    </w:p>
    <w:p w:rsidR="00CB0DD7" w:rsidRPr="000A0A5F" w:rsidRDefault="00CB0DD7">
      <w:pPr>
        <w:pStyle w:val="PL"/>
      </w:pPr>
      <w:r w:rsidRPr="000A0A5F">
        <w:t xml:space="preserve">          $ref: 'TS29122_CommonData.yaml#/components/responses/400'</w:t>
      </w:r>
    </w:p>
    <w:p w:rsidR="00CB0DD7" w:rsidRPr="000A0A5F" w:rsidRDefault="00CB0DD7">
      <w:pPr>
        <w:pStyle w:val="PL"/>
      </w:pPr>
      <w:r w:rsidRPr="000A0A5F">
        <w:t xml:space="preserve">        '401':</w:t>
      </w:r>
    </w:p>
    <w:p w:rsidR="00CB0DD7" w:rsidRPr="000A0A5F" w:rsidRDefault="00CB0DD7">
      <w:pPr>
        <w:pStyle w:val="PL"/>
      </w:pPr>
      <w:r w:rsidRPr="000A0A5F">
        <w:t xml:space="preserve">          $ref: 'TS29122_CommonData.yaml#/components/responses/401'</w:t>
      </w:r>
    </w:p>
    <w:p w:rsidR="00CB0DD7" w:rsidRPr="000A0A5F" w:rsidRDefault="00CB0DD7">
      <w:pPr>
        <w:pStyle w:val="PL"/>
      </w:pPr>
      <w:r w:rsidRPr="000A0A5F">
        <w:t xml:space="preserve">        '403':</w:t>
      </w:r>
    </w:p>
    <w:p w:rsidR="00CB0DD7" w:rsidRPr="000A0A5F" w:rsidRDefault="00CB0DD7">
      <w:pPr>
        <w:pStyle w:val="PL"/>
      </w:pPr>
      <w:r w:rsidRPr="000A0A5F">
        <w:t xml:space="preserve">          $ref: 'TS29122_CommonData.yaml#/components/responses/403'</w:t>
      </w:r>
    </w:p>
    <w:p w:rsidR="00CB0DD7" w:rsidRPr="000A0A5F" w:rsidRDefault="00CB0DD7">
      <w:pPr>
        <w:pStyle w:val="PL"/>
      </w:pPr>
      <w:r w:rsidRPr="000A0A5F">
        <w:t xml:space="preserve">        '404':</w:t>
      </w:r>
    </w:p>
    <w:p w:rsidR="00CB0DD7" w:rsidRPr="000A0A5F" w:rsidRDefault="00CB0DD7">
      <w:pPr>
        <w:pStyle w:val="PL"/>
      </w:pPr>
      <w:r w:rsidRPr="000A0A5F">
        <w:t xml:space="preserve">          $ref: 'TS29122_CommonData.yaml#/components/responses/404'</w:t>
      </w:r>
    </w:p>
    <w:p w:rsidR="00CB0DD7" w:rsidRPr="000A0A5F" w:rsidRDefault="00CB0DD7">
      <w:pPr>
        <w:pStyle w:val="PL"/>
      </w:pPr>
      <w:r w:rsidRPr="000A0A5F">
        <w:t xml:space="preserve">        '411':</w:t>
      </w:r>
    </w:p>
    <w:p w:rsidR="00CB0DD7" w:rsidRPr="000A0A5F" w:rsidRDefault="00CB0DD7">
      <w:pPr>
        <w:pStyle w:val="PL"/>
      </w:pPr>
      <w:r w:rsidRPr="000A0A5F">
        <w:t xml:space="preserve">          $ref: 'TS29122_CommonData.yaml#/components/responses/411'</w:t>
      </w:r>
    </w:p>
    <w:p w:rsidR="00CB0DD7" w:rsidRPr="000A0A5F" w:rsidRDefault="00CB0DD7">
      <w:pPr>
        <w:pStyle w:val="PL"/>
      </w:pPr>
      <w:r w:rsidRPr="000A0A5F">
        <w:t xml:space="preserve">        '413':</w:t>
      </w:r>
    </w:p>
    <w:p w:rsidR="00CB0DD7" w:rsidRPr="000A0A5F" w:rsidRDefault="00CB0DD7">
      <w:pPr>
        <w:pStyle w:val="PL"/>
      </w:pPr>
      <w:r w:rsidRPr="000A0A5F">
        <w:t xml:space="preserve">          $ref: 'TS29122_CommonData.yaml#/components/responses/413'</w:t>
      </w:r>
    </w:p>
    <w:p w:rsidR="00CB0DD7" w:rsidRPr="000A0A5F" w:rsidRDefault="00CB0DD7">
      <w:pPr>
        <w:pStyle w:val="PL"/>
      </w:pPr>
      <w:r w:rsidRPr="000A0A5F">
        <w:t xml:space="preserve">        '415':</w:t>
      </w:r>
    </w:p>
    <w:p w:rsidR="00CB0DD7" w:rsidRPr="000A0A5F" w:rsidRDefault="00CB0DD7">
      <w:pPr>
        <w:pStyle w:val="PL"/>
      </w:pPr>
      <w:r w:rsidRPr="000A0A5F">
        <w:t xml:space="preserve">          $ref: 'TS29122_CommonData.yaml#/components/responses/415'</w:t>
      </w:r>
    </w:p>
    <w:p w:rsidR="00CB0DD7" w:rsidRPr="000A0A5F" w:rsidRDefault="00CB0DD7">
      <w:pPr>
        <w:pStyle w:val="PL"/>
      </w:pPr>
      <w:r w:rsidRPr="000A0A5F">
        <w:t xml:space="preserve">        '429':</w:t>
      </w:r>
    </w:p>
    <w:p w:rsidR="00CB0DD7" w:rsidRPr="000A0A5F" w:rsidRDefault="00CB0DD7">
      <w:pPr>
        <w:pStyle w:val="PL"/>
      </w:pPr>
      <w:r w:rsidRPr="000A0A5F">
        <w:t xml:space="preserve">          $ref: 'TS29122_CommonData.yaml#/components/responses/429'</w:t>
      </w:r>
    </w:p>
    <w:p w:rsidR="00CB0DD7" w:rsidRPr="000A0A5F" w:rsidRDefault="00CB0DD7">
      <w:pPr>
        <w:pStyle w:val="PL"/>
      </w:pPr>
      <w:r w:rsidRPr="000A0A5F">
        <w:t xml:space="preserve">        '500':</w:t>
      </w:r>
    </w:p>
    <w:p w:rsidR="00CB0DD7" w:rsidRPr="000A0A5F" w:rsidRDefault="00CB0DD7">
      <w:pPr>
        <w:pStyle w:val="PL"/>
      </w:pPr>
      <w:r w:rsidRPr="000A0A5F">
        <w:t xml:space="preserve">          $ref: 'TS29122_CommonData.yaml#/components/responses/500'</w:t>
      </w:r>
    </w:p>
    <w:p w:rsidR="00CB0DD7" w:rsidRPr="000A0A5F" w:rsidRDefault="00CB0DD7">
      <w:pPr>
        <w:pStyle w:val="PL"/>
      </w:pPr>
      <w:r w:rsidRPr="000A0A5F">
        <w:t xml:space="preserve">        '503':</w:t>
      </w:r>
    </w:p>
    <w:p w:rsidR="00CB0DD7" w:rsidRPr="000A0A5F" w:rsidRDefault="00CB0DD7">
      <w:pPr>
        <w:pStyle w:val="PL"/>
      </w:pPr>
      <w:r w:rsidRPr="000A0A5F">
        <w:t xml:space="preserve">          $ref: 'TS29122_CommonData.yaml#/components/responses/503'</w:t>
      </w:r>
    </w:p>
    <w:p w:rsidR="00CB0DD7" w:rsidRPr="000A0A5F" w:rsidRDefault="00CB0DD7">
      <w:pPr>
        <w:pStyle w:val="PL"/>
      </w:pPr>
      <w:r w:rsidRPr="000A0A5F">
        <w:t xml:space="preserve">        default:</w:t>
      </w:r>
    </w:p>
    <w:p w:rsidR="00CB0DD7" w:rsidRPr="000A0A5F" w:rsidRDefault="00CB0DD7">
      <w:pPr>
        <w:pStyle w:val="PL"/>
      </w:pPr>
      <w:r w:rsidRPr="000A0A5F">
        <w:t xml:space="preserve">          $ref: 'TS29122_CommonData.yaml#/components/responses/default'</w:t>
      </w:r>
    </w:p>
    <w:p w:rsidR="00344FF3" w:rsidRPr="000A0A5F" w:rsidRDefault="00344FF3" w:rsidP="00344FF3">
      <w:pPr>
        <w:pStyle w:val="PL"/>
      </w:pPr>
    </w:p>
    <w:p w:rsidR="00344FF3" w:rsidRPr="000A0A5F" w:rsidRDefault="00344FF3" w:rsidP="00344FF3">
      <w:pPr>
        <w:pStyle w:val="PL"/>
        <w:rPr>
          <w:lang w:val="en-US"/>
        </w:rPr>
      </w:pPr>
      <w:r w:rsidRPr="000A0A5F">
        <w:rPr>
          <w:lang w:val="en-US"/>
        </w:rPr>
        <w:t xml:space="preserve">    patch:</w:t>
      </w:r>
    </w:p>
    <w:p w:rsidR="00DE4D25" w:rsidRPr="000A0A5F" w:rsidRDefault="00DE4D25" w:rsidP="00DE4D25">
      <w:pPr>
        <w:pStyle w:val="PL"/>
      </w:pPr>
      <w:r w:rsidRPr="000A0A5F">
        <w:t xml:space="preserve">      summary</w:t>
      </w:r>
      <w:r w:rsidRPr="000A0A5F">
        <w:rPr>
          <w:rFonts w:cs="Courier New"/>
          <w:szCs w:val="16"/>
        </w:rPr>
        <w:t xml:space="preserve">: </w:t>
      </w:r>
      <w:r w:rsidRPr="000A0A5F">
        <w:t>Modifies an existing subscription of monitoring event.</w:t>
      </w:r>
    </w:p>
    <w:p w:rsidR="00DE4D25" w:rsidRPr="000A0A5F" w:rsidRDefault="00DE4D25" w:rsidP="00DE4D25">
      <w:pPr>
        <w:pStyle w:val="PL"/>
      </w:pPr>
      <w:r w:rsidRPr="000A0A5F">
        <w:t xml:space="preserve">      </w:t>
      </w:r>
      <w:r w:rsidRPr="000A0A5F">
        <w:rPr>
          <w:rFonts w:cs="Courier New"/>
          <w:szCs w:val="16"/>
        </w:rPr>
        <w:t>operationId: ModifyInd</w:t>
      </w:r>
      <w:r w:rsidRPr="000A0A5F">
        <w:t>MonitoringEventSubscription</w:t>
      </w:r>
    </w:p>
    <w:p w:rsidR="00DE4D25" w:rsidRPr="000A0A5F" w:rsidRDefault="00DE4D25" w:rsidP="00DE4D25">
      <w:pPr>
        <w:pStyle w:val="PL"/>
      </w:pPr>
      <w:r w:rsidRPr="000A0A5F">
        <w:t xml:space="preserve">      tags:</w:t>
      </w:r>
    </w:p>
    <w:p w:rsidR="00DE4D25" w:rsidRPr="000A0A5F" w:rsidRDefault="00DE4D25" w:rsidP="00DE4D25">
      <w:pPr>
        <w:pStyle w:val="PL"/>
      </w:pPr>
      <w:r w:rsidRPr="000A0A5F">
        <w:t xml:space="preserve">        - Individual Monitoring Event Subscription</w:t>
      </w:r>
    </w:p>
    <w:p w:rsidR="00DE4D25" w:rsidRPr="000A0A5F" w:rsidRDefault="00DE4D25" w:rsidP="00DE4D25">
      <w:pPr>
        <w:pStyle w:val="PL"/>
      </w:pPr>
      <w:r w:rsidRPr="000A0A5F">
        <w:t xml:space="preserve">      parameters:</w:t>
      </w:r>
    </w:p>
    <w:p w:rsidR="00DE4D25" w:rsidRPr="000A0A5F" w:rsidRDefault="00DE4D25" w:rsidP="00DE4D25">
      <w:pPr>
        <w:pStyle w:val="PL"/>
      </w:pPr>
      <w:r w:rsidRPr="000A0A5F">
        <w:t xml:space="preserve">        - name: scsAsId</w:t>
      </w:r>
    </w:p>
    <w:p w:rsidR="00DE4D25" w:rsidRPr="000A0A5F" w:rsidRDefault="00DE4D25" w:rsidP="00DE4D25">
      <w:pPr>
        <w:pStyle w:val="PL"/>
      </w:pPr>
      <w:r w:rsidRPr="000A0A5F">
        <w:t xml:space="preserve">          in: path</w:t>
      </w:r>
    </w:p>
    <w:p w:rsidR="00DE4D25" w:rsidRPr="000A0A5F" w:rsidRDefault="00DE4D25" w:rsidP="00DE4D25">
      <w:pPr>
        <w:pStyle w:val="PL"/>
      </w:pPr>
      <w:r w:rsidRPr="000A0A5F">
        <w:t xml:space="preserve">          description: Identifier of the SCS/AS.</w:t>
      </w:r>
    </w:p>
    <w:p w:rsidR="00DE4D25" w:rsidRPr="000A0A5F" w:rsidRDefault="00DE4D25" w:rsidP="00DE4D25">
      <w:pPr>
        <w:pStyle w:val="PL"/>
      </w:pPr>
      <w:r w:rsidRPr="000A0A5F">
        <w:t xml:space="preserve">          required: true</w:t>
      </w:r>
    </w:p>
    <w:p w:rsidR="00DE4D25" w:rsidRPr="000A0A5F" w:rsidRDefault="00DE4D25" w:rsidP="00DE4D25">
      <w:pPr>
        <w:pStyle w:val="PL"/>
      </w:pPr>
      <w:r w:rsidRPr="000A0A5F">
        <w:t xml:space="preserve">          schema:</w:t>
      </w:r>
    </w:p>
    <w:p w:rsidR="00DE4D25" w:rsidRPr="000A0A5F" w:rsidRDefault="00DE4D25" w:rsidP="00DE4D25">
      <w:pPr>
        <w:pStyle w:val="PL"/>
      </w:pPr>
      <w:r w:rsidRPr="000A0A5F">
        <w:t xml:space="preserve">            type: string</w:t>
      </w:r>
    </w:p>
    <w:p w:rsidR="00DE4D25" w:rsidRPr="000A0A5F" w:rsidRDefault="00DE4D25" w:rsidP="00DE4D25">
      <w:pPr>
        <w:pStyle w:val="PL"/>
      </w:pPr>
      <w:r w:rsidRPr="000A0A5F">
        <w:t xml:space="preserve">        - name: subscriptionId</w:t>
      </w:r>
    </w:p>
    <w:p w:rsidR="00DE4D25" w:rsidRPr="000A0A5F" w:rsidRDefault="00DE4D25" w:rsidP="00DE4D25">
      <w:pPr>
        <w:pStyle w:val="PL"/>
      </w:pPr>
      <w:r w:rsidRPr="000A0A5F">
        <w:t xml:space="preserve">          in: path</w:t>
      </w:r>
    </w:p>
    <w:p w:rsidR="00DE4D25" w:rsidRPr="000A0A5F" w:rsidRDefault="00DE4D25" w:rsidP="00DE4D25">
      <w:pPr>
        <w:pStyle w:val="PL"/>
      </w:pPr>
      <w:r w:rsidRPr="000A0A5F">
        <w:t xml:space="preserve">          description: Identifier of the subscription resource.</w:t>
      </w:r>
    </w:p>
    <w:p w:rsidR="00DE4D25" w:rsidRPr="000A0A5F" w:rsidRDefault="00DE4D25" w:rsidP="00DE4D25">
      <w:pPr>
        <w:pStyle w:val="PL"/>
      </w:pPr>
      <w:r w:rsidRPr="000A0A5F">
        <w:t xml:space="preserve">          required: true</w:t>
      </w:r>
    </w:p>
    <w:p w:rsidR="00DE4D25" w:rsidRPr="000A0A5F" w:rsidRDefault="00DE4D25" w:rsidP="00DE4D25">
      <w:pPr>
        <w:pStyle w:val="PL"/>
      </w:pPr>
      <w:r w:rsidRPr="000A0A5F">
        <w:t xml:space="preserve">          schema:</w:t>
      </w:r>
    </w:p>
    <w:p w:rsidR="00DE4D25" w:rsidRPr="000A0A5F" w:rsidRDefault="00DE4D25" w:rsidP="00DE4D25">
      <w:pPr>
        <w:pStyle w:val="PL"/>
      </w:pPr>
      <w:r w:rsidRPr="000A0A5F">
        <w:t xml:space="preserve">            type: string</w:t>
      </w:r>
    </w:p>
    <w:p w:rsidR="00344FF3" w:rsidRPr="000A0A5F" w:rsidRDefault="00344FF3" w:rsidP="00344FF3">
      <w:pPr>
        <w:pStyle w:val="PL"/>
        <w:rPr>
          <w:lang w:val="en-US"/>
        </w:rPr>
      </w:pPr>
      <w:r w:rsidRPr="000A0A5F">
        <w:rPr>
          <w:lang w:val="en-US"/>
        </w:rPr>
        <w:t xml:space="preserve">      requestBody:</w:t>
      </w:r>
    </w:p>
    <w:p w:rsidR="00815FEF" w:rsidRPr="000A0A5F" w:rsidRDefault="00344FF3" w:rsidP="00344FF3">
      <w:pPr>
        <w:pStyle w:val="PL"/>
        <w:rPr>
          <w:lang w:val="en-US"/>
        </w:rPr>
      </w:pPr>
      <w:r w:rsidRPr="000A0A5F">
        <w:rPr>
          <w:lang w:val="en-US"/>
        </w:rPr>
        <w:t xml:space="preserve">        description: </w:t>
      </w:r>
      <w:r w:rsidR="00815FEF" w:rsidRPr="000A0A5F">
        <w:rPr>
          <w:lang w:val="en-US"/>
        </w:rPr>
        <w:t>&gt;</w:t>
      </w:r>
    </w:p>
    <w:p w:rsidR="00815FEF" w:rsidRPr="000A0A5F" w:rsidRDefault="00815FEF" w:rsidP="00344FF3">
      <w:pPr>
        <w:pStyle w:val="PL"/>
        <w:rPr>
          <w:lang w:val="en-US"/>
        </w:rPr>
      </w:pPr>
      <w:r w:rsidRPr="000A0A5F">
        <w:rPr>
          <w:lang w:val="en-US"/>
        </w:rPr>
        <w:t xml:space="preserve">          </w:t>
      </w:r>
      <w:r w:rsidR="00344FF3" w:rsidRPr="000A0A5F">
        <w:rPr>
          <w:lang w:val="en-US"/>
        </w:rPr>
        <w:t xml:space="preserve">This is used for PATCH request for partial cancellation </w:t>
      </w:r>
      <w:r w:rsidR="00BC6E27" w:rsidRPr="000A0A5F">
        <w:rPr>
          <w:lang w:val="en-US"/>
        </w:rPr>
        <w:t xml:space="preserve">and/or partial addition </w:t>
      </w:r>
      <w:r w:rsidR="00344FF3" w:rsidRPr="000A0A5F">
        <w:rPr>
          <w:lang w:val="en-US"/>
        </w:rPr>
        <w:t>of certain</w:t>
      </w:r>
    </w:p>
    <w:p w:rsidR="00344FF3" w:rsidRPr="000A0A5F" w:rsidRDefault="00815FEF" w:rsidP="00344FF3">
      <w:pPr>
        <w:pStyle w:val="PL"/>
        <w:rPr>
          <w:lang w:val="en-US"/>
        </w:rPr>
      </w:pPr>
      <w:r w:rsidRPr="000A0A5F">
        <w:rPr>
          <w:lang w:val="en-US"/>
        </w:rPr>
        <w:t xml:space="preserve">         </w:t>
      </w:r>
      <w:r w:rsidR="00344FF3" w:rsidRPr="000A0A5F">
        <w:rPr>
          <w:lang w:val="en-US"/>
        </w:rPr>
        <w:t xml:space="preserve"> UE(s) within an active group.</w:t>
      </w:r>
    </w:p>
    <w:p w:rsidR="00344FF3" w:rsidRPr="000A0A5F" w:rsidRDefault="00344FF3" w:rsidP="00344FF3">
      <w:pPr>
        <w:pStyle w:val="PL"/>
        <w:rPr>
          <w:lang w:val="en-US"/>
        </w:rPr>
      </w:pPr>
      <w:r w:rsidRPr="000A0A5F">
        <w:rPr>
          <w:lang w:val="en-US"/>
        </w:rPr>
        <w:t xml:space="preserve">        required: true</w:t>
      </w:r>
    </w:p>
    <w:p w:rsidR="00344FF3" w:rsidRPr="000A0A5F" w:rsidRDefault="00344FF3" w:rsidP="00344FF3">
      <w:pPr>
        <w:pStyle w:val="PL"/>
        <w:rPr>
          <w:lang w:val="en-US"/>
        </w:rPr>
      </w:pPr>
      <w:r w:rsidRPr="000A0A5F">
        <w:rPr>
          <w:lang w:val="en-US"/>
        </w:rPr>
        <w:t xml:space="preserve">        content:</w:t>
      </w:r>
    </w:p>
    <w:p w:rsidR="00344FF3" w:rsidRPr="000A0A5F" w:rsidRDefault="00344FF3" w:rsidP="00344FF3">
      <w:pPr>
        <w:pStyle w:val="PL"/>
        <w:rPr>
          <w:lang w:val="en-US"/>
        </w:rPr>
      </w:pPr>
      <w:r w:rsidRPr="000A0A5F">
        <w:rPr>
          <w:lang w:val="en-US"/>
        </w:rPr>
        <w:t xml:space="preserve">          application/json-patch+json:</w:t>
      </w:r>
    </w:p>
    <w:p w:rsidR="00344FF3" w:rsidRPr="000A0A5F" w:rsidRDefault="00344FF3" w:rsidP="00344FF3">
      <w:pPr>
        <w:pStyle w:val="PL"/>
        <w:rPr>
          <w:lang w:val="en-US"/>
        </w:rPr>
      </w:pPr>
      <w:r w:rsidRPr="000A0A5F">
        <w:rPr>
          <w:lang w:val="en-US"/>
        </w:rPr>
        <w:t xml:space="preserve">            schema:</w:t>
      </w:r>
    </w:p>
    <w:p w:rsidR="00705E85" w:rsidRPr="000A0A5F" w:rsidRDefault="00705E85" w:rsidP="00705E85">
      <w:pPr>
        <w:pStyle w:val="PL"/>
      </w:pPr>
      <w:r w:rsidRPr="000A0A5F">
        <w:t xml:space="preserve">              type: array</w:t>
      </w:r>
    </w:p>
    <w:p w:rsidR="00705E85" w:rsidRPr="000A0A5F" w:rsidRDefault="00705E85" w:rsidP="00705E85">
      <w:pPr>
        <w:pStyle w:val="PL"/>
      </w:pPr>
      <w:r w:rsidRPr="000A0A5F">
        <w:t xml:space="preserve">              items:</w:t>
      </w:r>
    </w:p>
    <w:p w:rsidR="00705E85" w:rsidRPr="000A0A5F" w:rsidRDefault="00705E85" w:rsidP="00705E85">
      <w:pPr>
        <w:pStyle w:val="PL"/>
      </w:pPr>
      <w:r w:rsidRPr="000A0A5F">
        <w:t xml:space="preserve">                $ref: 'TS29571_CommonData.yaml#/components/schemas/PatchItem'</w:t>
      </w:r>
    </w:p>
    <w:p w:rsidR="00705E85" w:rsidRPr="000A0A5F" w:rsidRDefault="00705E85" w:rsidP="00705E85">
      <w:pPr>
        <w:pStyle w:val="PL"/>
        <w:rPr>
          <w:lang w:eastAsia="zh-CN"/>
        </w:rPr>
      </w:pPr>
      <w:r w:rsidRPr="000A0A5F">
        <w:t xml:space="preserve">              </w:t>
      </w:r>
      <w:r w:rsidRPr="000A0A5F">
        <w:rPr>
          <w:rFonts w:hint="eastAsia"/>
          <w:lang w:eastAsia="zh-CN"/>
        </w:rPr>
        <w:t>minI</w:t>
      </w:r>
      <w:r w:rsidRPr="000A0A5F">
        <w:t>tems:</w:t>
      </w:r>
      <w:r w:rsidRPr="000A0A5F">
        <w:rPr>
          <w:rFonts w:hint="eastAsia"/>
          <w:lang w:eastAsia="zh-CN"/>
        </w:rPr>
        <w:t xml:space="preserve"> 1</w:t>
      </w:r>
    </w:p>
    <w:p w:rsidR="00344FF3" w:rsidRPr="000A0A5F" w:rsidRDefault="00344FF3" w:rsidP="00344FF3">
      <w:pPr>
        <w:pStyle w:val="PL"/>
        <w:rPr>
          <w:lang w:val="en-US"/>
        </w:rPr>
      </w:pPr>
      <w:r w:rsidRPr="000A0A5F">
        <w:rPr>
          <w:lang w:val="en-US"/>
        </w:rPr>
        <w:t xml:space="preserve">      responses:</w:t>
      </w:r>
    </w:p>
    <w:p w:rsidR="00344FF3" w:rsidRPr="000A0A5F" w:rsidRDefault="00344FF3" w:rsidP="00344FF3">
      <w:pPr>
        <w:pStyle w:val="PL"/>
        <w:rPr>
          <w:lang w:val="en-US"/>
        </w:rPr>
      </w:pPr>
      <w:r w:rsidRPr="000A0A5F">
        <w:rPr>
          <w:lang w:val="en-US"/>
        </w:rPr>
        <w:t xml:space="preserve">        '204':</w:t>
      </w:r>
    </w:p>
    <w:p w:rsidR="00344FF3" w:rsidRPr="000A0A5F" w:rsidRDefault="00344FF3" w:rsidP="00344FF3">
      <w:pPr>
        <w:pStyle w:val="PL"/>
        <w:rPr>
          <w:lang w:val="en-US"/>
        </w:rPr>
      </w:pPr>
      <w:r w:rsidRPr="000A0A5F">
        <w:rPr>
          <w:lang w:val="en-US"/>
        </w:rPr>
        <w:t xml:space="preserve">          description: The resource was modified successfully.</w:t>
      </w:r>
    </w:p>
    <w:p w:rsidR="00344FF3" w:rsidRPr="000A0A5F" w:rsidRDefault="00344FF3" w:rsidP="00344FF3">
      <w:pPr>
        <w:pStyle w:val="PL"/>
      </w:pPr>
      <w:r w:rsidRPr="000A0A5F">
        <w:t xml:space="preserve">        '307':</w:t>
      </w:r>
    </w:p>
    <w:p w:rsidR="00344FF3" w:rsidRPr="000A0A5F" w:rsidRDefault="00344FF3" w:rsidP="00344FF3">
      <w:pPr>
        <w:pStyle w:val="PL"/>
      </w:pPr>
      <w:r w:rsidRPr="000A0A5F">
        <w:t xml:space="preserve">          $ref: 'TS29122_CommonData.yaml#/components/responses/307'</w:t>
      </w:r>
    </w:p>
    <w:p w:rsidR="00344FF3" w:rsidRPr="000A0A5F" w:rsidRDefault="00344FF3" w:rsidP="00344FF3">
      <w:pPr>
        <w:pStyle w:val="PL"/>
      </w:pPr>
      <w:r w:rsidRPr="000A0A5F">
        <w:t xml:space="preserve">        '308':</w:t>
      </w:r>
    </w:p>
    <w:p w:rsidR="00344FF3" w:rsidRPr="000A0A5F" w:rsidRDefault="00344FF3" w:rsidP="00344FF3">
      <w:pPr>
        <w:pStyle w:val="PL"/>
      </w:pPr>
      <w:r w:rsidRPr="000A0A5F">
        <w:t xml:space="preserve">          $ref: 'TS29122_CommonData.yaml#/components/responses/308'</w:t>
      </w:r>
    </w:p>
    <w:p w:rsidR="00344FF3" w:rsidRPr="000A0A5F" w:rsidRDefault="00344FF3" w:rsidP="00344FF3">
      <w:pPr>
        <w:pStyle w:val="PL"/>
        <w:rPr>
          <w:lang w:val="en-US"/>
        </w:rPr>
      </w:pPr>
      <w:r w:rsidRPr="000A0A5F">
        <w:rPr>
          <w:lang w:val="en-US"/>
        </w:rPr>
        <w:t xml:space="preserve">        '400':</w:t>
      </w:r>
    </w:p>
    <w:p w:rsidR="00344FF3" w:rsidRPr="000A0A5F" w:rsidRDefault="00344FF3" w:rsidP="00344FF3">
      <w:pPr>
        <w:pStyle w:val="PL"/>
        <w:rPr>
          <w:lang w:val="en-US"/>
        </w:rPr>
      </w:pPr>
      <w:r w:rsidRPr="000A0A5F">
        <w:rPr>
          <w:lang w:val="en-US"/>
        </w:rPr>
        <w:t xml:space="preserve">          $ref: 'TS29122_CommonData.yaml#/components/responses/400'</w:t>
      </w:r>
    </w:p>
    <w:p w:rsidR="00344FF3" w:rsidRPr="000A0A5F" w:rsidRDefault="00344FF3" w:rsidP="00344FF3">
      <w:pPr>
        <w:pStyle w:val="PL"/>
        <w:rPr>
          <w:lang w:val="en-US"/>
        </w:rPr>
      </w:pPr>
      <w:r w:rsidRPr="000A0A5F">
        <w:rPr>
          <w:lang w:val="en-US"/>
        </w:rPr>
        <w:t xml:space="preserve">        '401':</w:t>
      </w:r>
    </w:p>
    <w:p w:rsidR="00344FF3" w:rsidRPr="000A0A5F" w:rsidRDefault="00344FF3" w:rsidP="00344FF3">
      <w:pPr>
        <w:pStyle w:val="PL"/>
        <w:rPr>
          <w:lang w:val="en-US"/>
        </w:rPr>
      </w:pPr>
      <w:r w:rsidRPr="000A0A5F">
        <w:rPr>
          <w:lang w:val="en-US"/>
        </w:rPr>
        <w:t xml:space="preserve">          $ref: 'TS29122_CommonData.yaml#/components/responses/401'</w:t>
      </w:r>
    </w:p>
    <w:p w:rsidR="00344FF3" w:rsidRPr="000A0A5F" w:rsidRDefault="00344FF3" w:rsidP="00344FF3">
      <w:pPr>
        <w:pStyle w:val="PL"/>
        <w:rPr>
          <w:lang w:val="en-US"/>
        </w:rPr>
      </w:pPr>
      <w:r w:rsidRPr="000A0A5F">
        <w:rPr>
          <w:lang w:val="en-US"/>
        </w:rPr>
        <w:t xml:space="preserve">        '403':</w:t>
      </w:r>
    </w:p>
    <w:p w:rsidR="00344FF3" w:rsidRPr="000A0A5F" w:rsidRDefault="00344FF3" w:rsidP="00344FF3">
      <w:pPr>
        <w:pStyle w:val="PL"/>
        <w:rPr>
          <w:lang w:val="en-US"/>
        </w:rPr>
      </w:pPr>
      <w:r w:rsidRPr="000A0A5F">
        <w:rPr>
          <w:lang w:val="en-US"/>
        </w:rPr>
        <w:t xml:space="preserve">          $ref: 'TS29122_CommonData.yaml#/components/responses/403'</w:t>
      </w:r>
    </w:p>
    <w:p w:rsidR="00344FF3" w:rsidRPr="000A0A5F" w:rsidRDefault="00344FF3" w:rsidP="00344FF3">
      <w:pPr>
        <w:pStyle w:val="PL"/>
        <w:rPr>
          <w:lang w:val="en-US"/>
        </w:rPr>
      </w:pPr>
      <w:r w:rsidRPr="000A0A5F">
        <w:rPr>
          <w:lang w:val="en-US"/>
        </w:rPr>
        <w:t xml:space="preserve">        '404':</w:t>
      </w:r>
    </w:p>
    <w:p w:rsidR="00344FF3" w:rsidRPr="000A0A5F" w:rsidRDefault="00344FF3" w:rsidP="00344FF3">
      <w:pPr>
        <w:pStyle w:val="PL"/>
        <w:rPr>
          <w:lang w:val="en-US"/>
        </w:rPr>
      </w:pPr>
      <w:r w:rsidRPr="000A0A5F">
        <w:rPr>
          <w:lang w:val="en-US"/>
        </w:rPr>
        <w:t xml:space="preserve">          $ref: 'TS29122_CommonData.yaml#/components/responses/404'</w:t>
      </w:r>
    </w:p>
    <w:p w:rsidR="00344FF3" w:rsidRPr="000A0A5F" w:rsidRDefault="00344FF3" w:rsidP="00344FF3">
      <w:pPr>
        <w:pStyle w:val="PL"/>
      </w:pPr>
      <w:r w:rsidRPr="000A0A5F">
        <w:t xml:space="preserve">        '411':</w:t>
      </w:r>
    </w:p>
    <w:p w:rsidR="00344FF3" w:rsidRPr="000A0A5F" w:rsidRDefault="00344FF3" w:rsidP="00344FF3">
      <w:pPr>
        <w:pStyle w:val="PL"/>
      </w:pPr>
      <w:r w:rsidRPr="000A0A5F">
        <w:t xml:space="preserve">          $ref: 'TS29122_CommonData.yaml#/components/responses/411'</w:t>
      </w:r>
    </w:p>
    <w:p w:rsidR="00344FF3" w:rsidRPr="000A0A5F" w:rsidRDefault="00344FF3" w:rsidP="00344FF3">
      <w:pPr>
        <w:pStyle w:val="PL"/>
      </w:pPr>
      <w:r w:rsidRPr="000A0A5F">
        <w:t xml:space="preserve">        '413':</w:t>
      </w:r>
    </w:p>
    <w:p w:rsidR="00344FF3" w:rsidRPr="000A0A5F" w:rsidRDefault="00344FF3" w:rsidP="00344FF3">
      <w:pPr>
        <w:pStyle w:val="PL"/>
      </w:pPr>
      <w:r w:rsidRPr="000A0A5F">
        <w:t xml:space="preserve">          $ref: 'TS29122_CommonData.yaml#/components/responses/413'</w:t>
      </w:r>
    </w:p>
    <w:p w:rsidR="00344FF3" w:rsidRPr="000A0A5F" w:rsidRDefault="00344FF3" w:rsidP="00344FF3">
      <w:pPr>
        <w:pStyle w:val="PL"/>
      </w:pPr>
      <w:r w:rsidRPr="000A0A5F">
        <w:t xml:space="preserve">        '415':</w:t>
      </w:r>
    </w:p>
    <w:p w:rsidR="00344FF3" w:rsidRPr="000A0A5F" w:rsidRDefault="00344FF3" w:rsidP="00344FF3">
      <w:pPr>
        <w:pStyle w:val="PL"/>
      </w:pPr>
      <w:r w:rsidRPr="000A0A5F">
        <w:t xml:space="preserve">          $ref: 'TS29122_CommonData.yaml#/components/responses/415'</w:t>
      </w:r>
    </w:p>
    <w:p w:rsidR="00344FF3" w:rsidRPr="000A0A5F" w:rsidRDefault="00344FF3" w:rsidP="00344FF3">
      <w:pPr>
        <w:pStyle w:val="PL"/>
      </w:pPr>
      <w:r w:rsidRPr="000A0A5F">
        <w:t xml:space="preserve">        '429':</w:t>
      </w:r>
    </w:p>
    <w:p w:rsidR="00344FF3" w:rsidRPr="000A0A5F" w:rsidRDefault="00344FF3" w:rsidP="00344FF3">
      <w:pPr>
        <w:pStyle w:val="PL"/>
      </w:pPr>
      <w:r w:rsidRPr="000A0A5F">
        <w:t xml:space="preserve">          $ref: 'TS29122_CommonData.yaml#/components/responses/429'</w:t>
      </w:r>
    </w:p>
    <w:p w:rsidR="00344FF3" w:rsidRPr="000A0A5F" w:rsidRDefault="00344FF3" w:rsidP="00344FF3">
      <w:pPr>
        <w:pStyle w:val="PL"/>
        <w:rPr>
          <w:lang w:val="en-US"/>
        </w:rPr>
      </w:pPr>
      <w:r w:rsidRPr="000A0A5F">
        <w:rPr>
          <w:lang w:val="en-US"/>
        </w:rPr>
        <w:t xml:space="preserve">        '500':</w:t>
      </w:r>
    </w:p>
    <w:p w:rsidR="00344FF3" w:rsidRPr="000A0A5F" w:rsidRDefault="00344FF3" w:rsidP="00344FF3">
      <w:pPr>
        <w:pStyle w:val="PL"/>
        <w:rPr>
          <w:lang w:val="en-US"/>
        </w:rPr>
      </w:pPr>
      <w:r w:rsidRPr="000A0A5F">
        <w:rPr>
          <w:lang w:val="en-US"/>
        </w:rPr>
        <w:t xml:space="preserve">          $ref: 'TS29122_CommonData.yaml#/components/responses/500'</w:t>
      </w:r>
    </w:p>
    <w:p w:rsidR="00344FF3" w:rsidRPr="000A0A5F" w:rsidRDefault="00344FF3" w:rsidP="00344FF3">
      <w:pPr>
        <w:pStyle w:val="PL"/>
        <w:rPr>
          <w:lang w:val="en-US"/>
        </w:rPr>
      </w:pPr>
      <w:r w:rsidRPr="000A0A5F">
        <w:rPr>
          <w:lang w:val="en-US"/>
        </w:rPr>
        <w:t xml:space="preserve">        '503':</w:t>
      </w:r>
    </w:p>
    <w:p w:rsidR="00344FF3" w:rsidRPr="000A0A5F" w:rsidRDefault="00344FF3" w:rsidP="00344FF3">
      <w:pPr>
        <w:pStyle w:val="PL"/>
        <w:rPr>
          <w:lang w:val="en-US"/>
        </w:rPr>
      </w:pPr>
      <w:r w:rsidRPr="000A0A5F">
        <w:rPr>
          <w:lang w:val="en-US"/>
        </w:rPr>
        <w:t xml:space="preserve">          $ref: 'TS29122_CommonData.yaml#/components/responses/503'</w:t>
      </w:r>
    </w:p>
    <w:p w:rsidR="00344FF3" w:rsidRPr="000A0A5F" w:rsidRDefault="00344FF3" w:rsidP="00344FF3">
      <w:pPr>
        <w:pStyle w:val="PL"/>
        <w:rPr>
          <w:lang w:val="en-US"/>
        </w:rPr>
      </w:pPr>
      <w:r w:rsidRPr="000A0A5F">
        <w:rPr>
          <w:lang w:val="en-US"/>
        </w:rPr>
        <w:t xml:space="preserve">        default:</w:t>
      </w:r>
    </w:p>
    <w:p w:rsidR="00344FF3" w:rsidRPr="000A0A5F" w:rsidRDefault="00344FF3" w:rsidP="00344FF3">
      <w:pPr>
        <w:pStyle w:val="PL"/>
        <w:rPr>
          <w:lang w:val="en-US"/>
        </w:rPr>
      </w:pPr>
      <w:r w:rsidRPr="000A0A5F">
        <w:rPr>
          <w:lang w:val="en-US"/>
        </w:rPr>
        <w:t xml:space="preserve">          $ref: 'TS29122_CommonData.yaml#/components/responses/default'</w:t>
      </w:r>
    </w:p>
    <w:p w:rsidR="00A337F0" w:rsidRPr="000A0A5F" w:rsidRDefault="00A337F0" w:rsidP="00A337F0">
      <w:pPr>
        <w:pStyle w:val="PL"/>
        <w:rPr>
          <w:lang w:val="en-US"/>
        </w:rPr>
      </w:pPr>
    </w:p>
    <w:p w:rsidR="00CB0DD7" w:rsidRPr="000A0A5F" w:rsidRDefault="00CB0DD7">
      <w:pPr>
        <w:pStyle w:val="PL"/>
      </w:pPr>
      <w:r w:rsidRPr="000A0A5F">
        <w:t xml:space="preserve">    delete:</w:t>
      </w:r>
    </w:p>
    <w:p w:rsidR="00CB0DD7" w:rsidRPr="000A0A5F" w:rsidRDefault="00CB0DD7">
      <w:pPr>
        <w:pStyle w:val="PL"/>
      </w:pPr>
      <w:r w:rsidRPr="000A0A5F">
        <w:t xml:space="preserve">      summary: Deletes an already existing monitoring event subscription</w:t>
      </w:r>
      <w:r w:rsidR="00DE4D25" w:rsidRPr="000A0A5F">
        <w:t>.</w:t>
      </w:r>
    </w:p>
    <w:p w:rsidR="00DE4D25" w:rsidRPr="000A0A5F" w:rsidRDefault="00DE4D25" w:rsidP="00DE4D25">
      <w:pPr>
        <w:pStyle w:val="PL"/>
      </w:pPr>
      <w:r w:rsidRPr="000A0A5F">
        <w:t xml:space="preserve">      </w:t>
      </w:r>
      <w:r w:rsidRPr="000A0A5F">
        <w:rPr>
          <w:rFonts w:cs="Courier New"/>
          <w:szCs w:val="16"/>
        </w:rPr>
        <w:t>operationId: DeleteInd</w:t>
      </w:r>
      <w:r w:rsidRPr="000A0A5F">
        <w:t>MonitoringEventSubscription</w:t>
      </w:r>
    </w:p>
    <w:p w:rsidR="00CB0DD7" w:rsidRPr="000A0A5F" w:rsidRDefault="00CB0DD7">
      <w:pPr>
        <w:pStyle w:val="PL"/>
      </w:pPr>
      <w:r w:rsidRPr="000A0A5F">
        <w:t xml:space="preserve">      tags:</w:t>
      </w:r>
    </w:p>
    <w:p w:rsidR="00CB0DD7" w:rsidRPr="000A0A5F" w:rsidRDefault="00CB0DD7">
      <w:pPr>
        <w:pStyle w:val="PL"/>
      </w:pPr>
      <w:r w:rsidRPr="000A0A5F">
        <w:t xml:space="preserve">        - </w:t>
      </w:r>
      <w:r w:rsidR="00DE4D25" w:rsidRPr="000A0A5F">
        <w:t xml:space="preserve">Individual </w:t>
      </w:r>
      <w:r w:rsidRPr="000A0A5F">
        <w:t>Monitoring</w:t>
      </w:r>
      <w:r w:rsidR="00DE4D25" w:rsidRPr="000A0A5F">
        <w:t xml:space="preserve"> </w:t>
      </w:r>
      <w:r w:rsidRPr="000A0A5F">
        <w:t>Event Subscription</w:t>
      </w:r>
    </w:p>
    <w:p w:rsidR="00CB0DD7" w:rsidRPr="000A0A5F" w:rsidRDefault="00CB0DD7">
      <w:pPr>
        <w:pStyle w:val="PL"/>
      </w:pPr>
      <w:r w:rsidRPr="000A0A5F">
        <w:t xml:space="preserve">      parameters:</w:t>
      </w:r>
    </w:p>
    <w:p w:rsidR="00CB0DD7" w:rsidRPr="000A0A5F" w:rsidRDefault="00CB0DD7">
      <w:pPr>
        <w:pStyle w:val="PL"/>
      </w:pPr>
      <w:r w:rsidRPr="000A0A5F">
        <w:t xml:space="preserve">        - name: scsAsId</w:t>
      </w:r>
    </w:p>
    <w:p w:rsidR="00CB0DD7" w:rsidRPr="000A0A5F" w:rsidRDefault="00CB0DD7">
      <w:pPr>
        <w:pStyle w:val="PL"/>
      </w:pPr>
      <w:r w:rsidRPr="000A0A5F">
        <w:t xml:space="preserve">          in: path</w:t>
      </w:r>
    </w:p>
    <w:p w:rsidR="00CB0DD7" w:rsidRPr="000A0A5F" w:rsidRDefault="00CB0DD7">
      <w:pPr>
        <w:pStyle w:val="PL"/>
      </w:pPr>
      <w:r w:rsidRPr="000A0A5F">
        <w:t xml:space="preserve">          description: Identifier of the SCS/AS</w:t>
      </w:r>
    </w:p>
    <w:p w:rsidR="00CB0DD7" w:rsidRPr="000A0A5F" w:rsidRDefault="00CB0DD7">
      <w:pPr>
        <w:pStyle w:val="PL"/>
      </w:pPr>
      <w:r w:rsidRPr="000A0A5F">
        <w:t xml:space="preserve">          required: true</w:t>
      </w:r>
    </w:p>
    <w:p w:rsidR="00CB0DD7" w:rsidRPr="000A0A5F" w:rsidRDefault="00CB0DD7">
      <w:pPr>
        <w:pStyle w:val="PL"/>
      </w:pPr>
      <w:r w:rsidRPr="000A0A5F">
        <w:t xml:space="preserve">          schema:</w:t>
      </w:r>
    </w:p>
    <w:p w:rsidR="00CB0DD7" w:rsidRPr="000A0A5F" w:rsidRDefault="00CB0DD7">
      <w:pPr>
        <w:pStyle w:val="PL"/>
      </w:pPr>
      <w:r w:rsidRPr="000A0A5F">
        <w:t xml:space="preserve">            type: string</w:t>
      </w:r>
    </w:p>
    <w:p w:rsidR="00CB0DD7" w:rsidRPr="000A0A5F" w:rsidRDefault="00CB0DD7">
      <w:pPr>
        <w:pStyle w:val="PL"/>
      </w:pPr>
      <w:r w:rsidRPr="000A0A5F">
        <w:t xml:space="preserve">        - name: subscriptionId</w:t>
      </w:r>
    </w:p>
    <w:p w:rsidR="00CB0DD7" w:rsidRPr="000A0A5F" w:rsidRDefault="00CB0DD7">
      <w:pPr>
        <w:pStyle w:val="PL"/>
      </w:pPr>
      <w:r w:rsidRPr="000A0A5F">
        <w:t xml:space="preserve">          in: path</w:t>
      </w:r>
    </w:p>
    <w:p w:rsidR="00CB0DD7" w:rsidRPr="000A0A5F" w:rsidRDefault="00CB0DD7">
      <w:pPr>
        <w:pStyle w:val="PL"/>
      </w:pPr>
      <w:r w:rsidRPr="000A0A5F">
        <w:t xml:space="preserve">          description: Identifier of the subscription resource</w:t>
      </w:r>
    </w:p>
    <w:p w:rsidR="00CB0DD7" w:rsidRPr="000A0A5F" w:rsidRDefault="00CB0DD7">
      <w:pPr>
        <w:pStyle w:val="PL"/>
      </w:pPr>
      <w:r w:rsidRPr="000A0A5F">
        <w:t xml:space="preserve">          required: true</w:t>
      </w:r>
    </w:p>
    <w:p w:rsidR="00CB0DD7" w:rsidRPr="000A0A5F" w:rsidRDefault="00CB0DD7">
      <w:pPr>
        <w:pStyle w:val="PL"/>
      </w:pPr>
      <w:r w:rsidRPr="000A0A5F">
        <w:t xml:space="preserve">          schema:</w:t>
      </w:r>
    </w:p>
    <w:p w:rsidR="00CB0DD7" w:rsidRPr="000A0A5F" w:rsidRDefault="00CB0DD7">
      <w:pPr>
        <w:pStyle w:val="PL"/>
      </w:pPr>
      <w:r w:rsidRPr="000A0A5F">
        <w:t xml:space="preserve">            type: string</w:t>
      </w:r>
    </w:p>
    <w:p w:rsidR="00CB0DD7" w:rsidRPr="000A0A5F" w:rsidRDefault="00CB0DD7">
      <w:pPr>
        <w:pStyle w:val="PL"/>
      </w:pPr>
      <w:r w:rsidRPr="000A0A5F">
        <w:t xml:space="preserve">      responses:</w:t>
      </w:r>
    </w:p>
    <w:p w:rsidR="00CB0DD7" w:rsidRPr="000A0A5F" w:rsidRDefault="00CB0DD7">
      <w:pPr>
        <w:pStyle w:val="PL"/>
      </w:pPr>
      <w:r w:rsidRPr="000A0A5F">
        <w:t xml:space="preserve">        '204':</w:t>
      </w:r>
    </w:p>
    <w:p w:rsidR="00CB0DD7" w:rsidRPr="000A0A5F" w:rsidRDefault="00CB0DD7">
      <w:pPr>
        <w:pStyle w:val="PL"/>
      </w:pPr>
      <w:r w:rsidRPr="000A0A5F">
        <w:t xml:space="preserve">          description: No Content (Successful deletion of the existing subscription)</w:t>
      </w:r>
    </w:p>
    <w:p w:rsidR="00CB0DD7" w:rsidRPr="000A0A5F" w:rsidRDefault="00CB0DD7">
      <w:pPr>
        <w:pStyle w:val="PL"/>
      </w:pPr>
      <w:r w:rsidRPr="000A0A5F">
        <w:t xml:space="preserve">        '200':</w:t>
      </w:r>
    </w:p>
    <w:p w:rsidR="00CB0DD7" w:rsidRPr="000A0A5F" w:rsidRDefault="00CB0DD7">
      <w:pPr>
        <w:pStyle w:val="PL"/>
      </w:pPr>
      <w:r w:rsidRPr="000A0A5F">
        <w:t xml:space="preserve">          description: OK (Successful deletion of the existing subscription)</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application/json:</w:t>
      </w:r>
    </w:p>
    <w:p w:rsidR="00CB0DD7" w:rsidRPr="000A0A5F" w:rsidRDefault="00CB0DD7">
      <w:pPr>
        <w:pStyle w:val="PL"/>
      </w:pPr>
      <w:r w:rsidRPr="000A0A5F">
        <w:t xml:space="preserve">              schema:</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$ref: '#/components/schemas/</w:t>
      </w:r>
      <w:r w:rsidRPr="000A0A5F">
        <w:rPr>
          <w:rFonts w:hint="eastAsia"/>
          <w:lang w:eastAsia="zh-CN"/>
        </w:rPr>
        <w:t>MonitoringEvent</w:t>
      </w:r>
      <w:r w:rsidRPr="000A0A5F">
        <w:rPr>
          <w:lang w:eastAsia="zh-CN"/>
        </w:rPr>
        <w:t>Report</w:t>
      </w:r>
      <w:r w:rsidRPr="000A0A5F">
        <w:t>'</w:t>
      </w:r>
    </w:p>
    <w:p w:rsidR="00CB0DD7" w:rsidRPr="000A0A5F" w:rsidRDefault="00CB0DD7">
      <w:pPr>
        <w:pStyle w:val="PL"/>
      </w:pPr>
      <w:r w:rsidRPr="000A0A5F">
        <w:t xml:space="preserve">                minItems: 1</w:t>
      </w:r>
    </w:p>
    <w:p w:rsidR="00815FEF" w:rsidRPr="000A0A5F" w:rsidRDefault="00CB0DD7">
      <w:pPr>
        <w:pStyle w:val="PL"/>
      </w:pPr>
      <w:r w:rsidRPr="000A0A5F">
        <w:t xml:space="preserve">                description: </w:t>
      </w:r>
      <w:r w:rsidR="00815FEF" w:rsidRPr="000A0A5F">
        <w:t>&gt;</w:t>
      </w:r>
    </w:p>
    <w:p w:rsidR="00815FEF" w:rsidRPr="000A0A5F" w:rsidRDefault="00815FEF">
      <w:pPr>
        <w:pStyle w:val="PL"/>
      </w:pPr>
      <w:r w:rsidRPr="000A0A5F">
        <w:t xml:space="preserve">                  </w:t>
      </w:r>
      <w:r w:rsidR="00CB0DD7" w:rsidRPr="000A0A5F">
        <w:t>The subscription was terminated successfully, the monitoring event report(s)</w:t>
      </w:r>
    </w:p>
    <w:p w:rsidR="00CB0DD7" w:rsidRPr="000A0A5F" w:rsidRDefault="00815FEF">
      <w:pPr>
        <w:pStyle w:val="PL"/>
        <w:rPr>
          <w:lang w:eastAsia="zh-CN"/>
        </w:rPr>
      </w:pPr>
      <w:r w:rsidRPr="000A0A5F">
        <w:t xml:space="preserve">                 </w:t>
      </w:r>
      <w:r w:rsidR="00CB0DD7" w:rsidRPr="000A0A5F">
        <w:t xml:space="preserve"> shall be included if received</w:t>
      </w:r>
      <w:r w:rsidR="00CB0DD7" w:rsidRPr="000A0A5F">
        <w:rPr>
          <w:lang w:eastAsia="zh-CN"/>
        </w:rPr>
        <w:t>.</w:t>
      </w:r>
    </w:p>
    <w:p w:rsidR="00CB0DD7" w:rsidRPr="000A0A5F" w:rsidRDefault="00CB0DD7">
      <w:pPr>
        <w:pStyle w:val="PL"/>
      </w:pPr>
      <w:r w:rsidRPr="000A0A5F">
        <w:t xml:space="preserve">        '307':</w:t>
      </w:r>
    </w:p>
    <w:p w:rsidR="00CB0DD7" w:rsidRPr="000A0A5F" w:rsidRDefault="00CB0DD7">
      <w:pPr>
        <w:pStyle w:val="PL"/>
      </w:pPr>
      <w:r w:rsidRPr="000A0A5F">
        <w:t xml:space="preserve">          $ref: 'TS29122_CommonData.yaml#/components/responses/307'</w:t>
      </w:r>
    </w:p>
    <w:p w:rsidR="00CB0DD7" w:rsidRPr="000A0A5F" w:rsidRDefault="00CB0DD7">
      <w:pPr>
        <w:pStyle w:val="PL"/>
      </w:pPr>
      <w:r w:rsidRPr="000A0A5F">
        <w:t xml:space="preserve">        '308':</w:t>
      </w:r>
    </w:p>
    <w:p w:rsidR="00CB0DD7" w:rsidRPr="000A0A5F" w:rsidRDefault="00CB0DD7">
      <w:pPr>
        <w:pStyle w:val="PL"/>
      </w:pPr>
      <w:r w:rsidRPr="000A0A5F">
        <w:t xml:space="preserve">          $ref: 'TS29122_CommonData.yaml#/components/responses/308'</w:t>
      </w:r>
    </w:p>
    <w:p w:rsidR="00CB0DD7" w:rsidRPr="000A0A5F" w:rsidRDefault="00CB0DD7">
      <w:pPr>
        <w:pStyle w:val="PL"/>
      </w:pPr>
      <w:r w:rsidRPr="000A0A5F">
        <w:t xml:space="preserve">        '400':</w:t>
      </w:r>
    </w:p>
    <w:p w:rsidR="00CB0DD7" w:rsidRPr="000A0A5F" w:rsidRDefault="00CB0DD7">
      <w:pPr>
        <w:pStyle w:val="PL"/>
      </w:pPr>
      <w:r w:rsidRPr="000A0A5F">
        <w:t xml:space="preserve">          $ref: 'TS29122_CommonData.yaml#/components/responses/400'</w:t>
      </w:r>
    </w:p>
    <w:p w:rsidR="00CB0DD7" w:rsidRPr="000A0A5F" w:rsidRDefault="00CB0DD7">
      <w:pPr>
        <w:pStyle w:val="PL"/>
      </w:pPr>
      <w:r w:rsidRPr="000A0A5F">
        <w:t xml:space="preserve">        '401':</w:t>
      </w:r>
    </w:p>
    <w:p w:rsidR="00CB0DD7" w:rsidRPr="000A0A5F" w:rsidRDefault="00CB0DD7">
      <w:pPr>
        <w:pStyle w:val="PL"/>
      </w:pPr>
      <w:r w:rsidRPr="000A0A5F">
        <w:t xml:space="preserve">          $ref: 'TS29122_CommonData.yaml#/components/responses/401'</w:t>
      </w:r>
    </w:p>
    <w:p w:rsidR="00CB0DD7" w:rsidRPr="000A0A5F" w:rsidRDefault="00CB0DD7">
      <w:pPr>
        <w:pStyle w:val="PL"/>
      </w:pPr>
      <w:r w:rsidRPr="000A0A5F">
        <w:t xml:space="preserve">        '403':</w:t>
      </w:r>
    </w:p>
    <w:p w:rsidR="00CB0DD7" w:rsidRPr="000A0A5F" w:rsidRDefault="00CB0DD7">
      <w:pPr>
        <w:pStyle w:val="PL"/>
      </w:pPr>
      <w:r w:rsidRPr="000A0A5F">
        <w:t xml:space="preserve">          $ref: 'TS29122_CommonData.yaml#/components/responses/403'</w:t>
      </w:r>
    </w:p>
    <w:p w:rsidR="00CB0DD7" w:rsidRPr="000A0A5F" w:rsidRDefault="00CB0DD7">
      <w:pPr>
        <w:pStyle w:val="PL"/>
      </w:pPr>
      <w:r w:rsidRPr="000A0A5F">
        <w:t xml:space="preserve">        '404':</w:t>
      </w:r>
    </w:p>
    <w:p w:rsidR="00CB0DD7" w:rsidRPr="000A0A5F" w:rsidRDefault="00CB0DD7">
      <w:pPr>
        <w:pStyle w:val="PL"/>
      </w:pPr>
      <w:r w:rsidRPr="000A0A5F">
        <w:t xml:space="preserve">          $ref: 'TS29122_CommonData.yaml#/components/responses/404'</w:t>
      </w:r>
    </w:p>
    <w:p w:rsidR="00CB0DD7" w:rsidRPr="000A0A5F" w:rsidRDefault="00CB0DD7">
      <w:pPr>
        <w:pStyle w:val="PL"/>
      </w:pPr>
      <w:r w:rsidRPr="000A0A5F">
        <w:t xml:space="preserve">        '429':</w:t>
      </w:r>
    </w:p>
    <w:p w:rsidR="00CB0DD7" w:rsidRPr="000A0A5F" w:rsidRDefault="00CB0DD7">
      <w:pPr>
        <w:pStyle w:val="PL"/>
      </w:pPr>
      <w:r w:rsidRPr="000A0A5F">
        <w:t xml:space="preserve">          $ref: 'TS29122_CommonData.yaml#/components/responses/429'</w:t>
      </w:r>
    </w:p>
    <w:p w:rsidR="00CB0DD7" w:rsidRPr="000A0A5F" w:rsidRDefault="00CB0DD7">
      <w:pPr>
        <w:pStyle w:val="PL"/>
      </w:pPr>
      <w:r w:rsidRPr="000A0A5F">
        <w:t xml:space="preserve">        '500':</w:t>
      </w:r>
    </w:p>
    <w:p w:rsidR="00CB0DD7" w:rsidRPr="000A0A5F" w:rsidRDefault="00CB0DD7">
      <w:pPr>
        <w:pStyle w:val="PL"/>
      </w:pPr>
      <w:r w:rsidRPr="000A0A5F">
        <w:t xml:space="preserve">          $ref: 'TS29122_CommonData.yaml#/components/responses/500'</w:t>
      </w:r>
    </w:p>
    <w:p w:rsidR="00CB0DD7" w:rsidRPr="000A0A5F" w:rsidRDefault="00CB0DD7">
      <w:pPr>
        <w:pStyle w:val="PL"/>
      </w:pPr>
      <w:r w:rsidRPr="000A0A5F">
        <w:t xml:space="preserve">        '503':</w:t>
      </w:r>
    </w:p>
    <w:p w:rsidR="00CB0DD7" w:rsidRPr="000A0A5F" w:rsidRDefault="00CB0DD7">
      <w:pPr>
        <w:pStyle w:val="PL"/>
      </w:pPr>
      <w:r w:rsidRPr="000A0A5F">
        <w:t xml:space="preserve">          $ref: 'TS29122_CommonData.yaml#/components/responses/503'</w:t>
      </w:r>
    </w:p>
    <w:p w:rsidR="00CB0DD7" w:rsidRPr="000A0A5F" w:rsidRDefault="00CB0DD7">
      <w:pPr>
        <w:pStyle w:val="PL"/>
      </w:pPr>
      <w:r w:rsidRPr="000A0A5F">
        <w:t xml:space="preserve">        default:</w:t>
      </w:r>
    </w:p>
    <w:p w:rsidR="00CB0DD7" w:rsidRPr="000A0A5F" w:rsidRDefault="00CB0DD7">
      <w:pPr>
        <w:pStyle w:val="PL"/>
      </w:pPr>
      <w:r w:rsidRPr="000A0A5F">
        <w:t xml:space="preserve">          $ref: 'TS29122_CommonData.yaml#/components/responses/default'</w:t>
      </w:r>
    </w:p>
    <w:p w:rsidR="00815FEF" w:rsidRPr="000A0A5F" w:rsidRDefault="00815FEF">
      <w:pPr>
        <w:pStyle w:val="PL"/>
      </w:pPr>
    </w:p>
    <w:p w:rsidR="00CB0DD7" w:rsidRPr="000A0A5F" w:rsidRDefault="00CB0DD7">
      <w:pPr>
        <w:pStyle w:val="PL"/>
      </w:pPr>
      <w:r w:rsidRPr="000A0A5F">
        <w:t>components:</w:t>
      </w:r>
    </w:p>
    <w:p w:rsidR="00CB0DD7" w:rsidRPr="000A0A5F" w:rsidRDefault="00CB0DD7">
      <w:pPr>
        <w:pStyle w:val="PL"/>
        <w:rPr>
          <w:lang w:val="en-US"/>
        </w:rPr>
      </w:pPr>
      <w:r w:rsidRPr="000A0A5F">
        <w:rPr>
          <w:lang w:val="en-US"/>
        </w:rPr>
        <w:t xml:space="preserve">  securitySchemes:</w:t>
      </w:r>
    </w:p>
    <w:p w:rsidR="00CB0DD7" w:rsidRPr="000A0A5F" w:rsidRDefault="00CB0DD7">
      <w:pPr>
        <w:pStyle w:val="PL"/>
        <w:rPr>
          <w:lang w:val="en-US"/>
        </w:rPr>
      </w:pPr>
      <w:r w:rsidRPr="000A0A5F">
        <w:rPr>
          <w:lang w:val="en-US"/>
        </w:rPr>
        <w:t xml:space="preserve">    oAuth2ClientCredentials:</w:t>
      </w:r>
    </w:p>
    <w:p w:rsidR="00CB0DD7" w:rsidRPr="000A0A5F" w:rsidRDefault="00CB0DD7">
      <w:pPr>
        <w:pStyle w:val="PL"/>
        <w:rPr>
          <w:lang w:val="en-US"/>
        </w:rPr>
      </w:pPr>
      <w:r w:rsidRPr="000A0A5F">
        <w:rPr>
          <w:lang w:val="en-US"/>
        </w:rPr>
        <w:t xml:space="preserve">      type: oauth2</w:t>
      </w:r>
    </w:p>
    <w:p w:rsidR="00CB0DD7" w:rsidRPr="000A0A5F" w:rsidRDefault="00CB0DD7">
      <w:pPr>
        <w:pStyle w:val="PL"/>
        <w:rPr>
          <w:lang w:val="en-US"/>
        </w:rPr>
      </w:pPr>
      <w:r w:rsidRPr="000A0A5F">
        <w:rPr>
          <w:lang w:val="en-US"/>
        </w:rPr>
        <w:t xml:space="preserve">      flows:</w:t>
      </w:r>
    </w:p>
    <w:p w:rsidR="00CB0DD7" w:rsidRPr="000A0A5F" w:rsidRDefault="00CB0DD7">
      <w:pPr>
        <w:pStyle w:val="PL"/>
        <w:rPr>
          <w:lang w:val="en-US"/>
        </w:rPr>
      </w:pPr>
      <w:r w:rsidRPr="000A0A5F">
        <w:rPr>
          <w:lang w:val="en-US"/>
        </w:rPr>
        <w:t xml:space="preserve">        clientCredentials:</w:t>
      </w:r>
    </w:p>
    <w:p w:rsidR="00CB0DD7" w:rsidRPr="000A0A5F" w:rsidRDefault="00CB0DD7">
      <w:pPr>
        <w:pStyle w:val="PL"/>
        <w:rPr>
          <w:lang w:val="en-US"/>
        </w:rPr>
      </w:pPr>
      <w:r w:rsidRPr="000A0A5F">
        <w:rPr>
          <w:lang w:val="en-US"/>
        </w:rPr>
        <w:t xml:space="preserve">          tokenUrl: '{tokenUrl}'</w:t>
      </w:r>
    </w:p>
    <w:p w:rsidR="00CB0DD7" w:rsidRPr="000A0A5F" w:rsidRDefault="00CB0DD7">
      <w:pPr>
        <w:pStyle w:val="PL"/>
        <w:rPr>
          <w:lang w:val="en-US"/>
        </w:rPr>
      </w:pPr>
      <w:r w:rsidRPr="000A0A5F">
        <w:rPr>
          <w:lang w:val="en-US"/>
        </w:rPr>
        <w:t xml:space="preserve">          scopes: {}</w:t>
      </w:r>
    </w:p>
    <w:p w:rsidR="00815FEF" w:rsidRPr="000A0A5F" w:rsidRDefault="00815FEF">
      <w:pPr>
        <w:pStyle w:val="PL"/>
      </w:pPr>
    </w:p>
    <w:p w:rsidR="00CB0DD7" w:rsidRPr="000A0A5F" w:rsidRDefault="00CB0DD7">
      <w:pPr>
        <w:pStyle w:val="PL"/>
        <w:rPr>
          <w:lang w:eastAsia="zh-CN"/>
        </w:rPr>
      </w:pPr>
      <w:r w:rsidRPr="000A0A5F">
        <w:t xml:space="preserve">  schemas:</w:t>
      </w:r>
    </w:p>
    <w:p w:rsidR="00CB0DD7" w:rsidRPr="000A0A5F" w:rsidRDefault="00CB0DD7">
      <w:pPr>
        <w:pStyle w:val="PL"/>
      </w:pPr>
      <w:r w:rsidRPr="000A0A5F">
        <w:t xml:space="preserve">    MonitoringEventSubscription:</w:t>
      </w:r>
    </w:p>
    <w:p w:rsidR="00CB0DD7" w:rsidRPr="000A0A5F" w:rsidRDefault="00CB0DD7">
      <w:pPr>
        <w:pStyle w:val="PL"/>
      </w:pPr>
      <w:r w:rsidRPr="000A0A5F">
        <w:t xml:space="preserve">      description: Represents a subscription to event(s) monitoring.</w:t>
      </w:r>
    </w:p>
    <w:p w:rsidR="00CB0DD7" w:rsidRPr="000A0A5F" w:rsidRDefault="00CB0DD7">
      <w:pPr>
        <w:pStyle w:val="PL"/>
      </w:pPr>
      <w:r w:rsidRPr="000A0A5F">
        <w:t xml:space="preserve">      type: object</w:t>
      </w:r>
    </w:p>
    <w:p w:rsidR="00CB0DD7" w:rsidRPr="000A0A5F" w:rsidRDefault="00CB0DD7">
      <w:pPr>
        <w:pStyle w:val="PL"/>
      </w:pPr>
      <w:r w:rsidRPr="000A0A5F">
        <w:t xml:space="preserve">      properties:</w:t>
      </w:r>
    </w:p>
    <w:p w:rsidR="00CB0DD7" w:rsidRPr="000A0A5F" w:rsidRDefault="00CB0DD7">
      <w:pPr>
        <w:pStyle w:val="PL"/>
      </w:pPr>
      <w:r w:rsidRPr="000A0A5F">
        <w:t xml:space="preserve">        self:</w:t>
      </w:r>
    </w:p>
    <w:p w:rsidR="00CB0DD7" w:rsidRPr="000A0A5F" w:rsidRDefault="00CB0DD7">
      <w:pPr>
        <w:pStyle w:val="PL"/>
      </w:pPr>
      <w:r w:rsidRPr="000A0A5F">
        <w:t xml:space="preserve">          $ref: 'TS29122_CommonData.yaml#/components/schemas/Link'</w:t>
      </w:r>
    </w:p>
    <w:p w:rsidR="00CB0DD7" w:rsidRPr="000A0A5F" w:rsidRDefault="00CB0DD7">
      <w:pPr>
        <w:pStyle w:val="PL"/>
      </w:pPr>
      <w:r w:rsidRPr="000A0A5F">
        <w:t xml:space="preserve">        </w:t>
      </w:r>
      <w:r w:rsidRPr="000A0A5F">
        <w:rPr>
          <w:lang w:eastAsia="zh-CN"/>
        </w:rPr>
        <w:t>supportedFeatures</w:t>
      </w:r>
      <w:r w:rsidRPr="000A0A5F">
        <w:t>:</w:t>
      </w:r>
    </w:p>
    <w:p w:rsidR="00CB0DD7" w:rsidRPr="000A0A5F" w:rsidRDefault="00CB0DD7">
      <w:pPr>
        <w:pStyle w:val="PL"/>
      </w:pPr>
      <w:r w:rsidRPr="000A0A5F">
        <w:t xml:space="preserve">          $ref: 'TS29571_CommonData.yaml#/components/schemas/</w:t>
      </w:r>
      <w:r w:rsidRPr="000A0A5F">
        <w:rPr>
          <w:lang w:eastAsia="zh-CN"/>
        </w:rPr>
        <w:t>SupportedFeatures</w:t>
      </w:r>
      <w:r w:rsidRPr="000A0A5F">
        <w:t>'</w:t>
      </w:r>
    </w:p>
    <w:p w:rsidR="00CB0DD7" w:rsidRPr="000A0A5F" w:rsidRDefault="00CB0DD7">
      <w:pPr>
        <w:pStyle w:val="PL"/>
      </w:pPr>
      <w:r w:rsidRPr="000A0A5F">
        <w:t xml:space="preserve">        mtcProviderId:</w:t>
      </w:r>
    </w:p>
    <w:p w:rsidR="00CB0DD7" w:rsidRPr="000A0A5F" w:rsidRDefault="00CB0DD7">
      <w:pPr>
        <w:pStyle w:val="PL"/>
      </w:pPr>
      <w:r w:rsidRPr="000A0A5F">
        <w:t xml:space="preserve">          type: string</w:t>
      </w:r>
    </w:p>
    <w:p w:rsidR="00CB0DD7" w:rsidRPr="000A0A5F" w:rsidRDefault="00CB0DD7">
      <w:pPr>
        <w:pStyle w:val="PL"/>
      </w:pPr>
      <w:r w:rsidRPr="000A0A5F">
        <w:t xml:space="preserve">          description: Identifies the MTC Service Provider and/or MTC Application.</w:t>
      </w:r>
    </w:p>
    <w:p w:rsidR="005D21FB" w:rsidRPr="000A0A5F" w:rsidRDefault="005D21FB" w:rsidP="005D21FB">
      <w:pPr>
        <w:pStyle w:val="PL"/>
      </w:pPr>
      <w:r w:rsidRPr="000A0A5F">
        <w:t xml:space="preserve">        appIds:</w:t>
      </w:r>
    </w:p>
    <w:p w:rsidR="005D21FB" w:rsidRPr="000A0A5F" w:rsidRDefault="005D21FB" w:rsidP="005D21FB">
      <w:pPr>
        <w:pStyle w:val="PL"/>
      </w:pPr>
      <w:r w:rsidRPr="000A0A5F">
        <w:t xml:space="preserve">          type: array</w:t>
      </w:r>
    </w:p>
    <w:p w:rsidR="005D21FB" w:rsidRPr="000A0A5F" w:rsidRDefault="005D21FB" w:rsidP="005D21FB">
      <w:pPr>
        <w:pStyle w:val="PL"/>
      </w:pPr>
      <w:r w:rsidRPr="000A0A5F">
        <w:t xml:space="preserve">          items:</w:t>
      </w:r>
    </w:p>
    <w:p w:rsidR="005D21FB" w:rsidRPr="000A0A5F" w:rsidRDefault="005D21FB" w:rsidP="005D21FB">
      <w:pPr>
        <w:pStyle w:val="PL"/>
      </w:pPr>
      <w:r w:rsidRPr="000A0A5F">
        <w:t xml:space="preserve">            type: string</w:t>
      </w:r>
    </w:p>
    <w:p w:rsidR="005D21FB" w:rsidRPr="000A0A5F" w:rsidRDefault="005D21FB" w:rsidP="005D21FB">
      <w:pPr>
        <w:pStyle w:val="PL"/>
      </w:pPr>
      <w:r w:rsidRPr="000A0A5F">
        <w:t xml:space="preserve">          description: Identifies the Application Identifier(s)</w:t>
      </w:r>
    </w:p>
    <w:p w:rsidR="005D21FB" w:rsidRPr="000A0A5F" w:rsidRDefault="005D21FB" w:rsidP="005D21FB">
      <w:pPr>
        <w:pStyle w:val="PL"/>
      </w:pPr>
      <w:r w:rsidRPr="000A0A5F">
        <w:t xml:space="preserve">          minItems: 1</w:t>
      </w:r>
    </w:p>
    <w:p w:rsidR="00CB0DD7" w:rsidRPr="000A0A5F" w:rsidRDefault="00CB0DD7">
      <w:pPr>
        <w:pStyle w:val="PL"/>
      </w:pPr>
      <w:r w:rsidRPr="000A0A5F">
        <w:t xml:space="preserve">        externalId:</w:t>
      </w:r>
    </w:p>
    <w:p w:rsidR="00CB0DD7" w:rsidRPr="000A0A5F" w:rsidRDefault="00CB0DD7">
      <w:pPr>
        <w:pStyle w:val="PL"/>
      </w:pPr>
      <w:r w:rsidRPr="000A0A5F">
        <w:t xml:space="preserve">          $ref: 'TS29122_CommonData.yaml#/components/schemas/ExternalId'</w:t>
      </w:r>
    </w:p>
    <w:p w:rsidR="00CB0DD7" w:rsidRPr="000A0A5F" w:rsidRDefault="00CB0DD7">
      <w:pPr>
        <w:pStyle w:val="PL"/>
      </w:pPr>
      <w:r w:rsidRPr="000A0A5F">
        <w:t xml:space="preserve">        msisdn:</w:t>
      </w:r>
    </w:p>
    <w:p w:rsidR="00CB0DD7" w:rsidRPr="000A0A5F" w:rsidRDefault="00CB0DD7">
      <w:pPr>
        <w:pStyle w:val="PL"/>
      </w:pPr>
      <w:r w:rsidRPr="000A0A5F">
        <w:t xml:space="preserve">          $ref: 'TS29122_CommonData.yaml#/components/schemas/Msisdn'</w:t>
      </w:r>
    </w:p>
    <w:p w:rsidR="00FE3C4C" w:rsidRPr="000A0A5F" w:rsidRDefault="00FE3C4C" w:rsidP="00FE3C4C">
      <w:pPr>
        <w:pStyle w:val="PL"/>
      </w:pPr>
      <w:r w:rsidRPr="000A0A5F">
        <w:t xml:space="preserve">        addedExternalIds:</w:t>
      </w:r>
    </w:p>
    <w:p w:rsidR="00FE3C4C" w:rsidRPr="000A0A5F" w:rsidRDefault="00FE3C4C" w:rsidP="00FE3C4C">
      <w:pPr>
        <w:pStyle w:val="PL"/>
      </w:pPr>
      <w:r w:rsidRPr="000A0A5F">
        <w:t xml:space="preserve">          type: array</w:t>
      </w:r>
    </w:p>
    <w:p w:rsidR="00FE3C4C" w:rsidRPr="000A0A5F" w:rsidRDefault="00FE3C4C" w:rsidP="00FE3C4C">
      <w:pPr>
        <w:pStyle w:val="PL"/>
      </w:pPr>
      <w:r w:rsidRPr="000A0A5F">
        <w:t xml:space="preserve">          items:</w:t>
      </w:r>
    </w:p>
    <w:p w:rsidR="00FE3C4C" w:rsidRPr="000A0A5F" w:rsidRDefault="00FE3C4C" w:rsidP="00FE3C4C">
      <w:pPr>
        <w:pStyle w:val="PL"/>
      </w:pPr>
      <w:r w:rsidRPr="000A0A5F">
        <w:t xml:space="preserve">            $ref: 'TS29122_CommonData.yaml#/components/schemas/ExternalId'</w:t>
      </w:r>
    </w:p>
    <w:p w:rsidR="00FE3C4C" w:rsidRPr="000A0A5F" w:rsidRDefault="00FE3C4C" w:rsidP="00FE3C4C">
      <w:pPr>
        <w:pStyle w:val="PL"/>
      </w:pPr>
      <w:r w:rsidRPr="000A0A5F">
        <w:t xml:space="preserve">          minItems: 1</w:t>
      </w:r>
    </w:p>
    <w:p w:rsidR="00FE3C4C" w:rsidRPr="000A0A5F" w:rsidRDefault="00FE3C4C" w:rsidP="00FE3C4C">
      <w:pPr>
        <w:pStyle w:val="PL"/>
      </w:pPr>
      <w:r w:rsidRPr="000A0A5F">
        <w:t xml:space="preserve">          description: Indicates the added external Identifier(s) within the active group.</w:t>
      </w:r>
    </w:p>
    <w:p w:rsidR="00FE3C4C" w:rsidRPr="000A0A5F" w:rsidRDefault="00FE3C4C" w:rsidP="00FE3C4C">
      <w:pPr>
        <w:pStyle w:val="PL"/>
      </w:pPr>
      <w:r w:rsidRPr="000A0A5F">
        <w:t xml:space="preserve">        addedMsisdns:</w:t>
      </w:r>
    </w:p>
    <w:p w:rsidR="00FE3C4C" w:rsidRPr="000A0A5F" w:rsidRDefault="00FE3C4C" w:rsidP="00FE3C4C">
      <w:pPr>
        <w:pStyle w:val="PL"/>
      </w:pPr>
      <w:r w:rsidRPr="000A0A5F">
        <w:t xml:space="preserve">          type: array</w:t>
      </w:r>
    </w:p>
    <w:p w:rsidR="00FE3C4C" w:rsidRPr="000A0A5F" w:rsidRDefault="00FE3C4C" w:rsidP="00FE3C4C">
      <w:pPr>
        <w:pStyle w:val="PL"/>
      </w:pPr>
      <w:r w:rsidRPr="000A0A5F">
        <w:t xml:space="preserve">          items:</w:t>
      </w:r>
    </w:p>
    <w:p w:rsidR="00FE3C4C" w:rsidRPr="000A0A5F" w:rsidRDefault="00FE3C4C" w:rsidP="00FE3C4C">
      <w:pPr>
        <w:pStyle w:val="PL"/>
      </w:pPr>
      <w:r w:rsidRPr="000A0A5F">
        <w:t xml:space="preserve">            $ref: 'TS29122_CommonData.yaml#/components/schemas/Msisdn'</w:t>
      </w:r>
    </w:p>
    <w:p w:rsidR="00FE3C4C" w:rsidRPr="000A0A5F" w:rsidRDefault="00FE3C4C" w:rsidP="00FE3C4C">
      <w:pPr>
        <w:pStyle w:val="PL"/>
      </w:pPr>
      <w:r w:rsidRPr="000A0A5F">
        <w:t xml:space="preserve">          minItems: 1</w:t>
      </w:r>
    </w:p>
    <w:p w:rsidR="00FE3C4C" w:rsidRPr="000A0A5F" w:rsidRDefault="00FE3C4C" w:rsidP="00FE3C4C">
      <w:pPr>
        <w:pStyle w:val="PL"/>
      </w:pPr>
      <w:r w:rsidRPr="000A0A5F">
        <w:t xml:space="preserve">          description: Indicates the added MSISDN(s) within the active group.</w:t>
      </w:r>
    </w:p>
    <w:p w:rsidR="00344FF3" w:rsidRPr="000A0A5F" w:rsidRDefault="00344FF3" w:rsidP="00344FF3">
      <w:pPr>
        <w:pStyle w:val="PL"/>
      </w:pPr>
      <w:r w:rsidRPr="000A0A5F">
        <w:t xml:space="preserve">        excludedExternalIds:</w:t>
      </w:r>
    </w:p>
    <w:p w:rsidR="00344FF3" w:rsidRPr="000A0A5F" w:rsidRDefault="00344FF3" w:rsidP="00344FF3">
      <w:pPr>
        <w:pStyle w:val="PL"/>
      </w:pPr>
      <w:r w:rsidRPr="000A0A5F">
        <w:t xml:space="preserve">          type: array</w:t>
      </w:r>
    </w:p>
    <w:p w:rsidR="00344FF3" w:rsidRPr="000A0A5F" w:rsidRDefault="00344FF3" w:rsidP="00344FF3">
      <w:pPr>
        <w:pStyle w:val="PL"/>
      </w:pPr>
      <w:r w:rsidRPr="000A0A5F">
        <w:t xml:space="preserve">          items:</w:t>
      </w:r>
    </w:p>
    <w:p w:rsidR="00344FF3" w:rsidRPr="000A0A5F" w:rsidRDefault="00344FF3" w:rsidP="00344FF3">
      <w:pPr>
        <w:pStyle w:val="PL"/>
      </w:pPr>
      <w:r w:rsidRPr="000A0A5F">
        <w:t xml:space="preserve">            $ref: 'TS29122_CommonData.yaml#/components/schemas/ExternalId'</w:t>
      </w:r>
    </w:p>
    <w:p w:rsidR="00344FF3" w:rsidRPr="000A0A5F" w:rsidRDefault="00344FF3" w:rsidP="00344FF3">
      <w:pPr>
        <w:pStyle w:val="PL"/>
      </w:pPr>
      <w:r w:rsidRPr="000A0A5F">
        <w:t xml:space="preserve">          minItems: 1</w:t>
      </w:r>
    </w:p>
    <w:p w:rsidR="00344FF3" w:rsidRPr="000A0A5F" w:rsidRDefault="00344FF3" w:rsidP="00344FF3">
      <w:pPr>
        <w:pStyle w:val="PL"/>
      </w:pPr>
      <w:r w:rsidRPr="000A0A5F">
        <w:t xml:space="preserve">          description: Indicates cancellation of the external Identifier(s) within the active group.</w:t>
      </w:r>
    </w:p>
    <w:p w:rsidR="00344FF3" w:rsidRPr="000A0A5F" w:rsidRDefault="00344FF3" w:rsidP="00344FF3">
      <w:pPr>
        <w:pStyle w:val="PL"/>
      </w:pPr>
      <w:r w:rsidRPr="000A0A5F">
        <w:t xml:space="preserve">        excludedMsisdns:</w:t>
      </w:r>
    </w:p>
    <w:p w:rsidR="00344FF3" w:rsidRPr="000A0A5F" w:rsidRDefault="00344FF3" w:rsidP="00344FF3">
      <w:pPr>
        <w:pStyle w:val="PL"/>
      </w:pPr>
      <w:r w:rsidRPr="000A0A5F">
        <w:t xml:space="preserve">          type: array</w:t>
      </w:r>
    </w:p>
    <w:p w:rsidR="00344FF3" w:rsidRPr="000A0A5F" w:rsidRDefault="00344FF3" w:rsidP="00344FF3">
      <w:pPr>
        <w:pStyle w:val="PL"/>
      </w:pPr>
      <w:r w:rsidRPr="000A0A5F">
        <w:t xml:space="preserve">          items:</w:t>
      </w:r>
    </w:p>
    <w:p w:rsidR="00344FF3" w:rsidRPr="000A0A5F" w:rsidRDefault="00344FF3" w:rsidP="00344FF3">
      <w:pPr>
        <w:pStyle w:val="PL"/>
      </w:pPr>
      <w:r w:rsidRPr="000A0A5F">
        <w:t xml:space="preserve">            $ref: 'TS29122_CommonData.yaml#/components/schemas/Msisdn'</w:t>
      </w:r>
    </w:p>
    <w:p w:rsidR="00344FF3" w:rsidRPr="000A0A5F" w:rsidRDefault="00344FF3" w:rsidP="00344FF3">
      <w:pPr>
        <w:pStyle w:val="PL"/>
      </w:pPr>
      <w:r w:rsidRPr="000A0A5F">
        <w:t xml:space="preserve">          minItems: 1</w:t>
      </w:r>
    </w:p>
    <w:p w:rsidR="00344FF3" w:rsidRPr="000A0A5F" w:rsidRDefault="00344FF3" w:rsidP="00344FF3">
      <w:pPr>
        <w:pStyle w:val="PL"/>
      </w:pPr>
      <w:r w:rsidRPr="000A0A5F">
        <w:t xml:space="preserve">          description: Indicates cancellation of the MSISDN(s) within the active group.</w:t>
      </w:r>
    </w:p>
    <w:p w:rsidR="00CB0DD7" w:rsidRPr="000A0A5F" w:rsidRDefault="00CB0DD7">
      <w:pPr>
        <w:pStyle w:val="PL"/>
      </w:pPr>
      <w:r w:rsidRPr="000A0A5F">
        <w:t xml:space="preserve">        externalGroupId:</w:t>
      </w:r>
    </w:p>
    <w:p w:rsidR="00CB0DD7" w:rsidRPr="000A0A5F" w:rsidRDefault="00CB0DD7">
      <w:pPr>
        <w:pStyle w:val="PL"/>
      </w:pPr>
      <w:r w:rsidRPr="000A0A5F">
        <w:t xml:space="preserve">          $ref: 'TS29122_CommonData.yaml#/components/schemas/ExternalGroupId'</w:t>
      </w:r>
    </w:p>
    <w:p w:rsidR="00CB0DD7" w:rsidRPr="000A0A5F" w:rsidRDefault="00CB0DD7">
      <w:pPr>
        <w:pStyle w:val="PL"/>
      </w:pPr>
      <w:r w:rsidRPr="000A0A5F">
        <w:t xml:space="preserve">        addExtGroupId:</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$ref: 'TS29122_CommonData.yaml#/components/schemas/ExternalGroupId'</w:t>
      </w:r>
    </w:p>
    <w:p w:rsidR="00CB0DD7" w:rsidRPr="000A0A5F" w:rsidRDefault="00CB0DD7">
      <w:pPr>
        <w:pStyle w:val="PL"/>
      </w:pPr>
      <w:r w:rsidRPr="000A0A5F">
        <w:t xml:space="preserve">          minItems: 2</w:t>
      </w:r>
    </w:p>
    <w:p w:rsidR="00CB0DD7" w:rsidRPr="000A0A5F" w:rsidRDefault="00CB0DD7">
      <w:pPr>
        <w:pStyle w:val="PL"/>
      </w:pPr>
      <w:r w:rsidRPr="000A0A5F">
        <w:t xml:space="preserve">        ipv4Addr:</w:t>
      </w:r>
    </w:p>
    <w:p w:rsidR="00CB0DD7" w:rsidRPr="000A0A5F" w:rsidRDefault="00CB0DD7">
      <w:pPr>
        <w:pStyle w:val="PL"/>
      </w:pPr>
      <w:r w:rsidRPr="000A0A5F">
        <w:t xml:space="preserve">          $ref: 'TS29122_CommonData.yaml#/components/schemas/Ipv4Addr'</w:t>
      </w:r>
    </w:p>
    <w:p w:rsidR="00CB0DD7" w:rsidRPr="000A0A5F" w:rsidRDefault="00CB0DD7">
      <w:pPr>
        <w:pStyle w:val="PL"/>
      </w:pPr>
      <w:r w:rsidRPr="000A0A5F">
        <w:t xml:space="preserve">        ipv6Addr:</w:t>
      </w:r>
    </w:p>
    <w:p w:rsidR="00CB0DD7" w:rsidRPr="000A0A5F" w:rsidRDefault="00CB0DD7">
      <w:pPr>
        <w:pStyle w:val="PL"/>
      </w:pPr>
      <w:r w:rsidRPr="000A0A5F">
        <w:t xml:space="preserve">          $ref: 'TS29122_CommonData.yaml#/components/schemas/Ipv6Addr'</w:t>
      </w:r>
    </w:p>
    <w:p w:rsidR="0086156B" w:rsidRPr="000A0A5F" w:rsidRDefault="0086156B" w:rsidP="0086156B">
      <w:pPr>
        <w:pStyle w:val="PL"/>
      </w:pPr>
      <w:r w:rsidRPr="000A0A5F">
        <w:t xml:space="preserve">        </w:t>
      </w:r>
      <w:r w:rsidRPr="000A0A5F">
        <w:rPr>
          <w:rFonts w:hint="eastAsia"/>
          <w:lang w:eastAsia="zh-CN"/>
        </w:rPr>
        <w:t>d</w:t>
      </w:r>
      <w:r w:rsidRPr="000A0A5F">
        <w:rPr>
          <w:lang w:eastAsia="zh-CN"/>
        </w:rPr>
        <w:t>nn</w:t>
      </w:r>
      <w:r w:rsidRPr="000A0A5F">
        <w:t>:</w:t>
      </w:r>
    </w:p>
    <w:p w:rsidR="0086156B" w:rsidRPr="000A0A5F" w:rsidRDefault="0086156B" w:rsidP="0086156B">
      <w:pPr>
        <w:pStyle w:val="PL"/>
      </w:pPr>
      <w:r w:rsidRPr="000A0A5F">
        <w:t xml:space="preserve">          $ref: 'TS29571_CommonData.yaml#/components/schemas/Dnn'</w:t>
      </w:r>
    </w:p>
    <w:p w:rsidR="00CB0DD7" w:rsidRPr="000A0A5F" w:rsidRDefault="00CB0DD7">
      <w:pPr>
        <w:pStyle w:val="PL"/>
      </w:pPr>
      <w:r w:rsidRPr="000A0A5F">
        <w:t xml:space="preserve">        notificationDestination:</w:t>
      </w:r>
    </w:p>
    <w:p w:rsidR="00CB0DD7" w:rsidRPr="000A0A5F" w:rsidRDefault="00CB0DD7">
      <w:pPr>
        <w:pStyle w:val="PL"/>
      </w:pPr>
      <w:r w:rsidRPr="000A0A5F">
        <w:t xml:space="preserve">          $ref: 'TS29122_CommonData.yaml#/components/schemas/Link'</w:t>
      </w:r>
    </w:p>
    <w:p w:rsidR="00CB0DD7" w:rsidRPr="000A0A5F" w:rsidRDefault="00CB0DD7">
      <w:pPr>
        <w:pStyle w:val="PL"/>
      </w:pPr>
      <w:r w:rsidRPr="000A0A5F">
        <w:t xml:space="preserve">        requestTestNotification:</w:t>
      </w:r>
    </w:p>
    <w:p w:rsidR="00CB0DD7" w:rsidRPr="000A0A5F" w:rsidRDefault="00CB0DD7">
      <w:pPr>
        <w:pStyle w:val="PL"/>
      </w:pPr>
      <w:r w:rsidRPr="000A0A5F">
        <w:t xml:space="preserve">          type: boolean</w:t>
      </w:r>
    </w:p>
    <w:p w:rsidR="00815FEF" w:rsidRPr="000A0A5F" w:rsidRDefault="00CB0DD7">
      <w:pPr>
        <w:pStyle w:val="PL"/>
      </w:pPr>
      <w:r w:rsidRPr="000A0A5F">
        <w:t xml:space="preserve">          description: </w:t>
      </w:r>
      <w:r w:rsidR="00815FEF" w:rsidRPr="000A0A5F">
        <w:t>&gt;</w:t>
      </w:r>
    </w:p>
    <w:p w:rsidR="00815FEF" w:rsidRPr="000A0A5F" w:rsidRDefault="00815FEF">
      <w:pPr>
        <w:pStyle w:val="PL"/>
      </w:pPr>
      <w:r w:rsidRPr="000A0A5F">
        <w:t xml:space="preserve">            </w:t>
      </w:r>
      <w:r w:rsidR="00CB0DD7" w:rsidRPr="000A0A5F">
        <w:t>Set to true by the SCS/AS to request the SCEF to send a test notification</w:t>
      </w:r>
    </w:p>
    <w:p w:rsidR="008F6955" w:rsidRPr="000A0A5F" w:rsidRDefault="008F6955" w:rsidP="008F6955">
      <w:pPr>
        <w:pStyle w:val="PL"/>
      </w:pPr>
      <w:r w:rsidRPr="000A0A5F">
        <w:t xml:space="preserve">            as defined in clause 5.2.5.3. Set to false by the SCS/AS indicates not request SCEF to</w:t>
      </w:r>
    </w:p>
    <w:p w:rsidR="008F6955" w:rsidRPr="000A0A5F" w:rsidRDefault="008F6955" w:rsidP="008F6955">
      <w:pPr>
        <w:pStyle w:val="PL"/>
      </w:pPr>
      <w:r w:rsidRPr="000A0A5F">
        <w:t xml:space="preserve">            send a test notification, default false if omitted otherwise.</w:t>
      </w:r>
    </w:p>
    <w:p w:rsidR="00CB0DD7" w:rsidRPr="000A0A5F" w:rsidRDefault="00CB0DD7">
      <w:pPr>
        <w:pStyle w:val="PL"/>
      </w:pPr>
      <w:r w:rsidRPr="000A0A5F">
        <w:t xml:space="preserve">        websockNotifConfig:</w:t>
      </w:r>
    </w:p>
    <w:p w:rsidR="00CB0DD7" w:rsidRPr="000A0A5F" w:rsidRDefault="00CB0DD7">
      <w:pPr>
        <w:pStyle w:val="PL"/>
      </w:pPr>
      <w:r w:rsidRPr="000A0A5F">
        <w:t xml:space="preserve">          $ref: 'TS29122_CommonData.yaml#/components/schemas/WebsockNotifConfig'</w:t>
      </w:r>
    </w:p>
    <w:p w:rsidR="00CB0DD7" w:rsidRPr="000A0A5F" w:rsidRDefault="00CB0DD7">
      <w:pPr>
        <w:pStyle w:val="PL"/>
      </w:pPr>
      <w:r w:rsidRPr="000A0A5F">
        <w:t xml:space="preserve">        monitoringType:</w:t>
      </w:r>
    </w:p>
    <w:p w:rsidR="00CB0DD7" w:rsidRPr="000A0A5F" w:rsidRDefault="00CB0DD7">
      <w:pPr>
        <w:pStyle w:val="PL"/>
      </w:pPr>
      <w:r w:rsidRPr="000A0A5F">
        <w:t xml:space="preserve">          $ref: '#/components/schemas/MonitoringType'</w:t>
      </w:r>
    </w:p>
    <w:p w:rsidR="00CB0DD7" w:rsidRPr="000A0A5F" w:rsidRDefault="00CB0DD7">
      <w:pPr>
        <w:pStyle w:val="PL"/>
      </w:pPr>
      <w:r w:rsidRPr="000A0A5F">
        <w:t xml:space="preserve">        maximumNumberOfReports:</w:t>
      </w:r>
    </w:p>
    <w:p w:rsidR="00CB0DD7" w:rsidRPr="000A0A5F" w:rsidRDefault="00CB0DD7">
      <w:pPr>
        <w:pStyle w:val="PL"/>
      </w:pPr>
      <w:r w:rsidRPr="000A0A5F">
        <w:t xml:space="preserve">          type: integer</w:t>
      </w:r>
    </w:p>
    <w:p w:rsidR="00CB0DD7" w:rsidRPr="000A0A5F" w:rsidRDefault="00CB0DD7">
      <w:pPr>
        <w:pStyle w:val="PL"/>
      </w:pPr>
      <w:r w:rsidRPr="000A0A5F">
        <w:t xml:space="preserve">          minimum: 1</w:t>
      </w:r>
    </w:p>
    <w:p w:rsidR="00815FEF" w:rsidRPr="000A0A5F" w:rsidRDefault="00CB0DD7">
      <w:pPr>
        <w:pStyle w:val="PL"/>
      </w:pPr>
      <w:r w:rsidRPr="000A0A5F">
        <w:t xml:space="preserve">          description: </w:t>
      </w:r>
      <w:r w:rsidR="00815FEF" w:rsidRPr="000A0A5F">
        <w:t>&gt;</w:t>
      </w:r>
    </w:p>
    <w:p w:rsidR="00815FEF" w:rsidRPr="000A0A5F" w:rsidRDefault="00815FEF">
      <w:pPr>
        <w:pStyle w:val="PL"/>
      </w:pPr>
      <w:r w:rsidRPr="000A0A5F">
        <w:t xml:space="preserve">            </w:t>
      </w:r>
      <w:r w:rsidR="00CB0DD7" w:rsidRPr="000A0A5F">
        <w:t>Identifies the maximum number of event reports to be generated by the HSS, MME/SGSN</w:t>
      </w:r>
    </w:p>
    <w:p w:rsidR="00CB0DD7" w:rsidRPr="000A0A5F" w:rsidRDefault="00815FEF">
      <w:pPr>
        <w:pStyle w:val="PL"/>
      </w:pPr>
      <w:r w:rsidRPr="000A0A5F">
        <w:t xml:space="preserve">           </w:t>
      </w:r>
      <w:r w:rsidR="00CB0DD7" w:rsidRPr="000A0A5F">
        <w:t xml:space="preserve"> as specified in clause 5.6.0 of 3GPP TS 23.682.</w:t>
      </w:r>
    </w:p>
    <w:p w:rsidR="00CB0DD7" w:rsidRPr="000A0A5F" w:rsidRDefault="00CB0DD7">
      <w:pPr>
        <w:pStyle w:val="PL"/>
      </w:pPr>
      <w:r w:rsidRPr="000A0A5F">
        <w:t xml:space="preserve">        monitorExpireTime:</w:t>
      </w:r>
    </w:p>
    <w:p w:rsidR="00CB0DD7" w:rsidRPr="000A0A5F" w:rsidRDefault="00CB0DD7">
      <w:pPr>
        <w:pStyle w:val="PL"/>
      </w:pPr>
      <w:r w:rsidRPr="000A0A5F">
        <w:t xml:space="preserve">          $ref: 'TS29122_CommonData.yaml#/components/schemas/DateTime'</w:t>
      </w:r>
    </w:p>
    <w:p w:rsidR="00CB0DD7" w:rsidRPr="000A0A5F" w:rsidRDefault="00CB0DD7">
      <w:pPr>
        <w:pStyle w:val="PL"/>
      </w:pPr>
      <w:r w:rsidRPr="000A0A5F">
        <w:t xml:space="preserve">        repPeriod:</w:t>
      </w:r>
    </w:p>
    <w:p w:rsidR="00CB0DD7" w:rsidRPr="000A0A5F" w:rsidRDefault="00CB0DD7">
      <w:pPr>
        <w:pStyle w:val="PL"/>
      </w:pPr>
      <w:r w:rsidRPr="000A0A5F">
        <w:t xml:space="preserve">          $ref: 'TS29122_CommonData.yaml#/components/schemas/DurationSec'</w:t>
      </w:r>
    </w:p>
    <w:p w:rsidR="00CB0DD7" w:rsidRPr="000A0A5F" w:rsidRDefault="00CB0DD7">
      <w:pPr>
        <w:pStyle w:val="PL"/>
      </w:pPr>
      <w:r w:rsidRPr="000A0A5F">
        <w:t xml:space="preserve">        groupReportGuardTime:</w:t>
      </w:r>
    </w:p>
    <w:p w:rsidR="00CB0DD7" w:rsidRPr="000A0A5F" w:rsidRDefault="00CB0DD7">
      <w:pPr>
        <w:pStyle w:val="PL"/>
      </w:pPr>
      <w:r w:rsidRPr="000A0A5F">
        <w:t xml:space="preserve">          $ref: 'TS29122_CommonData.yaml#/components/schemas/DurationSec'</w:t>
      </w:r>
    </w:p>
    <w:p w:rsidR="00CB0DD7" w:rsidRPr="000A0A5F" w:rsidRDefault="00CB0DD7">
      <w:pPr>
        <w:pStyle w:val="PL"/>
      </w:pPr>
      <w:r w:rsidRPr="000A0A5F">
        <w:t xml:space="preserve">        maximumDetectionTime:</w:t>
      </w:r>
    </w:p>
    <w:p w:rsidR="00CB0DD7" w:rsidRPr="000A0A5F" w:rsidRDefault="00CB0DD7">
      <w:pPr>
        <w:pStyle w:val="PL"/>
      </w:pPr>
      <w:r w:rsidRPr="000A0A5F">
        <w:t xml:space="preserve">          $ref: 'TS29122_CommonData.yaml#/components/schemas/DurationSec'</w:t>
      </w:r>
    </w:p>
    <w:p w:rsidR="00CB0DD7" w:rsidRPr="000A0A5F" w:rsidRDefault="00CB0DD7">
      <w:pPr>
        <w:pStyle w:val="PL"/>
      </w:pPr>
      <w:r w:rsidRPr="000A0A5F">
        <w:t xml:space="preserve">        reachabilityType:</w:t>
      </w:r>
    </w:p>
    <w:p w:rsidR="00CB0DD7" w:rsidRPr="000A0A5F" w:rsidRDefault="00CB0DD7">
      <w:pPr>
        <w:pStyle w:val="PL"/>
      </w:pPr>
      <w:r w:rsidRPr="000A0A5F">
        <w:t xml:space="preserve">          $ref: '#/components/schemas/ReachabilityType'</w:t>
      </w:r>
    </w:p>
    <w:p w:rsidR="00CB0DD7" w:rsidRPr="000A0A5F" w:rsidRDefault="00CB0DD7">
      <w:pPr>
        <w:pStyle w:val="PL"/>
      </w:pPr>
      <w:r w:rsidRPr="000A0A5F">
        <w:t xml:space="preserve">        maximumLatency:</w:t>
      </w:r>
    </w:p>
    <w:p w:rsidR="00CB0DD7" w:rsidRPr="000A0A5F" w:rsidRDefault="00CB0DD7">
      <w:pPr>
        <w:pStyle w:val="PL"/>
      </w:pPr>
      <w:r w:rsidRPr="000A0A5F">
        <w:t xml:space="preserve">          $ref: 'TS29122_CommonData.yaml#/components/schemas/DurationSec'</w:t>
      </w:r>
    </w:p>
    <w:p w:rsidR="00CB0DD7" w:rsidRPr="000A0A5F" w:rsidRDefault="00CB0DD7">
      <w:pPr>
        <w:pStyle w:val="PL"/>
      </w:pPr>
      <w:r w:rsidRPr="000A0A5F">
        <w:t xml:space="preserve">        maximumResponseTime:</w:t>
      </w:r>
    </w:p>
    <w:p w:rsidR="00CB0DD7" w:rsidRPr="000A0A5F" w:rsidRDefault="00CB0DD7">
      <w:pPr>
        <w:pStyle w:val="PL"/>
      </w:pPr>
      <w:r w:rsidRPr="000A0A5F">
        <w:t xml:space="preserve">          $ref: 'TS29122_CommonData.yaml#/components/schemas/DurationSec'</w:t>
      </w:r>
    </w:p>
    <w:p w:rsidR="00CB0DD7" w:rsidRPr="000A0A5F" w:rsidRDefault="00CB0DD7">
      <w:pPr>
        <w:pStyle w:val="PL"/>
      </w:pPr>
      <w:r w:rsidRPr="000A0A5F">
        <w:t xml:space="preserve">        suggestedNumberOfDlPackets:</w:t>
      </w:r>
    </w:p>
    <w:p w:rsidR="00CB0DD7" w:rsidRPr="000A0A5F" w:rsidRDefault="00CB0DD7">
      <w:pPr>
        <w:pStyle w:val="PL"/>
      </w:pPr>
      <w:r w:rsidRPr="000A0A5F">
        <w:t xml:space="preserve">          type: integer</w:t>
      </w:r>
    </w:p>
    <w:p w:rsidR="00CB0DD7" w:rsidRPr="000A0A5F" w:rsidRDefault="00CB0DD7">
      <w:pPr>
        <w:pStyle w:val="PL"/>
      </w:pPr>
      <w:r w:rsidRPr="000A0A5F">
        <w:t xml:space="preserve">          minimum: 0</w:t>
      </w:r>
    </w:p>
    <w:p w:rsidR="00815FEF" w:rsidRPr="000A0A5F" w:rsidRDefault="00CB0DD7">
      <w:pPr>
        <w:pStyle w:val="PL"/>
      </w:pPr>
      <w:r w:rsidRPr="000A0A5F">
        <w:t xml:space="preserve">          description: </w:t>
      </w:r>
      <w:r w:rsidR="00815FEF" w:rsidRPr="000A0A5F">
        <w:t>&gt;</w:t>
      </w:r>
    </w:p>
    <w:p w:rsidR="00815FEF" w:rsidRPr="000A0A5F" w:rsidRDefault="00815FEF">
      <w:pPr>
        <w:pStyle w:val="PL"/>
      </w:pPr>
      <w:r w:rsidRPr="000A0A5F">
        <w:t xml:space="preserve">            </w:t>
      </w:r>
      <w:r w:rsidR="00CB0DD7" w:rsidRPr="000A0A5F">
        <w:t>If "monitoringType" is "UE_REACHABILITY", this parameter may be included to identify</w:t>
      </w:r>
    </w:p>
    <w:p w:rsidR="00815FEF" w:rsidRPr="000A0A5F" w:rsidRDefault="00815FEF">
      <w:pPr>
        <w:pStyle w:val="PL"/>
      </w:pPr>
      <w:r w:rsidRPr="000A0A5F">
        <w:t xml:space="preserve">           </w:t>
      </w:r>
      <w:r w:rsidR="00CB0DD7" w:rsidRPr="000A0A5F">
        <w:t xml:space="preserve"> the number of packets that the serving gateway shall buffer in case that</w:t>
      </w:r>
    </w:p>
    <w:p w:rsidR="00CB0DD7" w:rsidRPr="000A0A5F" w:rsidRDefault="00815FEF">
      <w:pPr>
        <w:pStyle w:val="PL"/>
      </w:pPr>
      <w:r w:rsidRPr="000A0A5F">
        <w:t xml:space="preserve">           </w:t>
      </w:r>
      <w:r w:rsidR="00CB0DD7" w:rsidRPr="000A0A5F">
        <w:t xml:space="preserve"> the UE is not reachable.</w:t>
      </w:r>
    </w:p>
    <w:p w:rsidR="00CB0DD7" w:rsidRPr="000A0A5F" w:rsidRDefault="00CB0DD7">
      <w:pPr>
        <w:pStyle w:val="PL"/>
      </w:pPr>
      <w:r w:rsidRPr="000A0A5F">
        <w:t xml:space="preserve">        idleStatusIndication:</w:t>
      </w:r>
    </w:p>
    <w:p w:rsidR="00CB0DD7" w:rsidRPr="000A0A5F" w:rsidRDefault="00CB0DD7">
      <w:pPr>
        <w:pStyle w:val="PL"/>
      </w:pPr>
      <w:r w:rsidRPr="000A0A5F">
        <w:t xml:space="preserve">          type: boolean</w:t>
      </w:r>
    </w:p>
    <w:p w:rsidR="00815FEF" w:rsidRPr="000A0A5F" w:rsidRDefault="00CB0DD7">
      <w:pPr>
        <w:pStyle w:val="PL"/>
      </w:pPr>
      <w:r w:rsidRPr="000A0A5F">
        <w:t xml:space="preserve">          description: </w:t>
      </w:r>
      <w:r w:rsidR="00815FEF" w:rsidRPr="000A0A5F">
        <w:t>&gt;</w:t>
      </w:r>
    </w:p>
    <w:p w:rsidR="00815FEF" w:rsidRPr="000A0A5F" w:rsidRDefault="00815FEF">
      <w:pPr>
        <w:pStyle w:val="PL"/>
      </w:pPr>
      <w:r w:rsidRPr="000A0A5F">
        <w:t xml:space="preserve">            </w:t>
      </w:r>
      <w:r w:rsidR="00CB0DD7" w:rsidRPr="000A0A5F">
        <w:t>If "monitoringType" is set to "UE_REACHABILITY" or "AVAILABILITY_AFTER_DDN_FAILURE",</w:t>
      </w:r>
    </w:p>
    <w:p w:rsidR="00815FEF" w:rsidRPr="000A0A5F" w:rsidRDefault="00815FEF">
      <w:pPr>
        <w:pStyle w:val="PL"/>
      </w:pPr>
      <w:r w:rsidRPr="000A0A5F">
        <w:t xml:space="preserve">           </w:t>
      </w:r>
      <w:r w:rsidR="00CB0DD7" w:rsidRPr="000A0A5F">
        <w:t xml:space="preserve"> this parameter may be included to indicate the notification of when a UE, for which PSM</w:t>
      </w:r>
    </w:p>
    <w:p w:rsidR="00815FEF" w:rsidRPr="000A0A5F" w:rsidRDefault="00815FEF">
      <w:pPr>
        <w:pStyle w:val="PL"/>
      </w:pPr>
      <w:r w:rsidRPr="000A0A5F">
        <w:t xml:space="preserve">           </w:t>
      </w:r>
      <w:r w:rsidR="00CB0DD7" w:rsidRPr="000A0A5F">
        <w:t xml:space="preserve"> is enabled, transitions into idle mode. "true"  indicates enabling of notification;</w:t>
      </w:r>
    </w:p>
    <w:p w:rsidR="00CB0DD7" w:rsidRPr="000A0A5F" w:rsidRDefault="00815FEF">
      <w:pPr>
        <w:pStyle w:val="PL"/>
      </w:pPr>
      <w:r w:rsidRPr="000A0A5F">
        <w:t xml:space="preserve">           </w:t>
      </w:r>
      <w:r w:rsidR="00CB0DD7" w:rsidRPr="000A0A5F">
        <w:t xml:space="preserve"> "false"  indicate no need to notify. Default value is "false"</w:t>
      </w:r>
      <w:r w:rsidR="003032EC" w:rsidRPr="000A0A5F">
        <w:t xml:space="preserve"> if omitted</w:t>
      </w:r>
      <w:r w:rsidR="00CB0DD7" w:rsidRPr="000A0A5F">
        <w:t>.</w:t>
      </w:r>
    </w:p>
    <w:p w:rsidR="00CB0DD7" w:rsidRPr="000A0A5F" w:rsidRDefault="00CB0DD7">
      <w:pPr>
        <w:pStyle w:val="PL"/>
      </w:pPr>
      <w:r w:rsidRPr="000A0A5F">
        <w:t xml:space="preserve">        locationType:</w:t>
      </w:r>
    </w:p>
    <w:p w:rsidR="00CB0DD7" w:rsidRPr="000A0A5F" w:rsidRDefault="00CB0DD7">
      <w:pPr>
        <w:pStyle w:val="PL"/>
      </w:pPr>
      <w:r w:rsidRPr="000A0A5F">
        <w:t xml:space="preserve">          $ref: '#/components/schemas/LocationType'</w:t>
      </w:r>
    </w:p>
    <w:p w:rsidR="00CB0DD7" w:rsidRPr="000A0A5F" w:rsidRDefault="00CB0DD7">
      <w:pPr>
        <w:pStyle w:val="PL"/>
      </w:pPr>
      <w:r w:rsidRPr="000A0A5F">
        <w:t xml:space="preserve">        accuracy:</w:t>
      </w:r>
    </w:p>
    <w:p w:rsidR="00CB0DD7" w:rsidRPr="000A0A5F" w:rsidRDefault="00CB0DD7">
      <w:pPr>
        <w:pStyle w:val="PL"/>
      </w:pPr>
      <w:r w:rsidRPr="000A0A5F">
        <w:t xml:space="preserve">          $ref: '#/components/schemas/Accuracy'</w:t>
      </w:r>
    </w:p>
    <w:p w:rsidR="00CB0DD7" w:rsidRPr="000A0A5F" w:rsidRDefault="00CB0DD7">
      <w:pPr>
        <w:pStyle w:val="PL"/>
      </w:pPr>
      <w:r w:rsidRPr="000A0A5F">
        <w:t xml:space="preserve">        minimumReportInterval:</w:t>
      </w:r>
    </w:p>
    <w:p w:rsidR="00CB0DD7" w:rsidRPr="000A0A5F" w:rsidRDefault="00CB0DD7">
      <w:pPr>
        <w:pStyle w:val="PL"/>
      </w:pPr>
      <w:r w:rsidRPr="000A0A5F">
        <w:t xml:space="preserve">          $ref: 'TS29122_CommonData.yaml#/components/schemas/DurationSec'</w:t>
      </w:r>
    </w:p>
    <w:p w:rsidR="00CB0DD7" w:rsidRPr="000A0A5F" w:rsidRDefault="00CB0DD7">
      <w:pPr>
        <w:pStyle w:val="PL"/>
      </w:pPr>
      <w:r w:rsidRPr="000A0A5F">
        <w:t xml:space="preserve">        </w:t>
      </w:r>
      <w:r w:rsidRPr="000A0A5F">
        <w:rPr>
          <w:rFonts w:hint="eastAsia"/>
        </w:rPr>
        <w:t>maxRptExpireIntvl</w:t>
      </w:r>
      <w:r w:rsidRPr="000A0A5F">
        <w:t>:</w:t>
      </w:r>
    </w:p>
    <w:p w:rsidR="00CB0DD7" w:rsidRPr="000A0A5F" w:rsidRDefault="00CB0DD7">
      <w:pPr>
        <w:pStyle w:val="PL"/>
      </w:pPr>
      <w:r w:rsidRPr="000A0A5F">
        <w:t xml:space="preserve">          $ref: 'TS29122_CommonData.yaml#/components/schemas/DurationSec'</w:t>
      </w:r>
    </w:p>
    <w:p w:rsidR="00CB0DD7" w:rsidRPr="000A0A5F" w:rsidRDefault="00CB0DD7">
      <w:pPr>
        <w:pStyle w:val="PL"/>
      </w:pPr>
      <w:r w:rsidRPr="000A0A5F">
        <w:t xml:space="preserve">        </w:t>
      </w:r>
      <w:r w:rsidRPr="000A0A5F">
        <w:rPr>
          <w:rFonts w:hint="eastAsia"/>
        </w:rPr>
        <w:t>sampling</w:t>
      </w:r>
      <w:r w:rsidRPr="000A0A5F">
        <w:t>Interval:</w:t>
      </w:r>
    </w:p>
    <w:p w:rsidR="00CB0DD7" w:rsidRPr="000A0A5F" w:rsidRDefault="00CB0DD7">
      <w:pPr>
        <w:pStyle w:val="PL"/>
      </w:pPr>
      <w:r w:rsidRPr="000A0A5F">
        <w:t xml:space="preserve">          $ref: 'TS29122_CommonData.yaml#/components/schemas/DurationSec'</w:t>
      </w:r>
    </w:p>
    <w:p w:rsidR="00CB0DD7" w:rsidRPr="000A0A5F" w:rsidRDefault="00CB0DD7">
      <w:pPr>
        <w:pStyle w:val="PL"/>
      </w:pPr>
      <w:r w:rsidRPr="000A0A5F">
        <w:t xml:space="preserve">        </w:t>
      </w:r>
      <w:r w:rsidRPr="000A0A5F">
        <w:rPr>
          <w:rFonts w:hint="eastAsia"/>
        </w:rPr>
        <w:t>reportingLocEstInd</w:t>
      </w:r>
      <w:r w:rsidRPr="000A0A5F">
        <w:t>:</w:t>
      </w:r>
    </w:p>
    <w:p w:rsidR="00CB0DD7" w:rsidRPr="000A0A5F" w:rsidRDefault="00CB0DD7">
      <w:pPr>
        <w:pStyle w:val="PL"/>
      </w:pPr>
      <w:r w:rsidRPr="000A0A5F">
        <w:t xml:space="preserve">          type: boolean</w:t>
      </w:r>
    </w:p>
    <w:p w:rsidR="003032EC" w:rsidRPr="000A0A5F" w:rsidRDefault="003032EC" w:rsidP="003032EC">
      <w:pPr>
        <w:pStyle w:val="PL"/>
      </w:pPr>
      <w:r w:rsidRPr="000A0A5F">
        <w:t xml:space="preserve">          description: &gt;</w:t>
      </w:r>
    </w:p>
    <w:p w:rsidR="003032EC" w:rsidRPr="000A0A5F" w:rsidRDefault="003032EC" w:rsidP="003032EC">
      <w:pPr>
        <w:pStyle w:val="PL"/>
      </w:pPr>
      <w:r w:rsidRPr="000A0A5F">
        <w:t xml:space="preserve">            Indicates whether to request </w:t>
      </w:r>
      <w:r w:rsidRPr="000A0A5F">
        <w:rPr>
          <w:rFonts w:hint="eastAsia"/>
        </w:rPr>
        <w:t>the location estimate for event reporting</w:t>
      </w:r>
      <w:r w:rsidRPr="000A0A5F">
        <w:t>. If</w:t>
      </w:r>
    </w:p>
    <w:p w:rsidR="003032EC" w:rsidRPr="000A0A5F" w:rsidRDefault="003032EC" w:rsidP="003032EC">
      <w:pPr>
        <w:pStyle w:val="PL"/>
      </w:pPr>
      <w:r w:rsidRPr="000A0A5F">
        <w:t xml:space="preserve">            "monitoringType" is "LOCATION_REPORTING", this parameter may be included to indicate</w:t>
      </w:r>
    </w:p>
    <w:p w:rsidR="003032EC" w:rsidRPr="000A0A5F" w:rsidRDefault="003032EC" w:rsidP="003032EC">
      <w:pPr>
        <w:pStyle w:val="PL"/>
      </w:pPr>
      <w:r w:rsidRPr="000A0A5F">
        <w:t xml:space="preserve">            whether event reporting requires the location information. If set to true, the location</w:t>
      </w:r>
    </w:p>
    <w:p w:rsidR="003032EC" w:rsidRPr="000A0A5F" w:rsidRDefault="003032EC" w:rsidP="003032EC">
      <w:pPr>
        <w:pStyle w:val="PL"/>
      </w:pPr>
      <w:r w:rsidRPr="000A0A5F">
        <w:t xml:space="preserve">            estimation information shall be included in event reporting. If set to "false",</w:t>
      </w:r>
    </w:p>
    <w:p w:rsidR="003032EC" w:rsidRPr="000A0A5F" w:rsidRDefault="003032EC" w:rsidP="003032EC">
      <w:pPr>
        <w:pStyle w:val="PL"/>
      </w:pPr>
      <w:r w:rsidRPr="000A0A5F">
        <w:t xml:space="preserve">            indicates the location estimation information shall not be included in event reporting.</w:t>
      </w:r>
    </w:p>
    <w:p w:rsidR="003032EC" w:rsidRPr="000A0A5F" w:rsidRDefault="003032EC" w:rsidP="003032EC">
      <w:pPr>
        <w:pStyle w:val="PL"/>
      </w:pPr>
      <w:r w:rsidRPr="000A0A5F">
        <w:t xml:space="preserve">            Default "false" if omitted.</w:t>
      </w:r>
    </w:p>
    <w:p w:rsidR="00CB0DD7" w:rsidRPr="000A0A5F" w:rsidRDefault="00CB0DD7">
      <w:pPr>
        <w:pStyle w:val="PL"/>
      </w:pPr>
      <w:r w:rsidRPr="000A0A5F">
        <w:t xml:space="preserve">        </w:t>
      </w:r>
      <w:r w:rsidRPr="000A0A5F">
        <w:rPr>
          <w:rFonts w:hint="eastAsia"/>
        </w:rPr>
        <w:t>linearDistance</w:t>
      </w:r>
      <w:r w:rsidRPr="000A0A5F">
        <w:t>:</w:t>
      </w:r>
    </w:p>
    <w:p w:rsidR="00CB0DD7" w:rsidRPr="000A0A5F" w:rsidRDefault="00CB0DD7">
      <w:pPr>
        <w:pStyle w:val="PL"/>
      </w:pPr>
      <w:r w:rsidRPr="000A0A5F">
        <w:t xml:space="preserve">          $ref: 'TS29</w:t>
      </w:r>
      <w:r w:rsidRPr="000A0A5F">
        <w:rPr>
          <w:rFonts w:hint="eastAsia"/>
        </w:rPr>
        <w:t>572</w:t>
      </w:r>
      <w:r w:rsidRPr="000A0A5F">
        <w:t>_</w:t>
      </w:r>
      <w:r w:rsidRPr="000A0A5F">
        <w:rPr>
          <w:rFonts w:hint="eastAsia"/>
        </w:rPr>
        <w:t>Nlmf_Location</w:t>
      </w:r>
      <w:r w:rsidRPr="000A0A5F">
        <w:t>.yaml#/components/schemas/</w:t>
      </w:r>
      <w:r w:rsidRPr="000A0A5F">
        <w:rPr>
          <w:rFonts w:hint="eastAsia"/>
        </w:rPr>
        <w:t>L</w:t>
      </w:r>
      <w:r w:rsidRPr="000A0A5F">
        <w:t>inearDistance'</w:t>
      </w:r>
    </w:p>
    <w:p w:rsidR="00CB0DD7" w:rsidRPr="000A0A5F" w:rsidRDefault="00CB0DD7">
      <w:pPr>
        <w:pStyle w:val="PL"/>
      </w:pPr>
      <w:r w:rsidRPr="000A0A5F">
        <w:t xml:space="preserve">        locQoS:</w:t>
      </w:r>
    </w:p>
    <w:p w:rsidR="00CB0DD7" w:rsidRPr="000A0A5F" w:rsidRDefault="00CB0DD7">
      <w:pPr>
        <w:pStyle w:val="PL"/>
      </w:pPr>
      <w:r w:rsidRPr="000A0A5F">
        <w:t xml:space="preserve">          $ref: 'TS29572_Nlmf_Location.yaml#/components/schemas/LocationQoS'</w:t>
      </w:r>
    </w:p>
    <w:p w:rsidR="00CB0DD7" w:rsidRPr="000A0A5F" w:rsidRDefault="00CB0DD7">
      <w:pPr>
        <w:pStyle w:val="PL"/>
      </w:pPr>
      <w:r w:rsidRPr="000A0A5F">
        <w:t xml:space="preserve">        </w:t>
      </w:r>
      <w:r w:rsidRPr="000A0A5F">
        <w:rPr>
          <w:rFonts w:hint="eastAsia"/>
          <w:lang w:eastAsia="zh-CN"/>
        </w:rPr>
        <w:t>svcId</w:t>
      </w:r>
      <w:r w:rsidRPr="000A0A5F">
        <w:t>:</w:t>
      </w:r>
    </w:p>
    <w:p w:rsidR="00CB0DD7" w:rsidRPr="000A0A5F" w:rsidRDefault="00CB0DD7">
      <w:pPr>
        <w:pStyle w:val="PL"/>
      </w:pPr>
      <w:r w:rsidRPr="000A0A5F">
        <w:t xml:space="preserve">          $ref: 'TS295</w:t>
      </w:r>
      <w:r w:rsidRPr="000A0A5F">
        <w:rPr>
          <w:rFonts w:hint="eastAsia"/>
        </w:rPr>
        <w:t>15</w:t>
      </w:r>
      <w:r w:rsidRPr="000A0A5F">
        <w:t>_</w:t>
      </w:r>
      <w:r w:rsidRPr="000A0A5F">
        <w:rPr>
          <w:rFonts w:hint="eastAsia"/>
        </w:rPr>
        <w:t>Ngmlc</w:t>
      </w:r>
      <w:r w:rsidRPr="000A0A5F">
        <w:t>_Location.yaml#/components/schemas/ServiceIdentity'</w:t>
      </w:r>
    </w:p>
    <w:p w:rsidR="00CB0DD7" w:rsidRPr="000A0A5F" w:rsidRDefault="00CB0DD7">
      <w:pPr>
        <w:pStyle w:val="PL"/>
      </w:pPr>
      <w:r w:rsidRPr="000A0A5F">
        <w:t xml:space="preserve">        ldrType:</w:t>
      </w:r>
    </w:p>
    <w:p w:rsidR="00CB0DD7" w:rsidRPr="000A0A5F" w:rsidRDefault="00CB0DD7">
      <w:pPr>
        <w:pStyle w:val="PL"/>
      </w:pPr>
      <w:r w:rsidRPr="000A0A5F">
        <w:t xml:space="preserve">          $ref: 'TS29572_Nlmf_Location.yaml#/components/schemas/LdrType'</w:t>
      </w:r>
    </w:p>
    <w:p w:rsidR="00CB0DD7" w:rsidRPr="000A0A5F" w:rsidRDefault="00CB0DD7">
      <w:pPr>
        <w:pStyle w:val="PL"/>
      </w:pPr>
      <w:r w:rsidRPr="000A0A5F">
        <w:t xml:space="preserve">        velocityRequested:</w:t>
      </w:r>
    </w:p>
    <w:p w:rsidR="00CB0DD7" w:rsidRPr="000A0A5F" w:rsidRDefault="00CB0DD7">
      <w:pPr>
        <w:pStyle w:val="PL"/>
      </w:pPr>
      <w:r w:rsidRPr="000A0A5F">
        <w:t xml:space="preserve">          $ref: 'TS29572_Nlmf_Location.yaml#/components/schemas/VelocityRequested'</w:t>
      </w:r>
    </w:p>
    <w:p w:rsidR="00CB0DD7" w:rsidRPr="000A0A5F" w:rsidRDefault="00CB0DD7">
      <w:pPr>
        <w:pStyle w:val="PL"/>
      </w:pPr>
      <w:r w:rsidRPr="000A0A5F">
        <w:t xml:space="preserve">        maxAgeOfLocEst:</w:t>
      </w:r>
    </w:p>
    <w:p w:rsidR="00CB0DD7" w:rsidRPr="000A0A5F" w:rsidRDefault="00CB0DD7">
      <w:pPr>
        <w:pStyle w:val="PL"/>
      </w:pPr>
      <w:r w:rsidRPr="000A0A5F">
        <w:t xml:space="preserve">          $ref: 'TS29572_Nlmf_Location.yaml#/components/schemas/AgeOfLocationEstimate'</w:t>
      </w:r>
    </w:p>
    <w:p w:rsidR="00CB0DD7" w:rsidRPr="000A0A5F" w:rsidRDefault="00CB0DD7">
      <w:pPr>
        <w:pStyle w:val="PL"/>
      </w:pPr>
      <w:r w:rsidRPr="000A0A5F">
        <w:t xml:space="preserve">        locTimeWindow:</w:t>
      </w:r>
    </w:p>
    <w:p w:rsidR="00CB0DD7" w:rsidRPr="000A0A5F" w:rsidRDefault="00CB0DD7">
      <w:pPr>
        <w:pStyle w:val="PL"/>
      </w:pPr>
      <w:r w:rsidRPr="000A0A5F">
        <w:t xml:space="preserve">          $ref: 'TS29122_CommonData.yaml#/components/schemas/TimeWindow'</w:t>
      </w:r>
    </w:p>
    <w:p w:rsidR="00CB0DD7" w:rsidRPr="000A0A5F" w:rsidRDefault="00CB0DD7">
      <w:pPr>
        <w:pStyle w:val="PL"/>
      </w:pPr>
      <w:r w:rsidRPr="000A0A5F">
        <w:t xml:space="preserve">        supportedGADShapes:</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$ref: 'TS29572_Nlmf_Location.yaml#/components/schemas/SupportedGADShapes'</w:t>
      </w:r>
    </w:p>
    <w:p w:rsidR="001F6018" w:rsidRPr="000A0A5F" w:rsidRDefault="001F6018" w:rsidP="001F6018">
      <w:pPr>
        <w:pStyle w:val="PL"/>
      </w:pPr>
      <w:r w:rsidRPr="000A0A5F">
        <w:t xml:space="preserve">        </w:t>
      </w:r>
      <w:r w:rsidRPr="000A0A5F">
        <w:rPr>
          <w:rFonts w:hint="eastAsia"/>
          <w:lang w:eastAsia="zh-CN"/>
        </w:rPr>
        <w:t>codeWord</w:t>
      </w:r>
      <w:r w:rsidRPr="000A0A5F">
        <w:t>:</w:t>
      </w:r>
    </w:p>
    <w:p w:rsidR="001F6018" w:rsidRPr="000A0A5F" w:rsidRDefault="001F6018" w:rsidP="001F6018">
      <w:pPr>
        <w:pStyle w:val="PL"/>
      </w:pPr>
      <w:r w:rsidRPr="000A0A5F">
        <w:t xml:space="preserve">          $ref: 'TS29515_Ngmlc_Location.yaml#/components/schemas/CodeWord'</w:t>
      </w:r>
    </w:p>
    <w:p w:rsidR="001F6018" w:rsidRPr="000A0A5F" w:rsidRDefault="001F6018" w:rsidP="001F6018">
      <w:pPr>
        <w:pStyle w:val="PL"/>
      </w:pPr>
      <w:r w:rsidRPr="000A0A5F">
        <w:t xml:space="preserve">        </w:t>
      </w:r>
      <w:r w:rsidRPr="000A0A5F">
        <w:rPr>
          <w:lang w:eastAsia="zh-CN"/>
        </w:rPr>
        <w:t>upLocRepIndAf</w:t>
      </w:r>
      <w:r w:rsidRPr="000A0A5F">
        <w:t>:</w:t>
      </w:r>
    </w:p>
    <w:p w:rsidR="001F6018" w:rsidRPr="000A0A5F" w:rsidRDefault="001F6018" w:rsidP="001F6018">
      <w:pPr>
        <w:pStyle w:val="PL"/>
      </w:pPr>
      <w:r w:rsidRPr="000A0A5F">
        <w:t xml:space="preserve">          description: &gt;</w:t>
      </w:r>
    </w:p>
    <w:p w:rsidR="001F6018" w:rsidRPr="000A0A5F" w:rsidRDefault="001F6018" w:rsidP="001F6018">
      <w:pPr>
        <w:pStyle w:val="PL"/>
        <w:rPr>
          <w:lang w:eastAsia="zh-CN"/>
        </w:rPr>
      </w:pPr>
      <w:r w:rsidRPr="000A0A5F">
        <w:rPr>
          <w:lang w:eastAsia="zh-CN"/>
        </w:rPr>
        <w:t xml:space="preserve">            Indicates whether location reporting over user plane is requested or not.</w:t>
      </w:r>
    </w:p>
    <w:p w:rsidR="001F6018" w:rsidRPr="000A0A5F" w:rsidRDefault="001F6018" w:rsidP="001F6018">
      <w:pPr>
        <w:pStyle w:val="PL"/>
        <w:rPr>
          <w:lang w:eastAsia="zh-CN"/>
        </w:rPr>
      </w:pPr>
      <w:r w:rsidRPr="000A0A5F">
        <w:rPr>
          <w:lang w:eastAsia="zh-CN"/>
        </w:rPr>
        <w:t xml:space="preserve">            "true" indicates the location reporting over user plane is requested.</w:t>
      </w:r>
    </w:p>
    <w:p w:rsidR="001F6018" w:rsidRPr="000A0A5F" w:rsidRDefault="001F6018" w:rsidP="001F6018">
      <w:pPr>
        <w:pStyle w:val="PL"/>
        <w:rPr>
          <w:lang w:eastAsia="zh-CN"/>
        </w:rPr>
      </w:pPr>
      <w:r w:rsidRPr="000A0A5F">
        <w:rPr>
          <w:lang w:eastAsia="zh-CN"/>
        </w:rPr>
        <w:t xml:space="preserve">            "false" indicates the location reporting over user plane is not requested.</w:t>
      </w:r>
    </w:p>
    <w:p w:rsidR="001F6018" w:rsidRPr="000A0A5F" w:rsidRDefault="001F6018" w:rsidP="001F6018">
      <w:pPr>
        <w:pStyle w:val="PL"/>
        <w:rPr>
          <w:lang w:eastAsia="zh-CN"/>
        </w:rPr>
      </w:pPr>
      <w:r w:rsidRPr="000A0A5F">
        <w:rPr>
          <w:lang w:eastAsia="zh-CN"/>
        </w:rPr>
        <w:t xml:space="preserve">            Default value is "false" if omitted.</w:t>
      </w:r>
    </w:p>
    <w:p w:rsidR="001F6018" w:rsidRPr="000A0A5F" w:rsidRDefault="001F6018" w:rsidP="001F6018">
      <w:pPr>
        <w:pStyle w:val="PL"/>
      </w:pPr>
      <w:r w:rsidRPr="000A0A5F">
        <w:t xml:space="preserve">          type: boolean</w:t>
      </w:r>
    </w:p>
    <w:p w:rsidR="001F6018" w:rsidRPr="000A0A5F" w:rsidRDefault="001F6018" w:rsidP="001F6018">
      <w:pPr>
        <w:pStyle w:val="PL"/>
      </w:pPr>
      <w:r w:rsidRPr="000A0A5F">
        <w:t xml:space="preserve">          default: false</w:t>
      </w:r>
    </w:p>
    <w:p w:rsidR="001F6018" w:rsidRPr="000A0A5F" w:rsidRDefault="001F6018" w:rsidP="001F6018">
      <w:pPr>
        <w:pStyle w:val="PL"/>
      </w:pPr>
      <w:r w:rsidRPr="000A0A5F">
        <w:t xml:space="preserve">        </w:t>
      </w:r>
      <w:r w:rsidRPr="000A0A5F">
        <w:rPr>
          <w:lang w:eastAsia="zh-CN"/>
        </w:rPr>
        <w:t>upLocRepAddrAf</w:t>
      </w:r>
      <w:r w:rsidRPr="000A0A5F">
        <w:t>:</w:t>
      </w:r>
    </w:p>
    <w:p w:rsidR="001F6018" w:rsidRPr="000A0A5F" w:rsidRDefault="001F6018" w:rsidP="001F6018">
      <w:pPr>
        <w:pStyle w:val="PL"/>
      </w:pPr>
      <w:r w:rsidRPr="000A0A5F">
        <w:t xml:space="preserve">          $ref: '#/components/schemas/</w:t>
      </w:r>
      <w:r w:rsidRPr="000A0A5F">
        <w:rPr>
          <w:lang w:eastAsia="zh-CN"/>
        </w:rPr>
        <w:t>UpLocRepAddrAfRm'</w:t>
      </w:r>
    </w:p>
    <w:p w:rsidR="00CB0DD7" w:rsidRPr="000A0A5F" w:rsidRDefault="00CB0DD7">
      <w:pPr>
        <w:pStyle w:val="PL"/>
      </w:pPr>
      <w:r w:rsidRPr="000A0A5F">
        <w:t xml:space="preserve">        associationType:</w:t>
      </w:r>
    </w:p>
    <w:p w:rsidR="00CB0DD7" w:rsidRPr="000A0A5F" w:rsidRDefault="00CB0DD7">
      <w:pPr>
        <w:pStyle w:val="PL"/>
      </w:pPr>
      <w:r w:rsidRPr="000A0A5F">
        <w:t xml:space="preserve">          $ref: '#/components/schemas/AssociationType'</w:t>
      </w:r>
    </w:p>
    <w:p w:rsidR="00CB0DD7" w:rsidRPr="000A0A5F" w:rsidRDefault="00CB0DD7">
      <w:pPr>
        <w:pStyle w:val="PL"/>
      </w:pPr>
      <w:r w:rsidRPr="000A0A5F">
        <w:t xml:space="preserve">        plmnIndication:</w:t>
      </w:r>
    </w:p>
    <w:p w:rsidR="00CB0DD7" w:rsidRPr="000A0A5F" w:rsidRDefault="00CB0DD7">
      <w:pPr>
        <w:pStyle w:val="PL"/>
      </w:pPr>
      <w:r w:rsidRPr="000A0A5F">
        <w:t xml:space="preserve">          type: boolean</w:t>
      </w:r>
    </w:p>
    <w:p w:rsidR="00815FEF" w:rsidRPr="000A0A5F" w:rsidRDefault="00CB0DD7">
      <w:pPr>
        <w:pStyle w:val="PL"/>
      </w:pPr>
      <w:r w:rsidRPr="000A0A5F">
        <w:t xml:space="preserve">          description: </w:t>
      </w:r>
      <w:r w:rsidR="00815FEF" w:rsidRPr="000A0A5F">
        <w:t>&gt;</w:t>
      </w:r>
    </w:p>
    <w:p w:rsidR="00815FEF" w:rsidRPr="000A0A5F" w:rsidRDefault="00815FEF">
      <w:pPr>
        <w:pStyle w:val="PL"/>
      </w:pPr>
      <w:r w:rsidRPr="000A0A5F">
        <w:t xml:space="preserve">            </w:t>
      </w:r>
      <w:r w:rsidR="00CB0DD7" w:rsidRPr="000A0A5F">
        <w:t>If "monitoringType" is "ROAMING_STATUS", this parameter may be included to indicate the</w:t>
      </w:r>
    </w:p>
    <w:p w:rsidR="00815FEF" w:rsidRPr="000A0A5F" w:rsidRDefault="00815FEF">
      <w:pPr>
        <w:pStyle w:val="PL"/>
      </w:pPr>
      <w:r w:rsidRPr="000A0A5F">
        <w:t xml:space="preserve">           </w:t>
      </w:r>
      <w:r w:rsidR="00CB0DD7" w:rsidRPr="000A0A5F">
        <w:t xml:space="preserve"> notification of UE's Serving PLMN ID. Value "true" indicates enabling of notification;</w:t>
      </w:r>
    </w:p>
    <w:p w:rsidR="00CB0DD7" w:rsidRPr="000A0A5F" w:rsidRDefault="00815FEF">
      <w:pPr>
        <w:pStyle w:val="PL"/>
      </w:pPr>
      <w:r w:rsidRPr="000A0A5F">
        <w:t xml:space="preserve">           </w:t>
      </w:r>
      <w:r w:rsidR="00CB0DD7" w:rsidRPr="000A0A5F">
        <w:t xml:space="preserve"> "false" indicates disabling of notification. Default value is "false"</w:t>
      </w:r>
      <w:r w:rsidR="003032EC" w:rsidRPr="000A0A5F">
        <w:t xml:space="preserve"> if omitted</w:t>
      </w:r>
      <w:r w:rsidR="00CB0DD7" w:rsidRPr="000A0A5F">
        <w:t>.</w:t>
      </w:r>
    </w:p>
    <w:p w:rsidR="00CB0DD7" w:rsidRPr="000A0A5F" w:rsidRDefault="00CB0DD7">
      <w:pPr>
        <w:pStyle w:val="PL"/>
      </w:pPr>
      <w:r w:rsidRPr="000A0A5F">
        <w:t xml:space="preserve">        locationArea:</w:t>
      </w:r>
    </w:p>
    <w:p w:rsidR="00CB0DD7" w:rsidRPr="000A0A5F" w:rsidRDefault="00CB0DD7">
      <w:pPr>
        <w:pStyle w:val="PL"/>
      </w:pPr>
      <w:r w:rsidRPr="000A0A5F">
        <w:t xml:space="preserve">          $ref: 'TS29122_CommonData.yaml#/components/schemas/LocationArea'</w:t>
      </w:r>
    </w:p>
    <w:p w:rsidR="00CB0DD7" w:rsidRPr="000A0A5F" w:rsidRDefault="00CB0DD7">
      <w:pPr>
        <w:pStyle w:val="PL"/>
      </w:pPr>
      <w:r w:rsidRPr="000A0A5F">
        <w:t xml:space="preserve">        locationArea5G:</w:t>
      </w:r>
    </w:p>
    <w:p w:rsidR="00CB0DD7" w:rsidRPr="000A0A5F" w:rsidRDefault="00CB0DD7">
      <w:pPr>
        <w:pStyle w:val="PL"/>
      </w:pPr>
      <w:r w:rsidRPr="000A0A5F">
        <w:t xml:space="preserve">          $ref: 'TS29122_CommonData.yaml#/components/schemas/LocationArea5G'</w:t>
      </w:r>
    </w:p>
    <w:p w:rsidR="00CB0DD7" w:rsidRPr="000A0A5F" w:rsidRDefault="00CB0DD7">
      <w:pPr>
        <w:pStyle w:val="PL"/>
      </w:pPr>
      <w:r w:rsidRPr="000A0A5F">
        <w:t xml:space="preserve">        dddTraDescriptors:</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$ref: 'TS29571_CommonData.yaml#/components/schemas/DddTrafficDescriptor'</w:t>
      </w:r>
    </w:p>
    <w:p w:rsidR="00CB0DD7" w:rsidRPr="000A0A5F" w:rsidRDefault="00CB0DD7">
      <w:pPr>
        <w:pStyle w:val="PL"/>
      </w:pPr>
      <w:r w:rsidRPr="000A0A5F">
        <w:t xml:space="preserve">          minItems: 1</w:t>
      </w:r>
    </w:p>
    <w:p w:rsidR="00CB0DD7" w:rsidRPr="000A0A5F" w:rsidRDefault="00CB0DD7">
      <w:pPr>
        <w:pStyle w:val="PL"/>
      </w:pPr>
      <w:r w:rsidRPr="000A0A5F">
        <w:t xml:space="preserve">        dddStati:</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$ref: 'TS29571_CommonData.yaml#/components/schemas/DlDataDeliveryStatus'</w:t>
      </w:r>
    </w:p>
    <w:p w:rsidR="00CB0DD7" w:rsidRPr="000A0A5F" w:rsidRDefault="00CB0DD7">
      <w:pPr>
        <w:pStyle w:val="PL"/>
      </w:pPr>
      <w:r w:rsidRPr="000A0A5F">
        <w:t xml:space="preserve">          minItems: 1</w:t>
      </w:r>
    </w:p>
    <w:p w:rsidR="00CB0DD7" w:rsidRPr="000A0A5F" w:rsidRDefault="00CB0DD7">
      <w:pPr>
        <w:pStyle w:val="PL"/>
      </w:pPr>
      <w:r w:rsidRPr="000A0A5F">
        <w:t xml:space="preserve">        apiNames:</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type: string</w:t>
      </w:r>
    </w:p>
    <w:p w:rsidR="00CB0DD7" w:rsidRPr="000A0A5F" w:rsidRDefault="00CB0DD7">
      <w:pPr>
        <w:pStyle w:val="PL"/>
        <w:rPr>
          <w:rFonts w:hint="eastAsia"/>
        </w:rPr>
      </w:pPr>
      <w:r w:rsidRPr="000A0A5F">
        <w:t xml:space="preserve">          minItems: 1</w:t>
      </w:r>
    </w:p>
    <w:p w:rsidR="00CB0DD7" w:rsidRPr="000A0A5F" w:rsidRDefault="00CB0DD7">
      <w:pPr>
        <w:pStyle w:val="PL"/>
      </w:pPr>
      <w:r w:rsidRPr="000A0A5F">
        <w:t xml:space="preserve">        monitoringEventReport:</w:t>
      </w:r>
    </w:p>
    <w:p w:rsidR="00CB0DD7" w:rsidRPr="000A0A5F" w:rsidRDefault="00CB0DD7">
      <w:pPr>
        <w:pStyle w:val="PL"/>
      </w:pPr>
      <w:r w:rsidRPr="000A0A5F">
        <w:t xml:space="preserve">          $ref: '#/components/schemas/MonitoringEventReport'</w:t>
      </w:r>
    </w:p>
    <w:p w:rsidR="00CB0DD7" w:rsidRPr="000A0A5F" w:rsidRDefault="00CB0DD7">
      <w:pPr>
        <w:pStyle w:val="PL"/>
      </w:pPr>
      <w:r w:rsidRPr="000A0A5F">
        <w:t xml:space="preserve">        snssai:</w:t>
      </w:r>
    </w:p>
    <w:p w:rsidR="00CB0DD7" w:rsidRPr="000A0A5F" w:rsidRDefault="00CB0DD7">
      <w:pPr>
        <w:pStyle w:val="PL"/>
      </w:pPr>
      <w:r w:rsidRPr="000A0A5F">
        <w:t xml:space="preserve">          $ref: 'TS29571_CommonData.yaml#/components/schemas/Snssai'</w:t>
      </w:r>
    </w:p>
    <w:p w:rsidR="00CB0DD7" w:rsidRPr="000A0A5F" w:rsidRDefault="00CB0DD7">
      <w:pPr>
        <w:pStyle w:val="PL"/>
      </w:pPr>
      <w:r w:rsidRPr="000A0A5F">
        <w:t xml:space="preserve">        </w:t>
      </w:r>
      <w:r w:rsidRPr="000A0A5F">
        <w:rPr>
          <w:lang w:eastAsia="zh-CN"/>
        </w:rPr>
        <w:t>tgtNsThreshold</w:t>
      </w:r>
      <w:r w:rsidRPr="000A0A5F">
        <w:t>:</w:t>
      </w:r>
    </w:p>
    <w:p w:rsidR="00CB0DD7" w:rsidRPr="000A0A5F" w:rsidRDefault="00CB0DD7">
      <w:pPr>
        <w:pStyle w:val="PL"/>
      </w:pPr>
      <w:r w:rsidRPr="000A0A5F">
        <w:t xml:space="preserve">          $ref: 'TS29571_CommonData.yaml#/components/schemas/SACInfo'</w:t>
      </w:r>
    </w:p>
    <w:p w:rsidR="0052236B" w:rsidRPr="000A0A5F" w:rsidRDefault="0052236B" w:rsidP="0052236B">
      <w:pPr>
        <w:pStyle w:val="PL"/>
      </w:pPr>
      <w:r w:rsidRPr="000A0A5F">
        <w:t xml:space="preserve">        </w:t>
      </w:r>
      <w:r w:rsidRPr="000A0A5F">
        <w:rPr>
          <w:lang w:eastAsia="zh-CN"/>
        </w:rPr>
        <w:t>nsRepFormat</w:t>
      </w:r>
      <w:r w:rsidRPr="000A0A5F">
        <w:t>:</w:t>
      </w:r>
    </w:p>
    <w:p w:rsidR="0052236B" w:rsidRPr="000A0A5F" w:rsidRDefault="0052236B" w:rsidP="0052236B">
      <w:pPr>
        <w:pStyle w:val="PL"/>
      </w:pPr>
      <w:r w:rsidRPr="000A0A5F">
        <w:t xml:space="preserve">          $ref: '#/components/schemas/SACRepFormat'</w:t>
      </w:r>
    </w:p>
    <w:p w:rsidR="00025D06" w:rsidRPr="000A0A5F" w:rsidRDefault="00025D06" w:rsidP="00025D06">
      <w:pPr>
        <w:pStyle w:val="PL"/>
      </w:pPr>
      <w:r w:rsidRPr="000A0A5F">
        <w:t xml:space="preserve">        afServiceId:</w:t>
      </w:r>
    </w:p>
    <w:p w:rsidR="00025D06" w:rsidRPr="000A0A5F" w:rsidRDefault="00025D06" w:rsidP="00025D06">
      <w:pPr>
        <w:pStyle w:val="PL"/>
      </w:pPr>
      <w:r w:rsidRPr="000A0A5F">
        <w:t xml:space="preserve">          type: string</w:t>
      </w:r>
    </w:p>
    <w:p w:rsidR="00AC0BB8" w:rsidRPr="000A0A5F" w:rsidRDefault="00AC0BB8" w:rsidP="00AC0BB8">
      <w:pPr>
        <w:pStyle w:val="PL"/>
      </w:pPr>
      <w:r w:rsidRPr="000A0A5F">
        <w:t xml:space="preserve">        </w:t>
      </w:r>
      <w:r w:rsidRPr="000A0A5F">
        <w:rPr>
          <w:lang w:eastAsia="zh-CN"/>
        </w:rPr>
        <w:t>immediateRep</w:t>
      </w:r>
      <w:r w:rsidRPr="000A0A5F">
        <w:t>:</w:t>
      </w:r>
    </w:p>
    <w:p w:rsidR="00AC0BB8" w:rsidRPr="000A0A5F" w:rsidRDefault="00AC0BB8" w:rsidP="00AC0BB8">
      <w:pPr>
        <w:pStyle w:val="PL"/>
      </w:pPr>
      <w:r w:rsidRPr="000A0A5F">
        <w:t xml:space="preserve">          type: boolean</w:t>
      </w:r>
    </w:p>
    <w:p w:rsidR="00011189" w:rsidRPr="000A0A5F" w:rsidRDefault="00011189" w:rsidP="00011189">
      <w:pPr>
        <w:pStyle w:val="PL"/>
        <w:rPr>
          <w:lang w:eastAsia="zh-CN"/>
        </w:rPr>
      </w:pPr>
      <w:r w:rsidRPr="000A0A5F">
        <w:rPr>
          <w:lang w:eastAsia="zh-CN"/>
        </w:rPr>
        <w:t xml:space="preserve">          description: &gt;</w:t>
      </w:r>
    </w:p>
    <w:p w:rsidR="00011189" w:rsidRPr="000A0A5F" w:rsidRDefault="00011189" w:rsidP="00011189">
      <w:pPr>
        <w:pStyle w:val="PL"/>
        <w:rPr>
          <w:lang w:eastAsia="zh-CN"/>
        </w:rPr>
      </w:pPr>
      <w:r w:rsidRPr="000A0A5F">
        <w:rPr>
          <w:lang w:eastAsia="zh-CN"/>
        </w:rPr>
        <w:t xml:space="preserve">            Indicates whether an immediate reporting is requested or not.</w:t>
      </w:r>
    </w:p>
    <w:p w:rsidR="00011189" w:rsidRPr="000A0A5F" w:rsidRDefault="00011189" w:rsidP="00011189">
      <w:pPr>
        <w:pStyle w:val="PL"/>
        <w:rPr>
          <w:lang w:eastAsia="zh-CN"/>
        </w:rPr>
      </w:pPr>
      <w:r w:rsidRPr="000A0A5F">
        <w:rPr>
          <w:lang w:eastAsia="zh-CN"/>
        </w:rPr>
        <w:t xml:space="preserve">            "true" indicate an immediate reporting is requested.</w:t>
      </w:r>
    </w:p>
    <w:p w:rsidR="00011189" w:rsidRPr="000A0A5F" w:rsidRDefault="00011189" w:rsidP="00011189">
      <w:pPr>
        <w:pStyle w:val="PL"/>
        <w:rPr>
          <w:lang w:eastAsia="zh-CN"/>
        </w:rPr>
      </w:pPr>
      <w:r w:rsidRPr="000A0A5F">
        <w:rPr>
          <w:lang w:eastAsia="zh-CN"/>
        </w:rPr>
        <w:t xml:space="preserve">            "false" indicate an immediate reporting is not requested.</w:t>
      </w:r>
    </w:p>
    <w:p w:rsidR="00011189" w:rsidRPr="000A0A5F" w:rsidRDefault="00011189" w:rsidP="00011189">
      <w:pPr>
        <w:pStyle w:val="PL"/>
        <w:rPr>
          <w:lang w:eastAsia="zh-CN"/>
        </w:rPr>
      </w:pPr>
      <w:r w:rsidRPr="000A0A5F">
        <w:rPr>
          <w:lang w:eastAsia="zh-CN"/>
        </w:rPr>
        <w:t xml:space="preserve">            Default value "false" if omitted.</w:t>
      </w:r>
    </w:p>
    <w:p w:rsidR="003C3461" w:rsidRPr="000A0A5F" w:rsidRDefault="003C3461" w:rsidP="003C3461">
      <w:pPr>
        <w:pStyle w:val="PL"/>
        <w:rPr>
          <w:lang w:eastAsia="zh-CN"/>
        </w:rPr>
      </w:pPr>
      <w:r w:rsidRPr="000A0A5F">
        <w:rPr>
          <w:rFonts w:hint="eastAsia"/>
          <w:lang w:eastAsia="zh-CN"/>
        </w:rPr>
        <w:t xml:space="preserve"> </w:t>
      </w:r>
      <w:r w:rsidRPr="000A0A5F">
        <w:rPr>
          <w:lang w:eastAsia="zh-CN"/>
        </w:rPr>
        <w:t xml:space="preserve">       </w:t>
      </w:r>
      <w:r w:rsidR="006A7755" w:rsidRPr="000A0A5F">
        <w:rPr>
          <w:lang w:val="en-IN"/>
        </w:rPr>
        <w:t>uavPolicy</w:t>
      </w:r>
      <w:r w:rsidRPr="000A0A5F">
        <w:rPr>
          <w:lang w:eastAsia="zh-CN"/>
        </w:rPr>
        <w:t>:</w:t>
      </w:r>
    </w:p>
    <w:p w:rsidR="006A7755" w:rsidRPr="000A0A5F" w:rsidRDefault="006A7755" w:rsidP="003C3461">
      <w:pPr>
        <w:pStyle w:val="PL"/>
      </w:pPr>
      <w:r w:rsidRPr="000A0A5F">
        <w:t xml:space="preserve">          $ref: '#/components/schemas/UavPolicy'</w:t>
      </w:r>
    </w:p>
    <w:p w:rsidR="00A313ED" w:rsidRPr="000A0A5F" w:rsidRDefault="00A313ED" w:rsidP="00A313ED">
      <w:pPr>
        <w:pStyle w:val="PL"/>
        <w:rPr>
          <w:lang w:eastAsia="zh-CN"/>
        </w:rPr>
      </w:pPr>
      <w:r w:rsidRPr="000A0A5F">
        <w:rPr>
          <w:lang w:eastAsia="zh-CN"/>
        </w:rPr>
        <w:t xml:space="preserve">        sesEstInd:</w:t>
      </w:r>
    </w:p>
    <w:p w:rsidR="00A313ED" w:rsidRPr="000A0A5F" w:rsidRDefault="00A313ED" w:rsidP="00A313ED">
      <w:pPr>
        <w:pStyle w:val="PL"/>
        <w:rPr>
          <w:lang w:eastAsia="zh-CN"/>
        </w:rPr>
      </w:pPr>
      <w:r w:rsidRPr="000A0A5F">
        <w:rPr>
          <w:lang w:eastAsia="zh-CN"/>
        </w:rPr>
        <w:t xml:space="preserve">          type: boolean</w:t>
      </w:r>
    </w:p>
    <w:p w:rsidR="00815FEF" w:rsidRPr="000A0A5F" w:rsidRDefault="00A313ED" w:rsidP="00A313ED">
      <w:pPr>
        <w:pStyle w:val="PL"/>
        <w:rPr>
          <w:lang w:eastAsia="zh-CN"/>
        </w:rPr>
      </w:pPr>
      <w:r w:rsidRPr="000A0A5F">
        <w:rPr>
          <w:lang w:eastAsia="zh-CN"/>
        </w:rPr>
        <w:t xml:space="preserve">          description: </w:t>
      </w:r>
      <w:r w:rsidR="00815FEF" w:rsidRPr="000A0A5F">
        <w:rPr>
          <w:lang w:eastAsia="zh-CN"/>
        </w:rPr>
        <w:t>&gt;</w:t>
      </w:r>
    </w:p>
    <w:p w:rsidR="00815FEF" w:rsidRPr="000A0A5F" w:rsidRDefault="00815FEF" w:rsidP="00A313ED">
      <w:pPr>
        <w:pStyle w:val="PL"/>
        <w:rPr>
          <w:lang w:eastAsia="zh-CN"/>
        </w:rPr>
      </w:pPr>
      <w:r w:rsidRPr="000A0A5F">
        <w:rPr>
          <w:lang w:eastAsia="zh-CN"/>
        </w:rPr>
        <w:t xml:space="preserve">            </w:t>
      </w:r>
      <w:r w:rsidR="00A313ED" w:rsidRPr="000A0A5F">
        <w:rPr>
          <w:lang w:eastAsia="zh-CN"/>
        </w:rPr>
        <w:t xml:space="preserve">Set to true by the SCS/AS so that only </w:t>
      </w:r>
      <w:r w:rsidR="00706FFD" w:rsidRPr="000A0A5F">
        <w:rPr>
          <w:lang w:eastAsia="zh-CN"/>
        </w:rPr>
        <w:t xml:space="preserve">UAV's </w:t>
      </w:r>
      <w:r w:rsidR="00A313ED" w:rsidRPr="000A0A5F">
        <w:rPr>
          <w:lang w:eastAsia="zh-CN"/>
        </w:rPr>
        <w:t xml:space="preserve">with </w:t>
      </w:r>
      <w:r w:rsidR="00706FFD" w:rsidRPr="000A0A5F">
        <w:rPr>
          <w:lang w:eastAsia="zh-CN"/>
        </w:rPr>
        <w:t>"</w:t>
      </w:r>
      <w:r w:rsidR="00A313ED" w:rsidRPr="000A0A5F">
        <w:rPr>
          <w:lang w:eastAsia="zh-CN"/>
        </w:rPr>
        <w:t>PDU session established for DNN(s)</w:t>
      </w:r>
    </w:p>
    <w:p w:rsidR="00011189" w:rsidRPr="000A0A5F" w:rsidRDefault="00011189" w:rsidP="00011189">
      <w:pPr>
        <w:pStyle w:val="PL"/>
        <w:rPr>
          <w:lang w:eastAsia="zh-CN"/>
        </w:rPr>
      </w:pPr>
      <w:r w:rsidRPr="000A0A5F">
        <w:rPr>
          <w:lang w:eastAsia="zh-CN"/>
        </w:rPr>
        <w:t xml:space="preserve">            subject to aerial service" are to be listed in the Event report. Set to false or default</w:t>
      </w:r>
    </w:p>
    <w:p w:rsidR="00A313ED" w:rsidRPr="000A0A5F" w:rsidRDefault="00011189" w:rsidP="00A313ED">
      <w:pPr>
        <w:pStyle w:val="PL"/>
        <w:rPr>
          <w:lang w:eastAsia="zh-CN"/>
        </w:rPr>
      </w:pPr>
      <w:r w:rsidRPr="000A0A5F">
        <w:rPr>
          <w:lang w:eastAsia="zh-CN"/>
        </w:rPr>
        <w:t xml:space="preserve">            false if omitted</w:t>
      </w:r>
      <w:r w:rsidR="00156FD3" w:rsidRPr="000A0A5F">
        <w:rPr>
          <w:lang w:eastAsia="zh-CN"/>
        </w:rPr>
        <w:t xml:space="preserve"> </w:t>
      </w:r>
      <w:r w:rsidR="00A313ED" w:rsidRPr="000A0A5F">
        <w:rPr>
          <w:lang w:eastAsia="zh-CN"/>
        </w:rPr>
        <w:t>otherwise.</w:t>
      </w:r>
    </w:p>
    <w:p w:rsidR="00A313ED" w:rsidRPr="000A0A5F" w:rsidRDefault="00A313ED" w:rsidP="00A313ED">
      <w:pPr>
        <w:pStyle w:val="PL"/>
        <w:rPr>
          <w:lang w:eastAsia="zh-CN"/>
        </w:rPr>
      </w:pPr>
      <w:r w:rsidRPr="000A0A5F">
        <w:rPr>
          <w:lang w:eastAsia="zh-CN"/>
        </w:rPr>
        <w:t xml:space="preserve">        subType:</w:t>
      </w:r>
    </w:p>
    <w:p w:rsidR="003C3461" w:rsidRPr="000A0A5F" w:rsidRDefault="00A313ED" w:rsidP="00A313ED">
      <w:pPr>
        <w:pStyle w:val="PL"/>
        <w:rPr>
          <w:lang w:eastAsia="zh-CN"/>
        </w:rPr>
      </w:pPr>
      <w:r w:rsidRPr="000A0A5F">
        <w:rPr>
          <w:lang w:eastAsia="zh-CN"/>
        </w:rPr>
        <w:t xml:space="preserve">          $ref: '#/components/schemas/SubType'</w:t>
      </w:r>
    </w:p>
    <w:p w:rsidR="0089078D" w:rsidRPr="000A0A5F" w:rsidRDefault="0089078D" w:rsidP="0089078D">
      <w:pPr>
        <w:pStyle w:val="PL"/>
      </w:pPr>
      <w:r w:rsidRPr="000A0A5F">
        <w:t xml:space="preserve">        </w:t>
      </w:r>
      <w:r w:rsidRPr="000A0A5F">
        <w:rPr>
          <w:lang w:eastAsia="zh-CN"/>
        </w:rPr>
        <w:t>add</w:t>
      </w:r>
      <w:r w:rsidRPr="000A0A5F">
        <w:rPr>
          <w:rFonts w:hint="eastAsia"/>
          <w:lang w:eastAsia="zh-CN"/>
        </w:rPr>
        <w:t>n</w:t>
      </w:r>
      <w:r w:rsidRPr="000A0A5F">
        <w:rPr>
          <w:lang w:eastAsia="zh-CN"/>
        </w:rPr>
        <w:t>MonTypes</w:t>
      </w:r>
      <w:r w:rsidRPr="000A0A5F">
        <w:t>:</w:t>
      </w:r>
    </w:p>
    <w:p w:rsidR="0089078D" w:rsidRPr="000A0A5F" w:rsidRDefault="0089078D" w:rsidP="0089078D">
      <w:pPr>
        <w:pStyle w:val="PL"/>
      </w:pPr>
      <w:r w:rsidRPr="000A0A5F">
        <w:t xml:space="preserve">          type: array</w:t>
      </w:r>
    </w:p>
    <w:p w:rsidR="0089078D" w:rsidRPr="000A0A5F" w:rsidRDefault="0089078D" w:rsidP="0089078D">
      <w:pPr>
        <w:pStyle w:val="PL"/>
      </w:pPr>
      <w:r w:rsidRPr="000A0A5F">
        <w:t xml:space="preserve">          items:</w:t>
      </w:r>
    </w:p>
    <w:p w:rsidR="0089078D" w:rsidRPr="000A0A5F" w:rsidRDefault="0089078D" w:rsidP="0089078D">
      <w:pPr>
        <w:pStyle w:val="PL"/>
      </w:pPr>
      <w:r w:rsidRPr="000A0A5F">
        <w:t xml:space="preserve">            $ref: '#/components/schemas/</w:t>
      </w:r>
      <w:r w:rsidRPr="000A0A5F">
        <w:rPr>
          <w:lang w:eastAsia="zh-CN"/>
        </w:rPr>
        <w:t>MonitoringType</w:t>
      </w:r>
      <w:r w:rsidRPr="000A0A5F">
        <w:t>'</w:t>
      </w:r>
    </w:p>
    <w:p w:rsidR="0089078D" w:rsidRPr="000A0A5F" w:rsidRDefault="0089078D" w:rsidP="0089078D">
      <w:pPr>
        <w:pStyle w:val="PL"/>
      </w:pPr>
      <w:r w:rsidRPr="000A0A5F">
        <w:t xml:space="preserve">        </w:t>
      </w:r>
      <w:r w:rsidRPr="000A0A5F">
        <w:rPr>
          <w:lang w:eastAsia="zh-CN"/>
        </w:rPr>
        <w:t>add</w:t>
      </w:r>
      <w:r w:rsidRPr="000A0A5F">
        <w:rPr>
          <w:rFonts w:hint="eastAsia"/>
          <w:lang w:eastAsia="zh-CN"/>
        </w:rPr>
        <w:t>n</w:t>
      </w:r>
      <w:r w:rsidRPr="000A0A5F">
        <w:rPr>
          <w:lang w:eastAsia="zh-CN"/>
        </w:rPr>
        <w:t>Mon</w:t>
      </w:r>
      <w:r w:rsidRPr="000A0A5F">
        <w:t>EventReports:</w:t>
      </w:r>
    </w:p>
    <w:p w:rsidR="0089078D" w:rsidRPr="000A0A5F" w:rsidRDefault="0089078D" w:rsidP="0089078D">
      <w:pPr>
        <w:pStyle w:val="PL"/>
      </w:pPr>
      <w:r w:rsidRPr="000A0A5F">
        <w:t xml:space="preserve">          type: array</w:t>
      </w:r>
    </w:p>
    <w:p w:rsidR="0089078D" w:rsidRPr="000A0A5F" w:rsidRDefault="0089078D" w:rsidP="0089078D">
      <w:pPr>
        <w:pStyle w:val="PL"/>
      </w:pPr>
      <w:r w:rsidRPr="000A0A5F">
        <w:t xml:space="preserve">          items:</w:t>
      </w:r>
    </w:p>
    <w:p w:rsidR="0089078D" w:rsidRPr="000A0A5F" w:rsidRDefault="0089078D" w:rsidP="0089078D">
      <w:pPr>
        <w:pStyle w:val="PL"/>
      </w:pPr>
      <w:r w:rsidRPr="000A0A5F">
        <w:t xml:space="preserve">            $ref: '#/components/schemas/MonitoringEventReport'</w:t>
      </w:r>
    </w:p>
    <w:p w:rsidR="008D34A0" w:rsidRPr="000A0A5F" w:rsidRDefault="008D34A0" w:rsidP="008D34A0">
      <w:pPr>
        <w:pStyle w:val="PL"/>
      </w:pPr>
      <w:r w:rsidRPr="000A0A5F">
        <w:t xml:space="preserve">        ueIpAddr:</w:t>
      </w:r>
    </w:p>
    <w:p w:rsidR="008D34A0" w:rsidRPr="000A0A5F" w:rsidRDefault="008D34A0" w:rsidP="008D34A0">
      <w:pPr>
        <w:pStyle w:val="PL"/>
      </w:pPr>
      <w:r w:rsidRPr="000A0A5F">
        <w:t xml:space="preserve">          $ref: 'TS29571_CommonData.yaml#/components/schemas/IpAddr'</w:t>
      </w:r>
    </w:p>
    <w:p w:rsidR="008D34A0" w:rsidRPr="000A0A5F" w:rsidRDefault="008D34A0" w:rsidP="008D34A0">
      <w:pPr>
        <w:pStyle w:val="PL"/>
      </w:pPr>
      <w:r w:rsidRPr="000A0A5F">
        <w:t xml:space="preserve">        ueMacAddr:</w:t>
      </w:r>
    </w:p>
    <w:p w:rsidR="008D34A0" w:rsidRPr="000A0A5F" w:rsidRDefault="008D34A0" w:rsidP="008D34A0">
      <w:pPr>
        <w:pStyle w:val="PL"/>
      </w:pPr>
      <w:r w:rsidRPr="000A0A5F">
        <w:t xml:space="preserve">          $ref: 'TS29571_CommonData.yaml#/components/schemas/MacAddr48'</w:t>
      </w:r>
    </w:p>
    <w:p w:rsidR="00C520FB" w:rsidRPr="000A0A5F" w:rsidRDefault="00C520FB" w:rsidP="00C520FB">
      <w:pPr>
        <w:pStyle w:val="PL"/>
      </w:pPr>
      <w:r w:rsidRPr="000A0A5F">
        <w:t xml:space="preserve">        revocationNotifUri:</w:t>
      </w:r>
    </w:p>
    <w:p w:rsidR="00C520FB" w:rsidRPr="000A0A5F" w:rsidRDefault="00C520FB" w:rsidP="00C520FB">
      <w:pPr>
        <w:pStyle w:val="PL"/>
      </w:pPr>
      <w:r w:rsidRPr="000A0A5F">
        <w:t xml:space="preserve">          $ref: 'TS29122_CommonData.yaml#/components/schemas/Uri'</w:t>
      </w:r>
    </w:p>
    <w:p w:rsidR="00C520FB" w:rsidRPr="000A0A5F" w:rsidRDefault="00C520FB" w:rsidP="00C520FB">
      <w:pPr>
        <w:pStyle w:val="PL"/>
      </w:pPr>
      <w:r w:rsidRPr="000A0A5F">
        <w:t xml:space="preserve">        reqRangingSlRes:</w:t>
      </w:r>
    </w:p>
    <w:p w:rsidR="00C520FB" w:rsidRPr="000A0A5F" w:rsidRDefault="00C520FB" w:rsidP="00C520FB">
      <w:pPr>
        <w:pStyle w:val="PL"/>
      </w:pPr>
      <w:r w:rsidRPr="000A0A5F">
        <w:t xml:space="preserve">          type: array</w:t>
      </w:r>
    </w:p>
    <w:p w:rsidR="00C520FB" w:rsidRPr="000A0A5F" w:rsidRDefault="00C520FB" w:rsidP="00C520FB">
      <w:pPr>
        <w:pStyle w:val="PL"/>
      </w:pPr>
      <w:r w:rsidRPr="000A0A5F">
        <w:t xml:space="preserve">          items:</w:t>
      </w:r>
    </w:p>
    <w:p w:rsidR="00C520FB" w:rsidRPr="000A0A5F" w:rsidRDefault="00C520FB" w:rsidP="00C520FB">
      <w:pPr>
        <w:pStyle w:val="PL"/>
      </w:pPr>
      <w:r w:rsidRPr="000A0A5F">
        <w:t xml:space="preserve">            </w:t>
      </w:r>
      <w:r w:rsidRPr="000A0A5F">
        <w:rPr>
          <w:lang w:val="en-US"/>
        </w:rPr>
        <w:t xml:space="preserve">$ref: </w:t>
      </w:r>
      <w:r w:rsidRPr="000A0A5F">
        <w:t>'TS29572_Nlmf_Location.yaml#/components/schemas</w:t>
      </w:r>
      <w:r w:rsidRPr="000A0A5F">
        <w:rPr>
          <w:lang w:val="en-US"/>
        </w:rPr>
        <w:t>/</w:t>
      </w:r>
      <w:r w:rsidRPr="000A0A5F">
        <w:t>RangingSlResult'</w:t>
      </w:r>
    </w:p>
    <w:p w:rsidR="00C520FB" w:rsidRPr="000A0A5F" w:rsidRDefault="00C520FB" w:rsidP="00C520FB">
      <w:pPr>
        <w:pStyle w:val="PL"/>
      </w:pPr>
      <w:r w:rsidRPr="000A0A5F">
        <w:t xml:space="preserve">          minItems: 1</w:t>
      </w:r>
    </w:p>
    <w:p w:rsidR="00C520FB" w:rsidRPr="000A0A5F" w:rsidRDefault="00C520FB" w:rsidP="00C520FB">
      <w:pPr>
        <w:pStyle w:val="PL"/>
      </w:pPr>
      <w:r w:rsidRPr="000A0A5F">
        <w:t xml:space="preserve">        </w:t>
      </w:r>
      <w:r w:rsidRPr="000A0A5F">
        <w:rPr>
          <w:lang w:eastAsia="zh-CN"/>
        </w:rPr>
        <w:t>relatedUEs</w:t>
      </w:r>
      <w:r w:rsidRPr="000A0A5F">
        <w:t>:</w:t>
      </w:r>
    </w:p>
    <w:p w:rsidR="00C520FB" w:rsidRPr="000A0A5F" w:rsidRDefault="00C520FB" w:rsidP="00C520FB">
      <w:pPr>
        <w:pStyle w:val="PL"/>
      </w:pPr>
      <w:r w:rsidRPr="000A0A5F">
        <w:t xml:space="preserve">          type: array</w:t>
      </w:r>
    </w:p>
    <w:p w:rsidR="00C520FB" w:rsidRPr="000A0A5F" w:rsidRDefault="00C520FB" w:rsidP="00C520FB">
      <w:pPr>
        <w:pStyle w:val="PL"/>
      </w:pPr>
      <w:r w:rsidRPr="000A0A5F">
        <w:t xml:space="preserve">          items:</w:t>
      </w:r>
    </w:p>
    <w:p w:rsidR="00C520FB" w:rsidRPr="000A0A5F" w:rsidRDefault="00C520FB" w:rsidP="00C520FB">
      <w:pPr>
        <w:pStyle w:val="PL"/>
      </w:pPr>
      <w:r w:rsidRPr="000A0A5F">
        <w:t xml:space="preserve">            </w:t>
      </w:r>
      <w:r w:rsidRPr="000A0A5F">
        <w:rPr>
          <w:lang w:val="en-US"/>
        </w:rPr>
        <w:t xml:space="preserve">$ref: </w:t>
      </w:r>
      <w:r w:rsidRPr="000A0A5F">
        <w:t>'TS29572_Nlmf_Location.yaml#/components/schemas/RelatedUE'</w:t>
      </w:r>
    </w:p>
    <w:p w:rsidR="00C520FB" w:rsidRPr="000A0A5F" w:rsidRDefault="00C520FB" w:rsidP="00C520FB">
      <w:pPr>
        <w:pStyle w:val="PL"/>
      </w:pPr>
      <w:r w:rsidRPr="000A0A5F">
        <w:t xml:space="preserve">          minItems: 1</w:t>
      </w:r>
    </w:p>
    <w:p w:rsidR="00CB0DD7" w:rsidRPr="000A0A5F" w:rsidRDefault="00CB0DD7">
      <w:pPr>
        <w:pStyle w:val="PL"/>
      </w:pPr>
      <w:r w:rsidRPr="000A0A5F">
        <w:t xml:space="preserve">      required:</w:t>
      </w:r>
    </w:p>
    <w:p w:rsidR="00CB0DD7" w:rsidRPr="000A0A5F" w:rsidRDefault="00CB0DD7">
      <w:pPr>
        <w:pStyle w:val="PL"/>
      </w:pPr>
      <w:r w:rsidRPr="000A0A5F">
        <w:t xml:space="preserve">        - notificationDestination</w:t>
      </w:r>
    </w:p>
    <w:p w:rsidR="00CB0DD7" w:rsidRPr="000A0A5F" w:rsidRDefault="00CB0DD7">
      <w:pPr>
        <w:pStyle w:val="PL"/>
      </w:pPr>
      <w:r w:rsidRPr="000A0A5F">
        <w:t xml:space="preserve">        - monitoringType</w:t>
      </w:r>
    </w:p>
    <w:p w:rsidR="00CB0DD7" w:rsidRPr="000A0A5F" w:rsidRDefault="00CB0DD7">
      <w:pPr>
        <w:pStyle w:val="PL"/>
      </w:pPr>
      <w:r w:rsidRPr="000A0A5F">
        <w:t xml:space="preserve">      anyOf:</w:t>
      </w:r>
    </w:p>
    <w:p w:rsidR="00CB0DD7" w:rsidRPr="000A0A5F" w:rsidRDefault="00CB0DD7">
      <w:pPr>
        <w:pStyle w:val="PL"/>
      </w:pPr>
      <w:r w:rsidRPr="000A0A5F">
        <w:t xml:space="preserve">        - required: [maximumNumberOfReports]</w:t>
      </w:r>
    </w:p>
    <w:p w:rsidR="00CB0DD7" w:rsidRPr="000A0A5F" w:rsidRDefault="00CB0DD7">
      <w:pPr>
        <w:pStyle w:val="PL"/>
      </w:pPr>
      <w:r w:rsidRPr="000A0A5F">
        <w:t xml:space="preserve">        - required: [monitorExpireTime]</w:t>
      </w:r>
    </w:p>
    <w:p w:rsidR="00815FEF" w:rsidRPr="000A0A5F" w:rsidRDefault="00815FEF">
      <w:pPr>
        <w:pStyle w:val="PL"/>
      </w:pPr>
    </w:p>
    <w:p w:rsidR="00CB0DD7" w:rsidRPr="000A0A5F" w:rsidRDefault="00CB0DD7">
      <w:pPr>
        <w:pStyle w:val="PL"/>
      </w:pPr>
      <w:r w:rsidRPr="000A0A5F">
        <w:t xml:space="preserve">    MonitoringNotification:</w:t>
      </w:r>
    </w:p>
    <w:p w:rsidR="00CB0DD7" w:rsidRPr="000A0A5F" w:rsidRDefault="00CB0DD7">
      <w:pPr>
        <w:pStyle w:val="PL"/>
      </w:pPr>
      <w:r w:rsidRPr="000A0A5F">
        <w:t xml:space="preserve">      description: Represents </w:t>
      </w:r>
      <w:bookmarkStart w:id="10289" w:name="_Hlk69382477"/>
      <w:r w:rsidRPr="000A0A5F">
        <w:t>an</w:t>
      </w:r>
      <w:bookmarkEnd w:id="10289"/>
      <w:r w:rsidRPr="000A0A5F">
        <w:t xml:space="preserve"> event monitoring notification.</w:t>
      </w:r>
    </w:p>
    <w:p w:rsidR="00CB0DD7" w:rsidRPr="000A0A5F" w:rsidRDefault="00CB0DD7">
      <w:pPr>
        <w:pStyle w:val="PL"/>
      </w:pPr>
      <w:r w:rsidRPr="000A0A5F">
        <w:t xml:space="preserve">      type: object</w:t>
      </w:r>
    </w:p>
    <w:p w:rsidR="00CB0DD7" w:rsidRPr="000A0A5F" w:rsidRDefault="00CB0DD7">
      <w:pPr>
        <w:pStyle w:val="PL"/>
      </w:pPr>
      <w:r w:rsidRPr="000A0A5F">
        <w:t xml:space="preserve">      properties:</w:t>
      </w:r>
    </w:p>
    <w:p w:rsidR="00CB0DD7" w:rsidRPr="000A0A5F" w:rsidRDefault="00CB0DD7">
      <w:pPr>
        <w:pStyle w:val="PL"/>
      </w:pPr>
      <w:r w:rsidRPr="000A0A5F">
        <w:t xml:space="preserve">        subscription:</w:t>
      </w:r>
    </w:p>
    <w:p w:rsidR="00CB0DD7" w:rsidRPr="000A0A5F" w:rsidRDefault="00CB0DD7">
      <w:pPr>
        <w:pStyle w:val="PL"/>
      </w:pPr>
      <w:r w:rsidRPr="000A0A5F">
        <w:t xml:space="preserve">          $ref: 'TS29122_CommonData.yaml#/components/schemas/Link'</w:t>
      </w:r>
    </w:p>
    <w:p w:rsidR="00CB0DD7" w:rsidRPr="000A0A5F" w:rsidRDefault="00CB0DD7">
      <w:pPr>
        <w:pStyle w:val="PL"/>
      </w:pPr>
      <w:r w:rsidRPr="000A0A5F">
        <w:t xml:space="preserve">        configResults:</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$ref: 'TS29122_CommonData.yaml#/components/schemas/ConfigResult'</w:t>
      </w:r>
    </w:p>
    <w:p w:rsidR="00CB0DD7" w:rsidRPr="000A0A5F" w:rsidRDefault="00CB0DD7">
      <w:pPr>
        <w:pStyle w:val="PL"/>
      </w:pPr>
      <w:r w:rsidRPr="000A0A5F">
        <w:t xml:space="preserve">          minItems: 1</w:t>
      </w:r>
    </w:p>
    <w:p w:rsidR="00CB0DD7" w:rsidRPr="000A0A5F" w:rsidRDefault="00CB0DD7">
      <w:pPr>
        <w:pStyle w:val="PL"/>
      </w:pPr>
      <w:r w:rsidRPr="000A0A5F">
        <w:t xml:space="preserve">          description: </w:t>
      </w:r>
      <w:r w:rsidRPr="000A0A5F">
        <w:rPr>
          <w:rFonts w:eastAsia="Times New Roman" w:cs="Arial"/>
          <w:szCs w:val="18"/>
        </w:rPr>
        <w:t>Each element i</w:t>
      </w:r>
      <w:r w:rsidRPr="000A0A5F">
        <w:rPr>
          <w:rFonts w:cs="Arial"/>
          <w:szCs w:val="18"/>
          <w:lang w:eastAsia="zh-CN"/>
        </w:rPr>
        <w:t xml:space="preserve">dentifies </w:t>
      </w:r>
      <w:r w:rsidRPr="000A0A5F">
        <w:t>a notification of grouping configuration result</w:t>
      </w:r>
      <w:r w:rsidRPr="000A0A5F">
        <w:rPr>
          <w:lang w:eastAsia="zh-CN"/>
        </w:rPr>
        <w:t>.</w:t>
      </w:r>
    </w:p>
    <w:p w:rsidR="00CB0DD7" w:rsidRPr="000A0A5F" w:rsidRDefault="00CB0DD7">
      <w:pPr>
        <w:pStyle w:val="PL"/>
      </w:pPr>
      <w:r w:rsidRPr="000A0A5F">
        <w:t xml:space="preserve">        monitoringEventReports:</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$ref: '#/components/schemas/MonitoringEventReport'</w:t>
      </w:r>
    </w:p>
    <w:p w:rsidR="00CB0DD7" w:rsidRPr="000A0A5F" w:rsidRDefault="00CB0DD7">
      <w:pPr>
        <w:pStyle w:val="PL"/>
      </w:pPr>
      <w:r w:rsidRPr="000A0A5F">
        <w:t xml:space="preserve">          minItems: 1</w:t>
      </w:r>
    </w:p>
    <w:p w:rsidR="00CB0DD7" w:rsidRPr="000A0A5F" w:rsidRDefault="00CB0DD7">
      <w:pPr>
        <w:pStyle w:val="PL"/>
      </w:pPr>
      <w:r w:rsidRPr="000A0A5F">
        <w:t xml:space="preserve">          description: Monitoring event reports.</w:t>
      </w:r>
    </w:p>
    <w:p w:rsidR="00FE3C4C" w:rsidRPr="000A0A5F" w:rsidRDefault="00FE3C4C" w:rsidP="00FE3C4C">
      <w:pPr>
        <w:pStyle w:val="PL"/>
      </w:pPr>
      <w:r w:rsidRPr="000A0A5F">
        <w:t xml:space="preserve">        addedExternalIds:</w:t>
      </w:r>
    </w:p>
    <w:p w:rsidR="00FE3C4C" w:rsidRPr="000A0A5F" w:rsidRDefault="00FE3C4C" w:rsidP="00FE3C4C">
      <w:pPr>
        <w:pStyle w:val="PL"/>
      </w:pPr>
      <w:r w:rsidRPr="000A0A5F">
        <w:t xml:space="preserve">          type: array</w:t>
      </w:r>
    </w:p>
    <w:p w:rsidR="00FE3C4C" w:rsidRPr="000A0A5F" w:rsidRDefault="00FE3C4C" w:rsidP="00FE3C4C">
      <w:pPr>
        <w:pStyle w:val="PL"/>
      </w:pPr>
      <w:r w:rsidRPr="000A0A5F">
        <w:t xml:space="preserve">          items:</w:t>
      </w:r>
    </w:p>
    <w:p w:rsidR="00FE3C4C" w:rsidRPr="000A0A5F" w:rsidRDefault="00FE3C4C" w:rsidP="00FE3C4C">
      <w:pPr>
        <w:pStyle w:val="PL"/>
      </w:pPr>
      <w:r w:rsidRPr="000A0A5F">
        <w:t xml:space="preserve">            $ref: 'TS29122_CommonData.yaml#/components/schemas/ExternalId'</w:t>
      </w:r>
    </w:p>
    <w:p w:rsidR="00FE3C4C" w:rsidRPr="000A0A5F" w:rsidRDefault="00FE3C4C" w:rsidP="00FE3C4C">
      <w:pPr>
        <w:pStyle w:val="PL"/>
      </w:pPr>
      <w:r w:rsidRPr="000A0A5F">
        <w:t xml:space="preserve">          minItems: 1</w:t>
      </w:r>
    </w:p>
    <w:p w:rsidR="00D1157A" w:rsidRPr="000A0A5F" w:rsidRDefault="00FE3C4C" w:rsidP="00FE3C4C">
      <w:pPr>
        <w:pStyle w:val="PL"/>
      </w:pPr>
      <w:r w:rsidRPr="000A0A5F">
        <w:t xml:space="preserve">          description: </w:t>
      </w:r>
      <w:r w:rsidR="00D1157A" w:rsidRPr="000A0A5F">
        <w:t>&gt;</w:t>
      </w:r>
    </w:p>
    <w:p w:rsidR="00D1157A" w:rsidRPr="000A0A5F" w:rsidRDefault="00D1157A" w:rsidP="00FE3C4C">
      <w:pPr>
        <w:pStyle w:val="PL"/>
      </w:pPr>
      <w:r w:rsidRPr="000A0A5F">
        <w:t xml:space="preserve">            </w:t>
      </w:r>
      <w:r w:rsidR="00FE3C4C" w:rsidRPr="000A0A5F">
        <w:t>Identifies the added external Identifier(s) within the active group via</w:t>
      </w:r>
    </w:p>
    <w:p w:rsidR="00FE3C4C" w:rsidRPr="000A0A5F" w:rsidRDefault="00D1157A" w:rsidP="00FE3C4C">
      <w:pPr>
        <w:pStyle w:val="PL"/>
      </w:pPr>
      <w:r w:rsidRPr="000A0A5F">
        <w:t xml:space="preserve">           </w:t>
      </w:r>
      <w:r w:rsidR="00FE3C4C" w:rsidRPr="000A0A5F">
        <w:t xml:space="preserve"> the "externalGroupId" attribute within the MonitoringEventSubscription data type.</w:t>
      </w:r>
    </w:p>
    <w:p w:rsidR="00FE3C4C" w:rsidRPr="000A0A5F" w:rsidRDefault="00FE3C4C" w:rsidP="00FE3C4C">
      <w:pPr>
        <w:pStyle w:val="PL"/>
      </w:pPr>
      <w:r w:rsidRPr="000A0A5F">
        <w:t xml:space="preserve">        addedMsisdns:</w:t>
      </w:r>
    </w:p>
    <w:p w:rsidR="00FE3C4C" w:rsidRPr="000A0A5F" w:rsidRDefault="00FE3C4C" w:rsidP="00FE3C4C">
      <w:pPr>
        <w:pStyle w:val="PL"/>
      </w:pPr>
      <w:r w:rsidRPr="000A0A5F">
        <w:t xml:space="preserve">          type: array</w:t>
      </w:r>
    </w:p>
    <w:p w:rsidR="00FE3C4C" w:rsidRPr="000A0A5F" w:rsidRDefault="00FE3C4C" w:rsidP="00FE3C4C">
      <w:pPr>
        <w:pStyle w:val="PL"/>
      </w:pPr>
      <w:r w:rsidRPr="000A0A5F">
        <w:t xml:space="preserve">          items:</w:t>
      </w:r>
    </w:p>
    <w:p w:rsidR="00FE3C4C" w:rsidRPr="000A0A5F" w:rsidRDefault="00FE3C4C" w:rsidP="00FE3C4C">
      <w:pPr>
        <w:pStyle w:val="PL"/>
      </w:pPr>
      <w:r w:rsidRPr="000A0A5F">
        <w:t xml:space="preserve">            $ref: 'TS29122_CommonData.yaml#/components/schemas/Msisdn'</w:t>
      </w:r>
    </w:p>
    <w:p w:rsidR="00FE3C4C" w:rsidRPr="000A0A5F" w:rsidRDefault="00FE3C4C" w:rsidP="00FE3C4C">
      <w:pPr>
        <w:pStyle w:val="PL"/>
      </w:pPr>
      <w:r w:rsidRPr="000A0A5F">
        <w:t xml:space="preserve">          minItems: 1</w:t>
      </w:r>
    </w:p>
    <w:p w:rsidR="00D1157A" w:rsidRPr="000A0A5F" w:rsidRDefault="00FE3C4C" w:rsidP="00FE3C4C">
      <w:pPr>
        <w:pStyle w:val="PL"/>
      </w:pPr>
      <w:r w:rsidRPr="000A0A5F">
        <w:t xml:space="preserve">          description: </w:t>
      </w:r>
      <w:r w:rsidR="00D1157A" w:rsidRPr="000A0A5F">
        <w:t>&gt;</w:t>
      </w:r>
    </w:p>
    <w:p w:rsidR="00D1157A" w:rsidRPr="000A0A5F" w:rsidRDefault="00D1157A" w:rsidP="00FE3C4C">
      <w:pPr>
        <w:pStyle w:val="PL"/>
      </w:pPr>
      <w:r w:rsidRPr="000A0A5F">
        <w:t xml:space="preserve">            </w:t>
      </w:r>
      <w:r w:rsidR="00FE3C4C" w:rsidRPr="000A0A5F">
        <w:t>Identifies the added MSISDN(s) within the active group via the "externalGroupId"</w:t>
      </w:r>
    </w:p>
    <w:p w:rsidR="00FE3C4C" w:rsidRPr="000A0A5F" w:rsidRDefault="00D1157A" w:rsidP="00FE3C4C">
      <w:pPr>
        <w:pStyle w:val="PL"/>
      </w:pPr>
      <w:r w:rsidRPr="000A0A5F">
        <w:t xml:space="preserve">           </w:t>
      </w:r>
      <w:r w:rsidR="00FE3C4C" w:rsidRPr="000A0A5F">
        <w:t xml:space="preserve"> attribute within the MonitoringEventSubscription data type.</w:t>
      </w:r>
    </w:p>
    <w:p w:rsidR="00CB0DD7" w:rsidRPr="000A0A5F" w:rsidRDefault="00CB0DD7">
      <w:pPr>
        <w:pStyle w:val="PL"/>
      </w:pPr>
      <w:r w:rsidRPr="000A0A5F">
        <w:t xml:space="preserve">        cancelExternalIds:</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$ref: 'TS29122_CommonData.yaml#/components/schemas/ExternalId'</w:t>
      </w:r>
    </w:p>
    <w:p w:rsidR="00CB0DD7" w:rsidRPr="000A0A5F" w:rsidRDefault="00CB0DD7">
      <w:pPr>
        <w:pStyle w:val="PL"/>
      </w:pPr>
      <w:r w:rsidRPr="000A0A5F">
        <w:t xml:space="preserve">          minItems: 1</w:t>
      </w:r>
    </w:p>
    <w:p w:rsidR="00D1157A" w:rsidRPr="000A0A5F" w:rsidRDefault="00CB0DD7">
      <w:pPr>
        <w:pStyle w:val="PL"/>
      </w:pPr>
      <w:r w:rsidRPr="000A0A5F">
        <w:t xml:space="preserve">          description: </w:t>
      </w:r>
      <w:r w:rsidR="00D1157A" w:rsidRPr="000A0A5F">
        <w:t>&gt;</w:t>
      </w:r>
    </w:p>
    <w:p w:rsidR="00D1157A" w:rsidRPr="000A0A5F" w:rsidRDefault="00D1157A">
      <w:pPr>
        <w:pStyle w:val="PL"/>
      </w:pPr>
      <w:r w:rsidRPr="000A0A5F">
        <w:t xml:space="preserve">            </w:t>
      </w:r>
      <w:r w:rsidR="00CB0DD7" w:rsidRPr="000A0A5F">
        <w:t>Identifies the cancelled external Identifier(s) within the active group via</w:t>
      </w:r>
    </w:p>
    <w:p w:rsidR="00CB0DD7" w:rsidRPr="000A0A5F" w:rsidRDefault="00D1157A">
      <w:pPr>
        <w:pStyle w:val="PL"/>
      </w:pPr>
      <w:r w:rsidRPr="000A0A5F">
        <w:t xml:space="preserve">           </w:t>
      </w:r>
      <w:r w:rsidR="00CB0DD7" w:rsidRPr="000A0A5F">
        <w:t xml:space="preserve"> the "externalGroupId" attribute within the MonitoringEventSubscription data</w:t>
      </w:r>
      <w:r w:rsidR="00FE3C4C" w:rsidRPr="000A0A5F">
        <w:t xml:space="preserve"> type</w:t>
      </w:r>
      <w:r w:rsidR="00CB0DD7" w:rsidRPr="000A0A5F">
        <w:t>.</w:t>
      </w:r>
    </w:p>
    <w:p w:rsidR="00CB0DD7" w:rsidRPr="000A0A5F" w:rsidRDefault="00CB0DD7">
      <w:pPr>
        <w:pStyle w:val="PL"/>
      </w:pPr>
      <w:r w:rsidRPr="000A0A5F">
        <w:t xml:space="preserve">        cancelMsisdns:</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$ref: 'TS29122_CommonData.yaml#/components/schemas/Msisdn'</w:t>
      </w:r>
    </w:p>
    <w:p w:rsidR="00CB0DD7" w:rsidRPr="000A0A5F" w:rsidRDefault="00CB0DD7">
      <w:pPr>
        <w:pStyle w:val="PL"/>
      </w:pPr>
      <w:r w:rsidRPr="000A0A5F">
        <w:t xml:space="preserve">          minItems: 1</w:t>
      </w:r>
    </w:p>
    <w:p w:rsidR="00D1157A" w:rsidRPr="000A0A5F" w:rsidRDefault="00CB0DD7">
      <w:pPr>
        <w:pStyle w:val="PL"/>
      </w:pPr>
      <w:r w:rsidRPr="000A0A5F">
        <w:t xml:space="preserve">          description: </w:t>
      </w:r>
      <w:r w:rsidR="00D1157A" w:rsidRPr="000A0A5F">
        <w:t>&gt;</w:t>
      </w:r>
    </w:p>
    <w:p w:rsidR="00D1157A" w:rsidRPr="000A0A5F" w:rsidRDefault="00D1157A">
      <w:pPr>
        <w:pStyle w:val="PL"/>
      </w:pPr>
      <w:r w:rsidRPr="000A0A5F">
        <w:t xml:space="preserve">          </w:t>
      </w:r>
      <w:r w:rsidR="00231CEA" w:rsidRPr="000A0A5F">
        <w:t xml:space="preserve">  </w:t>
      </w:r>
      <w:r w:rsidR="00CB0DD7" w:rsidRPr="000A0A5F">
        <w:t>Identifies the cancelled MSISDN(s) within the active group via the "externalGroupId"</w:t>
      </w:r>
    </w:p>
    <w:p w:rsidR="00CB0DD7" w:rsidRPr="000A0A5F" w:rsidRDefault="00D1157A">
      <w:pPr>
        <w:pStyle w:val="PL"/>
      </w:pPr>
      <w:r w:rsidRPr="000A0A5F">
        <w:t xml:space="preserve">         </w:t>
      </w:r>
      <w:r w:rsidR="0048643D" w:rsidRPr="000A0A5F">
        <w:t xml:space="preserve">  </w:t>
      </w:r>
      <w:r w:rsidR="00CB0DD7" w:rsidRPr="000A0A5F">
        <w:t xml:space="preserve"> attribute within the MonitoringEventSubscription data</w:t>
      </w:r>
      <w:r w:rsidR="00FE3C4C" w:rsidRPr="000A0A5F">
        <w:t xml:space="preserve"> type</w:t>
      </w:r>
      <w:r w:rsidR="00CB0DD7" w:rsidRPr="000A0A5F">
        <w:t>.</w:t>
      </w:r>
    </w:p>
    <w:p w:rsidR="005B6DFB" w:rsidRPr="000A0A5F" w:rsidRDefault="005B6DFB" w:rsidP="005B6DFB">
      <w:pPr>
        <w:pStyle w:val="PL"/>
      </w:pPr>
      <w:r w:rsidRPr="000A0A5F">
        <w:t xml:space="preserve">        cancelInd:</w:t>
      </w:r>
    </w:p>
    <w:p w:rsidR="005B6DFB" w:rsidRPr="000A0A5F" w:rsidRDefault="005B6DFB" w:rsidP="005B6DFB">
      <w:pPr>
        <w:pStyle w:val="PL"/>
      </w:pPr>
      <w:r w:rsidRPr="000A0A5F">
        <w:t xml:space="preserve">          type: boolean</w:t>
      </w:r>
    </w:p>
    <w:p w:rsidR="005B6DFB" w:rsidRPr="000A0A5F" w:rsidRDefault="005B6DFB" w:rsidP="005B6DFB">
      <w:pPr>
        <w:pStyle w:val="PL"/>
      </w:pPr>
      <w:r w:rsidRPr="000A0A5F">
        <w:t xml:space="preserve">          description: &gt;</w:t>
      </w:r>
    </w:p>
    <w:p w:rsidR="005B6DFB" w:rsidRPr="000A0A5F" w:rsidRDefault="005B6DFB" w:rsidP="005B6DFB">
      <w:pPr>
        <w:pStyle w:val="PL"/>
      </w:pPr>
      <w:r w:rsidRPr="000A0A5F">
        <w:t xml:space="preserve">            Indicates whether to request to cancel the corresponding monitoring subscription.</w:t>
      </w:r>
    </w:p>
    <w:p w:rsidR="005B6DFB" w:rsidRPr="000A0A5F" w:rsidRDefault="005B6DFB" w:rsidP="005B6DFB">
      <w:pPr>
        <w:pStyle w:val="PL"/>
      </w:pPr>
      <w:r w:rsidRPr="000A0A5F">
        <w:t xml:space="preserve">            Set to false or omitted otherwise.</w:t>
      </w:r>
    </w:p>
    <w:p w:rsidR="00CB0DD7" w:rsidRPr="000A0A5F" w:rsidRDefault="00CB0DD7">
      <w:pPr>
        <w:pStyle w:val="PL"/>
      </w:pPr>
      <w:r w:rsidRPr="000A0A5F">
        <w:t xml:space="preserve">        appliedParam:</w:t>
      </w:r>
    </w:p>
    <w:p w:rsidR="00CB0DD7" w:rsidRPr="000A0A5F" w:rsidRDefault="00CB0DD7">
      <w:pPr>
        <w:pStyle w:val="PL"/>
        <w:rPr>
          <w:rFonts w:hint="eastAsia"/>
          <w:lang w:eastAsia="zh-CN"/>
        </w:rPr>
      </w:pPr>
      <w:r w:rsidRPr="000A0A5F">
        <w:t xml:space="preserve">          $ref: '#/components/schemas/AppliedParameterConfiguration'</w:t>
      </w:r>
    </w:p>
    <w:p w:rsidR="00CB0DD7" w:rsidRPr="000A0A5F" w:rsidRDefault="00CB0DD7">
      <w:pPr>
        <w:pStyle w:val="PL"/>
      </w:pPr>
      <w:r w:rsidRPr="000A0A5F">
        <w:t xml:space="preserve">      required:</w:t>
      </w:r>
    </w:p>
    <w:p w:rsidR="00CB0DD7" w:rsidRPr="000A0A5F" w:rsidRDefault="00CB0DD7">
      <w:pPr>
        <w:pStyle w:val="PL"/>
      </w:pPr>
      <w:r w:rsidRPr="000A0A5F">
        <w:t xml:space="preserve">        - subscription</w:t>
      </w:r>
    </w:p>
    <w:p w:rsidR="00D1157A" w:rsidRPr="000A0A5F" w:rsidRDefault="00D1157A">
      <w:pPr>
        <w:pStyle w:val="PL"/>
      </w:pPr>
    </w:p>
    <w:p w:rsidR="00CB0DD7" w:rsidRPr="000A0A5F" w:rsidRDefault="00CB0DD7">
      <w:pPr>
        <w:pStyle w:val="PL"/>
      </w:pPr>
      <w:r w:rsidRPr="000A0A5F">
        <w:t xml:space="preserve">    MonitoringEventReport:</w:t>
      </w:r>
    </w:p>
    <w:p w:rsidR="00CB0DD7" w:rsidRPr="000A0A5F" w:rsidRDefault="00CB0DD7">
      <w:pPr>
        <w:pStyle w:val="PL"/>
      </w:pPr>
      <w:r w:rsidRPr="000A0A5F">
        <w:t xml:space="preserve">      description: Represents an event</w:t>
      </w:r>
      <w:r w:rsidRPr="000A0A5F">
        <w:rPr>
          <w:rFonts w:cs="Arial"/>
          <w:szCs w:val="18"/>
        </w:rPr>
        <w:t xml:space="preserve"> monitoring report.</w:t>
      </w:r>
    </w:p>
    <w:p w:rsidR="00CB0DD7" w:rsidRPr="000A0A5F" w:rsidRDefault="00CB0DD7">
      <w:pPr>
        <w:pStyle w:val="PL"/>
      </w:pPr>
      <w:r w:rsidRPr="000A0A5F">
        <w:t xml:space="preserve">      type: object</w:t>
      </w:r>
    </w:p>
    <w:p w:rsidR="00CB0DD7" w:rsidRPr="000A0A5F" w:rsidRDefault="00CB0DD7">
      <w:pPr>
        <w:pStyle w:val="PL"/>
      </w:pPr>
      <w:r w:rsidRPr="000A0A5F">
        <w:t xml:space="preserve">      properties:</w:t>
      </w:r>
    </w:p>
    <w:p w:rsidR="00CB0DD7" w:rsidRPr="000A0A5F" w:rsidRDefault="00CB0DD7">
      <w:pPr>
        <w:pStyle w:val="PL"/>
      </w:pPr>
      <w:r w:rsidRPr="000A0A5F">
        <w:t xml:space="preserve">        imeiChange:</w:t>
      </w:r>
    </w:p>
    <w:p w:rsidR="00CB0DD7" w:rsidRPr="000A0A5F" w:rsidRDefault="00CB0DD7">
      <w:pPr>
        <w:pStyle w:val="PL"/>
      </w:pPr>
      <w:r w:rsidRPr="000A0A5F">
        <w:t xml:space="preserve">          $ref: '#/components/schemas/AssociationType'</w:t>
      </w:r>
    </w:p>
    <w:p w:rsidR="00CB0DD7" w:rsidRPr="000A0A5F" w:rsidRDefault="00CB0DD7">
      <w:pPr>
        <w:pStyle w:val="PL"/>
      </w:pPr>
      <w:r w:rsidRPr="000A0A5F">
        <w:t xml:space="preserve">        externalId:</w:t>
      </w:r>
    </w:p>
    <w:p w:rsidR="00CB0DD7" w:rsidRPr="000A0A5F" w:rsidRDefault="00CB0DD7">
      <w:pPr>
        <w:pStyle w:val="PL"/>
      </w:pPr>
      <w:r w:rsidRPr="000A0A5F">
        <w:t xml:space="preserve">          $ref: 'TS29122_CommonData.yaml#/components/schemas/ExternalId'</w:t>
      </w:r>
    </w:p>
    <w:p w:rsidR="00CA3915" w:rsidRPr="000A0A5F" w:rsidRDefault="00CA3915" w:rsidP="00CA3915">
      <w:pPr>
        <w:pStyle w:val="PL"/>
      </w:pPr>
      <w:r w:rsidRPr="000A0A5F">
        <w:t xml:space="preserve">        appId:</w:t>
      </w:r>
    </w:p>
    <w:p w:rsidR="00CA3915" w:rsidRPr="000A0A5F" w:rsidRDefault="00CA3915" w:rsidP="00CA3915">
      <w:pPr>
        <w:pStyle w:val="PL"/>
      </w:pPr>
      <w:r w:rsidRPr="000A0A5F">
        <w:t xml:space="preserve">          $ref: 'TS29571_CommonData.yaml#/components/schemas/</w:t>
      </w:r>
      <w:r w:rsidR="00A52DA9" w:rsidRPr="000A0A5F">
        <w:t>A</w:t>
      </w:r>
      <w:r w:rsidRPr="000A0A5F">
        <w:t>pplicationId'</w:t>
      </w:r>
    </w:p>
    <w:p w:rsidR="00AB426E" w:rsidRPr="000A0A5F" w:rsidRDefault="00AB426E" w:rsidP="00AB426E">
      <w:pPr>
        <w:pStyle w:val="PL"/>
      </w:pPr>
      <w:r w:rsidRPr="000A0A5F">
        <w:t xml:space="preserve">        pduSessInfo:</w:t>
      </w:r>
    </w:p>
    <w:p w:rsidR="00CA3915" w:rsidRPr="000A0A5F" w:rsidRDefault="00CA3915" w:rsidP="00CA3915">
      <w:pPr>
        <w:pStyle w:val="PL"/>
      </w:pPr>
      <w:r w:rsidRPr="000A0A5F">
        <w:t xml:space="preserve">          $ref: 'TS29523_Npcf_EventExposure</w:t>
      </w:r>
      <w:r w:rsidR="007C6E94" w:rsidRPr="000A0A5F">
        <w:t>.yaml</w:t>
      </w:r>
      <w:r w:rsidRPr="000A0A5F">
        <w:t>#/components/schemas/PduSessionInformation'</w:t>
      </w:r>
    </w:p>
    <w:p w:rsidR="00CB0DD7" w:rsidRPr="000A0A5F" w:rsidRDefault="00CB0DD7">
      <w:pPr>
        <w:pStyle w:val="PL"/>
      </w:pPr>
      <w:r w:rsidRPr="000A0A5F">
        <w:t xml:space="preserve">        idleStatusInfo:</w:t>
      </w:r>
    </w:p>
    <w:p w:rsidR="00CB0DD7" w:rsidRPr="000A0A5F" w:rsidRDefault="00CB0DD7">
      <w:pPr>
        <w:pStyle w:val="PL"/>
      </w:pPr>
      <w:r w:rsidRPr="000A0A5F">
        <w:t xml:space="preserve">          $ref: '#/components/schemas/IdleStatusInfo'</w:t>
      </w:r>
    </w:p>
    <w:p w:rsidR="00CB0DD7" w:rsidRPr="000A0A5F" w:rsidRDefault="00CB0DD7">
      <w:pPr>
        <w:pStyle w:val="PL"/>
      </w:pPr>
      <w:r w:rsidRPr="000A0A5F">
        <w:t xml:space="preserve">        locationInfo:</w:t>
      </w:r>
    </w:p>
    <w:p w:rsidR="00CB0DD7" w:rsidRPr="000A0A5F" w:rsidRDefault="00CB0DD7">
      <w:pPr>
        <w:pStyle w:val="PL"/>
      </w:pPr>
      <w:r w:rsidRPr="000A0A5F">
        <w:t xml:space="preserve">          $ref: '#/components/schemas/LocationInfo'</w:t>
      </w:r>
    </w:p>
    <w:p w:rsidR="00CB0DD7" w:rsidRPr="000A0A5F" w:rsidRDefault="00CB0DD7">
      <w:pPr>
        <w:pStyle w:val="PL"/>
      </w:pPr>
      <w:r w:rsidRPr="000A0A5F">
        <w:t xml:space="preserve">        locFailureCause:</w:t>
      </w:r>
    </w:p>
    <w:p w:rsidR="00CB0DD7" w:rsidRPr="000A0A5F" w:rsidRDefault="00CB0DD7">
      <w:pPr>
        <w:pStyle w:val="PL"/>
      </w:pPr>
      <w:r w:rsidRPr="000A0A5F">
        <w:t xml:space="preserve">          $ref: '#/components/schemas/LocationFailureCause'</w:t>
      </w:r>
    </w:p>
    <w:p w:rsidR="00CB0DD7" w:rsidRPr="000A0A5F" w:rsidRDefault="00CB0DD7">
      <w:pPr>
        <w:pStyle w:val="PL"/>
      </w:pPr>
      <w:r w:rsidRPr="000A0A5F">
        <w:t xml:space="preserve">        lossOfConnectReason:</w:t>
      </w:r>
    </w:p>
    <w:p w:rsidR="00CB0DD7" w:rsidRPr="000A0A5F" w:rsidRDefault="00CB0DD7">
      <w:pPr>
        <w:pStyle w:val="PL"/>
      </w:pPr>
      <w:r w:rsidRPr="000A0A5F">
        <w:t xml:space="preserve">          type: integer</w:t>
      </w:r>
    </w:p>
    <w:p w:rsidR="00D1157A" w:rsidRPr="000A0A5F" w:rsidRDefault="00CB0DD7">
      <w:pPr>
        <w:pStyle w:val="PL"/>
      </w:pPr>
      <w:r w:rsidRPr="000A0A5F">
        <w:t xml:space="preserve">          description: </w:t>
      </w:r>
      <w:r w:rsidR="00D1157A" w:rsidRPr="000A0A5F">
        <w:t>&gt;</w:t>
      </w:r>
    </w:p>
    <w:p w:rsidR="00D1157A" w:rsidRPr="000A0A5F" w:rsidRDefault="00D1157A">
      <w:pPr>
        <w:pStyle w:val="PL"/>
      </w:pPr>
      <w:r w:rsidRPr="000A0A5F">
        <w:t xml:space="preserve">            </w:t>
      </w:r>
      <w:r w:rsidR="00CB0DD7" w:rsidRPr="000A0A5F">
        <w:t>If "monitoringType" is "LOSS_OF_CONNECTIVITY", this parameter shall be included</w:t>
      </w:r>
    </w:p>
    <w:p w:rsidR="00D1157A" w:rsidRPr="000A0A5F" w:rsidRDefault="00D1157A">
      <w:pPr>
        <w:pStyle w:val="PL"/>
      </w:pPr>
      <w:r w:rsidRPr="000A0A5F">
        <w:t xml:space="preserve">           </w:t>
      </w:r>
      <w:r w:rsidR="00CB0DD7" w:rsidRPr="000A0A5F">
        <w:t xml:space="preserve"> if available to identify the reason why loss of connectivity is reported.</w:t>
      </w:r>
    </w:p>
    <w:p w:rsidR="00CB0DD7" w:rsidRPr="000A0A5F" w:rsidRDefault="00D1157A">
      <w:pPr>
        <w:pStyle w:val="PL"/>
      </w:pPr>
      <w:r w:rsidRPr="000A0A5F">
        <w:t xml:space="preserve">           </w:t>
      </w:r>
      <w:r w:rsidR="00CB0DD7" w:rsidRPr="000A0A5F">
        <w:t xml:space="preserve"> Refer to 3GPP TS 29.336 clause 8.4.58.</w:t>
      </w:r>
    </w:p>
    <w:p w:rsidR="005F4987" w:rsidRPr="000A0A5F" w:rsidRDefault="005F4987" w:rsidP="005F4987">
      <w:pPr>
        <w:pStyle w:val="PL"/>
      </w:pPr>
      <w:r w:rsidRPr="000A0A5F">
        <w:t xml:space="preserve">        unavailPerDur:</w:t>
      </w:r>
    </w:p>
    <w:p w:rsidR="005F4987" w:rsidRPr="000A0A5F" w:rsidRDefault="005F4987" w:rsidP="005F4987">
      <w:pPr>
        <w:pStyle w:val="PL"/>
      </w:pPr>
      <w:r w:rsidRPr="000A0A5F">
        <w:t xml:space="preserve">          $ref: 'TS29122_CommonData.yaml#/components/schemas/DurationSec'</w:t>
      </w:r>
    </w:p>
    <w:p w:rsidR="00CB0DD7" w:rsidRPr="000A0A5F" w:rsidRDefault="00CB0DD7">
      <w:pPr>
        <w:pStyle w:val="PL"/>
      </w:pPr>
      <w:r w:rsidRPr="000A0A5F">
        <w:t xml:space="preserve">        maxUEAvailabilityTime:</w:t>
      </w:r>
    </w:p>
    <w:p w:rsidR="00CB0DD7" w:rsidRPr="000A0A5F" w:rsidRDefault="00CB0DD7">
      <w:pPr>
        <w:pStyle w:val="PL"/>
      </w:pPr>
      <w:r w:rsidRPr="000A0A5F">
        <w:t xml:space="preserve">          $ref: 'TS29122_CommonData.yaml#/components/schemas/DateTime'</w:t>
      </w:r>
    </w:p>
    <w:p w:rsidR="00CB0DD7" w:rsidRPr="000A0A5F" w:rsidRDefault="00CB0DD7">
      <w:pPr>
        <w:pStyle w:val="PL"/>
      </w:pPr>
      <w:r w:rsidRPr="000A0A5F">
        <w:t xml:space="preserve">        msisdn:</w:t>
      </w:r>
    </w:p>
    <w:p w:rsidR="00CB0DD7" w:rsidRPr="000A0A5F" w:rsidRDefault="00CB0DD7">
      <w:pPr>
        <w:pStyle w:val="PL"/>
      </w:pPr>
      <w:r w:rsidRPr="000A0A5F">
        <w:t xml:space="preserve">          $ref: 'TS29122_CommonData.yaml#/components/schemas/Msisdn'</w:t>
      </w:r>
    </w:p>
    <w:p w:rsidR="00CB0DD7" w:rsidRPr="000A0A5F" w:rsidRDefault="00CB0DD7">
      <w:pPr>
        <w:pStyle w:val="PL"/>
      </w:pPr>
      <w:r w:rsidRPr="000A0A5F">
        <w:t xml:space="preserve">        monitoringType:</w:t>
      </w:r>
    </w:p>
    <w:p w:rsidR="00CB0DD7" w:rsidRPr="000A0A5F" w:rsidRDefault="00CB0DD7">
      <w:pPr>
        <w:pStyle w:val="PL"/>
      </w:pPr>
      <w:r w:rsidRPr="000A0A5F">
        <w:t xml:space="preserve">          $ref: '#/components/schemas/MonitoringType'</w:t>
      </w:r>
    </w:p>
    <w:p w:rsidR="00CB0DD7" w:rsidRPr="000A0A5F" w:rsidRDefault="00CB0DD7">
      <w:pPr>
        <w:pStyle w:val="PL"/>
      </w:pPr>
      <w:r w:rsidRPr="000A0A5F">
        <w:t xml:space="preserve">        uePerLocationReport:</w:t>
      </w:r>
    </w:p>
    <w:p w:rsidR="00CB0DD7" w:rsidRPr="000A0A5F" w:rsidRDefault="00CB0DD7">
      <w:pPr>
        <w:pStyle w:val="PL"/>
      </w:pPr>
      <w:r w:rsidRPr="000A0A5F">
        <w:t xml:space="preserve">          $ref: '#/components/schemas/UePerLocationReport'</w:t>
      </w:r>
    </w:p>
    <w:p w:rsidR="00CB0DD7" w:rsidRPr="000A0A5F" w:rsidRDefault="00CB0DD7">
      <w:pPr>
        <w:pStyle w:val="PL"/>
      </w:pPr>
      <w:r w:rsidRPr="000A0A5F">
        <w:t xml:space="preserve">        plmnId:</w:t>
      </w:r>
    </w:p>
    <w:p w:rsidR="00CB0DD7" w:rsidRPr="000A0A5F" w:rsidRDefault="00CB0DD7">
      <w:pPr>
        <w:pStyle w:val="PL"/>
      </w:pPr>
      <w:r w:rsidRPr="000A0A5F">
        <w:t xml:space="preserve">          $ref: 'TS29122_CommonData.yaml#/components/schemas/PlmnId'</w:t>
      </w:r>
    </w:p>
    <w:p w:rsidR="00CB0DD7" w:rsidRPr="000A0A5F" w:rsidRDefault="00CB0DD7">
      <w:pPr>
        <w:pStyle w:val="PL"/>
      </w:pPr>
      <w:r w:rsidRPr="000A0A5F">
        <w:t xml:space="preserve">        reachabilityType:</w:t>
      </w:r>
    </w:p>
    <w:p w:rsidR="00CB0DD7" w:rsidRPr="000A0A5F" w:rsidRDefault="00CB0DD7">
      <w:pPr>
        <w:pStyle w:val="PL"/>
      </w:pPr>
      <w:r w:rsidRPr="000A0A5F">
        <w:t xml:space="preserve">          $ref: '#/components/schemas/ReachabilityType'</w:t>
      </w:r>
    </w:p>
    <w:p w:rsidR="00F9278D" w:rsidRPr="000A0A5F" w:rsidRDefault="00F9278D" w:rsidP="00F9278D">
      <w:pPr>
        <w:pStyle w:val="PL"/>
      </w:pPr>
      <w:r w:rsidRPr="000A0A5F">
        <w:t xml:space="preserve">        roamingStatus:</w:t>
      </w:r>
    </w:p>
    <w:p w:rsidR="00F9278D" w:rsidRPr="000A0A5F" w:rsidRDefault="00F9278D" w:rsidP="00F9278D">
      <w:pPr>
        <w:pStyle w:val="PL"/>
      </w:pPr>
      <w:r w:rsidRPr="000A0A5F">
        <w:t xml:space="preserve">          type: boolean</w:t>
      </w:r>
    </w:p>
    <w:p w:rsidR="00F9278D" w:rsidRPr="000A0A5F" w:rsidRDefault="00F9278D" w:rsidP="00F9278D">
      <w:pPr>
        <w:pStyle w:val="PL"/>
      </w:pPr>
      <w:r w:rsidRPr="000A0A5F">
        <w:t xml:space="preserve">          description: &gt;</w:t>
      </w:r>
    </w:p>
    <w:p w:rsidR="00F9278D" w:rsidRPr="000A0A5F" w:rsidRDefault="00F9278D" w:rsidP="00F9278D">
      <w:pPr>
        <w:pStyle w:val="PL"/>
        <w:rPr>
          <w:rFonts w:cs="Arial"/>
          <w:szCs w:val="18"/>
          <w:lang w:eastAsia="zh-CN"/>
        </w:rPr>
      </w:pPr>
      <w:r w:rsidRPr="000A0A5F">
        <w:rPr>
          <w:rFonts w:cs="Arial"/>
          <w:szCs w:val="18"/>
          <w:lang w:eastAsia="zh-CN"/>
        </w:rPr>
        <w:t xml:space="preserve">            If "monitoringType" is "ROAMING_STATUS", this parameter shall be set to "true"</w:t>
      </w:r>
    </w:p>
    <w:p w:rsidR="00F9278D" w:rsidRPr="000A0A5F" w:rsidRDefault="00F9278D" w:rsidP="00F9278D">
      <w:pPr>
        <w:pStyle w:val="PL"/>
        <w:rPr>
          <w:lang w:eastAsia="zh-CN"/>
        </w:rPr>
      </w:pPr>
      <w:r w:rsidRPr="000A0A5F">
        <w:rPr>
          <w:rFonts w:cs="Arial"/>
          <w:szCs w:val="18"/>
          <w:lang w:eastAsia="zh-CN"/>
        </w:rPr>
        <w:t xml:space="preserve">            if the </w:t>
      </w:r>
      <w:r w:rsidRPr="000A0A5F">
        <w:rPr>
          <w:rFonts w:cs="Arial" w:hint="eastAsia"/>
          <w:szCs w:val="18"/>
          <w:lang w:eastAsia="zh-CN"/>
        </w:rPr>
        <w:t>new</w:t>
      </w:r>
      <w:r w:rsidRPr="000A0A5F">
        <w:rPr>
          <w:rFonts w:cs="Arial"/>
          <w:szCs w:val="18"/>
          <w:lang w:eastAsia="zh-CN"/>
        </w:rPr>
        <w:t xml:space="preserve"> serving PLMN is different from the HPLMN. </w:t>
      </w:r>
      <w:r w:rsidRPr="000A0A5F">
        <w:rPr>
          <w:lang w:eastAsia="zh-CN"/>
        </w:rPr>
        <w:t>Set to false or</w:t>
      </w:r>
    </w:p>
    <w:p w:rsidR="00F9278D" w:rsidRPr="000A0A5F" w:rsidRDefault="00F9278D" w:rsidP="00F9278D">
      <w:pPr>
        <w:pStyle w:val="PL"/>
      </w:pPr>
      <w:r w:rsidRPr="000A0A5F">
        <w:rPr>
          <w:rFonts w:cs="Arial"/>
          <w:szCs w:val="18"/>
          <w:lang w:eastAsia="zh-CN"/>
        </w:rPr>
        <w:t xml:space="preserve">           </w:t>
      </w:r>
      <w:r w:rsidRPr="000A0A5F">
        <w:rPr>
          <w:lang w:eastAsia="zh-CN"/>
        </w:rPr>
        <w:t xml:space="preserve"> omitted otherwise.</w:t>
      </w:r>
    </w:p>
    <w:p w:rsidR="00F9278D" w:rsidRPr="000A0A5F" w:rsidRDefault="00F9278D" w:rsidP="00F9278D">
      <w:pPr>
        <w:pStyle w:val="PL"/>
      </w:pPr>
      <w:r w:rsidRPr="000A0A5F">
        <w:t xml:space="preserve">        failureCause:</w:t>
      </w:r>
    </w:p>
    <w:p w:rsidR="00CB0DD7" w:rsidRPr="000A0A5F" w:rsidRDefault="00CB0DD7">
      <w:pPr>
        <w:pStyle w:val="PL"/>
      </w:pPr>
      <w:r w:rsidRPr="000A0A5F">
        <w:t xml:space="preserve">          $ref: '#/components/schemas/FailureCause'</w:t>
      </w:r>
    </w:p>
    <w:p w:rsidR="00CB0DD7" w:rsidRPr="000A0A5F" w:rsidRDefault="00CB0DD7">
      <w:pPr>
        <w:pStyle w:val="PL"/>
      </w:pPr>
      <w:r w:rsidRPr="000A0A5F">
        <w:t xml:space="preserve">        eventTime:</w:t>
      </w:r>
    </w:p>
    <w:p w:rsidR="00CB0DD7" w:rsidRPr="000A0A5F" w:rsidRDefault="00CB0DD7">
      <w:pPr>
        <w:pStyle w:val="PL"/>
      </w:pPr>
      <w:r w:rsidRPr="000A0A5F">
        <w:t xml:space="preserve">          $ref: 'TS29122_CommonData.yaml#/components/schemas/DateTime'</w:t>
      </w:r>
    </w:p>
    <w:p w:rsidR="00CB0DD7" w:rsidRPr="000A0A5F" w:rsidRDefault="00CB0DD7">
      <w:pPr>
        <w:pStyle w:val="PL"/>
      </w:pPr>
      <w:r w:rsidRPr="000A0A5F">
        <w:t xml:space="preserve">        pdnConnInfoList:</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$ref: '#/components/schemas/PdnConnectionInformation'</w:t>
      </w:r>
    </w:p>
    <w:p w:rsidR="00CB0DD7" w:rsidRPr="000A0A5F" w:rsidRDefault="00CB0DD7">
      <w:pPr>
        <w:pStyle w:val="PL"/>
      </w:pPr>
      <w:r w:rsidRPr="000A0A5F">
        <w:t xml:space="preserve">          minItems: 1</w:t>
      </w:r>
    </w:p>
    <w:p w:rsidR="00CB0DD7" w:rsidRPr="000A0A5F" w:rsidRDefault="00CB0DD7">
      <w:pPr>
        <w:pStyle w:val="PL"/>
      </w:pPr>
      <w:r w:rsidRPr="000A0A5F">
        <w:t xml:space="preserve">        </w:t>
      </w:r>
      <w:r w:rsidRPr="000A0A5F">
        <w:rPr>
          <w:lang w:eastAsia="zh-CN"/>
        </w:rPr>
        <w:t>dddStatus</w:t>
      </w:r>
      <w:r w:rsidRPr="000A0A5F">
        <w:t>:</w:t>
      </w:r>
    </w:p>
    <w:p w:rsidR="00CB0DD7" w:rsidRPr="000A0A5F" w:rsidRDefault="00CB0DD7">
      <w:pPr>
        <w:pStyle w:val="PL"/>
      </w:pPr>
      <w:r w:rsidRPr="000A0A5F">
        <w:t xml:space="preserve">          $ref: 'TS29571_CommonData.yaml#/components/schemas/DlDataDeliveryStatus'</w:t>
      </w:r>
    </w:p>
    <w:p w:rsidR="00CB0DD7" w:rsidRPr="000A0A5F" w:rsidRDefault="00CB0DD7">
      <w:pPr>
        <w:pStyle w:val="PL"/>
      </w:pPr>
      <w:r w:rsidRPr="000A0A5F">
        <w:t xml:space="preserve">        </w:t>
      </w:r>
      <w:r w:rsidRPr="000A0A5F">
        <w:rPr>
          <w:rFonts w:hint="eastAsia"/>
          <w:lang w:eastAsia="zh-CN"/>
        </w:rPr>
        <w:t>d</w:t>
      </w:r>
      <w:r w:rsidRPr="000A0A5F">
        <w:rPr>
          <w:lang w:eastAsia="zh-CN"/>
        </w:rPr>
        <w:t>ddTrafDescriptor</w:t>
      </w:r>
      <w:r w:rsidRPr="000A0A5F">
        <w:t>:</w:t>
      </w:r>
    </w:p>
    <w:p w:rsidR="00CB0DD7" w:rsidRPr="000A0A5F" w:rsidRDefault="00CB0DD7">
      <w:pPr>
        <w:pStyle w:val="PL"/>
      </w:pPr>
      <w:r w:rsidRPr="000A0A5F">
        <w:t xml:space="preserve">          $ref: 'TS29571_CommonData.yaml#/components/schemas/DddTrafficDescriptor'</w:t>
      </w:r>
    </w:p>
    <w:p w:rsidR="00CB0DD7" w:rsidRPr="000A0A5F" w:rsidRDefault="00CB0DD7">
      <w:pPr>
        <w:pStyle w:val="PL"/>
      </w:pPr>
      <w:r w:rsidRPr="000A0A5F">
        <w:t xml:space="preserve">        </w:t>
      </w:r>
      <w:r w:rsidRPr="000A0A5F">
        <w:rPr>
          <w:lang w:eastAsia="zh-CN"/>
        </w:rPr>
        <w:t>maxWaitTime</w:t>
      </w:r>
      <w:r w:rsidRPr="000A0A5F">
        <w:t>:</w:t>
      </w:r>
    </w:p>
    <w:p w:rsidR="00CB0DD7" w:rsidRPr="000A0A5F" w:rsidRDefault="00CB0DD7">
      <w:pPr>
        <w:pStyle w:val="PL"/>
      </w:pPr>
      <w:r w:rsidRPr="000A0A5F">
        <w:t xml:space="preserve">          $ref: 'TS29122_CommonData.yaml#/components/schemas/DateTime'</w:t>
      </w:r>
    </w:p>
    <w:p w:rsidR="00CB0DD7" w:rsidRPr="000A0A5F" w:rsidRDefault="00CB0DD7">
      <w:pPr>
        <w:pStyle w:val="PL"/>
      </w:pPr>
      <w:r w:rsidRPr="000A0A5F">
        <w:t xml:space="preserve">        apiCaps:</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$ref: '#/components/schemas/ApiCapabilityInfo'</w:t>
      </w:r>
    </w:p>
    <w:p w:rsidR="00CB0DD7" w:rsidRPr="000A0A5F" w:rsidRDefault="00CB0DD7">
      <w:pPr>
        <w:pStyle w:val="PL"/>
      </w:pPr>
      <w:r w:rsidRPr="000A0A5F">
        <w:t xml:space="preserve">          minItems: 0</w:t>
      </w:r>
    </w:p>
    <w:p w:rsidR="00CB0DD7" w:rsidRPr="000A0A5F" w:rsidRDefault="00CB0DD7">
      <w:pPr>
        <w:pStyle w:val="PL"/>
      </w:pPr>
      <w:r w:rsidRPr="000A0A5F">
        <w:t xml:space="preserve">        </w:t>
      </w:r>
      <w:r w:rsidRPr="000A0A5F">
        <w:rPr>
          <w:lang w:eastAsia="zh-CN"/>
        </w:rPr>
        <w:t>nSStatusInfo</w:t>
      </w:r>
      <w:r w:rsidRPr="000A0A5F">
        <w:t>:</w:t>
      </w:r>
    </w:p>
    <w:p w:rsidR="00CB0DD7" w:rsidRPr="000A0A5F" w:rsidRDefault="00CB0DD7">
      <w:pPr>
        <w:pStyle w:val="PL"/>
      </w:pPr>
      <w:r w:rsidRPr="000A0A5F">
        <w:t xml:space="preserve">            $ref: 'TS29571_CommonData.yaml#/components/schemas/SACEvent</w:t>
      </w:r>
      <w:r w:rsidRPr="000A0A5F">
        <w:rPr>
          <w:lang w:eastAsia="zh-CN"/>
        </w:rPr>
        <w:t>Status</w:t>
      </w:r>
      <w:r w:rsidRPr="000A0A5F">
        <w:t>'</w:t>
      </w:r>
    </w:p>
    <w:p w:rsidR="00452B94" w:rsidRPr="000A0A5F" w:rsidRDefault="00452B94" w:rsidP="00452B94">
      <w:pPr>
        <w:pStyle w:val="PL"/>
      </w:pPr>
      <w:r w:rsidRPr="000A0A5F">
        <w:t xml:space="preserve">        afServiceId:</w:t>
      </w:r>
    </w:p>
    <w:p w:rsidR="00452B94" w:rsidRPr="000A0A5F" w:rsidRDefault="00452B94" w:rsidP="00452B94">
      <w:pPr>
        <w:pStyle w:val="PL"/>
      </w:pPr>
      <w:r w:rsidRPr="000A0A5F">
        <w:t xml:space="preserve">          type: string</w:t>
      </w:r>
    </w:p>
    <w:p w:rsidR="003C3461" w:rsidRPr="000A0A5F" w:rsidRDefault="003C3461" w:rsidP="003C3461">
      <w:pPr>
        <w:pStyle w:val="PL"/>
      </w:pPr>
      <w:r w:rsidRPr="000A0A5F">
        <w:t xml:space="preserve">        </w:t>
      </w:r>
      <w:r w:rsidRPr="000A0A5F">
        <w:rPr>
          <w:lang w:eastAsia="zh-CN"/>
        </w:rPr>
        <w:t>servLevelDevId</w:t>
      </w:r>
      <w:r w:rsidRPr="000A0A5F">
        <w:t>:</w:t>
      </w:r>
    </w:p>
    <w:p w:rsidR="003C3461" w:rsidRPr="000A0A5F" w:rsidRDefault="003C3461" w:rsidP="003C3461">
      <w:pPr>
        <w:pStyle w:val="PL"/>
      </w:pPr>
      <w:r w:rsidRPr="000A0A5F">
        <w:t xml:space="preserve">          type: string</w:t>
      </w:r>
    </w:p>
    <w:p w:rsidR="00D1157A" w:rsidRPr="000A0A5F" w:rsidRDefault="003C3461" w:rsidP="003C3461">
      <w:pPr>
        <w:pStyle w:val="PL"/>
      </w:pPr>
      <w:r w:rsidRPr="000A0A5F">
        <w:t xml:space="preserve">          description: </w:t>
      </w:r>
      <w:r w:rsidR="00D1157A" w:rsidRPr="000A0A5F">
        <w:t>&gt;</w:t>
      </w:r>
    </w:p>
    <w:p w:rsidR="00D1157A" w:rsidRPr="000A0A5F" w:rsidRDefault="00D1157A" w:rsidP="003C3461">
      <w:pPr>
        <w:pStyle w:val="PL"/>
      </w:pPr>
      <w:r w:rsidRPr="000A0A5F">
        <w:rPr>
          <w:rFonts w:cs="Arial"/>
          <w:szCs w:val="18"/>
          <w:lang w:eastAsia="zh-CN"/>
        </w:rPr>
        <w:t xml:space="preserve">            </w:t>
      </w:r>
      <w:r w:rsidR="003C3461" w:rsidRPr="000A0A5F">
        <w:rPr>
          <w:rFonts w:cs="Arial"/>
          <w:szCs w:val="18"/>
          <w:lang w:eastAsia="zh-CN"/>
        </w:rPr>
        <w:t>If "monitoringType" is "</w:t>
      </w:r>
      <w:r w:rsidR="003C3461" w:rsidRPr="000A0A5F">
        <w:rPr>
          <w:rFonts w:hint="eastAsia"/>
          <w:lang w:eastAsia="zh-CN"/>
        </w:rPr>
        <w:t>A</w:t>
      </w:r>
      <w:r w:rsidR="003C3461" w:rsidRPr="000A0A5F">
        <w:rPr>
          <w:lang w:eastAsia="zh-CN"/>
        </w:rPr>
        <w:t>REA_OF_INTEREST</w:t>
      </w:r>
      <w:r w:rsidR="003C3461" w:rsidRPr="000A0A5F">
        <w:t xml:space="preserve">", this parameter </w:t>
      </w:r>
      <w:r w:rsidR="003C3461" w:rsidRPr="000A0A5F">
        <w:rPr>
          <w:rFonts w:hint="eastAsia"/>
          <w:lang w:eastAsia="zh-CN"/>
        </w:rPr>
        <w:t>may</w:t>
      </w:r>
      <w:r w:rsidR="003C3461" w:rsidRPr="000A0A5F">
        <w:t xml:space="preserve"> be included</w:t>
      </w:r>
    </w:p>
    <w:p w:rsidR="003C3461" w:rsidRPr="000A0A5F" w:rsidRDefault="00D1157A" w:rsidP="003C3461">
      <w:pPr>
        <w:pStyle w:val="PL"/>
      </w:pPr>
      <w:r w:rsidRPr="000A0A5F">
        <w:t xml:space="preserve">           </w:t>
      </w:r>
      <w:r w:rsidR="003C3461" w:rsidRPr="000A0A5F">
        <w:t xml:space="preserve"> to</w:t>
      </w:r>
      <w:r w:rsidR="003C3461" w:rsidRPr="000A0A5F">
        <w:rPr>
          <w:rFonts w:cs="Arial"/>
          <w:szCs w:val="18"/>
          <w:lang w:eastAsia="zh-CN"/>
        </w:rPr>
        <w:t xml:space="preserve"> identify the UAV.</w:t>
      </w:r>
    </w:p>
    <w:p w:rsidR="003C3461" w:rsidRPr="000A0A5F" w:rsidRDefault="003C3461" w:rsidP="003C3461">
      <w:pPr>
        <w:pStyle w:val="PL"/>
      </w:pPr>
      <w:r w:rsidRPr="000A0A5F">
        <w:t xml:space="preserve">        uavPresInd:</w:t>
      </w:r>
    </w:p>
    <w:p w:rsidR="003C3461" w:rsidRPr="000A0A5F" w:rsidRDefault="003C3461" w:rsidP="003C3461">
      <w:pPr>
        <w:pStyle w:val="PL"/>
      </w:pPr>
      <w:r w:rsidRPr="000A0A5F">
        <w:t xml:space="preserve">          type: boolean</w:t>
      </w:r>
    </w:p>
    <w:p w:rsidR="00D1157A" w:rsidRPr="000A0A5F" w:rsidRDefault="003C3461" w:rsidP="003C3461">
      <w:pPr>
        <w:pStyle w:val="PL"/>
      </w:pPr>
      <w:r w:rsidRPr="000A0A5F">
        <w:t xml:space="preserve">          description: </w:t>
      </w:r>
      <w:r w:rsidR="00D1157A" w:rsidRPr="000A0A5F">
        <w:t>&gt;</w:t>
      </w:r>
    </w:p>
    <w:p w:rsidR="00D1157A" w:rsidRPr="000A0A5F" w:rsidRDefault="00D1157A" w:rsidP="003C3461">
      <w:pPr>
        <w:pStyle w:val="PL"/>
        <w:rPr>
          <w:lang w:eastAsia="zh-CN"/>
        </w:rPr>
      </w:pPr>
      <w:r w:rsidRPr="000A0A5F">
        <w:rPr>
          <w:rFonts w:cs="Arial"/>
          <w:szCs w:val="18"/>
          <w:lang w:eastAsia="zh-CN"/>
        </w:rPr>
        <w:t xml:space="preserve">            </w:t>
      </w:r>
      <w:r w:rsidR="003C3461" w:rsidRPr="000A0A5F">
        <w:rPr>
          <w:rFonts w:cs="Arial"/>
          <w:szCs w:val="18"/>
          <w:lang w:eastAsia="zh-CN"/>
        </w:rPr>
        <w:t>If "monitoringType" is "</w:t>
      </w:r>
      <w:r w:rsidR="003C3461" w:rsidRPr="000A0A5F">
        <w:rPr>
          <w:rFonts w:hint="eastAsia"/>
          <w:lang w:eastAsia="zh-CN"/>
        </w:rPr>
        <w:t>A</w:t>
      </w:r>
      <w:r w:rsidR="003C3461" w:rsidRPr="000A0A5F">
        <w:rPr>
          <w:lang w:eastAsia="zh-CN"/>
        </w:rPr>
        <w:t>REA_OF_INTEREST</w:t>
      </w:r>
      <w:r w:rsidR="003C3461" w:rsidRPr="000A0A5F">
        <w:t>", this parameter shall be</w:t>
      </w:r>
      <w:r w:rsidR="003C3461" w:rsidRPr="000A0A5F">
        <w:rPr>
          <w:lang w:eastAsia="zh-CN"/>
        </w:rPr>
        <w:t xml:space="preserve"> set to true</w:t>
      </w:r>
    </w:p>
    <w:p w:rsidR="003C3461" w:rsidRPr="000A0A5F" w:rsidRDefault="00D1157A" w:rsidP="003C3461">
      <w:pPr>
        <w:pStyle w:val="PL"/>
      </w:pPr>
      <w:r w:rsidRPr="000A0A5F">
        <w:rPr>
          <w:lang w:eastAsia="zh-CN"/>
        </w:rPr>
        <w:t xml:space="preserve">           </w:t>
      </w:r>
      <w:r w:rsidR="003C3461" w:rsidRPr="000A0A5F">
        <w:rPr>
          <w:lang w:eastAsia="zh-CN"/>
        </w:rPr>
        <w:t xml:space="preserve"> if the specified UAV is in the </w:t>
      </w:r>
      <w:r w:rsidR="003C3461" w:rsidRPr="000A0A5F">
        <w:t>monitoring area</w:t>
      </w:r>
      <w:r w:rsidR="003C3461" w:rsidRPr="000A0A5F">
        <w:rPr>
          <w:rFonts w:hint="eastAsia"/>
          <w:lang w:eastAsia="zh-CN"/>
        </w:rPr>
        <w:t>.</w:t>
      </w:r>
      <w:r w:rsidR="003C3461" w:rsidRPr="000A0A5F">
        <w:rPr>
          <w:lang w:eastAsia="zh-CN"/>
        </w:rPr>
        <w:t xml:space="preserve"> Set to false or omitted otherwise.</w:t>
      </w:r>
    </w:p>
    <w:p w:rsidR="000B5340" w:rsidRPr="000A0A5F" w:rsidRDefault="000B5340" w:rsidP="000B5340">
      <w:pPr>
        <w:pStyle w:val="PL"/>
      </w:pPr>
      <w:r w:rsidRPr="000A0A5F">
        <w:t xml:space="preserve">        groupMembListChanges:</w:t>
      </w:r>
    </w:p>
    <w:p w:rsidR="000B5340" w:rsidRPr="000A0A5F" w:rsidRDefault="000B5340" w:rsidP="000B5340">
      <w:pPr>
        <w:pStyle w:val="PL"/>
      </w:pPr>
      <w:r w:rsidRPr="000A0A5F">
        <w:t xml:space="preserve">          $ref: '#/components/schemas/GroupMembListChanges'</w:t>
      </w:r>
    </w:p>
    <w:p w:rsidR="00CB0DD7" w:rsidRPr="000A0A5F" w:rsidRDefault="00CB0DD7">
      <w:pPr>
        <w:pStyle w:val="PL"/>
      </w:pPr>
      <w:r w:rsidRPr="000A0A5F">
        <w:t xml:space="preserve">      required:</w:t>
      </w:r>
    </w:p>
    <w:p w:rsidR="00CB0DD7" w:rsidRPr="000A0A5F" w:rsidRDefault="00CB0DD7">
      <w:pPr>
        <w:pStyle w:val="PL"/>
      </w:pPr>
      <w:r w:rsidRPr="000A0A5F">
        <w:t xml:space="preserve">        - monitoringType</w:t>
      </w:r>
    </w:p>
    <w:p w:rsidR="000B5340" w:rsidRPr="000A0A5F" w:rsidRDefault="000B5340" w:rsidP="0089078D">
      <w:pPr>
        <w:pStyle w:val="PL"/>
      </w:pPr>
    </w:p>
    <w:p w:rsidR="0089078D" w:rsidRPr="000A0A5F" w:rsidRDefault="0089078D" w:rsidP="0089078D">
      <w:pPr>
        <w:pStyle w:val="PL"/>
      </w:pPr>
      <w:r w:rsidRPr="000A0A5F">
        <w:t xml:space="preserve">    MonitoringEventReports:</w:t>
      </w:r>
    </w:p>
    <w:p w:rsidR="0089078D" w:rsidRPr="000A0A5F" w:rsidRDefault="0089078D" w:rsidP="0089078D">
      <w:pPr>
        <w:pStyle w:val="PL"/>
      </w:pPr>
      <w:r w:rsidRPr="000A0A5F">
        <w:t xml:space="preserve">      description: Represents a set of event monitoring reports.</w:t>
      </w:r>
    </w:p>
    <w:p w:rsidR="0089078D" w:rsidRPr="000A0A5F" w:rsidRDefault="0089078D" w:rsidP="0089078D">
      <w:pPr>
        <w:pStyle w:val="PL"/>
      </w:pPr>
      <w:r w:rsidRPr="000A0A5F">
        <w:t xml:space="preserve">      type: object</w:t>
      </w:r>
    </w:p>
    <w:p w:rsidR="0089078D" w:rsidRPr="000A0A5F" w:rsidRDefault="0089078D" w:rsidP="0089078D">
      <w:pPr>
        <w:pStyle w:val="PL"/>
      </w:pPr>
      <w:r w:rsidRPr="000A0A5F">
        <w:t xml:space="preserve">      properties:</w:t>
      </w:r>
    </w:p>
    <w:p w:rsidR="0089078D" w:rsidRPr="000A0A5F" w:rsidRDefault="0089078D" w:rsidP="0089078D">
      <w:pPr>
        <w:pStyle w:val="PL"/>
      </w:pPr>
      <w:r w:rsidRPr="000A0A5F">
        <w:t xml:space="preserve">        monitoringEventReports:</w:t>
      </w:r>
    </w:p>
    <w:p w:rsidR="0089078D" w:rsidRPr="000A0A5F" w:rsidRDefault="0089078D" w:rsidP="0089078D">
      <w:pPr>
        <w:pStyle w:val="PL"/>
      </w:pPr>
      <w:r w:rsidRPr="000A0A5F">
        <w:t xml:space="preserve">          type: array</w:t>
      </w:r>
    </w:p>
    <w:p w:rsidR="0089078D" w:rsidRPr="000A0A5F" w:rsidRDefault="0089078D" w:rsidP="0089078D">
      <w:pPr>
        <w:pStyle w:val="PL"/>
      </w:pPr>
      <w:r w:rsidRPr="000A0A5F">
        <w:t xml:space="preserve">          items:</w:t>
      </w:r>
    </w:p>
    <w:p w:rsidR="0089078D" w:rsidRPr="000A0A5F" w:rsidRDefault="0089078D" w:rsidP="0089078D">
      <w:pPr>
        <w:pStyle w:val="PL"/>
      </w:pPr>
      <w:r w:rsidRPr="000A0A5F">
        <w:t xml:space="preserve">            $ref: '#/components/schemas/MonitoringEventReport'</w:t>
      </w:r>
    </w:p>
    <w:p w:rsidR="0089078D" w:rsidRPr="000A0A5F" w:rsidRDefault="0089078D" w:rsidP="0089078D">
      <w:pPr>
        <w:pStyle w:val="PL"/>
      </w:pPr>
      <w:r w:rsidRPr="000A0A5F">
        <w:t xml:space="preserve">          minItems: 1</w:t>
      </w:r>
    </w:p>
    <w:p w:rsidR="0089078D" w:rsidRPr="000A0A5F" w:rsidRDefault="0089078D" w:rsidP="0089078D">
      <w:pPr>
        <w:pStyle w:val="PL"/>
      </w:pPr>
      <w:r w:rsidRPr="000A0A5F">
        <w:t xml:space="preserve">      required:</w:t>
      </w:r>
    </w:p>
    <w:p w:rsidR="0089078D" w:rsidRPr="000A0A5F" w:rsidRDefault="0089078D" w:rsidP="0089078D">
      <w:pPr>
        <w:pStyle w:val="PL"/>
      </w:pPr>
      <w:r w:rsidRPr="000A0A5F">
        <w:t xml:space="preserve">        - monitoringEventReports</w:t>
      </w:r>
    </w:p>
    <w:p w:rsidR="00D1157A" w:rsidRPr="000A0A5F" w:rsidRDefault="00D1157A">
      <w:pPr>
        <w:pStyle w:val="PL"/>
      </w:pPr>
    </w:p>
    <w:p w:rsidR="00CB0DD7" w:rsidRPr="000A0A5F" w:rsidRDefault="00CB0DD7">
      <w:pPr>
        <w:pStyle w:val="PL"/>
      </w:pPr>
      <w:r w:rsidRPr="000A0A5F">
        <w:t xml:space="preserve">    IdleStatusInfo:</w:t>
      </w:r>
    </w:p>
    <w:p w:rsidR="00CB0DD7" w:rsidRPr="000A0A5F" w:rsidRDefault="00CB0DD7">
      <w:pPr>
        <w:pStyle w:val="PL"/>
      </w:pPr>
      <w:r w:rsidRPr="000A0A5F">
        <w:t xml:space="preserve">      description: Represents the information </w:t>
      </w:r>
      <w:bookmarkStart w:id="10290" w:name="_Hlk69382597"/>
      <w:r w:rsidRPr="000A0A5F">
        <w:t xml:space="preserve">relevant </w:t>
      </w:r>
      <w:bookmarkEnd w:id="10290"/>
      <w:r w:rsidRPr="000A0A5F">
        <w:t>to when the UE transitions into idle mode.</w:t>
      </w:r>
    </w:p>
    <w:p w:rsidR="00CB0DD7" w:rsidRPr="000A0A5F" w:rsidRDefault="00CB0DD7">
      <w:pPr>
        <w:pStyle w:val="PL"/>
      </w:pPr>
      <w:r w:rsidRPr="000A0A5F">
        <w:t xml:space="preserve">      type: object</w:t>
      </w:r>
    </w:p>
    <w:p w:rsidR="00CB0DD7" w:rsidRPr="000A0A5F" w:rsidRDefault="00CB0DD7">
      <w:pPr>
        <w:pStyle w:val="PL"/>
      </w:pPr>
      <w:r w:rsidRPr="000A0A5F">
        <w:t xml:space="preserve">      properties:</w:t>
      </w:r>
    </w:p>
    <w:p w:rsidR="00CB0DD7" w:rsidRPr="000A0A5F" w:rsidRDefault="00CB0DD7">
      <w:pPr>
        <w:pStyle w:val="PL"/>
      </w:pPr>
      <w:r w:rsidRPr="000A0A5F">
        <w:t xml:space="preserve">        activeTime:</w:t>
      </w:r>
    </w:p>
    <w:p w:rsidR="00CB0DD7" w:rsidRPr="000A0A5F" w:rsidRDefault="00CB0DD7">
      <w:pPr>
        <w:pStyle w:val="PL"/>
      </w:pPr>
      <w:r w:rsidRPr="000A0A5F">
        <w:t xml:space="preserve">          $ref: 'TS29122_CommonData.yaml#/components/schemas/DurationSec'</w:t>
      </w:r>
    </w:p>
    <w:p w:rsidR="00CB0DD7" w:rsidRPr="000A0A5F" w:rsidRDefault="00CB0DD7">
      <w:pPr>
        <w:pStyle w:val="PL"/>
      </w:pPr>
      <w:r w:rsidRPr="000A0A5F">
        <w:t xml:space="preserve">        edrxCycleLength:</w:t>
      </w:r>
    </w:p>
    <w:p w:rsidR="00CB0DD7" w:rsidRPr="000A0A5F" w:rsidRDefault="00CB0DD7">
      <w:pPr>
        <w:pStyle w:val="PL"/>
      </w:pPr>
      <w:r w:rsidRPr="000A0A5F">
        <w:t xml:space="preserve">          format: float</w:t>
      </w:r>
    </w:p>
    <w:p w:rsidR="00CB0DD7" w:rsidRPr="000A0A5F" w:rsidRDefault="00CB0DD7">
      <w:pPr>
        <w:pStyle w:val="PL"/>
      </w:pPr>
      <w:r w:rsidRPr="000A0A5F">
        <w:t xml:space="preserve">          type: number</w:t>
      </w:r>
    </w:p>
    <w:p w:rsidR="00CB0DD7" w:rsidRPr="000A0A5F" w:rsidRDefault="00CB0DD7">
      <w:pPr>
        <w:pStyle w:val="PL"/>
      </w:pPr>
      <w:r w:rsidRPr="000A0A5F">
        <w:t xml:space="preserve">          minimum: 0</w:t>
      </w:r>
    </w:p>
    <w:p w:rsidR="00CB0DD7" w:rsidRPr="000A0A5F" w:rsidRDefault="00CB0DD7">
      <w:pPr>
        <w:pStyle w:val="PL"/>
      </w:pPr>
      <w:r w:rsidRPr="000A0A5F">
        <w:t xml:space="preserve">        suggestedNumberOfDlPackets:</w:t>
      </w:r>
    </w:p>
    <w:p w:rsidR="00CB0DD7" w:rsidRPr="000A0A5F" w:rsidRDefault="00CB0DD7">
      <w:pPr>
        <w:pStyle w:val="PL"/>
      </w:pPr>
      <w:r w:rsidRPr="000A0A5F">
        <w:t xml:space="preserve">          type: integer</w:t>
      </w:r>
    </w:p>
    <w:p w:rsidR="00CB0DD7" w:rsidRPr="000A0A5F" w:rsidRDefault="00CB0DD7">
      <w:pPr>
        <w:pStyle w:val="PL"/>
      </w:pPr>
      <w:r w:rsidRPr="000A0A5F">
        <w:t xml:space="preserve">          minimum: 0</w:t>
      </w:r>
    </w:p>
    <w:p w:rsidR="00D1157A" w:rsidRPr="000A0A5F" w:rsidRDefault="00CB0DD7">
      <w:pPr>
        <w:pStyle w:val="PL"/>
      </w:pPr>
      <w:r w:rsidRPr="000A0A5F">
        <w:t xml:space="preserve">          description: </w:t>
      </w:r>
      <w:r w:rsidR="00D1157A" w:rsidRPr="000A0A5F">
        <w:t>&gt;</w:t>
      </w:r>
    </w:p>
    <w:p w:rsidR="00D1157A" w:rsidRPr="000A0A5F" w:rsidRDefault="00D1157A">
      <w:pPr>
        <w:pStyle w:val="PL"/>
      </w:pPr>
      <w:r w:rsidRPr="000A0A5F">
        <w:t xml:space="preserve">            </w:t>
      </w:r>
      <w:r w:rsidR="00CB0DD7" w:rsidRPr="000A0A5F">
        <w:t>Identifies the number of packets shall be buffered in the serving gateway.</w:t>
      </w:r>
    </w:p>
    <w:p w:rsidR="00D1157A" w:rsidRPr="000A0A5F" w:rsidRDefault="00D1157A">
      <w:pPr>
        <w:pStyle w:val="PL"/>
      </w:pPr>
      <w:r w:rsidRPr="000A0A5F">
        <w:t xml:space="preserve">           </w:t>
      </w:r>
      <w:r w:rsidR="00CB0DD7" w:rsidRPr="000A0A5F">
        <w:t xml:space="preserve"> It shall be present if the idle status indication is requested by the SCS/AS</w:t>
      </w:r>
    </w:p>
    <w:p w:rsidR="00CB0DD7" w:rsidRPr="000A0A5F" w:rsidRDefault="00D1157A">
      <w:pPr>
        <w:pStyle w:val="PL"/>
      </w:pPr>
      <w:r w:rsidRPr="000A0A5F">
        <w:t xml:space="preserve">           </w:t>
      </w:r>
      <w:r w:rsidR="00CB0DD7" w:rsidRPr="000A0A5F">
        <w:t xml:space="preserve"> with "idleStatusIndication" in the "monitoringEventSubscription" sets to "true".</w:t>
      </w:r>
    </w:p>
    <w:p w:rsidR="00CB0DD7" w:rsidRPr="000A0A5F" w:rsidRDefault="00CB0DD7">
      <w:pPr>
        <w:pStyle w:val="PL"/>
      </w:pPr>
      <w:r w:rsidRPr="000A0A5F">
        <w:t xml:space="preserve">        idleStatusTimestamp:</w:t>
      </w:r>
    </w:p>
    <w:p w:rsidR="00CB0DD7" w:rsidRPr="000A0A5F" w:rsidRDefault="00CB0DD7">
      <w:pPr>
        <w:pStyle w:val="PL"/>
      </w:pPr>
      <w:r w:rsidRPr="000A0A5F">
        <w:t xml:space="preserve">          $ref: 'TS29122_CommonData.yaml#/components/schemas/DateTime'</w:t>
      </w:r>
    </w:p>
    <w:p w:rsidR="00CB0DD7" w:rsidRPr="000A0A5F" w:rsidRDefault="00CB0DD7">
      <w:pPr>
        <w:pStyle w:val="PL"/>
      </w:pPr>
      <w:r w:rsidRPr="000A0A5F">
        <w:t xml:space="preserve">        periodicAUTimer:</w:t>
      </w:r>
    </w:p>
    <w:p w:rsidR="00CB0DD7" w:rsidRPr="000A0A5F" w:rsidRDefault="00CB0DD7">
      <w:pPr>
        <w:pStyle w:val="PL"/>
      </w:pPr>
      <w:r w:rsidRPr="000A0A5F">
        <w:t xml:space="preserve">          $ref: 'TS29122_CommonData.yaml#/components/schemas/DurationSec'</w:t>
      </w:r>
    </w:p>
    <w:p w:rsidR="00CB0DD7" w:rsidRPr="000A0A5F" w:rsidRDefault="00CB0DD7">
      <w:pPr>
        <w:pStyle w:val="PL"/>
      </w:pPr>
      <w:r w:rsidRPr="000A0A5F">
        <w:t xml:space="preserve">    UePerLocationReport:</w:t>
      </w:r>
    </w:p>
    <w:p w:rsidR="00CB0DD7" w:rsidRPr="000A0A5F" w:rsidRDefault="00CB0DD7">
      <w:pPr>
        <w:pStyle w:val="PL"/>
      </w:pPr>
      <w:r w:rsidRPr="000A0A5F">
        <w:t xml:space="preserve">      description: Represents </w:t>
      </w:r>
      <w:r w:rsidRPr="000A0A5F">
        <w:rPr>
          <w:rFonts w:cs="Arial"/>
          <w:szCs w:val="18"/>
        </w:rPr>
        <w:t>the</w:t>
      </w:r>
      <w:r w:rsidRPr="000A0A5F">
        <w:t xml:space="preserve"> number of UEs found at the indicated location.</w:t>
      </w:r>
    </w:p>
    <w:p w:rsidR="00CB0DD7" w:rsidRPr="000A0A5F" w:rsidRDefault="00CB0DD7">
      <w:pPr>
        <w:pStyle w:val="PL"/>
      </w:pPr>
      <w:r w:rsidRPr="000A0A5F">
        <w:t xml:space="preserve">      type: object</w:t>
      </w:r>
    </w:p>
    <w:p w:rsidR="00CB0DD7" w:rsidRPr="000A0A5F" w:rsidRDefault="00CB0DD7">
      <w:pPr>
        <w:pStyle w:val="PL"/>
      </w:pPr>
      <w:r w:rsidRPr="000A0A5F">
        <w:t xml:space="preserve">      properties:</w:t>
      </w:r>
    </w:p>
    <w:p w:rsidR="00CB0DD7" w:rsidRPr="000A0A5F" w:rsidRDefault="00CB0DD7">
      <w:pPr>
        <w:pStyle w:val="PL"/>
      </w:pPr>
      <w:r w:rsidRPr="000A0A5F">
        <w:t xml:space="preserve">        ueCount:</w:t>
      </w:r>
    </w:p>
    <w:p w:rsidR="00CB0DD7" w:rsidRPr="000A0A5F" w:rsidRDefault="00CB0DD7">
      <w:pPr>
        <w:pStyle w:val="PL"/>
      </w:pPr>
      <w:r w:rsidRPr="000A0A5F">
        <w:t xml:space="preserve">          type: integer</w:t>
      </w:r>
    </w:p>
    <w:p w:rsidR="00CB0DD7" w:rsidRPr="000A0A5F" w:rsidRDefault="00CB0DD7">
      <w:pPr>
        <w:pStyle w:val="PL"/>
      </w:pPr>
      <w:r w:rsidRPr="000A0A5F">
        <w:t xml:space="preserve">          minimum: 0</w:t>
      </w:r>
    </w:p>
    <w:p w:rsidR="00CB0DD7" w:rsidRPr="000A0A5F" w:rsidRDefault="00CB0DD7">
      <w:pPr>
        <w:pStyle w:val="PL"/>
      </w:pPr>
      <w:r w:rsidRPr="000A0A5F">
        <w:t xml:space="preserve">          description: Identifies the number of UEs.</w:t>
      </w:r>
    </w:p>
    <w:p w:rsidR="00CB0DD7" w:rsidRPr="000A0A5F" w:rsidRDefault="00CB0DD7">
      <w:pPr>
        <w:pStyle w:val="PL"/>
      </w:pPr>
      <w:r w:rsidRPr="000A0A5F">
        <w:t xml:space="preserve">        externalIds:</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$ref: 'TS29122_CommonData.yaml#/components/schemas/ExternalId'</w:t>
      </w:r>
    </w:p>
    <w:p w:rsidR="00CB0DD7" w:rsidRPr="000A0A5F" w:rsidRDefault="00CB0DD7">
      <w:pPr>
        <w:pStyle w:val="PL"/>
      </w:pPr>
      <w:r w:rsidRPr="000A0A5F">
        <w:t xml:space="preserve">          minItems: 1</w:t>
      </w:r>
    </w:p>
    <w:p w:rsidR="00CB0DD7" w:rsidRPr="000A0A5F" w:rsidRDefault="00CB0DD7">
      <w:pPr>
        <w:pStyle w:val="PL"/>
      </w:pPr>
      <w:r w:rsidRPr="000A0A5F">
        <w:t xml:space="preserve">          description: Each element uniquely identifies a user.</w:t>
      </w:r>
    </w:p>
    <w:p w:rsidR="00CB0DD7" w:rsidRPr="000A0A5F" w:rsidRDefault="00CB0DD7">
      <w:pPr>
        <w:pStyle w:val="PL"/>
      </w:pPr>
      <w:r w:rsidRPr="000A0A5F">
        <w:t xml:space="preserve">        msisdns:</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$ref: 'TS29122_CommonData.yaml#/components/schemas/Msisdn'</w:t>
      </w:r>
    </w:p>
    <w:p w:rsidR="00CB0DD7" w:rsidRPr="000A0A5F" w:rsidRDefault="00CB0DD7">
      <w:pPr>
        <w:pStyle w:val="PL"/>
      </w:pPr>
      <w:r w:rsidRPr="000A0A5F">
        <w:t xml:space="preserve">          minItems: 1</w:t>
      </w:r>
    </w:p>
    <w:p w:rsidR="00CB0DD7" w:rsidRPr="000A0A5F" w:rsidRDefault="00CB0DD7">
      <w:pPr>
        <w:pStyle w:val="PL"/>
      </w:pPr>
      <w:r w:rsidRPr="000A0A5F">
        <w:t xml:space="preserve">          description: Each element identifies the MS internal PSTN/ISDN number allocated for a UE.</w:t>
      </w:r>
    </w:p>
    <w:p w:rsidR="006A7755" w:rsidRPr="000A0A5F" w:rsidRDefault="000B39CC" w:rsidP="006A7755">
      <w:pPr>
        <w:pStyle w:val="PL"/>
      </w:pPr>
      <w:r w:rsidRPr="000A0A5F">
        <w:t xml:space="preserve">        </w:t>
      </w:r>
      <w:r w:rsidR="006A7755" w:rsidRPr="000A0A5F">
        <w:t>servLevelDevIds:</w:t>
      </w:r>
    </w:p>
    <w:p w:rsidR="006A7755" w:rsidRPr="000A0A5F" w:rsidRDefault="006A7755" w:rsidP="006A7755">
      <w:pPr>
        <w:pStyle w:val="PL"/>
      </w:pPr>
      <w:r w:rsidRPr="000A0A5F">
        <w:t xml:space="preserve">          type: array</w:t>
      </w:r>
    </w:p>
    <w:p w:rsidR="006A7755" w:rsidRPr="000A0A5F" w:rsidRDefault="006A7755" w:rsidP="006A7755">
      <w:pPr>
        <w:pStyle w:val="PL"/>
      </w:pPr>
      <w:r w:rsidRPr="000A0A5F">
        <w:t xml:space="preserve">          items:</w:t>
      </w:r>
    </w:p>
    <w:p w:rsidR="006A7755" w:rsidRPr="000A0A5F" w:rsidRDefault="006A7755" w:rsidP="006A7755">
      <w:pPr>
        <w:pStyle w:val="PL"/>
      </w:pPr>
      <w:r w:rsidRPr="000A0A5F">
        <w:t xml:space="preserve">            type: string</w:t>
      </w:r>
    </w:p>
    <w:p w:rsidR="006A7755" w:rsidRPr="000A0A5F" w:rsidRDefault="006A7755" w:rsidP="006A7755">
      <w:pPr>
        <w:pStyle w:val="PL"/>
      </w:pPr>
      <w:r w:rsidRPr="000A0A5F">
        <w:t xml:space="preserve">          minItems: 1</w:t>
      </w:r>
    </w:p>
    <w:p w:rsidR="006A7755" w:rsidRPr="000A0A5F" w:rsidRDefault="006A7755" w:rsidP="006A7755">
      <w:pPr>
        <w:pStyle w:val="PL"/>
      </w:pPr>
      <w:r w:rsidRPr="000A0A5F">
        <w:t xml:space="preserve">          description: Each element uniquely identifies a UAV.</w:t>
      </w:r>
    </w:p>
    <w:p w:rsidR="00CB0DD7" w:rsidRPr="000A0A5F" w:rsidRDefault="00CB0DD7">
      <w:pPr>
        <w:pStyle w:val="PL"/>
      </w:pPr>
      <w:r w:rsidRPr="000A0A5F">
        <w:t xml:space="preserve">      required:</w:t>
      </w:r>
    </w:p>
    <w:p w:rsidR="00CB0DD7" w:rsidRPr="000A0A5F" w:rsidRDefault="00CB0DD7">
      <w:pPr>
        <w:pStyle w:val="PL"/>
      </w:pPr>
      <w:r w:rsidRPr="000A0A5F">
        <w:t xml:space="preserve">        - ueCount</w:t>
      </w:r>
    </w:p>
    <w:p w:rsidR="00D1157A" w:rsidRPr="000A0A5F" w:rsidRDefault="00D1157A">
      <w:pPr>
        <w:pStyle w:val="PL"/>
      </w:pPr>
    </w:p>
    <w:p w:rsidR="00CB0DD7" w:rsidRPr="000A0A5F" w:rsidRDefault="00CB0DD7">
      <w:pPr>
        <w:pStyle w:val="PL"/>
      </w:pPr>
      <w:r w:rsidRPr="000A0A5F">
        <w:t xml:space="preserve">    LocationInfo:</w:t>
      </w:r>
    </w:p>
    <w:p w:rsidR="00CB0DD7" w:rsidRPr="000A0A5F" w:rsidRDefault="00CB0DD7">
      <w:pPr>
        <w:pStyle w:val="PL"/>
      </w:pPr>
      <w:r w:rsidRPr="000A0A5F">
        <w:t xml:space="preserve">      description: Represents the user location information.</w:t>
      </w:r>
    </w:p>
    <w:p w:rsidR="00CB0DD7" w:rsidRPr="000A0A5F" w:rsidRDefault="00CB0DD7">
      <w:pPr>
        <w:pStyle w:val="PL"/>
      </w:pPr>
      <w:r w:rsidRPr="000A0A5F">
        <w:t xml:space="preserve">      type: object</w:t>
      </w:r>
    </w:p>
    <w:p w:rsidR="00CB0DD7" w:rsidRPr="000A0A5F" w:rsidRDefault="00CB0DD7">
      <w:pPr>
        <w:pStyle w:val="PL"/>
      </w:pPr>
      <w:r w:rsidRPr="000A0A5F">
        <w:t xml:space="preserve">      properties:</w:t>
      </w:r>
    </w:p>
    <w:p w:rsidR="00CB0DD7" w:rsidRPr="000A0A5F" w:rsidRDefault="00CB0DD7">
      <w:pPr>
        <w:pStyle w:val="PL"/>
      </w:pPr>
      <w:r w:rsidRPr="000A0A5F">
        <w:t xml:space="preserve">        ageOfLocationInfo:</w:t>
      </w:r>
    </w:p>
    <w:p w:rsidR="00CB0DD7" w:rsidRPr="000A0A5F" w:rsidRDefault="00CB0DD7">
      <w:pPr>
        <w:pStyle w:val="PL"/>
      </w:pPr>
      <w:r w:rsidRPr="000A0A5F">
        <w:t xml:space="preserve">          $ref: 'TS29122_CommonData.yaml#/components/schemas/DurationMin'</w:t>
      </w:r>
    </w:p>
    <w:p w:rsidR="00CB0DD7" w:rsidRPr="000A0A5F" w:rsidRDefault="00CB0DD7">
      <w:pPr>
        <w:pStyle w:val="PL"/>
      </w:pPr>
      <w:r w:rsidRPr="000A0A5F">
        <w:t xml:space="preserve">        cellId:</w:t>
      </w:r>
    </w:p>
    <w:p w:rsidR="00CB0DD7" w:rsidRPr="000A0A5F" w:rsidRDefault="00CB0DD7">
      <w:pPr>
        <w:pStyle w:val="PL"/>
      </w:pPr>
      <w:r w:rsidRPr="000A0A5F">
        <w:t xml:space="preserve">          type: string</w:t>
      </w:r>
    </w:p>
    <w:p w:rsidR="00D1157A" w:rsidRPr="000A0A5F" w:rsidRDefault="00CB0DD7">
      <w:pPr>
        <w:pStyle w:val="PL"/>
      </w:pPr>
      <w:r w:rsidRPr="000A0A5F">
        <w:t xml:space="preserve">          description: </w:t>
      </w:r>
      <w:r w:rsidR="00D1157A" w:rsidRPr="000A0A5F">
        <w:t>&gt;</w:t>
      </w:r>
    </w:p>
    <w:p w:rsidR="00D1157A" w:rsidRPr="000A0A5F" w:rsidRDefault="00D1157A">
      <w:pPr>
        <w:pStyle w:val="PL"/>
      </w:pPr>
      <w:r w:rsidRPr="000A0A5F">
        <w:t xml:space="preserve">            </w:t>
      </w:r>
      <w:r w:rsidR="00CB0DD7" w:rsidRPr="000A0A5F">
        <w:t>Indicates the Cell Global Identification of the user which identifies the cell the UE</w:t>
      </w:r>
    </w:p>
    <w:p w:rsidR="00CB0DD7" w:rsidRPr="000A0A5F" w:rsidRDefault="00D1157A">
      <w:pPr>
        <w:pStyle w:val="PL"/>
      </w:pPr>
      <w:r w:rsidRPr="000A0A5F">
        <w:t xml:space="preserve">           </w:t>
      </w:r>
      <w:r w:rsidR="00CB0DD7" w:rsidRPr="000A0A5F">
        <w:t xml:space="preserve"> is registered.</w:t>
      </w:r>
    </w:p>
    <w:p w:rsidR="00CB0DD7" w:rsidRPr="000A0A5F" w:rsidRDefault="00CB0DD7">
      <w:pPr>
        <w:pStyle w:val="PL"/>
      </w:pPr>
      <w:r w:rsidRPr="000A0A5F">
        <w:t xml:space="preserve">        enodeBId:</w:t>
      </w:r>
    </w:p>
    <w:p w:rsidR="00CB0DD7" w:rsidRPr="000A0A5F" w:rsidRDefault="00CB0DD7">
      <w:pPr>
        <w:pStyle w:val="PL"/>
      </w:pPr>
      <w:r w:rsidRPr="000A0A5F">
        <w:t xml:space="preserve">          type: string</w:t>
      </w:r>
    </w:p>
    <w:p w:rsidR="00CB0DD7" w:rsidRPr="000A0A5F" w:rsidRDefault="00CB0DD7">
      <w:pPr>
        <w:pStyle w:val="PL"/>
      </w:pPr>
      <w:r w:rsidRPr="000A0A5F">
        <w:t xml:space="preserve">          description: Indicates the eNodeB in which the UE is currently located.</w:t>
      </w:r>
    </w:p>
    <w:p w:rsidR="00CB0DD7" w:rsidRPr="000A0A5F" w:rsidRDefault="00CB0DD7">
      <w:pPr>
        <w:pStyle w:val="PL"/>
      </w:pPr>
      <w:r w:rsidRPr="000A0A5F">
        <w:t xml:space="preserve">        routingAreaId:</w:t>
      </w:r>
    </w:p>
    <w:p w:rsidR="00CB0DD7" w:rsidRPr="000A0A5F" w:rsidRDefault="00CB0DD7">
      <w:pPr>
        <w:pStyle w:val="PL"/>
      </w:pPr>
      <w:r w:rsidRPr="000A0A5F">
        <w:t xml:space="preserve">          type: string</w:t>
      </w:r>
    </w:p>
    <w:p w:rsidR="00CB0DD7" w:rsidRPr="000A0A5F" w:rsidRDefault="00CB0DD7">
      <w:pPr>
        <w:pStyle w:val="PL"/>
      </w:pPr>
      <w:r w:rsidRPr="000A0A5F">
        <w:t xml:space="preserve">          description: Identifies the Routing Area Identity of the user where the UE is located.</w:t>
      </w:r>
    </w:p>
    <w:p w:rsidR="00CB0DD7" w:rsidRPr="000A0A5F" w:rsidRDefault="00CB0DD7">
      <w:pPr>
        <w:pStyle w:val="PL"/>
      </w:pPr>
      <w:r w:rsidRPr="000A0A5F">
        <w:t xml:space="preserve">        trackingAreaId:</w:t>
      </w:r>
    </w:p>
    <w:p w:rsidR="00CB0DD7" w:rsidRPr="000A0A5F" w:rsidRDefault="00CB0DD7">
      <w:pPr>
        <w:pStyle w:val="PL"/>
      </w:pPr>
      <w:r w:rsidRPr="000A0A5F">
        <w:t xml:space="preserve">          type: string</w:t>
      </w:r>
    </w:p>
    <w:p w:rsidR="00CB0DD7" w:rsidRPr="000A0A5F" w:rsidRDefault="00CB0DD7">
      <w:pPr>
        <w:pStyle w:val="PL"/>
      </w:pPr>
      <w:r w:rsidRPr="000A0A5F">
        <w:t xml:space="preserve">          description: Identifies the Tracking Area Identity of the user where the UE is located.</w:t>
      </w:r>
    </w:p>
    <w:p w:rsidR="00CB0DD7" w:rsidRPr="000A0A5F" w:rsidRDefault="00CB0DD7">
      <w:pPr>
        <w:pStyle w:val="PL"/>
      </w:pPr>
      <w:r w:rsidRPr="000A0A5F">
        <w:t xml:space="preserve">        plmnId:</w:t>
      </w:r>
    </w:p>
    <w:p w:rsidR="00CB0DD7" w:rsidRPr="000A0A5F" w:rsidRDefault="00CB0DD7">
      <w:pPr>
        <w:pStyle w:val="PL"/>
      </w:pPr>
      <w:r w:rsidRPr="000A0A5F">
        <w:t xml:space="preserve">          type: string</w:t>
      </w:r>
    </w:p>
    <w:p w:rsidR="00CB0DD7" w:rsidRPr="000A0A5F" w:rsidRDefault="00CB0DD7">
      <w:pPr>
        <w:pStyle w:val="PL"/>
      </w:pPr>
      <w:r w:rsidRPr="000A0A5F">
        <w:t xml:space="preserve">          description: Identifies the PLMN Identity of the user where the UE is located.</w:t>
      </w:r>
    </w:p>
    <w:p w:rsidR="00CB0DD7" w:rsidRPr="000A0A5F" w:rsidRDefault="00CB0DD7">
      <w:pPr>
        <w:pStyle w:val="PL"/>
      </w:pPr>
      <w:r w:rsidRPr="000A0A5F">
        <w:t xml:space="preserve">        twanId:</w:t>
      </w:r>
    </w:p>
    <w:p w:rsidR="00CB0DD7" w:rsidRPr="000A0A5F" w:rsidRDefault="00CB0DD7">
      <w:pPr>
        <w:pStyle w:val="PL"/>
      </w:pPr>
      <w:r w:rsidRPr="000A0A5F">
        <w:t xml:space="preserve">          type: string</w:t>
      </w:r>
    </w:p>
    <w:p w:rsidR="00CB0DD7" w:rsidRPr="000A0A5F" w:rsidRDefault="00CB0DD7">
      <w:pPr>
        <w:pStyle w:val="PL"/>
      </w:pPr>
      <w:r w:rsidRPr="000A0A5F">
        <w:t xml:space="preserve">          description: Identifies the TWAN Identity of the user where the UE is located.</w:t>
      </w:r>
    </w:p>
    <w:p w:rsidR="009D6406" w:rsidRPr="000A0A5F" w:rsidRDefault="009D6406">
      <w:pPr>
        <w:pStyle w:val="PL"/>
        <w:rPr>
          <w:rFonts w:eastAsia="Times New Roman"/>
          <w:lang w:val="en-US" w:eastAsia="en-GB"/>
        </w:rPr>
      </w:pPr>
      <w:r w:rsidRPr="000A0A5F">
        <w:rPr>
          <w:rFonts w:eastAsia="Times New Roman"/>
          <w:lang w:val="en-US" w:eastAsia="en-GB"/>
        </w:rPr>
        <w:t xml:space="preserve">        userLocation:</w:t>
      </w:r>
    </w:p>
    <w:p w:rsidR="009D6406" w:rsidRPr="000A0A5F" w:rsidRDefault="009D6406">
      <w:pPr>
        <w:pStyle w:val="PL"/>
      </w:pPr>
      <w:r w:rsidRPr="000A0A5F">
        <w:rPr>
          <w:rFonts w:eastAsia="Times New Roman"/>
          <w:lang w:val="en-US" w:eastAsia="en-GB"/>
        </w:rPr>
        <w:t xml:space="preserve">          $ref: 'TS29571_CommonData.yaml#/components/schemas/UserLocation'</w:t>
      </w:r>
    </w:p>
    <w:p w:rsidR="00CB0DD7" w:rsidRPr="000A0A5F" w:rsidRDefault="00CB0DD7">
      <w:pPr>
        <w:pStyle w:val="PL"/>
      </w:pPr>
      <w:r w:rsidRPr="000A0A5F">
        <w:t xml:space="preserve">        </w:t>
      </w:r>
      <w:r w:rsidRPr="000A0A5F">
        <w:rPr>
          <w:rFonts w:hint="eastAsia"/>
          <w:lang w:eastAsia="zh-CN"/>
        </w:rPr>
        <w:t>geographicArea</w:t>
      </w:r>
      <w:r w:rsidRPr="000A0A5F">
        <w:t>:</w:t>
      </w:r>
    </w:p>
    <w:p w:rsidR="00CB0DD7" w:rsidRPr="000A0A5F" w:rsidRDefault="00CB0DD7">
      <w:pPr>
        <w:pStyle w:val="PL"/>
      </w:pPr>
      <w:r w:rsidRPr="000A0A5F">
        <w:t xml:space="preserve">          $ref: 'TS29572_Nlmf_Location.yaml#/components/schemas/GeographicArea'</w:t>
      </w:r>
    </w:p>
    <w:p w:rsidR="00CB0DD7" w:rsidRPr="000A0A5F" w:rsidRDefault="00CB0DD7">
      <w:pPr>
        <w:pStyle w:val="PL"/>
      </w:pPr>
      <w:r w:rsidRPr="000A0A5F">
        <w:t xml:space="preserve">        civicAddress:</w:t>
      </w:r>
    </w:p>
    <w:p w:rsidR="00CB0DD7" w:rsidRPr="000A0A5F" w:rsidRDefault="00CB0DD7">
      <w:pPr>
        <w:pStyle w:val="PL"/>
      </w:pPr>
      <w:r w:rsidRPr="000A0A5F">
        <w:t xml:space="preserve">          $ref: 'TS29572_Nlmf_Location.yaml#/components/schemas/CivicAddress'</w:t>
      </w:r>
    </w:p>
    <w:p w:rsidR="00CB0DD7" w:rsidRPr="000A0A5F" w:rsidRDefault="00CB0DD7">
      <w:pPr>
        <w:pStyle w:val="PL"/>
      </w:pPr>
      <w:r w:rsidRPr="000A0A5F">
        <w:t xml:space="preserve">        positionMethod:</w:t>
      </w:r>
    </w:p>
    <w:p w:rsidR="00CB0DD7" w:rsidRPr="000A0A5F" w:rsidRDefault="00CB0DD7">
      <w:pPr>
        <w:pStyle w:val="PL"/>
      </w:pPr>
      <w:r w:rsidRPr="000A0A5F">
        <w:t xml:space="preserve">          $ref: 'TS29572_Nlmf_Location.yaml#/components/schemas/PositioningMethod'</w:t>
      </w:r>
    </w:p>
    <w:p w:rsidR="00CB0DD7" w:rsidRPr="000A0A5F" w:rsidRDefault="00CB0DD7">
      <w:pPr>
        <w:pStyle w:val="PL"/>
      </w:pPr>
      <w:r w:rsidRPr="000A0A5F">
        <w:t xml:space="preserve">        qosFulfilInd:</w:t>
      </w:r>
    </w:p>
    <w:p w:rsidR="00CB0DD7" w:rsidRPr="000A0A5F" w:rsidRDefault="00CB0DD7">
      <w:pPr>
        <w:pStyle w:val="PL"/>
      </w:pPr>
      <w:r w:rsidRPr="000A0A5F">
        <w:t xml:space="preserve">          $ref: 'TS29572_Nlmf_Location.yaml#/components/schemas/AccuracyFulfilmentIndicator'</w:t>
      </w:r>
    </w:p>
    <w:p w:rsidR="00CB0DD7" w:rsidRPr="000A0A5F" w:rsidRDefault="00CB0DD7">
      <w:pPr>
        <w:pStyle w:val="PL"/>
      </w:pPr>
      <w:r w:rsidRPr="000A0A5F">
        <w:t xml:space="preserve">        ueVelocity:</w:t>
      </w:r>
    </w:p>
    <w:p w:rsidR="00CB0DD7" w:rsidRPr="000A0A5F" w:rsidRDefault="00CB0DD7">
      <w:pPr>
        <w:pStyle w:val="PL"/>
      </w:pPr>
      <w:r w:rsidRPr="000A0A5F">
        <w:t xml:space="preserve">          $ref: 'TS29572_Nlmf_Location.yaml#/components/schemas/VelocityEstimate'</w:t>
      </w:r>
    </w:p>
    <w:p w:rsidR="00CB0DD7" w:rsidRPr="000A0A5F" w:rsidRDefault="00CB0DD7">
      <w:pPr>
        <w:pStyle w:val="PL"/>
      </w:pPr>
      <w:r w:rsidRPr="000A0A5F">
        <w:t xml:space="preserve">        </w:t>
      </w:r>
      <w:r w:rsidRPr="000A0A5F">
        <w:rPr>
          <w:rFonts w:hint="eastAsia"/>
          <w:lang w:eastAsia="zh-CN"/>
        </w:rPr>
        <w:t>ldr</w:t>
      </w:r>
      <w:r w:rsidRPr="000A0A5F">
        <w:t>Type:</w:t>
      </w:r>
    </w:p>
    <w:p w:rsidR="00CB0DD7" w:rsidRPr="000A0A5F" w:rsidRDefault="00CB0DD7">
      <w:pPr>
        <w:pStyle w:val="PL"/>
      </w:pPr>
      <w:r w:rsidRPr="000A0A5F">
        <w:t xml:space="preserve">          $ref: 'TS29572_Nlmf_Location.yaml#/components/schemas/LdrType'</w:t>
      </w:r>
    </w:p>
    <w:p w:rsidR="00C0139B" w:rsidRPr="000A0A5F" w:rsidRDefault="00C0139B" w:rsidP="00C0139B">
      <w:pPr>
        <w:pStyle w:val="PL"/>
      </w:pPr>
      <w:r w:rsidRPr="000A0A5F">
        <w:t xml:space="preserve">        </w:t>
      </w:r>
      <w:r w:rsidRPr="000A0A5F">
        <w:rPr>
          <w:rFonts w:hint="eastAsia"/>
          <w:lang w:eastAsia="zh-CN"/>
        </w:rPr>
        <w:t>achieved</w:t>
      </w:r>
      <w:r w:rsidRPr="000A0A5F">
        <w:rPr>
          <w:lang w:eastAsia="zh-CN"/>
        </w:rPr>
        <w:t>Qos</w:t>
      </w:r>
      <w:r w:rsidRPr="000A0A5F">
        <w:t>:</w:t>
      </w:r>
    </w:p>
    <w:p w:rsidR="00C0139B" w:rsidRPr="000A0A5F" w:rsidRDefault="00C0139B" w:rsidP="00C0139B">
      <w:pPr>
        <w:pStyle w:val="PL"/>
      </w:pPr>
      <w:r w:rsidRPr="000A0A5F">
        <w:t xml:space="preserve">          $ref: 'TS29572_Nlmf_Location.yaml#/components/schemas/</w:t>
      </w:r>
      <w:r w:rsidRPr="000A0A5F">
        <w:rPr>
          <w:lang w:eastAsia="zh-CN"/>
        </w:rPr>
        <w:t>MinorLocationQoS</w:t>
      </w:r>
      <w:r w:rsidRPr="000A0A5F">
        <w:t>'</w:t>
      </w:r>
    </w:p>
    <w:p w:rsidR="00A43E1E" w:rsidRPr="000A0A5F" w:rsidRDefault="00A43E1E" w:rsidP="00A43E1E">
      <w:pPr>
        <w:pStyle w:val="PL"/>
      </w:pPr>
      <w:r w:rsidRPr="000A0A5F">
        <w:t xml:space="preserve">        </w:t>
      </w:r>
      <w:r w:rsidRPr="000A0A5F">
        <w:rPr>
          <w:lang w:eastAsia="zh-CN"/>
        </w:rPr>
        <w:t>relatedApplicationlayerId</w:t>
      </w:r>
      <w:r w:rsidRPr="000A0A5F">
        <w:t>:</w:t>
      </w:r>
    </w:p>
    <w:p w:rsidR="00A43E1E" w:rsidRPr="000A0A5F" w:rsidRDefault="00A43E1E" w:rsidP="00A43E1E">
      <w:pPr>
        <w:pStyle w:val="PL"/>
      </w:pPr>
      <w:r w:rsidRPr="000A0A5F">
        <w:t xml:space="preserve">          type: string</w:t>
      </w:r>
    </w:p>
    <w:p w:rsidR="00A43E1E" w:rsidRPr="000A0A5F" w:rsidRDefault="00A43E1E" w:rsidP="00A43E1E">
      <w:pPr>
        <w:pStyle w:val="PL"/>
      </w:pPr>
      <w:r w:rsidRPr="000A0A5F">
        <w:t xml:space="preserve">        </w:t>
      </w:r>
      <w:r w:rsidRPr="000A0A5F">
        <w:rPr>
          <w:rFonts w:hint="eastAsia"/>
          <w:lang w:eastAsia="zh-CN"/>
        </w:rPr>
        <w:t>r</w:t>
      </w:r>
      <w:r w:rsidRPr="000A0A5F">
        <w:rPr>
          <w:lang w:eastAsia="zh-CN"/>
        </w:rPr>
        <w:t>angeDirection</w:t>
      </w:r>
      <w:r w:rsidRPr="000A0A5F">
        <w:t>:</w:t>
      </w:r>
    </w:p>
    <w:p w:rsidR="00A43E1E" w:rsidRPr="000A0A5F" w:rsidRDefault="00A43E1E" w:rsidP="00A43E1E">
      <w:pPr>
        <w:pStyle w:val="PL"/>
      </w:pPr>
      <w:r w:rsidRPr="000A0A5F">
        <w:t xml:space="preserve">          $ref: '#/components/schemas/</w:t>
      </w:r>
      <w:r w:rsidRPr="000A0A5F">
        <w:rPr>
          <w:lang w:eastAsia="zh-CN"/>
        </w:rPr>
        <w:t>RangeDirection</w:t>
      </w:r>
      <w:r w:rsidRPr="000A0A5F">
        <w:t>'</w:t>
      </w:r>
    </w:p>
    <w:p w:rsidR="00A43E1E" w:rsidRPr="000A0A5F" w:rsidRDefault="00A43E1E" w:rsidP="00A43E1E">
      <w:pPr>
        <w:pStyle w:val="PL"/>
      </w:pPr>
      <w:r w:rsidRPr="000A0A5F">
        <w:t xml:space="preserve">        </w:t>
      </w:r>
      <w:r w:rsidRPr="000A0A5F">
        <w:rPr>
          <w:lang w:eastAsia="zh-CN"/>
        </w:rPr>
        <w:t>twod</w:t>
      </w:r>
      <w:r w:rsidRPr="000A0A5F">
        <w:rPr>
          <w:rFonts w:hint="eastAsia"/>
          <w:lang w:eastAsia="zh-CN"/>
        </w:rPr>
        <w:t>r</w:t>
      </w:r>
      <w:r w:rsidRPr="000A0A5F">
        <w:rPr>
          <w:lang w:eastAsia="zh-CN"/>
        </w:rPr>
        <w:t>elativeLocation</w:t>
      </w:r>
      <w:r w:rsidRPr="000A0A5F">
        <w:t>:</w:t>
      </w:r>
    </w:p>
    <w:p w:rsidR="00A43E1E" w:rsidRPr="000A0A5F" w:rsidRDefault="00A43E1E" w:rsidP="00A43E1E">
      <w:pPr>
        <w:pStyle w:val="PL"/>
      </w:pPr>
      <w:r w:rsidRPr="000A0A5F">
        <w:t xml:space="preserve">          $ref: '#/components/schemas/</w:t>
      </w:r>
      <w:r w:rsidRPr="000A0A5F">
        <w:rPr>
          <w:lang w:eastAsia="zh-CN"/>
        </w:rPr>
        <w:t>Twod</w:t>
      </w:r>
      <w:r w:rsidRPr="000A0A5F">
        <w:rPr>
          <w:rFonts w:hint="eastAsia"/>
          <w:lang w:eastAsia="zh-CN"/>
        </w:rPr>
        <w:t>r</w:t>
      </w:r>
      <w:r w:rsidRPr="000A0A5F">
        <w:rPr>
          <w:lang w:eastAsia="zh-CN"/>
        </w:rPr>
        <w:t>elativeLocation</w:t>
      </w:r>
      <w:r w:rsidRPr="000A0A5F">
        <w:t>'</w:t>
      </w:r>
    </w:p>
    <w:p w:rsidR="00A43E1E" w:rsidRPr="000A0A5F" w:rsidRDefault="00A43E1E" w:rsidP="00A43E1E">
      <w:pPr>
        <w:pStyle w:val="PL"/>
      </w:pPr>
      <w:r w:rsidRPr="000A0A5F">
        <w:t xml:space="preserve">        </w:t>
      </w:r>
      <w:r w:rsidRPr="000A0A5F">
        <w:rPr>
          <w:lang w:eastAsia="zh-CN"/>
        </w:rPr>
        <w:t>threed</w:t>
      </w:r>
      <w:r w:rsidRPr="000A0A5F">
        <w:rPr>
          <w:rFonts w:hint="eastAsia"/>
          <w:lang w:eastAsia="zh-CN"/>
        </w:rPr>
        <w:t>r</w:t>
      </w:r>
      <w:r w:rsidRPr="000A0A5F">
        <w:rPr>
          <w:lang w:eastAsia="zh-CN"/>
        </w:rPr>
        <w:t>elativeLocation</w:t>
      </w:r>
      <w:r w:rsidRPr="000A0A5F">
        <w:t>:</w:t>
      </w:r>
    </w:p>
    <w:p w:rsidR="00A43E1E" w:rsidRPr="000A0A5F" w:rsidRDefault="00A43E1E" w:rsidP="00A43E1E">
      <w:pPr>
        <w:pStyle w:val="PL"/>
      </w:pPr>
      <w:r w:rsidRPr="000A0A5F">
        <w:t xml:space="preserve">          $ref: '#/components/schemas/</w:t>
      </w:r>
      <w:r w:rsidRPr="000A0A5F">
        <w:rPr>
          <w:lang w:eastAsia="zh-CN"/>
        </w:rPr>
        <w:t>Threed</w:t>
      </w:r>
      <w:r w:rsidRPr="000A0A5F">
        <w:rPr>
          <w:rFonts w:hint="eastAsia"/>
          <w:lang w:eastAsia="zh-CN"/>
        </w:rPr>
        <w:t>r</w:t>
      </w:r>
      <w:r w:rsidRPr="000A0A5F">
        <w:rPr>
          <w:lang w:eastAsia="zh-CN"/>
        </w:rPr>
        <w:t>elativeLocation</w:t>
      </w:r>
      <w:r w:rsidRPr="000A0A5F">
        <w:t>'</w:t>
      </w:r>
    </w:p>
    <w:p w:rsidR="00A43E1E" w:rsidRPr="000A0A5F" w:rsidRDefault="00A43E1E" w:rsidP="00A43E1E">
      <w:pPr>
        <w:pStyle w:val="PL"/>
      </w:pPr>
      <w:r w:rsidRPr="000A0A5F">
        <w:t xml:space="preserve">        </w:t>
      </w:r>
      <w:r w:rsidRPr="000A0A5F">
        <w:rPr>
          <w:rFonts w:hint="eastAsia"/>
          <w:lang w:eastAsia="zh-CN"/>
        </w:rPr>
        <w:t>r</w:t>
      </w:r>
      <w:r w:rsidRPr="000A0A5F">
        <w:rPr>
          <w:lang w:eastAsia="zh-CN"/>
        </w:rPr>
        <w:t>elative</w:t>
      </w:r>
      <w:r w:rsidRPr="000A0A5F">
        <w:rPr>
          <w:rFonts w:hint="eastAsia"/>
          <w:lang w:eastAsia="zh-CN"/>
        </w:rPr>
        <w:t>Velocity</w:t>
      </w:r>
      <w:r w:rsidRPr="000A0A5F">
        <w:t>:</w:t>
      </w:r>
    </w:p>
    <w:p w:rsidR="006D571E" w:rsidRDefault="006D571E" w:rsidP="006D571E">
      <w:pPr>
        <w:pStyle w:val="PL"/>
      </w:pPr>
      <w:r>
        <w:t xml:space="preserve">          $ref: 'TS29572_Nlmf_Location.yaml#/components/schemas/VelocityEstimate'</w:t>
      </w:r>
    </w:p>
    <w:p w:rsidR="006D571E" w:rsidRDefault="006D571E" w:rsidP="006D571E">
      <w:pPr>
        <w:pStyle w:val="PL"/>
      </w:pPr>
      <w:r>
        <w:t xml:space="preserve">        </w:t>
      </w:r>
      <w:r>
        <w:rPr>
          <w:lang w:eastAsia="zh-CN"/>
        </w:rPr>
        <w:t>upCumEvtRep</w:t>
      </w:r>
      <w:r>
        <w:t>:</w:t>
      </w:r>
    </w:p>
    <w:p w:rsidR="006D571E" w:rsidRDefault="006D571E" w:rsidP="006D571E">
      <w:pPr>
        <w:pStyle w:val="PL"/>
      </w:pPr>
      <w:r>
        <w:t xml:space="preserve">          $ref: '#/components/schemas/</w:t>
      </w:r>
      <w:r>
        <w:rPr>
          <w:lang w:eastAsia="zh-CN"/>
        </w:rPr>
        <w:t>UpCumEvtRep'</w:t>
      </w:r>
    </w:p>
    <w:p w:rsidR="006D571E" w:rsidRDefault="006D571E" w:rsidP="006D571E">
      <w:pPr>
        <w:pStyle w:val="PL"/>
      </w:pPr>
    </w:p>
    <w:p w:rsidR="00A43E1E" w:rsidRPr="000A0A5F" w:rsidRDefault="00A43E1E" w:rsidP="00A43E1E">
      <w:pPr>
        <w:pStyle w:val="PL"/>
      </w:pPr>
      <w:r w:rsidRPr="000A0A5F">
        <w:t xml:space="preserve">    </w:t>
      </w:r>
      <w:r w:rsidRPr="000A0A5F">
        <w:rPr>
          <w:lang w:eastAsia="zh-CN"/>
        </w:rPr>
        <w:t>RangeDirection</w:t>
      </w:r>
      <w:r w:rsidRPr="000A0A5F">
        <w:t>:</w:t>
      </w:r>
    </w:p>
    <w:p w:rsidR="00A43E1E" w:rsidRPr="000A0A5F" w:rsidRDefault="00A43E1E" w:rsidP="00A43E1E">
      <w:pPr>
        <w:pStyle w:val="PL"/>
      </w:pPr>
      <w:r w:rsidRPr="000A0A5F">
        <w:t xml:space="preserve">      description: Represents </w:t>
      </w:r>
      <w:r w:rsidRPr="000A0A5F">
        <w:rPr>
          <w:rFonts w:eastAsia="Times New Roman" w:cs="Arial"/>
          <w:szCs w:val="18"/>
        </w:rPr>
        <w:t>a r</w:t>
      </w:r>
      <w:r w:rsidRPr="000A0A5F">
        <w:t>ange and direction from a point A to a point B.</w:t>
      </w:r>
    </w:p>
    <w:p w:rsidR="00A43E1E" w:rsidRPr="000A0A5F" w:rsidRDefault="00A43E1E" w:rsidP="00A43E1E">
      <w:pPr>
        <w:pStyle w:val="PL"/>
      </w:pPr>
      <w:r w:rsidRPr="000A0A5F">
        <w:t xml:space="preserve">      type: object</w:t>
      </w:r>
    </w:p>
    <w:p w:rsidR="00A43E1E" w:rsidRPr="000A0A5F" w:rsidRDefault="00A43E1E" w:rsidP="00A43E1E">
      <w:pPr>
        <w:pStyle w:val="PL"/>
      </w:pPr>
      <w:r w:rsidRPr="000A0A5F">
        <w:t xml:space="preserve">      properties:</w:t>
      </w:r>
    </w:p>
    <w:p w:rsidR="00A43E1E" w:rsidRPr="000A0A5F" w:rsidRDefault="00A43E1E" w:rsidP="00A43E1E">
      <w:pPr>
        <w:pStyle w:val="PL"/>
      </w:pPr>
      <w:r w:rsidRPr="000A0A5F">
        <w:t xml:space="preserve">        </w:t>
      </w:r>
      <w:r w:rsidRPr="000A0A5F">
        <w:rPr>
          <w:rFonts w:hint="eastAsia"/>
          <w:lang w:eastAsia="zh-CN"/>
        </w:rPr>
        <w:t>r</w:t>
      </w:r>
      <w:r w:rsidRPr="000A0A5F">
        <w:rPr>
          <w:lang w:eastAsia="zh-CN"/>
        </w:rPr>
        <w:t>ange</w:t>
      </w:r>
      <w:r w:rsidRPr="000A0A5F">
        <w:t>:</w:t>
      </w:r>
    </w:p>
    <w:p w:rsidR="00A43E1E" w:rsidRPr="000A0A5F" w:rsidRDefault="00A43E1E" w:rsidP="00A43E1E">
      <w:pPr>
        <w:pStyle w:val="PL"/>
      </w:pPr>
      <w:r w:rsidRPr="000A0A5F">
        <w:t xml:space="preserve">          type:</w:t>
      </w:r>
      <w:r w:rsidR="00EE3969" w:rsidRPr="000A0A5F">
        <w:t xml:space="preserve"> </w:t>
      </w:r>
      <w:r w:rsidRPr="000A0A5F">
        <w:t>number</w:t>
      </w:r>
    </w:p>
    <w:p w:rsidR="00A43E1E" w:rsidRPr="000A0A5F" w:rsidRDefault="00A43E1E" w:rsidP="00A43E1E">
      <w:pPr>
        <w:pStyle w:val="PL"/>
      </w:pPr>
      <w:r w:rsidRPr="000A0A5F">
        <w:t xml:space="preserve">        azimuthDirection:</w:t>
      </w:r>
    </w:p>
    <w:p w:rsidR="00A43E1E" w:rsidRPr="000A0A5F" w:rsidRDefault="00A43E1E" w:rsidP="00A43E1E">
      <w:pPr>
        <w:pStyle w:val="PL"/>
      </w:pPr>
      <w:r w:rsidRPr="000A0A5F">
        <w:t xml:space="preserve">          $ref: 'TS29572_Nlmf_Location.yaml#/components/schemas/Angle'</w:t>
      </w:r>
    </w:p>
    <w:p w:rsidR="00A43E1E" w:rsidRPr="000A0A5F" w:rsidRDefault="00A43E1E" w:rsidP="00A43E1E">
      <w:pPr>
        <w:pStyle w:val="PL"/>
      </w:pPr>
      <w:r w:rsidRPr="000A0A5F">
        <w:t xml:space="preserve">        elevationDirection:</w:t>
      </w:r>
    </w:p>
    <w:p w:rsidR="00A43E1E" w:rsidRPr="000A0A5F" w:rsidRDefault="00A43E1E" w:rsidP="00A43E1E">
      <w:pPr>
        <w:pStyle w:val="PL"/>
      </w:pPr>
      <w:r w:rsidRPr="000A0A5F">
        <w:t xml:space="preserve">          $ref: 'TS29572_Nlmf_Location.yaml#/components/schemas/Angle'</w:t>
      </w:r>
    </w:p>
    <w:p w:rsidR="00A43E1E" w:rsidRPr="000A0A5F" w:rsidRDefault="00A43E1E" w:rsidP="00A43E1E">
      <w:pPr>
        <w:pStyle w:val="PL"/>
      </w:pPr>
    </w:p>
    <w:p w:rsidR="00A43E1E" w:rsidRPr="000A0A5F" w:rsidRDefault="00A43E1E" w:rsidP="00A43E1E">
      <w:pPr>
        <w:pStyle w:val="PL"/>
      </w:pPr>
    </w:p>
    <w:p w:rsidR="00A43E1E" w:rsidRPr="000A0A5F" w:rsidRDefault="00A43E1E" w:rsidP="00A43E1E">
      <w:pPr>
        <w:pStyle w:val="PL"/>
      </w:pPr>
      <w:r w:rsidRPr="000A0A5F">
        <w:t xml:space="preserve">    </w:t>
      </w:r>
      <w:r w:rsidRPr="000A0A5F">
        <w:rPr>
          <w:lang w:eastAsia="zh-CN"/>
        </w:rPr>
        <w:t>Twod</w:t>
      </w:r>
      <w:r w:rsidRPr="000A0A5F">
        <w:rPr>
          <w:rFonts w:hint="eastAsia"/>
          <w:lang w:eastAsia="zh-CN"/>
        </w:rPr>
        <w:t>r</w:t>
      </w:r>
      <w:r w:rsidRPr="000A0A5F">
        <w:rPr>
          <w:lang w:eastAsia="zh-CN"/>
        </w:rPr>
        <w:t>elativeLocation</w:t>
      </w:r>
      <w:r w:rsidRPr="000A0A5F">
        <w:t>:</w:t>
      </w:r>
    </w:p>
    <w:p w:rsidR="00A43E1E" w:rsidRPr="000A0A5F" w:rsidRDefault="00A43E1E" w:rsidP="00A43E1E">
      <w:pPr>
        <w:pStyle w:val="PL"/>
      </w:pPr>
      <w:r w:rsidRPr="000A0A5F">
        <w:t xml:space="preserve">      description: Represents </w:t>
      </w:r>
      <w:r w:rsidRPr="000A0A5F">
        <w:rPr>
          <w:rFonts w:eastAsia="Times New Roman" w:cs="Arial"/>
          <w:szCs w:val="18"/>
        </w:rPr>
        <w:t>a r</w:t>
      </w:r>
      <w:r w:rsidRPr="000A0A5F">
        <w:t>elative 2D location with uncertainty ellipse.</w:t>
      </w:r>
    </w:p>
    <w:p w:rsidR="00A43E1E" w:rsidRPr="000A0A5F" w:rsidRDefault="00A43E1E" w:rsidP="00A43E1E">
      <w:pPr>
        <w:pStyle w:val="PL"/>
      </w:pPr>
      <w:r w:rsidRPr="000A0A5F">
        <w:t xml:space="preserve">      type: object</w:t>
      </w:r>
    </w:p>
    <w:p w:rsidR="00A43E1E" w:rsidRPr="000A0A5F" w:rsidRDefault="00A43E1E" w:rsidP="00A43E1E">
      <w:pPr>
        <w:pStyle w:val="PL"/>
      </w:pPr>
      <w:r w:rsidRPr="000A0A5F">
        <w:t xml:space="preserve">      properties:</w:t>
      </w:r>
    </w:p>
    <w:p w:rsidR="00A43E1E" w:rsidRPr="000A0A5F" w:rsidRDefault="00A43E1E" w:rsidP="00A43E1E">
      <w:pPr>
        <w:pStyle w:val="PL"/>
      </w:pPr>
      <w:r w:rsidRPr="000A0A5F">
        <w:t xml:space="preserve">        semiMinor:</w:t>
      </w:r>
    </w:p>
    <w:p w:rsidR="00A43E1E" w:rsidRPr="000A0A5F" w:rsidRDefault="00A43E1E" w:rsidP="00A43E1E">
      <w:pPr>
        <w:pStyle w:val="PL"/>
      </w:pPr>
      <w:r w:rsidRPr="000A0A5F">
        <w:t xml:space="preserve">          $ref: 'TS29572_Nlmf_Location.yaml#/components/schemas/Uncertainty'</w:t>
      </w:r>
    </w:p>
    <w:p w:rsidR="00A43E1E" w:rsidRPr="000A0A5F" w:rsidRDefault="00A43E1E" w:rsidP="00A43E1E">
      <w:pPr>
        <w:pStyle w:val="PL"/>
      </w:pPr>
      <w:r w:rsidRPr="000A0A5F">
        <w:t xml:space="preserve">        semiMajor:</w:t>
      </w:r>
    </w:p>
    <w:p w:rsidR="00A43E1E" w:rsidRPr="000A0A5F" w:rsidRDefault="00A43E1E" w:rsidP="00A43E1E">
      <w:pPr>
        <w:pStyle w:val="PL"/>
      </w:pPr>
      <w:r w:rsidRPr="000A0A5F">
        <w:t xml:space="preserve">          $ref: 'TS29572_Nlmf_Location.yaml#/components/schemas/Uncertainty'</w:t>
      </w:r>
    </w:p>
    <w:p w:rsidR="00A43E1E" w:rsidRPr="000A0A5F" w:rsidRDefault="00A43E1E" w:rsidP="00A43E1E">
      <w:pPr>
        <w:pStyle w:val="PL"/>
      </w:pPr>
      <w:r w:rsidRPr="000A0A5F">
        <w:t xml:space="preserve">        orientationAngle:</w:t>
      </w:r>
    </w:p>
    <w:p w:rsidR="00A43E1E" w:rsidRPr="000A0A5F" w:rsidRDefault="00A43E1E" w:rsidP="00A43E1E">
      <w:pPr>
        <w:pStyle w:val="PL"/>
      </w:pPr>
      <w:r w:rsidRPr="000A0A5F">
        <w:t xml:space="preserve">          $ref: 'TS29572_Nlmf_Location.yaml#/components/schemas/Angle'</w:t>
      </w:r>
    </w:p>
    <w:p w:rsidR="00A43E1E" w:rsidRPr="000A0A5F" w:rsidRDefault="00A43E1E" w:rsidP="00A43E1E">
      <w:pPr>
        <w:pStyle w:val="PL"/>
      </w:pPr>
    </w:p>
    <w:p w:rsidR="00A43E1E" w:rsidRPr="000A0A5F" w:rsidRDefault="00A43E1E" w:rsidP="00A43E1E">
      <w:pPr>
        <w:pStyle w:val="PL"/>
      </w:pPr>
      <w:r w:rsidRPr="000A0A5F">
        <w:t xml:space="preserve">    </w:t>
      </w:r>
      <w:r w:rsidRPr="000A0A5F">
        <w:rPr>
          <w:lang w:eastAsia="zh-CN"/>
        </w:rPr>
        <w:t>Threed</w:t>
      </w:r>
      <w:r w:rsidRPr="000A0A5F">
        <w:rPr>
          <w:rFonts w:hint="eastAsia"/>
          <w:lang w:eastAsia="zh-CN"/>
        </w:rPr>
        <w:t>r</w:t>
      </w:r>
      <w:r w:rsidRPr="000A0A5F">
        <w:rPr>
          <w:lang w:eastAsia="zh-CN"/>
        </w:rPr>
        <w:t>elativeLocation</w:t>
      </w:r>
      <w:r w:rsidRPr="000A0A5F">
        <w:t>:</w:t>
      </w:r>
    </w:p>
    <w:p w:rsidR="00A43E1E" w:rsidRPr="000A0A5F" w:rsidRDefault="00A43E1E" w:rsidP="00A43E1E">
      <w:pPr>
        <w:pStyle w:val="PL"/>
      </w:pPr>
      <w:r w:rsidRPr="000A0A5F">
        <w:t xml:space="preserve">      description: Represents </w:t>
      </w:r>
      <w:r w:rsidRPr="000A0A5F">
        <w:rPr>
          <w:rFonts w:eastAsia="Times New Roman" w:cs="Arial"/>
          <w:szCs w:val="18"/>
        </w:rPr>
        <w:t>a r</w:t>
      </w:r>
      <w:r w:rsidRPr="000A0A5F">
        <w:t>elative 3D location with uncertainty ellipsoid.</w:t>
      </w:r>
    </w:p>
    <w:p w:rsidR="00A43E1E" w:rsidRPr="000A0A5F" w:rsidRDefault="00A43E1E" w:rsidP="00A43E1E">
      <w:pPr>
        <w:pStyle w:val="PL"/>
      </w:pPr>
      <w:r w:rsidRPr="000A0A5F">
        <w:t xml:space="preserve">      type: object</w:t>
      </w:r>
    </w:p>
    <w:p w:rsidR="00A43E1E" w:rsidRPr="000A0A5F" w:rsidRDefault="00A43E1E" w:rsidP="00A43E1E">
      <w:pPr>
        <w:pStyle w:val="PL"/>
      </w:pPr>
      <w:r w:rsidRPr="000A0A5F">
        <w:t xml:space="preserve">      properties:</w:t>
      </w:r>
    </w:p>
    <w:p w:rsidR="00A43E1E" w:rsidRPr="000A0A5F" w:rsidRDefault="00A43E1E" w:rsidP="00A43E1E">
      <w:pPr>
        <w:pStyle w:val="PL"/>
      </w:pPr>
      <w:r w:rsidRPr="000A0A5F">
        <w:t xml:space="preserve">        semiMinor:</w:t>
      </w:r>
    </w:p>
    <w:p w:rsidR="00A43E1E" w:rsidRPr="000A0A5F" w:rsidRDefault="00A43E1E" w:rsidP="00A43E1E">
      <w:pPr>
        <w:pStyle w:val="PL"/>
      </w:pPr>
      <w:r w:rsidRPr="000A0A5F">
        <w:t xml:space="preserve">          $ref: 'TS29572_Nlmf_Location.yaml#/components/schemas/Uncertainty'</w:t>
      </w:r>
    </w:p>
    <w:p w:rsidR="00A43E1E" w:rsidRPr="000A0A5F" w:rsidRDefault="00A43E1E" w:rsidP="00A43E1E">
      <w:pPr>
        <w:pStyle w:val="PL"/>
      </w:pPr>
      <w:r w:rsidRPr="000A0A5F">
        <w:t xml:space="preserve">        semiMajor:</w:t>
      </w:r>
    </w:p>
    <w:p w:rsidR="00A43E1E" w:rsidRPr="000A0A5F" w:rsidRDefault="00A43E1E" w:rsidP="00A43E1E">
      <w:pPr>
        <w:pStyle w:val="PL"/>
      </w:pPr>
      <w:r w:rsidRPr="000A0A5F">
        <w:t xml:space="preserve">          $ref: 'TS29572_Nlmf_Location.yaml#/components/schemas/Uncertainty'</w:t>
      </w:r>
    </w:p>
    <w:p w:rsidR="00A43E1E" w:rsidRPr="000A0A5F" w:rsidRDefault="00A43E1E" w:rsidP="00A43E1E">
      <w:pPr>
        <w:pStyle w:val="PL"/>
      </w:pPr>
      <w:r w:rsidRPr="000A0A5F">
        <w:t xml:space="preserve">        verticalUncertainty:</w:t>
      </w:r>
    </w:p>
    <w:p w:rsidR="00A43E1E" w:rsidRPr="000A0A5F" w:rsidRDefault="00A43E1E" w:rsidP="00A43E1E">
      <w:pPr>
        <w:pStyle w:val="PL"/>
      </w:pPr>
      <w:r w:rsidRPr="000A0A5F">
        <w:t xml:space="preserve">          $ref: 'TS29572_Nlmf_Location.yaml#/components/schemas/Uncertainty'</w:t>
      </w:r>
    </w:p>
    <w:p w:rsidR="00A43E1E" w:rsidRPr="000A0A5F" w:rsidRDefault="00A43E1E" w:rsidP="00A43E1E">
      <w:pPr>
        <w:pStyle w:val="PL"/>
      </w:pPr>
      <w:r w:rsidRPr="000A0A5F">
        <w:t xml:space="preserve">        orientationAngle:</w:t>
      </w:r>
    </w:p>
    <w:p w:rsidR="00A43E1E" w:rsidRPr="000A0A5F" w:rsidRDefault="00A43E1E" w:rsidP="00A43E1E">
      <w:pPr>
        <w:pStyle w:val="PL"/>
      </w:pPr>
      <w:r w:rsidRPr="000A0A5F">
        <w:t xml:space="preserve">          $ref: 'TS29572_Nlmf_Location.yaml#/components/schemas/Angle'</w:t>
      </w:r>
    </w:p>
    <w:p w:rsidR="00D1157A" w:rsidRPr="000A0A5F" w:rsidRDefault="00D1157A">
      <w:pPr>
        <w:pStyle w:val="PL"/>
      </w:pPr>
    </w:p>
    <w:p w:rsidR="00CB0DD7" w:rsidRPr="000A0A5F" w:rsidRDefault="00CB0DD7">
      <w:pPr>
        <w:pStyle w:val="PL"/>
      </w:pPr>
      <w:r w:rsidRPr="000A0A5F">
        <w:t xml:space="preserve">    FailureCause:</w:t>
      </w:r>
    </w:p>
    <w:p w:rsidR="00CB0DD7" w:rsidRPr="000A0A5F" w:rsidRDefault="00CB0DD7">
      <w:pPr>
        <w:pStyle w:val="PL"/>
      </w:pPr>
      <w:r w:rsidRPr="000A0A5F">
        <w:t xml:space="preserve">      description: Represents the reason of communication failure.</w:t>
      </w:r>
    </w:p>
    <w:p w:rsidR="00CB0DD7" w:rsidRPr="000A0A5F" w:rsidRDefault="00CB0DD7">
      <w:pPr>
        <w:pStyle w:val="PL"/>
      </w:pPr>
      <w:r w:rsidRPr="000A0A5F">
        <w:t xml:space="preserve">      type: object</w:t>
      </w:r>
    </w:p>
    <w:p w:rsidR="00CB0DD7" w:rsidRPr="000A0A5F" w:rsidRDefault="00CB0DD7">
      <w:pPr>
        <w:pStyle w:val="PL"/>
      </w:pPr>
      <w:r w:rsidRPr="000A0A5F">
        <w:t xml:space="preserve">      properties:</w:t>
      </w:r>
    </w:p>
    <w:p w:rsidR="00CB0DD7" w:rsidRPr="000A0A5F" w:rsidRDefault="00CB0DD7">
      <w:pPr>
        <w:pStyle w:val="PL"/>
      </w:pPr>
      <w:r w:rsidRPr="000A0A5F">
        <w:t xml:space="preserve">        bssgpCause:</w:t>
      </w:r>
    </w:p>
    <w:p w:rsidR="00CB0DD7" w:rsidRPr="000A0A5F" w:rsidRDefault="00CB0DD7">
      <w:pPr>
        <w:pStyle w:val="PL"/>
      </w:pPr>
      <w:r w:rsidRPr="000A0A5F">
        <w:t xml:space="preserve">          type: integer</w:t>
      </w:r>
    </w:p>
    <w:p w:rsidR="00D1157A" w:rsidRPr="000A0A5F" w:rsidRDefault="00CB0DD7">
      <w:pPr>
        <w:pStyle w:val="PL"/>
      </w:pPr>
      <w:r w:rsidRPr="000A0A5F">
        <w:t xml:space="preserve">          description: </w:t>
      </w:r>
      <w:r w:rsidR="00D1157A" w:rsidRPr="000A0A5F">
        <w:t>&gt;</w:t>
      </w:r>
    </w:p>
    <w:p w:rsidR="00CB0DD7" w:rsidRPr="000A0A5F" w:rsidRDefault="00D1157A">
      <w:pPr>
        <w:pStyle w:val="PL"/>
      </w:pPr>
      <w:r w:rsidRPr="000A0A5F">
        <w:t xml:space="preserve">            </w:t>
      </w:r>
      <w:r w:rsidR="00CB0DD7" w:rsidRPr="000A0A5F">
        <w:t>Identifies a non-transparent copy of the BSSGP cause code. Refer to 3GPP TS 29.128.</w:t>
      </w:r>
    </w:p>
    <w:p w:rsidR="00CB0DD7" w:rsidRPr="000A0A5F" w:rsidRDefault="00CB0DD7">
      <w:pPr>
        <w:pStyle w:val="PL"/>
      </w:pPr>
      <w:r w:rsidRPr="000A0A5F">
        <w:t xml:space="preserve">        causeType:</w:t>
      </w:r>
    </w:p>
    <w:p w:rsidR="00CB0DD7" w:rsidRPr="000A0A5F" w:rsidRDefault="00CB0DD7">
      <w:pPr>
        <w:pStyle w:val="PL"/>
      </w:pPr>
      <w:r w:rsidRPr="000A0A5F">
        <w:t xml:space="preserve">          type: integer</w:t>
      </w:r>
    </w:p>
    <w:p w:rsidR="00CB0DD7" w:rsidRPr="000A0A5F" w:rsidRDefault="00CB0DD7">
      <w:pPr>
        <w:pStyle w:val="PL"/>
      </w:pPr>
      <w:r w:rsidRPr="000A0A5F">
        <w:t xml:space="preserve">          description: Identify the type of the S1AP-Cause. Refer to 3GPP TS 29.128.</w:t>
      </w:r>
    </w:p>
    <w:p w:rsidR="00CB0DD7" w:rsidRPr="000A0A5F" w:rsidRDefault="00CB0DD7">
      <w:pPr>
        <w:pStyle w:val="PL"/>
      </w:pPr>
      <w:r w:rsidRPr="000A0A5F">
        <w:t xml:space="preserve">        gmmCause:</w:t>
      </w:r>
    </w:p>
    <w:p w:rsidR="00CB0DD7" w:rsidRPr="000A0A5F" w:rsidRDefault="00CB0DD7">
      <w:pPr>
        <w:pStyle w:val="PL"/>
      </w:pPr>
      <w:r w:rsidRPr="000A0A5F">
        <w:t xml:space="preserve">          type: integer</w:t>
      </w:r>
    </w:p>
    <w:p w:rsidR="00361FDD" w:rsidRPr="000A0A5F" w:rsidRDefault="00CB0DD7">
      <w:pPr>
        <w:pStyle w:val="PL"/>
      </w:pPr>
      <w:r w:rsidRPr="000A0A5F">
        <w:t xml:space="preserve">          description: </w:t>
      </w:r>
      <w:r w:rsidR="00361FDD" w:rsidRPr="000A0A5F">
        <w:t>&gt;</w:t>
      </w:r>
    </w:p>
    <w:p w:rsidR="00CB0DD7" w:rsidRPr="000A0A5F" w:rsidRDefault="00361FDD">
      <w:pPr>
        <w:pStyle w:val="PL"/>
      </w:pPr>
      <w:r w:rsidRPr="000A0A5F">
        <w:t xml:space="preserve">            </w:t>
      </w:r>
      <w:r w:rsidR="00CB0DD7" w:rsidRPr="000A0A5F">
        <w:t>Identifies a non-transparent copy of the GMM cause code. Refer to 3GPP TS 29.128.</w:t>
      </w:r>
    </w:p>
    <w:p w:rsidR="00CB0DD7" w:rsidRPr="000A0A5F" w:rsidRDefault="00CB0DD7">
      <w:pPr>
        <w:pStyle w:val="PL"/>
      </w:pPr>
      <w:r w:rsidRPr="000A0A5F">
        <w:t xml:space="preserve">        ranapCause:</w:t>
      </w:r>
    </w:p>
    <w:p w:rsidR="00CB0DD7" w:rsidRPr="000A0A5F" w:rsidRDefault="00CB0DD7">
      <w:pPr>
        <w:pStyle w:val="PL"/>
      </w:pPr>
      <w:r w:rsidRPr="000A0A5F">
        <w:t xml:space="preserve">          type: integer</w:t>
      </w:r>
    </w:p>
    <w:p w:rsidR="00361FDD" w:rsidRPr="000A0A5F" w:rsidRDefault="00CB0DD7">
      <w:pPr>
        <w:pStyle w:val="PL"/>
      </w:pPr>
      <w:r w:rsidRPr="000A0A5F">
        <w:t xml:space="preserve">          description: </w:t>
      </w:r>
      <w:r w:rsidR="00361FDD" w:rsidRPr="000A0A5F">
        <w:t>&gt;</w:t>
      </w:r>
    </w:p>
    <w:p w:rsidR="00CB0DD7" w:rsidRPr="000A0A5F" w:rsidRDefault="00361FDD">
      <w:pPr>
        <w:pStyle w:val="PL"/>
      </w:pPr>
      <w:r w:rsidRPr="000A0A5F">
        <w:t xml:space="preserve">            </w:t>
      </w:r>
      <w:r w:rsidR="00CB0DD7" w:rsidRPr="000A0A5F">
        <w:t>Identifies a non-transparent copy of the RANAP cause code. Refer to 3GPP TS 29.128.</w:t>
      </w:r>
    </w:p>
    <w:p w:rsidR="00CB0DD7" w:rsidRPr="000A0A5F" w:rsidRDefault="00CB0DD7">
      <w:pPr>
        <w:pStyle w:val="PL"/>
      </w:pPr>
      <w:r w:rsidRPr="000A0A5F">
        <w:t xml:space="preserve">        ranNasCause:</w:t>
      </w:r>
    </w:p>
    <w:p w:rsidR="00CB0DD7" w:rsidRPr="000A0A5F" w:rsidRDefault="00CB0DD7">
      <w:pPr>
        <w:pStyle w:val="PL"/>
      </w:pPr>
      <w:r w:rsidRPr="000A0A5F">
        <w:t xml:space="preserve">          type: string</w:t>
      </w:r>
    </w:p>
    <w:p w:rsidR="00361FDD" w:rsidRPr="000A0A5F" w:rsidRDefault="00CB0DD7">
      <w:pPr>
        <w:pStyle w:val="PL"/>
      </w:pPr>
      <w:r w:rsidRPr="000A0A5F">
        <w:t xml:space="preserve">          description: </w:t>
      </w:r>
      <w:r w:rsidR="00361FDD" w:rsidRPr="000A0A5F">
        <w:t>&gt;</w:t>
      </w:r>
    </w:p>
    <w:p w:rsidR="00361FDD" w:rsidRPr="000A0A5F" w:rsidRDefault="00361FDD">
      <w:pPr>
        <w:pStyle w:val="PL"/>
      </w:pPr>
      <w:r w:rsidRPr="000A0A5F">
        <w:t xml:space="preserve">            </w:t>
      </w:r>
      <w:r w:rsidR="00CB0DD7" w:rsidRPr="000A0A5F">
        <w:t>Indicates RAN and/or NAS release cause code information, TWAN release cause code</w:t>
      </w:r>
    </w:p>
    <w:p w:rsidR="00CB0DD7" w:rsidRPr="000A0A5F" w:rsidRDefault="00361FDD">
      <w:pPr>
        <w:pStyle w:val="PL"/>
      </w:pPr>
      <w:r w:rsidRPr="000A0A5F">
        <w:t xml:space="preserve">           </w:t>
      </w:r>
      <w:r w:rsidR="00CB0DD7" w:rsidRPr="000A0A5F">
        <w:t xml:space="preserve"> information or untrusted WLAN release cause code information. Refer to 3GPP TS 29.214.</w:t>
      </w:r>
    </w:p>
    <w:p w:rsidR="00CB0DD7" w:rsidRPr="000A0A5F" w:rsidRDefault="00CB0DD7">
      <w:pPr>
        <w:pStyle w:val="PL"/>
      </w:pPr>
      <w:r w:rsidRPr="000A0A5F">
        <w:t xml:space="preserve">        s1ApCause:</w:t>
      </w:r>
    </w:p>
    <w:p w:rsidR="00CB0DD7" w:rsidRPr="000A0A5F" w:rsidRDefault="00CB0DD7">
      <w:pPr>
        <w:pStyle w:val="PL"/>
      </w:pPr>
      <w:r w:rsidRPr="000A0A5F">
        <w:t xml:space="preserve">          type: integer</w:t>
      </w:r>
    </w:p>
    <w:p w:rsidR="00361FDD" w:rsidRPr="000A0A5F" w:rsidRDefault="00CB0DD7">
      <w:pPr>
        <w:pStyle w:val="PL"/>
      </w:pPr>
      <w:r w:rsidRPr="000A0A5F">
        <w:t xml:space="preserve">          description: </w:t>
      </w:r>
      <w:r w:rsidR="00361FDD" w:rsidRPr="000A0A5F">
        <w:t>&gt;</w:t>
      </w:r>
    </w:p>
    <w:p w:rsidR="00CB0DD7" w:rsidRPr="000A0A5F" w:rsidRDefault="00361FDD">
      <w:pPr>
        <w:pStyle w:val="PL"/>
      </w:pPr>
      <w:r w:rsidRPr="000A0A5F">
        <w:t xml:space="preserve">            </w:t>
      </w:r>
      <w:r w:rsidR="00CB0DD7" w:rsidRPr="000A0A5F">
        <w:t>Identifies a non-transparent copy of the S1AP cause code. Refer to 3GPP TS 29.128.</w:t>
      </w:r>
    </w:p>
    <w:p w:rsidR="00CB0DD7" w:rsidRPr="000A0A5F" w:rsidRDefault="00CB0DD7">
      <w:pPr>
        <w:pStyle w:val="PL"/>
      </w:pPr>
      <w:r w:rsidRPr="000A0A5F">
        <w:t xml:space="preserve">        smCause:</w:t>
      </w:r>
    </w:p>
    <w:p w:rsidR="00CB0DD7" w:rsidRPr="000A0A5F" w:rsidRDefault="00CB0DD7">
      <w:pPr>
        <w:pStyle w:val="PL"/>
      </w:pPr>
      <w:r w:rsidRPr="000A0A5F">
        <w:t xml:space="preserve">          type: integer</w:t>
      </w:r>
    </w:p>
    <w:p w:rsidR="00361FDD" w:rsidRPr="000A0A5F" w:rsidRDefault="00CB0DD7">
      <w:pPr>
        <w:pStyle w:val="PL"/>
      </w:pPr>
      <w:r w:rsidRPr="000A0A5F">
        <w:t xml:space="preserve">          description: </w:t>
      </w:r>
      <w:r w:rsidR="00361FDD" w:rsidRPr="000A0A5F">
        <w:t>&gt;</w:t>
      </w:r>
    </w:p>
    <w:p w:rsidR="00CB0DD7" w:rsidRPr="000A0A5F" w:rsidRDefault="00361FDD">
      <w:pPr>
        <w:pStyle w:val="PL"/>
      </w:pPr>
      <w:r w:rsidRPr="000A0A5F">
        <w:t xml:space="preserve">            </w:t>
      </w:r>
      <w:r w:rsidR="00CB0DD7" w:rsidRPr="000A0A5F">
        <w:t>Identifies a non-transparent copy of the SM cause code. Refer to 3GPP TS 29.128.</w:t>
      </w:r>
    </w:p>
    <w:p w:rsidR="00361FDD" w:rsidRPr="000A0A5F" w:rsidRDefault="00361FDD">
      <w:pPr>
        <w:pStyle w:val="PL"/>
      </w:pPr>
    </w:p>
    <w:p w:rsidR="00CB0DD7" w:rsidRPr="000A0A5F" w:rsidRDefault="00CB0DD7">
      <w:pPr>
        <w:pStyle w:val="PL"/>
      </w:pPr>
      <w:r w:rsidRPr="000A0A5F">
        <w:t xml:space="preserve">    PdnConnectionInformation:</w:t>
      </w:r>
    </w:p>
    <w:p w:rsidR="00CB0DD7" w:rsidRPr="000A0A5F" w:rsidRDefault="00CB0DD7">
      <w:pPr>
        <w:pStyle w:val="PL"/>
      </w:pPr>
      <w:r w:rsidRPr="000A0A5F">
        <w:t xml:space="preserve">      description: Represents the PDN connection information of the UE.</w:t>
      </w:r>
    </w:p>
    <w:p w:rsidR="00CB0DD7" w:rsidRPr="000A0A5F" w:rsidRDefault="00CB0DD7">
      <w:pPr>
        <w:pStyle w:val="PL"/>
      </w:pPr>
      <w:r w:rsidRPr="000A0A5F">
        <w:t xml:space="preserve">      type: object</w:t>
      </w:r>
    </w:p>
    <w:p w:rsidR="00CB0DD7" w:rsidRPr="000A0A5F" w:rsidRDefault="00CB0DD7">
      <w:pPr>
        <w:pStyle w:val="PL"/>
      </w:pPr>
      <w:r w:rsidRPr="000A0A5F">
        <w:t xml:space="preserve">      properties:</w:t>
      </w:r>
    </w:p>
    <w:p w:rsidR="00CB0DD7" w:rsidRPr="000A0A5F" w:rsidRDefault="00CB0DD7">
      <w:pPr>
        <w:pStyle w:val="PL"/>
      </w:pPr>
      <w:r w:rsidRPr="000A0A5F">
        <w:t xml:space="preserve">        status:</w:t>
      </w:r>
    </w:p>
    <w:p w:rsidR="00CB0DD7" w:rsidRPr="000A0A5F" w:rsidRDefault="00CB0DD7">
      <w:pPr>
        <w:pStyle w:val="PL"/>
      </w:pPr>
      <w:r w:rsidRPr="000A0A5F">
        <w:t xml:space="preserve">          $ref: '#/components/schemas/PdnConnectionStatus'</w:t>
      </w:r>
    </w:p>
    <w:p w:rsidR="00CB0DD7" w:rsidRPr="000A0A5F" w:rsidRDefault="00CB0DD7">
      <w:pPr>
        <w:pStyle w:val="PL"/>
      </w:pPr>
      <w:r w:rsidRPr="000A0A5F">
        <w:t xml:space="preserve">        apn:</w:t>
      </w:r>
    </w:p>
    <w:p w:rsidR="00CB0DD7" w:rsidRPr="000A0A5F" w:rsidRDefault="00CB0DD7">
      <w:pPr>
        <w:pStyle w:val="PL"/>
      </w:pPr>
      <w:r w:rsidRPr="000A0A5F">
        <w:t xml:space="preserve">          type: string</w:t>
      </w:r>
    </w:p>
    <w:p w:rsidR="00361FDD" w:rsidRPr="000A0A5F" w:rsidRDefault="00CB0DD7">
      <w:pPr>
        <w:pStyle w:val="PL"/>
      </w:pPr>
      <w:r w:rsidRPr="000A0A5F">
        <w:t xml:space="preserve">          description: </w:t>
      </w:r>
      <w:r w:rsidR="00361FDD" w:rsidRPr="000A0A5F">
        <w:t>&gt;</w:t>
      </w:r>
    </w:p>
    <w:p w:rsidR="00361FDD" w:rsidRPr="000A0A5F" w:rsidRDefault="00361FDD">
      <w:pPr>
        <w:pStyle w:val="PL"/>
      </w:pPr>
      <w:r w:rsidRPr="000A0A5F">
        <w:t xml:space="preserve">            </w:t>
      </w:r>
      <w:r w:rsidR="00CB0DD7" w:rsidRPr="000A0A5F">
        <w:t>Identify the APN, it is depending on the SCEF local configuration whether or</w:t>
      </w:r>
    </w:p>
    <w:p w:rsidR="00CB0DD7" w:rsidRPr="000A0A5F" w:rsidRDefault="00361FDD">
      <w:pPr>
        <w:pStyle w:val="PL"/>
      </w:pPr>
      <w:r w:rsidRPr="000A0A5F">
        <w:t xml:space="preserve">           </w:t>
      </w:r>
      <w:r w:rsidR="00CB0DD7" w:rsidRPr="000A0A5F">
        <w:t xml:space="preserve"> not this attribute is sent to the SCS/AS.</w:t>
      </w:r>
    </w:p>
    <w:p w:rsidR="00CB0DD7" w:rsidRPr="000A0A5F" w:rsidRDefault="00CB0DD7">
      <w:pPr>
        <w:pStyle w:val="PL"/>
      </w:pPr>
      <w:r w:rsidRPr="000A0A5F">
        <w:t xml:space="preserve">        pdnType:</w:t>
      </w:r>
    </w:p>
    <w:p w:rsidR="00CB0DD7" w:rsidRPr="000A0A5F" w:rsidRDefault="00CB0DD7">
      <w:pPr>
        <w:pStyle w:val="PL"/>
      </w:pPr>
      <w:r w:rsidRPr="000A0A5F">
        <w:t xml:space="preserve">          $ref: '#/components/schemas/PdnType'</w:t>
      </w:r>
    </w:p>
    <w:p w:rsidR="00CB0DD7" w:rsidRPr="000A0A5F" w:rsidRDefault="00CB0DD7">
      <w:pPr>
        <w:pStyle w:val="PL"/>
      </w:pPr>
      <w:r w:rsidRPr="000A0A5F">
        <w:t xml:space="preserve">        interfaceInd:</w:t>
      </w:r>
    </w:p>
    <w:p w:rsidR="00CB0DD7" w:rsidRPr="000A0A5F" w:rsidRDefault="00CB0DD7">
      <w:pPr>
        <w:pStyle w:val="PL"/>
      </w:pPr>
      <w:r w:rsidRPr="000A0A5F">
        <w:t xml:space="preserve">          $ref: '#/components/schemas/InterfaceIndication'</w:t>
      </w:r>
    </w:p>
    <w:p w:rsidR="00CB0DD7" w:rsidRPr="000A0A5F" w:rsidRDefault="00CB0DD7">
      <w:pPr>
        <w:pStyle w:val="PL"/>
      </w:pPr>
      <w:r w:rsidRPr="000A0A5F">
        <w:t xml:space="preserve">        ipv4Addr:</w:t>
      </w:r>
    </w:p>
    <w:p w:rsidR="00CB0DD7" w:rsidRPr="000A0A5F" w:rsidRDefault="00CB0DD7">
      <w:pPr>
        <w:pStyle w:val="PL"/>
      </w:pPr>
      <w:r w:rsidRPr="000A0A5F">
        <w:t xml:space="preserve">          $ref: 'TS29122_CommonData.yaml#/components/schemas/Ipv4Addr'</w:t>
      </w:r>
    </w:p>
    <w:p w:rsidR="00CB0DD7" w:rsidRPr="000A0A5F" w:rsidRDefault="00CB0DD7">
      <w:pPr>
        <w:pStyle w:val="PL"/>
      </w:pPr>
      <w:r w:rsidRPr="000A0A5F">
        <w:t xml:space="preserve">        ipv6Addrs:</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$ref: 'TS29122_CommonData.yaml#/components/schemas/Ipv6Addr'</w:t>
      </w:r>
    </w:p>
    <w:p w:rsidR="00CB0DD7" w:rsidRPr="000A0A5F" w:rsidRDefault="00CB0DD7">
      <w:pPr>
        <w:pStyle w:val="PL"/>
      </w:pPr>
      <w:r w:rsidRPr="000A0A5F">
        <w:t xml:space="preserve">          minItems: 1</w:t>
      </w:r>
    </w:p>
    <w:p w:rsidR="00B34053" w:rsidRPr="000A0A5F" w:rsidRDefault="00B34053" w:rsidP="00B34053">
      <w:pPr>
        <w:pStyle w:val="PL"/>
      </w:pPr>
      <w:r w:rsidRPr="000A0A5F">
        <w:t xml:space="preserve">        macAddrs:</w:t>
      </w:r>
    </w:p>
    <w:p w:rsidR="00B34053" w:rsidRPr="000A0A5F" w:rsidRDefault="00B34053" w:rsidP="00B34053">
      <w:pPr>
        <w:pStyle w:val="PL"/>
      </w:pPr>
      <w:r w:rsidRPr="000A0A5F">
        <w:t xml:space="preserve">          type: array</w:t>
      </w:r>
    </w:p>
    <w:p w:rsidR="00B34053" w:rsidRPr="000A0A5F" w:rsidRDefault="00B34053" w:rsidP="00B34053">
      <w:pPr>
        <w:pStyle w:val="PL"/>
      </w:pPr>
      <w:r w:rsidRPr="000A0A5F">
        <w:t xml:space="preserve">          items:</w:t>
      </w:r>
    </w:p>
    <w:p w:rsidR="00B34053" w:rsidRPr="000A0A5F" w:rsidRDefault="00B34053" w:rsidP="00B34053">
      <w:pPr>
        <w:pStyle w:val="PL"/>
      </w:pPr>
      <w:r w:rsidRPr="000A0A5F">
        <w:t xml:space="preserve">            $ref: 'TS29571_CommonData.yaml#/components/schemas/</w:t>
      </w:r>
      <w:r w:rsidRPr="000A0A5F">
        <w:rPr>
          <w:lang w:eastAsia="zh-CN"/>
        </w:rPr>
        <w:t>M</w:t>
      </w:r>
      <w:r w:rsidRPr="000A0A5F">
        <w:rPr>
          <w:rFonts w:hint="eastAsia"/>
          <w:lang w:eastAsia="zh-CN"/>
        </w:rPr>
        <w:t>acAddr</w:t>
      </w:r>
      <w:r w:rsidRPr="000A0A5F">
        <w:rPr>
          <w:lang w:eastAsia="zh-CN"/>
        </w:rPr>
        <w:t>48</w:t>
      </w:r>
      <w:r w:rsidRPr="000A0A5F">
        <w:t>'</w:t>
      </w:r>
    </w:p>
    <w:p w:rsidR="00B34053" w:rsidRPr="000A0A5F" w:rsidRDefault="00B34053" w:rsidP="00B34053">
      <w:pPr>
        <w:pStyle w:val="PL"/>
      </w:pPr>
      <w:r w:rsidRPr="000A0A5F">
        <w:t xml:space="preserve">          minItems: 1</w:t>
      </w:r>
    </w:p>
    <w:p w:rsidR="00CB0DD7" w:rsidRPr="000A0A5F" w:rsidRDefault="00CB0DD7">
      <w:pPr>
        <w:pStyle w:val="PL"/>
      </w:pPr>
      <w:r w:rsidRPr="000A0A5F">
        <w:t xml:space="preserve">      required:</w:t>
      </w:r>
    </w:p>
    <w:p w:rsidR="00CB0DD7" w:rsidRPr="000A0A5F" w:rsidRDefault="00CB0DD7">
      <w:pPr>
        <w:pStyle w:val="PL"/>
      </w:pPr>
      <w:r w:rsidRPr="000A0A5F">
        <w:t xml:space="preserve">        - status</w:t>
      </w:r>
    </w:p>
    <w:p w:rsidR="00CB0DD7" w:rsidRPr="000A0A5F" w:rsidRDefault="00CB0DD7">
      <w:pPr>
        <w:pStyle w:val="PL"/>
      </w:pPr>
      <w:r w:rsidRPr="000A0A5F">
        <w:t xml:space="preserve">        - pdnType</w:t>
      </w:r>
    </w:p>
    <w:p w:rsidR="00361FDD" w:rsidRPr="000A0A5F" w:rsidRDefault="00361FDD">
      <w:pPr>
        <w:pStyle w:val="PL"/>
      </w:pPr>
    </w:p>
    <w:p w:rsidR="00CB0DD7" w:rsidRPr="000A0A5F" w:rsidRDefault="00CB0DD7">
      <w:pPr>
        <w:pStyle w:val="PL"/>
      </w:pPr>
      <w:r w:rsidRPr="000A0A5F">
        <w:t xml:space="preserve">    AppliedParameterConfiguration:</w:t>
      </w:r>
    </w:p>
    <w:p w:rsidR="00CB0DD7" w:rsidRPr="000A0A5F" w:rsidRDefault="00CB0DD7">
      <w:pPr>
        <w:pStyle w:val="PL"/>
      </w:pPr>
      <w:r w:rsidRPr="000A0A5F">
        <w:t xml:space="preserve">      description: Represents the parameter configuration </w:t>
      </w:r>
      <w:r w:rsidRPr="000A0A5F">
        <w:rPr>
          <w:rFonts w:cs="Arial"/>
          <w:szCs w:val="18"/>
        </w:rPr>
        <w:t xml:space="preserve">applied </w:t>
      </w:r>
      <w:r w:rsidRPr="000A0A5F">
        <w:t>in the network.</w:t>
      </w:r>
    </w:p>
    <w:p w:rsidR="00CB0DD7" w:rsidRPr="000A0A5F" w:rsidRDefault="00CB0DD7">
      <w:pPr>
        <w:pStyle w:val="PL"/>
      </w:pPr>
      <w:r w:rsidRPr="000A0A5F">
        <w:t xml:space="preserve">      type: object</w:t>
      </w:r>
    </w:p>
    <w:p w:rsidR="00CB0DD7" w:rsidRPr="000A0A5F" w:rsidRDefault="00CB0DD7">
      <w:pPr>
        <w:pStyle w:val="PL"/>
      </w:pPr>
      <w:r w:rsidRPr="000A0A5F">
        <w:t xml:space="preserve">      properties:</w:t>
      </w:r>
    </w:p>
    <w:p w:rsidR="00CB0DD7" w:rsidRPr="000A0A5F" w:rsidRDefault="00CB0DD7">
      <w:pPr>
        <w:pStyle w:val="PL"/>
      </w:pPr>
      <w:r w:rsidRPr="000A0A5F">
        <w:t xml:space="preserve">        externalIds:</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$ref: 'TS29122_CommonData.yaml#/components/schemas/ExternalId'</w:t>
      </w:r>
    </w:p>
    <w:p w:rsidR="00CB0DD7" w:rsidRPr="000A0A5F" w:rsidRDefault="00CB0DD7">
      <w:pPr>
        <w:pStyle w:val="PL"/>
      </w:pPr>
      <w:r w:rsidRPr="000A0A5F">
        <w:t xml:space="preserve">          minItems: 1</w:t>
      </w:r>
    </w:p>
    <w:p w:rsidR="00CB0DD7" w:rsidRPr="000A0A5F" w:rsidRDefault="00CB0DD7">
      <w:pPr>
        <w:pStyle w:val="PL"/>
      </w:pPr>
      <w:r w:rsidRPr="000A0A5F">
        <w:t xml:space="preserve">          description: Each element uniquely identifies a user.</w:t>
      </w:r>
    </w:p>
    <w:p w:rsidR="00CB0DD7" w:rsidRPr="000A0A5F" w:rsidRDefault="00CB0DD7">
      <w:pPr>
        <w:pStyle w:val="PL"/>
      </w:pPr>
      <w:r w:rsidRPr="000A0A5F">
        <w:t xml:space="preserve">        msisdns:</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$ref: 'TS29122_CommonData.yaml#/components/schemas/Msisdn'</w:t>
      </w:r>
    </w:p>
    <w:p w:rsidR="00CB0DD7" w:rsidRPr="000A0A5F" w:rsidRDefault="00CB0DD7">
      <w:pPr>
        <w:pStyle w:val="PL"/>
      </w:pPr>
      <w:r w:rsidRPr="000A0A5F">
        <w:t xml:space="preserve">          minItems: 1</w:t>
      </w:r>
    </w:p>
    <w:p w:rsidR="00CB0DD7" w:rsidRPr="000A0A5F" w:rsidRDefault="00CB0DD7">
      <w:pPr>
        <w:pStyle w:val="PL"/>
      </w:pPr>
      <w:r w:rsidRPr="000A0A5F">
        <w:t xml:space="preserve">          description: Each element identifies the MS internal PSTN/ISDN number allocated for a UE.</w:t>
      </w:r>
    </w:p>
    <w:p w:rsidR="00CB0DD7" w:rsidRPr="000A0A5F" w:rsidRDefault="00CB0DD7">
      <w:pPr>
        <w:pStyle w:val="PL"/>
      </w:pPr>
      <w:r w:rsidRPr="000A0A5F">
        <w:t xml:space="preserve">        maximumLatency:</w:t>
      </w:r>
    </w:p>
    <w:p w:rsidR="00CB0DD7" w:rsidRPr="000A0A5F" w:rsidRDefault="00CB0DD7">
      <w:pPr>
        <w:pStyle w:val="PL"/>
      </w:pPr>
      <w:r w:rsidRPr="000A0A5F">
        <w:t xml:space="preserve">          $ref: 'TS29122_CommonData.yaml#/components/schemas/DurationSec'</w:t>
      </w:r>
    </w:p>
    <w:p w:rsidR="00CB0DD7" w:rsidRPr="000A0A5F" w:rsidRDefault="00CB0DD7">
      <w:pPr>
        <w:pStyle w:val="PL"/>
      </w:pPr>
      <w:r w:rsidRPr="000A0A5F">
        <w:t xml:space="preserve">        maximumResponseTime:</w:t>
      </w:r>
    </w:p>
    <w:p w:rsidR="00CB0DD7" w:rsidRPr="000A0A5F" w:rsidRDefault="00CB0DD7">
      <w:pPr>
        <w:pStyle w:val="PL"/>
      </w:pPr>
      <w:r w:rsidRPr="000A0A5F">
        <w:t xml:space="preserve">          $ref: 'TS29122_CommonData.yaml#/components/schemas/DurationSec'</w:t>
      </w:r>
    </w:p>
    <w:p w:rsidR="00CB0DD7" w:rsidRPr="000A0A5F" w:rsidRDefault="00CB0DD7">
      <w:pPr>
        <w:pStyle w:val="PL"/>
      </w:pPr>
      <w:r w:rsidRPr="000A0A5F">
        <w:t xml:space="preserve">        maximumDetectionTime:</w:t>
      </w:r>
    </w:p>
    <w:p w:rsidR="00CB0DD7" w:rsidRPr="000A0A5F" w:rsidRDefault="00CB0DD7">
      <w:pPr>
        <w:pStyle w:val="PL"/>
      </w:pPr>
      <w:r w:rsidRPr="000A0A5F">
        <w:t xml:space="preserve">          $ref: 'TS29122_CommonData.yaml#/components/schemas/DurationSec'</w:t>
      </w:r>
    </w:p>
    <w:p w:rsidR="00361FDD" w:rsidRPr="000A0A5F" w:rsidRDefault="00361FDD">
      <w:pPr>
        <w:pStyle w:val="PL"/>
      </w:pPr>
    </w:p>
    <w:p w:rsidR="00CB0DD7" w:rsidRPr="000A0A5F" w:rsidRDefault="00CB0DD7">
      <w:pPr>
        <w:pStyle w:val="PL"/>
      </w:pPr>
      <w:r w:rsidRPr="000A0A5F">
        <w:t xml:space="preserve">    ApiCapabilityInfo:</w:t>
      </w:r>
    </w:p>
    <w:p w:rsidR="00CB0DD7" w:rsidRPr="000A0A5F" w:rsidRDefault="00CB0DD7">
      <w:pPr>
        <w:pStyle w:val="PL"/>
      </w:pPr>
      <w:r w:rsidRPr="000A0A5F">
        <w:t xml:space="preserve">      description: Represents the availability information of supported API.</w:t>
      </w:r>
    </w:p>
    <w:p w:rsidR="00CB0DD7" w:rsidRPr="000A0A5F" w:rsidRDefault="00CB0DD7">
      <w:pPr>
        <w:pStyle w:val="PL"/>
      </w:pPr>
      <w:r w:rsidRPr="000A0A5F">
        <w:t xml:space="preserve">      type: object</w:t>
      </w:r>
    </w:p>
    <w:p w:rsidR="00CB0DD7" w:rsidRPr="000A0A5F" w:rsidRDefault="00CB0DD7">
      <w:pPr>
        <w:pStyle w:val="PL"/>
      </w:pPr>
      <w:r w:rsidRPr="000A0A5F">
        <w:t xml:space="preserve">      properties:</w:t>
      </w:r>
    </w:p>
    <w:p w:rsidR="00CB0DD7" w:rsidRPr="000A0A5F" w:rsidRDefault="00CB0DD7">
      <w:pPr>
        <w:pStyle w:val="PL"/>
      </w:pPr>
      <w:r w:rsidRPr="000A0A5F">
        <w:t xml:space="preserve">        apiName:</w:t>
      </w:r>
    </w:p>
    <w:p w:rsidR="00CB0DD7" w:rsidRPr="000A0A5F" w:rsidRDefault="00CB0DD7">
      <w:pPr>
        <w:pStyle w:val="PL"/>
      </w:pPr>
      <w:r w:rsidRPr="000A0A5F">
        <w:t xml:space="preserve">          type: string</w:t>
      </w:r>
    </w:p>
    <w:p w:rsidR="00CB0DD7" w:rsidRPr="000A0A5F" w:rsidRDefault="00CB0DD7">
      <w:pPr>
        <w:pStyle w:val="PL"/>
      </w:pPr>
      <w:r w:rsidRPr="000A0A5F">
        <w:t xml:space="preserve">        suppFeat:</w:t>
      </w:r>
    </w:p>
    <w:p w:rsidR="00CB0DD7" w:rsidRPr="000A0A5F" w:rsidRDefault="00CB0DD7">
      <w:pPr>
        <w:pStyle w:val="PL"/>
      </w:pPr>
      <w:r w:rsidRPr="000A0A5F">
        <w:t xml:space="preserve">          $ref: 'TS29571_CommonData.yaml#/components/schemas/</w:t>
      </w:r>
      <w:r w:rsidRPr="000A0A5F">
        <w:rPr>
          <w:lang w:eastAsia="zh-CN"/>
        </w:rPr>
        <w:t>SupportedFeatures</w:t>
      </w:r>
      <w:r w:rsidRPr="000A0A5F">
        <w:t>'</w:t>
      </w:r>
    </w:p>
    <w:p w:rsidR="00CB0DD7" w:rsidRPr="000A0A5F" w:rsidRDefault="00CB0DD7">
      <w:pPr>
        <w:pStyle w:val="PL"/>
      </w:pPr>
      <w:r w:rsidRPr="000A0A5F">
        <w:t xml:space="preserve">      required:</w:t>
      </w:r>
    </w:p>
    <w:p w:rsidR="00CB0DD7" w:rsidRPr="000A0A5F" w:rsidRDefault="00CB0DD7">
      <w:pPr>
        <w:pStyle w:val="PL"/>
      </w:pPr>
      <w:r w:rsidRPr="000A0A5F">
        <w:t xml:space="preserve">        - apiName</w:t>
      </w:r>
    </w:p>
    <w:p w:rsidR="00CB0DD7" w:rsidRPr="000A0A5F" w:rsidRDefault="00CB0DD7">
      <w:pPr>
        <w:pStyle w:val="PL"/>
      </w:pPr>
      <w:r w:rsidRPr="000A0A5F">
        <w:t xml:space="preserve">        - suppFeat</w:t>
      </w:r>
    </w:p>
    <w:p w:rsidR="00361FDD" w:rsidRPr="000A0A5F" w:rsidRDefault="00361FDD" w:rsidP="006A7755">
      <w:pPr>
        <w:pStyle w:val="PL"/>
      </w:pPr>
    </w:p>
    <w:p w:rsidR="006A7755" w:rsidRPr="000A0A5F" w:rsidRDefault="006A7755" w:rsidP="006A7755">
      <w:pPr>
        <w:pStyle w:val="PL"/>
      </w:pPr>
      <w:r w:rsidRPr="000A0A5F">
        <w:t xml:space="preserve">    UavPolicy:</w:t>
      </w:r>
    </w:p>
    <w:p w:rsidR="00361FDD" w:rsidRPr="000A0A5F" w:rsidRDefault="006A7755" w:rsidP="006A7755">
      <w:pPr>
        <w:pStyle w:val="PL"/>
      </w:pPr>
      <w:r w:rsidRPr="000A0A5F">
        <w:t xml:space="preserve">      description: </w:t>
      </w:r>
      <w:r w:rsidR="00361FDD" w:rsidRPr="000A0A5F">
        <w:t>&gt;</w:t>
      </w:r>
    </w:p>
    <w:p w:rsidR="006A7755" w:rsidRPr="000A0A5F" w:rsidRDefault="00361FDD" w:rsidP="006A7755">
      <w:pPr>
        <w:pStyle w:val="PL"/>
      </w:pPr>
      <w:r w:rsidRPr="000A0A5F">
        <w:t xml:space="preserve">        </w:t>
      </w:r>
      <w:r w:rsidR="006A7755" w:rsidRPr="000A0A5F">
        <w:t xml:space="preserve">Represents the policy information included in the UAV </w:t>
      </w:r>
      <w:r w:rsidR="006A7755" w:rsidRPr="000A0A5F">
        <w:rPr>
          <w:lang w:eastAsia="zh-CN"/>
        </w:rPr>
        <w:t>presence monitoring request</w:t>
      </w:r>
      <w:r w:rsidR="006A7755" w:rsidRPr="000A0A5F">
        <w:t>.</w:t>
      </w:r>
    </w:p>
    <w:p w:rsidR="006A7755" w:rsidRPr="000A0A5F" w:rsidRDefault="006A7755" w:rsidP="006A7755">
      <w:pPr>
        <w:pStyle w:val="PL"/>
      </w:pPr>
      <w:r w:rsidRPr="000A0A5F">
        <w:t xml:space="preserve">      type: object</w:t>
      </w:r>
    </w:p>
    <w:p w:rsidR="006A7755" w:rsidRPr="000A0A5F" w:rsidRDefault="006A7755" w:rsidP="006A7755">
      <w:pPr>
        <w:pStyle w:val="PL"/>
      </w:pPr>
      <w:r w:rsidRPr="000A0A5F">
        <w:t xml:space="preserve">      properties:</w:t>
      </w:r>
    </w:p>
    <w:p w:rsidR="006A7755" w:rsidRPr="000A0A5F" w:rsidRDefault="006A7755" w:rsidP="006A7755">
      <w:pPr>
        <w:pStyle w:val="PL"/>
      </w:pPr>
      <w:r w:rsidRPr="000A0A5F">
        <w:t xml:space="preserve">        </w:t>
      </w:r>
      <w:r w:rsidRPr="000A0A5F">
        <w:rPr>
          <w:lang w:eastAsia="zh-CN"/>
        </w:rPr>
        <w:t>uavMoveInd</w:t>
      </w:r>
      <w:r w:rsidRPr="000A0A5F">
        <w:t>:</w:t>
      </w:r>
    </w:p>
    <w:p w:rsidR="006A7755" w:rsidRPr="000A0A5F" w:rsidRDefault="006A7755" w:rsidP="006A7755">
      <w:pPr>
        <w:pStyle w:val="PL"/>
      </w:pPr>
      <w:r w:rsidRPr="000A0A5F">
        <w:t xml:space="preserve">          type: boolean</w:t>
      </w:r>
    </w:p>
    <w:p w:rsidR="006A7755" w:rsidRPr="000A0A5F" w:rsidRDefault="006A7755" w:rsidP="006A7755">
      <w:pPr>
        <w:pStyle w:val="PL"/>
      </w:pPr>
      <w:r w:rsidRPr="000A0A5F">
        <w:t xml:space="preserve">        revokeInd:</w:t>
      </w:r>
    </w:p>
    <w:p w:rsidR="006A7755" w:rsidRPr="000A0A5F" w:rsidRDefault="006A7755" w:rsidP="006A7755">
      <w:pPr>
        <w:pStyle w:val="PL"/>
      </w:pPr>
      <w:r w:rsidRPr="000A0A5F">
        <w:t xml:space="preserve">          type: boolean</w:t>
      </w:r>
    </w:p>
    <w:p w:rsidR="006A7755" w:rsidRPr="000A0A5F" w:rsidRDefault="006A7755" w:rsidP="006A7755">
      <w:pPr>
        <w:pStyle w:val="PL"/>
      </w:pPr>
      <w:r w:rsidRPr="000A0A5F">
        <w:t xml:space="preserve">      required:</w:t>
      </w:r>
    </w:p>
    <w:p w:rsidR="006A7755" w:rsidRPr="000A0A5F" w:rsidRDefault="006A7755" w:rsidP="006A7755">
      <w:pPr>
        <w:pStyle w:val="PL"/>
      </w:pPr>
      <w:r w:rsidRPr="000A0A5F">
        <w:t xml:space="preserve">        - </w:t>
      </w:r>
      <w:r w:rsidRPr="000A0A5F">
        <w:rPr>
          <w:lang w:eastAsia="zh-CN"/>
        </w:rPr>
        <w:t>uavMoveInd</w:t>
      </w:r>
    </w:p>
    <w:p w:rsidR="006A7755" w:rsidRPr="000A0A5F" w:rsidRDefault="006A7755" w:rsidP="006A7755">
      <w:pPr>
        <w:pStyle w:val="PL"/>
      </w:pPr>
      <w:r w:rsidRPr="000A0A5F">
        <w:t xml:space="preserve">        - revokeInd</w:t>
      </w:r>
    </w:p>
    <w:p w:rsidR="00AC79C0" w:rsidRPr="000A0A5F" w:rsidRDefault="00AC79C0" w:rsidP="00E37664">
      <w:pPr>
        <w:pStyle w:val="PL"/>
      </w:pPr>
    </w:p>
    <w:p w:rsidR="00E37664" w:rsidRPr="000A0A5F" w:rsidRDefault="00E37664" w:rsidP="00E37664">
      <w:pPr>
        <w:pStyle w:val="PL"/>
      </w:pPr>
      <w:r w:rsidRPr="000A0A5F">
        <w:t xml:space="preserve">    ConsentRevocNotif:</w:t>
      </w:r>
    </w:p>
    <w:p w:rsidR="00E37664" w:rsidRPr="000A0A5F" w:rsidRDefault="00E37664" w:rsidP="00E37664">
      <w:pPr>
        <w:pStyle w:val="PL"/>
        <w:rPr>
          <w:rFonts w:eastAsia="Batang"/>
        </w:rPr>
      </w:pPr>
      <w:r w:rsidRPr="000A0A5F">
        <w:rPr>
          <w:rFonts w:eastAsia="Batang"/>
        </w:rPr>
        <w:t xml:space="preserve">      description: &gt;</w:t>
      </w:r>
    </w:p>
    <w:p w:rsidR="00E37664" w:rsidRPr="000A0A5F" w:rsidRDefault="00E37664" w:rsidP="00E37664">
      <w:pPr>
        <w:pStyle w:val="PL"/>
        <w:rPr>
          <w:rFonts w:eastAsia="Batang"/>
        </w:rPr>
      </w:pPr>
      <w:r w:rsidRPr="000A0A5F">
        <w:rPr>
          <w:rFonts w:eastAsia="Batang"/>
        </w:rPr>
        <w:t xml:space="preserve">        Represents the user consent revocation information conveyed in a user consent</w:t>
      </w:r>
    </w:p>
    <w:p w:rsidR="00E37664" w:rsidRPr="000A0A5F" w:rsidRDefault="00E37664" w:rsidP="00E37664">
      <w:pPr>
        <w:pStyle w:val="PL"/>
        <w:rPr>
          <w:rFonts w:eastAsia="Batang"/>
        </w:rPr>
      </w:pPr>
      <w:r w:rsidRPr="000A0A5F">
        <w:rPr>
          <w:rFonts w:eastAsia="Batang"/>
        </w:rPr>
        <w:t xml:space="preserve">        revocation notification.</w:t>
      </w:r>
    </w:p>
    <w:p w:rsidR="00E37664" w:rsidRPr="000A0A5F" w:rsidRDefault="00E37664" w:rsidP="00E37664">
      <w:pPr>
        <w:pStyle w:val="PL"/>
      </w:pPr>
      <w:r w:rsidRPr="000A0A5F">
        <w:t xml:space="preserve">      type: object</w:t>
      </w:r>
    </w:p>
    <w:p w:rsidR="00E37664" w:rsidRPr="000A0A5F" w:rsidRDefault="00E37664" w:rsidP="00E37664">
      <w:pPr>
        <w:pStyle w:val="PL"/>
      </w:pPr>
      <w:r w:rsidRPr="000A0A5F">
        <w:t xml:space="preserve">      properties:</w:t>
      </w:r>
    </w:p>
    <w:p w:rsidR="00E37664" w:rsidRPr="000A0A5F" w:rsidRDefault="00E37664" w:rsidP="00E37664">
      <w:pPr>
        <w:pStyle w:val="PL"/>
      </w:pPr>
      <w:r w:rsidRPr="000A0A5F">
        <w:t xml:space="preserve">        </w:t>
      </w:r>
      <w:r w:rsidRPr="000A0A5F">
        <w:rPr>
          <w:lang w:eastAsia="zh-CN"/>
        </w:rPr>
        <w:t>subscription</w:t>
      </w:r>
      <w:r w:rsidRPr="000A0A5F">
        <w:rPr>
          <w:rFonts w:hint="eastAsia"/>
          <w:lang w:eastAsia="zh-CN"/>
        </w:rPr>
        <w:t>Id</w:t>
      </w:r>
      <w:r w:rsidRPr="000A0A5F">
        <w:t>:</w:t>
      </w:r>
    </w:p>
    <w:p w:rsidR="00E37664" w:rsidRPr="000A0A5F" w:rsidRDefault="00E37664" w:rsidP="00E37664">
      <w:pPr>
        <w:pStyle w:val="PL"/>
      </w:pPr>
      <w:r w:rsidRPr="000A0A5F">
        <w:t xml:space="preserve">          type: string</w:t>
      </w:r>
    </w:p>
    <w:p w:rsidR="00E37664" w:rsidRPr="000A0A5F" w:rsidRDefault="00E37664" w:rsidP="00E37664">
      <w:pPr>
        <w:pStyle w:val="PL"/>
      </w:pPr>
      <w:r w:rsidRPr="000A0A5F">
        <w:t xml:space="preserve">        </w:t>
      </w:r>
      <w:r w:rsidRPr="000A0A5F">
        <w:rPr>
          <w:lang w:eastAsia="zh-CN"/>
        </w:rPr>
        <w:t>consentsRevoked</w:t>
      </w:r>
      <w:r w:rsidRPr="000A0A5F">
        <w:t>:</w:t>
      </w:r>
    </w:p>
    <w:p w:rsidR="00E37664" w:rsidRPr="000A0A5F" w:rsidRDefault="00E37664" w:rsidP="00E37664">
      <w:pPr>
        <w:pStyle w:val="PL"/>
      </w:pPr>
      <w:r w:rsidRPr="000A0A5F">
        <w:t xml:space="preserve">          type: array</w:t>
      </w:r>
    </w:p>
    <w:p w:rsidR="00E37664" w:rsidRPr="000A0A5F" w:rsidRDefault="00E37664" w:rsidP="00E37664">
      <w:pPr>
        <w:pStyle w:val="PL"/>
      </w:pPr>
      <w:r w:rsidRPr="000A0A5F">
        <w:t xml:space="preserve">          items:</w:t>
      </w:r>
    </w:p>
    <w:p w:rsidR="00E37664" w:rsidRPr="000A0A5F" w:rsidRDefault="00E37664" w:rsidP="00E37664">
      <w:pPr>
        <w:pStyle w:val="PL"/>
      </w:pPr>
      <w:r w:rsidRPr="000A0A5F">
        <w:t xml:space="preserve">            $ref: </w:t>
      </w:r>
      <w:r w:rsidRPr="000A0A5F">
        <w:rPr>
          <w:rFonts w:cs="Courier New"/>
          <w:szCs w:val="16"/>
          <w:lang w:val="en-US"/>
        </w:rPr>
        <w:t>'#/components/schemas/</w:t>
      </w:r>
      <w:r w:rsidRPr="000A0A5F">
        <w:rPr>
          <w:lang w:eastAsia="zh-CN"/>
        </w:rPr>
        <w:t>ConsentRevoked</w:t>
      </w:r>
      <w:r w:rsidRPr="000A0A5F">
        <w:rPr>
          <w:rFonts w:cs="Courier New"/>
          <w:szCs w:val="16"/>
          <w:lang w:val="en-US"/>
        </w:rPr>
        <w:t>'</w:t>
      </w:r>
    </w:p>
    <w:p w:rsidR="00E37664" w:rsidRPr="000A0A5F" w:rsidRDefault="00E37664" w:rsidP="00E37664">
      <w:pPr>
        <w:pStyle w:val="PL"/>
      </w:pPr>
      <w:r w:rsidRPr="000A0A5F">
        <w:t xml:space="preserve">          minItems: 1</w:t>
      </w:r>
    </w:p>
    <w:p w:rsidR="00E37664" w:rsidRPr="000A0A5F" w:rsidRDefault="00E37664" w:rsidP="00E37664">
      <w:pPr>
        <w:pStyle w:val="PL"/>
      </w:pPr>
      <w:r w:rsidRPr="000A0A5F">
        <w:t xml:space="preserve">      required:</w:t>
      </w:r>
    </w:p>
    <w:p w:rsidR="00E37664" w:rsidRPr="000A0A5F" w:rsidRDefault="00E37664" w:rsidP="00E37664">
      <w:pPr>
        <w:pStyle w:val="PL"/>
      </w:pPr>
      <w:r w:rsidRPr="000A0A5F">
        <w:t xml:space="preserve">        - </w:t>
      </w:r>
      <w:r w:rsidRPr="000A0A5F">
        <w:rPr>
          <w:lang w:eastAsia="zh-CN"/>
        </w:rPr>
        <w:t>subscription</w:t>
      </w:r>
      <w:r w:rsidRPr="000A0A5F">
        <w:rPr>
          <w:rFonts w:hint="eastAsia"/>
          <w:lang w:eastAsia="zh-CN"/>
        </w:rPr>
        <w:t>Id</w:t>
      </w:r>
    </w:p>
    <w:p w:rsidR="00E37664" w:rsidRPr="000A0A5F" w:rsidRDefault="00E37664" w:rsidP="00E37664">
      <w:pPr>
        <w:pStyle w:val="PL"/>
      </w:pPr>
      <w:r w:rsidRPr="000A0A5F">
        <w:t xml:space="preserve">        - </w:t>
      </w:r>
      <w:r w:rsidRPr="000A0A5F">
        <w:rPr>
          <w:lang w:eastAsia="zh-CN"/>
        </w:rPr>
        <w:t>consentsRevoked</w:t>
      </w:r>
    </w:p>
    <w:p w:rsidR="00E37664" w:rsidRPr="000A0A5F" w:rsidRDefault="00E37664" w:rsidP="00E37664">
      <w:pPr>
        <w:pStyle w:val="PL"/>
      </w:pPr>
    </w:p>
    <w:p w:rsidR="00E37664" w:rsidRPr="000A0A5F" w:rsidRDefault="00E37664" w:rsidP="00E37664">
      <w:pPr>
        <w:pStyle w:val="PL"/>
      </w:pPr>
      <w:r w:rsidRPr="000A0A5F">
        <w:t xml:space="preserve">    </w:t>
      </w:r>
      <w:r w:rsidRPr="000A0A5F">
        <w:rPr>
          <w:lang w:eastAsia="zh-CN"/>
        </w:rPr>
        <w:t>ConsentRevoked</w:t>
      </w:r>
      <w:r w:rsidRPr="000A0A5F">
        <w:t>:</w:t>
      </w:r>
    </w:p>
    <w:p w:rsidR="00E37664" w:rsidRPr="000A0A5F" w:rsidRDefault="00E37664" w:rsidP="00E37664">
      <w:pPr>
        <w:pStyle w:val="PL"/>
        <w:rPr>
          <w:rFonts w:eastAsia="Batang"/>
        </w:rPr>
      </w:pPr>
      <w:r w:rsidRPr="000A0A5F">
        <w:rPr>
          <w:rFonts w:eastAsia="Batang"/>
        </w:rPr>
        <w:t xml:space="preserve">      description: Represents the information related to a revoked user consent.</w:t>
      </w:r>
    </w:p>
    <w:p w:rsidR="00E37664" w:rsidRPr="000A0A5F" w:rsidRDefault="00E37664" w:rsidP="00E37664">
      <w:pPr>
        <w:pStyle w:val="PL"/>
      </w:pPr>
      <w:r w:rsidRPr="000A0A5F">
        <w:t xml:space="preserve">      type: object</w:t>
      </w:r>
    </w:p>
    <w:p w:rsidR="00E37664" w:rsidRPr="000A0A5F" w:rsidRDefault="00E37664" w:rsidP="00E37664">
      <w:pPr>
        <w:pStyle w:val="PL"/>
      </w:pPr>
      <w:r w:rsidRPr="000A0A5F">
        <w:t xml:space="preserve">      properties:</w:t>
      </w:r>
    </w:p>
    <w:p w:rsidR="00E37664" w:rsidRPr="000A0A5F" w:rsidRDefault="00E37664" w:rsidP="00E37664">
      <w:pPr>
        <w:pStyle w:val="PL"/>
      </w:pPr>
      <w:r w:rsidRPr="000A0A5F">
        <w:t xml:space="preserve">        </w:t>
      </w:r>
      <w:r w:rsidRPr="000A0A5F">
        <w:rPr>
          <w:lang w:eastAsia="zh-CN"/>
        </w:rPr>
        <w:t>ucPurpose</w:t>
      </w:r>
      <w:r w:rsidRPr="000A0A5F">
        <w:t>:</w:t>
      </w:r>
    </w:p>
    <w:p w:rsidR="00E37664" w:rsidRPr="000A0A5F" w:rsidRDefault="00E37664" w:rsidP="00E37664">
      <w:pPr>
        <w:pStyle w:val="PL"/>
      </w:pPr>
      <w:r w:rsidRPr="000A0A5F">
        <w:t xml:space="preserve">          $ref: 'TS29503_Nudm_SDM.yaml#/components/schemas/UcPurpose'</w:t>
      </w:r>
    </w:p>
    <w:p w:rsidR="00E37664" w:rsidRPr="000A0A5F" w:rsidRDefault="00E37664" w:rsidP="00E37664">
      <w:pPr>
        <w:pStyle w:val="PL"/>
      </w:pPr>
      <w:r w:rsidRPr="000A0A5F">
        <w:t xml:space="preserve">        externalId:</w:t>
      </w:r>
    </w:p>
    <w:p w:rsidR="00E37664" w:rsidRPr="000A0A5F" w:rsidRDefault="00E37664" w:rsidP="00E37664">
      <w:pPr>
        <w:pStyle w:val="PL"/>
      </w:pPr>
      <w:r w:rsidRPr="000A0A5F">
        <w:t xml:space="preserve">          $ref: 'TS29122_CommonData.yaml#/components/schemas/ExternalId'</w:t>
      </w:r>
    </w:p>
    <w:p w:rsidR="00E37664" w:rsidRPr="000A0A5F" w:rsidRDefault="00E37664" w:rsidP="00E37664">
      <w:pPr>
        <w:pStyle w:val="PL"/>
      </w:pPr>
      <w:r w:rsidRPr="000A0A5F">
        <w:t xml:space="preserve">        msisdn:</w:t>
      </w:r>
    </w:p>
    <w:p w:rsidR="00E37664" w:rsidRPr="000A0A5F" w:rsidRDefault="00E37664" w:rsidP="00E37664">
      <w:pPr>
        <w:pStyle w:val="PL"/>
      </w:pPr>
      <w:r w:rsidRPr="000A0A5F">
        <w:t xml:space="preserve">          $ref: 'TS29122_CommonData.yaml#/components/schemas/Msisdn'</w:t>
      </w:r>
    </w:p>
    <w:p w:rsidR="00E37664" w:rsidRPr="000A0A5F" w:rsidRDefault="00E37664" w:rsidP="00E37664">
      <w:pPr>
        <w:pStyle w:val="PL"/>
      </w:pPr>
      <w:r w:rsidRPr="000A0A5F">
        <w:t xml:space="preserve">      required:</w:t>
      </w:r>
    </w:p>
    <w:p w:rsidR="00E37664" w:rsidRPr="000A0A5F" w:rsidRDefault="00E37664" w:rsidP="00E37664">
      <w:pPr>
        <w:pStyle w:val="PL"/>
      </w:pPr>
      <w:r w:rsidRPr="000A0A5F">
        <w:t xml:space="preserve">        - </w:t>
      </w:r>
      <w:r w:rsidRPr="000A0A5F">
        <w:rPr>
          <w:lang w:eastAsia="zh-CN"/>
        </w:rPr>
        <w:t>ucPurpose</w:t>
      </w:r>
    </w:p>
    <w:p w:rsidR="00E37664" w:rsidRPr="000A0A5F" w:rsidRDefault="00E37664" w:rsidP="00E37664">
      <w:pPr>
        <w:pStyle w:val="PL"/>
      </w:pPr>
      <w:r w:rsidRPr="000A0A5F">
        <w:t xml:space="preserve">      oneOf:</w:t>
      </w:r>
    </w:p>
    <w:p w:rsidR="00E37664" w:rsidRPr="000A0A5F" w:rsidRDefault="00E37664" w:rsidP="00E37664">
      <w:pPr>
        <w:pStyle w:val="PL"/>
      </w:pPr>
      <w:r w:rsidRPr="000A0A5F">
        <w:t xml:space="preserve">      - required: [externalId]</w:t>
      </w:r>
    </w:p>
    <w:p w:rsidR="00E37664" w:rsidRPr="000A0A5F" w:rsidRDefault="00E37664" w:rsidP="00E37664">
      <w:pPr>
        <w:pStyle w:val="PL"/>
      </w:pPr>
      <w:r w:rsidRPr="000A0A5F">
        <w:t xml:space="preserve">      - required: [msisdn]</w:t>
      </w:r>
    </w:p>
    <w:p w:rsidR="00F53F60" w:rsidRPr="000A0A5F" w:rsidRDefault="00F53F60" w:rsidP="00F53F60">
      <w:pPr>
        <w:pStyle w:val="PL"/>
      </w:pPr>
    </w:p>
    <w:p w:rsidR="00F53F60" w:rsidRPr="000A0A5F" w:rsidRDefault="00F53F60" w:rsidP="00F53F60">
      <w:pPr>
        <w:pStyle w:val="PL"/>
      </w:pPr>
      <w:r w:rsidRPr="000A0A5F">
        <w:t xml:space="preserve">    GroupMembListChanges:</w:t>
      </w:r>
    </w:p>
    <w:p w:rsidR="00F53F60" w:rsidRPr="000A0A5F" w:rsidRDefault="00F53F60" w:rsidP="00F53F60">
      <w:pPr>
        <w:pStyle w:val="PL"/>
        <w:rPr>
          <w:rFonts w:eastAsia="Batang"/>
        </w:rPr>
      </w:pPr>
      <w:r w:rsidRPr="000A0A5F">
        <w:rPr>
          <w:rFonts w:eastAsia="Batang"/>
        </w:rPr>
        <w:t xml:space="preserve">      description: </w:t>
      </w:r>
      <w:r w:rsidRPr="000A0A5F">
        <w:t>Represents information on the change(s) to a group's members list</w:t>
      </w:r>
      <w:r w:rsidRPr="000A0A5F">
        <w:rPr>
          <w:rFonts w:eastAsia="Batang"/>
        </w:rPr>
        <w:t>.</w:t>
      </w:r>
    </w:p>
    <w:p w:rsidR="00F53F60" w:rsidRPr="000A0A5F" w:rsidRDefault="00F53F60" w:rsidP="00F53F60">
      <w:pPr>
        <w:pStyle w:val="PL"/>
      </w:pPr>
      <w:r w:rsidRPr="000A0A5F">
        <w:t xml:space="preserve">      type: object</w:t>
      </w:r>
    </w:p>
    <w:p w:rsidR="00F53F60" w:rsidRPr="000A0A5F" w:rsidRDefault="00F53F60" w:rsidP="00F53F60">
      <w:pPr>
        <w:pStyle w:val="PL"/>
      </w:pPr>
      <w:r w:rsidRPr="000A0A5F">
        <w:t xml:space="preserve">      properties:</w:t>
      </w:r>
    </w:p>
    <w:p w:rsidR="00F53F60" w:rsidRPr="000A0A5F" w:rsidRDefault="00F53F60" w:rsidP="00F53F60">
      <w:pPr>
        <w:pStyle w:val="PL"/>
      </w:pPr>
      <w:r w:rsidRPr="000A0A5F">
        <w:t xml:space="preserve">        </w:t>
      </w:r>
      <w:r w:rsidRPr="000A0A5F">
        <w:rPr>
          <w:lang w:eastAsia="zh-CN"/>
        </w:rPr>
        <w:t>addedUEs</w:t>
      </w:r>
      <w:r w:rsidRPr="000A0A5F">
        <w:t>:</w:t>
      </w:r>
    </w:p>
    <w:p w:rsidR="00F53F60" w:rsidRPr="000A0A5F" w:rsidRDefault="00F53F60" w:rsidP="00F53F60">
      <w:pPr>
        <w:pStyle w:val="PL"/>
      </w:pPr>
      <w:r w:rsidRPr="000A0A5F">
        <w:t xml:space="preserve">          type: array</w:t>
      </w:r>
    </w:p>
    <w:p w:rsidR="00F53F60" w:rsidRPr="000A0A5F" w:rsidRDefault="00F53F60" w:rsidP="00F53F60">
      <w:pPr>
        <w:pStyle w:val="PL"/>
      </w:pPr>
      <w:r w:rsidRPr="000A0A5F">
        <w:t xml:space="preserve">          items:</w:t>
      </w:r>
    </w:p>
    <w:p w:rsidR="00F53F60" w:rsidRPr="000A0A5F" w:rsidRDefault="00F53F60" w:rsidP="00F53F60">
      <w:pPr>
        <w:pStyle w:val="PL"/>
      </w:pPr>
      <w:r w:rsidRPr="000A0A5F">
        <w:t xml:space="preserve">            $ref: 'TS29571_CommonData.yaml#/components/schemas/Gpsi'</w:t>
      </w:r>
    </w:p>
    <w:p w:rsidR="00F53F60" w:rsidRPr="000A0A5F" w:rsidRDefault="00F53F60" w:rsidP="00F53F60">
      <w:pPr>
        <w:pStyle w:val="PL"/>
      </w:pPr>
      <w:r w:rsidRPr="000A0A5F">
        <w:t xml:space="preserve">          minItems: 1</w:t>
      </w:r>
    </w:p>
    <w:p w:rsidR="00F53F60" w:rsidRPr="000A0A5F" w:rsidRDefault="00F53F60" w:rsidP="00F53F60">
      <w:pPr>
        <w:pStyle w:val="PL"/>
      </w:pPr>
      <w:r w:rsidRPr="000A0A5F">
        <w:t xml:space="preserve">        </w:t>
      </w:r>
      <w:r w:rsidRPr="000A0A5F">
        <w:rPr>
          <w:lang w:eastAsia="zh-CN"/>
        </w:rPr>
        <w:t>removedUEs</w:t>
      </w:r>
      <w:r w:rsidRPr="000A0A5F">
        <w:t>:</w:t>
      </w:r>
    </w:p>
    <w:p w:rsidR="00F53F60" w:rsidRPr="000A0A5F" w:rsidRDefault="00F53F60" w:rsidP="00F53F60">
      <w:pPr>
        <w:pStyle w:val="PL"/>
      </w:pPr>
      <w:r w:rsidRPr="000A0A5F">
        <w:t xml:space="preserve">          type: array</w:t>
      </w:r>
    </w:p>
    <w:p w:rsidR="00F53F60" w:rsidRPr="000A0A5F" w:rsidRDefault="00F53F60" w:rsidP="00F53F60">
      <w:pPr>
        <w:pStyle w:val="PL"/>
      </w:pPr>
      <w:r w:rsidRPr="000A0A5F">
        <w:t xml:space="preserve">          items:</w:t>
      </w:r>
    </w:p>
    <w:p w:rsidR="00F53F60" w:rsidRPr="000A0A5F" w:rsidRDefault="00F53F60" w:rsidP="00F53F60">
      <w:pPr>
        <w:pStyle w:val="PL"/>
      </w:pPr>
      <w:r w:rsidRPr="000A0A5F">
        <w:t xml:space="preserve">            $ref: 'TS29571_CommonData.yaml#/components/schemas/Gpsi'</w:t>
      </w:r>
    </w:p>
    <w:p w:rsidR="00F53F60" w:rsidRPr="000A0A5F" w:rsidRDefault="00F53F60" w:rsidP="00F53F60">
      <w:pPr>
        <w:pStyle w:val="PL"/>
      </w:pPr>
      <w:r w:rsidRPr="000A0A5F">
        <w:t xml:space="preserve">          minItems: 1</w:t>
      </w:r>
    </w:p>
    <w:p w:rsidR="00F53F60" w:rsidRPr="000A0A5F" w:rsidRDefault="00F53F60" w:rsidP="00F53F60">
      <w:pPr>
        <w:pStyle w:val="PL"/>
      </w:pPr>
      <w:r w:rsidRPr="000A0A5F">
        <w:t xml:space="preserve">      anyOf:</w:t>
      </w:r>
    </w:p>
    <w:p w:rsidR="00F53F60" w:rsidRPr="000A0A5F" w:rsidRDefault="00F53F60" w:rsidP="00F53F60">
      <w:pPr>
        <w:pStyle w:val="PL"/>
      </w:pPr>
      <w:r w:rsidRPr="000A0A5F">
        <w:t xml:space="preserve">      - required: [</w:t>
      </w:r>
      <w:r w:rsidRPr="000A0A5F">
        <w:rPr>
          <w:lang w:eastAsia="zh-CN"/>
        </w:rPr>
        <w:t>addedUEs</w:t>
      </w:r>
      <w:r w:rsidRPr="000A0A5F">
        <w:t>]</w:t>
      </w:r>
    </w:p>
    <w:p w:rsidR="001F6018" w:rsidRPr="000A0A5F" w:rsidRDefault="001F6018" w:rsidP="001F6018">
      <w:pPr>
        <w:pStyle w:val="PL"/>
      </w:pPr>
      <w:r w:rsidRPr="000A0A5F">
        <w:t xml:space="preserve">      - required: [</w:t>
      </w:r>
      <w:r w:rsidRPr="000A0A5F">
        <w:rPr>
          <w:lang w:eastAsia="zh-CN"/>
        </w:rPr>
        <w:t>removedUEs</w:t>
      </w:r>
      <w:r w:rsidRPr="000A0A5F">
        <w:t>]</w:t>
      </w:r>
    </w:p>
    <w:p w:rsidR="001F6018" w:rsidRPr="000A0A5F" w:rsidRDefault="001F6018" w:rsidP="001F6018">
      <w:pPr>
        <w:pStyle w:val="PL"/>
      </w:pPr>
    </w:p>
    <w:p w:rsidR="001F6018" w:rsidRPr="000A0A5F" w:rsidRDefault="001F6018" w:rsidP="001F6018">
      <w:pPr>
        <w:pStyle w:val="PL"/>
      </w:pPr>
      <w:r w:rsidRPr="000A0A5F">
        <w:t xml:space="preserve">    </w:t>
      </w:r>
      <w:r w:rsidRPr="000A0A5F">
        <w:rPr>
          <w:rFonts w:eastAsia="Times New Roman"/>
          <w:lang w:eastAsia="en-GB"/>
        </w:rPr>
        <w:t>UpLocRepAddrAfRm</w:t>
      </w:r>
      <w:r w:rsidRPr="000A0A5F">
        <w:t>:</w:t>
      </w:r>
    </w:p>
    <w:p w:rsidR="001F6018" w:rsidRPr="000A0A5F" w:rsidRDefault="001F6018" w:rsidP="001F6018">
      <w:pPr>
        <w:pStyle w:val="PL"/>
        <w:rPr>
          <w:rFonts w:eastAsia="Batang"/>
        </w:rPr>
      </w:pPr>
      <w:r w:rsidRPr="000A0A5F">
        <w:rPr>
          <w:rFonts w:eastAsia="Batang"/>
        </w:rPr>
        <w:t xml:space="preserve">      description: </w:t>
      </w:r>
      <w:r w:rsidRPr="000A0A5F">
        <w:t>Represents the user plane addressing information</w:t>
      </w:r>
      <w:r w:rsidRPr="000A0A5F">
        <w:rPr>
          <w:rFonts w:eastAsia="Batang"/>
        </w:rPr>
        <w:t>.</w:t>
      </w:r>
    </w:p>
    <w:p w:rsidR="001F6018" w:rsidRPr="000A0A5F" w:rsidRDefault="001F6018" w:rsidP="001F6018">
      <w:pPr>
        <w:pStyle w:val="PL"/>
      </w:pPr>
      <w:r w:rsidRPr="000A0A5F">
        <w:t xml:space="preserve">      type: object</w:t>
      </w:r>
    </w:p>
    <w:p w:rsidR="001F6018" w:rsidRPr="000A0A5F" w:rsidRDefault="001F6018" w:rsidP="001F6018">
      <w:pPr>
        <w:pStyle w:val="PL"/>
      </w:pPr>
      <w:r w:rsidRPr="000A0A5F">
        <w:t xml:space="preserve">      properties:</w:t>
      </w:r>
    </w:p>
    <w:p w:rsidR="001F6018" w:rsidRPr="000A0A5F" w:rsidRDefault="001F6018" w:rsidP="001F6018">
      <w:pPr>
        <w:pStyle w:val="PL"/>
      </w:pPr>
      <w:r w:rsidRPr="000A0A5F">
        <w:t xml:space="preserve">        ipv4Addrs:</w:t>
      </w:r>
    </w:p>
    <w:p w:rsidR="001F6018" w:rsidRPr="000A0A5F" w:rsidRDefault="001F6018" w:rsidP="001F6018">
      <w:pPr>
        <w:pStyle w:val="PL"/>
      </w:pPr>
      <w:r w:rsidRPr="000A0A5F">
        <w:t xml:space="preserve">          type: array</w:t>
      </w:r>
    </w:p>
    <w:p w:rsidR="001F6018" w:rsidRPr="000A0A5F" w:rsidRDefault="001F6018" w:rsidP="001F6018">
      <w:pPr>
        <w:pStyle w:val="PL"/>
      </w:pPr>
      <w:r w:rsidRPr="000A0A5F">
        <w:t xml:space="preserve">          items:</w:t>
      </w:r>
    </w:p>
    <w:p w:rsidR="001F6018" w:rsidRPr="000A0A5F" w:rsidRDefault="001F6018" w:rsidP="001F6018">
      <w:pPr>
        <w:pStyle w:val="PL"/>
      </w:pPr>
      <w:r w:rsidRPr="000A0A5F">
        <w:t xml:space="preserve">            $ref: 'TS29571_CommonData.yaml#/components/schemas/Ipv4Addr'</w:t>
      </w:r>
    </w:p>
    <w:p w:rsidR="001F6018" w:rsidRPr="000A0A5F" w:rsidRDefault="001F6018" w:rsidP="001F6018">
      <w:pPr>
        <w:pStyle w:val="PL"/>
      </w:pPr>
      <w:r w:rsidRPr="000A0A5F">
        <w:t xml:space="preserve">          minItems: 1</w:t>
      </w:r>
    </w:p>
    <w:p w:rsidR="001F6018" w:rsidRPr="000A0A5F" w:rsidRDefault="001F6018" w:rsidP="001F6018">
      <w:pPr>
        <w:pStyle w:val="PL"/>
      </w:pPr>
      <w:r w:rsidRPr="000A0A5F">
        <w:t xml:space="preserve">        ipv6Addrs:</w:t>
      </w:r>
    </w:p>
    <w:p w:rsidR="001F6018" w:rsidRPr="000A0A5F" w:rsidRDefault="001F6018" w:rsidP="001F6018">
      <w:pPr>
        <w:pStyle w:val="PL"/>
      </w:pPr>
      <w:r w:rsidRPr="000A0A5F">
        <w:t xml:space="preserve">          type: array</w:t>
      </w:r>
    </w:p>
    <w:p w:rsidR="001F6018" w:rsidRPr="000A0A5F" w:rsidRDefault="001F6018" w:rsidP="001F6018">
      <w:pPr>
        <w:pStyle w:val="PL"/>
      </w:pPr>
      <w:r w:rsidRPr="000A0A5F">
        <w:t xml:space="preserve">          items:</w:t>
      </w:r>
    </w:p>
    <w:p w:rsidR="001F6018" w:rsidRPr="000A0A5F" w:rsidRDefault="001F6018" w:rsidP="001F6018">
      <w:pPr>
        <w:pStyle w:val="PL"/>
      </w:pPr>
      <w:r w:rsidRPr="000A0A5F">
        <w:t xml:space="preserve">            $ref: 'TS29571_CommonData.yaml#/components/schemas/Ipv6Addr'</w:t>
      </w:r>
    </w:p>
    <w:p w:rsidR="001F6018" w:rsidRPr="000A0A5F" w:rsidRDefault="001F6018" w:rsidP="001F6018">
      <w:pPr>
        <w:pStyle w:val="PL"/>
      </w:pPr>
      <w:r w:rsidRPr="000A0A5F">
        <w:t xml:space="preserve">          minItems: 1</w:t>
      </w:r>
    </w:p>
    <w:p w:rsidR="001F6018" w:rsidRPr="000A0A5F" w:rsidRDefault="001F6018" w:rsidP="001F6018">
      <w:pPr>
        <w:pStyle w:val="PL"/>
      </w:pPr>
      <w:r w:rsidRPr="000A0A5F">
        <w:t xml:space="preserve">        fqdn:</w:t>
      </w:r>
    </w:p>
    <w:p w:rsidR="001F6018" w:rsidRPr="000A0A5F" w:rsidRDefault="001F6018" w:rsidP="001F6018">
      <w:pPr>
        <w:pStyle w:val="PL"/>
      </w:pPr>
      <w:r w:rsidRPr="000A0A5F">
        <w:t xml:space="preserve">          $ref: 'TS29571_CommonData.yaml#/components/schemas/Fqdn'</w:t>
      </w:r>
    </w:p>
    <w:p w:rsidR="001F6018" w:rsidRPr="000A0A5F" w:rsidRDefault="001F6018" w:rsidP="001F6018">
      <w:pPr>
        <w:pStyle w:val="PL"/>
      </w:pPr>
      <w:r w:rsidRPr="000A0A5F">
        <w:t xml:space="preserve">      nullable: true</w:t>
      </w:r>
    </w:p>
    <w:p w:rsidR="001F6018" w:rsidRPr="000A0A5F" w:rsidRDefault="001F6018" w:rsidP="001F6018">
      <w:pPr>
        <w:pStyle w:val="PL"/>
      </w:pPr>
      <w:r w:rsidRPr="000A0A5F">
        <w:t xml:space="preserve">      anyOf:</w:t>
      </w:r>
    </w:p>
    <w:p w:rsidR="001F6018" w:rsidRPr="000A0A5F" w:rsidRDefault="001F6018" w:rsidP="001F6018">
      <w:pPr>
        <w:pStyle w:val="PL"/>
      </w:pPr>
      <w:r w:rsidRPr="000A0A5F">
        <w:t xml:space="preserve">      - required: [ipv4Addrs]</w:t>
      </w:r>
    </w:p>
    <w:p w:rsidR="001F6018" w:rsidRPr="000A0A5F" w:rsidRDefault="001F6018" w:rsidP="001F6018">
      <w:pPr>
        <w:pStyle w:val="PL"/>
      </w:pPr>
      <w:r w:rsidRPr="000A0A5F">
        <w:t xml:space="preserve">      - required: [ipv6Addrs]</w:t>
      </w:r>
    </w:p>
    <w:p w:rsidR="001F6018" w:rsidRPr="000A0A5F" w:rsidRDefault="001F6018" w:rsidP="001F6018">
      <w:pPr>
        <w:pStyle w:val="PL"/>
      </w:pPr>
      <w:r w:rsidRPr="000A0A5F">
        <w:t xml:space="preserve">      - required: [fqdn]</w:t>
      </w:r>
    </w:p>
    <w:p w:rsidR="006D571E" w:rsidRDefault="006D571E" w:rsidP="006D571E">
      <w:pPr>
        <w:pStyle w:val="PL"/>
      </w:pPr>
    </w:p>
    <w:p w:rsidR="006D571E" w:rsidRDefault="006D571E" w:rsidP="006D571E">
      <w:pPr>
        <w:pStyle w:val="PL"/>
      </w:pPr>
      <w:r>
        <w:t xml:space="preserve">    </w:t>
      </w:r>
      <w:r>
        <w:rPr>
          <w:lang w:eastAsia="zh-CN"/>
        </w:rPr>
        <w:t>UpCumEvtRep</w:t>
      </w:r>
      <w:r>
        <w:t>:</w:t>
      </w:r>
    </w:p>
    <w:p w:rsidR="006D571E" w:rsidRDefault="006D571E" w:rsidP="006D571E">
      <w:pPr>
        <w:pStyle w:val="PL"/>
        <w:rPr>
          <w:rFonts w:eastAsia="Batang"/>
        </w:rPr>
      </w:pPr>
      <w:r>
        <w:rPr>
          <w:rFonts w:eastAsia="Batang"/>
        </w:rPr>
        <w:t xml:space="preserve">      description: Represents the </w:t>
      </w:r>
      <w:r w:rsidRPr="001515A1">
        <w:rPr>
          <w:rFonts w:eastAsia="Times New Roman"/>
          <w:lang w:eastAsia="zh-CN"/>
        </w:rPr>
        <w:t>cumulative event report</w:t>
      </w:r>
      <w:r>
        <w:rPr>
          <w:rFonts w:eastAsia="Batang"/>
        </w:rPr>
        <w:t>.</w:t>
      </w:r>
    </w:p>
    <w:p w:rsidR="006D571E" w:rsidRDefault="006D571E" w:rsidP="006D571E">
      <w:pPr>
        <w:pStyle w:val="PL"/>
      </w:pPr>
      <w:r>
        <w:t xml:space="preserve">      type: object</w:t>
      </w:r>
    </w:p>
    <w:p w:rsidR="006D571E" w:rsidRDefault="006D571E" w:rsidP="006D571E">
      <w:pPr>
        <w:pStyle w:val="PL"/>
      </w:pPr>
      <w:r>
        <w:t xml:space="preserve">      properties:</w:t>
      </w:r>
    </w:p>
    <w:p w:rsidR="006D571E" w:rsidRDefault="006D571E" w:rsidP="006D571E">
      <w:pPr>
        <w:pStyle w:val="PL"/>
      </w:pPr>
      <w:r>
        <w:t xml:space="preserve">        </w:t>
      </w:r>
      <w:r w:rsidRPr="00104450">
        <w:rPr>
          <w:rFonts w:eastAsia="Times New Roman"/>
          <w:lang w:eastAsia="zh-CN"/>
        </w:rPr>
        <w:t>u</w:t>
      </w:r>
      <w:r>
        <w:rPr>
          <w:rFonts w:eastAsia="Times New Roman"/>
          <w:lang w:eastAsia="zh-CN"/>
        </w:rPr>
        <w:t>p</w:t>
      </w:r>
      <w:r w:rsidRPr="00104450">
        <w:rPr>
          <w:rFonts w:eastAsia="Times New Roman"/>
          <w:lang w:eastAsia="zh-CN"/>
        </w:rPr>
        <w:t>LocRepStat</w:t>
      </w:r>
      <w:r>
        <w:t>:</w:t>
      </w:r>
    </w:p>
    <w:p w:rsidR="006D571E" w:rsidRDefault="006D571E" w:rsidP="006D571E">
      <w:pPr>
        <w:pStyle w:val="PL"/>
      </w:pPr>
      <w:r>
        <w:t xml:space="preserve">          $ref: '</w:t>
      </w:r>
      <w:r>
        <w:rPr>
          <w:rFonts w:cs="Courier New"/>
          <w:szCs w:val="16"/>
        </w:rPr>
        <w:t>TS29571_CommonData.yaml</w:t>
      </w:r>
      <w:r>
        <w:t>#/components/schemas/Uinteger'</w:t>
      </w:r>
    </w:p>
    <w:p w:rsidR="00F53F60" w:rsidRDefault="00F53F60" w:rsidP="00E37664">
      <w:pPr>
        <w:pStyle w:val="PL"/>
      </w:pPr>
    </w:p>
    <w:p w:rsidR="006D571E" w:rsidRPr="000A0A5F" w:rsidRDefault="006D571E" w:rsidP="00E37664">
      <w:pPr>
        <w:pStyle w:val="PL"/>
      </w:pPr>
    </w:p>
    <w:p w:rsidR="00CB0DD7" w:rsidRPr="000A0A5F" w:rsidRDefault="00CB0DD7">
      <w:pPr>
        <w:pStyle w:val="PL"/>
      </w:pPr>
      <w:r w:rsidRPr="000A0A5F">
        <w:t>#</w:t>
      </w:r>
    </w:p>
    <w:p w:rsidR="00CB0DD7" w:rsidRPr="000A0A5F" w:rsidRDefault="00CB0DD7">
      <w:pPr>
        <w:pStyle w:val="PL"/>
      </w:pPr>
      <w:r w:rsidRPr="000A0A5F">
        <w:t># ENUMS</w:t>
      </w:r>
    </w:p>
    <w:p w:rsidR="00CB0DD7" w:rsidRPr="000A0A5F" w:rsidRDefault="00CB0DD7">
      <w:pPr>
        <w:pStyle w:val="PL"/>
        <w:rPr>
          <w:rFonts w:hint="eastAsia"/>
        </w:rPr>
      </w:pPr>
      <w:r w:rsidRPr="000A0A5F">
        <w:t>#</w:t>
      </w:r>
    </w:p>
    <w:p w:rsidR="00CB0DD7" w:rsidRPr="000A0A5F" w:rsidRDefault="00CB0DD7">
      <w:pPr>
        <w:pStyle w:val="PL"/>
      </w:pPr>
      <w:r w:rsidRPr="000A0A5F">
        <w:t xml:space="preserve">    MonitoringType:</w:t>
      </w:r>
    </w:p>
    <w:p w:rsidR="00CB0DD7" w:rsidRPr="000A0A5F" w:rsidRDefault="00CB0DD7">
      <w:pPr>
        <w:pStyle w:val="PL"/>
      </w:pPr>
      <w:r w:rsidRPr="000A0A5F">
        <w:t xml:space="preserve">      anyOf:</w:t>
      </w:r>
    </w:p>
    <w:p w:rsidR="00CB0DD7" w:rsidRPr="000A0A5F" w:rsidRDefault="00CB0DD7">
      <w:pPr>
        <w:pStyle w:val="PL"/>
      </w:pPr>
      <w:r w:rsidRPr="000A0A5F">
        <w:t xml:space="preserve">      - type: string</w:t>
      </w:r>
    </w:p>
    <w:p w:rsidR="00CB0DD7" w:rsidRPr="000A0A5F" w:rsidRDefault="00CB0DD7">
      <w:pPr>
        <w:pStyle w:val="PL"/>
      </w:pPr>
      <w:r w:rsidRPr="000A0A5F">
        <w:t xml:space="preserve">        enum:</w:t>
      </w:r>
    </w:p>
    <w:p w:rsidR="00CB0DD7" w:rsidRPr="000A0A5F" w:rsidRDefault="00CB0DD7">
      <w:pPr>
        <w:pStyle w:val="PL"/>
      </w:pPr>
      <w:r w:rsidRPr="000A0A5F">
        <w:t xml:space="preserve">          - LOSS_OF_CONNECTIVITY</w:t>
      </w:r>
    </w:p>
    <w:p w:rsidR="00CB0DD7" w:rsidRPr="000A0A5F" w:rsidRDefault="00CB0DD7">
      <w:pPr>
        <w:pStyle w:val="PL"/>
      </w:pPr>
      <w:r w:rsidRPr="000A0A5F">
        <w:t xml:space="preserve">          - UE_REACHABILITY</w:t>
      </w:r>
    </w:p>
    <w:p w:rsidR="00CB0DD7" w:rsidRPr="000A0A5F" w:rsidRDefault="00CB0DD7">
      <w:pPr>
        <w:pStyle w:val="PL"/>
      </w:pPr>
      <w:r w:rsidRPr="000A0A5F">
        <w:t xml:space="preserve">          - LOCATION_REPORTING</w:t>
      </w:r>
    </w:p>
    <w:p w:rsidR="00CB0DD7" w:rsidRPr="000A0A5F" w:rsidRDefault="00CB0DD7">
      <w:pPr>
        <w:pStyle w:val="PL"/>
      </w:pPr>
      <w:r w:rsidRPr="000A0A5F">
        <w:t xml:space="preserve">          - CHANGE_OF_IMSI_IMEI_ASSOCIATION</w:t>
      </w:r>
    </w:p>
    <w:p w:rsidR="00CB0DD7" w:rsidRPr="000A0A5F" w:rsidRDefault="00CB0DD7">
      <w:pPr>
        <w:pStyle w:val="PL"/>
      </w:pPr>
      <w:r w:rsidRPr="000A0A5F">
        <w:t xml:space="preserve">          - ROAMING_STATUS</w:t>
      </w:r>
    </w:p>
    <w:p w:rsidR="00CB0DD7" w:rsidRPr="000A0A5F" w:rsidRDefault="00CB0DD7">
      <w:pPr>
        <w:pStyle w:val="PL"/>
      </w:pPr>
      <w:r w:rsidRPr="000A0A5F">
        <w:t xml:space="preserve">          - COMMUNICATION_FAILURE</w:t>
      </w:r>
    </w:p>
    <w:p w:rsidR="00CB0DD7" w:rsidRPr="000A0A5F" w:rsidRDefault="00CB0DD7">
      <w:pPr>
        <w:pStyle w:val="PL"/>
      </w:pPr>
      <w:r w:rsidRPr="000A0A5F">
        <w:t xml:space="preserve">          - AVAILABILITY_AFTER_DDN_FAILURE</w:t>
      </w:r>
    </w:p>
    <w:p w:rsidR="00CB0DD7" w:rsidRPr="000A0A5F" w:rsidRDefault="00CB0DD7">
      <w:pPr>
        <w:pStyle w:val="PL"/>
      </w:pPr>
      <w:r w:rsidRPr="000A0A5F">
        <w:t xml:space="preserve">          - NUMBER_OF_UES_IN_AN_AREA</w:t>
      </w:r>
    </w:p>
    <w:p w:rsidR="00CB0DD7" w:rsidRPr="000A0A5F" w:rsidRDefault="00CB0DD7">
      <w:pPr>
        <w:pStyle w:val="PL"/>
      </w:pPr>
      <w:r w:rsidRPr="000A0A5F">
        <w:t xml:space="preserve">          - PDN_CONNECTIVITY_STATUS</w:t>
      </w:r>
    </w:p>
    <w:p w:rsidR="00CB0DD7" w:rsidRPr="000A0A5F" w:rsidRDefault="00CB0DD7">
      <w:pPr>
        <w:pStyle w:val="PL"/>
      </w:pPr>
      <w:r w:rsidRPr="000A0A5F">
        <w:t xml:space="preserve">          - DOWNLINK_DATA_DELIVERY_STATUS</w:t>
      </w:r>
    </w:p>
    <w:p w:rsidR="00CB0DD7" w:rsidRPr="000A0A5F" w:rsidRDefault="00CB0DD7">
      <w:pPr>
        <w:pStyle w:val="PL"/>
      </w:pPr>
      <w:r w:rsidRPr="000A0A5F">
        <w:t xml:space="preserve">          - API_SUPPORT_CAPABILITY</w:t>
      </w:r>
    </w:p>
    <w:p w:rsidR="00CB0DD7" w:rsidRPr="000A0A5F" w:rsidRDefault="00CB0DD7">
      <w:pPr>
        <w:pStyle w:val="PL"/>
      </w:pPr>
      <w:r w:rsidRPr="000A0A5F">
        <w:t xml:space="preserve">          - NUM_OF_REGD_UES</w:t>
      </w:r>
    </w:p>
    <w:p w:rsidR="00CB0DD7" w:rsidRPr="000A0A5F" w:rsidRDefault="00CB0DD7">
      <w:pPr>
        <w:pStyle w:val="PL"/>
        <w:rPr>
          <w:lang w:val="en-US"/>
        </w:rPr>
      </w:pPr>
      <w:r w:rsidRPr="000A0A5F">
        <w:t xml:space="preserve">          </w:t>
      </w:r>
      <w:r w:rsidRPr="000A0A5F">
        <w:rPr>
          <w:lang w:val="en-US"/>
        </w:rPr>
        <w:t>- NUM_OF_ESTD_PDU_SESSIONS</w:t>
      </w:r>
    </w:p>
    <w:p w:rsidR="003C3461" w:rsidRPr="000A0A5F" w:rsidRDefault="003C3461" w:rsidP="003C3461">
      <w:pPr>
        <w:pStyle w:val="PL"/>
      </w:pPr>
      <w:r w:rsidRPr="000A0A5F">
        <w:rPr>
          <w:lang w:val="en-US"/>
        </w:rPr>
        <w:t xml:space="preserve">          - </w:t>
      </w:r>
      <w:r w:rsidRPr="000A0A5F">
        <w:t>AREA_OF_INTEREST</w:t>
      </w:r>
    </w:p>
    <w:p w:rsidR="00F53F60" w:rsidRPr="000A0A5F" w:rsidRDefault="00F53F60" w:rsidP="003C3461">
      <w:pPr>
        <w:pStyle w:val="PL"/>
        <w:rPr>
          <w:lang w:val="en-US"/>
        </w:rPr>
      </w:pPr>
      <w:r w:rsidRPr="000A0A5F">
        <w:rPr>
          <w:lang w:val="en-US"/>
        </w:rPr>
        <w:t xml:space="preserve">          - </w:t>
      </w:r>
      <w:r w:rsidRPr="000A0A5F">
        <w:t>GROUP_MEMBER_LIST_CHANGE</w:t>
      </w:r>
    </w:p>
    <w:p w:rsidR="00CA3915" w:rsidRPr="000A0A5F" w:rsidRDefault="00CA3915" w:rsidP="00CA3915">
      <w:pPr>
        <w:pStyle w:val="PL"/>
        <w:rPr>
          <w:lang w:val="en-US"/>
        </w:rPr>
      </w:pPr>
      <w:r w:rsidRPr="000A0A5F">
        <w:rPr>
          <w:lang w:val="en-US"/>
        </w:rPr>
        <w:t xml:space="preserve">          - APPLICATION_START</w:t>
      </w:r>
    </w:p>
    <w:p w:rsidR="00CA3915" w:rsidRPr="000A0A5F" w:rsidRDefault="00CA3915" w:rsidP="00CA3915">
      <w:pPr>
        <w:pStyle w:val="PL"/>
        <w:rPr>
          <w:lang w:val="en-US"/>
        </w:rPr>
      </w:pPr>
      <w:r w:rsidRPr="000A0A5F">
        <w:rPr>
          <w:lang w:val="en-US"/>
        </w:rPr>
        <w:t xml:space="preserve">          - APPLICATION STOP</w:t>
      </w:r>
    </w:p>
    <w:p w:rsidR="00CB0DD7" w:rsidRPr="000A0A5F" w:rsidRDefault="00CB0DD7">
      <w:pPr>
        <w:pStyle w:val="PL"/>
      </w:pPr>
      <w:r w:rsidRPr="000A0A5F">
        <w:t xml:space="preserve">      - type: string</w:t>
      </w:r>
    </w:p>
    <w:p w:rsidR="00CB0DD7" w:rsidRPr="000A0A5F" w:rsidRDefault="00CB0DD7">
      <w:pPr>
        <w:pStyle w:val="PL"/>
      </w:pPr>
      <w:r w:rsidRPr="000A0A5F">
        <w:t xml:space="preserve">        description: &gt;</w:t>
      </w:r>
    </w:p>
    <w:p w:rsidR="00CB0DD7" w:rsidRPr="000A0A5F" w:rsidRDefault="00CB0DD7">
      <w:pPr>
        <w:pStyle w:val="PL"/>
      </w:pPr>
      <w:r w:rsidRPr="000A0A5F">
        <w:t xml:space="preserve">          This string provides forward-compatibility with future</w:t>
      </w:r>
    </w:p>
    <w:p w:rsidR="00CB0DD7" w:rsidRPr="000A0A5F" w:rsidRDefault="00CB0DD7">
      <w:pPr>
        <w:pStyle w:val="PL"/>
      </w:pPr>
      <w:r w:rsidRPr="000A0A5F">
        <w:t xml:space="preserve">          extensions to the enumeration but is not used to encode</w:t>
      </w:r>
    </w:p>
    <w:p w:rsidR="00CB0DD7" w:rsidRPr="000A0A5F" w:rsidRDefault="00CB0DD7">
      <w:pPr>
        <w:pStyle w:val="PL"/>
      </w:pPr>
      <w:r w:rsidRPr="000A0A5F">
        <w:t xml:space="preserve">          content defined in the present version of this API.</w:t>
      </w:r>
    </w:p>
    <w:p w:rsidR="00361FDD" w:rsidRPr="000A0A5F" w:rsidRDefault="00CB0DD7" w:rsidP="00361FDD">
      <w:pPr>
        <w:pStyle w:val="PL"/>
      </w:pPr>
      <w:r w:rsidRPr="000A0A5F">
        <w:t xml:space="preserve">      description: </w:t>
      </w:r>
      <w:r w:rsidR="00361FDD" w:rsidRPr="000A0A5F">
        <w:t>|</w:t>
      </w:r>
    </w:p>
    <w:p w:rsidR="00CB0DD7" w:rsidRPr="000A0A5F" w:rsidRDefault="00361FDD">
      <w:pPr>
        <w:pStyle w:val="PL"/>
      </w:pPr>
      <w:r w:rsidRPr="000A0A5F">
        <w:t xml:space="preserve">        Represents a monitoring event type.  </w:t>
      </w:r>
    </w:p>
    <w:p w:rsidR="00CB0DD7" w:rsidRPr="000A0A5F" w:rsidRDefault="00CB0DD7">
      <w:pPr>
        <w:pStyle w:val="PL"/>
      </w:pPr>
      <w:r w:rsidRPr="000A0A5F">
        <w:t xml:space="preserve">        Possible values are</w:t>
      </w:r>
    </w:p>
    <w:p w:rsidR="00361FDD" w:rsidRPr="000A0A5F" w:rsidRDefault="00CB0DD7">
      <w:pPr>
        <w:pStyle w:val="PL"/>
      </w:pPr>
      <w:r w:rsidRPr="000A0A5F">
        <w:t xml:space="preserve">        - LOSS_OF_CONNECTIVITY: The SCS/AS requests to be notified when the 3GPP network detects</w:t>
      </w:r>
    </w:p>
    <w:p w:rsidR="00CB0DD7" w:rsidRPr="000A0A5F" w:rsidRDefault="00361FDD">
      <w:pPr>
        <w:pStyle w:val="PL"/>
      </w:pPr>
      <w:r w:rsidRPr="000A0A5F">
        <w:t xml:space="preserve">         </w:t>
      </w:r>
      <w:r w:rsidR="00CB0DD7" w:rsidRPr="000A0A5F">
        <w:t xml:space="preserve"> that the UE is no longer reachable for signalling or user plane communication</w:t>
      </w:r>
    </w:p>
    <w:p w:rsidR="00361FDD" w:rsidRPr="000A0A5F" w:rsidRDefault="00CB0DD7">
      <w:pPr>
        <w:pStyle w:val="PL"/>
      </w:pPr>
      <w:r w:rsidRPr="000A0A5F">
        <w:t xml:space="preserve">        - UE_REACHABILITY: The SCS/AS requests to be notified when the UE becomes reachable for</w:t>
      </w:r>
    </w:p>
    <w:p w:rsidR="00CB0DD7" w:rsidRPr="000A0A5F" w:rsidRDefault="00361FDD">
      <w:pPr>
        <w:pStyle w:val="PL"/>
      </w:pPr>
      <w:r w:rsidRPr="000A0A5F">
        <w:t xml:space="preserve">         </w:t>
      </w:r>
      <w:r w:rsidR="00CB0DD7" w:rsidRPr="000A0A5F">
        <w:t xml:space="preserve"> sending either SMS or downlink data to the UE</w:t>
      </w:r>
    </w:p>
    <w:p w:rsidR="00361FDD" w:rsidRPr="000A0A5F" w:rsidRDefault="00CB0DD7">
      <w:pPr>
        <w:pStyle w:val="PL"/>
      </w:pPr>
      <w:r w:rsidRPr="000A0A5F">
        <w:t xml:space="preserve">        - LOCATION_REPORTING: The SCS/AS requests to be notified of the current location or</w:t>
      </w:r>
    </w:p>
    <w:p w:rsidR="00CB0DD7" w:rsidRPr="000A0A5F" w:rsidRDefault="00361FDD">
      <w:pPr>
        <w:pStyle w:val="PL"/>
      </w:pPr>
      <w:r w:rsidRPr="000A0A5F">
        <w:t xml:space="preserve">         </w:t>
      </w:r>
      <w:r w:rsidR="00CB0DD7" w:rsidRPr="000A0A5F">
        <w:t xml:space="preserve"> the last known location of the UE</w:t>
      </w:r>
    </w:p>
    <w:p w:rsidR="00361FDD" w:rsidRPr="000A0A5F" w:rsidRDefault="00CB0DD7">
      <w:pPr>
        <w:pStyle w:val="PL"/>
      </w:pPr>
      <w:r w:rsidRPr="000A0A5F">
        <w:t xml:space="preserve">        - CHANGE_OF_IMSI_IMEI_ASSOCIATION: The SCS/AS requests to be notified when the association</w:t>
      </w:r>
    </w:p>
    <w:p w:rsidR="00CB0DD7" w:rsidRPr="000A0A5F" w:rsidRDefault="00361FDD">
      <w:pPr>
        <w:pStyle w:val="PL"/>
      </w:pPr>
      <w:r w:rsidRPr="000A0A5F">
        <w:t xml:space="preserve">         </w:t>
      </w:r>
      <w:r w:rsidR="00CB0DD7" w:rsidRPr="000A0A5F">
        <w:t xml:space="preserve"> of an ME (IMEI(SV)) that uses a specific subscription (IMSI) is changed</w:t>
      </w:r>
    </w:p>
    <w:p w:rsidR="00361FDD" w:rsidRPr="000A0A5F" w:rsidRDefault="00CB0DD7">
      <w:pPr>
        <w:pStyle w:val="PL"/>
      </w:pPr>
      <w:r w:rsidRPr="000A0A5F">
        <w:t xml:space="preserve">        - ROAMING_STATUS: The SCS/AS queries the UE's current roaming status and requests to get</w:t>
      </w:r>
    </w:p>
    <w:p w:rsidR="00CB0DD7" w:rsidRPr="000A0A5F" w:rsidRDefault="00361FDD">
      <w:pPr>
        <w:pStyle w:val="PL"/>
      </w:pPr>
      <w:r w:rsidRPr="000A0A5F">
        <w:t xml:space="preserve">         </w:t>
      </w:r>
      <w:r w:rsidR="00CB0DD7" w:rsidRPr="000A0A5F">
        <w:t xml:space="preserve"> notified when the status changes</w:t>
      </w:r>
    </w:p>
    <w:p w:rsidR="00CB0DD7" w:rsidRPr="000A0A5F" w:rsidRDefault="00CB0DD7">
      <w:pPr>
        <w:pStyle w:val="PL"/>
      </w:pPr>
      <w:r w:rsidRPr="000A0A5F">
        <w:t xml:space="preserve">        - COMMUNICATION_FAILURE: The SCS/AS requests to be notified of communication failure events</w:t>
      </w:r>
    </w:p>
    <w:p w:rsidR="00361FDD" w:rsidRPr="000A0A5F" w:rsidRDefault="00CB0DD7">
      <w:pPr>
        <w:pStyle w:val="PL"/>
      </w:pPr>
      <w:r w:rsidRPr="000A0A5F">
        <w:t xml:space="preserve">        - AVAILABILITY_AFTER_DDN_FAILURE: The SCS/AS requests to be notified when the UE has become</w:t>
      </w:r>
    </w:p>
    <w:p w:rsidR="00CB0DD7" w:rsidRPr="000A0A5F" w:rsidRDefault="00361FDD">
      <w:pPr>
        <w:pStyle w:val="PL"/>
      </w:pPr>
      <w:r w:rsidRPr="000A0A5F">
        <w:t xml:space="preserve">         </w:t>
      </w:r>
      <w:r w:rsidR="00CB0DD7" w:rsidRPr="000A0A5F">
        <w:t xml:space="preserve"> available after a DDN failure</w:t>
      </w:r>
    </w:p>
    <w:p w:rsidR="00361FDD" w:rsidRPr="000A0A5F" w:rsidRDefault="00CB0DD7">
      <w:pPr>
        <w:pStyle w:val="PL"/>
      </w:pPr>
      <w:r w:rsidRPr="000A0A5F">
        <w:t xml:space="preserve">        - NUMBER_OF_UES_IN_AN_AREA: The SCS/AS requests to be notified the number of UEs in a given</w:t>
      </w:r>
    </w:p>
    <w:p w:rsidR="00CB0DD7" w:rsidRPr="000A0A5F" w:rsidRDefault="00361FDD">
      <w:pPr>
        <w:pStyle w:val="PL"/>
      </w:pPr>
      <w:r w:rsidRPr="000A0A5F">
        <w:t xml:space="preserve">         </w:t>
      </w:r>
      <w:r w:rsidR="00CB0DD7" w:rsidRPr="000A0A5F">
        <w:t xml:space="preserve"> geographic area</w:t>
      </w:r>
    </w:p>
    <w:p w:rsidR="00361FDD" w:rsidRPr="000A0A5F" w:rsidRDefault="00CB0DD7">
      <w:pPr>
        <w:pStyle w:val="PL"/>
        <w:rPr>
          <w:rFonts w:cs="Arial"/>
          <w:szCs w:val="18"/>
          <w:lang w:eastAsia="zh-CN"/>
        </w:rPr>
      </w:pPr>
      <w:r w:rsidRPr="000A0A5F">
        <w:t xml:space="preserve">        - PDN_CONNECTIVITY_STATUS: </w:t>
      </w:r>
      <w:r w:rsidRPr="000A0A5F">
        <w:rPr>
          <w:rFonts w:cs="Arial"/>
          <w:szCs w:val="18"/>
          <w:lang w:eastAsia="zh-CN"/>
        </w:rPr>
        <w:t>The SCS/AS requests to be notified when the 3GPP network detects</w:t>
      </w:r>
    </w:p>
    <w:p w:rsidR="00CB0DD7" w:rsidRPr="000A0A5F" w:rsidRDefault="00361FDD">
      <w:pPr>
        <w:pStyle w:val="PL"/>
      </w:pPr>
      <w:r w:rsidRPr="000A0A5F">
        <w:t xml:space="preserve">         </w:t>
      </w:r>
      <w:r w:rsidR="00CB0DD7" w:rsidRPr="000A0A5F">
        <w:rPr>
          <w:rFonts w:cs="Arial"/>
          <w:szCs w:val="18"/>
          <w:lang w:eastAsia="zh-CN"/>
        </w:rPr>
        <w:t xml:space="preserve"> that the UE’s PDN connection is set up or torn down</w:t>
      </w:r>
    </w:p>
    <w:p w:rsidR="00CB0DD7" w:rsidRPr="000A0A5F" w:rsidRDefault="00CB0DD7">
      <w:pPr>
        <w:pStyle w:val="PL"/>
        <w:rPr>
          <w:rFonts w:cs="Arial"/>
          <w:szCs w:val="18"/>
          <w:lang w:eastAsia="zh-CN"/>
        </w:rPr>
      </w:pPr>
      <w:r w:rsidRPr="000A0A5F">
        <w:t xml:space="preserve">        - DOWNLINK_DATA_DELIVERY_STATUS: </w:t>
      </w:r>
      <w:r w:rsidRPr="000A0A5F">
        <w:rPr>
          <w:rFonts w:cs="Arial"/>
          <w:szCs w:val="18"/>
          <w:lang w:eastAsia="zh-CN"/>
        </w:rPr>
        <w:t>The AF requests to be notified when the 3GPP network detects that the downlink data delivery status is changed.</w:t>
      </w:r>
    </w:p>
    <w:p w:rsidR="00420E57" w:rsidRPr="000A0A5F" w:rsidRDefault="00CB0DD7">
      <w:pPr>
        <w:pStyle w:val="PL"/>
        <w:rPr>
          <w:rFonts w:cs="Arial"/>
          <w:szCs w:val="18"/>
          <w:lang w:eastAsia="zh-CN"/>
        </w:rPr>
      </w:pPr>
      <w:r w:rsidRPr="000A0A5F">
        <w:t xml:space="preserve">        - API_SUPPORT_CAPABILITY: </w:t>
      </w:r>
      <w:r w:rsidRPr="000A0A5F">
        <w:rPr>
          <w:rFonts w:cs="Arial"/>
          <w:szCs w:val="18"/>
          <w:lang w:eastAsia="zh-CN"/>
        </w:rPr>
        <w:t>The SCS/AS requests to be notified of the availability of support</w:t>
      </w:r>
    </w:p>
    <w:p w:rsidR="00CB0DD7" w:rsidRPr="000A0A5F" w:rsidRDefault="00420E57">
      <w:pPr>
        <w:pStyle w:val="PL"/>
        <w:rPr>
          <w:rFonts w:cs="Arial"/>
          <w:szCs w:val="18"/>
          <w:lang w:eastAsia="zh-CN"/>
        </w:rPr>
      </w:pPr>
      <w:r w:rsidRPr="000A0A5F">
        <w:t xml:space="preserve">         </w:t>
      </w:r>
      <w:r w:rsidR="00CB0DD7" w:rsidRPr="000A0A5F">
        <w:rPr>
          <w:rFonts w:cs="Arial"/>
          <w:szCs w:val="18"/>
          <w:lang w:eastAsia="zh-CN"/>
        </w:rPr>
        <w:t xml:space="preserve"> of service APIs.</w:t>
      </w:r>
    </w:p>
    <w:p w:rsidR="00420E57" w:rsidRPr="000A0A5F" w:rsidRDefault="00CB0DD7">
      <w:pPr>
        <w:pStyle w:val="PL"/>
      </w:pPr>
      <w:r w:rsidRPr="000A0A5F">
        <w:t xml:space="preserve">        - NUM_OF_REGD_UES:</w:t>
      </w:r>
      <w:r w:rsidRPr="000A0A5F">
        <w:rPr>
          <w:rFonts w:cs="Arial"/>
          <w:szCs w:val="18"/>
          <w:lang w:eastAsia="zh-CN"/>
        </w:rPr>
        <w:t xml:space="preserve"> The AF requests to be notified of </w:t>
      </w:r>
      <w:r w:rsidRPr="000A0A5F">
        <w:t>the current number of registered UEs</w:t>
      </w:r>
    </w:p>
    <w:p w:rsidR="00CB0DD7" w:rsidRPr="000A0A5F" w:rsidRDefault="00420E57">
      <w:pPr>
        <w:pStyle w:val="PL"/>
      </w:pPr>
      <w:r w:rsidRPr="000A0A5F">
        <w:t xml:space="preserve">         </w:t>
      </w:r>
      <w:r w:rsidR="00CB0DD7" w:rsidRPr="000A0A5F">
        <w:t xml:space="preserve"> for a network slice</w:t>
      </w:r>
      <w:r w:rsidR="00CB0DD7" w:rsidRPr="000A0A5F">
        <w:rPr>
          <w:rFonts w:cs="Arial"/>
          <w:szCs w:val="18"/>
          <w:lang w:eastAsia="zh-CN"/>
        </w:rPr>
        <w:t>.</w:t>
      </w:r>
    </w:p>
    <w:p w:rsidR="00420E57" w:rsidRPr="000A0A5F" w:rsidRDefault="00CB0DD7">
      <w:pPr>
        <w:pStyle w:val="PL"/>
      </w:pPr>
      <w:r w:rsidRPr="000A0A5F">
        <w:t xml:space="preserve">        - NUM_OF_EST</w:t>
      </w:r>
      <w:r w:rsidRPr="000A0A5F">
        <w:rPr>
          <w:lang w:val="en-US"/>
        </w:rPr>
        <w:t>D</w:t>
      </w:r>
      <w:r w:rsidRPr="000A0A5F">
        <w:t>_PDU_SESSIONS:</w:t>
      </w:r>
      <w:r w:rsidRPr="000A0A5F">
        <w:rPr>
          <w:rFonts w:cs="Arial"/>
          <w:szCs w:val="18"/>
          <w:lang w:eastAsia="zh-CN"/>
        </w:rPr>
        <w:t xml:space="preserve"> The AF requests to be notified of </w:t>
      </w:r>
      <w:r w:rsidRPr="000A0A5F">
        <w:t>the current number of</w:t>
      </w:r>
    </w:p>
    <w:p w:rsidR="00CB0DD7" w:rsidRPr="000A0A5F" w:rsidRDefault="00420E57">
      <w:pPr>
        <w:pStyle w:val="PL"/>
      </w:pPr>
      <w:r w:rsidRPr="000A0A5F">
        <w:t xml:space="preserve">         </w:t>
      </w:r>
      <w:r w:rsidR="00CB0DD7" w:rsidRPr="000A0A5F">
        <w:t xml:space="preserve"> established PDU Sessions for a network slice</w:t>
      </w:r>
      <w:r w:rsidR="00CB0DD7" w:rsidRPr="000A0A5F">
        <w:rPr>
          <w:rFonts w:cs="Arial"/>
          <w:szCs w:val="18"/>
          <w:lang w:eastAsia="zh-CN"/>
        </w:rPr>
        <w:t>.</w:t>
      </w:r>
    </w:p>
    <w:p w:rsidR="00420E57" w:rsidRPr="000A0A5F" w:rsidRDefault="003C3461" w:rsidP="003C3461">
      <w:pPr>
        <w:pStyle w:val="PL"/>
        <w:rPr>
          <w:rFonts w:cs="Arial"/>
          <w:szCs w:val="18"/>
          <w:lang w:eastAsia="zh-CN"/>
        </w:rPr>
      </w:pPr>
      <w:r w:rsidRPr="000A0A5F">
        <w:rPr>
          <w:rFonts w:hint="eastAsia"/>
          <w:lang w:eastAsia="zh-CN"/>
        </w:rPr>
        <w:t xml:space="preserve"> </w:t>
      </w:r>
      <w:r w:rsidRPr="000A0A5F">
        <w:rPr>
          <w:lang w:eastAsia="zh-CN"/>
        </w:rPr>
        <w:t xml:space="preserve">       - </w:t>
      </w:r>
      <w:r w:rsidRPr="000A0A5F">
        <w:t xml:space="preserve">AREA_OF_INTEREST: </w:t>
      </w:r>
      <w:r w:rsidRPr="000A0A5F">
        <w:rPr>
          <w:rFonts w:cs="Arial"/>
          <w:szCs w:val="18"/>
          <w:lang w:eastAsia="zh-CN"/>
        </w:rPr>
        <w:t>The SCS/AS requests to be notified when the UAV moves in or</w:t>
      </w:r>
    </w:p>
    <w:p w:rsidR="003C3461" w:rsidRPr="000A0A5F" w:rsidRDefault="00420E57" w:rsidP="003C3461">
      <w:pPr>
        <w:pStyle w:val="PL"/>
        <w:rPr>
          <w:lang w:eastAsia="zh-CN"/>
        </w:rPr>
      </w:pPr>
      <w:r w:rsidRPr="000A0A5F">
        <w:t xml:space="preserve">         </w:t>
      </w:r>
      <w:r w:rsidR="003C3461" w:rsidRPr="000A0A5F">
        <w:rPr>
          <w:rFonts w:cs="Arial"/>
          <w:szCs w:val="18"/>
          <w:lang w:eastAsia="zh-CN"/>
        </w:rPr>
        <w:t xml:space="preserve"> out of the geographic area.</w:t>
      </w:r>
    </w:p>
    <w:p w:rsidR="00CA3915" w:rsidRPr="000A0A5F" w:rsidRDefault="00F53F60">
      <w:pPr>
        <w:pStyle w:val="PL"/>
      </w:pPr>
      <w:r w:rsidRPr="000A0A5F">
        <w:rPr>
          <w:rFonts w:hint="eastAsia"/>
          <w:lang w:eastAsia="zh-CN"/>
        </w:rPr>
        <w:t xml:space="preserve"> </w:t>
      </w:r>
      <w:r w:rsidRPr="000A0A5F">
        <w:rPr>
          <w:lang w:eastAsia="zh-CN"/>
        </w:rPr>
        <w:t xml:space="preserve">       - </w:t>
      </w:r>
      <w:r w:rsidRPr="000A0A5F">
        <w:t xml:space="preserve">GROUP_MEMBER_LIST_CHANGE: </w:t>
      </w:r>
      <w:r w:rsidRPr="000A0A5F">
        <w:rPr>
          <w:rFonts w:cs="Arial"/>
          <w:szCs w:val="18"/>
          <w:lang w:eastAsia="zh-CN"/>
        </w:rPr>
        <w:t xml:space="preserve">The AF requests to be notified of </w:t>
      </w:r>
      <w:r w:rsidRPr="000A0A5F">
        <w:t>the changes to a group members</w:t>
      </w:r>
    </w:p>
    <w:p w:rsidR="00F53F60" w:rsidRPr="000A0A5F" w:rsidRDefault="00CA3915">
      <w:pPr>
        <w:pStyle w:val="PL"/>
      </w:pPr>
      <w:r w:rsidRPr="000A0A5F">
        <w:t xml:space="preserve">         </w:t>
      </w:r>
      <w:r w:rsidR="00F53F60" w:rsidRPr="000A0A5F">
        <w:t xml:space="preserve"> list.</w:t>
      </w:r>
    </w:p>
    <w:p w:rsidR="00CA3915" w:rsidRPr="000A0A5F" w:rsidRDefault="00CA3915" w:rsidP="00CA3915">
      <w:pPr>
        <w:pStyle w:val="PL"/>
        <w:rPr>
          <w:rFonts w:cs="Arial"/>
          <w:szCs w:val="18"/>
          <w:lang w:eastAsia="zh-CN"/>
        </w:rPr>
      </w:pPr>
      <w:r w:rsidRPr="000A0A5F">
        <w:rPr>
          <w:rFonts w:hint="eastAsia"/>
          <w:lang w:eastAsia="zh-CN"/>
        </w:rPr>
        <w:t xml:space="preserve"> </w:t>
      </w:r>
      <w:r w:rsidRPr="000A0A5F">
        <w:rPr>
          <w:lang w:eastAsia="zh-CN"/>
        </w:rPr>
        <w:t xml:space="preserve">       - APPLICATION_START: </w:t>
      </w:r>
      <w:r w:rsidRPr="000A0A5F">
        <w:rPr>
          <w:rFonts w:cs="Arial"/>
          <w:szCs w:val="18"/>
          <w:lang w:eastAsia="zh-CN"/>
        </w:rPr>
        <w:t>The AF requests to be notified about the start of application traffic</w:t>
      </w:r>
    </w:p>
    <w:p w:rsidR="00CA3915" w:rsidRPr="000A0A5F" w:rsidRDefault="00CA3915" w:rsidP="00CA3915">
      <w:pPr>
        <w:pStyle w:val="PL"/>
        <w:rPr>
          <w:rFonts w:cs="Arial"/>
          <w:szCs w:val="18"/>
          <w:lang w:eastAsia="zh-CN"/>
        </w:rPr>
      </w:pPr>
      <w:r w:rsidRPr="000A0A5F">
        <w:rPr>
          <w:rFonts w:cs="Arial"/>
          <w:szCs w:val="18"/>
          <w:lang w:eastAsia="zh-CN"/>
        </w:rPr>
        <w:t xml:space="preserve">          has been detected.</w:t>
      </w:r>
    </w:p>
    <w:p w:rsidR="00CA3915" w:rsidRPr="000A0A5F" w:rsidRDefault="00CA3915" w:rsidP="00CA3915">
      <w:pPr>
        <w:pStyle w:val="PL"/>
        <w:rPr>
          <w:rFonts w:cs="Arial"/>
          <w:szCs w:val="18"/>
          <w:lang w:eastAsia="zh-CN"/>
        </w:rPr>
      </w:pPr>
      <w:r w:rsidRPr="000A0A5F">
        <w:rPr>
          <w:rFonts w:cs="Arial"/>
          <w:szCs w:val="18"/>
          <w:lang w:eastAsia="zh-CN"/>
        </w:rPr>
        <w:t xml:space="preserve">        - APPLICATION_STOP: The AF requests to be notified about the stop of application traffic</w:t>
      </w:r>
    </w:p>
    <w:p w:rsidR="00CA3915" w:rsidRPr="000A0A5F" w:rsidRDefault="00CA3915" w:rsidP="00CA3915">
      <w:pPr>
        <w:pStyle w:val="PL"/>
        <w:rPr>
          <w:rFonts w:cs="Arial"/>
          <w:szCs w:val="18"/>
          <w:lang w:eastAsia="zh-CN"/>
        </w:rPr>
      </w:pPr>
      <w:r w:rsidRPr="000A0A5F">
        <w:rPr>
          <w:rFonts w:cs="Arial"/>
          <w:szCs w:val="18"/>
          <w:lang w:eastAsia="zh-CN"/>
        </w:rPr>
        <w:t xml:space="preserve">          has been detected.</w:t>
      </w:r>
    </w:p>
    <w:p w:rsidR="00457A02" w:rsidRPr="000A0A5F" w:rsidRDefault="00457A02">
      <w:pPr>
        <w:pStyle w:val="PL"/>
      </w:pPr>
    </w:p>
    <w:p w:rsidR="00CB0DD7" w:rsidRPr="000A0A5F" w:rsidRDefault="00CB0DD7">
      <w:pPr>
        <w:pStyle w:val="PL"/>
      </w:pPr>
      <w:r w:rsidRPr="000A0A5F">
        <w:t xml:space="preserve">    ReachabilityType:</w:t>
      </w:r>
    </w:p>
    <w:p w:rsidR="00CB0DD7" w:rsidRPr="000A0A5F" w:rsidRDefault="00CB0DD7">
      <w:pPr>
        <w:pStyle w:val="PL"/>
      </w:pPr>
      <w:r w:rsidRPr="000A0A5F">
        <w:t xml:space="preserve">      anyOf:</w:t>
      </w:r>
    </w:p>
    <w:p w:rsidR="00CB0DD7" w:rsidRPr="000A0A5F" w:rsidRDefault="00CB0DD7">
      <w:pPr>
        <w:pStyle w:val="PL"/>
      </w:pPr>
      <w:r w:rsidRPr="000A0A5F">
        <w:t xml:space="preserve">      - type: string</w:t>
      </w:r>
    </w:p>
    <w:p w:rsidR="00CB0DD7" w:rsidRPr="000A0A5F" w:rsidRDefault="00CB0DD7">
      <w:pPr>
        <w:pStyle w:val="PL"/>
      </w:pPr>
      <w:r w:rsidRPr="000A0A5F">
        <w:t xml:space="preserve">        enum:</w:t>
      </w:r>
    </w:p>
    <w:p w:rsidR="00CB0DD7" w:rsidRPr="000A0A5F" w:rsidRDefault="00CB0DD7">
      <w:pPr>
        <w:pStyle w:val="PL"/>
      </w:pPr>
      <w:r w:rsidRPr="000A0A5F">
        <w:t xml:space="preserve">          - SMS</w:t>
      </w:r>
    </w:p>
    <w:p w:rsidR="00CB0DD7" w:rsidRPr="000A0A5F" w:rsidRDefault="00CB0DD7">
      <w:pPr>
        <w:pStyle w:val="PL"/>
      </w:pPr>
      <w:r w:rsidRPr="000A0A5F">
        <w:t xml:space="preserve">          - DATA</w:t>
      </w:r>
    </w:p>
    <w:p w:rsidR="00CB0DD7" w:rsidRPr="000A0A5F" w:rsidRDefault="00CB0DD7">
      <w:pPr>
        <w:pStyle w:val="PL"/>
      </w:pPr>
      <w:r w:rsidRPr="000A0A5F">
        <w:t xml:space="preserve">      - type: string</w:t>
      </w:r>
    </w:p>
    <w:p w:rsidR="00CB0DD7" w:rsidRPr="000A0A5F" w:rsidRDefault="00CB0DD7">
      <w:pPr>
        <w:pStyle w:val="PL"/>
      </w:pPr>
      <w:r w:rsidRPr="000A0A5F">
        <w:t xml:space="preserve">        description: &gt;</w:t>
      </w:r>
    </w:p>
    <w:p w:rsidR="00CB0DD7" w:rsidRPr="000A0A5F" w:rsidRDefault="00CB0DD7">
      <w:pPr>
        <w:pStyle w:val="PL"/>
      </w:pPr>
      <w:r w:rsidRPr="000A0A5F">
        <w:t xml:space="preserve">          This string provides forward-compatibility with future</w:t>
      </w:r>
    </w:p>
    <w:p w:rsidR="00CB0DD7" w:rsidRPr="000A0A5F" w:rsidRDefault="00CB0DD7">
      <w:pPr>
        <w:pStyle w:val="PL"/>
      </w:pPr>
      <w:r w:rsidRPr="000A0A5F">
        <w:t xml:space="preserve">          extensions to the enumeration but is not used to encode</w:t>
      </w:r>
    </w:p>
    <w:p w:rsidR="00CB0DD7" w:rsidRPr="000A0A5F" w:rsidRDefault="00CB0DD7">
      <w:pPr>
        <w:pStyle w:val="PL"/>
      </w:pPr>
      <w:r w:rsidRPr="000A0A5F">
        <w:t xml:space="preserve">          content defined in the present version of this API.</w:t>
      </w:r>
    </w:p>
    <w:p w:rsidR="00457A02" w:rsidRPr="000A0A5F" w:rsidRDefault="00CB0DD7" w:rsidP="00457A02">
      <w:pPr>
        <w:pStyle w:val="PL"/>
      </w:pPr>
      <w:r w:rsidRPr="000A0A5F">
        <w:t xml:space="preserve">      description: </w:t>
      </w:r>
      <w:r w:rsidR="00457A02" w:rsidRPr="000A0A5F">
        <w:t>|</w:t>
      </w:r>
    </w:p>
    <w:p w:rsidR="00CB0DD7" w:rsidRPr="000A0A5F" w:rsidRDefault="00457A02" w:rsidP="00457A02">
      <w:pPr>
        <w:pStyle w:val="PL"/>
      </w:pPr>
      <w:r w:rsidRPr="000A0A5F">
        <w:t xml:space="preserve">        Represents a reachability type.  </w:t>
      </w:r>
    </w:p>
    <w:p w:rsidR="00CB0DD7" w:rsidRPr="000A0A5F" w:rsidRDefault="00CB0DD7">
      <w:pPr>
        <w:pStyle w:val="PL"/>
      </w:pPr>
      <w:r w:rsidRPr="000A0A5F">
        <w:t xml:space="preserve">        Possible values are</w:t>
      </w:r>
    </w:p>
    <w:p w:rsidR="00457A02" w:rsidRPr="000A0A5F" w:rsidRDefault="00CB0DD7">
      <w:pPr>
        <w:pStyle w:val="PL"/>
      </w:pPr>
      <w:r w:rsidRPr="000A0A5F">
        <w:t xml:space="preserve">        - SMS: The SCS/AS requests to be notified when the UE becomes reachable for sending SMS</w:t>
      </w:r>
    </w:p>
    <w:p w:rsidR="00CB0DD7" w:rsidRPr="000A0A5F" w:rsidRDefault="00457A02">
      <w:pPr>
        <w:pStyle w:val="PL"/>
      </w:pPr>
      <w:r w:rsidRPr="000A0A5F">
        <w:t xml:space="preserve">         </w:t>
      </w:r>
      <w:r w:rsidR="00CB0DD7" w:rsidRPr="000A0A5F">
        <w:t xml:space="preserve"> to the UE</w:t>
      </w:r>
    </w:p>
    <w:p w:rsidR="00457A02" w:rsidRPr="000A0A5F" w:rsidRDefault="00CB0DD7">
      <w:pPr>
        <w:pStyle w:val="PL"/>
      </w:pPr>
      <w:r w:rsidRPr="000A0A5F">
        <w:t xml:space="preserve">        - DATA: The SCS/AS requests to be notified when the UE becomes reachable for sending</w:t>
      </w:r>
    </w:p>
    <w:p w:rsidR="00CB0DD7" w:rsidRPr="000A0A5F" w:rsidRDefault="00457A02">
      <w:pPr>
        <w:pStyle w:val="PL"/>
      </w:pPr>
      <w:r w:rsidRPr="000A0A5F">
        <w:t xml:space="preserve">         </w:t>
      </w:r>
      <w:r w:rsidR="00CB0DD7" w:rsidRPr="000A0A5F">
        <w:t xml:space="preserve"> downlink data to the UE</w:t>
      </w:r>
      <w:r w:rsidRPr="000A0A5F">
        <w:t>.</w:t>
      </w:r>
    </w:p>
    <w:p w:rsidR="00457A02" w:rsidRPr="000A0A5F" w:rsidRDefault="00457A02">
      <w:pPr>
        <w:pStyle w:val="PL"/>
      </w:pPr>
    </w:p>
    <w:p w:rsidR="00CB0DD7" w:rsidRPr="000A0A5F" w:rsidRDefault="00CB0DD7">
      <w:pPr>
        <w:pStyle w:val="PL"/>
      </w:pPr>
      <w:r w:rsidRPr="000A0A5F">
        <w:t xml:space="preserve">    LocationType:</w:t>
      </w:r>
    </w:p>
    <w:p w:rsidR="00CB0DD7" w:rsidRPr="000A0A5F" w:rsidRDefault="00CB0DD7">
      <w:pPr>
        <w:pStyle w:val="PL"/>
      </w:pPr>
      <w:r w:rsidRPr="000A0A5F">
        <w:t xml:space="preserve">      anyOf:</w:t>
      </w:r>
    </w:p>
    <w:p w:rsidR="00CB0DD7" w:rsidRPr="000A0A5F" w:rsidRDefault="00CB0DD7">
      <w:pPr>
        <w:pStyle w:val="PL"/>
      </w:pPr>
      <w:r w:rsidRPr="000A0A5F">
        <w:t xml:space="preserve">      - type: string</w:t>
      </w:r>
    </w:p>
    <w:p w:rsidR="00CB0DD7" w:rsidRPr="000A0A5F" w:rsidRDefault="00CB0DD7">
      <w:pPr>
        <w:pStyle w:val="PL"/>
      </w:pPr>
      <w:r w:rsidRPr="000A0A5F">
        <w:t xml:space="preserve">        enum:</w:t>
      </w:r>
    </w:p>
    <w:p w:rsidR="00CB0DD7" w:rsidRPr="000A0A5F" w:rsidRDefault="00CB0DD7">
      <w:pPr>
        <w:pStyle w:val="PL"/>
      </w:pPr>
      <w:r w:rsidRPr="000A0A5F">
        <w:t xml:space="preserve">          - CURRENT_LOCATION</w:t>
      </w:r>
    </w:p>
    <w:p w:rsidR="00CB0DD7" w:rsidRPr="000A0A5F" w:rsidRDefault="00CB0DD7">
      <w:pPr>
        <w:pStyle w:val="PL"/>
      </w:pPr>
      <w:r w:rsidRPr="000A0A5F">
        <w:t xml:space="preserve">          - LAST_KNOWN_LOCATION</w:t>
      </w:r>
    </w:p>
    <w:p w:rsidR="00CB0DD7" w:rsidRPr="000A0A5F" w:rsidRDefault="00CB0DD7">
      <w:pPr>
        <w:pStyle w:val="PL"/>
      </w:pPr>
      <w:r w:rsidRPr="000A0A5F">
        <w:t xml:space="preserve">          - CURRENT_OR_LAST_KNOWN_LOCATION</w:t>
      </w:r>
    </w:p>
    <w:p w:rsidR="00CB0DD7" w:rsidRPr="000A0A5F" w:rsidRDefault="00CB0DD7">
      <w:pPr>
        <w:pStyle w:val="PL"/>
        <w:rPr>
          <w:rFonts w:hint="eastAsia"/>
        </w:rPr>
      </w:pPr>
      <w:r w:rsidRPr="000A0A5F">
        <w:t xml:space="preserve">          - INITIAL_LOCATION</w:t>
      </w:r>
    </w:p>
    <w:p w:rsidR="00CB0DD7" w:rsidRPr="000A0A5F" w:rsidRDefault="00CB0DD7">
      <w:pPr>
        <w:pStyle w:val="PL"/>
      </w:pPr>
      <w:r w:rsidRPr="000A0A5F">
        <w:t xml:space="preserve">      - type: string</w:t>
      </w:r>
    </w:p>
    <w:p w:rsidR="00CB0DD7" w:rsidRPr="000A0A5F" w:rsidRDefault="00CB0DD7">
      <w:pPr>
        <w:pStyle w:val="PL"/>
      </w:pPr>
      <w:r w:rsidRPr="000A0A5F">
        <w:t xml:space="preserve">        description: &gt;</w:t>
      </w:r>
    </w:p>
    <w:p w:rsidR="00CB0DD7" w:rsidRPr="000A0A5F" w:rsidRDefault="00CB0DD7">
      <w:pPr>
        <w:pStyle w:val="PL"/>
      </w:pPr>
      <w:r w:rsidRPr="000A0A5F">
        <w:t xml:space="preserve">          This string provides forward-compatibility with future</w:t>
      </w:r>
    </w:p>
    <w:p w:rsidR="00CB0DD7" w:rsidRPr="000A0A5F" w:rsidRDefault="00CB0DD7">
      <w:pPr>
        <w:pStyle w:val="PL"/>
      </w:pPr>
      <w:r w:rsidRPr="000A0A5F">
        <w:t xml:space="preserve">          extensions to the enumeration but is not used to encode</w:t>
      </w:r>
    </w:p>
    <w:p w:rsidR="00CB0DD7" w:rsidRPr="000A0A5F" w:rsidRDefault="00CB0DD7">
      <w:pPr>
        <w:pStyle w:val="PL"/>
      </w:pPr>
      <w:r w:rsidRPr="000A0A5F">
        <w:t xml:space="preserve">          content defined in the present version of this API.</w:t>
      </w:r>
    </w:p>
    <w:p w:rsidR="00457A02" w:rsidRPr="000A0A5F" w:rsidRDefault="00CB0DD7" w:rsidP="00457A02">
      <w:pPr>
        <w:pStyle w:val="PL"/>
      </w:pPr>
      <w:r w:rsidRPr="000A0A5F">
        <w:t xml:space="preserve">      description: </w:t>
      </w:r>
      <w:r w:rsidR="00457A02" w:rsidRPr="000A0A5F">
        <w:t>|</w:t>
      </w:r>
    </w:p>
    <w:p w:rsidR="00CB0DD7" w:rsidRPr="000A0A5F" w:rsidRDefault="00457A02" w:rsidP="00457A02">
      <w:pPr>
        <w:pStyle w:val="PL"/>
      </w:pPr>
      <w:r w:rsidRPr="000A0A5F">
        <w:t xml:space="preserve">        Represents a location type.  </w:t>
      </w:r>
    </w:p>
    <w:p w:rsidR="00CB0DD7" w:rsidRPr="000A0A5F" w:rsidRDefault="00CB0DD7">
      <w:pPr>
        <w:pStyle w:val="PL"/>
      </w:pPr>
      <w:r w:rsidRPr="000A0A5F">
        <w:t xml:space="preserve">        Possible values are</w:t>
      </w:r>
    </w:p>
    <w:p w:rsidR="00CB0DD7" w:rsidRPr="000A0A5F" w:rsidRDefault="00CB0DD7">
      <w:pPr>
        <w:pStyle w:val="PL"/>
      </w:pPr>
      <w:r w:rsidRPr="000A0A5F">
        <w:t xml:space="preserve">        - CURRENT_LOCATION: The SCS/AS requests to be notified for current location</w:t>
      </w:r>
    </w:p>
    <w:p w:rsidR="00CB0DD7" w:rsidRPr="000A0A5F" w:rsidRDefault="00CB0DD7">
      <w:pPr>
        <w:pStyle w:val="PL"/>
      </w:pPr>
      <w:r w:rsidRPr="000A0A5F">
        <w:t xml:space="preserve">        - LAST_KNOWN_LOCATION: The SCS/AS requests to be notified for last known location</w:t>
      </w:r>
    </w:p>
    <w:p w:rsidR="00CB0DD7" w:rsidRPr="000A0A5F" w:rsidRDefault="00CB0DD7">
      <w:pPr>
        <w:pStyle w:val="PL"/>
      </w:pPr>
      <w:r w:rsidRPr="000A0A5F">
        <w:t xml:space="preserve">        - CURRENT_OR_LAST_KNOWN_LOCATION</w:t>
      </w:r>
      <w:r w:rsidRPr="000A0A5F">
        <w:rPr>
          <w:rFonts w:hint="eastAsia"/>
        </w:rPr>
        <w:t xml:space="preserve">: The </w:t>
      </w:r>
      <w:r w:rsidRPr="000A0A5F">
        <w:rPr>
          <w:rFonts w:hint="eastAsia"/>
          <w:lang w:eastAsia="zh-CN"/>
        </w:rPr>
        <w:t>AF</w:t>
      </w:r>
      <w:r w:rsidRPr="000A0A5F">
        <w:rPr>
          <w:rFonts w:hint="eastAsia"/>
        </w:rPr>
        <w:t xml:space="preserve"> </w:t>
      </w:r>
      <w:r w:rsidRPr="000A0A5F">
        <w:t>request</w:t>
      </w:r>
      <w:r w:rsidRPr="000A0A5F">
        <w:rPr>
          <w:rFonts w:hint="eastAsia"/>
        </w:rPr>
        <w:t>s</w:t>
      </w:r>
      <w:r w:rsidRPr="000A0A5F">
        <w:t xml:space="preserve"> the current or last known location</w:t>
      </w:r>
    </w:p>
    <w:p w:rsidR="00CB0DD7" w:rsidRPr="000A0A5F" w:rsidRDefault="00CB0DD7">
      <w:pPr>
        <w:pStyle w:val="PL"/>
        <w:rPr>
          <w:rFonts w:hint="eastAsia"/>
        </w:rPr>
      </w:pPr>
      <w:r w:rsidRPr="000A0A5F">
        <w:t xml:space="preserve">        - INITIAL_LOCATION</w:t>
      </w:r>
      <w:r w:rsidRPr="000A0A5F">
        <w:rPr>
          <w:rFonts w:hint="eastAsia"/>
        </w:rPr>
        <w:t xml:space="preserve">: The </w:t>
      </w:r>
      <w:r w:rsidRPr="000A0A5F">
        <w:rPr>
          <w:rFonts w:hint="eastAsia"/>
          <w:lang w:eastAsia="zh-CN"/>
        </w:rPr>
        <w:t>AF</w:t>
      </w:r>
      <w:r w:rsidRPr="000A0A5F">
        <w:rPr>
          <w:rFonts w:hint="eastAsia"/>
        </w:rPr>
        <w:t xml:space="preserve"> r</w:t>
      </w:r>
      <w:r w:rsidRPr="000A0A5F">
        <w:t>eques</w:t>
      </w:r>
      <w:r w:rsidRPr="000A0A5F">
        <w:rPr>
          <w:rFonts w:hint="eastAsia"/>
        </w:rPr>
        <w:t xml:space="preserve">ts </w:t>
      </w:r>
      <w:r w:rsidRPr="000A0A5F">
        <w:t>the initial location</w:t>
      </w:r>
    </w:p>
    <w:p w:rsidR="00457A02" w:rsidRPr="000A0A5F" w:rsidRDefault="00457A02">
      <w:pPr>
        <w:pStyle w:val="PL"/>
      </w:pPr>
    </w:p>
    <w:p w:rsidR="00CB0DD7" w:rsidRPr="000A0A5F" w:rsidRDefault="00CB0DD7">
      <w:pPr>
        <w:pStyle w:val="PL"/>
      </w:pPr>
      <w:r w:rsidRPr="000A0A5F">
        <w:t xml:space="preserve">    AssociationType:</w:t>
      </w:r>
    </w:p>
    <w:p w:rsidR="00CB0DD7" w:rsidRPr="000A0A5F" w:rsidRDefault="00CB0DD7">
      <w:pPr>
        <w:pStyle w:val="PL"/>
      </w:pPr>
      <w:r w:rsidRPr="000A0A5F">
        <w:t xml:space="preserve">      anyOf:</w:t>
      </w:r>
    </w:p>
    <w:p w:rsidR="00CB0DD7" w:rsidRPr="000A0A5F" w:rsidRDefault="00CB0DD7">
      <w:pPr>
        <w:pStyle w:val="PL"/>
      </w:pPr>
      <w:r w:rsidRPr="000A0A5F">
        <w:t xml:space="preserve">      - type: string</w:t>
      </w:r>
    </w:p>
    <w:p w:rsidR="00CB0DD7" w:rsidRPr="000A0A5F" w:rsidRDefault="00CB0DD7">
      <w:pPr>
        <w:pStyle w:val="PL"/>
      </w:pPr>
      <w:r w:rsidRPr="000A0A5F">
        <w:t xml:space="preserve">        enum:</w:t>
      </w:r>
    </w:p>
    <w:p w:rsidR="00CB0DD7" w:rsidRPr="000A0A5F" w:rsidRDefault="00CB0DD7">
      <w:pPr>
        <w:pStyle w:val="PL"/>
      </w:pPr>
      <w:r w:rsidRPr="000A0A5F">
        <w:t xml:space="preserve">          - IMEI</w:t>
      </w:r>
    </w:p>
    <w:p w:rsidR="00CB0DD7" w:rsidRPr="000A0A5F" w:rsidRDefault="00CB0DD7">
      <w:pPr>
        <w:pStyle w:val="PL"/>
      </w:pPr>
      <w:r w:rsidRPr="000A0A5F">
        <w:t xml:space="preserve">          - IMEISV</w:t>
      </w:r>
    </w:p>
    <w:p w:rsidR="00CB0DD7" w:rsidRPr="000A0A5F" w:rsidRDefault="00CB0DD7">
      <w:pPr>
        <w:pStyle w:val="PL"/>
      </w:pPr>
      <w:r w:rsidRPr="000A0A5F">
        <w:t xml:space="preserve">      - type: string</w:t>
      </w:r>
    </w:p>
    <w:p w:rsidR="00CB0DD7" w:rsidRPr="000A0A5F" w:rsidRDefault="00CB0DD7">
      <w:pPr>
        <w:pStyle w:val="PL"/>
      </w:pPr>
      <w:r w:rsidRPr="000A0A5F">
        <w:t xml:space="preserve">        description: &gt;</w:t>
      </w:r>
    </w:p>
    <w:p w:rsidR="00CB0DD7" w:rsidRPr="000A0A5F" w:rsidRDefault="00CB0DD7">
      <w:pPr>
        <w:pStyle w:val="PL"/>
      </w:pPr>
      <w:r w:rsidRPr="000A0A5F">
        <w:t xml:space="preserve">          This string provides forward-compatibility with future</w:t>
      </w:r>
    </w:p>
    <w:p w:rsidR="00CB0DD7" w:rsidRPr="000A0A5F" w:rsidRDefault="00CB0DD7">
      <w:pPr>
        <w:pStyle w:val="PL"/>
      </w:pPr>
      <w:r w:rsidRPr="000A0A5F">
        <w:t xml:space="preserve">          extensions to the enumeration but is not used to encode</w:t>
      </w:r>
    </w:p>
    <w:p w:rsidR="00CB0DD7" w:rsidRPr="000A0A5F" w:rsidRDefault="00CB0DD7">
      <w:pPr>
        <w:pStyle w:val="PL"/>
      </w:pPr>
      <w:r w:rsidRPr="000A0A5F">
        <w:t xml:space="preserve">          content defined in the present version of this API.</w:t>
      </w:r>
    </w:p>
    <w:p w:rsidR="00457A02" w:rsidRPr="000A0A5F" w:rsidRDefault="00CB0DD7" w:rsidP="00457A02">
      <w:pPr>
        <w:pStyle w:val="PL"/>
      </w:pPr>
      <w:r w:rsidRPr="000A0A5F">
        <w:t xml:space="preserve">      description: </w:t>
      </w:r>
      <w:r w:rsidR="00457A02" w:rsidRPr="000A0A5F">
        <w:t>|</w:t>
      </w:r>
    </w:p>
    <w:p w:rsidR="00CB0DD7" w:rsidRPr="000A0A5F" w:rsidRDefault="00457A02" w:rsidP="00457A02">
      <w:pPr>
        <w:pStyle w:val="PL"/>
      </w:pPr>
      <w:r w:rsidRPr="000A0A5F">
        <w:t xml:space="preserve">        Represents an IMEI or IMEISV to IMSI association.  </w:t>
      </w:r>
    </w:p>
    <w:p w:rsidR="00CB0DD7" w:rsidRPr="000A0A5F" w:rsidRDefault="00CB0DD7">
      <w:pPr>
        <w:pStyle w:val="PL"/>
      </w:pPr>
      <w:r w:rsidRPr="000A0A5F">
        <w:t xml:space="preserve">        Possible values are</w:t>
      </w:r>
    </w:p>
    <w:p w:rsidR="00CB0DD7" w:rsidRPr="000A0A5F" w:rsidRDefault="00CB0DD7">
      <w:pPr>
        <w:pStyle w:val="PL"/>
      </w:pPr>
      <w:r w:rsidRPr="000A0A5F">
        <w:t xml:space="preserve">        - IMEI: The value shall be used when the change of IMSI-IMEI association shall be detected</w:t>
      </w:r>
    </w:p>
    <w:p w:rsidR="00457A02" w:rsidRPr="000A0A5F" w:rsidRDefault="00CB0DD7" w:rsidP="00457A02">
      <w:pPr>
        <w:pStyle w:val="PL"/>
      </w:pPr>
      <w:r w:rsidRPr="000A0A5F">
        <w:t xml:space="preserve">        - IMEISV: The value shall be used when the change of IMSI-IMEISV association shall be</w:t>
      </w:r>
    </w:p>
    <w:p w:rsidR="00CB0DD7" w:rsidRPr="000A0A5F" w:rsidRDefault="00457A02" w:rsidP="00457A02">
      <w:pPr>
        <w:pStyle w:val="PL"/>
      </w:pPr>
      <w:r w:rsidRPr="000A0A5F">
        <w:t xml:space="preserve">         </w:t>
      </w:r>
      <w:r w:rsidR="00CB0DD7" w:rsidRPr="000A0A5F">
        <w:t xml:space="preserve"> detected</w:t>
      </w:r>
    </w:p>
    <w:p w:rsidR="00457A02" w:rsidRPr="000A0A5F" w:rsidRDefault="00457A02">
      <w:pPr>
        <w:pStyle w:val="PL"/>
      </w:pPr>
    </w:p>
    <w:p w:rsidR="00CB0DD7" w:rsidRPr="000A0A5F" w:rsidRDefault="00CB0DD7">
      <w:pPr>
        <w:pStyle w:val="PL"/>
      </w:pPr>
      <w:r w:rsidRPr="000A0A5F">
        <w:t xml:space="preserve">    Accuracy:</w:t>
      </w:r>
    </w:p>
    <w:p w:rsidR="00CB0DD7" w:rsidRPr="000A0A5F" w:rsidRDefault="00CB0DD7">
      <w:pPr>
        <w:pStyle w:val="PL"/>
      </w:pPr>
      <w:r w:rsidRPr="000A0A5F">
        <w:t xml:space="preserve">      anyOf:</w:t>
      </w:r>
    </w:p>
    <w:p w:rsidR="00CB0DD7" w:rsidRPr="000A0A5F" w:rsidRDefault="00CB0DD7">
      <w:pPr>
        <w:pStyle w:val="PL"/>
      </w:pPr>
      <w:r w:rsidRPr="000A0A5F">
        <w:t xml:space="preserve">      - type: string</w:t>
      </w:r>
    </w:p>
    <w:p w:rsidR="00CB0DD7" w:rsidRPr="000A0A5F" w:rsidRDefault="00CB0DD7">
      <w:pPr>
        <w:pStyle w:val="PL"/>
      </w:pPr>
      <w:r w:rsidRPr="000A0A5F">
        <w:t xml:space="preserve">        enum:</w:t>
      </w:r>
    </w:p>
    <w:p w:rsidR="00CB0DD7" w:rsidRPr="000A0A5F" w:rsidRDefault="00CB0DD7">
      <w:pPr>
        <w:pStyle w:val="PL"/>
        <w:rPr>
          <w:lang w:val="fr-FR"/>
        </w:rPr>
      </w:pPr>
      <w:r w:rsidRPr="000A0A5F">
        <w:t xml:space="preserve">          </w:t>
      </w:r>
      <w:r w:rsidRPr="000A0A5F">
        <w:rPr>
          <w:lang w:val="fr-FR"/>
        </w:rPr>
        <w:t>- CGI_ECGI</w:t>
      </w:r>
    </w:p>
    <w:p w:rsidR="00CB0DD7" w:rsidRPr="000A0A5F" w:rsidRDefault="00CB0DD7">
      <w:pPr>
        <w:pStyle w:val="PL"/>
        <w:rPr>
          <w:lang w:val="fr-FR"/>
        </w:rPr>
      </w:pPr>
      <w:r w:rsidRPr="000A0A5F">
        <w:rPr>
          <w:lang w:val="fr-FR"/>
        </w:rPr>
        <w:t xml:space="preserve">          - ENODEB</w:t>
      </w:r>
    </w:p>
    <w:p w:rsidR="00CB0DD7" w:rsidRPr="000A0A5F" w:rsidRDefault="00CB0DD7">
      <w:pPr>
        <w:pStyle w:val="PL"/>
        <w:rPr>
          <w:lang w:val="fr-FR"/>
        </w:rPr>
      </w:pPr>
      <w:r w:rsidRPr="000A0A5F">
        <w:rPr>
          <w:lang w:val="fr-FR"/>
        </w:rPr>
        <w:t xml:space="preserve">          - TA_RA</w:t>
      </w:r>
    </w:p>
    <w:p w:rsidR="00CB0DD7" w:rsidRPr="000A0A5F" w:rsidRDefault="00CB0DD7">
      <w:pPr>
        <w:pStyle w:val="PL"/>
        <w:rPr>
          <w:lang w:val="fr-FR"/>
        </w:rPr>
      </w:pPr>
      <w:r w:rsidRPr="000A0A5F">
        <w:rPr>
          <w:lang w:val="fr-FR"/>
        </w:rPr>
        <w:t xml:space="preserve">          - PLMN</w:t>
      </w:r>
    </w:p>
    <w:p w:rsidR="00CB0DD7" w:rsidRPr="000A0A5F" w:rsidRDefault="00CB0DD7">
      <w:pPr>
        <w:pStyle w:val="PL"/>
      </w:pPr>
      <w:r w:rsidRPr="000A0A5F">
        <w:rPr>
          <w:lang w:val="fr-FR"/>
        </w:rPr>
        <w:t xml:space="preserve">          </w:t>
      </w:r>
      <w:r w:rsidRPr="000A0A5F">
        <w:t>- TWAN_ID</w:t>
      </w:r>
    </w:p>
    <w:p w:rsidR="00CB0DD7" w:rsidRPr="000A0A5F" w:rsidRDefault="00CB0DD7">
      <w:pPr>
        <w:pStyle w:val="PL"/>
      </w:pPr>
      <w:r w:rsidRPr="000A0A5F">
        <w:t xml:space="preserve">          - </w:t>
      </w:r>
      <w:r w:rsidRPr="000A0A5F">
        <w:rPr>
          <w:rFonts w:cs="Arial" w:hint="eastAsia"/>
          <w:szCs w:val="18"/>
          <w:lang w:eastAsia="zh-CN"/>
        </w:rPr>
        <w:t>G</w:t>
      </w:r>
      <w:r w:rsidRPr="000A0A5F">
        <w:rPr>
          <w:rFonts w:cs="Arial"/>
          <w:szCs w:val="18"/>
          <w:lang w:eastAsia="zh-CN"/>
        </w:rPr>
        <w:t>EO_AREA</w:t>
      </w:r>
    </w:p>
    <w:p w:rsidR="0052236B" w:rsidRPr="000A0A5F" w:rsidRDefault="0052236B" w:rsidP="0052236B">
      <w:pPr>
        <w:pStyle w:val="PL"/>
      </w:pPr>
      <w:r w:rsidRPr="000A0A5F">
        <w:t xml:space="preserve">          - </w:t>
      </w:r>
      <w:r w:rsidRPr="000A0A5F">
        <w:rPr>
          <w:rFonts w:cs="Arial"/>
          <w:szCs w:val="18"/>
          <w:lang w:eastAsia="zh-CN"/>
        </w:rPr>
        <w:t>CIVIC_ADDR</w:t>
      </w:r>
    </w:p>
    <w:p w:rsidR="00CB0DD7" w:rsidRPr="000A0A5F" w:rsidRDefault="00CB0DD7">
      <w:pPr>
        <w:pStyle w:val="PL"/>
      </w:pPr>
      <w:r w:rsidRPr="000A0A5F">
        <w:t xml:space="preserve">      - type: string</w:t>
      </w:r>
    </w:p>
    <w:p w:rsidR="00CB0DD7" w:rsidRPr="000A0A5F" w:rsidRDefault="00CB0DD7">
      <w:pPr>
        <w:pStyle w:val="PL"/>
      </w:pPr>
      <w:r w:rsidRPr="000A0A5F">
        <w:t xml:space="preserve">        description: &gt;</w:t>
      </w:r>
    </w:p>
    <w:p w:rsidR="00CB0DD7" w:rsidRPr="000A0A5F" w:rsidRDefault="00CB0DD7">
      <w:pPr>
        <w:pStyle w:val="PL"/>
      </w:pPr>
      <w:r w:rsidRPr="000A0A5F">
        <w:t xml:space="preserve">          This string provides forward-compatibility with future</w:t>
      </w:r>
    </w:p>
    <w:p w:rsidR="00CB0DD7" w:rsidRPr="000A0A5F" w:rsidRDefault="00CB0DD7">
      <w:pPr>
        <w:pStyle w:val="PL"/>
      </w:pPr>
      <w:r w:rsidRPr="000A0A5F">
        <w:t xml:space="preserve">          extensions to the enumeration but is not used to encode</w:t>
      </w:r>
    </w:p>
    <w:p w:rsidR="00CB0DD7" w:rsidRPr="000A0A5F" w:rsidRDefault="00CB0DD7">
      <w:pPr>
        <w:pStyle w:val="PL"/>
      </w:pPr>
      <w:r w:rsidRPr="000A0A5F">
        <w:t xml:space="preserve">          content defined in the present version of this API.</w:t>
      </w:r>
    </w:p>
    <w:p w:rsidR="00457A02" w:rsidRPr="000A0A5F" w:rsidRDefault="00CB0DD7" w:rsidP="00457A02">
      <w:pPr>
        <w:pStyle w:val="PL"/>
      </w:pPr>
      <w:r w:rsidRPr="000A0A5F">
        <w:t xml:space="preserve">      description: </w:t>
      </w:r>
      <w:r w:rsidR="00457A02" w:rsidRPr="000A0A5F">
        <w:t>|</w:t>
      </w:r>
    </w:p>
    <w:p w:rsidR="00CB0DD7" w:rsidRPr="000A0A5F" w:rsidRDefault="00457A02" w:rsidP="00457A02">
      <w:pPr>
        <w:pStyle w:val="PL"/>
      </w:pPr>
      <w:r w:rsidRPr="000A0A5F">
        <w:t xml:space="preserve">        Represents a desired granularity of accuracy of the requested location information.  </w:t>
      </w:r>
    </w:p>
    <w:p w:rsidR="00CB0DD7" w:rsidRPr="000A0A5F" w:rsidRDefault="00CB0DD7">
      <w:pPr>
        <w:pStyle w:val="PL"/>
      </w:pPr>
      <w:r w:rsidRPr="000A0A5F">
        <w:t xml:space="preserve">        Possible values are</w:t>
      </w:r>
    </w:p>
    <w:p w:rsidR="00CB0DD7" w:rsidRPr="000A0A5F" w:rsidRDefault="00CB0DD7">
      <w:pPr>
        <w:pStyle w:val="PL"/>
      </w:pPr>
      <w:r w:rsidRPr="000A0A5F">
        <w:t xml:space="preserve">        - CGI_ECGI: The SCS/AS requests to be notified </w:t>
      </w:r>
      <w:r w:rsidR="0052236B" w:rsidRPr="000A0A5F">
        <w:rPr>
          <w:rFonts w:cs="Arial"/>
          <w:szCs w:val="18"/>
          <w:lang w:eastAsia="zh-CN"/>
        </w:rPr>
        <w:t>using</w:t>
      </w:r>
      <w:r w:rsidRPr="000A0A5F">
        <w:t xml:space="preserve"> cell level location accuracy.</w:t>
      </w:r>
    </w:p>
    <w:p w:rsidR="00CB0DD7" w:rsidRPr="000A0A5F" w:rsidRDefault="00CB0DD7">
      <w:pPr>
        <w:pStyle w:val="PL"/>
      </w:pPr>
      <w:r w:rsidRPr="000A0A5F">
        <w:t xml:space="preserve">        - ENODEB: The SCS/AS requests to be notified </w:t>
      </w:r>
      <w:r w:rsidR="0052236B" w:rsidRPr="000A0A5F">
        <w:t>using</w:t>
      </w:r>
      <w:r w:rsidRPr="000A0A5F">
        <w:t xml:space="preserve"> eNodeB level location accuracy.</w:t>
      </w:r>
    </w:p>
    <w:p w:rsidR="00CB0DD7" w:rsidRPr="000A0A5F" w:rsidRDefault="00CB0DD7">
      <w:pPr>
        <w:pStyle w:val="PL"/>
      </w:pPr>
      <w:r w:rsidRPr="000A0A5F">
        <w:t xml:space="preserve">        - TA_RA: The SCS/AS requests to be notified </w:t>
      </w:r>
      <w:r w:rsidR="0052236B" w:rsidRPr="000A0A5F">
        <w:t>using</w:t>
      </w:r>
      <w:r w:rsidRPr="000A0A5F">
        <w:t xml:space="preserve"> TA/RA level location accuracy.</w:t>
      </w:r>
    </w:p>
    <w:p w:rsidR="00CB0DD7" w:rsidRPr="000A0A5F" w:rsidRDefault="00CB0DD7">
      <w:pPr>
        <w:pStyle w:val="PL"/>
      </w:pPr>
      <w:r w:rsidRPr="000A0A5F">
        <w:t xml:space="preserve">        - PLMN: The SCS/AS requests to be notified </w:t>
      </w:r>
      <w:r w:rsidR="0052236B" w:rsidRPr="000A0A5F">
        <w:t>using</w:t>
      </w:r>
      <w:r w:rsidRPr="000A0A5F">
        <w:t xml:space="preserve"> PLMN level location accuracy.</w:t>
      </w:r>
    </w:p>
    <w:p w:rsidR="00CB0DD7" w:rsidRPr="000A0A5F" w:rsidRDefault="00CB0DD7">
      <w:pPr>
        <w:pStyle w:val="PL"/>
      </w:pPr>
      <w:r w:rsidRPr="000A0A5F">
        <w:t xml:space="preserve">        - TWAN_ID: The SCS/AS requests to be notified </w:t>
      </w:r>
      <w:r w:rsidR="0052236B" w:rsidRPr="000A0A5F">
        <w:t>using</w:t>
      </w:r>
      <w:r w:rsidRPr="000A0A5F">
        <w:t xml:space="preserve"> TWAN identifier level location accuracy.</w:t>
      </w:r>
    </w:p>
    <w:p w:rsidR="00CB0DD7" w:rsidRPr="000A0A5F" w:rsidRDefault="00CB0DD7">
      <w:pPr>
        <w:pStyle w:val="PL"/>
      </w:pPr>
      <w:r w:rsidRPr="000A0A5F">
        <w:t xml:space="preserve">        - </w:t>
      </w:r>
      <w:r w:rsidRPr="000A0A5F">
        <w:rPr>
          <w:rFonts w:cs="Arial" w:hint="eastAsia"/>
          <w:szCs w:val="18"/>
          <w:lang w:eastAsia="zh-CN"/>
        </w:rPr>
        <w:t>G</w:t>
      </w:r>
      <w:r w:rsidRPr="000A0A5F">
        <w:rPr>
          <w:rFonts w:cs="Arial"/>
          <w:szCs w:val="18"/>
          <w:lang w:eastAsia="zh-CN"/>
        </w:rPr>
        <w:t>EO_AREA</w:t>
      </w:r>
      <w:r w:rsidRPr="000A0A5F">
        <w:t xml:space="preserve">: </w:t>
      </w:r>
      <w:r w:rsidRPr="000A0A5F">
        <w:rPr>
          <w:rFonts w:cs="Arial"/>
          <w:szCs w:val="18"/>
          <w:lang w:eastAsia="zh-CN"/>
        </w:rPr>
        <w:t xml:space="preserve">The SCS/AS requests to be notified </w:t>
      </w:r>
      <w:r w:rsidR="0052236B" w:rsidRPr="000A0A5F">
        <w:rPr>
          <w:rFonts w:cs="Arial"/>
          <w:szCs w:val="18"/>
          <w:lang w:eastAsia="zh-CN"/>
        </w:rPr>
        <w:t>using</w:t>
      </w:r>
      <w:r w:rsidRPr="000A0A5F">
        <w:rPr>
          <w:rFonts w:cs="Arial"/>
          <w:szCs w:val="18"/>
          <w:lang w:eastAsia="zh-CN"/>
        </w:rPr>
        <w:t xml:space="preserve"> the geographical area accuracy.</w:t>
      </w:r>
    </w:p>
    <w:p w:rsidR="0052236B" w:rsidRPr="000A0A5F" w:rsidRDefault="0052236B" w:rsidP="0052236B">
      <w:pPr>
        <w:pStyle w:val="PL"/>
      </w:pPr>
      <w:r w:rsidRPr="000A0A5F">
        <w:t xml:space="preserve">        - </w:t>
      </w:r>
      <w:r w:rsidRPr="000A0A5F">
        <w:rPr>
          <w:rFonts w:cs="Arial"/>
          <w:szCs w:val="18"/>
          <w:lang w:eastAsia="zh-CN"/>
        </w:rPr>
        <w:t>CIVIC_ADDR</w:t>
      </w:r>
      <w:r w:rsidRPr="000A0A5F">
        <w:t xml:space="preserve">: </w:t>
      </w:r>
      <w:r w:rsidRPr="000A0A5F">
        <w:rPr>
          <w:rFonts w:cs="Arial"/>
          <w:szCs w:val="18"/>
          <w:lang w:eastAsia="zh-CN"/>
        </w:rPr>
        <w:t>The SCS/AS requests to be notified using the civic address accuracy.</w:t>
      </w:r>
    </w:p>
    <w:p w:rsidR="00457A02" w:rsidRPr="000A0A5F" w:rsidRDefault="00457A02">
      <w:pPr>
        <w:pStyle w:val="PL"/>
      </w:pPr>
    </w:p>
    <w:p w:rsidR="00CB0DD7" w:rsidRPr="000A0A5F" w:rsidRDefault="00CB0DD7">
      <w:pPr>
        <w:pStyle w:val="PL"/>
      </w:pPr>
      <w:r w:rsidRPr="000A0A5F">
        <w:t xml:space="preserve">    PdnConnectionStatus:</w:t>
      </w:r>
    </w:p>
    <w:p w:rsidR="00CB0DD7" w:rsidRPr="000A0A5F" w:rsidRDefault="00CB0DD7">
      <w:pPr>
        <w:pStyle w:val="PL"/>
      </w:pPr>
      <w:r w:rsidRPr="000A0A5F">
        <w:t xml:space="preserve">      anyOf:</w:t>
      </w:r>
    </w:p>
    <w:p w:rsidR="00CB0DD7" w:rsidRPr="000A0A5F" w:rsidRDefault="00CB0DD7">
      <w:pPr>
        <w:pStyle w:val="PL"/>
      </w:pPr>
      <w:r w:rsidRPr="000A0A5F">
        <w:t xml:space="preserve">      - type: string</w:t>
      </w:r>
    </w:p>
    <w:p w:rsidR="00CB0DD7" w:rsidRPr="000A0A5F" w:rsidRDefault="00CB0DD7">
      <w:pPr>
        <w:pStyle w:val="PL"/>
      </w:pPr>
      <w:r w:rsidRPr="000A0A5F">
        <w:t xml:space="preserve">        enum:</w:t>
      </w:r>
    </w:p>
    <w:p w:rsidR="00CB0DD7" w:rsidRPr="000A0A5F" w:rsidRDefault="00CB0DD7">
      <w:pPr>
        <w:pStyle w:val="PL"/>
      </w:pPr>
      <w:r w:rsidRPr="000A0A5F">
        <w:t xml:space="preserve">          - CREATED</w:t>
      </w:r>
    </w:p>
    <w:p w:rsidR="00CB0DD7" w:rsidRPr="000A0A5F" w:rsidRDefault="00CB0DD7">
      <w:pPr>
        <w:pStyle w:val="PL"/>
      </w:pPr>
      <w:r w:rsidRPr="000A0A5F">
        <w:t xml:space="preserve">          - RELEASED</w:t>
      </w:r>
    </w:p>
    <w:p w:rsidR="00CB0DD7" w:rsidRPr="000A0A5F" w:rsidRDefault="00CB0DD7">
      <w:pPr>
        <w:pStyle w:val="PL"/>
      </w:pPr>
      <w:r w:rsidRPr="000A0A5F">
        <w:t xml:space="preserve">      - type: string</w:t>
      </w:r>
    </w:p>
    <w:p w:rsidR="00CB0DD7" w:rsidRPr="000A0A5F" w:rsidRDefault="00CB0DD7">
      <w:pPr>
        <w:pStyle w:val="PL"/>
      </w:pPr>
      <w:r w:rsidRPr="000A0A5F">
        <w:t xml:space="preserve">        description: &gt;</w:t>
      </w:r>
    </w:p>
    <w:p w:rsidR="00CB0DD7" w:rsidRPr="000A0A5F" w:rsidRDefault="00CB0DD7">
      <w:pPr>
        <w:pStyle w:val="PL"/>
      </w:pPr>
      <w:r w:rsidRPr="000A0A5F">
        <w:t xml:space="preserve">          This string provides forward-compatibility with future</w:t>
      </w:r>
    </w:p>
    <w:p w:rsidR="00CB0DD7" w:rsidRPr="000A0A5F" w:rsidRDefault="00CB0DD7">
      <w:pPr>
        <w:pStyle w:val="PL"/>
      </w:pPr>
      <w:r w:rsidRPr="000A0A5F">
        <w:t xml:space="preserve">          extensions to the enumeration but is not used to encode</w:t>
      </w:r>
    </w:p>
    <w:p w:rsidR="00CB0DD7" w:rsidRPr="000A0A5F" w:rsidRDefault="00CB0DD7">
      <w:pPr>
        <w:pStyle w:val="PL"/>
      </w:pPr>
      <w:r w:rsidRPr="000A0A5F">
        <w:t xml:space="preserve">          content defined in the present version of this API.</w:t>
      </w:r>
    </w:p>
    <w:p w:rsidR="00457A02" w:rsidRPr="000A0A5F" w:rsidRDefault="00CB0DD7" w:rsidP="00457A02">
      <w:pPr>
        <w:pStyle w:val="PL"/>
      </w:pPr>
      <w:r w:rsidRPr="000A0A5F">
        <w:t xml:space="preserve">      description: </w:t>
      </w:r>
      <w:r w:rsidR="00457A02" w:rsidRPr="000A0A5F">
        <w:t>|</w:t>
      </w:r>
    </w:p>
    <w:p w:rsidR="00CB0DD7" w:rsidRPr="000A0A5F" w:rsidRDefault="00457A02" w:rsidP="00457A02">
      <w:pPr>
        <w:pStyle w:val="PL"/>
      </w:pPr>
      <w:r w:rsidRPr="000A0A5F">
        <w:t xml:space="preserve">        Represents the PDN connection status.  </w:t>
      </w:r>
    </w:p>
    <w:p w:rsidR="00CB0DD7" w:rsidRPr="000A0A5F" w:rsidRDefault="00CB0DD7">
      <w:pPr>
        <w:pStyle w:val="PL"/>
      </w:pPr>
      <w:r w:rsidRPr="000A0A5F">
        <w:t xml:space="preserve">        Possible values are</w:t>
      </w:r>
    </w:p>
    <w:p w:rsidR="00CB0DD7" w:rsidRPr="000A0A5F" w:rsidRDefault="00CB0DD7">
      <w:pPr>
        <w:pStyle w:val="PL"/>
      </w:pPr>
      <w:r w:rsidRPr="000A0A5F">
        <w:t xml:space="preserve">        - CREATED: </w:t>
      </w:r>
      <w:r w:rsidRPr="000A0A5F">
        <w:rPr>
          <w:rFonts w:cs="Arial"/>
          <w:szCs w:val="18"/>
          <w:lang w:eastAsia="zh-CN"/>
        </w:rPr>
        <w:t>The PDN connection is created</w:t>
      </w:r>
      <w:r w:rsidRPr="000A0A5F">
        <w:t>.</w:t>
      </w:r>
    </w:p>
    <w:p w:rsidR="00CB0DD7" w:rsidRPr="000A0A5F" w:rsidRDefault="00CB0DD7">
      <w:pPr>
        <w:pStyle w:val="PL"/>
      </w:pPr>
      <w:r w:rsidRPr="000A0A5F">
        <w:t xml:space="preserve">        - RELEASED: </w:t>
      </w:r>
      <w:r w:rsidRPr="000A0A5F">
        <w:rPr>
          <w:rFonts w:cs="Arial"/>
          <w:szCs w:val="18"/>
          <w:lang w:eastAsia="zh-CN"/>
        </w:rPr>
        <w:t>The PDN connection is released</w:t>
      </w:r>
      <w:r w:rsidRPr="000A0A5F">
        <w:t>.</w:t>
      </w:r>
    </w:p>
    <w:p w:rsidR="00457A02" w:rsidRPr="000A0A5F" w:rsidRDefault="00457A02">
      <w:pPr>
        <w:pStyle w:val="PL"/>
      </w:pPr>
    </w:p>
    <w:p w:rsidR="00CB0DD7" w:rsidRPr="000A0A5F" w:rsidRDefault="00CB0DD7">
      <w:pPr>
        <w:pStyle w:val="PL"/>
      </w:pPr>
      <w:r w:rsidRPr="000A0A5F">
        <w:t xml:space="preserve">    PdnType:</w:t>
      </w:r>
    </w:p>
    <w:p w:rsidR="00CB0DD7" w:rsidRPr="000A0A5F" w:rsidRDefault="00CB0DD7">
      <w:pPr>
        <w:pStyle w:val="PL"/>
      </w:pPr>
      <w:r w:rsidRPr="000A0A5F">
        <w:t xml:space="preserve">      anyOf:</w:t>
      </w:r>
    </w:p>
    <w:p w:rsidR="00CB0DD7" w:rsidRPr="000A0A5F" w:rsidRDefault="00CB0DD7">
      <w:pPr>
        <w:pStyle w:val="PL"/>
      </w:pPr>
      <w:r w:rsidRPr="000A0A5F">
        <w:t xml:space="preserve">      - type: string</w:t>
      </w:r>
    </w:p>
    <w:p w:rsidR="00CB0DD7" w:rsidRPr="000A0A5F" w:rsidRDefault="00CB0DD7">
      <w:pPr>
        <w:pStyle w:val="PL"/>
      </w:pPr>
      <w:r w:rsidRPr="000A0A5F">
        <w:t xml:space="preserve">        enum:</w:t>
      </w:r>
    </w:p>
    <w:p w:rsidR="00CB0DD7" w:rsidRPr="000A0A5F" w:rsidRDefault="00CB0DD7">
      <w:pPr>
        <w:pStyle w:val="PL"/>
      </w:pPr>
      <w:r w:rsidRPr="000A0A5F">
        <w:t xml:space="preserve">          - IPV4</w:t>
      </w:r>
    </w:p>
    <w:p w:rsidR="00CB0DD7" w:rsidRPr="000A0A5F" w:rsidRDefault="00CB0DD7">
      <w:pPr>
        <w:pStyle w:val="PL"/>
      </w:pPr>
      <w:r w:rsidRPr="000A0A5F">
        <w:t xml:space="preserve">          - IPV6</w:t>
      </w:r>
    </w:p>
    <w:p w:rsidR="00CB0DD7" w:rsidRPr="000A0A5F" w:rsidRDefault="00CB0DD7">
      <w:pPr>
        <w:pStyle w:val="PL"/>
      </w:pPr>
      <w:r w:rsidRPr="000A0A5F">
        <w:t xml:space="preserve">          - IPV4V6</w:t>
      </w:r>
    </w:p>
    <w:p w:rsidR="00CB0DD7" w:rsidRPr="000A0A5F" w:rsidRDefault="00CB0DD7">
      <w:pPr>
        <w:pStyle w:val="PL"/>
      </w:pPr>
      <w:r w:rsidRPr="000A0A5F">
        <w:t xml:space="preserve">          - NON_IP</w:t>
      </w:r>
    </w:p>
    <w:p w:rsidR="00CB0DD7" w:rsidRPr="000A0A5F" w:rsidRDefault="00CB0DD7">
      <w:pPr>
        <w:pStyle w:val="PL"/>
      </w:pPr>
      <w:r w:rsidRPr="000A0A5F">
        <w:t xml:space="preserve">          - ETHERNET</w:t>
      </w:r>
    </w:p>
    <w:p w:rsidR="00CB0DD7" w:rsidRPr="000A0A5F" w:rsidRDefault="00CB0DD7">
      <w:pPr>
        <w:pStyle w:val="PL"/>
      </w:pPr>
      <w:r w:rsidRPr="000A0A5F">
        <w:t xml:space="preserve">      - type: string</w:t>
      </w:r>
    </w:p>
    <w:p w:rsidR="00CB0DD7" w:rsidRPr="000A0A5F" w:rsidRDefault="00CB0DD7">
      <w:pPr>
        <w:pStyle w:val="PL"/>
      </w:pPr>
      <w:r w:rsidRPr="000A0A5F">
        <w:t xml:space="preserve">        description: &gt;</w:t>
      </w:r>
    </w:p>
    <w:p w:rsidR="00CB0DD7" w:rsidRPr="000A0A5F" w:rsidRDefault="00CB0DD7">
      <w:pPr>
        <w:pStyle w:val="PL"/>
      </w:pPr>
      <w:r w:rsidRPr="000A0A5F">
        <w:t xml:space="preserve">          This string provides forward-compatibility with future</w:t>
      </w:r>
    </w:p>
    <w:p w:rsidR="00CB0DD7" w:rsidRPr="000A0A5F" w:rsidRDefault="00CB0DD7">
      <w:pPr>
        <w:pStyle w:val="PL"/>
      </w:pPr>
      <w:r w:rsidRPr="000A0A5F">
        <w:t xml:space="preserve">          extensions to the enumeration but is not used to encode</w:t>
      </w:r>
    </w:p>
    <w:p w:rsidR="00CB0DD7" w:rsidRPr="000A0A5F" w:rsidRDefault="00CB0DD7">
      <w:pPr>
        <w:pStyle w:val="PL"/>
      </w:pPr>
      <w:r w:rsidRPr="000A0A5F">
        <w:t xml:space="preserve">          content defined in the present version of this API.</w:t>
      </w:r>
    </w:p>
    <w:p w:rsidR="00CB0DD7" w:rsidRPr="000A0A5F" w:rsidRDefault="00CB0DD7">
      <w:pPr>
        <w:pStyle w:val="PL"/>
      </w:pPr>
      <w:r w:rsidRPr="000A0A5F">
        <w:t xml:space="preserve">      description: </w:t>
      </w:r>
      <w:r w:rsidR="00457A02" w:rsidRPr="000A0A5F">
        <w:t>|</w:t>
      </w:r>
    </w:p>
    <w:p w:rsidR="00457A02" w:rsidRPr="000A0A5F" w:rsidRDefault="00457A02">
      <w:pPr>
        <w:pStyle w:val="PL"/>
      </w:pPr>
      <w:r w:rsidRPr="000A0A5F">
        <w:t xml:space="preserve">        Represents the PDN connection type.  </w:t>
      </w:r>
    </w:p>
    <w:p w:rsidR="00CB0DD7" w:rsidRPr="000A0A5F" w:rsidRDefault="00CB0DD7">
      <w:pPr>
        <w:pStyle w:val="PL"/>
      </w:pPr>
      <w:r w:rsidRPr="000A0A5F">
        <w:t xml:space="preserve">        Possible values are</w:t>
      </w:r>
    </w:p>
    <w:p w:rsidR="00CB0DD7" w:rsidRPr="000A0A5F" w:rsidRDefault="00CB0DD7">
      <w:pPr>
        <w:pStyle w:val="PL"/>
      </w:pPr>
      <w:r w:rsidRPr="000A0A5F">
        <w:t xml:space="preserve">        - IPV4: </w:t>
      </w:r>
      <w:r w:rsidRPr="000A0A5F">
        <w:rPr>
          <w:rFonts w:cs="Arial"/>
          <w:szCs w:val="18"/>
          <w:lang w:eastAsia="zh-CN"/>
        </w:rPr>
        <w:t>PDN connection of IPv4 type</w:t>
      </w:r>
      <w:r w:rsidRPr="000A0A5F">
        <w:t>.</w:t>
      </w:r>
    </w:p>
    <w:p w:rsidR="00CB0DD7" w:rsidRPr="000A0A5F" w:rsidRDefault="00CB0DD7">
      <w:pPr>
        <w:pStyle w:val="PL"/>
      </w:pPr>
      <w:r w:rsidRPr="000A0A5F">
        <w:t xml:space="preserve">        - IPV6: </w:t>
      </w:r>
      <w:r w:rsidRPr="000A0A5F">
        <w:rPr>
          <w:rFonts w:cs="Arial"/>
          <w:szCs w:val="18"/>
          <w:lang w:eastAsia="zh-CN"/>
        </w:rPr>
        <w:t>PDN connection of IPv6 type</w:t>
      </w:r>
      <w:r w:rsidRPr="000A0A5F">
        <w:t>.</w:t>
      </w:r>
    </w:p>
    <w:p w:rsidR="00CB0DD7" w:rsidRPr="000A0A5F" w:rsidRDefault="00CB0DD7">
      <w:pPr>
        <w:pStyle w:val="PL"/>
      </w:pPr>
      <w:r w:rsidRPr="000A0A5F">
        <w:t xml:space="preserve">        - IPV4V6: </w:t>
      </w:r>
      <w:r w:rsidRPr="000A0A5F">
        <w:rPr>
          <w:rFonts w:cs="Arial"/>
          <w:szCs w:val="18"/>
          <w:lang w:eastAsia="zh-CN"/>
        </w:rPr>
        <w:t>PDN connection of IPv4v6 type</w:t>
      </w:r>
      <w:r w:rsidRPr="000A0A5F">
        <w:t>.</w:t>
      </w:r>
    </w:p>
    <w:p w:rsidR="00CB0DD7" w:rsidRPr="000A0A5F" w:rsidRDefault="00CB0DD7">
      <w:pPr>
        <w:pStyle w:val="PL"/>
      </w:pPr>
      <w:r w:rsidRPr="000A0A5F">
        <w:t xml:space="preserve">        - NON_IP: </w:t>
      </w:r>
      <w:r w:rsidRPr="000A0A5F">
        <w:rPr>
          <w:rFonts w:cs="Arial"/>
          <w:szCs w:val="18"/>
          <w:lang w:eastAsia="zh-CN"/>
        </w:rPr>
        <w:t>PDN connection of non-IP type</w:t>
      </w:r>
      <w:r w:rsidRPr="000A0A5F">
        <w:t>.</w:t>
      </w:r>
    </w:p>
    <w:p w:rsidR="00CB0DD7" w:rsidRPr="000A0A5F" w:rsidRDefault="00CB0DD7">
      <w:pPr>
        <w:pStyle w:val="PL"/>
      </w:pPr>
      <w:r w:rsidRPr="000A0A5F">
        <w:t xml:space="preserve">        - ETHERNET: </w:t>
      </w:r>
      <w:r w:rsidRPr="000A0A5F">
        <w:rPr>
          <w:rFonts w:cs="Arial"/>
          <w:szCs w:val="18"/>
          <w:lang w:eastAsia="zh-CN"/>
        </w:rPr>
        <w:t>PDN connection of Ethernet type</w:t>
      </w:r>
      <w:r w:rsidRPr="000A0A5F">
        <w:t>.</w:t>
      </w:r>
    </w:p>
    <w:p w:rsidR="00457A02" w:rsidRPr="000A0A5F" w:rsidRDefault="00457A02">
      <w:pPr>
        <w:pStyle w:val="PL"/>
      </w:pPr>
    </w:p>
    <w:p w:rsidR="00CB0DD7" w:rsidRPr="000A0A5F" w:rsidRDefault="00CB0DD7">
      <w:pPr>
        <w:pStyle w:val="PL"/>
      </w:pPr>
      <w:r w:rsidRPr="000A0A5F">
        <w:t xml:space="preserve">    InterfaceIndication:</w:t>
      </w:r>
    </w:p>
    <w:p w:rsidR="00CB0DD7" w:rsidRPr="000A0A5F" w:rsidRDefault="00CB0DD7">
      <w:pPr>
        <w:pStyle w:val="PL"/>
      </w:pPr>
      <w:r w:rsidRPr="000A0A5F">
        <w:t xml:space="preserve">      anyOf:</w:t>
      </w:r>
    </w:p>
    <w:p w:rsidR="00CB0DD7" w:rsidRPr="000A0A5F" w:rsidRDefault="00CB0DD7">
      <w:pPr>
        <w:pStyle w:val="PL"/>
      </w:pPr>
      <w:r w:rsidRPr="000A0A5F">
        <w:t xml:space="preserve">      - type: string</w:t>
      </w:r>
    </w:p>
    <w:p w:rsidR="00CB0DD7" w:rsidRPr="000A0A5F" w:rsidRDefault="00CB0DD7">
      <w:pPr>
        <w:pStyle w:val="PL"/>
      </w:pPr>
      <w:r w:rsidRPr="000A0A5F">
        <w:t xml:space="preserve">        enum:</w:t>
      </w:r>
    </w:p>
    <w:p w:rsidR="00CB0DD7" w:rsidRPr="000A0A5F" w:rsidRDefault="00CB0DD7">
      <w:pPr>
        <w:pStyle w:val="PL"/>
      </w:pPr>
      <w:r w:rsidRPr="000A0A5F">
        <w:t xml:space="preserve">          - EXPOSURE_FUNCTION</w:t>
      </w:r>
    </w:p>
    <w:p w:rsidR="00CB0DD7" w:rsidRPr="000A0A5F" w:rsidRDefault="00CB0DD7">
      <w:pPr>
        <w:pStyle w:val="PL"/>
      </w:pPr>
      <w:r w:rsidRPr="000A0A5F">
        <w:t xml:space="preserve">          - PDN_GATEWAY</w:t>
      </w:r>
    </w:p>
    <w:p w:rsidR="00CB0DD7" w:rsidRPr="000A0A5F" w:rsidRDefault="00CB0DD7">
      <w:pPr>
        <w:pStyle w:val="PL"/>
      </w:pPr>
      <w:r w:rsidRPr="000A0A5F">
        <w:t xml:space="preserve">      - type: string</w:t>
      </w:r>
    </w:p>
    <w:p w:rsidR="00CB0DD7" w:rsidRPr="000A0A5F" w:rsidRDefault="00CB0DD7">
      <w:pPr>
        <w:pStyle w:val="PL"/>
      </w:pPr>
      <w:r w:rsidRPr="000A0A5F">
        <w:t xml:space="preserve">        description: &gt;</w:t>
      </w:r>
    </w:p>
    <w:p w:rsidR="00CB0DD7" w:rsidRPr="000A0A5F" w:rsidRDefault="00CB0DD7">
      <w:pPr>
        <w:pStyle w:val="PL"/>
      </w:pPr>
      <w:r w:rsidRPr="000A0A5F">
        <w:t xml:space="preserve">          This string provides forward-compatibility with future</w:t>
      </w:r>
    </w:p>
    <w:p w:rsidR="00CB0DD7" w:rsidRPr="000A0A5F" w:rsidRDefault="00CB0DD7">
      <w:pPr>
        <w:pStyle w:val="PL"/>
      </w:pPr>
      <w:r w:rsidRPr="000A0A5F">
        <w:t xml:space="preserve">          extensions to the enumeration but is not used to encode</w:t>
      </w:r>
    </w:p>
    <w:p w:rsidR="00CB0DD7" w:rsidRPr="000A0A5F" w:rsidRDefault="00CB0DD7">
      <w:pPr>
        <w:pStyle w:val="PL"/>
      </w:pPr>
      <w:r w:rsidRPr="000A0A5F">
        <w:t xml:space="preserve">          content defined in the present version of this API.</w:t>
      </w:r>
    </w:p>
    <w:p w:rsidR="00CB0DD7" w:rsidRPr="000A0A5F" w:rsidRDefault="00CB0DD7">
      <w:pPr>
        <w:pStyle w:val="PL"/>
      </w:pPr>
      <w:r w:rsidRPr="000A0A5F">
        <w:t xml:space="preserve">      description: </w:t>
      </w:r>
      <w:r w:rsidR="00457A02" w:rsidRPr="000A0A5F">
        <w:t>|</w:t>
      </w:r>
    </w:p>
    <w:p w:rsidR="00457A02" w:rsidRPr="000A0A5F" w:rsidRDefault="00457A02">
      <w:pPr>
        <w:pStyle w:val="PL"/>
      </w:pPr>
      <w:r w:rsidRPr="000A0A5F">
        <w:t xml:space="preserve">        Represents the network entity used for data delivery towards the SCS/AS.  </w:t>
      </w:r>
    </w:p>
    <w:p w:rsidR="00CB0DD7" w:rsidRPr="000A0A5F" w:rsidRDefault="00CB0DD7">
      <w:pPr>
        <w:pStyle w:val="PL"/>
      </w:pPr>
      <w:r w:rsidRPr="000A0A5F">
        <w:t xml:space="preserve">        Possible values are</w:t>
      </w:r>
    </w:p>
    <w:p w:rsidR="00CB0DD7" w:rsidRPr="000A0A5F" w:rsidRDefault="00CB0DD7">
      <w:pPr>
        <w:pStyle w:val="PL"/>
      </w:pPr>
      <w:r w:rsidRPr="000A0A5F">
        <w:t xml:space="preserve">        - EXPOSURE_FUNCTION: </w:t>
      </w:r>
      <w:r w:rsidRPr="000A0A5F">
        <w:rPr>
          <w:rFonts w:cs="Arial"/>
          <w:szCs w:val="18"/>
          <w:lang w:eastAsia="zh-CN"/>
        </w:rPr>
        <w:t>SCEF is used for the PDN connection towards the SCS/AS.</w:t>
      </w:r>
    </w:p>
    <w:p w:rsidR="00CB0DD7" w:rsidRPr="000A0A5F" w:rsidRDefault="00CB0DD7">
      <w:pPr>
        <w:pStyle w:val="PL"/>
      </w:pPr>
      <w:r w:rsidRPr="000A0A5F">
        <w:t xml:space="preserve">        - PDN_GATEWAY: PDN gateway</w:t>
      </w:r>
      <w:r w:rsidRPr="000A0A5F">
        <w:rPr>
          <w:rFonts w:cs="Arial"/>
          <w:szCs w:val="18"/>
          <w:lang w:eastAsia="zh-CN"/>
        </w:rPr>
        <w:t xml:space="preserve"> is used for the PDN connection towards the SCS/AS.</w:t>
      </w:r>
    </w:p>
    <w:p w:rsidR="00457A02" w:rsidRPr="000A0A5F" w:rsidRDefault="00457A02">
      <w:pPr>
        <w:pStyle w:val="PL"/>
      </w:pPr>
    </w:p>
    <w:p w:rsidR="00CB0DD7" w:rsidRPr="000A0A5F" w:rsidRDefault="00CB0DD7">
      <w:pPr>
        <w:pStyle w:val="PL"/>
      </w:pPr>
      <w:r w:rsidRPr="000A0A5F">
        <w:t xml:space="preserve">    LocationFailureCause:</w:t>
      </w:r>
    </w:p>
    <w:p w:rsidR="00CB0DD7" w:rsidRPr="000A0A5F" w:rsidRDefault="00CB0DD7">
      <w:pPr>
        <w:pStyle w:val="PL"/>
      </w:pPr>
      <w:r w:rsidRPr="000A0A5F">
        <w:t xml:space="preserve">      anyOf:</w:t>
      </w:r>
    </w:p>
    <w:p w:rsidR="00CB0DD7" w:rsidRPr="000A0A5F" w:rsidRDefault="00CB0DD7">
      <w:pPr>
        <w:pStyle w:val="PL"/>
      </w:pPr>
      <w:r w:rsidRPr="000A0A5F">
        <w:t xml:space="preserve">        - type: string</w:t>
      </w:r>
    </w:p>
    <w:p w:rsidR="00CB0DD7" w:rsidRPr="000A0A5F" w:rsidRDefault="00CB0DD7">
      <w:pPr>
        <w:pStyle w:val="PL"/>
      </w:pPr>
      <w:r w:rsidRPr="000A0A5F">
        <w:t xml:space="preserve">          enum:</w:t>
      </w:r>
    </w:p>
    <w:p w:rsidR="00CB0DD7" w:rsidRPr="000A0A5F" w:rsidRDefault="00CB0DD7">
      <w:pPr>
        <w:pStyle w:val="PL"/>
      </w:pPr>
      <w:r w:rsidRPr="000A0A5F">
        <w:t xml:space="preserve">            - POSITIONING_DENIED</w:t>
      </w:r>
    </w:p>
    <w:p w:rsidR="00CB0DD7" w:rsidRPr="000A0A5F" w:rsidRDefault="00CB0DD7">
      <w:pPr>
        <w:pStyle w:val="PL"/>
      </w:pPr>
      <w:r w:rsidRPr="000A0A5F">
        <w:t xml:space="preserve">            - UNSUPPORTED_BY_UE</w:t>
      </w:r>
    </w:p>
    <w:p w:rsidR="00CB0DD7" w:rsidRPr="000A0A5F" w:rsidRDefault="00CB0DD7">
      <w:pPr>
        <w:pStyle w:val="PL"/>
      </w:pPr>
      <w:r w:rsidRPr="000A0A5F">
        <w:t xml:space="preserve">            - NOT_REGISTED_UE</w:t>
      </w:r>
    </w:p>
    <w:p w:rsidR="00CB0DD7" w:rsidRPr="000A0A5F" w:rsidRDefault="00CB0DD7">
      <w:pPr>
        <w:pStyle w:val="PL"/>
      </w:pPr>
      <w:r w:rsidRPr="000A0A5F">
        <w:t xml:space="preserve">            - UNSPECIFIED</w:t>
      </w:r>
    </w:p>
    <w:p w:rsidR="00FC4199" w:rsidRPr="000A0A5F" w:rsidRDefault="00FC4199" w:rsidP="00FC4199">
      <w:pPr>
        <w:pStyle w:val="PL"/>
      </w:pPr>
      <w:r w:rsidRPr="000A0A5F">
        <w:t xml:space="preserve">            - REQUESTED_AREA_NOT_ALLOWED</w:t>
      </w:r>
    </w:p>
    <w:p w:rsidR="00592666" w:rsidRPr="000A0A5F" w:rsidRDefault="00CB0DD7" w:rsidP="00592666">
      <w:pPr>
        <w:pStyle w:val="PL"/>
      </w:pPr>
      <w:r w:rsidRPr="000A0A5F">
        <w:t xml:space="preserve">        - type: string</w:t>
      </w:r>
    </w:p>
    <w:p w:rsidR="00592666" w:rsidRPr="000A0A5F" w:rsidRDefault="00592666" w:rsidP="00592666">
      <w:pPr>
        <w:pStyle w:val="PL"/>
      </w:pPr>
      <w:r w:rsidRPr="000A0A5F">
        <w:t xml:space="preserve">          description: &gt;</w:t>
      </w:r>
    </w:p>
    <w:p w:rsidR="00592666" w:rsidRPr="000A0A5F" w:rsidRDefault="00592666" w:rsidP="00592666">
      <w:pPr>
        <w:pStyle w:val="PL"/>
      </w:pPr>
      <w:r w:rsidRPr="000A0A5F">
        <w:t xml:space="preserve">            This string provides forward-compatibility with future extensions to the enumeration but</w:t>
      </w:r>
    </w:p>
    <w:p w:rsidR="00CB0DD7" w:rsidRPr="000A0A5F" w:rsidRDefault="00592666">
      <w:pPr>
        <w:pStyle w:val="PL"/>
        <w:rPr>
          <w:lang w:val="en-US"/>
        </w:rPr>
      </w:pPr>
      <w:r w:rsidRPr="000A0A5F">
        <w:t xml:space="preserve">            is not used to encode content defined in the present version of this API.</w:t>
      </w:r>
    </w:p>
    <w:p w:rsidR="00CB0DD7" w:rsidRPr="000A0A5F" w:rsidRDefault="00CB0DD7">
      <w:pPr>
        <w:pStyle w:val="PL"/>
      </w:pPr>
      <w:r w:rsidRPr="000A0A5F">
        <w:t xml:space="preserve">      description: &gt;</w:t>
      </w:r>
    </w:p>
    <w:p w:rsidR="00CB0DD7" w:rsidRPr="000A0A5F" w:rsidRDefault="00CB0DD7">
      <w:pPr>
        <w:pStyle w:val="PL"/>
      </w:pPr>
      <w:r w:rsidRPr="000A0A5F">
        <w:t xml:space="preserve">          </w:t>
      </w:r>
      <w:r w:rsidR="00457A02" w:rsidRPr="000A0A5F">
        <w:t xml:space="preserve">Represents the cause of location positioning failure.  </w:t>
      </w:r>
    </w:p>
    <w:p w:rsidR="00CB0DD7" w:rsidRPr="000A0A5F" w:rsidRDefault="00CB0DD7">
      <w:pPr>
        <w:pStyle w:val="PL"/>
      </w:pPr>
      <w:r w:rsidRPr="000A0A5F">
        <w:t xml:space="preserve">          Possible values are</w:t>
      </w:r>
      <w:r w:rsidR="00457A02" w:rsidRPr="000A0A5F">
        <w:t>:</w:t>
      </w:r>
    </w:p>
    <w:p w:rsidR="00CB0DD7" w:rsidRPr="000A0A5F" w:rsidRDefault="00CB0DD7">
      <w:pPr>
        <w:pStyle w:val="PL"/>
      </w:pPr>
      <w:bookmarkStart w:id="10291" w:name="_Hlk64465645"/>
      <w:r w:rsidRPr="000A0A5F">
        <w:t xml:space="preserve">          - POSITIONING_DENIED: </w:t>
      </w:r>
      <w:r w:rsidRPr="000A0A5F">
        <w:rPr>
          <w:rFonts w:cs="Arial"/>
          <w:szCs w:val="18"/>
          <w:lang w:eastAsia="zh-CN"/>
        </w:rPr>
        <w:t>Positioning is denied</w:t>
      </w:r>
      <w:r w:rsidRPr="000A0A5F">
        <w:t>.</w:t>
      </w:r>
    </w:p>
    <w:bookmarkEnd w:id="10291"/>
    <w:p w:rsidR="00CB0DD7" w:rsidRPr="000A0A5F" w:rsidRDefault="00CB0DD7">
      <w:pPr>
        <w:pStyle w:val="PL"/>
      </w:pPr>
      <w:r w:rsidRPr="000A0A5F">
        <w:t xml:space="preserve">          - UNSUPPORTED_BY_UE: </w:t>
      </w:r>
      <w:r w:rsidRPr="000A0A5F">
        <w:rPr>
          <w:rFonts w:cs="Arial"/>
          <w:szCs w:val="18"/>
          <w:lang w:eastAsia="zh-CN"/>
        </w:rPr>
        <w:t>Positioning is not supported by UE</w:t>
      </w:r>
      <w:r w:rsidRPr="000A0A5F">
        <w:t>.</w:t>
      </w:r>
    </w:p>
    <w:p w:rsidR="00CB0DD7" w:rsidRPr="000A0A5F" w:rsidRDefault="00CB0DD7">
      <w:pPr>
        <w:pStyle w:val="PL"/>
        <w:rPr>
          <w:lang w:eastAsia="zh-CN"/>
        </w:rPr>
      </w:pPr>
      <w:r w:rsidRPr="000A0A5F">
        <w:rPr>
          <w:lang w:eastAsia="zh-CN"/>
        </w:rPr>
        <w:t xml:space="preserve">        </w:t>
      </w:r>
      <w:r w:rsidRPr="000A0A5F">
        <w:t xml:space="preserve">  </w:t>
      </w:r>
      <w:r w:rsidRPr="000A0A5F">
        <w:rPr>
          <w:lang w:eastAsia="zh-CN"/>
        </w:rPr>
        <w:t>- NOT_REGISTED_UE: UE is not registered.</w:t>
      </w:r>
    </w:p>
    <w:p w:rsidR="00FC4199" w:rsidRPr="000A0A5F" w:rsidRDefault="00CB0DD7" w:rsidP="00FC4199">
      <w:pPr>
        <w:pStyle w:val="PL"/>
        <w:rPr>
          <w:lang w:eastAsia="zh-CN"/>
        </w:rPr>
      </w:pPr>
      <w:r w:rsidRPr="000A0A5F">
        <w:rPr>
          <w:lang w:eastAsia="zh-CN"/>
        </w:rPr>
        <w:t xml:space="preserve">        </w:t>
      </w:r>
      <w:r w:rsidRPr="000A0A5F">
        <w:t xml:space="preserve">  </w:t>
      </w:r>
      <w:r w:rsidRPr="000A0A5F">
        <w:rPr>
          <w:lang w:eastAsia="zh-CN"/>
        </w:rPr>
        <w:t>- UNSPECIFIED: Unspecified.</w:t>
      </w:r>
    </w:p>
    <w:p w:rsidR="00FC4199" w:rsidRPr="000A0A5F" w:rsidRDefault="00FC4199" w:rsidP="00FC4199">
      <w:pPr>
        <w:pStyle w:val="PL"/>
      </w:pPr>
      <w:r w:rsidRPr="000A0A5F">
        <w:rPr>
          <w:lang w:eastAsia="zh-CN"/>
        </w:rPr>
        <w:t xml:space="preserve">        </w:t>
      </w:r>
      <w:r w:rsidRPr="000A0A5F">
        <w:t xml:space="preserve">  </w:t>
      </w:r>
      <w:r w:rsidRPr="000A0A5F">
        <w:rPr>
          <w:lang w:eastAsia="zh-CN"/>
        </w:rPr>
        <w:t xml:space="preserve">- </w:t>
      </w:r>
      <w:r w:rsidRPr="000A0A5F">
        <w:t>REQUESTED_AREA_NOT_ALLOWED: The location request is rejected because the location area</w:t>
      </w:r>
    </w:p>
    <w:p w:rsidR="00CB0DD7" w:rsidRPr="000A0A5F" w:rsidRDefault="00FC4199" w:rsidP="00FC4199">
      <w:pPr>
        <w:pStyle w:val="PL"/>
        <w:rPr>
          <w:lang w:eastAsia="zh-CN"/>
        </w:rPr>
      </w:pPr>
      <w:r w:rsidRPr="000A0A5F">
        <w:t xml:space="preserve">            requested by the AF for area event reporting is not allowed</w:t>
      </w:r>
      <w:r w:rsidRPr="000A0A5F">
        <w:rPr>
          <w:lang w:eastAsia="zh-CN"/>
        </w:rPr>
        <w:t>.</w:t>
      </w:r>
    </w:p>
    <w:p w:rsidR="00457A02" w:rsidRPr="000A0A5F" w:rsidRDefault="00457A02" w:rsidP="00C55DCD">
      <w:pPr>
        <w:pStyle w:val="PL"/>
        <w:rPr>
          <w:lang w:eastAsia="zh-CN"/>
        </w:rPr>
      </w:pPr>
    </w:p>
    <w:p w:rsidR="00C55DCD" w:rsidRPr="000A0A5F" w:rsidRDefault="00C55DCD" w:rsidP="00C55DCD">
      <w:pPr>
        <w:pStyle w:val="PL"/>
        <w:rPr>
          <w:lang w:eastAsia="zh-CN"/>
        </w:rPr>
      </w:pPr>
      <w:r w:rsidRPr="000A0A5F">
        <w:rPr>
          <w:lang w:eastAsia="zh-CN"/>
        </w:rPr>
        <w:t xml:space="preserve">    SubType:</w:t>
      </w:r>
    </w:p>
    <w:p w:rsidR="00C55DCD" w:rsidRPr="000A0A5F" w:rsidRDefault="00C55DCD" w:rsidP="00C55DCD">
      <w:pPr>
        <w:pStyle w:val="PL"/>
        <w:rPr>
          <w:lang w:eastAsia="zh-CN"/>
        </w:rPr>
      </w:pPr>
      <w:r w:rsidRPr="000A0A5F">
        <w:rPr>
          <w:lang w:eastAsia="zh-CN"/>
        </w:rPr>
        <w:t xml:space="preserve">      anyOf:</w:t>
      </w:r>
    </w:p>
    <w:p w:rsidR="00C55DCD" w:rsidRPr="000A0A5F" w:rsidRDefault="00C55DCD" w:rsidP="00C55DCD">
      <w:pPr>
        <w:pStyle w:val="PL"/>
        <w:rPr>
          <w:lang w:eastAsia="zh-CN"/>
        </w:rPr>
      </w:pPr>
      <w:r w:rsidRPr="000A0A5F">
        <w:rPr>
          <w:lang w:eastAsia="zh-CN"/>
        </w:rPr>
        <w:t xml:space="preserve">      - type: string</w:t>
      </w:r>
    </w:p>
    <w:p w:rsidR="00C55DCD" w:rsidRPr="000A0A5F" w:rsidRDefault="00C55DCD" w:rsidP="00C55DCD">
      <w:pPr>
        <w:pStyle w:val="PL"/>
        <w:rPr>
          <w:lang w:eastAsia="zh-CN"/>
        </w:rPr>
      </w:pPr>
      <w:r w:rsidRPr="000A0A5F">
        <w:rPr>
          <w:lang w:eastAsia="zh-CN"/>
        </w:rPr>
        <w:t xml:space="preserve">        enum:</w:t>
      </w:r>
    </w:p>
    <w:p w:rsidR="00C55DCD" w:rsidRPr="000A0A5F" w:rsidRDefault="00C55DCD" w:rsidP="00C55DCD">
      <w:pPr>
        <w:pStyle w:val="PL"/>
        <w:rPr>
          <w:lang w:eastAsia="zh-CN"/>
        </w:rPr>
      </w:pPr>
      <w:r w:rsidRPr="000A0A5F">
        <w:rPr>
          <w:lang w:eastAsia="zh-CN"/>
        </w:rPr>
        <w:t xml:space="preserve">          - AERIAL_UE</w:t>
      </w:r>
    </w:p>
    <w:p w:rsidR="00C55DCD" w:rsidRPr="000A0A5F" w:rsidRDefault="00C55DCD" w:rsidP="00C55DCD">
      <w:pPr>
        <w:pStyle w:val="PL"/>
        <w:rPr>
          <w:lang w:eastAsia="zh-CN"/>
        </w:rPr>
      </w:pPr>
      <w:r w:rsidRPr="000A0A5F">
        <w:rPr>
          <w:lang w:eastAsia="zh-CN"/>
        </w:rPr>
        <w:t xml:space="preserve">      - type: string</w:t>
      </w:r>
    </w:p>
    <w:p w:rsidR="00C55DCD" w:rsidRPr="000A0A5F" w:rsidRDefault="00C55DCD" w:rsidP="00C55DCD">
      <w:pPr>
        <w:pStyle w:val="PL"/>
        <w:rPr>
          <w:lang w:eastAsia="zh-CN"/>
        </w:rPr>
      </w:pPr>
      <w:r w:rsidRPr="000A0A5F">
        <w:rPr>
          <w:lang w:eastAsia="zh-CN"/>
        </w:rPr>
        <w:t xml:space="preserve">        description: &gt;</w:t>
      </w:r>
    </w:p>
    <w:p w:rsidR="00C55DCD" w:rsidRPr="000A0A5F" w:rsidRDefault="00C55DCD" w:rsidP="00C55DCD">
      <w:pPr>
        <w:pStyle w:val="PL"/>
        <w:rPr>
          <w:lang w:eastAsia="zh-CN"/>
        </w:rPr>
      </w:pPr>
      <w:r w:rsidRPr="000A0A5F">
        <w:rPr>
          <w:lang w:eastAsia="zh-CN"/>
        </w:rPr>
        <w:t xml:space="preserve">          This string provides forward-compatibility with future</w:t>
      </w:r>
    </w:p>
    <w:p w:rsidR="00C55DCD" w:rsidRPr="000A0A5F" w:rsidRDefault="00C55DCD" w:rsidP="00C55DCD">
      <w:pPr>
        <w:pStyle w:val="PL"/>
        <w:rPr>
          <w:lang w:eastAsia="zh-CN"/>
        </w:rPr>
      </w:pPr>
      <w:r w:rsidRPr="000A0A5F">
        <w:rPr>
          <w:lang w:eastAsia="zh-CN"/>
        </w:rPr>
        <w:t xml:space="preserve">          extensions to the enumeration but is not used to encode</w:t>
      </w:r>
    </w:p>
    <w:p w:rsidR="00C55DCD" w:rsidRPr="000A0A5F" w:rsidRDefault="00C55DCD" w:rsidP="00C55DCD">
      <w:pPr>
        <w:pStyle w:val="PL"/>
        <w:rPr>
          <w:lang w:eastAsia="zh-CN"/>
        </w:rPr>
      </w:pPr>
      <w:r w:rsidRPr="000A0A5F">
        <w:rPr>
          <w:lang w:eastAsia="zh-CN"/>
        </w:rPr>
        <w:t xml:space="preserve">          content defined in the present version of this API.</w:t>
      </w:r>
    </w:p>
    <w:p w:rsidR="00C55DCD" w:rsidRPr="000A0A5F" w:rsidRDefault="00C55DCD" w:rsidP="00C55DCD">
      <w:pPr>
        <w:pStyle w:val="PL"/>
        <w:rPr>
          <w:lang w:eastAsia="zh-CN"/>
        </w:rPr>
      </w:pPr>
      <w:r w:rsidRPr="000A0A5F">
        <w:rPr>
          <w:lang w:eastAsia="zh-CN"/>
        </w:rPr>
        <w:t xml:space="preserve">      description: </w:t>
      </w:r>
      <w:r w:rsidR="00457A02" w:rsidRPr="000A0A5F">
        <w:rPr>
          <w:lang w:eastAsia="zh-CN"/>
        </w:rPr>
        <w:t>|</w:t>
      </w:r>
    </w:p>
    <w:p w:rsidR="00457A02" w:rsidRPr="000A0A5F" w:rsidRDefault="00457A02" w:rsidP="00C55DCD">
      <w:pPr>
        <w:pStyle w:val="PL"/>
        <w:rPr>
          <w:lang w:eastAsia="zh-CN"/>
        </w:rPr>
      </w:pPr>
      <w:r w:rsidRPr="000A0A5F">
        <w:rPr>
          <w:lang w:eastAsia="zh-CN"/>
        </w:rPr>
        <w:t xml:space="preserve">        Represents a subscription type.  </w:t>
      </w:r>
    </w:p>
    <w:p w:rsidR="00C55DCD" w:rsidRPr="000A0A5F" w:rsidRDefault="00C55DCD" w:rsidP="00C55DCD">
      <w:pPr>
        <w:pStyle w:val="PL"/>
        <w:rPr>
          <w:lang w:eastAsia="zh-CN"/>
        </w:rPr>
      </w:pPr>
      <w:r w:rsidRPr="000A0A5F">
        <w:rPr>
          <w:lang w:eastAsia="zh-CN"/>
        </w:rPr>
        <w:t xml:space="preserve">        Possible values are</w:t>
      </w:r>
    </w:p>
    <w:p w:rsidR="00C55DCD" w:rsidRPr="000A0A5F" w:rsidRDefault="00C55DCD" w:rsidP="00C55DCD">
      <w:pPr>
        <w:pStyle w:val="PL"/>
        <w:rPr>
          <w:lang w:eastAsia="zh-CN"/>
        </w:rPr>
      </w:pPr>
      <w:r w:rsidRPr="000A0A5F">
        <w:rPr>
          <w:lang w:eastAsia="zh-CN"/>
        </w:rPr>
        <w:t xml:space="preserve">        - AERIAL_UE: The UE has Aerial subscription.</w:t>
      </w:r>
    </w:p>
    <w:p w:rsidR="00457A02" w:rsidRPr="000A0A5F" w:rsidRDefault="00457A02" w:rsidP="00221543">
      <w:pPr>
        <w:pStyle w:val="PL"/>
        <w:rPr>
          <w:lang w:val="en-US"/>
        </w:rPr>
      </w:pPr>
      <w:bookmarkStart w:id="10292" w:name="_Toc11247931"/>
      <w:bookmarkStart w:id="10293" w:name="_Toc27045113"/>
      <w:bookmarkStart w:id="10294" w:name="_Toc36034164"/>
      <w:bookmarkStart w:id="10295" w:name="_Toc45132312"/>
      <w:bookmarkStart w:id="10296" w:name="_Toc49776597"/>
      <w:bookmarkStart w:id="10297" w:name="_Toc51747517"/>
      <w:bookmarkStart w:id="10298" w:name="_Toc66361099"/>
      <w:bookmarkStart w:id="10299" w:name="_Toc68105604"/>
      <w:bookmarkStart w:id="10300" w:name="_Toc74756236"/>
    </w:p>
    <w:p w:rsidR="00221543" w:rsidRPr="000A0A5F" w:rsidRDefault="00221543" w:rsidP="00221543">
      <w:pPr>
        <w:pStyle w:val="PL"/>
        <w:rPr>
          <w:lang w:val="en-US"/>
        </w:rPr>
      </w:pPr>
      <w:r w:rsidRPr="000A0A5F">
        <w:rPr>
          <w:lang w:val="en-US"/>
        </w:rPr>
        <w:t xml:space="preserve">    SACRepFormat:</w:t>
      </w:r>
    </w:p>
    <w:p w:rsidR="00221543" w:rsidRPr="000A0A5F" w:rsidRDefault="00221543" w:rsidP="00221543">
      <w:pPr>
        <w:pStyle w:val="PL"/>
        <w:rPr>
          <w:lang w:val="en-US"/>
        </w:rPr>
      </w:pPr>
      <w:r w:rsidRPr="000A0A5F">
        <w:rPr>
          <w:lang w:val="en-US"/>
        </w:rPr>
        <w:t xml:space="preserve">      anyOf:</w:t>
      </w:r>
    </w:p>
    <w:p w:rsidR="00221543" w:rsidRPr="000A0A5F" w:rsidRDefault="00221543" w:rsidP="00221543">
      <w:pPr>
        <w:pStyle w:val="PL"/>
        <w:rPr>
          <w:lang w:val="en-US"/>
        </w:rPr>
      </w:pPr>
      <w:r w:rsidRPr="000A0A5F">
        <w:rPr>
          <w:lang w:val="en-US"/>
        </w:rPr>
        <w:t xml:space="preserve">        - type: string</w:t>
      </w:r>
    </w:p>
    <w:p w:rsidR="00221543" w:rsidRPr="000A0A5F" w:rsidRDefault="00221543" w:rsidP="00221543">
      <w:pPr>
        <w:pStyle w:val="PL"/>
        <w:rPr>
          <w:lang w:val="en-US"/>
        </w:rPr>
      </w:pPr>
      <w:r w:rsidRPr="000A0A5F">
        <w:rPr>
          <w:lang w:val="en-US"/>
        </w:rPr>
        <w:t xml:space="preserve">          enum:</w:t>
      </w:r>
    </w:p>
    <w:p w:rsidR="00221543" w:rsidRPr="000A0A5F" w:rsidRDefault="00221543" w:rsidP="00221543">
      <w:pPr>
        <w:pStyle w:val="PL"/>
        <w:rPr>
          <w:lang w:val="en-US" w:eastAsia="zh-CN"/>
        </w:rPr>
      </w:pPr>
      <w:r w:rsidRPr="000A0A5F">
        <w:t xml:space="preserve">            - NUMERICAL</w:t>
      </w:r>
    </w:p>
    <w:p w:rsidR="00221543" w:rsidRPr="000A0A5F" w:rsidRDefault="00221543" w:rsidP="00221543">
      <w:pPr>
        <w:pStyle w:val="PL"/>
        <w:rPr>
          <w:lang w:val="en-US" w:eastAsia="zh-CN"/>
        </w:rPr>
      </w:pPr>
      <w:r w:rsidRPr="000A0A5F">
        <w:t xml:space="preserve">            - PERCENTAGE</w:t>
      </w:r>
    </w:p>
    <w:p w:rsidR="00C6258E" w:rsidRPr="000A0A5F" w:rsidRDefault="00221543" w:rsidP="00C6258E">
      <w:pPr>
        <w:pStyle w:val="PL"/>
        <w:rPr>
          <w:lang w:val="en-US"/>
        </w:rPr>
      </w:pPr>
      <w:r w:rsidRPr="000A0A5F">
        <w:rPr>
          <w:lang w:val="en-US"/>
        </w:rPr>
        <w:t xml:space="preserve">        - type: string</w:t>
      </w:r>
    </w:p>
    <w:p w:rsidR="00C6258E" w:rsidRPr="000A0A5F" w:rsidRDefault="00C6258E" w:rsidP="00C6258E">
      <w:pPr>
        <w:pStyle w:val="PL"/>
      </w:pPr>
      <w:r w:rsidRPr="000A0A5F">
        <w:t xml:space="preserve">          description: &gt;</w:t>
      </w:r>
    </w:p>
    <w:p w:rsidR="00C6258E" w:rsidRPr="000A0A5F" w:rsidRDefault="00C6258E" w:rsidP="00C6258E">
      <w:pPr>
        <w:pStyle w:val="PL"/>
      </w:pPr>
      <w:r w:rsidRPr="000A0A5F">
        <w:t xml:space="preserve">            This string provides forward-compatibility with future extensions to the enumeration but</w:t>
      </w:r>
    </w:p>
    <w:p w:rsidR="00221543" w:rsidRPr="000A0A5F" w:rsidRDefault="00C6258E" w:rsidP="00C6258E">
      <w:pPr>
        <w:pStyle w:val="PL"/>
        <w:rPr>
          <w:lang w:val="en-US"/>
        </w:rPr>
      </w:pPr>
      <w:r w:rsidRPr="000A0A5F">
        <w:t xml:space="preserve">            is not used to encode content defined in the present version of this API.</w:t>
      </w:r>
    </w:p>
    <w:p w:rsidR="00221543" w:rsidRPr="000A0A5F" w:rsidRDefault="00221543" w:rsidP="00221543">
      <w:pPr>
        <w:pStyle w:val="PL"/>
        <w:rPr>
          <w:lang w:val="en-US"/>
        </w:rPr>
      </w:pPr>
      <w:r w:rsidRPr="000A0A5F">
        <w:t xml:space="preserve">      description: Indicates the NSAC reporting format.</w:t>
      </w:r>
    </w:p>
    <w:p w:rsidR="00C55DCD" w:rsidRPr="000A0A5F" w:rsidRDefault="00C55DCD" w:rsidP="00C55DCD">
      <w:pPr>
        <w:pStyle w:val="PL"/>
        <w:rPr>
          <w:lang w:eastAsia="zh-CN"/>
        </w:rPr>
      </w:pPr>
    </w:p>
    <w:p w:rsidR="00CB0DD7" w:rsidRPr="000A0A5F" w:rsidRDefault="00CB0DD7" w:rsidP="00706FFD">
      <w:pPr>
        <w:pStyle w:val="Heading1"/>
        <w:rPr>
          <w:lang w:eastAsia="zh-CN"/>
        </w:rPr>
      </w:pPr>
      <w:bookmarkStart w:id="10301" w:name="_Toc105675113"/>
      <w:bookmarkStart w:id="10302" w:name="_Toc130503191"/>
      <w:bookmarkStart w:id="10303" w:name="_Toc153625983"/>
      <w:r w:rsidRPr="000A0A5F">
        <w:t>A.4</w:t>
      </w:r>
      <w:r w:rsidRPr="000A0A5F">
        <w:tab/>
        <w:t>ResourceManagementOfBdt API</w:t>
      </w:r>
      <w:bookmarkEnd w:id="10292"/>
      <w:bookmarkEnd w:id="10293"/>
      <w:bookmarkEnd w:id="10294"/>
      <w:bookmarkEnd w:id="10295"/>
      <w:bookmarkEnd w:id="10296"/>
      <w:bookmarkEnd w:id="10297"/>
      <w:bookmarkEnd w:id="10298"/>
      <w:bookmarkEnd w:id="10299"/>
      <w:bookmarkEnd w:id="10300"/>
      <w:bookmarkEnd w:id="10301"/>
      <w:bookmarkEnd w:id="10302"/>
      <w:bookmarkEnd w:id="10303"/>
    </w:p>
    <w:p w:rsidR="00CB0DD7" w:rsidRPr="000A0A5F" w:rsidRDefault="00CB0DD7">
      <w:pPr>
        <w:pStyle w:val="PL"/>
      </w:pPr>
      <w:r w:rsidRPr="000A0A5F">
        <w:t>openapi: 3.0.0</w:t>
      </w:r>
    </w:p>
    <w:p w:rsidR="00CB0DD7" w:rsidRPr="000A0A5F" w:rsidRDefault="00CB0DD7">
      <w:pPr>
        <w:pStyle w:val="PL"/>
      </w:pPr>
      <w:r w:rsidRPr="000A0A5F">
        <w:t>info:</w:t>
      </w:r>
    </w:p>
    <w:p w:rsidR="00CB0DD7" w:rsidRPr="000A0A5F" w:rsidRDefault="00CB0DD7">
      <w:pPr>
        <w:pStyle w:val="PL"/>
      </w:pPr>
      <w:r w:rsidRPr="000A0A5F">
        <w:t xml:space="preserve">  title: 3gpp-bdt</w:t>
      </w:r>
    </w:p>
    <w:p w:rsidR="00CB0DD7" w:rsidRPr="000A0A5F" w:rsidRDefault="00CB0DD7">
      <w:pPr>
        <w:pStyle w:val="PL"/>
      </w:pPr>
      <w:r w:rsidRPr="000A0A5F">
        <w:t xml:space="preserve">  version: 1.</w:t>
      </w:r>
      <w:r w:rsidR="00C7286E" w:rsidRPr="000A0A5F">
        <w:t>3</w:t>
      </w:r>
      <w:r w:rsidRPr="000A0A5F">
        <w:t>.</w:t>
      </w:r>
      <w:r w:rsidR="00C7286E" w:rsidRPr="000A0A5F">
        <w:t>0-alpha.1</w:t>
      </w:r>
    </w:p>
    <w:p w:rsidR="00CB0DD7" w:rsidRPr="000A0A5F" w:rsidRDefault="00CB0DD7">
      <w:pPr>
        <w:pStyle w:val="PL"/>
      </w:pPr>
      <w:r w:rsidRPr="000A0A5F">
        <w:t xml:space="preserve">  description: |</w:t>
      </w:r>
    </w:p>
    <w:p w:rsidR="00CB0DD7" w:rsidRPr="000A0A5F" w:rsidRDefault="00CB0DD7">
      <w:pPr>
        <w:pStyle w:val="PL"/>
      </w:pPr>
      <w:r w:rsidRPr="000A0A5F">
        <w:t xml:space="preserve">    API for BDT resouce management.</w:t>
      </w:r>
      <w:r w:rsidR="005B6DFB" w:rsidRPr="000A0A5F">
        <w:t xml:space="preserve">  </w:t>
      </w:r>
    </w:p>
    <w:p w:rsidR="00CB0DD7" w:rsidRPr="000A0A5F" w:rsidRDefault="00CB0DD7">
      <w:pPr>
        <w:pStyle w:val="PL"/>
      </w:pPr>
      <w:r w:rsidRPr="000A0A5F">
        <w:t xml:space="preserve">    © </w:t>
      </w:r>
      <w:r w:rsidR="00C7286E" w:rsidRPr="000A0A5F">
        <w:t>2023</w:t>
      </w:r>
      <w:r w:rsidRPr="000A0A5F">
        <w:t>, 3GPP Organizational Partners (ARIB, ATIS, CCSA, ETSI, TSDSI, TTA, TTC).</w:t>
      </w:r>
      <w:r w:rsidR="005B6DFB" w:rsidRPr="000A0A5F">
        <w:t xml:space="preserve">  </w:t>
      </w:r>
    </w:p>
    <w:p w:rsidR="00CB0DD7" w:rsidRPr="000A0A5F" w:rsidRDefault="00CB0DD7">
      <w:pPr>
        <w:pStyle w:val="PL"/>
      </w:pPr>
      <w:r w:rsidRPr="000A0A5F">
        <w:t xml:space="preserve">    All rights reserved.</w:t>
      </w:r>
    </w:p>
    <w:p w:rsidR="00CB0DD7" w:rsidRPr="000A0A5F" w:rsidRDefault="00CB0DD7">
      <w:pPr>
        <w:pStyle w:val="PL"/>
      </w:pPr>
      <w:r w:rsidRPr="000A0A5F">
        <w:t>externalDocs:</w:t>
      </w:r>
    </w:p>
    <w:p w:rsidR="00CB0DD7" w:rsidRPr="000A0A5F" w:rsidRDefault="00CB0DD7">
      <w:pPr>
        <w:pStyle w:val="PL"/>
      </w:pPr>
      <w:r w:rsidRPr="000A0A5F">
        <w:t xml:space="preserve">  description: 3GPP TS 29.122 V1</w:t>
      </w:r>
      <w:r w:rsidR="00C7286E" w:rsidRPr="000A0A5F">
        <w:t>8</w:t>
      </w:r>
      <w:r w:rsidRPr="000A0A5F">
        <w:t>.</w:t>
      </w:r>
      <w:r w:rsidR="00C7286E" w:rsidRPr="000A0A5F">
        <w:t>2</w:t>
      </w:r>
      <w:r w:rsidRPr="000A0A5F">
        <w:t>.0 T8 reference point for Northbound APIs</w:t>
      </w:r>
    </w:p>
    <w:p w:rsidR="00CB0DD7" w:rsidRPr="000A0A5F" w:rsidRDefault="00CB0DD7">
      <w:pPr>
        <w:pStyle w:val="PL"/>
      </w:pPr>
      <w:r w:rsidRPr="000A0A5F">
        <w:t xml:space="preserve">  url: 'http</w:t>
      </w:r>
      <w:r w:rsidR="005B6DFB" w:rsidRPr="000A0A5F">
        <w:t>s</w:t>
      </w:r>
      <w:r w:rsidRPr="000A0A5F">
        <w:t>://www.3gpp.org/ftp/Specs/archive/29_series/29.122/'</w:t>
      </w:r>
    </w:p>
    <w:p w:rsidR="00CB0DD7" w:rsidRPr="000A0A5F" w:rsidRDefault="00CB0DD7">
      <w:pPr>
        <w:pStyle w:val="PL"/>
      </w:pPr>
      <w:r w:rsidRPr="000A0A5F">
        <w:t>security:</w:t>
      </w:r>
    </w:p>
    <w:p w:rsidR="00CB0DD7" w:rsidRPr="000A0A5F" w:rsidRDefault="00CB0DD7">
      <w:pPr>
        <w:pStyle w:val="PL"/>
        <w:rPr>
          <w:lang w:val="en-US"/>
        </w:rPr>
      </w:pPr>
      <w:r w:rsidRPr="000A0A5F">
        <w:rPr>
          <w:lang w:val="en-US"/>
        </w:rPr>
        <w:t xml:space="preserve">  - {}</w:t>
      </w:r>
    </w:p>
    <w:p w:rsidR="00CB0DD7" w:rsidRPr="000A0A5F" w:rsidRDefault="00CB0DD7">
      <w:pPr>
        <w:pStyle w:val="PL"/>
      </w:pPr>
      <w:r w:rsidRPr="000A0A5F">
        <w:t xml:space="preserve">  - oAuth2ClientCredentials: []</w:t>
      </w:r>
    </w:p>
    <w:p w:rsidR="00CB0DD7" w:rsidRPr="000A0A5F" w:rsidRDefault="00CB0DD7">
      <w:pPr>
        <w:pStyle w:val="PL"/>
      </w:pPr>
      <w:r w:rsidRPr="000A0A5F">
        <w:t>servers:</w:t>
      </w:r>
    </w:p>
    <w:p w:rsidR="00CB0DD7" w:rsidRPr="000A0A5F" w:rsidRDefault="00CB0DD7">
      <w:pPr>
        <w:pStyle w:val="PL"/>
      </w:pPr>
      <w:r w:rsidRPr="000A0A5F">
        <w:t xml:space="preserve">  - url: '{apiRoot}/3gpp-bdt/v1'</w:t>
      </w:r>
    </w:p>
    <w:p w:rsidR="00CB0DD7" w:rsidRPr="000A0A5F" w:rsidRDefault="00CB0DD7">
      <w:pPr>
        <w:pStyle w:val="PL"/>
      </w:pPr>
      <w:r w:rsidRPr="000A0A5F">
        <w:t xml:space="preserve">    variables:</w:t>
      </w:r>
    </w:p>
    <w:p w:rsidR="00CB0DD7" w:rsidRPr="000A0A5F" w:rsidRDefault="00CB0DD7">
      <w:pPr>
        <w:pStyle w:val="PL"/>
      </w:pPr>
      <w:r w:rsidRPr="000A0A5F">
        <w:t xml:space="preserve">      apiRoot:</w:t>
      </w:r>
    </w:p>
    <w:p w:rsidR="00CB0DD7" w:rsidRPr="000A0A5F" w:rsidRDefault="00CB0DD7">
      <w:pPr>
        <w:pStyle w:val="PL"/>
      </w:pPr>
      <w:r w:rsidRPr="000A0A5F">
        <w:t xml:space="preserve">        default: https://example.com</w:t>
      </w:r>
    </w:p>
    <w:p w:rsidR="00CB0DD7" w:rsidRPr="000A0A5F" w:rsidRDefault="00CB0DD7">
      <w:pPr>
        <w:pStyle w:val="PL"/>
      </w:pPr>
      <w:r w:rsidRPr="000A0A5F">
        <w:t xml:space="preserve">        description: apiRoot as defined in clause 5.2.4 of 3GPP TS 29.122.</w:t>
      </w:r>
    </w:p>
    <w:p w:rsidR="00CB0DD7" w:rsidRPr="000A0A5F" w:rsidRDefault="00CB0DD7">
      <w:pPr>
        <w:pStyle w:val="PL"/>
      </w:pPr>
      <w:r w:rsidRPr="000A0A5F">
        <w:t>paths:</w:t>
      </w:r>
    </w:p>
    <w:p w:rsidR="00CB0DD7" w:rsidRPr="000A0A5F" w:rsidRDefault="00CB0DD7">
      <w:pPr>
        <w:pStyle w:val="PL"/>
        <w:rPr>
          <w:lang w:val="en-US"/>
        </w:rPr>
      </w:pPr>
      <w:r w:rsidRPr="000A0A5F">
        <w:rPr>
          <w:lang w:val="en-US"/>
        </w:rPr>
        <w:t xml:space="preserve">  /{scsAsId}/subscriptions:</w:t>
      </w:r>
    </w:p>
    <w:p w:rsidR="00CB0DD7" w:rsidRPr="000A0A5F" w:rsidRDefault="00CB0DD7">
      <w:pPr>
        <w:pStyle w:val="PL"/>
        <w:rPr>
          <w:lang w:val="en-US"/>
        </w:rPr>
      </w:pPr>
      <w:r w:rsidRPr="000A0A5F">
        <w:rPr>
          <w:lang w:val="en-US"/>
        </w:rPr>
        <w:t xml:space="preserve">    parameters:</w:t>
      </w:r>
    </w:p>
    <w:p w:rsidR="00CB0DD7" w:rsidRPr="000A0A5F" w:rsidRDefault="00CB0DD7">
      <w:pPr>
        <w:pStyle w:val="PL"/>
        <w:rPr>
          <w:lang w:val="en-US"/>
        </w:rPr>
      </w:pPr>
      <w:r w:rsidRPr="000A0A5F">
        <w:rPr>
          <w:lang w:val="en-US"/>
        </w:rPr>
        <w:t xml:space="preserve">      - name: scsAsId</w:t>
      </w:r>
    </w:p>
    <w:p w:rsidR="00CB0DD7" w:rsidRPr="000A0A5F" w:rsidRDefault="00CB0DD7">
      <w:pPr>
        <w:pStyle w:val="PL"/>
        <w:rPr>
          <w:lang w:val="en-US"/>
        </w:rPr>
      </w:pPr>
      <w:r w:rsidRPr="000A0A5F">
        <w:rPr>
          <w:lang w:val="en-US"/>
        </w:rPr>
        <w:t xml:space="preserve">        description: String identifying the SCS/AS.</w:t>
      </w:r>
    </w:p>
    <w:p w:rsidR="00CB0DD7" w:rsidRPr="000A0A5F" w:rsidRDefault="00CB0DD7">
      <w:pPr>
        <w:pStyle w:val="PL"/>
        <w:rPr>
          <w:lang w:val="en-US"/>
        </w:rPr>
      </w:pPr>
      <w:r w:rsidRPr="000A0A5F">
        <w:rPr>
          <w:lang w:val="en-US"/>
        </w:rPr>
        <w:t xml:space="preserve">        in: path</w:t>
      </w:r>
    </w:p>
    <w:p w:rsidR="00CB0DD7" w:rsidRPr="000A0A5F" w:rsidRDefault="00CB0DD7">
      <w:pPr>
        <w:pStyle w:val="PL"/>
        <w:rPr>
          <w:lang w:val="en-US"/>
        </w:rPr>
      </w:pPr>
      <w:r w:rsidRPr="000A0A5F">
        <w:rPr>
          <w:lang w:val="en-US"/>
        </w:rPr>
        <w:t xml:space="preserve">        required: true</w:t>
      </w:r>
    </w:p>
    <w:p w:rsidR="00CB0DD7" w:rsidRPr="000A0A5F" w:rsidRDefault="00CB0DD7">
      <w:pPr>
        <w:pStyle w:val="PL"/>
        <w:rPr>
          <w:lang w:val="en-US"/>
        </w:rPr>
      </w:pPr>
      <w:r w:rsidRPr="000A0A5F">
        <w:rPr>
          <w:lang w:val="en-US"/>
        </w:rPr>
        <w:t xml:space="preserve">        schema:</w:t>
      </w:r>
    </w:p>
    <w:p w:rsidR="00CB0DD7" w:rsidRPr="000A0A5F" w:rsidRDefault="00CB0DD7">
      <w:pPr>
        <w:pStyle w:val="PL"/>
        <w:rPr>
          <w:lang w:val="en-US"/>
        </w:rPr>
      </w:pPr>
      <w:r w:rsidRPr="000A0A5F">
        <w:rPr>
          <w:lang w:val="en-US"/>
        </w:rPr>
        <w:t xml:space="preserve">          type: string</w:t>
      </w:r>
    </w:p>
    <w:p w:rsidR="00CB0DD7" w:rsidRPr="000A0A5F" w:rsidRDefault="00CB0DD7">
      <w:pPr>
        <w:pStyle w:val="PL"/>
        <w:rPr>
          <w:lang w:val="en-US"/>
        </w:rPr>
      </w:pPr>
      <w:r w:rsidRPr="000A0A5F">
        <w:rPr>
          <w:lang w:val="en-US"/>
        </w:rPr>
        <w:t xml:space="preserve">    get:</w:t>
      </w:r>
    </w:p>
    <w:p w:rsidR="00C21D6F" w:rsidRPr="000A0A5F" w:rsidRDefault="00C21D6F" w:rsidP="00C21D6F">
      <w:pPr>
        <w:pStyle w:val="PL"/>
      </w:pPr>
      <w:r w:rsidRPr="000A0A5F">
        <w:t xml:space="preserve">      summary: Fetch all active background data transfer subscription </w:t>
      </w:r>
      <w:r w:rsidRPr="000A0A5F">
        <w:rPr>
          <w:lang w:eastAsia="zh-CN"/>
        </w:rPr>
        <w:t>resources for a given SCS/AS.</w:t>
      </w:r>
    </w:p>
    <w:p w:rsidR="00C21D6F" w:rsidRPr="000A0A5F" w:rsidRDefault="00C21D6F" w:rsidP="00C21D6F">
      <w:pPr>
        <w:pStyle w:val="PL"/>
      </w:pPr>
      <w:r w:rsidRPr="000A0A5F">
        <w:t xml:space="preserve">      </w:t>
      </w:r>
      <w:r w:rsidRPr="000A0A5F">
        <w:rPr>
          <w:rFonts w:cs="Courier New"/>
          <w:szCs w:val="16"/>
        </w:rPr>
        <w:t>operationId: FetchAllActive</w:t>
      </w:r>
      <w:r w:rsidRPr="000A0A5F">
        <w:t>BDTSubscriptions</w:t>
      </w:r>
    </w:p>
    <w:p w:rsidR="00C21D6F" w:rsidRPr="000A0A5F" w:rsidRDefault="00C21D6F" w:rsidP="00C21D6F">
      <w:pPr>
        <w:pStyle w:val="PL"/>
      </w:pPr>
      <w:r w:rsidRPr="000A0A5F">
        <w:t xml:space="preserve">      tags:</w:t>
      </w:r>
    </w:p>
    <w:p w:rsidR="00C21D6F" w:rsidRPr="000A0A5F" w:rsidRDefault="00C21D6F" w:rsidP="00C21D6F">
      <w:pPr>
        <w:pStyle w:val="PL"/>
      </w:pPr>
      <w:r w:rsidRPr="000A0A5F">
        <w:t xml:space="preserve">        - BDT Subscription</w:t>
      </w:r>
    </w:p>
    <w:p w:rsidR="00CB0DD7" w:rsidRPr="000A0A5F" w:rsidRDefault="00CB0DD7">
      <w:pPr>
        <w:pStyle w:val="PL"/>
        <w:rPr>
          <w:lang w:val="en-US"/>
        </w:rPr>
      </w:pPr>
      <w:r w:rsidRPr="000A0A5F">
        <w:rPr>
          <w:lang w:val="en-US"/>
        </w:rPr>
        <w:t xml:space="preserve">      responses:</w:t>
      </w:r>
    </w:p>
    <w:p w:rsidR="00CB0DD7" w:rsidRPr="000A0A5F" w:rsidRDefault="00CB0DD7">
      <w:pPr>
        <w:pStyle w:val="PL"/>
        <w:rPr>
          <w:lang w:val="en-US"/>
        </w:rPr>
      </w:pPr>
      <w:r w:rsidRPr="000A0A5F">
        <w:rPr>
          <w:lang w:val="en-US"/>
        </w:rPr>
        <w:t xml:space="preserve">        '200':</w:t>
      </w:r>
    </w:p>
    <w:p w:rsidR="00CB0DD7" w:rsidRPr="000A0A5F" w:rsidRDefault="00CB0DD7">
      <w:pPr>
        <w:pStyle w:val="PL"/>
        <w:rPr>
          <w:lang w:val="en-US"/>
        </w:rPr>
      </w:pPr>
      <w:r w:rsidRPr="000A0A5F">
        <w:rPr>
          <w:lang w:val="en-US"/>
        </w:rPr>
        <w:t xml:space="preserve">          description: all BDT policy subscriptions.</w:t>
      </w:r>
    </w:p>
    <w:p w:rsidR="00CB0DD7" w:rsidRPr="000A0A5F" w:rsidRDefault="00CB0DD7">
      <w:pPr>
        <w:pStyle w:val="PL"/>
        <w:rPr>
          <w:lang w:val="en-US"/>
        </w:rPr>
      </w:pPr>
      <w:r w:rsidRPr="000A0A5F">
        <w:rPr>
          <w:lang w:val="en-US"/>
        </w:rPr>
        <w:t xml:space="preserve">          content:</w:t>
      </w:r>
    </w:p>
    <w:p w:rsidR="00CB0DD7" w:rsidRPr="000A0A5F" w:rsidRDefault="00CB0DD7">
      <w:pPr>
        <w:pStyle w:val="PL"/>
        <w:rPr>
          <w:lang w:val="en-US"/>
        </w:rPr>
      </w:pPr>
      <w:r w:rsidRPr="000A0A5F">
        <w:rPr>
          <w:lang w:val="en-US"/>
        </w:rPr>
        <w:t xml:space="preserve">            application/json:</w:t>
      </w:r>
    </w:p>
    <w:p w:rsidR="00CB0DD7" w:rsidRPr="000A0A5F" w:rsidRDefault="00CB0DD7">
      <w:pPr>
        <w:pStyle w:val="PL"/>
        <w:rPr>
          <w:lang w:val="en-US"/>
        </w:rPr>
      </w:pPr>
      <w:r w:rsidRPr="000A0A5F">
        <w:rPr>
          <w:lang w:val="en-US"/>
        </w:rPr>
        <w:t xml:space="preserve">              schema:</w:t>
      </w:r>
    </w:p>
    <w:p w:rsidR="00CB0DD7" w:rsidRPr="000A0A5F" w:rsidRDefault="00CB0DD7">
      <w:pPr>
        <w:pStyle w:val="PL"/>
      </w:pPr>
      <w:r w:rsidRPr="000A0A5F">
        <w:rPr>
          <w:lang w:val="en-US"/>
        </w:rPr>
        <w:t xml:space="preserve">                </w:t>
      </w:r>
      <w:r w:rsidRPr="000A0A5F">
        <w:t>type: array</w:t>
      </w:r>
    </w:p>
    <w:p w:rsidR="00CB0DD7" w:rsidRPr="000A0A5F" w:rsidRDefault="00CB0DD7">
      <w:pPr>
        <w:pStyle w:val="PL"/>
      </w:pPr>
      <w:r w:rsidRPr="000A0A5F">
        <w:t xml:space="preserve">                items:</w:t>
      </w:r>
    </w:p>
    <w:p w:rsidR="00CB0DD7" w:rsidRPr="000A0A5F" w:rsidRDefault="00CB0DD7">
      <w:pPr>
        <w:pStyle w:val="PL"/>
      </w:pPr>
      <w:r w:rsidRPr="000A0A5F">
        <w:t xml:space="preserve">                  $ref: '#/components/schemas/Bdt'</w:t>
      </w:r>
    </w:p>
    <w:p w:rsidR="00CB0DD7" w:rsidRPr="000A0A5F" w:rsidRDefault="00CB0DD7">
      <w:pPr>
        <w:pStyle w:val="PL"/>
      </w:pPr>
      <w:r w:rsidRPr="000A0A5F">
        <w:t xml:space="preserve">                minItems: 0</w:t>
      </w:r>
    </w:p>
    <w:p w:rsidR="00CB0DD7" w:rsidRPr="000A0A5F" w:rsidRDefault="00CB0DD7">
      <w:pPr>
        <w:pStyle w:val="PL"/>
      </w:pPr>
      <w:r w:rsidRPr="000A0A5F">
        <w:t xml:space="preserve">                description: individual BDT policy subscription.</w:t>
      </w:r>
    </w:p>
    <w:p w:rsidR="00CB0DD7" w:rsidRPr="000A0A5F" w:rsidRDefault="00CB0DD7">
      <w:pPr>
        <w:pStyle w:val="PL"/>
      </w:pPr>
      <w:r w:rsidRPr="000A0A5F">
        <w:t xml:space="preserve">        '307':</w:t>
      </w:r>
    </w:p>
    <w:p w:rsidR="00CB0DD7" w:rsidRPr="000A0A5F" w:rsidRDefault="00CB0DD7">
      <w:pPr>
        <w:pStyle w:val="PL"/>
      </w:pPr>
      <w:r w:rsidRPr="000A0A5F">
        <w:t xml:space="preserve">          $ref: 'TS29122_CommonData.yaml#/components/responses/307'</w:t>
      </w:r>
    </w:p>
    <w:p w:rsidR="00CB0DD7" w:rsidRPr="000A0A5F" w:rsidRDefault="00CB0DD7">
      <w:pPr>
        <w:pStyle w:val="PL"/>
      </w:pPr>
      <w:r w:rsidRPr="000A0A5F">
        <w:t xml:space="preserve">        '308':</w:t>
      </w:r>
    </w:p>
    <w:p w:rsidR="00CB0DD7" w:rsidRPr="000A0A5F" w:rsidRDefault="00CB0DD7">
      <w:pPr>
        <w:pStyle w:val="PL"/>
      </w:pPr>
      <w:r w:rsidRPr="000A0A5F">
        <w:t xml:space="preserve">          $ref: 'TS29122_CommonData.yaml#/components/responses/308'</w:t>
      </w:r>
    </w:p>
    <w:p w:rsidR="00CB0DD7" w:rsidRPr="000A0A5F" w:rsidRDefault="00CB0DD7">
      <w:pPr>
        <w:pStyle w:val="PL"/>
      </w:pPr>
      <w:r w:rsidRPr="000A0A5F">
        <w:t xml:space="preserve">        '400':</w:t>
      </w:r>
    </w:p>
    <w:p w:rsidR="00CB0DD7" w:rsidRPr="000A0A5F" w:rsidRDefault="00CB0DD7">
      <w:pPr>
        <w:pStyle w:val="PL"/>
      </w:pPr>
      <w:r w:rsidRPr="000A0A5F">
        <w:t xml:space="preserve">          $ref: 'TS29122_CommonData.yaml#/components/responses/400'</w:t>
      </w:r>
    </w:p>
    <w:p w:rsidR="00CB0DD7" w:rsidRPr="000A0A5F" w:rsidRDefault="00CB0DD7">
      <w:pPr>
        <w:pStyle w:val="PL"/>
      </w:pPr>
      <w:r w:rsidRPr="000A0A5F">
        <w:t xml:space="preserve">        '401':</w:t>
      </w:r>
    </w:p>
    <w:p w:rsidR="00CB0DD7" w:rsidRPr="000A0A5F" w:rsidRDefault="00CB0DD7">
      <w:pPr>
        <w:pStyle w:val="PL"/>
      </w:pPr>
      <w:r w:rsidRPr="000A0A5F">
        <w:t xml:space="preserve">          $ref: 'TS29122_CommonData.yaml#/components/responses/401'</w:t>
      </w:r>
    </w:p>
    <w:p w:rsidR="00CB0DD7" w:rsidRPr="000A0A5F" w:rsidRDefault="00CB0DD7">
      <w:pPr>
        <w:pStyle w:val="PL"/>
      </w:pPr>
      <w:r w:rsidRPr="000A0A5F">
        <w:t xml:space="preserve">        '403':</w:t>
      </w:r>
    </w:p>
    <w:p w:rsidR="00CB0DD7" w:rsidRPr="000A0A5F" w:rsidRDefault="00CB0DD7">
      <w:pPr>
        <w:pStyle w:val="PL"/>
      </w:pPr>
      <w:r w:rsidRPr="000A0A5F">
        <w:t xml:space="preserve">          $ref: 'TS29122_CommonData.yaml#/components/responses/403'</w:t>
      </w:r>
    </w:p>
    <w:p w:rsidR="00CB0DD7" w:rsidRPr="000A0A5F" w:rsidRDefault="00CB0DD7">
      <w:pPr>
        <w:pStyle w:val="PL"/>
      </w:pPr>
      <w:r w:rsidRPr="000A0A5F">
        <w:t xml:space="preserve">        '404':</w:t>
      </w:r>
    </w:p>
    <w:p w:rsidR="00CB0DD7" w:rsidRPr="000A0A5F" w:rsidRDefault="00CB0DD7">
      <w:pPr>
        <w:pStyle w:val="PL"/>
      </w:pPr>
      <w:r w:rsidRPr="000A0A5F">
        <w:t xml:space="preserve">          $ref: 'TS29122_CommonData.yaml#/components/responses/404'</w:t>
      </w:r>
    </w:p>
    <w:p w:rsidR="00CB0DD7" w:rsidRPr="000A0A5F" w:rsidRDefault="00CB0DD7">
      <w:pPr>
        <w:pStyle w:val="PL"/>
      </w:pPr>
      <w:r w:rsidRPr="000A0A5F">
        <w:t xml:space="preserve">        '406':</w:t>
      </w:r>
    </w:p>
    <w:p w:rsidR="00CB0DD7" w:rsidRPr="000A0A5F" w:rsidRDefault="00CB0DD7">
      <w:pPr>
        <w:pStyle w:val="PL"/>
      </w:pPr>
      <w:r w:rsidRPr="000A0A5F">
        <w:t xml:space="preserve">          $ref: 'TS29122_CommonData.yaml#/components/responses/406'</w:t>
      </w:r>
    </w:p>
    <w:p w:rsidR="00CB0DD7" w:rsidRPr="000A0A5F" w:rsidRDefault="00CB0DD7">
      <w:pPr>
        <w:pStyle w:val="PL"/>
      </w:pPr>
      <w:r w:rsidRPr="000A0A5F">
        <w:t xml:space="preserve">        '429':</w:t>
      </w:r>
    </w:p>
    <w:p w:rsidR="00CB0DD7" w:rsidRPr="000A0A5F" w:rsidRDefault="00CB0DD7">
      <w:pPr>
        <w:pStyle w:val="PL"/>
      </w:pPr>
      <w:r w:rsidRPr="000A0A5F">
        <w:t xml:space="preserve">          $ref: 'TS29122_CommonData.yaml#/components/responses/429'</w:t>
      </w:r>
    </w:p>
    <w:p w:rsidR="00CB0DD7" w:rsidRPr="000A0A5F" w:rsidRDefault="00CB0DD7">
      <w:pPr>
        <w:pStyle w:val="PL"/>
      </w:pPr>
      <w:r w:rsidRPr="000A0A5F">
        <w:t xml:space="preserve">        '500':</w:t>
      </w:r>
    </w:p>
    <w:p w:rsidR="00CB0DD7" w:rsidRPr="000A0A5F" w:rsidRDefault="00CB0DD7">
      <w:pPr>
        <w:pStyle w:val="PL"/>
      </w:pPr>
      <w:r w:rsidRPr="000A0A5F">
        <w:t xml:space="preserve">          $ref: 'TS29122_CommonData.yaml#/components/responses/500'</w:t>
      </w:r>
    </w:p>
    <w:p w:rsidR="00CB0DD7" w:rsidRPr="000A0A5F" w:rsidRDefault="00CB0DD7">
      <w:pPr>
        <w:pStyle w:val="PL"/>
      </w:pPr>
      <w:r w:rsidRPr="000A0A5F">
        <w:t xml:space="preserve">        '503':</w:t>
      </w:r>
    </w:p>
    <w:p w:rsidR="00CB0DD7" w:rsidRPr="000A0A5F" w:rsidRDefault="00CB0DD7">
      <w:pPr>
        <w:pStyle w:val="PL"/>
      </w:pPr>
      <w:r w:rsidRPr="000A0A5F">
        <w:t xml:space="preserve">          $ref: 'TS29122_CommonData.yaml#/components/responses/503'</w:t>
      </w:r>
    </w:p>
    <w:p w:rsidR="00CB0DD7" w:rsidRPr="000A0A5F" w:rsidRDefault="00CB0DD7">
      <w:pPr>
        <w:pStyle w:val="PL"/>
      </w:pPr>
      <w:r w:rsidRPr="000A0A5F">
        <w:t xml:space="preserve">        default:</w:t>
      </w:r>
    </w:p>
    <w:p w:rsidR="00CB0DD7" w:rsidRPr="000A0A5F" w:rsidRDefault="00CB0DD7">
      <w:pPr>
        <w:pStyle w:val="PL"/>
      </w:pPr>
      <w:r w:rsidRPr="000A0A5F">
        <w:t xml:space="preserve">          $ref: 'TS29122_CommonData.yaml#/components/responses/default'</w:t>
      </w:r>
    </w:p>
    <w:p w:rsidR="00CB0DD7" w:rsidRPr="000A0A5F" w:rsidRDefault="00CB0DD7">
      <w:pPr>
        <w:pStyle w:val="PL"/>
        <w:rPr>
          <w:lang w:val="en-US"/>
        </w:rPr>
      </w:pPr>
      <w:r w:rsidRPr="000A0A5F">
        <w:rPr>
          <w:lang w:val="en-US"/>
        </w:rPr>
        <w:t xml:space="preserve">    post:</w:t>
      </w:r>
    </w:p>
    <w:p w:rsidR="00C21D6F" w:rsidRPr="000A0A5F" w:rsidRDefault="00C21D6F" w:rsidP="00C21D6F">
      <w:pPr>
        <w:pStyle w:val="PL"/>
      </w:pPr>
      <w:r w:rsidRPr="000A0A5F">
        <w:t xml:space="preserve">      summary: Creates a new background data transfer subscription </w:t>
      </w:r>
      <w:r w:rsidRPr="000A0A5F">
        <w:rPr>
          <w:lang w:eastAsia="zh-CN"/>
        </w:rPr>
        <w:t>resource.</w:t>
      </w:r>
    </w:p>
    <w:p w:rsidR="00C21D6F" w:rsidRPr="000A0A5F" w:rsidRDefault="00C21D6F" w:rsidP="00C21D6F">
      <w:pPr>
        <w:pStyle w:val="PL"/>
      </w:pPr>
      <w:r w:rsidRPr="000A0A5F">
        <w:t xml:space="preserve">      </w:t>
      </w:r>
      <w:r w:rsidRPr="000A0A5F">
        <w:rPr>
          <w:rFonts w:cs="Courier New"/>
          <w:szCs w:val="16"/>
        </w:rPr>
        <w:t>operationId: Create</w:t>
      </w:r>
      <w:r w:rsidRPr="000A0A5F">
        <w:t>BDTSubscription</w:t>
      </w:r>
    </w:p>
    <w:p w:rsidR="00C21D6F" w:rsidRPr="000A0A5F" w:rsidRDefault="00C21D6F" w:rsidP="00C21D6F">
      <w:pPr>
        <w:pStyle w:val="PL"/>
      </w:pPr>
      <w:r w:rsidRPr="000A0A5F">
        <w:t xml:space="preserve">      tags:</w:t>
      </w:r>
    </w:p>
    <w:p w:rsidR="00C21D6F" w:rsidRPr="000A0A5F" w:rsidRDefault="00C21D6F" w:rsidP="00C21D6F">
      <w:pPr>
        <w:pStyle w:val="PL"/>
      </w:pPr>
      <w:r w:rsidRPr="000A0A5F">
        <w:t xml:space="preserve">        - BDT Subscription</w:t>
      </w:r>
    </w:p>
    <w:p w:rsidR="00CB0DD7" w:rsidRPr="000A0A5F" w:rsidRDefault="00CB0DD7">
      <w:pPr>
        <w:pStyle w:val="PL"/>
        <w:rPr>
          <w:lang w:val="en-US"/>
        </w:rPr>
      </w:pPr>
      <w:r w:rsidRPr="000A0A5F">
        <w:rPr>
          <w:lang w:val="en-US"/>
        </w:rPr>
        <w:t xml:space="preserve">      requestBody:</w:t>
      </w:r>
    </w:p>
    <w:p w:rsidR="00CB0DD7" w:rsidRPr="000A0A5F" w:rsidRDefault="00CB0DD7">
      <w:pPr>
        <w:pStyle w:val="PL"/>
        <w:rPr>
          <w:lang w:val="en-US"/>
        </w:rPr>
      </w:pPr>
      <w:r w:rsidRPr="000A0A5F">
        <w:rPr>
          <w:lang w:val="en-US"/>
        </w:rPr>
        <w:t xml:space="preserve">        description: Contains the data to create a BDT subscription.</w:t>
      </w:r>
    </w:p>
    <w:p w:rsidR="00CB0DD7" w:rsidRPr="000A0A5F" w:rsidRDefault="00CB0DD7">
      <w:pPr>
        <w:pStyle w:val="PL"/>
        <w:rPr>
          <w:lang w:val="en-US"/>
        </w:rPr>
      </w:pPr>
      <w:r w:rsidRPr="000A0A5F">
        <w:rPr>
          <w:lang w:val="en-US"/>
        </w:rPr>
        <w:t xml:space="preserve">        required: true</w:t>
      </w:r>
    </w:p>
    <w:p w:rsidR="00CB0DD7" w:rsidRPr="000A0A5F" w:rsidRDefault="00CB0DD7">
      <w:pPr>
        <w:pStyle w:val="PL"/>
        <w:rPr>
          <w:lang w:val="en-US"/>
        </w:rPr>
      </w:pPr>
      <w:r w:rsidRPr="000A0A5F">
        <w:rPr>
          <w:lang w:val="en-US"/>
        </w:rPr>
        <w:t xml:space="preserve">        content:</w:t>
      </w:r>
    </w:p>
    <w:p w:rsidR="00CB0DD7" w:rsidRPr="000A0A5F" w:rsidRDefault="00CB0DD7">
      <w:pPr>
        <w:pStyle w:val="PL"/>
        <w:rPr>
          <w:lang w:val="en-US"/>
        </w:rPr>
      </w:pPr>
      <w:r w:rsidRPr="000A0A5F">
        <w:rPr>
          <w:lang w:val="en-US"/>
        </w:rPr>
        <w:t xml:space="preserve">          application/json:</w:t>
      </w:r>
    </w:p>
    <w:p w:rsidR="00CB0DD7" w:rsidRPr="000A0A5F" w:rsidRDefault="00CB0DD7">
      <w:pPr>
        <w:pStyle w:val="PL"/>
        <w:rPr>
          <w:lang w:val="en-US"/>
        </w:rPr>
      </w:pPr>
      <w:r w:rsidRPr="000A0A5F">
        <w:rPr>
          <w:lang w:val="en-US"/>
        </w:rPr>
        <w:t xml:space="preserve">            schema:</w:t>
      </w:r>
    </w:p>
    <w:p w:rsidR="00CB0DD7" w:rsidRPr="000A0A5F" w:rsidRDefault="00CB0DD7">
      <w:pPr>
        <w:pStyle w:val="PL"/>
        <w:rPr>
          <w:lang w:val="en-US"/>
        </w:rPr>
      </w:pPr>
      <w:r w:rsidRPr="000A0A5F">
        <w:rPr>
          <w:lang w:val="en-US"/>
        </w:rPr>
        <w:t xml:space="preserve">              $ref: '#/components/schemas/Bdt'</w:t>
      </w:r>
    </w:p>
    <w:p w:rsidR="00CB0DD7" w:rsidRPr="000A0A5F" w:rsidRDefault="00CB0DD7">
      <w:pPr>
        <w:pStyle w:val="PL"/>
        <w:tabs>
          <w:tab w:val="clear" w:pos="768"/>
          <w:tab w:val="left" w:pos="610"/>
        </w:tabs>
        <w:rPr>
          <w:lang w:val="en-US"/>
        </w:rPr>
      </w:pPr>
      <w:r w:rsidRPr="000A0A5F">
        <w:t xml:space="preserve">      </w:t>
      </w:r>
      <w:r w:rsidRPr="000A0A5F">
        <w:rPr>
          <w:lang w:val="en-US"/>
        </w:rPr>
        <w:t>callbacks:</w:t>
      </w:r>
    </w:p>
    <w:p w:rsidR="00CB0DD7" w:rsidRPr="000A0A5F" w:rsidRDefault="00CB0DD7">
      <w:pPr>
        <w:pStyle w:val="PL"/>
        <w:rPr>
          <w:lang w:val="en-US"/>
        </w:rPr>
      </w:pPr>
      <w:r w:rsidRPr="000A0A5F">
        <w:rPr>
          <w:lang w:val="en-US"/>
        </w:rPr>
        <w:t xml:space="preserve">        bDTWarning</w:t>
      </w:r>
      <w:r w:rsidRPr="000A0A5F">
        <w:t>Notification</w:t>
      </w:r>
      <w:r w:rsidRPr="000A0A5F">
        <w:rPr>
          <w:lang w:val="en-US"/>
        </w:rPr>
        <w:t>:</w:t>
      </w:r>
    </w:p>
    <w:p w:rsidR="00CB0DD7" w:rsidRPr="000A0A5F" w:rsidRDefault="00CB0DD7">
      <w:pPr>
        <w:pStyle w:val="PL"/>
        <w:rPr>
          <w:lang w:val="en-US"/>
        </w:rPr>
      </w:pPr>
      <w:r w:rsidRPr="000A0A5F">
        <w:rPr>
          <w:lang w:val="en-US"/>
        </w:rPr>
        <w:t xml:space="preserve">          '{$request.body#/notification</w:t>
      </w:r>
      <w:r w:rsidRPr="000A0A5F">
        <w:t>Destination</w:t>
      </w:r>
      <w:r w:rsidRPr="000A0A5F">
        <w:rPr>
          <w:lang w:val="en-US"/>
        </w:rPr>
        <w:t>}':</w:t>
      </w:r>
    </w:p>
    <w:p w:rsidR="00CB0DD7" w:rsidRPr="000A0A5F" w:rsidRDefault="00CB0DD7">
      <w:pPr>
        <w:pStyle w:val="PL"/>
        <w:rPr>
          <w:lang w:val="en-US"/>
        </w:rPr>
      </w:pPr>
      <w:r w:rsidRPr="000A0A5F">
        <w:rPr>
          <w:lang w:val="en-US"/>
        </w:rPr>
        <w:t xml:space="preserve">            post:</w:t>
      </w:r>
    </w:p>
    <w:p w:rsidR="00CB0DD7" w:rsidRPr="000A0A5F" w:rsidRDefault="00CB0DD7">
      <w:pPr>
        <w:pStyle w:val="PL"/>
        <w:rPr>
          <w:lang w:val="en-US"/>
        </w:rPr>
      </w:pPr>
      <w:r w:rsidRPr="000A0A5F">
        <w:rPr>
          <w:lang w:val="en-US"/>
        </w:rPr>
        <w:t xml:space="preserve">              requestBody:  # contents of the callback message</w:t>
      </w:r>
    </w:p>
    <w:p w:rsidR="00CB0DD7" w:rsidRPr="000A0A5F" w:rsidRDefault="00CB0DD7">
      <w:pPr>
        <w:pStyle w:val="PL"/>
        <w:rPr>
          <w:lang w:val="en-US"/>
        </w:rPr>
      </w:pPr>
      <w:r w:rsidRPr="000A0A5F">
        <w:rPr>
          <w:lang w:val="en-US"/>
        </w:rPr>
        <w:t xml:space="preserve">                required: true</w:t>
      </w:r>
    </w:p>
    <w:p w:rsidR="00CB0DD7" w:rsidRPr="000A0A5F" w:rsidRDefault="00CB0DD7">
      <w:pPr>
        <w:pStyle w:val="PL"/>
        <w:rPr>
          <w:lang w:val="en-US"/>
        </w:rPr>
      </w:pPr>
      <w:r w:rsidRPr="000A0A5F">
        <w:rPr>
          <w:lang w:val="en-US"/>
        </w:rPr>
        <w:t xml:space="preserve">                content:</w:t>
      </w:r>
    </w:p>
    <w:p w:rsidR="00CB0DD7" w:rsidRPr="000A0A5F" w:rsidRDefault="00CB0DD7">
      <w:pPr>
        <w:pStyle w:val="PL"/>
        <w:rPr>
          <w:lang w:val="en-US"/>
        </w:rPr>
      </w:pPr>
      <w:r w:rsidRPr="000A0A5F">
        <w:rPr>
          <w:lang w:val="en-US"/>
        </w:rPr>
        <w:t xml:space="preserve">                  application/json:</w:t>
      </w:r>
    </w:p>
    <w:p w:rsidR="00CB0DD7" w:rsidRPr="000A0A5F" w:rsidRDefault="00CB0DD7">
      <w:pPr>
        <w:pStyle w:val="PL"/>
        <w:rPr>
          <w:lang w:val="en-US"/>
        </w:rPr>
      </w:pPr>
      <w:r w:rsidRPr="000A0A5F">
        <w:rPr>
          <w:lang w:val="en-US"/>
        </w:rPr>
        <w:t xml:space="preserve">                    schema:</w:t>
      </w:r>
    </w:p>
    <w:p w:rsidR="00CB0DD7" w:rsidRPr="000A0A5F" w:rsidRDefault="00CB0DD7">
      <w:pPr>
        <w:pStyle w:val="PL"/>
        <w:rPr>
          <w:lang w:val="en-US"/>
        </w:rPr>
      </w:pPr>
      <w:r w:rsidRPr="000A0A5F">
        <w:rPr>
          <w:lang w:val="en-US"/>
        </w:rPr>
        <w:t xml:space="preserve">                      $ref: '#/components/schemas/</w:t>
      </w:r>
      <w:r w:rsidRPr="000A0A5F">
        <w:t>ExNotification</w:t>
      </w:r>
      <w:r w:rsidRPr="000A0A5F">
        <w:rPr>
          <w:lang w:val="en-US"/>
        </w:rPr>
        <w:t>'</w:t>
      </w:r>
    </w:p>
    <w:p w:rsidR="00CB0DD7" w:rsidRPr="000A0A5F" w:rsidRDefault="00CB0DD7">
      <w:pPr>
        <w:pStyle w:val="PL"/>
        <w:rPr>
          <w:lang w:val="en-US"/>
        </w:rPr>
      </w:pPr>
      <w:r w:rsidRPr="000A0A5F">
        <w:rPr>
          <w:lang w:val="en-US"/>
        </w:rPr>
        <w:t xml:space="preserve">              responses:</w:t>
      </w:r>
    </w:p>
    <w:p w:rsidR="00CB0DD7" w:rsidRPr="000A0A5F" w:rsidRDefault="00CB0DD7">
      <w:pPr>
        <w:pStyle w:val="PL"/>
      </w:pPr>
      <w:r w:rsidRPr="000A0A5F">
        <w:t xml:space="preserve">                '204':</w:t>
      </w:r>
    </w:p>
    <w:p w:rsidR="00CB0DD7" w:rsidRPr="000A0A5F" w:rsidRDefault="00CB0DD7">
      <w:pPr>
        <w:pStyle w:val="PL"/>
      </w:pPr>
      <w:r w:rsidRPr="000A0A5F">
        <w:t xml:space="preserve">                  description: No Content (successful notification)</w:t>
      </w:r>
    </w:p>
    <w:p w:rsidR="00CB0DD7" w:rsidRPr="000A0A5F" w:rsidRDefault="00CB0DD7">
      <w:pPr>
        <w:pStyle w:val="PL"/>
      </w:pPr>
      <w:r w:rsidRPr="000A0A5F">
        <w:t xml:space="preserve">                '307':</w:t>
      </w:r>
    </w:p>
    <w:p w:rsidR="00CB0DD7" w:rsidRPr="000A0A5F" w:rsidRDefault="00CB0DD7">
      <w:pPr>
        <w:pStyle w:val="PL"/>
      </w:pPr>
      <w:r w:rsidRPr="000A0A5F">
        <w:t xml:space="preserve">                  $ref: 'TS29122_CommonData.yaml#/components/responses/307'</w:t>
      </w:r>
    </w:p>
    <w:p w:rsidR="00CB0DD7" w:rsidRPr="000A0A5F" w:rsidRDefault="00CB0DD7">
      <w:pPr>
        <w:pStyle w:val="PL"/>
      </w:pPr>
      <w:r w:rsidRPr="000A0A5F">
        <w:t xml:space="preserve">                '308':</w:t>
      </w:r>
    </w:p>
    <w:p w:rsidR="00CB0DD7" w:rsidRPr="000A0A5F" w:rsidRDefault="00CB0DD7">
      <w:pPr>
        <w:pStyle w:val="PL"/>
      </w:pPr>
      <w:r w:rsidRPr="000A0A5F">
        <w:t xml:space="preserve">                  $ref: 'TS29122_CommonData.yaml#/components/responses/308'</w:t>
      </w:r>
    </w:p>
    <w:p w:rsidR="00CB0DD7" w:rsidRPr="000A0A5F" w:rsidRDefault="00CB0DD7">
      <w:pPr>
        <w:pStyle w:val="PL"/>
      </w:pPr>
      <w:r w:rsidRPr="000A0A5F">
        <w:t xml:space="preserve">                '400':</w:t>
      </w:r>
    </w:p>
    <w:p w:rsidR="00CB0DD7" w:rsidRPr="000A0A5F" w:rsidRDefault="00CB0DD7">
      <w:pPr>
        <w:pStyle w:val="PL"/>
      </w:pPr>
      <w:r w:rsidRPr="000A0A5F">
        <w:t xml:space="preserve">                  $ref: 'TS29122_CommonData.yaml#/components/responses/400'</w:t>
      </w:r>
    </w:p>
    <w:p w:rsidR="00CB0DD7" w:rsidRPr="000A0A5F" w:rsidRDefault="00CB0DD7">
      <w:pPr>
        <w:pStyle w:val="PL"/>
      </w:pPr>
      <w:r w:rsidRPr="000A0A5F">
        <w:t xml:space="preserve">                '401':</w:t>
      </w:r>
    </w:p>
    <w:p w:rsidR="00CB0DD7" w:rsidRPr="000A0A5F" w:rsidRDefault="00CB0DD7">
      <w:pPr>
        <w:pStyle w:val="PL"/>
      </w:pPr>
      <w:r w:rsidRPr="000A0A5F">
        <w:t xml:space="preserve">                  $ref: 'TS29122_CommonData.yaml#/components/responses/401'</w:t>
      </w:r>
    </w:p>
    <w:p w:rsidR="00CB0DD7" w:rsidRPr="000A0A5F" w:rsidRDefault="00CB0DD7">
      <w:pPr>
        <w:pStyle w:val="PL"/>
      </w:pPr>
      <w:r w:rsidRPr="000A0A5F">
        <w:t xml:space="preserve">                '403':</w:t>
      </w:r>
    </w:p>
    <w:p w:rsidR="00CB0DD7" w:rsidRPr="000A0A5F" w:rsidRDefault="00CB0DD7">
      <w:pPr>
        <w:pStyle w:val="PL"/>
      </w:pPr>
      <w:r w:rsidRPr="000A0A5F">
        <w:t xml:space="preserve">                  $ref: 'TS29122_CommonData.yaml#/components/responses/403'</w:t>
      </w:r>
    </w:p>
    <w:p w:rsidR="00CB0DD7" w:rsidRPr="000A0A5F" w:rsidRDefault="00CB0DD7">
      <w:pPr>
        <w:pStyle w:val="PL"/>
      </w:pPr>
      <w:r w:rsidRPr="000A0A5F">
        <w:t xml:space="preserve">                '404':</w:t>
      </w:r>
    </w:p>
    <w:p w:rsidR="00CB0DD7" w:rsidRPr="000A0A5F" w:rsidRDefault="00CB0DD7">
      <w:pPr>
        <w:pStyle w:val="PL"/>
      </w:pPr>
      <w:r w:rsidRPr="000A0A5F">
        <w:t xml:space="preserve">                  $ref: 'TS29122_CommonData.yaml#/components/responses/404'</w:t>
      </w:r>
    </w:p>
    <w:p w:rsidR="00CB0DD7" w:rsidRPr="000A0A5F" w:rsidRDefault="00CB0DD7">
      <w:pPr>
        <w:pStyle w:val="PL"/>
      </w:pPr>
      <w:r w:rsidRPr="000A0A5F">
        <w:t xml:space="preserve">                '411':</w:t>
      </w:r>
    </w:p>
    <w:p w:rsidR="00CB0DD7" w:rsidRPr="000A0A5F" w:rsidRDefault="00CB0DD7">
      <w:pPr>
        <w:pStyle w:val="PL"/>
      </w:pPr>
      <w:r w:rsidRPr="000A0A5F">
        <w:t xml:space="preserve">                  $ref: 'TS29122_CommonData.yaml#/components/responses/411'</w:t>
      </w:r>
    </w:p>
    <w:p w:rsidR="00CB0DD7" w:rsidRPr="000A0A5F" w:rsidRDefault="00CB0DD7">
      <w:pPr>
        <w:pStyle w:val="PL"/>
      </w:pPr>
      <w:r w:rsidRPr="000A0A5F">
        <w:t xml:space="preserve">                '413':</w:t>
      </w:r>
    </w:p>
    <w:p w:rsidR="00CB0DD7" w:rsidRPr="000A0A5F" w:rsidRDefault="00CB0DD7">
      <w:pPr>
        <w:pStyle w:val="PL"/>
      </w:pPr>
      <w:r w:rsidRPr="000A0A5F">
        <w:t xml:space="preserve">                  $ref: 'TS29122_CommonData.yaml#/components/responses/413'</w:t>
      </w:r>
    </w:p>
    <w:p w:rsidR="00CB0DD7" w:rsidRPr="000A0A5F" w:rsidRDefault="00CB0DD7">
      <w:pPr>
        <w:pStyle w:val="PL"/>
      </w:pPr>
      <w:r w:rsidRPr="000A0A5F">
        <w:t xml:space="preserve">                '415':</w:t>
      </w:r>
    </w:p>
    <w:p w:rsidR="00CB0DD7" w:rsidRPr="000A0A5F" w:rsidRDefault="00CB0DD7">
      <w:pPr>
        <w:pStyle w:val="PL"/>
      </w:pPr>
      <w:r w:rsidRPr="000A0A5F">
        <w:t xml:space="preserve">                  $ref: 'TS29122_CommonData.yaml#/components/responses/415'</w:t>
      </w:r>
    </w:p>
    <w:p w:rsidR="00CB0DD7" w:rsidRPr="000A0A5F" w:rsidRDefault="00CB0DD7">
      <w:pPr>
        <w:pStyle w:val="PL"/>
      </w:pPr>
      <w:r w:rsidRPr="000A0A5F">
        <w:t xml:space="preserve">                '429':</w:t>
      </w:r>
    </w:p>
    <w:p w:rsidR="00CB0DD7" w:rsidRPr="000A0A5F" w:rsidRDefault="00CB0DD7">
      <w:pPr>
        <w:pStyle w:val="PL"/>
      </w:pPr>
      <w:r w:rsidRPr="000A0A5F">
        <w:t xml:space="preserve">                  $ref: 'TS29122_CommonData.yaml#/components/responses/429'</w:t>
      </w:r>
    </w:p>
    <w:p w:rsidR="00CB0DD7" w:rsidRPr="000A0A5F" w:rsidRDefault="00CB0DD7">
      <w:pPr>
        <w:pStyle w:val="PL"/>
      </w:pPr>
      <w:r w:rsidRPr="000A0A5F">
        <w:t xml:space="preserve">                '500':</w:t>
      </w:r>
    </w:p>
    <w:p w:rsidR="00CB0DD7" w:rsidRPr="000A0A5F" w:rsidRDefault="00CB0DD7">
      <w:pPr>
        <w:pStyle w:val="PL"/>
      </w:pPr>
      <w:r w:rsidRPr="000A0A5F">
        <w:t xml:space="preserve">                  $ref: 'TS29122_CommonData.yaml#/components/responses/500'</w:t>
      </w:r>
    </w:p>
    <w:p w:rsidR="00CB0DD7" w:rsidRPr="000A0A5F" w:rsidRDefault="00CB0DD7">
      <w:pPr>
        <w:pStyle w:val="PL"/>
      </w:pPr>
      <w:r w:rsidRPr="000A0A5F">
        <w:t xml:space="preserve">                '503':</w:t>
      </w:r>
    </w:p>
    <w:p w:rsidR="00CB0DD7" w:rsidRPr="000A0A5F" w:rsidRDefault="00CB0DD7">
      <w:pPr>
        <w:pStyle w:val="PL"/>
      </w:pPr>
      <w:r w:rsidRPr="000A0A5F">
        <w:t xml:space="preserve">                  $ref: 'TS29122_CommonData.yaml#/components/responses/503'</w:t>
      </w:r>
    </w:p>
    <w:p w:rsidR="00CB0DD7" w:rsidRPr="000A0A5F" w:rsidRDefault="00CB0DD7">
      <w:pPr>
        <w:pStyle w:val="PL"/>
      </w:pPr>
      <w:r w:rsidRPr="000A0A5F">
        <w:t xml:space="preserve">                default:</w:t>
      </w:r>
    </w:p>
    <w:p w:rsidR="00CB0DD7" w:rsidRPr="000A0A5F" w:rsidRDefault="00CB0DD7">
      <w:pPr>
        <w:pStyle w:val="PL"/>
        <w:rPr>
          <w:lang w:val="en-US"/>
        </w:rPr>
      </w:pPr>
      <w:r w:rsidRPr="000A0A5F">
        <w:t xml:space="preserve">                  $ref: 'TS29122_CommonData.yaml#/components/responses/default'</w:t>
      </w:r>
    </w:p>
    <w:p w:rsidR="00CB0DD7" w:rsidRPr="000A0A5F" w:rsidRDefault="00CB0DD7">
      <w:pPr>
        <w:pStyle w:val="PL"/>
        <w:rPr>
          <w:lang w:val="en-US"/>
        </w:rPr>
      </w:pPr>
      <w:r w:rsidRPr="000A0A5F">
        <w:rPr>
          <w:lang w:val="en-US"/>
        </w:rPr>
        <w:t xml:space="preserve">      responses:</w:t>
      </w:r>
    </w:p>
    <w:p w:rsidR="00CB0DD7" w:rsidRPr="000A0A5F" w:rsidRDefault="00CB0DD7">
      <w:pPr>
        <w:pStyle w:val="PL"/>
        <w:rPr>
          <w:lang w:val="en-US"/>
        </w:rPr>
      </w:pPr>
      <w:r w:rsidRPr="000A0A5F">
        <w:rPr>
          <w:lang w:val="en-US"/>
        </w:rPr>
        <w:t xml:space="preserve">        '201':</w:t>
      </w:r>
    </w:p>
    <w:p w:rsidR="00CB0DD7" w:rsidRPr="000A0A5F" w:rsidRDefault="00CB0DD7">
      <w:pPr>
        <w:pStyle w:val="PL"/>
        <w:rPr>
          <w:lang w:val="en-US"/>
        </w:rPr>
      </w:pPr>
      <w:r w:rsidRPr="000A0A5F">
        <w:rPr>
          <w:lang w:val="en-US"/>
        </w:rPr>
        <w:t xml:space="preserve">          description: Background data transfer policies offered to the SCS/AS.</w:t>
      </w:r>
    </w:p>
    <w:p w:rsidR="00CB0DD7" w:rsidRPr="000A0A5F" w:rsidRDefault="00CB0DD7">
      <w:pPr>
        <w:pStyle w:val="PL"/>
        <w:rPr>
          <w:lang w:val="en-US"/>
        </w:rPr>
      </w:pPr>
      <w:r w:rsidRPr="000A0A5F">
        <w:rPr>
          <w:lang w:val="en-US"/>
        </w:rPr>
        <w:t xml:space="preserve">          content:</w:t>
      </w:r>
    </w:p>
    <w:p w:rsidR="00CB0DD7" w:rsidRPr="000A0A5F" w:rsidRDefault="00CB0DD7">
      <w:pPr>
        <w:pStyle w:val="PL"/>
        <w:rPr>
          <w:lang w:val="en-US"/>
        </w:rPr>
      </w:pPr>
      <w:r w:rsidRPr="000A0A5F">
        <w:rPr>
          <w:lang w:val="en-US"/>
        </w:rPr>
        <w:t xml:space="preserve">            application/json:</w:t>
      </w:r>
    </w:p>
    <w:p w:rsidR="00CB0DD7" w:rsidRPr="000A0A5F" w:rsidRDefault="00CB0DD7">
      <w:pPr>
        <w:pStyle w:val="PL"/>
        <w:rPr>
          <w:lang w:val="en-US"/>
        </w:rPr>
      </w:pPr>
      <w:r w:rsidRPr="000A0A5F">
        <w:rPr>
          <w:lang w:val="en-US"/>
        </w:rPr>
        <w:t xml:space="preserve">              schema:</w:t>
      </w:r>
    </w:p>
    <w:p w:rsidR="00CB0DD7" w:rsidRPr="000A0A5F" w:rsidRDefault="00CB0DD7">
      <w:pPr>
        <w:pStyle w:val="PL"/>
        <w:rPr>
          <w:lang w:val="en-US"/>
        </w:rPr>
      </w:pPr>
      <w:r w:rsidRPr="000A0A5F">
        <w:rPr>
          <w:lang w:val="en-US"/>
        </w:rPr>
        <w:t xml:space="preserve">                $ref: '#/components/schemas/Bdt'</w:t>
      </w:r>
    </w:p>
    <w:p w:rsidR="00CB0DD7" w:rsidRPr="000A0A5F" w:rsidRDefault="00CB0DD7">
      <w:pPr>
        <w:pStyle w:val="PL"/>
      </w:pPr>
      <w:r w:rsidRPr="000A0A5F">
        <w:t xml:space="preserve">          headers:</w:t>
      </w:r>
    </w:p>
    <w:p w:rsidR="00CB0DD7" w:rsidRPr="000A0A5F" w:rsidRDefault="00CB0DD7">
      <w:pPr>
        <w:pStyle w:val="PL"/>
      </w:pPr>
      <w:r w:rsidRPr="000A0A5F">
        <w:t xml:space="preserve">            Location:</w:t>
      </w:r>
    </w:p>
    <w:p w:rsidR="00CB0DD7" w:rsidRPr="000A0A5F" w:rsidRDefault="00CB0DD7">
      <w:pPr>
        <w:pStyle w:val="PL"/>
      </w:pPr>
      <w:r w:rsidRPr="000A0A5F">
        <w:t xml:space="preserve">              description: 'Contains the URI of the newly created resource'</w:t>
      </w:r>
    </w:p>
    <w:p w:rsidR="00CB0DD7" w:rsidRPr="000A0A5F" w:rsidRDefault="00CB0DD7">
      <w:pPr>
        <w:pStyle w:val="PL"/>
      </w:pPr>
      <w:r w:rsidRPr="000A0A5F">
        <w:t xml:space="preserve">              required: true</w:t>
      </w:r>
    </w:p>
    <w:p w:rsidR="00CB0DD7" w:rsidRPr="000A0A5F" w:rsidRDefault="00CB0DD7">
      <w:pPr>
        <w:pStyle w:val="PL"/>
      </w:pPr>
      <w:r w:rsidRPr="000A0A5F">
        <w:t xml:space="preserve">              schema:</w:t>
      </w:r>
    </w:p>
    <w:p w:rsidR="00CB0DD7" w:rsidRPr="000A0A5F" w:rsidRDefault="00CB0DD7">
      <w:pPr>
        <w:pStyle w:val="PL"/>
      </w:pPr>
      <w:r w:rsidRPr="000A0A5F">
        <w:t xml:space="preserve">                type: string</w:t>
      </w:r>
    </w:p>
    <w:p w:rsidR="00CB0DD7" w:rsidRPr="000A0A5F" w:rsidRDefault="00CB0DD7">
      <w:pPr>
        <w:pStyle w:val="PL"/>
        <w:rPr>
          <w:lang w:val="en-US"/>
        </w:rPr>
      </w:pPr>
      <w:r w:rsidRPr="000A0A5F">
        <w:rPr>
          <w:lang w:val="en-US"/>
        </w:rPr>
        <w:t xml:space="preserve">        '400':</w:t>
      </w:r>
    </w:p>
    <w:p w:rsidR="00CB0DD7" w:rsidRPr="000A0A5F" w:rsidRDefault="00CB0DD7">
      <w:pPr>
        <w:pStyle w:val="PL"/>
        <w:rPr>
          <w:lang w:val="en-US"/>
        </w:rPr>
      </w:pPr>
      <w:r w:rsidRPr="000A0A5F">
        <w:rPr>
          <w:lang w:val="en-US"/>
        </w:rPr>
        <w:t xml:space="preserve">          $ref: 'TS29122_CommonData.yaml#/components/responses/400'</w:t>
      </w:r>
    </w:p>
    <w:p w:rsidR="00CB0DD7" w:rsidRPr="000A0A5F" w:rsidRDefault="00CB0DD7">
      <w:pPr>
        <w:pStyle w:val="PL"/>
        <w:rPr>
          <w:lang w:val="en-US"/>
        </w:rPr>
      </w:pPr>
      <w:r w:rsidRPr="000A0A5F">
        <w:rPr>
          <w:lang w:val="en-US"/>
        </w:rPr>
        <w:t xml:space="preserve">        '401':</w:t>
      </w:r>
    </w:p>
    <w:p w:rsidR="00CB0DD7" w:rsidRPr="000A0A5F" w:rsidRDefault="00CB0DD7">
      <w:pPr>
        <w:pStyle w:val="PL"/>
        <w:rPr>
          <w:lang w:val="en-US"/>
        </w:rPr>
      </w:pPr>
      <w:r w:rsidRPr="000A0A5F">
        <w:rPr>
          <w:lang w:val="en-US"/>
        </w:rPr>
        <w:t xml:space="preserve">          $ref: 'TS29122_CommonData.yaml#/components/responses/401'</w:t>
      </w:r>
    </w:p>
    <w:p w:rsidR="00CB0DD7" w:rsidRPr="000A0A5F" w:rsidRDefault="00CB0DD7">
      <w:pPr>
        <w:pStyle w:val="PL"/>
        <w:rPr>
          <w:lang w:val="en-US"/>
        </w:rPr>
      </w:pPr>
      <w:r w:rsidRPr="000A0A5F">
        <w:rPr>
          <w:lang w:val="en-US"/>
        </w:rPr>
        <w:t xml:space="preserve">        '403':</w:t>
      </w:r>
    </w:p>
    <w:p w:rsidR="00CB0DD7" w:rsidRPr="000A0A5F" w:rsidRDefault="00CB0DD7">
      <w:pPr>
        <w:pStyle w:val="PL"/>
        <w:rPr>
          <w:lang w:val="en-US"/>
        </w:rPr>
      </w:pPr>
      <w:r w:rsidRPr="000A0A5F">
        <w:rPr>
          <w:lang w:val="en-US"/>
        </w:rPr>
        <w:t xml:space="preserve">          $ref: 'TS29122_CommonData.yaml#/components/responses/403'</w:t>
      </w:r>
    </w:p>
    <w:p w:rsidR="00CB0DD7" w:rsidRPr="000A0A5F" w:rsidRDefault="00CB0DD7">
      <w:pPr>
        <w:pStyle w:val="PL"/>
        <w:rPr>
          <w:lang w:val="en-US"/>
        </w:rPr>
      </w:pPr>
      <w:r w:rsidRPr="000A0A5F">
        <w:rPr>
          <w:lang w:val="en-US"/>
        </w:rPr>
        <w:t xml:space="preserve">        '404':</w:t>
      </w:r>
    </w:p>
    <w:p w:rsidR="00CB0DD7" w:rsidRPr="000A0A5F" w:rsidRDefault="00CB0DD7">
      <w:pPr>
        <w:pStyle w:val="PL"/>
        <w:rPr>
          <w:lang w:val="en-US"/>
        </w:rPr>
      </w:pPr>
      <w:r w:rsidRPr="000A0A5F">
        <w:rPr>
          <w:lang w:val="en-US"/>
        </w:rPr>
        <w:t xml:space="preserve">          $ref: 'TS29122_CommonData.yaml#/components/responses/404'</w:t>
      </w:r>
    </w:p>
    <w:p w:rsidR="00CB0DD7" w:rsidRPr="000A0A5F" w:rsidRDefault="00CB0DD7">
      <w:pPr>
        <w:pStyle w:val="PL"/>
        <w:rPr>
          <w:lang w:val="en-US"/>
        </w:rPr>
      </w:pPr>
      <w:r w:rsidRPr="000A0A5F">
        <w:rPr>
          <w:lang w:val="en-US"/>
        </w:rPr>
        <w:t xml:space="preserve">        '409':</w:t>
      </w:r>
    </w:p>
    <w:p w:rsidR="00CB0DD7" w:rsidRPr="000A0A5F" w:rsidRDefault="00CB0DD7">
      <w:pPr>
        <w:pStyle w:val="PL"/>
        <w:rPr>
          <w:lang w:val="en-US"/>
        </w:rPr>
      </w:pPr>
      <w:r w:rsidRPr="000A0A5F">
        <w:rPr>
          <w:lang w:val="en-US"/>
        </w:rPr>
        <w:t xml:space="preserve">          $ref: 'TS29122_CommonData.yaml#/components/responses/409'</w:t>
      </w:r>
    </w:p>
    <w:p w:rsidR="00CB0DD7" w:rsidRPr="000A0A5F" w:rsidRDefault="00CB0DD7">
      <w:pPr>
        <w:pStyle w:val="PL"/>
      </w:pPr>
      <w:r w:rsidRPr="000A0A5F">
        <w:t xml:space="preserve">        '411':</w:t>
      </w:r>
    </w:p>
    <w:p w:rsidR="00CB0DD7" w:rsidRPr="000A0A5F" w:rsidRDefault="00CB0DD7">
      <w:pPr>
        <w:pStyle w:val="PL"/>
      </w:pPr>
      <w:r w:rsidRPr="000A0A5F">
        <w:t xml:space="preserve">          $ref: 'TS29122_CommonData.yaml#/components/responses/411'</w:t>
      </w:r>
    </w:p>
    <w:p w:rsidR="00CB0DD7" w:rsidRPr="000A0A5F" w:rsidRDefault="00CB0DD7">
      <w:pPr>
        <w:pStyle w:val="PL"/>
      </w:pPr>
      <w:r w:rsidRPr="000A0A5F">
        <w:t xml:space="preserve">        '413':</w:t>
      </w:r>
    </w:p>
    <w:p w:rsidR="00CB0DD7" w:rsidRPr="000A0A5F" w:rsidRDefault="00CB0DD7">
      <w:pPr>
        <w:pStyle w:val="PL"/>
        <w:rPr>
          <w:lang w:val="en-US"/>
        </w:rPr>
      </w:pPr>
      <w:r w:rsidRPr="000A0A5F">
        <w:t xml:space="preserve">          $ref: 'TS29122_CommonData.yaml#/components/responses/413'</w:t>
      </w:r>
    </w:p>
    <w:p w:rsidR="00CB0DD7" w:rsidRPr="000A0A5F" w:rsidRDefault="00CB0DD7">
      <w:pPr>
        <w:pStyle w:val="PL"/>
        <w:rPr>
          <w:lang w:val="en-US"/>
        </w:rPr>
      </w:pPr>
      <w:r w:rsidRPr="000A0A5F">
        <w:rPr>
          <w:lang w:val="en-US"/>
        </w:rPr>
        <w:t xml:space="preserve">        '415':</w:t>
      </w:r>
    </w:p>
    <w:p w:rsidR="00CB0DD7" w:rsidRPr="000A0A5F" w:rsidRDefault="00CB0DD7">
      <w:pPr>
        <w:pStyle w:val="PL"/>
        <w:rPr>
          <w:lang w:val="en-US"/>
        </w:rPr>
      </w:pPr>
      <w:r w:rsidRPr="000A0A5F">
        <w:rPr>
          <w:lang w:val="en-US"/>
        </w:rPr>
        <w:t xml:space="preserve">          $ref: 'TS29122_CommonData.yaml#/components/responses/415'</w:t>
      </w:r>
    </w:p>
    <w:p w:rsidR="00CB0DD7" w:rsidRPr="000A0A5F" w:rsidRDefault="00CB0DD7">
      <w:pPr>
        <w:pStyle w:val="PL"/>
      </w:pPr>
      <w:r w:rsidRPr="000A0A5F">
        <w:t xml:space="preserve">        '429':</w:t>
      </w:r>
    </w:p>
    <w:p w:rsidR="00CB0DD7" w:rsidRPr="000A0A5F" w:rsidRDefault="00CB0DD7">
      <w:pPr>
        <w:pStyle w:val="PL"/>
      </w:pPr>
      <w:r w:rsidRPr="000A0A5F">
        <w:t xml:space="preserve">          $ref: 'TS29122_CommonData.yaml#/components/responses/429'</w:t>
      </w:r>
    </w:p>
    <w:p w:rsidR="00CB0DD7" w:rsidRPr="000A0A5F" w:rsidRDefault="00CB0DD7">
      <w:pPr>
        <w:pStyle w:val="PL"/>
        <w:rPr>
          <w:lang w:val="en-US"/>
        </w:rPr>
      </w:pPr>
      <w:r w:rsidRPr="000A0A5F">
        <w:rPr>
          <w:lang w:val="en-US"/>
        </w:rPr>
        <w:t xml:space="preserve">        '500':</w:t>
      </w:r>
    </w:p>
    <w:p w:rsidR="00CB0DD7" w:rsidRPr="000A0A5F" w:rsidRDefault="00CB0DD7">
      <w:pPr>
        <w:pStyle w:val="PL"/>
        <w:rPr>
          <w:lang w:val="en-US"/>
        </w:rPr>
      </w:pPr>
      <w:r w:rsidRPr="000A0A5F">
        <w:rPr>
          <w:lang w:val="en-US"/>
        </w:rPr>
        <w:t xml:space="preserve">          $ref: 'TS29122_CommonData.yaml#/components/responses/500'</w:t>
      </w:r>
    </w:p>
    <w:p w:rsidR="00CB0DD7" w:rsidRPr="000A0A5F" w:rsidRDefault="00CB0DD7">
      <w:pPr>
        <w:pStyle w:val="PL"/>
        <w:rPr>
          <w:lang w:val="en-US"/>
        </w:rPr>
      </w:pPr>
      <w:r w:rsidRPr="000A0A5F">
        <w:rPr>
          <w:lang w:val="en-US"/>
        </w:rPr>
        <w:t xml:space="preserve">        '503':</w:t>
      </w:r>
    </w:p>
    <w:p w:rsidR="00CB0DD7" w:rsidRPr="000A0A5F" w:rsidRDefault="00CB0DD7">
      <w:pPr>
        <w:pStyle w:val="PL"/>
        <w:rPr>
          <w:lang w:val="en-US"/>
        </w:rPr>
      </w:pPr>
      <w:r w:rsidRPr="000A0A5F">
        <w:rPr>
          <w:lang w:val="en-US"/>
        </w:rPr>
        <w:t xml:space="preserve">          $ref: 'TS29122_CommonData.yaml#/components/responses/503'</w:t>
      </w:r>
    </w:p>
    <w:p w:rsidR="00CB0DD7" w:rsidRPr="000A0A5F" w:rsidRDefault="00CB0DD7">
      <w:pPr>
        <w:pStyle w:val="PL"/>
        <w:rPr>
          <w:lang w:val="en-US"/>
        </w:rPr>
      </w:pPr>
      <w:r w:rsidRPr="000A0A5F">
        <w:rPr>
          <w:lang w:val="en-US"/>
        </w:rPr>
        <w:t xml:space="preserve">        default:</w:t>
      </w:r>
    </w:p>
    <w:p w:rsidR="00CB0DD7" w:rsidRPr="000A0A5F" w:rsidRDefault="00CB0DD7">
      <w:pPr>
        <w:pStyle w:val="PL"/>
        <w:rPr>
          <w:lang w:val="en-US"/>
        </w:rPr>
      </w:pPr>
      <w:r w:rsidRPr="000A0A5F">
        <w:rPr>
          <w:lang w:val="en-US"/>
        </w:rPr>
        <w:t xml:space="preserve">          $ref: 'TS29122_CommonData.yaml#/components/responses/default'</w:t>
      </w:r>
    </w:p>
    <w:p w:rsidR="00CB0DD7" w:rsidRPr="000A0A5F" w:rsidRDefault="00CB0DD7">
      <w:pPr>
        <w:pStyle w:val="PL"/>
        <w:rPr>
          <w:lang w:val="en-US"/>
        </w:rPr>
      </w:pPr>
      <w:r w:rsidRPr="000A0A5F">
        <w:rPr>
          <w:lang w:val="en-US"/>
        </w:rPr>
        <w:t xml:space="preserve">  /{scsAsId}/subscriptions/{subscriptionId}:</w:t>
      </w:r>
    </w:p>
    <w:p w:rsidR="00CB0DD7" w:rsidRPr="000A0A5F" w:rsidRDefault="00CB0DD7">
      <w:pPr>
        <w:pStyle w:val="PL"/>
        <w:rPr>
          <w:lang w:val="en-US"/>
        </w:rPr>
      </w:pPr>
      <w:r w:rsidRPr="000A0A5F">
        <w:rPr>
          <w:lang w:val="en-US"/>
        </w:rPr>
        <w:t xml:space="preserve">    parameters:</w:t>
      </w:r>
    </w:p>
    <w:p w:rsidR="00CB0DD7" w:rsidRPr="000A0A5F" w:rsidRDefault="00CB0DD7">
      <w:pPr>
        <w:pStyle w:val="PL"/>
        <w:rPr>
          <w:lang w:val="en-US"/>
        </w:rPr>
      </w:pPr>
      <w:r w:rsidRPr="000A0A5F">
        <w:rPr>
          <w:lang w:val="en-US"/>
        </w:rPr>
        <w:t xml:space="preserve">      - name: scsAsId</w:t>
      </w:r>
    </w:p>
    <w:p w:rsidR="00CB0DD7" w:rsidRPr="000A0A5F" w:rsidRDefault="00CB0DD7">
      <w:pPr>
        <w:pStyle w:val="PL"/>
        <w:rPr>
          <w:lang w:val="en-US"/>
        </w:rPr>
      </w:pPr>
      <w:r w:rsidRPr="000A0A5F">
        <w:rPr>
          <w:lang w:val="en-US"/>
        </w:rPr>
        <w:t xml:space="preserve">        description: String identifying the SCS/AS.</w:t>
      </w:r>
    </w:p>
    <w:p w:rsidR="00CB0DD7" w:rsidRPr="000A0A5F" w:rsidRDefault="00CB0DD7">
      <w:pPr>
        <w:pStyle w:val="PL"/>
        <w:rPr>
          <w:lang w:val="en-US"/>
        </w:rPr>
      </w:pPr>
      <w:r w:rsidRPr="000A0A5F">
        <w:rPr>
          <w:lang w:val="en-US"/>
        </w:rPr>
        <w:t xml:space="preserve">        in: path</w:t>
      </w:r>
    </w:p>
    <w:p w:rsidR="00CB0DD7" w:rsidRPr="000A0A5F" w:rsidRDefault="00CB0DD7">
      <w:pPr>
        <w:pStyle w:val="PL"/>
        <w:rPr>
          <w:lang w:val="en-US"/>
        </w:rPr>
      </w:pPr>
      <w:r w:rsidRPr="000A0A5F">
        <w:rPr>
          <w:lang w:val="en-US"/>
        </w:rPr>
        <w:t xml:space="preserve">        required: true</w:t>
      </w:r>
    </w:p>
    <w:p w:rsidR="00CB0DD7" w:rsidRPr="000A0A5F" w:rsidRDefault="00CB0DD7">
      <w:pPr>
        <w:pStyle w:val="PL"/>
        <w:rPr>
          <w:lang w:val="en-US"/>
        </w:rPr>
      </w:pPr>
      <w:r w:rsidRPr="000A0A5F">
        <w:rPr>
          <w:lang w:val="en-US"/>
        </w:rPr>
        <w:t xml:space="preserve">        schema:</w:t>
      </w:r>
    </w:p>
    <w:p w:rsidR="00CB0DD7" w:rsidRPr="000A0A5F" w:rsidRDefault="00CB0DD7">
      <w:pPr>
        <w:pStyle w:val="PL"/>
        <w:rPr>
          <w:lang w:val="en-US"/>
        </w:rPr>
      </w:pPr>
      <w:r w:rsidRPr="000A0A5F">
        <w:rPr>
          <w:lang w:val="en-US"/>
        </w:rPr>
        <w:t xml:space="preserve">          type: string</w:t>
      </w:r>
    </w:p>
    <w:p w:rsidR="00CB0DD7" w:rsidRPr="000A0A5F" w:rsidRDefault="00CB0DD7">
      <w:pPr>
        <w:pStyle w:val="PL"/>
        <w:rPr>
          <w:lang w:val="en-US"/>
        </w:rPr>
      </w:pPr>
      <w:r w:rsidRPr="000A0A5F">
        <w:rPr>
          <w:lang w:val="en-US"/>
        </w:rPr>
        <w:t xml:space="preserve">      - name: subscriptionId</w:t>
      </w:r>
    </w:p>
    <w:p w:rsidR="00CB0DD7" w:rsidRPr="000A0A5F" w:rsidRDefault="00CB0DD7">
      <w:pPr>
        <w:pStyle w:val="PL"/>
        <w:rPr>
          <w:lang w:val="en-US"/>
        </w:rPr>
      </w:pPr>
      <w:r w:rsidRPr="000A0A5F">
        <w:rPr>
          <w:lang w:val="en-US"/>
        </w:rPr>
        <w:t xml:space="preserve">        description: String identifying the individual BDT policy resource in the SCEF.</w:t>
      </w:r>
    </w:p>
    <w:p w:rsidR="00CB0DD7" w:rsidRPr="000A0A5F" w:rsidRDefault="00CB0DD7">
      <w:pPr>
        <w:pStyle w:val="PL"/>
        <w:rPr>
          <w:lang w:val="en-US"/>
        </w:rPr>
      </w:pPr>
      <w:r w:rsidRPr="000A0A5F">
        <w:rPr>
          <w:lang w:val="en-US"/>
        </w:rPr>
        <w:t xml:space="preserve">        in: path</w:t>
      </w:r>
    </w:p>
    <w:p w:rsidR="00CB0DD7" w:rsidRPr="000A0A5F" w:rsidRDefault="00CB0DD7">
      <w:pPr>
        <w:pStyle w:val="PL"/>
        <w:rPr>
          <w:lang w:val="en-US"/>
        </w:rPr>
      </w:pPr>
      <w:r w:rsidRPr="000A0A5F">
        <w:rPr>
          <w:lang w:val="en-US"/>
        </w:rPr>
        <w:t xml:space="preserve">        required: true</w:t>
      </w:r>
    </w:p>
    <w:p w:rsidR="00CB0DD7" w:rsidRPr="000A0A5F" w:rsidRDefault="00CB0DD7">
      <w:pPr>
        <w:pStyle w:val="PL"/>
        <w:rPr>
          <w:lang w:val="en-US"/>
        </w:rPr>
      </w:pPr>
      <w:r w:rsidRPr="000A0A5F">
        <w:rPr>
          <w:lang w:val="en-US"/>
        </w:rPr>
        <w:t xml:space="preserve">        schema:</w:t>
      </w:r>
    </w:p>
    <w:p w:rsidR="00CB0DD7" w:rsidRPr="000A0A5F" w:rsidRDefault="00CB0DD7">
      <w:pPr>
        <w:pStyle w:val="PL"/>
        <w:rPr>
          <w:lang w:val="en-US"/>
        </w:rPr>
      </w:pPr>
      <w:r w:rsidRPr="000A0A5F">
        <w:rPr>
          <w:lang w:val="en-US"/>
        </w:rPr>
        <w:t xml:space="preserve">          type: string</w:t>
      </w:r>
    </w:p>
    <w:p w:rsidR="00CB0DD7" w:rsidRPr="000A0A5F" w:rsidRDefault="00CB0DD7">
      <w:pPr>
        <w:pStyle w:val="PL"/>
        <w:rPr>
          <w:lang w:val="en-US"/>
        </w:rPr>
      </w:pPr>
      <w:r w:rsidRPr="000A0A5F">
        <w:rPr>
          <w:lang w:val="en-US"/>
        </w:rPr>
        <w:t xml:space="preserve">    get:</w:t>
      </w:r>
    </w:p>
    <w:p w:rsidR="00C21D6F" w:rsidRPr="000A0A5F" w:rsidRDefault="00C21D6F" w:rsidP="00C21D6F">
      <w:pPr>
        <w:pStyle w:val="PL"/>
      </w:pPr>
      <w:r w:rsidRPr="000A0A5F">
        <w:t xml:space="preserve">      summary: Read a background data transfer subscription </w:t>
      </w:r>
      <w:r w:rsidRPr="000A0A5F">
        <w:rPr>
          <w:lang w:eastAsia="zh-CN"/>
        </w:rPr>
        <w:t>resource.</w:t>
      </w:r>
    </w:p>
    <w:p w:rsidR="00C21D6F" w:rsidRPr="000A0A5F" w:rsidRDefault="00C21D6F" w:rsidP="00C21D6F">
      <w:pPr>
        <w:pStyle w:val="PL"/>
      </w:pPr>
      <w:r w:rsidRPr="000A0A5F">
        <w:t xml:space="preserve">      </w:t>
      </w:r>
      <w:r w:rsidRPr="000A0A5F">
        <w:rPr>
          <w:rFonts w:cs="Courier New"/>
          <w:szCs w:val="16"/>
        </w:rPr>
        <w:t>operationId: FetchInd</w:t>
      </w:r>
      <w:r w:rsidRPr="000A0A5F">
        <w:t>BDTSubscription</w:t>
      </w:r>
    </w:p>
    <w:p w:rsidR="00C21D6F" w:rsidRPr="000A0A5F" w:rsidRDefault="00C21D6F" w:rsidP="00C21D6F">
      <w:pPr>
        <w:pStyle w:val="PL"/>
      </w:pPr>
      <w:r w:rsidRPr="000A0A5F">
        <w:t xml:space="preserve">      tags:</w:t>
      </w:r>
    </w:p>
    <w:p w:rsidR="00C21D6F" w:rsidRPr="000A0A5F" w:rsidRDefault="00C21D6F" w:rsidP="00C21D6F">
      <w:pPr>
        <w:pStyle w:val="PL"/>
      </w:pPr>
      <w:r w:rsidRPr="000A0A5F">
        <w:t xml:space="preserve">        - Individual BDT Subscription</w:t>
      </w:r>
    </w:p>
    <w:p w:rsidR="00CB0DD7" w:rsidRPr="000A0A5F" w:rsidRDefault="00CB0DD7">
      <w:pPr>
        <w:pStyle w:val="PL"/>
        <w:rPr>
          <w:lang w:val="en-US"/>
        </w:rPr>
      </w:pPr>
      <w:r w:rsidRPr="000A0A5F">
        <w:rPr>
          <w:lang w:val="en-US"/>
        </w:rPr>
        <w:t xml:space="preserve">      responses:</w:t>
      </w:r>
    </w:p>
    <w:p w:rsidR="00CB0DD7" w:rsidRPr="000A0A5F" w:rsidRDefault="00CB0DD7">
      <w:pPr>
        <w:pStyle w:val="PL"/>
        <w:rPr>
          <w:lang w:val="en-US"/>
        </w:rPr>
      </w:pPr>
      <w:r w:rsidRPr="000A0A5F">
        <w:rPr>
          <w:lang w:val="en-US"/>
        </w:rPr>
        <w:t xml:space="preserve">        '200':</w:t>
      </w:r>
    </w:p>
    <w:p w:rsidR="00CB0DD7" w:rsidRPr="000A0A5F" w:rsidRDefault="00CB0DD7">
      <w:pPr>
        <w:pStyle w:val="PL"/>
        <w:rPr>
          <w:lang w:val="en-US"/>
        </w:rPr>
      </w:pPr>
      <w:r w:rsidRPr="000A0A5F">
        <w:rPr>
          <w:lang w:val="en-US"/>
        </w:rPr>
        <w:t xml:space="preserve">          description: Background data transfer policies offered to and selected by the SCEF.</w:t>
      </w:r>
    </w:p>
    <w:p w:rsidR="00CB0DD7" w:rsidRPr="000A0A5F" w:rsidRDefault="00CB0DD7">
      <w:pPr>
        <w:pStyle w:val="PL"/>
        <w:rPr>
          <w:lang w:val="en-US"/>
        </w:rPr>
      </w:pPr>
      <w:r w:rsidRPr="000A0A5F">
        <w:rPr>
          <w:lang w:val="en-US"/>
        </w:rPr>
        <w:t xml:space="preserve">          content:</w:t>
      </w:r>
    </w:p>
    <w:p w:rsidR="00CB0DD7" w:rsidRPr="000A0A5F" w:rsidRDefault="00CB0DD7">
      <w:pPr>
        <w:pStyle w:val="PL"/>
        <w:rPr>
          <w:lang w:val="en-US"/>
        </w:rPr>
      </w:pPr>
      <w:r w:rsidRPr="000A0A5F">
        <w:rPr>
          <w:lang w:val="en-US"/>
        </w:rPr>
        <w:t xml:space="preserve">            application/json:</w:t>
      </w:r>
    </w:p>
    <w:p w:rsidR="00CB0DD7" w:rsidRPr="000A0A5F" w:rsidRDefault="00CB0DD7">
      <w:pPr>
        <w:pStyle w:val="PL"/>
        <w:rPr>
          <w:lang w:val="en-US"/>
        </w:rPr>
      </w:pPr>
      <w:r w:rsidRPr="000A0A5F">
        <w:rPr>
          <w:lang w:val="en-US"/>
        </w:rPr>
        <w:t xml:space="preserve">              schema:</w:t>
      </w:r>
    </w:p>
    <w:p w:rsidR="00CB0DD7" w:rsidRPr="000A0A5F" w:rsidRDefault="00CB0DD7">
      <w:pPr>
        <w:pStyle w:val="PL"/>
        <w:rPr>
          <w:lang w:val="en-US"/>
        </w:rPr>
      </w:pPr>
      <w:r w:rsidRPr="000A0A5F">
        <w:rPr>
          <w:lang w:val="en-US"/>
        </w:rPr>
        <w:t xml:space="preserve">                $ref: '#/components/schemas/Bdt'</w:t>
      </w:r>
    </w:p>
    <w:p w:rsidR="00CB0DD7" w:rsidRPr="000A0A5F" w:rsidRDefault="00CB0DD7">
      <w:pPr>
        <w:pStyle w:val="PL"/>
      </w:pPr>
      <w:r w:rsidRPr="000A0A5F">
        <w:t xml:space="preserve">        '307':</w:t>
      </w:r>
    </w:p>
    <w:p w:rsidR="00CB0DD7" w:rsidRPr="000A0A5F" w:rsidRDefault="00CB0DD7">
      <w:pPr>
        <w:pStyle w:val="PL"/>
      </w:pPr>
      <w:r w:rsidRPr="000A0A5F">
        <w:t xml:space="preserve">          $ref: 'TS29122_CommonData.yaml#/components/responses/307'</w:t>
      </w:r>
    </w:p>
    <w:p w:rsidR="00CB0DD7" w:rsidRPr="000A0A5F" w:rsidRDefault="00CB0DD7">
      <w:pPr>
        <w:pStyle w:val="PL"/>
      </w:pPr>
      <w:r w:rsidRPr="000A0A5F">
        <w:t xml:space="preserve">        '308':</w:t>
      </w:r>
    </w:p>
    <w:p w:rsidR="00CB0DD7" w:rsidRPr="000A0A5F" w:rsidRDefault="00CB0DD7">
      <w:pPr>
        <w:pStyle w:val="PL"/>
      </w:pPr>
      <w:r w:rsidRPr="000A0A5F">
        <w:t xml:space="preserve">          $ref: 'TS29122_CommonData.yaml#/components/responses/308'</w:t>
      </w:r>
    </w:p>
    <w:p w:rsidR="00CB0DD7" w:rsidRPr="000A0A5F" w:rsidRDefault="00CB0DD7">
      <w:pPr>
        <w:pStyle w:val="PL"/>
        <w:rPr>
          <w:lang w:val="en-US"/>
        </w:rPr>
      </w:pPr>
      <w:r w:rsidRPr="000A0A5F">
        <w:rPr>
          <w:lang w:val="en-US"/>
        </w:rPr>
        <w:t xml:space="preserve">        '400':</w:t>
      </w:r>
    </w:p>
    <w:p w:rsidR="00CB0DD7" w:rsidRPr="000A0A5F" w:rsidRDefault="00CB0DD7">
      <w:pPr>
        <w:pStyle w:val="PL"/>
        <w:rPr>
          <w:lang w:val="en-US"/>
        </w:rPr>
      </w:pPr>
      <w:r w:rsidRPr="000A0A5F">
        <w:rPr>
          <w:lang w:val="en-US"/>
        </w:rPr>
        <w:t xml:space="preserve">          $ref: 'TS29122_CommonData.yaml#/components/responses/400'</w:t>
      </w:r>
    </w:p>
    <w:p w:rsidR="00CB0DD7" w:rsidRPr="000A0A5F" w:rsidRDefault="00CB0DD7">
      <w:pPr>
        <w:pStyle w:val="PL"/>
        <w:rPr>
          <w:lang w:val="en-US"/>
        </w:rPr>
      </w:pPr>
      <w:r w:rsidRPr="000A0A5F">
        <w:rPr>
          <w:lang w:val="en-US"/>
        </w:rPr>
        <w:t xml:space="preserve">        '401':</w:t>
      </w:r>
    </w:p>
    <w:p w:rsidR="00CB0DD7" w:rsidRPr="000A0A5F" w:rsidRDefault="00CB0DD7">
      <w:pPr>
        <w:pStyle w:val="PL"/>
        <w:rPr>
          <w:lang w:val="en-US"/>
        </w:rPr>
      </w:pPr>
      <w:r w:rsidRPr="000A0A5F">
        <w:rPr>
          <w:lang w:val="en-US"/>
        </w:rPr>
        <w:t xml:space="preserve">          $ref: 'TS29122_CommonData.yaml#/components/responses/401'</w:t>
      </w:r>
    </w:p>
    <w:p w:rsidR="00CB0DD7" w:rsidRPr="000A0A5F" w:rsidRDefault="00CB0DD7">
      <w:pPr>
        <w:pStyle w:val="PL"/>
        <w:rPr>
          <w:lang w:val="en-US"/>
        </w:rPr>
      </w:pPr>
      <w:r w:rsidRPr="000A0A5F">
        <w:rPr>
          <w:lang w:val="en-US"/>
        </w:rPr>
        <w:t xml:space="preserve">        '403':</w:t>
      </w:r>
    </w:p>
    <w:p w:rsidR="00CB0DD7" w:rsidRPr="000A0A5F" w:rsidRDefault="00CB0DD7">
      <w:pPr>
        <w:pStyle w:val="PL"/>
        <w:rPr>
          <w:lang w:val="en-US"/>
        </w:rPr>
      </w:pPr>
      <w:r w:rsidRPr="000A0A5F">
        <w:rPr>
          <w:lang w:val="en-US"/>
        </w:rPr>
        <w:t xml:space="preserve">          $ref: 'TS29122_CommonData.yaml#/components/responses/403'</w:t>
      </w:r>
    </w:p>
    <w:p w:rsidR="00CB0DD7" w:rsidRPr="000A0A5F" w:rsidRDefault="00CB0DD7">
      <w:pPr>
        <w:pStyle w:val="PL"/>
        <w:rPr>
          <w:lang w:val="en-US"/>
        </w:rPr>
      </w:pPr>
      <w:r w:rsidRPr="000A0A5F">
        <w:rPr>
          <w:lang w:val="en-US"/>
        </w:rPr>
        <w:t xml:space="preserve">        '404':</w:t>
      </w:r>
    </w:p>
    <w:p w:rsidR="00CB0DD7" w:rsidRPr="000A0A5F" w:rsidRDefault="00CB0DD7">
      <w:pPr>
        <w:pStyle w:val="PL"/>
        <w:rPr>
          <w:lang w:val="en-US"/>
        </w:rPr>
      </w:pPr>
      <w:r w:rsidRPr="000A0A5F">
        <w:rPr>
          <w:lang w:val="en-US"/>
        </w:rPr>
        <w:t xml:space="preserve">          $ref: 'TS29122_CommonData.yaml#/components/responses/404'</w:t>
      </w:r>
    </w:p>
    <w:p w:rsidR="00CB0DD7" w:rsidRPr="000A0A5F" w:rsidRDefault="00CB0DD7">
      <w:pPr>
        <w:pStyle w:val="PL"/>
        <w:rPr>
          <w:lang w:val="en-US"/>
        </w:rPr>
      </w:pPr>
      <w:r w:rsidRPr="000A0A5F">
        <w:rPr>
          <w:lang w:val="en-US"/>
        </w:rPr>
        <w:t xml:space="preserve">        '406':</w:t>
      </w:r>
    </w:p>
    <w:p w:rsidR="00CB0DD7" w:rsidRPr="000A0A5F" w:rsidRDefault="00CB0DD7">
      <w:pPr>
        <w:pStyle w:val="PL"/>
        <w:rPr>
          <w:lang w:val="en-US"/>
        </w:rPr>
      </w:pPr>
      <w:r w:rsidRPr="000A0A5F">
        <w:rPr>
          <w:lang w:val="en-US"/>
        </w:rPr>
        <w:t xml:space="preserve">          $ref: 'TS29122_CommonData.yaml#/components/responses/406'</w:t>
      </w:r>
    </w:p>
    <w:p w:rsidR="00CB0DD7" w:rsidRPr="000A0A5F" w:rsidRDefault="00CB0DD7">
      <w:pPr>
        <w:pStyle w:val="PL"/>
      </w:pPr>
      <w:r w:rsidRPr="000A0A5F">
        <w:t xml:space="preserve">        '429':</w:t>
      </w:r>
    </w:p>
    <w:p w:rsidR="00CB0DD7" w:rsidRPr="000A0A5F" w:rsidRDefault="00CB0DD7">
      <w:pPr>
        <w:pStyle w:val="PL"/>
      </w:pPr>
      <w:r w:rsidRPr="000A0A5F">
        <w:t xml:space="preserve">          $ref: 'TS29122_CommonData.yaml#/components/responses/429'</w:t>
      </w:r>
    </w:p>
    <w:p w:rsidR="00CB0DD7" w:rsidRPr="000A0A5F" w:rsidRDefault="00CB0DD7">
      <w:pPr>
        <w:pStyle w:val="PL"/>
        <w:rPr>
          <w:lang w:val="en-US"/>
        </w:rPr>
      </w:pPr>
      <w:r w:rsidRPr="000A0A5F">
        <w:rPr>
          <w:lang w:val="en-US"/>
        </w:rPr>
        <w:t xml:space="preserve">        '500':</w:t>
      </w:r>
    </w:p>
    <w:p w:rsidR="00CB0DD7" w:rsidRPr="000A0A5F" w:rsidRDefault="00CB0DD7">
      <w:pPr>
        <w:pStyle w:val="PL"/>
        <w:rPr>
          <w:lang w:val="en-US"/>
        </w:rPr>
      </w:pPr>
      <w:r w:rsidRPr="000A0A5F">
        <w:rPr>
          <w:lang w:val="en-US"/>
        </w:rPr>
        <w:t xml:space="preserve">          $ref: 'TS29122_CommonData.yaml#/components/responses/500'</w:t>
      </w:r>
    </w:p>
    <w:p w:rsidR="00CB0DD7" w:rsidRPr="000A0A5F" w:rsidRDefault="00CB0DD7">
      <w:pPr>
        <w:pStyle w:val="PL"/>
        <w:rPr>
          <w:lang w:val="en-US"/>
        </w:rPr>
      </w:pPr>
      <w:r w:rsidRPr="000A0A5F">
        <w:rPr>
          <w:lang w:val="en-US"/>
        </w:rPr>
        <w:t xml:space="preserve">        '503':</w:t>
      </w:r>
    </w:p>
    <w:p w:rsidR="00CB0DD7" w:rsidRPr="000A0A5F" w:rsidRDefault="00CB0DD7">
      <w:pPr>
        <w:pStyle w:val="PL"/>
        <w:rPr>
          <w:lang w:val="en-US"/>
        </w:rPr>
      </w:pPr>
      <w:r w:rsidRPr="000A0A5F">
        <w:rPr>
          <w:lang w:val="en-US"/>
        </w:rPr>
        <w:t xml:space="preserve">          $ref: 'TS29122_CommonData.yaml#/components/responses/503'</w:t>
      </w:r>
    </w:p>
    <w:p w:rsidR="00CB0DD7" w:rsidRPr="000A0A5F" w:rsidRDefault="00CB0DD7">
      <w:pPr>
        <w:pStyle w:val="PL"/>
        <w:rPr>
          <w:lang w:val="en-US"/>
        </w:rPr>
      </w:pPr>
      <w:r w:rsidRPr="000A0A5F">
        <w:rPr>
          <w:lang w:val="en-US"/>
        </w:rPr>
        <w:t xml:space="preserve">        default:</w:t>
      </w:r>
    </w:p>
    <w:p w:rsidR="00CB0DD7" w:rsidRPr="000A0A5F" w:rsidRDefault="00CB0DD7">
      <w:pPr>
        <w:pStyle w:val="PL"/>
        <w:rPr>
          <w:lang w:val="en-US"/>
        </w:rPr>
      </w:pPr>
      <w:r w:rsidRPr="000A0A5F">
        <w:rPr>
          <w:lang w:val="en-US"/>
        </w:rPr>
        <w:t xml:space="preserve">          $ref: 'TS29122_CommonData.yaml#/components/responses/default'</w:t>
      </w:r>
    </w:p>
    <w:p w:rsidR="00CB0DD7" w:rsidRPr="000A0A5F" w:rsidRDefault="00CB0DD7">
      <w:pPr>
        <w:pStyle w:val="PL"/>
      </w:pPr>
      <w:r w:rsidRPr="000A0A5F">
        <w:t xml:space="preserve">    put:</w:t>
      </w:r>
    </w:p>
    <w:p w:rsidR="00C21D6F" w:rsidRPr="000A0A5F" w:rsidRDefault="00C21D6F" w:rsidP="00C21D6F">
      <w:pPr>
        <w:pStyle w:val="PL"/>
      </w:pPr>
      <w:r w:rsidRPr="000A0A5F">
        <w:t xml:space="preserve">      summary: </w:t>
      </w:r>
      <w:r w:rsidRPr="000A0A5F">
        <w:rPr>
          <w:lang w:eastAsia="zh-CN"/>
        </w:rPr>
        <w:t xml:space="preserve">Update </w:t>
      </w:r>
      <w:r w:rsidRPr="000A0A5F">
        <w:t>a background data transfer subscription resource</w:t>
      </w:r>
      <w:r w:rsidRPr="000A0A5F">
        <w:rPr>
          <w:lang w:eastAsia="zh-CN"/>
        </w:rPr>
        <w:t xml:space="preserve"> for negotiation of background data transfer policy.</w:t>
      </w:r>
    </w:p>
    <w:p w:rsidR="00C21D6F" w:rsidRPr="000A0A5F" w:rsidRDefault="00C21D6F" w:rsidP="00C21D6F">
      <w:pPr>
        <w:pStyle w:val="PL"/>
      </w:pPr>
      <w:r w:rsidRPr="000A0A5F">
        <w:t xml:space="preserve">      </w:t>
      </w:r>
      <w:r w:rsidRPr="000A0A5F">
        <w:rPr>
          <w:rFonts w:cs="Courier New"/>
          <w:szCs w:val="16"/>
        </w:rPr>
        <w:t>operationId: Update</w:t>
      </w:r>
      <w:r w:rsidRPr="000A0A5F">
        <w:t>BDTSubscription</w:t>
      </w:r>
    </w:p>
    <w:p w:rsidR="00C21D6F" w:rsidRPr="000A0A5F" w:rsidRDefault="00C21D6F" w:rsidP="00C21D6F">
      <w:pPr>
        <w:pStyle w:val="PL"/>
      </w:pPr>
      <w:r w:rsidRPr="000A0A5F">
        <w:t xml:space="preserve">      tags:</w:t>
      </w:r>
    </w:p>
    <w:p w:rsidR="00C21D6F" w:rsidRPr="000A0A5F" w:rsidRDefault="00C21D6F" w:rsidP="00C21D6F">
      <w:pPr>
        <w:pStyle w:val="PL"/>
      </w:pPr>
      <w:r w:rsidRPr="000A0A5F">
        <w:t xml:space="preserve">        - Individual BDT Subscription</w:t>
      </w:r>
    </w:p>
    <w:p w:rsidR="00CB0DD7" w:rsidRPr="000A0A5F" w:rsidRDefault="00CB0DD7">
      <w:pPr>
        <w:pStyle w:val="PL"/>
      </w:pPr>
      <w:r w:rsidRPr="000A0A5F">
        <w:t xml:space="preserve">      requestBody:</w:t>
      </w:r>
    </w:p>
    <w:p w:rsidR="00CB0DD7" w:rsidRPr="000A0A5F" w:rsidRDefault="00CB0DD7">
      <w:pPr>
        <w:pStyle w:val="PL"/>
      </w:pPr>
      <w:r w:rsidRPr="000A0A5F">
        <w:t xml:space="preserve">        description: Parameters to update/replace the existing BDT subscription</w:t>
      </w:r>
    </w:p>
    <w:p w:rsidR="00CB0DD7" w:rsidRPr="000A0A5F" w:rsidRDefault="00CB0DD7">
      <w:pPr>
        <w:pStyle w:val="PL"/>
      </w:pPr>
      <w:r w:rsidRPr="000A0A5F">
        <w:t xml:space="preserve">        required: true</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application/json:</w:t>
      </w:r>
    </w:p>
    <w:p w:rsidR="00CB0DD7" w:rsidRPr="000A0A5F" w:rsidRDefault="00CB0DD7">
      <w:pPr>
        <w:pStyle w:val="PL"/>
      </w:pPr>
      <w:r w:rsidRPr="000A0A5F">
        <w:t xml:space="preserve">            schema:</w:t>
      </w:r>
    </w:p>
    <w:p w:rsidR="00CB0DD7" w:rsidRPr="000A0A5F" w:rsidRDefault="00CB0DD7">
      <w:pPr>
        <w:pStyle w:val="PL"/>
      </w:pPr>
      <w:r w:rsidRPr="000A0A5F">
        <w:t xml:space="preserve">              $ref: '#/components/schemas/Bdt'</w:t>
      </w:r>
    </w:p>
    <w:p w:rsidR="00CB0DD7" w:rsidRPr="000A0A5F" w:rsidRDefault="00CB0DD7">
      <w:pPr>
        <w:pStyle w:val="PL"/>
      </w:pPr>
      <w:r w:rsidRPr="000A0A5F">
        <w:t xml:space="preserve">      responses:</w:t>
      </w:r>
    </w:p>
    <w:p w:rsidR="00CB0DD7" w:rsidRPr="000A0A5F" w:rsidRDefault="00CB0DD7">
      <w:pPr>
        <w:pStyle w:val="PL"/>
      </w:pPr>
      <w:r w:rsidRPr="000A0A5F">
        <w:t xml:space="preserve">        '200':</w:t>
      </w:r>
    </w:p>
    <w:p w:rsidR="00CB0DD7" w:rsidRPr="000A0A5F" w:rsidRDefault="00CB0DD7">
      <w:pPr>
        <w:pStyle w:val="PL"/>
      </w:pPr>
      <w:r w:rsidRPr="000A0A5F">
        <w:t xml:space="preserve">          description: OK (Successful update of the BDT subscription)</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application/json:</w:t>
      </w:r>
    </w:p>
    <w:p w:rsidR="00CB0DD7" w:rsidRPr="000A0A5F" w:rsidRDefault="00CB0DD7">
      <w:pPr>
        <w:pStyle w:val="PL"/>
      </w:pPr>
      <w:r w:rsidRPr="000A0A5F">
        <w:t xml:space="preserve">              schema:</w:t>
      </w:r>
    </w:p>
    <w:p w:rsidR="00CB0DD7" w:rsidRPr="000A0A5F" w:rsidRDefault="00CB0DD7">
      <w:pPr>
        <w:pStyle w:val="PL"/>
      </w:pPr>
      <w:r w:rsidRPr="000A0A5F">
        <w:t xml:space="preserve">                $ref: '#/components/schemas/Bdt'</w:t>
      </w:r>
    </w:p>
    <w:p w:rsidR="000B0A5C" w:rsidRPr="000A0A5F" w:rsidRDefault="000B0A5C" w:rsidP="000B0A5C">
      <w:pPr>
        <w:pStyle w:val="PL"/>
        <w:rPr>
          <w:lang w:val="en-US"/>
        </w:rPr>
      </w:pPr>
      <w:r w:rsidRPr="000A0A5F">
        <w:rPr>
          <w:lang w:val="en-US"/>
        </w:rPr>
        <w:t xml:space="preserve">        '204':</w:t>
      </w:r>
    </w:p>
    <w:p w:rsidR="000B0A5C" w:rsidRPr="000A0A5F" w:rsidRDefault="000B0A5C" w:rsidP="000B0A5C">
      <w:pPr>
        <w:pStyle w:val="PL"/>
      </w:pPr>
      <w:r w:rsidRPr="000A0A5F">
        <w:rPr>
          <w:lang w:val="en-US"/>
        </w:rPr>
        <w:t xml:space="preserve">          description: No Content. The Individual BDT </w:t>
      </w:r>
      <w:r w:rsidRPr="000A0A5F">
        <w:rPr>
          <w:rFonts w:eastAsia="Times New Roman"/>
        </w:rPr>
        <w:t xml:space="preserve">Subscription </w:t>
      </w:r>
      <w:r w:rsidRPr="000A0A5F">
        <w:rPr>
          <w:lang w:val="en-US"/>
        </w:rPr>
        <w:t xml:space="preserve">resource was updated </w:t>
      </w:r>
      <w:r w:rsidRPr="000A0A5F">
        <w:rPr>
          <w:rFonts w:eastAsia="Times New Roman"/>
        </w:rPr>
        <w:t>successfully</w:t>
      </w:r>
      <w:r w:rsidRPr="000A0A5F">
        <w:rPr>
          <w:lang w:val="en-US"/>
        </w:rPr>
        <w:t>.</w:t>
      </w:r>
    </w:p>
    <w:p w:rsidR="00CB0DD7" w:rsidRPr="000A0A5F" w:rsidRDefault="00CB0DD7">
      <w:pPr>
        <w:pStyle w:val="PL"/>
      </w:pPr>
      <w:r w:rsidRPr="000A0A5F">
        <w:t xml:space="preserve">        '307':</w:t>
      </w:r>
    </w:p>
    <w:p w:rsidR="00CB0DD7" w:rsidRPr="000A0A5F" w:rsidRDefault="00CB0DD7">
      <w:pPr>
        <w:pStyle w:val="PL"/>
      </w:pPr>
      <w:r w:rsidRPr="000A0A5F">
        <w:t xml:space="preserve">          $ref: 'TS29122_CommonData.yaml#/components/responses/307'</w:t>
      </w:r>
    </w:p>
    <w:p w:rsidR="00CB0DD7" w:rsidRPr="000A0A5F" w:rsidRDefault="00CB0DD7">
      <w:pPr>
        <w:pStyle w:val="PL"/>
      </w:pPr>
      <w:r w:rsidRPr="000A0A5F">
        <w:t xml:space="preserve">        '308':</w:t>
      </w:r>
    </w:p>
    <w:p w:rsidR="00CB0DD7" w:rsidRPr="000A0A5F" w:rsidRDefault="00CB0DD7">
      <w:pPr>
        <w:pStyle w:val="PL"/>
      </w:pPr>
      <w:r w:rsidRPr="000A0A5F">
        <w:t xml:space="preserve">          $ref: 'TS29122_CommonData.yaml#/components/responses/308'</w:t>
      </w:r>
    </w:p>
    <w:p w:rsidR="00CB0DD7" w:rsidRPr="000A0A5F" w:rsidRDefault="00CB0DD7">
      <w:pPr>
        <w:pStyle w:val="PL"/>
      </w:pPr>
      <w:r w:rsidRPr="000A0A5F">
        <w:t xml:space="preserve">        '400':</w:t>
      </w:r>
    </w:p>
    <w:p w:rsidR="00CB0DD7" w:rsidRPr="000A0A5F" w:rsidRDefault="00CB0DD7">
      <w:pPr>
        <w:pStyle w:val="PL"/>
      </w:pPr>
      <w:r w:rsidRPr="000A0A5F">
        <w:t xml:space="preserve">          $ref: 'TS29122_CommonData.yaml#/components/responses/400'</w:t>
      </w:r>
    </w:p>
    <w:p w:rsidR="00CB0DD7" w:rsidRPr="000A0A5F" w:rsidRDefault="00CB0DD7">
      <w:pPr>
        <w:pStyle w:val="PL"/>
      </w:pPr>
      <w:r w:rsidRPr="000A0A5F">
        <w:t xml:space="preserve">        '401':</w:t>
      </w:r>
    </w:p>
    <w:p w:rsidR="00CB0DD7" w:rsidRPr="000A0A5F" w:rsidRDefault="00CB0DD7">
      <w:pPr>
        <w:pStyle w:val="PL"/>
      </w:pPr>
      <w:r w:rsidRPr="000A0A5F">
        <w:t xml:space="preserve">          $ref: 'TS29122_CommonData.yaml#/components/responses/401'</w:t>
      </w:r>
    </w:p>
    <w:p w:rsidR="00CB0DD7" w:rsidRPr="000A0A5F" w:rsidRDefault="00CB0DD7">
      <w:pPr>
        <w:pStyle w:val="PL"/>
      </w:pPr>
      <w:r w:rsidRPr="000A0A5F">
        <w:t xml:space="preserve">        '403':</w:t>
      </w:r>
    </w:p>
    <w:p w:rsidR="00CB0DD7" w:rsidRPr="000A0A5F" w:rsidRDefault="00CB0DD7">
      <w:pPr>
        <w:pStyle w:val="PL"/>
      </w:pPr>
      <w:r w:rsidRPr="000A0A5F">
        <w:t xml:space="preserve">          $ref: 'TS29122_CommonData.yaml#/components/responses/403'</w:t>
      </w:r>
    </w:p>
    <w:p w:rsidR="00CB0DD7" w:rsidRPr="000A0A5F" w:rsidRDefault="00CB0DD7">
      <w:pPr>
        <w:pStyle w:val="PL"/>
      </w:pPr>
      <w:r w:rsidRPr="000A0A5F">
        <w:t xml:space="preserve">        '404':</w:t>
      </w:r>
    </w:p>
    <w:p w:rsidR="00CB0DD7" w:rsidRPr="000A0A5F" w:rsidRDefault="00CB0DD7">
      <w:pPr>
        <w:pStyle w:val="PL"/>
      </w:pPr>
      <w:r w:rsidRPr="000A0A5F">
        <w:t xml:space="preserve">          $ref: 'TS29122_CommonData.yaml#/components/responses/404'</w:t>
      </w:r>
    </w:p>
    <w:p w:rsidR="00CB0DD7" w:rsidRPr="000A0A5F" w:rsidRDefault="00CB0DD7">
      <w:pPr>
        <w:pStyle w:val="PL"/>
      </w:pPr>
      <w:r w:rsidRPr="000A0A5F">
        <w:t xml:space="preserve">        '411':</w:t>
      </w:r>
    </w:p>
    <w:p w:rsidR="00CB0DD7" w:rsidRPr="000A0A5F" w:rsidRDefault="00CB0DD7">
      <w:pPr>
        <w:pStyle w:val="PL"/>
      </w:pPr>
      <w:r w:rsidRPr="000A0A5F">
        <w:t xml:space="preserve">          $ref: 'TS29122_CommonData.yaml#/components/responses/411'</w:t>
      </w:r>
    </w:p>
    <w:p w:rsidR="00CB0DD7" w:rsidRPr="000A0A5F" w:rsidRDefault="00CB0DD7">
      <w:pPr>
        <w:pStyle w:val="PL"/>
      </w:pPr>
      <w:r w:rsidRPr="000A0A5F">
        <w:t xml:space="preserve">        '413':</w:t>
      </w:r>
    </w:p>
    <w:p w:rsidR="00CB0DD7" w:rsidRPr="000A0A5F" w:rsidRDefault="00CB0DD7">
      <w:pPr>
        <w:pStyle w:val="PL"/>
      </w:pPr>
      <w:r w:rsidRPr="000A0A5F">
        <w:t xml:space="preserve">          $ref: 'TS29122_CommonData.yaml#/components/responses/413'</w:t>
      </w:r>
    </w:p>
    <w:p w:rsidR="00CB0DD7" w:rsidRPr="000A0A5F" w:rsidRDefault="00CB0DD7">
      <w:pPr>
        <w:pStyle w:val="PL"/>
      </w:pPr>
      <w:r w:rsidRPr="000A0A5F">
        <w:t xml:space="preserve">        '415':</w:t>
      </w:r>
    </w:p>
    <w:p w:rsidR="00CB0DD7" w:rsidRPr="000A0A5F" w:rsidRDefault="00CB0DD7">
      <w:pPr>
        <w:pStyle w:val="PL"/>
      </w:pPr>
      <w:r w:rsidRPr="000A0A5F">
        <w:t xml:space="preserve">          $ref: 'TS29122_CommonData.yaml#/components/responses/415'</w:t>
      </w:r>
    </w:p>
    <w:p w:rsidR="00CB0DD7" w:rsidRPr="000A0A5F" w:rsidRDefault="00CB0DD7">
      <w:pPr>
        <w:pStyle w:val="PL"/>
      </w:pPr>
      <w:r w:rsidRPr="000A0A5F">
        <w:t xml:space="preserve">        '429':</w:t>
      </w:r>
    </w:p>
    <w:p w:rsidR="00CB0DD7" w:rsidRPr="000A0A5F" w:rsidRDefault="00CB0DD7">
      <w:pPr>
        <w:pStyle w:val="PL"/>
      </w:pPr>
      <w:r w:rsidRPr="000A0A5F">
        <w:t xml:space="preserve">          $ref: 'TS29122_CommonData.yaml#/components/responses/429'</w:t>
      </w:r>
    </w:p>
    <w:p w:rsidR="00CB0DD7" w:rsidRPr="000A0A5F" w:rsidRDefault="00CB0DD7">
      <w:pPr>
        <w:pStyle w:val="PL"/>
      </w:pPr>
      <w:r w:rsidRPr="000A0A5F">
        <w:t xml:space="preserve">        '500':</w:t>
      </w:r>
    </w:p>
    <w:p w:rsidR="00CB0DD7" w:rsidRPr="000A0A5F" w:rsidRDefault="00CB0DD7">
      <w:pPr>
        <w:pStyle w:val="PL"/>
      </w:pPr>
      <w:r w:rsidRPr="000A0A5F">
        <w:t xml:space="preserve">          $ref: 'TS29122_CommonData.yaml#/components/responses/500'</w:t>
      </w:r>
    </w:p>
    <w:p w:rsidR="00CB0DD7" w:rsidRPr="000A0A5F" w:rsidRDefault="00CB0DD7">
      <w:pPr>
        <w:pStyle w:val="PL"/>
      </w:pPr>
      <w:r w:rsidRPr="000A0A5F">
        <w:t xml:space="preserve">        '503':</w:t>
      </w:r>
    </w:p>
    <w:p w:rsidR="00CB0DD7" w:rsidRPr="000A0A5F" w:rsidRDefault="00CB0DD7">
      <w:pPr>
        <w:pStyle w:val="PL"/>
      </w:pPr>
      <w:r w:rsidRPr="000A0A5F">
        <w:t xml:space="preserve">          $ref: 'TS29122_CommonData.yaml#/components/responses/503'</w:t>
      </w:r>
    </w:p>
    <w:p w:rsidR="00CB0DD7" w:rsidRPr="000A0A5F" w:rsidRDefault="00CB0DD7">
      <w:pPr>
        <w:pStyle w:val="PL"/>
      </w:pPr>
      <w:r w:rsidRPr="000A0A5F">
        <w:t xml:space="preserve">        default:</w:t>
      </w:r>
    </w:p>
    <w:p w:rsidR="00CB0DD7" w:rsidRPr="000A0A5F" w:rsidRDefault="00CB0DD7">
      <w:pPr>
        <w:pStyle w:val="PL"/>
      </w:pPr>
      <w:r w:rsidRPr="000A0A5F">
        <w:t xml:space="preserve">          $ref: 'TS29122_CommonData.yaml#/components/responses/default'</w:t>
      </w:r>
    </w:p>
    <w:p w:rsidR="00CB0DD7" w:rsidRPr="000A0A5F" w:rsidRDefault="00CB0DD7">
      <w:pPr>
        <w:pStyle w:val="PL"/>
        <w:rPr>
          <w:lang w:val="en-US"/>
        </w:rPr>
      </w:pPr>
      <w:r w:rsidRPr="000A0A5F">
        <w:rPr>
          <w:lang w:val="en-US"/>
        </w:rPr>
        <w:t xml:space="preserve">    patch:</w:t>
      </w:r>
    </w:p>
    <w:p w:rsidR="00C21D6F" w:rsidRPr="000A0A5F" w:rsidRDefault="00C21D6F" w:rsidP="00C21D6F">
      <w:pPr>
        <w:pStyle w:val="PL"/>
      </w:pPr>
      <w:r w:rsidRPr="000A0A5F">
        <w:t xml:space="preserve">      summary: Modify a background data transfer subscription resource to select one of the transfer policies offered by the SCEF.</w:t>
      </w:r>
    </w:p>
    <w:p w:rsidR="00C21D6F" w:rsidRPr="000A0A5F" w:rsidRDefault="00C21D6F" w:rsidP="00C21D6F">
      <w:pPr>
        <w:pStyle w:val="PL"/>
      </w:pPr>
      <w:r w:rsidRPr="000A0A5F">
        <w:t xml:space="preserve">      </w:t>
      </w:r>
      <w:r w:rsidRPr="000A0A5F">
        <w:rPr>
          <w:rFonts w:cs="Courier New"/>
          <w:szCs w:val="16"/>
        </w:rPr>
        <w:t>operationId: Modify</w:t>
      </w:r>
      <w:r w:rsidRPr="000A0A5F">
        <w:t>BDTSubscription</w:t>
      </w:r>
    </w:p>
    <w:p w:rsidR="00C21D6F" w:rsidRPr="000A0A5F" w:rsidRDefault="00C21D6F" w:rsidP="00C21D6F">
      <w:pPr>
        <w:pStyle w:val="PL"/>
      </w:pPr>
      <w:r w:rsidRPr="000A0A5F">
        <w:t xml:space="preserve">      tags:</w:t>
      </w:r>
    </w:p>
    <w:p w:rsidR="00C21D6F" w:rsidRPr="000A0A5F" w:rsidRDefault="00C21D6F" w:rsidP="00C21D6F">
      <w:pPr>
        <w:pStyle w:val="PL"/>
      </w:pPr>
      <w:r w:rsidRPr="000A0A5F">
        <w:t xml:space="preserve">        - Individual BDT Subscription</w:t>
      </w:r>
    </w:p>
    <w:p w:rsidR="00CB0DD7" w:rsidRPr="000A0A5F" w:rsidRDefault="00CB0DD7">
      <w:pPr>
        <w:pStyle w:val="PL"/>
        <w:rPr>
          <w:lang w:val="en-US"/>
        </w:rPr>
      </w:pPr>
      <w:r w:rsidRPr="000A0A5F">
        <w:rPr>
          <w:lang w:val="en-US"/>
        </w:rPr>
        <w:t xml:space="preserve">      requestBody:</w:t>
      </w:r>
    </w:p>
    <w:p w:rsidR="00CB0DD7" w:rsidRPr="000A0A5F" w:rsidRDefault="00CB0DD7">
      <w:pPr>
        <w:pStyle w:val="PL"/>
        <w:rPr>
          <w:lang w:val="en-US"/>
        </w:rPr>
      </w:pPr>
      <w:r w:rsidRPr="000A0A5F">
        <w:rPr>
          <w:lang w:val="en-US"/>
        </w:rPr>
        <w:t xml:space="preserve">        description: Contains information to be performed on the Bdt data structure to select a transfer policy.</w:t>
      </w:r>
    </w:p>
    <w:p w:rsidR="00CB0DD7" w:rsidRPr="000A0A5F" w:rsidRDefault="00CB0DD7">
      <w:pPr>
        <w:pStyle w:val="PL"/>
        <w:rPr>
          <w:lang w:val="en-US"/>
        </w:rPr>
      </w:pPr>
      <w:r w:rsidRPr="000A0A5F">
        <w:rPr>
          <w:lang w:val="en-US"/>
        </w:rPr>
        <w:t xml:space="preserve">        required: true</w:t>
      </w:r>
    </w:p>
    <w:p w:rsidR="00CB0DD7" w:rsidRPr="000A0A5F" w:rsidRDefault="00CB0DD7">
      <w:pPr>
        <w:pStyle w:val="PL"/>
        <w:rPr>
          <w:lang w:val="en-US"/>
        </w:rPr>
      </w:pPr>
      <w:r w:rsidRPr="000A0A5F">
        <w:rPr>
          <w:lang w:val="en-US"/>
        </w:rPr>
        <w:t xml:space="preserve">        content:</w:t>
      </w:r>
    </w:p>
    <w:p w:rsidR="00CB0DD7" w:rsidRPr="000A0A5F" w:rsidRDefault="00CB0DD7">
      <w:pPr>
        <w:pStyle w:val="PL"/>
        <w:rPr>
          <w:lang w:val="en-US"/>
        </w:rPr>
      </w:pPr>
      <w:r w:rsidRPr="000A0A5F">
        <w:rPr>
          <w:lang w:val="en-US"/>
        </w:rPr>
        <w:t xml:space="preserve">          application/merge-patch+json:</w:t>
      </w:r>
    </w:p>
    <w:p w:rsidR="00CB0DD7" w:rsidRPr="000A0A5F" w:rsidRDefault="00CB0DD7">
      <w:pPr>
        <w:pStyle w:val="PL"/>
        <w:rPr>
          <w:lang w:val="en-US"/>
        </w:rPr>
      </w:pPr>
      <w:r w:rsidRPr="000A0A5F">
        <w:rPr>
          <w:lang w:val="en-US"/>
        </w:rPr>
        <w:t xml:space="preserve">            schema:</w:t>
      </w:r>
    </w:p>
    <w:p w:rsidR="00CB0DD7" w:rsidRPr="000A0A5F" w:rsidRDefault="00CB0DD7">
      <w:pPr>
        <w:pStyle w:val="PL"/>
        <w:rPr>
          <w:lang w:val="en-US"/>
        </w:rPr>
      </w:pPr>
      <w:r w:rsidRPr="000A0A5F">
        <w:rPr>
          <w:lang w:val="en-US"/>
        </w:rPr>
        <w:t xml:space="preserve">              $ref: '#/components/schemas/BdtPatch'</w:t>
      </w:r>
    </w:p>
    <w:p w:rsidR="00CB0DD7" w:rsidRPr="000A0A5F" w:rsidRDefault="00CB0DD7">
      <w:pPr>
        <w:pStyle w:val="PL"/>
        <w:rPr>
          <w:lang w:val="en-US"/>
        </w:rPr>
      </w:pPr>
      <w:r w:rsidRPr="000A0A5F">
        <w:rPr>
          <w:lang w:val="en-US"/>
        </w:rPr>
        <w:t xml:space="preserve">      responses:</w:t>
      </w:r>
    </w:p>
    <w:p w:rsidR="00CB0DD7" w:rsidRPr="000A0A5F" w:rsidRDefault="00CB0DD7">
      <w:pPr>
        <w:pStyle w:val="PL"/>
        <w:rPr>
          <w:lang w:val="en-US"/>
        </w:rPr>
      </w:pPr>
      <w:r w:rsidRPr="000A0A5F">
        <w:rPr>
          <w:lang w:val="en-US"/>
        </w:rPr>
        <w:t xml:space="preserve">        '200':</w:t>
      </w:r>
    </w:p>
    <w:p w:rsidR="00CB0DD7" w:rsidRPr="000A0A5F" w:rsidRDefault="00CB0DD7">
      <w:pPr>
        <w:pStyle w:val="PL"/>
        <w:rPr>
          <w:lang w:val="en-US"/>
        </w:rPr>
      </w:pPr>
      <w:r w:rsidRPr="000A0A5F">
        <w:rPr>
          <w:lang w:val="en-US"/>
        </w:rPr>
        <w:t xml:space="preserve">          description: The Individual BDT Policy resource is modified with a selected policy and a representation of that resource is returned.</w:t>
      </w:r>
    </w:p>
    <w:p w:rsidR="00CB0DD7" w:rsidRPr="000A0A5F" w:rsidRDefault="00CB0DD7">
      <w:pPr>
        <w:pStyle w:val="PL"/>
        <w:rPr>
          <w:lang w:val="en-US"/>
        </w:rPr>
      </w:pPr>
      <w:r w:rsidRPr="000A0A5F">
        <w:rPr>
          <w:lang w:val="en-US"/>
        </w:rPr>
        <w:t xml:space="preserve">          content:</w:t>
      </w:r>
    </w:p>
    <w:p w:rsidR="00CB0DD7" w:rsidRPr="000A0A5F" w:rsidRDefault="00CB0DD7">
      <w:pPr>
        <w:pStyle w:val="PL"/>
        <w:rPr>
          <w:lang w:val="en-US"/>
        </w:rPr>
      </w:pPr>
      <w:r w:rsidRPr="000A0A5F">
        <w:rPr>
          <w:lang w:val="en-US"/>
        </w:rPr>
        <w:t xml:space="preserve">            application/json:</w:t>
      </w:r>
    </w:p>
    <w:p w:rsidR="00CB0DD7" w:rsidRPr="000A0A5F" w:rsidRDefault="00CB0DD7">
      <w:pPr>
        <w:pStyle w:val="PL"/>
        <w:rPr>
          <w:lang w:val="en-US"/>
        </w:rPr>
      </w:pPr>
      <w:r w:rsidRPr="000A0A5F">
        <w:rPr>
          <w:lang w:val="en-US"/>
        </w:rPr>
        <w:t xml:space="preserve">              schema:</w:t>
      </w:r>
    </w:p>
    <w:p w:rsidR="00CB0DD7" w:rsidRPr="000A0A5F" w:rsidRDefault="00CB0DD7">
      <w:pPr>
        <w:pStyle w:val="PL"/>
        <w:rPr>
          <w:lang w:val="en-US"/>
        </w:rPr>
      </w:pPr>
      <w:r w:rsidRPr="000A0A5F">
        <w:rPr>
          <w:lang w:val="en-US"/>
        </w:rPr>
        <w:t xml:space="preserve">                $ref: '#/components/schemas/Bdt'</w:t>
      </w:r>
    </w:p>
    <w:p w:rsidR="00CB0DD7" w:rsidRPr="000A0A5F" w:rsidRDefault="00CB0DD7">
      <w:pPr>
        <w:pStyle w:val="PL"/>
        <w:rPr>
          <w:lang w:val="en-US"/>
        </w:rPr>
      </w:pPr>
      <w:r w:rsidRPr="000A0A5F">
        <w:rPr>
          <w:lang w:val="en-US"/>
        </w:rPr>
        <w:t xml:space="preserve">        '204':</w:t>
      </w:r>
    </w:p>
    <w:p w:rsidR="00CB0DD7" w:rsidRPr="000A0A5F" w:rsidRDefault="00CB0DD7">
      <w:pPr>
        <w:pStyle w:val="PL"/>
        <w:rPr>
          <w:lang w:val="en-US"/>
        </w:rPr>
      </w:pPr>
      <w:r w:rsidRPr="000A0A5F">
        <w:rPr>
          <w:lang w:val="en-US"/>
        </w:rPr>
        <w:t xml:space="preserve">          description: The Individual BDT Policy resource is modified with a selected policy.</w:t>
      </w:r>
    </w:p>
    <w:p w:rsidR="00CB0DD7" w:rsidRPr="000A0A5F" w:rsidRDefault="00CB0DD7">
      <w:pPr>
        <w:pStyle w:val="PL"/>
      </w:pPr>
      <w:r w:rsidRPr="000A0A5F">
        <w:t xml:space="preserve">        '307':</w:t>
      </w:r>
    </w:p>
    <w:p w:rsidR="00CB0DD7" w:rsidRPr="000A0A5F" w:rsidRDefault="00CB0DD7">
      <w:pPr>
        <w:pStyle w:val="PL"/>
      </w:pPr>
      <w:r w:rsidRPr="000A0A5F">
        <w:t xml:space="preserve">          $ref: 'TS29122_CommonData.yaml#/components/responses/307'</w:t>
      </w:r>
    </w:p>
    <w:p w:rsidR="00CB0DD7" w:rsidRPr="000A0A5F" w:rsidRDefault="00CB0DD7">
      <w:pPr>
        <w:pStyle w:val="PL"/>
      </w:pPr>
      <w:r w:rsidRPr="000A0A5F">
        <w:t xml:space="preserve">        '308':</w:t>
      </w:r>
    </w:p>
    <w:p w:rsidR="00CB0DD7" w:rsidRPr="000A0A5F" w:rsidRDefault="00CB0DD7">
      <w:pPr>
        <w:pStyle w:val="PL"/>
      </w:pPr>
      <w:r w:rsidRPr="000A0A5F">
        <w:t xml:space="preserve">          $ref: 'TS29122_CommonData.yaml#/components/responses/308'</w:t>
      </w:r>
    </w:p>
    <w:p w:rsidR="00CB0DD7" w:rsidRPr="000A0A5F" w:rsidRDefault="00CB0DD7">
      <w:pPr>
        <w:pStyle w:val="PL"/>
        <w:rPr>
          <w:lang w:val="en-US"/>
        </w:rPr>
      </w:pPr>
      <w:r w:rsidRPr="000A0A5F">
        <w:rPr>
          <w:lang w:val="en-US"/>
        </w:rPr>
        <w:t xml:space="preserve">        '400':</w:t>
      </w:r>
    </w:p>
    <w:p w:rsidR="00CB0DD7" w:rsidRPr="000A0A5F" w:rsidRDefault="00CB0DD7">
      <w:pPr>
        <w:pStyle w:val="PL"/>
        <w:rPr>
          <w:lang w:val="en-US"/>
        </w:rPr>
      </w:pPr>
      <w:r w:rsidRPr="000A0A5F">
        <w:rPr>
          <w:lang w:val="en-US"/>
        </w:rPr>
        <w:t xml:space="preserve">          $ref: 'TS29122_CommonData.yaml#/components/responses/400'</w:t>
      </w:r>
    </w:p>
    <w:p w:rsidR="00CB0DD7" w:rsidRPr="000A0A5F" w:rsidRDefault="00CB0DD7">
      <w:pPr>
        <w:pStyle w:val="PL"/>
        <w:rPr>
          <w:lang w:val="en-US"/>
        </w:rPr>
      </w:pPr>
      <w:r w:rsidRPr="000A0A5F">
        <w:rPr>
          <w:lang w:val="en-US"/>
        </w:rPr>
        <w:t xml:space="preserve">        '401':</w:t>
      </w:r>
    </w:p>
    <w:p w:rsidR="00CB0DD7" w:rsidRPr="000A0A5F" w:rsidRDefault="00CB0DD7">
      <w:pPr>
        <w:pStyle w:val="PL"/>
        <w:rPr>
          <w:lang w:val="en-US"/>
        </w:rPr>
      </w:pPr>
      <w:r w:rsidRPr="000A0A5F">
        <w:rPr>
          <w:lang w:val="en-US"/>
        </w:rPr>
        <w:t xml:space="preserve">          $ref: 'TS29122_CommonData.yaml#/components/responses/401'</w:t>
      </w:r>
    </w:p>
    <w:p w:rsidR="00CB0DD7" w:rsidRPr="000A0A5F" w:rsidRDefault="00CB0DD7">
      <w:pPr>
        <w:pStyle w:val="PL"/>
        <w:rPr>
          <w:lang w:val="en-US"/>
        </w:rPr>
      </w:pPr>
      <w:r w:rsidRPr="000A0A5F">
        <w:rPr>
          <w:lang w:val="en-US"/>
        </w:rPr>
        <w:t xml:space="preserve">        '403':</w:t>
      </w:r>
    </w:p>
    <w:p w:rsidR="00CB0DD7" w:rsidRPr="000A0A5F" w:rsidRDefault="00CB0DD7">
      <w:pPr>
        <w:pStyle w:val="PL"/>
        <w:rPr>
          <w:lang w:val="en-US"/>
        </w:rPr>
      </w:pPr>
      <w:r w:rsidRPr="000A0A5F">
        <w:rPr>
          <w:lang w:val="en-US"/>
        </w:rPr>
        <w:t xml:space="preserve">          $ref: 'TS29122_CommonData.yaml#/components/responses/403'</w:t>
      </w:r>
    </w:p>
    <w:p w:rsidR="00CB0DD7" w:rsidRPr="000A0A5F" w:rsidRDefault="00CB0DD7">
      <w:pPr>
        <w:pStyle w:val="PL"/>
        <w:rPr>
          <w:lang w:val="en-US"/>
        </w:rPr>
      </w:pPr>
      <w:r w:rsidRPr="000A0A5F">
        <w:rPr>
          <w:lang w:val="en-US"/>
        </w:rPr>
        <w:t xml:space="preserve">        '404':</w:t>
      </w:r>
    </w:p>
    <w:p w:rsidR="00CB0DD7" w:rsidRPr="000A0A5F" w:rsidRDefault="00CB0DD7">
      <w:pPr>
        <w:pStyle w:val="PL"/>
        <w:rPr>
          <w:lang w:val="en-US"/>
        </w:rPr>
      </w:pPr>
      <w:r w:rsidRPr="000A0A5F">
        <w:rPr>
          <w:lang w:val="en-US"/>
        </w:rPr>
        <w:t xml:space="preserve">          $ref: 'TS29122_CommonData.yaml#/components/responses/404'</w:t>
      </w:r>
    </w:p>
    <w:p w:rsidR="00CB0DD7" w:rsidRPr="000A0A5F" w:rsidRDefault="00CB0DD7">
      <w:pPr>
        <w:pStyle w:val="PL"/>
      </w:pPr>
      <w:r w:rsidRPr="000A0A5F">
        <w:t xml:space="preserve">        '411':</w:t>
      </w:r>
    </w:p>
    <w:p w:rsidR="00CB0DD7" w:rsidRPr="000A0A5F" w:rsidRDefault="00CB0DD7">
      <w:pPr>
        <w:pStyle w:val="PL"/>
      </w:pPr>
      <w:r w:rsidRPr="000A0A5F">
        <w:t xml:space="preserve">          $ref: 'TS29122_CommonData.yaml#/components/responses/411'</w:t>
      </w:r>
    </w:p>
    <w:p w:rsidR="00CB0DD7" w:rsidRPr="000A0A5F" w:rsidRDefault="00CB0DD7">
      <w:pPr>
        <w:pStyle w:val="PL"/>
      </w:pPr>
      <w:r w:rsidRPr="000A0A5F">
        <w:t xml:space="preserve">        '413':</w:t>
      </w:r>
    </w:p>
    <w:p w:rsidR="00CB0DD7" w:rsidRPr="000A0A5F" w:rsidRDefault="00CB0DD7">
      <w:pPr>
        <w:pStyle w:val="PL"/>
      </w:pPr>
      <w:r w:rsidRPr="000A0A5F">
        <w:t xml:space="preserve">          $ref: 'TS29122_CommonData.yaml#/components/responses/413'</w:t>
      </w:r>
    </w:p>
    <w:p w:rsidR="00CB0DD7" w:rsidRPr="000A0A5F" w:rsidRDefault="00CB0DD7">
      <w:pPr>
        <w:pStyle w:val="PL"/>
      </w:pPr>
      <w:r w:rsidRPr="000A0A5F">
        <w:t xml:space="preserve">        '415':</w:t>
      </w:r>
    </w:p>
    <w:p w:rsidR="00CB0DD7" w:rsidRPr="000A0A5F" w:rsidRDefault="00CB0DD7">
      <w:pPr>
        <w:pStyle w:val="PL"/>
      </w:pPr>
      <w:r w:rsidRPr="000A0A5F">
        <w:t xml:space="preserve">          $ref: 'TS29122_CommonData.yaml#/components/responses/415'</w:t>
      </w:r>
    </w:p>
    <w:p w:rsidR="00CB0DD7" w:rsidRPr="000A0A5F" w:rsidRDefault="00CB0DD7">
      <w:pPr>
        <w:pStyle w:val="PL"/>
      </w:pPr>
      <w:r w:rsidRPr="000A0A5F">
        <w:t xml:space="preserve">        '429':</w:t>
      </w:r>
    </w:p>
    <w:p w:rsidR="00CB0DD7" w:rsidRPr="000A0A5F" w:rsidRDefault="00CB0DD7">
      <w:pPr>
        <w:pStyle w:val="PL"/>
      </w:pPr>
      <w:r w:rsidRPr="000A0A5F">
        <w:t xml:space="preserve">          $ref: 'TS29122_CommonData.yaml#/components/responses/429'</w:t>
      </w:r>
    </w:p>
    <w:p w:rsidR="00CB0DD7" w:rsidRPr="000A0A5F" w:rsidRDefault="00CB0DD7">
      <w:pPr>
        <w:pStyle w:val="PL"/>
        <w:rPr>
          <w:lang w:val="en-US"/>
        </w:rPr>
      </w:pPr>
      <w:r w:rsidRPr="000A0A5F">
        <w:rPr>
          <w:lang w:val="en-US"/>
        </w:rPr>
        <w:t xml:space="preserve">        '500':</w:t>
      </w:r>
    </w:p>
    <w:p w:rsidR="00CB0DD7" w:rsidRPr="000A0A5F" w:rsidRDefault="00CB0DD7">
      <w:pPr>
        <w:pStyle w:val="PL"/>
        <w:rPr>
          <w:lang w:val="en-US"/>
        </w:rPr>
      </w:pPr>
      <w:r w:rsidRPr="000A0A5F">
        <w:rPr>
          <w:lang w:val="en-US"/>
        </w:rPr>
        <w:t xml:space="preserve">          $ref: 'TS29122_CommonData.yaml#/components/responses/500'</w:t>
      </w:r>
    </w:p>
    <w:p w:rsidR="00CB0DD7" w:rsidRPr="000A0A5F" w:rsidRDefault="00CB0DD7">
      <w:pPr>
        <w:pStyle w:val="PL"/>
        <w:rPr>
          <w:lang w:val="en-US"/>
        </w:rPr>
      </w:pPr>
      <w:r w:rsidRPr="000A0A5F">
        <w:rPr>
          <w:lang w:val="en-US"/>
        </w:rPr>
        <w:t xml:space="preserve">        '503':</w:t>
      </w:r>
    </w:p>
    <w:p w:rsidR="00CB0DD7" w:rsidRPr="000A0A5F" w:rsidRDefault="00CB0DD7">
      <w:pPr>
        <w:pStyle w:val="PL"/>
        <w:rPr>
          <w:lang w:val="en-US"/>
        </w:rPr>
      </w:pPr>
      <w:r w:rsidRPr="000A0A5F">
        <w:rPr>
          <w:lang w:val="en-US"/>
        </w:rPr>
        <w:t xml:space="preserve">          $ref: 'TS29122_CommonData.yaml#/components/responses/503'</w:t>
      </w:r>
    </w:p>
    <w:p w:rsidR="00CB0DD7" w:rsidRPr="000A0A5F" w:rsidRDefault="00CB0DD7">
      <w:pPr>
        <w:pStyle w:val="PL"/>
        <w:rPr>
          <w:lang w:val="en-US"/>
        </w:rPr>
      </w:pPr>
      <w:r w:rsidRPr="000A0A5F">
        <w:rPr>
          <w:lang w:val="en-US"/>
        </w:rPr>
        <w:t xml:space="preserve">        default:</w:t>
      </w:r>
    </w:p>
    <w:p w:rsidR="00CB0DD7" w:rsidRPr="000A0A5F" w:rsidRDefault="00CB0DD7">
      <w:pPr>
        <w:pStyle w:val="PL"/>
        <w:rPr>
          <w:lang w:val="en-US"/>
        </w:rPr>
      </w:pPr>
      <w:r w:rsidRPr="000A0A5F">
        <w:rPr>
          <w:lang w:val="en-US"/>
        </w:rPr>
        <w:t xml:space="preserve">          $ref: 'TS29122_CommonData.yaml#/components/responses/default'</w:t>
      </w:r>
    </w:p>
    <w:p w:rsidR="00CB0DD7" w:rsidRPr="000A0A5F" w:rsidRDefault="00CB0DD7">
      <w:pPr>
        <w:pStyle w:val="PL"/>
        <w:rPr>
          <w:lang w:val="en-US"/>
        </w:rPr>
      </w:pPr>
      <w:r w:rsidRPr="000A0A5F">
        <w:rPr>
          <w:lang w:val="en-US"/>
        </w:rPr>
        <w:t xml:space="preserve">    delete:</w:t>
      </w:r>
    </w:p>
    <w:p w:rsidR="00C21D6F" w:rsidRPr="000A0A5F" w:rsidRDefault="00C21D6F" w:rsidP="00C21D6F">
      <w:pPr>
        <w:pStyle w:val="PL"/>
      </w:pPr>
      <w:r w:rsidRPr="000A0A5F">
        <w:t xml:space="preserve">      summary: Delete a background data transfer </w:t>
      </w:r>
      <w:r w:rsidRPr="000A0A5F">
        <w:rPr>
          <w:lang w:eastAsia="zh-CN"/>
        </w:rPr>
        <w:t>resource.</w:t>
      </w:r>
    </w:p>
    <w:p w:rsidR="00C21D6F" w:rsidRPr="000A0A5F" w:rsidRDefault="00C21D6F" w:rsidP="00C21D6F">
      <w:pPr>
        <w:pStyle w:val="PL"/>
      </w:pPr>
      <w:r w:rsidRPr="000A0A5F">
        <w:t xml:space="preserve">      </w:t>
      </w:r>
      <w:r w:rsidRPr="000A0A5F">
        <w:rPr>
          <w:rFonts w:cs="Courier New"/>
          <w:szCs w:val="16"/>
        </w:rPr>
        <w:t>operationId: Delete</w:t>
      </w:r>
      <w:r w:rsidRPr="000A0A5F">
        <w:t>BDTSubscription</w:t>
      </w:r>
    </w:p>
    <w:p w:rsidR="00C21D6F" w:rsidRPr="000A0A5F" w:rsidRDefault="00C21D6F" w:rsidP="00C21D6F">
      <w:pPr>
        <w:pStyle w:val="PL"/>
      </w:pPr>
      <w:r w:rsidRPr="000A0A5F">
        <w:t xml:space="preserve">      tags:</w:t>
      </w:r>
    </w:p>
    <w:p w:rsidR="00C21D6F" w:rsidRPr="000A0A5F" w:rsidRDefault="00C21D6F" w:rsidP="00C21D6F">
      <w:pPr>
        <w:pStyle w:val="PL"/>
      </w:pPr>
      <w:r w:rsidRPr="000A0A5F">
        <w:t xml:space="preserve">        - Individual BDT Subscription</w:t>
      </w:r>
    </w:p>
    <w:p w:rsidR="00CB0DD7" w:rsidRPr="000A0A5F" w:rsidRDefault="00CB0DD7">
      <w:pPr>
        <w:pStyle w:val="PL"/>
        <w:rPr>
          <w:lang w:val="en-US"/>
        </w:rPr>
      </w:pPr>
      <w:r w:rsidRPr="000A0A5F">
        <w:rPr>
          <w:lang w:val="en-US"/>
        </w:rPr>
        <w:t xml:space="preserve">      responses:</w:t>
      </w:r>
    </w:p>
    <w:p w:rsidR="00CB0DD7" w:rsidRPr="000A0A5F" w:rsidRDefault="00CB0DD7">
      <w:pPr>
        <w:pStyle w:val="PL"/>
        <w:rPr>
          <w:lang w:val="en-US"/>
        </w:rPr>
      </w:pPr>
      <w:r w:rsidRPr="000A0A5F">
        <w:rPr>
          <w:lang w:val="en-US"/>
        </w:rPr>
        <w:t xml:space="preserve">        '204':</w:t>
      </w:r>
    </w:p>
    <w:p w:rsidR="00CB0DD7" w:rsidRPr="000A0A5F" w:rsidRDefault="00CB0DD7">
      <w:pPr>
        <w:pStyle w:val="PL"/>
        <w:rPr>
          <w:lang w:val="en-US"/>
        </w:rPr>
      </w:pPr>
      <w:r w:rsidRPr="000A0A5F">
        <w:rPr>
          <w:lang w:val="en-US"/>
        </w:rPr>
        <w:t xml:space="preserve">          description: The Individual BDT Policy resource is deleted.</w:t>
      </w:r>
    </w:p>
    <w:p w:rsidR="00CB0DD7" w:rsidRPr="000A0A5F" w:rsidRDefault="00CB0DD7">
      <w:pPr>
        <w:pStyle w:val="PL"/>
      </w:pPr>
      <w:r w:rsidRPr="000A0A5F">
        <w:t xml:space="preserve">        '307':</w:t>
      </w:r>
    </w:p>
    <w:p w:rsidR="00CB0DD7" w:rsidRPr="000A0A5F" w:rsidRDefault="00CB0DD7">
      <w:pPr>
        <w:pStyle w:val="PL"/>
      </w:pPr>
      <w:r w:rsidRPr="000A0A5F">
        <w:t xml:space="preserve">          $ref: 'TS29122_CommonData.yaml#/components/responses/307'</w:t>
      </w:r>
    </w:p>
    <w:p w:rsidR="00CB0DD7" w:rsidRPr="000A0A5F" w:rsidRDefault="00CB0DD7">
      <w:pPr>
        <w:pStyle w:val="PL"/>
      </w:pPr>
      <w:r w:rsidRPr="000A0A5F">
        <w:t xml:space="preserve">        '308':</w:t>
      </w:r>
    </w:p>
    <w:p w:rsidR="00CB0DD7" w:rsidRPr="000A0A5F" w:rsidRDefault="00CB0DD7">
      <w:pPr>
        <w:pStyle w:val="PL"/>
      </w:pPr>
      <w:r w:rsidRPr="000A0A5F">
        <w:t xml:space="preserve">          $ref: 'TS29122_CommonData.yaml#/components/responses/308'</w:t>
      </w:r>
    </w:p>
    <w:p w:rsidR="00CB0DD7" w:rsidRPr="000A0A5F" w:rsidRDefault="00CB0DD7">
      <w:pPr>
        <w:pStyle w:val="PL"/>
        <w:rPr>
          <w:lang w:val="en-US"/>
        </w:rPr>
      </w:pPr>
      <w:r w:rsidRPr="000A0A5F">
        <w:rPr>
          <w:lang w:val="en-US"/>
        </w:rPr>
        <w:t xml:space="preserve">        '400':</w:t>
      </w:r>
    </w:p>
    <w:p w:rsidR="00CB0DD7" w:rsidRPr="000A0A5F" w:rsidRDefault="00CB0DD7">
      <w:pPr>
        <w:pStyle w:val="PL"/>
        <w:rPr>
          <w:lang w:val="en-US"/>
        </w:rPr>
      </w:pPr>
      <w:r w:rsidRPr="000A0A5F">
        <w:rPr>
          <w:lang w:val="en-US"/>
        </w:rPr>
        <w:t xml:space="preserve">          $ref: 'TS29122_CommonData.yaml#/components/responses/400'</w:t>
      </w:r>
    </w:p>
    <w:p w:rsidR="00CB0DD7" w:rsidRPr="000A0A5F" w:rsidRDefault="00CB0DD7">
      <w:pPr>
        <w:pStyle w:val="PL"/>
        <w:rPr>
          <w:lang w:val="en-US"/>
        </w:rPr>
      </w:pPr>
      <w:r w:rsidRPr="000A0A5F">
        <w:rPr>
          <w:lang w:val="en-US"/>
        </w:rPr>
        <w:t xml:space="preserve">        '401':</w:t>
      </w:r>
    </w:p>
    <w:p w:rsidR="00CB0DD7" w:rsidRPr="000A0A5F" w:rsidRDefault="00CB0DD7">
      <w:pPr>
        <w:pStyle w:val="PL"/>
        <w:rPr>
          <w:lang w:val="en-US"/>
        </w:rPr>
      </w:pPr>
      <w:r w:rsidRPr="000A0A5F">
        <w:rPr>
          <w:lang w:val="en-US"/>
        </w:rPr>
        <w:t xml:space="preserve">          $ref: 'TS29122_CommonData.yaml#/components/responses/401'</w:t>
      </w:r>
    </w:p>
    <w:p w:rsidR="00CB0DD7" w:rsidRPr="000A0A5F" w:rsidRDefault="00CB0DD7">
      <w:pPr>
        <w:pStyle w:val="PL"/>
        <w:rPr>
          <w:lang w:val="en-US"/>
        </w:rPr>
      </w:pPr>
      <w:r w:rsidRPr="000A0A5F">
        <w:rPr>
          <w:lang w:val="en-US"/>
        </w:rPr>
        <w:t xml:space="preserve">        '403':</w:t>
      </w:r>
    </w:p>
    <w:p w:rsidR="00CB0DD7" w:rsidRPr="000A0A5F" w:rsidRDefault="00CB0DD7">
      <w:pPr>
        <w:pStyle w:val="PL"/>
        <w:rPr>
          <w:lang w:val="en-US"/>
        </w:rPr>
      </w:pPr>
      <w:r w:rsidRPr="000A0A5F">
        <w:rPr>
          <w:lang w:val="en-US"/>
        </w:rPr>
        <w:t xml:space="preserve">          $ref: 'TS29122_CommonData.yaml#/components/responses/403'</w:t>
      </w:r>
    </w:p>
    <w:p w:rsidR="00CB0DD7" w:rsidRPr="000A0A5F" w:rsidRDefault="00CB0DD7">
      <w:pPr>
        <w:pStyle w:val="PL"/>
        <w:rPr>
          <w:lang w:val="en-US"/>
        </w:rPr>
      </w:pPr>
      <w:r w:rsidRPr="000A0A5F">
        <w:rPr>
          <w:lang w:val="en-US"/>
        </w:rPr>
        <w:t xml:space="preserve">        '404':</w:t>
      </w:r>
    </w:p>
    <w:p w:rsidR="00CB0DD7" w:rsidRPr="000A0A5F" w:rsidRDefault="00CB0DD7">
      <w:pPr>
        <w:pStyle w:val="PL"/>
        <w:rPr>
          <w:lang w:val="en-US"/>
        </w:rPr>
      </w:pPr>
      <w:r w:rsidRPr="000A0A5F">
        <w:rPr>
          <w:lang w:val="en-US"/>
        </w:rPr>
        <w:t xml:space="preserve">          $ref: 'TS29122_CommonData.yaml#/components/responses/404'</w:t>
      </w:r>
    </w:p>
    <w:p w:rsidR="00CB0DD7" w:rsidRPr="000A0A5F" w:rsidRDefault="00CB0DD7">
      <w:pPr>
        <w:pStyle w:val="PL"/>
      </w:pPr>
      <w:r w:rsidRPr="000A0A5F">
        <w:t xml:space="preserve">        '429':</w:t>
      </w:r>
    </w:p>
    <w:p w:rsidR="00CB0DD7" w:rsidRPr="000A0A5F" w:rsidRDefault="00CB0DD7">
      <w:pPr>
        <w:pStyle w:val="PL"/>
      </w:pPr>
      <w:r w:rsidRPr="000A0A5F">
        <w:t xml:space="preserve">          $ref: 'TS29122_CommonData.yaml#/components/responses/429'</w:t>
      </w:r>
    </w:p>
    <w:p w:rsidR="00CB0DD7" w:rsidRPr="000A0A5F" w:rsidRDefault="00CB0DD7">
      <w:pPr>
        <w:pStyle w:val="PL"/>
        <w:rPr>
          <w:lang w:val="en-US"/>
        </w:rPr>
      </w:pPr>
      <w:r w:rsidRPr="000A0A5F">
        <w:rPr>
          <w:lang w:val="en-US"/>
        </w:rPr>
        <w:t xml:space="preserve">        '500':</w:t>
      </w:r>
    </w:p>
    <w:p w:rsidR="00CB0DD7" w:rsidRPr="000A0A5F" w:rsidRDefault="00CB0DD7">
      <w:pPr>
        <w:pStyle w:val="PL"/>
        <w:rPr>
          <w:lang w:val="en-US"/>
        </w:rPr>
      </w:pPr>
      <w:r w:rsidRPr="000A0A5F">
        <w:rPr>
          <w:lang w:val="en-US"/>
        </w:rPr>
        <w:t xml:space="preserve">          $ref: 'TS29122_CommonData.yaml#/components/responses/500'</w:t>
      </w:r>
    </w:p>
    <w:p w:rsidR="00CB0DD7" w:rsidRPr="000A0A5F" w:rsidRDefault="00CB0DD7">
      <w:pPr>
        <w:pStyle w:val="PL"/>
        <w:rPr>
          <w:lang w:val="en-US"/>
        </w:rPr>
      </w:pPr>
      <w:r w:rsidRPr="000A0A5F">
        <w:rPr>
          <w:lang w:val="en-US"/>
        </w:rPr>
        <w:t xml:space="preserve">        '503':</w:t>
      </w:r>
    </w:p>
    <w:p w:rsidR="00CB0DD7" w:rsidRPr="000A0A5F" w:rsidRDefault="00CB0DD7">
      <w:pPr>
        <w:pStyle w:val="PL"/>
        <w:rPr>
          <w:lang w:val="en-US"/>
        </w:rPr>
      </w:pPr>
      <w:r w:rsidRPr="000A0A5F">
        <w:rPr>
          <w:lang w:val="en-US"/>
        </w:rPr>
        <w:t xml:space="preserve">          $ref: 'TS29122_CommonData.yaml#/components/responses/503'</w:t>
      </w:r>
    </w:p>
    <w:p w:rsidR="00CB0DD7" w:rsidRPr="000A0A5F" w:rsidRDefault="00CB0DD7">
      <w:pPr>
        <w:pStyle w:val="PL"/>
        <w:rPr>
          <w:lang w:val="en-US"/>
        </w:rPr>
      </w:pPr>
      <w:r w:rsidRPr="000A0A5F">
        <w:rPr>
          <w:lang w:val="en-US"/>
        </w:rPr>
        <w:t xml:space="preserve">        default:</w:t>
      </w:r>
    </w:p>
    <w:p w:rsidR="00CB0DD7" w:rsidRPr="000A0A5F" w:rsidRDefault="00CB0DD7">
      <w:pPr>
        <w:pStyle w:val="PL"/>
        <w:rPr>
          <w:lang w:val="en-US"/>
        </w:rPr>
      </w:pPr>
      <w:r w:rsidRPr="000A0A5F">
        <w:rPr>
          <w:lang w:val="en-US"/>
        </w:rPr>
        <w:t xml:space="preserve">          $ref: 'TS29122_CommonData.yaml#/components/responses/default'</w:t>
      </w:r>
    </w:p>
    <w:p w:rsidR="00CB0DD7" w:rsidRPr="000A0A5F" w:rsidRDefault="00CB0DD7">
      <w:pPr>
        <w:pStyle w:val="PL"/>
      </w:pPr>
      <w:r w:rsidRPr="000A0A5F">
        <w:t>components:</w:t>
      </w:r>
    </w:p>
    <w:p w:rsidR="00CB0DD7" w:rsidRPr="000A0A5F" w:rsidRDefault="00CB0DD7">
      <w:pPr>
        <w:pStyle w:val="PL"/>
        <w:rPr>
          <w:lang w:val="en-US"/>
        </w:rPr>
      </w:pPr>
      <w:r w:rsidRPr="000A0A5F">
        <w:rPr>
          <w:lang w:val="en-US"/>
        </w:rPr>
        <w:t xml:space="preserve">  securitySchemes:</w:t>
      </w:r>
    </w:p>
    <w:p w:rsidR="00CB0DD7" w:rsidRPr="000A0A5F" w:rsidRDefault="00CB0DD7">
      <w:pPr>
        <w:pStyle w:val="PL"/>
        <w:rPr>
          <w:lang w:val="en-US"/>
        </w:rPr>
      </w:pPr>
      <w:r w:rsidRPr="000A0A5F">
        <w:rPr>
          <w:lang w:val="en-US"/>
        </w:rPr>
        <w:t xml:space="preserve">    oAuth2ClientCredentials:</w:t>
      </w:r>
    </w:p>
    <w:p w:rsidR="00CB0DD7" w:rsidRPr="000A0A5F" w:rsidRDefault="00CB0DD7">
      <w:pPr>
        <w:pStyle w:val="PL"/>
        <w:rPr>
          <w:lang w:val="en-US"/>
        </w:rPr>
      </w:pPr>
      <w:r w:rsidRPr="000A0A5F">
        <w:rPr>
          <w:lang w:val="en-US"/>
        </w:rPr>
        <w:t xml:space="preserve">      type: oauth2</w:t>
      </w:r>
    </w:p>
    <w:p w:rsidR="00CB0DD7" w:rsidRPr="000A0A5F" w:rsidRDefault="00CB0DD7">
      <w:pPr>
        <w:pStyle w:val="PL"/>
        <w:rPr>
          <w:lang w:val="en-US"/>
        </w:rPr>
      </w:pPr>
      <w:r w:rsidRPr="000A0A5F">
        <w:rPr>
          <w:lang w:val="en-US"/>
        </w:rPr>
        <w:t xml:space="preserve">      flows:</w:t>
      </w:r>
    </w:p>
    <w:p w:rsidR="00CB0DD7" w:rsidRPr="000A0A5F" w:rsidRDefault="00CB0DD7">
      <w:pPr>
        <w:pStyle w:val="PL"/>
        <w:rPr>
          <w:lang w:val="en-US"/>
        </w:rPr>
      </w:pPr>
      <w:r w:rsidRPr="000A0A5F">
        <w:rPr>
          <w:lang w:val="en-US"/>
        </w:rPr>
        <w:t xml:space="preserve">        clientCredentials:</w:t>
      </w:r>
    </w:p>
    <w:p w:rsidR="00CB0DD7" w:rsidRPr="000A0A5F" w:rsidRDefault="00CB0DD7">
      <w:pPr>
        <w:pStyle w:val="PL"/>
        <w:rPr>
          <w:lang w:val="en-US"/>
        </w:rPr>
      </w:pPr>
      <w:r w:rsidRPr="000A0A5F">
        <w:rPr>
          <w:lang w:val="en-US"/>
        </w:rPr>
        <w:t xml:space="preserve">          tokenUrl: '{tokenUrl}'</w:t>
      </w:r>
    </w:p>
    <w:p w:rsidR="00CB0DD7" w:rsidRPr="000A0A5F" w:rsidRDefault="00CB0DD7">
      <w:pPr>
        <w:pStyle w:val="PL"/>
        <w:rPr>
          <w:lang w:val="en-US"/>
        </w:rPr>
      </w:pPr>
      <w:r w:rsidRPr="000A0A5F">
        <w:rPr>
          <w:lang w:val="en-US"/>
        </w:rPr>
        <w:t xml:space="preserve">          scopes: {}</w:t>
      </w:r>
    </w:p>
    <w:p w:rsidR="00CB0DD7" w:rsidRPr="000A0A5F" w:rsidRDefault="00CB0DD7">
      <w:pPr>
        <w:pStyle w:val="PL"/>
        <w:rPr>
          <w:lang w:eastAsia="zh-CN"/>
        </w:rPr>
      </w:pPr>
      <w:r w:rsidRPr="000A0A5F">
        <w:t xml:space="preserve">  schemas: </w:t>
      </w:r>
    </w:p>
    <w:p w:rsidR="00CB0DD7" w:rsidRPr="000A0A5F" w:rsidRDefault="00CB0DD7">
      <w:pPr>
        <w:pStyle w:val="PL"/>
      </w:pPr>
      <w:r w:rsidRPr="000A0A5F">
        <w:t xml:space="preserve">    Bdt:</w:t>
      </w:r>
    </w:p>
    <w:p w:rsidR="00CB0DD7" w:rsidRPr="000A0A5F" w:rsidRDefault="00CB0DD7">
      <w:pPr>
        <w:pStyle w:val="PL"/>
      </w:pPr>
      <w:r w:rsidRPr="000A0A5F">
        <w:t xml:space="preserve">      description: Represents a Background Data Transfer subscription.</w:t>
      </w:r>
    </w:p>
    <w:p w:rsidR="00CB0DD7" w:rsidRPr="000A0A5F" w:rsidRDefault="00CB0DD7">
      <w:pPr>
        <w:pStyle w:val="PL"/>
      </w:pPr>
      <w:r w:rsidRPr="000A0A5F">
        <w:t xml:space="preserve">      type: object</w:t>
      </w:r>
    </w:p>
    <w:p w:rsidR="00CB0DD7" w:rsidRPr="000A0A5F" w:rsidRDefault="00CB0DD7">
      <w:pPr>
        <w:pStyle w:val="PL"/>
      </w:pPr>
      <w:r w:rsidRPr="000A0A5F">
        <w:t xml:space="preserve">      properties:</w:t>
      </w:r>
    </w:p>
    <w:p w:rsidR="00CB0DD7" w:rsidRPr="000A0A5F" w:rsidRDefault="00CB0DD7">
      <w:pPr>
        <w:pStyle w:val="PL"/>
      </w:pPr>
      <w:r w:rsidRPr="000A0A5F">
        <w:t xml:space="preserve">        self:</w:t>
      </w:r>
    </w:p>
    <w:p w:rsidR="00CB0DD7" w:rsidRPr="000A0A5F" w:rsidRDefault="00CB0DD7">
      <w:pPr>
        <w:pStyle w:val="PL"/>
      </w:pPr>
      <w:r w:rsidRPr="000A0A5F">
        <w:t xml:space="preserve">          $ref: 'TS29122_CommonData.yaml#/components/schemas/Link'</w:t>
      </w:r>
    </w:p>
    <w:p w:rsidR="00CB0DD7" w:rsidRPr="000A0A5F" w:rsidRDefault="00CB0DD7">
      <w:pPr>
        <w:pStyle w:val="PL"/>
      </w:pPr>
      <w:r w:rsidRPr="000A0A5F">
        <w:t xml:space="preserve">        </w:t>
      </w:r>
      <w:r w:rsidRPr="000A0A5F">
        <w:rPr>
          <w:lang w:eastAsia="zh-CN"/>
        </w:rPr>
        <w:t>supportedFeatures</w:t>
      </w:r>
      <w:r w:rsidRPr="000A0A5F">
        <w:t>:</w:t>
      </w:r>
    </w:p>
    <w:p w:rsidR="00CB0DD7" w:rsidRPr="000A0A5F" w:rsidRDefault="00CB0DD7">
      <w:pPr>
        <w:pStyle w:val="PL"/>
      </w:pPr>
      <w:r w:rsidRPr="000A0A5F">
        <w:t xml:space="preserve">          $ref: 'TS29571_CommonData.yaml#/components/schemas/</w:t>
      </w:r>
      <w:r w:rsidRPr="000A0A5F">
        <w:rPr>
          <w:lang w:eastAsia="zh-CN"/>
        </w:rPr>
        <w:t>SupportedFeatures</w:t>
      </w:r>
      <w:r w:rsidRPr="000A0A5F">
        <w:t>'</w:t>
      </w:r>
    </w:p>
    <w:p w:rsidR="00580C1F" w:rsidRPr="000A0A5F" w:rsidRDefault="00580C1F" w:rsidP="00580C1F">
      <w:pPr>
        <w:pStyle w:val="PL"/>
      </w:pPr>
      <w:r w:rsidRPr="000A0A5F">
        <w:t xml:space="preserve">        aspId:</w:t>
      </w:r>
    </w:p>
    <w:p w:rsidR="00580C1F" w:rsidRPr="000A0A5F" w:rsidRDefault="00580C1F" w:rsidP="00580C1F">
      <w:pPr>
        <w:pStyle w:val="PL"/>
      </w:pPr>
      <w:r w:rsidRPr="000A0A5F">
        <w:t xml:space="preserve">          type: string</w:t>
      </w:r>
    </w:p>
    <w:p w:rsidR="00580C1F" w:rsidRPr="000A0A5F" w:rsidRDefault="00580C1F" w:rsidP="00580C1F">
      <w:pPr>
        <w:pStyle w:val="PL"/>
      </w:pPr>
      <w:r w:rsidRPr="000A0A5F">
        <w:t xml:space="preserve">          description: Identifies an application service provider.</w:t>
      </w:r>
    </w:p>
    <w:p w:rsidR="00CB0DD7" w:rsidRPr="000A0A5F" w:rsidRDefault="00CB0DD7">
      <w:pPr>
        <w:pStyle w:val="PL"/>
      </w:pPr>
      <w:r w:rsidRPr="000A0A5F">
        <w:t xml:space="preserve">        volumePerUE:</w:t>
      </w:r>
    </w:p>
    <w:p w:rsidR="00CB0DD7" w:rsidRPr="000A0A5F" w:rsidRDefault="00CB0DD7">
      <w:pPr>
        <w:pStyle w:val="PL"/>
      </w:pPr>
      <w:r w:rsidRPr="000A0A5F">
        <w:t xml:space="preserve">          $ref: 'TS29122_CommonData.yaml#/components/schemas/UsageThreshold'</w:t>
      </w:r>
    </w:p>
    <w:p w:rsidR="00CB0DD7" w:rsidRPr="000A0A5F" w:rsidRDefault="00CB0DD7">
      <w:pPr>
        <w:pStyle w:val="PL"/>
      </w:pPr>
      <w:r w:rsidRPr="000A0A5F">
        <w:t xml:space="preserve">        numberOfUEs:</w:t>
      </w:r>
    </w:p>
    <w:p w:rsidR="00CB0DD7" w:rsidRPr="000A0A5F" w:rsidRDefault="00CB0DD7">
      <w:pPr>
        <w:pStyle w:val="PL"/>
      </w:pPr>
      <w:r w:rsidRPr="000A0A5F">
        <w:t xml:space="preserve">          type: integer</w:t>
      </w:r>
    </w:p>
    <w:p w:rsidR="00CB0DD7" w:rsidRPr="000A0A5F" w:rsidRDefault="00CB0DD7">
      <w:pPr>
        <w:pStyle w:val="PL"/>
      </w:pPr>
      <w:r w:rsidRPr="000A0A5F">
        <w:t xml:space="preserve">          minimum: 1</w:t>
      </w:r>
    </w:p>
    <w:p w:rsidR="00CB0DD7" w:rsidRPr="000A0A5F" w:rsidRDefault="00CB0DD7">
      <w:pPr>
        <w:pStyle w:val="PL"/>
      </w:pPr>
      <w:r w:rsidRPr="000A0A5F">
        <w:t xml:space="preserve">          description: Identifies the number of UEs.</w:t>
      </w:r>
    </w:p>
    <w:p w:rsidR="00CB0DD7" w:rsidRPr="000A0A5F" w:rsidRDefault="00CB0DD7">
      <w:pPr>
        <w:pStyle w:val="PL"/>
      </w:pPr>
      <w:r w:rsidRPr="000A0A5F">
        <w:t xml:space="preserve">        desiredTimeWindow:</w:t>
      </w:r>
    </w:p>
    <w:p w:rsidR="00CB0DD7" w:rsidRPr="000A0A5F" w:rsidRDefault="00CB0DD7">
      <w:pPr>
        <w:pStyle w:val="PL"/>
      </w:pPr>
      <w:r w:rsidRPr="000A0A5F">
        <w:t xml:space="preserve">          $ref: 'TS29122_CommonData.yaml#/components/schemas/TimeWindow'</w:t>
      </w:r>
    </w:p>
    <w:p w:rsidR="00CB0DD7" w:rsidRPr="000A0A5F" w:rsidRDefault="00CB0DD7">
      <w:pPr>
        <w:pStyle w:val="PL"/>
      </w:pPr>
      <w:r w:rsidRPr="000A0A5F">
        <w:t xml:space="preserve">        locationArea:</w:t>
      </w:r>
    </w:p>
    <w:p w:rsidR="00CB0DD7" w:rsidRPr="000A0A5F" w:rsidRDefault="00CB0DD7">
      <w:pPr>
        <w:pStyle w:val="PL"/>
      </w:pPr>
      <w:r w:rsidRPr="000A0A5F">
        <w:t xml:space="preserve">          $ref: 'TS29122_CommonData.yaml#/components/schemas/LocationArea'</w:t>
      </w:r>
    </w:p>
    <w:p w:rsidR="00CB0DD7" w:rsidRPr="000A0A5F" w:rsidRDefault="00CB0DD7">
      <w:pPr>
        <w:pStyle w:val="PL"/>
      </w:pPr>
      <w:r w:rsidRPr="000A0A5F">
        <w:t xml:space="preserve">        locationArea5G:</w:t>
      </w:r>
    </w:p>
    <w:p w:rsidR="00CB0DD7" w:rsidRPr="000A0A5F" w:rsidRDefault="00CB0DD7">
      <w:pPr>
        <w:pStyle w:val="PL"/>
      </w:pPr>
      <w:r w:rsidRPr="000A0A5F">
        <w:t xml:space="preserve">          $ref: 'TS29122_CommonData.yaml#/components/schemas/LocationArea5G'</w:t>
      </w:r>
    </w:p>
    <w:p w:rsidR="00CB0DD7" w:rsidRPr="000A0A5F" w:rsidRDefault="00CB0DD7">
      <w:pPr>
        <w:pStyle w:val="PL"/>
      </w:pPr>
      <w:r w:rsidRPr="000A0A5F">
        <w:t xml:space="preserve">        referenceId:</w:t>
      </w:r>
    </w:p>
    <w:p w:rsidR="00CB0DD7" w:rsidRPr="000A0A5F" w:rsidRDefault="00CB0DD7">
      <w:pPr>
        <w:pStyle w:val="PL"/>
      </w:pPr>
      <w:r w:rsidRPr="000A0A5F">
        <w:t xml:space="preserve">          $ref: 'TS29122_CommonData.yaml#/components/schemas/BdtReferenceId'</w:t>
      </w:r>
    </w:p>
    <w:p w:rsidR="00CB0DD7" w:rsidRPr="000A0A5F" w:rsidRDefault="00CB0DD7">
      <w:pPr>
        <w:pStyle w:val="PL"/>
      </w:pPr>
      <w:r w:rsidRPr="000A0A5F">
        <w:t xml:space="preserve">        transferPolicies:</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$ref: '#/components/schemas/TransferPolicy'</w:t>
      </w:r>
    </w:p>
    <w:p w:rsidR="00CB0DD7" w:rsidRPr="000A0A5F" w:rsidRDefault="00CB0DD7">
      <w:pPr>
        <w:pStyle w:val="PL"/>
      </w:pPr>
      <w:r w:rsidRPr="000A0A5F">
        <w:t xml:space="preserve">          minItems: 1</w:t>
      </w:r>
    </w:p>
    <w:p w:rsidR="00CB0DD7" w:rsidRPr="000A0A5F" w:rsidRDefault="00CB0DD7">
      <w:pPr>
        <w:pStyle w:val="PL"/>
      </w:pPr>
      <w:r w:rsidRPr="000A0A5F">
        <w:t xml:space="preserve">          description: Identifies an offered transfer policy.</w:t>
      </w:r>
    </w:p>
    <w:p w:rsidR="00CB0DD7" w:rsidRPr="000A0A5F" w:rsidRDefault="00CB0DD7">
      <w:pPr>
        <w:pStyle w:val="PL"/>
      </w:pPr>
      <w:r w:rsidRPr="000A0A5F">
        <w:t xml:space="preserve">          readOnly: true</w:t>
      </w:r>
    </w:p>
    <w:p w:rsidR="00CB0DD7" w:rsidRPr="000A0A5F" w:rsidRDefault="00CB0DD7">
      <w:pPr>
        <w:pStyle w:val="PL"/>
      </w:pPr>
      <w:r w:rsidRPr="000A0A5F">
        <w:t xml:space="preserve">        selectedPolicy:</w:t>
      </w:r>
    </w:p>
    <w:p w:rsidR="00CB0DD7" w:rsidRPr="000A0A5F" w:rsidRDefault="00CB0DD7">
      <w:pPr>
        <w:pStyle w:val="PL"/>
      </w:pPr>
      <w:r w:rsidRPr="000A0A5F">
        <w:t xml:space="preserve">          type: integer</w:t>
      </w:r>
    </w:p>
    <w:p w:rsidR="00CB0DD7" w:rsidRPr="000A0A5F" w:rsidRDefault="00CB0DD7">
      <w:pPr>
        <w:pStyle w:val="PL"/>
      </w:pPr>
      <w:r w:rsidRPr="000A0A5F">
        <w:t xml:space="preserve">          description: Identity of the selected background data transfer policy. Shall not be present in initial message exchange, can be provided by NF service consumer in a subsequent message exchange.</w:t>
      </w:r>
    </w:p>
    <w:p w:rsidR="00CB0DD7" w:rsidRPr="000A0A5F" w:rsidRDefault="00CB0DD7">
      <w:pPr>
        <w:pStyle w:val="PL"/>
      </w:pPr>
      <w:r w:rsidRPr="000A0A5F">
        <w:t xml:space="preserve">        externalGroupId:</w:t>
      </w:r>
    </w:p>
    <w:p w:rsidR="00CB0DD7" w:rsidRPr="000A0A5F" w:rsidRDefault="00CB0DD7">
      <w:pPr>
        <w:pStyle w:val="PL"/>
      </w:pPr>
      <w:r w:rsidRPr="000A0A5F">
        <w:t xml:space="preserve">          $ref: 'TS29122_CommonData.yaml#/components/schemas/ExternalGroupId'</w:t>
      </w:r>
    </w:p>
    <w:p w:rsidR="00CB0DD7" w:rsidRPr="000A0A5F" w:rsidRDefault="00CB0DD7">
      <w:pPr>
        <w:pStyle w:val="PL"/>
      </w:pPr>
      <w:r w:rsidRPr="000A0A5F">
        <w:t xml:space="preserve">        notificationDestination:</w:t>
      </w:r>
    </w:p>
    <w:p w:rsidR="00CB0DD7" w:rsidRPr="000A0A5F" w:rsidRDefault="00CB0DD7">
      <w:pPr>
        <w:pStyle w:val="PL"/>
      </w:pPr>
      <w:r w:rsidRPr="000A0A5F">
        <w:t xml:space="preserve">          $ref: 'TS29122_CommonData.yaml#/components/schemas/Link'</w:t>
      </w:r>
    </w:p>
    <w:p w:rsidR="00CB0DD7" w:rsidRPr="000A0A5F" w:rsidRDefault="00CB0DD7">
      <w:pPr>
        <w:pStyle w:val="PL"/>
      </w:pPr>
      <w:r w:rsidRPr="000A0A5F">
        <w:t xml:space="preserve">        warnNotifEnabled:</w:t>
      </w:r>
    </w:p>
    <w:p w:rsidR="00CB0DD7" w:rsidRPr="000A0A5F" w:rsidRDefault="00CB0DD7">
      <w:pPr>
        <w:pStyle w:val="PL"/>
      </w:pPr>
      <w:r w:rsidRPr="000A0A5F">
        <w:t xml:space="preserve">          type: boolean</w:t>
      </w:r>
    </w:p>
    <w:p w:rsidR="004C13CC" w:rsidRPr="000A0A5F" w:rsidRDefault="00CB0DD7" w:rsidP="004C13CC">
      <w:pPr>
        <w:pStyle w:val="PL"/>
      </w:pPr>
      <w:r w:rsidRPr="000A0A5F">
        <w:t xml:space="preserve">          description: </w:t>
      </w:r>
      <w:r w:rsidR="004C13CC" w:rsidRPr="000A0A5F">
        <w:t>&gt;</w:t>
      </w:r>
    </w:p>
    <w:p w:rsidR="004C13CC" w:rsidRPr="000A0A5F" w:rsidRDefault="004C13CC" w:rsidP="004C13CC">
      <w:pPr>
        <w:pStyle w:val="PL"/>
      </w:pPr>
      <w:r w:rsidRPr="000A0A5F">
        <w:t xml:space="preserve">            </w:t>
      </w:r>
      <w:r w:rsidR="00CB0DD7" w:rsidRPr="000A0A5F">
        <w:rPr>
          <w:rFonts w:cs="Arial"/>
          <w:szCs w:val="18"/>
          <w:lang w:eastAsia="zh-CN"/>
        </w:rPr>
        <w:t xml:space="preserve">Indicates whether the BDT warning notification is enabled </w:t>
      </w:r>
      <w:r w:rsidRPr="000A0A5F">
        <w:t>(</w:t>
      </w:r>
      <w:r w:rsidRPr="000A0A5F">
        <w:rPr>
          <w:lang w:eastAsia="zh-CN"/>
        </w:rPr>
        <w:t>true</w:t>
      </w:r>
      <w:r w:rsidRPr="000A0A5F">
        <w:t xml:space="preserve">) </w:t>
      </w:r>
      <w:r w:rsidR="00CB0DD7" w:rsidRPr="000A0A5F">
        <w:rPr>
          <w:rFonts w:cs="Arial"/>
          <w:szCs w:val="18"/>
          <w:lang w:eastAsia="zh-CN"/>
        </w:rPr>
        <w:t>or not</w:t>
      </w:r>
      <w:r w:rsidRPr="000A0A5F">
        <w:rPr>
          <w:rFonts w:cs="Arial"/>
          <w:szCs w:val="18"/>
          <w:lang w:eastAsia="zh-CN"/>
        </w:rPr>
        <w:t xml:space="preserve"> </w:t>
      </w:r>
      <w:r w:rsidRPr="000A0A5F">
        <w:t>(</w:t>
      </w:r>
      <w:r w:rsidRPr="000A0A5F">
        <w:rPr>
          <w:lang w:eastAsia="zh-CN"/>
        </w:rPr>
        <w:t>false</w:t>
      </w:r>
      <w:r w:rsidRPr="000A0A5F">
        <w:t>)</w:t>
      </w:r>
      <w:r w:rsidR="00CB0DD7" w:rsidRPr="000A0A5F">
        <w:t xml:space="preserve">. </w:t>
      </w:r>
      <w:r w:rsidRPr="000A0A5F">
        <w:t>Default</w:t>
      </w:r>
    </w:p>
    <w:p w:rsidR="00CB0DD7" w:rsidRPr="000A0A5F" w:rsidRDefault="004C13CC" w:rsidP="004C13CC">
      <w:pPr>
        <w:pStyle w:val="PL"/>
      </w:pPr>
      <w:r w:rsidRPr="000A0A5F">
        <w:t xml:space="preserve">            value is false.</w:t>
      </w:r>
    </w:p>
    <w:p w:rsidR="00CB0DD7" w:rsidRPr="000A0A5F" w:rsidRDefault="00CB0DD7">
      <w:pPr>
        <w:pStyle w:val="PL"/>
      </w:pPr>
      <w:r w:rsidRPr="000A0A5F">
        <w:t xml:space="preserve">        trafficDes:</w:t>
      </w:r>
    </w:p>
    <w:p w:rsidR="00CB0DD7" w:rsidRPr="000A0A5F" w:rsidRDefault="00CB0DD7">
      <w:pPr>
        <w:pStyle w:val="PL"/>
      </w:pPr>
      <w:r w:rsidRPr="000A0A5F">
        <w:t xml:space="preserve">          $ref: '#/components/schemas/TrafficDescriptor'</w:t>
      </w:r>
    </w:p>
    <w:p w:rsidR="00CB0DD7" w:rsidRPr="000A0A5F" w:rsidRDefault="00CB0DD7">
      <w:pPr>
        <w:pStyle w:val="PL"/>
      </w:pPr>
      <w:r w:rsidRPr="000A0A5F">
        <w:t xml:space="preserve">      required:</w:t>
      </w:r>
    </w:p>
    <w:p w:rsidR="00CB0DD7" w:rsidRPr="000A0A5F" w:rsidRDefault="00CB0DD7">
      <w:pPr>
        <w:pStyle w:val="PL"/>
      </w:pPr>
      <w:r w:rsidRPr="000A0A5F">
        <w:t xml:space="preserve">        - volumePerUE</w:t>
      </w:r>
    </w:p>
    <w:p w:rsidR="00CB0DD7" w:rsidRPr="000A0A5F" w:rsidRDefault="00CB0DD7">
      <w:pPr>
        <w:pStyle w:val="PL"/>
      </w:pPr>
      <w:r w:rsidRPr="000A0A5F">
        <w:t xml:space="preserve">        - numberOfUEs</w:t>
      </w:r>
    </w:p>
    <w:p w:rsidR="00CB0DD7" w:rsidRPr="000A0A5F" w:rsidRDefault="00CB0DD7">
      <w:pPr>
        <w:pStyle w:val="PL"/>
      </w:pPr>
      <w:r w:rsidRPr="000A0A5F">
        <w:t xml:space="preserve">        - desiredTimeWindow</w:t>
      </w:r>
    </w:p>
    <w:p w:rsidR="00CB0DD7" w:rsidRPr="000A0A5F" w:rsidRDefault="00CB0DD7">
      <w:pPr>
        <w:pStyle w:val="PL"/>
      </w:pPr>
      <w:r w:rsidRPr="000A0A5F">
        <w:t xml:space="preserve">    BdtPatch:</w:t>
      </w:r>
    </w:p>
    <w:p w:rsidR="00CB0DD7" w:rsidRPr="000A0A5F" w:rsidRDefault="00CB0DD7">
      <w:pPr>
        <w:pStyle w:val="PL"/>
      </w:pPr>
      <w:r w:rsidRPr="000A0A5F">
        <w:t xml:space="preserve">      description: Represents a Background Data Transfer subscription modification request.</w:t>
      </w:r>
    </w:p>
    <w:p w:rsidR="00CB0DD7" w:rsidRPr="000A0A5F" w:rsidRDefault="00CB0DD7">
      <w:pPr>
        <w:pStyle w:val="PL"/>
      </w:pPr>
      <w:r w:rsidRPr="000A0A5F">
        <w:t xml:space="preserve">      type: object</w:t>
      </w:r>
    </w:p>
    <w:p w:rsidR="00CB0DD7" w:rsidRPr="000A0A5F" w:rsidRDefault="00CB0DD7">
      <w:pPr>
        <w:pStyle w:val="PL"/>
      </w:pPr>
      <w:r w:rsidRPr="000A0A5F">
        <w:t xml:space="preserve">      properties:</w:t>
      </w:r>
    </w:p>
    <w:p w:rsidR="00CB0DD7" w:rsidRPr="000A0A5F" w:rsidRDefault="00CB0DD7">
      <w:pPr>
        <w:pStyle w:val="PL"/>
      </w:pPr>
      <w:r w:rsidRPr="000A0A5F">
        <w:t xml:space="preserve">        selectedPolicy:</w:t>
      </w:r>
    </w:p>
    <w:p w:rsidR="00CB0DD7" w:rsidRPr="000A0A5F" w:rsidRDefault="00CB0DD7">
      <w:pPr>
        <w:pStyle w:val="PL"/>
      </w:pPr>
      <w:r w:rsidRPr="000A0A5F">
        <w:t xml:space="preserve">          type: integer</w:t>
      </w:r>
    </w:p>
    <w:p w:rsidR="00CB0DD7" w:rsidRPr="000A0A5F" w:rsidRDefault="00CB0DD7">
      <w:pPr>
        <w:pStyle w:val="PL"/>
      </w:pPr>
      <w:r w:rsidRPr="000A0A5F">
        <w:t xml:space="preserve">          description: Identity of the selected background data transfer policy. </w:t>
      </w:r>
    </w:p>
    <w:p w:rsidR="00CB0DD7" w:rsidRPr="000A0A5F" w:rsidRDefault="00CB0DD7">
      <w:pPr>
        <w:pStyle w:val="PL"/>
      </w:pPr>
      <w:r w:rsidRPr="000A0A5F">
        <w:t xml:space="preserve">        warnNotifEnabled:</w:t>
      </w:r>
    </w:p>
    <w:p w:rsidR="00CB0DD7" w:rsidRPr="000A0A5F" w:rsidRDefault="00CB0DD7">
      <w:pPr>
        <w:pStyle w:val="PL"/>
      </w:pPr>
      <w:r w:rsidRPr="000A0A5F">
        <w:t xml:space="preserve">          type: boolean</w:t>
      </w:r>
    </w:p>
    <w:p w:rsidR="00212F06" w:rsidRPr="000A0A5F" w:rsidRDefault="00CB0DD7" w:rsidP="00212F06">
      <w:pPr>
        <w:pStyle w:val="PL"/>
      </w:pPr>
      <w:r w:rsidRPr="000A0A5F">
        <w:t xml:space="preserve">          description: </w:t>
      </w:r>
      <w:r w:rsidR="00212F06" w:rsidRPr="000A0A5F">
        <w:t>&gt;</w:t>
      </w:r>
    </w:p>
    <w:p w:rsidR="00CB0DD7" w:rsidRPr="000A0A5F" w:rsidRDefault="00212F06" w:rsidP="00212F06">
      <w:pPr>
        <w:pStyle w:val="PL"/>
      </w:pPr>
      <w:r w:rsidRPr="000A0A5F">
        <w:t xml:space="preserve">            </w:t>
      </w:r>
      <w:r w:rsidR="00CB0DD7" w:rsidRPr="000A0A5F">
        <w:rPr>
          <w:rFonts w:cs="Arial"/>
          <w:szCs w:val="18"/>
          <w:lang w:eastAsia="zh-CN"/>
        </w:rPr>
        <w:t xml:space="preserve">Indicates whether the BDT warning notification is enabled </w:t>
      </w:r>
      <w:r w:rsidRPr="000A0A5F">
        <w:t>(</w:t>
      </w:r>
      <w:r w:rsidRPr="000A0A5F">
        <w:rPr>
          <w:lang w:eastAsia="zh-CN"/>
        </w:rPr>
        <w:t>true</w:t>
      </w:r>
      <w:r w:rsidRPr="000A0A5F">
        <w:t xml:space="preserve">) </w:t>
      </w:r>
      <w:r w:rsidR="00CB0DD7" w:rsidRPr="000A0A5F">
        <w:rPr>
          <w:rFonts w:cs="Arial"/>
          <w:szCs w:val="18"/>
          <w:lang w:eastAsia="zh-CN"/>
        </w:rPr>
        <w:t>or not</w:t>
      </w:r>
      <w:r w:rsidRPr="000A0A5F">
        <w:rPr>
          <w:rFonts w:cs="Arial"/>
          <w:szCs w:val="18"/>
          <w:lang w:eastAsia="zh-CN"/>
        </w:rPr>
        <w:t xml:space="preserve"> </w:t>
      </w:r>
      <w:r w:rsidRPr="000A0A5F">
        <w:t>(</w:t>
      </w:r>
      <w:r w:rsidRPr="000A0A5F">
        <w:rPr>
          <w:lang w:eastAsia="zh-CN"/>
        </w:rPr>
        <w:t>false</w:t>
      </w:r>
      <w:r w:rsidRPr="000A0A5F">
        <w:t>)</w:t>
      </w:r>
      <w:r w:rsidR="00CB0DD7" w:rsidRPr="000A0A5F">
        <w:t>.</w:t>
      </w:r>
    </w:p>
    <w:p w:rsidR="00CB0DD7" w:rsidRPr="000A0A5F" w:rsidRDefault="00CB0DD7">
      <w:pPr>
        <w:pStyle w:val="PL"/>
      </w:pPr>
      <w:r w:rsidRPr="000A0A5F">
        <w:t xml:space="preserve">        notificationDestination:</w:t>
      </w:r>
    </w:p>
    <w:p w:rsidR="00CB0DD7" w:rsidRPr="000A0A5F" w:rsidRDefault="00CB0DD7">
      <w:pPr>
        <w:pStyle w:val="PL"/>
      </w:pPr>
      <w:r w:rsidRPr="000A0A5F">
        <w:t xml:space="preserve">          $ref: 'TS29122_CommonData.yaml#/components/schemas/Link'</w:t>
      </w:r>
    </w:p>
    <w:p w:rsidR="00CB0DD7" w:rsidRPr="000A0A5F" w:rsidRDefault="00CB0DD7">
      <w:pPr>
        <w:pStyle w:val="PL"/>
      </w:pPr>
      <w:r w:rsidRPr="000A0A5F">
        <w:t xml:space="preserve">      required:</w:t>
      </w:r>
    </w:p>
    <w:p w:rsidR="00CB0DD7" w:rsidRPr="000A0A5F" w:rsidRDefault="00CB0DD7">
      <w:pPr>
        <w:pStyle w:val="PL"/>
      </w:pPr>
      <w:r w:rsidRPr="000A0A5F">
        <w:t xml:space="preserve">        - selectedPolicy</w:t>
      </w:r>
    </w:p>
    <w:p w:rsidR="00CB0DD7" w:rsidRPr="000A0A5F" w:rsidRDefault="00CB0DD7">
      <w:pPr>
        <w:pStyle w:val="PL"/>
      </w:pPr>
      <w:r w:rsidRPr="000A0A5F">
        <w:t xml:space="preserve">    TransferPolicy:</w:t>
      </w:r>
    </w:p>
    <w:p w:rsidR="00CB0DD7" w:rsidRPr="000A0A5F" w:rsidRDefault="00CB0DD7">
      <w:pPr>
        <w:pStyle w:val="PL"/>
      </w:pPr>
      <w:r w:rsidRPr="000A0A5F">
        <w:t xml:space="preserve">      description: Represents an offered transfer policy sent from the SCEF to the SCS/AS, or a selected transfer policy sent from the SCS/AS to the SCEF</w:t>
      </w:r>
      <w:r w:rsidRPr="000A0A5F">
        <w:rPr>
          <w:lang w:val="en-US" w:eastAsia="zh-CN"/>
        </w:rPr>
        <w:t>.</w:t>
      </w:r>
    </w:p>
    <w:p w:rsidR="00CB0DD7" w:rsidRPr="000A0A5F" w:rsidRDefault="00CB0DD7">
      <w:pPr>
        <w:pStyle w:val="PL"/>
      </w:pPr>
      <w:r w:rsidRPr="000A0A5F">
        <w:t xml:space="preserve">      type: object</w:t>
      </w:r>
    </w:p>
    <w:p w:rsidR="00CB0DD7" w:rsidRPr="000A0A5F" w:rsidRDefault="00CB0DD7">
      <w:pPr>
        <w:pStyle w:val="PL"/>
      </w:pPr>
      <w:r w:rsidRPr="000A0A5F">
        <w:t xml:space="preserve">      properties:</w:t>
      </w:r>
    </w:p>
    <w:p w:rsidR="00CB0DD7" w:rsidRPr="000A0A5F" w:rsidRDefault="00CB0DD7">
      <w:pPr>
        <w:pStyle w:val="PL"/>
      </w:pPr>
      <w:r w:rsidRPr="000A0A5F">
        <w:t xml:space="preserve">        bdtPolicyId:</w:t>
      </w:r>
    </w:p>
    <w:p w:rsidR="00CB0DD7" w:rsidRPr="000A0A5F" w:rsidRDefault="00CB0DD7">
      <w:pPr>
        <w:pStyle w:val="PL"/>
      </w:pPr>
      <w:r w:rsidRPr="000A0A5F">
        <w:t xml:space="preserve">          type: integer</w:t>
      </w:r>
    </w:p>
    <w:p w:rsidR="00CB0DD7" w:rsidRPr="000A0A5F" w:rsidRDefault="00CB0DD7">
      <w:pPr>
        <w:pStyle w:val="PL"/>
      </w:pPr>
      <w:r w:rsidRPr="000A0A5F">
        <w:t xml:space="preserve">          description: Identifier for the transfer policy</w:t>
      </w:r>
    </w:p>
    <w:p w:rsidR="00CB0DD7" w:rsidRPr="000A0A5F" w:rsidRDefault="00CB0DD7">
      <w:pPr>
        <w:pStyle w:val="PL"/>
      </w:pPr>
      <w:r w:rsidRPr="000A0A5F">
        <w:t xml:space="preserve">        maxUplinkBandwidth:</w:t>
      </w:r>
    </w:p>
    <w:p w:rsidR="00CB0DD7" w:rsidRPr="000A0A5F" w:rsidRDefault="00CB0DD7">
      <w:pPr>
        <w:pStyle w:val="PL"/>
      </w:pPr>
      <w:r w:rsidRPr="000A0A5F">
        <w:t xml:space="preserve">          $ref: 'TS29122_CommonData.yaml#/components/schemas/Bandwidth'</w:t>
      </w:r>
    </w:p>
    <w:p w:rsidR="00CB0DD7" w:rsidRPr="000A0A5F" w:rsidRDefault="00CB0DD7">
      <w:pPr>
        <w:pStyle w:val="PL"/>
      </w:pPr>
      <w:r w:rsidRPr="000A0A5F">
        <w:t xml:space="preserve">        maxDownlinkBandwidth:</w:t>
      </w:r>
    </w:p>
    <w:p w:rsidR="00CB0DD7" w:rsidRPr="000A0A5F" w:rsidRDefault="00CB0DD7">
      <w:pPr>
        <w:pStyle w:val="PL"/>
      </w:pPr>
      <w:r w:rsidRPr="000A0A5F">
        <w:t xml:space="preserve">          $ref: 'TS29122_CommonData.yaml#/components/schemas/Bandwidth'</w:t>
      </w:r>
    </w:p>
    <w:p w:rsidR="00CB0DD7" w:rsidRPr="000A0A5F" w:rsidRDefault="00CB0DD7">
      <w:pPr>
        <w:pStyle w:val="PL"/>
      </w:pPr>
      <w:r w:rsidRPr="000A0A5F">
        <w:t xml:space="preserve">        ratingGroup:</w:t>
      </w:r>
    </w:p>
    <w:p w:rsidR="00CB0DD7" w:rsidRPr="000A0A5F" w:rsidRDefault="00CB0DD7">
      <w:pPr>
        <w:pStyle w:val="PL"/>
      </w:pPr>
      <w:r w:rsidRPr="000A0A5F">
        <w:t xml:space="preserve">          type: integer</w:t>
      </w:r>
    </w:p>
    <w:p w:rsidR="00CB0DD7" w:rsidRPr="000A0A5F" w:rsidRDefault="00CB0DD7">
      <w:pPr>
        <w:pStyle w:val="PL"/>
      </w:pPr>
      <w:r w:rsidRPr="000A0A5F">
        <w:t xml:space="preserve">          minimum: 0</w:t>
      </w:r>
    </w:p>
    <w:p w:rsidR="00CB0DD7" w:rsidRPr="000A0A5F" w:rsidRDefault="00CB0DD7">
      <w:pPr>
        <w:pStyle w:val="PL"/>
      </w:pPr>
      <w:r w:rsidRPr="000A0A5F">
        <w:t xml:space="preserve">          description: Indicates the rating group during the time window.</w:t>
      </w:r>
    </w:p>
    <w:p w:rsidR="00CB0DD7" w:rsidRPr="000A0A5F" w:rsidRDefault="00CB0DD7">
      <w:pPr>
        <w:pStyle w:val="PL"/>
      </w:pPr>
      <w:r w:rsidRPr="000A0A5F">
        <w:t xml:space="preserve">        timeWindow:</w:t>
      </w:r>
    </w:p>
    <w:p w:rsidR="00CB0DD7" w:rsidRPr="000A0A5F" w:rsidRDefault="00CB0DD7">
      <w:pPr>
        <w:pStyle w:val="PL"/>
      </w:pPr>
      <w:r w:rsidRPr="000A0A5F">
        <w:t xml:space="preserve">          $ref: 'TS29122_CommonData.yaml#/components/schemas/TimeWindow'</w:t>
      </w:r>
    </w:p>
    <w:p w:rsidR="00CB0DD7" w:rsidRPr="000A0A5F" w:rsidRDefault="00CB0DD7">
      <w:pPr>
        <w:pStyle w:val="PL"/>
      </w:pPr>
      <w:r w:rsidRPr="000A0A5F">
        <w:t xml:space="preserve">      required:</w:t>
      </w:r>
    </w:p>
    <w:p w:rsidR="00CB0DD7" w:rsidRPr="000A0A5F" w:rsidRDefault="00CB0DD7">
      <w:pPr>
        <w:pStyle w:val="PL"/>
      </w:pPr>
      <w:r w:rsidRPr="000A0A5F">
        <w:t xml:space="preserve">        - bdtPolicyId</w:t>
      </w:r>
    </w:p>
    <w:p w:rsidR="00CB0DD7" w:rsidRPr="000A0A5F" w:rsidRDefault="00CB0DD7">
      <w:pPr>
        <w:pStyle w:val="PL"/>
      </w:pPr>
      <w:r w:rsidRPr="000A0A5F">
        <w:t xml:space="preserve">        - ratingGroup</w:t>
      </w:r>
    </w:p>
    <w:p w:rsidR="00CB0DD7" w:rsidRPr="000A0A5F" w:rsidRDefault="00CB0DD7">
      <w:pPr>
        <w:pStyle w:val="PL"/>
      </w:pPr>
      <w:r w:rsidRPr="000A0A5F">
        <w:t xml:space="preserve">        - timeWindow</w:t>
      </w:r>
    </w:p>
    <w:p w:rsidR="00CB0DD7" w:rsidRPr="000A0A5F" w:rsidRDefault="00CB0DD7">
      <w:pPr>
        <w:pStyle w:val="PL"/>
      </w:pPr>
      <w:r w:rsidRPr="000A0A5F">
        <w:t xml:space="preserve">    </w:t>
      </w:r>
      <w:r w:rsidRPr="000A0A5F">
        <w:rPr>
          <w:rFonts w:hint="eastAsia"/>
          <w:lang w:eastAsia="zh-CN"/>
        </w:rPr>
        <w:t>Ex</w:t>
      </w:r>
      <w:r w:rsidRPr="000A0A5F">
        <w:t>Notification:</w:t>
      </w:r>
    </w:p>
    <w:p w:rsidR="00CB0DD7" w:rsidRPr="000A0A5F" w:rsidRDefault="00CB0DD7">
      <w:pPr>
        <w:pStyle w:val="PL"/>
      </w:pPr>
      <w:r w:rsidRPr="000A0A5F">
        <w:t xml:space="preserve">      description: Represents a Background Data Transfer notification</w:t>
      </w:r>
      <w:r w:rsidRPr="000A0A5F">
        <w:rPr>
          <w:lang w:val="en-US" w:eastAsia="zh-CN"/>
        </w:rPr>
        <w:t>.</w:t>
      </w:r>
    </w:p>
    <w:p w:rsidR="00CB0DD7" w:rsidRPr="000A0A5F" w:rsidRDefault="00CB0DD7">
      <w:pPr>
        <w:pStyle w:val="PL"/>
      </w:pPr>
      <w:r w:rsidRPr="000A0A5F">
        <w:t xml:space="preserve">      type: object</w:t>
      </w:r>
    </w:p>
    <w:p w:rsidR="00CB0DD7" w:rsidRPr="000A0A5F" w:rsidRDefault="00CB0DD7">
      <w:pPr>
        <w:pStyle w:val="PL"/>
      </w:pPr>
      <w:r w:rsidRPr="000A0A5F">
        <w:t xml:space="preserve">      properties:</w:t>
      </w:r>
    </w:p>
    <w:p w:rsidR="00CB0DD7" w:rsidRPr="000A0A5F" w:rsidRDefault="00CB0DD7">
      <w:pPr>
        <w:pStyle w:val="PL"/>
      </w:pPr>
      <w:r w:rsidRPr="000A0A5F">
        <w:t xml:space="preserve">        bdtRefId:</w:t>
      </w:r>
    </w:p>
    <w:p w:rsidR="00CB0DD7" w:rsidRPr="000A0A5F" w:rsidRDefault="00CB0DD7">
      <w:pPr>
        <w:pStyle w:val="PL"/>
      </w:pPr>
      <w:r w:rsidRPr="000A0A5F">
        <w:t xml:space="preserve">          $ref: 'TS29122_CommonData.yaml#/components/schemas/BdtReferenceId'</w:t>
      </w:r>
    </w:p>
    <w:p w:rsidR="00CB0DD7" w:rsidRPr="000A0A5F" w:rsidRDefault="00CB0DD7">
      <w:pPr>
        <w:pStyle w:val="PL"/>
      </w:pPr>
      <w:r w:rsidRPr="000A0A5F">
        <w:t xml:space="preserve">        locationArea5G:</w:t>
      </w:r>
    </w:p>
    <w:p w:rsidR="00CB0DD7" w:rsidRPr="000A0A5F" w:rsidRDefault="00CB0DD7">
      <w:pPr>
        <w:pStyle w:val="PL"/>
      </w:pPr>
      <w:r w:rsidRPr="000A0A5F">
        <w:t xml:space="preserve">          $ref: 'TS29122_CommonData.yaml#/components/schemas/LocationArea5G'</w:t>
      </w:r>
    </w:p>
    <w:p w:rsidR="00CB0DD7" w:rsidRPr="000A0A5F" w:rsidRDefault="00CB0DD7">
      <w:pPr>
        <w:pStyle w:val="PL"/>
      </w:pPr>
      <w:r w:rsidRPr="000A0A5F">
        <w:t xml:space="preserve">        timeWindow:</w:t>
      </w:r>
    </w:p>
    <w:p w:rsidR="00CB0DD7" w:rsidRPr="000A0A5F" w:rsidRDefault="00CB0DD7">
      <w:pPr>
        <w:pStyle w:val="PL"/>
      </w:pPr>
      <w:r w:rsidRPr="000A0A5F">
        <w:t xml:space="preserve">          $ref: 'TS29122_CommonData.yaml#/components/schemas/TimeWindow'</w:t>
      </w:r>
    </w:p>
    <w:p w:rsidR="00CB0DD7" w:rsidRPr="000A0A5F" w:rsidRDefault="00CB0DD7">
      <w:pPr>
        <w:pStyle w:val="PL"/>
      </w:pPr>
      <w:r w:rsidRPr="000A0A5F">
        <w:t xml:space="preserve">        candPolicies:</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$ref: '#/components/schemas/TransferPolicy'</w:t>
      </w:r>
    </w:p>
    <w:p w:rsidR="00CB0DD7" w:rsidRPr="000A0A5F" w:rsidRDefault="00CB0DD7">
      <w:pPr>
        <w:pStyle w:val="PL"/>
      </w:pPr>
      <w:r w:rsidRPr="000A0A5F">
        <w:t xml:space="preserve">          minItems: 1</w:t>
      </w:r>
    </w:p>
    <w:p w:rsidR="00CB0DD7" w:rsidRPr="000A0A5F" w:rsidRDefault="00CB0DD7">
      <w:pPr>
        <w:pStyle w:val="PL"/>
      </w:pPr>
      <w:r w:rsidRPr="000A0A5F">
        <w:t xml:space="preserve">          description: This IE indicates </w:t>
      </w:r>
      <w:r w:rsidRPr="000A0A5F">
        <w:rPr>
          <w:lang w:eastAsia="zh-CN"/>
        </w:rPr>
        <w:t xml:space="preserve">a list of the candidate transfer policies from which the AF may select a new transfer policy </w:t>
      </w:r>
      <w:r w:rsidRPr="000A0A5F">
        <w:t>due to network performance degradation</w:t>
      </w:r>
      <w:r w:rsidRPr="000A0A5F">
        <w:rPr>
          <w:lang w:eastAsia="zh-CN"/>
        </w:rPr>
        <w:t>.</w:t>
      </w:r>
    </w:p>
    <w:p w:rsidR="00CB0DD7" w:rsidRPr="000A0A5F" w:rsidRDefault="00CB0DD7">
      <w:pPr>
        <w:pStyle w:val="PL"/>
      </w:pPr>
      <w:r w:rsidRPr="000A0A5F">
        <w:t xml:space="preserve">      required:</w:t>
      </w:r>
    </w:p>
    <w:p w:rsidR="00CB0DD7" w:rsidRPr="000A0A5F" w:rsidRDefault="00CB0DD7">
      <w:pPr>
        <w:pStyle w:val="PL"/>
      </w:pPr>
      <w:r w:rsidRPr="000A0A5F">
        <w:t xml:space="preserve">        - bdtRefId</w:t>
      </w:r>
    </w:p>
    <w:p w:rsidR="00CB0DD7" w:rsidRPr="000A0A5F" w:rsidRDefault="00CB0DD7">
      <w:pPr>
        <w:pStyle w:val="PL"/>
      </w:pPr>
      <w:r w:rsidRPr="000A0A5F">
        <w:t xml:space="preserve">    TrafficDescriptor:</w:t>
      </w:r>
    </w:p>
    <w:p w:rsidR="00CB0DD7" w:rsidRPr="000A0A5F" w:rsidRDefault="00CB0DD7">
      <w:pPr>
        <w:pStyle w:val="PL"/>
      </w:pPr>
      <w:r w:rsidRPr="000A0A5F">
        <w:t xml:space="preserve">      type: string</w:t>
      </w:r>
    </w:p>
    <w:p w:rsidR="00CB0DD7" w:rsidRPr="000A0A5F" w:rsidRDefault="00CB0DD7">
      <w:pPr>
        <w:pStyle w:val="PL"/>
      </w:pPr>
      <w:r w:rsidRPr="000A0A5F">
        <w:t xml:space="preserve">      description: I</w:t>
      </w:r>
      <w:r w:rsidRPr="000A0A5F">
        <w:rPr>
          <w:lang w:eastAsia="zh-CN"/>
        </w:rPr>
        <w:t>dentify a traffic descriptor as defined in Figure 5.2.2 of 3GPP TS 24.526, octets</w:t>
      </w:r>
      <w:r w:rsidRPr="000A0A5F">
        <w:rPr>
          <w:lang w:val="en-US" w:eastAsia="zh-CN"/>
        </w:rPr>
        <w:t xml:space="preserve"> v</w:t>
      </w:r>
      <w:r w:rsidRPr="000A0A5F">
        <w:rPr>
          <w:rFonts w:hint="eastAsia"/>
          <w:lang w:val="en-US" w:eastAsia="zh-CN"/>
        </w:rPr>
        <w:t>+</w:t>
      </w:r>
      <w:r w:rsidRPr="000A0A5F">
        <w:rPr>
          <w:lang w:val="en-US" w:eastAsia="zh-CN"/>
        </w:rPr>
        <w:t xml:space="preserve">5 </w:t>
      </w:r>
      <w:r w:rsidRPr="000A0A5F">
        <w:rPr>
          <w:rFonts w:hint="eastAsia"/>
          <w:lang w:val="en-US" w:eastAsia="zh-CN"/>
        </w:rPr>
        <w:t>t</w:t>
      </w:r>
      <w:r w:rsidRPr="000A0A5F">
        <w:rPr>
          <w:lang w:val="en-US" w:eastAsia="zh-CN"/>
        </w:rPr>
        <w:t>o w.</w:t>
      </w:r>
    </w:p>
    <w:p w:rsidR="00CB0DD7" w:rsidRPr="000A0A5F" w:rsidRDefault="00CB0DD7">
      <w:pPr>
        <w:pStyle w:val="PL"/>
      </w:pPr>
    </w:p>
    <w:p w:rsidR="00CB0DD7" w:rsidRPr="000A0A5F" w:rsidRDefault="00CB0DD7" w:rsidP="00964FC1">
      <w:pPr>
        <w:pStyle w:val="Heading1"/>
        <w:rPr>
          <w:lang w:eastAsia="zh-CN"/>
        </w:rPr>
      </w:pPr>
      <w:bookmarkStart w:id="10304" w:name="_Toc11247932"/>
      <w:bookmarkStart w:id="10305" w:name="_Toc27045114"/>
      <w:bookmarkStart w:id="10306" w:name="_Toc36034165"/>
      <w:bookmarkStart w:id="10307" w:name="_Toc45132313"/>
      <w:bookmarkStart w:id="10308" w:name="_Toc49776598"/>
      <w:bookmarkStart w:id="10309" w:name="_Toc51747518"/>
      <w:bookmarkStart w:id="10310" w:name="_Toc66361100"/>
      <w:bookmarkStart w:id="10311" w:name="_Toc68105605"/>
      <w:bookmarkStart w:id="10312" w:name="_Toc74756237"/>
      <w:bookmarkStart w:id="10313" w:name="_Toc105675114"/>
      <w:bookmarkStart w:id="10314" w:name="_Toc130503192"/>
      <w:bookmarkStart w:id="10315" w:name="_Toc153625984"/>
      <w:r w:rsidRPr="000A0A5F">
        <w:t>A.5</w:t>
      </w:r>
      <w:r w:rsidRPr="000A0A5F">
        <w:tab/>
        <w:t>ChargeableParty API</w:t>
      </w:r>
      <w:bookmarkEnd w:id="10304"/>
      <w:bookmarkEnd w:id="10305"/>
      <w:bookmarkEnd w:id="10306"/>
      <w:bookmarkEnd w:id="10307"/>
      <w:bookmarkEnd w:id="10308"/>
      <w:bookmarkEnd w:id="10309"/>
      <w:bookmarkEnd w:id="10310"/>
      <w:bookmarkEnd w:id="10311"/>
      <w:bookmarkEnd w:id="10312"/>
      <w:bookmarkEnd w:id="10313"/>
      <w:bookmarkEnd w:id="10314"/>
      <w:bookmarkEnd w:id="10315"/>
    </w:p>
    <w:p w:rsidR="00CB0DD7" w:rsidRPr="000A0A5F" w:rsidRDefault="00CB0DD7">
      <w:pPr>
        <w:pStyle w:val="PL"/>
      </w:pPr>
      <w:r w:rsidRPr="000A0A5F">
        <w:t>openapi: 3.0.0</w:t>
      </w:r>
    </w:p>
    <w:p w:rsidR="00CB0DD7" w:rsidRPr="000A0A5F" w:rsidRDefault="00CB0DD7">
      <w:pPr>
        <w:pStyle w:val="PL"/>
      </w:pPr>
      <w:r w:rsidRPr="000A0A5F">
        <w:t>info:</w:t>
      </w:r>
    </w:p>
    <w:p w:rsidR="00CB0DD7" w:rsidRPr="000A0A5F" w:rsidRDefault="00CB0DD7">
      <w:pPr>
        <w:pStyle w:val="PL"/>
      </w:pPr>
      <w:r w:rsidRPr="000A0A5F">
        <w:t xml:space="preserve">  title: 3gpp-chargeable-party</w:t>
      </w:r>
    </w:p>
    <w:p w:rsidR="00CB0DD7" w:rsidRPr="000A0A5F" w:rsidRDefault="00CB0DD7">
      <w:pPr>
        <w:pStyle w:val="PL"/>
      </w:pPr>
      <w:r w:rsidRPr="000A0A5F">
        <w:t xml:space="preserve">  version: 1.</w:t>
      </w:r>
      <w:r w:rsidR="00B94C78" w:rsidRPr="000A0A5F">
        <w:t>3</w:t>
      </w:r>
      <w:r w:rsidRPr="000A0A5F">
        <w:t>.</w:t>
      </w:r>
      <w:r w:rsidR="00B94C78" w:rsidRPr="000A0A5F">
        <w:t>0-alpha.1</w:t>
      </w:r>
    </w:p>
    <w:p w:rsidR="00CB0DD7" w:rsidRPr="000A0A5F" w:rsidRDefault="00CB0DD7">
      <w:pPr>
        <w:pStyle w:val="PL"/>
      </w:pPr>
      <w:r w:rsidRPr="000A0A5F">
        <w:t xml:space="preserve">  description: |</w:t>
      </w:r>
    </w:p>
    <w:p w:rsidR="00CB0DD7" w:rsidRPr="000A0A5F" w:rsidRDefault="00CB0DD7">
      <w:pPr>
        <w:pStyle w:val="PL"/>
      </w:pPr>
      <w:r w:rsidRPr="000A0A5F">
        <w:t xml:space="preserve">    API for Chargeable Party management.</w:t>
      </w:r>
      <w:r w:rsidR="00970ACE" w:rsidRPr="000A0A5F">
        <w:t xml:space="preserve">  </w:t>
      </w:r>
    </w:p>
    <w:p w:rsidR="00CB0DD7" w:rsidRPr="000A0A5F" w:rsidRDefault="00CB0DD7">
      <w:pPr>
        <w:pStyle w:val="PL"/>
      </w:pPr>
      <w:r w:rsidRPr="000A0A5F">
        <w:t xml:space="preserve">    © 202</w:t>
      </w:r>
      <w:r w:rsidR="00B94C78" w:rsidRPr="000A0A5F">
        <w:t>3</w:t>
      </w:r>
      <w:r w:rsidRPr="000A0A5F">
        <w:t>, 3GPP Organizational Partners (ARIB, ATIS, CCSA, ETSI, TSDSI, TTA, TTC).</w:t>
      </w:r>
      <w:r w:rsidR="00970ACE" w:rsidRPr="000A0A5F">
        <w:t xml:space="preserve">  </w:t>
      </w:r>
    </w:p>
    <w:p w:rsidR="00CB0DD7" w:rsidRPr="000A0A5F" w:rsidRDefault="00CB0DD7">
      <w:pPr>
        <w:pStyle w:val="PL"/>
      </w:pPr>
      <w:r w:rsidRPr="000A0A5F">
        <w:t xml:space="preserve">    All rights reserved.</w:t>
      </w:r>
    </w:p>
    <w:p w:rsidR="00CB0DD7" w:rsidRPr="000A0A5F" w:rsidRDefault="00CB0DD7">
      <w:pPr>
        <w:pStyle w:val="PL"/>
      </w:pPr>
      <w:r w:rsidRPr="000A0A5F">
        <w:t>externalDocs:</w:t>
      </w:r>
    </w:p>
    <w:p w:rsidR="00CB0DD7" w:rsidRPr="000A0A5F" w:rsidRDefault="00CB0DD7">
      <w:pPr>
        <w:pStyle w:val="PL"/>
      </w:pPr>
      <w:r w:rsidRPr="000A0A5F">
        <w:t xml:space="preserve">  description: 3GPP TS 29.122 V1</w:t>
      </w:r>
      <w:r w:rsidR="00B94C78" w:rsidRPr="000A0A5F">
        <w:t>8</w:t>
      </w:r>
      <w:r w:rsidRPr="000A0A5F">
        <w:t>.</w:t>
      </w:r>
      <w:r w:rsidR="00B94C78" w:rsidRPr="000A0A5F">
        <w:t>1</w:t>
      </w:r>
      <w:r w:rsidRPr="000A0A5F">
        <w:t>.0 T8 reference point for Northbound APIs</w:t>
      </w:r>
    </w:p>
    <w:p w:rsidR="00CB0DD7" w:rsidRPr="000A0A5F" w:rsidRDefault="00CB0DD7">
      <w:pPr>
        <w:pStyle w:val="PL"/>
      </w:pPr>
      <w:r w:rsidRPr="000A0A5F">
        <w:t xml:space="preserve">  url: 'http</w:t>
      </w:r>
      <w:r w:rsidR="00970ACE" w:rsidRPr="000A0A5F">
        <w:t>s</w:t>
      </w:r>
      <w:r w:rsidRPr="000A0A5F">
        <w:t>://www.3gpp.org/ftp/Specs/archive/29_series/29.122/'</w:t>
      </w:r>
    </w:p>
    <w:p w:rsidR="00CB0DD7" w:rsidRPr="000A0A5F" w:rsidRDefault="00CB0DD7">
      <w:pPr>
        <w:pStyle w:val="PL"/>
      </w:pPr>
      <w:r w:rsidRPr="000A0A5F">
        <w:t>security:</w:t>
      </w:r>
    </w:p>
    <w:p w:rsidR="00CB0DD7" w:rsidRPr="000A0A5F" w:rsidRDefault="00CB0DD7">
      <w:pPr>
        <w:pStyle w:val="PL"/>
        <w:rPr>
          <w:lang w:val="en-US"/>
        </w:rPr>
      </w:pPr>
      <w:r w:rsidRPr="000A0A5F">
        <w:rPr>
          <w:lang w:val="en-US"/>
        </w:rPr>
        <w:t xml:space="preserve">  - {}</w:t>
      </w:r>
    </w:p>
    <w:p w:rsidR="00CB0DD7" w:rsidRPr="000A0A5F" w:rsidRDefault="00CB0DD7">
      <w:pPr>
        <w:pStyle w:val="PL"/>
      </w:pPr>
      <w:r w:rsidRPr="000A0A5F">
        <w:t xml:space="preserve">  - oAuth2ClientCredentials: []</w:t>
      </w:r>
    </w:p>
    <w:p w:rsidR="00CB0DD7" w:rsidRPr="000A0A5F" w:rsidRDefault="00CB0DD7">
      <w:pPr>
        <w:pStyle w:val="PL"/>
      </w:pPr>
      <w:r w:rsidRPr="000A0A5F">
        <w:t>servers:</w:t>
      </w:r>
    </w:p>
    <w:p w:rsidR="00CB0DD7" w:rsidRPr="000A0A5F" w:rsidRDefault="00CB0DD7">
      <w:pPr>
        <w:pStyle w:val="PL"/>
      </w:pPr>
      <w:r w:rsidRPr="000A0A5F">
        <w:t xml:space="preserve">  - url: '{apiRoot}/3gpp-chargeable-party/v1'</w:t>
      </w:r>
    </w:p>
    <w:p w:rsidR="00CB0DD7" w:rsidRPr="000A0A5F" w:rsidRDefault="00CB0DD7">
      <w:pPr>
        <w:pStyle w:val="PL"/>
      </w:pPr>
      <w:r w:rsidRPr="000A0A5F">
        <w:t xml:space="preserve">    variables:</w:t>
      </w:r>
    </w:p>
    <w:p w:rsidR="00CB0DD7" w:rsidRPr="000A0A5F" w:rsidRDefault="00CB0DD7">
      <w:pPr>
        <w:pStyle w:val="PL"/>
      </w:pPr>
      <w:r w:rsidRPr="000A0A5F">
        <w:t xml:space="preserve">      apiRoot:</w:t>
      </w:r>
    </w:p>
    <w:p w:rsidR="00CB0DD7" w:rsidRPr="000A0A5F" w:rsidRDefault="00CB0DD7">
      <w:pPr>
        <w:pStyle w:val="PL"/>
      </w:pPr>
      <w:r w:rsidRPr="000A0A5F">
        <w:t xml:space="preserve">        default: https://example.com</w:t>
      </w:r>
    </w:p>
    <w:p w:rsidR="00CB0DD7" w:rsidRPr="000A0A5F" w:rsidRDefault="00CB0DD7">
      <w:pPr>
        <w:pStyle w:val="PL"/>
      </w:pPr>
      <w:r w:rsidRPr="000A0A5F">
        <w:t xml:space="preserve">        description: apiRoot as defined in clause 5.2.4 of 3GPP TS 29.122.</w:t>
      </w:r>
    </w:p>
    <w:p w:rsidR="00CB0DD7" w:rsidRPr="000A0A5F" w:rsidRDefault="00CB0DD7">
      <w:pPr>
        <w:pStyle w:val="PL"/>
      </w:pPr>
      <w:r w:rsidRPr="000A0A5F">
        <w:t>paths:</w:t>
      </w:r>
    </w:p>
    <w:p w:rsidR="00CB0DD7" w:rsidRPr="000A0A5F" w:rsidRDefault="00CB0DD7">
      <w:pPr>
        <w:pStyle w:val="PL"/>
      </w:pPr>
      <w:r w:rsidRPr="000A0A5F">
        <w:t xml:space="preserve">  /{scsAsId}/transactions:</w:t>
      </w:r>
    </w:p>
    <w:p w:rsidR="00CB0DD7" w:rsidRPr="000A0A5F" w:rsidRDefault="00CB0DD7">
      <w:pPr>
        <w:pStyle w:val="PL"/>
      </w:pPr>
      <w:r w:rsidRPr="000A0A5F">
        <w:t xml:space="preserve">    get:</w:t>
      </w:r>
    </w:p>
    <w:p w:rsidR="00CB0DD7" w:rsidRPr="000A0A5F" w:rsidRDefault="00CB0DD7">
      <w:pPr>
        <w:pStyle w:val="PL"/>
        <w:rPr>
          <w:rFonts w:hint="eastAsia"/>
        </w:rPr>
      </w:pPr>
      <w:r w:rsidRPr="000A0A5F">
        <w:rPr>
          <w:rFonts w:hint="eastAsia"/>
        </w:rPr>
        <w:t xml:space="preserve">      summary: </w:t>
      </w:r>
      <w:r w:rsidRPr="000A0A5F">
        <w:t xml:space="preserve">Read all </w:t>
      </w:r>
      <w:r w:rsidR="00F4764B" w:rsidRPr="000A0A5F">
        <w:t xml:space="preserve">or queried </w:t>
      </w:r>
      <w:r w:rsidRPr="000A0A5F">
        <w:t>chargeable party transaction</w:t>
      </w:r>
      <w:r w:rsidRPr="000A0A5F">
        <w:rPr>
          <w:lang w:eastAsia="zh-CN"/>
        </w:rPr>
        <w:t xml:space="preserve"> resources for a given SCS/AS</w:t>
      </w:r>
      <w:r w:rsidR="003F6BEC" w:rsidRPr="000A0A5F">
        <w:rPr>
          <w:lang w:eastAsia="zh-CN"/>
        </w:rPr>
        <w:t>.</w:t>
      </w:r>
    </w:p>
    <w:p w:rsidR="003F6BEC" w:rsidRPr="000A0A5F" w:rsidRDefault="003F6BEC" w:rsidP="003F6BEC">
      <w:pPr>
        <w:pStyle w:val="PL"/>
      </w:pPr>
      <w:r w:rsidRPr="000A0A5F">
        <w:t xml:space="preserve">      </w:t>
      </w:r>
      <w:r w:rsidRPr="000A0A5F">
        <w:rPr>
          <w:rFonts w:cs="Courier New"/>
          <w:szCs w:val="16"/>
        </w:rPr>
        <w:t xml:space="preserve">operationId: </w:t>
      </w:r>
      <w:r w:rsidRPr="000A0A5F">
        <w:t>FetchAllChargeablePartyTransactions</w:t>
      </w:r>
    </w:p>
    <w:p w:rsidR="00CB0DD7" w:rsidRPr="000A0A5F" w:rsidRDefault="00CB0DD7">
      <w:pPr>
        <w:pStyle w:val="PL"/>
        <w:rPr>
          <w:rFonts w:hint="eastAsia"/>
        </w:rPr>
      </w:pPr>
      <w:r w:rsidRPr="000A0A5F">
        <w:rPr>
          <w:rFonts w:hint="eastAsia"/>
        </w:rPr>
        <w:t xml:space="preserve">      tags:</w:t>
      </w:r>
    </w:p>
    <w:p w:rsidR="00CB0DD7" w:rsidRPr="000A0A5F" w:rsidRDefault="00CB0DD7">
      <w:pPr>
        <w:pStyle w:val="PL"/>
        <w:rPr>
          <w:rFonts w:hint="eastAsia"/>
        </w:rPr>
      </w:pPr>
      <w:r w:rsidRPr="000A0A5F">
        <w:rPr>
          <w:rFonts w:hint="eastAsia"/>
        </w:rPr>
        <w:t xml:space="preserve">        - </w:t>
      </w:r>
      <w:r w:rsidRPr="000A0A5F">
        <w:t>Chargeable Party Transaction Operation</w:t>
      </w:r>
    </w:p>
    <w:p w:rsidR="00CB0DD7" w:rsidRPr="000A0A5F" w:rsidRDefault="00CB0DD7">
      <w:pPr>
        <w:pStyle w:val="PL"/>
        <w:rPr>
          <w:rFonts w:hint="eastAsia"/>
        </w:rPr>
      </w:pPr>
      <w:r w:rsidRPr="000A0A5F">
        <w:rPr>
          <w:rFonts w:hint="eastAsia"/>
        </w:rPr>
        <w:t xml:space="preserve">      parameters:</w:t>
      </w:r>
    </w:p>
    <w:p w:rsidR="00CB0DD7" w:rsidRPr="000A0A5F" w:rsidRDefault="00CB0DD7">
      <w:pPr>
        <w:pStyle w:val="PL"/>
        <w:rPr>
          <w:rFonts w:hint="eastAsia"/>
        </w:rPr>
      </w:pPr>
      <w:r w:rsidRPr="000A0A5F">
        <w:rPr>
          <w:rFonts w:hint="eastAsia"/>
        </w:rPr>
        <w:t xml:space="preserve">        - name: </w:t>
      </w:r>
      <w:r w:rsidRPr="000A0A5F">
        <w:t>scsAsId</w:t>
      </w:r>
    </w:p>
    <w:p w:rsidR="00CB0DD7" w:rsidRPr="000A0A5F" w:rsidRDefault="00CB0DD7">
      <w:pPr>
        <w:pStyle w:val="PL"/>
        <w:rPr>
          <w:rFonts w:hint="eastAsia"/>
        </w:rPr>
      </w:pPr>
      <w:r w:rsidRPr="000A0A5F">
        <w:rPr>
          <w:rFonts w:hint="eastAsia"/>
        </w:rPr>
        <w:t xml:space="preserve">          in: path</w:t>
      </w:r>
    </w:p>
    <w:p w:rsidR="00CB0DD7" w:rsidRPr="000A0A5F" w:rsidRDefault="00CB0DD7">
      <w:pPr>
        <w:pStyle w:val="PL"/>
        <w:rPr>
          <w:rFonts w:hint="eastAsia"/>
        </w:rPr>
      </w:pPr>
      <w:r w:rsidRPr="000A0A5F">
        <w:rPr>
          <w:rFonts w:hint="eastAsia"/>
        </w:rPr>
        <w:t xml:space="preserve">          description: Identifier of </w:t>
      </w:r>
      <w:r w:rsidRPr="000A0A5F">
        <w:t>SCS/AS</w:t>
      </w:r>
    </w:p>
    <w:p w:rsidR="00CB0DD7" w:rsidRPr="000A0A5F" w:rsidRDefault="00CB0DD7">
      <w:pPr>
        <w:pStyle w:val="PL"/>
        <w:rPr>
          <w:rFonts w:hint="eastAsia"/>
        </w:rPr>
      </w:pPr>
      <w:r w:rsidRPr="000A0A5F">
        <w:rPr>
          <w:rFonts w:hint="eastAsia"/>
        </w:rPr>
        <w:t xml:space="preserve">          required: true</w:t>
      </w:r>
    </w:p>
    <w:p w:rsidR="00CB0DD7" w:rsidRPr="000A0A5F" w:rsidRDefault="00CB0DD7">
      <w:pPr>
        <w:pStyle w:val="PL"/>
        <w:rPr>
          <w:rFonts w:hint="eastAsia"/>
        </w:rPr>
      </w:pPr>
      <w:r w:rsidRPr="000A0A5F">
        <w:rPr>
          <w:rFonts w:hint="eastAsia"/>
        </w:rPr>
        <w:t xml:space="preserve">          schema:</w:t>
      </w:r>
    </w:p>
    <w:p w:rsidR="00CB0DD7" w:rsidRPr="000A0A5F" w:rsidRDefault="00CB0DD7">
      <w:pPr>
        <w:pStyle w:val="PL"/>
      </w:pPr>
      <w:r w:rsidRPr="000A0A5F">
        <w:rPr>
          <w:rFonts w:hint="eastAsia"/>
        </w:rPr>
        <w:t xml:space="preserve">            type: string</w:t>
      </w:r>
    </w:p>
    <w:p w:rsidR="009471F2" w:rsidRPr="000A0A5F" w:rsidRDefault="009471F2" w:rsidP="009471F2">
      <w:pPr>
        <w:pStyle w:val="PL"/>
      </w:pPr>
      <w:r w:rsidRPr="000A0A5F">
        <w:t xml:space="preserve">        - name: ip-addrs</w:t>
      </w:r>
    </w:p>
    <w:p w:rsidR="009471F2" w:rsidRPr="000A0A5F" w:rsidRDefault="009471F2" w:rsidP="009471F2">
      <w:pPr>
        <w:pStyle w:val="PL"/>
      </w:pPr>
      <w:r w:rsidRPr="000A0A5F">
        <w:t xml:space="preserve">          in: query</w:t>
      </w:r>
    </w:p>
    <w:p w:rsidR="009471F2" w:rsidRPr="000A0A5F" w:rsidRDefault="009471F2" w:rsidP="009471F2">
      <w:pPr>
        <w:pStyle w:val="PL"/>
      </w:pPr>
      <w:r w:rsidRPr="000A0A5F">
        <w:t xml:space="preserve">          description: The IP address(es) of the requested UE(s).</w:t>
      </w:r>
    </w:p>
    <w:p w:rsidR="009471F2" w:rsidRPr="000A0A5F" w:rsidRDefault="009471F2" w:rsidP="009471F2">
      <w:pPr>
        <w:pStyle w:val="PL"/>
      </w:pPr>
      <w:r w:rsidRPr="000A0A5F">
        <w:t xml:space="preserve">          required: false</w:t>
      </w:r>
    </w:p>
    <w:p w:rsidR="00491D21" w:rsidRPr="000A0A5F" w:rsidRDefault="00491D21" w:rsidP="00491D21">
      <w:pPr>
        <w:pStyle w:val="PL"/>
      </w:pPr>
      <w:r w:rsidRPr="000A0A5F">
        <w:t xml:space="preserve">          content:</w:t>
      </w:r>
    </w:p>
    <w:p w:rsidR="00491D21" w:rsidRPr="000A0A5F" w:rsidRDefault="00491D21" w:rsidP="00491D21">
      <w:pPr>
        <w:pStyle w:val="PL"/>
      </w:pPr>
      <w:r w:rsidRPr="000A0A5F">
        <w:t xml:space="preserve">            application/json:</w:t>
      </w:r>
    </w:p>
    <w:p w:rsidR="009471F2" w:rsidRPr="000A0A5F" w:rsidRDefault="009471F2" w:rsidP="009471F2">
      <w:pPr>
        <w:pStyle w:val="PL"/>
      </w:pPr>
      <w:r w:rsidRPr="000A0A5F">
        <w:t xml:space="preserve">          </w:t>
      </w:r>
      <w:r w:rsidR="00491D21" w:rsidRPr="000A0A5F">
        <w:t xml:space="preserve">    </w:t>
      </w:r>
      <w:r w:rsidRPr="000A0A5F">
        <w:t>schema:</w:t>
      </w:r>
    </w:p>
    <w:p w:rsidR="009471F2" w:rsidRPr="000A0A5F" w:rsidRDefault="009471F2" w:rsidP="009471F2">
      <w:pPr>
        <w:pStyle w:val="PL"/>
      </w:pPr>
      <w:r w:rsidRPr="000A0A5F">
        <w:t xml:space="preserve">            </w:t>
      </w:r>
      <w:r w:rsidR="00491D21" w:rsidRPr="000A0A5F">
        <w:t xml:space="preserve">    </w:t>
      </w:r>
      <w:r w:rsidRPr="000A0A5F">
        <w:t>type: array</w:t>
      </w:r>
    </w:p>
    <w:p w:rsidR="009471F2" w:rsidRPr="000A0A5F" w:rsidRDefault="009471F2" w:rsidP="009471F2">
      <w:pPr>
        <w:pStyle w:val="PL"/>
      </w:pPr>
      <w:r w:rsidRPr="000A0A5F">
        <w:t xml:space="preserve">            </w:t>
      </w:r>
      <w:r w:rsidR="00491D21" w:rsidRPr="000A0A5F">
        <w:t xml:space="preserve">    </w:t>
      </w:r>
      <w:r w:rsidRPr="000A0A5F">
        <w:t>items:</w:t>
      </w:r>
    </w:p>
    <w:p w:rsidR="009471F2" w:rsidRPr="000A0A5F" w:rsidRDefault="009471F2" w:rsidP="009471F2">
      <w:pPr>
        <w:pStyle w:val="PL"/>
      </w:pPr>
      <w:r w:rsidRPr="000A0A5F">
        <w:t xml:space="preserve">              </w:t>
      </w:r>
      <w:r w:rsidR="00491D21" w:rsidRPr="000A0A5F">
        <w:t xml:space="preserve">    </w:t>
      </w:r>
      <w:r w:rsidRPr="000A0A5F">
        <w:t>$ref: 'TS29571_CommonData.yaml#/components/schemas/IpAddr'</w:t>
      </w:r>
    </w:p>
    <w:p w:rsidR="009471F2" w:rsidRPr="000A0A5F" w:rsidRDefault="009471F2" w:rsidP="009471F2">
      <w:pPr>
        <w:pStyle w:val="PL"/>
      </w:pPr>
      <w:r w:rsidRPr="000A0A5F">
        <w:t xml:space="preserve">            </w:t>
      </w:r>
      <w:r w:rsidR="00491D21" w:rsidRPr="000A0A5F">
        <w:t xml:space="preserve">    </w:t>
      </w:r>
      <w:r w:rsidRPr="000A0A5F">
        <w:t>minItems: 1</w:t>
      </w:r>
    </w:p>
    <w:p w:rsidR="009471F2" w:rsidRPr="000A0A5F" w:rsidRDefault="009471F2" w:rsidP="009471F2">
      <w:pPr>
        <w:pStyle w:val="PL"/>
      </w:pPr>
      <w:r w:rsidRPr="000A0A5F">
        <w:t xml:space="preserve">        - name: ip-domain</w:t>
      </w:r>
    </w:p>
    <w:p w:rsidR="009471F2" w:rsidRPr="000A0A5F" w:rsidRDefault="009471F2" w:rsidP="009471F2">
      <w:pPr>
        <w:pStyle w:val="PL"/>
      </w:pPr>
      <w:r w:rsidRPr="000A0A5F">
        <w:t xml:space="preserve">          in: query</w:t>
      </w:r>
    </w:p>
    <w:p w:rsidR="009471F2" w:rsidRPr="000A0A5F" w:rsidRDefault="009471F2" w:rsidP="009471F2">
      <w:pPr>
        <w:pStyle w:val="PL"/>
      </w:pPr>
      <w:r w:rsidRPr="000A0A5F">
        <w:t xml:space="preserve">          description: The IPv4 address domain identifier. The attribute may only be provided if IPv4 address is included in the ip-addrs query parameter.</w:t>
      </w:r>
    </w:p>
    <w:p w:rsidR="009471F2" w:rsidRPr="000A0A5F" w:rsidRDefault="009471F2" w:rsidP="009471F2">
      <w:pPr>
        <w:pStyle w:val="PL"/>
      </w:pPr>
      <w:r w:rsidRPr="000A0A5F">
        <w:t xml:space="preserve">          required: false</w:t>
      </w:r>
    </w:p>
    <w:p w:rsidR="009471F2" w:rsidRPr="000A0A5F" w:rsidRDefault="009471F2" w:rsidP="009471F2">
      <w:pPr>
        <w:pStyle w:val="PL"/>
      </w:pPr>
      <w:r w:rsidRPr="000A0A5F">
        <w:t xml:space="preserve">          schema:</w:t>
      </w:r>
    </w:p>
    <w:p w:rsidR="009471F2" w:rsidRPr="000A0A5F" w:rsidRDefault="009471F2" w:rsidP="009471F2">
      <w:pPr>
        <w:pStyle w:val="PL"/>
      </w:pPr>
      <w:r w:rsidRPr="000A0A5F">
        <w:t xml:space="preserve">            type: string</w:t>
      </w:r>
    </w:p>
    <w:p w:rsidR="009471F2" w:rsidRPr="000A0A5F" w:rsidRDefault="009471F2" w:rsidP="009471F2">
      <w:pPr>
        <w:pStyle w:val="PL"/>
      </w:pPr>
      <w:r w:rsidRPr="000A0A5F">
        <w:t xml:space="preserve">        - name: mac-addrs</w:t>
      </w:r>
    </w:p>
    <w:p w:rsidR="009471F2" w:rsidRPr="000A0A5F" w:rsidRDefault="009471F2" w:rsidP="009471F2">
      <w:pPr>
        <w:pStyle w:val="PL"/>
      </w:pPr>
      <w:r w:rsidRPr="000A0A5F">
        <w:t xml:space="preserve">          in: query</w:t>
      </w:r>
    </w:p>
    <w:p w:rsidR="009471F2" w:rsidRPr="000A0A5F" w:rsidRDefault="009471F2" w:rsidP="009471F2">
      <w:pPr>
        <w:pStyle w:val="PL"/>
      </w:pPr>
      <w:r w:rsidRPr="000A0A5F">
        <w:t xml:space="preserve">          description: The MAC address(es) of the requested UE(s).</w:t>
      </w:r>
    </w:p>
    <w:p w:rsidR="009471F2" w:rsidRPr="000A0A5F" w:rsidRDefault="009471F2" w:rsidP="009471F2">
      <w:pPr>
        <w:pStyle w:val="PL"/>
      </w:pPr>
      <w:r w:rsidRPr="000A0A5F">
        <w:t xml:space="preserve">          required: false</w:t>
      </w:r>
    </w:p>
    <w:p w:rsidR="009471F2" w:rsidRPr="000A0A5F" w:rsidRDefault="009471F2" w:rsidP="009471F2">
      <w:pPr>
        <w:pStyle w:val="PL"/>
      </w:pPr>
      <w:r w:rsidRPr="000A0A5F">
        <w:t xml:space="preserve">          schema:</w:t>
      </w:r>
    </w:p>
    <w:p w:rsidR="009471F2" w:rsidRPr="000A0A5F" w:rsidRDefault="009471F2" w:rsidP="009471F2">
      <w:pPr>
        <w:pStyle w:val="PL"/>
      </w:pPr>
      <w:r w:rsidRPr="000A0A5F">
        <w:t xml:space="preserve">            type: array</w:t>
      </w:r>
    </w:p>
    <w:p w:rsidR="009471F2" w:rsidRPr="000A0A5F" w:rsidRDefault="009471F2" w:rsidP="009471F2">
      <w:pPr>
        <w:pStyle w:val="PL"/>
      </w:pPr>
      <w:r w:rsidRPr="000A0A5F">
        <w:t xml:space="preserve">            items:</w:t>
      </w:r>
    </w:p>
    <w:p w:rsidR="009471F2" w:rsidRPr="000A0A5F" w:rsidRDefault="009471F2" w:rsidP="009471F2">
      <w:pPr>
        <w:pStyle w:val="PL"/>
      </w:pPr>
      <w:r w:rsidRPr="000A0A5F">
        <w:t xml:space="preserve">              $ref: 'TS29571_CommonData.yaml#/components/schemas/MacAddr48'</w:t>
      </w:r>
    </w:p>
    <w:p w:rsidR="009471F2" w:rsidRPr="000A0A5F" w:rsidRDefault="009471F2" w:rsidP="009471F2">
      <w:pPr>
        <w:pStyle w:val="PL"/>
      </w:pPr>
      <w:r w:rsidRPr="000A0A5F">
        <w:t xml:space="preserve">            minItems: 1</w:t>
      </w:r>
    </w:p>
    <w:p w:rsidR="00CB0DD7" w:rsidRPr="000A0A5F" w:rsidRDefault="00CB0DD7">
      <w:pPr>
        <w:pStyle w:val="PL"/>
        <w:rPr>
          <w:rFonts w:hint="eastAsia"/>
        </w:rPr>
      </w:pPr>
      <w:r w:rsidRPr="000A0A5F">
        <w:rPr>
          <w:rFonts w:hint="eastAsia"/>
        </w:rPr>
        <w:t xml:space="preserve">      responses:</w:t>
      </w:r>
    </w:p>
    <w:p w:rsidR="00CB0DD7" w:rsidRPr="000A0A5F" w:rsidRDefault="00CB0DD7">
      <w:pPr>
        <w:pStyle w:val="PL"/>
        <w:rPr>
          <w:rFonts w:hint="eastAsia"/>
        </w:rPr>
      </w:pPr>
      <w:r w:rsidRPr="000A0A5F">
        <w:rPr>
          <w:rFonts w:hint="eastAsia"/>
        </w:rPr>
        <w:t xml:space="preserve">        '200':</w:t>
      </w:r>
    </w:p>
    <w:p w:rsidR="00CB0DD7" w:rsidRPr="000A0A5F" w:rsidRDefault="00CB0DD7">
      <w:pPr>
        <w:pStyle w:val="PL"/>
        <w:rPr>
          <w:rFonts w:hint="eastAsia"/>
        </w:rPr>
      </w:pPr>
      <w:r w:rsidRPr="000A0A5F">
        <w:rPr>
          <w:rFonts w:hint="eastAsia"/>
        </w:rPr>
        <w:t xml:space="preserve">          description: OK (</w:t>
      </w:r>
      <w:r w:rsidRPr="000A0A5F">
        <w:t>successful query of Chargeable Party resource</w:t>
      </w:r>
      <w:r w:rsidRPr="000A0A5F">
        <w:rPr>
          <w:rFonts w:hint="eastAsia"/>
        </w:rPr>
        <w:t>)</w:t>
      </w:r>
    </w:p>
    <w:p w:rsidR="00CB0DD7" w:rsidRPr="000A0A5F" w:rsidRDefault="00CB0DD7">
      <w:pPr>
        <w:pStyle w:val="PL"/>
        <w:rPr>
          <w:rFonts w:hint="eastAsia"/>
        </w:rPr>
      </w:pPr>
      <w:r w:rsidRPr="000A0A5F">
        <w:rPr>
          <w:rFonts w:hint="eastAsia"/>
        </w:rPr>
        <w:t xml:space="preserve">          content:</w:t>
      </w:r>
    </w:p>
    <w:p w:rsidR="00CB0DD7" w:rsidRPr="000A0A5F" w:rsidRDefault="00CB0DD7">
      <w:pPr>
        <w:pStyle w:val="PL"/>
      </w:pPr>
      <w:r w:rsidRPr="000A0A5F">
        <w:rPr>
          <w:rFonts w:hint="eastAsia"/>
        </w:rPr>
        <w:t xml:space="preserve">            application/json:</w:t>
      </w:r>
    </w:p>
    <w:p w:rsidR="00CB0DD7" w:rsidRPr="000A0A5F" w:rsidRDefault="00CB0DD7">
      <w:pPr>
        <w:pStyle w:val="PL"/>
        <w:rPr>
          <w:lang w:val="en-US"/>
        </w:rPr>
      </w:pPr>
      <w:r w:rsidRPr="000A0A5F">
        <w:rPr>
          <w:lang w:val="en-US"/>
        </w:rPr>
        <w:t xml:space="preserve">              schema:</w:t>
      </w:r>
    </w:p>
    <w:p w:rsidR="00CB0DD7" w:rsidRPr="000A0A5F" w:rsidRDefault="00CB0DD7">
      <w:pPr>
        <w:pStyle w:val="PL"/>
      </w:pPr>
      <w:r w:rsidRPr="000A0A5F">
        <w:rPr>
          <w:lang w:val="en-US"/>
        </w:rPr>
        <w:t xml:space="preserve">                </w:t>
      </w:r>
      <w:r w:rsidRPr="000A0A5F">
        <w:t>type: array</w:t>
      </w:r>
    </w:p>
    <w:p w:rsidR="00CB0DD7" w:rsidRPr="000A0A5F" w:rsidRDefault="00CB0DD7">
      <w:pPr>
        <w:pStyle w:val="PL"/>
      </w:pPr>
      <w:r w:rsidRPr="000A0A5F">
        <w:t xml:space="preserve">                items:</w:t>
      </w:r>
    </w:p>
    <w:p w:rsidR="00CB0DD7" w:rsidRPr="000A0A5F" w:rsidRDefault="00CB0DD7">
      <w:pPr>
        <w:pStyle w:val="PL"/>
      </w:pPr>
      <w:r w:rsidRPr="000A0A5F">
        <w:t xml:space="preserve">                  $ref: '#/components/schemas/ChargeableParty'</w:t>
      </w:r>
    </w:p>
    <w:p w:rsidR="00CB0DD7" w:rsidRPr="000A0A5F" w:rsidRDefault="00CB0DD7">
      <w:pPr>
        <w:pStyle w:val="PL"/>
      </w:pPr>
      <w:r w:rsidRPr="000A0A5F">
        <w:t xml:space="preserve">                minItems: 0</w:t>
      </w:r>
    </w:p>
    <w:p w:rsidR="00CB0DD7" w:rsidRPr="000A0A5F" w:rsidRDefault="00CB0DD7">
      <w:pPr>
        <w:pStyle w:val="PL"/>
      </w:pPr>
      <w:r w:rsidRPr="000A0A5F">
        <w:t xml:space="preserve">                description: individual BDT policy subscription.</w:t>
      </w:r>
    </w:p>
    <w:p w:rsidR="00CB0DD7" w:rsidRPr="000A0A5F" w:rsidRDefault="00CB0DD7">
      <w:pPr>
        <w:pStyle w:val="PL"/>
      </w:pPr>
      <w:r w:rsidRPr="000A0A5F">
        <w:t xml:space="preserve">        '307':</w:t>
      </w:r>
    </w:p>
    <w:p w:rsidR="00CB0DD7" w:rsidRPr="000A0A5F" w:rsidRDefault="00CB0DD7">
      <w:pPr>
        <w:pStyle w:val="PL"/>
      </w:pPr>
      <w:r w:rsidRPr="000A0A5F">
        <w:t xml:space="preserve">          $ref: 'TS29122_CommonData.yaml#/components/responses/307'</w:t>
      </w:r>
    </w:p>
    <w:p w:rsidR="00CB0DD7" w:rsidRPr="000A0A5F" w:rsidRDefault="00CB0DD7">
      <w:pPr>
        <w:pStyle w:val="PL"/>
      </w:pPr>
      <w:r w:rsidRPr="000A0A5F">
        <w:t xml:space="preserve">        '308':</w:t>
      </w:r>
    </w:p>
    <w:p w:rsidR="00CB0DD7" w:rsidRPr="000A0A5F" w:rsidRDefault="00CB0DD7">
      <w:pPr>
        <w:pStyle w:val="PL"/>
      </w:pPr>
      <w:r w:rsidRPr="000A0A5F">
        <w:t xml:space="preserve">          $ref: 'TS29122_CommonData.yaml#/components/responses/308'</w:t>
      </w:r>
    </w:p>
    <w:p w:rsidR="00CB0DD7" w:rsidRPr="000A0A5F" w:rsidRDefault="00CB0DD7">
      <w:pPr>
        <w:pStyle w:val="PL"/>
      </w:pPr>
      <w:r w:rsidRPr="000A0A5F">
        <w:t xml:space="preserve">        '400':</w:t>
      </w:r>
    </w:p>
    <w:p w:rsidR="00CB0DD7" w:rsidRPr="000A0A5F" w:rsidRDefault="00CB0DD7">
      <w:pPr>
        <w:pStyle w:val="PL"/>
      </w:pPr>
      <w:r w:rsidRPr="000A0A5F">
        <w:t xml:space="preserve">          $ref: 'TS29122_CommonData.yaml#/components/responses/400'</w:t>
      </w:r>
    </w:p>
    <w:p w:rsidR="00CB0DD7" w:rsidRPr="000A0A5F" w:rsidRDefault="00CB0DD7">
      <w:pPr>
        <w:pStyle w:val="PL"/>
      </w:pPr>
      <w:r w:rsidRPr="000A0A5F">
        <w:t xml:space="preserve">        '401':</w:t>
      </w:r>
    </w:p>
    <w:p w:rsidR="00CB0DD7" w:rsidRPr="000A0A5F" w:rsidRDefault="00CB0DD7">
      <w:pPr>
        <w:pStyle w:val="PL"/>
      </w:pPr>
      <w:r w:rsidRPr="000A0A5F">
        <w:t xml:space="preserve">          $ref: 'TS29122_CommonData.yaml#/components/responses/401'</w:t>
      </w:r>
    </w:p>
    <w:p w:rsidR="00CB0DD7" w:rsidRPr="000A0A5F" w:rsidRDefault="00CB0DD7">
      <w:pPr>
        <w:pStyle w:val="PL"/>
      </w:pPr>
      <w:r w:rsidRPr="000A0A5F">
        <w:t xml:space="preserve">        '403':</w:t>
      </w:r>
    </w:p>
    <w:p w:rsidR="00CB0DD7" w:rsidRPr="000A0A5F" w:rsidRDefault="00CB0DD7">
      <w:pPr>
        <w:pStyle w:val="PL"/>
      </w:pPr>
      <w:r w:rsidRPr="000A0A5F">
        <w:t xml:space="preserve">          $ref: 'TS29122_CommonData.yaml#/components/responses/403'</w:t>
      </w:r>
    </w:p>
    <w:p w:rsidR="00CB0DD7" w:rsidRPr="000A0A5F" w:rsidRDefault="00CB0DD7">
      <w:pPr>
        <w:pStyle w:val="PL"/>
      </w:pPr>
      <w:r w:rsidRPr="000A0A5F">
        <w:t xml:space="preserve">        '404':</w:t>
      </w:r>
    </w:p>
    <w:p w:rsidR="00CB0DD7" w:rsidRPr="000A0A5F" w:rsidRDefault="00CB0DD7">
      <w:pPr>
        <w:pStyle w:val="PL"/>
      </w:pPr>
      <w:r w:rsidRPr="000A0A5F">
        <w:t xml:space="preserve">          $ref: 'TS29122_CommonData.yaml#/components/responses/404'</w:t>
      </w:r>
    </w:p>
    <w:p w:rsidR="00CB0DD7" w:rsidRPr="000A0A5F" w:rsidRDefault="00CB0DD7">
      <w:pPr>
        <w:pStyle w:val="PL"/>
      </w:pPr>
      <w:r w:rsidRPr="000A0A5F">
        <w:t xml:space="preserve">        '406':</w:t>
      </w:r>
    </w:p>
    <w:p w:rsidR="00CB0DD7" w:rsidRPr="000A0A5F" w:rsidRDefault="00CB0DD7">
      <w:pPr>
        <w:pStyle w:val="PL"/>
      </w:pPr>
      <w:r w:rsidRPr="000A0A5F">
        <w:t xml:space="preserve">          $ref: 'TS29122_CommonData.yaml#/components/responses/406'</w:t>
      </w:r>
    </w:p>
    <w:p w:rsidR="00CB0DD7" w:rsidRPr="000A0A5F" w:rsidRDefault="00CB0DD7">
      <w:pPr>
        <w:pStyle w:val="PL"/>
      </w:pPr>
      <w:r w:rsidRPr="000A0A5F">
        <w:t xml:space="preserve">        '429':</w:t>
      </w:r>
    </w:p>
    <w:p w:rsidR="00CB0DD7" w:rsidRPr="000A0A5F" w:rsidRDefault="00CB0DD7">
      <w:pPr>
        <w:pStyle w:val="PL"/>
      </w:pPr>
      <w:r w:rsidRPr="000A0A5F">
        <w:t xml:space="preserve">          $ref: 'TS29122_CommonData.yaml#/components/responses/429'</w:t>
      </w:r>
    </w:p>
    <w:p w:rsidR="00CB0DD7" w:rsidRPr="000A0A5F" w:rsidRDefault="00CB0DD7">
      <w:pPr>
        <w:pStyle w:val="PL"/>
      </w:pPr>
      <w:r w:rsidRPr="000A0A5F">
        <w:t xml:space="preserve">        '500':</w:t>
      </w:r>
    </w:p>
    <w:p w:rsidR="00CB0DD7" w:rsidRPr="000A0A5F" w:rsidRDefault="00CB0DD7">
      <w:pPr>
        <w:pStyle w:val="PL"/>
      </w:pPr>
      <w:r w:rsidRPr="000A0A5F">
        <w:t xml:space="preserve">          $ref: 'TS29122_CommonData.yaml#/components/responses/500'</w:t>
      </w:r>
    </w:p>
    <w:p w:rsidR="00CB0DD7" w:rsidRPr="000A0A5F" w:rsidRDefault="00CB0DD7">
      <w:pPr>
        <w:pStyle w:val="PL"/>
      </w:pPr>
      <w:r w:rsidRPr="000A0A5F">
        <w:t xml:space="preserve">        '503':</w:t>
      </w:r>
    </w:p>
    <w:p w:rsidR="00CB0DD7" w:rsidRPr="000A0A5F" w:rsidRDefault="00CB0DD7">
      <w:pPr>
        <w:pStyle w:val="PL"/>
      </w:pPr>
      <w:r w:rsidRPr="000A0A5F">
        <w:t xml:space="preserve">          $ref: 'TS29122_CommonData.yaml#/components/responses/503'</w:t>
      </w:r>
    </w:p>
    <w:p w:rsidR="00CB0DD7" w:rsidRPr="000A0A5F" w:rsidRDefault="00CB0DD7">
      <w:pPr>
        <w:pStyle w:val="PL"/>
      </w:pPr>
      <w:r w:rsidRPr="000A0A5F">
        <w:t xml:space="preserve">        default:</w:t>
      </w:r>
    </w:p>
    <w:p w:rsidR="00CB0DD7" w:rsidRPr="000A0A5F" w:rsidRDefault="00CB0DD7">
      <w:pPr>
        <w:pStyle w:val="PL"/>
      </w:pPr>
      <w:r w:rsidRPr="000A0A5F">
        <w:t xml:space="preserve">          $ref: 'TS29122_CommonData.yaml#/components/responses/default'</w:t>
      </w:r>
    </w:p>
    <w:p w:rsidR="00CB0DD7" w:rsidRPr="000A0A5F" w:rsidRDefault="00CB0DD7">
      <w:pPr>
        <w:pStyle w:val="PL"/>
        <w:rPr>
          <w:rFonts w:hint="eastAsia"/>
        </w:rPr>
      </w:pPr>
    </w:p>
    <w:p w:rsidR="00CB0DD7" w:rsidRPr="000A0A5F" w:rsidRDefault="00CB0DD7">
      <w:pPr>
        <w:pStyle w:val="PL"/>
        <w:tabs>
          <w:tab w:val="clear" w:pos="384"/>
        </w:tabs>
      </w:pPr>
      <w:r w:rsidRPr="000A0A5F">
        <w:t xml:space="preserve">    post:</w:t>
      </w:r>
    </w:p>
    <w:p w:rsidR="00CB0DD7" w:rsidRPr="000A0A5F" w:rsidRDefault="00CB0DD7">
      <w:pPr>
        <w:pStyle w:val="PL"/>
        <w:rPr>
          <w:lang w:eastAsia="zh-CN"/>
        </w:rPr>
      </w:pPr>
      <w:r w:rsidRPr="000A0A5F">
        <w:t xml:space="preserve">      summary:  Create a new chargeable party transaction resource</w:t>
      </w:r>
      <w:r w:rsidR="003F6BEC" w:rsidRPr="000A0A5F">
        <w:t>.</w:t>
      </w:r>
    </w:p>
    <w:p w:rsidR="003F6BEC" w:rsidRPr="000A0A5F" w:rsidRDefault="003F6BEC" w:rsidP="003F6BEC">
      <w:pPr>
        <w:pStyle w:val="PL"/>
      </w:pPr>
      <w:r w:rsidRPr="000A0A5F">
        <w:t xml:space="preserve">      </w:t>
      </w:r>
      <w:r w:rsidRPr="000A0A5F">
        <w:rPr>
          <w:rFonts w:cs="Courier New"/>
          <w:szCs w:val="16"/>
        </w:rPr>
        <w:t>operationId: Create</w:t>
      </w:r>
      <w:r w:rsidRPr="000A0A5F">
        <w:t>ChargeablePartyTransaction</w:t>
      </w:r>
    </w:p>
    <w:p w:rsidR="00CB0DD7" w:rsidRPr="000A0A5F" w:rsidRDefault="00CB0DD7">
      <w:pPr>
        <w:pStyle w:val="PL"/>
        <w:rPr>
          <w:lang w:val="en-US"/>
        </w:rPr>
      </w:pPr>
      <w:r w:rsidRPr="000A0A5F">
        <w:rPr>
          <w:lang w:val="en-US"/>
        </w:rPr>
        <w:t xml:space="preserve">      tags:</w:t>
      </w:r>
    </w:p>
    <w:p w:rsidR="00CB0DD7" w:rsidRPr="000A0A5F" w:rsidRDefault="00CB0DD7">
      <w:pPr>
        <w:pStyle w:val="PL"/>
      </w:pPr>
      <w:r w:rsidRPr="000A0A5F">
        <w:rPr>
          <w:lang w:val="en-US"/>
        </w:rPr>
        <w:t xml:space="preserve">        - </w:t>
      </w:r>
      <w:r w:rsidRPr="000A0A5F">
        <w:t>Chargeable Party Transaction Operation</w:t>
      </w:r>
    </w:p>
    <w:p w:rsidR="00CB0DD7" w:rsidRPr="000A0A5F" w:rsidRDefault="00CB0DD7">
      <w:pPr>
        <w:pStyle w:val="PL"/>
        <w:rPr>
          <w:rFonts w:hint="eastAsia"/>
        </w:rPr>
      </w:pPr>
      <w:r w:rsidRPr="000A0A5F">
        <w:rPr>
          <w:rFonts w:hint="eastAsia"/>
        </w:rPr>
        <w:t xml:space="preserve">      parameters:</w:t>
      </w:r>
    </w:p>
    <w:p w:rsidR="00CB0DD7" w:rsidRPr="000A0A5F" w:rsidRDefault="00CB0DD7">
      <w:pPr>
        <w:pStyle w:val="PL"/>
        <w:rPr>
          <w:rFonts w:hint="eastAsia"/>
        </w:rPr>
      </w:pPr>
      <w:r w:rsidRPr="000A0A5F">
        <w:rPr>
          <w:rFonts w:hint="eastAsia"/>
        </w:rPr>
        <w:t xml:space="preserve">        - name: </w:t>
      </w:r>
      <w:r w:rsidRPr="000A0A5F">
        <w:t>scsAsId</w:t>
      </w:r>
    </w:p>
    <w:p w:rsidR="00CB0DD7" w:rsidRPr="000A0A5F" w:rsidRDefault="00CB0DD7">
      <w:pPr>
        <w:pStyle w:val="PL"/>
        <w:rPr>
          <w:rFonts w:hint="eastAsia"/>
        </w:rPr>
      </w:pPr>
      <w:r w:rsidRPr="000A0A5F">
        <w:rPr>
          <w:rFonts w:hint="eastAsia"/>
        </w:rPr>
        <w:t xml:space="preserve">          in: path</w:t>
      </w:r>
    </w:p>
    <w:p w:rsidR="00CB0DD7" w:rsidRPr="000A0A5F" w:rsidRDefault="00CB0DD7">
      <w:pPr>
        <w:pStyle w:val="PL"/>
        <w:rPr>
          <w:rFonts w:hint="eastAsia"/>
        </w:rPr>
      </w:pPr>
      <w:r w:rsidRPr="000A0A5F">
        <w:rPr>
          <w:rFonts w:hint="eastAsia"/>
        </w:rPr>
        <w:t xml:space="preserve">          description: Identifier of </w:t>
      </w:r>
      <w:r w:rsidRPr="000A0A5F">
        <w:t>SCS/AS</w:t>
      </w:r>
    </w:p>
    <w:p w:rsidR="00CB0DD7" w:rsidRPr="000A0A5F" w:rsidRDefault="00CB0DD7">
      <w:pPr>
        <w:pStyle w:val="PL"/>
        <w:rPr>
          <w:rFonts w:hint="eastAsia"/>
        </w:rPr>
      </w:pPr>
      <w:r w:rsidRPr="000A0A5F">
        <w:rPr>
          <w:rFonts w:hint="eastAsia"/>
        </w:rPr>
        <w:t xml:space="preserve">          required: true</w:t>
      </w:r>
    </w:p>
    <w:p w:rsidR="00CB0DD7" w:rsidRPr="000A0A5F" w:rsidRDefault="00CB0DD7">
      <w:pPr>
        <w:pStyle w:val="PL"/>
        <w:rPr>
          <w:rFonts w:hint="eastAsia"/>
        </w:rPr>
      </w:pPr>
      <w:r w:rsidRPr="000A0A5F">
        <w:rPr>
          <w:rFonts w:hint="eastAsia"/>
        </w:rPr>
        <w:t xml:space="preserve">          schema:</w:t>
      </w:r>
    </w:p>
    <w:p w:rsidR="00CB0DD7" w:rsidRPr="000A0A5F" w:rsidRDefault="00CB0DD7">
      <w:pPr>
        <w:pStyle w:val="PL"/>
      </w:pPr>
      <w:r w:rsidRPr="000A0A5F">
        <w:rPr>
          <w:rFonts w:hint="eastAsia"/>
        </w:rPr>
        <w:t xml:space="preserve">            type: string</w:t>
      </w:r>
    </w:p>
    <w:p w:rsidR="00CB0DD7" w:rsidRPr="000A0A5F" w:rsidRDefault="00CB0DD7">
      <w:pPr>
        <w:pStyle w:val="PL"/>
        <w:rPr>
          <w:lang w:val="en-US"/>
        </w:rPr>
      </w:pPr>
      <w:r w:rsidRPr="000A0A5F">
        <w:rPr>
          <w:lang w:val="en-US"/>
        </w:rPr>
        <w:t xml:space="preserve">      requestBody:</w:t>
      </w:r>
    </w:p>
    <w:p w:rsidR="00CB0DD7" w:rsidRPr="000A0A5F" w:rsidRDefault="00CB0DD7">
      <w:pPr>
        <w:pStyle w:val="PL"/>
        <w:rPr>
          <w:lang w:val="en-US"/>
        </w:rPr>
      </w:pPr>
      <w:r w:rsidRPr="000A0A5F">
        <w:rPr>
          <w:lang w:val="en-US"/>
        </w:rPr>
        <w:t xml:space="preserve">        description: representation of the </w:t>
      </w:r>
      <w:r w:rsidRPr="000A0A5F">
        <w:t>Chargeable Party resource</w:t>
      </w:r>
      <w:r w:rsidRPr="000A0A5F">
        <w:rPr>
          <w:lang w:val="en-US"/>
        </w:rPr>
        <w:t xml:space="preserve"> to be Created in the SCEF</w:t>
      </w:r>
    </w:p>
    <w:p w:rsidR="00CB0DD7" w:rsidRPr="000A0A5F" w:rsidRDefault="00CB0DD7">
      <w:pPr>
        <w:pStyle w:val="PL"/>
        <w:rPr>
          <w:lang w:val="en-US"/>
        </w:rPr>
      </w:pPr>
      <w:r w:rsidRPr="000A0A5F">
        <w:rPr>
          <w:lang w:val="en-US"/>
        </w:rPr>
        <w:t xml:space="preserve">        required: true</w:t>
      </w:r>
    </w:p>
    <w:p w:rsidR="00CB0DD7" w:rsidRPr="000A0A5F" w:rsidRDefault="00CB0DD7">
      <w:pPr>
        <w:pStyle w:val="PL"/>
        <w:rPr>
          <w:lang w:val="en-US"/>
        </w:rPr>
      </w:pPr>
      <w:r w:rsidRPr="000A0A5F">
        <w:rPr>
          <w:lang w:val="en-US"/>
        </w:rPr>
        <w:t xml:space="preserve">        content:</w:t>
      </w:r>
    </w:p>
    <w:p w:rsidR="00CB0DD7" w:rsidRPr="000A0A5F" w:rsidRDefault="00CB0DD7">
      <w:pPr>
        <w:pStyle w:val="PL"/>
        <w:rPr>
          <w:lang w:val="en-US"/>
        </w:rPr>
      </w:pPr>
      <w:r w:rsidRPr="000A0A5F">
        <w:rPr>
          <w:lang w:val="en-US"/>
        </w:rPr>
        <w:t xml:space="preserve">          application/json: </w:t>
      </w:r>
    </w:p>
    <w:p w:rsidR="00CB0DD7" w:rsidRPr="000A0A5F" w:rsidRDefault="00CB0DD7">
      <w:pPr>
        <w:pStyle w:val="PL"/>
        <w:rPr>
          <w:lang w:val="en-US"/>
        </w:rPr>
      </w:pPr>
      <w:r w:rsidRPr="000A0A5F">
        <w:rPr>
          <w:lang w:val="en-US"/>
        </w:rPr>
        <w:t xml:space="preserve">            schema:</w:t>
      </w:r>
    </w:p>
    <w:p w:rsidR="00CB0DD7" w:rsidRPr="000A0A5F" w:rsidRDefault="00CB0DD7">
      <w:pPr>
        <w:pStyle w:val="PL"/>
        <w:rPr>
          <w:lang w:val="en-US"/>
        </w:rPr>
      </w:pPr>
      <w:r w:rsidRPr="000A0A5F">
        <w:rPr>
          <w:lang w:val="en-US"/>
        </w:rPr>
        <w:t xml:space="preserve">              $ref: '#/components/schemas/</w:t>
      </w:r>
      <w:r w:rsidRPr="000A0A5F">
        <w:t>ChargeableParty</w:t>
      </w:r>
      <w:r w:rsidRPr="000A0A5F">
        <w:rPr>
          <w:lang w:val="en-US"/>
        </w:rPr>
        <w:t>'</w:t>
      </w:r>
    </w:p>
    <w:p w:rsidR="00CB0DD7" w:rsidRPr="000A0A5F" w:rsidRDefault="00CB0DD7">
      <w:pPr>
        <w:pStyle w:val="PL"/>
        <w:tabs>
          <w:tab w:val="clear" w:pos="768"/>
          <w:tab w:val="left" w:pos="610"/>
        </w:tabs>
        <w:rPr>
          <w:lang w:val="en-US"/>
        </w:rPr>
      </w:pPr>
      <w:r w:rsidRPr="000A0A5F">
        <w:t xml:space="preserve">      </w:t>
      </w:r>
      <w:r w:rsidRPr="000A0A5F">
        <w:rPr>
          <w:lang w:val="en-US"/>
        </w:rPr>
        <w:t>callbacks:</w:t>
      </w:r>
    </w:p>
    <w:p w:rsidR="00CB0DD7" w:rsidRPr="000A0A5F" w:rsidRDefault="00CB0DD7">
      <w:pPr>
        <w:pStyle w:val="PL"/>
        <w:rPr>
          <w:lang w:val="en-US"/>
        </w:rPr>
      </w:pPr>
      <w:r w:rsidRPr="000A0A5F">
        <w:rPr>
          <w:lang w:val="en-US"/>
        </w:rPr>
        <w:t xml:space="preserve">        </w:t>
      </w:r>
      <w:r w:rsidRPr="000A0A5F">
        <w:t>eventNotification</w:t>
      </w:r>
      <w:r w:rsidRPr="000A0A5F">
        <w:rPr>
          <w:lang w:val="en-US"/>
        </w:rPr>
        <w:t>:</w:t>
      </w:r>
    </w:p>
    <w:p w:rsidR="00CB0DD7" w:rsidRPr="000A0A5F" w:rsidRDefault="00CB0DD7">
      <w:pPr>
        <w:pStyle w:val="PL"/>
        <w:rPr>
          <w:lang w:val="en-US"/>
        </w:rPr>
      </w:pPr>
      <w:r w:rsidRPr="000A0A5F">
        <w:rPr>
          <w:lang w:val="en-US"/>
        </w:rPr>
        <w:t xml:space="preserve">          '{$request.body#/notification</w:t>
      </w:r>
      <w:r w:rsidRPr="000A0A5F">
        <w:t>Destination</w:t>
      </w:r>
      <w:r w:rsidRPr="000A0A5F">
        <w:rPr>
          <w:lang w:val="en-US"/>
        </w:rPr>
        <w:t>}':</w:t>
      </w:r>
    </w:p>
    <w:p w:rsidR="00CB0DD7" w:rsidRPr="000A0A5F" w:rsidRDefault="00CB0DD7">
      <w:pPr>
        <w:pStyle w:val="PL"/>
        <w:rPr>
          <w:lang w:val="en-US"/>
        </w:rPr>
      </w:pPr>
      <w:r w:rsidRPr="000A0A5F">
        <w:rPr>
          <w:lang w:val="en-US"/>
        </w:rPr>
        <w:t xml:space="preserve">            post:</w:t>
      </w:r>
    </w:p>
    <w:p w:rsidR="00CB0DD7" w:rsidRPr="000A0A5F" w:rsidRDefault="00CB0DD7">
      <w:pPr>
        <w:pStyle w:val="PL"/>
        <w:rPr>
          <w:lang w:val="en-US"/>
        </w:rPr>
      </w:pPr>
      <w:r w:rsidRPr="000A0A5F">
        <w:rPr>
          <w:lang w:val="en-US"/>
        </w:rPr>
        <w:t xml:space="preserve">              requestBody:  # contents of the callback message</w:t>
      </w:r>
    </w:p>
    <w:p w:rsidR="00CB0DD7" w:rsidRPr="000A0A5F" w:rsidRDefault="00CB0DD7">
      <w:pPr>
        <w:pStyle w:val="PL"/>
        <w:rPr>
          <w:lang w:val="en-US"/>
        </w:rPr>
      </w:pPr>
      <w:r w:rsidRPr="000A0A5F">
        <w:rPr>
          <w:lang w:val="en-US"/>
        </w:rPr>
        <w:t xml:space="preserve">                required: true</w:t>
      </w:r>
    </w:p>
    <w:p w:rsidR="00CB0DD7" w:rsidRPr="000A0A5F" w:rsidRDefault="00CB0DD7">
      <w:pPr>
        <w:pStyle w:val="PL"/>
        <w:rPr>
          <w:lang w:val="en-US"/>
        </w:rPr>
      </w:pPr>
      <w:r w:rsidRPr="000A0A5F">
        <w:rPr>
          <w:lang w:val="en-US"/>
        </w:rPr>
        <w:t xml:space="preserve">                content:</w:t>
      </w:r>
    </w:p>
    <w:p w:rsidR="00CB0DD7" w:rsidRPr="000A0A5F" w:rsidRDefault="00CB0DD7">
      <w:pPr>
        <w:pStyle w:val="PL"/>
        <w:rPr>
          <w:lang w:val="en-US"/>
        </w:rPr>
      </w:pPr>
      <w:r w:rsidRPr="000A0A5F">
        <w:rPr>
          <w:lang w:val="en-US"/>
        </w:rPr>
        <w:t xml:space="preserve">                  application/json:</w:t>
      </w:r>
    </w:p>
    <w:p w:rsidR="00CB0DD7" w:rsidRPr="000A0A5F" w:rsidRDefault="00CB0DD7">
      <w:pPr>
        <w:pStyle w:val="PL"/>
        <w:rPr>
          <w:lang w:val="en-US"/>
        </w:rPr>
      </w:pPr>
      <w:r w:rsidRPr="000A0A5F">
        <w:rPr>
          <w:lang w:val="en-US"/>
        </w:rPr>
        <w:t xml:space="preserve">                    schema:</w:t>
      </w:r>
    </w:p>
    <w:p w:rsidR="00CB0DD7" w:rsidRPr="000A0A5F" w:rsidRDefault="00CB0DD7">
      <w:pPr>
        <w:pStyle w:val="PL"/>
        <w:rPr>
          <w:lang w:val="en-US"/>
        </w:rPr>
      </w:pPr>
      <w:r w:rsidRPr="000A0A5F">
        <w:rPr>
          <w:lang w:val="en-US"/>
        </w:rPr>
        <w:t xml:space="preserve">                      $ref: '</w:t>
      </w:r>
      <w:r w:rsidRPr="000A0A5F">
        <w:t>TS29122_CommonData.yaml#/components/schemas/NotificationData</w:t>
      </w:r>
      <w:r w:rsidRPr="000A0A5F">
        <w:rPr>
          <w:lang w:val="en-US"/>
        </w:rPr>
        <w:t>'</w:t>
      </w:r>
    </w:p>
    <w:p w:rsidR="00CB0DD7" w:rsidRPr="000A0A5F" w:rsidRDefault="00CB0DD7">
      <w:pPr>
        <w:pStyle w:val="PL"/>
        <w:rPr>
          <w:lang w:val="en-US"/>
        </w:rPr>
      </w:pPr>
      <w:r w:rsidRPr="000A0A5F">
        <w:rPr>
          <w:lang w:val="en-US"/>
        </w:rPr>
        <w:t xml:space="preserve">              responses:</w:t>
      </w:r>
    </w:p>
    <w:p w:rsidR="00CB0DD7" w:rsidRPr="000A0A5F" w:rsidRDefault="00CB0DD7">
      <w:pPr>
        <w:pStyle w:val="PL"/>
        <w:rPr>
          <w:rFonts w:hint="eastAsia"/>
        </w:rPr>
      </w:pPr>
      <w:r w:rsidRPr="000A0A5F">
        <w:rPr>
          <w:lang w:val="en-US"/>
        </w:rPr>
        <w:t xml:space="preserve">                </w:t>
      </w:r>
      <w:r w:rsidRPr="000A0A5F">
        <w:rPr>
          <w:rFonts w:hint="eastAsia"/>
        </w:rPr>
        <w:t>'20</w:t>
      </w:r>
      <w:r w:rsidRPr="000A0A5F">
        <w:t>4</w:t>
      </w:r>
      <w:r w:rsidRPr="000A0A5F">
        <w:rPr>
          <w:rFonts w:hint="eastAsia"/>
        </w:rPr>
        <w:t>':</w:t>
      </w:r>
    </w:p>
    <w:p w:rsidR="00CB0DD7" w:rsidRPr="000A0A5F" w:rsidRDefault="00CB0DD7">
      <w:pPr>
        <w:pStyle w:val="PL"/>
        <w:tabs>
          <w:tab w:val="clear" w:pos="1920"/>
          <w:tab w:val="left" w:pos="1765"/>
        </w:tabs>
      </w:pPr>
      <w:r w:rsidRPr="000A0A5F">
        <w:t xml:space="preserve">                  </w:t>
      </w:r>
      <w:r w:rsidRPr="000A0A5F">
        <w:rPr>
          <w:rFonts w:hint="eastAsia"/>
        </w:rPr>
        <w:t xml:space="preserve">description: </w:t>
      </w:r>
      <w:r w:rsidRPr="000A0A5F">
        <w:t>No Content</w:t>
      </w:r>
      <w:r w:rsidRPr="000A0A5F">
        <w:rPr>
          <w:rFonts w:hint="eastAsia"/>
        </w:rPr>
        <w:t xml:space="preserve"> (</w:t>
      </w:r>
      <w:r w:rsidRPr="000A0A5F">
        <w:t xml:space="preserve">The </w:t>
      </w:r>
      <w:r w:rsidRPr="000A0A5F">
        <w:rPr>
          <w:rFonts w:hint="eastAsia"/>
          <w:lang w:eastAsia="zh-CN"/>
        </w:rPr>
        <w:t>successful acknowledgement of the notification</w:t>
      </w:r>
      <w:r w:rsidRPr="000A0A5F">
        <w:rPr>
          <w:rFonts w:hint="eastAsia"/>
        </w:rPr>
        <w:t>)</w:t>
      </w:r>
    </w:p>
    <w:p w:rsidR="00CB0DD7" w:rsidRPr="000A0A5F" w:rsidRDefault="00CB0DD7">
      <w:pPr>
        <w:pStyle w:val="PL"/>
      </w:pPr>
      <w:r w:rsidRPr="000A0A5F">
        <w:t xml:space="preserve">                '307':</w:t>
      </w:r>
    </w:p>
    <w:p w:rsidR="00CB0DD7" w:rsidRPr="000A0A5F" w:rsidRDefault="00CB0DD7">
      <w:pPr>
        <w:pStyle w:val="PL"/>
      </w:pPr>
      <w:r w:rsidRPr="000A0A5F">
        <w:t xml:space="preserve">                  $ref: 'TS29122_CommonData.yaml#/components/responses/307'</w:t>
      </w:r>
    </w:p>
    <w:p w:rsidR="00CB0DD7" w:rsidRPr="000A0A5F" w:rsidRDefault="00CB0DD7">
      <w:pPr>
        <w:pStyle w:val="PL"/>
      </w:pPr>
      <w:r w:rsidRPr="000A0A5F">
        <w:t xml:space="preserve">                '308':</w:t>
      </w:r>
    </w:p>
    <w:p w:rsidR="00CB0DD7" w:rsidRPr="000A0A5F" w:rsidRDefault="00CB0DD7">
      <w:pPr>
        <w:pStyle w:val="PL"/>
      </w:pPr>
      <w:r w:rsidRPr="000A0A5F">
        <w:t xml:space="preserve">                  $ref: 'TS29122_CommonData.yaml#/components/responses/308'</w:t>
      </w:r>
    </w:p>
    <w:p w:rsidR="00CB0DD7" w:rsidRPr="000A0A5F" w:rsidRDefault="00CB0DD7">
      <w:pPr>
        <w:pStyle w:val="PL"/>
      </w:pPr>
      <w:r w:rsidRPr="000A0A5F">
        <w:t xml:space="preserve">                '400':</w:t>
      </w:r>
    </w:p>
    <w:p w:rsidR="00CB0DD7" w:rsidRPr="000A0A5F" w:rsidRDefault="00CB0DD7">
      <w:pPr>
        <w:pStyle w:val="PL"/>
      </w:pPr>
      <w:r w:rsidRPr="000A0A5F">
        <w:t xml:space="preserve">                  $ref: 'TS29122_CommonData.yaml#/components/responses/400'</w:t>
      </w:r>
    </w:p>
    <w:p w:rsidR="00CB0DD7" w:rsidRPr="000A0A5F" w:rsidRDefault="00CB0DD7">
      <w:pPr>
        <w:pStyle w:val="PL"/>
      </w:pPr>
      <w:r w:rsidRPr="000A0A5F">
        <w:t xml:space="preserve">                '401':</w:t>
      </w:r>
    </w:p>
    <w:p w:rsidR="00CB0DD7" w:rsidRPr="000A0A5F" w:rsidRDefault="00CB0DD7">
      <w:pPr>
        <w:pStyle w:val="PL"/>
      </w:pPr>
      <w:r w:rsidRPr="000A0A5F">
        <w:t xml:space="preserve">                  $ref: 'TS29122_CommonData.yaml#/components/responses/401'</w:t>
      </w:r>
    </w:p>
    <w:p w:rsidR="00CB0DD7" w:rsidRPr="000A0A5F" w:rsidRDefault="00CB0DD7">
      <w:pPr>
        <w:pStyle w:val="PL"/>
      </w:pPr>
      <w:r w:rsidRPr="000A0A5F">
        <w:t xml:space="preserve">                '403':</w:t>
      </w:r>
    </w:p>
    <w:p w:rsidR="00CB0DD7" w:rsidRPr="000A0A5F" w:rsidRDefault="00CB0DD7">
      <w:pPr>
        <w:pStyle w:val="PL"/>
      </w:pPr>
      <w:r w:rsidRPr="000A0A5F">
        <w:t xml:space="preserve">                  $ref: 'TS29122_CommonData.yaml#/components/responses/403'</w:t>
      </w:r>
    </w:p>
    <w:p w:rsidR="00CB0DD7" w:rsidRPr="000A0A5F" w:rsidRDefault="00CB0DD7">
      <w:pPr>
        <w:pStyle w:val="PL"/>
      </w:pPr>
      <w:r w:rsidRPr="000A0A5F">
        <w:t xml:space="preserve">                '404':</w:t>
      </w:r>
    </w:p>
    <w:p w:rsidR="00CB0DD7" w:rsidRPr="000A0A5F" w:rsidRDefault="00CB0DD7">
      <w:pPr>
        <w:pStyle w:val="PL"/>
      </w:pPr>
      <w:r w:rsidRPr="000A0A5F">
        <w:t xml:space="preserve">                  $ref: 'TS29122_CommonData.yaml#/components/responses/404'</w:t>
      </w:r>
    </w:p>
    <w:p w:rsidR="00CB0DD7" w:rsidRPr="000A0A5F" w:rsidRDefault="00CB0DD7">
      <w:pPr>
        <w:pStyle w:val="PL"/>
      </w:pPr>
      <w:r w:rsidRPr="000A0A5F">
        <w:t xml:space="preserve">                '411':</w:t>
      </w:r>
    </w:p>
    <w:p w:rsidR="00CB0DD7" w:rsidRPr="000A0A5F" w:rsidRDefault="00CB0DD7">
      <w:pPr>
        <w:pStyle w:val="PL"/>
      </w:pPr>
      <w:r w:rsidRPr="000A0A5F">
        <w:t xml:space="preserve">                  $ref: 'TS29122_CommonData.yaml#/components/responses/411'</w:t>
      </w:r>
    </w:p>
    <w:p w:rsidR="00CB0DD7" w:rsidRPr="000A0A5F" w:rsidRDefault="00CB0DD7">
      <w:pPr>
        <w:pStyle w:val="PL"/>
      </w:pPr>
      <w:r w:rsidRPr="000A0A5F">
        <w:t xml:space="preserve">                '413':</w:t>
      </w:r>
    </w:p>
    <w:p w:rsidR="00CB0DD7" w:rsidRPr="000A0A5F" w:rsidRDefault="00CB0DD7">
      <w:pPr>
        <w:pStyle w:val="PL"/>
      </w:pPr>
      <w:r w:rsidRPr="000A0A5F">
        <w:t xml:space="preserve">                  $ref: 'TS29122_CommonData.yaml#/components/responses/413'</w:t>
      </w:r>
    </w:p>
    <w:p w:rsidR="00CB0DD7" w:rsidRPr="000A0A5F" w:rsidRDefault="00CB0DD7">
      <w:pPr>
        <w:pStyle w:val="PL"/>
      </w:pPr>
      <w:r w:rsidRPr="000A0A5F">
        <w:t xml:space="preserve">                '415':</w:t>
      </w:r>
    </w:p>
    <w:p w:rsidR="00CB0DD7" w:rsidRPr="000A0A5F" w:rsidRDefault="00CB0DD7">
      <w:pPr>
        <w:pStyle w:val="PL"/>
      </w:pPr>
      <w:r w:rsidRPr="000A0A5F">
        <w:t xml:space="preserve">                  $ref: 'TS29122_CommonData.yaml#/components/responses/415'</w:t>
      </w:r>
    </w:p>
    <w:p w:rsidR="00CB0DD7" w:rsidRPr="000A0A5F" w:rsidRDefault="00CB0DD7">
      <w:pPr>
        <w:pStyle w:val="PL"/>
      </w:pPr>
      <w:r w:rsidRPr="000A0A5F">
        <w:t xml:space="preserve">                '429':</w:t>
      </w:r>
    </w:p>
    <w:p w:rsidR="00CB0DD7" w:rsidRPr="000A0A5F" w:rsidRDefault="00CB0DD7">
      <w:pPr>
        <w:pStyle w:val="PL"/>
      </w:pPr>
      <w:r w:rsidRPr="000A0A5F">
        <w:t xml:space="preserve">                  $ref: 'TS29122_CommonData.yaml#/components/responses/429'</w:t>
      </w:r>
    </w:p>
    <w:p w:rsidR="00CB0DD7" w:rsidRPr="000A0A5F" w:rsidRDefault="00CB0DD7">
      <w:pPr>
        <w:pStyle w:val="PL"/>
      </w:pPr>
      <w:r w:rsidRPr="000A0A5F">
        <w:t xml:space="preserve">                '500':</w:t>
      </w:r>
    </w:p>
    <w:p w:rsidR="00CB0DD7" w:rsidRPr="000A0A5F" w:rsidRDefault="00CB0DD7">
      <w:pPr>
        <w:pStyle w:val="PL"/>
      </w:pPr>
      <w:r w:rsidRPr="000A0A5F">
        <w:t xml:space="preserve">                  $ref: 'TS29122_CommonData.yaml#/components/responses/500'</w:t>
      </w:r>
    </w:p>
    <w:p w:rsidR="00CB0DD7" w:rsidRPr="000A0A5F" w:rsidRDefault="00CB0DD7">
      <w:pPr>
        <w:pStyle w:val="PL"/>
      </w:pPr>
      <w:r w:rsidRPr="000A0A5F">
        <w:t xml:space="preserve">                '503':</w:t>
      </w:r>
    </w:p>
    <w:p w:rsidR="00CB0DD7" w:rsidRPr="000A0A5F" w:rsidRDefault="00CB0DD7">
      <w:pPr>
        <w:pStyle w:val="PL"/>
      </w:pPr>
      <w:r w:rsidRPr="000A0A5F">
        <w:t xml:space="preserve">                  $ref: 'TS29122_CommonData.yaml#/components/responses/503'</w:t>
      </w:r>
    </w:p>
    <w:p w:rsidR="00CB0DD7" w:rsidRPr="000A0A5F" w:rsidRDefault="00CB0DD7">
      <w:pPr>
        <w:pStyle w:val="PL"/>
      </w:pPr>
      <w:r w:rsidRPr="000A0A5F">
        <w:t xml:space="preserve">                default:</w:t>
      </w:r>
    </w:p>
    <w:p w:rsidR="00CB0DD7" w:rsidRPr="000A0A5F" w:rsidRDefault="00CB0DD7">
      <w:pPr>
        <w:pStyle w:val="PL"/>
        <w:rPr>
          <w:rFonts w:hint="eastAsia"/>
        </w:rPr>
      </w:pPr>
      <w:r w:rsidRPr="000A0A5F">
        <w:t xml:space="preserve">                  $ref: 'TS29122_CommonData.yaml#/components/responses/default'</w:t>
      </w:r>
    </w:p>
    <w:p w:rsidR="00CB0DD7" w:rsidRPr="000A0A5F" w:rsidRDefault="00CB0DD7">
      <w:pPr>
        <w:pStyle w:val="PL"/>
        <w:rPr>
          <w:lang w:val="en-US"/>
        </w:rPr>
      </w:pPr>
      <w:r w:rsidRPr="000A0A5F">
        <w:rPr>
          <w:lang w:val="en-US"/>
        </w:rPr>
        <w:t xml:space="preserve">      responses:</w:t>
      </w:r>
    </w:p>
    <w:p w:rsidR="00CB0DD7" w:rsidRPr="000A0A5F" w:rsidRDefault="00CB0DD7">
      <w:pPr>
        <w:pStyle w:val="PL"/>
        <w:rPr>
          <w:lang w:val="en-US"/>
        </w:rPr>
      </w:pPr>
      <w:r w:rsidRPr="000A0A5F">
        <w:rPr>
          <w:lang w:val="en-US"/>
        </w:rPr>
        <w:t xml:space="preserve">        '201':</w:t>
      </w:r>
    </w:p>
    <w:p w:rsidR="00CB0DD7" w:rsidRPr="000A0A5F" w:rsidRDefault="00CB0DD7">
      <w:pPr>
        <w:pStyle w:val="PL"/>
        <w:rPr>
          <w:lang w:val="en-US"/>
        </w:rPr>
      </w:pPr>
      <w:r w:rsidRPr="000A0A5F">
        <w:rPr>
          <w:lang w:val="en-US"/>
        </w:rPr>
        <w:t xml:space="preserve">          description: successful creation of a</w:t>
      </w:r>
      <w:r w:rsidRPr="000A0A5F">
        <w:t xml:space="preserve"> chargeable party resource</w:t>
      </w:r>
    </w:p>
    <w:p w:rsidR="00CB0DD7" w:rsidRPr="000A0A5F" w:rsidRDefault="00CB0DD7">
      <w:pPr>
        <w:pStyle w:val="PL"/>
        <w:rPr>
          <w:lang w:val="en-US"/>
        </w:rPr>
      </w:pPr>
      <w:r w:rsidRPr="000A0A5F">
        <w:rPr>
          <w:lang w:val="en-US"/>
        </w:rPr>
        <w:t xml:space="preserve">          content:</w:t>
      </w:r>
    </w:p>
    <w:p w:rsidR="00CB0DD7" w:rsidRPr="000A0A5F" w:rsidRDefault="00CB0DD7">
      <w:pPr>
        <w:pStyle w:val="PL"/>
        <w:rPr>
          <w:lang w:val="en-US"/>
        </w:rPr>
      </w:pPr>
      <w:r w:rsidRPr="000A0A5F">
        <w:rPr>
          <w:lang w:val="en-US"/>
        </w:rPr>
        <w:t xml:space="preserve">            application/json:</w:t>
      </w:r>
    </w:p>
    <w:p w:rsidR="00CB0DD7" w:rsidRPr="000A0A5F" w:rsidRDefault="00CB0DD7">
      <w:pPr>
        <w:pStyle w:val="PL"/>
        <w:rPr>
          <w:lang w:val="en-US"/>
        </w:rPr>
      </w:pPr>
      <w:r w:rsidRPr="000A0A5F">
        <w:rPr>
          <w:lang w:val="en-US"/>
        </w:rPr>
        <w:t xml:space="preserve">              schema:</w:t>
      </w:r>
    </w:p>
    <w:p w:rsidR="00CB0DD7" w:rsidRPr="000A0A5F" w:rsidRDefault="00CB0DD7">
      <w:pPr>
        <w:pStyle w:val="PL"/>
        <w:rPr>
          <w:lang w:val="en-US"/>
        </w:rPr>
      </w:pPr>
      <w:r w:rsidRPr="000A0A5F">
        <w:rPr>
          <w:lang w:val="en-US"/>
        </w:rPr>
        <w:t xml:space="preserve">                $ref: '#/components/schemas/</w:t>
      </w:r>
      <w:r w:rsidRPr="000A0A5F">
        <w:t>ChargeableParty</w:t>
      </w:r>
      <w:r w:rsidRPr="000A0A5F">
        <w:rPr>
          <w:lang w:val="en-US"/>
        </w:rPr>
        <w:t>'</w:t>
      </w:r>
    </w:p>
    <w:p w:rsidR="00CB0DD7" w:rsidRPr="000A0A5F" w:rsidRDefault="00CB0DD7">
      <w:pPr>
        <w:pStyle w:val="PL"/>
      </w:pPr>
      <w:r w:rsidRPr="000A0A5F">
        <w:t xml:space="preserve">          headers:</w:t>
      </w:r>
    </w:p>
    <w:p w:rsidR="00CB0DD7" w:rsidRPr="000A0A5F" w:rsidRDefault="00CB0DD7">
      <w:pPr>
        <w:pStyle w:val="PL"/>
      </w:pPr>
      <w:r w:rsidRPr="000A0A5F">
        <w:t xml:space="preserve">            Location:</w:t>
      </w:r>
    </w:p>
    <w:p w:rsidR="00CB0DD7" w:rsidRPr="000A0A5F" w:rsidRDefault="00CB0DD7">
      <w:pPr>
        <w:pStyle w:val="PL"/>
      </w:pPr>
      <w:r w:rsidRPr="000A0A5F">
        <w:t xml:space="preserve">              description: 'Contains the URI of the newly created resource'</w:t>
      </w:r>
    </w:p>
    <w:p w:rsidR="00CB0DD7" w:rsidRPr="000A0A5F" w:rsidRDefault="00CB0DD7">
      <w:pPr>
        <w:pStyle w:val="PL"/>
      </w:pPr>
      <w:r w:rsidRPr="000A0A5F">
        <w:t xml:space="preserve">              required: true</w:t>
      </w:r>
    </w:p>
    <w:p w:rsidR="00CB0DD7" w:rsidRPr="000A0A5F" w:rsidRDefault="00CB0DD7">
      <w:pPr>
        <w:pStyle w:val="PL"/>
      </w:pPr>
      <w:r w:rsidRPr="000A0A5F">
        <w:t xml:space="preserve">              schema:</w:t>
      </w:r>
    </w:p>
    <w:p w:rsidR="00CB0DD7" w:rsidRPr="000A0A5F" w:rsidRDefault="00CB0DD7">
      <w:pPr>
        <w:pStyle w:val="PL"/>
      </w:pPr>
      <w:r w:rsidRPr="000A0A5F">
        <w:t xml:space="preserve">                type: string</w:t>
      </w:r>
    </w:p>
    <w:p w:rsidR="00CB0DD7" w:rsidRPr="000A0A5F" w:rsidRDefault="00CB0DD7">
      <w:pPr>
        <w:pStyle w:val="PL"/>
      </w:pPr>
      <w:r w:rsidRPr="000A0A5F">
        <w:t xml:space="preserve">        '400':</w:t>
      </w:r>
    </w:p>
    <w:p w:rsidR="00CB0DD7" w:rsidRPr="000A0A5F" w:rsidRDefault="00CB0DD7">
      <w:pPr>
        <w:pStyle w:val="PL"/>
      </w:pPr>
      <w:r w:rsidRPr="000A0A5F">
        <w:t xml:space="preserve">          $ref: 'TS29122_CommonData.yaml#/components/responses/400'</w:t>
      </w:r>
    </w:p>
    <w:p w:rsidR="00CB0DD7" w:rsidRPr="000A0A5F" w:rsidRDefault="00CB0DD7">
      <w:pPr>
        <w:pStyle w:val="PL"/>
      </w:pPr>
      <w:r w:rsidRPr="000A0A5F">
        <w:t xml:space="preserve">        '401':</w:t>
      </w:r>
    </w:p>
    <w:p w:rsidR="00CB0DD7" w:rsidRPr="000A0A5F" w:rsidRDefault="00CB0DD7">
      <w:pPr>
        <w:pStyle w:val="PL"/>
      </w:pPr>
      <w:r w:rsidRPr="000A0A5F">
        <w:t xml:space="preserve">          $ref: 'TS29122_CommonData.yaml#/components/responses/401'</w:t>
      </w:r>
    </w:p>
    <w:p w:rsidR="00CB0DD7" w:rsidRPr="000A0A5F" w:rsidRDefault="00CB0DD7">
      <w:pPr>
        <w:pStyle w:val="PL"/>
      </w:pPr>
      <w:r w:rsidRPr="000A0A5F">
        <w:t xml:space="preserve">        '403':</w:t>
      </w:r>
    </w:p>
    <w:p w:rsidR="00CB0DD7" w:rsidRPr="000A0A5F" w:rsidRDefault="00CB0DD7">
      <w:pPr>
        <w:pStyle w:val="PL"/>
      </w:pPr>
      <w:r w:rsidRPr="000A0A5F">
        <w:t xml:space="preserve">          $ref: 'TS29122_CommonData.yaml#/components/responses/403'</w:t>
      </w:r>
    </w:p>
    <w:p w:rsidR="00CB0DD7" w:rsidRPr="000A0A5F" w:rsidRDefault="00CB0DD7">
      <w:pPr>
        <w:pStyle w:val="PL"/>
      </w:pPr>
      <w:r w:rsidRPr="000A0A5F">
        <w:t xml:space="preserve">        '404':</w:t>
      </w:r>
    </w:p>
    <w:p w:rsidR="00CB0DD7" w:rsidRPr="000A0A5F" w:rsidRDefault="00CB0DD7">
      <w:pPr>
        <w:pStyle w:val="PL"/>
      </w:pPr>
      <w:r w:rsidRPr="000A0A5F">
        <w:t xml:space="preserve">          $ref: 'TS29122_CommonData.yaml#/components/responses/404'</w:t>
      </w:r>
    </w:p>
    <w:p w:rsidR="00CB0DD7" w:rsidRPr="000A0A5F" w:rsidRDefault="00CB0DD7">
      <w:pPr>
        <w:pStyle w:val="PL"/>
      </w:pPr>
      <w:r w:rsidRPr="000A0A5F">
        <w:t xml:space="preserve">        '411':</w:t>
      </w:r>
    </w:p>
    <w:p w:rsidR="00CB0DD7" w:rsidRPr="000A0A5F" w:rsidRDefault="00CB0DD7">
      <w:pPr>
        <w:pStyle w:val="PL"/>
      </w:pPr>
      <w:r w:rsidRPr="000A0A5F">
        <w:t xml:space="preserve">          $ref: 'TS29122_CommonData.yaml#/components/responses/411'</w:t>
      </w:r>
    </w:p>
    <w:p w:rsidR="00CB0DD7" w:rsidRPr="000A0A5F" w:rsidRDefault="00CB0DD7">
      <w:pPr>
        <w:pStyle w:val="PL"/>
      </w:pPr>
      <w:r w:rsidRPr="000A0A5F">
        <w:t xml:space="preserve">        '413':</w:t>
      </w:r>
    </w:p>
    <w:p w:rsidR="00CB0DD7" w:rsidRPr="000A0A5F" w:rsidRDefault="00CB0DD7">
      <w:pPr>
        <w:pStyle w:val="PL"/>
      </w:pPr>
      <w:r w:rsidRPr="000A0A5F">
        <w:t xml:space="preserve">          $ref: 'TS29122_CommonData.yaml#/components/responses/413'</w:t>
      </w:r>
    </w:p>
    <w:p w:rsidR="00CB0DD7" w:rsidRPr="000A0A5F" w:rsidRDefault="00CB0DD7">
      <w:pPr>
        <w:pStyle w:val="PL"/>
      </w:pPr>
      <w:r w:rsidRPr="000A0A5F">
        <w:t xml:space="preserve">        '415':</w:t>
      </w:r>
    </w:p>
    <w:p w:rsidR="00CB0DD7" w:rsidRPr="000A0A5F" w:rsidRDefault="00CB0DD7">
      <w:pPr>
        <w:pStyle w:val="PL"/>
      </w:pPr>
      <w:r w:rsidRPr="000A0A5F">
        <w:t xml:space="preserve">          $ref: 'TS29122_CommonData.yaml#/components/responses/415'</w:t>
      </w:r>
    </w:p>
    <w:p w:rsidR="00CB0DD7" w:rsidRPr="000A0A5F" w:rsidRDefault="00CB0DD7">
      <w:pPr>
        <w:pStyle w:val="PL"/>
      </w:pPr>
      <w:r w:rsidRPr="000A0A5F">
        <w:t xml:space="preserve">        '429':</w:t>
      </w:r>
    </w:p>
    <w:p w:rsidR="00CB0DD7" w:rsidRPr="000A0A5F" w:rsidRDefault="00CB0DD7">
      <w:pPr>
        <w:pStyle w:val="PL"/>
      </w:pPr>
      <w:r w:rsidRPr="000A0A5F">
        <w:t xml:space="preserve">          $ref: 'TS29122_CommonData.yaml#/components/responses/429'</w:t>
      </w:r>
    </w:p>
    <w:p w:rsidR="00CB0DD7" w:rsidRPr="000A0A5F" w:rsidRDefault="00CB0DD7">
      <w:pPr>
        <w:pStyle w:val="PL"/>
      </w:pPr>
      <w:r w:rsidRPr="000A0A5F">
        <w:t xml:space="preserve">        '500':</w:t>
      </w:r>
    </w:p>
    <w:p w:rsidR="00CB0DD7" w:rsidRPr="000A0A5F" w:rsidRDefault="00CB0DD7">
      <w:pPr>
        <w:pStyle w:val="PL"/>
      </w:pPr>
      <w:r w:rsidRPr="000A0A5F">
        <w:t xml:space="preserve">          $ref: 'TS29122_CommonData.yaml#/components/responses/500'</w:t>
      </w:r>
    </w:p>
    <w:p w:rsidR="00CB0DD7" w:rsidRPr="000A0A5F" w:rsidRDefault="00CB0DD7">
      <w:pPr>
        <w:pStyle w:val="PL"/>
      </w:pPr>
      <w:r w:rsidRPr="000A0A5F">
        <w:t xml:space="preserve">        '503':</w:t>
      </w:r>
    </w:p>
    <w:p w:rsidR="00CB0DD7" w:rsidRPr="000A0A5F" w:rsidRDefault="00CB0DD7">
      <w:pPr>
        <w:pStyle w:val="PL"/>
      </w:pPr>
      <w:r w:rsidRPr="000A0A5F">
        <w:t xml:space="preserve">          $ref: 'TS29122_CommonData.yaml#/components/responses/503'</w:t>
      </w:r>
    </w:p>
    <w:p w:rsidR="00CB0DD7" w:rsidRPr="000A0A5F" w:rsidRDefault="00CB0DD7">
      <w:pPr>
        <w:pStyle w:val="PL"/>
      </w:pPr>
      <w:r w:rsidRPr="000A0A5F">
        <w:t xml:space="preserve">        default:</w:t>
      </w:r>
    </w:p>
    <w:p w:rsidR="00CB0DD7" w:rsidRPr="000A0A5F" w:rsidRDefault="00CB0DD7">
      <w:pPr>
        <w:pStyle w:val="PL"/>
      </w:pPr>
      <w:r w:rsidRPr="000A0A5F">
        <w:t xml:space="preserve">          $ref: 'TS29122_CommonData.yaml#/components/responses/default'</w:t>
      </w:r>
    </w:p>
    <w:p w:rsidR="00CB0DD7" w:rsidRPr="000A0A5F" w:rsidRDefault="00CB0DD7">
      <w:pPr>
        <w:pStyle w:val="PL"/>
        <w:tabs>
          <w:tab w:val="clear" w:pos="384"/>
        </w:tabs>
        <w:rPr>
          <w:rFonts w:ascii="SimSun" w:hAnsi="SimSun"/>
          <w:lang w:val="en-US" w:eastAsia="zh-CN"/>
        </w:rPr>
      </w:pPr>
    </w:p>
    <w:p w:rsidR="00CB0DD7" w:rsidRPr="000A0A5F" w:rsidRDefault="00CB0DD7">
      <w:pPr>
        <w:pStyle w:val="PL"/>
        <w:rPr>
          <w:rFonts w:ascii="SimSun" w:hAnsi="SimSun" w:hint="eastAsia"/>
          <w:lang w:val="en-US" w:eastAsia="zh-CN"/>
        </w:rPr>
      </w:pPr>
      <w:r w:rsidRPr="000A0A5F">
        <w:rPr>
          <w:rFonts w:hint="eastAsia"/>
        </w:rPr>
        <w:t xml:space="preserve">  </w:t>
      </w:r>
      <w:r w:rsidRPr="000A0A5F">
        <w:t>/{scsAsId}/transactions/{transactionId}:</w:t>
      </w:r>
    </w:p>
    <w:p w:rsidR="00CB0DD7" w:rsidRPr="000A0A5F" w:rsidRDefault="00CB0DD7">
      <w:pPr>
        <w:pStyle w:val="PL"/>
        <w:rPr>
          <w:rFonts w:hint="eastAsia"/>
        </w:rPr>
      </w:pPr>
      <w:r w:rsidRPr="000A0A5F">
        <w:t xml:space="preserve">    get</w:t>
      </w:r>
      <w:r w:rsidRPr="000A0A5F">
        <w:rPr>
          <w:rFonts w:hint="eastAsia"/>
        </w:rPr>
        <w:t>:</w:t>
      </w:r>
    </w:p>
    <w:p w:rsidR="00CB0DD7" w:rsidRPr="000A0A5F" w:rsidRDefault="00CB0DD7">
      <w:pPr>
        <w:pStyle w:val="PL"/>
        <w:rPr>
          <w:rFonts w:hint="eastAsia"/>
        </w:rPr>
      </w:pPr>
      <w:r w:rsidRPr="000A0A5F">
        <w:rPr>
          <w:rFonts w:hint="eastAsia"/>
        </w:rPr>
        <w:t xml:space="preserve">      summary: </w:t>
      </w:r>
      <w:r w:rsidR="003F6BEC" w:rsidRPr="000A0A5F">
        <w:rPr>
          <w:lang w:eastAsia="zh-CN"/>
        </w:rPr>
        <w:t>R</w:t>
      </w:r>
      <w:r w:rsidRPr="000A0A5F">
        <w:rPr>
          <w:lang w:eastAsia="zh-CN"/>
        </w:rPr>
        <w:t>ead a chargeable party resource for a given SCS/AS and a transaction Id</w:t>
      </w:r>
      <w:r w:rsidR="003F6BEC" w:rsidRPr="000A0A5F">
        <w:rPr>
          <w:lang w:eastAsia="zh-CN"/>
        </w:rPr>
        <w:t>.</w:t>
      </w:r>
    </w:p>
    <w:p w:rsidR="003F6BEC" w:rsidRPr="000A0A5F" w:rsidRDefault="003F6BEC" w:rsidP="003F6BEC">
      <w:pPr>
        <w:pStyle w:val="PL"/>
      </w:pPr>
      <w:r w:rsidRPr="000A0A5F">
        <w:t xml:space="preserve">      </w:t>
      </w:r>
      <w:r w:rsidRPr="000A0A5F">
        <w:rPr>
          <w:rFonts w:cs="Courier New"/>
          <w:szCs w:val="16"/>
        </w:rPr>
        <w:t>operationId: FetchInd</w:t>
      </w:r>
      <w:r w:rsidRPr="000A0A5F">
        <w:t>ChargeablePartyTransaction</w:t>
      </w:r>
    </w:p>
    <w:p w:rsidR="00CB0DD7" w:rsidRPr="000A0A5F" w:rsidRDefault="00CB0DD7">
      <w:pPr>
        <w:pStyle w:val="PL"/>
        <w:rPr>
          <w:rFonts w:hint="eastAsia"/>
        </w:rPr>
      </w:pPr>
      <w:r w:rsidRPr="000A0A5F">
        <w:rPr>
          <w:rFonts w:hint="eastAsia"/>
        </w:rPr>
        <w:t xml:space="preserve">      tags:</w:t>
      </w:r>
    </w:p>
    <w:p w:rsidR="00CB0DD7" w:rsidRPr="000A0A5F" w:rsidRDefault="00CB0DD7">
      <w:pPr>
        <w:pStyle w:val="PL"/>
        <w:rPr>
          <w:rFonts w:hint="eastAsia"/>
        </w:rPr>
      </w:pPr>
      <w:r w:rsidRPr="000A0A5F">
        <w:rPr>
          <w:rFonts w:hint="eastAsia"/>
        </w:rPr>
        <w:t xml:space="preserve">        - </w:t>
      </w:r>
      <w:r w:rsidRPr="000A0A5F">
        <w:rPr>
          <w:lang w:val="en-US"/>
        </w:rPr>
        <w:t xml:space="preserve">Individual </w:t>
      </w:r>
      <w:r w:rsidRPr="000A0A5F">
        <w:rPr>
          <w:lang w:eastAsia="zh-CN"/>
        </w:rPr>
        <w:t>chargeable party</w:t>
      </w:r>
      <w:r w:rsidRPr="000A0A5F">
        <w:rPr>
          <w:lang w:val="en-US"/>
        </w:rPr>
        <w:t xml:space="preserve"> resource Operation</w:t>
      </w:r>
    </w:p>
    <w:p w:rsidR="00CB0DD7" w:rsidRPr="000A0A5F" w:rsidRDefault="00CB0DD7">
      <w:pPr>
        <w:pStyle w:val="PL"/>
        <w:rPr>
          <w:rFonts w:hint="eastAsia"/>
        </w:rPr>
      </w:pPr>
      <w:r w:rsidRPr="000A0A5F">
        <w:rPr>
          <w:rFonts w:hint="eastAsia"/>
        </w:rPr>
        <w:t xml:space="preserve">      parameters:</w:t>
      </w:r>
    </w:p>
    <w:p w:rsidR="00CB0DD7" w:rsidRPr="000A0A5F" w:rsidRDefault="00CB0DD7">
      <w:pPr>
        <w:pStyle w:val="PL"/>
        <w:rPr>
          <w:rFonts w:hint="eastAsia"/>
        </w:rPr>
      </w:pPr>
      <w:r w:rsidRPr="000A0A5F">
        <w:rPr>
          <w:rFonts w:hint="eastAsia"/>
        </w:rPr>
        <w:t xml:space="preserve">        - name: </w:t>
      </w:r>
      <w:r w:rsidRPr="000A0A5F">
        <w:t>scsAsId</w:t>
      </w:r>
    </w:p>
    <w:p w:rsidR="00CB0DD7" w:rsidRPr="000A0A5F" w:rsidRDefault="00CB0DD7">
      <w:pPr>
        <w:pStyle w:val="PL"/>
        <w:rPr>
          <w:rFonts w:hint="eastAsia"/>
        </w:rPr>
      </w:pPr>
      <w:r w:rsidRPr="000A0A5F">
        <w:rPr>
          <w:rFonts w:hint="eastAsia"/>
        </w:rPr>
        <w:t xml:space="preserve">          in: path</w:t>
      </w:r>
    </w:p>
    <w:p w:rsidR="00CB0DD7" w:rsidRPr="000A0A5F" w:rsidRDefault="00CB0DD7">
      <w:pPr>
        <w:pStyle w:val="PL"/>
        <w:rPr>
          <w:rFonts w:hint="eastAsia"/>
        </w:rPr>
      </w:pPr>
      <w:r w:rsidRPr="000A0A5F">
        <w:rPr>
          <w:rFonts w:hint="eastAsia"/>
        </w:rPr>
        <w:t xml:space="preserve">          description: Identifier of </w:t>
      </w:r>
      <w:r w:rsidRPr="000A0A5F">
        <w:t>SCS/AS</w:t>
      </w:r>
    </w:p>
    <w:p w:rsidR="00CB0DD7" w:rsidRPr="000A0A5F" w:rsidRDefault="00CB0DD7">
      <w:pPr>
        <w:pStyle w:val="PL"/>
        <w:rPr>
          <w:rFonts w:hint="eastAsia"/>
        </w:rPr>
      </w:pPr>
      <w:r w:rsidRPr="000A0A5F">
        <w:rPr>
          <w:rFonts w:hint="eastAsia"/>
        </w:rPr>
        <w:t xml:space="preserve">          required: true</w:t>
      </w:r>
    </w:p>
    <w:p w:rsidR="00CB0DD7" w:rsidRPr="000A0A5F" w:rsidRDefault="00CB0DD7">
      <w:pPr>
        <w:pStyle w:val="PL"/>
        <w:rPr>
          <w:rFonts w:hint="eastAsia"/>
        </w:rPr>
      </w:pPr>
      <w:r w:rsidRPr="000A0A5F">
        <w:rPr>
          <w:rFonts w:hint="eastAsia"/>
        </w:rPr>
        <w:t xml:space="preserve">          schema:</w:t>
      </w:r>
    </w:p>
    <w:p w:rsidR="00CB0DD7" w:rsidRPr="000A0A5F" w:rsidRDefault="00CB0DD7">
      <w:pPr>
        <w:pStyle w:val="PL"/>
      </w:pPr>
      <w:r w:rsidRPr="000A0A5F">
        <w:rPr>
          <w:rFonts w:hint="eastAsia"/>
        </w:rPr>
        <w:t xml:space="preserve">            type: string</w:t>
      </w:r>
    </w:p>
    <w:p w:rsidR="00CB0DD7" w:rsidRPr="000A0A5F" w:rsidRDefault="00CB0DD7">
      <w:pPr>
        <w:pStyle w:val="PL"/>
        <w:rPr>
          <w:rFonts w:hint="eastAsia"/>
        </w:rPr>
      </w:pPr>
      <w:r w:rsidRPr="000A0A5F">
        <w:rPr>
          <w:rFonts w:hint="eastAsia"/>
        </w:rPr>
        <w:t xml:space="preserve">        - name: </w:t>
      </w:r>
      <w:r w:rsidRPr="000A0A5F">
        <w:t>transactionId</w:t>
      </w:r>
    </w:p>
    <w:p w:rsidR="00CB0DD7" w:rsidRPr="000A0A5F" w:rsidRDefault="00CB0DD7">
      <w:pPr>
        <w:pStyle w:val="PL"/>
        <w:rPr>
          <w:rFonts w:hint="eastAsia"/>
        </w:rPr>
      </w:pPr>
      <w:r w:rsidRPr="000A0A5F">
        <w:rPr>
          <w:rFonts w:hint="eastAsia"/>
        </w:rPr>
        <w:t xml:space="preserve">          in: path</w:t>
      </w:r>
    </w:p>
    <w:p w:rsidR="00CB0DD7" w:rsidRPr="000A0A5F" w:rsidRDefault="00CB0DD7">
      <w:pPr>
        <w:pStyle w:val="PL"/>
        <w:rPr>
          <w:rFonts w:hint="eastAsia"/>
        </w:rPr>
      </w:pPr>
      <w:r w:rsidRPr="000A0A5F">
        <w:rPr>
          <w:rFonts w:hint="eastAsia"/>
        </w:rPr>
        <w:t xml:space="preserve">          description: </w:t>
      </w:r>
      <w:r w:rsidRPr="000A0A5F">
        <w:t>Identifier of transaction</w:t>
      </w:r>
    </w:p>
    <w:p w:rsidR="00CB0DD7" w:rsidRPr="000A0A5F" w:rsidRDefault="00CB0DD7">
      <w:pPr>
        <w:pStyle w:val="PL"/>
        <w:rPr>
          <w:rFonts w:hint="eastAsia"/>
        </w:rPr>
      </w:pPr>
      <w:r w:rsidRPr="000A0A5F">
        <w:rPr>
          <w:rFonts w:hint="eastAsia"/>
        </w:rPr>
        <w:t xml:space="preserve">          required: true</w:t>
      </w:r>
    </w:p>
    <w:p w:rsidR="00CB0DD7" w:rsidRPr="000A0A5F" w:rsidRDefault="00CB0DD7">
      <w:pPr>
        <w:pStyle w:val="PL"/>
        <w:rPr>
          <w:rFonts w:hint="eastAsia"/>
        </w:rPr>
      </w:pPr>
      <w:r w:rsidRPr="000A0A5F">
        <w:rPr>
          <w:rFonts w:hint="eastAsia"/>
        </w:rPr>
        <w:t xml:space="preserve">          schema:</w:t>
      </w:r>
    </w:p>
    <w:p w:rsidR="00CB0DD7" w:rsidRPr="000A0A5F" w:rsidRDefault="00CB0DD7">
      <w:pPr>
        <w:pStyle w:val="PL"/>
      </w:pPr>
      <w:r w:rsidRPr="000A0A5F">
        <w:rPr>
          <w:rFonts w:hint="eastAsia"/>
        </w:rPr>
        <w:t xml:space="preserve">            type: string</w:t>
      </w:r>
    </w:p>
    <w:p w:rsidR="00CB0DD7" w:rsidRPr="000A0A5F" w:rsidRDefault="00CB0DD7">
      <w:pPr>
        <w:pStyle w:val="PL"/>
        <w:rPr>
          <w:rFonts w:hint="eastAsia"/>
        </w:rPr>
      </w:pPr>
      <w:r w:rsidRPr="000A0A5F">
        <w:rPr>
          <w:rFonts w:hint="eastAsia"/>
        </w:rPr>
        <w:t xml:space="preserve">      responses:</w:t>
      </w:r>
    </w:p>
    <w:p w:rsidR="00CB0DD7" w:rsidRPr="000A0A5F" w:rsidRDefault="00CB0DD7">
      <w:pPr>
        <w:pStyle w:val="PL"/>
        <w:rPr>
          <w:rFonts w:hint="eastAsia"/>
        </w:rPr>
      </w:pPr>
      <w:r w:rsidRPr="000A0A5F">
        <w:rPr>
          <w:rFonts w:hint="eastAsia"/>
        </w:rPr>
        <w:t xml:space="preserve">        '200':</w:t>
      </w:r>
    </w:p>
    <w:p w:rsidR="00CB0DD7" w:rsidRPr="000A0A5F" w:rsidRDefault="00CB0DD7">
      <w:pPr>
        <w:pStyle w:val="PL"/>
        <w:rPr>
          <w:rFonts w:hint="eastAsia"/>
        </w:rPr>
      </w:pPr>
      <w:r w:rsidRPr="000A0A5F">
        <w:rPr>
          <w:rFonts w:hint="eastAsia"/>
        </w:rPr>
        <w:t xml:space="preserve">          description: OK (</w:t>
      </w:r>
      <w:r w:rsidRPr="000A0A5F">
        <w:t>successful query of a</w:t>
      </w:r>
      <w:r w:rsidRPr="000A0A5F">
        <w:rPr>
          <w:lang w:eastAsia="zh-CN"/>
        </w:rPr>
        <w:t xml:space="preserve"> chargeable party</w:t>
      </w:r>
      <w:r w:rsidRPr="000A0A5F">
        <w:t xml:space="preserve"> resource</w:t>
      </w:r>
      <w:r w:rsidRPr="000A0A5F">
        <w:rPr>
          <w:rFonts w:hint="eastAsia"/>
        </w:rPr>
        <w:t>)</w:t>
      </w:r>
    </w:p>
    <w:p w:rsidR="00CB0DD7" w:rsidRPr="000A0A5F" w:rsidRDefault="00CB0DD7">
      <w:pPr>
        <w:pStyle w:val="PL"/>
        <w:rPr>
          <w:rFonts w:hint="eastAsia"/>
        </w:rPr>
      </w:pPr>
      <w:r w:rsidRPr="000A0A5F">
        <w:rPr>
          <w:rFonts w:hint="eastAsia"/>
        </w:rPr>
        <w:t xml:space="preserve">          content:</w:t>
      </w:r>
    </w:p>
    <w:p w:rsidR="00CB0DD7" w:rsidRPr="000A0A5F" w:rsidRDefault="00CB0DD7">
      <w:pPr>
        <w:pStyle w:val="PL"/>
        <w:rPr>
          <w:rFonts w:hint="eastAsia"/>
        </w:rPr>
      </w:pPr>
      <w:r w:rsidRPr="000A0A5F">
        <w:rPr>
          <w:rFonts w:hint="eastAsia"/>
        </w:rPr>
        <w:t xml:space="preserve">            application/json:</w:t>
      </w:r>
    </w:p>
    <w:p w:rsidR="00CB0DD7" w:rsidRPr="000A0A5F" w:rsidRDefault="00CB0DD7">
      <w:pPr>
        <w:pStyle w:val="PL"/>
      </w:pPr>
      <w:r w:rsidRPr="000A0A5F">
        <w:rPr>
          <w:rFonts w:hint="eastAsia"/>
        </w:rPr>
        <w:t xml:space="preserve">              schema:</w:t>
      </w:r>
    </w:p>
    <w:p w:rsidR="00CB0DD7" w:rsidRPr="000A0A5F" w:rsidRDefault="00CB0DD7">
      <w:pPr>
        <w:pStyle w:val="PL"/>
      </w:pPr>
      <w:r w:rsidRPr="000A0A5F">
        <w:rPr>
          <w:rFonts w:hint="eastAsia"/>
        </w:rPr>
        <w:t xml:space="preserve">                $ref: '#/components/schemas/</w:t>
      </w:r>
      <w:r w:rsidRPr="000A0A5F">
        <w:rPr>
          <w:lang w:eastAsia="zh-CN"/>
        </w:rPr>
        <w:t>ChargeableParty</w:t>
      </w:r>
      <w:r w:rsidRPr="000A0A5F">
        <w:rPr>
          <w:rFonts w:hint="eastAsia"/>
        </w:rPr>
        <w:t>'</w:t>
      </w:r>
    </w:p>
    <w:p w:rsidR="00CB0DD7" w:rsidRPr="000A0A5F" w:rsidRDefault="00CB0DD7">
      <w:pPr>
        <w:pStyle w:val="PL"/>
      </w:pPr>
      <w:r w:rsidRPr="000A0A5F">
        <w:t xml:space="preserve">        '307':</w:t>
      </w:r>
    </w:p>
    <w:p w:rsidR="00CB0DD7" w:rsidRPr="000A0A5F" w:rsidRDefault="00CB0DD7">
      <w:pPr>
        <w:pStyle w:val="PL"/>
      </w:pPr>
      <w:r w:rsidRPr="000A0A5F">
        <w:t xml:space="preserve">          $ref: 'TS29122_CommonData.yaml#/components/responses/307'</w:t>
      </w:r>
    </w:p>
    <w:p w:rsidR="00CB0DD7" w:rsidRPr="000A0A5F" w:rsidRDefault="00CB0DD7">
      <w:pPr>
        <w:pStyle w:val="PL"/>
      </w:pPr>
      <w:r w:rsidRPr="000A0A5F">
        <w:t xml:space="preserve">        '308':</w:t>
      </w:r>
    </w:p>
    <w:p w:rsidR="00CB0DD7" w:rsidRPr="000A0A5F" w:rsidRDefault="00CB0DD7">
      <w:pPr>
        <w:pStyle w:val="PL"/>
      </w:pPr>
      <w:r w:rsidRPr="000A0A5F">
        <w:t xml:space="preserve">          $ref: 'TS29122_CommonData.yaml#/components/responses/308'</w:t>
      </w:r>
    </w:p>
    <w:p w:rsidR="00CB0DD7" w:rsidRPr="000A0A5F" w:rsidRDefault="00CB0DD7">
      <w:pPr>
        <w:pStyle w:val="PL"/>
      </w:pPr>
      <w:r w:rsidRPr="000A0A5F">
        <w:t xml:space="preserve">        '400':</w:t>
      </w:r>
    </w:p>
    <w:p w:rsidR="00CB0DD7" w:rsidRPr="000A0A5F" w:rsidRDefault="00CB0DD7">
      <w:pPr>
        <w:pStyle w:val="PL"/>
      </w:pPr>
      <w:r w:rsidRPr="000A0A5F">
        <w:t xml:space="preserve">          $ref: 'TS29122_CommonData.yaml#/components/responses/400'</w:t>
      </w:r>
    </w:p>
    <w:p w:rsidR="00CB0DD7" w:rsidRPr="000A0A5F" w:rsidRDefault="00CB0DD7">
      <w:pPr>
        <w:pStyle w:val="PL"/>
      </w:pPr>
      <w:r w:rsidRPr="000A0A5F">
        <w:t xml:space="preserve">        '401':</w:t>
      </w:r>
    </w:p>
    <w:p w:rsidR="00CB0DD7" w:rsidRPr="000A0A5F" w:rsidRDefault="00CB0DD7">
      <w:pPr>
        <w:pStyle w:val="PL"/>
      </w:pPr>
      <w:r w:rsidRPr="000A0A5F">
        <w:t xml:space="preserve">          $ref: 'TS29122_CommonData.yaml#/components/responses/401'</w:t>
      </w:r>
    </w:p>
    <w:p w:rsidR="00CB0DD7" w:rsidRPr="000A0A5F" w:rsidRDefault="00CB0DD7">
      <w:pPr>
        <w:pStyle w:val="PL"/>
      </w:pPr>
      <w:r w:rsidRPr="000A0A5F">
        <w:t xml:space="preserve">        '403':</w:t>
      </w:r>
    </w:p>
    <w:p w:rsidR="00CB0DD7" w:rsidRPr="000A0A5F" w:rsidRDefault="00CB0DD7">
      <w:pPr>
        <w:pStyle w:val="PL"/>
      </w:pPr>
      <w:r w:rsidRPr="000A0A5F">
        <w:t xml:space="preserve">          $ref: 'TS29122_CommonData.yaml#/components/responses/403'</w:t>
      </w:r>
    </w:p>
    <w:p w:rsidR="00CB0DD7" w:rsidRPr="000A0A5F" w:rsidRDefault="00CB0DD7">
      <w:pPr>
        <w:pStyle w:val="PL"/>
      </w:pPr>
      <w:r w:rsidRPr="000A0A5F">
        <w:t xml:space="preserve">        '404':</w:t>
      </w:r>
    </w:p>
    <w:p w:rsidR="00CB0DD7" w:rsidRPr="000A0A5F" w:rsidRDefault="00CB0DD7">
      <w:pPr>
        <w:pStyle w:val="PL"/>
      </w:pPr>
      <w:r w:rsidRPr="000A0A5F">
        <w:t xml:space="preserve">          $ref: 'TS29122_CommonData.yaml#/components/responses/404'</w:t>
      </w:r>
    </w:p>
    <w:p w:rsidR="00CB0DD7" w:rsidRPr="000A0A5F" w:rsidRDefault="00CB0DD7">
      <w:pPr>
        <w:pStyle w:val="PL"/>
      </w:pPr>
      <w:r w:rsidRPr="000A0A5F">
        <w:t xml:space="preserve">        '406':</w:t>
      </w:r>
    </w:p>
    <w:p w:rsidR="00CB0DD7" w:rsidRPr="000A0A5F" w:rsidRDefault="00CB0DD7">
      <w:pPr>
        <w:pStyle w:val="PL"/>
      </w:pPr>
      <w:r w:rsidRPr="000A0A5F">
        <w:t xml:space="preserve">          $ref: 'TS29122_CommonData.yaml#/components/responses/406'</w:t>
      </w:r>
    </w:p>
    <w:p w:rsidR="00CB0DD7" w:rsidRPr="000A0A5F" w:rsidRDefault="00CB0DD7">
      <w:pPr>
        <w:pStyle w:val="PL"/>
      </w:pPr>
      <w:r w:rsidRPr="000A0A5F">
        <w:t xml:space="preserve">        '429':</w:t>
      </w:r>
    </w:p>
    <w:p w:rsidR="00CB0DD7" w:rsidRPr="000A0A5F" w:rsidRDefault="00CB0DD7">
      <w:pPr>
        <w:pStyle w:val="PL"/>
      </w:pPr>
      <w:r w:rsidRPr="000A0A5F">
        <w:t xml:space="preserve">          $ref: 'TS29122_CommonData.yaml#/components/responses/429'</w:t>
      </w:r>
    </w:p>
    <w:p w:rsidR="00CB0DD7" w:rsidRPr="000A0A5F" w:rsidRDefault="00CB0DD7">
      <w:pPr>
        <w:pStyle w:val="PL"/>
      </w:pPr>
      <w:r w:rsidRPr="000A0A5F">
        <w:t xml:space="preserve">        '500':</w:t>
      </w:r>
    </w:p>
    <w:p w:rsidR="00CB0DD7" w:rsidRPr="000A0A5F" w:rsidRDefault="00CB0DD7">
      <w:pPr>
        <w:pStyle w:val="PL"/>
      </w:pPr>
      <w:r w:rsidRPr="000A0A5F">
        <w:t xml:space="preserve">          $ref: 'TS29122_CommonData.yaml#/components/responses/500'</w:t>
      </w:r>
    </w:p>
    <w:p w:rsidR="00CB0DD7" w:rsidRPr="000A0A5F" w:rsidRDefault="00CB0DD7">
      <w:pPr>
        <w:pStyle w:val="PL"/>
      </w:pPr>
      <w:r w:rsidRPr="000A0A5F">
        <w:t xml:space="preserve">        '503':</w:t>
      </w:r>
    </w:p>
    <w:p w:rsidR="00CB0DD7" w:rsidRPr="000A0A5F" w:rsidRDefault="00CB0DD7">
      <w:pPr>
        <w:pStyle w:val="PL"/>
      </w:pPr>
      <w:r w:rsidRPr="000A0A5F">
        <w:t xml:space="preserve">          $ref: 'TS29122_CommonData.yaml#/components/responses/503'</w:t>
      </w:r>
    </w:p>
    <w:p w:rsidR="00CB0DD7" w:rsidRPr="000A0A5F" w:rsidRDefault="00CB0DD7">
      <w:pPr>
        <w:pStyle w:val="PL"/>
      </w:pPr>
      <w:r w:rsidRPr="000A0A5F">
        <w:t xml:space="preserve">        default:</w:t>
      </w:r>
    </w:p>
    <w:p w:rsidR="00CB0DD7" w:rsidRPr="000A0A5F" w:rsidRDefault="00CB0DD7">
      <w:pPr>
        <w:pStyle w:val="PL"/>
      </w:pPr>
      <w:r w:rsidRPr="000A0A5F">
        <w:t xml:space="preserve">          $ref: 'TS29122_CommonData.yaml#/components/responses/default'</w:t>
      </w:r>
    </w:p>
    <w:p w:rsidR="00CB0DD7" w:rsidRPr="000A0A5F" w:rsidRDefault="00CB0DD7">
      <w:pPr>
        <w:pStyle w:val="PL"/>
        <w:rPr>
          <w:rFonts w:hint="eastAsia"/>
        </w:rPr>
      </w:pPr>
    </w:p>
    <w:p w:rsidR="00CB0DD7" w:rsidRPr="000A0A5F" w:rsidRDefault="00CB0DD7">
      <w:pPr>
        <w:pStyle w:val="PL"/>
      </w:pPr>
      <w:r w:rsidRPr="000A0A5F">
        <w:t xml:space="preserve">    patch:</w:t>
      </w:r>
    </w:p>
    <w:p w:rsidR="00CB0DD7" w:rsidRPr="000A0A5F" w:rsidRDefault="00CB0DD7">
      <w:pPr>
        <w:pStyle w:val="PL"/>
        <w:rPr>
          <w:lang w:eastAsia="zh-CN"/>
        </w:rPr>
      </w:pPr>
      <w:r w:rsidRPr="000A0A5F">
        <w:t xml:space="preserve">      summary:  Updates a existing</w:t>
      </w:r>
      <w:r w:rsidRPr="000A0A5F">
        <w:rPr>
          <w:lang w:eastAsia="zh-CN"/>
        </w:rPr>
        <w:t xml:space="preserve"> chargeable party resource for a given SCS/AS and transaction Id.</w:t>
      </w:r>
    </w:p>
    <w:p w:rsidR="003F6BEC" w:rsidRPr="000A0A5F" w:rsidRDefault="003F6BEC" w:rsidP="003F6BEC">
      <w:pPr>
        <w:pStyle w:val="PL"/>
      </w:pPr>
      <w:r w:rsidRPr="000A0A5F">
        <w:t xml:space="preserve">      </w:t>
      </w:r>
      <w:r w:rsidRPr="000A0A5F">
        <w:rPr>
          <w:rFonts w:cs="Courier New"/>
          <w:szCs w:val="16"/>
        </w:rPr>
        <w:t>operationId: Update</w:t>
      </w:r>
      <w:r w:rsidRPr="000A0A5F">
        <w:t>ChargeablePartyTransaction</w:t>
      </w:r>
    </w:p>
    <w:p w:rsidR="00CB0DD7" w:rsidRPr="000A0A5F" w:rsidRDefault="00CB0DD7">
      <w:pPr>
        <w:pStyle w:val="PL"/>
        <w:rPr>
          <w:lang w:val="en-US"/>
        </w:rPr>
      </w:pPr>
      <w:r w:rsidRPr="000A0A5F">
        <w:rPr>
          <w:lang w:val="en-US"/>
        </w:rPr>
        <w:t xml:space="preserve">      tags:</w:t>
      </w:r>
    </w:p>
    <w:p w:rsidR="00CB0DD7" w:rsidRPr="000A0A5F" w:rsidRDefault="00CB0DD7">
      <w:pPr>
        <w:pStyle w:val="PL"/>
        <w:rPr>
          <w:lang w:val="en-US"/>
        </w:rPr>
      </w:pPr>
      <w:r w:rsidRPr="000A0A5F">
        <w:rPr>
          <w:lang w:val="en-US"/>
        </w:rPr>
        <w:t xml:space="preserve">        - Individual </w:t>
      </w:r>
      <w:r w:rsidRPr="000A0A5F">
        <w:rPr>
          <w:lang w:eastAsia="zh-CN"/>
        </w:rPr>
        <w:t>chargeable party</w:t>
      </w:r>
      <w:r w:rsidRPr="000A0A5F">
        <w:rPr>
          <w:lang w:val="en-US"/>
        </w:rPr>
        <w:t xml:space="preserve"> resource Operation</w:t>
      </w:r>
    </w:p>
    <w:p w:rsidR="00CB0DD7" w:rsidRPr="000A0A5F" w:rsidRDefault="00CB0DD7">
      <w:pPr>
        <w:pStyle w:val="PL"/>
        <w:rPr>
          <w:rFonts w:hint="eastAsia"/>
        </w:rPr>
      </w:pPr>
      <w:r w:rsidRPr="000A0A5F">
        <w:rPr>
          <w:rFonts w:hint="eastAsia"/>
        </w:rPr>
        <w:t xml:space="preserve">      parameters:</w:t>
      </w:r>
    </w:p>
    <w:p w:rsidR="00CB0DD7" w:rsidRPr="000A0A5F" w:rsidRDefault="00CB0DD7">
      <w:pPr>
        <w:pStyle w:val="PL"/>
        <w:rPr>
          <w:rFonts w:hint="eastAsia"/>
        </w:rPr>
      </w:pPr>
      <w:r w:rsidRPr="000A0A5F">
        <w:rPr>
          <w:rFonts w:hint="eastAsia"/>
        </w:rPr>
        <w:t xml:space="preserve">        - name: </w:t>
      </w:r>
      <w:r w:rsidRPr="000A0A5F">
        <w:t>scsAsId</w:t>
      </w:r>
    </w:p>
    <w:p w:rsidR="00CB0DD7" w:rsidRPr="000A0A5F" w:rsidRDefault="00CB0DD7">
      <w:pPr>
        <w:pStyle w:val="PL"/>
        <w:rPr>
          <w:rFonts w:hint="eastAsia"/>
        </w:rPr>
      </w:pPr>
      <w:r w:rsidRPr="000A0A5F">
        <w:rPr>
          <w:rFonts w:hint="eastAsia"/>
        </w:rPr>
        <w:t xml:space="preserve">          in: path</w:t>
      </w:r>
    </w:p>
    <w:p w:rsidR="00CB0DD7" w:rsidRPr="000A0A5F" w:rsidRDefault="00CB0DD7">
      <w:pPr>
        <w:pStyle w:val="PL"/>
        <w:rPr>
          <w:rFonts w:hint="eastAsia"/>
        </w:rPr>
      </w:pPr>
      <w:r w:rsidRPr="000A0A5F">
        <w:rPr>
          <w:rFonts w:hint="eastAsia"/>
        </w:rPr>
        <w:t xml:space="preserve">          description: Identifier of </w:t>
      </w:r>
      <w:r w:rsidRPr="000A0A5F">
        <w:t>SCS/AS</w:t>
      </w:r>
    </w:p>
    <w:p w:rsidR="00CB0DD7" w:rsidRPr="000A0A5F" w:rsidRDefault="00CB0DD7">
      <w:pPr>
        <w:pStyle w:val="PL"/>
        <w:rPr>
          <w:rFonts w:hint="eastAsia"/>
        </w:rPr>
      </w:pPr>
      <w:r w:rsidRPr="000A0A5F">
        <w:rPr>
          <w:rFonts w:hint="eastAsia"/>
        </w:rPr>
        <w:t xml:space="preserve">          required: true</w:t>
      </w:r>
    </w:p>
    <w:p w:rsidR="00CB0DD7" w:rsidRPr="000A0A5F" w:rsidRDefault="00CB0DD7">
      <w:pPr>
        <w:pStyle w:val="PL"/>
        <w:rPr>
          <w:rFonts w:hint="eastAsia"/>
        </w:rPr>
      </w:pPr>
      <w:r w:rsidRPr="000A0A5F">
        <w:rPr>
          <w:rFonts w:hint="eastAsia"/>
        </w:rPr>
        <w:t xml:space="preserve">          schema:</w:t>
      </w:r>
    </w:p>
    <w:p w:rsidR="00CB0DD7" w:rsidRPr="000A0A5F" w:rsidRDefault="00CB0DD7">
      <w:pPr>
        <w:pStyle w:val="PL"/>
      </w:pPr>
      <w:r w:rsidRPr="000A0A5F">
        <w:rPr>
          <w:rFonts w:hint="eastAsia"/>
        </w:rPr>
        <w:t xml:space="preserve">            type: string</w:t>
      </w:r>
    </w:p>
    <w:p w:rsidR="00CB0DD7" w:rsidRPr="000A0A5F" w:rsidRDefault="00CB0DD7">
      <w:pPr>
        <w:pStyle w:val="PL"/>
        <w:rPr>
          <w:rFonts w:hint="eastAsia"/>
        </w:rPr>
      </w:pPr>
      <w:r w:rsidRPr="000A0A5F">
        <w:rPr>
          <w:rFonts w:hint="eastAsia"/>
        </w:rPr>
        <w:t xml:space="preserve">        - name: </w:t>
      </w:r>
      <w:r w:rsidRPr="000A0A5F">
        <w:t>transactionId</w:t>
      </w:r>
    </w:p>
    <w:p w:rsidR="00CB0DD7" w:rsidRPr="000A0A5F" w:rsidRDefault="00CB0DD7">
      <w:pPr>
        <w:pStyle w:val="PL"/>
        <w:rPr>
          <w:rFonts w:hint="eastAsia"/>
        </w:rPr>
      </w:pPr>
      <w:r w:rsidRPr="000A0A5F">
        <w:rPr>
          <w:rFonts w:hint="eastAsia"/>
        </w:rPr>
        <w:t xml:space="preserve">          in: path</w:t>
      </w:r>
    </w:p>
    <w:p w:rsidR="00CB0DD7" w:rsidRPr="000A0A5F" w:rsidRDefault="00CB0DD7">
      <w:pPr>
        <w:pStyle w:val="PL"/>
        <w:rPr>
          <w:rFonts w:hint="eastAsia"/>
        </w:rPr>
      </w:pPr>
      <w:r w:rsidRPr="000A0A5F">
        <w:rPr>
          <w:rFonts w:hint="eastAsia"/>
        </w:rPr>
        <w:t xml:space="preserve">          description: </w:t>
      </w:r>
      <w:r w:rsidRPr="000A0A5F">
        <w:t>Identifier of transaction</w:t>
      </w:r>
    </w:p>
    <w:p w:rsidR="00CB0DD7" w:rsidRPr="000A0A5F" w:rsidRDefault="00CB0DD7">
      <w:pPr>
        <w:pStyle w:val="PL"/>
        <w:rPr>
          <w:rFonts w:hint="eastAsia"/>
        </w:rPr>
      </w:pPr>
      <w:r w:rsidRPr="000A0A5F">
        <w:rPr>
          <w:rFonts w:hint="eastAsia"/>
        </w:rPr>
        <w:t xml:space="preserve">          required: true</w:t>
      </w:r>
    </w:p>
    <w:p w:rsidR="00CB0DD7" w:rsidRPr="000A0A5F" w:rsidRDefault="00CB0DD7">
      <w:pPr>
        <w:pStyle w:val="PL"/>
        <w:rPr>
          <w:rFonts w:hint="eastAsia"/>
        </w:rPr>
      </w:pPr>
      <w:r w:rsidRPr="000A0A5F">
        <w:rPr>
          <w:rFonts w:hint="eastAsia"/>
        </w:rPr>
        <w:t xml:space="preserve">          schema:</w:t>
      </w:r>
    </w:p>
    <w:p w:rsidR="00CB0DD7" w:rsidRPr="000A0A5F" w:rsidRDefault="00CB0DD7">
      <w:pPr>
        <w:pStyle w:val="PL"/>
      </w:pPr>
      <w:r w:rsidRPr="000A0A5F">
        <w:rPr>
          <w:rFonts w:hint="eastAsia"/>
        </w:rPr>
        <w:t xml:space="preserve">            type: string</w:t>
      </w:r>
    </w:p>
    <w:p w:rsidR="00CB0DD7" w:rsidRPr="000A0A5F" w:rsidRDefault="00CB0DD7">
      <w:pPr>
        <w:pStyle w:val="PL"/>
        <w:rPr>
          <w:lang w:val="en-US"/>
        </w:rPr>
      </w:pPr>
      <w:r w:rsidRPr="000A0A5F">
        <w:rPr>
          <w:lang w:val="en-US"/>
        </w:rPr>
        <w:t xml:space="preserve">      requestBody:</w:t>
      </w:r>
    </w:p>
    <w:p w:rsidR="00CB0DD7" w:rsidRPr="000A0A5F" w:rsidRDefault="00CB0DD7">
      <w:pPr>
        <w:pStyle w:val="PL"/>
        <w:rPr>
          <w:lang w:val="en-US"/>
        </w:rPr>
      </w:pPr>
      <w:r w:rsidRPr="000A0A5F">
        <w:rPr>
          <w:lang w:val="en-US"/>
        </w:rPr>
        <w:t xml:space="preserve">        description: representation of the </w:t>
      </w:r>
      <w:r w:rsidRPr="000A0A5F">
        <w:rPr>
          <w:lang w:eastAsia="zh-CN"/>
        </w:rPr>
        <w:t>chargeable party</w:t>
      </w:r>
      <w:r w:rsidRPr="000A0A5F">
        <w:t xml:space="preserve"> resource</w:t>
      </w:r>
      <w:r w:rsidRPr="000A0A5F">
        <w:rPr>
          <w:lang w:val="en-US"/>
        </w:rPr>
        <w:t xml:space="preserve"> to be udpated in the SCEF</w:t>
      </w:r>
    </w:p>
    <w:p w:rsidR="00CB0DD7" w:rsidRPr="000A0A5F" w:rsidRDefault="00CB0DD7">
      <w:pPr>
        <w:pStyle w:val="PL"/>
        <w:rPr>
          <w:lang w:val="en-US"/>
        </w:rPr>
      </w:pPr>
      <w:r w:rsidRPr="000A0A5F">
        <w:rPr>
          <w:lang w:val="en-US"/>
        </w:rPr>
        <w:t xml:space="preserve">        required: true</w:t>
      </w:r>
    </w:p>
    <w:p w:rsidR="00CB0DD7" w:rsidRPr="000A0A5F" w:rsidRDefault="00CB0DD7">
      <w:pPr>
        <w:pStyle w:val="PL"/>
        <w:rPr>
          <w:lang w:val="en-US"/>
        </w:rPr>
      </w:pPr>
      <w:r w:rsidRPr="000A0A5F">
        <w:rPr>
          <w:lang w:val="en-US"/>
        </w:rPr>
        <w:t xml:space="preserve">        content:</w:t>
      </w:r>
    </w:p>
    <w:p w:rsidR="00CB0DD7" w:rsidRPr="000A0A5F" w:rsidRDefault="00CB0DD7">
      <w:pPr>
        <w:pStyle w:val="PL"/>
        <w:rPr>
          <w:lang w:val="en-US"/>
        </w:rPr>
      </w:pPr>
      <w:r w:rsidRPr="000A0A5F">
        <w:rPr>
          <w:lang w:val="en-US"/>
        </w:rPr>
        <w:t xml:space="preserve">          application/merge-patch+json:</w:t>
      </w:r>
    </w:p>
    <w:p w:rsidR="00CB0DD7" w:rsidRPr="000A0A5F" w:rsidRDefault="00CB0DD7">
      <w:pPr>
        <w:pStyle w:val="PL"/>
        <w:rPr>
          <w:lang w:val="en-US"/>
        </w:rPr>
      </w:pPr>
      <w:r w:rsidRPr="000A0A5F">
        <w:rPr>
          <w:lang w:val="en-US"/>
        </w:rPr>
        <w:t xml:space="preserve">            schema:</w:t>
      </w:r>
    </w:p>
    <w:p w:rsidR="00CB0DD7" w:rsidRPr="000A0A5F" w:rsidRDefault="00CB0DD7">
      <w:pPr>
        <w:pStyle w:val="PL"/>
        <w:rPr>
          <w:lang w:val="en-US"/>
        </w:rPr>
      </w:pPr>
      <w:r w:rsidRPr="000A0A5F">
        <w:rPr>
          <w:lang w:val="en-US"/>
        </w:rPr>
        <w:t xml:space="preserve">              $ref: '#/components/schemas/C</w:t>
      </w:r>
      <w:r w:rsidRPr="000A0A5F">
        <w:rPr>
          <w:lang w:eastAsia="zh-CN"/>
        </w:rPr>
        <w:t>hargeablePartyPatch</w:t>
      </w:r>
      <w:r w:rsidRPr="000A0A5F">
        <w:rPr>
          <w:lang w:val="en-US"/>
        </w:rPr>
        <w:t>'</w:t>
      </w:r>
    </w:p>
    <w:p w:rsidR="00CB0DD7" w:rsidRPr="000A0A5F" w:rsidRDefault="00CB0DD7">
      <w:pPr>
        <w:pStyle w:val="PL"/>
        <w:rPr>
          <w:lang w:val="en-US"/>
        </w:rPr>
      </w:pPr>
      <w:r w:rsidRPr="000A0A5F">
        <w:rPr>
          <w:lang w:val="en-US"/>
        </w:rPr>
        <w:t xml:space="preserve">      responses:</w:t>
      </w:r>
    </w:p>
    <w:p w:rsidR="00CB0DD7" w:rsidRPr="000A0A5F" w:rsidRDefault="00CB0DD7">
      <w:pPr>
        <w:pStyle w:val="PL"/>
        <w:rPr>
          <w:lang w:val="en-US"/>
        </w:rPr>
      </w:pPr>
      <w:r w:rsidRPr="000A0A5F">
        <w:rPr>
          <w:lang w:val="en-US"/>
        </w:rPr>
        <w:t xml:space="preserve">        '200':</w:t>
      </w:r>
    </w:p>
    <w:p w:rsidR="00CB0DD7" w:rsidRPr="000A0A5F" w:rsidRDefault="00CB0DD7">
      <w:pPr>
        <w:pStyle w:val="PL"/>
        <w:rPr>
          <w:lang w:val="en-US"/>
        </w:rPr>
      </w:pPr>
      <w:r w:rsidRPr="000A0A5F">
        <w:rPr>
          <w:lang w:val="en-US"/>
        </w:rPr>
        <w:t xml:space="preserve">          description: successful update of a</w:t>
      </w:r>
      <w:r w:rsidRPr="000A0A5F">
        <w:rPr>
          <w:lang w:eastAsia="zh-CN"/>
        </w:rPr>
        <w:t xml:space="preserve"> chargeable party</w:t>
      </w:r>
      <w:r w:rsidRPr="000A0A5F">
        <w:t xml:space="preserve"> resource</w:t>
      </w:r>
    </w:p>
    <w:p w:rsidR="00CB0DD7" w:rsidRPr="000A0A5F" w:rsidRDefault="00CB0DD7">
      <w:pPr>
        <w:pStyle w:val="PL"/>
        <w:rPr>
          <w:lang w:val="en-US"/>
        </w:rPr>
      </w:pPr>
      <w:r w:rsidRPr="000A0A5F">
        <w:rPr>
          <w:lang w:val="en-US"/>
        </w:rPr>
        <w:t xml:space="preserve">          content:</w:t>
      </w:r>
    </w:p>
    <w:p w:rsidR="00CB0DD7" w:rsidRPr="000A0A5F" w:rsidRDefault="00CB0DD7">
      <w:pPr>
        <w:pStyle w:val="PL"/>
        <w:rPr>
          <w:lang w:val="en-US"/>
        </w:rPr>
      </w:pPr>
      <w:r w:rsidRPr="000A0A5F">
        <w:rPr>
          <w:lang w:val="en-US"/>
        </w:rPr>
        <w:t xml:space="preserve">            application/json:</w:t>
      </w:r>
    </w:p>
    <w:p w:rsidR="00CB0DD7" w:rsidRPr="000A0A5F" w:rsidRDefault="00CB0DD7">
      <w:pPr>
        <w:pStyle w:val="PL"/>
        <w:rPr>
          <w:lang w:val="en-US"/>
        </w:rPr>
      </w:pPr>
      <w:r w:rsidRPr="000A0A5F">
        <w:rPr>
          <w:lang w:val="en-US"/>
        </w:rPr>
        <w:t xml:space="preserve">              schema:</w:t>
      </w:r>
    </w:p>
    <w:p w:rsidR="00CB0DD7" w:rsidRPr="000A0A5F" w:rsidRDefault="00CB0DD7">
      <w:pPr>
        <w:pStyle w:val="PL"/>
        <w:rPr>
          <w:lang w:val="en-US"/>
        </w:rPr>
      </w:pPr>
      <w:r w:rsidRPr="000A0A5F">
        <w:rPr>
          <w:lang w:val="en-US"/>
        </w:rPr>
        <w:t xml:space="preserve">                $ref: '#/components/schemas/C</w:t>
      </w:r>
      <w:r w:rsidRPr="000A0A5F">
        <w:rPr>
          <w:lang w:eastAsia="zh-CN"/>
        </w:rPr>
        <w:t>hargeableParty</w:t>
      </w:r>
      <w:r w:rsidRPr="000A0A5F">
        <w:rPr>
          <w:lang w:val="en-US"/>
        </w:rPr>
        <w:t>'</w:t>
      </w:r>
    </w:p>
    <w:p w:rsidR="00CB0DD7" w:rsidRPr="000A0A5F" w:rsidRDefault="00CB0DD7">
      <w:pPr>
        <w:pStyle w:val="PL"/>
        <w:rPr>
          <w:lang w:val="en-US"/>
        </w:rPr>
      </w:pPr>
      <w:r w:rsidRPr="000A0A5F">
        <w:rPr>
          <w:lang w:val="en-US"/>
        </w:rPr>
        <w:t xml:space="preserve">        '204':</w:t>
      </w:r>
    </w:p>
    <w:p w:rsidR="00CB0DD7" w:rsidRPr="000A0A5F" w:rsidRDefault="00CB0DD7">
      <w:pPr>
        <w:pStyle w:val="PL"/>
        <w:rPr>
          <w:lang w:val="en-US"/>
        </w:rPr>
      </w:pPr>
      <w:r w:rsidRPr="000A0A5F">
        <w:rPr>
          <w:lang w:val="en-US"/>
        </w:rPr>
        <w:t xml:space="preserve">          description: No Content</w:t>
      </w:r>
    </w:p>
    <w:p w:rsidR="00CB0DD7" w:rsidRPr="000A0A5F" w:rsidRDefault="00CB0DD7">
      <w:pPr>
        <w:pStyle w:val="PL"/>
      </w:pPr>
      <w:r w:rsidRPr="000A0A5F">
        <w:t xml:space="preserve">        '307':</w:t>
      </w:r>
    </w:p>
    <w:p w:rsidR="00CB0DD7" w:rsidRPr="000A0A5F" w:rsidRDefault="00CB0DD7">
      <w:pPr>
        <w:pStyle w:val="PL"/>
      </w:pPr>
      <w:r w:rsidRPr="000A0A5F">
        <w:t xml:space="preserve">          $ref: 'TS29122_CommonData.yaml#/components/responses/307'</w:t>
      </w:r>
    </w:p>
    <w:p w:rsidR="00CB0DD7" w:rsidRPr="000A0A5F" w:rsidRDefault="00CB0DD7">
      <w:pPr>
        <w:pStyle w:val="PL"/>
      </w:pPr>
      <w:r w:rsidRPr="000A0A5F">
        <w:t xml:space="preserve">        '308':</w:t>
      </w:r>
    </w:p>
    <w:p w:rsidR="00CB0DD7" w:rsidRPr="000A0A5F" w:rsidRDefault="00CB0DD7">
      <w:pPr>
        <w:pStyle w:val="PL"/>
      </w:pPr>
      <w:r w:rsidRPr="000A0A5F">
        <w:t xml:space="preserve">          $ref: 'TS29122_CommonData.yaml#/components/responses/308'</w:t>
      </w:r>
    </w:p>
    <w:p w:rsidR="00CB0DD7" w:rsidRPr="000A0A5F" w:rsidRDefault="00CB0DD7">
      <w:pPr>
        <w:pStyle w:val="PL"/>
      </w:pPr>
      <w:r w:rsidRPr="000A0A5F">
        <w:t xml:space="preserve">        '400':</w:t>
      </w:r>
    </w:p>
    <w:p w:rsidR="00CB0DD7" w:rsidRPr="000A0A5F" w:rsidRDefault="00CB0DD7">
      <w:pPr>
        <w:pStyle w:val="PL"/>
      </w:pPr>
      <w:r w:rsidRPr="000A0A5F">
        <w:t xml:space="preserve">          $ref: 'TS29122_CommonData.yaml#/components/responses/400'</w:t>
      </w:r>
    </w:p>
    <w:p w:rsidR="00CB0DD7" w:rsidRPr="000A0A5F" w:rsidRDefault="00CB0DD7">
      <w:pPr>
        <w:pStyle w:val="PL"/>
      </w:pPr>
      <w:r w:rsidRPr="000A0A5F">
        <w:t xml:space="preserve">        '401':</w:t>
      </w:r>
    </w:p>
    <w:p w:rsidR="00CB0DD7" w:rsidRPr="000A0A5F" w:rsidRDefault="00CB0DD7">
      <w:pPr>
        <w:pStyle w:val="PL"/>
      </w:pPr>
      <w:r w:rsidRPr="000A0A5F">
        <w:t xml:space="preserve">          $ref: 'TS29122_CommonData.yaml#/components/responses/401'</w:t>
      </w:r>
    </w:p>
    <w:p w:rsidR="00CB0DD7" w:rsidRPr="000A0A5F" w:rsidRDefault="00CB0DD7">
      <w:pPr>
        <w:pStyle w:val="PL"/>
      </w:pPr>
      <w:r w:rsidRPr="000A0A5F">
        <w:t xml:space="preserve">        '403':</w:t>
      </w:r>
    </w:p>
    <w:p w:rsidR="00CB0DD7" w:rsidRPr="000A0A5F" w:rsidRDefault="00CB0DD7">
      <w:pPr>
        <w:pStyle w:val="PL"/>
      </w:pPr>
      <w:r w:rsidRPr="000A0A5F">
        <w:t xml:space="preserve">          $ref: 'TS29122_CommonData.yaml#/components/responses/403'</w:t>
      </w:r>
    </w:p>
    <w:p w:rsidR="00CB0DD7" w:rsidRPr="000A0A5F" w:rsidRDefault="00CB0DD7">
      <w:pPr>
        <w:pStyle w:val="PL"/>
      </w:pPr>
      <w:r w:rsidRPr="000A0A5F">
        <w:t xml:space="preserve">        '404':</w:t>
      </w:r>
    </w:p>
    <w:p w:rsidR="00CB0DD7" w:rsidRPr="000A0A5F" w:rsidRDefault="00CB0DD7">
      <w:pPr>
        <w:pStyle w:val="PL"/>
      </w:pPr>
      <w:r w:rsidRPr="000A0A5F">
        <w:t xml:space="preserve">          $ref: 'TS29122_CommonData.yaml#/components/responses/404'</w:t>
      </w:r>
    </w:p>
    <w:p w:rsidR="00CB0DD7" w:rsidRPr="000A0A5F" w:rsidRDefault="00CB0DD7">
      <w:pPr>
        <w:pStyle w:val="PL"/>
      </w:pPr>
      <w:r w:rsidRPr="000A0A5F">
        <w:t xml:space="preserve">        '411':</w:t>
      </w:r>
    </w:p>
    <w:p w:rsidR="00CB0DD7" w:rsidRPr="000A0A5F" w:rsidRDefault="00CB0DD7">
      <w:pPr>
        <w:pStyle w:val="PL"/>
      </w:pPr>
      <w:r w:rsidRPr="000A0A5F">
        <w:t xml:space="preserve">          $ref: 'TS29122_CommonData.yaml#/components/responses/411'</w:t>
      </w:r>
    </w:p>
    <w:p w:rsidR="00CB0DD7" w:rsidRPr="000A0A5F" w:rsidRDefault="00CB0DD7">
      <w:pPr>
        <w:pStyle w:val="PL"/>
      </w:pPr>
      <w:r w:rsidRPr="000A0A5F">
        <w:t xml:space="preserve">        '413':</w:t>
      </w:r>
    </w:p>
    <w:p w:rsidR="00CB0DD7" w:rsidRPr="000A0A5F" w:rsidRDefault="00CB0DD7">
      <w:pPr>
        <w:pStyle w:val="PL"/>
      </w:pPr>
      <w:r w:rsidRPr="000A0A5F">
        <w:t xml:space="preserve">          $ref: 'TS29122_CommonData.yaml#/components/responses/413'</w:t>
      </w:r>
    </w:p>
    <w:p w:rsidR="00CB0DD7" w:rsidRPr="000A0A5F" w:rsidRDefault="00CB0DD7">
      <w:pPr>
        <w:pStyle w:val="PL"/>
      </w:pPr>
      <w:r w:rsidRPr="000A0A5F">
        <w:t xml:space="preserve">        '415':</w:t>
      </w:r>
    </w:p>
    <w:p w:rsidR="00CB0DD7" w:rsidRPr="000A0A5F" w:rsidRDefault="00CB0DD7">
      <w:pPr>
        <w:pStyle w:val="PL"/>
      </w:pPr>
      <w:r w:rsidRPr="000A0A5F">
        <w:t xml:space="preserve">          $ref: 'TS29122_CommonData.yaml#/components/responses/415'</w:t>
      </w:r>
    </w:p>
    <w:p w:rsidR="00CB0DD7" w:rsidRPr="000A0A5F" w:rsidRDefault="00CB0DD7">
      <w:pPr>
        <w:pStyle w:val="PL"/>
      </w:pPr>
      <w:r w:rsidRPr="000A0A5F">
        <w:t xml:space="preserve">        '429':</w:t>
      </w:r>
    </w:p>
    <w:p w:rsidR="00CB0DD7" w:rsidRPr="000A0A5F" w:rsidRDefault="00CB0DD7">
      <w:pPr>
        <w:pStyle w:val="PL"/>
      </w:pPr>
      <w:r w:rsidRPr="000A0A5F">
        <w:t xml:space="preserve">          $ref: 'TS29122_CommonData.yaml#/components/responses/429'</w:t>
      </w:r>
    </w:p>
    <w:p w:rsidR="00CB0DD7" w:rsidRPr="000A0A5F" w:rsidRDefault="00CB0DD7">
      <w:pPr>
        <w:pStyle w:val="PL"/>
      </w:pPr>
      <w:r w:rsidRPr="000A0A5F">
        <w:t xml:space="preserve">        '500':</w:t>
      </w:r>
    </w:p>
    <w:p w:rsidR="00CB0DD7" w:rsidRPr="000A0A5F" w:rsidRDefault="00CB0DD7">
      <w:pPr>
        <w:pStyle w:val="PL"/>
      </w:pPr>
      <w:r w:rsidRPr="000A0A5F">
        <w:t xml:space="preserve">          $ref: 'TS29122_CommonData.yaml#/components/responses/500'</w:t>
      </w:r>
    </w:p>
    <w:p w:rsidR="00CB0DD7" w:rsidRPr="000A0A5F" w:rsidRDefault="00CB0DD7">
      <w:pPr>
        <w:pStyle w:val="PL"/>
      </w:pPr>
      <w:r w:rsidRPr="000A0A5F">
        <w:t xml:space="preserve">        '503':</w:t>
      </w:r>
    </w:p>
    <w:p w:rsidR="00CB0DD7" w:rsidRPr="000A0A5F" w:rsidRDefault="00CB0DD7">
      <w:pPr>
        <w:pStyle w:val="PL"/>
      </w:pPr>
      <w:r w:rsidRPr="000A0A5F">
        <w:t xml:space="preserve">          $ref: 'TS29122_CommonData.yaml#/components/responses/503'</w:t>
      </w:r>
    </w:p>
    <w:p w:rsidR="00CB0DD7" w:rsidRPr="000A0A5F" w:rsidRDefault="00CB0DD7">
      <w:pPr>
        <w:pStyle w:val="PL"/>
      </w:pPr>
      <w:r w:rsidRPr="000A0A5F">
        <w:t xml:space="preserve">        default:</w:t>
      </w:r>
    </w:p>
    <w:p w:rsidR="00CB0DD7" w:rsidRPr="000A0A5F" w:rsidRDefault="00CB0DD7">
      <w:pPr>
        <w:pStyle w:val="PL"/>
      </w:pPr>
      <w:r w:rsidRPr="000A0A5F">
        <w:t xml:space="preserve">          $ref: 'TS29122_CommonData.yaml#/components/responses/default'</w:t>
      </w:r>
    </w:p>
    <w:p w:rsidR="00CB0DD7" w:rsidRPr="000A0A5F" w:rsidRDefault="00CB0DD7">
      <w:pPr>
        <w:pStyle w:val="PL"/>
        <w:rPr>
          <w:lang w:val="en-US"/>
        </w:rPr>
      </w:pPr>
    </w:p>
    <w:p w:rsidR="00CB0DD7" w:rsidRPr="000A0A5F" w:rsidRDefault="00CB0DD7">
      <w:pPr>
        <w:pStyle w:val="PL"/>
        <w:tabs>
          <w:tab w:val="clear" w:pos="384"/>
        </w:tabs>
      </w:pPr>
      <w:r w:rsidRPr="000A0A5F">
        <w:t xml:space="preserve">    delete:</w:t>
      </w:r>
    </w:p>
    <w:p w:rsidR="00CB0DD7" w:rsidRPr="000A0A5F" w:rsidRDefault="00CB0DD7">
      <w:pPr>
        <w:pStyle w:val="PL"/>
        <w:rPr>
          <w:lang w:eastAsia="zh-CN"/>
        </w:rPr>
      </w:pPr>
      <w:r w:rsidRPr="000A0A5F">
        <w:rPr>
          <w:lang w:val="en-US"/>
        </w:rPr>
        <w:t xml:space="preserve">      summary:  </w:t>
      </w:r>
      <w:r w:rsidR="003F6BEC" w:rsidRPr="000A0A5F">
        <w:rPr>
          <w:lang w:val="en-US"/>
        </w:rPr>
        <w:t>D</w:t>
      </w:r>
      <w:r w:rsidRPr="000A0A5F">
        <w:rPr>
          <w:lang w:val="en-US"/>
        </w:rPr>
        <w:t>elete</w:t>
      </w:r>
      <w:r w:rsidRPr="000A0A5F">
        <w:rPr>
          <w:lang w:eastAsia="zh-CN"/>
        </w:rPr>
        <w:t>s a chargeable party resource for a given SCS/AS and a transcation Id.</w:t>
      </w:r>
    </w:p>
    <w:p w:rsidR="003F6BEC" w:rsidRPr="000A0A5F" w:rsidRDefault="003F6BEC" w:rsidP="003F6BEC">
      <w:pPr>
        <w:pStyle w:val="PL"/>
      </w:pPr>
      <w:r w:rsidRPr="000A0A5F">
        <w:t xml:space="preserve">      </w:t>
      </w:r>
      <w:r w:rsidRPr="000A0A5F">
        <w:rPr>
          <w:rFonts w:cs="Courier New"/>
          <w:szCs w:val="16"/>
        </w:rPr>
        <w:t>operationId: Delete</w:t>
      </w:r>
      <w:r w:rsidRPr="000A0A5F">
        <w:t>ChargeablePartyTransaction</w:t>
      </w:r>
    </w:p>
    <w:p w:rsidR="00CB0DD7" w:rsidRPr="000A0A5F" w:rsidRDefault="00CB0DD7">
      <w:pPr>
        <w:pStyle w:val="PL"/>
        <w:rPr>
          <w:lang w:val="en-US"/>
        </w:rPr>
      </w:pPr>
      <w:r w:rsidRPr="000A0A5F">
        <w:rPr>
          <w:lang w:val="en-US"/>
        </w:rPr>
        <w:t xml:space="preserve">      tags:</w:t>
      </w:r>
    </w:p>
    <w:p w:rsidR="00CB0DD7" w:rsidRPr="000A0A5F" w:rsidRDefault="00CB0DD7">
      <w:pPr>
        <w:pStyle w:val="PL"/>
        <w:rPr>
          <w:lang w:val="en-US"/>
        </w:rPr>
      </w:pPr>
      <w:r w:rsidRPr="000A0A5F">
        <w:rPr>
          <w:lang w:val="en-US"/>
        </w:rPr>
        <w:t xml:space="preserve">        - Individual </w:t>
      </w:r>
      <w:r w:rsidRPr="000A0A5F">
        <w:rPr>
          <w:lang w:eastAsia="zh-CN"/>
        </w:rPr>
        <w:t>chargeable party</w:t>
      </w:r>
      <w:r w:rsidRPr="000A0A5F">
        <w:rPr>
          <w:lang w:val="en-US"/>
        </w:rPr>
        <w:t xml:space="preserve"> resource Operation</w:t>
      </w:r>
    </w:p>
    <w:p w:rsidR="00CB0DD7" w:rsidRPr="000A0A5F" w:rsidRDefault="00CB0DD7">
      <w:pPr>
        <w:pStyle w:val="PL"/>
        <w:rPr>
          <w:rFonts w:hint="eastAsia"/>
        </w:rPr>
      </w:pPr>
      <w:r w:rsidRPr="000A0A5F">
        <w:rPr>
          <w:rFonts w:hint="eastAsia"/>
        </w:rPr>
        <w:t xml:space="preserve">      parameters:</w:t>
      </w:r>
    </w:p>
    <w:p w:rsidR="00CB0DD7" w:rsidRPr="000A0A5F" w:rsidRDefault="00CB0DD7">
      <w:pPr>
        <w:pStyle w:val="PL"/>
        <w:rPr>
          <w:rFonts w:hint="eastAsia"/>
        </w:rPr>
      </w:pPr>
      <w:r w:rsidRPr="000A0A5F">
        <w:rPr>
          <w:rFonts w:hint="eastAsia"/>
        </w:rPr>
        <w:t xml:space="preserve">        - name: </w:t>
      </w:r>
      <w:r w:rsidRPr="000A0A5F">
        <w:t>scsAsId</w:t>
      </w:r>
    </w:p>
    <w:p w:rsidR="00CB0DD7" w:rsidRPr="000A0A5F" w:rsidRDefault="00CB0DD7">
      <w:pPr>
        <w:pStyle w:val="PL"/>
        <w:rPr>
          <w:rFonts w:hint="eastAsia"/>
        </w:rPr>
      </w:pPr>
      <w:r w:rsidRPr="000A0A5F">
        <w:rPr>
          <w:rFonts w:hint="eastAsia"/>
        </w:rPr>
        <w:t xml:space="preserve">          in: path</w:t>
      </w:r>
    </w:p>
    <w:p w:rsidR="00CB0DD7" w:rsidRPr="000A0A5F" w:rsidRDefault="00CB0DD7">
      <w:pPr>
        <w:pStyle w:val="PL"/>
        <w:rPr>
          <w:rFonts w:hint="eastAsia"/>
        </w:rPr>
      </w:pPr>
      <w:r w:rsidRPr="000A0A5F">
        <w:rPr>
          <w:rFonts w:hint="eastAsia"/>
        </w:rPr>
        <w:t xml:space="preserve">          description: Identifier of </w:t>
      </w:r>
      <w:r w:rsidRPr="000A0A5F">
        <w:t>SCS/AS</w:t>
      </w:r>
    </w:p>
    <w:p w:rsidR="00CB0DD7" w:rsidRPr="000A0A5F" w:rsidRDefault="00CB0DD7">
      <w:pPr>
        <w:pStyle w:val="PL"/>
        <w:rPr>
          <w:rFonts w:hint="eastAsia"/>
        </w:rPr>
      </w:pPr>
      <w:r w:rsidRPr="000A0A5F">
        <w:rPr>
          <w:rFonts w:hint="eastAsia"/>
        </w:rPr>
        <w:t xml:space="preserve">          required: true</w:t>
      </w:r>
    </w:p>
    <w:p w:rsidR="00CB0DD7" w:rsidRPr="000A0A5F" w:rsidRDefault="00CB0DD7">
      <w:pPr>
        <w:pStyle w:val="PL"/>
        <w:rPr>
          <w:rFonts w:hint="eastAsia"/>
        </w:rPr>
      </w:pPr>
      <w:r w:rsidRPr="000A0A5F">
        <w:rPr>
          <w:rFonts w:hint="eastAsia"/>
        </w:rPr>
        <w:t xml:space="preserve">          schema:</w:t>
      </w:r>
    </w:p>
    <w:p w:rsidR="00CB0DD7" w:rsidRPr="000A0A5F" w:rsidRDefault="00CB0DD7">
      <w:pPr>
        <w:pStyle w:val="PL"/>
      </w:pPr>
      <w:r w:rsidRPr="000A0A5F">
        <w:rPr>
          <w:rFonts w:hint="eastAsia"/>
        </w:rPr>
        <w:t xml:space="preserve">            type: string</w:t>
      </w:r>
    </w:p>
    <w:p w:rsidR="00CB0DD7" w:rsidRPr="000A0A5F" w:rsidRDefault="00CB0DD7">
      <w:pPr>
        <w:pStyle w:val="PL"/>
        <w:rPr>
          <w:rFonts w:hint="eastAsia"/>
        </w:rPr>
      </w:pPr>
      <w:r w:rsidRPr="000A0A5F">
        <w:rPr>
          <w:rFonts w:hint="eastAsia"/>
        </w:rPr>
        <w:t xml:space="preserve">        - name: </w:t>
      </w:r>
      <w:r w:rsidRPr="000A0A5F">
        <w:t>transactionId</w:t>
      </w:r>
    </w:p>
    <w:p w:rsidR="00CB0DD7" w:rsidRPr="000A0A5F" w:rsidRDefault="00CB0DD7">
      <w:pPr>
        <w:pStyle w:val="PL"/>
        <w:rPr>
          <w:rFonts w:hint="eastAsia"/>
        </w:rPr>
      </w:pPr>
      <w:r w:rsidRPr="000A0A5F">
        <w:rPr>
          <w:rFonts w:hint="eastAsia"/>
        </w:rPr>
        <w:t xml:space="preserve">          in: path</w:t>
      </w:r>
    </w:p>
    <w:p w:rsidR="00CB0DD7" w:rsidRPr="000A0A5F" w:rsidRDefault="00CB0DD7">
      <w:pPr>
        <w:pStyle w:val="PL"/>
        <w:rPr>
          <w:rFonts w:hint="eastAsia"/>
        </w:rPr>
      </w:pPr>
      <w:r w:rsidRPr="000A0A5F">
        <w:rPr>
          <w:rFonts w:hint="eastAsia"/>
        </w:rPr>
        <w:t xml:space="preserve">          description: </w:t>
      </w:r>
      <w:r w:rsidRPr="000A0A5F">
        <w:t>Identifier of transaction</w:t>
      </w:r>
    </w:p>
    <w:p w:rsidR="00CB0DD7" w:rsidRPr="000A0A5F" w:rsidRDefault="00CB0DD7">
      <w:pPr>
        <w:pStyle w:val="PL"/>
        <w:rPr>
          <w:rFonts w:hint="eastAsia"/>
        </w:rPr>
      </w:pPr>
      <w:r w:rsidRPr="000A0A5F">
        <w:rPr>
          <w:rFonts w:hint="eastAsia"/>
        </w:rPr>
        <w:t xml:space="preserve">          required: true</w:t>
      </w:r>
    </w:p>
    <w:p w:rsidR="00CB0DD7" w:rsidRPr="000A0A5F" w:rsidRDefault="00CB0DD7">
      <w:pPr>
        <w:pStyle w:val="PL"/>
        <w:rPr>
          <w:rFonts w:hint="eastAsia"/>
        </w:rPr>
      </w:pPr>
      <w:r w:rsidRPr="000A0A5F">
        <w:rPr>
          <w:rFonts w:hint="eastAsia"/>
        </w:rPr>
        <w:t xml:space="preserve">          schema:</w:t>
      </w:r>
    </w:p>
    <w:p w:rsidR="00CB0DD7" w:rsidRPr="000A0A5F" w:rsidRDefault="00CB0DD7">
      <w:pPr>
        <w:pStyle w:val="PL"/>
      </w:pPr>
      <w:r w:rsidRPr="000A0A5F">
        <w:rPr>
          <w:rFonts w:hint="eastAsia"/>
        </w:rPr>
        <w:t xml:space="preserve">            type: string</w:t>
      </w:r>
    </w:p>
    <w:p w:rsidR="00CB0DD7" w:rsidRPr="000A0A5F" w:rsidRDefault="00CB0DD7">
      <w:pPr>
        <w:pStyle w:val="PL"/>
        <w:rPr>
          <w:lang w:val="en-US"/>
        </w:rPr>
      </w:pPr>
      <w:r w:rsidRPr="000A0A5F">
        <w:t xml:space="preserve">     </w:t>
      </w:r>
      <w:r w:rsidRPr="000A0A5F">
        <w:rPr>
          <w:lang w:val="en-US"/>
        </w:rPr>
        <w:t xml:space="preserve"> responses:</w:t>
      </w:r>
    </w:p>
    <w:p w:rsidR="00CB0DD7" w:rsidRPr="000A0A5F" w:rsidRDefault="00CB0DD7">
      <w:pPr>
        <w:pStyle w:val="PL"/>
        <w:rPr>
          <w:lang w:val="en-US"/>
        </w:rPr>
      </w:pPr>
      <w:r w:rsidRPr="000A0A5F">
        <w:rPr>
          <w:lang w:val="en-US"/>
        </w:rPr>
        <w:t xml:space="preserve">        '204':</w:t>
      </w:r>
    </w:p>
    <w:p w:rsidR="00CB0DD7" w:rsidRPr="000A0A5F" w:rsidRDefault="00CB0DD7">
      <w:pPr>
        <w:pStyle w:val="PL"/>
        <w:rPr>
          <w:lang w:eastAsia="zh-CN"/>
        </w:rPr>
      </w:pPr>
      <w:r w:rsidRPr="000A0A5F">
        <w:rPr>
          <w:lang w:val="en-US"/>
        </w:rPr>
        <w:t xml:space="preserve">          description: successful deletion of an resouce of </w:t>
      </w:r>
      <w:r w:rsidRPr="000A0A5F">
        <w:rPr>
          <w:lang w:eastAsia="zh-CN"/>
        </w:rPr>
        <w:t>chargeable party</w:t>
      </w:r>
    </w:p>
    <w:p w:rsidR="00CB0DD7" w:rsidRPr="000A0A5F" w:rsidRDefault="00CB0DD7">
      <w:pPr>
        <w:pStyle w:val="PL"/>
      </w:pPr>
      <w:r w:rsidRPr="000A0A5F">
        <w:t xml:space="preserve">        '200':</w:t>
      </w:r>
    </w:p>
    <w:p w:rsidR="00CB0DD7" w:rsidRPr="000A0A5F" w:rsidRDefault="00CB0DD7">
      <w:pPr>
        <w:pStyle w:val="PL"/>
      </w:pPr>
      <w:r w:rsidRPr="000A0A5F">
        <w:t xml:space="preserve">          description: OK (Successful deletion of the existing subscription)</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application/json:</w:t>
      </w:r>
    </w:p>
    <w:p w:rsidR="00CB0DD7" w:rsidRPr="000A0A5F" w:rsidRDefault="00CB0DD7">
      <w:pPr>
        <w:pStyle w:val="PL"/>
      </w:pPr>
      <w:r w:rsidRPr="000A0A5F">
        <w:t xml:space="preserve">              schema:</w:t>
      </w:r>
    </w:p>
    <w:p w:rsidR="00CB0DD7" w:rsidRPr="000A0A5F" w:rsidRDefault="00CB0DD7">
      <w:pPr>
        <w:pStyle w:val="PL"/>
      </w:pPr>
      <w:r w:rsidRPr="000A0A5F">
        <w:t xml:space="preserve">                $ref: 'TS29122_CommonData.yaml#/components/schemas/NotificationData'</w:t>
      </w:r>
    </w:p>
    <w:p w:rsidR="00CB0DD7" w:rsidRPr="000A0A5F" w:rsidRDefault="00CB0DD7">
      <w:pPr>
        <w:pStyle w:val="PL"/>
      </w:pPr>
      <w:r w:rsidRPr="000A0A5F">
        <w:t xml:space="preserve">        '307':</w:t>
      </w:r>
    </w:p>
    <w:p w:rsidR="00CB0DD7" w:rsidRPr="000A0A5F" w:rsidRDefault="00CB0DD7">
      <w:pPr>
        <w:pStyle w:val="PL"/>
      </w:pPr>
      <w:r w:rsidRPr="000A0A5F">
        <w:t xml:space="preserve">          $ref: 'TS29122_CommonData.yaml#/components/responses/307'</w:t>
      </w:r>
    </w:p>
    <w:p w:rsidR="00CB0DD7" w:rsidRPr="000A0A5F" w:rsidRDefault="00CB0DD7">
      <w:pPr>
        <w:pStyle w:val="PL"/>
      </w:pPr>
      <w:r w:rsidRPr="000A0A5F">
        <w:t xml:space="preserve">        '308':</w:t>
      </w:r>
    </w:p>
    <w:p w:rsidR="00CB0DD7" w:rsidRPr="000A0A5F" w:rsidRDefault="00CB0DD7">
      <w:pPr>
        <w:pStyle w:val="PL"/>
      </w:pPr>
      <w:r w:rsidRPr="000A0A5F">
        <w:t xml:space="preserve">          $ref: 'TS29122_CommonData.yaml#/components/responses/308'</w:t>
      </w:r>
    </w:p>
    <w:p w:rsidR="00CB0DD7" w:rsidRPr="000A0A5F" w:rsidRDefault="00CB0DD7">
      <w:pPr>
        <w:pStyle w:val="PL"/>
      </w:pPr>
      <w:r w:rsidRPr="000A0A5F">
        <w:t xml:space="preserve">        '400':</w:t>
      </w:r>
    </w:p>
    <w:p w:rsidR="00CB0DD7" w:rsidRPr="000A0A5F" w:rsidRDefault="00CB0DD7">
      <w:pPr>
        <w:pStyle w:val="PL"/>
      </w:pPr>
      <w:r w:rsidRPr="000A0A5F">
        <w:t xml:space="preserve">          $ref: 'TS29122_CommonData.yaml#/components/responses/400'</w:t>
      </w:r>
    </w:p>
    <w:p w:rsidR="00CB0DD7" w:rsidRPr="000A0A5F" w:rsidRDefault="00CB0DD7">
      <w:pPr>
        <w:pStyle w:val="PL"/>
      </w:pPr>
      <w:r w:rsidRPr="000A0A5F">
        <w:t xml:space="preserve">        '401':</w:t>
      </w:r>
    </w:p>
    <w:p w:rsidR="00CB0DD7" w:rsidRPr="000A0A5F" w:rsidRDefault="00CB0DD7">
      <w:pPr>
        <w:pStyle w:val="PL"/>
      </w:pPr>
      <w:r w:rsidRPr="000A0A5F">
        <w:t xml:space="preserve">          $ref: 'TS29122_CommonData.yaml#/components/responses/401'</w:t>
      </w:r>
    </w:p>
    <w:p w:rsidR="00CB0DD7" w:rsidRPr="000A0A5F" w:rsidRDefault="00CB0DD7">
      <w:pPr>
        <w:pStyle w:val="PL"/>
      </w:pPr>
      <w:r w:rsidRPr="000A0A5F">
        <w:t xml:space="preserve">        '403':</w:t>
      </w:r>
    </w:p>
    <w:p w:rsidR="00CB0DD7" w:rsidRPr="000A0A5F" w:rsidRDefault="00CB0DD7">
      <w:pPr>
        <w:pStyle w:val="PL"/>
      </w:pPr>
      <w:r w:rsidRPr="000A0A5F">
        <w:t xml:space="preserve">          $ref: 'TS29122_CommonData.yaml#/components/responses/403'</w:t>
      </w:r>
    </w:p>
    <w:p w:rsidR="00CB0DD7" w:rsidRPr="000A0A5F" w:rsidRDefault="00CB0DD7">
      <w:pPr>
        <w:pStyle w:val="PL"/>
      </w:pPr>
      <w:r w:rsidRPr="000A0A5F">
        <w:t xml:space="preserve">        '404':</w:t>
      </w:r>
    </w:p>
    <w:p w:rsidR="00CB0DD7" w:rsidRPr="000A0A5F" w:rsidRDefault="00CB0DD7">
      <w:pPr>
        <w:pStyle w:val="PL"/>
      </w:pPr>
      <w:r w:rsidRPr="000A0A5F">
        <w:t xml:space="preserve">          $ref: 'TS29122_CommonData.yaml#/components/responses/404'</w:t>
      </w:r>
    </w:p>
    <w:p w:rsidR="00CB0DD7" w:rsidRPr="000A0A5F" w:rsidRDefault="00CB0DD7">
      <w:pPr>
        <w:pStyle w:val="PL"/>
      </w:pPr>
      <w:r w:rsidRPr="000A0A5F">
        <w:t xml:space="preserve">        '429':</w:t>
      </w:r>
    </w:p>
    <w:p w:rsidR="00CB0DD7" w:rsidRPr="000A0A5F" w:rsidRDefault="00CB0DD7">
      <w:pPr>
        <w:pStyle w:val="PL"/>
      </w:pPr>
      <w:r w:rsidRPr="000A0A5F">
        <w:t xml:space="preserve">          $ref: 'TS29122_CommonData.yaml#/components/responses/429'</w:t>
      </w:r>
    </w:p>
    <w:p w:rsidR="00CB0DD7" w:rsidRPr="000A0A5F" w:rsidRDefault="00CB0DD7">
      <w:pPr>
        <w:pStyle w:val="PL"/>
      </w:pPr>
      <w:r w:rsidRPr="000A0A5F">
        <w:t xml:space="preserve">        '500':</w:t>
      </w:r>
    </w:p>
    <w:p w:rsidR="00CB0DD7" w:rsidRPr="000A0A5F" w:rsidRDefault="00CB0DD7">
      <w:pPr>
        <w:pStyle w:val="PL"/>
      </w:pPr>
      <w:r w:rsidRPr="000A0A5F">
        <w:t xml:space="preserve">          $ref: 'TS29122_CommonData.yaml#/components/responses/500'</w:t>
      </w:r>
    </w:p>
    <w:p w:rsidR="00CB0DD7" w:rsidRPr="000A0A5F" w:rsidRDefault="00CB0DD7">
      <w:pPr>
        <w:pStyle w:val="PL"/>
      </w:pPr>
      <w:r w:rsidRPr="000A0A5F">
        <w:t xml:space="preserve">        '503':</w:t>
      </w:r>
    </w:p>
    <w:p w:rsidR="00CB0DD7" w:rsidRPr="000A0A5F" w:rsidRDefault="00CB0DD7">
      <w:pPr>
        <w:pStyle w:val="PL"/>
      </w:pPr>
      <w:r w:rsidRPr="000A0A5F">
        <w:t xml:space="preserve">          $ref: 'TS29122_CommonData.yaml#/components/responses/503'</w:t>
      </w:r>
    </w:p>
    <w:p w:rsidR="00CB0DD7" w:rsidRPr="000A0A5F" w:rsidRDefault="00CB0DD7">
      <w:pPr>
        <w:pStyle w:val="PL"/>
      </w:pPr>
      <w:r w:rsidRPr="000A0A5F">
        <w:t xml:space="preserve">        default:</w:t>
      </w:r>
    </w:p>
    <w:p w:rsidR="00CB0DD7" w:rsidRPr="000A0A5F" w:rsidRDefault="00CB0DD7">
      <w:pPr>
        <w:pStyle w:val="PL"/>
      </w:pPr>
      <w:r w:rsidRPr="000A0A5F">
        <w:t xml:space="preserve">          $ref: 'TS29122_CommonData.yaml#/components/responses/default'</w:t>
      </w:r>
    </w:p>
    <w:p w:rsidR="00CB0DD7" w:rsidRPr="000A0A5F" w:rsidRDefault="00CB0DD7">
      <w:pPr>
        <w:pStyle w:val="PL"/>
      </w:pPr>
      <w:r w:rsidRPr="000A0A5F">
        <w:t>components:</w:t>
      </w:r>
    </w:p>
    <w:p w:rsidR="00CB0DD7" w:rsidRPr="000A0A5F" w:rsidRDefault="00CB0DD7">
      <w:pPr>
        <w:pStyle w:val="PL"/>
        <w:rPr>
          <w:lang w:val="en-US"/>
        </w:rPr>
      </w:pPr>
      <w:r w:rsidRPr="000A0A5F">
        <w:rPr>
          <w:lang w:val="en-US"/>
        </w:rPr>
        <w:t xml:space="preserve">  securitySchemes:</w:t>
      </w:r>
    </w:p>
    <w:p w:rsidR="00CB0DD7" w:rsidRPr="000A0A5F" w:rsidRDefault="00CB0DD7">
      <w:pPr>
        <w:pStyle w:val="PL"/>
        <w:rPr>
          <w:lang w:val="en-US"/>
        </w:rPr>
      </w:pPr>
      <w:r w:rsidRPr="000A0A5F">
        <w:rPr>
          <w:lang w:val="en-US"/>
        </w:rPr>
        <w:t xml:space="preserve">    oAuth2ClientCredentials:</w:t>
      </w:r>
    </w:p>
    <w:p w:rsidR="00CB0DD7" w:rsidRPr="000A0A5F" w:rsidRDefault="00CB0DD7">
      <w:pPr>
        <w:pStyle w:val="PL"/>
        <w:rPr>
          <w:lang w:val="en-US"/>
        </w:rPr>
      </w:pPr>
      <w:r w:rsidRPr="000A0A5F">
        <w:rPr>
          <w:lang w:val="en-US"/>
        </w:rPr>
        <w:t xml:space="preserve">      type: oauth2</w:t>
      </w:r>
    </w:p>
    <w:p w:rsidR="00CB0DD7" w:rsidRPr="000A0A5F" w:rsidRDefault="00CB0DD7">
      <w:pPr>
        <w:pStyle w:val="PL"/>
        <w:rPr>
          <w:lang w:val="en-US"/>
        </w:rPr>
      </w:pPr>
      <w:r w:rsidRPr="000A0A5F">
        <w:rPr>
          <w:lang w:val="en-US"/>
        </w:rPr>
        <w:t xml:space="preserve">      flows:</w:t>
      </w:r>
    </w:p>
    <w:p w:rsidR="00CB0DD7" w:rsidRPr="000A0A5F" w:rsidRDefault="00CB0DD7">
      <w:pPr>
        <w:pStyle w:val="PL"/>
        <w:rPr>
          <w:lang w:val="en-US"/>
        </w:rPr>
      </w:pPr>
      <w:r w:rsidRPr="000A0A5F">
        <w:rPr>
          <w:lang w:val="en-US"/>
        </w:rPr>
        <w:t xml:space="preserve">        clientCredentials:</w:t>
      </w:r>
    </w:p>
    <w:p w:rsidR="00CB0DD7" w:rsidRPr="000A0A5F" w:rsidRDefault="00CB0DD7">
      <w:pPr>
        <w:pStyle w:val="PL"/>
        <w:rPr>
          <w:lang w:val="en-US"/>
        </w:rPr>
      </w:pPr>
      <w:r w:rsidRPr="000A0A5F">
        <w:rPr>
          <w:lang w:val="en-US"/>
        </w:rPr>
        <w:t xml:space="preserve">          tokenUrl: '{tokenUrl}'</w:t>
      </w:r>
    </w:p>
    <w:p w:rsidR="00CB0DD7" w:rsidRPr="000A0A5F" w:rsidRDefault="00CB0DD7">
      <w:pPr>
        <w:pStyle w:val="PL"/>
        <w:rPr>
          <w:lang w:val="en-US"/>
        </w:rPr>
      </w:pPr>
      <w:r w:rsidRPr="000A0A5F">
        <w:rPr>
          <w:lang w:val="en-US"/>
        </w:rPr>
        <w:t xml:space="preserve">          scopes: {}</w:t>
      </w:r>
    </w:p>
    <w:p w:rsidR="00CB0DD7" w:rsidRPr="000A0A5F" w:rsidRDefault="00CB0DD7">
      <w:pPr>
        <w:pStyle w:val="PL"/>
        <w:rPr>
          <w:lang w:eastAsia="zh-CN"/>
        </w:rPr>
      </w:pPr>
      <w:r w:rsidRPr="000A0A5F">
        <w:t xml:space="preserve">  schemas: </w:t>
      </w:r>
    </w:p>
    <w:p w:rsidR="00CB0DD7" w:rsidRPr="000A0A5F" w:rsidRDefault="00CB0DD7">
      <w:pPr>
        <w:pStyle w:val="PL"/>
      </w:pPr>
      <w:r w:rsidRPr="000A0A5F">
        <w:t xml:space="preserve">    ChargeableParty:</w:t>
      </w:r>
    </w:p>
    <w:p w:rsidR="00CB0DD7" w:rsidRPr="000A0A5F" w:rsidRDefault="00CB0DD7">
      <w:pPr>
        <w:pStyle w:val="PL"/>
      </w:pPr>
      <w:r w:rsidRPr="000A0A5F">
        <w:t xml:space="preserve">      description: Represents the configuration of a chargeable party</w:t>
      </w:r>
      <w:r w:rsidRPr="000A0A5F">
        <w:rPr>
          <w:lang w:val="en-US" w:eastAsia="zh-CN"/>
        </w:rPr>
        <w:t>.</w:t>
      </w:r>
    </w:p>
    <w:p w:rsidR="00CB0DD7" w:rsidRPr="000A0A5F" w:rsidRDefault="00CB0DD7">
      <w:pPr>
        <w:pStyle w:val="PL"/>
      </w:pPr>
      <w:r w:rsidRPr="000A0A5F">
        <w:t xml:space="preserve">      type: object</w:t>
      </w:r>
    </w:p>
    <w:p w:rsidR="00CB0DD7" w:rsidRPr="000A0A5F" w:rsidRDefault="00CB0DD7">
      <w:pPr>
        <w:pStyle w:val="PL"/>
      </w:pPr>
      <w:r w:rsidRPr="000A0A5F">
        <w:t xml:space="preserve">      properties:</w:t>
      </w:r>
    </w:p>
    <w:p w:rsidR="00CB0DD7" w:rsidRPr="000A0A5F" w:rsidRDefault="00CB0DD7">
      <w:pPr>
        <w:pStyle w:val="PL"/>
      </w:pPr>
      <w:r w:rsidRPr="000A0A5F">
        <w:t xml:space="preserve">        self:</w:t>
      </w:r>
    </w:p>
    <w:p w:rsidR="00CB0DD7" w:rsidRPr="000A0A5F" w:rsidRDefault="00CB0DD7">
      <w:pPr>
        <w:pStyle w:val="PL"/>
      </w:pPr>
      <w:r w:rsidRPr="000A0A5F">
        <w:t xml:space="preserve">          $ref: 'TS29122_CommonData.yaml#/components/schemas/Link'</w:t>
      </w:r>
    </w:p>
    <w:p w:rsidR="00CB0DD7" w:rsidRPr="000A0A5F" w:rsidRDefault="00CB0DD7">
      <w:pPr>
        <w:pStyle w:val="PL"/>
      </w:pPr>
      <w:r w:rsidRPr="000A0A5F">
        <w:t xml:space="preserve">        </w:t>
      </w:r>
      <w:r w:rsidRPr="000A0A5F">
        <w:rPr>
          <w:lang w:eastAsia="zh-CN"/>
        </w:rPr>
        <w:t>supportedFeatures</w:t>
      </w:r>
      <w:r w:rsidRPr="000A0A5F">
        <w:t>:</w:t>
      </w:r>
    </w:p>
    <w:p w:rsidR="00CB0DD7" w:rsidRPr="000A0A5F" w:rsidRDefault="00CB0DD7">
      <w:pPr>
        <w:pStyle w:val="PL"/>
      </w:pPr>
      <w:r w:rsidRPr="000A0A5F">
        <w:t xml:space="preserve">          $ref: 'TS29571_CommonData.yaml#/components/schemas/</w:t>
      </w:r>
      <w:r w:rsidRPr="000A0A5F">
        <w:rPr>
          <w:lang w:eastAsia="zh-CN"/>
        </w:rPr>
        <w:t>SupportedFeatures</w:t>
      </w:r>
      <w:r w:rsidRPr="000A0A5F">
        <w:t>'</w:t>
      </w:r>
    </w:p>
    <w:p w:rsidR="00CB0DD7" w:rsidRPr="000A0A5F" w:rsidRDefault="00CB0DD7">
      <w:pPr>
        <w:pStyle w:val="PL"/>
      </w:pPr>
      <w:r w:rsidRPr="000A0A5F">
        <w:t xml:space="preserve">        dnn:</w:t>
      </w:r>
    </w:p>
    <w:p w:rsidR="00CB0DD7" w:rsidRPr="000A0A5F" w:rsidRDefault="00CB0DD7">
      <w:pPr>
        <w:pStyle w:val="PL"/>
      </w:pPr>
      <w:r w:rsidRPr="000A0A5F">
        <w:t xml:space="preserve">          $ref: 'TS29571_CommonData.yaml#/components/schemas/Dnn'</w:t>
      </w:r>
    </w:p>
    <w:p w:rsidR="00CB0DD7" w:rsidRPr="000A0A5F" w:rsidRDefault="00CB0DD7">
      <w:pPr>
        <w:pStyle w:val="PL"/>
      </w:pPr>
      <w:r w:rsidRPr="000A0A5F">
        <w:t xml:space="preserve">        snssai:</w:t>
      </w:r>
    </w:p>
    <w:p w:rsidR="00CB0DD7" w:rsidRPr="000A0A5F" w:rsidRDefault="00CB0DD7">
      <w:pPr>
        <w:pStyle w:val="PL"/>
      </w:pPr>
      <w:r w:rsidRPr="000A0A5F">
        <w:t xml:space="preserve">          $ref: 'TS29571_CommonData.yaml#/components/schemas/Snssai'</w:t>
      </w:r>
    </w:p>
    <w:p w:rsidR="00CB0DD7" w:rsidRPr="000A0A5F" w:rsidRDefault="00CB0DD7">
      <w:pPr>
        <w:pStyle w:val="PL"/>
      </w:pPr>
      <w:r w:rsidRPr="000A0A5F">
        <w:t xml:space="preserve">        notificationDestination:</w:t>
      </w:r>
    </w:p>
    <w:p w:rsidR="00CB0DD7" w:rsidRPr="000A0A5F" w:rsidRDefault="00CB0DD7">
      <w:pPr>
        <w:pStyle w:val="PL"/>
      </w:pPr>
      <w:r w:rsidRPr="000A0A5F">
        <w:t xml:space="preserve">          $ref: 'TS29122_CommonData.yaml#/components/schemas/Link'</w:t>
      </w:r>
    </w:p>
    <w:p w:rsidR="00CB0DD7" w:rsidRPr="000A0A5F" w:rsidRDefault="00CB0DD7">
      <w:pPr>
        <w:pStyle w:val="PL"/>
      </w:pPr>
      <w:r w:rsidRPr="000A0A5F">
        <w:t xml:space="preserve">        requestTestNotification:</w:t>
      </w:r>
    </w:p>
    <w:p w:rsidR="00CB0DD7" w:rsidRPr="000A0A5F" w:rsidRDefault="00CB0DD7">
      <w:pPr>
        <w:pStyle w:val="PL"/>
      </w:pPr>
      <w:r w:rsidRPr="000A0A5F">
        <w:t xml:space="preserve">          type: boolean</w:t>
      </w:r>
    </w:p>
    <w:p w:rsidR="00CB0DD7" w:rsidRPr="000A0A5F" w:rsidRDefault="00CB0DD7">
      <w:pPr>
        <w:pStyle w:val="PL"/>
      </w:pPr>
      <w:r w:rsidRPr="000A0A5F">
        <w:t xml:space="preserve">          description: Set to true by the SCS/AS to request the SCEF to send a test notification as defined in clause 5.2.5.3. Set to false or omitted otherwise.</w:t>
      </w:r>
    </w:p>
    <w:p w:rsidR="00CB0DD7" w:rsidRPr="000A0A5F" w:rsidRDefault="00CB0DD7">
      <w:pPr>
        <w:pStyle w:val="PL"/>
      </w:pPr>
      <w:r w:rsidRPr="000A0A5F">
        <w:t xml:space="preserve">        websockNotifConfig:</w:t>
      </w:r>
    </w:p>
    <w:p w:rsidR="00CB0DD7" w:rsidRPr="000A0A5F" w:rsidRDefault="00CB0DD7">
      <w:pPr>
        <w:pStyle w:val="PL"/>
      </w:pPr>
      <w:r w:rsidRPr="000A0A5F">
        <w:t xml:space="preserve">          $ref: 'TS29122_CommonData.yaml#/components/schemas/WebsockNotifConfig'</w:t>
      </w:r>
    </w:p>
    <w:p w:rsidR="00CB0DD7" w:rsidRPr="000A0A5F" w:rsidRDefault="00CB0DD7">
      <w:pPr>
        <w:pStyle w:val="PL"/>
      </w:pPr>
      <w:r w:rsidRPr="000A0A5F">
        <w:t xml:space="preserve">        exterAppId:</w:t>
      </w:r>
    </w:p>
    <w:p w:rsidR="00CB0DD7" w:rsidRPr="000A0A5F" w:rsidRDefault="00CB0DD7">
      <w:pPr>
        <w:pStyle w:val="PL"/>
      </w:pPr>
      <w:r w:rsidRPr="000A0A5F">
        <w:t xml:space="preserve">          type: string</w:t>
      </w:r>
    </w:p>
    <w:p w:rsidR="00CB0DD7" w:rsidRPr="000A0A5F" w:rsidRDefault="00CB0DD7">
      <w:pPr>
        <w:pStyle w:val="PL"/>
      </w:pPr>
      <w:bookmarkStart w:id="10316" w:name="_Hlk69747120"/>
      <w:r w:rsidRPr="000A0A5F">
        <w:t xml:space="preserve">          description: Identifies the external Application Identifier.</w:t>
      </w:r>
    </w:p>
    <w:bookmarkEnd w:id="10316"/>
    <w:p w:rsidR="00CB0DD7" w:rsidRPr="000A0A5F" w:rsidRDefault="00CB0DD7">
      <w:pPr>
        <w:pStyle w:val="PL"/>
      </w:pPr>
      <w:r w:rsidRPr="000A0A5F">
        <w:t xml:space="preserve">        ipv4Addr:</w:t>
      </w:r>
    </w:p>
    <w:p w:rsidR="00CB0DD7" w:rsidRPr="000A0A5F" w:rsidRDefault="00CB0DD7">
      <w:pPr>
        <w:pStyle w:val="PL"/>
      </w:pPr>
      <w:r w:rsidRPr="000A0A5F">
        <w:t xml:space="preserve">          $ref: 'TS29122_CommonData.yaml#/components/schemas/Ipv4Addr'</w:t>
      </w:r>
    </w:p>
    <w:p w:rsidR="00CB0DD7" w:rsidRPr="000A0A5F" w:rsidRDefault="00CB0DD7">
      <w:pPr>
        <w:pStyle w:val="PL"/>
      </w:pPr>
      <w:r w:rsidRPr="000A0A5F">
        <w:t xml:space="preserve">        ipDomain:</w:t>
      </w:r>
    </w:p>
    <w:p w:rsidR="00CB0DD7" w:rsidRPr="000A0A5F" w:rsidRDefault="00CB0DD7">
      <w:pPr>
        <w:pStyle w:val="PL"/>
      </w:pPr>
      <w:r w:rsidRPr="000A0A5F">
        <w:t xml:space="preserve">          type: string</w:t>
      </w:r>
    </w:p>
    <w:p w:rsidR="00CB0DD7" w:rsidRPr="000A0A5F" w:rsidRDefault="00CB0DD7">
      <w:pPr>
        <w:pStyle w:val="PL"/>
      </w:pPr>
      <w:r w:rsidRPr="000A0A5F">
        <w:t xml:space="preserve">        ipv6Addr :</w:t>
      </w:r>
    </w:p>
    <w:p w:rsidR="00CB0DD7" w:rsidRPr="000A0A5F" w:rsidRDefault="00CB0DD7">
      <w:pPr>
        <w:pStyle w:val="PL"/>
      </w:pPr>
      <w:r w:rsidRPr="000A0A5F">
        <w:t xml:space="preserve">          $ref: 'TS29122_CommonData.yaml#/components/schemas/Ipv6Addr'</w:t>
      </w:r>
    </w:p>
    <w:p w:rsidR="00CB0DD7" w:rsidRPr="000A0A5F" w:rsidRDefault="00CB0DD7">
      <w:pPr>
        <w:pStyle w:val="PL"/>
      </w:pPr>
      <w:r w:rsidRPr="000A0A5F">
        <w:t xml:space="preserve">        macAddr:</w:t>
      </w:r>
    </w:p>
    <w:p w:rsidR="00CB0DD7" w:rsidRPr="000A0A5F" w:rsidRDefault="00CB0DD7">
      <w:pPr>
        <w:pStyle w:val="PL"/>
      </w:pPr>
      <w:r w:rsidRPr="000A0A5F">
        <w:t xml:space="preserve">          $ref: 'TS29571_CommonData.yaml#/components/schemas/</w:t>
      </w:r>
      <w:r w:rsidRPr="000A0A5F">
        <w:rPr>
          <w:lang w:eastAsia="zh-CN"/>
        </w:rPr>
        <w:t>M</w:t>
      </w:r>
      <w:r w:rsidRPr="000A0A5F">
        <w:rPr>
          <w:rFonts w:hint="eastAsia"/>
          <w:lang w:eastAsia="zh-CN"/>
        </w:rPr>
        <w:t>acAddr</w:t>
      </w:r>
      <w:r w:rsidRPr="000A0A5F">
        <w:rPr>
          <w:lang w:eastAsia="zh-CN"/>
        </w:rPr>
        <w:t>48</w:t>
      </w:r>
      <w:r w:rsidRPr="000A0A5F">
        <w:t>'</w:t>
      </w:r>
    </w:p>
    <w:p w:rsidR="00CB0DD7" w:rsidRPr="000A0A5F" w:rsidRDefault="00CB0DD7">
      <w:pPr>
        <w:pStyle w:val="PL"/>
      </w:pPr>
      <w:r w:rsidRPr="000A0A5F">
        <w:t xml:space="preserve">        flowInfo:</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$ref: 'TS29122_CommonData.yaml#/components/schemas/FlowInfo'</w:t>
      </w:r>
    </w:p>
    <w:p w:rsidR="00CB0DD7" w:rsidRPr="000A0A5F" w:rsidRDefault="00CB0DD7">
      <w:pPr>
        <w:pStyle w:val="PL"/>
      </w:pPr>
      <w:r w:rsidRPr="000A0A5F">
        <w:t xml:space="preserve">          minItems: 1</w:t>
      </w:r>
    </w:p>
    <w:p w:rsidR="00CB0DD7" w:rsidRPr="000A0A5F" w:rsidRDefault="00CB0DD7">
      <w:pPr>
        <w:pStyle w:val="PL"/>
      </w:pPr>
      <w:r w:rsidRPr="000A0A5F">
        <w:t xml:space="preserve">          description: Describes the application flows.</w:t>
      </w:r>
    </w:p>
    <w:p w:rsidR="00CB0DD7" w:rsidRPr="000A0A5F" w:rsidRDefault="00CB0DD7">
      <w:pPr>
        <w:pStyle w:val="PL"/>
      </w:pPr>
      <w:r w:rsidRPr="000A0A5F">
        <w:t xml:space="preserve">        ethFlowInfo:</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$ref: </w:t>
      </w:r>
      <w:r w:rsidRPr="000A0A5F">
        <w:rPr>
          <w:rFonts w:cs="Courier New"/>
          <w:szCs w:val="16"/>
          <w:lang w:val="en-US"/>
        </w:rPr>
        <w:t>'TS29514_</w:t>
      </w:r>
      <w:r w:rsidRPr="000A0A5F">
        <w:t>Npcf_PolicyAuthorization</w:t>
      </w:r>
      <w:r w:rsidRPr="000A0A5F">
        <w:rPr>
          <w:rFonts w:cs="Courier New"/>
          <w:szCs w:val="16"/>
          <w:lang w:val="en-US"/>
        </w:rPr>
        <w:t>.yaml#/components/schemas/EthFlowDescription'</w:t>
      </w:r>
    </w:p>
    <w:p w:rsidR="00CB0DD7" w:rsidRPr="000A0A5F" w:rsidRDefault="00CB0DD7">
      <w:pPr>
        <w:pStyle w:val="PL"/>
      </w:pPr>
      <w:r w:rsidRPr="000A0A5F">
        <w:t xml:space="preserve">          minItems: 1</w:t>
      </w:r>
    </w:p>
    <w:p w:rsidR="00CB0DD7" w:rsidRPr="000A0A5F" w:rsidRDefault="00CB0DD7">
      <w:pPr>
        <w:pStyle w:val="PL"/>
      </w:pPr>
      <w:r w:rsidRPr="000A0A5F">
        <w:t xml:space="preserve">          description: Identifies Ethernet packet flows.</w:t>
      </w:r>
    </w:p>
    <w:p w:rsidR="00CB0DD7" w:rsidRPr="000A0A5F" w:rsidRDefault="00CB0DD7">
      <w:pPr>
        <w:pStyle w:val="PL"/>
      </w:pPr>
      <w:r w:rsidRPr="000A0A5F">
        <w:t xml:space="preserve">        sponsorInformation:</w:t>
      </w:r>
    </w:p>
    <w:p w:rsidR="00CB0DD7" w:rsidRPr="000A0A5F" w:rsidRDefault="00CB0DD7">
      <w:pPr>
        <w:pStyle w:val="PL"/>
      </w:pPr>
      <w:r w:rsidRPr="000A0A5F">
        <w:t xml:space="preserve">          $ref: 'TS29122_CommonData.yaml#/components/schemas/SponsorInformation'</w:t>
      </w:r>
    </w:p>
    <w:p w:rsidR="00CB0DD7" w:rsidRPr="000A0A5F" w:rsidRDefault="00CB0DD7">
      <w:pPr>
        <w:pStyle w:val="PL"/>
      </w:pPr>
      <w:r w:rsidRPr="000A0A5F">
        <w:t xml:space="preserve">        sponsoringEnabled:</w:t>
      </w:r>
    </w:p>
    <w:p w:rsidR="00CB0DD7" w:rsidRPr="000A0A5F" w:rsidRDefault="00CB0DD7">
      <w:pPr>
        <w:pStyle w:val="PL"/>
      </w:pPr>
      <w:r w:rsidRPr="000A0A5F">
        <w:t xml:space="preserve">          type: boolean</w:t>
      </w:r>
    </w:p>
    <w:p w:rsidR="001C3F34" w:rsidRPr="000A0A5F" w:rsidRDefault="00CB0DD7" w:rsidP="001C3F34">
      <w:pPr>
        <w:pStyle w:val="PL"/>
      </w:pPr>
      <w:r w:rsidRPr="000A0A5F">
        <w:t xml:space="preserve">          description: </w:t>
      </w:r>
      <w:r w:rsidR="001C3F34" w:rsidRPr="000A0A5F">
        <w:t>&gt;</w:t>
      </w:r>
    </w:p>
    <w:p w:rsidR="00CB0DD7" w:rsidRPr="000A0A5F" w:rsidRDefault="001C3F34" w:rsidP="001C3F34">
      <w:pPr>
        <w:pStyle w:val="PL"/>
      </w:pPr>
      <w:r w:rsidRPr="000A0A5F">
        <w:t xml:space="preserve">            </w:t>
      </w:r>
      <w:r w:rsidR="00CB0DD7" w:rsidRPr="000A0A5F">
        <w:t xml:space="preserve">Indicates </w:t>
      </w:r>
      <w:r w:rsidRPr="000A0A5F">
        <w:rPr>
          <w:lang w:eastAsia="zh-CN"/>
        </w:rPr>
        <w:t xml:space="preserve">whether the </w:t>
      </w:r>
      <w:r w:rsidR="00CB0DD7" w:rsidRPr="000A0A5F">
        <w:t xml:space="preserve">sponsoring </w:t>
      </w:r>
      <w:r w:rsidRPr="000A0A5F">
        <w:t>data connectivity is enabled (</w:t>
      </w:r>
      <w:r w:rsidRPr="000A0A5F">
        <w:rPr>
          <w:lang w:eastAsia="zh-CN"/>
        </w:rPr>
        <w:t>true</w:t>
      </w:r>
      <w:r w:rsidRPr="000A0A5F">
        <w:t>) or not (</w:t>
      </w:r>
      <w:r w:rsidRPr="000A0A5F">
        <w:rPr>
          <w:lang w:eastAsia="zh-CN"/>
        </w:rPr>
        <w:t>false).</w:t>
      </w:r>
    </w:p>
    <w:p w:rsidR="00CB0DD7" w:rsidRPr="000A0A5F" w:rsidRDefault="00CB0DD7">
      <w:pPr>
        <w:pStyle w:val="PL"/>
      </w:pPr>
      <w:r w:rsidRPr="000A0A5F">
        <w:t xml:space="preserve">        referenceId:</w:t>
      </w:r>
    </w:p>
    <w:p w:rsidR="00CB0DD7" w:rsidRPr="000A0A5F" w:rsidRDefault="00CB0DD7">
      <w:pPr>
        <w:pStyle w:val="PL"/>
      </w:pPr>
      <w:r w:rsidRPr="000A0A5F">
        <w:t xml:space="preserve">          $ref: 'TS29122_CommonData.yaml#/components/schemas/BdtReferenceId'</w:t>
      </w:r>
    </w:p>
    <w:p w:rsidR="00CB0DD7" w:rsidRPr="000A0A5F" w:rsidRDefault="00CB0DD7">
      <w:pPr>
        <w:pStyle w:val="PL"/>
        <w:rPr>
          <w:rFonts w:cs="Courier New"/>
          <w:szCs w:val="16"/>
        </w:rPr>
      </w:pPr>
      <w:r w:rsidRPr="000A0A5F">
        <w:rPr>
          <w:rFonts w:cs="Courier New"/>
          <w:szCs w:val="16"/>
        </w:rPr>
        <w:t xml:space="preserve">        servAuthInfo:</w:t>
      </w:r>
    </w:p>
    <w:p w:rsidR="00CB0DD7" w:rsidRPr="000A0A5F" w:rsidRDefault="00CB0DD7">
      <w:pPr>
        <w:pStyle w:val="PL"/>
        <w:rPr>
          <w:rFonts w:cs="Courier New"/>
          <w:szCs w:val="16"/>
        </w:rPr>
      </w:pPr>
      <w:r w:rsidRPr="000A0A5F">
        <w:rPr>
          <w:rFonts w:cs="Courier New"/>
          <w:szCs w:val="16"/>
        </w:rPr>
        <w:t xml:space="preserve">          $ref: '</w:t>
      </w:r>
      <w:r w:rsidRPr="000A0A5F">
        <w:rPr>
          <w:rFonts w:cs="Courier New"/>
          <w:szCs w:val="16"/>
          <w:lang w:val="en-US"/>
        </w:rPr>
        <w:t>TS29514_</w:t>
      </w:r>
      <w:r w:rsidRPr="000A0A5F">
        <w:t>Npcf_PolicyAuthorization</w:t>
      </w:r>
      <w:r w:rsidRPr="000A0A5F">
        <w:rPr>
          <w:rFonts w:cs="Courier New"/>
          <w:szCs w:val="16"/>
          <w:lang w:val="en-US"/>
        </w:rPr>
        <w:t>.yaml</w:t>
      </w:r>
      <w:r w:rsidRPr="000A0A5F">
        <w:rPr>
          <w:rFonts w:cs="Courier New"/>
          <w:szCs w:val="16"/>
        </w:rPr>
        <w:t>#/components/schemas/ServAuthInfo'</w:t>
      </w:r>
    </w:p>
    <w:p w:rsidR="00CB0DD7" w:rsidRPr="000A0A5F" w:rsidRDefault="00CB0DD7">
      <w:pPr>
        <w:pStyle w:val="PL"/>
      </w:pPr>
      <w:r w:rsidRPr="000A0A5F">
        <w:t xml:space="preserve">        usageThreshold:</w:t>
      </w:r>
    </w:p>
    <w:p w:rsidR="00CB0DD7" w:rsidRPr="000A0A5F" w:rsidRDefault="00CB0DD7">
      <w:pPr>
        <w:pStyle w:val="PL"/>
      </w:pPr>
      <w:r w:rsidRPr="000A0A5F">
        <w:t xml:space="preserve">          $ref: 'TS29122_CommonData.yaml#/components/schemas/UsageThreshold'</w:t>
      </w:r>
    </w:p>
    <w:p w:rsidR="005706B4" w:rsidRPr="000A0A5F" w:rsidRDefault="005706B4" w:rsidP="005706B4">
      <w:pPr>
        <w:pStyle w:val="PL"/>
      </w:pPr>
      <w:r w:rsidRPr="000A0A5F">
        <w:t xml:space="preserve">        events:</w:t>
      </w:r>
    </w:p>
    <w:p w:rsidR="005706B4" w:rsidRPr="000A0A5F" w:rsidRDefault="005706B4" w:rsidP="005706B4">
      <w:pPr>
        <w:pStyle w:val="PL"/>
      </w:pPr>
      <w:r w:rsidRPr="000A0A5F">
        <w:t xml:space="preserve">          type: array</w:t>
      </w:r>
    </w:p>
    <w:p w:rsidR="005706B4" w:rsidRPr="000A0A5F" w:rsidRDefault="005706B4" w:rsidP="005706B4">
      <w:pPr>
        <w:pStyle w:val="PL"/>
      </w:pPr>
      <w:r w:rsidRPr="000A0A5F">
        <w:t xml:space="preserve">          items:</w:t>
      </w:r>
    </w:p>
    <w:p w:rsidR="005706B4" w:rsidRPr="000A0A5F" w:rsidRDefault="005706B4" w:rsidP="005706B4">
      <w:pPr>
        <w:pStyle w:val="PL"/>
      </w:pPr>
      <w:r w:rsidRPr="000A0A5F">
        <w:t xml:space="preserve">            $ref: </w:t>
      </w:r>
      <w:r w:rsidRPr="000A0A5F">
        <w:rPr>
          <w:rFonts w:cs="Courier New"/>
          <w:szCs w:val="16"/>
          <w:lang w:val="en-US"/>
        </w:rPr>
        <w:t>'</w:t>
      </w:r>
      <w:r w:rsidRPr="000A0A5F">
        <w:t>TS29122_CommonData.yaml</w:t>
      </w:r>
      <w:r w:rsidRPr="000A0A5F">
        <w:rPr>
          <w:rFonts w:cs="Courier New"/>
          <w:szCs w:val="16"/>
          <w:lang w:val="en-US"/>
        </w:rPr>
        <w:t>#/components/schemas/Event'</w:t>
      </w:r>
    </w:p>
    <w:p w:rsidR="005706B4" w:rsidRPr="000A0A5F" w:rsidRDefault="005706B4" w:rsidP="005706B4">
      <w:pPr>
        <w:pStyle w:val="PL"/>
      </w:pPr>
      <w:r w:rsidRPr="000A0A5F">
        <w:t xml:space="preserve">          minItems: 1</w:t>
      </w:r>
    </w:p>
    <w:p w:rsidR="005706B4" w:rsidRPr="000A0A5F" w:rsidRDefault="005706B4" w:rsidP="005706B4">
      <w:pPr>
        <w:pStyle w:val="PL"/>
      </w:pPr>
      <w:r w:rsidRPr="000A0A5F">
        <w:t xml:space="preserve">          description: </w:t>
      </w:r>
      <w:r w:rsidR="00546DB9" w:rsidRPr="000A0A5F">
        <w:t xml:space="preserve">Represents the list of </w:t>
      </w:r>
      <w:r w:rsidR="00546DB9" w:rsidRPr="000A0A5F">
        <w:rPr>
          <w:rFonts w:eastAsia="Times New Roman" w:cs="Arial"/>
          <w:szCs w:val="18"/>
        </w:rPr>
        <w:t>e</w:t>
      </w:r>
      <w:r w:rsidRPr="000A0A5F">
        <w:rPr>
          <w:rFonts w:eastAsia="Times New Roman" w:cs="Arial"/>
          <w:szCs w:val="18"/>
        </w:rPr>
        <w:t>vent</w:t>
      </w:r>
      <w:r w:rsidR="00546DB9" w:rsidRPr="000A0A5F">
        <w:rPr>
          <w:rFonts w:eastAsia="Times New Roman" w:cs="Arial"/>
          <w:szCs w:val="18"/>
        </w:rPr>
        <w:t>(s)</w:t>
      </w:r>
      <w:r w:rsidRPr="000A0A5F">
        <w:rPr>
          <w:rFonts w:eastAsia="Times New Roman" w:cs="Arial"/>
          <w:szCs w:val="18"/>
        </w:rPr>
        <w:t xml:space="preserve"> to which the SCS/AS </w:t>
      </w:r>
      <w:r w:rsidR="00546DB9" w:rsidRPr="000A0A5F">
        <w:rPr>
          <w:rFonts w:cs="Arial"/>
          <w:szCs w:val="18"/>
        </w:rPr>
        <w:t>requests to</w:t>
      </w:r>
      <w:r w:rsidRPr="000A0A5F">
        <w:rPr>
          <w:rFonts w:eastAsia="Times New Roman" w:cs="Arial"/>
          <w:szCs w:val="18"/>
        </w:rPr>
        <w:t xml:space="preserve"> subscribe</w:t>
      </w:r>
      <w:r w:rsidR="00546DB9" w:rsidRPr="000A0A5F">
        <w:rPr>
          <w:rFonts w:eastAsia="Times New Roman" w:cs="Arial"/>
          <w:szCs w:val="18"/>
        </w:rPr>
        <w:t xml:space="preserve"> to</w:t>
      </w:r>
      <w:r w:rsidRPr="000A0A5F">
        <w:rPr>
          <w:rFonts w:eastAsia="Times New Roman" w:cs="Arial"/>
          <w:szCs w:val="18"/>
        </w:rPr>
        <w:t>.</w:t>
      </w:r>
    </w:p>
    <w:p w:rsidR="00CB0DD7" w:rsidRPr="000A0A5F" w:rsidRDefault="00CB0DD7">
      <w:pPr>
        <w:pStyle w:val="PL"/>
      </w:pPr>
      <w:r w:rsidRPr="000A0A5F">
        <w:t xml:space="preserve">      required:</w:t>
      </w:r>
    </w:p>
    <w:p w:rsidR="00CB0DD7" w:rsidRPr="000A0A5F" w:rsidRDefault="00CB0DD7">
      <w:pPr>
        <w:pStyle w:val="PL"/>
      </w:pPr>
      <w:r w:rsidRPr="000A0A5F">
        <w:t xml:space="preserve">        - notificationDestination</w:t>
      </w:r>
    </w:p>
    <w:p w:rsidR="00CB0DD7" w:rsidRPr="000A0A5F" w:rsidRDefault="00CB0DD7">
      <w:pPr>
        <w:pStyle w:val="PL"/>
      </w:pPr>
      <w:r w:rsidRPr="000A0A5F">
        <w:t xml:space="preserve">        - sponsorInformation</w:t>
      </w:r>
    </w:p>
    <w:p w:rsidR="00CB0DD7" w:rsidRPr="000A0A5F" w:rsidRDefault="00CB0DD7">
      <w:pPr>
        <w:pStyle w:val="PL"/>
      </w:pPr>
      <w:r w:rsidRPr="000A0A5F">
        <w:t xml:space="preserve">        - sponsoringEnabled</w:t>
      </w:r>
    </w:p>
    <w:p w:rsidR="00CB0DD7" w:rsidRPr="000A0A5F" w:rsidRDefault="00CB0DD7">
      <w:pPr>
        <w:pStyle w:val="PL"/>
      </w:pPr>
      <w:r w:rsidRPr="000A0A5F">
        <w:t xml:space="preserve">    ChargeablePartyPatch:</w:t>
      </w:r>
    </w:p>
    <w:p w:rsidR="00CB0DD7" w:rsidRPr="000A0A5F" w:rsidRDefault="00CB0DD7">
      <w:pPr>
        <w:pStyle w:val="PL"/>
      </w:pPr>
      <w:r w:rsidRPr="000A0A5F">
        <w:t xml:space="preserve">      description: Represents a modification request of a chargeable party resource</w:t>
      </w:r>
      <w:r w:rsidRPr="000A0A5F">
        <w:rPr>
          <w:lang w:val="en-US" w:eastAsia="zh-CN"/>
        </w:rPr>
        <w:t>.</w:t>
      </w:r>
    </w:p>
    <w:p w:rsidR="00CB0DD7" w:rsidRPr="000A0A5F" w:rsidRDefault="00CB0DD7">
      <w:pPr>
        <w:pStyle w:val="PL"/>
      </w:pPr>
      <w:r w:rsidRPr="000A0A5F">
        <w:t xml:space="preserve">      type: object</w:t>
      </w:r>
    </w:p>
    <w:p w:rsidR="00CB0DD7" w:rsidRPr="000A0A5F" w:rsidRDefault="00CB0DD7">
      <w:pPr>
        <w:pStyle w:val="PL"/>
      </w:pPr>
      <w:r w:rsidRPr="000A0A5F">
        <w:t xml:space="preserve">      properties:</w:t>
      </w:r>
    </w:p>
    <w:p w:rsidR="00CB0DD7" w:rsidRPr="000A0A5F" w:rsidRDefault="00CB0DD7">
      <w:pPr>
        <w:pStyle w:val="PL"/>
      </w:pPr>
      <w:r w:rsidRPr="000A0A5F">
        <w:t xml:space="preserve">        flowInfo:</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$ref: 'TS29122_CommonData.yaml#/components/schemas/FlowInfo'</w:t>
      </w:r>
    </w:p>
    <w:p w:rsidR="00CB0DD7" w:rsidRPr="000A0A5F" w:rsidRDefault="00CB0DD7">
      <w:pPr>
        <w:pStyle w:val="PL"/>
      </w:pPr>
      <w:r w:rsidRPr="000A0A5F">
        <w:t xml:space="preserve">          minItems: 1</w:t>
      </w:r>
    </w:p>
    <w:p w:rsidR="00CB0DD7" w:rsidRPr="000A0A5F" w:rsidRDefault="00CB0DD7">
      <w:pPr>
        <w:pStyle w:val="PL"/>
      </w:pPr>
      <w:r w:rsidRPr="000A0A5F">
        <w:t xml:space="preserve">          description: Describes the IP flows.</w:t>
      </w:r>
    </w:p>
    <w:p w:rsidR="00CB0DD7" w:rsidRPr="000A0A5F" w:rsidRDefault="00CB0DD7">
      <w:pPr>
        <w:pStyle w:val="PL"/>
      </w:pPr>
      <w:r w:rsidRPr="000A0A5F">
        <w:t xml:space="preserve">        exterAppId:</w:t>
      </w:r>
    </w:p>
    <w:p w:rsidR="00CB0DD7" w:rsidRPr="000A0A5F" w:rsidRDefault="00CB0DD7">
      <w:pPr>
        <w:pStyle w:val="PL"/>
      </w:pPr>
      <w:r w:rsidRPr="000A0A5F">
        <w:t xml:space="preserve">          type: string</w:t>
      </w:r>
    </w:p>
    <w:p w:rsidR="00CB0DD7" w:rsidRPr="000A0A5F" w:rsidRDefault="00CB0DD7">
      <w:pPr>
        <w:pStyle w:val="PL"/>
      </w:pPr>
      <w:r w:rsidRPr="000A0A5F">
        <w:t xml:space="preserve">          description: Identifies the external Application Identifier.</w:t>
      </w:r>
    </w:p>
    <w:p w:rsidR="00CB0DD7" w:rsidRPr="000A0A5F" w:rsidRDefault="00CB0DD7">
      <w:pPr>
        <w:pStyle w:val="PL"/>
      </w:pPr>
      <w:r w:rsidRPr="000A0A5F">
        <w:t xml:space="preserve">        ethFlowInfo:</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$ref: </w:t>
      </w:r>
      <w:r w:rsidRPr="000A0A5F">
        <w:rPr>
          <w:rFonts w:cs="Courier New"/>
          <w:szCs w:val="16"/>
          <w:lang w:val="en-US"/>
        </w:rPr>
        <w:t>'TS29514_</w:t>
      </w:r>
      <w:r w:rsidRPr="000A0A5F">
        <w:t>Npcf_PolicyAuthorization</w:t>
      </w:r>
      <w:r w:rsidRPr="000A0A5F">
        <w:rPr>
          <w:rFonts w:cs="Courier New"/>
          <w:szCs w:val="16"/>
          <w:lang w:val="en-US"/>
        </w:rPr>
        <w:t>.yaml#/components/schemas/EthFlowDescription'</w:t>
      </w:r>
    </w:p>
    <w:p w:rsidR="00CB0DD7" w:rsidRPr="000A0A5F" w:rsidRDefault="00CB0DD7">
      <w:pPr>
        <w:pStyle w:val="PL"/>
      </w:pPr>
      <w:r w:rsidRPr="000A0A5F">
        <w:t xml:space="preserve">          minItems: 1</w:t>
      </w:r>
    </w:p>
    <w:p w:rsidR="00CB0DD7" w:rsidRPr="000A0A5F" w:rsidRDefault="00CB0DD7">
      <w:pPr>
        <w:pStyle w:val="PL"/>
      </w:pPr>
      <w:r w:rsidRPr="000A0A5F">
        <w:t xml:space="preserve">          description: Identifies Ethernet packet flows.</w:t>
      </w:r>
    </w:p>
    <w:p w:rsidR="00CB0DD7" w:rsidRPr="000A0A5F" w:rsidRDefault="00CB0DD7">
      <w:pPr>
        <w:pStyle w:val="PL"/>
      </w:pPr>
      <w:r w:rsidRPr="000A0A5F">
        <w:t xml:space="preserve">        sponsoringEnabled:</w:t>
      </w:r>
    </w:p>
    <w:p w:rsidR="00CB0DD7" w:rsidRPr="000A0A5F" w:rsidRDefault="00CB0DD7">
      <w:pPr>
        <w:pStyle w:val="PL"/>
      </w:pPr>
      <w:r w:rsidRPr="000A0A5F">
        <w:t xml:space="preserve">          type: boolean</w:t>
      </w:r>
    </w:p>
    <w:p w:rsidR="001C3F34" w:rsidRPr="000A0A5F" w:rsidRDefault="00CB0DD7" w:rsidP="001C3F34">
      <w:pPr>
        <w:pStyle w:val="PL"/>
      </w:pPr>
      <w:r w:rsidRPr="000A0A5F">
        <w:t xml:space="preserve">          description: </w:t>
      </w:r>
      <w:r w:rsidR="001C3F34" w:rsidRPr="000A0A5F">
        <w:t>&gt;</w:t>
      </w:r>
    </w:p>
    <w:p w:rsidR="00CB0DD7" w:rsidRPr="000A0A5F" w:rsidRDefault="001C3F34" w:rsidP="001C3F34">
      <w:pPr>
        <w:pStyle w:val="PL"/>
      </w:pPr>
      <w:r w:rsidRPr="000A0A5F">
        <w:t xml:space="preserve">            </w:t>
      </w:r>
      <w:r w:rsidR="00CB0DD7" w:rsidRPr="000A0A5F">
        <w:t xml:space="preserve">Indicates </w:t>
      </w:r>
      <w:r w:rsidRPr="000A0A5F">
        <w:rPr>
          <w:lang w:eastAsia="zh-CN"/>
        </w:rPr>
        <w:t xml:space="preserve">whether the </w:t>
      </w:r>
      <w:r w:rsidR="00CB0DD7" w:rsidRPr="000A0A5F">
        <w:t xml:space="preserve">sponsoring </w:t>
      </w:r>
      <w:r w:rsidRPr="000A0A5F">
        <w:t>data connectivity is enabled (</w:t>
      </w:r>
      <w:r w:rsidRPr="000A0A5F">
        <w:rPr>
          <w:lang w:eastAsia="zh-CN"/>
        </w:rPr>
        <w:t>true</w:t>
      </w:r>
      <w:r w:rsidRPr="000A0A5F">
        <w:t>) or not (</w:t>
      </w:r>
      <w:r w:rsidRPr="000A0A5F">
        <w:rPr>
          <w:lang w:eastAsia="zh-CN"/>
        </w:rPr>
        <w:t>false).</w:t>
      </w:r>
    </w:p>
    <w:p w:rsidR="00CB0DD7" w:rsidRPr="000A0A5F" w:rsidRDefault="00CB0DD7">
      <w:pPr>
        <w:pStyle w:val="PL"/>
      </w:pPr>
      <w:r w:rsidRPr="000A0A5F">
        <w:t xml:space="preserve">        referenceId:</w:t>
      </w:r>
    </w:p>
    <w:p w:rsidR="00CB0DD7" w:rsidRPr="000A0A5F" w:rsidRDefault="00CB0DD7">
      <w:pPr>
        <w:pStyle w:val="PL"/>
      </w:pPr>
      <w:r w:rsidRPr="000A0A5F">
        <w:t xml:space="preserve">          $ref: 'TS29122_CommonData.yaml#/components/schemas/BdtReferenceId'</w:t>
      </w:r>
    </w:p>
    <w:p w:rsidR="00CB0DD7" w:rsidRPr="000A0A5F" w:rsidRDefault="00CB0DD7">
      <w:pPr>
        <w:pStyle w:val="PL"/>
      </w:pPr>
      <w:r w:rsidRPr="000A0A5F">
        <w:t xml:space="preserve">        usageThreshold:</w:t>
      </w:r>
    </w:p>
    <w:p w:rsidR="00CB0DD7" w:rsidRPr="000A0A5F" w:rsidRDefault="00CB0DD7">
      <w:pPr>
        <w:pStyle w:val="PL"/>
        <w:rPr>
          <w:rFonts w:hint="eastAsia"/>
        </w:rPr>
      </w:pPr>
      <w:r w:rsidRPr="000A0A5F">
        <w:t xml:space="preserve">          $ref: 'TS29122_CommonData.yaml#/components/schemas/UsageThresholdRm'</w:t>
      </w:r>
    </w:p>
    <w:p w:rsidR="00CB0DD7" w:rsidRPr="000A0A5F" w:rsidRDefault="00CB0DD7">
      <w:pPr>
        <w:pStyle w:val="PL"/>
      </w:pPr>
      <w:r w:rsidRPr="000A0A5F">
        <w:t xml:space="preserve">        notificationDestination:</w:t>
      </w:r>
    </w:p>
    <w:p w:rsidR="00CB0DD7" w:rsidRPr="000A0A5F" w:rsidRDefault="00CB0DD7">
      <w:pPr>
        <w:pStyle w:val="PL"/>
      </w:pPr>
      <w:r w:rsidRPr="000A0A5F">
        <w:t xml:space="preserve">          $ref: 'TS29122_CommonData.yaml#/components/schemas/Link'</w:t>
      </w:r>
    </w:p>
    <w:p w:rsidR="00546DB9" w:rsidRPr="000A0A5F" w:rsidRDefault="00546DB9" w:rsidP="00546DB9">
      <w:pPr>
        <w:pStyle w:val="PL"/>
      </w:pPr>
      <w:r w:rsidRPr="000A0A5F">
        <w:t xml:space="preserve">        events:</w:t>
      </w:r>
    </w:p>
    <w:p w:rsidR="00546DB9" w:rsidRPr="000A0A5F" w:rsidRDefault="00546DB9" w:rsidP="00546DB9">
      <w:pPr>
        <w:pStyle w:val="PL"/>
      </w:pPr>
      <w:r w:rsidRPr="000A0A5F">
        <w:t xml:space="preserve">          description: Represents the list of e</w:t>
      </w:r>
      <w:r w:rsidRPr="000A0A5F">
        <w:rPr>
          <w:rFonts w:cs="Arial"/>
          <w:szCs w:val="18"/>
        </w:rPr>
        <w:t>vent(s) to which the SCS/AS requests to subscribe to.</w:t>
      </w:r>
    </w:p>
    <w:p w:rsidR="00546DB9" w:rsidRPr="000A0A5F" w:rsidRDefault="00546DB9" w:rsidP="00546DB9">
      <w:pPr>
        <w:pStyle w:val="PL"/>
      </w:pPr>
      <w:r w:rsidRPr="000A0A5F">
        <w:t xml:space="preserve">          type: array</w:t>
      </w:r>
    </w:p>
    <w:p w:rsidR="00546DB9" w:rsidRPr="000A0A5F" w:rsidRDefault="00546DB9" w:rsidP="00546DB9">
      <w:pPr>
        <w:pStyle w:val="PL"/>
      </w:pPr>
      <w:r w:rsidRPr="000A0A5F">
        <w:t xml:space="preserve">          items:</w:t>
      </w:r>
    </w:p>
    <w:p w:rsidR="00546DB9" w:rsidRPr="000A0A5F" w:rsidRDefault="00546DB9" w:rsidP="00546DB9">
      <w:pPr>
        <w:pStyle w:val="PL"/>
      </w:pPr>
      <w:r w:rsidRPr="000A0A5F">
        <w:t xml:space="preserve">            $ref: </w:t>
      </w:r>
      <w:r w:rsidRPr="000A0A5F">
        <w:rPr>
          <w:rFonts w:cs="Courier New"/>
          <w:szCs w:val="16"/>
          <w:lang w:val="en-US"/>
        </w:rPr>
        <w:t>'</w:t>
      </w:r>
      <w:r w:rsidRPr="000A0A5F">
        <w:t>TS29122_CommonData.yaml</w:t>
      </w:r>
      <w:r w:rsidRPr="000A0A5F">
        <w:rPr>
          <w:rFonts w:cs="Courier New"/>
          <w:szCs w:val="16"/>
          <w:lang w:val="en-US"/>
        </w:rPr>
        <w:t>#/components/schemas/Event'</w:t>
      </w:r>
    </w:p>
    <w:p w:rsidR="00546DB9" w:rsidRPr="000A0A5F" w:rsidRDefault="00546DB9" w:rsidP="00546DB9">
      <w:pPr>
        <w:pStyle w:val="PL"/>
      </w:pPr>
      <w:r w:rsidRPr="000A0A5F">
        <w:t xml:space="preserve">          minItems: 1</w:t>
      </w:r>
    </w:p>
    <w:p w:rsidR="00CB0DD7" w:rsidRPr="000A0A5F" w:rsidRDefault="00CB0DD7">
      <w:pPr>
        <w:pStyle w:val="PL"/>
        <w:rPr>
          <w:rFonts w:hint="eastAsia"/>
        </w:rPr>
      </w:pPr>
    </w:p>
    <w:p w:rsidR="00CB0DD7" w:rsidRPr="000A0A5F" w:rsidRDefault="00CB0DD7" w:rsidP="00964FC1">
      <w:pPr>
        <w:pStyle w:val="Heading1"/>
      </w:pPr>
      <w:bookmarkStart w:id="10317" w:name="_Toc11247933"/>
      <w:bookmarkStart w:id="10318" w:name="_Toc27045115"/>
      <w:bookmarkStart w:id="10319" w:name="_Toc36034166"/>
      <w:bookmarkStart w:id="10320" w:name="_Toc45132314"/>
      <w:bookmarkStart w:id="10321" w:name="_Toc49776599"/>
      <w:bookmarkStart w:id="10322" w:name="_Toc51747519"/>
      <w:bookmarkStart w:id="10323" w:name="_Toc66361101"/>
      <w:bookmarkStart w:id="10324" w:name="_Toc68105606"/>
      <w:bookmarkStart w:id="10325" w:name="_Toc74756238"/>
      <w:bookmarkStart w:id="10326" w:name="_Toc105675115"/>
      <w:bookmarkStart w:id="10327" w:name="_Toc130503193"/>
      <w:bookmarkStart w:id="10328" w:name="_Toc153625985"/>
      <w:r w:rsidRPr="000A0A5F">
        <w:t>A.6</w:t>
      </w:r>
      <w:r w:rsidRPr="000A0A5F">
        <w:tab/>
        <w:t>NIDD API</w:t>
      </w:r>
      <w:bookmarkEnd w:id="10317"/>
      <w:bookmarkEnd w:id="10318"/>
      <w:bookmarkEnd w:id="10319"/>
      <w:bookmarkEnd w:id="10320"/>
      <w:bookmarkEnd w:id="10321"/>
      <w:bookmarkEnd w:id="10322"/>
      <w:bookmarkEnd w:id="10323"/>
      <w:bookmarkEnd w:id="10324"/>
      <w:bookmarkEnd w:id="10325"/>
      <w:bookmarkEnd w:id="10326"/>
      <w:bookmarkEnd w:id="10327"/>
      <w:bookmarkEnd w:id="10328"/>
    </w:p>
    <w:p w:rsidR="00CB0DD7" w:rsidRPr="000A0A5F" w:rsidRDefault="00CB0DD7">
      <w:pPr>
        <w:pStyle w:val="PL"/>
      </w:pPr>
      <w:r w:rsidRPr="000A0A5F">
        <w:t>openapi: 3.0.0</w:t>
      </w:r>
    </w:p>
    <w:p w:rsidR="00A6789E" w:rsidRPr="000A0A5F" w:rsidRDefault="00A6789E">
      <w:pPr>
        <w:pStyle w:val="PL"/>
      </w:pPr>
    </w:p>
    <w:p w:rsidR="00CB0DD7" w:rsidRPr="000A0A5F" w:rsidRDefault="00CB0DD7">
      <w:pPr>
        <w:pStyle w:val="PL"/>
      </w:pPr>
      <w:r w:rsidRPr="000A0A5F">
        <w:t>info:</w:t>
      </w:r>
    </w:p>
    <w:p w:rsidR="00CB0DD7" w:rsidRPr="000A0A5F" w:rsidRDefault="00CB0DD7">
      <w:pPr>
        <w:pStyle w:val="PL"/>
      </w:pPr>
      <w:r w:rsidRPr="000A0A5F">
        <w:t xml:space="preserve">  title: 3gpp</w:t>
      </w:r>
      <w:r w:rsidRPr="000A0A5F">
        <w:rPr>
          <w:b/>
        </w:rPr>
        <w:t>-</w:t>
      </w:r>
      <w:r w:rsidRPr="000A0A5F">
        <w:t>nidd</w:t>
      </w:r>
    </w:p>
    <w:p w:rsidR="00CB0DD7" w:rsidRPr="000A0A5F" w:rsidRDefault="00CB0DD7">
      <w:pPr>
        <w:pStyle w:val="PL"/>
      </w:pPr>
      <w:r w:rsidRPr="000A0A5F">
        <w:t xml:space="preserve">  version: 1.</w:t>
      </w:r>
      <w:r w:rsidR="00B94C78" w:rsidRPr="000A0A5F">
        <w:t>3</w:t>
      </w:r>
      <w:r w:rsidRPr="000A0A5F">
        <w:t>.</w:t>
      </w:r>
      <w:r w:rsidR="00B94C78" w:rsidRPr="000A0A5F">
        <w:t>0-alpha.1</w:t>
      </w:r>
    </w:p>
    <w:p w:rsidR="00CB0DD7" w:rsidRPr="000A0A5F" w:rsidRDefault="00CB0DD7">
      <w:pPr>
        <w:pStyle w:val="PL"/>
      </w:pPr>
      <w:r w:rsidRPr="000A0A5F">
        <w:t xml:space="preserve">  description: |</w:t>
      </w:r>
    </w:p>
    <w:p w:rsidR="00CB0DD7" w:rsidRPr="000A0A5F" w:rsidRDefault="00CB0DD7">
      <w:pPr>
        <w:pStyle w:val="PL"/>
      </w:pPr>
      <w:r w:rsidRPr="000A0A5F">
        <w:t xml:space="preserve">    API for non IP data delivery.</w:t>
      </w:r>
      <w:r w:rsidR="00970ACE" w:rsidRPr="000A0A5F">
        <w:t xml:space="preserve">  </w:t>
      </w:r>
    </w:p>
    <w:p w:rsidR="00CB0DD7" w:rsidRPr="000A0A5F" w:rsidRDefault="00CB0DD7">
      <w:pPr>
        <w:pStyle w:val="PL"/>
      </w:pPr>
      <w:r w:rsidRPr="000A0A5F">
        <w:t xml:space="preserve">    © 202</w:t>
      </w:r>
      <w:r w:rsidR="00B94C78" w:rsidRPr="000A0A5F">
        <w:t>3</w:t>
      </w:r>
      <w:r w:rsidRPr="000A0A5F">
        <w:t>, 3GPP Organizational Partners (ARIB, ATIS, CCSA, ETSI, TSDSI, TTA, TTC).</w:t>
      </w:r>
      <w:r w:rsidR="00970ACE" w:rsidRPr="000A0A5F">
        <w:t xml:space="preserve">  </w:t>
      </w:r>
    </w:p>
    <w:p w:rsidR="00CB0DD7" w:rsidRPr="000A0A5F" w:rsidRDefault="00CB0DD7">
      <w:pPr>
        <w:pStyle w:val="PL"/>
      </w:pPr>
      <w:r w:rsidRPr="000A0A5F">
        <w:t xml:space="preserve">    All rights reserved.</w:t>
      </w:r>
    </w:p>
    <w:p w:rsidR="00A6789E" w:rsidRPr="000A0A5F" w:rsidRDefault="00A6789E">
      <w:pPr>
        <w:pStyle w:val="PL"/>
      </w:pPr>
    </w:p>
    <w:p w:rsidR="00CB0DD7" w:rsidRPr="000A0A5F" w:rsidRDefault="00CB0DD7">
      <w:pPr>
        <w:pStyle w:val="PL"/>
      </w:pPr>
      <w:r w:rsidRPr="000A0A5F">
        <w:t>externalDocs:</w:t>
      </w:r>
    </w:p>
    <w:p w:rsidR="00CB0DD7" w:rsidRPr="000A0A5F" w:rsidRDefault="00CB0DD7">
      <w:pPr>
        <w:pStyle w:val="PL"/>
      </w:pPr>
      <w:r w:rsidRPr="000A0A5F">
        <w:t xml:space="preserve">  description: 3GPP TS 29.122 V1</w:t>
      </w:r>
      <w:r w:rsidR="00B94C78" w:rsidRPr="000A0A5F">
        <w:t>8</w:t>
      </w:r>
      <w:r w:rsidRPr="000A0A5F">
        <w:t>.</w:t>
      </w:r>
      <w:r w:rsidR="00B94C78" w:rsidRPr="000A0A5F">
        <w:t>1</w:t>
      </w:r>
      <w:r w:rsidRPr="000A0A5F">
        <w:t>.0 T8 reference point for Northbound APIs</w:t>
      </w:r>
    </w:p>
    <w:p w:rsidR="00CB0DD7" w:rsidRPr="000A0A5F" w:rsidRDefault="00CB0DD7">
      <w:pPr>
        <w:pStyle w:val="PL"/>
      </w:pPr>
      <w:r w:rsidRPr="000A0A5F">
        <w:t xml:space="preserve">  url: 'http</w:t>
      </w:r>
      <w:r w:rsidR="00970ACE" w:rsidRPr="000A0A5F">
        <w:t>s</w:t>
      </w:r>
      <w:r w:rsidRPr="000A0A5F">
        <w:t>://www.3gpp.org/ftp/Specs/archive/29_series/29.122/'</w:t>
      </w:r>
    </w:p>
    <w:p w:rsidR="00A6789E" w:rsidRPr="000A0A5F" w:rsidRDefault="00A6789E">
      <w:pPr>
        <w:pStyle w:val="PL"/>
      </w:pPr>
    </w:p>
    <w:p w:rsidR="00CB0DD7" w:rsidRPr="000A0A5F" w:rsidRDefault="00CB0DD7">
      <w:pPr>
        <w:pStyle w:val="PL"/>
      </w:pPr>
      <w:r w:rsidRPr="000A0A5F">
        <w:t>security:</w:t>
      </w:r>
    </w:p>
    <w:p w:rsidR="00CB0DD7" w:rsidRPr="000A0A5F" w:rsidRDefault="00CB0DD7">
      <w:pPr>
        <w:pStyle w:val="PL"/>
        <w:rPr>
          <w:lang w:val="en-US"/>
        </w:rPr>
      </w:pPr>
      <w:r w:rsidRPr="000A0A5F">
        <w:rPr>
          <w:lang w:val="en-US"/>
        </w:rPr>
        <w:t xml:space="preserve">  - {}</w:t>
      </w:r>
    </w:p>
    <w:p w:rsidR="00CB0DD7" w:rsidRPr="000A0A5F" w:rsidRDefault="00CB0DD7">
      <w:pPr>
        <w:pStyle w:val="PL"/>
      </w:pPr>
      <w:r w:rsidRPr="000A0A5F">
        <w:t xml:space="preserve">  - oAuth2ClientCredentials: []</w:t>
      </w:r>
    </w:p>
    <w:p w:rsidR="00A6789E" w:rsidRPr="000A0A5F" w:rsidRDefault="00A6789E">
      <w:pPr>
        <w:pStyle w:val="PL"/>
      </w:pPr>
    </w:p>
    <w:p w:rsidR="00CB0DD7" w:rsidRPr="000A0A5F" w:rsidRDefault="00CB0DD7">
      <w:pPr>
        <w:pStyle w:val="PL"/>
      </w:pPr>
      <w:r w:rsidRPr="000A0A5F">
        <w:t>servers:</w:t>
      </w:r>
    </w:p>
    <w:p w:rsidR="00CB0DD7" w:rsidRPr="000A0A5F" w:rsidRDefault="00CB0DD7">
      <w:pPr>
        <w:pStyle w:val="PL"/>
      </w:pPr>
      <w:r w:rsidRPr="000A0A5F">
        <w:t xml:space="preserve">  - url: '{apiRoot}/3gpp</w:t>
      </w:r>
      <w:r w:rsidRPr="000A0A5F">
        <w:rPr>
          <w:b/>
        </w:rPr>
        <w:t>-</w:t>
      </w:r>
      <w:r w:rsidRPr="000A0A5F">
        <w:t>nidd/v1'</w:t>
      </w:r>
    </w:p>
    <w:p w:rsidR="00CB0DD7" w:rsidRPr="000A0A5F" w:rsidRDefault="00CB0DD7">
      <w:pPr>
        <w:pStyle w:val="PL"/>
      </w:pPr>
      <w:r w:rsidRPr="000A0A5F">
        <w:t xml:space="preserve">    variables:</w:t>
      </w:r>
    </w:p>
    <w:p w:rsidR="00CB0DD7" w:rsidRPr="000A0A5F" w:rsidRDefault="00CB0DD7">
      <w:pPr>
        <w:pStyle w:val="PL"/>
      </w:pPr>
      <w:r w:rsidRPr="000A0A5F">
        <w:t xml:space="preserve">      apiRoot:</w:t>
      </w:r>
    </w:p>
    <w:p w:rsidR="00CB0DD7" w:rsidRPr="000A0A5F" w:rsidRDefault="00CB0DD7">
      <w:pPr>
        <w:pStyle w:val="PL"/>
      </w:pPr>
      <w:r w:rsidRPr="000A0A5F">
        <w:t xml:space="preserve">        default: https://example.com</w:t>
      </w:r>
    </w:p>
    <w:p w:rsidR="00CB0DD7" w:rsidRPr="000A0A5F" w:rsidRDefault="00CB0DD7">
      <w:pPr>
        <w:pStyle w:val="PL"/>
      </w:pPr>
      <w:r w:rsidRPr="000A0A5F">
        <w:t xml:space="preserve">        description: apiRoot as defined in clause 5.2.4 of 3GPP TS 29.122.</w:t>
      </w:r>
    </w:p>
    <w:p w:rsidR="00A6789E" w:rsidRPr="000A0A5F" w:rsidRDefault="00A6789E">
      <w:pPr>
        <w:pStyle w:val="PL"/>
      </w:pPr>
    </w:p>
    <w:p w:rsidR="00CB0DD7" w:rsidRPr="000A0A5F" w:rsidRDefault="00CB0DD7">
      <w:pPr>
        <w:pStyle w:val="PL"/>
      </w:pPr>
      <w:r w:rsidRPr="000A0A5F">
        <w:t>paths:</w:t>
      </w:r>
    </w:p>
    <w:p w:rsidR="00CB0DD7" w:rsidRPr="000A0A5F" w:rsidRDefault="00CB0DD7">
      <w:pPr>
        <w:pStyle w:val="PL"/>
        <w:rPr>
          <w:lang w:val="en-US"/>
        </w:rPr>
      </w:pPr>
      <w:r w:rsidRPr="000A0A5F">
        <w:rPr>
          <w:lang w:val="en-US"/>
        </w:rPr>
        <w:t xml:space="preserve">  /{scsAsId}/configurations:</w:t>
      </w:r>
    </w:p>
    <w:p w:rsidR="00CB0DD7" w:rsidRPr="000A0A5F" w:rsidRDefault="00CB0DD7">
      <w:pPr>
        <w:pStyle w:val="PL"/>
        <w:rPr>
          <w:lang w:val="en-US"/>
        </w:rPr>
      </w:pPr>
      <w:r w:rsidRPr="000A0A5F">
        <w:rPr>
          <w:lang w:val="en-US"/>
        </w:rPr>
        <w:t xml:space="preserve">    parameters:</w:t>
      </w:r>
    </w:p>
    <w:p w:rsidR="00CB0DD7" w:rsidRPr="000A0A5F" w:rsidRDefault="00CB0DD7">
      <w:pPr>
        <w:pStyle w:val="PL"/>
        <w:rPr>
          <w:lang w:val="en-US"/>
        </w:rPr>
      </w:pPr>
      <w:r w:rsidRPr="000A0A5F">
        <w:rPr>
          <w:lang w:val="en-US"/>
        </w:rPr>
        <w:t xml:space="preserve">      - name: scsAsId</w:t>
      </w:r>
    </w:p>
    <w:p w:rsidR="00CB0DD7" w:rsidRPr="000A0A5F" w:rsidRDefault="00CB0DD7">
      <w:pPr>
        <w:pStyle w:val="PL"/>
        <w:rPr>
          <w:lang w:val="en-US"/>
        </w:rPr>
      </w:pPr>
      <w:r w:rsidRPr="000A0A5F">
        <w:rPr>
          <w:lang w:val="en-US"/>
        </w:rPr>
        <w:t xml:space="preserve">        description: String identifying the SCS/AS.</w:t>
      </w:r>
    </w:p>
    <w:p w:rsidR="00CB0DD7" w:rsidRPr="000A0A5F" w:rsidRDefault="00CB0DD7">
      <w:pPr>
        <w:pStyle w:val="PL"/>
        <w:rPr>
          <w:lang w:val="en-US"/>
        </w:rPr>
      </w:pPr>
      <w:r w:rsidRPr="000A0A5F">
        <w:rPr>
          <w:lang w:val="en-US"/>
        </w:rPr>
        <w:t xml:space="preserve">        in: path</w:t>
      </w:r>
    </w:p>
    <w:p w:rsidR="00CB0DD7" w:rsidRPr="000A0A5F" w:rsidRDefault="00CB0DD7">
      <w:pPr>
        <w:pStyle w:val="PL"/>
        <w:rPr>
          <w:lang w:val="en-US"/>
        </w:rPr>
      </w:pPr>
      <w:r w:rsidRPr="000A0A5F">
        <w:rPr>
          <w:lang w:val="en-US"/>
        </w:rPr>
        <w:t xml:space="preserve">        required: true</w:t>
      </w:r>
    </w:p>
    <w:p w:rsidR="00CB0DD7" w:rsidRPr="000A0A5F" w:rsidRDefault="00CB0DD7">
      <w:pPr>
        <w:pStyle w:val="PL"/>
        <w:rPr>
          <w:lang w:val="en-US"/>
        </w:rPr>
      </w:pPr>
      <w:r w:rsidRPr="000A0A5F">
        <w:rPr>
          <w:lang w:val="en-US"/>
        </w:rPr>
        <w:t xml:space="preserve">        schema:</w:t>
      </w:r>
    </w:p>
    <w:p w:rsidR="00CB0DD7" w:rsidRPr="000A0A5F" w:rsidRDefault="00CB0DD7">
      <w:pPr>
        <w:pStyle w:val="PL"/>
        <w:rPr>
          <w:lang w:val="en-US"/>
        </w:rPr>
      </w:pPr>
      <w:r w:rsidRPr="000A0A5F">
        <w:rPr>
          <w:lang w:val="en-US"/>
        </w:rPr>
        <w:t xml:space="preserve">          type: string</w:t>
      </w:r>
    </w:p>
    <w:p w:rsidR="00CB0DD7" w:rsidRPr="000A0A5F" w:rsidRDefault="00CB0DD7">
      <w:pPr>
        <w:pStyle w:val="PL"/>
        <w:rPr>
          <w:lang w:val="en-US"/>
        </w:rPr>
      </w:pPr>
      <w:r w:rsidRPr="000A0A5F">
        <w:rPr>
          <w:lang w:val="en-US"/>
        </w:rPr>
        <w:t xml:space="preserve">    get:</w:t>
      </w:r>
    </w:p>
    <w:p w:rsidR="00E555E6" w:rsidRPr="000A0A5F" w:rsidRDefault="00E555E6" w:rsidP="00E555E6">
      <w:pPr>
        <w:pStyle w:val="PL"/>
      </w:pPr>
      <w:r w:rsidRPr="000A0A5F">
        <w:t xml:space="preserve">      summary: Read all NIDD </w:t>
      </w:r>
      <w:r w:rsidRPr="000A0A5F">
        <w:rPr>
          <w:rFonts w:hint="eastAsia"/>
          <w:lang w:eastAsia="zh-CN"/>
        </w:rPr>
        <w:t>configuration</w:t>
      </w:r>
      <w:r w:rsidRPr="000A0A5F">
        <w:rPr>
          <w:lang w:eastAsia="zh-CN"/>
        </w:rPr>
        <w:t xml:space="preserve"> resources for a given SCS/AS.</w:t>
      </w:r>
    </w:p>
    <w:p w:rsidR="00E555E6" w:rsidRPr="000A0A5F" w:rsidRDefault="00E555E6" w:rsidP="00E555E6">
      <w:pPr>
        <w:pStyle w:val="PL"/>
      </w:pPr>
      <w:r w:rsidRPr="000A0A5F">
        <w:t xml:space="preserve">      </w:t>
      </w:r>
      <w:r w:rsidRPr="000A0A5F">
        <w:rPr>
          <w:rFonts w:cs="Courier New"/>
          <w:szCs w:val="16"/>
        </w:rPr>
        <w:t>operationId: FetchAll</w:t>
      </w:r>
      <w:r w:rsidRPr="000A0A5F">
        <w:t>NIDDC</w:t>
      </w:r>
      <w:r w:rsidRPr="000A0A5F">
        <w:rPr>
          <w:rFonts w:hint="eastAsia"/>
          <w:lang w:eastAsia="zh-CN"/>
        </w:rPr>
        <w:t>onfigurations</w:t>
      </w:r>
    </w:p>
    <w:p w:rsidR="00E555E6" w:rsidRPr="000A0A5F" w:rsidRDefault="00E555E6" w:rsidP="00E555E6">
      <w:pPr>
        <w:pStyle w:val="PL"/>
      </w:pPr>
      <w:r w:rsidRPr="000A0A5F">
        <w:t xml:space="preserve">      tags:</w:t>
      </w:r>
    </w:p>
    <w:p w:rsidR="00E555E6" w:rsidRPr="000A0A5F" w:rsidRDefault="00E555E6" w:rsidP="00E555E6">
      <w:pPr>
        <w:pStyle w:val="PL"/>
      </w:pPr>
      <w:r w:rsidRPr="000A0A5F">
        <w:t xml:space="preserve">        - NIDD </w:t>
      </w:r>
      <w:r w:rsidRPr="000A0A5F">
        <w:rPr>
          <w:rFonts w:hint="eastAsia"/>
          <w:lang w:eastAsia="zh-CN"/>
        </w:rPr>
        <w:t>configurations</w:t>
      </w:r>
    </w:p>
    <w:p w:rsidR="00CB0DD7" w:rsidRPr="000A0A5F" w:rsidRDefault="00CB0DD7">
      <w:pPr>
        <w:pStyle w:val="PL"/>
        <w:rPr>
          <w:lang w:val="en-US"/>
        </w:rPr>
      </w:pPr>
      <w:r w:rsidRPr="000A0A5F">
        <w:rPr>
          <w:lang w:val="en-US"/>
        </w:rPr>
        <w:t xml:space="preserve">      responses:</w:t>
      </w:r>
    </w:p>
    <w:p w:rsidR="00CB0DD7" w:rsidRPr="000A0A5F" w:rsidRDefault="00CB0DD7">
      <w:pPr>
        <w:pStyle w:val="PL"/>
        <w:rPr>
          <w:lang w:val="en-US"/>
        </w:rPr>
      </w:pPr>
      <w:r w:rsidRPr="000A0A5F">
        <w:rPr>
          <w:lang w:val="en-US"/>
        </w:rPr>
        <w:t xml:space="preserve">        '200':</w:t>
      </w:r>
    </w:p>
    <w:p w:rsidR="00CB0DD7" w:rsidRPr="000A0A5F" w:rsidRDefault="00CB0DD7">
      <w:pPr>
        <w:pStyle w:val="PL"/>
        <w:rPr>
          <w:lang w:val="en-US"/>
        </w:rPr>
      </w:pPr>
      <w:r w:rsidRPr="000A0A5F">
        <w:rPr>
          <w:lang w:val="en-US"/>
        </w:rPr>
        <w:t xml:space="preserve">          description: all NIDD configurations.</w:t>
      </w:r>
    </w:p>
    <w:p w:rsidR="00CB0DD7" w:rsidRPr="000A0A5F" w:rsidRDefault="00CB0DD7">
      <w:pPr>
        <w:pStyle w:val="PL"/>
        <w:rPr>
          <w:lang w:val="en-US"/>
        </w:rPr>
      </w:pPr>
      <w:r w:rsidRPr="000A0A5F">
        <w:rPr>
          <w:lang w:val="en-US"/>
        </w:rPr>
        <w:t xml:space="preserve">          content:</w:t>
      </w:r>
    </w:p>
    <w:p w:rsidR="00CB0DD7" w:rsidRPr="000A0A5F" w:rsidRDefault="00CB0DD7">
      <w:pPr>
        <w:pStyle w:val="PL"/>
        <w:rPr>
          <w:lang w:val="en-US"/>
        </w:rPr>
      </w:pPr>
      <w:r w:rsidRPr="000A0A5F">
        <w:rPr>
          <w:lang w:val="en-US"/>
        </w:rPr>
        <w:t xml:space="preserve">            application/json:</w:t>
      </w:r>
    </w:p>
    <w:p w:rsidR="00CB0DD7" w:rsidRPr="000A0A5F" w:rsidRDefault="00CB0DD7">
      <w:pPr>
        <w:pStyle w:val="PL"/>
        <w:rPr>
          <w:lang w:val="en-US"/>
        </w:rPr>
      </w:pPr>
      <w:r w:rsidRPr="000A0A5F">
        <w:rPr>
          <w:lang w:val="en-US"/>
        </w:rPr>
        <w:t xml:space="preserve">              schema:</w:t>
      </w:r>
    </w:p>
    <w:p w:rsidR="00CB0DD7" w:rsidRPr="000A0A5F" w:rsidRDefault="00CB0DD7">
      <w:pPr>
        <w:pStyle w:val="PL"/>
      </w:pPr>
      <w:r w:rsidRPr="000A0A5F">
        <w:rPr>
          <w:lang w:val="en-US"/>
        </w:rPr>
        <w:t xml:space="preserve">                </w:t>
      </w:r>
      <w:r w:rsidRPr="000A0A5F">
        <w:t>type: array</w:t>
      </w:r>
    </w:p>
    <w:p w:rsidR="00CB0DD7" w:rsidRPr="000A0A5F" w:rsidRDefault="00CB0DD7">
      <w:pPr>
        <w:pStyle w:val="PL"/>
      </w:pPr>
      <w:r w:rsidRPr="000A0A5F">
        <w:t xml:space="preserve">                items:</w:t>
      </w:r>
    </w:p>
    <w:p w:rsidR="00CB0DD7" w:rsidRPr="000A0A5F" w:rsidRDefault="00CB0DD7">
      <w:pPr>
        <w:pStyle w:val="PL"/>
      </w:pPr>
      <w:r w:rsidRPr="000A0A5F">
        <w:t xml:space="preserve">                  $ref: '#/components/schemas/NiddConfiguration'</w:t>
      </w:r>
    </w:p>
    <w:p w:rsidR="00CB0DD7" w:rsidRPr="000A0A5F" w:rsidRDefault="00CB0DD7">
      <w:pPr>
        <w:pStyle w:val="PL"/>
      </w:pPr>
      <w:r w:rsidRPr="000A0A5F">
        <w:t xml:space="preserve">                minItems: 0</w:t>
      </w:r>
    </w:p>
    <w:p w:rsidR="00CB0DD7" w:rsidRPr="000A0A5F" w:rsidRDefault="00CB0DD7">
      <w:pPr>
        <w:pStyle w:val="PL"/>
      </w:pPr>
      <w:r w:rsidRPr="000A0A5F">
        <w:t xml:space="preserve">                description: individual NIDD configuration.</w:t>
      </w:r>
    </w:p>
    <w:p w:rsidR="00CB0DD7" w:rsidRPr="000A0A5F" w:rsidRDefault="00CB0DD7">
      <w:pPr>
        <w:pStyle w:val="PL"/>
      </w:pPr>
      <w:r w:rsidRPr="000A0A5F">
        <w:t xml:space="preserve">        '307':</w:t>
      </w:r>
    </w:p>
    <w:p w:rsidR="00CB0DD7" w:rsidRPr="000A0A5F" w:rsidRDefault="00CB0DD7">
      <w:pPr>
        <w:pStyle w:val="PL"/>
      </w:pPr>
      <w:r w:rsidRPr="000A0A5F">
        <w:t xml:space="preserve">          $ref: 'TS29122_CommonData.yaml#/components/responses/307'</w:t>
      </w:r>
    </w:p>
    <w:p w:rsidR="00CB0DD7" w:rsidRPr="000A0A5F" w:rsidRDefault="00CB0DD7">
      <w:pPr>
        <w:pStyle w:val="PL"/>
      </w:pPr>
      <w:r w:rsidRPr="000A0A5F">
        <w:t xml:space="preserve">        '308':</w:t>
      </w:r>
    </w:p>
    <w:p w:rsidR="00CB0DD7" w:rsidRPr="000A0A5F" w:rsidRDefault="00CB0DD7">
      <w:pPr>
        <w:pStyle w:val="PL"/>
      </w:pPr>
      <w:r w:rsidRPr="000A0A5F">
        <w:t xml:space="preserve">          $ref: 'TS29122_CommonData.yaml#/components/responses/308'</w:t>
      </w:r>
    </w:p>
    <w:p w:rsidR="00CB0DD7" w:rsidRPr="000A0A5F" w:rsidRDefault="00CB0DD7">
      <w:pPr>
        <w:pStyle w:val="PL"/>
      </w:pPr>
      <w:r w:rsidRPr="000A0A5F">
        <w:t xml:space="preserve">        '400':</w:t>
      </w:r>
    </w:p>
    <w:p w:rsidR="00CB0DD7" w:rsidRPr="000A0A5F" w:rsidRDefault="00CB0DD7">
      <w:pPr>
        <w:pStyle w:val="PL"/>
      </w:pPr>
      <w:r w:rsidRPr="000A0A5F">
        <w:t xml:space="preserve">          $ref: 'TS29122_CommonData.yaml#/components/responses/400'</w:t>
      </w:r>
    </w:p>
    <w:p w:rsidR="00CB0DD7" w:rsidRPr="000A0A5F" w:rsidRDefault="00CB0DD7">
      <w:pPr>
        <w:pStyle w:val="PL"/>
      </w:pPr>
      <w:r w:rsidRPr="000A0A5F">
        <w:t xml:space="preserve">        '401':</w:t>
      </w:r>
    </w:p>
    <w:p w:rsidR="00CB0DD7" w:rsidRPr="000A0A5F" w:rsidRDefault="00CB0DD7">
      <w:pPr>
        <w:pStyle w:val="PL"/>
      </w:pPr>
      <w:r w:rsidRPr="000A0A5F">
        <w:t xml:space="preserve">          $ref: 'TS29122_CommonData.yaml#/components/responses/401'</w:t>
      </w:r>
    </w:p>
    <w:p w:rsidR="00CB0DD7" w:rsidRPr="000A0A5F" w:rsidRDefault="00CB0DD7">
      <w:pPr>
        <w:pStyle w:val="PL"/>
      </w:pPr>
      <w:r w:rsidRPr="000A0A5F">
        <w:t xml:space="preserve">        '403':</w:t>
      </w:r>
    </w:p>
    <w:p w:rsidR="00CB0DD7" w:rsidRPr="000A0A5F" w:rsidRDefault="00CB0DD7">
      <w:pPr>
        <w:pStyle w:val="PL"/>
      </w:pPr>
      <w:r w:rsidRPr="000A0A5F">
        <w:t xml:space="preserve">          $ref: 'TS29122_CommonData.yaml#/components/responses/403'</w:t>
      </w:r>
    </w:p>
    <w:p w:rsidR="00CB0DD7" w:rsidRPr="000A0A5F" w:rsidRDefault="00CB0DD7">
      <w:pPr>
        <w:pStyle w:val="PL"/>
      </w:pPr>
      <w:r w:rsidRPr="000A0A5F">
        <w:t xml:space="preserve">        '404':</w:t>
      </w:r>
    </w:p>
    <w:p w:rsidR="00CB0DD7" w:rsidRPr="000A0A5F" w:rsidRDefault="00CB0DD7">
      <w:pPr>
        <w:pStyle w:val="PL"/>
      </w:pPr>
      <w:r w:rsidRPr="000A0A5F">
        <w:t xml:space="preserve">          $ref: 'TS29122_CommonData.yaml#/components/responses/404'</w:t>
      </w:r>
    </w:p>
    <w:p w:rsidR="00CB0DD7" w:rsidRPr="000A0A5F" w:rsidRDefault="00CB0DD7">
      <w:pPr>
        <w:pStyle w:val="PL"/>
      </w:pPr>
      <w:r w:rsidRPr="000A0A5F">
        <w:t xml:space="preserve">        '406':</w:t>
      </w:r>
    </w:p>
    <w:p w:rsidR="00CB0DD7" w:rsidRPr="000A0A5F" w:rsidRDefault="00CB0DD7">
      <w:pPr>
        <w:pStyle w:val="PL"/>
      </w:pPr>
      <w:r w:rsidRPr="000A0A5F">
        <w:t xml:space="preserve">          $ref: 'TS29122_CommonData.yaml#/components/responses/406'</w:t>
      </w:r>
    </w:p>
    <w:p w:rsidR="00CB0DD7" w:rsidRPr="000A0A5F" w:rsidRDefault="00CB0DD7">
      <w:pPr>
        <w:pStyle w:val="PL"/>
      </w:pPr>
      <w:r w:rsidRPr="000A0A5F">
        <w:t xml:space="preserve">        '429':</w:t>
      </w:r>
    </w:p>
    <w:p w:rsidR="00CB0DD7" w:rsidRPr="000A0A5F" w:rsidRDefault="00CB0DD7">
      <w:pPr>
        <w:pStyle w:val="PL"/>
      </w:pPr>
      <w:r w:rsidRPr="000A0A5F">
        <w:t xml:space="preserve">          $ref: 'TS29122_CommonData.yaml#/components/responses/429'</w:t>
      </w:r>
    </w:p>
    <w:p w:rsidR="00CB0DD7" w:rsidRPr="000A0A5F" w:rsidRDefault="00CB0DD7">
      <w:pPr>
        <w:pStyle w:val="PL"/>
      </w:pPr>
      <w:r w:rsidRPr="000A0A5F">
        <w:t xml:space="preserve">        '500':</w:t>
      </w:r>
    </w:p>
    <w:p w:rsidR="00CB0DD7" w:rsidRPr="000A0A5F" w:rsidRDefault="00CB0DD7">
      <w:pPr>
        <w:pStyle w:val="PL"/>
      </w:pPr>
      <w:r w:rsidRPr="000A0A5F">
        <w:t xml:space="preserve">          $ref: 'TS29122_CommonData.yaml#/components/responses/500'</w:t>
      </w:r>
    </w:p>
    <w:p w:rsidR="00CB0DD7" w:rsidRPr="000A0A5F" w:rsidRDefault="00CB0DD7">
      <w:pPr>
        <w:pStyle w:val="PL"/>
      </w:pPr>
      <w:r w:rsidRPr="000A0A5F">
        <w:t xml:space="preserve">        '503':</w:t>
      </w:r>
    </w:p>
    <w:p w:rsidR="00CB0DD7" w:rsidRPr="000A0A5F" w:rsidRDefault="00CB0DD7">
      <w:pPr>
        <w:pStyle w:val="PL"/>
      </w:pPr>
      <w:r w:rsidRPr="000A0A5F">
        <w:t xml:space="preserve">          $ref: 'TS29122_CommonData.yaml#/components/responses/503'</w:t>
      </w:r>
    </w:p>
    <w:p w:rsidR="00CB0DD7" w:rsidRPr="000A0A5F" w:rsidRDefault="00CB0DD7">
      <w:pPr>
        <w:pStyle w:val="PL"/>
      </w:pPr>
      <w:r w:rsidRPr="000A0A5F">
        <w:t xml:space="preserve">        default:</w:t>
      </w:r>
    </w:p>
    <w:p w:rsidR="00CB0DD7" w:rsidRPr="000A0A5F" w:rsidRDefault="00CB0DD7">
      <w:pPr>
        <w:pStyle w:val="PL"/>
      </w:pPr>
      <w:r w:rsidRPr="000A0A5F">
        <w:t xml:space="preserve">          $ref: 'TS29122_CommonData.yaml#/components/responses/default'</w:t>
      </w:r>
    </w:p>
    <w:p w:rsidR="00CB0DD7" w:rsidRPr="000A0A5F" w:rsidRDefault="00CB0DD7">
      <w:pPr>
        <w:pStyle w:val="PL"/>
        <w:rPr>
          <w:lang w:val="en-US"/>
        </w:rPr>
      </w:pPr>
      <w:r w:rsidRPr="000A0A5F">
        <w:rPr>
          <w:lang w:val="en-US"/>
        </w:rPr>
        <w:t xml:space="preserve">    post:</w:t>
      </w:r>
    </w:p>
    <w:p w:rsidR="00E555E6" w:rsidRPr="000A0A5F" w:rsidRDefault="00E555E6" w:rsidP="00E555E6">
      <w:pPr>
        <w:pStyle w:val="PL"/>
      </w:pPr>
      <w:r w:rsidRPr="000A0A5F">
        <w:t xml:space="preserve">      summary: Create a new NIDD </w:t>
      </w:r>
      <w:r w:rsidRPr="000A0A5F">
        <w:rPr>
          <w:rFonts w:hint="eastAsia"/>
          <w:lang w:eastAsia="zh-CN"/>
        </w:rPr>
        <w:t>configuration</w:t>
      </w:r>
      <w:r w:rsidRPr="000A0A5F">
        <w:rPr>
          <w:lang w:eastAsia="zh-CN"/>
        </w:rPr>
        <w:t xml:space="preserve"> </w:t>
      </w:r>
      <w:r w:rsidRPr="000A0A5F">
        <w:t>resource</w:t>
      </w:r>
      <w:r w:rsidRPr="000A0A5F">
        <w:rPr>
          <w:lang w:eastAsia="zh-CN"/>
        </w:rPr>
        <w:t>.</w:t>
      </w:r>
    </w:p>
    <w:p w:rsidR="00E555E6" w:rsidRPr="000A0A5F" w:rsidRDefault="00E555E6" w:rsidP="00E555E6">
      <w:pPr>
        <w:pStyle w:val="PL"/>
      </w:pPr>
      <w:r w:rsidRPr="000A0A5F">
        <w:t xml:space="preserve">      </w:t>
      </w:r>
      <w:r w:rsidRPr="000A0A5F">
        <w:rPr>
          <w:rFonts w:cs="Courier New"/>
          <w:szCs w:val="16"/>
        </w:rPr>
        <w:t>operationId: Create</w:t>
      </w:r>
      <w:r w:rsidRPr="000A0A5F">
        <w:t>NIDDC</w:t>
      </w:r>
      <w:r w:rsidRPr="000A0A5F">
        <w:rPr>
          <w:rFonts w:hint="eastAsia"/>
          <w:lang w:eastAsia="zh-CN"/>
        </w:rPr>
        <w:t>onfiguration</w:t>
      </w:r>
    </w:p>
    <w:p w:rsidR="00E555E6" w:rsidRPr="000A0A5F" w:rsidRDefault="00E555E6" w:rsidP="00E555E6">
      <w:pPr>
        <w:pStyle w:val="PL"/>
      </w:pPr>
      <w:r w:rsidRPr="000A0A5F">
        <w:t xml:space="preserve">      tags:</w:t>
      </w:r>
    </w:p>
    <w:p w:rsidR="00E555E6" w:rsidRPr="000A0A5F" w:rsidRDefault="00E555E6" w:rsidP="00E555E6">
      <w:pPr>
        <w:pStyle w:val="PL"/>
      </w:pPr>
      <w:r w:rsidRPr="000A0A5F">
        <w:t xml:space="preserve">        - NIDD </w:t>
      </w:r>
      <w:r w:rsidRPr="000A0A5F">
        <w:rPr>
          <w:rFonts w:hint="eastAsia"/>
          <w:lang w:eastAsia="zh-CN"/>
        </w:rPr>
        <w:t>configurations</w:t>
      </w:r>
    </w:p>
    <w:p w:rsidR="00CB0DD7" w:rsidRPr="000A0A5F" w:rsidRDefault="00CB0DD7">
      <w:pPr>
        <w:pStyle w:val="PL"/>
        <w:rPr>
          <w:lang w:val="en-US"/>
        </w:rPr>
      </w:pPr>
      <w:r w:rsidRPr="000A0A5F">
        <w:rPr>
          <w:lang w:val="en-US"/>
        </w:rPr>
        <w:t xml:space="preserve">      requestBody:</w:t>
      </w:r>
    </w:p>
    <w:p w:rsidR="00CB0DD7" w:rsidRPr="000A0A5F" w:rsidRDefault="00CB0DD7">
      <w:pPr>
        <w:pStyle w:val="PL"/>
        <w:rPr>
          <w:lang w:val="en-US"/>
        </w:rPr>
      </w:pPr>
      <w:r w:rsidRPr="000A0A5F">
        <w:rPr>
          <w:lang w:val="en-US"/>
        </w:rPr>
        <w:t xml:space="preserve">        description: Contains the data to create a NIDD configuration.</w:t>
      </w:r>
    </w:p>
    <w:p w:rsidR="00CB0DD7" w:rsidRPr="000A0A5F" w:rsidRDefault="00CB0DD7">
      <w:pPr>
        <w:pStyle w:val="PL"/>
        <w:rPr>
          <w:lang w:val="en-US"/>
        </w:rPr>
      </w:pPr>
      <w:r w:rsidRPr="000A0A5F">
        <w:rPr>
          <w:lang w:val="en-US"/>
        </w:rPr>
        <w:t xml:space="preserve">        required: true</w:t>
      </w:r>
    </w:p>
    <w:p w:rsidR="00CB0DD7" w:rsidRPr="000A0A5F" w:rsidRDefault="00CB0DD7">
      <w:pPr>
        <w:pStyle w:val="PL"/>
        <w:rPr>
          <w:lang w:val="en-US"/>
        </w:rPr>
      </w:pPr>
      <w:r w:rsidRPr="000A0A5F">
        <w:rPr>
          <w:lang w:val="en-US"/>
        </w:rPr>
        <w:t xml:space="preserve">        content:</w:t>
      </w:r>
    </w:p>
    <w:p w:rsidR="00CB0DD7" w:rsidRPr="000A0A5F" w:rsidRDefault="00CB0DD7">
      <w:pPr>
        <w:pStyle w:val="PL"/>
        <w:rPr>
          <w:lang w:val="en-US"/>
        </w:rPr>
      </w:pPr>
      <w:r w:rsidRPr="000A0A5F">
        <w:rPr>
          <w:lang w:val="en-US"/>
        </w:rPr>
        <w:t xml:space="preserve">          application/json:</w:t>
      </w:r>
    </w:p>
    <w:p w:rsidR="00CB0DD7" w:rsidRPr="000A0A5F" w:rsidRDefault="00CB0DD7">
      <w:pPr>
        <w:pStyle w:val="PL"/>
        <w:rPr>
          <w:lang w:val="en-US"/>
        </w:rPr>
      </w:pPr>
      <w:r w:rsidRPr="000A0A5F">
        <w:rPr>
          <w:lang w:val="en-US"/>
        </w:rPr>
        <w:t xml:space="preserve">            schema:</w:t>
      </w:r>
    </w:p>
    <w:p w:rsidR="00CB0DD7" w:rsidRPr="000A0A5F" w:rsidRDefault="00CB0DD7">
      <w:pPr>
        <w:pStyle w:val="PL"/>
        <w:rPr>
          <w:lang w:val="en-US"/>
        </w:rPr>
      </w:pPr>
      <w:r w:rsidRPr="000A0A5F">
        <w:rPr>
          <w:lang w:val="en-US"/>
        </w:rPr>
        <w:t xml:space="preserve">              $ref: '#/components/schemas/NiddConfiguration'</w:t>
      </w:r>
    </w:p>
    <w:p w:rsidR="00CB0DD7" w:rsidRPr="000A0A5F" w:rsidRDefault="00CB0DD7">
      <w:pPr>
        <w:pStyle w:val="PL"/>
        <w:rPr>
          <w:lang w:val="en-US"/>
        </w:rPr>
      </w:pPr>
      <w:r w:rsidRPr="000A0A5F">
        <w:rPr>
          <w:lang w:val="en-US"/>
        </w:rPr>
        <w:t xml:space="preserve">      responses:</w:t>
      </w:r>
    </w:p>
    <w:p w:rsidR="00CB0DD7" w:rsidRPr="000A0A5F" w:rsidRDefault="00CB0DD7">
      <w:pPr>
        <w:pStyle w:val="PL"/>
        <w:rPr>
          <w:lang w:val="en-US"/>
        </w:rPr>
      </w:pPr>
      <w:r w:rsidRPr="000A0A5F">
        <w:rPr>
          <w:lang w:val="en-US"/>
        </w:rPr>
        <w:t xml:space="preserve">        '201':</w:t>
      </w:r>
    </w:p>
    <w:p w:rsidR="00CB0DD7" w:rsidRPr="000A0A5F" w:rsidRDefault="00CB0DD7">
      <w:pPr>
        <w:pStyle w:val="PL"/>
        <w:rPr>
          <w:lang w:val="en-US"/>
        </w:rPr>
      </w:pPr>
      <w:r w:rsidRPr="000A0A5F">
        <w:rPr>
          <w:lang w:val="en-US"/>
        </w:rPr>
        <w:t xml:space="preserve">          description: NIDD configuration is successfully created.</w:t>
      </w:r>
    </w:p>
    <w:p w:rsidR="00CB0DD7" w:rsidRPr="000A0A5F" w:rsidRDefault="00CB0DD7">
      <w:pPr>
        <w:pStyle w:val="PL"/>
        <w:rPr>
          <w:lang w:val="en-US"/>
        </w:rPr>
      </w:pPr>
      <w:r w:rsidRPr="000A0A5F">
        <w:rPr>
          <w:lang w:val="en-US"/>
        </w:rPr>
        <w:t xml:space="preserve">          content:</w:t>
      </w:r>
    </w:p>
    <w:p w:rsidR="00CB0DD7" w:rsidRPr="000A0A5F" w:rsidRDefault="00CB0DD7">
      <w:pPr>
        <w:pStyle w:val="PL"/>
        <w:rPr>
          <w:lang w:val="en-US"/>
        </w:rPr>
      </w:pPr>
      <w:r w:rsidRPr="000A0A5F">
        <w:rPr>
          <w:lang w:val="en-US"/>
        </w:rPr>
        <w:t xml:space="preserve">            application/json:</w:t>
      </w:r>
    </w:p>
    <w:p w:rsidR="00CB0DD7" w:rsidRPr="000A0A5F" w:rsidRDefault="00CB0DD7">
      <w:pPr>
        <w:pStyle w:val="PL"/>
        <w:rPr>
          <w:lang w:val="en-US"/>
        </w:rPr>
      </w:pPr>
      <w:r w:rsidRPr="000A0A5F">
        <w:rPr>
          <w:lang w:val="en-US"/>
        </w:rPr>
        <w:t xml:space="preserve">              schema:</w:t>
      </w:r>
    </w:p>
    <w:p w:rsidR="00CB0DD7" w:rsidRPr="000A0A5F" w:rsidRDefault="00CB0DD7">
      <w:pPr>
        <w:pStyle w:val="PL"/>
        <w:rPr>
          <w:lang w:val="en-US"/>
        </w:rPr>
      </w:pPr>
      <w:r w:rsidRPr="000A0A5F">
        <w:rPr>
          <w:lang w:val="en-US"/>
        </w:rPr>
        <w:t xml:space="preserve">                $ref: '#/components/schemas/NiddConfiguration'</w:t>
      </w:r>
    </w:p>
    <w:p w:rsidR="00CB0DD7" w:rsidRPr="000A0A5F" w:rsidRDefault="00CB0DD7">
      <w:pPr>
        <w:pStyle w:val="PL"/>
      </w:pPr>
      <w:r w:rsidRPr="000A0A5F">
        <w:t xml:space="preserve">          headers:</w:t>
      </w:r>
    </w:p>
    <w:p w:rsidR="00CB0DD7" w:rsidRPr="000A0A5F" w:rsidRDefault="00CB0DD7">
      <w:pPr>
        <w:pStyle w:val="PL"/>
      </w:pPr>
      <w:r w:rsidRPr="000A0A5F">
        <w:t xml:space="preserve">            Location:</w:t>
      </w:r>
    </w:p>
    <w:p w:rsidR="00CB0DD7" w:rsidRPr="000A0A5F" w:rsidRDefault="00CB0DD7">
      <w:pPr>
        <w:pStyle w:val="PL"/>
      </w:pPr>
      <w:r w:rsidRPr="000A0A5F">
        <w:t xml:space="preserve">              description: 'Contains the URI of the newly created resource'</w:t>
      </w:r>
    </w:p>
    <w:p w:rsidR="00CB0DD7" w:rsidRPr="000A0A5F" w:rsidRDefault="00CB0DD7">
      <w:pPr>
        <w:pStyle w:val="PL"/>
      </w:pPr>
      <w:r w:rsidRPr="000A0A5F">
        <w:t xml:space="preserve">              required: true</w:t>
      </w:r>
    </w:p>
    <w:p w:rsidR="00CB0DD7" w:rsidRPr="000A0A5F" w:rsidRDefault="00CB0DD7">
      <w:pPr>
        <w:pStyle w:val="PL"/>
      </w:pPr>
      <w:r w:rsidRPr="000A0A5F">
        <w:t xml:space="preserve">              schema:</w:t>
      </w:r>
    </w:p>
    <w:p w:rsidR="00CB0DD7" w:rsidRPr="000A0A5F" w:rsidRDefault="00CB0DD7">
      <w:pPr>
        <w:pStyle w:val="PL"/>
      </w:pPr>
      <w:r w:rsidRPr="000A0A5F">
        <w:t xml:space="preserve">                type: string</w:t>
      </w:r>
    </w:p>
    <w:p w:rsidR="00CB0DD7" w:rsidRPr="000A0A5F" w:rsidRDefault="00CB0DD7">
      <w:pPr>
        <w:pStyle w:val="PL"/>
        <w:rPr>
          <w:lang w:val="en-US"/>
        </w:rPr>
      </w:pPr>
      <w:r w:rsidRPr="000A0A5F">
        <w:rPr>
          <w:lang w:val="en-US"/>
        </w:rPr>
        <w:t xml:space="preserve">        '400':</w:t>
      </w:r>
    </w:p>
    <w:p w:rsidR="00CB0DD7" w:rsidRPr="000A0A5F" w:rsidRDefault="00CB0DD7">
      <w:pPr>
        <w:pStyle w:val="PL"/>
        <w:rPr>
          <w:lang w:val="en-US"/>
        </w:rPr>
      </w:pPr>
      <w:r w:rsidRPr="000A0A5F">
        <w:rPr>
          <w:lang w:val="en-US"/>
        </w:rPr>
        <w:t xml:space="preserve">          $ref: 'TS29122_CommonData.yaml#/components/responses/400'</w:t>
      </w:r>
    </w:p>
    <w:p w:rsidR="00CB0DD7" w:rsidRPr="000A0A5F" w:rsidRDefault="00CB0DD7">
      <w:pPr>
        <w:pStyle w:val="PL"/>
        <w:rPr>
          <w:lang w:val="en-US"/>
        </w:rPr>
      </w:pPr>
      <w:r w:rsidRPr="000A0A5F">
        <w:rPr>
          <w:lang w:val="en-US"/>
        </w:rPr>
        <w:t xml:space="preserve">        '401':</w:t>
      </w:r>
    </w:p>
    <w:p w:rsidR="00CB0DD7" w:rsidRPr="000A0A5F" w:rsidRDefault="00CB0DD7">
      <w:pPr>
        <w:pStyle w:val="PL"/>
        <w:rPr>
          <w:lang w:val="en-US"/>
        </w:rPr>
      </w:pPr>
      <w:r w:rsidRPr="000A0A5F">
        <w:rPr>
          <w:lang w:val="en-US"/>
        </w:rPr>
        <w:t xml:space="preserve">          $ref: 'TS29122_CommonData.yaml#/components/responses/401'</w:t>
      </w:r>
    </w:p>
    <w:p w:rsidR="00CB0DD7" w:rsidRPr="000A0A5F" w:rsidRDefault="00CB0DD7">
      <w:pPr>
        <w:pStyle w:val="PL"/>
        <w:rPr>
          <w:lang w:val="en-US"/>
        </w:rPr>
      </w:pPr>
      <w:r w:rsidRPr="000A0A5F">
        <w:rPr>
          <w:lang w:val="en-US"/>
        </w:rPr>
        <w:t xml:space="preserve">        '403':</w:t>
      </w:r>
    </w:p>
    <w:p w:rsidR="00CB0DD7" w:rsidRPr="000A0A5F" w:rsidRDefault="00CB0DD7">
      <w:pPr>
        <w:pStyle w:val="PL"/>
        <w:rPr>
          <w:lang w:val="en-US"/>
        </w:rPr>
      </w:pPr>
      <w:r w:rsidRPr="000A0A5F">
        <w:rPr>
          <w:lang w:val="en-US"/>
        </w:rPr>
        <w:t xml:space="preserve">          $ref: 'TS29122_CommonData.yaml#/components/responses/403'</w:t>
      </w:r>
    </w:p>
    <w:p w:rsidR="00CB0DD7" w:rsidRPr="000A0A5F" w:rsidRDefault="00CB0DD7">
      <w:pPr>
        <w:pStyle w:val="PL"/>
        <w:rPr>
          <w:lang w:val="en-US"/>
        </w:rPr>
      </w:pPr>
      <w:r w:rsidRPr="000A0A5F">
        <w:rPr>
          <w:lang w:val="en-US"/>
        </w:rPr>
        <w:t xml:space="preserve">        '404':</w:t>
      </w:r>
    </w:p>
    <w:p w:rsidR="00CB0DD7" w:rsidRPr="000A0A5F" w:rsidRDefault="00CB0DD7">
      <w:pPr>
        <w:pStyle w:val="PL"/>
        <w:rPr>
          <w:lang w:val="en-US"/>
        </w:rPr>
      </w:pPr>
      <w:r w:rsidRPr="000A0A5F">
        <w:rPr>
          <w:lang w:val="en-US"/>
        </w:rPr>
        <w:t xml:space="preserve">          $ref: 'TS29122_CommonData.yaml#/components/responses/404'</w:t>
      </w:r>
    </w:p>
    <w:p w:rsidR="00CB0DD7" w:rsidRPr="000A0A5F" w:rsidRDefault="00CB0DD7">
      <w:pPr>
        <w:pStyle w:val="PL"/>
        <w:rPr>
          <w:lang w:val="en-US"/>
        </w:rPr>
      </w:pPr>
      <w:r w:rsidRPr="000A0A5F">
        <w:rPr>
          <w:lang w:val="en-US"/>
        </w:rPr>
        <w:t xml:space="preserve">        '411':</w:t>
      </w:r>
    </w:p>
    <w:p w:rsidR="00CB0DD7" w:rsidRPr="000A0A5F" w:rsidRDefault="00CB0DD7">
      <w:pPr>
        <w:pStyle w:val="PL"/>
        <w:rPr>
          <w:lang w:val="en-US"/>
        </w:rPr>
      </w:pPr>
      <w:r w:rsidRPr="000A0A5F">
        <w:rPr>
          <w:lang w:val="en-US"/>
        </w:rPr>
        <w:t xml:space="preserve">          $ref: 'TS29122_CommonData.yaml#/components/responses/411'</w:t>
      </w:r>
    </w:p>
    <w:p w:rsidR="00CB0DD7" w:rsidRPr="000A0A5F" w:rsidRDefault="00CB0DD7">
      <w:pPr>
        <w:pStyle w:val="PL"/>
        <w:rPr>
          <w:lang w:val="en-US"/>
        </w:rPr>
      </w:pPr>
      <w:r w:rsidRPr="000A0A5F">
        <w:rPr>
          <w:lang w:val="en-US"/>
        </w:rPr>
        <w:t xml:space="preserve">        '413':</w:t>
      </w:r>
    </w:p>
    <w:p w:rsidR="00CB0DD7" w:rsidRPr="000A0A5F" w:rsidRDefault="00CB0DD7">
      <w:pPr>
        <w:pStyle w:val="PL"/>
        <w:rPr>
          <w:lang w:val="en-US"/>
        </w:rPr>
      </w:pPr>
      <w:r w:rsidRPr="000A0A5F">
        <w:rPr>
          <w:lang w:val="en-US"/>
        </w:rPr>
        <w:t xml:space="preserve">          $ref: 'TS29122_CommonData.yaml#/components/responses/413'</w:t>
      </w:r>
    </w:p>
    <w:p w:rsidR="00CB0DD7" w:rsidRPr="000A0A5F" w:rsidRDefault="00CB0DD7">
      <w:pPr>
        <w:pStyle w:val="PL"/>
        <w:rPr>
          <w:lang w:val="en-US"/>
        </w:rPr>
      </w:pPr>
      <w:r w:rsidRPr="000A0A5F">
        <w:rPr>
          <w:lang w:val="en-US"/>
        </w:rPr>
        <w:t xml:space="preserve">        '415':</w:t>
      </w:r>
    </w:p>
    <w:p w:rsidR="00CB0DD7" w:rsidRPr="000A0A5F" w:rsidRDefault="00CB0DD7">
      <w:pPr>
        <w:pStyle w:val="PL"/>
        <w:rPr>
          <w:lang w:val="en-US"/>
        </w:rPr>
      </w:pPr>
      <w:r w:rsidRPr="000A0A5F">
        <w:rPr>
          <w:lang w:val="en-US"/>
        </w:rPr>
        <w:t xml:space="preserve">          $ref: 'TS29122_CommonData.yaml#/components/responses/415'</w:t>
      </w:r>
    </w:p>
    <w:p w:rsidR="00CB0DD7" w:rsidRPr="000A0A5F" w:rsidRDefault="00CB0DD7">
      <w:pPr>
        <w:pStyle w:val="PL"/>
      </w:pPr>
      <w:r w:rsidRPr="000A0A5F">
        <w:t xml:space="preserve">        '429':</w:t>
      </w:r>
    </w:p>
    <w:p w:rsidR="00CB0DD7" w:rsidRPr="000A0A5F" w:rsidRDefault="00CB0DD7">
      <w:pPr>
        <w:pStyle w:val="PL"/>
      </w:pPr>
      <w:r w:rsidRPr="000A0A5F">
        <w:t xml:space="preserve">          $ref: 'TS29122_CommonData.yaml#/components/responses/429'</w:t>
      </w:r>
    </w:p>
    <w:p w:rsidR="00CB0DD7" w:rsidRPr="000A0A5F" w:rsidRDefault="00CB0DD7">
      <w:pPr>
        <w:pStyle w:val="PL"/>
        <w:rPr>
          <w:lang w:val="en-US"/>
        </w:rPr>
      </w:pPr>
      <w:r w:rsidRPr="000A0A5F">
        <w:rPr>
          <w:lang w:val="en-US"/>
        </w:rPr>
        <w:t xml:space="preserve">        '500':</w:t>
      </w:r>
    </w:p>
    <w:p w:rsidR="00CB0DD7" w:rsidRPr="000A0A5F" w:rsidRDefault="00CB0DD7">
      <w:pPr>
        <w:pStyle w:val="PL"/>
        <w:rPr>
          <w:lang w:val="en-US"/>
        </w:rPr>
      </w:pPr>
      <w:r w:rsidRPr="000A0A5F">
        <w:rPr>
          <w:lang w:val="en-US"/>
        </w:rPr>
        <w:t xml:space="preserve">          $ref: 'TS29122_CommonData.yaml#/components/responses/500'</w:t>
      </w:r>
    </w:p>
    <w:p w:rsidR="00CB0DD7" w:rsidRPr="000A0A5F" w:rsidRDefault="00CB0DD7">
      <w:pPr>
        <w:pStyle w:val="PL"/>
        <w:rPr>
          <w:lang w:val="en-US"/>
        </w:rPr>
      </w:pPr>
      <w:r w:rsidRPr="000A0A5F">
        <w:rPr>
          <w:lang w:val="en-US"/>
        </w:rPr>
        <w:t xml:space="preserve">        '503':</w:t>
      </w:r>
    </w:p>
    <w:p w:rsidR="00CB0DD7" w:rsidRPr="000A0A5F" w:rsidRDefault="00CB0DD7">
      <w:pPr>
        <w:pStyle w:val="PL"/>
        <w:rPr>
          <w:lang w:val="en-US"/>
        </w:rPr>
      </w:pPr>
      <w:r w:rsidRPr="000A0A5F">
        <w:rPr>
          <w:lang w:val="en-US"/>
        </w:rPr>
        <w:t xml:space="preserve">          $ref: 'TS29122_CommonData.yaml#/components/responses/503'</w:t>
      </w:r>
    </w:p>
    <w:p w:rsidR="00CB0DD7" w:rsidRPr="000A0A5F" w:rsidRDefault="00CB0DD7">
      <w:pPr>
        <w:pStyle w:val="PL"/>
        <w:rPr>
          <w:lang w:val="en-US"/>
        </w:rPr>
      </w:pPr>
      <w:r w:rsidRPr="000A0A5F">
        <w:rPr>
          <w:lang w:val="en-US"/>
        </w:rPr>
        <w:t xml:space="preserve">        default:</w:t>
      </w:r>
    </w:p>
    <w:p w:rsidR="00CB0DD7" w:rsidRPr="000A0A5F" w:rsidRDefault="00CB0DD7">
      <w:pPr>
        <w:pStyle w:val="PL"/>
        <w:rPr>
          <w:lang w:val="en-US"/>
        </w:rPr>
      </w:pPr>
      <w:r w:rsidRPr="000A0A5F">
        <w:rPr>
          <w:lang w:val="en-US"/>
        </w:rPr>
        <w:t xml:space="preserve">          $ref: 'TS29122_CommonData.yaml#/components/responses/default'</w:t>
      </w:r>
    </w:p>
    <w:p w:rsidR="00CB0DD7" w:rsidRPr="000A0A5F" w:rsidRDefault="00CB0DD7">
      <w:pPr>
        <w:pStyle w:val="PL"/>
      </w:pPr>
      <w:r w:rsidRPr="000A0A5F">
        <w:t xml:space="preserve">      callbacks:</w:t>
      </w:r>
    </w:p>
    <w:p w:rsidR="00CB0DD7" w:rsidRPr="000A0A5F" w:rsidRDefault="00CB0DD7">
      <w:pPr>
        <w:pStyle w:val="PL"/>
      </w:pPr>
      <w:r w:rsidRPr="000A0A5F">
        <w:t xml:space="preserve">        niddNotifications:</w:t>
      </w:r>
    </w:p>
    <w:p w:rsidR="00CB0DD7" w:rsidRPr="000A0A5F" w:rsidRDefault="00CB0DD7">
      <w:pPr>
        <w:pStyle w:val="PL"/>
      </w:pPr>
      <w:r w:rsidRPr="000A0A5F">
        <w:t xml:space="preserve">          '{$request.body#/notificationDestination}':</w:t>
      </w:r>
    </w:p>
    <w:p w:rsidR="00CB0DD7" w:rsidRPr="000A0A5F" w:rsidRDefault="00CB0DD7">
      <w:pPr>
        <w:pStyle w:val="PL"/>
      </w:pPr>
      <w:r w:rsidRPr="000A0A5F">
        <w:t xml:space="preserve">            post:</w:t>
      </w:r>
    </w:p>
    <w:p w:rsidR="00CB0DD7" w:rsidRPr="000A0A5F" w:rsidRDefault="00CB0DD7">
      <w:pPr>
        <w:pStyle w:val="PL"/>
      </w:pPr>
      <w:r w:rsidRPr="000A0A5F">
        <w:t xml:space="preserve">              requestBody:</w:t>
      </w:r>
    </w:p>
    <w:p w:rsidR="00A6789E" w:rsidRPr="000A0A5F" w:rsidRDefault="00CB0DD7">
      <w:pPr>
        <w:pStyle w:val="PL"/>
      </w:pPr>
      <w:r w:rsidRPr="000A0A5F">
        <w:t xml:space="preserve">                description: </w:t>
      </w:r>
      <w:r w:rsidR="00A6789E" w:rsidRPr="000A0A5F">
        <w:t>&gt;</w:t>
      </w:r>
    </w:p>
    <w:p w:rsidR="00CB0DD7" w:rsidRPr="000A0A5F" w:rsidRDefault="00A6789E">
      <w:pPr>
        <w:pStyle w:val="PL"/>
      </w:pPr>
      <w:r w:rsidRPr="000A0A5F">
        <w:t xml:space="preserve">                  </w:t>
      </w:r>
      <w:r w:rsidR="00CB0DD7" w:rsidRPr="000A0A5F">
        <w:t xml:space="preserve">Notification for NIDD configuration status, MO NIDD, MT NIDD delivery report. </w:t>
      </w:r>
    </w:p>
    <w:p w:rsidR="00CB0DD7" w:rsidRPr="000A0A5F" w:rsidRDefault="00CB0DD7">
      <w:pPr>
        <w:pStyle w:val="PL"/>
      </w:pPr>
      <w:r w:rsidRPr="000A0A5F">
        <w:t xml:space="preserve">                required: true</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application/json:</w:t>
      </w:r>
    </w:p>
    <w:p w:rsidR="00CB0DD7" w:rsidRPr="000A0A5F" w:rsidRDefault="00CB0DD7">
      <w:pPr>
        <w:pStyle w:val="PL"/>
      </w:pPr>
      <w:r w:rsidRPr="000A0A5F">
        <w:t xml:space="preserve">                    schema:</w:t>
      </w:r>
    </w:p>
    <w:p w:rsidR="00CB0DD7" w:rsidRPr="000A0A5F" w:rsidRDefault="00CB0DD7">
      <w:pPr>
        <w:pStyle w:val="PL"/>
      </w:pPr>
      <w:r w:rsidRPr="000A0A5F">
        <w:t xml:space="preserve">                      oneOf:</w:t>
      </w:r>
    </w:p>
    <w:p w:rsidR="00CB0DD7" w:rsidRPr="000A0A5F" w:rsidRDefault="00CB0DD7">
      <w:pPr>
        <w:pStyle w:val="PL"/>
      </w:pPr>
      <w:r w:rsidRPr="000A0A5F">
        <w:t xml:space="preserve">                      - $ref: '#/components/schemas/NiddConfigurationStatusNotification'</w:t>
      </w:r>
    </w:p>
    <w:p w:rsidR="00CB0DD7" w:rsidRPr="000A0A5F" w:rsidRDefault="00CB0DD7">
      <w:pPr>
        <w:pStyle w:val="PL"/>
      </w:pPr>
      <w:r w:rsidRPr="000A0A5F">
        <w:t xml:space="preserve">                      - $ref: '#/components/schemas/NiddUplinkDataNotification'</w:t>
      </w:r>
    </w:p>
    <w:p w:rsidR="00CB0DD7" w:rsidRPr="000A0A5F" w:rsidRDefault="00CB0DD7">
      <w:pPr>
        <w:pStyle w:val="PL"/>
      </w:pPr>
      <w:r w:rsidRPr="000A0A5F">
        <w:t xml:space="preserve">                      - $ref: '#/components/schemas/NiddDownlinkDataDeliveryStatusNotification'</w:t>
      </w:r>
    </w:p>
    <w:p w:rsidR="00CB0DD7" w:rsidRPr="000A0A5F" w:rsidRDefault="00CB0DD7">
      <w:pPr>
        <w:pStyle w:val="PL"/>
      </w:pPr>
      <w:r w:rsidRPr="000A0A5F">
        <w:t xml:space="preserve">                      - $ref: '#/components/schemas/GmdNiddDownlinkDataDeliveryNotification'</w:t>
      </w:r>
    </w:p>
    <w:p w:rsidR="00CB0DD7" w:rsidRPr="000A0A5F" w:rsidRDefault="00CB0DD7">
      <w:pPr>
        <w:pStyle w:val="PL"/>
      </w:pPr>
      <w:r w:rsidRPr="000A0A5F">
        <w:t xml:space="preserve">                      - $ref: '#/components/schemas/ManagePortNotification'</w:t>
      </w:r>
    </w:p>
    <w:p w:rsidR="00CB0DD7" w:rsidRPr="000A0A5F" w:rsidRDefault="00CB0DD7">
      <w:pPr>
        <w:pStyle w:val="PL"/>
      </w:pPr>
      <w:r w:rsidRPr="000A0A5F">
        <w:t xml:space="preserve">              responses:</w:t>
      </w:r>
    </w:p>
    <w:p w:rsidR="00CB0DD7" w:rsidRPr="000A0A5F" w:rsidRDefault="00CB0DD7">
      <w:pPr>
        <w:pStyle w:val="PL"/>
      </w:pPr>
      <w:r w:rsidRPr="000A0A5F">
        <w:t xml:space="preserve">                '204':</w:t>
      </w:r>
    </w:p>
    <w:p w:rsidR="00CB0DD7" w:rsidRPr="000A0A5F" w:rsidRDefault="00CB0DD7">
      <w:pPr>
        <w:pStyle w:val="PL"/>
      </w:pPr>
      <w:r w:rsidRPr="000A0A5F">
        <w:t xml:space="preserve">                  description: Expected response to a successful callback processing without a body</w:t>
      </w:r>
    </w:p>
    <w:p w:rsidR="00CB0DD7" w:rsidRPr="000A0A5F" w:rsidRDefault="00CB0DD7">
      <w:pPr>
        <w:pStyle w:val="PL"/>
      </w:pPr>
      <w:r w:rsidRPr="000A0A5F">
        <w:t xml:space="preserve">                '200':</w:t>
      </w:r>
    </w:p>
    <w:p w:rsidR="00CB0DD7" w:rsidRPr="000A0A5F" w:rsidRDefault="00CB0DD7">
      <w:pPr>
        <w:pStyle w:val="PL"/>
      </w:pPr>
      <w:r w:rsidRPr="000A0A5F">
        <w:t xml:space="preserve">                  description: Expected response to a successful callback processing with a body</w:t>
      </w:r>
    </w:p>
    <w:p w:rsidR="00CB0DD7" w:rsidRPr="000A0A5F" w:rsidRDefault="00CB0DD7">
      <w:pPr>
        <w:pStyle w:val="PL"/>
        <w:rPr>
          <w:lang w:val="en-US"/>
        </w:rPr>
      </w:pPr>
      <w:r w:rsidRPr="000A0A5F">
        <w:rPr>
          <w:lang w:val="en-US"/>
        </w:rPr>
        <w:t xml:space="preserve">                  content:</w:t>
      </w:r>
    </w:p>
    <w:p w:rsidR="00CB0DD7" w:rsidRPr="000A0A5F" w:rsidRDefault="00CB0DD7">
      <w:pPr>
        <w:pStyle w:val="PL"/>
        <w:rPr>
          <w:lang w:val="en-US"/>
        </w:rPr>
      </w:pPr>
      <w:r w:rsidRPr="000A0A5F">
        <w:rPr>
          <w:lang w:val="en-US"/>
        </w:rPr>
        <w:t xml:space="preserve">                    application/json:</w:t>
      </w:r>
    </w:p>
    <w:p w:rsidR="00CB0DD7" w:rsidRPr="000A0A5F" w:rsidRDefault="00CB0DD7">
      <w:pPr>
        <w:pStyle w:val="PL"/>
        <w:rPr>
          <w:lang w:val="en-US"/>
        </w:rPr>
      </w:pPr>
      <w:r w:rsidRPr="000A0A5F">
        <w:rPr>
          <w:lang w:val="en-US"/>
        </w:rPr>
        <w:t xml:space="preserve">                      schema:</w:t>
      </w:r>
    </w:p>
    <w:p w:rsidR="00CB0DD7" w:rsidRPr="000A0A5F" w:rsidRDefault="00CB0DD7">
      <w:pPr>
        <w:pStyle w:val="PL"/>
        <w:rPr>
          <w:lang w:val="en-US"/>
        </w:rPr>
      </w:pPr>
      <w:r w:rsidRPr="000A0A5F">
        <w:rPr>
          <w:lang w:val="en-US"/>
        </w:rPr>
        <w:t xml:space="preserve">                        $ref: '</w:t>
      </w:r>
      <w:r w:rsidRPr="000A0A5F">
        <w:t>TS29122_CommonData.yaml</w:t>
      </w:r>
      <w:r w:rsidRPr="000A0A5F">
        <w:rPr>
          <w:lang w:val="en-US"/>
        </w:rPr>
        <w:t>#/components/schemas/Acknowledgement'</w:t>
      </w:r>
    </w:p>
    <w:p w:rsidR="00CB0DD7" w:rsidRPr="000A0A5F" w:rsidRDefault="00CB0DD7">
      <w:pPr>
        <w:pStyle w:val="PL"/>
      </w:pPr>
      <w:r w:rsidRPr="000A0A5F">
        <w:t xml:space="preserve">                '307':</w:t>
      </w:r>
    </w:p>
    <w:p w:rsidR="00CB0DD7" w:rsidRPr="000A0A5F" w:rsidRDefault="00CB0DD7">
      <w:pPr>
        <w:pStyle w:val="PL"/>
      </w:pPr>
      <w:r w:rsidRPr="000A0A5F">
        <w:t xml:space="preserve">                  $ref: 'TS29122_CommonData.yaml#/components/responses/307'</w:t>
      </w:r>
    </w:p>
    <w:p w:rsidR="00CB0DD7" w:rsidRPr="000A0A5F" w:rsidRDefault="00CB0DD7">
      <w:pPr>
        <w:pStyle w:val="PL"/>
      </w:pPr>
      <w:r w:rsidRPr="000A0A5F">
        <w:t xml:space="preserve">                '308':</w:t>
      </w:r>
    </w:p>
    <w:p w:rsidR="00CB0DD7" w:rsidRPr="000A0A5F" w:rsidRDefault="00CB0DD7">
      <w:pPr>
        <w:pStyle w:val="PL"/>
      </w:pPr>
      <w:r w:rsidRPr="000A0A5F">
        <w:t xml:space="preserve">                  $ref: 'TS29122_CommonData.yaml#/components/responses/308'</w:t>
      </w:r>
    </w:p>
    <w:p w:rsidR="00CB0DD7" w:rsidRPr="000A0A5F" w:rsidRDefault="00CB0DD7">
      <w:pPr>
        <w:pStyle w:val="PL"/>
        <w:rPr>
          <w:lang w:val="en-US"/>
        </w:rPr>
      </w:pPr>
      <w:r w:rsidRPr="000A0A5F">
        <w:rPr>
          <w:lang w:val="en-US"/>
        </w:rPr>
        <w:t xml:space="preserve">                '400':</w:t>
      </w:r>
    </w:p>
    <w:p w:rsidR="00CB0DD7" w:rsidRPr="000A0A5F" w:rsidRDefault="00CB0DD7">
      <w:pPr>
        <w:pStyle w:val="PL"/>
        <w:rPr>
          <w:lang w:val="en-US"/>
        </w:rPr>
      </w:pPr>
      <w:r w:rsidRPr="000A0A5F">
        <w:rPr>
          <w:lang w:val="en-US"/>
        </w:rPr>
        <w:t xml:space="preserve">                  $ref: 'TS29122_CommonData.yaml#/components/responses/400'</w:t>
      </w:r>
    </w:p>
    <w:p w:rsidR="00CB0DD7" w:rsidRPr="000A0A5F" w:rsidRDefault="00CB0DD7">
      <w:pPr>
        <w:pStyle w:val="PL"/>
        <w:rPr>
          <w:lang w:val="en-US"/>
        </w:rPr>
      </w:pPr>
      <w:r w:rsidRPr="000A0A5F">
        <w:rPr>
          <w:lang w:val="en-US"/>
        </w:rPr>
        <w:t xml:space="preserve">                '401':</w:t>
      </w:r>
    </w:p>
    <w:p w:rsidR="00CB0DD7" w:rsidRPr="000A0A5F" w:rsidRDefault="00CB0DD7">
      <w:pPr>
        <w:pStyle w:val="PL"/>
        <w:rPr>
          <w:lang w:val="en-US"/>
        </w:rPr>
      </w:pPr>
      <w:r w:rsidRPr="000A0A5F">
        <w:rPr>
          <w:lang w:val="en-US"/>
        </w:rPr>
        <w:t xml:space="preserve">                  $ref: 'TS29122_CommonData.yaml#/components/responses/401'</w:t>
      </w:r>
    </w:p>
    <w:p w:rsidR="00CB0DD7" w:rsidRPr="000A0A5F" w:rsidRDefault="00CB0DD7">
      <w:pPr>
        <w:pStyle w:val="PL"/>
        <w:rPr>
          <w:lang w:val="en-US"/>
        </w:rPr>
      </w:pPr>
      <w:r w:rsidRPr="000A0A5F">
        <w:rPr>
          <w:lang w:val="en-US"/>
        </w:rPr>
        <w:t xml:space="preserve">                '403':</w:t>
      </w:r>
    </w:p>
    <w:p w:rsidR="00CB0DD7" w:rsidRPr="000A0A5F" w:rsidRDefault="00CB0DD7">
      <w:pPr>
        <w:pStyle w:val="PL"/>
        <w:rPr>
          <w:lang w:val="en-US"/>
        </w:rPr>
      </w:pPr>
      <w:r w:rsidRPr="000A0A5F">
        <w:rPr>
          <w:lang w:val="en-US"/>
        </w:rPr>
        <w:t xml:space="preserve">                  $ref: 'TS29122_CommonData.yaml#/components/responses/403'</w:t>
      </w:r>
    </w:p>
    <w:p w:rsidR="00CB0DD7" w:rsidRPr="000A0A5F" w:rsidRDefault="00CB0DD7">
      <w:pPr>
        <w:pStyle w:val="PL"/>
        <w:rPr>
          <w:lang w:val="en-US"/>
        </w:rPr>
      </w:pPr>
      <w:r w:rsidRPr="000A0A5F">
        <w:rPr>
          <w:lang w:val="en-US"/>
        </w:rPr>
        <w:t xml:space="preserve">                '404':</w:t>
      </w:r>
    </w:p>
    <w:p w:rsidR="00CB0DD7" w:rsidRPr="000A0A5F" w:rsidRDefault="00CB0DD7">
      <w:pPr>
        <w:pStyle w:val="PL"/>
        <w:rPr>
          <w:lang w:val="en-US"/>
        </w:rPr>
      </w:pPr>
      <w:r w:rsidRPr="000A0A5F">
        <w:rPr>
          <w:lang w:val="en-US"/>
        </w:rPr>
        <w:t xml:space="preserve">                  $ref: 'TS29122_CommonData.yaml#/components/responses/404'</w:t>
      </w:r>
    </w:p>
    <w:p w:rsidR="00CB0DD7" w:rsidRPr="000A0A5F" w:rsidRDefault="00CB0DD7">
      <w:pPr>
        <w:pStyle w:val="PL"/>
        <w:rPr>
          <w:lang w:val="en-US"/>
        </w:rPr>
      </w:pPr>
      <w:r w:rsidRPr="000A0A5F">
        <w:rPr>
          <w:lang w:val="en-US"/>
        </w:rPr>
        <w:t xml:space="preserve">                '411':</w:t>
      </w:r>
    </w:p>
    <w:p w:rsidR="00CB0DD7" w:rsidRPr="000A0A5F" w:rsidRDefault="00CB0DD7">
      <w:pPr>
        <w:pStyle w:val="PL"/>
        <w:rPr>
          <w:lang w:val="en-US"/>
        </w:rPr>
      </w:pPr>
      <w:r w:rsidRPr="000A0A5F">
        <w:rPr>
          <w:lang w:val="en-US"/>
        </w:rPr>
        <w:t xml:space="preserve">                  $ref: 'TS29122_CommonData.yaml#/components/responses/411'</w:t>
      </w:r>
    </w:p>
    <w:p w:rsidR="00CB0DD7" w:rsidRPr="000A0A5F" w:rsidRDefault="00CB0DD7">
      <w:pPr>
        <w:pStyle w:val="PL"/>
        <w:rPr>
          <w:lang w:val="en-US"/>
        </w:rPr>
      </w:pPr>
      <w:r w:rsidRPr="000A0A5F">
        <w:rPr>
          <w:lang w:val="en-US"/>
        </w:rPr>
        <w:t xml:space="preserve">                '413':</w:t>
      </w:r>
    </w:p>
    <w:p w:rsidR="00CB0DD7" w:rsidRPr="000A0A5F" w:rsidRDefault="00CB0DD7">
      <w:pPr>
        <w:pStyle w:val="PL"/>
        <w:rPr>
          <w:lang w:val="en-US"/>
        </w:rPr>
      </w:pPr>
      <w:r w:rsidRPr="000A0A5F">
        <w:rPr>
          <w:lang w:val="en-US"/>
        </w:rPr>
        <w:t xml:space="preserve">                  $ref: 'TS29122_CommonData.yaml#/components/responses/413'</w:t>
      </w:r>
    </w:p>
    <w:p w:rsidR="00CB0DD7" w:rsidRPr="000A0A5F" w:rsidRDefault="00CB0DD7">
      <w:pPr>
        <w:pStyle w:val="PL"/>
        <w:rPr>
          <w:lang w:val="en-US"/>
        </w:rPr>
      </w:pPr>
      <w:r w:rsidRPr="000A0A5F">
        <w:rPr>
          <w:lang w:val="en-US"/>
        </w:rPr>
        <w:t xml:space="preserve">                '415':</w:t>
      </w:r>
    </w:p>
    <w:p w:rsidR="00CB0DD7" w:rsidRPr="000A0A5F" w:rsidRDefault="00CB0DD7">
      <w:pPr>
        <w:pStyle w:val="PL"/>
        <w:rPr>
          <w:lang w:val="en-US"/>
        </w:rPr>
      </w:pPr>
      <w:r w:rsidRPr="000A0A5F">
        <w:rPr>
          <w:lang w:val="en-US"/>
        </w:rPr>
        <w:t xml:space="preserve">                  $ref: 'TS29122_CommonData.yaml#/components/responses/415'</w:t>
      </w:r>
    </w:p>
    <w:p w:rsidR="00CB0DD7" w:rsidRPr="000A0A5F" w:rsidRDefault="00CB0DD7">
      <w:pPr>
        <w:pStyle w:val="PL"/>
        <w:rPr>
          <w:lang w:val="en-US"/>
        </w:rPr>
      </w:pPr>
      <w:r w:rsidRPr="000A0A5F">
        <w:rPr>
          <w:lang w:val="en-US"/>
        </w:rPr>
        <w:t xml:space="preserve">                '429':</w:t>
      </w:r>
    </w:p>
    <w:p w:rsidR="00CB0DD7" w:rsidRPr="000A0A5F" w:rsidRDefault="00CB0DD7">
      <w:pPr>
        <w:pStyle w:val="PL"/>
        <w:rPr>
          <w:lang w:val="en-US"/>
        </w:rPr>
      </w:pPr>
      <w:r w:rsidRPr="000A0A5F">
        <w:rPr>
          <w:lang w:val="en-US"/>
        </w:rPr>
        <w:t xml:space="preserve">                  $ref: 'TS29122_CommonData.yaml#/components/responses/429'</w:t>
      </w:r>
    </w:p>
    <w:p w:rsidR="00CB0DD7" w:rsidRPr="000A0A5F" w:rsidRDefault="00CB0DD7">
      <w:pPr>
        <w:pStyle w:val="PL"/>
        <w:rPr>
          <w:lang w:val="en-US"/>
        </w:rPr>
      </w:pPr>
      <w:r w:rsidRPr="000A0A5F">
        <w:rPr>
          <w:lang w:val="en-US"/>
        </w:rPr>
        <w:t xml:space="preserve">                '500':</w:t>
      </w:r>
    </w:p>
    <w:p w:rsidR="00CB0DD7" w:rsidRPr="000A0A5F" w:rsidRDefault="00CB0DD7">
      <w:pPr>
        <w:pStyle w:val="PL"/>
        <w:rPr>
          <w:lang w:val="en-US"/>
        </w:rPr>
      </w:pPr>
      <w:r w:rsidRPr="000A0A5F">
        <w:rPr>
          <w:lang w:val="en-US"/>
        </w:rPr>
        <w:t xml:space="preserve">                  $ref: 'TS29122_CommonData.yaml#/components/responses/500'</w:t>
      </w:r>
    </w:p>
    <w:p w:rsidR="00CB0DD7" w:rsidRPr="000A0A5F" w:rsidRDefault="00CB0DD7">
      <w:pPr>
        <w:pStyle w:val="PL"/>
        <w:rPr>
          <w:lang w:val="en-US"/>
        </w:rPr>
      </w:pPr>
      <w:r w:rsidRPr="000A0A5F">
        <w:rPr>
          <w:lang w:val="en-US"/>
        </w:rPr>
        <w:t xml:space="preserve">                '503':</w:t>
      </w:r>
    </w:p>
    <w:p w:rsidR="00CB0DD7" w:rsidRPr="000A0A5F" w:rsidRDefault="00CB0DD7">
      <w:pPr>
        <w:pStyle w:val="PL"/>
        <w:rPr>
          <w:lang w:val="en-US"/>
        </w:rPr>
      </w:pPr>
      <w:r w:rsidRPr="000A0A5F">
        <w:rPr>
          <w:lang w:val="en-US"/>
        </w:rPr>
        <w:t xml:space="preserve">                  $ref: 'TS29122_CommonData.yaml#/components/responses/503'</w:t>
      </w:r>
    </w:p>
    <w:p w:rsidR="00CB0DD7" w:rsidRPr="000A0A5F" w:rsidRDefault="00CB0DD7">
      <w:pPr>
        <w:pStyle w:val="PL"/>
        <w:rPr>
          <w:lang w:val="en-US"/>
        </w:rPr>
      </w:pPr>
      <w:r w:rsidRPr="000A0A5F">
        <w:rPr>
          <w:lang w:val="en-US"/>
        </w:rPr>
        <w:t xml:space="preserve">                default:</w:t>
      </w:r>
    </w:p>
    <w:p w:rsidR="00CB0DD7" w:rsidRPr="000A0A5F" w:rsidRDefault="00CB0DD7">
      <w:pPr>
        <w:pStyle w:val="PL"/>
        <w:rPr>
          <w:lang w:val="en-US"/>
        </w:rPr>
      </w:pPr>
      <w:r w:rsidRPr="000A0A5F">
        <w:rPr>
          <w:lang w:val="en-US"/>
        </w:rPr>
        <w:t xml:space="preserve">                  $ref: 'TS29122_CommonData.yaml#/components/responses/default'</w:t>
      </w:r>
    </w:p>
    <w:p w:rsidR="00CB0DD7" w:rsidRPr="000A0A5F" w:rsidRDefault="00CB0DD7">
      <w:pPr>
        <w:pStyle w:val="PL"/>
        <w:rPr>
          <w:lang w:val="en-US"/>
        </w:rPr>
      </w:pPr>
      <w:r w:rsidRPr="000A0A5F">
        <w:rPr>
          <w:lang w:val="en-US"/>
        </w:rPr>
        <w:t xml:space="preserve">  /{scsAsId}/configurations/{configurationId}:</w:t>
      </w:r>
    </w:p>
    <w:p w:rsidR="00CB0DD7" w:rsidRPr="000A0A5F" w:rsidRDefault="00CB0DD7">
      <w:pPr>
        <w:pStyle w:val="PL"/>
        <w:rPr>
          <w:lang w:val="en-US"/>
        </w:rPr>
      </w:pPr>
      <w:r w:rsidRPr="000A0A5F">
        <w:rPr>
          <w:lang w:val="en-US"/>
        </w:rPr>
        <w:t xml:space="preserve">    parameters:</w:t>
      </w:r>
    </w:p>
    <w:p w:rsidR="00CB0DD7" w:rsidRPr="000A0A5F" w:rsidRDefault="00CB0DD7">
      <w:pPr>
        <w:pStyle w:val="PL"/>
        <w:rPr>
          <w:lang w:val="en-US"/>
        </w:rPr>
      </w:pPr>
      <w:r w:rsidRPr="000A0A5F">
        <w:rPr>
          <w:lang w:val="en-US"/>
        </w:rPr>
        <w:t xml:space="preserve">      - name: scsAsId</w:t>
      </w:r>
    </w:p>
    <w:p w:rsidR="00CB0DD7" w:rsidRPr="000A0A5F" w:rsidRDefault="00CB0DD7">
      <w:pPr>
        <w:pStyle w:val="PL"/>
        <w:rPr>
          <w:lang w:val="en-US"/>
        </w:rPr>
      </w:pPr>
      <w:r w:rsidRPr="000A0A5F">
        <w:rPr>
          <w:lang w:val="en-US"/>
        </w:rPr>
        <w:t xml:space="preserve">        description: String identifying the SCS/AS.</w:t>
      </w:r>
    </w:p>
    <w:p w:rsidR="00CB0DD7" w:rsidRPr="000A0A5F" w:rsidRDefault="00CB0DD7">
      <w:pPr>
        <w:pStyle w:val="PL"/>
        <w:rPr>
          <w:lang w:val="en-US"/>
        </w:rPr>
      </w:pPr>
      <w:r w:rsidRPr="000A0A5F">
        <w:rPr>
          <w:lang w:val="en-US"/>
        </w:rPr>
        <w:t xml:space="preserve">        in: path</w:t>
      </w:r>
    </w:p>
    <w:p w:rsidR="00CB0DD7" w:rsidRPr="000A0A5F" w:rsidRDefault="00CB0DD7">
      <w:pPr>
        <w:pStyle w:val="PL"/>
        <w:rPr>
          <w:lang w:val="en-US"/>
        </w:rPr>
      </w:pPr>
      <w:r w:rsidRPr="000A0A5F">
        <w:rPr>
          <w:lang w:val="en-US"/>
        </w:rPr>
        <w:t xml:space="preserve">        required: true</w:t>
      </w:r>
    </w:p>
    <w:p w:rsidR="00CB0DD7" w:rsidRPr="000A0A5F" w:rsidRDefault="00CB0DD7">
      <w:pPr>
        <w:pStyle w:val="PL"/>
        <w:rPr>
          <w:lang w:val="en-US"/>
        </w:rPr>
      </w:pPr>
      <w:r w:rsidRPr="000A0A5F">
        <w:rPr>
          <w:lang w:val="en-US"/>
        </w:rPr>
        <w:t xml:space="preserve">        schema:</w:t>
      </w:r>
    </w:p>
    <w:p w:rsidR="00CB0DD7" w:rsidRPr="000A0A5F" w:rsidRDefault="00CB0DD7">
      <w:pPr>
        <w:pStyle w:val="PL"/>
        <w:rPr>
          <w:lang w:val="en-US"/>
        </w:rPr>
      </w:pPr>
      <w:r w:rsidRPr="000A0A5F">
        <w:rPr>
          <w:lang w:val="en-US"/>
        </w:rPr>
        <w:t xml:space="preserve">          type: string</w:t>
      </w:r>
    </w:p>
    <w:p w:rsidR="00CB0DD7" w:rsidRPr="000A0A5F" w:rsidRDefault="00CB0DD7">
      <w:pPr>
        <w:pStyle w:val="PL"/>
        <w:rPr>
          <w:lang w:val="en-US"/>
        </w:rPr>
      </w:pPr>
      <w:r w:rsidRPr="000A0A5F">
        <w:rPr>
          <w:lang w:val="en-US"/>
        </w:rPr>
        <w:t xml:space="preserve">      - name: configurationId</w:t>
      </w:r>
    </w:p>
    <w:p w:rsidR="00CB0DD7" w:rsidRPr="000A0A5F" w:rsidRDefault="00CB0DD7">
      <w:pPr>
        <w:pStyle w:val="PL"/>
        <w:rPr>
          <w:lang w:val="en-US"/>
        </w:rPr>
      </w:pPr>
      <w:r w:rsidRPr="000A0A5F">
        <w:rPr>
          <w:lang w:val="en-US"/>
        </w:rPr>
        <w:t xml:space="preserve">        description: String identifying the individual NIDD configuration resource in the SCEF.</w:t>
      </w:r>
    </w:p>
    <w:p w:rsidR="00CB0DD7" w:rsidRPr="000A0A5F" w:rsidRDefault="00CB0DD7">
      <w:pPr>
        <w:pStyle w:val="PL"/>
        <w:rPr>
          <w:lang w:val="en-US"/>
        </w:rPr>
      </w:pPr>
      <w:r w:rsidRPr="000A0A5F">
        <w:rPr>
          <w:lang w:val="en-US"/>
        </w:rPr>
        <w:t xml:space="preserve">        in: path</w:t>
      </w:r>
    </w:p>
    <w:p w:rsidR="00CB0DD7" w:rsidRPr="000A0A5F" w:rsidRDefault="00CB0DD7">
      <w:pPr>
        <w:pStyle w:val="PL"/>
        <w:rPr>
          <w:lang w:val="en-US"/>
        </w:rPr>
      </w:pPr>
      <w:r w:rsidRPr="000A0A5F">
        <w:rPr>
          <w:lang w:val="en-US"/>
        </w:rPr>
        <w:t xml:space="preserve">        required: true</w:t>
      </w:r>
    </w:p>
    <w:p w:rsidR="00CB0DD7" w:rsidRPr="000A0A5F" w:rsidRDefault="00CB0DD7">
      <w:pPr>
        <w:pStyle w:val="PL"/>
        <w:rPr>
          <w:lang w:val="en-US"/>
        </w:rPr>
      </w:pPr>
      <w:r w:rsidRPr="000A0A5F">
        <w:rPr>
          <w:lang w:val="en-US"/>
        </w:rPr>
        <w:t xml:space="preserve">        schema:</w:t>
      </w:r>
    </w:p>
    <w:p w:rsidR="00CB0DD7" w:rsidRPr="000A0A5F" w:rsidRDefault="00CB0DD7">
      <w:pPr>
        <w:pStyle w:val="PL"/>
        <w:rPr>
          <w:lang w:val="en-US"/>
        </w:rPr>
      </w:pPr>
      <w:r w:rsidRPr="000A0A5F">
        <w:rPr>
          <w:lang w:val="en-US"/>
        </w:rPr>
        <w:t xml:space="preserve">          type: string</w:t>
      </w:r>
    </w:p>
    <w:p w:rsidR="00CB0DD7" w:rsidRPr="000A0A5F" w:rsidRDefault="00CB0DD7">
      <w:pPr>
        <w:pStyle w:val="PL"/>
        <w:rPr>
          <w:lang w:val="en-US"/>
        </w:rPr>
      </w:pPr>
      <w:r w:rsidRPr="000A0A5F">
        <w:rPr>
          <w:lang w:val="en-US"/>
        </w:rPr>
        <w:t xml:space="preserve">    get:</w:t>
      </w:r>
    </w:p>
    <w:p w:rsidR="00E555E6" w:rsidRPr="000A0A5F" w:rsidRDefault="00E555E6" w:rsidP="00E555E6">
      <w:pPr>
        <w:pStyle w:val="PL"/>
      </w:pPr>
      <w:r w:rsidRPr="000A0A5F">
        <w:t xml:space="preserve">      summary: Read a</w:t>
      </w:r>
      <w:r w:rsidRPr="000A0A5F">
        <w:rPr>
          <w:rFonts w:hint="eastAsia"/>
          <w:lang w:eastAsia="zh-CN"/>
        </w:rPr>
        <w:t xml:space="preserve">n NIDD configuration </w:t>
      </w:r>
      <w:r w:rsidRPr="000A0A5F">
        <w:rPr>
          <w:lang w:eastAsia="zh-CN"/>
        </w:rPr>
        <w:t>resource.</w:t>
      </w:r>
    </w:p>
    <w:p w:rsidR="00E555E6" w:rsidRPr="000A0A5F" w:rsidRDefault="00E555E6" w:rsidP="00E555E6">
      <w:pPr>
        <w:pStyle w:val="PL"/>
      </w:pPr>
      <w:r w:rsidRPr="000A0A5F">
        <w:t xml:space="preserve">      </w:t>
      </w:r>
      <w:r w:rsidRPr="000A0A5F">
        <w:rPr>
          <w:rFonts w:cs="Courier New"/>
          <w:szCs w:val="16"/>
        </w:rPr>
        <w:t>operationId: FetchInd</w:t>
      </w:r>
      <w:r w:rsidRPr="000A0A5F">
        <w:t>NIDD</w:t>
      </w:r>
      <w:r w:rsidRPr="000A0A5F">
        <w:rPr>
          <w:lang w:eastAsia="zh-CN"/>
        </w:rPr>
        <w:t>C</w:t>
      </w:r>
      <w:r w:rsidRPr="000A0A5F">
        <w:rPr>
          <w:rFonts w:hint="eastAsia"/>
          <w:lang w:eastAsia="zh-CN"/>
        </w:rPr>
        <w:t>onfiguration</w:t>
      </w:r>
    </w:p>
    <w:p w:rsidR="00E555E6" w:rsidRPr="000A0A5F" w:rsidRDefault="00E555E6" w:rsidP="00E555E6">
      <w:pPr>
        <w:pStyle w:val="PL"/>
      </w:pPr>
      <w:r w:rsidRPr="000A0A5F">
        <w:t xml:space="preserve">      tags:</w:t>
      </w:r>
    </w:p>
    <w:p w:rsidR="00E555E6" w:rsidRPr="000A0A5F" w:rsidRDefault="00E555E6" w:rsidP="00E555E6">
      <w:pPr>
        <w:pStyle w:val="PL"/>
      </w:pPr>
      <w:r w:rsidRPr="000A0A5F">
        <w:t xml:space="preserve">        - Individual NIDD </w:t>
      </w:r>
      <w:r w:rsidRPr="000A0A5F">
        <w:rPr>
          <w:rFonts w:hint="eastAsia"/>
          <w:lang w:eastAsia="zh-CN"/>
        </w:rPr>
        <w:t>configuration</w:t>
      </w:r>
    </w:p>
    <w:p w:rsidR="00CB0DD7" w:rsidRPr="000A0A5F" w:rsidRDefault="00CB0DD7">
      <w:pPr>
        <w:pStyle w:val="PL"/>
        <w:rPr>
          <w:lang w:val="en-US"/>
        </w:rPr>
      </w:pPr>
      <w:r w:rsidRPr="000A0A5F">
        <w:rPr>
          <w:lang w:val="en-US"/>
        </w:rPr>
        <w:t xml:space="preserve">      responses:</w:t>
      </w:r>
    </w:p>
    <w:p w:rsidR="00CB0DD7" w:rsidRPr="000A0A5F" w:rsidRDefault="00CB0DD7">
      <w:pPr>
        <w:pStyle w:val="PL"/>
        <w:rPr>
          <w:lang w:val="en-US"/>
        </w:rPr>
      </w:pPr>
      <w:r w:rsidRPr="000A0A5F">
        <w:rPr>
          <w:lang w:val="en-US"/>
        </w:rPr>
        <w:t xml:space="preserve">        '200':</w:t>
      </w:r>
    </w:p>
    <w:p w:rsidR="00CB0DD7" w:rsidRPr="000A0A5F" w:rsidRDefault="00CB0DD7">
      <w:pPr>
        <w:pStyle w:val="PL"/>
        <w:rPr>
          <w:lang w:val="en-US"/>
        </w:rPr>
      </w:pPr>
      <w:r w:rsidRPr="000A0A5F">
        <w:rPr>
          <w:lang w:val="en-US"/>
        </w:rPr>
        <w:t xml:space="preserve">          description: The individual NIDD configuration is successfully retrieved.</w:t>
      </w:r>
    </w:p>
    <w:p w:rsidR="00CB0DD7" w:rsidRPr="000A0A5F" w:rsidRDefault="00CB0DD7">
      <w:pPr>
        <w:pStyle w:val="PL"/>
        <w:rPr>
          <w:lang w:val="en-US"/>
        </w:rPr>
      </w:pPr>
      <w:r w:rsidRPr="000A0A5F">
        <w:rPr>
          <w:lang w:val="en-US"/>
        </w:rPr>
        <w:t xml:space="preserve">          content:</w:t>
      </w:r>
    </w:p>
    <w:p w:rsidR="00CB0DD7" w:rsidRPr="000A0A5F" w:rsidRDefault="00CB0DD7">
      <w:pPr>
        <w:pStyle w:val="PL"/>
        <w:rPr>
          <w:lang w:val="en-US"/>
        </w:rPr>
      </w:pPr>
      <w:r w:rsidRPr="000A0A5F">
        <w:rPr>
          <w:lang w:val="en-US"/>
        </w:rPr>
        <w:t xml:space="preserve">            application/json:</w:t>
      </w:r>
    </w:p>
    <w:p w:rsidR="00CB0DD7" w:rsidRPr="000A0A5F" w:rsidRDefault="00CB0DD7">
      <w:pPr>
        <w:pStyle w:val="PL"/>
        <w:rPr>
          <w:lang w:val="en-US"/>
        </w:rPr>
      </w:pPr>
      <w:r w:rsidRPr="000A0A5F">
        <w:rPr>
          <w:lang w:val="en-US"/>
        </w:rPr>
        <w:t xml:space="preserve">              schema:</w:t>
      </w:r>
    </w:p>
    <w:p w:rsidR="00CB0DD7" w:rsidRPr="000A0A5F" w:rsidRDefault="00CB0DD7">
      <w:pPr>
        <w:pStyle w:val="PL"/>
        <w:rPr>
          <w:lang w:val="en-US"/>
        </w:rPr>
      </w:pPr>
      <w:r w:rsidRPr="000A0A5F">
        <w:rPr>
          <w:lang w:val="en-US"/>
        </w:rPr>
        <w:t xml:space="preserve">                $ref: '#/components/schemas/NiddConfiguration'</w:t>
      </w:r>
    </w:p>
    <w:p w:rsidR="00CB0DD7" w:rsidRPr="000A0A5F" w:rsidRDefault="00CB0DD7">
      <w:pPr>
        <w:pStyle w:val="PL"/>
      </w:pPr>
      <w:r w:rsidRPr="000A0A5F">
        <w:t xml:space="preserve">        '307':</w:t>
      </w:r>
    </w:p>
    <w:p w:rsidR="00CB0DD7" w:rsidRPr="000A0A5F" w:rsidRDefault="00CB0DD7">
      <w:pPr>
        <w:pStyle w:val="PL"/>
      </w:pPr>
      <w:r w:rsidRPr="000A0A5F">
        <w:t xml:space="preserve">          $ref: 'TS29122_CommonData.yaml#/components/responses/307'</w:t>
      </w:r>
    </w:p>
    <w:p w:rsidR="00CB0DD7" w:rsidRPr="000A0A5F" w:rsidRDefault="00CB0DD7">
      <w:pPr>
        <w:pStyle w:val="PL"/>
      </w:pPr>
      <w:r w:rsidRPr="000A0A5F">
        <w:t xml:space="preserve">        '308':</w:t>
      </w:r>
    </w:p>
    <w:p w:rsidR="00CB0DD7" w:rsidRPr="000A0A5F" w:rsidRDefault="00CB0DD7">
      <w:pPr>
        <w:pStyle w:val="PL"/>
      </w:pPr>
      <w:r w:rsidRPr="000A0A5F">
        <w:t xml:space="preserve">          $ref: 'TS29122_CommonData.yaml#/components/responses/308'</w:t>
      </w:r>
    </w:p>
    <w:p w:rsidR="00CB0DD7" w:rsidRPr="000A0A5F" w:rsidRDefault="00CB0DD7">
      <w:pPr>
        <w:pStyle w:val="PL"/>
        <w:rPr>
          <w:lang w:val="en-US"/>
        </w:rPr>
      </w:pPr>
      <w:r w:rsidRPr="000A0A5F">
        <w:rPr>
          <w:lang w:val="en-US"/>
        </w:rPr>
        <w:t xml:space="preserve">        '400':</w:t>
      </w:r>
    </w:p>
    <w:p w:rsidR="00CB0DD7" w:rsidRPr="000A0A5F" w:rsidRDefault="00CB0DD7">
      <w:pPr>
        <w:pStyle w:val="PL"/>
        <w:rPr>
          <w:lang w:val="en-US"/>
        </w:rPr>
      </w:pPr>
      <w:r w:rsidRPr="000A0A5F">
        <w:rPr>
          <w:lang w:val="en-US"/>
        </w:rPr>
        <w:t xml:space="preserve">          $ref: 'TS29122_CommonData.yaml#/components/responses/400'</w:t>
      </w:r>
    </w:p>
    <w:p w:rsidR="00CB0DD7" w:rsidRPr="000A0A5F" w:rsidRDefault="00CB0DD7">
      <w:pPr>
        <w:pStyle w:val="PL"/>
        <w:rPr>
          <w:lang w:val="en-US"/>
        </w:rPr>
      </w:pPr>
      <w:r w:rsidRPr="000A0A5F">
        <w:rPr>
          <w:lang w:val="en-US"/>
        </w:rPr>
        <w:t xml:space="preserve">        '401':</w:t>
      </w:r>
    </w:p>
    <w:p w:rsidR="00CB0DD7" w:rsidRPr="000A0A5F" w:rsidRDefault="00CB0DD7">
      <w:pPr>
        <w:pStyle w:val="PL"/>
        <w:rPr>
          <w:lang w:val="en-US"/>
        </w:rPr>
      </w:pPr>
      <w:r w:rsidRPr="000A0A5F">
        <w:rPr>
          <w:lang w:val="en-US"/>
        </w:rPr>
        <w:t xml:space="preserve">          $ref: 'TS29122_CommonData.yaml#/components/responses/401'</w:t>
      </w:r>
    </w:p>
    <w:p w:rsidR="00CB0DD7" w:rsidRPr="000A0A5F" w:rsidRDefault="00CB0DD7">
      <w:pPr>
        <w:pStyle w:val="PL"/>
        <w:rPr>
          <w:lang w:val="en-US"/>
        </w:rPr>
      </w:pPr>
      <w:r w:rsidRPr="000A0A5F">
        <w:rPr>
          <w:lang w:val="en-US"/>
        </w:rPr>
        <w:t xml:space="preserve">        '403':</w:t>
      </w:r>
    </w:p>
    <w:p w:rsidR="00CB0DD7" w:rsidRPr="000A0A5F" w:rsidRDefault="00CB0DD7">
      <w:pPr>
        <w:pStyle w:val="PL"/>
        <w:rPr>
          <w:lang w:val="en-US"/>
        </w:rPr>
      </w:pPr>
      <w:r w:rsidRPr="000A0A5F">
        <w:rPr>
          <w:lang w:val="en-US"/>
        </w:rPr>
        <w:t xml:space="preserve">          $ref: 'TS29122_CommonData.yaml#/components/responses/403'</w:t>
      </w:r>
    </w:p>
    <w:p w:rsidR="00CB0DD7" w:rsidRPr="000A0A5F" w:rsidRDefault="00CB0DD7">
      <w:pPr>
        <w:pStyle w:val="PL"/>
        <w:rPr>
          <w:lang w:val="en-US"/>
        </w:rPr>
      </w:pPr>
      <w:r w:rsidRPr="000A0A5F">
        <w:rPr>
          <w:lang w:val="en-US"/>
        </w:rPr>
        <w:t xml:space="preserve">        '404':</w:t>
      </w:r>
    </w:p>
    <w:p w:rsidR="00CB0DD7" w:rsidRPr="000A0A5F" w:rsidRDefault="00CB0DD7">
      <w:pPr>
        <w:pStyle w:val="PL"/>
        <w:rPr>
          <w:lang w:val="en-US"/>
        </w:rPr>
      </w:pPr>
      <w:r w:rsidRPr="000A0A5F">
        <w:rPr>
          <w:lang w:val="en-US"/>
        </w:rPr>
        <w:t xml:space="preserve">          $ref: 'TS29122_CommonData.yaml#/components/responses/404'</w:t>
      </w:r>
    </w:p>
    <w:p w:rsidR="00CB0DD7" w:rsidRPr="000A0A5F" w:rsidRDefault="00CB0DD7">
      <w:pPr>
        <w:pStyle w:val="PL"/>
        <w:rPr>
          <w:lang w:val="en-US"/>
        </w:rPr>
      </w:pPr>
      <w:r w:rsidRPr="000A0A5F">
        <w:rPr>
          <w:lang w:val="en-US"/>
        </w:rPr>
        <w:t xml:space="preserve">        '406':</w:t>
      </w:r>
    </w:p>
    <w:p w:rsidR="00CB0DD7" w:rsidRPr="000A0A5F" w:rsidRDefault="00CB0DD7">
      <w:pPr>
        <w:pStyle w:val="PL"/>
        <w:rPr>
          <w:lang w:val="en-US"/>
        </w:rPr>
      </w:pPr>
      <w:r w:rsidRPr="000A0A5F">
        <w:rPr>
          <w:lang w:val="en-US"/>
        </w:rPr>
        <w:t xml:space="preserve">          $ref: 'TS29122_CommonData.yaml#/components/responses/406'</w:t>
      </w:r>
    </w:p>
    <w:p w:rsidR="00CB0DD7" w:rsidRPr="000A0A5F" w:rsidRDefault="00CB0DD7">
      <w:pPr>
        <w:pStyle w:val="PL"/>
        <w:rPr>
          <w:lang w:val="en-US"/>
        </w:rPr>
      </w:pPr>
      <w:r w:rsidRPr="000A0A5F">
        <w:rPr>
          <w:lang w:val="en-US"/>
        </w:rPr>
        <w:t xml:space="preserve">        '429':</w:t>
      </w:r>
    </w:p>
    <w:p w:rsidR="00CB0DD7" w:rsidRPr="000A0A5F" w:rsidRDefault="00CB0DD7">
      <w:pPr>
        <w:pStyle w:val="PL"/>
        <w:rPr>
          <w:lang w:val="en-US"/>
        </w:rPr>
      </w:pPr>
      <w:r w:rsidRPr="000A0A5F">
        <w:rPr>
          <w:lang w:val="en-US"/>
        </w:rPr>
        <w:t xml:space="preserve">          $ref: 'TS29122_CommonData.yaml#/components/responses/429'</w:t>
      </w:r>
    </w:p>
    <w:p w:rsidR="00CB0DD7" w:rsidRPr="000A0A5F" w:rsidRDefault="00CB0DD7">
      <w:pPr>
        <w:pStyle w:val="PL"/>
        <w:rPr>
          <w:lang w:val="en-US"/>
        </w:rPr>
      </w:pPr>
      <w:r w:rsidRPr="000A0A5F">
        <w:rPr>
          <w:lang w:val="en-US"/>
        </w:rPr>
        <w:t xml:space="preserve">        '500':</w:t>
      </w:r>
    </w:p>
    <w:p w:rsidR="00CB0DD7" w:rsidRPr="000A0A5F" w:rsidRDefault="00CB0DD7">
      <w:pPr>
        <w:pStyle w:val="PL"/>
        <w:rPr>
          <w:lang w:val="en-US"/>
        </w:rPr>
      </w:pPr>
      <w:r w:rsidRPr="000A0A5F">
        <w:rPr>
          <w:lang w:val="en-US"/>
        </w:rPr>
        <w:t xml:space="preserve">          $ref: 'TS29122_CommonData.yaml#/components/responses/500'</w:t>
      </w:r>
    </w:p>
    <w:p w:rsidR="00CB0DD7" w:rsidRPr="000A0A5F" w:rsidRDefault="00CB0DD7">
      <w:pPr>
        <w:pStyle w:val="PL"/>
        <w:rPr>
          <w:lang w:val="en-US"/>
        </w:rPr>
      </w:pPr>
      <w:r w:rsidRPr="000A0A5F">
        <w:rPr>
          <w:lang w:val="en-US"/>
        </w:rPr>
        <w:t xml:space="preserve">        '503':</w:t>
      </w:r>
    </w:p>
    <w:p w:rsidR="00CB0DD7" w:rsidRPr="000A0A5F" w:rsidRDefault="00CB0DD7">
      <w:pPr>
        <w:pStyle w:val="PL"/>
        <w:rPr>
          <w:lang w:val="en-US"/>
        </w:rPr>
      </w:pPr>
      <w:r w:rsidRPr="000A0A5F">
        <w:rPr>
          <w:lang w:val="en-US"/>
        </w:rPr>
        <w:t xml:space="preserve">          $ref: 'TS29122_CommonData.yaml#/components/responses/503'</w:t>
      </w:r>
    </w:p>
    <w:p w:rsidR="00CB0DD7" w:rsidRPr="000A0A5F" w:rsidRDefault="00CB0DD7">
      <w:pPr>
        <w:pStyle w:val="PL"/>
        <w:rPr>
          <w:lang w:val="en-US"/>
        </w:rPr>
      </w:pPr>
      <w:r w:rsidRPr="000A0A5F">
        <w:rPr>
          <w:lang w:val="en-US"/>
        </w:rPr>
        <w:t xml:space="preserve">        default:</w:t>
      </w:r>
    </w:p>
    <w:p w:rsidR="00CB0DD7" w:rsidRPr="000A0A5F" w:rsidRDefault="00CB0DD7">
      <w:pPr>
        <w:pStyle w:val="PL"/>
        <w:rPr>
          <w:lang w:val="en-US"/>
        </w:rPr>
      </w:pPr>
      <w:r w:rsidRPr="000A0A5F">
        <w:rPr>
          <w:lang w:val="en-US"/>
        </w:rPr>
        <w:t xml:space="preserve">          $ref: 'TS29122_CommonData.yaml#/components/responses/default'</w:t>
      </w:r>
    </w:p>
    <w:p w:rsidR="00CB0DD7" w:rsidRPr="000A0A5F" w:rsidRDefault="00CB0DD7">
      <w:pPr>
        <w:pStyle w:val="PL"/>
        <w:rPr>
          <w:lang w:val="en-US"/>
        </w:rPr>
      </w:pPr>
      <w:r w:rsidRPr="000A0A5F">
        <w:rPr>
          <w:lang w:val="en-US"/>
        </w:rPr>
        <w:t xml:space="preserve">    patch:</w:t>
      </w:r>
    </w:p>
    <w:p w:rsidR="00E555E6" w:rsidRPr="000A0A5F" w:rsidRDefault="00E555E6" w:rsidP="00E555E6">
      <w:pPr>
        <w:pStyle w:val="PL"/>
      </w:pPr>
      <w:r w:rsidRPr="000A0A5F">
        <w:t xml:space="preserve">      summary: </w:t>
      </w:r>
      <w:r w:rsidRPr="000A0A5F">
        <w:rPr>
          <w:rFonts w:hint="eastAsia"/>
          <w:lang w:eastAsia="zh-CN"/>
        </w:rPr>
        <w:t xml:space="preserve">Modify </w:t>
      </w:r>
      <w:r w:rsidRPr="000A0A5F">
        <w:t xml:space="preserve">an existing NIDD </w:t>
      </w:r>
      <w:r w:rsidRPr="000A0A5F">
        <w:rPr>
          <w:rFonts w:hint="eastAsia"/>
          <w:lang w:eastAsia="zh-CN"/>
        </w:rPr>
        <w:t>configuration</w:t>
      </w:r>
      <w:r w:rsidRPr="000A0A5F">
        <w:rPr>
          <w:lang w:eastAsia="zh-CN"/>
        </w:rPr>
        <w:t xml:space="preserve"> </w:t>
      </w:r>
      <w:r w:rsidRPr="000A0A5F">
        <w:t>resource.</w:t>
      </w:r>
    </w:p>
    <w:p w:rsidR="00E555E6" w:rsidRPr="000A0A5F" w:rsidRDefault="00E555E6" w:rsidP="00E555E6">
      <w:pPr>
        <w:pStyle w:val="PL"/>
      </w:pPr>
      <w:r w:rsidRPr="000A0A5F">
        <w:t xml:space="preserve">      </w:t>
      </w:r>
      <w:r w:rsidRPr="000A0A5F">
        <w:rPr>
          <w:rFonts w:cs="Courier New"/>
          <w:szCs w:val="16"/>
        </w:rPr>
        <w:t xml:space="preserve">operationId: </w:t>
      </w:r>
      <w:r w:rsidRPr="000A0A5F">
        <w:rPr>
          <w:rFonts w:hint="eastAsia"/>
          <w:lang w:eastAsia="zh-CN"/>
        </w:rPr>
        <w:t>Modify</w:t>
      </w:r>
      <w:r w:rsidRPr="000A0A5F">
        <w:t>NIDD</w:t>
      </w:r>
      <w:r w:rsidRPr="000A0A5F">
        <w:rPr>
          <w:lang w:eastAsia="zh-CN"/>
        </w:rPr>
        <w:t>C</w:t>
      </w:r>
      <w:r w:rsidRPr="000A0A5F">
        <w:rPr>
          <w:rFonts w:hint="eastAsia"/>
          <w:lang w:eastAsia="zh-CN"/>
        </w:rPr>
        <w:t>onfiguration</w:t>
      </w:r>
    </w:p>
    <w:p w:rsidR="00E555E6" w:rsidRPr="000A0A5F" w:rsidRDefault="00E555E6" w:rsidP="00E555E6">
      <w:pPr>
        <w:pStyle w:val="PL"/>
      </w:pPr>
      <w:r w:rsidRPr="000A0A5F">
        <w:t xml:space="preserve">      tags:</w:t>
      </w:r>
    </w:p>
    <w:p w:rsidR="00E555E6" w:rsidRPr="000A0A5F" w:rsidRDefault="00E555E6" w:rsidP="00E555E6">
      <w:pPr>
        <w:pStyle w:val="PL"/>
      </w:pPr>
      <w:r w:rsidRPr="000A0A5F">
        <w:t xml:space="preserve">        - Individual NIDD </w:t>
      </w:r>
      <w:r w:rsidRPr="000A0A5F">
        <w:rPr>
          <w:rFonts w:hint="eastAsia"/>
          <w:lang w:eastAsia="zh-CN"/>
        </w:rPr>
        <w:t>configuration</w:t>
      </w:r>
    </w:p>
    <w:p w:rsidR="00CB0DD7" w:rsidRPr="000A0A5F" w:rsidRDefault="00CB0DD7">
      <w:pPr>
        <w:pStyle w:val="PL"/>
        <w:rPr>
          <w:lang w:val="en-US"/>
        </w:rPr>
      </w:pPr>
      <w:r w:rsidRPr="000A0A5F">
        <w:rPr>
          <w:lang w:val="en-US"/>
        </w:rPr>
        <w:t xml:space="preserve">      requestBody:</w:t>
      </w:r>
    </w:p>
    <w:p w:rsidR="00CB0DD7" w:rsidRPr="000A0A5F" w:rsidRDefault="00CB0DD7">
      <w:pPr>
        <w:pStyle w:val="PL"/>
        <w:rPr>
          <w:lang w:val="en-US"/>
        </w:rPr>
      </w:pPr>
      <w:r w:rsidRPr="000A0A5F">
        <w:rPr>
          <w:lang w:val="en-US"/>
        </w:rPr>
        <w:t xml:space="preserve">        description: Contains information to be applied to the individual NIDD configuration.</w:t>
      </w:r>
    </w:p>
    <w:p w:rsidR="00CB0DD7" w:rsidRPr="000A0A5F" w:rsidRDefault="00CB0DD7">
      <w:pPr>
        <w:pStyle w:val="PL"/>
        <w:rPr>
          <w:lang w:val="en-US"/>
        </w:rPr>
      </w:pPr>
      <w:r w:rsidRPr="000A0A5F">
        <w:rPr>
          <w:lang w:val="en-US"/>
        </w:rPr>
        <w:t xml:space="preserve">        required: true</w:t>
      </w:r>
    </w:p>
    <w:p w:rsidR="00CB0DD7" w:rsidRPr="000A0A5F" w:rsidRDefault="00CB0DD7">
      <w:pPr>
        <w:pStyle w:val="PL"/>
        <w:rPr>
          <w:lang w:val="en-US"/>
        </w:rPr>
      </w:pPr>
      <w:r w:rsidRPr="000A0A5F">
        <w:rPr>
          <w:lang w:val="en-US"/>
        </w:rPr>
        <w:t xml:space="preserve">        content:</w:t>
      </w:r>
    </w:p>
    <w:p w:rsidR="00CB0DD7" w:rsidRPr="000A0A5F" w:rsidRDefault="00CB0DD7">
      <w:pPr>
        <w:pStyle w:val="PL"/>
        <w:rPr>
          <w:lang w:val="en-US"/>
        </w:rPr>
      </w:pPr>
      <w:r w:rsidRPr="000A0A5F">
        <w:rPr>
          <w:lang w:val="en-US"/>
        </w:rPr>
        <w:t xml:space="preserve">          application/merge-patch+json:</w:t>
      </w:r>
    </w:p>
    <w:p w:rsidR="00CB0DD7" w:rsidRPr="000A0A5F" w:rsidRDefault="00CB0DD7">
      <w:pPr>
        <w:pStyle w:val="PL"/>
        <w:rPr>
          <w:lang w:val="en-US"/>
        </w:rPr>
      </w:pPr>
      <w:r w:rsidRPr="000A0A5F">
        <w:rPr>
          <w:lang w:val="en-US"/>
        </w:rPr>
        <w:t xml:space="preserve">            schema:</w:t>
      </w:r>
    </w:p>
    <w:p w:rsidR="00CB0DD7" w:rsidRPr="000A0A5F" w:rsidRDefault="00CB0DD7">
      <w:pPr>
        <w:pStyle w:val="PL"/>
        <w:rPr>
          <w:lang w:val="en-US"/>
        </w:rPr>
      </w:pPr>
      <w:r w:rsidRPr="000A0A5F">
        <w:rPr>
          <w:lang w:val="en-US"/>
        </w:rPr>
        <w:t xml:space="preserve">              $ref: '#/components/schemas/NiddConfigurationPatch'</w:t>
      </w:r>
    </w:p>
    <w:p w:rsidR="00CB0DD7" w:rsidRPr="000A0A5F" w:rsidRDefault="00CB0DD7">
      <w:pPr>
        <w:pStyle w:val="PL"/>
        <w:rPr>
          <w:lang w:val="en-US"/>
        </w:rPr>
      </w:pPr>
      <w:r w:rsidRPr="000A0A5F">
        <w:rPr>
          <w:lang w:val="en-US"/>
        </w:rPr>
        <w:t xml:space="preserve">      responses:</w:t>
      </w:r>
    </w:p>
    <w:p w:rsidR="00CB0DD7" w:rsidRPr="000A0A5F" w:rsidRDefault="00CB0DD7">
      <w:pPr>
        <w:pStyle w:val="PL"/>
        <w:rPr>
          <w:lang w:val="en-US"/>
        </w:rPr>
      </w:pPr>
      <w:r w:rsidRPr="000A0A5F">
        <w:rPr>
          <w:lang w:val="en-US"/>
        </w:rPr>
        <w:t xml:space="preserve">        '200':</w:t>
      </w:r>
    </w:p>
    <w:p w:rsidR="00A6789E" w:rsidRPr="000A0A5F" w:rsidRDefault="00CB0DD7">
      <w:pPr>
        <w:pStyle w:val="PL"/>
        <w:rPr>
          <w:lang w:val="en-US"/>
        </w:rPr>
      </w:pPr>
      <w:r w:rsidRPr="000A0A5F">
        <w:rPr>
          <w:lang w:val="en-US"/>
        </w:rPr>
        <w:t xml:space="preserve">          description: </w:t>
      </w:r>
      <w:r w:rsidR="00A6789E" w:rsidRPr="000A0A5F">
        <w:rPr>
          <w:lang w:val="en-US"/>
        </w:rPr>
        <w:t>&gt;</w:t>
      </w:r>
    </w:p>
    <w:p w:rsidR="00A6789E" w:rsidRPr="000A0A5F" w:rsidRDefault="00A6789E">
      <w:pPr>
        <w:pStyle w:val="PL"/>
        <w:rPr>
          <w:lang w:val="en-US"/>
        </w:rPr>
      </w:pPr>
      <w:r w:rsidRPr="000A0A5F">
        <w:rPr>
          <w:lang w:val="en-US"/>
        </w:rPr>
        <w:t xml:space="preserve">            </w:t>
      </w:r>
      <w:r w:rsidR="00CB0DD7" w:rsidRPr="000A0A5F">
        <w:rPr>
          <w:lang w:val="en-US"/>
        </w:rPr>
        <w:t>The Individual NIDD configuration is modified successfully and a representation</w:t>
      </w:r>
    </w:p>
    <w:p w:rsidR="00CB0DD7" w:rsidRPr="000A0A5F" w:rsidRDefault="00A6789E">
      <w:pPr>
        <w:pStyle w:val="PL"/>
        <w:rPr>
          <w:lang w:val="en-US"/>
        </w:rPr>
      </w:pPr>
      <w:r w:rsidRPr="000A0A5F">
        <w:rPr>
          <w:lang w:val="en-US"/>
        </w:rPr>
        <w:t xml:space="preserve">           </w:t>
      </w:r>
      <w:r w:rsidR="00CB0DD7" w:rsidRPr="000A0A5F">
        <w:rPr>
          <w:lang w:val="en-US"/>
        </w:rPr>
        <w:t xml:space="preserve"> of that resource is returned.</w:t>
      </w:r>
    </w:p>
    <w:p w:rsidR="00CB0DD7" w:rsidRPr="000A0A5F" w:rsidRDefault="00CB0DD7">
      <w:pPr>
        <w:pStyle w:val="PL"/>
        <w:rPr>
          <w:lang w:val="en-US"/>
        </w:rPr>
      </w:pPr>
      <w:r w:rsidRPr="000A0A5F">
        <w:rPr>
          <w:lang w:val="en-US"/>
        </w:rPr>
        <w:t xml:space="preserve">          content:</w:t>
      </w:r>
    </w:p>
    <w:p w:rsidR="00CB0DD7" w:rsidRPr="000A0A5F" w:rsidRDefault="00CB0DD7">
      <w:pPr>
        <w:pStyle w:val="PL"/>
        <w:rPr>
          <w:lang w:val="en-US"/>
        </w:rPr>
      </w:pPr>
      <w:r w:rsidRPr="000A0A5F">
        <w:rPr>
          <w:lang w:val="en-US"/>
        </w:rPr>
        <w:t xml:space="preserve">            application/json:</w:t>
      </w:r>
    </w:p>
    <w:p w:rsidR="00CB0DD7" w:rsidRPr="000A0A5F" w:rsidRDefault="00CB0DD7">
      <w:pPr>
        <w:pStyle w:val="PL"/>
        <w:rPr>
          <w:lang w:val="en-US"/>
        </w:rPr>
      </w:pPr>
      <w:r w:rsidRPr="000A0A5F">
        <w:rPr>
          <w:lang w:val="en-US"/>
        </w:rPr>
        <w:t xml:space="preserve">              schema:</w:t>
      </w:r>
    </w:p>
    <w:p w:rsidR="00CB0DD7" w:rsidRPr="000A0A5F" w:rsidRDefault="00CB0DD7">
      <w:pPr>
        <w:pStyle w:val="PL"/>
        <w:rPr>
          <w:lang w:val="en-US"/>
        </w:rPr>
      </w:pPr>
      <w:r w:rsidRPr="000A0A5F">
        <w:rPr>
          <w:lang w:val="en-US"/>
        </w:rPr>
        <w:t xml:space="preserve">                $ref: '#/components/schemas/NiddConfiguration'</w:t>
      </w:r>
    </w:p>
    <w:p w:rsidR="00CB0DD7" w:rsidRPr="000A0A5F" w:rsidRDefault="00CB0DD7">
      <w:pPr>
        <w:pStyle w:val="PL"/>
        <w:rPr>
          <w:lang w:val="en-US"/>
        </w:rPr>
      </w:pPr>
      <w:r w:rsidRPr="000A0A5F">
        <w:rPr>
          <w:lang w:val="en-US"/>
        </w:rPr>
        <w:t xml:space="preserve">        '204':</w:t>
      </w:r>
    </w:p>
    <w:p w:rsidR="00A6789E" w:rsidRPr="000A0A5F" w:rsidRDefault="00CB0DD7">
      <w:pPr>
        <w:pStyle w:val="PL"/>
        <w:rPr>
          <w:lang w:val="en-US"/>
        </w:rPr>
      </w:pPr>
      <w:r w:rsidRPr="000A0A5F">
        <w:rPr>
          <w:lang w:val="en-US"/>
        </w:rPr>
        <w:t xml:space="preserve">          description: </w:t>
      </w:r>
      <w:r w:rsidR="00A6789E" w:rsidRPr="000A0A5F">
        <w:rPr>
          <w:lang w:val="en-US"/>
        </w:rPr>
        <w:t>&gt;</w:t>
      </w:r>
    </w:p>
    <w:p w:rsidR="00A6789E" w:rsidRPr="000A0A5F" w:rsidRDefault="00A6789E">
      <w:pPr>
        <w:pStyle w:val="PL"/>
        <w:rPr>
          <w:lang w:val="en-US"/>
        </w:rPr>
      </w:pPr>
      <w:r w:rsidRPr="000A0A5F">
        <w:rPr>
          <w:lang w:val="en-US"/>
        </w:rPr>
        <w:t xml:space="preserve">            </w:t>
      </w:r>
      <w:r w:rsidR="00CB0DD7" w:rsidRPr="000A0A5F">
        <w:rPr>
          <w:lang w:val="en-US"/>
        </w:rPr>
        <w:t>The Individual NIDD configuration is modified successfully and no content</w:t>
      </w:r>
    </w:p>
    <w:p w:rsidR="00CB0DD7" w:rsidRPr="000A0A5F" w:rsidRDefault="00A6789E">
      <w:pPr>
        <w:pStyle w:val="PL"/>
        <w:rPr>
          <w:lang w:val="en-US"/>
        </w:rPr>
      </w:pPr>
      <w:r w:rsidRPr="000A0A5F">
        <w:rPr>
          <w:lang w:val="en-US"/>
        </w:rPr>
        <w:t xml:space="preserve">           </w:t>
      </w:r>
      <w:r w:rsidR="00CB0DD7" w:rsidRPr="000A0A5F">
        <w:rPr>
          <w:lang w:val="en-US"/>
        </w:rPr>
        <w:t xml:space="preserve"> is to be sent in the response message body.</w:t>
      </w:r>
    </w:p>
    <w:p w:rsidR="00CB0DD7" w:rsidRPr="000A0A5F" w:rsidRDefault="00CB0DD7">
      <w:pPr>
        <w:pStyle w:val="PL"/>
      </w:pPr>
      <w:r w:rsidRPr="000A0A5F">
        <w:t xml:space="preserve">        '307':</w:t>
      </w:r>
    </w:p>
    <w:p w:rsidR="00CB0DD7" w:rsidRPr="000A0A5F" w:rsidRDefault="00CB0DD7">
      <w:pPr>
        <w:pStyle w:val="PL"/>
      </w:pPr>
      <w:r w:rsidRPr="000A0A5F">
        <w:t xml:space="preserve">          $ref: 'TS29122_CommonData.yaml#/components/responses/307'</w:t>
      </w:r>
    </w:p>
    <w:p w:rsidR="00CB0DD7" w:rsidRPr="000A0A5F" w:rsidRDefault="00CB0DD7">
      <w:pPr>
        <w:pStyle w:val="PL"/>
      </w:pPr>
      <w:r w:rsidRPr="000A0A5F">
        <w:t xml:space="preserve">        '308':</w:t>
      </w:r>
    </w:p>
    <w:p w:rsidR="00CB0DD7" w:rsidRPr="000A0A5F" w:rsidRDefault="00CB0DD7">
      <w:pPr>
        <w:pStyle w:val="PL"/>
      </w:pPr>
      <w:r w:rsidRPr="000A0A5F">
        <w:t xml:space="preserve">          $ref: 'TS29122_CommonData.yaml#/components/responses/308'</w:t>
      </w:r>
    </w:p>
    <w:p w:rsidR="00CB0DD7" w:rsidRPr="000A0A5F" w:rsidRDefault="00CB0DD7">
      <w:pPr>
        <w:pStyle w:val="PL"/>
        <w:rPr>
          <w:lang w:val="en-US"/>
        </w:rPr>
      </w:pPr>
      <w:r w:rsidRPr="000A0A5F">
        <w:rPr>
          <w:lang w:val="en-US"/>
        </w:rPr>
        <w:t xml:space="preserve">        '400':</w:t>
      </w:r>
    </w:p>
    <w:p w:rsidR="00CB0DD7" w:rsidRPr="000A0A5F" w:rsidRDefault="00CB0DD7">
      <w:pPr>
        <w:pStyle w:val="PL"/>
        <w:rPr>
          <w:lang w:val="en-US"/>
        </w:rPr>
      </w:pPr>
      <w:r w:rsidRPr="000A0A5F">
        <w:rPr>
          <w:lang w:val="en-US"/>
        </w:rPr>
        <w:t xml:space="preserve">          $ref: 'TS29122_CommonData.yaml#/components/responses/400'</w:t>
      </w:r>
    </w:p>
    <w:p w:rsidR="00CB0DD7" w:rsidRPr="000A0A5F" w:rsidRDefault="00CB0DD7">
      <w:pPr>
        <w:pStyle w:val="PL"/>
        <w:rPr>
          <w:lang w:val="en-US"/>
        </w:rPr>
      </w:pPr>
      <w:r w:rsidRPr="000A0A5F">
        <w:rPr>
          <w:lang w:val="en-US"/>
        </w:rPr>
        <w:t xml:space="preserve">        '401':</w:t>
      </w:r>
    </w:p>
    <w:p w:rsidR="00CB0DD7" w:rsidRPr="000A0A5F" w:rsidRDefault="00CB0DD7">
      <w:pPr>
        <w:pStyle w:val="PL"/>
        <w:rPr>
          <w:lang w:val="en-US"/>
        </w:rPr>
      </w:pPr>
      <w:r w:rsidRPr="000A0A5F">
        <w:rPr>
          <w:lang w:val="en-US"/>
        </w:rPr>
        <w:t xml:space="preserve">          $ref: 'TS29122_CommonData.yaml#/components/responses/401'</w:t>
      </w:r>
    </w:p>
    <w:p w:rsidR="00CB0DD7" w:rsidRPr="000A0A5F" w:rsidRDefault="00CB0DD7">
      <w:pPr>
        <w:pStyle w:val="PL"/>
        <w:rPr>
          <w:lang w:val="en-US"/>
        </w:rPr>
      </w:pPr>
      <w:r w:rsidRPr="000A0A5F">
        <w:rPr>
          <w:lang w:val="en-US"/>
        </w:rPr>
        <w:t xml:space="preserve">        '403':</w:t>
      </w:r>
    </w:p>
    <w:p w:rsidR="00CB0DD7" w:rsidRPr="000A0A5F" w:rsidRDefault="00CB0DD7">
      <w:pPr>
        <w:pStyle w:val="PL"/>
        <w:rPr>
          <w:lang w:val="en-US"/>
        </w:rPr>
      </w:pPr>
      <w:r w:rsidRPr="000A0A5F">
        <w:rPr>
          <w:lang w:val="en-US"/>
        </w:rPr>
        <w:t xml:space="preserve">          $ref: 'TS29122_CommonData.yaml#/components/responses/403'</w:t>
      </w:r>
    </w:p>
    <w:p w:rsidR="00CB0DD7" w:rsidRPr="000A0A5F" w:rsidRDefault="00CB0DD7">
      <w:pPr>
        <w:pStyle w:val="PL"/>
        <w:rPr>
          <w:lang w:val="en-US"/>
        </w:rPr>
      </w:pPr>
      <w:r w:rsidRPr="000A0A5F">
        <w:rPr>
          <w:lang w:val="en-US"/>
        </w:rPr>
        <w:t xml:space="preserve">        '404':</w:t>
      </w:r>
    </w:p>
    <w:p w:rsidR="00CB0DD7" w:rsidRPr="000A0A5F" w:rsidRDefault="00CB0DD7">
      <w:pPr>
        <w:pStyle w:val="PL"/>
        <w:rPr>
          <w:lang w:val="en-US"/>
        </w:rPr>
      </w:pPr>
      <w:r w:rsidRPr="000A0A5F">
        <w:rPr>
          <w:lang w:val="en-US"/>
        </w:rPr>
        <w:t xml:space="preserve">          $ref: 'TS29122_CommonData.yaml#/components/responses/404'</w:t>
      </w:r>
    </w:p>
    <w:p w:rsidR="00CB0DD7" w:rsidRPr="000A0A5F" w:rsidRDefault="00CB0DD7">
      <w:pPr>
        <w:pStyle w:val="PL"/>
        <w:rPr>
          <w:lang w:val="en-US"/>
        </w:rPr>
      </w:pPr>
      <w:r w:rsidRPr="000A0A5F">
        <w:rPr>
          <w:lang w:val="en-US"/>
        </w:rPr>
        <w:t xml:space="preserve">        '411':</w:t>
      </w:r>
    </w:p>
    <w:p w:rsidR="00CB0DD7" w:rsidRPr="000A0A5F" w:rsidRDefault="00CB0DD7">
      <w:pPr>
        <w:pStyle w:val="PL"/>
        <w:rPr>
          <w:lang w:val="en-US"/>
        </w:rPr>
      </w:pPr>
      <w:r w:rsidRPr="000A0A5F">
        <w:rPr>
          <w:lang w:val="en-US"/>
        </w:rPr>
        <w:t xml:space="preserve">          $ref: 'TS29122_CommonData.yaml#/components/responses/411'</w:t>
      </w:r>
    </w:p>
    <w:p w:rsidR="00CB0DD7" w:rsidRPr="000A0A5F" w:rsidRDefault="00CB0DD7">
      <w:pPr>
        <w:pStyle w:val="PL"/>
        <w:rPr>
          <w:lang w:val="en-US"/>
        </w:rPr>
      </w:pPr>
      <w:r w:rsidRPr="000A0A5F">
        <w:rPr>
          <w:lang w:val="en-US"/>
        </w:rPr>
        <w:t xml:space="preserve">        '413':</w:t>
      </w:r>
    </w:p>
    <w:p w:rsidR="00CB0DD7" w:rsidRPr="000A0A5F" w:rsidRDefault="00CB0DD7">
      <w:pPr>
        <w:pStyle w:val="PL"/>
        <w:rPr>
          <w:lang w:val="en-US"/>
        </w:rPr>
      </w:pPr>
      <w:r w:rsidRPr="000A0A5F">
        <w:rPr>
          <w:lang w:val="en-US"/>
        </w:rPr>
        <w:t xml:space="preserve">          $ref: 'TS29122_CommonData.yaml#/components/responses/413'</w:t>
      </w:r>
    </w:p>
    <w:p w:rsidR="00CB0DD7" w:rsidRPr="000A0A5F" w:rsidRDefault="00CB0DD7">
      <w:pPr>
        <w:pStyle w:val="PL"/>
        <w:rPr>
          <w:lang w:val="en-US"/>
        </w:rPr>
      </w:pPr>
      <w:r w:rsidRPr="000A0A5F">
        <w:rPr>
          <w:lang w:val="en-US"/>
        </w:rPr>
        <w:t xml:space="preserve">        '415':</w:t>
      </w:r>
    </w:p>
    <w:p w:rsidR="00CB0DD7" w:rsidRPr="000A0A5F" w:rsidRDefault="00CB0DD7">
      <w:pPr>
        <w:pStyle w:val="PL"/>
        <w:rPr>
          <w:lang w:val="en-US"/>
        </w:rPr>
      </w:pPr>
      <w:r w:rsidRPr="000A0A5F">
        <w:rPr>
          <w:lang w:val="en-US"/>
        </w:rPr>
        <w:t xml:space="preserve">          $ref: 'TS29122_CommonData.yaml#/components/responses/415'</w:t>
      </w:r>
    </w:p>
    <w:p w:rsidR="00CB0DD7" w:rsidRPr="000A0A5F" w:rsidRDefault="00CB0DD7">
      <w:pPr>
        <w:pStyle w:val="PL"/>
        <w:rPr>
          <w:lang w:val="en-US"/>
        </w:rPr>
      </w:pPr>
      <w:r w:rsidRPr="000A0A5F">
        <w:rPr>
          <w:lang w:val="en-US"/>
        </w:rPr>
        <w:t xml:space="preserve">        '429':</w:t>
      </w:r>
    </w:p>
    <w:p w:rsidR="00CB0DD7" w:rsidRPr="000A0A5F" w:rsidRDefault="00CB0DD7">
      <w:pPr>
        <w:pStyle w:val="PL"/>
        <w:rPr>
          <w:lang w:val="en-US"/>
        </w:rPr>
      </w:pPr>
      <w:r w:rsidRPr="000A0A5F">
        <w:rPr>
          <w:lang w:val="en-US"/>
        </w:rPr>
        <w:t xml:space="preserve">          $ref: 'TS29122_CommonData.yaml#/components/responses/429'</w:t>
      </w:r>
    </w:p>
    <w:p w:rsidR="00CB0DD7" w:rsidRPr="000A0A5F" w:rsidRDefault="00CB0DD7">
      <w:pPr>
        <w:pStyle w:val="PL"/>
        <w:rPr>
          <w:lang w:val="en-US"/>
        </w:rPr>
      </w:pPr>
      <w:r w:rsidRPr="000A0A5F">
        <w:rPr>
          <w:lang w:val="en-US"/>
        </w:rPr>
        <w:t xml:space="preserve">        '500':</w:t>
      </w:r>
    </w:p>
    <w:p w:rsidR="00CB0DD7" w:rsidRPr="000A0A5F" w:rsidRDefault="00CB0DD7">
      <w:pPr>
        <w:pStyle w:val="PL"/>
        <w:rPr>
          <w:lang w:val="en-US"/>
        </w:rPr>
      </w:pPr>
      <w:r w:rsidRPr="000A0A5F">
        <w:rPr>
          <w:lang w:val="en-US"/>
        </w:rPr>
        <w:t xml:space="preserve">          $ref: 'TS29122_CommonData.yaml#/components/responses/500'</w:t>
      </w:r>
    </w:p>
    <w:p w:rsidR="00CB0DD7" w:rsidRPr="000A0A5F" w:rsidRDefault="00CB0DD7">
      <w:pPr>
        <w:pStyle w:val="PL"/>
        <w:rPr>
          <w:lang w:val="en-US"/>
        </w:rPr>
      </w:pPr>
      <w:r w:rsidRPr="000A0A5F">
        <w:rPr>
          <w:lang w:val="en-US"/>
        </w:rPr>
        <w:t xml:space="preserve">        '503':</w:t>
      </w:r>
    </w:p>
    <w:p w:rsidR="00CB0DD7" w:rsidRPr="000A0A5F" w:rsidRDefault="00CB0DD7">
      <w:pPr>
        <w:pStyle w:val="PL"/>
        <w:rPr>
          <w:lang w:val="en-US"/>
        </w:rPr>
      </w:pPr>
      <w:r w:rsidRPr="000A0A5F">
        <w:rPr>
          <w:lang w:val="en-US"/>
        </w:rPr>
        <w:t xml:space="preserve">          $ref: 'TS29122_CommonData.yaml#/components/responses/503'</w:t>
      </w:r>
    </w:p>
    <w:p w:rsidR="00CB0DD7" w:rsidRPr="000A0A5F" w:rsidRDefault="00CB0DD7">
      <w:pPr>
        <w:pStyle w:val="PL"/>
        <w:rPr>
          <w:lang w:val="en-US"/>
        </w:rPr>
      </w:pPr>
      <w:r w:rsidRPr="000A0A5F">
        <w:rPr>
          <w:lang w:val="en-US"/>
        </w:rPr>
        <w:t xml:space="preserve">        default:</w:t>
      </w:r>
    </w:p>
    <w:p w:rsidR="00CB0DD7" w:rsidRPr="000A0A5F" w:rsidRDefault="00CB0DD7">
      <w:pPr>
        <w:pStyle w:val="PL"/>
        <w:rPr>
          <w:lang w:val="en-US"/>
        </w:rPr>
      </w:pPr>
      <w:r w:rsidRPr="000A0A5F">
        <w:rPr>
          <w:lang w:val="en-US"/>
        </w:rPr>
        <w:t xml:space="preserve">          $ref: 'TS29122_CommonData.yaml#/components/responses/default'</w:t>
      </w:r>
    </w:p>
    <w:p w:rsidR="00CB0DD7" w:rsidRPr="000A0A5F" w:rsidRDefault="00CB0DD7">
      <w:pPr>
        <w:pStyle w:val="PL"/>
        <w:rPr>
          <w:lang w:val="en-US"/>
        </w:rPr>
      </w:pPr>
      <w:r w:rsidRPr="000A0A5F">
        <w:rPr>
          <w:lang w:val="en-US"/>
        </w:rPr>
        <w:t xml:space="preserve">    delete:</w:t>
      </w:r>
    </w:p>
    <w:p w:rsidR="00E555E6" w:rsidRPr="000A0A5F" w:rsidRDefault="00E555E6" w:rsidP="00E555E6">
      <w:pPr>
        <w:pStyle w:val="PL"/>
      </w:pPr>
      <w:r w:rsidRPr="000A0A5F">
        <w:t xml:space="preserve">      summary: </w:t>
      </w:r>
      <w:r w:rsidRPr="000A0A5F">
        <w:rPr>
          <w:lang w:eastAsia="zh-CN"/>
        </w:rPr>
        <w:t xml:space="preserve">Delete an existing NIDD </w:t>
      </w:r>
      <w:r w:rsidRPr="000A0A5F">
        <w:rPr>
          <w:rFonts w:hint="eastAsia"/>
          <w:lang w:eastAsia="zh-CN"/>
        </w:rPr>
        <w:t>configuration</w:t>
      </w:r>
      <w:r w:rsidRPr="000A0A5F">
        <w:rPr>
          <w:lang w:eastAsia="zh-CN"/>
        </w:rPr>
        <w:t xml:space="preserve"> resource.</w:t>
      </w:r>
    </w:p>
    <w:p w:rsidR="00E555E6" w:rsidRPr="000A0A5F" w:rsidRDefault="00E555E6" w:rsidP="00E555E6">
      <w:pPr>
        <w:pStyle w:val="PL"/>
      </w:pPr>
      <w:r w:rsidRPr="000A0A5F">
        <w:t xml:space="preserve">      </w:t>
      </w:r>
      <w:r w:rsidRPr="000A0A5F">
        <w:rPr>
          <w:rFonts w:cs="Courier New"/>
          <w:szCs w:val="16"/>
        </w:rPr>
        <w:t>operationId: Delete</w:t>
      </w:r>
      <w:r w:rsidRPr="000A0A5F">
        <w:t>NIDDC</w:t>
      </w:r>
      <w:r w:rsidRPr="000A0A5F">
        <w:rPr>
          <w:rFonts w:hint="eastAsia"/>
          <w:lang w:eastAsia="zh-CN"/>
        </w:rPr>
        <w:t>onfiguration</w:t>
      </w:r>
    </w:p>
    <w:p w:rsidR="00E555E6" w:rsidRPr="000A0A5F" w:rsidRDefault="00E555E6" w:rsidP="00E555E6">
      <w:pPr>
        <w:pStyle w:val="PL"/>
      </w:pPr>
      <w:r w:rsidRPr="000A0A5F">
        <w:t xml:space="preserve">      tags:</w:t>
      </w:r>
    </w:p>
    <w:p w:rsidR="00E555E6" w:rsidRPr="000A0A5F" w:rsidRDefault="00E555E6" w:rsidP="00E555E6">
      <w:pPr>
        <w:pStyle w:val="PL"/>
      </w:pPr>
      <w:r w:rsidRPr="000A0A5F">
        <w:t xml:space="preserve">        - Individual NIDD </w:t>
      </w:r>
      <w:r w:rsidRPr="000A0A5F">
        <w:rPr>
          <w:rFonts w:hint="eastAsia"/>
          <w:lang w:eastAsia="zh-CN"/>
        </w:rPr>
        <w:t>configuration</w:t>
      </w:r>
    </w:p>
    <w:p w:rsidR="00CB0DD7" w:rsidRPr="000A0A5F" w:rsidRDefault="00CB0DD7">
      <w:pPr>
        <w:pStyle w:val="PL"/>
        <w:rPr>
          <w:lang w:val="en-US"/>
        </w:rPr>
      </w:pPr>
      <w:r w:rsidRPr="000A0A5F">
        <w:rPr>
          <w:lang w:val="en-US"/>
        </w:rPr>
        <w:t xml:space="preserve">      responses:</w:t>
      </w:r>
    </w:p>
    <w:p w:rsidR="00CB0DD7" w:rsidRPr="000A0A5F" w:rsidRDefault="00CB0DD7">
      <w:pPr>
        <w:pStyle w:val="PL"/>
        <w:rPr>
          <w:lang w:val="en-US"/>
        </w:rPr>
      </w:pPr>
      <w:r w:rsidRPr="000A0A5F">
        <w:rPr>
          <w:lang w:val="en-US"/>
        </w:rPr>
        <w:t xml:space="preserve">        '204':</w:t>
      </w:r>
    </w:p>
    <w:p w:rsidR="00CB0DD7" w:rsidRPr="000A0A5F" w:rsidRDefault="00CB0DD7">
      <w:pPr>
        <w:pStyle w:val="PL"/>
        <w:rPr>
          <w:lang w:val="en-US"/>
        </w:rPr>
      </w:pPr>
      <w:r w:rsidRPr="000A0A5F">
        <w:rPr>
          <w:lang w:val="en-US"/>
        </w:rPr>
        <w:t xml:space="preserve">          description: The Individual NIDD configuration is deleted.</w:t>
      </w:r>
    </w:p>
    <w:p w:rsidR="00CB0DD7" w:rsidRPr="000A0A5F" w:rsidRDefault="00CB0DD7">
      <w:pPr>
        <w:pStyle w:val="PL"/>
      </w:pPr>
      <w:r w:rsidRPr="000A0A5F">
        <w:t xml:space="preserve">        '307':</w:t>
      </w:r>
    </w:p>
    <w:p w:rsidR="00CB0DD7" w:rsidRPr="000A0A5F" w:rsidRDefault="00CB0DD7">
      <w:pPr>
        <w:pStyle w:val="PL"/>
      </w:pPr>
      <w:r w:rsidRPr="000A0A5F">
        <w:t xml:space="preserve">          $ref: 'TS29122_CommonData.yaml#/components/responses/307'</w:t>
      </w:r>
    </w:p>
    <w:p w:rsidR="00CB0DD7" w:rsidRPr="000A0A5F" w:rsidRDefault="00CB0DD7">
      <w:pPr>
        <w:pStyle w:val="PL"/>
      </w:pPr>
      <w:r w:rsidRPr="000A0A5F">
        <w:t xml:space="preserve">        '308':</w:t>
      </w:r>
    </w:p>
    <w:p w:rsidR="00CB0DD7" w:rsidRPr="000A0A5F" w:rsidRDefault="00CB0DD7">
      <w:pPr>
        <w:pStyle w:val="PL"/>
      </w:pPr>
      <w:r w:rsidRPr="000A0A5F">
        <w:t xml:space="preserve">          $ref: 'TS29122_CommonData.yaml#/components/responses/308'</w:t>
      </w:r>
    </w:p>
    <w:p w:rsidR="00CB0DD7" w:rsidRPr="000A0A5F" w:rsidRDefault="00CB0DD7">
      <w:pPr>
        <w:pStyle w:val="PL"/>
        <w:rPr>
          <w:lang w:val="en-US"/>
        </w:rPr>
      </w:pPr>
      <w:r w:rsidRPr="000A0A5F">
        <w:rPr>
          <w:lang w:val="en-US"/>
        </w:rPr>
        <w:t xml:space="preserve">        '400':</w:t>
      </w:r>
    </w:p>
    <w:p w:rsidR="00CB0DD7" w:rsidRPr="000A0A5F" w:rsidRDefault="00CB0DD7">
      <w:pPr>
        <w:pStyle w:val="PL"/>
        <w:rPr>
          <w:lang w:val="en-US"/>
        </w:rPr>
      </w:pPr>
      <w:r w:rsidRPr="000A0A5F">
        <w:rPr>
          <w:lang w:val="en-US"/>
        </w:rPr>
        <w:t xml:space="preserve">          $ref: 'TS29122_CommonData.yaml#/components/responses/400'</w:t>
      </w:r>
    </w:p>
    <w:p w:rsidR="00CB0DD7" w:rsidRPr="000A0A5F" w:rsidRDefault="00CB0DD7">
      <w:pPr>
        <w:pStyle w:val="PL"/>
        <w:rPr>
          <w:lang w:val="en-US"/>
        </w:rPr>
      </w:pPr>
      <w:r w:rsidRPr="000A0A5F">
        <w:rPr>
          <w:lang w:val="en-US"/>
        </w:rPr>
        <w:t xml:space="preserve">        '401':</w:t>
      </w:r>
    </w:p>
    <w:p w:rsidR="00CB0DD7" w:rsidRPr="000A0A5F" w:rsidRDefault="00CB0DD7">
      <w:pPr>
        <w:pStyle w:val="PL"/>
        <w:rPr>
          <w:lang w:val="en-US"/>
        </w:rPr>
      </w:pPr>
      <w:r w:rsidRPr="000A0A5F">
        <w:rPr>
          <w:lang w:val="en-US"/>
        </w:rPr>
        <w:t xml:space="preserve">          $ref: 'TS29122_CommonData.yaml#/components/responses/401'</w:t>
      </w:r>
    </w:p>
    <w:p w:rsidR="00CB0DD7" w:rsidRPr="000A0A5F" w:rsidRDefault="00CB0DD7">
      <w:pPr>
        <w:pStyle w:val="PL"/>
        <w:rPr>
          <w:lang w:val="en-US"/>
        </w:rPr>
      </w:pPr>
      <w:r w:rsidRPr="000A0A5F">
        <w:rPr>
          <w:lang w:val="en-US"/>
        </w:rPr>
        <w:t xml:space="preserve">        '403':</w:t>
      </w:r>
    </w:p>
    <w:p w:rsidR="00CB0DD7" w:rsidRPr="000A0A5F" w:rsidRDefault="00CB0DD7">
      <w:pPr>
        <w:pStyle w:val="PL"/>
        <w:rPr>
          <w:lang w:val="en-US"/>
        </w:rPr>
      </w:pPr>
      <w:r w:rsidRPr="000A0A5F">
        <w:rPr>
          <w:lang w:val="en-US"/>
        </w:rPr>
        <w:t xml:space="preserve">          $ref: 'TS29122_CommonData.yaml#/components/responses/403'</w:t>
      </w:r>
    </w:p>
    <w:p w:rsidR="00CB0DD7" w:rsidRPr="000A0A5F" w:rsidRDefault="00CB0DD7">
      <w:pPr>
        <w:pStyle w:val="PL"/>
        <w:rPr>
          <w:lang w:val="en-US"/>
        </w:rPr>
      </w:pPr>
      <w:r w:rsidRPr="000A0A5F">
        <w:rPr>
          <w:lang w:val="en-US"/>
        </w:rPr>
        <w:t xml:space="preserve">        '404':</w:t>
      </w:r>
    </w:p>
    <w:p w:rsidR="00CB0DD7" w:rsidRPr="000A0A5F" w:rsidRDefault="00CB0DD7">
      <w:pPr>
        <w:pStyle w:val="PL"/>
        <w:rPr>
          <w:lang w:val="en-US"/>
        </w:rPr>
      </w:pPr>
      <w:r w:rsidRPr="000A0A5F">
        <w:rPr>
          <w:lang w:val="en-US"/>
        </w:rPr>
        <w:t xml:space="preserve">          $ref: 'TS29122_CommonData.yaml#/components/responses/404'</w:t>
      </w:r>
    </w:p>
    <w:p w:rsidR="00CB0DD7" w:rsidRPr="000A0A5F" w:rsidRDefault="00CB0DD7">
      <w:pPr>
        <w:pStyle w:val="PL"/>
        <w:rPr>
          <w:lang w:val="en-US"/>
        </w:rPr>
      </w:pPr>
      <w:r w:rsidRPr="000A0A5F">
        <w:rPr>
          <w:lang w:val="en-US"/>
        </w:rPr>
        <w:t xml:space="preserve">        '429':</w:t>
      </w:r>
    </w:p>
    <w:p w:rsidR="00CB0DD7" w:rsidRPr="000A0A5F" w:rsidRDefault="00CB0DD7">
      <w:pPr>
        <w:pStyle w:val="PL"/>
        <w:rPr>
          <w:lang w:val="en-US"/>
        </w:rPr>
      </w:pPr>
      <w:r w:rsidRPr="000A0A5F">
        <w:rPr>
          <w:lang w:val="en-US"/>
        </w:rPr>
        <w:t xml:space="preserve">          $ref: 'TS29122_CommonData.yaml#/components/responses/429'</w:t>
      </w:r>
    </w:p>
    <w:p w:rsidR="00CB0DD7" w:rsidRPr="000A0A5F" w:rsidRDefault="00CB0DD7">
      <w:pPr>
        <w:pStyle w:val="PL"/>
        <w:rPr>
          <w:lang w:val="en-US"/>
        </w:rPr>
      </w:pPr>
      <w:r w:rsidRPr="000A0A5F">
        <w:rPr>
          <w:lang w:val="en-US"/>
        </w:rPr>
        <w:t xml:space="preserve">        '500':</w:t>
      </w:r>
    </w:p>
    <w:p w:rsidR="00CB0DD7" w:rsidRPr="000A0A5F" w:rsidRDefault="00CB0DD7">
      <w:pPr>
        <w:pStyle w:val="PL"/>
        <w:rPr>
          <w:lang w:val="en-US"/>
        </w:rPr>
      </w:pPr>
      <w:r w:rsidRPr="000A0A5F">
        <w:rPr>
          <w:lang w:val="en-US"/>
        </w:rPr>
        <w:t xml:space="preserve">          $ref: 'TS29122_CommonData.yaml#/components/responses/500'</w:t>
      </w:r>
    </w:p>
    <w:p w:rsidR="00CB0DD7" w:rsidRPr="000A0A5F" w:rsidRDefault="00CB0DD7">
      <w:pPr>
        <w:pStyle w:val="PL"/>
        <w:rPr>
          <w:lang w:val="en-US"/>
        </w:rPr>
      </w:pPr>
      <w:r w:rsidRPr="000A0A5F">
        <w:rPr>
          <w:lang w:val="en-US"/>
        </w:rPr>
        <w:t xml:space="preserve">        '503':</w:t>
      </w:r>
    </w:p>
    <w:p w:rsidR="00CB0DD7" w:rsidRPr="000A0A5F" w:rsidRDefault="00CB0DD7">
      <w:pPr>
        <w:pStyle w:val="PL"/>
        <w:rPr>
          <w:lang w:val="en-US"/>
        </w:rPr>
      </w:pPr>
      <w:r w:rsidRPr="000A0A5F">
        <w:rPr>
          <w:lang w:val="en-US"/>
        </w:rPr>
        <w:t xml:space="preserve">          $ref: 'TS29122_CommonData.yaml#/components/responses/503'</w:t>
      </w:r>
    </w:p>
    <w:p w:rsidR="00CB0DD7" w:rsidRPr="000A0A5F" w:rsidRDefault="00CB0DD7">
      <w:pPr>
        <w:pStyle w:val="PL"/>
        <w:rPr>
          <w:lang w:val="en-US"/>
        </w:rPr>
      </w:pPr>
      <w:r w:rsidRPr="000A0A5F">
        <w:rPr>
          <w:lang w:val="en-US"/>
        </w:rPr>
        <w:t xml:space="preserve">        default:</w:t>
      </w:r>
    </w:p>
    <w:p w:rsidR="00CB0DD7" w:rsidRPr="000A0A5F" w:rsidRDefault="00CB0DD7">
      <w:pPr>
        <w:pStyle w:val="PL"/>
        <w:rPr>
          <w:lang w:val="en-US"/>
        </w:rPr>
      </w:pPr>
      <w:r w:rsidRPr="000A0A5F">
        <w:rPr>
          <w:lang w:val="en-US"/>
        </w:rPr>
        <w:t xml:space="preserve">          $ref: 'TS29122_CommonData.yaml#/components/responses/default'</w:t>
      </w:r>
    </w:p>
    <w:p w:rsidR="00CB0DD7" w:rsidRPr="000A0A5F" w:rsidRDefault="00CB0DD7">
      <w:pPr>
        <w:pStyle w:val="PL"/>
        <w:rPr>
          <w:lang w:val="en-US"/>
        </w:rPr>
      </w:pPr>
    </w:p>
    <w:p w:rsidR="00CB0DD7" w:rsidRPr="000A0A5F" w:rsidRDefault="00CB0DD7">
      <w:pPr>
        <w:pStyle w:val="PL"/>
        <w:rPr>
          <w:lang w:val="en-US"/>
        </w:rPr>
      </w:pPr>
      <w:r w:rsidRPr="000A0A5F">
        <w:rPr>
          <w:lang w:val="en-US"/>
        </w:rPr>
        <w:t xml:space="preserve">  /{scsAsId}/configurations/{configurationId}/</w:t>
      </w:r>
      <w:r w:rsidRPr="000A0A5F">
        <w:rPr>
          <w:rFonts w:hint="eastAsia"/>
          <w:lang w:eastAsia="zh-CN"/>
        </w:rPr>
        <w:t>downlink</w:t>
      </w:r>
      <w:r w:rsidRPr="000A0A5F">
        <w:rPr>
          <w:lang w:eastAsia="zh-CN"/>
        </w:rPr>
        <w:t>-</w:t>
      </w:r>
      <w:r w:rsidRPr="000A0A5F">
        <w:rPr>
          <w:rFonts w:hint="eastAsia"/>
          <w:lang w:eastAsia="zh-CN"/>
        </w:rPr>
        <w:t>data</w:t>
      </w:r>
      <w:r w:rsidRPr="000A0A5F">
        <w:rPr>
          <w:lang w:eastAsia="zh-CN"/>
        </w:rPr>
        <w:t>-</w:t>
      </w:r>
      <w:r w:rsidRPr="000A0A5F">
        <w:rPr>
          <w:rFonts w:hint="eastAsia"/>
          <w:lang w:eastAsia="zh-CN"/>
        </w:rPr>
        <w:t>deliveries</w:t>
      </w:r>
      <w:r w:rsidRPr="000A0A5F">
        <w:rPr>
          <w:lang w:val="en-US"/>
        </w:rPr>
        <w:t>:</w:t>
      </w:r>
    </w:p>
    <w:p w:rsidR="00CB0DD7" w:rsidRPr="000A0A5F" w:rsidRDefault="00CB0DD7">
      <w:pPr>
        <w:pStyle w:val="PL"/>
        <w:rPr>
          <w:lang w:val="en-US"/>
        </w:rPr>
      </w:pPr>
      <w:r w:rsidRPr="000A0A5F">
        <w:rPr>
          <w:lang w:val="en-US"/>
        </w:rPr>
        <w:t xml:space="preserve">    parameters:</w:t>
      </w:r>
    </w:p>
    <w:p w:rsidR="00CB0DD7" w:rsidRPr="000A0A5F" w:rsidRDefault="00CB0DD7">
      <w:pPr>
        <w:pStyle w:val="PL"/>
        <w:rPr>
          <w:lang w:val="en-US"/>
        </w:rPr>
      </w:pPr>
      <w:r w:rsidRPr="000A0A5F">
        <w:rPr>
          <w:lang w:val="en-US"/>
        </w:rPr>
        <w:t xml:space="preserve">      - name: scsAsId</w:t>
      </w:r>
    </w:p>
    <w:p w:rsidR="00CB0DD7" w:rsidRPr="000A0A5F" w:rsidRDefault="00CB0DD7">
      <w:pPr>
        <w:pStyle w:val="PL"/>
        <w:rPr>
          <w:lang w:val="en-US"/>
        </w:rPr>
      </w:pPr>
      <w:r w:rsidRPr="000A0A5F">
        <w:rPr>
          <w:lang w:val="en-US"/>
        </w:rPr>
        <w:t xml:space="preserve">        description: String identifying the SCS/AS.</w:t>
      </w:r>
    </w:p>
    <w:p w:rsidR="00CB0DD7" w:rsidRPr="000A0A5F" w:rsidRDefault="00CB0DD7">
      <w:pPr>
        <w:pStyle w:val="PL"/>
        <w:rPr>
          <w:lang w:val="en-US"/>
        </w:rPr>
      </w:pPr>
      <w:r w:rsidRPr="000A0A5F">
        <w:rPr>
          <w:lang w:val="en-US"/>
        </w:rPr>
        <w:t xml:space="preserve">        in: path</w:t>
      </w:r>
    </w:p>
    <w:p w:rsidR="00CB0DD7" w:rsidRPr="000A0A5F" w:rsidRDefault="00CB0DD7">
      <w:pPr>
        <w:pStyle w:val="PL"/>
        <w:rPr>
          <w:lang w:val="en-US"/>
        </w:rPr>
      </w:pPr>
      <w:r w:rsidRPr="000A0A5F">
        <w:rPr>
          <w:lang w:val="en-US"/>
        </w:rPr>
        <w:t xml:space="preserve">        required: true</w:t>
      </w:r>
    </w:p>
    <w:p w:rsidR="00CB0DD7" w:rsidRPr="000A0A5F" w:rsidRDefault="00CB0DD7">
      <w:pPr>
        <w:pStyle w:val="PL"/>
        <w:rPr>
          <w:lang w:val="en-US"/>
        </w:rPr>
      </w:pPr>
      <w:r w:rsidRPr="000A0A5F">
        <w:rPr>
          <w:lang w:val="en-US"/>
        </w:rPr>
        <w:t xml:space="preserve">        schema:</w:t>
      </w:r>
    </w:p>
    <w:p w:rsidR="00CB0DD7" w:rsidRPr="000A0A5F" w:rsidRDefault="00CB0DD7">
      <w:pPr>
        <w:pStyle w:val="PL"/>
        <w:rPr>
          <w:lang w:val="en-US"/>
        </w:rPr>
      </w:pPr>
      <w:r w:rsidRPr="000A0A5F">
        <w:rPr>
          <w:lang w:val="en-US"/>
        </w:rPr>
        <w:t xml:space="preserve">          type: string</w:t>
      </w:r>
    </w:p>
    <w:p w:rsidR="00CB0DD7" w:rsidRPr="000A0A5F" w:rsidRDefault="00CB0DD7">
      <w:pPr>
        <w:pStyle w:val="PL"/>
        <w:rPr>
          <w:lang w:val="en-US"/>
        </w:rPr>
      </w:pPr>
      <w:r w:rsidRPr="000A0A5F">
        <w:rPr>
          <w:lang w:val="en-US"/>
        </w:rPr>
        <w:t xml:space="preserve">      - name: configurationId</w:t>
      </w:r>
    </w:p>
    <w:p w:rsidR="00CB0DD7" w:rsidRPr="000A0A5F" w:rsidRDefault="00CB0DD7">
      <w:pPr>
        <w:pStyle w:val="PL"/>
        <w:rPr>
          <w:lang w:val="en-US"/>
        </w:rPr>
      </w:pPr>
      <w:r w:rsidRPr="000A0A5F">
        <w:rPr>
          <w:lang w:val="en-US"/>
        </w:rPr>
        <w:t xml:space="preserve">        description: String identifying the individual NIDD configuration resource in the SCEF.</w:t>
      </w:r>
    </w:p>
    <w:p w:rsidR="00CB0DD7" w:rsidRPr="000A0A5F" w:rsidRDefault="00CB0DD7">
      <w:pPr>
        <w:pStyle w:val="PL"/>
        <w:rPr>
          <w:lang w:val="en-US"/>
        </w:rPr>
      </w:pPr>
      <w:r w:rsidRPr="000A0A5F">
        <w:rPr>
          <w:lang w:val="en-US"/>
        </w:rPr>
        <w:t xml:space="preserve">        in: path</w:t>
      </w:r>
    </w:p>
    <w:p w:rsidR="00CB0DD7" w:rsidRPr="000A0A5F" w:rsidRDefault="00CB0DD7">
      <w:pPr>
        <w:pStyle w:val="PL"/>
        <w:rPr>
          <w:lang w:val="en-US"/>
        </w:rPr>
      </w:pPr>
      <w:r w:rsidRPr="000A0A5F">
        <w:rPr>
          <w:lang w:val="en-US"/>
        </w:rPr>
        <w:t xml:space="preserve">        required: true</w:t>
      </w:r>
    </w:p>
    <w:p w:rsidR="00CB0DD7" w:rsidRPr="000A0A5F" w:rsidRDefault="00CB0DD7">
      <w:pPr>
        <w:pStyle w:val="PL"/>
        <w:rPr>
          <w:lang w:val="en-US"/>
        </w:rPr>
      </w:pPr>
      <w:r w:rsidRPr="000A0A5F">
        <w:rPr>
          <w:lang w:val="en-US"/>
        </w:rPr>
        <w:t xml:space="preserve">        schema:</w:t>
      </w:r>
    </w:p>
    <w:p w:rsidR="00CB0DD7" w:rsidRPr="000A0A5F" w:rsidRDefault="00CB0DD7">
      <w:pPr>
        <w:pStyle w:val="PL"/>
        <w:rPr>
          <w:lang w:val="en-US"/>
        </w:rPr>
      </w:pPr>
      <w:r w:rsidRPr="000A0A5F">
        <w:rPr>
          <w:lang w:val="en-US"/>
        </w:rPr>
        <w:t xml:space="preserve">          type: string</w:t>
      </w:r>
    </w:p>
    <w:p w:rsidR="00CB0DD7" w:rsidRPr="000A0A5F" w:rsidRDefault="00CB0DD7">
      <w:pPr>
        <w:pStyle w:val="PL"/>
        <w:rPr>
          <w:lang w:val="en-US"/>
        </w:rPr>
      </w:pPr>
      <w:r w:rsidRPr="000A0A5F">
        <w:rPr>
          <w:lang w:val="en-US"/>
        </w:rPr>
        <w:t xml:space="preserve">    get:</w:t>
      </w:r>
    </w:p>
    <w:p w:rsidR="00E555E6" w:rsidRPr="000A0A5F" w:rsidRDefault="00E555E6" w:rsidP="00E555E6">
      <w:pPr>
        <w:pStyle w:val="PL"/>
      </w:pPr>
      <w:r w:rsidRPr="000A0A5F">
        <w:t xml:space="preserve">      summary: Read all pending NIDD downlink data delivery</w:t>
      </w:r>
      <w:r w:rsidRPr="000A0A5F">
        <w:rPr>
          <w:lang w:eastAsia="zh-CN"/>
        </w:rPr>
        <w:t xml:space="preserve"> resources related to a particular NIDD configuration resource.</w:t>
      </w:r>
    </w:p>
    <w:p w:rsidR="00E555E6" w:rsidRPr="000A0A5F" w:rsidRDefault="00E555E6" w:rsidP="00E555E6">
      <w:pPr>
        <w:pStyle w:val="PL"/>
      </w:pPr>
      <w:r w:rsidRPr="000A0A5F">
        <w:t xml:space="preserve">      </w:t>
      </w:r>
      <w:r w:rsidRPr="000A0A5F">
        <w:rPr>
          <w:rFonts w:cs="Courier New"/>
          <w:szCs w:val="16"/>
        </w:rPr>
        <w:t>operationId: FetchAll</w:t>
      </w:r>
      <w:r w:rsidRPr="000A0A5F">
        <w:t>DownlinkData</w:t>
      </w:r>
      <w:r w:rsidRPr="000A0A5F">
        <w:rPr>
          <w:lang w:eastAsia="zh-CN"/>
        </w:rPr>
        <w:t>D</w:t>
      </w:r>
      <w:r w:rsidRPr="000A0A5F">
        <w:rPr>
          <w:rFonts w:hint="eastAsia"/>
          <w:lang w:eastAsia="zh-CN"/>
        </w:rPr>
        <w:t>eliveries</w:t>
      </w:r>
    </w:p>
    <w:p w:rsidR="00E555E6" w:rsidRPr="000A0A5F" w:rsidRDefault="00E555E6" w:rsidP="00E555E6">
      <w:pPr>
        <w:pStyle w:val="PL"/>
      </w:pPr>
      <w:r w:rsidRPr="000A0A5F">
        <w:t xml:space="preserve">      tags:</w:t>
      </w:r>
    </w:p>
    <w:p w:rsidR="00E555E6" w:rsidRPr="000A0A5F" w:rsidRDefault="00E555E6" w:rsidP="00E555E6">
      <w:pPr>
        <w:pStyle w:val="PL"/>
      </w:pPr>
      <w:r w:rsidRPr="000A0A5F">
        <w:t xml:space="preserve">        - NIDD downlink data</w:t>
      </w:r>
      <w:r w:rsidRPr="000A0A5F">
        <w:rPr>
          <w:rFonts w:hint="eastAsia"/>
          <w:lang w:eastAsia="zh-CN"/>
        </w:rPr>
        <w:t xml:space="preserve"> deliveries</w:t>
      </w:r>
    </w:p>
    <w:p w:rsidR="00CB0DD7" w:rsidRPr="000A0A5F" w:rsidRDefault="00CB0DD7">
      <w:pPr>
        <w:pStyle w:val="PL"/>
        <w:rPr>
          <w:lang w:val="en-US"/>
        </w:rPr>
      </w:pPr>
      <w:r w:rsidRPr="000A0A5F">
        <w:rPr>
          <w:lang w:val="en-US"/>
        </w:rPr>
        <w:t xml:space="preserve">      responses:</w:t>
      </w:r>
    </w:p>
    <w:p w:rsidR="00CB0DD7" w:rsidRPr="000A0A5F" w:rsidRDefault="00CB0DD7">
      <w:pPr>
        <w:pStyle w:val="PL"/>
        <w:rPr>
          <w:lang w:val="en-US"/>
        </w:rPr>
      </w:pPr>
      <w:r w:rsidRPr="000A0A5F">
        <w:rPr>
          <w:lang w:val="en-US"/>
        </w:rPr>
        <w:t xml:space="preserve">        '200':</w:t>
      </w:r>
    </w:p>
    <w:p w:rsidR="00CB0DD7" w:rsidRPr="000A0A5F" w:rsidRDefault="00CB0DD7">
      <w:pPr>
        <w:pStyle w:val="PL"/>
        <w:rPr>
          <w:lang w:val="en-US"/>
        </w:rPr>
      </w:pPr>
      <w:r w:rsidRPr="000A0A5F">
        <w:rPr>
          <w:lang w:val="en-US"/>
        </w:rPr>
        <w:t xml:space="preserve">          description: all NIDD downlink data deliveries.</w:t>
      </w:r>
    </w:p>
    <w:p w:rsidR="00CB0DD7" w:rsidRPr="000A0A5F" w:rsidRDefault="00CB0DD7">
      <w:pPr>
        <w:pStyle w:val="PL"/>
        <w:rPr>
          <w:lang w:val="en-US"/>
        </w:rPr>
      </w:pPr>
      <w:r w:rsidRPr="000A0A5F">
        <w:rPr>
          <w:lang w:val="en-US"/>
        </w:rPr>
        <w:t xml:space="preserve">          content:</w:t>
      </w:r>
    </w:p>
    <w:p w:rsidR="00CB0DD7" w:rsidRPr="000A0A5F" w:rsidRDefault="00CB0DD7">
      <w:pPr>
        <w:pStyle w:val="PL"/>
        <w:rPr>
          <w:lang w:val="en-US"/>
        </w:rPr>
      </w:pPr>
      <w:r w:rsidRPr="000A0A5F">
        <w:rPr>
          <w:lang w:val="en-US"/>
        </w:rPr>
        <w:t xml:space="preserve">            application/json:</w:t>
      </w:r>
    </w:p>
    <w:p w:rsidR="00CB0DD7" w:rsidRPr="000A0A5F" w:rsidRDefault="00CB0DD7">
      <w:pPr>
        <w:pStyle w:val="PL"/>
        <w:rPr>
          <w:lang w:val="en-US"/>
        </w:rPr>
      </w:pPr>
      <w:r w:rsidRPr="000A0A5F">
        <w:rPr>
          <w:lang w:val="en-US"/>
        </w:rPr>
        <w:t xml:space="preserve">              schema:</w:t>
      </w:r>
    </w:p>
    <w:p w:rsidR="00CB0DD7" w:rsidRPr="000A0A5F" w:rsidRDefault="00CB0DD7">
      <w:pPr>
        <w:pStyle w:val="PL"/>
      </w:pPr>
      <w:r w:rsidRPr="000A0A5F">
        <w:rPr>
          <w:lang w:val="en-US"/>
        </w:rPr>
        <w:t xml:space="preserve">                </w:t>
      </w:r>
      <w:r w:rsidRPr="000A0A5F">
        <w:t>type: array</w:t>
      </w:r>
    </w:p>
    <w:p w:rsidR="00CB0DD7" w:rsidRPr="000A0A5F" w:rsidRDefault="00CB0DD7">
      <w:pPr>
        <w:pStyle w:val="PL"/>
      </w:pPr>
      <w:r w:rsidRPr="000A0A5F">
        <w:t xml:space="preserve">                items:</w:t>
      </w:r>
    </w:p>
    <w:p w:rsidR="00CB0DD7" w:rsidRPr="000A0A5F" w:rsidRDefault="00CB0DD7">
      <w:pPr>
        <w:pStyle w:val="PL"/>
      </w:pPr>
      <w:r w:rsidRPr="000A0A5F">
        <w:t xml:space="preserve">                  $ref: '#/components/schemas/NiddDownlinkDataTransfer'</w:t>
      </w:r>
    </w:p>
    <w:p w:rsidR="00CB0DD7" w:rsidRPr="000A0A5F" w:rsidRDefault="00CB0DD7">
      <w:pPr>
        <w:pStyle w:val="PL"/>
      </w:pPr>
      <w:r w:rsidRPr="000A0A5F">
        <w:t xml:space="preserve">                minItems: 0</w:t>
      </w:r>
    </w:p>
    <w:p w:rsidR="00CB0DD7" w:rsidRPr="000A0A5F" w:rsidRDefault="00CB0DD7">
      <w:pPr>
        <w:pStyle w:val="PL"/>
      </w:pPr>
      <w:r w:rsidRPr="000A0A5F">
        <w:t xml:space="preserve">                description: individual NIDD </w:t>
      </w:r>
      <w:r w:rsidRPr="000A0A5F">
        <w:rPr>
          <w:lang w:val="en-US"/>
        </w:rPr>
        <w:t>downlink data delivery.</w:t>
      </w:r>
    </w:p>
    <w:p w:rsidR="00CB0DD7" w:rsidRPr="000A0A5F" w:rsidRDefault="00CB0DD7">
      <w:pPr>
        <w:pStyle w:val="PL"/>
      </w:pPr>
      <w:r w:rsidRPr="000A0A5F">
        <w:t xml:space="preserve">        '307':</w:t>
      </w:r>
    </w:p>
    <w:p w:rsidR="00CB0DD7" w:rsidRPr="000A0A5F" w:rsidRDefault="00CB0DD7">
      <w:pPr>
        <w:pStyle w:val="PL"/>
      </w:pPr>
      <w:r w:rsidRPr="000A0A5F">
        <w:t xml:space="preserve">          $ref: 'TS29122_CommonData.yaml#/components/responses/307'</w:t>
      </w:r>
    </w:p>
    <w:p w:rsidR="00CB0DD7" w:rsidRPr="000A0A5F" w:rsidRDefault="00CB0DD7">
      <w:pPr>
        <w:pStyle w:val="PL"/>
      </w:pPr>
      <w:r w:rsidRPr="000A0A5F">
        <w:t xml:space="preserve">        '308':</w:t>
      </w:r>
    </w:p>
    <w:p w:rsidR="00CB0DD7" w:rsidRPr="000A0A5F" w:rsidRDefault="00CB0DD7">
      <w:pPr>
        <w:pStyle w:val="PL"/>
      </w:pPr>
      <w:r w:rsidRPr="000A0A5F">
        <w:t xml:space="preserve">          $ref: 'TS29122_CommonData.yaml#/components/responses/308'</w:t>
      </w:r>
    </w:p>
    <w:p w:rsidR="00CB0DD7" w:rsidRPr="000A0A5F" w:rsidRDefault="00CB0DD7">
      <w:pPr>
        <w:pStyle w:val="PL"/>
      </w:pPr>
      <w:r w:rsidRPr="000A0A5F">
        <w:t xml:space="preserve">        '400':</w:t>
      </w:r>
    </w:p>
    <w:p w:rsidR="00CB0DD7" w:rsidRPr="000A0A5F" w:rsidRDefault="00CB0DD7">
      <w:pPr>
        <w:pStyle w:val="PL"/>
      </w:pPr>
      <w:r w:rsidRPr="000A0A5F">
        <w:t xml:space="preserve">          $ref: 'TS29122_CommonData.yaml#/components/responses/400'</w:t>
      </w:r>
    </w:p>
    <w:p w:rsidR="00CB0DD7" w:rsidRPr="000A0A5F" w:rsidRDefault="00CB0DD7">
      <w:pPr>
        <w:pStyle w:val="PL"/>
      </w:pPr>
      <w:r w:rsidRPr="000A0A5F">
        <w:t xml:space="preserve">        '401':</w:t>
      </w:r>
    </w:p>
    <w:p w:rsidR="00CB0DD7" w:rsidRPr="000A0A5F" w:rsidRDefault="00CB0DD7">
      <w:pPr>
        <w:pStyle w:val="PL"/>
      </w:pPr>
      <w:r w:rsidRPr="000A0A5F">
        <w:t xml:space="preserve">          $ref: 'TS29122_CommonData.yaml#/components/responses/401'</w:t>
      </w:r>
    </w:p>
    <w:p w:rsidR="00CB0DD7" w:rsidRPr="000A0A5F" w:rsidRDefault="00CB0DD7">
      <w:pPr>
        <w:pStyle w:val="PL"/>
      </w:pPr>
      <w:r w:rsidRPr="000A0A5F">
        <w:t xml:space="preserve">        '403':</w:t>
      </w:r>
    </w:p>
    <w:p w:rsidR="00CB0DD7" w:rsidRPr="000A0A5F" w:rsidRDefault="00CB0DD7">
      <w:pPr>
        <w:pStyle w:val="PL"/>
      </w:pPr>
      <w:r w:rsidRPr="000A0A5F">
        <w:t xml:space="preserve">          $ref: 'TS29122_CommonData.yaml#/components/responses/403'</w:t>
      </w:r>
    </w:p>
    <w:p w:rsidR="00CB0DD7" w:rsidRPr="000A0A5F" w:rsidRDefault="00CB0DD7">
      <w:pPr>
        <w:pStyle w:val="PL"/>
      </w:pPr>
      <w:r w:rsidRPr="000A0A5F">
        <w:t xml:space="preserve">        '404':</w:t>
      </w:r>
    </w:p>
    <w:p w:rsidR="00CB0DD7" w:rsidRPr="000A0A5F" w:rsidRDefault="00CB0DD7">
      <w:pPr>
        <w:pStyle w:val="PL"/>
      </w:pPr>
      <w:r w:rsidRPr="000A0A5F">
        <w:t xml:space="preserve">          $ref: 'TS29122_CommonData.yaml#/components/responses/404'</w:t>
      </w:r>
    </w:p>
    <w:p w:rsidR="00CB0DD7" w:rsidRPr="000A0A5F" w:rsidRDefault="00CB0DD7">
      <w:pPr>
        <w:pStyle w:val="PL"/>
        <w:rPr>
          <w:lang w:val="en-US"/>
        </w:rPr>
      </w:pPr>
      <w:r w:rsidRPr="000A0A5F">
        <w:rPr>
          <w:lang w:val="en-US"/>
        </w:rPr>
        <w:t xml:space="preserve">        '406':</w:t>
      </w:r>
    </w:p>
    <w:p w:rsidR="00CB0DD7" w:rsidRPr="000A0A5F" w:rsidRDefault="00CB0DD7">
      <w:pPr>
        <w:pStyle w:val="PL"/>
        <w:rPr>
          <w:lang w:val="en-US"/>
        </w:rPr>
      </w:pPr>
      <w:r w:rsidRPr="000A0A5F">
        <w:rPr>
          <w:lang w:val="en-US"/>
        </w:rPr>
        <w:t xml:space="preserve">          $ref: 'TS29122_CommonData.yaml#/components/responses/406'</w:t>
      </w:r>
    </w:p>
    <w:p w:rsidR="00CB0DD7" w:rsidRPr="000A0A5F" w:rsidRDefault="00CB0DD7">
      <w:pPr>
        <w:pStyle w:val="PL"/>
        <w:rPr>
          <w:lang w:val="en-US"/>
        </w:rPr>
      </w:pPr>
      <w:r w:rsidRPr="000A0A5F">
        <w:rPr>
          <w:lang w:val="en-US"/>
        </w:rPr>
        <w:t xml:space="preserve">        '429':</w:t>
      </w:r>
    </w:p>
    <w:p w:rsidR="00CB0DD7" w:rsidRPr="000A0A5F" w:rsidRDefault="00CB0DD7">
      <w:pPr>
        <w:pStyle w:val="PL"/>
        <w:rPr>
          <w:lang w:val="en-US"/>
        </w:rPr>
      </w:pPr>
      <w:r w:rsidRPr="000A0A5F">
        <w:rPr>
          <w:lang w:val="en-US"/>
        </w:rPr>
        <w:t xml:space="preserve">          $ref: 'TS29122_CommonData.yaml#/components/responses/429'</w:t>
      </w:r>
    </w:p>
    <w:p w:rsidR="00CB0DD7" w:rsidRPr="000A0A5F" w:rsidRDefault="00CB0DD7">
      <w:pPr>
        <w:pStyle w:val="PL"/>
      </w:pPr>
      <w:r w:rsidRPr="000A0A5F">
        <w:t xml:space="preserve">        '500':</w:t>
      </w:r>
    </w:p>
    <w:p w:rsidR="00CB0DD7" w:rsidRPr="000A0A5F" w:rsidRDefault="00CB0DD7">
      <w:pPr>
        <w:pStyle w:val="PL"/>
      </w:pPr>
      <w:r w:rsidRPr="000A0A5F">
        <w:t xml:space="preserve">          $ref: 'TS29122_CommonData.yaml#/components/responses/500'</w:t>
      </w:r>
    </w:p>
    <w:p w:rsidR="00CB0DD7" w:rsidRPr="000A0A5F" w:rsidRDefault="00CB0DD7">
      <w:pPr>
        <w:pStyle w:val="PL"/>
      </w:pPr>
      <w:r w:rsidRPr="000A0A5F">
        <w:t xml:space="preserve">        '503':</w:t>
      </w:r>
    </w:p>
    <w:p w:rsidR="00CB0DD7" w:rsidRPr="000A0A5F" w:rsidRDefault="00CB0DD7">
      <w:pPr>
        <w:pStyle w:val="PL"/>
      </w:pPr>
      <w:r w:rsidRPr="000A0A5F">
        <w:t xml:space="preserve">          $ref: 'TS29122_CommonData.yaml#/components/responses/503'</w:t>
      </w:r>
    </w:p>
    <w:p w:rsidR="00CB0DD7" w:rsidRPr="000A0A5F" w:rsidRDefault="00CB0DD7">
      <w:pPr>
        <w:pStyle w:val="PL"/>
      </w:pPr>
      <w:r w:rsidRPr="000A0A5F">
        <w:t xml:space="preserve">        default:</w:t>
      </w:r>
    </w:p>
    <w:p w:rsidR="00CB0DD7" w:rsidRPr="000A0A5F" w:rsidRDefault="00CB0DD7">
      <w:pPr>
        <w:pStyle w:val="PL"/>
      </w:pPr>
      <w:r w:rsidRPr="000A0A5F">
        <w:t xml:space="preserve">          $ref: 'TS29122_CommonData.yaml#/components/responses/default'</w:t>
      </w:r>
    </w:p>
    <w:p w:rsidR="00CB0DD7" w:rsidRPr="000A0A5F" w:rsidRDefault="00CB0DD7">
      <w:pPr>
        <w:pStyle w:val="PL"/>
        <w:rPr>
          <w:lang w:val="en-US"/>
        </w:rPr>
      </w:pPr>
      <w:r w:rsidRPr="000A0A5F">
        <w:rPr>
          <w:lang w:val="en-US"/>
        </w:rPr>
        <w:t xml:space="preserve">    post:</w:t>
      </w:r>
    </w:p>
    <w:p w:rsidR="00E555E6" w:rsidRPr="000A0A5F" w:rsidRDefault="00E555E6" w:rsidP="00E555E6">
      <w:pPr>
        <w:pStyle w:val="PL"/>
      </w:pPr>
      <w:r w:rsidRPr="000A0A5F">
        <w:t xml:space="preserve">      summary: </w:t>
      </w:r>
      <w:r w:rsidRPr="000A0A5F">
        <w:rPr>
          <w:rFonts w:hint="eastAsia"/>
          <w:lang w:eastAsia="zh-CN"/>
        </w:rPr>
        <w:t xml:space="preserve">Create an </w:t>
      </w:r>
      <w:r w:rsidRPr="000A0A5F">
        <w:t>NIDD downlink data delivery</w:t>
      </w:r>
      <w:r w:rsidRPr="000A0A5F">
        <w:rPr>
          <w:lang w:eastAsia="zh-CN"/>
        </w:rPr>
        <w:t xml:space="preserve"> resource related to a particular NIDD configuration resource.</w:t>
      </w:r>
    </w:p>
    <w:p w:rsidR="00E555E6" w:rsidRPr="000A0A5F" w:rsidRDefault="00E555E6" w:rsidP="00E555E6">
      <w:pPr>
        <w:pStyle w:val="PL"/>
      </w:pPr>
      <w:r w:rsidRPr="000A0A5F">
        <w:t xml:space="preserve">      </w:t>
      </w:r>
      <w:r w:rsidRPr="000A0A5F">
        <w:rPr>
          <w:rFonts w:cs="Courier New"/>
          <w:szCs w:val="16"/>
        </w:rPr>
        <w:t>operationId: Create</w:t>
      </w:r>
      <w:r w:rsidRPr="000A0A5F">
        <w:t>DownlinkData</w:t>
      </w:r>
      <w:r w:rsidRPr="000A0A5F">
        <w:rPr>
          <w:lang w:eastAsia="zh-CN"/>
        </w:rPr>
        <w:t>D</w:t>
      </w:r>
      <w:r w:rsidRPr="000A0A5F">
        <w:rPr>
          <w:rFonts w:hint="eastAsia"/>
          <w:lang w:eastAsia="zh-CN"/>
        </w:rPr>
        <w:t>eliver</w:t>
      </w:r>
      <w:r w:rsidRPr="000A0A5F">
        <w:rPr>
          <w:lang w:eastAsia="zh-CN"/>
        </w:rPr>
        <w:t>y</w:t>
      </w:r>
    </w:p>
    <w:p w:rsidR="00E555E6" w:rsidRPr="000A0A5F" w:rsidRDefault="00E555E6" w:rsidP="00E555E6">
      <w:pPr>
        <w:pStyle w:val="PL"/>
      </w:pPr>
      <w:r w:rsidRPr="000A0A5F">
        <w:t xml:space="preserve">      tags:</w:t>
      </w:r>
    </w:p>
    <w:p w:rsidR="00E555E6" w:rsidRPr="000A0A5F" w:rsidRDefault="00E555E6" w:rsidP="00E555E6">
      <w:pPr>
        <w:pStyle w:val="PL"/>
      </w:pPr>
      <w:r w:rsidRPr="000A0A5F">
        <w:t xml:space="preserve">        - NIDD downlink data</w:t>
      </w:r>
      <w:r w:rsidRPr="000A0A5F">
        <w:rPr>
          <w:rFonts w:hint="eastAsia"/>
          <w:lang w:eastAsia="zh-CN"/>
        </w:rPr>
        <w:t xml:space="preserve"> deliveries</w:t>
      </w:r>
    </w:p>
    <w:p w:rsidR="00CB0DD7" w:rsidRPr="000A0A5F" w:rsidRDefault="00CB0DD7">
      <w:pPr>
        <w:pStyle w:val="PL"/>
        <w:rPr>
          <w:lang w:val="en-US"/>
        </w:rPr>
      </w:pPr>
      <w:r w:rsidRPr="000A0A5F">
        <w:rPr>
          <w:lang w:val="en-US"/>
        </w:rPr>
        <w:t xml:space="preserve">      requestBody:</w:t>
      </w:r>
    </w:p>
    <w:p w:rsidR="00CB0DD7" w:rsidRPr="000A0A5F" w:rsidRDefault="00CB0DD7">
      <w:pPr>
        <w:pStyle w:val="PL"/>
        <w:rPr>
          <w:lang w:val="en-US"/>
        </w:rPr>
      </w:pPr>
      <w:r w:rsidRPr="000A0A5F">
        <w:rPr>
          <w:lang w:val="en-US"/>
        </w:rPr>
        <w:t xml:space="preserve">        description: Contains the data to create a NIDD downlink data delivery.</w:t>
      </w:r>
    </w:p>
    <w:p w:rsidR="00CB0DD7" w:rsidRPr="000A0A5F" w:rsidRDefault="00CB0DD7">
      <w:pPr>
        <w:pStyle w:val="PL"/>
        <w:rPr>
          <w:lang w:val="en-US"/>
        </w:rPr>
      </w:pPr>
      <w:r w:rsidRPr="000A0A5F">
        <w:rPr>
          <w:lang w:val="en-US"/>
        </w:rPr>
        <w:t xml:space="preserve">        required: true</w:t>
      </w:r>
    </w:p>
    <w:p w:rsidR="00CB0DD7" w:rsidRPr="000A0A5F" w:rsidRDefault="00CB0DD7">
      <w:pPr>
        <w:pStyle w:val="PL"/>
        <w:rPr>
          <w:lang w:val="en-US"/>
        </w:rPr>
      </w:pPr>
      <w:r w:rsidRPr="000A0A5F">
        <w:rPr>
          <w:lang w:val="en-US"/>
        </w:rPr>
        <w:t xml:space="preserve">        content:</w:t>
      </w:r>
    </w:p>
    <w:p w:rsidR="00CB0DD7" w:rsidRPr="000A0A5F" w:rsidRDefault="00CB0DD7">
      <w:pPr>
        <w:pStyle w:val="PL"/>
        <w:rPr>
          <w:lang w:val="en-US"/>
        </w:rPr>
      </w:pPr>
      <w:r w:rsidRPr="000A0A5F">
        <w:rPr>
          <w:lang w:val="en-US"/>
        </w:rPr>
        <w:t xml:space="preserve">          application/json:</w:t>
      </w:r>
    </w:p>
    <w:p w:rsidR="00CB0DD7" w:rsidRPr="000A0A5F" w:rsidRDefault="00CB0DD7">
      <w:pPr>
        <w:pStyle w:val="PL"/>
        <w:rPr>
          <w:lang w:val="en-US"/>
        </w:rPr>
      </w:pPr>
      <w:r w:rsidRPr="000A0A5F">
        <w:rPr>
          <w:lang w:val="en-US"/>
        </w:rPr>
        <w:t xml:space="preserve">            schema:</w:t>
      </w:r>
    </w:p>
    <w:p w:rsidR="00CB0DD7" w:rsidRPr="000A0A5F" w:rsidRDefault="00CB0DD7">
      <w:pPr>
        <w:pStyle w:val="PL"/>
        <w:rPr>
          <w:lang w:val="en-US"/>
        </w:rPr>
      </w:pPr>
      <w:r w:rsidRPr="000A0A5F">
        <w:rPr>
          <w:lang w:val="en-US"/>
        </w:rPr>
        <w:t xml:space="preserve">              $ref: '#/components/schemas/</w:t>
      </w:r>
      <w:r w:rsidRPr="000A0A5F">
        <w:t>NiddDownlinkDataTransfer'</w:t>
      </w:r>
    </w:p>
    <w:p w:rsidR="00CB0DD7" w:rsidRPr="000A0A5F" w:rsidRDefault="00CB0DD7">
      <w:pPr>
        <w:pStyle w:val="PL"/>
        <w:rPr>
          <w:lang w:val="en-US"/>
        </w:rPr>
      </w:pPr>
      <w:r w:rsidRPr="000A0A5F">
        <w:rPr>
          <w:lang w:val="en-US"/>
        </w:rPr>
        <w:t xml:space="preserve">      responses:</w:t>
      </w:r>
    </w:p>
    <w:p w:rsidR="00CB0DD7" w:rsidRPr="000A0A5F" w:rsidRDefault="00CB0DD7">
      <w:pPr>
        <w:pStyle w:val="PL"/>
        <w:rPr>
          <w:lang w:val="en-US"/>
        </w:rPr>
      </w:pPr>
      <w:r w:rsidRPr="000A0A5F">
        <w:rPr>
          <w:lang w:val="en-US"/>
        </w:rPr>
        <w:t xml:space="preserve">        '200':</w:t>
      </w:r>
    </w:p>
    <w:p w:rsidR="00CB0DD7" w:rsidRPr="000A0A5F" w:rsidRDefault="00CB0DD7">
      <w:pPr>
        <w:pStyle w:val="PL"/>
        <w:rPr>
          <w:lang w:val="en-US"/>
        </w:rPr>
      </w:pPr>
      <w:r w:rsidRPr="000A0A5F">
        <w:rPr>
          <w:lang w:val="en-US"/>
        </w:rPr>
        <w:t xml:space="preserve">          description: NIDD downlink data delivery is successful.</w:t>
      </w:r>
    </w:p>
    <w:p w:rsidR="00CB0DD7" w:rsidRPr="000A0A5F" w:rsidRDefault="00CB0DD7">
      <w:pPr>
        <w:pStyle w:val="PL"/>
        <w:rPr>
          <w:lang w:val="en-US"/>
        </w:rPr>
      </w:pPr>
      <w:r w:rsidRPr="000A0A5F">
        <w:rPr>
          <w:lang w:val="en-US"/>
        </w:rPr>
        <w:t xml:space="preserve">          content:</w:t>
      </w:r>
    </w:p>
    <w:p w:rsidR="00CB0DD7" w:rsidRPr="000A0A5F" w:rsidRDefault="00CB0DD7">
      <w:pPr>
        <w:pStyle w:val="PL"/>
        <w:rPr>
          <w:lang w:val="en-US"/>
        </w:rPr>
      </w:pPr>
      <w:r w:rsidRPr="000A0A5F">
        <w:rPr>
          <w:lang w:val="en-US"/>
        </w:rPr>
        <w:t xml:space="preserve">            application/json:</w:t>
      </w:r>
    </w:p>
    <w:p w:rsidR="00CB0DD7" w:rsidRPr="000A0A5F" w:rsidRDefault="00CB0DD7">
      <w:pPr>
        <w:pStyle w:val="PL"/>
        <w:rPr>
          <w:lang w:val="en-US"/>
        </w:rPr>
      </w:pPr>
      <w:r w:rsidRPr="000A0A5F">
        <w:rPr>
          <w:lang w:val="en-US"/>
        </w:rPr>
        <w:t xml:space="preserve">              schema:</w:t>
      </w:r>
    </w:p>
    <w:p w:rsidR="00CB0DD7" w:rsidRPr="000A0A5F" w:rsidRDefault="00CB0DD7">
      <w:pPr>
        <w:pStyle w:val="PL"/>
      </w:pPr>
      <w:r w:rsidRPr="000A0A5F">
        <w:rPr>
          <w:lang w:val="en-US"/>
        </w:rPr>
        <w:t xml:space="preserve">                $ref: '#/components/schemas/</w:t>
      </w:r>
      <w:r w:rsidRPr="000A0A5F">
        <w:t>NiddDownlinkDataTransfer'</w:t>
      </w:r>
    </w:p>
    <w:p w:rsidR="00CB0DD7" w:rsidRPr="000A0A5F" w:rsidRDefault="00CB0DD7">
      <w:pPr>
        <w:pStyle w:val="PL"/>
        <w:rPr>
          <w:lang w:val="en-US"/>
        </w:rPr>
      </w:pPr>
      <w:r w:rsidRPr="000A0A5F">
        <w:rPr>
          <w:lang w:val="en-US"/>
        </w:rPr>
        <w:t xml:space="preserve">        '201':</w:t>
      </w:r>
    </w:p>
    <w:p w:rsidR="00CB0DD7" w:rsidRPr="000A0A5F" w:rsidRDefault="00CB0DD7">
      <w:pPr>
        <w:pStyle w:val="PL"/>
        <w:rPr>
          <w:lang w:val="en-US"/>
        </w:rPr>
      </w:pPr>
      <w:r w:rsidRPr="000A0A5F">
        <w:rPr>
          <w:lang w:val="en-US"/>
        </w:rPr>
        <w:t xml:space="preserve">          description: NIDD downlink data delivery is pending.</w:t>
      </w:r>
    </w:p>
    <w:p w:rsidR="00CB0DD7" w:rsidRPr="000A0A5F" w:rsidRDefault="00CB0DD7">
      <w:pPr>
        <w:pStyle w:val="PL"/>
        <w:rPr>
          <w:lang w:val="en-US"/>
        </w:rPr>
      </w:pPr>
      <w:r w:rsidRPr="000A0A5F">
        <w:rPr>
          <w:lang w:val="en-US"/>
        </w:rPr>
        <w:t xml:space="preserve">          content:</w:t>
      </w:r>
    </w:p>
    <w:p w:rsidR="00CB0DD7" w:rsidRPr="000A0A5F" w:rsidRDefault="00CB0DD7">
      <w:pPr>
        <w:pStyle w:val="PL"/>
        <w:rPr>
          <w:lang w:val="en-US"/>
        </w:rPr>
      </w:pPr>
      <w:r w:rsidRPr="000A0A5F">
        <w:rPr>
          <w:lang w:val="en-US"/>
        </w:rPr>
        <w:t xml:space="preserve">            application/json:</w:t>
      </w:r>
    </w:p>
    <w:p w:rsidR="00CB0DD7" w:rsidRPr="000A0A5F" w:rsidRDefault="00CB0DD7">
      <w:pPr>
        <w:pStyle w:val="PL"/>
        <w:rPr>
          <w:lang w:val="en-US"/>
        </w:rPr>
      </w:pPr>
      <w:r w:rsidRPr="000A0A5F">
        <w:rPr>
          <w:lang w:val="en-US"/>
        </w:rPr>
        <w:t xml:space="preserve">              schema:</w:t>
      </w:r>
    </w:p>
    <w:p w:rsidR="00CB0DD7" w:rsidRPr="000A0A5F" w:rsidRDefault="00CB0DD7">
      <w:pPr>
        <w:pStyle w:val="PL"/>
        <w:rPr>
          <w:lang w:val="en-US"/>
        </w:rPr>
      </w:pPr>
      <w:r w:rsidRPr="000A0A5F">
        <w:rPr>
          <w:lang w:val="en-US"/>
        </w:rPr>
        <w:t xml:space="preserve">                $ref: '#/components/schemas/</w:t>
      </w:r>
      <w:r w:rsidRPr="000A0A5F">
        <w:t>NiddDownlinkDataTransfer'</w:t>
      </w:r>
    </w:p>
    <w:p w:rsidR="00CB0DD7" w:rsidRPr="000A0A5F" w:rsidRDefault="00CB0DD7">
      <w:pPr>
        <w:pStyle w:val="PL"/>
      </w:pPr>
      <w:r w:rsidRPr="000A0A5F">
        <w:t xml:space="preserve">          headers:</w:t>
      </w:r>
    </w:p>
    <w:p w:rsidR="00CB0DD7" w:rsidRPr="000A0A5F" w:rsidRDefault="00CB0DD7">
      <w:pPr>
        <w:pStyle w:val="PL"/>
      </w:pPr>
      <w:r w:rsidRPr="000A0A5F">
        <w:t xml:space="preserve">            Location:</w:t>
      </w:r>
    </w:p>
    <w:p w:rsidR="00CB0DD7" w:rsidRPr="000A0A5F" w:rsidRDefault="00CB0DD7">
      <w:pPr>
        <w:pStyle w:val="PL"/>
      </w:pPr>
      <w:r w:rsidRPr="000A0A5F">
        <w:t xml:space="preserve">              description: 'Contains the URI of the newly created resource'</w:t>
      </w:r>
    </w:p>
    <w:p w:rsidR="00CB0DD7" w:rsidRPr="000A0A5F" w:rsidRDefault="00CB0DD7">
      <w:pPr>
        <w:pStyle w:val="PL"/>
      </w:pPr>
      <w:r w:rsidRPr="000A0A5F">
        <w:t xml:space="preserve">              required: true</w:t>
      </w:r>
    </w:p>
    <w:p w:rsidR="00CB0DD7" w:rsidRPr="000A0A5F" w:rsidRDefault="00CB0DD7">
      <w:pPr>
        <w:pStyle w:val="PL"/>
      </w:pPr>
      <w:r w:rsidRPr="000A0A5F">
        <w:t xml:space="preserve">              schema:</w:t>
      </w:r>
    </w:p>
    <w:p w:rsidR="00CB0DD7" w:rsidRPr="000A0A5F" w:rsidRDefault="00CB0DD7">
      <w:pPr>
        <w:pStyle w:val="PL"/>
      </w:pPr>
      <w:r w:rsidRPr="000A0A5F">
        <w:t xml:space="preserve">                type: string</w:t>
      </w:r>
    </w:p>
    <w:p w:rsidR="00CB0DD7" w:rsidRPr="000A0A5F" w:rsidRDefault="00CB0DD7">
      <w:pPr>
        <w:pStyle w:val="PL"/>
      </w:pPr>
      <w:r w:rsidRPr="000A0A5F">
        <w:t xml:space="preserve">        '307':</w:t>
      </w:r>
    </w:p>
    <w:p w:rsidR="00CB0DD7" w:rsidRPr="000A0A5F" w:rsidRDefault="00CB0DD7">
      <w:pPr>
        <w:pStyle w:val="PL"/>
      </w:pPr>
      <w:r w:rsidRPr="000A0A5F">
        <w:t xml:space="preserve">          $ref: 'TS29122_CommonData.yaml#/components/responses/307'</w:t>
      </w:r>
    </w:p>
    <w:p w:rsidR="00CB0DD7" w:rsidRPr="000A0A5F" w:rsidRDefault="00CB0DD7">
      <w:pPr>
        <w:pStyle w:val="PL"/>
      </w:pPr>
      <w:r w:rsidRPr="000A0A5F">
        <w:t xml:space="preserve">        '308':</w:t>
      </w:r>
    </w:p>
    <w:p w:rsidR="00CB0DD7" w:rsidRPr="000A0A5F" w:rsidRDefault="00CB0DD7">
      <w:pPr>
        <w:pStyle w:val="PL"/>
      </w:pPr>
      <w:r w:rsidRPr="000A0A5F">
        <w:t xml:space="preserve">          $ref: 'TS29122_CommonData.yaml#/components/responses/308'</w:t>
      </w:r>
    </w:p>
    <w:p w:rsidR="00CB0DD7" w:rsidRPr="000A0A5F" w:rsidRDefault="00CB0DD7">
      <w:pPr>
        <w:pStyle w:val="PL"/>
        <w:rPr>
          <w:lang w:val="en-US"/>
        </w:rPr>
      </w:pPr>
      <w:r w:rsidRPr="000A0A5F">
        <w:rPr>
          <w:lang w:val="en-US"/>
        </w:rPr>
        <w:t xml:space="preserve">        '400':</w:t>
      </w:r>
    </w:p>
    <w:p w:rsidR="00CB0DD7" w:rsidRPr="000A0A5F" w:rsidRDefault="00CB0DD7">
      <w:pPr>
        <w:pStyle w:val="PL"/>
        <w:rPr>
          <w:lang w:val="en-US"/>
        </w:rPr>
      </w:pPr>
      <w:r w:rsidRPr="000A0A5F">
        <w:rPr>
          <w:lang w:val="en-US"/>
        </w:rPr>
        <w:t xml:space="preserve">          $ref: 'TS29122_CommonData.yaml#/components/responses/400'</w:t>
      </w:r>
    </w:p>
    <w:p w:rsidR="00CB0DD7" w:rsidRPr="000A0A5F" w:rsidRDefault="00CB0DD7">
      <w:pPr>
        <w:pStyle w:val="PL"/>
        <w:rPr>
          <w:lang w:val="en-US"/>
        </w:rPr>
      </w:pPr>
      <w:r w:rsidRPr="000A0A5F">
        <w:rPr>
          <w:lang w:val="en-US"/>
        </w:rPr>
        <w:t xml:space="preserve">        '401':</w:t>
      </w:r>
    </w:p>
    <w:p w:rsidR="00CB0DD7" w:rsidRPr="000A0A5F" w:rsidRDefault="00CB0DD7">
      <w:pPr>
        <w:pStyle w:val="PL"/>
        <w:rPr>
          <w:lang w:val="en-US"/>
        </w:rPr>
      </w:pPr>
      <w:r w:rsidRPr="000A0A5F">
        <w:rPr>
          <w:lang w:val="en-US"/>
        </w:rPr>
        <w:t xml:space="preserve">          $ref: 'TS29122_CommonData.yaml#/components/responses/401'</w:t>
      </w:r>
    </w:p>
    <w:p w:rsidR="00CB0DD7" w:rsidRPr="000A0A5F" w:rsidRDefault="00CB0DD7">
      <w:pPr>
        <w:pStyle w:val="PL"/>
        <w:rPr>
          <w:lang w:val="en-US"/>
        </w:rPr>
      </w:pPr>
      <w:r w:rsidRPr="000A0A5F">
        <w:rPr>
          <w:lang w:val="en-US"/>
        </w:rPr>
        <w:t xml:space="preserve">        '403':</w:t>
      </w:r>
    </w:p>
    <w:p w:rsidR="00CB0DD7" w:rsidRPr="000A0A5F" w:rsidRDefault="00CB0DD7">
      <w:pPr>
        <w:pStyle w:val="PL"/>
        <w:rPr>
          <w:lang w:val="en-US"/>
        </w:rPr>
      </w:pPr>
      <w:r w:rsidRPr="000A0A5F">
        <w:rPr>
          <w:lang w:val="en-US"/>
        </w:rPr>
        <w:t xml:space="preserve">          $ref: 'TS29122_CommonData.yaml#/components/responses/403'</w:t>
      </w:r>
    </w:p>
    <w:p w:rsidR="00CB0DD7" w:rsidRPr="000A0A5F" w:rsidRDefault="00CB0DD7">
      <w:pPr>
        <w:pStyle w:val="PL"/>
        <w:rPr>
          <w:lang w:val="en-US"/>
        </w:rPr>
      </w:pPr>
      <w:r w:rsidRPr="000A0A5F">
        <w:rPr>
          <w:lang w:val="en-US"/>
        </w:rPr>
        <w:t xml:space="preserve">        '404':</w:t>
      </w:r>
    </w:p>
    <w:p w:rsidR="00CB0DD7" w:rsidRPr="000A0A5F" w:rsidRDefault="00CB0DD7">
      <w:pPr>
        <w:pStyle w:val="PL"/>
        <w:rPr>
          <w:lang w:val="en-US"/>
        </w:rPr>
      </w:pPr>
      <w:r w:rsidRPr="000A0A5F">
        <w:rPr>
          <w:lang w:val="en-US"/>
        </w:rPr>
        <w:t xml:space="preserve">          $ref: 'TS29122_CommonData.yaml#/components/responses/404'</w:t>
      </w:r>
    </w:p>
    <w:p w:rsidR="00CB0DD7" w:rsidRPr="000A0A5F" w:rsidRDefault="00CB0DD7">
      <w:pPr>
        <w:pStyle w:val="PL"/>
        <w:rPr>
          <w:lang w:val="en-US"/>
        </w:rPr>
      </w:pPr>
      <w:r w:rsidRPr="000A0A5F">
        <w:rPr>
          <w:lang w:val="en-US"/>
        </w:rPr>
        <w:t xml:space="preserve">        '411':</w:t>
      </w:r>
    </w:p>
    <w:p w:rsidR="00CB0DD7" w:rsidRPr="000A0A5F" w:rsidRDefault="00CB0DD7">
      <w:pPr>
        <w:pStyle w:val="PL"/>
        <w:rPr>
          <w:lang w:val="en-US"/>
        </w:rPr>
      </w:pPr>
      <w:r w:rsidRPr="000A0A5F">
        <w:rPr>
          <w:lang w:val="en-US"/>
        </w:rPr>
        <w:t xml:space="preserve">          $ref: 'TS29122_CommonData.yaml#/components/responses/411'</w:t>
      </w:r>
    </w:p>
    <w:p w:rsidR="00CB0DD7" w:rsidRPr="000A0A5F" w:rsidRDefault="00CB0DD7">
      <w:pPr>
        <w:pStyle w:val="PL"/>
        <w:rPr>
          <w:lang w:val="en-US"/>
        </w:rPr>
      </w:pPr>
      <w:r w:rsidRPr="000A0A5F">
        <w:rPr>
          <w:lang w:val="en-US"/>
        </w:rPr>
        <w:t xml:space="preserve">        '413':</w:t>
      </w:r>
    </w:p>
    <w:p w:rsidR="00CB0DD7" w:rsidRPr="000A0A5F" w:rsidRDefault="00CB0DD7">
      <w:pPr>
        <w:pStyle w:val="PL"/>
        <w:rPr>
          <w:lang w:val="en-US"/>
        </w:rPr>
      </w:pPr>
      <w:r w:rsidRPr="000A0A5F">
        <w:rPr>
          <w:lang w:val="en-US"/>
        </w:rPr>
        <w:t xml:space="preserve">          $ref: 'TS29122_CommonData.yaml#/components/responses/413'</w:t>
      </w:r>
    </w:p>
    <w:p w:rsidR="00CB0DD7" w:rsidRPr="000A0A5F" w:rsidRDefault="00CB0DD7">
      <w:pPr>
        <w:pStyle w:val="PL"/>
        <w:rPr>
          <w:lang w:val="en-US"/>
        </w:rPr>
      </w:pPr>
      <w:r w:rsidRPr="000A0A5F">
        <w:rPr>
          <w:lang w:val="en-US"/>
        </w:rPr>
        <w:t xml:space="preserve">        '415':</w:t>
      </w:r>
    </w:p>
    <w:p w:rsidR="00CB0DD7" w:rsidRPr="000A0A5F" w:rsidRDefault="00CB0DD7">
      <w:pPr>
        <w:pStyle w:val="PL"/>
        <w:rPr>
          <w:lang w:val="en-US"/>
        </w:rPr>
      </w:pPr>
      <w:r w:rsidRPr="000A0A5F">
        <w:rPr>
          <w:lang w:val="en-US"/>
        </w:rPr>
        <w:t xml:space="preserve">          $ref: 'TS29122_CommonData.yaml#/components/responses/415'</w:t>
      </w:r>
    </w:p>
    <w:p w:rsidR="00CB0DD7" w:rsidRPr="000A0A5F" w:rsidRDefault="00CB0DD7">
      <w:pPr>
        <w:pStyle w:val="PL"/>
        <w:rPr>
          <w:lang w:val="en-US"/>
        </w:rPr>
      </w:pPr>
      <w:r w:rsidRPr="000A0A5F">
        <w:rPr>
          <w:lang w:val="en-US"/>
        </w:rPr>
        <w:t xml:space="preserve">        '429':</w:t>
      </w:r>
    </w:p>
    <w:p w:rsidR="00CB0DD7" w:rsidRPr="000A0A5F" w:rsidRDefault="00CB0DD7">
      <w:pPr>
        <w:pStyle w:val="PL"/>
        <w:rPr>
          <w:lang w:val="en-US"/>
        </w:rPr>
      </w:pPr>
      <w:r w:rsidRPr="000A0A5F">
        <w:rPr>
          <w:lang w:val="en-US"/>
        </w:rPr>
        <w:t xml:space="preserve">          $ref: 'TS29122_CommonData.yaml#/components/responses/429'</w:t>
      </w:r>
    </w:p>
    <w:p w:rsidR="00CB0DD7" w:rsidRPr="000A0A5F" w:rsidRDefault="00CB0DD7">
      <w:pPr>
        <w:pStyle w:val="PL"/>
        <w:rPr>
          <w:lang w:val="en-US"/>
        </w:rPr>
      </w:pPr>
      <w:r w:rsidRPr="000A0A5F">
        <w:rPr>
          <w:lang w:val="en-US"/>
        </w:rPr>
        <w:t xml:space="preserve">        '500':</w:t>
      </w:r>
    </w:p>
    <w:p w:rsidR="00CB0DD7" w:rsidRPr="000A0A5F" w:rsidRDefault="00CB0DD7">
      <w:pPr>
        <w:pStyle w:val="PL"/>
        <w:rPr>
          <w:lang w:eastAsia="zh-CN"/>
        </w:rPr>
      </w:pPr>
      <w:r w:rsidRPr="000A0A5F">
        <w:t xml:space="preserve">          description: The NIDD downlink data delivery request was not successful</w:t>
      </w:r>
      <w:r w:rsidRPr="000A0A5F">
        <w:rPr>
          <w:lang w:eastAsia="zh-CN"/>
        </w:rPr>
        <w:t>.</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application/json:</w:t>
      </w:r>
    </w:p>
    <w:p w:rsidR="00CB0DD7" w:rsidRPr="000A0A5F" w:rsidRDefault="00CB0DD7">
      <w:pPr>
        <w:pStyle w:val="PL"/>
      </w:pPr>
      <w:r w:rsidRPr="000A0A5F">
        <w:t xml:space="preserve">              schema:</w:t>
      </w:r>
    </w:p>
    <w:p w:rsidR="00CB0DD7" w:rsidRPr="000A0A5F" w:rsidRDefault="00CB0DD7">
      <w:pPr>
        <w:pStyle w:val="PL"/>
      </w:pPr>
      <w:r w:rsidRPr="000A0A5F">
        <w:t xml:space="preserve">                $ref: '#/components/schemas/NiddDownlinkDataDeliveryFailure</w:t>
      </w:r>
      <w:r w:rsidRPr="000A0A5F">
        <w:rPr>
          <w:lang w:eastAsia="zh-CN"/>
        </w:rPr>
        <w:t>'</w:t>
      </w:r>
    </w:p>
    <w:p w:rsidR="00CB0DD7" w:rsidRPr="000A0A5F" w:rsidRDefault="00CB0DD7">
      <w:pPr>
        <w:pStyle w:val="PL"/>
        <w:rPr>
          <w:lang w:val="en-US"/>
        </w:rPr>
      </w:pPr>
      <w:r w:rsidRPr="000A0A5F">
        <w:rPr>
          <w:lang w:val="en-US"/>
        </w:rPr>
        <w:t xml:space="preserve">        '503':</w:t>
      </w:r>
    </w:p>
    <w:p w:rsidR="00CB0DD7" w:rsidRPr="000A0A5F" w:rsidRDefault="00CB0DD7">
      <w:pPr>
        <w:pStyle w:val="PL"/>
        <w:rPr>
          <w:lang w:val="en-US"/>
        </w:rPr>
      </w:pPr>
      <w:r w:rsidRPr="000A0A5F">
        <w:rPr>
          <w:lang w:val="en-US"/>
        </w:rPr>
        <w:t xml:space="preserve">          $ref: 'TS29122_CommonData.yaml#/components/responses/503'</w:t>
      </w:r>
    </w:p>
    <w:p w:rsidR="00CB0DD7" w:rsidRPr="000A0A5F" w:rsidRDefault="00CB0DD7">
      <w:pPr>
        <w:pStyle w:val="PL"/>
        <w:rPr>
          <w:lang w:val="en-US"/>
        </w:rPr>
      </w:pPr>
      <w:r w:rsidRPr="000A0A5F">
        <w:rPr>
          <w:lang w:val="en-US"/>
        </w:rPr>
        <w:t xml:space="preserve">        default:</w:t>
      </w:r>
    </w:p>
    <w:p w:rsidR="00CB0DD7" w:rsidRPr="000A0A5F" w:rsidRDefault="00CB0DD7">
      <w:pPr>
        <w:pStyle w:val="PL"/>
        <w:rPr>
          <w:lang w:val="en-US"/>
        </w:rPr>
      </w:pPr>
      <w:r w:rsidRPr="000A0A5F">
        <w:rPr>
          <w:lang w:val="en-US"/>
        </w:rPr>
        <w:t xml:space="preserve">          $ref: 'TS29122_CommonData.yaml#/components/responses/default'</w:t>
      </w:r>
    </w:p>
    <w:p w:rsidR="00CB0DD7" w:rsidRPr="000A0A5F" w:rsidRDefault="00CB0DD7">
      <w:pPr>
        <w:pStyle w:val="PL"/>
        <w:rPr>
          <w:lang w:val="en-US"/>
        </w:rPr>
      </w:pPr>
      <w:r w:rsidRPr="000A0A5F">
        <w:rPr>
          <w:lang w:val="en-US"/>
        </w:rPr>
        <w:t xml:space="preserve">  /{scsAsId}/configurations/{configurationId}/</w:t>
      </w:r>
      <w:r w:rsidRPr="000A0A5F">
        <w:rPr>
          <w:rFonts w:hint="eastAsia"/>
          <w:lang w:eastAsia="zh-CN"/>
        </w:rPr>
        <w:t>downlink</w:t>
      </w:r>
      <w:r w:rsidRPr="000A0A5F">
        <w:rPr>
          <w:lang w:eastAsia="zh-CN"/>
        </w:rPr>
        <w:t>-</w:t>
      </w:r>
      <w:r w:rsidRPr="000A0A5F">
        <w:rPr>
          <w:rFonts w:hint="eastAsia"/>
          <w:lang w:eastAsia="zh-CN"/>
        </w:rPr>
        <w:t>data</w:t>
      </w:r>
      <w:r w:rsidRPr="000A0A5F">
        <w:rPr>
          <w:lang w:eastAsia="zh-CN"/>
        </w:rPr>
        <w:t>-</w:t>
      </w:r>
      <w:r w:rsidRPr="000A0A5F">
        <w:rPr>
          <w:rFonts w:hint="eastAsia"/>
          <w:lang w:eastAsia="zh-CN"/>
        </w:rPr>
        <w:t>deliveries</w:t>
      </w:r>
      <w:r w:rsidRPr="000A0A5F">
        <w:rPr>
          <w:lang w:eastAsia="zh-CN"/>
        </w:rPr>
        <w:t>/{</w:t>
      </w:r>
      <w:r w:rsidRPr="000A0A5F">
        <w:t>downlinkDataDeliveryId</w:t>
      </w:r>
      <w:r w:rsidRPr="000A0A5F">
        <w:rPr>
          <w:lang w:eastAsia="zh-CN"/>
        </w:rPr>
        <w:t>}</w:t>
      </w:r>
      <w:r w:rsidRPr="000A0A5F">
        <w:rPr>
          <w:lang w:val="en-US"/>
        </w:rPr>
        <w:t>:</w:t>
      </w:r>
    </w:p>
    <w:p w:rsidR="00CB0DD7" w:rsidRPr="000A0A5F" w:rsidRDefault="00CB0DD7">
      <w:pPr>
        <w:pStyle w:val="PL"/>
        <w:rPr>
          <w:lang w:val="en-US"/>
        </w:rPr>
      </w:pPr>
      <w:r w:rsidRPr="000A0A5F">
        <w:rPr>
          <w:lang w:val="en-US"/>
        </w:rPr>
        <w:t xml:space="preserve">    parameters:</w:t>
      </w:r>
    </w:p>
    <w:p w:rsidR="00CB0DD7" w:rsidRPr="000A0A5F" w:rsidRDefault="00CB0DD7">
      <w:pPr>
        <w:pStyle w:val="PL"/>
        <w:rPr>
          <w:lang w:val="en-US"/>
        </w:rPr>
      </w:pPr>
      <w:r w:rsidRPr="000A0A5F">
        <w:rPr>
          <w:lang w:val="en-US"/>
        </w:rPr>
        <w:t xml:space="preserve">      - name: scsAsId</w:t>
      </w:r>
    </w:p>
    <w:p w:rsidR="00CB0DD7" w:rsidRPr="000A0A5F" w:rsidRDefault="00CB0DD7">
      <w:pPr>
        <w:pStyle w:val="PL"/>
        <w:rPr>
          <w:lang w:val="en-US"/>
        </w:rPr>
      </w:pPr>
      <w:r w:rsidRPr="000A0A5F">
        <w:rPr>
          <w:lang w:val="en-US"/>
        </w:rPr>
        <w:t xml:space="preserve">        description: String identifying the SCS/AS.</w:t>
      </w:r>
    </w:p>
    <w:p w:rsidR="00CB0DD7" w:rsidRPr="000A0A5F" w:rsidRDefault="00CB0DD7">
      <w:pPr>
        <w:pStyle w:val="PL"/>
        <w:rPr>
          <w:lang w:val="en-US"/>
        </w:rPr>
      </w:pPr>
      <w:r w:rsidRPr="000A0A5F">
        <w:rPr>
          <w:lang w:val="en-US"/>
        </w:rPr>
        <w:t xml:space="preserve">        in: path</w:t>
      </w:r>
    </w:p>
    <w:p w:rsidR="00CB0DD7" w:rsidRPr="000A0A5F" w:rsidRDefault="00CB0DD7">
      <w:pPr>
        <w:pStyle w:val="PL"/>
        <w:rPr>
          <w:lang w:val="en-US"/>
        </w:rPr>
      </w:pPr>
      <w:r w:rsidRPr="000A0A5F">
        <w:rPr>
          <w:lang w:val="en-US"/>
        </w:rPr>
        <w:t xml:space="preserve">        required: true</w:t>
      </w:r>
    </w:p>
    <w:p w:rsidR="00CB0DD7" w:rsidRPr="000A0A5F" w:rsidRDefault="00CB0DD7">
      <w:pPr>
        <w:pStyle w:val="PL"/>
        <w:rPr>
          <w:lang w:val="en-US"/>
        </w:rPr>
      </w:pPr>
      <w:r w:rsidRPr="000A0A5F">
        <w:rPr>
          <w:lang w:val="en-US"/>
        </w:rPr>
        <w:t xml:space="preserve">        schema:</w:t>
      </w:r>
    </w:p>
    <w:p w:rsidR="00CB0DD7" w:rsidRPr="000A0A5F" w:rsidRDefault="00CB0DD7">
      <w:pPr>
        <w:pStyle w:val="PL"/>
        <w:rPr>
          <w:lang w:val="en-US"/>
        </w:rPr>
      </w:pPr>
      <w:r w:rsidRPr="000A0A5F">
        <w:rPr>
          <w:lang w:val="en-US"/>
        </w:rPr>
        <w:t xml:space="preserve">          type: string</w:t>
      </w:r>
    </w:p>
    <w:p w:rsidR="00CB0DD7" w:rsidRPr="000A0A5F" w:rsidRDefault="00CB0DD7">
      <w:pPr>
        <w:pStyle w:val="PL"/>
        <w:rPr>
          <w:lang w:val="en-US"/>
        </w:rPr>
      </w:pPr>
      <w:r w:rsidRPr="000A0A5F">
        <w:rPr>
          <w:lang w:val="en-US"/>
        </w:rPr>
        <w:t xml:space="preserve">      - name: configurationId</w:t>
      </w:r>
    </w:p>
    <w:p w:rsidR="00CB0DD7" w:rsidRPr="000A0A5F" w:rsidRDefault="00CB0DD7">
      <w:pPr>
        <w:pStyle w:val="PL"/>
        <w:rPr>
          <w:lang w:val="en-US"/>
        </w:rPr>
      </w:pPr>
      <w:r w:rsidRPr="000A0A5F">
        <w:rPr>
          <w:lang w:val="en-US"/>
        </w:rPr>
        <w:t xml:space="preserve">        description: String identifying the individual NIDD configuration resource in the SCEF.</w:t>
      </w:r>
    </w:p>
    <w:p w:rsidR="00CB0DD7" w:rsidRPr="000A0A5F" w:rsidRDefault="00CB0DD7">
      <w:pPr>
        <w:pStyle w:val="PL"/>
        <w:rPr>
          <w:lang w:val="en-US"/>
        </w:rPr>
      </w:pPr>
      <w:r w:rsidRPr="000A0A5F">
        <w:rPr>
          <w:lang w:val="en-US"/>
        </w:rPr>
        <w:t xml:space="preserve">        in: path</w:t>
      </w:r>
    </w:p>
    <w:p w:rsidR="00CB0DD7" w:rsidRPr="000A0A5F" w:rsidRDefault="00CB0DD7">
      <w:pPr>
        <w:pStyle w:val="PL"/>
        <w:rPr>
          <w:lang w:val="en-US"/>
        </w:rPr>
      </w:pPr>
      <w:r w:rsidRPr="000A0A5F">
        <w:rPr>
          <w:lang w:val="en-US"/>
        </w:rPr>
        <w:t xml:space="preserve">        required: true</w:t>
      </w:r>
    </w:p>
    <w:p w:rsidR="00CB0DD7" w:rsidRPr="000A0A5F" w:rsidRDefault="00CB0DD7">
      <w:pPr>
        <w:pStyle w:val="PL"/>
        <w:rPr>
          <w:lang w:val="en-US"/>
        </w:rPr>
      </w:pPr>
      <w:r w:rsidRPr="000A0A5F">
        <w:rPr>
          <w:lang w:val="en-US"/>
        </w:rPr>
        <w:t xml:space="preserve">        schema:</w:t>
      </w:r>
    </w:p>
    <w:p w:rsidR="00CB0DD7" w:rsidRPr="000A0A5F" w:rsidRDefault="00CB0DD7">
      <w:pPr>
        <w:pStyle w:val="PL"/>
        <w:rPr>
          <w:lang w:val="en-US"/>
        </w:rPr>
      </w:pPr>
      <w:r w:rsidRPr="000A0A5F">
        <w:rPr>
          <w:lang w:val="en-US"/>
        </w:rPr>
        <w:t xml:space="preserve">          type: string</w:t>
      </w:r>
    </w:p>
    <w:p w:rsidR="00CB0DD7" w:rsidRPr="000A0A5F" w:rsidRDefault="00CB0DD7">
      <w:pPr>
        <w:pStyle w:val="PL"/>
        <w:rPr>
          <w:lang w:val="en-US"/>
        </w:rPr>
      </w:pPr>
      <w:r w:rsidRPr="000A0A5F">
        <w:rPr>
          <w:lang w:val="en-US"/>
        </w:rPr>
        <w:t xml:space="preserve">      - name: downlinkDataDeliveryId</w:t>
      </w:r>
    </w:p>
    <w:p w:rsidR="00CB0DD7" w:rsidRPr="000A0A5F" w:rsidRDefault="00CB0DD7">
      <w:pPr>
        <w:pStyle w:val="PL"/>
        <w:rPr>
          <w:lang w:val="en-US"/>
        </w:rPr>
      </w:pPr>
      <w:r w:rsidRPr="000A0A5F">
        <w:rPr>
          <w:lang w:val="en-US"/>
        </w:rPr>
        <w:t xml:space="preserve">        description: String identifying the individual NIDD downlink data delivery in the SCEF.</w:t>
      </w:r>
    </w:p>
    <w:p w:rsidR="00CB0DD7" w:rsidRPr="000A0A5F" w:rsidRDefault="00CB0DD7">
      <w:pPr>
        <w:pStyle w:val="PL"/>
        <w:rPr>
          <w:lang w:val="en-US"/>
        </w:rPr>
      </w:pPr>
      <w:r w:rsidRPr="000A0A5F">
        <w:rPr>
          <w:lang w:val="en-US"/>
        </w:rPr>
        <w:t xml:space="preserve">        in: path</w:t>
      </w:r>
    </w:p>
    <w:p w:rsidR="00CB0DD7" w:rsidRPr="000A0A5F" w:rsidRDefault="00CB0DD7">
      <w:pPr>
        <w:pStyle w:val="PL"/>
        <w:rPr>
          <w:lang w:val="en-US"/>
        </w:rPr>
      </w:pPr>
      <w:r w:rsidRPr="000A0A5F">
        <w:rPr>
          <w:lang w:val="en-US"/>
        </w:rPr>
        <w:t xml:space="preserve">        required: true</w:t>
      </w:r>
    </w:p>
    <w:p w:rsidR="00CB0DD7" w:rsidRPr="000A0A5F" w:rsidRDefault="00CB0DD7">
      <w:pPr>
        <w:pStyle w:val="PL"/>
        <w:rPr>
          <w:lang w:val="en-US"/>
        </w:rPr>
      </w:pPr>
      <w:r w:rsidRPr="000A0A5F">
        <w:rPr>
          <w:lang w:val="en-US"/>
        </w:rPr>
        <w:t xml:space="preserve">        schema:</w:t>
      </w:r>
    </w:p>
    <w:p w:rsidR="00CB0DD7" w:rsidRPr="000A0A5F" w:rsidRDefault="00CB0DD7">
      <w:pPr>
        <w:pStyle w:val="PL"/>
        <w:rPr>
          <w:lang w:val="en-US"/>
        </w:rPr>
      </w:pPr>
      <w:r w:rsidRPr="000A0A5F">
        <w:rPr>
          <w:lang w:val="en-US"/>
        </w:rPr>
        <w:t xml:space="preserve">          type: string</w:t>
      </w:r>
    </w:p>
    <w:p w:rsidR="00CB0DD7" w:rsidRPr="000A0A5F" w:rsidRDefault="00CB0DD7">
      <w:pPr>
        <w:pStyle w:val="PL"/>
        <w:rPr>
          <w:lang w:val="en-US"/>
        </w:rPr>
      </w:pPr>
      <w:r w:rsidRPr="000A0A5F">
        <w:rPr>
          <w:lang w:val="en-US"/>
        </w:rPr>
        <w:t xml:space="preserve">    get:</w:t>
      </w:r>
    </w:p>
    <w:p w:rsidR="00E555E6" w:rsidRPr="000A0A5F" w:rsidRDefault="00E555E6" w:rsidP="00E555E6">
      <w:pPr>
        <w:pStyle w:val="PL"/>
      </w:pPr>
      <w:r w:rsidRPr="000A0A5F">
        <w:t xml:space="preserve">      summary: Read pending NIDD downlink data delivery</w:t>
      </w:r>
      <w:r w:rsidRPr="000A0A5F">
        <w:rPr>
          <w:lang w:eastAsia="zh-CN"/>
        </w:rPr>
        <w:t xml:space="preserve"> resource.</w:t>
      </w:r>
    </w:p>
    <w:p w:rsidR="00E555E6" w:rsidRPr="000A0A5F" w:rsidRDefault="00E555E6" w:rsidP="00E555E6">
      <w:pPr>
        <w:pStyle w:val="PL"/>
      </w:pPr>
      <w:r w:rsidRPr="000A0A5F">
        <w:t xml:space="preserve">      </w:t>
      </w:r>
      <w:r w:rsidRPr="000A0A5F">
        <w:rPr>
          <w:rFonts w:cs="Courier New"/>
          <w:szCs w:val="16"/>
        </w:rPr>
        <w:t>operationId: FetchInd</w:t>
      </w:r>
      <w:r w:rsidRPr="000A0A5F">
        <w:t>DownlinkData</w:t>
      </w:r>
      <w:r w:rsidRPr="000A0A5F">
        <w:rPr>
          <w:lang w:eastAsia="zh-CN"/>
        </w:rPr>
        <w:t>D</w:t>
      </w:r>
      <w:r w:rsidRPr="000A0A5F">
        <w:rPr>
          <w:rFonts w:hint="eastAsia"/>
          <w:lang w:eastAsia="zh-CN"/>
        </w:rPr>
        <w:t>elivery</w:t>
      </w:r>
    </w:p>
    <w:p w:rsidR="00E555E6" w:rsidRPr="000A0A5F" w:rsidRDefault="00E555E6" w:rsidP="00E555E6">
      <w:pPr>
        <w:pStyle w:val="PL"/>
      </w:pPr>
      <w:r w:rsidRPr="000A0A5F">
        <w:t xml:space="preserve">      tags:</w:t>
      </w:r>
    </w:p>
    <w:p w:rsidR="00E555E6" w:rsidRPr="000A0A5F" w:rsidRDefault="00E555E6" w:rsidP="00E555E6">
      <w:pPr>
        <w:pStyle w:val="PL"/>
      </w:pPr>
      <w:r w:rsidRPr="000A0A5F">
        <w:t xml:space="preserve">        - Individual NIDD downlink data</w:t>
      </w:r>
      <w:r w:rsidRPr="000A0A5F">
        <w:rPr>
          <w:rFonts w:hint="eastAsia"/>
          <w:lang w:eastAsia="zh-CN"/>
        </w:rPr>
        <w:t xml:space="preserve"> delivery</w:t>
      </w:r>
    </w:p>
    <w:p w:rsidR="00CB0DD7" w:rsidRPr="000A0A5F" w:rsidRDefault="00CB0DD7">
      <w:pPr>
        <w:pStyle w:val="PL"/>
        <w:rPr>
          <w:lang w:val="en-US"/>
        </w:rPr>
      </w:pPr>
      <w:r w:rsidRPr="000A0A5F">
        <w:rPr>
          <w:lang w:val="en-US"/>
        </w:rPr>
        <w:t xml:space="preserve">      responses:</w:t>
      </w:r>
    </w:p>
    <w:p w:rsidR="00CB0DD7" w:rsidRPr="000A0A5F" w:rsidRDefault="00CB0DD7">
      <w:pPr>
        <w:pStyle w:val="PL"/>
        <w:rPr>
          <w:lang w:val="en-US"/>
        </w:rPr>
      </w:pPr>
      <w:r w:rsidRPr="000A0A5F">
        <w:rPr>
          <w:lang w:val="en-US"/>
        </w:rPr>
        <w:t xml:space="preserve">        '200':</w:t>
      </w:r>
    </w:p>
    <w:p w:rsidR="00CB0DD7" w:rsidRPr="000A0A5F" w:rsidRDefault="00CB0DD7">
      <w:pPr>
        <w:pStyle w:val="PL"/>
        <w:rPr>
          <w:lang w:val="en-US"/>
        </w:rPr>
      </w:pPr>
      <w:r w:rsidRPr="000A0A5F">
        <w:rPr>
          <w:lang w:val="en-US"/>
        </w:rPr>
        <w:t xml:space="preserve">          description: The individual NIDD downlink data delivery is successfully retrieved.</w:t>
      </w:r>
    </w:p>
    <w:p w:rsidR="00CB0DD7" w:rsidRPr="000A0A5F" w:rsidRDefault="00CB0DD7">
      <w:pPr>
        <w:pStyle w:val="PL"/>
        <w:rPr>
          <w:lang w:val="en-US"/>
        </w:rPr>
      </w:pPr>
      <w:r w:rsidRPr="000A0A5F">
        <w:rPr>
          <w:lang w:val="en-US"/>
        </w:rPr>
        <w:t xml:space="preserve">          content:</w:t>
      </w:r>
    </w:p>
    <w:p w:rsidR="00CB0DD7" w:rsidRPr="000A0A5F" w:rsidRDefault="00CB0DD7">
      <w:pPr>
        <w:pStyle w:val="PL"/>
        <w:rPr>
          <w:lang w:val="en-US"/>
        </w:rPr>
      </w:pPr>
      <w:r w:rsidRPr="000A0A5F">
        <w:rPr>
          <w:lang w:val="en-US"/>
        </w:rPr>
        <w:t xml:space="preserve">            application/json:</w:t>
      </w:r>
    </w:p>
    <w:p w:rsidR="00CB0DD7" w:rsidRPr="000A0A5F" w:rsidRDefault="00CB0DD7">
      <w:pPr>
        <w:pStyle w:val="PL"/>
        <w:rPr>
          <w:lang w:val="en-US"/>
        </w:rPr>
      </w:pPr>
      <w:r w:rsidRPr="000A0A5F">
        <w:rPr>
          <w:lang w:val="en-US"/>
        </w:rPr>
        <w:t xml:space="preserve">              schema:</w:t>
      </w:r>
    </w:p>
    <w:p w:rsidR="00CB0DD7" w:rsidRPr="000A0A5F" w:rsidRDefault="00CB0DD7">
      <w:pPr>
        <w:pStyle w:val="PL"/>
        <w:rPr>
          <w:lang w:val="en-US"/>
        </w:rPr>
      </w:pPr>
      <w:r w:rsidRPr="000A0A5F">
        <w:rPr>
          <w:lang w:val="en-US"/>
        </w:rPr>
        <w:t xml:space="preserve">                $ref: '#/components/schemas/</w:t>
      </w:r>
      <w:r w:rsidRPr="000A0A5F">
        <w:t>NiddDownlinkDataTransfer'</w:t>
      </w:r>
    </w:p>
    <w:p w:rsidR="00CB0DD7" w:rsidRPr="000A0A5F" w:rsidRDefault="00CB0DD7">
      <w:pPr>
        <w:pStyle w:val="PL"/>
      </w:pPr>
      <w:r w:rsidRPr="000A0A5F">
        <w:t xml:space="preserve">        '307':</w:t>
      </w:r>
    </w:p>
    <w:p w:rsidR="00CB0DD7" w:rsidRPr="000A0A5F" w:rsidRDefault="00CB0DD7">
      <w:pPr>
        <w:pStyle w:val="PL"/>
      </w:pPr>
      <w:r w:rsidRPr="000A0A5F">
        <w:t xml:space="preserve">          $ref: 'TS29122_CommonData.yaml#/components/responses/307'</w:t>
      </w:r>
    </w:p>
    <w:p w:rsidR="00CB0DD7" w:rsidRPr="000A0A5F" w:rsidRDefault="00CB0DD7">
      <w:pPr>
        <w:pStyle w:val="PL"/>
      </w:pPr>
      <w:r w:rsidRPr="000A0A5F">
        <w:t xml:space="preserve">        '308':</w:t>
      </w:r>
    </w:p>
    <w:p w:rsidR="00CB0DD7" w:rsidRPr="000A0A5F" w:rsidRDefault="00CB0DD7">
      <w:pPr>
        <w:pStyle w:val="PL"/>
      </w:pPr>
      <w:r w:rsidRPr="000A0A5F">
        <w:t xml:space="preserve">          $ref: 'TS29122_CommonData.yaml#/components/responses/308'</w:t>
      </w:r>
    </w:p>
    <w:p w:rsidR="00CB0DD7" w:rsidRPr="000A0A5F" w:rsidRDefault="00CB0DD7">
      <w:pPr>
        <w:pStyle w:val="PL"/>
        <w:rPr>
          <w:lang w:val="en-US"/>
        </w:rPr>
      </w:pPr>
      <w:r w:rsidRPr="000A0A5F">
        <w:rPr>
          <w:lang w:val="en-US"/>
        </w:rPr>
        <w:t xml:space="preserve">        '400':</w:t>
      </w:r>
    </w:p>
    <w:p w:rsidR="00CB0DD7" w:rsidRPr="000A0A5F" w:rsidRDefault="00CB0DD7">
      <w:pPr>
        <w:pStyle w:val="PL"/>
        <w:rPr>
          <w:lang w:val="en-US"/>
        </w:rPr>
      </w:pPr>
      <w:r w:rsidRPr="000A0A5F">
        <w:rPr>
          <w:lang w:val="en-US"/>
        </w:rPr>
        <w:t xml:space="preserve">          $ref: 'TS29122_CommonData.yaml#/components/responses/400'</w:t>
      </w:r>
    </w:p>
    <w:p w:rsidR="00CB0DD7" w:rsidRPr="000A0A5F" w:rsidRDefault="00CB0DD7">
      <w:pPr>
        <w:pStyle w:val="PL"/>
        <w:rPr>
          <w:lang w:val="en-US"/>
        </w:rPr>
      </w:pPr>
      <w:r w:rsidRPr="000A0A5F">
        <w:rPr>
          <w:lang w:val="en-US"/>
        </w:rPr>
        <w:t xml:space="preserve">        '401':</w:t>
      </w:r>
    </w:p>
    <w:p w:rsidR="00CB0DD7" w:rsidRPr="000A0A5F" w:rsidRDefault="00CB0DD7">
      <w:pPr>
        <w:pStyle w:val="PL"/>
        <w:rPr>
          <w:lang w:val="en-US"/>
        </w:rPr>
      </w:pPr>
      <w:r w:rsidRPr="000A0A5F">
        <w:rPr>
          <w:lang w:val="en-US"/>
        </w:rPr>
        <w:t xml:space="preserve">          $ref: 'TS29122_CommonData.yaml#/components/responses/401'</w:t>
      </w:r>
    </w:p>
    <w:p w:rsidR="00CB0DD7" w:rsidRPr="000A0A5F" w:rsidRDefault="00CB0DD7">
      <w:pPr>
        <w:pStyle w:val="PL"/>
        <w:rPr>
          <w:lang w:val="en-US"/>
        </w:rPr>
      </w:pPr>
      <w:r w:rsidRPr="000A0A5F">
        <w:rPr>
          <w:lang w:val="en-US"/>
        </w:rPr>
        <w:t xml:space="preserve">        '403':</w:t>
      </w:r>
    </w:p>
    <w:p w:rsidR="00CB0DD7" w:rsidRPr="000A0A5F" w:rsidRDefault="00CB0DD7">
      <w:pPr>
        <w:pStyle w:val="PL"/>
        <w:rPr>
          <w:lang w:val="en-US"/>
        </w:rPr>
      </w:pPr>
      <w:r w:rsidRPr="000A0A5F">
        <w:rPr>
          <w:lang w:val="en-US"/>
        </w:rPr>
        <w:t xml:space="preserve">          $ref: 'TS29122_CommonData.yaml#/components/responses/403'</w:t>
      </w:r>
    </w:p>
    <w:p w:rsidR="00CB0DD7" w:rsidRPr="000A0A5F" w:rsidRDefault="00CB0DD7">
      <w:pPr>
        <w:pStyle w:val="PL"/>
        <w:rPr>
          <w:lang w:val="en-US"/>
        </w:rPr>
      </w:pPr>
      <w:r w:rsidRPr="000A0A5F">
        <w:rPr>
          <w:lang w:val="en-US"/>
        </w:rPr>
        <w:t xml:space="preserve">        '404':</w:t>
      </w:r>
    </w:p>
    <w:p w:rsidR="00CB0DD7" w:rsidRPr="000A0A5F" w:rsidRDefault="00CB0DD7">
      <w:pPr>
        <w:pStyle w:val="PL"/>
        <w:rPr>
          <w:lang w:val="en-US"/>
        </w:rPr>
      </w:pPr>
      <w:r w:rsidRPr="000A0A5F">
        <w:rPr>
          <w:lang w:val="en-US"/>
        </w:rPr>
        <w:t xml:space="preserve">          $ref: 'TS29122_CommonData.yaml#/components/responses/404'</w:t>
      </w:r>
    </w:p>
    <w:p w:rsidR="00CB0DD7" w:rsidRPr="000A0A5F" w:rsidRDefault="00CB0DD7">
      <w:pPr>
        <w:pStyle w:val="PL"/>
        <w:rPr>
          <w:lang w:val="en-US"/>
        </w:rPr>
      </w:pPr>
      <w:r w:rsidRPr="000A0A5F">
        <w:rPr>
          <w:lang w:val="en-US"/>
        </w:rPr>
        <w:t xml:space="preserve">        '406':</w:t>
      </w:r>
    </w:p>
    <w:p w:rsidR="00CB0DD7" w:rsidRPr="000A0A5F" w:rsidRDefault="00CB0DD7">
      <w:pPr>
        <w:pStyle w:val="PL"/>
        <w:rPr>
          <w:lang w:val="en-US"/>
        </w:rPr>
      </w:pPr>
      <w:r w:rsidRPr="000A0A5F">
        <w:rPr>
          <w:lang w:val="en-US"/>
        </w:rPr>
        <w:t xml:space="preserve">          $ref: 'TS29122_CommonData.yaml#/components/responses/406'</w:t>
      </w:r>
    </w:p>
    <w:p w:rsidR="00CB0DD7" w:rsidRPr="000A0A5F" w:rsidRDefault="00CB0DD7">
      <w:pPr>
        <w:pStyle w:val="PL"/>
        <w:rPr>
          <w:lang w:val="en-US"/>
        </w:rPr>
      </w:pPr>
      <w:r w:rsidRPr="000A0A5F">
        <w:rPr>
          <w:lang w:val="en-US"/>
        </w:rPr>
        <w:t xml:space="preserve">        '429':</w:t>
      </w:r>
    </w:p>
    <w:p w:rsidR="00CB0DD7" w:rsidRPr="000A0A5F" w:rsidRDefault="00CB0DD7">
      <w:pPr>
        <w:pStyle w:val="PL"/>
        <w:rPr>
          <w:lang w:val="en-US"/>
        </w:rPr>
      </w:pPr>
      <w:r w:rsidRPr="000A0A5F">
        <w:rPr>
          <w:lang w:val="en-US"/>
        </w:rPr>
        <w:t xml:space="preserve">          $ref: 'TS29122_CommonData.yaml#/components/responses/429'</w:t>
      </w:r>
    </w:p>
    <w:p w:rsidR="00CB0DD7" w:rsidRPr="000A0A5F" w:rsidRDefault="00CB0DD7">
      <w:pPr>
        <w:pStyle w:val="PL"/>
        <w:rPr>
          <w:lang w:val="en-US"/>
        </w:rPr>
      </w:pPr>
      <w:r w:rsidRPr="000A0A5F">
        <w:rPr>
          <w:lang w:val="en-US"/>
        </w:rPr>
        <w:t xml:space="preserve">        '500':</w:t>
      </w:r>
    </w:p>
    <w:p w:rsidR="00CB0DD7" w:rsidRPr="000A0A5F" w:rsidRDefault="00CB0DD7">
      <w:pPr>
        <w:pStyle w:val="PL"/>
        <w:rPr>
          <w:lang w:val="en-US"/>
        </w:rPr>
      </w:pPr>
      <w:r w:rsidRPr="000A0A5F">
        <w:rPr>
          <w:lang w:val="en-US"/>
        </w:rPr>
        <w:t xml:space="preserve">          $ref: 'TS29122_CommonData.yaml#/components/responses/500'</w:t>
      </w:r>
    </w:p>
    <w:p w:rsidR="00CB0DD7" w:rsidRPr="000A0A5F" w:rsidRDefault="00CB0DD7">
      <w:pPr>
        <w:pStyle w:val="PL"/>
        <w:rPr>
          <w:lang w:val="en-US"/>
        </w:rPr>
      </w:pPr>
      <w:r w:rsidRPr="000A0A5F">
        <w:rPr>
          <w:lang w:val="en-US"/>
        </w:rPr>
        <w:t xml:space="preserve">        '503':</w:t>
      </w:r>
    </w:p>
    <w:p w:rsidR="00CB0DD7" w:rsidRPr="000A0A5F" w:rsidRDefault="00CB0DD7">
      <w:pPr>
        <w:pStyle w:val="PL"/>
        <w:rPr>
          <w:lang w:val="en-US"/>
        </w:rPr>
      </w:pPr>
      <w:r w:rsidRPr="000A0A5F">
        <w:rPr>
          <w:lang w:val="en-US"/>
        </w:rPr>
        <w:t xml:space="preserve">          $ref: 'TS29122_CommonData.yaml#/components/responses/503'</w:t>
      </w:r>
    </w:p>
    <w:p w:rsidR="00CB0DD7" w:rsidRPr="000A0A5F" w:rsidRDefault="00CB0DD7">
      <w:pPr>
        <w:pStyle w:val="PL"/>
        <w:rPr>
          <w:lang w:val="en-US"/>
        </w:rPr>
      </w:pPr>
      <w:r w:rsidRPr="000A0A5F">
        <w:rPr>
          <w:lang w:val="en-US"/>
        </w:rPr>
        <w:t xml:space="preserve">        default:</w:t>
      </w:r>
    </w:p>
    <w:p w:rsidR="00CB0DD7" w:rsidRPr="000A0A5F" w:rsidRDefault="00CB0DD7">
      <w:pPr>
        <w:pStyle w:val="PL"/>
        <w:rPr>
          <w:lang w:val="en-US"/>
        </w:rPr>
      </w:pPr>
      <w:r w:rsidRPr="000A0A5F">
        <w:rPr>
          <w:lang w:val="en-US"/>
        </w:rPr>
        <w:t xml:space="preserve">          $ref: 'TS29122_CommonData.yaml#/components/responses/default'</w:t>
      </w:r>
    </w:p>
    <w:p w:rsidR="00CB0DD7" w:rsidRPr="000A0A5F" w:rsidRDefault="00CB0DD7">
      <w:pPr>
        <w:pStyle w:val="PL"/>
        <w:rPr>
          <w:lang w:val="en-US"/>
        </w:rPr>
      </w:pPr>
      <w:r w:rsidRPr="000A0A5F">
        <w:rPr>
          <w:lang w:val="en-US"/>
        </w:rPr>
        <w:t xml:space="preserve">    put:</w:t>
      </w:r>
    </w:p>
    <w:p w:rsidR="00E555E6" w:rsidRPr="000A0A5F" w:rsidRDefault="00E555E6" w:rsidP="00E555E6">
      <w:pPr>
        <w:pStyle w:val="PL"/>
      </w:pPr>
      <w:r w:rsidRPr="000A0A5F">
        <w:t xml:space="preserve">      summary: </w:t>
      </w:r>
      <w:r w:rsidRPr="000A0A5F">
        <w:rPr>
          <w:rFonts w:hint="eastAsia"/>
          <w:lang w:eastAsia="zh-CN"/>
        </w:rPr>
        <w:t xml:space="preserve">Replace an </w:t>
      </w:r>
      <w:r w:rsidRPr="000A0A5F">
        <w:t>NIDD downlink data delivery</w:t>
      </w:r>
      <w:r w:rsidRPr="000A0A5F">
        <w:rPr>
          <w:lang w:eastAsia="zh-CN"/>
        </w:rPr>
        <w:t xml:space="preserve"> resource.</w:t>
      </w:r>
    </w:p>
    <w:p w:rsidR="00E555E6" w:rsidRPr="000A0A5F" w:rsidRDefault="00E555E6" w:rsidP="00E555E6">
      <w:pPr>
        <w:pStyle w:val="PL"/>
      </w:pPr>
      <w:r w:rsidRPr="000A0A5F">
        <w:t xml:space="preserve">      </w:t>
      </w:r>
      <w:r w:rsidRPr="000A0A5F">
        <w:rPr>
          <w:rFonts w:cs="Courier New"/>
          <w:szCs w:val="16"/>
        </w:rPr>
        <w:t>operationId: UpdateInd</w:t>
      </w:r>
      <w:r w:rsidRPr="000A0A5F">
        <w:t>DownlinkData</w:t>
      </w:r>
      <w:r w:rsidRPr="000A0A5F">
        <w:rPr>
          <w:lang w:eastAsia="zh-CN"/>
        </w:rPr>
        <w:t>D</w:t>
      </w:r>
      <w:r w:rsidRPr="000A0A5F">
        <w:rPr>
          <w:rFonts w:hint="eastAsia"/>
          <w:lang w:eastAsia="zh-CN"/>
        </w:rPr>
        <w:t>elivery</w:t>
      </w:r>
    </w:p>
    <w:p w:rsidR="00E555E6" w:rsidRPr="000A0A5F" w:rsidRDefault="00E555E6" w:rsidP="00E555E6">
      <w:pPr>
        <w:pStyle w:val="PL"/>
      </w:pPr>
      <w:r w:rsidRPr="000A0A5F">
        <w:t xml:space="preserve">      tags:</w:t>
      </w:r>
    </w:p>
    <w:p w:rsidR="00E555E6" w:rsidRPr="000A0A5F" w:rsidRDefault="00E555E6" w:rsidP="00E555E6">
      <w:pPr>
        <w:pStyle w:val="PL"/>
      </w:pPr>
      <w:r w:rsidRPr="000A0A5F">
        <w:t xml:space="preserve">        - Individual NIDD downlink data</w:t>
      </w:r>
      <w:r w:rsidRPr="000A0A5F">
        <w:rPr>
          <w:rFonts w:hint="eastAsia"/>
          <w:lang w:eastAsia="zh-CN"/>
        </w:rPr>
        <w:t xml:space="preserve"> delivery</w:t>
      </w:r>
    </w:p>
    <w:p w:rsidR="00CB0DD7" w:rsidRPr="000A0A5F" w:rsidRDefault="00CB0DD7">
      <w:pPr>
        <w:pStyle w:val="PL"/>
        <w:rPr>
          <w:lang w:val="en-US"/>
        </w:rPr>
      </w:pPr>
      <w:r w:rsidRPr="000A0A5F">
        <w:rPr>
          <w:lang w:val="en-US"/>
        </w:rPr>
        <w:t xml:space="preserve">      requestBody:</w:t>
      </w:r>
    </w:p>
    <w:p w:rsidR="00A6789E" w:rsidRPr="000A0A5F" w:rsidRDefault="00CB0DD7">
      <w:pPr>
        <w:pStyle w:val="PL"/>
        <w:rPr>
          <w:lang w:val="en-US"/>
        </w:rPr>
      </w:pPr>
      <w:r w:rsidRPr="000A0A5F">
        <w:rPr>
          <w:lang w:val="en-US"/>
        </w:rPr>
        <w:t xml:space="preserve">        description: </w:t>
      </w:r>
      <w:r w:rsidR="00A6789E" w:rsidRPr="000A0A5F">
        <w:rPr>
          <w:lang w:val="en-US"/>
        </w:rPr>
        <w:t>&gt;</w:t>
      </w:r>
    </w:p>
    <w:p w:rsidR="00CB0DD7" w:rsidRPr="000A0A5F" w:rsidRDefault="00A6789E">
      <w:pPr>
        <w:pStyle w:val="PL"/>
        <w:rPr>
          <w:lang w:val="en-US"/>
        </w:rPr>
      </w:pPr>
      <w:r w:rsidRPr="000A0A5F">
        <w:rPr>
          <w:lang w:val="en-US"/>
        </w:rPr>
        <w:t xml:space="preserve">          </w:t>
      </w:r>
      <w:r w:rsidR="00CB0DD7" w:rsidRPr="000A0A5F">
        <w:rPr>
          <w:lang w:val="en-US"/>
        </w:rPr>
        <w:t>Contains information to be applied to the individual NIDD downlink data delivery.</w:t>
      </w:r>
    </w:p>
    <w:p w:rsidR="00CB0DD7" w:rsidRPr="000A0A5F" w:rsidRDefault="00CB0DD7">
      <w:pPr>
        <w:pStyle w:val="PL"/>
        <w:rPr>
          <w:lang w:val="en-US"/>
        </w:rPr>
      </w:pPr>
      <w:r w:rsidRPr="000A0A5F">
        <w:rPr>
          <w:lang w:val="en-US"/>
        </w:rPr>
        <w:t xml:space="preserve">        required: true</w:t>
      </w:r>
    </w:p>
    <w:p w:rsidR="00CB0DD7" w:rsidRPr="000A0A5F" w:rsidRDefault="00CB0DD7">
      <w:pPr>
        <w:pStyle w:val="PL"/>
        <w:rPr>
          <w:lang w:val="en-US"/>
        </w:rPr>
      </w:pPr>
      <w:r w:rsidRPr="000A0A5F">
        <w:rPr>
          <w:lang w:val="en-US"/>
        </w:rPr>
        <w:t xml:space="preserve">        content:</w:t>
      </w:r>
    </w:p>
    <w:p w:rsidR="00CB0DD7" w:rsidRPr="000A0A5F" w:rsidRDefault="00CB0DD7">
      <w:pPr>
        <w:pStyle w:val="PL"/>
        <w:rPr>
          <w:lang w:val="en-US"/>
        </w:rPr>
      </w:pPr>
      <w:r w:rsidRPr="000A0A5F">
        <w:rPr>
          <w:lang w:val="en-US"/>
        </w:rPr>
        <w:t xml:space="preserve">          application/json:</w:t>
      </w:r>
    </w:p>
    <w:p w:rsidR="00CB0DD7" w:rsidRPr="000A0A5F" w:rsidRDefault="00CB0DD7">
      <w:pPr>
        <w:pStyle w:val="PL"/>
        <w:rPr>
          <w:lang w:val="en-US"/>
        </w:rPr>
      </w:pPr>
      <w:r w:rsidRPr="000A0A5F">
        <w:rPr>
          <w:lang w:val="en-US"/>
        </w:rPr>
        <w:t xml:space="preserve">            schema:</w:t>
      </w:r>
    </w:p>
    <w:p w:rsidR="00CB0DD7" w:rsidRPr="000A0A5F" w:rsidRDefault="00CB0DD7">
      <w:pPr>
        <w:pStyle w:val="PL"/>
        <w:rPr>
          <w:lang w:val="en-US"/>
        </w:rPr>
      </w:pPr>
      <w:r w:rsidRPr="000A0A5F">
        <w:rPr>
          <w:lang w:val="en-US"/>
        </w:rPr>
        <w:t xml:space="preserve">              $ref: '#/components/schemas/</w:t>
      </w:r>
      <w:r w:rsidRPr="000A0A5F">
        <w:t>NiddDownlinkDataTransfer'</w:t>
      </w:r>
    </w:p>
    <w:p w:rsidR="00CB0DD7" w:rsidRPr="000A0A5F" w:rsidRDefault="00CB0DD7">
      <w:pPr>
        <w:pStyle w:val="PL"/>
        <w:rPr>
          <w:lang w:val="en-US"/>
        </w:rPr>
      </w:pPr>
      <w:r w:rsidRPr="000A0A5F">
        <w:rPr>
          <w:lang w:val="en-US"/>
        </w:rPr>
        <w:t xml:space="preserve">      responses:</w:t>
      </w:r>
    </w:p>
    <w:p w:rsidR="00CB0DD7" w:rsidRPr="000A0A5F" w:rsidRDefault="00CB0DD7">
      <w:pPr>
        <w:pStyle w:val="PL"/>
        <w:rPr>
          <w:lang w:val="en-US"/>
        </w:rPr>
      </w:pPr>
      <w:r w:rsidRPr="000A0A5F">
        <w:rPr>
          <w:lang w:val="en-US"/>
        </w:rPr>
        <w:t xml:space="preserve">        '200':</w:t>
      </w:r>
    </w:p>
    <w:p w:rsidR="00A6789E" w:rsidRPr="000A0A5F" w:rsidRDefault="00CB0DD7">
      <w:pPr>
        <w:pStyle w:val="PL"/>
        <w:rPr>
          <w:lang w:val="en-US"/>
        </w:rPr>
      </w:pPr>
      <w:r w:rsidRPr="000A0A5F">
        <w:rPr>
          <w:lang w:val="en-US"/>
        </w:rPr>
        <w:t xml:space="preserve">          description: </w:t>
      </w:r>
      <w:r w:rsidR="00A6789E" w:rsidRPr="000A0A5F">
        <w:rPr>
          <w:lang w:val="en-US"/>
        </w:rPr>
        <w:t>&gt;</w:t>
      </w:r>
    </w:p>
    <w:p w:rsidR="00CB0DD7" w:rsidRPr="000A0A5F" w:rsidRDefault="00A6789E">
      <w:pPr>
        <w:pStyle w:val="PL"/>
        <w:rPr>
          <w:lang w:val="en-US"/>
        </w:rPr>
      </w:pPr>
      <w:r w:rsidRPr="000A0A5F">
        <w:rPr>
          <w:lang w:val="en-US"/>
        </w:rPr>
        <w:t xml:space="preserve">            </w:t>
      </w:r>
      <w:r w:rsidR="00CB0DD7" w:rsidRPr="000A0A5F">
        <w:rPr>
          <w:lang w:val="en-US"/>
        </w:rPr>
        <w:t>The pending NIDD downlink data is replaced sucessfully but delivery is pending.</w:t>
      </w:r>
    </w:p>
    <w:p w:rsidR="00CB0DD7" w:rsidRPr="000A0A5F" w:rsidRDefault="00CB0DD7">
      <w:pPr>
        <w:pStyle w:val="PL"/>
        <w:rPr>
          <w:lang w:val="en-US"/>
        </w:rPr>
      </w:pPr>
      <w:r w:rsidRPr="000A0A5F">
        <w:rPr>
          <w:lang w:val="en-US"/>
        </w:rPr>
        <w:t xml:space="preserve">          content:</w:t>
      </w:r>
    </w:p>
    <w:p w:rsidR="00CB0DD7" w:rsidRPr="000A0A5F" w:rsidRDefault="00CB0DD7">
      <w:pPr>
        <w:pStyle w:val="PL"/>
        <w:rPr>
          <w:lang w:val="en-US"/>
        </w:rPr>
      </w:pPr>
      <w:r w:rsidRPr="000A0A5F">
        <w:rPr>
          <w:lang w:val="en-US"/>
        </w:rPr>
        <w:t xml:space="preserve">            application/json:</w:t>
      </w:r>
    </w:p>
    <w:p w:rsidR="00CB0DD7" w:rsidRPr="000A0A5F" w:rsidRDefault="00CB0DD7">
      <w:pPr>
        <w:pStyle w:val="PL"/>
        <w:rPr>
          <w:lang w:val="en-US"/>
        </w:rPr>
      </w:pPr>
      <w:r w:rsidRPr="000A0A5F">
        <w:rPr>
          <w:lang w:val="en-US"/>
        </w:rPr>
        <w:t xml:space="preserve">              schema:</w:t>
      </w:r>
    </w:p>
    <w:p w:rsidR="00CB0DD7" w:rsidRPr="000A0A5F" w:rsidRDefault="00CB0DD7">
      <w:pPr>
        <w:pStyle w:val="PL"/>
        <w:rPr>
          <w:lang w:val="en-US"/>
        </w:rPr>
      </w:pPr>
      <w:r w:rsidRPr="000A0A5F">
        <w:rPr>
          <w:lang w:val="en-US"/>
        </w:rPr>
        <w:t xml:space="preserve">                $ref: '#/components/schemas/</w:t>
      </w:r>
      <w:r w:rsidRPr="000A0A5F">
        <w:t>NiddDownlinkDataTransfer'</w:t>
      </w:r>
    </w:p>
    <w:p w:rsidR="00CB0DD7" w:rsidRPr="000A0A5F" w:rsidRDefault="00CB0DD7">
      <w:pPr>
        <w:pStyle w:val="PL"/>
      </w:pPr>
      <w:r w:rsidRPr="000A0A5F">
        <w:t xml:space="preserve">        '204':</w:t>
      </w:r>
    </w:p>
    <w:p w:rsidR="00A6789E" w:rsidRPr="000A0A5F" w:rsidRDefault="00CB0DD7">
      <w:pPr>
        <w:pStyle w:val="PL"/>
      </w:pPr>
      <w:r w:rsidRPr="000A0A5F">
        <w:t xml:space="preserve">          description: </w:t>
      </w:r>
      <w:r w:rsidR="00A6789E" w:rsidRPr="000A0A5F">
        <w:t>&gt;</w:t>
      </w:r>
    </w:p>
    <w:p w:rsidR="00A6789E" w:rsidRPr="000A0A5F" w:rsidRDefault="00A6789E">
      <w:pPr>
        <w:pStyle w:val="PL"/>
      </w:pPr>
      <w:r w:rsidRPr="000A0A5F">
        <w:rPr>
          <w:lang w:val="en-US"/>
        </w:rPr>
        <w:t xml:space="preserve">            </w:t>
      </w:r>
      <w:r w:rsidR="00CB0DD7" w:rsidRPr="000A0A5F">
        <w:t>The NIDD downlink data delivery has been replaced successfully and no content</w:t>
      </w:r>
    </w:p>
    <w:p w:rsidR="00CB0DD7" w:rsidRPr="000A0A5F" w:rsidRDefault="00A6789E">
      <w:pPr>
        <w:pStyle w:val="PL"/>
      </w:pPr>
      <w:r w:rsidRPr="000A0A5F">
        <w:rPr>
          <w:lang w:val="en-US"/>
        </w:rPr>
        <w:t xml:space="preserve">           </w:t>
      </w:r>
      <w:r w:rsidR="00CB0DD7" w:rsidRPr="000A0A5F">
        <w:t xml:space="preserve"> is to be sent in the response message body.</w:t>
      </w:r>
    </w:p>
    <w:p w:rsidR="00CB0DD7" w:rsidRPr="000A0A5F" w:rsidRDefault="00CB0DD7">
      <w:pPr>
        <w:pStyle w:val="PL"/>
      </w:pPr>
      <w:r w:rsidRPr="000A0A5F">
        <w:t xml:space="preserve">        '307':</w:t>
      </w:r>
    </w:p>
    <w:p w:rsidR="00CB0DD7" w:rsidRPr="000A0A5F" w:rsidRDefault="00CB0DD7">
      <w:pPr>
        <w:pStyle w:val="PL"/>
      </w:pPr>
      <w:r w:rsidRPr="000A0A5F">
        <w:t xml:space="preserve">          $ref: 'TS29122_CommonData.yaml#/components/responses/307'</w:t>
      </w:r>
    </w:p>
    <w:p w:rsidR="00CB0DD7" w:rsidRPr="000A0A5F" w:rsidRDefault="00CB0DD7">
      <w:pPr>
        <w:pStyle w:val="PL"/>
      </w:pPr>
      <w:r w:rsidRPr="000A0A5F">
        <w:t xml:space="preserve">        '308':</w:t>
      </w:r>
    </w:p>
    <w:p w:rsidR="00CB0DD7" w:rsidRPr="000A0A5F" w:rsidRDefault="00CB0DD7">
      <w:pPr>
        <w:pStyle w:val="PL"/>
      </w:pPr>
      <w:r w:rsidRPr="000A0A5F">
        <w:t xml:space="preserve">          $ref: 'TS29122_CommonData.yaml#/components/responses/308'</w:t>
      </w:r>
    </w:p>
    <w:p w:rsidR="00CB0DD7" w:rsidRPr="000A0A5F" w:rsidRDefault="00CB0DD7">
      <w:pPr>
        <w:pStyle w:val="PL"/>
        <w:rPr>
          <w:lang w:val="en-US"/>
        </w:rPr>
      </w:pPr>
      <w:r w:rsidRPr="000A0A5F">
        <w:rPr>
          <w:lang w:val="en-US"/>
        </w:rPr>
        <w:t xml:space="preserve">        '400':</w:t>
      </w:r>
    </w:p>
    <w:p w:rsidR="00CB0DD7" w:rsidRPr="000A0A5F" w:rsidRDefault="00CB0DD7">
      <w:pPr>
        <w:pStyle w:val="PL"/>
        <w:rPr>
          <w:lang w:val="en-US"/>
        </w:rPr>
      </w:pPr>
      <w:r w:rsidRPr="000A0A5F">
        <w:rPr>
          <w:lang w:val="en-US"/>
        </w:rPr>
        <w:t xml:space="preserve">          $ref: 'TS29122_CommonData.yaml#/components/responses/400'</w:t>
      </w:r>
    </w:p>
    <w:p w:rsidR="00CB0DD7" w:rsidRPr="000A0A5F" w:rsidRDefault="00CB0DD7">
      <w:pPr>
        <w:pStyle w:val="PL"/>
        <w:rPr>
          <w:lang w:val="en-US"/>
        </w:rPr>
      </w:pPr>
      <w:r w:rsidRPr="000A0A5F">
        <w:rPr>
          <w:lang w:val="en-US"/>
        </w:rPr>
        <w:t xml:space="preserve">        '401':</w:t>
      </w:r>
    </w:p>
    <w:p w:rsidR="00CB0DD7" w:rsidRPr="000A0A5F" w:rsidRDefault="00CB0DD7">
      <w:pPr>
        <w:pStyle w:val="PL"/>
        <w:rPr>
          <w:lang w:val="en-US"/>
        </w:rPr>
      </w:pPr>
      <w:r w:rsidRPr="000A0A5F">
        <w:rPr>
          <w:lang w:val="en-US"/>
        </w:rPr>
        <w:t xml:space="preserve">          $ref: 'TS29122_CommonData.yaml#/components/responses/401'</w:t>
      </w:r>
    </w:p>
    <w:p w:rsidR="00CB0DD7" w:rsidRPr="000A0A5F" w:rsidRDefault="00CB0DD7">
      <w:pPr>
        <w:pStyle w:val="PL"/>
        <w:rPr>
          <w:lang w:val="en-US"/>
        </w:rPr>
      </w:pPr>
      <w:r w:rsidRPr="000A0A5F">
        <w:rPr>
          <w:lang w:val="en-US"/>
        </w:rPr>
        <w:t xml:space="preserve">        '403':</w:t>
      </w:r>
    </w:p>
    <w:p w:rsidR="00CB0DD7" w:rsidRPr="000A0A5F" w:rsidRDefault="00CB0DD7">
      <w:pPr>
        <w:pStyle w:val="PL"/>
        <w:rPr>
          <w:lang w:val="en-US"/>
        </w:rPr>
      </w:pPr>
      <w:r w:rsidRPr="000A0A5F">
        <w:rPr>
          <w:lang w:val="en-US"/>
        </w:rPr>
        <w:t xml:space="preserve">          $ref: 'TS29122_CommonData.yaml#/components/responses/403'</w:t>
      </w:r>
    </w:p>
    <w:p w:rsidR="00CB0DD7" w:rsidRPr="000A0A5F" w:rsidRDefault="00CB0DD7">
      <w:pPr>
        <w:pStyle w:val="PL"/>
        <w:rPr>
          <w:lang w:val="en-US"/>
        </w:rPr>
      </w:pPr>
      <w:r w:rsidRPr="000A0A5F">
        <w:rPr>
          <w:lang w:val="en-US"/>
        </w:rPr>
        <w:t xml:space="preserve">        '404':</w:t>
      </w:r>
    </w:p>
    <w:p w:rsidR="00CB0DD7" w:rsidRPr="000A0A5F" w:rsidRDefault="00CB0DD7">
      <w:pPr>
        <w:pStyle w:val="PL"/>
        <w:rPr>
          <w:lang w:val="en-US"/>
        </w:rPr>
      </w:pPr>
      <w:r w:rsidRPr="000A0A5F">
        <w:rPr>
          <w:lang w:val="en-US"/>
        </w:rPr>
        <w:t xml:space="preserve">          $ref: 'TS29122_CommonData.yaml#/components/responses/404'</w:t>
      </w:r>
    </w:p>
    <w:p w:rsidR="00CB0DD7" w:rsidRPr="000A0A5F" w:rsidRDefault="00CB0DD7">
      <w:pPr>
        <w:pStyle w:val="PL"/>
        <w:rPr>
          <w:lang w:val="en-US"/>
        </w:rPr>
      </w:pPr>
      <w:r w:rsidRPr="000A0A5F">
        <w:rPr>
          <w:lang w:val="en-US"/>
        </w:rPr>
        <w:t xml:space="preserve">        '409':</w:t>
      </w:r>
    </w:p>
    <w:p w:rsidR="00CB0DD7" w:rsidRPr="000A0A5F" w:rsidRDefault="00CB0DD7">
      <w:pPr>
        <w:pStyle w:val="PL"/>
        <w:rPr>
          <w:lang w:val="en-US"/>
        </w:rPr>
      </w:pPr>
      <w:r w:rsidRPr="000A0A5F">
        <w:rPr>
          <w:lang w:val="en-US"/>
        </w:rPr>
        <w:t xml:space="preserve">          $ref: 'TS29122_CommonData.yaml#/components/responses/409'</w:t>
      </w:r>
    </w:p>
    <w:p w:rsidR="00CB0DD7" w:rsidRPr="000A0A5F" w:rsidRDefault="00CB0DD7">
      <w:pPr>
        <w:pStyle w:val="PL"/>
        <w:rPr>
          <w:lang w:val="en-US"/>
        </w:rPr>
      </w:pPr>
      <w:r w:rsidRPr="000A0A5F">
        <w:rPr>
          <w:lang w:val="en-US"/>
        </w:rPr>
        <w:t xml:space="preserve">        '411':</w:t>
      </w:r>
    </w:p>
    <w:p w:rsidR="00CB0DD7" w:rsidRPr="000A0A5F" w:rsidRDefault="00CB0DD7">
      <w:pPr>
        <w:pStyle w:val="PL"/>
        <w:rPr>
          <w:lang w:val="en-US"/>
        </w:rPr>
      </w:pPr>
      <w:r w:rsidRPr="000A0A5F">
        <w:rPr>
          <w:lang w:val="en-US"/>
        </w:rPr>
        <w:t xml:space="preserve">          $ref: 'TS29122_CommonData.yaml#/components/responses/411'</w:t>
      </w:r>
    </w:p>
    <w:p w:rsidR="00CB0DD7" w:rsidRPr="000A0A5F" w:rsidRDefault="00CB0DD7">
      <w:pPr>
        <w:pStyle w:val="PL"/>
        <w:rPr>
          <w:lang w:val="en-US"/>
        </w:rPr>
      </w:pPr>
      <w:r w:rsidRPr="000A0A5F">
        <w:rPr>
          <w:lang w:val="en-US"/>
        </w:rPr>
        <w:t xml:space="preserve">        '413':</w:t>
      </w:r>
    </w:p>
    <w:p w:rsidR="00CB0DD7" w:rsidRPr="000A0A5F" w:rsidRDefault="00CB0DD7">
      <w:pPr>
        <w:pStyle w:val="PL"/>
        <w:rPr>
          <w:lang w:val="en-US"/>
        </w:rPr>
      </w:pPr>
      <w:r w:rsidRPr="000A0A5F">
        <w:rPr>
          <w:lang w:val="en-US"/>
        </w:rPr>
        <w:t xml:space="preserve">          $ref: 'TS29122_CommonData.yaml#/components/responses/413'</w:t>
      </w:r>
    </w:p>
    <w:p w:rsidR="00CB0DD7" w:rsidRPr="000A0A5F" w:rsidRDefault="00CB0DD7">
      <w:pPr>
        <w:pStyle w:val="PL"/>
        <w:rPr>
          <w:lang w:val="en-US"/>
        </w:rPr>
      </w:pPr>
      <w:r w:rsidRPr="000A0A5F">
        <w:rPr>
          <w:lang w:val="en-US"/>
        </w:rPr>
        <w:t xml:space="preserve">        '415':</w:t>
      </w:r>
    </w:p>
    <w:p w:rsidR="00CB0DD7" w:rsidRPr="000A0A5F" w:rsidRDefault="00CB0DD7">
      <w:pPr>
        <w:pStyle w:val="PL"/>
        <w:rPr>
          <w:lang w:val="en-US"/>
        </w:rPr>
      </w:pPr>
      <w:r w:rsidRPr="000A0A5F">
        <w:rPr>
          <w:lang w:val="en-US"/>
        </w:rPr>
        <w:t xml:space="preserve">          $ref: 'TS29122_CommonData.yaml#/components/responses/415'</w:t>
      </w:r>
    </w:p>
    <w:p w:rsidR="00CB0DD7" w:rsidRPr="000A0A5F" w:rsidRDefault="00CB0DD7">
      <w:pPr>
        <w:pStyle w:val="PL"/>
        <w:rPr>
          <w:lang w:val="en-US"/>
        </w:rPr>
      </w:pPr>
      <w:r w:rsidRPr="000A0A5F">
        <w:rPr>
          <w:lang w:val="en-US"/>
        </w:rPr>
        <w:t xml:space="preserve">        '429':</w:t>
      </w:r>
    </w:p>
    <w:p w:rsidR="00CB0DD7" w:rsidRPr="000A0A5F" w:rsidRDefault="00CB0DD7">
      <w:pPr>
        <w:pStyle w:val="PL"/>
        <w:rPr>
          <w:lang w:val="en-US"/>
        </w:rPr>
      </w:pPr>
      <w:r w:rsidRPr="000A0A5F">
        <w:rPr>
          <w:lang w:val="en-US"/>
        </w:rPr>
        <w:t xml:space="preserve">          $ref: 'TS29122_CommonData.yaml#/components/responses/429'</w:t>
      </w:r>
    </w:p>
    <w:p w:rsidR="00CB0DD7" w:rsidRPr="000A0A5F" w:rsidRDefault="00CB0DD7">
      <w:pPr>
        <w:pStyle w:val="PL"/>
        <w:rPr>
          <w:lang w:val="en-US"/>
        </w:rPr>
      </w:pPr>
      <w:r w:rsidRPr="000A0A5F">
        <w:rPr>
          <w:lang w:val="en-US"/>
        </w:rPr>
        <w:t xml:space="preserve">        '500':</w:t>
      </w:r>
    </w:p>
    <w:p w:rsidR="00CB0DD7" w:rsidRPr="000A0A5F" w:rsidRDefault="00CB0DD7">
      <w:pPr>
        <w:pStyle w:val="PL"/>
        <w:rPr>
          <w:lang w:eastAsia="zh-CN"/>
        </w:rPr>
      </w:pPr>
      <w:r w:rsidRPr="000A0A5F">
        <w:t xml:space="preserve">          description: The NIDD downlink data replacement request was not successful</w:t>
      </w:r>
      <w:r w:rsidRPr="000A0A5F">
        <w:rPr>
          <w:lang w:eastAsia="zh-CN"/>
        </w:rPr>
        <w:t>.</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application/json:</w:t>
      </w:r>
    </w:p>
    <w:p w:rsidR="00CB0DD7" w:rsidRPr="000A0A5F" w:rsidRDefault="00CB0DD7">
      <w:pPr>
        <w:pStyle w:val="PL"/>
      </w:pPr>
      <w:r w:rsidRPr="000A0A5F">
        <w:t xml:space="preserve">              schema:</w:t>
      </w:r>
    </w:p>
    <w:p w:rsidR="00CB0DD7" w:rsidRPr="000A0A5F" w:rsidRDefault="00CB0DD7">
      <w:pPr>
        <w:pStyle w:val="PL"/>
      </w:pPr>
      <w:r w:rsidRPr="000A0A5F">
        <w:t xml:space="preserve">                $ref: '#/components/schemas/NiddDownlinkDataDeliveryFailure</w:t>
      </w:r>
      <w:r w:rsidRPr="000A0A5F">
        <w:rPr>
          <w:lang w:eastAsia="zh-CN"/>
        </w:rPr>
        <w:t>'</w:t>
      </w:r>
    </w:p>
    <w:p w:rsidR="00CB0DD7" w:rsidRPr="000A0A5F" w:rsidRDefault="00CB0DD7">
      <w:pPr>
        <w:pStyle w:val="PL"/>
        <w:rPr>
          <w:lang w:val="en-US"/>
        </w:rPr>
      </w:pPr>
      <w:r w:rsidRPr="000A0A5F">
        <w:rPr>
          <w:lang w:val="en-US"/>
        </w:rPr>
        <w:t xml:space="preserve">        '503':</w:t>
      </w:r>
    </w:p>
    <w:p w:rsidR="00CB0DD7" w:rsidRPr="000A0A5F" w:rsidRDefault="00CB0DD7">
      <w:pPr>
        <w:pStyle w:val="PL"/>
        <w:rPr>
          <w:lang w:val="en-US"/>
        </w:rPr>
      </w:pPr>
      <w:r w:rsidRPr="000A0A5F">
        <w:rPr>
          <w:lang w:val="en-US"/>
        </w:rPr>
        <w:t xml:space="preserve">          $ref: 'TS29122_CommonData.yaml#/components/responses/503'</w:t>
      </w:r>
    </w:p>
    <w:p w:rsidR="00CB0DD7" w:rsidRPr="000A0A5F" w:rsidRDefault="00CB0DD7">
      <w:pPr>
        <w:pStyle w:val="PL"/>
        <w:rPr>
          <w:lang w:val="en-US"/>
        </w:rPr>
      </w:pPr>
      <w:r w:rsidRPr="000A0A5F">
        <w:rPr>
          <w:lang w:val="en-US"/>
        </w:rPr>
        <w:t xml:space="preserve">        default:</w:t>
      </w:r>
    </w:p>
    <w:p w:rsidR="00CB0DD7" w:rsidRPr="000A0A5F" w:rsidRDefault="00CB0DD7">
      <w:pPr>
        <w:pStyle w:val="PL"/>
        <w:rPr>
          <w:lang w:val="en-US"/>
        </w:rPr>
      </w:pPr>
      <w:r w:rsidRPr="000A0A5F">
        <w:rPr>
          <w:lang w:val="en-US"/>
        </w:rPr>
        <w:t xml:space="preserve">          $ref: 'TS29122_CommonData.yaml#/components/responses/default'</w:t>
      </w:r>
    </w:p>
    <w:p w:rsidR="00BD3D12" w:rsidRPr="000A0A5F" w:rsidRDefault="00BD3D12" w:rsidP="00BD3D12">
      <w:pPr>
        <w:pStyle w:val="PL"/>
        <w:rPr>
          <w:lang w:val="en-US"/>
        </w:rPr>
      </w:pPr>
      <w:r w:rsidRPr="000A0A5F">
        <w:rPr>
          <w:lang w:val="en-US"/>
        </w:rPr>
        <w:t xml:space="preserve">    patch:</w:t>
      </w:r>
    </w:p>
    <w:p w:rsidR="00BD3D12" w:rsidRPr="000A0A5F" w:rsidRDefault="00BD3D12" w:rsidP="00BD3D12">
      <w:pPr>
        <w:pStyle w:val="PL"/>
      </w:pPr>
      <w:r w:rsidRPr="000A0A5F">
        <w:t xml:space="preserve">      summary: </w:t>
      </w:r>
      <w:r w:rsidRPr="000A0A5F">
        <w:rPr>
          <w:lang w:eastAsia="zh-CN"/>
        </w:rPr>
        <w:t>Modify</w:t>
      </w:r>
      <w:r w:rsidRPr="000A0A5F">
        <w:rPr>
          <w:rFonts w:hint="eastAsia"/>
          <w:lang w:eastAsia="zh-CN"/>
        </w:rPr>
        <w:t xml:space="preserve"> an </w:t>
      </w:r>
      <w:r w:rsidRPr="000A0A5F">
        <w:rPr>
          <w:lang w:eastAsia="zh-CN"/>
        </w:rPr>
        <w:t xml:space="preserve">existing Individual </w:t>
      </w:r>
      <w:r w:rsidRPr="000A0A5F">
        <w:t>NIDD downlink data delivery</w:t>
      </w:r>
      <w:r w:rsidRPr="000A0A5F">
        <w:rPr>
          <w:lang w:eastAsia="zh-CN"/>
        </w:rPr>
        <w:t xml:space="preserve"> resource.</w:t>
      </w:r>
    </w:p>
    <w:p w:rsidR="00BD3D12" w:rsidRPr="000A0A5F" w:rsidRDefault="00BD3D12" w:rsidP="00BD3D12">
      <w:pPr>
        <w:pStyle w:val="PL"/>
      </w:pPr>
      <w:r w:rsidRPr="000A0A5F">
        <w:t xml:space="preserve">      </w:t>
      </w:r>
      <w:r w:rsidRPr="000A0A5F">
        <w:rPr>
          <w:rFonts w:cs="Courier New"/>
          <w:szCs w:val="16"/>
        </w:rPr>
        <w:t>operationId: ModifyInd</w:t>
      </w:r>
      <w:r w:rsidRPr="000A0A5F">
        <w:t>DownlinkData</w:t>
      </w:r>
      <w:r w:rsidRPr="000A0A5F">
        <w:rPr>
          <w:lang w:eastAsia="zh-CN"/>
        </w:rPr>
        <w:t>D</w:t>
      </w:r>
      <w:r w:rsidRPr="000A0A5F">
        <w:rPr>
          <w:rFonts w:hint="eastAsia"/>
          <w:lang w:eastAsia="zh-CN"/>
        </w:rPr>
        <w:t>elivery</w:t>
      </w:r>
    </w:p>
    <w:p w:rsidR="00BD3D12" w:rsidRPr="000A0A5F" w:rsidRDefault="00BD3D12" w:rsidP="00BD3D12">
      <w:pPr>
        <w:pStyle w:val="PL"/>
      </w:pPr>
      <w:r w:rsidRPr="000A0A5F">
        <w:t xml:space="preserve">      tags:</w:t>
      </w:r>
    </w:p>
    <w:p w:rsidR="00BD3D12" w:rsidRPr="000A0A5F" w:rsidRDefault="00BD3D12" w:rsidP="00BD3D12">
      <w:pPr>
        <w:pStyle w:val="PL"/>
      </w:pPr>
      <w:r w:rsidRPr="000A0A5F">
        <w:t xml:space="preserve">        - Individual NIDD downlink data</w:t>
      </w:r>
      <w:r w:rsidRPr="000A0A5F">
        <w:rPr>
          <w:rFonts w:hint="eastAsia"/>
          <w:lang w:eastAsia="zh-CN"/>
        </w:rPr>
        <w:t xml:space="preserve"> delivery</w:t>
      </w:r>
    </w:p>
    <w:p w:rsidR="00BD3D12" w:rsidRPr="000A0A5F" w:rsidRDefault="00BD3D12" w:rsidP="00BD3D12">
      <w:pPr>
        <w:pStyle w:val="PL"/>
        <w:rPr>
          <w:lang w:val="en-US"/>
        </w:rPr>
      </w:pPr>
      <w:r w:rsidRPr="000A0A5F">
        <w:rPr>
          <w:lang w:val="en-US"/>
        </w:rPr>
        <w:t xml:space="preserve">      requestBody:</w:t>
      </w:r>
    </w:p>
    <w:p w:rsidR="00A6789E" w:rsidRPr="000A0A5F" w:rsidRDefault="00BD3D12" w:rsidP="00BD3D12">
      <w:pPr>
        <w:pStyle w:val="PL"/>
        <w:rPr>
          <w:lang w:val="en-US"/>
        </w:rPr>
      </w:pPr>
      <w:r w:rsidRPr="000A0A5F">
        <w:rPr>
          <w:lang w:val="en-US"/>
        </w:rPr>
        <w:t xml:space="preserve">        description: </w:t>
      </w:r>
      <w:r w:rsidR="00A6789E" w:rsidRPr="000A0A5F">
        <w:rPr>
          <w:lang w:val="en-US"/>
        </w:rPr>
        <w:t>&gt;</w:t>
      </w:r>
    </w:p>
    <w:p w:rsidR="00BD3D12" w:rsidRPr="000A0A5F" w:rsidRDefault="00A6789E" w:rsidP="00BD3D12">
      <w:pPr>
        <w:pStyle w:val="PL"/>
        <w:rPr>
          <w:lang w:val="en-US"/>
        </w:rPr>
      </w:pPr>
      <w:r w:rsidRPr="000A0A5F">
        <w:rPr>
          <w:lang w:val="en-US"/>
        </w:rPr>
        <w:t xml:space="preserve">          </w:t>
      </w:r>
      <w:r w:rsidR="00BD3D12" w:rsidRPr="000A0A5F">
        <w:rPr>
          <w:lang w:val="en-US"/>
        </w:rPr>
        <w:t>Contains the parameters to update an individual NIDD downlink data delivery resource.</w:t>
      </w:r>
    </w:p>
    <w:p w:rsidR="00BD3D12" w:rsidRPr="000A0A5F" w:rsidRDefault="00BD3D12" w:rsidP="00BD3D12">
      <w:pPr>
        <w:pStyle w:val="PL"/>
        <w:rPr>
          <w:lang w:val="en-US"/>
        </w:rPr>
      </w:pPr>
      <w:r w:rsidRPr="000A0A5F">
        <w:rPr>
          <w:lang w:val="en-US"/>
        </w:rPr>
        <w:t xml:space="preserve">        required: true</w:t>
      </w:r>
    </w:p>
    <w:p w:rsidR="00BD3D12" w:rsidRPr="000A0A5F" w:rsidRDefault="00BD3D12" w:rsidP="00BD3D12">
      <w:pPr>
        <w:pStyle w:val="PL"/>
        <w:rPr>
          <w:lang w:val="en-US"/>
        </w:rPr>
      </w:pPr>
      <w:r w:rsidRPr="000A0A5F">
        <w:rPr>
          <w:lang w:val="en-US"/>
        </w:rPr>
        <w:t xml:space="preserve">        content:</w:t>
      </w:r>
    </w:p>
    <w:p w:rsidR="00BD3D12" w:rsidRPr="000A0A5F" w:rsidRDefault="00BD3D12" w:rsidP="00BD3D12">
      <w:pPr>
        <w:pStyle w:val="PL"/>
        <w:rPr>
          <w:lang w:val="en-US"/>
        </w:rPr>
      </w:pPr>
      <w:r w:rsidRPr="000A0A5F">
        <w:rPr>
          <w:lang w:val="en-US"/>
        </w:rPr>
        <w:t xml:space="preserve">          application/json:</w:t>
      </w:r>
    </w:p>
    <w:p w:rsidR="00BD3D12" w:rsidRPr="000A0A5F" w:rsidRDefault="00BD3D12" w:rsidP="00BD3D12">
      <w:pPr>
        <w:pStyle w:val="PL"/>
        <w:rPr>
          <w:lang w:val="en-US"/>
        </w:rPr>
      </w:pPr>
      <w:r w:rsidRPr="000A0A5F">
        <w:rPr>
          <w:lang w:val="en-US"/>
        </w:rPr>
        <w:t xml:space="preserve">            schema:</w:t>
      </w:r>
    </w:p>
    <w:p w:rsidR="00BD3D12" w:rsidRPr="000A0A5F" w:rsidRDefault="00BD3D12" w:rsidP="00BD3D12">
      <w:pPr>
        <w:pStyle w:val="PL"/>
        <w:rPr>
          <w:lang w:val="en-US"/>
        </w:rPr>
      </w:pPr>
      <w:r w:rsidRPr="000A0A5F">
        <w:rPr>
          <w:lang w:val="en-US"/>
        </w:rPr>
        <w:t xml:space="preserve">              $ref: '#/components/schemas/</w:t>
      </w:r>
      <w:r w:rsidRPr="000A0A5F">
        <w:t>NiddDownlinkDataTransferPatch'</w:t>
      </w:r>
    </w:p>
    <w:p w:rsidR="00BD3D12" w:rsidRPr="000A0A5F" w:rsidRDefault="00BD3D12" w:rsidP="00BD3D12">
      <w:pPr>
        <w:pStyle w:val="PL"/>
        <w:rPr>
          <w:lang w:val="en-US"/>
        </w:rPr>
      </w:pPr>
      <w:r w:rsidRPr="000A0A5F">
        <w:rPr>
          <w:lang w:val="en-US"/>
        </w:rPr>
        <w:t xml:space="preserve">      responses:</w:t>
      </w:r>
    </w:p>
    <w:p w:rsidR="00BD3D12" w:rsidRPr="000A0A5F" w:rsidRDefault="00BD3D12" w:rsidP="00BD3D12">
      <w:pPr>
        <w:pStyle w:val="PL"/>
        <w:rPr>
          <w:lang w:val="en-US"/>
        </w:rPr>
      </w:pPr>
      <w:r w:rsidRPr="000A0A5F">
        <w:rPr>
          <w:lang w:val="en-US"/>
        </w:rPr>
        <w:t xml:space="preserve">        '200':</w:t>
      </w:r>
    </w:p>
    <w:p w:rsidR="00A6789E" w:rsidRPr="000A0A5F" w:rsidRDefault="00BD3D12" w:rsidP="00BD3D12">
      <w:pPr>
        <w:pStyle w:val="PL"/>
        <w:rPr>
          <w:lang w:val="en-US"/>
        </w:rPr>
      </w:pPr>
      <w:r w:rsidRPr="000A0A5F">
        <w:rPr>
          <w:lang w:val="en-US"/>
        </w:rPr>
        <w:t xml:space="preserve">          description: </w:t>
      </w:r>
      <w:r w:rsidR="00A6789E" w:rsidRPr="000A0A5F">
        <w:rPr>
          <w:lang w:val="en-US"/>
        </w:rPr>
        <w:t>&gt;</w:t>
      </w:r>
    </w:p>
    <w:p w:rsidR="00A6789E" w:rsidRPr="000A0A5F" w:rsidRDefault="00A6789E" w:rsidP="00BD3D12">
      <w:pPr>
        <w:pStyle w:val="PL"/>
        <w:rPr>
          <w:lang w:eastAsia="zh-CN"/>
        </w:rPr>
      </w:pPr>
      <w:r w:rsidRPr="000A0A5F">
        <w:rPr>
          <w:lang w:val="en-US"/>
        </w:rPr>
        <w:t xml:space="preserve">           </w:t>
      </w:r>
      <w:r w:rsidR="00BD3D12" w:rsidRPr="000A0A5F">
        <w:rPr>
          <w:lang w:val="en-US"/>
        </w:rPr>
        <w:t xml:space="preserve">OK. </w:t>
      </w:r>
      <w:r w:rsidR="00BD3D12" w:rsidRPr="000A0A5F">
        <w:rPr>
          <w:rFonts w:hint="eastAsia"/>
          <w:lang w:eastAsia="zh-CN"/>
        </w:rPr>
        <w:t xml:space="preserve">The </w:t>
      </w:r>
      <w:r w:rsidR="00BD3D12" w:rsidRPr="000A0A5F">
        <w:rPr>
          <w:lang w:eastAsia="zh-CN"/>
        </w:rPr>
        <w:t xml:space="preserve">modification of the Individual </w:t>
      </w:r>
      <w:r w:rsidR="00BD3D12" w:rsidRPr="000A0A5F">
        <w:rPr>
          <w:rFonts w:hint="eastAsia"/>
          <w:lang w:eastAsia="zh-CN"/>
        </w:rPr>
        <w:t xml:space="preserve">NIDD downlink data delivery </w:t>
      </w:r>
      <w:r w:rsidR="00BD3D12" w:rsidRPr="000A0A5F">
        <w:rPr>
          <w:lang w:eastAsia="zh-CN"/>
        </w:rPr>
        <w:t>resource was</w:t>
      </w:r>
    </w:p>
    <w:p w:rsidR="00A6789E" w:rsidRPr="000A0A5F" w:rsidRDefault="00A6789E" w:rsidP="00BD3D12">
      <w:pPr>
        <w:pStyle w:val="PL"/>
      </w:pPr>
      <w:r w:rsidRPr="000A0A5F">
        <w:rPr>
          <w:lang w:val="en-US"/>
        </w:rPr>
        <w:t xml:space="preserve">          </w:t>
      </w:r>
      <w:r w:rsidR="00BD3D12" w:rsidRPr="000A0A5F">
        <w:rPr>
          <w:rFonts w:hint="eastAsia"/>
          <w:lang w:eastAsia="zh-CN"/>
        </w:rPr>
        <w:t xml:space="preserve"> </w:t>
      </w:r>
      <w:r w:rsidR="00BD3D12" w:rsidRPr="000A0A5F">
        <w:rPr>
          <w:lang w:eastAsia="zh-CN"/>
        </w:rPr>
        <w:t>successful</w:t>
      </w:r>
      <w:r w:rsidR="00BD3D12" w:rsidRPr="000A0A5F">
        <w:rPr>
          <w:rFonts w:hint="eastAsia"/>
          <w:lang w:eastAsia="zh-CN"/>
        </w:rPr>
        <w:t xml:space="preserve"> </w:t>
      </w:r>
      <w:r w:rsidR="00BD3D12" w:rsidRPr="000A0A5F">
        <w:rPr>
          <w:lang w:eastAsia="zh-CN"/>
        </w:rPr>
        <w:t xml:space="preserve">and an </w:t>
      </w:r>
      <w:r w:rsidR="00BD3D12" w:rsidRPr="000A0A5F">
        <w:t>updated representation of the resource within the</w:t>
      </w:r>
    </w:p>
    <w:p w:rsidR="00A6789E" w:rsidRPr="000A0A5F" w:rsidRDefault="00A6789E" w:rsidP="00BD3D12">
      <w:pPr>
        <w:pStyle w:val="PL"/>
      </w:pPr>
      <w:r w:rsidRPr="000A0A5F">
        <w:rPr>
          <w:lang w:val="en-US"/>
        </w:rPr>
        <w:t xml:space="preserve">          </w:t>
      </w:r>
      <w:r w:rsidR="00BD3D12" w:rsidRPr="000A0A5F">
        <w:t xml:space="preserve"> NiddDownlinkDataTransfer data structure in the response message body is returned</w:t>
      </w:r>
    </w:p>
    <w:p w:rsidR="00BD3D12" w:rsidRPr="000A0A5F" w:rsidRDefault="00A6789E" w:rsidP="00BD3D12">
      <w:pPr>
        <w:pStyle w:val="PL"/>
        <w:rPr>
          <w:lang w:val="en-US"/>
        </w:rPr>
      </w:pPr>
      <w:r w:rsidRPr="000A0A5F">
        <w:rPr>
          <w:lang w:val="en-US"/>
        </w:rPr>
        <w:t xml:space="preserve">          </w:t>
      </w:r>
      <w:r w:rsidR="00BD3D12" w:rsidRPr="000A0A5F">
        <w:t xml:space="preserve"> by the SCEF</w:t>
      </w:r>
      <w:r w:rsidR="00BD3D12" w:rsidRPr="000A0A5F">
        <w:rPr>
          <w:lang w:val="en-US"/>
        </w:rPr>
        <w:t>.</w:t>
      </w:r>
    </w:p>
    <w:p w:rsidR="00BD3D12" w:rsidRPr="000A0A5F" w:rsidRDefault="00BD3D12" w:rsidP="00BD3D12">
      <w:pPr>
        <w:pStyle w:val="PL"/>
        <w:rPr>
          <w:lang w:val="en-US"/>
        </w:rPr>
      </w:pPr>
      <w:r w:rsidRPr="000A0A5F">
        <w:rPr>
          <w:lang w:val="en-US"/>
        </w:rPr>
        <w:t xml:space="preserve">          content:</w:t>
      </w:r>
    </w:p>
    <w:p w:rsidR="00BD3D12" w:rsidRPr="000A0A5F" w:rsidRDefault="00BD3D12" w:rsidP="00BD3D12">
      <w:pPr>
        <w:pStyle w:val="PL"/>
        <w:rPr>
          <w:lang w:val="en-US"/>
        </w:rPr>
      </w:pPr>
      <w:r w:rsidRPr="000A0A5F">
        <w:rPr>
          <w:lang w:val="en-US"/>
        </w:rPr>
        <w:t xml:space="preserve">            application/json:</w:t>
      </w:r>
    </w:p>
    <w:p w:rsidR="00BD3D12" w:rsidRPr="000A0A5F" w:rsidRDefault="00BD3D12" w:rsidP="00BD3D12">
      <w:pPr>
        <w:pStyle w:val="PL"/>
        <w:rPr>
          <w:lang w:val="en-US"/>
        </w:rPr>
      </w:pPr>
      <w:r w:rsidRPr="000A0A5F">
        <w:rPr>
          <w:lang w:val="en-US"/>
        </w:rPr>
        <w:t xml:space="preserve">              schema:</w:t>
      </w:r>
    </w:p>
    <w:p w:rsidR="00BD3D12" w:rsidRPr="000A0A5F" w:rsidRDefault="00BD3D12" w:rsidP="00BD3D12">
      <w:pPr>
        <w:pStyle w:val="PL"/>
        <w:rPr>
          <w:lang w:val="en-US"/>
        </w:rPr>
      </w:pPr>
      <w:r w:rsidRPr="000A0A5F">
        <w:rPr>
          <w:lang w:val="en-US"/>
        </w:rPr>
        <w:t xml:space="preserve">                $ref: '#/components/schemas/</w:t>
      </w:r>
      <w:r w:rsidRPr="000A0A5F">
        <w:t>NiddDownlinkDataTransfer'</w:t>
      </w:r>
    </w:p>
    <w:p w:rsidR="00BD3D12" w:rsidRPr="000A0A5F" w:rsidRDefault="00BD3D12" w:rsidP="00BD3D12">
      <w:pPr>
        <w:pStyle w:val="PL"/>
      </w:pPr>
      <w:r w:rsidRPr="000A0A5F">
        <w:t xml:space="preserve">        '204':</w:t>
      </w:r>
    </w:p>
    <w:p w:rsidR="00A6789E" w:rsidRPr="000A0A5F" w:rsidRDefault="00BD3D12" w:rsidP="00BD3D12">
      <w:pPr>
        <w:pStyle w:val="PL"/>
      </w:pPr>
      <w:r w:rsidRPr="000A0A5F">
        <w:t xml:space="preserve">          description: </w:t>
      </w:r>
      <w:r w:rsidR="00A6789E" w:rsidRPr="000A0A5F">
        <w:t>&gt;</w:t>
      </w:r>
    </w:p>
    <w:p w:rsidR="00A6789E" w:rsidRPr="000A0A5F" w:rsidRDefault="00A6789E" w:rsidP="00BD3D12">
      <w:pPr>
        <w:pStyle w:val="PL"/>
        <w:rPr>
          <w:lang w:eastAsia="zh-CN"/>
        </w:rPr>
      </w:pPr>
      <w:r w:rsidRPr="000A0A5F">
        <w:t xml:space="preserve">            </w:t>
      </w:r>
      <w:r w:rsidR="00BD3D12" w:rsidRPr="000A0A5F">
        <w:t xml:space="preserve">No Content. </w:t>
      </w:r>
      <w:r w:rsidR="00BD3D12" w:rsidRPr="000A0A5F">
        <w:rPr>
          <w:rFonts w:hint="eastAsia"/>
          <w:lang w:eastAsia="zh-CN"/>
        </w:rPr>
        <w:t xml:space="preserve">The </w:t>
      </w:r>
      <w:r w:rsidR="00BD3D12" w:rsidRPr="000A0A5F">
        <w:rPr>
          <w:lang w:eastAsia="zh-CN"/>
        </w:rPr>
        <w:t xml:space="preserve">modification of the Individual </w:t>
      </w:r>
      <w:r w:rsidR="00BD3D12" w:rsidRPr="000A0A5F">
        <w:rPr>
          <w:rFonts w:hint="eastAsia"/>
          <w:lang w:eastAsia="zh-CN"/>
        </w:rPr>
        <w:t xml:space="preserve">NIDD downlink data delivery </w:t>
      </w:r>
      <w:r w:rsidR="00BD3D12" w:rsidRPr="000A0A5F">
        <w:rPr>
          <w:lang w:eastAsia="zh-CN"/>
        </w:rPr>
        <w:t>resource</w:t>
      </w:r>
    </w:p>
    <w:p w:rsidR="00BD3D12" w:rsidRPr="000A0A5F" w:rsidRDefault="00A6789E" w:rsidP="00BD3D12">
      <w:pPr>
        <w:pStyle w:val="PL"/>
      </w:pPr>
      <w:r w:rsidRPr="000A0A5F">
        <w:t xml:space="preserve">           </w:t>
      </w:r>
      <w:r w:rsidR="00BD3D12" w:rsidRPr="000A0A5F">
        <w:rPr>
          <w:lang w:eastAsia="zh-CN"/>
        </w:rPr>
        <w:t xml:space="preserve"> was</w:t>
      </w:r>
      <w:r w:rsidR="00BD3D12" w:rsidRPr="000A0A5F">
        <w:rPr>
          <w:rFonts w:hint="eastAsia"/>
          <w:lang w:eastAsia="zh-CN"/>
        </w:rPr>
        <w:t xml:space="preserve"> </w:t>
      </w:r>
      <w:r w:rsidR="00BD3D12" w:rsidRPr="000A0A5F">
        <w:rPr>
          <w:lang w:eastAsia="zh-CN"/>
        </w:rPr>
        <w:t>successful</w:t>
      </w:r>
      <w:r w:rsidR="00BD3D12" w:rsidRPr="000A0A5F">
        <w:t xml:space="preserve"> and no content is to be sent in the response message body.</w:t>
      </w:r>
    </w:p>
    <w:p w:rsidR="00BD3D12" w:rsidRPr="000A0A5F" w:rsidRDefault="00BD3D12" w:rsidP="00BD3D12">
      <w:pPr>
        <w:pStyle w:val="PL"/>
      </w:pPr>
      <w:r w:rsidRPr="000A0A5F">
        <w:t xml:space="preserve">        '307':</w:t>
      </w:r>
    </w:p>
    <w:p w:rsidR="00BD3D12" w:rsidRPr="000A0A5F" w:rsidRDefault="00BD3D12" w:rsidP="00BD3D12">
      <w:pPr>
        <w:pStyle w:val="PL"/>
      </w:pPr>
      <w:r w:rsidRPr="000A0A5F">
        <w:t xml:space="preserve">          $ref: 'TS29122_CommonData.yaml#/components/responses/307'</w:t>
      </w:r>
    </w:p>
    <w:p w:rsidR="00BD3D12" w:rsidRPr="000A0A5F" w:rsidRDefault="00BD3D12" w:rsidP="00BD3D12">
      <w:pPr>
        <w:pStyle w:val="PL"/>
      </w:pPr>
      <w:r w:rsidRPr="000A0A5F">
        <w:t xml:space="preserve">        '308':</w:t>
      </w:r>
    </w:p>
    <w:p w:rsidR="00BD3D12" w:rsidRPr="000A0A5F" w:rsidRDefault="00BD3D12" w:rsidP="00BD3D12">
      <w:pPr>
        <w:pStyle w:val="PL"/>
      </w:pPr>
      <w:r w:rsidRPr="000A0A5F">
        <w:t xml:space="preserve">          $ref: 'TS29122_CommonData.yaml#/components/responses/308'</w:t>
      </w:r>
    </w:p>
    <w:p w:rsidR="00BD3D12" w:rsidRPr="000A0A5F" w:rsidRDefault="00BD3D12" w:rsidP="00BD3D12">
      <w:pPr>
        <w:pStyle w:val="PL"/>
        <w:rPr>
          <w:lang w:val="en-US"/>
        </w:rPr>
      </w:pPr>
      <w:r w:rsidRPr="000A0A5F">
        <w:rPr>
          <w:lang w:val="en-US"/>
        </w:rPr>
        <w:t xml:space="preserve">        '400':</w:t>
      </w:r>
    </w:p>
    <w:p w:rsidR="00BD3D12" w:rsidRPr="000A0A5F" w:rsidRDefault="00BD3D12" w:rsidP="00BD3D12">
      <w:pPr>
        <w:pStyle w:val="PL"/>
        <w:rPr>
          <w:lang w:val="en-US"/>
        </w:rPr>
      </w:pPr>
      <w:r w:rsidRPr="000A0A5F">
        <w:rPr>
          <w:lang w:val="en-US"/>
        </w:rPr>
        <w:t xml:space="preserve">          $ref: 'TS29122_CommonData.yaml#/components/responses/400'</w:t>
      </w:r>
    </w:p>
    <w:p w:rsidR="00BD3D12" w:rsidRPr="000A0A5F" w:rsidRDefault="00BD3D12" w:rsidP="00BD3D12">
      <w:pPr>
        <w:pStyle w:val="PL"/>
        <w:rPr>
          <w:lang w:val="en-US"/>
        </w:rPr>
      </w:pPr>
      <w:r w:rsidRPr="000A0A5F">
        <w:rPr>
          <w:lang w:val="en-US"/>
        </w:rPr>
        <w:t xml:space="preserve">        '401':</w:t>
      </w:r>
    </w:p>
    <w:p w:rsidR="00BD3D12" w:rsidRPr="000A0A5F" w:rsidRDefault="00BD3D12" w:rsidP="00BD3D12">
      <w:pPr>
        <w:pStyle w:val="PL"/>
        <w:rPr>
          <w:lang w:val="en-US"/>
        </w:rPr>
      </w:pPr>
      <w:r w:rsidRPr="000A0A5F">
        <w:rPr>
          <w:lang w:val="en-US"/>
        </w:rPr>
        <w:t xml:space="preserve">          $ref: 'TS29122_CommonData.yaml#/components/responses/401'</w:t>
      </w:r>
    </w:p>
    <w:p w:rsidR="00BD3D12" w:rsidRPr="000A0A5F" w:rsidRDefault="00BD3D12" w:rsidP="00BD3D12">
      <w:pPr>
        <w:pStyle w:val="PL"/>
        <w:rPr>
          <w:lang w:val="en-US"/>
        </w:rPr>
      </w:pPr>
      <w:r w:rsidRPr="000A0A5F">
        <w:rPr>
          <w:lang w:val="en-US"/>
        </w:rPr>
        <w:t xml:space="preserve">        '403':</w:t>
      </w:r>
    </w:p>
    <w:p w:rsidR="00BD3D12" w:rsidRPr="000A0A5F" w:rsidRDefault="00BD3D12" w:rsidP="00BD3D12">
      <w:pPr>
        <w:pStyle w:val="PL"/>
        <w:rPr>
          <w:lang w:val="en-US"/>
        </w:rPr>
      </w:pPr>
      <w:r w:rsidRPr="000A0A5F">
        <w:rPr>
          <w:lang w:val="en-US"/>
        </w:rPr>
        <w:t xml:space="preserve">          $ref: 'TS29122_CommonData.yaml#/components/responses/403'</w:t>
      </w:r>
    </w:p>
    <w:p w:rsidR="00BD3D12" w:rsidRPr="000A0A5F" w:rsidRDefault="00BD3D12" w:rsidP="00BD3D12">
      <w:pPr>
        <w:pStyle w:val="PL"/>
        <w:rPr>
          <w:lang w:val="en-US"/>
        </w:rPr>
      </w:pPr>
      <w:r w:rsidRPr="000A0A5F">
        <w:rPr>
          <w:lang w:val="en-US"/>
        </w:rPr>
        <w:t xml:space="preserve">        '404':</w:t>
      </w:r>
    </w:p>
    <w:p w:rsidR="00BD3D12" w:rsidRPr="000A0A5F" w:rsidRDefault="00BD3D12" w:rsidP="00BD3D12">
      <w:pPr>
        <w:pStyle w:val="PL"/>
        <w:rPr>
          <w:lang w:val="en-US"/>
        </w:rPr>
      </w:pPr>
      <w:r w:rsidRPr="000A0A5F">
        <w:rPr>
          <w:lang w:val="en-US"/>
        </w:rPr>
        <w:t xml:space="preserve">          $ref: 'TS29122_CommonData.yaml#/components/responses/404'</w:t>
      </w:r>
    </w:p>
    <w:p w:rsidR="00BD3D12" w:rsidRPr="000A0A5F" w:rsidRDefault="00BD3D12" w:rsidP="00BD3D12">
      <w:pPr>
        <w:pStyle w:val="PL"/>
        <w:rPr>
          <w:lang w:val="en-US"/>
        </w:rPr>
      </w:pPr>
      <w:r w:rsidRPr="000A0A5F">
        <w:rPr>
          <w:lang w:val="en-US"/>
        </w:rPr>
        <w:t xml:space="preserve">        '409':</w:t>
      </w:r>
    </w:p>
    <w:p w:rsidR="00BD3D12" w:rsidRPr="000A0A5F" w:rsidRDefault="00BD3D12" w:rsidP="00BD3D12">
      <w:pPr>
        <w:pStyle w:val="PL"/>
        <w:rPr>
          <w:lang w:val="en-US"/>
        </w:rPr>
      </w:pPr>
      <w:r w:rsidRPr="000A0A5F">
        <w:rPr>
          <w:lang w:val="en-US"/>
        </w:rPr>
        <w:t xml:space="preserve">          $ref: 'TS29122_CommonData.yaml#/components/responses/409'</w:t>
      </w:r>
    </w:p>
    <w:p w:rsidR="00BD3D12" w:rsidRPr="000A0A5F" w:rsidRDefault="00BD3D12" w:rsidP="00BD3D12">
      <w:pPr>
        <w:pStyle w:val="PL"/>
        <w:rPr>
          <w:lang w:val="en-US"/>
        </w:rPr>
      </w:pPr>
      <w:r w:rsidRPr="000A0A5F">
        <w:rPr>
          <w:lang w:val="en-US"/>
        </w:rPr>
        <w:t xml:space="preserve">        '411':</w:t>
      </w:r>
    </w:p>
    <w:p w:rsidR="00BD3D12" w:rsidRPr="000A0A5F" w:rsidRDefault="00BD3D12" w:rsidP="00BD3D12">
      <w:pPr>
        <w:pStyle w:val="PL"/>
        <w:rPr>
          <w:lang w:val="en-US"/>
        </w:rPr>
      </w:pPr>
      <w:r w:rsidRPr="000A0A5F">
        <w:rPr>
          <w:lang w:val="en-US"/>
        </w:rPr>
        <w:t xml:space="preserve">          $ref: 'TS29122_CommonData.yaml#/components/responses/411'</w:t>
      </w:r>
    </w:p>
    <w:p w:rsidR="00BD3D12" w:rsidRPr="000A0A5F" w:rsidRDefault="00BD3D12" w:rsidP="00BD3D12">
      <w:pPr>
        <w:pStyle w:val="PL"/>
        <w:rPr>
          <w:lang w:val="en-US"/>
        </w:rPr>
      </w:pPr>
      <w:r w:rsidRPr="000A0A5F">
        <w:rPr>
          <w:lang w:val="en-US"/>
        </w:rPr>
        <w:t xml:space="preserve">        '413':</w:t>
      </w:r>
    </w:p>
    <w:p w:rsidR="00BD3D12" w:rsidRPr="000A0A5F" w:rsidRDefault="00BD3D12" w:rsidP="00BD3D12">
      <w:pPr>
        <w:pStyle w:val="PL"/>
        <w:rPr>
          <w:lang w:val="en-US"/>
        </w:rPr>
      </w:pPr>
      <w:r w:rsidRPr="000A0A5F">
        <w:rPr>
          <w:lang w:val="en-US"/>
        </w:rPr>
        <w:t xml:space="preserve">          $ref: 'TS29122_CommonData.yaml#/components/responses/413'</w:t>
      </w:r>
    </w:p>
    <w:p w:rsidR="00BD3D12" w:rsidRPr="000A0A5F" w:rsidRDefault="00BD3D12" w:rsidP="00BD3D12">
      <w:pPr>
        <w:pStyle w:val="PL"/>
        <w:rPr>
          <w:lang w:val="en-US"/>
        </w:rPr>
      </w:pPr>
      <w:r w:rsidRPr="000A0A5F">
        <w:rPr>
          <w:lang w:val="en-US"/>
        </w:rPr>
        <w:t xml:space="preserve">        '415':</w:t>
      </w:r>
    </w:p>
    <w:p w:rsidR="00BD3D12" w:rsidRPr="000A0A5F" w:rsidRDefault="00BD3D12" w:rsidP="00BD3D12">
      <w:pPr>
        <w:pStyle w:val="PL"/>
        <w:rPr>
          <w:lang w:val="en-US"/>
        </w:rPr>
      </w:pPr>
      <w:r w:rsidRPr="000A0A5F">
        <w:rPr>
          <w:lang w:val="en-US"/>
        </w:rPr>
        <w:t xml:space="preserve">          $ref: 'TS29122_CommonData.yaml#/components/responses/415'</w:t>
      </w:r>
    </w:p>
    <w:p w:rsidR="00BD3D12" w:rsidRPr="000A0A5F" w:rsidRDefault="00BD3D12" w:rsidP="00BD3D12">
      <w:pPr>
        <w:pStyle w:val="PL"/>
        <w:rPr>
          <w:lang w:val="en-US"/>
        </w:rPr>
      </w:pPr>
      <w:r w:rsidRPr="000A0A5F">
        <w:rPr>
          <w:lang w:val="en-US"/>
        </w:rPr>
        <w:t xml:space="preserve">        '429':</w:t>
      </w:r>
    </w:p>
    <w:p w:rsidR="00BD3D12" w:rsidRPr="000A0A5F" w:rsidRDefault="00BD3D12" w:rsidP="00BD3D12">
      <w:pPr>
        <w:pStyle w:val="PL"/>
        <w:rPr>
          <w:lang w:val="en-US"/>
        </w:rPr>
      </w:pPr>
      <w:r w:rsidRPr="000A0A5F">
        <w:rPr>
          <w:lang w:val="en-US"/>
        </w:rPr>
        <w:t xml:space="preserve">          $ref: 'TS29122_CommonData.yaml#/components/responses/429'</w:t>
      </w:r>
    </w:p>
    <w:p w:rsidR="00BD3D12" w:rsidRPr="000A0A5F" w:rsidRDefault="00BD3D12" w:rsidP="00BD3D12">
      <w:pPr>
        <w:pStyle w:val="PL"/>
        <w:rPr>
          <w:lang w:val="en-US"/>
        </w:rPr>
      </w:pPr>
      <w:r w:rsidRPr="000A0A5F">
        <w:rPr>
          <w:lang w:val="en-US"/>
        </w:rPr>
        <w:t xml:space="preserve">        '500':</w:t>
      </w:r>
    </w:p>
    <w:p w:rsidR="00A6789E" w:rsidRPr="000A0A5F" w:rsidRDefault="00BD3D12" w:rsidP="00BD3D12">
      <w:pPr>
        <w:pStyle w:val="PL"/>
      </w:pPr>
      <w:r w:rsidRPr="000A0A5F">
        <w:t xml:space="preserve">          description: </w:t>
      </w:r>
      <w:r w:rsidR="00A6789E" w:rsidRPr="000A0A5F">
        <w:t>&gt;</w:t>
      </w:r>
    </w:p>
    <w:p w:rsidR="00BD3D12" w:rsidRPr="000A0A5F" w:rsidRDefault="00A6789E" w:rsidP="00BD3D12">
      <w:pPr>
        <w:pStyle w:val="PL"/>
        <w:rPr>
          <w:lang w:eastAsia="zh-CN"/>
        </w:rPr>
      </w:pPr>
      <w:r w:rsidRPr="000A0A5F">
        <w:t xml:space="preserve">            </w:t>
      </w:r>
      <w:r w:rsidR="00BD3D12" w:rsidRPr="000A0A5F">
        <w:rPr>
          <w:lang w:eastAsia="zh-CN"/>
        </w:rPr>
        <w:t>Internal Server Error</w:t>
      </w:r>
      <w:r w:rsidR="00BD3D12" w:rsidRPr="000A0A5F">
        <w:t>. The NIDD downlink data modification request was not successful</w:t>
      </w:r>
      <w:r w:rsidR="00BD3D12" w:rsidRPr="000A0A5F">
        <w:rPr>
          <w:lang w:eastAsia="zh-CN"/>
        </w:rPr>
        <w:t>.</w:t>
      </w:r>
    </w:p>
    <w:p w:rsidR="00BD3D12" w:rsidRPr="000A0A5F" w:rsidRDefault="00BD3D12" w:rsidP="00BD3D12">
      <w:pPr>
        <w:pStyle w:val="PL"/>
      </w:pPr>
      <w:r w:rsidRPr="000A0A5F">
        <w:t xml:space="preserve">          content:</w:t>
      </w:r>
    </w:p>
    <w:p w:rsidR="00BD3D12" w:rsidRPr="000A0A5F" w:rsidRDefault="00BD3D12" w:rsidP="00BD3D12">
      <w:pPr>
        <w:pStyle w:val="PL"/>
      </w:pPr>
      <w:r w:rsidRPr="000A0A5F">
        <w:t xml:space="preserve">            application/json:</w:t>
      </w:r>
    </w:p>
    <w:p w:rsidR="00BD3D12" w:rsidRPr="000A0A5F" w:rsidRDefault="00BD3D12" w:rsidP="00BD3D12">
      <w:pPr>
        <w:pStyle w:val="PL"/>
      </w:pPr>
      <w:r w:rsidRPr="000A0A5F">
        <w:t xml:space="preserve">              schema:</w:t>
      </w:r>
    </w:p>
    <w:p w:rsidR="00BD3D12" w:rsidRPr="000A0A5F" w:rsidRDefault="00BD3D12" w:rsidP="00BD3D12">
      <w:pPr>
        <w:pStyle w:val="PL"/>
      </w:pPr>
      <w:r w:rsidRPr="000A0A5F">
        <w:t xml:space="preserve">                $ref: '#/components/schemas/NiddDownlinkDataDeliveryFailure</w:t>
      </w:r>
      <w:r w:rsidRPr="000A0A5F">
        <w:rPr>
          <w:lang w:eastAsia="zh-CN"/>
        </w:rPr>
        <w:t>'</w:t>
      </w:r>
    </w:p>
    <w:p w:rsidR="00BD3D12" w:rsidRPr="000A0A5F" w:rsidRDefault="00BD3D12" w:rsidP="00BD3D12">
      <w:pPr>
        <w:pStyle w:val="PL"/>
        <w:rPr>
          <w:lang w:val="en-US"/>
        </w:rPr>
      </w:pPr>
      <w:r w:rsidRPr="000A0A5F">
        <w:rPr>
          <w:lang w:val="en-US"/>
        </w:rPr>
        <w:t xml:space="preserve">        '503':</w:t>
      </w:r>
    </w:p>
    <w:p w:rsidR="00BD3D12" w:rsidRPr="000A0A5F" w:rsidRDefault="00BD3D12" w:rsidP="00BD3D12">
      <w:pPr>
        <w:pStyle w:val="PL"/>
        <w:rPr>
          <w:lang w:val="en-US"/>
        </w:rPr>
      </w:pPr>
      <w:r w:rsidRPr="000A0A5F">
        <w:rPr>
          <w:lang w:val="en-US"/>
        </w:rPr>
        <w:t xml:space="preserve">          $ref: 'TS29122_CommonData.yaml#/components/responses/503'</w:t>
      </w:r>
    </w:p>
    <w:p w:rsidR="00BD3D12" w:rsidRPr="000A0A5F" w:rsidRDefault="00BD3D12" w:rsidP="00BD3D12">
      <w:pPr>
        <w:pStyle w:val="PL"/>
        <w:rPr>
          <w:lang w:val="en-US"/>
        </w:rPr>
      </w:pPr>
      <w:r w:rsidRPr="000A0A5F">
        <w:rPr>
          <w:lang w:val="en-US"/>
        </w:rPr>
        <w:t xml:space="preserve">        default:</w:t>
      </w:r>
    </w:p>
    <w:p w:rsidR="00BD3D12" w:rsidRPr="000A0A5F" w:rsidRDefault="00BD3D12" w:rsidP="00BD3D12">
      <w:pPr>
        <w:pStyle w:val="PL"/>
        <w:rPr>
          <w:lang w:val="en-US"/>
        </w:rPr>
      </w:pPr>
      <w:r w:rsidRPr="000A0A5F">
        <w:rPr>
          <w:lang w:val="en-US"/>
        </w:rPr>
        <w:t xml:space="preserve">          $ref: 'TS29122_CommonData.yaml#/components/responses/default'</w:t>
      </w:r>
    </w:p>
    <w:p w:rsidR="00CB0DD7" w:rsidRPr="000A0A5F" w:rsidRDefault="00CB0DD7">
      <w:pPr>
        <w:pStyle w:val="PL"/>
        <w:rPr>
          <w:lang w:val="en-US"/>
        </w:rPr>
      </w:pPr>
      <w:r w:rsidRPr="000A0A5F">
        <w:rPr>
          <w:lang w:val="en-US"/>
        </w:rPr>
        <w:t xml:space="preserve">    delete:</w:t>
      </w:r>
    </w:p>
    <w:p w:rsidR="00E555E6" w:rsidRPr="000A0A5F" w:rsidRDefault="00E555E6" w:rsidP="00E555E6">
      <w:pPr>
        <w:pStyle w:val="PL"/>
      </w:pPr>
      <w:r w:rsidRPr="000A0A5F">
        <w:t xml:space="preserve">      summary: </w:t>
      </w:r>
      <w:r w:rsidRPr="000A0A5F">
        <w:rPr>
          <w:lang w:eastAsia="zh-CN"/>
        </w:rPr>
        <w:t>Delete an NIDD downlink data delivery resource.</w:t>
      </w:r>
    </w:p>
    <w:p w:rsidR="00E555E6" w:rsidRPr="000A0A5F" w:rsidRDefault="00E555E6" w:rsidP="00E555E6">
      <w:pPr>
        <w:pStyle w:val="PL"/>
      </w:pPr>
      <w:r w:rsidRPr="000A0A5F">
        <w:t xml:space="preserve">      </w:t>
      </w:r>
      <w:r w:rsidRPr="000A0A5F">
        <w:rPr>
          <w:rFonts w:cs="Courier New"/>
          <w:szCs w:val="16"/>
        </w:rPr>
        <w:t>operationId: DeleteInd</w:t>
      </w:r>
      <w:r w:rsidRPr="000A0A5F">
        <w:t>DownlinkData</w:t>
      </w:r>
      <w:r w:rsidRPr="000A0A5F">
        <w:rPr>
          <w:lang w:eastAsia="zh-CN"/>
        </w:rPr>
        <w:t>D</w:t>
      </w:r>
      <w:r w:rsidRPr="000A0A5F">
        <w:rPr>
          <w:rFonts w:hint="eastAsia"/>
          <w:lang w:eastAsia="zh-CN"/>
        </w:rPr>
        <w:t>elivery</w:t>
      </w:r>
    </w:p>
    <w:p w:rsidR="00E555E6" w:rsidRPr="000A0A5F" w:rsidRDefault="00E555E6" w:rsidP="00E555E6">
      <w:pPr>
        <w:pStyle w:val="PL"/>
      </w:pPr>
      <w:r w:rsidRPr="000A0A5F">
        <w:t xml:space="preserve">      tags:</w:t>
      </w:r>
    </w:p>
    <w:p w:rsidR="00E555E6" w:rsidRPr="000A0A5F" w:rsidRDefault="00E555E6" w:rsidP="00E555E6">
      <w:pPr>
        <w:pStyle w:val="PL"/>
      </w:pPr>
      <w:r w:rsidRPr="000A0A5F">
        <w:t xml:space="preserve">        - Individual NIDD downlink data</w:t>
      </w:r>
      <w:r w:rsidRPr="000A0A5F">
        <w:rPr>
          <w:rFonts w:hint="eastAsia"/>
          <w:lang w:eastAsia="zh-CN"/>
        </w:rPr>
        <w:t xml:space="preserve"> delivery</w:t>
      </w:r>
    </w:p>
    <w:p w:rsidR="00CB0DD7" w:rsidRPr="000A0A5F" w:rsidRDefault="00CB0DD7">
      <w:pPr>
        <w:pStyle w:val="PL"/>
        <w:rPr>
          <w:lang w:val="en-US"/>
        </w:rPr>
      </w:pPr>
      <w:r w:rsidRPr="000A0A5F">
        <w:rPr>
          <w:lang w:val="en-US"/>
        </w:rPr>
        <w:t xml:space="preserve">      responses:</w:t>
      </w:r>
    </w:p>
    <w:p w:rsidR="00CB0DD7" w:rsidRPr="000A0A5F" w:rsidRDefault="00CB0DD7">
      <w:pPr>
        <w:pStyle w:val="PL"/>
        <w:rPr>
          <w:lang w:val="en-US"/>
        </w:rPr>
      </w:pPr>
      <w:r w:rsidRPr="000A0A5F">
        <w:rPr>
          <w:lang w:val="en-US"/>
        </w:rPr>
        <w:t xml:space="preserve">        '204':</w:t>
      </w:r>
    </w:p>
    <w:p w:rsidR="00CB0DD7" w:rsidRPr="000A0A5F" w:rsidRDefault="00CB0DD7">
      <w:pPr>
        <w:pStyle w:val="PL"/>
        <w:rPr>
          <w:lang w:val="en-US"/>
        </w:rPr>
      </w:pPr>
      <w:r w:rsidRPr="000A0A5F">
        <w:rPr>
          <w:lang w:val="en-US"/>
        </w:rPr>
        <w:t xml:space="preserve">          description: The pending NIDD downlink data is deleted.</w:t>
      </w:r>
    </w:p>
    <w:p w:rsidR="00CB0DD7" w:rsidRPr="000A0A5F" w:rsidRDefault="00CB0DD7">
      <w:pPr>
        <w:pStyle w:val="PL"/>
      </w:pPr>
      <w:r w:rsidRPr="000A0A5F">
        <w:t xml:space="preserve">        '307':</w:t>
      </w:r>
    </w:p>
    <w:p w:rsidR="00CB0DD7" w:rsidRPr="000A0A5F" w:rsidRDefault="00CB0DD7">
      <w:pPr>
        <w:pStyle w:val="PL"/>
      </w:pPr>
      <w:r w:rsidRPr="000A0A5F">
        <w:t xml:space="preserve">          $ref: 'TS29122_CommonData.yaml#/components/responses/307'</w:t>
      </w:r>
    </w:p>
    <w:p w:rsidR="00CB0DD7" w:rsidRPr="000A0A5F" w:rsidRDefault="00CB0DD7">
      <w:pPr>
        <w:pStyle w:val="PL"/>
      </w:pPr>
      <w:r w:rsidRPr="000A0A5F">
        <w:t xml:space="preserve">        '308':</w:t>
      </w:r>
    </w:p>
    <w:p w:rsidR="00CB0DD7" w:rsidRPr="000A0A5F" w:rsidRDefault="00CB0DD7">
      <w:pPr>
        <w:pStyle w:val="PL"/>
      </w:pPr>
      <w:r w:rsidRPr="000A0A5F">
        <w:t xml:space="preserve">          $ref: 'TS29122_CommonData.yaml#/components/responses/308'</w:t>
      </w:r>
    </w:p>
    <w:p w:rsidR="00CB0DD7" w:rsidRPr="000A0A5F" w:rsidRDefault="00CB0DD7">
      <w:pPr>
        <w:pStyle w:val="PL"/>
        <w:rPr>
          <w:lang w:val="en-US"/>
        </w:rPr>
      </w:pPr>
      <w:r w:rsidRPr="000A0A5F">
        <w:rPr>
          <w:lang w:val="en-US"/>
        </w:rPr>
        <w:t xml:space="preserve">        '400':</w:t>
      </w:r>
    </w:p>
    <w:p w:rsidR="00CB0DD7" w:rsidRPr="000A0A5F" w:rsidRDefault="00CB0DD7">
      <w:pPr>
        <w:pStyle w:val="PL"/>
        <w:rPr>
          <w:lang w:val="en-US"/>
        </w:rPr>
      </w:pPr>
      <w:r w:rsidRPr="000A0A5F">
        <w:rPr>
          <w:lang w:val="en-US"/>
        </w:rPr>
        <w:t xml:space="preserve">          $ref: 'TS29122_CommonData.yaml#/components/responses/400'</w:t>
      </w:r>
    </w:p>
    <w:p w:rsidR="00CB0DD7" w:rsidRPr="000A0A5F" w:rsidRDefault="00CB0DD7">
      <w:pPr>
        <w:pStyle w:val="PL"/>
        <w:rPr>
          <w:lang w:val="en-US"/>
        </w:rPr>
      </w:pPr>
      <w:r w:rsidRPr="000A0A5F">
        <w:rPr>
          <w:lang w:val="en-US"/>
        </w:rPr>
        <w:t xml:space="preserve">        '401':</w:t>
      </w:r>
    </w:p>
    <w:p w:rsidR="00CB0DD7" w:rsidRPr="000A0A5F" w:rsidRDefault="00CB0DD7">
      <w:pPr>
        <w:pStyle w:val="PL"/>
        <w:rPr>
          <w:lang w:val="en-US"/>
        </w:rPr>
      </w:pPr>
      <w:r w:rsidRPr="000A0A5F">
        <w:rPr>
          <w:lang w:val="en-US"/>
        </w:rPr>
        <w:t xml:space="preserve">          $ref: 'TS29122_CommonData.yaml#/components/responses/401'</w:t>
      </w:r>
    </w:p>
    <w:p w:rsidR="00CB0DD7" w:rsidRPr="000A0A5F" w:rsidRDefault="00CB0DD7">
      <w:pPr>
        <w:pStyle w:val="PL"/>
        <w:rPr>
          <w:lang w:val="en-US"/>
        </w:rPr>
      </w:pPr>
      <w:r w:rsidRPr="000A0A5F">
        <w:rPr>
          <w:lang w:val="en-US"/>
        </w:rPr>
        <w:t xml:space="preserve">        '403':</w:t>
      </w:r>
    </w:p>
    <w:p w:rsidR="00CB0DD7" w:rsidRPr="000A0A5F" w:rsidRDefault="00CB0DD7">
      <w:pPr>
        <w:pStyle w:val="PL"/>
        <w:rPr>
          <w:lang w:val="en-US"/>
        </w:rPr>
      </w:pPr>
      <w:r w:rsidRPr="000A0A5F">
        <w:rPr>
          <w:lang w:val="en-US"/>
        </w:rPr>
        <w:t xml:space="preserve">          $ref: 'TS29122_CommonData.yaml#/components/responses/403'</w:t>
      </w:r>
    </w:p>
    <w:p w:rsidR="00CB0DD7" w:rsidRPr="000A0A5F" w:rsidRDefault="00CB0DD7">
      <w:pPr>
        <w:pStyle w:val="PL"/>
        <w:rPr>
          <w:lang w:val="en-US"/>
        </w:rPr>
      </w:pPr>
      <w:r w:rsidRPr="000A0A5F">
        <w:rPr>
          <w:lang w:val="en-US"/>
        </w:rPr>
        <w:t xml:space="preserve">        '404':</w:t>
      </w:r>
    </w:p>
    <w:p w:rsidR="00CB0DD7" w:rsidRPr="000A0A5F" w:rsidRDefault="00CB0DD7">
      <w:pPr>
        <w:pStyle w:val="PL"/>
        <w:rPr>
          <w:lang w:val="en-US"/>
        </w:rPr>
      </w:pPr>
      <w:r w:rsidRPr="000A0A5F">
        <w:rPr>
          <w:lang w:val="en-US"/>
        </w:rPr>
        <w:t xml:space="preserve">          $ref: 'TS29122_CommonData.yaml#/components/responses/404'</w:t>
      </w:r>
    </w:p>
    <w:p w:rsidR="00CB0DD7" w:rsidRPr="000A0A5F" w:rsidRDefault="00CB0DD7">
      <w:pPr>
        <w:pStyle w:val="PL"/>
        <w:rPr>
          <w:lang w:val="en-US"/>
        </w:rPr>
      </w:pPr>
      <w:r w:rsidRPr="000A0A5F">
        <w:rPr>
          <w:lang w:val="en-US"/>
        </w:rPr>
        <w:t xml:space="preserve">        '409':</w:t>
      </w:r>
    </w:p>
    <w:p w:rsidR="00CB0DD7" w:rsidRPr="000A0A5F" w:rsidRDefault="00CB0DD7">
      <w:pPr>
        <w:pStyle w:val="PL"/>
        <w:rPr>
          <w:lang w:val="en-US"/>
        </w:rPr>
      </w:pPr>
      <w:r w:rsidRPr="000A0A5F">
        <w:rPr>
          <w:lang w:val="en-US"/>
        </w:rPr>
        <w:t xml:space="preserve">          $ref: 'TS29122_CommonData.yaml#/components/responses/409'</w:t>
      </w:r>
    </w:p>
    <w:p w:rsidR="00CB0DD7" w:rsidRPr="000A0A5F" w:rsidRDefault="00CB0DD7">
      <w:pPr>
        <w:pStyle w:val="PL"/>
        <w:rPr>
          <w:lang w:val="en-US"/>
        </w:rPr>
      </w:pPr>
      <w:r w:rsidRPr="000A0A5F">
        <w:rPr>
          <w:lang w:val="en-US"/>
        </w:rPr>
        <w:t xml:space="preserve">        '429':</w:t>
      </w:r>
    </w:p>
    <w:p w:rsidR="00CB0DD7" w:rsidRPr="000A0A5F" w:rsidRDefault="00CB0DD7">
      <w:pPr>
        <w:pStyle w:val="PL"/>
        <w:rPr>
          <w:lang w:val="en-US"/>
        </w:rPr>
      </w:pPr>
      <w:r w:rsidRPr="000A0A5F">
        <w:rPr>
          <w:lang w:val="en-US"/>
        </w:rPr>
        <w:t xml:space="preserve">          $ref: 'TS29122_CommonData.yaml#/components/responses/429'</w:t>
      </w:r>
    </w:p>
    <w:p w:rsidR="00CB0DD7" w:rsidRPr="000A0A5F" w:rsidRDefault="00CB0DD7">
      <w:pPr>
        <w:pStyle w:val="PL"/>
        <w:rPr>
          <w:lang w:val="en-US"/>
        </w:rPr>
      </w:pPr>
      <w:r w:rsidRPr="000A0A5F">
        <w:rPr>
          <w:lang w:val="en-US"/>
        </w:rPr>
        <w:t xml:space="preserve">        '500':</w:t>
      </w:r>
    </w:p>
    <w:p w:rsidR="00CB0DD7" w:rsidRPr="000A0A5F" w:rsidRDefault="00CB0DD7">
      <w:pPr>
        <w:pStyle w:val="PL"/>
        <w:rPr>
          <w:lang w:eastAsia="zh-CN"/>
        </w:rPr>
      </w:pPr>
      <w:r w:rsidRPr="000A0A5F">
        <w:t xml:space="preserve">          description: The NIDD downlink data cancellation request was not successful</w:t>
      </w:r>
      <w:r w:rsidRPr="000A0A5F">
        <w:rPr>
          <w:lang w:eastAsia="zh-CN"/>
        </w:rPr>
        <w:t>.</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application/json:</w:t>
      </w:r>
    </w:p>
    <w:p w:rsidR="00CB0DD7" w:rsidRPr="000A0A5F" w:rsidRDefault="00CB0DD7">
      <w:pPr>
        <w:pStyle w:val="PL"/>
      </w:pPr>
      <w:r w:rsidRPr="000A0A5F">
        <w:t xml:space="preserve">              schema:</w:t>
      </w:r>
    </w:p>
    <w:p w:rsidR="00CB0DD7" w:rsidRPr="000A0A5F" w:rsidRDefault="00CB0DD7">
      <w:pPr>
        <w:pStyle w:val="PL"/>
      </w:pPr>
      <w:r w:rsidRPr="000A0A5F">
        <w:t xml:space="preserve">                $ref: '#/components/schemas/NiddDownlinkDataDeliveryFailure</w:t>
      </w:r>
      <w:r w:rsidRPr="000A0A5F">
        <w:rPr>
          <w:lang w:eastAsia="zh-CN"/>
        </w:rPr>
        <w:t>'</w:t>
      </w:r>
    </w:p>
    <w:p w:rsidR="00CB0DD7" w:rsidRPr="000A0A5F" w:rsidRDefault="00CB0DD7">
      <w:pPr>
        <w:pStyle w:val="PL"/>
        <w:rPr>
          <w:lang w:val="en-US"/>
        </w:rPr>
      </w:pPr>
      <w:r w:rsidRPr="000A0A5F">
        <w:rPr>
          <w:lang w:val="en-US"/>
        </w:rPr>
        <w:t xml:space="preserve">        '503':</w:t>
      </w:r>
    </w:p>
    <w:p w:rsidR="00CB0DD7" w:rsidRPr="000A0A5F" w:rsidRDefault="00CB0DD7">
      <w:pPr>
        <w:pStyle w:val="PL"/>
        <w:rPr>
          <w:lang w:val="en-US"/>
        </w:rPr>
      </w:pPr>
      <w:r w:rsidRPr="000A0A5F">
        <w:rPr>
          <w:lang w:val="en-US"/>
        </w:rPr>
        <w:t xml:space="preserve">          $ref: 'TS29122_CommonData.yaml#/components/responses/503'</w:t>
      </w:r>
    </w:p>
    <w:p w:rsidR="00CB0DD7" w:rsidRPr="000A0A5F" w:rsidRDefault="00CB0DD7">
      <w:pPr>
        <w:pStyle w:val="PL"/>
        <w:rPr>
          <w:lang w:val="en-US"/>
        </w:rPr>
      </w:pPr>
      <w:r w:rsidRPr="000A0A5F">
        <w:rPr>
          <w:lang w:val="en-US"/>
        </w:rPr>
        <w:t xml:space="preserve">        default:</w:t>
      </w:r>
    </w:p>
    <w:p w:rsidR="00CB0DD7" w:rsidRPr="000A0A5F" w:rsidRDefault="00CB0DD7">
      <w:pPr>
        <w:pStyle w:val="PL"/>
        <w:rPr>
          <w:lang w:val="en-US"/>
        </w:rPr>
      </w:pPr>
      <w:r w:rsidRPr="000A0A5F">
        <w:rPr>
          <w:lang w:val="en-US"/>
        </w:rPr>
        <w:t xml:space="preserve">          $ref: 'TS29122_CommonData.yaml#/components/responses/default'</w:t>
      </w:r>
    </w:p>
    <w:p w:rsidR="00CB0DD7" w:rsidRPr="000A0A5F" w:rsidRDefault="00CB0DD7">
      <w:pPr>
        <w:pStyle w:val="PL"/>
        <w:rPr>
          <w:lang w:val="en-US"/>
        </w:rPr>
      </w:pPr>
      <w:r w:rsidRPr="000A0A5F">
        <w:rPr>
          <w:lang w:val="en-US"/>
        </w:rPr>
        <w:t xml:space="preserve">  /{scsAsId}/configurations/{configurationId}/</w:t>
      </w:r>
      <w:r w:rsidRPr="000A0A5F">
        <w:rPr>
          <w:lang w:val="en-US" w:eastAsia="zh-CN"/>
        </w:rPr>
        <w:t>rds-ports</w:t>
      </w:r>
      <w:r w:rsidRPr="000A0A5F">
        <w:rPr>
          <w:lang w:val="en-US"/>
        </w:rPr>
        <w:t>:</w:t>
      </w:r>
    </w:p>
    <w:p w:rsidR="00CB0DD7" w:rsidRPr="000A0A5F" w:rsidRDefault="00CB0DD7">
      <w:pPr>
        <w:pStyle w:val="PL"/>
        <w:rPr>
          <w:lang w:val="en-US"/>
        </w:rPr>
      </w:pPr>
      <w:r w:rsidRPr="000A0A5F">
        <w:rPr>
          <w:lang w:val="en-US"/>
        </w:rPr>
        <w:t xml:space="preserve">    parameters:</w:t>
      </w:r>
    </w:p>
    <w:p w:rsidR="00CB0DD7" w:rsidRPr="000A0A5F" w:rsidRDefault="00CB0DD7">
      <w:pPr>
        <w:pStyle w:val="PL"/>
        <w:rPr>
          <w:lang w:val="en-US"/>
        </w:rPr>
      </w:pPr>
      <w:r w:rsidRPr="000A0A5F">
        <w:rPr>
          <w:lang w:val="en-US"/>
        </w:rPr>
        <w:t xml:space="preserve">      - name: scsAsId</w:t>
      </w:r>
    </w:p>
    <w:p w:rsidR="00CB0DD7" w:rsidRPr="000A0A5F" w:rsidRDefault="00CB0DD7">
      <w:pPr>
        <w:pStyle w:val="PL"/>
        <w:rPr>
          <w:lang w:val="en-US"/>
        </w:rPr>
      </w:pPr>
      <w:r w:rsidRPr="000A0A5F">
        <w:rPr>
          <w:lang w:val="en-US"/>
        </w:rPr>
        <w:t xml:space="preserve">        description: String identifying the SCS/AS.</w:t>
      </w:r>
    </w:p>
    <w:p w:rsidR="00CB0DD7" w:rsidRPr="000A0A5F" w:rsidRDefault="00CB0DD7">
      <w:pPr>
        <w:pStyle w:val="PL"/>
        <w:rPr>
          <w:lang w:val="en-US"/>
        </w:rPr>
      </w:pPr>
      <w:r w:rsidRPr="000A0A5F">
        <w:rPr>
          <w:lang w:val="en-US"/>
        </w:rPr>
        <w:t xml:space="preserve">        in: path</w:t>
      </w:r>
    </w:p>
    <w:p w:rsidR="00CB0DD7" w:rsidRPr="000A0A5F" w:rsidRDefault="00CB0DD7">
      <w:pPr>
        <w:pStyle w:val="PL"/>
        <w:rPr>
          <w:lang w:val="en-US"/>
        </w:rPr>
      </w:pPr>
      <w:r w:rsidRPr="000A0A5F">
        <w:rPr>
          <w:lang w:val="en-US"/>
        </w:rPr>
        <w:t xml:space="preserve">        required: true</w:t>
      </w:r>
    </w:p>
    <w:p w:rsidR="00CB0DD7" w:rsidRPr="000A0A5F" w:rsidRDefault="00CB0DD7">
      <w:pPr>
        <w:pStyle w:val="PL"/>
        <w:rPr>
          <w:lang w:val="en-US"/>
        </w:rPr>
      </w:pPr>
      <w:r w:rsidRPr="000A0A5F">
        <w:rPr>
          <w:lang w:val="en-US"/>
        </w:rPr>
        <w:t xml:space="preserve">        schema:</w:t>
      </w:r>
    </w:p>
    <w:p w:rsidR="00CB0DD7" w:rsidRPr="000A0A5F" w:rsidRDefault="00CB0DD7">
      <w:pPr>
        <w:pStyle w:val="PL"/>
        <w:rPr>
          <w:lang w:val="en-US"/>
        </w:rPr>
      </w:pPr>
      <w:r w:rsidRPr="000A0A5F">
        <w:rPr>
          <w:lang w:val="en-US"/>
        </w:rPr>
        <w:t xml:space="preserve">          type: string</w:t>
      </w:r>
    </w:p>
    <w:p w:rsidR="00CB0DD7" w:rsidRPr="000A0A5F" w:rsidRDefault="00CB0DD7">
      <w:pPr>
        <w:pStyle w:val="PL"/>
        <w:rPr>
          <w:lang w:val="en-US"/>
        </w:rPr>
      </w:pPr>
      <w:r w:rsidRPr="000A0A5F">
        <w:rPr>
          <w:lang w:val="en-US"/>
        </w:rPr>
        <w:t xml:space="preserve">      - name: configurationId</w:t>
      </w:r>
    </w:p>
    <w:p w:rsidR="00CB0DD7" w:rsidRPr="000A0A5F" w:rsidRDefault="00CB0DD7">
      <w:pPr>
        <w:pStyle w:val="PL"/>
        <w:rPr>
          <w:lang w:val="en-US"/>
        </w:rPr>
      </w:pPr>
      <w:r w:rsidRPr="000A0A5F">
        <w:rPr>
          <w:lang w:val="en-US"/>
        </w:rPr>
        <w:t xml:space="preserve">        description: String identifying the individual NIDD configuration resource in the SCEF.</w:t>
      </w:r>
    </w:p>
    <w:p w:rsidR="00CB0DD7" w:rsidRPr="000A0A5F" w:rsidRDefault="00CB0DD7">
      <w:pPr>
        <w:pStyle w:val="PL"/>
        <w:rPr>
          <w:lang w:val="en-US"/>
        </w:rPr>
      </w:pPr>
      <w:r w:rsidRPr="000A0A5F">
        <w:rPr>
          <w:lang w:val="en-US"/>
        </w:rPr>
        <w:t xml:space="preserve">        in: path</w:t>
      </w:r>
    </w:p>
    <w:p w:rsidR="00CB0DD7" w:rsidRPr="000A0A5F" w:rsidRDefault="00CB0DD7">
      <w:pPr>
        <w:pStyle w:val="PL"/>
        <w:rPr>
          <w:lang w:val="en-US"/>
        </w:rPr>
      </w:pPr>
      <w:r w:rsidRPr="000A0A5F">
        <w:rPr>
          <w:lang w:val="en-US"/>
        </w:rPr>
        <w:t xml:space="preserve">        required: true</w:t>
      </w:r>
    </w:p>
    <w:p w:rsidR="00CB0DD7" w:rsidRPr="000A0A5F" w:rsidRDefault="00CB0DD7">
      <w:pPr>
        <w:pStyle w:val="PL"/>
        <w:rPr>
          <w:lang w:val="en-US"/>
        </w:rPr>
      </w:pPr>
      <w:r w:rsidRPr="000A0A5F">
        <w:rPr>
          <w:lang w:val="en-US"/>
        </w:rPr>
        <w:t xml:space="preserve">        schema:</w:t>
      </w:r>
    </w:p>
    <w:p w:rsidR="00CB0DD7" w:rsidRPr="000A0A5F" w:rsidRDefault="00CB0DD7">
      <w:pPr>
        <w:pStyle w:val="PL"/>
        <w:rPr>
          <w:lang w:val="en-US"/>
        </w:rPr>
      </w:pPr>
      <w:r w:rsidRPr="000A0A5F">
        <w:rPr>
          <w:lang w:val="en-US"/>
        </w:rPr>
        <w:t xml:space="preserve">          type: string</w:t>
      </w:r>
    </w:p>
    <w:p w:rsidR="00CB0DD7" w:rsidRPr="000A0A5F" w:rsidRDefault="00CB0DD7">
      <w:pPr>
        <w:pStyle w:val="PL"/>
        <w:rPr>
          <w:lang w:val="en-US"/>
        </w:rPr>
      </w:pPr>
      <w:r w:rsidRPr="000A0A5F">
        <w:rPr>
          <w:lang w:val="en-US"/>
        </w:rPr>
        <w:t xml:space="preserve">    get:</w:t>
      </w:r>
    </w:p>
    <w:p w:rsidR="00E555E6" w:rsidRPr="000A0A5F" w:rsidRDefault="00E555E6" w:rsidP="00E555E6">
      <w:pPr>
        <w:pStyle w:val="PL"/>
      </w:pPr>
      <w:r w:rsidRPr="000A0A5F">
        <w:t xml:space="preserve">      summary: </w:t>
      </w:r>
      <w:r w:rsidRPr="000A0A5F">
        <w:rPr>
          <w:lang w:eastAsia="zh-CN"/>
        </w:rPr>
        <w:t>Read all RDS ManagePort Configurations.</w:t>
      </w:r>
    </w:p>
    <w:p w:rsidR="00E555E6" w:rsidRPr="000A0A5F" w:rsidRDefault="00E555E6" w:rsidP="00E555E6">
      <w:pPr>
        <w:pStyle w:val="PL"/>
      </w:pPr>
      <w:r w:rsidRPr="000A0A5F">
        <w:t xml:space="preserve">      </w:t>
      </w:r>
      <w:r w:rsidRPr="000A0A5F">
        <w:rPr>
          <w:rFonts w:cs="Courier New"/>
          <w:szCs w:val="16"/>
        </w:rPr>
        <w:t>operationId: FetchAll</w:t>
      </w:r>
      <w:r w:rsidRPr="000A0A5F">
        <w:rPr>
          <w:lang w:eastAsia="zh-CN"/>
        </w:rPr>
        <w:t>ManagePortConfigurations</w:t>
      </w:r>
    </w:p>
    <w:p w:rsidR="00E555E6" w:rsidRPr="000A0A5F" w:rsidRDefault="00E555E6" w:rsidP="00E555E6">
      <w:pPr>
        <w:pStyle w:val="PL"/>
      </w:pPr>
      <w:r w:rsidRPr="000A0A5F">
        <w:t xml:space="preserve">      tags:</w:t>
      </w:r>
    </w:p>
    <w:p w:rsidR="00E555E6" w:rsidRPr="000A0A5F" w:rsidRDefault="00E555E6" w:rsidP="00E555E6">
      <w:pPr>
        <w:pStyle w:val="PL"/>
      </w:pPr>
      <w:r w:rsidRPr="000A0A5F">
        <w:t xml:space="preserve">        - </w:t>
      </w:r>
      <w:r w:rsidRPr="000A0A5F">
        <w:rPr>
          <w:lang w:eastAsia="zh-CN"/>
        </w:rPr>
        <w:t>ManagePort Configurations</w:t>
      </w:r>
    </w:p>
    <w:p w:rsidR="00CB0DD7" w:rsidRPr="000A0A5F" w:rsidRDefault="00CB0DD7">
      <w:pPr>
        <w:pStyle w:val="PL"/>
        <w:rPr>
          <w:lang w:val="en-US"/>
        </w:rPr>
      </w:pPr>
      <w:r w:rsidRPr="000A0A5F">
        <w:rPr>
          <w:lang w:val="en-US"/>
        </w:rPr>
        <w:t xml:space="preserve">      responses:</w:t>
      </w:r>
    </w:p>
    <w:p w:rsidR="00CB0DD7" w:rsidRPr="000A0A5F" w:rsidRDefault="00CB0DD7">
      <w:pPr>
        <w:pStyle w:val="PL"/>
        <w:rPr>
          <w:lang w:val="en-US"/>
        </w:rPr>
      </w:pPr>
      <w:r w:rsidRPr="000A0A5F">
        <w:rPr>
          <w:lang w:val="en-US"/>
        </w:rPr>
        <w:t xml:space="preserve">        '200':</w:t>
      </w:r>
    </w:p>
    <w:p w:rsidR="00CB0DD7" w:rsidRPr="000A0A5F" w:rsidRDefault="00CB0DD7">
      <w:pPr>
        <w:pStyle w:val="PL"/>
        <w:rPr>
          <w:lang w:val="en-US"/>
        </w:rPr>
      </w:pPr>
      <w:r w:rsidRPr="000A0A5F">
        <w:rPr>
          <w:lang w:val="en-US"/>
        </w:rPr>
        <w:t xml:space="preserve">          description: all ManagePort configurations.</w:t>
      </w:r>
    </w:p>
    <w:p w:rsidR="00CB0DD7" w:rsidRPr="000A0A5F" w:rsidRDefault="00CB0DD7">
      <w:pPr>
        <w:pStyle w:val="PL"/>
        <w:rPr>
          <w:lang w:val="en-US"/>
        </w:rPr>
      </w:pPr>
      <w:r w:rsidRPr="000A0A5F">
        <w:rPr>
          <w:lang w:val="en-US"/>
        </w:rPr>
        <w:t xml:space="preserve">          content:</w:t>
      </w:r>
    </w:p>
    <w:p w:rsidR="00CB0DD7" w:rsidRPr="000A0A5F" w:rsidRDefault="00CB0DD7">
      <w:pPr>
        <w:pStyle w:val="PL"/>
        <w:rPr>
          <w:lang w:val="en-US"/>
        </w:rPr>
      </w:pPr>
      <w:r w:rsidRPr="000A0A5F">
        <w:rPr>
          <w:lang w:val="en-US"/>
        </w:rPr>
        <w:t xml:space="preserve">            application/json:</w:t>
      </w:r>
    </w:p>
    <w:p w:rsidR="00CB0DD7" w:rsidRPr="000A0A5F" w:rsidRDefault="00CB0DD7">
      <w:pPr>
        <w:pStyle w:val="PL"/>
        <w:rPr>
          <w:lang w:val="en-US"/>
        </w:rPr>
      </w:pPr>
      <w:r w:rsidRPr="000A0A5F">
        <w:rPr>
          <w:lang w:val="en-US"/>
        </w:rPr>
        <w:t xml:space="preserve">              schema:</w:t>
      </w:r>
    </w:p>
    <w:p w:rsidR="00CB0DD7" w:rsidRPr="000A0A5F" w:rsidRDefault="00CB0DD7">
      <w:pPr>
        <w:pStyle w:val="PL"/>
      </w:pPr>
      <w:r w:rsidRPr="000A0A5F">
        <w:rPr>
          <w:lang w:val="en-US"/>
        </w:rPr>
        <w:t xml:space="preserve">                </w:t>
      </w:r>
      <w:r w:rsidRPr="000A0A5F">
        <w:t>type: array</w:t>
      </w:r>
    </w:p>
    <w:p w:rsidR="00CB0DD7" w:rsidRPr="000A0A5F" w:rsidRDefault="00CB0DD7">
      <w:pPr>
        <w:pStyle w:val="PL"/>
      </w:pPr>
      <w:r w:rsidRPr="000A0A5F">
        <w:t xml:space="preserve">                items:</w:t>
      </w:r>
    </w:p>
    <w:p w:rsidR="00CB0DD7" w:rsidRPr="000A0A5F" w:rsidRDefault="00CB0DD7">
      <w:pPr>
        <w:pStyle w:val="PL"/>
      </w:pPr>
      <w:r w:rsidRPr="000A0A5F">
        <w:t xml:space="preserve">                  $ref: '#/components/schemas/ManagePort'</w:t>
      </w:r>
    </w:p>
    <w:p w:rsidR="00CB0DD7" w:rsidRPr="000A0A5F" w:rsidRDefault="00CB0DD7">
      <w:pPr>
        <w:pStyle w:val="PL"/>
      </w:pPr>
      <w:r w:rsidRPr="000A0A5F">
        <w:t xml:space="preserve">                minItems: 0</w:t>
      </w:r>
    </w:p>
    <w:p w:rsidR="00CB0DD7" w:rsidRPr="000A0A5F" w:rsidRDefault="00CB0DD7">
      <w:pPr>
        <w:pStyle w:val="PL"/>
      </w:pPr>
      <w:r w:rsidRPr="000A0A5F">
        <w:t xml:space="preserve">                description: individual ManagePort configuration</w:t>
      </w:r>
      <w:r w:rsidRPr="000A0A5F">
        <w:rPr>
          <w:lang w:val="en-US"/>
        </w:rPr>
        <w:t>.</w:t>
      </w:r>
    </w:p>
    <w:p w:rsidR="00CB0DD7" w:rsidRPr="000A0A5F" w:rsidRDefault="00CB0DD7">
      <w:pPr>
        <w:pStyle w:val="PL"/>
      </w:pPr>
      <w:r w:rsidRPr="000A0A5F">
        <w:t xml:space="preserve">        '307':</w:t>
      </w:r>
    </w:p>
    <w:p w:rsidR="00CB0DD7" w:rsidRPr="000A0A5F" w:rsidRDefault="00CB0DD7">
      <w:pPr>
        <w:pStyle w:val="PL"/>
      </w:pPr>
      <w:r w:rsidRPr="000A0A5F">
        <w:t xml:space="preserve">          $ref: 'TS29122_CommonData.yaml#/components/responses/307'</w:t>
      </w:r>
    </w:p>
    <w:p w:rsidR="00CB0DD7" w:rsidRPr="000A0A5F" w:rsidRDefault="00CB0DD7">
      <w:pPr>
        <w:pStyle w:val="PL"/>
      </w:pPr>
      <w:r w:rsidRPr="000A0A5F">
        <w:t xml:space="preserve">        '308':</w:t>
      </w:r>
    </w:p>
    <w:p w:rsidR="00CB0DD7" w:rsidRPr="000A0A5F" w:rsidRDefault="00CB0DD7">
      <w:pPr>
        <w:pStyle w:val="PL"/>
      </w:pPr>
      <w:r w:rsidRPr="000A0A5F">
        <w:t xml:space="preserve">          $ref: 'TS29122_CommonData.yaml#/components/responses/308'</w:t>
      </w:r>
    </w:p>
    <w:p w:rsidR="00CB0DD7" w:rsidRPr="000A0A5F" w:rsidRDefault="00CB0DD7">
      <w:pPr>
        <w:pStyle w:val="PL"/>
      </w:pPr>
      <w:r w:rsidRPr="000A0A5F">
        <w:t xml:space="preserve">        '400':</w:t>
      </w:r>
    </w:p>
    <w:p w:rsidR="00CB0DD7" w:rsidRPr="000A0A5F" w:rsidRDefault="00CB0DD7">
      <w:pPr>
        <w:pStyle w:val="PL"/>
      </w:pPr>
      <w:r w:rsidRPr="000A0A5F">
        <w:t xml:space="preserve">          $ref: 'TS29122_CommonData.yaml#/components/responses/400'</w:t>
      </w:r>
    </w:p>
    <w:p w:rsidR="00CB0DD7" w:rsidRPr="000A0A5F" w:rsidRDefault="00CB0DD7">
      <w:pPr>
        <w:pStyle w:val="PL"/>
      </w:pPr>
      <w:r w:rsidRPr="000A0A5F">
        <w:t xml:space="preserve">        '401':</w:t>
      </w:r>
    </w:p>
    <w:p w:rsidR="00CB0DD7" w:rsidRPr="000A0A5F" w:rsidRDefault="00CB0DD7">
      <w:pPr>
        <w:pStyle w:val="PL"/>
      </w:pPr>
      <w:r w:rsidRPr="000A0A5F">
        <w:t xml:space="preserve">          $ref: 'TS29122_CommonData.yaml#/components/responses/401'</w:t>
      </w:r>
    </w:p>
    <w:p w:rsidR="00CB0DD7" w:rsidRPr="000A0A5F" w:rsidRDefault="00CB0DD7">
      <w:pPr>
        <w:pStyle w:val="PL"/>
      </w:pPr>
      <w:r w:rsidRPr="000A0A5F">
        <w:t xml:space="preserve">        '403':</w:t>
      </w:r>
    </w:p>
    <w:p w:rsidR="00CB0DD7" w:rsidRPr="000A0A5F" w:rsidRDefault="00CB0DD7">
      <w:pPr>
        <w:pStyle w:val="PL"/>
      </w:pPr>
      <w:r w:rsidRPr="000A0A5F">
        <w:t xml:space="preserve">          $ref: 'TS29122_CommonData.yaml#/components/responses/403'</w:t>
      </w:r>
    </w:p>
    <w:p w:rsidR="00CB0DD7" w:rsidRPr="000A0A5F" w:rsidRDefault="00CB0DD7">
      <w:pPr>
        <w:pStyle w:val="PL"/>
      </w:pPr>
      <w:r w:rsidRPr="000A0A5F">
        <w:t xml:space="preserve">        '404':</w:t>
      </w:r>
    </w:p>
    <w:p w:rsidR="00CB0DD7" w:rsidRPr="000A0A5F" w:rsidRDefault="00CB0DD7">
      <w:pPr>
        <w:pStyle w:val="PL"/>
      </w:pPr>
      <w:r w:rsidRPr="000A0A5F">
        <w:t xml:space="preserve">          $ref: 'TS29122_CommonData.yaml#/components/responses/404'</w:t>
      </w:r>
    </w:p>
    <w:p w:rsidR="00CB0DD7" w:rsidRPr="000A0A5F" w:rsidRDefault="00CB0DD7">
      <w:pPr>
        <w:pStyle w:val="PL"/>
        <w:rPr>
          <w:lang w:val="en-US"/>
        </w:rPr>
      </w:pPr>
      <w:r w:rsidRPr="000A0A5F">
        <w:rPr>
          <w:lang w:val="en-US"/>
        </w:rPr>
        <w:t xml:space="preserve">        '406':</w:t>
      </w:r>
    </w:p>
    <w:p w:rsidR="00CB0DD7" w:rsidRPr="000A0A5F" w:rsidRDefault="00CB0DD7">
      <w:pPr>
        <w:pStyle w:val="PL"/>
        <w:rPr>
          <w:lang w:val="en-US"/>
        </w:rPr>
      </w:pPr>
      <w:r w:rsidRPr="000A0A5F">
        <w:rPr>
          <w:lang w:val="en-US"/>
        </w:rPr>
        <w:t xml:space="preserve">          $ref: 'TS29122_CommonData.yaml#/components/responses/406'</w:t>
      </w:r>
    </w:p>
    <w:p w:rsidR="00CB0DD7" w:rsidRPr="000A0A5F" w:rsidRDefault="00CB0DD7">
      <w:pPr>
        <w:pStyle w:val="PL"/>
        <w:rPr>
          <w:lang w:val="en-US"/>
        </w:rPr>
      </w:pPr>
      <w:r w:rsidRPr="000A0A5F">
        <w:rPr>
          <w:lang w:val="en-US"/>
        </w:rPr>
        <w:t xml:space="preserve">        '429':</w:t>
      </w:r>
    </w:p>
    <w:p w:rsidR="00CB0DD7" w:rsidRPr="000A0A5F" w:rsidRDefault="00CB0DD7">
      <w:pPr>
        <w:pStyle w:val="PL"/>
        <w:rPr>
          <w:lang w:val="en-US"/>
        </w:rPr>
      </w:pPr>
      <w:r w:rsidRPr="000A0A5F">
        <w:rPr>
          <w:lang w:val="en-US"/>
        </w:rPr>
        <w:t xml:space="preserve">          $ref: 'TS29122_CommonData.yaml#/components/responses/429'</w:t>
      </w:r>
    </w:p>
    <w:p w:rsidR="00CB0DD7" w:rsidRPr="000A0A5F" w:rsidRDefault="00CB0DD7">
      <w:pPr>
        <w:pStyle w:val="PL"/>
      </w:pPr>
      <w:r w:rsidRPr="000A0A5F">
        <w:t xml:space="preserve">        '500':</w:t>
      </w:r>
    </w:p>
    <w:p w:rsidR="00CB0DD7" w:rsidRPr="000A0A5F" w:rsidRDefault="00CB0DD7">
      <w:pPr>
        <w:pStyle w:val="PL"/>
      </w:pPr>
      <w:r w:rsidRPr="000A0A5F">
        <w:t xml:space="preserve">          $ref: 'TS29122_CommonData.yaml#/components/responses/500'</w:t>
      </w:r>
    </w:p>
    <w:p w:rsidR="00CB0DD7" w:rsidRPr="000A0A5F" w:rsidRDefault="00CB0DD7">
      <w:pPr>
        <w:pStyle w:val="PL"/>
      </w:pPr>
      <w:r w:rsidRPr="000A0A5F">
        <w:t xml:space="preserve">        '503':</w:t>
      </w:r>
    </w:p>
    <w:p w:rsidR="00CB0DD7" w:rsidRPr="000A0A5F" w:rsidRDefault="00CB0DD7">
      <w:pPr>
        <w:pStyle w:val="PL"/>
      </w:pPr>
      <w:r w:rsidRPr="000A0A5F">
        <w:t xml:space="preserve">          $ref: 'TS29122_CommonData.yaml#/components/responses/503'</w:t>
      </w:r>
    </w:p>
    <w:p w:rsidR="00CB0DD7" w:rsidRPr="000A0A5F" w:rsidRDefault="00CB0DD7">
      <w:pPr>
        <w:pStyle w:val="PL"/>
      </w:pPr>
      <w:r w:rsidRPr="000A0A5F">
        <w:t xml:space="preserve">        default:</w:t>
      </w:r>
    </w:p>
    <w:p w:rsidR="00CB0DD7" w:rsidRPr="000A0A5F" w:rsidRDefault="00CB0DD7">
      <w:pPr>
        <w:pStyle w:val="PL"/>
      </w:pPr>
      <w:r w:rsidRPr="000A0A5F">
        <w:t xml:space="preserve">          $ref: 'TS29122_CommonData.yaml#/components/responses/default'</w:t>
      </w:r>
    </w:p>
    <w:p w:rsidR="00CB0DD7" w:rsidRPr="000A0A5F" w:rsidRDefault="00CB0DD7">
      <w:pPr>
        <w:pStyle w:val="PL"/>
        <w:rPr>
          <w:lang w:val="en-US"/>
        </w:rPr>
      </w:pPr>
      <w:r w:rsidRPr="000A0A5F">
        <w:rPr>
          <w:lang w:val="en-US"/>
        </w:rPr>
        <w:t xml:space="preserve">  /{scsAsId}/configurations/{configurationId}/rds</w:t>
      </w:r>
      <w:r w:rsidRPr="000A0A5F">
        <w:rPr>
          <w:lang w:eastAsia="zh-CN"/>
        </w:rPr>
        <w:t>-ports/{portId}</w:t>
      </w:r>
      <w:r w:rsidRPr="000A0A5F">
        <w:rPr>
          <w:lang w:val="en-US"/>
        </w:rPr>
        <w:t>:</w:t>
      </w:r>
    </w:p>
    <w:p w:rsidR="00CB0DD7" w:rsidRPr="000A0A5F" w:rsidRDefault="00CB0DD7">
      <w:pPr>
        <w:pStyle w:val="PL"/>
        <w:rPr>
          <w:lang w:val="en-US"/>
        </w:rPr>
      </w:pPr>
      <w:r w:rsidRPr="000A0A5F">
        <w:rPr>
          <w:lang w:val="en-US"/>
        </w:rPr>
        <w:t xml:space="preserve">    parameters:</w:t>
      </w:r>
    </w:p>
    <w:p w:rsidR="00CB0DD7" w:rsidRPr="000A0A5F" w:rsidRDefault="00CB0DD7">
      <w:pPr>
        <w:pStyle w:val="PL"/>
        <w:rPr>
          <w:lang w:val="en-US"/>
        </w:rPr>
      </w:pPr>
      <w:r w:rsidRPr="000A0A5F">
        <w:rPr>
          <w:lang w:val="en-US"/>
        </w:rPr>
        <w:t xml:space="preserve">      - name: scsAsId</w:t>
      </w:r>
    </w:p>
    <w:p w:rsidR="00CB0DD7" w:rsidRPr="000A0A5F" w:rsidRDefault="00CB0DD7">
      <w:pPr>
        <w:pStyle w:val="PL"/>
        <w:rPr>
          <w:lang w:val="en-US"/>
        </w:rPr>
      </w:pPr>
      <w:r w:rsidRPr="000A0A5F">
        <w:rPr>
          <w:lang w:val="en-US"/>
        </w:rPr>
        <w:t xml:space="preserve">        description: String identifying the SCS/AS.</w:t>
      </w:r>
    </w:p>
    <w:p w:rsidR="00CB0DD7" w:rsidRPr="000A0A5F" w:rsidRDefault="00CB0DD7">
      <w:pPr>
        <w:pStyle w:val="PL"/>
        <w:rPr>
          <w:lang w:val="en-US"/>
        </w:rPr>
      </w:pPr>
      <w:r w:rsidRPr="000A0A5F">
        <w:rPr>
          <w:lang w:val="en-US"/>
        </w:rPr>
        <w:t xml:space="preserve">        in: path</w:t>
      </w:r>
    </w:p>
    <w:p w:rsidR="00CB0DD7" w:rsidRPr="000A0A5F" w:rsidRDefault="00CB0DD7">
      <w:pPr>
        <w:pStyle w:val="PL"/>
        <w:rPr>
          <w:lang w:val="en-US"/>
        </w:rPr>
      </w:pPr>
      <w:r w:rsidRPr="000A0A5F">
        <w:rPr>
          <w:lang w:val="en-US"/>
        </w:rPr>
        <w:t xml:space="preserve">        required: true</w:t>
      </w:r>
    </w:p>
    <w:p w:rsidR="00CB0DD7" w:rsidRPr="000A0A5F" w:rsidRDefault="00CB0DD7">
      <w:pPr>
        <w:pStyle w:val="PL"/>
        <w:rPr>
          <w:lang w:val="en-US"/>
        </w:rPr>
      </w:pPr>
      <w:r w:rsidRPr="000A0A5F">
        <w:rPr>
          <w:lang w:val="en-US"/>
        </w:rPr>
        <w:t xml:space="preserve">        schema:</w:t>
      </w:r>
    </w:p>
    <w:p w:rsidR="00CB0DD7" w:rsidRPr="000A0A5F" w:rsidRDefault="00CB0DD7">
      <w:pPr>
        <w:pStyle w:val="PL"/>
        <w:rPr>
          <w:lang w:val="en-US"/>
        </w:rPr>
      </w:pPr>
      <w:r w:rsidRPr="000A0A5F">
        <w:rPr>
          <w:lang w:val="en-US"/>
        </w:rPr>
        <w:t xml:space="preserve">          type: string</w:t>
      </w:r>
    </w:p>
    <w:p w:rsidR="00CB0DD7" w:rsidRPr="000A0A5F" w:rsidRDefault="00CB0DD7">
      <w:pPr>
        <w:pStyle w:val="PL"/>
        <w:rPr>
          <w:lang w:val="en-US"/>
        </w:rPr>
      </w:pPr>
      <w:r w:rsidRPr="000A0A5F">
        <w:rPr>
          <w:lang w:val="en-US"/>
        </w:rPr>
        <w:t xml:space="preserve">      - name: configurationId</w:t>
      </w:r>
    </w:p>
    <w:p w:rsidR="00CB0DD7" w:rsidRPr="000A0A5F" w:rsidRDefault="00CB0DD7">
      <w:pPr>
        <w:pStyle w:val="PL"/>
        <w:rPr>
          <w:lang w:val="en-US"/>
        </w:rPr>
      </w:pPr>
      <w:r w:rsidRPr="000A0A5F">
        <w:rPr>
          <w:lang w:val="en-US"/>
        </w:rPr>
        <w:t xml:space="preserve">        description: String identifying the individual NIDD configuration resource in the SCEF.</w:t>
      </w:r>
    </w:p>
    <w:p w:rsidR="00CB0DD7" w:rsidRPr="000A0A5F" w:rsidRDefault="00CB0DD7">
      <w:pPr>
        <w:pStyle w:val="PL"/>
        <w:rPr>
          <w:lang w:val="en-US"/>
        </w:rPr>
      </w:pPr>
      <w:r w:rsidRPr="000A0A5F">
        <w:rPr>
          <w:lang w:val="en-US"/>
        </w:rPr>
        <w:t xml:space="preserve">        in: path</w:t>
      </w:r>
    </w:p>
    <w:p w:rsidR="00CB0DD7" w:rsidRPr="000A0A5F" w:rsidRDefault="00CB0DD7">
      <w:pPr>
        <w:pStyle w:val="PL"/>
        <w:rPr>
          <w:lang w:val="en-US"/>
        </w:rPr>
      </w:pPr>
      <w:r w:rsidRPr="000A0A5F">
        <w:rPr>
          <w:lang w:val="en-US"/>
        </w:rPr>
        <w:t xml:space="preserve">        required: true</w:t>
      </w:r>
    </w:p>
    <w:p w:rsidR="00CB0DD7" w:rsidRPr="000A0A5F" w:rsidRDefault="00CB0DD7">
      <w:pPr>
        <w:pStyle w:val="PL"/>
        <w:rPr>
          <w:lang w:val="en-US"/>
        </w:rPr>
      </w:pPr>
      <w:r w:rsidRPr="000A0A5F">
        <w:rPr>
          <w:lang w:val="en-US"/>
        </w:rPr>
        <w:t xml:space="preserve">        schema:</w:t>
      </w:r>
    </w:p>
    <w:p w:rsidR="00CB0DD7" w:rsidRPr="000A0A5F" w:rsidRDefault="00CB0DD7">
      <w:pPr>
        <w:pStyle w:val="PL"/>
        <w:rPr>
          <w:lang w:val="en-US"/>
        </w:rPr>
      </w:pPr>
      <w:r w:rsidRPr="000A0A5F">
        <w:rPr>
          <w:lang w:val="en-US"/>
        </w:rPr>
        <w:t xml:space="preserve">          type: string</w:t>
      </w:r>
    </w:p>
    <w:p w:rsidR="00CB0DD7" w:rsidRPr="000A0A5F" w:rsidRDefault="00CB0DD7">
      <w:pPr>
        <w:pStyle w:val="PL"/>
        <w:rPr>
          <w:lang w:val="en-US"/>
        </w:rPr>
      </w:pPr>
      <w:r w:rsidRPr="000A0A5F">
        <w:rPr>
          <w:lang w:val="en-US"/>
        </w:rPr>
        <w:t xml:space="preserve">      - name: portId</w:t>
      </w:r>
    </w:p>
    <w:p w:rsidR="00CB0DD7" w:rsidRPr="000A0A5F" w:rsidRDefault="00CB0DD7">
      <w:pPr>
        <w:pStyle w:val="PL"/>
        <w:rPr>
          <w:lang w:val="en-US"/>
        </w:rPr>
      </w:pPr>
      <w:r w:rsidRPr="000A0A5F">
        <w:rPr>
          <w:lang w:val="en-US"/>
        </w:rPr>
        <w:t xml:space="preserve">        description: The UE port number.</w:t>
      </w:r>
    </w:p>
    <w:p w:rsidR="00CB0DD7" w:rsidRPr="000A0A5F" w:rsidRDefault="00CB0DD7">
      <w:pPr>
        <w:pStyle w:val="PL"/>
        <w:rPr>
          <w:lang w:val="en-US"/>
        </w:rPr>
      </w:pPr>
      <w:r w:rsidRPr="000A0A5F">
        <w:rPr>
          <w:lang w:val="en-US"/>
        </w:rPr>
        <w:t xml:space="preserve">        in: path</w:t>
      </w:r>
    </w:p>
    <w:p w:rsidR="00CB0DD7" w:rsidRPr="000A0A5F" w:rsidRDefault="00CB0DD7">
      <w:pPr>
        <w:pStyle w:val="PL"/>
        <w:rPr>
          <w:lang w:val="en-US"/>
        </w:rPr>
      </w:pPr>
      <w:r w:rsidRPr="000A0A5F">
        <w:rPr>
          <w:lang w:val="en-US"/>
        </w:rPr>
        <w:t xml:space="preserve">        required: true</w:t>
      </w:r>
    </w:p>
    <w:p w:rsidR="00CB0DD7" w:rsidRPr="000A0A5F" w:rsidRDefault="00CB0DD7">
      <w:pPr>
        <w:pStyle w:val="PL"/>
        <w:rPr>
          <w:lang w:val="en-US"/>
        </w:rPr>
      </w:pPr>
      <w:r w:rsidRPr="000A0A5F">
        <w:rPr>
          <w:lang w:val="en-US"/>
        </w:rPr>
        <w:t xml:space="preserve">        schema:</w:t>
      </w:r>
    </w:p>
    <w:p w:rsidR="00CB0DD7" w:rsidRPr="000A0A5F" w:rsidRDefault="00CB0DD7">
      <w:pPr>
        <w:pStyle w:val="PL"/>
        <w:rPr>
          <w:lang w:val="en-US"/>
        </w:rPr>
      </w:pPr>
      <w:r w:rsidRPr="000A0A5F">
        <w:rPr>
          <w:lang w:val="en-US"/>
        </w:rPr>
        <w:t xml:space="preserve">          type: string</w:t>
      </w:r>
    </w:p>
    <w:p w:rsidR="00CB0DD7" w:rsidRPr="000A0A5F" w:rsidRDefault="00CB0DD7">
      <w:pPr>
        <w:pStyle w:val="PL"/>
        <w:rPr>
          <w:lang w:val="en-US"/>
        </w:rPr>
      </w:pPr>
      <w:r w:rsidRPr="000A0A5F">
        <w:rPr>
          <w:lang w:val="en-US"/>
        </w:rPr>
        <w:t xml:space="preserve">          pattern: </w:t>
      </w:r>
      <w:r w:rsidRPr="000A0A5F">
        <w:t>'</w:t>
      </w:r>
      <w:r w:rsidRPr="000A0A5F">
        <w:rPr>
          <w:lang w:val="en-US"/>
        </w:rPr>
        <w:t>^(ue([0-9]|(1[0-5]))-ef([0-9]|(1[0-5])))$</w:t>
      </w:r>
      <w:r w:rsidRPr="000A0A5F">
        <w:t>'</w:t>
      </w:r>
    </w:p>
    <w:p w:rsidR="00CB0DD7" w:rsidRPr="000A0A5F" w:rsidRDefault="00CB0DD7">
      <w:pPr>
        <w:pStyle w:val="PL"/>
        <w:rPr>
          <w:lang w:val="en-US"/>
        </w:rPr>
      </w:pPr>
      <w:r w:rsidRPr="000A0A5F">
        <w:rPr>
          <w:lang w:val="en-US"/>
        </w:rPr>
        <w:t xml:space="preserve">    get:</w:t>
      </w:r>
    </w:p>
    <w:p w:rsidR="00E555E6" w:rsidRPr="000A0A5F" w:rsidRDefault="00E555E6" w:rsidP="00E555E6">
      <w:pPr>
        <w:pStyle w:val="PL"/>
      </w:pPr>
      <w:r w:rsidRPr="000A0A5F">
        <w:t xml:space="preserve">      summary: </w:t>
      </w:r>
      <w:r w:rsidRPr="000A0A5F">
        <w:rPr>
          <w:lang w:eastAsia="zh-CN"/>
        </w:rPr>
        <w:t xml:space="preserve">Read </w:t>
      </w:r>
      <w:r w:rsidRPr="000A0A5F">
        <w:t>an Individual ManagePort Configuration resource</w:t>
      </w:r>
      <w:r w:rsidRPr="000A0A5F">
        <w:rPr>
          <w:lang w:eastAsia="zh-CN"/>
        </w:rPr>
        <w:t xml:space="preserve"> to query port numbers.</w:t>
      </w:r>
    </w:p>
    <w:p w:rsidR="00E555E6" w:rsidRPr="000A0A5F" w:rsidRDefault="00E555E6" w:rsidP="00E555E6">
      <w:pPr>
        <w:pStyle w:val="PL"/>
      </w:pPr>
      <w:r w:rsidRPr="000A0A5F">
        <w:t xml:space="preserve">      </w:t>
      </w:r>
      <w:r w:rsidRPr="000A0A5F">
        <w:rPr>
          <w:rFonts w:cs="Courier New"/>
          <w:szCs w:val="16"/>
        </w:rPr>
        <w:t>operationId: FetchInd</w:t>
      </w:r>
      <w:r w:rsidRPr="000A0A5F">
        <w:t>ManagePortConfiguration</w:t>
      </w:r>
    </w:p>
    <w:p w:rsidR="00E555E6" w:rsidRPr="000A0A5F" w:rsidRDefault="00E555E6" w:rsidP="00E555E6">
      <w:pPr>
        <w:pStyle w:val="PL"/>
      </w:pPr>
      <w:r w:rsidRPr="000A0A5F">
        <w:t xml:space="preserve">      tags:</w:t>
      </w:r>
    </w:p>
    <w:p w:rsidR="00E555E6" w:rsidRPr="000A0A5F" w:rsidRDefault="00E555E6" w:rsidP="00E555E6">
      <w:pPr>
        <w:pStyle w:val="PL"/>
      </w:pPr>
      <w:r w:rsidRPr="000A0A5F">
        <w:t xml:space="preserve">        - Individual ManagePort Configuration</w:t>
      </w:r>
    </w:p>
    <w:p w:rsidR="00CB0DD7" w:rsidRPr="000A0A5F" w:rsidRDefault="00CB0DD7">
      <w:pPr>
        <w:pStyle w:val="PL"/>
        <w:rPr>
          <w:lang w:val="en-US"/>
        </w:rPr>
      </w:pPr>
      <w:r w:rsidRPr="000A0A5F">
        <w:rPr>
          <w:lang w:val="en-US"/>
        </w:rPr>
        <w:t xml:space="preserve">      responses:</w:t>
      </w:r>
    </w:p>
    <w:p w:rsidR="00CB0DD7" w:rsidRPr="000A0A5F" w:rsidRDefault="00CB0DD7">
      <w:pPr>
        <w:pStyle w:val="PL"/>
        <w:rPr>
          <w:lang w:val="en-US"/>
        </w:rPr>
      </w:pPr>
      <w:r w:rsidRPr="000A0A5F">
        <w:rPr>
          <w:lang w:val="en-US"/>
        </w:rPr>
        <w:t xml:space="preserve">        '200':</w:t>
      </w:r>
    </w:p>
    <w:p w:rsidR="00CB0DD7" w:rsidRPr="000A0A5F" w:rsidRDefault="00CB0DD7">
      <w:pPr>
        <w:pStyle w:val="PL"/>
        <w:rPr>
          <w:lang w:val="en-US"/>
        </w:rPr>
      </w:pPr>
      <w:r w:rsidRPr="000A0A5F">
        <w:rPr>
          <w:lang w:val="en-US"/>
        </w:rPr>
        <w:t xml:space="preserve">          description: The individual ManagePort configuration is successfully retrieved.</w:t>
      </w:r>
    </w:p>
    <w:p w:rsidR="00CB0DD7" w:rsidRPr="000A0A5F" w:rsidRDefault="00CB0DD7">
      <w:pPr>
        <w:pStyle w:val="PL"/>
        <w:rPr>
          <w:lang w:val="en-US"/>
        </w:rPr>
      </w:pPr>
      <w:r w:rsidRPr="000A0A5F">
        <w:rPr>
          <w:lang w:val="en-US"/>
        </w:rPr>
        <w:t xml:space="preserve">          content:</w:t>
      </w:r>
    </w:p>
    <w:p w:rsidR="00CB0DD7" w:rsidRPr="000A0A5F" w:rsidRDefault="00CB0DD7">
      <w:pPr>
        <w:pStyle w:val="PL"/>
        <w:rPr>
          <w:lang w:val="en-US"/>
        </w:rPr>
      </w:pPr>
      <w:r w:rsidRPr="000A0A5F">
        <w:rPr>
          <w:lang w:val="en-US"/>
        </w:rPr>
        <w:t xml:space="preserve">            application/json:</w:t>
      </w:r>
    </w:p>
    <w:p w:rsidR="00CB0DD7" w:rsidRPr="000A0A5F" w:rsidRDefault="00CB0DD7">
      <w:pPr>
        <w:pStyle w:val="PL"/>
        <w:rPr>
          <w:lang w:val="en-US"/>
        </w:rPr>
      </w:pPr>
      <w:r w:rsidRPr="000A0A5F">
        <w:rPr>
          <w:lang w:val="en-US"/>
        </w:rPr>
        <w:t xml:space="preserve">              schema:</w:t>
      </w:r>
    </w:p>
    <w:p w:rsidR="00CB0DD7" w:rsidRPr="000A0A5F" w:rsidRDefault="00CB0DD7">
      <w:pPr>
        <w:pStyle w:val="PL"/>
        <w:rPr>
          <w:lang w:val="en-US"/>
        </w:rPr>
      </w:pPr>
      <w:r w:rsidRPr="000A0A5F">
        <w:rPr>
          <w:lang w:val="en-US"/>
        </w:rPr>
        <w:t xml:space="preserve">                $ref: '#/components/schemas/</w:t>
      </w:r>
      <w:r w:rsidRPr="000A0A5F">
        <w:t>ManagePort'</w:t>
      </w:r>
    </w:p>
    <w:p w:rsidR="00CB0DD7" w:rsidRPr="000A0A5F" w:rsidRDefault="00CB0DD7">
      <w:pPr>
        <w:pStyle w:val="PL"/>
      </w:pPr>
      <w:r w:rsidRPr="000A0A5F">
        <w:t xml:space="preserve">        '307':</w:t>
      </w:r>
    </w:p>
    <w:p w:rsidR="00CB0DD7" w:rsidRPr="000A0A5F" w:rsidRDefault="00CB0DD7">
      <w:pPr>
        <w:pStyle w:val="PL"/>
      </w:pPr>
      <w:r w:rsidRPr="000A0A5F">
        <w:t xml:space="preserve">          $ref: 'TS29122_CommonData.yaml#/components/responses/307'</w:t>
      </w:r>
    </w:p>
    <w:p w:rsidR="00CB0DD7" w:rsidRPr="000A0A5F" w:rsidRDefault="00CB0DD7">
      <w:pPr>
        <w:pStyle w:val="PL"/>
      </w:pPr>
      <w:r w:rsidRPr="000A0A5F">
        <w:t xml:space="preserve">        '308':</w:t>
      </w:r>
    </w:p>
    <w:p w:rsidR="00CB0DD7" w:rsidRPr="000A0A5F" w:rsidRDefault="00CB0DD7">
      <w:pPr>
        <w:pStyle w:val="PL"/>
      </w:pPr>
      <w:r w:rsidRPr="000A0A5F">
        <w:t xml:space="preserve">          $ref: 'TS29122_CommonData.yaml#/components/responses/308'</w:t>
      </w:r>
    </w:p>
    <w:p w:rsidR="00CB0DD7" w:rsidRPr="000A0A5F" w:rsidRDefault="00CB0DD7">
      <w:pPr>
        <w:pStyle w:val="PL"/>
        <w:rPr>
          <w:lang w:val="en-US"/>
        </w:rPr>
      </w:pPr>
      <w:r w:rsidRPr="000A0A5F">
        <w:rPr>
          <w:lang w:val="en-US"/>
        </w:rPr>
        <w:t xml:space="preserve">        '400':</w:t>
      </w:r>
    </w:p>
    <w:p w:rsidR="00CB0DD7" w:rsidRPr="000A0A5F" w:rsidRDefault="00CB0DD7">
      <w:pPr>
        <w:pStyle w:val="PL"/>
        <w:rPr>
          <w:lang w:val="en-US"/>
        </w:rPr>
      </w:pPr>
      <w:r w:rsidRPr="000A0A5F">
        <w:rPr>
          <w:lang w:val="en-US"/>
        </w:rPr>
        <w:t xml:space="preserve">          $ref: 'TS29122_CommonData.yaml#/components/responses/400'</w:t>
      </w:r>
    </w:p>
    <w:p w:rsidR="00CB0DD7" w:rsidRPr="000A0A5F" w:rsidRDefault="00CB0DD7">
      <w:pPr>
        <w:pStyle w:val="PL"/>
        <w:rPr>
          <w:lang w:val="en-US"/>
        </w:rPr>
      </w:pPr>
      <w:r w:rsidRPr="000A0A5F">
        <w:rPr>
          <w:lang w:val="en-US"/>
        </w:rPr>
        <w:t xml:space="preserve">        '401':</w:t>
      </w:r>
    </w:p>
    <w:p w:rsidR="00CB0DD7" w:rsidRPr="000A0A5F" w:rsidRDefault="00CB0DD7">
      <w:pPr>
        <w:pStyle w:val="PL"/>
        <w:rPr>
          <w:lang w:val="en-US"/>
        </w:rPr>
      </w:pPr>
      <w:r w:rsidRPr="000A0A5F">
        <w:rPr>
          <w:lang w:val="en-US"/>
        </w:rPr>
        <w:t xml:space="preserve">          $ref: 'TS29122_CommonData.yaml#/components/responses/401'</w:t>
      </w:r>
    </w:p>
    <w:p w:rsidR="00CB0DD7" w:rsidRPr="000A0A5F" w:rsidRDefault="00CB0DD7">
      <w:pPr>
        <w:pStyle w:val="PL"/>
        <w:rPr>
          <w:lang w:val="en-US"/>
        </w:rPr>
      </w:pPr>
      <w:r w:rsidRPr="000A0A5F">
        <w:rPr>
          <w:lang w:val="en-US"/>
        </w:rPr>
        <w:t xml:space="preserve">        '403':</w:t>
      </w:r>
    </w:p>
    <w:p w:rsidR="00CB0DD7" w:rsidRPr="000A0A5F" w:rsidRDefault="00CB0DD7">
      <w:pPr>
        <w:pStyle w:val="PL"/>
        <w:rPr>
          <w:lang w:val="en-US"/>
        </w:rPr>
      </w:pPr>
      <w:r w:rsidRPr="000A0A5F">
        <w:rPr>
          <w:lang w:val="en-US"/>
        </w:rPr>
        <w:t xml:space="preserve">          $ref: 'TS29122_CommonData.yaml#/components/responses/403'</w:t>
      </w:r>
    </w:p>
    <w:p w:rsidR="00CB0DD7" w:rsidRPr="000A0A5F" w:rsidRDefault="00CB0DD7">
      <w:pPr>
        <w:pStyle w:val="PL"/>
        <w:rPr>
          <w:lang w:val="en-US"/>
        </w:rPr>
      </w:pPr>
      <w:r w:rsidRPr="000A0A5F">
        <w:rPr>
          <w:lang w:val="en-US"/>
        </w:rPr>
        <w:t xml:space="preserve">        '404':</w:t>
      </w:r>
    </w:p>
    <w:p w:rsidR="00CB0DD7" w:rsidRPr="000A0A5F" w:rsidRDefault="00CB0DD7">
      <w:pPr>
        <w:pStyle w:val="PL"/>
        <w:rPr>
          <w:lang w:val="en-US"/>
        </w:rPr>
      </w:pPr>
      <w:r w:rsidRPr="000A0A5F">
        <w:rPr>
          <w:lang w:val="en-US"/>
        </w:rPr>
        <w:t xml:space="preserve">          $ref: 'TS29122_CommonData.yaml#/components/responses/404'</w:t>
      </w:r>
    </w:p>
    <w:p w:rsidR="00CB0DD7" w:rsidRPr="000A0A5F" w:rsidRDefault="00CB0DD7">
      <w:pPr>
        <w:pStyle w:val="PL"/>
        <w:rPr>
          <w:lang w:val="en-US"/>
        </w:rPr>
      </w:pPr>
      <w:r w:rsidRPr="000A0A5F">
        <w:rPr>
          <w:lang w:val="en-US"/>
        </w:rPr>
        <w:t xml:space="preserve">        '406':</w:t>
      </w:r>
    </w:p>
    <w:p w:rsidR="00CB0DD7" w:rsidRPr="000A0A5F" w:rsidRDefault="00CB0DD7">
      <w:pPr>
        <w:pStyle w:val="PL"/>
        <w:rPr>
          <w:lang w:val="en-US"/>
        </w:rPr>
      </w:pPr>
      <w:r w:rsidRPr="000A0A5F">
        <w:rPr>
          <w:lang w:val="en-US"/>
        </w:rPr>
        <w:t xml:space="preserve">          $ref: 'TS29122_CommonData.yaml#/components/responses/406'</w:t>
      </w:r>
    </w:p>
    <w:p w:rsidR="00CB0DD7" w:rsidRPr="000A0A5F" w:rsidRDefault="00CB0DD7">
      <w:pPr>
        <w:pStyle w:val="PL"/>
        <w:rPr>
          <w:lang w:val="en-US"/>
        </w:rPr>
      </w:pPr>
      <w:r w:rsidRPr="000A0A5F">
        <w:rPr>
          <w:lang w:val="en-US"/>
        </w:rPr>
        <w:t xml:space="preserve">        '429':</w:t>
      </w:r>
    </w:p>
    <w:p w:rsidR="00CB0DD7" w:rsidRPr="000A0A5F" w:rsidRDefault="00CB0DD7">
      <w:pPr>
        <w:pStyle w:val="PL"/>
        <w:rPr>
          <w:lang w:val="en-US"/>
        </w:rPr>
      </w:pPr>
      <w:r w:rsidRPr="000A0A5F">
        <w:rPr>
          <w:lang w:val="en-US"/>
        </w:rPr>
        <w:t xml:space="preserve">          $ref: 'TS29122_CommonData.yaml#/components/responses/429'</w:t>
      </w:r>
    </w:p>
    <w:p w:rsidR="00CB0DD7" w:rsidRPr="000A0A5F" w:rsidRDefault="00CB0DD7">
      <w:pPr>
        <w:pStyle w:val="PL"/>
        <w:rPr>
          <w:lang w:val="en-US"/>
        </w:rPr>
      </w:pPr>
      <w:r w:rsidRPr="000A0A5F">
        <w:rPr>
          <w:lang w:val="en-US"/>
        </w:rPr>
        <w:t xml:space="preserve">        '500':</w:t>
      </w:r>
    </w:p>
    <w:p w:rsidR="00CB0DD7" w:rsidRPr="000A0A5F" w:rsidRDefault="00CB0DD7">
      <w:pPr>
        <w:pStyle w:val="PL"/>
        <w:rPr>
          <w:lang w:val="en-US"/>
        </w:rPr>
      </w:pPr>
      <w:r w:rsidRPr="000A0A5F">
        <w:rPr>
          <w:lang w:val="en-US"/>
        </w:rPr>
        <w:t xml:space="preserve">          $ref: 'TS29122_CommonData.yaml#/components/responses/500'</w:t>
      </w:r>
    </w:p>
    <w:p w:rsidR="00CB0DD7" w:rsidRPr="000A0A5F" w:rsidRDefault="00CB0DD7">
      <w:pPr>
        <w:pStyle w:val="PL"/>
        <w:rPr>
          <w:lang w:val="en-US"/>
        </w:rPr>
      </w:pPr>
      <w:r w:rsidRPr="000A0A5F">
        <w:rPr>
          <w:lang w:val="en-US"/>
        </w:rPr>
        <w:t xml:space="preserve">        '503':</w:t>
      </w:r>
    </w:p>
    <w:p w:rsidR="00CB0DD7" w:rsidRPr="000A0A5F" w:rsidRDefault="00CB0DD7">
      <w:pPr>
        <w:pStyle w:val="PL"/>
        <w:rPr>
          <w:lang w:val="en-US"/>
        </w:rPr>
      </w:pPr>
      <w:r w:rsidRPr="000A0A5F">
        <w:rPr>
          <w:lang w:val="en-US"/>
        </w:rPr>
        <w:t xml:space="preserve">          $ref: 'TS29122_CommonData.yaml#/components/responses/503'</w:t>
      </w:r>
    </w:p>
    <w:p w:rsidR="00CB0DD7" w:rsidRPr="000A0A5F" w:rsidRDefault="00CB0DD7">
      <w:pPr>
        <w:pStyle w:val="PL"/>
        <w:rPr>
          <w:lang w:val="en-US"/>
        </w:rPr>
      </w:pPr>
      <w:r w:rsidRPr="000A0A5F">
        <w:rPr>
          <w:lang w:val="en-US"/>
        </w:rPr>
        <w:t xml:space="preserve">        default:</w:t>
      </w:r>
    </w:p>
    <w:p w:rsidR="00CB0DD7" w:rsidRPr="000A0A5F" w:rsidRDefault="00CB0DD7">
      <w:pPr>
        <w:pStyle w:val="PL"/>
        <w:rPr>
          <w:lang w:val="en-US"/>
        </w:rPr>
      </w:pPr>
      <w:r w:rsidRPr="000A0A5F">
        <w:rPr>
          <w:lang w:val="en-US"/>
        </w:rPr>
        <w:t xml:space="preserve">          $ref: 'TS29122_CommonData.yaml#/components/responses/default'</w:t>
      </w:r>
    </w:p>
    <w:p w:rsidR="00CB0DD7" w:rsidRPr="000A0A5F" w:rsidRDefault="00CB0DD7">
      <w:pPr>
        <w:pStyle w:val="PL"/>
        <w:rPr>
          <w:lang w:val="en-US"/>
        </w:rPr>
      </w:pPr>
      <w:r w:rsidRPr="000A0A5F">
        <w:rPr>
          <w:lang w:val="en-US"/>
        </w:rPr>
        <w:t xml:space="preserve">    put:</w:t>
      </w:r>
    </w:p>
    <w:p w:rsidR="00E555E6" w:rsidRPr="000A0A5F" w:rsidRDefault="00E555E6" w:rsidP="00E555E6">
      <w:pPr>
        <w:pStyle w:val="PL"/>
      </w:pPr>
      <w:r w:rsidRPr="000A0A5F">
        <w:t xml:space="preserve">      summary: Create a new Individual ManagePort Configuration resource</w:t>
      </w:r>
      <w:r w:rsidRPr="000A0A5F">
        <w:rPr>
          <w:lang w:eastAsia="zh-CN"/>
        </w:rPr>
        <w:t xml:space="preserve"> to reserve port numbers.</w:t>
      </w:r>
    </w:p>
    <w:p w:rsidR="00E555E6" w:rsidRPr="000A0A5F" w:rsidRDefault="00E555E6" w:rsidP="00E555E6">
      <w:pPr>
        <w:pStyle w:val="PL"/>
      </w:pPr>
      <w:r w:rsidRPr="000A0A5F">
        <w:t xml:space="preserve">      </w:t>
      </w:r>
      <w:r w:rsidRPr="000A0A5F">
        <w:rPr>
          <w:rFonts w:cs="Courier New"/>
          <w:szCs w:val="16"/>
        </w:rPr>
        <w:t>operationId: UpdateInd</w:t>
      </w:r>
      <w:r w:rsidRPr="000A0A5F">
        <w:t>ManagePortConfiguration</w:t>
      </w:r>
    </w:p>
    <w:p w:rsidR="00E555E6" w:rsidRPr="000A0A5F" w:rsidRDefault="00E555E6" w:rsidP="00E555E6">
      <w:pPr>
        <w:pStyle w:val="PL"/>
      </w:pPr>
      <w:r w:rsidRPr="000A0A5F">
        <w:t xml:space="preserve">      tags:</w:t>
      </w:r>
    </w:p>
    <w:p w:rsidR="00E555E6" w:rsidRPr="000A0A5F" w:rsidRDefault="00E555E6" w:rsidP="00E555E6">
      <w:pPr>
        <w:pStyle w:val="PL"/>
      </w:pPr>
      <w:r w:rsidRPr="000A0A5F">
        <w:t xml:space="preserve">        - Individual ManagePort Configuration</w:t>
      </w:r>
    </w:p>
    <w:p w:rsidR="00CB0DD7" w:rsidRPr="000A0A5F" w:rsidRDefault="00CB0DD7">
      <w:pPr>
        <w:pStyle w:val="PL"/>
        <w:rPr>
          <w:lang w:val="en-US"/>
        </w:rPr>
      </w:pPr>
      <w:r w:rsidRPr="000A0A5F">
        <w:rPr>
          <w:lang w:val="en-US"/>
        </w:rPr>
        <w:t xml:space="preserve">      requestBody:</w:t>
      </w:r>
    </w:p>
    <w:p w:rsidR="00CB0DD7" w:rsidRPr="000A0A5F" w:rsidRDefault="00CB0DD7">
      <w:pPr>
        <w:pStyle w:val="PL"/>
        <w:rPr>
          <w:lang w:val="en-US"/>
        </w:rPr>
      </w:pPr>
      <w:r w:rsidRPr="000A0A5F">
        <w:rPr>
          <w:lang w:val="en-US"/>
        </w:rPr>
        <w:t xml:space="preserve">        description: Contains information to be applied to the individual ManagePort configuration.</w:t>
      </w:r>
    </w:p>
    <w:p w:rsidR="00CB0DD7" w:rsidRPr="000A0A5F" w:rsidRDefault="00CB0DD7">
      <w:pPr>
        <w:pStyle w:val="PL"/>
        <w:rPr>
          <w:lang w:val="en-US"/>
        </w:rPr>
      </w:pPr>
      <w:r w:rsidRPr="000A0A5F">
        <w:rPr>
          <w:lang w:val="en-US"/>
        </w:rPr>
        <w:t xml:space="preserve">        required: true</w:t>
      </w:r>
    </w:p>
    <w:p w:rsidR="00CB0DD7" w:rsidRPr="000A0A5F" w:rsidRDefault="00CB0DD7">
      <w:pPr>
        <w:pStyle w:val="PL"/>
        <w:rPr>
          <w:lang w:val="en-US"/>
        </w:rPr>
      </w:pPr>
      <w:r w:rsidRPr="000A0A5F">
        <w:rPr>
          <w:lang w:val="en-US"/>
        </w:rPr>
        <w:t xml:space="preserve">        content:</w:t>
      </w:r>
    </w:p>
    <w:p w:rsidR="00CB0DD7" w:rsidRPr="000A0A5F" w:rsidRDefault="00CB0DD7">
      <w:pPr>
        <w:pStyle w:val="PL"/>
        <w:rPr>
          <w:lang w:val="en-US"/>
        </w:rPr>
      </w:pPr>
      <w:r w:rsidRPr="000A0A5F">
        <w:rPr>
          <w:lang w:val="en-US"/>
        </w:rPr>
        <w:t xml:space="preserve">          application/json:</w:t>
      </w:r>
    </w:p>
    <w:p w:rsidR="00CB0DD7" w:rsidRPr="000A0A5F" w:rsidRDefault="00CB0DD7">
      <w:pPr>
        <w:pStyle w:val="PL"/>
        <w:rPr>
          <w:lang w:val="en-US"/>
        </w:rPr>
      </w:pPr>
      <w:r w:rsidRPr="000A0A5F">
        <w:rPr>
          <w:lang w:val="en-US"/>
        </w:rPr>
        <w:t xml:space="preserve">            schema:</w:t>
      </w:r>
    </w:p>
    <w:p w:rsidR="00CB0DD7" w:rsidRPr="000A0A5F" w:rsidRDefault="00CB0DD7">
      <w:pPr>
        <w:pStyle w:val="PL"/>
        <w:rPr>
          <w:lang w:val="en-US"/>
        </w:rPr>
      </w:pPr>
      <w:r w:rsidRPr="000A0A5F">
        <w:rPr>
          <w:lang w:val="en-US"/>
        </w:rPr>
        <w:t xml:space="preserve">              $ref: '#/components/schemas/</w:t>
      </w:r>
      <w:r w:rsidRPr="000A0A5F">
        <w:t>ManagePort'</w:t>
      </w:r>
    </w:p>
    <w:p w:rsidR="00CB0DD7" w:rsidRPr="000A0A5F" w:rsidRDefault="00CB0DD7">
      <w:pPr>
        <w:pStyle w:val="PL"/>
        <w:rPr>
          <w:lang w:val="en-US"/>
        </w:rPr>
      </w:pPr>
      <w:r w:rsidRPr="000A0A5F">
        <w:rPr>
          <w:lang w:val="en-US"/>
        </w:rPr>
        <w:t xml:space="preserve">      responses:</w:t>
      </w:r>
    </w:p>
    <w:p w:rsidR="00CB0DD7" w:rsidRPr="000A0A5F" w:rsidRDefault="00CB0DD7">
      <w:pPr>
        <w:pStyle w:val="PL"/>
        <w:rPr>
          <w:lang w:val="en-US"/>
        </w:rPr>
      </w:pPr>
      <w:r w:rsidRPr="000A0A5F">
        <w:rPr>
          <w:lang w:val="en-US"/>
        </w:rPr>
        <w:t xml:space="preserve">        '201':</w:t>
      </w:r>
    </w:p>
    <w:p w:rsidR="00CB0DD7" w:rsidRPr="000A0A5F" w:rsidRDefault="00CB0DD7">
      <w:pPr>
        <w:pStyle w:val="PL"/>
        <w:rPr>
          <w:lang w:val="en-US"/>
        </w:rPr>
      </w:pPr>
      <w:r w:rsidRPr="000A0A5F">
        <w:rPr>
          <w:lang w:val="en-US"/>
        </w:rPr>
        <w:t xml:space="preserve">          description: The individual ManagePort configuration is created.</w:t>
      </w:r>
    </w:p>
    <w:p w:rsidR="00CB0DD7" w:rsidRPr="000A0A5F" w:rsidRDefault="00CB0DD7">
      <w:pPr>
        <w:pStyle w:val="PL"/>
        <w:rPr>
          <w:lang w:val="en-US"/>
        </w:rPr>
      </w:pPr>
      <w:r w:rsidRPr="000A0A5F">
        <w:rPr>
          <w:lang w:val="en-US"/>
        </w:rPr>
        <w:t xml:space="preserve">          content:</w:t>
      </w:r>
    </w:p>
    <w:p w:rsidR="00CB0DD7" w:rsidRPr="000A0A5F" w:rsidRDefault="00CB0DD7">
      <w:pPr>
        <w:pStyle w:val="PL"/>
        <w:rPr>
          <w:lang w:val="en-US"/>
        </w:rPr>
      </w:pPr>
      <w:r w:rsidRPr="000A0A5F">
        <w:rPr>
          <w:lang w:val="en-US"/>
        </w:rPr>
        <w:t xml:space="preserve">            application/json:</w:t>
      </w:r>
    </w:p>
    <w:p w:rsidR="00CB0DD7" w:rsidRPr="000A0A5F" w:rsidRDefault="00CB0DD7">
      <w:pPr>
        <w:pStyle w:val="PL"/>
        <w:rPr>
          <w:lang w:val="en-US"/>
        </w:rPr>
      </w:pPr>
      <w:r w:rsidRPr="000A0A5F">
        <w:rPr>
          <w:lang w:val="en-US"/>
        </w:rPr>
        <w:t xml:space="preserve">              schema:</w:t>
      </w:r>
    </w:p>
    <w:p w:rsidR="00CB0DD7" w:rsidRPr="000A0A5F" w:rsidRDefault="00CB0DD7">
      <w:pPr>
        <w:pStyle w:val="PL"/>
        <w:rPr>
          <w:lang w:val="en-US"/>
        </w:rPr>
      </w:pPr>
      <w:r w:rsidRPr="000A0A5F">
        <w:rPr>
          <w:lang w:val="en-US"/>
        </w:rPr>
        <w:t xml:space="preserve">                $ref: '#/components/schemas/ManagePort</w:t>
      </w:r>
      <w:r w:rsidRPr="000A0A5F">
        <w:t>'</w:t>
      </w:r>
    </w:p>
    <w:p w:rsidR="00CB0DD7" w:rsidRPr="000A0A5F" w:rsidRDefault="00CB0DD7">
      <w:pPr>
        <w:pStyle w:val="PL"/>
      </w:pPr>
      <w:r w:rsidRPr="000A0A5F">
        <w:t xml:space="preserve">          headers:</w:t>
      </w:r>
    </w:p>
    <w:p w:rsidR="00CB0DD7" w:rsidRPr="000A0A5F" w:rsidRDefault="00CB0DD7">
      <w:pPr>
        <w:pStyle w:val="PL"/>
      </w:pPr>
      <w:r w:rsidRPr="000A0A5F">
        <w:t xml:space="preserve">            Location:</w:t>
      </w:r>
    </w:p>
    <w:p w:rsidR="00CB0DD7" w:rsidRPr="000A0A5F" w:rsidRDefault="00CB0DD7">
      <w:pPr>
        <w:pStyle w:val="PL"/>
      </w:pPr>
      <w:r w:rsidRPr="000A0A5F">
        <w:t xml:space="preserve">              description: 'Contains the URI of the newly created resource'</w:t>
      </w:r>
    </w:p>
    <w:p w:rsidR="00CB0DD7" w:rsidRPr="000A0A5F" w:rsidRDefault="00CB0DD7">
      <w:pPr>
        <w:pStyle w:val="PL"/>
      </w:pPr>
      <w:r w:rsidRPr="000A0A5F">
        <w:t xml:space="preserve">              required: true</w:t>
      </w:r>
    </w:p>
    <w:p w:rsidR="00CB0DD7" w:rsidRPr="000A0A5F" w:rsidRDefault="00CB0DD7">
      <w:pPr>
        <w:pStyle w:val="PL"/>
      </w:pPr>
      <w:r w:rsidRPr="000A0A5F">
        <w:t xml:space="preserve">              schema:</w:t>
      </w:r>
    </w:p>
    <w:p w:rsidR="00CB0DD7" w:rsidRPr="000A0A5F" w:rsidRDefault="00CB0DD7">
      <w:pPr>
        <w:pStyle w:val="PL"/>
      </w:pPr>
      <w:r w:rsidRPr="000A0A5F">
        <w:t xml:space="preserve">                type: string</w:t>
      </w:r>
    </w:p>
    <w:p w:rsidR="00CB0DD7" w:rsidRPr="000A0A5F" w:rsidRDefault="00CB0DD7">
      <w:pPr>
        <w:pStyle w:val="PL"/>
        <w:rPr>
          <w:lang w:val="en-US"/>
        </w:rPr>
      </w:pPr>
      <w:r w:rsidRPr="000A0A5F">
        <w:rPr>
          <w:lang w:val="en-US"/>
        </w:rPr>
        <w:t xml:space="preserve">        '202':</w:t>
      </w:r>
    </w:p>
    <w:p w:rsidR="00CB0DD7" w:rsidRPr="000A0A5F" w:rsidRDefault="00CB0DD7">
      <w:pPr>
        <w:pStyle w:val="PL"/>
        <w:rPr>
          <w:lang w:eastAsia="zh-CN"/>
        </w:rPr>
      </w:pPr>
      <w:r w:rsidRPr="000A0A5F">
        <w:t xml:space="preserve">          description: The request is accepted and under processing</w:t>
      </w:r>
      <w:r w:rsidRPr="000A0A5F">
        <w:rPr>
          <w:lang w:eastAsia="zh-CN"/>
        </w:rPr>
        <w:t>.</w:t>
      </w:r>
    </w:p>
    <w:p w:rsidR="00CB0DD7" w:rsidRPr="000A0A5F" w:rsidRDefault="00CB0DD7">
      <w:pPr>
        <w:pStyle w:val="PL"/>
        <w:rPr>
          <w:lang w:val="en-US"/>
        </w:rPr>
      </w:pPr>
      <w:r w:rsidRPr="000A0A5F">
        <w:rPr>
          <w:lang w:val="en-US"/>
        </w:rPr>
        <w:t xml:space="preserve">        '400':</w:t>
      </w:r>
    </w:p>
    <w:p w:rsidR="00CB0DD7" w:rsidRPr="000A0A5F" w:rsidRDefault="00CB0DD7">
      <w:pPr>
        <w:pStyle w:val="PL"/>
        <w:rPr>
          <w:lang w:val="en-US"/>
        </w:rPr>
      </w:pPr>
      <w:r w:rsidRPr="000A0A5F">
        <w:rPr>
          <w:lang w:val="en-US"/>
        </w:rPr>
        <w:t xml:space="preserve">          $ref: 'TS29122_CommonData.yaml#/components/responses/400'</w:t>
      </w:r>
    </w:p>
    <w:p w:rsidR="00CB0DD7" w:rsidRPr="000A0A5F" w:rsidRDefault="00CB0DD7">
      <w:pPr>
        <w:pStyle w:val="PL"/>
        <w:rPr>
          <w:lang w:val="en-US"/>
        </w:rPr>
      </w:pPr>
      <w:r w:rsidRPr="000A0A5F">
        <w:rPr>
          <w:lang w:val="en-US"/>
        </w:rPr>
        <w:t xml:space="preserve">        '401':</w:t>
      </w:r>
    </w:p>
    <w:p w:rsidR="00CB0DD7" w:rsidRPr="000A0A5F" w:rsidRDefault="00CB0DD7">
      <w:pPr>
        <w:pStyle w:val="PL"/>
        <w:rPr>
          <w:lang w:val="en-US"/>
        </w:rPr>
      </w:pPr>
      <w:r w:rsidRPr="000A0A5F">
        <w:rPr>
          <w:lang w:val="en-US"/>
        </w:rPr>
        <w:t xml:space="preserve">          $ref: 'TS29122_CommonData.yaml#/components/responses/401'</w:t>
      </w:r>
    </w:p>
    <w:p w:rsidR="00CB0DD7" w:rsidRPr="000A0A5F" w:rsidRDefault="00CB0DD7">
      <w:pPr>
        <w:pStyle w:val="PL"/>
        <w:rPr>
          <w:lang w:val="en-US"/>
        </w:rPr>
      </w:pPr>
      <w:r w:rsidRPr="000A0A5F">
        <w:rPr>
          <w:lang w:val="en-US"/>
        </w:rPr>
        <w:t xml:space="preserve">        '403':</w:t>
      </w:r>
    </w:p>
    <w:p w:rsidR="00CB0DD7" w:rsidRPr="000A0A5F" w:rsidRDefault="00CB0DD7">
      <w:pPr>
        <w:pStyle w:val="PL"/>
        <w:rPr>
          <w:lang w:val="en-US"/>
        </w:rPr>
      </w:pPr>
      <w:r w:rsidRPr="000A0A5F">
        <w:rPr>
          <w:lang w:val="en-US"/>
        </w:rPr>
        <w:t xml:space="preserve">          $ref: 'TS29122_CommonData.yaml#/components/responses/403'</w:t>
      </w:r>
    </w:p>
    <w:p w:rsidR="00CB0DD7" w:rsidRPr="000A0A5F" w:rsidRDefault="00CB0DD7">
      <w:pPr>
        <w:pStyle w:val="PL"/>
        <w:rPr>
          <w:lang w:val="en-US"/>
        </w:rPr>
      </w:pPr>
      <w:r w:rsidRPr="000A0A5F">
        <w:rPr>
          <w:lang w:val="en-US"/>
        </w:rPr>
        <w:t xml:space="preserve">        '404':</w:t>
      </w:r>
    </w:p>
    <w:p w:rsidR="00CB0DD7" w:rsidRPr="000A0A5F" w:rsidRDefault="00CB0DD7">
      <w:pPr>
        <w:pStyle w:val="PL"/>
        <w:rPr>
          <w:lang w:val="en-US"/>
        </w:rPr>
      </w:pPr>
      <w:r w:rsidRPr="000A0A5F">
        <w:rPr>
          <w:lang w:val="en-US"/>
        </w:rPr>
        <w:t xml:space="preserve">          $ref: 'TS29122_CommonData.yaml#/components/responses/404'</w:t>
      </w:r>
    </w:p>
    <w:p w:rsidR="00CB0DD7" w:rsidRPr="000A0A5F" w:rsidRDefault="00CB0DD7">
      <w:pPr>
        <w:pStyle w:val="PL"/>
        <w:rPr>
          <w:lang w:val="en-US"/>
        </w:rPr>
      </w:pPr>
      <w:r w:rsidRPr="000A0A5F">
        <w:rPr>
          <w:lang w:val="en-US"/>
        </w:rPr>
        <w:t xml:space="preserve">        '409':</w:t>
      </w:r>
    </w:p>
    <w:p w:rsidR="00CB0DD7" w:rsidRPr="000A0A5F" w:rsidRDefault="00CB0DD7">
      <w:pPr>
        <w:pStyle w:val="PL"/>
        <w:rPr>
          <w:lang w:val="en-US"/>
        </w:rPr>
      </w:pPr>
      <w:r w:rsidRPr="000A0A5F">
        <w:rPr>
          <w:lang w:val="en-US"/>
        </w:rPr>
        <w:t xml:space="preserve">          $ref: 'TS29122_CommonData.yaml#/components/responses/409'</w:t>
      </w:r>
    </w:p>
    <w:p w:rsidR="00CB0DD7" w:rsidRPr="000A0A5F" w:rsidRDefault="00CB0DD7">
      <w:pPr>
        <w:pStyle w:val="PL"/>
        <w:rPr>
          <w:lang w:val="en-US"/>
        </w:rPr>
      </w:pPr>
      <w:r w:rsidRPr="000A0A5F">
        <w:rPr>
          <w:lang w:val="en-US"/>
        </w:rPr>
        <w:t xml:space="preserve">        '411':</w:t>
      </w:r>
    </w:p>
    <w:p w:rsidR="00CB0DD7" w:rsidRPr="000A0A5F" w:rsidRDefault="00CB0DD7">
      <w:pPr>
        <w:pStyle w:val="PL"/>
        <w:rPr>
          <w:lang w:val="en-US"/>
        </w:rPr>
      </w:pPr>
      <w:r w:rsidRPr="000A0A5F">
        <w:rPr>
          <w:lang w:val="en-US"/>
        </w:rPr>
        <w:t xml:space="preserve">          $ref: 'TS29122_CommonData.yaml#/components/responses/411'</w:t>
      </w:r>
    </w:p>
    <w:p w:rsidR="00CB0DD7" w:rsidRPr="000A0A5F" w:rsidRDefault="00CB0DD7">
      <w:pPr>
        <w:pStyle w:val="PL"/>
        <w:rPr>
          <w:lang w:val="en-US"/>
        </w:rPr>
      </w:pPr>
      <w:r w:rsidRPr="000A0A5F">
        <w:rPr>
          <w:lang w:val="en-US"/>
        </w:rPr>
        <w:t xml:space="preserve">        '413':</w:t>
      </w:r>
    </w:p>
    <w:p w:rsidR="00CB0DD7" w:rsidRPr="000A0A5F" w:rsidRDefault="00CB0DD7">
      <w:pPr>
        <w:pStyle w:val="PL"/>
        <w:rPr>
          <w:lang w:val="en-US"/>
        </w:rPr>
      </w:pPr>
      <w:r w:rsidRPr="000A0A5F">
        <w:rPr>
          <w:lang w:val="en-US"/>
        </w:rPr>
        <w:t xml:space="preserve">          $ref: 'TS29122_CommonData.yaml#/components/responses/413'</w:t>
      </w:r>
    </w:p>
    <w:p w:rsidR="00CB0DD7" w:rsidRPr="000A0A5F" w:rsidRDefault="00CB0DD7">
      <w:pPr>
        <w:pStyle w:val="PL"/>
        <w:rPr>
          <w:lang w:val="en-US"/>
        </w:rPr>
      </w:pPr>
      <w:r w:rsidRPr="000A0A5F">
        <w:rPr>
          <w:lang w:val="en-US"/>
        </w:rPr>
        <w:t xml:space="preserve">        '415':</w:t>
      </w:r>
    </w:p>
    <w:p w:rsidR="00CB0DD7" w:rsidRPr="000A0A5F" w:rsidRDefault="00CB0DD7">
      <w:pPr>
        <w:pStyle w:val="PL"/>
        <w:rPr>
          <w:lang w:val="en-US"/>
        </w:rPr>
      </w:pPr>
      <w:r w:rsidRPr="000A0A5F">
        <w:rPr>
          <w:lang w:val="en-US"/>
        </w:rPr>
        <w:t xml:space="preserve">          $ref: 'TS29122_CommonData.yaml#/components/responses/415'</w:t>
      </w:r>
    </w:p>
    <w:p w:rsidR="00CB0DD7" w:rsidRPr="000A0A5F" w:rsidRDefault="00CB0DD7">
      <w:pPr>
        <w:pStyle w:val="PL"/>
        <w:rPr>
          <w:lang w:val="en-US"/>
        </w:rPr>
      </w:pPr>
      <w:r w:rsidRPr="000A0A5F">
        <w:rPr>
          <w:lang w:val="en-US"/>
        </w:rPr>
        <w:t xml:space="preserve">        '429':</w:t>
      </w:r>
    </w:p>
    <w:p w:rsidR="00CB0DD7" w:rsidRPr="000A0A5F" w:rsidRDefault="00CB0DD7">
      <w:pPr>
        <w:pStyle w:val="PL"/>
        <w:rPr>
          <w:lang w:val="en-US"/>
        </w:rPr>
      </w:pPr>
      <w:r w:rsidRPr="000A0A5F">
        <w:rPr>
          <w:lang w:val="en-US"/>
        </w:rPr>
        <w:t xml:space="preserve">          $ref: 'TS29122_CommonData.yaml#/components/responses/429'</w:t>
      </w:r>
    </w:p>
    <w:p w:rsidR="00CB0DD7" w:rsidRPr="000A0A5F" w:rsidRDefault="00CB0DD7">
      <w:pPr>
        <w:pStyle w:val="PL"/>
        <w:rPr>
          <w:lang w:val="en-US"/>
        </w:rPr>
      </w:pPr>
      <w:r w:rsidRPr="000A0A5F">
        <w:rPr>
          <w:lang w:val="en-US"/>
        </w:rPr>
        <w:t xml:space="preserve">        '500':</w:t>
      </w:r>
    </w:p>
    <w:p w:rsidR="00CB0DD7" w:rsidRPr="000A0A5F" w:rsidRDefault="00CB0DD7">
      <w:pPr>
        <w:pStyle w:val="PL"/>
        <w:rPr>
          <w:lang w:eastAsia="zh-CN"/>
        </w:rPr>
      </w:pPr>
      <w:r w:rsidRPr="000A0A5F">
        <w:t xml:space="preserve">          description: The request was not successful</w:t>
      </w:r>
      <w:r w:rsidRPr="000A0A5F">
        <w:rPr>
          <w:lang w:eastAsia="zh-CN"/>
        </w:rPr>
        <w:t>.</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application/problem+json:</w:t>
      </w:r>
    </w:p>
    <w:p w:rsidR="00CB0DD7" w:rsidRPr="000A0A5F" w:rsidRDefault="00CB0DD7">
      <w:pPr>
        <w:pStyle w:val="PL"/>
      </w:pPr>
      <w:r w:rsidRPr="000A0A5F">
        <w:t xml:space="preserve">              schema:</w:t>
      </w:r>
    </w:p>
    <w:p w:rsidR="00CB0DD7" w:rsidRPr="000A0A5F" w:rsidRDefault="00CB0DD7">
      <w:pPr>
        <w:pStyle w:val="PL"/>
      </w:pPr>
      <w:r w:rsidRPr="000A0A5F">
        <w:t xml:space="preserve">                $ref: '#/components/schemas/RdsDownlinkDataDeliveryFailure</w:t>
      </w:r>
      <w:r w:rsidRPr="000A0A5F">
        <w:rPr>
          <w:lang w:eastAsia="zh-CN"/>
        </w:rPr>
        <w:t>'</w:t>
      </w:r>
    </w:p>
    <w:p w:rsidR="00CB0DD7" w:rsidRPr="000A0A5F" w:rsidRDefault="00CB0DD7">
      <w:pPr>
        <w:pStyle w:val="PL"/>
        <w:rPr>
          <w:lang w:val="en-US"/>
        </w:rPr>
      </w:pPr>
      <w:r w:rsidRPr="000A0A5F">
        <w:rPr>
          <w:lang w:val="en-US"/>
        </w:rPr>
        <w:t xml:space="preserve">        '503':</w:t>
      </w:r>
    </w:p>
    <w:p w:rsidR="00CB0DD7" w:rsidRPr="000A0A5F" w:rsidRDefault="00CB0DD7">
      <w:pPr>
        <w:pStyle w:val="PL"/>
        <w:rPr>
          <w:lang w:val="en-US"/>
        </w:rPr>
      </w:pPr>
      <w:r w:rsidRPr="000A0A5F">
        <w:rPr>
          <w:lang w:val="en-US"/>
        </w:rPr>
        <w:t xml:space="preserve">          $ref: 'TS29122_CommonData.yaml#/components/responses/503'</w:t>
      </w:r>
    </w:p>
    <w:p w:rsidR="00CB0DD7" w:rsidRPr="000A0A5F" w:rsidRDefault="00CB0DD7">
      <w:pPr>
        <w:pStyle w:val="PL"/>
        <w:rPr>
          <w:lang w:val="en-US"/>
        </w:rPr>
      </w:pPr>
      <w:r w:rsidRPr="000A0A5F">
        <w:rPr>
          <w:lang w:val="en-US"/>
        </w:rPr>
        <w:t xml:space="preserve">        default:</w:t>
      </w:r>
    </w:p>
    <w:p w:rsidR="00CB0DD7" w:rsidRPr="000A0A5F" w:rsidRDefault="00CB0DD7">
      <w:pPr>
        <w:pStyle w:val="PL"/>
        <w:rPr>
          <w:lang w:val="en-US"/>
        </w:rPr>
      </w:pPr>
      <w:r w:rsidRPr="000A0A5F">
        <w:rPr>
          <w:lang w:val="en-US"/>
        </w:rPr>
        <w:t xml:space="preserve">          $ref: 'TS29122_CommonData.yaml#/components/responses/default'</w:t>
      </w:r>
    </w:p>
    <w:p w:rsidR="00CB0DD7" w:rsidRPr="000A0A5F" w:rsidRDefault="00CB0DD7">
      <w:pPr>
        <w:pStyle w:val="PL"/>
        <w:rPr>
          <w:lang w:val="en-US"/>
        </w:rPr>
      </w:pPr>
      <w:r w:rsidRPr="000A0A5F">
        <w:rPr>
          <w:lang w:val="en-US"/>
        </w:rPr>
        <w:t xml:space="preserve">    delete:</w:t>
      </w:r>
    </w:p>
    <w:p w:rsidR="00E555E6" w:rsidRPr="000A0A5F" w:rsidRDefault="00E555E6" w:rsidP="00E555E6">
      <w:pPr>
        <w:pStyle w:val="PL"/>
      </w:pPr>
      <w:r w:rsidRPr="000A0A5F">
        <w:t xml:space="preserve">      summary: Delete an Individual ManagePort Configuration resource</w:t>
      </w:r>
      <w:r w:rsidRPr="000A0A5F">
        <w:rPr>
          <w:lang w:eastAsia="zh-CN"/>
        </w:rPr>
        <w:t xml:space="preserve"> to release port numbers.</w:t>
      </w:r>
    </w:p>
    <w:p w:rsidR="00E555E6" w:rsidRPr="000A0A5F" w:rsidRDefault="00E555E6" w:rsidP="00E555E6">
      <w:pPr>
        <w:pStyle w:val="PL"/>
      </w:pPr>
      <w:r w:rsidRPr="000A0A5F">
        <w:t xml:space="preserve">      </w:t>
      </w:r>
      <w:r w:rsidRPr="000A0A5F">
        <w:rPr>
          <w:rFonts w:cs="Courier New"/>
          <w:szCs w:val="16"/>
        </w:rPr>
        <w:t>operationId: Delete</w:t>
      </w:r>
      <w:r w:rsidRPr="000A0A5F">
        <w:t>IndManagePortConfiguration</w:t>
      </w:r>
    </w:p>
    <w:p w:rsidR="00E555E6" w:rsidRPr="000A0A5F" w:rsidRDefault="00E555E6" w:rsidP="00E555E6">
      <w:pPr>
        <w:pStyle w:val="PL"/>
      </w:pPr>
      <w:r w:rsidRPr="000A0A5F">
        <w:t xml:space="preserve">      tags:</w:t>
      </w:r>
    </w:p>
    <w:p w:rsidR="00E555E6" w:rsidRPr="000A0A5F" w:rsidRDefault="00E555E6" w:rsidP="00E555E6">
      <w:pPr>
        <w:pStyle w:val="PL"/>
      </w:pPr>
      <w:r w:rsidRPr="000A0A5F">
        <w:t xml:space="preserve">        - Individual ManagePort Configuration</w:t>
      </w:r>
    </w:p>
    <w:p w:rsidR="00CB0DD7" w:rsidRPr="000A0A5F" w:rsidRDefault="00CB0DD7">
      <w:pPr>
        <w:pStyle w:val="PL"/>
        <w:rPr>
          <w:lang w:val="en-US"/>
        </w:rPr>
      </w:pPr>
      <w:r w:rsidRPr="000A0A5F">
        <w:rPr>
          <w:lang w:val="en-US"/>
        </w:rPr>
        <w:t xml:space="preserve">      responses:</w:t>
      </w:r>
    </w:p>
    <w:p w:rsidR="00CB0DD7" w:rsidRPr="000A0A5F" w:rsidRDefault="00CB0DD7">
      <w:pPr>
        <w:pStyle w:val="PL"/>
        <w:rPr>
          <w:lang w:val="en-US"/>
        </w:rPr>
      </w:pPr>
      <w:r w:rsidRPr="000A0A5F">
        <w:rPr>
          <w:lang w:val="en-US"/>
        </w:rPr>
        <w:t xml:space="preserve">        '202':</w:t>
      </w:r>
    </w:p>
    <w:p w:rsidR="00CB0DD7" w:rsidRPr="000A0A5F" w:rsidRDefault="00CB0DD7">
      <w:pPr>
        <w:pStyle w:val="PL"/>
        <w:rPr>
          <w:lang w:eastAsia="zh-CN"/>
        </w:rPr>
      </w:pPr>
      <w:r w:rsidRPr="000A0A5F">
        <w:t xml:space="preserve">          description: The request is accepted and under processing</w:t>
      </w:r>
      <w:r w:rsidRPr="000A0A5F">
        <w:rPr>
          <w:lang w:eastAsia="zh-CN"/>
        </w:rPr>
        <w:t>.</w:t>
      </w:r>
    </w:p>
    <w:p w:rsidR="00CB0DD7" w:rsidRPr="000A0A5F" w:rsidRDefault="00CB0DD7">
      <w:pPr>
        <w:pStyle w:val="PL"/>
        <w:rPr>
          <w:lang w:val="en-US"/>
        </w:rPr>
      </w:pPr>
      <w:r w:rsidRPr="000A0A5F">
        <w:rPr>
          <w:lang w:val="en-US"/>
        </w:rPr>
        <w:t xml:space="preserve">        '204':</w:t>
      </w:r>
    </w:p>
    <w:p w:rsidR="00CB0DD7" w:rsidRPr="000A0A5F" w:rsidRDefault="00CB0DD7">
      <w:pPr>
        <w:pStyle w:val="PL"/>
        <w:rPr>
          <w:lang w:val="en-US"/>
        </w:rPr>
      </w:pPr>
      <w:r w:rsidRPr="000A0A5F">
        <w:rPr>
          <w:lang w:val="en-US"/>
        </w:rPr>
        <w:t xml:space="preserve">          description: The individual ManagePort configuration is deleted.</w:t>
      </w:r>
    </w:p>
    <w:p w:rsidR="00CB0DD7" w:rsidRPr="000A0A5F" w:rsidRDefault="00CB0DD7">
      <w:pPr>
        <w:pStyle w:val="PL"/>
      </w:pPr>
      <w:r w:rsidRPr="000A0A5F">
        <w:t xml:space="preserve">        '307':</w:t>
      </w:r>
    </w:p>
    <w:p w:rsidR="00CB0DD7" w:rsidRPr="000A0A5F" w:rsidRDefault="00CB0DD7">
      <w:pPr>
        <w:pStyle w:val="PL"/>
      </w:pPr>
      <w:r w:rsidRPr="000A0A5F">
        <w:t xml:space="preserve">          $ref: 'TS29122_CommonData.yaml#/components/responses/307'</w:t>
      </w:r>
    </w:p>
    <w:p w:rsidR="00CB0DD7" w:rsidRPr="000A0A5F" w:rsidRDefault="00CB0DD7">
      <w:pPr>
        <w:pStyle w:val="PL"/>
      </w:pPr>
      <w:r w:rsidRPr="000A0A5F">
        <w:t xml:space="preserve">        '308':</w:t>
      </w:r>
    </w:p>
    <w:p w:rsidR="00CB0DD7" w:rsidRPr="000A0A5F" w:rsidRDefault="00CB0DD7">
      <w:pPr>
        <w:pStyle w:val="PL"/>
      </w:pPr>
      <w:r w:rsidRPr="000A0A5F">
        <w:t xml:space="preserve">          $ref: 'TS29122_CommonData.yaml#/components/responses/308'</w:t>
      </w:r>
    </w:p>
    <w:p w:rsidR="00CB0DD7" w:rsidRPr="000A0A5F" w:rsidRDefault="00CB0DD7">
      <w:pPr>
        <w:pStyle w:val="PL"/>
        <w:rPr>
          <w:lang w:val="en-US"/>
        </w:rPr>
      </w:pPr>
      <w:r w:rsidRPr="000A0A5F">
        <w:rPr>
          <w:lang w:val="en-US"/>
        </w:rPr>
        <w:t xml:space="preserve">        '400':</w:t>
      </w:r>
    </w:p>
    <w:p w:rsidR="00CB0DD7" w:rsidRPr="000A0A5F" w:rsidRDefault="00CB0DD7">
      <w:pPr>
        <w:pStyle w:val="PL"/>
        <w:rPr>
          <w:lang w:val="en-US"/>
        </w:rPr>
      </w:pPr>
      <w:r w:rsidRPr="000A0A5F">
        <w:rPr>
          <w:lang w:val="en-US"/>
        </w:rPr>
        <w:t xml:space="preserve">          $ref: 'TS29122_CommonData.yaml#/components/responses/400'</w:t>
      </w:r>
    </w:p>
    <w:p w:rsidR="00CB0DD7" w:rsidRPr="000A0A5F" w:rsidRDefault="00CB0DD7">
      <w:pPr>
        <w:pStyle w:val="PL"/>
        <w:rPr>
          <w:lang w:val="en-US"/>
        </w:rPr>
      </w:pPr>
      <w:r w:rsidRPr="000A0A5F">
        <w:rPr>
          <w:lang w:val="en-US"/>
        </w:rPr>
        <w:t xml:space="preserve">        '401':</w:t>
      </w:r>
    </w:p>
    <w:p w:rsidR="00CB0DD7" w:rsidRPr="000A0A5F" w:rsidRDefault="00CB0DD7">
      <w:pPr>
        <w:pStyle w:val="PL"/>
        <w:rPr>
          <w:lang w:val="en-US"/>
        </w:rPr>
      </w:pPr>
      <w:r w:rsidRPr="000A0A5F">
        <w:rPr>
          <w:lang w:val="en-US"/>
        </w:rPr>
        <w:t xml:space="preserve">          $ref: 'TS29122_CommonData.yaml#/components/responses/401'</w:t>
      </w:r>
    </w:p>
    <w:p w:rsidR="00CB0DD7" w:rsidRPr="000A0A5F" w:rsidRDefault="00CB0DD7">
      <w:pPr>
        <w:pStyle w:val="PL"/>
        <w:rPr>
          <w:lang w:val="en-US"/>
        </w:rPr>
      </w:pPr>
      <w:r w:rsidRPr="000A0A5F">
        <w:rPr>
          <w:lang w:val="en-US"/>
        </w:rPr>
        <w:t xml:space="preserve">        '403':</w:t>
      </w:r>
    </w:p>
    <w:p w:rsidR="00CB0DD7" w:rsidRPr="000A0A5F" w:rsidRDefault="00CB0DD7">
      <w:pPr>
        <w:pStyle w:val="PL"/>
        <w:rPr>
          <w:lang w:val="en-US"/>
        </w:rPr>
      </w:pPr>
      <w:r w:rsidRPr="000A0A5F">
        <w:rPr>
          <w:lang w:val="en-US"/>
        </w:rPr>
        <w:t xml:space="preserve">          $ref: 'TS29122_CommonData.yaml#/components/responses/403'</w:t>
      </w:r>
    </w:p>
    <w:p w:rsidR="00CB0DD7" w:rsidRPr="000A0A5F" w:rsidRDefault="00CB0DD7">
      <w:pPr>
        <w:pStyle w:val="PL"/>
        <w:rPr>
          <w:lang w:val="en-US"/>
        </w:rPr>
      </w:pPr>
      <w:r w:rsidRPr="000A0A5F">
        <w:rPr>
          <w:lang w:val="en-US"/>
        </w:rPr>
        <w:t xml:space="preserve">        '404':</w:t>
      </w:r>
    </w:p>
    <w:p w:rsidR="00CB0DD7" w:rsidRPr="000A0A5F" w:rsidRDefault="00CB0DD7">
      <w:pPr>
        <w:pStyle w:val="PL"/>
        <w:rPr>
          <w:lang w:val="en-US"/>
        </w:rPr>
      </w:pPr>
      <w:r w:rsidRPr="000A0A5F">
        <w:rPr>
          <w:lang w:val="en-US"/>
        </w:rPr>
        <w:t xml:space="preserve">          $ref: 'TS29122_CommonData.yaml#/components/responses/404'</w:t>
      </w:r>
    </w:p>
    <w:p w:rsidR="00CB0DD7" w:rsidRPr="000A0A5F" w:rsidRDefault="00CB0DD7">
      <w:pPr>
        <w:pStyle w:val="PL"/>
        <w:rPr>
          <w:lang w:val="en-US"/>
        </w:rPr>
      </w:pPr>
      <w:r w:rsidRPr="000A0A5F">
        <w:rPr>
          <w:lang w:val="en-US"/>
        </w:rPr>
        <w:t xml:space="preserve">        '409':</w:t>
      </w:r>
    </w:p>
    <w:p w:rsidR="00CB0DD7" w:rsidRPr="000A0A5F" w:rsidRDefault="00CB0DD7">
      <w:pPr>
        <w:pStyle w:val="PL"/>
        <w:rPr>
          <w:lang w:val="en-US"/>
        </w:rPr>
      </w:pPr>
      <w:r w:rsidRPr="000A0A5F">
        <w:rPr>
          <w:lang w:val="en-US"/>
        </w:rPr>
        <w:t xml:space="preserve">          $ref: 'TS29122_CommonData.yaml#/components/responses/409'</w:t>
      </w:r>
    </w:p>
    <w:p w:rsidR="00CB0DD7" w:rsidRPr="000A0A5F" w:rsidRDefault="00CB0DD7">
      <w:pPr>
        <w:pStyle w:val="PL"/>
        <w:rPr>
          <w:lang w:val="en-US"/>
        </w:rPr>
      </w:pPr>
      <w:r w:rsidRPr="000A0A5F">
        <w:rPr>
          <w:lang w:val="en-US"/>
        </w:rPr>
        <w:t xml:space="preserve">        '429':</w:t>
      </w:r>
    </w:p>
    <w:p w:rsidR="00CB0DD7" w:rsidRPr="000A0A5F" w:rsidRDefault="00CB0DD7">
      <w:pPr>
        <w:pStyle w:val="PL"/>
        <w:rPr>
          <w:lang w:val="en-US"/>
        </w:rPr>
      </w:pPr>
      <w:r w:rsidRPr="000A0A5F">
        <w:rPr>
          <w:lang w:val="en-US"/>
        </w:rPr>
        <w:t xml:space="preserve">          $ref: 'TS29122_CommonData.yaml#/components/responses/429'</w:t>
      </w:r>
    </w:p>
    <w:p w:rsidR="00CB0DD7" w:rsidRPr="000A0A5F" w:rsidRDefault="00CB0DD7">
      <w:pPr>
        <w:pStyle w:val="PL"/>
        <w:rPr>
          <w:lang w:val="en-US"/>
        </w:rPr>
      </w:pPr>
      <w:r w:rsidRPr="000A0A5F">
        <w:rPr>
          <w:lang w:val="en-US"/>
        </w:rPr>
        <w:t xml:space="preserve">        '500':</w:t>
      </w:r>
    </w:p>
    <w:p w:rsidR="00CB0DD7" w:rsidRPr="000A0A5F" w:rsidRDefault="00CB0DD7">
      <w:pPr>
        <w:pStyle w:val="PL"/>
        <w:rPr>
          <w:lang w:eastAsia="zh-CN"/>
        </w:rPr>
      </w:pPr>
      <w:r w:rsidRPr="000A0A5F">
        <w:t xml:space="preserve">          description: The request was not successful</w:t>
      </w:r>
      <w:r w:rsidRPr="000A0A5F">
        <w:rPr>
          <w:lang w:eastAsia="zh-CN"/>
        </w:rPr>
        <w:t>.</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application/problem+json:</w:t>
      </w:r>
    </w:p>
    <w:p w:rsidR="00CB0DD7" w:rsidRPr="000A0A5F" w:rsidRDefault="00CB0DD7">
      <w:pPr>
        <w:pStyle w:val="PL"/>
      </w:pPr>
      <w:r w:rsidRPr="000A0A5F">
        <w:t xml:space="preserve">              schema:</w:t>
      </w:r>
    </w:p>
    <w:p w:rsidR="00CB0DD7" w:rsidRPr="000A0A5F" w:rsidRDefault="00CB0DD7">
      <w:pPr>
        <w:pStyle w:val="PL"/>
      </w:pPr>
      <w:r w:rsidRPr="000A0A5F">
        <w:t xml:space="preserve">                $ref: '#/components/schemas/RdsDownlinkDataDeliveryFailure</w:t>
      </w:r>
      <w:r w:rsidRPr="000A0A5F">
        <w:rPr>
          <w:lang w:eastAsia="zh-CN"/>
        </w:rPr>
        <w:t>'</w:t>
      </w:r>
    </w:p>
    <w:p w:rsidR="00CB0DD7" w:rsidRPr="000A0A5F" w:rsidRDefault="00CB0DD7">
      <w:pPr>
        <w:pStyle w:val="PL"/>
        <w:rPr>
          <w:lang w:val="en-US"/>
        </w:rPr>
      </w:pPr>
      <w:r w:rsidRPr="000A0A5F">
        <w:rPr>
          <w:lang w:val="en-US"/>
        </w:rPr>
        <w:t xml:space="preserve">        '503':</w:t>
      </w:r>
    </w:p>
    <w:p w:rsidR="00CB0DD7" w:rsidRPr="000A0A5F" w:rsidRDefault="00CB0DD7">
      <w:pPr>
        <w:pStyle w:val="PL"/>
        <w:rPr>
          <w:lang w:val="en-US"/>
        </w:rPr>
      </w:pPr>
      <w:r w:rsidRPr="000A0A5F">
        <w:rPr>
          <w:lang w:val="en-US"/>
        </w:rPr>
        <w:t xml:space="preserve">          $ref: 'TS29122_CommonData.yaml#/components/responses/503'</w:t>
      </w:r>
    </w:p>
    <w:p w:rsidR="00CB0DD7" w:rsidRPr="000A0A5F" w:rsidRDefault="00CB0DD7">
      <w:pPr>
        <w:pStyle w:val="PL"/>
        <w:rPr>
          <w:lang w:val="en-US"/>
        </w:rPr>
      </w:pPr>
      <w:r w:rsidRPr="000A0A5F">
        <w:rPr>
          <w:lang w:val="en-US"/>
        </w:rPr>
        <w:t xml:space="preserve">        default:</w:t>
      </w:r>
    </w:p>
    <w:p w:rsidR="00CB0DD7" w:rsidRPr="000A0A5F" w:rsidRDefault="00CB0DD7">
      <w:pPr>
        <w:pStyle w:val="PL"/>
        <w:rPr>
          <w:lang w:val="en-US"/>
        </w:rPr>
      </w:pPr>
      <w:r w:rsidRPr="000A0A5F">
        <w:rPr>
          <w:lang w:val="en-US"/>
        </w:rPr>
        <w:t xml:space="preserve">          $ref: 'TS29122_CommonData.yaml#/components/responses/default'</w:t>
      </w:r>
    </w:p>
    <w:p w:rsidR="00CB0DD7" w:rsidRPr="000A0A5F" w:rsidRDefault="00CB0DD7">
      <w:pPr>
        <w:pStyle w:val="PL"/>
      </w:pPr>
    </w:p>
    <w:p w:rsidR="00CB0DD7" w:rsidRPr="000A0A5F" w:rsidRDefault="00CB0DD7">
      <w:pPr>
        <w:pStyle w:val="PL"/>
      </w:pPr>
      <w:r w:rsidRPr="000A0A5F">
        <w:t>components:</w:t>
      </w:r>
    </w:p>
    <w:p w:rsidR="00CB0DD7" w:rsidRPr="000A0A5F" w:rsidRDefault="00CB0DD7">
      <w:pPr>
        <w:pStyle w:val="PL"/>
        <w:rPr>
          <w:lang w:val="en-US"/>
        </w:rPr>
      </w:pPr>
      <w:r w:rsidRPr="000A0A5F">
        <w:rPr>
          <w:lang w:val="en-US"/>
        </w:rPr>
        <w:t xml:space="preserve">  securitySchemes:</w:t>
      </w:r>
    </w:p>
    <w:p w:rsidR="00CB0DD7" w:rsidRPr="000A0A5F" w:rsidRDefault="00CB0DD7">
      <w:pPr>
        <w:pStyle w:val="PL"/>
        <w:rPr>
          <w:lang w:val="en-US"/>
        </w:rPr>
      </w:pPr>
      <w:r w:rsidRPr="000A0A5F">
        <w:rPr>
          <w:lang w:val="en-US"/>
        </w:rPr>
        <w:t xml:space="preserve">    oAuth2ClientCredentials:</w:t>
      </w:r>
    </w:p>
    <w:p w:rsidR="00CB0DD7" w:rsidRPr="000A0A5F" w:rsidRDefault="00CB0DD7">
      <w:pPr>
        <w:pStyle w:val="PL"/>
        <w:rPr>
          <w:lang w:val="en-US"/>
        </w:rPr>
      </w:pPr>
      <w:r w:rsidRPr="000A0A5F">
        <w:rPr>
          <w:lang w:val="en-US"/>
        </w:rPr>
        <w:t xml:space="preserve">      type: oauth2</w:t>
      </w:r>
    </w:p>
    <w:p w:rsidR="00CB0DD7" w:rsidRPr="000A0A5F" w:rsidRDefault="00CB0DD7">
      <w:pPr>
        <w:pStyle w:val="PL"/>
        <w:rPr>
          <w:lang w:val="en-US"/>
        </w:rPr>
      </w:pPr>
      <w:r w:rsidRPr="000A0A5F">
        <w:rPr>
          <w:lang w:val="en-US"/>
        </w:rPr>
        <w:t xml:space="preserve">      flows:</w:t>
      </w:r>
    </w:p>
    <w:p w:rsidR="00CB0DD7" w:rsidRPr="000A0A5F" w:rsidRDefault="00CB0DD7">
      <w:pPr>
        <w:pStyle w:val="PL"/>
        <w:rPr>
          <w:lang w:val="en-US"/>
        </w:rPr>
      </w:pPr>
      <w:r w:rsidRPr="000A0A5F">
        <w:rPr>
          <w:lang w:val="en-US"/>
        </w:rPr>
        <w:t xml:space="preserve">        clientCredentials:</w:t>
      </w:r>
    </w:p>
    <w:p w:rsidR="00CB0DD7" w:rsidRPr="000A0A5F" w:rsidRDefault="00CB0DD7">
      <w:pPr>
        <w:pStyle w:val="PL"/>
        <w:rPr>
          <w:lang w:val="en-US"/>
        </w:rPr>
      </w:pPr>
      <w:r w:rsidRPr="000A0A5F">
        <w:rPr>
          <w:lang w:val="en-US"/>
        </w:rPr>
        <w:t xml:space="preserve">          tokenUrl: '{tokenUrl}'</w:t>
      </w:r>
    </w:p>
    <w:p w:rsidR="00CB0DD7" w:rsidRPr="000A0A5F" w:rsidRDefault="00CB0DD7">
      <w:pPr>
        <w:pStyle w:val="PL"/>
        <w:rPr>
          <w:lang w:val="en-US"/>
        </w:rPr>
      </w:pPr>
      <w:r w:rsidRPr="000A0A5F">
        <w:rPr>
          <w:lang w:val="en-US"/>
        </w:rPr>
        <w:t xml:space="preserve">          scopes: {}</w:t>
      </w:r>
    </w:p>
    <w:p w:rsidR="00A6789E" w:rsidRPr="000A0A5F" w:rsidRDefault="00A6789E">
      <w:pPr>
        <w:pStyle w:val="PL"/>
      </w:pPr>
    </w:p>
    <w:p w:rsidR="00CB0DD7" w:rsidRPr="000A0A5F" w:rsidRDefault="00CB0DD7">
      <w:pPr>
        <w:pStyle w:val="PL"/>
        <w:rPr>
          <w:lang w:eastAsia="zh-CN"/>
        </w:rPr>
      </w:pPr>
      <w:r w:rsidRPr="000A0A5F">
        <w:t xml:space="preserve">  schemas: </w:t>
      </w:r>
    </w:p>
    <w:p w:rsidR="00CB0DD7" w:rsidRPr="000A0A5F" w:rsidRDefault="00CB0DD7">
      <w:pPr>
        <w:pStyle w:val="PL"/>
      </w:pPr>
      <w:r w:rsidRPr="000A0A5F">
        <w:t xml:space="preserve">    NiddConfiguration:</w:t>
      </w:r>
    </w:p>
    <w:p w:rsidR="00CB0DD7" w:rsidRPr="000A0A5F" w:rsidRDefault="00CB0DD7">
      <w:pPr>
        <w:pStyle w:val="PL"/>
      </w:pPr>
      <w:r w:rsidRPr="000A0A5F">
        <w:t xml:space="preserve">      description: Represents the configuration for NIDD.</w:t>
      </w:r>
    </w:p>
    <w:p w:rsidR="00CB0DD7" w:rsidRPr="000A0A5F" w:rsidRDefault="00CB0DD7">
      <w:pPr>
        <w:pStyle w:val="PL"/>
      </w:pPr>
      <w:r w:rsidRPr="000A0A5F">
        <w:t xml:space="preserve">      type: object</w:t>
      </w:r>
    </w:p>
    <w:p w:rsidR="00CB0DD7" w:rsidRPr="000A0A5F" w:rsidRDefault="00CB0DD7">
      <w:pPr>
        <w:pStyle w:val="PL"/>
      </w:pPr>
      <w:r w:rsidRPr="000A0A5F">
        <w:t xml:space="preserve">      properties:</w:t>
      </w:r>
    </w:p>
    <w:p w:rsidR="00CB0DD7" w:rsidRPr="000A0A5F" w:rsidRDefault="00CB0DD7">
      <w:pPr>
        <w:pStyle w:val="PL"/>
      </w:pPr>
      <w:r w:rsidRPr="000A0A5F">
        <w:t xml:space="preserve">        self:</w:t>
      </w:r>
    </w:p>
    <w:p w:rsidR="00CB0DD7" w:rsidRPr="000A0A5F" w:rsidRDefault="00CB0DD7">
      <w:pPr>
        <w:pStyle w:val="PL"/>
      </w:pPr>
      <w:r w:rsidRPr="000A0A5F">
        <w:t xml:space="preserve">          $ref: 'TS29122_CommonData.yaml#/components/schemas/Link'</w:t>
      </w:r>
    </w:p>
    <w:p w:rsidR="00CB0DD7" w:rsidRPr="000A0A5F" w:rsidRDefault="00CB0DD7">
      <w:pPr>
        <w:pStyle w:val="PL"/>
      </w:pPr>
      <w:r w:rsidRPr="000A0A5F">
        <w:t xml:space="preserve">        </w:t>
      </w:r>
      <w:r w:rsidRPr="000A0A5F">
        <w:rPr>
          <w:lang w:eastAsia="zh-CN"/>
        </w:rPr>
        <w:t>supportedFeatures</w:t>
      </w:r>
      <w:r w:rsidRPr="000A0A5F">
        <w:t>:</w:t>
      </w:r>
    </w:p>
    <w:p w:rsidR="00CB0DD7" w:rsidRPr="000A0A5F" w:rsidRDefault="00CB0DD7">
      <w:pPr>
        <w:pStyle w:val="PL"/>
      </w:pPr>
      <w:r w:rsidRPr="000A0A5F">
        <w:t xml:space="preserve">          $ref: 'TS29571_CommonData.yaml#/components/schemas/</w:t>
      </w:r>
      <w:r w:rsidRPr="000A0A5F">
        <w:rPr>
          <w:lang w:eastAsia="zh-CN"/>
        </w:rPr>
        <w:t>SupportedFeatures</w:t>
      </w:r>
      <w:r w:rsidRPr="000A0A5F">
        <w:t>'</w:t>
      </w:r>
    </w:p>
    <w:p w:rsidR="00CB0DD7" w:rsidRPr="000A0A5F" w:rsidRDefault="00CB0DD7">
      <w:pPr>
        <w:pStyle w:val="PL"/>
      </w:pPr>
      <w:r w:rsidRPr="000A0A5F">
        <w:t xml:space="preserve">        mtcProviderId:</w:t>
      </w:r>
    </w:p>
    <w:p w:rsidR="00CB0DD7" w:rsidRPr="000A0A5F" w:rsidRDefault="00CB0DD7">
      <w:pPr>
        <w:pStyle w:val="PL"/>
      </w:pPr>
      <w:r w:rsidRPr="000A0A5F">
        <w:t xml:space="preserve">          type: string</w:t>
      </w:r>
    </w:p>
    <w:p w:rsidR="00CB0DD7" w:rsidRPr="000A0A5F" w:rsidRDefault="00CB0DD7">
      <w:pPr>
        <w:pStyle w:val="PL"/>
      </w:pPr>
      <w:r w:rsidRPr="000A0A5F">
        <w:t xml:space="preserve">          description: Identifies the MTC Service Provider and/or MTC Application.</w:t>
      </w:r>
    </w:p>
    <w:p w:rsidR="00CB0DD7" w:rsidRPr="000A0A5F" w:rsidRDefault="00CB0DD7">
      <w:pPr>
        <w:pStyle w:val="PL"/>
      </w:pPr>
      <w:r w:rsidRPr="000A0A5F">
        <w:t xml:space="preserve">        externalId:</w:t>
      </w:r>
    </w:p>
    <w:p w:rsidR="00CB0DD7" w:rsidRPr="000A0A5F" w:rsidRDefault="00CB0DD7">
      <w:pPr>
        <w:pStyle w:val="PL"/>
      </w:pPr>
      <w:r w:rsidRPr="000A0A5F">
        <w:t xml:space="preserve">          $ref: 'TS29122_CommonData.yaml#/components/schemas/ExternalId'</w:t>
      </w:r>
    </w:p>
    <w:p w:rsidR="00CB0DD7" w:rsidRPr="000A0A5F" w:rsidRDefault="00CB0DD7">
      <w:pPr>
        <w:pStyle w:val="PL"/>
      </w:pPr>
      <w:r w:rsidRPr="000A0A5F">
        <w:t xml:space="preserve">        msisdn:</w:t>
      </w:r>
    </w:p>
    <w:p w:rsidR="00CB0DD7" w:rsidRPr="000A0A5F" w:rsidRDefault="00CB0DD7">
      <w:pPr>
        <w:pStyle w:val="PL"/>
      </w:pPr>
      <w:r w:rsidRPr="000A0A5F">
        <w:t xml:space="preserve">          $ref: 'TS29122_CommonData.yaml#/components/schemas/Msisdn'</w:t>
      </w:r>
    </w:p>
    <w:p w:rsidR="00CB0DD7" w:rsidRPr="000A0A5F" w:rsidRDefault="00CB0DD7">
      <w:pPr>
        <w:pStyle w:val="PL"/>
      </w:pPr>
      <w:r w:rsidRPr="000A0A5F">
        <w:t xml:space="preserve">        externalGroupId:</w:t>
      </w:r>
    </w:p>
    <w:p w:rsidR="00CB0DD7" w:rsidRPr="000A0A5F" w:rsidRDefault="00CB0DD7">
      <w:pPr>
        <w:pStyle w:val="PL"/>
      </w:pPr>
      <w:r w:rsidRPr="000A0A5F">
        <w:t xml:space="preserve">          $ref: 'TS29122_CommonData.yaml#/components/schemas/ExternalGroupId'</w:t>
      </w:r>
    </w:p>
    <w:p w:rsidR="00CB0DD7" w:rsidRPr="000A0A5F" w:rsidRDefault="00CB0DD7">
      <w:pPr>
        <w:pStyle w:val="PL"/>
      </w:pPr>
      <w:r w:rsidRPr="000A0A5F">
        <w:t xml:space="preserve">        duration:</w:t>
      </w:r>
    </w:p>
    <w:p w:rsidR="00CB0DD7" w:rsidRPr="000A0A5F" w:rsidRDefault="00CB0DD7">
      <w:pPr>
        <w:pStyle w:val="PL"/>
      </w:pPr>
      <w:r w:rsidRPr="000A0A5F">
        <w:t xml:space="preserve">          $ref: 'TS29122_CommonData.yaml#/components/schemas/DateTime'</w:t>
      </w:r>
    </w:p>
    <w:p w:rsidR="00CB0DD7" w:rsidRPr="000A0A5F" w:rsidRDefault="00CB0DD7">
      <w:pPr>
        <w:pStyle w:val="PL"/>
      </w:pPr>
      <w:r w:rsidRPr="000A0A5F">
        <w:t xml:space="preserve">        reliableDataService:</w:t>
      </w:r>
    </w:p>
    <w:p w:rsidR="00CB0DD7" w:rsidRPr="000A0A5F" w:rsidRDefault="00CB0DD7">
      <w:pPr>
        <w:pStyle w:val="PL"/>
      </w:pPr>
      <w:r w:rsidRPr="000A0A5F">
        <w:t xml:space="preserve">          type: boolean</w:t>
      </w:r>
    </w:p>
    <w:p w:rsidR="007A722E" w:rsidRPr="000A0A5F" w:rsidRDefault="00CB0DD7" w:rsidP="007A722E">
      <w:pPr>
        <w:pStyle w:val="PL"/>
      </w:pPr>
      <w:r w:rsidRPr="000A0A5F">
        <w:t xml:space="preserve">          description: </w:t>
      </w:r>
      <w:r w:rsidR="007A722E" w:rsidRPr="000A0A5F">
        <w:t>&gt;</w:t>
      </w:r>
    </w:p>
    <w:p w:rsidR="004C73E1" w:rsidRPr="000A0A5F" w:rsidRDefault="007A722E" w:rsidP="004C73E1">
      <w:pPr>
        <w:pStyle w:val="PL"/>
      </w:pPr>
      <w:r w:rsidRPr="000A0A5F">
        <w:t xml:space="preserve">            Indicates </w:t>
      </w:r>
      <w:r w:rsidRPr="000A0A5F">
        <w:rPr>
          <w:lang w:eastAsia="zh-CN"/>
        </w:rPr>
        <w:t>whether t</w:t>
      </w:r>
      <w:r w:rsidR="00CB0DD7" w:rsidRPr="000A0A5F">
        <w:t>he reliable data service (as defined in clause 4.5.1</w:t>
      </w:r>
      <w:r w:rsidR="004C73E1" w:rsidRPr="000A0A5F">
        <w:t>4</w:t>
      </w:r>
      <w:r w:rsidR="00CB0DD7" w:rsidRPr="000A0A5F">
        <w:t xml:space="preserve">.3 of 3GPP TS </w:t>
      </w:r>
    </w:p>
    <w:p w:rsidR="00CB0DD7" w:rsidRPr="000A0A5F" w:rsidRDefault="004C73E1" w:rsidP="004C73E1">
      <w:pPr>
        <w:pStyle w:val="PL"/>
      </w:pPr>
      <w:r w:rsidRPr="000A0A5F">
        <w:t xml:space="preserve">            </w:t>
      </w:r>
      <w:r w:rsidR="00CB0DD7" w:rsidRPr="000A0A5F">
        <w:t xml:space="preserve">23.682) </w:t>
      </w:r>
      <w:r w:rsidRPr="000A0A5F">
        <w:rPr>
          <w:lang w:eastAsia="zh-CN"/>
        </w:rPr>
        <w:t>acknowledg</w:t>
      </w:r>
      <w:r w:rsidR="00EE10DE" w:rsidRPr="000A0A5F">
        <w:rPr>
          <w:lang w:eastAsia="zh-CN"/>
        </w:rPr>
        <w:t>e</w:t>
      </w:r>
      <w:r w:rsidRPr="000A0A5F">
        <w:rPr>
          <w:lang w:eastAsia="zh-CN"/>
        </w:rPr>
        <w:t>ment is requested</w:t>
      </w:r>
      <w:r w:rsidRPr="000A0A5F">
        <w:t xml:space="preserve"> (</w:t>
      </w:r>
      <w:r w:rsidRPr="000A0A5F">
        <w:rPr>
          <w:lang w:eastAsia="zh-CN"/>
        </w:rPr>
        <w:t>true</w:t>
      </w:r>
      <w:r w:rsidRPr="000A0A5F">
        <w:t>) or not (</w:t>
      </w:r>
      <w:r w:rsidRPr="000A0A5F">
        <w:rPr>
          <w:lang w:eastAsia="zh-CN"/>
        </w:rPr>
        <w:t xml:space="preserve">false). </w:t>
      </w:r>
      <w:r w:rsidRPr="000A0A5F">
        <w:t>Default value is false.</w:t>
      </w:r>
    </w:p>
    <w:p w:rsidR="00CB0DD7" w:rsidRPr="000A0A5F" w:rsidRDefault="00CB0DD7">
      <w:pPr>
        <w:pStyle w:val="PL"/>
      </w:pPr>
      <w:r w:rsidRPr="000A0A5F">
        <w:t xml:space="preserve">        rdsPorts:</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$ref: '#/components/schemas/RdsPort'</w:t>
      </w:r>
    </w:p>
    <w:p w:rsidR="00CB0DD7" w:rsidRPr="000A0A5F" w:rsidRDefault="00CB0DD7">
      <w:pPr>
        <w:pStyle w:val="PL"/>
      </w:pPr>
      <w:r w:rsidRPr="000A0A5F">
        <w:t xml:space="preserve">          minItems: 1</w:t>
      </w:r>
    </w:p>
    <w:p w:rsidR="000E4E99" w:rsidRPr="000A0A5F" w:rsidRDefault="00CB0DD7">
      <w:pPr>
        <w:pStyle w:val="PL"/>
      </w:pPr>
      <w:r w:rsidRPr="000A0A5F">
        <w:t xml:space="preserve">          description: </w:t>
      </w:r>
      <w:r w:rsidR="000E4E99" w:rsidRPr="000A0A5F">
        <w:t>&gt;</w:t>
      </w:r>
    </w:p>
    <w:p w:rsidR="000E4E99" w:rsidRPr="000A0A5F" w:rsidRDefault="000E4E99">
      <w:pPr>
        <w:pStyle w:val="PL"/>
      </w:pPr>
      <w:r w:rsidRPr="000A0A5F">
        <w:t xml:space="preserve">            </w:t>
      </w:r>
      <w:r w:rsidR="00CB0DD7" w:rsidRPr="000A0A5F">
        <w:t>Indicates the static port configuration that is used for reliable data transfer between</w:t>
      </w:r>
    </w:p>
    <w:p w:rsidR="000E4E99" w:rsidRPr="000A0A5F" w:rsidRDefault="000E4E99">
      <w:pPr>
        <w:pStyle w:val="PL"/>
      </w:pPr>
      <w:r w:rsidRPr="000A0A5F">
        <w:t xml:space="preserve">           </w:t>
      </w:r>
      <w:r w:rsidR="00CB0DD7" w:rsidRPr="000A0A5F">
        <w:t xml:space="preserve"> specific applications using RDS (as defined in clause 5.2.4 and</w:t>
      </w:r>
    </w:p>
    <w:p w:rsidR="00CB0DD7" w:rsidRPr="000A0A5F" w:rsidRDefault="000E4E99">
      <w:pPr>
        <w:pStyle w:val="PL"/>
      </w:pPr>
      <w:r w:rsidRPr="000A0A5F">
        <w:t xml:space="preserve">           </w:t>
      </w:r>
      <w:r w:rsidR="00CB0DD7" w:rsidRPr="000A0A5F">
        <w:t xml:space="preserve"> 5.2.5 of 3GPP TS 24.250).</w:t>
      </w:r>
    </w:p>
    <w:p w:rsidR="00CB0DD7" w:rsidRPr="000A0A5F" w:rsidRDefault="00CB0DD7">
      <w:pPr>
        <w:pStyle w:val="PL"/>
      </w:pPr>
      <w:r w:rsidRPr="000A0A5F">
        <w:t xml:space="preserve">        pdnEstablishmentOption:</w:t>
      </w:r>
    </w:p>
    <w:p w:rsidR="00CB0DD7" w:rsidRPr="000A0A5F" w:rsidRDefault="00CB0DD7">
      <w:pPr>
        <w:pStyle w:val="PL"/>
      </w:pPr>
      <w:r w:rsidRPr="000A0A5F">
        <w:t xml:space="preserve">          $ref: '#/components/schemas/PdnEstablishmentOptions'</w:t>
      </w:r>
    </w:p>
    <w:p w:rsidR="00CB0DD7" w:rsidRPr="000A0A5F" w:rsidRDefault="00CB0DD7">
      <w:pPr>
        <w:pStyle w:val="PL"/>
      </w:pPr>
      <w:r w:rsidRPr="000A0A5F">
        <w:t xml:space="preserve">        notificationDestination:</w:t>
      </w:r>
    </w:p>
    <w:p w:rsidR="00CB0DD7" w:rsidRPr="000A0A5F" w:rsidRDefault="00CB0DD7">
      <w:pPr>
        <w:pStyle w:val="PL"/>
      </w:pPr>
      <w:r w:rsidRPr="000A0A5F">
        <w:t xml:space="preserve">          $ref: 'TS29122_CommonData.yaml#/components/schemas/Link'</w:t>
      </w:r>
    </w:p>
    <w:p w:rsidR="00CB0DD7" w:rsidRPr="000A0A5F" w:rsidRDefault="00CB0DD7">
      <w:pPr>
        <w:pStyle w:val="PL"/>
      </w:pPr>
      <w:r w:rsidRPr="000A0A5F">
        <w:t xml:space="preserve">        requestTestNotification:</w:t>
      </w:r>
    </w:p>
    <w:p w:rsidR="00CB0DD7" w:rsidRPr="000A0A5F" w:rsidRDefault="00CB0DD7">
      <w:pPr>
        <w:pStyle w:val="PL"/>
      </w:pPr>
      <w:r w:rsidRPr="000A0A5F">
        <w:t xml:space="preserve">          type: boolean</w:t>
      </w:r>
    </w:p>
    <w:p w:rsidR="000E4E99" w:rsidRPr="000A0A5F" w:rsidRDefault="00CB0DD7">
      <w:pPr>
        <w:pStyle w:val="PL"/>
      </w:pPr>
      <w:r w:rsidRPr="000A0A5F">
        <w:t xml:space="preserve">          description: </w:t>
      </w:r>
      <w:r w:rsidR="000E4E99" w:rsidRPr="000A0A5F">
        <w:t>&gt;</w:t>
      </w:r>
    </w:p>
    <w:p w:rsidR="000E4E99" w:rsidRPr="000A0A5F" w:rsidRDefault="000E4E99">
      <w:pPr>
        <w:pStyle w:val="PL"/>
      </w:pPr>
      <w:r w:rsidRPr="000A0A5F">
        <w:t xml:space="preserve">            </w:t>
      </w:r>
      <w:r w:rsidR="00CB0DD7" w:rsidRPr="000A0A5F">
        <w:t>Set to true by the SCS/AS to request the SCEF to send a test notification as defined</w:t>
      </w:r>
    </w:p>
    <w:p w:rsidR="00CB0DD7" w:rsidRPr="000A0A5F" w:rsidRDefault="000E4E99">
      <w:pPr>
        <w:pStyle w:val="PL"/>
      </w:pPr>
      <w:r w:rsidRPr="000A0A5F">
        <w:t xml:space="preserve">           </w:t>
      </w:r>
      <w:r w:rsidR="00CB0DD7" w:rsidRPr="000A0A5F">
        <w:t xml:space="preserve"> in clause 5.2.5.3. Set to false or omitted otherwise.</w:t>
      </w:r>
    </w:p>
    <w:p w:rsidR="00CB0DD7" w:rsidRPr="000A0A5F" w:rsidRDefault="00CB0DD7">
      <w:pPr>
        <w:pStyle w:val="PL"/>
      </w:pPr>
      <w:r w:rsidRPr="000A0A5F">
        <w:t xml:space="preserve">        websockNotifConfig:</w:t>
      </w:r>
    </w:p>
    <w:p w:rsidR="00CB0DD7" w:rsidRPr="000A0A5F" w:rsidRDefault="00CB0DD7">
      <w:pPr>
        <w:pStyle w:val="PL"/>
      </w:pPr>
      <w:r w:rsidRPr="000A0A5F">
        <w:t xml:space="preserve">          $ref: 'TS29122_CommonData.yaml#/components/schemas/WebsockNotifConfig'</w:t>
      </w:r>
    </w:p>
    <w:p w:rsidR="00CB0DD7" w:rsidRPr="000A0A5F" w:rsidRDefault="00CB0DD7">
      <w:pPr>
        <w:pStyle w:val="PL"/>
      </w:pPr>
      <w:r w:rsidRPr="000A0A5F">
        <w:t xml:space="preserve">        maximumPacketSize:</w:t>
      </w:r>
    </w:p>
    <w:p w:rsidR="00CB0DD7" w:rsidRPr="000A0A5F" w:rsidRDefault="00CB0DD7">
      <w:pPr>
        <w:pStyle w:val="PL"/>
      </w:pPr>
      <w:r w:rsidRPr="000A0A5F">
        <w:t xml:space="preserve">          type: integer</w:t>
      </w:r>
    </w:p>
    <w:p w:rsidR="00CB0DD7" w:rsidRPr="000A0A5F" w:rsidRDefault="00CB0DD7">
      <w:pPr>
        <w:pStyle w:val="PL"/>
      </w:pPr>
      <w:r w:rsidRPr="000A0A5F">
        <w:t xml:space="preserve">          minimum: 1</w:t>
      </w:r>
    </w:p>
    <w:p w:rsidR="000E4E99" w:rsidRPr="000A0A5F" w:rsidRDefault="00CB0DD7">
      <w:pPr>
        <w:pStyle w:val="PL"/>
      </w:pPr>
      <w:r w:rsidRPr="000A0A5F">
        <w:t xml:space="preserve">          description: </w:t>
      </w:r>
      <w:r w:rsidR="000E4E99" w:rsidRPr="000A0A5F">
        <w:t>&gt;</w:t>
      </w:r>
    </w:p>
    <w:p w:rsidR="000E4E99" w:rsidRPr="000A0A5F" w:rsidRDefault="000E4E99">
      <w:pPr>
        <w:pStyle w:val="PL"/>
      </w:pPr>
      <w:r w:rsidRPr="000A0A5F">
        <w:t xml:space="preserve">            </w:t>
      </w:r>
      <w:r w:rsidR="00CB0DD7" w:rsidRPr="000A0A5F">
        <w:t>The Maximum Packet Size is the maximum NIDD packet size that was transferred to</w:t>
      </w:r>
    </w:p>
    <w:p w:rsidR="000E4E99" w:rsidRPr="000A0A5F" w:rsidRDefault="000E4E99">
      <w:pPr>
        <w:pStyle w:val="PL"/>
      </w:pPr>
      <w:r w:rsidRPr="000A0A5F">
        <w:t xml:space="preserve">           </w:t>
      </w:r>
      <w:r w:rsidR="00CB0DD7" w:rsidRPr="000A0A5F">
        <w:t xml:space="preserve"> the UE by the SCEF in the PCO, see clause 4.5.14.1 of 3GPP TS 23.682. If no maximum</w:t>
      </w:r>
    </w:p>
    <w:p w:rsidR="000E4E99" w:rsidRPr="000A0A5F" w:rsidRDefault="000E4E99">
      <w:pPr>
        <w:pStyle w:val="PL"/>
      </w:pPr>
      <w:r w:rsidRPr="000A0A5F">
        <w:t xml:space="preserve">           </w:t>
      </w:r>
      <w:r w:rsidR="00CB0DD7" w:rsidRPr="000A0A5F">
        <w:t xml:space="preserve"> packet size was provided to the UE by the SCEF, the SCEF sends a default configured</w:t>
      </w:r>
    </w:p>
    <w:p w:rsidR="00CB0DD7" w:rsidRPr="000A0A5F" w:rsidRDefault="000E4E99">
      <w:pPr>
        <w:pStyle w:val="PL"/>
      </w:pPr>
      <w:r w:rsidRPr="000A0A5F">
        <w:t xml:space="preserve">           </w:t>
      </w:r>
      <w:r w:rsidR="00CB0DD7" w:rsidRPr="000A0A5F">
        <w:t xml:space="preserve"> max packet size to SCS/AS. Unit  bit.</w:t>
      </w:r>
    </w:p>
    <w:p w:rsidR="00CB0DD7" w:rsidRPr="000A0A5F" w:rsidRDefault="00CB0DD7">
      <w:pPr>
        <w:pStyle w:val="PL"/>
      </w:pPr>
      <w:r w:rsidRPr="000A0A5F">
        <w:t xml:space="preserve">          readOnly: true</w:t>
      </w:r>
    </w:p>
    <w:p w:rsidR="00CB0DD7" w:rsidRPr="000A0A5F" w:rsidRDefault="00CB0DD7">
      <w:pPr>
        <w:pStyle w:val="PL"/>
      </w:pPr>
      <w:r w:rsidRPr="000A0A5F">
        <w:t xml:space="preserve">        niddDownlinkDataTransfers:</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$ref: '#/components/schemas/NiddDownlinkDataTransfer'</w:t>
      </w:r>
    </w:p>
    <w:p w:rsidR="00CB0DD7" w:rsidRPr="000A0A5F" w:rsidRDefault="00CB0DD7">
      <w:pPr>
        <w:pStyle w:val="PL"/>
      </w:pPr>
      <w:r w:rsidRPr="000A0A5F">
        <w:t xml:space="preserve">          minItems: 1</w:t>
      </w:r>
    </w:p>
    <w:p w:rsidR="000E4E99" w:rsidRPr="000A0A5F" w:rsidRDefault="00CB0DD7">
      <w:pPr>
        <w:pStyle w:val="PL"/>
      </w:pPr>
      <w:r w:rsidRPr="000A0A5F">
        <w:t xml:space="preserve">          description: </w:t>
      </w:r>
      <w:r w:rsidR="000E4E99" w:rsidRPr="000A0A5F">
        <w:t>&gt;</w:t>
      </w:r>
    </w:p>
    <w:p w:rsidR="000E4E99" w:rsidRPr="000A0A5F" w:rsidRDefault="000E4E99">
      <w:pPr>
        <w:pStyle w:val="PL"/>
      </w:pPr>
      <w:r w:rsidRPr="000A0A5F">
        <w:t xml:space="preserve">            </w:t>
      </w:r>
      <w:r w:rsidR="00CB0DD7" w:rsidRPr="000A0A5F">
        <w:t>The downlink data deliveries that needed to be executed by the SCEF. The cardinality of</w:t>
      </w:r>
    </w:p>
    <w:p w:rsidR="000E4E99" w:rsidRPr="000A0A5F" w:rsidRDefault="000E4E99">
      <w:pPr>
        <w:pStyle w:val="PL"/>
      </w:pPr>
      <w:r w:rsidRPr="000A0A5F">
        <w:t xml:space="preserve">           </w:t>
      </w:r>
      <w:r w:rsidR="00CB0DD7" w:rsidRPr="000A0A5F">
        <w:t xml:space="preserve"> the property shall be 0..1 in the request and 0..N in the response (i.e. response may</w:t>
      </w:r>
    </w:p>
    <w:p w:rsidR="00CB0DD7" w:rsidRPr="000A0A5F" w:rsidRDefault="000E4E99">
      <w:pPr>
        <w:pStyle w:val="PL"/>
      </w:pPr>
      <w:r w:rsidRPr="000A0A5F">
        <w:t xml:space="preserve">            </w:t>
      </w:r>
      <w:r w:rsidR="00CB0DD7" w:rsidRPr="000A0A5F">
        <w:t xml:space="preserve"> contain multiple buffered MT NIDD).</w:t>
      </w:r>
    </w:p>
    <w:p w:rsidR="00CB0DD7" w:rsidRPr="000A0A5F" w:rsidRDefault="00CB0DD7">
      <w:pPr>
        <w:pStyle w:val="PL"/>
      </w:pPr>
      <w:r w:rsidRPr="000A0A5F">
        <w:t xml:space="preserve">        status:</w:t>
      </w:r>
    </w:p>
    <w:p w:rsidR="00CB0DD7" w:rsidRPr="000A0A5F" w:rsidRDefault="00CB0DD7">
      <w:pPr>
        <w:pStyle w:val="PL"/>
      </w:pPr>
      <w:r w:rsidRPr="000A0A5F">
        <w:t xml:space="preserve">          $ref: '#/components/schemas/NiddStatus'</w:t>
      </w:r>
    </w:p>
    <w:p w:rsidR="00CB0DD7" w:rsidRPr="000A0A5F" w:rsidRDefault="00CB0DD7">
      <w:pPr>
        <w:pStyle w:val="PL"/>
      </w:pPr>
      <w:r w:rsidRPr="000A0A5F">
        <w:t xml:space="preserve">      required:</w:t>
      </w:r>
    </w:p>
    <w:p w:rsidR="00CB0DD7" w:rsidRPr="000A0A5F" w:rsidRDefault="00CB0DD7">
      <w:pPr>
        <w:pStyle w:val="PL"/>
      </w:pPr>
      <w:r w:rsidRPr="000A0A5F">
        <w:t xml:space="preserve">        - notificationDestination</w:t>
      </w:r>
    </w:p>
    <w:p w:rsidR="00CB0DD7" w:rsidRPr="000A0A5F" w:rsidRDefault="00CB0DD7">
      <w:pPr>
        <w:pStyle w:val="PL"/>
      </w:pPr>
      <w:r w:rsidRPr="000A0A5F">
        <w:t xml:space="preserve">      oneOf:</w:t>
      </w:r>
    </w:p>
    <w:p w:rsidR="00CB0DD7" w:rsidRPr="000A0A5F" w:rsidRDefault="00CB0DD7">
      <w:pPr>
        <w:pStyle w:val="PL"/>
      </w:pPr>
      <w:r w:rsidRPr="000A0A5F">
        <w:t xml:space="preserve">        - required: [externalId]</w:t>
      </w:r>
    </w:p>
    <w:p w:rsidR="00CB0DD7" w:rsidRPr="000A0A5F" w:rsidRDefault="00CB0DD7">
      <w:pPr>
        <w:pStyle w:val="PL"/>
      </w:pPr>
      <w:r w:rsidRPr="000A0A5F">
        <w:t xml:space="preserve">        - required: [msisdn]</w:t>
      </w:r>
    </w:p>
    <w:p w:rsidR="00CB0DD7" w:rsidRPr="000A0A5F" w:rsidRDefault="00CB0DD7">
      <w:pPr>
        <w:pStyle w:val="PL"/>
      </w:pPr>
      <w:r w:rsidRPr="000A0A5F">
        <w:t xml:space="preserve">        - required: [externalGroupId]</w:t>
      </w:r>
    </w:p>
    <w:p w:rsidR="000E4E99" w:rsidRPr="000A0A5F" w:rsidRDefault="000E4E99">
      <w:pPr>
        <w:pStyle w:val="PL"/>
      </w:pPr>
    </w:p>
    <w:p w:rsidR="00CB0DD7" w:rsidRPr="000A0A5F" w:rsidRDefault="00CB0DD7">
      <w:pPr>
        <w:pStyle w:val="PL"/>
      </w:pPr>
      <w:r w:rsidRPr="000A0A5F">
        <w:t xml:space="preserve">    NiddDownlinkDataTransfer:</w:t>
      </w:r>
    </w:p>
    <w:p w:rsidR="00CB0DD7" w:rsidRPr="000A0A5F" w:rsidRDefault="00CB0DD7">
      <w:pPr>
        <w:pStyle w:val="PL"/>
      </w:pPr>
      <w:r w:rsidRPr="000A0A5F">
        <w:t xml:space="preserve">      description: Represents the received NIDD downlink data from the SCS/AS</w:t>
      </w:r>
      <w:r w:rsidRPr="000A0A5F">
        <w:rPr>
          <w:lang w:val="en-US" w:eastAsia="zh-CN"/>
        </w:rPr>
        <w:t>.</w:t>
      </w:r>
    </w:p>
    <w:p w:rsidR="00CB0DD7" w:rsidRPr="000A0A5F" w:rsidRDefault="00CB0DD7">
      <w:pPr>
        <w:pStyle w:val="PL"/>
      </w:pPr>
      <w:r w:rsidRPr="000A0A5F">
        <w:t xml:space="preserve">      type: object</w:t>
      </w:r>
    </w:p>
    <w:p w:rsidR="00CB0DD7" w:rsidRPr="000A0A5F" w:rsidRDefault="00CB0DD7">
      <w:pPr>
        <w:pStyle w:val="PL"/>
      </w:pPr>
      <w:r w:rsidRPr="000A0A5F">
        <w:t xml:space="preserve">      properties:</w:t>
      </w:r>
    </w:p>
    <w:p w:rsidR="00CB0DD7" w:rsidRPr="000A0A5F" w:rsidRDefault="00CB0DD7">
      <w:pPr>
        <w:pStyle w:val="PL"/>
      </w:pPr>
      <w:r w:rsidRPr="000A0A5F">
        <w:t xml:space="preserve">        externalId:</w:t>
      </w:r>
    </w:p>
    <w:p w:rsidR="00CB0DD7" w:rsidRPr="000A0A5F" w:rsidRDefault="00CB0DD7">
      <w:pPr>
        <w:pStyle w:val="PL"/>
      </w:pPr>
      <w:r w:rsidRPr="000A0A5F">
        <w:t xml:space="preserve">          $ref: 'TS29122_CommonData.yaml#/components/schemas/ExternalId'</w:t>
      </w:r>
    </w:p>
    <w:p w:rsidR="00CB0DD7" w:rsidRPr="000A0A5F" w:rsidRDefault="00CB0DD7">
      <w:pPr>
        <w:pStyle w:val="PL"/>
      </w:pPr>
      <w:r w:rsidRPr="000A0A5F">
        <w:t xml:space="preserve">        externalGroupId:</w:t>
      </w:r>
    </w:p>
    <w:p w:rsidR="00CB0DD7" w:rsidRPr="000A0A5F" w:rsidRDefault="00CB0DD7">
      <w:pPr>
        <w:pStyle w:val="PL"/>
      </w:pPr>
      <w:r w:rsidRPr="000A0A5F">
        <w:t xml:space="preserve">          $ref: 'TS29122_CommonData.yaml#/components/schemas/ExternalGroupId'</w:t>
      </w:r>
    </w:p>
    <w:p w:rsidR="00CB0DD7" w:rsidRPr="000A0A5F" w:rsidRDefault="00CB0DD7">
      <w:pPr>
        <w:pStyle w:val="PL"/>
      </w:pPr>
      <w:r w:rsidRPr="000A0A5F">
        <w:t xml:space="preserve">        msisdn:</w:t>
      </w:r>
    </w:p>
    <w:p w:rsidR="00CB0DD7" w:rsidRPr="000A0A5F" w:rsidRDefault="00CB0DD7">
      <w:pPr>
        <w:pStyle w:val="PL"/>
      </w:pPr>
      <w:r w:rsidRPr="000A0A5F">
        <w:t xml:space="preserve">          $ref: 'TS29122_CommonData.yaml#/components/schemas/Msisdn'</w:t>
      </w:r>
    </w:p>
    <w:p w:rsidR="00CB0DD7" w:rsidRPr="000A0A5F" w:rsidRDefault="00CB0DD7">
      <w:pPr>
        <w:pStyle w:val="PL"/>
      </w:pPr>
      <w:r w:rsidRPr="000A0A5F">
        <w:t xml:space="preserve">        self:</w:t>
      </w:r>
    </w:p>
    <w:p w:rsidR="00CB0DD7" w:rsidRPr="000A0A5F" w:rsidRDefault="00CB0DD7">
      <w:pPr>
        <w:pStyle w:val="PL"/>
      </w:pPr>
      <w:r w:rsidRPr="000A0A5F">
        <w:t xml:space="preserve">          $ref: 'TS29122_CommonData.yaml#/components/schemas/Link'</w:t>
      </w:r>
    </w:p>
    <w:p w:rsidR="00CB0DD7" w:rsidRPr="000A0A5F" w:rsidRDefault="00CB0DD7">
      <w:pPr>
        <w:pStyle w:val="PL"/>
      </w:pPr>
      <w:r w:rsidRPr="000A0A5F">
        <w:t xml:space="preserve">        data:</w:t>
      </w:r>
    </w:p>
    <w:p w:rsidR="00CB0DD7" w:rsidRPr="000A0A5F" w:rsidRDefault="00CB0DD7">
      <w:pPr>
        <w:pStyle w:val="PL"/>
      </w:pPr>
      <w:r w:rsidRPr="000A0A5F">
        <w:t xml:space="preserve">          $ref: 'TS29122_CommonData.yaml#/components/schemas/Bytes'</w:t>
      </w:r>
    </w:p>
    <w:p w:rsidR="00CB0DD7" w:rsidRPr="000A0A5F" w:rsidRDefault="00CB0DD7">
      <w:pPr>
        <w:pStyle w:val="PL"/>
      </w:pPr>
      <w:r w:rsidRPr="000A0A5F">
        <w:t xml:space="preserve">        reliableDataService:</w:t>
      </w:r>
    </w:p>
    <w:p w:rsidR="00CB0DD7" w:rsidRPr="000A0A5F" w:rsidRDefault="00CB0DD7">
      <w:pPr>
        <w:pStyle w:val="PL"/>
      </w:pPr>
      <w:r w:rsidRPr="000A0A5F">
        <w:t xml:space="preserve">          type: boolean</w:t>
      </w:r>
    </w:p>
    <w:p w:rsidR="00005D57" w:rsidRPr="000A0A5F" w:rsidRDefault="00CB0DD7" w:rsidP="00005D57">
      <w:pPr>
        <w:pStyle w:val="PL"/>
      </w:pPr>
      <w:r w:rsidRPr="000A0A5F">
        <w:t xml:space="preserve">          description: </w:t>
      </w:r>
      <w:r w:rsidR="00005D57" w:rsidRPr="000A0A5F">
        <w:t>&gt;</w:t>
      </w:r>
    </w:p>
    <w:p w:rsidR="00005D57" w:rsidRPr="000A0A5F" w:rsidRDefault="00005D57" w:rsidP="00005D57">
      <w:pPr>
        <w:pStyle w:val="PL"/>
      </w:pPr>
      <w:r w:rsidRPr="000A0A5F">
        <w:t xml:space="preserve">            Indicates </w:t>
      </w:r>
      <w:r w:rsidRPr="000A0A5F">
        <w:rPr>
          <w:lang w:eastAsia="zh-CN"/>
        </w:rPr>
        <w:t>whether t</w:t>
      </w:r>
      <w:r w:rsidR="00CB0DD7" w:rsidRPr="000A0A5F">
        <w:t>he reliable data service (as defined in clause 4.5.1</w:t>
      </w:r>
      <w:r w:rsidRPr="000A0A5F">
        <w:t>4</w:t>
      </w:r>
      <w:r w:rsidR="00CB0DD7" w:rsidRPr="000A0A5F">
        <w:t>.3 of 3GPP TS</w:t>
      </w:r>
    </w:p>
    <w:p w:rsidR="00CB0DD7" w:rsidRPr="000A0A5F" w:rsidRDefault="00005D57" w:rsidP="00005D57">
      <w:pPr>
        <w:pStyle w:val="PL"/>
      </w:pPr>
      <w:r w:rsidRPr="000A0A5F">
        <w:t xml:space="preserve">            </w:t>
      </w:r>
      <w:r w:rsidR="00CB0DD7" w:rsidRPr="000A0A5F">
        <w:t xml:space="preserve">23.682) </w:t>
      </w:r>
      <w:r w:rsidRPr="000A0A5F">
        <w:rPr>
          <w:lang w:eastAsia="zh-CN"/>
        </w:rPr>
        <w:t>acknowledg</w:t>
      </w:r>
      <w:r w:rsidR="00E3668B" w:rsidRPr="000A0A5F">
        <w:rPr>
          <w:lang w:eastAsia="zh-CN"/>
        </w:rPr>
        <w:t>e</w:t>
      </w:r>
      <w:r w:rsidRPr="000A0A5F">
        <w:rPr>
          <w:lang w:eastAsia="zh-CN"/>
        </w:rPr>
        <w:t>ment is requested</w:t>
      </w:r>
      <w:r w:rsidRPr="000A0A5F">
        <w:t xml:space="preserve"> (</w:t>
      </w:r>
      <w:r w:rsidRPr="000A0A5F">
        <w:rPr>
          <w:lang w:eastAsia="zh-CN"/>
        </w:rPr>
        <w:t>true</w:t>
      </w:r>
      <w:r w:rsidRPr="000A0A5F">
        <w:t>) or not (</w:t>
      </w:r>
      <w:r w:rsidRPr="000A0A5F">
        <w:rPr>
          <w:lang w:eastAsia="zh-CN"/>
        </w:rPr>
        <w:t xml:space="preserve">false). </w:t>
      </w:r>
      <w:r w:rsidRPr="000A0A5F">
        <w:t>Default value is false.</w:t>
      </w:r>
    </w:p>
    <w:p w:rsidR="00CB0DD7" w:rsidRPr="000A0A5F" w:rsidRDefault="00CB0DD7">
      <w:pPr>
        <w:pStyle w:val="PL"/>
      </w:pPr>
      <w:r w:rsidRPr="000A0A5F">
        <w:t xml:space="preserve">        rdsPort:</w:t>
      </w:r>
    </w:p>
    <w:p w:rsidR="00CB0DD7" w:rsidRPr="000A0A5F" w:rsidRDefault="00CB0DD7">
      <w:pPr>
        <w:pStyle w:val="PL"/>
      </w:pPr>
      <w:r w:rsidRPr="000A0A5F">
        <w:t xml:space="preserve">          $ref: '#/components/schemas/RdsPort'</w:t>
      </w:r>
    </w:p>
    <w:p w:rsidR="00CB0DD7" w:rsidRPr="000A0A5F" w:rsidRDefault="00CB0DD7">
      <w:pPr>
        <w:pStyle w:val="PL"/>
      </w:pPr>
      <w:r w:rsidRPr="000A0A5F">
        <w:t xml:space="preserve">        maximumLatency:</w:t>
      </w:r>
    </w:p>
    <w:p w:rsidR="00CB0DD7" w:rsidRPr="000A0A5F" w:rsidRDefault="00CB0DD7">
      <w:pPr>
        <w:pStyle w:val="PL"/>
      </w:pPr>
      <w:r w:rsidRPr="000A0A5F">
        <w:t xml:space="preserve">          $ref: 'TS29122_CommonData.yaml#/components/schemas/DurationSec'</w:t>
      </w:r>
    </w:p>
    <w:p w:rsidR="00CB0DD7" w:rsidRPr="000A0A5F" w:rsidRDefault="00CB0DD7">
      <w:pPr>
        <w:pStyle w:val="PL"/>
      </w:pPr>
      <w:r w:rsidRPr="000A0A5F">
        <w:t xml:space="preserve">        priority:</w:t>
      </w:r>
    </w:p>
    <w:p w:rsidR="00CB0DD7" w:rsidRPr="000A0A5F" w:rsidRDefault="00CB0DD7">
      <w:pPr>
        <w:pStyle w:val="PL"/>
      </w:pPr>
      <w:r w:rsidRPr="000A0A5F">
        <w:t xml:space="preserve">          type: integer</w:t>
      </w:r>
    </w:p>
    <w:p w:rsidR="000E4E99" w:rsidRPr="000A0A5F" w:rsidRDefault="00CB0DD7">
      <w:pPr>
        <w:pStyle w:val="PL"/>
      </w:pPr>
      <w:r w:rsidRPr="000A0A5F">
        <w:t xml:space="preserve">          description: </w:t>
      </w:r>
      <w:r w:rsidR="000E4E99" w:rsidRPr="000A0A5F">
        <w:t>&gt;</w:t>
      </w:r>
    </w:p>
    <w:p w:rsidR="000E4E99" w:rsidRPr="000A0A5F" w:rsidRDefault="000E4E99">
      <w:pPr>
        <w:pStyle w:val="PL"/>
      </w:pPr>
      <w:r w:rsidRPr="000A0A5F">
        <w:t xml:space="preserve">            </w:t>
      </w:r>
      <w:r w:rsidR="00CB0DD7" w:rsidRPr="000A0A5F">
        <w:t>It is used to indicate the priority of the non-IP data packet relative to other</w:t>
      </w:r>
    </w:p>
    <w:p w:rsidR="00CB0DD7" w:rsidRPr="000A0A5F" w:rsidRDefault="000E4E99">
      <w:pPr>
        <w:pStyle w:val="PL"/>
      </w:pPr>
      <w:r w:rsidRPr="000A0A5F">
        <w:t xml:space="preserve">           </w:t>
      </w:r>
      <w:r w:rsidR="00CB0DD7" w:rsidRPr="000A0A5F">
        <w:t xml:space="preserve"> non-IP data packets.</w:t>
      </w:r>
    </w:p>
    <w:p w:rsidR="00CB0DD7" w:rsidRPr="000A0A5F" w:rsidRDefault="00CB0DD7">
      <w:pPr>
        <w:pStyle w:val="PL"/>
      </w:pPr>
      <w:r w:rsidRPr="000A0A5F">
        <w:t xml:space="preserve">        pdnEstablishmentOption:</w:t>
      </w:r>
    </w:p>
    <w:p w:rsidR="00CB0DD7" w:rsidRPr="000A0A5F" w:rsidRDefault="00CB0DD7">
      <w:pPr>
        <w:pStyle w:val="PL"/>
      </w:pPr>
      <w:r w:rsidRPr="000A0A5F">
        <w:t xml:space="preserve">          $ref: '#/components/schemas/PdnEstablishmentOptions'</w:t>
      </w:r>
    </w:p>
    <w:p w:rsidR="00CB0DD7" w:rsidRPr="000A0A5F" w:rsidRDefault="00CB0DD7">
      <w:pPr>
        <w:pStyle w:val="PL"/>
      </w:pPr>
      <w:r w:rsidRPr="000A0A5F">
        <w:t xml:space="preserve">        deliveryStatus:</w:t>
      </w:r>
    </w:p>
    <w:p w:rsidR="00CB0DD7" w:rsidRPr="000A0A5F" w:rsidRDefault="00CB0DD7">
      <w:pPr>
        <w:pStyle w:val="PL"/>
      </w:pPr>
      <w:r w:rsidRPr="000A0A5F">
        <w:t xml:space="preserve">          $ref: '#/components/schemas/DeliveryStatus'</w:t>
      </w:r>
    </w:p>
    <w:p w:rsidR="00CB0DD7" w:rsidRPr="000A0A5F" w:rsidRDefault="00CB0DD7">
      <w:pPr>
        <w:pStyle w:val="PL"/>
      </w:pPr>
      <w:r w:rsidRPr="000A0A5F">
        <w:t xml:space="preserve">        requestedRetransmissionTime:</w:t>
      </w:r>
    </w:p>
    <w:p w:rsidR="00CB0DD7" w:rsidRPr="000A0A5F" w:rsidRDefault="00CB0DD7">
      <w:pPr>
        <w:pStyle w:val="PL"/>
      </w:pPr>
      <w:r w:rsidRPr="000A0A5F">
        <w:t xml:space="preserve">          $ref: 'TS29122_CommonData.yaml#/components/schemas/DateTime'</w:t>
      </w:r>
    </w:p>
    <w:p w:rsidR="00CB0DD7" w:rsidRPr="000A0A5F" w:rsidRDefault="00CB0DD7">
      <w:pPr>
        <w:pStyle w:val="PL"/>
      </w:pPr>
      <w:r w:rsidRPr="000A0A5F">
        <w:t xml:space="preserve">      required:</w:t>
      </w:r>
    </w:p>
    <w:p w:rsidR="00CB0DD7" w:rsidRPr="000A0A5F" w:rsidRDefault="00CB0DD7">
      <w:pPr>
        <w:pStyle w:val="PL"/>
      </w:pPr>
      <w:r w:rsidRPr="000A0A5F">
        <w:t xml:space="preserve">        - data</w:t>
      </w:r>
    </w:p>
    <w:p w:rsidR="00CB0DD7" w:rsidRPr="000A0A5F" w:rsidRDefault="00CB0DD7">
      <w:pPr>
        <w:pStyle w:val="PL"/>
      </w:pPr>
      <w:r w:rsidRPr="000A0A5F">
        <w:t xml:space="preserve">      oneOf:</w:t>
      </w:r>
    </w:p>
    <w:p w:rsidR="00CB0DD7" w:rsidRPr="000A0A5F" w:rsidRDefault="00CB0DD7">
      <w:pPr>
        <w:pStyle w:val="PL"/>
      </w:pPr>
      <w:r w:rsidRPr="000A0A5F">
        <w:t xml:space="preserve">        - required: [externalId]</w:t>
      </w:r>
    </w:p>
    <w:p w:rsidR="00CB0DD7" w:rsidRPr="000A0A5F" w:rsidRDefault="00CB0DD7">
      <w:pPr>
        <w:pStyle w:val="PL"/>
      </w:pPr>
      <w:r w:rsidRPr="000A0A5F">
        <w:t xml:space="preserve">        - required: [msisdn]</w:t>
      </w:r>
    </w:p>
    <w:p w:rsidR="00CB0DD7" w:rsidRPr="000A0A5F" w:rsidRDefault="00CB0DD7">
      <w:pPr>
        <w:pStyle w:val="PL"/>
      </w:pPr>
      <w:r w:rsidRPr="000A0A5F">
        <w:t xml:space="preserve">        - required: [externalGroupId]</w:t>
      </w:r>
    </w:p>
    <w:p w:rsidR="000E4E99" w:rsidRPr="000A0A5F" w:rsidRDefault="000E4E99">
      <w:pPr>
        <w:pStyle w:val="PL"/>
      </w:pPr>
    </w:p>
    <w:p w:rsidR="00CB0DD7" w:rsidRPr="000A0A5F" w:rsidRDefault="00CB0DD7">
      <w:pPr>
        <w:pStyle w:val="PL"/>
      </w:pPr>
      <w:r w:rsidRPr="000A0A5F">
        <w:t xml:space="preserve">    NiddUplinkDataNotification:</w:t>
      </w:r>
    </w:p>
    <w:p w:rsidR="00CB0DD7" w:rsidRPr="000A0A5F" w:rsidRDefault="00CB0DD7">
      <w:pPr>
        <w:pStyle w:val="PL"/>
      </w:pPr>
      <w:r w:rsidRPr="000A0A5F">
        <w:t xml:space="preserve">      description: Represents NIDD uplink data to be notified to the SCS/AS</w:t>
      </w:r>
      <w:r w:rsidRPr="000A0A5F">
        <w:rPr>
          <w:lang w:val="en-US" w:eastAsia="zh-CN"/>
        </w:rPr>
        <w:t>.</w:t>
      </w:r>
    </w:p>
    <w:p w:rsidR="00CB0DD7" w:rsidRPr="000A0A5F" w:rsidRDefault="00CB0DD7">
      <w:pPr>
        <w:pStyle w:val="PL"/>
      </w:pPr>
      <w:r w:rsidRPr="000A0A5F">
        <w:t xml:space="preserve">      type: object</w:t>
      </w:r>
    </w:p>
    <w:p w:rsidR="00CB0DD7" w:rsidRPr="000A0A5F" w:rsidRDefault="00CB0DD7">
      <w:pPr>
        <w:pStyle w:val="PL"/>
      </w:pPr>
      <w:r w:rsidRPr="000A0A5F">
        <w:t xml:space="preserve">      properties:</w:t>
      </w:r>
    </w:p>
    <w:p w:rsidR="00CB0DD7" w:rsidRPr="000A0A5F" w:rsidRDefault="00CB0DD7">
      <w:pPr>
        <w:pStyle w:val="PL"/>
      </w:pPr>
      <w:r w:rsidRPr="000A0A5F">
        <w:t xml:space="preserve">        niddConfiguration:</w:t>
      </w:r>
    </w:p>
    <w:p w:rsidR="00CB0DD7" w:rsidRPr="000A0A5F" w:rsidRDefault="00CB0DD7">
      <w:pPr>
        <w:pStyle w:val="PL"/>
      </w:pPr>
      <w:r w:rsidRPr="000A0A5F">
        <w:t xml:space="preserve">          $ref: 'TS29122_CommonData.yaml#/components/schemas/Link'</w:t>
      </w:r>
    </w:p>
    <w:p w:rsidR="00CB0DD7" w:rsidRPr="000A0A5F" w:rsidRDefault="00CB0DD7">
      <w:pPr>
        <w:pStyle w:val="PL"/>
      </w:pPr>
      <w:r w:rsidRPr="000A0A5F">
        <w:t xml:space="preserve">        externalId:</w:t>
      </w:r>
    </w:p>
    <w:p w:rsidR="00CB0DD7" w:rsidRPr="000A0A5F" w:rsidRDefault="00CB0DD7">
      <w:pPr>
        <w:pStyle w:val="PL"/>
      </w:pPr>
      <w:r w:rsidRPr="000A0A5F">
        <w:t xml:space="preserve">          $ref: 'TS29122_CommonData.yaml#/components/schemas/ExternalId'</w:t>
      </w:r>
    </w:p>
    <w:p w:rsidR="00CB0DD7" w:rsidRPr="000A0A5F" w:rsidRDefault="00CB0DD7">
      <w:pPr>
        <w:pStyle w:val="PL"/>
      </w:pPr>
      <w:r w:rsidRPr="000A0A5F">
        <w:t xml:space="preserve">        msisdn:</w:t>
      </w:r>
    </w:p>
    <w:p w:rsidR="00CB0DD7" w:rsidRPr="000A0A5F" w:rsidRDefault="00CB0DD7">
      <w:pPr>
        <w:pStyle w:val="PL"/>
      </w:pPr>
      <w:r w:rsidRPr="000A0A5F">
        <w:t xml:space="preserve">          $ref: 'TS29122_CommonData.yaml#/components/schemas/Msisdn'</w:t>
      </w:r>
    </w:p>
    <w:p w:rsidR="00CB0DD7" w:rsidRPr="000A0A5F" w:rsidRDefault="00CB0DD7">
      <w:pPr>
        <w:pStyle w:val="PL"/>
      </w:pPr>
      <w:r w:rsidRPr="000A0A5F">
        <w:t xml:space="preserve">        data:</w:t>
      </w:r>
    </w:p>
    <w:p w:rsidR="00CB0DD7" w:rsidRPr="000A0A5F" w:rsidRDefault="00CB0DD7">
      <w:pPr>
        <w:pStyle w:val="PL"/>
      </w:pPr>
      <w:r w:rsidRPr="000A0A5F">
        <w:t xml:space="preserve">          $ref: 'TS29122_CommonData.yaml#/components/schemas/Bytes'</w:t>
      </w:r>
    </w:p>
    <w:p w:rsidR="00CB0DD7" w:rsidRPr="000A0A5F" w:rsidRDefault="00CB0DD7">
      <w:pPr>
        <w:pStyle w:val="PL"/>
      </w:pPr>
      <w:r w:rsidRPr="000A0A5F">
        <w:t xml:space="preserve">        reliableDataService:</w:t>
      </w:r>
    </w:p>
    <w:p w:rsidR="00CB0DD7" w:rsidRPr="000A0A5F" w:rsidRDefault="00CB0DD7">
      <w:pPr>
        <w:pStyle w:val="PL"/>
      </w:pPr>
      <w:r w:rsidRPr="000A0A5F">
        <w:t xml:space="preserve">          type: boolean</w:t>
      </w:r>
    </w:p>
    <w:p w:rsidR="00005D57" w:rsidRPr="000A0A5F" w:rsidRDefault="00CB0DD7" w:rsidP="00005D57">
      <w:pPr>
        <w:pStyle w:val="PL"/>
      </w:pPr>
      <w:r w:rsidRPr="000A0A5F">
        <w:t xml:space="preserve">          description: </w:t>
      </w:r>
      <w:r w:rsidR="00005D57" w:rsidRPr="000A0A5F">
        <w:t>&gt;</w:t>
      </w:r>
    </w:p>
    <w:p w:rsidR="00005D57" w:rsidRPr="000A0A5F" w:rsidRDefault="00005D57" w:rsidP="00005D57">
      <w:pPr>
        <w:pStyle w:val="PL"/>
        <w:rPr>
          <w:lang w:eastAsia="zh-CN"/>
        </w:rPr>
      </w:pPr>
      <w:r w:rsidRPr="000A0A5F">
        <w:t xml:space="preserve">            </w:t>
      </w:r>
      <w:r w:rsidR="00CB0DD7" w:rsidRPr="000A0A5F">
        <w:t xml:space="preserve">Indicates whether the reliable data service </w:t>
      </w:r>
      <w:r w:rsidRPr="000A0A5F">
        <w:rPr>
          <w:lang w:eastAsia="zh-CN"/>
        </w:rPr>
        <w:t>acknowledg</w:t>
      </w:r>
      <w:r w:rsidR="00DB6559" w:rsidRPr="000A0A5F">
        <w:rPr>
          <w:lang w:eastAsia="zh-CN"/>
        </w:rPr>
        <w:t>e</w:t>
      </w:r>
      <w:r w:rsidRPr="000A0A5F">
        <w:rPr>
          <w:lang w:eastAsia="zh-CN"/>
        </w:rPr>
        <w:t>ment is requested</w:t>
      </w:r>
      <w:r w:rsidRPr="000A0A5F">
        <w:t xml:space="preserve"> (</w:t>
      </w:r>
      <w:r w:rsidRPr="000A0A5F">
        <w:rPr>
          <w:lang w:eastAsia="zh-CN"/>
        </w:rPr>
        <w:t>true</w:t>
      </w:r>
      <w:r w:rsidRPr="000A0A5F">
        <w:t>) or</w:t>
      </w:r>
    </w:p>
    <w:p w:rsidR="00CB0DD7" w:rsidRPr="000A0A5F" w:rsidRDefault="00005D57" w:rsidP="00005D57">
      <w:pPr>
        <w:pStyle w:val="PL"/>
      </w:pPr>
      <w:r w:rsidRPr="000A0A5F">
        <w:t xml:space="preserve">            not (</w:t>
      </w:r>
      <w:r w:rsidRPr="000A0A5F">
        <w:rPr>
          <w:lang w:eastAsia="zh-CN"/>
        </w:rPr>
        <w:t>false).</w:t>
      </w:r>
    </w:p>
    <w:p w:rsidR="00CB0DD7" w:rsidRPr="000A0A5F" w:rsidRDefault="00CB0DD7">
      <w:pPr>
        <w:pStyle w:val="PL"/>
      </w:pPr>
      <w:r w:rsidRPr="000A0A5F">
        <w:t xml:space="preserve">        rdsPort:</w:t>
      </w:r>
    </w:p>
    <w:p w:rsidR="00CB0DD7" w:rsidRPr="000A0A5F" w:rsidRDefault="00CB0DD7">
      <w:pPr>
        <w:pStyle w:val="PL"/>
      </w:pPr>
      <w:r w:rsidRPr="000A0A5F">
        <w:t xml:space="preserve">          $ref: '#/components/schemas/RdsPort'</w:t>
      </w:r>
    </w:p>
    <w:p w:rsidR="00CB0DD7" w:rsidRPr="000A0A5F" w:rsidRDefault="00CB0DD7">
      <w:pPr>
        <w:pStyle w:val="PL"/>
      </w:pPr>
      <w:r w:rsidRPr="000A0A5F">
        <w:t xml:space="preserve">      required:</w:t>
      </w:r>
    </w:p>
    <w:p w:rsidR="00CB0DD7" w:rsidRPr="000A0A5F" w:rsidRDefault="00CB0DD7">
      <w:pPr>
        <w:pStyle w:val="PL"/>
      </w:pPr>
      <w:r w:rsidRPr="000A0A5F">
        <w:t xml:space="preserve">        - niddConfiguration</w:t>
      </w:r>
    </w:p>
    <w:p w:rsidR="00CB0DD7" w:rsidRPr="000A0A5F" w:rsidRDefault="00CB0DD7">
      <w:pPr>
        <w:pStyle w:val="PL"/>
      </w:pPr>
      <w:r w:rsidRPr="000A0A5F">
        <w:t xml:space="preserve">        - data</w:t>
      </w:r>
    </w:p>
    <w:p w:rsidR="00CB0DD7" w:rsidRPr="000A0A5F" w:rsidRDefault="00CB0DD7">
      <w:pPr>
        <w:pStyle w:val="PL"/>
      </w:pPr>
      <w:r w:rsidRPr="000A0A5F">
        <w:t xml:space="preserve">      oneOf:</w:t>
      </w:r>
    </w:p>
    <w:p w:rsidR="00CB0DD7" w:rsidRPr="000A0A5F" w:rsidRDefault="00CB0DD7">
      <w:pPr>
        <w:pStyle w:val="PL"/>
      </w:pPr>
      <w:r w:rsidRPr="000A0A5F">
        <w:t xml:space="preserve">        - required: [externalId]</w:t>
      </w:r>
    </w:p>
    <w:p w:rsidR="00CB0DD7" w:rsidRPr="000A0A5F" w:rsidRDefault="00CB0DD7">
      <w:pPr>
        <w:pStyle w:val="PL"/>
      </w:pPr>
      <w:r w:rsidRPr="000A0A5F">
        <w:t xml:space="preserve">        - required: [msisdn]</w:t>
      </w:r>
    </w:p>
    <w:p w:rsidR="000E4E99" w:rsidRPr="000A0A5F" w:rsidRDefault="000E4E99">
      <w:pPr>
        <w:pStyle w:val="PL"/>
      </w:pPr>
    </w:p>
    <w:p w:rsidR="00CB0DD7" w:rsidRPr="000A0A5F" w:rsidRDefault="00CB0DD7">
      <w:pPr>
        <w:pStyle w:val="PL"/>
      </w:pPr>
      <w:r w:rsidRPr="000A0A5F">
        <w:t xml:space="preserve">    NiddDownlinkDataDeliveryStatusNotification:</w:t>
      </w:r>
    </w:p>
    <w:p w:rsidR="00CB0DD7" w:rsidRPr="000A0A5F" w:rsidRDefault="00CB0DD7">
      <w:pPr>
        <w:pStyle w:val="PL"/>
      </w:pPr>
      <w:r w:rsidRPr="000A0A5F">
        <w:t xml:space="preserve">      description: Represents the delivery status of a specific NIDD downlink data delivery</w:t>
      </w:r>
      <w:r w:rsidRPr="000A0A5F">
        <w:rPr>
          <w:lang w:val="en-US" w:eastAsia="zh-CN"/>
        </w:rPr>
        <w:t>.</w:t>
      </w:r>
    </w:p>
    <w:p w:rsidR="00CB0DD7" w:rsidRPr="000A0A5F" w:rsidRDefault="00CB0DD7">
      <w:pPr>
        <w:pStyle w:val="PL"/>
      </w:pPr>
      <w:r w:rsidRPr="000A0A5F">
        <w:t xml:space="preserve">      type: object</w:t>
      </w:r>
    </w:p>
    <w:p w:rsidR="00CB0DD7" w:rsidRPr="000A0A5F" w:rsidRDefault="00CB0DD7">
      <w:pPr>
        <w:pStyle w:val="PL"/>
      </w:pPr>
      <w:r w:rsidRPr="000A0A5F">
        <w:t xml:space="preserve">      properties:</w:t>
      </w:r>
    </w:p>
    <w:p w:rsidR="00CB0DD7" w:rsidRPr="000A0A5F" w:rsidRDefault="00CB0DD7">
      <w:pPr>
        <w:pStyle w:val="PL"/>
      </w:pPr>
      <w:r w:rsidRPr="000A0A5F">
        <w:t xml:space="preserve">        niddDownlinkDataTransfer:</w:t>
      </w:r>
    </w:p>
    <w:p w:rsidR="00CB0DD7" w:rsidRPr="000A0A5F" w:rsidRDefault="00CB0DD7">
      <w:pPr>
        <w:pStyle w:val="PL"/>
      </w:pPr>
      <w:r w:rsidRPr="000A0A5F">
        <w:t xml:space="preserve">          $ref: 'TS29122_CommonData.yaml#/components/schemas/Link'</w:t>
      </w:r>
    </w:p>
    <w:p w:rsidR="00CB0DD7" w:rsidRPr="000A0A5F" w:rsidRDefault="00CB0DD7">
      <w:pPr>
        <w:pStyle w:val="PL"/>
      </w:pPr>
      <w:r w:rsidRPr="000A0A5F">
        <w:t xml:space="preserve">        deliveryStatus:</w:t>
      </w:r>
    </w:p>
    <w:p w:rsidR="00CB0DD7" w:rsidRPr="000A0A5F" w:rsidRDefault="00CB0DD7">
      <w:pPr>
        <w:pStyle w:val="PL"/>
      </w:pPr>
      <w:r w:rsidRPr="000A0A5F">
        <w:t xml:space="preserve">          $ref: '#/components/schemas/DeliveryStatus'</w:t>
      </w:r>
    </w:p>
    <w:p w:rsidR="00CB0DD7" w:rsidRPr="000A0A5F" w:rsidRDefault="00CB0DD7">
      <w:pPr>
        <w:pStyle w:val="PL"/>
      </w:pPr>
      <w:r w:rsidRPr="000A0A5F">
        <w:t xml:space="preserve">        requestedRetransmissionTime:</w:t>
      </w:r>
    </w:p>
    <w:p w:rsidR="00CB0DD7" w:rsidRPr="000A0A5F" w:rsidRDefault="00CB0DD7">
      <w:pPr>
        <w:pStyle w:val="PL"/>
      </w:pPr>
      <w:r w:rsidRPr="000A0A5F">
        <w:t xml:space="preserve">          $ref: 'TS29122_CommonData.yaml#/components/schemas/DateTime'</w:t>
      </w:r>
    </w:p>
    <w:p w:rsidR="00CB0DD7" w:rsidRPr="000A0A5F" w:rsidRDefault="00CB0DD7">
      <w:pPr>
        <w:pStyle w:val="PL"/>
      </w:pPr>
      <w:r w:rsidRPr="000A0A5F">
        <w:t xml:space="preserve">      required:</w:t>
      </w:r>
    </w:p>
    <w:p w:rsidR="00CB0DD7" w:rsidRPr="000A0A5F" w:rsidRDefault="00CB0DD7">
      <w:pPr>
        <w:pStyle w:val="PL"/>
      </w:pPr>
      <w:r w:rsidRPr="000A0A5F">
        <w:t xml:space="preserve">        - niddDownlinkDataTransfer</w:t>
      </w:r>
    </w:p>
    <w:p w:rsidR="00CB0DD7" w:rsidRPr="000A0A5F" w:rsidRDefault="00CB0DD7">
      <w:pPr>
        <w:pStyle w:val="PL"/>
      </w:pPr>
      <w:r w:rsidRPr="000A0A5F">
        <w:t xml:space="preserve">        - deliveryStatus</w:t>
      </w:r>
    </w:p>
    <w:p w:rsidR="000E4E99" w:rsidRPr="000A0A5F" w:rsidRDefault="000E4E99">
      <w:pPr>
        <w:pStyle w:val="PL"/>
      </w:pPr>
    </w:p>
    <w:p w:rsidR="00CB0DD7" w:rsidRPr="000A0A5F" w:rsidRDefault="00CB0DD7">
      <w:pPr>
        <w:pStyle w:val="PL"/>
      </w:pPr>
      <w:r w:rsidRPr="000A0A5F">
        <w:t xml:space="preserve">    NiddConfigurationStatusNotification:</w:t>
      </w:r>
    </w:p>
    <w:p w:rsidR="00CB0DD7" w:rsidRPr="000A0A5F" w:rsidRDefault="00CB0DD7">
      <w:pPr>
        <w:pStyle w:val="PL"/>
      </w:pPr>
      <w:r w:rsidRPr="000A0A5F">
        <w:t xml:space="preserve">      description: Represents </w:t>
      </w:r>
      <w:r w:rsidRPr="000A0A5F">
        <w:rPr>
          <w:rFonts w:hint="eastAsia"/>
          <w:lang w:eastAsia="zh-CN"/>
        </w:rPr>
        <w:t xml:space="preserve">an NIDD configuration status </w:t>
      </w:r>
      <w:r w:rsidRPr="000A0A5F">
        <w:rPr>
          <w:lang w:eastAsia="zh-CN"/>
        </w:rPr>
        <w:t>notification</w:t>
      </w:r>
      <w:r w:rsidRPr="000A0A5F">
        <w:rPr>
          <w:lang w:val="en-US" w:eastAsia="zh-CN"/>
        </w:rPr>
        <w:t>.</w:t>
      </w:r>
    </w:p>
    <w:p w:rsidR="00CB0DD7" w:rsidRPr="000A0A5F" w:rsidRDefault="00CB0DD7">
      <w:pPr>
        <w:pStyle w:val="PL"/>
      </w:pPr>
      <w:r w:rsidRPr="000A0A5F">
        <w:t xml:space="preserve">      type: object</w:t>
      </w:r>
    </w:p>
    <w:p w:rsidR="00CB0DD7" w:rsidRPr="000A0A5F" w:rsidRDefault="00CB0DD7">
      <w:pPr>
        <w:pStyle w:val="PL"/>
      </w:pPr>
      <w:r w:rsidRPr="000A0A5F">
        <w:t xml:space="preserve">      properties:</w:t>
      </w:r>
    </w:p>
    <w:p w:rsidR="00CB0DD7" w:rsidRPr="000A0A5F" w:rsidRDefault="00CB0DD7">
      <w:pPr>
        <w:pStyle w:val="PL"/>
      </w:pPr>
      <w:r w:rsidRPr="000A0A5F">
        <w:t xml:space="preserve">        niddConfiguration:</w:t>
      </w:r>
    </w:p>
    <w:p w:rsidR="00CB0DD7" w:rsidRPr="000A0A5F" w:rsidRDefault="00CB0DD7">
      <w:pPr>
        <w:pStyle w:val="PL"/>
      </w:pPr>
      <w:r w:rsidRPr="000A0A5F">
        <w:t xml:space="preserve">          $ref: 'TS29122_CommonData.yaml#/components/schemas/Link'</w:t>
      </w:r>
    </w:p>
    <w:p w:rsidR="00CB0DD7" w:rsidRPr="000A0A5F" w:rsidRDefault="00CB0DD7">
      <w:pPr>
        <w:pStyle w:val="PL"/>
      </w:pPr>
      <w:r w:rsidRPr="000A0A5F">
        <w:t xml:space="preserve">        externalId:</w:t>
      </w:r>
    </w:p>
    <w:p w:rsidR="00CB0DD7" w:rsidRPr="000A0A5F" w:rsidRDefault="00CB0DD7">
      <w:pPr>
        <w:pStyle w:val="PL"/>
      </w:pPr>
      <w:r w:rsidRPr="000A0A5F">
        <w:t xml:space="preserve">          $ref: 'TS29122_CommonData.yaml#/components/schemas/ExternalId'</w:t>
      </w:r>
    </w:p>
    <w:p w:rsidR="00CB0DD7" w:rsidRPr="000A0A5F" w:rsidRDefault="00CB0DD7">
      <w:pPr>
        <w:pStyle w:val="PL"/>
      </w:pPr>
      <w:r w:rsidRPr="000A0A5F">
        <w:t xml:space="preserve">        msisdn:</w:t>
      </w:r>
    </w:p>
    <w:p w:rsidR="00CB0DD7" w:rsidRPr="000A0A5F" w:rsidRDefault="00CB0DD7">
      <w:pPr>
        <w:pStyle w:val="PL"/>
      </w:pPr>
      <w:r w:rsidRPr="000A0A5F">
        <w:t xml:space="preserve">          $ref: 'TS29122_CommonData.yaml#/components/schemas/Msisdn'</w:t>
      </w:r>
    </w:p>
    <w:p w:rsidR="00CB0DD7" w:rsidRPr="000A0A5F" w:rsidRDefault="00CB0DD7">
      <w:pPr>
        <w:pStyle w:val="PL"/>
      </w:pPr>
      <w:r w:rsidRPr="000A0A5F">
        <w:t xml:space="preserve">        status:</w:t>
      </w:r>
    </w:p>
    <w:p w:rsidR="00CB0DD7" w:rsidRPr="000A0A5F" w:rsidRDefault="00CB0DD7">
      <w:pPr>
        <w:pStyle w:val="PL"/>
      </w:pPr>
      <w:r w:rsidRPr="000A0A5F">
        <w:t xml:space="preserve">          $ref: '#/components/schemas/NiddStatus'</w:t>
      </w:r>
    </w:p>
    <w:p w:rsidR="00CB0DD7" w:rsidRPr="000A0A5F" w:rsidRDefault="00CB0DD7">
      <w:pPr>
        <w:pStyle w:val="PL"/>
      </w:pPr>
      <w:r w:rsidRPr="000A0A5F">
        <w:t xml:space="preserve">        rdsCapIndication:</w:t>
      </w:r>
    </w:p>
    <w:p w:rsidR="00CB0DD7" w:rsidRPr="000A0A5F" w:rsidRDefault="00CB0DD7">
      <w:pPr>
        <w:pStyle w:val="PL"/>
      </w:pPr>
      <w:r w:rsidRPr="000A0A5F">
        <w:t xml:space="preserve">          type: boolean</w:t>
      </w:r>
    </w:p>
    <w:p w:rsidR="000E4E99" w:rsidRPr="000A0A5F" w:rsidRDefault="00CB0DD7">
      <w:pPr>
        <w:pStyle w:val="PL"/>
      </w:pPr>
      <w:r w:rsidRPr="000A0A5F">
        <w:t xml:space="preserve">          description: </w:t>
      </w:r>
      <w:r w:rsidR="000E4E99" w:rsidRPr="000A0A5F">
        <w:t>&gt;</w:t>
      </w:r>
    </w:p>
    <w:p w:rsidR="000E4E99" w:rsidRPr="000A0A5F" w:rsidRDefault="000E4E99">
      <w:pPr>
        <w:pStyle w:val="PL"/>
        <w:rPr>
          <w:rFonts w:cs="Arial"/>
          <w:szCs w:val="18"/>
          <w:lang w:eastAsia="zh-CN"/>
        </w:rPr>
      </w:pPr>
      <w:r w:rsidRPr="000A0A5F">
        <w:t xml:space="preserve">            </w:t>
      </w:r>
      <w:r w:rsidR="00CB0DD7" w:rsidRPr="000A0A5F">
        <w:rPr>
          <w:rFonts w:cs="Arial"/>
          <w:szCs w:val="18"/>
          <w:lang w:eastAsia="zh-CN"/>
        </w:rPr>
        <w:t>It indicates whether the network capability for the reliable data service is enabled</w:t>
      </w:r>
    </w:p>
    <w:p w:rsidR="00CB0DD7" w:rsidRPr="000A0A5F" w:rsidRDefault="000E4E99">
      <w:pPr>
        <w:pStyle w:val="PL"/>
      </w:pPr>
      <w:r w:rsidRPr="000A0A5F">
        <w:t xml:space="preserve">           </w:t>
      </w:r>
      <w:r w:rsidR="00CB0DD7" w:rsidRPr="000A0A5F">
        <w:rPr>
          <w:rFonts w:cs="Arial"/>
          <w:szCs w:val="18"/>
          <w:lang w:eastAsia="zh-CN"/>
        </w:rPr>
        <w:t xml:space="preserve"> or not.</w:t>
      </w:r>
    </w:p>
    <w:p w:rsidR="00CB0DD7" w:rsidRPr="000A0A5F" w:rsidRDefault="00CB0DD7">
      <w:pPr>
        <w:pStyle w:val="PL"/>
      </w:pPr>
      <w:r w:rsidRPr="000A0A5F">
        <w:t xml:space="preserve">        rdsPort:</w:t>
      </w:r>
    </w:p>
    <w:p w:rsidR="00CB0DD7" w:rsidRPr="000A0A5F" w:rsidRDefault="00CB0DD7">
      <w:pPr>
        <w:pStyle w:val="PL"/>
      </w:pPr>
      <w:r w:rsidRPr="000A0A5F">
        <w:t xml:space="preserve">          $ref: '#/components/schemas/RdsPort'</w:t>
      </w:r>
    </w:p>
    <w:p w:rsidR="00CB0DD7" w:rsidRPr="000A0A5F" w:rsidRDefault="00CB0DD7">
      <w:pPr>
        <w:pStyle w:val="PL"/>
      </w:pPr>
      <w:r w:rsidRPr="000A0A5F">
        <w:t xml:space="preserve">      required:</w:t>
      </w:r>
    </w:p>
    <w:p w:rsidR="00CB0DD7" w:rsidRPr="000A0A5F" w:rsidRDefault="00CB0DD7">
      <w:pPr>
        <w:pStyle w:val="PL"/>
      </w:pPr>
      <w:r w:rsidRPr="000A0A5F">
        <w:t xml:space="preserve">        - niddConfiguration</w:t>
      </w:r>
    </w:p>
    <w:p w:rsidR="00CB0DD7" w:rsidRPr="000A0A5F" w:rsidRDefault="00CB0DD7">
      <w:pPr>
        <w:pStyle w:val="PL"/>
      </w:pPr>
      <w:r w:rsidRPr="000A0A5F">
        <w:t xml:space="preserve">        - status</w:t>
      </w:r>
    </w:p>
    <w:p w:rsidR="00CB0DD7" w:rsidRPr="000A0A5F" w:rsidRDefault="00CB0DD7">
      <w:pPr>
        <w:pStyle w:val="PL"/>
      </w:pPr>
      <w:r w:rsidRPr="000A0A5F">
        <w:t xml:space="preserve">      oneOf:</w:t>
      </w:r>
    </w:p>
    <w:p w:rsidR="00CB0DD7" w:rsidRPr="000A0A5F" w:rsidRDefault="00CB0DD7">
      <w:pPr>
        <w:pStyle w:val="PL"/>
      </w:pPr>
      <w:r w:rsidRPr="000A0A5F">
        <w:t xml:space="preserve">        - required: [externalId]</w:t>
      </w:r>
    </w:p>
    <w:p w:rsidR="00CB0DD7" w:rsidRPr="000A0A5F" w:rsidRDefault="00CB0DD7">
      <w:pPr>
        <w:pStyle w:val="PL"/>
      </w:pPr>
      <w:r w:rsidRPr="000A0A5F">
        <w:t xml:space="preserve">        - required: [msisdn]</w:t>
      </w:r>
    </w:p>
    <w:p w:rsidR="000E4E99" w:rsidRPr="000A0A5F" w:rsidRDefault="000E4E99">
      <w:pPr>
        <w:pStyle w:val="PL"/>
      </w:pPr>
    </w:p>
    <w:p w:rsidR="00CB0DD7" w:rsidRPr="000A0A5F" w:rsidRDefault="00CB0DD7">
      <w:pPr>
        <w:pStyle w:val="PL"/>
      </w:pPr>
      <w:r w:rsidRPr="000A0A5F">
        <w:t xml:space="preserve">    GmdNiddDownlinkDataDeliveryNotification:</w:t>
      </w:r>
    </w:p>
    <w:p w:rsidR="00CB0DD7" w:rsidRPr="000A0A5F" w:rsidRDefault="00CB0DD7">
      <w:pPr>
        <w:pStyle w:val="PL"/>
      </w:pPr>
      <w:r w:rsidRPr="000A0A5F">
        <w:t xml:space="preserve">      description: Represents the delivery status of a specific group NIDD downlink data delivery</w:t>
      </w:r>
      <w:r w:rsidRPr="000A0A5F">
        <w:rPr>
          <w:lang w:val="en-US" w:eastAsia="zh-CN"/>
        </w:rPr>
        <w:t>.</w:t>
      </w:r>
    </w:p>
    <w:p w:rsidR="00CB0DD7" w:rsidRPr="000A0A5F" w:rsidRDefault="00CB0DD7">
      <w:pPr>
        <w:pStyle w:val="PL"/>
      </w:pPr>
      <w:r w:rsidRPr="000A0A5F">
        <w:t xml:space="preserve">      type: object</w:t>
      </w:r>
    </w:p>
    <w:p w:rsidR="00CB0DD7" w:rsidRPr="000A0A5F" w:rsidRDefault="00CB0DD7">
      <w:pPr>
        <w:pStyle w:val="PL"/>
      </w:pPr>
      <w:r w:rsidRPr="000A0A5F">
        <w:t xml:space="preserve">      properties:</w:t>
      </w:r>
    </w:p>
    <w:p w:rsidR="00CB0DD7" w:rsidRPr="000A0A5F" w:rsidRDefault="00CB0DD7">
      <w:pPr>
        <w:pStyle w:val="PL"/>
      </w:pPr>
      <w:r w:rsidRPr="000A0A5F">
        <w:t xml:space="preserve">        niddDownlinkDataTransfer:</w:t>
      </w:r>
    </w:p>
    <w:p w:rsidR="00CB0DD7" w:rsidRPr="000A0A5F" w:rsidRDefault="00CB0DD7">
      <w:pPr>
        <w:pStyle w:val="PL"/>
      </w:pPr>
      <w:r w:rsidRPr="000A0A5F">
        <w:t xml:space="preserve">          $ref: 'TS29122_CommonData.yaml#/components/schemas/Link'</w:t>
      </w:r>
    </w:p>
    <w:p w:rsidR="00CB0DD7" w:rsidRPr="000A0A5F" w:rsidRDefault="00CB0DD7">
      <w:pPr>
        <w:pStyle w:val="PL"/>
      </w:pPr>
      <w:r w:rsidRPr="000A0A5F">
        <w:t xml:space="preserve">        gmdResults:</w:t>
      </w:r>
    </w:p>
    <w:p w:rsidR="00CB0DD7" w:rsidRPr="000A0A5F" w:rsidRDefault="00CB0DD7">
      <w:pPr>
        <w:pStyle w:val="PL"/>
      </w:pPr>
      <w:r w:rsidRPr="000A0A5F">
        <w:rPr>
          <w:lang w:val="en-US"/>
        </w:rPr>
        <w:t xml:space="preserve">          </w:t>
      </w:r>
      <w:r w:rsidRPr="000A0A5F">
        <w:t>type: array</w:t>
      </w:r>
    </w:p>
    <w:p w:rsidR="00CB0DD7" w:rsidRPr="000A0A5F" w:rsidRDefault="00CB0DD7">
      <w:pPr>
        <w:pStyle w:val="PL"/>
      </w:pPr>
      <w:r w:rsidRPr="000A0A5F">
        <w:t xml:space="preserve">          items:</w:t>
      </w:r>
    </w:p>
    <w:p w:rsidR="00CB0DD7" w:rsidRPr="000A0A5F" w:rsidRDefault="00CB0DD7">
      <w:pPr>
        <w:pStyle w:val="PL"/>
      </w:pPr>
      <w:r w:rsidRPr="000A0A5F">
        <w:t xml:space="preserve">            $ref: '#/components/schemas/GmdResult'</w:t>
      </w:r>
    </w:p>
    <w:p w:rsidR="00CB0DD7" w:rsidRPr="000A0A5F" w:rsidRDefault="00CB0DD7">
      <w:pPr>
        <w:pStyle w:val="PL"/>
      </w:pPr>
      <w:r w:rsidRPr="000A0A5F">
        <w:t xml:space="preserve">          minItems: 1</w:t>
      </w:r>
    </w:p>
    <w:p w:rsidR="00CB0DD7" w:rsidRPr="000A0A5F" w:rsidRDefault="00CB0DD7">
      <w:pPr>
        <w:pStyle w:val="PL"/>
      </w:pPr>
      <w:r w:rsidRPr="000A0A5F">
        <w:t xml:space="preserve">          description: </w:t>
      </w:r>
      <w:r w:rsidRPr="000A0A5F">
        <w:rPr>
          <w:rFonts w:eastAsia="Times New Roman" w:cs="Arial"/>
          <w:szCs w:val="18"/>
        </w:rPr>
        <w:t>Indicates the group message delivery result</w:t>
      </w:r>
      <w:r w:rsidRPr="000A0A5F">
        <w:t>.</w:t>
      </w:r>
    </w:p>
    <w:p w:rsidR="00CB0DD7" w:rsidRPr="000A0A5F" w:rsidRDefault="00CB0DD7">
      <w:pPr>
        <w:pStyle w:val="PL"/>
      </w:pPr>
      <w:r w:rsidRPr="000A0A5F">
        <w:t xml:space="preserve">      required:</w:t>
      </w:r>
    </w:p>
    <w:p w:rsidR="00CB0DD7" w:rsidRPr="000A0A5F" w:rsidRDefault="00CB0DD7">
      <w:pPr>
        <w:pStyle w:val="PL"/>
      </w:pPr>
      <w:r w:rsidRPr="000A0A5F">
        <w:t xml:space="preserve">        - niddDownlinkDataTransfer</w:t>
      </w:r>
    </w:p>
    <w:p w:rsidR="00CB0DD7" w:rsidRPr="000A0A5F" w:rsidRDefault="00CB0DD7">
      <w:pPr>
        <w:pStyle w:val="PL"/>
      </w:pPr>
      <w:r w:rsidRPr="000A0A5F">
        <w:t xml:space="preserve">        - gmdResults</w:t>
      </w:r>
    </w:p>
    <w:p w:rsidR="000E4E99" w:rsidRPr="000A0A5F" w:rsidRDefault="000E4E99">
      <w:pPr>
        <w:pStyle w:val="PL"/>
      </w:pPr>
    </w:p>
    <w:p w:rsidR="00CB0DD7" w:rsidRPr="000A0A5F" w:rsidRDefault="00CB0DD7">
      <w:pPr>
        <w:pStyle w:val="PL"/>
      </w:pPr>
      <w:r w:rsidRPr="000A0A5F">
        <w:t xml:space="preserve">    RdsPort:</w:t>
      </w:r>
    </w:p>
    <w:p w:rsidR="00CB0DD7" w:rsidRPr="000A0A5F" w:rsidRDefault="00CB0DD7">
      <w:pPr>
        <w:pStyle w:val="PL"/>
      </w:pPr>
      <w:r w:rsidRPr="000A0A5F">
        <w:t xml:space="preserve">      description: Represents the port configuration for Reliable Data Transfer</w:t>
      </w:r>
      <w:r w:rsidRPr="000A0A5F">
        <w:rPr>
          <w:lang w:val="en-US" w:eastAsia="zh-CN"/>
        </w:rPr>
        <w:t>.</w:t>
      </w:r>
    </w:p>
    <w:p w:rsidR="00CB0DD7" w:rsidRPr="000A0A5F" w:rsidRDefault="00CB0DD7">
      <w:pPr>
        <w:pStyle w:val="PL"/>
      </w:pPr>
      <w:r w:rsidRPr="000A0A5F">
        <w:t xml:space="preserve">      type: object</w:t>
      </w:r>
    </w:p>
    <w:p w:rsidR="00CB0DD7" w:rsidRPr="000A0A5F" w:rsidRDefault="00CB0DD7">
      <w:pPr>
        <w:pStyle w:val="PL"/>
      </w:pPr>
      <w:r w:rsidRPr="000A0A5F">
        <w:t xml:space="preserve">      properties:</w:t>
      </w:r>
    </w:p>
    <w:p w:rsidR="00CB0DD7" w:rsidRPr="000A0A5F" w:rsidRDefault="00CB0DD7">
      <w:pPr>
        <w:pStyle w:val="PL"/>
      </w:pPr>
      <w:r w:rsidRPr="000A0A5F">
        <w:t xml:space="preserve">        portUE:</w:t>
      </w:r>
    </w:p>
    <w:p w:rsidR="00CB0DD7" w:rsidRPr="000A0A5F" w:rsidRDefault="00CB0DD7">
      <w:pPr>
        <w:pStyle w:val="PL"/>
      </w:pPr>
      <w:r w:rsidRPr="000A0A5F">
        <w:t xml:space="preserve">          $ref: 'TS29122_CommonData.yaml#/components/schemas/Port'</w:t>
      </w:r>
    </w:p>
    <w:p w:rsidR="00CB0DD7" w:rsidRPr="000A0A5F" w:rsidRDefault="00CB0DD7">
      <w:pPr>
        <w:pStyle w:val="PL"/>
      </w:pPr>
      <w:r w:rsidRPr="000A0A5F">
        <w:t xml:space="preserve">        portSCEF:</w:t>
      </w:r>
    </w:p>
    <w:p w:rsidR="00CB0DD7" w:rsidRPr="000A0A5F" w:rsidRDefault="00CB0DD7">
      <w:pPr>
        <w:pStyle w:val="PL"/>
      </w:pPr>
      <w:r w:rsidRPr="000A0A5F">
        <w:t xml:space="preserve">          $ref: 'TS29122_CommonData.yaml#/components/schemas/Port'</w:t>
      </w:r>
    </w:p>
    <w:p w:rsidR="00CB0DD7" w:rsidRPr="000A0A5F" w:rsidRDefault="00CB0DD7">
      <w:pPr>
        <w:pStyle w:val="PL"/>
      </w:pPr>
      <w:r w:rsidRPr="000A0A5F">
        <w:t xml:space="preserve">      required:</w:t>
      </w:r>
    </w:p>
    <w:p w:rsidR="00CB0DD7" w:rsidRPr="000A0A5F" w:rsidRDefault="00CB0DD7">
      <w:pPr>
        <w:pStyle w:val="PL"/>
      </w:pPr>
      <w:r w:rsidRPr="000A0A5F">
        <w:t xml:space="preserve">        - portUE</w:t>
      </w:r>
    </w:p>
    <w:p w:rsidR="00CB0DD7" w:rsidRPr="000A0A5F" w:rsidRDefault="00CB0DD7">
      <w:pPr>
        <w:pStyle w:val="PL"/>
      </w:pPr>
      <w:r w:rsidRPr="000A0A5F">
        <w:t xml:space="preserve">        - portSCEF</w:t>
      </w:r>
    </w:p>
    <w:p w:rsidR="000E4E99" w:rsidRPr="000A0A5F" w:rsidRDefault="000E4E99">
      <w:pPr>
        <w:pStyle w:val="PL"/>
      </w:pPr>
    </w:p>
    <w:p w:rsidR="00CB0DD7" w:rsidRPr="000A0A5F" w:rsidRDefault="00CB0DD7">
      <w:pPr>
        <w:pStyle w:val="PL"/>
      </w:pPr>
      <w:r w:rsidRPr="000A0A5F">
        <w:t xml:space="preserve">    GmdResult:</w:t>
      </w:r>
    </w:p>
    <w:p w:rsidR="00CB0DD7" w:rsidRPr="000A0A5F" w:rsidRDefault="00CB0DD7">
      <w:pPr>
        <w:pStyle w:val="PL"/>
      </w:pPr>
      <w:r w:rsidRPr="000A0A5F">
        <w:t xml:space="preserve">      description: Represents the group message delivery result</w:t>
      </w:r>
      <w:r w:rsidRPr="000A0A5F">
        <w:rPr>
          <w:lang w:val="en-US" w:eastAsia="zh-CN"/>
        </w:rPr>
        <w:t>.</w:t>
      </w:r>
    </w:p>
    <w:p w:rsidR="00CB0DD7" w:rsidRPr="000A0A5F" w:rsidRDefault="00CB0DD7">
      <w:pPr>
        <w:pStyle w:val="PL"/>
      </w:pPr>
      <w:r w:rsidRPr="000A0A5F">
        <w:t xml:space="preserve">      type: object</w:t>
      </w:r>
    </w:p>
    <w:p w:rsidR="00CB0DD7" w:rsidRPr="000A0A5F" w:rsidRDefault="00CB0DD7">
      <w:pPr>
        <w:pStyle w:val="PL"/>
      </w:pPr>
      <w:r w:rsidRPr="000A0A5F">
        <w:t xml:space="preserve">      properties:</w:t>
      </w:r>
    </w:p>
    <w:p w:rsidR="00CB0DD7" w:rsidRPr="000A0A5F" w:rsidRDefault="00CB0DD7">
      <w:pPr>
        <w:pStyle w:val="PL"/>
      </w:pPr>
      <w:r w:rsidRPr="000A0A5F">
        <w:t xml:space="preserve">        externalId:</w:t>
      </w:r>
    </w:p>
    <w:p w:rsidR="00CB0DD7" w:rsidRPr="000A0A5F" w:rsidRDefault="00CB0DD7">
      <w:pPr>
        <w:pStyle w:val="PL"/>
      </w:pPr>
      <w:r w:rsidRPr="000A0A5F">
        <w:t xml:space="preserve">          $ref: 'TS29122_CommonData.yaml#/components/schemas/ExternalId'</w:t>
      </w:r>
    </w:p>
    <w:p w:rsidR="00CB0DD7" w:rsidRPr="000A0A5F" w:rsidRDefault="00CB0DD7">
      <w:pPr>
        <w:pStyle w:val="PL"/>
      </w:pPr>
      <w:r w:rsidRPr="000A0A5F">
        <w:t xml:space="preserve">        msisdn:</w:t>
      </w:r>
    </w:p>
    <w:p w:rsidR="00CB0DD7" w:rsidRPr="000A0A5F" w:rsidRDefault="00CB0DD7">
      <w:pPr>
        <w:pStyle w:val="PL"/>
      </w:pPr>
      <w:r w:rsidRPr="000A0A5F">
        <w:t xml:space="preserve">          $ref: 'TS29122_CommonData.yaml#/components/schemas/Msisdn'</w:t>
      </w:r>
    </w:p>
    <w:p w:rsidR="00CB0DD7" w:rsidRPr="000A0A5F" w:rsidRDefault="00CB0DD7">
      <w:pPr>
        <w:pStyle w:val="PL"/>
      </w:pPr>
      <w:r w:rsidRPr="000A0A5F">
        <w:t xml:space="preserve">        deliveryStatus:</w:t>
      </w:r>
    </w:p>
    <w:p w:rsidR="00CB0DD7" w:rsidRPr="000A0A5F" w:rsidRDefault="00CB0DD7">
      <w:pPr>
        <w:pStyle w:val="PL"/>
      </w:pPr>
      <w:r w:rsidRPr="000A0A5F">
        <w:t xml:space="preserve">          $ref: '#/components/schemas/DeliveryStatus'</w:t>
      </w:r>
    </w:p>
    <w:p w:rsidR="00CB0DD7" w:rsidRPr="000A0A5F" w:rsidRDefault="00CB0DD7">
      <w:pPr>
        <w:pStyle w:val="PL"/>
      </w:pPr>
      <w:r w:rsidRPr="000A0A5F">
        <w:t xml:space="preserve">        requestedRetransmissionTime:</w:t>
      </w:r>
    </w:p>
    <w:p w:rsidR="00CB0DD7" w:rsidRPr="000A0A5F" w:rsidRDefault="00CB0DD7">
      <w:pPr>
        <w:pStyle w:val="PL"/>
      </w:pPr>
      <w:r w:rsidRPr="000A0A5F">
        <w:t xml:space="preserve">          $ref: 'TS29122_CommonData.yaml#/components/schemas/DateTime'</w:t>
      </w:r>
    </w:p>
    <w:p w:rsidR="00CB0DD7" w:rsidRPr="000A0A5F" w:rsidRDefault="00CB0DD7">
      <w:pPr>
        <w:pStyle w:val="PL"/>
      </w:pPr>
      <w:r w:rsidRPr="000A0A5F">
        <w:t xml:space="preserve">      required:</w:t>
      </w:r>
    </w:p>
    <w:p w:rsidR="00CB0DD7" w:rsidRPr="000A0A5F" w:rsidRDefault="00CB0DD7">
      <w:pPr>
        <w:pStyle w:val="PL"/>
      </w:pPr>
      <w:r w:rsidRPr="000A0A5F">
        <w:t xml:space="preserve">        - deliveryStatus</w:t>
      </w:r>
    </w:p>
    <w:p w:rsidR="00CB0DD7" w:rsidRPr="000A0A5F" w:rsidRDefault="00CB0DD7">
      <w:pPr>
        <w:pStyle w:val="PL"/>
      </w:pPr>
      <w:r w:rsidRPr="000A0A5F">
        <w:t xml:space="preserve">      oneOf:</w:t>
      </w:r>
    </w:p>
    <w:p w:rsidR="00CB0DD7" w:rsidRPr="000A0A5F" w:rsidRDefault="00CB0DD7">
      <w:pPr>
        <w:pStyle w:val="PL"/>
      </w:pPr>
      <w:r w:rsidRPr="000A0A5F">
        <w:t xml:space="preserve">        - required: [externalId]</w:t>
      </w:r>
    </w:p>
    <w:p w:rsidR="00CB0DD7" w:rsidRPr="000A0A5F" w:rsidRDefault="00CB0DD7">
      <w:pPr>
        <w:pStyle w:val="PL"/>
      </w:pPr>
      <w:r w:rsidRPr="000A0A5F">
        <w:t xml:space="preserve">        - required: [msisdn]</w:t>
      </w:r>
    </w:p>
    <w:p w:rsidR="000E4E99" w:rsidRPr="000A0A5F" w:rsidRDefault="000E4E99">
      <w:pPr>
        <w:pStyle w:val="PL"/>
      </w:pPr>
    </w:p>
    <w:p w:rsidR="00CB0DD7" w:rsidRPr="000A0A5F" w:rsidRDefault="00CB0DD7">
      <w:pPr>
        <w:pStyle w:val="PL"/>
      </w:pPr>
      <w:r w:rsidRPr="000A0A5F">
        <w:t xml:space="preserve">    NiddDownlinkDataDeliveryFailure:</w:t>
      </w:r>
    </w:p>
    <w:p w:rsidR="00CB0DD7" w:rsidRPr="000A0A5F" w:rsidRDefault="00CB0DD7">
      <w:pPr>
        <w:pStyle w:val="PL"/>
      </w:pPr>
      <w:r w:rsidRPr="000A0A5F">
        <w:t xml:space="preserve">      description: Represents information related to a failure delivery result</w:t>
      </w:r>
      <w:r w:rsidRPr="000A0A5F">
        <w:rPr>
          <w:lang w:val="en-US" w:eastAsia="zh-CN"/>
        </w:rPr>
        <w:t>.</w:t>
      </w:r>
    </w:p>
    <w:p w:rsidR="00CB0DD7" w:rsidRPr="000A0A5F" w:rsidRDefault="00CB0DD7">
      <w:pPr>
        <w:pStyle w:val="PL"/>
      </w:pPr>
      <w:r w:rsidRPr="000A0A5F">
        <w:t xml:space="preserve">      type: object</w:t>
      </w:r>
    </w:p>
    <w:p w:rsidR="00CB0DD7" w:rsidRPr="000A0A5F" w:rsidRDefault="00CB0DD7">
      <w:pPr>
        <w:pStyle w:val="PL"/>
      </w:pPr>
      <w:r w:rsidRPr="000A0A5F">
        <w:t xml:space="preserve">      properties:</w:t>
      </w:r>
    </w:p>
    <w:p w:rsidR="00CB0DD7" w:rsidRPr="000A0A5F" w:rsidRDefault="00CB0DD7">
      <w:pPr>
        <w:pStyle w:val="PL"/>
      </w:pPr>
      <w:r w:rsidRPr="000A0A5F">
        <w:t xml:space="preserve">        problemDetail:</w:t>
      </w:r>
    </w:p>
    <w:p w:rsidR="00CB0DD7" w:rsidRPr="000A0A5F" w:rsidRDefault="00CB0DD7">
      <w:pPr>
        <w:pStyle w:val="PL"/>
      </w:pPr>
      <w:r w:rsidRPr="000A0A5F">
        <w:t xml:space="preserve">          $ref: 'TS29122_CommonData.yaml#/components/schemas/ProblemDetails'</w:t>
      </w:r>
    </w:p>
    <w:p w:rsidR="00CB0DD7" w:rsidRPr="000A0A5F" w:rsidRDefault="00CB0DD7">
      <w:pPr>
        <w:pStyle w:val="PL"/>
      </w:pPr>
      <w:r w:rsidRPr="000A0A5F">
        <w:t xml:space="preserve">        requestedRetransmissionTime:</w:t>
      </w:r>
    </w:p>
    <w:p w:rsidR="00CB0DD7" w:rsidRPr="000A0A5F" w:rsidRDefault="00CB0DD7">
      <w:pPr>
        <w:pStyle w:val="PL"/>
      </w:pPr>
      <w:r w:rsidRPr="000A0A5F">
        <w:t xml:space="preserve">          $ref: 'TS29122_CommonData.yaml#/components/schemas/DateTime'</w:t>
      </w:r>
    </w:p>
    <w:p w:rsidR="00CB0DD7" w:rsidRPr="000A0A5F" w:rsidRDefault="00CB0DD7">
      <w:pPr>
        <w:pStyle w:val="PL"/>
      </w:pPr>
      <w:r w:rsidRPr="000A0A5F">
        <w:t xml:space="preserve">      required:</w:t>
      </w:r>
    </w:p>
    <w:p w:rsidR="00CB0DD7" w:rsidRPr="000A0A5F" w:rsidRDefault="00CB0DD7">
      <w:pPr>
        <w:pStyle w:val="PL"/>
      </w:pPr>
      <w:r w:rsidRPr="000A0A5F">
        <w:t xml:space="preserve">        - problemDetail</w:t>
      </w:r>
    </w:p>
    <w:p w:rsidR="000E4E99" w:rsidRPr="000A0A5F" w:rsidRDefault="000E4E99">
      <w:pPr>
        <w:pStyle w:val="PL"/>
      </w:pPr>
    </w:p>
    <w:p w:rsidR="00CB0DD7" w:rsidRPr="000A0A5F" w:rsidRDefault="00CB0DD7">
      <w:pPr>
        <w:pStyle w:val="PL"/>
      </w:pPr>
      <w:r w:rsidRPr="000A0A5F">
        <w:t xml:space="preserve">    ManagePort:</w:t>
      </w:r>
    </w:p>
    <w:p w:rsidR="00CB0DD7" w:rsidRPr="000A0A5F" w:rsidRDefault="00CB0DD7">
      <w:pPr>
        <w:pStyle w:val="PL"/>
      </w:pPr>
      <w:r w:rsidRPr="000A0A5F">
        <w:t xml:space="preserve">      description: Represents the configuration of a RDS dynamic port management</w:t>
      </w:r>
      <w:r w:rsidRPr="000A0A5F">
        <w:rPr>
          <w:lang w:val="en-US" w:eastAsia="zh-CN"/>
        </w:rPr>
        <w:t>.</w:t>
      </w:r>
    </w:p>
    <w:p w:rsidR="00CB0DD7" w:rsidRPr="000A0A5F" w:rsidRDefault="00CB0DD7">
      <w:pPr>
        <w:pStyle w:val="PL"/>
      </w:pPr>
      <w:r w:rsidRPr="000A0A5F">
        <w:t xml:space="preserve">      type: object</w:t>
      </w:r>
    </w:p>
    <w:p w:rsidR="00CB0DD7" w:rsidRPr="000A0A5F" w:rsidRDefault="00CB0DD7">
      <w:pPr>
        <w:pStyle w:val="PL"/>
      </w:pPr>
      <w:r w:rsidRPr="000A0A5F">
        <w:t xml:space="preserve">      properties:</w:t>
      </w:r>
    </w:p>
    <w:p w:rsidR="00CB0DD7" w:rsidRPr="000A0A5F" w:rsidRDefault="00CB0DD7">
      <w:pPr>
        <w:pStyle w:val="PL"/>
      </w:pPr>
      <w:r w:rsidRPr="000A0A5F">
        <w:t xml:space="preserve">        self:</w:t>
      </w:r>
    </w:p>
    <w:p w:rsidR="00CB0DD7" w:rsidRPr="000A0A5F" w:rsidRDefault="00CB0DD7">
      <w:pPr>
        <w:pStyle w:val="PL"/>
      </w:pPr>
      <w:r w:rsidRPr="000A0A5F">
        <w:t xml:space="preserve">          $ref: 'TS29122_CommonData.yaml#/components/schemas/Link'</w:t>
      </w:r>
    </w:p>
    <w:p w:rsidR="00CB0DD7" w:rsidRPr="000A0A5F" w:rsidRDefault="00CB0DD7">
      <w:pPr>
        <w:pStyle w:val="PL"/>
      </w:pPr>
      <w:r w:rsidRPr="000A0A5F">
        <w:t xml:space="preserve">        appId:</w:t>
      </w:r>
    </w:p>
    <w:p w:rsidR="00CB0DD7" w:rsidRPr="000A0A5F" w:rsidRDefault="00CB0DD7">
      <w:pPr>
        <w:pStyle w:val="PL"/>
      </w:pPr>
      <w:r w:rsidRPr="000A0A5F">
        <w:t xml:space="preserve">          type: string</w:t>
      </w:r>
    </w:p>
    <w:p w:rsidR="00CB0DD7" w:rsidRPr="000A0A5F" w:rsidRDefault="00CB0DD7">
      <w:pPr>
        <w:pStyle w:val="PL"/>
      </w:pPr>
      <w:r w:rsidRPr="000A0A5F">
        <w:t xml:space="preserve">          description: Identifies the application.</w:t>
      </w:r>
    </w:p>
    <w:p w:rsidR="00CB0DD7" w:rsidRPr="000A0A5F" w:rsidRDefault="00CB0DD7">
      <w:pPr>
        <w:pStyle w:val="PL"/>
      </w:pPr>
      <w:r w:rsidRPr="000A0A5F">
        <w:t xml:space="preserve">        </w:t>
      </w:r>
      <w:r w:rsidRPr="000A0A5F">
        <w:rPr>
          <w:lang w:eastAsia="zh-CN"/>
        </w:rPr>
        <w:t>manageEntity</w:t>
      </w:r>
      <w:r w:rsidRPr="000A0A5F">
        <w:t>:</w:t>
      </w:r>
    </w:p>
    <w:p w:rsidR="00CB0DD7" w:rsidRPr="000A0A5F" w:rsidRDefault="00CB0DD7">
      <w:pPr>
        <w:pStyle w:val="PL"/>
      </w:pPr>
      <w:r w:rsidRPr="000A0A5F">
        <w:t xml:space="preserve">          $ref: '#/components/schemas/ManageEntity'</w:t>
      </w:r>
    </w:p>
    <w:p w:rsidR="00CB0DD7" w:rsidRPr="000A0A5F" w:rsidRDefault="00CB0DD7">
      <w:pPr>
        <w:pStyle w:val="PL"/>
      </w:pPr>
      <w:r w:rsidRPr="000A0A5F">
        <w:t xml:space="preserve">        skipUeInquiry:</w:t>
      </w:r>
    </w:p>
    <w:p w:rsidR="00CB0DD7" w:rsidRPr="000A0A5F" w:rsidRDefault="00CB0DD7">
      <w:pPr>
        <w:pStyle w:val="PL"/>
      </w:pPr>
      <w:r w:rsidRPr="000A0A5F">
        <w:t xml:space="preserve">          type: boolean</w:t>
      </w:r>
    </w:p>
    <w:p w:rsidR="00CB0DD7" w:rsidRPr="000A0A5F" w:rsidRDefault="00CB0DD7">
      <w:pPr>
        <w:pStyle w:val="PL"/>
      </w:pPr>
      <w:r w:rsidRPr="000A0A5F">
        <w:t xml:space="preserve">          description: </w:t>
      </w:r>
      <w:r w:rsidRPr="000A0A5F">
        <w:rPr>
          <w:rFonts w:cs="Arial"/>
          <w:szCs w:val="18"/>
          <w:lang w:eastAsia="zh-CN"/>
        </w:rPr>
        <w:t>Indicate whether to skip UE inquiry.</w:t>
      </w:r>
    </w:p>
    <w:p w:rsidR="00CB0DD7" w:rsidRPr="000A0A5F" w:rsidRDefault="00CB0DD7">
      <w:pPr>
        <w:pStyle w:val="PL"/>
      </w:pPr>
      <w:r w:rsidRPr="000A0A5F">
        <w:t xml:space="preserve">        supportedFormats:</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$ref: '#/components/schemas/SerializationFormat'</w:t>
      </w:r>
    </w:p>
    <w:p w:rsidR="00CB0DD7" w:rsidRPr="000A0A5F" w:rsidRDefault="00CB0DD7">
      <w:pPr>
        <w:pStyle w:val="PL"/>
      </w:pPr>
      <w:r w:rsidRPr="000A0A5F">
        <w:t xml:space="preserve">          minItems: 1</w:t>
      </w:r>
    </w:p>
    <w:p w:rsidR="000E4E99" w:rsidRPr="000A0A5F" w:rsidRDefault="00CB0DD7">
      <w:pPr>
        <w:pStyle w:val="PL"/>
      </w:pPr>
      <w:r w:rsidRPr="000A0A5F">
        <w:t xml:space="preserve">          description: </w:t>
      </w:r>
      <w:r w:rsidR="000E4E99" w:rsidRPr="000A0A5F">
        <w:t>&gt;</w:t>
      </w:r>
    </w:p>
    <w:p w:rsidR="000E4E99" w:rsidRPr="000A0A5F" w:rsidRDefault="000E4E99">
      <w:pPr>
        <w:pStyle w:val="PL"/>
      </w:pPr>
      <w:r w:rsidRPr="000A0A5F">
        <w:t xml:space="preserve">            </w:t>
      </w:r>
      <w:r w:rsidR="00CB0DD7" w:rsidRPr="000A0A5F">
        <w:t>Indicates the serialization format(s) that are supported by the SCS/AS on the associated</w:t>
      </w:r>
    </w:p>
    <w:p w:rsidR="00CB0DD7" w:rsidRPr="000A0A5F" w:rsidRDefault="000E4E99">
      <w:pPr>
        <w:pStyle w:val="PL"/>
      </w:pPr>
      <w:r w:rsidRPr="000A0A5F">
        <w:t xml:space="preserve">           </w:t>
      </w:r>
      <w:r w:rsidR="00CB0DD7" w:rsidRPr="000A0A5F">
        <w:t xml:space="preserve"> RDS port.</w:t>
      </w:r>
    </w:p>
    <w:p w:rsidR="00CB0DD7" w:rsidRPr="000A0A5F" w:rsidRDefault="00CB0DD7">
      <w:pPr>
        <w:pStyle w:val="PL"/>
      </w:pPr>
      <w:r w:rsidRPr="000A0A5F">
        <w:t xml:space="preserve">        configuredFormat:</w:t>
      </w:r>
    </w:p>
    <w:p w:rsidR="00CB0DD7" w:rsidRPr="000A0A5F" w:rsidRDefault="00CB0DD7">
      <w:pPr>
        <w:pStyle w:val="PL"/>
      </w:pPr>
      <w:r w:rsidRPr="000A0A5F">
        <w:t xml:space="preserve">          $ref: '#/components/schemas/SerializationFormat'</w:t>
      </w:r>
    </w:p>
    <w:p w:rsidR="00CB0DD7" w:rsidRPr="000A0A5F" w:rsidRDefault="00CB0DD7">
      <w:pPr>
        <w:pStyle w:val="PL"/>
      </w:pPr>
      <w:r w:rsidRPr="000A0A5F">
        <w:t xml:space="preserve">      required:</w:t>
      </w:r>
    </w:p>
    <w:p w:rsidR="00CB0DD7" w:rsidRPr="000A0A5F" w:rsidRDefault="00CB0DD7">
      <w:pPr>
        <w:pStyle w:val="PL"/>
      </w:pPr>
      <w:r w:rsidRPr="000A0A5F">
        <w:t xml:space="preserve">        - appId</w:t>
      </w:r>
    </w:p>
    <w:p w:rsidR="000E4E99" w:rsidRPr="000A0A5F" w:rsidRDefault="000E4E99">
      <w:pPr>
        <w:pStyle w:val="PL"/>
      </w:pPr>
    </w:p>
    <w:p w:rsidR="00CB0DD7" w:rsidRPr="000A0A5F" w:rsidRDefault="00CB0DD7">
      <w:pPr>
        <w:pStyle w:val="PL"/>
      </w:pPr>
      <w:r w:rsidRPr="000A0A5F">
        <w:t xml:space="preserve">    ManagePortNotification:</w:t>
      </w:r>
    </w:p>
    <w:p w:rsidR="00CB0DD7" w:rsidRPr="000A0A5F" w:rsidRDefault="00CB0DD7">
      <w:pPr>
        <w:pStyle w:val="PL"/>
      </w:pPr>
      <w:r w:rsidRPr="000A0A5F">
        <w:t xml:space="preserve">      description: Represents </w:t>
      </w:r>
      <w:r w:rsidRPr="000A0A5F">
        <w:rPr>
          <w:rFonts w:hint="eastAsia"/>
          <w:lang w:eastAsia="zh-CN"/>
        </w:rPr>
        <w:t xml:space="preserve">a </w:t>
      </w:r>
      <w:r w:rsidRPr="000A0A5F">
        <w:rPr>
          <w:lang w:eastAsia="zh-CN"/>
        </w:rPr>
        <w:t>ManagePort</w:t>
      </w:r>
      <w:r w:rsidRPr="000A0A5F">
        <w:rPr>
          <w:rFonts w:hint="eastAsia"/>
          <w:lang w:eastAsia="zh-CN"/>
        </w:rPr>
        <w:t xml:space="preserve"> </w:t>
      </w:r>
      <w:r w:rsidRPr="000A0A5F">
        <w:rPr>
          <w:lang w:eastAsia="zh-CN"/>
        </w:rPr>
        <w:t>notification of port numbers that are reserved</w:t>
      </w:r>
      <w:r w:rsidRPr="000A0A5F">
        <w:rPr>
          <w:lang w:val="en-US" w:eastAsia="zh-CN"/>
        </w:rPr>
        <w:t>.</w:t>
      </w:r>
    </w:p>
    <w:p w:rsidR="00CB0DD7" w:rsidRPr="000A0A5F" w:rsidRDefault="00CB0DD7">
      <w:pPr>
        <w:pStyle w:val="PL"/>
      </w:pPr>
      <w:r w:rsidRPr="000A0A5F">
        <w:t xml:space="preserve">      type: object</w:t>
      </w:r>
    </w:p>
    <w:p w:rsidR="00CB0DD7" w:rsidRPr="000A0A5F" w:rsidRDefault="00CB0DD7">
      <w:pPr>
        <w:pStyle w:val="PL"/>
      </w:pPr>
      <w:r w:rsidRPr="000A0A5F">
        <w:t xml:space="preserve">      properties:</w:t>
      </w:r>
    </w:p>
    <w:p w:rsidR="00CB0DD7" w:rsidRPr="000A0A5F" w:rsidRDefault="00CB0DD7">
      <w:pPr>
        <w:pStyle w:val="PL"/>
      </w:pPr>
      <w:r w:rsidRPr="000A0A5F">
        <w:t xml:space="preserve">        niddConfiguration:</w:t>
      </w:r>
    </w:p>
    <w:p w:rsidR="00CB0DD7" w:rsidRPr="000A0A5F" w:rsidRDefault="00CB0DD7">
      <w:pPr>
        <w:pStyle w:val="PL"/>
      </w:pPr>
      <w:r w:rsidRPr="000A0A5F">
        <w:t xml:space="preserve">          $ref: 'TS29122_CommonData.yaml#/components/schemas/Link'</w:t>
      </w:r>
    </w:p>
    <w:p w:rsidR="00CB0DD7" w:rsidRPr="000A0A5F" w:rsidRDefault="00CB0DD7">
      <w:pPr>
        <w:pStyle w:val="PL"/>
      </w:pPr>
      <w:r w:rsidRPr="000A0A5F">
        <w:t xml:space="preserve">        externalId:</w:t>
      </w:r>
    </w:p>
    <w:p w:rsidR="00CB0DD7" w:rsidRPr="000A0A5F" w:rsidRDefault="00CB0DD7">
      <w:pPr>
        <w:pStyle w:val="PL"/>
      </w:pPr>
      <w:r w:rsidRPr="000A0A5F">
        <w:t xml:space="preserve">          $ref: 'TS29122_CommonData.yaml#/components/schemas/ExternalId'</w:t>
      </w:r>
    </w:p>
    <w:p w:rsidR="00CB0DD7" w:rsidRPr="000A0A5F" w:rsidRDefault="00CB0DD7">
      <w:pPr>
        <w:pStyle w:val="PL"/>
      </w:pPr>
      <w:r w:rsidRPr="000A0A5F">
        <w:t xml:space="preserve">        msisdn:</w:t>
      </w:r>
    </w:p>
    <w:p w:rsidR="00CB0DD7" w:rsidRPr="000A0A5F" w:rsidRDefault="00CB0DD7">
      <w:pPr>
        <w:pStyle w:val="PL"/>
      </w:pPr>
      <w:r w:rsidRPr="000A0A5F">
        <w:t xml:space="preserve">          $ref: 'TS29122_CommonData.yaml#/components/schemas/Msisdn'</w:t>
      </w:r>
    </w:p>
    <w:p w:rsidR="00CB0DD7" w:rsidRPr="000A0A5F" w:rsidRDefault="00CB0DD7">
      <w:pPr>
        <w:pStyle w:val="PL"/>
      </w:pPr>
      <w:r w:rsidRPr="000A0A5F">
        <w:t xml:space="preserve">        managedPorts:</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$ref: '#/components/schemas/ManagePort'</w:t>
      </w:r>
    </w:p>
    <w:p w:rsidR="00CB0DD7" w:rsidRPr="000A0A5F" w:rsidRDefault="00CB0DD7">
      <w:pPr>
        <w:pStyle w:val="PL"/>
      </w:pPr>
      <w:r w:rsidRPr="000A0A5F">
        <w:t xml:space="preserve">          minItems: 1</w:t>
      </w:r>
    </w:p>
    <w:p w:rsidR="00CB0DD7" w:rsidRPr="000A0A5F" w:rsidRDefault="00CB0DD7">
      <w:pPr>
        <w:pStyle w:val="PL"/>
      </w:pPr>
      <w:r w:rsidRPr="000A0A5F">
        <w:t xml:space="preserve">          description: </w:t>
      </w:r>
      <w:r w:rsidRPr="000A0A5F">
        <w:rPr>
          <w:rFonts w:cs="Arial"/>
          <w:szCs w:val="18"/>
        </w:rPr>
        <w:t>Indicates the reserved RDS port configuration information.</w:t>
      </w:r>
    </w:p>
    <w:p w:rsidR="00CB0DD7" w:rsidRPr="000A0A5F" w:rsidRDefault="00CB0DD7">
      <w:pPr>
        <w:pStyle w:val="PL"/>
      </w:pPr>
      <w:r w:rsidRPr="000A0A5F">
        <w:t xml:space="preserve">      required:</w:t>
      </w:r>
    </w:p>
    <w:p w:rsidR="00CB0DD7" w:rsidRPr="000A0A5F" w:rsidRDefault="00CB0DD7">
      <w:pPr>
        <w:pStyle w:val="PL"/>
      </w:pPr>
      <w:r w:rsidRPr="000A0A5F">
        <w:t xml:space="preserve">        - niddConfiguration</w:t>
      </w:r>
    </w:p>
    <w:p w:rsidR="00CB0DD7" w:rsidRPr="000A0A5F" w:rsidRDefault="00CB0DD7">
      <w:pPr>
        <w:pStyle w:val="PL"/>
      </w:pPr>
      <w:r w:rsidRPr="000A0A5F">
        <w:t xml:space="preserve">      oneOf:</w:t>
      </w:r>
    </w:p>
    <w:p w:rsidR="00CB0DD7" w:rsidRPr="000A0A5F" w:rsidRDefault="00CB0DD7">
      <w:pPr>
        <w:pStyle w:val="PL"/>
      </w:pPr>
      <w:r w:rsidRPr="000A0A5F">
        <w:t xml:space="preserve">        - required: [externalId]</w:t>
      </w:r>
    </w:p>
    <w:p w:rsidR="00CB0DD7" w:rsidRPr="000A0A5F" w:rsidRDefault="00CB0DD7">
      <w:pPr>
        <w:pStyle w:val="PL"/>
      </w:pPr>
      <w:r w:rsidRPr="000A0A5F">
        <w:t xml:space="preserve">        - required: [msisdn] </w:t>
      </w:r>
    </w:p>
    <w:p w:rsidR="000E4E99" w:rsidRPr="000A0A5F" w:rsidRDefault="000E4E99">
      <w:pPr>
        <w:pStyle w:val="PL"/>
        <w:rPr>
          <w:lang w:val="en-US"/>
        </w:rPr>
      </w:pPr>
    </w:p>
    <w:p w:rsidR="00CB0DD7" w:rsidRPr="000A0A5F" w:rsidRDefault="00CB0DD7">
      <w:pPr>
        <w:pStyle w:val="PL"/>
        <w:rPr>
          <w:lang w:val="en-US"/>
        </w:rPr>
      </w:pPr>
      <w:r w:rsidRPr="000A0A5F">
        <w:rPr>
          <w:lang w:val="en-US"/>
        </w:rPr>
        <w:t xml:space="preserve">    RdsDownlinkDataDeliveryFailure:</w:t>
      </w:r>
    </w:p>
    <w:p w:rsidR="00CB0DD7" w:rsidRPr="000A0A5F" w:rsidRDefault="00CB0DD7">
      <w:pPr>
        <w:pStyle w:val="PL"/>
      </w:pPr>
      <w:r w:rsidRPr="000A0A5F">
        <w:t xml:space="preserve">      description: Represents the failure delivery result for RDS</w:t>
      </w:r>
      <w:r w:rsidRPr="000A0A5F">
        <w:rPr>
          <w:lang w:val="en-US" w:eastAsia="zh-CN"/>
        </w:rPr>
        <w:t>.</w:t>
      </w:r>
    </w:p>
    <w:p w:rsidR="00CB0DD7" w:rsidRPr="000A0A5F" w:rsidRDefault="00CB0DD7">
      <w:pPr>
        <w:pStyle w:val="PL"/>
        <w:rPr>
          <w:lang w:val="en-US"/>
        </w:rPr>
      </w:pPr>
      <w:r w:rsidRPr="000A0A5F">
        <w:rPr>
          <w:lang w:val="en-US"/>
        </w:rPr>
        <w:t xml:space="preserve">      allOf:</w:t>
      </w:r>
    </w:p>
    <w:p w:rsidR="00CB0DD7" w:rsidRPr="000A0A5F" w:rsidRDefault="00CB0DD7">
      <w:pPr>
        <w:pStyle w:val="PL"/>
      </w:pPr>
      <w:r w:rsidRPr="000A0A5F">
        <w:t xml:space="preserve">        - $ref: 'TS29122_CommonData.yaml#/components/schemas/ProblemDetails'</w:t>
      </w:r>
    </w:p>
    <w:p w:rsidR="00CB0DD7" w:rsidRPr="000A0A5F" w:rsidRDefault="00CB0DD7">
      <w:pPr>
        <w:pStyle w:val="PL"/>
        <w:rPr>
          <w:lang w:val="en-US"/>
        </w:rPr>
      </w:pPr>
      <w:r w:rsidRPr="000A0A5F">
        <w:rPr>
          <w:lang w:val="en-US"/>
        </w:rPr>
        <w:t xml:space="preserve">        - type: object</w:t>
      </w:r>
    </w:p>
    <w:p w:rsidR="00CB0DD7" w:rsidRPr="000A0A5F" w:rsidRDefault="00CB0DD7">
      <w:pPr>
        <w:pStyle w:val="PL"/>
        <w:rPr>
          <w:lang w:val="en-US"/>
        </w:rPr>
      </w:pPr>
      <w:r w:rsidRPr="000A0A5F">
        <w:rPr>
          <w:lang w:val="en-US"/>
        </w:rPr>
        <w:t xml:space="preserve">          properties:</w:t>
      </w:r>
    </w:p>
    <w:p w:rsidR="00CB0DD7" w:rsidRPr="000A0A5F" w:rsidRDefault="00CB0DD7">
      <w:pPr>
        <w:pStyle w:val="PL"/>
      </w:pPr>
      <w:r w:rsidRPr="000A0A5F">
        <w:t xml:space="preserve">            requestedRetransmissionTime:</w:t>
      </w:r>
    </w:p>
    <w:p w:rsidR="00CB0DD7" w:rsidRPr="000A0A5F" w:rsidRDefault="00CB0DD7">
      <w:pPr>
        <w:pStyle w:val="PL"/>
        <w:rPr>
          <w:lang w:val="en-US"/>
        </w:rPr>
      </w:pPr>
      <w:r w:rsidRPr="000A0A5F">
        <w:t xml:space="preserve">              $ref: 'TS29122_CommonData.yaml#/components/schemas/DateTime'</w:t>
      </w:r>
    </w:p>
    <w:p w:rsidR="00CB0DD7" w:rsidRPr="000A0A5F" w:rsidRDefault="00CB0DD7">
      <w:pPr>
        <w:pStyle w:val="PL"/>
      </w:pPr>
      <w:r w:rsidRPr="000A0A5F">
        <w:t xml:space="preserve">            supportedUeFormats:</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$ref: '#/components/schemas/SerializationFormat'</w:t>
      </w:r>
    </w:p>
    <w:p w:rsidR="00CB0DD7" w:rsidRPr="000A0A5F" w:rsidRDefault="00CB0DD7">
      <w:pPr>
        <w:pStyle w:val="PL"/>
      </w:pPr>
      <w:r w:rsidRPr="000A0A5F">
        <w:t xml:space="preserve">              minItems: 1</w:t>
      </w:r>
    </w:p>
    <w:p w:rsidR="000E4E99" w:rsidRPr="000A0A5F" w:rsidRDefault="00CB0DD7">
      <w:pPr>
        <w:pStyle w:val="PL"/>
      </w:pPr>
      <w:r w:rsidRPr="000A0A5F">
        <w:t xml:space="preserve">              description: </w:t>
      </w:r>
      <w:r w:rsidR="000E4E99" w:rsidRPr="000A0A5F">
        <w:t>&gt;</w:t>
      </w:r>
    </w:p>
    <w:p w:rsidR="000E4E99" w:rsidRPr="000A0A5F" w:rsidRDefault="000E4E99">
      <w:pPr>
        <w:pStyle w:val="PL"/>
      </w:pPr>
      <w:r w:rsidRPr="000A0A5F">
        <w:t xml:space="preserve">                </w:t>
      </w:r>
      <w:r w:rsidR="00CB0DD7" w:rsidRPr="000A0A5F">
        <w:t>Indicates the serialization format(s) that are supported by the UE on the associated</w:t>
      </w:r>
    </w:p>
    <w:p w:rsidR="00CB0DD7" w:rsidRPr="000A0A5F" w:rsidRDefault="000E4E99">
      <w:pPr>
        <w:pStyle w:val="PL"/>
      </w:pPr>
      <w:r w:rsidRPr="000A0A5F">
        <w:t xml:space="preserve">               </w:t>
      </w:r>
      <w:r w:rsidR="00CB0DD7" w:rsidRPr="000A0A5F">
        <w:t xml:space="preserve"> RDS port.</w:t>
      </w:r>
    </w:p>
    <w:p w:rsidR="00BD3D12" w:rsidRPr="000A0A5F" w:rsidRDefault="00BD3D12" w:rsidP="00BD3D12">
      <w:pPr>
        <w:pStyle w:val="PL"/>
      </w:pPr>
    </w:p>
    <w:p w:rsidR="00BD3D12" w:rsidRPr="000A0A5F" w:rsidRDefault="00BD3D12" w:rsidP="00BD3D12">
      <w:pPr>
        <w:pStyle w:val="PL"/>
      </w:pPr>
      <w:r w:rsidRPr="000A0A5F">
        <w:t xml:space="preserve">    NiddDownlinkDataTransferPatch:</w:t>
      </w:r>
    </w:p>
    <w:p w:rsidR="000E4E99" w:rsidRPr="000A0A5F" w:rsidRDefault="00BD3D12" w:rsidP="00BD3D12">
      <w:pPr>
        <w:pStyle w:val="PL"/>
      </w:pPr>
      <w:r w:rsidRPr="000A0A5F">
        <w:t xml:space="preserve">      description: </w:t>
      </w:r>
      <w:r w:rsidR="000E4E99" w:rsidRPr="000A0A5F">
        <w:t>&gt;</w:t>
      </w:r>
    </w:p>
    <w:p w:rsidR="000E4E99" w:rsidRPr="000A0A5F" w:rsidRDefault="000E4E99" w:rsidP="00BD3D12">
      <w:pPr>
        <w:pStyle w:val="PL"/>
      </w:pPr>
      <w:r w:rsidRPr="000A0A5F">
        <w:t xml:space="preserve">        </w:t>
      </w:r>
      <w:r w:rsidR="00BD3D12" w:rsidRPr="000A0A5F">
        <w:t>Represents the parameters to request the modification of an Individual NIDD Downlink Data</w:t>
      </w:r>
    </w:p>
    <w:p w:rsidR="00BD3D12" w:rsidRPr="000A0A5F" w:rsidRDefault="000E4E99" w:rsidP="00BD3D12">
      <w:pPr>
        <w:pStyle w:val="PL"/>
      </w:pPr>
      <w:r w:rsidRPr="000A0A5F">
        <w:t xml:space="preserve">       </w:t>
      </w:r>
      <w:r w:rsidR="00BD3D12" w:rsidRPr="000A0A5F">
        <w:t xml:space="preserve"> Delivery resource</w:t>
      </w:r>
      <w:r w:rsidR="00BD3D12" w:rsidRPr="000A0A5F">
        <w:rPr>
          <w:lang w:val="en-US" w:eastAsia="zh-CN"/>
        </w:rPr>
        <w:t>.</w:t>
      </w:r>
    </w:p>
    <w:p w:rsidR="00BD3D12" w:rsidRPr="000A0A5F" w:rsidRDefault="00BD3D12" w:rsidP="00BD3D12">
      <w:pPr>
        <w:pStyle w:val="PL"/>
      </w:pPr>
      <w:r w:rsidRPr="000A0A5F">
        <w:t xml:space="preserve">      type: object</w:t>
      </w:r>
    </w:p>
    <w:p w:rsidR="00BD3D12" w:rsidRPr="000A0A5F" w:rsidRDefault="00BD3D12" w:rsidP="00BD3D12">
      <w:pPr>
        <w:pStyle w:val="PL"/>
      </w:pPr>
      <w:r w:rsidRPr="000A0A5F">
        <w:t xml:space="preserve">      properties:</w:t>
      </w:r>
    </w:p>
    <w:p w:rsidR="00BD3D12" w:rsidRPr="000A0A5F" w:rsidRDefault="00BD3D12" w:rsidP="00BD3D12">
      <w:pPr>
        <w:pStyle w:val="PL"/>
      </w:pPr>
      <w:r w:rsidRPr="000A0A5F">
        <w:t xml:space="preserve">        data:</w:t>
      </w:r>
    </w:p>
    <w:p w:rsidR="00BD3D12" w:rsidRPr="000A0A5F" w:rsidRDefault="00BD3D12" w:rsidP="00BD3D12">
      <w:pPr>
        <w:pStyle w:val="PL"/>
      </w:pPr>
      <w:r w:rsidRPr="000A0A5F">
        <w:t xml:space="preserve">          $ref: 'TS29122_CommonData.yaml#/components/schemas/Bytes'</w:t>
      </w:r>
    </w:p>
    <w:p w:rsidR="00BD3D12" w:rsidRPr="000A0A5F" w:rsidRDefault="00BD3D12" w:rsidP="00BD3D12">
      <w:pPr>
        <w:pStyle w:val="PL"/>
      </w:pPr>
      <w:r w:rsidRPr="000A0A5F">
        <w:t xml:space="preserve">        reliableDataService:</w:t>
      </w:r>
    </w:p>
    <w:p w:rsidR="00BD3D12" w:rsidRPr="000A0A5F" w:rsidRDefault="00BD3D12" w:rsidP="00BD3D12">
      <w:pPr>
        <w:pStyle w:val="PL"/>
      </w:pPr>
      <w:r w:rsidRPr="000A0A5F">
        <w:t xml:space="preserve">          type: boolean</w:t>
      </w:r>
    </w:p>
    <w:p w:rsidR="002551B1" w:rsidRPr="000A0A5F" w:rsidRDefault="00BD3D12" w:rsidP="002551B1">
      <w:pPr>
        <w:pStyle w:val="PL"/>
      </w:pPr>
      <w:r w:rsidRPr="000A0A5F">
        <w:t xml:space="preserve">          description: </w:t>
      </w:r>
      <w:r w:rsidR="002551B1" w:rsidRPr="000A0A5F">
        <w:t>&gt;</w:t>
      </w:r>
    </w:p>
    <w:p w:rsidR="002551B1" w:rsidRPr="000A0A5F" w:rsidRDefault="002551B1" w:rsidP="002551B1">
      <w:pPr>
        <w:pStyle w:val="PL"/>
      </w:pPr>
      <w:r w:rsidRPr="000A0A5F">
        <w:t xml:space="preserve">            Indicates </w:t>
      </w:r>
      <w:r w:rsidRPr="000A0A5F">
        <w:rPr>
          <w:lang w:eastAsia="zh-CN"/>
        </w:rPr>
        <w:t>whether t</w:t>
      </w:r>
      <w:r w:rsidR="00BD3D12" w:rsidRPr="000A0A5F">
        <w:t>he reliable data service (as defined in clause 4.5.1</w:t>
      </w:r>
      <w:r w:rsidRPr="000A0A5F">
        <w:t>4</w:t>
      </w:r>
      <w:r w:rsidR="00BD3D12" w:rsidRPr="000A0A5F">
        <w:t xml:space="preserve">.3 of 3GPP TS </w:t>
      </w:r>
    </w:p>
    <w:p w:rsidR="00BD3D12" w:rsidRPr="000A0A5F" w:rsidRDefault="002551B1" w:rsidP="002551B1">
      <w:pPr>
        <w:pStyle w:val="PL"/>
      </w:pPr>
      <w:r w:rsidRPr="000A0A5F">
        <w:t xml:space="preserve">            </w:t>
      </w:r>
      <w:r w:rsidR="00BD3D12" w:rsidRPr="000A0A5F">
        <w:t xml:space="preserve">23.682) </w:t>
      </w:r>
      <w:r w:rsidRPr="000A0A5F">
        <w:rPr>
          <w:lang w:eastAsia="zh-CN"/>
        </w:rPr>
        <w:t>acknowledg</w:t>
      </w:r>
      <w:r w:rsidR="006B7F5D" w:rsidRPr="000A0A5F">
        <w:rPr>
          <w:lang w:eastAsia="zh-CN"/>
        </w:rPr>
        <w:t>e</w:t>
      </w:r>
      <w:r w:rsidRPr="000A0A5F">
        <w:rPr>
          <w:lang w:eastAsia="zh-CN"/>
        </w:rPr>
        <w:t>ment is requested</w:t>
      </w:r>
      <w:r w:rsidRPr="000A0A5F">
        <w:t xml:space="preserve"> (</w:t>
      </w:r>
      <w:r w:rsidRPr="000A0A5F">
        <w:rPr>
          <w:lang w:eastAsia="zh-CN"/>
        </w:rPr>
        <w:t>true</w:t>
      </w:r>
      <w:r w:rsidRPr="000A0A5F">
        <w:t>) or not (</w:t>
      </w:r>
      <w:r w:rsidRPr="000A0A5F">
        <w:rPr>
          <w:lang w:eastAsia="zh-CN"/>
        </w:rPr>
        <w:t>false).</w:t>
      </w:r>
    </w:p>
    <w:p w:rsidR="00BD3D12" w:rsidRPr="000A0A5F" w:rsidRDefault="00BD3D12" w:rsidP="00BD3D12">
      <w:pPr>
        <w:pStyle w:val="PL"/>
      </w:pPr>
      <w:r w:rsidRPr="000A0A5F">
        <w:t xml:space="preserve">        rdsPort:</w:t>
      </w:r>
    </w:p>
    <w:p w:rsidR="00BD3D12" w:rsidRPr="000A0A5F" w:rsidRDefault="00BD3D12" w:rsidP="00BD3D12">
      <w:pPr>
        <w:pStyle w:val="PL"/>
      </w:pPr>
      <w:r w:rsidRPr="000A0A5F">
        <w:t xml:space="preserve">          $ref: '#/components/schemas/RdsPort'</w:t>
      </w:r>
    </w:p>
    <w:p w:rsidR="00BD3D12" w:rsidRPr="000A0A5F" w:rsidRDefault="00BD3D12" w:rsidP="00BD3D12">
      <w:pPr>
        <w:pStyle w:val="PL"/>
      </w:pPr>
      <w:r w:rsidRPr="000A0A5F">
        <w:t xml:space="preserve">        maximumLatency:</w:t>
      </w:r>
    </w:p>
    <w:p w:rsidR="00BD3D12" w:rsidRPr="000A0A5F" w:rsidRDefault="00BD3D12" w:rsidP="00BD3D12">
      <w:pPr>
        <w:pStyle w:val="PL"/>
      </w:pPr>
      <w:r w:rsidRPr="000A0A5F">
        <w:t xml:space="preserve">          $ref: 'TS29122_CommonData.yaml#/components/schemas/DurationSec'</w:t>
      </w:r>
    </w:p>
    <w:p w:rsidR="00BD3D12" w:rsidRPr="000A0A5F" w:rsidRDefault="00BD3D12" w:rsidP="00BD3D12">
      <w:pPr>
        <w:pStyle w:val="PL"/>
      </w:pPr>
      <w:r w:rsidRPr="000A0A5F">
        <w:t xml:space="preserve">        priority:</w:t>
      </w:r>
    </w:p>
    <w:p w:rsidR="00BD3D12" w:rsidRPr="000A0A5F" w:rsidRDefault="00BD3D12" w:rsidP="00BD3D12">
      <w:pPr>
        <w:pStyle w:val="PL"/>
      </w:pPr>
      <w:r w:rsidRPr="000A0A5F">
        <w:t xml:space="preserve">          type: integer</w:t>
      </w:r>
    </w:p>
    <w:p w:rsidR="000E4E99" w:rsidRPr="000A0A5F" w:rsidRDefault="00BD3D12" w:rsidP="00BD3D12">
      <w:pPr>
        <w:pStyle w:val="PL"/>
      </w:pPr>
      <w:r w:rsidRPr="000A0A5F">
        <w:t xml:space="preserve">          description: </w:t>
      </w:r>
      <w:r w:rsidR="000E4E99" w:rsidRPr="000A0A5F">
        <w:t>&gt;</w:t>
      </w:r>
    </w:p>
    <w:p w:rsidR="000E4E99" w:rsidRPr="000A0A5F" w:rsidRDefault="000E4E99" w:rsidP="00BD3D12">
      <w:pPr>
        <w:pStyle w:val="PL"/>
      </w:pPr>
      <w:r w:rsidRPr="000A0A5F">
        <w:t xml:space="preserve">            </w:t>
      </w:r>
      <w:r w:rsidR="00BD3D12" w:rsidRPr="000A0A5F">
        <w:t>It is used to indicate the priority of the non-IP data packet relative to other</w:t>
      </w:r>
    </w:p>
    <w:p w:rsidR="00BD3D12" w:rsidRPr="000A0A5F" w:rsidRDefault="000E4E99" w:rsidP="00BD3D12">
      <w:pPr>
        <w:pStyle w:val="PL"/>
      </w:pPr>
      <w:r w:rsidRPr="000A0A5F">
        <w:t xml:space="preserve">           </w:t>
      </w:r>
      <w:r w:rsidR="00BD3D12" w:rsidRPr="000A0A5F">
        <w:t xml:space="preserve"> non-IP data packets.</w:t>
      </w:r>
    </w:p>
    <w:p w:rsidR="00BD3D12" w:rsidRPr="000A0A5F" w:rsidRDefault="00BD3D12" w:rsidP="00BD3D12">
      <w:pPr>
        <w:pStyle w:val="PL"/>
      </w:pPr>
      <w:r w:rsidRPr="000A0A5F">
        <w:t xml:space="preserve">        pdnEstablishmentOption:</w:t>
      </w:r>
    </w:p>
    <w:p w:rsidR="00BD3D12" w:rsidRPr="000A0A5F" w:rsidRDefault="00BD3D12" w:rsidP="00BD3D12">
      <w:pPr>
        <w:pStyle w:val="PL"/>
      </w:pPr>
      <w:r w:rsidRPr="000A0A5F">
        <w:t xml:space="preserve">          $ref: '#/components/schemas/PdnEstablishmentOptions'</w:t>
      </w:r>
    </w:p>
    <w:p w:rsidR="00BD3D12" w:rsidRPr="000A0A5F" w:rsidRDefault="00BD3D12" w:rsidP="00BD3D12">
      <w:pPr>
        <w:pStyle w:val="PL"/>
      </w:pPr>
    </w:p>
    <w:p w:rsidR="00CB0DD7" w:rsidRPr="000A0A5F" w:rsidRDefault="00CB0DD7">
      <w:pPr>
        <w:pStyle w:val="PL"/>
      </w:pPr>
      <w:r w:rsidRPr="000A0A5F">
        <w:t xml:space="preserve">    PdnEstablishmentOptions:</w:t>
      </w:r>
    </w:p>
    <w:p w:rsidR="00CB0DD7" w:rsidRPr="000A0A5F" w:rsidRDefault="00CB0DD7">
      <w:pPr>
        <w:pStyle w:val="PL"/>
      </w:pPr>
      <w:r w:rsidRPr="000A0A5F">
        <w:t xml:space="preserve">      anyOf:</w:t>
      </w:r>
    </w:p>
    <w:p w:rsidR="00CB0DD7" w:rsidRPr="000A0A5F" w:rsidRDefault="00CB0DD7">
      <w:pPr>
        <w:pStyle w:val="PL"/>
      </w:pPr>
      <w:r w:rsidRPr="000A0A5F">
        <w:t xml:space="preserve">      - type: string</w:t>
      </w:r>
    </w:p>
    <w:p w:rsidR="00CB0DD7" w:rsidRPr="000A0A5F" w:rsidRDefault="00CB0DD7">
      <w:pPr>
        <w:pStyle w:val="PL"/>
      </w:pPr>
      <w:r w:rsidRPr="000A0A5F">
        <w:t xml:space="preserve">        enum:</w:t>
      </w:r>
    </w:p>
    <w:p w:rsidR="00CB0DD7" w:rsidRPr="000A0A5F" w:rsidRDefault="00CB0DD7">
      <w:pPr>
        <w:pStyle w:val="PL"/>
      </w:pPr>
      <w:r w:rsidRPr="000A0A5F">
        <w:t xml:space="preserve">          - WAIT_FOR_UE</w:t>
      </w:r>
    </w:p>
    <w:p w:rsidR="00CB0DD7" w:rsidRPr="000A0A5F" w:rsidRDefault="00CB0DD7">
      <w:pPr>
        <w:pStyle w:val="PL"/>
      </w:pPr>
      <w:r w:rsidRPr="000A0A5F">
        <w:t xml:space="preserve">          - INDICATE_ERROR</w:t>
      </w:r>
    </w:p>
    <w:p w:rsidR="00CB0DD7" w:rsidRPr="000A0A5F" w:rsidRDefault="00CB0DD7">
      <w:pPr>
        <w:pStyle w:val="PL"/>
      </w:pPr>
      <w:r w:rsidRPr="000A0A5F">
        <w:t xml:space="preserve">          - SEND_TRIGGER</w:t>
      </w:r>
    </w:p>
    <w:p w:rsidR="00CB0DD7" w:rsidRPr="000A0A5F" w:rsidRDefault="00CB0DD7">
      <w:pPr>
        <w:pStyle w:val="PL"/>
      </w:pPr>
      <w:r w:rsidRPr="000A0A5F">
        <w:t xml:space="preserve">      - type: string</w:t>
      </w:r>
    </w:p>
    <w:p w:rsidR="00CB0DD7" w:rsidRPr="000A0A5F" w:rsidRDefault="00CB0DD7">
      <w:pPr>
        <w:pStyle w:val="PL"/>
      </w:pPr>
      <w:r w:rsidRPr="000A0A5F">
        <w:t xml:space="preserve">        description: &gt;</w:t>
      </w:r>
    </w:p>
    <w:p w:rsidR="00CB0DD7" w:rsidRPr="000A0A5F" w:rsidRDefault="00CB0DD7">
      <w:pPr>
        <w:pStyle w:val="PL"/>
      </w:pPr>
      <w:r w:rsidRPr="000A0A5F">
        <w:t xml:space="preserve">          This string provides forward-compatibility with future</w:t>
      </w:r>
    </w:p>
    <w:p w:rsidR="00CB0DD7" w:rsidRPr="000A0A5F" w:rsidRDefault="00CB0DD7">
      <w:pPr>
        <w:pStyle w:val="PL"/>
      </w:pPr>
      <w:r w:rsidRPr="000A0A5F">
        <w:t xml:space="preserve">          extensions to the enumeration but is not used to encode</w:t>
      </w:r>
    </w:p>
    <w:p w:rsidR="00CB0DD7" w:rsidRPr="000A0A5F" w:rsidRDefault="00CB0DD7">
      <w:pPr>
        <w:pStyle w:val="PL"/>
      </w:pPr>
      <w:r w:rsidRPr="000A0A5F">
        <w:t xml:space="preserve">          content defined in the present version of this API.</w:t>
      </w:r>
    </w:p>
    <w:p w:rsidR="00CB0DD7" w:rsidRPr="000A0A5F" w:rsidRDefault="00CB0DD7">
      <w:pPr>
        <w:pStyle w:val="PL"/>
      </w:pPr>
      <w:r w:rsidRPr="000A0A5F">
        <w:t xml:space="preserve">      description: </w:t>
      </w:r>
      <w:r w:rsidR="000E4E99" w:rsidRPr="000A0A5F">
        <w:t>|</w:t>
      </w:r>
    </w:p>
    <w:p w:rsidR="000E4E99" w:rsidRPr="000A0A5F" w:rsidRDefault="000E4E99" w:rsidP="000E4E99">
      <w:pPr>
        <w:pStyle w:val="PL"/>
      </w:pPr>
      <w:r w:rsidRPr="000A0A5F">
        <w:t xml:space="preserve">        Represents PDN establishment options that describe the network behaviour when</w:t>
      </w:r>
    </w:p>
    <w:p w:rsidR="000E4E99" w:rsidRPr="000A0A5F" w:rsidRDefault="000E4E99" w:rsidP="000E4E99">
      <w:pPr>
        <w:pStyle w:val="PL"/>
      </w:pPr>
      <w:r w:rsidRPr="000A0A5F">
        <w:t xml:space="preserve">        there is no PDN connection towards the addressed UE.  </w:t>
      </w:r>
    </w:p>
    <w:p w:rsidR="00CB0DD7" w:rsidRPr="000A0A5F" w:rsidRDefault="00CB0DD7">
      <w:pPr>
        <w:pStyle w:val="PL"/>
      </w:pPr>
      <w:r w:rsidRPr="000A0A5F">
        <w:t xml:space="preserve">        Possible values are</w:t>
      </w:r>
      <w:r w:rsidR="00957637" w:rsidRPr="000A0A5F">
        <w:t>:</w:t>
      </w:r>
    </w:p>
    <w:p w:rsidR="00CB0DD7" w:rsidRPr="000A0A5F" w:rsidRDefault="00CB0DD7">
      <w:pPr>
        <w:pStyle w:val="PL"/>
      </w:pPr>
      <w:r w:rsidRPr="000A0A5F">
        <w:t xml:space="preserve">        - WAIT_FOR_UE: wait for the UE to establish the PDN connection </w:t>
      </w:r>
    </w:p>
    <w:p w:rsidR="00CB0DD7" w:rsidRPr="000A0A5F" w:rsidRDefault="00CB0DD7">
      <w:pPr>
        <w:pStyle w:val="PL"/>
      </w:pPr>
      <w:r w:rsidRPr="000A0A5F">
        <w:t xml:space="preserve">        - INDICATE_ERROR: respond with an error cause</w:t>
      </w:r>
    </w:p>
    <w:p w:rsidR="00CB0DD7" w:rsidRPr="000A0A5F" w:rsidRDefault="00CB0DD7">
      <w:pPr>
        <w:pStyle w:val="PL"/>
      </w:pPr>
      <w:r w:rsidRPr="000A0A5F">
        <w:t xml:space="preserve">        - SEND_TRIGGER: send a device trigger</w:t>
      </w:r>
    </w:p>
    <w:p w:rsidR="00127816" w:rsidRPr="000A0A5F" w:rsidRDefault="00127816">
      <w:pPr>
        <w:pStyle w:val="PL"/>
      </w:pPr>
    </w:p>
    <w:p w:rsidR="00CB0DD7" w:rsidRPr="000A0A5F" w:rsidRDefault="00CB0DD7">
      <w:pPr>
        <w:pStyle w:val="PL"/>
      </w:pPr>
      <w:r w:rsidRPr="000A0A5F">
        <w:t xml:space="preserve">    PdnEstablishmentOptionsRm:</w:t>
      </w:r>
    </w:p>
    <w:p w:rsidR="00127816" w:rsidRPr="000A0A5F" w:rsidRDefault="00CB0DD7">
      <w:pPr>
        <w:pStyle w:val="PL"/>
      </w:pPr>
      <w:r w:rsidRPr="000A0A5F">
        <w:t xml:space="preserve">      description: </w:t>
      </w:r>
      <w:r w:rsidR="00127816" w:rsidRPr="000A0A5F">
        <w:t>&gt;</w:t>
      </w:r>
    </w:p>
    <w:p w:rsidR="00127816" w:rsidRPr="000A0A5F" w:rsidRDefault="00127816">
      <w:pPr>
        <w:pStyle w:val="PL"/>
      </w:pPr>
      <w:r w:rsidRPr="000A0A5F">
        <w:t xml:space="preserve">        </w:t>
      </w:r>
      <w:r w:rsidR="00CB0DD7" w:rsidRPr="000A0A5F">
        <w:t>Represents the same information as the PdnEstablishmentOptions data type with the</w:t>
      </w:r>
    </w:p>
    <w:p w:rsidR="00CB0DD7" w:rsidRPr="000A0A5F" w:rsidRDefault="00127816">
      <w:pPr>
        <w:pStyle w:val="PL"/>
      </w:pPr>
      <w:r w:rsidRPr="000A0A5F">
        <w:t xml:space="preserve">       </w:t>
      </w:r>
      <w:r w:rsidR="00CB0DD7" w:rsidRPr="000A0A5F">
        <w:t xml:space="preserve"> difference that it allows also the </w:t>
      </w:r>
      <w:r w:rsidR="00CB0DD7" w:rsidRPr="000A0A5F">
        <w:rPr>
          <w:lang w:eastAsia="zh-CN"/>
        </w:rPr>
        <w:t>null value</w:t>
      </w:r>
      <w:r w:rsidR="00CB0DD7" w:rsidRPr="000A0A5F">
        <w:rPr>
          <w:lang w:val="en-US" w:eastAsia="zh-CN"/>
        </w:rPr>
        <w:t>.</w:t>
      </w:r>
    </w:p>
    <w:p w:rsidR="00CB0DD7" w:rsidRPr="000A0A5F" w:rsidRDefault="00CB0DD7">
      <w:pPr>
        <w:pStyle w:val="PL"/>
      </w:pPr>
      <w:r w:rsidRPr="000A0A5F">
        <w:t xml:space="preserve">      anyOf: </w:t>
      </w:r>
    </w:p>
    <w:p w:rsidR="00CB0DD7" w:rsidRPr="000A0A5F" w:rsidRDefault="00CB0DD7">
      <w:pPr>
        <w:pStyle w:val="PL"/>
      </w:pPr>
      <w:r w:rsidRPr="000A0A5F">
        <w:t xml:space="preserve">        - $ref: '#/components/schemas/PdnEstablishmentOptions'</w:t>
      </w:r>
    </w:p>
    <w:p w:rsidR="00CB0DD7" w:rsidRPr="000A0A5F" w:rsidRDefault="00CB0DD7">
      <w:pPr>
        <w:pStyle w:val="PL"/>
      </w:pPr>
      <w:r w:rsidRPr="000A0A5F">
        <w:t xml:space="preserve">        - </w:t>
      </w:r>
      <w:r w:rsidRPr="000A0A5F">
        <w:rPr>
          <w:rFonts w:cs="Courier New"/>
          <w:szCs w:val="16"/>
        </w:rPr>
        <w:t>$ref: 'TS29571_CommonData.yaml#/components/schemas/</w:t>
      </w:r>
      <w:r w:rsidRPr="000A0A5F">
        <w:t>NullValue'</w:t>
      </w:r>
    </w:p>
    <w:p w:rsidR="00127816" w:rsidRPr="000A0A5F" w:rsidRDefault="00127816">
      <w:pPr>
        <w:pStyle w:val="PL"/>
      </w:pPr>
    </w:p>
    <w:p w:rsidR="00CB0DD7" w:rsidRPr="000A0A5F" w:rsidRDefault="00CB0DD7">
      <w:pPr>
        <w:pStyle w:val="PL"/>
      </w:pPr>
      <w:r w:rsidRPr="000A0A5F">
        <w:t xml:space="preserve">    DeliveryStatus:</w:t>
      </w:r>
    </w:p>
    <w:p w:rsidR="00CB0DD7" w:rsidRPr="000A0A5F" w:rsidRDefault="00CB0DD7">
      <w:pPr>
        <w:pStyle w:val="PL"/>
      </w:pPr>
      <w:r w:rsidRPr="000A0A5F">
        <w:t xml:space="preserve">      anyOf:</w:t>
      </w:r>
    </w:p>
    <w:p w:rsidR="00CB0DD7" w:rsidRPr="000A0A5F" w:rsidRDefault="00CB0DD7">
      <w:pPr>
        <w:pStyle w:val="PL"/>
      </w:pPr>
      <w:r w:rsidRPr="000A0A5F">
        <w:t xml:space="preserve">      - type: string</w:t>
      </w:r>
    </w:p>
    <w:p w:rsidR="00CB0DD7" w:rsidRPr="000A0A5F" w:rsidRDefault="00CB0DD7">
      <w:pPr>
        <w:pStyle w:val="PL"/>
      </w:pPr>
      <w:r w:rsidRPr="000A0A5F">
        <w:t xml:space="preserve">        enum:</w:t>
      </w:r>
    </w:p>
    <w:p w:rsidR="00CB0DD7" w:rsidRPr="000A0A5F" w:rsidRDefault="00CB0DD7">
      <w:pPr>
        <w:pStyle w:val="PL"/>
      </w:pPr>
      <w:r w:rsidRPr="000A0A5F">
        <w:t xml:space="preserve">          - SUCCESS</w:t>
      </w:r>
    </w:p>
    <w:p w:rsidR="00CB0DD7" w:rsidRPr="000A0A5F" w:rsidRDefault="00CB0DD7">
      <w:pPr>
        <w:pStyle w:val="PL"/>
      </w:pPr>
      <w:r w:rsidRPr="000A0A5F">
        <w:t xml:space="preserve">          - SUCCESS_NEXT_HOP_ACKNOWLEDGED</w:t>
      </w:r>
    </w:p>
    <w:p w:rsidR="00CB0DD7" w:rsidRPr="000A0A5F" w:rsidRDefault="00CB0DD7">
      <w:pPr>
        <w:pStyle w:val="PL"/>
      </w:pPr>
      <w:r w:rsidRPr="000A0A5F">
        <w:t xml:space="preserve">          - SUCCESS_NEXT_HOP_UNACKNOWLEDGED</w:t>
      </w:r>
    </w:p>
    <w:p w:rsidR="00CB0DD7" w:rsidRPr="000A0A5F" w:rsidRDefault="00CB0DD7">
      <w:pPr>
        <w:pStyle w:val="PL"/>
      </w:pPr>
      <w:r w:rsidRPr="000A0A5F">
        <w:t xml:space="preserve">          - SUCCESS_ACKNOWLEDGED</w:t>
      </w:r>
    </w:p>
    <w:p w:rsidR="00CB0DD7" w:rsidRPr="000A0A5F" w:rsidRDefault="00CB0DD7">
      <w:pPr>
        <w:pStyle w:val="PL"/>
      </w:pPr>
      <w:r w:rsidRPr="000A0A5F">
        <w:t xml:space="preserve">          - SUCCESS_UNACKNOWLEDGED</w:t>
      </w:r>
    </w:p>
    <w:p w:rsidR="00CB0DD7" w:rsidRPr="000A0A5F" w:rsidRDefault="00CB0DD7">
      <w:pPr>
        <w:pStyle w:val="PL"/>
      </w:pPr>
      <w:r w:rsidRPr="000A0A5F">
        <w:t xml:space="preserve">          - TRIGGERED</w:t>
      </w:r>
    </w:p>
    <w:p w:rsidR="00CB0DD7" w:rsidRPr="000A0A5F" w:rsidRDefault="00CB0DD7">
      <w:pPr>
        <w:pStyle w:val="PL"/>
      </w:pPr>
      <w:r w:rsidRPr="000A0A5F">
        <w:t xml:space="preserve">          - BUFFERING</w:t>
      </w:r>
    </w:p>
    <w:p w:rsidR="00CB0DD7" w:rsidRPr="000A0A5F" w:rsidRDefault="00CB0DD7">
      <w:pPr>
        <w:pStyle w:val="PL"/>
      </w:pPr>
      <w:r w:rsidRPr="000A0A5F">
        <w:t xml:space="preserve">          - BUFFERING_TEMPORARILY_NOT_REACHABLE</w:t>
      </w:r>
    </w:p>
    <w:p w:rsidR="00CB0DD7" w:rsidRPr="000A0A5F" w:rsidRDefault="00CB0DD7">
      <w:pPr>
        <w:pStyle w:val="PL"/>
      </w:pPr>
      <w:r w:rsidRPr="000A0A5F">
        <w:t xml:space="preserve">          - SENDING</w:t>
      </w:r>
    </w:p>
    <w:p w:rsidR="00CB0DD7" w:rsidRPr="000A0A5F" w:rsidRDefault="00CB0DD7">
      <w:pPr>
        <w:pStyle w:val="PL"/>
      </w:pPr>
      <w:r w:rsidRPr="000A0A5F">
        <w:t xml:space="preserve">          - FAILURE</w:t>
      </w:r>
    </w:p>
    <w:p w:rsidR="00CB0DD7" w:rsidRPr="000A0A5F" w:rsidRDefault="00CB0DD7">
      <w:pPr>
        <w:pStyle w:val="PL"/>
      </w:pPr>
      <w:r w:rsidRPr="000A0A5F">
        <w:t xml:space="preserve">          - FAILURE_RDS_DISABLED</w:t>
      </w:r>
    </w:p>
    <w:p w:rsidR="00CB0DD7" w:rsidRPr="000A0A5F" w:rsidRDefault="00CB0DD7">
      <w:pPr>
        <w:pStyle w:val="PL"/>
      </w:pPr>
      <w:r w:rsidRPr="000A0A5F">
        <w:t xml:space="preserve">          - FAILURE_NEXT_HOP</w:t>
      </w:r>
    </w:p>
    <w:p w:rsidR="00CB0DD7" w:rsidRPr="000A0A5F" w:rsidRDefault="00CB0DD7">
      <w:pPr>
        <w:pStyle w:val="PL"/>
      </w:pPr>
      <w:r w:rsidRPr="000A0A5F">
        <w:t xml:space="preserve">          - FAILURE_TIMEOUT</w:t>
      </w:r>
    </w:p>
    <w:p w:rsidR="00CB0DD7" w:rsidRPr="000A0A5F" w:rsidRDefault="00CB0DD7">
      <w:pPr>
        <w:pStyle w:val="PL"/>
      </w:pPr>
      <w:r w:rsidRPr="000A0A5F">
        <w:t xml:space="preserve">          - FAILURE_TEMPORARILY_NOT_REACHABLE</w:t>
      </w:r>
    </w:p>
    <w:p w:rsidR="00CB0DD7" w:rsidRPr="000A0A5F" w:rsidRDefault="00CB0DD7">
      <w:pPr>
        <w:pStyle w:val="PL"/>
      </w:pPr>
      <w:r w:rsidRPr="000A0A5F">
        <w:t xml:space="preserve">      - type: string</w:t>
      </w:r>
    </w:p>
    <w:p w:rsidR="00CB0DD7" w:rsidRPr="000A0A5F" w:rsidRDefault="00CB0DD7">
      <w:pPr>
        <w:pStyle w:val="PL"/>
      </w:pPr>
      <w:r w:rsidRPr="000A0A5F">
        <w:t xml:space="preserve">        description: &gt;</w:t>
      </w:r>
    </w:p>
    <w:p w:rsidR="00CB0DD7" w:rsidRPr="000A0A5F" w:rsidRDefault="00CB0DD7">
      <w:pPr>
        <w:pStyle w:val="PL"/>
      </w:pPr>
      <w:r w:rsidRPr="000A0A5F">
        <w:t xml:space="preserve">          This string provides forward-compatibility with future</w:t>
      </w:r>
    </w:p>
    <w:p w:rsidR="00CB0DD7" w:rsidRPr="000A0A5F" w:rsidRDefault="00CB0DD7">
      <w:pPr>
        <w:pStyle w:val="PL"/>
      </w:pPr>
      <w:r w:rsidRPr="000A0A5F">
        <w:t xml:space="preserve">          extensions to the enumeration but is not used to encode</w:t>
      </w:r>
    </w:p>
    <w:p w:rsidR="00CB0DD7" w:rsidRPr="000A0A5F" w:rsidRDefault="00CB0DD7">
      <w:pPr>
        <w:pStyle w:val="PL"/>
      </w:pPr>
      <w:r w:rsidRPr="000A0A5F">
        <w:t xml:space="preserve">          content defined in the present version of this API.</w:t>
      </w:r>
    </w:p>
    <w:p w:rsidR="00CB0DD7" w:rsidRPr="000A0A5F" w:rsidRDefault="00CB0DD7">
      <w:pPr>
        <w:pStyle w:val="PL"/>
      </w:pPr>
      <w:r w:rsidRPr="000A0A5F">
        <w:t xml:space="preserve">      description: </w:t>
      </w:r>
      <w:r w:rsidR="00957637" w:rsidRPr="000A0A5F">
        <w:t>|</w:t>
      </w:r>
    </w:p>
    <w:p w:rsidR="00957637" w:rsidRPr="000A0A5F" w:rsidRDefault="00957637">
      <w:pPr>
        <w:pStyle w:val="PL"/>
      </w:pPr>
      <w:r w:rsidRPr="000A0A5F">
        <w:t xml:space="preserve">        Represents the status of a downlink NIDD data delivery resource.  </w:t>
      </w:r>
    </w:p>
    <w:p w:rsidR="00CB0DD7" w:rsidRPr="000A0A5F" w:rsidRDefault="00CB0DD7">
      <w:pPr>
        <w:pStyle w:val="PL"/>
      </w:pPr>
      <w:r w:rsidRPr="000A0A5F">
        <w:t xml:space="preserve">        Possible values are</w:t>
      </w:r>
      <w:r w:rsidR="00957637" w:rsidRPr="000A0A5F">
        <w:t>:</w:t>
      </w:r>
    </w:p>
    <w:p w:rsidR="00CB0DD7" w:rsidRPr="000A0A5F" w:rsidRDefault="00CB0DD7">
      <w:pPr>
        <w:pStyle w:val="PL"/>
      </w:pPr>
      <w:r w:rsidRPr="000A0A5F">
        <w:t xml:space="preserve">        - SUCCESS: Success but details not provided</w:t>
      </w:r>
    </w:p>
    <w:p w:rsidR="00CB0DD7" w:rsidRPr="000A0A5F" w:rsidRDefault="00CB0DD7">
      <w:pPr>
        <w:pStyle w:val="PL"/>
      </w:pPr>
      <w:r w:rsidRPr="000A0A5F">
        <w:t xml:space="preserve">        - SUCCESS_NEXT_HOP_ACKNOWLEDGED: Successful delivery to the next hop with acknowledgment.</w:t>
      </w:r>
    </w:p>
    <w:p w:rsidR="00957637" w:rsidRPr="000A0A5F" w:rsidRDefault="00CB0DD7">
      <w:pPr>
        <w:pStyle w:val="PL"/>
      </w:pPr>
      <w:r w:rsidRPr="000A0A5F">
        <w:t xml:space="preserve">        - SUCCESS_NEXT_HOP_UNACKNOWLEDGED: Successful delivery to the next hop without</w:t>
      </w:r>
    </w:p>
    <w:p w:rsidR="00CB0DD7" w:rsidRPr="000A0A5F" w:rsidRDefault="00957637">
      <w:pPr>
        <w:pStyle w:val="PL"/>
      </w:pPr>
      <w:r w:rsidRPr="000A0A5F">
        <w:t xml:space="preserve">         </w:t>
      </w:r>
      <w:r w:rsidR="00CB0DD7" w:rsidRPr="000A0A5F">
        <w:t xml:space="preserve"> acknowledgment</w:t>
      </w:r>
    </w:p>
    <w:p w:rsidR="00CB0DD7" w:rsidRPr="000A0A5F" w:rsidRDefault="00CB0DD7">
      <w:pPr>
        <w:pStyle w:val="PL"/>
      </w:pPr>
      <w:r w:rsidRPr="000A0A5F">
        <w:t xml:space="preserve">        - SUCCESS_ACKNOWLEDGED: Reliable delivery was acknowledged by the UE</w:t>
      </w:r>
    </w:p>
    <w:p w:rsidR="00CB0DD7" w:rsidRPr="000A0A5F" w:rsidRDefault="00CB0DD7">
      <w:pPr>
        <w:pStyle w:val="PL"/>
      </w:pPr>
      <w:r w:rsidRPr="000A0A5F">
        <w:t xml:space="preserve">        - SUCCESS_UNACKNOWLEDGED: Reliable delivery was not acknowledged by the UE</w:t>
      </w:r>
    </w:p>
    <w:p w:rsidR="00CB0DD7" w:rsidRPr="000A0A5F" w:rsidRDefault="00CB0DD7">
      <w:pPr>
        <w:pStyle w:val="PL"/>
      </w:pPr>
      <w:r w:rsidRPr="000A0A5F">
        <w:t xml:space="preserve">        - TRIGGERED: The SCEF triggered the device and is buffering the data.</w:t>
      </w:r>
    </w:p>
    <w:p w:rsidR="00CB0DD7" w:rsidRPr="000A0A5F" w:rsidRDefault="00CB0DD7">
      <w:pPr>
        <w:pStyle w:val="PL"/>
      </w:pPr>
      <w:r w:rsidRPr="000A0A5F">
        <w:t xml:space="preserve">        - BUFFERING: The SCEF is buffering the data due to no PDN connection established.</w:t>
      </w:r>
    </w:p>
    <w:p w:rsidR="00957637" w:rsidRPr="000A0A5F" w:rsidRDefault="00CB0DD7">
      <w:pPr>
        <w:pStyle w:val="PL"/>
      </w:pPr>
      <w:r w:rsidRPr="000A0A5F">
        <w:t xml:space="preserve">        - BUFFERING_TEMPORARILY_NOT_REACHABLE: The SCEF has been informed that the UE is temporarily</w:t>
      </w:r>
    </w:p>
    <w:p w:rsidR="00CB0DD7" w:rsidRPr="000A0A5F" w:rsidRDefault="00957637">
      <w:pPr>
        <w:pStyle w:val="PL"/>
      </w:pPr>
      <w:r w:rsidRPr="000A0A5F">
        <w:t xml:space="preserve">         </w:t>
      </w:r>
      <w:r w:rsidR="00CB0DD7" w:rsidRPr="000A0A5F">
        <w:t xml:space="preserve"> not reachable but is buffering the data</w:t>
      </w:r>
    </w:p>
    <w:p w:rsidR="00CB0DD7" w:rsidRPr="000A0A5F" w:rsidRDefault="00CB0DD7">
      <w:pPr>
        <w:pStyle w:val="PL"/>
      </w:pPr>
      <w:r w:rsidRPr="000A0A5F">
        <w:t xml:space="preserve">        - SENDING: The SCEF has forwarded the data, but they may be stored elsewhere</w:t>
      </w:r>
    </w:p>
    <w:p w:rsidR="00CB0DD7" w:rsidRPr="000A0A5F" w:rsidRDefault="00CB0DD7">
      <w:pPr>
        <w:pStyle w:val="PL"/>
      </w:pPr>
      <w:r w:rsidRPr="000A0A5F">
        <w:t xml:space="preserve">        - FAILURE: Delivery failure but details not provided</w:t>
      </w:r>
    </w:p>
    <w:p w:rsidR="00CB0DD7" w:rsidRPr="000A0A5F" w:rsidRDefault="00CB0DD7">
      <w:pPr>
        <w:pStyle w:val="PL"/>
      </w:pPr>
      <w:r w:rsidRPr="000A0A5F">
        <w:t xml:space="preserve">        - FAILURE_RDS_DISABLED: RDS was disabled</w:t>
      </w:r>
    </w:p>
    <w:p w:rsidR="00CB0DD7" w:rsidRPr="000A0A5F" w:rsidRDefault="00CB0DD7">
      <w:pPr>
        <w:pStyle w:val="PL"/>
      </w:pPr>
      <w:r w:rsidRPr="000A0A5F">
        <w:t xml:space="preserve">        - FAILURE_NEXT_HOP: Unsuccessful delivery to the next hop.</w:t>
      </w:r>
    </w:p>
    <w:p w:rsidR="00CB0DD7" w:rsidRPr="000A0A5F" w:rsidRDefault="00CB0DD7">
      <w:pPr>
        <w:pStyle w:val="PL"/>
      </w:pPr>
      <w:r w:rsidRPr="000A0A5F">
        <w:t xml:space="preserve">        - FAILURE_TIMEOUT: Unsuccessful delivery due to timeout. </w:t>
      </w:r>
    </w:p>
    <w:p w:rsidR="00957637" w:rsidRPr="000A0A5F" w:rsidRDefault="00CB0DD7">
      <w:pPr>
        <w:pStyle w:val="PL"/>
      </w:pPr>
      <w:r w:rsidRPr="000A0A5F">
        <w:t xml:space="preserve">        - FAILURE_TEMPORARILY_NOT_REACHABLE: The SCEF has been informed that the UE is temporarily</w:t>
      </w:r>
    </w:p>
    <w:p w:rsidR="00CB0DD7" w:rsidRPr="000A0A5F" w:rsidRDefault="00957637">
      <w:pPr>
        <w:pStyle w:val="PL"/>
      </w:pPr>
      <w:r w:rsidRPr="000A0A5F">
        <w:t xml:space="preserve">         </w:t>
      </w:r>
      <w:r w:rsidR="00CB0DD7" w:rsidRPr="000A0A5F">
        <w:t xml:space="preserve"> not reachable without buffering the data.</w:t>
      </w:r>
    </w:p>
    <w:p w:rsidR="00CB0DD7" w:rsidRPr="000A0A5F" w:rsidRDefault="00CB0DD7">
      <w:pPr>
        <w:pStyle w:val="PL"/>
      </w:pPr>
      <w:r w:rsidRPr="000A0A5F">
        <w:t xml:space="preserve">      readOnly: true</w:t>
      </w:r>
    </w:p>
    <w:p w:rsidR="00957637" w:rsidRPr="000A0A5F" w:rsidRDefault="00957637">
      <w:pPr>
        <w:pStyle w:val="PL"/>
      </w:pPr>
    </w:p>
    <w:p w:rsidR="00CB0DD7" w:rsidRPr="000A0A5F" w:rsidRDefault="00CB0DD7">
      <w:pPr>
        <w:pStyle w:val="PL"/>
      </w:pPr>
      <w:r w:rsidRPr="000A0A5F">
        <w:t xml:space="preserve">    NiddStatus:</w:t>
      </w:r>
    </w:p>
    <w:p w:rsidR="00CB0DD7" w:rsidRPr="000A0A5F" w:rsidRDefault="00CB0DD7">
      <w:pPr>
        <w:pStyle w:val="PL"/>
      </w:pPr>
      <w:r w:rsidRPr="000A0A5F">
        <w:t xml:space="preserve">      anyOf:</w:t>
      </w:r>
    </w:p>
    <w:p w:rsidR="00CB0DD7" w:rsidRPr="000A0A5F" w:rsidRDefault="00CB0DD7">
      <w:pPr>
        <w:pStyle w:val="PL"/>
      </w:pPr>
      <w:r w:rsidRPr="000A0A5F">
        <w:t xml:space="preserve">      - type: string</w:t>
      </w:r>
    </w:p>
    <w:p w:rsidR="00CB0DD7" w:rsidRPr="000A0A5F" w:rsidRDefault="00CB0DD7">
      <w:pPr>
        <w:pStyle w:val="PL"/>
      </w:pPr>
      <w:r w:rsidRPr="000A0A5F">
        <w:t xml:space="preserve">        enum:</w:t>
      </w:r>
    </w:p>
    <w:p w:rsidR="00CB0DD7" w:rsidRPr="000A0A5F" w:rsidRDefault="00CB0DD7">
      <w:pPr>
        <w:pStyle w:val="PL"/>
      </w:pPr>
      <w:r w:rsidRPr="000A0A5F">
        <w:t xml:space="preserve">          - ACTIVE</w:t>
      </w:r>
    </w:p>
    <w:p w:rsidR="00CB0DD7" w:rsidRPr="000A0A5F" w:rsidRDefault="00CB0DD7">
      <w:pPr>
        <w:pStyle w:val="PL"/>
      </w:pPr>
      <w:r w:rsidRPr="000A0A5F">
        <w:t xml:space="preserve">          - TERMINATED_UE_NOT_AUTHORIZED</w:t>
      </w:r>
    </w:p>
    <w:p w:rsidR="00CB0DD7" w:rsidRPr="000A0A5F" w:rsidRDefault="00CB0DD7">
      <w:pPr>
        <w:pStyle w:val="PL"/>
      </w:pPr>
      <w:r w:rsidRPr="000A0A5F">
        <w:t xml:space="preserve">          - TERMINATED</w:t>
      </w:r>
    </w:p>
    <w:p w:rsidR="00CB0DD7" w:rsidRPr="000A0A5F" w:rsidRDefault="00CB0DD7">
      <w:pPr>
        <w:pStyle w:val="PL"/>
      </w:pPr>
      <w:r w:rsidRPr="000A0A5F">
        <w:t xml:space="preserve">          - RDS_PORT_UNKNOWN</w:t>
      </w:r>
    </w:p>
    <w:p w:rsidR="00CB0DD7" w:rsidRPr="000A0A5F" w:rsidRDefault="00CB0DD7">
      <w:pPr>
        <w:pStyle w:val="PL"/>
      </w:pPr>
      <w:r w:rsidRPr="000A0A5F">
        <w:t xml:space="preserve">      - type: string</w:t>
      </w:r>
    </w:p>
    <w:p w:rsidR="00CB0DD7" w:rsidRPr="000A0A5F" w:rsidRDefault="00CB0DD7">
      <w:pPr>
        <w:pStyle w:val="PL"/>
      </w:pPr>
      <w:r w:rsidRPr="000A0A5F">
        <w:t xml:space="preserve">        description: &gt;</w:t>
      </w:r>
    </w:p>
    <w:p w:rsidR="00CB0DD7" w:rsidRPr="000A0A5F" w:rsidRDefault="00CB0DD7">
      <w:pPr>
        <w:pStyle w:val="PL"/>
      </w:pPr>
      <w:r w:rsidRPr="000A0A5F">
        <w:t xml:space="preserve">          This string provides forward-compatibility with future</w:t>
      </w:r>
    </w:p>
    <w:p w:rsidR="00CB0DD7" w:rsidRPr="000A0A5F" w:rsidRDefault="00CB0DD7">
      <w:pPr>
        <w:pStyle w:val="PL"/>
      </w:pPr>
      <w:r w:rsidRPr="000A0A5F">
        <w:t xml:space="preserve">          extensions to the enumeration but is not used to encode</w:t>
      </w:r>
    </w:p>
    <w:p w:rsidR="00CB0DD7" w:rsidRPr="000A0A5F" w:rsidRDefault="00CB0DD7">
      <w:pPr>
        <w:pStyle w:val="PL"/>
      </w:pPr>
      <w:r w:rsidRPr="000A0A5F">
        <w:t xml:space="preserve">          content defined in the present version of this API.</w:t>
      </w:r>
    </w:p>
    <w:p w:rsidR="00CB0DD7" w:rsidRPr="000A0A5F" w:rsidRDefault="00CB0DD7">
      <w:pPr>
        <w:pStyle w:val="PL"/>
      </w:pPr>
      <w:r w:rsidRPr="000A0A5F">
        <w:t xml:space="preserve">      description: </w:t>
      </w:r>
      <w:r w:rsidR="00957637" w:rsidRPr="000A0A5F">
        <w:t>|</w:t>
      </w:r>
    </w:p>
    <w:p w:rsidR="00957637" w:rsidRPr="000A0A5F" w:rsidRDefault="00957637">
      <w:pPr>
        <w:pStyle w:val="PL"/>
      </w:pPr>
      <w:r w:rsidRPr="000A0A5F">
        <w:t xml:space="preserve">        Represents the status of a NIDD</w:t>
      </w:r>
      <w:r w:rsidRPr="000A0A5F">
        <w:rPr>
          <w:rFonts w:hint="eastAsia"/>
          <w:lang w:eastAsia="zh-CN"/>
        </w:rPr>
        <w:t xml:space="preserve"> configuration</w:t>
      </w:r>
      <w:r w:rsidRPr="000A0A5F">
        <w:rPr>
          <w:lang w:eastAsia="zh-CN"/>
        </w:rPr>
        <w:t xml:space="preserve">.  </w:t>
      </w:r>
    </w:p>
    <w:p w:rsidR="00CB0DD7" w:rsidRPr="000A0A5F" w:rsidRDefault="00CB0DD7">
      <w:pPr>
        <w:pStyle w:val="PL"/>
      </w:pPr>
      <w:r w:rsidRPr="000A0A5F">
        <w:t xml:space="preserve">        Possible values are</w:t>
      </w:r>
      <w:r w:rsidR="00957637" w:rsidRPr="000A0A5F">
        <w:t>:</w:t>
      </w:r>
    </w:p>
    <w:p w:rsidR="00CB0DD7" w:rsidRPr="000A0A5F" w:rsidRDefault="00CB0DD7">
      <w:pPr>
        <w:pStyle w:val="PL"/>
      </w:pPr>
      <w:r w:rsidRPr="000A0A5F">
        <w:t xml:space="preserve">        - ACTIVE: The NIDD configuration is active.</w:t>
      </w:r>
    </w:p>
    <w:p w:rsidR="00957637" w:rsidRPr="000A0A5F" w:rsidRDefault="00CB0DD7">
      <w:pPr>
        <w:pStyle w:val="PL"/>
      </w:pPr>
      <w:r w:rsidRPr="000A0A5F">
        <w:t xml:space="preserve">        - TERMINATED_UE_NOT_AUTHORIZED: The NIDD configuration was terminated because the UE´s</w:t>
      </w:r>
    </w:p>
    <w:p w:rsidR="00CB0DD7" w:rsidRPr="000A0A5F" w:rsidRDefault="00957637">
      <w:pPr>
        <w:pStyle w:val="PL"/>
      </w:pPr>
      <w:r w:rsidRPr="000A0A5F">
        <w:t xml:space="preserve">         </w:t>
      </w:r>
      <w:r w:rsidR="00CB0DD7" w:rsidRPr="000A0A5F">
        <w:t xml:space="preserve"> authorisation was revoked.</w:t>
      </w:r>
    </w:p>
    <w:p w:rsidR="00CB0DD7" w:rsidRPr="000A0A5F" w:rsidRDefault="00CB0DD7">
      <w:pPr>
        <w:pStyle w:val="PL"/>
      </w:pPr>
      <w:r w:rsidRPr="000A0A5F">
        <w:t xml:space="preserve">        - TERMINATED: The NIDD configuration was terminated.</w:t>
      </w:r>
    </w:p>
    <w:p w:rsidR="00CB0DD7" w:rsidRPr="000A0A5F" w:rsidRDefault="00CB0DD7">
      <w:pPr>
        <w:pStyle w:val="PL"/>
      </w:pPr>
      <w:r w:rsidRPr="000A0A5F">
        <w:t xml:space="preserve">        - RDS_PORT_UNKNOWN: The RDS port is unknown.</w:t>
      </w:r>
    </w:p>
    <w:p w:rsidR="00CB0DD7" w:rsidRPr="000A0A5F" w:rsidRDefault="00CB0DD7">
      <w:pPr>
        <w:pStyle w:val="PL"/>
      </w:pPr>
      <w:r w:rsidRPr="000A0A5F">
        <w:t xml:space="preserve">      readOnly: true</w:t>
      </w:r>
    </w:p>
    <w:p w:rsidR="00957637" w:rsidRPr="000A0A5F" w:rsidRDefault="00957637">
      <w:pPr>
        <w:pStyle w:val="PL"/>
      </w:pPr>
    </w:p>
    <w:p w:rsidR="00CB0DD7" w:rsidRPr="000A0A5F" w:rsidRDefault="00CB0DD7">
      <w:pPr>
        <w:pStyle w:val="PL"/>
      </w:pPr>
      <w:r w:rsidRPr="000A0A5F">
        <w:t xml:space="preserve">    ManageEntity:</w:t>
      </w:r>
    </w:p>
    <w:p w:rsidR="00CB0DD7" w:rsidRPr="000A0A5F" w:rsidRDefault="00CB0DD7">
      <w:pPr>
        <w:pStyle w:val="PL"/>
      </w:pPr>
      <w:r w:rsidRPr="000A0A5F">
        <w:t xml:space="preserve">      anyOf:</w:t>
      </w:r>
    </w:p>
    <w:p w:rsidR="00CB0DD7" w:rsidRPr="000A0A5F" w:rsidRDefault="00CB0DD7">
      <w:pPr>
        <w:pStyle w:val="PL"/>
      </w:pPr>
      <w:r w:rsidRPr="000A0A5F">
        <w:t xml:space="preserve">      - type: string</w:t>
      </w:r>
    </w:p>
    <w:p w:rsidR="00CB0DD7" w:rsidRPr="000A0A5F" w:rsidRDefault="00CB0DD7">
      <w:pPr>
        <w:pStyle w:val="PL"/>
      </w:pPr>
      <w:r w:rsidRPr="000A0A5F">
        <w:t xml:space="preserve">        enum:</w:t>
      </w:r>
    </w:p>
    <w:p w:rsidR="00CB0DD7" w:rsidRPr="000A0A5F" w:rsidRDefault="00CB0DD7">
      <w:pPr>
        <w:pStyle w:val="PL"/>
      </w:pPr>
      <w:r w:rsidRPr="000A0A5F">
        <w:t xml:space="preserve">          - UE</w:t>
      </w:r>
    </w:p>
    <w:p w:rsidR="00CB0DD7" w:rsidRPr="000A0A5F" w:rsidRDefault="00CB0DD7">
      <w:pPr>
        <w:pStyle w:val="PL"/>
      </w:pPr>
      <w:r w:rsidRPr="000A0A5F">
        <w:t xml:space="preserve">          - AS</w:t>
      </w:r>
    </w:p>
    <w:p w:rsidR="00CB0DD7" w:rsidRPr="000A0A5F" w:rsidRDefault="00CB0DD7">
      <w:pPr>
        <w:pStyle w:val="PL"/>
      </w:pPr>
      <w:r w:rsidRPr="000A0A5F">
        <w:t xml:space="preserve">      - type: string</w:t>
      </w:r>
    </w:p>
    <w:p w:rsidR="00CB0DD7" w:rsidRPr="000A0A5F" w:rsidRDefault="00CB0DD7">
      <w:pPr>
        <w:pStyle w:val="PL"/>
      </w:pPr>
      <w:r w:rsidRPr="000A0A5F">
        <w:t xml:space="preserve">        description: &gt;</w:t>
      </w:r>
    </w:p>
    <w:p w:rsidR="00CB0DD7" w:rsidRPr="000A0A5F" w:rsidRDefault="00CB0DD7">
      <w:pPr>
        <w:pStyle w:val="PL"/>
      </w:pPr>
      <w:r w:rsidRPr="000A0A5F">
        <w:t xml:space="preserve">          This string provides forward-compatibility with future</w:t>
      </w:r>
    </w:p>
    <w:p w:rsidR="00CB0DD7" w:rsidRPr="000A0A5F" w:rsidRDefault="00CB0DD7">
      <w:pPr>
        <w:pStyle w:val="PL"/>
      </w:pPr>
      <w:r w:rsidRPr="000A0A5F">
        <w:t xml:space="preserve">          extensions to the enumeration but is not used to encode</w:t>
      </w:r>
    </w:p>
    <w:p w:rsidR="00CB0DD7" w:rsidRPr="000A0A5F" w:rsidRDefault="00CB0DD7">
      <w:pPr>
        <w:pStyle w:val="PL"/>
      </w:pPr>
      <w:r w:rsidRPr="000A0A5F">
        <w:t xml:space="preserve">          content defined in the present version of this API.</w:t>
      </w:r>
    </w:p>
    <w:p w:rsidR="00CB0DD7" w:rsidRPr="000A0A5F" w:rsidRDefault="00CB0DD7">
      <w:pPr>
        <w:pStyle w:val="PL"/>
      </w:pPr>
      <w:r w:rsidRPr="000A0A5F">
        <w:t xml:space="preserve">      description: </w:t>
      </w:r>
      <w:r w:rsidR="00957637" w:rsidRPr="000A0A5F">
        <w:t>|</w:t>
      </w:r>
    </w:p>
    <w:p w:rsidR="00957637" w:rsidRPr="000A0A5F" w:rsidRDefault="00957637">
      <w:pPr>
        <w:pStyle w:val="PL"/>
      </w:pPr>
      <w:r w:rsidRPr="000A0A5F">
        <w:t xml:space="preserve">        Represents the origin that manages the RDS port.  </w:t>
      </w:r>
    </w:p>
    <w:p w:rsidR="00CB0DD7" w:rsidRPr="000A0A5F" w:rsidRDefault="00CB0DD7">
      <w:pPr>
        <w:pStyle w:val="PL"/>
      </w:pPr>
      <w:r w:rsidRPr="000A0A5F">
        <w:t xml:space="preserve">        Possible values are</w:t>
      </w:r>
      <w:r w:rsidR="00957637" w:rsidRPr="000A0A5F">
        <w:t>:</w:t>
      </w:r>
    </w:p>
    <w:p w:rsidR="00CB0DD7" w:rsidRPr="000A0A5F" w:rsidRDefault="00CB0DD7">
      <w:pPr>
        <w:pStyle w:val="PL"/>
      </w:pPr>
      <w:r w:rsidRPr="000A0A5F">
        <w:t xml:space="preserve">        - UE: Representing the UE.</w:t>
      </w:r>
    </w:p>
    <w:p w:rsidR="00CB0DD7" w:rsidRPr="000A0A5F" w:rsidRDefault="00CB0DD7">
      <w:pPr>
        <w:pStyle w:val="PL"/>
      </w:pPr>
      <w:r w:rsidRPr="000A0A5F">
        <w:t xml:space="preserve">        - AS: Representing the Application Server.</w:t>
      </w:r>
    </w:p>
    <w:p w:rsidR="00CB0DD7" w:rsidRPr="000A0A5F" w:rsidRDefault="00CB0DD7">
      <w:pPr>
        <w:pStyle w:val="PL"/>
      </w:pPr>
      <w:r w:rsidRPr="000A0A5F">
        <w:t xml:space="preserve">      readOnly: true</w:t>
      </w:r>
    </w:p>
    <w:p w:rsidR="00957637" w:rsidRPr="000A0A5F" w:rsidRDefault="00957637">
      <w:pPr>
        <w:pStyle w:val="PL"/>
      </w:pPr>
    </w:p>
    <w:p w:rsidR="00CB0DD7" w:rsidRPr="000A0A5F" w:rsidRDefault="00CB0DD7">
      <w:pPr>
        <w:pStyle w:val="PL"/>
      </w:pPr>
      <w:r w:rsidRPr="000A0A5F">
        <w:t xml:space="preserve">    SerializationFormat:</w:t>
      </w:r>
    </w:p>
    <w:p w:rsidR="00CB0DD7" w:rsidRPr="000A0A5F" w:rsidRDefault="00CB0DD7">
      <w:pPr>
        <w:pStyle w:val="PL"/>
      </w:pPr>
      <w:r w:rsidRPr="000A0A5F">
        <w:t xml:space="preserve">      anyOf:</w:t>
      </w:r>
    </w:p>
    <w:p w:rsidR="00CB0DD7" w:rsidRPr="000A0A5F" w:rsidRDefault="00CB0DD7">
      <w:pPr>
        <w:pStyle w:val="PL"/>
      </w:pPr>
      <w:r w:rsidRPr="000A0A5F">
        <w:t xml:space="preserve">      - type: string</w:t>
      </w:r>
    </w:p>
    <w:p w:rsidR="00CB0DD7" w:rsidRPr="000A0A5F" w:rsidRDefault="00CB0DD7">
      <w:pPr>
        <w:pStyle w:val="PL"/>
      </w:pPr>
      <w:r w:rsidRPr="000A0A5F">
        <w:t xml:space="preserve">        enum:</w:t>
      </w:r>
    </w:p>
    <w:p w:rsidR="00CB0DD7" w:rsidRPr="000A0A5F" w:rsidRDefault="00CB0DD7">
      <w:pPr>
        <w:pStyle w:val="PL"/>
      </w:pPr>
      <w:r w:rsidRPr="000A0A5F">
        <w:t xml:space="preserve">          - CBOR</w:t>
      </w:r>
    </w:p>
    <w:p w:rsidR="00CB0DD7" w:rsidRPr="000A0A5F" w:rsidRDefault="00CB0DD7">
      <w:pPr>
        <w:pStyle w:val="PL"/>
      </w:pPr>
      <w:r w:rsidRPr="000A0A5F">
        <w:t xml:space="preserve">          - JSON</w:t>
      </w:r>
    </w:p>
    <w:p w:rsidR="00CB0DD7" w:rsidRPr="000A0A5F" w:rsidRDefault="00CB0DD7">
      <w:pPr>
        <w:pStyle w:val="PL"/>
      </w:pPr>
      <w:r w:rsidRPr="000A0A5F">
        <w:t xml:space="preserve">          - XML</w:t>
      </w:r>
    </w:p>
    <w:p w:rsidR="00CB0DD7" w:rsidRPr="000A0A5F" w:rsidRDefault="00CB0DD7">
      <w:pPr>
        <w:pStyle w:val="PL"/>
      </w:pPr>
      <w:r w:rsidRPr="000A0A5F">
        <w:t xml:space="preserve">      - type: string</w:t>
      </w:r>
    </w:p>
    <w:p w:rsidR="00CB0DD7" w:rsidRPr="000A0A5F" w:rsidRDefault="00CB0DD7">
      <w:pPr>
        <w:pStyle w:val="PL"/>
      </w:pPr>
      <w:r w:rsidRPr="000A0A5F">
        <w:t xml:space="preserve">        description: &gt;</w:t>
      </w:r>
    </w:p>
    <w:p w:rsidR="00CB0DD7" w:rsidRPr="000A0A5F" w:rsidRDefault="00CB0DD7">
      <w:pPr>
        <w:pStyle w:val="PL"/>
      </w:pPr>
      <w:r w:rsidRPr="000A0A5F">
        <w:t xml:space="preserve">          This string provides forward-compatibility with future</w:t>
      </w:r>
    </w:p>
    <w:p w:rsidR="00CB0DD7" w:rsidRPr="000A0A5F" w:rsidRDefault="00CB0DD7">
      <w:pPr>
        <w:pStyle w:val="PL"/>
      </w:pPr>
      <w:r w:rsidRPr="000A0A5F">
        <w:t xml:space="preserve">          extensions to the enumeration but is not used to encode</w:t>
      </w:r>
    </w:p>
    <w:p w:rsidR="00CB0DD7" w:rsidRPr="000A0A5F" w:rsidRDefault="00CB0DD7">
      <w:pPr>
        <w:pStyle w:val="PL"/>
      </w:pPr>
      <w:r w:rsidRPr="000A0A5F">
        <w:t xml:space="preserve">          content defined in the present version of this API.</w:t>
      </w:r>
    </w:p>
    <w:p w:rsidR="00CB0DD7" w:rsidRPr="000A0A5F" w:rsidRDefault="00CB0DD7">
      <w:pPr>
        <w:pStyle w:val="PL"/>
      </w:pPr>
      <w:r w:rsidRPr="000A0A5F">
        <w:t xml:space="preserve">      description: </w:t>
      </w:r>
      <w:r w:rsidR="00957637" w:rsidRPr="000A0A5F">
        <w:t>|</w:t>
      </w:r>
    </w:p>
    <w:p w:rsidR="00957637" w:rsidRPr="000A0A5F" w:rsidRDefault="00957637">
      <w:pPr>
        <w:pStyle w:val="PL"/>
      </w:pPr>
      <w:r w:rsidRPr="000A0A5F">
        <w:t xml:space="preserve">        Represents a serialization format associated with an RDS port which is applicable</w:t>
      </w:r>
    </w:p>
    <w:p w:rsidR="00957637" w:rsidRPr="000A0A5F" w:rsidRDefault="00957637">
      <w:pPr>
        <w:pStyle w:val="PL"/>
      </w:pPr>
      <w:r w:rsidRPr="000A0A5F">
        <w:t xml:space="preserve">        for the Rds_serialization_format feature.</w:t>
      </w:r>
    </w:p>
    <w:p w:rsidR="00CB0DD7" w:rsidRPr="000A0A5F" w:rsidRDefault="00CB0DD7">
      <w:pPr>
        <w:pStyle w:val="PL"/>
      </w:pPr>
      <w:r w:rsidRPr="000A0A5F">
        <w:t xml:space="preserve">        Possible values are</w:t>
      </w:r>
    </w:p>
    <w:p w:rsidR="00CB0DD7" w:rsidRPr="000A0A5F" w:rsidRDefault="00CB0DD7">
      <w:pPr>
        <w:pStyle w:val="PL"/>
      </w:pPr>
      <w:r w:rsidRPr="000A0A5F">
        <w:t xml:space="preserve">        - CBOR: The CBOR Serialzition format </w:t>
      </w:r>
    </w:p>
    <w:p w:rsidR="00CB0DD7" w:rsidRPr="000A0A5F" w:rsidRDefault="00CB0DD7">
      <w:pPr>
        <w:pStyle w:val="PL"/>
      </w:pPr>
      <w:r w:rsidRPr="000A0A5F">
        <w:t xml:space="preserve">        - JSON: The JSON Serialzition format</w:t>
      </w:r>
    </w:p>
    <w:p w:rsidR="00CB0DD7" w:rsidRPr="000A0A5F" w:rsidRDefault="00CB0DD7">
      <w:pPr>
        <w:pStyle w:val="PL"/>
      </w:pPr>
      <w:r w:rsidRPr="000A0A5F">
        <w:t xml:space="preserve">        - XML: The XML Serialzition format</w:t>
      </w:r>
    </w:p>
    <w:p w:rsidR="00957637" w:rsidRPr="000A0A5F" w:rsidRDefault="00957637">
      <w:pPr>
        <w:pStyle w:val="PL"/>
      </w:pPr>
    </w:p>
    <w:p w:rsidR="00CB0DD7" w:rsidRPr="000A0A5F" w:rsidRDefault="00CB0DD7">
      <w:pPr>
        <w:pStyle w:val="PL"/>
      </w:pPr>
      <w:r w:rsidRPr="000A0A5F">
        <w:t xml:space="preserve">    NiddConfigurationPatch:</w:t>
      </w:r>
    </w:p>
    <w:p w:rsidR="00CB0DD7" w:rsidRPr="000A0A5F" w:rsidRDefault="00CB0DD7">
      <w:pPr>
        <w:pStyle w:val="PL"/>
      </w:pPr>
      <w:r w:rsidRPr="000A0A5F">
        <w:t xml:space="preserve">      description: Represents the parameters to </w:t>
      </w:r>
      <w:r w:rsidRPr="000A0A5F">
        <w:rPr>
          <w:rFonts w:hint="eastAsia"/>
          <w:lang w:eastAsia="zh-CN"/>
        </w:rPr>
        <w:t>update a NIDD configuration</w:t>
      </w:r>
      <w:r w:rsidRPr="000A0A5F">
        <w:rPr>
          <w:lang w:val="en-US" w:eastAsia="zh-CN"/>
        </w:rPr>
        <w:t>.</w:t>
      </w:r>
    </w:p>
    <w:p w:rsidR="00CB0DD7" w:rsidRPr="000A0A5F" w:rsidRDefault="00CB0DD7">
      <w:pPr>
        <w:pStyle w:val="PL"/>
      </w:pPr>
      <w:r w:rsidRPr="000A0A5F">
        <w:t xml:space="preserve">      type: object</w:t>
      </w:r>
    </w:p>
    <w:p w:rsidR="00CB0DD7" w:rsidRPr="000A0A5F" w:rsidRDefault="00CB0DD7">
      <w:pPr>
        <w:pStyle w:val="PL"/>
      </w:pPr>
      <w:r w:rsidRPr="000A0A5F">
        <w:t xml:space="preserve">      properties:</w:t>
      </w:r>
    </w:p>
    <w:p w:rsidR="00CB0DD7" w:rsidRPr="000A0A5F" w:rsidRDefault="00CB0DD7">
      <w:pPr>
        <w:pStyle w:val="PL"/>
      </w:pPr>
      <w:r w:rsidRPr="000A0A5F">
        <w:t xml:space="preserve">        duration:</w:t>
      </w:r>
    </w:p>
    <w:p w:rsidR="00CB0DD7" w:rsidRPr="000A0A5F" w:rsidRDefault="00CB0DD7">
      <w:pPr>
        <w:pStyle w:val="PL"/>
      </w:pPr>
      <w:r w:rsidRPr="000A0A5F">
        <w:t xml:space="preserve">          $ref: 'TS29122_CommonData.yaml#/components/schemas/DateTimeRm'</w:t>
      </w:r>
    </w:p>
    <w:p w:rsidR="00CB0DD7" w:rsidRPr="000A0A5F" w:rsidRDefault="00CB0DD7">
      <w:pPr>
        <w:pStyle w:val="PL"/>
      </w:pPr>
      <w:r w:rsidRPr="000A0A5F">
        <w:t xml:space="preserve">        reliableDataService:</w:t>
      </w:r>
    </w:p>
    <w:p w:rsidR="00CB0DD7" w:rsidRPr="000A0A5F" w:rsidRDefault="00CB0DD7">
      <w:pPr>
        <w:pStyle w:val="PL"/>
      </w:pPr>
      <w:r w:rsidRPr="000A0A5F">
        <w:t xml:space="preserve">          type: boolean</w:t>
      </w:r>
    </w:p>
    <w:p w:rsidR="00D527E2" w:rsidRPr="000A0A5F" w:rsidRDefault="00CB0DD7" w:rsidP="00D527E2">
      <w:pPr>
        <w:pStyle w:val="PL"/>
      </w:pPr>
      <w:r w:rsidRPr="000A0A5F">
        <w:t xml:space="preserve">          description: </w:t>
      </w:r>
      <w:r w:rsidR="00D527E2" w:rsidRPr="000A0A5F">
        <w:t>&gt;</w:t>
      </w:r>
    </w:p>
    <w:p w:rsidR="00D527E2" w:rsidRPr="000A0A5F" w:rsidRDefault="00D527E2" w:rsidP="00D527E2">
      <w:pPr>
        <w:pStyle w:val="PL"/>
      </w:pPr>
      <w:r w:rsidRPr="000A0A5F">
        <w:t xml:space="preserve">            Indicates </w:t>
      </w:r>
      <w:r w:rsidRPr="000A0A5F">
        <w:rPr>
          <w:lang w:eastAsia="zh-CN"/>
        </w:rPr>
        <w:t>whether t</w:t>
      </w:r>
      <w:r w:rsidR="00CB0DD7" w:rsidRPr="000A0A5F">
        <w:t>he reliable data service (as defined in clause 4.5.1</w:t>
      </w:r>
      <w:r w:rsidRPr="000A0A5F">
        <w:t>4</w:t>
      </w:r>
      <w:r w:rsidR="00CB0DD7" w:rsidRPr="000A0A5F">
        <w:t xml:space="preserve">.3 of 3GPP TS </w:t>
      </w:r>
    </w:p>
    <w:p w:rsidR="00CB0DD7" w:rsidRPr="000A0A5F" w:rsidRDefault="00D527E2" w:rsidP="00D527E2">
      <w:pPr>
        <w:pStyle w:val="PL"/>
      </w:pPr>
      <w:r w:rsidRPr="000A0A5F">
        <w:t xml:space="preserve">            </w:t>
      </w:r>
      <w:r w:rsidR="00CB0DD7" w:rsidRPr="000A0A5F">
        <w:t xml:space="preserve">23.682) </w:t>
      </w:r>
      <w:r w:rsidRPr="000A0A5F">
        <w:rPr>
          <w:lang w:eastAsia="zh-CN"/>
        </w:rPr>
        <w:t>acknowledg</w:t>
      </w:r>
      <w:r w:rsidR="00355091" w:rsidRPr="000A0A5F">
        <w:rPr>
          <w:lang w:eastAsia="zh-CN"/>
        </w:rPr>
        <w:t>e</w:t>
      </w:r>
      <w:r w:rsidRPr="000A0A5F">
        <w:rPr>
          <w:lang w:eastAsia="zh-CN"/>
        </w:rPr>
        <w:t>ment is requested</w:t>
      </w:r>
      <w:r w:rsidRPr="000A0A5F">
        <w:t xml:space="preserve"> (</w:t>
      </w:r>
      <w:r w:rsidRPr="000A0A5F">
        <w:rPr>
          <w:lang w:eastAsia="zh-CN"/>
        </w:rPr>
        <w:t>true</w:t>
      </w:r>
      <w:r w:rsidRPr="000A0A5F">
        <w:t>) or not (</w:t>
      </w:r>
      <w:r w:rsidRPr="000A0A5F">
        <w:rPr>
          <w:lang w:eastAsia="zh-CN"/>
        </w:rPr>
        <w:t>false).</w:t>
      </w:r>
    </w:p>
    <w:p w:rsidR="00CB0DD7" w:rsidRPr="000A0A5F" w:rsidRDefault="00CB0DD7">
      <w:pPr>
        <w:pStyle w:val="PL"/>
      </w:pPr>
      <w:r w:rsidRPr="000A0A5F">
        <w:t xml:space="preserve">          nullable: true</w:t>
      </w:r>
    </w:p>
    <w:p w:rsidR="00CB0DD7" w:rsidRPr="000A0A5F" w:rsidRDefault="00CB0DD7">
      <w:pPr>
        <w:pStyle w:val="PL"/>
      </w:pPr>
      <w:r w:rsidRPr="000A0A5F">
        <w:t xml:space="preserve">        rdsPorts:</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$ref: '#/components/schemas/RdsPort'</w:t>
      </w:r>
    </w:p>
    <w:p w:rsidR="00CB0DD7" w:rsidRPr="000A0A5F" w:rsidRDefault="00CB0DD7">
      <w:pPr>
        <w:pStyle w:val="PL"/>
      </w:pPr>
      <w:r w:rsidRPr="000A0A5F">
        <w:t xml:space="preserve">          minItems: 1</w:t>
      </w:r>
    </w:p>
    <w:p w:rsidR="007B6A1A" w:rsidRPr="000A0A5F" w:rsidRDefault="00CB0DD7">
      <w:pPr>
        <w:pStyle w:val="PL"/>
      </w:pPr>
      <w:r w:rsidRPr="000A0A5F">
        <w:t xml:space="preserve">          description: </w:t>
      </w:r>
      <w:r w:rsidR="007B6A1A" w:rsidRPr="000A0A5F">
        <w:t>&gt;</w:t>
      </w:r>
    </w:p>
    <w:p w:rsidR="007B6A1A" w:rsidRPr="000A0A5F" w:rsidRDefault="007B6A1A">
      <w:pPr>
        <w:pStyle w:val="PL"/>
      </w:pPr>
      <w:r w:rsidRPr="000A0A5F">
        <w:t xml:space="preserve">            </w:t>
      </w:r>
      <w:r w:rsidR="00CB0DD7" w:rsidRPr="000A0A5F">
        <w:t>Indicates the static port configuration that is used for reliable data transfer between</w:t>
      </w:r>
    </w:p>
    <w:p w:rsidR="007B6A1A" w:rsidRPr="000A0A5F" w:rsidRDefault="007B6A1A">
      <w:pPr>
        <w:pStyle w:val="PL"/>
      </w:pPr>
      <w:r w:rsidRPr="000A0A5F">
        <w:t xml:space="preserve">           </w:t>
      </w:r>
      <w:r w:rsidR="00CB0DD7" w:rsidRPr="000A0A5F">
        <w:t xml:space="preserve"> specific applications using RDS (as defined in clause 5.2.4 and 5.2.5</w:t>
      </w:r>
    </w:p>
    <w:p w:rsidR="00CB0DD7" w:rsidRPr="000A0A5F" w:rsidRDefault="007B6A1A">
      <w:pPr>
        <w:pStyle w:val="PL"/>
      </w:pPr>
      <w:r w:rsidRPr="000A0A5F">
        <w:t xml:space="preserve">           </w:t>
      </w:r>
      <w:r w:rsidR="00CB0DD7" w:rsidRPr="000A0A5F">
        <w:t xml:space="preserve"> of 3GPP TS 24.250).</w:t>
      </w:r>
    </w:p>
    <w:p w:rsidR="00CB0DD7" w:rsidRPr="000A0A5F" w:rsidRDefault="00CB0DD7">
      <w:pPr>
        <w:pStyle w:val="PL"/>
      </w:pPr>
      <w:r w:rsidRPr="000A0A5F">
        <w:t xml:space="preserve">        pdnEstablishmentOption:</w:t>
      </w:r>
    </w:p>
    <w:p w:rsidR="00CB0DD7" w:rsidRPr="000A0A5F" w:rsidRDefault="00CB0DD7">
      <w:pPr>
        <w:pStyle w:val="PL"/>
      </w:pPr>
      <w:r w:rsidRPr="000A0A5F">
        <w:t xml:space="preserve">          $ref: '#/components/schemas/PdnEstablishmentOptionsRm'</w:t>
      </w:r>
    </w:p>
    <w:p w:rsidR="00CB0DD7" w:rsidRPr="000A0A5F" w:rsidRDefault="00CB0DD7">
      <w:pPr>
        <w:pStyle w:val="PL"/>
      </w:pPr>
      <w:bookmarkStart w:id="10329" w:name="_Toc11247934"/>
      <w:bookmarkStart w:id="10330" w:name="_Toc27045116"/>
      <w:bookmarkStart w:id="10331" w:name="_Toc36034167"/>
      <w:bookmarkStart w:id="10332" w:name="_Toc45132315"/>
      <w:bookmarkStart w:id="10333" w:name="_Toc49776600"/>
      <w:bookmarkStart w:id="10334" w:name="_Toc51747520"/>
      <w:bookmarkStart w:id="10335" w:name="_Toc66361102"/>
      <w:bookmarkStart w:id="10336" w:name="_Toc68105607"/>
      <w:r w:rsidRPr="000A0A5F">
        <w:t xml:space="preserve">        notificationDestination:</w:t>
      </w:r>
    </w:p>
    <w:p w:rsidR="00CB0DD7" w:rsidRPr="000A0A5F" w:rsidRDefault="00CB0DD7">
      <w:pPr>
        <w:pStyle w:val="PL"/>
      </w:pPr>
      <w:r w:rsidRPr="000A0A5F">
        <w:t xml:space="preserve">          $ref: 'TS29122_CommonData.yaml#/components/schemas/Link'</w:t>
      </w:r>
    </w:p>
    <w:p w:rsidR="00CB0DD7" w:rsidRPr="000A0A5F" w:rsidRDefault="00CB0DD7">
      <w:pPr>
        <w:pStyle w:val="PL"/>
      </w:pPr>
    </w:p>
    <w:p w:rsidR="00CB0DD7" w:rsidRPr="000A0A5F" w:rsidRDefault="00CB0DD7" w:rsidP="00964FC1">
      <w:pPr>
        <w:pStyle w:val="Heading1"/>
      </w:pPr>
      <w:bookmarkStart w:id="10337" w:name="_Toc74756239"/>
      <w:bookmarkStart w:id="10338" w:name="_Toc105675116"/>
      <w:bookmarkStart w:id="10339" w:name="_Toc130503194"/>
      <w:bookmarkStart w:id="10340" w:name="_Toc153625986"/>
      <w:r w:rsidRPr="000A0A5F">
        <w:t>A.7</w:t>
      </w:r>
      <w:r w:rsidRPr="000A0A5F">
        <w:tab/>
        <w:t>DeviceTriggering API</w:t>
      </w:r>
      <w:bookmarkEnd w:id="10329"/>
      <w:bookmarkEnd w:id="10330"/>
      <w:bookmarkEnd w:id="10331"/>
      <w:bookmarkEnd w:id="10332"/>
      <w:bookmarkEnd w:id="10333"/>
      <w:bookmarkEnd w:id="10334"/>
      <w:bookmarkEnd w:id="10335"/>
      <w:bookmarkEnd w:id="10336"/>
      <w:bookmarkEnd w:id="10337"/>
      <w:bookmarkEnd w:id="10338"/>
      <w:bookmarkEnd w:id="10339"/>
      <w:bookmarkEnd w:id="10340"/>
    </w:p>
    <w:p w:rsidR="00CB0DD7" w:rsidRPr="000A0A5F" w:rsidRDefault="00CB0DD7">
      <w:pPr>
        <w:pStyle w:val="PL"/>
      </w:pPr>
      <w:r w:rsidRPr="000A0A5F">
        <w:t>openapi: 3.0.0</w:t>
      </w:r>
    </w:p>
    <w:p w:rsidR="0001210E" w:rsidRPr="000A0A5F" w:rsidRDefault="0001210E">
      <w:pPr>
        <w:pStyle w:val="PL"/>
      </w:pPr>
    </w:p>
    <w:p w:rsidR="00CB0DD7" w:rsidRPr="000A0A5F" w:rsidRDefault="00CB0DD7">
      <w:pPr>
        <w:pStyle w:val="PL"/>
      </w:pPr>
      <w:r w:rsidRPr="000A0A5F">
        <w:t>info:</w:t>
      </w:r>
    </w:p>
    <w:p w:rsidR="00CB0DD7" w:rsidRPr="000A0A5F" w:rsidRDefault="00CB0DD7">
      <w:pPr>
        <w:pStyle w:val="PL"/>
      </w:pPr>
      <w:r w:rsidRPr="000A0A5F">
        <w:t xml:space="preserve">  title: 3gpp-device-triggering</w:t>
      </w:r>
    </w:p>
    <w:p w:rsidR="00CB0DD7" w:rsidRPr="000A0A5F" w:rsidRDefault="00CB0DD7">
      <w:pPr>
        <w:pStyle w:val="PL"/>
        <w:rPr>
          <w:lang w:val="en-US"/>
        </w:rPr>
      </w:pPr>
      <w:r w:rsidRPr="000A0A5F">
        <w:t xml:space="preserve">  </w:t>
      </w:r>
      <w:r w:rsidRPr="000A0A5F">
        <w:rPr>
          <w:lang w:val="en-US"/>
        </w:rPr>
        <w:t xml:space="preserve">version: </w:t>
      </w:r>
      <w:r w:rsidRPr="000A0A5F">
        <w:t>1.</w:t>
      </w:r>
      <w:r w:rsidR="00B94C78" w:rsidRPr="000A0A5F">
        <w:t>3</w:t>
      </w:r>
      <w:r w:rsidRPr="000A0A5F">
        <w:t>.0</w:t>
      </w:r>
      <w:r w:rsidR="00B94C78" w:rsidRPr="000A0A5F">
        <w:t>-alpha.1</w:t>
      </w:r>
    </w:p>
    <w:p w:rsidR="00CB0DD7" w:rsidRPr="000A0A5F" w:rsidRDefault="00CB0DD7">
      <w:pPr>
        <w:pStyle w:val="PL"/>
      </w:pPr>
      <w:r w:rsidRPr="000A0A5F">
        <w:t xml:space="preserve">  description: |</w:t>
      </w:r>
    </w:p>
    <w:p w:rsidR="00CB0DD7" w:rsidRPr="000A0A5F" w:rsidRDefault="00CB0DD7">
      <w:pPr>
        <w:pStyle w:val="PL"/>
      </w:pPr>
      <w:r w:rsidRPr="000A0A5F">
        <w:t xml:space="preserve">    API for device trigger.</w:t>
      </w:r>
      <w:r w:rsidR="00970ACE" w:rsidRPr="000A0A5F">
        <w:t xml:space="preserve">  </w:t>
      </w:r>
    </w:p>
    <w:p w:rsidR="00CB0DD7" w:rsidRPr="000A0A5F" w:rsidRDefault="00CB0DD7">
      <w:pPr>
        <w:pStyle w:val="PL"/>
      </w:pPr>
      <w:r w:rsidRPr="000A0A5F">
        <w:t xml:space="preserve">    © 202</w:t>
      </w:r>
      <w:r w:rsidR="00B94C78" w:rsidRPr="000A0A5F">
        <w:t>3</w:t>
      </w:r>
      <w:r w:rsidRPr="000A0A5F">
        <w:t>, 3GPP Organizational Partners (ARIB, ATIS, CCSA, ETSI, TSDSI, TTA, TTC).</w:t>
      </w:r>
      <w:r w:rsidR="00970ACE" w:rsidRPr="000A0A5F">
        <w:t xml:space="preserve">  </w:t>
      </w:r>
    </w:p>
    <w:p w:rsidR="00CB0DD7" w:rsidRPr="000A0A5F" w:rsidRDefault="00CB0DD7">
      <w:pPr>
        <w:pStyle w:val="PL"/>
      </w:pPr>
      <w:r w:rsidRPr="000A0A5F">
        <w:t xml:space="preserve">    All rights reserved.</w:t>
      </w:r>
    </w:p>
    <w:p w:rsidR="0001210E" w:rsidRPr="000A0A5F" w:rsidRDefault="0001210E">
      <w:pPr>
        <w:pStyle w:val="PL"/>
      </w:pPr>
    </w:p>
    <w:p w:rsidR="00CB0DD7" w:rsidRPr="000A0A5F" w:rsidRDefault="00CB0DD7">
      <w:pPr>
        <w:pStyle w:val="PL"/>
      </w:pPr>
      <w:r w:rsidRPr="000A0A5F">
        <w:t>externalDocs:</w:t>
      </w:r>
    </w:p>
    <w:p w:rsidR="00CB0DD7" w:rsidRPr="000A0A5F" w:rsidRDefault="00CB0DD7">
      <w:pPr>
        <w:pStyle w:val="PL"/>
      </w:pPr>
      <w:r w:rsidRPr="000A0A5F">
        <w:t xml:space="preserve">  description: 3GPP TS 29.122 V1</w:t>
      </w:r>
      <w:r w:rsidR="00B94C78" w:rsidRPr="000A0A5F">
        <w:t>8</w:t>
      </w:r>
      <w:r w:rsidRPr="000A0A5F">
        <w:t>.</w:t>
      </w:r>
      <w:r w:rsidR="00B94C78" w:rsidRPr="000A0A5F">
        <w:t>1</w:t>
      </w:r>
      <w:r w:rsidRPr="000A0A5F">
        <w:t>.0 T8 reference point for Northbound APIs</w:t>
      </w:r>
    </w:p>
    <w:p w:rsidR="00CB0DD7" w:rsidRPr="000A0A5F" w:rsidRDefault="00CB0DD7">
      <w:pPr>
        <w:pStyle w:val="PL"/>
      </w:pPr>
      <w:r w:rsidRPr="000A0A5F">
        <w:t xml:space="preserve">  url: 'http</w:t>
      </w:r>
      <w:r w:rsidR="00970ACE" w:rsidRPr="000A0A5F">
        <w:t>s</w:t>
      </w:r>
      <w:r w:rsidRPr="000A0A5F">
        <w:t>://www.3gpp.org/ftp/Specs/archive/29_series/29.122/'</w:t>
      </w:r>
    </w:p>
    <w:p w:rsidR="0001210E" w:rsidRPr="000A0A5F" w:rsidRDefault="0001210E">
      <w:pPr>
        <w:pStyle w:val="PL"/>
      </w:pPr>
    </w:p>
    <w:p w:rsidR="00CB0DD7" w:rsidRPr="000A0A5F" w:rsidRDefault="00CB0DD7">
      <w:pPr>
        <w:pStyle w:val="PL"/>
      </w:pPr>
      <w:r w:rsidRPr="000A0A5F">
        <w:t>security:</w:t>
      </w:r>
    </w:p>
    <w:p w:rsidR="00CB0DD7" w:rsidRPr="000A0A5F" w:rsidRDefault="00CB0DD7">
      <w:pPr>
        <w:pStyle w:val="PL"/>
        <w:rPr>
          <w:lang w:val="en-US"/>
        </w:rPr>
      </w:pPr>
      <w:r w:rsidRPr="000A0A5F">
        <w:rPr>
          <w:lang w:val="en-US"/>
        </w:rPr>
        <w:t xml:space="preserve">  - {}</w:t>
      </w:r>
    </w:p>
    <w:p w:rsidR="00CB0DD7" w:rsidRPr="000A0A5F" w:rsidRDefault="00CB0DD7">
      <w:pPr>
        <w:pStyle w:val="PL"/>
      </w:pPr>
      <w:r w:rsidRPr="000A0A5F">
        <w:t xml:space="preserve">  - oAuth2ClientCredentials: []</w:t>
      </w:r>
    </w:p>
    <w:p w:rsidR="0001210E" w:rsidRPr="000A0A5F" w:rsidRDefault="0001210E">
      <w:pPr>
        <w:pStyle w:val="PL"/>
      </w:pPr>
    </w:p>
    <w:p w:rsidR="00CB0DD7" w:rsidRPr="000A0A5F" w:rsidRDefault="00CB0DD7">
      <w:pPr>
        <w:pStyle w:val="PL"/>
      </w:pPr>
      <w:r w:rsidRPr="000A0A5F">
        <w:t>servers:</w:t>
      </w:r>
    </w:p>
    <w:p w:rsidR="00CB0DD7" w:rsidRPr="000A0A5F" w:rsidRDefault="00CB0DD7">
      <w:pPr>
        <w:pStyle w:val="PL"/>
      </w:pPr>
      <w:r w:rsidRPr="000A0A5F">
        <w:t xml:space="preserve">  - url: '{apiRoot}/3gpp-device-triggering/v1'</w:t>
      </w:r>
    </w:p>
    <w:p w:rsidR="00CB0DD7" w:rsidRPr="000A0A5F" w:rsidRDefault="00CB0DD7">
      <w:pPr>
        <w:pStyle w:val="PL"/>
      </w:pPr>
      <w:r w:rsidRPr="000A0A5F">
        <w:t xml:space="preserve">    variables:</w:t>
      </w:r>
    </w:p>
    <w:p w:rsidR="00CB0DD7" w:rsidRPr="000A0A5F" w:rsidRDefault="00CB0DD7">
      <w:pPr>
        <w:pStyle w:val="PL"/>
      </w:pPr>
      <w:r w:rsidRPr="000A0A5F">
        <w:t xml:space="preserve">      apiRoot:</w:t>
      </w:r>
    </w:p>
    <w:p w:rsidR="00CB0DD7" w:rsidRPr="000A0A5F" w:rsidRDefault="00CB0DD7">
      <w:pPr>
        <w:pStyle w:val="PL"/>
      </w:pPr>
      <w:r w:rsidRPr="000A0A5F">
        <w:t xml:space="preserve">        default: https://example.com</w:t>
      </w:r>
    </w:p>
    <w:p w:rsidR="00CB0DD7" w:rsidRPr="000A0A5F" w:rsidRDefault="00CB0DD7">
      <w:pPr>
        <w:pStyle w:val="PL"/>
      </w:pPr>
      <w:r w:rsidRPr="000A0A5F">
        <w:t xml:space="preserve">        description: apiRoot as defined in clause 5.2.4 of 3GPP TS 29.122.</w:t>
      </w:r>
    </w:p>
    <w:p w:rsidR="0001210E" w:rsidRPr="000A0A5F" w:rsidRDefault="0001210E">
      <w:pPr>
        <w:pStyle w:val="PL"/>
      </w:pPr>
    </w:p>
    <w:p w:rsidR="00CB0DD7" w:rsidRPr="000A0A5F" w:rsidRDefault="00CB0DD7">
      <w:pPr>
        <w:pStyle w:val="PL"/>
      </w:pPr>
      <w:r w:rsidRPr="000A0A5F">
        <w:t>paths:</w:t>
      </w:r>
    </w:p>
    <w:p w:rsidR="00CB0DD7" w:rsidRPr="000A0A5F" w:rsidRDefault="00CB0DD7">
      <w:pPr>
        <w:pStyle w:val="PL"/>
      </w:pPr>
      <w:r w:rsidRPr="000A0A5F">
        <w:t xml:space="preserve">  /{scsAsId}/transactions:</w:t>
      </w:r>
    </w:p>
    <w:p w:rsidR="00CB0DD7" w:rsidRPr="000A0A5F" w:rsidRDefault="00CB0DD7">
      <w:pPr>
        <w:pStyle w:val="PL"/>
      </w:pPr>
      <w:r w:rsidRPr="000A0A5F">
        <w:t xml:space="preserve">    get:</w:t>
      </w:r>
    </w:p>
    <w:p w:rsidR="00CB0DD7" w:rsidRPr="000A0A5F" w:rsidRDefault="00CB0DD7">
      <w:pPr>
        <w:pStyle w:val="PL"/>
      </w:pPr>
      <w:r w:rsidRPr="000A0A5F">
        <w:t xml:space="preserve">      summary: read all active device triggering transactions for a given SCS/AS.</w:t>
      </w:r>
    </w:p>
    <w:p w:rsidR="007D4AAD" w:rsidRPr="000A0A5F" w:rsidRDefault="007D4AAD" w:rsidP="007D4AAD">
      <w:pPr>
        <w:pStyle w:val="PL"/>
      </w:pPr>
      <w:r w:rsidRPr="000A0A5F">
        <w:t xml:space="preserve">      </w:t>
      </w:r>
      <w:r w:rsidRPr="000A0A5F">
        <w:rPr>
          <w:rFonts w:cs="Courier New"/>
          <w:szCs w:val="16"/>
        </w:rPr>
        <w:t>operationId: FetchAll</w:t>
      </w:r>
      <w:r w:rsidRPr="000A0A5F">
        <w:t>DeviceTriggeringTransactions</w:t>
      </w:r>
    </w:p>
    <w:p w:rsidR="00CB0DD7" w:rsidRPr="000A0A5F" w:rsidRDefault="00CB0DD7">
      <w:pPr>
        <w:pStyle w:val="PL"/>
      </w:pPr>
      <w:r w:rsidRPr="000A0A5F">
        <w:t xml:space="preserve">      tags:</w:t>
      </w:r>
    </w:p>
    <w:p w:rsidR="00CB0DD7" w:rsidRPr="000A0A5F" w:rsidRDefault="00CB0DD7">
      <w:pPr>
        <w:pStyle w:val="PL"/>
      </w:pPr>
      <w:r w:rsidRPr="000A0A5F">
        <w:t xml:space="preserve">        - Device Triggering </w:t>
      </w:r>
      <w:r w:rsidR="007D4AAD" w:rsidRPr="000A0A5F">
        <w:t>Transactions</w:t>
      </w:r>
    </w:p>
    <w:p w:rsidR="00CB0DD7" w:rsidRPr="000A0A5F" w:rsidRDefault="00CB0DD7">
      <w:pPr>
        <w:pStyle w:val="PL"/>
      </w:pPr>
      <w:r w:rsidRPr="000A0A5F">
        <w:t xml:space="preserve">      parameters:</w:t>
      </w:r>
    </w:p>
    <w:p w:rsidR="00CB0DD7" w:rsidRPr="000A0A5F" w:rsidRDefault="00CB0DD7">
      <w:pPr>
        <w:pStyle w:val="PL"/>
      </w:pPr>
      <w:r w:rsidRPr="000A0A5F">
        <w:t xml:space="preserve">        - name: scsAsId</w:t>
      </w:r>
    </w:p>
    <w:p w:rsidR="00CB0DD7" w:rsidRPr="000A0A5F" w:rsidRDefault="00CB0DD7">
      <w:pPr>
        <w:pStyle w:val="PL"/>
      </w:pPr>
      <w:r w:rsidRPr="000A0A5F">
        <w:t xml:space="preserve">          in: path</w:t>
      </w:r>
    </w:p>
    <w:p w:rsidR="00CB0DD7" w:rsidRPr="000A0A5F" w:rsidRDefault="00CB0DD7">
      <w:pPr>
        <w:pStyle w:val="PL"/>
      </w:pPr>
      <w:r w:rsidRPr="000A0A5F">
        <w:t xml:space="preserve">          description: Identifier of the SCS/AS</w:t>
      </w:r>
    </w:p>
    <w:p w:rsidR="00CB0DD7" w:rsidRPr="000A0A5F" w:rsidRDefault="00CB0DD7">
      <w:pPr>
        <w:pStyle w:val="PL"/>
      </w:pPr>
      <w:r w:rsidRPr="000A0A5F">
        <w:t xml:space="preserve">          required: true</w:t>
      </w:r>
    </w:p>
    <w:p w:rsidR="00CB0DD7" w:rsidRPr="000A0A5F" w:rsidRDefault="00CB0DD7">
      <w:pPr>
        <w:pStyle w:val="PL"/>
      </w:pPr>
      <w:r w:rsidRPr="000A0A5F">
        <w:t xml:space="preserve">          schema:</w:t>
      </w:r>
    </w:p>
    <w:p w:rsidR="00CB0DD7" w:rsidRPr="000A0A5F" w:rsidRDefault="00CB0DD7">
      <w:pPr>
        <w:pStyle w:val="PL"/>
      </w:pPr>
      <w:r w:rsidRPr="000A0A5F">
        <w:t xml:space="preserve">            $ref: 'TS29122_CommonData.yaml#/components/schemas/ScsAsId'</w:t>
      </w:r>
    </w:p>
    <w:p w:rsidR="00CB0DD7" w:rsidRPr="000A0A5F" w:rsidRDefault="00CB0DD7">
      <w:pPr>
        <w:pStyle w:val="PL"/>
      </w:pPr>
      <w:r w:rsidRPr="000A0A5F">
        <w:t xml:space="preserve">      responses:</w:t>
      </w:r>
    </w:p>
    <w:p w:rsidR="00CB0DD7" w:rsidRPr="000A0A5F" w:rsidRDefault="00CB0DD7">
      <w:pPr>
        <w:pStyle w:val="PL"/>
      </w:pPr>
      <w:r w:rsidRPr="000A0A5F">
        <w:t xml:space="preserve">        '200':</w:t>
      </w:r>
    </w:p>
    <w:p w:rsidR="0001210E" w:rsidRPr="000A0A5F" w:rsidRDefault="00CB0DD7">
      <w:pPr>
        <w:pStyle w:val="PL"/>
      </w:pPr>
      <w:r w:rsidRPr="000A0A5F">
        <w:t xml:space="preserve">          description: </w:t>
      </w:r>
      <w:r w:rsidR="0001210E" w:rsidRPr="000A0A5F">
        <w:t>&gt;</w:t>
      </w:r>
    </w:p>
    <w:p w:rsidR="00CB0DD7" w:rsidRPr="000A0A5F" w:rsidRDefault="0001210E">
      <w:pPr>
        <w:pStyle w:val="PL"/>
      </w:pPr>
      <w:r w:rsidRPr="000A0A5F">
        <w:t xml:space="preserve">            </w:t>
      </w:r>
      <w:r w:rsidR="00CB0DD7" w:rsidRPr="000A0A5F">
        <w:t>OK (Successful get all of the active device triggering transactions for the SCS/AS)</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application/json:</w:t>
      </w:r>
    </w:p>
    <w:p w:rsidR="00CB0DD7" w:rsidRPr="000A0A5F" w:rsidRDefault="00CB0DD7">
      <w:pPr>
        <w:pStyle w:val="PL"/>
      </w:pPr>
      <w:r w:rsidRPr="000A0A5F">
        <w:t xml:space="preserve">              schema:</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$ref: '#/components/schemas/DeviceTriggering'</w:t>
      </w:r>
    </w:p>
    <w:p w:rsidR="00CB0DD7" w:rsidRPr="000A0A5F" w:rsidRDefault="00CB0DD7">
      <w:pPr>
        <w:pStyle w:val="PL"/>
      </w:pPr>
      <w:r w:rsidRPr="000A0A5F">
        <w:t xml:space="preserve">        '307':</w:t>
      </w:r>
    </w:p>
    <w:p w:rsidR="00CB0DD7" w:rsidRPr="000A0A5F" w:rsidRDefault="00CB0DD7">
      <w:pPr>
        <w:pStyle w:val="PL"/>
      </w:pPr>
      <w:r w:rsidRPr="000A0A5F">
        <w:t xml:space="preserve">          $ref: 'TS29122_CommonData.yaml#/components/responses/307'</w:t>
      </w:r>
    </w:p>
    <w:p w:rsidR="00CB0DD7" w:rsidRPr="000A0A5F" w:rsidRDefault="00CB0DD7">
      <w:pPr>
        <w:pStyle w:val="PL"/>
      </w:pPr>
      <w:r w:rsidRPr="000A0A5F">
        <w:t xml:space="preserve">        '308':</w:t>
      </w:r>
    </w:p>
    <w:p w:rsidR="00CB0DD7" w:rsidRPr="000A0A5F" w:rsidRDefault="00CB0DD7">
      <w:pPr>
        <w:pStyle w:val="PL"/>
      </w:pPr>
      <w:r w:rsidRPr="000A0A5F">
        <w:t xml:space="preserve">          $ref: 'TS29122_CommonData.yaml#/components/responses/308'</w:t>
      </w:r>
    </w:p>
    <w:p w:rsidR="00CB0DD7" w:rsidRPr="000A0A5F" w:rsidRDefault="00CB0DD7">
      <w:pPr>
        <w:pStyle w:val="PL"/>
      </w:pPr>
      <w:r w:rsidRPr="000A0A5F">
        <w:t xml:space="preserve">        '400':</w:t>
      </w:r>
    </w:p>
    <w:p w:rsidR="00CB0DD7" w:rsidRPr="000A0A5F" w:rsidRDefault="00CB0DD7">
      <w:pPr>
        <w:pStyle w:val="PL"/>
      </w:pPr>
      <w:r w:rsidRPr="000A0A5F">
        <w:t xml:space="preserve">          $ref: 'TS29122_CommonData.yaml#/components/responses/400'</w:t>
      </w:r>
    </w:p>
    <w:p w:rsidR="00CB0DD7" w:rsidRPr="000A0A5F" w:rsidRDefault="00CB0DD7">
      <w:pPr>
        <w:pStyle w:val="PL"/>
      </w:pPr>
      <w:r w:rsidRPr="000A0A5F">
        <w:t xml:space="preserve">        '401':</w:t>
      </w:r>
    </w:p>
    <w:p w:rsidR="00CB0DD7" w:rsidRPr="000A0A5F" w:rsidRDefault="00CB0DD7">
      <w:pPr>
        <w:pStyle w:val="PL"/>
      </w:pPr>
      <w:r w:rsidRPr="000A0A5F">
        <w:t xml:space="preserve">          $ref: 'TS29122_CommonData.yaml#/components/responses/401'</w:t>
      </w:r>
    </w:p>
    <w:p w:rsidR="00CB0DD7" w:rsidRPr="000A0A5F" w:rsidRDefault="00CB0DD7">
      <w:pPr>
        <w:pStyle w:val="PL"/>
      </w:pPr>
      <w:r w:rsidRPr="000A0A5F">
        <w:t xml:space="preserve">        '403':</w:t>
      </w:r>
    </w:p>
    <w:p w:rsidR="00CB0DD7" w:rsidRPr="000A0A5F" w:rsidRDefault="00CB0DD7">
      <w:pPr>
        <w:pStyle w:val="PL"/>
      </w:pPr>
      <w:r w:rsidRPr="000A0A5F">
        <w:t xml:space="preserve">          $ref: 'TS29122_CommonData.yaml#/components/responses/403'</w:t>
      </w:r>
    </w:p>
    <w:p w:rsidR="00CB0DD7" w:rsidRPr="000A0A5F" w:rsidRDefault="00CB0DD7">
      <w:pPr>
        <w:pStyle w:val="PL"/>
      </w:pPr>
      <w:r w:rsidRPr="000A0A5F">
        <w:t xml:space="preserve">        '404':</w:t>
      </w:r>
    </w:p>
    <w:p w:rsidR="00CB0DD7" w:rsidRPr="000A0A5F" w:rsidRDefault="00CB0DD7">
      <w:pPr>
        <w:pStyle w:val="PL"/>
      </w:pPr>
      <w:r w:rsidRPr="000A0A5F">
        <w:t xml:space="preserve">          $ref: 'TS29122_CommonData.yaml#/components/responses/404'</w:t>
      </w:r>
    </w:p>
    <w:p w:rsidR="00CB0DD7" w:rsidRPr="000A0A5F" w:rsidRDefault="00CB0DD7">
      <w:pPr>
        <w:pStyle w:val="PL"/>
      </w:pPr>
      <w:r w:rsidRPr="000A0A5F">
        <w:t xml:space="preserve">        '406':</w:t>
      </w:r>
    </w:p>
    <w:p w:rsidR="00CB0DD7" w:rsidRPr="000A0A5F" w:rsidRDefault="00CB0DD7">
      <w:pPr>
        <w:pStyle w:val="PL"/>
      </w:pPr>
      <w:r w:rsidRPr="000A0A5F">
        <w:t xml:space="preserve">          $ref: 'TS29122_CommonData.yaml#/components/responses/406'</w:t>
      </w:r>
    </w:p>
    <w:p w:rsidR="00CB0DD7" w:rsidRPr="000A0A5F" w:rsidRDefault="00CB0DD7">
      <w:pPr>
        <w:pStyle w:val="PL"/>
      </w:pPr>
      <w:r w:rsidRPr="000A0A5F">
        <w:t xml:space="preserve">        '429':</w:t>
      </w:r>
    </w:p>
    <w:p w:rsidR="00CB0DD7" w:rsidRPr="000A0A5F" w:rsidRDefault="00CB0DD7">
      <w:pPr>
        <w:pStyle w:val="PL"/>
      </w:pPr>
      <w:r w:rsidRPr="000A0A5F">
        <w:t xml:space="preserve">          $ref: 'TS29122_CommonData.yaml#/components/responses/429'</w:t>
      </w:r>
    </w:p>
    <w:p w:rsidR="00CB0DD7" w:rsidRPr="000A0A5F" w:rsidRDefault="00CB0DD7">
      <w:pPr>
        <w:pStyle w:val="PL"/>
      </w:pPr>
      <w:r w:rsidRPr="000A0A5F">
        <w:t xml:space="preserve">        '500':</w:t>
      </w:r>
    </w:p>
    <w:p w:rsidR="00CB0DD7" w:rsidRPr="000A0A5F" w:rsidRDefault="00CB0DD7">
      <w:pPr>
        <w:pStyle w:val="PL"/>
      </w:pPr>
      <w:r w:rsidRPr="000A0A5F">
        <w:t xml:space="preserve">          $ref: 'TS29122_CommonData.yaml#/components/responses/500'</w:t>
      </w:r>
    </w:p>
    <w:p w:rsidR="00CB0DD7" w:rsidRPr="000A0A5F" w:rsidRDefault="00CB0DD7">
      <w:pPr>
        <w:pStyle w:val="PL"/>
      </w:pPr>
      <w:r w:rsidRPr="000A0A5F">
        <w:t xml:space="preserve">        '503':</w:t>
      </w:r>
    </w:p>
    <w:p w:rsidR="00CB0DD7" w:rsidRPr="000A0A5F" w:rsidRDefault="00CB0DD7">
      <w:pPr>
        <w:pStyle w:val="PL"/>
      </w:pPr>
      <w:r w:rsidRPr="000A0A5F">
        <w:t xml:space="preserve">          $ref: 'TS29122_CommonData.yaml#/components/responses/503'</w:t>
      </w:r>
    </w:p>
    <w:p w:rsidR="00CB0DD7" w:rsidRPr="000A0A5F" w:rsidRDefault="00CB0DD7">
      <w:pPr>
        <w:pStyle w:val="PL"/>
      </w:pPr>
      <w:r w:rsidRPr="000A0A5F">
        <w:t xml:space="preserve">        default:</w:t>
      </w:r>
    </w:p>
    <w:p w:rsidR="00CB0DD7" w:rsidRPr="000A0A5F" w:rsidRDefault="00CB0DD7">
      <w:pPr>
        <w:pStyle w:val="PL"/>
      </w:pPr>
      <w:r w:rsidRPr="000A0A5F">
        <w:t xml:space="preserve">          $ref: 'TS29122_CommonData.yaml#/components/responses/default'</w:t>
      </w:r>
    </w:p>
    <w:p w:rsidR="00CB0DD7" w:rsidRPr="000A0A5F" w:rsidRDefault="00CB0DD7">
      <w:pPr>
        <w:pStyle w:val="PL"/>
      </w:pPr>
      <w:r w:rsidRPr="000A0A5F">
        <w:t xml:space="preserve">    post:</w:t>
      </w:r>
    </w:p>
    <w:p w:rsidR="00CB0DD7" w:rsidRPr="000A0A5F" w:rsidRDefault="00CB0DD7">
      <w:pPr>
        <w:pStyle w:val="PL"/>
      </w:pPr>
      <w:r w:rsidRPr="000A0A5F">
        <w:t xml:space="preserve">      summary: Create a long-term transaction for a device triggering.</w:t>
      </w:r>
    </w:p>
    <w:p w:rsidR="007D4AAD" w:rsidRPr="000A0A5F" w:rsidRDefault="007D4AAD" w:rsidP="007D4AAD">
      <w:pPr>
        <w:pStyle w:val="PL"/>
      </w:pPr>
      <w:r w:rsidRPr="000A0A5F">
        <w:t xml:space="preserve">      </w:t>
      </w:r>
      <w:r w:rsidRPr="000A0A5F">
        <w:rPr>
          <w:rFonts w:cs="Courier New"/>
          <w:szCs w:val="16"/>
        </w:rPr>
        <w:t>operationId: Create</w:t>
      </w:r>
      <w:r w:rsidRPr="000A0A5F">
        <w:t>DeviceTriggeringTransaction</w:t>
      </w:r>
    </w:p>
    <w:p w:rsidR="00CB0DD7" w:rsidRPr="000A0A5F" w:rsidRDefault="00CB0DD7">
      <w:pPr>
        <w:pStyle w:val="PL"/>
      </w:pPr>
      <w:r w:rsidRPr="000A0A5F">
        <w:t xml:space="preserve">      tags:</w:t>
      </w:r>
    </w:p>
    <w:p w:rsidR="00CB0DD7" w:rsidRPr="000A0A5F" w:rsidRDefault="00CB0DD7">
      <w:pPr>
        <w:pStyle w:val="PL"/>
      </w:pPr>
      <w:r w:rsidRPr="000A0A5F">
        <w:t xml:space="preserve">        - Device</w:t>
      </w:r>
      <w:r w:rsidR="007D4AAD" w:rsidRPr="000A0A5F">
        <w:t xml:space="preserve"> </w:t>
      </w:r>
      <w:r w:rsidRPr="000A0A5F">
        <w:t xml:space="preserve">Triggering API </w:t>
      </w:r>
      <w:r w:rsidR="007D4AAD" w:rsidRPr="000A0A5F">
        <w:t>Transactions</w:t>
      </w:r>
    </w:p>
    <w:p w:rsidR="00CB0DD7" w:rsidRPr="000A0A5F" w:rsidRDefault="00CB0DD7">
      <w:pPr>
        <w:pStyle w:val="PL"/>
      </w:pPr>
      <w:r w:rsidRPr="000A0A5F">
        <w:t xml:space="preserve">      parameters:</w:t>
      </w:r>
    </w:p>
    <w:p w:rsidR="00CB0DD7" w:rsidRPr="000A0A5F" w:rsidRDefault="00CB0DD7">
      <w:pPr>
        <w:pStyle w:val="PL"/>
      </w:pPr>
      <w:r w:rsidRPr="000A0A5F">
        <w:t xml:space="preserve">        - name: scsAsId</w:t>
      </w:r>
    </w:p>
    <w:p w:rsidR="00CB0DD7" w:rsidRPr="000A0A5F" w:rsidRDefault="00CB0DD7">
      <w:pPr>
        <w:pStyle w:val="PL"/>
      </w:pPr>
      <w:r w:rsidRPr="000A0A5F">
        <w:t xml:space="preserve">          in: path</w:t>
      </w:r>
    </w:p>
    <w:p w:rsidR="00CB0DD7" w:rsidRPr="000A0A5F" w:rsidRDefault="00CB0DD7">
      <w:pPr>
        <w:pStyle w:val="PL"/>
      </w:pPr>
      <w:r w:rsidRPr="000A0A5F">
        <w:t xml:space="preserve">          description: Identifier of the SCS/AS</w:t>
      </w:r>
    </w:p>
    <w:p w:rsidR="00CB0DD7" w:rsidRPr="000A0A5F" w:rsidRDefault="00CB0DD7">
      <w:pPr>
        <w:pStyle w:val="PL"/>
      </w:pPr>
      <w:r w:rsidRPr="000A0A5F">
        <w:t xml:space="preserve">          required: true</w:t>
      </w:r>
    </w:p>
    <w:p w:rsidR="00CB0DD7" w:rsidRPr="000A0A5F" w:rsidRDefault="00CB0DD7">
      <w:pPr>
        <w:pStyle w:val="PL"/>
      </w:pPr>
      <w:r w:rsidRPr="000A0A5F">
        <w:t xml:space="preserve">          schema:</w:t>
      </w:r>
    </w:p>
    <w:p w:rsidR="00CB0DD7" w:rsidRPr="000A0A5F" w:rsidRDefault="00CB0DD7">
      <w:pPr>
        <w:pStyle w:val="PL"/>
      </w:pPr>
      <w:r w:rsidRPr="000A0A5F">
        <w:t xml:space="preserve">           $ref: 'TS29122_CommonData.yaml#/components/schemas/ScsAsId'</w:t>
      </w:r>
    </w:p>
    <w:p w:rsidR="00CB0DD7" w:rsidRPr="000A0A5F" w:rsidRDefault="00CB0DD7">
      <w:pPr>
        <w:pStyle w:val="PL"/>
      </w:pPr>
      <w:r w:rsidRPr="000A0A5F">
        <w:t xml:space="preserve">      requestBody:</w:t>
      </w:r>
    </w:p>
    <w:p w:rsidR="00CB0DD7" w:rsidRPr="000A0A5F" w:rsidRDefault="00CB0DD7">
      <w:pPr>
        <w:pStyle w:val="PL"/>
      </w:pPr>
      <w:r w:rsidRPr="000A0A5F">
        <w:t xml:space="preserve">        description: Parameters to request a device triggering delivery.</w:t>
      </w:r>
    </w:p>
    <w:p w:rsidR="00CB0DD7" w:rsidRPr="000A0A5F" w:rsidRDefault="00CB0DD7">
      <w:pPr>
        <w:pStyle w:val="PL"/>
      </w:pPr>
      <w:r w:rsidRPr="000A0A5F">
        <w:t xml:space="preserve">        required: true</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application/json:</w:t>
      </w:r>
    </w:p>
    <w:p w:rsidR="00CB0DD7" w:rsidRPr="000A0A5F" w:rsidRDefault="00CB0DD7">
      <w:pPr>
        <w:pStyle w:val="PL"/>
      </w:pPr>
      <w:r w:rsidRPr="000A0A5F">
        <w:t xml:space="preserve">            schema:</w:t>
      </w:r>
    </w:p>
    <w:p w:rsidR="00CB0DD7" w:rsidRPr="000A0A5F" w:rsidRDefault="00CB0DD7">
      <w:pPr>
        <w:pStyle w:val="PL"/>
      </w:pPr>
      <w:r w:rsidRPr="000A0A5F">
        <w:t xml:space="preserve">              $ref: '#/components/schemas/DeviceTriggering'</w:t>
      </w:r>
    </w:p>
    <w:p w:rsidR="00CB0DD7" w:rsidRPr="000A0A5F" w:rsidRDefault="00CB0DD7">
      <w:pPr>
        <w:pStyle w:val="PL"/>
      </w:pPr>
      <w:r w:rsidRPr="000A0A5F">
        <w:t xml:space="preserve">      callbacks:</w:t>
      </w:r>
    </w:p>
    <w:p w:rsidR="00CB0DD7" w:rsidRPr="000A0A5F" w:rsidRDefault="00CB0DD7">
      <w:pPr>
        <w:pStyle w:val="PL"/>
        <w:rPr>
          <w:lang w:val="fr-FR"/>
        </w:rPr>
      </w:pPr>
      <w:r w:rsidRPr="000A0A5F">
        <w:rPr>
          <w:lang w:val="en-US"/>
        </w:rPr>
        <w:t xml:space="preserve">        </w:t>
      </w:r>
      <w:r w:rsidRPr="000A0A5F">
        <w:rPr>
          <w:lang w:val="fr-FR"/>
        </w:rPr>
        <w:t>notificationDestination:</w:t>
      </w:r>
    </w:p>
    <w:p w:rsidR="00CB0DD7" w:rsidRPr="000A0A5F" w:rsidRDefault="00CB0DD7">
      <w:pPr>
        <w:pStyle w:val="PL"/>
        <w:rPr>
          <w:lang w:val="fr-FR"/>
        </w:rPr>
      </w:pPr>
      <w:r w:rsidRPr="000A0A5F">
        <w:rPr>
          <w:lang w:val="fr-FR"/>
        </w:rPr>
        <w:t xml:space="preserve">          '{request.body#/notificationDestination}':</w:t>
      </w:r>
    </w:p>
    <w:p w:rsidR="00CB0DD7" w:rsidRPr="000A0A5F" w:rsidRDefault="00CB0DD7">
      <w:pPr>
        <w:pStyle w:val="PL"/>
      </w:pPr>
      <w:r w:rsidRPr="000A0A5F">
        <w:rPr>
          <w:lang w:val="fr-FR"/>
        </w:rPr>
        <w:t xml:space="preserve">            </w:t>
      </w:r>
      <w:r w:rsidRPr="000A0A5F">
        <w:t>post:</w:t>
      </w:r>
    </w:p>
    <w:p w:rsidR="00CB0DD7" w:rsidRPr="000A0A5F" w:rsidRDefault="00CB0DD7">
      <w:pPr>
        <w:pStyle w:val="PL"/>
      </w:pPr>
      <w:r w:rsidRPr="000A0A5F">
        <w:t xml:space="preserve">              requestBody:  # contents of the callback message</w:t>
      </w:r>
    </w:p>
    <w:p w:rsidR="00CB0DD7" w:rsidRPr="000A0A5F" w:rsidRDefault="00CB0DD7">
      <w:pPr>
        <w:pStyle w:val="PL"/>
      </w:pPr>
      <w:r w:rsidRPr="000A0A5F">
        <w:t xml:space="preserve">                required: true</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application/json:</w:t>
      </w:r>
    </w:p>
    <w:p w:rsidR="00CB0DD7" w:rsidRPr="000A0A5F" w:rsidRDefault="00CB0DD7">
      <w:pPr>
        <w:pStyle w:val="PL"/>
      </w:pPr>
      <w:r w:rsidRPr="000A0A5F">
        <w:t xml:space="preserve">                    schema:</w:t>
      </w:r>
    </w:p>
    <w:p w:rsidR="00CB0DD7" w:rsidRPr="000A0A5F" w:rsidRDefault="00CB0DD7">
      <w:pPr>
        <w:pStyle w:val="PL"/>
      </w:pPr>
      <w:r w:rsidRPr="000A0A5F">
        <w:t xml:space="preserve">                      $ref: '#/components/schemas/DeviceTriggeringDeliveryReportNotification'</w:t>
      </w:r>
    </w:p>
    <w:p w:rsidR="00CB0DD7" w:rsidRPr="000A0A5F" w:rsidRDefault="00CB0DD7">
      <w:pPr>
        <w:pStyle w:val="PL"/>
      </w:pPr>
      <w:r w:rsidRPr="000A0A5F">
        <w:t xml:space="preserve">              responses:</w:t>
      </w:r>
    </w:p>
    <w:p w:rsidR="00CB0DD7" w:rsidRPr="000A0A5F" w:rsidRDefault="00CB0DD7">
      <w:pPr>
        <w:pStyle w:val="PL"/>
      </w:pPr>
      <w:r w:rsidRPr="000A0A5F">
        <w:t xml:space="preserve">                '200':</w:t>
      </w:r>
    </w:p>
    <w:p w:rsidR="00CB0DD7" w:rsidRPr="000A0A5F" w:rsidRDefault="00CB0DD7">
      <w:pPr>
        <w:pStyle w:val="PL"/>
      </w:pPr>
      <w:r w:rsidRPr="000A0A5F">
        <w:t xml:space="preserve">                  description: OK (successful notification)</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application/json:</w:t>
      </w:r>
    </w:p>
    <w:p w:rsidR="00CB0DD7" w:rsidRPr="000A0A5F" w:rsidRDefault="00CB0DD7">
      <w:pPr>
        <w:pStyle w:val="PL"/>
      </w:pPr>
      <w:r w:rsidRPr="000A0A5F">
        <w:t xml:space="preserve">                    schema:</w:t>
      </w:r>
    </w:p>
    <w:p w:rsidR="00CB0DD7" w:rsidRPr="000A0A5F" w:rsidRDefault="00CB0DD7">
      <w:pPr>
        <w:pStyle w:val="PL"/>
      </w:pPr>
      <w:r w:rsidRPr="000A0A5F">
        <w:t xml:space="preserve">                     $ref: 'TS29122_CommonData.yaml#/components/schemas/Acknowledgement'</w:t>
      </w:r>
    </w:p>
    <w:p w:rsidR="00CB0DD7" w:rsidRPr="000A0A5F" w:rsidRDefault="00CB0DD7">
      <w:pPr>
        <w:pStyle w:val="PL"/>
      </w:pPr>
      <w:r w:rsidRPr="000A0A5F">
        <w:t xml:space="preserve">                '204':</w:t>
      </w:r>
    </w:p>
    <w:p w:rsidR="00CB0DD7" w:rsidRPr="000A0A5F" w:rsidRDefault="00CB0DD7">
      <w:pPr>
        <w:pStyle w:val="PL"/>
      </w:pPr>
      <w:r w:rsidRPr="000A0A5F">
        <w:t xml:space="preserve">                  description: No Content (successful notification)</w:t>
      </w:r>
    </w:p>
    <w:p w:rsidR="00CB0DD7" w:rsidRPr="000A0A5F" w:rsidRDefault="00CB0DD7">
      <w:pPr>
        <w:pStyle w:val="PL"/>
      </w:pPr>
      <w:r w:rsidRPr="000A0A5F">
        <w:t xml:space="preserve">                '307':</w:t>
      </w:r>
    </w:p>
    <w:p w:rsidR="00CB0DD7" w:rsidRPr="000A0A5F" w:rsidRDefault="00CB0DD7">
      <w:pPr>
        <w:pStyle w:val="PL"/>
      </w:pPr>
      <w:r w:rsidRPr="000A0A5F">
        <w:t xml:space="preserve">                  $ref: 'TS29122_CommonData.yaml#/components/responses/307'</w:t>
      </w:r>
    </w:p>
    <w:p w:rsidR="00CB0DD7" w:rsidRPr="000A0A5F" w:rsidRDefault="00CB0DD7">
      <w:pPr>
        <w:pStyle w:val="PL"/>
      </w:pPr>
      <w:r w:rsidRPr="000A0A5F">
        <w:t xml:space="preserve">                '308':</w:t>
      </w:r>
    </w:p>
    <w:p w:rsidR="00CB0DD7" w:rsidRPr="000A0A5F" w:rsidRDefault="00CB0DD7">
      <w:pPr>
        <w:pStyle w:val="PL"/>
      </w:pPr>
      <w:r w:rsidRPr="000A0A5F">
        <w:t xml:space="preserve">                  $ref: 'TS29122_CommonData.yaml#/components/responses/308'</w:t>
      </w:r>
    </w:p>
    <w:p w:rsidR="00CB0DD7" w:rsidRPr="000A0A5F" w:rsidRDefault="00CB0DD7">
      <w:pPr>
        <w:pStyle w:val="PL"/>
      </w:pPr>
      <w:r w:rsidRPr="000A0A5F">
        <w:t xml:space="preserve">                '400':</w:t>
      </w:r>
    </w:p>
    <w:p w:rsidR="00CB0DD7" w:rsidRPr="000A0A5F" w:rsidRDefault="00CB0DD7">
      <w:pPr>
        <w:pStyle w:val="PL"/>
      </w:pPr>
      <w:r w:rsidRPr="000A0A5F">
        <w:t xml:space="preserve">                  $ref: 'TS29122_CommonData.yaml#/components/responses/400'</w:t>
      </w:r>
    </w:p>
    <w:p w:rsidR="00CB0DD7" w:rsidRPr="000A0A5F" w:rsidRDefault="00CB0DD7">
      <w:pPr>
        <w:pStyle w:val="PL"/>
      </w:pPr>
      <w:r w:rsidRPr="000A0A5F">
        <w:t xml:space="preserve">                '401':</w:t>
      </w:r>
    </w:p>
    <w:p w:rsidR="00CB0DD7" w:rsidRPr="000A0A5F" w:rsidRDefault="00CB0DD7">
      <w:pPr>
        <w:pStyle w:val="PL"/>
      </w:pPr>
      <w:r w:rsidRPr="000A0A5F">
        <w:t xml:space="preserve">                  $ref: 'TS29122_CommonData.yaml#/components/responses/401'</w:t>
      </w:r>
    </w:p>
    <w:p w:rsidR="00CB0DD7" w:rsidRPr="000A0A5F" w:rsidRDefault="00CB0DD7">
      <w:pPr>
        <w:pStyle w:val="PL"/>
      </w:pPr>
      <w:r w:rsidRPr="000A0A5F">
        <w:t xml:space="preserve">                '403':</w:t>
      </w:r>
    </w:p>
    <w:p w:rsidR="00CB0DD7" w:rsidRPr="000A0A5F" w:rsidRDefault="00CB0DD7">
      <w:pPr>
        <w:pStyle w:val="PL"/>
      </w:pPr>
      <w:r w:rsidRPr="000A0A5F">
        <w:t xml:space="preserve">                  $ref: 'TS29122_CommonData.yaml#/components/responses/403'</w:t>
      </w:r>
    </w:p>
    <w:p w:rsidR="00CB0DD7" w:rsidRPr="000A0A5F" w:rsidRDefault="00CB0DD7">
      <w:pPr>
        <w:pStyle w:val="PL"/>
      </w:pPr>
      <w:r w:rsidRPr="000A0A5F">
        <w:t xml:space="preserve">                '404':</w:t>
      </w:r>
    </w:p>
    <w:p w:rsidR="00CB0DD7" w:rsidRPr="000A0A5F" w:rsidRDefault="00CB0DD7">
      <w:pPr>
        <w:pStyle w:val="PL"/>
      </w:pPr>
      <w:r w:rsidRPr="000A0A5F">
        <w:t xml:space="preserve">                  $ref: 'TS29122_CommonData.yaml#/components/responses/404'</w:t>
      </w:r>
    </w:p>
    <w:p w:rsidR="00CB0DD7" w:rsidRPr="000A0A5F" w:rsidRDefault="00CB0DD7">
      <w:pPr>
        <w:pStyle w:val="PL"/>
      </w:pPr>
      <w:r w:rsidRPr="000A0A5F">
        <w:t xml:space="preserve">                '411':</w:t>
      </w:r>
    </w:p>
    <w:p w:rsidR="00CB0DD7" w:rsidRPr="000A0A5F" w:rsidRDefault="00CB0DD7">
      <w:pPr>
        <w:pStyle w:val="PL"/>
      </w:pPr>
      <w:r w:rsidRPr="000A0A5F">
        <w:t xml:space="preserve">                  $ref: 'TS29122_CommonData.yaml#/components/responses/411'</w:t>
      </w:r>
    </w:p>
    <w:p w:rsidR="00CB0DD7" w:rsidRPr="000A0A5F" w:rsidRDefault="00CB0DD7">
      <w:pPr>
        <w:pStyle w:val="PL"/>
      </w:pPr>
      <w:r w:rsidRPr="000A0A5F">
        <w:t xml:space="preserve">                '413':</w:t>
      </w:r>
    </w:p>
    <w:p w:rsidR="00CB0DD7" w:rsidRPr="000A0A5F" w:rsidRDefault="00CB0DD7">
      <w:pPr>
        <w:pStyle w:val="PL"/>
      </w:pPr>
      <w:r w:rsidRPr="000A0A5F">
        <w:t xml:space="preserve">                  $ref: 'TS29122_CommonData.yaml#/components/responses/413'</w:t>
      </w:r>
    </w:p>
    <w:p w:rsidR="00CB0DD7" w:rsidRPr="000A0A5F" w:rsidRDefault="00CB0DD7">
      <w:pPr>
        <w:pStyle w:val="PL"/>
      </w:pPr>
      <w:r w:rsidRPr="000A0A5F">
        <w:t xml:space="preserve">                '415':</w:t>
      </w:r>
    </w:p>
    <w:p w:rsidR="00CB0DD7" w:rsidRPr="000A0A5F" w:rsidRDefault="00CB0DD7">
      <w:pPr>
        <w:pStyle w:val="PL"/>
      </w:pPr>
      <w:r w:rsidRPr="000A0A5F">
        <w:t xml:space="preserve">                  $ref: 'TS29122_CommonData.yaml#/components/responses/415'</w:t>
      </w:r>
    </w:p>
    <w:p w:rsidR="00CB0DD7" w:rsidRPr="000A0A5F" w:rsidRDefault="00CB0DD7">
      <w:pPr>
        <w:pStyle w:val="PL"/>
      </w:pPr>
      <w:r w:rsidRPr="000A0A5F">
        <w:t xml:space="preserve">                '429':</w:t>
      </w:r>
    </w:p>
    <w:p w:rsidR="00CB0DD7" w:rsidRPr="000A0A5F" w:rsidRDefault="00CB0DD7">
      <w:pPr>
        <w:pStyle w:val="PL"/>
      </w:pPr>
      <w:r w:rsidRPr="000A0A5F">
        <w:t xml:space="preserve">                  $ref: 'TS29122_CommonData.yaml#/components/responses/429'</w:t>
      </w:r>
    </w:p>
    <w:p w:rsidR="00CB0DD7" w:rsidRPr="000A0A5F" w:rsidRDefault="00CB0DD7">
      <w:pPr>
        <w:pStyle w:val="PL"/>
      </w:pPr>
      <w:r w:rsidRPr="000A0A5F">
        <w:t xml:space="preserve">                '500':</w:t>
      </w:r>
    </w:p>
    <w:p w:rsidR="00CB0DD7" w:rsidRPr="000A0A5F" w:rsidRDefault="00CB0DD7">
      <w:pPr>
        <w:pStyle w:val="PL"/>
      </w:pPr>
      <w:r w:rsidRPr="000A0A5F">
        <w:t xml:space="preserve">                  $ref: 'TS29122_CommonData.yaml#/components/responses/500'</w:t>
      </w:r>
    </w:p>
    <w:p w:rsidR="00CB0DD7" w:rsidRPr="000A0A5F" w:rsidRDefault="00CB0DD7">
      <w:pPr>
        <w:pStyle w:val="PL"/>
      </w:pPr>
      <w:r w:rsidRPr="000A0A5F">
        <w:t xml:space="preserve">                '503':</w:t>
      </w:r>
    </w:p>
    <w:p w:rsidR="00CB0DD7" w:rsidRPr="000A0A5F" w:rsidRDefault="00CB0DD7">
      <w:pPr>
        <w:pStyle w:val="PL"/>
      </w:pPr>
      <w:r w:rsidRPr="000A0A5F">
        <w:t xml:space="preserve">                  $ref: 'TS29122_CommonData.yaml#/components/responses/503'</w:t>
      </w:r>
    </w:p>
    <w:p w:rsidR="00CB0DD7" w:rsidRPr="000A0A5F" w:rsidRDefault="00CB0DD7">
      <w:pPr>
        <w:pStyle w:val="PL"/>
      </w:pPr>
      <w:r w:rsidRPr="000A0A5F">
        <w:t xml:space="preserve">                default:</w:t>
      </w:r>
    </w:p>
    <w:p w:rsidR="00CB0DD7" w:rsidRPr="000A0A5F" w:rsidRDefault="00CB0DD7">
      <w:pPr>
        <w:pStyle w:val="PL"/>
      </w:pPr>
      <w:r w:rsidRPr="000A0A5F">
        <w:t xml:space="preserve">                  $ref: 'TS29122_CommonData.yaml#/components/responses/default'</w:t>
      </w:r>
    </w:p>
    <w:p w:rsidR="00CB0DD7" w:rsidRPr="000A0A5F" w:rsidRDefault="00CB0DD7">
      <w:pPr>
        <w:pStyle w:val="PL"/>
      </w:pPr>
      <w:r w:rsidRPr="000A0A5F">
        <w:t xml:space="preserve">      responses:</w:t>
      </w:r>
    </w:p>
    <w:p w:rsidR="00CB0DD7" w:rsidRPr="000A0A5F" w:rsidRDefault="00CB0DD7">
      <w:pPr>
        <w:pStyle w:val="PL"/>
      </w:pPr>
      <w:r w:rsidRPr="000A0A5F">
        <w:t xml:space="preserve">        '201':</w:t>
      </w:r>
    </w:p>
    <w:p w:rsidR="00CB0DD7" w:rsidRPr="000A0A5F" w:rsidRDefault="00CB0DD7">
      <w:pPr>
        <w:pStyle w:val="PL"/>
      </w:pPr>
      <w:r w:rsidRPr="000A0A5F">
        <w:t xml:space="preserve">          description: Created (Successful creation of subscription)</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application/json:</w:t>
      </w:r>
    </w:p>
    <w:p w:rsidR="00CB0DD7" w:rsidRPr="000A0A5F" w:rsidRDefault="00CB0DD7">
      <w:pPr>
        <w:pStyle w:val="PL"/>
      </w:pPr>
      <w:r w:rsidRPr="000A0A5F">
        <w:t xml:space="preserve">              schema:</w:t>
      </w:r>
    </w:p>
    <w:p w:rsidR="00CB0DD7" w:rsidRPr="000A0A5F" w:rsidRDefault="00CB0DD7">
      <w:pPr>
        <w:pStyle w:val="PL"/>
      </w:pPr>
      <w:r w:rsidRPr="000A0A5F">
        <w:t xml:space="preserve">                $ref: '#/components/schemas/DeviceTriggering'</w:t>
      </w:r>
    </w:p>
    <w:p w:rsidR="00CB0DD7" w:rsidRPr="000A0A5F" w:rsidRDefault="00CB0DD7">
      <w:pPr>
        <w:pStyle w:val="PL"/>
      </w:pPr>
      <w:r w:rsidRPr="000A0A5F">
        <w:t xml:space="preserve">          headers:</w:t>
      </w:r>
    </w:p>
    <w:p w:rsidR="00CB0DD7" w:rsidRPr="000A0A5F" w:rsidRDefault="00CB0DD7">
      <w:pPr>
        <w:pStyle w:val="PL"/>
      </w:pPr>
      <w:r w:rsidRPr="000A0A5F">
        <w:t xml:space="preserve">            Location:</w:t>
      </w:r>
    </w:p>
    <w:p w:rsidR="00CB0DD7" w:rsidRPr="000A0A5F" w:rsidRDefault="00CB0DD7">
      <w:pPr>
        <w:pStyle w:val="PL"/>
      </w:pPr>
      <w:r w:rsidRPr="000A0A5F">
        <w:t xml:space="preserve">              description: 'Contains the URI of the newly created resource'</w:t>
      </w:r>
    </w:p>
    <w:p w:rsidR="00CB0DD7" w:rsidRPr="000A0A5F" w:rsidRDefault="00CB0DD7">
      <w:pPr>
        <w:pStyle w:val="PL"/>
      </w:pPr>
      <w:r w:rsidRPr="000A0A5F">
        <w:t xml:space="preserve">              required: true</w:t>
      </w:r>
    </w:p>
    <w:p w:rsidR="00CB0DD7" w:rsidRPr="000A0A5F" w:rsidRDefault="00CB0DD7">
      <w:pPr>
        <w:pStyle w:val="PL"/>
      </w:pPr>
      <w:r w:rsidRPr="000A0A5F">
        <w:t xml:space="preserve">              schema:</w:t>
      </w:r>
    </w:p>
    <w:p w:rsidR="00CB0DD7" w:rsidRPr="000A0A5F" w:rsidRDefault="00CB0DD7">
      <w:pPr>
        <w:pStyle w:val="PL"/>
      </w:pPr>
      <w:r w:rsidRPr="000A0A5F">
        <w:t xml:space="preserve">                type: string</w:t>
      </w:r>
    </w:p>
    <w:p w:rsidR="00CB0DD7" w:rsidRPr="000A0A5F" w:rsidRDefault="00CB0DD7">
      <w:pPr>
        <w:pStyle w:val="PL"/>
      </w:pPr>
      <w:r w:rsidRPr="000A0A5F">
        <w:t xml:space="preserve">        '400':</w:t>
      </w:r>
    </w:p>
    <w:p w:rsidR="00CB0DD7" w:rsidRPr="000A0A5F" w:rsidRDefault="00CB0DD7">
      <w:pPr>
        <w:pStyle w:val="PL"/>
      </w:pPr>
      <w:r w:rsidRPr="000A0A5F">
        <w:t xml:space="preserve">          $ref: 'TS29122_CommonData.yaml#/components/responses/400'</w:t>
      </w:r>
    </w:p>
    <w:p w:rsidR="00CB0DD7" w:rsidRPr="000A0A5F" w:rsidRDefault="00CB0DD7">
      <w:pPr>
        <w:pStyle w:val="PL"/>
      </w:pPr>
      <w:r w:rsidRPr="000A0A5F">
        <w:t xml:space="preserve">        '401':</w:t>
      </w:r>
    </w:p>
    <w:p w:rsidR="00CB0DD7" w:rsidRPr="000A0A5F" w:rsidRDefault="00CB0DD7">
      <w:pPr>
        <w:pStyle w:val="PL"/>
      </w:pPr>
      <w:r w:rsidRPr="000A0A5F">
        <w:t xml:space="preserve">          $ref: 'TS29122_CommonData.yaml#/components/responses/401'</w:t>
      </w:r>
    </w:p>
    <w:p w:rsidR="00CB0DD7" w:rsidRPr="000A0A5F" w:rsidRDefault="00CB0DD7">
      <w:pPr>
        <w:pStyle w:val="PL"/>
      </w:pPr>
      <w:r w:rsidRPr="000A0A5F">
        <w:t xml:space="preserve">        '403':</w:t>
      </w:r>
    </w:p>
    <w:p w:rsidR="00CB0DD7" w:rsidRPr="000A0A5F" w:rsidRDefault="00CB0DD7">
      <w:pPr>
        <w:pStyle w:val="PL"/>
      </w:pPr>
      <w:r w:rsidRPr="000A0A5F">
        <w:t xml:space="preserve">          $ref: 'TS29122_CommonData.yaml#/components/responses/403'</w:t>
      </w:r>
    </w:p>
    <w:p w:rsidR="00CB0DD7" w:rsidRPr="000A0A5F" w:rsidRDefault="00CB0DD7">
      <w:pPr>
        <w:pStyle w:val="PL"/>
      </w:pPr>
      <w:r w:rsidRPr="000A0A5F">
        <w:t xml:space="preserve">        '404':</w:t>
      </w:r>
    </w:p>
    <w:p w:rsidR="00CB0DD7" w:rsidRPr="000A0A5F" w:rsidRDefault="00CB0DD7">
      <w:pPr>
        <w:pStyle w:val="PL"/>
      </w:pPr>
      <w:r w:rsidRPr="000A0A5F">
        <w:t xml:space="preserve">          $ref: 'TS29122_CommonData.yaml#/components/responses/404'</w:t>
      </w:r>
    </w:p>
    <w:p w:rsidR="00CB0DD7" w:rsidRPr="000A0A5F" w:rsidRDefault="00CB0DD7">
      <w:pPr>
        <w:pStyle w:val="PL"/>
      </w:pPr>
      <w:r w:rsidRPr="000A0A5F">
        <w:t xml:space="preserve">        '411':</w:t>
      </w:r>
    </w:p>
    <w:p w:rsidR="00CB0DD7" w:rsidRPr="000A0A5F" w:rsidRDefault="00CB0DD7">
      <w:pPr>
        <w:pStyle w:val="PL"/>
      </w:pPr>
      <w:r w:rsidRPr="000A0A5F">
        <w:t xml:space="preserve">          $ref: 'TS29122_CommonData.yaml#/components/responses/411'</w:t>
      </w:r>
    </w:p>
    <w:p w:rsidR="00CB0DD7" w:rsidRPr="000A0A5F" w:rsidRDefault="00CB0DD7">
      <w:pPr>
        <w:pStyle w:val="PL"/>
      </w:pPr>
      <w:r w:rsidRPr="000A0A5F">
        <w:t xml:space="preserve">        '413':</w:t>
      </w:r>
    </w:p>
    <w:p w:rsidR="00CB0DD7" w:rsidRPr="000A0A5F" w:rsidRDefault="00CB0DD7">
      <w:pPr>
        <w:pStyle w:val="PL"/>
      </w:pPr>
      <w:r w:rsidRPr="000A0A5F">
        <w:t xml:space="preserve">          $ref: 'TS29122_CommonData.yaml#/components/responses/413'</w:t>
      </w:r>
    </w:p>
    <w:p w:rsidR="00CB0DD7" w:rsidRPr="000A0A5F" w:rsidRDefault="00CB0DD7">
      <w:pPr>
        <w:pStyle w:val="PL"/>
      </w:pPr>
      <w:r w:rsidRPr="000A0A5F">
        <w:t xml:space="preserve">        '415':</w:t>
      </w:r>
    </w:p>
    <w:p w:rsidR="00CB0DD7" w:rsidRPr="000A0A5F" w:rsidRDefault="00CB0DD7">
      <w:pPr>
        <w:pStyle w:val="PL"/>
      </w:pPr>
      <w:r w:rsidRPr="000A0A5F">
        <w:t xml:space="preserve">          $ref: 'TS29122_CommonData.yaml#/components/responses/415'</w:t>
      </w:r>
    </w:p>
    <w:p w:rsidR="00CB0DD7" w:rsidRPr="000A0A5F" w:rsidRDefault="00CB0DD7">
      <w:pPr>
        <w:pStyle w:val="PL"/>
      </w:pPr>
      <w:r w:rsidRPr="000A0A5F">
        <w:t xml:space="preserve">        '429':</w:t>
      </w:r>
    </w:p>
    <w:p w:rsidR="00CB0DD7" w:rsidRPr="000A0A5F" w:rsidRDefault="00CB0DD7">
      <w:pPr>
        <w:pStyle w:val="PL"/>
      </w:pPr>
      <w:r w:rsidRPr="000A0A5F">
        <w:t xml:space="preserve">          $ref: 'TS29122_CommonData.yaml#/components/responses/429'</w:t>
      </w:r>
    </w:p>
    <w:p w:rsidR="00CB0DD7" w:rsidRPr="000A0A5F" w:rsidRDefault="00CB0DD7">
      <w:pPr>
        <w:pStyle w:val="PL"/>
      </w:pPr>
      <w:r w:rsidRPr="000A0A5F">
        <w:t xml:space="preserve">        '500':</w:t>
      </w:r>
    </w:p>
    <w:p w:rsidR="00CB0DD7" w:rsidRPr="000A0A5F" w:rsidRDefault="00CB0DD7">
      <w:pPr>
        <w:pStyle w:val="PL"/>
      </w:pPr>
      <w:r w:rsidRPr="000A0A5F">
        <w:t xml:space="preserve">          $ref: 'TS29122_CommonData.yaml#/components/responses/500'</w:t>
      </w:r>
    </w:p>
    <w:p w:rsidR="00CB0DD7" w:rsidRPr="000A0A5F" w:rsidRDefault="00CB0DD7">
      <w:pPr>
        <w:pStyle w:val="PL"/>
      </w:pPr>
      <w:r w:rsidRPr="000A0A5F">
        <w:t xml:space="preserve">        '503':</w:t>
      </w:r>
    </w:p>
    <w:p w:rsidR="00CB0DD7" w:rsidRPr="000A0A5F" w:rsidRDefault="00CB0DD7">
      <w:pPr>
        <w:pStyle w:val="PL"/>
      </w:pPr>
      <w:r w:rsidRPr="000A0A5F">
        <w:t xml:space="preserve">          $ref: 'TS29122_CommonData.yaml#/components/responses/503'</w:t>
      </w:r>
    </w:p>
    <w:p w:rsidR="00CB0DD7" w:rsidRPr="000A0A5F" w:rsidRDefault="00CB0DD7">
      <w:pPr>
        <w:pStyle w:val="PL"/>
      </w:pPr>
      <w:r w:rsidRPr="000A0A5F">
        <w:t xml:space="preserve">        default:</w:t>
      </w:r>
    </w:p>
    <w:p w:rsidR="00CB0DD7" w:rsidRPr="000A0A5F" w:rsidRDefault="00CB0DD7">
      <w:pPr>
        <w:pStyle w:val="PL"/>
      </w:pPr>
      <w:r w:rsidRPr="000A0A5F">
        <w:t xml:space="preserve">          $ref: 'TS29122_CommonData.yaml#/components/responses/default'</w:t>
      </w:r>
    </w:p>
    <w:p w:rsidR="00CB0DD7" w:rsidRPr="000A0A5F" w:rsidRDefault="00CB0DD7">
      <w:pPr>
        <w:pStyle w:val="PL"/>
      </w:pPr>
      <w:r w:rsidRPr="000A0A5F">
        <w:t xml:space="preserve">  /{scsAsId}/transactions/{transactionId}:</w:t>
      </w:r>
    </w:p>
    <w:p w:rsidR="00CB0DD7" w:rsidRPr="000A0A5F" w:rsidRDefault="00CB0DD7">
      <w:pPr>
        <w:pStyle w:val="PL"/>
      </w:pPr>
      <w:r w:rsidRPr="000A0A5F">
        <w:t xml:space="preserve">    get:</w:t>
      </w:r>
    </w:p>
    <w:p w:rsidR="00CB0DD7" w:rsidRPr="000A0A5F" w:rsidRDefault="00CB0DD7">
      <w:pPr>
        <w:pStyle w:val="PL"/>
      </w:pPr>
      <w:r w:rsidRPr="000A0A5F">
        <w:t xml:space="preserve">      summary: Read a device triggering transaction resource.</w:t>
      </w:r>
    </w:p>
    <w:p w:rsidR="007D4AAD" w:rsidRPr="000A0A5F" w:rsidRDefault="007D4AAD" w:rsidP="007D4AAD">
      <w:pPr>
        <w:pStyle w:val="PL"/>
      </w:pPr>
      <w:r w:rsidRPr="000A0A5F">
        <w:t xml:space="preserve">      </w:t>
      </w:r>
      <w:r w:rsidRPr="000A0A5F">
        <w:rPr>
          <w:rFonts w:cs="Courier New"/>
          <w:szCs w:val="16"/>
        </w:rPr>
        <w:t>operationId: FetchInd</w:t>
      </w:r>
      <w:r w:rsidRPr="000A0A5F">
        <w:t>DeviceTriggeringTransaction</w:t>
      </w:r>
    </w:p>
    <w:p w:rsidR="00CB0DD7" w:rsidRPr="000A0A5F" w:rsidRDefault="00CB0DD7">
      <w:pPr>
        <w:pStyle w:val="PL"/>
      </w:pPr>
      <w:r w:rsidRPr="000A0A5F">
        <w:t xml:space="preserve">      tags:</w:t>
      </w:r>
    </w:p>
    <w:p w:rsidR="00CB0DD7" w:rsidRPr="000A0A5F" w:rsidRDefault="00CB0DD7">
      <w:pPr>
        <w:pStyle w:val="PL"/>
      </w:pPr>
      <w:r w:rsidRPr="000A0A5F">
        <w:t xml:space="preserve">        - </w:t>
      </w:r>
      <w:r w:rsidR="007D4AAD" w:rsidRPr="000A0A5F">
        <w:t xml:space="preserve">Individual </w:t>
      </w:r>
      <w:r w:rsidRPr="000A0A5F">
        <w:t>Device</w:t>
      </w:r>
      <w:r w:rsidR="007D4AAD" w:rsidRPr="000A0A5F">
        <w:t xml:space="preserve"> </w:t>
      </w:r>
      <w:r w:rsidRPr="000A0A5F">
        <w:t>Triggering Transaction</w:t>
      </w:r>
    </w:p>
    <w:p w:rsidR="00CB0DD7" w:rsidRPr="000A0A5F" w:rsidRDefault="00CB0DD7">
      <w:pPr>
        <w:pStyle w:val="PL"/>
      </w:pPr>
      <w:r w:rsidRPr="000A0A5F">
        <w:t xml:space="preserve">      parameters:</w:t>
      </w:r>
    </w:p>
    <w:p w:rsidR="00CB0DD7" w:rsidRPr="000A0A5F" w:rsidRDefault="00CB0DD7">
      <w:pPr>
        <w:pStyle w:val="PL"/>
      </w:pPr>
      <w:r w:rsidRPr="000A0A5F">
        <w:t xml:space="preserve">        - name: scsAsId</w:t>
      </w:r>
    </w:p>
    <w:p w:rsidR="00CB0DD7" w:rsidRPr="000A0A5F" w:rsidRDefault="00CB0DD7">
      <w:pPr>
        <w:pStyle w:val="PL"/>
      </w:pPr>
      <w:r w:rsidRPr="000A0A5F">
        <w:t xml:space="preserve">          in: path</w:t>
      </w:r>
    </w:p>
    <w:p w:rsidR="00CB0DD7" w:rsidRPr="000A0A5F" w:rsidRDefault="00CB0DD7">
      <w:pPr>
        <w:pStyle w:val="PL"/>
      </w:pPr>
      <w:r w:rsidRPr="000A0A5F">
        <w:t xml:space="preserve">          description: Identifier of the SCS/AS</w:t>
      </w:r>
    </w:p>
    <w:p w:rsidR="00CB0DD7" w:rsidRPr="000A0A5F" w:rsidRDefault="00CB0DD7">
      <w:pPr>
        <w:pStyle w:val="PL"/>
      </w:pPr>
      <w:r w:rsidRPr="000A0A5F">
        <w:t xml:space="preserve">          required: true</w:t>
      </w:r>
    </w:p>
    <w:p w:rsidR="00CB0DD7" w:rsidRPr="000A0A5F" w:rsidRDefault="00CB0DD7">
      <w:pPr>
        <w:pStyle w:val="PL"/>
      </w:pPr>
      <w:r w:rsidRPr="000A0A5F">
        <w:t xml:space="preserve">          schema:</w:t>
      </w:r>
    </w:p>
    <w:p w:rsidR="00CB0DD7" w:rsidRPr="000A0A5F" w:rsidRDefault="00CB0DD7">
      <w:pPr>
        <w:pStyle w:val="PL"/>
      </w:pPr>
      <w:r w:rsidRPr="000A0A5F">
        <w:t xml:space="preserve">           $ref: 'TS29122_CommonData.yaml#/components/schemas/ScsAsId'</w:t>
      </w:r>
    </w:p>
    <w:p w:rsidR="00CB0DD7" w:rsidRPr="000A0A5F" w:rsidRDefault="00CB0DD7">
      <w:pPr>
        <w:pStyle w:val="PL"/>
      </w:pPr>
      <w:r w:rsidRPr="000A0A5F">
        <w:t xml:space="preserve">        - name: transactionId</w:t>
      </w:r>
    </w:p>
    <w:p w:rsidR="00CB0DD7" w:rsidRPr="000A0A5F" w:rsidRDefault="00CB0DD7">
      <w:pPr>
        <w:pStyle w:val="PL"/>
      </w:pPr>
      <w:r w:rsidRPr="000A0A5F">
        <w:t xml:space="preserve">          in: path</w:t>
      </w:r>
    </w:p>
    <w:p w:rsidR="00CB0DD7" w:rsidRPr="000A0A5F" w:rsidRDefault="00CB0DD7">
      <w:pPr>
        <w:pStyle w:val="PL"/>
      </w:pPr>
      <w:r w:rsidRPr="000A0A5F">
        <w:t xml:space="preserve">          description: Identifier of the transaction resource</w:t>
      </w:r>
    </w:p>
    <w:p w:rsidR="00CB0DD7" w:rsidRPr="000A0A5F" w:rsidRDefault="00CB0DD7">
      <w:pPr>
        <w:pStyle w:val="PL"/>
      </w:pPr>
      <w:r w:rsidRPr="000A0A5F">
        <w:t xml:space="preserve">          required: true</w:t>
      </w:r>
    </w:p>
    <w:p w:rsidR="00CB0DD7" w:rsidRPr="000A0A5F" w:rsidRDefault="00CB0DD7">
      <w:pPr>
        <w:pStyle w:val="PL"/>
      </w:pPr>
      <w:r w:rsidRPr="000A0A5F">
        <w:t xml:space="preserve">          schema:</w:t>
      </w:r>
    </w:p>
    <w:p w:rsidR="00CB0DD7" w:rsidRPr="000A0A5F" w:rsidRDefault="00CB0DD7">
      <w:pPr>
        <w:pStyle w:val="PL"/>
      </w:pPr>
      <w:r w:rsidRPr="000A0A5F">
        <w:t xml:space="preserve">            type: string</w:t>
      </w:r>
    </w:p>
    <w:p w:rsidR="00CB0DD7" w:rsidRPr="000A0A5F" w:rsidRDefault="00CB0DD7">
      <w:pPr>
        <w:pStyle w:val="PL"/>
      </w:pPr>
      <w:r w:rsidRPr="000A0A5F">
        <w:t xml:space="preserve">      responses:</w:t>
      </w:r>
    </w:p>
    <w:p w:rsidR="00CB0DD7" w:rsidRPr="000A0A5F" w:rsidRDefault="00CB0DD7">
      <w:pPr>
        <w:pStyle w:val="PL"/>
      </w:pPr>
      <w:r w:rsidRPr="000A0A5F">
        <w:t xml:space="preserve">        '200':</w:t>
      </w:r>
    </w:p>
    <w:p w:rsidR="00CB0DD7" w:rsidRPr="000A0A5F" w:rsidRDefault="00CB0DD7">
      <w:pPr>
        <w:pStyle w:val="PL"/>
      </w:pPr>
      <w:r w:rsidRPr="000A0A5F">
        <w:t xml:space="preserve">          description: OK (Successful get the active subscription)</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application/json:</w:t>
      </w:r>
    </w:p>
    <w:p w:rsidR="00CB0DD7" w:rsidRPr="000A0A5F" w:rsidRDefault="00CB0DD7">
      <w:pPr>
        <w:pStyle w:val="PL"/>
      </w:pPr>
      <w:r w:rsidRPr="000A0A5F">
        <w:t xml:space="preserve">              schema:</w:t>
      </w:r>
    </w:p>
    <w:p w:rsidR="00CB0DD7" w:rsidRPr="000A0A5F" w:rsidRDefault="00CB0DD7">
      <w:pPr>
        <w:pStyle w:val="PL"/>
      </w:pPr>
      <w:r w:rsidRPr="000A0A5F">
        <w:t xml:space="preserve">                $ref: '#/components/schemas/DeviceTriggering'</w:t>
      </w:r>
    </w:p>
    <w:p w:rsidR="00CB0DD7" w:rsidRPr="000A0A5F" w:rsidRDefault="00CB0DD7">
      <w:pPr>
        <w:pStyle w:val="PL"/>
      </w:pPr>
      <w:r w:rsidRPr="000A0A5F">
        <w:t xml:space="preserve">        '307':</w:t>
      </w:r>
    </w:p>
    <w:p w:rsidR="00CB0DD7" w:rsidRPr="000A0A5F" w:rsidRDefault="00CB0DD7">
      <w:pPr>
        <w:pStyle w:val="PL"/>
      </w:pPr>
      <w:r w:rsidRPr="000A0A5F">
        <w:t xml:space="preserve">          $ref: 'TS29122_CommonData.yaml#/components/responses/307'</w:t>
      </w:r>
    </w:p>
    <w:p w:rsidR="00CB0DD7" w:rsidRPr="000A0A5F" w:rsidRDefault="00CB0DD7">
      <w:pPr>
        <w:pStyle w:val="PL"/>
      </w:pPr>
      <w:r w:rsidRPr="000A0A5F">
        <w:t xml:space="preserve">        '308':</w:t>
      </w:r>
    </w:p>
    <w:p w:rsidR="00CB0DD7" w:rsidRPr="000A0A5F" w:rsidRDefault="00CB0DD7">
      <w:pPr>
        <w:pStyle w:val="PL"/>
      </w:pPr>
      <w:r w:rsidRPr="000A0A5F">
        <w:t xml:space="preserve">          $ref: 'TS29122_CommonData.yaml#/components/responses/308'</w:t>
      </w:r>
    </w:p>
    <w:p w:rsidR="00CB0DD7" w:rsidRPr="000A0A5F" w:rsidRDefault="00CB0DD7">
      <w:pPr>
        <w:pStyle w:val="PL"/>
      </w:pPr>
      <w:r w:rsidRPr="000A0A5F">
        <w:t xml:space="preserve">        '400':</w:t>
      </w:r>
    </w:p>
    <w:p w:rsidR="00CB0DD7" w:rsidRPr="000A0A5F" w:rsidRDefault="00CB0DD7">
      <w:pPr>
        <w:pStyle w:val="PL"/>
      </w:pPr>
      <w:r w:rsidRPr="000A0A5F">
        <w:t xml:space="preserve">          $ref: 'TS29122_CommonData.yaml#/components/responses/400'</w:t>
      </w:r>
    </w:p>
    <w:p w:rsidR="00CB0DD7" w:rsidRPr="000A0A5F" w:rsidRDefault="00CB0DD7">
      <w:pPr>
        <w:pStyle w:val="PL"/>
      </w:pPr>
      <w:r w:rsidRPr="000A0A5F">
        <w:t xml:space="preserve">        '401':</w:t>
      </w:r>
    </w:p>
    <w:p w:rsidR="00CB0DD7" w:rsidRPr="000A0A5F" w:rsidRDefault="00CB0DD7">
      <w:pPr>
        <w:pStyle w:val="PL"/>
      </w:pPr>
      <w:r w:rsidRPr="000A0A5F">
        <w:t xml:space="preserve">          $ref: 'TS29122_CommonData.yaml#/components/responses/401'</w:t>
      </w:r>
    </w:p>
    <w:p w:rsidR="00CB0DD7" w:rsidRPr="000A0A5F" w:rsidRDefault="00CB0DD7">
      <w:pPr>
        <w:pStyle w:val="PL"/>
      </w:pPr>
      <w:r w:rsidRPr="000A0A5F">
        <w:t xml:space="preserve">        '403':</w:t>
      </w:r>
    </w:p>
    <w:p w:rsidR="00CB0DD7" w:rsidRPr="000A0A5F" w:rsidRDefault="00CB0DD7">
      <w:pPr>
        <w:pStyle w:val="PL"/>
      </w:pPr>
      <w:r w:rsidRPr="000A0A5F">
        <w:t xml:space="preserve">          $ref: 'TS29122_CommonData.yaml#/components/responses/403'</w:t>
      </w:r>
    </w:p>
    <w:p w:rsidR="00CB0DD7" w:rsidRPr="000A0A5F" w:rsidRDefault="00CB0DD7">
      <w:pPr>
        <w:pStyle w:val="PL"/>
      </w:pPr>
      <w:r w:rsidRPr="000A0A5F">
        <w:t xml:space="preserve">        '404':</w:t>
      </w:r>
    </w:p>
    <w:p w:rsidR="00CB0DD7" w:rsidRPr="000A0A5F" w:rsidRDefault="00CB0DD7">
      <w:pPr>
        <w:pStyle w:val="PL"/>
      </w:pPr>
      <w:r w:rsidRPr="000A0A5F">
        <w:t xml:space="preserve">          $ref: 'TS29122_CommonData.yaml#/components/responses/404'</w:t>
      </w:r>
    </w:p>
    <w:p w:rsidR="00CB0DD7" w:rsidRPr="000A0A5F" w:rsidRDefault="00CB0DD7">
      <w:pPr>
        <w:pStyle w:val="PL"/>
      </w:pPr>
      <w:r w:rsidRPr="000A0A5F">
        <w:t xml:space="preserve">        '406':</w:t>
      </w:r>
    </w:p>
    <w:p w:rsidR="00CB0DD7" w:rsidRPr="000A0A5F" w:rsidRDefault="00CB0DD7">
      <w:pPr>
        <w:pStyle w:val="PL"/>
      </w:pPr>
      <w:r w:rsidRPr="000A0A5F">
        <w:t xml:space="preserve">          $ref: 'TS29122_CommonData.yaml#/components/responses/406'</w:t>
      </w:r>
    </w:p>
    <w:p w:rsidR="00CB0DD7" w:rsidRPr="000A0A5F" w:rsidRDefault="00CB0DD7">
      <w:pPr>
        <w:pStyle w:val="PL"/>
      </w:pPr>
      <w:r w:rsidRPr="000A0A5F">
        <w:t xml:space="preserve">        '429':</w:t>
      </w:r>
    </w:p>
    <w:p w:rsidR="00CB0DD7" w:rsidRPr="000A0A5F" w:rsidRDefault="00CB0DD7">
      <w:pPr>
        <w:pStyle w:val="PL"/>
      </w:pPr>
      <w:r w:rsidRPr="000A0A5F">
        <w:t xml:space="preserve">          $ref: 'TS29122_CommonData.yaml#/components/responses/429'</w:t>
      </w:r>
    </w:p>
    <w:p w:rsidR="00CB0DD7" w:rsidRPr="000A0A5F" w:rsidRDefault="00CB0DD7">
      <w:pPr>
        <w:pStyle w:val="PL"/>
      </w:pPr>
      <w:r w:rsidRPr="000A0A5F">
        <w:t xml:space="preserve">        '500':</w:t>
      </w:r>
    </w:p>
    <w:p w:rsidR="00CB0DD7" w:rsidRPr="000A0A5F" w:rsidRDefault="00CB0DD7">
      <w:pPr>
        <w:pStyle w:val="PL"/>
      </w:pPr>
      <w:r w:rsidRPr="000A0A5F">
        <w:t xml:space="preserve">          $ref: 'TS29122_CommonData.yaml#/components/responses/500'</w:t>
      </w:r>
    </w:p>
    <w:p w:rsidR="00CB0DD7" w:rsidRPr="000A0A5F" w:rsidRDefault="00CB0DD7">
      <w:pPr>
        <w:pStyle w:val="PL"/>
      </w:pPr>
      <w:r w:rsidRPr="000A0A5F">
        <w:t xml:space="preserve">        '503':</w:t>
      </w:r>
    </w:p>
    <w:p w:rsidR="00CB0DD7" w:rsidRPr="000A0A5F" w:rsidRDefault="00CB0DD7">
      <w:pPr>
        <w:pStyle w:val="PL"/>
      </w:pPr>
      <w:r w:rsidRPr="000A0A5F">
        <w:t xml:space="preserve">          $ref: 'TS29122_CommonData.yaml#/components/responses/503'</w:t>
      </w:r>
    </w:p>
    <w:p w:rsidR="00CB0DD7" w:rsidRPr="000A0A5F" w:rsidRDefault="00CB0DD7">
      <w:pPr>
        <w:pStyle w:val="PL"/>
      </w:pPr>
      <w:r w:rsidRPr="000A0A5F">
        <w:t xml:space="preserve">        default:</w:t>
      </w:r>
    </w:p>
    <w:p w:rsidR="00CB0DD7" w:rsidRPr="000A0A5F" w:rsidRDefault="00CB0DD7">
      <w:pPr>
        <w:pStyle w:val="PL"/>
      </w:pPr>
      <w:r w:rsidRPr="000A0A5F">
        <w:t xml:space="preserve">          $ref: 'TS29122_CommonData.yaml#/components/responses/default'</w:t>
      </w:r>
    </w:p>
    <w:p w:rsidR="00CB0DD7" w:rsidRPr="000A0A5F" w:rsidRDefault="00CB0DD7">
      <w:pPr>
        <w:pStyle w:val="PL"/>
      </w:pPr>
      <w:r w:rsidRPr="000A0A5F">
        <w:t xml:space="preserve">    put:</w:t>
      </w:r>
    </w:p>
    <w:p w:rsidR="00CB0DD7" w:rsidRPr="000A0A5F" w:rsidRDefault="00CB0DD7">
      <w:pPr>
        <w:pStyle w:val="PL"/>
      </w:pPr>
      <w:r w:rsidRPr="000A0A5F">
        <w:t xml:space="preserve">      summary: Replace an existing device triggering transaction resource and the corresponding device trigger request.</w:t>
      </w:r>
    </w:p>
    <w:p w:rsidR="007D4AAD" w:rsidRPr="000A0A5F" w:rsidRDefault="007D4AAD" w:rsidP="007D4AAD">
      <w:pPr>
        <w:pStyle w:val="PL"/>
      </w:pPr>
      <w:r w:rsidRPr="000A0A5F">
        <w:t xml:space="preserve">      </w:t>
      </w:r>
      <w:r w:rsidRPr="000A0A5F">
        <w:rPr>
          <w:rFonts w:cs="Courier New"/>
          <w:szCs w:val="16"/>
        </w:rPr>
        <w:t>operationId: UpdateInd</w:t>
      </w:r>
      <w:r w:rsidRPr="000A0A5F">
        <w:t>DeviceTriggeringTransaction</w:t>
      </w:r>
    </w:p>
    <w:p w:rsidR="00CB0DD7" w:rsidRPr="000A0A5F" w:rsidRDefault="00CB0DD7">
      <w:pPr>
        <w:pStyle w:val="PL"/>
      </w:pPr>
      <w:r w:rsidRPr="000A0A5F">
        <w:t xml:space="preserve">      tags:</w:t>
      </w:r>
    </w:p>
    <w:p w:rsidR="00CB0DD7" w:rsidRPr="000A0A5F" w:rsidRDefault="00CB0DD7">
      <w:pPr>
        <w:pStyle w:val="PL"/>
      </w:pPr>
      <w:r w:rsidRPr="000A0A5F">
        <w:t xml:space="preserve">        - </w:t>
      </w:r>
      <w:r w:rsidR="007D4AAD" w:rsidRPr="000A0A5F">
        <w:t xml:space="preserve">Individual </w:t>
      </w:r>
      <w:r w:rsidRPr="000A0A5F">
        <w:t>Device</w:t>
      </w:r>
      <w:r w:rsidR="007D4AAD" w:rsidRPr="000A0A5F">
        <w:t xml:space="preserve"> </w:t>
      </w:r>
      <w:r w:rsidRPr="000A0A5F">
        <w:t xml:space="preserve">Triggering </w:t>
      </w:r>
      <w:r w:rsidR="007D4AAD" w:rsidRPr="000A0A5F">
        <w:t>T</w:t>
      </w:r>
      <w:r w:rsidRPr="000A0A5F">
        <w:t>ransaction</w:t>
      </w:r>
    </w:p>
    <w:p w:rsidR="00CB0DD7" w:rsidRPr="000A0A5F" w:rsidRDefault="00CB0DD7">
      <w:pPr>
        <w:pStyle w:val="PL"/>
      </w:pPr>
      <w:r w:rsidRPr="000A0A5F">
        <w:t xml:space="preserve">      parameters:</w:t>
      </w:r>
    </w:p>
    <w:p w:rsidR="00CB0DD7" w:rsidRPr="000A0A5F" w:rsidRDefault="00CB0DD7">
      <w:pPr>
        <w:pStyle w:val="PL"/>
      </w:pPr>
      <w:r w:rsidRPr="000A0A5F">
        <w:t xml:space="preserve">        - name: scsAsId</w:t>
      </w:r>
    </w:p>
    <w:p w:rsidR="00CB0DD7" w:rsidRPr="000A0A5F" w:rsidRDefault="00CB0DD7">
      <w:pPr>
        <w:pStyle w:val="PL"/>
      </w:pPr>
      <w:r w:rsidRPr="000A0A5F">
        <w:t xml:space="preserve">          in: path</w:t>
      </w:r>
    </w:p>
    <w:p w:rsidR="00CB0DD7" w:rsidRPr="000A0A5F" w:rsidRDefault="00CB0DD7">
      <w:pPr>
        <w:pStyle w:val="PL"/>
      </w:pPr>
      <w:r w:rsidRPr="000A0A5F">
        <w:t xml:space="preserve">          description: Identifier of the SCS/AS</w:t>
      </w:r>
    </w:p>
    <w:p w:rsidR="00CB0DD7" w:rsidRPr="000A0A5F" w:rsidRDefault="00CB0DD7">
      <w:pPr>
        <w:pStyle w:val="PL"/>
      </w:pPr>
      <w:r w:rsidRPr="000A0A5F">
        <w:t xml:space="preserve">          required: true</w:t>
      </w:r>
    </w:p>
    <w:p w:rsidR="00CB0DD7" w:rsidRPr="000A0A5F" w:rsidRDefault="00CB0DD7">
      <w:pPr>
        <w:pStyle w:val="PL"/>
      </w:pPr>
      <w:r w:rsidRPr="000A0A5F">
        <w:t xml:space="preserve">          schema:</w:t>
      </w:r>
    </w:p>
    <w:p w:rsidR="00CB0DD7" w:rsidRPr="000A0A5F" w:rsidRDefault="00CB0DD7">
      <w:pPr>
        <w:pStyle w:val="PL"/>
      </w:pPr>
      <w:r w:rsidRPr="000A0A5F">
        <w:t xml:space="preserve">           $ref: 'TS29122_CommonData.yaml#/components/schemas/ScsAsId'</w:t>
      </w:r>
    </w:p>
    <w:p w:rsidR="00CB0DD7" w:rsidRPr="000A0A5F" w:rsidRDefault="00CB0DD7">
      <w:pPr>
        <w:pStyle w:val="PL"/>
      </w:pPr>
      <w:r w:rsidRPr="000A0A5F">
        <w:t xml:space="preserve">        - name: transactionId</w:t>
      </w:r>
    </w:p>
    <w:p w:rsidR="00CB0DD7" w:rsidRPr="000A0A5F" w:rsidRDefault="00CB0DD7">
      <w:pPr>
        <w:pStyle w:val="PL"/>
      </w:pPr>
      <w:r w:rsidRPr="000A0A5F">
        <w:t xml:space="preserve">          in: path</w:t>
      </w:r>
    </w:p>
    <w:p w:rsidR="00CB0DD7" w:rsidRPr="000A0A5F" w:rsidRDefault="00CB0DD7">
      <w:pPr>
        <w:pStyle w:val="PL"/>
      </w:pPr>
      <w:r w:rsidRPr="000A0A5F">
        <w:t xml:space="preserve">          description: Identifier of the transaction resource</w:t>
      </w:r>
    </w:p>
    <w:p w:rsidR="00CB0DD7" w:rsidRPr="000A0A5F" w:rsidRDefault="00CB0DD7">
      <w:pPr>
        <w:pStyle w:val="PL"/>
      </w:pPr>
      <w:r w:rsidRPr="000A0A5F">
        <w:t xml:space="preserve">          required: true</w:t>
      </w:r>
    </w:p>
    <w:p w:rsidR="00CB0DD7" w:rsidRPr="000A0A5F" w:rsidRDefault="00CB0DD7">
      <w:pPr>
        <w:pStyle w:val="PL"/>
      </w:pPr>
      <w:r w:rsidRPr="000A0A5F">
        <w:t xml:space="preserve">          schema:</w:t>
      </w:r>
    </w:p>
    <w:p w:rsidR="00CB0DD7" w:rsidRPr="000A0A5F" w:rsidRDefault="00CB0DD7">
      <w:pPr>
        <w:pStyle w:val="PL"/>
      </w:pPr>
      <w:r w:rsidRPr="000A0A5F">
        <w:t xml:space="preserve">            type: string</w:t>
      </w:r>
    </w:p>
    <w:p w:rsidR="00CB0DD7" w:rsidRPr="000A0A5F" w:rsidRDefault="00CB0DD7">
      <w:pPr>
        <w:pStyle w:val="PL"/>
      </w:pPr>
      <w:r w:rsidRPr="000A0A5F">
        <w:t xml:space="preserve">      requestBody:</w:t>
      </w:r>
    </w:p>
    <w:p w:rsidR="00CB0DD7" w:rsidRPr="000A0A5F" w:rsidRDefault="00CB0DD7">
      <w:pPr>
        <w:pStyle w:val="PL"/>
      </w:pPr>
      <w:r w:rsidRPr="000A0A5F">
        <w:t xml:space="preserve">        description: Parameters to update/replace the existing device triggering</w:t>
      </w:r>
    </w:p>
    <w:p w:rsidR="00CB0DD7" w:rsidRPr="000A0A5F" w:rsidRDefault="00CB0DD7">
      <w:pPr>
        <w:pStyle w:val="PL"/>
      </w:pPr>
      <w:r w:rsidRPr="000A0A5F">
        <w:t xml:space="preserve">        required: true</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application/json:</w:t>
      </w:r>
    </w:p>
    <w:p w:rsidR="00CB0DD7" w:rsidRPr="000A0A5F" w:rsidRDefault="00CB0DD7">
      <w:pPr>
        <w:pStyle w:val="PL"/>
      </w:pPr>
      <w:r w:rsidRPr="000A0A5F">
        <w:t xml:space="preserve">            schema:</w:t>
      </w:r>
    </w:p>
    <w:p w:rsidR="00CB0DD7" w:rsidRPr="000A0A5F" w:rsidRDefault="00CB0DD7">
      <w:pPr>
        <w:pStyle w:val="PL"/>
      </w:pPr>
      <w:r w:rsidRPr="000A0A5F">
        <w:t xml:space="preserve">              $ref: '#/components/schemas/DeviceTriggering'</w:t>
      </w:r>
    </w:p>
    <w:p w:rsidR="00CB0DD7" w:rsidRPr="000A0A5F" w:rsidRDefault="00CB0DD7">
      <w:pPr>
        <w:pStyle w:val="PL"/>
      </w:pPr>
      <w:r w:rsidRPr="000A0A5F">
        <w:t xml:space="preserve">      responses:</w:t>
      </w:r>
    </w:p>
    <w:p w:rsidR="00CB0DD7" w:rsidRPr="000A0A5F" w:rsidRDefault="00CB0DD7">
      <w:pPr>
        <w:pStyle w:val="PL"/>
      </w:pPr>
      <w:r w:rsidRPr="000A0A5F">
        <w:t xml:space="preserve">        '200':</w:t>
      </w:r>
    </w:p>
    <w:p w:rsidR="00CB0DD7" w:rsidRPr="000A0A5F" w:rsidRDefault="00CB0DD7">
      <w:pPr>
        <w:pStyle w:val="PL"/>
      </w:pPr>
      <w:r w:rsidRPr="000A0A5F">
        <w:t xml:space="preserve">          description: OK (Successful update of the device triggering)</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application/json:</w:t>
      </w:r>
    </w:p>
    <w:p w:rsidR="00CB0DD7" w:rsidRPr="000A0A5F" w:rsidRDefault="00CB0DD7">
      <w:pPr>
        <w:pStyle w:val="PL"/>
      </w:pPr>
      <w:r w:rsidRPr="000A0A5F">
        <w:t xml:space="preserve">              schema:</w:t>
      </w:r>
    </w:p>
    <w:p w:rsidR="00CB0DD7" w:rsidRPr="000A0A5F" w:rsidRDefault="00CB0DD7">
      <w:pPr>
        <w:pStyle w:val="PL"/>
      </w:pPr>
      <w:r w:rsidRPr="000A0A5F">
        <w:t xml:space="preserve">                $ref: '#/components/schemas/DeviceTriggering'</w:t>
      </w:r>
    </w:p>
    <w:p w:rsidR="003D43FE" w:rsidRPr="000A0A5F" w:rsidRDefault="003D43FE" w:rsidP="003D43FE">
      <w:pPr>
        <w:pStyle w:val="PL"/>
      </w:pPr>
      <w:r w:rsidRPr="000A0A5F">
        <w:t xml:space="preserve">        '204':</w:t>
      </w:r>
    </w:p>
    <w:p w:rsidR="003D43FE" w:rsidRPr="000A0A5F" w:rsidRDefault="003D43FE" w:rsidP="003D43FE">
      <w:pPr>
        <w:pStyle w:val="PL"/>
      </w:pPr>
      <w:r w:rsidRPr="000A0A5F">
        <w:t xml:space="preserve">          description: No Content (Successful update of the device triggering)</w:t>
      </w:r>
    </w:p>
    <w:p w:rsidR="00CB0DD7" w:rsidRPr="000A0A5F" w:rsidRDefault="00CB0DD7">
      <w:pPr>
        <w:pStyle w:val="PL"/>
      </w:pPr>
      <w:r w:rsidRPr="000A0A5F">
        <w:t xml:space="preserve">        '307':</w:t>
      </w:r>
    </w:p>
    <w:p w:rsidR="00CB0DD7" w:rsidRPr="000A0A5F" w:rsidRDefault="00CB0DD7">
      <w:pPr>
        <w:pStyle w:val="PL"/>
      </w:pPr>
      <w:r w:rsidRPr="000A0A5F">
        <w:t xml:space="preserve">          $ref: 'TS29122_CommonData.yaml#/components/responses/307'</w:t>
      </w:r>
    </w:p>
    <w:p w:rsidR="00CB0DD7" w:rsidRPr="000A0A5F" w:rsidRDefault="00CB0DD7">
      <w:pPr>
        <w:pStyle w:val="PL"/>
      </w:pPr>
      <w:r w:rsidRPr="000A0A5F">
        <w:t xml:space="preserve">        '308':</w:t>
      </w:r>
    </w:p>
    <w:p w:rsidR="00CB0DD7" w:rsidRPr="000A0A5F" w:rsidRDefault="00CB0DD7">
      <w:pPr>
        <w:pStyle w:val="PL"/>
      </w:pPr>
      <w:r w:rsidRPr="000A0A5F">
        <w:t xml:space="preserve">          $ref: 'TS29122_CommonData.yaml#/components/responses/308'</w:t>
      </w:r>
    </w:p>
    <w:p w:rsidR="00CB0DD7" w:rsidRPr="000A0A5F" w:rsidRDefault="00CB0DD7">
      <w:pPr>
        <w:pStyle w:val="PL"/>
      </w:pPr>
      <w:r w:rsidRPr="000A0A5F">
        <w:t xml:space="preserve">        '400':</w:t>
      </w:r>
    </w:p>
    <w:p w:rsidR="00CB0DD7" w:rsidRPr="000A0A5F" w:rsidRDefault="00CB0DD7">
      <w:pPr>
        <w:pStyle w:val="PL"/>
      </w:pPr>
      <w:r w:rsidRPr="000A0A5F">
        <w:t xml:space="preserve">          $ref: 'TS29122_CommonData.yaml#/components/responses/400'</w:t>
      </w:r>
    </w:p>
    <w:p w:rsidR="00CB0DD7" w:rsidRPr="000A0A5F" w:rsidRDefault="00CB0DD7">
      <w:pPr>
        <w:pStyle w:val="PL"/>
      </w:pPr>
      <w:r w:rsidRPr="000A0A5F">
        <w:t xml:space="preserve">        '401':</w:t>
      </w:r>
    </w:p>
    <w:p w:rsidR="00CB0DD7" w:rsidRPr="000A0A5F" w:rsidRDefault="00CB0DD7">
      <w:pPr>
        <w:pStyle w:val="PL"/>
      </w:pPr>
      <w:r w:rsidRPr="000A0A5F">
        <w:t xml:space="preserve">          $ref: 'TS29122_CommonData.yaml#/components/responses/401'</w:t>
      </w:r>
    </w:p>
    <w:p w:rsidR="00CB0DD7" w:rsidRPr="000A0A5F" w:rsidRDefault="00CB0DD7">
      <w:pPr>
        <w:pStyle w:val="PL"/>
      </w:pPr>
      <w:r w:rsidRPr="000A0A5F">
        <w:t xml:space="preserve">        '403':</w:t>
      </w:r>
    </w:p>
    <w:p w:rsidR="00CB0DD7" w:rsidRPr="000A0A5F" w:rsidRDefault="00CB0DD7">
      <w:pPr>
        <w:pStyle w:val="PL"/>
      </w:pPr>
      <w:r w:rsidRPr="000A0A5F">
        <w:t xml:space="preserve">          $ref: 'TS29122_CommonData.yaml#/components/responses/403'</w:t>
      </w:r>
    </w:p>
    <w:p w:rsidR="00CB0DD7" w:rsidRPr="000A0A5F" w:rsidRDefault="00CB0DD7">
      <w:pPr>
        <w:pStyle w:val="PL"/>
      </w:pPr>
      <w:r w:rsidRPr="000A0A5F">
        <w:t xml:space="preserve">        '404':</w:t>
      </w:r>
    </w:p>
    <w:p w:rsidR="00CB0DD7" w:rsidRPr="000A0A5F" w:rsidRDefault="00CB0DD7">
      <w:pPr>
        <w:pStyle w:val="PL"/>
      </w:pPr>
      <w:r w:rsidRPr="000A0A5F">
        <w:t xml:space="preserve">          $ref: 'TS29122_CommonData.yaml#/components/responses/404'</w:t>
      </w:r>
    </w:p>
    <w:p w:rsidR="00CB0DD7" w:rsidRPr="000A0A5F" w:rsidRDefault="00CB0DD7">
      <w:pPr>
        <w:pStyle w:val="PL"/>
      </w:pPr>
      <w:r w:rsidRPr="000A0A5F">
        <w:t xml:space="preserve">        '411':</w:t>
      </w:r>
    </w:p>
    <w:p w:rsidR="00CB0DD7" w:rsidRPr="000A0A5F" w:rsidRDefault="00CB0DD7">
      <w:pPr>
        <w:pStyle w:val="PL"/>
      </w:pPr>
      <w:r w:rsidRPr="000A0A5F">
        <w:t xml:space="preserve">          $ref: 'TS29122_CommonData.yaml#/components/responses/411'</w:t>
      </w:r>
    </w:p>
    <w:p w:rsidR="00CB0DD7" w:rsidRPr="000A0A5F" w:rsidRDefault="00CB0DD7">
      <w:pPr>
        <w:pStyle w:val="PL"/>
      </w:pPr>
      <w:r w:rsidRPr="000A0A5F">
        <w:t xml:space="preserve">        '413':</w:t>
      </w:r>
    </w:p>
    <w:p w:rsidR="00CB0DD7" w:rsidRPr="000A0A5F" w:rsidRDefault="00CB0DD7">
      <w:pPr>
        <w:pStyle w:val="PL"/>
      </w:pPr>
      <w:r w:rsidRPr="000A0A5F">
        <w:t xml:space="preserve">          $ref: 'TS29122_CommonData.yaml#/components/responses/413'</w:t>
      </w:r>
    </w:p>
    <w:p w:rsidR="00CB0DD7" w:rsidRPr="000A0A5F" w:rsidRDefault="00CB0DD7">
      <w:pPr>
        <w:pStyle w:val="PL"/>
      </w:pPr>
      <w:r w:rsidRPr="000A0A5F">
        <w:t xml:space="preserve">        '415':</w:t>
      </w:r>
    </w:p>
    <w:p w:rsidR="00CB0DD7" w:rsidRPr="000A0A5F" w:rsidRDefault="00CB0DD7">
      <w:pPr>
        <w:pStyle w:val="PL"/>
      </w:pPr>
      <w:r w:rsidRPr="000A0A5F">
        <w:t xml:space="preserve">          $ref: 'TS29122_CommonData.yaml#/components/responses/415'</w:t>
      </w:r>
    </w:p>
    <w:p w:rsidR="00CB0DD7" w:rsidRPr="000A0A5F" w:rsidRDefault="00CB0DD7">
      <w:pPr>
        <w:pStyle w:val="PL"/>
      </w:pPr>
      <w:r w:rsidRPr="000A0A5F">
        <w:t xml:space="preserve">        '429':</w:t>
      </w:r>
    </w:p>
    <w:p w:rsidR="00CB0DD7" w:rsidRPr="000A0A5F" w:rsidRDefault="00CB0DD7">
      <w:pPr>
        <w:pStyle w:val="PL"/>
      </w:pPr>
      <w:r w:rsidRPr="000A0A5F">
        <w:t xml:space="preserve">          $ref: 'TS29122_CommonData.yaml#/components/responses/429'</w:t>
      </w:r>
    </w:p>
    <w:p w:rsidR="00CB0DD7" w:rsidRPr="000A0A5F" w:rsidRDefault="00CB0DD7">
      <w:pPr>
        <w:pStyle w:val="PL"/>
      </w:pPr>
      <w:r w:rsidRPr="000A0A5F">
        <w:t xml:space="preserve">        '500':</w:t>
      </w:r>
    </w:p>
    <w:p w:rsidR="00CB0DD7" w:rsidRPr="000A0A5F" w:rsidRDefault="00CB0DD7">
      <w:pPr>
        <w:pStyle w:val="PL"/>
      </w:pPr>
      <w:r w:rsidRPr="000A0A5F">
        <w:t xml:space="preserve">          $ref: 'TS29122_CommonData.yaml#/components/responses/500'</w:t>
      </w:r>
    </w:p>
    <w:p w:rsidR="00CB0DD7" w:rsidRPr="000A0A5F" w:rsidRDefault="00CB0DD7">
      <w:pPr>
        <w:pStyle w:val="PL"/>
      </w:pPr>
      <w:r w:rsidRPr="000A0A5F">
        <w:t xml:space="preserve">        '503':</w:t>
      </w:r>
    </w:p>
    <w:p w:rsidR="00CB0DD7" w:rsidRPr="000A0A5F" w:rsidRDefault="00CB0DD7">
      <w:pPr>
        <w:pStyle w:val="PL"/>
      </w:pPr>
      <w:r w:rsidRPr="000A0A5F">
        <w:t xml:space="preserve">          $ref: 'TS29122_CommonData.yaml#/components/responses/503'</w:t>
      </w:r>
    </w:p>
    <w:p w:rsidR="00CB0DD7" w:rsidRPr="000A0A5F" w:rsidRDefault="00CB0DD7">
      <w:pPr>
        <w:pStyle w:val="PL"/>
      </w:pPr>
      <w:r w:rsidRPr="000A0A5F">
        <w:t xml:space="preserve">        default:</w:t>
      </w:r>
    </w:p>
    <w:p w:rsidR="00CB0DD7" w:rsidRPr="000A0A5F" w:rsidRDefault="00CB0DD7">
      <w:pPr>
        <w:pStyle w:val="PL"/>
      </w:pPr>
      <w:r w:rsidRPr="000A0A5F">
        <w:t xml:space="preserve">          $ref: 'TS29122_CommonData.yaml#/components/responses/default'</w:t>
      </w:r>
    </w:p>
    <w:p w:rsidR="00F4764B" w:rsidRPr="000A0A5F" w:rsidRDefault="00F4764B" w:rsidP="00F4764B">
      <w:pPr>
        <w:pStyle w:val="PL"/>
      </w:pPr>
      <w:r w:rsidRPr="000A0A5F">
        <w:t xml:space="preserve">    patch:</w:t>
      </w:r>
    </w:p>
    <w:p w:rsidR="00F4764B" w:rsidRPr="000A0A5F" w:rsidRDefault="00F4764B" w:rsidP="00F4764B">
      <w:pPr>
        <w:pStyle w:val="PL"/>
      </w:pPr>
      <w:r w:rsidRPr="000A0A5F">
        <w:t xml:space="preserve">      summary: Modify an existing Individual Device Triggering Transaction resource and the corresponding device triggering request.</w:t>
      </w:r>
    </w:p>
    <w:p w:rsidR="00F4764B" w:rsidRPr="000A0A5F" w:rsidRDefault="00F4764B" w:rsidP="00F4764B">
      <w:pPr>
        <w:pStyle w:val="PL"/>
      </w:pPr>
      <w:r w:rsidRPr="000A0A5F">
        <w:t xml:space="preserve">      </w:t>
      </w:r>
      <w:r w:rsidRPr="000A0A5F">
        <w:rPr>
          <w:rFonts w:cs="Courier New"/>
          <w:szCs w:val="16"/>
        </w:rPr>
        <w:t>operationId: ModifyInd</w:t>
      </w:r>
      <w:r w:rsidRPr="000A0A5F">
        <w:t>DeviceTriggeringTransaction</w:t>
      </w:r>
    </w:p>
    <w:p w:rsidR="00F4764B" w:rsidRPr="000A0A5F" w:rsidRDefault="00F4764B" w:rsidP="00F4764B">
      <w:pPr>
        <w:pStyle w:val="PL"/>
      </w:pPr>
      <w:r w:rsidRPr="000A0A5F">
        <w:t xml:space="preserve">      tags:</w:t>
      </w:r>
    </w:p>
    <w:p w:rsidR="00F4764B" w:rsidRPr="000A0A5F" w:rsidRDefault="00F4764B" w:rsidP="00F4764B">
      <w:pPr>
        <w:pStyle w:val="PL"/>
      </w:pPr>
      <w:r w:rsidRPr="000A0A5F">
        <w:t xml:space="preserve">        - Individual Device Triggering Transaction</w:t>
      </w:r>
    </w:p>
    <w:p w:rsidR="00F4764B" w:rsidRPr="000A0A5F" w:rsidRDefault="00F4764B" w:rsidP="00F4764B">
      <w:pPr>
        <w:pStyle w:val="PL"/>
      </w:pPr>
      <w:r w:rsidRPr="000A0A5F">
        <w:t xml:space="preserve">      parameters:</w:t>
      </w:r>
    </w:p>
    <w:p w:rsidR="00F4764B" w:rsidRPr="000A0A5F" w:rsidRDefault="00F4764B" w:rsidP="00F4764B">
      <w:pPr>
        <w:pStyle w:val="PL"/>
      </w:pPr>
      <w:r w:rsidRPr="000A0A5F">
        <w:t xml:space="preserve">        - name: scsAsId</w:t>
      </w:r>
    </w:p>
    <w:p w:rsidR="00F4764B" w:rsidRPr="000A0A5F" w:rsidRDefault="00F4764B" w:rsidP="00F4764B">
      <w:pPr>
        <w:pStyle w:val="PL"/>
      </w:pPr>
      <w:r w:rsidRPr="000A0A5F">
        <w:t xml:space="preserve">          in: path</w:t>
      </w:r>
    </w:p>
    <w:p w:rsidR="00F4764B" w:rsidRPr="000A0A5F" w:rsidRDefault="00F4764B" w:rsidP="00F4764B">
      <w:pPr>
        <w:pStyle w:val="PL"/>
      </w:pPr>
      <w:r w:rsidRPr="000A0A5F">
        <w:t xml:space="preserve">          description: Identifier of the SCS/AS</w:t>
      </w:r>
    </w:p>
    <w:p w:rsidR="00F4764B" w:rsidRPr="000A0A5F" w:rsidRDefault="00F4764B" w:rsidP="00F4764B">
      <w:pPr>
        <w:pStyle w:val="PL"/>
      </w:pPr>
      <w:r w:rsidRPr="000A0A5F">
        <w:t xml:space="preserve">          required: true</w:t>
      </w:r>
    </w:p>
    <w:p w:rsidR="00F4764B" w:rsidRPr="000A0A5F" w:rsidRDefault="00F4764B" w:rsidP="00F4764B">
      <w:pPr>
        <w:pStyle w:val="PL"/>
      </w:pPr>
      <w:r w:rsidRPr="000A0A5F">
        <w:t xml:space="preserve">          schema:</w:t>
      </w:r>
    </w:p>
    <w:p w:rsidR="00F4764B" w:rsidRPr="000A0A5F" w:rsidRDefault="00F4764B" w:rsidP="00F4764B">
      <w:pPr>
        <w:pStyle w:val="PL"/>
      </w:pPr>
      <w:r w:rsidRPr="000A0A5F">
        <w:t xml:space="preserve">           $ref: 'TS29122_CommonData.yaml#/components/schemas/ScsAsId'</w:t>
      </w:r>
    </w:p>
    <w:p w:rsidR="00F4764B" w:rsidRPr="000A0A5F" w:rsidRDefault="00F4764B" w:rsidP="00F4764B">
      <w:pPr>
        <w:pStyle w:val="PL"/>
      </w:pPr>
      <w:r w:rsidRPr="000A0A5F">
        <w:t xml:space="preserve">        - name: transactionId</w:t>
      </w:r>
    </w:p>
    <w:p w:rsidR="00F4764B" w:rsidRPr="000A0A5F" w:rsidRDefault="00F4764B" w:rsidP="00F4764B">
      <w:pPr>
        <w:pStyle w:val="PL"/>
      </w:pPr>
      <w:r w:rsidRPr="000A0A5F">
        <w:t xml:space="preserve">          in: path</w:t>
      </w:r>
    </w:p>
    <w:p w:rsidR="00F4764B" w:rsidRPr="000A0A5F" w:rsidRDefault="00F4764B" w:rsidP="00F4764B">
      <w:pPr>
        <w:pStyle w:val="PL"/>
      </w:pPr>
      <w:r w:rsidRPr="000A0A5F">
        <w:t xml:space="preserve">          description: Identifier of the transaction resource</w:t>
      </w:r>
    </w:p>
    <w:p w:rsidR="00F4764B" w:rsidRPr="000A0A5F" w:rsidRDefault="00F4764B" w:rsidP="00F4764B">
      <w:pPr>
        <w:pStyle w:val="PL"/>
      </w:pPr>
      <w:r w:rsidRPr="000A0A5F">
        <w:t xml:space="preserve">          required: true</w:t>
      </w:r>
    </w:p>
    <w:p w:rsidR="00F4764B" w:rsidRPr="000A0A5F" w:rsidRDefault="00F4764B" w:rsidP="00F4764B">
      <w:pPr>
        <w:pStyle w:val="PL"/>
      </w:pPr>
      <w:r w:rsidRPr="000A0A5F">
        <w:t xml:space="preserve">          schema:</w:t>
      </w:r>
    </w:p>
    <w:p w:rsidR="00F4764B" w:rsidRPr="000A0A5F" w:rsidRDefault="00F4764B" w:rsidP="00F4764B">
      <w:pPr>
        <w:pStyle w:val="PL"/>
      </w:pPr>
      <w:r w:rsidRPr="000A0A5F">
        <w:t xml:space="preserve">            type: string</w:t>
      </w:r>
    </w:p>
    <w:p w:rsidR="00F4764B" w:rsidRPr="000A0A5F" w:rsidRDefault="00F4764B" w:rsidP="00F4764B">
      <w:pPr>
        <w:pStyle w:val="PL"/>
      </w:pPr>
      <w:r w:rsidRPr="000A0A5F">
        <w:t xml:space="preserve">      requestBody:</w:t>
      </w:r>
    </w:p>
    <w:p w:rsidR="00F4764B" w:rsidRPr="000A0A5F" w:rsidRDefault="00F4764B" w:rsidP="00F4764B">
      <w:pPr>
        <w:pStyle w:val="PL"/>
      </w:pPr>
      <w:r w:rsidRPr="000A0A5F">
        <w:t xml:space="preserve">        description: Parameters to request the modification of the existing Individual Device Triggering Transaction resource.</w:t>
      </w:r>
    </w:p>
    <w:p w:rsidR="00F4764B" w:rsidRPr="000A0A5F" w:rsidRDefault="00F4764B" w:rsidP="00F4764B">
      <w:pPr>
        <w:pStyle w:val="PL"/>
      </w:pPr>
      <w:r w:rsidRPr="000A0A5F">
        <w:t xml:space="preserve">        required: true</w:t>
      </w:r>
    </w:p>
    <w:p w:rsidR="00F4764B" w:rsidRPr="000A0A5F" w:rsidRDefault="00F4764B" w:rsidP="00F4764B">
      <w:pPr>
        <w:pStyle w:val="PL"/>
      </w:pPr>
      <w:r w:rsidRPr="000A0A5F">
        <w:t xml:space="preserve">        content:</w:t>
      </w:r>
    </w:p>
    <w:p w:rsidR="00F4764B" w:rsidRPr="000A0A5F" w:rsidRDefault="00F4764B" w:rsidP="00F4764B">
      <w:pPr>
        <w:pStyle w:val="PL"/>
      </w:pPr>
      <w:r w:rsidRPr="000A0A5F">
        <w:t xml:space="preserve">          application/json:</w:t>
      </w:r>
    </w:p>
    <w:p w:rsidR="00F4764B" w:rsidRPr="000A0A5F" w:rsidRDefault="00F4764B" w:rsidP="00F4764B">
      <w:pPr>
        <w:pStyle w:val="PL"/>
      </w:pPr>
      <w:r w:rsidRPr="000A0A5F">
        <w:t xml:space="preserve">            schema:</w:t>
      </w:r>
    </w:p>
    <w:p w:rsidR="00F4764B" w:rsidRPr="000A0A5F" w:rsidRDefault="00F4764B" w:rsidP="00F4764B">
      <w:pPr>
        <w:pStyle w:val="PL"/>
      </w:pPr>
      <w:r w:rsidRPr="000A0A5F">
        <w:t xml:space="preserve">              $ref: '#/components/schemas/DeviceTriggeringPatch'</w:t>
      </w:r>
    </w:p>
    <w:p w:rsidR="00F4764B" w:rsidRPr="000A0A5F" w:rsidRDefault="00F4764B" w:rsidP="00F4764B">
      <w:pPr>
        <w:pStyle w:val="PL"/>
      </w:pPr>
      <w:r w:rsidRPr="000A0A5F">
        <w:t xml:space="preserve">      responses:</w:t>
      </w:r>
    </w:p>
    <w:p w:rsidR="00F4764B" w:rsidRPr="000A0A5F" w:rsidRDefault="00F4764B" w:rsidP="00F4764B">
      <w:pPr>
        <w:pStyle w:val="PL"/>
      </w:pPr>
      <w:r w:rsidRPr="000A0A5F">
        <w:t xml:space="preserve">        '200':</w:t>
      </w:r>
    </w:p>
    <w:p w:rsidR="00B8322E" w:rsidRPr="000A0A5F" w:rsidRDefault="00F4764B" w:rsidP="00F4764B">
      <w:pPr>
        <w:pStyle w:val="PL"/>
      </w:pPr>
      <w:r w:rsidRPr="000A0A5F">
        <w:t xml:space="preserve">          description: </w:t>
      </w:r>
      <w:r w:rsidR="00B8322E" w:rsidRPr="000A0A5F">
        <w:t>&gt;</w:t>
      </w:r>
    </w:p>
    <w:p w:rsidR="00B8322E" w:rsidRPr="000A0A5F" w:rsidRDefault="00B8322E" w:rsidP="00F4764B">
      <w:pPr>
        <w:pStyle w:val="PL"/>
        <w:rPr>
          <w:lang w:eastAsia="zh-CN"/>
        </w:rPr>
      </w:pPr>
      <w:r w:rsidRPr="000A0A5F">
        <w:t xml:space="preserve">            </w:t>
      </w:r>
      <w:r w:rsidR="00F4764B" w:rsidRPr="000A0A5F">
        <w:t>OK. The Individual Device Triggering Transaction resource was successfully</w:t>
      </w:r>
      <w:r w:rsidR="00F4764B" w:rsidRPr="000A0A5F">
        <w:rPr>
          <w:rFonts w:hint="eastAsia"/>
          <w:lang w:eastAsia="zh-CN"/>
        </w:rPr>
        <w:t xml:space="preserve"> modified</w:t>
      </w:r>
    </w:p>
    <w:p w:rsidR="00B8322E" w:rsidRPr="000A0A5F" w:rsidRDefault="00B8322E" w:rsidP="00F4764B">
      <w:pPr>
        <w:pStyle w:val="PL"/>
      </w:pPr>
      <w:r w:rsidRPr="000A0A5F">
        <w:t xml:space="preserve">           </w:t>
      </w:r>
      <w:r w:rsidR="00F4764B" w:rsidRPr="000A0A5F">
        <w:rPr>
          <w:lang w:eastAsia="zh-CN"/>
        </w:rPr>
        <w:t xml:space="preserve"> and </w:t>
      </w:r>
      <w:r w:rsidR="00F4764B" w:rsidRPr="000A0A5F">
        <w:t>a representation of the modified Individual Device Triggering Transaction resource</w:t>
      </w:r>
    </w:p>
    <w:p w:rsidR="00B8322E" w:rsidRPr="000A0A5F" w:rsidRDefault="00B8322E" w:rsidP="00F4764B">
      <w:pPr>
        <w:pStyle w:val="PL"/>
      </w:pPr>
      <w:r w:rsidRPr="000A0A5F">
        <w:t xml:space="preserve">           </w:t>
      </w:r>
      <w:r w:rsidR="00F4764B" w:rsidRPr="000A0A5F">
        <w:t xml:space="preserve"> within the </w:t>
      </w:r>
      <w:r w:rsidR="00F4764B" w:rsidRPr="000A0A5F">
        <w:rPr>
          <w:lang w:eastAsia="zh-CN"/>
        </w:rPr>
        <w:t>DeviceTriggering</w:t>
      </w:r>
      <w:r w:rsidR="00F4764B" w:rsidRPr="000A0A5F">
        <w:t xml:space="preserve"> data structure including the "deliveryResult" attribute is</w:t>
      </w:r>
    </w:p>
    <w:p w:rsidR="00F4764B" w:rsidRPr="000A0A5F" w:rsidRDefault="00B8322E" w:rsidP="00F4764B">
      <w:pPr>
        <w:pStyle w:val="PL"/>
      </w:pPr>
      <w:r w:rsidRPr="000A0A5F">
        <w:t xml:space="preserve">           </w:t>
      </w:r>
      <w:r w:rsidR="00F4764B" w:rsidRPr="000A0A5F">
        <w:t xml:space="preserve"> returned by the SCEF.</w:t>
      </w:r>
    </w:p>
    <w:p w:rsidR="00F4764B" w:rsidRPr="000A0A5F" w:rsidRDefault="00F4764B" w:rsidP="00F4764B">
      <w:pPr>
        <w:pStyle w:val="PL"/>
      </w:pPr>
      <w:r w:rsidRPr="000A0A5F">
        <w:t xml:space="preserve">          content:</w:t>
      </w:r>
    </w:p>
    <w:p w:rsidR="00F4764B" w:rsidRPr="000A0A5F" w:rsidRDefault="00F4764B" w:rsidP="00F4764B">
      <w:pPr>
        <w:pStyle w:val="PL"/>
      </w:pPr>
      <w:r w:rsidRPr="000A0A5F">
        <w:t xml:space="preserve">            application/json:</w:t>
      </w:r>
    </w:p>
    <w:p w:rsidR="00F4764B" w:rsidRPr="000A0A5F" w:rsidRDefault="00F4764B" w:rsidP="00F4764B">
      <w:pPr>
        <w:pStyle w:val="PL"/>
      </w:pPr>
      <w:r w:rsidRPr="000A0A5F">
        <w:t xml:space="preserve">              schema:</w:t>
      </w:r>
    </w:p>
    <w:p w:rsidR="00F4764B" w:rsidRPr="000A0A5F" w:rsidRDefault="00F4764B" w:rsidP="00F4764B">
      <w:pPr>
        <w:pStyle w:val="PL"/>
      </w:pPr>
      <w:r w:rsidRPr="000A0A5F">
        <w:t xml:space="preserve">                $ref: '#/components/schemas/DeviceTriggering'</w:t>
      </w:r>
    </w:p>
    <w:p w:rsidR="00F4764B" w:rsidRPr="000A0A5F" w:rsidRDefault="00F4764B" w:rsidP="00F4764B">
      <w:pPr>
        <w:pStyle w:val="PL"/>
      </w:pPr>
      <w:r w:rsidRPr="000A0A5F">
        <w:t xml:space="preserve">        '204':</w:t>
      </w:r>
    </w:p>
    <w:p w:rsidR="00B8322E" w:rsidRPr="000A0A5F" w:rsidRDefault="00F4764B" w:rsidP="00F4764B">
      <w:pPr>
        <w:pStyle w:val="PL"/>
      </w:pPr>
      <w:r w:rsidRPr="000A0A5F">
        <w:t xml:space="preserve">          description: </w:t>
      </w:r>
      <w:r w:rsidR="00B8322E" w:rsidRPr="000A0A5F">
        <w:t>&gt;</w:t>
      </w:r>
    </w:p>
    <w:p w:rsidR="00B8322E" w:rsidRPr="000A0A5F" w:rsidRDefault="00B8322E" w:rsidP="00F4764B">
      <w:pPr>
        <w:pStyle w:val="PL"/>
      </w:pPr>
      <w:r w:rsidRPr="000A0A5F">
        <w:t xml:space="preserve">            </w:t>
      </w:r>
      <w:r w:rsidR="00F4764B" w:rsidRPr="000A0A5F">
        <w:t>No Content. The Individual Device Triggering Transaction resource was successfully</w:t>
      </w:r>
    </w:p>
    <w:p w:rsidR="00F4764B" w:rsidRPr="000A0A5F" w:rsidRDefault="00B8322E" w:rsidP="00F4764B">
      <w:pPr>
        <w:pStyle w:val="PL"/>
      </w:pPr>
      <w:r w:rsidRPr="000A0A5F">
        <w:t xml:space="preserve">           </w:t>
      </w:r>
      <w:r w:rsidR="00F4764B" w:rsidRPr="000A0A5F">
        <w:rPr>
          <w:rFonts w:hint="eastAsia"/>
          <w:lang w:eastAsia="zh-CN"/>
        </w:rPr>
        <w:t xml:space="preserve"> modified</w:t>
      </w:r>
      <w:r w:rsidR="00F4764B" w:rsidRPr="000A0A5F">
        <w:rPr>
          <w:lang w:eastAsia="zh-CN"/>
        </w:rPr>
        <w:t xml:space="preserve"> no content is returned in the response message body.</w:t>
      </w:r>
    </w:p>
    <w:p w:rsidR="00F4764B" w:rsidRPr="000A0A5F" w:rsidRDefault="00F4764B" w:rsidP="00F4764B">
      <w:pPr>
        <w:pStyle w:val="PL"/>
      </w:pPr>
      <w:r w:rsidRPr="000A0A5F">
        <w:t xml:space="preserve">        '307':</w:t>
      </w:r>
    </w:p>
    <w:p w:rsidR="00F4764B" w:rsidRPr="000A0A5F" w:rsidRDefault="00F4764B" w:rsidP="00F4764B">
      <w:pPr>
        <w:pStyle w:val="PL"/>
      </w:pPr>
      <w:r w:rsidRPr="000A0A5F">
        <w:t xml:space="preserve">          $ref: 'TS29122_CommonData.yaml#/components/responses/307'</w:t>
      </w:r>
    </w:p>
    <w:p w:rsidR="00F4764B" w:rsidRPr="000A0A5F" w:rsidRDefault="00F4764B" w:rsidP="00F4764B">
      <w:pPr>
        <w:pStyle w:val="PL"/>
      </w:pPr>
      <w:r w:rsidRPr="000A0A5F">
        <w:t xml:space="preserve">        '308':</w:t>
      </w:r>
    </w:p>
    <w:p w:rsidR="00F4764B" w:rsidRPr="000A0A5F" w:rsidRDefault="00F4764B" w:rsidP="00F4764B">
      <w:pPr>
        <w:pStyle w:val="PL"/>
      </w:pPr>
      <w:r w:rsidRPr="000A0A5F">
        <w:t xml:space="preserve">          $ref: 'TS29122_CommonData.yaml#/components/responses/308'</w:t>
      </w:r>
    </w:p>
    <w:p w:rsidR="00F4764B" w:rsidRPr="000A0A5F" w:rsidRDefault="00F4764B" w:rsidP="00F4764B">
      <w:pPr>
        <w:pStyle w:val="PL"/>
      </w:pPr>
      <w:r w:rsidRPr="000A0A5F">
        <w:t xml:space="preserve">        '400':</w:t>
      </w:r>
    </w:p>
    <w:p w:rsidR="00F4764B" w:rsidRPr="000A0A5F" w:rsidRDefault="00F4764B" w:rsidP="00F4764B">
      <w:pPr>
        <w:pStyle w:val="PL"/>
      </w:pPr>
      <w:r w:rsidRPr="000A0A5F">
        <w:t xml:space="preserve">          $ref: 'TS29122_CommonData.yaml#/components/responses/400'</w:t>
      </w:r>
    </w:p>
    <w:p w:rsidR="00F4764B" w:rsidRPr="000A0A5F" w:rsidRDefault="00F4764B" w:rsidP="00F4764B">
      <w:pPr>
        <w:pStyle w:val="PL"/>
      </w:pPr>
      <w:r w:rsidRPr="000A0A5F">
        <w:t xml:space="preserve">        '401':</w:t>
      </w:r>
    </w:p>
    <w:p w:rsidR="00F4764B" w:rsidRPr="000A0A5F" w:rsidRDefault="00F4764B" w:rsidP="00F4764B">
      <w:pPr>
        <w:pStyle w:val="PL"/>
      </w:pPr>
      <w:r w:rsidRPr="000A0A5F">
        <w:t xml:space="preserve">          $ref: 'TS29122_CommonData.yaml#/components/responses/401'</w:t>
      </w:r>
    </w:p>
    <w:p w:rsidR="00F4764B" w:rsidRPr="000A0A5F" w:rsidRDefault="00F4764B" w:rsidP="00F4764B">
      <w:pPr>
        <w:pStyle w:val="PL"/>
      </w:pPr>
      <w:r w:rsidRPr="000A0A5F">
        <w:t xml:space="preserve">        '403':</w:t>
      </w:r>
    </w:p>
    <w:p w:rsidR="00F4764B" w:rsidRPr="000A0A5F" w:rsidRDefault="00F4764B" w:rsidP="00F4764B">
      <w:pPr>
        <w:pStyle w:val="PL"/>
      </w:pPr>
      <w:r w:rsidRPr="000A0A5F">
        <w:t xml:space="preserve">          $ref: 'TS29122_CommonData.yaml#/components/responses/403'</w:t>
      </w:r>
    </w:p>
    <w:p w:rsidR="00F4764B" w:rsidRPr="000A0A5F" w:rsidRDefault="00F4764B" w:rsidP="00F4764B">
      <w:pPr>
        <w:pStyle w:val="PL"/>
      </w:pPr>
      <w:r w:rsidRPr="000A0A5F">
        <w:t xml:space="preserve">        '404':</w:t>
      </w:r>
    </w:p>
    <w:p w:rsidR="00F4764B" w:rsidRPr="000A0A5F" w:rsidRDefault="00F4764B" w:rsidP="00F4764B">
      <w:pPr>
        <w:pStyle w:val="PL"/>
      </w:pPr>
      <w:r w:rsidRPr="000A0A5F">
        <w:t xml:space="preserve">          $ref: 'TS29122_CommonData.yaml#/components/responses/404'</w:t>
      </w:r>
    </w:p>
    <w:p w:rsidR="00F4764B" w:rsidRPr="000A0A5F" w:rsidRDefault="00F4764B" w:rsidP="00F4764B">
      <w:pPr>
        <w:pStyle w:val="PL"/>
      </w:pPr>
      <w:r w:rsidRPr="000A0A5F">
        <w:t xml:space="preserve">        '411':</w:t>
      </w:r>
    </w:p>
    <w:p w:rsidR="00F4764B" w:rsidRPr="000A0A5F" w:rsidRDefault="00F4764B" w:rsidP="00F4764B">
      <w:pPr>
        <w:pStyle w:val="PL"/>
      </w:pPr>
      <w:r w:rsidRPr="000A0A5F">
        <w:t xml:space="preserve">          $ref: 'TS29122_CommonData.yaml#/components/responses/411'</w:t>
      </w:r>
    </w:p>
    <w:p w:rsidR="00F4764B" w:rsidRPr="000A0A5F" w:rsidRDefault="00F4764B" w:rsidP="00F4764B">
      <w:pPr>
        <w:pStyle w:val="PL"/>
      </w:pPr>
      <w:r w:rsidRPr="000A0A5F">
        <w:t xml:space="preserve">        '413':</w:t>
      </w:r>
    </w:p>
    <w:p w:rsidR="00F4764B" w:rsidRPr="000A0A5F" w:rsidRDefault="00F4764B" w:rsidP="00F4764B">
      <w:pPr>
        <w:pStyle w:val="PL"/>
      </w:pPr>
      <w:r w:rsidRPr="000A0A5F">
        <w:t xml:space="preserve">          $ref: 'TS29122_CommonData.yaml#/components/responses/413'</w:t>
      </w:r>
    </w:p>
    <w:p w:rsidR="00F4764B" w:rsidRPr="000A0A5F" w:rsidRDefault="00F4764B" w:rsidP="00F4764B">
      <w:pPr>
        <w:pStyle w:val="PL"/>
      </w:pPr>
      <w:r w:rsidRPr="000A0A5F">
        <w:t xml:space="preserve">        '415':</w:t>
      </w:r>
    </w:p>
    <w:p w:rsidR="00F4764B" w:rsidRPr="000A0A5F" w:rsidRDefault="00F4764B" w:rsidP="00F4764B">
      <w:pPr>
        <w:pStyle w:val="PL"/>
      </w:pPr>
      <w:r w:rsidRPr="000A0A5F">
        <w:t xml:space="preserve">          $ref: 'TS29122_CommonData.yaml#/components/responses/415'</w:t>
      </w:r>
    </w:p>
    <w:p w:rsidR="00F4764B" w:rsidRPr="000A0A5F" w:rsidRDefault="00F4764B" w:rsidP="00F4764B">
      <w:pPr>
        <w:pStyle w:val="PL"/>
      </w:pPr>
      <w:r w:rsidRPr="000A0A5F">
        <w:t xml:space="preserve">        '429':</w:t>
      </w:r>
    </w:p>
    <w:p w:rsidR="00F4764B" w:rsidRPr="000A0A5F" w:rsidRDefault="00F4764B" w:rsidP="00F4764B">
      <w:pPr>
        <w:pStyle w:val="PL"/>
      </w:pPr>
      <w:r w:rsidRPr="000A0A5F">
        <w:t xml:space="preserve">          $ref: 'TS29122_CommonData.yaml#/components/responses/429'</w:t>
      </w:r>
    </w:p>
    <w:p w:rsidR="00F4764B" w:rsidRPr="000A0A5F" w:rsidRDefault="00F4764B" w:rsidP="00F4764B">
      <w:pPr>
        <w:pStyle w:val="PL"/>
      </w:pPr>
      <w:r w:rsidRPr="000A0A5F">
        <w:t xml:space="preserve">        '500':</w:t>
      </w:r>
    </w:p>
    <w:p w:rsidR="00F4764B" w:rsidRPr="000A0A5F" w:rsidRDefault="00F4764B" w:rsidP="00F4764B">
      <w:pPr>
        <w:pStyle w:val="PL"/>
      </w:pPr>
      <w:r w:rsidRPr="000A0A5F">
        <w:t xml:space="preserve">          $ref: 'TS29122_CommonData.yaml#/components/responses/500'</w:t>
      </w:r>
    </w:p>
    <w:p w:rsidR="00F4764B" w:rsidRPr="000A0A5F" w:rsidRDefault="00F4764B" w:rsidP="00F4764B">
      <w:pPr>
        <w:pStyle w:val="PL"/>
      </w:pPr>
      <w:r w:rsidRPr="000A0A5F">
        <w:t xml:space="preserve">        '503':</w:t>
      </w:r>
    </w:p>
    <w:p w:rsidR="00F4764B" w:rsidRPr="000A0A5F" w:rsidRDefault="00F4764B" w:rsidP="00F4764B">
      <w:pPr>
        <w:pStyle w:val="PL"/>
      </w:pPr>
      <w:r w:rsidRPr="000A0A5F">
        <w:t xml:space="preserve">          $ref: 'TS29122_CommonData.yaml#/components/responses/503'</w:t>
      </w:r>
    </w:p>
    <w:p w:rsidR="00F4764B" w:rsidRPr="000A0A5F" w:rsidRDefault="00F4764B" w:rsidP="00F4764B">
      <w:pPr>
        <w:pStyle w:val="PL"/>
      </w:pPr>
      <w:r w:rsidRPr="000A0A5F">
        <w:t xml:space="preserve">        default:</w:t>
      </w:r>
    </w:p>
    <w:p w:rsidR="00F4764B" w:rsidRPr="000A0A5F" w:rsidRDefault="00F4764B" w:rsidP="00F4764B">
      <w:pPr>
        <w:pStyle w:val="PL"/>
      </w:pPr>
      <w:r w:rsidRPr="000A0A5F">
        <w:t xml:space="preserve">          $ref: 'TS29122_CommonData.yaml#/components/responses/default'</w:t>
      </w:r>
    </w:p>
    <w:p w:rsidR="00CB0DD7" w:rsidRPr="000A0A5F" w:rsidRDefault="00CB0DD7">
      <w:pPr>
        <w:pStyle w:val="PL"/>
      </w:pPr>
      <w:r w:rsidRPr="000A0A5F">
        <w:t xml:space="preserve">    delete:</w:t>
      </w:r>
    </w:p>
    <w:p w:rsidR="00CB0DD7" w:rsidRPr="000A0A5F" w:rsidRDefault="00CB0DD7">
      <w:pPr>
        <w:pStyle w:val="PL"/>
      </w:pPr>
      <w:r w:rsidRPr="000A0A5F">
        <w:t xml:space="preserve">      summary: Deletes an already existing device triggering transaction.</w:t>
      </w:r>
    </w:p>
    <w:p w:rsidR="007D4AAD" w:rsidRPr="000A0A5F" w:rsidRDefault="007D4AAD" w:rsidP="007D4AAD">
      <w:pPr>
        <w:pStyle w:val="PL"/>
      </w:pPr>
      <w:r w:rsidRPr="000A0A5F">
        <w:t xml:space="preserve">      </w:t>
      </w:r>
      <w:r w:rsidRPr="000A0A5F">
        <w:rPr>
          <w:rFonts w:cs="Courier New"/>
          <w:szCs w:val="16"/>
        </w:rPr>
        <w:t>operationId: DeleteInd</w:t>
      </w:r>
      <w:r w:rsidRPr="000A0A5F">
        <w:t>DeviceTriggeringTransaction</w:t>
      </w:r>
    </w:p>
    <w:p w:rsidR="00CB0DD7" w:rsidRPr="000A0A5F" w:rsidRDefault="00CB0DD7">
      <w:pPr>
        <w:pStyle w:val="PL"/>
      </w:pPr>
      <w:r w:rsidRPr="000A0A5F">
        <w:t xml:space="preserve">      tags:</w:t>
      </w:r>
    </w:p>
    <w:p w:rsidR="00CB0DD7" w:rsidRPr="000A0A5F" w:rsidRDefault="00CB0DD7">
      <w:pPr>
        <w:pStyle w:val="PL"/>
      </w:pPr>
      <w:r w:rsidRPr="000A0A5F">
        <w:t xml:space="preserve">        - </w:t>
      </w:r>
      <w:r w:rsidR="007D4AAD" w:rsidRPr="000A0A5F">
        <w:t xml:space="preserve">Individual </w:t>
      </w:r>
      <w:r w:rsidRPr="000A0A5F">
        <w:t>Device</w:t>
      </w:r>
      <w:r w:rsidR="007D4AAD" w:rsidRPr="000A0A5F">
        <w:t xml:space="preserve"> </w:t>
      </w:r>
      <w:r w:rsidRPr="000A0A5F">
        <w:t>Triggering Transaction</w:t>
      </w:r>
    </w:p>
    <w:p w:rsidR="00CB0DD7" w:rsidRPr="000A0A5F" w:rsidRDefault="00CB0DD7">
      <w:pPr>
        <w:pStyle w:val="PL"/>
      </w:pPr>
      <w:r w:rsidRPr="000A0A5F">
        <w:t xml:space="preserve">      parameters:</w:t>
      </w:r>
    </w:p>
    <w:p w:rsidR="00CB0DD7" w:rsidRPr="000A0A5F" w:rsidRDefault="00CB0DD7">
      <w:pPr>
        <w:pStyle w:val="PL"/>
      </w:pPr>
      <w:r w:rsidRPr="000A0A5F">
        <w:t xml:space="preserve">        - name: scsAsId</w:t>
      </w:r>
    </w:p>
    <w:p w:rsidR="00CB0DD7" w:rsidRPr="000A0A5F" w:rsidRDefault="00CB0DD7">
      <w:pPr>
        <w:pStyle w:val="PL"/>
      </w:pPr>
      <w:r w:rsidRPr="000A0A5F">
        <w:t xml:space="preserve">          in: path</w:t>
      </w:r>
    </w:p>
    <w:p w:rsidR="00CB0DD7" w:rsidRPr="000A0A5F" w:rsidRDefault="00CB0DD7">
      <w:pPr>
        <w:pStyle w:val="PL"/>
      </w:pPr>
      <w:r w:rsidRPr="000A0A5F">
        <w:t xml:space="preserve">          description: Identifier of the SCS/AS</w:t>
      </w:r>
    </w:p>
    <w:p w:rsidR="00CB0DD7" w:rsidRPr="000A0A5F" w:rsidRDefault="00CB0DD7">
      <w:pPr>
        <w:pStyle w:val="PL"/>
      </w:pPr>
      <w:r w:rsidRPr="000A0A5F">
        <w:t xml:space="preserve">          required: true</w:t>
      </w:r>
    </w:p>
    <w:p w:rsidR="00CB0DD7" w:rsidRPr="000A0A5F" w:rsidRDefault="00CB0DD7">
      <w:pPr>
        <w:pStyle w:val="PL"/>
      </w:pPr>
      <w:r w:rsidRPr="000A0A5F">
        <w:t xml:space="preserve">          schema:</w:t>
      </w:r>
    </w:p>
    <w:p w:rsidR="00CB0DD7" w:rsidRPr="000A0A5F" w:rsidRDefault="00CB0DD7">
      <w:pPr>
        <w:pStyle w:val="PL"/>
      </w:pPr>
      <w:r w:rsidRPr="000A0A5F">
        <w:t xml:space="preserve">           $ref: 'TS29122_CommonData.yaml#/components/schemas/ScsAsId'</w:t>
      </w:r>
    </w:p>
    <w:p w:rsidR="00CB0DD7" w:rsidRPr="000A0A5F" w:rsidRDefault="00CB0DD7">
      <w:pPr>
        <w:pStyle w:val="PL"/>
      </w:pPr>
      <w:r w:rsidRPr="000A0A5F">
        <w:t xml:space="preserve">        - name: transactionId</w:t>
      </w:r>
    </w:p>
    <w:p w:rsidR="00CB0DD7" w:rsidRPr="000A0A5F" w:rsidRDefault="00CB0DD7">
      <w:pPr>
        <w:pStyle w:val="PL"/>
      </w:pPr>
      <w:r w:rsidRPr="000A0A5F">
        <w:t xml:space="preserve">          in: path</w:t>
      </w:r>
    </w:p>
    <w:p w:rsidR="00CB0DD7" w:rsidRPr="000A0A5F" w:rsidRDefault="00CB0DD7">
      <w:pPr>
        <w:pStyle w:val="PL"/>
      </w:pPr>
      <w:r w:rsidRPr="000A0A5F">
        <w:t xml:space="preserve">          description: Identifier of the transaction resource</w:t>
      </w:r>
    </w:p>
    <w:p w:rsidR="00CB0DD7" w:rsidRPr="000A0A5F" w:rsidRDefault="00CB0DD7">
      <w:pPr>
        <w:pStyle w:val="PL"/>
      </w:pPr>
      <w:r w:rsidRPr="000A0A5F">
        <w:t xml:space="preserve">          required: true</w:t>
      </w:r>
    </w:p>
    <w:p w:rsidR="00CB0DD7" w:rsidRPr="000A0A5F" w:rsidRDefault="00CB0DD7">
      <w:pPr>
        <w:pStyle w:val="PL"/>
      </w:pPr>
      <w:r w:rsidRPr="000A0A5F">
        <w:t xml:space="preserve">          schema:</w:t>
      </w:r>
    </w:p>
    <w:p w:rsidR="00CB0DD7" w:rsidRPr="000A0A5F" w:rsidRDefault="00CB0DD7">
      <w:pPr>
        <w:pStyle w:val="PL"/>
      </w:pPr>
      <w:r w:rsidRPr="000A0A5F">
        <w:t xml:space="preserve">            type: string</w:t>
      </w:r>
    </w:p>
    <w:p w:rsidR="00CB0DD7" w:rsidRPr="000A0A5F" w:rsidRDefault="00CB0DD7">
      <w:pPr>
        <w:pStyle w:val="PL"/>
      </w:pPr>
      <w:r w:rsidRPr="000A0A5F">
        <w:t xml:space="preserve">      responses:</w:t>
      </w:r>
    </w:p>
    <w:p w:rsidR="00CB0DD7" w:rsidRPr="000A0A5F" w:rsidRDefault="00CB0DD7">
      <w:pPr>
        <w:pStyle w:val="PL"/>
      </w:pPr>
      <w:r w:rsidRPr="000A0A5F">
        <w:t xml:space="preserve">        '204':</w:t>
      </w:r>
    </w:p>
    <w:p w:rsidR="00CB0DD7" w:rsidRPr="000A0A5F" w:rsidRDefault="00CB0DD7">
      <w:pPr>
        <w:pStyle w:val="PL"/>
      </w:pPr>
      <w:r w:rsidRPr="000A0A5F">
        <w:t xml:space="preserve">          description: No Content (Successful deletion of the existing subscription)</w:t>
      </w:r>
    </w:p>
    <w:p w:rsidR="00CB0DD7" w:rsidRPr="000A0A5F" w:rsidRDefault="00CB0DD7">
      <w:pPr>
        <w:pStyle w:val="PL"/>
      </w:pPr>
      <w:r w:rsidRPr="000A0A5F">
        <w:t xml:space="preserve">        '200':</w:t>
      </w:r>
    </w:p>
    <w:p w:rsidR="00CB0DD7" w:rsidRPr="000A0A5F" w:rsidRDefault="00CB0DD7">
      <w:pPr>
        <w:pStyle w:val="PL"/>
      </w:pPr>
      <w:r w:rsidRPr="000A0A5F">
        <w:t xml:space="preserve">          description: OK (Successful deletion of the existing subscription)</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application/json:</w:t>
      </w:r>
    </w:p>
    <w:p w:rsidR="00CB0DD7" w:rsidRPr="000A0A5F" w:rsidRDefault="00CB0DD7">
      <w:pPr>
        <w:pStyle w:val="PL"/>
      </w:pPr>
      <w:r w:rsidRPr="000A0A5F">
        <w:t xml:space="preserve">              schema:</w:t>
      </w:r>
    </w:p>
    <w:p w:rsidR="00CB0DD7" w:rsidRPr="000A0A5F" w:rsidRDefault="00CB0DD7">
      <w:pPr>
        <w:pStyle w:val="PL"/>
      </w:pPr>
      <w:r w:rsidRPr="000A0A5F">
        <w:t xml:space="preserve">                $ref: '#/components/schemas/DeviceTriggering'</w:t>
      </w:r>
    </w:p>
    <w:p w:rsidR="00CB0DD7" w:rsidRPr="000A0A5F" w:rsidRDefault="00CB0DD7">
      <w:pPr>
        <w:pStyle w:val="PL"/>
      </w:pPr>
      <w:r w:rsidRPr="000A0A5F">
        <w:t xml:space="preserve">        '307':</w:t>
      </w:r>
    </w:p>
    <w:p w:rsidR="00CB0DD7" w:rsidRPr="000A0A5F" w:rsidRDefault="00CB0DD7">
      <w:pPr>
        <w:pStyle w:val="PL"/>
      </w:pPr>
      <w:r w:rsidRPr="000A0A5F">
        <w:t xml:space="preserve">          $ref: 'TS29122_CommonData.yaml#/components/responses/307'</w:t>
      </w:r>
    </w:p>
    <w:p w:rsidR="00CB0DD7" w:rsidRPr="000A0A5F" w:rsidRDefault="00CB0DD7">
      <w:pPr>
        <w:pStyle w:val="PL"/>
      </w:pPr>
      <w:r w:rsidRPr="000A0A5F">
        <w:t xml:space="preserve">        '308':</w:t>
      </w:r>
    </w:p>
    <w:p w:rsidR="00CB0DD7" w:rsidRPr="000A0A5F" w:rsidRDefault="00CB0DD7">
      <w:pPr>
        <w:pStyle w:val="PL"/>
      </w:pPr>
      <w:r w:rsidRPr="000A0A5F">
        <w:t xml:space="preserve">          $ref: 'TS29122_CommonData.yaml#/components/responses/308'</w:t>
      </w:r>
    </w:p>
    <w:p w:rsidR="00CB0DD7" w:rsidRPr="000A0A5F" w:rsidRDefault="00CB0DD7">
      <w:pPr>
        <w:pStyle w:val="PL"/>
      </w:pPr>
      <w:r w:rsidRPr="000A0A5F">
        <w:t xml:space="preserve">        '400':</w:t>
      </w:r>
    </w:p>
    <w:p w:rsidR="00CB0DD7" w:rsidRPr="000A0A5F" w:rsidRDefault="00CB0DD7">
      <w:pPr>
        <w:pStyle w:val="PL"/>
      </w:pPr>
      <w:r w:rsidRPr="000A0A5F">
        <w:t xml:space="preserve">          $ref: 'TS29122_CommonData.yaml#/components/responses/400'</w:t>
      </w:r>
    </w:p>
    <w:p w:rsidR="00CB0DD7" w:rsidRPr="000A0A5F" w:rsidRDefault="00CB0DD7">
      <w:pPr>
        <w:pStyle w:val="PL"/>
      </w:pPr>
      <w:r w:rsidRPr="000A0A5F">
        <w:t xml:space="preserve">        '401':</w:t>
      </w:r>
    </w:p>
    <w:p w:rsidR="00CB0DD7" w:rsidRPr="000A0A5F" w:rsidRDefault="00CB0DD7">
      <w:pPr>
        <w:pStyle w:val="PL"/>
      </w:pPr>
      <w:r w:rsidRPr="000A0A5F">
        <w:t xml:space="preserve">          $ref: 'TS29122_CommonData.yaml#/components/responses/401'</w:t>
      </w:r>
    </w:p>
    <w:p w:rsidR="00CB0DD7" w:rsidRPr="000A0A5F" w:rsidRDefault="00CB0DD7">
      <w:pPr>
        <w:pStyle w:val="PL"/>
      </w:pPr>
      <w:r w:rsidRPr="000A0A5F">
        <w:t xml:space="preserve">        '403':</w:t>
      </w:r>
    </w:p>
    <w:p w:rsidR="00CB0DD7" w:rsidRPr="000A0A5F" w:rsidRDefault="00CB0DD7">
      <w:pPr>
        <w:pStyle w:val="PL"/>
      </w:pPr>
      <w:r w:rsidRPr="000A0A5F">
        <w:t xml:space="preserve">          $ref: 'TS29122_CommonData.yaml#/components/responses/403'</w:t>
      </w:r>
    </w:p>
    <w:p w:rsidR="00CB0DD7" w:rsidRPr="000A0A5F" w:rsidRDefault="00CB0DD7">
      <w:pPr>
        <w:pStyle w:val="PL"/>
      </w:pPr>
      <w:r w:rsidRPr="000A0A5F">
        <w:t xml:space="preserve">        '404':</w:t>
      </w:r>
    </w:p>
    <w:p w:rsidR="00CB0DD7" w:rsidRPr="000A0A5F" w:rsidRDefault="00CB0DD7">
      <w:pPr>
        <w:pStyle w:val="PL"/>
      </w:pPr>
      <w:r w:rsidRPr="000A0A5F">
        <w:t xml:space="preserve">          $ref: 'TS29122_CommonData.yaml#/components/responses/404'</w:t>
      </w:r>
    </w:p>
    <w:p w:rsidR="00CB0DD7" w:rsidRPr="000A0A5F" w:rsidRDefault="00CB0DD7">
      <w:pPr>
        <w:pStyle w:val="PL"/>
      </w:pPr>
      <w:r w:rsidRPr="000A0A5F">
        <w:t xml:space="preserve">        '429':</w:t>
      </w:r>
    </w:p>
    <w:p w:rsidR="00CB0DD7" w:rsidRPr="000A0A5F" w:rsidRDefault="00CB0DD7">
      <w:pPr>
        <w:pStyle w:val="PL"/>
      </w:pPr>
      <w:r w:rsidRPr="000A0A5F">
        <w:t xml:space="preserve">          $ref: 'TS29122_CommonData.yaml#/components/responses/429'</w:t>
      </w:r>
    </w:p>
    <w:p w:rsidR="00CB0DD7" w:rsidRPr="000A0A5F" w:rsidRDefault="00CB0DD7">
      <w:pPr>
        <w:pStyle w:val="PL"/>
      </w:pPr>
      <w:r w:rsidRPr="000A0A5F">
        <w:t xml:space="preserve">        '500':</w:t>
      </w:r>
    </w:p>
    <w:p w:rsidR="00CB0DD7" w:rsidRPr="000A0A5F" w:rsidRDefault="00CB0DD7">
      <w:pPr>
        <w:pStyle w:val="PL"/>
      </w:pPr>
      <w:r w:rsidRPr="000A0A5F">
        <w:t xml:space="preserve">          $ref: 'TS29122_CommonData.yaml#/components/responses/500'</w:t>
      </w:r>
    </w:p>
    <w:p w:rsidR="00CB0DD7" w:rsidRPr="000A0A5F" w:rsidRDefault="00CB0DD7">
      <w:pPr>
        <w:pStyle w:val="PL"/>
      </w:pPr>
      <w:r w:rsidRPr="000A0A5F">
        <w:t xml:space="preserve">        '503':</w:t>
      </w:r>
    </w:p>
    <w:p w:rsidR="00CB0DD7" w:rsidRPr="000A0A5F" w:rsidRDefault="00CB0DD7">
      <w:pPr>
        <w:pStyle w:val="PL"/>
      </w:pPr>
      <w:r w:rsidRPr="000A0A5F">
        <w:t xml:space="preserve">          $ref: 'TS29122_CommonData.yaml#/components/responses/503'</w:t>
      </w:r>
    </w:p>
    <w:p w:rsidR="00CB0DD7" w:rsidRPr="000A0A5F" w:rsidRDefault="00CB0DD7">
      <w:pPr>
        <w:pStyle w:val="PL"/>
      </w:pPr>
      <w:r w:rsidRPr="000A0A5F">
        <w:t xml:space="preserve">        default:</w:t>
      </w:r>
    </w:p>
    <w:p w:rsidR="00CB0DD7" w:rsidRPr="000A0A5F" w:rsidRDefault="00CB0DD7">
      <w:pPr>
        <w:pStyle w:val="PL"/>
      </w:pPr>
      <w:r w:rsidRPr="000A0A5F">
        <w:t xml:space="preserve">          $ref: 'TS29122_CommonData.yaml#/components/responses/default'</w:t>
      </w:r>
    </w:p>
    <w:p w:rsidR="00B8322E" w:rsidRPr="000A0A5F" w:rsidRDefault="00B8322E">
      <w:pPr>
        <w:pStyle w:val="PL"/>
      </w:pPr>
    </w:p>
    <w:p w:rsidR="00CB0DD7" w:rsidRPr="000A0A5F" w:rsidRDefault="00CB0DD7">
      <w:pPr>
        <w:pStyle w:val="PL"/>
      </w:pPr>
      <w:r w:rsidRPr="000A0A5F">
        <w:t>components:</w:t>
      </w:r>
    </w:p>
    <w:p w:rsidR="00CB0DD7" w:rsidRPr="000A0A5F" w:rsidRDefault="00CB0DD7">
      <w:pPr>
        <w:pStyle w:val="PL"/>
        <w:rPr>
          <w:lang w:val="en-US"/>
        </w:rPr>
      </w:pPr>
      <w:r w:rsidRPr="000A0A5F">
        <w:rPr>
          <w:lang w:val="en-US"/>
        </w:rPr>
        <w:t xml:space="preserve">  securitySchemes:</w:t>
      </w:r>
    </w:p>
    <w:p w:rsidR="00CB0DD7" w:rsidRPr="000A0A5F" w:rsidRDefault="00CB0DD7">
      <w:pPr>
        <w:pStyle w:val="PL"/>
        <w:rPr>
          <w:lang w:val="en-US"/>
        </w:rPr>
      </w:pPr>
      <w:r w:rsidRPr="000A0A5F">
        <w:rPr>
          <w:lang w:val="en-US"/>
        </w:rPr>
        <w:t xml:space="preserve">    oAuth2ClientCredentials:</w:t>
      </w:r>
    </w:p>
    <w:p w:rsidR="00CB0DD7" w:rsidRPr="000A0A5F" w:rsidRDefault="00CB0DD7">
      <w:pPr>
        <w:pStyle w:val="PL"/>
        <w:rPr>
          <w:lang w:val="en-US"/>
        </w:rPr>
      </w:pPr>
      <w:r w:rsidRPr="000A0A5F">
        <w:rPr>
          <w:lang w:val="en-US"/>
        </w:rPr>
        <w:t xml:space="preserve">      type: oauth2</w:t>
      </w:r>
    </w:p>
    <w:p w:rsidR="00CB0DD7" w:rsidRPr="000A0A5F" w:rsidRDefault="00CB0DD7">
      <w:pPr>
        <w:pStyle w:val="PL"/>
        <w:rPr>
          <w:lang w:val="en-US"/>
        </w:rPr>
      </w:pPr>
      <w:r w:rsidRPr="000A0A5F">
        <w:rPr>
          <w:lang w:val="en-US"/>
        </w:rPr>
        <w:t xml:space="preserve">      flows:</w:t>
      </w:r>
    </w:p>
    <w:p w:rsidR="00CB0DD7" w:rsidRPr="000A0A5F" w:rsidRDefault="00CB0DD7">
      <w:pPr>
        <w:pStyle w:val="PL"/>
        <w:rPr>
          <w:lang w:val="en-US"/>
        </w:rPr>
      </w:pPr>
      <w:r w:rsidRPr="000A0A5F">
        <w:rPr>
          <w:lang w:val="en-US"/>
        </w:rPr>
        <w:t xml:space="preserve">        clientCredentials:</w:t>
      </w:r>
    </w:p>
    <w:p w:rsidR="00CB0DD7" w:rsidRPr="000A0A5F" w:rsidRDefault="00CB0DD7">
      <w:pPr>
        <w:pStyle w:val="PL"/>
        <w:rPr>
          <w:lang w:val="en-US"/>
        </w:rPr>
      </w:pPr>
      <w:r w:rsidRPr="000A0A5F">
        <w:rPr>
          <w:lang w:val="en-US"/>
        </w:rPr>
        <w:t xml:space="preserve">          tokenUrl: '{tokenUrl}'</w:t>
      </w:r>
    </w:p>
    <w:p w:rsidR="00CB0DD7" w:rsidRPr="000A0A5F" w:rsidRDefault="00CB0DD7">
      <w:pPr>
        <w:pStyle w:val="PL"/>
        <w:rPr>
          <w:lang w:val="en-US"/>
        </w:rPr>
      </w:pPr>
      <w:r w:rsidRPr="000A0A5F">
        <w:rPr>
          <w:lang w:val="en-US"/>
        </w:rPr>
        <w:t xml:space="preserve">          scopes: {}</w:t>
      </w:r>
    </w:p>
    <w:p w:rsidR="00B8322E" w:rsidRPr="000A0A5F" w:rsidRDefault="00B8322E">
      <w:pPr>
        <w:pStyle w:val="PL"/>
      </w:pPr>
    </w:p>
    <w:p w:rsidR="00CB0DD7" w:rsidRPr="000A0A5F" w:rsidRDefault="00CB0DD7">
      <w:pPr>
        <w:pStyle w:val="PL"/>
        <w:rPr>
          <w:lang w:eastAsia="zh-CN"/>
        </w:rPr>
      </w:pPr>
      <w:r w:rsidRPr="000A0A5F">
        <w:t xml:space="preserve">  schemas: </w:t>
      </w:r>
    </w:p>
    <w:p w:rsidR="00CB0DD7" w:rsidRPr="000A0A5F" w:rsidRDefault="00CB0DD7">
      <w:pPr>
        <w:pStyle w:val="PL"/>
      </w:pPr>
      <w:r w:rsidRPr="000A0A5F">
        <w:t xml:space="preserve">    DeviceTriggering:</w:t>
      </w:r>
    </w:p>
    <w:p w:rsidR="00CB0DD7" w:rsidRPr="000A0A5F" w:rsidRDefault="00CB0DD7">
      <w:pPr>
        <w:pStyle w:val="PL"/>
      </w:pPr>
      <w:r w:rsidRPr="000A0A5F">
        <w:t xml:space="preserve">      description: Represents device triggering related information.</w:t>
      </w:r>
    </w:p>
    <w:p w:rsidR="00CB0DD7" w:rsidRPr="000A0A5F" w:rsidRDefault="00CB0DD7">
      <w:pPr>
        <w:pStyle w:val="PL"/>
      </w:pPr>
      <w:r w:rsidRPr="000A0A5F">
        <w:t xml:space="preserve">      type: object</w:t>
      </w:r>
    </w:p>
    <w:p w:rsidR="00CB0DD7" w:rsidRPr="000A0A5F" w:rsidRDefault="00CB0DD7">
      <w:pPr>
        <w:pStyle w:val="PL"/>
      </w:pPr>
      <w:r w:rsidRPr="000A0A5F">
        <w:t xml:space="preserve">      properties:</w:t>
      </w:r>
    </w:p>
    <w:p w:rsidR="00CB0DD7" w:rsidRPr="000A0A5F" w:rsidRDefault="00CB0DD7">
      <w:pPr>
        <w:pStyle w:val="PL"/>
      </w:pPr>
      <w:r w:rsidRPr="000A0A5F">
        <w:t xml:space="preserve">        self:</w:t>
      </w:r>
    </w:p>
    <w:p w:rsidR="00CB0DD7" w:rsidRPr="000A0A5F" w:rsidRDefault="00CB0DD7">
      <w:pPr>
        <w:pStyle w:val="PL"/>
      </w:pPr>
      <w:r w:rsidRPr="000A0A5F">
        <w:t xml:space="preserve">          $ref: 'TS29122_CommonData.yaml#/components/schemas/Link'</w:t>
      </w:r>
    </w:p>
    <w:p w:rsidR="00CB0DD7" w:rsidRPr="000A0A5F" w:rsidRDefault="00CB0DD7">
      <w:pPr>
        <w:pStyle w:val="PL"/>
      </w:pPr>
      <w:r w:rsidRPr="000A0A5F">
        <w:t xml:space="preserve">        externalId:</w:t>
      </w:r>
    </w:p>
    <w:p w:rsidR="00CB0DD7" w:rsidRPr="000A0A5F" w:rsidRDefault="00CB0DD7">
      <w:pPr>
        <w:pStyle w:val="PL"/>
      </w:pPr>
      <w:r w:rsidRPr="000A0A5F">
        <w:t xml:space="preserve">          $ref: 'TS29122_CommonData.yaml#/components/schemas/ExternalId'</w:t>
      </w:r>
    </w:p>
    <w:p w:rsidR="00CB0DD7" w:rsidRPr="000A0A5F" w:rsidRDefault="00CB0DD7">
      <w:pPr>
        <w:pStyle w:val="PL"/>
      </w:pPr>
      <w:r w:rsidRPr="000A0A5F">
        <w:t xml:space="preserve">        msisdn:</w:t>
      </w:r>
    </w:p>
    <w:p w:rsidR="00CB0DD7" w:rsidRPr="000A0A5F" w:rsidRDefault="00CB0DD7">
      <w:pPr>
        <w:pStyle w:val="PL"/>
      </w:pPr>
      <w:r w:rsidRPr="000A0A5F">
        <w:t xml:space="preserve">          $ref: 'TS29122_CommonData.yaml#/components/schemas/Msisdn'</w:t>
      </w:r>
    </w:p>
    <w:p w:rsidR="00CB0DD7" w:rsidRPr="000A0A5F" w:rsidRDefault="00CB0DD7">
      <w:pPr>
        <w:pStyle w:val="PL"/>
      </w:pPr>
      <w:r w:rsidRPr="000A0A5F">
        <w:t xml:space="preserve">        </w:t>
      </w:r>
      <w:r w:rsidRPr="000A0A5F">
        <w:rPr>
          <w:lang w:eastAsia="zh-CN"/>
        </w:rPr>
        <w:t>supportedFeatures</w:t>
      </w:r>
      <w:r w:rsidRPr="000A0A5F">
        <w:t>:</w:t>
      </w:r>
    </w:p>
    <w:p w:rsidR="00CB0DD7" w:rsidRPr="000A0A5F" w:rsidRDefault="00CB0DD7">
      <w:pPr>
        <w:pStyle w:val="PL"/>
      </w:pPr>
      <w:r w:rsidRPr="000A0A5F">
        <w:t xml:space="preserve">          $ref: 'TS29571_CommonData.yaml#/components/schemas/</w:t>
      </w:r>
      <w:r w:rsidRPr="000A0A5F">
        <w:rPr>
          <w:lang w:eastAsia="zh-CN"/>
        </w:rPr>
        <w:t>SupportedFeatures</w:t>
      </w:r>
      <w:r w:rsidRPr="000A0A5F">
        <w:t>'</w:t>
      </w:r>
    </w:p>
    <w:p w:rsidR="00CB0DD7" w:rsidRPr="000A0A5F" w:rsidRDefault="00CB0DD7">
      <w:pPr>
        <w:pStyle w:val="PL"/>
      </w:pPr>
      <w:r w:rsidRPr="000A0A5F">
        <w:t xml:space="preserve">        validityPeriod:</w:t>
      </w:r>
    </w:p>
    <w:p w:rsidR="00CB0DD7" w:rsidRPr="000A0A5F" w:rsidRDefault="00CB0DD7">
      <w:pPr>
        <w:pStyle w:val="PL"/>
      </w:pPr>
      <w:r w:rsidRPr="000A0A5F">
        <w:t xml:space="preserve">          $ref: 'TS29122_CommonData.yaml#/components/schemas/DurationSec'</w:t>
      </w:r>
    </w:p>
    <w:p w:rsidR="00CB0DD7" w:rsidRPr="000A0A5F" w:rsidRDefault="00CB0DD7">
      <w:pPr>
        <w:pStyle w:val="PL"/>
      </w:pPr>
      <w:r w:rsidRPr="000A0A5F">
        <w:t xml:space="preserve">        priority:</w:t>
      </w:r>
    </w:p>
    <w:p w:rsidR="00CB0DD7" w:rsidRPr="000A0A5F" w:rsidRDefault="00CB0DD7">
      <w:pPr>
        <w:pStyle w:val="PL"/>
      </w:pPr>
      <w:r w:rsidRPr="000A0A5F">
        <w:t xml:space="preserve">          $ref: '#/components/schemas/Priority'</w:t>
      </w:r>
    </w:p>
    <w:p w:rsidR="00CB0DD7" w:rsidRPr="000A0A5F" w:rsidRDefault="00CB0DD7">
      <w:pPr>
        <w:pStyle w:val="PL"/>
      </w:pPr>
      <w:r w:rsidRPr="000A0A5F">
        <w:t xml:space="preserve">        applicationPortId:</w:t>
      </w:r>
    </w:p>
    <w:p w:rsidR="00CB0DD7" w:rsidRPr="000A0A5F" w:rsidRDefault="00CB0DD7">
      <w:pPr>
        <w:pStyle w:val="PL"/>
      </w:pPr>
      <w:r w:rsidRPr="000A0A5F">
        <w:t xml:space="preserve">          $ref: 'TS29122_CommonData.yaml#/components/schemas/Port'</w:t>
      </w:r>
    </w:p>
    <w:p w:rsidR="00CB0DD7" w:rsidRPr="000A0A5F" w:rsidRDefault="00CB0DD7">
      <w:pPr>
        <w:pStyle w:val="PL"/>
      </w:pPr>
      <w:r w:rsidRPr="000A0A5F">
        <w:t xml:space="preserve">        appSrcPortId:</w:t>
      </w:r>
    </w:p>
    <w:p w:rsidR="00CB0DD7" w:rsidRPr="000A0A5F" w:rsidRDefault="00CB0DD7">
      <w:pPr>
        <w:pStyle w:val="PL"/>
      </w:pPr>
      <w:r w:rsidRPr="000A0A5F">
        <w:t xml:space="preserve">          $ref: 'TS29122_CommonData.yaml#/components/schemas/Port'</w:t>
      </w:r>
    </w:p>
    <w:p w:rsidR="00CB0DD7" w:rsidRPr="000A0A5F" w:rsidRDefault="00CB0DD7">
      <w:pPr>
        <w:pStyle w:val="PL"/>
      </w:pPr>
      <w:r w:rsidRPr="000A0A5F">
        <w:t xml:space="preserve">        triggerPayload:</w:t>
      </w:r>
    </w:p>
    <w:p w:rsidR="00CB0DD7" w:rsidRPr="000A0A5F" w:rsidRDefault="00CB0DD7">
      <w:pPr>
        <w:pStyle w:val="PL"/>
      </w:pPr>
      <w:r w:rsidRPr="000A0A5F">
        <w:t xml:space="preserve">          $ref: 'TS29122_CommonData.yaml#/components/schemas/Bytes'</w:t>
      </w:r>
    </w:p>
    <w:p w:rsidR="00CB0DD7" w:rsidRPr="000A0A5F" w:rsidRDefault="00CB0DD7">
      <w:pPr>
        <w:pStyle w:val="PL"/>
      </w:pPr>
      <w:r w:rsidRPr="000A0A5F">
        <w:t xml:space="preserve">        notificationDestination:</w:t>
      </w:r>
    </w:p>
    <w:p w:rsidR="00CB0DD7" w:rsidRPr="000A0A5F" w:rsidRDefault="00CB0DD7">
      <w:pPr>
        <w:pStyle w:val="PL"/>
      </w:pPr>
      <w:r w:rsidRPr="000A0A5F">
        <w:t xml:space="preserve">          $ref: 'TS29122_CommonData.yaml#/components/schemas/Link'</w:t>
      </w:r>
    </w:p>
    <w:p w:rsidR="00CB0DD7" w:rsidRPr="000A0A5F" w:rsidRDefault="00CB0DD7">
      <w:pPr>
        <w:pStyle w:val="PL"/>
      </w:pPr>
      <w:r w:rsidRPr="000A0A5F">
        <w:t xml:space="preserve">        requestTestNotification:</w:t>
      </w:r>
    </w:p>
    <w:p w:rsidR="00CB0DD7" w:rsidRPr="000A0A5F" w:rsidRDefault="00CB0DD7">
      <w:pPr>
        <w:pStyle w:val="PL"/>
      </w:pPr>
      <w:r w:rsidRPr="000A0A5F">
        <w:t xml:space="preserve">          type: boolean</w:t>
      </w:r>
    </w:p>
    <w:p w:rsidR="00B8322E" w:rsidRPr="000A0A5F" w:rsidRDefault="00CB0DD7">
      <w:pPr>
        <w:pStyle w:val="PL"/>
      </w:pPr>
      <w:r w:rsidRPr="000A0A5F">
        <w:t xml:space="preserve">          description: </w:t>
      </w:r>
      <w:r w:rsidR="00B8322E" w:rsidRPr="000A0A5F">
        <w:t>&gt;</w:t>
      </w:r>
    </w:p>
    <w:p w:rsidR="00B8322E" w:rsidRPr="000A0A5F" w:rsidRDefault="00B8322E">
      <w:pPr>
        <w:pStyle w:val="PL"/>
      </w:pPr>
      <w:r w:rsidRPr="000A0A5F">
        <w:t xml:space="preserve">            </w:t>
      </w:r>
      <w:r w:rsidR="00CB0DD7" w:rsidRPr="000A0A5F">
        <w:t>Set to true by the SCS/AS to request the SCEF to send a test notification as defined in</w:t>
      </w:r>
    </w:p>
    <w:p w:rsidR="00CB0DD7" w:rsidRPr="000A0A5F" w:rsidRDefault="00B8322E">
      <w:pPr>
        <w:pStyle w:val="PL"/>
      </w:pPr>
      <w:r w:rsidRPr="000A0A5F">
        <w:t xml:space="preserve">           </w:t>
      </w:r>
      <w:r w:rsidR="00CB0DD7" w:rsidRPr="000A0A5F">
        <w:t xml:space="preserve"> clause</w:t>
      </w:r>
      <w:r w:rsidR="00115EC8" w:rsidRPr="000A0A5F">
        <w:t xml:space="preserve"> </w:t>
      </w:r>
      <w:r w:rsidR="00CB0DD7" w:rsidRPr="000A0A5F">
        <w:t>5.2.5.3. Set to false or omitted otherwise.</w:t>
      </w:r>
    </w:p>
    <w:p w:rsidR="00CB0DD7" w:rsidRPr="000A0A5F" w:rsidRDefault="00CB0DD7">
      <w:pPr>
        <w:pStyle w:val="PL"/>
      </w:pPr>
      <w:r w:rsidRPr="000A0A5F">
        <w:t xml:space="preserve">        websockNotifConfig:</w:t>
      </w:r>
    </w:p>
    <w:p w:rsidR="00CB0DD7" w:rsidRPr="000A0A5F" w:rsidRDefault="00CB0DD7">
      <w:pPr>
        <w:pStyle w:val="PL"/>
      </w:pPr>
      <w:r w:rsidRPr="000A0A5F">
        <w:t xml:space="preserve">          $ref: 'TS29122_CommonData.yaml#/components/schemas/WebsockNotifConfig'</w:t>
      </w:r>
    </w:p>
    <w:p w:rsidR="00CB0DD7" w:rsidRPr="000A0A5F" w:rsidRDefault="00CB0DD7">
      <w:pPr>
        <w:pStyle w:val="PL"/>
      </w:pPr>
      <w:r w:rsidRPr="000A0A5F">
        <w:t xml:space="preserve">        deliveryResult:</w:t>
      </w:r>
    </w:p>
    <w:p w:rsidR="00CB0DD7" w:rsidRPr="000A0A5F" w:rsidRDefault="00CB0DD7">
      <w:pPr>
        <w:pStyle w:val="PL"/>
      </w:pPr>
      <w:r w:rsidRPr="000A0A5F">
        <w:t xml:space="preserve">          $ref: '#/components/schemas/DeliveryResult'</w:t>
      </w:r>
    </w:p>
    <w:p w:rsidR="00CB0DD7" w:rsidRPr="000A0A5F" w:rsidRDefault="00CB0DD7">
      <w:pPr>
        <w:pStyle w:val="PL"/>
      </w:pPr>
      <w:r w:rsidRPr="000A0A5F">
        <w:t xml:space="preserve">      required:</w:t>
      </w:r>
    </w:p>
    <w:p w:rsidR="00CB0DD7" w:rsidRPr="000A0A5F" w:rsidRDefault="00CB0DD7">
      <w:pPr>
        <w:pStyle w:val="PL"/>
      </w:pPr>
      <w:r w:rsidRPr="000A0A5F">
        <w:t xml:space="preserve">        - validityPeriod</w:t>
      </w:r>
    </w:p>
    <w:p w:rsidR="00CB0DD7" w:rsidRPr="000A0A5F" w:rsidRDefault="00CB0DD7">
      <w:pPr>
        <w:pStyle w:val="PL"/>
      </w:pPr>
      <w:r w:rsidRPr="000A0A5F">
        <w:t xml:space="preserve">        - priority</w:t>
      </w:r>
    </w:p>
    <w:p w:rsidR="00CB0DD7" w:rsidRPr="000A0A5F" w:rsidRDefault="00CB0DD7">
      <w:pPr>
        <w:pStyle w:val="PL"/>
      </w:pPr>
      <w:r w:rsidRPr="000A0A5F">
        <w:t xml:space="preserve">        - applicationPortId</w:t>
      </w:r>
    </w:p>
    <w:p w:rsidR="00CB0DD7" w:rsidRPr="000A0A5F" w:rsidRDefault="00CB0DD7">
      <w:pPr>
        <w:pStyle w:val="PL"/>
      </w:pPr>
      <w:r w:rsidRPr="000A0A5F">
        <w:t xml:space="preserve">        - triggerPayload</w:t>
      </w:r>
    </w:p>
    <w:p w:rsidR="00CB0DD7" w:rsidRPr="000A0A5F" w:rsidRDefault="00CB0DD7">
      <w:pPr>
        <w:pStyle w:val="PL"/>
      </w:pPr>
      <w:r w:rsidRPr="000A0A5F">
        <w:t xml:space="preserve">        - notificationDestination</w:t>
      </w:r>
    </w:p>
    <w:p w:rsidR="00CB0DD7" w:rsidRPr="000A0A5F" w:rsidRDefault="00CB0DD7">
      <w:pPr>
        <w:pStyle w:val="PL"/>
      </w:pPr>
      <w:r w:rsidRPr="000A0A5F">
        <w:t xml:space="preserve">      oneOf:</w:t>
      </w:r>
    </w:p>
    <w:p w:rsidR="00CB0DD7" w:rsidRPr="000A0A5F" w:rsidRDefault="00CB0DD7">
      <w:pPr>
        <w:pStyle w:val="PL"/>
      </w:pPr>
      <w:r w:rsidRPr="000A0A5F">
        <w:t xml:space="preserve">        - required: [externalId]</w:t>
      </w:r>
    </w:p>
    <w:p w:rsidR="00CB0DD7" w:rsidRPr="000A0A5F" w:rsidRDefault="00CB0DD7">
      <w:pPr>
        <w:pStyle w:val="PL"/>
      </w:pPr>
      <w:r w:rsidRPr="000A0A5F">
        <w:t xml:space="preserve">        - required: [msisdn]</w:t>
      </w:r>
    </w:p>
    <w:p w:rsidR="00B8322E" w:rsidRPr="000A0A5F" w:rsidRDefault="00B8322E">
      <w:pPr>
        <w:pStyle w:val="PL"/>
      </w:pPr>
    </w:p>
    <w:p w:rsidR="00CB0DD7" w:rsidRPr="000A0A5F" w:rsidRDefault="00CB0DD7">
      <w:pPr>
        <w:pStyle w:val="PL"/>
      </w:pPr>
      <w:r w:rsidRPr="000A0A5F">
        <w:t xml:space="preserve">    DeviceTriggeringDeliveryReportNotification:</w:t>
      </w:r>
    </w:p>
    <w:p w:rsidR="00CB0DD7" w:rsidRPr="000A0A5F" w:rsidRDefault="00CB0DD7">
      <w:pPr>
        <w:pStyle w:val="PL"/>
      </w:pPr>
      <w:r w:rsidRPr="000A0A5F">
        <w:t xml:space="preserve">      description: Represents a device triggering delivery report notification.</w:t>
      </w:r>
    </w:p>
    <w:p w:rsidR="00CB0DD7" w:rsidRPr="000A0A5F" w:rsidRDefault="00CB0DD7">
      <w:pPr>
        <w:pStyle w:val="PL"/>
      </w:pPr>
      <w:r w:rsidRPr="000A0A5F">
        <w:t xml:space="preserve">      type: object</w:t>
      </w:r>
    </w:p>
    <w:p w:rsidR="00CB0DD7" w:rsidRPr="000A0A5F" w:rsidRDefault="00CB0DD7">
      <w:pPr>
        <w:pStyle w:val="PL"/>
      </w:pPr>
      <w:r w:rsidRPr="000A0A5F">
        <w:t xml:space="preserve">      properties:</w:t>
      </w:r>
    </w:p>
    <w:p w:rsidR="00CB0DD7" w:rsidRPr="000A0A5F" w:rsidRDefault="00CB0DD7">
      <w:pPr>
        <w:pStyle w:val="PL"/>
      </w:pPr>
      <w:r w:rsidRPr="000A0A5F">
        <w:t xml:space="preserve">        transaction:</w:t>
      </w:r>
    </w:p>
    <w:p w:rsidR="00CB0DD7" w:rsidRPr="000A0A5F" w:rsidRDefault="00CB0DD7">
      <w:pPr>
        <w:pStyle w:val="PL"/>
      </w:pPr>
      <w:r w:rsidRPr="000A0A5F">
        <w:t xml:space="preserve">          $ref: 'TS29122_CommonData.yaml#/components/schemas/Link'</w:t>
      </w:r>
    </w:p>
    <w:p w:rsidR="00CB0DD7" w:rsidRPr="000A0A5F" w:rsidRDefault="00CB0DD7">
      <w:pPr>
        <w:pStyle w:val="PL"/>
      </w:pPr>
      <w:r w:rsidRPr="000A0A5F">
        <w:t xml:space="preserve">        result:</w:t>
      </w:r>
    </w:p>
    <w:p w:rsidR="00CB0DD7" w:rsidRPr="000A0A5F" w:rsidRDefault="00CB0DD7">
      <w:pPr>
        <w:pStyle w:val="PL"/>
      </w:pPr>
      <w:r w:rsidRPr="000A0A5F">
        <w:t xml:space="preserve">          $ref: '#/components/schemas/DeliveryResult'</w:t>
      </w:r>
    </w:p>
    <w:p w:rsidR="00CB0DD7" w:rsidRPr="000A0A5F" w:rsidRDefault="00CB0DD7">
      <w:pPr>
        <w:pStyle w:val="PL"/>
      </w:pPr>
      <w:r w:rsidRPr="000A0A5F">
        <w:t xml:space="preserve">      required:</w:t>
      </w:r>
    </w:p>
    <w:p w:rsidR="00CB0DD7" w:rsidRPr="000A0A5F" w:rsidRDefault="00CB0DD7">
      <w:pPr>
        <w:pStyle w:val="PL"/>
      </w:pPr>
      <w:r w:rsidRPr="000A0A5F">
        <w:t xml:space="preserve">        - transaction</w:t>
      </w:r>
    </w:p>
    <w:p w:rsidR="00CB0DD7" w:rsidRPr="000A0A5F" w:rsidRDefault="00CB0DD7">
      <w:pPr>
        <w:pStyle w:val="PL"/>
      </w:pPr>
      <w:r w:rsidRPr="000A0A5F">
        <w:t xml:space="preserve">        - result</w:t>
      </w:r>
    </w:p>
    <w:p w:rsidR="00B8322E" w:rsidRPr="000A0A5F" w:rsidRDefault="00B8322E" w:rsidP="00F4764B">
      <w:pPr>
        <w:pStyle w:val="PL"/>
      </w:pPr>
    </w:p>
    <w:p w:rsidR="00F4764B" w:rsidRPr="000A0A5F" w:rsidRDefault="00F4764B" w:rsidP="00F4764B">
      <w:pPr>
        <w:pStyle w:val="PL"/>
      </w:pPr>
      <w:r w:rsidRPr="000A0A5F">
        <w:t xml:space="preserve">    DeviceTriggering</w:t>
      </w:r>
      <w:r w:rsidR="00B97EBD" w:rsidRPr="000A0A5F">
        <w:t>Patch</w:t>
      </w:r>
      <w:r w:rsidRPr="000A0A5F">
        <w:t>:</w:t>
      </w:r>
    </w:p>
    <w:p w:rsidR="00F4764B" w:rsidRPr="000A0A5F" w:rsidRDefault="00F4764B" w:rsidP="00F4764B">
      <w:pPr>
        <w:pStyle w:val="PL"/>
      </w:pPr>
      <w:r w:rsidRPr="000A0A5F">
        <w:t xml:space="preserve">      description: Represents device triggering related information.</w:t>
      </w:r>
    </w:p>
    <w:p w:rsidR="00F4764B" w:rsidRPr="000A0A5F" w:rsidRDefault="00F4764B" w:rsidP="00F4764B">
      <w:pPr>
        <w:pStyle w:val="PL"/>
      </w:pPr>
      <w:r w:rsidRPr="000A0A5F">
        <w:t xml:space="preserve">      type: object</w:t>
      </w:r>
    </w:p>
    <w:p w:rsidR="00F4764B" w:rsidRPr="000A0A5F" w:rsidRDefault="00F4764B" w:rsidP="00F4764B">
      <w:pPr>
        <w:pStyle w:val="PL"/>
      </w:pPr>
      <w:r w:rsidRPr="000A0A5F">
        <w:t xml:space="preserve">      properties:</w:t>
      </w:r>
    </w:p>
    <w:p w:rsidR="00F4764B" w:rsidRPr="000A0A5F" w:rsidRDefault="00F4764B" w:rsidP="00F4764B">
      <w:pPr>
        <w:pStyle w:val="PL"/>
      </w:pPr>
      <w:r w:rsidRPr="000A0A5F">
        <w:t xml:space="preserve">        validityPeriod:</w:t>
      </w:r>
    </w:p>
    <w:p w:rsidR="00F4764B" w:rsidRPr="000A0A5F" w:rsidRDefault="00F4764B" w:rsidP="00F4764B">
      <w:pPr>
        <w:pStyle w:val="PL"/>
      </w:pPr>
      <w:r w:rsidRPr="000A0A5F">
        <w:t xml:space="preserve">          $ref: 'TS29122_CommonData.yaml#/components/schemas/DurationSec'</w:t>
      </w:r>
    </w:p>
    <w:p w:rsidR="00F4764B" w:rsidRPr="000A0A5F" w:rsidRDefault="00F4764B" w:rsidP="00F4764B">
      <w:pPr>
        <w:pStyle w:val="PL"/>
      </w:pPr>
      <w:r w:rsidRPr="000A0A5F">
        <w:t xml:space="preserve">        priority:</w:t>
      </w:r>
    </w:p>
    <w:p w:rsidR="00F4764B" w:rsidRPr="000A0A5F" w:rsidRDefault="00F4764B" w:rsidP="00F4764B">
      <w:pPr>
        <w:pStyle w:val="PL"/>
      </w:pPr>
      <w:r w:rsidRPr="000A0A5F">
        <w:t xml:space="preserve">          $ref: '#/components/schemas/Priority'</w:t>
      </w:r>
    </w:p>
    <w:p w:rsidR="00F4764B" w:rsidRPr="000A0A5F" w:rsidRDefault="00F4764B" w:rsidP="00F4764B">
      <w:pPr>
        <w:pStyle w:val="PL"/>
      </w:pPr>
      <w:r w:rsidRPr="000A0A5F">
        <w:t xml:space="preserve">        applicationPortId:</w:t>
      </w:r>
    </w:p>
    <w:p w:rsidR="00F4764B" w:rsidRPr="000A0A5F" w:rsidRDefault="00F4764B" w:rsidP="00F4764B">
      <w:pPr>
        <w:pStyle w:val="PL"/>
      </w:pPr>
      <w:r w:rsidRPr="000A0A5F">
        <w:t xml:space="preserve">          $ref: 'TS29122_CommonData.yaml#/components/schemas/Port'</w:t>
      </w:r>
    </w:p>
    <w:p w:rsidR="00F4764B" w:rsidRPr="000A0A5F" w:rsidRDefault="00F4764B" w:rsidP="00F4764B">
      <w:pPr>
        <w:pStyle w:val="PL"/>
      </w:pPr>
      <w:r w:rsidRPr="000A0A5F">
        <w:t xml:space="preserve">        appSrcPortId:</w:t>
      </w:r>
    </w:p>
    <w:p w:rsidR="00F4764B" w:rsidRPr="000A0A5F" w:rsidRDefault="00F4764B" w:rsidP="00F4764B">
      <w:pPr>
        <w:pStyle w:val="PL"/>
      </w:pPr>
      <w:r w:rsidRPr="000A0A5F">
        <w:t xml:space="preserve">          $ref: 'TS29122_CommonData.yaml#/components/schemas/Port'</w:t>
      </w:r>
    </w:p>
    <w:p w:rsidR="00F4764B" w:rsidRPr="000A0A5F" w:rsidRDefault="00F4764B" w:rsidP="00F4764B">
      <w:pPr>
        <w:pStyle w:val="PL"/>
      </w:pPr>
      <w:r w:rsidRPr="000A0A5F">
        <w:t xml:space="preserve">        triggerPayload:</w:t>
      </w:r>
    </w:p>
    <w:p w:rsidR="00F4764B" w:rsidRPr="000A0A5F" w:rsidRDefault="00F4764B" w:rsidP="00F4764B">
      <w:pPr>
        <w:pStyle w:val="PL"/>
      </w:pPr>
      <w:r w:rsidRPr="000A0A5F">
        <w:t xml:space="preserve">          $ref: 'TS29122_CommonData.yaml#/components/schemas/Bytes'</w:t>
      </w:r>
    </w:p>
    <w:p w:rsidR="00F4764B" w:rsidRPr="000A0A5F" w:rsidRDefault="00F4764B" w:rsidP="00F4764B">
      <w:pPr>
        <w:pStyle w:val="PL"/>
      </w:pPr>
      <w:r w:rsidRPr="000A0A5F">
        <w:t xml:space="preserve">        notificationDestination:</w:t>
      </w:r>
    </w:p>
    <w:p w:rsidR="00F4764B" w:rsidRPr="000A0A5F" w:rsidRDefault="00F4764B" w:rsidP="00F4764B">
      <w:pPr>
        <w:pStyle w:val="PL"/>
      </w:pPr>
      <w:r w:rsidRPr="000A0A5F">
        <w:t xml:space="preserve">          $ref: 'TS29122_CommonData.yaml#/components/schemas/Link'</w:t>
      </w:r>
    </w:p>
    <w:p w:rsidR="00F4764B" w:rsidRPr="000A0A5F" w:rsidRDefault="00F4764B" w:rsidP="00F4764B">
      <w:pPr>
        <w:pStyle w:val="PL"/>
      </w:pPr>
      <w:r w:rsidRPr="000A0A5F">
        <w:t xml:space="preserve">        requestTestNotification:</w:t>
      </w:r>
    </w:p>
    <w:p w:rsidR="00F4764B" w:rsidRPr="000A0A5F" w:rsidRDefault="00F4764B" w:rsidP="00F4764B">
      <w:pPr>
        <w:pStyle w:val="PL"/>
      </w:pPr>
      <w:r w:rsidRPr="000A0A5F">
        <w:t xml:space="preserve">          type: boolean</w:t>
      </w:r>
    </w:p>
    <w:p w:rsidR="00B8322E" w:rsidRPr="000A0A5F" w:rsidRDefault="00F4764B" w:rsidP="00F4764B">
      <w:pPr>
        <w:pStyle w:val="PL"/>
      </w:pPr>
      <w:r w:rsidRPr="000A0A5F">
        <w:t xml:space="preserve">          description: </w:t>
      </w:r>
      <w:r w:rsidR="00B8322E" w:rsidRPr="000A0A5F">
        <w:t>&gt;</w:t>
      </w:r>
    </w:p>
    <w:p w:rsidR="00B8322E" w:rsidRPr="000A0A5F" w:rsidRDefault="00B8322E" w:rsidP="00F4764B">
      <w:pPr>
        <w:pStyle w:val="PL"/>
      </w:pPr>
      <w:r w:rsidRPr="000A0A5F">
        <w:t xml:space="preserve">            </w:t>
      </w:r>
      <w:r w:rsidR="00F4764B" w:rsidRPr="000A0A5F">
        <w:t>Set to true by the SCS/AS to request the SCEF to send a test notification as defined</w:t>
      </w:r>
    </w:p>
    <w:p w:rsidR="00F4764B" w:rsidRPr="000A0A5F" w:rsidRDefault="00B8322E" w:rsidP="00F4764B">
      <w:pPr>
        <w:pStyle w:val="PL"/>
      </w:pPr>
      <w:r w:rsidRPr="000A0A5F">
        <w:t xml:space="preserve">           </w:t>
      </w:r>
      <w:r w:rsidR="00F4764B" w:rsidRPr="000A0A5F">
        <w:t xml:space="preserve"> in clause 5.2.5.3. Set to false or omitted otherwise.</w:t>
      </w:r>
    </w:p>
    <w:p w:rsidR="00F4764B" w:rsidRPr="000A0A5F" w:rsidRDefault="00F4764B" w:rsidP="00F4764B">
      <w:pPr>
        <w:pStyle w:val="PL"/>
      </w:pPr>
      <w:r w:rsidRPr="000A0A5F">
        <w:t xml:space="preserve">        websockNotifConfig:</w:t>
      </w:r>
    </w:p>
    <w:p w:rsidR="00F4764B" w:rsidRPr="000A0A5F" w:rsidRDefault="00F4764B" w:rsidP="00F4764B">
      <w:pPr>
        <w:pStyle w:val="PL"/>
      </w:pPr>
      <w:r w:rsidRPr="000A0A5F">
        <w:t xml:space="preserve">          $ref: 'TS29122_CommonData.yaml#/components/schemas/WebsockNotifConfig'</w:t>
      </w:r>
    </w:p>
    <w:p w:rsidR="00B8322E" w:rsidRPr="000A0A5F" w:rsidRDefault="00B8322E">
      <w:pPr>
        <w:pStyle w:val="PL"/>
      </w:pPr>
    </w:p>
    <w:p w:rsidR="00CB0DD7" w:rsidRPr="000A0A5F" w:rsidRDefault="00CB0DD7">
      <w:pPr>
        <w:pStyle w:val="PL"/>
      </w:pPr>
      <w:r w:rsidRPr="000A0A5F">
        <w:t xml:space="preserve">    DeliveryResult:</w:t>
      </w:r>
    </w:p>
    <w:p w:rsidR="00CB0DD7" w:rsidRPr="000A0A5F" w:rsidRDefault="00CB0DD7">
      <w:pPr>
        <w:pStyle w:val="PL"/>
      </w:pPr>
      <w:r w:rsidRPr="000A0A5F">
        <w:t xml:space="preserve">      anyOf:</w:t>
      </w:r>
    </w:p>
    <w:p w:rsidR="00CB0DD7" w:rsidRPr="000A0A5F" w:rsidRDefault="00CB0DD7">
      <w:pPr>
        <w:pStyle w:val="PL"/>
      </w:pPr>
      <w:r w:rsidRPr="000A0A5F">
        <w:t xml:space="preserve">      - type: string</w:t>
      </w:r>
    </w:p>
    <w:p w:rsidR="00CB0DD7" w:rsidRPr="000A0A5F" w:rsidRDefault="00CB0DD7">
      <w:pPr>
        <w:pStyle w:val="PL"/>
      </w:pPr>
      <w:r w:rsidRPr="000A0A5F">
        <w:t xml:space="preserve">        enum:</w:t>
      </w:r>
    </w:p>
    <w:p w:rsidR="00CB0DD7" w:rsidRPr="000A0A5F" w:rsidRDefault="00CB0DD7">
      <w:pPr>
        <w:pStyle w:val="PL"/>
      </w:pPr>
      <w:r w:rsidRPr="000A0A5F">
        <w:t xml:space="preserve">          - SUCCESS</w:t>
      </w:r>
    </w:p>
    <w:p w:rsidR="00CB0DD7" w:rsidRPr="000A0A5F" w:rsidRDefault="00CB0DD7">
      <w:pPr>
        <w:pStyle w:val="PL"/>
      </w:pPr>
      <w:r w:rsidRPr="000A0A5F">
        <w:t xml:space="preserve">          - UNKNOWN</w:t>
      </w:r>
    </w:p>
    <w:p w:rsidR="00CB0DD7" w:rsidRPr="000A0A5F" w:rsidRDefault="00CB0DD7">
      <w:pPr>
        <w:pStyle w:val="PL"/>
      </w:pPr>
      <w:r w:rsidRPr="000A0A5F">
        <w:t xml:space="preserve">          - FAILURE</w:t>
      </w:r>
    </w:p>
    <w:p w:rsidR="00CB0DD7" w:rsidRPr="000A0A5F" w:rsidRDefault="00CB0DD7">
      <w:pPr>
        <w:pStyle w:val="PL"/>
      </w:pPr>
      <w:r w:rsidRPr="000A0A5F">
        <w:t xml:space="preserve">          - TRIGGERED</w:t>
      </w:r>
    </w:p>
    <w:p w:rsidR="00CB0DD7" w:rsidRPr="000A0A5F" w:rsidRDefault="00CB0DD7">
      <w:pPr>
        <w:pStyle w:val="PL"/>
      </w:pPr>
      <w:r w:rsidRPr="000A0A5F">
        <w:t xml:space="preserve">          - EXPIRED</w:t>
      </w:r>
    </w:p>
    <w:p w:rsidR="00CB0DD7" w:rsidRPr="000A0A5F" w:rsidRDefault="00CB0DD7">
      <w:pPr>
        <w:pStyle w:val="PL"/>
      </w:pPr>
      <w:r w:rsidRPr="000A0A5F">
        <w:t xml:space="preserve">          - UNCONFIRMED</w:t>
      </w:r>
    </w:p>
    <w:p w:rsidR="00CB0DD7" w:rsidRPr="000A0A5F" w:rsidRDefault="00CB0DD7">
      <w:pPr>
        <w:pStyle w:val="PL"/>
      </w:pPr>
      <w:r w:rsidRPr="000A0A5F">
        <w:t xml:space="preserve">          - REPLACED</w:t>
      </w:r>
    </w:p>
    <w:p w:rsidR="00CB0DD7" w:rsidRPr="000A0A5F" w:rsidRDefault="00CB0DD7">
      <w:pPr>
        <w:pStyle w:val="PL"/>
      </w:pPr>
      <w:r w:rsidRPr="000A0A5F">
        <w:t xml:space="preserve">          - TERMINATE</w:t>
      </w:r>
    </w:p>
    <w:p w:rsidR="00CB0DD7" w:rsidRPr="000A0A5F" w:rsidRDefault="00CB0DD7">
      <w:pPr>
        <w:pStyle w:val="PL"/>
      </w:pPr>
      <w:r w:rsidRPr="000A0A5F">
        <w:t xml:space="preserve">      - type: string</w:t>
      </w:r>
    </w:p>
    <w:p w:rsidR="00CB0DD7" w:rsidRPr="000A0A5F" w:rsidRDefault="00CB0DD7">
      <w:pPr>
        <w:pStyle w:val="PL"/>
      </w:pPr>
      <w:r w:rsidRPr="000A0A5F">
        <w:t xml:space="preserve">        description: &gt;</w:t>
      </w:r>
    </w:p>
    <w:p w:rsidR="00CB0DD7" w:rsidRPr="000A0A5F" w:rsidRDefault="00CB0DD7">
      <w:pPr>
        <w:pStyle w:val="PL"/>
      </w:pPr>
      <w:r w:rsidRPr="000A0A5F">
        <w:t xml:space="preserve">          This string provides forward-compatibility with future</w:t>
      </w:r>
    </w:p>
    <w:p w:rsidR="00CB0DD7" w:rsidRPr="000A0A5F" w:rsidRDefault="00CB0DD7">
      <w:pPr>
        <w:pStyle w:val="PL"/>
      </w:pPr>
      <w:r w:rsidRPr="000A0A5F">
        <w:t xml:space="preserve">          extensions to the enumeration but is not used to encode</w:t>
      </w:r>
    </w:p>
    <w:p w:rsidR="00CB0DD7" w:rsidRPr="000A0A5F" w:rsidRDefault="00CB0DD7">
      <w:pPr>
        <w:pStyle w:val="PL"/>
      </w:pPr>
      <w:r w:rsidRPr="000A0A5F">
        <w:t xml:space="preserve">          content defined in the present version of this API.</w:t>
      </w:r>
    </w:p>
    <w:p w:rsidR="00CB0DD7" w:rsidRPr="000A0A5F" w:rsidRDefault="00CB0DD7">
      <w:pPr>
        <w:pStyle w:val="PL"/>
      </w:pPr>
      <w:r w:rsidRPr="000A0A5F">
        <w:t xml:space="preserve">      description: </w:t>
      </w:r>
      <w:r w:rsidR="008E138E" w:rsidRPr="000A0A5F">
        <w:t>|</w:t>
      </w:r>
    </w:p>
    <w:p w:rsidR="008E138E" w:rsidRPr="000A0A5F" w:rsidRDefault="008E138E">
      <w:pPr>
        <w:pStyle w:val="PL"/>
      </w:pPr>
      <w:r w:rsidRPr="000A0A5F">
        <w:t xml:space="preserve">        Represents the result of the delivery of a device triggering request.  </w:t>
      </w:r>
    </w:p>
    <w:p w:rsidR="00CB0DD7" w:rsidRPr="000A0A5F" w:rsidRDefault="00CB0DD7">
      <w:pPr>
        <w:pStyle w:val="PL"/>
      </w:pPr>
      <w:r w:rsidRPr="000A0A5F">
        <w:t xml:space="preserve">        Possible values are</w:t>
      </w:r>
      <w:r w:rsidR="008E138E" w:rsidRPr="000A0A5F">
        <w:t>:</w:t>
      </w:r>
    </w:p>
    <w:p w:rsidR="00CB0DD7" w:rsidRPr="000A0A5F" w:rsidRDefault="00CB0DD7">
      <w:pPr>
        <w:pStyle w:val="PL"/>
      </w:pPr>
      <w:r w:rsidRPr="000A0A5F">
        <w:t xml:space="preserve">        - SUCCESS: This value indicates that the device action request was successfully completed.</w:t>
      </w:r>
    </w:p>
    <w:p w:rsidR="00CB0DD7" w:rsidRPr="000A0A5F" w:rsidRDefault="00CB0DD7">
      <w:pPr>
        <w:pStyle w:val="PL"/>
      </w:pPr>
      <w:r w:rsidRPr="000A0A5F">
        <w:t xml:space="preserve">        - UNKNOWN: This value indicates any unspecified errors.</w:t>
      </w:r>
    </w:p>
    <w:p w:rsidR="008E138E" w:rsidRPr="000A0A5F" w:rsidRDefault="00CB0DD7">
      <w:pPr>
        <w:pStyle w:val="PL"/>
      </w:pPr>
      <w:r w:rsidRPr="000A0A5F">
        <w:t xml:space="preserve">        - FAILURE: This value indicates that this trigger encountered a delivery error and is deemed</w:t>
      </w:r>
    </w:p>
    <w:p w:rsidR="00CB0DD7" w:rsidRPr="000A0A5F" w:rsidRDefault="008E138E">
      <w:pPr>
        <w:pStyle w:val="PL"/>
      </w:pPr>
      <w:r w:rsidRPr="000A0A5F">
        <w:t xml:space="preserve">         </w:t>
      </w:r>
      <w:r w:rsidR="00CB0DD7" w:rsidRPr="000A0A5F">
        <w:t xml:space="preserve"> permanently undeliverable.</w:t>
      </w:r>
    </w:p>
    <w:p w:rsidR="00CB0DD7" w:rsidRPr="000A0A5F" w:rsidRDefault="00CB0DD7">
      <w:pPr>
        <w:pStyle w:val="PL"/>
      </w:pPr>
      <w:r w:rsidRPr="000A0A5F">
        <w:t xml:space="preserve">        - TRIGGERED: This value indicates that device triggering request is accepted by the SCEF.</w:t>
      </w:r>
    </w:p>
    <w:p w:rsidR="008E138E" w:rsidRPr="000A0A5F" w:rsidRDefault="00CB0DD7">
      <w:pPr>
        <w:pStyle w:val="PL"/>
      </w:pPr>
      <w:r w:rsidRPr="000A0A5F">
        <w:t xml:space="preserve">        - EXPIRED: This value indicates that the validity period expired before the trigger could</w:t>
      </w:r>
    </w:p>
    <w:p w:rsidR="00CB0DD7" w:rsidRPr="000A0A5F" w:rsidRDefault="008E138E">
      <w:pPr>
        <w:pStyle w:val="PL"/>
      </w:pPr>
      <w:r w:rsidRPr="000A0A5F">
        <w:t xml:space="preserve">         </w:t>
      </w:r>
      <w:r w:rsidR="00CB0DD7" w:rsidRPr="000A0A5F">
        <w:t xml:space="preserve"> be delivered.</w:t>
      </w:r>
    </w:p>
    <w:p w:rsidR="008E138E" w:rsidRPr="000A0A5F" w:rsidRDefault="00CB0DD7">
      <w:pPr>
        <w:pStyle w:val="PL"/>
      </w:pPr>
      <w:r w:rsidRPr="000A0A5F">
        <w:t xml:space="preserve">        - UNCONFIRMED: This value indicates that the delivery of the device action request is not</w:t>
      </w:r>
    </w:p>
    <w:p w:rsidR="00CB0DD7" w:rsidRPr="000A0A5F" w:rsidRDefault="008E138E">
      <w:pPr>
        <w:pStyle w:val="PL"/>
      </w:pPr>
      <w:r w:rsidRPr="000A0A5F">
        <w:t xml:space="preserve">         </w:t>
      </w:r>
      <w:r w:rsidR="00CB0DD7" w:rsidRPr="000A0A5F">
        <w:t xml:space="preserve"> confirmed.</w:t>
      </w:r>
    </w:p>
    <w:p w:rsidR="000E12B9" w:rsidRPr="000A0A5F" w:rsidRDefault="00CB0DD7">
      <w:pPr>
        <w:pStyle w:val="PL"/>
      </w:pPr>
      <w:r w:rsidRPr="000A0A5F">
        <w:t xml:space="preserve">        - REPLACED: This value indicates that the device triggering replacement request is accepted</w:t>
      </w:r>
    </w:p>
    <w:p w:rsidR="00CB0DD7" w:rsidRPr="000A0A5F" w:rsidRDefault="000E12B9">
      <w:pPr>
        <w:pStyle w:val="PL"/>
      </w:pPr>
      <w:r w:rsidRPr="000A0A5F">
        <w:t xml:space="preserve">         </w:t>
      </w:r>
      <w:r w:rsidR="00CB0DD7" w:rsidRPr="000A0A5F">
        <w:t xml:space="preserve"> by the SCEF.</w:t>
      </w:r>
    </w:p>
    <w:p w:rsidR="008E138E" w:rsidRPr="000A0A5F" w:rsidRDefault="00CB0DD7">
      <w:pPr>
        <w:pStyle w:val="PL"/>
      </w:pPr>
      <w:r w:rsidRPr="000A0A5F">
        <w:t xml:space="preserve">        - TERMINATE: This value indicates that the delivery of the device action request is</w:t>
      </w:r>
    </w:p>
    <w:p w:rsidR="00CB0DD7" w:rsidRPr="000A0A5F" w:rsidRDefault="008E138E">
      <w:pPr>
        <w:pStyle w:val="PL"/>
      </w:pPr>
      <w:r w:rsidRPr="000A0A5F">
        <w:t xml:space="preserve">         </w:t>
      </w:r>
      <w:r w:rsidR="00CB0DD7" w:rsidRPr="000A0A5F">
        <w:t xml:space="preserve"> terminated by the SCS/AS.</w:t>
      </w:r>
    </w:p>
    <w:p w:rsidR="00CB0DD7" w:rsidRPr="000A0A5F" w:rsidRDefault="00CB0DD7">
      <w:pPr>
        <w:pStyle w:val="PL"/>
      </w:pPr>
      <w:r w:rsidRPr="000A0A5F">
        <w:t xml:space="preserve">      readOnly: true</w:t>
      </w:r>
    </w:p>
    <w:p w:rsidR="000E12B9" w:rsidRPr="000A0A5F" w:rsidRDefault="000E12B9">
      <w:pPr>
        <w:pStyle w:val="PL"/>
      </w:pPr>
    </w:p>
    <w:p w:rsidR="00CB0DD7" w:rsidRPr="000A0A5F" w:rsidRDefault="00CB0DD7">
      <w:pPr>
        <w:pStyle w:val="PL"/>
      </w:pPr>
      <w:r w:rsidRPr="000A0A5F">
        <w:t xml:space="preserve">    Priority:</w:t>
      </w:r>
    </w:p>
    <w:p w:rsidR="00CB0DD7" w:rsidRPr="000A0A5F" w:rsidRDefault="00CB0DD7">
      <w:pPr>
        <w:pStyle w:val="PL"/>
      </w:pPr>
      <w:r w:rsidRPr="000A0A5F">
        <w:t xml:space="preserve">      anyOf:</w:t>
      </w:r>
    </w:p>
    <w:p w:rsidR="00CB0DD7" w:rsidRPr="000A0A5F" w:rsidRDefault="00CB0DD7">
      <w:pPr>
        <w:pStyle w:val="PL"/>
      </w:pPr>
      <w:r w:rsidRPr="000A0A5F">
        <w:t xml:space="preserve">      - type: string</w:t>
      </w:r>
    </w:p>
    <w:p w:rsidR="00CB0DD7" w:rsidRPr="000A0A5F" w:rsidRDefault="00CB0DD7">
      <w:pPr>
        <w:pStyle w:val="PL"/>
      </w:pPr>
      <w:r w:rsidRPr="000A0A5F">
        <w:t xml:space="preserve">        enum:</w:t>
      </w:r>
    </w:p>
    <w:p w:rsidR="00CB0DD7" w:rsidRPr="000A0A5F" w:rsidRDefault="00CB0DD7">
      <w:pPr>
        <w:pStyle w:val="PL"/>
      </w:pPr>
      <w:r w:rsidRPr="000A0A5F">
        <w:t xml:space="preserve">          - NO_PRIORITY</w:t>
      </w:r>
    </w:p>
    <w:p w:rsidR="00CB0DD7" w:rsidRPr="000A0A5F" w:rsidRDefault="00CB0DD7">
      <w:pPr>
        <w:pStyle w:val="PL"/>
      </w:pPr>
      <w:r w:rsidRPr="000A0A5F">
        <w:t xml:space="preserve">          - PRIORITY</w:t>
      </w:r>
    </w:p>
    <w:p w:rsidR="00CB0DD7" w:rsidRPr="000A0A5F" w:rsidRDefault="00CB0DD7">
      <w:pPr>
        <w:pStyle w:val="PL"/>
      </w:pPr>
      <w:r w:rsidRPr="000A0A5F">
        <w:t xml:space="preserve">      - type: string</w:t>
      </w:r>
    </w:p>
    <w:p w:rsidR="00CB0DD7" w:rsidRPr="000A0A5F" w:rsidRDefault="00CB0DD7">
      <w:pPr>
        <w:pStyle w:val="PL"/>
      </w:pPr>
      <w:r w:rsidRPr="000A0A5F">
        <w:t xml:space="preserve">        description: &gt;</w:t>
      </w:r>
    </w:p>
    <w:p w:rsidR="00CB0DD7" w:rsidRPr="000A0A5F" w:rsidRDefault="00CB0DD7">
      <w:pPr>
        <w:pStyle w:val="PL"/>
      </w:pPr>
      <w:r w:rsidRPr="000A0A5F">
        <w:t xml:space="preserve">          This string provides forward-compatibility with future</w:t>
      </w:r>
    </w:p>
    <w:p w:rsidR="00CB0DD7" w:rsidRPr="000A0A5F" w:rsidRDefault="00CB0DD7">
      <w:pPr>
        <w:pStyle w:val="PL"/>
      </w:pPr>
      <w:r w:rsidRPr="000A0A5F">
        <w:t xml:space="preserve">          extensions to the enumeration but is not used to encode</w:t>
      </w:r>
    </w:p>
    <w:p w:rsidR="00CB0DD7" w:rsidRPr="000A0A5F" w:rsidRDefault="00CB0DD7">
      <w:pPr>
        <w:pStyle w:val="PL"/>
      </w:pPr>
      <w:r w:rsidRPr="000A0A5F">
        <w:t xml:space="preserve">          content defined in the present version of this API.</w:t>
      </w:r>
    </w:p>
    <w:p w:rsidR="00CB0DD7" w:rsidRPr="000A0A5F" w:rsidRDefault="00CB0DD7">
      <w:pPr>
        <w:pStyle w:val="PL"/>
      </w:pPr>
      <w:r w:rsidRPr="000A0A5F">
        <w:t xml:space="preserve">      description: </w:t>
      </w:r>
      <w:r w:rsidR="000E12B9" w:rsidRPr="000A0A5F">
        <w:t>|</w:t>
      </w:r>
    </w:p>
    <w:p w:rsidR="000E12B9" w:rsidRPr="000A0A5F" w:rsidRDefault="000E12B9">
      <w:pPr>
        <w:pStyle w:val="PL"/>
      </w:pPr>
      <w:r w:rsidRPr="000A0A5F">
        <w:t xml:space="preserve">        Represents the priority indication for a trigger payload.  </w:t>
      </w:r>
    </w:p>
    <w:p w:rsidR="00CB0DD7" w:rsidRPr="000A0A5F" w:rsidRDefault="00CB0DD7">
      <w:pPr>
        <w:pStyle w:val="PL"/>
      </w:pPr>
      <w:r w:rsidRPr="000A0A5F">
        <w:t xml:space="preserve">        Possible values are</w:t>
      </w:r>
      <w:r w:rsidR="000E12B9" w:rsidRPr="000A0A5F">
        <w:t>:</w:t>
      </w:r>
    </w:p>
    <w:p w:rsidR="00CB0DD7" w:rsidRPr="000A0A5F" w:rsidRDefault="00CB0DD7">
      <w:pPr>
        <w:pStyle w:val="PL"/>
      </w:pPr>
      <w:r w:rsidRPr="000A0A5F">
        <w:t xml:space="preserve">        - NO_PRIORITY: This value indicates that the device trigger has no priority.</w:t>
      </w:r>
    </w:p>
    <w:p w:rsidR="00CB0DD7" w:rsidRPr="000A0A5F" w:rsidRDefault="00CB0DD7">
      <w:pPr>
        <w:pStyle w:val="PL"/>
      </w:pPr>
      <w:r w:rsidRPr="000A0A5F">
        <w:t xml:space="preserve">        - PRIORITY: This value indicates that the device trigger has priority.</w:t>
      </w:r>
    </w:p>
    <w:p w:rsidR="00CB0DD7" w:rsidRPr="000A0A5F" w:rsidRDefault="00CB0DD7" w:rsidP="00964FC1">
      <w:pPr>
        <w:pStyle w:val="Heading1"/>
      </w:pPr>
      <w:bookmarkStart w:id="10341" w:name="_Toc11247935"/>
      <w:bookmarkStart w:id="10342" w:name="_Toc27045117"/>
      <w:bookmarkStart w:id="10343" w:name="_Toc36034168"/>
      <w:bookmarkStart w:id="10344" w:name="_Toc45132316"/>
      <w:bookmarkStart w:id="10345" w:name="_Toc49776601"/>
      <w:bookmarkStart w:id="10346" w:name="_Toc51747521"/>
      <w:bookmarkStart w:id="10347" w:name="_Toc66361103"/>
      <w:bookmarkStart w:id="10348" w:name="_Toc68105608"/>
      <w:bookmarkStart w:id="10349" w:name="_Toc74756240"/>
      <w:bookmarkStart w:id="10350" w:name="_Toc105675117"/>
      <w:bookmarkStart w:id="10351" w:name="_Toc130503195"/>
      <w:bookmarkStart w:id="10352" w:name="_Toc153625987"/>
      <w:r w:rsidRPr="000A0A5F">
        <w:t>A.8</w:t>
      </w:r>
      <w:r w:rsidRPr="000A0A5F">
        <w:tab/>
        <w:t>GMDViaMBMS APIs</w:t>
      </w:r>
      <w:bookmarkEnd w:id="10341"/>
      <w:bookmarkEnd w:id="10342"/>
      <w:bookmarkEnd w:id="10343"/>
      <w:bookmarkEnd w:id="10344"/>
      <w:bookmarkEnd w:id="10345"/>
      <w:bookmarkEnd w:id="10346"/>
      <w:bookmarkEnd w:id="10347"/>
      <w:bookmarkEnd w:id="10348"/>
      <w:bookmarkEnd w:id="10349"/>
      <w:bookmarkEnd w:id="10350"/>
      <w:bookmarkEnd w:id="10351"/>
      <w:bookmarkEnd w:id="10352"/>
    </w:p>
    <w:p w:rsidR="00CB0DD7" w:rsidRPr="000A0A5F" w:rsidRDefault="00CB0DD7" w:rsidP="00964FC1">
      <w:pPr>
        <w:pStyle w:val="Heading2"/>
      </w:pPr>
      <w:bookmarkStart w:id="10353" w:name="_Toc11247936"/>
      <w:bookmarkStart w:id="10354" w:name="_Toc27045118"/>
      <w:bookmarkStart w:id="10355" w:name="_Toc36034169"/>
      <w:bookmarkStart w:id="10356" w:name="_Toc45132317"/>
      <w:bookmarkStart w:id="10357" w:name="_Toc49776602"/>
      <w:bookmarkStart w:id="10358" w:name="_Toc51747522"/>
      <w:bookmarkStart w:id="10359" w:name="_Toc66361104"/>
      <w:bookmarkStart w:id="10360" w:name="_Toc68105609"/>
      <w:bookmarkStart w:id="10361" w:name="_Toc74756241"/>
      <w:bookmarkStart w:id="10362" w:name="_Toc105675118"/>
      <w:bookmarkStart w:id="10363" w:name="_Toc130503196"/>
      <w:bookmarkStart w:id="10364" w:name="_Toc153625988"/>
      <w:r w:rsidRPr="000A0A5F">
        <w:t>A.8.1</w:t>
      </w:r>
      <w:r w:rsidRPr="000A0A5F">
        <w:tab/>
        <w:t>GMDviaMBMSbyMB2 API</w:t>
      </w:r>
      <w:bookmarkEnd w:id="10353"/>
      <w:bookmarkEnd w:id="10354"/>
      <w:bookmarkEnd w:id="10355"/>
      <w:bookmarkEnd w:id="10356"/>
      <w:bookmarkEnd w:id="10357"/>
      <w:bookmarkEnd w:id="10358"/>
      <w:bookmarkEnd w:id="10359"/>
      <w:bookmarkEnd w:id="10360"/>
      <w:bookmarkEnd w:id="10361"/>
      <w:bookmarkEnd w:id="10362"/>
      <w:bookmarkEnd w:id="10363"/>
      <w:bookmarkEnd w:id="10364"/>
    </w:p>
    <w:p w:rsidR="00CB0DD7" w:rsidRPr="000A0A5F" w:rsidRDefault="00CB0DD7">
      <w:pPr>
        <w:pStyle w:val="PL"/>
      </w:pPr>
      <w:r w:rsidRPr="000A0A5F">
        <w:t>openapi: 3.0.0</w:t>
      </w:r>
    </w:p>
    <w:p w:rsidR="00CB0DD7" w:rsidRPr="000A0A5F" w:rsidRDefault="00CB0DD7">
      <w:pPr>
        <w:pStyle w:val="PL"/>
      </w:pPr>
      <w:r w:rsidRPr="000A0A5F">
        <w:t>info:</w:t>
      </w:r>
    </w:p>
    <w:p w:rsidR="00CB0DD7" w:rsidRPr="000A0A5F" w:rsidRDefault="00CB0DD7">
      <w:pPr>
        <w:pStyle w:val="PL"/>
      </w:pPr>
      <w:r w:rsidRPr="000A0A5F">
        <w:t xml:space="preserve">  title: GMDviaMBMSbyMB2</w:t>
      </w:r>
    </w:p>
    <w:p w:rsidR="00CB0DD7" w:rsidRPr="000A0A5F" w:rsidRDefault="00CB0DD7">
      <w:pPr>
        <w:pStyle w:val="PL"/>
      </w:pPr>
      <w:r w:rsidRPr="000A0A5F">
        <w:t xml:space="preserve">  description: | </w:t>
      </w:r>
    </w:p>
    <w:p w:rsidR="00CB0DD7" w:rsidRPr="000A0A5F" w:rsidRDefault="00CB0DD7">
      <w:pPr>
        <w:pStyle w:val="PL"/>
      </w:pPr>
      <w:r w:rsidRPr="000A0A5F">
        <w:t xml:space="preserve">    API for Group Message Delivery via MBMS by MB2</w:t>
      </w:r>
      <w:r w:rsidR="005B6DFB" w:rsidRPr="000A0A5F">
        <w:t xml:space="preserve">  </w:t>
      </w:r>
    </w:p>
    <w:p w:rsidR="00CB0DD7" w:rsidRPr="000A0A5F" w:rsidRDefault="00CB0DD7">
      <w:pPr>
        <w:pStyle w:val="PL"/>
      </w:pPr>
      <w:r w:rsidRPr="000A0A5F">
        <w:t xml:space="preserve">    © </w:t>
      </w:r>
      <w:r w:rsidR="000140FC" w:rsidRPr="000A0A5F">
        <w:t>202</w:t>
      </w:r>
      <w:r w:rsidR="000140FC">
        <w:t>3</w:t>
      </w:r>
      <w:r w:rsidRPr="000A0A5F">
        <w:t>, 3GPP Organizational Partners (ARIB, ATIS, CCSA, ETSI, TSDSI, TTA, TTC).</w:t>
      </w:r>
      <w:r w:rsidR="005B6DFB" w:rsidRPr="000A0A5F">
        <w:t xml:space="preserve">  </w:t>
      </w:r>
    </w:p>
    <w:p w:rsidR="00CB0DD7" w:rsidRPr="000A0A5F" w:rsidRDefault="00CB0DD7">
      <w:pPr>
        <w:pStyle w:val="PL"/>
      </w:pPr>
      <w:r w:rsidRPr="000A0A5F">
        <w:t xml:space="preserve">    All rights reserved.</w:t>
      </w:r>
    </w:p>
    <w:p w:rsidR="00CB0DD7" w:rsidRPr="000A0A5F" w:rsidRDefault="00CB0DD7">
      <w:pPr>
        <w:pStyle w:val="PL"/>
      </w:pPr>
      <w:r w:rsidRPr="000A0A5F">
        <w:t xml:space="preserve">  version: 1.</w:t>
      </w:r>
      <w:r w:rsidR="000140FC">
        <w:t>3</w:t>
      </w:r>
      <w:r w:rsidRPr="000A0A5F">
        <w:t>.0</w:t>
      </w:r>
      <w:r w:rsidR="000140FC">
        <w:t>-alpha.1</w:t>
      </w:r>
    </w:p>
    <w:p w:rsidR="00CB0DD7" w:rsidRPr="000A0A5F" w:rsidRDefault="00CB0DD7">
      <w:pPr>
        <w:pStyle w:val="PL"/>
      </w:pPr>
      <w:r w:rsidRPr="000A0A5F">
        <w:t>externalDocs:</w:t>
      </w:r>
    </w:p>
    <w:p w:rsidR="00CB0DD7" w:rsidRPr="000A0A5F" w:rsidRDefault="00CB0DD7">
      <w:pPr>
        <w:pStyle w:val="PL"/>
      </w:pPr>
      <w:r w:rsidRPr="000A0A5F">
        <w:t xml:space="preserve">  description: 3GPP TS 29.122 V1</w:t>
      </w:r>
      <w:r w:rsidR="000140FC">
        <w:t>8</w:t>
      </w:r>
      <w:r w:rsidRPr="000A0A5F">
        <w:t>.</w:t>
      </w:r>
      <w:r w:rsidR="000140FC">
        <w:t>4</w:t>
      </w:r>
      <w:r w:rsidRPr="000A0A5F">
        <w:t>.0 T8 reference point for Northbound APIs</w:t>
      </w:r>
    </w:p>
    <w:p w:rsidR="00CB0DD7" w:rsidRPr="000A0A5F" w:rsidRDefault="00CB0DD7">
      <w:pPr>
        <w:pStyle w:val="PL"/>
      </w:pPr>
      <w:r w:rsidRPr="000A0A5F">
        <w:t xml:space="preserve">  url: 'http</w:t>
      </w:r>
      <w:r w:rsidR="005B6DFB" w:rsidRPr="000A0A5F">
        <w:t>s</w:t>
      </w:r>
      <w:r w:rsidRPr="000A0A5F">
        <w:t>://www.3gpp.org/ftp/Specs/archive/29_series/29.122/'</w:t>
      </w:r>
    </w:p>
    <w:p w:rsidR="00CB0DD7" w:rsidRPr="000A0A5F" w:rsidRDefault="00CB0DD7">
      <w:pPr>
        <w:pStyle w:val="PL"/>
      </w:pPr>
      <w:r w:rsidRPr="000A0A5F">
        <w:t>security:</w:t>
      </w:r>
    </w:p>
    <w:p w:rsidR="00CB0DD7" w:rsidRPr="000A0A5F" w:rsidRDefault="00CB0DD7">
      <w:pPr>
        <w:pStyle w:val="PL"/>
        <w:rPr>
          <w:lang w:val="en-US"/>
        </w:rPr>
      </w:pPr>
      <w:r w:rsidRPr="000A0A5F">
        <w:rPr>
          <w:lang w:val="en-US"/>
        </w:rPr>
        <w:t xml:space="preserve">  - {}</w:t>
      </w:r>
    </w:p>
    <w:p w:rsidR="00CB0DD7" w:rsidRPr="000A0A5F" w:rsidRDefault="00CB0DD7">
      <w:pPr>
        <w:pStyle w:val="PL"/>
      </w:pPr>
      <w:r w:rsidRPr="000A0A5F">
        <w:t xml:space="preserve">  - oAuth2ClientCredentials: []</w:t>
      </w:r>
    </w:p>
    <w:p w:rsidR="00CB0DD7" w:rsidRPr="000A0A5F" w:rsidRDefault="00CB0DD7">
      <w:pPr>
        <w:pStyle w:val="PL"/>
      </w:pPr>
      <w:r w:rsidRPr="000A0A5F">
        <w:t>servers:</w:t>
      </w:r>
    </w:p>
    <w:p w:rsidR="00CB0DD7" w:rsidRPr="000A0A5F" w:rsidRDefault="00CB0DD7">
      <w:pPr>
        <w:pStyle w:val="PL"/>
      </w:pPr>
      <w:r w:rsidRPr="000A0A5F">
        <w:t xml:space="preserve">  - url: '{apiRoot}/3gpp-group-message-delivery-mb2/v1'</w:t>
      </w:r>
    </w:p>
    <w:p w:rsidR="00CB0DD7" w:rsidRPr="000A0A5F" w:rsidRDefault="00CB0DD7">
      <w:pPr>
        <w:pStyle w:val="PL"/>
      </w:pPr>
      <w:r w:rsidRPr="000A0A5F">
        <w:t xml:space="preserve">    variables:</w:t>
      </w:r>
    </w:p>
    <w:p w:rsidR="00CB0DD7" w:rsidRPr="000A0A5F" w:rsidRDefault="00CB0DD7">
      <w:pPr>
        <w:pStyle w:val="PL"/>
      </w:pPr>
      <w:r w:rsidRPr="000A0A5F">
        <w:t xml:space="preserve">      apiRoot:</w:t>
      </w:r>
    </w:p>
    <w:p w:rsidR="00CB0DD7" w:rsidRPr="000A0A5F" w:rsidRDefault="00CB0DD7">
      <w:pPr>
        <w:pStyle w:val="PL"/>
      </w:pPr>
      <w:r w:rsidRPr="000A0A5F">
        <w:t xml:space="preserve">        default: https://example.com</w:t>
      </w:r>
    </w:p>
    <w:p w:rsidR="00CB0DD7" w:rsidRPr="000A0A5F" w:rsidRDefault="00CB0DD7">
      <w:pPr>
        <w:pStyle w:val="PL"/>
      </w:pPr>
      <w:r w:rsidRPr="000A0A5F">
        <w:t xml:space="preserve">        description: apiRoot as defined in clause 5.2.4 of 3GPP TS 29.122.</w:t>
      </w:r>
    </w:p>
    <w:p w:rsidR="00CB0DD7" w:rsidRPr="000A0A5F" w:rsidRDefault="00CB0DD7">
      <w:pPr>
        <w:pStyle w:val="PL"/>
      </w:pPr>
      <w:r w:rsidRPr="000A0A5F">
        <w:t>paths:</w:t>
      </w:r>
    </w:p>
    <w:p w:rsidR="00CB0DD7" w:rsidRPr="000A0A5F" w:rsidRDefault="00CB0DD7">
      <w:pPr>
        <w:pStyle w:val="PL"/>
        <w:rPr>
          <w:rFonts w:ascii="SimSun" w:hAnsi="SimSun" w:cs="SimSun" w:hint="eastAsia"/>
          <w:sz w:val="21"/>
          <w:szCs w:val="21"/>
          <w:lang w:eastAsia="zh-CN"/>
        </w:rPr>
      </w:pPr>
      <w:r w:rsidRPr="000A0A5F">
        <w:rPr>
          <w:rFonts w:hint="eastAsia"/>
        </w:rPr>
        <w:t xml:space="preserve">  </w:t>
      </w:r>
      <w:r w:rsidRPr="000A0A5F">
        <w:t>/{scsAsId}/tmgi-allocation</w:t>
      </w:r>
      <w:r w:rsidRPr="000A0A5F">
        <w:rPr>
          <w:rFonts w:hint="eastAsia"/>
        </w:rPr>
        <w:t>:</w:t>
      </w:r>
    </w:p>
    <w:p w:rsidR="00CB0DD7" w:rsidRPr="000A0A5F" w:rsidRDefault="00CB0DD7">
      <w:pPr>
        <w:pStyle w:val="PL"/>
        <w:rPr>
          <w:rFonts w:hint="eastAsia"/>
        </w:rPr>
      </w:pPr>
      <w:r w:rsidRPr="000A0A5F">
        <w:rPr>
          <w:rFonts w:hint="eastAsia"/>
        </w:rPr>
        <w:t xml:space="preserve">    </w:t>
      </w:r>
      <w:r w:rsidRPr="000A0A5F">
        <w:t>get</w:t>
      </w:r>
      <w:r w:rsidRPr="000A0A5F">
        <w:rPr>
          <w:rFonts w:hint="eastAsia"/>
        </w:rPr>
        <w:t>:</w:t>
      </w:r>
    </w:p>
    <w:p w:rsidR="00CB0DD7" w:rsidRPr="000A0A5F" w:rsidRDefault="00CB0DD7">
      <w:pPr>
        <w:pStyle w:val="PL"/>
        <w:rPr>
          <w:rFonts w:hint="eastAsia"/>
        </w:rPr>
      </w:pPr>
      <w:r w:rsidRPr="000A0A5F">
        <w:rPr>
          <w:rFonts w:hint="eastAsia"/>
        </w:rPr>
        <w:t xml:space="preserve">      summary: </w:t>
      </w:r>
      <w:r w:rsidRPr="000A0A5F">
        <w:rPr>
          <w:lang w:eastAsia="zh-CN"/>
        </w:rPr>
        <w:t>read all TMGI Allocation resource for a given SCS/AS</w:t>
      </w:r>
    </w:p>
    <w:p w:rsidR="001211B9" w:rsidRPr="000A0A5F" w:rsidRDefault="001211B9" w:rsidP="001211B9">
      <w:pPr>
        <w:pStyle w:val="PL"/>
      </w:pPr>
      <w:r w:rsidRPr="000A0A5F">
        <w:t xml:space="preserve">      </w:t>
      </w:r>
      <w:r w:rsidRPr="000A0A5F">
        <w:rPr>
          <w:rFonts w:cs="Courier New"/>
          <w:szCs w:val="16"/>
        </w:rPr>
        <w:t>operationId: FetchAll</w:t>
      </w:r>
      <w:r w:rsidRPr="000A0A5F">
        <w:rPr>
          <w:rFonts w:hint="eastAsia"/>
          <w:lang w:eastAsia="zh-CN"/>
        </w:rPr>
        <w:t>T</w:t>
      </w:r>
      <w:r w:rsidRPr="000A0A5F">
        <w:rPr>
          <w:lang w:eastAsia="zh-CN"/>
        </w:rPr>
        <w:t>MGIAllocations</w:t>
      </w:r>
    </w:p>
    <w:p w:rsidR="00CB0DD7" w:rsidRPr="000A0A5F" w:rsidRDefault="00CB0DD7">
      <w:pPr>
        <w:pStyle w:val="PL"/>
        <w:rPr>
          <w:rFonts w:hint="eastAsia"/>
        </w:rPr>
      </w:pPr>
      <w:r w:rsidRPr="000A0A5F">
        <w:rPr>
          <w:rFonts w:hint="eastAsia"/>
        </w:rPr>
        <w:t xml:space="preserve">      tags:</w:t>
      </w:r>
    </w:p>
    <w:p w:rsidR="00CB0DD7" w:rsidRPr="000A0A5F" w:rsidRDefault="00CB0DD7">
      <w:pPr>
        <w:pStyle w:val="PL"/>
        <w:rPr>
          <w:rFonts w:hint="eastAsia"/>
        </w:rPr>
      </w:pPr>
      <w:r w:rsidRPr="000A0A5F">
        <w:rPr>
          <w:rFonts w:hint="eastAsia"/>
        </w:rPr>
        <w:t xml:space="preserve">        - </w:t>
      </w:r>
      <w:r w:rsidRPr="000A0A5F">
        <w:t>TMGI Allocati</w:t>
      </w:r>
      <w:r w:rsidR="001211B9" w:rsidRPr="000A0A5F">
        <w:t>o</w:t>
      </w:r>
      <w:r w:rsidRPr="000A0A5F">
        <w:t>n Operation</w:t>
      </w:r>
    </w:p>
    <w:p w:rsidR="00CB0DD7" w:rsidRPr="000A0A5F" w:rsidRDefault="00CB0DD7">
      <w:pPr>
        <w:pStyle w:val="PL"/>
        <w:rPr>
          <w:rFonts w:hint="eastAsia"/>
        </w:rPr>
      </w:pPr>
      <w:r w:rsidRPr="000A0A5F">
        <w:rPr>
          <w:rFonts w:hint="eastAsia"/>
        </w:rPr>
        <w:t xml:space="preserve">      parameters:</w:t>
      </w:r>
    </w:p>
    <w:p w:rsidR="00CB0DD7" w:rsidRPr="000A0A5F" w:rsidRDefault="00CB0DD7">
      <w:pPr>
        <w:pStyle w:val="PL"/>
        <w:rPr>
          <w:rFonts w:hint="eastAsia"/>
        </w:rPr>
      </w:pPr>
      <w:r w:rsidRPr="000A0A5F">
        <w:rPr>
          <w:rFonts w:hint="eastAsia"/>
        </w:rPr>
        <w:t xml:space="preserve">        - name: </w:t>
      </w:r>
      <w:r w:rsidRPr="000A0A5F">
        <w:t>scsAsId</w:t>
      </w:r>
    </w:p>
    <w:p w:rsidR="00CB0DD7" w:rsidRPr="000A0A5F" w:rsidRDefault="00CB0DD7">
      <w:pPr>
        <w:pStyle w:val="PL"/>
        <w:rPr>
          <w:rFonts w:hint="eastAsia"/>
        </w:rPr>
      </w:pPr>
      <w:r w:rsidRPr="000A0A5F">
        <w:rPr>
          <w:rFonts w:hint="eastAsia"/>
        </w:rPr>
        <w:t xml:space="preserve">          in: path</w:t>
      </w:r>
    </w:p>
    <w:p w:rsidR="00CB0DD7" w:rsidRPr="000A0A5F" w:rsidRDefault="00CB0DD7">
      <w:pPr>
        <w:pStyle w:val="PL"/>
        <w:rPr>
          <w:rFonts w:hint="eastAsia"/>
        </w:rPr>
      </w:pPr>
      <w:r w:rsidRPr="000A0A5F">
        <w:rPr>
          <w:rFonts w:hint="eastAsia"/>
        </w:rPr>
        <w:t xml:space="preserve">          description: Identifier of </w:t>
      </w:r>
      <w:r w:rsidRPr="000A0A5F">
        <w:t>SCS/AS</w:t>
      </w:r>
    </w:p>
    <w:p w:rsidR="00CB0DD7" w:rsidRPr="000A0A5F" w:rsidRDefault="00CB0DD7">
      <w:pPr>
        <w:pStyle w:val="PL"/>
        <w:rPr>
          <w:rFonts w:hint="eastAsia"/>
        </w:rPr>
      </w:pPr>
      <w:r w:rsidRPr="000A0A5F">
        <w:rPr>
          <w:rFonts w:hint="eastAsia"/>
        </w:rPr>
        <w:t xml:space="preserve">          required: true</w:t>
      </w:r>
    </w:p>
    <w:p w:rsidR="00CB0DD7" w:rsidRPr="000A0A5F" w:rsidRDefault="00CB0DD7">
      <w:pPr>
        <w:pStyle w:val="PL"/>
        <w:rPr>
          <w:rFonts w:hint="eastAsia"/>
        </w:rPr>
      </w:pPr>
      <w:r w:rsidRPr="000A0A5F">
        <w:rPr>
          <w:rFonts w:hint="eastAsia"/>
        </w:rPr>
        <w:t xml:space="preserve">          schema:</w:t>
      </w:r>
    </w:p>
    <w:p w:rsidR="00CB0DD7" w:rsidRPr="000A0A5F" w:rsidRDefault="00CB0DD7">
      <w:pPr>
        <w:pStyle w:val="PL"/>
        <w:rPr>
          <w:rFonts w:hint="eastAsia"/>
        </w:rPr>
      </w:pPr>
      <w:r w:rsidRPr="000A0A5F">
        <w:rPr>
          <w:rFonts w:hint="eastAsia"/>
        </w:rPr>
        <w:t xml:space="preserve">            type: string</w:t>
      </w:r>
    </w:p>
    <w:p w:rsidR="00CB0DD7" w:rsidRPr="000A0A5F" w:rsidRDefault="00CB0DD7">
      <w:pPr>
        <w:pStyle w:val="PL"/>
        <w:rPr>
          <w:rFonts w:hint="eastAsia"/>
        </w:rPr>
      </w:pPr>
      <w:r w:rsidRPr="000A0A5F">
        <w:rPr>
          <w:rFonts w:hint="eastAsia"/>
        </w:rPr>
        <w:t xml:space="preserve">      responses:</w:t>
      </w:r>
    </w:p>
    <w:p w:rsidR="00CB0DD7" w:rsidRPr="000A0A5F" w:rsidRDefault="00CB0DD7">
      <w:pPr>
        <w:pStyle w:val="PL"/>
        <w:rPr>
          <w:rFonts w:hint="eastAsia"/>
        </w:rPr>
      </w:pPr>
      <w:r w:rsidRPr="000A0A5F">
        <w:rPr>
          <w:rFonts w:hint="eastAsia"/>
        </w:rPr>
        <w:t xml:space="preserve">        '200':</w:t>
      </w:r>
    </w:p>
    <w:p w:rsidR="00CB0DD7" w:rsidRPr="000A0A5F" w:rsidRDefault="00CB0DD7">
      <w:pPr>
        <w:pStyle w:val="PL"/>
        <w:rPr>
          <w:rFonts w:hint="eastAsia"/>
        </w:rPr>
      </w:pPr>
      <w:r w:rsidRPr="000A0A5F">
        <w:rPr>
          <w:rFonts w:hint="eastAsia"/>
        </w:rPr>
        <w:t xml:space="preserve">          description: OK (</w:t>
      </w:r>
      <w:r w:rsidRPr="000A0A5F">
        <w:t>successful query of TMGI Allocation resource</w:t>
      </w:r>
      <w:r w:rsidRPr="000A0A5F">
        <w:rPr>
          <w:rFonts w:hint="eastAsia"/>
        </w:rPr>
        <w:t>)</w:t>
      </w:r>
    </w:p>
    <w:p w:rsidR="00CB0DD7" w:rsidRPr="000A0A5F" w:rsidRDefault="00CB0DD7">
      <w:pPr>
        <w:pStyle w:val="PL"/>
        <w:rPr>
          <w:rFonts w:hint="eastAsia"/>
        </w:rPr>
      </w:pPr>
      <w:r w:rsidRPr="000A0A5F">
        <w:rPr>
          <w:rFonts w:hint="eastAsia"/>
        </w:rPr>
        <w:t xml:space="preserve">          content:</w:t>
      </w:r>
    </w:p>
    <w:p w:rsidR="00CB0DD7" w:rsidRPr="000A0A5F" w:rsidRDefault="00CB0DD7">
      <w:pPr>
        <w:pStyle w:val="PL"/>
        <w:rPr>
          <w:rFonts w:hint="eastAsia"/>
        </w:rPr>
      </w:pPr>
      <w:r w:rsidRPr="000A0A5F">
        <w:rPr>
          <w:rFonts w:hint="eastAsia"/>
        </w:rPr>
        <w:t xml:space="preserve">            application/json:</w:t>
      </w:r>
    </w:p>
    <w:p w:rsidR="00CB0DD7" w:rsidRPr="000A0A5F" w:rsidRDefault="00CB0DD7">
      <w:pPr>
        <w:pStyle w:val="PL"/>
        <w:rPr>
          <w:rFonts w:hint="eastAsia"/>
        </w:rPr>
      </w:pPr>
      <w:r w:rsidRPr="000A0A5F">
        <w:rPr>
          <w:rFonts w:hint="eastAsia"/>
        </w:rPr>
        <w:t xml:space="preserve">              schema:</w:t>
      </w:r>
    </w:p>
    <w:p w:rsidR="00CB0DD7" w:rsidRPr="000A0A5F" w:rsidRDefault="00CB0DD7">
      <w:pPr>
        <w:pStyle w:val="PL"/>
        <w:rPr>
          <w:rFonts w:hint="eastAsia"/>
        </w:rPr>
      </w:pPr>
      <w:r w:rsidRPr="000A0A5F">
        <w:rPr>
          <w:rFonts w:hint="eastAsia"/>
        </w:rPr>
        <w:t xml:space="preserve">                $ref: '#/components/schemas/</w:t>
      </w:r>
      <w:r w:rsidRPr="000A0A5F">
        <w:t>TMGIAllocation</w:t>
      </w:r>
      <w:r w:rsidRPr="000A0A5F">
        <w:rPr>
          <w:rFonts w:hint="eastAsia"/>
        </w:rPr>
        <w:t>'</w:t>
      </w:r>
    </w:p>
    <w:p w:rsidR="00CB0DD7" w:rsidRPr="000A0A5F" w:rsidRDefault="00CB0DD7">
      <w:pPr>
        <w:pStyle w:val="PL"/>
      </w:pPr>
      <w:r w:rsidRPr="000A0A5F">
        <w:t xml:space="preserve">        '307':</w:t>
      </w:r>
    </w:p>
    <w:p w:rsidR="00CB0DD7" w:rsidRPr="000A0A5F" w:rsidRDefault="00CB0DD7">
      <w:pPr>
        <w:pStyle w:val="PL"/>
      </w:pPr>
      <w:r w:rsidRPr="000A0A5F">
        <w:t xml:space="preserve">          $ref: 'TS29122_CommonData.yaml#/components/responses/307'</w:t>
      </w:r>
    </w:p>
    <w:p w:rsidR="00CB0DD7" w:rsidRPr="000A0A5F" w:rsidRDefault="00CB0DD7">
      <w:pPr>
        <w:pStyle w:val="PL"/>
      </w:pPr>
      <w:r w:rsidRPr="000A0A5F">
        <w:t xml:space="preserve">        '308':</w:t>
      </w:r>
    </w:p>
    <w:p w:rsidR="00CB0DD7" w:rsidRPr="000A0A5F" w:rsidRDefault="00CB0DD7">
      <w:pPr>
        <w:pStyle w:val="PL"/>
      </w:pPr>
      <w:r w:rsidRPr="000A0A5F">
        <w:t xml:space="preserve">          $ref: 'TS29122_CommonData.yaml#/components/responses/308'</w:t>
      </w:r>
    </w:p>
    <w:p w:rsidR="00CB0DD7" w:rsidRPr="000A0A5F" w:rsidRDefault="00CB0DD7">
      <w:pPr>
        <w:pStyle w:val="PL"/>
      </w:pPr>
      <w:r w:rsidRPr="000A0A5F">
        <w:t xml:space="preserve">        '400':</w:t>
      </w:r>
    </w:p>
    <w:p w:rsidR="00CB0DD7" w:rsidRPr="000A0A5F" w:rsidRDefault="00CB0DD7">
      <w:pPr>
        <w:pStyle w:val="PL"/>
      </w:pPr>
      <w:r w:rsidRPr="000A0A5F">
        <w:t xml:space="preserve">          $ref: 'TS29122_CommonData.yaml#/components/responses/400'</w:t>
      </w:r>
    </w:p>
    <w:p w:rsidR="00CB0DD7" w:rsidRPr="000A0A5F" w:rsidRDefault="00CB0DD7">
      <w:pPr>
        <w:pStyle w:val="PL"/>
      </w:pPr>
      <w:r w:rsidRPr="000A0A5F">
        <w:t xml:space="preserve">        '401':</w:t>
      </w:r>
    </w:p>
    <w:p w:rsidR="00CB0DD7" w:rsidRPr="000A0A5F" w:rsidRDefault="00CB0DD7">
      <w:pPr>
        <w:pStyle w:val="PL"/>
      </w:pPr>
      <w:r w:rsidRPr="000A0A5F">
        <w:t xml:space="preserve">          $ref: 'TS29122_CommonData.yaml#/components/responses/401'</w:t>
      </w:r>
    </w:p>
    <w:p w:rsidR="00CB0DD7" w:rsidRPr="000A0A5F" w:rsidRDefault="00CB0DD7">
      <w:pPr>
        <w:pStyle w:val="PL"/>
      </w:pPr>
      <w:r w:rsidRPr="000A0A5F">
        <w:t xml:space="preserve">        '403':</w:t>
      </w:r>
    </w:p>
    <w:p w:rsidR="00CB0DD7" w:rsidRPr="000A0A5F" w:rsidRDefault="00CB0DD7">
      <w:pPr>
        <w:pStyle w:val="PL"/>
      </w:pPr>
      <w:r w:rsidRPr="000A0A5F">
        <w:t xml:space="preserve">          $ref: 'TS29122_CommonData.yaml#/components/responses/403'</w:t>
      </w:r>
    </w:p>
    <w:p w:rsidR="00CB0DD7" w:rsidRPr="000A0A5F" w:rsidRDefault="00CB0DD7">
      <w:pPr>
        <w:pStyle w:val="PL"/>
      </w:pPr>
      <w:r w:rsidRPr="000A0A5F">
        <w:t xml:space="preserve">        '404':</w:t>
      </w:r>
    </w:p>
    <w:p w:rsidR="00CB0DD7" w:rsidRPr="000A0A5F" w:rsidRDefault="00CB0DD7">
      <w:pPr>
        <w:pStyle w:val="PL"/>
      </w:pPr>
      <w:r w:rsidRPr="000A0A5F">
        <w:t xml:space="preserve">          $ref: 'TS29122_CommonData.yaml#/components/responses/404'</w:t>
      </w:r>
    </w:p>
    <w:p w:rsidR="00CB0DD7" w:rsidRPr="000A0A5F" w:rsidRDefault="00CB0DD7">
      <w:pPr>
        <w:pStyle w:val="PL"/>
      </w:pPr>
      <w:r w:rsidRPr="000A0A5F">
        <w:t xml:space="preserve">        '406':</w:t>
      </w:r>
    </w:p>
    <w:p w:rsidR="00CB0DD7" w:rsidRPr="000A0A5F" w:rsidRDefault="00CB0DD7">
      <w:pPr>
        <w:pStyle w:val="PL"/>
      </w:pPr>
      <w:r w:rsidRPr="000A0A5F">
        <w:t xml:space="preserve">          $ref: 'TS29122_CommonData.yaml#/components/responses/406'</w:t>
      </w:r>
    </w:p>
    <w:p w:rsidR="00CB0DD7" w:rsidRPr="000A0A5F" w:rsidRDefault="00CB0DD7">
      <w:pPr>
        <w:pStyle w:val="PL"/>
      </w:pPr>
      <w:r w:rsidRPr="000A0A5F">
        <w:t xml:space="preserve">        '429':</w:t>
      </w:r>
    </w:p>
    <w:p w:rsidR="00CB0DD7" w:rsidRPr="000A0A5F" w:rsidRDefault="00CB0DD7">
      <w:pPr>
        <w:pStyle w:val="PL"/>
      </w:pPr>
      <w:r w:rsidRPr="000A0A5F">
        <w:t xml:space="preserve">          $ref: 'TS29122_CommonData.yaml#/components/responses/429'</w:t>
      </w:r>
    </w:p>
    <w:p w:rsidR="00CB0DD7" w:rsidRPr="000A0A5F" w:rsidRDefault="00CB0DD7">
      <w:pPr>
        <w:pStyle w:val="PL"/>
      </w:pPr>
      <w:r w:rsidRPr="000A0A5F">
        <w:t xml:space="preserve">        '500':</w:t>
      </w:r>
    </w:p>
    <w:p w:rsidR="00CB0DD7" w:rsidRPr="000A0A5F" w:rsidRDefault="00CB0DD7">
      <w:pPr>
        <w:pStyle w:val="PL"/>
      </w:pPr>
      <w:r w:rsidRPr="000A0A5F">
        <w:t xml:space="preserve">          $ref: 'TS29122_CommonData.yaml#/components/responses/500'</w:t>
      </w:r>
    </w:p>
    <w:p w:rsidR="00CB0DD7" w:rsidRPr="000A0A5F" w:rsidRDefault="00CB0DD7">
      <w:pPr>
        <w:pStyle w:val="PL"/>
      </w:pPr>
      <w:r w:rsidRPr="000A0A5F">
        <w:t xml:space="preserve">        '503':</w:t>
      </w:r>
    </w:p>
    <w:p w:rsidR="00CB0DD7" w:rsidRPr="000A0A5F" w:rsidRDefault="00CB0DD7">
      <w:pPr>
        <w:pStyle w:val="PL"/>
      </w:pPr>
      <w:r w:rsidRPr="000A0A5F">
        <w:t xml:space="preserve">          $ref: 'TS29122_CommonData.yaml#/components/responses/503'</w:t>
      </w:r>
    </w:p>
    <w:p w:rsidR="00CB0DD7" w:rsidRPr="000A0A5F" w:rsidRDefault="00CB0DD7">
      <w:pPr>
        <w:pStyle w:val="PL"/>
      </w:pPr>
      <w:r w:rsidRPr="000A0A5F">
        <w:t xml:space="preserve">        default:</w:t>
      </w:r>
    </w:p>
    <w:p w:rsidR="00CB0DD7" w:rsidRPr="000A0A5F" w:rsidRDefault="00CB0DD7">
      <w:pPr>
        <w:pStyle w:val="PL"/>
        <w:rPr>
          <w:rFonts w:hint="eastAsia"/>
        </w:rPr>
      </w:pPr>
      <w:r w:rsidRPr="000A0A5F">
        <w:t xml:space="preserve">          $ref: 'TS29122_CommonData.yaml#/components/responses/default'</w:t>
      </w:r>
    </w:p>
    <w:p w:rsidR="00CB0DD7" w:rsidRPr="000A0A5F" w:rsidRDefault="00CB0DD7">
      <w:pPr>
        <w:pStyle w:val="PL"/>
        <w:rPr>
          <w:rFonts w:hint="eastAsia"/>
        </w:rPr>
      </w:pPr>
    </w:p>
    <w:p w:rsidR="00CB0DD7" w:rsidRPr="000A0A5F" w:rsidRDefault="00CB0DD7">
      <w:pPr>
        <w:pStyle w:val="PL"/>
        <w:tabs>
          <w:tab w:val="clear" w:pos="384"/>
        </w:tabs>
        <w:rPr>
          <w:lang w:val="en-US"/>
        </w:rPr>
      </w:pPr>
      <w:r w:rsidRPr="000A0A5F">
        <w:rPr>
          <w:rFonts w:hint="eastAsia"/>
        </w:rPr>
        <w:t xml:space="preserve">    </w:t>
      </w:r>
      <w:r w:rsidRPr="000A0A5F">
        <w:rPr>
          <w:lang w:val="en-US"/>
        </w:rPr>
        <w:t>post:</w:t>
      </w:r>
    </w:p>
    <w:p w:rsidR="00CB0DD7" w:rsidRPr="000A0A5F" w:rsidRDefault="00CB0DD7">
      <w:pPr>
        <w:pStyle w:val="PL"/>
      </w:pPr>
      <w:r w:rsidRPr="000A0A5F">
        <w:rPr>
          <w:lang w:val="en-US"/>
        </w:rPr>
        <w:t xml:space="preserve">      summary:  </w:t>
      </w:r>
      <w:r w:rsidR="00305F4B" w:rsidRPr="000A0A5F">
        <w:rPr>
          <w:lang w:eastAsia="zh-CN"/>
        </w:rPr>
        <w:t>C</w:t>
      </w:r>
      <w:r w:rsidRPr="000A0A5F">
        <w:rPr>
          <w:lang w:eastAsia="zh-CN"/>
        </w:rPr>
        <w:t>reates a new TMGI Allocation resource for a given SCS/AS</w:t>
      </w:r>
      <w:r w:rsidR="00305F4B" w:rsidRPr="000A0A5F">
        <w:rPr>
          <w:lang w:eastAsia="zh-CN"/>
        </w:rPr>
        <w:t>.</w:t>
      </w:r>
    </w:p>
    <w:p w:rsidR="00305F4B" w:rsidRPr="000A0A5F" w:rsidRDefault="00305F4B" w:rsidP="00305F4B">
      <w:pPr>
        <w:pStyle w:val="PL"/>
      </w:pPr>
      <w:r w:rsidRPr="000A0A5F">
        <w:t xml:space="preserve">      </w:t>
      </w:r>
      <w:r w:rsidRPr="000A0A5F">
        <w:rPr>
          <w:rFonts w:cs="Courier New"/>
          <w:szCs w:val="16"/>
        </w:rPr>
        <w:t>operationId: Create</w:t>
      </w:r>
      <w:r w:rsidRPr="000A0A5F">
        <w:rPr>
          <w:rFonts w:hint="eastAsia"/>
          <w:lang w:eastAsia="zh-CN"/>
        </w:rPr>
        <w:t>T</w:t>
      </w:r>
      <w:r w:rsidRPr="000A0A5F">
        <w:rPr>
          <w:lang w:eastAsia="zh-CN"/>
        </w:rPr>
        <w:t>MGIAllocation</w:t>
      </w:r>
    </w:p>
    <w:p w:rsidR="00CB0DD7" w:rsidRPr="000A0A5F" w:rsidRDefault="00CB0DD7">
      <w:pPr>
        <w:pStyle w:val="PL"/>
        <w:rPr>
          <w:lang w:val="en-US"/>
        </w:rPr>
      </w:pPr>
      <w:r w:rsidRPr="000A0A5F">
        <w:rPr>
          <w:lang w:val="en-US"/>
        </w:rPr>
        <w:t xml:space="preserve">      tags:</w:t>
      </w:r>
    </w:p>
    <w:p w:rsidR="00CB0DD7" w:rsidRPr="000A0A5F" w:rsidRDefault="00CB0DD7">
      <w:pPr>
        <w:pStyle w:val="PL"/>
        <w:rPr>
          <w:lang w:val="en-US"/>
        </w:rPr>
      </w:pPr>
      <w:r w:rsidRPr="000A0A5F">
        <w:rPr>
          <w:lang w:val="en-US"/>
        </w:rPr>
        <w:t xml:space="preserve">        - TMGI Allocati</w:t>
      </w:r>
      <w:r w:rsidR="00305F4B" w:rsidRPr="000A0A5F">
        <w:rPr>
          <w:lang w:val="en-US"/>
        </w:rPr>
        <w:t>o</w:t>
      </w:r>
      <w:r w:rsidRPr="000A0A5F">
        <w:rPr>
          <w:lang w:val="en-US"/>
        </w:rPr>
        <w:t>n Operation</w:t>
      </w:r>
    </w:p>
    <w:p w:rsidR="00CB0DD7" w:rsidRPr="000A0A5F" w:rsidRDefault="00CB0DD7">
      <w:pPr>
        <w:pStyle w:val="PL"/>
        <w:rPr>
          <w:rFonts w:hint="eastAsia"/>
        </w:rPr>
      </w:pPr>
      <w:r w:rsidRPr="000A0A5F">
        <w:rPr>
          <w:rFonts w:hint="eastAsia"/>
        </w:rPr>
        <w:t xml:space="preserve">      parameters:</w:t>
      </w:r>
    </w:p>
    <w:p w:rsidR="00CB0DD7" w:rsidRPr="000A0A5F" w:rsidRDefault="00CB0DD7">
      <w:pPr>
        <w:pStyle w:val="PL"/>
        <w:rPr>
          <w:rFonts w:hint="eastAsia"/>
        </w:rPr>
      </w:pPr>
      <w:r w:rsidRPr="000A0A5F">
        <w:rPr>
          <w:rFonts w:hint="eastAsia"/>
        </w:rPr>
        <w:t xml:space="preserve">        - name: </w:t>
      </w:r>
      <w:r w:rsidRPr="000A0A5F">
        <w:t>scsAsId</w:t>
      </w:r>
    </w:p>
    <w:p w:rsidR="00CB0DD7" w:rsidRPr="000A0A5F" w:rsidRDefault="00CB0DD7">
      <w:pPr>
        <w:pStyle w:val="PL"/>
        <w:rPr>
          <w:rFonts w:hint="eastAsia"/>
        </w:rPr>
      </w:pPr>
      <w:r w:rsidRPr="000A0A5F">
        <w:rPr>
          <w:rFonts w:hint="eastAsia"/>
        </w:rPr>
        <w:t xml:space="preserve">          in: path</w:t>
      </w:r>
    </w:p>
    <w:p w:rsidR="00CB0DD7" w:rsidRPr="000A0A5F" w:rsidRDefault="00CB0DD7">
      <w:pPr>
        <w:pStyle w:val="PL"/>
        <w:rPr>
          <w:rFonts w:hint="eastAsia"/>
        </w:rPr>
      </w:pPr>
      <w:r w:rsidRPr="000A0A5F">
        <w:rPr>
          <w:rFonts w:hint="eastAsia"/>
        </w:rPr>
        <w:t xml:space="preserve">          description: Identifier of </w:t>
      </w:r>
      <w:r w:rsidRPr="000A0A5F">
        <w:t>SCS/AS</w:t>
      </w:r>
    </w:p>
    <w:p w:rsidR="00CB0DD7" w:rsidRPr="000A0A5F" w:rsidRDefault="00CB0DD7">
      <w:pPr>
        <w:pStyle w:val="PL"/>
        <w:rPr>
          <w:rFonts w:hint="eastAsia"/>
        </w:rPr>
      </w:pPr>
      <w:r w:rsidRPr="000A0A5F">
        <w:rPr>
          <w:rFonts w:hint="eastAsia"/>
        </w:rPr>
        <w:t xml:space="preserve">          required: true</w:t>
      </w:r>
    </w:p>
    <w:p w:rsidR="00CB0DD7" w:rsidRPr="000A0A5F" w:rsidRDefault="00CB0DD7">
      <w:pPr>
        <w:pStyle w:val="PL"/>
        <w:rPr>
          <w:rFonts w:hint="eastAsia"/>
        </w:rPr>
      </w:pPr>
      <w:r w:rsidRPr="000A0A5F">
        <w:rPr>
          <w:rFonts w:hint="eastAsia"/>
        </w:rPr>
        <w:t xml:space="preserve">          schema:</w:t>
      </w:r>
    </w:p>
    <w:p w:rsidR="00CB0DD7" w:rsidRPr="000A0A5F" w:rsidRDefault="00CB0DD7">
      <w:pPr>
        <w:pStyle w:val="PL"/>
      </w:pPr>
      <w:r w:rsidRPr="000A0A5F">
        <w:rPr>
          <w:rFonts w:hint="eastAsia"/>
        </w:rPr>
        <w:t xml:space="preserve">            type: string</w:t>
      </w:r>
    </w:p>
    <w:p w:rsidR="00CB0DD7" w:rsidRPr="000A0A5F" w:rsidRDefault="00CB0DD7">
      <w:pPr>
        <w:pStyle w:val="PL"/>
        <w:rPr>
          <w:lang w:val="en-US"/>
        </w:rPr>
      </w:pPr>
      <w:r w:rsidRPr="000A0A5F">
        <w:rPr>
          <w:lang w:val="en-US"/>
        </w:rPr>
        <w:t xml:space="preserve">      requestBody:</w:t>
      </w:r>
    </w:p>
    <w:p w:rsidR="00CB0DD7" w:rsidRPr="000A0A5F" w:rsidRDefault="00CB0DD7">
      <w:pPr>
        <w:pStyle w:val="PL"/>
        <w:rPr>
          <w:lang w:val="en-US"/>
        </w:rPr>
      </w:pPr>
      <w:r w:rsidRPr="000A0A5F">
        <w:rPr>
          <w:lang w:val="en-US"/>
        </w:rPr>
        <w:t xml:space="preserve">        description: representation of the </w:t>
      </w:r>
      <w:r w:rsidRPr="000A0A5F">
        <w:rPr>
          <w:rFonts w:eastAsia="Batang" w:hint="eastAsia"/>
          <w:lang w:val="en-US"/>
        </w:rPr>
        <w:t xml:space="preserve">TMGI </w:t>
      </w:r>
      <w:r w:rsidRPr="000A0A5F">
        <w:rPr>
          <w:lang w:val="en-US"/>
        </w:rPr>
        <w:t>Allocation to be created in the SCEF</w:t>
      </w:r>
    </w:p>
    <w:p w:rsidR="00CB0DD7" w:rsidRPr="000A0A5F" w:rsidRDefault="00CB0DD7">
      <w:pPr>
        <w:pStyle w:val="PL"/>
        <w:rPr>
          <w:lang w:val="en-US"/>
        </w:rPr>
      </w:pPr>
      <w:r w:rsidRPr="000A0A5F">
        <w:rPr>
          <w:lang w:val="en-US"/>
        </w:rPr>
        <w:t xml:space="preserve">        required: true</w:t>
      </w:r>
    </w:p>
    <w:p w:rsidR="00CB0DD7" w:rsidRPr="000A0A5F" w:rsidRDefault="00CB0DD7">
      <w:pPr>
        <w:pStyle w:val="PL"/>
        <w:rPr>
          <w:lang w:val="en-US"/>
        </w:rPr>
      </w:pPr>
      <w:r w:rsidRPr="000A0A5F">
        <w:rPr>
          <w:lang w:val="en-US"/>
        </w:rPr>
        <w:t xml:space="preserve">        content:</w:t>
      </w:r>
    </w:p>
    <w:p w:rsidR="00CB0DD7" w:rsidRPr="000A0A5F" w:rsidRDefault="00CB0DD7">
      <w:pPr>
        <w:pStyle w:val="PL"/>
        <w:rPr>
          <w:lang w:val="en-US"/>
        </w:rPr>
      </w:pPr>
      <w:r w:rsidRPr="000A0A5F">
        <w:rPr>
          <w:lang w:val="en-US"/>
        </w:rPr>
        <w:t xml:space="preserve">          application/json: </w:t>
      </w:r>
    </w:p>
    <w:p w:rsidR="00CB0DD7" w:rsidRPr="000A0A5F" w:rsidRDefault="00CB0DD7">
      <w:pPr>
        <w:pStyle w:val="PL"/>
        <w:rPr>
          <w:lang w:val="en-US"/>
        </w:rPr>
      </w:pPr>
      <w:r w:rsidRPr="000A0A5F">
        <w:rPr>
          <w:lang w:val="en-US"/>
        </w:rPr>
        <w:t xml:space="preserve">            schema:</w:t>
      </w:r>
    </w:p>
    <w:p w:rsidR="00CB0DD7" w:rsidRPr="000A0A5F" w:rsidRDefault="00CB0DD7">
      <w:pPr>
        <w:pStyle w:val="PL"/>
        <w:rPr>
          <w:lang w:val="en-US"/>
        </w:rPr>
      </w:pPr>
      <w:r w:rsidRPr="000A0A5F">
        <w:rPr>
          <w:lang w:val="en-US"/>
        </w:rPr>
        <w:t xml:space="preserve">              $ref: '#/components/schemas/T</w:t>
      </w:r>
      <w:r w:rsidRPr="000A0A5F">
        <w:rPr>
          <w:rFonts w:hint="eastAsia"/>
          <w:lang w:val="en-US"/>
        </w:rPr>
        <w:t>MGIAllocation</w:t>
      </w:r>
      <w:r w:rsidRPr="000A0A5F">
        <w:rPr>
          <w:lang w:val="en-US"/>
        </w:rPr>
        <w:t>'</w:t>
      </w:r>
    </w:p>
    <w:p w:rsidR="00CB0DD7" w:rsidRPr="000A0A5F" w:rsidRDefault="00CB0DD7">
      <w:pPr>
        <w:pStyle w:val="PL"/>
        <w:rPr>
          <w:lang w:val="en-US"/>
        </w:rPr>
      </w:pPr>
      <w:r w:rsidRPr="000A0A5F">
        <w:rPr>
          <w:lang w:val="en-US"/>
        </w:rPr>
        <w:t xml:space="preserve">      responses:</w:t>
      </w:r>
    </w:p>
    <w:p w:rsidR="00CB0DD7" w:rsidRPr="000A0A5F" w:rsidRDefault="00CB0DD7">
      <w:pPr>
        <w:pStyle w:val="PL"/>
        <w:rPr>
          <w:lang w:val="en-US"/>
        </w:rPr>
      </w:pPr>
      <w:r w:rsidRPr="000A0A5F">
        <w:rPr>
          <w:lang w:val="en-US"/>
        </w:rPr>
        <w:t xml:space="preserve">        '201':</w:t>
      </w:r>
    </w:p>
    <w:p w:rsidR="00CB0DD7" w:rsidRPr="000A0A5F" w:rsidRDefault="00CB0DD7">
      <w:pPr>
        <w:pStyle w:val="PL"/>
        <w:rPr>
          <w:lang w:val="en-US"/>
        </w:rPr>
      </w:pPr>
      <w:r w:rsidRPr="000A0A5F">
        <w:rPr>
          <w:lang w:val="en-US"/>
        </w:rPr>
        <w:t xml:space="preserve">          description: successful creation of an TMGI Allocation</w:t>
      </w:r>
    </w:p>
    <w:p w:rsidR="00CB0DD7" w:rsidRPr="000A0A5F" w:rsidRDefault="00CB0DD7">
      <w:pPr>
        <w:pStyle w:val="PL"/>
        <w:rPr>
          <w:lang w:val="en-US"/>
        </w:rPr>
      </w:pPr>
      <w:r w:rsidRPr="000A0A5F">
        <w:rPr>
          <w:lang w:val="en-US"/>
        </w:rPr>
        <w:t xml:space="preserve">          content:</w:t>
      </w:r>
    </w:p>
    <w:p w:rsidR="00CB0DD7" w:rsidRPr="000A0A5F" w:rsidRDefault="00CB0DD7">
      <w:pPr>
        <w:pStyle w:val="PL"/>
        <w:rPr>
          <w:lang w:val="en-US"/>
        </w:rPr>
      </w:pPr>
      <w:r w:rsidRPr="000A0A5F">
        <w:rPr>
          <w:lang w:val="en-US"/>
        </w:rPr>
        <w:t xml:space="preserve">            application/json:</w:t>
      </w:r>
    </w:p>
    <w:p w:rsidR="00CB0DD7" w:rsidRPr="000A0A5F" w:rsidRDefault="00CB0DD7">
      <w:pPr>
        <w:pStyle w:val="PL"/>
        <w:rPr>
          <w:lang w:val="en-US"/>
        </w:rPr>
      </w:pPr>
      <w:r w:rsidRPr="000A0A5F">
        <w:rPr>
          <w:lang w:val="en-US"/>
        </w:rPr>
        <w:t xml:space="preserve">              schema:</w:t>
      </w:r>
    </w:p>
    <w:p w:rsidR="00CB0DD7" w:rsidRPr="000A0A5F" w:rsidRDefault="00CB0DD7">
      <w:pPr>
        <w:pStyle w:val="PL"/>
        <w:rPr>
          <w:lang w:val="en-US"/>
        </w:rPr>
      </w:pPr>
      <w:r w:rsidRPr="000A0A5F">
        <w:rPr>
          <w:lang w:val="en-US"/>
        </w:rPr>
        <w:t xml:space="preserve">                $ref: '#/components/schemas/T</w:t>
      </w:r>
      <w:r w:rsidRPr="000A0A5F">
        <w:rPr>
          <w:rFonts w:hint="eastAsia"/>
          <w:lang w:val="en-US"/>
        </w:rPr>
        <w:t>MGIAllocation</w:t>
      </w:r>
      <w:r w:rsidRPr="000A0A5F">
        <w:rPr>
          <w:lang w:val="en-US"/>
        </w:rPr>
        <w:t>'</w:t>
      </w:r>
    </w:p>
    <w:p w:rsidR="00CB0DD7" w:rsidRPr="000A0A5F" w:rsidRDefault="00CB0DD7">
      <w:pPr>
        <w:pStyle w:val="PL"/>
      </w:pPr>
      <w:r w:rsidRPr="000A0A5F">
        <w:t xml:space="preserve">          headers:</w:t>
      </w:r>
    </w:p>
    <w:p w:rsidR="00CB0DD7" w:rsidRPr="000A0A5F" w:rsidRDefault="00CB0DD7">
      <w:pPr>
        <w:pStyle w:val="PL"/>
      </w:pPr>
      <w:r w:rsidRPr="000A0A5F">
        <w:t xml:space="preserve">            Location:</w:t>
      </w:r>
    </w:p>
    <w:p w:rsidR="00CB0DD7" w:rsidRPr="000A0A5F" w:rsidRDefault="00CB0DD7">
      <w:pPr>
        <w:pStyle w:val="PL"/>
      </w:pPr>
      <w:r w:rsidRPr="000A0A5F">
        <w:t xml:space="preserve">              description: 'Contains the URI of the newly created resource'</w:t>
      </w:r>
    </w:p>
    <w:p w:rsidR="00CB0DD7" w:rsidRPr="000A0A5F" w:rsidRDefault="00CB0DD7">
      <w:pPr>
        <w:pStyle w:val="PL"/>
      </w:pPr>
      <w:r w:rsidRPr="000A0A5F">
        <w:t xml:space="preserve">              required: true</w:t>
      </w:r>
    </w:p>
    <w:p w:rsidR="00CB0DD7" w:rsidRPr="000A0A5F" w:rsidRDefault="00CB0DD7">
      <w:pPr>
        <w:pStyle w:val="PL"/>
      </w:pPr>
      <w:r w:rsidRPr="000A0A5F">
        <w:t xml:space="preserve">              schema:</w:t>
      </w:r>
    </w:p>
    <w:p w:rsidR="00CB0DD7" w:rsidRPr="000A0A5F" w:rsidRDefault="00CB0DD7">
      <w:pPr>
        <w:pStyle w:val="PL"/>
      </w:pPr>
      <w:r w:rsidRPr="000A0A5F">
        <w:t xml:space="preserve">                type: string</w:t>
      </w:r>
    </w:p>
    <w:p w:rsidR="00CB0DD7" w:rsidRPr="000A0A5F" w:rsidRDefault="00CB0DD7">
      <w:pPr>
        <w:pStyle w:val="PL"/>
      </w:pPr>
      <w:r w:rsidRPr="000A0A5F">
        <w:t xml:space="preserve">        '400':</w:t>
      </w:r>
    </w:p>
    <w:p w:rsidR="00CB0DD7" w:rsidRPr="000A0A5F" w:rsidRDefault="00CB0DD7">
      <w:pPr>
        <w:pStyle w:val="PL"/>
      </w:pPr>
      <w:r w:rsidRPr="000A0A5F">
        <w:t xml:space="preserve">          $ref: 'TS29122_CommonData.yaml#/components/responses/400'</w:t>
      </w:r>
    </w:p>
    <w:p w:rsidR="00CB0DD7" w:rsidRPr="000A0A5F" w:rsidRDefault="00CB0DD7">
      <w:pPr>
        <w:pStyle w:val="PL"/>
      </w:pPr>
      <w:r w:rsidRPr="000A0A5F">
        <w:t xml:space="preserve">        '401':</w:t>
      </w:r>
    </w:p>
    <w:p w:rsidR="00CB0DD7" w:rsidRPr="000A0A5F" w:rsidRDefault="00CB0DD7">
      <w:pPr>
        <w:pStyle w:val="PL"/>
      </w:pPr>
      <w:r w:rsidRPr="000A0A5F">
        <w:t xml:space="preserve">          $ref: 'TS29122_CommonData.yaml#/components/responses/401'</w:t>
      </w:r>
    </w:p>
    <w:p w:rsidR="00CB0DD7" w:rsidRPr="000A0A5F" w:rsidRDefault="00CB0DD7">
      <w:pPr>
        <w:pStyle w:val="PL"/>
      </w:pPr>
      <w:r w:rsidRPr="000A0A5F">
        <w:t xml:space="preserve">        '403':</w:t>
      </w:r>
    </w:p>
    <w:p w:rsidR="00CB0DD7" w:rsidRPr="000A0A5F" w:rsidRDefault="00CB0DD7">
      <w:pPr>
        <w:pStyle w:val="PL"/>
      </w:pPr>
      <w:r w:rsidRPr="000A0A5F">
        <w:t xml:space="preserve">          $ref: 'TS29122_CommonData.yaml#/components/responses/403'</w:t>
      </w:r>
    </w:p>
    <w:p w:rsidR="00CB0DD7" w:rsidRPr="000A0A5F" w:rsidRDefault="00CB0DD7">
      <w:pPr>
        <w:pStyle w:val="PL"/>
      </w:pPr>
      <w:r w:rsidRPr="000A0A5F">
        <w:t xml:space="preserve">        '404':</w:t>
      </w:r>
    </w:p>
    <w:p w:rsidR="00CB0DD7" w:rsidRPr="000A0A5F" w:rsidRDefault="00CB0DD7">
      <w:pPr>
        <w:pStyle w:val="PL"/>
      </w:pPr>
      <w:r w:rsidRPr="000A0A5F">
        <w:t xml:space="preserve">          $ref: 'TS29122_CommonData.yaml#/components/responses/404'</w:t>
      </w:r>
    </w:p>
    <w:p w:rsidR="00CB0DD7" w:rsidRPr="000A0A5F" w:rsidRDefault="00CB0DD7">
      <w:pPr>
        <w:pStyle w:val="PL"/>
      </w:pPr>
      <w:r w:rsidRPr="000A0A5F">
        <w:t xml:space="preserve">        '411':</w:t>
      </w:r>
    </w:p>
    <w:p w:rsidR="00CB0DD7" w:rsidRPr="000A0A5F" w:rsidRDefault="00CB0DD7">
      <w:pPr>
        <w:pStyle w:val="PL"/>
      </w:pPr>
      <w:r w:rsidRPr="000A0A5F">
        <w:t xml:space="preserve">          $ref: 'TS29122_CommonData.yaml#/components/responses/411'</w:t>
      </w:r>
    </w:p>
    <w:p w:rsidR="00CB0DD7" w:rsidRPr="000A0A5F" w:rsidRDefault="00CB0DD7">
      <w:pPr>
        <w:pStyle w:val="PL"/>
      </w:pPr>
      <w:r w:rsidRPr="000A0A5F">
        <w:t xml:space="preserve">        '413':</w:t>
      </w:r>
    </w:p>
    <w:p w:rsidR="00CB0DD7" w:rsidRPr="000A0A5F" w:rsidRDefault="00CB0DD7">
      <w:pPr>
        <w:pStyle w:val="PL"/>
      </w:pPr>
      <w:r w:rsidRPr="000A0A5F">
        <w:t xml:space="preserve">          $ref: 'TS29122_CommonData.yaml#/components/responses/413'</w:t>
      </w:r>
    </w:p>
    <w:p w:rsidR="00CB0DD7" w:rsidRPr="000A0A5F" w:rsidRDefault="00CB0DD7">
      <w:pPr>
        <w:pStyle w:val="PL"/>
      </w:pPr>
      <w:r w:rsidRPr="000A0A5F">
        <w:t xml:space="preserve">        '415':</w:t>
      </w:r>
    </w:p>
    <w:p w:rsidR="00CB0DD7" w:rsidRPr="000A0A5F" w:rsidRDefault="00CB0DD7">
      <w:pPr>
        <w:pStyle w:val="PL"/>
      </w:pPr>
      <w:r w:rsidRPr="000A0A5F">
        <w:t xml:space="preserve">          $ref: 'TS29122_CommonData.yaml#/components/responses/415'</w:t>
      </w:r>
    </w:p>
    <w:p w:rsidR="00CB0DD7" w:rsidRPr="000A0A5F" w:rsidRDefault="00CB0DD7">
      <w:pPr>
        <w:pStyle w:val="PL"/>
      </w:pPr>
      <w:r w:rsidRPr="000A0A5F">
        <w:t xml:space="preserve">        '429':</w:t>
      </w:r>
    </w:p>
    <w:p w:rsidR="00CB0DD7" w:rsidRPr="000A0A5F" w:rsidRDefault="00CB0DD7">
      <w:pPr>
        <w:pStyle w:val="PL"/>
      </w:pPr>
      <w:r w:rsidRPr="000A0A5F">
        <w:t xml:space="preserve">          $ref: 'TS29122_CommonData.yaml#/components/responses/429'</w:t>
      </w:r>
    </w:p>
    <w:p w:rsidR="00CB0DD7" w:rsidRPr="000A0A5F" w:rsidRDefault="00CB0DD7">
      <w:pPr>
        <w:pStyle w:val="PL"/>
      </w:pPr>
      <w:r w:rsidRPr="000A0A5F">
        <w:t xml:space="preserve">        '500':</w:t>
      </w:r>
    </w:p>
    <w:p w:rsidR="00CB0DD7" w:rsidRPr="000A0A5F" w:rsidRDefault="00CB0DD7">
      <w:pPr>
        <w:pStyle w:val="PL"/>
      </w:pPr>
      <w:r w:rsidRPr="000A0A5F">
        <w:t xml:space="preserve">          $ref: 'TS29122_CommonData.yaml#/components/responses/500'</w:t>
      </w:r>
    </w:p>
    <w:p w:rsidR="00CB0DD7" w:rsidRPr="000A0A5F" w:rsidRDefault="00CB0DD7">
      <w:pPr>
        <w:pStyle w:val="PL"/>
      </w:pPr>
      <w:r w:rsidRPr="000A0A5F">
        <w:t xml:space="preserve">        '503':</w:t>
      </w:r>
    </w:p>
    <w:p w:rsidR="00CB0DD7" w:rsidRPr="000A0A5F" w:rsidRDefault="00CB0DD7">
      <w:pPr>
        <w:pStyle w:val="PL"/>
      </w:pPr>
      <w:r w:rsidRPr="000A0A5F">
        <w:t xml:space="preserve">          $ref: 'TS29122_CommonData.yaml#/components/responses/503'</w:t>
      </w:r>
    </w:p>
    <w:p w:rsidR="00CB0DD7" w:rsidRPr="000A0A5F" w:rsidRDefault="00CB0DD7">
      <w:pPr>
        <w:pStyle w:val="PL"/>
      </w:pPr>
      <w:r w:rsidRPr="000A0A5F">
        <w:t xml:space="preserve">        default:</w:t>
      </w:r>
    </w:p>
    <w:p w:rsidR="00CB0DD7" w:rsidRPr="000A0A5F" w:rsidRDefault="00CB0DD7">
      <w:pPr>
        <w:pStyle w:val="PL"/>
      </w:pPr>
      <w:r w:rsidRPr="000A0A5F">
        <w:t xml:space="preserve">          $ref: 'TS29122_CommonData.yaml#/components/responses/default'</w:t>
      </w:r>
    </w:p>
    <w:p w:rsidR="00CB0DD7" w:rsidRPr="000A0A5F" w:rsidRDefault="00CB0DD7">
      <w:pPr>
        <w:pStyle w:val="PL"/>
      </w:pPr>
    </w:p>
    <w:p w:rsidR="00CB0DD7" w:rsidRPr="000A0A5F" w:rsidRDefault="00CB0DD7">
      <w:pPr>
        <w:pStyle w:val="PL"/>
        <w:rPr>
          <w:rFonts w:hint="eastAsia"/>
        </w:rPr>
      </w:pPr>
      <w:r w:rsidRPr="000A0A5F">
        <w:rPr>
          <w:rFonts w:hint="eastAsia"/>
        </w:rPr>
        <w:t xml:space="preserve">  </w:t>
      </w:r>
      <w:r w:rsidRPr="000A0A5F">
        <w:t>/{scsAsId}/tmgi-allocation/{tmgi}:</w:t>
      </w:r>
    </w:p>
    <w:p w:rsidR="00CB0DD7" w:rsidRPr="000A0A5F" w:rsidRDefault="00CB0DD7">
      <w:pPr>
        <w:pStyle w:val="PL"/>
        <w:tabs>
          <w:tab w:val="clear" w:pos="384"/>
        </w:tabs>
        <w:rPr>
          <w:rFonts w:hint="eastAsia"/>
        </w:rPr>
      </w:pPr>
      <w:r w:rsidRPr="000A0A5F">
        <w:rPr>
          <w:rFonts w:hint="eastAsia"/>
        </w:rPr>
        <w:t xml:space="preserve">    </w:t>
      </w:r>
      <w:r w:rsidRPr="000A0A5F">
        <w:t>get</w:t>
      </w:r>
      <w:r w:rsidRPr="000A0A5F">
        <w:rPr>
          <w:rFonts w:hint="eastAsia"/>
        </w:rPr>
        <w:t>:</w:t>
      </w:r>
    </w:p>
    <w:p w:rsidR="00CB0DD7" w:rsidRPr="000A0A5F" w:rsidRDefault="00CB0DD7">
      <w:pPr>
        <w:pStyle w:val="PL"/>
        <w:rPr>
          <w:rFonts w:hint="eastAsia"/>
        </w:rPr>
      </w:pPr>
      <w:r w:rsidRPr="000A0A5F">
        <w:rPr>
          <w:rFonts w:hint="eastAsia"/>
        </w:rPr>
        <w:t xml:space="preserve">      summary: </w:t>
      </w:r>
      <w:r w:rsidR="00305F4B" w:rsidRPr="000A0A5F">
        <w:rPr>
          <w:lang w:eastAsia="zh-CN"/>
        </w:rPr>
        <w:t>R</w:t>
      </w:r>
      <w:r w:rsidRPr="000A0A5F">
        <w:rPr>
          <w:lang w:eastAsia="zh-CN"/>
        </w:rPr>
        <w:t>ead a TMGI Allocation resource for a given SCS/AS and a TMGI</w:t>
      </w:r>
      <w:r w:rsidR="00305F4B" w:rsidRPr="000A0A5F">
        <w:rPr>
          <w:lang w:eastAsia="zh-CN"/>
        </w:rPr>
        <w:t>.</w:t>
      </w:r>
    </w:p>
    <w:p w:rsidR="00305F4B" w:rsidRPr="000A0A5F" w:rsidRDefault="00305F4B" w:rsidP="00305F4B">
      <w:pPr>
        <w:pStyle w:val="PL"/>
      </w:pPr>
      <w:r w:rsidRPr="000A0A5F">
        <w:t xml:space="preserve">      </w:t>
      </w:r>
      <w:r w:rsidRPr="000A0A5F">
        <w:rPr>
          <w:rFonts w:cs="Courier New"/>
          <w:szCs w:val="16"/>
        </w:rPr>
        <w:t>operationId: FetchInd</w:t>
      </w:r>
      <w:r w:rsidRPr="000A0A5F">
        <w:rPr>
          <w:rFonts w:hint="eastAsia"/>
          <w:lang w:eastAsia="zh-CN"/>
        </w:rPr>
        <w:t>T</w:t>
      </w:r>
      <w:r w:rsidRPr="000A0A5F">
        <w:rPr>
          <w:lang w:eastAsia="zh-CN"/>
        </w:rPr>
        <w:t>MGIAllocation</w:t>
      </w:r>
    </w:p>
    <w:p w:rsidR="00CB0DD7" w:rsidRPr="000A0A5F" w:rsidRDefault="00CB0DD7">
      <w:pPr>
        <w:pStyle w:val="PL"/>
        <w:rPr>
          <w:rFonts w:hint="eastAsia"/>
        </w:rPr>
      </w:pPr>
      <w:r w:rsidRPr="000A0A5F">
        <w:rPr>
          <w:rFonts w:hint="eastAsia"/>
        </w:rPr>
        <w:t xml:space="preserve">      tags:</w:t>
      </w:r>
    </w:p>
    <w:p w:rsidR="00CB0DD7" w:rsidRPr="000A0A5F" w:rsidRDefault="00CB0DD7">
      <w:pPr>
        <w:pStyle w:val="PL"/>
        <w:rPr>
          <w:rFonts w:hint="eastAsia"/>
        </w:rPr>
      </w:pPr>
      <w:r w:rsidRPr="000A0A5F">
        <w:rPr>
          <w:rFonts w:hint="eastAsia"/>
        </w:rPr>
        <w:t xml:space="preserve">        - Individual </w:t>
      </w:r>
      <w:r w:rsidRPr="000A0A5F">
        <w:t>TMGI Allocati</w:t>
      </w:r>
      <w:r w:rsidR="00305F4B" w:rsidRPr="000A0A5F">
        <w:t>o</w:t>
      </w:r>
      <w:r w:rsidRPr="000A0A5F">
        <w:t>n Operation</w:t>
      </w:r>
    </w:p>
    <w:p w:rsidR="00CB0DD7" w:rsidRPr="000A0A5F" w:rsidRDefault="00CB0DD7">
      <w:pPr>
        <w:pStyle w:val="PL"/>
        <w:rPr>
          <w:rFonts w:hint="eastAsia"/>
        </w:rPr>
      </w:pPr>
      <w:r w:rsidRPr="000A0A5F">
        <w:rPr>
          <w:rFonts w:hint="eastAsia"/>
        </w:rPr>
        <w:t xml:space="preserve">      parameters:</w:t>
      </w:r>
    </w:p>
    <w:p w:rsidR="00CB0DD7" w:rsidRPr="000A0A5F" w:rsidRDefault="00CB0DD7">
      <w:pPr>
        <w:pStyle w:val="PL"/>
        <w:rPr>
          <w:rFonts w:hint="eastAsia"/>
        </w:rPr>
      </w:pPr>
      <w:r w:rsidRPr="000A0A5F">
        <w:rPr>
          <w:rFonts w:hint="eastAsia"/>
        </w:rPr>
        <w:t xml:space="preserve">        - name: </w:t>
      </w:r>
      <w:r w:rsidRPr="000A0A5F">
        <w:t>scsAsId</w:t>
      </w:r>
    </w:p>
    <w:p w:rsidR="00CB0DD7" w:rsidRPr="000A0A5F" w:rsidRDefault="00CB0DD7">
      <w:pPr>
        <w:pStyle w:val="PL"/>
        <w:rPr>
          <w:rFonts w:hint="eastAsia"/>
        </w:rPr>
      </w:pPr>
      <w:r w:rsidRPr="000A0A5F">
        <w:rPr>
          <w:rFonts w:hint="eastAsia"/>
        </w:rPr>
        <w:t xml:space="preserve">          in: path</w:t>
      </w:r>
    </w:p>
    <w:p w:rsidR="00CB0DD7" w:rsidRPr="000A0A5F" w:rsidRDefault="00CB0DD7">
      <w:pPr>
        <w:pStyle w:val="PL"/>
        <w:rPr>
          <w:rFonts w:hint="eastAsia"/>
        </w:rPr>
      </w:pPr>
      <w:r w:rsidRPr="000A0A5F">
        <w:rPr>
          <w:rFonts w:hint="eastAsia"/>
        </w:rPr>
        <w:t xml:space="preserve">          description: Identifier of </w:t>
      </w:r>
      <w:r w:rsidRPr="000A0A5F">
        <w:t>SCS/AS</w:t>
      </w:r>
    </w:p>
    <w:p w:rsidR="00CB0DD7" w:rsidRPr="000A0A5F" w:rsidRDefault="00CB0DD7">
      <w:pPr>
        <w:pStyle w:val="PL"/>
        <w:rPr>
          <w:rFonts w:hint="eastAsia"/>
        </w:rPr>
      </w:pPr>
      <w:r w:rsidRPr="000A0A5F">
        <w:rPr>
          <w:rFonts w:hint="eastAsia"/>
        </w:rPr>
        <w:t xml:space="preserve">          required: true</w:t>
      </w:r>
    </w:p>
    <w:p w:rsidR="00CB0DD7" w:rsidRPr="000A0A5F" w:rsidRDefault="00CB0DD7">
      <w:pPr>
        <w:pStyle w:val="PL"/>
        <w:rPr>
          <w:rFonts w:hint="eastAsia"/>
        </w:rPr>
      </w:pPr>
      <w:r w:rsidRPr="000A0A5F">
        <w:rPr>
          <w:rFonts w:hint="eastAsia"/>
        </w:rPr>
        <w:t xml:space="preserve">          schema:</w:t>
      </w:r>
    </w:p>
    <w:p w:rsidR="00CB0DD7" w:rsidRPr="000A0A5F" w:rsidRDefault="00CB0DD7">
      <w:pPr>
        <w:pStyle w:val="PL"/>
      </w:pPr>
      <w:r w:rsidRPr="000A0A5F">
        <w:rPr>
          <w:rFonts w:hint="eastAsia"/>
        </w:rPr>
        <w:t xml:space="preserve">            type: string</w:t>
      </w:r>
    </w:p>
    <w:p w:rsidR="00CB0DD7" w:rsidRPr="000A0A5F" w:rsidRDefault="00CB0DD7">
      <w:pPr>
        <w:pStyle w:val="PL"/>
        <w:rPr>
          <w:rFonts w:hint="eastAsia"/>
        </w:rPr>
      </w:pPr>
      <w:r w:rsidRPr="000A0A5F">
        <w:rPr>
          <w:rFonts w:hint="eastAsia"/>
        </w:rPr>
        <w:t xml:space="preserve">        - name: </w:t>
      </w:r>
      <w:r w:rsidRPr="000A0A5F">
        <w:t>tmgi</w:t>
      </w:r>
    </w:p>
    <w:p w:rsidR="00CB0DD7" w:rsidRPr="000A0A5F" w:rsidRDefault="00CB0DD7">
      <w:pPr>
        <w:pStyle w:val="PL"/>
        <w:rPr>
          <w:rFonts w:hint="eastAsia"/>
        </w:rPr>
      </w:pPr>
      <w:r w:rsidRPr="000A0A5F">
        <w:rPr>
          <w:rFonts w:hint="eastAsia"/>
        </w:rPr>
        <w:t xml:space="preserve">          in: path</w:t>
      </w:r>
    </w:p>
    <w:p w:rsidR="00CB0DD7" w:rsidRPr="000A0A5F" w:rsidRDefault="00CB0DD7">
      <w:pPr>
        <w:pStyle w:val="PL"/>
        <w:rPr>
          <w:rFonts w:hint="eastAsia"/>
        </w:rPr>
      </w:pPr>
      <w:r w:rsidRPr="000A0A5F">
        <w:rPr>
          <w:rFonts w:hint="eastAsia"/>
        </w:rPr>
        <w:t xml:space="preserve">          description: </w:t>
      </w:r>
      <w:r w:rsidRPr="000A0A5F">
        <w:t>TMGI</w:t>
      </w:r>
    </w:p>
    <w:p w:rsidR="00CB0DD7" w:rsidRPr="000A0A5F" w:rsidRDefault="00CB0DD7">
      <w:pPr>
        <w:pStyle w:val="PL"/>
        <w:rPr>
          <w:rFonts w:hint="eastAsia"/>
        </w:rPr>
      </w:pPr>
      <w:r w:rsidRPr="000A0A5F">
        <w:rPr>
          <w:rFonts w:hint="eastAsia"/>
        </w:rPr>
        <w:t xml:space="preserve">          required: true</w:t>
      </w:r>
    </w:p>
    <w:p w:rsidR="00CB0DD7" w:rsidRPr="000A0A5F" w:rsidRDefault="00CB0DD7">
      <w:pPr>
        <w:pStyle w:val="PL"/>
        <w:rPr>
          <w:rFonts w:hint="eastAsia"/>
        </w:rPr>
      </w:pPr>
      <w:r w:rsidRPr="000A0A5F">
        <w:rPr>
          <w:rFonts w:hint="eastAsia"/>
        </w:rPr>
        <w:t xml:space="preserve">          schema:</w:t>
      </w:r>
    </w:p>
    <w:p w:rsidR="00CB0DD7" w:rsidRPr="000A0A5F" w:rsidRDefault="00CB0DD7">
      <w:pPr>
        <w:pStyle w:val="PL"/>
      </w:pPr>
      <w:r w:rsidRPr="000A0A5F">
        <w:rPr>
          <w:rFonts w:hint="eastAsia"/>
        </w:rPr>
        <w:t xml:space="preserve">            type: string</w:t>
      </w:r>
    </w:p>
    <w:p w:rsidR="00CB0DD7" w:rsidRPr="000A0A5F" w:rsidRDefault="00CB0DD7">
      <w:pPr>
        <w:pStyle w:val="PL"/>
        <w:rPr>
          <w:rFonts w:hint="eastAsia"/>
        </w:rPr>
      </w:pPr>
      <w:r w:rsidRPr="000A0A5F">
        <w:rPr>
          <w:rFonts w:hint="eastAsia"/>
        </w:rPr>
        <w:t xml:space="preserve">      responses:</w:t>
      </w:r>
    </w:p>
    <w:p w:rsidR="00CB0DD7" w:rsidRPr="000A0A5F" w:rsidRDefault="00CB0DD7">
      <w:pPr>
        <w:pStyle w:val="PL"/>
        <w:rPr>
          <w:rFonts w:hint="eastAsia"/>
        </w:rPr>
      </w:pPr>
      <w:r w:rsidRPr="000A0A5F">
        <w:rPr>
          <w:rFonts w:hint="eastAsia"/>
        </w:rPr>
        <w:t xml:space="preserve">        '200':</w:t>
      </w:r>
    </w:p>
    <w:p w:rsidR="00CB0DD7" w:rsidRPr="000A0A5F" w:rsidRDefault="00CB0DD7">
      <w:pPr>
        <w:pStyle w:val="PL"/>
        <w:rPr>
          <w:rFonts w:hint="eastAsia"/>
        </w:rPr>
      </w:pPr>
      <w:r w:rsidRPr="000A0A5F">
        <w:rPr>
          <w:rFonts w:hint="eastAsia"/>
        </w:rPr>
        <w:t xml:space="preserve">          description: OK (</w:t>
      </w:r>
      <w:r w:rsidRPr="000A0A5F">
        <w:t>successful query of TMGI Allocation resource</w:t>
      </w:r>
      <w:r w:rsidRPr="000A0A5F">
        <w:rPr>
          <w:rFonts w:hint="eastAsia"/>
        </w:rPr>
        <w:t>)</w:t>
      </w:r>
    </w:p>
    <w:p w:rsidR="00CB0DD7" w:rsidRPr="000A0A5F" w:rsidRDefault="00CB0DD7">
      <w:pPr>
        <w:pStyle w:val="PL"/>
        <w:rPr>
          <w:rFonts w:hint="eastAsia"/>
        </w:rPr>
      </w:pPr>
      <w:r w:rsidRPr="000A0A5F">
        <w:rPr>
          <w:rFonts w:hint="eastAsia"/>
        </w:rPr>
        <w:t xml:space="preserve">          content:</w:t>
      </w:r>
    </w:p>
    <w:p w:rsidR="00CB0DD7" w:rsidRPr="000A0A5F" w:rsidRDefault="00CB0DD7">
      <w:pPr>
        <w:pStyle w:val="PL"/>
        <w:rPr>
          <w:rFonts w:hint="eastAsia"/>
        </w:rPr>
      </w:pPr>
      <w:r w:rsidRPr="000A0A5F">
        <w:rPr>
          <w:rFonts w:hint="eastAsia"/>
        </w:rPr>
        <w:t xml:space="preserve">            application/json:</w:t>
      </w:r>
    </w:p>
    <w:p w:rsidR="00CB0DD7" w:rsidRPr="000A0A5F" w:rsidRDefault="00CB0DD7">
      <w:pPr>
        <w:pStyle w:val="PL"/>
      </w:pPr>
      <w:r w:rsidRPr="000A0A5F">
        <w:rPr>
          <w:rFonts w:hint="eastAsia"/>
        </w:rPr>
        <w:t xml:space="preserve">              schema:</w:t>
      </w:r>
    </w:p>
    <w:p w:rsidR="00CB0DD7" w:rsidRPr="000A0A5F" w:rsidRDefault="00CB0DD7">
      <w:pPr>
        <w:pStyle w:val="PL"/>
      </w:pPr>
      <w:r w:rsidRPr="000A0A5F">
        <w:rPr>
          <w:rFonts w:hint="eastAsia"/>
        </w:rPr>
        <w:t xml:space="preserve">                $ref: '#/components/schemas/</w:t>
      </w:r>
      <w:r w:rsidRPr="000A0A5F">
        <w:t>TMGIAllocation</w:t>
      </w:r>
      <w:r w:rsidRPr="000A0A5F">
        <w:rPr>
          <w:rFonts w:hint="eastAsia"/>
        </w:rPr>
        <w:t>'</w:t>
      </w:r>
    </w:p>
    <w:p w:rsidR="00CB0DD7" w:rsidRPr="000A0A5F" w:rsidRDefault="00CB0DD7">
      <w:pPr>
        <w:pStyle w:val="PL"/>
      </w:pPr>
      <w:r w:rsidRPr="000A0A5F">
        <w:t xml:space="preserve">        '307':</w:t>
      </w:r>
    </w:p>
    <w:p w:rsidR="00CB0DD7" w:rsidRPr="000A0A5F" w:rsidRDefault="00CB0DD7">
      <w:pPr>
        <w:pStyle w:val="PL"/>
      </w:pPr>
      <w:r w:rsidRPr="000A0A5F">
        <w:t xml:space="preserve">          $ref: 'TS29122_CommonData.yaml#/components/responses/307'</w:t>
      </w:r>
    </w:p>
    <w:p w:rsidR="00CB0DD7" w:rsidRPr="000A0A5F" w:rsidRDefault="00CB0DD7">
      <w:pPr>
        <w:pStyle w:val="PL"/>
      </w:pPr>
      <w:r w:rsidRPr="000A0A5F">
        <w:t xml:space="preserve">        '308':</w:t>
      </w:r>
    </w:p>
    <w:p w:rsidR="00CB0DD7" w:rsidRPr="000A0A5F" w:rsidRDefault="00CB0DD7">
      <w:pPr>
        <w:pStyle w:val="PL"/>
      </w:pPr>
      <w:r w:rsidRPr="000A0A5F">
        <w:t xml:space="preserve">          $ref: 'TS29122_CommonData.yaml#/components/responses/308'</w:t>
      </w:r>
    </w:p>
    <w:p w:rsidR="00CB0DD7" w:rsidRPr="000A0A5F" w:rsidRDefault="00CB0DD7">
      <w:pPr>
        <w:pStyle w:val="PL"/>
      </w:pPr>
      <w:r w:rsidRPr="000A0A5F">
        <w:t xml:space="preserve">        '400':</w:t>
      </w:r>
    </w:p>
    <w:p w:rsidR="00CB0DD7" w:rsidRPr="000A0A5F" w:rsidRDefault="00CB0DD7">
      <w:pPr>
        <w:pStyle w:val="PL"/>
      </w:pPr>
      <w:r w:rsidRPr="000A0A5F">
        <w:t xml:space="preserve">          $ref: 'TS29122_CommonData.yaml#/components/responses/400'</w:t>
      </w:r>
    </w:p>
    <w:p w:rsidR="00CB0DD7" w:rsidRPr="000A0A5F" w:rsidRDefault="00CB0DD7">
      <w:pPr>
        <w:pStyle w:val="PL"/>
      </w:pPr>
      <w:r w:rsidRPr="000A0A5F">
        <w:t xml:space="preserve">        '401':</w:t>
      </w:r>
    </w:p>
    <w:p w:rsidR="00CB0DD7" w:rsidRPr="000A0A5F" w:rsidRDefault="00CB0DD7">
      <w:pPr>
        <w:pStyle w:val="PL"/>
      </w:pPr>
      <w:r w:rsidRPr="000A0A5F">
        <w:t xml:space="preserve">          $ref: 'TS29122_CommonData.yaml#/components/responses/401'</w:t>
      </w:r>
    </w:p>
    <w:p w:rsidR="00CB0DD7" w:rsidRPr="000A0A5F" w:rsidRDefault="00CB0DD7">
      <w:pPr>
        <w:pStyle w:val="PL"/>
      </w:pPr>
      <w:r w:rsidRPr="000A0A5F">
        <w:t xml:space="preserve">        '403':</w:t>
      </w:r>
    </w:p>
    <w:p w:rsidR="00CB0DD7" w:rsidRPr="000A0A5F" w:rsidRDefault="00CB0DD7">
      <w:pPr>
        <w:pStyle w:val="PL"/>
      </w:pPr>
      <w:r w:rsidRPr="000A0A5F">
        <w:t xml:space="preserve">          $ref: 'TS29122_CommonData.yaml#/components/responses/403'</w:t>
      </w:r>
    </w:p>
    <w:p w:rsidR="00CB0DD7" w:rsidRPr="000A0A5F" w:rsidRDefault="00CB0DD7">
      <w:pPr>
        <w:pStyle w:val="PL"/>
      </w:pPr>
      <w:r w:rsidRPr="000A0A5F">
        <w:t xml:space="preserve">        '404':</w:t>
      </w:r>
    </w:p>
    <w:p w:rsidR="00CB0DD7" w:rsidRPr="000A0A5F" w:rsidRDefault="00CB0DD7">
      <w:pPr>
        <w:pStyle w:val="PL"/>
      </w:pPr>
      <w:r w:rsidRPr="000A0A5F">
        <w:t xml:space="preserve">          $ref: 'TS29122_CommonData.yaml#/components/responses/404'</w:t>
      </w:r>
    </w:p>
    <w:p w:rsidR="00CB0DD7" w:rsidRPr="000A0A5F" w:rsidRDefault="00CB0DD7">
      <w:pPr>
        <w:pStyle w:val="PL"/>
      </w:pPr>
      <w:r w:rsidRPr="000A0A5F">
        <w:t xml:space="preserve">        '406':</w:t>
      </w:r>
    </w:p>
    <w:p w:rsidR="00CB0DD7" w:rsidRPr="000A0A5F" w:rsidRDefault="00CB0DD7">
      <w:pPr>
        <w:pStyle w:val="PL"/>
      </w:pPr>
      <w:r w:rsidRPr="000A0A5F">
        <w:t xml:space="preserve">          $ref: 'TS29122_CommonData.yaml#/components/responses/406'</w:t>
      </w:r>
    </w:p>
    <w:p w:rsidR="00CB0DD7" w:rsidRPr="000A0A5F" w:rsidRDefault="00CB0DD7">
      <w:pPr>
        <w:pStyle w:val="PL"/>
      </w:pPr>
      <w:r w:rsidRPr="000A0A5F">
        <w:t xml:space="preserve">        '429':</w:t>
      </w:r>
    </w:p>
    <w:p w:rsidR="00CB0DD7" w:rsidRPr="000A0A5F" w:rsidRDefault="00CB0DD7">
      <w:pPr>
        <w:pStyle w:val="PL"/>
      </w:pPr>
      <w:r w:rsidRPr="000A0A5F">
        <w:t xml:space="preserve">          $ref: 'TS29122_CommonData.yaml#/components/responses/429'</w:t>
      </w:r>
    </w:p>
    <w:p w:rsidR="00CB0DD7" w:rsidRPr="000A0A5F" w:rsidRDefault="00CB0DD7">
      <w:pPr>
        <w:pStyle w:val="PL"/>
      </w:pPr>
      <w:r w:rsidRPr="000A0A5F">
        <w:t xml:space="preserve">        '500':</w:t>
      </w:r>
    </w:p>
    <w:p w:rsidR="00CB0DD7" w:rsidRPr="000A0A5F" w:rsidRDefault="00CB0DD7">
      <w:pPr>
        <w:pStyle w:val="PL"/>
      </w:pPr>
      <w:r w:rsidRPr="000A0A5F">
        <w:t xml:space="preserve">          $ref: 'TS29122_CommonData.yaml#/components/responses/500'</w:t>
      </w:r>
    </w:p>
    <w:p w:rsidR="00CB0DD7" w:rsidRPr="000A0A5F" w:rsidRDefault="00CB0DD7">
      <w:pPr>
        <w:pStyle w:val="PL"/>
      </w:pPr>
      <w:r w:rsidRPr="000A0A5F">
        <w:t xml:space="preserve">        '503':</w:t>
      </w:r>
    </w:p>
    <w:p w:rsidR="00CB0DD7" w:rsidRPr="000A0A5F" w:rsidRDefault="00CB0DD7">
      <w:pPr>
        <w:pStyle w:val="PL"/>
      </w:pPr>
      <w:r w:rsidRPr="000A0A5F">
        <w:t xml:space="preserve">          $ref: 'TS29122_CommonData.yaml#/components/responses/503'</w:t>
      </w:r>
    </w:p>
    <w:p w:rsidR="00CB0DD7" w:rsidRPr="000A0A5F" w:rsidRDefault="00CB0DD7">
      <w:pPr>
        <w:pStyle w:val="PL"/>
      </w:pPr>
      <w:r w:rsidRPr="000A0A5F">
        <w:t xml:space="preserve">        default:</w:t>
      </w:r>
    </w:p>
    <w:p w:rsidR="00CB0DD7" w:rsidRPr="000A0A5F" w:rsidRDefault="00CB0DD7">
      <w:pPr>
        <w:pStyle w:val="PL"/>
        <w:rPr>
          <w:lang w:val="en-US"/>
        </w:rPr>
      </w:pPr>
      <w:r w:rsidRPr="000A0A5F">
        <w:t xml:space="preserve">          $ref: 'TS29122_CommonData.yaml#/components/responses/default'</w:t>
      </w:r>
    </w:p>
    <w:p w:rsidR="00CB0DD7" w:rsidRPr="000A0A5F" w:rsidRDefault="00CB0DD7">
      <w:pPr>
        <w:pStyle w:val="PL"/>
        <w:rPr>
          <w:rFonts w:hint="eastAsia"/>
        </w:rPr>
      </w:pPr>
    </w:p>
    <w:p w:rsidR="00CB0DD7" w:rsidRPr="000A0A5F" w:rsidRDefault="00CB0DD7">
      <w:pPr>
        <w:pStyle w:val="PL"/>
        <w:tabs>
          <w:tab w:val="clear" w:pos="384"/>
        </w:tabs>
      </w:pPr>
      <w:r w:rsidRPr="000A0A5F">
        <w:rPr>
          <w:rFonts w:hint="eastAsia"/>
        </w:rPr>
        <w:t xml:space="preserve">    </w:t>
      </w:r>
      <w:r w:rsidRPr="000A0A5F">
        <w:t>put:</w:t>
      </w:r>
    </w:p>
    <w:p w:rsidR="00CB0DD7" w:rsidRPr="000A0A5F" w:rsidRDefault="00CB0DD7">
      <w:pPr>
        <w:pStyle w:val="PL"/>
        <w:rPr>
          <w:lang w:eastAsia="zh-CN"/>
        </w:rPr>
      </w:pPr>
      <w:r w:rsidRPr="000A0A5F">
        <w:t xml:space="preserve">      summary: </w:t>
      </w:r>
      <w:r w:rsidRPr="000A0A5F">
        <w:rPr>
          <w:rFonts w:hint="eastAsia"/>
        </w:rPr>
        <w:t>Update</w:t>
      </w:r>
      <w:r w:rsidRPr="000A0A5F">
        <w:t>s an existing</w:t>
      </w:r>
      <w:r w:rsidRPr="000A0A5F">
        <w:rPr>
          <w:lang w:eastAsia="zh-CN"/>
        </w:rPr>
        <w:t xml:space="preserve"> TMGI Allocation resource for a given SCS/AS</w:t>
      </w:r>
      <w:r w:rsidRPr="000A0A5F">
        <w:rPr>
          <w:rFonts w:hint="eastAsia"/>
          <w:lang w:eastAsia="zh-CN"/>
        </w:rPr>
        <w:t xml:space="preserve"> and a TMGI</w:t>
      </w:r>
      <w:r w:rsidR="00305F4B" w:rsidRPr="000A0A5F">
        <w:rPr>
          <w:lang w:eastAsia="zh-CN"/>
        </w:rPr>
        <w:t>.</w:t>
      </w:r>
    </w:p>
    <w:p w:rsidR="00305F4B" w:rsidRPr="000A0A5F" w:rsidRDefault="00305F4B" w:rsidP="00305F4B">
      <w:pPr>
        <w:pStyle w:val="PL"/>
      </w:pPr>
      <w:r w:rsidRPr="000A0A5F">
        <w:t xml:space="preserve">      </w:t>
      </w:r>
      <w:r w:rsidRPr="000A0A5F">
        <w:rPr>
          <w:rFonts w:cs="Courier New"/>
          <w:szCs w:val="16"/>
        </w:rPr>
        <w:t>operationId: UpdateInd</w:t>
      </w:r>
      <w:r w:rsidRPr="000A0A5F">
        <w:rPr>
          <w:rFonts w:hint="eastAsia"/>
          <w:lang w:eastAsia="zh-CN"/>
        </w:rPr>
        <w:t>T</w:t>
      </w:r>
      <w:r w:rsidRPr="000A0A5F">
        <w:rPr>
          <w:lang w:eastAsia="zh-CN"/>
        </w:rPr>
        <w:t>MGIAllocation</w:t>
      </w:r>
    </w:p>
    <w:p w:rsidR="00CB0DD7" w:rsidRPr="000A0A5F" w:rsidRDefault="00CB0DD7">
      <w:pPr>
        <w:pStyle w:val="PL"/>
        <w:rPr>
          <w:lang w:val="en-US"/>
        </w:rPr>
      </w:pPr>
      <w:r w:rsidRPr="000A0A5F">
        <w:rPr>
          <w:lang w:val="en-US"/>
        </w:rPr>
        <w:t xml:space="preserve">      tags:</w:t>
      </w:r>
    </w:p>
    <w:p w:rsidR="00CB0DD7" w:rsidRPr="000A0A5F" w:rsidRDefault="00CB0DD7">
      <w:pPr>
        <w:pStyle w:val="PL"/>
        <w:rPr>
          <w:lang w:val="en-US"/>
        </w:rPr>
      </w:pPr>
      <w:r w:rsidRPr="000A0A5F">
        <w:rPr>
          <w:lang w:val="en-US"/>
        </w:rPr>
        <w:t xml:space="preserve">        - Individual TMGI Allocati</w:t>
      </w:r>
      <w:r w:rsidR="00305F4B" w:rsidRPr="000A0A5F">
        <w:rPr>
          <w:lang w:val="en-US"/>
        </w:rPr>
        <w:t>o</w:t>
      </w:r>
      <w:r w:rsidRPr="000A0A5F">
        <w:rPr>
          <w:lang w:val="en-US"/>
        </w:rPr>
        <w:t>n Operation</w:t>
      </w:r>
    </w:p>
    <w:p w:rsidR="00CB0DD7" w:rsidRPr="000A0A5F" w:rsidRDefault="00CB0DD7">
      <w:pPr>
        <w:pStyle w:val="PL"/>
        <w:rPr>
          <w:rFonts w:hint="eastAsia"/>
        </w:rPr>
      </w:pPr>
      <w:r w:rsidRPr="000A0A5F">
        <w:rPr>
          <w:rFonts w:hint="eastAsia"/>
        </w:rPr>
        <w:t xml:space="preserve">      parameters:</w:t>
      </w:r>
    </w:p>
    <w:p w:rsidR="00CB0DD7" w:rsidRPr="000A0A5F" w:rsidRDefault="00CB0DD7">
      <w:pPr>
        <w:pStyle w:val="PL"/>
        <w:rPr>
          <w:rFonts w:hint="eastAsia"/>
        </w:rPr>
      </w:pPr>
      <w:r w:rsidRPr="000A0A5F">
        <w:rPr>
          <w:rFonts w:hint="eastAsia"/>
        </w:rPr>
        <w:t xml:space="preserve">        - name: </w:t>
      </w:r>
      <w:r w:rsidRPr="000A0A5F">
        <w:t>scsAsId</w:t>
      </w:r>
    </w:p>
    <w:p w:rsidR="00CB0DD7" w:rsidRPr="000A0A5F" w:rsidRDefault="00CB0DD7">
      <w:pPr>
        <w:pStyle w:val="PL"/>
        <w:rPr>
          <w:rFonts w:hint="eastAsia"/>
        </w:rPr>
      </w:pPr>
      <w:r w:rsidRPr="000A0A5F">
        <w:rPr>
          <w:rFonts w:hint="eastAsia"/>
        </w:rPr>
        <w:t xml:space="preserve">          in: path</w:t>
      </w:r>
    </w:p>
    <w:p w:rsidR="00CB0DD7" w:rsidRPr="000A0A5F" w:rsidRDefault="00CB0DD7">
      <w:pPr>
        <w:pStyle w:val="PL"/>
        <w:rPr>
          <w:rFonts w:hint="eastAsia"/>
        </w:rPr>
      </w:pPr>
      <w:r w:rsidRPr="000A0A5F">
        <w:rPr>
          <w:rFonts w:hint="eastAsia"/>
        </w:rPr>
        <w:t xml:space="preserve">          description: Identifier of </w:t>
      </w:r>
      <w:r w:rsidRPr="000A0A5F">
        <w:t>SCS/AS</w:t>
      </w:r>
    </w:p>
    <w:p w:rsidR="00CB0DD7" w:rsidRPr="000A0A5F" w:rsidRDefault="00CB0DD7">
      <w:pPr>
        <w:pStyle w:val="PL"/>
        <w:rPr>
          <w:rFonts w:hint="eastAsia"/>
        </w:rPr>
      </w:pPr>
      <w:r w:rsidRPr="000A0A5F">
        <w:rPr>
          <w:rFonts w:hint="eastAsia"/>
        </w:rPr>
        <w:t xml:space="preserve">          required: true</w:t>
      </w:r>
    </w:p>
    <w:p w:rsidR="00CB0DD7" w:rsidRPr="000A0A5F" w:rsidRDefault="00CB0DD7">
      <w:pPr>
        <w:pStyle w:val="PL"/>
        <w:rPr>
          <w:rFonts w:hint="eastAsia"/>
        </w:rPr>
      </w:pPr>
      <w:r w:rsidRPr="000A0A5F">
        <w:rPr>
          <w:rFonts w:hint="eastAsia"/>
        </w:rPr>
        <w:t xml:space="preserve">          schema:</w:t>
      </w:r>
    </w:p>
    <w:p w:rsidR="00CB0DD7" w:rsidRPr="000A0A5F" w:rsidRDefault="00CB0DD7">
      <w:pPr>
        <w:pStyle w:val="PL"/>
      </w:pPr>
      <w:r w:rsidRPr="000A0A5F">
        <w:rPr>
          <w:rFonts w:hint="eastAsia"/>
        </w:rPr>
        <w:t xml:space="preserve">            type: string</w:t>
      </w:r>
    </w:p>
    <w:p w:rsidR="00CB0DD7" w:rsidRPr="000A0A5F" w:rsidRDefault="00CB0DD7">
      <w:pPr>
        <w:pStyle w:val="PL"/>
        <w:rPr>
          <w:rFonts w:hint="eastAsia"/>
        </w:rPr>
      </w:pPr>
      <w:r w:rsidRPr="000A0A5F">
        <w:rPr>
          <w:rFonts w:hint="eastAsia"/>
        </w:rPr>
        <w:t xml:space="preserve">        - name: </w:t>
      </w:r>
      <w:r w:rsidRPr="000A0A5F">
        <w:t>tmgi</w:t>
      </w:r>
    </w:p>
    <w:p w:rsidR="00CB0DD7" w:rsidRPr="000A0A5F" w:rsidRDefault="00CB0DD7">
      <w:pPr>
        <w:pStyle w:val="PL"/>
        <w:rPr>
          <w:rFonts w:hint="eastAsia"/>
        </w:rPr>
      </w:pPr>
      <w:r w:rsidRPr="000A0A5F">
        <w:rPr>
          <w:rFonts w:hint="eastAsia"/>
        </w:rPr>
        <w:t xml:space="preserve">          in: path</w:t>
      </w:r>
    </w:p>
    <w:p w:rsidR="00CB0DD7" w:rsidRPr="000A0A5F" w:rsidRDefault="00CB0DD7">
      <w:pPr>
        <w:pStyle w:val="PL"/>
        <w:rPr>
          <w:rFonts w:hint="eastAsia"/>
        </w:rPr>
      </w:pPr>
      <w:r w:rsidRPr="000A0A5F">
        <w:rPr>
          <w:rFonts w:hint="eastAsia"/>
        </w:rPr>
        <w:t xml:space="preserve">          description: </w:t>
      </w:r>
      <w:r w:rsidRPr="000A0A5F">
        <w:t>TMGI</w:t>
      </w:r>
    </w:p>
    <w:p w:rsidR="00CB0DD7" w:rsidRPr="000A0A5F" w:rsidRDefault="00CB0DD7">
      <w:pPr>
        <w:pStyle w:val="PL"/>
        <w:rPr>
          <w:rFonts w:hint="eastAsia"/>
        </w:rPr>
      </w:pPr>
      <w:r w:rsidRPr="000A0A5F">
        <w:rPr>
          <w:rFonts w:hint="eastAsia"/>
        </w:rPr>
        <w:t xml:space="preserve">          required: true</w:t>
      </w:r>
    </w:p>
    <w:p w:rsidR="00CB0DD7" w:rsidRPr="000A0A5F" w:rsidRDefault="00CB0DD7">
      <w:pPr>
        <w:pStyle w:val="PL"/>
        <w:rPr>
          <w:rFonts w:hint="eastAsia"/>
        </w:rPr>
      </w:pPr>
      <w:r w:rsidRPr="000A0A5F">
        <w:rPr>
          <w:rFonts w:hint="eastAsia"/>
        </w:rPr>
        <w:t xml:space="preserve">          schema:</w:t>
      </w:r>
    </w:p>
    <w:p w:rsidR="00CB0DD7" w:rsidRPr="000A0A5F" w:rsidRDefault="00CB0DD7">
      <w:pPr>
        <w:pStyle w:val="PL"/>
      </w:pPr>
      <w:r w:rsidRPr="000A0A5F">
        <w:rPr>
          <w:rFonts w:hint="eastAsia"/>
        </w:rPr>
        <w:t xml:space="preserve">            type: string</w:t>
      </w:r>
    </w:p>
    <w:p w:rsidR="00CB0DD7" w:rsidRPr="000A0A5F" w:rsidRDefault="00CB0DD7">
      <w:pPr>
        <w:pStyle w:val="PL"/>
        <w:rPr>
          <w:lang w:val="en-US"/>
        </w:rPr>
      </w:pPr>
      <w:r w:rsidRPr="000A0A5F">
        <w:rPr>
          <w:lang w:val="en-US"/>
        </w:rPr>
        <w:t xml:space="preserve">      requestBody:</w:t>
      </w:r>
    </w:p>
    <w:p w:rsidR="00CB0DD7" w:rsidRPr="000A0A5F" w:rsidRDefault="00CB0DD7">
      <w:pPr>
        <w:pStyle w:val="PL"/>
        <w:rPr>
          <w:lang w:val="en-US"/>
        </w:rPr>
      </w:pPr>
      <w:r w:rsidRPr="000A0A5F">
        <w:rPr>
          <w:lang w:val="en-US"/>
        </w:rPr>
        <w:t xml:space="preserve">        description: representation of the </w:t>
      </w:r>
      <w:r w:rsidRPr="000A0A5F">
        <w:rPr>
          <w:rFonts w:ascii="SimSun" w:hAnsi="SimSun" w:hint="eastAsia"/>
          <w:lang w:val="en-US" w:eastAsia="zh-CN"/>
        </w:rPr>
        <w:t xml:space="preserve">TMGI </w:t>
      </w:r>
      <w:r w:rsidRPr="000A0A5F">
        <w:rPr>
          <w:lang w:val="en-US"/>
        </w:rPr>
        <w:t>Allocation to be updated in the SCEF</w:t>
      </w:r>
    </w:p>
    <w:p w:rsidR="00CB0DD7" w:rsidRPr="000A0A5F" w:rsidRDefault="00CB0DD7">
      <w:pPr>
        <w:pStyle w:val="PL"/>
        <w:rPr>
          <w:lang w:val="en-US"/>
        </w:rPr>
      </w:pPr>
      <w:r w:rsidRPr="000A0A5F">
        <w:rPr>
          <w:lang w:val="en-US"/>
        </w:rPr>
        <w:t xml:space="preserve">        required: true</w:t>
      </w:r>
    </w:p>
    <w:p w:rsidR="00CB0DD7" w:rsidRPr="000A0A5F" w:rsidRDefault="00CB0DD7">
      <w:pPr>
        <w:pStyle w:val="PL"/>
        <w:rPr>
          <w:lang w:val="en-US"/>
        </w:rPr>
      </w:pPr>
      <w:r w:rsidRPr="000A0A5F">
        <w:rPr>
          <w:lang w:val="en-US"/>
        </w:rPr>
        <w:t xml:space="preserve">        content:</w:t>
      </w:r>
    </w:p>
    <w:p w:rsidR="00CB0DD7" w:rsidRPr="000A0A5F" w:rsidRDefault="00CB0DD7">
      <w:pPr>
        <w:pStyle w:val="PL"/>
        <w:rPr>
          <w:lang w:val="en-US"/>
        </w:rPr>
      </w:pPr>
      <w:r w:rsidRPr="000A0A5F">
        <w:rPr>
          <w:lang w:val="en-US"/>
        </w:rPr>
        <w:t xml:space="preserve">          application/json: </w:t>
      </w:r>
    </w:p>
    <w:p w:rsidR="00CB0DD7" w:rsidRPr="000A0A5F" w:rsidRDefault="00CB0DD7">
      <w:pPr>
        <w:pStyle w:val="PL"/>
        <w:rPr>
          <w:lang w:val="en-US"/>
        </w:rPr>
      </w:pPr>
      <w:r w:rsidRPr="000A0A5F">
        <w:rPr>
          <w:lang w:val="en-US"/>
        </w:rPr>
        <w:t xml:space="preserve">            schema:</w:t>
      </w:r>
    </w:p>
    <w:p w:rsidR="00CB0DD7" w:rsidRPr="000A0A5F" w:rsidRDefault="00CB0DD7">
      <w:pPr>
        <w:pStyle w:val="PL"/>
        <w:rPr>
          <w:lang w:val="en-US"/>
        </w:rPr>
      </w:pPr>
      <w:r w:rsidRPr="000A0A5F">
        <w:rPr>
          <w:lang w:val="en-US"/>
        </w:rPr>
        <w:t xml:space="preserve">              $ref: '#/components/schemas/T</w:t>
      </w:r>
      <w:r w:rsidRPr="000A0A5F">
        <w:rPr>
          <w:rFonts w:hint="eastAsia"/>
          <w:lang w:val="en-US"/>
        </w:rPr>
        <w:t>MGIAllocation</w:t>
      </w:r>
      <w:r w:rsidRPr="000A0A5F">
        <w:rPr>
          <w:lang w:val="en-US"/>
        </w:rPr>
        <w:t>'</w:t>
      </w:r>
    </w:p>
    <w:p w:rsidR="00CB0DD7" w:rsidRPr="000A0A5F" w:rsidRDefault="00CB0DD7">
      <w:pPr>
        <w:pStyle w:val="PL"/>
        <w:rPr>
          <w:lang w:val="en-US"/>
        </w:rPr>
      </w:pPr>
      <w:r w:rsidRPr="000A0A5F">
        <w:rPr>
          <w:lang w:val="en-US"/>
        </w:rPr>
        <w:t xml:space="preserve">      responses:</w:t>
      </w:r>
    </w:p>
    <w:p w:rsidR="00CB0DD7" w:rsidRPr="000A0A5F" w:rsidRDefault="00CB0DD7">
      <w:pPr>
        <w:pStyle w:val="PL"/>
        <w:rPr>
          <w:lang w:val="en-US"/>
        </w:rPr>
      </w:pPr>
      <w:r w:rsidRPr="000A0A5F">
        <w:rPr>
          <w:lang w:val="en-US"/>
        </w:rPr>
        <w:t xml:space="preserve">        '200':</w:t>
      </w:r>
    </w:p>
    <w:p w:rsidR="00CB0DD7" w:rsidRPr="000A0A5F" w:rsidRDefault="00CB0DD7">
      <w:pPr>
        <w:pStyle w:val="PL"/>
        <w:rPr>
          <w:lang w:val="en-US"/>
        </w:rPr>
      </w:pPr>
      <w:r w:rsidRPr="000A0A5F">
        <w:rPr>
          <w:lang w:val="en-US"/>
        </w:rPr>
        <w:t xml:space="preserve">          description: successful creation of an TMGI Allocation</w:t>
      </w:r>
    </w:p>
    <w:p w:rsidR="00CB0DD7" w:rsidRPr="000A0A5F" w:rsidRDefault="00CB0DD7">
      <w:pPr>
        <w:pStyle w:val="PL"/>
        <w:rPr>
          <w:lang w:val="en-US"/>
        </w:rPr>
      </w:pPr>
      <w:r w:rsidRPr="000A0A5F">
        <w:rPr>
          <w:lang w:val="en-US"/>
        </w:rPr>
        <w:t xml:space="preserve">          content:</w:t>
      </w:r>
    </w:p>
    <w:p w:rsidR="00CB0DD7" w:rsidRPr="000A0A5F" w:rsidRDefault="00CB0DD7">
      <w:pPr>
        <w:pStyle w:val="PL"/>
        <w:rPr>
          <w:lang w:val="en-US"/>
        </w:rPr>
      </w:pPr>
      <w:r w:rsidRPr="000A0A5F">
        <w:rPr>
          <w:lang w:val="en-US"/>
        </w:rPr>
        <w:t xml:space="preserve">            application/json:</w:t>
      </w:r>
    </w:p>
    <w:p w:rsidR="00CB0DD7" w:rsidRPr="000A0A5F" w:rsidRDefault="00CB0DD7">
      <w:pPr>
        <w:pStyle w:val="PL"/>
        <w:rPr>
          <w:lang w:val="en-US"/>
        </w:rPr>
      </w:pPr>
      <w:r w:rsidRPr="000A0A5F">
        <w:rPr>
          <w:lang w:val="en-US"/>
        </w:rPr>
        <w:t xml:space="preserve">              schema:</w:t>
      </w:r>
    </w:p>
    <w:p w:rsidR="00CB0DD7" w:rsidRPr="000A0A5F" w:rsidRDefault="00CB0DD7">
      <w:pPr>
        <w:pStyle w:val="PL"/>
        <w:rPr>
          <w:lang w:val="en-US"/>
        </w:rPr>
      </w:pPr>
      <w:r w:rsidRPr="000A0A5F">
        <w:rPr>
          <w:lang w:val="en-US"/>
        </w:rPr>
        <w:t xml:space="preserve">                $ref: '#/components/schemas/T</w:t>
      </w:r>
      <w:r w:rsidRPr="000A0A5F">
        <w:rPr>
          <w:rFonts w:hint="eastAsia"/>
          <w:lang w:val="en-US"/>
        </w:rPr>
        <w:t>MGIAllocation</w:t>
      </w:r>
      <w:r w:rsidRPr="000A0A5F">
        <w:rPr>
          <w:lang w:val="en-US"/>
        </w:rPr>
        <w:t>'</w:t>
      </w:r>
    </w:p>
    <w:p w:rsidR="0089739F" w:rsidRPr="000A0A5F" w:rsidRDefault="0089739F" w:rsidP="0089739F">
      <w:pPr>
        <w:pStyle w:val="PL"/>
      </w:pPr>
      <w:r w:rsidRPr="000A0A5F">
        <w:t xml:space="preserve">        '204':</w:t>
      </w:r>
    </w:p>
    <w:p w:rsidR="0089739F" w:rsidRPr="000A0A5F" w:rsidRDefault="0089739F" w:rsidP="0089739F">
      <w:pPr>
        <w:pStyle w:val="PL"/>
      </w:pPr>
      <w:r w:rsidRPr="000A0A5F">
        <w:t xml:space="preserve">          description: &gt;</w:t>
      </w:r>
    </w:p>
    <w:p w:rsidR="0089739F" w:rsidRPr="000A0A5F" w:rsidRDefault="0089739F" w:rsidP="0089739F">
      <w:pPr>
        <w:pStyle w:val="PL"/>
      </w:pPr>
      <w:r w:rsidRPr="000A0A5F">
        <w:t xml:space="preserve">            The TMGI expiration time renewal is successful, and no content is to be sent in</w:t>
      </w:r>
    </w:p>
    <w:p w:rsidR="0089739F" w:rsidRPr="000A0A5F" w:rsidRDefault="0089739F" w:rsidP="0089739F">
      <w:pPr>
        <w:pStyle w:val="PL"/>
      </w:pPr>
      <w:r w:rsidRPr="000A0A5F">
        <w:t xml:space="preserve">            the response message body.</w:t>
      </w:r>
    </w:p>
    <w:p w:rsidR="00CB0DD7" w:rsidRPr="000A0A5F" w:rsidRDefault="00CB0DD7">
      <w:pPr>
        <w:pStyle w:val="PL"/>
      </w:pPr>
      <w:r w:rsidRPr="000A0A5F">
        <w:t xml:space="preserve">        '307':</w:t>
      </w:r>
    </w:p>
    <w:p w:rsidR="00CB0DD7" w:rsidRPr="000A0A5F" w:rsidRDefault="00CB0DD7">
      <w:pPr>
        <w:pStyle w:val="PL"/>
      </w:pPr>
      <w:r w:rsidRPr="000A0A5F">
        <w:t xml:space="preserve">          $ref: 'TS29122_CommonData.yaml#/components/responses/307'</w:t>
      </w:r>
    </w:p>
    <w:p w:rsidR="00CB0DD7" w:rsidRPr="000A0A5F" w:rsidRDefault="00CB0DD7">
      <w:pPr>
        <w:pStyle w:val="PL"/>
      </w:pPr>
      <w:r w:rsidRPr="000A0A5F">
        <w:t xml:space="preserve">        '308':</w:t>
      </w:r>
    </w:p>
    <w:p w:rsidR="00CB0DD7" w:rsidRPr="000A0A5F" w:rsidRDefault="00CB0DD7">
      <w:pPr>
        <w:pStyle w:val="PL"/>
      </w:pPr>
      <w:r w:rsidRPr="000A0A5F">
        <w:t xml:space="preserve">          $ref: 'TS29122_CommonData.yaml#/components/responses/308'</w:t>
      </w:r>
    </w:p>
    <w:p w:rsidR="00CB0DD7" w:rsidRPr="000A0A5F" w:rsidRDefault="00CB0DD7">
      <w:pPr>
        <w:pStyle w:val="PL"/>
      </w:pPr>
      <w:r w:rsidRPr="000A0A5F">
        <w:t xml:space="preserve">        '400':</w:t>
      </w:r>
    </w:p>
    <w:p w:rsidR="00CB0DD7" w:rsidRPr="000A0A5F" w:rsidRDefault="00CB0DD7">
      <w:pPr>
        <w:pStyle w:val="PL"/>
      </w:pPr>
      <w:r w:rsidRPr="000A0A5F">
        <w:t xml:space="preserve">          $ref: 'TS29122_CommonData.yaml#/components/responses/400'</w:t>
      </w:r>
    </w:p>
    <w:p w:rsidR="00CB0DD7" w:rsidRPr="000A0A5F" w:rsidRDefault="00CB0DD7">
      <w:pPr>
        <w:pStyle w:val="PL"/>
      </w:pPr>
      <w:r w:rsidRPr="000A0A5F">
        <w:t xml:space="preserve">        '401':</w:t>
      </w:r>
    </w:p>
    <w:p w:rsidR="00CB0DD7" w:rsidRPr="000A0A5F" w:rsidRDefault="00CB0DD7">
      <w:pPr>
        <w:pStyle w:val="PL"/>
      </w:pPr>
      <w:r w:rsidRPr="000A0A5F">
        <w:t xml:space="preserve">          $ref: 'TS29122_CommonData.yaml#/components/responses/401'</w:t>
      </w:r>
    </w:p>
    <w:p w:rsidR="00CB0DD7" w:rsidRPr="000A0A5F" w:rsidRDefault="00CB0DD7">
      <w:pPr>
        <w:pStyle w:val="PL"/>
      </w:pPr>
      <w:r w:rsidRPr="000A0A5F">
        <w:t xml:space="preserve">        '403':</w:t>
      </w:r>
    </w:p>
    <w:p w:rsidR="00CB0DD7" w:rsidRPr="000A0A5F" w:rsidRDefault="00CB0DD7">
      <w:pPr>
        <w:pStyle w:val="PL"/>
      </w:pPr>
      <w:r w:rsidRPr="000A0A5F">
        <w:t xml:space="preserve">          $ref: 'TS29122_CommonData.yaml#/components/responses/403'</w:t>
      </w:r>
    </w:p>
    <w:p w:rsidR="00CB0DD7" w:rsidRPr="000A0A5F" w:rsidRDefault="00CB0DD7">
      <w:pPr>
        <w:pStyle w:val="PL"/>
      </w:pPr>
      <w:r w:rsidRPr="000A0A5F">
        <w:t xml:space="preserve">        '404':</w:t>
      </w:r>
    </w:p>
    <w:p w:rsidR="00CB0DD7" w:rsidRPr="000A0A5F" w:rsidRDefault="00CB0DD7">
      <w:pPr>
        <w:pStyle w:val="PL"/>
      </w:pPr>
      <w:r w:rsidRPr="000A0A5F">
        <w:t xml:space="preserve">          $ref: 'TS29122_CommonData.yaml#/components/responses/404'</w:t>
      </w:r>
    </w:p>
    <w:p w:rsidR="00CB0DD7" w:rsidRPr="000A0A5F" w:rsidRDefault="00CB0DD7">
      <w:pPr>
        <w:pStyle w:val="PL"/>
      </w:pPr>
      <w:r w:rsidRPr="000A0A5F">
        <w:t xml:space="preserve">        '411':</w:t>
      </w:r>
    </w:p>
    <w:p w:rsidR="00CB0DD7" w:rsidRPr="000A0A5F" w:rsidRDefault="00CB0DD7">
      <w:pPr>
        <w:pStyle w:val="PL"/>
      </w:pPr>
      <w:r w:rsidRPr="000A0A5F">
        <w:t xml:space="preserve">          $ref: 'TS29122_CommonData.yaml#/components/responses/411'</w:t>
      </w:r>
    </w:p>
    <w:p w:rsidR="00CB0DD7" w:rsidRPr="000A0A5F" w:rsidRDefault="00CB0DD7">
      <w:pPr>
        <w:pStyle w:val="PL"/>
      </w:pPr>
      <w:r w:rsidRPr="000A0A5F">
        <w:t xml:space="preserve">        '413':</w:t>
      </w:r>
    </w:p>
    <w:p w:rsidR="00CB0DD7" w:rsidRPr="000A0A5F" w:rsidRDefault="00CB0DD7">
      <w:pPr>
        <w:pStyle w:val="PL"/>
      </w:pPr>
      <w:r w:rsidRPr="000A0A5F">
        <w:t xml:space="preserve">          $ref: 'TS29122_CommonData.yaml#/components/responses/413'</w:t>
      </w:r>
    </w:p>
    <w:p w:rsidR="00CB0DD7" w:rsidRPr="000A0A5F" w:rsidRDefault="00CB0DD7">
      <w:pPr>
        <w:pStyle w:val="PL"/>
      </w:pPr>
      <w:r w:rsidRPr="000A0A5F">
        <w:t xml:space="preserve">        '415':</w:t>
      </w:r>
    </w:p>
    <w:p w:rsidR="00CB0DD7" w:rsidRPr="000A0A5F" w:rsidRDefault="00CB0DD7">
      <w:pPr>
        <w:pStyle w:val="PL"/>
      </w:pPr>
      <w:r w:rsidRPr="000A0A5F">
        <w:t xml:space="preserve">          $ref: 'TS29122_CommonData.yaml#/components/responses/415'</w:t>
      </w:r>
    </w:p>
    <w:p w:rsidR="00CB0DD7" w:rsidRPr="000A0A5F" w:rsidRDefault="00CB0DD7">
      <w:pPr>
        <w:pStyle w:val="PL"/>
      </w:pPr>
      <w:r w:rsidRPr="000A0A5F">
        <w:t xml:space="preserve">        '429':</w:t>
      </w:r>
    </w:p>
    <w:p w:rsidR="00CB0DD7" w:rsidRPr="000A0A5F" w:rsidRDefault="00CB0DD7">
      <w:pPr>
        <w:pStyle w:val="PL"/>
      </w:pPr>
      <w:r w:rsidRPr="000A0A5F">
        <w:t xml:space="preserve">          $ref: 'TS29122_CommonData.yaml#/components/responses/429'</w:t>
      </w:r>
    </w:p>
    <w:p w:rsidR="00CB0DD7" w:rsidRPr="000A0A5F" w:rsidRDefault="00CB0DD7">
      <w:pPr>
        <w:pStyle w:val="PL"/>
      </w:pPr>
      <w:r w:rsidRPr="000A0A5F">
        <w:t xml:space="preserve">        '500':</w:t>
      </w:r>
    </w:p>
    <w:p w:rsidR="00CB0DD7" w:rsidRPr="000A0A5F" w:rsidRDefault="00CB0DD7">
      <w:pPr>
        <w:pStyle w:val="PL"/>
      </w:pPr>
      <w:r w:rsidRPr="000A0A5F">
        <w:t xml:space="preserve">          $ref: 'TS29122_CommonData.yaml#/components/responses/500'</w:t>
      </w:r>
    </w:p>
    <w:p w:rsidR="00CB0DD7" w:rsidRPr="000A0A5F" w:rsidRDefault="00CB0DD7">
      <w:pPr>
        <w:pStyle w:val="PL"/>
      </w:pPr>
      <w:r w:rsidRPr="000A0A5F">
        <w:t xml:space="preserve">        '503':</w:t>
      </w:r>
    </w:p>
    <w:p w:rsidR="00CB0DD7" w:rsidRPr="000A0A5F" w:rsidRDefault="00CB0DD7">
      <w:pPr>
        <w:pStyle w:val="PL"/>
      </w:pPr>
      <w:r w:rsidRPr="000A0A5F">
        <w:t xml:space="preserve">          $ref: 'TS29122_CommonData.yaml#/components/responses/503'</w:t>
      </w:r>
    </w:p>
    <w:p w:rsidR="00CB0DD7" w:rsidRPr="000A0A5F" w:rsidRDefault="00CB0DD7">
      <w:pPr>
        <w:pStyle w:val="PL"/>
      </w:pPr>
      <w:r w:rsidRPr="000A0A5F">
        <w:t xml:space="preserve">        default:</w:t>
      </w:r>
    </w:p>
    <w:p w:rsidR="00CB0DD7" w:rsidRPr="000A0A5F" w:rsidRDefault="00CB0DD7">
      <w:pPr>
        <w:pStyle w:val="PL"/>
        <w:rPr>
          <w:lang w:val="en-US"/>
        </w:rPr>
      </w:pPr>
      <w:r w:rsidRPr="000A0A5F">
        <w:t xml:space="preserve">          $ref: 'TS29122_CommonData.yaml#/components/responses/default'</w:t>
      </w:r>
    </w:p>
    <w:p w:rsidR="00CB0DD7" w:rsidRPr="000A0A5F" w:rsidRDefault="00CB0DD7">
      <w:pPr>
        <w:pStyle w:val="PL"/>
        <w:tabs>
          <w:tab w:val="clear" w:pos="384"/>
        </w:tabs>
        <w:rPr>
          <w:rFonts w:ascii="SimSun" w:hAnsi="SimSun"/>
          <w:lang w:val="en-US" w:eastAsia="zh-CN"/>
        </w:rPr>
      </w:pPr>
    </w:p>
    <w:p w:rsidR="00CB0DD7" w:rsidRPr="000A0A5F" w:rsidRDefault="00CB0DD7">
      <w:pPr>
        <w:pStyle w:val="PL"/>
        <w:tabs>
          <w:tab w:val="clear" w:pos="384"/>
        </w:tabs>
      </w:pPr>
      <w:r w:rsidRPr="000A0A5F">
        <w:rPr>
          <w:rFonts w:hint="eastAsia"/>
        </w:rPr>
        <w:t xml:space="preserve">    </w:t>
      </w:r>
      <w:r w:rsidRPr="000A0A5F">
        <w:t>patch:</w:t>
      </w:r>
    </w:p>
    <w:p w:rsidR="00CB0DD7" w:rsidRPr="000A0A5F" w:rsidRDefault="00CB0DD7">
      <w:pPr>
        <w:pStyle w:val="PL"/>
      </w:pPr>
      <w:r w:rsidRPr="000A0A5F">
        <w:rPr>
          <w:lang w:val="en-US"/>
        </w:rPr>
        <w:t xml:space="preserve">      </w:t>
      </w:r>
      <w:r w:rsidRPr="000A0A5F">
        <w:t xml:space="preserve">summary: </w:t>
      </w:r>
      <w:r w:rsidRPr="000A0A5F">
        <w:rPr>
          <w:rFonts w:hint="eastAsia"/>
        </w:rPr>
        <w:t>Update</w:t>
      </w:r>
      <w:r w:rsidRPr="000A0A5F">
        <w:t>s an existing TMGI Allocation resource for a given SCS/AS</w:t>
      </w:r>
      <w:r w:rsidRPr="000A0A5F">
        <w:rPr>
          <w:rFonts w:hint="eastAsia"/>
        </w:rPr>
        <w:t xml:space="preserve"> and a TMGI</w:t>
      </w:r>
      <w:r w:rsidR="00305F4B" w:rsidRPr="000A0A5F">
        <w:t>.</w:t>
      </w:r>
    </w:p>
    <w:p w:rsidR="00305F4B" w:rsidRPr="000A0A5F" w:rsidRDefault="00305F4B" w:rsidP="00305F4B">
      <w:pPr>
        <w:pStyle w:val="PL"/>
      </w:pPr>
      <w:r w:rsidRPr="000A0A5F">
        <w:t xml:space="preserve">      </w:t>
      </w:r>
      <w:r w:rsidRPr="000A0A5F">
        <w:rPr>
          <w:rFonts w:cs="Courier New"/>
          <w:szCs w:val="16"/>
        </w:rPr>
        <w:t>operationId: ModifyInd</w:t>
      </w:r>
      <w:r w:rsidRPr="000A0A5F">
        <w:rPr>
          <w:rFonts w:hint="eastAsia"/>
          <w:lang w:eastAsia="zh-CN"/>
        </w:rPr>
        <w:t>T</w:t>
      </w:r>
      <w:r w:rsidRPr="000A0A5F">
        <w:rPr>
          <w:lang w:eastAsia="zh-CN"/>
        </w:rPr>
        <w:t>MGIAllocation</w:t>
      </w:r>
    </w:p>
    <w:p w:rsidR="00CB0DD7" w:rsidRPr="000A0A5F" w:rsidRDefault="00CB0DD7">
      <w:pPr>
        <w:pStyle w:val="PL"/>
        <w:rPr>
          <w:lang w:val="en-US"/>
        </w:rPr>
      </w:pPr>
      <w:r w:rsidRPr="000A0A5F">
        <w:rPr>
          <w:lang w:val="en-US"/>
        </w:rPr>
        <w:t xml:space="preserve">      tags:</w:t>
      </w:r>
    </w:p>
    <w:p w:rsidR="00CB0DD7" w:rsidRPr="000A0A5F" w:rsidRDefault="00CB0DD7">
      <w:pPr>
        <w:pStyle w:val="PL"/>
        <w:rPr>
          <w:lang w:val="en-US"/>
        </w:rPr>
      </w:pPr>
      <w:r w:rsidRPr="000A0A5F">
        <w:rPr>
          <w:lang w:val="en-US"/>
        </w:rPr>
        <w:t xml:space="preserve">        - Individual TMGI Allocati</w:t>
      </w:r>
      <w:r w:rsidR="00305F4B" w:rsidRPr="000A0A5F">
        <w:rPr>
          <w:lang w:val="en-US"/>
        </w:rPr>
        <w:t>o</w:t>
      </w:r>
      <w:r w:rsidRPr="000A0A5F">
        <w:rPr>
          <w:lang w:val="en-US"/>
        </w:rPr>
        <w:t>n Operation</w:t>
      </w:r>
    </w:p>
    <w:p w:rsidR="00CB0DD7" w:rsidRPr="000A0A5F" w:rsidRDefault="00CB0DD7">
      <w:pPr>
        <w:pStyle w:val="PL"/>
        <w:rPr>
          <w:rFonts w:hint="eastAsia"/>
        </w:rPr>
      </w:pPr>
      <w:r w:rsidRPr="000A0A5F">
        <w:rPr>
          <w:rFonts w:hint="eastAsia"/>
        </w:rPr>
        <w:t xml:space="preserve">      parameters:</w:t>
      </w:r>
    </w:p>
    <w:p w:rsidR="00CB0DD7" w:rsidRPr="000A0A5F" w:rsidRDefault="00CB0DD7">
      <w:pPr>
        <w:pStyle w:val="PL"/>
        <w:rPr>
          <w:rFonts w:hint="eastAsia"/>
        </w:rPr>
      </w:pPr>
      <w:r w:rsidRPr="000A0A5F">
        <w:rPr>
          <w:rFonts w:hint="eastAsia"/>
        </w:rPr>
        <w:t xml:space="preserve">        - name: </w:t>
      </w:r>
      <w:r w:rsidRPr="000A0A5F">
        <w:t>scsAsId</w:t>
      </w:r>
    </w:p>
    <w:p w:rsidR="00CB0DD7" w:rsidRPr="000A0A5F" w:rsidRDefault="00CB0DD7">
      <w:pPr>
        <w:pStyle w:val="PL"/>
        <w:rPr>
          <w:rFonts w:hint="eastAsia"/>
        </w:rPr>
      </w:pPr>
      <w:r w:rsidRPr="000A0A5F">
        <w:rPr>
          <w:rFonts w:hint="eastAsia"/>
        </w:rPr>
        <w:t xml:space="preserve">          in: path</w:t>
      </w:r>
    </w:p>
    <w:p w:rsidR="00CB0DD7" w:rsidRPr="000A0A5F" w:rsidRDefault="00CB0DD7">
      <w:pPr>
        <w:pStyle w:val="PL"/>
        <w:rPr>
          <w:rFonts w:hint="eastAsia"/>
        </w:rPr>
      </w:pPr>
      <w:r w:rsidRPr="000A0A5F">
        <w:rPr>
          <w:rFonts w:hint="eastAsia"/>
        </w:rPr>
        <w:t xml:space="preserve">          description: Identifier of </w:t>
      </w:r>
      <w:r w:rsidRPr="000A0A5F">
        <w:t>SCS/AS</w:t>
      </w:r>
    </w:p>
    <w:p w:rsidR="00CB0DD7" w:rsidRPr="000A0A5F" w:rsidRDefault="00CB0DD7">
      <w:pPr>
        <w:pStyle w:val="PL"/>
        <w:rPr>
          <w:rFonts w:hint="eastAsia"/>
        </w:rPr>
      </w:pPr>
      <w:r w:rsidRPr="000A0A5F">
        <w:rPr>
          <w:rFonts w:hint="eastAsia"/>
        </w:rPr>
        <w:t xml:space="preserve">          required: true</w:t>
      </w:r>
    </w:p>
    <w:p w:rsidR="00CB0DD7" w:rsidRPr="000A0A5F" w:rsidRDefault="00CB0DD7">
      <w:pPr>
        <w:pStyle w:val="PL"/>
        <w:rPr>
          <w:rFonts w:hint="eastAsia"/>
        </w:rPr>
      </w:pPr>
      <w:r w:rsidRPr="000A0A5F">
        <w:rPr>
          <w:rFonts w:hint="eastAsia"/>
        </w:rPr>
        <w:t xml:space="preserve">          schema:</w:t>
      </w:r>
    </w:p>
    <w:p w:rsidR="00CB0DD7" w:rsidRPr="000A0A5F" w:rsidRDefault="00CB0DD7">
      <w:pPr>
        <w:pStyle w:val="PL"/>
      </w:pPr>
      <w:r w:rsidRPr="000A0A5F">
        <w:rPr>
          <w:rFonts w:hint="eastAsia"/>
        </w:rPr>
        <w:t xml:space="preserve">            type: string</w:t>
      </w:r>
    </w:p>
    <w:p w:rsidR="00CB0DD7" w:rsidRPr="000A0A5F" w:rsidRDefault="00CB0DD7">
      <w:pPr>
        <w:pStyle w:val="PL"/>
        <w:rPr>
          <w:rFonts w:hint="eastAsia"/>
        </w:rPr>
      </w:pPr>
      <w:r w:rsidRPr="000A0A5F">
        <w:rPr>
          <w:rFonts w:hint="eastAsia"/>
        </w:rPr>
        <w:t xml:space="preserve">        - name: </w:t>
      </w:r>
      <w:r w:rsidRPr="000A0A5F">
        <w:t>tmgi</w:t>
      </w:r>
    </w:p>
    <w:p w:rsidR="00CB0DD7" w:rsidRPr="000A0A5F" w:rsidRDefault="00CB0DD7">
      <w:pPr>
        <w:pStyle w:val="PL"/>
        <w:rPr>
          <w:rFonts w:hint="eastAsia"/>
        </w:rPr>
      </w:pPr>
      <w:r w:rsidRPr="000A0A5F">
        <w:rPr>
          <w:rFonts w:hint="eastAsia"/>
        </w:rPr>
        <w:t xml:space="preserve">          in: path</w:t>
      </w:r>
    </w:p>
    <w:p w:rsidR="00CB0DD7" w:rsidRPr="000A0A5F" w:rsidRDefault="00CB0DD7">
      <w:pPr>
        <w:pStyle w:val="PL"/>
        <w:rPr>
          <w:rFonts w:hint="eastAsia"/>
        </w:rPr>
      </w:pPr>
      <w:r w:rsidRPr="000A0A5F">
        <w:rPr>
          <w:rFonts w:hint="eastAsia"/>
        </w:rPr>
        <w:t xml:space="preserve">          description: </w:t>
      </w:r>
      <w:r w:rsidRPr="000A0A5F">
        <w:t>TMGI</w:t>
      </w:r>
    </w:p>
    <w:p w:rsidR="00CB0DD7" w:rsidRPr="000A0A5F" w:rsidRDefault="00CB0DD7">
      <w:pPr>
        <w:pStyle w:val="PL"/>
        <w:rPr>
          <w:rFonts w:hint="eastAsia"/>
        </w:rPr>
      </w:pPr>
      <w:r w:rsidRPr="000A0A5F">
        <w:rPr>
          <w:rFonts w:hint="eastAsia"/>
        </w:rPr>
        <w:t xml:space="preserve">          required: true</w:t>
      </w:r>
    </w:p>
    <w:p w:rsidR="00CB0DD7" w:rsidRPr="000A0A5F" w:rsidRDefault="00CB0DD7">
      <w:pPr>
        <w:pStyle w:val="PL"/>
        <w:rPr>
          <w:rFonts w:hint="eastAsia"/>
        </w:rPr>
      </w:pPr>
      <w:r w:rsidRPr="000A0A5F">
        <w:rPr>
          <w:rFonts w:hint="eastAsia"/>
        </w:rPr>
        <w:t xml:space="preserve">          schema:</w:t>
      </w:r>
    </w:p>
    <w:p w:rsidR="00CB0DD7" w:rsidRPr="000A0A5F" w:rsidRDefault="00CB0DD7">
      <w:pPr>
        <w:pStyle w:val="PL"/>
      </w:pPr>
      <w:r w:rsidRPr="000A0A5F">
        <w:rPr>
          <w:rFonts w:hint="eastAsia"/>
        </w:rPr>
        <w:t xml:space="preserve">            type: string</w:t>
      </w:r>
    </w:p>
    <w:p w:rsidR="00CB0DD7" w:rsidRPr="000A0A5F" w:rsidRDefault="00CB0DD7">
      <w:pPr>
        <w:pStyle w:val="PL"/>
      </w:pPr>
      <w:r w:rsidRPr="000A0A5F">
        <w:t xml:space="preserve">      requestBody:</w:t>
      </w:r>
    </w:p>
    <w:p w:rsidR="00CB0DD7" w:rsidRPr="000A0A5F" w:rsidRDefault="00CB0DD7">
      <w:pPr>
        <w:pStyle w:val="PL"/>
        <w:rPr>
          <w:lang w:val="en-US"/>
        </w:rPr>
      </w:pPr>
      <w:r w:rsidRPr="000A0A5F">
        <w:rPr>
          <w:lang w:val="en-US"/>
        </w:rPr>
        <w:t xml:space="preserve">        description: representation of the </w:t>
      </w:r>
      <w:r w:rsidRPr="000A0A5F">
        <w:rPr>
          <w:rFonts w:hint="eastAsia"/>
          <w:lang w:val="en-US"/>
        </w:rPr>
        <w:t xml:space="preserve">TMGI </w:t>
      </w:r>
      <w:r w:rsidRPr="000A0A5F">
        <w:rPr>
          <w:lang w:val="en-US"/>
        </w:rPr>
        <w:t>Allocation to be updated in the SCEF</w:t>
      </w:r>
    </w:p>
    <w:p w:rsidR="00CB0DD7" w:rsidRPr="000A0A5F" w:rsidRDefault="00CB0DD7">
      <w:pPr>
        <w:pStyle w:val="PL"/>
        <w:rPr>
          <w:lang w:val="en-US"/>
        </w:rPr>
      </w:pPr>
      <w:r w:rsidRPr="000A0A5F">
        <w:rPr>
          <w:lang w:val="en-US"/>
        </w:rPr>
        <w:t xml:space="preserve">        required: true</w:t>
      </w:r>
    </w:p>
    <w:p w:rsidR="00CB0DD7" w:rsidRPr="000A0A5F" w:rsidRDefault="00CB0DD7">
      <w:pPr>
        <w:pStyle w:val="PL"/>
        <w:rPr>
          <w:lang w:val="en-US"/>
        </w:rPr>
      </w:pPr>
      <w:r w:rsidRPr="000A0A5F">
        <w:rPr>
          <w:lang w:val="en-US"/>
        </w:rPr>
        <w:t xml:space="preserve">        content:</w:t>
      </w:r>
    </w:p>
    <w:p w:rsidR="00CB0DD7" w:rsidRPr="000A0A5F" w:rsidRDefault="00CB0DD7">
      <w:pPr>
        <w:pStyle w:val="PL"/>
        <w:rPr>
          <w:lang w:val="en-US"/>
        </w:rPr>
      </w:pPr>
      <w:r w:rsidRPr="000A0A5F">
        <w:rPr>
          <w:lang w:val="en-US"/>
        </w:rPr>
        <w:t xml:space="preserve">          application/merge-patch+json: </w:t>
      </w:r>
    </w:p>
    <w:p w:rsidR="00CB0DD7" w:rsidRPr="000A0A5F" w:rsidRDefault="00CB0DD7">
      <w:pPr>
        <w:pStyle w:val="PL"/>
        <w:rPr>
          <w:lang w:val="en-US"/>
        </w:rPr>
      </w:pPr>
      <w:r w:rsidRPr="000A0A5F">
        <w:rPr>
          <w:lang w:val="en-US"/>
        </w:rPr>
        <w:t xml:space="preserve">            schema:</w:t>
      </w:r>
    </w:p>
    <w:p w:rsidR="00CB0DD7" w:rsidRPr="000A0A5F" w:rsidRDefault="00CB0DD7">
      <w:pPr>
        <w:pStyle w:val="PL"/>
        <w:rPr>
          <w:lang w:val="en-US"/>
        </w:rPr>
      </w:pPr>
      <w:r w:rsidRPr="000A0A5F">
        <w:rPr>
          <w:lang w:val="en-US"/>
        </w:rPr>
        <w:t xml:space="preserve">              $ref: '#/components/schemas/T</w:t>
      </w:r>
      <w:r w:rsidRPr="000A0A5F">
        <w:rPr>
          <w:rFonts w:hint="eastAsia"/>
          <w:lang w:val="en-US"/>
        </w:rPr>
        <w:t>MGIAllocation</w:t>
      </w:r>
      <w:r w:rsidRPr="000A0A5F">
        <w:rPr>
          <w:lang w:val="en-US"/>
        </w:rPr>
        <w:t>Patch'</w:t>
      </w:r>
    </w:p>
    <w:p w:rsidR="00CB0DD7" w:rsidRPr="000A0A5F" w:rsidRDefault="00CB0DD7">
      <w:pPr>
        <w:pStyle w:val="PL"/>
        <w:rPr>
          <w:lang w:val="en-US"/>
        </w:rPr>
      </w:pPr>
      <w:r w:rsidRPr="000A0A5F">
        <w:rPr>
          <w:lang w:val="en-US"/>
        </w:rPr>
        <w:t xml:space="preserve">      responses:</w:t>
      </w:r>
    </w:p>
    <w:p w:rsidR="00CB0DD7" w:rsidRPr="000A0A5F" w:rsidRDefault="00CB0DD7">
      <w:pPr>
        <w:pStyle w:val="PL"/>
        <w:rPr>
          <w:lang w:val="en-US"/>
        </w:rPr>
      </w:pPr>
      <w:r w:rsidRPr="000A0A5F">
        <w:rPr>
          <w:lang w:val="en-US"/>
        </w:rPr>
        <w:t xml:space="preserve">        '200':</w:t>
      </w:r>
    </w:p>
    <w:p w:rsidR="00CB0DD7" w:rsidRPr="000A0A5F" w:rsidRDefault="00CB0DD7">
      <w:pPr>
        <w:pStyle w:val="PL"/>
        <w:rPr>
          <w:lang w:val="en-US"/>
        </w:rPr>
      </w:pPr>
      <w:r w:rsidRPr="000A0A5F">
        <w:rPr>
          <w:lang w:val="en-US"/>
        </w:rPr>
        <w:t xml:space="preserve">          description: successful creation of an TMGI Allocation</w:t>
      </w:r>
    </w:p>
    <w:p w:rsidR="00CB0DD7" w:rsidRPr="000A0A5F" w:rsidRDefault="00CB0DD7">
      <w:pPr>
        <w:pStyle w:val="PL"/>
        <w:rPr>
          <w:lang w:val="en-US"/>
        </w:rPr>
      </w:pPr>
      <w:r w:rsidRPr="000A0A5F">
        <w:rPr>
          <w:lang w:val="en-US"/>
        </w:rPr>
        <w:t xml:space="preserve">          content:</w:t>
      </w:r>
    </w:p>
    <w:p w:rsidR="00CB0DD7" w:rsidRPr="000A0A5F" w:rsidRDefault="00CB0DD7">
      <w:pPr>
        <w:pStyle w:val="PL"/>
        <w:rPr>
          <w:lang w:val="en-US"/>
        </w:rPr>
      </w:pPr>
      <w:r w:rsidRPr="000A0A5F">
        <w:rPr>
          <w:lang w:val="en-US"/>
        </w:rPr>
        <w:t xml:space="preserve">            application/json:</w:t>
      </w:r>
    </w:p>
    <w:p w:rsidR="00CB0DD7" w:rsidRPr="000A0A5F" w:rsidRDefault="00CB0DD7">
      <w:pPr>
        <w:pStyle w:val="PL"/>
        <w:rPr>
          <w:lang w:val="en-US"/>
        </w:rPr>
      </w:pPr>
      <w:r w:rsidRPr="000A0A5F">
        <w:rPr>
          <w:lang w:val="en-US"/>
        </w:rPr>
        <w:t xml:space="preserve">              schema:</w:t>
      </w:r>
    </w:p>
    <w:p w:rsidR="00CB0DD7" w:rsidRPr="000A0A5F" w:rsidRDefault="00CB0DD7">
      <w:pPr>
        <w:pStyle w:val="PL"/>
        <w:rPr>
          <w:lang w:val="en-US"/>
        </w:rPr>
      </w:pPr>
      <w:r w:rsidRPr="000A0A5F">
        <w:rPr>
          <w:lang w:val="en-US"/>
        </w:rPr>
        <w:t xml:space="preserve">                $ref: '#/components/schemas/T</w:t>
      </w:r>
      <w:r w:rsidRPr="000A0A5F">
        <w:rPr>
          <w:rFonts w:hint="eastAsia"/>
          <w:lang w:val="en-US"/>
        </w:rPr>
        <w:t>MGIAllocation</w:t>
      </w:r>
      <w:r w:rsidRPr="000A0A5F">
        <w:rPr>
          <w:lang w:val="en-US"/>
        </w:rPr>
        <w:t>'</w:t>
      </w:r>
    </w:p>
    <w:p w:rsidR="0089739F" w:rsidRPr="000A0A5F" w:rsidRDefault="0089739F" w:rsidP="0089739F">
      <w:pPr>
        <w:pStyle w:val="PL"/>
      </w:pPr>
      <w:r w:rsidRPr="000A0A5F">
        <w:t xml:space="preserve">        '204':</w:t>
      </w:r>
    </w:p>
    <w:p w:rsidR="0089739F" w:rsidRPr="000A0A5F" w:rsidRDefault="0089739F" w:rsidP="0089739F">
      <w:pPr>
        <w:pStyle w:val="PL"/>
      </w:pPr>
      <w:r w:rsidRPr="000A0A5F">
        <w:t xml:space="preserve">          description: &gt;</w:t>
      </w:r>
    </w:p>
    <w:p w:rsidR="0089739F" w:rsidRPr="000A0A5F" w:rsidRDefault="0089739F" w:rsidP="0089739F">
      <w:pPr>
        <w:pStyle w:val="PL"/>
      </w:pPr>
      <w:r w:rsidRPr="000A0A5F">
        <w:t xml:space="preserve">            The TMGI expiration time renewal is successful, and no content is to be sent</w:t>
      </w:r>
    </w:p>
    <w:p w:rsidR="0089739F" w:rsidRPr="000A0A5F" w:rsidRDefault="0089739F" w:rsidP="0089739F">
      <w:pPr>
        <w:pStyle w:val="PL"/>
      </w:pPr>
      <w:r w:rsidRPr="000A0A5F">
        <w:t xml:space="preserve">            in the response message body.</w:t>
      </w:r>
    </w:p>
    <w:p w:rsidR="00CB0DD7" w:rsidRPr="000A0A5F" w:rsidRDefault="00CB0DD7">
      <w:pPr>
        <w:pStyle w:val="PL"/>
      </w:pPr>
      <w:r w:rsidRPr="000A0A5F">
        <w:t xml:space="preserve">        '307':</w:t>
      </w:r>
    </w:p>
    <w:p w:rsidR="00CB0DD7" w:rsidRPr="000A0A5F" w:rsidRDefault="00CB0DD7">
      <w:pPr>
        <w:pStyle w:val="PL"/>
      </w:pPr>
      <w:r w:rsidRPr="000A0A5F">
        <w:t xml:space="preserve">          $ref: 'TS29122_CommonData.yaml#/components/responses/307'</w:t>
      </w:r>
    </w:p>
    <w:p w:rsidR="00CB0DD7" w:rsidRPr="000A0A5F" w:rsidRDefault="00CB0DD7">
      <w:pPr>
        <w:pStyle w:val="PL"/>
      </w:pPr>
      <w:r w:rsidRPr="000A0A5F">
        <w:t xml:space="preserve">        '308':</w:t>
      </w:r>
    </w:p>
    <w:p w:rsidR="00CB0DD7" w:rsidRPr="000A0A5F" w:rsidRDefault="00CB0DD7">
      <w:pPr>
        <w:pStyle w:val="PL"/>
      </w:pPr>
      <w:r w:rsidRPr="000A0A5F">
        <w:t xml:space="preserve">          $ref: 'TS29122_CommonData.yaml#/components/responses/308'</w:t>
      </w:r>
    </w:p>
    <w:p w:rsidR="00CB0DD7" w:rsidRPr="000A0A5F" w:rsidRDefault="00CB0DD7">
      <w:pPr>
        <w:pStyle w:val="PL"/>
      </w:pPr>
      <w:r w:rsidRPr="000A0A5F">
        <w:t xml:space="preserve">        '400':</w:t>
      </w:r>
    </w:p>
    <w:p w:rsidR="00CB0DD7" w:rsidRPr="000A0A5F" w:rsidRDefault="00CB0DD7">
      <w:pPr>
        <w:pStyle w:val="PL"/>
      </w:pPr>
      <w:r w:rsidRPr="000A0A5F">
        <w:t xml:space="preserve">          $ref: 'TS29122_CommonData.yaml#/components/responses/400'</w:t>
      </w:r>
    </w:p>
    <w:p w:rsidR="00CB0DD7" w:rsidRPr="000A0A5F" w:rsidRDefault="00CB0DD7">
      <w:pPr>
        <w:pStyle w:val="PL"/>
      </w:pPr>
      <w:r w:rsidRPr="000A0A5F">
        <w:t xml:space="preserve">        '401':</w:t>
      </w:r>
    </w:p>
    <w:p w:rsidR="00CB0DD7" w:rsidRPr="000A0A5F" w:rsidRDefault="00CB0DD7">
      <w:pPr>
        <w:pStyle w:val="PL"/>
      </w:pPr>
      <w:r w:rsidRPr="000A0A5F">
        <w:t xml:space="preserve">          $ref: 'TS29122_CommonData.yaml#/components/responses/401'</w:t>
      </w:r>
    </w:p>
    <w:p w:rsidR="00CB0DD7" w:rsidRPr="000A0A5F" w:rsidRDefault="00CB0DD7">
      <w:pPr>
        <w:pStyle w:val="PL"/>
      </w:pPr>
      <w:r w:rsidRPr="000A0A5F">
        <w:t xml:space="preserve">        '403':</w:t>
      </w:r>
    </w:p>
    <w:p w:rsidR="00CB0DD7" w:rsidRPr="000A0A5F" w:rsidRDefault="00CB0DD7">
      <w:pPr>
        <w:pStyle w:val="PL"/>
      </w:pPr>
      <w:r w:rsidRPr="000A0A5F">
        <w:t xml:space="preserve">          $ref: 'TS29122_CommonData.yaml#/components/responses/403'</w:t>
      </w:r>
    </w:p>
    <w:p w:rsidR="00CB0DD7" w:rsidRPr="000A0A5F" w:rsidRDefault="00CB0DD7">
      <w:pPr>
        <w:pStyle w:val="PL"/>
      </w:pPr>
      <w:r w:rsidRPr="000A0A5F">
        <w:t xml:space="preserve">        '404':</w:t>
      </w:r>
    </w:p>
    <w:p w:rsidR="00CB0DD7" w:rsidRPr="000A0A5F" w:rsidRDefault="00CB0DD7">
      <w:pPr>
        <w:pStyle w:val="PL"/>
      </w:pPr>
      <w:r w:rsidRPr="000A0A5F">
        <w:t xml:space="preserve">          $ref: 'TS29122_CommonData.yaml#/components/responses/404'</w:t>
      </w:r>
    </w:p>
    <w:p w:rsidR="00CB0DD7" w:rsidRPr="000A0A5F" w:rsidRDefault="00CB0DD7">
      <w:pPr>
        <w:pStyle w:val="PL"/>
      </w:pPr>
      <w:r w:rsidRPr="000A0A5F">
        <w:t xml:space="preserve">        '411':</w:t>
      </w:r>
    </w:p>
    <w:p w:rsidR="00CB0DD7" w:rsidRPr="000A0A5F" w:rsidRDefault="00CB0DD7">
      <w:pPr>
        <w:pStyle w:val="PL"/>
      </w:pPr>
      <w:r w:rsidRPr="000A0A5F">
        <w:t xml:space="preserve">          $ref: 'TS29122_CommonData.yaml#/components/responses/411'</w:t>
      </w:r>
    </w:p>
    <w:p w:rsidR="00CB0DD7" w:rsidRPr="000A0A5F" w:rsidRDefault="00CB0DD7">
      <w:pPr>
        <w:pStyle w:val="PL"/>
      </w:pPr>
      <w:r w:rsidRPr="000A0A5F">
        <w:t xml:space="preserve">        '413':</w:t>
      </w:r>
    </w:p>
    <w:p w:rsidR="00CB0DD7" w:rsidRPr="000A0A5F" w:rsidRDefault="00CB0DD7">
      <w:pPr>
        <w:pStyle w:val="PL"/>
      </w:pPr>
      <w:r w:rsidRPr="000A0A5F">
        <w:t xml:space="preserve">          $ref: 'TS29122_CommonData.yaml#/components/responses/413'</w:t>
      </w:r>
    </w:p>
    <w:p w:rsidR="00CB0DD7" w:rsidRPr="000A0A5F" w:rsidRDefault="00CB0DD7">
      <w:pPr>
        <w:pStyle w:val="PL"/>
      </w:pPr>
      <w:r w:rsidRPr="000A0A5F">
        <w:t xml:space="preserve">        '415':</w:t>
      </w:r>
    </w:p>
    <w:p w:rsidR="00CB0DD7" w:rsidRPr="000A0A5F" w:rsidRDefault="00CB0DD7">
      <w:pPr>
        <w:pStyle w:val="PL"/>
      </w:pPr>
      <w:r w:rsidRPr="000A0A5F">
        <w:t xml:space="preserve">          $ref: 'TS29122_CommonData.yaml#/components/responses/415'</w:t>
      </w:r>
    </w:p>
    <w:p w:rsidR="00CB0DD7" w:rsidRPr="000A0A5F" w:rsidRDefault="00CB0DD7">
      <w:pPr>
        <w:pStyle w:val="PL"/>
      </w:pPr>
      <w:r w:rsidRPr="000A0A5F">
        <w:t xml:space="preserve">        '429':</w:t>
      </w:r>
    </w:p>
    <w:p w:rsidR="00CB0DD7" w:rsidRPr="000A0A5F" w:rsidRDefault="00CB0DD7">
      <w:pPr>
        <w:pStyle w:val="PL"/>
      </w:pPr>
      <w:r w:rsidRPr="000A0A5F">
        <w:t xml:space="preserve">          $ref: 'TS29122_CommonData.yaml#/components/responses/429'</w:t>
      </w:r>
    </w:p>
    <w:p w:rsidR="00CB0DD7" w:rsidRPr="000A0A5F" w:rsidRDefault="00CB0DD7">
      <w:pPr>
        <w:pStyle w:val="PL"/>
      </w:pPr>
      <w:r w:rsidRPr="000A0A5F">
        <w:t xml:space="preserve">        '500':</w:t>
      </w:r>
    </w:p>
    <w:p w:rsidR="00CB0DD7" w:rsidRPr="000A0A5F" w:rsidRDefault="00CB0DD7">
      <w:pPr>
        <w:pStyle w:val="PL"/>
      </w:pPr>
      <w:r w:rsidRPr="000A0A5F">
        <w:t xml:space="preserve">          $ref: 'TS29122_CommonData.yaml#/components/responses/500'</w:t>
      </w:r>
    </w:p>
    <w:p w:rsidR="00CB0DD7" w:rsidRPr="000A0A5F" w:rsidRDefault="00CB0DD7">
      <w:pPr>
        <w:pStyle w:val="PL"/>
      </w:pPr>
      <w:r w:rsidRPr="000A0A5F">
        <w:t xml:space="preserve">        '503':</w:t>
      </w:r>
    </w:p>
    <w:p w:rsidR="00CB0DD7" w:rsidRPr="000A0A5F" w:rsidRDefault="00CB0DD7">
      <w:pPr>
        <w:pStyle w:val="PL"/>
      </w:pPr>
      <w:r w:rsidRPr="000A0A5F">
        <w:t xml:space="preserve">          $ref: 'TS29122_CommonData.yaml#/components/responses/503'</w:t>
      </w:r>
    </w:p>
    <w:p w:rsidR="00CB0DD7" w:rsidRPr="000A0A5F" w:rsidRDefault="00CB0DD7">
      <w:pPr>
        <w:pStyle w:val="PL"/>
      </w:pPr>
      <w:r w:rsidRPr="000A0A5F">
        <w:t xml:space="preserve">        default:</w:t>
      </w:r>
    </w:p>
    <w:p w:rsidR="00CB0DD7" w:rsidRPr="000A0A5F" w:rsidRDefault="00CB0DD7">
      <w:pPr>
        <w:pStyle w:val="PL"/>
        <w:rPr>
          <w:lang w:val="en-US"/>
        </w:rPr>
      </w:pPr>
      <w:r w:rsidRPr="000A0A5F">
        <w:t xml:space="preserve">          $ref: 'TS29122_CommonData.yaml#/components/responses/default'</w:t>
      </w:r>
    </w:p>
    <w:p w:rsidR="00CB0DD7" w:rsidRPr="000A0A5F" w:rsidRDefault="00CB0DD7">
      <w:pPr>
        <w:pStyle w:val="PL"/>
        <w:rPr>
          <w:lang w:val="en-US"/>
        </w:rPr>
      </w:pPr>
    </w:p>
    <w:p w:rsidR="00CB0DD7" w:rsidRPr="000A0A5F" w:rsidRDefault="00CB0DD7">
      <w:pPr>
        <w:pStyle w:val="PL"/>
        <w:tabs>
          <w:tab w:val="clear" w:pos="384"/>
        </w:tabs>
      </w:pPr>
      <w:r w:rsidRPr="000A0A5F">
        <w:rPr>
          <w:rFonts w:hint="eastAsia"/>
        </w:rPr>
        <w:t xml:space="preserve">    </w:t>
      </w:r>
      <w:r w:rsidRPr="000A0A5F">
        <w:t>delete:</w:t>
      </w:r>
    </w:p>
    <w:p w:rsidR="00CB0DD7" w:rsidRPr="000A0A5F" w:rsidRDefault="00CB0DD7">
      <w:pPr>
        <w:pStyle w:val="PL"/>
        <w:rPr>
          <w:lang w:eastAsia="zh-CN"/>
        </w:rPr>
      </w:pPr>
      <w:r w:rsidRPr="000A0A5F">
        <w:rPr>
          <w:lang w:val="en-US"/>
        </w:rPr>
        <w:t xml:space="preserve">      summary: </w:t>
      </w:r>
      <w:r w:rsidR="00305F4B" w:rsidRPr="000A0A5F">
        <w:rPr>
          <w:lang w:val="en-US"/>
        </w:rPr>
        <w:t>D</w:t>
      </w:r>
      <w:r w:rsidRPr="000A0A5F">
        <w:rPr>
          <w:lang w:val="en-US"/>
        </w:rPr>
        <w:t>elete</w:t>
      </w:r>
      <w:r w:rsidRPr="000A0A5F">
        <w:rPr>
          <w:lang w:eastAsia="zh-CN"/>
        </w:rPr>
        <w:t>s an existing TMGI Allocation resource for a given SCS/AS</w:t>
      </w:r>
      <w:r w:rsidRPr="000A0A5F">
        <w:rPr>
          <w:rFonts w:hint="eastAsia"/>
          <w:lang w:eastAsia="zh-CN"/>
        </w:rPr>
        <w:t xml:space="preserve"> and a TMGI</w:t>
      </w:r>
      <w:r w:rsidR="00305F4B" w:rsidRPr="000A0A5F">
        <w:rPr>
          <w:lang w:eastAsia="zh-CN"/>
        </w:rPr>
        <w:t>.</w:t>
      </w:r>
    </w:p>
    <w:p w:rsidR="00305F4B" w:rsidRPr="000A0A5F" w:rsidRDefault="00305F4B" w:rsidP="00305F4B">
      <w:pPr>
        <w:pStyle w:val="PL"/>
      </w:pPr>
      <w:r w:rsidRPr="000A0A5F">
        <w:t xml:space="preserve">      </w:t>
      </w:r>
      <w:r w:rsidRPr="000A0A5F">
        <w:rPr>
          <w:rFonts w:cs="Courier New"/>
          <w:szCs w:val="16"/>
        </w:rPr>
        <w:t>operationId: Delete</w:t>
      </w:r>
      <w:r w:rsidRPr="000A0A5F">
        <w:rPr>
          <w:rFonts w:hint="eastAsia"/>
          <w:lang w:eastAsia="zh-CN"/>
        </w:rPr>
        <w:t>T</w:t>
      </w:r>
      <w:r w:rsidRPr="000A0A5F">
        <w:rPr>
          <w:lang w:eastAsia="zh-CN"/>
        </w:rPr>
        <w:t>MGIAllocation</w:t>
      </w:r>
    </w:p>
    <w:p w:rsidR="00CB0DD7" w:rsidRPr="000A0A5F" w:rsidRDefault="00CB0DD7">
      <w:pPr>
        <w:pStyle w:val="PL"/>
        <w:rPr>
          <w:lang w:val="en-US"/>
        </w:rPr>
      </w:pPr>
      <w:r w:rsidRPr="000A0A5F">
        <w:rPr>
          <w:lang w:val="en-US"/>
        </w:rPr>
        <w:t xml:space="preserve">      tags:</w:t>
      </w:r>
    </w:p>
    <w:p w:rsidR="00CB0DD7" w:rsidRPr="000A0A5F" w:rsidRDefault="00CB0DD7">
      <w:pPr>
        <w:pStyle w:val="PL"/>
        <w:rPr>
          <w:lang w:val="en-US"/>
        </w:rPr>
      </w:pPr>
      <w:r w:rsidRPr="000A0A5F">
        <w:rPr>
          <w:lang w:val="en-US"/>
        </w:rPr>
        <w:t xml:space="preserve">        - Individual TMGI Allocati</w:t>
      </w:r>
      <w:r w:rsidR="00305F4B" w:rsidRPr="000A0A5F">
        <w:rPr>
          <w:lang w:val="en-US"/>
        </w:rPr>
        <w:t>o</w:t>
      </w:r>
      <w:r w:rsidRPr="000A0A5F">
        <w:rPr>
          <w:lang w:val="en-US"/>
        </w:rPr>
        <w:t>n Operation</w:t>
      </w:r>
    </w:p>
    <w:p w:rsidR="00CB0DD7" w:rsidRPr="000A0A5F" w:rsidRDefault="00CB0DD7">
      <w:pPr>
        <w:pStyle w:val="PL"/>
        <w:rPr>
          <w:rFonts w:hint="eastAsia"/>
        </w:rPr>
      </w:pPr>
      <w:r w:rsidRPr="000A0A5F">
        <w:rPr>
          <w:rFonts w:hint="eastAsia"/>
        </w:rPr>
        <w:t xml:space="preserve">      parameters:</w:t>
      </w:r>
    </w:p>
    <w:p w:rsidR="00CB0DD7" w:rsidRPr="000A0A5F" w:rsidRDefault="00CB0DD7">
      <w:pPr>
        <w:pStyle w:val="PL"/>
        <w:rPr>
          <w:rFonts w:hint="eastAsia"/>
        </w:rPr>
      </w:pPr>
      <w:r w:rsidRPr="000A0A5F">
        <w:rPr>
          <w:rFonts w:hint="eastAsia"/>
        </w:rPr>
        <w:t xml:space="preserve">        - name: </w:t>
      </w:r>
      <w:r w:rsidRPr="000A0A5F">
        <w:t>scsAsId</w:t>
      </w:r>
    </w:p>
    <w:p w:rsidR="00CB0DD7" w:rsidRPr="000A0A5F" w:rsidRDefault="00CB0DD7">
      <w:pPr>
        <w:pStyle w:val="PL"/>
        <w:rPr>
          <w:rFonts w:hint="eastAsia"/>
        </w:rPr>
      </w:pPr>
      <w:r w:rsidRPr="000A0A5F">
        <w:rPr>
          <w:rFonts w:hint="eastAsia"/>
        </w:rPr>
        <w:t xml:space="preserve">          in: path</w:t>
      </w:r>
    </w:p>
    <w:p w:rsidR="00CB0DD7" w:rsidRPr="000A0A5F" w:rsidRDefault="00CB0DD7">
      <w:pPr>
        <w:pStyle w:val="PL"/>
        <w:rPr>
          <w:rFonts w:hint="eastAsia"/>
        </w:rPr>
      </w:pPr>
      <w:r w:rsidRPr="000A0A5F">
        <w:rPr>
          <w:rFonts w:hint="eastAsia"/>
        </w:rPr>
        <w:t xml:space="preserve">          description: Identifier of </w:t>
      </w:r>
      <w:r w:rsidRPr="000A0A5F">
        <w:t>SCS/AS</w:t>
      </w:r>
    </w:p>
    <w:p w:rsidR="00CB0DD7" w:rsidRPr="000A0A5F" w:rsidRDefault="00CB0DD7">
      <w:pPr>
        <w:pStyle w:val="PL"/>
        <w:rPr>
          <w:rFonts w:hint="eastAsia"/>
        </w:rPr>
      </w:pPr>
      <w:r w:rsidRPr="000A0A5F">
        <w:rPr>
          <w:rFonts w:hint="eastAsia"/>
        </w:rPr>
        <w:t xml:space="preserve">          required: true</w:t>
      </w:r>
    </w:p>
    <w:p w:rsidR="00CB0DD7" w:rsidRPr="000A0A5F" w:rsidRDefault="00CB0DD7">
      <w:pPr>
        <w:pStyle w:val="PL"/>
        <w:rPr>
          <w:rFonts w:hint="eastAsia"/>
        </w:rPr>
      </w:pPr>
      <w:r w:rsidRPr="000A0A5F">
        <w:rPr>
          <w:rFonts w:hint="eastAsia"/>
        </w:rPr>
        <w:t xml:space="preserve">          schema:</w:t>
      </w:r>
    </w:p>
    <w:p w:rsidR="00CB0DD7" w:rsidRPr="000A0A5F" w:rsidRDefault="00CB0DD7">
      <w:pPr>
        <w:pStyle w:val="PL"/>
      </w:pPr>
      <w:r w:rsidRPr="000A0A5F">
        <w:rPr>
          <w:rFonts w:hint="eastAsia"/>
        </w:rPr>
        <w:t xml:space="preserve">            type: string</w:t>
      </w:r>
    </w:p>
    <w:p w:rsidR="00CB0DD7" w:rsidRPr="000A0A5F" w:rsidRDefault="00CB0DD7">
      <w:pPr>
        <w:pStyle w:val="PL"/>
        <w:rPr>
          <w:rFonts w:hint="eastAsia"/>
        </w:rPr>
      </w:pPr>
      <w:r w:rsidRPr="000A0A5F">
        <w:rPr>
          <w:rFonts w:hint="eastAsia"/>
        </w:rPr>
        <w:t xml:space="preserve">        - name: </w:t>
      </w:r>
      <w:r w:rsidRPr="000A0A5F">
        <w:t>tmgi</w:t>
      </w:r>
    </w:p>
    <w:p w:rsidR="00CB0DD7" w:rsidRPr="000A0A5F" w:rsidRDefault="00CB0DD7">
      <w:pPr>
        <w:pStyle w:val="PL"/>
        <w:rPr>
          <w:rFonts w:hint="eastAsia"/>
        </w:rPr>
      </w:pPr>
      <w:r w:rsidRPr="000A0A5F">
        <w:rPr>
          <w:rFonts w:hint="eastAsia"/>
        </w:rPr>
        <w:t xml:space="preserve">          in: path</w:t>
      </w:r>
    </w:p>
    <w:p w:rsidR="00CB0DD7" w:rsidRPr="000A0A5F" w:rsidRDefault="00CB0DD7">
      <w:pPr>
        <w:pStyle w:val="PL"/>
        <w:rPr>
          <w:rFonts w:hint="eastAsia"/>
        </w:rPr>
      </w:pPr>
      <w:r w:rsidRPr="000A0A5F">
        <w:rPr>
          <w:rFonts w:hint="eastAsia"/>
        </w:rPr>
        <w:t xml:space="preserve">          description: </w:t>
      </w:r>
      <w:r w:rsidRPr="000A0A5F">
        <w:t>TMGI</w:t>
      </w:r>
    </w:p>
    <w:p w:rsidR="00CB0DD7" w:rsidRPr="000A0A5F" w:rsidRDefault="00CB0DD7">
      <w:pPr>
        <w:pStyle w:val="PL"/>
        <w:rPr>
          <w:rFonts w:hint="eastAsia"/>
        </w:rPr>
      </w:pPr>
      <w:r w:rsidRPr="000A0A5F">
        <w:rPr>
          <w:rFonts w:hint="eastAsia"/>
        </w:rPr>
        <w:t xml:space="preserve">          required: true</w:t>
      </w:r>
    </w:p>
    <w:p w:rsidR="00CB0DD7" w:rsidRPr="000A0A5F" w:rsidRDefault="00CB0DD7">
      <w:pPr>
        <w:pStyle w:val="PL"/>
        <w:rPr>
          <w:rFonts w:hint="eastAsia"/>
        </w:rPr>
      </w:pPr>
      <w:r w:rsidRPr="000A0A5F">
        <w:rPr>
          <w:rFonts w:hint="eastAsia"/>
        </w:rPr>
        <w:t xml:space="preserve">          schema:</w:t>
      </w:r>
    </w:p>
    <w:p w:rsidR="00CB0DD7" w:rsidRPr="000A0A5F" w:rsidRDefault="00CB0DD7">
      <w:pPr>
        <w:pStyle w:val="PL"/>
      </w:pPr>
      <w:r w:rsidRPr="000A0A5F">
        <w:rPr>
          <w:rFonts w:hint="eastAsia"/>
        </w:rPr>
        <w:t xml:space="preserve">            type: string</w:t>
      </w:r>
    </w:p>
    <w:p w:rsidR="00CB0DD7" w:rsidRPr="000A0A5F" w:rsidRDefault="00CB0DD7">
      <w:pPr>
        <w:pStyle w:val="PL"/>
        <w:rPr>
          <w:lang w:val="en-US"/>
        </w:rPr>
      </w:pPr>
      <w:r w:rsidRPr="000A0A5F">
        <w:t xml:space="preserve">     </w:t>
      </w:r>
      <w:r w:rsidRPr="000A0A5F">
        <w:rPr>
          <w:lang w:val="en-US"/>
        </w:rPr>
        <w:t xml:space="preserve"> responses:</w:t>
      </w:r>
    </w:p>
    <w:p w:rsidR="00CB0DD7" w:rsidRPr="000A0A5F" w:rsidRDefault="00CB0DD7">
      <w:pPr>
        <w:pStyle w:val="PL"/>
        <w:rPr>
          <w:lang w:val="en-US"/>
        </w:rPr>
      </w:pPr>
      <w:r w:rsidRPr="000A0A5F">
        <w:rPr>
          <w:lang w:val="en-US"/>
        </w:rPr>
        <w:t xml:space="preserve">        '204':</w:t>
      </w:r>
    </w:p>
    <w:p w:rsidR="00CB0DD7" w:rsidRPr="000A0A5F" w:rsidRDefault="00CB0DD7">
      <w:pPr>
        <w:pStyle w:val="PL"/>
        <w:rPr>
          <w:lang w:val="en-US"/>
        </w:rPr>
      </w:pPr>
      <w:r w:rsidRPr="000A0A5F">
        <w:rPr>
          <w:lang w:val="en-US"/>
        </w:rPr>
        <w:t xml:space="preserve">          description: No Content, successful deletion of an TMGI Allocation</w:t>
      </w:r>
    </w:p>
    <w:p w:rsidR="00CB0DD7" w:rsidRPr="000A0A5F" w:rsidRDefault="00CB0DD7">
      <w:pPr>
        <w:pStyle w:val="PL"/>
      </w:pPr>
      <w:r w:rsidRPr="000A0A5F">
        <w:t xml:space="preserve">        '307':</w:t>
      </w:r>
    </w:p>
    <w:p w:rsidR="00CB0DD7" w:rsidRPr="000A0A5F" w:rsidRDefault="00CB0DD7">
      <w:pPr>
        <w:pStyle w:val="PL"/>
      </w:pPr>
      <w:r w:rsidRPr="000A0A5F">
        <w:t xml:space="preserve">          $ref: 'TS29122_CommonData.yaml#/components/responses/307'</w:t>
      </w:r>
    </w:p>
    <w:p w:rsidR="00CB0DD7" w:rsidRPr="000A0A5F" w:rsidRDefault="00CB0DD7">
      <w:pPr>
        <w:pStyle w:val="PL"/>
      </w:pPr>
      <w:r w:rsidRPr="000A0A5F">
        <w:t xml:space="preserve">        '308':</w:t>
      </w:r>
    </w:p>
    <w:p w:rsidR="00CB0DD7" w:rsidRPr="000A0A5F" w:rsidRDefault="00CB0DD7">
      <w:pPr>
        <w:pStyle w:val="PL"/>
      </w:pPr>
      <w:r w:rsidRPr="000A0A5F">
        <w:t xml:space="preserve">          $ref: 'TS29122_CommonData.yaml#/components/responses/308'</w:t>
      </w:r>
    </w:p>
    <w:p w:rsidR="00CB0DD7" w:rsidRPr="000A0A5F" w:rsidRDefault="00CB0DD7">
      <w:pPr>
        <w:pStyle w:val="PL"/>
      </w:pPr>
      <w:r w:rsidRPr="000A0A5F">
        <w:t xml:space="preserve">        '400':</w:t>
      </w:r>
    </w:p>
    <w:p w:rsidR="00CB0DD7" w:rsidRPr="000A0A5F" w:rsidRDefault="00CB0DD7">
      <w:pPr>
        <w:pStyle w:val="PL"/>
      </w:pPr>
      <w:r w:rsidRPr="000A0A5F">
        <w:t xml:space="preserve">          $ref: 'TS29122_CommonData.yaml#/components/responses/400'</w:t>
      </w:r>
    </w:p>
    <w:p w:rsidR="00CB0DD7" w:rsidRPr="000A0A5F" w:rsidRDefault="00CB0DD7">
      <w:pPr>
        <w:pStyle w:val="PL"/>
      </w:pPr>
      <w:r w:rsidRPr="000A0A5F">
        <w:t xml:space="preserve">        '401':</w:t>
      </w:r>
    </w:p>
    <w:p w:rsidR="00CB0DD7" w:rsidRPr="000A0A5F" w:rsidRDefault="00CB0DD7">
      <w:pPr>
        <w:pStyle w:val="PL"/>
      </w:pPr>
      <w:r w:rsidRPr="000A0A5F">
        <w:t xml:space="preserve">          $ref: 'TS29122_CommonData.yaml#/components/responses/401'</w:t>
      </w:r>
    </w:p>
    <w:p w:rsidR="00CB0DD7" w:rsidRPr="000A0A5F" w:rsidRDefault="00CB0DD7">
      <w:pPr>
        <w:pStyle w:val="PL"/>
      </w:pPr>
      <w:r w:rsidRPr="000A0A5F">
        <w:t xml:space="preserve">        '403':</w:t>
      </w:r>
    </w:p>
    <w:p w:rsidR="00CB0DD7" w:rsidRPr="000A0A5F" w:rsidRDefault="00CB0DD7">
      <w:pPr>
        <w:pStyle w:val="PL"/>
      </w:pPr>
      <w:r w:rsidRPr="000A0A5F">
        <w:t xml:space="preserve">          $ref: 'TS29122_CommonData.yaml#/components/responses/403'</w:t>
      </w:r>
    </w:p>
    <w:p w:rsidR="00CB0DD7" w:rsidRPr="000A0A5F" w:rsidRDefault="00CB0DD7">
      <w:pPr>
        <w:pStyle w:val="PL"/>
      </w:pPr>
      <w:r w:rsidRPr="000A0A5F">
        <w:t xml:space="preserve">        '404':</w:t>
      </w:r>
    </w:p>
    <w:p w:rsidR="00CB0DD7" w:rsidRPr="000A0A5F" w:rsidRDefault="00CB0DD7">
      <w:pPr>
        <w:pStyle w:val="PL"/>
      </w:pPr>
      <w:r w:rsidRPr="000A0A5F">
        <w:t xml:space="preserve">          $ref: 'TS29122_CommonData.yaml#/components/responses/404'</w:t>
      </w:r>
    </w:p>
    <w:p w:rsidR="00CB0DD7" w:rsidRPr="000A0A5F" w:rsidRDefault="00CB0DD7">
      <w:pPr>
        <w:pStyle w:val="PL"/>
      </w:pPr>
      <w:r w:rsidRPr="000A0A5F">
        <w:t xml:space="preserve">        '429':</w:t>
      </w:r>
    </w:p>
    <w:p w:rsidR="00CB0DD7" w:rsidRPr="000A0A5F" w:rsidRDefault="00CB0DD7">
      <w:pPr>
        <w:pStyle w:val="PL"/>
      </w:pPr>
      <w:r w:rsidRPr="000A0A5F">
        <w:t xml:space="preserve">          $ref: 'TS29122_CommonData.yaml#/components/responses/429'</w:t>
      </w:r>
    </w:p>
    <w:p w:rsidR="00CB0DD7" w:rsidRPr="000A0A5F" w:rsidRDefault="00CB0DD7">
      <w:pPr>
        <w:pStyle w:val="PL"/>
      </w:pPr>
      <w:r w:rsidRPr="000A0A5F">
        <w:t xml:space="preserve">        '500':</w:t>
      </w:r>
    </w:p>
    <w:p w:rsidR="00CB0DD7" w:rsidRPr="000A0A5F" w:rsidRDefault="00CB0DD7">
      <w:pPr>
        <w:pStyle w:val="PL"/>
      </w:pPr>
      <w:r w:rsidRPr="000A0A5F">
        <w:t xml:space="preserve">          $ref: 'TS29122_CommonData.yaml#/components/responses/500'</w:t>
      </w:r>
    </w:p>
    <w:p w:rsidR="00CB0DD7" w:rsidRPr="000A0A5F" w:rsidRDefault="00CB0DD7">
      <w:pPr>
        <w:pStyle w:val="PL"/>
      </w:pPr>
      <w:r w:rsidRPr="000A0A5F">
        <w:t xml:space="preserve">        '503':</w:t>
      </w:r>
    </w:p>
    <w:p w:rsidR="00CB0DD7" w:rsidRPr="000A0A5F" w:rsidRDefault="00CB0DD7">
      <w:pPr>
        <w:pStyle w:val="PL"/>
      </w:pPr>
      <w:r w:rsidRPr="000A0A5F">
        <w:t xml:space="preserve">          $ref: 'TS29122_CommonData.yaml#/components/responses/503'</w:t>
      </w:r>
    </w:p>
    <w:p w:rsidR="00CB0DD7" w:rsidRPr="000A0A5F" w:rsidRDefault="00CB0DD7">
      <w:pPr>
        <w:pStyle w:val="PL"/>
      </w:pPr>
      <w:r w:rsidRPr="000A0A5F">
        <w:t xml:space="preserve">        default:</w:t>
      </w:r>
    </w:p>
    <w:p w:rsidR="00CB0DD7" w:rsidRPr="000A0A5F" w:rsidRDefault="00CB0DD7">
      <w:pPr>
        <w:pStyle w:val="PL"/>
      </w:pPr>
      <w:r w:rsidRPr="000A0A5F">
        <w:t xml:space="preserve">          $ref: 'TS29122_CommonData.yaml#/components/responses/default'</w:t>
      </w:r>
    </w:p>
    <w:p w:rsidR="00CB0DD7" w:rsidRPr="000A0A5F" w:rsidRDefault="00CB0DD7">
      <w:pPr>
        <w:pStyle w:val="PL"/>
        <w:rPr>
          <w:lang w:val="en-US"/>
        </w:rPr>
      </w:pPr>
    </w:p>
    <w:p w:rsidR="00CB0DD7" w:rsidRPr="000A0A5F" w:rsidRDefault="00CB0DD7">
      <w:pPr>
        <w:pStyle w:val="PL"/>
        <w:rPr>
          <w:rFonts w:hint="eastAsia"/>
        </w:rPr>
      </w:pPr>
      <w:r w:rsidRPr="000A0A5F">
        <w:rPr>
          <w:rFonts w:hint="eastAsia"/>
        </w:rPr>
        <w:t xml:space="preserve">  </w:t>
      </w:r>
      <w:r w:rsidRPr="000A0A5F">
        <w:t>/{scsAsId}/tmgi-allocation/{tmgi}/delivery-via-mbms:</w:t>
      </w:r>
    </w:p>
    <w:p w:rsidR="00CB0DD7" w:rsidRPr="000A0A5F" w:rsidRDefault="00CB0DD7">
      <w:pPr>
        <w:pStyle w:val="PL"/>
        <w:tabs>
          <w:tab w:val="clear" w:pos="384"/>
        </w:tabs>
        <w:rPr>
          <w:rFonts w:hint="eastAsia"/>
        </w:rPr>
      </w:pPr>
      <w:r w:rsidRPr="000A0A5F">
        <w:rPr>
          <w:rFonts w:hint="eastAsia"/>
        </w:rPr>
        <w:t xml:space="preserve">    </w:t>
      </w:r>
      <w:r w:rsidRPr="000A0A5F">
        <w:t>get</w:t>
      </w:r>
      <w:r w:rsidRPr="000A0A5F">
        <w:rPr>
          <w:rFonts w:hint="eastAsia"/>
        </w:rPr>
        <w:t>:</w:t>
      </w:r>
    </w:p>
    <w:p w:rsidR="00CB0DD7" w:rsidRPr="000A0A5F" w:rsidRDefault="00CB0DD7">
      <w:pPr>
        <w:pStyle w:val="PL"/>
        <w:rPr>
          <w:rFonts w:hint="eastAsia"/>
        </w:rPr>
      </w:pPr>
      <w:r w:rsidRPr="000A0A5F">
        <w:rPr>
          <w:rFonts w:hint="eastAsia"/>
        </w:rPr>
        <w:t xml:space="preserve">      summary: </w:t>
      </w:r>
      <w:r w:rsidR="00305F4B" w:rsidRPr="000A0A5F">
        <w:rPr>
          <w:lang w:eastAsia="zh-CN"/>
        </w:rPr>
        <w:t>R</w:t>
      </w:r>
      <w:r w:rsidRPr="000A0A5F">
        <w:rPr>
          <w:lang w:eastAsia="zh-CN"/>
        </w:rPr>
        <w:t>ead all group message delivery via MBMS resource for a given SCS/AS and a TMGI</w:t>
      </w:r>
      <w:r w:rsidR="00305F4B" w:rsidRPr="000A0A5F">
        <w:rPr>
          <w:lang w:eastAsia="zh-CN"/>
        </w:rPr>
        <w:t>.</w:t>
      </w:r>
    </w:p>
    <w:p w:rsidR="00305F4B" w:rsidRPr="000A0A5F" w:rsidRDefault="00305F4B" w:rsidP="00305F4B">
      <w:pPr>
        <w:pStyle w:val="PL"/>
      </w:pPr>
      <w:r w:rsidRPr="000A0A5F">
        <w:t xml:space="preserve">      </w:t>
      </w:r>
      <w:r w:rsidRPr="000A0A5F">
        <w:rPr>
          <w:rFonts w:cs="Courier New"/>
          <w:szCs w:val="16"/>
        </w:rPr>
        <w:t>operationId: FecthAll</w:t>
      </w:r>
      <w:r w:rsidRPr="000A0A5F">
        <w:rPr>
          <w:rFonts w:hint="eastAsia"/>
          <w:lang w:eastAsia="zh-CN"/>
        </w:rPr>
        <w:t>GMD</w:t>
      </w:r>
      <w:r w:rsidRPr="000A0A5F">
        <w:rPr>
          <w:lang w:eastAsia="zh-CN"/>
        </w:rPr>
        <w:t>V</w:t>
      </w:r>
      <w:r w:rsidRPr="000A0A5F">
        <w:rPr>
          <w:rFonts w:hint="eastAsia"/>
          <w:lang w:eastAsia="zh-CN"/>
        </w:rPr>
        <w:t>i</w:t>
      </w:r>
      <w:r w:rsidRPr="000A0A5F">
        <w:rPr>
          <w:lang w:eastAsia="zh-CN"/>
        </w:rPr>
        <w:t>a</w:t>
      </w:r>
      <w:r w:rsidRPr="000A0A5F">
        <w:rPr>
          <w:rFonts w:hint="eastAsia"/>
          <w:lang w:eastAsia="zh-CN"/>
        </w:rPr>
        <w:t>MBMS</w:t>
      </w:r>
      <w:r w:rsidRPr="000A0A5F">
        <w:rPr>
          <w:lang w:eastAsia="zh-CN"/>
        </w:rPr>
        <w:t>ByMB2</w:t>
      </w:r>
    </w:p>
    <w:p w:rsidR="00CB0DD7" w:rsidRPr="000A0A5F" w:rsidRDefault="00CB0DD7">
      <w:pPr>
        <w:pStyle w:val="PL"/>
        <w:rPr>
          <w:rFonts w:hint="eastAsia"/>
        </w:rPr>
      </w:pPr>
      <w:r w:rsidRPr="000A0A5F">
        <w:rPr>
          <w:rFonts w:hint="eastAsia"/>
        </w:rPr>
        <w:t xml:space="preserve">      tags:</w:t>
      </w:r>
    </w:p>
    <w:p w:rsidR="00CB0DD7" w:rsidRPr="000A0A5F" w:rsidRDefault="00CB0DD7">
      <w:pPr>
        <w:pStyle w:val="PL"/>
        <w:rPr>
          <w:rFonts w:hint="eastAsia"/>
        </w:rPr>
      </w:pPr>
      <w:r w:rsidRPr="000A0A5F">
        <w:rPr>
          <w:rFonts w:hint="eastAsia"/>
        </w:rPr>
        <w:t xml:space="preserve">        - </w:t>
      </w:r>
      <w:r w:rsidRPr="000A0A5F">
        <w:t>Delivery via MBMS Operation</w:t>
      </w:r>
    </w:p>
    <w:p w:rsidR="00CB0DD7" w:rsidRPr="000A0A5F" w:rsidRDefault="00CB0DD7">
      <w:pPr>
        <w:pStyle w:val="PL"/>
        <w:rPr>
          <w:rFonts w:hint="eastAsia"/>
        </w:rPr>
      </w:pPr>
      <w:r w:rsidRPr="000A0A5F">
        <w:rPr>
          <w:rFonts w:hint="eastAsia"/>
        </w:rPr>
        <w:t xml:space="preserve">      parameters:</w:t>
      </w:r>
    </w:p>
    <w:p w:rsidR="00CB0DD7" w:rsidRPr="000A0A5F" w:rsidRDefault="00CB0DD7">
      <w:pPr>
        <w:pStyle w:val="PL"/>
        <w:rPr>
          <w:rFonts w:hint="eastAsia"/>
        </w:rPr>
      </w:pPr>
      <w:r w:rsidRPr="000A0A5F">
        <w:rPr>
          <w:rFonts w:hint="eastAsia"/>
        </w:rPr>
        <w:t xml:space="preserve">        - name: </w:t>
      </w:r>
      <w:r w:rsidRPr="000A0A5F">
        <w:t>scsAsId</w:t>
      </w:r>
    </w:p>
    <w:p w:rsidR="00CB0DD7" w:rsidRPr="000A0A5F" w:rsidRDefault="00CB0DD7">
      <w:pPr>
        <w:pStyle w:val="PL"/>
        <w:rPr>
          <w:rFonts w:hint="eastAsia"/>
        </w:rPr>
      </w:pPr>
      <w:r w:rsidRPr="000A0A5F">
        <w:rPr>
          <w:rFonts w:hint="eastAsia"/>
        </w:rPr>
        <w:t xml:space="preserve">          in: path</w:t>
      </w:r>
    </w:p>
    <w:p w:rsidR="00CB0DD7" w:rsidRPr="000A0A5F" w:rsidRDefault="00CB0DD7">
      <w:pPr>
        <w:pStyle w:val="PL"/>
        <w:rPr>
          <w:rFonts w:hint="eastAsia"/>
        </w:rPr>
      </w:pPr>
      <w:r w:rsidRPr="000A0A5F">
        <w:rPr>
          <w:rFonts w:hint="eastAsia"/>
        </w:rPr>
        <w:t xml:space="preserve">          description: Identifier of </w:t>
      </w:r>
      <w:r w:rsidRPr="000A0A5F">
        <w:t>SCS/AS</w:t>
      </w:r>
    </w:p>
    <w:p w:rsidR="00CB0DD7" w:rsidRPr="000A0A5F" w:rsidRDefault="00CB0DD7">
      <w:pPr>
        <w:pStyle w:val="PL"/>
        <w:rPr>
          <w:rFonts w:hint="eastAsia"/>
        </w:rPr>
      </w:pPr>
      <w:r w:rsidRPr="000A0A5F">
        <w:rPr>
          <w:rFonts w:hint="eastAsia"/>
        </w:rPr>
        <w:t xml:space="preserve">          required: true</w:t>
      </w:r>
    </w:p>
    <w:p w:rsidR="00CB0DD7" w:rsidRPr="000A0A5F" w:rsidRDefault="00CB0DD7">
      <w:pPr>
        <w:pStyle w:val="PL"/>
        <w:rPr>
          <w:rFonts w:hint="eastAsia"/>
        </w:rPr>
      </w:pPr>
      <w:r w:rsidRPr="000A0A5F">
        <w:rPr>
          <w:rFonts w:hint="eastAsia"/>
        </w:rPr>
        <w:t xml:space="preserve">          schema:</w:t>
      </w:r>
    </w:p>
    <w:p w:rsidR="00CB0DD7" w:rsidRPr="000A0A5F" w:rsidRDefault="00CB0DD7">
      <w:pPr>
        <w:pStyle w:val="PL"/>
      </w:pPr>
      <w:r w:rsidRPr="000A0A5F">
        <w:rPr>
          <w:rFonts w:hint="eastAsia"/>
        </w:rPr>
        <w:t xml:space="preserve">            type: string</w:t>
      </w:r>
    </w:p>
    <w:p w:rsidR="00CB0DD7" w:rsidRPr="000A0A5F" w:rsidRDefault="00CB0DD7">
      <w:pPr>
        <w:pStyle w:val="PL"/>
        <w:rPr>
          <w:rFonts w:hint="eastAsia"/>
        </w:rPr>
      </w:pPr>
      <w:r w:rsidRPr="000A0A5F">
        <w:rPr>
          <w:rFonts w:hint="eastAsia"/>
        </w:rPr>
        <w:t xml:space="preserve">        - name: </w:t>
      </w:r>
      <w:r w:rsidRPr="000A0A5F">
        <w:t>tmgi</w:t>
      </w:r>
    </w:p>
    <w:p w:rsidR="00CB0DD7" w:rsidRPr="000A0A5F" w:rsidRDefault="00CB0DD7">
      <w:pPr>
        <w:pStyle w:val="PL"/>
        <w:rPr>
          <w:rFonts w:hint="eastAsia"/>
        </w:rPr>
      </w:pPr>
      <w:r w:rsidRPr="000A0A5F">
        <w:rPr>
          <w:rFonts w:hint="eastAsia"/>
        </w:rPr>
        <w:t xml:space="preserve">          in: path</w:t>
      </w:r>
    </w:p>
    <w:p w:rsidR="00CB0DD7" w:rsidRPr="000A0A5F" w:rsidRDefault="00CB0DD7">
      <w:pPr>
        <w:pStyle w:val="PL"/>
        <w:rPr>
          <w:rFonts w:hint="eastAsia"/>
        </w:rPr>
      </w:pPr>
      <w:r w:rsidRPr="000A0A5F">
        <w:rPr>
          <w:rFonts w:hint="eastAsia"/>
        </w:rPr>
        <w:t xml:space="preserve">          description: </w:t>
      </w:r>
      <w:r w:rsidRPr="000A0A5F">
        <w:t>TMGI</w:t>
      </w:r>
    </w:p>
    <w:p w:rsidR="00CB0DD7" w:rsidRPr="000A0A5F" w:rsidRDefault="00CB0DD7">
      <w:pPr>
        <w:pStyle w:val="PL"/>
        <w:rPr>
          <w:rFonts w:hint="eastAsia"/>
        </w:rPr>
      </w:pPr>
      <w:r w:rsidRPr="000A0A5F">
        <w:rPr>
          <w:rFonts w:hint="eastAsia"/>
        </w:rPr>
        <w:t xml:space="preserve">          required: true</w:t>
      </w:r>
    </w:p>
    <w:p w:rsidR="00CB0DD7" w:rsidRPr="000A0A5F" w:rsidRDefault="00CB0DD7">
      <w:pPr>
        <w:pStyle w:val="PL"/>
        <w:rPr>
          <w:rFonts w:hint="eastAsia"/>
        </w:rPr>
      </w:pPr>
      <w:r w:rsidRPr="000A0A5F">
        <w:rPr>
          <w:rFonts w:hint="eastAsia"/>
        </w:rPr>
        <w:t xml:space="preserve">          schema:</w:t>
      </w:r>
    </w:p>
    <w:p w:rsidR="00CB0DD7" w:rsidRPr="000A0A5F" w:rsidRDefault="00CB0DD7">
      <w:pPr>
        <w:pStyle w:val="PL"/>
      </w:pPr>
      <w:r w:rsidRPr="000A0A5F">
        <w:rPr>
          <w:rFonts w:hint="eastAsia"/>
        </w:rPr>
        <w:t xml:space="preserve">            type: string</w:t>
      </w:r>
    </w:p>
    <w:p w:rsidR="00CB0DD7" w:rsidRPr="000A0A5F" w:rsidRDefault="00CB0DD7">
      <w:pPr>
        <w:pStyle w:val="PL"/>
        <w:rPr>
          <w:rFonts w:hint="eastAsia"/>
        </w:rPr>
      </w:pPr>
      <w:r w:rsidRPr="000A0A5F">
        <w:rPr>
          <w:rFonts w:hint="eastAsia"/>
        </w:rPr>
        <w:t xml:space="preserve">      responses:</w:t>
      </w:r>
    </w:p>
    <w:p w:rsidR="00CB0DD7" w:rsidRPr="000A0A5F" w:rsidRDefault="00CB0DD7">
      <w:pPr>
        <w:pStyle w:val="PL"/>
        <w:rPr>
          <w:rFonts w:hint="eastAsia"/>
        </w:rPr>
      </w:pPr>
      <w:r w:rsidRPr="000A0A5F">
        <w:rPr>
          <w:rFonts w:hint="eastAsia"/>
        </w:rPr>
        <w:t xml:space="preserve">        '200':</w:t>
      </w:r>
    </w:p>
    <w:p w:rsidR="00CB0DD7" w:rsidRPr="000A0A5F" w:rsidRDefault="00CB0DD7">
      <w:pPr>
        <w:pStyle w:val="PL"/>
        <w:rPr>
          <w:rFonts w:hint="eastAsia"/>
        </w:rPr>
      </w:pPr>
      <w:r w:rsidRPr="000A0A5F">
        <w:rPr>
          <w:rFonts w:hint="eastAsia"/>
        </w:rPr>
        <w:t xml:space="preserve">          description: OK (</w:t>
      </w:r>
      <w:r w:rsidRPr="000A0A5F">
        <w:t>successful query of Delivery via MBMS resource</w:t>
      </w:r>
      <w:r w:rsidRPr="000A0A5F">
        <w:rPr>
          <w:rFonts w:hint="eastAsia"/>
        </w:rPr>
        <w:t>)</w:t>
      </w:r>
    </w:p>
    <w:p w:rsidR="00CB0DD7" w:rsidRPr="000A0A5F" w:rsidRDefault="00CB0DD7">
      <w:pPr>
        <w:pStyle w:val="PL"/>
        <w:rPr>
          <w:rFonts w:hint="eastAsia"/>
        </w:rPr>
      </w:pPr>
      <w:r w:rsidRPr="000A0A5F">
        <w:rPr>
          <w:rFonts w:hint="eastAsia"/>
        </w:rPr>
        <w:t xml:space="preserve">          content:</w:t>
      </w:r>
    </w:p>
    <w:p w:rsidR="00CB0DD7" w:rsidRPr="000A0A5F" w:rsidRDefault="00CB0DD7">
      <w:pPr>
        <w:pStyle w:val="PL"/>
        <w:rPr>
          <w:rFonts w:hint="eastAsia"/>
        </w:rPr>
      </w:pPr>
      <w:r w:rsidRPr="000A0A5F">
        <w:rPr>
          <w:rFonts w:hint="eastAsia"/>
        </w:rPr>
        <w:t xml:space="preserve">            application/json:</w:t>
      </w:r>
    </w:p>
    <w:p w:rsidR="00CB0DD7" w:rsidRPr="000A0A5F" w:rsidRDefault="00CB0DD7">
      <w:pPr>
        <w:pStyle w:val="PL"/>
      </w:pPr>
      <w:r w:rsidRPr="000A0A5F">
        <w:rPr>
          <w:rFonts w:hint="eastAsia"/>
        </w:rPr>
        <w:t xml:space="preserve">              schema:</w:t>
      </w:r>
    </w:p>
    <w:p w:rsidR="00CB0DD7" w:rsidRPr="000A0A5F" w:rsidRDefault="00CB0DD7">
      <w:pPr>
        <w:pStyle w:val="PL"/>
      </w:pPr>
      <w:r w:rsidRPr="000A0A5F">
        <w:rPr>
          <w:rFonts w:hint="eastAsia"/>
        </w:rPr>
        <w:t xml:space="preserve">                $ref: '#/components/schemas/</w:t>
      </w:r>
      <w:r w:rsidRPr="000A0A5F">
        <w:t>GMDViaMBMSByMb2</w:t>
      </w:r>
      <w:r w:rsidRPr="000A0A5F">
        <w:rPr>
          <w:rFonts w:hint="eastAsia"/>
        </w:rPr>
        <w:t>'</w:t>
      </w:r>
    </w:p>
    <w:p w:rsidR="00CB0DD7" w:rsidRPr="000A0A5F" w:rsidRDefault="00CB0DD7">
      <w:pPr>
        <w:pStyle w:val="PL"/>
      </w:pPr>
      <w:r w:rsidRPr="000A0A5F">
        <w:t xml:space="preserve">        '307':</w:t>
      </w:r>
    </w:p>
    <w:p w:rsidR="00CB0DD7" w:rsidRPr="000A0A5F" w:rsidRDefault="00CB0DD7">
      <w:pPr>
        <w:pStyle w:val="PL"/>
      </w:pPr>
      <w:r w:rsidRPr="000A0A5F">
        <w:t xml:space="preserve">          $ref: 'TS29122_CommonData.yaml#/components/responses/307'</w:t>
      </w:r>
    </w:p>
    <w:p w:rsidR="00CB0DD7" w:rsidRPr="000A0A5F" w:rsidRDefault="00CB0DD7">
      <w:pPr>
        <w:pStyle w:val="PL"/>
      </w:pPr>
      <w:r w:rsidRPr="000A0A5F">
        <w:t xml:space="preserve">        '308':</w:t>
      </w:r>
    </w:p>
    <w:p w:rsidR="00CB0DD7" w:rsidRPr="000A0A5F" w:rsidRDefault="00CB0DD7">
      <w:pPr>
        <w:pStyle w:val="PL"/>
      </w:pPr>
      <w:r w:rsidRPr="000A0A5F">
        <w:t xml:space="preserve">          $ref: 'TS29122_CommonData.yaml#/components/responses/308'</w:t>
      </w:r>
    </w:p>
    <w:p w:rsidR="00CB0DD7" w:rsidRPr="000A0A5F" w:rsidRDefault="00CB0DD7">
      <w:pPr>
        <w:pStyle w:val="PL"/>
      </w:pPr>
      <w:r w:rsidRPr="000A0A5F">
        <w:t xml:space="preserve">        '400':</w:t>
      </w:r>
    </w:p>
    <w:p w:rsidR="00CB0DD7" w:rsidRPr="000A0A5F" w:rsidRDefault="00CB0DD7">
      <w:pPr>
        <w:pStyle w:val="PL"/>
      </w:pPr>
      <w:r w:rsidRPr="000A0A5F">
        <w:t xml:space="preserve">          $ref: 'TS29122_CommonData.yaml#/components/responses/400'</w:t>
      </w:r>
    </w:p>
    <w:p w:rsidR="00CB0DD7" w:rsidRPr="000A0A5F" w:rsidRDefault="00CB0DD7">
      <w:pPr>
        <w:pStyle w:val="PL"/>
      </w:pPr>
      <w:r w:rsidRPr="000A0A5F">
        <w:t xml:space="preserve">        '401':</w:t>
      </w:r>
    </w:p>
    <w:p w:rsidR="00CB0DD7" w:rsidRPr="000A0A5F" w:rsidRDefault="00CB0DD7">
      <w:pPr>
        <w:pStyle w:val="PL"/>
      </w:pPr>
      <w:r w:rsidRPr="000A0A5F">
        <w:t xml:space="preserve">          $ref: 'TS29122_CommonData.yaml#/components/responses/401'</w:t>
      </w:r>
    </w:p>
    <w:p w:rsidR="00CB0DD7" w:rsidRPr="000A0A5F" w:rsidRDefault="00CB0DD7">
      <w:pPr>
        <w:pStyle w:val="PL"/>
      </w:pPr>
      <w:r w:rsidRPr="000A0A5F">
        <w:t xml:space="preserve">        '403':</w:t>
      </w:r>
    </w:p>
    <w:p w:rsidR="00CB0DD7" w:rsidRPr="000A0A5F" w:rsidRDefault="00CB0DD7">
      <w:pPr>
        <w:pStyle w:val="PL"/>
      </w:pPr>
      <w:r w:rsidRPr="000A0A5F">
        <w:t xml:space="preserve">          $ref: 'TS29122_CommonData.yaml#/components/responses/403'</w:t>
      </w:r>
    </w:p>
    <w:p w:rsidR="00CB0DD7" w:rsidRPr="000A0A5F" w:rsidRDefault="00CB0DD7">
      <w:pPr>
        <w:pStyle w:val="PL"/>
      </w:pPr>
      <w:r w:rsidRPr="000A0A5F">
        <w:t xml:space="preserve">        '404':</w:t>
      </w:r>
    </w:p>
    <w:p w:rsidR="00CB0DD7" w:rsidRPr="000A0A5F" w:rsidRDefault="00CB0DD7">
      <w:pPr>
        <w:pStyle w:val="PL"/>
      </w:pPr>
      <w:r w:rsidRPr="000A0A5F">
        <w:t xml:space="preserve">          $ref: 'TS29122_CommonData.yaml#/components/responses/404'</w:t>
      </w:r>
    </w:p>
    <w:p w:rsidR="00CB0DD7" w:rsidRPr="000A0A5F" w:rsidRDefault="00CB0DD7">
      <w:pPr>
        <w:pStyle w:val="PL"/>
      </w:pPr>
      <w:r w:rsidRPr="000A0A5F">
        <w:t xml:space="preserve">        '406':</w:t>
      </w:r>
    </w:p>
    <w:p w:rsidR="00CB0DD7" w:rsidRPr="000A0A5F" w:rsidRDefault="00CB0DD7">
      <w:pPr>
        <w:pStyle w:val="PL"/>
      </w:pPr>
      <w:r w:rsidRPr="000A0A5F">
        <w:t xml:space="preserve">          $ref: 'TS29122_CommonData.yaml#/components/responses/406'</w:t>
      </w:r>
    </w:p>
    <w:p w:rsidR="00CB0DD7" w:rsidRPr="000A0A5F" w:rsidRDefault="00CB0DD7">
      <w:pPr>
        <w:pStyle w:val="PL"/>
      </w:pPr>
      <w:r w:rsidRPr="000A0A5F">
        <w:t xml:space="preserve">        '429':</w:t>
      </w:r>
    </w:p>
    <w:p w:rsidR="00CB0DD7" w:rsidRPr="000A0A5F" w:rsidRDefault="00CB0DD7">
      <w:pPr>
        <w:pStyle w:val="PL"/>
      </w:pPr>
      <w:r w:rsidRPr="000A0A5F">
        <w:t xml:space="preserve">          $ref: 'TS29122_CommonData.yaml#/components/responses/429'</w:t>
      </w:r>
    </w:p>
    <w:p w:rsidR="00CB0DD7" w:rsidRPr="000A0A5F" w:rsidRDefault="00CB0DD7">
      <w:pPr>
        <w:pStyle w:val="PL"/>
      </w:pPr>
      <w:r w:rsidRPr="000A0A5F">
        <w:t xml:space="preserve">        '500':</w:t>
      </w:r>
    </w:p>
    <w:p w:rsidR="00CB0DD7" w:rsidRPr="000A0A5F" w:rsidRDefault="00CB0DD7">
      <w:pPr>
        <w:pStyle w:val="PL"/>
      </w:pPr>
      <w:r w:rsidRPr="000A0A5F">
        <w:t xml:space="preserve">          $ref: 'TS29122_CommonData.yaml#/components/responses/500'</w:t>
      </w:r>
    </w:p>
    <w:p w:rsidR="00CB0DD7" w:rsidRPr="000A0A5F" w:rsidRDefault="00CB0DD7">
      <w:pPr>
        <w:pStyle w:val="PL"/>
      </w:pPr>
      <w:r w:rsidRPr="000A0A5F">
        <w:t xml:space="preserve">        '503':</w:t>
      </w:r>
    </w:p>
    <w:p w:rsidR="00CB0DD7" w:rsidRPr="000A0A5F" w:rsidRDefault="00CB0DD7">
      <w:pPr>
        <w:pStyle w:val="PL"/>
      </w:pPr>
      <w:r w:rsidRPr="000A0A5F">
        <w:t xml:space="preserve">          $ref: 'TS29122_CommonData.yaml#/components/responses/503'</w:t>
      </w:r>
    </w:p>
    <w:p w:rsidR="00CB0DD7" w:rsidRPr="000A0A5F" w:rsidRDefault="00CB0DD7">
      <w:pPr>
        <w:pStyle w:val="PL"/>
      </w:pPr>
      <w:r w:rsidRPr="000A0A5F">
        <w:t xml:space="preserve">        default:</w:t>
      </w:r>
    </w:p>
    <w:p w:rsidR="00CB0DD7" w:rsidRPr="000A0A5F" w:rsidRDefault="00CB0DD7">
      <w:pPr>
        <w:pStyle w:val="PL"/>
        <w:rPr>
          <w:rFonts w:hint="eastAsia"/>
        </w:rPr>
      </w:pPr>
      <w:r w:rsidRPr="000A0A5F">
        <w:t xml:space="preserve">          $ref: 'TS29122_CommonData.yaml#/components/responses/default'</w:t>
      </w:r>
    </w:p>
    <w:p w:rsidR="00CB0DD7" w:rsidRPr="000A0A5F" w:rsidRDefault="00CB0DD7">
      <w:pPr>
        <w:pStyle w:val="PL"/>
        <w:rPr>
          <w:rFonts w:hint="eastAsia"/>
        </w:rPr>
      </w:pPr>
    </w:p>
    <w:p w:rsidR="00CB0DD7" w:rsidRPr="000A0A5F" w:rsidRDefault="00CB0DD7">
      <w:pPr>
        <w:pStyle w:val="PL"/>
        <w:tabs>
          <w:tab w:val="clear" w:pos="384"/>
        </w:tabs>
      </w:pPr>
      <w:r w:rsidRPr="000A0A5F">
        <w:t xml:space="preserve">    post:</w:t>
      </w:r>
    </w:p>
    <w:p w:rsidR="00CB0DD7" w:rsidRPr="000A0A5F" w:rsidRDefault="00CB0DD7">
      <w:pPr>
        <w:pStyle w:val="PL"/>
        <w:rPr>
          <w:lang w:eastAsia="zh-CN"/>
        </w:rPr>
      </w:pPr>
      <w:r w:rsidRPr="000A0A5F">
        <w:t xml:space="preserve">      summary: Creates a </w:t>
      </w:r>
      <w:r w:rsidRPr="000A0A5F">
        <w:rPr>
          <w:lang w:eastAsia="zh-CN"/>
        </w:rPr>
        <w:t>new delivery via MBMS for a given SCS/AS</w:t>
      </w:r>
      <w:r w:rsidRPr="000A0A5F">
        <w:rPr>
          <w:rFonts w:hint="eastAsia"/>
          <w:lang w:eastAsia="zh-CN"/>
        </w:rPr>
        <w:t xml:space="preserve"> and a TMGI</w:t>
      </w:r>
      <w:r w:rsidR="00305F4B" w:rsidRPr="000A0A5F">
        <w:rPr>
          <w:lang w:eastAsia="zh-CN"/>
        </w:rPr>
        <w:t>.</w:t>
      </w:r>
    </w:p>
    <w:p w:rsidR="00305F4B" w:rsidRPr="000A0A5F" w:rsidRDefault="00305F4B" w:rsidP="00305F4B">
      <w:pPr>
        <w:pStyle w:val="PL"/>
      </w:pPr>
      <w:r w:rsidRPr="000A0A5F">
        <w:t xml:space="preserve">      </w:t>
      </w:r>
      <w:r w:rsidRPr="000A0A5F">
        <w:rPr>
          <w:rFonts w:cs="Courier New"/>
          <w:szCs w:val="16"/>
        </w:rPr>
        <w:t>operationId: Create</w:t>
      </w:r>
      <w:r w:rsidRPr="000A0A5F">
        <w:rPr>
          <w:rFonts w:hint="eastAsia"/>
          <w:lang w:eastAsia="zh-CN"/>
        </w:rPr>
        <w:t>GMD</w:t>
      </w:r>
      <w:r w:rsidRPr="000A0A5F">
        <w:rPr>
          <w:lang w:eastAsia="zh-CN"/>
        </w:rPr>
        <w:t>V</w:t>
      </w:r>
      <w:r w:rsidRPr="000A0A5F">
        <w:rPr>
          <w:rFonts w:hint="eastAsia"/>
          <w:lang w:eastAsia="zh-CN"/>
        </w:rPr>
        <w:t>i</w:t>
      </w:r>
      <w:r w:rsidRPr="000A0A5F">
        <w:rPr>
          <w:lang w:eastAsia="zh-CN"/>
        </w:rPr>
        <w:t>a</w:t>
      </w:r>
      <w:r w:rsidRPr="000A0A5F">
        <w:rPr>
          <w:rFonts w:hint="eastAsia"/>
          <w:lang w:eastAsia="zh-CN"/>
        </w:rPr>
        <w:t>MBMS</w:t>
      </w:r>
      <w:r w:rsidRPr="000A0A5F">
        <w:rPr>
          <w:lang w:eastAsia="zh-CN"/>
        </w:rPr>
        <w:t>ByMB2</w:t>
      </w:r>
    </w:p>
    <w:p w:rsidR="00CB0DD7" w:rsidRPr="000A0A5F" w:rsidRDefault="00CB0DD7">
      <w:pPr>
        <w:pStyle w:val="PL"/>
        <w:rPr>
          <w:lang w:val="en-US"/>
        </w:rPr>
      </w:pPr>
      <w:r w:rsidRPr="000A0A5F">
        <w:rPr>
          <w:lang w:val="en-US"/>
        </w:rPr>
        <w:t xml:space="preserve">      tags:</w:t>
      </w:r>
    </w:p>
    <w:p w:rsidR="00CB0DD7" w:rsidRPr="000A0A5F" w:rsidRDefault="00CB0DD7">
      <w:pPr>
        <w:pStyle w:val="PL"/>
        <w:rPr>
          <w:lang w:val="en-US"/>
        </w:rPr>
      </w:pPr>
      <w:r w:rsidRPr="000A0A5F">
        <w:rPr>
          <w:lang w:val="en-US"/>
        </w:rPr>
        <w:t xml:space="preserve">        - Delivery via MBMS Operation</w:t>
      </w:r>
    </w:p>
    <w:p w:rsidR="00CB0DD7" w:rsidRPr="000A0A5F" w:rsidRDefault="00CB0DD7">
      <w:pPr>
        <w:pStyle w:val="PL"/>
        <w:rPr>
          <w:rFonts w:hint="eastAsia"/>
        </w:rPr>
      </w:pPr>
      <w:r w:rsidRPr="000A0A5F">
        <w:rPr>
          <w:rFonts w:hint="eastAsia"/>
        </w:rPr>
        <w:t xml:space="preserve">      parameters:</w:t>
      </w:r>
    </w:p>
    <w:p w:rsidR="00CB0DD7" w:rsidRPr="000A0A5F" w:rsidRDefault="00CB0DD7">
      <w:pPr>
        <w:pStyle w:val="PL"/>
        <w:rPr>
          <w:rFonts w:hint="eastAsia"/>
        </w:rPr>
      </w:pPr>
      <w:r w:rsidRPr="000A0A5F">
        <w:rPr>
          <w:rFonts w:hint="eastAsia"/>
        </w:rPr>
        <w:t xml:space="preserve">        - name: </w:t>
      </w:r>
      <w:r w:rsidRPr="000A0A5F">
        <w:t>scsAsId</w:t>
      </w:r>
    </w:p>
    <w:p w:rsidR="00CB0DD7" w:rsidRPr="000A0A5F" w:rsidRDefault="00CB0DD7">
      <w:pPr>
        <w:pStyle w:val="PL"/>
        <w:rPr>
          <w:rFonts w:hint="eastAsia"/>
        </w:rPr>
      </w:pPr>
      <w:r w:rsidRPr="000A0A5F">
        <w:rPr>
          <w:rFonts w:hint="eastAsia"/>
        </w:rPr>
        <w:t xml:space="preserve">          in: path</w:t>
      </w:r>
    </w:p>
    <w:p w:rsidR="00CB0DD7" w:rsidRPr="000A0A5F" w:rsidRDefault="00CB0DD7">
      <w:pPr>
        <w:pStyle w:val="PL"/>
        <w:rPr>
          <w:rFonts w:hint="eastAsia"/>
        </w:rPr>
      </w:pPr>
      <w:r w:rsidRPr="000A0A5F">
        <w:rPr>
          <w:rFonts w:hint="eastAsia"/>
        </w:rPr>
        <w:t xml:space="preserve">          description: Identifier of </w:t>
      </w:r>
      <w:r w:rsidRPr="000A0A5F">
        <w:t>SCS/AS</w:t>
      </w:r>
    </w:p>
    <w:p w:rsidR="00CB0DD7" w:rsidRPr="000A0A5F" w:rsidRDefault="00CB0DD7">
      <w:pPr>
        <w:pStyle w:val="PL"/>
        <w:rPr>
          <w:rFonts w:hint="eastAsia"/>
        </w:rPr>
      </w:pPr>
      <w:r w:rsidRPr="000A0A5F">
        <w:rPr>
          <w:rFonts w:hint="eastAsia"/>
        </w:rPr>
        <w:t xml:space="preserve">          required: true</w:t>
      </w:r>
    </w:p>
    <w:p w:rsidR="00CB0DD7" w:rsidRPr="000A0A5F" w:rsidRDefault="00CB0DD7">
      <w:pPr>
        <w:pStyle w:val="PL"/>
        <w:rPr>
          <w:rFonts w:hint="eastAsia"/>
        </w:rPr>
      </w:pPr>
      <w:r w:rsidRPr="000A0A5F">
        <w:rPr>
          <w:rFonts w:hint="eastAsia"/>
        </w:rPr>
        <w:t xml:space="preserve">          schema:</w:t>
      </w:r>
    </w:p>
    <w:p w:rsidR="00CB0DD7" w:rsidRPr="000A0A5F" w:rsidRDefault="00CB0DD7">
      <w:pPr>
        <w:pStyle w:val="PL"/>
      </w:pPr>
      <w:r w:rsidRPr="000A0A5F">
        <w:rPr>
          <w:rFonts w:hint="eastAsia"/>
        </w:rPr>
        <w:t xml:space="preserve">            type: string</w:t>
      </w:r>
    </w:p>
    <w:p w:rsidR="00CB0DD7" w:rsidRPr="000A0A5F" w:rsidRDefault="00CB0DD7">
      <w:pPr>
        <w:pStyle w:val="PL"/>
        <w:rPr>
          <w:rFonts w:hint="eastAsia"/>
        </w:rPr>
      </w:pPr>
      <w:r w:rsidRPr="000A0A5F">
        <w:rPr>
          <w:rFonts w:hint="eastAsia"/>
        </w:rPr>
        <w:t xml:space="preserve">        - name: </w:t>
      </w:r>
      <w:r w:rsidRPr="000A0A5F">
        <w:t>tmgi</w:t>
      </w:r>
    </w:p>
    <w:p w:rsidR="00CB0DD7" w:rsidRPr="000A0A5F" w:rsidRDefault="00CB0DD7">
      <w:pPr>
        <w:pStyle w:val="PL"/>
        <w:rPr>
          <w:rFonts w:hint="eastAsia"/>
        </w:rPr>
      </w:pPr>
      <w:r w:rsidRPr="000A0A5F">
        <w:rPr>
          <w:rFonts w:hint="eastAsia"/>
        </w:rPr>
        <w:t xml:space="preserve">          in: path</w:t>
      </w:r>
    </w:p>
    <w:p w:rsidR="00CB0DD7" w:rsidRPr="000A0A5F" w:rsidRDefault="00CB0DD7">
      <w:pPr>
        <w:pStyle w:val="PL"/>
        <w:rPr>
          <w:rFonts w:hint="eastAsia"/>
        </w:rPr>
      </w:pPr>
      <w:r w:rsidRPr="000A0A5F">
        <w:rPr>
          <w:rFonts w:hint="eastAsia"/>
        </w:rPr>
        <w:t xml:space="preserve">          description: </w:t>
      </w:r>
      <w:r w:rsidRPr="000A0A5F">
        <w:t>TMGI</w:t>
      </w:r>
    </w:p>
    <w:p w:rsidR="00CB0DD7" w:rsidRPr="000A0A5F" w:rsidRDefault="00CB0DD7">
      <w:pPr>
        <w:pStyle w:val="PL"/>
        <w:rPr>
          <w:rFonts w:hint="eastAsia"/>
        </w:rPr>
      </w:pPr>
      <w:r w:rsidRPr="000A0A5F">
        <w:rPr>
          <w:rFonts w:hint="eastAsia"/>
        </w:rPr>
        <w:t xml:space="preserve">          required: true</w:t>
      </w:r>
    </w:p>
    <w:p w:rsidR="00CB0DD7" w:rsidRPr="000A0A5F" w:rsidRDefault="00CB0DD7">
      <w:pPr>
        <w:pStyle w:val="PL"/>
        <w:rPr>
          <w:rFonts w:hint="eastAsia"/>
        </w:rPr>
      </w:pPr>
      <w:r w:rsidRPr="000A0A5F">
        <w:rPr>
          <w:rFonts w:hint="eastAsia"/>
        </w:rPr>
        <w:t xml:space="preserve">          schema:</w:t>
      </w:r>
    </w:p>
    <w:p w:rsidR="00CB0DD7" w:rsidRPr="000A0A5F" w:rsidRDefault="00CB0DD7">
      <w:pPr>
        <w:pStyle w:val="PL"/>
      </w:pPr>
      <w:r w:rsidRPr="000A0A5F">
        <w:rPr>
          <w:rFonts w:hint="eastAsia"/>
        </w:rPr>
        <w:t xml:space="preserve">            type: string</w:t>
      </w:r>
    </w:p>
    <w:p w:rsidR="00CB0DD7" w:rsidRPr="000A0A5F" w:rsidRDefault="00CB0DD7">
      <w:pPr>
        <w:pStyle w:val="PL"/>
        <w:rPr>
          <w:lang w:val="en-US"/>
        </w:rPr>
      </w:pPr>
      <w:r w:rsidRPr="000A0A5F">
        <w:rPr>
          <w:lang w:val="en-US"/>
        </w:rPr>
        <w:t xml:space="preserve">      requestBody:</w:t>
      </w:r>
    </w:p>
    <w:p w:rsidR="00CB0DD7" w:rsidRPr="000A0A5F" w:rsidRDefault="00CB0DD7">
      <w:pPr>
        <w:pStyle w:val="PL"/>
        <w:rPr>
          <w:lang w:val="en-US"/>
        </w:rPr>
      </w:pPr>
      <w:r w:rsidRPr="000A0A5F">
        <w:rPr>
          <w:lang w:val="en-US"/>
        </w:rPr>
        <w:t xml:space="preserve">        description: representation of the </w:t>
      </w:r>
      <w:r w:rsidRPr="000A0A5F">
        <w:t>GMD via MBMS by MB2 resource</w:t>
      </w:r>
      <w:r w:rsidRPr="000A0A5F">
        <w:rPr>
          <w:lang w:val="en-US"/>
        </w:rPr>
        <w:t xml:space="preserve"> to be Created in the SCEF</w:t>
      </w:r>
    </w:p>
    <w:p w:rsidR="00CB0DD7" w:rsidRPr="000A0A5F" w:rsidRDefault="00CB0DD7">
      <w:pPr>
        <w:pStyle w:val="PL"/>
        <w:rPr>
          <w:lang w:val="en-US"/>
        </w:rPr>
      </w:pPr>
      <w:r w:rsidRPr="000A0A5F">
        <w:rPr>
          <w:lang w:val="en-US"/>
        </w:rPr>
        <w:t xml:space="preserve">        required: true</w:t>
      </w:r>
    </w:p>
    <w:p w:rsidR="00CB0DD7" w:rsidRPr="000A0A5F" w:rsidRDefault="00CB0DD7">
      <w:pPr>
        <w:pStyle w:val="PL"/>
        <w:rPr>
          <w:lang w:val="en-US"/>
        </w:rPr>
      </w:pPr>
      <w:r w:rsidRPr="000A0A5F">
        <w:rPr>
          <w:lang w:val="en-US"/>
        </w:rPr>
        <w:t xml:space="preserve">        content:</w:t>
      </w:r>
    </w:p>
    <w:p w:rsidR="00CB0DD7" w:rsidRPr="000A0A5F" w:rsidRDefault="00CB0DD7">
      <w:pPr>
        <w:pStyle w:val="PL"/>
        <w:rPr>
          <w:lang w:val="en-US"/>
        </w:rPr>
      </w:pPr>
      <w:r w:rsidRPr="000A0A5F">
        <w:rPr>
          <w:lang w:val="en-US"/>
        </w:rPr>
        <w:t xml:space="preserve">          application/json: </w:t>
      </w:r>
    </w:p>
    <w:p w:rsidR="00CB0DD7" w:rsidRPr="000A0A5F" w:rsidRDefault="00CB0DD7">
      <w:pPr>
        <w:pStyle w:val="PL"/>
        <w:rPr>
          <w:lang w:val="en-US"/>
        </w:rPr>
      </w:pPr>
      <w:r w:rsidRPr="000A0A5F">
        <w:rPr>
          <w:lang w:val="en-US"/>
        </w:rPr>
        <w:t xml:space="preserve">            schema:</w:t>
      </w:r>
    </w:p>
    <w:p w:rsidR="00CB0DD7" w:rsidRPr="000A0A5F" w:rsidRDefault="00CB0DD7">
      <w:pPr>
        <w:pStyle w:val="PL"/>
        <w:rPr>
          <w:lang w:val="en-US"/>
        </w:rPr>
      </w:pPr>
      <w:r w:rsidRPr="000A0A5F">
        <w:rPr>
          <w:lang w:val="en-US"/>
        </w:rPr>
        <w:t xml:space="preserve">              $ref: '#/components/schemas/</w:t>
      </w:r>
      <w:r w:rsidRPr="000A0A5F">
        <w:t>GMDViaMBMSByMb2</w:t>
      </w:r>
      <w:r w:rsidRPr="000A0A5F">
        <w:rPr>
          <w:lang w:val="en-US"/>
        </w:rPr>
        <w:t>'</w:t>
      </w:r>
    </w:p>
    <w:p w:rsidR="00CB0DD7" w:rsidRPr="000A0A5F" w:rsidRDefault="00CB0DD7">
      <w:pPr>
        <w:pStyle w:val="PL"/>
        <w:tabs>
          <w:tab w:val="clear" w:pos="768"/>
          <w:tab w:val="left" w:pos="610"/>
        </w:tabs>
        <w:rPr>
          <w:lang w:val="en-US"/>
        </w:rPr>
      </w:pPr>
      <w:r w:rsidRPr="000A0A5F">
        <w:rPr>
          <w:lang w:val="en-US"/>
        </w:rPr>
        <w:t xml:space="preserve">      callbacks:</w:t>
      </w:r>
    </w:p>
    <w:p w:rsidR="00CB0DD7" w:rsidRPr="000A0A5F" w:rsidRDefault="00CB0DD7">
      <w:pPr>
        <w:pStyle w:val="PL"/>
        <w:rPr>
          <w:lang w:val="en-US"/>
        </w:rPr>
      </w:pPr>
      <w:r w:rsidRPr="000A0A5F">
        <w:rPr>
          <w:lang w:val="en-US"/>
        </w:rPr>
        <w:t xml:space="preserve">        </w:t>
      </w:r>
      <w:r w:rsidRPr="000A0A5F">
        <w:t>gMDByMb2Notification</w:t>
      </w:r>
      <w:r w:rsidRPr="000A0A5F">
        <w:rPr>
          <w:lang w:val="en-US"/>
        </w:rPr>
        <w:t>:</w:t>
      </w:r>
    </w:p>
    <w:p w:rsidR="00CB0DD7" w:rsidRPr="000A0A5F" w:rsidRDefault="00CB0DD7">
      <w:pPr>
        <w:pStyle w:val="PL"/>
        <w:rPr>
          <w:lang w:val="en-US"/>
        </w:rPr>
      </w:pPr>
      <w:r w:rsidRPr="000A0A5F">
        <w:rPr>
          <w:lang w:val="en-US"/>
        </w:rPr>
        <w:t xml:space="preserve">          '{$request.body#/notification</w:t>
      </w:r>
      <w:r w:rsidRPr="000A0A5F">
        <w:rPr>
          <w:lang w:eastAsia="zh-CN"/>
        </w:rPr>
        <w:t>Destination</w:t>
      </w:r>
      <w:r w:rsidRPr="000A0A5F">
        <w:rPr>
          <w:lang w:val="en-US"/>
        </w:rPr>
        <w:t>}':</w:t>
      </w:r>
    </w:p>
    <w:p w:rsidR="00CB0DD7" w:rsidRPr="000A0A5F" w:rsidRDefault="00CB0DD7">
      <w:pPr>
        <w:pStyle w:val="PL"/>
        <w:rPr>
          <w:lang w:val="en-US"/>
        </w:rPr>
      </w:pPr>
      <w:r w:rsidRPr="000A0A5F">
        <w:rPr>
          <w:lang w:val="en-US"/>
        </w:rPr>
        <w:t xml:space="preserve">            post:</w:t>
      </w:r>
    </w:p>
    <w:p w:rsidR="00CB0DD7" w:rsidRPr="000A0A5F" w:rsidRDefault="00CB0DD7">
      <w:pPr>
        <w:pStyle w:val="PL"/>
        <w:rPr>
          <w:lang w:val="en-US"/>
        </w:rPr>
      </w:pPr>
      <w:r w:rsidRPr="000A0A5F">
        <w:rPr>
          <w:lang w:val="en-US"/>
        </w:rPr>
        <w:t xml:space="preserve">              requestBody:  # contents of the callback message</w:t>
      </w:r>
    </w:p>
    <w:p w:rsidR="00CB0DD7" w:rsidRPr="000A0A5F" w:rsidRDefault="00CB0DD7">
      <w:pPr>
        <w:pStyle w:val="PL"/>
        <w:rPr>
          <w:lang w:val="en-US"/>
        </w:rPr>
      </w:pPr>
      <w:r w:rsidRPr="000A0A5F">
        <w:rPr>
          <w:lang w:val="en-US"/>
        </w:rPr>
        <w:t xml:space="preserve">                required: true</w:t>
      </w:r>
    </w:p>
    <w:p w:rsidR="00CB0DD7" w:rsidRPr="000A0A5F" w:rsidRDefault="00CB0DD7">
      <w:pPr>
        <w:pStyle w:val="PL"/>
        <w:rPr>
          <w:lang w:val="en-US"/>
        </w:rPr>
      </w:pPr>
      <w:r w:rsidRPr="000A0A5F">
        <w:rPr>
          <w:lang w:val="en-US"/>
        </w:rPr>
        <w:t xml:space="preserve">                content:</w:t>
      </w:r>
    </w:p>
    <w:p w:rsidR="00CB0DD7" w:rsidRPr="000A0A5F" w:rsidRDefault="00CB0DD7">
      <w:pPr>
        <w:pStyle w:val="PL"/>
        <w:rPr>
          <w:lang w:val="en-US"/>
        </w:rPr>
      </w:pPr>
      <w:r w:rsidRPr="000A0A5F">
        <w:rPr>
          <w:lang w:val="en-US"/>
        </w:rPr>
        <w:t xml:space="preserve">                  application/json:</w:t>
      </w:r>
    </w:p>
    <w:p w:rsidR="00CB0DD7" w:rsidRPr="000A0A5F" w:rsidRDefault="00CB0DD7">
      <w:pPr>
        <w:pStyle w:val="PL"/>
        <w:rPr>
          <w:lang w:val="en-US"/>
        </w:rPr>
      </w:pPr>
      <w:r w:rsidRPr="000A0A5F">
        <w:rPr>
          <w:lang w:val="en-US"/>
        </w:rPr>
        <w:t xml:space="preserve">                    schema:</w:t>
      </w:r>
    </w:p>
    <w:p w:rsidR="00CB0DD7" w:rsidRPr="000A0A5F" w:rsidRDefault="00CB0DD7">
      <w:pPr>
        <w:pStyle w:val="PL"/>
        <w:rPr>
          <w:lang w:val="en-US"/>
        </w:rPr>
      </w:pPr>
      <w:r w:rsidRPr="000A0A5F">
        <w:rPr>
          <w:lang w:val="en-US"/>
        </w:rPr>
        <w:t xml:space="preserve">                      $ref: '#/components/schemas/</w:t>
      </w:r>
      <w:r w:rsidRPr="000A0A5F">
        <w:t>GMDByMb2Notification</w:t>
      </w:r>
      <w:r w:rsidRPr="000A0A5F">
        <w:rPr>
          <w:lang w:val="en-US"/>
        </w:rPr>
        <w:t>'</w:t>
      </w:r>
    </w:p>
    <w:p w:rsidR="00CB0DD7" w:rsidRPr="000A0A5F" w:rsidRDefault="00CB0DD7">
      <w:pPr>
        <w:pStyle w:val="PL"/>
        <w:rPr>
          <w:lang w:val="en-US"/>
        </w:rPr>
      </w:pPr>
      <w:r w:rsidRPr="000A0A5F">
        <w:rPr>
          <w:lang w:val="en-US"/>
        </w:rPr>
        <w:t xml:space="preserve">              responses:</w:t>
      </w:r>
    </w:p>
    <w:p w:rsidR="00CB0DD7" w:rsidRPr="000A0A5F" w:rsidRDefault="00CB0DD7">
      <w:pPr>
        <w:pStyle w:val="PL"/>
        <w:rPr>
          <w:rFonts w:hint="eastAsia"/>
        </w:rPr>
      </w:pPr>
      <w:r w:rsidRPr="000A0A5F">
        <w:rPr>
          <w:lang w:val="en-US"/>
        </w:rPr>
        <w:t xml:space="preserve">                </w:t>
      </w:r>
      <w:r w:rsidRPr="000A0A5F">
        <w:rPr>
          <w:rFonts w:hint="eastAsia"/>
        </w:rPr>
        <w:t>'200':</w:t>
      </w:r>
    </w:p>
    <w:p w:rsidR="00CB0DD7" w:rsidRPr="000A0A5F" w:rsidRDefault="00CB0DD7">
      <w:pPr>
        <w:pStyle w:val="PL"/>
        <w:tabs>
          <w:tab w:val="clear" w:pos="1920"/>
          <w:tab w:val="left" w:pos="1765"/>
        </w:tabs>
        <w:rPr>
          <w:rFonts w:hint="eastAsia"/>
        </w:rPr>
      </w:pPr>
      <w:r w:rsidRPr="000A0A5F">
        <w:rPr>
          <w:lang w:val="en-US"/>
        </w:rPr>
        <w:t xml:space="preserve">                  </w:t>
      </w:r>
      <w:r w:rsidRPr="000A0A5F">
        <w:rPr>
          <w:rFonts w:hint="eastAsia"/>
        </w:rPr>
        <w:t>description: OK (</w:t>
      </w:r>
      <w:r w:rsidRPr="000A0A5F">
        <w:t xml:space="preserve">The </w:t>
      </w:r>
      <w:r w:rsidRPr="000A0A5F">
        <w:rPr>
          <w:rFonts w:hint="eastAsia"/>
          <w:lang w:eastAsia="zh-CN"/>
        </w:rPr>
        <w:t>successful acknowledgement of the notification</w:t>
      </w:r>
      <w:r w:rsidRPr="000A0A5F">
        <w:rPr>
          <w:lang w:eastAsia="zh-CN"/>
        </w:rPr>
        <w:t xml:space="preserve"> with a body</w:t>
      </w:r>
      <w:r w:rsidRPr="000A0A5F">
        <w:rPr>
          <w:rFonts w:hint="eastAsia"/>
        </w:rPr>
        <w:t>)</w:t>
      </w:r>
    </w:p>
    <w:p w:rsidR="00CB0DD7" w:rsidRPr="000A0A5F" w:rsidRDefault="00CB0DD7">
      <w:pPr>
        <w:pStyle w:val="PL"/>
        <w:tabs>
          <w:tab w:val="clear" w:pos="1920"/>
          <w:tab w:val="left" w:pos="1765"/>
        </w:tabs>
        <w:rPr>
          <w:rFonts w:hint="eastAsia"/>
        </w:rPr>
      </w:pPr>
      <w:r w:rsidRPr="000A0A5F">
        <w:rPr>
          <w:lang w:val="en-US"/>
        </w:rPr>
        <w:t xml:space="preserve">                  </w:t>
      </w:r>
      <w:r w:rsidRPr="000A0A5F">
        <w:t>c</w:t>
      </w:r>
      <w:r w:rsidRPr="000A0A5F">
        <w:rPr>
          <w:rFonts w:hint="eastAsia"/>
        </w:rPr>
        <w:t>ontent:</w:t>
      </w:r>
    </w:p>
    <w:p w:rsidR="00CB0DD7" w:rsidRPr="000A0A5F" w:rsidRDefault="00CB0DD7">
      <w:pPr>
        <w:pStyle w:val="PL"/>
        <w:rPr>
          <w:rFonts w:hint="eastAsia"/>
        </w:rPr>
      </w:pPr>
      <w:r w:rsidRPr="000A0A5F">
        <w:rPr>
          <w:lang w:val="en-US"/>
        </w:rPr>
        <w:t xml:space="preserve">                    </w:t>
      </w:r>
      <w:r w:rsidRPr="000A0A5F">
        <w:rPr>
          <w:rFonts w:hint="eastAsia"/>
        </w:rPr>
        <w:t>application/json:</w:t>
      </w:r>
    </w:p>
    <w:p w:rsidR="00CB0DD7" w:rsidRPr="000A0A5F" w:rsidRDefault="00CB0DD7">
      <w:pPr>
        <w:pStyle w:val="PL"/>
      </w:pPr>
      <w:r w:rsidRPr="000A0A5F">
        <w:rPr>
          <w:lang w:val="en-US"/>
        </w:rPr>
        <w:t xml:space="preserve">                      </w:t>
      </w:r>
      <w:r w:rsidRPr="000A0A5F">
        <w:rPr>
          <w:rFonts w:hint="eastAsia"/>
        </w:rPr>
        <w:t>schema:</w:t>
      </w:r>
    </w:p>
    <w:p w:rsidR="00CB0DD7" w:rsidRPr="000A0A5F" w:rsidRDefault="00CB0DD7">
      <w:pPr>
        <w:pStyle w:val="PL"/>
        <w:rPr>
          <w:lang w:val="en-US"/>
        </w:rPr>
      </w:pPr>
      <w:r w:rsidRPr="000A0A5F">
        <w:rPr>
          <w:lang w:val="en-US"/>
        </w:rPr>
        <w:t xml:space="preserve">                      </w:t>
      </w:r>
      <w:r w:rsidRPr="000A0A5F">
        <w:rPr>
          <w:rFonts w:hint="eastAsia"/>
        </w:rPr>
        <w:t xml:space="preserve">  $ref: '</w:t>
      </w:r>
      <w:r w:rsidRPr="000A0A5F">
        <w:t>TS29122_CommonData.yaml</w:t>
      </w:r>
      <w:r w:rsidRPr="000A0A5F">
        <w:rPr>
          <w:rFonts w:hint="eastAsia"/>
        </w:rPr>
        <w:t>#/components/schemas/</w:t>
      </w:r>
      <w:r w:rsidRPr="000A0A5F">
        <w:t>A</w:t>
      </w:r>
      <w:r w:rsidRPr="000A0A5F">
        <w:rPr>
          <w:rFonts w:hint="eastAsia"/>
          <w:lang w:eastAsia="zh-CN"/>
        </w:rPr>
        <w:t>cknowledgement</w:t>
      </w:r>
      <w:r w:rsidRPr="000A0A5F">
        <w:rPr>
          <w:rFonts w:hint="eastAsia"/>
        </w:rPr>
        <w:t>'</w:t>
      </w:r>
    </w:p>
    <w:p w:rsidR="00CB0DD7" w:rsidRPr="000A0A5F" w:rsidRDefault="00CB0DD7">
      <w:pPr>
        <w:pStyle w:val="PL"/>
        <w:rPr>
          <w:lang w:val="en-US"/>
        </w:rPr>
      </w:pPr>
      <w:r w:rsidRPr="000A0A5F">
        <w:rPr>
          <w:lang w:val="en-US"/>
        </w:rPr>
        <w:t xml:space="preserve">                '204':</w:t>
      </w:r>
    </w:p>
    <w:p w:rsidR="00CB0DD7" w:rsidRPr="000A0A5F" w:rsidRDefault="00CB0DD7">
      <w:pPr>
        <w:pStyle w:val="PL"/>
        <w:rPr>
          <w:lang w:val="en-US"/>
        </w:rPr>
      </w:pPr>
      <w:r w:rsidRPr="000A0A5F">
        <w:rPr>
          <w:lang w:val="en-US"/>
        </w:rPr>
        <w:t xml:space="preserve">                  description: successful notification</w:t>
      </w:r>
    </w:p>
    <w:p w:rsidR="00CB0DD7" w:rsidRPr="000A0A5F" w:rsidRDefault="00CB0DD7">
      <w:pPr>
        <w:pStyle w:val="PL"/>
      </w:pPr>
      <w:r w:rsidRPr="000A0A5F">
        <w:t xml:space="preserve">                '307':</w:t>
      </w:r>
    </w:p>
    <w:p w:rsidR="00CB0DD7" w:rsidRPr="000A0A5F" w:rsidRDefault="00CB0DD7">
      <w:pPr>
        <w:pStyle w:val="PL"/>
      </w:pPr>
      <w:r w:rsidRPr="000A0A5F">
        <w:t xml:space="preserve">                  $ref: 'TS29122_CommonData.yaml#/components/responses/307'</w:t>
      </w:r>
    </w:p>
    <w:p w:rsidR="00CB0DD7" w:rsidRPr="000A0A5F" w:rsidRDefault="00CB0DD7">
      <w:pPr>
        <w:pStyle w:val="PL"/>
      </w:pPr>
      <w:r w:rsidRPr="000A0A5F">
        <w:t xml:space="preserve">                '308':</w:t>
      </w:r>
    </w:p>
    <w:p w:rsidR="00CB0DD7" w:rsidRPr="000A0A5F" w:rsidRDefault="00CB0DD7">
      <w:pPr>
        <w:pStyle w:val="PL"/>
      </w:pPr>
      <w:r w:rsidRPr="000A0A5F">
        <w:t xml:space="preserve">                  $ref: 'TS29122_CommonData.yaml#/components/responses/308'</w:t>
      </w:r>
    </w:p>
    <w:p w:rsidR="00CB0DD7" w:rsidRPr="000A0A5F" w:rsidRDefault="00CB0DD7">
      <w:pPr>
        <w:pStyle w:val="PL"/>
      </w:pPr>
      <w:r w:rsidRPr="000A0A5F">
        <w:t xml:space="preserve">                '400':</w:t>
      </w:r>
    </w:p>
    <w:p w:rsidR="00CB0DD7" w:rsidRPr="000A0A5F" w:rsidRDefault="00CB0DD7">
      <w:pPr>
        <w:pStyle w:val="PL"/>
      </w:pPr>
      <w:r w:rsidRPr="000A0A5F">
        <w:t xml:space="preserve">                  $ref: 'TS29122_CommonData.yaml#/components/responses/400'</w:t>
      </w:r>
    </w:p>
    <w:p w:rsidR="00CB0DD7" w:rsidRPr="000A0A5F" w:rsidRDefault="00CB0DD7">
      <w:pPr>
        <w:pStyle w:val="PL"/>
      </w:pPr>
      <w:r w:rsidRPr="000A0A5F">
        <w:t xml:space="preserve">                '401':</w:t>
      </w:r>
    </w:p>
    <w:p w:rsidR="00CB0DD7" w:rsidRPr="000A0A5F" w:rsidRDefault="00CB0DD7">
      <w:pPr>
        <w:pStyle w:val="PL"/>
      </w:pPr>
      <w:r w:rsidRPr="000A0A5F">
        <w:t xml:space="preserve">                  $ref: 'TS29122_CommonData.yaml#/components/responses/401'</w:t>
      </w:r>
    </w:p>
    <w:p w:rsidR="00CB0DD7" w:rsidRPr="000A0A5F" w:rsidRDefault="00CB0DD7">
      <w:pPr>
        <w:pStyle w:val="PL"/>
      </w:pPr>
      <w:r w:rsidRPr="000A0A5F">
        <w:t xml:space="preserve">                '403':</w:t>
      </w:r>
    </w:p>
    <w:p w:rsidR="00CB0DD7" w:rsidRPr="000A0A5F" w:rsidRDefault="00CB0DD7">
      <w:pPr>
        <w:pStyle w:val="PL"/>
      </w:pPr>
      <w:r w:rsidRPr="000A0A5F">
        <w:t xml:space="preserve">                  $ref: 'TS29122_CommonData.yaml#/components/responses/403'</w:t>
      </w:r>
    </w:p>
    <w:p w:rsidR="00CB0DD7" w:rsidRPr="000A0A5F" w:rsidRDefault="00CB0DD7">
      <w:pPr>
        <w:pStyle w:val="PL"/>
      </w:pPr>
      <w:r w:rsidRPr="000A0A5F">
        <w:t xml:space="preserve">                '404':</w:t>
      </w:r>
    </w:p>
    <w:p w:rsidR="00CB0DD7" w:rsidRPr="000A0A5F" w:rsidRDefault="00CB0DD7">
      <w:pPr>
        <w:pStyle w:val="PL"/>
      </w:pPr>
      <w:r w:rsidRPr="000A0A5F">
        <w:t xml:space="preserve">                  $ref: 'TS29122_CommonData.yaml#/components/responses/404'</w:t>
      </w:r>
    </w:p>
    <w:p w:rsidR="00CB0DD7" w:rsidRPr="000A0A5F" w:rsidRDefault="00CB0DD7">
      <w:pPr>
        <w:pStyle w:val="PL"/>
      </w:pPr>
      <w:r w:rsidRPr="000A0A5F">
        <w:t xml:space="preserve">                '411':</w:t>
      </w:r>
    </w:p>
    <w:p w:rsidR="00CB0DD7" w:rsidRPr="000A0A5F" w:rsidRDefault="00CB0DD7">
      <w:pPr>
        <w:pStyle w:val="PL"/>
      </w:pPr>
      <w:r w:rsidRPr="000A0A5F">
        <w:t xml:space="preserve">                  $ref: 'TS29122_CommonData.yaml#/components/responses/411'</w:t>
      </w:r>
    </w:p>
    <w:p w:rsidR="00CB0DD7" w:rsidRPr="000A0A5F" w:rsidRDefault="00CB0DD7">
      <w:pPr>
        <w:pStyle w:val="PL"/>
      </w:pPr>
      <w:r w:rsidRPr="000A0A5F">
        <w:t xml:space="preserve">                '413':</w:t>
      </w:r>
    </w:p>
    <w:p w:rsidR="00CB0DD7" w:rsidRPr="000A0A5F" w:rsidRDefault="00CB0DD7">
      <w:pPr>
        <w:pStyle w:val="PL"/>
      </w:pPr>
      <w:r w:rsidRPr="000A0A5F">
        <w:t xml:space="preserve">                  $ref: 'TS29122_CommonData.yaml#/components/responses/413'</w:t>
      </w:r>
    </w:p>
    <w:p w:rsidR="00CB0DD7" w:rsidRPr="000A0A5F" w:rsidRDefault="00CB0DD7">
      <w:pPr>
        <w:pStyle w:val="PL"/>
      </w:pPr>
      <w:r w:rsidRPr="000A0A5F">
        <w:t xml:space="preserve">                '415':</w:t>
      </w:r>
    </w:p>
    <w:p w:rsidR="00CB0DD7" w:rsidRPr="000A0A5F" w:rsidRDefault="00CB0DD7">
      <w:pPr>
        <w:pStyle w:val="PL"/>
      </w:pPr>
      <w:r w:rsidRPr="000A0A5F">
        <w:t xml:space="preserve">                  $ref: 'TS29122_CommonData.yaml#/components/responses/415'</w:t>
      </w:r>
    </w:p>
    <w:p w:rsidR="00CB0DD7" w:rsidRPr="000A0A5F" w:rsidRDefault="00CB0DD7">
      <w:pPr>
        <w:pStyle w:val="PL"/>
      </w:pPr>
      <w:r w:rsidRPr="000A0A5F">
        <w:t xml:space="preserve">                '429':</w:t>
      </w:r>
    </w:p>
    <w:p w:rsidR="00CB0DD7" w:rsidRPr="000A0A5F" w:rsidRDefault="00CB0DD7">
      <w:pPr>
        <w:pStyle w:val="PL"/>
      </w:pPr>
      <w:r w:rsidRPr="000A0A5F">
        <w:t xml:space="preserve">                  $ref: 'TS29122_CommonData.yaml#/components/responses/429'</w:t>
      </w:r>
    </w:p>
    <w:p w:rsidR="00CB0DD7" w:rsidRPr="000A0A5F" w:rsidRDefault="00CB0DD7">
      <w:pPr>
        <w:pStyle w:val="PL"/>
      </w:pPr>
      <w:r w:rsidRPr="000A0A5F">
        <w:t xml:space="preserve">                '500':</w:t>
      </w:r>
    </w:p>
    <w:p w:rsidR="00CB0DD7" w:rsidRPr="000A0A5F" w:rsidRDefault="00CB0DD7">
      <w:pPr>
        <w:pStyle w:val="PL"/>
      </w:pPr>
      <w:r w:rsidRPr="000A0A5F">
        <w:t xml:space="preserve">                  $ref: 'TS29122_CommonData.yaml#/components/responses/500'</w:t>
      </w:r>
    </w:p>
    <w:p w:rsidR="00CB0DD7" w:rsidRPr="000A0A5F" w:rsidRDefault="00CB0DD7">
      <w:pPr>
        <w:pStyle w:val="PL"/>
      </w:pPr>
      <w:r w:rsidRPr="000A0A5F">
        <w:t xml:space="preserve">                '503':</w:t>
      </w:r>
    </w:p>
    <w:p w:rsidR="00CB0DD7" w:rsidRPr="000A0A5F" w:rsidRDefault="00CB0DD7">
      <w:pPr>
        <w:pStyle w:val="PL"/>
      </w:pPr>
      <w:r w:rsidRPr="000A0A5F">
        <w:t xml:space="preserve">                  $ref: 'TS29122_CommonData.yaml#/components/responses/503'</w:t>
      </w:r>
    </w:p>
    <w:p w:rsidR="00CB0DD7" w:rsidRPr="000A0A5F" w:rsidRDefault="00CB0DD7">
      <w:pPr>
        <w:pStyle w:val="PL"/>
      </w:pPr>
      <w:r w:rsidRPr="000A0A5F">
        <w:t xml:space="preserve">                default:</w:t>
      </w:r>
    </w:p>
    <w:p w:rsidR="00CB0DD7" w:rsidRPr="000A0A5F" w:rsidRDefault="00CB0DD7">
      <w:pPr>
        <w:pStyle w:val="PL"/>
      </w:pPr>
      <w:r w:rsidRPr="000A0A5F">
        <w:t xml:space="preserve">                  $ref: 'TS29122_CommonData.yaml#/components/responses/default'</w:t>
      </w:r>
    </w:p>
    <w:p w:rsidR="00CB0DD7" w:rsidRPr="000A0A5F" w:rsidRDefault="00CB0DD7">
      <w:pPr>
        <w:pStyle w:val="PL"/>
        <w:rPr>
          <w:lang w:val="en-US"/>
        </w:rPr>
      </w:pPr>
      <w:r w:rsidRPr="000A0A5F">
        <w:rPr>
          <w:lang w:val="en-US"/>
        </w:rPr>
        <w:t xml:space="preserve">      responses:</w:t>
      </w:r>
    </w:p>
    <w:p w:rsidR="00CB0DD7" w:rsidRPr="000A0A5F" w:rsidRDefault="00CB0DD7">
      <w:pPr>
        <w:pStyle w:val="PL"/>
        <w:rPr>
          <w:lang w:val="en-US"/>
        </w:rPr>
      </w:pPr>
      <w:r w:rsidRPr="000A0A5F">
        <w:rPr>
          <w:lang w:val="en-US"/>
        </w:rPr>
        <w:t xml:space="preserve">        '201':</w:t>
      </w:r>
    </w:p>
    <w:p w:rsidR="00CB0DD7" w:rsidRPr="000A0A5F" w:rsidRDefault="00CB0DD7">
      <w:pPr>
        <w:pStyle w:val="PL"/>
        <w:rPr>
          <w:lang w:val="en-US"/>
        </w:rPr>
      </w:pPr>
      <w:r w:rsidRPr="000A0A5F">
        <w:rPr>
          <w:lang w:val="en-US"/>
        </w:rPr>
        <w:t xml:space="preserve">          description: successful creation of an </w:t>
      </w:r>
      <w:r w:rsidRPr="000A0A5F">
        <w:t>GMD via MBMS by MB2 resource</w:t>
      </w:r>
    </w:p>
    <w:p w:rsidR="00CB0DD7" w:rsidRPr="000A0A5F" w:rsidRDefault="00CB0DD7">
      <w:pPr>
        <w:pStyle w:val="PL"/>
        <w:rPr>
          <w:lang w:val="en-US"/>
        </w:rPr>
      </w:pPr>
      <w:r w:rsidRPr="000A0A5F">
        <w:rPr>
          <w:lang w:val="en-US"/>
        </w:rPr>
        <w:t xml:space="preserve">          content:</w:t>
      </w:r>
    </w:p>
    <w:p w:rsidR="00CB0DD7" w:rsidRPr="000A0A5F" w:rsidRDefault="00CB0DD7">
      <w:pPr>
        <w:pStyle w:val="PL"/>
        <w:rPr>
          <w:lang w:val="en-US"/>
        </w:rPr>
      </w:pPr>
      <w:r w:rsidRPr="000A0A5F">
        <w:rPr>
          <w:lang w:val="en-US"/>
        </w:rPr>
        <w:t xml:space="preserve">            application/json:</w:t>
      </w:r>
    </w:p>
    <w:p w:rsidR="00CB0DD7" w:rsidRPr="000A0A5F" w:rsidRDefault="00CB0DD7">
      <w:pPr>
        <w:pStyle w:val="PL"/>
        <w:rPr>
          <w:lang w:val="en-US"/>
        </w:rPr>
      </w:pPr>
      <w:r w:rsidRPr="000A0A5F">
        <w:rPr>
          <w:lang w:val="en-US"/>
        </w:rPr>
        <w:t xml:space="preserve">              schema:</w:t>
      </w:r>
    </w:p>
    <w:p w:rsidR="00CB0DD7" w:rsidRPr="000A0A5F" w:rsidRDefault="00CB0DD7">
      <w:pPr>
        <w:pStyle w:val="PL"/>
        <w:rPr>
          <w:lang w:val="en-US"/>
        </w:rPr>
      </w:pPr>
      <w:r w:rsidRPr="000A0A5F">
        <w:rPr>
          <w:lang w:val="en-US"/>
        </w:rPr>
        <w:t xml:space="preserve">                $ref: '#/components/schemas/</w:t>
      </w:r>
      <w:r w:rsidRPr="000A0A5F">
        <w:t>GMDViaMBMSByMb2</w:t>
      </w:r>
      <w:r w:rsidRPr="000A0A5F">
        <w:rPr>
          <w:lang w:val="en-US"/>
        </w:rPr>
        <w:t>'</w:t>
      </w:r>
    </w:p>
    <w:p w:rsidR="00CB0DD7" w:rsidRPr="000A0A5F" w:rsidRDefault="00CB0DD7">
      <w:pPr>
        <w:pStyle w:val="PL"/>
      </w:pPr>
      <w:r w:rsidRPr="000A0A5F">
        <w:t xml:space="preserve">          headers:</w:t>
      </w:r>
    </w:p>
    <w:p w:rsidR="00CB0DD7" w:rsidRPr="000A0A5F" w:rsidRDefault="00CB0DD7">
      <w:pPr>
        <w:pStyle w:val="PL"/>
      </w:pPr>
      <w:r w:rsidRPr="000A0A5F">
        <w:t xml:space="preserve">            Location:</w:t>
      </w:r>
    </w:p>
    <w:p w:rsidR="00CB0DD7" w:rsidRPr="000A0A5F" w:rsidRDefault="00CB0DD7">
      <w:pPr>
        <w:pStyle w:val="PL"/>
      </w:pPr>
      <w:r w:rsidRPr="000A0A5F">
        <w:t xml:space="preserve">              description: 'Contains the URI of the newly created resource'</w:t>
      </w:r>
    </w:p>
    <w:p w:rsidR="00CB0DD7" w:rsidRPr="000A0A5F" w:rsidRDefault="00CB0DD7">
      <w:pPr>
        <w:pStyle w:val="PL"/>
      </w:pPr>
      <w:r w:rsidRPr="000A0A5F">
        <w:t xml:space="preserve">              required: true</w:t>
      </w:r>
    </w:p>
    <w:p w:rsidR="00CB0DD7" w:rsidRPr="000A0A5F" w:rsidRDefault="00CB0DD7">
      <w:pPr>
        <w:pStyle w:val="PL"/>
      </w:pPr>
      <w:r w:rsidRPr="000A0A5F">
        <w:t xml:space="preserve">              schema:</w:t>
      </w:r>
    </w:p>
    <w:p w:rsidR="00CB0DD7" w:rsidRPr="000A0A5F" w:rsidRDefault="00CB0DD7">
      <w:pPr>
        <w:pStyle w:val="PL"/>
      </w:pPr>
      <w:r w:rsidRPr="000A0A5F">
        <w:t xml:space="preserve">                type: string</w:t>
      </w:r>
    </w:p>
    <w:p w:rsidR="00CB0DD7" w:rsidRPr="000A0A5F" w:rsidRDefault="00CB0DD7">
      <w:pPr>
        <w:pStyle w:val="PL"/>
      </w:pPr>
      <w:r w:rsidRPr="000A0A5F">
        <w:t xml:space="preserve">        '400':</w:t>
      </w:r>
    </w:p>
    <w:p w:rsidR="00CB0DD7" w:rsidRPr="000A0A5F" w:rsidRDefault="00CB0DD7">
      <w:pPr>
        <w:pStyle w:val="PL"/>
      </w:pPr>
      <w:r w:rsidRPr="000A0A5F">
        <w:t xml:space="preserve">          $ref: 'TS29122_CommonData.yaml#/components/responses/400'</w:t>
      </w:r>
    </w:p>
    <w:p w:rsidR="00CB0DD7" w:rsidRPr="000A0A5F" w:rsidRDefault="00CB0DD7">
      <w:pPr>
        <w:pStyle w:val="PL"/>
      </w:pPr>
      <w:r w:rsidRPr="000A0A5F">
        <w:t xml:space="preserve">        '401':</w:t>
      </w:r>
    </w:p>
    <w:p w:rsidR="00CB0DD7" w:rsidRPr="000A0A5F" w:rsidRDefault="00CB0DD7">
      <w:pPr>
        <w:pStyle w:val="PL"/>
      </w:pPr>
      <w:r w:rsidRPr="000A0A5F">
        <w:t xml:space="preserve">          $ref: 'TS29122_CommonData.yaml#/components/responses/401'</w:t>
      </w:r>
    </w:p>
    <w:p w:rsidR="00CB0DD7" w:rsidRPr="000A0A5F" w:rsidRDefault="00CB0DD7">
      <w:pPr>
        <w:pStyle w:val="PL"/>
      </w:pPr>
      <w:r w:rsidRPr="000A0A5F">
        <w:t xml:space="preserve">        '403':</w:t>
      </w:r>
    </w:p>
    <w:p w:rsidR="00CB0DD7" w:rsidRPr="000A0A5F" w:rsidRDefault="00CB0DD7">
      <w:pPr>
        <w:pStyle w:val="PL"/>
      </w:pPr>
      <w:r w:rsidRPr="000A0A5F">
        <w:t xml:space="preserve">          $ref: 'TS29122_CommonData.yaml#/components/responses/403'</w:t>
      </w:r>
    </w:p>
    <w:p w:rsidR="00CB0DD7" w:rsidRPr="000A0A5F" w:rsidRDefault="00CB0DD7">
      <w:pPr>
        <w:pStyle w:val="PL"/>
      </w:pPr>
      <w:r w:rsidRPr="000A0A5F">
        <w:t xml:space="preserve">        '404':</w:t>
      </w:r>
    </w:p>
    <w:p w:rsidR="00CB0DD7" w:rsidRPr="000A0A5F" w:rsidRDefault="00CB0DD7">
      <w:pPr>
        <w:pStyle w:val="PL"/>
      </w:pPr>
      <w:r w:rsidRPr="000A0A5F">
        <w:t xml:space="preserve">          $ref: 'TS29122_CommonData.yaml#/components/responses/404'</w:t>
      </w:r>
    </w:p>
    <w:p w:rsidR="00CB0DD7" w:rsidRPr="000A0A5F" w:rsidRDefault="00CB0DD7">
      <w:pPr>
        <w:pStyle w:val="PL"/>
      </w:pPr>
      <w:r w:rsidRPr="000A0A5F">
        <w:t xml:space="preserve">        '411':</w:t>
      </w:r>
    </w:p>
    <w:p w:rsidR="00CB0DD7" w:rsidRPr="000A0A5F" w:rsidRDefault="00CB0DD7">
      <w:pPr>
        <w:pStyle w:val="PL"/>
      </w:pPr>
      <w:r w:rsidRPr="000A0A5F">
        <w:t xml:space="preserve">          $ref: 'TS29122_CommonData.yaml#/components/responses/411'</w:t>
      </w:r>
    </w:p>
    <w:p w:rsidR="00CB0DD7" w:rsidRPr="000A0A5F" w:rsidRDefault="00CB0DD7">
      <w:pPr>
        <w:pStyle w:val="PL"/>
      </w:pPr>
      <w:r w:rsidRPr="000A0A5F">
        <w:t xml:space="preserve">        '413':</w:t>
      </w:r>
    </w:p>
    <w:p w:rsidR="00CB0DD7" w:rsidRPr="000A0A5F" w:rsidRDefault="00CB0DD7">
      <w:pPr>
        <w:pStyle w:val="PL"/>
      </w:pPr>
      <w:r w:rsidRPr="000A0A5F">
        <w:t xml:space="preserve">          $ref: 'TS29122_CommonData.yaml#/components/responses/413'</w:t>
      </w:r>
    </w:p>
    <w:p w:rsidR="00CB0DD7" w:rsidRPr="000A0A5F" w:rsidRDefault="00CB0DD7">
      <w:pPr>
        <w:pStyle w:val="PL"/>
      </w:pPr>
      <w:r w:rsidRPr="000A0A5F">
        <w:t xml:space="preserve">        '415':</w:t>
      </w:r>
    </w:p>
    <w:p w:rsidR="00CB0DD7" w:rsidRPr="000A0A5F" w:rsidRDefault="00CB0DD7">
      <w:pPr>
        <w:pStyle w:val="PL"/>
      </w:pPr>
      <w:r w:rsidRPr="000A0A5F">
        <w:t xml:space="preserve">          $ref: 'TS29122_CommonData.yaml#/components/responses/415'</w:t>
      </w:r>
    </w:p>
    <w:p w:rsidR="00CB0DD7" w:rsidRPr="000A0A5F" w:rsidRDefault="00CB0DD7">
      <w:pPr>
        <w:pStyle w:val="PL"/>
      </w:pPr>
      <w:r w:rsidRPr="000A0A5F">
        <w:t xml:space="preserve">        '429':</w:t>
      </w:r>
    </w:p>
    <w:p w:rsidR="00CB0DD7" w:rsidRPr="000A0A5F" w:rsidRDefault="00CB0DD7">
      <w:pPr>
        <w:pStyle w:val="PL"/>
      </w:pPr>
      <w:r w:rsidRPr="000A0A5F">
        <w:t xml:space="preserve">          $ref: 'TS29122_CommonData.yaml#/components/responses/429'</w:t>
      </w:r>
    </w:p>
    <w:p w:rsidR="00CB0DD7" w:rsidRPr="000A0A5F" w:rsidRDefault="00CB0DD7">
      <w:pPr>
        <w:pStyle w:val="PL"/>
      </w:pPr>
      <w:r w:rsidRPr="000A0A5F">
        <w:t xml:space="preserve">        '500':</w:t>
      </w:r>
    </w:p>
    <w:p w:rsidR="00CB0DD7" w:rsidRPr="000A0A5F" w:rsidRDefault="00CB0DD7">
      <w:pPr>
        <w:pStyle w:val="PL"/>
      </w:pPr>
      <w:r w:rsidRPr="000A0A5F">
        <w:t xml:space="preserve">          $ref: 'TS29122_CommonData.yaml#/components/responses/500'</w:t>
      </w:r>
    </w:p>
    <w:p w:rsidR="00CB0DD7" w:rsidRPr="000A0A5F" w:rsidRDefault="00CB0DD7">
      <w:pPr>
        <w:pStyle w:val="PL"/>
      </w:pPr>
      <w:r w:rsidRPr="000A0A5F">
        <w:t xml:space="preserve">        '503':</w:t>
      </w:r>
    </w:p>
    <w:p w:rsidR="00CB0DD7" w:rsidRPr="000A0A5F" w:rsidRDefault="00CB0DD7">
      <w:pPr>
        <w:pStyle w:val="PL"/>
      </w:pPr>
      <w:r w:rsidRPr="000A0A5F">
        <w:t xml:space="preserve">          $ref: 'TS29122_CommonData.yaml#/components/responses/503'</w:t>
      </w:r>
    </w:p>
    <w:p w:rsidR="00CB0DD7" w:rsidRPr="000A0A5F" w:rsidRDefault="00CB0DD7">
      <w:pPr>
        <w:pStyle w:val="PL"/>
      </w:pPr>
      <w:r w:rsidRPr="000A0A5F">
        <w:t xml:space="preserve">        default:</w:t>
      </w:r>
    </w:p>
    <w:p w:rsidR="00CB0DD7" w:rsidRPr="000A0A5F" w:rsidRDefault="00CB0DD7">
      <w:pPr>
        <w:pStyle w:val="PL"/>
      </w:pPr>
      <w:r w:rsidRPr="000A0A5F">
        <w:t xml:space="preserve">          $ref: 'TS29122_CommonData.yaml#/components/responses/default'</w:t>
      </w:r>
    </w:p>
    <w:p w:rsidR="00CB0DD7" w:rsidRPr="000A0A5F" w:rsidRDefault="00CB0DD7">
      <w:pPr>
        <w:pStyle w:val="PL"/>
        <w:tabs>
          <w:tab w:val="clear" w:pos="384"/>
        </w:tabs>
        <w:rPr>
          <w:rFonts w:ascii="SimSun" w:hAnsi="SimSun"/>
          <w:lang w:val="en-US" w:eastAsia="zh-CN"/>
        </w:rPr>
      </w:pPr>
    </w:p>
    <w:p w:rsidR="00CB0DD7" w:rsidRPr="000A0A5F" w:rsidRDefault="00CB0DD7">
      <w:pPr>
        <w:pStyle w:val="PL"/>
        <w:rPr>
          <w:rFonts w:ascii="SimSun" w:hAnsi="SimSun" w:hint="eastAsia"/>
          <w:lang w:val="en-US" w:eastAsia="zh-CN"/>
        </w:rPr>
      </w:pPr>
      <w:r w:rsidRPr="000A0A5F">
        <w:rPr>
          <w:rFonts w:hint="eastAsia"/>
        </w:rPr>
        <w:t xml:space="preserve">  </w:t>
      </w:r>
      <w:r w:rsidRPr="000A0A5F">
        <w:t>/{scsAsId}/tmgi-allocation/{tmgi}/deli</w:t>
      </w:r>
      <w:r w:rsidRPr="000A0A5F">
        <w:rPr>
          <w:rFonts w:ascii="SimSun" w:hAnsi="SimSun"/>
          <w:lang w:val="en-US" w:eastAsia="zh-CN"/>
        </w:rPr>
        <w:t>v</w:t>
      </w:r>
      <w:r w:rsidRPr="000A0A5F">
        <w:t>ery-via-mbms/{transactionId}:</w:t>
      </w:r>
    </w:p>
    <w:p w:rsidR="00CB0DD7" w:rsidRPr="000A0A5F" w:rsidRDefault="00CB0DD7">
      <w:pPr>
        <w:pStyle w:val="PL"/>
        <w:rPr>
          <w:rFonts w:hint="eastAsia"/>
        </w:rPr>
      </w:pPr>
      <w:r w:rsidRPr="000A0A5F">
        <w:rPr>
          <w:rFonts w:hint="eastAsia"/>
        </w:rPr>
        <w:t xml:space="preserve">    </w:t>
      </w:r>
      <w:r w:rsidRPr="000A0A5F">
        <w:t>get</w:t>
      </w:r>
      <w:r w:rsidRPr="000A0A5F">
        <w:rPr>
          <w:rFonts w:hint="eastAsia"/>
        </w:rPr>
        <w:t>:</w:t>
      </w:r>
    </w:p>
    <w:p w:rsidR="00CB0DD7" w:rsidRPr="000A0A5F" w:rsidRDefault="00CB0DD7">
      <w:pPr>
        <w:pStyle w:val="PL"/>
        <w:rPr>
          <w:rFonts w:hint="eastAsia"/>
        </w:rPr>
      </w:pPr>
      <w:r w:rsidRPr="000A0A5F">
        <w:rPr>
          <w:rFonts w:hint="eastAsia"/>
        </w:rPr>
        <w:t xml:space="preserve">      summary: </w:t>
      </w:r>
      <w:r w:rsidR="00305F4B" w:rsidRPr="000A0A5F">
        <w:rPr>
          <w:lang w:eastAsia="zh-CN"/>
        </w:rPr>
        <w:t>R</w:t>
      </w:r>
      <w:r w:rsidRPr="000A0A5F">
        <w:rPr>
          <w:lang w:eastAsia="zh-CN"/>
        </w:rPr>
        <w:t>ead all group message delivery via MBMS resource for a given SCS/AS and a TMGI</w:t>
      </w:r>
      <w:r w:rsidR="00305F4B" w:rsidRPr="000A0A5F">
        <w:rPr>
          <w:lang w:eastAsia="zh-CN"/>
        </w:rPr>
        <w:t>.</w:t>
      </w:r>
    </w:p>
    <w:p w:rsidR="00305F4B" w:rsidRPr="000A0A5F" w:rsidRDefault="00305F4B" w:rsidP="00305F4B">
      <w:pPr>
        <w:pStyle w:val="PL"/>
      </w:pPr>
      <w:r w:rsidRPr="000A0A5F">
        <w:t xml:space="preserve">      </w:t>
      </w:r>
      <w:r w:rsidRPr="000A0A5F">
        <w:rPr>
          <w:rFonts w:cs="Courier New"/>
          <w:szCs w:val="16"/>
        </w:rPr>
        <w:t>operationId: FetchInd</w:t>
      </w:r>
      <w:r w:rsidRPr="000A0A5F">
        <w:rPr>
          <w:lang w:val="en-US"/>
        </w:rPr>
        <w:t>DeliveryViaMBMS</w:t>
      </w:r>
    </w:p>
    <w:p w:rsidR="00CB0DD7" w:rsidRPr="000A0A5F" w:rsidRDefault="00CB0DD7">
      <w:pPr>
        <w:pStyle w:val="PL"/>
        <w:rPr>
          <w:rFonts w:hint="eastAsia"/>
        </w:rPr>
      </w:pPr>
      <w:r w:rsidRPr="000A0A5F">
        <w:rPr>
          <w:rFonts w:hint="eastAsia"/>
        </w:rPr>
        <w:t xml:space="preserve">      tags:</w:t>
      </w:r>
    </w:p>
    <w:p w:rsidR="00CB0DD7" w:rsidRPr="000A0A5F" w:rsidRDefault="00CB0DD7">
      <w:pPr>
        <w:pStyle w:val="PL"/>
        <w:rPr>
          <w:rFonts w:hint="eastAsia"/>
        </w:rPr>
      </w:pPr>
      <w:r w:rsidRPr="000A0A5F">
        <w:rPr>
          <w:rFonts w:hint="eastAsia"/>
        </w:rPr>
        <w:t xml:space="preserve">        - </w:t>
      </w:r>
      <w:r w:rsidRPr="000A0A5F">
        <w:rPr>
          <w:lang w:val="en-US"/>
        </w:rPr>
        <w:t>Individual Delivery via MBMS resource Operation</w:t>
      </w:r>
    </w:p>
    <w:p w:rsidR="00CB0DD7" w:rsidRPr="000A0A5F" w:rsidRDefault="00CB0DD7">
      <w:pPr>
        <w:pStyle w:val="PL"/>
        <w:rPr>
          <w:rFonts w:hint="eastAsia"/>
        </w:rPr>
      </w:pPr>
      <w:r w:rsidRPr="000A0A5F">
        <w:rPr>
          <w:rFonts w:hint="eastAsia"/>
        </w:rPr>
        <w:t xml:space="preserve">      parameters:</w:t>
      </w:r>
    </w:p>
    <w:p w:rsidR="00CB0DD7" w:rsidRPr="000A0A5F" w:rsidRDefault="00CB0DD7">
      <w:pPr>
        <w:pStyle w:val="PL"/>
        <w:rPr>
          <w:rFonts w:hint="eastAsia"/>
        </w:rPr>
      </w:pPr>
      <w:r w:rsidRPr="000A0A5F">
        <w:rPr>
          <w:rFonts w:hint="eastAsia"/>
        </w:rPr>
        <w:t xml:space="preserve">        - name: </w:t>
      </w:r>
      <w:r w:rsidRPr="000A0A5F">
        <w:t>scsAsId</w:t>
      </w:r>
    </w:p>
    <w:p w:rsidR="00CB0DD7" w:rsidRPr="000A0A5F" w:rsidRDefault="00CB0DD7">
      <w:pPr>
        <w:pStyle w:val="PL"/>
        <w:rPr>
          <w:rFonts w:hint="eastAsia"/>
        </w:rPr>
      </w:pPr>
      <w:r w:rsidRPr="000A0A5F">
        <w:rPr>
          <w:rFonts w:hint="eastAsia"/>
        </w:rPr>
        <w:t xml:space="preserve">          in: path</w:t>
      </w:r>
    </w:p>
    <w:p w:rsidR="00CB0DD7" w:rsidRPr="000A0A5F" w:rsidRDefault="00CB0DD7">
      <w:pPr>
        <w:pStyle w:val="PL"/>
        <w:rPr>
          <w:rFonts w:hint="eastAsia"/>
        </w:rPr>
      </w:pPr>
      <w:r w:rsidRPr="000A0A5F">
        <w:rPr>
          <w:rFonts w:hint="eastAsia"/>
        </w:rPr>
        <w:t xml:space="preserve">          description: Identifier of </w:t>
      </w:r>
      <w:r w:rsidRPr="000A0A5F">
        <w:t>SCS/AS</w:t>
      </w:r>
    </w:p>
    <w:p w:rsidR="00CB0DD7" w:rsidRPr="000A0A5F" w:rsidRDefault="00CB0DD7">
      <w:pPr>
        <w:pStyle w:val="PL"/>
        <w:rPr>
          <w:rFonts w:hint="eastAsia"/>
        </w:rPr>
      </w:pPr>
      <w:r w:rsidRPr="000A0A5F">
        <w:rPr>
          <w:rFonts w:hint="eastAsia"/>
        </w:rPr>
        <w:t xml:space="preserve">          required: true</w:t>
      </w:r>
    </w:p>
    <w:p w:rsidR="00CB0DD7" w:rsidRPr="000A0A5F" w:rsidRDefault="00CB0DD7">
      <w:pPr>
        <w:pStyle w:val="PL"/>
        <w:rPr>
          <w:rFonts w:hint="eastAsia"/>
        </w:rPr>
      </w:pPr>
      <w:r w:rsidRPr="000A0A5F">
        <w:rPr>
          <w:rFonts w:hint="eastAsia"/>
        </w:rPr>
        <w:t xml:space="preserve">          schema:</w:t>
      </w:r>
    </w:p>
    <w:p w:rsidR="00CB0DD7" w:rsidRPr="000A0A5F" w:rsidRDefault="00CB0DD7">
      <w:pPr>
        <w:pStyle w:val="PL"/>
      </w:pPr>
      <w:r w:rsidRPr="000A0A5F">
        <w:rPr>
          <w:rFonts w:hint="eastAsia"/>
        </w:rPr>
        <w:t xml:space="preserve">            type: string</w:t>
      </w:r>
    </w:p>
    <w:p w:rsidR="00CB0DD7" w:rsidRPr="000A0A5F" w:rsidRDefault="00CB0DD7">
      <w:pPr>
        <w:pStyle w:val="PL"/>
        <w:rPr>
          <w:rFonts w:hint="eastAsia"/>
        </w:rPr>
      </w:pPr>
      <w:r w:rsidRPr="000A0A5F">
        <w:rPr>
          <w:rFonts w:hint="eastAsia"/>
        </w:rPr>
        <w:t xml:space="preserve">        - name: </w:t>
      </w:r>
      <w:r w:rsidRPr="000A0A5F">
        <w:t>tmgi</w:t>
      </w:r>
    </w:p>
    <w:p w:rsidR="00CB0DD7" w:rsidRPr="000A0A5F" w:rsidRDefault="00CB0DD7">
      <w:pPr>
        <w:pStyle w:val="PL"/>
        <w:rPr>
          <w:rFonts w:hint="eastAsia"/>
        </w:rPr>
      </w:pPr>
      <w:r w:rsidRPr="000A0A5F">
        <w:rPr>
          <w:rFonts w:hint="eastAsia"/>
        </w:rPr>
        <w:t xml:space="preserve">          in: path</w:t>
      </w:r>
    </w:p>
    <w:p w:rsidR="00CB0DD7" w:rsidRPr="000A0A5F" w:rsidRDefault="00CB0DD7">
      <w:pPr>
        <w:pStyle w:val="PL"/>
        <w:rPr>
          <w:rFonts w:hint="eastAsia"/>
        </w:rPr>
      </w:pPr>
      <w:r w:rsidRPr="000A0A5F">
        <w:rPr>
          <w:rFonts w:hint="eastAsia"/>
        </w:rPr>
        <w:t xml:space="preserve">          description: </w:t>
      </w:r>
      <w:r w:rsidRPr="000A0A5F">
        <w:t>TMGI</w:t>
      </w:r>
    </w:p>
    <w:p w:rsidR="00CB0DD7" w:rsidRPr="000A0A5F" w:rsidRDefault="00CB0DD7">
      <w:pPr>
        <w:pStyle w:val="PL"/>
        <w:rPr>
          <w:rFonts w:hint="eastAsia"/>
        </w:rPr>
      </w:pPr>
      <w:r w:rsidRPr="000A0A5F">
        <w:rPr>
          <w:rFonts w:hint="eastAsia"/>
        </w:rPr>
        <w:t xml:space="preserve">          required: true</w:t>
      </w:r>
    </w:p>
    <w:p w:rsidR="00CB0DD7" w:rsidRPr="000A0A5F" w:rsidRDefault="00CB0DD7">
      <w:pPr>
        <w:pStyle w:val="PL"/>
        <w:rPr>
          <w:rFonts w:hint="eastAsia"/>
        </w:rPr>
      </w:pPr>
      <w:r w:rsidRPr="000A0A5F">
        <w:rPr>
          <w:rFonts w:hint="eastAsia"/>
        </w:rPr>
        <w:t xml:space="preserve">          schema:</w:t>
      </w:r>
    </w:p>
    <w:p w:rsidR="00CB0DD7" w:rsidRPr="000A0A5F" w:rsidRDefault="00CB0DD7">
      <w:pPr>
        <w:pStyle w:val="PL"/>
      </w:pPr>
      <w:r w:rsidRPr="000A0A5F">
        <w:rPr>
          <w:rFonts w:hint="eastAsia"/>
        </w:rPr>
        <w:t xml:space="preserve">            type: string</w:t>
      </w:r>
    </w:p>
    <w:p w:rsidR="00CB0DD7" w:rsidRPr="000A0A5F" w:rsidRDefault="00CB0DD7">
      <w:pPr>
        <w:pStyle w:val="PL"/>
        <w:rPr>
          <w:rFonts w:hint="eastAsia"/>
        </w:rPr>
      </w:pPr>
      <w:r w:rsidRPr="000A0A5F">
        <w:rPr>
          <w:rFonts w:hint="eastAsia"/>
        </w:rPr>
        <w:t xml:space="preserve">        - name: </w:t>
      </w:r>
      <w:r w:rsidRPr="000A0A5F">
        <w:t>transactionId</w:t>
      </w:r>
    </w:p>
    <w:p w:rsidR="00CB0DD7" w:rsidRPr="000A0A5F" w:rsidRDefault="00CB0DD7">
      <w:pPr>
        <w:pStyle w:val="PL"/>
        <w:rPr>
          <w:rFonts w:hint="eastAsia"/>
        </w:rPr>
      </w:pPr>
      <w:r w:rsidRPr="000A0A5F">
        <w:rPr>
          <w:rFonts w:hint="eastAsia"/>
        </w:rPr>
        <w:t xml:space="preserve">          in: path</w:t>
      </w:r>
    </w:p>
    <w:p w:rsidR="00CB0DD7" w:rsidRPr="000A0A5F" w:rsidRDefault="00CB0DD7">
      <w:pPr>
        <w:pStyle w:val="PL"/>
        <w:rPr>
          <w:rFonts w:hint="eastAsia"/>
        </w:rPr>
      </w:pPr>
      <w:r w:rsidRPr="000A0A5F">
        <w:rPr>
          <w:rFonts w:hint="eastAsia"/>
        </w:rPr>
        <w:t xml:space="preserve">          description: </w:t>
      </w:r>
      <w:r w:rsidRPr="000A0A5F">
        <w:t>Identifier of transaction</w:t>
      </w:r>
    </w:p>
    <w:p w:rsidR="00CB0DD7" w:rsidRPr="000A0A5F" w:rsidRDefault="00CB0DD7">
      <w:pPr>
        <w:pStyle w:val="PL"/>
        <w:rPr>
          <w:rFonts w:hint="eastAsia"/>
        </w:rPr>
      </w:pPr>
      <w:r w:rsidRPr="000A0A5F">
        <w:rPr>
          <w:rFonts w:hint="eastAsia"/>
        </w:rPr>
        <w:t xml:space="preserve">          required: true</w:t>
      </w:r>
    </w:p>
    <w:p w:rsidR="00CB0DD7" w:rsidRPr="000A0A5F" w:rsidRDefault="00CB0DD7">
      <w:pPr>
        <w:pStyle w:val="PL"/>
        <w:rPr>
          <w:rFonts w:hint="eastAsia"/>
        </w:rPr>
      </w:pPr>
      <w:r w:rsidRPr="000A0A5F">
        <w:rPr>
          <w:rFonts w:hint="eastAsia"/>
        </w:rPr>
        <w:t xml:space="preserve">          schema:</w:t>
      </w:r>
    </w:p>
    <w:p w:rsidR="00CB0DD7" w:rsidRPr="000A0A5F" w:rsidRDefault="00CB0DD7">
      <w:pPr>
        <w:pStyle w:val="PL"/>
      </w:pPr>
      <w:r w:rsidRPr="000A0A5F">
        <w:rPr>
          <w:rFonts w:hint="eastAsia"/>
        </w:rPr>
        <w:t xml:space="preserve">            type: string</w:t>
      </w:r>
    </w:p>
    <w:p w:rsidR="00CB0DD7" w:rsidRPr="000A0A5F" w:rsidRDefault="00CB0DD7">
      <w:pPr>
        <w:pStyle w:val="PL"/>
        <w:rPr>
          <w:rFonts w:hint="eastAsia"/>
        </w:rPr>
      </w:pPr>
      <w:r w:rsidRPr="000A0A5F">
        <w:rPr>
          <w:rFonts w:hint="eastAsia"/>
        </w:rPr>
        <w:t xml:space="preserve">      responses:</w:t>
      </w:r>
    </w:p>
    <w:p w:rsidR="00CB0DD7" w:rsidRPr="000A0A5F" w:rsidRDefault="00CB0DD7">
      <w:pPr>
        <w:pStyle w:val="PL"/>
        <w:rPr>
          <w:rFonts w:hint="eastAsia"/>
        </w:rPr>
      </w:pPr>
      <w:r w:rsidRPr="000A0A5F">
        <w:rPr>
          <w:rFonts w:hint="eastAsia"/>
        </w:rPr>
        <w:t xml:space="preserve">        '200':</w:t>
      </w:r>
    </w:p>
    <w:p w:rsidR="00CB0DD7" w:rsidRPr="000A0A5F" w:rsidRDefault="00CB0DD7">
      <w:pPr>
        <w:pStyle w:val="PL"/>
        <w:rPr>
          <w:rFonts w:hint="eastAsia"/>
        </w:rPr>
      </w:pPr>
      <w:r w:rsidRPr="000A0A5F">
        <w:rPr>
          <w:rFonts w:hint="eastAsia"/>
        </w:rPr>
        <w:t xml:space="preserve">          description: OK (</w:t>
      </w:r>
      <w:r w:rsidRPr="000A0A5F">
        <w:t>successful query of an Delivery via MBMS resource</w:t>
      </w:r>
      <w:r w:rsidRPr="000A0A5F">
        <w:rPr>
          <w:rFonts w:hint="eastAsia"/>
        </w:rPr>
        <w:t>)</w:t>
      </w:r>
    </w:p>
    <w:p w:rsidR="00CB0DD7" w:rsidRPr="000A0A5F" w:rsidRDefault="00CB0DD7">
      <w:pPr>
        <w:pStyle w:val="PL"/>
        <w:rPr>
          <w:rFonts w:hint="eastAsia"/>
        </w:rPr>
      </w:pPr>
      <w:r w:rsidRPr="000A0A5F">
        <w:rPr>
          <w:rFonts w:hint="eastAsia"/>
        </w:rPr>
        <w:t xml:space="preserve">          content:</w:t>
      </w:r>
    </w:p>
    <w:p w:rsidR="00CB0DD7" w:rsidRPr="000A0A5F" w:rsidRDefault="00CB0DD7">
      <w:pPr>
        <w:pStyle w:val="PL"/>
        <w:rPr>
          <w:rFonts w:hint="eastAsia"/>
        </w:rPr>
      </w:pPr>
      <w:r w:rsidRPr="000A0A5F">
        <w:rPr>
          <w:rFonts w:hint="eastAsia"/>
        </w:rPr>
        <w:t xml:space="preserve">            application/json:</w:t>
      </w:r>
    </w:p>
    <w:p w:rsidR="00CB0DD7" w:rsidRPr="000A0A5F" w:rsidRDefault="00CB0DD7">
      <w:pPr>
        <w:pStyle w:val="PL"/>
      </w:pPr>
      <w:r w:rsidRPr="000A0A5F">
        <w:rPr>
          <w:rFonts w:hint="eastAsia"/>
        </w:rPr>
        <w:t xml:space="preserve">              schema:</w:t>
      </w:r>
    </w:p>
    <w:p w:rsidR="00CB0DD7" w:rsidRPr="000A0A5F" w:rsidRDefault="00CB0DD7">
      <w:pPr>
        <w:pStyle w:val="PL"/>
      </w:pPr>
      <w:r w:rsidRPr="000A0A5F">
        <w:rPr>
          <w:rFonts w:hint="eastAsia"/>
        </w:rPr>
        <w:t xml:space="preserve">                $ref: '#/components/schemas/</w:t>
      </w:r>
      <w:r w:rsidRPr="000A0A5F">
        <w:t>GMDViaMBMSByMb2</w:t>
      </w:r>
      <w:r w:rsidRPr="000A0A5F">
        <w:rPr>
          <w:rFonts w:hint="eastAsia"/>
        </w:rPr>
        <w:t>'</w:t>
      </w:r>
    </w:p>
    <w:p w:rsidR="00CB0DD7" w:rsidRPr="000A0A5F" w:rsidRDefault="00CB0DD7">
      <w:pPr>
        <w:pStyle w:val="PL"/>
      </w:pPr>
      <w:r w:rsidRPr="000A0A5F">
        <w:t xml:space="preserve">        '307':</w:t>
      </w:r>
    </w:p>
    <w:p w:rsidR="00CB0DD7" w:rsidRPr="000A0A5F" w:rsidRDefault="00CB0DD7">
      <w:pPr>
        <w:pStyle w:val="PL"/>
      </w:pPr>
      <w:r w:rsidRPr="000A0A5F">
        <w:t xml:space="preserve">          $ref: 'TS29122_CommonData.yaml#/components/responses/307'</w:t>
      </w:r>
    </w:p>
    <w:p w:rsidR="00CB0DD7" w:rsidRPr="000A0A5F" w:rsidRDefault="00CB0DD7">
      <w:pPr>
        <w:pStyle w:val="PL"/>
      </w:pPr>
      <w:r w:rsidRPr="000A0A5F">
        <w:t xml:space="preserve">        '308':</w:t>
      </w:r>
    </w:p>
    <w:p w:rsidR="00CB0DD7" w:rsidRPr="000A0A5F" w:rsidRDefault="00CB0DD7">
      <w:pPr>
        <w:pStyle w:val="PL"/>
      </w:pPr>
      <w:r w:rsidRPr="000A0A5F">
        <w:t xml:space="preserve">          $ref: 'TS29122_CommonData.yaml#/components/responses/308'</w:t>
      </w:r>
    </w:p>
    <w:p w:rsidR="00CB0DD7" w:rsidRPr="000A0A5F" w:rsidRDefault="00CB0DD7">
      <w:pPr>
        <w:pStyle w:val="PL"/>
      </w:pPr>
      <w:r w:rsidRPr="000A0A5F">
        <w:t xml:space="preserve">        '400':</w:t>
      </w:r>
    </w:p>
    <w:p w:rsidR="00CB0DD7" w:rsidRPr="000A0A5F" w:rsidRDefault="00CB0DD7">
      <w:pPr>
        <w:pStyle w:val="PL"/>
      </w:pPr>
      <w:r w:rsidRPr="000A0A5F">
        <w:t xml:space="preserve">          $ref: 'TS29122_CommonData.yaml#/components/responses/400'</w:t>
      </w:r>
    </w:p>
    <w:p w:rsidR="00CB0DD7" w:rsidRPr="000A0A5F" w:rsidRDefault="00CB0DD7">
      <w:pPr>
        <w:pStyle w:val="PL"/>
      </w:pPr>
      <w:r w:rsidRPr="000A0A5F">
        <w:t xml:space="preserve">        '401':</w:t>
      </w:r>
    </w:p>
    <w:p w:rsidR="00CB0DD7" w:rsidRPr="000A0A5F" w:rsidRDefault="00CB0DD7">
      <w:pPr>
        <w:pStyle w:val="PL"/>
      </w:pPr>
      <w:r w:rsidRPr="000A0A5F">
        <w:t xml:space="preserve">          $ref: 'TS29122_CommonData.yaml#/components/responses/401'</w:t>
      </w:r>
    </w:p>
    <w:p w:rsidR="00CB0DD7" w:rsidRPr="000A0A5F" w:rsidRDefault="00CB0DD7">
      <w:pPr>
        <w:pStyle w:val="PL"/>
      </w:pPr>
      <w:r w:rsidRPr="000A0A5F">
        <w:t xml:space="preserve">        '403':</w:t>
      </w:r>
    </w:p>
    <w:p w:rsidR="00CB0DD7" w:rsidRPr="000A0A5F" w:rsidRDefault="00CB0DD7">
      <w:pPr>
        <w:pStyle w:val="PL"/>
      </w:pPr>
      <w:r w:rsidRPr="000A0A5F">
        <w:t xml:space="preserve">          $ref: 'TS29122_CommonData.yaml#/components/responses/403'</w:t>
      </w:r>
    </w:p>
    <w:p w:rsidR="00CB0DD7" w:rsidRPr="000A0A5F" w:rsidRDefault="00CB0DD7">
      <w:pPr>
        <w:pStyle w:val="PL"/>
      </w:pPr>
      <w:r w:rsidRPr="000A0A5F">
        <w:t xml:space="preserve">        '404':</w:t>
      </w:r>
    </w:p>
    <w:p w:rsidR="00CB0DD7" w:rsidRPr="000A0A5F" w:rsidRDefault="00CB0DD7">
      <w:pPr>
        <w:pStyle w:val="PL"/>
      </w:pPr>
      <w:r w:rsidRPr="000A0A5F">
        <w:t xml:space="preserve">          $ref: 'TS29122_CommonData.yaml#/components/responses/404'</w:t>
      </w:r>
    </w:p>
    <w:p w:rsidR="00CB0DD7" w:rsidRPr="000A0A5F" w:rsidRDefault="00CB0DD7">
      <w:pPr>
        <w:pStyle w:val="PL"/>
      </w:pPr>
      <w:r w:rsidRPr="000A0A5F">
        <w:t xml:space="preserve">        '406':</w:t>
      </w:r>
    </w:p>
    <w:p w:rsidR="00CB0DD7" w:rsidRPr="000A0A5F" w:rsidRDefault="00CB0DD7">
      <w:pPr>
        <w:pStyle w:val="PL"/>
      </w:pPr>
      <w:r w:rsidRPr="000A0A5F">
        <w:t xml:space="preserve">          $ref: 'TS29122_CommonData.yaml#/components/responses/406'</w:t>
      </w:r>
    </w:p>
    <w:p w:rsidR="00CB0DD7" w:rsidRPr="000A0A5F" w:rsidRDefault="00CB0DD7">
      <w:pPr>
        <w:pStyle w:val="PL"/>
      </w:pPr>
      <w:r w:rsidRPr="000A0A5F">
        <w:t xml:space="preserve">        '429':</w:t>
      </w:r>
    </w:p>
    <w:p w:rsidR="00CB0DD7" w:rsidRPr="000A0A5F" w:rsidRDefault="00CB0DD7">
      <w:pPr>
        <w:pStyle w:val="PL"/>
      </w:pPr>
      <w:r w:rsidRPr="000A0A5F">
        <w:t xml:space="preserve">          $ref: 'TS29122_CommonData.yaml#/components/responses/429'</w:t>
      </w:r>
    </w:p>
    <w:p w:rsidR="00CB0DD7" w:rsidRPr="000A0A5F" w:rsidRDefault="00CB0DD7">
      <w:pPr>
        <w:pStyle w:val="PL"/>
      </w:pPr>
      <w:r w:rsidRPr="000A0A5F">
        <w:t xml:space="preserve">        '500':</w:t>
      </w:r>
    </w:p>
    <w:p w:rsidR="00CB0DD7" w:rsidRPr="000A0A5F" w:rsidRDefault="00CB0DD7">
      <w:pPr>
        <w:pStyle w:val="PL"/>
      </w:pPr>
      <w:r w:rsidRPr="000A0A5F">
        <w:t xml:space="preserve">          $ref: 'TS29122_CommonData.yaml#/components/responses/500'</w:t>
      </w:r>
    </w:p>
    <w:p w:rsidR="00CB0DD7" w:rsidRPr="000A0A5F" w:rsidRDefault="00CB0DD7">
      <w:pPr>
        <w:pStyle w:val="PL"/>
      </w:pPr>
      <w:r w:rsidRPr="000A0A5F">
        <w:t xml:space="preserve">        '503':</w:t>
      </w:r>
    </w:p>
    <w:p w:rsidR="00CB0DD7" w:rsidRPr="000A0A5F" w:rsidRDefault="00CB0DD7">
      <w:pPr>
        <w:pStyle w:val="PL"/>
      </w:pPr>
      <w:r w:rsidRPr="000A0A5F">
        <w:t xml:space="preserve">          $ref: 'TS29122_CommonData.yaml#/components/responses/503'</w:t>
      </w:r>
    </w:p>
    <w:p w:rsidR="00CB0DD7" w:rsidRPr="000A0A5F" w:rsidRDefault="00CB0DD7">
      <w:pPr>
        <w:pStyle w:val="PL"/>
      </w:pPr>
      <w:r w:rsidRPr="000A0A5F">
        <w:t xml:space="preserve">        default:</w:t>
      </w:r>
    </w:p>
    <w:p w:rsidR="00CB0DD7" w:rsidRPr="000A0A5F" w:rsidRDefault="00CB0DD7">
      <w:pPr>
        <w:pStyle w:val="PL"/>
        <w:rPr>
          <w:rFonts w:hint="eastAsia"/>
        </w:rPr>
      </w:pPr>
      <w:r w:rsidRPr="000A0A5F">
        <w:t xml:space="preserve">          $ref: 'TS29122_CommonData.yaml#/components/responses/default'</w:t>
      </w:r>
    </w:p>
    <w:p w:rsidR="00CB0DD7" w:rsidRPr="000A0A5F" w:rsidRDefault="00CB0DD7">
      <w:pPr>
        <w:pStyle w:val="PL"/>
        <w:rPr>
          <w:rFonts w:hint="eastAsia"/>
        </w:rPr>
      </w:pPr>
    </w:p>
    <w:p w:rsidR="00CB0DD7" w:rsidRPr="000A0A5F" w:rsidRDefault="00CB0DD7">
      <w:pPr>
        <w:pStyle w:val="PL"/>
        <w:tabs>
          <w:tab w:val="clear" w:pos="384"/>
        </w:tabs>
      </w:pPr>
      <w:r w:rsidRPr="000A0A5F">
        <w:rPr>
          <w:rFonts w:hint="eastAsia"/>
        </w:rPr>
        <w:t xml:space="preserve">    </w:t>
      </w:r>
      <w:r w:rsidRPr="000A0A5F">
        <w:rPr>
          <w:lang w:val="en-US"/>
        </w:rPr>
        <w:t>put</w:t>
      </w:r>
      <w:r w:rsidRPr="000A0A5F">
        <w:t>:</w:t>
      </w:r>
    </w:p>
    <w:p w:rsidR="00CB0DD7" w:rsidRPr="000A0A5F" w:rsidRDefault="00CB0DD7">
      <w:pPr>
        <w:pStyle w:val="PL"/>
        <w:rPr>
          <w:lang w:eastAsia="zh-CN"/>
        </w:rPr>
      </w:pPr>
      <w:r w:rsidRPr="000A0A5F">
        <w:t xml:space="preserve">      summary: Updates a existing</w:t>
      </w:r>
      <w:r w:rsidRPr="000A0A5F">
        <w:rPr>
          <w:lang w:eastAsia="zh-CN"/>
        </w:rPr>
        <w:t xml:space="preserve"> delivery via MBMS for a given SCS/AS,</w:t>
      </w:r>
      <w:r w:rsidRPr="000A0A5F">
        <w:rPr>
          <w:rFonts w:hint="eastAsia"/>
          <w:lang w:eastAsia="zh-CN"/>
        </w:rPr>
        <w:t xml:space="preserve"> a TMGI</w:t>
      </w:r>
      <w:r w:rsidRPr="000A0A5F">
        <w:rPr>
          <w:lang w:eastAsia="zh-CN"/>
        </w:rPr>
        <w:t xml:space="preserve"> and transaction Id.</w:t>
      </w:r>
    </w:p>
    <w:p w:rsidR="00305F4B" w:rsidRPr="000A0A5F" w:rsidRDefault="00305F4B" w:rsidP="00305F4B">
      <w:pPr>
        <w:pStyle w:val="PL"/>
      </w:pPr>
      <w:r w:rsidRPr="000A0A5F">
        <w:t xml:space="preserve">      </w:t>
      </w:r>
      <w:r w:rsidRPr="000A0A5F">
        <w:rPr>
          <w:rFonts w:cs="Courier New"/>
          <w:szCs w:val="16"/>
        </w:rPr>
        <w:t>operationId: UpdateInd</w:t>
      </w:r>
      <w:r w:rsidRPr="000A0A5F">
        <w:rPr>
          <w:lang w:val="en-US"/>
        </w:rPr>
        <w:t>DeliveryViaMBMS</w:t>
      </w:r>
    </w:p>
    <w:p w:rsidR="00CB0DD7" w:rsidRPr="000A0A5F" w:rsidRDefault="00CB0DD7">
      <w:pPr>
        <w:pStyle w:val="PL"/>
        <w:rPr>
          <w:lang w:val="en-US"/>
        </w:rPr>
      </w:pPr>
      <w:r w:rsidRPr="000A0A5F">
        <w:rPr>
          <w:lang w:val="en-US"/>
        </w:rPr>
        <w:t xml:space="preserve">      tags:</w:t>
      </w:r>
    </w:p>
    <w:p w:rsidR="00CB0DD7" w:rsidRPr="000A0A5F" w:rsidRDefault="00CB0DD7">
      <w:pPr>
        <w:pStyle w:val="PL"/>
        <w:rPr>
          <w:lang w:val="en-US"/>
        </w:rPr>
      </w:pPr>
      <w:r w:rsidRPr="000A0A5F">
        <w:rPr>
          <w:lang w:val="en-US"/>
        </w:rPr>
        <w:t xml:space="preserve">        - Individual Delivery via MBMS resource Operation</w:t>
      </w:r>
    </w:p>
    <w:p w:rsidR="00CB0DD7" w:rsidRPr="000A0A5F" w:rsidRDefault="00CB0DD7">
      <w:pPr>
        <w:pStyle w:val="PL"/>
        <w:rPr>
          <w:rFonts w:hint="eastAsia"/>
        </w:rPr>
      </w:pPr>
      <w:r w:rsidRPr="000A0A5F">
        <w:rPr>
          <w:rFonts w:hint="eastAsia"/>
        </w:rPr>
        <w:t xml:space="preserve">      parameters:</w:t>
      </w:r>
    </w:p>
    <w:p w:rsidR="00CB0DD7" w:rsidRPr="000A0A5F" w:rsidRDefault="00CB0DD7">
      <w:pPr>
        <w:pStyle w:val="PL"/>
        <w:rPr>
          <w:rFonts w:hint="eastAsia"/>
        </w:rPr>
      </w:pPr>
      <w:r w:rsidRPr="000A0A5F">
        <w:rPr>
          <w:rFonts w:hint="eastAsia"/>
        </w:rPr>
        <w:t xml:space="preserve">        - name: </w:t>
      </w:r>
      <w:r w:rsidRPr="000A0A5F">
        <w:t>scsAsId</w:t>
      </w:r>
    </w:p>
    <w:p w:rsidR="00CB0DD7" w:rsidRPr="000A0A5F" w:rsidRDefault="00CB0DD7">
      <w:pPr>
        <w:pStyle w:val="PL"/>
        <w:rPr>
          <w:rFonts w:hint="eastAsia"/>
        </w:rPr>
      </w:pPr>
      <w:r w:rsidRPr="000A0A5F">
        <w:rPr>
          <w:rFonts w:hint="eastAsia"/>
        </w:rPr>
        <w:t xml:space="preserve">          in: path</w:t>
      </w:r>
    </w:p>
    <w:p w:rsidR="00CB0DD7" w:rsidRPr="000A0A5F" w:rsidRDefault="00CB0DD7">
      <w:pPr>
        <w:pStyle w:val="PL"/>
        <w:rPr>
          <w:rFonts w:hint="eastAsia"/>
        </w:rPr>
      </w:pPr>
      <w:r w:rsidRPr="000A0A5F">
        <w:rPr>
          <w:rFonts w:hint="eastAsia"/>
        </w:rPr>
        <w:t xml:space="preserve">          description: Identifier of </w:t>
      </w:r>
      <w:r w:rsidRPr="000A0A5F">
        <w:t>SCS/AS</w:t>
      </w:r>
    </w:p>
    <w:p w:rsidR="00CB0DD7" w:rsidRPr="000A0A5F" w:rsidRDefault="00CB0DD7">
      <w:pPr>
        <w:pStyle w:val="PL"/>
        <w:rPr>
          <w:rFonts w:hint="eastAsia"/>
        </w:rPr>
      </w:pPr>
      <w:r w:rsidRPr="000A0A5F">
        <w:rPr>
          <w:rFonts w:hint="eastAsia"/>
        </w:rPr>
        <w:t xml:space="preserve">          required: true</w:t>
      </w:r>
    </w:p>
    <w:p w:rsidR="00CB0DD7" w:rsidRPr="000A0A5F" w:rsidRDefault="00CB0DD7">
      <w:pPr>
        <w:pStyle w:val="PL"/>
        <w:rPr>
          <w:rFonts w:hint="eastAsia"/>
        </w:rPr>
      </w:pPr>
      <w:r w:rsidRPr="000A0A5F">
        <w:rPr>
          <w:rFonts w:hint="eastAsia"/>
        </w:rPr>
        <w:t xml:space="preserve">          schema:</w:t>
      </w:r>
    </w:p>
    <w:p w:rsidR="00CB0DD7" w:rsidRPr="000A0A5F" w:rsidRDefault="00CB0DD7">
      <w:pPr>
        <w:pStyle w:val="PL"/>
      </w:pPr>
      <w:r w:rsidRPr="000A0A5F">
        <w:rPr>
          <w:rFonts w:hint="eastAsia"/>
        </w:rPr>
        <w:t xml:space="preserve">            type: string</w:t>
      </w:r>
    </w:p>
    <w:p w:rsidR="00CB0DD7" w:rsidRPr="000A0A5F" w:rsidRDefault="00CB0DD7">
      <w:pPr>
        <w:pStyle w:val="PL"/>
        <w:rPr>
          <w:rFonts w:hint="eastAsia"/>
        </w:rPr>
      </w:pPr>
      <w:r w:rsidRPr="000A0A5F">
        <w:rPr>
          <w:rFonts w:hint="eastAsia"/>
        </w:rPr>
        <w:t xml:space="preserve">        - name: </w:t>
      </w:r>
      <w:r w:rsidRPr="000A0A5F">
        <w:t>tmgi</w:t>
      </w:r>
    </w:p>
    <w:p w:rsidR="00CB0DD7" w:rsidRPr="000A0A5F" w:rsidRDefault="00CB0DD7">
      <w:pPr>
        <w:pStyle w:val="PL"/>
        <w:rPr>
          <w:rFonts w:hint="eastAsia"/>
        </w:rPr>
      </w:pPr>
      <w:r w:rsidRPr="000A0A5F">
        <w:rPr>
          <w:rFonts w:hint="eastAsia"/>
        </w:rPr>
        <w:t xml:space="preserve">          in: path</w:t>
      </w:r>
    </w:p>
    <w:p w:rsidR="00CB0DD7" w:rsidRPr="000A0A5F" w:rsidRDefault="00CB0DD7">
      <w:pPr>
        <w:pStyle w:val="PL"/>
        <w:rPr>
          <w:rFonts w:hint="eastAsia"/>
        </w:rPr>
      </w:pPr>
      <w:r w:rsidRPr="000A0A5F">
        <w:rPr>
          <w:rFonts w:hint="eastAsia"/>
        </w:rPr>
        <w:t xml:space="preserve">          description: </w:t>
      </w:r>
      <w:r w:rsidRPr="000A0A5F">
        <w:t>TMGI</w:t>
      </w:r>
    </w:p>
    <w:p w:rsidR="00CB0DD7" w:rsidRPr="000A0A5F" w:rsidRDefault="00CB0DD7">
      <w:pPr>
        <w:pStyle w:val="PL"/>
        <w:rPr>
          <w:rFonts w:hint="eastAsia"/>
        </w:rPr>
      </w:pPr>
      <w:r w:rsidRPr="000A0A5F">
        <w:rPr>
          <w:rFonts w:hint="eastAsia"/>
        </w:rPr>
        <w:t xml:space="preserve">          required: true</w:t>
      </w:r>
    </w:p>
    <w:p w:rsidR="00CB0DD7" w:rsidRPr="000A0A5F" w:rsidRDefault="00CB0DD7">
      <w:pPr>
        <w:pStyle w:val="PL"/>
        <w:rPr>
          <w:rFonts w:hint="eastAsia"/>
        </w:rPr>
      </w:pPr>
      <w:r w:rsidRPr="000A0A5F">
        <w:rPr>
          <w:rFonts w:hint="eastAsia"/>
        </w:rPr>
        <w:t xml:space="preserve">          schema:</w:t>
      </w:r>
    </w:p>
    <w:p w:rsidR="00CB0DD7" w:rsidRPr="000A0A5F" w:rsidRDefault="00CB0DD7">
      <w:pPr>
        <w:pStyle w:val="PL"/>
      </w:pPr>
      <w:r w:rsidRPr="000A0A5F">
        <w:rPr>
          <w:rFonts w:hint="eastAsia"/>
        </w:rPr>
        <w:t xml:space="preserve">            type: string</w:t>
      </w:r>
    </w:p>
    <w:p w:rsidR="00CB0DD7" w:rsidRPr="000A0A5F" w:rsidRDefault="00CB0DD7">
      <w:pPr>
        <w:pStyle w:val="PL"/>
        <w:rPr>
          <w:rFonts w:hint="eastAsia"/>
        </w:rPr>
      </w:pPr>
      <w:r w:rsidRPr="000A0A5F">
        <w:rPr>
          <w:rFonts w:hint="eastAsia"/>
        </w:rPr>
        <w:t xml:space="preserve">        - name: </w:t>
      </w:r>
      <w:r w:rsidRPr="000A0A5F">
        <w:t>transactionId</w:t>
      </w:r>
    </w:p>
    <w:p w:rsidR="00CB0DD7" w:rsidRPr="000A0A5F" w:rsidRDefault="00CB0DD7">
      <w:pPr>
        <w:pStyle w:val="PL"/>
        <w:rPr>
          <w:rFonts w:hint="eastAsia"/>
        </w:rPr>
      </w:pPr>
      <w:r w:rsidRPr="000A0A5F">
        <w:rPr>
          <w:rFonts w:hint="eastAsia"/>
        </w:rPr>
        <w:t xml:space="preserve">          in: path</w:t>
      </w:r>
    </w:p>
    <w:p w:rsidR="00CB0DD7" w:rsidRPr="000A0A5F" w:rsidRDefault="00CB0DD7">
      <w:pPr>
        <w:pStyle w:val="PL"/>
        <w:rPr>
          <w:rFonts w:hint="eastAsia"/>
        </w:rPr>
      </w:pPr>
      <w:r w:rsidRPr="000A0A5F">
        <w:rPr>
          <w:rFonts w:hint="eastAsia"/>
        </w:rPr>
        <w:t xml:space="preserve">          description: </w:t>
      </w:r>
      <w:r w:rsidRPr="000A0A5F">
        <w:t>Identifier of transaction</w:t>
      </w:r>
    </w:p>
    <w:p w:rsidR="00CB0DD7" w:rsidRPr="000A0A5F" w:rsidRDefault="00CB0DD7">
      <w:pPr>
        <w:pStyle w:val="PL"/>
        <w:rPr>
          <w:rFonts w:hint="eastAsia"/>
        </w:rPr>
      </w:pPr>
      <w:r w:rsidRPr="000A0A5F">
        <w:rPr>
          <w:rFonts w:hint="eastAsia"/>
        </w:rPr>
        <w:t xml:space="preserve">          required: true</w:t>
      </w:r>
    </w:p>
    <w:p w:rsidR="00CB0DD7" w:rsidRPr="000A0A5F" w:rsidRDefault="00CB0DD7">
      <w:pPr>
        <w:pStyle w:val="PL"/>
        <w:rPr>
          <w:rFonts w:hint="eastAsia"/>
        </w:rPr>
      </w:pPr>
      <w:r w:rsidRPr="000A0A5F">
        <w:rPr>
          <w:rFonts w:hint="eastAsia"/>
        </w:rPr>
        <w:t xml:space="preserve">          schema:</w:t>
      </w:r>
    </w:p>
    <w:p w:rsidR="00CB0DD7" w:rsidRPr="000A0A5F" w:rsidRDefault="00CB0DD7">
      <w:pPr>
        <w:pStyle w:val="PL"/>
      </w:pPr>
      <w:r w:rsidRPr="000A0A5F">
        <w:rPr>
          <w:rFonts w:hint="eastAsia"/>
        </w:rPr>
        <w:t xml:space="preserve">            type: string</w:t>
      </w:r>
    </w:p>
    <w:p w:rsidR="00CB0DD7" w:rsidRPr="000A0A5F" w:rsidRDefault="00CB0DD7">
      <w:pPr>
        <w:pStyle w:val="PL"/>
        <w:rPr>
          <w:lang w:val="en-US"/>
        </w:rPr>
      </w:pPr>
      <w:r w:rsidRPr="000A0A5F">
        <w:rPr>
          <w:lang w:val="en-US"/>
        </w:rPr>
        <w:t xml:space="preserve">      requestBody:</w:t>
      </w:r>
    </w:p>
    <w:p w:rsidR="00CB0DD7" w:rsidRPr="000A0A5F" w:rsidRDefault="00CB0DD7">
      <w:pPr>
        <w:pStyle w:val="PL"/>
        <w:rPr>
          <w:lang w:val="en-US"/>
        </w:rPr>
      </w:pPr>
      <w:r w:rsidRPr="000A0A5F">
        <w:rPr>
          <w:lang w:val="en-US"/>
        </w:rPr>
        <w:t xml:space="preserve">        description: representation of the </w:t>
      </w:r>
      <w:r w:rsidRPr="000A0A5F">
        <w:t>GMD via MBMS by MB2 resource</w:t>
      </w:r>
      <w:r w:rsidRPr="000A0A5F">
        <w:rPr>
          <w:lang w:val="en-US"/>
        </w:rPr>
        <w:t xml:space="preserve"> to be udpated in the SCEF</w:t>
      </w:r>
    </w:p>
    <w:p w:rsidR="00CB0DD7" w:rsidRPr="000A0A5F" w:rsidRDefault="00CB0DD7">
      <w:pPr>
        <w:pStyle w:val="PL"/>
        <w:rPr>
          <w:lang w:val="en-US"/>
        </w:rPr>
      </w:pPr>
      <w:r w:rsidRPr="000A0A5F">
        <w:rPr>
          <w:lang w:val="en-US"/>
        </w:rPr>
        <w:t xml:space="preserve">        required: true</w:t>
      </w:r>
    </w:p>
    <w:p w:rsidR="00CB0DD7" w:rsidRPr="000A0A5F" w:rsidRDefault="00CB0DD7">
      <w:pPr>
        <w:pStyle w:val="PL"/>
        <w:rPr>
          <w:lang w:val="en-US"/>
        </w:rPr>
      </w:pPr>
      <w:r w:rsidRPr="000A0A5F">
        <w:rPr>
          <w:lang w:val="en-US"/>
        </w:rPr>
        <w:t xml:space="preserve">        content:</w:t>
      </w:r>
    </w:p>
    <w:p w:rsidR="00CB0DD7" w:rsidRPr="000A0A5F" w:rsidRDefault="00CB0DD7">
      <w:pPr>
        <w:pStyle w:val="PL"/>
        <w:rPr>
          <w:lang w:val="en-US"/>
        </w:rPr>
      </w:pPr>
      <w:r w:rsidRPr="000A0A5F">
        <w:rPr>
          <w:lang w:val="en-US"/>
        </w:rPr>
        <w:t xml:space="preserve">          application/json:</w:t>
      </w:r>
    </w:p>
    <w:p w:rsidR="00CB0DD7" w:rsidRPr="000A0A5F" w:rsidRDefault="00CB0DD7">
      <w:pPr>
        <w:pStyle w:val="PL"/>
        <w:rPr>
          <w:lang w:val="en-US"/>
        </w:rPr>
      </w:pPr>
      <w:r w:rsidRPr="000A0A5F">
        <w:rPr>
          <w:lang w:val="en-US"/>
        </w:rPr>
        <w:t xml:space="preserve">            schema:</w:t>
      </w:r>
    </w:p>
    <w:p w:rsidR="00CB0DD7" w:rsidRPr="000A0A5F" w:rsidRDefault="00CB0DD7">
      <w:pPr>
        <w:pStyle w:val="PL"/>
        <w:rPr>
          <w:lang w:val="en-US"/>
        </w:rPr>
      </w:pPr>
      <w:r w:rsidRPr="000A0A5F">
        <w:rPr>
          <w:lang w:val="en-US"/>
        </w:rPr>
        <w:t xml:space="preserve">              $ref: '#/components/schemas/</w:t>
      </w:r>
      <w:r w:rsidRPr="000A0A5F">
        <w:t>GMDViaMBMSByMb2</w:t>
      </w:r>
      <w:r w:rsidRPr="000A0A5F">
        <w:rPr>
          <w:lang w:val="en-US"/>
        </w:rPr>
        <w:t>'</w:t>
      </w:r>
    </w:p>
    <w:p w:rsidR="00CB0DD7" w:rsidRPr="000A0A5F" w:rsidRDefault="00CB0DD7">
      <w:pPr>
        <w:pStyle w:val="PL"/>
        <w:rPr>
          <w:lang w:val="en-US"/>
        </w:rPr>
      </w:pPr>
      <w:r w:rsidRPr="000A0A5F">
        <w:rPr>
          <w:lang w:val="en-US"/>
        </w:rPr>
        <w:t xml:space="preserve">      responses:</w:t>
      </w:r>
    </w:p>
    <w:p w:rsidR="00CB0DD7" w:rsidRPr="000A0A5F" w:rsidRDefault="00CB0DD7">
      <w:pPr>
        <w:pStyle w:val="PL"/>
        <w:rPr>
          <w:lang w:val="en-US"/>
        </w:rPr>
      </w:pPr>
      <w:r w:rsidRPr="000A0A5F">
        <w:rPr>
          <w:lang w:val="en-US"/>
        </w:rPr>
        <w:t xml:space="preserve">        '200':</w:t>
      </w:r>
    </w:p>
    <w:p w:rsidR="00CB0DD7" w:rsidRPr="000A0A5F" w:rsidRDefault="00CB0DD7">
      <w:pPr>
        <w:pStyle w:val="PL"/>
        <w:rPr>
          <w:lang w:val="en-US"/>
        </w:rPr>
      </w:pPr>
      <w:r w:rsidRPr="000A0A5F">
        <w:rPr>
          <w:lang w:val="en-US"/>
        </w:rPr>
        <w:t xml:space="preserve">          description: successful update of an individual </w:t>
      </w:r>
      <w:r w:rsidRPr="000A0A5F">
        <w:t>GMD via MBMS by MB2 resource</w:t>
      </w:r>
    </w:p>
    <w:p w:rsidR="00CB0DD7" w:rsidRPr="000A0A5F" w:rsidRDefault="00CB0DD7">
      <w:pPr>
        <w:pStyle w:val="PL"/>
        <w:rPr>
          <w:lang w:val="en-US"/>
        </w:rPr>
      </w:pPr>
      <w:r w:rsidRPr="000A0A5F">
        <w:rPr>
          <w:lang w:val="en-US"/>
        </w:rPr>
        <w:t xml:space="preserve">          content:</w:t>
      </w:r>
    </w:p>
    <w:p w:rsidR="00CB0DD7" w:rsidRPr="000A0A5F" w:rsidRDefault="00CB0DD7">
      <w:pPr>
        <w:pStyle w:val="PL"/>
        <w:rPr>
          <w:lang w:val="en-US"/>
        </w:rPr>
      </w:pPr>
      <w:r w:rsidRPr="000A0A5F">
        <w:rPr>
          <w:lang w:val="en-US"/>
        </w:rPr>
        <w:t xml:space="preserve">            application/json:</w:t>
      </w:r>
    </w:p>
    <w:p w:rsidR="00CB0DD7" w:rsidRPr="000A0A5F" w:rsidRDefault="00CB0DD7">
      <w:pPr>
        <w:pStyle w:val="PL"/>
        <w:rPr>
          <w:lang w:val="en-US"/>
        </w:rPr>
      </w:pPr>
      <w:r w:rsidRPr="000A0A5F">
        <w:rPr>
          <w:lang w:val="en-US"/>
        </w:rPr>
        <w:t xml:space="preserve">              schema:</w:t>
      </w:r>
    </w:p>
    <w:p w:rsidR="00CB0DD7" w:rsidRPr="000A0A5F" w:rsidRDefault="00CB0DD7">
      <w:pPr>
        <w:pStyle w:val="PL"/>
        <w:rPr>
          <w:lang w:val="en-US"/>
        </w:rPr>
      </w:pPr>
      <w:r w:rsidRPr="000A0A5F">
        <w:rPr>
          <w:lang w:val="en-US"/>
        </w:rPr>
        <w:t xml:space="preserve">                $ref: '#/components/schemas/</w:t>
      </w:r>
      <w:r w:rsidRPr="000A0A5F">
        <w:t>GMDViaMBMSByMb2</w:t>
      </w:r>
      <w:r w:rsidRPr="000A0A5F">
        <w:rPr>
          <w:lang w:val="en-US"/>
        </w:rPr>
        <w:t>'</w:t>
      </w:r>
    </w:p>
    <w:p w:rsidR="00B34053" w:rsidRPr="000A0A5F" w:rsidRDefault="00B34053" w:rsidP="00B34053">
      <w:pPr>
        <w:pStyle w:val="PL"/>
      </w:pPr>
      <w:r w:rsidRPr="000A0A5F">
        <w:t xml:space="preserve">        '204':</w:t>
      </w:r>
    </w:p>
    <w:p w:rsidR="00EF6BB4" w:rsidRPr="000A0A5F" w:rsidRDefault="00EF6BB4" w:rsidP="00EF6BB4">
      <w:pPr>
        <w:pStyle w:val="PL"/>
      </w:pPr>
      <w:r w:rsidRPr="000A0A5F">
        <w:t xml:space="preserve">          description: &gt;</w:t>
      </w:r>
    </w:p>
    <w:p w:rsidR="00EF6BB4" w:rsidRPr="000A0A5F" w:rsidRDefault="00EF6BB4" w:rsidP="00EF6BB4">
      <w:pPr>
        <w:pStyle w:val="PL"/>
      </w:pPr>
      <w:r w:rsidRPr="000A0A5F">
        <w:t xml:space="preserve">            The group message delivery is replaced successfully, and no content is to be sent</w:t>
      </w:r>
    </w:p>
    <w:p w:rsidR="00EF6BB4" w:rsidRPr="000A0A5F" w:rsidRDefault="00EF6BB4" w:rsidP="00EF6BB4">
      <w:pPr>
        <w:pStyle w:val="PL"/>
      </w:pPr>
      <w:r w:rsidRPr="000A0A5F">
        <w:t xml:space="preserve">            in the response message body.</w:t>
      </w:r>
    </w:p>
    <w:p w:rsidR="00CB0DD7" w:rsidRPr="000A0A5F" w:rsidRDefault="00CB0DD7">
      <w:pPr>
        <w:pStyle w:val="PL"/>
      </w:pPr>
      <w:r w:rsidRPr="000A0A5F">
        <w:t xml:space="preserve">        '307':</w:t>
      </w:r>
    </w:p>
    <w:p w:rsidR="00CB0DD7" w:rsidRPr="000A0A5F" w:rsidRDefault="00CB0DD7">
      <w:pPr>
        <w:pStyle w:val="PL"/>
      </w:pPr>
      <w:r w:rsidRPr="000A0A5F">
        <w:t xml:space="preserve">          $ref: 'TS29122_CommonData.yaml#/components/responses/307'</w:t>
      </w:r>
    </w:p>
    <w:p w:rsidR="00CB0DD7" w:rsidRPr="000A0A5F" w:rsidRDefault="00CB0DD7">
      <w:pPr>
        <w:pStyle w:val="PL"/>
      </w:pPr>
      <w:r w:rsidRPr="000A0A5F">
        <w:t xml:space="preserve">        '308':</w:t>
      </w:r>
    </w:p>
    <w:p w:rsidR="00CB0DD7" w:rsidRPr="000A0A5F" w:rsidRDefault="00CB0DD7">
      <w:pPr>
        <w:pStyle w:val="PL"/>
      </w:pPr>
      <w:r w:rsidRPr="000A0A5F">
        <w:t xml:space="preserve">          $ref: 'TS29122_CommonData.yaml#/components/responses/308'</w:t>
      </w:r>
    </w:p>
    <w:p w:rsidR="00CB0DD7" w:rsidRPr="000A0A5F" w:rsidRDefault="00CB0DD7">
      <w:pPr>
        <w:pStyle w:val="PL"/>
      </w:pPr>
      <w:r w:rsidRPr="000A0A5F">
        <w:t xml:space="preserve">        '400':</w:t>
      </w:r>
    </w:p>
    <w:p w:rsidR="00CB0DD7" w:rsidRPr="000A0A5F" w:rsidRDefault="00CB0DD7">
      <w:pPr>
        <w:pStyle w:val="PL"/>
      </w:pPr>
      <w:r w:rsidRPr="000A0A5F">
        <w:t xml:space="preserve">          $ref: 'TS29122_CommonData.yaml#/components/responses/400'</w:t>
      </w:r>
    </w:p>
    <w:p w:rsidR="00CB0DD7" w:rsidRPr="000A0A5F" w:rsidRDefault="00CB0DD7">
      <w:pPr>
        <w:pStyle w:val="PL"/>
      </w:pPr>
      <w:r w:rsidRPr="000A0A5F">
        <w:t xml:space="preserve">        '401':</w:t>
      </w:r>
    </w:p>
    <w:p w:rsidR="00CB0DD7" w:rsidRPr="000A0A5F" w:rsidRDefault="00CB0DD7">
      <w:pPr>
        <w:pStyle w:val="PL"/>
      </w:pPr>
      <w:r w:rsidRPr="000A0A5F">
        <w:t xml:space="preserve">          $ref: 'TS29122_CommonData.yaml#/components/responses/401'</w:t>
      </w:r>
    </w:p>
    <w:p w:rsidR="00CB0DD7" w:rsidRPr="000A0A5F" w:rsidRDefault="00CB0DD7">
      <w:pPr>
        <w:pStyle w:val="PL"/>
      </w:pPr>
      <w:r w:rsidRPr="000A0A5F">
        <w:t xml:space="preserve">        '403':</w:t>
      </w:r>
    </w:p>
    <w:p w:rsidR="00CB0DD7" w:rsidRPr="000A0A5F" w:rsidRDefault="00CB0DD7">
      <w:pPr>
        <w:pStyle w:val="PL"/>
      </w:pPr>
      <w:r w:rsidRPr="000A0A5F">
        <w:t xml:space="preserve">          $ref: 'TS29122_CommonData.yaml#/components/responses/403'</w:t>
      </w:r>
    </w:p>
    <w:p w:rsidR="00CB0DD7" w:rsidRPr="000A0A5F" w:rsidRDefault="00CB0DD7">
      <w:pPr>
        <w:pStyle w:val="PL"/>
      </w:pPr>
      <w:r w:rsidRPr="000A0A5F">
        <w:t xml:space="preserve">        '404':</w:t>
      </w:r>
    </w:p>
    <w:p w:rsidR="00CB0DD7" w:rsidRPr="000A0A5F" w:rsidRDefault="00CB0DD7">
      <w:pPr>
        <w:pStyle w:val="PL"/>
      </w:pPr>
      <w:r w:rsidRPr="000A0A5F">
        <w:t xml:space="preserve">          $ref: 'TS29122_CommonData.yaml#/components/responses/404'</w:t>
      </w:r>
    </w:p>
    <w:p w:rsidR="00CB0DD7" w:rsidRPr="000A0A5F" w:rsidRDefault="00CB0DD7">
      <w:pPr>
        <w:pStyle w:val="PL"/>
      </w:pPr>
      <w:r w:rsidRPr="000A0A5F">
        <w:t xml:space="preserve">        '411':</w:t>
      </w:r>
    </w:p>
    <w:p w:rsidR="00CB0DD7" w:rsidRPr="000A0A5F" w:rsidRDefault="00CB0DD7">
      <w:pPr>
        <w:pStyle w:val="PL"/>
      </w:pPr>
      <w:r w:rsidRPr="000A0A5F">
        <w:t xml:space="preserve">          $ref: 'TS29122_CommonData.yaml#/components/responses/411'</w:t>
      </w:r>
    </w:p>
    <w:p w:rsidR="00CB0DD7" w:rsidRPr="000A0A5F" w:rsidRDefault="00CB0DD7">
      <w:pPr>
        <w:pStyle w:val="PL"/>
      </w:pPr>
      <w:r w:rsidRPr="000A0A5F">
        <w:t xml:space="preserve">        '413':</w:t>
      </w:r>
    </w:p>
    <w:p w:rsidR="00CB0DD7" w:rsidRPr="000A0A5F" w:rsidRDefault="00CB0DD7">
      <w:pPr>
        <w:pStyle w:val="PL"/>
      </w:pPr>
      <w:r w:rsidRPr="000A0A5F">
        <w:t xml:space="preserve">          $ref: 'TS29122_CommonData.yaml#/components/responses/413'</w:t>
      </w:r>
    </w:p>
    <w:p w:rsidR="00CB0DD7" w:rsidRPr="000A0A5F" w:rsidRDefault="00CB0DD7">
      <w:pPr>
        <w:pStyle w:val="PL"/>
      </w:pPr>
      <w:r w:rsidRPr="000A0A5F">
        <w:t xml:space="preserve">        '415':</w:t>
      </w:r>
    </w:p>
    <w:p w:rsidR="00CB0DD7" w:rsidRPr="000A0A5F" w:rsidRDefault="00CB0DD7">
      <w:pPr>
        <w:pStyle w:val="PL"/>
      </w:pPr>
      <w:r w:rsidRPr="000A0A5F">
        <w:t xml:space="preserve">          $ref: 'TS29122_CommonData.yaml#/components/responses/415'</w:t>
      </w:r>
    </w:p>
    <w:p w:rsidR="00CB0DD7" w:rsidRPr="000A0A5F" w:rsidRDefault="00CB0DD7">
      <w:pPr>
        <w:pStyle w:val="PL"/>
      </w:pPr>
      <w:r w:rsidRPr="000A0A5F">
        <w:t xml:space="preserve">        '429':</w:t>
      </w:r>
    </w:p>
    <w:p w:rsidR="00CB0DD7" w:rsidRPr="000A0A5F" w:rsidRDefault="00CB0DD7">
      <w:pPr>
        <w:pStyle w:val="PL"/>
      </w:pPr>
      <w:r w:rsidRPr="000A0A5F">
        <w:t xml:space="preserve">          $ref: 'TS29122_CommonData.yaml#/components/responses/429'</w:t>
      </w:r>
    </w:p>
    <w:p w:rsidR="00CB0DD7" w:rsidRPr="000A0A5F" w:rsidRDefault="00CB0DD7">
      <w:pPr>
        <w:pStyle w:val="PL"/>
      </w:pPr>
      <w:r w:rsidRPr="000A0A5F">
        <w:t xml:space="preserve">        '500':</w:t>
      </w:r>
    </w:p>
    <w:p w:rsidR="00CB0DD7" w:rsidRPr="000A0A5F" w:rsidRDefault="00CB0DD7">
      <w:pPr>
        <w:pStyle w:val="PL"/>
      </w:pPr>
      <w:r w:rsidRPr="000A0A5F">
        <w:t xml:space="preserve">          $ref: 'TS29122_CommonData.yaml#/components/responses/500'</w:t>
      </w:r>
    </w:p>
    <w:p w:rsidR="00CB0DD7" w:rsidRPr="000A0A5F" w:rsidRDefault="00CB0DD7">
      <w:pPr>
        <w:pStyle w:val="PL"/>
      </w:pPr>
      <w:r w:rsidRPr="000A0A5F">
        <w:t xml:space="preserve">        '503':</w:t>
      </w:r>
    </w:p>
    <w:p w:rsidR="00CB0DD7" w:rsidRPr="000A0A5F" w:rsidRDefault="00CB0DD7">
      <w:pPr>
        <w:pStyle w:val="PL"/>
      </w:pPr>
      <w:r w:rsidRPr="000A0A5F">
        <w:t xml:space="preserve">          $ref: 'TS29122_CommonData.yaml#/components/responses/503'</w:t>
      </w:r>
    </w:p>
    <w:p w:rsidR="00CB0DD7" w:rsidRPr="000A0A5F" w:rsidRDefault="00CB0DD7">
      <w:pPr>
        <w:pStyle w:val="PL"/>
      </w:pPr>
      <w:r w:rsidRPr="000A0A5F">
        <w:t xml:space="preserve">        default:</w:t>
      </w:r>
    </w:p>
    <w:p w:rsidR="00CB0DD7" w:rsidRPr="000A0A5F" w:rsidRDefault="00CB0DD7">
      <w:pPr>
        <w:pStyle w:val="PL"/>
        <w:rPr>
          <w:lang w:val="en-US"/>
        </w:rPr>
      </w:pPr>
      <w:r w:rsidRPr="000A0A5F">
        <w:t xml:space="preserve">          $ref: 'TS29122_CommonData.yaml#/components/responses/default'</w:t>
      </w:r>
    </w:p>
    <w:p w:rsidR="00CB0DD7" w:rsidRPr="000A0A5F" w:rsidRDefault="00CB0DD7">
      <w:pPr>
        <w:pStyle w:val="PL"/>
        <w:tabs>
          <w:tab w:val="clear" w:pos="384"/>
        </w:tabs>
        <w:rPr>
          <w:lang w:val="en-US"/>
        </w:rPr>
      </w:pPr>
    </w:p>
    <w:p w:rsidR="00CB0DD7" w:rsidRPr="000A0A5F" w:rsidRDefault="00CB0DD7">
      <w:pPr>
        <w:pStyle w:val="PL"/>
        <w:tabs>
          <w:tab w:val="clear" w:pos="384"/>
        </w:tabs>
      </w:pPr>
      <w:r w:rsidRPr="000A0A5F">
        <w:rPr>
          <w:rFonts w:hint="eastAsia"/>
        </w:rPr>
        <w:t xml:space="preserve">    </w:t>
      </w:r>
      <w:r w:rsidRPr="000A0A5F">
        <w:t>patch:</w:t>
      </w:r>
    </w:p>
    <w:p w:rsidR="00CB0DD7" w:rsidRPr="000A0A5F" w:rsidRDefault="00CB0DD7">
      <w:pPr>
        <w:pStyle w:val="PL"/>
        <w:rPr>
          <w:lang w:eastAsia="zh-CN"/>
        </w:rPr>
      </w:pPr>
      <w:r w:rsidRPr="000A0A5F">
        <w:t xml:space="preserve">      summary: Updates a existing</w:t>
      </w:r>
      <w:r w:rsidRPr="000A0A5F">
        <w:rPr>
          <w:lang w:eastAsia="zh-CN"/>
        </w:rPr>
        <w:t xml:space="preserve"> delivery via MBMS for a given SCS/AS,</w:t>
      </w:r>
      <w:r w:rsidRPr="000A0A5F">
        <w:rPr>
          <w:rFonts w:hint="eastAsia"/>
          <w:lang w:eastAsia="zh-CN"/>
        </w:rPr>
        <w:t xml:space="preserve"> a TMGI</w:t>
      </w:r>
      <w:r w:rsidRPr="000A0A5F">
        <w:rPr>
          <w:lang w:eastAsia="zh-CN"/>
        </w:rPr>
        <w:t xml:space="preserve"> and transaction Id.</w:t>
      </w:r>
    </w:p>
    <w:p w:rsidR="00305F4B" w:rsidRPr="000A0A5F" w:rsidRDefault="00305F4B" w:rsidP="00305F4B">
      <w:pPr>
        <w:pStyle w:val="PL"/>
      </w:pPr>
      <w:r w:rsidRPr="000A0A5F">
        <w:t xml:space="preserve">      </w:t>
      </w:r>
      <w:r w:rsidRPr="000A0A5F">
        <w:rPr>
          <w:rFonts w:cs="Courier New"/>
          <w:szCs w:val="16"/>
        </w:rPr>
        <w:t>operationId: ModifyInd</w:t>
      </w:r>
      <w:r w:rsidRPr="000A0A5F">
        <w:rPr>
          <w:lang w:val="en-US"/>
        </w:rPr>
        <w:t>DeliveryViaMBMS</w:t>
      </w:r>
    </w:p>
    <w:p w:rsidR="00CB0DD7" w:rsidRPr="000A0A5F" w:rsidRDefault="00CB0DD7">
      <w:pPr>
        <w:pStyle w:val="PL"/>
        <w:rPr>
          <w:lang w:val="en-US"/>
        </w:rPr>
      </w:pPr>
      <w:r w:rsidRPr="000A0A5F">
        <w:rPr>
          <w:lang w:val="en-US"/>
        </w:rPr>
        <w:t xml:space="preserve">      tags:</w:t>
      </w:r>
    </w:p>
    <w:p w:rsidR="00CB0DD7" w:rsidRPr="000A0A5F" w:rsidRDefault="00CB0DD7">
      <w:pPr>
        <w:pStyle w:val="PL"/>
        <w:rPr>
          <w:lang w:val="en-US"/>
        </w:rPr>
      </w:pPr>
      <w:r w:rsidRPr="000A0A5F">
        <w:rPr>
          <w:lang w:val="en-US"/>
        </w:rPr>
        <w:t xml:space="preserve">        - Individual Delivery via MBMS resource Operation</w:t>
      </w:r>
    </w:p>
    <w:p w:rsidR="00CB0DD7" w:rsidRPr="000A0A5F" w:rsidRDefault="00CB0DD7">
      <w:pPr>
        <w:pStyle w:val="PL"/>
        <w:rPr>
          <w:rFonts w:hint="eastAsia"/>
        </w:rPr>
      </w:pPr>
      <w:r w:rsidRPr="000A0A5F">
        <w:rPr>
          <w:rFonts w:hint="eastAsia"/>
        </w:rPr>
        <w:t xml:space="preserve">      parameters:</w:t>
      </w:r>
    </w:p>
    <w:p w:rsidR="00CB0DD7" w:rsidRPr="000A0A5F" w:rsidRDefault="00CB0DD7">
      <w:pPr>
        <w:pStyle w:val="PL"/>
        <w:rPr>
          <w:rFonts w:hint="eastAsia"/>
        </w:rPr>
      </w:pPr>
      <w:r w:rsidRPr="000A0A5F">
        <w:rPr>
          <w:rFonts w:hint="eastAsia"/>
        </w:rPr>
        <w:t xml:space="preserve">        - name: </w:t>
      </w:r>
      <w:r w:rsidRPr="000A0A5F">
        <w:t>scsAsId</w:t>
      </w:r>
    </w:p>
    <w:p w:rsidR="00CB0DD7" w:rsidRPr="000A0A5F" w:rsidRDefault="00CB0DD7">
      <w:pPr>
        <w:pStyle w:val="PL"/>
        <w:rPr>
          <w:rFonts w:hint="eastAsia"/>
        </w:rPr>
      </w:pPr>
      <w:r w:rsidRPr="000A0A5F">
        <w:rPr>
          <w:rFonts w:hint="eastAsia"/>
        </w:rPr>
        <w:t xml:space="preserve">          in: path</w:t>
      </w:r>
    </w:p>
    <w:p w:rsidR="00CB0DD7" w:rsidRPr="000A0A5F" w:rsidRDefault="00CB0DD7">
      <w:pPr>
        <w:pStyle w:val="PL"/>
        <w:rPr>
          <w:rFonts w:hint="eastAsia"/>
        </w:rPr>
      </w:pPr>
      <w:r w:rsidRPr="000A0A5F">
        <w:rPr>
          <w:rFonts w:hint="eastAsia"/>
        </w:rPr>
        <w:t xml:space="preserve">          description: Identifier of </w:t>
      </w:r>
      <w:r w:rsidRPr="000A0A5F">
        <w:t>SCS/AS</w:t>
      </w:r>
    </w:p>
    <w:p w:rsidR="00CB0DD7" w:rsidRPr="000A0A5F" w:rsidRDefault="00CB0DD7">
      <w:pPr>
        <w:pStyle w:val="PL"/>
        <w:rPr>
          <w:rFonts w:hint="eastAsia"/>
        </w:rPr>
      </w:pPr>
      <w:r w:rsidRPr="000A0A5F">
        <w:rPr>
          <w:rFonts w:hint="eastAsia"/>
        </w:rPr>
        <w:t xml:space="preserve">          required: true</w:t>
      </w:r>
    </w:p>
    <w:p w:rsidR="00CB0DD7" w:rsidRPr="000A0A5F" w:rsidRDefault="00CB0DD7">
      <w:pPr>
        <w:pStyle w:val="PL"/>
        <w:rPr>
          <w:rFonts w:hint="eastAsia"/>
        </w:rPr>
      </w:pPr>
      <w:r w:rsidRPr="000A0A5F">
        <w:rPr>
          <w:rFonts w:hint="eastAsia"/>
        </w:rPr>
        <w:t xml:space="preserve">          schema:</w:t>
      </w:r>
    </w:p>
    <w:p w:rsidR="00CB0DD7" w:rsidRPr="000A0A5F" w:rsidRDefault="00CB0DD7">
      <w:pPr>
        <w:pStyle w:val="PL"/>
      </w:pPr>
      <w:r w:rsidRPr="000A0A5F">
        <w:rPr>
          <w:rFonts w:hint="eastAsia"/>
        </w:rPr>
        <w:t xml:space="preserve">            type: string</w:t>
      </w:r>
    </w:p>
    <w:p w:rsidR="00CB0DD7" w:rsidRPr="000A0A5F" w:rsidRDefault="00CB0DD7">
      <w:pPr>
        <w:pStyle w:val="PL"/>
        <w:rPr>
          <w:rFonts w:hint="eastAsia"/>
        </w:rPr>
      </w:pPr>
      <w:r w:rsidRPr="000A0A5F">
        <w:rPr>
          <w:rFonts w:hint="eastAsia"/>
        </w:rPr>
        <w:t xml:space="preserve">        - name: </w:t>
      </w:r>
      <w:r w:rsidRPr="000A0A5F">
        <w:t>tmgi</w:t>
      </w:r>
    </w:p>
    <w:p w:rsidR="00CB0DD7" w:rsidRPr="000A0A5F" w:rsidRDefault="00CB0DD7">
      <w:pPr>
        <w:pStyle w:val="PL"/>
        <w:rPr>
          <w:rFonts w:hint="eastAsia"/>
        </w:rPr>
      </w:pPr>
      <w:r w:rsidRPr="000A0A5F">
        <w:rPr>
          <w:rFonts w:hint="eastAsia"/>
        </w:rPr>
        <w:t xml:space="preserve">          in: path</w:t>
      </w:r>
    </w:p>
    <w:p w:rsidR="00CB0DD7" w:rsidRPr="000A0A5F" w:rsidRDefault="00CB0DD7">
      <w:pPr>
        <w:pStyle w:val="PL"/>
        <w:rPr>
          <w:rFonts w:hint="eastAsia"/>
        </w:rPr>
      </w:pPr>
      <w:r w:rsidRPr="000A0A5F">
        <w:rPr>
          <w:rFonts w:hint="eastAsia"/>
        </w:rPr>
        <w:t xml:space="preserve">          description: </w:t>
      </w:r>
      <w:r w:rsidRPr="000A0A5F">
        <w:t>TMGI</w:t>
      </w:r>
    </w:p>
    <w:p w:rsidR="00CB0DD7" w:rsidRPr="000A0A5F" w:rsidRDefault="00CB0DD7">
      <w:pPr>
        <w:pStyle w:val="PL"/>
        <w:rPr>
          <w:rFonts w:hint="eastAsia"/>
        </w:rPr>
      </w:pPr>
      <w:r w:rsidRPr="000A0A5F">
        <w:rPr>
          <w:rFonts w:hint="eastAsia"/>
        </w:rPr>
        <w:t xml:space="preserve">          required: true</w:t>
      </w:r>
    </w:p>
    <w:p w:rsidR="00CB0DD7" w:rsidRPr="000A0A5F" w:rsidRDefault="00CB0DD7">
      <w:pPr>
        <w:pStyle w:val="PL"/>
        <w:rPr>
          <w:rFonts w:hint="eastAsia"/>
        </w:rPr>
      </w:pPr>
      <w:r w:rsidRPr="000A0A5F">
        <w:rPr>
          <w:rFonts w:hint="eastAsia"/>
        </w:rPr>
        <w:t xml:space="preserve">          schema:</w:t>
      </w:r>
    </w:p>
    <w:p w:rsidR="00CB0DD7" w:rsidRPr="000A0A5F" w:rsidRDefault="00CB0DD7">
      <w:pPr>
        <w:pStyle w:val="PL"/>
      </w:pPr>
      <w:r w:rsidRPr="000A0A5F">
        <w:rPr>
          <w:rFonts w:hint="eastAsia"/>
        </w:rPr>
        <w:t xml:space="preserve">            type: string</w:t>
      </w:r>
    </w:p>
    <w:p w:rsidR="00CB0DD7" w:rsidRPr="000A0A5F" w:rsidRDefault="00CB0DD7">
      <w:pPr>
        <w:pStyle w:val="PL"/>
        <w:rPr>
          <w:rFonts w:hint="eastAsia"/>
        </w:rPr>
      </w:pPr>
      <w:r w:rsidRPr="000A0A5F">
        <w:rPr>
          <w:rFonts w:hint="eastAsia"/>
        </w:rPr>
        <w:t xml:space="preserve">        - name: </w:t>
      </w:r>
      <w:r w:rsidRPr="000A0A5F">
        <w:t>transactionId</w:t>
      </w:r>
    </w:p>
    <w:p w:rsidR="00CB0DD7" w:rsidRPr="000A0A5F" w:rsidRDefault="00CB0DD7">
      <w:pPr>
        <w:pStyle w:val="PL"/>
        <w:rPr>
          <w:rFonts w:hint="eastAsia"/>
        </w:rPr>
      </w:pPr>
      <w:r w:rsidRPr="000A0A5F">
        <w:rPr>
          <w:rFonts w:hint="eastAsia"/>
        </w:rPr>
        <w:t xml:space="preserve">          in: path</w:t>
      </w:r>
    </w:p>
    <w:p w:rsidR="00CB0DD7" w:rsidRPr="000A0A5F" w:rsidRDefault="00CB0DD7">
      <w:pPr>
        <w:pStyle w:val="PL"/>
        <w:rPr>
          <w:rFonts w:hint="eastAsia"/>
        </w:rPr>
      </w:pPr>
      <w:r w:rsidRPr="000A0A5F">
        <w:rPr>
          <w:rFonts w:hint="eastAsia"/>
        </w:rPr>
        <w:t xml:space="preserve">          description: </w:t>
      </w:r>
      <w:r w:rsidRPr="000A0A5F">
        <w:t>Identifier of transaction</w:t>
      </w:r>
    </w:p>
    <w:p w:rsidR="00CB0DD7" w:rsidRPr="000A0A5F" w:rsidRDefault="00CB0DD7">
      <w:pPr>
        <w:pStyle w:val="PL"/>
        <w:rPr>
          <w:rFonts w:hint="eastAsia"/>
        </w:rPr>
      </w:pPr>
      <w:r w:rsidRPr="000A0A5F">
        <w:rPr>
          <w:rFonts w:hint="eastAsia"/>
        </w:rPr>
        <w:t xml:space="preserve">          required: true</w:t>
      </w:r>
    </w:p>
    <w:p w:rsidR="00CB0DD7" w:rsidRPr="000A0A5F" w:rsidRDefault="00CB0DD7">
      <w:pPr>
        <w:pStyle w:val="PL"/>
        <w:rPr>
          <w:rFonts w:hint="eastAsia"/>
        </w:rPr>
      </w:pPr>
      <w:r w:rsidRPr="000A0A5F">
        <w:rPr>
          <w:rFonts w:hint="eastAsia"/>
        </w:rPr>
        <w:t xml:space="preserve">          schema:</w:t>
      </w:r>
    </w:p>
    <w:p w:rsidR="00CB0DD7" w:rsidRPr="000A0A5F" w:rsidRDefault="00CB0DD7">
      <w:pPr>
        <w:pStyle w:val="PL"/>
      </w:pPr>
      <w:r w:rsidRPr="000A0A5F">
        <w:rPr>
          <w:rFonts w:hint="eastAsia"/>
        </w:rPr>
        <w:t xml:space="preserve">            type: string</w:t>
      </w:r>
    </w:p>
    <w:p w:rsidR="00CB0DD7" w:rsidRPr="000A0A5F" w:rsidRDefault="00CB0DD7">
      <w:pPr>
        <w:pStyle w:val="PL"/>
        <w:rPr>
          <w:lang w:val="en-US"/>
        </w:rPr>
      </w:pPr>
      <w:r w:rsidRPr="000A0A5F">
        <w:rPr>
          <w:lang w:val="en-US"/>
        </w:rPr>
        <w:t xml:space="preserve">      requestBody:</w:t>
      </w:r>
    </w:p>
    <w:p w:rsidR="00CB0DD7" w:rsidRPr="000A0A5F" w:rsidRDefault="00CB0DD7">
      <w:pPr>
        <w:pStyle w:val="PL"/>
        <w:rPr>
          <w:lang w:val="en-US"/>
        </w:rPr>
      </w:pPr>
      <w:r w:rsidRPr="000A0A5F">
        <w:rPr>
          <w:lang w:val="en-US"/>
        </w:rPr>
        <w:t xml:space="preserve">        description: representation of the </w:t>
      </w:r>
      <w:r w:rsidRPr="000A0A5F">
        <w:t>GMD via MBMS by MB2 resource</w:t>
      </w:r>
      <w:r w:rsidRPr="000A0A5F">
        <w:rPr>
          <w:lang w:val="en-US"/>
        </w:rPr>
        <w:t xml:space="preserve"> to be udpated in the SCEF</w:t>
      </w:r>
    </w:p>
    <w:p w:rsidR="00CB0DD7" w:rsidRPr="000A0A5F" w:rsidRDefault="00CB0DD7">
      <w:pPr>
        <w:pStyle w:val="PL"/>
        <w:rPr>
          <w:lang w:val="en-US"/>
        </w:rPr>
      </w:pPr>
      <w:r w:rsidRPr="000A0A5F">
        <w:rPr>
          <w:lang w:val="en-US"/>
        </w:rPr>
        <w:t xml:space="preserve">        required: true</w:t>
      </w:r>
    </w:p>
    <w:p w:rsidR="00CB0DD7" w:rsidRPr="000A0A5F" w:rsidRDefault="00CB0DD7">
      <w:pPr>
        <w:pStyle w:val="PL"/>
        <w:rPr>
          <w:lang w:val="en-US"/>
        </w:rPr>
      </w:pPr>
      <w:r w:rsidRPr="000A0A5F">
        <w:rPr>
          <w:lang w:val="en-US"/>
        </w:rPr>
        <w:t xml:space="preserve">        content:</w:t>
      </w:r>
    </w:p>
    <w:p w:rsidR="00CB0DD7" w:rsidRPr="000A0A5F" w:rsidRDefault="00CB0DD7">
      <w:pPr>
        <w:pStyle w:val="PL"/>
        <w:rPr>
          <w:lang w:val="en-US"/>
        </w:rPr>
      </w:pPr>
      <w:r w:rsidRPr="000A0A5F">
        <w:rPr>
          <w:lang w:val="en-US"/>
        </w:rPr>
        <w:t xml:space="preserve">          application/merge-patch+json: </w:t>
      </w:r>
    </w:p>
    <w:p w:rsidR="00CB0DD7" w:rsidRPr="000A0A5F" w:rsidRDefault="00CB0DD7">
      <w:pPr>
        <w:pStyle w:val="PL"/>
        <w:rPr>
          <w:lang w:val="en-US"/>
        </w:rPr>
      </w:pPr>
      <w:r w:rsidRPr="000A0A5F">
        <w:rPr>
          <w:lang w:val="en-US"/>
        </w:rPr>
        <w:t xml:space="preserve">            schema:</w:t>
      </w:r>
    </w:p>
    <w:p w:rsidR="00CB0DD7" w:rsidRPr="000A0A5F" w:rsidRDefault="00CB0DD7">
      <w:pPr>
        <w:pStyle w:val="PL"/>
        <w:rPr>
          <w:lang w:val="en-US"/>
        </w:rPr>
      </w:pPr>
      <w:r w:rsidRPr="000A0A5F">
        <w:rPr>
          <w:lang w:val="en-US"/>
        </w:rPr>
        <w:t xml:space="preserve">              $ref: '#/components/schemas/</w:t>
      </w:r>
      <w:r w:rsidRPr="000A0A5F">
        <w:t>GMDViaMBMSByMb2Patch</w:t>
      </w:r>
      <w:r w:rsidRPr="000A0A5F">
        <w:rPr>
          <w:lang w:val="en-US"/>
        </w:rPr>
        <w:t>'</w:t>
      </w:r>
    </w:p>
    <w:p w:rsidR="00CB0DD7" w:rsidRPr="000A0A5F" w:rsidRDefault="00CB0DD7">
      <w:pPr>
        <w:pStyle w:val="PL"/>
        <w:rPr>
          <w:lang w:val="en-US"/>
        </w:rPr>
      </w:pPr>
      <w:r w:rsidRPr="000A0A5F">
        <w:rPr>
          <w:lang w:val="en-US"/>
        </w:rPr>
        <w:t xml:space="preserve">      responses:</w:t>
      </w:r>
    </w:p>
    <w:p w:rsidR="00CB0DD7" w:rsidRPr="000A0A5F" w:rsidRDefault="00CB0DD7">
      <w:pPr>
        <w:pStyle w:val="PL"/>
        <w:rPr>
          <w:lang w:val="en-US"/>
        </w:rPr>
      </w:pPr>
      <w:r w:rsidRPr="000A0A5F">
        <w:rPr>
          <w:lang w:val="en-US"/>
        </w:rPr>
        <w:t xml:space="preserve">        '200':</w:t>
      </w:r>
    </w:p>
    <w:p w:rsidR="00CB0DD7" w:rsidRPr="000A0A5F" w:rsidRDefault="00CB0DD7">
      <w:pPr>
        <w:pStyle w:val="PL"/>
        <w:rPr>
          <w:lang w:val="en-US"/>
        </w:rPr>
      </w:pPr>
      <w:r w:rsidRPr="000A0A5F">
        <w:rPr>
          <w:lang w:val="en-US"/>
        </w:rPr>
        <w:t xml:space="preserve">          description: successful update of an individual </w:t>
      </w:r>
      <w:r w:rsidRPr="000A0A5F">
        <w:t>GMD via MBMS by MB2 resource</w:t>
      </w:r>
    </w:p>
    <w:p w:rsidR="00CB0DD7" w:rsidRPr="000A0A5F" w:rsidRDefault="00CB0DD7">
      <w:pPr>
        <w:pStyle w:val="PL"/>
        <w:rPr>
          <w:lang w:val="en-US"/>
        </w:rPr>
      </w:pPr>
      <w:r w:rsidRPr="000A0A5F">
        <w:rPr>
          <w:lang w:val="en-US"/>
        </w:rPr>
        <w:t xml:space="preserve">          content:</w:t>
      </w:r>
    </w:p>
    <w:p w:rsidR="00CB0DD7" w:rsidRPr="000A0A5F" w:rsidRDefault="00CB0DD7">
      <w:pPr>
        <w:pStyle w:val="PL"/>
        <w:rPr>
          <w:lang w:val="en-US"/>
        </w:rPr>
      </w:pPr>
      <w:r w:rsidRPr="000A0A5F">
        <w:rPr>
          <w:lang w:val="en-US"/>
        </w:rPr>
        <w:t xml:space="preserve">            application/json:</w:t>
      </w:r>
    </w:p>
    <w:p w:rsidR="00CB0DD7" w:rsidRPr="000A0A5F" w:rsidRDefault="00CB0DD7">
      <w:pPr>
        <w:pStyle w:val="PL"/>
        <w:rPr>
          <w:lang w:val="en-US"/>
        </w:rPr>
      </w:pPr>
      <w:r w:rsidRPr="000A0A5F">
        <w:rPr>
          <w:lang w:val="en-US"/>
        </w:rPr>
        <w:t xml:space="preserve">              schema:</w:t>
      </w:r>
    </w:p>
    <w:p w:rsidR="00CB0DD7" w:rsidRPr="000A0A5F" w:rsidRDefault="00CB0DD7">
      <w:pPr>
        <w:pStyle w:val="PL"/>
        <w:rPr>
          <w:lang w:val="en-US"/>
        </w:rPr>
      </w:pPr>
      <w:r w:rsidRPr="000A0A5F">
        <w:rPr>
          <w:lang w:val="en-US"/>
        </w:rPr>
        <w:t xml:space="preserve">                $ref: '#/components/schemas/</w:t>
      </w:r>
      <w:r w:rsidRPr="000A0A5F">
        <w:t>GMDViaMBMSByMb2</w:t>
      </w:r>
      <w:r w:rsidRPr="000A0A5F">
        <w:rPr>
          <w:lang w:val="en-US"/>
        </w:rPr>
        <w:t>'</w:t>
      </w:r>
    </w:p>
    <w:p w:rsidR="00EF6BB4" w:rsidRPr="000A0A5F" w:rsidRDefault="00EF6BB4" w:rsidP="00EF6BB4">
      <w:pPr>
        <w:pStyle w:val="PL"/>
      </w:pPr>
      <w:r w:rsidRPr="000A0A5F">
        <w:t xml:space="preserve">        '204':</w:t>
      </w:r>
    </w:p>
    <w:p w:rsidR="00EF6BB4" w:rsidRPr="000A0A5F" w:rsidRDefault="00EF6BB4" w:rsidP="00EF6BB4">
      <w:pPr>
        <w:pStyle w:val="PL"/>
      </w:pPr>
      <w:r w:rsidRPr="000A0A5F">
        <w:t xml:space="preserve">          description: &gt;</w:t>
      </w:r>
    </w:p>
    <w:p w:rsidR="00EF6BB4" w:rsidRPr="000A0A5F" w:rsidRDefault="00EF6BB4" w:rsidP="00EF6BB4">
      <w:pPr>
        <w:pStyle w:val="PL"/>
      </w:pPr>
      <w:r w:rsidRPr="000A0A5F">
        <w:t xml:space="preserve">            The group message delivery is modified successfully, and no content is to be sent</w:t>
      </w:r>
    </w:p>
    <w:p w:rsidR="00EF6BB4" w:rsidRPr="000A0A5F" w:rsidRDefault="00EF6BB4" w:rsidP="00EF6BB4">
      <w:pPr>
        <w:pStyle w:val="PL"/>
      </w:pPr>
      <w:r w:rsidRPr="000A0A5F">
        <w:t xml:space="preserve">            in the response message body.</w:t>
      </w:r>
    </w:p>
    <w:p w:rsidR="00CB0DD7" w:rsidRPr="000A0A5F" w:rsidRDefault="00CB0DD7">
      <w:pPr>
        <w:pStyle w:val="PL"/>
      </w:pPr>
      <w:r w:rsidRPr="000A0A5F">
        <w:t xml:space="preserve">        '307':</w:t>
      </w:r>
    </w:p>
    <w:p w:rsidR="00CB0DD7" w:rsidRPr="000A0A5F" w:rsidRDefault="00CB0DD7">
      <w:pPr>
        <w:pStyle w:val="PL"/>
      </w:pPr>
      <w:r w:rsidRPr="000A0A5F">
        <w:t xml:space="preserve">          $ref: 'TS29122_CommonData.yaml#/components/responses/307'</w:t>
      </w:r>
    </w:p>
    <w:p w:rsidR="00CB0DD7" w:rsidRPr="000A0A5F" w:rsidRDefault="00CB0DD7">
      <w:pPr>
        <w:pStyle w:val="PL"/>
      </w:pPr>
      <w:r w:rsidRPr="000A0A5F">
        <w:t xml:space="preserve">        '308':</w:t>
      </w:r>
    </w:p>
    <w:p w:rsidR="00CB0DD7" w:rsidRPr="000A0A5F" w:rsidRDefault="00CB0DD7">
      <w:pPr>
        <w:pStyle w:val="PL"/>
      </w:pPr>
      <w:r w:rsidRPr="000A0A5F">
        <w:t xml:space="preserve">          $ref: 'TS29122_CommonData.yaml#/components/responses/308'</w:t>
      </w:r>
    </w:p>
    <w:p w:rsidR="00CB0DD7" w:rsidRPr="000A0A5F" w:rsidRDefault="00CB0DD7">
      <w:pPr>
        <w:pStyle w:val="PL"/>
      </w:pPr>
      <w:r w:rsidRPr="000A0A5F">
        <w:t xml:space="preserve">        '400':</w:t>
      </w:r>
    </w:p>
    <w:p w:rsidR="00CB0DD7" w:rsidRPr="000A0A5F" w:rsidRDefault="00CB0DD7">
      <w:pPr>
        <w:pStyle w:val="PL"/>
      </w:pPr>
      <w:r w:rsidRPr="000A0A5F">
        <w:t xml:space="preserve">          $ref: 'TS29122_CommonData.yaml#/components/responses/400'</w:t>
      </w:r>
    </w:p>
    <w:p w:rsidR="00CB0DD7" w:rsidRPr="000A0A5F" w:rsidRDefault="00CB0DD7">
      <w:pPr>
        <w:pStyle w:val="PL"/>
      </w:pPr>
      <w:r w:rsidRPr="000A0A5F">
        <w:t xml:space="preserve">        '401':</w:t>
      </w:r>
    </w:p>
    <w:p w:rsidR="00CB0DD7" w:rsidRPr="000A0A5F" w:rsidRDefault="00CB0DD7">
      <w:pPr>
        <w:pStyle w:val="PL"/>
      </w:pPr>
      <w:r w:rsidRPr="000A0A5F">
        <w:t xml:space="preserve">          $ref: 'TS29122_CommonData.yaml#/components/responses/401'</w:t>
      </w:r>
    </w:p>
    <w:p w:rsidR="00CB0DD7" w:rsidRPr="000A0A5F" w:rsidRDefault="00CB0DD7">
      <w:pPr>
        <w:pStyle w:val="PL"/>
      </w:pPr>
      <w:r w:rsidRPr="000A0A5F">
        <w:t xml:space="preserve">        '403':</w:t>
      </w:r>
    </w:p>
    <w:p w:rsidR="00CB0DD7" w:rsidRPr="000A0A5F" w:rsidRDefault="00CB0DD7">
      <w:pPr>
        <w:pStyle w:val="PL"/>
      </w:pPr>
      <w:r w:rsidRPr="000A0A5F">
        <w:t xml:space="preserve">          $ref: 'TS29122_CommonData.yaml#/components/responses/403'</w:t>
      </w:r>
    </w:p>
    <w:p w:rsidR="00CB0DD7" w:rsidRPr="000A0A5F" w:rsidRDefault="00CB0DD7">
      <w:pPr>
        <w:pStyle w:val="PL"/>
      </w:pPr>
      <w:r w:rsidRPr="000A0A5F">
        <w:t xml:space="preserve">        '404':</w:t>
      </w:r>
    </w:p>
    <w:p w:rsidR="00CB0DD7" w:rsidRPr="000A0A5F" w:rsidRDefault="00CB0DD7">
      <w:pPr>
        <w:pStyle w:val="PL"/>
      </w:pPr>
      <w:r w:rsidRPr="000A0A5F">
        <w:t xml:space="preserve">          $ref: 'TS29122_CommonData.yaml#/components/responses/404'</w:t>
      </w:r>
    </w:p>
    <w:p w:rsidR="00CB0DD7" w:rsidRPr="000A0A5F" w:rsidRDefault="00CB0DD7">
      <w:pPr>
        <w:pStyle w:val="PL"/>
      </w:pPr>
      <w:r w:rsidRPr="000A0A5F">
        <w:t xml:space="preserve">        '411':</w:t>
      </w:r>
    </w:p>
    <w:p w:rsidR="00CB0DD7" w:rsidRPr="000A0A5F" w:rsidRDefault="00CB0DD7">
      <w:pPr>
        <w:pStyle w:val="PL"/>
      </w:pPr>
      <w:r w:rsidRPr="000A0A5F">
        <w:t xml:space="preserve">          $ref: 'TS29122_CommonData.yaml#/components/responses/411'</w:t>
      </w:r>
    </w:p>
    <w:p w:rsidR="00CB0DD7" w:rsidRPr="000A0A5F" w:rsidRDefault="00CB0DD7">
      <w:pPr>
        <w:pStyle w:val="PL"/>
      </w:pPr>
      <w:r w:rsidRPr="000A0A5F">
        <w:t xml:space="preserve">        '413':</w:t>
      </w:r>
    </w:p>
    <w:p w:rsidR="00CB0DD7" w:rsidRPr="000A0A5F" w:rsidRDefault="00CB0DD7">
      <w:pPr>
        <w:pStyle w:val="PL"/>
      </w:pPr>
      <w:r w:rsidRPr="000A0A5F">
        <w:t xml:space="preserve">          $ref: 'TS29122_CommonData.yaml#/components/responses/413'</w:t>
      </w:r>
    </w:p>
    <w:p w:rsidR="00CB0DD7" w:rsidRPr="000A0A5F" w:rsidRDefault="00CB0DD7">
      <w:pPr>
        <w:pStyle w:val="PL"/>
      </w:pPr>
      <w:r w:rsidRPr="000A0A5F">
        <w:t xml:space="preserve">        '415':</w:t>
      </w:r>
    </w:p>
    <w:p w:rsidR="00CB0DD7" w:rsidRPr="000A0A5F" w:rsidRDefault="00CB0DD7">
      <w:pPr>
        <w:pStyle w:val="PL"/>
      </w:pPr>
      <w:r w:rsidRPr="000A0A5F">
        <w:t xml:space="preserve">          $ref: 'TS29122_CommonData.yaml#/components/responses/415'</w:t>
      </w:r>
    </w:p>
    <w:p w:rsidR="00CB0DD7" w:rsidRPr="000A0A5F" w:rsidRDefault="00CB0DD7">
      <w:pPr>
        <w:pStyle w:val="PL"/>
      </w:pPr>
      <w:r w:rsidRPr="000A0A5F">
        <w:t xml:space="preserve">        '429':</w:t>
      </w:r>
    </w:p>
    <w:p w:rsidR="00CB0DD7" w:rsidRPr="000A0A5F" w:rsidRDefault="00CB0DD7">
      <w:pPr>
        <w:pStyle w:val="PL"/>
      </w:pPr>
      <w:r w:rsidRPr="000A0A5F">
        <w:t xml:space="preserve">          $ref: 'TS29122_CommonData.yaml#/components/responses/429'</w:t>
      </w:r>
    </w:p>
    <w:p w:rsidR="00CB0DD7" w:rsidRPr="000A0A5F" w:rsidRDefault="00CB0DD7">
      <w:pPr>
        <w:pStyle w:val="PL"/>
      </w:pPr>
      <w:r w:rsidRPr="000A0A5F">
        <w:t xml:space="preserve">        '500':</w:t>
      </w:r>
    </w:p>
    <w:p w:rsidR="00CB0DD7" w:rsidRPr="000A0A5F" w:rsidRDefault="00CB0DD7">
      <w:pPr>
        <w:pStyle w:val="PL"/>
      </w:pPr>
      <w:r w:rsidRPr="000A0A5F">
        <w:t xml:space="preserve">          $ref: 'TS29122_CommonData.yaml#/components/responses/500'</w:t>
      </w:r>
    </w:p>
    <w:p w:rsidR="00CB0DD7" w:rsidRPr="000A0A5F" w:rsidRDefault="00CB0DD7">
      <w:pPr>
        <w:pStyle w:val="PL"/>
      </w:pPr>
      <w:r w:rsidRPr="000A0A5F">
        <w:t xml:space="preserve">        '503':</w:t>
      </w:r>
    </w:p>
    <w:p w:rsidR="00CB0DD7" w:rsidRPr="000A0A5F" w:rsidRDefault="00CB0DD7">
      <w:pPr>
        <w:pStyle w:val="PL"/>
      </w:pPr>
      <w:r w:rsidRPr="000A0A5F">
        <w:t xml:space="preserve">          $ref: 'TS29122_CommonData.yaml#/components/responses/503'</w:t>
      </w:r>
    </w:p>
    <w:p w:rsidR="00CB0DD7" w:rsidRPr="000A0A5F" w:rsidRDefault="00CB0DD7">
      <w:pPr>
        <w:pStyle w:val="PL"/>
      </w:pPr>
      <w:r w:rsidRPr="000A0A5F">
        <w:t xml:space="preserve">        default:</w:t>
      </w:r>
    </w:p>
    <w:p w:rsidR="00CB0DD7" w:rsidRPr="000A0A5F" w:rsidRDefault="00CB0DD7">
      <w:pPr>
        <w:pStyle w:val="PL"/>
        <w:rPr>
          <w:lang w:val="en-US"/>
        </w:rPr>
      </w:pPr>
      <w:r w:rsidRPr="000A0A5F">
        <w:t xml:space="preserve">          $ref: 'TS29122_CommonData.yaml#/components/responses/default'</w:t>
      </w:r>
    </w:p>
    <w:p w:rsidR="00CB0DD7" w:rsidRPr="000A0A5F" w:rsidRDefault="00CB0DD7">
      <w:pPr>
        <w:pStyle w:val="PL"/>
        <w:rPr>
          <w:lang w:val="en-US"/>
        </w:rPr>
      </w:pPr>
    </w:p>
    <w:p w:rsidR="00CB0DD7" w:rsidRPr="000A0A5F" w:rsidRDefault="00CB0DD7">
      <w:pPr>
        <w:pStyle w:val="PL"/>
        <w:rPr>
          <w:lang w:val="en-US"/>
        </w:rPr>
      </w:pPr>
      <w:r w:rsidRPr="000A0A5F">
        <w:rPr>
          <w:rFonts w:hint="eastAsia"/>
        </w:rPr>
        <w:t xml:space="preserve">    </w:t>
      </w:r>
      <w:r w:rsidRPr="000A0A5F">
        <w:t>delete:</w:t>
      </w:r>
    </w:p>
    <w:p w:rsidR="00CB0DD7" w:rsidRPr="000A0A5F" w:rsidRDefault="00CB0DD7">
      <w:pPr>
        <w:pStyle w:val="PL"/>
        <w:rPr>
          <w:lang w:eastAsia="zh-CN"/>
        </w:rPr>
      </w:pPr>
      <w:r w:rsidRPr="000A0A5F">
        <w:rPr>
          <w:lang w:val="en-US"/>
        </w:rPr>
        <w:t xml:space="preserve">      summary: </w:t>
      </w:r>
      <w:r w:rsidR="00305F4B" w:rsidRPr="000A0A5F">
        <w:rPr>
          <w:lang w:val="en-US"/>
        </w:rPr>
        <w:t>D</w:t>
      </w:r>
      <w:r w:rsidRPr="000A0A5F">
        <w:rPr>
          <w:lang w:val="en-US"/>
        </w:rPr>
        <w:t>elete</w:t>
      </w:r>
      <w:r w:rsidRPr="000A0A5F">
        <w:rPr>
          <w:lang w:eastAsia="zh-CN"/>
        </w:rPr>
        <w:t>s a delivery via MBMS resource for a given SCS/AS,</w:t>
      </w:r>
      <w:r w:rsidRPr="000A0A5F">
        <w:rPr>
          <w:rFonts w:hint="eastAsia"/>
          <w:lang w:eastAsia="zh-CN"/>
        </w:rPr>
        <w:t xml:space="preserve"> a TMGI</w:t>
      </w:r>
      <w:r w:rsidRPr="000A0A5F">
        <w:rPr>
          <w:lang w:eastAsia="zh-CN"/>
        </w:rPr>
        <w:t xml:space="preserve"> and a transcation Id.</w:t>
      </w:r>
    </w:p>
    <w:p w:rsidR="00305F4B" w:rsidRPr="000A0A5F" w:rsidRDefault="00305F4B" w:rsidP="00305F4B">
      <w:pPr>
        <w:pStyle w:val="PL"/>
      </w:pPr>
      <w:r w:rsidRPr="000A0A5F">
        <w:t xml:space="preserve">      </w:t>
      </w:r>
      <w:r w:rsidRPr="000A0A5F">
        <w:rPr>
          <w:rFonts w:cs="Courier New"/>
          <w:szCs w:val="16"/>
        </w:rPr>
        <w:t>operationId: DeleteInd</w:t>
      </w:r>
      <w:r w:rsidRPr="000A0A5F">
        <w:rPr>
          <w:lang w:val="en-US"/>
        </w:rPr>
        <w:t>DeliveryViaMBMS</w:t>
      </w:r>
    </w:p>
    <w:p w:rsidR="00CB0DD7" w:rsidRPr="000A0A5F" w:rsidRDefault="00CB0DD7">
      <w:pPr>
        <w:pStyle w:val="PL"/>
        <w:rPr>
          <w:lang w:val="en-US"/>
        </w:rPr>
      </w:pPr>
      <w:r w:rsidRPr="000A0A5F">
        <w:rPr>
          <w:lang w:val="en-US"/>
        </w:rPr>
        <w:t xml:space="preserve">      tags:</w:t>
      </w:r>
    </w:p>
    <w:p w:rsidR="00CB0DD7" w:rsidRPr="000A0A5F" w:rsidRDefault="00CB0DD7">
      <w:pPr>
        <w:pStyle w:val="PL"/>
        <w:rPr>
          <w:lang w:val="en-US"/>
        </w:rPr>
      </w:pPr>
      <w:r w:rsidRPr="000A0A5F">
        <w:rPr>
          <w:lang w:val="en-US"/>
        </w:rPr>
        <w:t xml:space="preserve">        - Individual Delivery via MBMS resource Operation</w:t>
      </w:r>
    </w:p>
    <w:p w:rsidR="00CB0DD7" w:rsidRPr="000A0A5F" w:rsidRDefault="00CB0DD7">
      <w:pPr>
        <w:pStyle w:val="PL"/>
        <w:rPr>
          <w:rFonts w:hint="eastAsia"/>
        </w:rPr>
      </w:pPr>
      <w:r w:rsidRPr="000A0A5F">
        <w:rPr>
          <w:rFonts w:hint="eastAsia"/>
        </w:rPr>
        <w:t xml:space="preserve">      parameters:</w:t>
      </w:r>
    </w:p>
    <w:p w:rsidR="00CB0DD7" w:rsidRPr="000A0A5F" w:rsidRDefault="00CB0DD7">
      <w:pPr>
        <w:pStyle w:val="PL"/>
        <w:rPr>
          <w:rFonts w:hint="eastAsia"/>
        </w:rPr>
      </w:pPr>
      <w:r w:rsidRPr="000A0A5F">
        <w:rPr>
          <w:rFonts w:hint="eastAsia"/>
        </w:rPr>
        <w:t xml:space="preserve">        - name: </w:t>
      </w:r>
      <w:r w:rsidRPr="000A0A5F">
        <w:t>scsAsId</w:t>
      </w:r>
    </w:p>
    <w:p w:rsidR="00CB0DD7" w:rsidRPr="000A0A5F" w:rsidRDefault="00CB0DD7">
      <w:pPr>
        <w:pStyle w:val="PL"/>
        <w:rPr>
          <w:rFonts w:hint="eastAsia"/>
        </w:rPr>
      </w:pPr>
      <w:r w:rsidRPr="000A0A5F">
        <w:rPr>
          <w:rFonts w:hint="eastAsia"/>
        </w:rPr>
        <w:t xml:space="preserve">          in: path</w:t>
      </w:r>
    </w:p>
    <w:p w:rsidR="00CB0DD7" w:rsidRPr="000A0A5F" w:rsidRDefault="00CB0DD7">
      <w:pPr>
        <w:pStyle w:val="PL"/>
        <w:rPr>
          <w:rFonts w:hint="eastAsia"/>
        </w:rPr>
      </w:pPr>
      <w:r w:rsidRPr="000A0A5F">
        <w:rPr>
          <w:rFonts w:hint="eastAsia"/>
        </w:rPr>
        <w:t xml:space="preserve">          description: Identifier of </w:t>
      </w:r>
      <w:r w:rsidRPr="000A0A5F">
        <w:t>SCS/AS</w:t>
      </w:r>
    </w:p>
    <w:p w:rsidR="00CB0DD7" w:rsidRPr="000A0A5F" w:rsidRDefault="00CB0DD7">
      <w:pPr>
        <w:pStyle w:val="PL"/>
        <w:rPr>
          <w:rFonts w:hint="eastAsia"/>
        </w:rPr>
      </w:pPr>
      <w:r w:rsidRPr="000A0A5F">
        <w:rPr>
          <w:rFonts w:hint="eastAsia"/>
        </w:rPr>
        <w:t xml:space="preserve">          required: true</w:t>
      </w:r>
    </w:p>
    <w:p w:rsidR="00CB0DD7" w:rsidRPr="000A0A5F" w:rsidRDefault="00CB0DD7">
      <w:pPr>
        <w:pStyle w:val="PL"/>
        <w:rPr>
          <w:rFonts w:hint="eastAsia"/>
        </w:rPr>
      </w:pPr>
      <w:r w:rsidRPr="000A0A5F">
        <w:rPr>
          <w:rFonts w:hint="eastAsia"/>
        </w:rPr>
        <w:t xml:space="preserve">          schema:</w:t>
      </w:r>
    </w:p>
    <w:p w:rsidR="00CB0DD7" w:rsidRPr="000A0A5F" w:rsidRDefault="00CB0DD7">
      <w:pPr>
        <w:pStyle w:val="PL"/>
      </w:pPr>
      <w:r w:rsidRPr="000A0A5F">
        <w:rPr>
          <w:rFonts w:hint="eastAsia"/>
        </w:rPr>
        <w:t xml:space="preserve">            type: string</w:t>
      </w:r>
    </w:p>
    <w:p w:rsidR="00CB0DD7" w:rsidRPr="000A0A5F" w:rsidRDefault="00CB0DD7">
      <w:pPr>
        <w:pStyle w:val="PL"/>
        <w:rPr>
          <w:rFonts w:hint="eastAsia"/>
        </w:rPr>
      </w:pPr>
      <w:r w:rsidRPr="000A0A5F">
        <w:rPr>
          <w:rFonts w:hint="eastAsia"/>
        </w:rPr>
        <w:t xml:space="preserve">        - name: </w:t>
      </w:r>
      <w:r w:rsidRPr="000A0A5F">
        <w:t>tmgi</w:t>
      </w:r>
    </w:p>
    <w:p w:rsidR="00CB0DD7" w:rsidRPr="000A0A5F" w:rsidRDefault="00CB0DD7">
      <w:pPr>
        <w:pStyle w:val="PL"/>
        <w:rPr>
          <w:rFonts w:hint="eastAsia"/>
        </w:rPr>
      </w:pPr>
      <w:r w:rsidRPr="000A0A5F">
        <w:rPr>
          <w:rFonts w:hint="eastAsia"/>
        </w:rPr>
        <w:t xml:space="preserve">          in: path</w:t>
      </w:r>
    </w:p>
    <w:p w:rsidR="00CB0DD7" w:rsidRPr="000A0A5F" w:rsidRDefault="00CB0DD7">
      <w:pPr>
        <w:pStyle w:val="PL"/>
        <w:rPr>
          <w:rFonts w:hint="eastAsia"/>
        </w:rPr>
      </w:pPr>
      <w:r w:rsidRPr="000A0A5F">
        <w:rPr>
          <w:rFonts w:hint="eastAsia"/>
        </w:rPr>
        <w:t xml:space="preserve">          description: </w:t>
      </w:r>
      <w:r w:rsidRPr="000A0A5F">
        <w:t>TMGI</w:t>
      </w:r>
    </w:p>
    <w:p w:rsidR="00CB0DD7" w:rsidRPr="000A0A5F" w:rsidRDefault="00CB0DD7">
      <w:pPr>
        <w:pStyle w:val="PL"/>
        <w:rPr>
          <w:rFonts w:hint="eastAsia"/>
        </w:rPr>
      </w:pPr>
      <w:r w:rsidRPr="000A0A5F">
        <w:rPr>
          <w:rFonts w:hint="eastAsia"/>
        </w:rPr>
        <w:t xml:space="preserve">          required: true</w:t>
      </w:r>
    </w:p>
    <w:p w:rsidR="00CB0DD7" w:rsidRPr="000A0A5F" w:rsidRDefault="00CB0DD7">
      <w:pPr>
        <w:pStyle w:val="PL"/>
        <w:rPr>
          <w:rFonts w:hint="eastAsia"/>
        </w:rPr>
      </w:pPr>
      <w:r w:rsidRPr="000A0A5F">
        <w:rPr>
          <w:rFonts w:hint="eastAsia"/>
        </w:rPr>
        <w:t xml:space="preserve">          schema:</w:t>
      </w:r>
    </w:p>
    <w:p w:rsidR="00CB0DD7" w:rsidRPr="000A0A5F" w:rsidRDefault="00CB0DD7">
      <w:pPr>
        <w:pStyle w:val="PL"/>
      </w:pPr>
      <w:r w:rsidRPr="000A0A5F">
        <w:rPr>
          <w:rFonts w:hint="eastAsia"/>
        </w:rPr>
        <w:t xml:space="preserve">            type: string</w:t>
      </w:r>
    </w:p>
    <w:p w:rsidR="00CB0DD7" w:rsidRPr="000A0A5F" w:rsidRDefault="00CB0DD7">
      <w:pPr>
        <w:pStyle w:val="PL"/>
        <w:rPr>
          <w:rFonts w:hint="eastAsia"/>
        </w:rPr>
      </w:pPr>
      <w:r w:rsidRPr="000A0A5F">
        <w:rPr>
          <w:rFonts w:hint="eastAsia"/>
        </w:rPr>
        <w:t xml:space="preserve">        - name: </w:t>
      </w:r>
      <w:r w:rsidRPr="000A0A5F">
        <w:t>transactionId</w:t>
      </w:r>
    </w:p>
    <w:p w:rsidR="00CB0DD7" w:rsidRPr="000A0A5F" w:rsidRDefault="00CB0DD7">
      <w:pPr>
        <w:pStyle w:val="PL"/>
        <w:rPr>
          <w:rFonts w:hint="eastAsia"/>
        </w:rPr>
      </w:pPr>
      <w:r w:rsidRPr="000A0A5F">
        <w:rPr>
          <w:rFonts w:hint="eastAsia"/>
        </w:rPr>
        <w:t xml:space="preserve">          in: path</w:t>
      </w:r>
    </w:p>
    <w:p w:rsidR="00CB0DD7" w:rsidRPr="000A0A5F" w:rsidRDefault="00CB0DD7">
      <w:pPr>
        <w:pStyle w:val="PL"/>
        <w:rPr>
          <w:rFonts w:hint="eastAsia"/>
        </w:rPr>
      </w:pPr>
      <w:r w:rsidRPr="000A0A5F">
        <w:rPr>
          <w:rFonts w:hint="eastAsia"/>
        </w:rPr>
        <w:t xml:space="preserve">          description: </w:t>
      </w:r>
      <w:r w:rsidRPr="000A0A5F">
        <w:t>Identifier of transaction</w:t>
      </w:r>
    </w:p>
    <w:p w:rsidR="00CB0DD7" w:rsidRPr="000A0A5F" w:rsidRDefault="00CB0DD7">
      <w:pPr>
        <w:pStyle w:val="PL"/>
        <w:rPr>
          <w:rFonts w:hint="eastAsia"/>
        </w:rPr>
      </w:pPr>
      <w:r w:rsidRPr="000A0A5F">
        <w:rPr>
          <w:rFonts w:hint="eastAsia"/>
        </w:rPr>
        <w:t xml:space="preserve">          required: true</w:t>
      </w:r>
    </w:p>
    <w:p w:rsidR="00CB0DD7" w:rsidRPr="000A0A5F" w:rsidRDefault="00CB0DD7">
      <w:pPr>
        <w:pStyle w:val="PL"/>
        <w:rPr>
          <w:rFonts w:hint="eastAsia"/>
        </w:rPr>
      </w:pPr>
      <w:r w:rsidRPr="000A0A5F">
        <w:rPr>
          <w:rFonts w:hint="eastAsia"/>
        </w:rPr>
        <w:t xml:space="preserve">          schema:</w:t>
      </w:r>
    </w:p>
    <w:p w:rsidR="00CB0DD7" w:rsidRPr="000A0A5F" w:rsidRDefault="00CB0DD7">
      <w:pPr>
        <w:pStyle w:val="PL"/>
      </w:pPr>
      <w:r w:rsidRPr="000A0A5F">
        <w:rPr>
          <w:rFonts w:hint="eastAsia"/>
        </w:rPr>
        <w:t xml:space="preserve">            type: string</w:t>
      </w:r>
    </w:p>
    <w:p w:rsidR="00CB0DD7" w:rsidRPr="000A0A5F" w:rsidRDefault="00CB0DD7">
      <w:pPr>
        <w:pStyle w:val="PL"/>
        <w:rPr>
          <w:lang w:val="en-US"/>
        </w:rPr>
      </w:pPr>
      <w:r w:rsidRPr="000A0A5F">
        <w:t xml:space="preserve">     </w:t>
      </w:r>
      <w:r w:rsidRPr="000A0A5F">
        <w:rPr>
          <w:lang w:val="en-US"/>
        </w:rPr>
        <w:t xml:space="preserve"> responses:</w:t>
      </w:r>
    </w:p>
    <w:p w:rsidR="00CB0DD7" w:rsidRPr="000A0A5F" w:rsidRDefault="00CB0DD7">
      <w:pPr>
        <w:pStyle w:val="PL"/>
        <w:rPr>
          <w:lang w:val="en-US"/>
        </w:rPr>
      </w:pPr>
      <w:r w:rsidRPr="000A0A5F">
        <w:rPr>
          <w:lang w:val="en-US"/>
        </w:rPr>
        <w:t xml:space="preserve">        '204':</w:t>
      </w:r>
    </w:p>
    <w:p w:rsidR="00CB0DD7" w:rsidRPr="000A0A5F" w:rsidRDefault="00CB0DD7">
      <w:pPr>
        <w:pStyle w:val="PL"/>
        <w:rPr>
          <w:lang w:val="en-US"/>
        </w:rPr>
      </w:pPr>
      <w:r w:rsidRPr="000A0A5F">
        <w:rPr>
          <w:lang w:val="en-US"/>
        </w:rPr>
        <w:t xml:space="preserve">          description: No Content, successful deletion of an resouce of deliery via MBMS</w:t>
      </w:r>
    </w:p>
    <w:p w:rsidR="00CB0DD7" w:rsidRPr="000A0A5F" w:rsidRDefault="00CB0DD7">
      <w:pPr>
        <w:pStyle w:val="PL"/>
      </w:pPr>
      <w:r w:rsidRPr="000A0A5F">
        <w:t xml:space="preserve">        '307':</w:t>
      </w:r>
    </w:p>
    <w:p w:rsidR="00CB0DD7" w:rsidRPr="000A0A5F" w:rsidRDefault="00CB0DD7">
      <w:pPr>
        <w:pStyle w:val="PL"/>
      </w:pPr>
      <w:r w:rsidRPr="000A0A5F">
        <w:t xml:space="preserve">          $ref: 'TS29122_CommonData.yaml#/components/responses/307'</w:t>
      </w:r>
    </w:p>
    <w:p w:rsidR="00CB0DD7" w:rsidRPr="000A0A5F" w:rsidRDefault="00CB0DD7">
      <w:pPr>
        <w:pStyle w:val="PL"/>
      </w:pPr>
      <w:r w:rsidRPr="000A0A5F">
        <w:t xml:space="preserve">        '308':</w:t>
      </w:r>
    </w:p>
    <w:p w:rsidR="00CB0DD7" w:rsidRPr="000A0A5F" w:rsidRDefault="00CB0DD7">
      <w:pPr>
        <w:pStyle w:val="PL"/>
      </w:pPr>
      <w:r w:rsidRPr="000A0A5F">
        <w:t xml:space="preserve">          $ref: 'TS29122_CommonData.yaml#/components/responses/308'</w:t>
      </w:r>
    </w:p>
    <w:p w:rsidR="00CB0DD7" w:rsidRPr="000A0A5F" w:rsidRDefault="00CB0DD7">
      <w:pPr>
        <w:pStyle w:val="PL"/>
      </w:pPr>
      <w:r w:rsidRPr="000A0A5F">
        <w:t xml:space="preserve">        '400':</w:t>
      </w:r>
    </w:p>
    <w:p w:rsidR="00CB0DD7" w:rsidRPr="000A0A5F" w:rsidRDefault="00CB0DD7">
      <w:pPr>
        <w:pStyle w:val="PL"/>
      </w:pPr>
      <w:r w:rsidRPr="000A0A5F">
        <w:t xml:space="preserve">          $ref: 'TS29122_CommonData.yaml#/components/responses/400'</w:t>
      </w:r>
    </w:p>
    <w:p w:rsidR="00CB0DD7" w:rsidRPr="000A0A5F" w:rsidRDefault="00CB0DD7">
      <w:pPr>
        <w:pStyle w:val="PL"/>
      </w:pPr>
      <w:r w:rsidRPr="000A0A5F">
        <w:t xml:space="preserve">        '401':</w:t>
      </w:r>
    </w:p>
    <w:p w:rsidR="00CB0DD7" w:rsidRPr="000A0A5F" w:rsidRDefault="00CB0DD7">
      <w:pPr>
        <w:pStyle w:val="PL"/>
      </w:pPr>
      <w:r w:rsidRPr="000A0A5F">
        <w:t xml:space="preserve">          $ref: 'TS29122_CommonData.yaml#/components/responses/401'</w:t>
      </w:r>
    </w:p>
    <w:p w:rsidR="00CB0DD7" w:rsidRPr="000A0A5F" w:rsidRDefault="00CB0DD7">
      <w:pPr>
        <w:pStyle w:val="PL"/>
      </w:pPr>
      <w:r w:rsidRPr="000A0A5F">
        <w:t xml:space="preserve">        '403':</w:t>
      </w:r>
    </w:p>
    <w:p w:rsidR="00CB0DD7" w:rsidRPr="000A0A5F" w:rsidRDefault="00CB0DD7">
      <w:pPr>
        <w:pStyle w:val="PL"/>
      </w:pPr>
      <w:r w:rsidRPr="000A0A5F">
        <w:t xml:space="preserve">          $ref: 'TS29122_CommonData.yaml#/components/responses/403'</w:t>
      </w:r>
    </w:p>
    <w:p w:rsidR="00CB0DD7" w:rsidRPr="000A0A5F" w:rsidRDefault="00CB0DD7">
      <w:pPr>
        <w:pStyle w:val="PL"/>
      </w:pPr>
      <w:r w:rsidRPr="000A0A5F">
        <w:t xml:space="preserve">        '404':</w:t>
      </w:r>
    </w:p>
    <w:p w:rsidR="00CB0DD7" w:rsidRPr="000A0A5F" w:rsidRDefault="00CB0DD7">
      <w:pPr>
        <w:pStyle w:val="PL"/>
      </w:pPr>
      <w:r w:rsidRPr="000A0A5F">
        <w:t xml:space="preserve">          $ref: 'TS29122_CommonData.yaml#/components/responses/404'</w:t>
      </w:r>
    </w:p>
    <w:p w:rsidR="00CB0DD7" w:rsidRPr="000A0A5F" w:rsidRDefault="00CB0DD7">
      <w:pPr>
        <w:pStyle w:val="PL"/>
      </w:pPr>
      <w:r w:rsidRPr="000A0A5F">
        <w:t xml:space="preserve">        '429':</w:t>
      </w:r>
    </w:p>
    <w:p w:rsidR="00CB0DD7" w:rsidRPr="000A0A5F" w:rsidRDefault="00CB0DD7">
      <w:pPr>
        <w:pStyle w:val="PL"/>
      </w:pPr>
      <w:r w:rsidRPr="000A0A5F">
        <w:t xml:space="preserve">          $ref: 'TS29122_CommonData.yaml#/components/responses/429'</w:t>
      </w:r>
    </w:p>
    <w:p w:rsidR="00CB0DD7" w:rsidRPr="000A0A5F" w:rsidRDefault="00CB0DD7">
      <w:pPr>
        <w:pStyle w:val="PL"/>
      </w:pPr>
      <w:r w:rsidRPr="000A0A5F">
        <w:t xml:space="preserve">        '500':</w:t>
      </w:r>
    </w:p>
    <w:p w:rsidR="00CB0DD7" w:rsidRPr="000A0A5F" w:rsidRDefault="00CB0DD7">
      <w:pPr>
        <w:pStyle w:val="PL"/>
      </w:pPr>
      <w:r w:rsidRPr="000A0A5F">
        <w:t xml:space="preserve">          $ref: 'TS29122_CommonData.yaml#/components/responses/500'</w:t>
      </w:r>
    </w:p>
    <w:p w:rsidR="00CB0DD7" w:rsidRPr="000A0A5F" w:rsidRDefault="00CB0DD7">
      <w:pPr>
        <w:pStyle w:val="PL"/>
      </w:pPr>
      <w:r w:rsidRPr="000A0A5F">
        <w:t xml:space="preserve">        '503':</w:t>
      </w:r>
    </w:p>
    <w:p w:rsidR="00CB0DD7" w:rsidRPr="000A0A5F" w:rsidRDefault="00CB0DD7">
      <w:pPr>
        <w:pStyle w:val="PL"/>
      </w:pPr>
      <w:r w:rsidRPr="000A0A5F">
        <w:t xml:space="preserve">          $ref: 'TS29122_CommonData.yaml#/components/responses/503'</w:t>
      </w:r>
    </w:p>
    <w:p w:rsidR="00CB0DD7" w:rsidRPr="000A0A5F" w:rsidRDefault="00CB0DD7">
      <w:pPr>
        <w:pStyle w:val="PL"/>
      </w:pPr>
      <w:r w:rsidRPr="000A0A5F">
        <w:t xml:space="preserve">        default:</w:t>
      </w:r>
    </w:p>
    <w:p w:rsidR="00CB0DD7" w:rsidRPr="000A0A5F" w:rsidRDefault="00CB0DD7">
      <w:pPr>
        <w:pStyle w:val="PL"/>
      </w:pPr>
      <w:r w:rsidRPr="000A0A5F">
        <w:t xml:space="preserve">          $ref: 'TS29122_CommonData.yaml#/components/responses/default'</w:t>
      </w:r>
    </w:p>
    <w:p w:rsidR="00EF6BB4" w:rsidRPr="000A0A5F" w:rsidRDefault="00EF6BB4" w:rsidP="00EF6BB4">
      <w:pPr>
        <w:pStyle w:val="PL"/>
      </w:pPr>
    </w:p>
    <w:p w:rsidR="00EF6BB4" w:rsidRPr="000A0A5F" w:rsidRDefault="00EF6BB4" w:rsidP="00EF6BB4">
      <w:pPr>
        <w:pStyle w:val="PL"/>
      </w:pPr>
      <w:r w:rsidRPr="000A0A5F">
        <w:t>components:</w:t>
      </w:r>
    </w:p>
    <w:p w:rsidR="00CB0DD7" w:rsidRPr="000A0A5F" w:rsidRDefault="00CB0DD7">
      <w:pPr>
        <w:pStyle w:val="PL"/>
        <w:rPr>
          <w:lang w:val="en-US"/>
        </w:rPr>
      </w:pPr>
      <w:r w:rsidRPr="000A0A5F">
        <w:rPr>
          <w:lang w:val="en-US"/>
        </w:rPr>
        <w:t xml:space="preserve">  securitySchemes:</w:t>
      </w:r>
    </w:p>
    <w:p w:rsidR="00CB0DD7" w:rsidRPr="000A0A5F" w:rsidRDefault="00CB0DD7">
      <w:pPr>
        <w:pStyle w:val="PL"/>
        <w:rPr>
          <w:lang w:val="en-US"/>
        </w:rPr>
      </w:pPr>
      <w:r w:rsidRPr="000A0A5F">
        <w:rPr>
          <w:lang w:val="en-US"/>
        </w:rPr>
        <w:t xml:space="preserve">    oAuth2ClientCredentials:</w:t>
      </w:r>
    </w:p>
    <w:p w:rsidR="00CB0DD7" w:rsidRPr="000A0A5F" w:rsidRDefault="00CB0DD7">
      <w:pPr>
        <w:pStyle w:val="PL"/>
        <w:rPr>
          <w:lang w:val="en-US"/>
        </w:rPr>
      </w:pPr>
      <w:r w:rsidRPr="000A0A5F">
        <w:rPr>
          <w:lang w:val="en-US"/>
        </w:rPr>
        <w:t xml:space="preserve">      type: oauth2</w:t>
      </w:r>
    </w:p>
    <w:p w:rsidR="00CB0DD7" w:rsidRPr="000A0A5F" w:rsidRDefault="00CB0DD7">
      <w:pPr>
        <w:pStyle w:val="PL"/>
        <w:rPr>
          <w:lang w:val="en-US"/>
        </w:rPr>
      </w:pPr>
      <w:r w:rsidRPr="000A0A5F">
        <w:rPr>
          <w:lang w:val="en-US"/>
        </w:rPr>
        <w:t xml:space="preserve">      flows:</w:t>
      </w:r>
    </w:p>
    <w:p w:rsidR="00CB0DD7" w:rsidRPr="000A0A5F" w:rsidRDefault="00CB0DD7">
      <w:pPr>
        <w:pStyle w:val="PL"/>
        <w:rPr>
          <w:lang w:val="en-US"/>
        </w:rPr>
      </w:pPr>
      <w:r w:rsidRPr="000A0A5F">
        <w:rPr>
          <w:lang w:val="en-US"/>
        </w:rPr>
        <w:t xml:space="preserve">        clientCredentials:</w:t>
      </w:r>
    </w:p>
    <w:p w:rsidR="00CB0DD7" w:rsidRPr="000A0A5F" w:rsidRDefault="00CB0DD7">
      <w:pPr>
        <w:pStyle w:val="PL"/>
        <w:rPr>
          <w:lang w:val="en-US"/>
        </w:rPr>
      </w:pPr>
      <w:r w:rsidRPr="000A0A5F">
        <w:rPr>
          <w:lang w:val="en-US"/>
        </w:rPr>
        <w:t xml:space="preserve">          tokenUrl: '{tokenUrl}'</w:t>
      </w:r>
    </w:p>
    <w:p w:rsidR="00CB0DD7" w:rsidRPr="000A0A5F" w:rsidRDefault="00CB0DD7">
      <w:pPr>
        <w:pStyle w:val="PL"/>
        <w:rPr>
          <w:lang w:val="en-US"/>
        </w:rPr>
      </w:pPr>
      <w:r w:rsidRPr="000A0A5F">
        <w:rPr>
          <w:lang w:val="en-US"/>
        </w:rPr>
        <w:t xml:space="preserve">          scopes: {}</w:t>
      </w:r>
    </w:p>
    <w:p w:rsidR="00EF6BB4" w:rsidRPr="000A0A5F" w:rsidRDefault="00EF6BB4" w:rsidP="00EF6BB4">
      <w:pPr>
        <w:pStyle w:val="PL"/>
      </w:pPr>
    </w:p>
    <w:p w:rsidR="00EF6BB4" w:rsidRPr="000A0A5F" w:rsidRDefault="00EF6BB4" w:rsidP="00EF6BB4">
      <w:pPr>
        <w:pStyle w:val="PL"/>
        <w:rPr>
          <w:lang w:eastAsia="zh-CN"/>
        </w:rPr>
      </w:pPr>
      <w:r w:rsidRPr="000A0A5F">
        <w:t xml:space="preserve">  schemas:</w:t>
      </w:r>
    </w:p>
    <w:p w:rsidR="00CB0DD7" w:rsidRPr="000A0A5F" w:rsidRDefault="00CB0DD7">
      <w:pPr>
        <w:pStyle w:val="PL"/>
      </w:pPr>
      <w:r w:rsidRPr="000A0A5F">
        <w:t xml:space="preserve">    TMGIAllocation:</w:t>
      </w:r>
    </w:p>
    <w:p w:rsidR="00CB0DD7" w:rsidRPr="000A0A5F" w:rsidRDefault="00CB0DD7">
      <w:pPr>
        <w:pStyle w:val="PL"/>
      </w:pPr>
      <w:r w:rsidRPr="000A0A5F">
        <w:t xml:space="preserve">      description: Represents an individual TMGI Allocation resource.</w:t>
      </w:r>
    </w:p>
    <w:p w:rsidR="00CB0DD7" w:rsidRPr="000A0A5F" w:rsidRDefault="00CB0DD7">
      <w:pPr>
        <w:pStyle w:val="PL"/>
      </w:pPr>
      <w:r w:rsidRPr="000A0A5F">
        <w:t xml:space="preserve">      type: object</w:t>
      </w:r>
    </w:p>
    <w:p w:rsidR="00CB0DD7" w:rsidRPr="000A0A5F" w:rsidRDefault="00CB0DD7">
      <w:pPr>
        <w:pStyle w:val="PL"/>
      </w:pPr>
      <w:r w:rsidRPr="000A0A5F">
        <w:t xml:space="preserve">      properties:</w:t>
      </w:r>
    </w:p>
    <w:p w:rsidR="00CB0DD7" w:rsidRPr="000A0A5F" w:rsidRDefault="00CB0DD7">
      <w:pPr>
        <w:pStyle w:val="PL"/>
      </w:pPr>
      <w:r w:rsidRPr="000A0A5F">
        <w:t xml:space="preserve">        self:</w:t>
      </w:r>
    </w:p>
    <w:p w:rsidR="00CB0DD7" w:rsidRPr="000A0A5F" w:rsidRDefault="00CB0DD7">
      <w:pPr>
        <w:pStyle w:val="PL"/>
      </w:pPr>
      <w:r w:rsidRPr="000A0A5F">
        <w:t xml:space="preserve">          $ref: 'TS29122_CommonData.yaml#/components/schemas/Link'</w:t>
      </w:r>
    </w:p>
    <w:p w:rsidR="00CB0DD7" w:rsidRPr="000A0A5F" w:rsidRDefault="00CB0DD7">
      <w:pPr>
        <w:pStyle w:val="PL"/>
      </w:pPr>
      <w:r w:rsidRPr="000A0A5F">
        <w:t xml:space="preserve">        </w:t>
      </w:r>
      <w:r w:rsidRPr="000A0A5F">
        <w:rPr>
          <w:lang w:eastAsia="zh-CN"/>
        </w:rPr>
        <w:t>supportedFeatures</w:t>
      </w:r>
      <w:r w:rsidRPr="000A0A5F">
        <w:t>:</w:t>
      </w:r>
    </w:p>
    <w:p w:rsidR="00CB0DD7" w:rsidRPr="000A0A5F" w:rsidRDefault="00CB0DD7">
      <w:pPr>
        <w:pStyle w:val="PL"/>
      </w:pPr>
      <w:r w:rsidRPr="000A0A5F">
        <w:t xml:space="preserve">          $ref: 'TS29571_CommonData.yaml#/components/schemas/</w:t>
      </w:r>
      <w:r w:rsidRPr="000A0A5F">
        <w:rPr>
          <w:lang w:eastAsia="zh-CN"/>
        </w:rPr>
        <w:t>SupportedFeatures</w:t>
      </w:r>
      <w:r w:rsidRPr="000A0A5F">
        <w:t>'</w:t>
      </w:r>
    </w:p>
    <w:p w:rsidR="00CB0DD7" w:rsidRPr="000A0A5F" w:rsidRDefault="00CB0DD7">
      <w:pPr>
        <w:pStyle w:val="PL"/>
      </w:pPr>
      <w:r w:rsidRPr="000A0A5F">
        <w:t xml:space="preserve">        externalGroupId:</w:t>
      </w:r>
    </w:p>
    <w:p w:rsidR="00CB0DD7" w:rsidRPr="000A0A5F" w:rsidRDefault="00CB0DD7">
      <w:pPr>
        <w:pStyle w:val="PL"/>
      </w:pPr>
      <w:r w:rsidRPr="000A0A5F">
        <w:t xml:space="preserve">          $ref: 'TS29122_CommonData.yaml#/components/schemas/ExternalGroupId'</w:t>
      </w:r>
    </w:p>
    <w:p w:rsidR="00CB0DD7" w:rsidRPr="000A0A5F" w:rsidRDefault="00CB0DD7">
      <w:pPr>
        <w:pStyle w:val="PL"/>
      </w:pPr>
      <w:r w:rsidRPr="000A0A5F">
        <w:t xml:space="preserve">        mbmsLocArea:</w:t>
      </w:r>
    </w:p>
    <w:p w:rsidR="00CB0DD7" w:rsidRPr="000A0A5F" w:rsidRDefault="00CB0DD7">
      <w:pPr>
        <w:pStyle w:val="PL"/>
      </w:pPr>
      <w:r w:rsidRPr="000A0A5F">
        <w:t xml:space="preserve">          $ref: '#/components/schemas/MbmsLocArea'</w:t>
      </w:r>
    </w:p>
    <w:p w:rsidR="00CB0DD7" w:rsidRPr="000A0A5F" w:rsidRDefault="00CB0DD7">
      <w:pPr>
        <w:pStyle w:val="PL"/>
      </w:pPr>
      <w:r w:rsidRPr="000A0A5F">
        <w:t xml:space="preserve">        tmgiExpiration:</w:t>
      </w:r>
    </w:p>
    <w:p w:rsidR="00CB0DD7" w:rsidRPr="000A0A5F" w:rsidRDefault="00CB0DD7">
      <w:pPr>
        <w:pStyle w:val="PL"/>
      </w:pPr>
      <w:r w:rsidRPr="000A0A5F">
        <w:t xml:space="preserve">          $ref: 'TS29122_CommonData.yaml#/components/schemas/DateTimeRo'</w:t>
      </w:r>
    </w:p>
    <w:p w:rsidR="00EF6BB4" w:rsidRPr="000A0A5F" w:rsidRDefault="00EF6BB4" w:rsidP="00EF6BB4">
      <w:pPr>
        <w:pStyle w:val="PL"/>
      </w:pPr>
    </w:p>
    <w:p w:rsidR="00EF6BB4" w:rsidRPr="000A0A5F" w:rsidRDefault="00EF6BB4" w:rsidP="00EF6BB4">
      <w:pPr>
        <w:pStyle w:val="PL"/>
      </w:pPr>
      <w:r w:rsidRPr="000A0A5F">
        <w:t xml:space="preserve">    GMDViaMBMSByMb2:</w:t>
      </w:r>
    </w:p>
    <w:p w:rsidR="00CB0DD7" w:rsidRPr="000A0A5F" w:rsidRDefault="00CB0DD7">
      <w:pPr>
        <w:pStyle w:val="PL"/>
      </w:pPr>
      <w:r w:rsidRPr="000A0A5F">
        <w:t xml:space="preserve">      description: Represents a group message delivery via MBMS by MB2.</w:t>
      </w:r>
    </w:p>
    <w:p w:rsidR="00CB0DD7" w:rsidRPr="000A0A5F" w:rsidRDefault="00CB0DD7">
      <w:pPr>
        <w:pStyle w:val="PL"/>
      </w:pPr>
      <w:r w:rsidRPr="000A0A5F">
        <w:t xml:space="preserve">      type: object</w:t>
      </w:r>
    </w:p>
    <w:p w:rsidR="00CB0DD7" w:rsidRPr="000A0A5F" w:rsidRDefault="00CB0DD7">
      <w:pPr>
        <w:pStyle w:val="PL"/>
      </w:pPr>
      <w:r w:rsidRPr="000A0A5F">
        <w:t xml:space="preserve">      properties:</w:t>
      </w:r>
    </w:p>
    <w:p w:rsidR="00CB0DD7" w:rsidRPr="000A0A5F" w:rsidRDefault="00CB0DD7">
      <w:pPr>
        <w:pStyle w:val="PL"/>
      </w:pPr>
      <w:r w:rsidRPr="000A0A5F">
        <w:t xml:space="preserve">        self:</w:t>
      </w:r>
    </w:p>
    <w:p w:rsidR="00CB0DD7" w:rsidRPr="000A0A5F" w:rsidRDefault="00CB0DD7">
      <w:pPr>
        <w:pStyle w:val="PL"/>
      </w:pPr>
      <w:r w:rsidRPr="000A0A5F">
        <w:t xml:space="preserve">          $ref: 'TS29122_CommonData.yaml#/components/schemas/Link'</w:t>
      </w:r>
    </w:p>
    <w:p w:rsidR="00CB0DD7" w:rsidRPr="000A0A5F" w:rsidRDefault="00CB0DD7">
      <w:pPr>
        <w:pStyle w:val="PL"/>
      </w:pPr>
      <w:r w:rsidRPr="000A0A5F">
        <w:t xml:space="preserve">        notificationDestination:</w:t>
      </w:r>
    </w:p>
    <w:p w:rsidR="00CB0DD7" w:rsidRPr="000A0A5F" w:rsidRDefault="00CB0DD7">
      <w:pPr>
        <w:pStyle w:val="PL"/>
      </w:pPr>
      <w:r w:rsidRPr="000A0A5F">
        <w:t xml:space="preserve">          $ref: 'TS29122_CommonData.yaml#/components/schemas/Link'</w:t>
      </w:r>
    </w:p>
    <w:p w:rsidR="00CB0DD7" w:rsidRPr="000A0A5F" w:rsidRDefault="00CB0DD7">
      <w:pPr>
        <w:pStyle w:val="PL"/>
      </w:pPr>
      <w:r w:rsidRPr="000A0A5F">
        <w:t xml:space="preserve">        requestTestNotification:</w:t>
      </w:r>
    </w:p>
    <w:p w:rsidR="00CB0DD7" w:rsidRPr="000A0A5F" w:rsidRDefault="00CB0DD7">
      <w:pPr>
        <w:pStyle w:val="PL"/>
      </w:pPr>
      <w:r w:rsidRPr="000A0A5F">
        <w:t xml:space="preserve">          type: boolean</w:t>
      </w:r>
    </w:p>
    <w:p w:rsidR="00EF6BB4" w:rsidRPr="000A0A5F" w:rsidRDefault="00EF6BB4" w:rsidP="00EF6BB4">
      <w:pPr>
        <w:pStyle w:val="PL"/>
      </w:pPr>
      <w:r w:rsidRPr="000A0A5F">
        <w:t xml:space="preserve">          description: &gt;</w:t>
      </w:r>
    </w:p>
    <w:p w:rsidR="00EF6BB4" w:rsidRPr="000A0A5F" w:rsidRDefault="00EF6BB4" w:rsidP="00EF6BB4">
      <w:pPr>
        <w:pStyle w:val="PL"/>
      </w:pPr>
      <w:r w:rsidRPr="000A0A5F">
        <w:t xml:space="preserve">            Set to true by the SCS/AS to request the SCEF to send a test notification as</w:t>
      </w:r>
    </w:p>
    <w:p w:rsidR="00EF6BB4" w:rsidRPr="000A0A5F" w:rsidRDefault="00EF6BB4" w:rsidP="00EF6BB4">
      <w:pPr>
        <w:pStyle w:val="PL"/>
      </w:pPr>
      <w:r w:rsidRPr="000A0A5F">
        <w:t xml:space="preserve">            defined in clause 5.2.5.3. Set to false or omitted otherwise.</w:t>
      </w:r>
    </w:p>
    <w:p w:rsidR="00CB0DD7" w:rsidRPr="000A0A5F" w:rsidRDefault="00CB0DD7">
      <w:pPr>
        <w:pStyle w:val="PL"/>
      </w:pPr>
      <w:r w:rsidRPr="000A0A5F">
        <w:t xml:space="preserve">        websockNotifConfig:</w:t>
      </w:r>
    </w:p>
    <w:p w:rsidR="00CB0DD7" w:rsidRPr="000A0A5F" w:rsidRDefault="00CB0DD7">
      <w:pPr>
        <w:pStyle w:val="PL"/>
      </w:pPr>
      <w:r w:rsidRPr="000A0A5F">
        <w:t xml:space="preserve">          $ref: 'TS29122_CommonData.yaml#/components/schemas/WebsockNotifConfig'</w:t>
      </w:r>
    </w:p>
    <w:p w:rsidR="00CB0DD7" w:rsidRPr="000A0A5F" w:rsidRDefault="00CB0DD7">
      <w:pPr>
        <w:pStyle w:val="PL"/>
      </w:pPr>
      <w:r w:rsidRPr="000A0A5F">
        <w:t xml:space="preserve">        externalGroupId:</w:t>
      </w:r>
    </w:p>
    <w:p w:rsidR="00CB0DD7" w:rsidRPr="000A0A5F" w:rsidRDefault="00CB0DD7">
      <w:pPr>
        <w:pStyle w:val="PL"/>
      </w:pPr>
      <w:r w:rsidRPr="000A0A5F">
        <w:t xml:space="preserve">          $ref: 'TS29122_CommonData.yaml#/components/schemas/ExternalGroupId'</w:t>
      </w:r>
    </w:p>
    <w:p w:rsidR="00CB0DD7" w:rsidRPr="000A0A5F" w:rsidRDefault="00CB0DD7">
      <w:pPr>
        <w:pStyle w:val="PL"/>
      </w:pPr>
      <w:r w:rsidRPr="000A0A5F">
        <w:t xml:space="preserve">        mbmsLocArea:</w:t>
      </w:r>
    </w:p>
    <w:p w:rsidR="00CB0DD7" w:rsidRPr="000A0A5F" w:rsidRDefault="00CB0DD7">
      <w:pPr>
        <w:pStyle w:val="PL"/>
      </w:pPr>
      <w:r w:rsidRPr="000A0A5F">
        <w:t xml:space="preserve">          $ref: '#/components/schemas/MbmsLocArea'</w:t>
      </w:r>
    </w:p>
    <w:p w:rsidR="00CB0DD7" w:rsidRPr="000A0A5F" w:rsidRDefault="00CB0DD7">
      <w:pPr>
        <w:pStyle w:val="PL"/>
      </w:pPr>
      <w:r w:rsidRPr="000A0A5F">
        <w:t xml:space="preserve">        messageDeliveryStartTime:</w:t>
      </w:r>
    </w:p>
    <w:p w:rsidR="00CB0DD7" w:rsidRPr="000A0A5F" w:rsidRDefault="00CB0DD7">
      <w:pPr>
        <w:pStyle w:val="PL"/>
      </w:pPr>
      <w:r w:rsidRPr="000A0A5F">
        <w:t xml:space="preserve">          $ref: 'TS29122_CommonData.yaml#/components/schemas/DateTime'</w:t>
      </w:r>
    </w:p>
    <w:p w:rsidR="00CB0DD7" w:rsidRPr="000A0A5F" w:rsidRDefault="00CB0DD7">
      <w:pPr>
        <w:pStyle w:val="PL"/>
      </w:pPr>
      <w:r w:rsidRPr="000A0A5F">
        <w:t xml:space="preserve">        groupMessagePayload:</w:t>
      </w:r>
    </w:p>
    <w:p w:rsidR="00CB0DD7" w:rsidRPr="000A0A5F" w:rsidRDefault="00CB0DD7">
      <w:pPr>
        <w:pStyle w:val="PL"/>
      </w:pPr>
      <w:r w:rsidRPr="000A0A5F">
        <w:t xml:space="preserve">          $ref: 'TS29122_CommonData.yaml#/components/schemas/</w:t>
      </w:r>
      <w:r w:rsidRPr="000A0A5F">
        <w:rPr>
          <w:lang w:eastAsia="zh-CN"/>
        </w:rPr>
        <w:t>Bytes</w:t>
      </w:r>
      <w:r w:rsidRPr="000A0A5F">
        <w:t>'</w:t>
      </w:r>
    </w:p>
    <w:p w:rsidR="00CB0DD7" w:rsidRPr="000A0A5F" w:rsidRDefault="00CB0DD7">
      <w:pPr>
        <w:pStyle w:val="PL"/>
      </w:pPr>
      <w:r w:rsidRPr="000A0A5F">
        <w:t xml:space="preserve">        scefMessageDeliveryIPv4:</w:t>
      </w:r>
    </w:p>
    <w:p w:rsidR="00CB0DD7" w:rsidRPr="000A0A5F" w:rsidRDefault="00CB0DD7">
      <w:pPr>
        <w:pStyle w:val="PL"/>
      </w:pPr>
      <w:r w:rsidRPr="000A0A5F">
        <w:t xml:space="preserve">          $ref: 'TS29122_CommonData.yaml#/components/schemas/Ipv4AddrRo'</w:t>
      </w:r>
    </w:p>
    <w:p w:rsidR="00CB0DD7" w:rsidRPr="000A0A5F" w:rsidRDefault="00CB0DD7">
      <w:pPr>
        <w:pStyle w:val="PL"/>
      </w:pPr>
      <w:r w:rsidRPr="000A0A5F">
        <w:t xml:space="preserve">        scefMessageDeliveryIPv6:</w:t>
      </w:r>
    </w:p>
    <w:p w:rsidR="00CB0DD7" w:rsidRPr="000A0A5F" w:rsidRDefault="00CB0DD7">
      <w:pPr>
        <w:pStyle w:val="PL"/>
      </w:pPr>
      <w:r w:rsidRPr="000A0A5F">
        <w:t xml:space="preserve">          $ref: 'TS29122_CommonData.yaml#/components/schemas/Ipv6AddrRo'</w:t>
      </w:r>
    </w:p>
    <w:p w:rsidR="00CB0DD7" w:rsidRPr="000A0A5F" w:rsidRDefault="00CB0DD7">
      <w:pPr>
        <w:pStyle w:val="PL"/>
      </w:pPr>
      <w:r w:rsidRPr="000A0A5F">
        <w:t xml:space="preserve">        scefMessageDeliveryPort:</w:t>
      </w:r>
    </w:p>
    <w:p w:rsidR="00CB0DD7" w:rsidRPr="000A0A5F" w:rsidRDefault="00CB0DD7">
      <w:pPr>
        <w:pStyle w:val="PL"/>
      </w:pPr>
      <w:r w:rsidRPr="000A0A5F">
        <w:t xml:space="preserve">          $ref: 'TS29122_CommonData.yaml#/components/schemas/PortRo'</w:t>
      </w:r>
    </w:p>
    <w:p w:rsidR="00CB0DD7" w:rsidRPr="000A0A5F" w:rsidRDefault="00CB0DD7">
      <w:pPr>
        <w:pStyle w:val="PL"/>
      </w:pPr>
      <w:r w:rsidRPr="000A0A5F">
        <w:t xml:space="preserve">      required:</w:t>
      </w:r>
    </w:p>
    <w:p w:rsidR="00CB0DD7" w:rsidRPr="000A0A5F" w:rsidRDefault="00CB0DD7">
      <w:pPr>
        <w:pStyle w:val="PL"/>
      </w:pPr>
      <w:r w:rsidRPr="000A0A5F">
        <w:t xml:space="preserve">        - notificationDestination</w:t>
      </w:r>
    </w:p>
    <w:p w:rsidR="00EF6BB4" w:rsidRPr="000A0A5F" w:rsidRDefault="00EF6BB4" w:rsidP="00EF6BB4">
      <w:pPr>
        <w:pStyle w:val="PL"/>
      </w:pPr>
    </w:p>
    <w:p w:rsidR="00EF6BB4" w:rsidRPr="000A0A5F" w:rsidRDefault="00EF6BB4" w:rsidP="00EF6BB4">
      <w:pPr>
        <w:pStyle w:val="PL"/>
      </w:pPr>
      <w:r w:rsidRPr="000A0A5F">
        <w:t xml:space="preserve">    GMDByMb2Notification:</w:t>
      </w:r>
    </w:p>
    <w:p w:rsidR="00CB0DD7" w:rsidRPr="000A0A5F" w:rsidRDefault="00CB0DD7">
      <w:pPr>
        <w:pStyle w:val="PL"/>
      </w:pPr>
      <w:r w:rsidRPr="000A0A5F">
        <w:t xml:space="preserve">      description: Represents a group message delivery notification.</w:t>
      </w:r>
    </w:p>
    <w:p w:rsidR="00CB0DD7" w:rsidRPr="000A0A5F" w:rsidRDefault="00CB0DD7">
      <w:pPr>
        <w:pStyle w:val="PL"/>
      </w:pPr>
      <w:r w:rsidRPr="000A0A5F">
        <w:t xml:space="preserve">      type: object</w:t>
      </w:r>
    </w:p>
    <w:p w:rsidR="00CB0DD7" w:rsidRPr="000A0A5F" w:rsidRDefault="00CB0DD7">
      <w:pPr>
        <w:pStyle w:val="PL"/>
      </w:pPr>
      <w:r w:rsidRPr="000A0A5F">
        <w:t xml:space="preserve">      properties:</w:t>
      </w:r>
    </w:p>
    <w:p w:rsidR="00CB0DD7" w:rsidRPr="000A0A5F" w:rsidRDefault="00CB0DD7">
      <w:pPr>
        <w:pStyle w:val="PL"/>
      </w:pPr>
      <w:r w:rsidRPr="000A0A5F">
        <w:t xml:space="preserve">        transaction:</w:t>
      </w:r>
    </w:p>
    <w:p w:rsidR="00CB0DD7" w:rsidRPr="000A0A5F" w:rsidRDefault="00CB0DD7">
      <w:pPr>
        <w:pStyle w:val="PL"/>
      </w:pPr>
      <w:r w:rsidRPr="000A0A5F">
        <w:t xml:space="preserve">          $ref: 'TS29122_CommonData.yaml#/components/schemas/Link'</w:t>
      </w:r>
    </w:p>
    <w:p w:rsidR="00CB0DD7" w:rsidRPr="000A0A5F" w:rsidRDefault="00CB0DD7">
      <w:pPr>
        <w:pStyle w:val="PL"/>
      </w:pPr>
      <w:r w:rsidRPr="000A0A5F">
        <w:t xml:space="preserve">        deliveryTriggerStatus:</w:t>
      </w:r>
    </w:p>
    <w:p w:rsidR="00CB0DD7" w:rsidRPr="000A0A5F" w:rsidRDefault="00CB0DD7">
      <w:pPr>
        <w:pStyle w:val="PL"/>
      </w:pPr>
      <w:r w:rsidRPr="000A0A5F">
        <w:t xml:space="preserve">          type: boolean</w:t>
      </w:r>
    </w:p>
    <w:p w:rsidR="00EF6BB4" w:rsidRPr="000A0A5F" w:rsidRDefault="00EF6BB4" w:rsidP="00EF6BB4">
      <w:pPr>
        <w:pStyle w:val="PL"/>
      </w:pPr>
      <w:r w:rsidRPr="000A0A5F">
        <w:t xml:space="preserve">          description: &gt;</w:t>
      </w:r>
    </w:p>
    <w:p w:rsidR="00EF6BB4" w:rsidRPr="000A0A5F" w:rsidRDefault="00EF6BB4" w:rsidP="00EF6BB4">
      <w:pPr>
        <w:pStyle w:val="PL"/>
      </w:pPr>
      <w:r w:rsidRPr="000A0A5F">
        <w:t xml:space="preserve">            Indicates whether delivery of group message payload corresponding to the TMGI was</w:t>
      </w:r>
    </w:p>
    <w:p w:rsidR="00EF6BB4" w:rsidRPr="000A0A5F" w:rsidRDefault="00EF6BB4" w:rsidP="00EF6BB4">
      <w:pPr>
        <w:pStyle w:val="PL"/>
      </w:pPr>
      <w:r w:rsidRPr="000A0A5F">
        <w:t xml:space="preserve">            successful (TRUE) or not (FALSE)</w:t>
      </w:r>
    </w:p>
    <w:p w:rsidR="00CB0DD7" w:rsidRPr="000A0A5F" w:rsidRDefault="00CB0DD7">
      <w:pPr>
        <w:pStyle w:val="PL"/>
      </w:pPr>
      <w:r w:rsidRPr="000A0A5F">
        <w:t xml:space="preserve">      required:</w:t>
      </w:r>
    </w:p>
    <w:p w:rsidR="00CB0DD7" w:rsidRPr="000A0A5F" w:rsidRDefault="00CB0DD7">
      <w:pPr>
        <w:pStyle w:val="PL"/>
      </w:pPr>
      <w:r w:rsidRPr="000A0A5F">
        <w:t xml:space="preserve">        - transaction</w:t>
      </w:r>
    </w:p>
    <w:p w:rsidR="00CB0DD7" w:rsidRPr="000A0A5F" w:rsidRDefault="00CB0DD7">
      <w:pPr>
        <w:pStyle w:val="PL"/>
      </w:pPr>
      <w:r w:rsidRPr="000A0A5F">
        <w:t xml:space="preserve">        - deliveryTriggerStatus</w:t>
      </w:r>
    </w:p>
    <w:p w:rsidR="00EF6BB4" w:rsidRPr="000A0A5F" w:rsidRDefault="00EF6BB4" w:rsidP="00EF6BB4">
      <w:pPr>
        <w:pStyle w:val="PL"/>
      </w:pPr>
    </w:p>
    <w:p w:rsidR="00EF6BB4" w:rsidRPr="000A0A5F" w:rsidRDefault="00EF6BB4" w:rsidP="00EF6BB4">
      <w:pPr>
        <w:pStyle w:val="PL"/>
      </w:pPr>
      <w:r w:rsidRPr="000A0A5F">
        <w:t xml:space="preserve">    TMGIAllocationPatch:</w:t>
      </w:r>
    </w:p>
    <w:p w:rsidR="00EF6BB4" w:rsidRPr="000A0A5F" w:rsidRDefault="00EF6BB4" w:rsidP="00EF6BB4">
      <w:pPr>
        <w:pStyle w:val="PL"/>
      </w:pPr>
      <w:r w:rsidRPr="000A0A5F">
        <w:t xml:space="preserve">      description: &gt;</w:t>
      </w:r>
    </w:p>
    <w:p w:rsidR="00EF6BB4" w:rsidRPr="000A0A5F" w:rsidRDefault="00EF6BB4" w:rsidP="00EF6BB4">
      <w:pPr>
        <w:pStyle w:val="PL"/>
      </w:pPr>
      <w:r w:rsidRPr="000A0A5F">
        <w:t xml:space="preserve">        Represents the parameters to request the modification of a TMGI Allocation resource.</w:t>
      </w:r>
    </w:p>
    <w:p w:rsidR="00EF6BB4" w:rsidRPr="000A0A5F" w:rsidRDefault="00EF6BB4" w:rsidP="00EF6BB4">
      <w:pPr>
        <w:pStyle w:val="PL"/>
      </w:pPr>
      <w:r w:rsidRPr="000A0A5F">
        <w:t xml:space="preserve">      type: object</w:t>
      </w:r>
    </w:p>
    <w:p w:rsidR="00EF6BB4" w:rsidRPr="000A0A5F" w:rsidRDefault="00EF6BB4" w:rsidP="00EF6BB4">
      <w:pPr>
        <w:pStyle w:val="PL"/>
      </w:pPr>
      <w:r w:rsidRPr="000A0A5F">
        <w:t xml:space="preserve">      properties:</w:t>
      </w:r>
    </w:p>
    <w:p w:rsidR="00EF6BB4" w:rsidRPr="000A0A5F" w:rsidRDefault="00EF6BB4" w:rsidP="00EF6BB4">
      <w:pPr>
        <w:pStyle w:val="PL"/>
      </w:pPr>
      <w:r w:rsidRPr="000A0A5F">
        <w:t xml:space="preserve">        externalGroupId:</w:t>
      </w:r>
    </w:p>
    <w:p w:rsidR="00EF6BB4" w:rsidRPr="000A0A5F" w:rsidRDefault="00EF6BB4" w:rsidP="00EF6BB4">
      <w:pPr>
        <w:pStyle w:val="PL"/>
      </w:pPr>
      <w:r w:rsidRPr="000A0A5F">
        <w:t xml:space="preserve">          $ref: 'TS29122_CommonData.yaml#/components/schemas/ExternalGroupId'</w:t>
      </w:r>
    </w:p>
    <w:p w:rsidR="00EF6BB4" w:rsidRPr="000A0A5F" w:rsidRDefault="00EF6BB4" w:rsidP="00EF6BB4">
      <w:pPr>
        <w:pStyle w:val="PL"/>
      </w:pPr>
      <w:r w:rsidRPr="000A0A5F">
        <w:t xml:space="preserve">        mbmsLocArea:</w:t>
      </w:r>
    </w:p>
    <w:p w:rsidR="00EF6BB4" w:rsidRPr="000A0A5F" w:rsidRDefault="00EF6BB4" w:rsidP="00EF6BB4">
      <w:pPr>
        <w:pStyle w:val="PL"/>
      </w:pPr>
      <w:r w:rsidRPr="000A0A5F">
        <w:t xml:space="preserve">          $ref: '#/components/schemas/MbmsLocArea'</w:t>
      </w:r>
    </w:p>
    <w:p w:rsidR="00EF6BB4" w:rsidRPr="000A0A5F" w:rsidRDefault="00EF6BB4" w:rsidP="00EF6BB4">
      <w:pPr>
        <w:pStyle w:val="PL"/>
      </w:pPr>
    </w:p>
    <w:p w:rsidR="00EF6BB4" w:rsidRPr="000A0A5F" w:rsidRDefault="00EF6BB4" w:rsidP="00EF6BB4">
      <w:pPr>
        <w:pStyle w:val="PL"/>
      </w:pPr>
      <w:r w:rsidRPr="000A0A5F">
        <w:t xml:space="preserve">    GMDViaMBMSByMb2Patch:</w:t>
      </w:r>
    </w:p>
    <w:p w:rsidR="00CB0DD7" w:rsidRPr="000A0A5F" w:rsidRDefault="00CB0DD7">
      <w:pPr>
        <w:pStyle w:val="PL"/>
      </w:pPr>
      <w:r w:rsidRPr="000A0A5F">
        <w:t xml:space="preserve">      description: Represents a modification request of a group message delivery via MBMS by MB2.</w:t>
      </w:r>
    </w:p>
    <w:p w:rsidR="00CB0DD7" w:rsidRPr="000A0A5F" w:rsidRDefault="00CB0DD7">
      <w:pPr>
        <w:pStyle w:val="PL"/>
      </w:pPr>
      <w:r w:rsidRPr="000A0A5F">
        <w:t xml:space="preserve">      type: object</w:t>
      </w:r>
    </w:p>
    <w:p w:rsidR="00CB0DD7" w:rsidRPr="000A0A5F" w:rsidRDefault="00CB0DD7">
      <w:pPr>
        <w:pStyle w:val="PL"/>
      </w:pPr>
      <w:r w:rsidRPr="000A0A5F">
        <w:t xml:space="preserve">      properties:</w:t>
      </w:r>
    </w:p>
    <w:p w:rsidR="00CB0DD7" w:rsidRPr="000A0A5F" w:rsidRDefault="00CB0DD7">
      <w:pPr>
        <w:pStyle w:val="PL"/>
      </w:pPr>
      <w:r w:rsidRPr="000A0A5F">
        <w:t xml:space="preserve">        externalGroupId:</w:t>
      </w:r>
    </w:p>
    <w:p w:rsidR="00CB0DD7" w:rsidRPr="000A0A5F" w:rsidRDefault="00CB0DD7">
      <w:pPr>
        <w:pStyle w:val="PL"/>
      </w:pPr>
      <w:r w:rsidRPr="000A0A5F">
        <w:t xml:space="preserve">          $ref: 'TS29122_CommonData.yaml#/components/schemas/ExternalGroupId'</w:t>
      </w:r>
    </w:p>
    <w:p w:rsidR="00CB0DD7" w:rsidRPr="000A0A5F" w:rsidRDefault="00CB0DD7">
      <w:pPr>
        <w:pStyle w:val="PL"/>
      </w:pPr>
      <w:r w:rsidRPr="000A0A5F">
        <w:t xml:space="preserve">        mbmsLocArea:</w:t>
      </w:r>
    </w:p>
    <w:p w:rsidR="00CB0DD7" w:rsidRPr="000A0A5F" w:rsidRDefault="00CB0DD7">
      <w:pPr>
        <w:pStyle w:val="PL"/>
      </w:pPr>
      <w:r w:rsidRPr="000A0A5F">
        <w:t xml:space="preserve">          $ref: '#/components/schemas/MbmsLocArea'</w:t>
      </w:r>
    </w:p>
    <w:p w:rsidR="00CB0DD7" w:rsidRPr="000A0A5F" w:rsidRDefault="00CB0DD7">
      <w:pPr>
        <w:pStyle w:val="PL"/>
      </w:pPr>
      <w:r w:rsidRPr="000A0A5F">
        <w:t xml:space="preserve">        messageDeliveryStartTime:</w:t>
      </w:r>
    </w:p>
    <w:p w:rsidR="00CB0DD7" w:rsidRPr="000A0A5F" w:rsidRDefault="00CB0DD7">
      <w:pPr>
        <w:pStyle w:val="PL"/>
      </w:pPr>
      <w:r w:rsidRPr="000A0A5F">
        <w:t xml:space="preserve">          $ref: 'TS29122_CommonData.yaml#/components/schemas/DateTime'</w:t>
      </w:r>
    </w:p>
    <w:p w:rsidR="00CB0DD7" w:rsidRPr="000A0A5F" w:rsidRDefault="00CB0DD7">
      <w:pPr>
        <w:pStyle w:val="PL"/>
      </w:pPr>
      <w:r w:rsidRPr="000A0A5F">
        <w:t xml:space="preserve">        groupMessagePayload:</w:t>
      </w:r>
    </w:p>
    <w:p w:rsidR="00CB0DD7" w:rsidRPr="000A0A5F" w:rsidRDefault="00CB0DD7">
      <w:pPr>
        <w:pStyle w:val="PL"/>
      </w:pPr>
      <w:r w:rsidRPr="000A0A5F">
        <w:t xml:space="preserve">          $ref: 'TS29122_CommonData.yaml#/components/schemas/</w:t>
      </w:r>
      <w:r w:rsidRPr="000A0A5F">
        <w:rPr>
          <w:lang w:eastAsia="zh-CN"/>
        </w:rPr>
        <w:t>Bytes</w:t>
      </w:r>
      <w:r w:rsidRPr="000A0A5F">
        <w:t>'</w:t>
      </w:r>
    </w:p>
    <w:p w:rsidR="003D6C1A" w:rsidRPr="000A0A5F" w:rsidRDefault="003D6C1A" w:rsidP="003D6C1A">
      <w:pPr>
        <w:pStyle w:val="PL"/>
      </w:pPr>
      <w:r w:rsidRPr="000A0A5F">
        <w:t xml:space="preserve">        notificationDestination:</w:t>
      </w:r>
    </w:p>
    <w:p w:rsidR="003D6C1A" w:rsidRPr="000A0A5F" w:rsidRDefault="003D6C1A" w:rsidP="003D6C1A">
      <w:pPr>
        <w:pStyle w:val="PL"/>
      </w:pPr>
      <w:r w:rsidRPr="000A0A5F">
        <w:t xml:space="preserve">          $ref: 'TS29122_CommonData.yaml#/components/schemas/Link'</w:t>
      </w:r>
    </w:p>
    <w:p w:rsidR="00EF6BB4" w:rsidRPr="000A0A5F" w:rsidRDefault="00EF6BB4" w:rsidP="00EF6BB4">
      <w:pPr>
        <w:pStyle w:val="PL"/>
      </w:pPr>
    </w:p>
    <w:p w:rsidR="00EF6BB4" w:rsidRPr="000A0A5F" w:rsidRDefault="00EF6BB4" w:rsidP="00EF6BB4">
      <w:pPr>
        <w:pStyle w:val="PL"/>
      </w:pPr>
      <w:r w:rsidRPr="000A0A5F">
        <w:t xml:space="preserve">    MbmsLocArea:</w:t>
      </w:r>
    </w:p>
    <w:p w:rsidR="00EF6BB4" w:rsidRPr="000A0A5F" w:rsidRDefault="00EF6BB4" w:rsidP="00EF6BB4">
      <w:pPr>
        <w:pStyle w:val="PL"/>
      </w:pPr>
      <w:r w:rsidRPr="000A0A5F">
        <w:t xml:space="preserve">      description: &gt;</w:t>
      </w:r>
    </w:p>
    <w:p w:rsidR="00EF6BB4" w:rsidRPr="000A0A5F" w:rsidRDefault="00EF6BB4" w:rsidP="00EF6BB4">
      <w:pPr>
        <w:pStyle w:val="PL"/>
      </w:pPr>
      <w:r w:rsidRPr="000A0A5F">
        <w:t xml:space="preserve">        Represents a user location area whithin which is sent a group message delivery</w:t>
      </w:r>
    </w:p>
    <w:p w:rsidR="00EF6BB4" w:rsidRPr="000A0A5F" w:rsidRDefault="00EF6BB4" w:rsidP="00EF6BB4">
      <w:pPr>
        <w:pStyle w:val="PL"/>
      </w:pPr>
      <w:r w:rsidRPr="000A0A5F">
        <w:t xml:space="preserve">        via MBMS request.</w:t>
      </w:r>
    </w:p>
    <w:p w:rsidR="00EF6BB4" w:rsidRPr="000A0A5F" w:rsidRDefault="00EF6BB4" w:rsidP="00EF6BB4">
      <w:pPr>
        <w:pStyle w:val="PL"/>
      </w:pPr>
      <w:r w:rsidRPr="000A0A5F">
        <w:t xml:space="preserve">      type: object</w:t>
      </w:r>
    </w:p>
    <w:p w:rsidR="00EF6BB4" w:rsidRPr="000A0A5F" w:rsidRDefault="00EF6BB4" w:rsidP="00EF6BB4">
      <w:pPr>
        <w:pStyle w:val="PL"/>
      </w:pPr>
      <w:r w:rsidRPr="000A0A5F">
        <w:t xml:space="preserve">      properties:</w:t>
      </w:r>
    </w:p>
    <w:p w:rsidR="00EF6BB4" w:rsidRPr="000A0A5F" w:rsidRDefault="00EF6BB4" w:rsidP="00EF6BB4">
      <w:pPr>
        <w:pStyle w:val="PL"/>
      </w:pPr>
      <w:r w:rsidRPr="000A0A5F">
        <w:t xml:space="preserve">        cellId:</w:t>
      </w:r>
    </w:p>
    <w:p w:rsidR="00EF6BB4" w:rsidRPr="000A0A5F" w:rsidRDefault="00EF6BB4" w:rsidP="00EF6BB4">
      <w:pPr>
        <w:pStyle w:val="PL"/>
      </w:pPr>
      <w:r w:rsidRPr="000A0A5F">
        <w:t xml:space="preserve">          type: array</w:t>
      </w:r>
    </w:p>
    <w:p w:rsidR="00EF6BB4" w:rsidRPr="000A0A5F" w:rsidRDefault="00EF6BB4" w:rsidP="00EF6BB4">
      <w:pPr>
        <w:pStyle w:val="PL"/>
      </w:pPr>
      <w:r w:rsidRPr="000A0A5F">
        <w:t xml:space="preserve">          items:</w:t>
      </w:r>
    </w:p>
    <w:p w:rsidR="00EF6BB4" w:rsidRPr="000A0A5F" w:rsidRDefault="00EF6BB4" w:rsidP="00EF6BB4">
      <w:pPr>
        <w:pStyle w:val="PL"/>
      </w:pPr>
      <w:r w:rsidRPr="000A0A5F">
        <w:t xml:space="preserve">            type: string</w:t>
      </w:r>
    </w:p>
    <w:p w:rsidR="00EF6BB4" w:rsidRPr="000A0A5F" w:rsidRDefault="00EF6BB4" w:rsidP="00EF6BB4">
      <w:pPr>
        <w:pStyle w:val="PL"/>
      </w:pPr>
      <w:r w:rsidRPr="000A0A5F">
        <w:t xml:space="preserve">          minItems: 1</w:t>
      </w:r>
    </w:p>
    <w:p w:rsidR="00EF6BB4" w:rsidRPr="000A0A5F" w:rsidRDefault="00EF6BB4" w:rsidP="00EF6BB4">
      <w:pPr>
        <w:pStyle w:val="PL"/>
      </w:pPr>
      <w:r w:rsidRPr="000A0A5F">
        <w:t xml:space="preserve">          description: &gt;</w:t>
      </w:r>
    </w:p>
    <w:p w:rsidR="00EF6BB4" w:rsidRPr="000A0A5F" w:rsidRDefault="00EF6BB4" w:rsidP="00EF6BB4">
      <w:pPr>
        <w:pStyle w:val="PL"/>
      </w:pPr>
      <w:r w:rsidRPr="000A0A5F">
        <w:t xml:space="preserve">            Indicates a Cell Global Identification of the user which identifies the cell the</w:t>
      </w:r>
    </w:p>
    <w:p w:rsidR="00EF6BB4" w:rsidRPr="000A0A5F" w:rsidRDefault="00EF6BB4" w:rsidP="00EF6BB4">
      <w:pPr>
        <w:pStyle w:val="PL"/>
      </w:pPr>
      <w:r w:rsidRPr="000A0A5F">
        <w:t xml:space="preserve">            UE is registered.</w:t>
      </w:r>
    </w:p>
    <w:p w:rsidR="00CB0DD7" w:rsidRPr="000A0A5F" w:rsidRDefault="00CB0DD7">
      <w:pPr>
        <w:pStyle w:val="PL"/>
      </w:pPr>
      <w:r w:rsidRPr="000A0A5F">
        <w:t xml:space="preserve">        enodeBId:</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type: string</w:t>
      </w:r>
    </w:p>
    <w:p w:rsidR="00CB0DD7" w:rsidRPr="000A0A5F" w:rsidRDefault="00CB0DD7">
      <w:pPr>
        <w:pStyle w:val="PL"/>
      </w:pPr>
      <w:r w:rsidRPr="000A0A5F">
        <w:t xml:space="preserve">          minItems: 1</w:t>
      </w:r>
    </w:p>
    <w:p w:rsidR="00CB0DD7" w:rsidRPr="000A0A5F" w:rsidRDefault="00CB0DD7">
      <w:pPr>
        <w:pStyle w:val="PL"/>
      </w:pPr>
      <w:r w:rsidRPr="000A0A5F">
        <w:t xml:space="preserve">          description: Indicates an eNodeB in which the UE is currently located.</w:t>
      </w:r>
    </w:p>
    <w:p w:rsidR="00CB0DD7" w:rsidRPr="000A0A5F" w:rsidRDefault="00CB0DD7">
      <w:pPr>
        <w:pStyle w:val="PL"/>
      </w:pPr>
      <w:r w:rsidRPr="000A0A5F">
        <w:t xml:space="preserve">        geographicArea:</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$ref: 'TS29572_Nlmf_Location.yaml#/components/schemas/GeographicArea'</w:t>
      </w:r>
    </w:p>
    <w:p w:rsidR="00CB0DD7" w:rsidRPr="000A0A5F" w:rsidRDefault="00CB0DD7">
      <w:pPr>
        <w:pStyle w:val="PL"/>
      </w:pPr>
      <w:r w:rsidRPr="000A0A5F">
        <w:t xml:space="preserve">          minItems: 1</w:t>
      </w:r>
    </w:p>
    <w:p w:rsidR="00CB0DD7" w:rsidRPr="000A0A5F" w:rsidRDefault="00CB0DD7">
      <w:pPr>
        <w:pStyle w:val="PL"/>
      </w:pPr>
      <w:r w:rsidRPr="000A0A5F">
        <w:t xml:space="preserve">          description: Identifies a geographic area of the user where the UE is located.</w:t>
      </w:r>
    </w:p>
    <w:p w:rsidR="00CB0DD7" w:rsidRPr="000A0A5F" w:rsidRDefault="00CB0DD7">
      <w:pPr>
        <w:pStyle w:val="PL"/>
      </w:pPr>
      <w:r w:rsidRPr="000A0A5F">
        <w:t xml:space="preserve">        mbmsServiceAreaId:</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type: string</w:t>
      </w:r>
    </w:p>
    <w:p w:rsidR="00CB0DD7" w:rsidRPr="000A0A5F" w:rsidRDefault="00CB0DD7">
      <w:pPr>
        <w:pStyle w:val="PL"/>
      </w:pPr>
      <w:r w:rsidRPr="000A0A5F">
        <w:t xml:space="preserve">          minItems: 1</w:t>
      </w:r>
    </w:p>
    <w:p w:rsidR="00CB0DD7" w:rsidRPr="000A0A5F" w:rsidRDefault="00CB0DD7">
      <w:pPr>
        <w:pStyle w:val="PL"/>
      </w:pPr>
      <w:r w:rsidRPr="000A0A5F">
        <w:t xml:space="preserve">          description: Identifies an MBMS Service Area Identity of the user where the UE is located.</w:t>
      </w:r>
    </w:p>
    <w:p w:rsidR="00CB0DD7" w:rsidRPr="000A0A5F" w:rsidRDefault="00CB0DD7">
      <w:pPr>
        <w:pStyle w:val="PL"/>
      </w:pPr>
      <w:r w:rsidRPr="000A0A5F">
        <w:t xml:space="preserve">        civicAddress:</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$ref: 'TS29572_Nlmf_Location.yaml#/components/schemas/CivicAddress'</w:t>
      </w:r>
    </w:p>
    <w:p w:rsidR="00CB0DD7" w:rsidRPr="000A0A5F" w:rsidRDefault="00CB0DD7">
      <w:pPr>
        <w:pStyle w:val="PL"/>
      </w:pPr>
      <w:r w:rsidRPr="000A0A5F">
        <w:t xml:space="preserve">          minItems: 1</w:t>
      </w:r>
    </w:p>
    <w:p w:rsidR="00CB0DD7" w:rsidRPr="000A0A5F" w:rsidRDefault="00CB0DD7">
      <w:pPr>
        <w:pStyle w:val="PL"/>
      </w:pPr>
      <w:r w:rsidRPr="000A0A5F">
        <w:t xml:space="preserve">          description: Identifies a civic address of the user where the UE is located.</w:t>
      </w:r>
    </w:p>
    <w:p w:rsidR="00CB0DD7" w:rsidRPr="000A0A5F" w:rsidRDefault="00CB0DD7" w:rsidP="00964FC1">
      <w:pPr>
        <w:pStyle w:val="Heading2"/>
      </w:pPr>
      <w:bookmarkStart w:id="10365" w:name="_Toc11247937"/>
      <w:bookmarkStart w:id="10366" w:name="_Toc27045119"/>
      <w:bookmarkStart w:id="10367" w:name="_Toc36034170"/>
      <w:bookmarkStart w:id="10368" w:name="_Toc45132318"/>
      <w:bookmarkStart w:id="10369" w:name="_Toc49776603"/>
      <w:bookmarkStart w:id="10370" w:name="_Toc51747523"/>
      <w:bookmarkStart w:id="10371" w:name="_Toc66361105"/>
      <w:bookmarkStart w:id="10372" w:name="_Toc68105610"/>
      <w:bookmarkStart w:id="10373" w:name="_Toc74756242"/>
      <w:bookmarkStart w:id="10374" w:name="_Toc105675119"/>
      <w:bookmarkStart w:id="10375" w:name="_Toc130503197"/>
      <w:bookmarkStart w:id="10376" w:name="_Toc153625989"/>
      <w:r w:rsidRPr="000A0A5F">
        <w:t>A.8.2</w:t>
      </w:r>
      <w:r w:rsidRPr="000A0A5F">
        <w:tab/>
        <w:t>GMDviaMBMSbyxMB API</w:t>
      </w:r>
      <w:bookmarkEnd w:id="10365"/>
      <w:bookmarkEnd w:id="10366"/>
      <w:bookmarkEnd w:id="10367"/>
      <w:bookmarkEnd w:id="10368"/>
      <w:bookmarkEnd w:id="10369"/>
      <w:bookmarkEnd w:id="10370"/>
      <w:bookmarkEnd w:id="10371"/>
      <w:bookmarkEnd w:id="10372"/>
      <w:bookmarkEnd w:id="10373"/>
      <w:bookmarkEnd w:id="10374"/>
      <w:bookmarkEnd w:id="10375"/>
      <w:bookmarkEnd w:id="10376"/>
    </w:p>
    <w:p w:rsidR="00CB0DD7" w:rsidRPr="000A0A5F" w:rsidRDefault="00CB0DD7">
      <w:pPr>
        <w:pStyle w:val="PL"/>
      </w:pPr>
      <w:r w:rsidRPr="000A0A5F">
        <w:t>openapi: 3.0.0</w:t>
      </w:r>
    </w:p>
    <w:p w:rsidR="00A84408" w:rsidRPr="000A0A5F" w:rsidRDefault="00A84408">
      <w:pPr>
        <w:pStyle w:val="PL"/>
      </w:pPr>
    </w:p>
    <w:p w:rsidR="00CB0DD7" w:rsidRPr="000A0A5F" w:rsidRDefault="00CB0DD7">
      <w:pPr>
        <w:pStyle w:val="PL"/>
      </w:pPr>
      <w:r w:rsidRPr="000A0A5F">
        <w:t>info:</w:t>
      </w:r>
    </w:p>
    <w:p w:rsidR="00CB0DD7" w:rsidRPr="000A0A5F" w:rsidRDefault="00CB0DD7">
      <w:pPr>
        <w:pStyle w:val="PL"/>
      </w:pPr>
      <w:r w:rsidRPr="000A0A5F">
        <w:t xml:space="preserve">  title: GMDviaMBMSbyxMB</w:t>
      </w:r>
    </w:p>
    <w:p w:rsidR="00CB0DD7" w:rsidRPr="000A0A5F" w:rsidRDefault="00CB0DD7">
      <w:pPr>
        <w:pStyle w:val="PL"/>
      </w:pPr>
      <w:r w:rsidRPr="000A0A5F">
        <w:t xml:space="preserve">  description: |</w:t>
      </w:r>
    </w:p>
    <w:p w:rsidR="00CB0DD7" w:rsidRPr="000A0A5F" w:rsidRDefault="00CB0DD7">
      <w:pPr>
        <w:pStyle w:val="PL"/>
      </w:pPr>
      <w:r w:rsidRPr="000A0A5F">
        <w:t xml:space="preserve">    API for Group Message Delivery via MBMS by xMB</w:t>
      </w:r>
      <w:r w:rsidR="005B6DFB" w:rsidRPr="000A0A5F">
        <w:t xml:space="preserve">  </w:t>
      </w:r>
    </w:p>
    <w:p w:rsidR="00CB0DD7" w:rsidRPr="000A0A5F" w:rsidRDefault="00CB0DD7">
      <w:pPr>
        <w:pStyle w:val="PL"/>
      </w:pPr>
      <w:r w:rsidRPr="000A0A5F">
        <w:t xml:space="preserve">    © 202</w:t>
      </w:r>
      <w:r w:rsidR="00B94C78" w:rsidRPr="000A0A5F">
        <w:t>3</w:t>
      </w:r>
      <w:r w:rsidRPr="000A0A5F">
        <w:t>, 3GPP Organizational Partners (ARIB, ATIS, CCSA, ETSI, TSDSI, TTA, TTC).</w:t>
      </w:r>
      <w:r w:rsidR="005B6DFB" w:rsidRPr="000A0A5F">
        <w:t xml:space="preserve">  </w:t>
      </w:r>
    </w:p>
    <w:p w:rsidR="00CB0DD7" w:rsidRPr="000A0A5F" w:rsidRDefault="00CB0DD7">
      <w:pPr>
        <w:pStyle w:val="PL"/>
      </w:pPr>
      <w:r w:rsidRPr="000A0A5F">
        <w:t xml:space="preserve">    All rights reserved.</w:t>
      </w:r>
    </w:p>
    <w:p w:rsidR="00CB0DD7" w:rsidRPr="000A0A5F" w:rsidRDefault="00CB0DD7">
      <w:pPr>
        <w:pStyle w:val="PL"/>
      </w:pPr>
      <w:r w:rsidRPr="000A0A5F">
        <w:t xml:space="preserve">  version: 1.</w:t>
      </w:r>
      <w:r w:rsidR="00B94C78" w:rsidRPr="000A0A5F">
        <w:t>3</w:t>
      </w:r>
      <w:r w:rsidRPr="000A0A5F">
        <w:t>.0</w:t>
      </w:r>
      <w:r w:rsidR="00B94C78" w:rsidRPr="000A0A5F">
        <w:t>-alpha.1</w:t>
      </w:r>
    </w:p>
    <w:p w:rsidR="00A84408" w:rsidRPr="000A0A5F" w:rsidRDefault="00A84408">
      <w:pPr>
        <w:pStyle w:val="PL"/>
      </w:pPr>
    </w:p>
    <w:p w:rsidR="00CB0DD7" w:rsidRPr="000A0A5F" w:rsidRDefault="00CB0DD7">
      <w:pPr>
        <w:pStyle w:val="PL"/>
      </w:pPr>
      <w:r w:rsidRPr="000A0A5F">
        <w:t>externalDocs:</w:t>
      </w:r>
    </w:p>
    <w:p w:rsidR="00CB0DD7" w:rsidRPr="000A0A5F" w:rsidRDefault="00CB0DD7">
      <w:pPr>
        <w:pStyle w:val="PL"/>
      </w:pPr>
      <w:r w:rsidRPr="000A0A5F">
        <w:t xml:space="preserve">  description: 3GPP TS 29.122 V1</w:t>
      </w:r>
      <w:r w:rsidR="00B94C78" w:rsidRPr="000A0A5F">
        <w:t>8</w:t>
      </w:r>
      <w:r w:rsidRPr="000A0A5F">
        <w:t>.</w:t>
      </w:r>
      <w:r w:rsidR="00B94C78" w:rsidRPr="000A0A5F">
        <w:t>1</w:t>
      </w:r>
      <w:r w:rsidRPr="000A0A5F">
        <w:t>.0 T8 reference point for Northbound APIs</w:t>
      </w:r>
    </w:p>
    <w:p w:rsidR="00CB0DD7" w:rsidRPr="000A0A5F" w:rsidRDefault="00CB0DD7">
      <w:pPr>
        <w:pStyle w:val="PL"/>
      </w:pPr>
      <w:r w:rsidRPr="000A0A5F">
        <w:t xml:space="preserve">  url: 'http</w:t>
      </w:r>
      <w:r w:rsidR="005B6DFB" w:rsidRPr="000A0A5F">
        <w:t>s</w:t>
      </w:r>
      <w:r w:rsidRPr="000A0A5F">
        <w:t>://www.3gpp.org/ftp/Specs/archive/29_series/29.122/'</w:t>
      </w:r>
    </w:p>
    <w:p w:rsidR="00A84408" w:rsidRPr="000A0A5F" w:rsidRDefault="00A84408">
      <w:pPr>
        <w:pStyle w:val="PL"/>
      </w:pPr>
    </w:p>
    <w:p w:rsidR="00CB0DD7" w:rsidRPr="000A0A5F" w:rsidRDefault="00CB0DD7">
      <w:pPr>
        <w:pStyle w:val="PL"/>
      </w:pPr>
      <w:r w:rsidRPr="000A0A5F">
        <w:t>security:</w:t>
      </w:r>
    </w:p>
    <w:p w:rsidR="00CB0DD7" w:rsidRPr="000A0A5F" w:rsidRDefault="00CB0DD7">
      <w:pPr>
        <w:pStyle w:val="PL"/>
        <w:rPr>
          <w:lang w:val="en-US"/>
        </w:rPr>
      </w:pPr>
      <w:r w:rsidRPr="000A0A5F">
        <w:rPr>
          <w:lang w:val="en-US"/>
        </w:rPr>
        <w:t xml:space="preserve">  - {}</w:t>
      </w:r>
    </w:p>
    <w:p w:rsidR="00CB0DD7" w:rsidRPr="000A0A5F" w:rsidRDefault="00CB0DD7">
      <w:pPr>
        <w:pStyle w:val="PL"/>
      </w:pPr>
      <w:r w:rsidRPr="000A0A5F">
        <w:t xml:space="preserve">  - oAuth2ClientCredentials: []</w:t>
      </w:r>
    </w:p>
    <w:p w:rsidR="00A84408" w:rsidRPr="000A0A5F" w:rsidRDefault="00A84408">
      <w:pPr>
        <w:pStyle w:val="PL"/>
      </w:pPr>
    </w:p>
    <w:p w:rsidR="00CB0DD7" w:rsidRPr="000A0A5F" w:rsidRDefault="00CB0DD7">
      <w:pPr>
        <w:pStyle w:val="PL"/>
      </w:pPr>
      <w:r w:rsidRPr="000A0A5F">
        <w:t>servers:</w:t>
      </w:r>
    </w:p>
    <w:p w:rsidR="00CB0DD7" w:rsidRPr="000A0A5F" w:rsidRDefault="00CB0DD7">
      <w:pPr>
        <w:pStyle w:val="PL"/>
      </w:pPr>
      <w:r w:rsidRPr="000A0A5F">
        <w:t xml:space="preserve">  - url: '{apiRoot}/3gpp-group-message-delivery-xmb/v1'</w:t>
      </w:r>
    </w:p>
    <w:p w:rsidR="00CB0DD7" w:rsidRPr="000A0A5F" w:rsidRDefault="00CB0DD7">
      <w:pPr>
        <w:pStyle w:val="PL"/>
      </w:pPr>
      <w:r w:rsidRPr="000A0A5F">
        <w:t xml:space="preserve">    variables:</w:t>
      </w:r>
    </w:p>
    <w:p w:rsidR="00CB0DD7" w:rsidRPr="000A0A5F" w:rsidRDefault="00CB0DD7">
      <w:pPr>
        <w:pStyle w:val="PL"/>
      </w:pPr>
      <w:r w:rsidRPr="000A0A5F">
        <w:t xml:space="preserve">      apiRoot:</w:t>
      </w:r>
    </w:p>
    <w:p w:rsidR="00CB0DD7" w:rsidRPr="000A0A5F" w:rsidRDefault="00CB0DD7">
      <w:pPr>
        <w:pStyle w:val="PL"/>
      </w:pPr>
      <w:r w:rsidRPr="000A0A5F">
        <w:t xml:space="preserve">        default: https://example.com</w:t>
      </w:r>
    </w:p>
    <w:p w:rsidR="00CB0DD7" w:rsidRPr="000A0A5F" w:rsidRDefault="00CB0DD7">
      <w:pPr>
        <w:pStyle w:val="PL"/>
      </w:pPr>
      <w:r w:rsidRPr="000A0A5F">
        <w:t xml:space="preserve">        description: apiRoot as defined in clause 5.2.4 of 3GPP TS 29.122.</w:t>
      </w:r>
    </w:p>
    <w:p w:rsidR="00A84408" w:rsidRPr="000A0A5F" w:rsidRDefault="00A84408">
      <w:pPr>
        <w:pStyle w:val="PL"/>
      </w:pPr>
    </w:p>
    <w:p w:rsidR="00CB0DD7" w:rsidRPr="000A0A5F" w:rsidRDefault="00CB0DD7">
      <w:pPr>
        <w:pStyle w:val="PL"/>
      </w:pPr>
      <w:r w:rsidRPr="000A0A5F">
        <w:t>paths:</w:t>
      </w:r>
    </w:p>
    <w:p w:rsidR="00CB0DD7" w:rsidRPr="000A0A5F" w:rsidRDefault="00CB0DD7">
      <w:pPr>
        <w:pStyle w:val="PL"/>
        <w:rPr>
          <w:rFonts w:ascii="SimSun" w:hAnsi="SimSun" w:cs="SimSun" w:hint="eastAsia"/>
          <w:sz w:val="21"/>
          <w:szCs w:val="21"/>
          <w:lang w:eastAsia="zh-CN"/>
        </w:rPr>
      </w:pPr>
      <w:r w:rsidRPr="000A0A5F">
        <w:rPr>
          <w:rFonts w:hint="eastAsia"/>
        </w:rPr>
        <w:t xml:space="preserve">  </w:t>
      </w:r>
      <w:r w:rsidRPr="000A0A5F">
        <w:t>/{scsAsId}/services</w:t>
      </w:r>
      <w:r w:rsidRPr="000A0A5F">
        <w:rPr>
          <w:rFonts w:hint="eastAsia"/>
        </w:rPr>
        <w:t>:</w:t>
      </w:r>
    </w:p>
    <w:p w:rsidR="00CB0DD7" w:rsidRPr="000A0A5F" w:rsidRDefault="00CB0DD7">
      <w:pPr>
        <w:pStyle w:val="PL"/>
        <w:rPr>
          <w:rFonts w:hint="eastAsia"/>
        </w:rPr>
      </w:pPr>
      <w:r w:rsidRPr="000A0A5F">
        <w:rPr>
          <w:rFonts w:hint="eastAsia"/>
        </w:rPr>
        <w:t xml:space="preserve">    </w:t>
      </w:r>
      <w:r w:rsidRPr="000A0A5F">
        <w:t>get</w:t>
      </w:r>
      <w:r w:rsidRPr="000A0A5F">
        <w:rPr>
          <w:rFonts w:hint="eastAsia"/>
        </w:rPr>
        <w:t>:</w:t>
      </w:r>
    </w:p>
    <w:p w:rsidR="00CB0DD7" w:rsidRPr="000A0A5F" w:rsidRDefault="00CB0DD7">
      <w:pPr>
        <w:pStyle w:val="PL"/>
        <w:rPr>
          <w:rFonts w:hint="eastAsia"/>
        </w:rPr>
      </w:pPr>
      <w:r w:rsidRPr="000A0A5F">
        <w:rPr>
          <w:rFonts w:hint="eastAsia"/>
        </w:rPr>
        <w:t xml:space="preserve">      summary: </w:t>
      </w:r>
      <w:r w:rsidR="00105D78" w:rsidRPr="000A0A5F">
        <w:rPr>
          <w:lang w:eastAsia="zh-CN"/>
        </w:rPr>
        <w:t>R</w:t>
      </w:r>
      <w:r w:rsidRPr="000A0A5F">
        <w:rPr>
          <w:lang w:eastAsia="zh-CN"/>
        </w:rPr>
        <w:t>ead all service resources for a given SCS/AS</w:t>
      </w:r>
      <w:r w:rsidR="00105D78" w:rsidRPr="000A0A5F">
        <w:rPr>
          <w:lang w:eastAsia="zh-CN"/>
        </w:rPr>
        <w:t>.</w:t>
      </w:r>
    </w:p>
    <w:p w:rsidR="00105D78" w:rsidRPr="000A0A5F" w:rsidRDefault="00105D78" w:rsidP="00105D78">
      <w:pPr>
        <w:pStyle w:val="PL"/>
      </w:pPr>
      <w:r w:rsidRPr="000A0A5F">
        <w:t xml:space="preserve">      </w:t>
      </w:r>
      <w:r w:rsidRPr="000A0A5F">
        <w:rPr>
          <w:rFonts w:cs="Courier New"/>
          <w:szCs w:val="16"/>
        </w:rPr>
        <w:t>operationId: FetchAll</w:t>
      </w:r>
      <w:r w:rsidRPr="000A0A5F">
        <w:rPr>
          <w:lang w:eastAsia="zh-CN"/>
        </w:rPr>
        <w:t>xMBServices</w:t>
      </w:r>
    </w:p>
    <w:p w:rsidR="00CB0DD7" w:rsidRPr="000A0A5F" w:rsidRDefault="00CB0DD7">
      <w:pPr>
        <w:pStyle w:val="PL"/>
        <w:rPr>
          <w:rFonts w:hint="eastAsia"/>
        </w:rPr>
      </w:pPr>
      <w:r w:rsidRPr="000A0A5F">
        <w:rPr>
          <w:rFonts w:hint="eastAsia"/>
        </w:rPr>
        <w:t xml:space="preserve">      tags:</w:t>
      </w:r>
    </w:p>
    <w:p w:rsidR="00CB0DD7" w:rsidRPr="000A0A5F" w:rsidRDefault="00CB0DD7">
      <w:pPr>
        <w:pStyle w:val="PL"/>
        <w:rPr>
          <w:rFonts w:hint="eastAsia"/>
        </w:rPr>
      </w:pPr>
      <w:r w:rsidRPr="000A0A5F">
        <w:rPr>
          <w:rFonts w:hint="eastAsia"/>
        </w:rPr>
        <w:t xml:space="preserve">        - </w:t>
      </w:r>
      <w:r w:rsidRPr="000A0A5F">
        <w:t>Service Operation</w:t>
      </w:r>
    </w:p>
    <w:p w:rsidR="00CB0DD7" w:rsidRPr="000A0A5F" w:rsidRDefault="00CB0DD7">
      <w:pPr>
        <w:pStyle w:val="PL"/>
        <w:rPr>
          <w:rFonts w:hint="eastAsia"/>
        </w:rPr>
      </w:pPr>
      <w:r w:rsidRPr="000A0A5F">
        <w:rPr>
          <w:rFonts w:hint="eastAsia"/>
        </w:rPr>
        <w:t xml:space="preserve">      parameters:</w:t>
      </w:r>
    </w:p>
    <w:p w:rsidR="00CB0DD7" w:rsidRPr="000A0A5F" w:rsidRDefault="00CB0DD7">
      <w:pPr>
        <w:pStyle w:val="PL"/>
        <w:rPr>
          <w:rFonts w:hint="eastAsia"/>
        </w:rPr>
      </w:pPr>
      <w:r w:rsidRPr="000A0A5F">
        <w:rPr>
          <w:rFonts w:hint="eastAsia"/>
        </w:rPr>
        <w:t xml:space="preserve">        - name: </w:t>
      </w:r>
      <w:r w:rsidRPr="000A0A5F">
        <w:t>scsAsId</w:t>
      </w:r>
    </w:p>
    <w:p w:rsidR="00CB0DD7" w:rsidRPr="000A0A5F" w:rsidRDefault="00CB0DD7">
      <w:pPr>
        <w:pStyle w:val="PL"/>
        <w:rPr>
          <w:rFonts w:hint="eastAsia"/>
        </w:rPr>
      </w:pPr>
      <w:r w:rsidRPr="000A0A5F">
        <w:rPr>
          <w:rFonts w:hint="eastAsia"/>
        </w:rPr>
        <w:t xml:space="preserve">          in: path</w:t>
      </w:r>
    </w:p>
    <w:p w:rsidR="00CB0DD7" w:rsidRPr="000A0A5F" w:rsidRDefault="00CB0DD7">
      <w:pPr>
        <w:pStyle w:val="PL"/>
        <w:rPr>
          <w:rFonts w:hint="eastAsia"/>
        </w:rPr>
      </w:pPr>
      <w:r w:rsidRPr="000A0A5F">
        <w:rPr>
          <w:rFonts w:hint="eastAsia"/>
        </w:rPr>
        <w:t xml:space="preserve">          description: Identifier of </w:t>
      </w:r>
      <w:r w:rsidRPr="000A0A5F">
        <w:t>SCS/AS</w:t>
      </w:r>
    </w:p>
    <w:p w:rsidR="00CB0DD7" w:rsidRPr="000A0A5F" w:rsidRDefault="00CB0DD7">
      <w:pPr>
        <w:pStyle w:val="PL"/>
        <w:rPr>
          <w:rFonts w:hint="eastAsia"/>
        </w:rPr>
      </w:pPr>
      <w:r w:rsidRPr="000A0A5F">
        <w:rPr>
          <w:rFonts w:hint="eastAsia"/>
        </w:rPr>
        <w:t xml:space="preserve">          required: true</w:t>
      </w:r>
    </w:p>
    <w:p w:rsidR="00CB0DD7" w:rsidRPr="000A0A5F" w:rsidRDefault="00CB0DD7">
      <w:pPr>
        <w:pStyle w:val="PL"/>
        <w:rPr>
          <w:rFonts w:hint="eastAsia"/>
        </w:rPr>
      </w:pPr>
      <w:r w:rsidRPr="000A0A5F">
        <w:rPr>
          <w:rFonts w:hint="eastAsia"/>
        </w:rPr>
        <w:t xml:space="preserve">          schema:</w:t>
      </w:r>
    </w:p>
    <w:p w:rsidR="00CB0DD7" w:rsidRPr="000A0A5F" w:rsidRDefault="00CB0DD7">
      <w:pPr>
        <w:pStyle w:val="PL"/>
        <w:rPr>
          <w:rFonts w:hint="eastAsia"/>
        </w:rPr>
      </w:pPr>
      <w:r w:rsidRPr="000A0A5F">
        <w:rPr>
          <w:rFonts w:hint="eastAsia"/>
        </w:rPr>
        <w:t xml:space="preserve">            type: string</w:t>
      </w:r>
    </w:p>
    <w:p w:rsidR="00CB0DD7" w:rsidRPr="000A0A5F" w:rsidRDefault="00CB0DD7">
      <w:pPr>
        <w:pStyle w:val="PL"/>
        <w:rPr>
          <w:rFonts w:hint="eastAsia"/>
        </w:rPr>
      </w:pPr>
      <w:r w:rsidRPr="000A0A5F">
        <w:rPr>
          <w:rFonts w:hint="eastAsia"/>
        </w:rPr>
        <w:t xml:space="preserve">      responses:</w:t>
      </w:r>
    </w:p>
    <w:p w:rsidR="00CB0DD7" w:rsidRPr="000A0A5F" w:rsidRDefault="00CB0DD7">
      <w:pPr>
        <w:pStyle w:val="PL"/>
        <w:rPr>
          <w:rFonts w:hint="eastAsia"/>
        </w:rPr>
      </w:pPr>
      <w:r w:rsidRPr="000A0A5F">
        <w:rPr>
          <w:rFonts w:hint="eastAsia"/>
        </w:rPr>
        <w:t xml:space="preserve">        '200':</w:t>
      </w:r>
    </w:p>
    <w:p w:rsidR="00CB0DD7" w:rsidRPr="000A0A5F" w:rsidRDefault="00CB0DD7">
      <w:pPr>
        <w:pStyle w:val="PL"/>
        <w:rPr>
          <w:rFonts w:hint="eastAsia"/>
        </w:rPr>
      </w:pPr>
      <w:r w:rsidRPr="000A0A5F">
        <w:rPr>
          <w:rFonts w:hint="eastAsia"/>
        </w:rPr>
        <w:t xml:space="preserve">          description: OK (</w:t>
      </w:r>
      <w:r w:rsidRPr="000A0A5F">
        <w:t>successful query of service creation resource</w:t>
      </w:r>
      <w:r w:rsidRPr="000A0A5F">
        <w:rPr>
          <w:rFonts w:hint="eastAsia"/>
        </w:rPr>
        <w:t>)</w:t>
      </w:r>
    </w:p>
    <w:p w:rsidR="00CB0DD7" w:rsidRPr="000A0A5F" w:rsidRDefault="00CB0DD7">
      <w:pPr>
        <w:pStyle w:val="PL"/>
        <w:rPr>
          <w:rFonts w:hint="eastAsia"/>
        </w:rPr>
      </w:pPr>
      <w:r w:rsidRPr="000A0A5F">
        <w:rPr>
          <w:rFonts w:hint="eastAsia"/>
        </w:rPr>
        <w:t xml:space="preserve">          content:</w:t>
      </w:r>
    </w:p>
    <w:p w:rsidR="00CB0DD7" w:rsidRPr="000A0A5F" w:rsidRDefault="00CB0DD7">
      <w:pPr>
        <w:pStyle w:val="PL"/>
        <w:rPr>
          <w:rFonts w:hint="eastAsia"/>
        </w:rPr>
      </w:pPr>
      <w:r w:rsidRPr="000A0A5F">
        <w:rPr>
          <w:rFonts w:hint="eastAsia"/>
        </w:rPr>
        <w:t xml:space="preserve">            application/json:</w:t>
      </w:r>
    </w:p>
    <w:p w:rsidR="00CB0DD7" w:rsidRPr="000A0A5F" w:rsidRDefault="00CB0DD7">
      <w:pPr>
        <w:pStyle w:val="PL"/>
      </w:pPr>
      <w:r w:rsidRPr="000A0A5F">
        <w:rPr>
          <w:rFonts w:hint="eastAsia"/>
        </w:rPr>
        <w:t xml:space="preserve">              schema:</w:t>
      </w:r>
    </w:p>
    <w:p w:rsidR="00CB0DD7" w:rsidRPr="000A0A5F" w:rsidRDefault="00CB0DD7">
      <w:pPr>
        <w:pStyle w:val="PL"/>
      </w:pPr>
      <w:r w:rsidRPr="000A0A5F">
        <w:rPr>
          <w:lang w:val="en-US"/>
        </w:rPr>
        <w:t xml:space="preserve">                </w:t>
      </w:r>
      <w:r w:rsidRPr="000A0A5F">
        <w:t>type: array</w:t>
      </w:r>
    </w:p>
    <w:p w:rsidR="00CB0DD7" w:rsidRPr="000A0A5F" w:rsidRDefault="00CB0DD7">
      <w:pPr>
        <w:pStyle w:val="PL"/>
      </w:pPr>
      <w:r w:rsidRPr="000A0A5F">
        <w:t xml:space="preserve">                items:</w:t>
      </w:r>
    </w:p>
    <w:p w:rsidR="00CB0DD7" w:rsidRPr="000A0A5F" w:rsidRDefault="00CB0DD7">
      <w:pPr>
        <w:pStyle w:val="PL"/>
      </w:pPr>
      <w:r w:rsidRPr="000A0A5F">
        <w:t xml:space="preserve">                  $ref: '#/components/schemas/ServiceCreation'</w:t>
      </w:r>
    </w:p>
    <w:p w:rsidR="00CB0DD7" w:rsidRPr="000A0A5F" w:rsidRDefault="00CB0DD7">
      <w:pPr>
        <w:pStyle w:val="PL"/>
      </w:pPr>
      <w:r w:rsidRPr="000A0A5F">
        <w:t xml:space="preserve">                minItems: 0</w:t>
      </w:r>
    </w:p>
    <w:p w:rsidR="00CB0DD7" w:rsidRPr="000A0A5F" w:rsidRDefault="00CB0DD7">
      <w:pPr>
        <w:pStyle w:val="PL"/>
      </w:pPr>
      <w:r w:rsidRPr="000A0A5F">
        <w:t xml:space="preserve">                description: </w:t>
      </w:r>
      <w:r w:rsidRPr="000A0A5F">
        <w:rPr>
          <w:rFonts w:eastAsia="Batang" w:hint="eastAsia"/>
        </w:rPr>
        <w:t xml:space="preserve">The </w:t>
      </w:r>
      <w:r w:rsidRPr="000A0A5F">
        <w:rPr>
          <w:rFonts w:eastAsia="Batang"/>
        </w:rPr>
        <w:t xml:space="preserve">service resource </w:t>
      </w:r>
      <w:r w:rsidRPr="000A0A5F">
        <w:rPr>
          <w:rFonts w:eastAsia="Batang" w:hint="eastAsia"/>
        </w:rPr>
        <w:t xml:space="preserve">for the SCS/AS in the </w:t>
      </w:r>
      <w:r w:rsidRPr="000A0A5F">
        <w:rPr>
          <w:rFonts w:eastAsia="Batang"/>
        </w:rPr>
        <w:t>request</w:t>
      </w:r>
      <w:r w:rsidRPr="000A0A5F">
        <w:rPr>
          <w:rFonts w:eastAsia="Batang" w:hint="eastAsia"/>
        </w:rPr>
        <w:t xml:space="preserve"> </w:t>
      </w:r>
      <w:r w:rsidRPr="000A0A5F">
        <w:rPr>
          <w:rFonts w:eastAsia="Batang"/>
        </w:rPr>
        <w:t>URI is returned.</w:t>
      </w:r>
    </w:p>
    <w:p w:rsidR="00CB0DD7" w:rsidRPr="000A0A5F" w:rsidRDefault="00CB0DD7">
      <w:pPr>
        <w:pStyle w:val="PL"/>
      </w:pPr>
      <w:r w:rsidRPr="000A0A5F">
        <w:t xml:space="preserve">        '307':</w:t>
      </w:r>
    </w:p>
    <w:p w:rsidR="00CB0DD7" w:rsidRPr="000A0A5F" w:rsidRDefault="00CB0DD7">
      <w:pPr>
        <w:pStyle w:val="PL"/>
      </w:pPr>
      <w:r w:rsidRPr="000A0A5F">
        <w:t xml:space="preserve">          $ref: 'TS29122_CommonData.yaml#/components/responses/307'</w:t>
      </w:r>
    </w:p>
    <w:p w:rsidR="00CB0DD7" w:rsidRPr="000A0A5F" w:rsidRDefault="00CB0DD7">
      <w:pPr>
        <w:pStyle w:val="PL"/>
      </w:pPr>
      <w:r w:rsidRPr="000A0A5F">
        <w:t xml:space="preserve">        '308':</w:t>
      </w:r>
    </w:p>
    <w:p w:rsidR="00CB0DD7" w:rsidRPr="000A0A5F" w:rsidRDefault="00CB0DD7">
      <w:pPr>
        <w:pStyle w:val="PL"/>
      </w:pPr>
      <w:r w:rsidRPr="000A0A5F">
        <w:t xml:space="preserve">          $ref: 'TS29122_CommonData.yaml#/components/responses/308'</w:t>
      </w:r>
    </w:p>
    <w:p w:rsidR="00CB0DD7" w:rsidRPr="000A0A5F" w:rsidRDefault="00CB0DD7">
      <w:pPr>
        <w:pStyle w:val="PL"/>
      </w:pPr>
      <w:r w:rsidRPr="000A0A5F">
        <w:t xml:space="preserve">        '400':</w:t>
      </w:r>
    </w:p>
    <w:p w:rsidR="00CB0DD7" w:rsidRPr="000A0A5F" w:rsidRDefault="00CB0DD7">
      <w:pPr>
        <w:pStyle w:val="PL"/>
      </w:pPr>
      <w:r w:rsidRPr="000A0A5F">
        <w:t xml:space="preserve">          $ref: 'TS29122_CommonData.yaml#/components/responses/400'</w:t>
      </w:r>
    </w:p>
    <w:p w:rsidR="00CB0DD7" w:rsidRPr="000A0A5F" w:rsidRDefault="00CB0DD7">
      <w:pPr>
        <w:pStyle w:val="PL"/>
      </w:pPr>
      <w:r w:rsidRPr="000A0A5F">
        <w:t xml:space="preserve">        '401':</w:t>
      </w:r>
    </w:p>
    <w:p w:rsidR="00CB0DD7" w:rsidRPr="000A0A5F" w:rsidRDefault="00CB0DD7">
      <w:pPr>
        <w:pStyle w:val="PL"/>
      </w:pPr>
      <w:r w:rsidRPr="000A0A5F">
        <w:t xml:space="preserve">          $ref: 'TS29122_CommonData.yaml#/components/responses/401'</w:t>
      </w:r>
    </w:p>
    <w:p w:rsidR="00CB0DD7" w:rsidRPr="000A0A5F" w:rsidRDefault="00CB0DD7">
      <w:pPr>
        <w:pStyle w:val="PL"/>
      </w:pPr>
      <w:r w:rsidRPr="000A0A5F">
        <w:t xml:space="preserve">        '403':</w:t>
      </w:r>
    </w:p>
    <w:p w:rsidR="00CB0DD7" w:rsidRPr="000A0A5F" w:rsidRDefault="00CB0DD7">
      <w:pPr>
        <w:pStyle w:val="PL"/>
      </w:pPr>
      <w:r w:rsidRPr="000A0A5F">
        <w:t xml:space="preserve">          $ref: 'TS29122_CommonData.yaml#/components/responses/403'</w:t>
      </w:r>
    </w:p>
    <w:p w:rsidR="00CB0DD7" w:rsidRPr="000A0A5F" w:rsidRDefault="00CB0DD7">
      <w:pPr>
        <w:pStyle w:val="PL"/>
      </w:pPr>
      <w:r w:rsidRPr="000A0A5F">
        <w:t xml:space="preserve">        '404':</w:t>
      </w:r>
    </w:p>
    <w:p w:rsidR="00CB0DD7" w:rsidRPr="000A0A5F" w:rsidRDefault="00CB0DD7">
      <w:pPr>
        <w:pStyle w:val="PL"/>
      </w:pPr>
      <w:r w:rsidRPr="000A0A5F">
        <w:t xml:space="preserve">          $ref: 'TS29122_CommonData.yaml#/components/responses/404'</w:t>
      </w:r>
    </w:p>
    <w:p w:rsidR="00CB0DD7" w:rsidRPr="000A0A5F" w:rsidRDefault="00CB0DD7">
      <w:pPr>
        <w:pStyle w:val="PL"/>
      </w:pPr>
      <w:r w:rsidRPr="000A0A5F">
        <w:t xml:space="preserve">        '406':</w:t>
      </w:r>
    </w:p>
    <w:p w:rsidR="00CB0DD7" w:rsidRPr="000A0A5F" w:rsidRDefault="00CB0DD7">
      <w:pPr>
        <w:pStyle w:val="PL"/>
      </w:pPr>
      <w:r w:rsidRPr="000A0A5F">
        <w:t xml:space="preserve">          $ref: 'TS29122_CommonData.yaml#/components/responses/406'</w:t>
      </w:r>
    </w:p>
    <w:p w:rsidR="00CB0DD7" w:rsidRPr="000A0A5F" w:rsidRDefault="00CB0DD7">
      <w:pPr>
        <w:pStyle w:val="PL"/>
      </w:pPr>
      <w:r w:rsidRPr="000A0A5F">
        <w:t xml:space="preserve">        '429':</w:t>
      </w:r>
    </w:p>
    <w:p w:rsidR="00CB0DD7" w:rsidRPr="000A0A5F" w:rsidRDefault="00CB0DD7">
      <w:pPr>
        <w:pStyle w:val="PL"/>
      </w:pPr>
      <w:r w:rsidRPr="000A0A5F">
        <w:t xml:space="preserve">          $ref: 'TS29122_CommonData.yaml#/components/responses/429'</w:t>
      </w:r>
    </w:p>
    <w:p w:rsidR="00CB0DD7" w:rsidRPr="000A0A5F" w:rsidRDefault="00CB0DD7">
      <w:pPr>
        <w:pStyle w:val="PL"/>
      </w:pPr>
      <w:r w:rsidRPr="000A0A5F">
        <w:t xml:space="preserve">        '500':</w:t>
      </w:r>
    </w:p>
    <w:p w:rsidR="00CB0DD7" w:rsidRPr="000A0A5F" w:rsidRDefault="00CB0DD7">
      <w:pPr>
        <w:pStyle w:val="PL"/>
      </w:pPr>
      <w:r w:rsidRPr="000A0A5F">
        <w:t xml:space="preserve">          $ref: 'TS29122_CommonData.yaml#/components/responses/500'</w:t>
      </w:r>
    </w:p>
    <w:p w:rsidR="00CB0DD7" w:rsidRPr="000A0A5F" w:rsidRDefault="00CB0DD7">
      <w:pPr>
        <w:pStyle w:val="PL"/>
      </w:pPr>
      <w:r w:rsidRPr="000A0A5F">
        <w:t xml:space="preserve">        '503':</w:t>
      </w:r>
    </w:p>
    <w:p w:rsidR="00CB0DD7" w:rsidRPr="000A0A5F" w:rsidRDefault="00CB0DD7">
      <w:pPr>
        <w:pStyle w:val="PL"/>
      </w:pPr>
      <w:r w:rsidRPr="000A0A5F">
        <w:t xml:space="preserve">          $ref: 'TS29122_CommonData.yaml#/components/responses/503'</w:t>
      </w:r>
    </w:p>
    <w:p w:rsidR="00CB0DD7" w:rsidRPr="000A0A5F" w:rsidRDefault="00CB0DD7">
      <w:pPr>
        <w:pStyle w:val="PL"/>
      </w:pPr>
      <w:r w:rsidRPr="000A0A5F">
        <w:t xml:space="preserve">        default:</w:t>
      </w:r>
    </w:p>
    <w:p w:rsidR="00CB0DD7" w:rsidRPr="000A0A5F" w:rsidRDefault="00CB0DD7">
      <w:pPr>
        <w:pStyle w:val="PL"/>
        <w:rPr>
          <w:rFonts w:hint="eastAsia"/>
        </w:rPr>
      </w:pPr>
      <w:r w:rsidRPr="000A0A5F">
        <w:t xml:space="preserve">          $ref: 'TS29122_CommonData.yaml#/components/responses/default'</w:t>
      </w:r>
    </w:p>
    <w:p w:rsidR="00CB0DD7" w:rsidRPr="000A0A5F" w:rsidRDefault="00CB0DD7">
      <w:pPr>
        <w:pStyle w:val="PL"/>
        <w:rPr>
          <w:rFonts w:hint="eastAsia"/>
        </w:rPr>
      </w:pPr>
    </w:p>
    <w:p w:rsidR="00CB0DD7" w:rsidRPr="000A0A5F" w:rsidRDefault="00CB0DD7">
      <w:pPr>
        <w:pStyle w:val="PL"/>
        <w:tabs>
          <w:tab w:val="clear" w:pos="384"/>
        </w:tabs>
        <w:rPr>
          <w:lang w:val="en-US"/>
        </w:rPr>
      </w:pPr>
      <w:r w:rsidRPr="000A0A5F">
        <w:rPr>
          <w:rFonts w:hint="eastAsia"/>
        </w:rPr>
        <w:t xml:space="preserve">    </w:t>
      </w:r>
      <w:r w:rsidRPr="000A0A5F">
        <w:rPr>
          <w:lang w:val="en-US"/>
        </w:rPr>
        <w:t>post:</w:t>
      </w:r>
    </w:p>
    <w:p w:rsidR="00CB0DD7" w:rsidRPr="000A0A5F" w:rsidRDefault="00CB0DD7">
      <w:pPr>
        <w:pStyle w:val="PL"/>
      </w:pPr>
      <w:r w:rsidRPr="000A0A5F">
        <w:rPr>
          <w:lang w:val="en-US"/>
        </w:rPr>
        <w:t xml:space="preserve">      summary: </w:t>
      </w:r>
      <w:r w:rsidR="00105D78" w:rsidRPr="000A0A5F">
        <w:rPr>
          <w:lang w:eastAsia="zh-CN"/>
        </w:rPr>
        <w:t>C</w:t>
      </w:r>
      <w:r w:rsidRPr="000A0A5F">
        <w:rPr>
          <w:lang w:eastAsia="zh-CN"/>
        </w:rPr>
        <w:t>reates a new service creation resource for a given SCS/AS</w:t>
      </w:r>
      <w:r w:rsidR="00105D78" w:rsidRPr="000A0A5F">
        <w:rPr>
          <w:lang w:eastAsia="zh-CN"/>
        </w:rPr>
        <w:t>.</w:t>
      </w:r>
    </w:p>
    <w:p w:rsidR="00105D78" w:rsidRPr="000A0A5F" w:rsidRDefault="00105D78" w:rsidP="00105D78">
      <w:pPr>
        <w:pStyle w:val="PL"/>
      </w:pPr>
      <w:r w:rsidRPr="000A0A5F">
        <w:t xml:space="preserve">      </w:t>
      </w:r>
      <w:r w:rsidRPr="000A0A5F">
        <w:rPr>
          <w:rFonts w:cs="Courier New"/>
          <w:szCs w:val="16"/>
        </w:rPr>
        <w:t>operationId: Create</w:t>
      </w:r>
      <w:r w:rsidRPr="000A0A5F">
        <w:rPr>
          <w:lang w:eastAsia="zh-CN"/>
        </w:rPr>
        <w:t>xMBService</w:t>
      </w:r>
    </w:p>
    <w:p w:rsidR="00CB0DD7" w:rsidRPr="000A0A5F" w:rsidRDefault="00CB0DD7">
      <w:pPr>
        <w:pStyle w:val="PL"/>
        <w:rPr>
          <w:lang w:val="en-US"/>
        </w:rPr>
      </w:pPr>
      <w:r w:rsidRPr="000A0A5F">
        <w:rPr>
          <w:lang w:val="en-US"/>
        </w:rPr>
        <w:t xml:space="preserve">      tags:</w:t>
      </w:r>
    </w:p>
    <w:p w:rsidR="00CB0DD7" w:rsidRPr="000A0A5F" w:rsidRDefault="00CB0DD7">
      <w:pPr>
        <w:pStyle w:val="PL"/>
        <w:rPr>
          <w:lang w:val="en-US"/>
        </w:rPr>
      </w:pPr>
      <w:r w:rsidRPr="000A0A5F">
        <w:rPr>
          <w:lang w:val="en-US"/>
        </w:rPr>
        <w:t xml:space="preserve">        - Service Operation</w:t>
      </w:r>
    </w:p>
    <w:p w:rsidR="00CB0DD7" w:rsidRPr="000A0A5F" w:rsidRDefault="00CB0DD7">
      <w:pPr>
        <w:pStyle w:val="PL"/>
        <w:rPr>
          <w:rFonts w:hint="eastAsia"/>
        </w:rPr>
      </w:pPr>
      <w:r w:rsidRPr="000A0A5F">
        <w:rPr>
          <w:rFonts w:hint="eastAsia"/>
        </w:rPr>
        <w:t xml:space="preserve">      parameters:</w:t>
      </w:r>
    </w:p>
    <w:p w:rsidR="00CB0DD7" w:rsidRPr="000A0A5F" w:rsidRDefault="00CB0DD7">
      <w:pPr>
        <w:pStyle w:val="PL"/>
        <w:rPr>
          <w:rFonts w:hint="eastAsia"/>
        </w:rPr>
      </w:pPr>
      <w:r w:rsidRPr="000A0A5F">
        <w:rPr>
          <w:rFonts w:hint="eastAsia"/>
        </w:rPr>
        <w:t xml:space="preserve">        - name: </w:t>
      </w:r>
      <w:r w:rsidRPr="000A0A5F">
        <w:t>scsAsId</w:t>
      </w:r>
    </w:p>
    <w:p w:rsidR="00CB0DD7" w:rsidRPr="000A0A5F" w:rsidRDefault="00CB0DD7">
      <w:pPr>
        <w:pStyle w:val="PL"/>
        <w:rPr>
          <w:rFonts w:hint="eastAsia"/>
        </w:rPr>
      </w:pPr>
      <w:r w:rsidRPr="000A0A5F">
        <w:rPr>
          <w:rFonts w:hint="eastAsia"/>
        </w:rPr>
        <w:t xml:space="preserve">          in: path</w:t>
      </w:r>
    </w:p>
    <w:p w:rsidR="00CB0DD7" w:rsidRPr="000A0A5F" w:rsidRDefault="00CB0DD7">
      <w:pPr>
        <w:pStyle w:val="PL"/>
        <w:rPr>
          <w:rFonts w:hint="eastAsia"/>
        </w:rPr>
      </w:pPr>
      <w:r w:rsidRPr="000A0A5F">
        <w:rPr>
          <w:rFonts w:hint="eastAsia"/>
        </w:rPr>
        <w:t xml:space="preserve">          description: Identifier of </w:t>
      </w:r>
      <w:r w:rsidRPr="000A0A5F">
        <w:t>SCS/AS</w:t>
      </w:r>
    </w:p>
    <w:p w:rsidR="00CB0DD7" w:rsidRPr="000A0A5F" w:rsidRDefault="00CB0DD7">
      <w:pPr>
        <w:pStyle w:val="PL"/>
        <w:rPr>
          <w:rFonts w:hint="eastAsia"/>
        </w:rPr>
      </w:pPr>
      <w:r w:rsidRPr="000A0A5F">
        <w:rPr>
          <w:rFonts w:hint="eastAsia"/>
        </w:rPr>
        <w:t xml:space="preserve">          required: true</w:t>
      </w:r>
    </w:p>
    <w:p w:rsidR="00CB0DD7" w:rsidRPr="000A0A5F" w:rsidRDefault="00CB0DD7">
      <w:pPr>
        <w:pStyle w:val="PL"/>
        <w:rPr>
          <w:rFonts w:hint="eastAsia"/>
        </w:rPr>
      </w:pPr>
      <w:r w:rsidRPr="000A0A5F">
        <w:rPr>
          <w:rFonts w:hint="eastAsia"/>
        </w:rPr>
        <w:t xml:space="preserve">          schema:</w:t>
      </w:r>
    </w:p>
    <w:p w:rsidR="00CB0DD7" w:rsidRPr="000A0A5F" w:rsidRDefault="00CB0DD7">
      <w:pPr>
        <w:pStyle w:val="PL"/>
      </w:pPr>
      <w:r w:rsidRPr="000A0A5F">
        <w:rPr>
          <w:rFonts w:hint="eastAsia"/>
        </w:rPr>
        <w:t xml:space="preserve">            type: string</w:t>
      </w:r>
    </w:p>
    <w:p w:rsidR="00CB0DD7" w:rsidRPr="000A0A5F" w:rsidRDefault="00CB0DD7">
      <w:pPr>
        <w:pStyle w:val="PL"/>
        <w:rPr>
          <w:lang w:val="en-US"/>
        </w:rPr>
      </w:pPr>
      <w:r w:rsidRPr="000A0A5F">
        <w:rPr>
          <w:lang w:val="en-US"/>
        </w:rPr>
        <w:t xml:space="preserve">      requestBody:</w:t>
      </w:r>
    </w:p>
    <w:p w:rsidR="00CB0DD7" w:rsidRPr="000A0A5F" w:rsidRDefault="00CB0DD7">
      <w:pPr>
        <w:pStyle w:val="PL"/>
        <w:rPr>
          <w:lang w:val="en-US"/>
        </w:rPr>
      </w:pPr>
      <w:r w:rsidRPr="000A0A5F">
        <w:rPr>
          <w:lang w:val="en-US"/>
        </w:rPr>
        <w:t xml:space="preserve">        description: representation of the service to be created in the SCEF</w:t>
      </w:r>
    </w:p>
    <w:p w:rsidR="00CB0DD7" w:rsidRPr="000A0A5F" w:rsidRDefault="00CB0DD7">
      <w:pPr>
        <w:pStyle w:val="PL"/>
        <w:rPr>
          <w:lang w:val="en-US"/>
        </w:rPr>
      </w:pPr>
      <w:r w:rsidRPr="000A0A5F">
        <w:rPr>
          <w:lang w:val="en-US"/>
        </w:rPr>
        <w:t xml:space="preserve">        required: true</w:t>
      </w:r>
    </w:p>
    <w:p w:rsidR="00CB0DD7" w:rsidRPr="000A0A5F" w:rsidRDefault="00CB0DD7">
      <w:pPr>
        <w:pStyle w:val="PL"/>
        <w:rPr>
          <w:lang w:val="en-US"/>
        </w:rPr>
      </w:pPr>
      <w:r w:rsidRPr="000A0A5F">
        <w:rPr>
          <w:lang w:val="en-US"/>
        </w:rPr>
        <w:t xml:space="preserve">        content:</w:t>
      </w:r>
    </w:p>
    <w:p w:rsidR="00CB0DD7" w:rsidRPr="000A0A5F" w:rsidRDefault="00CB0DD7">
      <w:pPr>
        <w:pStyle w:val="PL"/>
        <w:rPr>
          <w:lang w:val="en-US"/>
        </w:rPr>
      </w:pPr>
      <w:r w:rsidRPr="000A0A5F">
        <w:rPr>
          <w:lang w:val="en-US"/>
        </w:rPr>
        <w:t xml:space="preserve">          application/json:</w:t>
      </w:r>
    </w:p>
    <w:p w:rsidR="00CB0DD7" w:rsidRPr="000A0A5F" w:rsidRDefault="00CB0DD7">
      <w:pPr>
        <w:pStyle w:val="PL"/>
        <w:rPr>
          <w:lang w:val="en-US"/>
        </w:rPr>
      </w:pPr>
      <w:r w:rsidRPr="000A0A5F">
        <w:rPr>
          <w:lang w:val="en-US"/>
        </w:rPr>
        <w:t xml:space="preserve">            schema:</w:t>
      </w:r>
    </w:p>
    <w:p w:rsidR="00CB0DD7" w:rsidRPr="000A0A5F" w:rsidRDefault="00CB0DD7">
      <w:pPr>
        <w:pStyle w:val="PL"/>
        <w:rPr>
          <w:lang w:val="en-US"/>
        </w:rPr>
      </w:pPr>
      <w:r w:rsidRPr="000A0A5F">
        <w:rPr>
          <w:lang w:val="en-US"/>
        </w:rPr>
        <w:t xml:space="preserve">              $ref: '#/components/schemas/ServiceCreation'</w:t>
      </w:r>
    </w:p>
    <w:p w:rsidR="00CB0DD7" w:rsidRPr="000A0A5F" w:rsidRDefault="00CB0DD7">
      <w:pPr>
        <w:pStyle w:val="PL"/>
        <w:rPr>
          <w:lang w:val="en-US"/>
        </w:rPr>
      </w:pPr>
      <w:r w:rsidRPr="000A0A5F">
        <w:rPr>
          <w:lang w:val="en-US"/>
        </w:rPr>
        <w:t xml:space="preserve">      responses:</w:t>
      </w:r>
    </w:p>
    <w:p w:rsidR="00CB0DD7" w:rsidRPr="000A0A5F" w:rsidRDefault="00CB0DD7">
      <w:pPr>
        <w:pStyle w:val="PL"/>
        <w:rPr>
          <w:lang w:val="en-US"/>
        </w:rPr>
      </w:pPr>
      <w:r w:rsidRPr="000A0A5F">
        <w:rPr>
          <w:lang w:val="en-US"/>
        </w:rPr>
        <w:t xml:space="preserve">        '201':</w:t>
      </w:r>
    </w:p>
    <w:p w:rsidR="00CB0DD7" w:rsidRPr="000A0A5F" w:rsidRDefault="00CB0DD7">
      <w:pPr>
        <w:pStyle w:val="PL"/>
        <w:rPr>
          <w:lang w:val="en-US"/>
        </w:rPr>
      </w:pPr>
      <w:r w:rsidRPr="000A0A5F">
        <w:rPr>
          <w:lang w:val="en-US"/>
        </w:rPr>
        <w:t xml:space="preserve">          description: successful creation of a service</w:t>
      </w:r>
    </w:p>
    <w:p w:rsidR="00CB0DD7" w:rsidRPr="000A0A5F" w:rsidRDefault="00CB0DD7">
      <w:pPr>
        <w:pStyle w:val="PL"/>
        <w:rPr>
          <w:lang w:val="en-US"/>
        </w:rPr>
      </w:pPr>
      <w:r w:rsidRPr="000A0A5F">
        <w:rPr>
          <w:lang w:val="en-US"/>
        </w:rPr>
        <w:t xml:space="preserve">          content:</w:t>
      </w:r>
    </w:p>
    <w:p w:rsidR="00CB0DD7" w:rsidRPr="000A0A5F" w:rsidRDefault="00CB0DD7">
      <w:pPr>
        <w:pStyle w:val="PL"/>
        <w:rPr>
          <w:lang w:val="en-US"/>
        </w:rPr>
      </w:pPr>
      <w:r w:rsidRPr="000A0A5F">
        <w:rPr>
          <w:lang w:val="en-US"/>
        </w:rPr>
        <w:t xml:space="preserve">            application/json:</w:t>
      </w:r>
    </w:p>
    <w:p w:rsidR="00CB0DD7" w:rsidRPr="000A0A5F" w:rsidRDefault="00CB0DD7">
      <w:pPr>
        <w:pStyle w:val="PL"/>
        <w:rPr>
          <w:lang w:val="en-US"/>
        </w:rPr>
      </w:pPr>
      <w:r w:rsidRPr="000A0A5F">
        <w:rPr>
          <w:lang w:val="en-US"/>
        </w:rPr>
        <w:t xml:space="preserve">              schema:</w:t>
      </w:r>
    </w:p>
    <w:p w:rsidR="00CB0DD7" w:rsidRPr="000A0A5F" w:rsidRDefault="00CB0DD7">
      <w:pPr>
        <w:pStyle w:val="PL"/>
        <w:rPr>
          <w:lang w:val="en-US"/>
        </w:rPr>
      </w:pPr>
      <w:r w:rsidRPr="000A0A5F">
        <w:rPr>
          <w:lang w:val="en-US"/>
        </w:rPr>
        <w:t xml:space="preserve">                $ref: '#/components/schemas/ServiceCreation'</w:t>
      </w:r>
    </w:p>
    <w:p w:rsidR="00CB0DD7" w:rsidRPr="000A0A5F" w:rsidRDefault="00CB0DD7">
      <w:pPr>
        <w:pStyle w:val="PL"/>
      </w:pPr>
      <w:r w:rsidRPr="000A0A5F">
        <w:t xml:space="preserve">          headers:</w:t>
      </w:r>
    </w:p>
    <w:p w:rsidR="00CB0DD7" w:rsidRPr="000A0A5F" w:rsidRDefault="00CB0DD7">
      <w:pPr>
        <w:pStyle w:val="PL"/>
      </w:pPr>
      <w:r w:rsidRPr="000A0A5F">
        <w:t xml:space="preserve">            Location:</w:t>
      </w:r>
    </w:p>
    <w:p w:rsidR="00CB0DD7" w:rsidRPr="000A0A5F" w:rsidRDefault="00CB0DD7">
      <w:pPr>
        <w:pStyle w:val="PL"/>
      </w:pPr>
      <w:r w:rsidRPr="000A0A5F">
        <w:t xml:space="preserve">              description: 'Contains the URI of the newly created resource'</w:t>
      </w:r>
    </w:p>
    <w:p w:rsidR="00CB0DD7" w:rsidRPr="000A0A5F" w:rsidRDefault="00CB0DD7">
      <w:pPr>
        <w:pStyle w:val="PL"/>
      </w:pPr>
      <w:r w:rsidRPr="000A0A5F">
        <w:t xml:space="preserve">              required: true</w:t>
      </w:r>
    </w:p>
    <w:p w:rsidR="00CB0DD7" w:rsidRPr="000A0A5F" w:rsidRDefault="00CB0DD7">
      <w:pPr>
        <w:pStyle w:val="PL"/>
      </w:pPr>
      <w:r w:rsidRPr="000A0A5F">
        <w:t xml:space="preserve">              schema:</w:t>
      </w:r>
    </w:p>
    <w:p w:rsidR="00CB0DD7" w:rsidRPr="000A0A5F" w:rsidRDefault="00CB0DD7">
      <w:pPr>
        <w:pStyle w:val="PL"/>
      </w:pPr>
      <w:r w:rsidRPr="000A0A5F">
        <w:t xml:space="preserve">                type: string</w:t>
      </w:r>
    </w:p>
    <w:p w:rsidR="00CB0DD7" w:rsidRPr="000A0A5F" w:rsidRDefault="00CB0DD7">
      <w:pPr>
        <w:pStyle w:val="PL"/>
      </w:pPr>
      <w:r w:rsidRPr="000A0A5F">
        <w:t xml:space="preserve">        '400':</w:t>
      </w:r>
    </w:p>
    <w:p w:rsidR="00CB0DD7" w:rsidRPr="000A0A5F" w:rsidRDefault="00CB0DD7">
      <w:pPr>
        <w:pStyle w:val="PL"/>
      </w:pPr>
      <w:r w:rsidRPr="000A0A5F">
        <w:t xml:space="preserve">          $ref: 'TS29122_CommonData.yaml#/components/responses/400'</w:t>
      </w:r>
    </w:p>
    <w:p w:rsidR="00CB0DD7" w:rsidRPr="000A0A5F" w:rsidRDefault="00CB0DD7">
      <w:pPr>
        <w:pStyle w:val="PL"/>
      </w:pPr>
      <w:r w:rsidRPr="000A0A5F">
        <w:t xml:space="preserve">        '401':</w:t>
      </w:r>
    </w:p>
    <w:p w:rsidR="00CB0DD7" w:rsidRPr="000A0A5F" w:rsidRDefault="00CB0DD7">
      <w:pPr>
        <w:pStyle w:val="PL"/>
      </w:pPr>
      <w:r w:rsidRPr="000A0A5F">
        <w:t xml:space="preserve">          $ref: 'TS29122_CommonData.yaml#/components/responses/401'</w:t>
      </w:r>
    </w:p>
    <w:p w:rsidR="00CB0DD7" w:rsidRPr="000A0A5F" w:rsidRDefault="00CB0DD7">
      <w:pPr>
        <w:pStyle w:val="PL"/>
      </w:pPr>
      <w:r w:rsidRPr="000A0A5F">
        <w:t xml:space="preserve">        '403':</w:t>
      </w:r>
    </w:p>
    <w:p w:rsidR="00CB0DD7" w:rsidRPr="000A0A5F" w:rsidRDefault="00CB0DD7">
      <w:pPr>
        <w:pStyle w:val="PL"/>
      </w:pPr>
      <w:r w:rsidRPr="000A0A5F">
        <w:t xml:space="preserve">          $ref: 'TS29122_CommonData.yaml#/components/responses/403'</w:t>
      </w:r>
    </w:p>
    <w:p w:rsidR="00CB0DD7" w:rsidRPr="000A0A5F" w:rsidRDefault="00CB0DD7">
      <w:pPr>
        <w:pStyle w:val="PL"/>
      </w:pPr>
      <w:r w:rsidRPr="000A0A5F">
        <w:t xml:space="preserve">        '404':</w:t>
      </w:r>
    </w:p>
    <w:p w:rsidR="00CB0DD7" w:rsidRPr="000A0A5F" w:rsidRDefault="00CB0DD7">
      <w:pPr>
        <w:pStyle w:val="PL"/>
      </w:pPr>
      <w:r w:rsidRPr="000A0A5F">
        <w:t xml:space="preserve">          $ref: 'TS29122_CommonData.yaml#/components/responses/404'</w:t>
      </w:r>
    </w:p>
    <w:p w:rsidR="00CB0DD7" w:rsidRPr="000A0A5F" w:rsidRDefault="00CB0DD7">
      <w:pPr>
        <w:pStyle w:val="PL"/>
      </w:pPr>
      <w:r w:rsidRPr="000A0A5F">
        <w:t xml:space="preserve">        '411':</w:t>
      </w:r>
    </w:p>
    <w:p w:rsidR="00CB0DD7" w:rsidRPr="000A0A5F" w:rsidRDefault="00CB0DD7">
      <w:pPr>
        <w:pStyle w:val="PL"/>
      </w:pPr>
      <w:r w:rsidRPr="000A0A5F">
        <w:t xml:space="preserve">          $ref: 'TS29122_CommonData.yaml#/components/responses/411'</w:t>
      </w:r>
    </w:p>
    <w:p w:rsidR="00CB0DD7" w:rsidRPr="000A0A5F" w:rsidRDefault="00CB0DD7">
      <w:pPr>
        <w:pStyle w:val="PL"/>
      </w:pPr>
      <w:r w:rsidRPr="000A0A5F">
        <w:t xml:space="preserve">        '413':</w:t>
      </w:r>
    </w:p>
    <w:p w:rsidR="00CB0DD7" w:rsidRPr="000A0A5F" w:rsidRDefault="00CB0DD7">
      <w:pPr>
        <w:pStyle w:val="PL"/>
      </w:pPr>
      <w:r w:rsidRPr="000A0A5F">
        <w:t xml:space="preserve">          $ref: 'TS29122_CommonData.yaml#/components/responses/413'</w:t>
      </w:r>
    </w:p>
    <w:p w:rsidR="00CB0DD7" w:rsidRPr="000A0A5F" w:rsidRDefault="00CB0DD7">
      <w:pPr>
        <w:pStyle w:val="PL"/>
      </w:pPr>
      <w:r w:rsidRPr="000A0A5F">
        <w:t xml:space="preserve">        '415':</w:t>
      </w:r>
    </w:p>
    <w:p w:rsidR="00CB0DD7" w:rsidRPr="000A0A5F" w:rsidRDefault="00CB0DD7">
      <w:pPr>
        <w:pStyle w:val="PL"/>
      </w:pPr>
      <w:r w:rsidRPr="000A0A5F">
        <w:t xml:space="preserve">          $ref: 'TS29122_CommonData.yaml#/components/responses/415'</w:t>
      </w:r>
    </w:p>
    <w:p w:rsidR="00CB0DD7" w:rsidRPr="000A0A5F" w:rsidRDefault="00CB0DD7">
      <w:pPr>
        <w:pStyle w:val="PL"/>
      </w:pPr>
      <w:r w:rsidRPr="000A0A5F">
        <w:t xml:space="preserve">        '429':</w:t>
      </w:r>
    </w:p>
    <w:p w:rsidR="00CB0DD7" w:rsidRPr="000A0A5F" w:rsidRDefault="00CB0DD7">
      <w:pPr>
        <w:pStyle w:val="PL"/>
      </w:pPr>
      <w:r w:rsidRPr="000A0A5F">
        <w:t xml:space="preserve">          $ref: 'TS29122_CommonData.yaml#/components/responses/429'</w:t>
      </w:r>
    </w:p>
    <w:p w:rsidR="00CB0DD7" w:rsidRPr="000A0A5F" w:rsidRDefault="00CB0DD7">
      <w:pPr>
        <w:pStyle w:val="PL"/>
      </w:pPr>
      <w:r w:rsidRPr="000A0A5F">
        <w:t xml:space="preserve">        '500':</w:t>
      </w:r>
    </w:p>
    <w:p w:rsidR="00CB0DD7" w:rsidRPr="000A0A5F" w:rsidRDefault="00CB0DD7">
      <w:pPr>
        <w:pStyle w:val="PL"/>
      </w:pPr>
      <w:r w:rsidRPr="000A0A5F">
        <w:t xml:space="preserve">          $ref: 'TS29122_CommonData.yaml#/components/responses/500'</w:t>
      </w:r>
    </w:p>
    <w:p w:rsidR="00CB0DD7" w:rsidRPr="000A0A5F" w:rsidRDefault="00CB0DD7">
      <w:pPr>
        <w:pStyle w:val="PL"/>
      </w:pPr>
      <w:r w:rsidRPr="000A0A5F">
        <w:t xml:space="preserve">        '503':</w:t>
      </w:r>
    </w:p>
    <w:p w:rsidR="00CB0DD7" w:rsidRPr="000A0A5F" w:rsidRDefault="00CB0DD7">
      <w:pPr>
        <w:pStyle w:val="PL"/>
      </w:pPr>
      <w:r w:rsidRPr="000A0A5F">
        <w:t xml:space="preserve">          $ref: 'TS29122_CommonData.yaml#/components/responses/503'</w:t>
      </w:r>
    </w:p>
    <w:p w:rsidR="00CB0DD7" w:rsidRPr="000A0A5F" w:rsidRDefault="00CB0DD7">
      <w:pPr>
        <w:pStyle w:val="PL"/>
      </w:pPr>
      <w:r w:rsidRPr="000A0A5F">
        <w:t xml:space="preserve">        default:</w:t>
      </w:r>
    </w:p>
    <w:p w:rsidR="00CB0DD7" w:rsidRPr="000A0A5F" w:rsidRDefault="00CB0DD7">
      <w:pPr>
        <w:pStyle w:val="PL"/>
      </w:pPr>
      <w:r w:rsidRPr="000A0A5F">
        <w:t xml:space="preserve">          $ref: 'TS29122_CommonData.yaml#/components/responses/default'</w:t>
      </w:r>
    </w:p>
    <w:p w:rsidR="00CB0DD7" w:rsidRPr="000A0A5F" w:rsidRDefault="00CB0DD7">
      <w:pPr>
        <w:pStyle w:val="PL"/>
      </w:pPr>
    </w:p>
    <w:p w:rsidR="00CB0DD7" w:rsidRPr="000A0A5F" w:rsidRDefault="00CB0DD7">
      <w:pPr>
        <w:pStyle w:val="PL"/>
        <w:rPr>
          <w:rFonts w:hint="eastAsia"/>
        </w:rPr>
      </w:pPr>
      <w:r w:rsidRPr="000A0A5F">
        <w:rPr>
          <w:rFonts w:hint="eastAsia"/>
        </w:rPr>
        <w:t xml:space="preserve">  </w:t>
      </w:r>
      <w:r w:rsidRPr="000A0A5F">
        <w:t>/{scsAsId}/services/{serviceId}:</w:t>
      </w:r>
    </w:p>
    <w:p w:rsidR="00CB0DD7" w:rsidRPr="000A0A5F" w:rsidRDefault="00CB0DD7">
      <w:pPr>
        <w:pStyle w:val="PL"/>
        <w:tabs>
          <w:tab w:val="clear" w:pos="384"/>
        </w:tabs>
        <w:rPr>
          <w:rFonts w:hint="eastAsia"/>
        </w:rPr>
      </w:pPr>
      <w:r w:rsidRPr="000A0A5F">
        <w:rPr>
          <w:rFonts w:hint="eastAsia"/>
        </w:rPr>
        <w:t xml:space="preserve">    </w:t>
      </w:r>
      <w:r w:rsidRPr="000A0A5F">
        <w:t>get</w:t>
      </w:r>
      <w:r w:rsidRPr="000A0A5F">
        <w:rPr>
          <w:rFonts w:hint="eastAsia"/>
        </w:rPr>
        <w:t>:</w:t>
      </w:r>
    </w:p>
    <w:p w:rsidR="00CB0DD7" w:rsidRPr="000A0A5F" w:rsidRDefault="00CB0DD7">
      <w:pPr>
        <w:pStyle w:val="PL"/>
        <w:rPr>
          <w:rFonts w:hint="eastAsia"/>
        </w:rPr>
      </w:pPr>
      <w:r w:rsidRPr="000A0A5F">
        <w:rPr>
          <w:rFonts w:hint="eastAsia"/>
        </w:rPr>
        <w:t xml:space="preserve">      summary: </w:t>
      </w:r>
      <w:r w:rsidR="00105D78" w:rsidRPr="000A0A5F">
        <w:rPr>
          <w:lang w:eastAsia="zh-CN"/>
        </w:rPr>
        <w:t>R</w:t>
      </w:r>
      <w:r w:rsidRPr="000A0A5F">
        <w:rPr>
          <w:lang w:eastAsia="zh-CN"/>
        </w:rPr>
        <w:t>ead a service resource for a given SCS/AS and a Service Id</w:t>
      </w:r>
      <w:r w:rsidR="00105D78" w:rsidRPr="000A0A5F">
        <w:rPr>
          <w:lang w:eastAsia="zh-CN"/>
        </w:rPr>
        <w:t>.</w:t>
      </w:r>
    </w:p>
    <w:p w:rsidR="00105D78" w:rsidRPr="000A0A5F" w:rsidRDefault="00105D78" w:rsidP="00105D78">
      <w:pPr>
        <w:pStyle w:val="PL"/>
      </w:pPr>
      <w:r w:rsidRPr="000A0A5F">
        <w:t xml:space="preserve">      </w:t>
      </w:r>
      <w:r w:rsidRPr="000A0A5F">
        <w:rPr>
          <w:rFonts w:cs="Courier New"/>
          <w:szCs w:val="16"/>
        </w:rPr>
        <w:t>operationId: FetchInd</w:t>
      </w:r>
      <w:r w:rsidRPr="000A0A5F">
        <w:rPr>
          <w:lang w:eastAsia="zh-CN"/>
        </w:rPr>
        <w:t>xMBService</w:t>
      </w:r>
    </w:p>
    <w:p w:rsidR="00CB0DD7" w:rsidRPr="000A0A5F" w:rsidRDefault="00CB0DD7">
      <w:pPr>
        <w:pStyle w:val="PL"/>
        <w:rPr>
          <w:rFonts w:hint="eastAsia"/>
        </w:rPr>
      </w:pPr>
      <w:r w:rsidRPr="000A0A5F">
        <w:rPr>
          <w:rFonts w:hint="eastAsia"/>
        </w:rPr>
        <w:t xml:space="preserve">      tags:</w:t>
      </w:r>
    </w:p>
    <w:p w:rsidR="00CB0DD7" w:rsidRPr="000A0A5F" w:rsidRDefault="00CB0DD7">
      <w:pPr>
        <w:pStyle w:val="PL"/>
        <w:rPr>
          <w:rFonts w:hint="eastAsia"/>
        </w:rPr>
      </w:pPr>
      <w:r w:rsidRPr="000A0A5F">
        <w:rPr>
          <w:rFonts w:hint="eastAsia"/>
        </w:rPr>
        <w:t xml:space="preserve">        - Individual </w:t>
      </w:r>
      <w:r w:rsidRPr="000A0A5F">
        <w:t>Service Operation</w:t>
      </w:r>
    </w:p>
    <w:p w:rsidR="00CB0DD7" w:rsidRPr="000A0A5F" w:rsidRDefault="00CB0DD7">
      <w:pPr>
        <w:pStyle w:val="PL"/>
        <w:rPr>
          <w:rFonts w:hint="eastAsia"/>
        </w:rPr>
      </w:pPr>
      <w:r w:rsidRPr="000A0A5F">
        <w:rPr>
          <w:rFonts w:hint="eastAsia"/>
        </w:rPr>
        <w:t xml:space="preserve">      parameters:</w:t>
      </w:r>
    </w:p>
    <w:p w:rsidR="00CB0DD7" w:rsidRPr="000A0A5F" w:rsidRDefault="00CB0DD7">
      <w:pPr>
        <w:pStyle w:val="PL"/>
        <w:rPr>
          <w:rFonts w:hint="eastAsia"/>
        </w:rPr>
      </w:pPr>
      <w:r w:rsidRPr="000A0A5F">
        <w:rPr>
          <w:rFonts w:hint="eastAsia"/>
        </w:rPr>
        <w:t xml:space="preserve">        - name: </w:t>
      </w:r>
      <w:r w:rsidRPr="000A0A5F">
        <w:t>scsAsId</w:t>
      </w:r>
    </w:p>
    <w:p w:rsidR="00CB0DD7" w:rsidRPr="000A0A5F" w:rsidRDefault="00CB0DD7">
      <w:pPr>
        <w:pStyle w:val="PL"/>
        <w:rPr>
          <w:rFonts w:hint="eastAsia"/>
        </w:rPr>
      </w:pPr>
      <w:r w:rsidRPr="000A0A5F">
        <w:rPr>
          <w:rFonts w:hint="eastAsia"/>
        </w:rPr>
        <w:t xml:space="preserve">          in: path</w:t>
      </w:r>
    </w:p>
    <w:p w:rsidR="00CB0DD7" w:rsidRPr="000A0A5F" w:rsidRDefault="00CB0DD7">
      <w:pPr>
        <w:pStyle w:val="PL"/>
        <w:rPr>
          <w:rFonts w:hint="eastAsia"/>
        </w:rPr>
      </w:pPr>
      <w:r w:rsidRPr="000A0A5F">
        <w:rPr>
          <w:rFonts w:hint="eastAsia"/>
        </w:rPr>
        <w:t xml:space="preserve">          description: Identifier of </w:t>
      </w:r>
      <w:r w:rsidRPr="000A0A5F">
        <w:t>SCS/AS</w:t>
      </w:r>
    </w:p>
    <w:p w:rsidR="00CB0DD7" w:rsidRPr="000A0A5F" w:rsidRDefault="00CB0DD7">
      <w:pPr>
        <w:pStyle w:val="PL"/>
        <w:rPr>
          <w:rFonts w:hint="eastAsia"/>
        </w:rPr>
      </w:pPr>
      <w:r w:rsidRPr="000A0A5F">
        <w:rPr>
          <w:rFonts w:hint="eastAsia"/>
        </w:rPr>
        <w:t xml:space="preserve">          required: true</w:t>
      </w:r>
    </w:p>
    <w:p w:rsidR="00CB0DD7" w:rsidRPr="000A0A5F" w:rsidRDefault="00CB0DD7">
      <w:pPr>
        <w:pStyle w:val="PL"/>
        <w:rPr>
          <w:rFonts w:hint="eastAsia"/>
        </w:rPr>
      </w:pPr>
      <w:r w:rsidRPr="000A0A5F">
        <w:rPr>
          <w:rFonts w:hint="eastAsia"/>
        </w:rPr>
        <w:t xml:space="preserve">          schema:</w:t>
      </w:r>
    </w:p>
    <w:p w:rsidR="00CB0DD7" w:rsidRPr="000A0A5F" w:rsidRDefault="00CB0DD7">
      <w:pPr>
        <w:pStyle w:val="PL"/>
      </w:pPr>
      <w:r w:rsidRPr="000A0A5F">
        <w:rPr>
          <w:rFonts w:hint="eastAsia"/>
        </w:rPr>
        <w:t xml:space="preserve">            type: string</w:t>
      </w:r>
    </w:p>
    <w:p w:rsidR="00CB0DD7" w:rsidRPr="000A0A5F" w:rsidRDefault="00CB0DD7">
      <w:pPr>
        <w:pStyle w:val="PL"/>
        <w:rPr>
          <w:rFonts w:hint="eastAsia"/>
        </w:rPr>
      </w:pPr>
      <w:r w:rsidRPr="000A0A5F">
        <w:rPr>
          <w:rFonts w:hint="eastAsia"/>
        </w:rPr>
        <w:t xml:space="preserve">        - name: </w:t>
      </w:r>
      <w:r w:rsidRPr="000A0A5F">
        <w:t>serviceId</w:t>
      </w:r>
    </w:p>
    <w:p w:rsidR="00CB0DD7" w:rsidRPr="000A0A5F" w:rsidRDefault="00CB0DD7">
      <w:pPr>
        <w:pStyle w:val="PL"/>
        <w:rPr>
          <w:rFonts w:hint="eastAsia"/>
        </w:rPr>
      </w:pPr>
      <w:r w:rsidRPr="000A0A5F">
        <w:rPr>
          <w:rFonts w:hint="eastAsia"/>
        </w:rPr>
        <w:t xml:space="preserve">          in: path</w:t>
      </w:r>
    </w:p>
    <w:p w:rsidR="00CB0DD7" w:rsidRPr="000A0A5F" w:rsidRDefault="00CB0DD7">
      <w:pPr>
        <w:pStyle w:val="PL"/>
        <w:rPr>
          <w:rFonts w:hint="eastAsia"/>
        </w:rPr>
      </w:pPr>
      <w:r w:rsidRPr="000A0A5F">
        <w:rPr>
          <w:rFonts w:hint="eastAsia"/>
        </w:rPr>
        <w:t xml:space="preserve">          description: </w:t>
      </w:r>
      <w:r w:rsidRPr="000A0A5F">
        <w:t>Service Id</w:t>
      </w:r>
    </w:p>
    <w:p w:rsidR="00CB0DD7" w:rsidRPr="000A0A5F" w:rsidRDefault="00CB0DD7">
      <w:pPr>
        <w:pStyle w:val="PL"/>
        <w:rPr>
          <w:rFonts w:hint="eastAsia"/>
        </w:rPr>
      </w:pPr>
      <w:r w:rsidRPr="000A0A5F">
        <w:rPr>
          <w:rFonts w:hint="eastAsia"/>
        </w:rPr>
        <w:t xml:space="preserve">          required: true</w:t>
      </w:r>
    </w:p>
    <w:p w:rsidR="00CB0DD7" w:rsidRPr="000A0A5F" w:rsidRDefault="00CB0DD7">
      <w:pPr>
        <w:pStyle w:val="PL"/>
        <w:rPr>
          <w:rFonts w:hint="eastAsia"/>
        </w:rPr>
      </w:pPr>
      <w:r w:rsidRPr="000A0A5F">
        <w:rPr>
          <w:rFonts w:hint="eastAsia"/>
        </w:rPr>
        <w:t xml:space="preserve">          schema:</w:t>
      </w:r>
    </w:p>
    <w:p w:rsidR="00CB0DD7" w:rsidRPr="000A0A5F" w:rsidRDefault="00CB0DD7">
      <w:pPr>
        <w:pStyle w:val="PL"/>
      </w:pPr>
      <w:r w:rsidRPr="000A0A5F">
        <w:rPr>
          <w:rFonts w:hint="eastAsia"/>
        </w:rPr>
        <w:t xml:space="preserve">            type: string</w:t>
      </w:r>
    </w:p>
    <w:p w:rsidR="00CB0DD7" w:rsidRPr="000A0A5F" w:rsidRDefault="00CB0DD7">
      <w:pPr>
        <w:pStyle w:val="PL"/>
        <w:rPr>
          <w:rFonts w:hint="eastAsia"/>
        </w:rPr>
      </w:pPr>
      <w:r w:rsidRPr="000A0A5F">
        <w:rPr>
          <w:rFonts w:hint="eastAsia"/>
        </w:rPr>
        <w:t xml:space="preserve">      responses:</w:t>
      </w:r>
    </w:p>
    <w:p w:rsidR="00CB0DD7" w:rsidRPr="000A0A5F" w:rsidRDefault="00CB0DD7">
      <w:pPr>
        <w:pStyle w:val="PL"/>
        <w:rPr>
          <w:rFonts w:hint="eastAsia"/>
        </w:rPr>
      </w:pPr>
      <w:r w:rsidRPr="000A0A5F">
        <w:rPr>
          <w:rFonts w:hint="eastAsia"/>
        </w:rPr>
        <w:t xml:space="preserve">        '200':</w:t>
      </w:r>
    </w:p>
    <w:p w:rsidR="00CB0DD7" w:rsidRPr="000A0A5F" w:rsidRDefault="00CB0DD7">
      <w:pPr>
        <w:pStyle w:val="PL"/>
        <w:rPr>
          <w:rFonts w:hint="eastAsia"/>
        </w:rPr>
      </w:pPr>
      <w:r w:rsidRPr="000A0A5F">
        <w:rPr>
          <w:rFonts w:hint="eastAsia"/>
        </w:rPr>
        <w:t xml:space="preserve">          description: OK (</w:t>
      </w:r>
      <w:r w:rsidRPr="000A0A5F">
        <w:t>successful query of service resource</w:t>
      </w:r>
      <w:r w:rsidRPr="000A0A5F">
        <w:rPr>
          <w:rFonts w:hint="eastAsia"/>
        </w:rPr>
        <w:t>)</w:t>
      </w:r>
    </w:p>
    <w:p w:rsidR="00CB0DD7" w:rsidRPr="000A0A5F" w:rsidRDefault="00CB0DD7">
      <w:pPr>
        <w:pStyle w:val="PL"/>
        <w:rPr>
          <w:rFonts w:hint="eastAsia"/>
        </w:rPr>
      </w:pPr>
      <w:r w:rsidRPr="000A0A5F">
        <w:rPr>
          <w:rFonts w:hint="eastAsia"/>
        </w:rPr>
        <w:t xml:space="preserve">          content:</w:t>
      </w:r>
    </w:p>
    <w:p w:rsidR="00CB0DD7" w:rsidRPr="000A0A5F" w:rsidRDefault="00CB0DD7">
      <w:pPr>
        <w:pStyle w:val="PL"/>
        <w:rPr>
          <w:rFonts w:hint="eastAsia"/>
        </w:rPr>
      </w:pPr>
      <w:r w:rsidRPr="000A0A5F">
        <w:rPr>
          <w:rFonts w:hint="eastAsia"/>
        </w:rPr>
        <w:t xml:space="preserve">            application/json:</w:t>
      </w:r>
    </w:p>
    <w:p w:rsidR="00CB0DD7" w:rsidRPr="000A0A5F" w:rsidRDefault="00CB0DD7">
      <w:pPr>
        <w:pStyle w:val="PL"/>
      </w:pPr>
      <w:r w:rsidRPr="000A0A5F">
        <w:rPr>
          <w:rFonts w:hint="eastAsia"/>
        </w:rPr>
        <w:t xml:space="preserve">              schema:</w:t>
      </w:r>
    </w:p>
    <w:p w:rsidR="00CB0DD7" w:rsidRPr="000A0A5F" w:rsidRDefault="00CB0DD7">
      <w:pPr>
        <w:pStyle w:val="PL"/>
      </w:pPr>
      <w:r w:rsidRPr="000A0A5F">
        <w:rPr>
          <w:rFonts w:hint="eastAsia"/>
        </w:rPr>
        <w:t xml:space="preserve">                $ref: '#/components/schemas/</w:t>
      </w:r>
      <w:r w:rsidRPr="000A0A5F">
        <w:t>ServiceCreation</w:t>
      </w:r>
      <w:r w:rsidRPr="000A0A5F">
        <w:rPr>
          <w:rFonts w:hint="eastAsia"/>
        </w:rPr>
        <w:t>'</w:t>
      </w:r>
    </w:p>
    <w:p w:rsidR="00CB0DD7" w:rsidRPr="000A0A5F" w:rsidRDefault="00CB0DD7">
      <w:pPr>
        <w:pStyle w:val="PL"/>
      </w:pPr>
      <w:r w:rsidRPr="000A0A5F">
        <w:t xml:space="preserve">        '307':</w:t>
      </w:r>
    </w:p>
    <w:p w:rsidR="00CB0DD7" w:rsidRPr="000A0A5F" w:rsidRDefault="00CB0DD7">
      <w:pPr>
        <w:pStyle w:val="PL"/>
      </w:pPr>
      <w:r w:rsidRPr="000A0A5F">
        <w:t xml:space="preserve">          $ref: 'TS29122_CommonData.yaml#/components/responses/307'</w:t>
      </w:r>
    </w:p>
    <w:p w:rsidR="00CB0DD7" w:rsidRPr="000A0A5F" w:rsidRDefault="00CB0DD7">
      <w:pPr>
        <w:pStyle w:val="PL"/>
      </w:pPr>
      <w:r w:rsidRPr="000A0A5F">
        <w:t xml:space="preserve">        '308':</w:t>
      </w:r>
    </w:p>
    <w:p w:rsidR="00CB0DD7" w:rsidRPr="000A0A5F" w:rsidRDefault="00CB0DD7">
      <w:pPr>
        <w:pStyle w:val="PL"/>
      </w:pPr>
      <w:r w:rsidRPr="000A0A5F">
        <w:t xml:space="preserve">          $ref: 'TS29122_CommonData.yaml#/components/responses/308'</w:t>
      </w:r>
    </w:p>
    <w:p w:rsidR="00CB0DD7" w:rsidRPr="000A0A5F" w:rsidRDefault="00CB0DD7">
      <w:pPr>
        <w:pStyle w:val="PL"/>
      </w:pPr>
      <w:r w:rsidRPr="000A0A5F">
        <w:t xml:space="preserve">        '400':</w:t>
      </w:r>
    </w:p>
    <w:p w:rsidR="00CB0DD7" w:rsidRPr="000A0A5F" w:rsidRDefault="00CB0DD7">
      <w:pPr>
        <w:pStyle w:val="PL"/>
      </w:pPr>
      <w:r w:rsidRPr="000A0A5F">
        <w:t xml:space="preserve">          $ref: 'TS29122_CommonData.yaml#/components/responses/400'</w:t>
      </w:r>
    </w:p>
    <w:p w:rsidR="00CB0DD7" w:rsidRPr="000A0A5F" w:rsidRDefault="00CB0DD7">
      <w:pPr>
        <w:pStyle w:val="PL"/>
      </w:pPr>
      <w:r w:rsidRPr="000A0A5F">
        <w:t xml:space="preserve">        '401':</w:t>
      </w:r>
    </w:p>
    <w:p w:rsidR="00CB0DD7" w:rsidRPr="000A0A5F" w:rsidRDefault="00CB0DD7">
      <w:pPr>
        <w:pStyle w:val="PL"/>
      </w:pPr>
      <w:r w:rsidRPr="000A0A5F">
        <w:t xml:space="preserve">          $ref: 'TS29122_CommonData.yaml#/components/responses/401'</w:t>
      </w:r>
    </w:p>
    <w:p w:rsidR="00CB0DD7" w:rsidRPr="000A0A5F" w:rsidRDefault="00CB0DD7">
      <w:pPr>
        <w:pStyle w:val="PL"/>
      </w:pPr>
      <w:r w:rsidRPr="000A0A5F">
        <w:t xml:space="preserve">        '403':</w:t>
      </w:r>
    </w:p>
    <w:p w:rsidR="00CB0DD7" w:rsidRPr="000A0A5F" w:rsidRDefault="00CB0DD7">
      <w:pPr>
        <w:pStyle w:val="PL"/>
      </w:pPr>
      <w:r w:rsidRPr="000A0A5F">
        <w:t xml:space="preserve">          $ref: 'TS29122_CommonData.yaml#/components/responses/403'</w:t>
      </w:r>
    </w:p>
    <w:p w:rsidR="00CB0DD7" w:rsidRPr="000A0A5F" w:rsidRDefault="00CB0DD7">
      <w:pPr>
        <w:pStyle w:val="PL"/>
      </w:pPr>
      <w:r w:rsidRPr="000A0A5F">
        <w:t xml:space="preserve">        '404':</w:t>
      </w:r>
    </w:p>
    <w:p w:rsidR="00CB0DD7" w:rsidRPr="000A0A5F" w:rsidRDefault="00CB0DD7">
      <w:pPr>
        <w:pStyle w:val="PL"/>
      </w:pPr>
      <w:r w:rsidRPr="000A0A5F">
        <w:t xml:space="preserve">          $ref: 'TS29122_CommonData.yaml#/components/responses/404'</w:t>
      </w:r>
    </w:p>
    <w:p w:rsidR="00CB0DD7" w:rsidRPr="000A0A5F" w:rsidRDefault="00CB0DD7">
      <w:pPr>
        <w:pStyle w:val="PL"/>
      </w:pPr>
      <w:r w:rsidRPr="000A0A5F">
        <w:t xml:space="preserve">        '406':</w:t>
      </w:r>
    </w:p>
    <w:p w:rsidR="00CB0DD7" w:rsidRPr="000A0A5F" w:rsidRDefault="00CB0DD7">
      <w:pPr>
        <w:pStyle w:val="PL"/>
      </w:pPr>
      <w:r w:rsidRPr="000A0A5F">
        <w:t xml:space="preserve">          $ref: 'TS29122_CommonData.yaml#/components/responses/406'</w:t>
      </w:r>
    </w:p>
    <w:p w:rsidR="00CB0DD7" w:rsidRPr="000A0A5F" w:rsidRDefault="00CB0DD7">
      <w:pPr>
        <w:pStyle w:val="PL"/>
      </w:pPr>
      <w:r w:rsidRPr="000A0A5F">
        <w:t xml:space="preserve">        '429':</w:t>
      </w:r>
    </w:p>
    <w:p w:rsidR="00CB0DD7" w:rsidRPr="000A0A5F" w:rsidRDefault="00CB0DD7">
      <w:pPr>
        <w:pStyle w:val="PL"/>
      </w:pPr>
      <w:r w:rsidRPr="000A0A5F">
        <w:t xml:space="preserve">          $ref: 'TS29122_CommonData.yaml#/components/responses/429'</w:t>
      </w:r>
    </w:p>
    <w:p w:rsidR="00CB0DD7" w:rsidRPr="000A0A5F" w:rsidRDefault="00CB0DD7">
      <w:pPr>
        <w:pStyle w:val="PL"/>
      </w:pPr>
      <w:r w:rsidRPr="000A0A5F">
        <w:t xml:space="preserve">        '500':</w:t>
      </w:r>
    </w:p>
    <w:p w:rsidR="00CB0DD7" w:rsidRPr="000A0A5F" w:rsidRDefault="00CB0DD7">
      <w:pPr>
        <w:pStyle w:val="PL"/>
      </w:pPr>
      <w:r w:rsidRPr="000A0A5F">
        <w:t xml:space="preserve">          $ref: 'TS29122_CommonData.yaml#/components/responses/500'</w:t>
      </w:r>
    </w:p>
    <w:p w:rsidR="00CB0DD7" w:rsidRPr="000A0A5F" w:rsidRDefault="00CB0DD7">
      <w:pPr>
        <w:pStyle w:val="PL"/>
      </w:pPr>
      <w:r w:rsidRPr="000A0A5F">
        <w:t xml:space="preserve">        '503':</w:t>
      </w:r>
    </w:p>
    <w:p w:rsidR="00CB0DD7" w:rsidRPr="000A0A5F" w:rsidRDefault="00CB0DD7">
      <w:pPr>
        <w:pStyle w:val="PL"/>
      </w:pPr>
      <w:r w:rsidRPr="000A0A5F">
        <w:t xml:space="preserve">          $ref: 'TS29122_CommonData.yaml#/components/responses/503'</w:t>
      </w:r>
    </w:p>
    <w:p w:rsidR="00CB0DD7" w:rsidRPr="000A0A5F" w:rsidRDefault="00CB0DD7">
      <w:pPr>
        <w:pStyle w:val="PL"/>
      </w:pPr>
      <w:r w:rsidRPr="000A0A5F">
        <w:t xml:space="preserve">        default:</w:t>
      </w:r>
    </w:p>
    <w:p w:rsidR="00CB0DD7" w:rsidRPr="000A0A5F" w:rsidRDefault="00CB0DD7">
      <w:pPr>
        <w:pStyle w:val="PL"/>
        <w:rPr>
          <w:rFonts w:hint="eastAsia"/>
        </w:rPr>
      </w:pPr>
      <w:r w:rsidRPr="000A0A5F">
        <w:t xml:space="preserve">          $ref: 'TS29122_CommonData.yaml#/components/responses/default'</w:t>
      </w:r>
    </w:p>
    <w:p w:rsidR="00CB0DD7" w:rsidRPr="000A0A5F" w:rsidRDefault="00CB0DD7">
      <w:pPr>
        <w:pStyle w:val="PL"/>
        <w:rPr>
          <w:rFonts w:hint="eastAsia"/>
        </w:rPr>
      </w:pPr>
    </w:p>
    <w:p w:rsidR="00CB0DD7" w:rsidRPr="000A0A5F" w:rsidRDefault="00CB0DD7">
      <w:pPr>
        <w:pStyle w:val="PL"/>
        <w:tabs>
          <w:tab w:val="clear" w:pos="384"/>
        </w:tabs>
      </w:pPr>
      <w:r w:rsidRPr="000A0A5F">
        <w:rPr>
          <w:lang w:val="en-US"/>
        </w:rPr>
        <w:t xml:space="preserve">    delete</w:t>
      </w:r>
      <w:r w:rsidRPr="000A0A5F">
        <w:t>:</w:t>
      </w:r>
    </w:p>
    <w:p w:rsidR="00CB0DD7" w:rsidRPr="000A0A5F" w:rsidRDefault="00CB0DD7">
      <w:pPr>
        <w:pStyle w:val="PL"/>
        <w:rPr>
          <w:lang w:eastAsia="zh-CN"/>
        </w:rPr>
      </w:pPr>
      <w:r w:rsidRPr="000A0A5F">
        <w:rPr>
          <w:lang w:val="en-US"/>
        </w:rPr>
        <w:t xml:space="preserve">      summary: </w:t>
      </w:r>
      <w:r w:rsidR="00105D78" w:rsidRPr="000A0A5F">
        <w:rPr>
          <w:lang w:val="en-US"/>
        </w:rPr>
        <w:t>D</w:t>
      </w:r>
      <w:r w:rsidRPr="000A0A5F">
        <w:rPr>
          <w:lang w:val="en-US"/>
        </w:rPr>
        <w:t>elete</w:t>
      </w:r>
      <w:r w:rsidRPr="000A0A5F">
        <w:rPr>
          <w:lang w:eastAsia="zh-CN"/>
        </w:rPr>
        <w:t>s an existing service resource for a given SCS/AS</w:t>
      </w:r>
      <w:r w:rsidRPr="000A0A5F">
        <w:rPr>
          <w:rFonts w:hint="eastAsia"/>
          <w:lang w:eastAsia="zh-CN"/>
        </w:rPr>
        <w:t xml:space="preserve"> and a </w:t>
      </w:r>
      <w:r w:rsidRPr="000A0A5F">
        <w:rPr>
          <w:lang w:eastAsia="zh-CN"/>
        </w:rPr>
        <w:t>service id</w:t>
      </w:r>
      <w:r w:rsidR="00105D78" w:rsidRPr="000A0A5F">
        <w:rPr>
          <w:lang w:eastAsia="zh-CN"/>
        </w:rPr>
        <w:t>.</w:t>
      </w:r>
    </w:p>
    <w:p w:rsidR="00105D78" w:rsidRPr="000A0A5F" w:rsidRDefault="00105D78" w:rsidP="00105D78">
      <w:pPr>
        <w:pStyle w:val="PL"/>
      </w:pPr>
      <w:r w:rsidRPr="000A0A5F">
        <w:t xml:space="preserve">      </w:t>
      </w:r>
      <w:r w:rsidRPr="000A0A5F">
        <w:rPr>
          <w:rFonts w:cs="Courier New"/>
          <w:szCs w:val="16"/>
        </w:rPr>
        <w:t>operationId: Delete</w:t>
      </w:r>
      <w:r w:rsidRPr="000A0A5F">
        <w:rPr>
          <w:lang w:eastAsia="zh-CN"/>
        </w:rPr>
        <w:t>xMBService</w:t>
      </w:r>
    </w:p>
    <w:p w:rsidR="00CB0DD7" w:rsidRPr="000A0A5F" w:rsidRDefault="00CB0DD7">
      <w:pPr>
        <w:pStyle w:val="PL"/>
        <w:rPr>
          <w:lang w:val="en-US"/>
        </w:rPr>
      </w:pPr>
      <w:r w:rsidRPr="000A0A5F">
        <w:rPr>
          <w:lang w:val="en-US"/>
        </w:rPr>
        <w:t xml:space="preserve">      tags:</w:t>
      </w:r>
    </w:p>
    <w:p w:rsidR="00CB0DD7" w:rsidRPr="000A0A5F" w:rsidRDefault="00CB0DD7">
      <w:pPr>
        <w:pStyle w:val="PL"/>
        <w:rPr>
          <w:lang w:val="en-US"/>
        </w:rPr>
      </w:pPr>
      <w:r w:rsidRPr="000A0A5F">
        <w:rPr>
          <w:lang w:val="en-US"/>
        </w:rPr>
        <w:t xml:space="preserve">        - Individual </w:t>
      </w:r>
      <w:r w:rsidR="00105D78" w:rsidRPr="000A0A5F">
        <w:rPr>
          <w:lang w:val="en-US"/>
        </w:rPr>
        <w:t>S</w:t>
      </w:r>
      <w:r w:rsidRPr="000A0A5F">
        <w:rPr>
          <w:lang w:val="en-US"/>
        </w:rPr>
        <w:t>ervice Operation</w:t>
      </w:r>
    </w:p>
    <w:p w:rsidR="00CB0DD7" w:rsidRPr="000A0A5F" w:rsidRDefault="00CB0DD7">
      <w:pPr>
        <w:pStyle w:val="PL"/>
        <w:rPr>
          <w:rFonts w:hint="eastAsia"/>
        </w:rPr>
      </w:pPr>
      <w:r w:rsidRPr="000A0A5F">
        <w:rPr>
          <w:rFonts w:hint="eastAsia"/>
        </w:rPr>
        <w:t xml:space="preserve">      parameters:</w:t>
      </w:r>
    </w:p>
    <w:p w:rsidR="00CB0DD7" w:rsidRPr="000A0A5F" w:rsidRDefault="00CB0DD7">
      <w:pPr>
        <w:pStyle w:val="PL"/>
        <w:rPr>
          <w:rFonts w:hint="eastAsia"/>
        </w:rPr>
      </w:pPr>
      <w:r w:rsidRPr="000A0A5F">
        <w:rPr>
          <w:rFonts w:hint="eastAsia"/>
        </w:rPr>
        <w:t xml:space="preserve">        - name: </w:t>
      </w:r>
      <w:r w:rsidRPr="000A0A5F">
        <w:t>scsAsId</w:t>
      </w:r>
    </w:p>
    <w:p w:rsidR="00CB0DD7" w:rsidRPr="000A0A5F" w:rsidRDefault="00CB0DD7">
      <w:pPr>
        <w:pStyle w:val="PL"/>
        <w:rPr>
          <w:rFonts w:hint="eastAsia"/>
        </w:rPr>
      </w:pPr>
      <w:r w:rsidRPr="000A0A5F">
        <w:rPr>
          <w:rFonts w:hint="eastAsia"/>
        </w:rPr>
        <w:t xml:space="preserve">          in: path</w:t>
      </w:r>
    </w:p>
    <w:p w:rsidR="00CB0DD7" w:rsidRPr="000A0A5F" w:rsidRDefault="00CB0DD7">
      <w:pPr>
        <w:pStyle w:val="PL"/>
        <w:rPr>
          <w:rFonts w:hint="eastAsia"/>
        </w:rPr>
      </w:pPr>
      <w:r w:rsidRPr="000A0A5F">
        <w:rPr>
          <w:rFonts w:hint="eastAsia"/>
        </w:rPr>
        <w:t xml:space="preserve">          description: Identifier of </w:t>
      </w:r>
      <w:r w:rsidRPr="000A0A5F">
        <w:t>SCS/AS</w:t>
      </w:r>
    </w:p>
    <w:p w:rsidR="00CB0DD7" w:rsidRPr="000A0A5F" w:rsidRDefault="00CB0DD7">
      <w:pPr>
        <w:pStyle w:val="PL"/>
        <w:rPr>
          <w:rFonts w:hint="eastAsia"/>
        </w:rPr>
      </w:pPr>
      <w:r w:rsidRPr="000A0A5F">
        <w:rPr>
          <w:rFonts w:hint="eastAsia"/>
        </w:rPr>
        <w:t xml:space="preserve">          required: true</w:t>
      </w:r>
    </w:p>
    <w:p w:rsidR="00CB0DD7" w:rsidRPr="000A0A5F" w:rsidRDefault="00CB0DD7">
      <w:pPr>
        <w:pStyle w:val="PL"/>
        <w:rPr>
          <w:rFonts w:hint="eastAsia"/>
        </w:rPr>
      </w:pPr>
      <w:r w:rsidRPr="000A0A5F">
        <w:rPr>
          <w:rFonts w:hint="eastAsia"/>
        </w:rPr>
        <w:t xml:space="preserve">          schema:</w:t>
      </w:r>
    </w:p>
    <w:p w:rsidR="00CB0DD7" w:rsidRPr="000A0A5F" w:rsidRDefault="00CB0DD7">
      <w:pPr>
        <w:pStyle w:val="PL"/>
      </w:pPr>
      <w:r w:rsidRPr="000A0A5F">
        <w:rPr>
          <w:rFonts w:hint="eastAsia"/>
        </w:rPr>
        <w:t xml:space="preserve">            type: string</w:t>
      </w:r>
    </w:p>
    <w:p w:rsidR="00CB0DD7" w:rsidRPr="000A0A5F" w:rsidRDefault="00CB0DD7">
      <w:pPr>
        <w:pStyle w:val="PL"/>
        <w:rPr>
          <w:rFonts w:hint="eastAsia"/>
        </w:rPr>
      </w:pPr>
      <w:r w:rsidRPr="000A0A5F">
        <w:rPr>
          <w:rFonts w:hint="eastAsia"/>
        </w:rPr>
        <w:t xml:space="preserve">        - name: </w:t>
      </w:r>
      <w:r w:rsidRPr="000A0A5F">
        <w:t>serviceId</w:t>
      </w:r>
    </w:p>
    <w:p w:rsidR="00CB0DD7" w:rsidRPr="000A0A5F" w:rsidRDefault="00CB0DD7">
      <w:pPr>
        <w:pStyle w:val="PL"/>
        <w:rPr>
          <w:rFonts w:hint="eastAsia"/>
        </w:rPr>
      </w:pPr>
      <w:r w:rsidRPr="000A0A5F">
        <w:rPr>
          <w:rFonts w:hint="eastAsia"/>
        </w:rPr>
        <w:t xml:space="preserve">          in: path</w:t>
      </w:r>
    </w:p>
    <w:p w:rsidR="00CB0DD7" w:rsidRPr="000A0A5F" w:rsidRDefault="00CB0DD7">
      <w:pPr>
        <w:pStyle w:val="PL"/>
        <w:rPr>
          <w:rFonts w:hint="eastAsia"/>
        </w:rPr>
      </w:pPr>
      <w:r w:rsidRPr="000A0A5F">
        <w:rPr>
          <w:rFonts w:hint="eastAsia"/>
        </w:rPr>
        <w:t xml:space="preserve">          description: </w:t>
      </w:r>
      <w:r w:rsidRPr="000A0A5F">
        <w:t>Service Id</w:t>
      </w:r>
    </w:p>
    <w:p w:rsidR="00CB0DD7" w:rsidRPr="000A0A5F" w:rsidRDefault="00CB0DD7">
      <w:pPr>
        <w:pStyle w:val="PL"/>
        <w:rPr>
          <w:rFonts w:hint="eastAsia"/>
        </w:rPr>
      </w:pPr>
      <w:r w:rsidRPr="000A0A5F">
        <w:rPr>
          <w:rFonts w:hint="eastAsia"/>
        </w:rPr>
        <w:t xml:space="preserve">          required: true</w:t>
      </w:r>
    </w:p>
    <w:p w:rsidR="00CB0DD7" w:rsidRPr="000A0A5F" w:rsidRDefault="00CB0DD7">
      <w:pPr>
        <w:pStyle w:val="PL"/>
        <w:rPr>
          <w:rFonts w:hint="eastAsia"/>
        </w:rPr>
      </w:pPr>
      <w:r w:rsidRPr="000A0A5F">
        <w:rPr>
          <w:rFonts w:hint="eastAsia"/>
        </w:rPr>
        <w:t xml:space="preserve">          schema:</w:t>
      </w:r>
    </w:p>
    <w:p w:rsidR="00CB0DD7" w:rsidRPr="000A0A5F" w:rsidRDefault="00CB0DD7">
      <w:pPr>
        <w:pStyle w:val="PL"/>
      </w:pPr>
      <w:r w:rsidRPr="000A0A5F">
        <w:rPr>
          <w:rFonts w:hint="eastAsia"/>
        </w:rPr>
        <w:t xml:space="preserve">            type: string</w:t>
      </w:r>
    </w:p>
    <w:p w:rsidR="00CB0DD7" w:rsidRPr="000A0A5F" w:rsidRDefault="00CB0DD7">
      <w:pPr>
        <w:pStyle w:val="PL"/>
        <w:rPr>
          <w:lang w:val="en-US"/>
        </w:rPr>
      </w:pPr>
      <w:r w:rsidRPr="000A0A5F">
        <w:t xml:space="preserve">     </w:t>
      </w:r>
      <w:r w:rsidRPr="000A0A5F">
        <w:rPr>
          <w:lang w:val="en-US"/>
        </w:rPr>
        <w:t xml:space="preserve"> responses:</w:t>
      </w:r>
    </w:p>
    <w:p w:rsidR="00CB0DD7" w:rsidRPr="000A0A5F" w:rsidRDefault="00CB0DD7">
      <w:pPr>
        <w:pStyle w:val="PL"/>
        <w:rPr>
          <w:lang w:val="en-US"/>
        </w:rPr>
      </w:pPr>
      <w:r w:rsidRPr="000A0A5F">
        <w:rPr>
          <w:lang w:val="en-US"/>
        </w:rPr>
        <w:t xml:space="preserve">        '204':</w:t>
      </w:r>
    </w:p>
    <w:p w:rsidR="00CB0DD7" w:rsidRPr="000A0A5F" w:rsidRDefault="00CB0DD7">
      <w:pPr>
        <w:pStyle w:val="PL"/>
        <w:rPr>
          <w:lang w:val="en-US"/>
        </w:rPr>
      </w:pPr>
      <w:r w:rsidRPr="000A0A5F">
        <w:rPr>
          <w:lang w:val="en-US"/>
        </w:rPr>
        <w:t xml:space="preserve">          description: No Content, successful deletion of a service resource</w:t>
      </w:r>
    </w:p>
    <w:p w:rsidR="00CB0DD7" w:rsidRPr="000A0A5F" w:rsidRDefault="00CB0DD7">
      <w:pPr>
        <w:pStyle w:val="PL"/>
      </w:pPr>
      <w:r w:rsidRPr="000A0A5F">
        <w:t xml:space="preserve">        '307':</w:t>
      </w:r>
    </w:p>
    <w:p w:rsidR="00CB0DD7" w:rsidRPr="000A0A5F" w:rsidRDefault="00CB0DD7">
      <w:pPr>
        <w:pStyle w:val="PL"/>
      </w:pPr>
      <w:r w:rsidRPr="000A0A5F">
        <w:t xml:space="preserve">          $ref: 'TS29122_CommonData.yaml#/components/responses/307'</w:t>
      </w:r>
    </w:p>
    <w:p w:rsidR="00CB0DD7" w:rsidRPr="000A0A5F" w:rsidRDefault="00CB0DD7">
      <w:pPr>
        <w:pStyle w:val="PL"/>
      </w:pPr>
      <w:r w:rsidRPr="000A0A5F">
        <w:t xml:space="preserve">        '308':</w:t>
      </w:r>
    </w:p>
    <w:p w:rsidR="00CB0DD7" w:rsidRPr="000A0A5F" w:rsidRDefault="00CB0DD7">
      <w:pPr>
        <w:pStyle w:val="PL"/>
      </w:pPr>
      <w:r w:rsidRPr="000A0A5F">
        <w:t xml:space="preserve">          $ref: 'TS29122_CommonData.yaml#/components/responses/308'</w:t>
      </w:r>
    </w:p>
    <w:p w:rsidR="00CB0DD7" w:rsidRPr="000A0A5F" w:rsidRDefault="00CB0DD7">
      <w:pPr>
        <w:pStyle w:val="PL"/>
      </w:pPr>
      <w:r w:rsidRPr="000A0A5F">
        <w:t xml:space="preserve">        '400':</w:t>
      </w:r>
    </w:p>
    <w:p w:rsidR="00CB0DD7" w:rsidRPr="000A0A5F" w:rsidRDefault="00CB0DD7">
      <w:pPr>
        <w:pStyle w:val="PL"/>
      </w:pPr>
      <w:r w:rsidRPr="000A0A5F">
        <w:t xml:space="preserve">          $ref: 'TS29122_CommonData.yaml#/components/responses/400'</w:t>
      </w:r>
    </w:p>
    <w:p w:rsidR="00CB0DD7" w:rsidRPr="000A0A5F" w:rsidRDefault="00CB0DD7">
      <w:pPr>
        <w:pStyle w:val="PL"/>
      </w:pPr>
      <w:r w:rsidRPr="000A0A5F">
        <w:t xml:space="preserve">        '401':</w:t>
      </w:r>
    </w:p>
    <w:p w:rsidR="00CB0DD7" w:rsidRPr="000A0A5F" w:rsidRDefault="00CB0DD7">
      <w:pPr>
        <w:pStyle w:val="PL"/>
      </w:pPr>
      <w:r w:rsidRPr="000A0A5F">
        <w:t xml:space="preserve">          $ref: 'TS29122_CommonData.yaml#/components/responses/401'</w:t>
      </w:r>
    </w:p>
    <w:p w:rsidR="00CB0DD7" w:rsidRPr="000A0A5F" w:rsidRDefault="00CB0DD7">
      <w:pPr>
        <w:pStyle w:val="PL"/>
      </w:pPr>
      <w:r w:rsidRPr="000A0A5F">
        <w:t xml:space="preserve">        '403':</w:t>
      </w:r>
    </w:p>
    <w:p w:rsidR="00CB0DD7" w:rsidRPr="000A0A5F" w:rsidRDefault="00CB0DD7">
      <w:pPr>
        <w:pStyle w:val="PL"/>
      </w:pPr>
      <w:r w:rsidRPr="000A0A5F">
        <w:t xml:space="preserve">          $ref: 'TS29122_CommonData.yaml#/components/responses/403'</w:t>
      </w:r>
    </w:p>
    <w:p w:rsidR="00CB0DD7" w:rsidRPr="000A0A5F" w:rsidRDefault="00CB0DD7">
      <w:pPr>
        <w:pStyle w:val="PL"/>
      </w:pPr>
      <w:r w:rsidRPr="000A0A5F">
        <w:t xml:space="preserve">        '404':</w:t>
      </w:r>
    </w:p>
    <w:p w:rsidR="00CB0DD7" w:rsidRPr="000A0A5F" w:rsidRDefault="00CB0DD7">
      <w:pPr>
        <w:pStyle w:val="PL"/>
      </w:pPr>
      <w:r w:rsidRPr="000A0A5F">
        <w:t xml:space="preserve">          $ref: 'TS29122_CommonData.yaml#/components/responses/404'</w:t>
      </w:r>
    </w:p>
    <w:p w:rsidR="00CB0DD7" w:rsidRPr="000A0A5F" w:rsidRDefault="00CB0DD7">
      <w:pPr>
        <w:pStyle w:val="PL"/>
      </w:pPr>
      <w:r w:rsidRPr="000A0A5F">
        <w:t xml:space="preserve">        '429':</w:t>
      </w:r>
    </w:p>
    <w:p w:rsidR="00CB0DD7" w:rsidRPr="000A0A5F" w:rsidRDefault="00CB0DD7">
      <w:pPr>
        <w:pStyle w:val="PL"/>
      </w:pPr>
      <w:r w:rsidRPr="000A0A5F">
        <w:t xml:space="preserve">          $ref: 'TS29122_CommonData.yaml#/components/responses/429'</w:t>
      </w:r>
    </w:p>
    <w:p w:rsidR="00CB0DD7" w:rsidRPr="000A0A5F" w:rsidRDefault="00CB0DD7">
      <w:pPr>
        <w:pStyle w:val="PL"/>
      </w:pPr>
      <w:r w:rsidRPr="000A0A5F">
        <w:t xml:space="preserve">        '500':</w:t>
      </w:r>
    </w:p>
    <w:p w:rsidR="00CB0DD7" w:rsidRPr="000A0A5F" w:rsidRDefault="00CB0DD7">
      <w:pPr>
        <w:pStyle w:val="PL"/>
      </w:pPr>
      <w:r w:rsidRPr="000A0A5F">
        <w:t xml:space="preserve">          $ref: 'TS29122_CommonData.yaml#/components/responses/500'</w:t>
      </w:r>
    </w:p>
    <w:p w:rsidR="00CB0DD7" w:rsidRPr="000A0A5F" w:rsidRDefault="00CB0DD7">
      <w:pPr>
        <w:pStyle w:val="PL"/>
      </w:pPr>
      <w:r w:rsidRPr="000A0A5F">
        <w:t xml:space="preserve">        '503':</w:t>
      </w:r>
    </w:p>
    <w:p w:rsidR="00CB0DD7" w:rsidRPr="000A0A5F" w:rsidRDefault="00CB0DD7">
      <w:pPr>
        <w:pStyle w:val="PL"/>
      </w:pPr>
      <w:r w:rsidRPr="000A0A5F">
        <w:t xml:space="preserve">          $ref: 'TS29122_CommonData.yaml#/components/responses/503'</w:t>
      </w:r>
    </w:p>
    <w:p w:rsidR="00CB0DD7" w:rsidRPr="000A0A5F" w:rsidRDefault="00CB0DD7">
      <w:pPr>
        <w:pStyle w:val="PL"/>
      </w:pPr>
      <w:r w:rsidRPr="000A0A5F">
        <w:t xml:space="preserve">        default:</w:t>
      </w:r>
    </w:p>
    <w:p w:rsidR="00CB0DD7" w:rsidRPr="000A0A5F" w:rsidRDefault="00CB0DD7">
      <w:pPr>
        <w:pStyle w:val="PL"/>
      </w:pPr>
      <w:r w:rsidRPr="000A0A5F">
        <w:t xml:space="preserve">          $ref: 'TS29122_CommonData.yaml#/components/responses/default'</w:t>
      </w:r>
    </w:p>
    <w:p w:rsidR="00CB0DD7" w:rsidRPr="000A0A5F" w:rsidRDefault="00CB0DD7">
      <w:pPr>
        <w:pStyle w:val="PL"/>
      </w:pPr>
    </w:p>
    <w:p w:rsidR="00CB0DD7" w:rsidRPr="000A0A5F" w:rsidRDefault="00CB0DD7">
      <w:pPr>
        <w:pStyle w:val="PL"/>
        <w:rPr>
          <w:rFonts w:hint="eastAsia"/>
        </w:rPr>
      </w:pPr>
      <w:r w:rsidRPr="000A0A5F">
        <w:rPr>
          <w:lang w:val="en-US"/>
        </w:rPr>
        <w:t xml:space="preserve">  </w:t>
      </w:r>
      <w:r w:rsidRPr="000A0A5F">
        <w:t>/{scsAsId}/services/{serviceId}/delivery-via-mbms:</w:t>
      </w:r>
    </w:p>
    <w:p w:rsidR="00CB0DD7" w:rsidRPr="000A0A5F" w:rsidRDefault="00CB0DD7">
      <w:pPr>
        <w:pStyle w:val="PL"/>
        <w:tabs>
          <w:tab w:val="clear" w:pos="384"/>
        </w:tabs>
        <w:rPr>
          <w:rFonts w:hint="eastAsia"/>
        </w:rPr>
      </w:pPr>
      <w:r w:rsidRPr="000A0A5F">
        <w:rPr>
          <w:rFonts w:hint="eastAsia"/>
        </w:rPr>
        <w:t xml:space="preserve">    </w:t>
      </w:r>
      <w:r w:rsidRPr="000A0A5F">
        <w:t>get</w:t>
      </w:r>
      <w:r w:rsidRPr="000A0A5F">
        <w:rPr>
          <w:rFonts w:hint="eastAsia"/>
        </w:rPr>
        <w:t>:</w:t>
      </w:r>
    </w:p>
    <w:p w:rsidR="00CB0DD7" w:rsidRPr="000A0A5F" w:rsidRDefault="00CB0DD7">
      <w:pPr>
        <w:pStyle w:val="PL"/>
        <w:rPr>
          <w:rFonts w:hint="eastAsia"/>
        </w:rPr>
      </w:pPr>
      <w:r w:rsidRPr="000A0A5F">
        <w:rPr>
          <w:rFonts w:hint="eastAsia"/>
        </w:rPr>
        <w:t xml:space="preserve">      summary: </w:t>
      </w:r>
      <w:r w:rsidR="00105D78" w:rsidRPr="000A0A5F">
        <w:rPr>
          <w:lang w:eastAsia="zh-CN"/>
        </w:rPr>
        <w:t>R</w:t>
      </w:r>
      <w:r w:rsidRPr="000A0A5F">
        <w:rPr>
          <w:lang w:eastAsia="zh-CN"/>
        </w:rPr>
        <w:t>ead all group message delivery via MBMS resource for a given SCS/AS and a service id</w:t>
      </w:r>
      <w:r w:rsidR="00105D78" w:rsidRPr="000A0A5F">
        <w:rPr>
          <w:lang w:eastAsia="zh-CN"/>
        </w:rPr>
        <w:t>.</w:t>
      </w:r>
    </w:p>
    <w:p w:rsidR="00105D78" w:rsidRPr="000A0A5F" w:rsidRDefault="00105D78" w:rsidP="00105D78">
      <w:pPr>
        <w:pStyle w:val="PL"/>
      </w:pPr>
      <w:r w:rsidRPr="000A0A5F">
        <w:t xml:space="preserve">      </w:t>
      </w:r>
      <w:r w:rsidRPr="000A0A5F">
        <w:rPr>
          <w:rFonts w:cs="Courier New"/>
          <w:szCs w:val="16"/>
        </w:rPr>
        <w:t>operationId: FetchAll</w:t>
      </w:r>
      <w:r w:rsidRPr="000A0A5F">
        <w:rPr>
          <w:rFonts w:hint="eastAsia"/>
          <w:lang w:eastAsia="zh-CN"/>
        </w:rPr>
        <w:t>GMD</w:t>
      </w:r>
      <w:r w:rsidRPr="000A0A5F">
        <w:rPr>
          <w:lang w:eastAsia="zh-CN"/>
        </w:rPr>
        <w:t>V</w:t>
      </w:r>
      <w:r w:rsidRPr="000A0A5F">
        <w:rPr>
          <w:rFonts w:hint="eastAsia"/>
          <w:lang w:eastAsia="zh-CN"/>
        </w:rPr>
        <w:t>iaMBMS</w:t>
      </w:r>
    </w:p>
    <w:p w:rsidR="00CB0DD7" w:rsidRPr="000A0A5F" w:rsidRDefault="00CB0DD7">
      <w:pPr>
        <w:pStyle w:val="PL"/>
        <w:rPr>
          <w:rFonts w:hint="eastAsia"/>
        </w:rPr>
      </w:pPr>
      <w:r w:rsidRPr="000A0A5F">
        <w:rPr>
          <w:rFonts w:hint="eastAsia"/>
        </w:rPr>
        <w:t xml:space="preserve">      tags:</w:t>
      </w:r>
    </w:p>
    <w:p w:rsidR="00CB0DD7" w:rsidRPr="000A0A5F" w:rsidRDefault="00CB0DD7">
      <w:pPr>
        <w:pStyle w:val="PL"/>
        <w:rPr>
          <w:rFonts w:hint="eastAsia"/>
        </w:rPr>
      </w:pPr>
      <w:r w:rsidRPr="000A0A5F">
        <w:rPr>
          <w:rFonts w:hint="eastAsia"/>
        </w:rPr>
        <w:t xml:space="preserve">        - </w:t>
      </w:r>
      <w:r w:rsidRPr="000A0A5F">
        <w:t>Delivery via MBMS Operation</w:t>
      </w:r>
    </w:p>
    <w:p w:rsidR="00CB0DD7" w:rsidRPr="000A0A5F" w:rsidRDefault="00CB0DD7">
      <w:pPr>
        <w:pStyle w:val="PL"/>
        <w:rPr>
          <w:rFonts w:hint="eastAsia"/>
        </w:rPr>
      </w:pPr>
      <w:r w:rsidRPr="000A0A5F">
        <w:rPr>
          <w:rFonts w:hint="eastAsia"/>
        </w:rPr>
        <w:t xml:space="preserve">      parameters:</w:t>
      </w:r>
    </w:p>
    <w:p w:rsidR="00CB0DD7" w:rsidRPr="000A0A5F" w:rsidRDefault="00CB0DD7">
      <w:pPr>
        <w:pStyle w:val="PL"/>
        <w:rPr>
          <w:rFonts w:hint="eastAsia"/>
        </w:rPr>
      </w:pPr>
      <w:r w:rsidRPr="000A0A5F">
        <w:rPr>
          <w:rFonts w:hint="eastAsia"/>
        </w:rPr>
        <w:t xml:space="preserve">        - name: </w:t>
      </w:r>
      <w:r w:rsidRPr="000A0A5F">
        <w:t>scsAsId</w:t>
      </w:r>
    </w:p>
    <w:p w:rsidR="00CB0DD7" w:rsidRPr="000A0A5F" w:rsidRDefault="00CB0DD7">
      <w:pPr>
        <w:pStyle w:val="PL"/>
        <w:rPr>
          <w:rFonts w:hint="eastAsia"/>
        </w:rPr>
      </w:pPr>
      <w:r w:rsidRPr="000A0A5F">
        <w:rPr>
          <w:rFonts w:hint="eastAsia"/>
        </w:rPr>
        <w:t xml:space="preserve">          in: path</w:t>
      </w:r>
    </w:p>
    <w:p w:rsidR="00CB0DD7" w:rsidRPr="000A0A5F" w:rsidRDefault="00CB0DD7">
      <w:pPr>
        <w:pStyle w:val="PL"/>
        <w:rPr>
          <w:rFonts w:hint="eastAsia"/>
        </w:rPr>
      </w:pPr>
      <w:r w:rsidRPr="000A0A5F">
        <w:rPr>
          <w:rFonts w:hint="eastAsia"/>
        </w:rPr>
        <w:t xml:space="preserve">          description: Identifier of </w:t>
      </w:r>
      <w:r w:rsidRPr="000A0A5F">
        <w:t>SCS/AS</w:t>
      </w:r>
    </w:p>
    <w:p w:rsidR="00CB0DD7" w:rsidRPr="000A0A5F" w:rsidRDefault="00CB0DD7">
      <w:pPr>
        <w:pStyle w:val="PL"/>
        <w:rPr>
          <w:rFonts w:hint="eastAsia"/>
        </w:rPr>
      </w:pPr>
      <w:r w:rsidRPr="000A0A5F">
        <w:rPr>
          <w:rFonts w:hint="eastAsia"/>
        </w:rPr>
        <w:t xml:space="preserve">          required: true</w:t>
      </w:r>
    </w:p>
    <w:p w:rsidR="00CB0DD7" w:rsidRPr="000A0A5F" w:rsidRDefault="00CB0DD7">
      <w:pPr>
        <w:pStyle w:val="PL"/>
        <w:rPr>
          <w:rFonts w:hint="eastAsia"/>
        </w:rPr>
      </w:pPr>
      <w:r w:rsidRPr="000A0A5F">
        <w:rPr>
          <w:rFonts w:hint="eastAsia"/>
        </w:rPr>
        <w:t xml:space="preserve">          schema:</w:t>
      </w:r>
    </w:p>
    <w:p w:rsidR="00CB0DD7" w:rsidRPr="000A0A5F" w:rsidRDefault="00CB0DD7">
      <w:pPr>
        <w:pStyle w:val="PL"/>
      </w:pPr>
      <w:r w:rsidRPr="000A0A5F">
        <w:rPr>
          <w:rFonts w:hint="eastAsia"/>
        </w:rPr>
        <w:t xml:space="preserve">            type: string</w:t>
      </w:r>
    </w:p>
    <w:p w:rsidR="00CB0DD7" w:rsidRPr="000A0A5F" w:rsidRDefault="00CB0DD7">
      <w:pPr>
        <w:pStyle w:val="PL"/>
        <w:rPr>
          <w:rFonts w:hint="eastAsia"/>
        </w:rPr>
      </w:pPr>
      <w:r w:rsidRPr="000A0A5F">
        <w:rPr>
          <w:rFonts w:hint="eastAsia"/>
        </w:rPr>
        <w:t xml:space="preserve">        - name: </w:t>
      </w:r>
      <w:r w:rsidRPr="000A0A5F">
        <w:t>serviceId</w:t>
      </w:r>
    </w:p>
    <w:p w:rsidR="00CB0DD7" w:rsidRPr="000A0A5F" w:rsidRDefault="00CB0DD7">
      <w:pPr>
        <w:pStyle w:val="PL"/>
        <w:rPr>
          <w:rFonts w:hint="eastAsia"/>
        </w:rPr>
      </w:pPr>
      <w:r w:rsidRPr="000A0A5F">
        <w:rPr>
          <w:rFonts w:hint="eastAsia"/>
        </w:rPr>
        <w:t xml:space="preserve">          in: path</w:t>
      </w:r>
    </w:p>
    <w:p w:rsidR="00CB0DD7" w:rsidRPr="000A0A5F" w:rsidRDefault="00CB0DD7">
      <w:pPr>
        <w:pStyle w:val="PL"/>
        <w:rPr>
          <w:rFonts w:hint="eastAsia"/>
        </w:rPr>
      </w:pPr>
      <w:r w:rsidRPr="000A0A5F">
        <w:rPr>
          <w:rFonts w:hint="eastAsia"/>
        </w:rPr>
        <w:t xml:space="preserve">          description: </w:t>
      </w:r>
      <w:r w:rsidRPr="000A0A5F">
        <w:t>Service Id</w:t>
      </w:r>
    </w:p>
    <w:p w:rsidR="00CB0DD7" w:rsidRPr="000A0A5F" w:rsidRDefault="00CB0DD7">
      <w:pPr>
        <w:pStyle w:val="PL"/>
        <w:rPr>
          <w:rFonts w:hint="eastAsia"/>
        </w:rPr>
      </w:pPr>
      <w:r w:rsidRPr="000A0A5F">
        <w:rPr>
          <w:rFonts w:hint="eastAsia"/>
        </w:rPr>
        <w:t xml:space="preserve">          required: true</w:t>
      </w:r>
    </w:p>
    <w:p w:rsidR="00CB0DD7" w:rsidRPr="000A0A5F" w:rsidRDefault="00CB0DD7">
      <w:pPr>
        <w:pStyle w:val="PL"/>
        <w:rPr>
          <w:rFonts w:hint="eastAsia"/>
        </w:rPr>
      </w:pPr>
      <w:r w:rsidRPr="000A0A5F">
        <w:rPr>
          <w:rFonts w:hint="eastAsia"/>
        </w:rPr>
        <w:t xml:space="preserve">          schema:</w:t>
      </w:r>
    </w:p>
    <w:p w:rsidR="00CB0DD7" w:rsidRPr="000A0A5F" w:rsidRDefault="00CB0DD7">
      <w:pPr>
        <w:pStyle w:val="PL"/>
      </w:pPr>
      <w:r w:rsidRPr="000A0A5F">
        <w:rPr>
          <w:rFonts w:hint="eastAsia"/>
        </w:rPr>
        <w:t xml:space="preserve">            type: string</w:t>
      </w:r>
    </w:p>
    <w:p w:rsidR="00CB0DD7" w:rsidRPr="000A0A5F" w:rsidRDefault="00CB0DD7">
      <w:pPr>
        <w:pStyle w:val="PL"/>
        <w:rPr>
          <w:rFonts w:hint="eastAsia"/>
        </w:rPr>
      </w:pPr>
      <w:r w:rsidRPr="000A0A5F">
        <w:rPr>
          <w:rFonts w:hint="eastAsia"/>
        </w:rPr>
        <w:t xml:space="preserve">      responses:</w:t>
      </w:r>
    </w:p>
    <w:p w:rsidR="00CB0DD7" w:rsidRPr="000A0A5F" w:rsidRDefault="00CB0DD7">
      <w:pPr>
        <w:pStyle w:val="PL"/>
        <w:rPr>
          <w:rFonts w:hint="eastAsia"/>
        </w:rPr>
      </w:pPr>
      <w:r w:rsidRPr="000A0A5F">
        <w:rPr>
          <w:rFonts w:hint="eastAsia"/>
        </w:rPr>
        <w:t xml:space="preserve">        '200':</w:t>
      </w:r>
    </w:p>
    <w:p w:rsidR="00CB0DD7" w:rsidRPr="000A0A5F" w:rsidRDefault="00CB0DD7">
      <w:pPr>
        <w:pStyle w:val="PL"/>
        <w:rPr>
          <w:rFonts w:hint="eastAsia"/>
        </w:rPr>
      </w:pPr>
      <w:r w:rsidRPr="000A0A5F">
        <w:rPr>
          <w:rFonts w:hint="eastAsia"/>
        </w:rPr>
        <w:t xml:space="preserve">          description: OK (</w:t>
      </w:r>
      <w:r w:rsidRPr="000A0A5F">
        <w:t>successful query of Delivery via MBMS resource</w:t>
      </w:r>
      <w:r w:rsidRPr="000A0A5F">
        <w:rPr>
          <w:rFonts w:hint="eastAsia"/>
        </w:rPr>
        <w:t>)</w:t>
      </w:r>
    </w:p>
    <w:p w:rsidR="00CB0DD7" w:rsidRPr="000A0A5F" w:rsidRDefault="00CB0DD7">
      <w:pPr>
        <w:pStyle w:val="PL"/>
        <w:rPr>
          <w:rFonts w:hint="eastAsia"/>
        </w:rPr>
      </w:pPr>
      <w:r w:rsidRPr="000A0A5F">
        <w:rPr>
          <w:rFonts w:hint="eastAsia"/>
        </w:rPr>
        <w:t xml:space="preserve">          content:</w:t>
      </w:r>
    </w:p>
    <w:p w:rsidR="00CB0DD7" w:rsidRPr="000A0A5F" w:rsidRDefault="00CB0DD7">
      <w:pPr>
        <w:pStyle w:val="PL"/>
        <w:rPr>
          <w:rFonts w:hint="eastAsia"/>
        </w:rPr>
      </w:pPr>
      <w:r w:rsidRPr="000A0A5F">
        <w:rPr>
          <w:rFonts w:hint="eastAsia"/>
        </w:rPr>
        <w:t xml:space="preserve">            application/json:</w:t>
      </w:r>
    </w:p>
    <w:p w:rsidR="00CB0DD7" w:rsidRPr="000A0A5F" w:rsidRDefault="00CB0DD7">
      <w:pPr>
        <w:pStyle w:val="PL"/>
      </w:pPr>
      <w:r w:rsidRPr="000A0A5F">
        <w:rPr>
          <w:rFonts w:hint="eastAsia"/>
        </w:rPr>
        <w:t xml:space="preserve">              schema:</w:t>
      </w:r>
    </w:p>
    <w:p w:rsidR="00CB0DD7" w:rsidRPr="000A0A5F" w:rsidRDefault="00CB0DD7">
      <w:pPr>
        <w:pStyle w:val="PL"/>
      </w:pPr>
      <w:r w:rsidRPr="000A0A5F">
        <w:rPr>
          <w:rFonts w:hint="eastAsia"/>
        </w:rPr>
        <w:t xml:space="preserve">                </w:t>
      </w:r>
      <w:r w:rsidRPr="000A0A5F">
        <w:t>type: array</w:t>
      </w:r>
    </w:p>
    <w:p w:rsidR="00CB0DD7" w:rsidRPr="000A0A5F" w:rsidRDefault="00CB0DD7">
      <w:pPr>
        <w:pStyle w:val="PL"/>
      </w:pPr>
      <w:r w:rsidRPr="000A0A5F">
        <w:t xml:space="preserve">                items:</w:t>
      </w:r>
    </w:p>
    <w:p w:rsidR="00CB0DD7" w:rsidRPr="000A0A5F" w:rsidRDefault="00CB0DD7">
      <w:pPr>
        <w:pStyle w:val="PL"/>
      </w:pPr>
      <w:r w:rsidRPr="000A0A5F">
        <w:t xml:space="preserve">                  </w:t>
      </w:r>
      <w:r w:rsidRPr="000A0A5F">
        <w:rPr>
          <w:rFonts w:hint="eastAsia"/>
        </w:rPr>
        <w:t>$ref: '#/components/schemas/</w:t>
      </w:r>
      <w:r w:rsidRPr="000A0A5F">
        <w:t>GMDViaMBMSByxMB</w:t>
      </w:r>
      <w:r w:rsidRPr="000A0A5F">
        <w:rPr>
          <w:rFonts w:hint="eastAsia"/>
        </w:rPr>
        <w:t>'</w:t>
      </w:r>
    </w:p>
    <w:p w:rsidR="00CB0DD7" w:rsidRPr="000A0A5F" w:rsidRDefault="00CB0DD7">
      <w:pPr>
        <w:pStyle w:val="PL"/>
      </w:pPr>
      <w:r w:rsidRPr="000A0A5F">
        <w:t xml:space="preserve">                minItems: 0</w:t>
      </w:r>
    </w:p>
    <w:p w:rsidR="00CB0DD7" w:rsidRPr="000A0A5F" w:rsidRDefault="00CB0DD7">
      <w:pPr>
        <w:pStyle w:val="PL"/>
      </w:pPr>
      <w:r w:rsidRPr="000A0A5F">
        <w:t xml:space="preserve">        '307':</w:t>
      </w:r>
    </w:p>
    <w:p w:rsidR="00CB0DD7" w:rsidRPr="000A0A5F" w:rsidRDefault="00CB0DD7">
      <w:pPr>
        <w:pStyle w:val="PL"/>
      </w:pPr>
      <w:r w:rsidRPr="000A0A5F">
        <w:t xml:space="preserve">          $ref: 'TS29122_CommonData.yaml#/components/responses/307'</w:t>
      </w:r>
    </w:p>
    <w:p w:rsidR="00CB0DD7" w:rsidRPr="000A0A5F" w:rsidRDefault="00CB0DD7">
      <w:pPr>
        <w:pStyle w:val="PL"/>
      </w:pPr>
      <w:r w:rsidRPr="000A0A5F">
        <w:t xml:space="preserve">        '308':</w:t>
      </w:r>
    </w:p>
    <w:p w:rsidR="00CB0DD7" w:rsidRPr="000A0A5F" w:rsidRDefault="00CB0DD7">
      <w:pPr>
        <w:pStyle w:val="PL"/>
      </w:pPr>
      <w:r w:rsidRPr="000A0A5F">
        <w:t xml:space="preserve">          $ref: 'TS29122_CommonData.yaml#/components/responses/308'</w:t>
      </w:r>
    </w:p>
    <w:p w:rsidR="00CB0DD7" w:rsidRPr="000A0A5F" w:rsidRDefault="00CB0DD7">
      <w:pPr>
        <w:pStyle w:val="PL"/>
      </w:pPr>
      <w:r w:rsidRPr="000A0A5F">
        <w:t xml:space="preserve">        '400':</w:t>
      </w:r>
    </w:p>
    <w:p w:rsidR="00CB0DD7" w:rsidRPr="000A0A5F" w:rsidRDefault="00CB0DD7">
      <w:pPr>
        <w:pStyle w:val="PL"/>
      </w:pPr>
      <w:r w:rsidRPr="000A0A5F">
        <w:t xml:space="preserve">          $ref: 'TS29122_CommonData.yaml#/components/responses/400'</w:t>
      </w:r>
    </w:p>
    <w:p w:rsidR="00CB0DD7" w:rsidRPr="000A0A5F" w:rsidRDefault="00CB0DD7">
      <w:pPr>
        <w:pStyle w:val="PL"/>
      </w:pPr>
      <w:r w:rsidRPr="000A0A5F">
        <w:t xml:space="preserve">        '401':</w:t>
      </w:r>
    </w:p>
    <w:p w:rsidR="00CB0DD7" w:rsidRPr="000A0A5F" w:rsidRDefault="00CB0DD7">
      <w:pPr>
        <w:pStyle w:val="PL"/>
      </w:pPr>
      <w:r w:rsidRPr="000A0A5F">
        <w:t xml:space="preserve">          $ref: 'TS29122_CommonData.yaml#/components/responses/401'</w:t>
      </w:r>
    </w:p>
    <w:p w:rsidR="00CB0DD7" w:rsidRPr="000A0A5F" w:rsidRDefault="00CB0DD7">
      <w:pPr>
        <w:pStyle w:val="PL"/>
      </w:pPr>
      <w:r w:rsidRPr="000A0A5F">
        <w:t xml:space="preserve">        '403':</w:t>
      </w:r>
    </w:p>
    <w:p w:rsidR="00CB0DD7" w:rsidRPr="000A0A5F" w:rsidRDefault="00CB0DD7">
      <w:pPr>
        <w:pStyle w:val="PL"/>
      </w:pPr>
      <w:r w:rsidRPr="000A0A5F">
        <w:t xml:space="preserve">          $ref: 'TS29122_CommonData.yaml#/components/responses/403'</w:t>
      </w:r>
    </w:p>
    <w:p w:rsidR="00CB0DD7" w:rsidRPr="000A0A5F" w:rsidRDefault="00CB0DD7">
      <w:pPr>
        <w:pStyle w:val="PL"/>
      </w:pPr>
      <w:r w:rsidRPr="000A0A5F">
        <w:t xml:space="preserve">        '404':</w:t>
      </w:r>
    </w:p>
    <w:p w:rsidR="00CB0DD7" w:rsidRPr="000A0A5F" w:rsidRDefault="00CB0DD7">
      <w:pPr>
        <w:pStyle w:val="PL"/>
      </w:pPr>
      <w:r w:rsidRPr="000A0A5F">
        <w:t xml:space="preserve">          $ref: 'TS29122_CommonData.yaml#/components/responses/404'</w:t>
      </w:r>
    </w:p>
    <w:p w:rsidR="00CB0DD7" w:rsidRPr="000A0A5F" w:rsidRDefault="00CB0DD7">
      <w:pPr>
        <w:pStyle w:val="PL"/>
      </w:pPr>
      <w:r w:rsidRPr="000A0A5F">
        <w:t xml:space="preserve">        '406':</w:t>
      </w:r>
    </w:p>
    <w:p w:rsidR="00CB0DD7" w:rsidRPr="000A0A5F" w:rsidRDefault="00CB0DD7">
      <w:pPr>
        <w:pStyle w:val="PL"/>
      </w:pPr>
      <w:r w:rsidRPr="000A0A5F">
        <w:t xml:space="preserve">          $ref: 'TS29122_CommonData.yaml#/components/responses/406'</w:t>
      </w:r>
    </w:p>
    <w:p w:rsidR="00CB0DD7" w:rsidRPr="000A0A5F" w:rsidRDefault="00CB0DD7">
      <w:pPr>
        <w:pStyle w:val="PL"/>
      </w:pPr>
      <w:r w:rsidRPr="000A0A5F">
        <w:t xml:space="preserve">        '429':</w:t>
      </w:r>
    </w:p>
    <w:p w:rsidR="00CB0DD7" w:rsidRPr="000A0A5F" w:rsidRDefault="00CB0DD7">
      <w:pPr>
        <w:pStyle w:val="PL"/>
      </w:pPr>
      <w:r w:rsidRPr="000A0A5F">
        <w:t xml:space="preserve">          $ref: 'TS29122_CommonData.yaml#/components/responses/429'</w:t>
      </w:r>
    </w:p>
    <w:p w:rsidR="00CB0DD7" w:rsidRPr="000A0A5F" w:rsidRDefault="00CB0DD7">
      <w:pPr>
        <w:pStyle w:val="PL"/>
      </w:pPr>
      <w:r w:rsidRPr="000A0A5F">
        <w:t xml:space="preserve">        '500':</w:t>
      </w:r>
    </w:p>
    <w:p w:rsidR="00CB0DD7" w:rsidRPr="000A0A5F" w:rsidRDefault="00CB0DD7">
      <w:pPr>
        <w:pStyle w:val="PL"/>
      </w:pPr>
      <w:r w:rsidRPr="000A0A5F">
        <w:t xml:space="preserve">          $ref: 'TS29122_CommonData.yaml#/components/responses/500'</w:t>
      </w:r>
    </w:p>
    <w:p w:rsidR="00CB0DD7" w:rsidRPr="000A0A5F" w:rsidRDefault="00CB0DD7">
      <w:pPr>
        <w:pStyle w:val="PL"/>
      </w:pPr>
      <w:r w:rsidRPr="000A0A5F">
        <w:t xml:space="preserve">        '503':</w:t>
      </w:r>
    </w:p>
    <w:p w:rsidR="00CB0DD7" w:rsidRPr="000A0A5F" w:rsidRDefault="00CB0DD7">
      <w:pPr>
        <w:pStyle w:val="PL"/>
      </w:pPr>
      <w:r w:rsidRPr="000A0A5F">
        <w:t xml:space="preserve">          $ref: 'TS29122_CommonData.yaml#/components/responses/503'</w:t>
      </w:r>
    </w:p>
    <w:p w:rsidR="00CB0DD7" w:rsidRPr="000A0A5F" w:rsidRDefault="00CB0DD7">
      <w:pPr>
        <w:pStyle w:val="PL"/>
      </w:pPr>
      <w:r w:rsidRPr="000A0A5F">
        <w:t xml:space="preserve">        default:</w:t>
      </w:r>
    </w:p>
    <w:p w:rsidR="00CB0DD7" w:rsidRPr="000A0A5F" w:rsidRDefault="00CB0DD7">
      <w:pPr>
        <w:pStyle w:val="PL"/>
        <w:rPr>
          <w:rFonts w:hint="eastAsia"/>
        </w:rPr>
      </w:pPr>
      <w:r w:rsidRPr="000A0A5F">
        <w:t xml:space="preserve">          $ref: 'TS29122_CommonData.yaml#/components/responses/default'</w:t>
      </w:r>
    </w:p>
    <w:p w:rsidR="00CB0DD7" w:rsidRPr="000A0A5F" w:rsidRDefault="00CB0DD7">
      <w:pPr>
        <w:pStyle w:val="PL"/>
        <w:rPr>
          <w:rFonts w:hint="eastAsia"/>
        </w:rPr>
      </w:pPr>
    </w:p>
    <w:p w:rsidR="00CB0DD7" w:rsidRPr="000A0A5F" w:rsidRDefault="00CB0DD7">
      <w:pPr>
        <w:pStyle w:val="PL"/>
        <w:tabs>
          <w:tab w:val="clear" w:pos="384"/>
        </w:tabs>
      </w:pPr>
      <w:r w:rsidRPr="000A0A5F">
        <w:t xml:space="preserve">    post:</w:t>
      </w:r>
    </w:p>
    <w:p w:rsidR="00CB0DD7" w:rsidRPr="000A0A5F" w:rsidRDefault="00CB0DD7">
      <w:pPr>
        <w:pStyle w:val="PL"/>
        <w:rPr>
          <w:lang w:eastAsia="zh-CN"/>
        </w:rPr>
      </w:pPr>
      <w:r w:rsidRPr="000A0A5F">
        <w:t xml:space="preserve">      summary: Creates a </w:t>
      </w:r>
      <w:r w:rsidRPr="000A0A5F">
        <w:rPr>
          <w:lang w:eastAsia="zh-CN"/>
        </w:rPr>
        <w:t>new delivery via MBMS for a given SCS/AS</w:t>
      </w:r>
      <w:r w:rsidRPr="000A0A5F">
        <w:rPr>
          <w:rFonts w:hint="eastAsia"/>
          <w:lang w:eastAsia="zh-CN"/>
        </w:rPr>
        <w:t xml:space="preserve"> and a </w:t>
      </w:r>
      <w:r w:rsidRPr="000A0A5F">
        <w:rPr>
          <w:lang w:eastAsia="zh-CN"/>
        </w:rPr>
        <w:t>service Id</w:t>
      </w:r>
      <w:r w:rsidR="00105D78" w:rsidRPr="000A0A5F">
        <w:rPr>
          <w:lang w:eastAsia="zh-CN"/>
        </w:rPr>
        <w:t>.</w:t>
      </w:r>
    </w:p>
    <w:p w:rsidR="00105D78" w:rsidRPr="000A0A5F" w:rsidRDefault="00105D78" w:rsidP="00105D78">
      <w:pPr>
        <w:pStyle w:val="PL"/>
      </w:pPr>
      <w:r w:rsidRPr="000A0A5F">
        <w:t xml:space="preserve">      </w:t>
      </w:r>
      <w:r w:rsidRPr="000A0A5F">
        <w:rPr>
          <w:rFonts w:cs="Courier New"/>
          <w:szCs w:val="16"/>
        </w:rPr>
        <w:t>operationId: Create</w:t>
      </w:r>
      <w:r w:rsidRPr="000A0A5F">
        <w:rPr>
          <w:rFonts w:hint="eastAsia"/>
          <w:lang w:eastAsia="zh-CN"/>
        </w:rPr>
        <w:t>GMD</w:t>
      </w:r>
      <w:r w:rsidRPr="000A0A5F">
        <w:rPr>
          <w:lang w:eastAsia="zh-CN"/>
        </w:rPr>
        <w:t>V</w:t>
      </w:r>
      <w:r w:rsidRPr="000A0A5F">
        <w:rPr>
          <w:rFonts w:hint="eastAsia"/>
          <w:lang w:eastAsia="zh-CN"/>
        </w:rPr>
        <w:t>iaMBMS</w:t>
      </w:r>
    </w:p>
    <w:p w:rsidR="00CB0DD7" w:rsidRPr="000A0A5F" w:rsidRDefault="00CB0DD7">
      <w:pPr>
        <w:pStyle w:val="PL"/>
        <w:rPr>
          <w:lang w:val="en-US"/>
        </w:rPr>
      </w:pPr>
      <w:r w:rsidRPr="000A0A5F">
        <w:rPr>
          <w:lang w:val="en-US"/>
        </w:rPr>
        <w:t xml:space="preserve">      tags:</w:t>
      </w:r>
    </w:p>
    <w:p w:rsidR="00CB0DD7" w:rsidRPr="000A0A5F" w:rsidRDefault="00CB0DD7">
      <w:pPr>
        <w:pStyle w:val="PL"/>
        <w:rPr>
          <w:lang w:val="en-US"/>
        </w:rPr>
      </w:pPr>
      <w:r w:rsidRPr="000A0A5F">
        <w:rPr>
          <w:lang w:val="en-US"/>
        </w:rPr>
        <w:t xml:space="preserve">        - Delivery via MBMS Operation</w:t>
      </w:r>
    </w:p>
    <w:p w:rsidR="00CB0DD7" w:rsidRPr="000A0A5F" w:rsidRDefault="00CB0DD7">
      <w:pPr>
        <w:pStyle w:val="PL"/>
        <w:rPr>
          <w:rFonts w:hint="eastAsia"/>
        </w:rPr>
      </w:pPr>
      <w:r w:rsidRPr="000A0A5F">
        <w:rPr>
          <w:rFonts w:hint="eastAsia"/>
        </w:rPr>
        <w:t xml:space="preserve">      parameters:</w:t>
      </w:r>
    </w:p>
    <w:p w:rsidR="00CB0DD7" w:rsidRPr="000A0A5F" w:rsidRDefault="00CB0DD7">
      <w:pPr>
        <w:pStyle w:val="PL"/>
        <w:rPr>
          <w:rFonts w:hint="eastAsia"/>
        </w:rPr>
      </w:pPr>
      <w:r w:rsidRPr="000A0A5F">
        <w:rPr>
          <w:rFonts w:hint="eastAsia"/>
        </w:rPr>
        <w:t xml:space="preserve">        - name: </w:t>
      </w:r>
      <w:r w:rsidRPr="000A0A5F">
        <w:t>scsAsId</w:t>
      </w:r>
    </w:p>
    <w:p w:rsidR="00CB0DD7" w:rsidRPr="000A0A5F" w:rsidRDefault="00CB0DD7">
      <w:pPr>
        <w:pStyle w:val="PL"/>
        <w:rPr>
          <w:rFonts w:hint="eastAsia"/>
        </w:rPr>
      </w:pPr>
      <w:r w:rsidRPr="000A0A5F">
        <w:rPr>
          <w:rFonts w:hint="eastAsia"/>
        </w:rPr>
        <w:t xml:space="preserve">          in: path</w:t>
      </w:r>
    </w:p>
    <w:p w:rsidR="00CB0DD7" w:rsidRPr="000A0A5F" w:rsidRDefault="00CB0DD7">
      <w:pPr>
        <w:pStyle w:val="PL"/>
        <w:rPr>
          <w:rFonts w:hint="eastAsia"/>
        </w:rPr>
      </w:pPr>
      <w:r w:rsidRPr="000A0A5F">
        <w:rPr>
          <w:rFonts w:hint="eastAsia"/>
        </w:rPr>
        <w:t xml:space="preserve">          description: Identifier of </w:t>
      </w:r>
      <w:r w:rsidRPr="000A0A5F">
        <w:t>SCS/AS</w:t>
      </w:r>
    </w:p>
    <w:p w:rsidR="00CB0DD7" w:rsidRPr="000A0A5F" w:rsidRDefault="00CB0DD7">
      <w:pPr>
        <w:pStyle w:val="PL"/>
        <w:rPr>
          <w:rFonts w:hint="eastAsia"/>
        </w:rPr>
      </w:pPr>
      <w:r w:rsidRPr="000A0A5F">
        <w:rPr>
          <w:rFonts w:hint="eastAsia"/>
        </w:rPr>
        <w:t xml:space="preserve">          required: true</w:t>
      </w:r>
    </w:p>
    <w:p w:rsidR="00CB0DD7" w:rsidRPr="000A0A5F" w:rsidRDefault="00CB0DD7">
      <w:pPr>
        <w:pStyle w:val="PL"/>
        <w:rPr>
          <w:rFonts w:hint="eastAsia"/>
        </w:rPr>
      </w:pPr>
      <w:r w:rsidRPr="000A0A5F">
        <w:rPr>
          <w:rFonts w:hint="eastAsia"/>
        </w:rPr>
        <w:t xml:space="preserve">          schema:</w:t>
      </w:r>
    </w:p>
    <w:p w:rsidR="00CB0DD7" w:rsidRPr="000A0A5F" w:rsidRDefault="00CB0DD7">
      <w:pPr>
        <w:pStyle w:val="PL"/>
      </w:pPr>
      <w:r w:rsidRPr="000A0A5F">
        <w:rPr>
          <w:rFonts w:hint="eastAsia"/>
        </w:rPr>
        <w:t xml:space="preserve">            type: string</w:t>
      </w:r>
    </w:p>
    <w:p w:rsidR="00CB0DD7" w:rsidRPr="000A0A5F" w:rsidRDefault="00CB0DD7">
      <w:pPr>
        <w:pStyle w:val="PL"/>
        <w:rPr>
          <w:rFonts w:hint="eastAsia"/>
        </w:rPr>
      </w:pPr>
      <w:r w:rsidRPr="000A0A5F">
        <w:rPr>
          <w:rFonts w:hint="eastAsia"/>
        </w:rPr>
        <w:t xml:space="preserve">        - name: </w:t>
      </w:r>
      <w:r w:rsidRPr="000A0A5F">
        <w:t>serviceId</w:t>
      </w:r>
    </w:p>
    <w:p w:rsidR="00CB0DD7" w:rsidRPr="000A0A5F" w:rsidRDefault="00CB0DD7">
      <w:pPr>
        <w:pStyle w:val="PL"/>
        <w:rPr>
          <w:rFonts w:hint="eastAsia"/>
        </w:rPr>
      </w:pPr>
      <w:r w:rsidRPr="000A0A5F">
        <w:rPr>
          <w:rFonts w:hint="eastAsia"/>
        </w:rPr>
        <w:t xml:space="preserve">          in: path</w:t>
      </w:r>
    </w:p>
    <w:p w:rsidR="00CB0DD7" w:rsidRPr="000A0A5F" w:rsidRDefault="00CB0DD7">
      <w:pPr>
        <w:pStyle w:val="PL"/>
        <w:rPr>
          <w:rFonts w:hint="eastAsia"/>
        </w:rPr>
      </w:pPr>
      <w:r w:rsidRPr="000A0A5F">
        <w:rPr>
          <w:rFonts w:hint="eastAsia"/>
        </w:rPr>
        <w:t xml:space="preserve">          description: </w:t>
      </w:r>
      <w:r w:rsidRPr="000A0A5F">
        <w:t>Service Id</w:t>
      </w:r>
    </w:p>
    <w:p w:rsidR="00CB0DD7" w:rsidRPr="000A0A5F" w:rsidRDefault="00CB0DD7">
      <w:pPr>
        <w:pStyle w:val="PL"/>
        <w:rPr>
          <w:rFonts w:hint="eastAsia"/>
        </w:rPr>
      </w:pPr>
      <w:r w:rsidRPr="000A0A5F">
        <w:rPr>
          <w:rFonts w:hint="eastAsia"/>
        </w:rPr>
        <w:t xml:space="preserve">          required: true</w:t>
      </w:r>
    </w:p>
    <w:p w:rsidR="00CB0DD7" w:rsidRPr="000A0A5F" w:rsidRDefault="00CB0DD7">
      <w:pPr>
        <w:pStyle w:val="PL"/>
        <w:rPr>
          <w:rFonts w:hint="eastAsia"/>
        </w:rPr>
      </w:pPr>
      <w:r w:rsidRPr="000A0A5F">
        <w:rPr>
          <w:rFonts w:hint="eastAsia"/>
        </w:rPr>
        <w:t xml:space="preserve">          schema:</w:t>
      </w:r>
    </w:p>
    <w:p w:rsidR="00CB0DD7" w:rsidRPr="000A0A5F" w:rsidRDefault="00CB0DD7">
      <w:pPr>
        <w:pStyle w:val="PL"/>
      </w:pPr>
      <w:r w:rsidRPr="000A0A5F">
        <w:rPr>
          <w:rFonts w:hint="eastAsia"/>
        </w:rPr>
        <w:t xml:space="preserve">            type: string</w:t>
      </w:r>
    </w:p>
    <w:p w:rsidR="00CB0DD7" w:rsidRPr="000A0A5F" w:rsidRDefault="00CB0DD7">
      <w:pPr>
        <w:pStyle w:val="PL"/>
        <w:rPr>
          <w:lang w:val="en-US"/>
        </w:rPr>
      </w:pPr>
      <w:r w:rsidRPr="000A0A5F">
        <w:rPr>
          <w:lang w:val="en-US"/>
        </w:rPr>
        <w:t xml:space="preserve">      requestBody:</w:t>
      </w:r>
    </w:p>
    <w:p w:rsidR="00CB0DD7" w:rsidRPr="000A0A5F" w:rsidRDefault="00CB0DD7">
      <w:pPr>
        <w:pStyle w:val="PL"/>
        <w:rPr>
          <w:lang w:val="en-US"/>
        </w:rPr>
      </w:pPr>
      <w:r w:rsidRPr="000A0A5F">
        <w:rPr>
          <w:lang w:val="en-US"/>
        </w:rPr>
        <w:t xml:space="preserve">        description: representation of the </w:t>
      </w:r>
      <w:r w:rsidRPr="000A0A5F">
        <w:t>GMD via MBMS by xMB resource</w:t>
      </w:r>
      <w:r w:rsidRPr="000A0A5F">
        <w:rPr>
          <w:lang w:val="en-US"/>
        </w:rPr>
        <w:t xml:space="preserve"> to be Created in the SCEF</w:t>
      </w:r>
    </w:p>
    <w:p w:rsidR="00CB0DD7" w:rsidRPr="000A0A5F" w:rsidRDefault="00CB0DD7">
      <w:pPr>
        <w:pStyle w:val="PL"/>
        <w:rPr>
          <w:lang w:val="en-US"/>
        </w:rPr>
      </w:pPr>
      <w:r w:rsidRPr="000A0A5F">
        <w:rPr>
          <w:lang w:val="en-US"/>
        </w:rPr>
        <w:t xml:space="preserve">        required: true</w:t>
      </w:r>
    </w:p>
    <w:p w:rsidR="00CB0DD7" w:rsidRPr="000A0A5F" w:rsidRDefault="00CB0DD7">
      <w:pPr>
        <w:pStyle w:val="PL"/>
        <w:rPr>
          <w:lang w:val="en-US"/>
        </w:rPr>
      </w:pPr>
      <w:r w:rsidRPr="000A0A5F">
        <w:rPr>
          <w:lang w:val="en-US"/>
        </w:rPr>
        <w:t xml:space="preserve">        content:</w:t>
      </w:r>
    </w:p>
    <w:p w:rsidR="00CB0DD7" w:rsidRPr="000A0A5F" w:rsidRDefault="00CB0DD7">
      <w:pPr>
        <w:pStyle w:val="PL"/>
        <w:rPr>
          <w:lang w:val="en-US"/>
        </w:rPr>
      </w:pPr>
      <w:r w:rsidRPr="000A0A5F">
        <w:rPr>
          <w:lang w:val="en-US"/>
        </w:rPr>
        <w:t xml:space="preserve">          application/json: </w:t>
      </w:r>
    </w:p>
    <w:p w:rsidR="00CB0DD7" w:rsidRPr="000A0A5F" w:rsidRDefault="00CB0DD7">
      <w:pPr>
        <w:pStyle w:val="PL"/>
        <w:rPr>
          <w:lang w:val="en-US"/>
        </w:rPr>
      </w:pPr>
      <w:r w:rsidRPr="000A0A5F">
        <w:rPr>
          <w:lang w:val="en-US"/>
        </w:rPr>
        <w:t xml:space="preserve">            schema:</w:t>
      </w:r>
    </w:p>
    <w:p w:rsidR="00CB0DD7" w:rsidRPr="000A0A5F" w:rsidRDefault="00CB0DD7">
      <w:pPr>
        <w:pStyle w:val="PL"/>
        <w:rPr>
          <w:lang w:val="en-US"/>
        </w:rPr>
      </w:pPr>
      <w:r w:rsidRPr="000A0A5F">
        <w:rPr>
          <w:lang w:val="en-US"/>
        </w:rPr>
        <w:t xml:space="preserve">              $ref: '#/components/schemas/</w:t>
      </w:r>
      <w:r w:rsidRPr="000A0A5F">
        <w:t>GMDViaMBMSByxMB</w:t>
      </w:r>
      <w:r w:rsidRPr="000A0A5F">
        <w:rPr>
          <w:lang w:val="en-US"/>
        </w:rPr>
        <w:t>'</w:t>
      </w:r>
    </w:p>
    <w:p w:rsidR="00CB0DD7" w:rsidRPr="000A0A5F" w:rsidRDefault="00CB0DD7">
      <w:pPr>
        <w:pStyle w:val="PL"/>
        <w:tabs>
          <w:tab w:val="clear" w:pos="768"/>
          <w:tab w:val="left" w:pos="610"/>
        </w:tabs>
        <w:rPr>
          <w:lang w:val="en-US"/>
        </w:rPr>
      </w:pPr>
      <w:r w:rsidRPr="000A0A5F">
        <w:rPr>
          <w:lang w:val="en-US"/>
        </w:rPr>
        <w:t xml:space="preserve">      callbacks:</w:t>
      </w:r>
    </w:p>
    <w:p w:rsidR="00CB0DD7" w:rsidRPr="000A0A5F" w:rsidRDefault="00CB0DD7">
      <w:pPr>
        <w:pStyle w:val="PL"/>
        <w:rPr>
          <w:lang w:val="en-US"/>
        </w:rPr>
      </w:pPr>
      <w:r w:rsidRPr="000A0A5F">
        <w:rPr>
          <w:lang w:val="en-US"/>
        </w:rPr>
        <w:t xml:space="preserve">        </w:t>
      </w:r>
      <w:r w:rsidRPr="000A0A5F">
        <w:t>gMDByxMBNotification</w:t>
      </w:r>
      <w:r w:rsidRPr="000A0A5F">
        <w:rPr>
          <w:lang w:val="en-US"/>
        </w:rPr>
        <w:t>:</w:t>
      </w:r>
    </w:p>
    <w:p w:rsidR="00CB0DD7" w:rsidRPr="000A0A5F" w:rsidRDefault="00CB0DD7">
      <w:pPr>
        <w:pStyle w:val="PL"/>
        <w:rPr>
          <w:lang w:val="en-US"/>
        </w:rPr>
      </w:pPr>
      <w:r w:rsidRPr="000A0A5F">
        <w:rPr>
          <w:lang w:val="en-US"/>
        </w:rPr>
        <w:t xml:space="preserve">          '{$request.body#/notification</w:t>
      </w:r>
      <w:r w:rsidRPr="000A0A5F">
        <w:t>Destination</w:t>
      </w:r>
      <w:r w:rsidRPr="000A0A5F">
        <w:rPr>
          <w:lang w:val="en-US"/>
        </w:rPr>
        <w:t>}':</w:t>
      </w:r>
    </w:p>
    <w:p w:rsidR="00CB0DD7" w:rsidRPr="000A0A5F" w:rsidRDefault="00CB0DD7">
      <w:pPr>
        <w:pStyle w:val="PL"/>
        <w:rPr>
          <w:lang w:val="en-US"/>
        </w:rPr>
      </w:pPr>
      <w:r w:rsidRPr="000A0A5F">
        <w:rPr>
          <w:lang w:val="en-US"/>
        </w:rPr>
        <w:t xml:space="preserve">            post:</w:t>
      </w:r>
    </w:p>
    <w:p w:rsidR="00CB0DD7" w:rsidRPr="000A0A5F" w:rsidRDefault="00CB0DD7">
      <w:pPr>
        <w:pStyle w:val="PL"/>
        <w:rPr>
          <w:lang w:val="en-US"/>
        </w:rPr>
      </w:pPr>
      <w:r w:rsidRPr="000A0A5F">
        <w:rPr>
          <w:lang w:val="en-US"/>
        </w:rPr>
        <w:t xml:space="preserve">              requestBody:  # contents of the callback message</w:t>
      </w:r>
    </w:p>
    <w:p w:rsidR="00CB0DD7" w:rsidRPr="000A0A5F" w:rsidRDefault="00CB0DD7">
      <w:pPr>
        <w:pStyle w:val="PL"/>
        <w:rPr>
          <w:lang w:val="en-US"/>
        </w:rPr>
      </w:pPr>
      <w:r w:rsidRPr="000A0A5F">
        <w:rPr>
          <w:lang w:val="en-US"/>
        </w:rPr>
        <w:t xml:space="preserve">                required: true</w:t>
      </w:r>
    </w:p>
    <w:p w:rsidR="00CB0DD7" w:rsidRPr="000A0A5F" w:rsidRDefault="00CB0DD7">
      <w:pPr>
        <w:pStyle w:val="PL"/>
        <w:rPr>
          <w:lang w:val="en-US"/>
        </w:rPr>
      </w:pPr>
      <w:r w:rsidRPr="000A0A5F">
        <w:rPr>
          <w:lang w:val="en-US"/>
        </w:rPr>
        <w:t xml:space="preserve">                content:</w:t>
      </w:r>
    </w:p>
    <w:p w:rsidR="00CB0DD7" w:rsidRPr="000A0A5F" w:rsidRDefault="00CB0DD7">
      <w:pPr>
        <w:pStyle w:val="PL"/>
        <w:rPr>
          <w:lang w:val="en-US"/>
        </w:rPr>
      </w:pPr>
      <w:r w:rsidRPr="000A0A5F">
        <w:rPr>
          <w:lang w:val="en-US"/>
        </w:rPr>
        <w:t xml:space="preserve">                  application/json:</w:t>
      </w:r>
    </w:p>
    <w:p w:rsidR="00CB0DD7" w:rsidRPr="000A0A5F" w:rsidRDefault="00CB0DD7">
      <w:pPr>
        <w:pStyle w:val="PL"/>
        <w:rPr>
          <w:lang w:val="en-US"/>
        </w:rPr>
      </w:pPr>
      <w:r w:rsidRPr="000A0A5F">
        <w:rPr>
          <w:lang w:val="en-US"/>
        </w:rPr>
        <w:t xml:space="preserve">                    schema:</w:t>
      </w:r>
    </w:p>
    <w:p w:rsidR="00CB0DD7" w:rsidRPr="000A0A5F" w:rsidRDefault="00CB0DD7">
      <w:pPr>
        <w:pStyle w:val="PL"/>
        <w:rPr>
          <w:lang w:val="en-US"/>
        </w:rPr>
      </w:pPr>
      <w:r w:rsidRPr="000A0A5F">
        <w:rPr>
          <w:lang w:val="en-US"/>
        </w:rPr>
        <w:t xml:space="preserve">                      $ref: '#/components/schemas/</w:t>
      </w:r>
      <w:r w:rsidRPr="000A0A5F">
        <w:t>GMDByxMBNotification</w:t>
      </w:r>
      <w:r w:rsidRPr="000A0A5F">
        <w:rPr>
          <w:lang w:val="en-US"/>
        </w:rPr>
        <w:t>'</w:t>
      </w:r>
    </w:p>
    <w:p w:rsidR="00CB0DD7" w:rsidRPr="000A0A5F" w:rsidRDefault="00CB0DD7">
      <w:pPr>
        <w:pStyle w:val="PL"/>
        <w:rPr>
          <w:lang w:val="en-US"/>
        </w:rPr>
      </w:pPr>
      <w:r w:rsidRPr="000A0A5F">
        <w:rPr>
          <w:lang w:val="en-US"/>
        </w:rPr>
        <w:t xml:space="preserve">              responses:</w:t>
      </w:r>
    </w:p>
    <w:p w:rsidR="00CB0DD7" w:rsidRPr="000A0A5F" w:rsidRDefault="00CB0DD7">
      <w:pPr>
        <w:pStyle w:val="PL"/>
        <w:rPr>
          <w:rFonts w:hint="eastAsia"/>
        </w:rPr>
      </w:pPr>
      <w:r w:rsidRPr="000A0A5F">
        <w:rPr>
          <w:lang w:val="en-US"/>
        </w:rPr>
        <w:t xml:space="preserve">                </w:t>
      </w:r>
      <w:r w:rsidRPr="000A0A5F">
        <w:rPr>
          <w:rFonts w:hint="eastAsia"/>
        </w:rPr>
        <w:t>'200':</w:t>
      </w:r>
    </w:p>
    <w:p w:rsidR="00CB0DD7" w:rsidRPr="000A0A5F" w:rsidRDefault="00CB0DD7">
      <w:pPr>
        <w:pStyle w:val="PL"/>
        <w:tabs>
          <w:tab w:val="clear" w:pos="1920"/>
          <w:tab w:val="left" w:pos="1765"/>
        </w:tabs>
        <w:rPr>
          <w:rFonts w:hint="eastAsia"/>
        </w:rPr>
      </w:pPr>
      <w:r w:rsidRPr="000A0A5F">
        <w:rPr>
          <w:lang w:val="en-US"/>
        </w:rPr>
        <w:t xml:space="preserve">                  </w:t>
      </w:r>
      <w:r w:rsidRPr="000A0A5F">
        <w:rPr>
          <w:rFonts w:hint="eastAsia"/>
        </w:rPr>
        <w:t>description: OK (</w:t>
      </w:r>
      <w:r w:rsidRPr="000A0A5F">
        <w:t xml:space="preserve">The </w:t>
      </w:r>
      <w:r w:rsidRPr="000A0A5F">
        <w:rPr>
          <w:rFonts w:hint="eastAsia"/>
          <w:lang w:eastAsia="zh-CN"/>
        </w:rPr>
        <w:t>successful acknowledgement of the notification</w:t>
      </w:r>
      <w:r w:rsidRPr="000A0A5F">
        <w:rPr>
          <w:lang w:eastAsia="zh-CN"/>
        </w:rPr>
        <w:t xml:space="preserve"> with a body</w:t>
      </w:r>
      <w:r w:rsidRPr="000A0A5F">
        <w:rPr>
          <w:rFonts w:hint="eastAsia"/>
        </w:rPr>
        <w:t>)</w:t>
      </w:r>
    </w:p>
    <w:p w:rsidR="00CB0DD7" w:rsidRPr="000A0A5F" w:rsidRDefault="00CB0DD7">
      <w:pPr>
        <w:pStyle w:val="PL"/>
        <w:tabs>
          <w:tab w:val="clear" w:pos="1920"/>
          <w:tab w:val="left" w:pos="1765"/>
        </w:tabs>
        <w:rPr>
          <w:rFonts w:hint="eastAsia"/>
        </w:rPr>
      </w:pPr>
      <w:r w:rsidRPr="000A0A5F">
        <w:rPr>
          <w:lang w:val="en-US"/>
        </w:rPr>
        <w:t xml:space="preserve">                  </w:t>
      </w:r>
      <w:r w:rsidRPr="000A0A5F">
        <w:t>c</w:t>
      </w:r>
      <w:r w:rsidRPr="000A0A5F">
        <w:rPr>
          <w:rFonts w:hint="eastAsia"/>
        </w:rPr>
        <w:t>ontent:</w:t>
      </w:r>
    </w:p>
    <w:p w:rsidR="00CB0DD7" w:rsidRPr="000A0A5F" w:rsidRDefault="00CB0DD7">
      <w:pPr>
        <w:pStyle w:val="PL"/>
        <w:rPr>
          <w:rFonts w:hint="eastAsia"/>
        </w:rPr>
      </w:pPr>
      <w:r w:rsidRPr="000A0A5F">
        <w:rPr>
          <w:rFonts w:hint="eastAsia"/>
        </w:rPr>
        <w:t xml:space="preserve">           </w:t>
      </w:r>
      <w:r w:rsidRPr="000A0A5F">
        <w:rPr>
          <w:lang w:val="en-US"/>
        </w:rPr>
        <w:t xml:space="preserve">         </w:t>
      </w:r>
      <w:r w:rsidRPr="000A0A5F">
        <w:rPr>
          <w:rFonts w:hint="eastAsia"/>
        </w:rPr>
        <w:t>application/json:</w:t>
      </w:r>
    </w:p>
    <w:p w:rsidR="00CB0DD7" w:rsidRPr="000A0A5F" w:rsidRDefault="00CB0DD7">
      <w:pPr>
        <w:pStyle w:val="PL"/>
      </w:pPr>
      <w:r w:rsidRPr="000A0A5F">
        <w:rPr>
          <w:rFonts w:hint="eastAsia"/>
        </w:rPr>
        <w:t xml:space="preserve">           </w:t>
      </w:r>
      <w:r w:rsidRPr="000A0A5F">
        <w:rPr>
          <w:lang w:val="en-US"/>
        </w:rPr>
        <w:t xml:space="preserve">           </w:t>
      </w:r>
      <w:r w:rsidRPr="000A0A5F">
        <w:rPr>
          <w:rFonts w:hint="eastAsia"/>
        </w:rPr>
        <w:t>schema:</w:t>
      </w:r>
    </w:p>
    <w:p w:rsidR="00CB0DD7" w:rsidRPr="000A0A5F" w:rsidRDefault="00CB0DD7">
      <w:pPr>
        <w:pStyle w:val="PL"/>
        <w:rPr>
          <w:lang w:val="en-US"/>
        </w:rPr>
      </w:pPr>
      <w:r w:rsidRPr="000A0A5F">
        <w:rPr>
          <w:rFonts w:hint="eastAsia"/>
        </w:rPr>
        <w:t xml:space="preserve">           </w:t>
      </w:r>
      <w:r w:rsidRPr="000A0A5F">
        <w:rPr>
          <w:lang w:val="en-US"/>
        </w:rPr>
        <w:t xml:space="preserve">           </w:t>
      </w:r>
      <w:r w:rsidRPr="000A0A5F">
        <w:rPr>
          <w:rFonts w:hint="eastAsia"/>
        </w:rPr>
        <w:t xml:space="preserve">  $ref: '</w:t>
      </w:r>
      <w:r w:rsidRPr="000A0A5F">
        <w:t>TS29122_CommonData.yaml</w:t>
      </w:r>
      <w:r w:rsidRPr="000A0A5F">
        <w:rPr>
          <w:rFonts w:hint="eastAsia"/>
        </w:rPr>
        <w:t>#/components/schemas/</w:t>
      </w:r>
      <w:r w:rsidRPr="000A0A5F">
        <w:t>A</w:t>
      </w:r>
      <w:r w:rsidRPr="000A0A5F">
        <w:rPr>
          <w:rFonts w:hint="eastAsia"/>
          <w:lang w:eastAsia="zh-CN"/>
        </w:rPr>
        <w:t>cknowledgement</w:t>
      </w:r>
      <w:r w:rsidRPr="000A0A5F">
        <w:rPr>
          <w:rFonts w:hint="eastAsia"/>
        </w:rPr>
        <w:t>'</w:t>
      </w:r>
    </w:p>
    <w:p w:rsidR="00CB0DD7" w:rsidRPr="000A0A5F" w:rsidRDefault="00CB0DD7">
      <w:pPr>
        <w:pStyle w:val="PL"/>
        <w:rPr>
          <w:lang w:val="en-US"/>
        </w:rPr>
      </w:pPr>
      <w:r w:rsidRPr="000A0A5F">
        <w:rPr>
          <w:lang w:val="en-US"/>
        </w:rPr>
        <w:t xml:space="preserve">                '204':</w:t>
      </w:r>
    </w:p>
    <w:p w:rsidR="00CB0DD7" w:rsidRPr="000A0A5F" w:rsidRDefault="00CB0DD7">
      <w:pPr>
        <w:pStyle w:val="PL"/>
        <w:rPr>
          <w:lang w:val="en-US"/>
        </w:rPr>
      </w:pPr>
      <w:r w:rsidRPr="000A0A5F">
        <w:rPr>
          <w:lang w:val="en-US"/>
        </w:rPr>
        <w:t xml:space="preserve">                  description: successful notification</w:t>
      </w:r>
    </w:p>
    <w:p w:rsidR="00CB0DD7" w:rsidRPr="000A0A5F" w:rsidRDefault="00CB0DD7">
      <w:pPr>
        <w:pStyle w:val="PL"/>
      </w:pPr>
      <w:r w:rsidRPr="000A0A5F">
        <w:t xml:space="preserve">                '307':</w:t>
      </w:r>
    </w:p>
    <w:p w:rsidR="00CB0DD7" w:rsidRPr="000A0A5F" w:rsidRDefault="00CB0DD7">
      <w:pPr>
        <w:pStyle w:val="PL"/>
      </w:pPr>
      <w:r w:rsidRPr="000A0A5F">
        <w:t xml:space="preserve">                  $ref: 'TS29122_CommonData.yaml#/components/responses/307'</w:t>
      </w:r>
    </w:p>
    <w:p w:rsidR="00CB0DD7" w:rsidRPr="000A0A5F" w:rsidRDefault="00CB0DD7">
      <w:pPr>
        <w:pStyle w:val="PL"/>
      </w:pPr>
      <w:r w:rsidRPr="000A0A5F">
        <w:t xml:space="preserve">                '308':</w:t>
      </w:r>
    </w:p>
    <w:p w:rsidR="00CB0DD7" w:rsidRPr="000A0A5F" w:rsidRDefault="00CB0DD7">
      <w:pPr>
        <w:pStyle w:val="PL"/>
      </w:pPr>
      <w:r w:rsidRPr="000A0A5F">
        <w:t xml:space="preserve">                  $ref: 'TS29122_CommonData.yaml#/components/responses/308'</w:t>
      </w:r>
    </w:p>
    <w:p w:rsidR="00CB0DD7" w:rsidRPr="000A0A5F" w:rsidRDefault="00CB0DD7">
      <w:pPr>
        <w:pStyle w:val="PL"/>
      </w:pPr>
      <w:r w:rsidRPr="000A0A5F">
        <w:t xml:space="preserve">                '400':</w:t>
      </w:r>
    </w:p>
    <w:p w:rsidR="00CB0DD7" w:rsidRPr="000A0A5F" w:rsidRDefault="00CB0DD7">
      <w:pPr>
        <w:pStyle w:val="PL"/>
      </w:pPr>
      <w:r w:rsidRPr="000A0A5F">
        <w:t xml:space="preserve">                  $ref: 'TS29122_CommonData.yaml#/components/responses/400'</w:t>
      </w:r>
    </w:p>
    <w:p w:rsidR="00CB0DD7" w:rsidRPr="000A0A5F" w:rsidRDefault="00CB0DD7">
      <w:pPr>
        <w:pStyle w:val="PL"/>
      </w:pPr>
      <w:r w:rsidRPr="000A0A5F">
        <w:t xml:space="preserve">                '401':</w:t>
      </w:r>
    </w:p>
    <w:p w:rsidR="00CB0DD7" w:rsidRPr="000A0A5F" w:rsidRDefault="00CB0DD7">
      <w:pPr>
        <w:pStyle w:val="PL"/>
      </w:pPr>
      <w:r w:rsidRPr="000A0A5F">
        <w:t xml:space="preserve">                  $ref: 'TS29122_CommonData.yaml#/components/responses/401'</w:t>
      </w:r>
    </w:p>
    <w:p w:rsidR="00CB0DD7" w:rsidRPr="000A0A5F" w:rsidRDefault="00CB0DD7">
      <w:pPr>
        <w:pStyle w:val="PL"/>
      </w:pPr>
      <w:r w:rsidRPr="000A0A5F">
        <w:t xml:space="preserve">                '403':</w:t>
      </w:r>
    </w:p>
    <w:p w:rsidR="00CB0DD7" w:rsidRPr="000A0A5F" w:rsidRDefault="00CB0DD7">
      <w:pPr>
        <w:pStyle w:val="PL"/>
      </w:pPr>
      <w:r w:rsidRPr="000A0A5F">
        <w:t xml:space="preserve">                  $ref: 'TS29122_CommonData.yaml#/components/responses/403'</w:t>
      </w:r>
    </w:p>
    <w:p w:rsidR="00CB0DD7" w:rsidRPr="000A0A5F" w:rsidRDefault="00CB0DD7">
      <w:pPr>
        <w:pStyle w:val="PL"/>
      </w:pPr>
      <w:r w:rsidRPr="000A0A5F">
        <w:t xml:space="preserve">                '404':</w:t>
      </w:r>
    </w:p>
    <w:p w:rsidR="00CB0DD7" w:rsidRPr="000A0A5F" w:rsidRDefault="00CB0DD7">
      <w:pPr>
        <w:pStyle w:val="PL"/>
      </w:pPr>
      <w:r w:rsidRPr="000A0A5F">
        <w:t xml:space="preserve">                  $ref: 'TS29122_CommonData.yaml#/components/responses/404'</w:t>
      </w:r>
    </w:p>
    <w:p w:rsidR="00CB0DD7" w:rsidRPr="000A0A5F" w:rsidRDefault="00CB0DD7">
      <w:pPr>
        <w:pStyle w:val="PL"/>
      </w:pPr>
      <w:r w:rsidRPr="000A0A5F">
        <w:t xml:space="preserve">                '411':</w:t>
      </w:r>
    </w:p>
    <w:p w:rsidR="00CB0DD7" w:rsidRPr="000A0A5F" w:rsidRDefault="00CB0DD7">
      <w:pPr>
        <w:pStyle w:val="PL"/>
      </w:pPr>
      <w:r w:rsidRPr="000A0A5F">
        <w:t xml:space="preserve">                  $ref: 'TS29122_CommonData.yaml#/components/responses/411'</w:t>
      </w:r>
    </w:p>
    <w:p w:rsidR="00CB0DD7" w:rsidRPr="000A0A5F" w:rsidRDefault="00CB0DD7">
      <w:pPr>
        <w:pStyle w:val="PL"/>
      </w:pPr>
      <w:r w:rsidRPr="000A0A5F">
        <w:t xml:space="preserve">                '413':</w:t>
      </w:r>
    </w:p>
    <w:p w:rsidR="00CB0DD7" w:rsidRPr="000A0A5F" w:rsidRDefault="00CB0DD7">
      <w:pPr>
        <w:pStyle w:val="PL"/>
      </w:pPr>
      <w:r w:rsidRPr="000A0A5F">
        <w:t xml:space="preserve">                  $ref: 'TS29122_CommonData.yaml#/components/responses/413'</w:t>
      </w:r>
    </w:p>
    <w:p w:rsidR="00CB0DD7" w:rsidRPr="000A0A5F" w:rsidRDefault="00CB0DD7">
      <w:pPr>
        <w:pStyle w:val="PL"/>
      </w:pPr>
      <w:r w:rsidRPr="000A0A5F">
        <w:t xml:space="preserve">                '415':</w:t>
      </w:r>
    </w:p>
    <w:p w:rsidR="00CB0DD7" w:rsidRPr="000A0A5F" w:rsidRDefault="00CB0DD7">
      <w:pPr>
        <w:pStyle w:val="PL"/>
      </w:pPr>
      <w:r w:rsidRPr="000A0A5F">
        <w:t xml:space="preserve">                  $ref: 'TS29122_CommonData.yaml#/components/responses/415'</w:t>
      </w:r>
    </w:p>
    <w:p w:rsidR="00CB0DD7" w:rsidRPr="000A0A5F" w:rsidRDefault="00CB0DD7">
      <w:pPr>
        <w:pStyle w:val="PL"/>
      </w:pPr>
      <w:r w:rsidRPr="000A0A5F">
        <w:t xml:space="preserve">                '429':</w:t>
      </w:r>
    </w:p>
    <w:p w:rsidR="00CB0DD7" w:rsidRPr="000A0A5F" w:rsidRDefault="00CB0DD7">
      <w:pPr>
        <w:pStyle w:val="PL"/>
      </w:pPr>
      <w:r w:rsidRPr="000A0A5F">
        <w:t xml:space="preserve">                  $ref: 'TS29122_CommonData.yaml#/components/responses/429'</w:t>
      </w:r>
    </w:p>
    <w:p w:rsidR="00CB0DD7" w:rsidRPr="000A0A5F" w:rsidRDefault="00CB0DD7">
      <w:pPr>
        <w:pStyle w:val="PL"/>
      </w:pPr>
      <w:r w:rsidRPr="000A0A5F">
        <w:t xml:space="preserve">                '500':</w:t>
      </w:r>
    </w:p>
    <w:p w:rsidR="00CB0DD7" w:rsidRPr="000A0A5F" w:rsidRDefault="00CB0DD7">
      <w:pPr>
        <w:pStyle w:val="PL"/>
      </w:pPr>
      <w:r w:rsidRPr="000A0A5F">
        <w:t xml:space="preserve">                  $ref: 'TS29122_CommonData.yaml#/components/responses/500'</w:t>
      </w:r>
    </w:p>
    <w:p w:rsidR="00CB0DD7" w:rsidRPr="000A0A5F" w:rsidRDefault="00CB0DD7">
      <w:pPr>
        <w:pStyle w:val="PL"/>
      </w:pPr>
      <w:r w:rsidRPr="000A0A5F">
        <w:t xml:space="preserve">                '503':</w:t>
      </w:r>
    </w:p>
    <w:p w:rsidR="00CB0DD7" w:rsidRPr="000A0A5F" w:rsidRDefault="00CB0DD7">
      <w:pPr>
        <w:pStyle w:val="PL"/>
      </w:pPr>
      <w:r w:rsidRPr="000A0A5F">
        <w:t xml:space="preserve">                  $ref: 'TS29122_CommonData.yaml#/components/responses/503'</w:t>
      </w:r>
    </w:p>
    <w:p w:rsidR="00CB0DD7" w:rsidRPr="000A0A5F" w:rsidRDefault="00CB0DD7">
      <w:pPr>
        <w:pStyle w:val="PL"/>
      </w:pPr>
      <w:r w:rsidRPr="000A0A5F">
        <w:t xml:space="preserve">                default:</w:t>
      </w:r>
    </w:p>
    <w:p w:rsidR="00CB0DD7" w:rsidRPr="000A0A5F" w:rsidRDefault="00CB0DD7">
      <w:pPr>
        <w:pStyle w:val="PL"/>
      </w:pPr>
      <w:r w:rsidRPr="000A0A5F">
        <w:t xml:space="preserve">                  $ref: 'TS29122_CommonData.yaml#/components/responses/default'</w:t>
      </w:r>
    </w:p>
    <w:p w:rsidR="00CB0DD7" w:rsidRPr="000A0A5F" w:rsidRDefault="00CB0DD7">
      <w:pPr>
        <w:pStyle w:val="PL"/>
        <w:rPr>
          <w:lang w:val="en-US"/>
        </w:rPr>
      </w:pPr>
      <w:r w:rsidRPr="000A0A5F">
        <w:rPr>
          <w:lang w:val="en-US"/>
        </w:rPr>
        <w:t xml:space="preserve">      responses:</w:t>
      </w:r>
    </w:p>
    <w:p w:rsidR="00CB0DD7" w:rsidRPr="000A0A5F" w:rsidRDefault="00CB0DD7">
      <w:pPr>
        <w:pStyle w:val="PL"/>
        <w:rPr>
          <w:lang w:val="en-US"/>
        </w:rPr>
      </w:pPr>
      <w:r w:rsidRPr="000A0A5F">
        <w:rPr>
          <w:lang w:val="en-US"/>
        </w:rPr>
        <w:t xml:space="preserve">        '201':</w:t>
      </w:r>
    </w:p>
    <w:p w:rsidR="00CB0DD7" w:rsidRPr="000A0A5F" w:rsidRDefault="00CB0DD7">
      <w:pPr>
        <w:pStyle w:val="PL"/>
        <w:rPr>
          <w:lang w:val="en-US"/>
        </w:rPr>
      </w:pPr>
      <w:r w:rsidRPr="000A0A5F">
        <w:rPr>
          <w:lang w:val="en-US"/>
        </w:rPr>
        <w:t xml:space="preserve">          description: successful creation of an </w:t>
      </w:r>
      <w:r w:rsidRPr="000A0A5F">
        <w:t>GMD via MBMS by xMB resource</w:t>
      </w:r>
    </w:p>
    <w:p w:rsidR="00CB0DD7" w:rsidRPr="000A0A5F" w:rsidRDefault="00CB0DD7">
      <w:pPr>
        <w:pStyle w:val="PL"/>
        <w:rPr>
          <w:lang w:val="en-US"/>
        </w:rPr>
      </w:pPr>
      <w:r w:rsidRPr="000A0A5F">
        <w:rPr>
          <w:lang w:val="en-US"/>
        </w:rPr>
        <w:t xml:space="preserve">          content:</w:t>
      </w:r>
    </w:p>
    <w:p w:rsidR="00CB0DD7" w:rsidRPr="000A0A5F" w:rsidRDefault="00CB0DD7">
      <w:pPr>
        <w:pStyle w:val="PL"/>
        <w:rPr>
          <w:lang w:val="en-US"/>
        </w:rPr>
      </w:pPr>
      <w:r w:rsidRPr="000A0A5F">
        <w:rPr>
          <w:lang w:val="en-US"/>
        </w:rPr>
        <w:t xml:space="preserve">            application/json:</w:t>
      </w:r>
    </w:p>
    <w:p w:rsidR="00CB0DD7" w:rsidRPr="000A0A5F" w:rsidRDefault="00CB0DD7">
      <w:pPr>
        <w:pStyle w:val="PL"/>
        <w:rPr>
          <w:lang w:val="en-US"/>
        </w:rPr>
      </w:pPr>
      <w:r w:rsidRPr="000A0A5F">
        <w:rPr>
          <w:lang w:val="en-US"/>
        </w:rPr>
        <w:t xml:space="preserve">              schema:</w:t>
      </w:r>
    </w:p>
    <w:p w:rsidR="00CB0DD7" w:rsidRPr="000A0A5F" w:rsidRDefault="00CB0DD7">
      <w:pPr>
        <w:pStyle w:val="PL"/>
        <w:rPr>
          <w:lang w:val="en-US"/>
        </w:rPr>
      </w:pPr>
      <w:r w:rsidRPr="000A0A5F">
        <w:rPr>
          <w:lang w:val="en-US"/>
        </w:rPr>
        <w:t xml:space="preserve">                $ref: '#/components/schemas/</w:t>
      </w:r>
      <w:r w:rsidRPr="000A0A5F">
        <w:t>GMDViaMBMSByxMB</w:t>
      </w:r>
      <w:r w:rsidRPr="000A0A5F">
        <w:rPr>
          <w:lang w:val="en-US"/>
        </w:rPr>
        <w:t>'</w:t>
      </w:r>
    </w:p>
    <w:p w:rsidR="00CB0DD7" w:rsidRPr="000A0A5F" w:rsidRDefault="00CB0DD7">
      <w:pPr>
        <w:pStyle w:val="PL"/>
      </w:pPr>
      <w:r w:rsidRPr="000A0A5F">
        <w:t xml:space="preserve">          headers:</w:t>
      </w:r>
    </w:p>
    <w:p w:rsidR="00CB0DD7" w:rsidRPr="000A0A5F" w:rsidRDefault="00CB0DD7">
      <w:pPr>
        <w:pStyle w:val="PL"/>
      </w:pPr>
      <w:r w:rsidRPr="000A0A5F">
        <w:t xml:space="preserve">            Location:</w:t>
      </w:r>
    </w:p>
    <w:p w:rsidR="00CB0DD7" w:rsidRPr="000A0A5F" w:rsidRDefault="00CB0DD7">
      <w:pPr>
        <w:pStyle w:val="PL"/>
      </w:pPr>
      <w:r w:rsidRPr="000A0A5F">
        <w:t xml:space="preserve">              description: 'Contains the URI of the newly created resource'</w:t>
      </w:r>
    </w:p>
    <w:p w:rsidR="00CB0DD7" w:rsidRPr="000A0A5F" w:rsidRDefault="00CB0DD7">
      <w:pPr>
        <w:pStyle w:val="PL"/>
      </w:pPr>
      <w:r w:rsidRPr="000A0A5F">
        <w:t xml:space="preserve">              required: true</w:t>
      </w:r>
    </w:p>
    <w:p w:rsidR="00CB0DD7" w:rsidRPr="000A0A5F" w:rsidRDefault="00CB0DD7">
      <w:pPr>
        <w:pStyle w:val="PL"/>
      </w:pPr>
      <w:r w:rsidRPr="000A0A5F">
        <w:t xml:space="preserve">              schema:</w:t>
      </w:r>
    </w:p>
    <w:p w:rsidR="00CB0DD7" w:rsidRPr="000A0A5F" w:rsidRDefault="00CB0DD7">
      <w:pPr>
        <w:pStyle w:val="PL"/>
      </w:pPr>
      <w:r w:rsidRPr="000A0A5F">
        <w:t xml:space="preserve">                type: string</w:t>
      </w:r>
    </w:p>
    <w:p w:rsidR="00CB0DD7" w:rsidRPr="000A0A5F" w:rsidRDefault="00CB0DD7">
      <w:pPr>
        <w:pStyle w:val="PL"/>
      </w:pPr>
      <w:r w:rsidRPr="000A0A5F">
        <w:t xml:space="preserve">        '400':</w:t>
      </w:r>
    </w:p>
    <w:p w:rsidR="00CB0DD7" w:rsidRPr="000A0A5F" w:rsidRDefault="00CB0DD7">
      <w:pPr>
        <w:pStyle w:val="PL"/>
      </w:pPr>
      <w:r w:rsidRPr="000A0A5F">
        <w:t xml:space="preserve">          $ref: 'TS29122_CommonData.yaml#/components/responses/400'</w:t>
      </w:r>
    </w:p>
    <w:p w:rsidR="00CB0DD7" w:rsidRPr="000A0A5F" w:rsidRDefault="00CB0DD7">
      <w:pPr>
        <w:pStyle w:val="PL"/>
      </w:pPr>
      <w:r w:rsidRPr="000A0A5F">
        <w:t xml:space="preserve">        '401':</w:t>
      </w:r>
    </w:p>
    <w:p w:rsidR="00CB0DD7" w:rsidRPr="000A0A5F" w:rsidRDefault="00CB0DD7">
      <w:pPr>
        <w:pStyle w:val="PL"/>
      </w:pPr>
      <w:r w:rsidRPr="000A0A5F">
        <w:t xml:space="preserve">          $ref: 'TS29122_CommonData.yaml#/components/responses/401'</w:t>
      </w:r>
    </w:p>
    <w:p w:rsidR="00CB0DD7" w:rsidRPr="000A0A5F" w:rsidRDefault="00CB0DD7">
      <w:pPr>
        <w:pStyle w:val="PL"/>
      </w:pPr>
      <w:r w:rsidRPr="000A0A5F">
        <w:t xml:space="preserve">        '403':</w:t>
      </w:r>
    </w:p>
    <w:p w:rsidR="00CB0DD7" w:rsidRPr="000A0A5F" w:rsidRDefault="00CB0DD7">
      <w:pPr>
        <w:pStyle w:val="PL"/>
      </w:pPr>
      <w:r w:rsidRPr="000A0A5F">
        <w:t xml:space="preserve">          $ref: 'TS29122_CommonData.yaml#/components/responses/403'</w:t>
      </w:r>
    </w:p>
    <w:p w:rsidR="00CB0DD7" w:rsidRPr="000A0A5F" w:rsidRDefault="00CB0DD7">
      <w:pPr>
        <w:pStyle w:val="PL"/>
      </w:pPr>
      <w:r w:rsidRPr="000A0A5F">
        <w:t xml:space="preserve">        '404':</w:t>
      </w:r>
    </w:p>
    <w:p w:rsidR="00CB0DD7" w:rsidRPr="000A0A5F" w:rsidRDefault="00CB0DD7">
      <w:pPr>
        <w:pStyle w:val="PL"/>
      </w:pPr>
      <w:r w:rsidRPr="000A0A5F">
        <w:t xml:space="preserve">          $ref: 'TS29122_CommonData.yaml#/components/responses/404'</w:t>
      </w:r>
    </w:p>
    <w:p w:rsidR="00CB0DD7" w:rsidRPr="000A0A5F" w:rsidRDefault="00CB0DD7">
      <w:pPr>
        <w:pStyle w:val="PL"/>
      </w:pPr>
      <w:r w:rsidRPr="000A0A5F">
        <w:t xml:space="preserve">        '411':</w:t>
      </w:r>
    </w:p>
    <w:p w:rsidR="00CB0DD7" w:rsidRPr="000A0A5F" w:rsidRDefault="00CB0DD7">
      <w:pPr>
        <w:pStyle w:val="PL"/>
      </w:pPr>
      <w:r w:rsidRPr="000A0A5F">
        <w:t xml:space="preserve">          $ref: 'TS29122_CommonData.yaml#/components/responses/411'</w:t>
      </w:r>
    </w:p>
    <w:p w:rsidR="00CB0DD7" w:rsidRPr="000A0A5F" w:rsidRDefault="00CB0DD7">
      <w:pPr>
        <w:pStyle w:val="PL"/>
      </w:pPr>
      <w:r w:rsidRPr="000A0A5F">
        <w:t xml:space="preserve">        '413':</w:t>
      </w:r>
    </w:p>
    <w:p w:rsidR="00CB0DD7" w:rsidRPr="000A0A5F" w:rsidRDefault="00CB0DD7">
      <w:pPr>
        <w:pStyle w:val="PL"/>
      </w:pPr>
      <w:r w:rsidRPr="000A0A5F">
        <w:t xml:space="preserve">          $ref: 'TS29122_CommonData.yaml#/components/responses/413'</w:t>
      </w:r>
    </w:p>
    <w:p w:rsidR="00CB0DD7" w:rsidRPr="000A0A5F" w:rsidRDefault="00CB0DD7">
      <w:pPr>
        <w:pStyle w:val="PL"/>
      </w:pPr>
      <w:r w:rsidRPr="000A0A5F">
        <w:t xml:space="preserve">        '415':</w:t>
      </w:r>
    </w:p>
    <w:p w:rsidR="00CB0DD7" w:rsidRPr="000A0A5F" w:rsidRDefault="00CB0DD7">
      <w:pPr>
        <w:pStyle w:val="PL"/>
      </w:pPr>
      <w:r w:rsidRPr="000A0A5F">
        <w:t xml:space="preserve">          $ref: 'TS29122_CommonData.yaml#/components/responses/415'</w:t>
      </w:r>
    </w:p>
    <w:p w:rsidR="00CB0DD7" w:rsidRPr="000A0A5F" w:rsidRDefault="00CB0DD7">
      <w:pPr>
        <w:pStyle w:val="PL"/>
      </w:pPr>
      <w:r w:rsidRPr="000A0A5F">
        <w:t xml:space="preserve">        '429':</w:t>
      </w:r>
    </w:p>
    <w:p w:rsidR="00CB0DD7" w:rsidRPr="000A0A5F" w:rsidRDefault="00CB0DD7">
      <w:pPr>
        <w:pStyle w:val="PL"/>
      </w:pPr>
      <w:r w:rsidRPr="000A0A5F">
        <w:t xml:space="preserve">          $ref: 'TS29122_CommonData.yaml#/components/responses/429'</w:t>
      </w:r>
    </w:p>
    <w:p w:rsidR="00CB0DD7" w:rsidRPr="000A0A5F" w:rsidRDefault="00CB0DD7">
      <w:pPr>
        <w:pStyle w:val="PL"/>
      </w:pPr>
      <w:r w:rsidRPr="000A0A5F">
        <w:t xml:space="preserve">        '500':</w:t>
      </w:r>
    </w:p>
    <w:p w:rsidR="00CB0DD7" w:rsidRPr="000A0A5F" w:rsidRDefault="00CB0DD7">
      <w:pPr>
        <w:pStyle w:val="PL"/>
      </w:pPr>
      <w:r w:rsidRPr="000A0A5F">
        <w:t xml:space="preserve">          $ref: 'TS29122_CommonData.yaml#/components/responses/500'</w:t>
      </w:r>
    </w:p>
    <w:p w:rsidR="00CB0DD7" w:rsidRPr="000A0A5F" w:rsidRDefault="00CB0DD7">
      <w:pPr>
        <w:pStyle w:val="PL"/>
      </w:pPr>
      <w:r w:rsidRPr="000A0A5F">
        <w:t xml:space="preserve">        '503':</w:t>
      </w:r>
    </w:p>
    <w:p w:rsidR="00CB0DD7" w:rsidRPr="000A0A5F" w:rsidRDefault="00CB0DD7">
      <w:pPr>
        <w:pStyle w:val="PL"/>
      </w:pPr>
      <w:r w:rsidRPr="000A0A5F">
        <w:t xml:space="preserve">          $ref: 'TS29122_CommonData.yaml#/components/responses/503'</w:t>
      </w:r>
    </w:p>
    <w:p w:rsidR="00CB0DD7" w:rsidRPr="000A0A5F" w:rsidRDefault="00CB0DD7">
      <w:pPr>
        <w:pStyle w:val="PL"/>
      </w:pPr>
      <w:r w:rsidRPr="000A0A5F">
        <w:t xml:space="preserve">        default:</w:t>
      </w:r>
    </w:p>
    <w:p w:rsidR="00CB0DD7" w:rsidRPr="000A0A5F" w:rsidRDefault="00CB0DD7">
      <w:pPr>
        <w:pStyle w:val="PL"/>
      </w:pPr>
      <w:r w:rsidRPr="000A0A5F">
        <w:t xml:space="preserve">          $ref: 'TS29122_CommonData.yaml#/components/responses/default'</w:t>
      </w:r>
    </w:p>
    <w:p w:rsidR="00CB0DD7" w:rsidRPr="000A0A5F" w:rsidRDefault="00CB0DD7">
      <w:pPr>
        <w:pStyle w:val="PL"/>
        <w:tabs>
          <w:tab w:val="clear" w:pos="384"/>
        </w:tabs>
        <w:rPr>
          <w:rFonts w:ascii="SimSun" w:hAnsi="SimSun"/>
          <w:lang w:val="en-US" w:eastAsia="zh-CN"/>
        </w:rPr>
      </w:pPr>
    </w:p>
    <w:p w:rsidR="00CB0DD7" w:rsidRPr="000A0A5F" w:rsidRDefault="00CB0DD7">
      <w:pPr>
        <w:pStyle w:val="PL"/>
        <w:rPr>
          <w:rFonts w:ascii="SimSun" w:hAnsi="SimSun" w:hint="eastAsia"/>
          <w:lang w:val="en-US" w:eastAsia="zh-CN"/>
        </w:rPr>
      </w:pPr>
      <w:r w:rsidRPr="000A0A5F">
        <w:rPr>
          <w:lang w:val="en-US"/>
        </w:rPr>
        <w:t xml:space="preserve">  </w:t>
      </w:r>
      <w:r w:rsidRPr="000A0A5F">
        <w:t>/{scsAsId}/services/{serviceId}/deli</w:t>
      </w:r>
      <w:r w:rsidRPr="000A0A5F">
        <w:rPr>
          <w:rFonts w:ascii="SimSun" w:hAnsi="SimSun"/>
          <w:lang w:val="en-US" w:eastAsia="zh-CN"/>
        </w:rPr>
        <w:t>v</w:t>
      </w:r>
      <w:r w:rsidRPr="000A0A5F">
        <w:t>ery-via-mbms/{transactionId}:</w:t>
      </w:r>
    </w:p>
    <w:p w:rsidR="00CB0DD7" w:rsidRPr="000A0A5F" w:rsidRDefault="00CB0DD7">
      <w:pPr>
        <w:pStyle w:val="PL"/>
        <w:rPr>
          <w:rFonts w:hint="eastAsia"/>
        </w:rPr>
      </w:pPr>
      <w:r w:rsidRPr="000A0A5F">
        <w:rPr>
          <w:lang w:val="en-US"/>
        </w:rPr>
        <w:t xml:space="preserve">    get</w:t>
      </w:r>
      <w:r w:rsidRPr="000A0A5F">
        <w:rPr>
          <w:rFonts w:hint="eastAsia"/>
        </w:rPr>
        <w:t>:</w:t>
      </w:r>
    </w:p>
    <w:p w:rsidR="00CB0DD7" w:rsidRPr="000A0A5F" w:rsidRDefault="00CB0DD7">
      <w:pPr>
        <w:pStyle w:val="PL"/>
        <w:rPr>
          <w:rFonts w:hint="eastAsia"/>
        </w:rPr>
      </w:pPr>
      <w:r w:rsidRPr="000A0A5F">
        <w:rPr>
          <w:rFonts w:hint="eastAsia"/>
        </w:rPr>
        <w:t xml:space="preserve">      summary: </w:t>
      </w:r>
      <w:r w:rsidR="00105D78" w:rsidRPr="000A0A5F">
        <w:rPr>
          <w:lang w:eastAsia="zh-CN"/>
        </w:rPr>
        <w:t>R</w:t>
      </w:r>
      <w:r w:rsidRPr="000A0A5F">
        <w:rPr>
          <w:lang w:eastAsia="zh-CN"/>
        </w:rPr>
        <w:t>ead all group message delivery via MBMS resource for a given SCS/AS and a service Id</w:t>
      </w:r>
      <w:r w:rsidR="00105D78" w:rsidRPr="000A0A5F">
        <w:rPr>
          <w:lang w:eastAsia="zh-CN"/>
        </w:rPr>
        <w:t>.</w:t>
      </w:r>
    </w:p>
    <w:p w:rsidR="00105D78" w:rsidRPr="000A0A5F" w:rsidRDefault="00105D78" w:rsidP="00105D78">
      <w:pPr>
        <w:pStyle w:val="PL"/>
      </w:pPr>
      <w:r w:rsidRPr="000A0A5F">
        <w:t xml:space="preserve">      </w:t>
      </w:r>
      <w:r w:rsidRPr="000A0A5F">
        <w:rPr>
          <w:rFonts w:cs="Courier New"/>
          <w:szCs w:val="16"/>
        </w:rPr>
        <w:t>operationId: FetchInd</w:t>
      </w:r>
      <w:r w:rsidRPr="000A0A5F">
        <w:rPr>
          <w:rFonts w:hint="eastAsia"/>
          <w:lang w:eastAsia="zh-CN"/>
        </w:rPr>
        <w:t>GMD</w:t>
      </w:r>
      <w:r w:rsidRPr="000A0A5F">
        <w:rPr>
          <w:lang w:eastAsia="zh-CN"/>
        </w:rPr>
        <w:t>V</w:t>
      </w:r>
      <w:r w:rsidRPr="000A0A5F">
        <w:rPr>
          <w:rFonts w:hint="eastAsia"/>
          <w:lang w:eastAsia="zh-CN"/>
        </w:rPr>
        <w:t>iaMBMS</w:t>
      </w:r>
    </w:p>
    <w:p w:rsidR="00CB0DD7" w:rsidRPr="000A0A5F" w:rsidRDefault="00CB0DD7">
      <w:pPr>
        <w:pStyle w:val="PL"/>
        <w:rPr>
          <w:rFonts w:hint="eastAsia"/>
        </w:rPr>
      </w:pPr>
      <w:r w:rsidRPr="000A0A5F">
        <w:rPr>
          <w:rFonts w:hint="eastAsia"/>
        </w:rPr>
        <w:t xml:space="preserve">      tags:</w:t>
      </w:r>
    </w:p>
    <w:p w:rsidR="00CB0DD7" w:rsidRPr="000A0A5F" w:rsidRDefault="00CB0DD7">
      <w:pPr>
        <w:pStyle w:val="PL"/>
        <w:rPr>
          <w:rFonts w:hint="eastAsia"/>
        </w:rPr>
      </w:pPr>
      <w:r w:rsidRPr="000A0A5F">
        <w:rPr>
          <w:rFonts w:hint="eastAsia"/>
        </w:rPr>
        <w:t xml:space="preserve">        - </w:t>
      </w:r>
      <w:r w:rsidRPr="000A0A5F">
        <w:rPr>
          <w:lang w:val="en-US"/>
        </w:rPr>
        <w:t>Individual Delivery via MBMS resource Operation</w:t>
      </w:r>
    </w:p>
    <w:p w:rsidR="00CB0DD7" w:rsidRPr="000A0A5F" w:rsidRDefault="00CB0DD7">
      <w:pPr>
        <w:pStyle w:val="PL"/>
        <w:rPr>
          <w:rFonts w:hint="eastAsia"/>
        </w:rPr>
      </w:pPr>
      <w:r w:rsidRPr="000A0A5F">
        <w:rPr>
          <w:rFonts w:hint="eastAsia"/>
        </w:rPr>
        <w:t xml:space="preserve">      parameters:</w:t>
      </w:r>
    </w:p>
    <w:p w:rsidR="00CB0DD7" w:rsidRPr="000A0A5F" w:rsidRDefault="00CB0DD7">
      <w:pPr>
        <w:pStyle w:val="PL"/>
        <w:rPr>
          <w:rFonts w:hint="eastAsia"/>
        </w:rPr>
      </w:pPr>
      <w:r w:rsidRPr="000A0A5F">
        <w:rPr>
          <w:rFonts w:hint="eastAsia"/>
        </w:rPr>
        <w:t xml:space="preserve">        - name: </w:t>
      </w:r>
      <w:r w:rsidRPr="000A0A5F">
        <w:t>scsAsId</w:t>
      </w:r>
    </w:p>
    <w:p w:rsidR="00CB0DD7" w:rsidRPr="000A0A5F" w:rsidRDefault="00CB0DD7">
      <w:pPr>
        <w:pStyle w:val="PL"/>
        <w:rPr>
          <w:rFonts w:hint="eastAsia"/>
        </w:rPr>
      </w:pPr>
      <w:r w:rsidRPr="000A0A5F">
        <w:rPr>
          <w:rFonts w:hint="eastAsia"/>
        </w:rPr>
        <w:t xml:space="preserve">          in: path</w:t>
      </w:r>
    </w:p>
    <w:p w:rsidR="00CB0DD7" w:rsidRPr="000A0A5F" w:rsidRDefault="00CB0DD7">
      <w:pPr>
        <w:pStyle w:val="PL"/>
        <w:rPr>
          <w:rFonts w:hint="eastAsia"/>
        </w:rPr>
      </w:pPr>
      <w:r w:rsidRPr="000A0A5F">
        <w:rPr>
          <w:rFonts w:hint="eastAsia"/>
        </w:rPr>
        <w:t xml:space="preserve">          description: Identifier of </w:t>
      </w:r>
      <w:r w:rsidRPr="000A0A5F">
        <w:t>SCS/AS</w:t>
      </w:r>
    </w:p>
    <w:p w:rsidR="00CB0DD7" w:rsidRPr="000A0A5F" w:rsidRDefault="00CB0DD7">
      <w:pPr>
        <w:pStyle w:val="PL"/>
        <w:rPr>
          <w:rFonts w:hint="eastAsia"/>
        </w:rPr>
      </w:pPr>
      <w:r w:rsidRPr="000A0A5F">
        <w:rPr>
          <w:rFonts w:hint="eastAsia"/>
        </w:rPr>
        <w:t xml:space="preserve">          required: true</w:t>
      </w:r>
    </w:p>
    <w:p w:rsidR="00CB0DD7" w:rsidRPr="000A0A5F" w:rsidRDefault="00CB0DD7">
      <w:pPr>
        <w:pStyle w:val="PL"/>
        <w:rPr>
          <w:rFonts w:hint="eastAsia"/>
        </w:rPr>
      </w:pPr>
      <w:r w:rsidRPr="000A0A5F">
        <w:rPr>
          <w:rFonts w:hint="eastAsia"/>
        </w:rPr>
        <w:t xml:space="preserve">          schema:</w:t>
      </w:r>
    </w:p>
    <w:p w:rsidR="00CB0DD7" w:rsidRPr="000A0A5F" w:rsidRDefault="00CB0DD7">
      <w:pPr>
        <w:pStyle w:val="PL"/>
      </w:pPr>
      <w:r w:rsidRPr="000A0A5F">
        <w:rPr>
          <w:rFonts w:hint="eastAsia"/>
        </w:rPr>
        <w:t xml:space="preserve">            type: string</w:t>
      </w:r>
    </w:p>
    <w:p w:rsidR="00CB0DD7" w:rsidRPr="000A0A5F" w:rsidRDefault="00CB0DD7">
      <w:pPr>
        <w:pStyle w:val="PL"/>
        <w:rPr>
          <w:rFonts w:hint="eastAsia"/>
        </w:rPr>
      </w:pPr>
      <w:r w:rsidRPr="000A0A5F">
        <w:rPr>
          <w:rFonts w:hint="eastAsia"/>
        </w:rPr>
        <w:t xml:space="preserve">        - name: </w:t>
      </w:r>
      <w:r w:rsidRPr="000A0A5F">
        <w:t>serviceId</w:t>
      </w:r>
    </w:p>
    <w:p w:rsidR="00CB0DD7" w:rsidRPr="000A0A5F" w:rsidRDefault="00CB0DD7">
      <w:pPr>
        <w:pStyle w:val="PL"/>
        <w:rPr>
          <w:rFonts w:hint="eastAsia"/>
        </w:rPr>
      </w:pPr>
      <w:r w:rsidRPr="000A0A5F">
        <w:rPr>
          <w:rFonts w:hint="eastAsia"/>
        </w:rPr>
        <w:t xml:space="preserve">          in: path</w:t>
      </w:r>
    </w:p>
    <w:p w:rsidR="00CB0DD7" w:rsidRPr="000A0A5F" w:rsidRDefault="00CB0DD7">
      <w:pPr>
        <w:pStyle w:val="PL"/>
        <w:rPr>
          <w:rFonts w:hint="eastAsia"/>
        </w:rPr>
      </w:pPr>
      <w:r w:rsidRPr="000A0A5F">
        <w:rPr>
          <w:rFonts w:hint="eastAsia"/>
        </w:rPr>
        <w:t xml:space="preserve">          description: </w:t>
      </w:r>
      <w:r w:rsidRPr="000A0A5F">
        <w:t>Service Id</w:t>
      </w:r>
    </w:p>
    <w:p w:rsidR="00CB0DD7" w:rsidRPr="000A0A5F" w:rsidRDefault="00CB0DD7">
      <w:pPr>
        <w:pStyle w:val="PL"/>
        <w:rPr>
          <w:rFonts w:hint="eastAsia"/>
        </w:rPr>
      </w:pPr>
      <w:r w:rsidRPr="000A0A5F">
        <w:rPr>
          <w:rFonts w:hint="eastAsia"/>
        </w:rPr>
        <w:t xml:space="preserve">          required: true</w:t>
      </w:r>
    </w:p>
    <w:p w:rsidR="00CB0DD7" w:rsidRPr="000A0A5F" w:rsidRDefault="00CB0DD7">
      <w:pPr>
        <w:pStyle w:val="PL"/>
        <w:rPr>
          <w:rFonts w:hint="eastAsia"/>
        </w:rPr>
      </w:pPr>
      <w:r w:rsidRPr="000A0A5F">
        <w:rPr>
          <w:rFonts w:hint="eastAsia"/>
        </w:rPr>
        <w:t xml:space="preserve">          schema:</w:t>
      </w:r>
    </w:p>
    <w:p w:rsidR="00CB0DD7" w:rsidRPr="000A0A5F" w:rsidRDefault="00CB0DD7">
      <w:pPr>
        <w:pStyle w:val="PL"/>
      </w:pPr>
      <w:r w:rsidRPr="000A0A5F">
        <w:rPr>
          <w:rFonts w:hint="eastAsia"/>
        </w:rPr>
        <w:t xml:space="preserve">            type: string</w:t>
      </w:r>
    </w:p>
    <w:p w:rsidR="00CB0DD7" w:rsidRPr="000A0A5F" w:rsidRDefault="00CB0DD7">
      <w:pPr>
        <w:pStyle w:val="PL"/>
        <w:rPr>
          <w:rFonts w:hint="eastAsia"/>
        </w:rPr>
      </w:pPr>
      <w:r w:rsidRPr="000A0A5F">
        <w:rPr>
          <w:rFonts w:hint="eastAsia"/>
        </w:rPr>
        <w:t xml:space="preserve">        - name: </w:t>
      </w:r>
      <w:r w:rsidRPr="000A0A5F">
        <w:t>transactionId</w:t>
      </w:r>
    </w:p>
    <w:p w:rsidR="00CB0DD7" w:rsidRPr="000A0A5F" w:rsidRDefault="00CB0DD7">
      <w:pPr>
        <w:pStyle w:val="PL"/>
        <w:rPr>
          <w:rFonts w:hint="eastAsia"/>
        </w:rPr>
      </w:pPr>
      <w:r w:rsidRPr="000A0A5F">
        <w:rPr>
          <w:rFonts w:hint="eastAsia"/>
        </w:rPr>
        <w:t xml:space="preserve">          in: path</w:t>
      </w:r>
    </w:p>
    <w:p w:rsidR="00CB0DD7" w:rsidRPr="000A0A5F" w:rsidRDefault="00CB0DD7">
      <w:pPr>
        <w:pStyle w:val="PL"/>
        <w:rPr>
          <w:rFonts w:hint="eastAsia"/>
        </w:rPr>
      </w:pPr>
      <w:r w:rsidRPr="000A0A5F">
        <w:rPr>
          <w:rFonts w:hint="eastAsia"/>
        </w:rPr>
        <w:t xml:space="preserve">          description: </w:t>
      </w:r>
      <w:r w:rsidRPr="000A0A5F">
        <w:t>Identifier of transaction</w:t>
      </w:r>
    </w:p>
    <w:p w:rsidR="00CB0DD7" w:rsidRPr="000A0A5F" w:rsidRDefault="00CB0DD7">
      <w:pPr>
        <w:pStyle w:val="PL"/>
        <w:rPr>
          <w:rFonts w:hint="eastAsia"/>
        </w:rPr>
      </w:pPr>
      <w:r w:rsidRPr="000A0A5F">
        <w:rPr>
          <w:rFonts w:hint="eastAsia"/>
        </w:rPr>
        <w:t xml:space="preserve">          required: true</w:t>
      </w:r>
    </w:p>
    <w:p w:rsidR="00CB0DD7" w:rsidRPr="000A0A5F" w:rsidRDefault="00CB0DD7">
      <w:pPr>
        <w:pStyle w:val="PL"/>
        <w:rPr>
          <w:rFonts w:hint="eastAsia"/>
        </w:rPr>
      </w:pPr>
      <w:r w:rsidRPr="000A0A5F">
        <w:rPr>
          <w:rFonts w:hint="eastAsia"/>
        </w:rPr>
        <w:t xml:space="preserve">          schema:</w:t>
      </w:r>
    </w:p>
    <w:p w:rsidR="00CB0DD7" w:rsidRPr="000A0A5F" w:rsidRDefault="00CB0DD7">
      <w:pPr>
        <w:pStyle w:val="PL"/>
      </w:pPr>
      <w:r w:rsidRPr="000A0A5F">
        <w:rPr>
          <w:rFonts w:hint="eastAsia"/>
        </w:rPr>
        <w:t xml:space="preserve">            type: string</w:t>
      </w:r>
    </w:p>
    <w:p w:rsidR="00CB0DD7" w:rsidRPr="000A0A5F" w:rsidRDefault="00CB0DD7">
      <w:pPr>
        <w:pStyle w:val="PL"/>
        <w:rPr>
          <w:rFonts w:hint="eastAsia"/>
        </w:rPr>
      </w:pPr>
      <w:r w:rsidRPr="000A0A5F">
        <w:rPr>
          <w:rFonts w:hint="eastAsia"/>
        </w:rPr>
        <w:t xml:space="preserve">      responses:</w:t>
      </w:r>
    </w:p>
    <w:p w:rsidR="00CB0DD7" w:rsidRPr="000A0A5F" w:rsidRDefault="00CB0DD7">
      <w:pPr>
        <w:pStyle w:val="PL"/>
        <w:rPr>
          <w:rFonts w:hint="eastAsia"/>
        </w:rPr>
      </w:pPr>
      <w:r w:rsidRPr="000A0A5F">
        <w:rPr>
          <w:rFonts w:hint="eastAsia"/>
        </w:rPr>
        <w:t xml:space="preserve">        '200':</w:t>
      </w:r>
    </w:p>
    <w:p w:rsidR="00CB0DD7" w:rsidRPr="000A0A5F" w:rsidRDefault="00CB0DD7">
      <w:pPr>
        <w:pStyle w:val="PL"/>
        <w:rPr>
          <w:rFonts w:hint="eastAsia"/>
        </w:rPr>
      </w:pPr>
      <w:r w:rsidRPr="000A0A5F">
        <w:rPr>
          <w:rFonts w:hint="eastAsia"/>
        </w:rPr>
        <w:t xml:space="preserve">          description: OK (</w:t>
      </w:r>
      <w:r w:rsidRPr="000A0A5F">
        <w:t>successful query of an Delivery via MBMS resource</w:t>
      </w:r>
      <w:r w:rsidRPr="000A0A5F">
        <w:rPr>
          <w:rFonts w:hint="eastAsia"/>
        </w:rPr>
        <w:t>)</w:t>
      </w:r>
    </w:p>
    <w:p w:rsidR="00CB0DD7" w:rsidRPr="000A0A5F" w:rsidRDefault="00CB0DD7">
      <w:pPr>
        <w:pStyle w:val="PL"/>
        <w:rPr>
          <w:rFonts w:hint="eastAsia"/>
        </w:rPr>
      </w:pPr>
      <w:r w:rsidRPr="000A0A5F">
        <w:rPr>
          <w:rFonts w:hint="eastAsia"/>
        </w:rPr>
        <w:t xml:space="preserve">          content:</w:t>
      </w:r>
    </w:p>
    <w:p w:rsidR="00CB0DD7" w:rsidRPr="000A0A5F" w:rsidRDefault="00CB0DD7">
      <w:pPr>
        <w:pStyle w:val="PL"/>
        <w:rPr>
          <w:rFonts w:hint="eastAsia"/>
        </w:rPr>
      </w:pPr>
      <w:r w:rsidRPr="000A0A5F">
        <w:rPr>
          <w:rFonts w:hint="eastAsia"/>
        </w:rPr>
        <w:t xml:space="preserve">            application/json:</w:t>
      </w:r>
    </w:p>
    <w:p w:rsidR="00CB0DD7" w:rsidRPr="000A0A5F" w:rsidRDefault="00CB0DD7">
      <w:pPr>
        <w:pStyle w:val="PL"/>
      </w:pPr>
      <w:r w:rsidRPr="000A0A5F">
        <w:rPr>
          <w:rFonts w:hint="eastAsia"/>
        </w:rPr>
        <w:t xml:space="preserve">              schema:</w:t>
      </w:r>
    </w:p>
    <w:p w:rsidR="00CB0DD7" w:rsidRPr="000A0A5F" w:rsidRDefault="00CB0DD7">
      <w:pPr>
        <w:pStyle w:val="PL"/>
      </w:pPr>
      <w:r w:rsidRPr="000A0A5F">
        <w:rPr>
          <w:rFonts w:hint="eastAsia"/>
        </w:rPr>
        <w:t xml:space="preserve">                $ref: '#/components/schemas/</w:t>
      </w:r>
      <w:r w:rsidRPr="000A0A5F">
        <w:t>GMDViaMBMSByxMB</w:t>
      </w:r>
      <w:r w:rsidRPr="000A0A5F">
        <w:rPr>
          <w:rFonts w:hint="eastAsia"/>
        </w:rPr>
        <w:t>'</w:t>
      </w:r>
    </w:p>
    <w:p w:rsidR="00CB0DD7" w:rsidRPr="000A0A5F" w:rsidRDefault="00CB0DD7">
      <w:pPr>
        <w:pStyle w:val="PL"/>
      </w:pPr>
      <w:r w:rsidRPr="000A0A5F">
        <w:t xml:space="preserve">        '307':</w:t>
      </w:r>
    </w:p>
    <w:p w:rsidR="00CB0DD7" w:rsidRPr="000A0A5F" w:rsidRDefault="00CB0DD7">
      <w:pPr>
        <w:pStyle w:val="PL"/>
      </w:pPr>
      <w:r w:rsidRPr="000A0A5F">
        <w:t xml:space="preserve">          $ref: 'TS29122_CommonData.yaml#/components/responses/307'</w:t>
      </w:r>
    </w:p>
    <w:p w:rsidR="00CB0DD7" w:rsidRPr="000A0A5F" w:rsidRDefault="00CB0DD7">
      <w:pPr>
        <w:pStyle w:val="PL"/>
      </w:pPr>
      <w:r w:rsidRPr="000A0A5F">
        <w:t xml:space="preserve">        '308':</w:t>
      </w:r>
    </w:p>
    <w:p w:rsidR="00CB0DD7" w:rsidRPr="000A0A5F" w:rsidRDefault="00CB0DD7">
      <w:pPr>
        <w:pStyle w:val="PL"/>
      </w:pPr>
      <w:r w:rsidRPr="000A0A5F">
        <w:t xml:space="preserve">          $ref: 'TS29122_CommonData.yaml#/components/responses/308'</w:t>
      </w:r>
    </w:p>
    <w:p w:rsidR="00CB0DD7" w:rsidRPr="000A0A5F" w:rsidRDefault="00CB0DD7">
      <w:pPr>
        <w:pStyle w:val="PL"/>
      </w:pPr>
      <w:r w:rsidRPr="000A0A5F">
        <w:t xml:space="preserve">        '400':</w:t>
      </w:r>
    </w:p>
    <w:p w:rsidR="00CB0DD7" w:rsidRPr="000A0A5F" w:rsidRDefault="00CB0DD7">
      <w:pPr>
        <w:pStyle w:val="PL"/>
      </w:pPr>
      <w:r w:rsidRPr="000A0A5F">
        <w:t xml:space="preserve">          $ref: 'TS29122_CommonData.yaml#/components/responses/400'</w:t>
      </w:r>
    </w:p>
    <w:p w:rsidR="00CB0DD7" w:rsidRPr="000A0A5F" w:rsidRDefault="00CB0DD7">
      <w:pPr>
        <w:pStyle w:val="PL"/>
      </w:pPr>
      <w:r w:rsidRPr="000A0A5F">
        <w:t xml:space="preserve">        '401':</w:t>
      </w:r>
    </w:p>
    <w:p w:rsidR="00CB0DD7" w:rsidRPr="000A0A5F" w:rsidRDefault="00CB0DD7">
      <w:pPr>
        <w:pStyle w:val="PL"/>
      </w:pPr>
      <w:r w:rsidRPr="000A0A5F">
        <w:t xml:space="preserve">          $ref: 'TS29122_CommonData.yaml#/components/responses/401'</w:t>
      </w:r>
    </w:p>
    <w:p w:rsidR="00CB0DD7" w:rsidRPr="000A0A5F" w:rsidRDefault="00CB0DD7">
      <w:pPr>
        <w:pStyle w:val="PL"/>
      </w:pPr>
      <w:r w:rsidRPr="000A0A5F">
        <w:t xml:space="preserve">        '403':</w:t>
      </w:r>
    </w:p>
    <w:p w:rsidR="00CB0DD7" w:rsidRPr="000A0A5F" w:rsidRDefault="00CB0DD7">
      <w:pPr>
        <w:pStyle w:val="PL"/>
      </w:pPr>
      <w:r w:rsidRPr="000A0A5F">
        <w:t xml:space="preserve">          $ref: 'TS29122_CommonData.yaml#/components/responses/403'</w:t>
      </w:r>
    </w:p>
    <w:p w:rsidR="00CB0DD7" w:rsidRPr="000A0A5F" w:rsidRDefault="00CB0DD7">
      <w:pPr>
        <w:pStyle w:val="PL"/>
      </w:pPr>
      <w:r w:rsidRPr="000A0A5F">
        <w:t xml:space="preserve">        '404':</w:t>
      </w:r>
    </w:p>
    <w:p w:rsidR="00CB0DD7" w:rsidRPr="000A0A5F" w:rsidRDefault="00CB0DD7">
      <w:pPr>
        <w:pStyle w:val="PL"/>
      </w:pPr>
      <w:r w:rsidRPr="000A0A5F">
        <w:t xml:space="preserve">          $ref: 'TS29122_CommonData.yaml#/components/responses/404'</w:t>
      </w:r>
    </w:p>
    <w:p w:rsidR="00CB0DD7" w:rsidRPr="000A0A5F" w:rsidRDefault="00CB0DD7">
      <w:pPr>
        <w:pStyle w:val="PL"/>
      </w:pPr>
      <w:r w:rsidRPr="000A0A5F">
        <w:t xml:space="preserve">        '406':</w:t>
      </w:r>
    </w:p>
    <w:p w:rsidR="00CB0DD7" w:rsidRPr="000A0A5F" w:rsidRDefault="00CB0DD7">
      <w:pPr>
        <w:pStyle w:val="PL"/>
      </w:pPr>
      <w:r w:rsidRPr="000A0A5F">
        <w:t xml:space="preserve">          $ref: 'TS29122_CommonData.yaml#/components/responses/406'</w:t>
      </w:r>
    </w:p>
    <w:p w:rsidR="00CB0DD7" w:rsidRPr="000A0A5F" w:rsidRDefault="00CB0DD7">
      <w:pPr>
        <w:pStyle w:val="PL"/>
      </w:pPr>
      <w:r w:rsidRPr="000A0A5F">
        <w:t xml:space="preserve">        '429':</w:t>
      </w:r>
    </w:p>
    <w:p w:rsidR="00CB0DD7" w:rsidRPr="000A0A5F" w:rsidRDefault="00CB0DD7">
      <w:pPr>
        <w:pStyle w:val="PL"/>
      </w:pPr>
      <w:r w:rsidRPr="000A0A5F">
        <w:t xml:space="preserve">          $ref: 'TS29122_CommonData.yaml#/components/responses/429'</w:t>
      </w:r>
    </w:p>
    <w:p w:rsidR="00CB0DD7" w:rsidRPr="000A0A5F" w:rsidRDefault="00CB0DD7">
      <w:pPr>
        <w:pStyle w:val="PL"/>
      </w:pPr>
      <w:r w:rsidRPr="000A0A5F">
        <w:t xml:space="preserve">        '500':</w:t>
      </w:r>
    </w:p>
    <w:p w:rsidR="00CB0DD7" w:rsidRPr="000A0A5F" w:rsidRDefault="00CB0DD7">
      <w:pPr>
        <w:pStyle w:val="PL"/>
      </w:pPr>
      <w:r w:rsidRPr="000A0A5F">
        <w:t xml:space="preserve">          $ref: 'TS29122_CommonData.yaml#/components/responses/500'</w:t>
      </w:r>
    </w:p>
    <w:p w:rsidR="00CB0DD7" w:rsidRPr="000A0A5F" w:rsidRDefault="00CB0DD7">
      <w:pPr>
        <w:pStyle w:val="PL"/>
      </w:pPr>
      <w:r w:rsidRPr="000A0A5F">
        <w:t xml:space="preserve">        '503':</w:t>
      </w:r>
    </w:p>
    <w:p w:rsidR="00CB0DD7" w:rsidRPr="000A0A5F" w:rsidRDefault="00CB0DD7">
      <w:pPr>
        <w:pStyle w:val="PL"/>
      </w:pPr>
      <w:r w:rsidRPr="000A0A5F">
        <w:t xml:space="preserve">          $ref: 'TS29122_CommonData.yaml#/components/responses/503'</w:t>
      </w:r>
    </w:p>
    <w:p w:rsidR="00CB0DD7" w:rsidRPr="000A0A5F" w:rsidRDefault="00CB0DD7">
      <w:pPr>
        <w:pStyle w:val="PL"/>
      </w:pPr>
      <w:r w:rsidRPr="000A0A5F">
        <w:t xml:space="preserve">        default:</w:t>
      </w:r>
    </w:p>
    <w:p w:rsidR="00CB0DD7" w:rsidRPr="000A0A5F" w:rsidRDefault="00CB0DD7">
      <w:pPr>
        <w:pStyle w:val="PL"/>
        <w:rPr>
          <w:rFonts w:hint="eastAsia"/>
        </w:rPr>
      </w:pPr>
      <w:r w:rsidRPr="000A0A5F">
        <w:t xml:space="preserve">          $ref: 'TS29122_CommonData.yaml#/components/responses/default'</w:t>
      </w:r>
    </w:p>
    <w:p w:rsidR="00CB0DD7" w:rsidRPr="000A0A5F" w:rsidRDefault="00CB0DD7">
      <w:pPr>
        <w:pStyle w:val="PL"/>
        <w:rPr>
          <w:rFonts w:hint="eastAsia"/>
        </w:rPr>
      </w:pPr>
    </w:p>
    <w:p w:rsidR="00CB0DD7" w:rsidRPr="000A0A5F" w:rsidRDefault="00CB0DD7">
      <w:pPr>
        <w:pStyle w:val="PL"/>
      </w:pPr>
      <w:r w:rsidRPr="000A0A5F">
        <w:rPr>
          <w:rFonts w:hint="eastAsia"/>
        </w:rPr>
        <w:t xml:space="preserve">    </w:t>
      </w:r>
      <w:r w:rsidRPr="000A0A5F">
        <w:t>put:</w:t>
      </w:r>
    </w:p>
    <w:p w:rsidR="00CB0DD7" w:rsidRPr="000A0A5F" w:rsidRDefault="00CB0DD7">
      <w:pPr>
        <w:pStyle w:val="PL"/>
        <w:rPr>
          <w:lang w:eastAsia="zh-CN"/>
        </w:rPr>
      </w:pPr>
      <w:r w:rsidRPr="000A0A5F">
        <w:t xml:space="preserve">      summary: Updates an existing</w:t>
      </w:r>
      <w:r w:rsidRPr="000A0A5F">
        <w:rPr>
          <w:lang w:eastAsia="zh-CN"/>
        </w:rPr>
        <w:t xml:space="preserve"> delivery via MBMS for a given SCS/AS,</w:t>
      </w:r>
      <w:r w:rsidRPr="000A0A5F">
        <w:rPr>
          <w:rFonts w:hint="eastAsia"/>
          <w:lang w:eastAsia="zh-CN"/>
        </w:rPr>
        <w:t xml:space="preserve"> a </w:t>
      </w:r>
      <w:r w:rsidRPr="000A0A5F">
        <w:rPr>
          <w:lang w:eastAsia="zh-CN"/>
        </w:rPr>
        <w:t>service Id and transaction Id.</w:t>
      </w:r>
    </w:p>
    <w:p w:rsidR="00105D78" w:rsidRPr="000A0A5F" w:rsidRDefault="00105D78" w:rsidP="00105D78">
      <w:pPr>
        <w:pStyle w:val="PL"/>
      </w:pPr>
      <w:r w:rsidRPr="000A0A5F">
        <w:t xml:space="preserve">      </w:t>
      </w:r>
      <w:r w:rsidRPr="000A0A5F">
        <w:rPr>
          <w:rFonts w:cs="Courier New"/>
          <w:szCs w:val="16"/>
        </w:rPr>
        <w:t>operationId: UpdateInd</w:t>
      </w:r>
      <w:r w:rsidRPr="000A0A5F">
        <w:rPr>
          <w:rFonts w:hint="eastAsia"/>
          <w:lang w:eastAsia="zh-CN"/>
        </w:rPr>
        <w:t>GMD</w:t>
      </w:r>
      <w:r w:rsidRPr="000A0A5F">
        <w:rPr>
          <w:lang w:eastAsia="zh-CN"/>
        </w:rPr>
        <w:t>V</w:t>
      </w:r>
      <w:r w:rsidRPr="000A0A5F">
        <w:rPr>
          <w:rFonts w:hint="eastAsia"/>
          <w:lang w:eastAsia="zh-CN"/>
        </w:rPr>
        <w:t>iaMBMS</w:t>
      </w:r>
    </w:p>
    <w:p w:rsidR="00CB0DD7" w:rsidRPr="000A0A5F" w:rsidRDefault="00CB0DD7">
      <w:pPr>
        <w:pStyle w:val="PL"/>
        <w:rPr>
          <w:lang w:val="en-US"/>
        </w:rPr>
      </w:pPr>
      <w:r w:rsidRPr="000A0A5F">
        <w:rPr>
          <w:lang w:val="en-US"/>
        </w:rPr>
        <w:t xml:space="preserve">      tags:</w:t>
      </w:r>
    </w:p>
    <w:p w:rsidR="00CB0DD7" w:rsidRPr="000A0A5F" w:rsidRDefault="00CB0DD7">
      <w:pPr>
        <w:pStyle w:val="PL"/>
        <w:rPr>
          <w:lang w:val="en-US"/>
        </w:rPr>
      </w:pPr>
      <w:r w:rsidRPr="000A0A5F">
        <w:rPr>
          <w:lang w:val="en-US"/>
        </w:rPr>
        <w:t xml:space="preserve">        - Individual Delivery via MBMS resource Operation</w:t>
      </w:r>
    </w:p>
    <w:p w:rsidR="00CB0DD7" w:rsidRPr="000A0A5F" w:rsidRDefault="00CB0DD7">
      <w:pPr>
        <w:pStyle w:val="PL"/>
        <w:rPr>
          <w:rFonts w:hint="eastAsia"/>
        </w:rPr>
      </w:pPr>
      <w:r w:rsidRPr="000A0A5F">
        <w:rPr>
          <w:rFonts w:hint="eastAsia"/>
        </w:rPr>
        <w:t xml:space="preserve">      parameters:</w:t>
      </w:r>
    </w:p>
    <w:p w:rsidR="00CB0DD7" w:rsidRPr="000A0A5F" w:rsidRDefault="00CB0DD7">
      <w:pPr>
        <w:pStyle w:val="PL"/>
        <w:rPr>
          <w:rFonts w:hint="eastAsia"/>
        </w:rPr>
      </w:pPr>
      <w:r w:rsidRPr="000A0A5F">
        <w:rPr>
          <w:rFonts w:hint="eastAsia"/>
        </w:rPr>
        <w:t xml:space="preserve">        - name: </w:t>
      </w:r>
      <w:r w:rsidRPr="000A0A5F">
        <w:t>scsAsId</w:t>
      </w:r>
    </w:p>
    <w:p w:rsidR="00CB0DD7" w:rsidRPr="000A0A5F" w:rsidRDefault="00CB0DD7">
      <w:pPr>
        <w:pStyle w:val="PL"/>
        <w:rPr>
          <w:rFonts w:hint="eastAsia"/>
        </w:rPr>
      </w:pPr>
      <w:r w:rsidRPr="000A0A5F">
        <w:rPr>
          <w:rFonts w:hint="eastAsia"/>
        </w:rPr>
        <w:t xml:space="preserve">          in: path</w:t>
      </w:r>
    </w:p>
    <w:p w:rsidR="00CB0DD7" w:rsidRPr="000A0A5F" w:rsidRDefault="00CB0DD7">
      <w:pPr>
        <w:pStyle w:val="PL"/>
        <w:rPr>
          <w:rFonts w:hint="eastAsia"/>
        </w:rPr>
      </w:pPr>
      <w:r w:rsidRPr="000A0A5F">
        <w:rPr>
          <w:rFonts w:hint="eastAsia"/>
        </w:rPr>
        <w:t xml:space="preserve">          description: Identifier of </w:t>
      </w:r>
      <w:r w:rsidRPr="000A0A5F">
        <w:t>SCS/AS</w:t>
      </w:r>
    </w:p>
    <w:p w:rsidR="00CB0DD7" w:rsidRPr="000A0A5F" w:rsidRDefault="00CB0DD7">
      <w:pPr>
        <w:pStyle w:val="PL"/>
        <w:rPr>
          <w:rFonts w:hint="eastAsia"/>
        </w:rPr>
      </w:pPr>
      <w:r w:rsidRPr="000A0A5F">
        <w:rPr>
          <w:rFonts w:hint="eastAsia"/>
        </w:rPr>
        <w:t xml:space="preserve">          required: true</w:t>
      </w:r>
    </w:p>
    <w:p w:rsidR="00CB0DD7" w:rsidRPr="000A0A5F" w:rsidRDefault="00CB0DD7">
      <w:pPr>
        <w:pStyle w:val="PL"/>
        <w:rPr>
          <w:rFonts w:hint="eastAsia"/>
        </w:rPr>
      </w:pPr>
      <w:r w:rsidRPr="000A0A5F">
        <w:rPr>
          <w:rFonts w:hint="eastAsia"/>
        </w:rPr>
        <w:t xml:space="preserve">          schema:</w:t>
      </w:r>
    </w:p>
    <w:p w:rsidR="00CB0DD7" w:rsidRPr="000A0A5F" w:rsidRDefault="00CB0DD7">
      <w:pPr>
        <w:pStyle w:val="PL"/>
      </w:pPr>
      <w:r w:rsidRPr="000A0A5F">
        <w:rPr>
          <w:rFonts w:hint="eastAsia"/>
        </w:rPr>
        <w:t xml:space="preserve">            type: string</w:t>
      </w:r>
    </w:p>
    <w:p w:rsidR="00CB0DD7" w:rsidRPr="000A0A5F" w:rsidRDefault="00CB0DD7">
      <w:pPr>
        <w:pStyle w:val="PL"/>
        <w:rPr>
          <w:rFonts w:hint="eastAsia"/>
        </w:rPr>
      </w:pPr>
      <w:r w:rsidRPr="000A0A5F">
        <w:rPr>
          <w:rFonts w:hint="eastAsia"/>
        </w:rPr>
        <w:t xml:space="preserve">        - name: </w:t>
      </w:r>
      <w:r w:rsidRPr="000A0A5F">
        <w:t>serviceId</w:t>
      </w:r>
    </w:p>
    <w:p w:rsidR="00CB0DD7" w:rsidRPr="000A0A5F" w:rsidRDefault="00CB0DD7">
      <w:pPr>
        <w:pStyle w:val="PL"/>
        <w:rPr>
          <w:rFonts w:hint="eastAsia"/>
        </w:rPr>
      </w:pPr>
      <w:r w:rsidRPr="000A0A5F">
        <w:rPr>
          <w:rFonts w:hint="eastAsia"/>
        </w:rPr>
        <w:t xml:space="preserve">          in: path</w:t>
      </w:r>
    </w:p>
    <w:p w:rsidR="00CB0DD7" w:rsidRPr="000A0A5F" w:rsidRDefault="00CB0DD7">
      <w:pPr>
        <w:pStyle w:val="PL"/>
        <w:rPr>
          <w:rFonts w:hint="eastAsia"/>
        </w:rPr>
      </w:pPr>
      <w:r w:rsidRPr="000A0A5F">
        <w:rPr>
          <w:rFonts w:hint="eastAsia"/>
        </w:rPr>
        <w:t xml:space="preserve">          description: </w:t>
      </w:r>
      <w:r w:rsidRPr="000A0A5F">
        <w:t>Service Id</w:t>
      </w:r>
    </w:p>
    <w:p w:rsidR="00CB0DD7" w:rsidRPr="000A0A5F" w:rsidRDefault="00CB0DD7">
      <w:pPr>
        <w:pStyle w:val="PL"/>
        <w:rPr>
          <w:rFonts w:hint="eastAsia"/>
        </w:rPr>
      </w:pPr>
      <w:r w:rsidRPr="000A0A5F">
        <w:rPr>
          <w:rFonts w:hint="eastAsia"/>
        </w:rPr>
        <w:t xml:space="preserve">          required: true</w:t>
      </w:r>
    </w:p>
    <w:p w:rsidR="00CB0DD7" w:rsidRPr="000A0A5F" w:rsidRDefault="00CB0DD7">
      <w:pPr>
        <w:pStyle w:val="PL"/>
        <w:rPr>
          <w:rFonts w:hint="eastAsia"/>
        </w:rPr>
      </w:pPr>
      <w:r w:rsidRPr="000A0A5F">
        <w:rPr>
          <w:rFonts w:hint="eastAsia"/>
        </w:rPr>
        <w:t xml:space="preserve">          schema:</w:t>
      </w:r>
    </w:p>
    <w:p w:rsidR="00CB0DD7" w:rsidRPr="000A0A5F" w:rsidRDefault="00CB0DD7">
      <w:pPr>
        <w:pStyle w:val="PL"/>
      </w:pPr>
      <w:r w:rsidRPr="000A0A5F">
        <w:rPr>
          <w:rFonts w:hint="eastAsia"/>
        </w:rPr>
        <w:t xml:space="preserve">            type: string</w:t>
      </w:r>
    </w:p>
    <w:p w:rsidR="00CB0DD7" w:rsidRPr="000A0A5F" w:rsidRDefault="00CB0DD7">
      <w:pPr>
        <w:pStyle w:val="PL"/>
        <w:rPr>
          <w:rFonts w:hint="eastAsia"/>
        </w:rPr>
      </w:pPr>
      <w:r w:rsidRPr="000A0A5F">
        <w:rPr>
          <w:rFonts w:hint="eastAsia"/>
        </w:rPr>
        <w:t xml:space="preserve">        - name: </w:t>
      </w:r>
      <w:r w:rsidRPr="000A0A5F">
        <w:t>transactionId</w:t>
      </w:r>
    </w:p>
    <w:p w:rsidR="00CB0DD7" w:rsidRPr="000A0A5F" w:rsidRDefault="00CB0DD7">
      <w:pPr>
        <w:pStyle w:val="PL"/>
        <w:rPr>
          <w:rFonts w:hint="eastAsia"/>
        </w:rPr>
      </w:pPr>
      <w:r w:rsidRPr="000A0A5F">
        <w:rPr>
          <w:rFonts w:hint="eastAsia"/>
        </w:rPr>
        <w:t xml:space="preserve">          in: path</w:t>
      </w:r>
    </w:p>
    <w:p w:rsidR="00CB0DD7" w:rsidRPr="000A0A5F" w:rsidRDefault="00CB0DD7">
      <w:pPr>
        <w:pStyle w:val="PL"/>
        <w:rPr>
          <w:rFonts w:hint="eastAsia"/>
        </w:rPr>
      </w:pPr>
      <w:r w:rsidRPr="000A0A5F">
        <w:rPr>
          <w:rFonts w:hint="eastAsia"/>
        </w:rPr>
        <w:t xml:space="preserve">          description: </w:t>
      </w:r>
      <w:r w:rsidRPr="000A0A5F">
        <w:t>Identifier of transaction</w:t>
      </w:r>
    </w:p>
    <w:p w:rsidR="00CB0DD7" w:rsidRPr="000A0A5F" w:rsidRDefault="00CB0DD7">
      <w:pPr>
        <w:pStyle w:val="PL"/>
        <w:rPr>
          <w:rFonts w:hint="eastAsia"/>
        </w:rPr>
      </w:pPr>
      <w:r w:rsidRPr="000A0A5F">
        <w:rPr>
          <w:rFonts w:hint="eastAsia"/>
        </w:rPr>
        <w:t xml:space="preserve">          required: true</w:t>
      </w:r>
    </w:p>
    <w:p w:rsidR="00CB0DD7" w:rsidRPr="000A0A5F" w:rsidRDefault="00CB0DD7">
      <w:pPr>
        <w:pStyle w:val="PL"/>
        <w:rPr>
          <w:rFonts w:hint="eastAsia"/>
        </w:rPr>
      </w:pPr>
      <w:r w:rsidRPr="000A0A5F">
        <w:rPr>
          <w:rFonts w:hint="eastAsia"/>
        </w:rPr>
        <w:t xml:space="preserve">          schema:</w:t>
      </w:r>
    </w:p>
    <w:p w:rsidR="00CB0DD7" w:rsidRPr="000A0A5F" w:rsidRDefault="00CB0DD7">
      <w:pPr>
        <w:pStyle w:val="PL"/>
      </w:pPr>
      <w:r w:rsidRPr="000A0A5F">
        <w:rPr>
          <w:rFonts w:hint="eastAsia"/>
        </w:rPr>
        <w:t xml:space="preserve">            type: string</w:t>
      </w:r>
    </w:p>
    <w:p w:rsidR="00CB0DD7" w:rsidRPr="000A0A5F" w:rsidRDefault="00CB0DD7">
      <w:pPr>
        <w:pStyle w:val="PL"/>
        <w:rPr>
          <w:lang w:val="en-US"/>
        </w:rPr>
      </w:pPr>
      <w:r w:rsidRPr="000A0A5F">
        <w:rPr>
          <w:lang w:val="en-US"/>
        </w:rPr>
        <w:t xml:space="preserve">      requestBody:</w:t>
      </w:r>
    </w:p>
    <w:p w:rsidR="00CB0DD7" w:rsidRPr="000A0A5F" w:rsidRDefault="00CB0DD7">
      <w:pPr>
        <w:pStyle w:val="PL"/>
        <w:rPr>
          <w:lang w:val="en-US"/>
        </w:rPr>
      </w:pPr>
      <w:r w:rsidRPr="000A0A5F">
        <w:rPr>
          <w:lang w:val="en-US"/>
        </w:rPr>
        <w:t xml:space="preserve">        description: representation of the </w:t>
      </w:r>
      <w:r w:rsidRPr="000A0A5F">
        <w:t>GMD via MBMS by xMB resource</w:t>
      </w:r>
      <w:r w:rsidRPr="000A0A5F">
        <w:rPr>
          <w:lang w:val="en-US"/>
        </w:rPr>
        <w:t xml:space="preserve"> to be udpated in the SCEF</w:t>
      </w:r>
    </w:p>
    <w:p w:rsidR="00CB0DD7" w:rsidRPr="000A0A5F" w:rsidRDefault="00CB0DD7">
      <w:pPr>
        <w:pStyle w:val="PL"/>
        <w:rPr>
          <w:lang w:val="en-US"/>
        </w:rPr>
      </w:pPr>
      <w:r w:rsidRPr="000A0A5F">
        <w:rPr>
          <w:lang w:val="en-US"/>
        </w:rPr>
        <w:t xml:space="preserve">        required: true</w:t>
      </w:r>
    </w:p>
    <w:p w:rsidR="00CB0DD7" w:rsidRPr="000A0A5F" w:rsidRDefault="00CB0DD7">
      <w:pPr>
        <w:pStyle w:val="PL"/>
        <w:rPr>
          <w:lang w:val="en-US"/>
        </w:rPr>
      </w:pPr>
      <w:r w:rsidRPr="000A0A5F">
        <w:rPr>
          <w:lang w:val="en-US"/>
        </w:rPr>
        <w:t xml:space="preserve">        content:</w:t>
      </w:r>
    </w:p>
    <w:p w:rsidR="00CB0DD7" w:rsidRPr="000A0A5F" w:rsidRDefault="00CB0DD7">
      <w:pPr>
        <w:pStyle w:val="PL"/>
        <w:rPr>
          <w:lang w:val="en-US"/>
        </w:rPr>
      </w:pPr>
      <w:r w:rsidRPr="000A0A5F">
        <w:rPr>
          <w:lang w:val="en-US"/>
        </w:rPr>
        <w:t xml:space="preserve">          application/json: </w:t>
      </w:r>
    </w:p>
    <w:p w:rsidR="00CB0DD7" w:rsidRPr="000A0A5F" w:rsidRDefault="00CB0DD7">
      <w:pPr>
        <w:pStyle w:val="PL"/>
        <w:rPr>
          <w:lang w:val="en-US"/>
        </w:rPr>
      </w:pPr>
      <w:r w:rsidRPr="000A0A5F">
        <w:rPr>
          <w:lang w:val="en-US"/>
        </w:rPr>
        <w:t xml:space="preserve">            schema:</w:t>
      </w:r>
    </w:p>
    <w:p w:rsidR="00CB0DD7" w:rsidRPr="000A0A5F" w:rsidRDefault="00CB0DD7">
      <w:pPr>
        <w:pStyle w:val="PL"/>
        <w:rPr>
          <w:lang w:val="en-US"/>
        </w:rPr>
      </w:pPr>
      <w:r w:rsidRPr="000A0A5F">
        <w:rPr>
          <w:lang w:val="en-US"/>
        </w:rPr>
        <w:t xml:space="preserve">              $ref: '#/components/schemas/</w:t>
      </w:r>
      <w:r w:rsidRPr="000A0A5F">
        <w:t>GMDViaMBMSByxMB</w:t>
      </w:r>
      <w:r w:rsidRPr="000A0A5F">
        <w:rPr>
          <w:lang w:val="en-US"/>
        </w:rPr>
        <w:t>'</w:t>
      </w:r>
    </w:p>
    <w:p w:rsidR="00CB0DD7" w:rsidRPr="000A0A5F" w:rsidRDefault="00CB0DD7">
      <w:pPr>
        <w:pStyle w:val="PL"/>
        <w:rPr>
          <w:lang w:val="en-US"/>
        </w:rPr>
      </w:pPr>
      <w:r w:rsidRPr="000A0A5F">
        <w:rPr>
          <w:lang w:val="en-US"/>
        </w:rPr>
        <w:t xml:space="preserve">      responses:</w:t>
      </w:r>
    </w:p>
    <w:p w:rsidR="00CB0DD7" w:rsidRPr="000A0A5F" w:rsidRDefault="00CB0DD7">
      <w:pPr>
        <w:pStyle w:val="PL"/>
        <w:rPr>
          <w:lang w:val="en-US"/>
        </w:rPr>
      </w:pPr>
      <w:r w:rsidRPr="000A0A5F">
        <w:rPr>
          <w:lang w:val="en-US"/>
        </w:rPr>
        <w:t xml:space="preserve">        '200':</w:t>
      </w:r>
    </w:p>
    <w:p w:rsidR="00CB0DD7" w:rsidRPr="000A0A5F" w:rsidRDefault="00CB0DD7">
      <w:pPr>
        <w:pStyle w:val="PL"/>
        <w:rPr>
          <w:lang w:val="en-US"/>
        </w:rPr>
      </w:pPr>
      <w:r w:rsidRPr="000A0A5F">
        <w:rPr>
          <w:lang w:val="en-US"/>
        </w:rPr>
        <w:t xml:space="preserve">          description: successful update of an individual </w:t>
      </w:r>
      <w:r w:rsidRPr="000A0A5F">
        <w:t>GMD via MBMS by xMB resource</w:t>
      </w:r>
    </w:p>
    <w:p w:rsidR="00CB0DD7" w:rsidRPr="000A0A5F" w:rsidRDefault="00CB0DD7">
      <w:pPr>
        <w:pStyle w:val="PL"/>
        <w:rPr>
          <w:lang w:val="en-US"/>
        </w:rPr>
      </w:pPr>
      <w:r w:rsidRPr="000A0A5F">
        <w:rPr>
          <w:lang w:val="en-US"/>
        </w:rPr>
        <w:t xml:space="preserve">          content:</w:t>
      </w:r>
    </w:p>
    <w:p w:rsidR="00CB0DD7" w:rsidRPr="000A0A5F" w:rsidRDefault="00CB0DD7">
      <w:pPr>
        <w:pStyle w:val="PL"/>
        <w:rPr>
          <w:lang w:val="en-US"/>
        </w:rPr>
      </w:pPr>
      <w:r w:rsidRPr="000A0A5F">
        <w:rPr>
          <w:lang w:val="en-US"/>
        </w:rPr>
        <w:t xml:space="preserve">            application/json:</w:t>
      </w:r>
    </w:p>
    <w:p w:rsidR="00CB0DD7" w:rsidRPr="000A0A5F" w:rsidRDefault="00CB0DD7">
      <w:pPr>
        <w:pStyle w:val="PL"/>
        <w:rPr>
          <w:lang w:val="en-US"/>
        </w:rPr>
      </w:pPr>
      <w:r w:rsidRPr="000A0A5F">
        <w:rPr>
          <w:lang w:val="en-US"/>
        </w:rPr>
        <w:t xml:space="preserve">              schema:</w:t>
      </w:r>
    </w:p>
    <w:p w:rsidR="00CB0DD7" w:rsidRPr="000A0A5F" w:rsidRDefault="00CB0DD7">
      <w:pPr>
        <w:pStyle w:val="PL"/>
        <w:rPr>
          <w:lang w:val="en-US"/>
        </w:rPr>
      </w:pPr>
      <w:r w:rsidRPr="000A0A5F">
        <w:rPr>
          <w:lang w:val="en-US"/>
        </w:rPr>
        <w:t xml:space="preserve">                $ref: '#/components/schemas/</w:t>
      </w:r>
      <w:r w:rsidRPr="000A0A5F">
        <w:t>GMDViaMBMSByxMB</w:t>
      </w:r>
      <w:r w:rsidRPr="000A0A5F">
        <w:rPr>
          <w:lang w:val="en-US"/>
        </w:rPr>
        <w:t>'</w:t>
      </w:r>
    </w:p>
    <w:p w:rsidR="003D6C1A" w:rsidRPr="000A0A5F" w:rsidRDefault="003D6C1A" w:rsidP="003D6C1A">
      <w:pPr>
        <w:pStyle w:val="PL"/>
      </w:pPr>
      <w:r w:rsidRPr="000A0A5F">
        <w:t xml:space="preserve">        '204':</w:t>
      </w:r>
    </w:p>
    <w:p w:rsidR="000F4BCE" w:rsidRPr="000A0A5F" w:rsidRDefault="003D6C1A" w:rsidP="003D6C1A">
      <w:pPr>
        <w:pStyle w:val="PL"/>
      </w:pPr>
      <w:r w:rsidRPr="000A0A5F">
        <w:t xml:space="preserve">          description: </w:t>
      </w:r>
      <w:r w:rsidR="000F4BCE" w:rsidRPr="000A0A5F">
        <w:t>&gt;</w:t>
      </w:r>
    </w:p>
    <w:p w:rsidR="000F4BCE" w:rsidRPr="000A0A5F" w:rsidRDefault="000F4BCE" w:rsidP="003D6C1A">
      <w:pPr>
        <w:pStyle w:val="PL"/>
      </w:pPr>
      <w:r w:rsidRPr="000A0A5F">
        <w:t xml:space="preserve">            </w:t>
      </w:r>
      <w:r w:rsidR="003D6C1A" w:rsidRPr="000A0A5F">
        <w:t>The group message delivery was modified successfully, and no content is to be sent</w:t>
      </w:r>
    </w:p>
    <w:p w:rsidR="003D6C1A" w:rsidRPr="000A0A5F" w:rsidRDefault="000F4BCE" w:rsidP="003D6C1A">
      <w:pPr>
        <w:pStyle w:val="PL"/>
      </w:pPr>
      <w:r w:rsidRPr="000A0A5F">
        <w:t xml:space="preserve">           </w:t>
      </w:r>
      <w:r w:rsidR="003D6C1A" w:rsidRPr="000A0A5F">
        <w:t xml:space="preserve"> in the response message body.</w:t>
      </w:r>
    </w:p>
    <w:p w:rsidR="00CB0DD7" w:rsidRPr="000A0A5F" w:rsidRDefault="00CB0DD7">
      <w:pPr>
        <w:pStyle w:val="PL"/>
      </w:pPr>
      <w:r w:rsidRPr="000A0A5F">
        <w:t xml:space="preserve">        '307':</w:t>
      </w:r>
    </w:p>
    <w:p w:rsidR="00CB0DD7" w:rsidRPr="000A0A5F" w:rsidRDefault="00CB0DD7">
      <w:pPr>
        <w:pStyle w:val="PL"/>
      </w:pPr>
      <w:r w:rsidRPr="000A0A5F">
        <w:t xml:space="preserve">          $ref: 'TS29122_CommonData.yaml#/components/responses/307'</w:t>
      </w:r>
    </w:p>
    <w:p w:rsidR="00CB0DD7" w:rsidRPr="000A0A5F" w:rsidRDefault="00CB0DD7">
      <w:pPr>
        <w:pStyle w:val="PL"/>
      </w:pPr>
      <w:r w:rsidRPr="000A0A5F">
        <w:t xml:space="preserve">        '308':</w:t>
      </w:r>
    </w:p>
    <w:p w:rsidR="00CB0DD7" w:rsidRPr="000A0A5F" w:rsidRDefault="00CB0DD7">
      <w:pPr>
        <w:pStyle w:val="PL"/>
      </w:pPr>
      <w:r w:rsidRPr="000A0A5F">
        <w:t xml:space="preserve">          $ref: 'TS29122_CommonData.yaml#/components/responses/308'</w:t>
      </w:r>
    </w:p>
    <w:p w:rsidR="00CB0DD7" w:rsidRPr="000A0A5F" w:rsidRDefault="00CB0DD7">
      <w:pPr>
        <w:pStyle w:val="PL"/>
      </w:pPr>
      <w:r w:rsidRPr="000A0A5F">
        <w:t xml:space="preserve">        '400':</w:t>
      </w:r>
    </w:p>
    <w:p w:rsidR="00CB0DD7" w:rsidRPr="000A0A5F" w:rsidRDefault="00CB0DD7">
      <w:pPr>
        <w:pStyle w:val="PL"/>
      </w:pPr>
      <w:r w:rsidRPr="000A0A5F">
        <w:t xml:space="preserve">          $ref: 'TS29122_CommonData.yaml#/components/responses/400'</w:t>
      </w:r>
    </w:p>
    <w:p w:rsidR="00CB0DD7" w:rsidRPr="000A0A5F" w:rsidRDefault="00CB0DD7">
      <w:pPr>
        <w:pStyle w:val="PL"/>
      </w:pPr>
      <w:r w:rsidRPr="000A0A5F">
        <w:t xml:space="preserve">        '401':</w:t>
      </w:r>
    </w:p>
    <w:p w:rsidR="00CB0DD7" w:rsidRPr="000A0A5F" w:rsidRDefault="00CB0DD7">
      <w:pPr>
        <w:pStyle w:val="PL"/>
      </w:pPr>
      <w:r w:rsidRPr="000A0A5F">
        <w:t xml:space="preserve">          $ref: 'TS29122_CommonData.yaml#/components/responses/401'</w:t>
      </w:r>
    </w:p>
    <w:p w:rsidR="00CB0DD7" w:rsidRPr="000A0A5F" w:rsidRDefault="00CB0DD7">
      <w:pPr>
        <w:pStyle w:val="PL"/>
      </w:pPr>
      <w:r w:rsidRPr="000A0A5F">
        <w:t xml:space="preserve">        '403':</w:t>
      </w:r>
    </w:p>
    <w:p w:rsidR="00CB0DD7" w:rsidRPr="000A0A5F" w:rsidRDefault="00CB0DD7">
      <w:pPr>
        <w:pStyle w:val="PL"/>
      </w:pPr>
      <w:r w:rsidRPr="000A0A5F">
        <w:t xml:space="preserve">          $ref: 'TS29122_CommonData.yaml#/components/responses/403'</w:t>
      </w:r>
    </w:p>
    <w:p w:rsidR="00CB0DD7" w:rsidRPr="000A0A5F" w:rsidRDefault="00CB0DD7">
      <w:pPr>
        <w:pStyle w:val="PL"/>
      </w:pPr>
      <w:r w:rsidRPr="000A0A5F">
        <w:t xml:space="preserve">        '404':</w:t>
      </w:r>
    </w:p>
    <w:p w:rsidR="00CB0DD7" w:rsidRPr="000A0A5F" w:rsidRDefault="00CB0DD7">
      <w:pPr>
        <w:pStyle w:val="PL"/>
      </w:pPr>
      <w:r w:rsidRPr="000A0A5F">
        <w:t xml:space="preserve">          $ref: 'TS29122_CommonData.yaml#/components/responses/404'</w:t>
      </w:r>
    </w:p>
    <w:p w:rsidR="00CB0DD7" w:rsidRPr="000A0A5F" w:rsidRDefault="00CB0DD7">
      <w:pPr>
        <w:pStyle w:val="PL"/>
      </w:pPr>
      <w:r w:rsidRPr="000A0A5F">
        <w:t xml:space="preserve">        '411':</w:t>
      </w:r>
    </w:p>
    <w:p w:rsidR="00CB0DD7" w:rsidRPr="000A0A5F" w:rsidRDefault="00CB0DD7">
      <w:pPr>
        <w:pStyle w:val="PL"/>
      </w:pPr>
      <w:r w:rsidRPr="000A0A5F">
        <w:t xml:space="preserve">          $ref: 'TS29122_CommonData.yaml#/components/responses/411'</w:t>
      </w:r>
    </w:p>
    <w:p w:rsidR="00CB0DD7" w:rsidRPr="000A0A5F" w:rsidRDefault="00CB0DD7">
      <w:pPr>
        <w:pStyle w:val="PL"/>
      </w:pPr>
      <w:r w:rsidRPr="000A0A5F">
        <w:t xml:space="preserve">        '413':</w:t>
      </w:r>
    </w:p>
    <w:p w:rsidR="00CB0DD7" w:rsidRPr="000A0A5F" w:rsidRDefault="00CB0DD7">
      <w:pPr>
        <w:pStyle w:val="PL"/>
      </w:pPr>
      <w:r w:rsidRPr="000A0A5F">
        <w:t xml:space="preserve">          $ref: 'TS29122_CommonData.yaml#/components/responses/413'</w:t>
      </w:r>
    </w:p>
    <w:p w:rsidR="00CB0DD7" w:rsidRPr="000A0A5F" w:rsidRDefault="00CB0DD7">
      <w:pPr>
        <w:pStyle w:val="PL"/>
      </w:pPr>
      <w:r w:rsidRPr="000A0A5F">
        <w:t xml:space="preserve">        '415':</w:t>
      </w:r>
    </w:p>
    <w:p w:rsidR="00CB0DD7" w:rsidRPr="000A0A5F" w:rsidRDefault="00CB0DD7">
      <w:pPr>
        <w:pStyle w:val="PL"/>
      </w:pPr>
      <w:r w:rsidRPr="000A0A5F">
        <w:t xml:space="preserve">          $ref: 'TS29122_CommonData.yaml#/components/responses/415'</w:t>
      </w:r>
    </w:p>
    <w:p w:rsidR="00CB0DD7" w:rsidRPr="000A0A5F" w:rsidRDefault="00CB0DD7">
      <w:pPr>
        <w:pStyle w:val="PL"/>
      </w:pPr>
      <w:r w:rsidRPr="000A0A5F">
        <w:t xml:space="preserve">        '429':</w:t>
      </w:r>
    </w:p>
    <w:p w:rsidR="00CB0DD7" w:rsidRPr="000A0A5F" w:rsidRDefault="00CB0DD7">
      <w:pPr>
        <w:pStyle w:val="PL"/>
      </w:pPr>
      <w:r w:rsidRPr="000A0A5F">
        <w:t xml:space="preserve">          $ref: 'TS29122_CommonData.yaml#/components/responses/429'</w:t>
      </w:r>
    </w:p>
    <w:p w:rsidR="00CB0DD7" w:rsidRPr="000A0A5F" w:rsidRDefault="00CB0DD7">
      <w:pPr>
        <w:pStyle w:val="PL"/>
      </w:pPr>
      <w:r w:rsidRPr="000A0A5F">
        <w:t xml:space="preserve">        '500':</w:t>
      </w:r>
    </w:p>
    <w:p w:rsidR="00CB0DD7" w:rsidRPr="000A0A5F" w:rsidRDefault="00CB0DD7">
      <w:pPr>
        <w:pStyle w:val="PL"/>
      </w:pPr>
      <w:r w:rsidRPr="000A0A5F">
        <w:t xml:space="preserve">          $ref: 'TS29122_CommonData.yaml#/components/responses/500'</w:t>
      </w:r>
    </w:p>
    <w:p w:rsidR="00CB0DD7" w:rsidRPr="000A0A5F" w:rsidRDefault="00CB0DD7">
      <w:pPr>
        <w:pStyle w:val="PL"/>
      </w:pPr>
      <w:r w:rsidRPr="000A0A5F">
        <w:t xml:space="preserve">        '503':</w:t>
      </w:r>
    </w:p>
    <w:p w:rsidR="00CB0DD7" w:rsidRPr="000A0A5F" w:rsidRDefault="00CB0DD7">
      <w:pPr>
        <w:pStyle w:val="PL"/>
      </w:pPr>
      <w:r w:rsidRPr="000A0A5F">
        <w:t xml:space="preserve">          $ref: 'TS29122_CommonData.yaml#/components/responses/503'</w:t>
      </w:r>
    </w:p>
    <w:p w:rsidR="00CB0DD7" w:rsidRPr="000A0A5F" w:rsidRDefault="00CB0DD7">
      <w:pPr>
        <w:pStyle w:val="PL"/>
      </w:pPr>
      <w:r w:rsidRPr="000A0A5F">
        <w:t xml:space="preserve">        default:</w:t>
      </w:r>
    </w:p>
    <w:p w:rsidR="00CB0DD7" w:rsidRPr="000A0A5F" w:rsidRDefault="00CB0DD7">
      <w:pPr>
        <w:pStyle w:val="PL"/>
        <w:rPr>
          <w:lang w:val="en-US"/>
        </w:rPr>
      </w:pPr>
      <w:r w:rsidRPr="000A0A5F">
        <w:t xml:space="preserve">          $ref: 'TS29122_CommonData.yaml#/components/responses/default'</w:t>
      </w:r>
    </w:p>
    <w:p w:rsidR="00CB0DD7" w:rsidRPr="000A0A5F" w:rsidRDefault="00CB0DD7">
      <w:pPr>
        <w:pStyle w:val="PL"/>
        <w:rPr>
          <w:lang w:val="en-US"/>
        </w:rPr>
      </w:pPr>
    </w:p>
    <w:p w:rsidR="00CB0DD7" w:rsidRPr="000A0A5F" w:rsidRDefault="00CB0DD7">
      <w:pPr>
        <w:pStyle w:val="PL"/>
      </w:pPr>
      <w:r w:rsidRPr="000A0A5F">
        <w:t xml:space="preserve">    patch:</w:t>
      </w:r>
    </w:p>
    <w:p w:rsidR="00CB0DD7" w:rsidRPr="000A0A5F" w:rsidRDefault="00CB0DD7">
      <w:pPr>
        <w:pStyle w:val="PL"/>
        <w:rPr>
          <w:lang w:eastAsia="zh-CN"/>
        </w:rPr>
      </w:pPr>
      <w:r w:rsidRPr="000A0A5F">
        <w:t xml:space="preserve">      summary: Updates an existing</w:t>
      </w:r>
      <w:r w:rsidRPr="000A0A5F">
        <w:rPr>
          <w:lang w:eastAsia="zh-CN"/>
        </w:rPr>
        <w:t xml:space="preserve"> delivery via MBMS for a given SCS/AS,</w:t>
      </w:r>
      <w:r w:rsidRPr="000A0A5F">
        <w:rPr>
          <w:rFonts w:hint="eastAsia"/>
          <w:lang w:eastAsia="zh-CN"/>
        </w:rPr>
        <w:t xml:space="preserve"> a </w:t>
      </w:r>
      <w:r w:rsidRPr="000A0A5F">
        <w:rPr>
          <w:lang w:eastAsia="zh-CN"/>
        </w:rPr>
        <w:t>service Id and transaction Id.</w:t>
      </w:r>
    </w:p>
    <w:p w:rsidR="00105D78" w:rsidRPr="000A0A5F" w:rsidRDefault="00105D78" w:rsidP="00105D78">
      <w:pPr>
        <w:pStyle w:val="PL"/>
      </w:pPr>
      <w:r w:rsidRPr="000A0A5F">
        <w:t xml:space="preserve">      </w:t>
      </w:r>
      <w:r w:rsidRPr="000A0A5F">
        <w:rPr>
          <w:rFonts w:cs="Courier New"/>
          <w:szCs w:val="16"/>
        </w:rPr>
        <w:t>operationId: ModifyInd</w:t>
      </w:r>
      <w:r w:rsidRPr="000A0A5F">
        <w:rPr>
          <w:rFonts w:hint="eastAsia"/>
          <w:lang w:eastAsia="zh-CN"/>
        </w:rPr>
        <w:t>GMD</w:t>
      </w:r>
      <w:r w:rsidRPr="000A0A5F">
        <w:rPr>
          <w:lang w:eastAsia="zh-CN"/>
        </w:rPr>
        <w:t>V</w:t>
      </w:r>
      <w:r w:rsidRPr="000A0A5F">
        <w:rPr>
          <w:rFonts w:hint="eastAsia"/>
          <w:lang w:eastAsia="zh-CN"/>
        </w:rPr>
        <w:t>iaMBMS</w:t>
      </w:r>
    </w:p>
    <w:p w:rsidR="00CB0DD7" w:rsidRPr="000A0A5F" w:rsidRDefault="00CB0DD7">
      <w:pPr>
        <w:pStyle w:val="PL"/>
        <w:rPr>
          <w:lang w:val="en-US"/>
        </w:rPr>
      </w:pPr>
      <w:r w:rsidRPr="000A0A5F">
        <w:rPr>
          <w:lang w:val="en-US"/>
        </w:rPr>
        <w:t xml:space="preserve">      tags:</w:t>
      </w:r>
    </w:p>
    <w:p w:rsidR="00CB0DD7" w:rsidRPr="000A0A5F" w:rsidRDefault="00CB0DD7">
      <w:pPr>
        <w:pStyle w:val="PL"/>
        <w:rPr>
          <w:lang w:val="en-US"/>
        </w:rPr>
      </w:pPr>
      <w:r w:rsidRPr="000A0A5F">
        <w:rPr>
          <w:lang w:val="en-US"/>
        </w:rPr>
        <w:t xml:space="preserve">        - Individual Delivery via MBMS resource Operation</w:t>
      </w:r>
    </w:p>
    <w:p w:rsidR="00CB0DD7" w:rsidRPr="000A0A5F" w:rsidRDefault="00CB0DD7">
      <w:pPr>
        <w:pStyle w:val="PL"/>
        <w:rPr>
          <w:rFonts w:hint="eastAsia"/>
        </w:rPr>
      </w:pPr>
      <w:r w:rsidRPr="000A0A5F">
        <w:rPr>
          <w:rFonts w:hint="eastAsia"/>
        </w:rPr>
        <w:t xml:space="preserve">      parameters:</w:t>
      </w:r>
    </w:p>
    <w:p w:rsidR="00CB0DD7" w:rsidRPr="000A0A5F" w:rsidRDefault="00CB0DD7">
      <w:pPr>
        <w:pStyle w:val="PL"/>
        <w:rPr>
          <w:rFonts w:hint="eastAsia"/>
        </w:rPr>
      </w:pPr>
      <w:r w:rsidRPr="000A0A5F">
        <w:rPr>
          <w:rFonts w:hint="eastAsia"/>
        </w:rPr>
        <w:t xml:space="preserve">        - name: </w:t>
      </w:r>
      <w:r w:rsidRPr="000A0A5F">
        <w:t>scsAsId</w:t>
      </w:r>
    </w:p>
    <w:p w:rsidR="00CB0DD7" w:rsidRPr="000A0A5F" w:rsidRDefault="00CB0DD7">
      <w:pPr>
        <w:pStyle w:val="PL"/>
        <w:rPr>
          <w:rFonts w:hint="eastAsia"/>
        </w:rPr>
      </w:pPr>
      <w:r w:rsidRPr="000A0A5F">
        <w:rPr>
          <w:rFonts w:hint="eastAsia"/>
        </w:rPr>
        <w:t xml:space="preserve">          in: path</w:t>
      </w:r>
    </w:p>
    <w:p w:rsidR="00CB0DD7" w:rsidRPr="000A0A5F" w:rsidRDefault="00CB0DD7">
      <w:pPr>
        <w:pStyle w:val="PL"/>
        <w:rPr>
          <w:rFonts w:hint="eastAsia"/>
        </w:rPr>
      </w:pPr>
      <w:r w:rsidRPr="000A0A5F">
        <w:rPr>
          <w:rFonts w:hint="eastAsia"/>
        </w:rPr>
        <w:t xml:space="preserve">          description: Identifier of </w:t>
      </w:r>
      <w:r w:rsidRPr="000A0A5F">
        <w:t>SCS/AS</w:t>
      </w:r>
    </w:p>
    <w:p w:rsidR="00CB0DD7" w:rsidRPr="000A0A5F" w:rsidRDefault="00CB0DD7">
      <w:pPr>
        <w:pStyle w:val="PL"/>
        <w:rPr>
          <w:rFonts w:hint="eastAsia"/>
        </w:rPr>
      </w:pPr>
      <w:r w:rsidRPr="000A0A5F">
        <w:rPr>
          <w:rFonts w:hint="eastAsia"/>
        </w:rPr>
        <w:t xml:space="preserve">          required: true</w:t>
      </w:r>
    </w:p>
    <w:p w:rsidR="00CB0DD7" w:rsidRPr="000A0A5F" w:rsidRDefault="00CB0DD7">
      <w:pPr>
        <w:pStyle w:val="PL"/>
        <w:rPr>
          <w:rFonts w:hint="eastAsia"/>
        </w:rPr>
      </w:pPr>
      <w:r w:rsidRPr="000A0A5F">
        <w:rPr>
          <w:rFonts w:hint="eastAsia"/>
        </w:rPr>
        <w:t xml:space="preserve">          schema:</w:t>
      </w:r>
    </w:p>
    <w:p w:rsidR="00CB0DD7" w:rsidRPr="000A0A5F" w:rsidRDefault="00CB0DD7">
      <w:pPr>
        <w:pStyle w:val="PL"/>
      </w:pPr>
      <w:r w:rsidRPr="000A0A5F">
        <w:rPr>
          <w:rFonts w:hint="eastAsia"/>
        </w:rPr>
        <w:t xml:space="preserve">            type: string</w:t>
      </w:r>
    </w:p>
    <w:p w:rsidR="00CB0DD7" w:rsidRPr="000A0A5F" w:rsidRDefault="00CB0DD7">
      <w:pPr>
        <w:pStyle w:val="PL"/>
        <w:rPr>
          <w:rFonts w:hint="eastAsia"/>
        </w:rPr>
      </w:pPr>
      <w:r w:rsidRPr="000A0A5F">
        <w:rPr>
          <w:rFonts w:hint="eastAsia"/>
        </w:rPr>
        <w:t xml:space="preserve">        - name: </w:t>
      </w:r>
      <w:r w:rsidRPr="000A0A5F">
        <w:t>serviceId</w:t>
      </w:r>
    </w:p>
    <w:p w:rsidR="00CB0DD7" w:rsidRPr="000A0A5F" w:rsidRDefault="00CB0DD7">
      <w:pPr>
        <w:pStyle w:val="PL"/>
        <w:rPr>
          <w:rFonts w:hint="eastAsia"/>
        </w:rPr>
      </w:pPr>
      <w:r w:rsidRPr="000A0A5F">
        <w:rPr>
          <w:rFonts w:hint="eastAsia"/>
        </w:rPr>
        <w:t xml:space="preserve">          in: path</w:t>
      </w:r>
    </w:p>
    <w:p w:rsidR="00CB0DD7" w:rsidRPr="000A0A5F" w:rsidRDefault="00CB0DD7">
      <w:pPr>
        <w:pStyle w:val="PL"/>
        <w:rPr>
          <w:rFonts w:hint="eastAsia"/>
        </w:rPr>
      </w:pPr>
      <w:r w:rsidRPr="000A0A5F">
        <w:rPr>
          <w:rFonts w:hint="eastAsia"/>
        </w:rPr>
        <w:t xml:space="preserve">          description: </w:t>
      </w:r>
      <w:r w:rsidRPr="000A0A5F">
        <w:t>Service Id</w:t>
      </w:r>
    </w:p>
    <w:p w:rsidR="00CB0DD7" w:rsidRPr="000A0A5F" w:rsidRDefault="00CB0DD7">
      <w:pPr>
        <w:pStyle w:val="PL"/>
        <w:rPr>
          <w:rFonts w:hint="eastAsia"/>
        </w:rPr>
      </w:pPr>
      <w:r w:rsidRPr="000A0A5F">
        <w:rPr>
          <w:rFonts w:hint="eastAsia"/>
        </w:rPr>
        <w:t xml:space="preserve">          required: true</w:t>
      </w:r>
    </w:p>
    <w:p w:rsidR="00CB0DD7" w:rsidRPr="000A0A5F" w:rsidRDefault="00CB0DD7">
      <w:pPr>
        <w:pStyle w:val="PL"/>
        <w:rPr>
          <w:rFonts w:hint="eastAsia"/>
        </w:rPr>
      </w:pPr>
      <w:r w:rsidRPr="000A0A5F">
        <w:rPr>
          <w:rFonts w:hint="eastAsia"/>
        </w:rPr>
        <w:t xml:space="preserve">          schema:</w:t>
      </w:r>
    </w:p>
    <w:p w:rsidR="00CB0DD7" w:rsidRPr="000A0A5F" w:rsidRDefault="00CB0DD7">
      <w:pPr>
        <w:pStyle w:val="PL"/>
      </w:pPr>
      <w:r w:rsidRPr="000A0A5F">
        <w:rPr>
          <w:rFonts w:hint="eastAsia"/>
        </w:rPr>
        <w:t xml:space="preserve">            type: string</w:t>
      </w:r>
    </w:p>
    <w:p w:rsidR="00CB0DD7" w:rsidRPr="000A0A5F" w:rsidRDefault="00CB0DD7">
      <w:pPr>
        <w:pStyle w:val="PL"/>
        <w:rPr>
          <w:rFonts w:hint="eastAsia"/>
        </w:rPr>
      </w:pPr>
      <w:r w:rsidRPr="000A0A5F">
        <w:rPr>
          <w:rFonts w:hint="eastAsia"/>
        </w:rPr>
        <w:t xml:space="preserve">        - name: </w:t>
      </w:r>
      <w:r w:rsidRPr="000A0A5F">
        <w:t>transactionId</w:t>
      </w:r>
    </w:p>
    <w:p w:rsidR="00CB0DD7" w:rsidRPr="000A0A5F" w:rsidRDefault="00CB0DD7">
      <w:pPr>
        <w:pStyle w:val="PL"/>
        <w:rPr>
          <w:rFonts w:hint="eastAsia"/>
        </w:rPr>
      </w:pPr>
      <w:r w:rsidRPr="000A0A5F">
        <w:rPr>
          <w:rFonts w:hint="eastAsia"/>
        </w:rPr>
        <w:t xml:space="preserve">          in: path</w:t>
      </w:r>
    </w:p>
    <w:p w:rsidR="00CB0DD7" w:rsidRPr="000A0A5F" w:rsidRDefault="00CB0DD7">
      <w:pPr>
        <w:pStyle w:val="PL"/>
        <w:rPr>
          <w:rFonts w:hint="eastAsia"/>
        </w:rPr>
      </w:pPr>
      <w:r w:rsidRPr="000A0A5F">
        <w:rPr>
          <w:rFonts w:hint="eastAsia"/>
        </w:rPr>
        <w:t xml:space="preserve">          description: </w:t>
      </w:r>
      <w:r w:rsidRPr="000A0A5F">
        <w:t>Identifier of transaction</w:t>
      </w:r>
    </w:p>
    <w:p w:rsidR="00CB0DD7" w:rsidRPr="000A0A5F" w:rsidRDefault="00CB0DD7">
      <w:pPr>
        <w:pStyle w:val="PL"/>
        <w:rPr>
          <w:rFonts w:hint="eastAsia"/>
        </w:rPr>
      </w:pPr>
      <w:r w:rsidRPr="000A0A5F">
        <w:rPr>
          <w:rFonts w:hint="eastAsia"/>
        </w:rPr>
        <w:t xml:space="preserve">          required: true</w:t>
      </w:r>
    </w:p>
    <w:p w:rsidR="00CB0DD7" w:rsidRPr="000A0A5F" w:rsidRDefault="00CB0DD7">
      <w:pPr>
        <w:pStyle w:val="PL"/>
        <w:rPr>
          <w:rFonts w:hint="eastAsia"/>
        </w:rPr>
      </w:pPr>
      <w:r w:rsidRPr="000A0A5F">
        <w:rPr>
          <w:rFonts w:hint="eastAsia"/>
        </w:rPr>
        <w:t xml:space="preserve">          schema:</w:t>
      </w:r>
    </w:p>
    <w:p w:rsidR="00CB0DD7" w:rsidRPr="000A0A5F" w:rsidRDefault="00CB0DD7">
      <w:pPr>
        <w:pStyle w:val="PL"/>
      </w:pPr>
      <w:r w:rsidRPr="000A0A5F">
        <w:rPr>
          <w:rFonts w:hint="eastAsia"/>
        </w:rPr>
        <w:t xml:space="preserve">            type: string</w:t>
      </w:r>
    </w:p>
    <w:p w:rsidR="00CB0DD7" w:rsidRPr="000A0A5F" w:rsidRDefault="00CB0DD7">
      <w:pPr>
        <w:pStyle w:val="PL"/>
        <w:rPr>
          <w:lang w:val="en-US"/>
        </w:rPr>
      </w:pPr>
      <w:r w:rsidRPr="000A0A5F">
        <w:rPr>
          <w:lang w:val="en-US"/>
        </w:rPr>
        <w:t xml:space="preserve">      requestBody:</w:t>
      </w:r>
    </w:p>
    <w:p w:rsidR="00CB0DD7" w:rsidRPr="000A0A5F" w:rsidRDefault="00CB0DD7">
      <w:pPr>
        <w:pStyle w:val="PL"/>
        <w:rPr>
          <w:lang w:val="en-US"/>
        </w:rPr>
      </w:pPr>
      <w:r w:rsidRPr="000A0A5F">
        <w:rPr>
          <w:lang w:val="en-US"/>
        </w:rPr>
        <w:t xml:space="preserve">        description: representation of the </w:t>
      </w:r>
      <w:r w:rsidRPr="000A0A5F">
        <w:t>GMD via MBMS by xMB resource</w:t>
      </w:r>
      <w:r w:rsidRPr="000A0A5F">
        <w:rPr>
          <w:lang w:val="en-US"/>
        </w:rPr>
        <w:t xml:space="preserve"> to be udpated in the SCEF</w:t>
      </w:r>
    </w:p>
    <w:p w:rsidR="00CB0DD7" w:rsidRPr="000A0A5F" w:rsidRDefault="00CB0DD7">
      <w:pPr>
        <w:pStyle w:val="PL"/>
        <w:rPr>
          <w:lang w:val="en-US"/>
        </w:rPr>
      </w:pPr>
      <w:r w:rsidRPr="000A0A5F">
        <w:rPr>
          <w:lang w:val="en-US"/>
        </w:rPr>
        <w:t xml:space="preserve">        required: true</w:t>
      </w:r>
    </w:p>
    <w:p w:rsidR="00CB0DD7" w:rsidRPr="000A0A5F" w:rsidRDefault="00CB0DD7">
      <w:pPr>
        <w:pStyle w:val="PL"/>
        <w:rPr>
          <w:lang w:val="en-US"/>
        </w:rPr>
      </w:pPr>
      <w:r w:rsidRPr="000A0A5F">
        <w:rPr>
          <w:lang w:val="en-US"/>
        </w:rPr>
        <w:t xml:space="preserve">        content:</w:t>
      </w:r>
    </w:p>
    <w:p w:rsidR="00CB0DD7" w:rsidRPr="000A0A5F" w:rsidRDefault="00CB0DD7">
      <w:pPr>
        <w:pStyle w:val="PL"/>
        <w:rPr>
          <w:lang w:val="en-US"/>
        </w:rPr>
      </w:pPr>
      <w:r w:rsidRPr="000A0A5F">
        <w:rPr>
          <w:lang w:val="en-US"/>
        </w:rPr>
        <w:t xml:space="preserve">          application/merge-patch+json: </w:t>
      </w:r>
    </w:p>
    <w:p w:rsidR="00CB0DD7" w:rsidRPr="000A0A5F" w:rsidRDefault="00CB0DD7">
      <w:pPr>
        <w:pStyle w:val="PL"/>
        <w:rPr>
          <w:lang w:val="en-US"/>
        </w:rPr>
      </w:pPr>
      <w:r w:rsidRPr="000A0A5F">
        <w:rPr>
          <w:lang w:val="en-US"/>
        </w:rPr>
        <w:t xml:space="preserve">            schema:</w:t>
      </w:r>
    </w:p>
    <w:p w:rsidR="00CB0DD7" w:rsidRPr="000A0A5F" w:rsidRDefault="00CB0DD7">
      <w:pPr>
        <w:pStyle w:val="PL"/>
        <w:rPr>
          <w:lang w:val="en-US"/>
        </w:rPr>
      </w:pPr>
      <w:r w:rsidRPr="000A0A5F">
        <w:rPr>
          <w:lang w:val="en-US"/>
        </w:rPr>
        <w:t xml:space="preserve">              $ref: '#/components/schemas/</w:t>
      </w:r>
      <w:r w:rsidRPr="000A0A5F">
        <w:t>GMDViaMBMSByxMBPatch</w:t>
      </w:r>
      <w:r w:rsidRPr="000A0A5F">
        <w:rPr>
          <w:lang w:val="en-US"/>
        </w:rPr>
        <w:t>'</w:t>
      </w:r>
    </w:p>
    <w:p w:rsidR="00CB0DD7" w:rsidRPr="000A0A5F" w:rsidRDefault="00CB0DD7">
      <w:pPr>
        <w:pStyle w:val="PL"/>
        <w:rPr>
          <w:lang w:val="en-US"/>
        </w:rPr>
      </w:pPr>
      <w:r w:rsidRPr="000A0A5F">
        <w:rPr>
          <w:lang w:val="en-US"/>
        </w:rPr>
        <w:t xml:space="preserve">      responses:</w:t>
      </w:r>
    </w:p>
    <w:p w:rsidR="00CB0DD7" w:rsidRPr="000A0A5F" w:rsidRDefault="00CB0DD7">
      <w:pPr>
        <w:pStyle w:val="PL"/>
        <w:rPr>
          <w:lang w:val="en-US"/>
        </w:rPr>
      </w:pPr>
      <w:r w:rsidRPr="000A0A5F">
        <w:rPr>
          <w:lang w:val="en-US"/>
        </w:rPr>
        <w:t xml:space="preserve">        '200':</w:t>
      </w:r>
    </w:p>
    <w:p w:rsidR="00CB0DD7" w:rsidRPr="000A0A5F" w:rsidRDefault="00CB0DD7">
      <w:pPr>
        <w:pStyle w:val="PL"/>
        <w:rPr>
          <w:lang w:val="en-US"/>
        </w:rPr>
      </w:pPr>
      <w:r w:rsidRPr="000A0A5F">
        <w:rPr>
          <w:lang w:val="en-US"/>
        </w:rPr>
        <w:t xml:space="preserve">          description: successful update of an individual </w:t>
      </w:r>
      <w:r w:rsidRPr="000A0A5F">
        <w:t>GMD via MBMS by xMB resource</w:t>
      </w:r>
    </w:p>
    <w:p w:rsidR="00CB0DD7" w:rsidRPr="000A0A5F" w:rsidRDefault="00CB0DD7">
      <w:pPr>
        <w:pStyle w:val="PL"/>
        <w:rPr>
          <w:lang w:val="en-US"/>
        </w:rPr>
      </w:pPr>
      <w:r w:rsidRPr="000A0A5F">
        <w:rPr>
          <w:lang w:val="en-US"/>
        </w:rPr>
        <w:t xml:space="preserve">          content:</w:t>
      </w:r>
    </w:p>
    <w:p w:rsidR="00CB0DD7" w:rsidRPr="000A0A5F" w:rsidRDefault="00CB0DD7">
      <w:pPr>
        <w:pStyle w:val="PL"/>
        <w:rPr>
          <w:lang w:val="en-US"/>
        </w:rPr>
      </w:pPr>
      <w:r w:rsidRPr="000A0A5F">
        <w:rPr>
          <w:lang w:val="en-US"/>
        </w:rPr>
        <w:t xml:space="preserve">            application/json:</w:t>
      </w:r>
    </w:p>
    <w:p w:rsidR="00CB0DD7" w:rsidRPr="000A0A5F" w:rsidRDefault="00CB0DD7">
      <w:pPr>
        <w:pStyle w:val="PL"/>
        <w:rPr>
          <w:lang w:val="en-US"/>
        </w:rPr>
      </w:pPr>
      <w:r w:rsidRPr="000A0A5F">
        <w:rPr>
          <w:lang w:val="en-US"/>
        </w:rPr>
        <w:t xml:space="preserve">              schema:</w:t>
      </w:r>
    </w:p>
    <w:p w:rsidR="00CB0DD7" w:rsidRPr="000A0A5F" w:rsidRDefault="00CB0DD7">
      <w:pPr>
        <w:pStyle w:val="PL"/>
        <w:rPr>
          <w:lang w:val="en-US"/>
        </w:rPr>
      </w:pPr>
      <w:r w:rsidRPr="000A0A5F">
        <w:rPr>
          <w:lang w:val="en-US"/>
        </w:rPr>
        <w:t xml:space="preserve">                $ref: '#/components/schemas/</w:t>
      </w:r>
      <w:r w:rsidRPr="000A0A5F">
        <w:t>GMDViaMBMSByxMB</w:t>
      </w:r>
      <w:r w:rsidRPr="000A0A5F">
        <w:rPr>
          <w:lang w:val="en-US"/>
        </w:rPr>
        <w:t>'</w:t>
      </w:r>
    </w:p>
    <w:p w:rsidR="003D6C1A" w:rsidRPr="000A0A5F" w:rsidRDefault="003D6C1A" w:rsidP="003D6C1A">
      <w:pPr>
        <w:pStyle w:val="PL"/>
      </w:pPr>
      <w:r w:rsidRPr="000A0A5F">
        <w:t xml:space="preserve">        '204':</w:t>
      </w:r>
    </w:p>
    <w:p w:rsidR="000F4BCE" w:rsidRPr="000A0A5F" w:rsidRDefault="003D6C1A" w:rsidP="003D6C1A">
      <w:pPr>
        <w:pStyle w:val="PL"/>
      </w:pPr>
      <w:r w:rsidRPr="000A0A5F">
        <w:t xml:space="preserve">          description: </w:t>
      </w:r>
      <w:r w:rsidR="000F4BCE" w:rsidRPr="000A0A5F">
        <w:t>&gt;</w:t>
      </w:r>
    </w:p>
    <w:p w:rsidR="000F4BCE" w:rsidRPr="000A0A5F" w:rsidRDefault="000F4BCE" w:rsidP="003D6C1A">
      <w:pPr>
        <w:pStyle w:val="PL"/>
      </w:pPr>
      <w:r w:rsidRPr="000A0A5F">
        <w:t xml:space="preserve">            </w:t>
      </w:r>
      <w:r w:rsidR="003D6C1A" w:rsidRPr="000A0A5F">
        <w:t>The group message delivery was modified successfully, and no content is to be sent</w:t>
      </w:r>
    </w:p>
    <w:p w:rsidR="003D6C1A" w:rsidRPr="000A0A5F" w:rsidRDefault="000F4BCE" w:rsidP="003D6C1A">
      <w:pPr>
        <w:pStyle w:val="PL"/>
      </w:pPr>
      <w:r w:rsidRPr="000A0A5F">
        <w:t xml:space="preserve">            </w:t>
      </w:r>
      <w:r w:rsidR="003D6C1A" w:rsidRPr="000A0A5F">
        <w:t xml:space="preserve"> in the response message body.</w:t>
      </w:r>
    </w:p>
    <w:p w:rsidR="00CB0DD7" w:rsidRPr="000A0A5F" w:rsidRDefault="00CB0DD7">
      <w:pPr>
        <w:pStyle w:val="PL"/>
      </w:pPr>
      <w:r w:rsidRPr="000A0A5F">
        <w:t xml:space="preserve">        '307':</w:t>
      </w:r>
    </w:p>
    <w:p w:rsidR="00CB0DD7" w:rsidRPr="000A0A5F" w:rsidRDefault="00CB0DD7">
      <w:pPr>
        <w:pStyle w:val="PL"/>
      </w:pPr>
      <w:r w:rsidRPr="000A0A5F">
        <w:t xml:space="preserve">          $ref: 'TS29122_CommonData.yaml#/components/responses/307'</w:t>
      </w:r>
    </w:p>
    <w:p w:rsidR="00CB0DD7" w:rsidRPr="000A0A5F" w:rsidRDefault="00CB0DD7">
      <w:pPr>
        <w:pStyle w:val="PL"/>
      </w:pPr>
      <w:r w:rsidRPr="000A0A5F">
        <w:t xml:space="preserve">        '308':</w:t>
      </w:r>
    </w:p>
    <w:p w:rsidR="00CB0DD7" w:rsidRPr="000A0A5F" w:rsidRDefault="00CB0DD7">
      <w:pPr>
        <w:pStyle w:val="PL"/>
      </w:pPr>
      <w:r w:rsidRPr="000A0A5F">
        <w:t xml:space="preserve">          $ref: 'TS29122_CommonData.yaml#/components/responses/308'</w:t>
      </w:r>
    </w:p>
    <w:p w:rsidR="00CB0DD7" w:rsidRPr="000A0A5F" w:rsidRDefault="00CB0DD7">
      <w:pPr>
        <w:pStyle w:val="PL"/>
      </w:pPr>
      <w:r w:rsidRPr="000A0A5F">
        <w:t xml:space="preserve">        '400':</w:t>
      </w:r>
    </w:p>
    <w:p w:rsidR="00CB0DD7" w:rsidRPr="000A0A5F" w:rsidRDefault="00CB0DD7">
      <w:pPr>
        <w:pStyle w:val="PL"/>
      </w:pPr>
      <w:r w:rsidRPr="000A0A5F">
        <w:t xml:space="preserve">          $ref: 'TS29122_CommonData.yaml#/components/responses/400'</w:t>
      </w:r>
    </w:p>
    <w:p w:rsidR="00CB0DD7" w:rsidRPr="000A0A5F" w:rsidRDefault="00CB0DD7">
      <w:pPr>
        <w:pStyle w:val="PL"/>
      </w:pPr>
      <w:r w:rsidRPr="000A0A5F">
        <w:t xml:space="preserve">        '401':</w:t>
      </w:r>
    </w:p>
    <w:p w:rsidR="00CB0DD7" w:rsidRPr="000A0A5F" w:rsidRDefault="00CB0DD7">
      <w:pPr>
        <w:pStyle w:val="PL"/>
      </w:pPr>
      <w:r w:rsidRPr="000A0A5F">
        <w:t xml:space="preserve">          $ref: 'TS29122_CommonData.yaml#/components/responses/401'</w:t>
      </w:r>
    </w:p>
    <w:p w:rsidR="00CB0DD7" w:rsidRPr="000A0A5F" w:rsidRDefault="00CB0DD7">
      <w:pPr>
        <w:pStyle w:val="PL"/>
      </w:pPr>
      <w:r w:rsidRPr="000A0A5F">
        <w:t xml:space="preserve">        '403':</w:t>
      </w:r>
    </w:p>
    <w:p w:rsidR="00CB0DD7" w:rsidRPr="000A0A5F" w:rsidRDefault="00CB0DD7">
      <w:pPr>
        <w:pStyle w:val="PL"/>
      </w:pPr>
      <w:r w:rsidRPr="000A0A5F">
        <w:t xml:space="preserve">          $ref: 'TS29122_CommonData.yaml#/components/responses/403'</w:t>
      </w:r>
    </w:p>
    <w:p w:rsidR="00CB0DD7" w:rsidRPr="000A0A5F" w:rsidRDefault="00CB0DD7">
      <w:pPr>
        <w:pStyle w:val="PL"/>
      </w:pPr>
      <w:r w:rsidRPr="000A0A5F">
        <w:t xml:space="preserve">        '404':</w:t>
      </w:r>
    </w:p>
    <w:p w:rsidR="00CB0DD7" w:rsidRPr="000A0A5F" w:rsidRDefault="00CB0DD7">
      <w:pPr>
        <w:pStyle w:val="PL"/>
      </w:pPr>
      <w:r w:rsidRPr="000A0A5F">
        <w:t xml:space="preserve">          $ref: 'TS29122_CommonData.yaml#/components/responses/404'</w:t>
      </w:r>
    </w:p>
    <w:p w:rsidR="00CB0DD7" w:rsidRPr="000A0A5F" w:rsidRDefault="00CB0DD7">
      <w:pPr>
        <w:pStyle w:val="PL"/>
      </w:pPr>
      <w:r w:rsidRPr="000A0A5F">
        <w:t xml:space="preserve">        '411':</w:t>
      </w:r>
    </w:p>
    <w:p w:rsidR="00CB0DD7" w:rsidRPr="000A0A5F" w:rsidRDefault="00CB0DD7">
      <w:pPr>
        <w:pStyle w:val="PL"/>
      </w:pPr>
      <w:r w:rsidRPr="000A0A5F">
        <w:t xml:space="preserve">          $ref: 'TS29122_CommonData.yaml#/components/responses/411'</w:t>
      </w:r>
    </w:p>
    <w:p w:rsidR="00CB0DD7" w:rsidRPr="000A0A5F" w:rsidRDefault="00CB0DD7">
      <w:pPr>
        <w:pStyle w:val="PL"/>
      </w:pPr>
      <w:r w:rsidRPr="000A0A5F">
        <w:t xml:space="preserve">        '413':</w:t>
      </w:r>
    </w:p>
    <w:p w:rsidR="00CB0DD7" w:rsidRPr="000A0A5F" w:rsidRDefault="00CB0DD7">
      <w:pPr>
        <w:pStyle w:val="PL"/>
      </w:pPr>
      <w:r w:rsidRPr="000A0A5F">
        <w:t xml:space="preserve">          $ref: 'TS29122_CommonData.yaml#/components/responses/413'</w:t>
      </w:r>
    </w:p>
    <w:p w:rsidR="00CB0DD7" w:rsidRPr="000A0A5F" w:rsidRDefault="00CB0DD7">
      <w:pPr>
        <w:pStyle w:val="PL"/>
      </w:pPr>
      <w:r w:rsidRPr="000A0A5F">
        <w:t xml:space="preserve">        '415':</w:t>
      </w:r>
    </w:p>
    <w:p w:rsidR="00CB0DD7" w:rsidRPr="000A0A5F" w:rsidRDefault="00CB0DD7">
      <w:pPr>
        <w:pStyle w:val="PL"/>
      </w:pPr>
      <w:r w:rsidRPr="000A0A5F">
        <w:t xml:space="preserve">          $ref: 'TS29122_CommonData.yaml#/components/responses/415'</w:t>
      </w:r>
    </w:p>
    <w:p w:rsidR="00CB0DD7" w:rsidRPr="000A0A5F" w:rsidRDefault="00CB0DD7">
      <w:pPr>
        <w:pStyle w:val="PL"/>
      </w:pPr>
      <w:r w:rsidRPr="000A0A5F">
        <w:t xml:space="preserve">        '429':</w:t>
      </w:r>
    </w:p>
    <w:p w:rsidR="00CB0DD7" w:rsidRPr="000A0A5F" w:rsidRDefault="00CB0DD7">
      <w:pPr>
        <w:pStyle w:val="PL"/>
      </w:pPr>
      <w:r w:rsidRPr="000A0A5F">
        <w:t xml:space="preserve">          $ref: 'TS29122_CommonData.yaml#/components/responses/429'</w:t>
      </w:r>
    </w:p>
    <w:p w:rsidR="00CB0DD7" w:rsidRPr="000A0A5F" w:rsidRDefault="00CB0DD7">
      <w:pPr>
        <w:pStyle w:val="PL"/>
      </w:pPr>
      <w:r w:rsidRPr="000A0A5F">
        <w:t xml:space="preserve">        '500':</w:t>
      </w:r>
    </w:p>
    <w:p w:rsidR="00CB0DD7" w:rsidRPr="000A0A5F" w:rsidRDefault="00CB0DD7">
      <w:pPr>
        <w:pStyle w:val="PL"/>
      </w:pPr>
      <w:r w:rsidRPr="000A0A5F">
        <w:t xml:space="preserve">          $ref: 'TS29122_CommonData.yaml#/components/responses/500'</w:t>
      </w:r>
    </w:p>
    <w:p w:rsidR="00CB0DD7" w:rsidRPr="000A0A5F" w:rsidRDefault="00CB0DD7">
      <w:pPr>
        <w:pStyle w:val="PL"/>
      </w:pPr>
      <w:r w:rsidRPr="000A0A5F">
        <w:t xml:space="preserve">        '503':</w:t>
      </w:r>
    </w:p>
    <w:p w:rsidR="00CB0DD7" w:rsidRPr="000A0A5F" w:rsidRDefault="00CB0DD7">
      <w:pPr>
        <w:pStyle w:val="PL"/>
      </w:pPr>
      <w:r w:rsidRPr="000A0A5F">
        <w:t xml:space="preserve">          $ref: 'TS29122_CommonData.yaml#/components/responses/503'</w:t>
      </w:r>
    </w:p>
    <w:p w:rsidR="00CB0DD7" w:rsidRPr="000A0A5F" w:rsidRDefault="00CB0DD7">
      <w:pPr>
        <w:pStyle w:val="PL"/>
      </w:pPr>
      <w:r w:rsidRPr="000A0A5F">
        <w:t xml:space="preserve">        default:</w:t>
      </w:r>
    </w:p>
    <w:p w:rsidR="00CB0DD7" w:rsidRPr="000A0A5F" w:rsidRDefault="00CB0DD7">
      <w:pPr>
        <w:pStyle w:val="PL"/>
        <w:rPr>
          <w:lang w:val="en-US"/>
        </w:rPr>
      </w:pPr>
      <w:r w:rsidRPr="000A0A5F">
        <w:t xml:space="preserve">          $ref: 'TS29122_CommonData.yaml#/components/responses/default'</w:t>
      </w:r>
    </w:p>
    <w:p w:rsidR="00CB0DD7" w:rsidRPr="000A0A5F" w:rsidRDefault="00CB0DD7">
      <w:pPr>
        <w:pStyle w:val="PL"/>
        <w:rPr>
          <w:lang w:val="en-US"/>
        </w:rPr>
      </w:pPr>
    </w:p>
    <w:p w:rsidR="00CB0DD7" w:rsidRPr="000A0A5F" w:rsidRDefault="00CB0DD7">
      <w:pPr>
        <w:pStyle w:val="PL"/>
      </w:pPr>
      <w:r w:rsidRPr="000A0A5F">
        <w:rPr>
          <w:lang w:val="en-US"/>
        </w:rPr>
        <w:t xml:space="preserve">    delete</w:t>
      </w:r>
      <w:r w:rsidRPr="000A0A5F">
        <w:t>:</w:t>
      </w:r>
    </w:p>
    <w:p w:rsidR="00CB0DD7" w:rsidRPr="000A0A5F" w:rsidRDefault="00CB0DD7">
      <w:pPr>
        <w:pStyle w:val="PL"/>
        <w:rPr>
          <w:lang w:eastAsia="zh-CN"/>
        </w:rPr>
      </w:pPr>
      <w:r w:rsidRPr="000A0A5F">
        <w:rPr>
          <w:lang w:val="en-US"/>
        </w:rPr>
        <w:t xml:space="preserve">      summary: </w:t>
      </w:r>
      <w:r w:rsidR="00105D78" w:rsidRPr="000A0A5F">
        <w:rPr>
          <w:lang w:val="en-US"/>
        </w:rPr>
        <w:t>D</w:t>
      </w:r>
      <w:r w:rsidRPr="000A0A5F">
        <w:rPr>
          <w:lang w:val="en-US"/>
        </w:rPr>
        <w:t>elete</w:t>
      </w:r>
      <w:r w:rsidRPr="000A0A5F">
        <w:rPr>
          <w:lang w:eastAsia="zh-CN"/>
        </w:rPr>
        <w:t>s a delivery via MBMS resource for a given SCS/AS,</w:t>
      </w:r>
      <w:r w:rsidRPr="000A0A5F">
        <w:rPr>
          <w:rFonts w:hint="eastAsia"/>
          <w:lang w:eastAsia="zh-CN"/>
        </w:rPr>
        <w:t xml:space="preserve"> a </w:t>
      </w:r>
      <w:r w:rsidRPr="000A0A5F">
        <w:rPr>
          <w:lang w:eastAsia="zh-CN"/>
        </w:rPr>
        <w:t>service Id and a transcation Id.</w:t>
      </w:r>
    </w:p>
    <w:p w:rsidR="00105D78" w:rsidRPr="000A0A5F" w:rsidRDefault="00105D78" w:rsidP="00105D78">
      <w:pPr>
        <w:pStyle w:val="PL"/>
      </w:pPr>
      <w:r w:rsidRPr="000A0A5F">
        <w:t xml:space="preserve">      </w:t>
      </w:r>
      <w:r w:rsidRPr="000A0A5F">
        <w:rPr>
          <w:rFonts w:cs="Courier New"/>
          <w:szCs w:val="16"/>
        </w:rPr>
        <w:t>operationId: DeleteInd</w:t>
      </w:r>
      <w:r w:rsidRPr="000A0A5F">
        <w:rPr>
          <w:rFonts w:hint="eastAsia"/>
          <w:lang w:eastAsia="zh-CN"/>
        </w:rPr>
        <w:t>GMD</w:t>
      </w:r>
      <w:r w:rsidRPr="000A0A5F">
        <w:rPr>
          <w:lang w:eastAsia="zh-CN"/>
        </w:rPr>
        <w:t>V</w:t>
      </w:r>
      <w:r w:rsidRPr="000A0A5F">
        <w:rPr>
          <w:rFonts w:hint="eastAsia"/>
          <w:lang w:eastAsia="zh-CN"/>
        </w:rPr>
        <w:t>iaMBMS</w:t>
      </w:r>
    </w:p>
    <w:p w:rsidR="00CB0DD7" w:rsidRPr="000A0A5F" w:rsidRDefault="00CB0DD7">
      <w:pPr>
        <w:pStyle w:val="PL"/>
        <w:rPr>
          <w:lang w:val="en-US"/>
        </w:rPr>
      </w:pPr>
      <w:r w:rsidRPr="000A0A5F">
        <w:rPr>
          <w:lang w:val="en-US"/>
        </w:rPr>
        <w:t xml:space="preserve">      tags:</w:t>
      </w:r>
    </w:p>
    <w:p w:rsidR="00CB0DD7" w:rsidRPr="000A0A5F" w:rsidRDefault="00CB0DD7">
      <w:pPr>
        <w:pStyle w:val="PL"/>
        <w:rPr>
          <w:lang w:val="en-US"/>
        </w:rPr>
      </w:pPr>
      <w:r w:rsidRPr="000A0A5F">
        <w:rPr>
          <w:lang w:val="en-US"/>
        </w:rPr>
        <w:t xml:space="preserve">        - Individual Delivery via MBMS resource Operation</w:t>
      </w:r>
    </w:p>
    <w:p w:rsidR="00CB0DD7" w:rsidRPr="000A0A5F" w:rsidRDefault="00CB0DD7">
      <w:pPr>
        <w:pStyle w:val="PL"/>
        <w:rPr>
          <w:rFonts w:hint="eastAsia"/>
        </w:rPr>
      </w:pPr>
      <w:r w:rsidRPr="000A0A5F">
        <w:rPr>
          <w:rFonts w:hint="eastAsia"/>
        </w:rPr>
        <w:t xml:space="preserve">      parameters:</w:t>
      </w:r>
    </w:p>
    <w:p w:rsidR="00CB0DD7" w:rsidRPr="000A0A5F" w:rsidRDefault="00CB0DD7">
      <w:pPr>
        <w:pStyle w:val="PL"/>
        <w:rPr>
          <w:rFonts w:hint="eastAsia"/>
        </w:rPr>
      </w:pPr>
      <w:r w:rsidRPr="000A0A5F">
        <w:rPr>
          <w:rFonts w:hint="eastAsia"/>
        </w:rPr>
        <w:t xml:space="preserve">        - name: </w:t>
      </w:r>
      <w:r w:rsidRPr="000A0A5F">
        <w:t>scsAsId</w:t>
      </w:r>
    </w:p>
    <w:p w:rsidR="00CB0DD7" w:rsidRPr="000A0A5F" w:rsidRDefault="00CB0DD7">
      <w:pPr>
        <w:pStyle w:val="PL"/>
        <w:rPr>
          <w:rFonts w:hint="eastAsia"/>
        </w:rPr>
      </w:pPr>
      <w:r w:rsidRPr="000A0A5F">
        <w:rPr>
          <w:rFonts w:hint="eastAsia"/>
        </w:rPr>
        <w:t xml:space="preserve">          in: path</w:t>
      </w:r>
    </w:p>
    <w:p w:rsidR="00CB0DD7" w:rsidRPr="000A0A5F" w:rsidRDefault="00CB0DD7">
      <w:pPr>
        <w:pStyle w:val="PL"/>
        <w:rPr>
          <w:rFonts w:hint="eastAsia"/>
        </w:rPr>
      </w:pPr>
      <w:r w:rsidRPr="000A0A5F">
        <w:rPr>
          <w:rFonts w:hint="eastAsia"/>
        </w:rPr>
        <w:t xml:space="preserve">          description: Identifier of </w:t>
      </w:r>
      <w:r w:rsidRPr="000A0A5F">
        <w:t>SCS/AS</w:t>
      </w:r>
    </w:p>
    <w:p w:rsidR="00CB0DD7" w:rsidRPr="000A0A5F" w:rsidRDefault="00CB0DD7">
      <w:pPr>
        <w:pStyle w:val="PL"/>
        <w:rPr>
          <w:rFonts w:hint="eastAsia"/>
        </w:rPr>
      </w:pPr>
      <w:r w:rsidRPr="000A0A5F">
        <w:rPr>
          <w:rFonts w:hint="eastAsia"/>
        </w:rPr>
        <w:t xml:space="preserve">          required: true</w:t>
      </w:r>
    </w:p>
    <w:p w:rsidR="00CB0DD7" w:rsidRPr="000A0A5F" w:rsidRDefault="00CB0DD7">
      <w:pPr>
        <w:pStyle w:val="PL"/>
        <w:rPr>
          <w:rFonts w:hint="eastAsia"/>
        </w:rPr>
      </w:pPr>
      <w:r w:rsidRPr="000A0A5F">
        <w:rPr>
          <w:rFonts w:hint="eastAsia"/>
        </w:rPr>
        <w:t xml:space="preserve">          schema:</w:t>
      </w:r>
    </w:p>
    <w:p w:rsidR="00CB0DD7" w:rsidRPr="000A0A5F" w:rsidRDefault="00CB0DD7">
      <w:pPr>
        <w:pStyle w:val="PL"/>
      </w:pPr>
      <w:r w:rsidRPr="000A0A5F">
        <w:rPr>
          <w:rFonts w:hint="eastAsia"/>
        </w:rPr>
        <w:t xml:space="preserve">            type: string</w:t>
      </w:r>
    </w:p>
    <w:p w:rsidR="00CB0DD7" w:rsidRPr="000A0A5F" w:rsidRDefault="00CB0DD7">
      <w:pPr>
        <w:pStyle w:val="PL"/>
        <w:rPr>
          <w:rFonts w:hint="eastAsia"/>
        </w:rPr>
      </w:pPr>
      <w:r w:rsidRPr="000A0A5F">
        <w:rPr>
          <w:rFonts w:hint="eastAsia"/>
        </w:rPr>
        <w:t xml:space="preserve">        - name: </w:t>
      </w:r>
      <w:r w:rsidRPr="000A0A5F">
        <w:t>serviceId</w:t>
      </w:r>
    </w:p>
    <w:p w:rsidR="00CB0DD7" w:rsidRPr="000A0A5F" w:rsidRDefault="00CB0DD7">
      <w:pPr>
        <w:pStyle w:val="PL"/>
        <w:rPr>
          <w:rFonts w:hint="eastAsia"/>
        </w:rPr>
      </w:pPr>
      <w:r w:rsidRPr="000A0A5F">
        <w:rPr>
          <w:rFonts w:hint="eastAsia"/>
        </w:rPr>
        <w:t xml:space="preserve">          in: path</w:t>
      </w:r>
    </w:p>
    <w:p w:rsidR="00CB0DD7" w:rsidRPr="000A0A5F" w:rsidRDefault="00CB0DD7">
      <w:pPr>
        <w:pStyle w:val="PL"/>
        <w:rPr>
          <w:rFonts w:hint="eastAsia"/>
        </w:rPr>
      </w:pPr>
      <w:r w:rsidRPr="000A0A5F">
        <w:rPr>
          <w:rFonts w:hint="eastAsia"/>
        </w:rPr>
        <w:t xml:space="preserve">          description: </w:t>
      </w:r>
      <w:r w:rsidRPr="000A0A5F">
        <w:t>Service Id</w:t>
      </w:r>
    </w:p>
    <w:p w:rsidR="00CB0DD7" w:rsidRPr="000A0A5F" w:rsidRDefault="00CB0DD7">
      <w:pPr>
        <w:pStyle w:val="PL"/>
        <w:rPr>
          <w:rFonts w:hint="eastAsia"/>
        </w:rPr>
      </w:pPr>
      <w:r w:rsidRPr="000A0A5F">
        <w:rPr>
          <w:rFonts w:hint="eastAsia"/>
        </w:rPr>
        <w:t xml:space="preserve">          required: true</w:t>
      </w:r>
    </w:p>
    <w:p w:rsidR="00CB0DD7" w:rsidRPr="000A0A5F" w:rsidRDefault="00CB0DD7">
      <w:pPr>
        <w:pStyle w:val="PL"/>
        <w:rPr>
          <w:rFonts w:hint="eastAsia"/>
        </w:rPr>
      </w:pPr>
      <w:r w:rsidRPr="000A0A5F">
        <w:rPr>
          <w:rFonts w:hint="eastAsia"/>
        </w:rPr>
        <w:t xml:space="preserve">          schema:</w:t>
      </w:r>
    </w:p>
    <w:p w:rsidR="00CB0DD7" w:rsidRPr="000A0A5F" w:rsidRDefault="00CB0DD7">
      <w:pPr>
        <w:pStyle w:val="PL"/>
      </w:pPr>
      <w:r w:rsidRPr="000A0A5F">
        <w:rPr>
          <w:rFonts w:hint="eastAsia"/>
        </w:rPr>
        <w:t xml:space="preserve">            type: string</w:t>
      </w:r>
    </w:p>
    <w:p w:rsidR="00CB0DD7" w:rsidRPr="000A0A5F" w:rsidRDefault="00CB0DD7">
      <w:pPr>
        <w:pStyle w:val="PL"/>
        <w:rPr>
          <w:rFonts w:hint="eastAsia"/>
        </w:rPr>
      </w:pPr>
      <w:r w:rsidRPr="000A0A5F">
        <w:rPr>
          <w:rFonts w:hint="eastAsia"/>
        </w:rPr>
        <w:t xml:space="preserve">        - name: </w:t>
      </w:r>
      <w:r w:rsidRPr="000A0A5F">
        <w:t>transactionId</w:t>
      </w:r>
    </w:p>
    <w:p w:rsidR="00CB0DD7" w:rsidRPr="000A0A5F" w:rsidRDefault="00CB0DD7">
      <w:pPr>
        <w:pStyle w:val="PL"/>
        <w:rPr>
          <w:rFonts w:hint="eastAsia"/>
        </w:rPr>
      </w:pPr>
      <w:r w:rsidRPr="000A0A5F">
        <w:rPr>
          <w:rFonts w:hint="eastAsia"/>
        </w:rPr>
        <w:t xml:space="preserve">          in: path</w:t>
      </w:r>
    </w:p>
    <w:p w:rsidR="00CB0DD7" w:rsidRPr="000A0A5F" w:rsidRDefault="00CB0DD7">
      <w:pPr>
        <w:pStyle w:val="PL"/>
        <w:rPr>
          <w:rFonts w:hint="eastAsia"/>
        </w:rPr>
      </w:pPr>
      <w:r w:rsidRPr="000A0A5F">
        <w:rPr>
          <w:rFonts w:hint="eastAsia"/>
        </w:rPr>
        <w:t xml:space="preserve">          description: </w:t>
      </w:r>
      <w:r w:rsidRPr="000A0A5F">
        <w:t>Identifier of transaction</w:t>
      </w:r>
    </w:p>
    <w:p w:rsidR="00CB0DD7" w:rsidRPr="000A0A5F" w:rsidRDefault="00CB0DD7">
      <w:pPr>
        <w:pStyle w:val="PL"/>
        <w:rPr>
          <w:rFonts w:hint="eastAsia"/>
        </w:rPr>
      </w:pPr>
      <w:r w:rsidRPr="000A0A5F">
        <w:rPr>
          <w:rFonts w:hint="eastAsia"/>
        </w:rPr>
        <w:t xml:space="preserve">          required: true</w:t>
      </w:r>
    </w:p>
    <w:p w:rsidR="00CB0DD7" w:rsidRPr="000A0A5F" w:rsidRDefault="00CB0DD7">
      <w:pPr>
        <w:pStyle w:val="PL"/>
        <w:rPr>
          <w:rFonts w:hint="eastAsia"/>
        </w:rPr>
      </w:pPr>
      <w:r w:rsidRPr="000A0A5F">
        <w:rPr>
          <w:rFonts w:hint="eastAsia"/>
        </w:rPr>
        <w:t xml:space="preserve">          schema:</w:t>
      </w:r>
    </w:p>
    <w:p w:rsidR="00CB0DD7" w:rsidRPr="000A0A5F" w:rsidRDefault="00CB0DD7">
      <w:pPr>
        <w:pStyle w:val="PL"/>
      </w:pPr>
      <w:r w:rsidRPr="000A0A5F">
        <w:rPr>
          <w:rFonts w:hint="eastAsia"/>
        </w:rPr>
        <w:t xml:space="preserve">            type: string</w:t>
      </w:r>
    </w:p>
    <w:p w:rsidR="00CB0DD7" w:rsidRPr="000A0A5F" w:rsidRDefault="00CB0DD7">
      <w:pPr>
        <w:pStyle w:val="PL"/>
        <w:rPr>
          <w:lang w:val="en-US"/>
        </w:rPr>
      </w:pPr>
      <w:r w:rsidRPr="000A0A5F">
        <w:t xml:space="preserve">     </w:t>
      </w:r>
      <w:r w:rsidRPr="000A0A5F">
        <w:rPr>
          <w:lang w:val="en-US"/>
        </w:rPr>
        <w:t xml:space="preserve"> responses:</w:t>
      </w:r>
    </w:p>
    <w:p w:rsidR="00CB0DD7" w:rsidRPr="000A0A5F" w:rsidRDefault="00CB0DD7">
      <w:pPr>
        <w:pStyle w:val="PL"/>
        <w:rPr>
          <w:lang w:val="en-US"/>
        </w:rPr>
      </w:pPr>
      <w:r w:rsidRPr="000A0A5F">
        <w:rPr>
          <w:lang w:val="en-US"/>
        </w:rPr>
        <w:t xml:space="preserve">        '204':</w:t>
      </w:r>
    </w:p>
    <w:p w:rsidR="00CB0DD7" w:rsidRPr="000A0A5F" w:rsidRDefault="00CB0DD7">
      <w:pPr>
        <w:pStyle w:val="PL"/>
        <w:rPr>
          <w:lang w:val="en-US"/>
        </w:rPr>
      </w:pPr>
      <w:r w:rsidRPr="000A0A5F">
        <w:rPr>
          <w:lang w:val="en-US"/>
        </w:rPr>
        <w:t xml:space="preserve">          description: No Content, successful deletion of an resouce of deliery via MBMS</w:t>
      </w:r>
    </w:p>
    <w:p w:rsidR="00CB0DD7" w:rsidRPr="000A0A5F" w:rsidRDefault="00CB0DD7">
      <w:pPr>
        <w:pStyle w:val="PL"/>
      </w:pPr>
      <w:r w:rsidRPr="000A0A5F">
        <w:t xml:space="preserve">        '307':</w:t>
      </w:r>
    </w:p>
    <w:p w:rsidR="00CB0DD7" w:rsidRPr="000A0A5F" w:rsidRDefault="00CB0DD7">
      <w:pPr>
        <w:pStyle w:val="PL"/>
      </w:pPr>
      <w:r w:rsidRPr="000A0A5F">
        <w:t xml:space="preserve">          $ref: 'TS29122_CommonData.yaml#/components/responses/307'</w:t>
      </w:r>
    </w:p>
    <w:p w:rsidR="00CB0DD7" w:rsidRPr="000A0A5F" w:rsidRDefault="00CB0DD7">
      <w:pPr>
        <w:pStyle w:val="PL"/>
      </w:pPr>
      <w:r w:rsidRPr="000A0A5F">
        <w:t xml:space="preserve">        '308':</w:t>
      </w:r>
    </w:p>
    <w:p w:rsidR="00CB0DD7" w:rsidRPr="000A0A5F" w:rsidRDefault="00CB0DD7">
      <w:pPr>
        <w:pStyle w:val="PL"/>
      </w:pPr>
      <w:r w:rsidRPr="000A0A5F">
        <w:t xml:space="preserve">          $ref: 'TS29122_CommonData.yaml#/components/responses/308'</w:t>
      </w:r>
    </w:p>
    <w:p w:rsidR="00CB0DD7" w:rsidRPr="000A0A5F" w:rsidRDefault="00CB0DD7">
      <w:pPr>
        <w:pStyle w:val="PL"/>
      </w:pPr>
      <w:r w:rsidRPr="000A0A5F">
        <w:t xml:space="preserve">        '400':</w:t>
      </w:r>
    </w:p>
    <w:p w:rsidR="00CB0DD7" w:rsidRPr="000A0A5F" w:rsidRDefault="00CB0DD7">
      <w:pPr>
        <w:pStyle w:val="PL"/>
      </w:pPr>
      <w:r w:rsidRPr="000A0A5F">
        <w:t xml:space="preserve">          $ref: 'TS29122_CommonData.yaml#/components/responses/400'</w:t>
      </w:r>
    </w:p>
    <w:p w:rsidR="00CB0DD7" w:rsidRPr="000A0A5F" w:rsidRDefault="00CB0DD7">
      <w:pPr>
        <w:pStyle w:val="PL"/>
      </w:pPr>
      <w:r w:rsidRPr="000A0A5F">
        <w:t xml:space="preserve">        '401':</w:t>
      </w:r>
    </w:p>
    <w:p w:rsidR="00CB0DD7" w:rsidRPr="000A0A5F" w:rsidRDefault="00CB0DD7">
      <w:pPr>
        <w:pStyle w:val="PL"/>
      </w:pPr>
      <w:r w:rsidRPr="000A0A5F">
        <w:t xml:space="preserve">          $ref: 'TS29122_CommonData.yaml#/components/responses/401'</w:t>
      </w:r>
    </w:p>
    <w:p w:rsidR="00CB0DD7" w:rsidRPr="000A0A5F" w:rsidRDefault="00CB0DD7">
      <w:pPr>
        <w:pStyle w:val="PL"/>
      </w:pPr>
      <w:r w:rsidRPr="000A0A5F">
        <w:t xml:space="preserve">        '403':</w:t>
      </w:r>
    </w:p>
    <w:p w:rsidR="00CB0DD7" w:rsidRPr="000A0A5F" w:rsidRDefault="00CB0DD7">
      <w:pPr>
        <w:pStyle w:val="PL"/>
      </w:pPr>
      <w:r w:rsidRPr="000A0A5F">
        <w:t xml:space="preserve">          $ref: 'TS29122_CommonData.yaml#/components/responses/403'</w:t>
      </w:r>
    </w:p>
    <w:p w:rsidR="00CB0DD7" w:rsidRPr="000A0A5F" w:rsidRDefault="00CB0DD7">
      <w:pPr>
        <w:pStyle w:val="PL"/>
      </w:pPr>
      <w:r w:rsidRPr="000A0A5F">
        <w:t xml:space="preserve">        '404':</w:t>
      </w:r>
    </w:p>
    <w:p w:rsidR="00CB0DD7" w:rsidRPr="000A0A5F" w:rsidRDefault="00CB0DD7">
      <w:pPr>
        <w:pStyle w:val="PL"/>
      </w:pPr>
      <w:r w:rsidRPr="000A0A5F">
        <w:t xml:space="preserve">          $ref: 'TS29122_CommonData.yaml#/components/responses/404'</w:t>
      </w:r>
    </w:p>
    <w:p w:rsidR="00CB0DD7" w:rsidRPr="000A0A5F" w:rsidRDefault="00CB0DD7">
      <w:pPr>
        <w:pStyle w:val="PL"/>
      </w:pPr>
      <w:r w:rsidRPr="000A0A5F">
        <w:t xml:space="preserve">        '429':</w:t>
      </w:r>
    </w:p>
    <w:p w:rsidR="00CB0DD7" w:rsidRPr="000A0A5F" w:rsidRDefault="00CB0DD7">
      <w:pPr>
        <w:pStyle w:val="PL"/>
      </w:pPr>
      <w:r w:rsidRPr="000A0A5F">
        <w:t xml:space="preserve">          $ref: 'TS29122_CommonData.yaml#/components/responses/429'</w:t>
      </w:r>
    </w:p>
    <w:p w:rsidR="00CB0DD7" w:rsidRPr="000A0A5F" w:rsidRDefault="00CB0DD7">
      <w:pPr>
        <w:pStyle w:val="PL"/>
      </w:pPr>
      <w:r w:rsidRPr="000A0A5F">
        <w:t xml:space="preserve">        '500':</w:t>
      </w:r>
    </w:p>
    <w:p w:rsidR="00CB0DD7" w:rsidRPr="000A0A5F" w:rsidRDefault="00CB0DD7">
      <w:pPr>
        <w:pStyle w:val="PL"/>
      </w:pPr>
      <w:r w:rsidRPr="000A0A5F">
        <w:t xml:space="preserve">          $ref: 'TS29122_CommonData.yaml#/components/responses/500'</w:t>
      </w:r>
    </w:p>
    <w:p w:rsidR="00CB0DD7" w:rsidRPr="000A0A5F" w:rsidRDefault="00CB0DD7">
      <w:pPr>
        <w:pStyle w:val="PL"/>
      </w:pPr>
      <w:r w:rsidRPr="000A0A5F">
        <w:t xml:space="preserve">        '503':</w:t>
      </w:r>
    </w:p>
    <w:p w:rsidR="00CB0DD7" w:rsidRPr="000A0A5F" w:rsidRDefault="00CB0DD7">
      <w:pPr>
        <w:pStyle w:val="PL"/>
      </w:pPr>
      <w:r w:rsidRPr="000A0A5F">
        <w:t xml:space="preserve">          $ref: 'TS29122_CommonData.yaml#/components/responses/503'</w:t>
      </w:r>
    </w:p>
    <w:p w:rsidR="00CB0DD7" w:rsidRPr="000A0A5F" w:rsidRDefault="00CB0DD7">
      <w:pPr>
        <w:pStyle w:val="PL"/>
      </w:pPr>
      <w:r w:rsidRPr="000A0A5F">
        <w:t xml:space="preserve">        default:</w:t>
      </w:r>
    </w:p>
    <w:p w:rsidR="00CB0DD7" w:rsidRPr="000A0A5F" w:rsidRDefault="00CB0DD7">
      <w:pPr>
        <w:pStyle w:val="PL"/>
      </w:pPr>
      <w:r w:rsidRPr="000A0A5F">
        <w:t xml:space="preserve">          $ref: 'TS29122_CommonData.yaml#/components/responses/default'</w:t>
      </w:r>
    </w:p>
    <w:p w:rsidR="00CB0DD7" w:rsidRPr="000A0A5F" w:rsidRDefault="00CB0DD7">
      <w:pPr>
        <w:pStyle w:val="PL"/>
        <w:rPr>
          <w:lang w:val="en-US"/>
        </w:rPr>
      </w:pPr>
    </w:p>
    <w:p w:rsidR="00CB0DD7" w:rsidRPr="000A0A5F" w:rsidRDefault="00CB0DD7">
      <w:pPr>
        <w:pStyle w:val="PL"/>
      </w:pPr>
      <w:r w:rsidRPr="000A0A5F">
        <w:t>components:</w:t>
      </w:r>
    </w:p>
    <w:p w:rsidR="00CB0DD7" w:rsidRPr="000A0A5F" w:rsidRDefault="00CB0DD7">
      <w:pPr>
        <w:pStyle w:val="PL"/>
        <w:rPr>
          <w:lang w:val="en-US"/>
        </w:rPr>
      </w:pPr>
      <w:r w:rsidRPr="000A0A5F">
        <w:rPr>
          <w:lang w:val="en-US"/>
        </w:rPr>
        <w:t xml:space="preserve">  securitySchemes:</w:t>
      </w:r>
    </w:p>
    <w:p w:rsidR="00CB0DD7" w:rsidRPr="000A0A5F" w:rsidRDefault="00CB0DD7">
      <w:pPr>
        <w:pStyle w:val="PL"/>
        <w:rPr>
          <w:lang w:val="en-US"/>
        </w:rPr>
      </w:pPr>
      <w:r w:rsidRPr="000A0A5F">
        <w:rPr>
          <w:lang w:val="en-US"/>
        </w:rPr>
        <w:t xml:space="preserve">    oAuth2ClientCredentials:</w:t>
      </w:r>
    </w:p>
    <w:p w:rsidR="00CB0DD7" w:rsidRPr="000A0A5F" w:rsidRDefault="00CB0DD7">
      <w:pPr>
        <w:pStyle w:val="PL"/>
        <w:rPr>
          <w:lang w:val="en-US"/>
        </w:rPr>
      </w:pPr>
      <w:r w:rsidRPr="000A0A5F">
        <w:rPr>
          <w:lang w:val="en-US"/>
        </w:rPr>
        <w:t xml:space="preserve">      type: oauth2</w:t>
      </w:r>
    </w:p>
    <w:p w:rsidR="00CB0DD7" w:rsidRPr="000A0A5F" w:rsidRDefault="00CB0DD7">
      <w:pPr>
        <w:pStyle w:val="PL"/>
        <w:rPr>
          <w:lang w:val="en-US"/>
        </w:rPr>
      </w:pPr>
      <w:r w:rsidRPr="000A0A5F">
        <w:rPr>
          <w:lang w:val="en-US"/>
        </w:rPr>
        <w:t xml:space="preserve">      flows:</w:t>
      </w:r>
    </w:p>
    <w:p w:rsidR="00CB0DD7" w:rsidRPr="000A0A5F" w:rsidRDefault="00CB0DD7">
      <w:pPr>
        <w:pStyle w:val="PL"/>
        <w:rPr>
          <w:lang w:val="en-US"/>
        </w:rPr>
      </w:pPr>
      <w:r w:rsidRPr="000A0A5F">
        <w:rPr>
          <w:lang w:val="en-US"/>
        </w:rPr>
        <w:t xml:space="preserve">        clientCredentials:</w:t>
      </w:r>
    </w:p>
    <w:p w:rsidR="00CB0DD7" w:rsidRPr="000A0A5F" w:rsidRDefault="00CB0DD7">
      <w:pPr>
        <w:pStyle w:val="PL"/>
        <w:rPr>
          <w:lang w:val="en-US"/>
        </w:rPr>
      </w:pPr>
      <w:r w:rsidRPr="000A0A5F">
        <w:rPr>
          <w:lang w:val="en-US"/>
        </w:rPr>
        <w:t xml:space="preserve">          tokenUrl: '{tokenUrl}'</w:t>
      </w:r>
    </w:p>
    <w:p w:rsidR="00CB0DD7" w:rsidRPr="000A0A5F" w:rsidRDefault="00CB0DD7">
      <w:pPr>
        <w:pStyle w:val="PL"/>
        <w:rPr>
          <w:lang w:val="en-US"/>
        </w:rPr>
      </w:pPr>
      <w:r w:rsidRPr="000A0A5F">
        <w:rPr>
          <w:lang w:val="en-US"/>
        </w:rPr>
        <w:t xml:space="preserve">          scopes: {}</w:t>
      </w:r>
    </w:p>
    <w:p w:rsidR="000F4BCE" w:rsidRPr="000A0A5F" w:rsidRDefault="000F4BCE">
      <w:pPr>
        <w:pStyle w:val="PL"/>
      </w:pPr>
    </w:p>
    <w:p w:rsidR="00CB0DD7" w:rsidRPr="000A0A5F" w:rsidRDefault="00CB0DD7">
      <w:pPr>
        <w:pStyle w:val="PL"/>
        <w:rPr>
          <w:lang w:eastAsia="zh-CN"/>
        </w:rPr>
      </w:pPr>
      <w:r w:rsidRPr="000A0A5F">
        <w:t xml:space="preserve">  schemas: </w:t>
      </w:r>
    </w:p>
    <w:p w:rsidR="00CB0DD7" w:rsidRPr="000A0A5F" w:rsidRDefault="00CB0DD7">
      <w:pPr>
        <w:pStyle w:val="PL"/>
      </w:pPr>
      <w:r w:rsidRPr="000A0A5F">
        <w:t xml:space="preserve">    ServiceCreation:</w:t>
      </w:r>
    </w:p>
    <w:p w:rsidR="00CB0DD7" w:rsidRPr="000A0A5F" w:rsidRDefault="00CB0DD7">
      <w:pPr>
        <w:pStyle w:val="PL"/>
      </w:pPr>
      <w:r w:rsidRPr="000A0A5F">
        <w:t xml:space="preserve">      description: Represents an individual xMB Service resource.</w:t>
      </w:r>
    </w:p>
    <w:p w:rsidR="00CB0DD7" w:rsidRPr="000A0A5F" w:rsidRDefault="00CB0DD7">
      <w:pPr>
        <w:pStyle w:val="PL"/>
      </w:pPr>
      <w:r w:rsidRPr="000A0A5F">
        <w:t xml:space="preserve">      type: object</w:t>
      </w:r>
    </w:p>
    <w:p w:rsidR="00CB0DD7" w:rsidRPr="000A0A5F" w:rsidRDefault="00CB0DD7">
      <w:pPr>
        <w:pStyle w:val="PL"/>
      </w:pPr>
      <w:r w:rsidRPr="000A0A5F">
        <w:t xml:space="preserve">      properties:</w:t>
      </w:r>
    </w:p>
    <w:p w:rsidR="00CB0DD7" w:rsidRPr="000A0A5F" w:rsidRDefault="00CB0DD7">
      <w:pPr>
        <w:pStyle w:val="PL"/>
      </w:pPr>
      <w:r w:rsidRPr="000A0A5F">
        <w:t xml:space="preserve">        self:</w:t>
      </w:r>
    </w:p>
    <w:p w:rsidR="00CB0DD7" w:rsidRPr="000A0A5F" w:rsidRDefault="00CB0DD7">
      <w:pPr>
        <w:pStyle w:val="PL"/>
      </w:pPr>
      <w:r w:rsidRPr="000A0A5F">
        <w:t xml:space="preserve">          $ref: 'TS29122_CommonData.yaml#/components/schemas/Link'</w:t>
      </w:r>
    </w:p>
    <w:p w:rsidR="00CB0DD7" w:rsidRPr="000A0A5F" w:rsidRDefault="00CB0DD7">
      <w:pPr>
        <w:pStyle w:val="PL"/>
      </w:pPr>
      <w:r w:rsidRPr="000A0A5F">
        <w:t xml:space="preserve">        </w:t>
      </w:r>
      <w:r w:rsidRPr="000A0A5F">
        <w:rPr>
          <w:lang w:eastAsia="zh-CN"/>
        </w:rPr>
        <w:t>supportedFeatures</w:t>
      </w:r>
      <w:r w:rsidRPr="000A0A5F">
        <w:t>:</w:t>
      </w:r>
    </w:p>
    <w:p w:rsidR="00CB0DD7" w:rsidRPr="000A0A5F" w:rsidRDefault="00CB0DD7">
      <w:pPr>
        <w:pStyle w:val="PL"/>
      </w:pPr>
      <w:r w:rsidRPr="000A0A5F">
        <w:t xml:space="preserve">          $ref: 'TS29571_CommonData.yaml#/components/schemas/</w:t>
      </w:r>
      <w:r w:rsidRPr="000A0A5F">
        <w:rPr>
          <w:lang w:eastAsia="zh-CN"/>
        </w:rPr>
        <w:t>SupportedFeatures</w:t>
      </w:r>
      <w:r w:rsidRPr="000A0A5F">
        <w:t>'</w:t>
      </w:r>
    </w:p>
    <w:p w:rsidR="00CB0DD7" w:rsidRPr="000A0A5F" w:rsidRDefault="00CB0DD7">
      <w:pPr>
        <w:pStyle w:val="PL"/>
      </w:pPr>
      <w:r w:rsidRPr="000A0A5F">
        <w:t xml:space="preserve">        externalGroupId:</w:t>
      </w:r>
    </w:p>
    <w:p w:rsidR="00CB0DD7" w:rsidRPr="000A0A5F" w:rsidRDefault="00CB0DD7">
      <w:pPr>
        <w:pStyle w:val="PL"/>
      </w:pPr>
      <w:r w:rsidRPr="000A0A5F">
        <w:t xml:space="preserve">          $ref: 'TS29122_CommonData.yaml#/components/schemas/ExternalGroupId'</w:t>
      </w:r>
    </w:p>
    <w:p w:rsidR="00CB0DD7" w:rsidRPr="000A0A5F" w:rsidRDefault="00CB0DD7">
      <w:pPr>
        <w:pStyle w:val="PL"/>
      </w:pPr>
      <w:r w:rsidRPr="000A0A5F">
        <w:t xml:space="preserve">        </w:t>
      </w:r>
      <w:r w:rsidRPr="000A0A5F">
        <w:rPr>
          <w:lang w:eastAsia="zh-CN"/>
        </w:rPr>
        <w:t>userS</w:t>
      </w:r>
      <w:r w:rsidRPr="000A0A5F">
        <w:rPr>
          <w:rFonts w:hint="eastAsia"/>
          <w:lang w:eastAsia="zh-CN"/>
        </w:rPr>
        <w:t>er</w:t>
      </w:r>
      <w:r w:rsidRPr="000A0A5F">
        <w:rPr>
          <w:lang w:eastAsia="zh-CN"/>
        </w:rPr>
        <w:t>viceId</w:t>
      </w:r>
      <w:r w:rsidRPr="000A0A5F">
        <w:t>:</w:t>
      </w:r>
    </w:p>
    <w:p w:rsidR="00CB0DD7" w:rsidRPr="000A0A5F" w:rsidRDefault="00CB0DD7">
      <w:pPr>
        <w:pStyle w:val="PL"/>
      </w:pPr>
      <w:r w:rsidRPr="000A0A5F">
        <w:t xml:space="preserve">          type: string</w:t>
      </w:r>
    </w:p>
    <w:p w:rsidR="00CB0DD7" w:rsidRPr="000A0A5F" w:rsidRDefault="00CB0DD7">
      <w:pPr>
        <w:pStyle w:val="PL"/>
      </w:pPr>
      <w:r w:rsidRPr="000A0A5F">
        <w:t xml:space="preserve">          description: Identifies the MBMS User Service supplied by the SCEF.</w:t>
      </w:r>
    </w:p>
    <w:p w:rsidR="00CB0DD7" w:rsidRPr="000A0A5F" w:rsidRDefault="00CB0DD7">
      <w:pPr>
        <w:pStyle w:val="PL"/>
      </w:pPr>
      <w:r w:rsidRPr="000A0A5F">
        <w:t xml:space="preserve">          readOnly: true</w:t>
      </w:r>
    </w:p>
    <w:p w:rsidR="00CB0DD7" w:rsidRPr="000A0A5F" w:rsidRDefault="00CB0DD7">
      <w:pPr>
        <w:pStyle w:val="PL"/>
      </w:pPr>
      <w:r w:rsidRPr="000A0A5F">
        <w:t xml:space="preserve">        </w:t>
      </w:r>
      <w:r w:rsidRPr="000A0A5F">
        <w:rPr>
          <w:lang w:eastAsia="zh-CN"/>
        </w:rPr>
        <w:t>s</w:t>
      </w:r>
      <w:r w:rsidRPr="000A0A5F">
        <w:rPr>
          <w:rFonts w:hint="eastAsia"/>
          <w:lang w:eastAsia="zh-CN"/>
        </w:rPr>
        <w:t>er</w:t>
      </w:r>
      <w:r w:rsidRPr="000A0A5F">
        <w:rPr>
          <w:lang w:eastAsia="zh-CN"/>
        </w:rPr>
        <w:t>viceClass</w:t>
      </w:r>
      <w:r w:rsidRPr="000A0A5F">
        <w:t>:</w:t>
      </w:r>
    </w:p>
    <w:p w:rsidR="00CB0DD7" w:rsidRPr="000A0A5F" w:rsidRDefault="00CB0DD7">
      <w:pPr>
        <w:pStyle w:val="PL"/>
      </w:pPr>
      <w:r w:rsidRPr="000A0A5F">
        <w:t xml:space="preserve">          type: string</w:t>
      </w:r>
    </w:p>
    <w:p w:rsidR="00CB0DD7" w:rsidRPr="000A0A5F" w:rsidRDefault="00CB0DD7">
      <w:pPr>
        <w:pStyle w:val="PL"/>
      </w:pPr>
      <w:r w:rsidRPr="000A0A5F">
        <w:t xml:space="preserve">          description: The service class that service belongs to supplied by the SCEF.</w:t>
      </w:r>
    </w:p>
    <w:p w:rsidR="00CB0DD7" w:rsidRPr="000A0A5F" w:rsidRDefault="00CB0DD7">
      <w:pPr>
        <w:pStyle w:val="PL"/>
      </w:pPr>
      <w:r w:rsidRPr="000A0A5F">
        <w:t xml:space="preserve">          readOnly: true</w:t>
      </w:r>
    </w:p>
    <w:p w:rsidR="00CB0DD7" w:rsidRPr="000A0A5F" w:rsidRDefault="00CB0DD7">
      <w:pPr>
        <w:pStyle w:val="PL"/>
      </w:pPr>
      <w:r w:rsidRPr="000A0A5F">
        <w:t xml:space="preserve">        </w:t>
      </w:r>
      <w:r w:rsidRPr="000A0A5F">
        <w:rPr>
          <w:lang w:eastAsia="zh-CN"/>
        </w:rPr>
        <w:t>s</w:t>
      </w:r>
      <w:r w:rsidRPr="000A0A5F">
        <w:rPr>
          <w:rFonts w:hint="eastAsia"/>
          <w:lang w:eastAsia="zh-CN"/>
        </w:rPr>
        <w:t>er</w:t>
      </w:r>
      <w:r w:rsidRPr="000A0A5F">
        <w:rPr>
          <w:lang w:eastAsia="zh-CN"/>
        </w:rPr>
        <w:t>viceLanguages</w:t>
      </w:r>
      <w:r w:rsidRPr="000A0A5F">
        <w:t>:</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type: string</w:t>
      </w:r>
    </w:p>
    <w:p w:rsidR="00CB0DD7" w:rsidRPr="000A0A5F" w:rsidRDefault="00CB0DD7">
      <w:pPr>
        <w:pStyle w:val="PL"/>
      </w:pPr>
      <w:r w:rsidRPr="000A0A5F">
        <w:t xml:space="preserve">          minItems: 1</w:t>
      </w:r>
    </w:p>
    <w:p w:rsidR="00CB0DD7" w:rsidRPr="000A0A5F" w:rsidRDefault="00CB0DD7">
      <w:pPr>
        <w:pStyle w:val="PL"/>
      </w:pPr>
      <w:r w:rsidRPr="000A0A5F">
        <w:t xml:space="preserve">          description: </w:t>
      </w:r>
      <w:r w:rsidRPr="000A0A5F">
        <w:rPr>
          <w:rFonts w:eastAsia="Batang"/>
        </w:rPr>
        <w:t>List of language of the service content supplied by the SCEF.</w:t>
      </w:r>
    </w:p>
    <w:p w:rsidR="00CB0DD7" w:rsidRPr="000A0A5F" w:rsidRDefault="00CB0DD7">
      <w:pPr>
        <w:pStyle w:val="PL"/>
      </w:pPr>
      <w:r w:rsidRPr="000A0A5F">
        <w:t xml:space="preserve">          readOnly: true</w:t>
      </w:r>
    </w:p>
    <w:p w:rsidR="00CB0DD7" w:rsidRPr="000A0A5F" w:rsidRDefault="00CB0DD7">
      <w:pPr>
        <w:pStyle w:val="PL"/>
      </w:pPr>
      <w:r w:rsidRPr="000A0A5F">
        <w:t xml:space="preserve">        </w:t>
      </w:r>
      <w:r w:rsidRPr="000A0A5F">
        <w:rPr>
          <w:lang w:eastAsia="zh-CN"/>
        </w:rPr>
        <w:t>s</w:t>
      </w:r>
      <w:r w:rsidRPr="000A0A5F">
        <w:rPr>
          <w:rFonts w:hint="eastAsia"/>
          <w:lang w:eastAsia="zh-CN"/>
        </w:rPr>
        <w:t>er</w:t>
      </w:r>
      <w:r w:rsidRPr="000A0A5F">
        <w:rPr>
          <w:lang w:eastAsia="zh-CN"/>
        </w:rPr>
        <w:t>vice</w:t>
      </w:r>
      <w:r w:rsidRPr="000A0A5F">
        <w:t>Names:</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type: string</w:t>
      </w:r>
    </w:p>
    <w:p w:rsidR="00CB0DD7" w:rsidRPr="000A0A5F" w:rsidRDefault="00CB0DD7">
      <w:pPr>
        <w:pStyle w:val="PL"/>
      </w:pPr>
      <w:r w:rsidRPr="000A0A5F">
        <w:t xml:space="preserve">          minItems: 1</w:t>
      </w:r>
    </w:p>
    <w:p w:rsidR="00CB0DD7" w:rsidRPr="000A0A5F" w:rsidRDefault="00CB0DD7">
      <w:pPr>
        <w:pStyle w:val="PL"/>
      </w:pPr>
      <w:r w:rsidRPr="000A0A5F">
        <w:t xml:space="preserve">          description: List of Service Names </w:t>
      </w:r>
      <w:r w:rsidRPr="000A0A5F">
        <w:rPr>
          <w:rFonts w:eastAsia="Batang"/>
        </w:rPr>
        <w:t>supplied by the SCEF</w:t>
      </w:r>
      <w:r w:rsidRPr="000A0A5F">
        <w:t>.</w:t>
      </w:r>
    </w:p>
    <w:p w:rsidR="00CB0DD7" w:rsidRPr="000A0A5F" w:rsidRDefault="00CB0DD7">
      <w:pPr>
        <w:pStyle w:val="PL"/>
      </w:pPr>
      <w:r w:rsidRPr="000A0A5F">
        <w:t xml:space="preserve">          readOnly: true</w:t>
      </w:r>
    </w:p>
    <w:p w:rsidR="00CB0DD7" w:rsidRPr="000A0A5F" w:rsidRDefault="00CB0DD7">
      <w:pPr>
        <w:pStyle w:val="PL"/>
      </w:pPr>
      <w:r w:rsidRPr="000A0A5F">
        <w:t xml:space="preserve">        receiveOnlyMode:</w:t>
      </w:r>
    </w:p>
    <w:p w:rsidR="00CB0DD7" w:rsidRPr="000A0A5F" w:rsidRDefault="00CB0DD7">
      <w:pPr>
        <w:pStyle w:val="PL"/>
      </w:pPr>
      <w:r w:rsidRPr="000A0A5F">
        <w:t xml:space="preserve">          type: boolean</w:t>
      </w:r>
    </w:p>
    <w:p w:rsidR="000F4BCE" w:rsidRPr="000A0A5F" w:rsidRDefault="00CB0DD7">
      <w:pPr>
        <w:pStyle w:val="PL"/>
      </w:pPr>
      <w:r w:rsidRPr="000A0A5F">
        <w:t xml:space="preserve">          description: </w:t>
      </w:r>
      <w:r w:rsidR="000F4BCE" w:rsidRPr="000A0A5F">
        <w:t>&gt;</w:t>
      </w:r>
    </w:p>
    <w:p w:rsidR="000F4BCE" w:rsidRPr="000A0A5F" w:rsidRDefault="000F4BCE">
      <w:pPr>
        <w:pStyle w:val="PL"/>
      </w:pPr>
      <w:r w:rsidRPr="000A0A5F">
        <w:t xml:space="preserve">            </w:t>
      </w:r>
      <w:r w:rsidR="00CB0DD7" w:rsidRPr="000A0A5F">
        <w:t>When set to 'true', the Content Provider indicates that the service is a Receive Only</w:t>
      </w:r>
    </w:p>
    <w:p w:rsidR="00CB0DD7" w:rsidRPr="000A0A5F" w:rsidRDefault="000F4BCE">
      <w:pPr>
        <w:pStyle w:val="PL"/>
      </w:pPr>
      <w:r w:rsidRPr="000A0A5F">
        <w:t xml:space="preserve">           </w:t>
      </w:r>
      <w:r w:rsidR="00CB0DD7" w:rsidRPr="000A0A5F">
        <w:t xml:space="preserve"> Mode service. This parameter is </w:t>
      </w:r>
      <w:r w:rsidR="00CB0DD7" w:rsidRPr="000A0A5F">
        <w:rPr>
          <w:rFonts w:eastAsia="Batang"/>
        </w:rPr>
        <w:t>supplied by the SCEF</w:t>
      </w:r>
      <w:r w:rsidR="00CB0DD7" w:rsidRPr="000A0A5F">
        <w:t>.</w:t>
      </w:r>
    </w:p>
    <w:p w:rsidR="00CB0DD7" w:rsidRPr="000A0A5F" w:rsidRDefault="00CB0DD7">
      <w:pPr>
        <w:pStyle w:val="PL"/>
      </w:pPr>
      <w:r w:rsidRPr="000A0A5F">
        <w:t xml:space="preserve">          readOnly: true</w:t>
      </w:r>
    </w:p>
    <w:p w:rsidR="00CB0DD7" w:rsidRPr="000A0A5F" w:rsidRDefault="00CB0DD7">
      <w:pPr>
        <w:pStyle w:val="PL"/>
      </w:pPr>
      <w:r w:rsidRPr="000A0A5F">
        <w:t xml:space="preserve">        serviceAnnouncementMode:</w:t>
      </w:r>
    </w:p>
    <w:p w:rsidR="00CB0DD7" w:rsidRPr="000A0A5F" w:rsidRDefault="00CB0DD7">
      <w:pPr>
        <w:pStyle w:val="PL"/>
      </w:pPr>
      <w:r w:rsidRPr="000A0A5F">
        <w:t xml:space="preserve">          $ref: '#/components/schemas/ServiceAnnouncementMode'</w:t>
      </w:r>
    </w:p>
    <w:p w:rsidR="000F4BCE" w:rsidRPr="000A0A5F" w:rsidRDefault="000F4BCE">
      <w:pPr>
        <w:pStyle w:val="PL"/>
      </w:pPr>
    </w:p>
    <w:p w:rsidR="00CB0DD7" w:rsidRPr="000A0A5F" w:rsidRDefault="00CB0DD7">
      <w:pPr>
        <w:pStyle w:val="PL"/>
      </w:pPr>
      <w:r w:rsidRPr="000A0A5F">
        <w:t xml:space="preserve">    GMDViaMBMSByxMB:</w:t>
      </w:r>
    </w:p>
    <w:p w:rsidR="00CB0DD7" w:rsidRPr="000A0A5F" w:rsidRDefault="00CB0DD7">
      <w:pPr>
        <w:pStyle w:val="PL"/>
      </w:pPr>
      <w:r w:rsidRPr="000A0A5F">
        <w:t xml:space="preserve">      description: Represents a group message delivery via MBMS by xMB.</w:t>
      </w:r>
    </w:p>
    <w:p w:rsidR="00CB0DD7" w:rsidRPr="000A0A5F" w:rsidRDefault="00CB0DD7">
      <w:pPr>
        <w:pStyle w:val="PL"/>
      </w:pPr>
      <w:r w:rsidRPr="000A0A5F">
        <w:t xml:space="preserve">      type: object</w:t>
      </w:r>
    </w:p>
    <w:p w:rsidR="00CB0DD7" w:rsidRPr="000A0A5F" w:rsidRDefault="00CB0DD7">
      <w:pPr>
        <w:pStyle w:val="PL"/>
      </w:pPr>
      <w:r w:rsidRPr="000A0A5F">
        <w:t xml:space="preserve">      properties:</w:t>
      </w:r>
    </w:p>
    <w:p w:rsidR="00CB0DD7" w:rsidRPr="000A0A5F" w:rsidRDefault="00CB0DD7">
      <w:pPr>
        <w:pStyle w:val="PL"/>
      </w:pPr>
      <w:r w:rsidRPr="000A0A5F">
        <w:t xml:space="preserve">        self:</w:t>
      </w:r>
    </w:p>
    <w:p w:rsidR="00CB0DD7" w:rsidRPr="000A0A5F" w:rsidRDefault="00CB0DD7">
      <w:pPr>
        <w:pStyle w:val="PL"/>
      </w:pPr>
      <w:r w:rsidRPr="000A0A5F">
        <w:t xml:space="preserve">          $ref: 'TS29122_CommonData.yaml#/components/schemas/Link'</w:t>
      </w:r>
    </w:p>
    <w:p w:rsidR="00CB0DD7" w:rsidRPr="000A0A5F" w:rsidRDefault="00CB0DD7">
      <w:pPr>
        <w:pStyle w:val="PL"/>
      </w:pPr>
      <w:r w:rsidRPr="000A0A5F">
        <w:t xml:space="preserve">        notificationDestination:</w:t>
      </w:r>
    </w:p>
    <w:p w:rsidR="00CB0DD7" w:rsidRPr="000A0A5F" w:rsidRDefault="00CB0DD7">
      <w:pPr>
        <w:pStyle w:val="PL"/>
      </w:pPr>
      <w:r w:rsidRPr="000A0A5F">
        <w:t xml:space="preserve">          $ref: 'TS29122_CommonData.yaml#/components/schemas/Link'</w:t>
      </w:r>
    </w:p>
    <w:p w:rsidR="00CB0DD7" w:rsidRPr="000A0A5F" w:rsidRDefault="00CB0DD7">
      <w:pPr>
        <w:pStyle w:val="PL"/>
      </w:pPr>
      <w:r w:rsidRPr="000A0A5F">
        <w:t xml:space="preserve">        requestTestNotification:</w:t>
      </w:r>
    </w:p>
    <w:p w:rsidR="00CB0DD7" w:rsidRPr="000A0A5F" w:rsidRDefault="00CB0DD7">
      <w:pPr>
        <w:pStyle w:val="PL"/>
      </w:pPr>
      <w:r w:rsidRPr="000A0A5F">
        <w:t xml:space="preserve">          type: boolean</w:t>
      </w:r>
    </w:p>
    <w:p w:rsidR="000F4BCE" w:rsidRPr="000A0A5F" w:rsidRDefault="00CB0DD7">
      <w:pPr>
        <w:pStyle w:val="PL"/>
      </w:pPr>
      <w:r w:rsidRPr="000A0A5F">
        <w:t xml:space="preserve">          description: </w:t>
      </w:r>
      <w:r w:rsidR="000F4BCE" w:rsidRPr="000A0A5F">
        <w:t>&gt;</w:t>
      </w:r>
    </w:p>
    <w:p w:rsidR="000F4BCE" w:rsidRPr="000A0A5F" w:rsidRDefault="000F4BCE">
      <w:pPr>
        <w:pStyle w:val="PL"/>
      </w:pPr>
      <w:r w:rsidRPr="000A0A5F">
        <w:t xml:space="preserve">            </w:t>
      </w:r>
      <w:r w:rsidR="00CB0DD7" w:rsidRPr="000A0A5F">
        <w:t>Set to true by the SCS/AS to request the SCEF to send a test notification as defined</w:t>
      </w:r>
    </w:p>
    <w:p w:rsidR="00CB0DD7" w:rsidRPr="000A0A5F" w:rsidRDefault="000F4BCE">
      <w:pPr>
        <w:pStyle w:val="PL"/>
      </w:pPr>
      <w:r w:rsidRPr="000A0A5F">
        <w:t xml:space="preserve">           </w:t>
      </w:r>
      <w:r w:rsidR="00CB0DD7" w:rsidRPr="000A0A5F">
        <w:t xml:space="preserve"> in clause 5.2.5.3. Set to false or omitted otherwise.</w:t>
      </w:r>
    </w:p>
    <w:p w:rsidR="00CB0DD7" w:rsidRPr="000A0A5F" w:rsidRDefault="00CB0DD7">
      <w:pPr>
        <w:pStyle w:val="PL"/>
      </w:pPr>
      <w:r w:rsidRPr="000A0A5F">
        <w:t xml:space="preserve">        websockNotifConfig:</w:t>
      </w:r>
    </w:p>
    <w:p w:rsidR="00CB0DD7" w:rsidRPr="000A0A5F" w:rsidRDefault="00CB0DD7">
      <w:pPr>
        <w:pStyle w:val="PL"/>
      </w:pPr>
      <w:r w:rsidRPr="000A0A5F">
        <w:t xml:space="preserve">          $ref: 'TS29122_CommonData.yaml#/components/schemas/WebsockNotifConfig'</w:t>
      </w:r>
    </w:p>
    <w:p w:rsidR="00CB0DD7" w:rsidRPr="000A0A5F" w:rsidRDefault="00CB0DD7">
      <w:pPr>
        <w:pStyle w:val="PL"/>
      </w:pPr>
      <w:r w:rsidRPr="000A0A5F">
        <w:t xml:space="preserve">        mbmsLocArea:</w:t>
      </w:r>
    </w:p>
    <w:p w:rsidR="00CB0DD7" w:rsidRPr="000A0A5F" w:rsidRDefault="00CB0DD7">
      <w:pPr>
        <w:pStyle w:val="PL"/>
      </w:pPr>
      <w:r w:rsidRPr="000A0A5F">
        <w:t xml:space="preserve">          $ref: '#/components/schemas/MbmsLocArea'</w:t>
      </w:r>
    </w:p>
    <w:p w:rsidR="00CB0DD7" w:rsidRPr="000A0A5F" w:rsidRDefault="00CB0DD7">
      <w:pPr>
        <w:pStyle w:val="PL"/>
      </w:pPr>
      <w:r w:rsidRPr="000A0A5F">
        <w:t xml:space="preserve">        messageDeliveryStartTime:</w:t>
      </w:r>
    </w:p>
    <w:p w:rsidR="00CB0DD7" w:rsidRPr="000A0A5F" w:rsidRDefault="00CB0DD7">
      <w:pPr>
        <w:pStyle w:val="PL"/>
      </w:pPr>
      <w:r w:rsidRPr="000A0A5F">
        <w:t xml:space="preserve">          $ref: 'TS29122_CommonData.yaml#/components/schemas/DateTime'</w:t>
      </w:r>
    </w:p>
    <w:p w:rsidR="00CB0DD7" w:rsidRPr="000A0A5F" w:rsidRDefault="00CB0DD7">
      <w:pPr>
        <w:pStyle w:val="PL"/>
      </w:pPr>
      <w:r w:rsidRPr="000A0A5F">
        <w:t xml:space="preserve">        messageDeliveryStopTime:</w:t>
      </w:r>
    </w:p>
    <w:p w:rsidR="00CB0DD7" w:rsidRPr="000A0A5F" w:rsidRDefault="00CB0DD7">
      <w:pPr>
        <w:pStyle w:val="PL"/>
      </w:pPr>
      <w:r w:rsidRPr="000A0A5F">
        <w:t xml:space="preserve">          $ref: 'TS29122_CommonData.yaml#/components/schemas/DateTime'</w:t>
      </w:r>
    </w:p>
    <w:p w:rsidR="00CB0DD7" w:rsidRPr="000A0A5F" w:rsidRDefault="00CB0DD7">
      <w:pPr>
        <w:pStyle w:val="PL"/>
      </w:pPr>
      <w:r w:rsidRPr="000A0A5F">
        <w:t xml:space="preserve">        groupMessagePayload:</w:t>
      </w:r>
    </w:p>
    <w:p w:rsidR="00CB0DD7" w:rsidRPr="000A0A5F" w:rsidRDefault="00CB0DD7">
      <w:pPr>
        <w:pStyle w:val="PL"/>
        <w:tabs>
          <w:tab w:val="clear" w:pos="1152"/>
        </w:tabs>
      </w:pPr>
      <w:r w:rsidRPr="000A0A5F">
        <w:t xml:space="preserve">          $ref: 'TS29122_CommonData.yaml#/components/schemas/Bytes'</w:t>
      </w:r>
    </w:p>
    <w:p w:rsidR="00CB0DD7" w:rsidRPr="000A0A5F" w:rsidRDefault="00CB0DD7">
      <w:pPr>
        <w:pStyle w:val="PL"/>
      </w:pPr>
      <w:r w:rsidRPr="000A0A5F">
        <w:t xml:space="preserve">        scefMessageDeliveryIPv4:</w:t>
      </w:r>
    </w:p>
    <w:p w:rsidR="00CB0DD7" w:rsidRPr="000A0A5F" w:rsidRDefault="00CB0DD7">
      <w:pPr>
        <w:pStyle w:val="PL"/>
      </w:pPr>
      <w:r w:rsidRPr="000A0A5F">
        <w:t xml:space="preserve">          $ref: 'TS29122_CommonData.yaml#/components/schemas/Ipv4AddrRo'</w:t>
      </w:r>
    </w:p>
    <w:p w:rsidR="00CB0DD7" w:rsidRPr="000A0A5F" w:rsidRDefault="00CB0DD7">
      <w:pPr>
        <w:pStyle w:val="PL"/>
      </w:pPr>
      <w:r w:rsidRPr="000A0A5F">
        <w:t xml:space="preserve">        scefMessageDeliveryIPv6:</w:t>
      </w:r>
    </w:p>
    <w:p w:rsidR="00CB0DD7" w:rsidRPr="000A0A5F" w:rsidRDefault="00CB0DD7">
      <w:pPr>
        <w:pStyle w:val="PL"/>
      </w:pPr>
      <w:r w:rsidRPr="000A0A5F">
        <w:t xml:space="preserve">          $ref: 'TS29122_CommonData.yaml#/components/schemas/Ipv6AddrRo'</w:t>
      </w:r>
    </w:p>
    <w:p w:rsidR="00CB0DD7" w:rsidRPr="000A0A5F" w:rsidRDefault="00CB0DD7">
      <w:pPr>
        <w:pStyle w:val="PL"/>
      </w:pPr>
      <w:r w:rsidRPr="000A0A5F">
        <w:t xml:space="preserve">        scefMessageDeliveryPort:</w:t>
      </w:r>
    </w:p>
    <w:p w:rsidR="00CB0DD7" w:rsidRPr="000A0A5F" w:rsidRDefault="00CB0DD7">
      <w:pPr>
        <w:pStyle w:val="PL"/>
      </w:pPr>
      <w:r w:rsidRPr="000A0A5F">
        <w:t xml:space="preserve">          $ref: 'TS29122_CommonData.yaml#/components/schemas/PortRo'</w:t>
      </w:r>
    </w:p>
    <w:p w:rsidR="00CB0DD7" w:rsidRPr="000A0A5F" w:rsidRDefault="00CB0DD7">
      <w:pPr>
        <w:pStyle w:val="PL"/>
      </w:pPr>
      <w:r w:rsidRPr="000A0A5F">
        <w:t xml:space="preserve">      required:</w:t>
      </w:r>
    </w:p>
    <w:p w:rsidR="00CB0DD7" w:rsidRPr="000A0A5F" w:rsidRDefault="00CB0DD7">
      <w:pPr>
        <w:pStyle w:val="PL"/>
      </w:pPr>
      <w:r w:rsidRPr="000A0A5F">
        <w:t xml:space="preserve">        - notificationDestination</w:t>
      </w:r>
    </w:p>
    <w:p w:rsidR="000F4BCE" w:rsidRPr="000A0A5F" w:rsidRDefault="000F4BCE">
      <w:pPr>
        <w:pStyle w:val="PL"/>
      </w:pPr>
    </w:p>
    <w:p w:rsidR="00CB0DD7" w:rsidRPr="000A0A5F" w:rsidRDefault="00CB0DD7">
      <w:pPr>
        <w:pStyle w:val="PL"/>
      </w:pPr>
      <w:r w:rsidRPr="000A0A5F">
        <w:t xml:space="preserve">    GMDByxMBNotification:</w:t>
      </w:r>
    </w:p>
    <w:p w:rsidR="00CB0DD7" w:rsidRPr="000A0A5F" w:rsidRDefault="00CB0DD7">
      <w:pPr>
        <w:pStyle w:val="PL"/>
      </w:pPr>
      <w:r w:rsidRPr="000A0A5F">
        <w:t xml:space="preserve">      description: Represents a group message delivery notification.</w:t>
      </w:r>
    </w:p>
    <w:p w:rsidR="00CB0DD7" w:rsidRPr="000A0A5F" w:rsidRDefault="00CB0DD7">
      <w:pPr>
        <w:pStyle w:val="PL"/>
      </w:pPr>
      <w:r w:rsidRPr="000A0A5F">
        <w:t xml:space="preserve">      type: object</w:t>
      </w:r>
    </w:p>
    <w:p w:rsidR="00CB0DD7" w:rsidRPr="000A0A5F" w:rsidRDefault="00CB0DD7">
      <w:pPr>
        <w:pStyle w:val="PL"/>
      </w:pPr>
      <w:r w:rsidRPr="000A0A5F">
        <w:t xml:space="preserve">      properties:</w:t>
      </w:r>
    </w:p>
    <w:p w:rsidR="00CB0DD7" w:rsidRPr="000A0A5F" w:rsidRDefault="00CB0DD7">
      <w:pPr>
        <w:pStyle w:val="PL"/>
      </w:pPr>
      <w:r w:rsidRPr="000A0A5F">
        <w:t xml:space="preserve">        transaction:</w:t>
      </w:r>
    </w:p>
    <w:p w:rsidR="00CB0DD7" w:rsidRPr="000A0A5F" w:rsidRDefault="00CB0DD7">
      <w:pPr>
        <w:pStyle w:val="PL"/>
      </w:pPr>
      <w:r w:rsidRPr="000A0A5F">
        <w:t xml:space="preserve">          $ref: 'TS29122_CommonData.yaml#/components/schemas/Link'</w:t>
      </w:r>
    </w:p>
    <w:p w:rsidR="00CB0DD7" w:rsidRPr="000A0A5F" w:rsidRDefault="00CB0DD7">
      <w:pPr>
        <w:pStyle w:val="PL"/>
      </w:pPr>
      <w:r w:rsidRPr="000A0A5F">
        <w:t xml:space="preserve">        deliveryTriggerStatus:</w:t>
      </w:r>
    </w:p>
    <w:p w:rsidR="00CB0DD7" w:rsidRPr="000A0A5F" w:rsidRDefault="00CB0DD7">
      <w:pPr>
        <w:pStyle w:val="PL"/>
      </w:pPr>
      <w:r w:rsidRPr="000A0A5F">
        <w:t xml:space="preserve">          type: boolean</w:t>
      </w:r>
    </w:p>
    <w:p w:rsidR="000F4BCE" w:rsidRPr="000A0A5F" w:rsidRDefault="00CB0DD7">
      <w:pPr>
        <w:pStyle w:val="PL"/>
      </w:pPr>
      <w:r w:rsidRPr="000A0A5F">
        <w:t xml:space="preserve">          description: </w:t>
      </w:r>
      <w:r w:rsidR="000F4BCE" w:rsidRPr="000A0A5F">
        <w:t>&gt;</w:t>
      </w:r>
    </w:p>
    <w:p w:rsidR="00CB0DD7" w:rsidRPr="000A0A5F" w:rsidRDefault="000F4BCE">
      <w:pPr>
        <w:pStyle w:val="PL"/>
      </w:pPr>
      <w:r w:rsidRPr="000A0A5F">
        <w:t xml:space="preserve">            </w:t>
      </w:r>
      <w:r w:rsidR="00CB0DD7" w:rsidRPr="000A0A5F">
        <w:t>Indicates whether delivery of group message payload was successful(TRUE) or not (FALSE)</w:t>
      </w:r>
      <w:r w:rsidRPr="000A0A5F">
        <w:t>.</w:t>
      </w:r>
    </w:p>
    <w:p w:rsidR="00CB0DD7" w:rsidRPr="000A0A5F" w:rsidRDefault="00CB0DD7">
      <w:pPr>
        <w:pStyle w:val="PL"/>
      </w:pPr>
      <w:r w:rsidRPr="000A0A5F">
        <w:t xml:space="preserve">      required:</w:t>
      </w:r>
    </w:p>
    <w:p w:rsidR="00CB0DD7" w:rsidRPr="000A0A5F" w:rsidRDefault="00CB0DD7">
      <w:pPr>
        <w:pStyle w:val="PL"/>
      </w:pPr>
      <w:r w:rsidRPr="000A0A5F">
        <w:t xml:space="preserve">        - transaction</w:t>
      </w:r>
    </w:p>
    <w:p w:rsidR="00CB0DD7" w:rsidRPr="000A0A5F" w:rsidRDefault="00CB0DD7">
      <w:pPr>
        <w:pStyle w:val="PL"/>
      </w:pPr>
      <w:r w:rsidRPr="000A0A5F">
        <w:t xml:space="preserve">        - deliveryTriggerStatus</w:t>
      </w:r>
    </w:p>
    <w:p w:rsidR="000F4BCE" w:rsidRPr="000A0A5F" w:rsidRDefault="000F4BCE">
      <w:pPr>
        <w:pStyle w:val="PL"/>
      </w:pPr>
    </w:p>
    <w:p w:rsidR="00CB0DD7" w:rsidRPr="000A0A5F" w:rsidRDefault="00CB0DD7">
      <w:pPr>
        <w:pStyle w:val="PL"/>
      </w:pPr>
      <w:r w:rsidRPr="000A0A5F">
        <w:t xml:space="preserve">    GMDViaMBMSByxMBPatch:</w:t>
      </w:r>
    </w:p>
    <w:p w:rsidR="00CB0DD7" w:rsidRPr="000A0A5F" w:rsidRDefault="00CB0DD7">
      <w:pPr>
        <w:pStyle w:val="PL"/>
      </w:pPr>
      <w:r w:rsidRPr="000A0A5F">
        <w:t xml:space="preserve">      description: Represents a modification request of a group message delivery via MBMS by xMB.</w:t>
      </w:r>
    </w:p>
    <w:p w:rsidR="00CB0DD7" w:rsidRPr="000A0A5F" w:rsidRDefault="00CB0DD7">
      <w:pPr>
        <w:pStyle w:val="PL"/>
      </w:pPr>
      <w:r w:rsidRPr="000A0A5F">
        <w:t xml:space="preserve">      type: object</w:t>
      </w:r>
    </w:p>
    <w:p w:rsidR="00CB0DD7" w:rsidRPr="000A0A5F" w:rsidRDefault="00CB0DD7">
      <w:pPr>
        <w:pStyle w:val="PL"/>
      </w:pPr>
      <w:r w:rsidRPr="000A0A5F">
        <w:t xml:space="preserve">      properties:</w:t>
      </w:r>
    </w:p>
    <w:p w:rsidR="00CB0DD7" w:rsidRPr="000A0A5F" w:rsidRDefault="00CB0DD7">
      <w:pPr>
        <w:pStyle w:val="PL"/>
      </w:pPr>
      <w:r w:rsidRPr="000A0A5F">
        <w:t xml:space="preserve">        mbmsLocArea:</w:t>
      </w:r>
    </w:p>
    <w:p w:rsidR="00CB0DD7" w:rsidRPr="000A0A5F" w:rsidRDefault="00CB0DD7">
      <w:pPr>
        <w:pStyle w:val="PL"/>
      </w:pPr>
      <w:r w:rsidRPr="000A0A5F">
        <w:t xml:space="preserve">          $ref: '#/components/schemas/MbmsLocArea'</w:t>
      </w:r>
    </w:p>
    <w:p w:rsidR="00CB0DD7" w:rsidRPr="000A0A5F" w:rsidRDefault="00CB0DD7">
      <w:pPr>
        <w:pStyle w:val="PL"/>
      </w:pPr>
      <w:r w:rsidRPr="000A0A5F">
        <w:t xml:space="preserve">        messageDeliveryStartTime:</w:t>
      </w:r>
    </w:p>
    <w:p w:rsidR="00CB0DD7" w:rsidRPr="000A0A5F" w:rsidRDefault="00CB0DD7">
      <w:pPr>
        <w:pStyle w:val="PL"/>
      </w:pPr>
      <w:r w:rsidRPr="000A0A5F">
        <w:t xml:space="preserve">          $ref: 'TS29122_CommonData.yaml#/components/schemas/DateTime'</w:t>
      </w:r>
    </w:p>
    <w:p w:rsidR="00CB0DD7" w:rsidRPr="000A0A5F" w:rsidRDefault="00CB0DD7">
      <w:pPr>
        <w:pStyle w:val="PL"/>
      </w:pPr>
      <w:r w:rsidRPr="000A0A5F">
        <w:t xml:space="preserve">        messageDeliveryStopTime:</w:t>
      </w:r>
    </w:p>
    <w:p w:rsidR="00CB0DD7" w:rsidRPr="000A0A5F" w:rsidRDefault="00CB0DD7">
      <w:pPr>
        <w:pStyle w:val="PL"/>
      </w:pPr>
      <w:r w:rsidRPr="000A0A5F">
        <w:t xml:space="preserve">          $ref: 'TS29122_CommonData.yaml#/components/schemas/DateTime'</w:t>
      </w:r>
    </w:p>
    <w:p w:rsidR="00CB0DD7" w:rsidRPr="000A0A5F" w:rsidRDefault="00CB0DD7">
      <w:pPr>
        <w:pStyle w:val="PL"/>
      </w:pPr>
      <w:r w:rsidRPr="000A0A5F">
        <w:t xml:space="preserve">        groupMessagePayload:</w:t>
      </w:r>
    </w:p>
    <w:p w:rsidR="00CB0DD7" w:rsidRPr="000A0A5F" w:rsidRDefault="00CB0DD7">
      <w:pPr>
        <w:pStyle w:val="PL"/>
      </w:pPr>
      <w:r w:rsidRPr="000A0A5F">
        <w:t xml:space="preserve">          $ref: 'TS29122_CommonData.yaml#/components/schemas/Bytes'</w:t>
      </w:r>
    </w:p>
    <w:p w:rsidR="003D6C1A" w:rsidRPr="000A0A5F" w:rsidRDefault="003D6C1A" w:rsidP="003D6C1A">
      <w:pPr>
        <w:pStyle w:val="PL"/>
      </w:pPr>
      <w:r w:rsidRPr="000A0A5F">
        <w:t xml:space="preserve">        notificationDestination:</w:t>
      </w:r>
    </w:p>
    <w:p w:rsidR="003D6C1A" w:rsidRPr="000A0A5F" w:rsidRDefault="003D6C1A" w:rsidP="003D6C1A">
      <w:pPr>
        <w:pStyle w:val="PL"/>
      </w:pPr>
      <w:r w:rsidRPr="000A0A5F">
        <w:t xml:space="preserve">          $ref: 'TS29122_CommonData.yaml#/components/schemas/Link'</w:t>
      </w:r>
    </w:p>
    <w:p w:rsidR="000F4BCE" w:rsidRPr="000A0A5F" w:rsidRDefault="000F4BCE">
      <w:pPr>
        <w:pStyle w:val="PL"/>
      </w:pPr>
    </w:p>
    <w:p w:rsidR="00CB0DD7" w:rsidRPr="000A0A5F" w:rsidRDefault="00CB0DD7">
      <w:pPr>
        <w:pStyle w:val="PL"/>
      </w:pPr>
      <w:r w:rsidRPr="000A0A5F">
        <w:t xml:space="preserve">    MbmsLocArea:</w:t>
      </w:r>
    </w:p>
    <w:p w:rsidR="000F4BCE" w:rsidRPr="000A0A5F" w:rsidRDefault="00CB0DD7">
      <w:pPr>
        <w:pStyle w:val="PL"/>
      </w:pPr>
      <w:r w:rsidRPr="000A0A5F">
        <w:t xml:space="preserve">      description: </w:t>
      </w:r>
      <w:r w:rsidR="000F4BCE" w:rsidRPr="000A0A5F">
        <w:t>&gt;</w:t>
      </w:r>
    </w:p>
    <w:p w:rsidR="000F4BCE" w:rsidRPr="000A0A5F" w:rsidRDefault="000F4BCE">
      <w:pPr>
        <w:pStyle w:val="PL"/>
      </w:pPr>
      <w:r w:rsidRPr="000A0A5F">
        <w:t xml:space="preserve">        </w:t>
      </w:r>
      <w:r w:rsidR="00CB0DD7" w:rsidRPr="000A0A5F">
        <w:t>Represents a user location area whithin which is sent a group message delivery via MBMS</w:t>
      </w:r>
    </w:p>
    <w:p w:rsidR="00CB0DD7" w:rsidRPr="000A0A5F" w:rsidRDefault="000F4BCE">
      <w:pPr>
        <w:pStyle w:val="PL"/>
      </w:pPr>
      <w:r w:rsidRPr="000A0A5F">
        <w:t xml:space="preserve">       </w:t>
      </w:r>
      <w:r w:rsidR="00CB0DD7" w:rsidRPr="000A0A5F">
        <w:t xml:space="preserve"> request.</w:t>
      </w:r>
    </w:p>
    <w:p w:rsidR="00CB0DD7" w:rsidRPr="000A0A5F" w:rsidRDefault="00CB0DD7">
      <w:pPr>
        <w:pStyle w:val="PL"/>
      </w:pPr>
      <w:r w:rsidRPr="000A0A5F">
        <w:t xml:space="preserve">      type: object</w:t>
      </w:r>
    </w:p>
    <w:p w:rsidR="00CB0DD7" w:rsidRPr="000A0A5F" w:rsidRDefault="00CB0DD7">
      <w:pPr>
        <w:pStyle w:val="PL"/>
      </w:pPr>
      <w:r w:rsidRPr="000A0A5F">
        <w:t xml:space="preserve">      properties:</w:t>
      </w:r>
    </w:p>
    <w:p w:rsidR="00CB0DD7" w:rsidRPr="000A0A5F" w:rsidRDefault="00CB0DD7">
      <w:pPr>
        <w:pStyle w:val="PL"/>
      </w:pPr>
      <w:r w:rsidRPr="000A0A5F">
        <w:t xml:space="preserve">        cellId:</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type: string</w:t>
      </w:r>
    </w:p>
    <w:p w:rsidR="00CB0DD7" w:rsidRPr="000A0A5F" w:rsidRDefault="00CB0DD7">
      <w:pPr>
        <w:pStyle w:val="PL"/>
      </w:pPr>
      <w:r w:rsidRPr="000A0A5F">
        <w:t xml:space="preserve">          minItems: 1</w:t>
      </w:r>
    </w:p>
    <w:p w:rsidR="000F4BCE" w:rsidRPr="000A0A5F" w:rsidRDefault="00CB0DD7">
      <w:pPr>
        <w:pStyle w:val="PL"/>
      </w:pPr>
      <w:r w:rsidRPr="000A0A5F">
        <w:t xml:space="preserve">          description: </w:t>
      </w:r>
      <w:r w:rsidR="000F4BCE" w:rsidRPr="000A0A5F">
        <w:t>&gt;</w:t>
      </w:r>
    </w:p>
    <w:p w:rsidR="000F4BCE" w:rsidRPr="000A0A5F" w:rsidRDefault="000F4BCE">
      <w:pPr>
        <w:pStyle w:val="PL"/>
      </w:pPr>
      <w:r w:rsidRPr="000A0A5F">
        <w:t xml:space="preserve">            </w:t>
      </w:r>
      <w:r w:rsidR="00CB0DD7" w:rsidRPr="000A0A5F">
        <w:t>Indicates a Cell Global Identification of the user which identifies the cell the UE is</w:t>
      </w:r>
    </w:p>
    <w:p w:rsidR="00CB0DD7" w:rsidRPr="000A0A5F" w:rsidRDefault="000F4BCE">
      <w:pPr>
        <w:pStyle w:val="PL"/>
      </w:pPr>
      <w:r w:rsidRPr="000A0A5F">
        <w:t xml:space="preserve">           </w:t>
      </w:r>
      <w:r w:rsidR="00CB0DD7" w:rsidRPr="000A0A5F">
        <w:t xml:space="preserve"> registered.</w:t>
      </w:r>
    </w:p>
    <w:p w:rsidR="00CB0DD7" w:rsidRPr="000A0A5F" w:rsidRDefault="00CB0DD7">
      <w:pPr>
        <w:pStyle w:val="PL"/>
      </w:pPr>
      <w:r w:rsidRPr="000A0A5F">
        <w:t xml:space="preserve">        enodeBId:</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type: string</w:t>
      </w:r>
    </w:p>
    <w:p w:rsidR="00CB0DD7" w:rsidRPr="000A0A5F" w:rsidRDefault="00CB0DD7">
      <w:pPr>
        <w:pStyle w:val="PL"/>
      </w:pPr>
      <w:r w:rsidRPr="000A0A5F">
        <w:t xml:space="preserve">          minItems: 1</w:t>
      </w:r>
    </w:p>
    <w:p w:rsidR="00CB0DD7" w:rsidRPr="000A0A5F" w:rsidRDefault="00CB0DD7">
      <w:pPr>
        <w:pStyle w:val="PL"/>
      </w:pPr>
      <w:r w:rsidRPr="000A0A5F">
        <w:t xml:space="preserve">          description: Indicates an eNodeB in which the UE is currently located.</w:t>
      </w:r>
    </w:p>
    <w:p w:rsidR="00CB0DD7" w:rsidRPr="000A0A5F" w:rsidRDefault="00CB0DD7">
      <w:pPr>
        <w:pStyle w:val="PL"/>
      </w:pPr>
      <w:r w:rsidRPr="000A0A5F">
        <w:t xml:space="preserve">        geographicArea:</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$ref: 'TS29572_Nlmf_Location.yaml#/components/schemas/GeographicArea'</w:t>
      </w:r>
    </w:p>
    <w:p w:rsidR="00CB0DD7" w:rsidRPr="000A0A5F" w:rsidRDefault="00CB0DD7">
      <w:pPr>
        <w:pStyle w:val="PL"/>
      </w:pPr>
      <w:r w:rsidRPr="000A0A5F">
        <w:t xml:space="preserve">          minItems: 1</w:t>
      </w:r>
    </w:p>
    <w:p w:rsidR="00CB0DD7" w:rsidRPr="000A0A5F" w:rsidRDefault="00CB0DD7">
      <w:pPr>
        <w:pStyle w:val="PL"/>
      </w:pPr>
      <w:r w:rsidRPr="000A0A5F">
        <w:t xml:space="preserve">          description: Identifies a geographic area of the user where the UE is located.</w:t>
      </w:r>
    </w:p>
    <w:p w:rsidR="00CB0DD7" w:rsidRPr="000A0A5F" w:rsidRDefault="00CB0DD7">
      <w:pPr>
        <w:pStyle w:val="PL"/>
      </w:pPr>
      <w:r w:rsidRPr="000A0A5F">
        <w:t xml:space="preserve">        mbmsServiceAreaId:</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type: string</w:t>
      </w:r>
    </w:p>
    <w:p w:rsidR="00CB0DD7" w:rsidRPr="000A0A5F" w:rsidRDefault="00CB0DD7">
      <w:pPr>
        <w:pStyle w:val="PL"/>
      </w:pPr>
      <w:r w:rsidRPr="000A0A5F">
        <w:t xml:space="preserve">          minItems: 1</w:t>
      </w:r>
    </w:p>
    <w:p w:rsidR="00CB0DD7" w:rsidRPr="000A0A5F" w:rsidRDefault="00CB0DD7">
      <w:pPr>
        <w:pStyle w:val="PL"/>
      </w:pPr>
      <w:r w:rsidRPr="000A0A5F">
        <w:t xml:space="preserve">          description: Identifies an MBMS Service Area Identity of the user where the UE is located.</w:t>
      </w:r>
    </w:p>
    <w:p w:rsidR="00CB0DD7" w:rsidRPr="000A0A5F" w:rsidRDefault="00CB0DD7">
      <w:pPr>
        <w:pStyle w:val="PL"/>
      </w:pPr>
      <w:r w:rsidRPr="000A0A5F">
        <w:t xml:space="preserve">        civicAddress:</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$ref: 'TS29572_Nlmf_Location.yaml#/components/schemas/CivicAddress'</w:t>
      </w:r>
    </w:p>
    <w:p w:rsidR="00CB0DD7" w:rsidRPr="000A0A5F" w:rsidRDefault="00CB0DD7">
      <w:pPr>
        <w:pStyle w:val="PL"/>
      </w:pPr>
      <w:r w:rsidRPr="000A0A5F">
        <w:t xml:space="preserve">          minItems: 1</w:t>
      </w:r>
    </w:p>
    <w:p w:rsidR="00CB0DD7" w:rsidRPr="000A0A5F" w:rsidRDefault="00CB0DD7">
      <w:pPr>
        <w:pStyle w:val="PL"/>
      </w:pPr>
      <w:r w:rsidRPr="000A0A5F">
        <w:t xml:space="preserve">          description: Identifies a civic address of the user where the UE is located.</w:t>
      </w:r>
    </w:p>
    <w:p w:rsidR="000F4BCE" w:rsidRPr="000A0A5F" w:rsidRDefault="000F4BCE">
      <w:pPr>
        <w:pStyle w:val="PL"/>
      </w:pPr>
    </w:p>
    <w:p w:rsidR="00CB0DD7" w:rsidRPr="000A0A5F" w:rsidRDefault="00CB0DD7">
      <w:pPr>
        <w:pStyle w:val="PL"/>
      </w:pPr>
      <w:r w:rsidRPr="000A0A5F">
        <w:t xml:space="preserve">    ServiceAnnouncementMode:</w:t>
      </w:r>
    </w:p>
    <w:p w:rsidR="00CB0DD7" w:rsidRPr="000A0A5F" w:rsidRDefault="00CB0DD7">
      <w:pPr>
        <w:pStyle w:val="PL"/>
      </w:pPr>
      <w:r w:rsidRPr="000A0A5F">
        <w:t xml:space="preserve">      anyOf:</w:t>
      </w:r>
    </w:p>
    <w:p w:rsidR="00CB0DD7" w:rsidRPr="000A0A5F" w:rsidRDefault="00CB0DD7">
      <w:pPr>
        <w:pStyle w:val="PL"/>
      </w:pPr>
      <w:r w:rsidRPr="000A0A5F">
        <w:t xml:space="preserve">      - type: string</w:t>
      </w:r>
    </w:p>
    <w:p w:rsidR="00CB0DD7" w:rsidRPr="000A0A5F" w:rsidRDefault="00CB0DD7">
      <w:pPr>
        <w:pStyle w:val="PL"/>
      </w:pPr>
      <w:r w:rsidRPr="000A0A5F">
        <w:t xml:space="preserve">        enum:</w:t>
      </w:r>
    </w:p>
    <w:p w:rsidR="00CB0DD7" w:rsidRPr="000A0A5F" w:rsidRDefault="00CB0DD7">
      <w:pPr>
        <w:pStyle w:val="PL"/>
      </w:pPr>
      <w:r w:rsidRPr="000A0A5F">
        <w:t xml:space="preserve">          - SACH</w:t>
      </w:r>
    </w:p>
    <w:p w:rsidR="00CB0DD7" w:rsidRPr="000A0A5F" w:rsidRDefault="00CB0DD7">
      <w:pPr>
        <w:pStyle w:val="PL"/>
      </w:pPr>
      <w:r w:rsidRPr="000A0A5F">
        <w:t xml:space="preserve">          - CONTENT_PROVIDER</w:t>
      </w:r>
    </w:p>
    <w:p w:rsidR="00CB0DD7" w:rsidRPr="000A0A5F" w:rsidRDefault="00CB0DD7">
      <w:pPr>
        <w:pStyle w:val="PL"/>
      </w:pPr>
      <w:r w:rsidRPr="000A0A5F">
        <w:t xml:space="preserve">      - type: string</w:t>
      </w:r>
    </w:p>
    <w:p w:rsidR="00CB0DD7" w:rsidRPr="000A0A5F" w:rsidRDefault="00CB0DD7">
      <w:pPr>
        <w:pStyle w:val="PL"/>
      </w:pPr>
      <w:r w:rsidRPr="000A0A5F">
        <w:t xml:space="preserve">        description: &gt;</w:t>
      </w:r>
    </w:p>
    <w:p w:rsidR="00CB0DD7" w:rsidRPr="000A0A5F" w:rsidRDefault="00CB0DD7">
      <w:pPr>
        <w:pStyle w:val="PL"/>
      </w:pPr>
      <w:r w:rsidRPr="000A0A5F">
        <w:t xml:space="preserve">          This string provides forward-compatibility with future</w:t>
      </w:r>
    </w:p>
    <w:p w:rsidR="00CB0DD7" w:rsidRPr="000A0A5F" w:rsidRDefault="00CB0DD7">
      <w:pPr>
        <w:pStyle w:val="PL"/>
      </w:pPr>
      <w:r w:rsidRPr="000A0A5F">
        <w:t xml:space="preserve">          extensions to the enumeration but is not used to encode</w:t>
      </w:r>
    </w:p>
    <w:p w:rsidR="00CB0DD7" w:rsidRPr="000A0A5F" w:rsidRDefault="00CB0DD7">
      <w:pPr>
        <w:pStyle w:val="PL"/>
      </w:pPr>
      <w:r w:rsidRPr="000A0A5F">
        <w:t xml:space="preserve">          content defined in the present version of this API.</w:t>
      </w:r>
    </w:p>
    <w:p w:rsidR="00CB0DD7" w:rsidRPr="000A0A5F" w:rsidRDefault="00CB0DD7">
      <w:pPr>
        <w:pStyle w:val="PL"/>
      </w:pPr>
      <w:r w:rsidRPr="000A0A5F">
        <w:t xml:space="preserve">      description: </w:t>
      </w:r>
      <w:r w:rsidR="000F4BCE" w:rsidRPr="000A0A5F">
        <w:t>|</w:t>
      </w:r>
    </w:p>
    <w:p w:rsidR="000F4BCE" w:rsidRPr="000A0A5F" w:rsidRDefault="000F4BCE">
      <w:pPr>
        <w:pStyle w:val="PL"/>
      </w:pPr>
      <w:r w:rsidRPr="000A0A5F">
        <w:t xml:space="preserve">        Represents the service annoucement mode.  </w:t>
      </w:r>
    </w:p>
    <w:p w:rsidR="00CB0DD7" w:rsidRPr="000A0A5F" w:rsidRDefault="00CB0DD7">
      <w:pPr>
        <w:pStyle w:val="PL"/>
      </w:pPr>
      <w:r w:rsidRPr="000A0A5F">
        <w:t xml:space="preserve">        Possible values are</w:t>
      </w:r>
      <w:r w:rsidR="000F4BCE" w:rsidRPr="000A0A5F">
        <w:t>:</w:t>
      </w:r>
    </w:p>
    <w:p w:rsidR="000F4BCE" w:rsidRPr="000A0A5F" w:rsidRDefault="00CB0DD7">
      <w:pPr>
        <w:pStyle w:val="PL"/>
      </w:pPr>
      <w:r w:rsidRPr="000A0A5F">
        <w:t xml:space="preserve">        - SACH: BM-SC performs the service announcement for the current service using the</w:t>
      </w:r>
    </w:p>
    <w:p w:rsidR="00CB0DD7" w:rsidRPr="000A0A5F" w:rsidRDefault="000F4BCE">
      <w:pPr>
        <w:pStyle w:val="PL"/>
      </w:pPr>
      <w:r w:rsidRPr="000A0A5F">
        <w:t xml:space="preserve">         </w:t>
      </w:r>
      <w:r w:rsidR="00CB0DD7" w:rsidRPr="000A0A5F">
        <w:t xml:space="preserve"> SACH channel.</w:t>
      </w:r>
    </w:p>
    <w:p w:rsidR="000F4BCE" w:rsidRPr="000A0A5F" w:rsidRDefault="00CB0DD7">
      <w:pPr>
        <w:pStyle w:val="PL"/>
      </w:pPr>
      <w:r w:rsidRPr="000A0A5F">
        <w:t xml:space="preserve">        - CONTENT_PROVIDER: BM-SC provides the necessary service access information used by</w:t>
      </w:r>
    </w:p>
    <w:p w:rsidR="00CB0DD7" w:rsidRPr="000A0A5F" w:rsidRDefault="000F4BCE">
      <w:pPr>
        <w:pStyle w:val="PL"/>
      </w:pPr>
      <w:r w:rsidRPr="000A0A5F">
        <w:t xml:space="preserve">         </w:t>
      </w:r>
      <w:r w:rsidR="00CB0DD7" w:rsidRPr="000A0A5F">
        <w:t xml:space="preserve"> the Content Provider to create the service announcement information.</w:t>
      </w:r>
    </w:p>
    <w:p w:rsidR="00CB0DD7" w:rsidRPr="000A0A5F" w:rsidRDefault="00CB0DD7">
      <w:pPr>
        <w:pStyle w:val="PL"/>
      </w:pPr>
      <w:r w:rsidRPr="000A0A5F">
        <w:t xml:space="preserve">      readOnly: true</w:t>
      </w:r>
    </w:p>
    <w:p w:rsidR="00CB0DD7" w:rsidRPr="000A0A5F" w:rsidRDefault="00CB0DD7">
      <w:pPr>
        <w:pStyle w:val="PL"/>
      </w:pPr>
    </w:p>
    <w:p w:rsidR="00CB0DD7" w:rsidRPr="000A0A5F" w:rsidRDefault="00CB0DD7" w:rsidP="008D59EF">
      <w:pPr>
        <w:pStyle w:val="Heading1"/>
      </w:pPr>
      <w:bookmarkStart w:id="10377" w:name="_Toc11247938"/>
      <w:bookmarkStart w:id="10378" w:name="_Toc27045120"/>
      <w:bookmarkStart w:id="10379" w:name="_Toc36034171"/>
      <w:bookmarkStart w:id="10380" w:name="_Toc45132319"/>
      <w:bookmarkStart w:id="10381" w:name="_Toc49776604"/>
      <w:bookmarkStart w:id="10382" w:name="_Toc51747524"/>
      <w:bookmarkStart w:id="10383" w:name="_Toc66361106"/>
      <w:bookmarkStart w:id="10384" w:name="_Toc68105611"/>
      <w:bookmarkStart w:id="10385" w:name="_Toc74756243"/>
      <w:bookmarkStart w:id="10386" w:name="_Toc105675120"/>
      <w:bookmarkStart w:id="10387" w:name="_Toc130503198"/>
      <w:bookmarkStart w:id="10388" w:name="_Toc153625990"/>
      <w:r w:rsidRPr="000A0A5F">
        <w:t>A.9</w:t>
      </w:r>
      <w:r w:rsidRPr="000A0A5F">
        <w:tab/>
        <w:t>ReportingNetworkStatus API</w:t>
      </w:r>
      <w:bookmarkEnd w:id="10377"/>
      <w:bookmarkEnd w:id="10378"/>
      <w:bookmarkEnd w:id="10379"/>
      <w:bookmarkEnd w:id="10380"/>
      <w:bookmarkEnd w:id="10381"/>
      <w:bookmarkEnd w:id="10382"/>
      <w:bookmarkEnd w:id="10383"/>
      <w:bookmarkEnd w:id="10384"/>
      <w:bookmarkEnd w:id="10385"/>
      <w:bookmarkEnd w:id="10386"/>
      <w:bookmarkEnd w:id="10387"/>
      <w:bookmarkEnd w:id="10388"/>
    </w:p>
    <w:p w:rsidR="00CB0DD7" w:rsidRPr="000A0A5F" w:rsidRDefault="00CB0DD7">
      <w:pPr>
        <w:pStyle w:val="PL"/>
      </w:pPr>
      <w:r w:rsidRPr="000A0A5F">
        <w:t>openapi: 3.0.0</w:t>
      </w:r>
    </w:p>
    <w:p w:rsidR="0096725A" w:rsidRPr="000A0A5F" w:rsidRDefault="0096725A">
      <w:pPr>
        <w:pStyle w:val="PL"/>
      </w:pPr>
    </w:p>
    <w:p w:rsidR="00CB0DD7" w:rsidRPr="000A0A5F" w:rsidRDefault="00CB0DD7">
      <w:pPr>
        <w:pStyle w:val="PL"/>
      </w:pPr>
      <w:r w:rsidRPr="000A0A5F">
        <w:t>info:</w:t>
      </w:r>
    </w:p>
    <w:p w:rsidR="00CB0DD7" w:rsidRPr="000A0A5F" w:rsidRDefault="00CB0DD7">
      <w:pPr>
        <w:pStyle w:val="PL"/>
      </w:pPr>
      <w:r w:rsidRPr="000A0A5F">
        <w:t xml:space="preserve">  title: 3gpp-network-status-reporting</w:t>
      </w:r>
    </w:p>
    <w:p w:rsidR="00CB0DD7" w:rsidRPr="000A0A5F" w:rsidRDefault="00CB0DD7">
      <w:pPr>
        <w:pStyle w:val="PL"/>
      </w:pPr>
      <w:r w:rsidRPr="000A0A5F">
        <w:t xml:space="preserve">  version: 1.</w:t>
      </w:r>
      <w:r w:rsidR="00B94C78" w:rsidRPr="000A0A5F">
        <w:t>3</w:t>
      </w:r>
      <w:r w:rsidRPr="000A0A5F">
        <w:t>.0</w:t>
      </w:r>
      <w:r w:rsidR="00B94C78" w:rsidRPr="000A0A5F">
        <w:t>-alpha.1</w:t>
      </w:r>
    </w:p>
    <w:p w:rsidR="00CB0DD7" w:rsidRPr="000A0A5F" w:rsidRDefault="00CB0DD7">
      <w:pPr>
        <w:pStyle w:val="PL"/>
      </w:pPr>
      <w:r w:rsidRPr="000A0A5F">
        <w:t xml:space="preserve">  description: |</w:t>
      </w:r>
    </w:p>
    <w:p w:rsidR="00CB0DD7" w:rsidRPr="000A0A5F" w:rsidRDefault="00CB0DD7">
      <w:pPr>
        <w:pStyle w:val="PL"/>
      </w:pPr>
      <w:r w:rsidRPr="000A0A5F">
        <w:t xml:space="preserve">    API for reporting network status.</w:t>
      </w:r>
      <w:r w:rsidR="00970ACE" w:rsidRPr="000A0A5F">
        <w:t xml:space="preserve">  </w:t>
      </w:r>
    </w:p>
    <w:p w:rsidR="00CB0DD7" w:rsidRPr="000A0A5F" w:rsidRDefault="00CB0DD7">
      <w:pPr>
        <w:pStyle w:val="PL"/>
      </w:pPr>
      <w:r w:rsidRPr="000A0A5F">
        <w:t xml:space="preserve">    © 202</w:t>
      </w:r>
      <w:r w:rsidR="00B94C78" w:rsidRPr="000A0A5F">
        <w:t>3</w:t>
      </w:r>
      <w:r w:rsidRPr="000A0A5F">
        <w:t>, 3GPP Organizational Partners (ARIB, ATIS, CCSA, ETSI, TSDSI, TTA, TTC).</w:t>
      </w:r>
      <w:r w:rsidR="00970ACE" w:rsidRPr="000A0A5F">
        <w:t xml:space="preserve">  </w:t>
      </w:r>
    </w:p>
    <w:p w:rsidR="00CB0DD7" w:rsidRPr="000A0A5F" w:rsidRDefault="00CB0DD7">
      <w:pPr>
        <w:pStyle w:val="PL"/>
      </w:pPr>
      <w:r w:rsidRPr="000A0A5F">
        <w:t xml:space="preserve">    All rights reserved.</w:t>
      </w:r>
    </w:p>
    <w:p w:rsidR="0096725A" w:rsidRPr="000A0A5F" w:rsidRDefault="0096725A">
      <w:pPr>
        <w:pStyle w:val="PL"/>
      </w:pPr>
    </w:p>
    <w:p w:rsidR="00CB0DD7" w:rsidRPr="000A0A5F" w:rsidRDefault="00CB0DD7">
      <w:pPr>
        <w:pStyle w:val="PL"/>
      </w:pPr>
      <w:r w:rsidRPr="000A0A5F">
        <w:t>externalDocs:</w:t>
      </w:r>
    </w:p>
    <w:p w:rsidR="00CB0DD7" w:rsidRPr="000A0A5F" w:rsidRDefault="00CB0DD7">
      <w:pPr>
        <w:pStyle w:val="PL"/>
      </w:pPr>
      <w:r w:rsidRPr="000A0A5F">
        <w:t xml:space="preserve">  description: 3GPP TS 29.122 V1</w:t>
      </w:r>
      <w:r w:rsidR="00B94C78" w:rsidRPr="000A0A5F">
        <w:t>8</w:t>
      </w:r>
      <w:r w:rsidRPr="000A0A5F">
        <w:t>.</w:t>
      </w:r>
      <w:r w:rsidR="00B94C78" w:rsidRPr="000A0A5F">
        <w:t>1</w:t>
      </w:r>
      <w:r w:rsidRPr="000A0A5F">
        <w:t>.0 T8 reference point for Northbound APIs</w:t>
      </w:r>
    </w:p>
    <w:p w:rsidR="00CB0DD7" w:rsidRPr="000A0A5F" w:rsidRDefault="00CB0DD7">
      <w:pPr>
        <w:pStyle w:val="PL"/>
      </w:pPr>
      <w:r w:rsidRPr="000A0A5F">
        <w:t xml:space="preserve">  url: 'http</w:t>
      </w:r>
      <w:r w:rsidR="00970ACE" w:rsidRPr="000A0A5F">
        <w:t>s</w:t>
      </w:r>
      <w:r w:rsidRPr="000A0A5F">
        <w:t>://www.3gpp.org/ftp/Specs/archive/29_series/29.122/'</w:t>
      </w:r>
    </w:p>
    <w:p w:rsidR="0096725A" w:rsidRPr="000A0A5F" w:rsidRDefault="0096725A">
      <w:pPr>
        <w:pStyle w:val="PL"/>
      </w:pPr>
    </w:p>
    <w:p w:rsidR="00CB0DD7" w:rsidRPr="000A0A5F" w:rsidRDefault="00CB0DD7">
      <w:pPr>
        <w:pStyle w:val="PL"/>
      </w:pPr>
      <w:r w:rsidRPr="000A0A5F">
        <w:t>security:</w:t>
      </w:r>
    </w:p>
    <w:p w:rsidR="00CB0DD7" w:rsidRPr="000A0A5F" w:rsidRDefault="00CB0DD7">
      <w:pPr>
        <w:pStyle w:val="PL"/>
        <w:rPr>
          <w:lang w:val="en-US"/>
        </w:rPr>
      </w:pPr>
      <w:r w:rsidRPr="000A0A5F">
        <w:rPr>
          <w:lang w:val="en-US"/>
        </w:rPr>
        <w:t xml:space="preserve">  - {}</w:t>
      </w:r>
    </w:p>
    <w:p w:rsidR="00CB0DD7" w:rsidRPr="000A0A5F" w:rsidRDefault="00CB0DD7">
      <w:pPr>
        <w:pStyle w:val="PL"/>
      </w:pPr>
      <w:r w:rsidRPr="000A0A5F">
        <w:t xml:space="preserve">  - oAuth2ClientCredentials: []</w:t>
      </w:r>
    </w:p>
    <w:p w:rsidR="0096725A" w:rsidRPr="000A0A5F" w:rsidRDefault="0096725A">
      <w:pPr>
        <w:pStyle w:val="PL"/>
      </w:pPr>
    </w:p>
    <w:p w:rsidR="00CB0DD7" w:rsidRPr="000A0A5F" w:rsidRDefault="00CB0DD7">
      <w:pPr>
        <w:pStyle w:val="PL"/>
      </w:pPr>
      <w:r w:rsidRPr="000A0A5F">
        <w:t>servers:</w:t>
      </w:r>
    </w:p>
    <w:p w:rsidR="00CB0DD7" w:rsidRPr="000A0A5F" w:rsidRDefault="00CB0DD7">
      <w:pPr>
        <w:pStyle w:val="PL"/>
      </w:pPr>
      <w:r w:rsidRPr="000A0A5F">
        <w:t xml:space="preserve">  - url: '{apiRoot}/3gpp-net-stat-report/v1'</w:t>
      </w:r>
    </w:p>
    <w:p w:rsidR="00CB0DD7" w:rsidRPr="000A0A5F" w:rsidRDefault="00CB0DD7">
      <w:pPr>
        <w:pStyle w:val="PL"/>
      </w:pPr>
      <w:r w:rsidRPr="000A0A5F">
        <w:t xml:space="preserve">    variables:</w:t>
      </w:r>
    </w:p>
    <w:p w:rsidR="00CB0DD7" w:rsidRPr="000A0A5F" w:rsidRDefault="00CB0DD7">
      <w:pPr>
        <w:pStyle w:val="PL"/>
      </w:pPr>
      <w:r w:rsidRPr="000A0A5F">
        <w:t xml:space="preserve">      apiRoot:</w:t>
      </w:r>
    </w:p>
    <w:p w:rsidR="00CB0DD7" w:rsidRPr="000A0A5F" w:rsidRDefault="00CB0DD7">
      <w:pPr>
        <w:pStyle w:val="PL"/>
      </w:pPr>
      <w:r w:rsidRPr="000A0A5F">
        <w:t xml:space="preserve">        default: https://example.com</w:t>
      </w:r>
    </w:p>
    <w:p w:rsidR="00CB0DD7" w:rsidRPr="000A0A5F" w:rsidRDefault="00CB0DD7">
      <w:pPr>
        <w:pStyle w:val="PL"/>
      </w:pPr>
      <w:r w:rsidRPr="000A0A5F">
        <w:t xml:space="preserve">        description: apiRoot as defined in clause 5.2.4 of 3GPP TS 29.122.</w:t>
      </w:r>
    </w:p>
    <w:p w:rsidR="0096725A" w:rsidRPr="000A0A5F" w:rsidRDefault="0096725A">
      <w:pPr>
        <w:pStyle w:val="PL"/>
      </w:pPr>
    </w:p>
    <w:p w:rsidR="00CB0DD7" w:rsidRPr="000A0A5F" w:rsidRDefault="00CB0DD7">
      <w:pPr>
        <w:pStyle w:val="PL"/>
      </w:pPr>
      <w:r w:rsidRPr="000A0A5F">
        <w:t>paths:</w:t>
      </w:r>
    </w:p>
    <w:p w:rsidR="00CB0DD7" w:rsidRPr="000A0A5F" w:rsidRDefault="00CB0DD7">
      <w:pPr>
        <w:pStyle w:val="PL"/>
      </w:pPr>
      <w:r w:rsidRPr="000A0A5F">
        <w:t xml:space="preserve">  /{scsAsId}/subscriptions:</w:t>
      </w:r>
    </w:p>
    <w:p w:rsidR="00CB0DD7" w:rsidRPr="000A0A5F" w:rsidRDefault="00CB0DD7">
      <w:pPr>
        <w:pStyle w:val="PL"/>
      </w:pPr>
      <w:r w:rsidRPr="000A0A5F">
        <w:t xml:space="preserve">    parameters:</w:t>
      </w:r>
    </w:p>
    <w:p w:rsidR="00CB0DD7" w:rsidRPr="000A0A5F" w:rsidRDefault="00CB0DD7">
      <w:pPr>
        <w:pStyle w:val="PL"/>
      </w:pPr>
      <w:r w:rsidRPr="000A0A5F">
        <w:t xml:space="preserve">        - name: scsAsId</w:t>
      </w:r>
    </w:p>
    <w:p w:rsidR="00CB0DD7" w:rsidRPr="000A0A5F" w:rsidRDefault="00CB0DD7">
      <w:pPr>
        <w:pStyle w:val="PL"/>
      </w:pPr>
      <w:r w:rsidRPr="000A0A5F">
        <w:t xml:space="preserve">          in: path</w:t>
      </w:r>
    </w:p>
    <w:p w:rsidR="00CB0DD7" w:rsidRPr="000A0A5F" w:rsidRDefault="00CB0DD7">
      <w:pPr>
        <w:pStyle w:val="PL"/>
      </w:pPr>
      <w:r w:rsidRPr="000A0A5F">
        <w:t xml:space="preserve">          description: Identifier of the SCS/AS</w:t>
      </w:r>
    </w:p>
    <w:p w:rsidR="00CB0DD7" w:rsidRPr="000A0A5F" w:rsidRDefault="00CB0DD7">
      <w:pPr>
        <w:pStyle w:val="PL"/>
      </w:pPr>
      <w:r w:rsidRPr="000A0A5F">
        <w:t xml:space="preserve">          required: true</w:t>
      </w:r>
    </w:p>
    <w:p w:rsidR="00CB0DD7" w:rsidRPr="000A0A5F" w:rsidRDefault="00CB0DD7">
      <w:pPr>
        <w:pStyle w:val="PL"/>
      </w:pPr>
      <w:r w:rsidRPr="000A0A5F">
        <w:t xml:space="preserve">          schema:</w:t>
      </w:r>
    </w:p>
    <w:p w:rsidR="00CB0DD7" w:rsidRPr="000A0A5F" w:rsidRDefault="00CB0DD7">
      <w:pPr>
        <w:pStyle w:val="PL"/>
      </w:pPr>
      <w:r w:rsidRPr="000A0A5F">
        <w:t xml:space="preserve">            $ref: 'TS29122_CommonData.yaml#/components/schemas/ScsAsId'</w:t>
      </w:r>
    </w:p>
    <w:p w:rsidR="00CB0DD7" w:rsidRPr="000A0A5F" w:rsidRDefault="00CB0DD7">
      <w:pPr>
        <w:pStyle w:val="PL"/>
      </w:pPr>
      <w:r w:rsidRPr="000A0A5F">
        <w:t xml:space="preserve">    get:</w:t>
      </w:r>
    </w:p>
    <w:p w:rsidR="00CB0DD7" w:rsidRPr="000A0A5F" w:rsidRDefault="00CB0DD7">
      <w:pPr>
        <w:pStyle w:val="PL"/>
      </w:pPr>
      <w:r w:rsidRPr="000A0A5F">
        <w:t xml:space="preserve">      summary: Read all network status reporting subscription resources for a given SCS/AS.</w:t>
      </w:r>
    </w:p>
    <w:p w:rsidR="002C68BF" w:rsidRPr="000A0A5F" w:rsidRDefault="002C68BF" w:rsidP="002C68BF">
      <w:pPr>
        <w:pStyle w:val="PL"/>
      </w:pPr>
      <w:r w:rsidRPr="000A0A5F">
        <w:t xml:space="preserve">      </w:t>
      </w:r>
      <w:r w:rsidRPr="000A0A5F">
        <w:rPr>
          <w:rFonts w:cs="Courier New"/>
          <w:szCs w:val="16"/>
        </w:rPr>
        <w:t>operationId: FetchAll</w:t>
      </w:r>
      <w:r w:rsidRPr="000A0A5F">
        <w:t>NwStatusReportSubscriptions</w:t>
      </w:r>
    </w:p>
    <w:p w:rsidR="002C68BF" w:rsidRPr="000A0A5F" w:rsidRDefault="002C68BF" w:rsidP="002C68BF">
      <w:pPr>
        <w:pStyle w:val="PL"/>
      </w:pPr>
      <w:r w:rsidRPr="000A0A5F">
        <w:t xml:space="preserve">      tags:</w:t>
      </w:r>
    </w:p>
    <w:p w:rsidR="002C68BF" w:rsidRPr="000A0A5F" w:rsidRDefault="002C68BF" w:rsidP="002C68BF">
      <w:pPr>
        <w:pStyle w:val="PL"/>
      </w:pPr>
      <w:r w:rsidRPr="000A0A5F">
        <w:t xml:space="preserve">        - Network Status Reporting Subscriptions</w:t>
      </w:r>
    </w:p>
    <w:p w:rsidR="00CB0DD7" w:rsidRPr="000A0A5F" w:rsidRDefault="00CB0DD7">
      <w:pPr>
        <w:pStyle w:val="PL"/>
      </w:pPr>
      <w:r w:rsidRPr="000A0A5F">
        <w:t xml:space="preserve">      responses:</w:t>
      </w:r>
    </w:p>
    <w:p w:rsidR="00CB0DD7" w:rsidRPr="000A0A5F" w:rsidRDefault="00CB0DD7">
      <w:pPr>
        <w:pStyle w:val="PL"/>
      </w:pPr>
      <w:r w:rsidRPr="000A0A5F">
        <w:t xml:space="preserve">        '200':</w:t>
      </w:r>
    </w:p>
    <w:p w:rsidR="00CB0DD7" w:rsidRPr="000A0A5F" w:rsidRDefault="00CB0DD7">
      <w:pPr>
        <w:pStyle w:val="PL"/>
      </w:pPr>
      <w:r w:rsidRPr="000A0A5F">
        <w:t xml:space="preserve">          description: The requested information was returned successfully.</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application/json:</w:t>
      </w:r>
    </w:p>
    <w:p w:rsidR="00CB0DD7" w:rsidRPr="000A0A5F" w:rsidRDefault="00CB0DD7">
      <w:pPr>
        <w:pStyle w:val="PL"/>
      </w:pPr>
      <w:r w:rsidRPr="000A0A5F">
        <w:t xml:space="preserve">              schema:</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$ref: '#/components/schemas/NetworkStatusReportingSubscription'</w:t>
      </w:r>
    </w:p>
    <w:p w:rsidR="00CB0DD7" w:rsidRPr="000A0A5F" w:rsidRDefault="00CB0DD7">
      <w:pPr>
        <w:pStyle w:val="PL"/>
      </w:pPr>
      <w:r w:rsidRPr="000A0A5F">
        <w:t xml:space="preserve">                minItems: 0</w:t>
      </w:r>
    </w:p>
    <w:p w:rsidR="00CB0DD7" w:rsidRPr="000A0A5F" w:rsidRDefault="00CB0DD7">
      <w:pPr>
        <w:pStyle w:val="PL"/>
      </w:pPr>
      <w:r w:rsidRPr="000A0A5F">
        <w:t xml:space="preserve">        '307':</w:t>
      </w:r>
    </w:p>
    <w:p w:rsidR="00CB0DD7" w:rsidRPr="000A0A5F" w:rsidRDefault="00CB0DD7">
      <w:pPr>
        <w:pStyle w:val="PL"/>
      </w:pPr>
      <w:r w:rsidRPr="000A0A5F">
        <w:t xml:space="preserve">          $ref: 'TS29122_CommonData.yaml#/components/responses/307'</w:t>
      </w:r>
    </w:p>
    <w:p w:rsidR="00CB0DD7" w:rsidRPr="000A0A5F" w:rsidRDefault="00CB0DD7">
      <w:pPr>
        <w:pStyle w:val="PL"/>
      </w:pPr>
      <w:r w:rsidRPr="000A0A5F">
        <w:t xml:space="preserve">        '308':</w:t>
      </w:r>
    </w:p>
    <w:p w:rsidR="00CB0DD7" w:rsidRPr="000A0A5F" w:rsidRDefault="00CB0DD7">
      <w:pPr>
        <w:pStyle w:val="PL"/>
      </w:pPr>
      <w:r w:rsidRPr="000A0A5F">
        <w:t xml:space="preserve">          $ref: 'TS29122_CommonData.yaml#/components/responses/308'</w:t>
      </w:r>
    </w:p>
    <w:p w:rsidR="00CB0DD7" w:rsidRPr="000A0A5F" w:rsidRDefault="00CB0DD7">
      <w:pPr>
        <w:pStyle w:val="PL"/>
      </w:pPr>
      <w:r w:rsidRPr="000A0A5F">
        <w:t xml:space="preserve">        '400':</w:t>
      </w:r>
    </w:p>
    <w:p w:rsidR="00CB0DD7" w:rsidRPr="000A0A5F" w:rsidRDefault="00CB0DD7">
      <w:pPr>
        <w:pStyle w:val="PL"/>
      </w:pPr>
      <w:r w:rsidRPr="000A0A5F">
        <w:t xml:space="preserve">          $ref: 'TS29122_CommonData.yaml#/components/responses/400'</w:t>
      </w:r>
    </w:p>
    <w:p w:rsidR="00CB0DD7" w:rsidRPr="000A0A5F" w:rsidRDefault="00CB0DD7">
      <w:pPr>
        <w:pStyle w:val="PL"/>
      </w:pPr>
      <w:r w:rsidRPr="000A0A5F">
        <w:t xml:space="preserve">        '401':</w:t>
      </w:r>
    </w:p>
    <w:p w:rsidR="00CB0DD7" w:rsidRPr="000A0A5F" w:rsidRDefault="00CB0DD7">
      <w:pPr>
        <w:pStyle w:val="PL"/>
      </w:pPr>
      <w:r w:rsidRPr="000A0A5F">
        <w:t xml:space="preserve">          $ref: 'TS29122_CommonData.yaml#/components/responses/401'</w:t>
      </w:r>
    </w:p>
    <w:p w:rsidR="00CB0DD7" w:rsidRPr="000A0A5F" w:rsidRDefault="00CB0DD7">
      <w:pPr>
        <w:pStyle w:val="PL"/>
      </w:pPr>
      <w:r w:rsidRPr="000A0A5F">
        <w:t xml:space="preserve">        '403':</w:t>
      </w:r>
    </w:p>
    <w:p w:rsidR="00CB0DD7" w:rsidRPr="000A0A5F" w:rsidRDefault="00CB0DD7">
      <w:pPr>
        <w:pStyle w:val="PL"/>
      </w:pPr>
      <w:r w:rsidRPr="000A0A5F">
        <w:t xml:space="preserve">          $ref: 'TS29122_CommonData.yaml#/components/responses/403'</w:t>
      </w:r>
    </w:p>
    <w:p w:rsidR="00CB0DD7" w:rsidRPr="000A0A5F" w:rsidRDefault="00CB0DD7">
      <w:pPr>
        <w:pStyle w:val="PL"/>
      </w:pPr>
      <w:r w:rsidRPr="000A0A5F">
        <w:t xml:space="preserve">        '404':</w:t>
      </w:r>
    </w:p>
    <w:p w:rsidR="00CB0DD7" w:rsidRPr="000A0A5F" w:rsidRDefault="00CB0DD7">
      <w:pPr>
        <w:pStyle w:val="PL"/>
      </w:pPr>
      <w:r w:rsidRPr="000A0A5F">
        <w:t xml:space="preserve">          $ref: 'TS29122_CommonData.yaml#/components/responses/404'</w:t>
      </w:r>
    </w:p>
    <w:p w:rsidR="00CB0DD7" w:rsidRPr="000A0A5F" w:rsidRDefault="00CB0DD7">
      <w:pPr>
        <w:pStyle w:val="PL"/>
      </w:pPr>
      <w:r w:rsidRPr="000A0A5F">
        <w:t xml:space="preserve">        '406':</w:t>
      </w:r>
    </w:p>
    <w:p w:rsidR="00CB0DD7" w:rsidRPr="000A0A5F" w:rsidRDefault="00CB0DD7">
      <w:pPr>
        <w:pStyle w:val="PL"/>
      </w:pPr>
      <w:r w:rsidRPr="000A0A5F">
        <w:t xml:space="preserve">          $ref: 'TS29122_CommonData.yaml#/components/responses/406'</w:t>
      </w:r>
    </w:p>
    <w:p w:rsidR="00CB0DD7" w:rsidRPr="000A0A5F" w:rsidRDefault="00CB0DD7">
      <w:pPr>
        <w:pStyle w:val="PL"/>
      </w:pPr>
      <w:r w:rsidRPr="000A0A5F">
        <w:t xml:space="preserve">        '429':</w:t>
      </w:r>
    </w:p>
    <w:p w:rsidR="00CB0DD7" w:rsidRPr="000A0A5F" w:rsidRDefault="00CB0DD7">
      <w:pPr>
        <w:pStyle w:val="PL"/>
      </w:pPr>
      <w:r w:rsidRPr="000A0A5F">
        <w:t xml:space="preserve">          $ref: 'TS29122_CommonData.yaml#/components/responses/429'</w:t>
      </w:r>
    </w:p>
    <w:p w:rsidR="00CB0DD7" w:rsidRPr="000A0A5F" w:rsidRDefault="00CB0DD7">
      <w:pPr>
        <w:pStyle w:val="PL"/>
      </w:pPr>
      <w:r w:rsidRPr="000A0A5F">
        <w:t xml:space="preserve">        '500':</w:t>
      </w:r>
    </w:p>
    <w:p w:rsidR="00CB0DD7" w:rsidRPr="000A0A5F" w:rsidRDefault="00CB0DD7">
      <w:pPr>
        <w:pStyle w:val="PL"/>
      </w:pPr>
      <w:r w:rsidRPr="000A0A5F">
        <w:t xml:space="preserve">          $ref: 'TS29122_CommonData.yaml#/components/responses/500'</w:t>
      </w:r>
    </w:p>
    <w:p w:rsidR="00CB0DD7" w:rsidRPr="000A0A5F" w:rsidRDefault="00CB0DD7">
      <w:pPr>
        <w:pStyle w:val="PL"/>
      </w:pPr>
      <w:r w:rsidRPr="000A0A5F">
        <w:t xml:space="preserve">        '503':</w:t>
      </w:r>
    </w:p>
    <w:p w:rsidR="00CB0DD7" w:rsidRPr="000A0A5F" w:rsidRDefault="00CB0DD7">
      <w:pPr>
        <w:pStyle w:val="PL"/>
      </w:pPr>
      <w:r w:rsidRPr="000A0A5F">
        <w:t xml:space="preserve">          $ref: 'TS29122_CommonData.yaml#/components/responses/503'</w:t>
      </w:r>
    </w:p>
    <w:p w:rsidR="00CB0DD7" w:rsidRPr="000A0A5F" w:rsidRDefault="00CB0DD7">
      <w:pPr>
        <w:pStyle w:val="PL"/>
      </w:pPr>
      <w:r w:rsidRPr="000A0A5F">
        <w:t xml:space="preserve">        default:</w:t>
      </w:r>
    </w:p>
    <w:p w:rsidR="00CB0DD7" w:rsidRPr="000A0A5F" w:rsidRDefault="00CB0DD7">
      <w:pPr>
        <w:pStyle w:val="PL"/>
      </w:pPr>
      <w:r w:rsidRPr="000A0A5F">
        <w:t xml:space="preserve">          $ref: 'TS29122_CommonData.yaml#/components/responses/default'</w:t>
      </w:r>
    </w:p>
    <w:p w:rsidR="00CB0DD7" w:rsidRPr="000A0A5F" w:rsidRDefault="00CB0DD7">
      <w:pPr>
        <w:pStyle w:val="PL"/>
      </w:pPr>
    </w:p>
    <w:p w:rsidR="00CB0DD7" w:rsidRPr="000A0A5F" w:rsidRDefault="00CB0DD7">
      <w:pPr>
        <w:pStyle w:val="PL"/>
      </w:pPr>
      <w:r w:rsidRPr="000A0A5F">
        <w:t xml:space="preserve">    post:</w:t>
      </w:r>
    </w:p>
    <w:p w:rsidR="00CB0DD7" w:rsidRPr="000A0A5F" w:rsidRDefault="00CB0DD7">
      <w:pPr>
        <w:pStyle w:val="PL"/>
      </w:pPr>
      <w:r w:rsidRPr="000A0A5F">
        <w:t xml:space="preserve">      summary: Create a new network status reporting subscription resource.</w:t>
      </w:r>
    </w:p>
    <w:p w:rsidR="002C68BF" w:rsidRPr="000A0A5F" w:rsidRDefault="002C68BF" w:rsidP="002C68BF">
      <w:pPr>
        <w:pStyle w:val="PL"/>
      </w:pPr>
      <w:r w:rsidRPr="000A0A5F">
        <w:t xml:space="preserve">      </w:t>
      </w:r>
      <w:r w:rsidRPr="000A0A5F">
        <w:rPr>
          <w:rFonts w:cs="Courier New"/>
          <w:szCs w:val="16"/>
        </w:rPr>
        <w:t>operationId: Create</w:t>
      </w:r>
      <w:r w:rsidRPr="000A0A5F">
        <w:t>NwStatusReportSubscription</w:t>
      </w:r>
    </w:p>
    <w:p w:rsidR="002C68BF" w:rsidRPr="000A0A5F" w:rsidRDefault="002C68BF" w:rsidP="002C68BF">
      <w:pPr>
        <w:pStyle w:val="PL"/>
      </w:pPr>
      <w:r w:rsidRPr="000A0A5F">
        <w:t xml:space="preserve">      tags:</w:t>
      </w:r>
    </w:p>
    <w:p w:rsidR="002C68BF" w:rsidRPr="000A0A5F" w:rsidRDefault="002C68BF" w:rsidP="002C68BF">
      <w:pPr>
        <w:pStyle w:val="PL"/>
      </w:pPr>
      <w:r w:rsidRPr="000A0A5F">
        <w:t xml:space="preserve">        - Network Status Reporting Subscriptions</w:t>
      </w:r>
    </w:p>
    <w:p w:rsidR="00CB0DD7" w:rsidRPr="000A0A5F" w:rsidRDefault="00CB0DD7">
      <w:pPr>
        <w:pStyle w:val="PL"/>
      </w:pPr>
      <w:r w:rsidRPr="000A0A5F">
        <w:t xml:space="preserve">      requestBody:</w:t>
      </w:r>
    </w:p>
    <w:p w:rsidR="00CB0DD7" w:rsidRPr="000A0A5F" w:rsidRDefault="00CB0DD7">
      <w:pPr>
        <w:pStyle w:val="PL"/>
      </w:pPr>
      <w:r w:rsidRPr="000A0A5F">
        <w:t xml:space="preserve">        required: true</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application/json:</w:t>
      </w:r>
    </w:p>
    <w:p w:rsidR="00CB0DD7" w:rsidRPr="000A0A5F" w:rsidRDefault="00CB0DD7">
      <w:pPr>
        <w:pStyle w:val="PL"/>
      </w:pPr>
      <w:r w:rsidRPr="000A0A5F">
        <w:t xml:space="preserve">            schema:</w:t>
      </w:r>
    </w:p>
    <w:p w:rsidR="00CB0DD7" w:rsidRPr="000A0A5F" w:rsidRDefault="00CB0DD7">
      <w:pPr>
        <w:pStyle w:val="PL"/>
      </w:pPr>
      <w:r w:rsidRPr="000A0A5F">
        <w:t xml:space="preserve">              $ref: '#/components/schemas/NetworkStatusReportingSubscription'</w:t>
      </w:r>
    </w:p>
    <w:p w:rsidR="00CB0DD7" w:rsidRPr="000A0A5F" w:rsidRDefault="00CB0DD7">
      <w:pPr>
        <w:pStyle w:val="PL"/>
      </w:pPr>
      <w:r w:rsidRPr="000A0A5F">
        <w:t xml:space="preserve">      callbacks:</w:t>
      </w:r>
    </w:p>
    <w:p w:rsidR="00CB0DD7" w:rsidRPr="000A0A5F" w:rsidRDefault="00CB0DD7">
      <w:pPr>
        <w:pStyle w:val="PL"/>
      </w:pPr>
      <w:r w:rsidRPr="000A0A5F">
        <w:t xml:space="preserve">        notificationDestination:</w:t>
      </w:r>
    </w:p>
    <w:p w:rsidR="00CB0DD7" w:rsidRPr="000A0A5F" w:rsidRDefault="00CB0DD7">
      <w:pPr>
        <w:pStyle w:val="PL"/>
      </w:pPr>
      <w:r w:rsidRPr="000A0A5F">
        <w:t xml:space="preserve">          '{request.body#/notificationDestination}':</w:t>
      </w:r>
    </w:p>
    <w:p w:rsidR="00CB0DD7" w:rsidRPr="000A0A5F" w:rsidRDefault="00CB0DD7">
      <w:pPr>
        <w:pStyle w:val="PL"/>
      </w:pPr>
      <w:r w:rsidRPr="000A0A5F">
        <w:t xml:space="preserve">            post:</w:t>
      </w:r>
    </w:p>
    <w:p w:rsidR="00CB0DD7" w:rsidRPr="000A0A5F" w:rsidRDefault="00CB0DD7">
      <w:pPr>
        <w:pStyle w:val="PL"/>
      </w:pPr>
      <w:r w:rsidRPr="000A0A5F">
        <w:t xml:space="preserve">              requestBody:  # contents of the callback message</w:t>
      </w:r>
    </w:p>
    <w:p w:rsidR="00CB0DD7" w:rsidRPr="000A0A5F" w:rsidRDefault="00CB0DD7">
      <w:pPr>
        <w:pStyle w:val="PL"/>
      </w:pPr>
      <w:r w:rsidRPr="000A0A5F">
        <w:t xml:space="preserve">                required: true</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application/json:</w:t>
      </w:r>
    </w:p>
    <w:p w:rsidR="00CB0DD7" w:rsidRPr="000A0A5F" w:rsidRDefault="00CB0DD7">
      <w:pPr>
        <w:pStyle w:val="PL"/>
      </w:pPr>
      <w:r w:rsidRPr="000A0A5F">
        <w:t xml:space="preserve">                    schema:</w:t>
      </w:r>
    </w:p>
    <w:p w:rsidR="00CB0DD7" w:rsidRPr="000A0A5F" w:rsidRDefault="00CB0DD7">
      <w:pPr>
        <w:pStyle w:val="PL"/>
      </w:pPr>
      <w:r w:rsidRPr="000A0A5F">
        <w:t xml:space="preserve">                      $ref: '#/components/schemas/NetworkStatusReportingNotification'</w:t>
      </w:r>
    </w:p>
    <w:p w:rsidR="00CB0DD7" w:rsidRPr="000A0A5F" w:rsidRDefault="00CB0DD7">
      <w:pPr>
        <w:pStyle w:val="PL"/>
      </w:pPr>
      <w:r w:rsidRPr="000A0A5F">
        <w:t xml:space="preserve">              responses:</w:t>
      </w:r>
    </w:p>
    <w:p w:rsidR="00CB0DD7" w:rsidRPr="000A0A5F" w:rsidRDefault="00CB0DD7">
      <w:pPr>
        <w:pStyle w:val="PL"/>
      </w:pPr>
      <w:r w:rsidRPr="000A0A5F">
        <w:t xml:space="preserve">                '204':</w:t>
      </w:r>
    </w:p>
    <w:p w:rsidR="00CB0DD7" w:rsidRPr="000A0A5F" w:rsidRDefault="00CB0DD7">
      <w:pPr>
        <w:pStyle w:val="PL"/>
      </w:pPr>
      <w:r w:rsidRPr="000A0A5F">
        <w:t xml:space="preserve">                  description: No Content (successful notification)</w:t>
      </w:r>
    </w:p>
    <w:p w:rsidR="00CB0DD7" w:rsidRPr="000A0A5F" w:rsidRDefault="00CB0DD7">
      <w:pPr>
        <w:pStyle w:val="PL"/>
      </w:pPr>
      <w:r w:rsidRPr="000A0A5F">
        <w:t xml:space="preserve">                '307':</w:t>
      </w:r>
    </w:p>
    <w:p w:rsidR="00CB0DD7" w:rsidRPr="000A0A5F" w:rsidRDefault="00CB0DD7">
      <w:pPr>
        <w:pStyle w:val="PL"/>
      </w:pPr>
      <w:r w:rsidRPr="000A0A5F">
        <w:t xml:space="preserve">                  $ref: 'TS29122_CommonData.yaml#/components/responses/307'</w:t>
      </w:r>
    </w:p>
    <w:p w:rsidR="00CB0DD7" w:rsidRPr="000A0A5F" w:rsidRDefault="00CB0DD7">
      <w:pPr>
        <w:pStyle w:val="PL"/>
      </w:pPr>
      <w:r w:rsidRPr="000A0A5F">
        <w:t xml:space="preserve">                '308':</w:t>
      </w:r>
    </w:p>
    <w:p w:rsidR="00CB0DD7" w:rsidRPr="000A0A5F" w:rsidRDefault="00CB0DD7">
      <w:pPr>
        <w:pStyle w:val="PL"/>
      </w:pPr>
      <w:r w:rsidRPr="000A0A5F">
        <w:t xml:space="preserve">                  $ref: 'TS29122_CommonData.yaml#/components/responses/308'</w:t>
      </w:r>
    </w:p>
    <w:p w:rsidR="00CB0DD7" w:rsidRPr="000A0A5F" w:rsidRDefault="00CB0DD7">
      <w:pPr>
        <w:pStyle w:val="PL"/>
      </w:pPr>
      <w:r w:rsidRPr="000A0A5F">
        <w:t xml:space="preserve">                '400':</w:t>
      </w:r>
    </w:p>
    <w:p w:rsidR="00CB0DD7" w:rsidRPr="000A0A5F" w:rsidRDefault="00CB0DD7">
      <w:pPr>
        <w:pStyle w:val="PL"/>
      </w:pPr>
      <w:r w:rsidRPr="000A0A5F">
        <w:t xml:space="preserve">                  $ref: 'TS29122_CommonData.yaml#/components/responses/400'</w:t>
      </w:r>
    </w:p>
    <w:p w:rsidR="00CB0DD7" w:rsidRPr="000A0A5F" w:rsidRDefault="00CB0DD7">
      <w:pPr>
        <w:pStyle w:val="PL"/>
      </w:pPr>
      <w:r w:rsidRPr="000A0A5F">
        <w:t xml:space="preserve">                '401':</w:t>
      </w:r>
    </w:p>
    <w:p w:rsidR="00CB0DD7" w:rsidRPr="000A0A5F" w:rsidRDefault="00CB0DD7">
      <w:pPr>
        <w:pStyle w:val="PL"/>
      </w:pPr>
      <w:r w:rsidRPr="000A0A5F">
        <w:t xml:space="preserve">                  $ref: 'TS29122_CommonData.yaml#/components/responses/401'</w:t>
      </w:r>
    </w:p>
    <w:p w:rsidR="00CB0DD7" w:rsidRPr="000A0A5F" w:rsidRDefault="00CB0DD7">
      <w:pPr>
        <w:pStyle w:val="PL"/>
      </w:pPr>
      <w:r w:rsidRPr="000A0A5F">
        <w:t xml:space="preserve">                '403':</w:t>
      </w:r>
    </w:p>
    <w:p w:rsidR="00CB0DD7" w:rsidRPr="000A0A5F" w:rsidRDefault="00CB0DD7">
      <w:pPr>
        <w:pStyle w:val="PL"/>
      </w:pPr>
      <w:r w:rsidRPr="000A0A5F">
        <w:t xml:space="preserve">                  $ref: 'TS29122_CommonData.yaml#/components/responses/403'</w:t>
      </w:r>
    </w:p>
    <w:p w:rsidR="00CB0DD7" w:rsidRPr="000A0A5F" w:rsidRDefault="00CB0DD7">
      <w:pPr>
        <w:pStyle w:val="PL"/>
      </w:pPr>
      <w:r w:rsidRPr="000A0A5F">
        <w:t xml:space="preserve">                '404':</w:t>
      </w:r>
    </w:p>
    <w:p w:rsidR="00CB0DD7" w:rsidRPr="000A0A5F" w:rsidRDefault="00CB0DD7">
      <w:pPr>
        <w:pStyle w:val="PL"/>
      </w:pPr>
      <w:r w:rsidRPr="000A0A5F">
        <w:t xml:space="preserve">                  $ref: 'TS29122_CommonData.yaml#/components/responses/404'</w:t>
      </w:r>
    </w:p>
    <w:p w:rsidR="00CB0DD7" w:rsidRPr="000A0A5F" w:rsidRDefault="00CB0DD7">
      <w:pPr>
        <w:pStyle w:val="PL"/>
      </w:pPr>
      <w:r w:rsidRPr="000A0A5F">
        <w:t xml:space="preserve">                '411':</w:t>
      </w:r>
    </w:p>
    <w:p w:rsidR="00CB0DD7" w:rsidRPr="000A0A5F" w:rsidRDefault="00CB0DD7">
      <w:pPr>
        <w:pStyle w:val="PL"/>
      </w:pPr>
      <w:r w:rsidRPr="000A0A5F">
        <w:t xml:space="preserve">                  $ref: 'TS29122_CommonData.yaml#/components/responses/411'</w:t>
      </w:r>
    </w:p>
    <w:p w:rsidR="00CB0DD7" w:rsidRPr="000A0A5F" w:rsidRDefault="00CB0DD7">
      <w:pPr>
        <w:pStyle w:val="PL"/>
      </w:pPr>
      <w:r w:rsidRPr="000A0A5F">
        <w:t xml:space="preserve">                '413':</w:t>
      </w:r>
    </w:p>
    <w:p w:rsidR="00CB0DD7" w:rsidRPr="000A0A5F" w:rsidRDefault="00CB0DD7">
      <w:pPr>
        <w:pStyle w:val="PL"/>
      </w:pPr>
      <w:r w:rsidRPr="000A0A5F">
        <w:t xml:space="preserve">                  $ref: 'TS29122_CommonData.yaml#/components/responses/413'</w:t>
      </w:r>
    </w:p>
    <w:p w:rsidR="00CB0DD7" w:rsidRPr="000A0A5F" w:rsidRDefault="00CB0DD7">
      <w:pPr>
        <w:pStyle w:val="PL"/>
      </w:pPr>
      <w:r w:rsidRPr="000A0A5F">
        <w:t xml:space="preserve">                '415':</w:t>
      </w:r>
    </w:p>
    <w:p w:rsidR="00CB0DD7" w:rsidRPr="000A0A5F" w:rsidRDefault="00CB0DD7">
      <w:pPr>
        <w:pStyle w:val="PL"/>
      </w:pPr>
      <w:r w:rsidRPr="000A0A5F">
        <w:t xml:space="preserve">                  $ref: 'TS29122_CommonData.yaml#/components/responses/415'</w:t>
      </w:r>
    </w:p>
    <w:p w:rsidR="00CB0DD7" w:rsidRPr="000A0A5F" w:rsidRDefault="00CB0DD7">
      <w:pPr>
        <w:pStyle w:val="PL"/>
      </w:pPr>
      <w:r w:rsidRPr="000A0A5F">
        <w:t xml:space="preserve">                '429':</w:t>
      </w:r>
    </w:p>
    <w:p w:rsidR="00CB0DD7" w:rsidRPr="000A0A5F" w:rsidRDefault="00CB0DD7">
      <w:pPr>
        <w:pStyle w:val="PL"/>
      </w:pPr>
      <w:r w:rsidRPr="000A0A5F">
        <w:t xml:space="preserve">                  $ref: 'TS29122_CommonData.yaml#/components/responses/429'</w:t>
      </w:r>
    </w:p>
    <w:p w:rsidR="00CB0DD7" w:rsidRPr="000A0A5F" w:rsidRDefault="00CB0DD7">
      <w:pPr>
        <w:pStyle w:val="PL"/>
      </w:pPr>
      <w:r w:rsidRPr="000A0A5F">
        <w:t xml:space="preserve">                '500':</w:t>
      </w:r>
    </w:p>
    <w:p w:rsidR="00CB0DD7" w:rsidRPr="000A0A5F" w:rsidRDefault="00CB0DD7">
      <w:pPr>
        <w:pStyle w:val="PL"/>
      </w:pPr>
      <w:r w:rsidRPr="000A0A5F">
        <w:t xml:space="preserve">                  $ref: 'TS29122_CommonData.yaml#/components/responses/500'</w:t>
      </w:r>
    </w:p>
    <w:p w:rsidR="00CB0DD7" w:rsidRPr="000A0A5F" w:rsidRDefault="00CB0DD7">
      <w:pPr>
        <w:pStyle w:val="PL"/>
      </w:pPr>
      <w:r w:rsidRPr="000A0A5F">
        <w:t xml:space="preserve">                '503':</w:t>
      </w:r>
    </w:p>
    <w:p w:rsidR="00CB0DD7" w:rsidRPr="000A0A5F" w:rsidRDefault="00CB0DD7">
      <w:pPr>
        <w:pStyle w:val="PL"/>
      </w:pPr>
      <w:r w:rsidRPr="000A0A5F">
        <w:t xml:space="preserve">                  $ref: 'TS29122_CommonData.yaml#/components/responses/503'</w:t>
      </w:r>
    </w:p>
    <w:p w:rsidR="00CB0DD7" w:rsidRPr="000A0A5F" w:rsidRDefault="00CB0DD7">
      <w:pPr>
        <w:pStyle w:val="PL"/>
      </w:pPr>
      <w:r w:rsidRPr="000A0A5F">
        <w:t xml:space="preserve">                default:</w:t>
      </w:r>
    </w:p>
    <w:p w:rsidR="00CB0DD7" w:rsidRPr="000A0A5F" w:rsidRDefault="00CB0DD7">
      <w:pPr>
        <w:pStyle w:val="PL"/>
      </w:pPr>
      <w:r w:rsidRPr="000A0A5F">
        <w:t xml:space="preserve">                  $ref: 'TS29122_CommonData.yaml#/components/responses/default'</w:t>
      </w:r>
    </w:p>
    <w:p w:rsidR="00CB0DD7" w:rsidRPr="000A0A5F" w:rsidRDefault="00CB0DD7">
      <w:pPr>
        <w:pStyle w:val="PL"/>
      </w:pPr>
      <w:r w:rsidRPr="000A0A5F">
        <w:t xml:space="preserve">      responses:</w:t>
      </w:r>
    </w:p>
    <w:p w:rsidR="00CB0DD7" w:rsidRPr="000A0A5F" w:rsidRDefault="00CB0DD7">
      <w:pPr>
        <w:pStyle w:val="PL"/>
      </w:pPr>
      <w:r w:rsidRPr="000A0A5F">
        <w:t xml:space="preserve">        '201':</w:t>
      </w:r>
    </w:p>
    <w:p w:rsidR="00C7542E" w:rsidRPr="000A0A5F" w:rsidRDefault="00CB0DD7">
      <w:pPr>
        <w:pStyle w:val="PL"/>
      </w:pPr>
      <w:r w:rsidRPr="000A0A5F">
        <w:t xml:space="preserve">          description: </w:t>
      </w:r>
      <w:r w:rsidR="00C7542E" w:rsidRPr="000A0A5F">
        <w:t>&gt;</w:t>
      </w:r>
    </w:p>
    <w:p w:rsidR="00C7542E" w:rsidRPr="000A0A5F" w:rsidRDefault="00C7542E">
      <w:pPr>
        <w:pStyle w:val="PL"/>
      </w:pPr>
      <w:r w:rsidRPr="000A0A5F">
        <w:t xml:space="preserve">            </w:t>
      </w:r>
      <w:r w:rsidR="00CB0DD7" w:rsidRPr="000A0A5F">
        <w:t>The subscription was created successfully. The URI of the created resource shall be</w:t>
      </w:r>
    </w:p>
    <w:p w:rsidR="00CB0DD7" w:rsidRPr="000A0A5F" w:rsidRDefault="00C7542E">
      <w:pPr>
        <w:pStyle w:val="PL"/>
      </w:pPr>
      <w:r w:rsidRPr="000A0A5F">
        <w:t xml:space="preserve">           </w:t>
      </w:r>
      <w:r w:rsidR="00CB0DD7" w:rsidRPr="000A0A5F">
        <w:t xml:space="preserve"> returned in the "Location" HTTP header.</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application/json:</w:t>
      </w:r>
    </w:p>
    <w:p w:rsidR="00CB0DD7" w:rsidRPr="000A0A5F" w:rsidRDefault="00CB0DD7">
      <w:pPr>
        <w:pStyle w:val="PL"/>
      </w:pPr>
      <w:r w:rsidRPr="000A0A5F">
        <w:t xml:space="preserve">              schema:</w:t>
      </w:r>
    </w:p>
    <w:p w:rsidR="00CB0DD7" w:rsidRPr="000A0A5F" w:rsidRDefault="00CB0DD7">
      <w:pPr>
        <w:pStyle w:val="PL"/>
      </w:pPr>
      <w:r w:rsidRPr="000A0A5F">
        <w:t xml:space="preserve">                $ref: '#/components/schemas/NetworkStatusReportingSubscription'</w:t>
      </w:r>
    </w:p>
    <w:p w:rsidR="00CB0DD7" w:rsidRPr="000A0A5F" w:rsidRDefault="00CB0DD7">
      <w:pPr>
        <w:pStyle w:val="PL"/>
      </w:pPr>
      <w:r w:rsidRPr="000A0A5F">
        <w:t xml:space="preserve">          headers:</w:t>
      </w:r>
    </w:p>
    <w:p w:rsidR="00CB0DD7" w:rsidRPr="000A0A5F" w:rsidRDefault="00CB0DD7">
      <w:pPr>
        <w:pStyle w:val="PL"/>
      </w:pPr>
      <w:r w:rsidRPr="000A0A5F">
        <w:t xml:space="preserve">            Location:</w:t>
      </w:r>
    </w:p>
    <w:p w:rsidR="00CB0DD7" w:rsidRPr="000A0A5F" w:rsidRDefault="00CB0DD7">
      <w:pPr>
        <w:pStyle w:val="PL"/>
      </w:pPr>
      <w:r w:rsidRPr="000A0A5F">
        <w:t xml:space="preserve">              description: 'Contains the URI of the newly created resource'</w:t>
      </w:r>
    </w:p>
    <w:p w:rsidR="00CB0DD7" w:rsidRPr="000A0A5F" w:rsidRDefault="00CB0DD7">
      <w:pPr>
        <w:pStyle w:val="PL"/>
      </w:pPr>
      <w:r w:rsidRPr="000A0A5F">
        <w:t xml:space="preserve">              required: true</w:t>
      </w:r>
    </w:p>
    <w:p w:rsidR="00CB0DD7" w:rsidRPr="000A0A5F" w:rsidRDefault="00CB0DD7">
      <w:pPr>
        <w:pStyle w:val="PL"/>
      </w:pPr>
      <w:r w:rsidRPr="000A0A5F">
        <w:t xml:space="preserve">              schema:</w:t>
      </w:r>
    </w:p>
    <w:p w:rsidR="00CB0DD7" w:rsidRPr="000A0A5F" w:rsidRDefault="00CB0DD7">
      <w:pPr>
        <w:pStyle w:val="PL"/>
      </w:pPr>
      <w:r w:rsidRPr="000A0A5F">
        <w:t xml:space="preserve">                type: string</w:t>
      </w:r>
    </w:p>
    <w:p w:rsidR="00CB0DD7" w:rsidRPr="000A0A5F" w:rsidRDefault="00CB0DD7">
      <w:pPr>
        <w:pStyle w:val="PL"/>
      </w:pPr>
      <w:r w:rsidRPr="000A0A5F">
        <w:t xml:space="preserve">        '400':</w:t>
      </w:r>
    </w:p>
    <w:p w:rsidR="00CB0DD7" w:rsidRPr="000A0A5F" w:rsidRDefault="00CB0DD7">
      <w:pPr>
        <w:pStyle w:val="PL"/>
      </w:pPr>
      <w:r w:rsidRPr="000A0A5F">
        <w:t xml:space="preserve">          $ref: 'TS29122_CommonData.yaml#/components/responses/400'</w:t>
      </w:r>
    </w:p>
    <w:p w:rsidR="00CB0DD7" w:rsidRPr="000A0A5F" w:rsidRDefault="00CB0DD7">
      <w:pPr>
        <w:pStyle w:val="PL"/>
      </w:pPr>
      <w:r w:rsidRPr="000A0A5F">
        <w:t xml:space="preserve">        '401':</w:t>
      </w:r>
    </w:p>
    <w:p w:rsidR="00CB0DD7" w:rsidRPr="000A0A5F" w:rsidRDefault="00CB0DD7">
      <w:pPr>
        <w:pStyle w:val="PL"/>
      </w:pPr>
      <w:r w:rsidRPr="000A0A5F">
        <w:t xml:space="preserve">          $ref: 'TS29122_CommonData.yaml#/components/responses/401'</w:t>
      </w:r>
    </w:p>
    <w:p w:rsidR="00CB0DD7" w:rsidRPr="000A0A5F" w:rsidRDefault="00CB0DD7">
      <w:pPr>
        <w:pStyle w:val="PL"/>
      </w:pPr>
      <w:r w:rsidRPr="000A0A5F">
        <w:t xml:space="preserve">        '403':</w:t>
      </w:r>
    </w:p>
    <w:p w:rsidR="00CB0DD7" w:rsidRPr="000A0A5F" w:rsidRDefault="00CB0DD7">
      <w:pPr>
        <w:pStyle w:val="PL"/>
      </w:pPr>
      <w:r w:rsidRPr="000A0A5F">
        <w:t xml:space="preserve">          $ref: 'TS29122_CommonData.yaml#/components/responses/403'</w:t>
      </w:r>
    </w:p>
    <w:p w:rsidR="00CB0DD7" w:rsidRPr="000A0A5F" w:rsidRDefault="00CB0DD7">
      <w:pPr>
        <w:pStyle w:val="PL"/>
      </w:pPr>
      <w:r w:rsidRPr="000A0A5F">
        <w:t xml:space="preserve">        '404':</w:t>
      </w:r>
    </w:p>
    <w:p w:rsidR="00CB0DD7" w:rsidRPr="000A0A5F" w:rsidRDefault="00CB0DD7">
      <w:pPr>
        <w:pStyle w:val="PL"/>
      </w:pPr>
      <w:r w:rsidRPr="000A0A5F">
        <w:t xml:space="preserve">          $ref: 'TS29122_CommonData.yaml#/components/responses/404'</w:t>
      </w:r>
    </w:p>
    <w:p w:rsidR="00CB0DD7" w:rsidRPr="000A0A5F" w:rsidRDefault="00CB0DD7">
      <w:pPr>
        <w:pStyle w:val="PL"/>
      </w:pPr>
      <w:r w:rsidRPr="000A0A5F">
        <w:t xml:space="preserve">        '411':</w:t>
      </w:r>
    </w:p>
    <w:p w:rsidR="00CB0DD7" w:rsidRPr="000A0A5F" w:rsidRDefault="00CB0DD7">
      <w:pPr>
        <w:pStyle w:val="PL"/>
      </w:pPr>
      <w:r w:rsidRPr="000A0A5F">
        <w:t xml:space="preserve">          $ref: 'TS29122_CommonData.yaml#/components/responses/411'</w:t>
      </w:r>
    </w:p>
    <w:p w:rsidR="00CB0DD7" w:rsidRPr="000A0A5F" w:rsidRDefault="00CB0DD7">
      <w:pPr>
        <w:pStyle w:val="PL"/>
      </w:pPr>
      <w:r w:rsidRPr="000A0A5F">
        <w:t xml:space="preserve">        '413':</w:t>
      </w:r>
    </w:p>
    <w:p w:rsidR="00CB0DD7" w:rsidRPr="000A0A5F" w:rsidRDefault="00CB0DD7">
      <w:pPr>
        <w:pStyle w:val="PL"/>
      </w:pPr>
      <w:r w:rsidRPr="000A0A5F">
        <w:t xml:space="preserve">          $ref: 'TS29122_CommonData.yaml#/components/responses/413'</w:t>
      </w:r>
    </w:p>
    <w:p w:rsidR="00CB0DD7" w:rsidRPr="000A0A5F" w:rsidRDefault="00CB0DD7">
      <w:pPr>
        <w:pStyle w:val="PL"/>
      </w:pPr>
      <w:r w:rsidRPr="000A0A5F">
        <w:t xml:space="preserve">        '415':</w:t>
      </w:r>
    </w:p>
    <w:p w:rsidR="00CB0DD7" w:rsidRPr="000A0A5F" w:rsidRDefault="00CB0DD7">
      <w:pPr>
        <w:pStyle w:val="PL"/>
      </w:pPr>
      <w:r w:rsidRPr="000A0A5F">
        <w:t xml:space="preserve">          $ref: 'TS29122_CommonData.yaml#/components/responses/415'</w:t>
      </w:r>
    </w:p>
    <w:p w:rsidR="00CB0DD7" w:rsidRPr="000A0A5F" w:rsidRDefault="00CB0DD7">
      <w:pPr>
        <w:pStyle w:val="PL"/>
      </w:pPr>
      <w:r w:rsidRPr="000A0A5F">
        <w:t xml:space="preserve">        '429':</w:t>
      </w:r>
    </w:p>
    <w:p w:rsidR="00CB0DD7" w:rsidRPr="000A0A5F" w:rsidRDefault="00CB0DD7">
      <w:pPr>
        <w:pStyle w:val="PL"/>
      </w:pPr>
      <w:r w:rsidRPr="000A0A5F">
        <w:t xml:space="preserve">          $ref: 'TS29122_CommonData.yaml#/components/responses/429'</w:t>
      </w:r>
    </w:p>
    <w:p w:rsidR="00CB0DD7" w:rsidRPr="000A0A5F" w:rsidRDefault="00CB0DD7">
      <w:pPr>
        <w:pStyle w:val="PL"/>
      </w:pPr>
      <w:r w:rsidRPr="000A0A5F">
        <w:t xml:space="preserve">        '500':</w:t>
      </w:r>
    </w:p>
    <w:p w:rsidR="00CB0DD7" w:rsidRPr="000A0A5F" w:rsidRDefault="00CB0DD7">
      <w:pPr>
        <w:pStyle w:val="PL"/>
      </w:pPr>
      <w:r w:rsidRPr="000A0A5F">
        <w:t xml:space="preserve">          $ref: 'TS29122_CommonData.yaml#/components/responses/500'</w:t>
      </w:r>
    </w:p>
    <w:p w:rsidR="00CB0DD7" w:rsidRPr="000A0A5F" w:rsidRDefault="00CB0DD7">
      <w:pPr>
        <w:pStyle w:val="PL"/>
      </w:pPr>
      <w:r w:rsidRPr="000A0A5F">
        <w:t xml:space="preserve">        '503':</w:t>
      </w:r>
    </w:p>
    <w:p w:rsidR="00CB0DD7" w:rsidRPr="000A0A5F" w:rsidRDefault="00CB0DD7">
      <w:pPr>
        <w:pStyle w:val="PL"/>
      </w:pPr>
      <w:r w:rsidRPr="000A0A5F">
        <w:t xml:space="preserve">          $ref: 'TS29122_CommonData.yaml#/components/responses/503'</w:t>
      </w:r>
    </w:p>
    <w:p w:rsidR="00CB0DD7" w:rsidRPr="000A0A5F" w:rsidRDefault="00CB0DD7">
      <w:pPr>
        <w:pStyle w:val="PL"/>
      </w:pPr>
      <w:r w:rsidRPr="000A0A5F">
        <w:t xml:space="preserve">        default:</w:t>
      </w:r>
    </w:p>
    <w:p w:rsidR="00CB0DD7" w:rsidRPr="000A0A5F" w:rsidRDefault="00CB0DD7">
      <w:pPr>
        <w:pStyle w:val="PL"/>
      </w:pPr>
      <w:r w:rsidRPr="000A0A5F">
        <w:t xml:space="preserve">          $ref: 'TS29122_CommonData.yaml#/components/responses/default'</w:t>
      </w:r>
    </w:p>
    <w:p w:rsidR="00CB0DD7" w:rsidRPr="000A0A5F" w:rsidRDefault="00CB0DD7">
      <w:pPr>
        <w:pStyle w:val="PL"/>
      </w:pPr>
    </w:p>
    <w:p w:rsidR="00CB0DD7" w:rsidRPr="000A0A5F" w:rsidRDefault="00CB0DD7">
      <w:pPr>
        <w:pStyle w:val="PL"/>
      </w:pPr>
      <w:r w:rsidRPr="000A0A5F">
        <w:t xml:space="preserve">  /{scsAsId}/subscriptions/{subscriptionId}:</w:t>
      </w:r>
    </w:p>
    <w:p w:rsidR="00CB0DD7" w:rsidRPr="000A0A5F" w:rsidRDefault="00CB0DD7">
      <w:pPr>
        <w:pStyle w:val="PL"/>
      </w:pPr>
      <w:r w:rsidRPr="000A0A5F">
        <w:t xml:space="preserve">    parameters:</w:t>
      </w:r>
    </w:p>
    <w:p w:rsidR="00CB0DD7" w:rsidRPr="000A0A5F" w:rsidRDefault="00CB0DD7">
      <w:pPr>
        <w:pStyle w:val="PL"/>
      </w:pPr>
      <w:r w:rsidRPr="000A0A5F">
        <w:t xml:space="preserve">        - name: scsAsId</w:t>
      </w:r>
    </w:p>
    <w:p w:rsidR="00CB0DD7" w:rsidRPr="000A0A5F" w:rsidRDefault="00CB0DD7">
      <w:pPr>
        <w:pStyle w:val="PL"/>
      </w:pPr>
      <w:r w:rsidRPr="000A0A5F">
        <w:t xml:space="preserve">          in: path</w:t>
      </w:r>
    </w:p>
    <w:p w:rsidR="00CB0DD7" w:rsidRPr="000A0A5F" w:rsidRDefault="00CB0DD7">
      <w:pPr>
        <w:pStyle w:val="PL"/>
      </w:pPr>
      <w:r w:rsidRPr="000A0A5F">
        <w:t xml:space="preserve">          description: Identifier of the SCS/AS</w:t>
      </w:r>
    </w:p>
    <w:p w:rsidR="00CB0DD7" w:rsidRPr="000A0A5F" w:rsidRDefault="00CB0DD7">
      <w:pPr>
        <w:pStyle w:val="PL"/>
      </w:pPr>
      <w:r w:rsidRPr="000A0A5F">
        <w:t xml:space="preserve">          required: true</w:t>
      </w:r>
    </w:p>
    <w:p w:rsidR="00CB0DD7" w:rsidRPr="000A0A5F" w:rsidRDefault="00CB0DD7">
      <w:pPr>
        <w:pStyle w:val="PL"/>
      </w:pPr>
      <w:r w:rsidRPr="000A0A5F">
        <w:t xml:space="preserve">          schema:</w:t>
      </w:r>
    </w:p>
    <w:p w:rsidR="00CB0DD7" w:rsidRPr="000A0A5F" w:rsidRDefault="00CB0DD7">
      <w:pPr>
        <w:pStyle w:val="PL"/>
      </w:pPr>
      <w:r w:rsidRPr="000A0A5F">
        <w:t xml:space="preserve">            $ref: 'TS29122_CommonData.yaml#/components/schemas/ScsAsId'</w:t>
      </w:r>
    </w:p>
    <w:p w:rsidR="00CB0DD7" w:rsidRPr="000A0A5F" w:rsidRDefault="00CB0DD7">
      <w:pPr>
        <w:pStyle w:val="PL"/>
      </w:pPr>
      <w:r w:rsidRPr="000A0A5F">
        <w:t xml:space="preserve">        - name: subscriptionId</w:t>
      </w:r>
    </w:p>
    <w:p w:rsidR="00CB0DD7" w:rsidRPr="000A0A5F" w:rsidRDefault="00CB0DD7">
      <w:pPr>
        <w:pStyle w:val="PL"/>
      </w:pPr>
      <w:r w:rsidRPr="000A0A5F">
        <w:t xml:space="preserve">          in: path</w:t>
      </w:r>
    </w:p>
    <w:p w:rsidR="00CB0DD7" w:rsidRPr="000A0A5F" w:rsidRDefault="00CB0DD7">
      <w:pPr>
        <w:pStyle w:val="PL"/>
      </w:pPr>
      <w:r w:rsidRPr="000A0A5F">
        <w:t xml:space="preserve">          description: Identifier of the subscription resource of type string</w:t>
      </w:r>
    </w:p>
    <w:p w:rsidR="00CB0DD7" w:rsidRPr="000A0A5F" w:rsidRDefault="00CB0DD7">
      <w:pPr>
        <w:pStyle w:val="PL"/>
      </w:pPr>
      <w:r w:rsidRPr="000A0A5F">
        <w:t xml:space="preserve">          required: true</w:t>
      </w:r>
    </w:p>
    <w:p w:rsidR="00CB0DD7" w:rsidRPr="000A0A5F" w:rsidRDefault="00CB0DD7">
      <w:pPr>
        <w:pStyle w:val="PL"/>
      </w:pPr>
      <w:r w:rsidRPr="000A0A5F">
        <w:t xml:space="preserve">          schema:</w:t>
      </w:r>
    </w:p>
    <w:p w:rsidR="00CB0DD7" w:rsidRPr="000A0A5F" w:rsidRDefault="00CB0DD7">
      <w:pPr>
        <w:pStyle w:val="PL"/>
      </w:pPr>
      <w:r w:rsidRPr="000A0A5F">
        <w:t xml:space="preserve">            $ref: 'TS29122_CommonData.yaml#/components/schemas/ResourceId'</w:t>
      </w:r>
    </w:p>
    <w:p w:rsidR="00CB0DD7" w:rsidRPr="000A0A5F" w:rsidRDefault="00CB0DD7">
      <w:pPr>
        <w:pStyle w:val="PL"/>
      </w:pPr>
      <w:r w:rsidRPr="000A0A5F">
        <w:t xml:space="preserve">    get:</w:t>
      </w:r>
    </w:p>
    <w:p w:rsidR="00CB0DD7" w:rsidRPr="000A0A5F" w:rsidRDefault="00CB0DD7">
      <w:pPr>
        <w:pStyle w:val="PL"/>
      </w:pPr>
      <w:r w:rsidRPr="000A0A5F">
        <w:t xml:space="preserve">      summary: Read an active network status reporting subscription resource.</w:t>
      </w:r>
    </w:p>
    <w:p w:rsidR="002C68BF" w:rsidRPr="000A0A5F" w:rsidRDefault="002C68BF" w:rsidP="002C68BF">
      <w:pPr>
        <w:pStyle w:val="PL"/>
      </w:pPr>
      <w:r w:rsidRPr="000A0A5F">
        <w:t xml:space="preserve">      </w:t>
      </w:r>
      <w:r w:rsidRPr="000A0A5F">
        <w:rPr>
          <w:rFonts w:cs="Courier New"/>
          <w:szCs w:val="16"/>
        </w:rPr>
        <w:t>operationId: FetchInd</w:t>
      </w:r>
      <w:r w:rsidRPr="000A0A5F">
        <w:t>NwStatusReportSubscription</w:t>
      </w:r>
    </w:p>
    <w:p w:rsidR="002C68BF" w:rsidRPr="000A0A5F" w:rsidRDefault="002C68BF" w:rsidP="002C68BF">
      <w:pPr>
        <w:pStyle w:val="PL"/>
      </w:pPr>
      <w:r w:rsidRPr="000A0A5F">
        <w:t xml:space="preserve">      tags:</w:t>
      </w:r>
    </w:p>
    <w:p w:rsidR="002C68BF" w:rsidRPr="000A0A5F" w:rsidRDefault="002C68BF" w:rsidP="002C68BF">
      <w:pPr>
        <w:pStyle w:val="PL"/>
      </w:pPr>
      <w:r w:rsidRPr="000A0A5F">
        <w:t xml:space="preserve">        - Individual Network Status Reporting subscription</w:t>
      </w:r>
    </w:p>
    <w:p w:rsidR="00CB0DD7" w:rsidRPr="000A0A5F" w:rsidRDefault="00CB0DD7">
      <w:pPr>
        <w:pStyle w:val="PL"/>
      </w:pPr>
      <w:r w:rsidRPr="000A0A5F">
        <w:t xml:space="preserve">      responses:</w:t>
      </w:r>
    </w:p>
    <w:p w:rsidR="00CB0DD7" w:rsidRPr="000A0A5F" w:rsidRDefault="00CB0DD7">
      <w:pPr>
        <w:pStyle w:val="PL"/>
      </w:pPr>
      <w:r w:rsidRPr="000A0A5F">
        <w:t xml:space="preserve">        '200':</w:t>
      </w:r>
    </w:p>
    <w:p w:rsidR="00CB0DD7" w:rsidRPr="000A0A5F" w:rsidRDefault="00CB0DD7">
      <w:pPr>
        <w:pStyle w:val="PL"/>
      </w:pPr>
      <w:r w:rsidRPr="000A0A5F">
        <w:t xml:space="preserve">          description: The requested information was returned successfully.</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application/json:</w:t>
      </w:r>
    </w:p>
    <w:p w:rsidR="00CB0DD7" w:rsidRPr="000A0A5F" w:rsidRDefault="00CB0DD7">
      <w:pPr>
        <w:pStyle w:val="PL"/>
      </w:pPr>
      <w:r w:rsidRPr="000A0A5F">
        <w:t xml:space="preserve">              schema:</w:t>
      </w:r>
    </w:p>
    <w:p w:rsidR="00CB0DD7" w:rsidRPr="000A0A5F" w:rsidRDefault="00CB0DD7">
      <w:pPr>
        <w:pStyle w:val="PL"/>
      </w:pPr>
      <w:r w:rsidRPr="000A0A5F">
        <w:t xml:space="preserve">                $ref: '#/components/schemas/NetworkStatusReportingSubscription'</w:t>
      </w:r>
    </w:p>
    <w:p w:rsidR="00CB0DD7" w:rsidRPr="000A0A5F" w:rsidRDefault="00CB0DD7">
      <w:pPr>
        <w:pStyle w:val="PL"/>
      </w:pPr>
      <w:r w:rsidRPr="000A0A5F">
        <w:t xml:space="preserve">        '307':</w:t>
      </w:r>
    </w:p>
    <w:p w:rsidR="00CB0DD7" w:rsidRPr="000A0A5F" w:rsidRDefault="00CB0DD7">
      <w:pPr>
        <w:pStyle w:val="PL"/>
      </w:pPr>
      <w:r w:rsidRPr="000A0A5F">
        <w:t xml:space="preserve">          $ref: 'TS29122_CommonData.yaml#/components/responses/307'</w:t>
      </w:r>
    </w:p>
    <w:p w:rsidR="00CB0DD7" w:rsidRPr="000A0A5F" w:rsidRDefault="00CB0DD7">
      <w:pPr>
        <w:pStyle w:val="PL"/>
      </w:pPr>
      <w:r w:rsidRPr="000A0A5F">
        <w:t xml:space="preserve">        '308':</w:t>
      </w:r>
    </w:p>
    <w:p w:rsidR="00CB0DD7" w:rsidRPr="000A0A5F" w:rsidRDefault="00CB0DD7">
      <w:pPr>
        <w:pStyle w:val="PL"/>
      </w:pPr>
      <w:r w:rsidRPr="000A0A5F">
        <w:t xml:space="preserve">          $ref: 'TS29122_CommonData.yaml#/components/responses/308'</w:t>
      </w:r>
    </w:p>
    <w:p w:rsidR="00CB0DD7" w:rsidRPr="000A0A5F" w:rsidRDefault="00CB0DD7">
      <w:pPr>
        <w:pStyle w:val="PL"/>
      </w:pPr>
      <w:r w:rsidRPr="000A0A5F">
        <w:t xml:space="preserve">        '400':</w:t>
      </w:r>
    </w:p>
    <w:p w:rsidR="00CB0DD7" w:rsidRPr="000A0A5F" w:rsidRDefault="00CB0DD7">
      <w:pPr>
        <w:pStyle w:val="PL"/>
      </w:pPr>
      <w:r w:rsidRPr="000A0A5F">
        <w:t xml:space="preserve">          $ref: 'TS29122_CommonData.yaml#/components/responses/400'</w:t>
      </w:r>
    </w:p>
    <w:p w:rsidR="00CB0DD7" w:rsidRPr="000A0A5F" w:rsidRDefault="00CB0DD7">
      <w:pPr>
        <w:pStyle w:val="PL"/>
      </w:pPr>
      <w:r w:rsidRPr="000A0A5F">
        <w:t xml:space="preserve">        '401':</w:t>
      </w:r>
    </w:p>
    <w:p w:rsidR="00CB0DD7" w:rsidRPr="000A0A5F" w:rsidRDefault="00CB0DD7">
      <w:pPr>
        <w:pStyle w:val="PL"/>
      </w:pPr>
      <w:r w:rsidRPr="000A0A5F">
        <w:t xml:space="preserve">          $ref: 'TS29122_CommonData.yaml#/components/responses/401'</w:t>
      </w:r>
    </w:p>
    <w:p w:rsidR="00CB0DD7" w:rsidRPr="000A0A5F" w:rsidRDefault="00CB0DD7">
      <w:pPr>
        <w:pStyle w:val="PL"/>
      </w:pPr>
      <w:r w:rsidRPr="000A0A5F">
        <w:t xml:space="preserve">        '403':</w:t>
      </w:r>
    </w:p>
    <w:p w:rsidR="00CB0DD7" w:rsidRPr="000A0A5F" w:rsidRDefault="00CB0DD7">
      <w:pPr>
        <w:pStyle w:val="PL"/>
      </w:pPr>
      <w:r w:rsidRPr="000A0A5F">
        <w:t xml:space="preserve">          $ref: 'TS29122_CommonData.yaml#/components/responses/403'</w:t>
      </w:r>
    </w:p>
    <w:p w:rsidR="00CB0DD7" w:rsidRPr="000A0A5F" w:rsidRDefault="00CB0DD7">
      <w:pPr>
        <w:pStyle w:val="PL"/>
      </w:pPr>
      <w:r w:rsidRPr="000A0A5F">
        <w:t xml:space="preserve">        '404':</w:t>
      </w:r>
    </w:p>
    <w:p w:rsidR="00CB0DD7" w:rsidRPr="000A0A5F" w:rsidRDefault="00CB0DD7">
      <w:pPr>
        <w:pStyle w:val="PL"/>
      </w:pPr>
      <w:r w:rsidRPr="000A0A5F">
        <w:t xml:space="preserve">          $ref: 'TS29122_CommonData.yaml#/components/responses/404'</w:t>
      </w:r>
    </w:p>
    <w:p w:rsidR="00CB0DD7" w:rsidRPr="000A0A5F" w:rsidRDefault="00CB0DD7">
      <w:pPr>
        <w:pStyle w:val="PL"/>
      </w:pPr>
      <w:r w:rsidRPr="000A0A5F">
        <w:t xml:space="preserve">        '406':</w:t>
      </w:r>
    </w:p>
    <w:p w:rsidR="00CB0DD7" w:rsidRPr="000A0A5F" w:rsidRDefault="00CB0DD7">
      <w:pPr>
        <w:pStyle w:val="PL"/>
      </w:pPr>
      <w:r w:rsidRPr="000A0A5F">
        <w:t xml:space="preserve">          $ref: 'TS29122_CommonData.yaml#/components/responses/406'</w:t>
      </w:r>
    </w:p>
    <w:p w:rsidR="00CB0DD7" w:rsidRPr="000A0A5F" w:rsidRDefault="00CB0DD7">
      <w:pPr>
        <w:pStyle w:val="PL"/>
      </w:pPr>
      <w:r w:rsidRPr="000A0A5F">
        <w:t xml:space="preserve">        '429':</w:t>
      </w:r>
    </w:p>
    <w:p w:rsidR="00CB0DD7" w:rsidRPr="000A0A5F" w:rsidRDefault="00CB0DD7">
      <w:pPr>
        <w:pStyle w:val="PL"/>
      </w:pPr>
      <w:r w:rsidRPr="000A0A5F">
        <w:t xml:space="preserve">          $ref: 'TS29122_CommonData.yaml#/components/responses/429'</w:t>
      </w:r>
    </w:p>
    <w:p w:rsidR="00CB0DD7" w:rsidRPr="000A0A5F" w:rsidRDefault="00CB0DD7">
      <w:pPr>
        <w:pStyle w:val="PL"/>
      </w:pPr>
      <w:r w:rsidRPr="000A0A5F">
        <w:t xml:space="preserve">        '500':</w:t>
      </w:r>
    </w:p>
    <w:p w:rsidR="00CB0DD7" w:rsidRPr="000A0A5F" w:rsidRDefault="00CB0DD7">
      <w:pPr>
        <w:pStyle w:val="PL"/>
      </w:pPr>
      <w:r w:rsidRPr="000A0A5F">
        <w:t xml:space="preserve">          $ref: 'TS29122_CommonData.yaml#/components/responses/500'</w:t>
      </w:r>
    </w:p>
    <w:p w:rsidR="00CB0DD7" w:rsidRPr="000A0A5F" w:rsidRDefault="00CB0DD7">
      <w:pPr>
        <w:pStyle w:val="PL"/>
      </w:pPr>
      <w:r w:rsidRPr="000A0A5F">
        <w:t xml:space="preserve">        '503':</w:t>
      </w:r>
    </w:p>
    <w:p w:rsidR="00CB0DD7" w:rsidRPr="000A0A5F" w:rsidRDefault="00CB0DD7">
      <w:pPr>
        <w:pStyle w:val="PL"/>
      </w:pPr>
      <w:r w:rsidRPr="000A0A5F">
        <w:t xml:space="preserve">          $ref: 'TS29122_CommonData.yaml#/components/responses/503'</w:t>
      </w:r>
    </w:p>
    <w:p w:rsidR="00CB0DD7" w:rsidRPr="000A0A5F" w:rsidRDefault="00CB0DD7">
      <w:pPr>
        <w:pStyle w:val="PL"/>
      </w:pPr>
      <w:r w:rsidRPr="000A0A5F">
        <w:t xml:space="preserve">        default:</w:t>
      </w:r>
    </w:p>
    <w:p w:rsidR="00CB0DD7" w:rsidRPr="000A0A5F" w:rsidRDefault="00CB0DD7">
      <w:pPr>
        <w:pStyle w:val="PL"/>
      </w:pPr>
      <w:r w:rsidRPr="000A0A5F">
        <w:t xml:space="preserve">          $ref: 'TS29122_CommonData.yaml#/components/responses/default'</w:t>
      </w:r>
    </w:p>
    <w:p w:rsidR="00CB0DD7" w:rsidRPr="000A0A5F" w:rsidRDefault="00CB0DD7">
      <w:pPr>
        <w:pStyle w:val="PL"/>
      </w:pPr>
      <w:r w:rsidRPr="000A0A5F">
        <w:t xml:space="preserve">    put:</w:t>
      </w:r>
    </w:p>
    <w:p w:rsidR="00CB0DD7" w:rsidRPr="000A0A5F" w:rsidRDefault="00CB0DD7">
      <w:pPr>
        <w:pStyle w:val="PL"/>
      </w:pPr>
      <w:r w:rsidRPr="000A0A5F">
        <w:t xml:space="preserve">      summary: Modify an existing subscription resource to update a subscription.</w:t>
      </w:r>
    </w:p>
    <w:p w:rsidR="002C68BF" w:rsidRPr="000A0A5F" w:rsidRDefault="002C68BF" w:rsidP="002C68BF">
      <w:pPr>
        <w:pStyle w:val="PL"/>
      </w:pPr>
      <w:r w:rsidRPr="000A0A5F">
        <w:t xml:space="preserve">      </w:t>
      </w:r>
      <w:r w:rsidRPr="000A0A5F">
        <w:rPr>
          <w:rFonts w:cs="Courier New"/>
          <w:szCs w:val="16"/>
        </w:rPr>
        <w:t>operationId: UpdateInd</w:t>
      </w:r>
      <w:r w:rsidRPr="000A0A5F">
        <w:t>NwStatusReportSubscription</w:t>
      </w:r>
    </w:p>
    <w:p w:rsidR="002C68BF" w:rsidRPr="000A0A5F" w:rsidRDefault="002C68BF" w:rsidP="002C68BF">
      <w:pPr>
        <w:pStyle w:val="PL"/>
      </w:pPr>
      <w:r w:rsidRPr="000A0A5F">
        <w:t xml:space="preserve">      tags:</w:t>
      </w:r>
    </w:p>
    <w:p w:rsidR="002C68BF" w:rsidRPr="000A0A5F" w:rsidRDefault="002C68BF" w:rsidP="002C68BF">
      <w:pPr>
        <w:pStyle w:val="PL"/>
      </w:pPr>
      <w:r w:rsidRPr="000A0A5F">
        <w:t xml:space="preserve">        - Individual Network Status Reporting subscription</w:t>
      </w:r>
    </w:p>
    <w:p w:rsidR="00CB0DD7" w:rsidRPr="000A0A5F" w:rsidRDefault="00CB0DD7">
      <w:pPr>
        <w:pStyle w:val="PL"/>
      </w:pPr>
      <w:r w:rsidRPr="000A0A5F">
        <w:t xml:space="preserve">      requestBody:</w:t>
      </w:r>
    </w:p>
    <w:p w:rsidR="00CB0DD7" w:rsidRPr="000A0A5F" w:rsidRDefault="00CB0DD7">
      <w:pPr>
        <w:pStyle w:val="PL"/>
      </w:pPr>
      <w:r w:rsidRPr="000A0A5F">
        <w:t xml:space="preserve">        required: true</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application/json:</w:t>
      </w:r>
    </w:p>
    <w:p w:rsidR="00CB0DD7" w:rsidRPr="000A0A5F" w:rsidRDefault="00CB0DD7">
      <w:pPr>
        <w:pStyle w:val="PL"/>
      </w:pPr>
      <w:r w:rsidRPr="000A0A5F">
        <w:t xml:space="preserve">            schema:</w:t>
      </w:r>
    </w:p>
    <w:p w:rsidR="00CB0DD7" w:rsidRPr="000A0A5F" w:rsidRDefault="00CB0DD7">
      <w:pPr>
        <w:pStyle w:val="PL"/>
      </w:pPr>
      <w:r w:rsidRPr="000A0A5F">
        <w:t xml:space="preserve">              $ref: '#/components/schemas/NetworkStatusReportingSubscription'</w:t>
      </w:r>
    </w:p>
    <w:p w:rsidR="00CB0DD7" w:rsidRPr="000A0A5F" w:rsidRDefault="00CB0DD7">
      <w:pPr>
        <w:pStyle w:val="PL"/>
      </w:pPr>
      <w:r w:rsidRPr="000A0A5F">
        <w:t xml:space="preserve">      responses:</w:t>
      </w:r>
    </w:p>
    <w:p w:rsidR="00CB0DD7" w:rsidRPr="000A0A5F" w:rsidRDefault="00CB0DD7">
      <w:pPr>
        <w:pStyle w:val="PL"/>
      </w:pPr>
      <w:r w:rsidRPr="000A0A5F">
        <w:t xml:space="preserve">        '200':</w:t>
      </w:r>
    </w:p>
    <w:p w:rsidR="00CB0DD7" w:rsidRPr="000A0A5F" w:rsidRDefault="00CB0DD7">
      <w:pPr>
        <w:pStyle w:val="PL"/>
      </w:pPr>
      <w:r w:rsidRPr="000A0A5F">
        <w:t xml:space="preserve">          description: The subscription was updated successfully.</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application/json:</w:t>
      </w:r>
    </w:p>
    <w:p w:rsidR="00CB0DD7" w:rsidRPr="000A0A5F" w:rsidRDefault="00CB0DD7">
      <w:pPr>
        <w:pStyle w:val="PL"/>
      </w:pPr>
      <w:r w:rsidRPr="000A0A5F">
        <w:t xml:space="preserve">              schema:</w:t>
      </w:r>
    </w:p>
    <w:p w:rsidR="00CB0DD7" w:rsidRPr="000A0A5F" w:rsidRDefault="00CB0DD7">
      <w:pPr>
        <w:pStyle w:val="PL"/>
      </w:pPr>
      <w:r w:rsidRPr="000A0A5F">
        <w:t xml:space="preserve">                $ref: '#/components/schemas/NetworkStatusReportingSubscription'</w:t>
      </w:r>
    </w:p>
    <w:p w:rsidR="00903C01" w:rsidRPr="000A0A5F" w:rsidRDefault="00903C01" w:rsidP="00903C01">
      <w:pPr>
        <w:pStyle w:val="PL"/>
      </w:pPr>
      <w:r w:rsidRPr="000A0A5F">
        <w:t xml:space="preserve">        '204':</w:t>
      </w:r>
    </w:p>
    <w:p w:rsidR="00903C01" w:rsidRPr="000A0A5F" w:rsidRDefault="00903C01" w:rsidP="00903C01">
      <w:pPr>
        <w:pStyle w:val="PL"/>
      </w:pPr>
      <w:r w:rsidRPr="000A0A5F">
        <w:t xml:space="preserve">          description: No Content. The subscription was updated successfully.</w:t>
      </w:r>
    </w:p>
    <w:p w:rsidR="00CB0DD7" w:rsidRPr="000A0A5F" w:rsidRDefault="00CB0DD7">
      <w:pPr>
        <w:pStyle w:val="PL"/>
      </w:pPr>
      <w:r w:rsidRPr="000A0A5F">
        <w:t xml:space="preserve">        '307':</w:t>
      </w:r>
    </w:p>
    <w:p w:rsidR="00CB0DD7" w:rsidRPr="000A0A5F" w:rsidRDefault="00CB0DD7">
      <w:pPr>
        <w:pStyle w:val="PL"/>
      </w:pPr>
      <w:r w:rsidRPr="000A0A5F">
        <w:t xml:space="preserve">          $ref: 'TS29122_CommonData.yaml#/components/responses/307'</w:t>
      </w:r>
    </w:p>
    <w:p w:rsidR="00CB0DD7" w:rsidRPr="000A0A5F" w:rsidRDefault="00CB0DD7">
      <w:pPr>
        <w:pStyle w:val="PL"/>
      </w:pPr>
      <w:r w:rsidRPr="000A0A5F">
        <w:t xml:space="preserve">        '308':</w:t>
      </w:r>
    </w:p>
    <w:p w:rsidR="00CB0DD7" w:rsidRPr="000A0A5F" w:rsidRDefault="00CB0DD7">
      <w:pPr>
        <w:pStyle w:val="PL"/>
      </w:pPr>
      <w:r w:rsidRPr="000A0A5F">
        <w:t xml:space="preserve">          $ref: 'TS29122_CommonData.yaml#/components/responses/308'</w:t>
      </w:r>
    </w:p>
    <w:p w:rsidR="00CB0DD7" w:rsidRPr="000A0A5F" w:rsidRDefault="00CB0DD7">
      <w:pPr>
        <w:pStyle w:val="PL"/>
      </w:pPr>
      <w:r w:rsidRPr="000A0A5F">
        <w:t xml:space="preserve">        '400':</w:t>
      </w:r>
    </w:p>
    <w:p w:rsidR="00CB0DD7" w:rsidRPr="000A0A5F" w:rsidRDefault="00CB0DD7">
      <w:pPr>
        <w:pStyle w:val="PL"/>
      </w:pPr>
      <w:r w:rsidRPr="000A0A5F">
        <w:t xml:space="preserve">          $ref: 'TS29122_CommonData.yaml#/components/responses/400'</w:t>
      </w:r>
    </w:p>
    <w:p w:rsidR="00CB0DD7" w:rsidRPr="000A0A5F" w:rsidRDefault="00CB0DD7">
      <w:pPr>
        <w:pStyle w:val="PL"/>
      </w:pPr>
      <w:r w:rsidRPr="000A0A5F">
        <w:t xml:space="preserve">        '401':</w:t>
      </w:r>
    </w:p>
    <w:p w:rsidR="00CB0DD7" w:rsidRPr="000A0A5F" w:rsidRDefault="00CB0DD7">
      <w:pPr>
        <w:pStyle w:val="PL"/>
      </w:pPr>
      <w:r w:rsidRPr="000A0A5F">
        <w:t xml:space="preserve">          $ref: 'TS29122_CommonData.yaml#/components/responses/401'</w:t>
      </w:r>
    </w:p>
    <w:p w:rsidR="00CB0DD7" w:rsidRPr="000A0A5F" w:rsidRDefault="00CB0DD7">
      <w:pPr>
        <w:pStyle w:val="PL"/>
      </w:pPr>
      <w:r w:rsidRPr="000A0A5F">
        <w:t xml:space="preserve">        '403':</w:t>
      </w:r>
    </w:p>
    <w:p w:rsidR="00CB0DD7" w:rsidRPr="000A0A5F" w:rsidRDefault="00CB0DD7">
      <w:pPr>
        <w:pStyle w:val="PL"/>
      </w:pPr>
      <w:r w:rsidRPr="000A0A5F">
        <w:t xml:space="preserve">          $ref: 'TS29122_CommonData.yaml#/components/responses/403'</w:t>
      </w:r>
    </w:p>
    <w:p w:rsidR="00CB0DD7" w:rsidRPr="000A0A5F" w:rsidRDefault="00CB0DD7">
      <w:pPr>
        <w:pStyle w:val="PL"/>
      </w:pPr>
      <w:r w:rsidRPr="000A0A5F">
        <w:t xml:space="preserve">        '404':</w:t>
      </w:r>
    </w:p>
    <w:p w:rsidR="00CB0DD7" w:rsidRPr="000A0A5F" w:rsidRDefault="00CB0DD7">
      <w:pPr>
        <w:pStyle w:val="PL"/>
      </w:pPr>
      <w:r w:rsidRPr="000A0A5F">
        <w:t xml:space="preserve">          $ref: 'TS29122_CommonData.yaml#/components/responses/404'</w:t>
      </w:r>
    </w:p>
    <w:p w:rsidR="00CB0DD7" w:rsidRPr="000A0A5F" w:rsidRDefault="00CB0DD7">
      <w:pPr>
        <w:pStyle w:val="PL"/>
      </w:pPr>
      <w:r w:rsidRPr="000A0A5F">
        <w:t xml:space="preserve">        '411':</w:t>
      </w:r>
    </w:p>
    <w:p w:rsidR="00CB0DD7" w:rsidRPr="000A0A5F" w:rsidRDefault="00CB0DD7">
      <w:pPr>
        <w:pStyle w:val="PL"/>
      </w:pPr>
      <w:r w:rsidRPr="000A0A5F">
        <w:t xml:space="preserve">          $ref: 'TS29122_CommonData.yaml#/components/responses/411'</w:t>
      </w:r>
    </w:p>
    <w:p w:rsidR="00CB0DD7" w:rsidRPr="000A0A5F" w:rsidRDefault="00CB0DD7">
      <w:pPr>
        <w:pStyle w:val="PL"/>
      </w:pPr>
      <w:r w:rsidRPr="000A0A5F">
        <w:t xml:space="preserve">        '413':</w:t>
      </w:r>
    </w:p>
    <w:p w:rsidR="00CB0DD7" w:rsidRPr="000A0A5F" w:rsidRDefault="00CB0DD7">
      <w:pPr>
        <w:pStyle w:val="PL"/>
      </w:pPr>
      <w:r w:rsidRPr="000A0A5F">
        <w:t xml:space="preserve">          $ref: 'TS29122_CommonData.yaml#/components/responses/413'</w:t>
      </w:r>
    </w:p>
    <w:p w:rsidR="00CB0DD7" w:rsidRPr="000A0A5F" w:rsidRDefault="00CB0DD7">
      <w:pPr>
        <w:pStyle w:val="PL"/>
      </w:pPr>
      <w:r w:rsidRPr="000A0A5F">
        <w:t xml:space="preserve">        '415':</w:t>
      </w:r>
    </w:p>
    <w:p w:rsidR="00CB0DD7" w:rsidRPr="000A0A5F" w:rsidRDefault="00CB0DD7">
      <w:pPr>
        <w:pStyle w:val="PL"/>
      </w:pPr>
      <w:r w:rsidRPr="000A0A5F">
        <w:t xml:space="preserve">          $ref: 'TS29122_CommonData.yaml#/components/responses/415'</w:t>
      </w:r>
    </w:p>
    <w:p w:rsidR="00CB0DD7" w:rsidRPr="000A0A5F" w:rsidRDefault="00CB0DD7">
      <w:pPr>
        <w:pStyle w:val="PL"/>
      </w:pPr>
      <w:r w:rsidRPr="000A0A5F">
        <w:t xml:space="preserve">        '429':</w:t>
      </w:r>
    </w:p>
    <w:p w:rsidR="00CB0DD7" w:rsidRPr="000A0A5F" w:rsidRDefault="00CB0DD7">
      <w:pPr>
        <w:pStyle w:val="PL"/>
      </w:pPr>
      <w:r w:rsidRPr="000A0A5F">
        <w:t xml:space="preserve">          $ref: 'TS29122_CommonData.yaml#/components/responses/429'</w:t>
      </w:r>
    </w:p>
    <w:p w:rsidR="00CB0DD7" w:rsidRPr="000A0A5F" w:rsidRDefault="00CB0DD7">
      <w:pPr>
        <w:pStyle w:val="PL"/>
      </w:pPr>
      <w:r w:rsidRPr="000A0A5F">
        <w:t xml:space="preserve">        '500':</w:t>
      </w:r>
    </w:p>
    <w:p w:rsidR="00CB0DD7" w:rsidRPr="000A0A5F" w:rsidRDefault="00CB0DD7">
      <w:pPr>
        <w:pStyle w:val="PL"/>
      </w:pPr>
      <w:r w:rsidRPr="000A0A5F">
        <w:t xml:space="preserve">          $ref: 'TS29122_CommonData.yaml#/components/responses/500'</w:t>
      </w:r>
    </w:p>
    <w:p w:rsidR="00CB0DD7" w:rsidRPr="000A0A5F" w:rsidRDefault="00CB0DD7">
      <w:pPr>
        <w:pStyle w:val="PL"/>
      </w:pPr>
      <w:r w:rsidRPr="000A0A5F">
        <w:t xml:space="preserve">        '503':</w:t>
      </w:r>
    </w:p>
    <w:p w:rsidR="00CB0DD7" w:rsidRPr="000A0A5F" w:rsidRDefault="00CB0DD7">
      <w:pPr>
        <w:pStyle w:val="PL"/>
      </w:pPr>
      <w:r w:rsidRPr="000A0A5F">
        <w:t xml:space="preserve">          $ref: 'TS29122_CommonData.yaml#/components/responses/503'</w:t>
      </w:r>
    </w:p>
    <w:p w:rsidR="00CB0DD7" w:rsidRPr="000A0A5F" w:rsidRDefault="00CB0DD7">
      <w:pPr>
        <w:pStyle w:val="PL"/>
      </w:pPr>
      <w:r w:rsidRPr="000A0A5F">
        <w:t xml:space="preserve">        default:</w:t>
      </w:r>
    </w:p>
    <w:p w:rsidR="00CB0DD7" w:rsidRPr="000A0A5F" w:rsidRDefault="00CB0DD7">
      <w:pPr>
        <w:pStyle w:val="PL"/>
      </w:pPr>
      <w:r w:rsidRPr="000A0A5F">
        <w:t xml:space="preserve">          $ref: 'TS29122_CommonData.yaml#/components/responses/default'</w:t>
      </w:r>
    </w:p>
    <w:p w:rsidR="00517DF6" w:rsidRPr="000A0A5F" w:rsidRDefault="00517DF6" w:rsidP="00517DF6">
      <w:pPr>
        <w:pStyle w:val="PL"/>
        <w:rPr>
          <w:lang w:val="en-US"/>
        </w:rPr>
      </w:pPr>
      <w:r w:rsidRPr="000A0A5F">
        <w:rPr>
          <w:lang w:val="en-US"/>
        </w:rPr>
        <w:t xml:space="preserve">    patch:</w:t>
      </w:r>
    </w:p>
    <w:p w:rsidR="00517DF6" w:rsidRPr="000A0A5F" w:rsidRDefault="00517DF6" w:rsidP="00517DF6">
      <w:pPr>
        <w:pStyle w:val="PL"/>
      </w:pPr>
      <w:r w:rsidRPr="000A0A5F">
        <w:t xml:space="preserve">      summary: </w:t>
      </w:r>
      <w:r w:rsidRPr="000A0A5F">
        <w:rPr>
          <w:lang w:eastAsia="zh-CN"/>
        </w:rPr>
        <w:t>Modify</w:t>
      </w:r>
      <w:r w:rsidRPr="000A0A5F">
        <w:rPr>
          <w:rFonts w:hint="eastAsia"/>
          <w:lang w:eastAsia="zh-CN"/>
        </w:rPr>
        <w:t xml:space="preserve"> an </w:t>
      </w:r>
      <w:r w:rsidRPr="000A0A5F">
        <w:rPr>
          <w:lang w:eastAsia="zh-CN"/>
        </w:rPr>
        <w:t xml:space="preserve">existing </w:t>
      </w:r>
      <w:r w:rsidRPr="000A0A5F">
        <w:t>Individual Network Status Reporting Subscription</w:t>
      </w:r>
      <w:r w:rsidRPr="000A0A5F">
        <w:rPr>
          <w:lang w:eastAsia="zh-CN"/>
        </w:rPr>
        <w:t xml:space="preserve"> resource.</w:t>
      </w:r>
    </w:p>
    <w:p w:rsidR="00517DF6" w:rsidRPr="000A0A5F" w:rsidRDefault="00517DF6" w:rsidP="00517DF6">
      <w:pPr>
        <w:pStyle w:val="PL"/>
      </w:pPr>
      <w:r w:rsidRPr="000A0A5F">
        <w:t xml:space="preserve">      </w:t>
      </w:r>
      <w:r w:rsidRPr="000A0A5F">
        <w:rPr>
          <w:rFonts w:cs="Courier New"/>
          <w:szCs w:val="16"/>
        </w:rPr>
        <w:t>operationId: ModifyInd</w:t>
      </w:r>
      <w:r w:rsidRPr="000A0A5F">
        <w:t>NwStatusReportSubscription</w:t>
      </w:r>
    </w:p>
    <w:p w:rsidR="00517DF6" w:rsidRPr="000A0A5F" w:rsidRDefault="00517DF6" w:rsidP="00517DF6">
      <w:pPr>
        <w:pStyle w:val="PL"/>
      </w:pPr>
      <w:r w:rsidRPr="000A0A5F">
        <w:t xml:space="preserve">      tags:</w:t>
      </w:r>
    </w:p>
    <w:p w:rsidR="00517DF6" w:rsidRPr="000A0A5F" w:rsidRDefault="00517DF6" w:rsidP="00517DF6">
      <w:pPr>
        <w:pStyle w:val="PL"/>
      </w:pPr>
      <w:r w:rsidRPr="000A0A5F">
        <w:t xml:space="preserve">        - Individual Network Status Reporting Subscription</w:t>
      </w:r>
    </w:p>
    <w:p w:rsidR="00517DF6" w:rsidRPr="000A0A5F" w:rsidRDefault="00517DF6" w:rsidP="00517DF6">
      <w:pPr>
        <w:pStyle w:val="PL"/>
        <w:rPr>
          <w:lang w:val="en-US"/>
        </w:rPr>
      </w:pPr>
      <w:r w:rsidRPr="000A0A5F">
        <w:rPr>
          <w:lang w:val="en-US"/>
        </w:rPr>
        <w:t xml:space="preserve">      requestBody:</w:t>
      </w:r>
    </w:p>
    <w:p w:rsidR="00C7542E" w:rsidRPr="000A0A5F" w:rsidRDefault="00517DF6" w:rsidP="00517DF6">
      <w:pPr>
        <w:pStyle w:val="PL"/>
        <w:rPr>
          <w:lang w:val="en-US"/>
        </w:rPr>
      </w:pPr>
      <w:r w:rsidRPr="000A0A5F">
        <w:rPr>
          <w:lang w:val="en-US"/>
        </w:rPr>
        <w:t xml:space="preserve">        description: </w:t>
      </w:r>
      <w:r w:rsidR="00C7542E" w:rsidRPr="000A0A5F">
        <w:rPr>
          <w:lang w:val="en-US"/>
        </w:rPr>
        <w:t>&gt;</w:t>
      </w:r>
    </w:p>
    <w:p w:rsidR="00C7542E" w:rsidRPr="000A0A5F" w:rsidRDefault="00C7542E" w:rsidP="00517DF6">
      <w:pPr>
        <w:pStyle w:val="PL"/>
      </w:pPr>
      <w:r w:rsidRPr="000A0A5F">
        <w:rPr>
          <w:lang w:val="en-US"/>
        </w:rPr>
        <w:t xml:space="preserve">          </w:t>
      </w:r>
      <w:r w:rsidR="00517DF6" w:rsidRPr="000A0A5F">
        <w:rPr>
          <w:lang w:eastAsia="zh-CN"/>
        </w:rPr>
        <w:t>Contains t</w:t>
      </w:r>
      <w:r w:rsidR="00517DF6" w:rsidRPr="000A0A5F">
        <w:rPr>
          <w:rFonts w:hint="eastAsia"/>
          <w:lang w:eastAsia="zh-CN"/>
        </w:rPr>
        <w:t xml:space="preserve">he parameters </w:t>
      </w:r>
      <w:r w:rsidR="00517DF6" w:rsidRPr="000A0A5F">
        <w:rPr>
          <w:lang w:eastAsia="zh-CN"/>
        </w:rPr>
        <w:t xml:space="preserve">to modify an existing </w:t>
      </w:r>
      <w:r w:rsidR="00517DF6" w:rsidRPr="000A0A5F">
        <w:t>Individual Network Status Reporting</w:t>
      </w:r>
    </w:p>
    <w:p w:rsidR="00517DF6" w:rsidRPr="000A0A5F" w:rsidRDefault="00C7542E" w:rsidP="00517DF6">
      <w:pPr>
        <w:pStyle w:val="PL"/>
        <w:rPr>
          <w:lang w:val="en-US"/>
        </w:rPr>
      </w:pPr>
      <w:r w:rsidRPr="000A0A5F">
        <w:rPr>
          <w:lang w:val="en-US"/>
        </w:rPr>
        <w:t xml:space="preserve">         </w:t>
      </w:r>
      <w:r w:rsidR="00517DF6" w:rsidRPr="000A0A5F">
        <w:t xml:space="preserve"> Subscription</w:t>
      </w:r>
      <w:r w:rsidR="00517DF6" w:rsidRPr="000A0A5F">
        <w:rPr>
          <w:lang w:eastAsia="zh-CN"/>
        </w:rPr>
        <w:t xml:space="preserve"> resource</w:t>
      </w:r>
      <w:r w:rsidR="00517DF6" w:rsidRPr="000A0A5F">
        <w:rPr>
          <w:rFonts w:hint="eastAsia"/>
          <w:lang w:eastAsia="zh-CN"/>
        </w:rPr>
        <w:t>.</w:t>
      </w:r>
    </w:p>
    <w:p w:rsidR="00517DF6" w:rsidRPr="000A0A5F" w:rsidRDefault="00517DF6" w:rsidP="00517DF6">
      <w:pPr>
        <w:pStyle w:val="PL"/>
        <w:rPr>
          <w:lang w:val="en-US"/>
        </w:rPr>
      </w:pPr>
      <w:r w:rsidRPr="000A0A5F">
        <w:rPr>
          <w:lang w:val="en-US"/>
        </w:rPr>
        <w:t xml:space="preserve">        required: true</w:t>
      </w:r>
    </w:p>
    <w:p w:rsidR="00517DF6" w:rsidRPr="000A0A5F" w:rsidRDefault="00517DF6" w:rsidP="00517DF6">
      <w:pPr>
        <w:pStyle w:val="PL"/>
        <w:rPr>
          <w:lang w:val="en-US"/>
        </w:rPr>
      </w:pPr>
      <w:r w:rsidRPr="000A0A5F">
        <w:rPr>
          <w:lang w:val="en-US"/>
        </w:rPr>
        <w:t xml:space="preserve">        content:</w:t>
      </w:r>
    </w:p>
    <w:p w:rsidR="00517DF6" w:rsidRPr="000A0A5F" w:rsidRDefault="00517DF6" w:rsidP="00517DF6">
      <w:pPr>
        <w:pStyle w:val="PL"/>
        <w:rPr>
          <w:lang w:val="en-US"/>
        </w:rPr>
      </w:pPr>
      <w:r w:rsidRPr="000A0A5F">
        <w:rPr>
          <w:lang w:val="en-US"/>
        </w:rPr>
        <w:t xml:space="preserve">          application/merge-patch+json:</w:t>
      </w:r>
    </w:p>
    <w:p w:rsidR="00517DF6" w:rsidRPr="000A0A5F" w:rsidRDefault="00517DF6" w:rsidP="00517DF6">
      <w:pPr>
        <w:pStyle w:val="PL"/>
        <w:rPr>
          <w:lang w:val="en-US"/>
        </w:rPr>
      </w:pPr>
      <w:r w:rsidRPr="000A0A5F">
        <w:rPr>
          <w:lang w:val="en-US"/>
        </w:rPr>
        <w:t xml:space="preserve">            schema:</w:t>
      </w:r>
    </w:p>
    <w:p w:rsidR="00517DF6" w:rsidRPr="000A0A5F" w:rsidRDefault="00517DF6" w:rsidP="00517DF6">
      <w:pPr>
        <w:pStyle w:val="PL"/>
        <w:rPr>
          <w:lang w:val="en-US"/>
        </w:rPr>
      </w:pPr>
      <w:r w:rsidRPr="000A0A5F">
        <w:rPr>
          <w:lang w:val="en-US"/>
        </w:rPr>
        <w:t xml:space="preserve">              $ref: '#/components/schemas/</w:t>
      </w:r>
      <w:r w:rsidRPr="000A0A5F">
        <w:t>NetStatusRepSubsPatch'</w:t>
      </w:r>
    </w:p>
    <w:p w:rsidR="00517DF6" w:rsidRPr="000A0A5F" w:rsidRDefault="00517DF6" w:rsidP="00517DF6">
      <w:pPr>
        <w:pStyle w:val="PL"/>
        <w:rPr>
          <w:lang w:val="en-US"/>
        </w:rPr>
      </w:pPr>
      <w:r w:rsidRPr="000A0A5F">
        <w:rPr>
          <w:lang w:val="en-US"/>
        </w:rPr>
        <w:t xml:space="preserve">      responses:</w:t>
      </w:r>
    </w:p>
    <w:p w:rsidR="00517DF6" w:rsidRPr="000A0A5F" w:rsidRDefault="00517DF6" w:rsidP="00517DF6">
      <w:pPr>
        <w:pStyle w:val="PL"/>
        <w:rPr>
          <w:lang w:val="en-US"/>
        </w:rPr>
      </w:pPr>
      <w:r w:rsidRPr="000A0A5F">
        <w:rPr>
          <w:lang w:val="en-US"/>
        </w:rPr>
        <w:t xml:space="preserve">        '200':</w:t>
      </w:r>
    </w:p>
    <w:p w:rsidR="00C7542E" w:rsidRPr="000A0A5F" w:rsidRDefault="00517DF6" w:rsidP="00517DF6">
      <w:pPr>
        <w:pStyle w:val="PL"/>
        <w:rPr>
          <w:lang w:val="en-US"/>
        </w:rPr>
      </w:pPr>
      <w:r w:rsidRPr="000A0A5F">
        <w:rPr>
          <w:lang w:val="en-US"/>
        </w:rPr>
        <w:t xml:space="preserve">          description: </w:t>
      </w:r>
      <w:r w:rsidR="00C7542E" w:rsidRPr="000A0A5F">
        <w:rPr>
          <w:lang w:val="en-US"/>
        </w:rPr>
        <w:t>&gt;</w:t>
      </w:r>
    </w:p>
    <w:p w:rsidR="00C7542E" w:rsidRPr="000A0A5F" w:rsidRDefault="00C7542E" w:rsidP="00517DF6">
      <w:pPr>
        <w:pStyle w:val="PL"/>
        <w:rPr>
          <w:lang w:eastAsia="zh-CN"/>
        </w:rPr>
      </w:pPr>
      <w:r w:rsidRPr="000A0A5F">
        <w:rPr>
          <w:lang w:val="en-US"/>
        </w:rPr>
        <w:t xml:space="preserve">            </w:t>
      </w:r>
      <w:r w:rsidR="00517DF6" w:rsidRPr="000A0A5F">
        <w:rPr>
          <w:lang w:val="en-US"/>
        </w:rPr>
        <w:t xml:space="preserve">OK. </w:t>
      </w:r>
      <w:r w:rsidR="00517DF6" w:rsidRPr="000A0A5F">
        <w:rPr>
          <w:lang w:eastAsia="zh-CN"/>
        </w:rPr>
        <w:t>The modification of the Individual Network Status Reporting Subscription resource</w:t>
      </w:r>
    </w:p>
    <w:p w:rsidR="00C7542E" w:rsidRPr="000A0A5F" w:rsidRDefault="00C7542E" w:rsidP="00517DF6">
      <w:pPr>
        <w:pStyle w:val="PL"/>
        <w:rPr>
          <w:lang w:eastAsia="zh-CN"/>
        </w:rPr>
      </w:pPr>
      <w:r w:rsidRPr="000A0A5F">
        <w:rPr>
          <w:lang w:val="en-US"/>
        </w:rPr>
        <w:t xml:space="preserve">           </w:t>
      </w:r>
      <w:r w:rsidR="00517DF6" w:rsidRPr="000A0A5F">
        <w:rPr>
          <w:lang w:eastAsia="zh-CN"/>
        </w:rPr>
        <w:t xml:space="preserve"> was successfull. The SCEF shall return an updated representation of the resource within</w:t>
      </w:r>
    </w:p>
    <w:p w:rsidR="00517DF6" w:rsidRPr="000A0A5F" w:rsidRDefault="00C7542E" w:rsidP="00517DF6">
      <w:pPr>
        <w:pStyle w:val="PL"/>
        <w:rPr>
          <w:lang w:eastAsia="zh-CN"/>
        </w:rPr>
      </w:pPr>
      <w:r w:rsidRPr="000A0A5F">
        <w:rPr>
          <w:lang w:val="en-US"/>
        </w:rPr>
        <w:t xml:space="preserve">           </w:t>
      </w:r>
      <w:r w:rsidR="00517DF6" w:rsidRPr="000A0A5F">
        <w:rPr>
          <w:lang w:eastAsia="zh-CN"/>
        </w:rPr>
        <w:t xml:space="preserve"> the NetworkStatusReportingSubscription data structure in the response message body.</w:t>
      </w:r>
    </w:p>
    <w:p w:rsidR="00517DF6" w:rsidRPr="000A0A5F" w:rsidRDefault="00517DF6" w:rsidP="00517DF6">
      <w:pPr>
        <w:pStyle w:val="PL"/>
        <w:rPr>
          <w:lang w:val="en-US"/>
        </w:rPr>
      </w:pPr>
      <w:r w:rsidRPr="000A0A5F">
        <w:rPr>
          <w:lang w:val="en-US"/>
        </w:rPr>
        <w:t xml:space="preserve">          content:</w:t>
      </w:r>
    </w:p>
    <w:p w:rsidR="00517DF6" w:rsidRPr="000A0A5F" w:rsidRDefault="00517DF6" w:rsidP="00517DF6">
      <w:pPr>
        <w:pStyle w:val="PL"/>
        <w:rPr>
          <w:lang w:val="en-US"/>
        </w:rPr>
      </w:pPr>
      <w:r w:rsidRPr="000A0A5F">
        <w:rPr>
          <w:lang w:val="en-US"/>
        </w:rPr>
        <w:t xml:space="preserve">            application/json:</w:t>
      </w:r>
    </w:p>
    <w:p w:rsidR="00517DF6" w:rsidRPr="000A0A5F" w:rsidRDefault="00517DF6" w:rsidP="00517DF6">
      <w:pPr>
        <w:pStyle w:val="PL"/>
        <w:rPr>
          <w:lang w:val="en-US"/>
        </w:rPr>
      </w:pPr>
      <w:r w:rsidRPr="000A0A5F">
        <w:rPr>
          <w:lang w:val="en-US"/>
        </w:rPr>
        <w:t xml:space="preserve">              schema:</w:t>
      </w:r>
    </w:p>
    <w:p w:rsidR="00517DF6" w:rsidRPr="000A0A5F" w:rsidRDefault="00517DF6" w:rsidP="00517DF6">
      <w:pPr>
        <w:pStyle w:val="PL"/>
      </w:pPr>
      <w:r w:rsidRPr="000A0A5F">
        <w:t xml:space="preserve">                $ref: '#/components/schemas/NetworkStatusReportingSubscription'</w:t>
      </w:r>
    </w:p>
    <w:p w:rsidR="00517DF6" w:rsidRPr="000A0A5F" w:rsidRDefault="00517DF6" w:rsidP="00517DF6">
      <w:pPr>
        <w:pStyle w:val="PL"/>
      </w:pPr>
      <w:r w:rsidRPr="000A0A5F">
        <w:t xml:space="preserve">        '204':</w:t>
      </w:r>
    </w:p>
    <w:p w:rsidR="00C7542E" w:rsidRPr="000A0A5F" w:rsidRDefault="00517DF6" w:rsidP="00517DF6">
      <w:pPr>
        <w:pStyle w:val="PL"/>
      </w:pPr>
      <w:r w:rsidRPr="000A0A5F">
        <w:t xml:space="preserve">          description: </w:t>
      </w:r>
      <w:r w:rsidR="00C7542E" w:rsidRPr="000A0A5F">
        <w:t>&gt;</w:t>
      </w:r>
    </w:p>
    <w:p w:rsidR="00C7542E" w:rsidRPr="000A0A5F" w:rsidRDefault="00C7542E" w:rsidP="00517DF6">
      <w:pPr>
        <w:pStyle w:val="PL"/>
        <w:rPr>
          <w:lang w:eastAsia="zh-CN"/>
        </w:rPr>
      </w:pPr>
      <w:r w:rsidRPr="000A0A5F">
        <w:t xml:space="preserve">            </w:t>
      </w:r>
      <w:r w:rsidR="00517DF6" w:rsidRPr="000A0A5F">
        <w:t xml:space="preserve">No Content. </w:t>
      </w:r>
      <w:r w:rsidR="00517DF6" w:rsidRPr="000A0A5F">
        <w:rPr>
          <w:lang w:eastAsia="zh-CN"/>
        </w:rPr>
        <w:t>The modification of the Individual Network Status Reporting Subscription</w:t>
      </w:r>
    </w:p>
    <w:p w:rsidR="00517DF6" w:rsidRPr="000A0A5F" w:rsidRDefault="00C7542E" w:rsidP="00517DF6">
      <w:pPr>
        <w:pStyle w:val="PL"/>
      </w:pPr>
      <w:r w:rsidRPr="000A0A5F">
        <w:t xml:space="preserve">            </w:t>
      </w:r>
      <w:r w:rsidR="00517DF6" w:rsidRPr="000A0A5F">
        <w:rPr>
          <w:lang w:eastAsia="zh-CN"/>
        </w:rPr>
        <w:t xml:space="preserve"> resource was successfull</w:t>
      </w:r>
      <w:r w:rsidR="00517DF6" w:rsidRPr="000A0A5F">
        <w:t xml:space="preserve"> and no content is to be sent in the response message body.</w:t>
      </w:r>
    </w:p>
    <w:p w:rsidR="00517DF6" w:rsidRPr="000A0A5F" w:rsidRDefault="00517DF6" w:rsidP="00517DF6">
      <w:pPr>
        <w:pStyle w:val="PL"/>
      </w:pPr>
      <w:r w:rsidRPr="000A0A5F">
        <w:t xml:space="preserve">        '307':</w:t>
      </w:r>
    </w:p>
    <w:p w:rsidR="00517DF6" w:rsidRPr="000A0A5F" w:rsidRDefault="00517DF6" w:rsidP="00517DF6">
      <w:pPr>
        <w:pStyle w:val="PL"/>
      </w:pPr>
      <w:r w:rsidRPr="000A0A5F">
        <w:t xml:space="preserve">          $ref: 'TS29122_CommonData.yaml#/components/responses/307'</w:t>
      </w:r>
    </w:p>
    <w:p w:rsidR="00517DF6" w:rsidRPr="000A0A5F" w:rsidRDefault="00517DF6" w:rsidP="00517DF6">
      <w:pPr>
        <w:pStyle w:val="PL"/>
      </w:pPr>
      <w:r w:rsidRPr="000A0A5F">
        <w:t xml:space="preserve">        '308':</w:t>
      </w:r>
    </w:p>
    <w:p w:rsidR="00517DF6" w:rsidRPr="000A0A5F" w:rsidRDefault="00517DF6" w:rsidP="00517DF6">
      <w:pPr>
        <w:pStyle w:val="PL"/>
      </w:pPr>
      <w:r w:rsidRPr="000A0A5F">
        <w:t xml:space="preserve">          $ref: 'TS29122_CommonData.yaml#/components/responses/308'</w:t>
      </w:r>
    </w:p>
    <w:p w:rsidR="00517DF6" w:rsidRPr="000A0A5F" w:rsidRDefault="00517DF6" w:rsidP="00517DF6">
      <w:pPr>
        <w:pStyle w:val="PL"/>
      </w:pPr>
      <w:r w:rsidRPr="000A0A5F">
        <w:t xml:space="preserve">        '400':</w:t>
      </w:r>
    </w:p>
    <w:p w:rsidR="00517DF6" w:rsidRPr="000A0A5F" w:rsidRDefault="00517DF6" w:rsidP="00517DF6">
      <w:pPr>
        <w:pStyle w:val="PL"/>
      </w:pPr>
      <w:r w:rsidRPr="000A0A5F">
        <w:t xml:space="preserve">          $ref: 'TS29122_CommonData.yaml#/components/responses/400'</w:t>
      </w:r>
    </w:p>
    <w:p w:rsidR="00517DF6" w:rsidRPr="000A0A5F" w:rsidRDefault="00517DF6" w:rsidP="00517DF6">
      <w:pPr>
        <w:pStyle w:val="PL"/>
      </w:pPr>
      <w:r w:rsidRPr="000A0A5F">
        <w:t xml:space="preserve">        '401':</w:t>
      </w:r>
    </w:p>
    <w:p w:rsidR="00517DF6" w:rsidRPr="000A0A5F" w:rsidRDefault="00517DF6" w:rsidP="00517DF6">
      <w:pPr>
        <w:pStyle w:val="PL"/>
      </w:pPr>
      <w:r w:rsidRPr="000A0A5F">
        <w:t xml:space="preserve">          $ref: 'TS29122_CommonData.yaml#/components/responses/401'</w:t>
      </w:r>
    </w:p>
    <w:p w:rsidR="00517DF6" w:rsidRPr="000A0A5F" w:rsidRDefault="00517DF6" w:rsidP="00517DF6">
      <w:pPr>
        <w:pStyle w:val="PL"/>
      </w:pPr>
      <w:r w:rsidRPr="000A0A5F">
        <w:t xml:space="preserve">        '403':</w:t>
      </w:r>
    </w:p>
    <w:p w:rsidR="00517DF6" w:rsidRPr="000A0A5F" w:rsidRDefault="00517DF6" w:rsidP="00517DF6">
      <w:pPr>
        <w:pStyle w:val="PL"/>
      </w:pPr>
      <w:r w:rsidRPr="000A0A5F">
        <w:t xml:space="preserve">          $ref: 'TS29122_CommonData.yaml#/components/responses/403'</w:t>
      </w:r>
    </w:p>
    <w:p w:rsidR="00517DF6" w:rsidRPr="000A0A5F" w:rsidRDefault="00517DF6" w:rsidP="00517DF6">
      <w:pPr>
        <w:pStyle w:val="PL"/>
      </w:pPr>
      <w:r w:rsidRPr="000A0A5F">
        <w:t xml:space="preserve">        '404':</w:t>
      </w:r>
    </w:p>
    <w:p w:rsidR="00517DF6" w:rsidRPr="000A0A5F" w:rsidRDefault="00517DF6" w:rsidP="00517DF6">
      <w:pPr>
        <w:pStyle w:val="PL"/>
      </w:pPr>
      <w:r w:rsidRPr="000A0A5F">
        <w:t xml:space="preserve">          $ref: 'TS29122_CommonData.yaml#/components/responses/404'</w:t>
      </w:r>
    </w:p>
    <w:p w:rsidR="00517DF6" w:rsidRPr="000A0A5F" w:rsidRDefault="00517DF6" w:rsidP="00517DF6">
      <w:pPr>
        <w:pStyle w:val="PL"/>
      </w:pPr>
      <w:r w:rsidRPr="000A0A5F">
        <w:t xml:space="preserve">        '411':</w:t>
      </w:r>
    </w:p>
    <w:p w:rsidR="00517DF6" w:rsidRPr="000A0A5F" w:rsidRDefault="00517DF6" w:rsidP="00517DF6">
      <w:pPr>
        <w:pStyle w:val="PL"/>
      </w:pPr>
      <w:r w:rsidRPr="000A0A5F">
        <w:t xml:space="preserve">          $ref: 'TS29122_CommonData.yaml#/components/responses/411'</w:t>
      </w:r>
    </w:p>
    <w:p w:rsidR="00517DF6" w:rsidRPr="000A0A5F" w:rsidRDefault="00517DF6" w:rsidP="00517DF6">
      <w:pPr>
        <w:pStyle w:val="PL"/>
      </w:pPr>
      <w:r w:rsidRPr="000A0A5F">
        <w:t xml:space="preserve">        '413':</w:t>
      </w:r>
    </w:p>
    <w:p w:rsidR="00517DF6" w:rsidRPr="000A0A5F" w:rsidRDefault="00517DF6" w:rsidP="00517DF6">
      <w:pPr>
        <w:pStyle w:val="PL"/>
      </w:pPr>
      <w:r w:rsidRPr="000A0A5F">
        <w:t xml:space="preserve">          $ref: 'TS29122_CommonData.yaml#/components/responses/413'</w:t>
      </w:r>
    </w:p>
    <w:p w:rsidR="00517DF6" w:rsidRPr="000A0A5F" w:rsidRDefault="00517DF6" w:rsidP="00517DF6">
      <w:pPr>
        <w:pStyle w:val="PL"/>
      </w:pPr>
      <w:r w:rsidRPr="000A0A5F">
        <w:t xml:space="preserve">        '415':</w:t>
      </w:r>
    </w:p>
    <w:p w:rsidR="00517DF6" w:rsidRPr="000A0A5F" w:rsidRDefault="00517DF6" w:rsidP="00517DF6">
      <w:pPr>
        <w:pStyle w:val="PL"/>
      </w:pPr>
      <w:r w:rsidRPr="000A0A5F">
        <w:t xml:space="preserve">          $ref: 'TS29122_CommonData.yaml#/components/responses/415'</w:t>
      </w:r>
    </w:p>
    <w:p w:rsidR="00517DF6" w:rsidRPr="000A0A5F" w:rsidRDefault="00517DF6" w:rsidP="00517DF6">
      <w:pPr>
        <w:pStyle w:val="PL"/>
      </w:pPr>
      <w:r w:rsidRPr="000A0A5F">
        <w:t xml:space="preserve">        '429':</w:t>
      </w:r>
    </w:p>
    <w:p w:rsidR="00517DF6" w:rsidRPr="000A0A5F" w:rsidRDefault="00517DF6" w:rsidP="00517DF6">
      <w:pPr>
        <w:pStyle w:val="PL"/>
      </w:pPr>
      <w:r w:rsidRPr="000A0A5F">
        <w:t xml:space="preserve">          $ref: 'TS29122_CommonData.yaml#/components/responses/429'</w:t>
      </w:r>
    </w:p>
    <w:p w:rsidR="00517DF6" w:rsidRPr="000A0A5F" w:rsidRDefault="00517DF6" w:rsidP="00517DF6">
      <w:pPr>
        <w:pStyle w:val="PL"/>
      </w:pPr>
      <w:r w:rsidRPr="000A0A5F">
        <w:t xml:space="preserve">        '500':</w:t>
      </w:r>
    </w:p>
    <w:p w:rsidR="00517DF6" w:rsidRPr="000A0A5F" w:rsidRDefault="00517DF6" w:rsidP="00517DF6">
      <w:pPr>
        <w:pStyle w:val="PL"/>
      </w:pPr>
      <w:r w:rsidRPr="000A0A5F">
        <w:t xml:space="preserve">          $ref: 'TS29122_CommonData.yaml#/components/responses/500'</w:t>
      </w:r>
    </w:p>
    <w:p w:rsidR="00517DF6" w:rsidRPr="000A0A5F" w:rsidRDefault="00517DF6" w:rsidP="00517DF6">
      <w:pPr>
        <w:pStyle w:val="PL"/>
      </w:pPr>
      <w:r w:rsidRPr="000A0A5F">
        <w:t xml:space="preserve">        '503':</w:t>
      </w:r>
    </w:p>
    <w:p w:rsidR="00517DF6" w:rsidRPr="000A0A5F" w:rsidRDefault="00517DF6" w:rsidP="00517DF6">
      <w:pPr>
        <w:pStyle w:val="PL"/>
      </w:pPr>
      <w:r w:rsidRPr="000A0A5F">
        <w:t xml:space="preserve">          $ref: 'TS29122_CommonData.yaml#/components/responses/503'</w:t>
      </w:r>
    </w:p>
    <w:p w:rsidR="00517DF6" w:rsidRPr="000A0A5F" w:rsidRDefault="00517DF6" w:rsidP="00517DF6">
      <w:pPr>
        <w:pStyle w:val="PL"/>
      </w:pPr>
      <w:r w:rsidRPr="000A0A5F">
        <w:t xml:space="preserve">        default:</w:t>
      </w:r>
    </w:p>
    <w:p w:rsidR="00517DF6" w:rsidRPr="000A0A5F" w:rsidRDefault="00517DF6" w:rsidP="00517DF6">
      <w:pPr>
        <w:pStyle w:val="PL"/>
      </w:pPr>
      <w:r w:rsidRPr="000A0A5F">
        <w:t xml:space="preserve">          $ref: 'TS29122_CommonData.yaml#/components/responses/default'</w:t>
      </w:r>
    </w:p>
    <w:p w:rsidR="00CB0DD7" w:rsidRPr="000A0A5F" w:rsidRDefault="00CB0DD7">
      <w:pPr>
        <w:pStyle w:val="PL"/>
      </w:pPr>
      <w:r w:rsidRPr="000A0A5F">
        <w:t xml:space="preserve">    delete:</w:t>
      </w:r>
    </w:p>
    <w:p w:rsidR="00CB0DD7" w:rsidRPr="000A0A5F" w:rsidRDefault="00CB0DD7">
      <w:pPr>
        <w:pStyle w:val="PL"/>
      </w:pPr>
      <w:r w:rsidRPr="000A0A5F">
        <w:t xml:space="preserve">      summary: Delete an existing continuous network status reporting subscription resource.</w:t>
      </w:r>
    </w:p>
    <w:p w:rsidR="002C68BF" w:rsidRPr="000A0A5F" w:rsidRDefault="002C68BF" w:rsidP="002C68BF">
      <w:pPr>
        <w:pStyle w:val="PL"/>
      </w:pPr>
      <w:r w:rsidRPr="000A0A5F">
        <w:t xml:space="preserve">      </w:t>
      </w:r>
      <w:r w:rsidRPr="000A0A5F">
        <w:rPr>
          <w:rFonts w:cs="Courier New"/>
          <w:szCs w:val="16"/>
        </w:rPr>
        <w:t>operationId: DeleteInd</w:t>
      </w:r>
      <w:r w:rsidRPr="000A0A5F">
        <w:t>NwStatusReportSubscription</w:t>
      </w:r>
    </w:p>
    <w:p w:rsidR="002C68BF" w:rsidRPr="000A0A5F" w:rsidRDefault="002C68BF" w:rsidP="002C68BF">
      <w:pPr>
        <w:pStyle w:val="PL"/>
      </w:pPr>
      <w:r w:rsidRPr="000A0A5F">
        <w:t xml:space="preserve">      tags:</w:t>
      </w:r>
    </w:p>
    <w:p w:rsidR="002C68BF" w:rsidRPr="000A0A5F" w:rsidRDefault="002C68BF" w:rsidP="002C68BF">
      <w:pPr>
        <w:pStyle w:val="PL"/>
      </w:pPr>
      <w:r w:rsidRPr="000A0A5F">
        <w:t xml:space="preserve">        - Individual Network Status Reporting subscription</w:t>
      </w:r>
    </w:p>
    <w:p w:rsidR="00CB0DD7" w:rsidRPr="000A0A5F" w:rsidRDefault="00CB0DD7">
      <w:pPr>
        <w:pStyle w:val="PL"/>
      </w:pPr>
      <w:r w:rsidRPr="000A0A5F">
        <w:t xml:space="preserve">      responses:</w:t>
      </w:r>
    </w:p>
    <w:p w:rsidR="00CB0DD7" w:rsidRPr="000A0A5F" w:rsidRDefault="00CB0DD7">
      <w:pPr>
        <w:pStyle w:val="PL"/>
      </w:pPr>
      <w:r w:rsidRPr="000A0A5F">
        <w:t xml:space="preserve">        '204':</w:t>
      </w:r>
    </w:p>
    <w:p w:rsidR="00CB0DD7" w:rsidRPr="000A0A5F" w:rsidRDefault="00CB0DD7">
      <w:pPr>
        <w:pStyle w:val="PL"/>
      </w:pPr>
      <w:r w:rsidRPr="000A0A5F">
        <w:t xml:space="preserve">          description: The subscription was updated successfully.</w:t>
      </w:r>
    </w:p>
    <w:p w:rsidR="00CB0DD7" w:rsidRPr="000A0A5F" w:rsidRDefault="00CB0DD7">
      <w:pPr>
        <w:pStyle w:val="PL"/>
      </w:pPr>
      <w:r w:rsidRPr="000A0A5F">
        <w:t xml:space="preserve">        '307':</w:t>
      </w:r>
    </w:p>
    <w:p w:rsidR="00CB0DD7" w:rsidRPr="000A0A5F" w:rsidRDefault="00CB0DD7">
      <w:pPr>
        <w:pStyle w:val="PL"/>
      </w:pPr>
      <w:r w:rsidRPr="000A0A5F">
        <w:t xml:space="preserve">          $ref: 'TS29122_CommonData.yaml#/components/responses/307'</w:t>
      </w:r>
    </w:p>
    <w:p w:rsidR="00CB0DD7" w:rsidRPr="000A0A5F" w:rsidRDefault="00CB0DD7">
      <w:pPr>
        <w:pStyle w:val="PL"/>
      </w:pPr>
      <w:r w:rsidRPr="000A0A5F">
        <w:t xml:space="preserve">        '308':</w:t>
      </w:r>
    </w:p>
    <w:p w:rsidR="00CB0DD7" w:rsidRPr="000A0A5F" w:rsidRDefault="00CB0DD7">
      <w:pPr>
        <w:pStyle w:val="PL"/>
      </w:pPr>
      <w:r w:rsidRPr="000A0A5F">
        <w:t xml:space="preserve">          $ref: 'TS29122_CommonData.yaml#/components/responses/308'</w:t>
      </w:r>
    </w:p>
    <w:p w:rsidR="00CB0DD7" w:rsidRPr="000A0A5F" w:rsidRDefault="00CB0DD7">
      <w:pPr>
        <w:pStyle w:val="PL"/>
      </w:pPr>
      <w:r w:rsidRPr="000A0A5F">
        <w:t xml:space="preserve">        '400':</w:t>
      </w:r>
    </w:p>
    <w:p w:rsidR="00CB0DD7" w:rsidRPr="000A0A5F" w:rsidRDefault="00CB0DD7">
      <w:pPr>
        <w:pStyle w:val="PL"/>
      </w:pPr>
      <w:r w:rsidRPr="000A0A5F">
        <w:t xml:space="preserve">          $ref: 'TS29122_CommonData.yaml#/components/responses/400'</w:t>
      </w:r>
    </w:p>
    <w:p w:rsidR="00CB0DD7" w:rsidRPr="000A0A5F" w:rsidRDefault="00CB0DD7">
      <w:pPr>
        <w:pStyle w:val="PL"/>
      </w:pPr>
      <w:r w:rsidRPr="000A0A5F">
        <w:t xml:space="preserve">        '401':</w:t>
      </w:r>
    </w:p>
    <w:p w:rsidR="00CB0DD7" w:rsidRPr="000A0A5F" w:rsidRDefault="00CB0DD7">
      <w:pPr>
        <w:pStyle w:val="PL"/>
      </w:pPr>
      <w:r w:rsidRPr="000A0A5F">
        <w:t xml:space="preserve">          $ref: 'TS29122_CommonData.yaml#/components/responses/401'</w:t>
      </w:r>
    </w:p>
    <w:p w:rsidR="00CB0DD7" w:rsidRPr="000A0A5F" w:rsidRDefault="00CB0DD7">
      <w:pPr>
        <w:pStyle w:val="PL"/>
      </w:pPr>
      <w:r w:rsidRPr="000A0A5F">
        <w:t xml:space="preserve">        '403':</w:t>
      </w:r>
    </w:p>
    <w:p w:rsidR="00CB0DD7" w:rsidRPr="000A0A5F" w:rsidRDefault="00CB0DD7">
      <w:pPr>
        <w:pStyle w:val="PL"/>
      </w:pPr>
      <w:r w:rsidRPr="000A0A5F">
        <w:t xml:space="preserve">          $ref: 'TS29122_CommonData.yaml#/components/responses/403'</w:t>
      </w:r>
    </w:p>
    <w:p w:rsidR="00CB0DD7" w:rsidRPr="000A0A5F" w:rsidRDefault="00CB0DD7">
      <w:pPr>
        <w:pStyle w:val="PL"/>
      </w:pPr>
      <w:r w:rsidRPr="000A0A5F">
        <w:t xml:space="preserve">        '404':</w:t>
      </w:r>
    </w:p>
    <w:p w:rsidR="00CB0DD7" w:rsidRPr="000A0A5F" w:rsidRDefault="00CB0DD7">
      <w:pPr>
        <w:pStyle w:val="PL"/>
      </w:pPr>
      <w:r w:rsidRPr="000A0A5F">
        <w:t xml:space="preserve">          $ref: 'TS29122_CommonData.yaml#/components/responses/404'</w:t>
      </w:r>
    </w:p>
    <w:p w:rsidR="00CB0DD7" w:rsidRPr="000A0A5F" w:rsidRDefault="00CB0DD7">
      <w:pPr>
        <w:pStyle w:val="PL"/>
      </w:pPr>
      <w:r w:rsidRPr="000A0A5F">
        <w:t xml:space="preserve">        '429':</w:t>
      </w:r>
    </w:p>
    <w:p w:rsidR="00CB0DD7" w:rsidRPr="000A0A5F" w:rsidRDefault="00CB0DD7">
      <w:pPr>
        <w:pStyle w:val="PL"/>
      </w:pPr>
      <w:r w:rsidRPr="000A0A5F">
        <w:t xml:space="preserve">          $ref: 'TS29122_CommonData.yaml#/components/responses/429'</w:t>
      </w:r>
    </w:p>
    <w:p w:rsidR="00CB0DD7" w:rsidRPr="000A0A5F" w:rsidRDefault="00CB0DD7">
      <w:pPr>
        <w:pStyle w:val="PL"/>
      </w:pPr>
      <w:r w:rsidRPr="000A0A5F">
        <w:t xml:space="preserve">        '500':</w:t>
      </w:r>
    </w:p>
    <w:p w:rsidR="00CB0DD7" w:rsidRPr="000A0A5F" w:rsidRDefault="00CB0DD7">
      <w:pPr>
        <w:pStyle w:val="PL"/>
      </w:pPr>
      <w:r w:rsidRPr="000A0A5F">
        <w:t xml:space="preserve">          $ref: 'TS29122_CommonData.yaml#/components/responses/500'</w:t>
      </w:r>
    </w:p>
    <w:p w:rsidR="00CB0DD7" w:rsidRPr="000A0A5F" w:rsidRDefault="00CB0DD7">
      <w:pPr>
        <w:pStyle w:val="PL"/>
      </w:pPr>
      <w:r w:rsidRPr="000A0A5F">
        <w:t xml:space="preserve">        '503':</w:t>
      </w:r>
    </w:p>
    <w:p w:rsidR="00CB0DD7" w:rsidRPr="000A0A5F" w:rsidRDefault="00CB0DD7">
      <w:pPr>
        <w:pStyle w:val="PL"/>
      </w:pPr>
      <w:r w:rsidRPr="000A0A5F">
        <w:t xml:space="preserve">          $ref: 'TS29122_CommonData.yaml#/components/responses/503'</w:t>
      </w:r>
    </w:p>
    <w:p w:rsidR="00CB0DD7" w:rsidRPr="000A0A5F" w:rsidRDefault="00CB0DD7">
      <w:pPr>
        <w:pStyle w:val="PL"/>
      </w:pPr>
      <w:r w:rsidRPr="000A0A5F">
        <w:t xml:space="preserve">        default:</w:t>
      </w:r>
    </w:p>
    <w:p w:rsidR="00CB0DD7" w:rsidRPr="000A0A5F" w:rsidRDefault="00CB0DD7">
      <w:pPr>
        <w:pStyle w:val="PL"/>
      </w:pPr>
      <w:r w:rsidRPr="000A0A5F">
        <w:t xml:space="preserve">          $ref: 'TS29122_CommonData.yaml#/components/responses/default'</w:t>
      </w:r>
    </w:p>
    <w:p w:rsidR="00C7542E" w:rsidRPr="000A0A5F" w:rsidRDefault="00C7542E">
      <w:pPr>
        <w:pStyle w:val="PL"/>
      </w:pPr>
    </w:p>
    <w:p w:rsidR="00CB0DD7" w:rsidRPr="000A0A5F" w:rsidRDefault="00CB0DD7">
      <w:pPr>
        <w:pStyle w:val="PL"/>
      </w:pPr>
      <w:r w:rsidRPr="000A0A5F">
        <w:t>components:</w:t>
      </w:r>
    </w:p>
    <w:p w:rsidR="00CB0DD7" w:rsidRPr="000A0A5F" w:rsidRDefault="00CB0DD7">
      <w:pPr>
        <w:pStyle w:val="PL"/>
        <w:rPr>
          <w:lang w:val="en-US"/>
        </w:rPr>
      </w:pPr>
      <w:r w:rsidRPr="000A0A5F">
        <w:rPr>
          <w:lang w:val="en-US"/>
        </w:rPr>
        <w:t xml:space="preserve">  securitySchemes:</w:t>
      </w:r>
    </w:p>
    <w:p w:rsidR="00CB0DD7" w:rsidRPr="000A0A5F" w:rsidRDefault="00CB0DD7">
      <w:pPr>
        <w:pStyle w:val="PL"/>
        <w:rPr>
          <w:lang w:val="en-US"/>
        </w:rPr>
      </w:pPr>
      <w:r w:rsidRPr="000A0A5F">
        <w:rPr>
          <w:lang w:val="en-US"/>
        </w:rPr>
        <w:t xml:space="preserve">    oAuth2ClientCredentials:</w:t>
      </w:r>
    </w:p>
    <w:p w:rsidR="00CB0DD7" w:rsidRPr="000A0A5F" w:rsidRDefault="00CB0DD7">
      <w:pPr>
        <w:pStyle w:val="PL"/>
        <w:rPr>
          <w:lang w:val="en-US"/>
        </w:rPr>
      </w:pPr>
      <w:r w:rsidRPr="000A0A5F">
        <w:rPr>
          <w:lang w:val="en-US"/>
        </w:rPr>
        <w:t xml:space="preserve">      type: oauth2</w:t>
      </w:r>
    </w:p>
    <w:p w:rsidR="00CB0DD7" w:rsidRPr="000A0A5F" w:rsidRDefault="00CB0DD7">
      <w:pPr>
        <w:pStyle w:val="PL"/>
        <w:rPr>
          <w:lang w:val="en-US"/>
        </w:rPr>
      </w:pPr>
      <w:r w:rsidRPr="000A0A5F">
        <w:rPr>
          <w:lang w:val="en-US"/>
        </w:rPr>
        <w:t xml:space="preserve">      flows:</w:t>
      </w:r>
    </w:p>
    <w:p w:rsidR="00CB0DD7" w:rsidRPr="000A0A5F" w:rsidRDefault="00CB0DD7">
      <w:pPr>
        <w:pStyle w:val="PL"/>
        <w:rPr>
          <w:lang w:val="en-US"/>
        </w:rPr>
      </w:pPr>
      <w:r w:rsidRPr="000A0A5F">
        <w:rPr>
          <w:lang w:val="en-US"/>
        </w:rPr>
        <w:t xml:space="preserve">        clientCredentials:</w:t>
      </w:r>
    </w:p>
    <w:p w:rsidR="00CB0DD7" w:rsidRPr="000A0A5F" w:rsidRDefault="00CB0DD7">
      <w:pPr>
        <w:pStyle w:val="PL"/>
        <w:rPr>
          <w:lang w:val="en-US"/>
        </w:rPr>
      </w:pPr>
      <w:r w:rsidRPr="000A0A5F">
        <w:rPr>
          <w:lang w:val="en-US"/>
        </w:rPr>
        <w:t xml:space="preserve">          tokenUrl: '{tokenUrl}'</w:t>
      </w:r>
    </w:p>
    <w:p w:rsidR="00CB0DD7" w:rsidRPr="000A0A5F" w:rsidRDefault="00CB0DD7">
      <w:pPr>
        <w:pStyle w:val="PL"/>
        <w:rPr>
          <w:lang w:val="en-US"/>
        </w:rPr>
      </w:pPr>
      <w:r w:rsidRPr="000A0A5F">
        <w:rPr>
          <w:lang w:val="en-US"/>
        </w:rPr>
        <w:t xml:space="preserve">          scopes: {}</w:t>
      </w:r>
    </w:p>
    <w:p w:rsidR="00C7542E" w:rsidRPr="000A0A5F" w:rsidRDefault="00C7542E">
      <w:pPr>
        <w:pStyle w:val="PL"/>
      </w:pPr>
    </w:p>
    <w:p w:rsidR="00CB0DD7" w:rsidRPr="000A0A5F" w:rsidRDefault="00CB0DD7">
      <w:pPr>
        <w:pStyle w:val="PL"/>
        <w:rPr>
          <w:lang w:eastAsia="zh-CN"/>
        </w:rPr>
      </w:pPr>
      <w:r w:rsidRPr="000A0A5F">
        <w:t xml:space="preserve">  schemas: </w:t>
      </w:r>
    </w:p>
    <w:p w:rsidR="00CB0DD7" w:rsidRPr="000A0A5F" w:rsidRDefault="00CB0DD7">
      <w:pPr>
        <w:pStyle w:val="PL"/>
      </w:pPr>
      <w:r w:rsidRPr="000A0A5F">
        <w:t xml:space="preserve">    NetworkStatusReportingSubscription:</w:t>
      </w:r>
    </w:p>
    <w:p w:rsidR="00CB0DD7" w:rsidRPr="000A0A5F" w:rsidRDefault="00CB0DD7">
      <w:pPr>
        <w:pStyle w:val="PL"/>
      </w:pPr>
      <w:r w:rsidRPr="000A0A5F">
        <w:t xml:space="preserve">      description: Represents a subscription to network status information reporting.</w:t>
      </w:r>
    </w:p>
    <w:p w:rsidR="00CB0DD7" w:rsidRPr="000A0A5F" w:rsidRDefault="00CB0DD7">
      <w:pPr>
        <w:pStyle w:val="PL"/>
      </w:pPr>
      <w:r w:rsidRPr="000A0A5F">
        <w:t xml:space="preserve">      type: object</w:t>
      </w:r>
    </w:p>
    <w:p w:rsidR="00CB0DD7" w:rsidRPr="000A0A5F" w:rsidRDefault="00CB0DD7">
      <w:pPr>
        <w:pStyle w:val="PL"/>
      </w:pPr>
      <w:r w:rsidRPr="000A0A5F">
        <w:t xml:space="preserve">      properties:</w:t>
      </w:r>
    </w:p>
    <w:p w:rsidR="00CB0DD7" w:rsidRPr="000A0A5F" w:rsidRDefault="00CB0DD7">
      <w:pPr>
        <w:pStyle w:val="PL"/>
      </w:pPr>
      <w:r w:rsidRPr="000A0A5F">
        <w:t xml:space="preserve">        self:</w:t>
      </w:r>
    </w:p>
    <w:p w:rsidR="00CB0DD7" w:rsidRPr="000A0A5F" w:rsidRDefault="00CB0DD7">
      <w:pPr>
        <w:pStyle w:val="PL"/>
      </w:pPr>
      <w:r w:rsidRPr="000A0A5F">
        <w:t xml:space="preserve">          $ref: 'TS29122_CommonData.yaml#/components/schemas/Link'</w:t>
      </w:r>
    </w:p>
    <w:p w:rsidR="00CB0DD7" w:rsidRPr="000A0A5F" w:rsidRDefault="00CB0DD7">
      <w:pPr>
        <w:pStyle w:val="PL"/>
      </w:pPr>
      <w:r w:rsidRPr="000A0A5F">
        <w:t xml:space="preserve">        </w:t>
      </w:r>
      <w:r w:rsidRPr="000A0A5F">
        <w:rPr>
          <w:lang w:eastAsia="zh-CN"/>
        </w:rPr>
        <w:t>supportedFeatures</w:t>
      </w:r>
      <w:r w:rsidRPr="000A0A5F">
        <w:t>:</w:t>
      </w:r>
    </w:p>
    <w:p w:rsidR="00CB0DD7" w:rsidRPr="000A0A5F" w:rsidRDefault="00CB0DD7">
      <w:pPr>
        <w:pStyle w:val="PL"/>
      </w:pPr>
      <w:r w:rsidRPr="000A0A5F">
        <w:t xml:space="preserve">          $ref: 'TS29571_CommonData.yaml#/components/schemas/</w:t>
      </w:r>
      <w:r w:rsidRPr="000A0A5F">
        <w:rPr>
          <w:lang w:eastAsia="zh-CN"/>
        </w:rPr>
        <w:t>SupportedFeatures</w:t>
      </w:r>
      <w:r w:rsidRPr="000A0A5F">
        <w:t>'</w:t>
      </w:r>
    </w:p>
    <w:p w:rsidR="00CB0DD7" w:rsidRPr="000A0A5F" w:rsidRDefault="00CB0DD7">
      <w:pPr>
        <w:pStyle w:val="PL"/>
      </w:pPr>
      <w:r w:rsidRPr="000A0A5F">
        <w:t xml:space="preserve">        notificationDestination:</w:t>
      </w:r>
    </w:p>
    <w:p w:rsidR="00CB0DD7" w:rsidRPr="000A0A5F" w:rsidRDefault="00CB0DD7">
      <w:pPr>
        <w:pStyle w:val="PL"/>
      </w:pPr>
      <w:r w:rsidRPr="000A0A5F">
        <w:t xml:space="preserve">          $ref: 'TS29122_CommonData.yaml#/components/schemas/Link'</w:t>
      </w:r>
    </w:p>
    <w:p w:rsidR="00CB0DD7" w:rsidRPr="000A0A5F" w:rsidRDefault="00CB0DD7">
      <w:pPr>
        <w:pStyle w:val="PL"/>
      </w:pPr>
      <w:r w:rsidRPr="000A0A5F">
        <w:t xml:space="preserve">        requestTestNotification:</w:t>
      </w:r>
    </w:p>
    <w:p w:rsidR="00CB0DD7" w:rsidRPr="000A0A5F" w:rsidRDefault="00CB0DD7">
      <w:pPr>
        <w:pStyle w:val="PL"/>
      </w:pPr>
      <w:r w:rsidRPr="000A0A5F">
        <w:t xml:space="preserve">          type: boolean</w:t>
      </w:r>
    </w:p>
    <w:p w:rsidR="00C7542E" w:rsidRPr="000A0A5F" w:rsidRDefault="00CB0DD7">
      <w:pPr>
        <w:pStyle w:val="PL"/>
      </w:pPr>
      <w:r w:rsidRPr="000A0A5F">
        <w:t xml:space="preserve">          description: </w:t>
      </w:r>
      <w:r w:rsidR="00C7542E" w:rsidRPr="000A0A5F">
        <w:t>&gt;</w:t>
      </w:r>
    </w:p>
    <w:p w:rsidR="00C7542E" w:rsidRPr="000A0A5F" w:rsidRDefault="00C7542E">
      <w:pPr>
        <w:pStyle w:val="PL"/>
      </w:pPr>
      <w:r w:rsidRPr="000A0A5F">
        <w:t xml:space="preserve">            </w:t>
      </w:r>
      <w:r w:rsidR="00CB0DD7" w:rsidRPr="000A0A5F">
        <w:t>Set to true by the SCS/AS to request the SCEF to send a test notification as defined in</w:t>
      </w:r>
    </w:p>
    <w:p w:rsidR="00CB0DD7" w:rsidRPr="000A0A5F" w:rsidRDefault="00C7542E">
      <w:pPr>
        <w:pStyle w:val="PL"/>
      </w:pPr>
      <w:r w:rsidRPr="000A0A5F">
        <w:t xml:space="preserve">           </w:t>
      </w:r>
      <w:r w:rsidR="00CB0DD7" w:rsidRPr="000A0A5F">
        <w:t xml:space="preserve"> clause 5.2.5.3. Set to false or omitted otherwise.</w:t>
      </w:r>
    </w:p>
    <w:p w:rsidR="00CB0DD7" w:rsidRPr="000A0A5F" w:rsidRDefault="00CB0DD7">
      <w:pPr>
        <w:pStyle w:val="PL"/>
      </w:pPr>
      <w:r w:rsidRPr="000A0A5F">
        <w:t xml:space="preserve">        websockNotifConfig:</w:t>
      </w:r>
    </w:p>
    <w:p w:rsidR="00CB0DD7" w:rsidRPr="000A0A5F" w:rsidRDefault="00CB0DD7">
      <w:pPr>
        <w:pStyle w:val="PL"/>
      </w:pPr>
      <w:r w:rsidRPr="000A0A5F">
        <w:t xml:space="preserve">          $ref: 'TS29122_CommonData.yaml#/components/schemas/WebsockNotifConfig'</w:t>
      </w:r>
    </w:p>
    <w:p w:rsidR="00CB0DD7" w:rsidRPr="000A0A5F" w:rsidRDefault="00CB0DD7">
      <w:pPr>
        <w:pStyle w:val="PL"/>
      </w:pPr>
      <w:r w:rsidRPr="000A0A5F">
        <w:t xml:space="preserve">        locationArea:</w:t>
      </w:r>
    </w:p>
    <w:p w:rsidR="00CB0DD7" w:rsidRPr="000A0A5F" w:rsidRDefault="00CB0DD7">
      <w:pPr>
        <w:pStyle w:val="PL"/>
      </w:pPr>
      <w:r w:rsidRPr="000A0A5F">
        <w:t xml:space="preserve">          $ref: 'TS29122_CommonData.yaml#/components/schemas/LocationArea'</w:t>
      </w:r>
    </w:p>
    <w:p w:rsidR="00CB0DD7" w:rsidRPr="000A0A5F" w:rsidRDefault="00CB0DD7">
      <w:pPr>
        <w:pStyle w:val="PL"/>
      </w:pPr>
      <w:r w:rsidRPr="000A0A5F">
        <w:t xml:space="preserve">        timeDuration:</w:t>
      </w:r>
    </w:p>
    <w:p w:rsidR="00CB0DD7" w:rsidRPr="000A0A5F" w:rsidRDefault="00CB0DD7">
      <w:pPr>
        <w:pStyle w:val="PL"/>
      </w:pPr>
      <w:r w:rsidRPr="000A0A5F">
        <w:t xml:space="preserve">          $ref: 'TS29122_CommonData.yaml#/components/schemas/DateTime'</w:t>
      </w:r>
    </w:p>
    <w:p w:rsidR="00CB0DD7" w:rsidRPr="000A0A5F" w:rsidRDefault="00CB0DD7">
      <w:pPr>
        <w:pStyle w:val="PL"/>
      </w:pPr>
      <w:r w:rsidRPr="000A0A5F">
        <w:t xml:space="preserve">        thresholdValues:</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$ref: '#/components/schemas/CongestionValue'</w:t>
      </w:r>
    </w:p>
    <w:p w:rsidR="00CB0DD7" w:rsidRPr="000A0A5F" w:rsidRDefault="00CB0DD7">
      <w:pPr>
        <w:pStyle w:val="PL"/>
      </w:pPr>
      <w:r w:rsidRPr="000A0A5F">
        <w:t xml:space="preserve">          minItems: 1</w:t>
      </w:r>
    </w:p>
    <w:p w:rsidR="00C7542E" w:rsidRPr="000A0A5F" w:rsidRDefault="00CB0DD7">
      <w:pPr>
        <w:pStyle w:val="PL"/>
      </w:pPr>
      <w:r w:rsidRPr="000A0A5F">
        <w:t xml:space="preserve">          description: </w:t>
      </w:r>
      <w:r w:rsidR="00C7542E" w:rsidRPr="000A0A5F">
        <w:t>&gt;</w:t>
      </w:r>
    </w:p>
    <w:p w:rsidR="00C7542E" w:rsidRPr="000A0A5F" w:rsidRDefault="00C7542E">
      <w:pPr>
        <w:pStyle w:val="PL"/>
      </w:pPr>
      <w:r w:rsidRPr="000A0A5F">
        <w:t xml:space="preserve">            </w:t>
      </w:r>
      <w:r w:rsidR="00CB0DD7" w:rsidRPr="000A0A5F">
        <w:t>Identifies a list of congestion level(s) with exact value that the SCS/AS requests</w:t>
      </w:r>
    </w:p>
    <w:p w:rsidR="00CB0DD7" w:rsidRPr="000A0A5F" w:rsidRDefault="00C7542E">
      <w:pPr>
        <w:pStyle w:val="PL"/>
      </w:pPr>
      <w:r w:rsidRPr="000A0A5F">
        <w:t xml:space="preserve">           </w:t>
      </w:r>
      <w:r w:rsidR="00CB0DD7" w:rsidRPr="000A0A5F">
        <w:t xml:space="preserve"> to be informed of when reached.</w:t>
      </w:r>
    </w:p>
    <w:p w:rsidR="00CB0DD7" w:rsidRPr="000A0A5F" w:rsidRDefault="00CB0DD7">
      <w:pPr>
        <w:pStyle w:val="PL"/>
      </w:pPr>
      <w:r w:rsidRPr="000A0A5F">
        <w:t xml:space="preserve">        thresholdTypes:</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$ref: '#/components/schemas/CongestionType'</w:t>
      </w:r>
    </w:p>
    <w:p w:rsidR="00CB0DD7" w:rsidRPr="000A0A5F" w:rsidRDefault="00CB0DD7">
      <w:pPr>
        <w:pStyle w:val="PL"/>
      </w:pPr>
      <w:r w:rsidRPr="000A0A5F">
        <w:t xml:space="preserve">          minItems: 1</w:t>
      </w:r>
    </w:p>
    <w:p w:rsidR="00CB0DD7" w:rsidRPr="000A0A5F" w:rsidRDefault="00CB0DD7">
      <w:pPr>
        <w:pStyle w:val="PL"/>
      </w:pPr>
      <w:r w:rsidRPr="000A0A5F">
        <w:t xml:space="preserve">          description: Identifies a list of congestion level(s) with abstracted value that the SCS/AS requests to be informed of when reached.</w:t>
      </w:r>
    </w:p>
    <w:p w:rsidR="00CB0DD7" w:rsidRPr="000A0A5F" w:rsidRDefault="00CB0DD7">
      <w:pPr>
        <w:pStyle w:val="PL"/>
      </w:pPr>
      <w:r w:rsidRPr="000A0A5F">
        <w:t xml:space="preserve">      required:</w:t>
      </w:r>
    </w:p>
    <w:p w:rsidR="00CB0DD7" w:rsidRPr="000A0A5F" w:rsidRDefault="00CB0DD7">
      <w:pPr>
        <w:pStyle w:val="PL"/>
      </w:pPr>
      <w:r w:rsidRPr="000A0A5F">
        <w:t xml:space="preserve">        - notificationDestination</w:t>
      </w:r>
    </w:p>
    <w:p w:rsidR="00CB0DD7" w:rsidRPr="000A0A5F" w:rsidRDefault="00CB0DD7">
      <w:pPr>
        <w:pStyle w:val="PL"/>
      </w:pPr>
      <w:r w:rsidRPr="000A0A5F">
        <w:t xml:space="preserve">        - locationArea</w:t>
      </w:r>
    </w:p>
    <w:p w:rsidR="00CB0DD7" w:rsidRPr="000A0A5F" w:rsidRDefault="00CB0DD7">
      <w:pPr>
        <w:pStyle w:val="PL"/>
      </w:pPr>
      <w:r w:rsidRPr="000A0A5F">
        <w:t xml:space="preserve">      not:</w:t>
      </w:r>
    </w:p>
    <w:p w:rsidR="00CB0DD7" w:rsidRPr="000A0A5F" w:rsidRDefault="00CB0DD7">
      <w:pPr>
        <w:pStyle w:val="PL"/>
      </w:pPr>
      <w:r w:rsidRPr="000A0A5F">
        <w:t xml:space="preserve">        required: [thresholdValues, thresholdTypes]</w:t>
      </w:r>
    </w:p>
    <w:p w:rsidR="002550F4" w:rsidRPr="000A0A5F" w:rsidRDefault="002550F4" w:rsidP="002550F4">
      <w:pPr>
        <w:pStyle w:val="PL"/>
      </w:pPr>
    </w:p>
    <w:p w:rsidR="002550F4" w:rsidRPr="000A0A5F" w:rsidRDefault="002550F4" w:rsidP="002550F4">
      <w:pPr>
        <w:pStyle w:val="PL"/>
      </w:pPr>
      <w:r w:rsidRPr="000A0A5F">
        <w:t xml:space="preserve">    NetStatusRepSubsPatch:</w:t>
      </w:r>
    </w:p>
    <w:p w:rsidR="00C7542E" w:rsidRPr="000A0A5F" w:rsidRDefault="002550F4" w:rsidP="002550F4">
      <w:pPr>
        <w:pStyle w:val="PL"/>
      </w:pPr>
      <w:r w:rsidRPr="000A0A5F">
        <w:t xml:space="preserve">      description: </w:t>
      </w:r>
      <w:r w:rsidR="00C7542E" w:rsidRPr="000A0A5F">
        <w:t>&gt;</w:t>
      </w:r>
    </w:p>
    <w:p w:rsidR="00C7542E" w:rsidRPr="000A0A5F" w:rsidRDefault="00C7542E" w:rsidP="002550F4">
      <w:pPr>
        <w:pStyle w:val="PL"/>
      </w:pPr>
      <w:r w:rsidRPr="000A0A5F">
        <w:t xml:space="preserve">        </w:t>
      </w:r>
      <w:r w:rsidR="002550F4" w:rsidRPr="000A0A5F">
        <w:t>Represents the parameters to request the modification of network status reporting</w:t>
      </w:r>
    </w:p>
    <w:p w:rsidR="002550F4" w:rsidRPr="000A0A5F" w:rsidRDefault="00C7542E" w:rsidP="002550F4">
      <w:pPr>
        <w:pStyle w:val="PL"/>
      </w:pPr>
      <w:r w:rsidRPr="000A0A5F">
        <w:t xml:space="preserve">       </w:t>
      </w:r>
      <w:r w:rsidR="002550F4" w:rsidRPr="000A0A5F">
        <w:t xml:space="preserve"> subscription.</w:t>
      </w:r>
    </w:p>
    <w:p w:rsidR="002550F4" w:rsidRPr="000A0A5F" w:rsidRDefault="002550F4" w:rsidP="002550F4">
      <w:pPr>
        <w:pStyle w:val="PL"/>
      </w:pPr>
      <w:r w:rsidRPr="000A0A5F">
        <w:t xml:space="preserve">      type: object</w:t>
      </w:r>
    </w:p>
    <w:p w:rsidR="002550F4" w:rsidRPr="000A0A5F" w:rsidRDefault="002550F4" w:rsidP="002550F4">
      <w:pPr>
        <w:pStyle w:val="PL"/>
      </w:pPr>
      <w:r w:rsidRPr="000A0A5F">
        <w:t xml:space="preserve">      properties:</w:t>
      </w:r>
    </w:p>
    <w:p w:rsidR="002550F4" w:rsidRPr="000A0A5F" w:rsidRDefault="002550F4" w:rsidP="002550F4">
      <w:pPr>
        <w:pStyle w:val="PL"/>
      </w:pPr>
      <w:r w:rsidRPr="000A0A5F">
        <w:t xml:space="preserve">        notificationDestination:</w:t>
      </w:r>
    </w:p>
    <w:p w:rsidR="002550F4" w:rsidRPr="000A0A5F" w:rsidRDefault="002550F4" w:rsidP="002550F4">
      <w:pPr>
        <w:pStyle w:val="PL"/>
      </w:pPr>
      <w:r w:rsidRPr="000A0A5F">
        <w:t xml:space="preserve">          $ref: 'TS29122_CommonData.yaml#/components/schemas/Link'</w:t>
      </w:r>
    </w:p>
    <w:p w:rsidR="002550F4" w:rsidRPr="000A0A5F" w:rsidRDefault="002550F4" w:rsidP="002550F4">
      <w:pPr>
        <w:pStyle w:val="PL"/>
      </w:pPr>
      <w:r w:rsidRPr="000A0A5F">
        <w:t xml:space="preserve">        locationArea:</w:t>
      </w:r>
    </w:p>
    <w:p w:rsidR="002550F4" w:rsidRPr="000A0A5F" w:rsidRDefault="002550F4" w:rsidP="002550F4">
      <w:pPr>
        <w:pStyle w:val="PL"/>
      </w:pPr>
      <w:r w:rsidRPr="000A0A5F">
        <w:t xml:space="preserve">          $ref: 'TS29122_CommonData.yaml#/components/schemas/LocationArea'</w:t>
      </w:r>
    </w:p>
    <w:p w:rsidR="002550F4" w:rsidRPr="000A0A5F" w:rsidRDefault="002550F4" w:rsidP="002550F4">
      <w:pPr>
        <w:pStyle w:val="PL"/>
      </w:pPr>
      <w:r w:rsidRPr="000A0A5F">
        <w:t xml:space="preserve">        timeDuration:</w:t>
      </w:r>
    </w:p>
    <w:p w:rsidR="002550F4" w:rsidRPr="000A0A5F" w:rsidRDefault="002550F4" w:rsidP="002550F4">
      <w:pPr>
        <w:pStyle w:val="PL"/>
      </w:pPr>
      <w:r w:rsidRPr="000A0A5F">
        <w:t xml:space="preserve">          $ref: 'TS29122_CommonData.yaml#/components/schemas/DateTimeRm'</w:t>
      </w:r>
    </w:p>
    <w:p w:rsidR="002550F4" w:rsidRPr="000A0A5F" w:rsidRDefault="002550F4" w:rsidP="002550F4">
      <w:pPr>
        <w:pStyle w:val="PL"/>
      </w:pPr>
      <w:r w:rsidRPr="000A0A5F">
        <w:t xml:space="preserve">        thresholdValues:</w:t>
      </w:r>
    </w:p>
    <w:p w:rsidR="002550F4" w:rsidRPr="000A0A5F" w:rsidRDefault="002550F4" w:rsidP="002550F4">
      <w:pPr>
        <w:pStyle w:val="PL"/>
      </w:pPr>
      <w:r w:rsidRPr="000A0A5F">
        <w:t xml:space="preserve">          type: array</w:t>
      </w:r>
    </w:p>
    <w:p w:rsidR="002550F4" w:rsidRPr="000A0A5F" w:rsidRDefault="002550F4" w:rsidP="002550F4">
      <w:pPr>
        <w:pStyle w:val="PL"/>
      </w:pPr>
      <w:r w:rsidRPr="000A0A5F">
        <w:t xml:space="preserve">          items:</w:t>
      </w:r>
    </w:p>
    <w:p w:rsidR="002550F4" w:rsidRPr="000A0A5F" w:rsidRDefault="002550F4" w:rsidP="002550F4">
      <w:pPr>
        <w:pStyle w:val="PL"/>
      </w:pPr>
      <w:r w:rsidRPr="000A0A5F">
        <w:t xml:space="preserve">            $ref: '#/components/schemas/CongestionValue'</w:t>
      </w:r>
    </w:p>
    <w:p w:rsidR="002550F4" w:rsidRPr="000A0A5F" w:rsidRDefault="002550F4" w:rsidP="002550F4">
      <w:pPr>
        <w:pStyle w:val="PL"/>
      </w:pPr>
      <w:r w:rsidRPr="000A0A5F">
        <w:t xml:space="preserve">          minItems: 1</w:t>
      </w:r>
    </w:p>
    <w:p w:rsidR="002550F4" w:rsidRPr="000A0A5F" w:rsidRDefault="002550F4" w:rsidP="002550F4">
      <w:pPr>
        <w:pStyle w:val="PL"/>
      </w:pPr>
      <w:r w:rsidRPr="000A0A5F">
        <w:t xml:space="preserve">        thresholdTypes:</w:t>
      </w:r>
    </w:p>
    <w:p w:rsidR="002550F4" w:rsidRPr="000A0A5F" w:rsidRDefault="002550F4" w:rsidP="002550F4">
      <w:pPr>
        <w:pStyle w:val="PL"/>
      </w:pPr>
      <w:r w:rsidRPr="000A0A5F">
        <w:t xml:space="preserve">          type: array</w:t>
      </w:r>
    </w:p>
    <w:p w:rsidR="002550F4" w:rsidRPr="000A0A5F" w:rsidRDefault="002550F4" w:rsidP="002550F4">
      <w:pPr>
        <w:pStyle w:val="PL"/>
      </w:pPr>
      <w:r w:rsidRPr="000A0A5F">
        <w:t xml:space="preserve">          items:</w:t>
      </w:r>
    </w:p>
    <w:p w:rsidR="002550F4" w:rsidRPr="000A0A5F" w:rsidRDefault="002550F4" w:rsidP="002550F4">
      <w:pPr>
        <w:pStyle w:val="PL"/>
      </w:pPr>
      <w:r w:rsidRPr="000A0A5F">
        <w:t xml:space="preserve">            $ref: '#/components/schemas/CongestionType'</w:t>
      </w:r>
    </w:p>
    <w:p w:rsidR="002550F4" w:rsidRPr="000A0A5F" w:rsidRDefault="002550F4" w:rsidP="002550F4">
      <w:pPr>
        <w:pStyle w:val="PL"/>
      </w:pPr>
      <w:r w:rsidRPr="000A0A5F">
        <w:t xml:space="preserve">          minItems: 1</w:t>
      </w:r>
    </w:p>
    <w:p w:rsidR="002550F4" w:rsidRPr="000A0A5F" w:rsidRDefault="002550F4" w:rsidP="002550F4">
      <w:pPr>
        <w:pStyle w:val="PL"/>
      </w:pPr>
      <w:r w:rsidRPr="000A0A5F">
        <w:t xml:space="preserve">      not:</w:t>
      </w:r>
    </w:p>
    <w:p w:rsidR="002550F4" w:rsidRPr="000A0A5F" w:rsidRDefault="002550F4" w:rsidP="002550F4">
      <w:pPr>
        <w:pStyle w:val="PL"/>
      </w:pPr>
      <w:r w:rsidRPr="000A0A5F">
        <w:t xml:space="preserve">        required: [thresholdValues, thresholdTypes]</w:t>
      </w:r>
    </w:p>
    <w:p w:rsidR="002550F4" w:rsidRPr="000A0A5F" w:rsidRDefault="002550F4" w:rsidP="002550F4">
      <w:pPr>
        <w:pStyle w:val="PL"/>
      </w:pPr>
    </w:p>
    <w:p w:rsidR="00CB0DD7" w:rsidRPr="000A0A5F" w:rsidRDefault="00CB0DD7">
      <w:pPr>
        <w:pStyle w:val="PL"/>
      </w:pPr>
      <w:r w:rsidRPr="000A0A5F">
        <w:t xml:space="preserve">    NetworkStatusReportingNotification:</w:t>
      </w:r>
    </w:p>
    <w:p w:rsidR="00CB0DD7" w:rsidRPr="000A0A5F" w:rsidRDefault="00CB0DD7">
      <w:pPr>
        <w:pStyle w:val="PL"/>
      </w:pPr>
      <w:r w:rsidRPr="000A0A5F">
        <w:t xml:space="preserve">      description: Represents a network status reporting notification.</w:t>
      </w:r>
    </w:p>
    <w:p w:rsidR="00CB0DD7" w:rsidRPr="000A0A5F" w:rsidRDefault="00CB0DD7">
      <w:pPr>
        <w:pStyle w:val="PL"/>
      </w:pPr>
      <w:r w:rsidRPr="000A0A5F">
        <w:t xml:space="preserve">      type: object</w:t>
      </w:r>
    </w:p>
    <w:p w:rsidR="00CB0DD7" w:rsidRPr="000A0A5F" w:rsidRDefault="00CB0DD7">
      <w:pPr>
        <w:pStyle w:val="PL"/>
      </w:pPr>
      <w:r w:rsidRPr="000A0A5F">
        <w:t xml:space="preserve">      properties:</w:t>
      </w:r>
    </w:p>
    <w:p w:rsidR="00CB0DD7" w:rsidRPr="000A0A5F" w:rsidRDefault="00CB0DD7">
      <w:pPr>
        <w:pStyle w:val="PL"/>
      </w:pPr>
      <w:r w:rsidRPr="000A0A5F">
        <w:t xml:space="preserve">        subscription:</w:t>
      </w:r>
    </w:p>
    <w:p w:rsidR="00CB0DD7" w:rsidRPr="000A0A5F" w:rsidRDefault="00CB0DD7">
      <w:pPr>
        <w:pStyle w:val="PL"/>
      </w:pPr>
      <w:r w:rsidRPr="000A0A5F">
        <w:t xml:space="preserve">          $ref: 'TS29122_CommonData.yaml#/components/schemas/Link'</w:t>
      </w:r>
    </w:p>
    <w:p w:rsidR="00CB0DD7" w:rsidRPr="000A0A5F" w:rsidRDefault="00CB0DD7">
      <w:pPr>
        <w:pStyle w:val="PL"/>
      </w:pPr>
      <w:r w:rsidRPr="000A0A5F">
        <w:t xml:space="preserve">        nsiValue:</w:t>
      </w:r>
    </w:p>
    <w:p w:rsidR="00CB0DD7" w:rsidRPr="000A0A5F" w:rsidRDefault="00CB0DD7">
      <w:pPr>
        <w:pStyle w:val="PL"/>
      </w:pPr>
      <w:r w:rsidRPr="000A0A5F">
        <w:t xml:space="preserve">          $ref: '#/components/schemas/CongestionValue'</w:t>
      </w:r>
    </w:p>
    <w:p w:rsidR="00CB0DD7" w:rsidRPr="000A0A5F" w:rsidRDefault="00CB0DD7">
      <w:pPr>
        <w:pStyle w:val="PL"/>
      </w:pPr>
      <w:r w:rsidRPr="000A0A5F">
        <w:t xml:space="preserve">        nsiType:</w:t>
      </w:r>
    </w:p>
    <w:p w:rsidR="00CB0DD7" w:rsidRPr="000A0A5F" w:rsidRDefault="00CB0DD7">
      <w:pPr>
        <w:pStyle w:val="PL"/>
      </w:pPr>
      <w:r w:rsidRPr="000A0A5F">
        <w:t xml:space="preserve">          $ref: '#/components/schemas/CongestionType'</w:t>
      </w:r>
    </w:p>
    <w:p w:rsidR="00CB0DD7" w:rsidRPr="000A0A5F" w:rsidRDefault="00CB0DD7">
      <w:pPr>
        <w:pStyle w:val="PL"/>
      </w:pPr>
      <w:r w:rsidRPr="000A0A5F">
        <w:t xml:space="preserve">      required:</w:t>
      </w:r>
    </w:p>
    <w:p w:rsidR="00CB0DD7" w:rsidRPr="000A0A5F" w:rsidRDefault="00CB0DD7">
      <w:pPr>
        <w:pStyle w:val="PL"/>
      </w:pPr>
      <w:r w:rsidRPr="000A0A5F">
        <w:t xml:space="preserve">        - subscription</w:t>
      </w:r>
    </w:p>
    <w:p w:rsidR="00CB0DD7" w:rsidRPr="000A0A5F" w:rsidRDefault="00CB0DD7">
      <w:pPr>
        <w:pStyle w:val="PL"/>
      </w:pPr>
      <w:r w:rsidRPr="000A0A5F">
        <w:t xml:space="preserve">      not:</w:t>
      </w:r>
    </w:p>
    <w:p w:rsidR="00CB0DD7" w:rsidRPr="000A0A5F" w:rsidRDefault="00CB0DD7">
      <w:pPr>
        <w:pStyle w:val="PL"/>
      </w:pPr>
      <w:r w:rsidRPr="000A0A5F">
        <w:t xml:space="preserve">        required: [nsiValue, nsiType]</w:t>
      </w:r>
    </w:p>
    <w:p w:rsidR="009E353F" w:rsidRPr="000A0A5F" w:rsidRDefault="009E353F">
      <w:pPr>
        <w:pStyle w:val="PL"/>
      </w:pPr>
    </w:p>
    <w:p w:rsidR="00CB0DD7" w:rsidRPr="000A0A5F" w:rsidRDefault="00CB0DD7">
      <w:pPr>
        <w:pStyle w:val="PL"/>
      </w:pPr>
      <w:r w:rsidRPr="000A0A5F">
        <w:t xml:space="preserve">    CongestionValue:</w:t>
      </w:r>
    </w:p>
    <w:p w:rsidR="00CB0DD7" w:rsidRPr="000A0A5F" w:rsidRDefault="00CB0DD7">
      <w:pPr>
        <w:pStyle w:val="PL"/>
      </w:pPr>
      <w:r w:rsidRPr="000A0A5F">
        <w:t xml:space="preserve">      type: integer</w:t>
      </w:r>
    </w:p>
    <w:p w:rsidR="00CB0DD7" w:rsidRPr="000A0A5F" w:rsidRDefault="00CB0DD7">
      <w:pPr>
        <w:pStyle w:val="PL"/>
      </w:pPr>
      <w:r w:rsidRPr="000A0A5F">
        <w:t xml:space="preserve">      minimum: 0</w:t>
      </w:r>
    </w:p>
    <w:p w:rsidR="00CB0DD7" w:rsidRPr="000A0A5F" w:rsidRDefault="00CB0DD7">
      <w:pPr>
        <w:pStyle w:val="PL"/>
      </w:pPr>
      <w:r w:rsidRPr="000A0A5F">
        <w:t xml:space="preserve">      maximum: 31</w:t>
      </w:r>
    </w:p>
    <w:p w:rsidR="009E353F" w:rsidRPr="000A0A5F" w:rsidRDefault="00CB0DD7">
      <w:pPr>
        <w:pStyle w:val="PL"/>
      </w:pPr>
      <w:r w:rsidRPr="000A0A5F">
        <w:t xml:space="preserve">      description: </w:t>
      </w:r>
      <w:r w:rsidR="009E353F" w:rsidRPr="000A0A5F">
        <w:t>&gt;</w:t>
      </w:r>
    </w:p>
    <w:p w:rsidR="009E353F" w:rsidRPr="000A0A5F" w:rsidRDefault="009E353F">
      <w:pPr>
        <w:pStyle w:val="PL"/>
      </w:pPr>
      <w:r w:rsidRPr="000A0A5F">
        <w:t xml:space="preserve">        </w:t>
      </w:r>
      <w:r w:rsidR="00CB0DD7" w:rsidRPr="000A0A5F">
        <w:t>Unsigned integer with valid values between 0 and 31. The value 0 indicates that there is no</w:t>
      </w:r>
    </w:p>
    <w:p w:rsidR="009E353F" w:rsidRPr="000A0A5F" w:rsidRDefault="009E353F">
      <w:pPr>
        <w:pStyle w:val="PL"/>
      </w:pPr>
      <w:r w:rsidRPr="000A0A5F">
        <w:t xml:space="preserve">       </w:t>
      </w:r>
      <w:r w:rsidR="00CB0DD7" w:rsidRPr="000A0A5F">
        <w:t xml:space="preserve"> congestion. The value 1 is the lowest congestion level and value 31 is the highest</w:t>
      </w:r>
    </w:p>
    <w:p w:rsidR="00CB0DD7" w:rsidRPr="000A0A5F" w:rsidRDefault="009E353F">
      <w:pPr>
        <w:pStyle w:val="PL"/>
      </w:pPr>
      <w:r w:rsidRPr="000A0A5F">
        <w:t xml:space="preserve">       </w:t>
      </w:r>
      <w:r w:rsidR="00CB0DD7" w:rsidRPr="000A0A5F">
        <w:t xml:space="preserve"> congestion level.</w:t>
      </w:r>
    </w:p>
    <w:p w:rsidR="009E353F" w:rsidRPr="000A0A5F" w:rsidRDefault="009E353F">
      <w:pPr>
        <w:pStyle w:val="PL"/>
      </w:pPr>
    </w:p>
    <w:p w:rsidR="00CB0DD7" w:rsidRPr="000A0A5F" w:rsidRDefault="00CB0DD7">
      <w:pPr>
        <w:pStyle w:val="PL"/>
      </w:pPr>
      <w:r w:rsidRPr="000A0A5F">
        <w:t xml:space="preserve">    CongestionType:</w:t>
      </w:r>
    </w:p>
    <w:p w:rsidR="00CB0DD7" w:rsidRPr="000A0A5F" w:rsidRDefault="00CB0DD7">
      <w:pPr>
        <w:pStyle w:val="PL"/>
      </w:pPr>
      <w:r w:rsidRPr="000A0A5F">
        <w:t xml:space="preserve">      anyOf:</w:t>
      </w:r>
    </w:p>
    <w:p w:rsidR="00CB0DD7" w:rsidRPr="000A0A5F" w:rsidRDefault="00CB0DD7">
      <w:pPr>
        <w:pStyle w:val="PL"/>
      </w:pPr>
      <w:r w:rsidRPr="000A0A5F">
        <w:t xml:space="preserve">      - type: string</w:t>
      </w:r>
    </w:p>
    <w:p w:rsidR="00CB0DD7" w:rsidRPr="000A0A5F" w:rsidRDefault="00CB0DD7">
      <w:pPr>
        <w:pStyle w:val="PL"/>
      </w:pPr>
      <w:r w:rsidRPr="000A0A5F">
        <w:t xml:space="preserve">        enum:</w:t>
      </w:r>
    </w:p>
    <w:p w:rsidR="00CB0DD7" w:rsidRPr="000A0A5F" w:rsidRDefault="00CB0DD7">
      <w:pPr>
        <w:pStyle w:val="PL"/>
      </w:pPr>
      <w:r w:rsidRPr="000A0A5F">
        <w:t xml:space="preserve">          - HIGH</w:t>
      </w:r>
    </w:p>
    <w:p w:rsidR="00CB0DD7" w:rsidRPr="000A0A5F" w:rsidRDefault="00CB0DD7">
      <w:pPr>
        <w:pStyle w:val="PL"/>
      </w:pPr>
      <w:r w:rsidRPr="000A0A5F">
        <w:t xml:space="preserve">          - MEDIUM</w:t>
      </w:r>
    </w:p>
    <w:p w:rsidR="00CB0DD7" w:rsidRPr="000A0A5F" w:rsidRDefault="00CB0DD7">
      <w:pPr>
        <w:pStyle w:val="PL"/>
      </w:pPr>
      <w:r w:rsidRPr="000A0A5F">
        <w:t xml:space="preserve">          - LOW</w:t>
      </w:r>
    </w:p>
    <w:p w:rsidR="00CB0DD7" w:rsidRPr="000A0A5F" w:rsidRDefault="00CB0DD7">
      <w:pPr>
        <w:pStyle w:val="PL"/>
      </w:pPr>
      <w:r w:rsidRPr="000A0A5F">
        <w:t xml:space="preserve">      - type: string</w:t>
      </w:r>
    </w:p>
    <w:p w:rsidR="00CB0DD7" w:rsidRPr="000A0A5F" w:rsidRDefault="00CB0DD7">
      <w:pPr>
        <w:pStyle w:val="PL"/>
      </w:pPr>
      <w:r w:rsidRPr="000A0A5F">
        <w:t xml:space="preserve">        description: &gt;</w:t>
      </w:r>
    </w:p>
    <w:p w:rsidR="00CB0DD7" w:rsidRPr="000A0A5F" w:rsidRDefault="00CB0DD7">
      <w:pPr>
        <w:pStyle w:val="PL"/>
      </w:pPr>
      <w:r w:rsidRPr="000A0A5F">
        <w:t xml:space="preserve">          This string provides forward-compatibility with future</w:t>
      </w:r>
    </w:p>
    <w:p w:rsidR="00CB0DD7" w:rsidRPr="000A0A5F" w:rsidRDefault="00CB0DD7">
      <w:pPr>
        <w:pStyle w:val="PL"/>
      </w:pPr>
      <w:r w:rsidRPr="000A0A5F">
        <w:t xml:space="preserve">          extensions to the enumeration but is not used to encode</w:t>
      </w:r>
    </w:p>
    <w:p w:rsidR="00CB0DD7" w:rsidRPr="000A0A5F" w:rsidRDefault="00CB0DD7">
      <w:pPr>
        <w:pStyle w:val="PL"/>
      </w:pPr>
      <w:r w:rsidRPr="000A0A5F">
        <w:t xml:space="preserve">          content defined in the present version of this API.</w:t>
      </w:r>
    </w:p>
    <w:p w:rsidR="00CB0DD7" w:rsidRPr="000A0A5F" w:rsidRDefault="00CB0DD7">
      <w:pPr>
        <w:pStyle w:val="PL"/>
      </w:pPr>
      <w:r w:rsidRPr="000A0A5F">
        <w:t xml:space="preserve">      description: </w:t>
      </w:r>
      <w:r w:rsidR="009E353F" w:rsidRPr="000A0A5F">
        <w:t>|</w:t>
      </w:r>
    </w:p>
    <w:p w:rsidR="009E353F" w:rsidRPr="000A0A5F" w:rsidRDefault="009E353F">
      <w:pPr>
        <w:pStyle w:val="PL"/>
      </w:pPr>
      <w:r w:rsidRPr="000A0A5F">
        <w:t xml:space="preserve">        Represents abstracted values for congestion status.  </w:t>
      </w:r>
    </w:p>
    <w:p w:rsidR="00CB0DD7" w:rsidRPr="000A0A5F" w:rsidRDefault="00CB0DD7">
      <w:pPr>
        <w:pStyle w:val="PL"/>
      </w:pPr>
      <w:r w:rsidRPr="000A0A5F">
        <w:t xml:space="preserve">        Possible values are</w:t>
      </w:r>
      <w:r w:rsidR="009E353F" w:rsidRPr="000A0A5F">
        <w:t>:</w:t>
      </w:r>
    </w:p>
    <w:p w:rsidR="00CB0DD7" w:rsidRPr="000A0A5F" w:rsidRDefault="00CB0DD7">
      <w:pPr>
        <w:pStyle w:val="PL"/>
      </w:pPr>
      <w:r w:rsidRPr="000A0A5F">
        <w:t xml:space="preserve">        - HIGH: The congestion status is high.</w:t>
      </w:r>
    </w:p>
    <w:p w:rsidR="00CB0DD7" w:rsidRPr="000A0A5F" w:rsidRDefault="00CB0DD7">
      <w:pPr>
        <w:pStyle w:val="PL"/>
      </w:pPr>
      <w:r w:rsidRPr="000A0A5F">
        <w:t xml:space="preserve">        - MEDIUM: The congestion status is medium.</w:t>
      </w:r>
    </w:p>
    <w:p w:rsidR="00CB0DD7" w:rsidRPr="000A0A5F" w:rsidRDefault="00CB0DD7">
      <w:pPr>
        <w:pStyle w:val="PL"/>
      </w:pPr>
      <w:r w:rsidRPr="000A0A5F">
        <w:t xml:space="preserve">        - LOW: The congestion status is low.</w:t>
      </w:r>
    </w:p>
    <w:p w:rsidR="00CB0DD7" w:rsidRPr="000A0A5F" w:rsidRDefault="00CB0DD7" w:rsidP="008D59EF">
      <w:pPr>
        <w:pStyle w:val="Heading1"/>
      </w:pPr>
      <w:bookmarkStart w:id="10389" w:name="_Toc11247939"/>
      <w:bookmarkStart w:id="10390" w:name="_Toc27045121"/>
      <w:bookmarkStart w:id="10391" w:name="_Toc36034172"/>
      <w:bookmarkStart w:id="10392" w:name="_Toc45132320"/>
      <w:bookmarkStart w:id="10393" w:name="_Toc49776605"/>
      <w:bookmarkStart w:id="10394" w:name="_Toc51747525"/>
      <w:bookmarkStart w:id="10395" w:name="_Toc66361107"/>
      <w:bookmarkStart w:id="10396" w:name="_Toc68105612"/>
      <w:bookmarkStart w:id="10397" w:name="_Toc74756244"/>
      <w:bookmarkStart w:id="10398" w:name="_Toc105675121"/>
      <w:bookmarkStart w:id="10399" w:name="_Toc130503199"/>
      <w:bookmarkStart w:id="10400" w:name="_Toc153625991"/>
      <w:r w:rsidRPr="000A0A5F">
        <w:t>A.10</w:t>
      </w:r>
      <w:r w:rsidRPr="000A0A5F">
        <w:tab/>
        <w:t>CpProvisioning API</w:t>
      </w:r>
      <w:bookmarkEnd w:id="10389"/>
      <w:bookmarkEnd w:id="10390"/>
      <w:bookmarkEnd w:id="10391"/>
      <w:bookmarkEnd w:id="10392"/>
      <w:bookmarkEnd w:id="10393"/>
      <w:bookmarkEnd w:id="10394"/>
      <w:bookmarkEnd w:id="10395"/>
      <w:bookmarkEnd w:id="10396"/>
      <w:bookmarkEnd w:id="10397"/>
      <w:bookmarkEnd w:id="10398"/>
      <w:bookmarkEnd w:id="10399"/>
      <w:bookmarkEnd w:id="10400"/>
    </w:p>
    <w:p w:rsidR="00CB0DD7" w:rsidRPr="000A0A5F" w:rsidRDefault="00CB0DD7">
      <w:pPr>
        <w:pStyle w:val="PL"/>
      </w:pPr>
      <w:r w:rsidRPr="000A0A5F">
        <w:t>openapi: 3.0.0</w:t>
      </w:r>
    </w:p>
    <w:p w:rsidR="00337644" w:rsidRPr="000A0A5F" w:rsidRDefault="00337644">
      <w:pPr>
        <w:pStyle w:val="PL"/>
      </w:pPr>
    </w:p>
    <w:p w:rsidR="00CB0DD7" w:rsidRPr="000A0A5F" w:rsidRDefault="00CB0DD7">
      <w:pPr>
        <w:pStyle w:val="PL"/>
      </w:pPr>
      <w:r w:rsidRPr="000A0A5F">
        <w:t>info:</w:t>
      </w:r>
    </w:p>
    <w:p w:rsidR="00CB0DD7" w:rsidRPr="000A0A5F" w:rsidRDefault="00CB0DD7">
      <w:pPr>
        <w:pStyle w:val="PL"/>
      </w:pPr>
      <w:r w:rsidRPr="000A0A5F">
        <w:t xml:space="preserve">  title: 3gpp-cp-parameter-provisioning</w:t>
      </w:r>
    </w:p>
    <w:p w:rsidR="00CB0DD7" w:rsidRPr="000A0A5F" w:rsidRDefault="00CB0DD7">
      <w:pPr>
        <w:pStyle w:val="PL"/>
      </w:pPr>
      <w:r w:rsidRPr="000A0A5F">
        <w:t xml:space="preserve">  version: 1.</w:t>
      </w:r>
      <w:r w:rsidR="00B94C78" w:rsidRPr="000A0A5F">
        <w:t>3</w:t>
      </w:r>
      <w:r w:rsidRPr="000A0A5F">
        <w:t>.0</w:t>
      </w:r>
      <w:r w:rsidR="00B94C78" w:rsidRPr="000A0A5F">
        <w:t>-alpha.</w:t>
      </w:r>
      <w:r w:rsidR="000140FC">
        <w:t>4</w:t>
      </w:r>
    </w:p>
    <w:p w:rsidR="00CB0DD7" w:rsidRPr="000A0A5F" w:rsidRDefault="00CB0DD7">
      <w:pPr>
        <w:pStyle w:val="PL"/>
      </w:pPr>
      <w:r w:rsidRPr="000A0A5F">
        <w:t xml:space="preserve">  description: |</w:t>
      </w:r>
    </w:p>
    <w:p w:rsidR="00CB0DD7" w:rsidRPr="000A0A5F" w:rsidRDefault="00CB0DD7">
      <w:pPr>
        <w:pStyle w:val="PL"/>
      </w:pPr>
      <w:r w:rsidRPr="000A0A5F">
        <w:t xml:space="preserve">    API for provisioning communication pattern parameters.</w:t>
      </w:r>
      <w:r w:rsidR="00970ACE" w:rsidRPr="000A0A5F">
        <w:t xml:space="preserve">  </w:t>
      </w:r>
    </w:p>
    <w:p w:rsidR="00CB0DD7" w:rsidRPr="000A0A5F" w:rsidRDefault="00CB0DD7">
      <w:pPr>
        <w:pStyle w:val="PL"/>
      </w:pPr>
      <w:r w:rsidRPr="000A0A5F">
        <w:t xml:space="preserve">    © 202</w:t>
      </w:r>
      <w:r w:rsidR="00B94C78" w:rsidRPr="000A0A5F">
        <w:t>3</w:t>
      </w:r>
      <w:r w:rsidRPr="000A0A5F">
        <w:t>, 3GPP Organizational Partners (ARIB, ATIS, CCSA, ETSI, TSDSI, TTA, TTC).</w:t>
      </w:r>
      <w:r w:rsidR="00970ACE" w:rsidRPr="000A0A5F">
        <w:t xml:space="preserve">  </w:t>
      </w:r>
    </w:p>
    <w:p w:rsidR="00CB0DD7" w:rsidRPr="000A0A5F" w:rsidRDefault="00CB0DD7">
      <w:pPr>
        <w:pStyle w:val="PL"/>
      </w:pPr>
      <w:r w:rsidRPr="000A0A5F">
        <w:t xml:space="preserve">    All rights reserved.</w:t>
      </w:r>
    </w:p>
    <w:p w:rsidR="00337644" w:rsidRPr="000A0A5F" w:rsidRDefault="00337644">
      <w:pPr>
        <w:pStyle w:val="PL"/>
      </w:pPr>
    </w:p>
    <w:p w:rsidR="00CB0DD7" w:rsidRPr="000A0A5F" w:rsidRDefault="00CB0DD7">
      <w:pPr>
        <w:pStyle w:val="PL"/>
      </w:pPr>
      <w:r w:rsidRPr="000A0A5F">
        <w:t>externalDocs:</w:t>
      </w:r>
    </w:p>
    <w:p w:rsidR="00CB0DD7" w:rsidRPr="000A0A5F" w:rsidRDefault="00CB0DD7">
      <w:pPr>
        <w:pStyle w:val="PL"/>
      </w:pPr>
      <w:r w:rsidRPr="000A0A5F">
        <w:t xml:space="preserve">  description: 3GPP TS 29.122 V1</w:t>
      </w:r>
      <w:r w:rsidR="00B94C78" w:rsidRPr="000A0A5F">
        <w:t>8</w:t>
      </w:r>
      <w:r w:rsidRPr="000A0A5F">
        <w:t>.</w:t>
      </w:r>
      <w:r w:rsidR="000140FC">
        <w:t>4</w:t>
      </w:r>
      <w:r w:rsidRPr="000A0A5F">
        <w:t>.0 T8 reference point for Northbound APIs</w:t>
      </w:r>
    </w:p>
    <w:p w:rsidR="00CB0DD7" w:rsidRPr="000A0A5F" w:rsidRDefault="00CB0DD7">
      <w:pPr>
        <w:pStyle w:val="PL"/>
      </w:pPr>
      <w:r w:rsidRPr="000A0A5F">
        <w:t xml:space="preserve">  url: 'http</w:t>
      </w:r>
      <w:r w:rsidR="00970ACE" w:rsidRPr="000A0A5F">
        <w:t>s</w:t>
      </w:r>
      <w:r w:rsidRPr="000A0A5F">
        <w:t>://www.3gpp.org/ftp/Specs/archive/29_series/29.122/'</w:t>
      </w:r>
    </w:p>
    <w:p w:rsidR="00337644" w:rsidRPr="000A0A5F" w:rsidRDefault="00337644">
      <w:pPr>
        <w:pStyle w:val="PL"/>
      </w:pPr>
    </w:p>
    <w:p w:rsidR="00CB0DD7" w:rsidRPr="000A0A5F" w:rsidRDefault="00CB0DD7">
      <w:pPr>
        <w:pStyle w:val="PL"/>
      </w:pPr>
      <w:r w:rsidRPr="000A0A5F">
        <w:t>security:</w:t>
      </w:r>
    </w:p>
    <w:p w:rsidR="00CB0DD7" w:rsidRPr="000A0A5F" w:rsidRDefault="00CB0DD7">
      <w:pPr>
        <w:pStyle w:val="PL"/>
        <w:rPr>
          <w:lang w:val="en-US"/>
        </w:rPr>
      </w:pPr>
      <w:r w:rsidRPr="000A0A5F">
        <w:rPr>
          <w:lang w:val="en-US"/>
        </w:rPr>
        <w:t xml:space="preserve">  - {}</w:t>
      </w:r>
    </w:p>
    <w:p w:rsidR="00CB0DD7" w:rsidRPr="000A0A5F" w:rsidRDefault="00CB0DD7">
      <w:pPr>
        <w:pStyle w:val="PL"/>
      </w:pPr>
      <w:r w:rsidRPr="000A0A5F">
        <w:t xml:space="preserve">  - oAuth2ClientCredentials: []</w:t>
      </w:r>
    </w:p>
    <w:p w:rsidR="00337644" w:rsidRPr="000A0A5F" w:rsidRDefault="00337644">
      <w:pPr>
        <w:pStyle w:val="PL"/>
      </w:pPr>
    </w:p>
    <w:p w:rsidR="00CB0DD7" w:rsidRPr="000A0A5F" w:rsidRDefault="00CB0DD7">
      <w:pPr>
        <w:pStyle w:val="PL"/>
      </w:pPr>
      <w:r w:rsidRPr="000A0A5F">
        <w:t>servers:</w:t>
      </w:r>
    </w:p>
    <w:p w:rsidR="00CB0DD7" w:rsidRPr="000A0A5F" w:rsidRDefault="00CB0DD7">
      <w:pPr>
        <w:pStyle w:val="PL"/>
      </w:pPr>
      <w:r w:rsidRPr="000A0A5F">
        <w:t xml:space="preserve">  - url: '{apiRoot}/3gpp-cp-parameter-provisioning/v1'</w:t>
      </w:r>
    </w:p>
    <w:p w:rsidR="00CB0DD7" w:rsidRPr="000A0A5F" w:rsidRDefault="00CB0DD7">
      <w:pPr>
        <w:pStyle w:val="PL"/>
      </w:pPr>
      <w:r w:rsidRPr="000A0A5F">
        <w:t xml:space="preserve">    variables:</w:t>
      </w:r>
    </w:p>
    <w:p w:rsidR="00CB0DD7" w:rsidRPr="000A0A5F" w:rsidRDefault="00CB0DD7">
      <w:pPr>
        <w:pStyle w:val="PL"/>
      </w:pPr>
      <w:r w:rsidRPr="000A0A5F">
        <w:t xml:space="preserve">      apiRoot:</w:t>
      </w:r>
    </w:p>
    <w:p w:rsidR="00CB0DD7" w:rsidRPr="000A0A5F" w:rsidRDefault="00CB0DD7">
      <w:pPr>
        <w:pStyle w:val="PL"/>
      </w:pPr>
      <w:r w:rsidRPr="000A0A5F">
        <w:t xml:space="preserve">        default: https://example.com</w:t>
      </w:r>
    </w:p>
    <w:p w:rsidR="00CB0DD7" w:rsidRPr="000A0A5F" w:rsidRDefault="00CB0DD7">
      <w:pPr>
        <w:pStyle w:val="PL"/>
      </w:pPr>
      <w:r w:rsidRPr="000A0A5F">
        <w:t xml:space="preserve">        description: apiRoot as defined in clause 5.2.4 of 3GPP TS 29.122.</w:t>
      </w:r>
    </w:p>
    <w:p w:rsidR="00337644" w:rsidRPr="000A0A5F" w:rsidRDefault="00337644">
      <w:pPr>
        <w:pStyle w:val="PL"/>
      </w:pPr>
    </w:p>
    <w:p w:rsidR="00CB0DD7" w:rsidRPr="000A0A5F" w:rsidRDefault="00CB0DD7">
      <w:pPr>
        <w:pStyle w:val="PL"/>
      </w:pPr>
      <w:r w:rsidRPr="000A0A5F">
        <w:t>paths:</w:t>
      </w:r>
    </w:p>
    <w:p w:rsidR="00CB0DD7" w:rsidRPr="000A0A5F" w:rsidRDefault="00CB0DD7">
      <w:pPr>
        <w:pStyle w:val="PL"/>
      </w:pPr>
      <w:r w:rsidRPr="000A0A5F">
        <w:t xml:space="preserve">  /{scsAsId}/subscriptions:</w:t>
      </w:r>
    </w:p>
    <w:p w:rsidR="00CB0DD7" w:rsidRPr="000A0A5F" w:rsidRDefault="00CB0DD7">
      <w:pPr>
        <w:pStyle w:val="PL"/>
      </w:pPr>
      <w:r w:rsidRPr="000A0A5F">
        <w:t xml:space="preserve">    get:</w:t>
      </w:r>
    </w:p>
    <w:p w:rsidR="00CB0DD7" w:rsidRPr="000A0A5F" w:rsidRDefault="00CB0DD7">
      <w:pPr>
        <w:pStyle w:val="PL"/>
      </w:pPr>
      <w:r w:rsidRPr="000A0A5F">
        <w:t xml:space="preserve">      parameters:</w:t>
      </w:r>
    </w:p>
    <w:p w:rsidR="00CB0DD7" w:rsidRPr="000A0A5F" w:rsidRDefault="00CB0DD7">
      <w:pPr>
        <w:pStyle w:val="PL"/>
      </w:pPr>
      <w:r w:rsidRPr="000A0A5F">
        <w:t xml:space="preserve">        - name: scsAsId</w:t>
      </w:r>
    </w:p>
    <w:p w:rsidR="00CB0DD7" w:rsidRPr="000A0A5F" w:rsidRDefault="00CB0DD7">
      <w:pPr>
        <w:pStyle w:val="PL"/>
      </w:pPr>
      <w:r w:rsidRPr="000A0A5F">
        <w:t xml:space="preserve">          in: path</w:t>
      </w:r>
    </w:p>
    <w:p w:rsidR="00CB0DD7" w:rsidRPr="000A0A5F" w:rsidRDefault="00CB0DD7">
      <w:pPr>
        <w:pStyle w:val="PL"/>
      </w:pPr>
      <w:r w:rsidRPr="000A0A5F">
        <w:t xml:space="preserve">          description: Identifier of the SCS/AS as defined in clause 5.2.4 of 3GPP TS 29.122.</w:t>
      </w:r>
    </w:p>
    <w:p w:rsidR="00CB0DD7" w:rsidRPr="000A0A5F" w:rsidRDefault="00CB0DD7">
      <w:pPr>
        <w:pStyle w:val="PL"/>
      </w:pPr>
      <w:r w:rsidRPr="000A0A5F">
        <w:t xml:space="preserve">          required: true</w:t>
      </w:r>
    </w:p>
    <w:p w:rsidR="00CB0DD7" w:rsidRPr="000A0A5F" w:rsidRDefault="00CB0DD7">
      <w:pPr>
        <w:pStyle w:val="PL"/>
      </w:pPr>
      <w:r w:rsidRPr="000A0A5F">
        <w:t xml:space="preserve">          schema:</w:t>
      </w:r>
    </w:p>
    <w:p w:rsidR="00CB0DD7" w:rsidRPr="000A0A5F" w:rsidRDefault="00CB0DD7">
      <w:pPr>
        <w:pStyle w:val="PL"/>
      </w:pPr>
      <w:r w:rsidRPr="000A0A5F">
        <w:t xml:space="preserve">            type: string</w:t>
      </w:r>
    </w:p>
    <w:p w:rsidR="002C68BF" w:rsidRPr="000A0A5F" w:rsidRDefault="002C68BF" w:rsidP="002C68BF">
      <w:pPr>
        <w:pStyle w:val="PL"/>
      </w:pPr>
      <w:r w:rsidRPr="000A0A5F">
        <w:t xml:space="preserve">      summary: Read all active CP parameter provisioning subscription </w:t>
      </w:r>
      <w:r w:rsidRPr="000A0A5F">
        <w:rPr>
          <w:lang w:eastAsia="zh-CN"/>
        </w:rPr>
        <w:t>resources for a given SCS/AS.</w:t>
      </w:r>
    </w:p>
    <w:p w:rsidR="002C68BF" w:rsidRPr="000A0A5F" w:rsidRDefault="002C68BF" w:rsidP="002C68BF">
      <w:pPr>
        <w:pStyle w:val="PL"/>
      </w:pPr>
      <w:r w:rsidRPr="000A0A5F">
        <w:t xml:space="preserve">      </w:t>
      </w:r>
      <w:r w:rsidRPr="000A0A5F">
        <w:rPr>
          <w:rFonts w:cs="Courier New"/>
          <w:szCs w:val="16"/>
        </w:rPr>
        <w:t>operationId: FetchAll</w:t>
      </w:r>
      <w:r w:rsidRPr="000A0A5F">
        <w:t>CPProvisioningSubscriptions</w:t>
      </w:r>
    </w:p>
    <w:p w:rsidR="002C68BF" w:rsidRPr="000A0A5F" w:rsidRDefault="002C68BF" w:rsidP="002C68BF">
      <w:pPr>
        <w:pStyle w:val="PL"/>
      </w:pPr>
      <w:r w:rsidRPr="000A0A5F">
        <w:t xml:space="preserve">      tags:</w:t>
      </w:r>
    </w:p>
    <w:p w:rsidR="002C68BF" w:rsidRPr="000A0A5F" w:rsidRDefault="002C68BF" w:rsidP="002C68BF">
      <w:pPr>
        <w:pStyle w:val="PL"/>
      </w:pPr>
      <w:r w:rsidRPr="000A0A5F">
        <w:t xml:space="preserve">        - CP provisioning Subscriptions</w:t>
      </w:r>
    </w:p>
    <w:p w:rsidR="00CB0DD7" w:rsidRPr="000A0A5F" w:rsidRDefault="00CB0DD7">
      <w:pPr>
        <w:pStyle w:val="PL"/>
      </w:pPr>
      <w:r w:rsidRPr="000A0A5F">
        <w:t xml:space="preserve">      responses:</w:t>
      </w:r>
    </w:p>
    <w:p w:rsidR="00CB0DD7" w:rsidRPr="000A0A5F" w:rsidRDefault="00CB0DD7">
      <w:pPr>
        <w:pStyle w:val="PL"/>
      </w:pPr>
      <w:r w:rsidRPr="000A0A5F">
        <w:t xml:space="preserve">        '200':</w:t>
      </w:r>
    </w:p>
    <w:p w:rsidR="00CB0DD7" w:rsidRPr="000A0A5F" w:rsidRDefault="00CB0DD7">
      <w:pPr>
        <w:pStyle w:val="PL"/>
      </w:pPr>
      <w:r w:rsidRPr="000A0A5F">
        <w:t xml:space="preserve">          description: OK. The subscription information related to the request URI is returned.</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application/json:</w:t>
      </w:r>
    </w:p>
    <w:p w:rsidR="00CB0DD7" w:rsidRPr="000A0A5F" w:rsidRDefault="00CB0DD7">
      <w:pPr>
        <w:pStyle w:val="PL"/>
      </w:pPr>
      <w:r w:rsidRPr="000A0A5F">
        <w:t xml:space="preserve">              schema:</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$ref: '#/components/schemas/CpInfo'</w:t>
      </w:r>
    </w:p>
    <w:p w:rsidR="00CB0DD7" w:rsidRPr="000A0A5F" w:rsidRDefault="00CB0DD7">
      <w:pPr>
        <w:pStyle w:val="PL"/>
      </w:pPr>
      <w:r w:rsidRPr="000A0A5F">
        <w:t xml:space="preserve">                minItems: 0</w:t>
      </w:r>
    </w:p>
    <w:p w:rsidR="00CB0DD7" w:rsidRPr="000A0A5F" w:rsidRDefault="00CB0DD7">
      <w:pPr>
        <w:pStyle w:val="PL"/>
      </w:pPr>
      <w:r w:rsidRPr="000A0A5F">
        <w:t xml:space="preserve">        '307':</w:t>
      </w:r>
    </w:p>
    <w:p w:rsidR="00CB0DD7" w:rsidRPr="000A0A5F" w:rsidRDefault="00CB0DD7">
      <w:pPr>
        <w:pStyle w:val="PL"/>
      </w:pPr>
      <w:r w:rsidRPr="000A0A5F">
        <w:t xml:space="preserve">          $ref: 'TS29122_CommonData.yaml#/components/responses/307'</w:t>
      </w:r>
    </w:p>
    <w:p w:rsidR="00CB0DD7" w:rsidRPr="000A0A5F" w:rsidRDefault="00CB0DD7">
      <w:pPr>
        <w:pStyle w:val="PL"/>
      </w:pPr>
      <w:r w:rsidRPr="000A0A5F">
        <w:t xml:space="preserve">        '308':</w:t>
      </w:r>
    </w:p>
    <w:p w:rsidR="00CB0DD7" w:rsidRPr="000A0A5F" w:rsidRDefault="00CB0DD7">
      <w:pPr>
        <w:pStyle w:val="PL"/>
      </w:pPr>
      <w:r w:rsidRPr="000A0A5F">
        <w:t xml:space="preserve">          $ref: 'TS29122_CommonData.yaml#/components/responses/308'</w:t>
      </w:r>
    </w:p>
    <w:p w:rsidR="00CB0DD7" w:rsidRPr="000A0A5F" w:rsidRDefault="00CB0DD7">
      <w:pPr>
        <w:pStyle w:val="PL"/>
      </w:pPr>
      <w:r w:rsidRPr="000A0A5F">
        <w:t xml:space="preserve">        '400':</w:t>
      </w:r>
    </w:p>
    <w:p w:rsidR="00CB0DD7" w:rsidRPr="000A0A5F" w:rsidRDefault="00CB0DD7">
      <w:pPr>
        <w:pStyle w:val="PL"/>
      </w:pPr>
      <w:r w:rsidRPr="000A0A5F">
        <w:t xml:space="preserve">          $ref: 'TS29122_CommonData.yaml#/components/responses/400'</w:t>
      </w:r>
    </w:p>
    <w:p w:rsidR="00CB0DD7" w:rsidRPr="000A0A5F" w:rsidRDefault="00CB0DD7">
      <w:pPr>
        <w:pStyle w:val="PL"/>
      </w:pPr>
      <w:r w:rsidRPr="000A0A5F">
        <w:t xml:space="preserve">        '401':</w:t>
      </w:r>
    </w:p>
    <w:p w:rsidR="00CB0DD7" w:rsidRPr="000A0A5F" w:rsidRDefault="00CB0DD7">
      <w:pPr>
        <w:pStyle w:val="PL"/>
      </w:pPr>
      <w:r w:rsidRPr="000A0A5F">
        <w:t xml:space="preserve">          $ref: 'TS29122_CommonData.yaml#/components/responses/401'</w:t>
      </w:r>
    </w:p>
    <w:p w:rsidR="00CB0DD7" w:rsidRPr="000A0A5F" w:rsidRDefault="00CB0DD7">
      <w:pPr>
        <w:pStyle w:val="PL"/>
      </w:pPr>
      <w:r w:rsidRPr="000A0A5F">
        <w:t xml:space="preserve">        '403':</w:t>
      </w:r>
    </w:p>
    <w:p w:rsidR="00CB0DD7" w:rsidRPr="000A0A5F" w:rsidRDefault="00CB0DD7">
      <w:pPr>
        <w:pStyle w:val="PL"/>
      </w:pPr>
      <w:r w:rsidRPr="000A0A5F">
        <w:t xml:space="preserve">          $ref: 'TS29122_CommonData.yaml#/components/responses/403'</w:t>
      </w:r>
    </w:p>
    <w:p w:rsidR="00CB0DD7" w:rsidRPr="000A0A5F" w:rsidRDefault="00CB0DD7">
      <w:pPr>
        <w:pStyle w:val="PL"/>
      </w:pPr>
      <w:r w:rsidRPr="000A0A5F">
        <w:t xml:space="preserve">        '404':</w:t>
      </w:r>
    </w:p>
    <w:p w:rsidR="00CB0DD7" w:rsidRPr="000A0A5F" w:rsidRDefault="00CB0DD7">
      <w:pPr>
        <w:pStyle w:val="PL"/>
      </w:pPr>
      <w:r w:rsidRPr="000A0A5F">
        <w:t xml:space="preserve">          $ref: 'TS29122_CommonData.yaml#/components/responses/404'</w:t>
      </w:r>
    </w:p>
    <w:p w:rsidR="00CB0DD7" w:rsidRPr="000A0A5F" w:rsidRDefault="00CB0DD7">
      <w:pPr>
        <w:pStyle w:val="PL"/>
      </w:pPr>
      <w:r w:rsidRPr="000A0A5F">
        <w:t xml:space="preserve">        '406':</w:t>
      </w:r>
    </w:p>
    <w:p w:rsidR="00CB0DD7" w:rsidRPr="000A0A5F" w:rsidRDefault="00CB0DD7">
      <w:pPr>
        <w:pStyle w:val="PL"/>
      </w:pPr>
      <w:r w:rsidRPr="000A0A5F">
        <w:t xml:space="preserve">          $ref: 'TS29122_CommonData.yaml#/components/responses/406'</w:t>
      </w:r>
    </w:p>
    <w:p w:rsidR="00CB0DD7" w:rsidRPr="000A0A5F" w:rsidRDefault="00CB0DD7">
      <w:pPr>
        <w:pStyle w:val="PL"/>
      </w:pPr>
      <w:r w:rsidRPr="000A0A5F">
        <w:t xml:space="preserve">        '429':</w:t>
      </w:r>
    </w:p>
    <w:p w:rsidR="00CB0DD7" w:rsidRPr="000A0A5F" w:rsidRDefault="00CB0DD7">
      <w:pPr>
        <w:pStyle w:val="PL"/>
      </w:pPr>
      <w:r w:rsidRPr="000A0A5F">
        <w:t xml:space="preserve">          $ref: 'TS29122_CommonData.yaml#/components/responses/429'</w:t>
      </w:r>
    </w:p>
    <w:p w:rsidR="00CB0DD7" w:rsidRPr="000A0A5F" w:rsidRDefault="00CB0DD7">
      <w:pPr>
        <w:pStyle w:val="PL"/>
      </w:pPr>
      <w:r w:rsidRPr="000A0A5F">
        <w:t xml:space="preserve">        '500':</w:t>
      </w:r>
    </w:p>
    <w:p w:rsidR="00CB0DD7" w:rsidRPr="000A0A5F" w:rsidRDefault="00CB0DD7">
      <w:pPr>
        <w:pStyle w:val="PL"/>
      </w:pPr>
      <w:r w:rsidRPr="000A0A5F">
        <w:t xml:space="preserve">          $ref: 'TS29122_CommonData.yaml#/components/responses/500'</w:t>
      </w:r>
    </w:p>
    <w:p w:rsidR="00CB0DD7" w:rsidRPr="000A0A5F" w:rsidRDefault="00CB0DD7">
      <w:pPr>
        <w:pStyle w:val="PL"/>
      </w:pPr>
      <w:r w:rsidRPr="000A0A5F">
        <w:t xml:space="preserve">        '503':</w:t>
      </w:r>
    </w:p>
    <w:p w:rsidR="00CB0DD7" w:rsidRPr="000A0A5F" w:rsidRDefault="00CB0DD7">
      <w:pPr>
        <w:pStyle w:val="PL"/>
      </w:pPr>
      <w:r w:rsidRPr="000A0A5F">
        <w:t xml:space="preserve">          $ref: 'TS29122_CommonData.yaml#/components/responses/503'</w:t>
      </w:r>
    </w:p>
    <w:p w:rsidR="00CB0DD7" w:rsidRPr="000A0A5F" w:rsidRDefault="00CB0DD7">
      <w:pPr>
        <w:pStyle w:val="PL"/>
      </w:pPr>
      <w:r w:rsidRPr="000A0A5F">
        <w:t xml:space="preserve">        default:</w:t>
      </w:r>
    </w:p>
    <w:p w:rsidR="00CB0DD7" w:rsidRPr="000A0A5F" w:rsidRDefault="00CB0DD7">
      <w:pPr>
        <w:pStyle w:val="PL"/>
      </w:pPr>
      <w:r w:rsidRPr="000A0A5F">
        <w:t xml:space="preserve">          $ref: 'TS29122_CommonData.yaml#/components/responses/default'</w:t>
      </w:r>
    </w:p>
    <w:p w:rsidR="00CB0DD7" w:rsidRPr="000A0A5F" w:rsidRDefault="00CB0DD7">
      <w:pPr>
        <w:pStyle w:val="PL"/>
      </w:pPr>
      <w:r w:rsidRPr="000A0A5F">
        <w:t xml:space="preserve">    post:</w:t>
      </w:r>
    </w:p>
    <w:p w:rsidR="00CB0DD7" w:rsidRPr="000A0A5F" w:rsidRDefault="00CB0DD7">
      <w:pPr>
        <w:pStyle w:val="PL"/>
      </w:pPr>
      <w:r w:rsidRPr="000A0A5F">
        <w:t xml:space="preserve">      parameters:</w:t>
      </w:r>
    </w:p>
    <w:p w:rsidR="00CB0DD7" w:rsidRPr="000A0A5F" w:rsidRDefault="00CB0DD7">
      <w:pPr>
        <w:pStyle w:val="PL"/>
      </w:pPr>
      <w:r w:rsidRPr="000A0A5F">
        <w:t xml:space="preserve">        - name: scsAsId</w:t>
      </w:r>
    </w:p>
    <w:p w:rsidR="00CB0DD7" w:rsidRPr="000A0A5F" w:rsidRDefault="00CB0DD7">
      <w:pPr>
        <w:pStyle w:val="PL"/>
      </w:pPr>
      <w:r w:rsidRPr="000A0A5F">
        <w:t xml:space="preserve">          in: path</w:t>
      </w:r>
    </w:p>
    <w:p w:rsidR="00CB0DD7" w:rsidRPr="000A0A5F" w:rsidRDefault="00CB0DD7">
      <w:pPr>
        <w:pStyle w:val="PL"/>
      </w:pPr>
      <w:r w:rsidRPr="000A0A5F">
        <w:t xml:space="preserve">          description: Identifier of the SCS/AS as defined in clause 5.2.4 of 3GPP TS 29.122.</w:t>
      </w:r>
    </w:p>
    <w:p w:rsidR="00CB0DD7" w:rsidRPr="000A0A5F" w:rsidRDefault="00CB0DD7">
      <w:pPr>
        <w:pStyle w:val="PL"/>
      </w:pPr>
      <w:r w:rsidRPr="000A0A5F">
        <w:t xml:space="preserve">          required: true</w:t>
      </w:r>
    </w:p>
    <w:p w:rsidR="00CB0DD7" w:rsidRPr="000A0A5F" w:rsidRDefault="00CB0DD7">
      <w:pPr>
        <w:pStyle w:val="PL"/>
      </w:pPr>
      <w:r w:rsidRPr="000A0A5F">
        <w:t xml:space="preserve">          schema:</w:t>
      </w:r>
    </w:p>
    <w:p w:rsidR="00CB0DD7" w:rsidRPr="000A0A5F" w:rsidRDefault="00CB0DD7">
      <w:pPr>
        <w:pStyle w:val="PL"/>
      </w:pPr>
      <w:r w:rsidRPr="000A0A5F">
        <w:t xml:space="preserve">            type: string</w:t>
      </w:r>
    </w:p>
    <w:p w:rsidR="002C68BF" w:rsidRPr="000A0A5F" w:rsidRDefault="002C68BF" w:rsidP="002C68BF">
      <w:pPr>
        <w:pStyle w:val="PL"/>
      </w:pPr>
      <w:r w:rsidRPr="000A0A5F">
        <w:t xml:space="preserve">      summary: Create a new subscription </w:t>
      </w:r>
      <w:r w:rsidRPr="000A0A5F">
        <w:rPr>
          <w:lang w:eastAsia="zh-CN"/>
        </w:rPr>
        <w:t xml:space="preserve">resource of provisioning </w:t>
      </w:r>
      <w:r w:rsidRPr="000A0A5F">
        <w:t>CP parameter set(s).</w:t>
      </w:r>
    </w:p>
    <w:p w:rsidR="002C68BF" w:rsidRPr="000A0A5F" w:rsidRDefault="002C68BF" w:rsidP="002C68BF">
      <w:pPr>
        <w:pStyle w:val="PL"/>
      </w:pPr>
      <w:r w:rsidRPr="000A0A5F">
        <w:t xml:space="preserve">      </w:t>
      </w:r>
      <w:r w:rsidRPr="000A0A5F">
        <w:rPr>
          <w:rFonts w:cs="Courier New"/>
          <w:szCs w:val="16"/>
        </w:rPr>
        <w:t>operationId: Create</w:t>
      </w:r>
      <w:r w:rsidRPr="000A0A5F">
        <w:t>CPProvisioningSubscription</w:t>
      </w:r>
    </w:p>
    <w:p w:rsidR="002C68BF" w:rsidRPr="000A0A5F" w:rsidRDefault="002C68BF" w:rsidP="002C68BF">
      <w:pPr>
        <w:pStyle w:val="PL"/>
      </w:pPr>
      <w:r w:rsidRPr="000A0A5F">
        <w:t xml:space="preserve">      tags:</w:t>
      </w:r>
    </w:p>
    <w:p w:rsidR="002C68BF" w:rsidRPr="000A0A5F" w:rsidRDefault="002C68BF" w:rsidP="002C68BF">
      <w:pPr>
        <w:pStyle w:val="PL"/>
      </w:pPr>
      <w:r w:rsidRPr="000A0A5F">
        <w:t xml:space="preserve">        - CP provisioning Subscriptions</w:t>
      </w:r>
    </w:p>
    <w:p w:rsidR="00CB0DD7" w:rsidRPr="000A0A5F" w:rsidRDefault="00CB0DD7">
      <w:pPr>
        <w:pStyle w:val="PL"/>
      </w:pPr>
      <w:r w:rsidRPr="000A0A5F">
        <w:t xml:space="preserve">      requestBody:</w:t>
      </w:r>
    </w:p>
    <w:p w:rsidR="00337644" w:rsidRPr="000A0A5F" w:rsidRDefault="00CB0DD7">
      <w:pPr>
        <w:pStyle w:val="PL"/>
      </w:pPr>
      <w:r w:rsidRPr="000A0A5F">
        <w:t xml:space="preserve">        description: </w:t>
      </w:r>
      <w:r w:rsidR="00337644" w:rsidRPr="000A0A5F">
        <w:t>&gt;</w:t>
      </w:r>
    </w:p>
    <w:p w:rsidR="00CB0DD7" w:rsidRPr="000A0A5F" w:rsidRDefault="00337644">
      <w:pPr>
        <w:pStyle w:val="PL"/>
      </w:pPr>
      <w:r w:rsidRPr="000A0A5F">
        <w:t xml:space="preserve">          </w:t>
      </w:r>
      <w:r w:rsidRPr="000A0A5F">
        <w:rPr>
          <w:lang w:eastAsia="zh-CN"/>
        </w:rPr>
        <w:t>Create</w:t>
      </w:r>
      <w:r w:rsidR="00CB0DD7" w:rsidRPr="000A0A5F">
        <w:rPr>
          <w:lang w:eastAsia="zh-CN"/>
        </w:rPr>
        <w:t xml:space="preserve"> </w:t>
      </w:r>
      <w:r w:rsidR="00CB0DD7" w:rsidRPr="000A0A5F">
        <w:t>new</w:t>
      </w:r>
      <w:r w:rsidR="00CB0DD7" w:rsidRPr="000A0A5F">
        <w:rPr>
          <w:lang w:eastAsia="zh-CN"/>
        </w:rPr>
        <w:t xml:space="preserve"> subscriptions for a given SCS/AS</w:t>
      </w:r>
      <w:r w:rsidR="00CB0DD7" w:rsidRPr="000A0A5F">
        <w:t xml:space="preserve"> and the </w:t>
      </w:r>
      <w:r w:rsidR="00CB0DD7" w:rsidRPr="000A0A5F">
        <w:rPr>
          <w:lang w:eastAsia="zh-CN"/>
        </w:rPr>
        <w:t>provisioning</w:t>
      </w:r>
      <w:r w:rsidR="00CB0DD7" w:rsidRPr="000A0A5F">
        <w:t xml:space="preserve"> CP parameter sets.</w:t>
      </w:r>
    </w:p>
    <w:p w:rsidR="00CB0DD7" w:rsidRPr="000A0A5F" w:rsidRDefault="00CB0DD7">
      <w:pPr>
        <w:pStyle w:val="PL"/>
      </w:pPr>
      <w:r w:rsidRPr="000A0A5F">
        <w:t xml:space="preserve">        required: true</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application/json:</w:t>
      </w:r>
    </w:p>
    <w:p w:rsidR="00CB0DD7" w:rsidRPr="000A0A5F" w:rsidRDefault="00CB0DD7">
      <w:pPr>
        <w:pStyle w:val="PL"/>
      </w:pPr>
      <w:r w:rsidRPr="000A0A5F">
        <w:t xml:space="preserve">            schema:</w:t>
      </w:r>
    </w:p>
    <w:p w:rsidR="00CB0DD7" w:rsidRPr="000A0A5F" w:rsidRDefault="00CB0DD7">
      <w:pPr>
        <w:pStyle w:val="PL"/>
      </w:pPr>
      <w:r w:rsidRPr="000A0A5F">
        <w:t xml:space="preserve">              $ref: '#/components/schemas/CpInfo'</w:t>
      </w:r>
    </w:p>
    <w:p w:rsidR="00CB0DD7" w:rsidRPr="000A0A5F" w:rsidRDefault="00CB0DD7">
      <w:pPr>
        <w:pStyle w:val="PL"/>
      </w:pPr>
      <w:r w:rsidRPr="000A0A5F">
        <w:t xml:space="preserve">      responses:</w:t>
      </w:r>
    </w:p>
    <w:p w:rsidR="00CB0DD7" w:rsidRPr="000A0A5F" w:rsidRDefault="00CB0DD7">
      <w:pPr>
        <w:pStyle w:val="PL"/>
      </w:pPr>
      <w:r w:rsidRPr="000A0A5F">
        <w:t xml:space="preserve">        '201':</w:t>
      </w:r>
    </w:p>
    <w:p w:rsidR="00337644" w:rsidRPr="000A0A5F" w:rsidRDefault="00CB0DD7">
      <w:pPr>
        <w:pStyle w:val="PL"/>
      </w:pPr>
      <w:r w:rsidRPr="000A0A5F">
        <w:t xml:space="preserve">          description: </w:t>
      </w:r>
      <w:r w:rsidR="00337644" w:rsidRPr="000A0A5F">
        <w:t>&gt;</w:t>
      </w:r>
    </w:p>
    <w:p w:rsidR="00670EA1" w:rsidRPr="000A0A5F" w:rsidRDefault="00670EA1" w:rsidP="00670EA1">
      <w:pPr>
        <w:pStyle w:val="PL"/>
      </w:pPr>
      <w:r w:rsidRPr="000A0A5F">
        <w:t xml:space="preserve">            Created. The subscription was created successfully. The SCEF </w:t>
      </w:r>
      <w:r w:rsidRPr="000A0A5F">
        <w:rPr>
          <w:rFonts w:hint="eastAsia"/>
          <w:lang w:eastAsia="zh-CN"/>
        </w:rPr>
        <w:t>shall</w:t>
      </w:r>
      <w:r w:rsidRPr="000A0A5F">
        <w:t xml:space="preserve"> return the created</w:t>
      </w:r>
    </w:p>
    <w:p w:rsidR="00670EA1" w:rsidRPr="000A0A5F" w:rsidRDefault="00670EA1" w:rsidP="00670EA1">
      <w:pPr>
        <w:pStyle w:val="PL"/>
      </w:pPr>
      <w:r w:rsidRPr="000A0A5F">
        <w:t xml:space="preserve">            subscription in the response content.</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application/json:</w:t>
      </w:r>
    </w:p>
    <w:p w:rsidR="00CB0DD7" w:rsidRPr="000A0A5F" w:rsidRDefault="00CB0DD7">
      <w:pPr>
        <w:pStyle w:val="PL"/>
      </w:pPr>
      <w:r w:rsidRPr="000A0A5F">
        <w:t xml:space="preserve">              schema:</w:t>
      </w:r>
    </w:p>
    <w:p w:rsidR="00CB0DD7" w:rsidRPr="000A0A5F" w:rsidRDefault="00CB0DD7">
      <w:pPr>
        <w:pStyle w:val="PL"/>
      </w:pPr>
      <w:r w:rsidRPr="000A0A5F">
        <w:t xml:space="preserve">                $ref: '#/components/schemas/CpInfo'</w:t>
      </w:r>
    </w:p>
    <w:p w:rsidR="00CB0DD7" w:rsidRPr="000A0A5F" w:rsidRDefault="00CB0DD7">
      <w:pPr>
        <w:pStyle w:val="PL"/>
      </w:pPr>
      <w:r w:rsidRPr="000A0A5F">
        <w:t xml:space="preserve">          headers:</w:t>
      </w:r>
    </w:p>
    <w:p w:rsidR="00CB0DD7" w:rsidRPr="000A0A5F" w:rsidRDefault="00CB0DD7">
      <w:pPr>
        <w:pStyle w:val="PL"/>
      </w:pPr>
      <w:r w:rsidRPr="000A0A5F">
        <w:t xml:space="preserve">            Location:</w:t>
      </w:r>
    </w:p>
    <w:p w:rsidR="00CB0DD7" w:rsidRPr="000A0A5F" w:rsidRDefault="00CB0DD7">
      <w:pPr>
        <w:pStyle w:val="PL"/>
      </w:pPr>
      <w:r w:rsidRPr="000A0A5F">
        <w:t xml:space="preserve">              description: 'Contains the URI of the newly created resource'</w:t>
      </w:r>
    </w:p>
    <w:p w:rsidR="00CB0DD7" w:rsidRPr="000A0A5F" w:rsidRDefault="00CB0DD7">
      <w:pPr>
        <w:pStyle w:val="PL"/>
      </w:pPr>
      <w:r w:rsidRPr="000A0A5F">
        <w:t xml:space="preserve">              required: true</w:t>
      </w:r>
    </w:p>
    <w:p w:rsidR="00CB0DD7" w:rsidRPr="000A0A5F" w:rsidRDefault="00CB0DD7">
      <w:pPr>
        <w:pStyle w:val="PL"/>
      </w:pPr>
      <w:r w:rsidRPr="000A0A5F">
        <w:t xml:space="preserve">              schema:</w:t>
      </w:r>
    </w:p>
    <w:p w:rsidR="00CB0DD7" w:rsidRPr="000A0A5F" w:rsidRDefault="00CB0DD7">
      <w:pPr>
        <w:pStyle w:val="PL"/>
      </w:pPr>
      <w:r w:rsidRPr="000A0A5F">
        <w:t xml:space="preserve">                type: string</w:t>
      </w:r>
    </w:p>
    <w:p w:rsidR="00CB0DD7" w:rsidRPr="000A0A5F" w:rsidRDefault="00CB0DD7">
      <w:pPr>
        <w:pStyle w:val="PL"/>
      </w:pPr>
      <w:r w:rsidRPr="000A0A5F">
        <w:t xml:space="preserve">        '400':</w:t>
      </w:r>
    </w:p>
    <w:p w:rsidR="00CB0DD7" w:rsidRPr="000A0A5F" w:rsidRDefault="00CB0DD7">
      <w:pPr>
        <w:pStyle w:val="PL"/>
      </w:pPr>
      <w:r w:rsidRPr="000A0A5F">
        <w:t xml:space="preserve">          $ref: 'TS29122_CommonData.yaml#/components/responses/400'</w:t>
      </w:r>
    </w:p>
    <w:p w:rsidR="00CB0DD7" w:rsidRPr="000A0A5F" w:rsidRDefault="00CB0DD7">
      <w:pPr>
        <w:pStyle w:val="PL"/>
      </w:pPr>
      <w:r w:rsidRPr="000A0A5F">
        <w:t xml:space="preserve">        '401':</w:t>
      </w:r>
    </w:p>
    <w:p w:rsidR="00CB0DD7" w:rsidRPr="000A0A5F" w:rsidRDefault="00CB0DD7">
      <w:pPr>
        <w:pStyle w:val="PL"/>
      </w:pPr>
      <w:r w:rsidRPr="000A0A5F">
        <w:t xml:space="preserve">          $ref: 'TS29122_CommonData.yaml#/components/responses/401'</w:t>
      </w:r>
    </w:p>
    <w:p w:rsidR="00CB0DD7" w:rsidRPr="000A0A5F" w:rsidRDefault="00CB0DD7">
      <w:pPr>
        <w:pStyle w:val="PL"/>
      </w:pPr>
      <w:r w:rsidRPr="000A0A5F">
        <w:t xml:space="preserve">        '403':</w:t>
      </w:r>
    </w:p>
    <w:p w:rsidR="00CB0DD7" w:rsidRPr="000A0A5F" w:rsidRDefault="00CB0DD7">
      <w:pPr>
        <w:pStyle w:val="PL"/>
      </w:pPr>
      <w:r w:rsidRPr="000A0A5F">
        <w:t xml:space="preserve">          $ref: 'TS29122_CommonData.yaml#/components/responses/403'</w:t>
      </w:r>
    </w:p>
    <w:p w:rsidR="00CB0DD7" w:rsidRPr="000A0A5F" w:rsidRDefault="00CB0DD7">
      <w:pPr>
        <w:pStyle w:val="PL"/>
      </w:pPr>
      <w:r w:rsidRPr="000A0A5F">
        <w:t xml:space="preserve">        '404':</w:t>
      </w:r>
    </w:p>
    <w:p w:rsidR="00CB0DD7" w:rsidRPr="000A0A5F" w:rsidRDefault="00CB0DD7">
      <w:pPr>
        <w:pStyle w:val="PL"/>
      </w:pPr>
      <w:r w:rsidRPr="000A0A5F">
        <w:t xml:space="preserve">          $ref: 'TS29122_CommonData.yaml#/components/responses/404'</w:t>
      </w:r>
    </w:p>
    <w:p w:rsidR="00CB0DD7" w:rsidRPr="000A0A5F" w:rsidRDefault="00CB0DD7">
      <w:pPr>
        <w:pStyle w:val="PL"/>
      </w:pPr>
      <w:r w:rsidRPr="000A0A5F">
        <w:t xml:space="preserve">        '411':</w:t>
      </w:r>
    </w:p>
    <w:p w:rsidR="00CB0DD7" w:rsidRPr="000A0A5F" w:rsidRDefault="00CB0DD7">
      <w:pPr>
        <w:pStyle w:val="PL"/>
      </w:pPr>
      <w:r w:rsidRPr="000A0A5F">
        <w:t xml:space="preserve">          $ref: 'TS29122_CommonData.yaml#/components/responses/411'</w:t>
      </w:r>
    </w:p>
    <w:p w:rsidR="00CB0DD7" w:rsidRPr="000A0A5F" w:rsidRDefault="00CB0DD7">
      <w:pPr>
        <w:pStyle w:val="PL"/>
      </w:pPr>
      <w:r w:rsidRPr="000A0A5F">
        <w:t xml:space="preserve">        '413':</w:t>
      </w:r>
    </w:p>
    <w:p w:rsidR="00CB0DD7" w:rsidRPr="000A0A5F" w:rsidRDefault="00CB0DD7">
      <w:pPr>
        <w:pStyle w:val="PL"/>
      </w:pPr>
      <w:r w:rsidRPr="000A0A5F">
        <w:t xml:space="preserve">          $ref: 'TS29122_CommonData.yaml#/components/responses/413'</w:t>
      </w:r>
    </w:p>
    <w:p w:rsidR="00CB0DD7" w:rsidRPr="000A0A5F" w:rsidRDefault="00CB0DD7">
      <w:pPr>
        <w:pStyle w:val="PL"/>
      </w:pPr>
      <w:r w:rsidRPr="000A0A5F">
        <w:t xml:space="preserve">        '415':</w:t>
      </w:r>
    </w:p>
    <w:p w:rsidR="00CB0DD7" w:rsidRPr="000A0A5F" w:rsidRDefault="00CB0DD7">
      <w:pPr>
        <w:pStyle w:val="PL"/>
      </w:pPr>
      <w:r w:rsidRPr="000A0A5F">
        <w:t xml:space="preserve">          $ref: 'TS29122_CommonData.yaml#/components/responses/415'</w:t>
      </w:r>
    </w:p>
    <w:p w:rsidR="00CB0DD7" w:rsidRPr="000A0A5F" w:rsidRDefault="00CB0DD7">
      <w:pPr>
        <w:pStyle w:val="PL"/>
      </w:pPr>
      <w:r w:rsidRPr="000A0A5F">
        <w:t xml:space="preserve">        '429':</w:t>
      </w:r>
    </w:p>
    <w:p w:rsidR="00CB0DD7" w:rsidRPr="000A0A5F" w:rsidRDefault="00CB0DD7">
      <w:pPr>
        <w:pStyle w:val="PL"/>
      </w:pPr>
      <w:r w:rsidRPr="000A0A5F">
        <w:t xml:space="preserve">          $ref: 'TS29122_CommonData.yaml#/components/responses/429'</w:t>
      </w:r>
    </w:p>
    <w:p w:rsidR="00CB0DD7" w:rsidRPr="000A0A5F" w:rsidRDefault="00CB0DD7">
      <w:pPr>
        <w:pStyle w:val="PL"/>
      </w:pPr>
      <w:r w:rsidRPr="000A0A5F">
        <w:t xml:space="preserve">        '500':</w:t>
      </w:r>
    </w:p>
    <w:p w:rsidR="00337644" w:rsidRPr="000A0A5F" w:rsidRDefault="00CB0DD7">
      <w:pPr>
        <w:pStyle w:val="PL"/>
      </w:pPr>
      <w:r w:rsidRPr="000A0A5F">
        <w:t xml:space="preserve">          description: </w:t>
      </w:r>
      <w:r w:rsidR="00337644" w:rsidRPr="000A0A5F">
        <w:t>&gt;</w:t>
      </w:r>
    </w:p>
    <w:p w:rsidR="00337644" w:rsidRPr="000A0A5F" w:rsidRDefault="00337644">
      <w:pPr>
        <w:pStyle w:val="PL"/>
      </w:pPr>
      <w:r w:rsidRPr="000A0A5F">
        <w:t xml:space="preserve">            </w:t>
      </w:r>
      <w:r w:rsidR="00CB0DD7" w:rsidRPr="000A0A5F">
        <w:t>The CP parameters for all sets were not created successfully. CpReport may be included</w:t>
      </w:r>
    </w:p>
    <w:p w:rsidR="00CB0DD7" w:rsidRPr="000A0A5F" w:rsidRDefault="00337644">
      <w:pPr>
        <w:pStyle w:val="PL"/>
      </w:pPr>
      <w:r w:rsidRPr="000A0A5F">
        <w:t xml:space="preserve">           </w:t>
      </w:r>
      <w:r w:rsidR="00CB0DD7" w:rsidRPr="000A0A5F">
        <w:t xml:space="preserve"> with detailed information.</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application/json:</w:t>
      </w:r>
    </w:p>
    <w:p w:rsidR="00CB0DD7" w:rsidRPr="000A0A5F" w:rsidRDefault="00CB0DD7">
      <w:pPr>
        <w:pStyle w:val="PL"/>
      </w:pPr>
      <w:r w:rsidRPr="000A0A5F">
        <w:t xml:space="preserve">              schema:</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$ref: '#/components/schemas/CpReport</w:t>
      </w:r>
      <w:r w:rsidRPr="000A0A5F">
        <w:rPr>
          <w:lang w:eastAsia="zh-CN"/>
        </w:rPr>
        <w:t>'</w:t>
      </w:r>
    </w:p>
    <w:p w:rsidR="00CB0DD7" w:rsidRPr="000A0A5F" w:rsidRDefault="00CB0DD7">
      <w:pPr>
        <w:pStyle w:val="PL"/>
      </w:pPr>
      <w:r w:rsidRPr="000A0A5F">
        <w:t xml:space="preserve">                minItems: 1</w:t>
      </w:r>
    </w:p>
    <w:p w:rsidR="00CB0DD7" w:rsidRPr="000A0A5F" w:rsidRDefault="00CB0DD7">
      <w:pPr>
        <w:pStyle w:val="PL"/>
      </w:pPr>
      <w:r w:rsidRPr="000A0A5F">
        <w:t xml:space="preserve">            application/problem+json:</w:t>
      </w:r>
    </w:p>
    <w:p w:rsidR="00CB0DD7" w:rsidRPr="000A0A5F" w:rsidRDefault="00CB0DD7">
      <w:pPr>
        <w:pStyle w:val="PL"/>
      </w:pPr>
      <w:r w:rsidRPr="000A0A5F">
        <w:t xml:space="preserve">              schema:</w:t>
      </w:r>
    </w:p>
    <w:p w:rsidR="00CB0DD7" w:rsidRPr="000A0A5F" w:rsidRDefault="00CB0DD7">
      <w:pPr>
        <w:pStyle w:val="PL"/>
        <w:rPr>
          <w:lang w:eastAsia="zh-CN"/>
        </w:rPr>
      </w:pPr>
      <w:r w:rsidRPr="000A0A5F">
        <w:rPr>
          <w:lang w:eastAsia="zh-CN"/>
        </w:rPr>
        <w:t xml:space="preserve">                $ref: '</w:t>
      </w:r>
      <w:r w:rsidRPr="000A0A5F">
        <w:t>TS29122_CommonData.yaml</w:t>
      </w:r>
      <w:r w:rsidRPr="000A0A5F">
        <w:rPr>
          <w:lang w:eastAsia="zh-CN"/>
        </w:rPr>
        <w:t>#/components/schemas/ProblemDetails'</w:t>
      </w:r>
    </w:p>
    <w:p w:rsidR="00CB0DD7" w:rsidRPr="000A0A5F" w:rsidRDefault="00CB0DD7">
      <w:pPr>
        <w:pStyle w:val="PL"/>
      </w:pPr>
      <w:r w:rsidRPr="000A0A5F">
        <w:t xml:space="preserve">        '503':</w:t>
      </w:r>
    </w:p>
    <w:p w:rsidR="00CB0DD7" w:rsidRPr="000A0A5F" w:rsidRDefault="00CB0DD7">
      <w:pPr>
        <w:pStyle w:val="PL"/>
      </w:pPr>
      <w:r w:rsidRPr="000A0A5F">
        <w:t xml:space="preserve">          $ref: 'TS29122_CommonData.yaml#/components/responses/503'</w:t>
      </w:r>
    </w:p>
    <w:p w:rsidR="00CB0DD7" w:rsidRPr="000A0A5F" w:rsidRDefault="00CB0DD7">
      <w:pPr>
        <w:pStyle w:val="PL"/>
      </w:pPr>
      <w:r w:rsidRPr="000A0A5F">
        <w:t xml:space="preserve">        default:</w:t>
      </w:r>
    </w:p>
    <w:p w:rsidR="00CB0DD7" w:rsidRPr="000A0A5F" w:rsidRDefault="00CB0DD7">
      <w:pPr>
        <w:pStyle w:val="PL"/>
      </w:pPr>
      <w:r w:rsidRPr="000A0A5F">
        <w:t xml:space="preserve">          $ref: 'TS29122_CommonData.yaml#/components/responses/default'</w:t>
      </w:r>
    </w:p>
    <w:p w:rsidR="00CB0DD7" w:rsidRPr="000A0A5F" w:rsidRDefault="00CB0DD7">
      <w:pPr>
        <w:pStyle w:val="PL"/>
      </w:pPr>
      <w:r w:rsidRPr="000A0A5F">
        <w:t xml:space="preserve">  /{scsAsId}/subscriptions/{subscriptionId}:</w:t>
      </w:r>
    </w:p>
    <w:p w:rsidR="00CB0DD7" w:rsidRPr="000A0A5F" w:rsidRDefault="00CB0DD7">
      <w:pPr>
        <w:pStyle w:val="PL"/>
      </w:pPr>
      <w:r w:rsidRPr="000A0A5F">
        <w:t xml:space="preserve">    get:</w:t>
      </w:r>
    </w:p>
    <w:p w:rsidR="00CB0DD7" w:rsidRPr="000A0A5F" w:rsidRDefault="00CB0DD7">
      <w:pPr>
        <w:pStyle w:val="PL"/>
      </w:pPr>
      <w:r w:rsidRPr="000A0A5F">
        <w:t xml:space="preserve">      parameters:</w:t>
      </w:r>
    </w:p>
    <w:p w:rsidR="00CB0DD7" w:rsidRPr="000A0A5F" w:rsidRDefault="00CB0DD7">
      <w:pPr>
        <w:pStyle w:val="PL"/>
      </w:pPr>
      <w:r w:rsidRPr="000A0A5F">
        <w:t xml:space="preserve">        - name: scsAsId</w:t>
      </w:r>
    </w:p>
    <w:p w:rsidR="00CB0DD7" w:rsidRPr="000A0A5F" w:rsidRDefault="00CB0DD7">
      <w:pPr>
        <w:pStyle w:val="PL"/>
      </w:pPr>
      <w:r w:rsidRPr="000A0A5F">
        <w:t xml:space="preserve">          in: path</w:t>
      </w:r>
    </w:p>
    <w:p w:rsidR="00CB0DD7" w:rsidRPr="000A0A5F" w:rsidRDefault="00CB0DD7">
      <w:pPr>
        <w:pStyle w:val="PL"/>
      </w:pPr>
      <w:r w:rsidRPr="000A0A5F">
        <w:t xml:space="preserve">          description: Identifier of the SCS/AS as defined in clause 5.2.4 of 3GPP TS 29.122.</w:t>
      </w:r>
    </w:p>
    <w:p w:rsidR="00CB0DD7" w:rsidRPr="000A0A5F" w:rsidRDefault="00CB0DD7">
      <w:pPr>
        <w:pStyle w:val="PL"/>
      </w:pPr>
      <w:r w:rsidRPr="000A0A5F">
        <w:t xml:space="preserve">          required: true</w:t>
      </w:r>
    </w:p>
    <w:p w:rsidR="00CB0DD7" w:rsidRPr="000A0A5F" w:rsidRDefault="00CB0DD7">
      <w:pPr>
        <w:pStyle w:val="PL"/>
      </w:pPr>
      <w:r w:rsidRPr="000A0A5F">
        <w:t xml:space="preserve">          schema:</w:t>
      </w:r>
    </w:p>
    <w:p w:rsidR="00CB0DD7" w:rsidRPr="000A0A5F" w:rsidRDefault="00CB0DD7">
      <w:pPr>
        <w:pStyle w:val="PL"/>
      </w:pPr>
      <w:r w:rsidRPr="000A0A5F">
        <w:t xml:space="preserve">            type: string</w:t>
      </w:r>
    </w:p>
    <w:p w:rsidR="00CB0DD7" w:rsidRPr="000A0A5F" w:rsidRDefault="00CB0DD7">
      <w:pPr>
        <w:pStyle w:val="PL"/>
      </w:pPr>
      <w:r w:rsidRPr="000A0A5F">
        <w:t xml:space="preserve">        - name: subscriptionId</w:t>
      </w:r>
    </w:p>
    <w:p w:rsidR="00CB0DD7" w:rsidRPr="000A0A5F" w:rsidRDefault="00CB0DD7">
      <w:pPr>
        <w:pStyle w:val="PL"/>
      </w:pPr>
      <w:r w:rsidRPr="000A0A5F">
        <w:t xml:space="preserve">          in: path</w:t>
      </w:r>
    </w:p>
    <w:p w:rsidR="00CB0DD7" w:rsidRPr="000A0A5F" w:rsidRDefault="00CB0DD7">
      <w:pPr>
        <w:pStyle w:val="PL"/>
      </w:pPr>
      <w:r w:rsidRPr="000A0A5F">
        <w:t xml:space="preserve">          description: Subscription ID</w:t>
      </w:r>
    </w:p>
    <w:p w:rsidR="00CB0DD7" w:rsidRPr="000A0A5F" w:rsidRDefault="00CB0DD7">
      <w:pPr>
        <w:pStyle w:val="PL"/>
      </w:pPr>
      <w:r w:rsidRPr="000A0A5F">
        <w:t xml:space="preserve">          required: true</w:t>
      </w:r>
    </w:p>
    <w:p w:rsidR="00CB0DD7" w:rsidRPr="000A0A5F" w:rsidRDefault="00CB0DD7">
      <w:pPr>
        <w:pStyle w:val="PL"/>
      </w:pPr>
      <w:r w:rsidRPr="000A0A5F">
        <w:t xml:space="preserve">          schema:</w:t>
      </w:r>
    </w:p>
    <w:p w:rsidR="00CB0DD7" w:rsidRPr="000A0A5F" w:rsidRDefault="00CB0DD7">
      <w:pPr>
        <w:pStyle w:val="PL"/>
      </w:pPr>
      <w:r w:rsidRPr="000A0A5F">
        <w:t xml:space="preserve">            type: string</w:t>
      </w:r>
    </w:p>
    <w:p w:rsidR="002C68BF" w:rsidRPr="000A0A5F" w:rsidRDefault="002C68BF" w:rsidP="002C68BF">
      <w:pPr>
        <w:pStyle w:val="PL"/>
      </w:pPr>
      <w:r w:rsidRPr="000A0A5F">
        <w:t xml:space="preserve">      summary: Read a CP parameter provisioning subscription </w:t>
      </w:r>
      <w:r w:rsidRPr="000A0A5F">
        <w:rPr>
          <w:lang w:eastAsia="zh-CN"/>
        </w:rPr>
        <w:t>resource.</w:t>
      </w:r>
    </w:p>
    <w:p w:rsidR="002C68BF" w:rsidRPr="000A0A5F" w:rsidRDefault="002C68BF" w:rsidP="002C68BF">
      <w:pPr>
        <w:pStyle w:val="PL"/>
      </w:pPr>
      <w:r w:rsidRPr="000A0A5F">
        <w:t xml:space="preserve">      </w:t>
      </w:r>
      <w:r w:rsidRPr="000A0A5F">
        <w:rPr>
          <w:rFonts w:cs="Courier New"/>
          <w:szCs w:val="16"/>
        </w:rPr>
        <w:t>operationId: FetchInd</w:t>
      </w:r>
      <w:r w:rsidRPr="000A0A5F">
        <w:t>CPProvisioningSubscription</w:t>
      </w:r>
    </w:p>
    <w:p w:rsidR="002C68BF" w:rsidRPr="000A0A5F" w:rsidRDefault="002C68BF" w:rsidP="002C68BF">
      <w:pPr>
        <w:pStyle w:val="PL"/>
      </w:pPr>
      <w:r w:rsidRPr="000A0A5F">
        <w:t xml:space="preserve">      tags:</w:t>
      </w:r>
    </w:p>
    <w:p w:rsidR="002C68BF" w:rsidRPr="000A0A5F" w:rsidRDefault="002C68BF" w:rsidP="002C68BF">
      <w:pPr>
        <w:pStyle w:val="PL"/>
      </w:pPr>
      <w:r w:rsidRPr="000A0A5F">
        <w:t xml:space="preserve">        - Individual CP Provisioning Subscription</w:t>
      </w:r>
    </w:p>
    <w:p w:rsidR="00CB0DD7" w:rsidRPr="000A0A5F" w:rsidRDefault="00CB0DD7">
      <w:pPr>
        <w:pStyle w:val="PL"/>
      </w:pPr>
      <w:r w:rsidRPr="000A0A5F">
        <w:t xml:space="preserve">      responses:</w:t>
      </w:r>
    </w:p>
    <w:p w:rsidR="00CB0DD7" w:rsidRPr="000A0A5F" w:rsidRDefault="00CB0DD7">
      <w:pPr>
        <w:pStyle w:val="PL"/>
      </w:pPr>
      <w:r w:rsidRPr="000A0A5F">
        <w:t xml:space="preserve">        '200':</w:t>
      </w:r>
    </w:p>
    <w:p w:rsidR="00CB0DD7" w:rsidRPr="000A0A5F" w:rsidRDefault="00CB0DD7">
      <w:pPr>
        <w:pStyle w:val="PL"/>
      </w:pPr>
      <w:r w:rsidRPr="000A0A5F">
        <w:t xml:space="preserve">          description: OK. The subscription information related to the request URI is returned.</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application/json:</w:t>
      </w:r>
    </w:p>
    <w:p w:rsidR="00CB0DD7" w:rsidRPr="000A0A5F" w:rsidRDefault="00CB0DD7">
      <w:pPr>
        <w:pStyle w:val="PL"/>
      </w:pPr>
      <w:r w:rsidRPr="000A0A5F">
        <w:t xml:space="preserve">              schema:</w:t>
      </w:r>
    </w:p>
    <w:p w:rsidR="00CB0DD7" w:rsidRPr="000A0A5F" w:rsidRDefault="00CB0DD7">
      <w:pPr>
        <w:pStyle w:val="PL"/>
      </w:pPr>
      <w:r w:rsidRPr="000A0A5F">
        <w:t xml:space="preserve">                $ref: '#/components/schemas/CpInfo'</w:t>
      </w:r>
    </w:p>
    <w:p w:rsidR="00CB0DD7" w:rsidRPr="000A0A5F" w:rsidRDefault="00CB0DD7">
      <w:pPr>
        <w:pStyle w:val="PL"/>
      </w:pPr>
      <w:r w:rsidRPr="000A0A5F">
        <w:t xml:space="preserve">        '307':</w:t>
      </w:r>
    </w:p>
    <w:p w:rsidR="00CB0DD7" w:rsidRPr="000A0A5F" w:rsidRDefault="00CB0DD7">
      <w:pPr>
        <w:pStyle w:val="PL"/>
      </w:pPr>
      <w:r w:rsidRPr="000A0A5F">
        <w:t xml:space="preserve">          $ref: 'TS29122_CommonData.yaml#/components/responses/307'</w:t>
      </w:r>
    </w:p>
    <w:p w:rsidR="00CB0DD7" w:rsidRPr="000A0A5F" w:rsidRDefault="00CB0DD7">
      <w:pPr>
        <w:pStyle w:val="PL"/>
      </w:pPr>
      <w:r w:rsidRPr="000A0A5F">
        <w:t xml:space="preserve">        '308':</w:t>
      </w:r>
    </w:p>
    <w:p w:rsidR="00CB0DD7" w:rsidRPr="000A0A5F" w:rsidRDefault="00CB0DD7">
      <w:pPr>
        <w:pStyle w:val="PL"/>
      </w:pPr>
      <w:r w:rsidRPr="000A0A5F">
        <w:t xml:space="preserve">          $ref: 'TS29122_CommonData.yaml#/components/responses/308'</w:t>
      </w:r>
    </w:p>
    <w:p w:rsidR="00CB0DD7" w:rsidRPr="000A0A5F" w:rsidRDefault="00CB0DD7">
      <w:pPr>
        <w:pStyle w:val="PL"/>
      </w:pPr>
      <w:r w:rsidRPr="000A0A5F">
        <w:t xml:space="preserve">        '400':</w:t>
      </w:r>
    </w:p>
    <w:p w:rsidR="00CB0DD7" w:rsidRPr="000A0A5F" w:rsidRDefault="00CB0DD7">
      <w:pPr>
        <w:pStyle w:val="PL"/>
      </w:pPr>
      <w:r w:rsidRPr="000A0A5F">
        <w:t xml:space="preserve">          $ref: 'TS29122_CommonData.yaml#/components/responses/400'</w:t>
      </w:r>
    </w:p>
    <w:p w:rsidR="00CB0DD7" w:rsidRPr="000A0A5F" w:rsidRDefault="00CB0DD7">
      <w:pPr>
        <w:pStyle w:val="PL"/>
      </w:pPr>
      <w:r w:rsidRPr="000A0A5F">
        <w:t xml:space="preserve">        '401':</w:t>
      </w:r>
    </w:p>
    <w:p w:rsidR="00CB0DD7" w:rsidRPr="000A0A5F" w:rsidRDefault="00CB0DD7">
      <w:pPr>
        <w:pStyle w:val="PL"/>
      </w:pPr>
      <w:r w:rsidRPr="000A0A5F">
        <w:t xml:space="preserve">          $ref: 'TS29122_CommonData.yaml#/components/responses/401'</w:t>
      </w:r>
    </w:p>
    <w:p w:rsidR="00CB0DD7" w:rsidRPr="000A0A5F" w:rsidRDefault="00CB0DD7">
      <w:pPr>
        <w:pStyle w:val="PL"/>
      </w:pPr>
      <w:r w:rsidRPr="000A0A5F">
        <w:t xml:space="preserve">        '403':</w:t>
      </w:r>
    </w:p>
    <w:p w:rsidR="00CB0DD7" w:rsidRPr="000A0A5F" w:rsidRDefault="00CB0DD7">
      <w:pPr>
        <w:pStyle w:val="PL"/>
      </w:pPr>
      <w:r w:rsidRPr="000A0A5F">
        <w:t xml:space="preserve">          $ref: 'TS29122_CommonData.yaml#/components/responses/403'</w:t>
      </w:r>
    </w:p>
    <w:p w:rsidR="00CB0DD7" w:rsidRPr="000A0A5F" w:rsidRDefault="00CB0DD7">
      <w:pPr>
        <w:pStyle w:val="PL"/>
      </w:pPr>
      <w:r w:rsidRPr="000A0A5F">
        <w:t xml:space="preserve">        '404':</w:t>
      </w:r>
    </w:p>
    <w:p w:rsidR="00CB0DD7" w:rsidRPr="000A0A5F" w:rsidRDefault="00CB0DD7">
      <w:pPr>
        <w:pStyle w:val="PL"/>
      </w:pPr>
      <w:r w:rsidRPr="000A0A5F">
        <w:t xml:space="preserve">          $ref: 'TS29122_CommonData.yaml#/components/responses/404'</w:t>
      </w:r>
    </w:p>
    <w:p w:rsidR="00CB0DD7" w:rsidRPr="000A0A5F" w:rsidRDefault="00CB0DD7">
      <w:pPr>
        <w:pStyle w:val="PL"/>
      </w:pPr>
      <w:r w:rsidRPr="000A0A5F">
        <w:t xml:space="preserve">        '406':</w:t>
      </w:r>
    </w:p>
    <w:p w:rsidR="00CB0DD7" w:rsidRPr="000A0A5F" w:rsidRDefault="00CB0DD7">
      <w:pPr>
        <w:pStyle w:val="PL"/>
      </w:pPr>
      <w:r w:rsidRPr="000A0A5F">
        <w:t xml:space="preserve">          $ref: 'TS29122_CommonData.yaml#/components/responses/406'</w:t>
      </w:r>
    </w:p>
    <w:p w:rsidR="00CB0DD7" w:rsidRPr="000A0A5F" w:rsidRDefault="00CB0DD7">
      <w:pPr>
        <w:pStyle w:val="PL"/>
      </w:pPr>
      <w:r w:rsidRPr="000A0A5F">
        <w:t xml:space="preserve">        '429':</w:t>
      </w:r>
    </w:p>
    <w:p w:rsidR="00CB0DD7" w:rsidRPr="000A0A5F" w:rsidRDefault="00CB0DD7">
      <w:pPr>
        <w:pStyle w:val="PL"/>
      </w:pPr>
      <w:r w:rsidRPr="000A0A5F">
        <w:t xml:space="preserve">          $ref: 'TS29122_CommonData.yaml#/components/responses/429'</w:t>
      </w:r>
    </w:p>
    <w:p w:rsidR="00CB0DD7" w:rsidRPr="000A0A5F" w:rsidRDefault="00CB0DD7">
      <w:pPr>
        <w:pStyle w:val="PL"/>
      </w:pPr>
      <w:r w:rsidRPr="000A0A5F">
        <w:t xml:space="preserve">        '500':</w:t>
      </w:r>
    </w:p>
    <w:p w:rsidR="00CB0DD7" w:rsidRPr="000A0A5F" w:rsidRDefault="00CB0DD7">
      <w:pPr>
        <w:pStyle w:val="PL"/>
      </w:pPr>
      <w:r w:rsidRPr="000A0A5F">
        <w:t xml:space="preserve">          $ref: 'TS29122_CommonData.yaml#/components/responses/500'</w:t>
      </w:r>
    </w:p>
    <w:p w:rsidR="00CB0DD7" w:rsidRPr="000A0A5F" w:rsidRDefault="00CB0DD7">
      <w:pPr>
        <w:pStyle w:val="PL"/>
      </w:pPr>
      <w:r w:rsidRPr="000A0A5F">
        <w:t xml:space="preserve">        '503':</w:t>
      </w:r>
    </w:p>
    <w:p w:rsidR="00CB0DD7" w:rsidRPr="000A0A5F" w:rsidRDefault="00CB0DD7">
      <w:pPr>
        <w:pStyle w:val="PL"/>
      </w:pPr>
      <w:r w:rsidRPr="000A0A5F">
        <w:t xml:space="preserve">          $ref: 'TS29122_CommonData.yaml#/components/responses/503'</w:t>
      </w:r>
    </w:p>
    <w:p w:rsidR="00CB0DD7" w:rsidRPr="000A0A5F" w:rsidRDefault="00CB0DD7">
      <w:pPr>
        <w:pStyle w:val="PL"/>
      </w:pPr>
      <w:r w:rsidRPr="000A0A5F">
        <w:t xml:space="preserve">        default:</w:t>
      </w:r>
    </w:p>
    <w:p w:rsidR="00CB0DD7" w:rsidRPr="000A0A5F" w:rsidRDefault="00CB0DD7">
      <w:pPr>
        <w:pStyle w:val="PL"/>
      </w:pPr>
      <w:r w:rsidRPr="000A0A5F">
        <w:t xml:space="preserve">          $ref: 'TS29122_CommonData.yaml#/components/responses/default'</w:t>
      </w:r>
    </w:p>
    <w:p w:rsidR="00CB0DD7" w:rsidRPr="000A0A5F" w:rsidRDefault="00CB0DD7">
      <w:pPr>
        <w:pStyle w:val="PL"/>
      </w:pPr>
      <w:r w:rsidRPr="000A0A5F">
        <w:t xml:space="preserve">    put:</w:t>
      </w:r>
    </w:p>
    <w:p w:rsidR="002C68BF" w:rsidRPr="000A0A5F" w:rsidRDefault="002C68BF" w:rsidP="002C68BF">
      <w:pPr>
        <w:pStyle w:val="PL"/>
      </w:pPr>
      <w:r w:rsidRPr="000A0A5F">
        <w:t xml:space="preserve">      summary: Modify a CP parameter provisioning subscription resource.</w:t>
      </w:r>
    </w:p>
    <w:p w:rsidR="002C68BF" w:rsidRPr="000A0A5F" w:rsidRDefault="002C68BF" w:rsidP="002C68BF">
      <w:pPr>
        <w:pStyle w:val="PL"/>
      </w:pPr>
      <w:r w:rsidRPr="000A0A5F">
        <w:t xml:space="preserve">      </w:t>
      </w:r>
      <w:r w:rsidRPr="000A0A5F">
        <w:rPr>
          <w:rFonts w:cs="Courier New"/>
          <w:szCs w:val="16"/>
        </w:rPr>
        <w:t>operationId: UpdateInd</w:t>
      </w:r>
      <w:r w:rsidRPr="000A0A5F">
        <w:t>CPProvisioningSubscription</w:t>
      </w:r>
    </w:p>
    <w:p w:rsidR="002C68BF" w:rsidRPr="000A0A5F" w:rsidRDefault="002C68BF" w:rsidP="002C68BF">
      <w:pPr>
        <w:pStyle w:val="PL"/>
      </w:pPr>
      <w:r w:rsidRPr="000A0A5F">
        <w:t xml:space="preserve">      tags:</w:t>
      </w:r>
    </w:p>
    <w:p w:rsidR="002C68BF" w:rsidRPr="000A0A5F" w:rsidRDefault="002C68BF" w:rsidP="002C68BF">
      <w:pPr>
        <w:pStyle w:val="PL"/>
      </w:pPr>
      <w:r w:rsidRPr="000A0A5F">
        <w:t xml:space="preserve">        - Individual CP Provisioning Subscription</w:t>
      </w:r>
    </w:p>
    <w:p w:rsidR="00CB0DD7" w:rsidRPr="000A0A5F" w:rsidRDefault="00CB0DD7">
      <w:pPr>
        <w:pStyle w:val="PL"/>
      </w:pPr>
      <w:r w:rsidRPr="000A0A5F">
        <w:t xml:space="preserve">      requestBody:</w:t>
      </w:r>
    </w:p>
    <w:p w:rsidR="00CB0DD7" w:rsidRPr="000A0A5F" w:rsidRDefault="00CB0DD7">
      <w:pPr>
        <w:pStyle w:val="PL"/>
      </w:pPr>
      <w:r w:rsidRPr="000A0A5F">
        <w:t xml:space="preserve">        description: Modify a CP parameter provisioning subscription resource.</w:t>
      </w:r>
    </w:p>
    <w:p w:rsidR="00CB0DD7" w:rsidRPr="000A0A5F" w:rsidRDefault="00CB0DD7">
      <w:pPr>
        <w:pStyle w:val="PL"/>
      </w:pPr>
      <w:r w:rsidRPr="000A0A5F">
        <w:t xml:space="preserve">        required: true</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application/json:</w:t>
      </w:r>
    </w:p>
    <w:p w:rsidR="00CB0DD7" w:rsidRPr="000A0A5F" w:rsidRDefault="00CB0DD7">
      <w:pPr>
        <w:pStyle w:val="PL"/>
      </w:pPr>
      <w:r w:rsidRPr="000A0A5F">
        <w:t xml:space="preserve">            schema:</w:t>
      </w:r>
    </w:p>
    <w:p w:rsidR="00CB0DD7" w:rsidRPr="000A0A5F" w:rsidRDefault="00CB0DD7">
      <w:pPr>
        <w:pStyle w:val="PL"/>
      </w:pPr>
      <w:r w:rsidRPr="000A0A5F">
        <w:t xml:space="preserve">              $ref: '#/components/schemas/CpInfo'</w:t>
      </w:r>
    </w:p>
    <w:p w:rsidR="00CB0DD7" w:rsidRPr="000A0A5F" w:rsidRDefault="00CB0DD7">
      <w:pPr>
        <w:pStyle w:val="PL"/>
      </w:pPr>
      <w:r w:rsidRPr="000A0A5F">
        <w:t xml:space="preserve">      parameters:</w:t>
      </w:r>
    </w:p>
    <w:p w:rsidR="00CB0DD7" w:rsidRPr="000A0A5F" w:rsidRDefault="00CB0DD7">
      <w:pPr>
        <w:pStyle w:val="PL"/>
      </w:pPr>
      <w:r w:rsidRPr="000A0A5F">
        <w:t xml:space="preserve">        - name: scsAsId</w:t>
      </w:r>
    </w:p>
    <w:p w:rsidR="00CB0DD7" w:rsidRPr="000A0A5F" w:rsidRDefault="00CB0DD7">
      <w:pPr>
        <w:pStyle w:val="PL"/>
      </w:pPr>
      <w:r w:rsidRPr="000A0A5F">
        <w:t xml:space="preserve">          in: path</w:t>
      </w:r>
    </w:p>
    <w:p w:rsidR="00CB0DD7" w:rsidRPr="000A0A5F" w:rsidRDefault="00CB0DD7">
      <w:pPr>
        <w:pStyle w:val="PL"/>
      </w:pPr>
      <w:r w:rsidRPr="000A0A5F">
        <w:t xml:space="preserve">          description: Identifier of the SCS/AS as defined in clause 5.2.4 of 3GPP TS 29.122.</w:t>
      </w:r>
    </w:p>
    <w:p w:rsidR="00CB0DD7" w:rsidRPr="000A0A5F" w:rsidRDefault="00CB0DD7">
      <w:pPr>
        <w:pStyle w:val="PL"/>
      </w:pPr>
      <w:r w:rsidRPr="000A0A5F">
        <w:t xml:space="preserve">          required: true</w:t>
      </w:r>
    </w:p>
    <w:p w:rsidR="00CB0DD7" w:rsidRPr="000A0A5F" w:rsidRDefault="00CB0DD7">
      <w:pPr>
        <w:pStyle w:val="PL"/>
      </w:pPr>
      <w:r w:rsidRPr="000A0A5F">
        <w:t xml:space="preserve">          schema:</w:t>
      </w:r>
    </w:p>
    <w:p w:rsidR="00CB0DD7" w:rsidRPr="000A0A5F" w:rsidRDefault="00CB0DD7">
      <w:pPr>
        <w:pStyle w:val="PL"/>
      </w:pPr>
      <w:r w:rsidRPr="000A0A5F">
        <w:t xml:space="preserve">            type: string</w:t>
      </w:r>
    </w:p>
    <w:p w:rsidR="00CB0DD7" w:rsidRPr="000A0A5F" w:rsidRDefault="00CB0DD7">
      <w:pPr>
        <w:pStyle w:val="PL"/>
      </w:pPr>
      <w:r w:rsidRPr="000A0A5F">
        <w:t xml:space="preserve">        - name: subscriptionId</w:t>
      </w:r>
    </w:p>
    <w:p w:rsidR="00CB0DD7" w:rsidRPr="000A0A5F" w:rsidRDefault="00CB0DD7">
      <w:pPr>
        <w:pStyle w:val="PL"/>
      </w:pPr>
      <w:r w:rsidRPr="000A0A5F">
        <w:t xml:space="preserve">          in: path</w:t>
      </w:r>
    </w:p>
    <w:p w:rsidR="00CB0DD7" w:rsidRPr="000A0A5F" w:rsidRDefault="00CB0DD7">
      <w:pPr>
        <w:pStyle w:val="PL"/>
      </w:pPr>
      <w:r w:rsidRPr="000A0A5F">
        <w:t xml:space="preserve">          description: Subscription ID</w:t>
      </w:r>
    </w:p>
    <w:p w:rsidR="00CB0DD7" w:rsidRPr="000A0A5F" w:rsidRDefault="00CB0DD7">
      <w:pPr>
        <w:pStyle w:val="PL"/>
      </w:pPr>
      <w:r w:rsidRPr="000A0A5F">
        <w:t xml:space="preserve">          required: true</w:t>
      </w:r>
    </w:p>
    <w:p w:rsidR="00CB0DD7" w:rsidRPr="000A0A5F" w:rsidRDefault="00CB0DD7">
      <w:pPr>
        <w:pStyle w:val="PL"/>
      </w:pPr>
      <w:r w:rsidRPr="000A0A5F">
        <w:t xml:space="preserve">          schema:</w:t>
      </w:r>
    </w:p>
    <w:p w:rsidR="00CB0DD7" w:rsidRPr="000A0A5F" w:rsidRDefault="00CB0DD7">
      <w:pPr>
        <w:pStyle w:val="PL"/>
      </w:pPr>
      <w:r w:rsidRPr="000A0A5F">
        <w:t xml:space="preserve">            type: string</w:t>
      </w:r>
    </w:p>
    <w:p w:rsidR="00CB0DD7" w:rsidRPr="000A0A5F" w:rsidRDefault="00CB0DD7">
      <w:pPr>
        <w:pStyle w:val="PL"/>
      </w:pPr>
      <w:r w:rsidRPr="000A0A5F">
        <w:t xml:space="preserve">      responses:</w:t>
      </w:r>
    </w:p>
    <w:p w:rsidR="00CB0DD7" w:rsidRPr="000A0A5F" w:rsidRDefault="00CB0DD7">
      <w:pPr>
        <w:pStyle w:val="PL"/>
      </w:pPr>
      <w:r w:rsidRPr="000A0A5F">
        <w:t xml:space="preserve">        '200':</w:t>
      </w:r>
    </w:p>
    <w:p w:rsidR="00337644" w:rsidRPr="000A0A5F" w:rsidRDefault="00CB0DD7">
      <w:pPr>
        <w:pStyle w:val="PL"/>
      </w:pPr>
      <w:r w:rsidRPr="000A0A5F">
        <w:t xml:space="preserve">          description: </w:t>
      </w:r>
      <w:r w:rsidR="00337644" w:rsidRPr="000A0A5F">
        <w:t>&gt;</w:t>
      </w:r>
    </w:p>
    <w:p w:rsidR="00670EA1" w:rsidRPr="000A0A5F" w:rsidRDefault="00670EA1" w:rsidP="00670EA1">
      <w:pPr>
        <w:pStyle w:val="PL"/>
      </w:pPr>
      <w:r w:rsidRPr="000A0A5F">
        <w:t xml:space="preserve">            OK. The subscription was modified successfully. The SCEF shall return an updated</w:t>
      </w:r>
    </w:p>
    <w:p w:rsidR="00670EA1" w:rsidRPr="000A0A5F" w:rsidRDefault="00670EA1" w:rsidP="00670EA1">
      <w:pPr>
        <w:pStyle w:val="PL"/>
      </w:pPr>
      <w:r w:rsidRPr="000A0A5F">
        <w:t xml:space="preserve">            subscription in the response content.</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application/json:</w:t>
      </w:r>
    </w:p>
    <w:p w:rsidR="00CB0DD7" w:rsidRPr="000A0A5F" w:rsidRDefault="00CB0DD7">
      <w:pPr>
        <w:pStyle w:val="PL"/>
      </w:pPr>
      <w:r w:rsidRPr="000A0A5F">
        <w:t xml:space="preserve">              schema:</w:t>
      </w:r>
    </w:p>
    <w:p w:rsidR="00CB0DD7" w:rsidRPr="000A0A5F" w:rsidRDefault="00CB0DD7">
      <w:pPr>
        <w:pStyle w:val="PL"/>
      </w:pPr>
      <w:r w:rsidRPr="000A0A5F">
        <w:t xml:space="preserve">                $ref: '#/components/schemas/CpInfo'</w:t>
      </w:r>
    </w:p>
    <w:p w:rsidR="004A2E07" w:rsidRPr="000A0A5F" w:rsidRDefault="004A2E07" w:rsidP="004A2E07">
      <w:pPr>
        <w:pStyle w:val="PL"/>
      </w:pPr>
      <w:r w:rsidRPr="000A0A5F">
        <w:t xml:space="preserve">        '204':</w:t>
      </w:r>
    </w:p>
    <w:p w:rsidR="00337644" w:rsidRPr="000A0A5F" w:rsidRDefault="004A2E07" w:rsidP="004A2E07">
      <w:pPr>
        <w:pStyle w:val="PL"/>
      </w:pPr>
      <w:r w:rsidRPr="000A0A5F">
        <w:t xml:space="preserve">          description: </w:t>
      </w:r>
      <w:r w:rsidR="00337644" w:rsidRPr="000A0A5F">
        <w:t>&gt;</w:t>
      </w:r>
    </w:p>
    <w:p w:rsidR="00337644" w:rsidRPr="000A0A5F" w:rsidRDefault="00337644" w:rsidP="004A2E07">
      <w:pPr>
        <w:pStyle w:val="PL"/>
      </w:pPr>
      <w:r w:rsidRPr="000A0A5F">
        <w:t xml:space="preserve">            </w:t>
      </w:r>
      <w:r w:rsidR="004A2E07" w:rsidRPr="000A0A5F">
        <w:t>No Content. The subscription was modified successfully and no content is to be sent</w:t>
      </w:r>
    </w:p>
    <w:p w:rsidR="004A2E07" w:rsidRPr="000A0A5F" w:rsidRDefault="00337644" w:rsidP="004A2E07">
      <w:pPr>
        <w:pStyle w:val="PL"/>
      </w:pPr>
      <w:r w:rsidRPr="000A0A5F">
        <w:t xml:space="preserve">           </w:t>
      </w:r>
      <w:r w:rsidR="004A2E07" w:rsidRPr="000A0A5F">
        <w:t xml:space="preserve"> in the response message body.</w:t>
      </w:r>
    </w:p>
    <w:p w:rsidR="00CB0DD7" w:rsidRPr="000A0A5F" w:rsidRDefault="00CB0DD7">
      <w:pPr>
        <w:pStyle w:val="PL"/>
      </w:pPr>
      <w:r w:rsidRPr="000A0A5F">
        <w:t xml:space="preserve">        '307':</w:t>
      </w:r>
    </w:p>
    <w:p w:rsidR="00CB0DD7" w:rsidRPr="000A0A5F" w:rsidRDefault="00CB0DD7">
      <w:pPr>
        <w:pStyle w:val="PL"/>
      </w:pPr>
      <w:r w:rsidRPr="000A0A5F">
        <w:t xml:space="preserve">          $ref: 'TS29122_CommonData.yaml#/components/responses/307'</w:t>
      </w:r>
    </w:p>
    <w:p w:rsidR="00CB0DD7" w:rsidRPr="000A0A5F" w:rsidRDefault="00CB0DD7">
      <w:pPr>
        <w:pStyle w:val="PL"/>
      </w:pPr>
      <w:r w:rsidRPr="000A0A5F">
        <w:t xml:space="preserve">        '308':</w:t>
      </w:r>
    </w:p>
    <w:p w:rsidR="00CB0DD7" w:rsidRPr="000A0A5F" w:rsidRDefault="00CB0DD7">
      <w:pPr>
        <w:pStyle w:val="PL"/>
      </w:pPr>
      <w:r w:rsidRPr="000A0A5F">
        <w:t xml:space="preserve">          $ref: 'TS29122_CommonData.yaml#/components/responses/308'</w:t>
      </w:r>
    </w:p>
    <w:p w:rsidR="00CB0DD7" w:rsidRPr="000A0A5F" w:rsidRDefault="00CB0DD7">
      <w:pPr>
        <w:pStyle w:val="PL"/>
      </w:pPr>
      <w:r w:rsidRPr="000A0A5F">
        <w:t xml:space="preserve">        '400':</w:t>
      </w:r>
    </w:p>
    <w:p w:rsidR="00CB0DD7" w:rsidRPr="000A0A5F" w:rsidRDefault="00CB0DD7">
      <w:pPr>
        <w:pStyle w:val="PL"/>
      </w:pPr>
      <w:r w:rsidRPr="000A0A5F">
        <w:t xml:space="preserve">          $ref: 'TS29122_CommonData.yaml#/components/responses/400'</w:t>
      </w:r>
    </w:p>
    <w:p w:rsidR="00CB0DD7" w:rsidRPr="000A0A5F" w:rsidRDefault="00CB0DD7">
      <w:pPr>
        <w:pStyle w:val="PL"/>
      </w:pPr>
      <w:r w:rsidRPr="000A0A5F">
        <w:t xml:space="preserve">        '401':</w:t>
      </w:r>
    </w:p>
    <w:p w:rsidR="00CB0DD7" w:rsidRPr="000A0A5F" w:rsidRDefault="00CB0DD7">
      <w:pPr>
        <w:pStyle w:val="PL"/>
      </w:pPr>
      <w:r w:rsidRPr="000A0A5F">
        <w:t xml:space="preserve">          $ref: 'TS29122_CommonData.yaml#/components/responses/401'</w:t>
      </w:r>
    </w:p>
    <w:p w:rsidR="00CB0DD7" w:rsidRPr="000A0A5F" w:rsidRDefault="00CB0DD7">
      <w:pPr>
        <w:pStyle w:val="PL"/>
      </w:pPr>
      <w:r w:rsidRPr="000A0A5F">
        <w:t xml:space="preserve">        '403':</w:t>
      </w:r>
    </w:p>
    <w:p w:rsidR="00CB0DD7" w:rsidRPr="000A0A5F" w:rsidRDefault="00CB0DD7">
      <w:pPr>
        <w:pStyle w:val="PL"/>
      </w:pPr>
      <w:r w:rsidRPr="000A0A5F">
        <w:t xml:space="preserve">          $ref: 'TS29122_CommonData.yaml#/components/responses/403'</w:t>
      </w:r>
    </w:p>
    <w:p w:rsidR="00CB0DD7" w:rsidRPr="000A0A5F" w:rsidRDefault="00CB0DD7">
      <w:pPr>
        <w:pStyle w:val="PL"/>
      </w:pPr>
      <w:r w:rsidRPr="000A0A5F">
        <w:t xml:space="preserve">        '404':</w:t>
      </w:r>
    </w:p>
    <w:p w:rsidR="00CB0DD7" w:rsidRPr="000A0A5F" w:rsidRDefault="00CB0DD7">
      <w:pPr>
        <w:pStyle w:val="PL"/>
      </w:pPr>
      <w:r w:rsidRPr="000A0A5F">
        <w:t xml:space="preserve">          $ref: 'TS29122_CommonData.yaml#/components/responses/404'</w:t>
      </w:r>
    </w:p>
    <w:p w:rsidR="00CB0DD7" w:rsidRPr="000A0A5F" w:rsidRDefault="00CB0DD7">
      <w:pPr>
        <w:pStyle w:val="PL"/>
      </w:pPr>
      <w:r w:rsidRPr="000A0A5F">
        <w:t xml:space="preserve">        '411':</w:t>
      </w:r>
    </w:p>
    <w:p w:rsidR="00CB0DD7" w:rsidRPr="000A0A5F" w:rsidRDefault="00CB0DD7">
      <w:pPr>
        <w:pStyle w:val="PL"/>
      </w:pPr>
      <w:r w:rsidRPr="000A0A5F">
        <w:t xml:space="preserve">          $ref: 'TS29122_CommonData.yaml#/components/responses/411'</w:t>
      </w:r>
    </w:p>
    <w:p w:rsidR="00CB0DD7" w:rsidRPr="000A0A5F" w:rsidRDefault="00CB0DD7">
      <w:pPr>
        <w:pStyle w:val="PL"/>
      </w:pPr>
      <w:r w:rsidRPr="000A0A5F">
        <w:t xml:space="preserve">        '413':</w:t>
      </w:r>
    </w:p>
    <w:p w:rsidR="00CB0DD7" w:rsidRPr="000A0A5F" w:rsidRDefault="00CB0DD7">
      <w:pPr>
        <w:pStyle w:val="PL"/>
      </w:pPr>
      <w:r w:rsidRPr="000A0A5F">
        <w:t xml:space="preserve">          $ref: 'TS29122_CommonData.yaml#/components/responses/413'</w:t>
      </w:r>
    </w:p>
    <w:p w:rsidR="00CB0DD7" w:rsidRPr="000A0A5F" w:rsidRDefault="00CB0DD7">
      <w:pPr>
        <w:pStyle w:val="PL"/>
      </w:pPr>
      <w:r w:rsidRPr="000A0A5F">
        <w:t xml:space="preserve">        '415':</w:t>
      </w:r>
    </w:p>
    <w:p w:rsidR="00CB0DD7" w:rsidRPr="000A0A5F" w:rsidRDefault="00CB0DD7">
      <w:pPr>
        <w:pStyle w:val="PL"/>
      </w:pPr>
      <w:r w:rsidRPr="000A0A5F">
        <w:t xml:space="preserve">          $ref: 'TS29122_CommonData.yaml#/components/responses/415'</w:t>
      </w:r>
    </w:p>
    <w:p w:rsidR="00CB0DD7" w:rsidRPr="000A0A5F" w:rsidRDefault="00CB0DD7">
      <w:pPr>
        <w:pStyle w:val="PL"/>
      </w:pPr>
      <w:r w:rsidRPr="000A0A5F">
        <w:t xml:space="preserve">        '429':</w:t>
      </w:r>
    </w:p>
    <w:p w:rsidR="00CB0DD7" w:rsidRPr="000A0A5F" w:rsidRDefault="00CB0DD7">
      <w:pPr>
        <w:pStyle w:val="PL"/>
      </w:pPr>
      <w:r w:rsidRPr="000A0A5F">
        <w:t xml:space="preserve">          $ref: 'TS29122_CommonData.yaml#/components/responses/429'</w:t>
      </w:r>
    </w:p>
    <w:p w:rsidR="00CB0DD7" w:rsidRPr="000A0A5F" w:rsidRDefault="00CB0DD7">
      <w:pPr>
        <w:pStyle w:val="PL"/>
      </w:pPr>
      <w:r w:rsidRPr="000A0A5F">
        <w:t xml:space="preserve">        '500':</w:t>
      </w:r>
    </w:p>
    <w:p w:rsidR="00337644" w:rsidRPr="000A0A5F" w:rsidRDefault="00CB0DD7">
      <w:pPr>
        <w:pStyle w:val="PL"/>
      </w:pPr>
      <w:r w:rsidRPr="000A0A5F">
        <w:t xml:space="preserve">          description: </w:t>
      </w:r>
      <w:r w:rsidR="00337644" w:rsidRPr="000A0A5F">
        <w:t>&gt;</w:t>
      </w:r>
    </w:p>
    <w:p w:rsidR="00337644" w:rsidRPr="000A0A5F" w:rsidRDefault="00337644">
      <w:pPr>
        <w:pStyle w:val="PL"/>
      </w:pPr>
      <w:r w:rsidRPr="000A0A5F">
        <w:t xml:space="preserve">            </w:t>
      </w:r>
      <w:r w:rsidR="00CB0DD7" w:rsidRPr="000A0A5F">
        <w:t>The CP parameters for all sets were not updated successfully. CpReport may be included</w:t>
      </w:r>
    </w:p>
    <w:p w:rsidR="00CB0DD7" w:rsidRPr="000A0A5F" w:rsidRDefault="00337644">
      <w:pPr>
        <w:pStyle w:val="PL"/>
      </w:pPr>
      <w:r w:rsidRPr="000A0A5F">
        <w:t xml:space="preserve">           </w:t>
      </w:r>
      <w:r w:rsidR="00CB0DD7" w:rsidRPr="000A0A5F">
        <w:t xml:space="preserve"> with detailed information.</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application/json:</w:t>
      </w:r>
    </w:p>
    <w:p w:rsidR="00CB0DD7" w:rsidRPr="000A0A5F" w:rsidRDefault="00CB0DD7">
      <w:pPr>
        <w:pStyle w:val="PL"/>
      </w:pPr>
      <w:r w:rsidRPr="000A0A5F">
        <w:t xml:space="preserve">              schema:</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$ref: '#/components/schemas/CpReport</w:t>
      </w:r>
      <w:r w:rsidRPr="000A0A5F">
        <w:rPr>
          <w:lang w:eastAsia="zh-CN"/>
        </w:rPr>
        <w:t>'</w:t>
      </w:r>
    </w:p>
    <w:p w:rsidR="00CB0DD7" w:rsidRPr="000A0A5F" w:rsidRDefault="00CB0DD7">
      <w:pPr>
        <w:pStyle w:val="PL"/>
      </w:pPr>
      <w:r w:rsidRPr="000A0A5F">
        <w:t xml:space="preserve">                minItems: 1</w:t>
      </w:r>
    </w:p>
    <w:p w:rsidR="00CB0DD7" w:rsidRPr="000A0A5F" w:rsidRDefault="00CB0DD7">
      <w:pPr>
        <w:pStyle w:val="PL"/>
      </w:pPr>
      <w:r w:rsidRPr="000A0A5F">
        <w:t xml:space="preserve">            application/problem+json:</w:t>
      </w:r>
    </w:p>
    <w:p w:rsidR="00CB0DD7" w:rsidRPr="000A0A5F" w:rsidRDefault="00CB0DD7">
      <w:pPr>
        <w:pStyle w:val="PL"/>
      </w:pPr>
      <w:r w:rsidRPr="000A0A5F">
        <w:t xml:space="preserve">              schema:</w:t>
      </w:r>
    </w:p>
    <w:p w:rsidR="00CB0DD7" w:rsidRPr="000A0A5F" w:rsidRDefault="00CB0DD7">
      <w:pPr>
        <w:pStyle w:val="PL"/>
        <w:rPr>
          <w:lang w:eastAsia="zh-CN"/>
        </w:rPr>
      </w:pPr>
      <w:r w:rsidRPr="000A0A5F">
        <w:rPr>
          <w:lang w:eastAsia="zh-CN"/>
        </w:rPr>
        <w:t xml:space="preserve">                $ref: '</w:t>
      </w:r>
      <w:r w:rsidRPr="000A0A5F">
        <w:t>TS29122_CommonData.yaml</w:t>
      </w:r>
      <w:r w:rsidRPr="000A0A5F">
        <w:rPr>
          <w:lang w:eastAsia="zh-CN"/>
        </w:rPr>
        <w:t>#/components/schemas/ProblemDetails'</w:t>
      </w:r>
    </w:p>
    <w:p w:rsidR="00CB0DD7" w:rsidRPr="000A0A5F" w:rsidRDefault="00CB0DD7">
      <w:pPr>
        <w:pStyle w:val="PL"/>
      </w:pPr>
      <w:r w:rsidRPr="000A0A5F">
        <w:t xml:space="preserve">        '503':</w:t>
      </w:r>
    </w:p>
    <w:p w:rsidR="00CB0DD7" w:rsidRPr="000A0A5F" w:rsidRDefault="00CB0DD7">
      <w:pPr>
        <w:pStyle w:val="PL"/>
      </w:pPr>
      <w:r w:rsidRPr="000A0A5F">
        <w:t xml:space="preserve">          $ref: 'TS29122_CommonData.yaml#/components/responses/503'</w:t>
      </w:r>
    </w:p>
    <w:p w:rsidR="00CB0DD7" w:rsidRPr="000A0A5F" w:rsidRDefault="00CB0DD7">
      <w:pPr>
        <w:pStyle w:val="PL"/>
      </w:pPr>
      <w:r w:rsidRPr="000A0A5F">
        <w:t xml:space="preserve">        default:</w:t>
      </w:r>
    </w:p>
    <w:p w:rsidR="00CB0DD7" w:rsidRPr="000A0A5F" w:rsidRDefault="00CB0DD7">
      <w:pPr>
        <w:pStyle w:val="PL"/>
      </w:pPr>
      <w:r w:rsidRPr="000A0A5F">
        <w:t xml:space="preserve">          $ref: 'TS29122_CommonData.yaml#/components/responses/default'</w:t>
      </w:r>
    </w:p>
    <w:p w:rsidR="00CB0DD7" w:rsidRPr="000A0A5F" w:rsidRDefault="00CB0DD7">
      <w:pPr>
        <w:pStyle w:val="PL"/>
      </w:pPr>
      <w:r w:rsidRPr="000A0A5F">
        <w:t xml:space="preserve">    delete:</w:t>
      </w:r>
    </w:p>
    <w:p w:rsidR="00CB0DD7" w:rsidRPr="000A0A5F" w:rsidRDefault="00CB0DD7">
      <w:pPr>
        <w:pStyle w:val="PL"/>
      </w:pPr>
      <w:r w:rsidRPr="000A0A5F">
        <w:t xml:space="preserve">      parameters:</w:t>
      </w:r>
    </w:p>
    <w:p w:rsidR="00CB0DD7" w:rsidRPr="000A0A5F" w:rsidRDefault="00CB0DD7">
      <w:pPr>
        <w:pStyle w:val="PL"/>
      </w:pPr>
      <w:r w:rsidRPr="000A0A5F">
        <w:t xml:space="preserve">        - name: scsAsId</w:t>
      </w:r>
    </w:p>
    <w:p w:rsidR="00CB0DD7" w:rsidRPr="000A0A5F" w:rsidRDefault="00CB0DD7">
      <w:pPr>
        <w:pStyle w:val="PL"/>
      </w:pPr>
      <w:r w:rsidRPr="000A0A5F">
        <w:t xml:space="preserve">          in: path</w:t>
      </w:r>
    </w:p>
    <w:p w:rsidR="00CB0DD7" w:rsidRPr="000A0A5F" w:rsidRDefault="00CB0DD7">
      <w:pPr>
        <w:pStyle w:val="PL"/>
      </w:pPr>
      <w:r w:rsidRPr="000A0A5F">
        <w:t xml:space="preserve">          description: Identifier of the SCS/AS as defined in clause 5.2.4 of 3GPP TS 29.122.</w:t>
      </w:r>
    </w:p>
    <w:p w:rsidR="00CB0DD7" w:rsidRPr="000A0A5F" w:rsidRDefault="00CB0DD7">
      <w:pPr>
        <w:pStyle w:val="PL"/>
      </w:pPr>
      <w:r w:rsidRPr="000A0A5F">
        <w:t xml:space="preserve">          required: true</w:t>
      </w:r>
    </w:p>
    <w:p w:rsidR="00CB0DD7" w:rsidRPr="000A0A5F" w:rsidRDefault="00CB0DD7">
      <w:pPr>
        <w:pStyle w:val="PL"/>
      </w:pPr>
      <w:r w:rsidRPr="000A0A5F">
        <w:t xml:space="preserve">          schema:</w:t>
      </w:r>
    </w:p>
    <w:p w:rsidR="00CB0DD7" w:rsidRPr="000A0A5F" w:rsidRDefault="00CB0DD7">
      <w:pPr>
        <w:pStyle w:val="PL"/>
      </w:pPr>
      <w:r w:rsidRPr="000A0A5F">
        <w:t xml:space="preserve">            type: string</w:t>
      </w:r>
    </w:p>
    <w:p w:rsidR="00CB0DD7" w:rsidRPr="000A0A5F" w:rsidRDefault="00CB0DD7">
      <w:pPr>
        <w:pStyle w:val="PL"/>
      </w:pPr>
      <w:r w:rsidRPr="000A0A5F">
        <w:t xml:space="preserve">        - name: subscriptionId</w:t>
      </w:r>
    </w:p>
    <w:p w:rsidR="00CB0DD7" w:rsidRPr="000A0A5F" w:rsidRDefault="00CB0DD7">
      <w:pPr>
        <w:pStyle w:val="PL"/>
      </w:pPr>
      <w:r w:rsidRPr="000A0A5F">
        <w:t xml:space="preserve">          in: path</w:t>
      </w:r>
    </w:p>
    <w:p w:rsidR="00CB0DD7" w:rsidRPr="000A0A5F" w:rsidRDefault="00CB0DD7">
      <w:pPr>
        <w:pStyle w:val="PL"/>
      </w:pPr>
      <w:r w:rsidRPr="000A0A5F">
        <w:t xml:space="preserve">          description: Subscription ID</w:t>
      </w:r>
    </w:p>
    <w:p w:rsidR="00CB0DD7" w:rsidRPr="000A0A5F" w:rsidRDefault="00CB0DD7">
      <w:pPr>
        <w:pStyle w:val="PL"/>
      </w:pPr>
      <w:r w:rsidRPr="000A0A5F">
        <w:t xml:space="preserve">          required: true</w:t>
      </w:r>
    </w:p>
    <w:p w:rsidR="00CB0DD7" w:rsidRPr="000A0A5F" w:rsidRDefault="00CB0DD7">
      <w:pPr>
        <w:pStyle w:val="PL"/>
      </w:pPr>
      <w:r w:rsidRPr="000A0A5F">
        <w:t xml:space="preserve">          schema:</w:t>
      </w:r>
    </w:p>
    <w:p w:rsidR="00CB0DD7" w:rsidRPr="000A0A5F" w:rsidRDefault="00CB0DD7">
      <w:pPr>
        <w:pStyle w:val="PL"/>
      </w:pPr>
      <w:r w:rsidRPr="000A0A5F">
        <w:t xml:space="preserve">            type: string</w:t>
      </w:r>
    </w:p>
    <w:p w:rsidR="002C68BF" w:rsidRPr="000A0A5F" w:rsidRDefault="002C68BF" w:rsidP="002C68BF">
      <w:pPr>
        <w:pStyle w:val="PL"/>
      </w:pPr>
      <w:r w:rsidRPr="000A0A5F">
        <w:t xml:space="preserve">      summary: Delete a CP parameter provisioning subscription </w:t>
      </w:r>
      <w:r w:rsidRPr="000A0A5F">
        <w:rPr>
          <w:lang w:eastAsia="zh-CN"/>
        </w:rPr>
        <w:t>resource.</w:t>
      </w:r>
    </w:p>
    <w:p w:rsidR="002C68BF" w:rsidRPr="000A0A5F" w:rsidRDefault="002C68BF" w:rsidP="002C68BF">
      <w:pPr>
        <w:pStyle w:val="PL"/>
      </w:pPr>
      <w:r w:rsidRPr="000A0A5F">
        <w:t xml:space="preserve">      </w:t>
      </w:r>
      <w:r w:rsidRPr="000A0A5F">
        <w:rPr>
          <w:rFonts w:cs="Courier New"/>
          <w:szCs w:val="16"/>
        </w:rPr>
        <w:t>operationId: DeleteInd</w:t>
      </w:r>
      <w:r w:rsidRPr="000A0A5F">
        <w:t>CPProvisioningSubscription</w:t>
      </w:r>
    </w:p>
    <w:p w:rsidR="002C68BF" w:rsidRPr="000A0A5F" w:rsidRDefault="002C68BF" w:rsidP="002C68BF">
      <w:pPr>
        <w:pStyle w:val="PL"/>
      </w:pPr>
      <w:r w:rsidRPr="000A0A5F">
        <w:t xml:space="preserve">      tags:</w:t>
      </w:r>
    </w:p>
    <w:p w:rsidR="002C68BF" w:rsidRPr="000A0A5F" w:rsidRDefault="002C68BF" w:rsidP="002C68BF">
      <w:pPr>
        <w:pStyle w:val="PL"/>
      </w:pPr>
      <w:r w:rsidRPr="000A0A5F">
        <w:t xml:space="preserve">        - Individual CP Provisioning Subscription</w:t>
      </w:r>
    </w:p>
    <w:p w:rsidR="00CB0DD7" w:rsidRPr="000A0A5F" w:rsidRDefault="00CB0DD7">
      <w:pPr>
        <w:pStyle w:val="PL"/>
      </w:pPr>
      <w:r w:rsidRPr="000A0A5F">
        <w:t xml:space="preserve">      responses:</w:t>
      </w:r>
    </w:p>
    <w:p w:rsidR="00CB0DD7" w:rsidRPr="000A0A5F" w:rsidRDefault="00CB0DD7">
      <w:pPr>
        <w:pStyle w:val="PL"/>
      </w:pPr>
      <w:r w:rsidRPr="000A0A5F">
        <w:t xml:space="preserve">        '204':</w:t>
      </w:r>
    </w:p>
    <w:p w:rsidR="00844CA4" w:rsidRPr="000A0A5F" w:rsidRDefault="00CB0DD7">
      <w:pPr>
        <w:pStyle w:val="PL"/>
      </w:pPr>
      <w:r w:rsidRPr="000A0A5F">
        <w:t xml:space="preserve">          description: </w:t>
      </w:r>
      <w:r w:rsidR="00844CA4" w:rsidRPr="000A0A5F">
        <w:t>&gt;</w:t>
      </w:r>
    </w:p>
    <w:p w:rsidR="00670EA1" w:rsidRPr="000A0A5F" w:rsidRDefault="00670EA1" w:rsidP="00670EA1">
      <w:pPr>
        <w:pStyle w:val="PL"/>
      </w:pPr>
      <w:r w:rsidRPr="000A0A5F">
        <w:t xml:space="preserve">            No Content. The </w:t>
      </w:r>
      <w:r w:rsidRPr="000A0A5F">
        <w:rPr>
          <w:lang w:eastAsia="zh-CN"/>
        </w:rPr>
        <w:t>subscription</w:t>
      </w:r>
      <w:r w:rsidRPr="000A0A5F">
        <w:t xml:space="preserve"> was </w:t>
      </w:r>
      <w:r w:rsidRPr="000A0A5F">
        <w:rPr>
          <w:lang w:eastAsia="zh-CN"/>
        </w:rPr>
        <w:t>deleted</w:t>
      </w:r>
      <w:r w:rsidRPr="000A0A5F">
        <w:t xml:space="preserve"> successfully.</w:t>
      </w:r>
      <w:r w:rsidRPr="000A0A5F">
        <w:rPr>
          <w:rFonts w:hint="eastAsia"/>
          <w:lang w:eastAsia="zh-CN"/>
        </w:rPr>
        <w:t xml:space="preserve"> </w:t>
      </w:r>
      <w:r w:rsidRPr="000A0A5F">
        <w:t>The content shall be empty.</w:t>
      </w:r>
    </w:p>
    <w:p w:rsidR="00CB0DD7" w:rsidRPr="000A0A5F" w:rsidRDefault="00CB0DD7">
      <w:pPr>
        <w:pStyle w:val="PL"/>
      </w:pPr>
      <w:r w:rsidRPr="000A0A5F">
        <w:t xml:space="preserve">        '307':</w:t>
      </w:r>
    </w:p>
    <w:p w:rsidR="00CB0DD7" w:rsidRPr="000A0A5F" w:rsidRDefault="00CB0DD7">
      <w:pPr>
        <w:pStyle w:val="PL"/>
      </w:pPr>
      <w:r w:rsidRPr="000A0A5F">
        <w:t xml:space="preserve">          $ref: 'TS29122_CommonData.yaml#/components/responses/307'</w:t>
      </w:r>
    </w:p>
    <w:p w:rsidR="00CB0DD7" w:rsidRPr="000A0A5F" w:rsidRDefault="00CB0DD7">
      <w:pPr>
        <w:pStyle w:val="PL"/>
      </w:pPr>
      <w:r w:rsidRPr="000A0A5F">
        <w:t xml:space="preserve">        '308':</w:t>
      </w:r>
    </w:p>
    <w:p w:rsidR="00CB0DD7" w:rsidRPr="000A0A5F" w:rsidRDefault="00CB0DD7">
      <w:pPr>
        <w:pStyle w:val="PL"/>
      </w:pPr>
      <w:r w:rsidRPr="000A0A5F">
        <w:t xml:space="preserve">          $ref: 'TS29122_CommonData.yaml#/components/responses/308'</w:t>
      </w:r>
    </w:p>
    <w:p w:rsidR="00CB0DD7" w:rsidRPr="000A0A5F" w:rsidRDefault="00CB0DD7">
      <w:pPr>
        <w:pStyle w:val="PL"/>
      </w:pPr>
      <w:r w:rsidRPr="000A0A5F">
        <w:t xml:space="preserve">        '400':</w:t>
      </w:r>
    </w:p>
    <w:p w:rsidR="00CB0DD7" w:rsidRPr="000A0A5F" w:rsidRDefault="00CB0DD7">
      <w:pPr>
        <w:pStyle w:val="PL"/>
      </w:pPr>
      <w:r w:rsidRPr="000A0A5F">
        <w:t xml:space="preserve">          $ref: 'TS29122_CommonData.yaml#/components/responses/400'</w:t>
      </w:r>
    </w:p>
    <w:p w:rsidR="00CB0DD7" w:rsidRPr="000A0A5F" w:rsidRDefault="00CB0DD7">
      <w:pPr>
        <w:pStyle w:val="PL"/>
      </w:pPr>
      <w:r w:rsidRPr="000A0A5F">
        <w:t xml:space="preserve">        '401':</w:t>
      </w:r>
    </w:p>
    <w:p w:rsidR="00CB0DD7" w:rsidRPr="000A0A5F" w:rsidRDefault="00CB0DD7">
      <w:pPr>
        <w:pStyle w:val="PL"/>
      </w:pPr>
      <w:r w:rsidRPr="000A0A5F">
        <w:t xml:space="preserve">          $ref: 'TS29122_CommonData.yaml#/components/responses/401'</w:t>
      </w:r>
    </w:p>
    <w:p w:rsidR="00CB0DD7" w:rsidRPr="000A0A5F" w:rsidRDefault="00CB0DD7">
      <w:pPr>
        <w:pStyle w:val="PL"/>
      </w:pPr>
      <w:r w:rsidRPr="000A0A5F">
        <w:t xml:space="preserve">        '403':</w:t>
      </w:r>
    </w:p>
    <w:p w:rsidR="00CB0DD7" w:rsidRPr="000A0A5F" w:rsidRDefault="00CB0DD7">
      <w:pPr>
        <w:pStyle w:val="PL"/>
      </w:pPr>
      <w:r w:rsidRPr="000A0A5F">
        <w:t xml:space="preserve">          $ref: 'TS29122_CommonData.yaml#/components/responses/403'</w:t>
      </w:r>
    </w:p>
    <w:p w:rsidR="00CB0DD7" w:rsidRPr="000A0A5F" w:rsidRDefault="00CB0DD7">
      <w:pPr>
        <w:pStyle w:val="PL"/>
      </w:pPr>
      <w:r w:rsidRPr="000A0A5F">
        <w:t xml:space="preserve">        '404':</w:t>
      </w:r>
    </w:p>
    <w:p w:rsidR="00CB0DD7" w:rsidRPr="000A0A5F" w:rsidRDefault="00CB0DD7">
      <w:pPr>
        <w:pStyle w:val="PL"/>
      </w:pPr>
      <w:r w:rsidRPr="000A0A5F">
        <w:t xml:space="preserve">          $ref: 'TS29122_CommonData.yaml#/components/responses/404'</w:t>
      </w:r>
    </w:p>
    <w:p w:rsidR="00CB0DD7" w:rsidRPr="000A0A5F" w:rsidRDefault="00CB0DD7">
      <w:pPr>
        <w:pStyle w:val="PL"/>
      </w:pPr>
      <w:r w:rsidRPr="000A0A5F">
        <w:t xml:space="preserve">        '429':</w:t>
      </w:r>
    </w:p>
    <w:p w:rsidR="00CB0DD7" w:rsidRPr="000A0A5F" w:rsidRDefault="00CB0DD7">
      <w:pPr>
        <w:pStyle w:val="PL"/>
      </w:pPr>
      <w:r w:rsidRPr="000A0A5F">
        <w:t xml:space="preserve">          $ref: 'TS29122_CommonData.yaml#/components/responses/429'</w:t>
      </w:r>
    </w:p>
    <w:p w:rsidR="00CB0DD7" w:rsidRPr="000A0A5F" w:rsidRDefault="00CB0DD7">
      <w:pPr>
        <w:pStyle w:val="PL"/>
      </w:pPr>
      <w:r w:rsidRPr="000A0A5F">
        <w:t xml:space="preserve">        '500':</w:t>
      </w:r>
    </w:p>
    <w:p w:rsidR="00CB0DD7" w:rsidRPr="000A0A5F" w:rsidRDefault="00CB0DD7">
      <w:pPr>
        <w:pStyle w:val="PL"/>
      </w:pPr>
      <w:r w:rsidRPr="000A0A5F">
        <w:t xml:space="preserve">          $ref: 'TS29122_CommonData.yaml#/components/responses/500'</w:t>
      </w:r>
    </w:p>
    <w:p w:rsidR="00CB0DD7" w:rsidRPr="000A0A5F" w:rsidRDefault="00CB0DD7">
      <w:pPr>
        <w:pStyle w:val="PL"/>
      </w:pPr>
      <w:r w:rsidRPr="000A0A5F">
        <w:t xml:space="preserve">        '503':</w:t>
      </w:r>
    </w:p>
    <w:p w:rsidR="00CB0DD7" w:rsidRPr="000A0A5F" w:rsidRDefault="00CB0DD7">
      <w:pPr>
        <w:pStyle w:val="PL"/>
      </w:pPr>
      <w:r w:rsidRPr="000A0A5F">
        <w:t xml:space="preserve">          $ref: 'TS29122_CommonData.yaml#/components/responses/503'</w:t>
      </w:r>
    </w:p>
    <w:p w:rsidR="00CB0DD7" w:rsidRPr="000A0A5F" w:rsidRDefault="00CB0DD7">
      <w:pPr>
        <w:pStyle w:val="PL"/>
      </w:pPr>
      <w:r w:rsidRPr="000A0A5F">
        <w:t xml:space="preserve">        default:</w:t>
      </w:r>
    </w:p>
    <w:p w:rsidR="00CB0DD7" w:rsidRPr="000A0A5F" w:rsidRDefault="00CB0DD7">
      <w:pPr>
        <w:pStyle w:val="PL"/>
      </w:pPr>
      <w:r w:rsidRPr="000A0A5F">
        <w:t xml:space="preserve">          $ref: 'TS29122_CommonData.yaml#/components/responses/default'</w:t>
      </w:r>
    </w:p>
    <w:p w:rsidR="00CB0DD7" w:rsidRPr="000A0A5F" w:rsidRDefault="00CB0DD7">
      <w:pPr>
        <w:pStyle w:val="PL"/>
      </w:pPr>
      <w:r w:rsidRPr="000A0A5F">
        <w:t xml:space="preserve">  /{scsAsId}/subscriptions/{subscriptionId}/cpSets/{setId}:</w:t>
      </w:r>
    </w:p>
    <w:p w:rsidR="00CB0DD7" w:rsidRPr="000A0A5F" w:rsidRDefault="00CB0DD7">
      <w:pPr>
        <w:pStyle w:val="PL"/>
      </w:pPr>
      <w:r w:rsidRPr="000A0A5F">
        <w:t xml:space="preserve">    get:</w:t>
      </w:r>
    </w:p>
    <w:p w:rsidR="00CB0DD7" w:rsidRPr="000A0A5F" w:rsidRDefault="00CB0DD7">
      <w:pPr>
        <w:pStyle w:val="PL"/>
      </w:pPr>
      <w:r w:rsidRPr="000A0A5F">
        <w:t xml:space="preserve">      parameters:</w:t>
      </w:r>
    </w:p>
    <w:p w:rsidR="00CB0DD7" w:rsidRPr="000A0A5F" w:rsidRDefault="00CB0DD7">
      <w:pPr>
        <w:pStyle w:val="PL"/>
      </w:pPr>
      <w:r w:rsidRPr="000A0A5F">
        <w:t xml:space="preserve">        - name: scsAsId</w:t>
      </w:r>
    </w:p>
    <w:p w:rsidR="00CB0DD7" w:rsidRPr="000A0A5F" w:rsidRDefault="00CB0DD7">
      <w:pPr>
        <w:pStyle w:val="PL"/>
      </w:pPr>
      <w:r w:rsidRPr="000A0A5F">
        <w:t xml:space="preserve">          in: path</w:t>
      </w:r>
    </w:p>
    <w:p w:rsidR="00CB0DD7" w:rsidRPr="000A0A5F" w:rsidRDefault="00CB0DD7">
      <w:pPr>
        <w:pStyle w:val="PL"/>
      </w:pPr>
      <w:r w:rsidRPr="000A0A5F">
        <w:t xml:space="preserve">          description: Identifier of the SCS/AS as defined in clause 5.2.4 of 3GPP TS 29.122.</w:t>
      </w:r>
    </w:p>
    <w:p w:rsidR="00CB0DD7" w:rsidRPr="000A0A5F" w:rsidRDefault="00CB0DD7">
      <w:pPr>
        <w:pStyle w:val="PL"/>
      </w:pPr>
      <w:r w:rsidRPr="000A0A5F">
        <w:t xml:space="preserve">          required: true</w:t>
      </w:r>
    </w:p>
    <w:p w:rsidR="00CB0DD7" w:rsidRPr="000A0A5F" w:rsidRDefault="00CB0DD7">
      <w:pPr>
        <w:pStyle w:val="PL"/>
      </w:pPr>
      <w:r w:rsidRPr="000A0A5F">
        <w:t xml:space="preserve">          schema:</w:t>
      </w:r>
    </w:p>
    <w:p w:rsidR="00CB0DD7" w:rsidRPr="000A0A5F" w:rsidRDefault="00CB0DD7">
      <w:pPr>
        <w:pStyle w:val="PL"/>
      </w:pPr>
      <w:r w:rsidRPr="000A0A5F">
        <w:t xml:space="preserve">            type: string</w:t>
      </w:r>
    </w:p>
    <w:p w:rsidR="00CB0DD7" w:rsidRPr="000A0A5F" w:rsidRDefault="00CB0DD7">
      <w:pPr>
        <w:pStyle w:val="PL"/>
      </w:pPr>
      <w:r w:rsidRPr="000A0A5F">
        <w:t xml:space="preserve">        - name: subscriptionId</w:t>
      </w:r>
    </w:p>
    <w:p w:rsidR="00CB0DD7" w:rsidRPr="000A0A5F" w:rsidRDefault="00CB0DD7">
      <w:pPr>
        <w:pStyle w:val="PL"/>
      </w:pPr>
      <w:r w:rsidRPr="000A0A5F">
        <w:t xml:space="preserve">          in: path</w:t>
      </w:r>
    </w:p>
    <w:p w:rsidR="00CB0DD7" w:rsidRPr="000A0A5F" w:rsidRDefault="00CB0DD7">
      <w:pPr>
        <w:pStyle w:val="PL"/>
      </w:pPr>
      <w:r w:rsidRPr="000A0A5F">
        <w:t xml:space="preserve">          description: Subscription ID</w:t>
      </w:r>
    </w:p>
    <w:p w:rsidR="00CB0DD7" w:rsidRPr="000A0A5F" w:rsidRDefault="00CB0DD7">
      <w:pPr>
        <w:pStyle w:val="PL"/>
      </w:pPr>
      <w:r w:rsidRPr="000A0A5F">
        <w:t xml:space="preserve">          required: true</w:t>
      </w:r>
    </w:p>
    <w:p w:rsidR="00CB0DD7" w:rsidRPr="000A0A5F" w:rsidRDefault="00CB0DD7">
      <w:pPr>
        <w:pStyle w:val="PL"/>
      </w:pPr>
      <w:r w:rsidRPr="000A0A5F">
        <w:t xml:space="preserve">          schema:</w:t>
      </w:r>
    </w:p>
    <w:p w:rsidR="00CB0DD7" w:rsidRPr="000A0A5F" w:rsidRDefault="00CB0DD7">
      <w:pPr>
        <w:pStyle w:val="PL"/>
      </w:pPr>
      <w:r w:rsidRPr="000A0A5F">
        <w:t xml:space="preserve">            type: string</w:t>
      </w:r>
    </w:p>
    <w:p w:rsidR="00CB0DD7" w:rsidRPr="000A0A5F" w:rsidRDefault="00CB0DD7">
      <w:pPr>
        <w:pStyle w:val="PL"/>
      </w:pPr>
      <w:r w:rsidRPr="000A0A5F">
        <w:t xml:space="preserve">        - name: setId</w:t>
      </w:r>
    </w:p>
    <w:p w:rsidR="00CB0DD7" w:rsidRPr="000A0A5F" w:rsidRDefault="00CB0DD7">
      <w:pPr>
        <w:pStyle w:val="PL"/>
      </w:pPr>
      <w:r w:rsidRPr="000A0A5F">
        <w:t xml:space="preserve">          in: path</w:t>
      </w:r>
    </w:p>
    <w:p w:rsidR="00CB0DD7" w:rsidRPr="000A0A5F" w:rsidRDefault="00CB0DD7">
      <w:pPr>
        <w:pStyle w:val="PL"/>
      </w:pPr>
      <w:r w:rsidRPr="000A0A5F">
        <w:t xml:space="preserve">          description: </w:t>
      </w:r>
      <w:r w:rsidRPr="000A0A5F">
        <w:rPr>
          <w:rFonts w:hint="eastAsia"/>
          <w:lang w:eastAsia="zh-CN"/>
        </w:rPr>
        <w:t>Identifier of the CP parameter set</w:t>
      </w:r>
    </w:p>
    <w:p w:rsidR="00CB0DD7" w:rsidRPr="000A0A5F" w:rsidRDefault="00CB0DD7">
      <w:pPr>
        <w:pStyle w:val="PL"/>
      </w:pPr>
      <w:r w:rsidRPr="000A0A5F">
        <w:t xml:space="preserve">          required: true</w:t>
      </w:r>
    </w:p>
    <w:p w:rsidR="00CB0DD7" w:rsidRPr="000A0A5F" w:rsidRDefault="00CB0DD7">
      <w:pPr>
        <w:pStyle w:val="PL"/>
      </w:pPr>
      <w:r w:rsidRPr="000A0A5F">
        <w:t xml:space="preserve">          schema:</w:t>
      </w:r>
    </w:p>
    <w:p w:rsidR="00CB0DD7" w:rsidRPr="000A0A5F" w:rsidRDefault="00CB0DD7">
      <w:pPr>
        <w:pStyle w:val="PL"/>
      </w:pPr>
      <w:r w:rsidRPr="000A0A5F">
        <w:t xml:space="preserve">            type: string</w:t>
      </w:r>
    </w:p>
    <w:p w:rsidR="002C68BF" w:rsidRPr="000A0A5F" w:rsidRDefault="002C68BF" w:rsidP="002C68BF">
      <w:pPr>
        <w:pStyle w:val="PL"/>
      </w:pPr>
      <w:r w:rsidRPr="000A0A5F">
        <w:t xml:space="preserve">      summary: </w:t>
      </w:r>
      <w:r w:rsidRPr="000A0A5F">
        <w:rPr>
          <w:lang w:eastAsia="zh-CN"/>
        </w:rPr>
        <w:t>Read</w:t>
      </w:r>
      <w:r w:rsidRPr="000A0A5F">
        <w:rPr>
          <w:rFonts w:hint="eastAsia"/>
          <w:lang w:eastAsia="zh-CN"/>
        </w:rPr>
        <w:t xml:space="preserve"> CP at </w:t>
      </w:r>
      <w:r w:rsidRPr="000A0A5F">
        <w:rPr>
          <w:lang w:eastAsia="zh-CN"/>
        </w:rPr>
        <w:t>individual</w:t>
      </w:r>
      <w:r w:rsidRPr="000A0A5F">
        <w:rPr>
          <w:rFonts w:hint="eastAsia"/>
          <w:lang w:eastAsia="zh-CN"/>
        </w:rPr>
        <w:t xml:space="preserve"> </w:t>
      </w:r>
      <w:r w:rsidRPr="000A0A5F">
        <w:rPr>
          <w:lang w:eastAsia="zh-CN"/>
        </w:rPr>
        <w:t xml:space="preserve">CP set(s) level associated with a </w:t>
      </w:r>
      <w:r w:rsidRPr="000A0A5F">
        <w:t>CP parameter set</w:t>
      </w:r>
      <w:r w:rsidRPr="000A0A5F">
        <w:rPr>
          <w:lang w:eastAsia="zh-CN"/>
        </w:rPr>
        <w:t xml:space="preserve"> Id.</w:t>
      </w:r>
    </w:p>
    <w:p w:rsidR="002C68BF" w:rsidRPr="000A0A5F" w:rsidRDefault="002C68BF" w:rsidP="002C68BF">
      <w:pPr>
        <w:pStyle w:val="PL"/>
      </w:pPr>
      <w:r w:rsidRPr="000A0A5F">
        <w:t xml:space="preserve">      </w:t>
      </w:r>
      <w:r w:rsidRPr="000A0A5F">
        <w:rPr>
          <w:rFonts w:cs="Courier New"/>
          <w:szCs w:val="16"/>
        </w:rPr>
        <w:t>operationId: FetchInd</w:t>
      </w:r>
      <w:r w:rsidRPr="000A0A5F">
        <w:t>CPSetProvisioning</w:t>
      </w:r>
    </w:p>
    <w:p w:rsidR="002C68BF" w:rsidRPr="000A0A5F" w:rsidRDefault="002C68BF" w:rsidP="002C68BF">
      <w:pPr>
        <w:pStyle w:val="PL"/>
      </w:pPr>
      <w:r w:rsidRPr="000A0A5F">
        <w:t xml:space="preserve">      tags:</w:t>
      </w:r>
    </w:p>
    <w:p w:rsidR="002C68BF" w:rsidRPr="000A0A5F" w:rsidRDefault="002C68BF" w:rsidP="002C68BF">
      <w:pPr>
        <w:pStyle w:val="PL"/>
      </w:pPr>
      <w:r w:rsidRPr="000A0A5F">
        <w:t xml:space="preserve">        - Individual CP set Provisioning</w:t>
      </w:r>
    </w:p>
    <w:p w:rsidR="00CB0DD7" w:rsidRPr="000A0A5F" w:rsidRDefault="00CB0DD7">
      <w:pPr>
        <w:pStyle w:val="PL"/>
      </w:pPr>
      <w:r w:rsidRPr="000A0A5F">
        <w:t xml:space="preserve">      responses:</w:t>
      </w:r>
    </w:p>
    <w:p w:rsidR="00CB0DD7" w:rsidRPr="000A0A5F" w:rsidRDefault="00CB0DD7">
      <w:pPr>
        <w:pStyle w:val="PL"/>
      </w:pPr>
      <w:r w:rsidRPr="000A0A5F">
        <w:t xml:space="preserve">        '200':</w:t>
      </w:r>
    </w:p>
    <w:p w:rsidR="00CB0DD7" w:rsidRPr="000A0A5F" w:rsidRDefault="00CB0DD7">
      <w:pPr>
        <w:pStyle w:val="PL"/>
      </w:pPr>
      <w:r w:rsidRPr="000A0A5F">
        <w:t xml:space="preserve">          description: OK. The subscription information related to the request URI is returned.</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application/json:</w:t>
      </w:r>
    </w:p>
    <w:p w:rsidR="00CB0DD7" w:rsidRPr="000A0A5F" w:rsidRDefault="00CB0DD7">
      <w:pPr>
        <w:pStyle w:val="PL"/>
      </w:pPr>
      <w:r w:rsidRPr="000A0A5F">
        <w:t xml:space="preserve">              schema:</w:t>
      </w:r>
    </w:p>
    <w:p w:rsidR="00CB0DD7" w:rsidRPr="000A0A5F" w:rsidRDefault="00CB0DD7">
      <w:pPr>
        <w:pStyle w:val="PL"/>
      </w:pPr>
      <w:r w:rsidRPr="000A0A5F">
        <w:t xml:space="preserve">                $ref: '#/components/schemas/CpParameterSet'</w:t>
      </w:r>
    </w:p>
    <w:p w:rsidR="00CB0DD7" w:rsidRPr="000A0A5F" w:rsidRDefault="00CB0DD7">
      <w:pPr>
        <w:pStyle w:val="PL"/>
      </w:pPr>
      <w:r w:rsidRPr="000A0A5F">
        <w:t xml:space="preserve">        '307':</w:t>
      </w:r>
    </w:p>
    <w:p w:rsidR="00CB0DD7" w:rsidRPr="000A0A5F" w:rsidRDefault="00CB0DD7">
      <w:pPr>
        <w:pStyle w:val="PL"/>
      </w:pPr>
      <w:r w:rsidRPr="000A0A5F">
        <w:t xml:space="preserve">          $ref: 'TS29122_CommonData.yaml#/components/responses/307'</w:t>
      </w:r>
    </w:p>
    <w:p w:rsidR="00CB0DD7" w:rsidRPr="000A0A5F" w:rsidRDefault="00CB0DD7">
      <w:pPr>
        <w:pStyle w:val="PL"/>
      </w:pPr>
      <w:r w:rsidRPr="000A0A5F">
        <w:t xml:space="preserve">        '308':</w:t>
      </w:r>
    </w:p>
    <w:p w:rsidR="00CB0DD7" w:rsidRPr="000A0A5F" w:rsidRDefault="00CB0DD7">
      <w:pPr>
        <w:pStyle w:val="PL"/>
      </w:pPr>
      <w:r w:rsidRPr="000A0A5F">
        <w:t xml:space="preserve">          $ref: 'TS29122_CommonData.yaml#/components/responses/308'</w:t>
      </w:r>
    </w:p>
    <w:p w:rsidR="00CB0DD7" w:rsidRPr="000A0A5F" w:rsidRDefault="00CB0DD7">
      <w:pPr>
        <w:pStyle w:val="PL"/>
      </w:pPr>
      <w:r w:rsidRPr="000A0A5F">
        <w:t xml:space="preserve">        '400':</w:t>
      </w:r>
    </w:p>
    <w:p w:rsidR="00CB0DD7" w:rsidRPr="000A0A5F" w:rsidRDefault="00CB0DD7">
      <w:pPr>
        <w:pStyle w:val="PL"/>
      </w:pPr>
      <w:r w:rsidRPr="000A0A5F">
        <w:t xml:space="preserve">          $ref: 'TS29122_CommonData.yaml#/components/responses/400'</w:t>
      </w:r>
    </w:p>
    <w:p w:rsidR="00CB0DD7" w:rsidRPr="000A0A5F" w:rsidRDefault="00CB0DD7">
      <w:pPr>
        <w:pStyle w:val="PL"/>
      </w:pPr>
      <w:r w:rsidRPr="000A0A5F">
        <w:t xml:space="preserve">        '401':</w:t>
      </w:r>
    </w:p>
    <w:p w:rsidR="00CB0DD7" w:rsidRPr="000A0A5F" w:rsidRDefault="00CB0DD7">
      <w:pPr>
        <w:pStyle w:val="PL"/>
      </w:pPr>
      <w:r w:rsidRPr="000A0A5F">
        <w:t xml:space="preserve">          $ref: 'TS29122_CommonData.yaml#/components/responses/401'</w:t>
      </w:r>
    </w:p>
    <w:p w:rsidR="00CB0DD7" w:rsidRPr="000A0A5F" w:rsidRDefault="00CB0DD7">
      <w:pPr>
        <w:pStyle w:val="PL"/>
      </w:pPr>
      <w:r w:rsidRPr="000A0A5F">
        <w:t xml:space="preserve">        '403':</w:t>
      </w:r>
    </w:p>
    <w:p w:rsidR="00CB0DD7" w:rsidRPr="000A0A5F" w:rsidRDefault="00CB0DD7">
      <w:pPr>
        <w:pStyle w:val="PL"/>
      </w:pPr>
      <w:r w:rsidRPr="000A0A5F">
        <w:t xml:space="preserve">          $ref: 'TS29122_CommonData.yaml#/components/responses/403'</w:t>
      </w:r>
    </w:p>
    <w:p w:rsidR="00CB0DD7" w:rsidRPr="000A0A5F" w:rsidRDefault="00CB0DD7">
      <w:pPr>
        <w:pStyle w:val="PL"/>
      </w:pPr>
      <w:r w:rsidRPr="000A0A5F">
        <w:t xml:space="preserve">        '404':</w:t>
      </w:r>
    </w:p>
    <w:p w:rsidR="00CB0DD7" w:rsidRPr="000A0A5F" w:rsidRDefault="00CB0DD7">
      <w:pPr>
        <w:pStyle w:val="PL"/>
      </w:pPr>
      <w:r w:rsidRPr="000A0A5F">
        <w:t xml:space="preserve">          $ref: 'TS29122_CommonData.yaml#/components/responses/404'</w:t>
      </w:r>
    </w:p>
    <w:p w:rsidR="00CB0DD7" w:rsidRPr="000A0A5F" w:rsidRDefault="00CB0DD7">
      <w:pPr>
        <w:pStyle w:val="PL"/>
      </w:pPr>
      <w:r w:rsidRPr="000A0A5F">
        <w:t xml:space="preserve">        '406':</w:t>
      </w:r>
    </w:p>
    <w:p w:rsidR="00CB0DD7" w:rsidRPr="000A0A5F" w:rsidRDefault="00CB0DD7">
      <w:pPr>
        <w:pStyle w:val="PL"/>
      </w:pPr>
      <w:r w:rsidRPr="000A0A5F">
        <w:t xml:space="preserve">          $ref: 'TS29122_CommonData.yaml#/components/responses/406'</w:t>
      </w:r>
    </w:p>
    <w:p w:rsidR="00CB0DD7" w:rsidRPr="000A0A5F" w:rsidRDefault="00CB0DD7">
      <w:pPr>
        <w:pStyle w:val="PL"/>
      </w:pPr>
      <w:r w:rsidRPr="000A0A5F">
        <w:t xml:space="preserve">        '429':</w:t>
      </w:r>
    </w:p>
    <w:p w:rsidR="00CB0DD7" w:rsidRPr="000A0A5F" w:rsidRDefault="00CB0DD7">
      <w:pPr>
        <w:pStyle w:val="PL"/>
      </w:pPr>
      <w:r w:rsidRPr="000A0A5F">
        <w:t xml:space="preserve">          $ref: 'TS29122_CommonData.yaml#/components/responses/429'</w:t>
      </w:r>
    </w:p>
    <w:p w:rsidR="00CB0DD7" w:rsidRPr="000A0A5F" w:rsidRDefault="00CB0DD7">
      <w:pPr>
        <w:pStyle w:val="PL"/>
      </w:pPr>
      <w:r w:rsidRPr="000A0A5F">
        <w:t xml:space="preserve">        '500':</w:t>
      </w:r>
    </w:p>
    <w:p w:rsidR="00CB0DD7" w:rsidRPr="000A0A5F" w:rsidRDefault="00CB0DD7">
      <w:pPr>
        <w:pStyle w:val="PL"/>
      </w:pPr>
      <w:r w:rsidRPr="000A0A5F">
        <w:t xml:space="preserve">          $ref: 'TS29122_CommonData.yaml#/components/responses/500'</w:t>
      </w:r>
    </w:p>
    <w:p w:rsidR="00CB0DD7" w:rsidRPr="000A0A5F" w:rsidRDefault="00CB0DD7">
      <w:pPr>
        <w:pStyle w:val="PL"/>
      </w:pPr>
      <w:r w:rsidRPr="000A0A5F">
        <w:t xml:space="preserve">        '503':</w:t>
      </w:r>
    </w:p>
    <w:p w:rsidR="00CB0DD7" w:rsidRPr="000A0A5F" w:rsidRDefault="00CB0DD7">
      <w:pPr>
        <w:pStyle w:val="PL"/>
      </w:pPr>
      <w:r w:rsidRPr="000A0A5F">
        <w:t xml:space="preserve">          $ref: 'TS29122_CommonData.yaml#/components/responses/503'</w:t>
      </w:r>
    </w:p>
    <w:p w:rsidR="00CB0DD7" w:rsidRPr="000A0A5F" w:rsidRDefault="00CB0DD7">
      <w:pPr>
        <w:pStyle w:val="PL"/>
      </w:pPr>
      <w:r w:rsidRPr="000A0A5F">
        <w:t xml:space="preserve">        default:</w:t>
      </w:r>
    </w:p>
    <w:p w:rsidR="00CB0DD7" w:rsidRPr="000A0A5F" w:rsidRDefault="00CB0DD7">
      <w:pPr>
        <w:pStyle w:val="PL"/>
      </w:pPr>
      <w:r w:rsidRPr="000A0A5F">
        <w:t xml:space="preserve">          $ref: 'TS29122_CommonData.yaml#/components/responses/default'</w:t>
      </w:r>
    </w:p>
    <w:p w:rsidR="00CB0DD7" w:rsidRPr="000A0A5F" w:rsidRDefault="00CB0DD7">
      <w:pPr>
        <w:pStyle w:val="PL"/>
      </w:pPr>
      <w:r w:rsidRPr="000A0A5F">
        <w:t xml:space="preserve">    put:</w:t>
      </w:r>
    </w:p>
    <w:p w:rsidR="002C68BF" w:rsidRPr="000A0A5F" w:rsidRDefault="002C68BF" w:rsidP="002C68BF">
      <w:pPr>
        <w:pStyle w:val="PL"/>
      </w:pPr>
      <w:r w:rsidRPr="000A0A5F">
        <w:t xml:space="preserve">      summary: </w:t>
      </w:r>
      <w:r w:rsidRPr="000A0A5F">
        <w:rPr>
          <w:rFonts w:hint="eastAsia"/>
          <w:lang w:eastAsia="zh-CN"/>
        </w:rPr>
        <w:t xml:space="preserve">Update CP at </w:t>
      </w:r>
      <w:r w:rsidRPr="000A0A5F">
        <w:rPr>
          <w:lang w:eastAsia="zh-CN"/>
        </w:rPr>
        <w:t>individual</w:t>
      </w:r>
      <w:r w:rsidRPr="000A0A5F">
        <w:rPr>
          <w:rFonts w:hint="eastAsia"/>
          <w:lang w:eastAsia="zh-CN"/>
        </w:rPr>
        <w:t xml:space="preserve"> </w:t>
      </w:r>
      <w:r w:rsidRPr="000A0A5F">
        <w:rPr>
          <w:lang w:eastAsia="zh-CN"/>
        </w:rPr>
        <w:t xml:space="preserve">CP set(s) level associated with a </w:t>
      </w:r>
      <w:r w:rsidRPr="000A0A5F">
        <w:t>CP parameter set</w:t>
      </w:r>
      <w:r w:rsidRPr="000A0A5F">
        <w:rPr>
          <w:lang w:eastAsia="zh-CN"/>
        </w:rPr>
        <w:t xml:space="preserve"> Id.</w:t>
      </w:r>
    </w:p>
    <w:p w:rsidR="002C68BF" w:rsidRPr="000A0A5F" w:rsidRDefault="002C68BF" w:rsidP="002C68BF">
      <w:pPr>
        <w:pStyle w:val="PL"/>
      </w:pPr>
      <w:r w:rsidRPr="000A0A5F">
        <w:t xml:space="preserve">      </w:t>
      </w:r>
      <w:r w:rsidRPr="000A0A5F">
        <w:rPr>
          <w:rFonts w:cs="Courier New"/>
          <w:szCs w:val="16"/>
        </w:rPr>
        <w:t>operationId: UpdateInd</w:t>
      </w:r>
      <w:r w:rsidRPr="000A0A5F">
        <w:t>CPSetProvisioning</w:t>
      </w:r>
    </w:p>
    <w:p w:rsidR="002C68BF" w:rsidRPr="000A0A5F" w:rsidRDefault="002C68BF" w:rsidP="002C68BF">
      <w:pPr>
        <w:pStyle w:val="PL"/>
      </w:pPr>
      <w:r w:rsidRPr="000A0A5F">
        <w:t xml:space="preserve">      tags:</w:t>
      </w:r>
    </w:p>
    <w:p w:rsidR="002C68BF" w:rsidRPr="000A0A5F" w:rsidRDefault="002C68BF" w:rsidP="002C68BF">
      <w:pPr>
        <w:pStyle w:val="PL"/>
      </w:pPr>
      <w:r w:rsidRPr="000A0A5F">
        <w:t xml:space="preserve">        - Individual CP set Provisioning</w:t>
      </w:r>
    </w:p>
    <w:p w:rsidR="00CB0DD7" w:rsidRPr="000A0A5F" w:rsidRDefault="00CB0DD7">
      <w:pPr>
        <w:pStyle w:val="PL"/>
      </w:pPr>
      <w:r w:rsidRPr="000A0A5F">
        <w:t xml:space="preserve">      requestBody:</w:t>
      </w:r>
    </w:p>
    <w:p w:rsidR="00CB0DD7" w:rsidRPr="000A0A5F" w:rsidRDefault="00CB0DD7">
      <w:pPr>
        <w:pStyle w:val="PL"/>
      </w:pPr>
      <w:r w:rsidRPr="000A0A5F">
        <w:t xml:space="preserve">        description: Change information for a CP parameter set.</w:t>
      </w:r>
    </w:p>
    <w:p w:rsidR="00CB0DD7" w:rsidRPr="000A0A5F" w:rsidRDefault="00CB0DD7">
      <w:pPr>
        <w:pStyle w:val="PL"/>
      </w:pPr>
      <w:r w:rsidRPr="000A0A5F">
        <w:t xml:space="preserve">        required: true</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application/json:</w:t>
      </w:r>
    </w:p>
    <w:p w:rsidR="00CB0DD7" w:rsidRPr="000A0A5F" w:rsidRDefault="00CB0DD7">
      <w:pPr>
        <w:pStyle w:val="PL"/>
      </w:pPr>
      <w:r w:rsidRPr="000A0A5F">
        <w:t xml:space="preserve">            schema:</w:t>
      </w:r>
    </w:p>
    <w:p w:rsidR="00CB0DD7" w:rsidRPr="000A0A5F" w:rsidRDefault="00CB0DD7">
      <w:pPr>
        <w:pStyle w:val="PL"/>
      </w:pPr>
      <w:r w:rsidRPr="000A0A5F">
        <w:t xml:space="preserve">              $ref: '#/components/schemas/CpParameterSet'</w:t>
      </w:r>
    </w:p>
    <w:p w:rsidR="00CB0DD7" w:rsidRPr="000A0A5F" w:rsidRDefault="00CB0DD7">
      <w:pPr>
        <w:pStyle w:val="PL"/>
      </w:pPr>
      <w:r w:rsidRPr="000A0A5F">
        <w:t xml:space="preserve">      parameters:</w:t>
      </w:r>
    </w:p>
    <w:p w:rsidR="00CB0DD7" w:rsidRPr="000A0A5F" w:rsidRDefault="00CB0DD7">
      <w:pPr>
        <w:pStyle w:val="PL"/>
      </w:pPr>
      <w:r w:rsidRPr="000A0A5F">
        <w:t xml:space="preserve">        - name: scsAsId</w:t>
      </w:r>
    </w:p>
    <w:p w:rsidR="00CB0DD7" w:rsidRPr="000A0A5F" w:rsidRDefault="00CB0DD7">
      <w:pPr>
        <w:pStyle w:val="PL"/>
      </w:pPr>
      <w:r w:rsidRPr="000A0A5F">
        <w:t xml:space="preserve">          in: path</w:t>
      </w:r>
    </w:p>
    <w:p w:rsidR="00CB0DD7" w:rsidRPr="000A0A5F" w:rsidRDefault="00CB0DD7">
      <w:pPr>
        <w:pStyle w:val="PL"/>
      </w:pPr>
      <w:r w:rsidRPr="000A0A5F">
        <w:t xml:space="preserve">          description: Identifier of the SCS/AS as defined in clause 5.2.4 of 3GPP TS 29.122.</w:t>
      </w:r>
    </w:p>
    <w:p w:rsidR="00CB0DD7" w:rsidRPr="000A0A5F" w:rsidRDefault="00CB0DD7">
      <w:pPr>
        <w:pStyle w:val="PL"/>
      </w:pPr>
      <w:r w:rsidRPr="000A0A5F">
        <w:t xml:space="preserve">          required: true</w:t>
      </w:r>
    </w:p>
    <w:p w:rsidR="00CB0DD7" w:rsidRPr="000A0A5F" w:rsidRDefault="00CB0DD7">
      <w:pPr>
        <w:pStyle w:val="PL"/>
      </w:pPr>
      <w:r w:rsidRPr="000A0A5F">
        <w:t xml:space="preserve">          schema:</w:t>
      </w:r>
    </w:p>
    <w:p w:rsidR="00CB0DD7" w:rsidRPr="000A0A5F" w:rsidRDefault="00CB0DD7">
      <w:pPr>
        <w:pStyle w:val="PL"/>
      </w:pPr>
      <w:r w:rsidRPr="000A0A5F">
        <w:t xml:space="preserve">            type: string</w:t>
      </w:r>
    </w:p>
    <w:p w:rsidR="00CB0DD7" w:rsidRPr="000A0A5F" w:rsidRDefault="00CB0DD7">
      <w:pPr>
        <w:pStyle w:val="PL"/>
      </w:pPr>
      <w:r w:rsidRPr="000A0A5F">
        <w:t xml:space="preserve">        - name: subscriptionId</w:t>
      </w:r>
    </w:p>
    <w:p w:rsidR="00CB0DD7" w:rsidRPr="000A0A5F" w:rsidRDefault="00CB0DD7">
      <w:pPr>
        <w:pStyle w:val="PL"/>
      </w:pPr>
      <w:r w:rsidRPr="000A0A5F">
        <w:t xml:space="preserve">          in: path</w:t>
      </w:r>
    </w:p>
    <w:p w:rsidR="00CB0DD7" w:rsidRPr="000A0A5F" w:rsidRDefault="00CB0DD7">
      <w:pPr>
        <w:pStyle w:val="PL"/>
      </w:pPr>
      <w:r w:rsidRPr="000A0A5F">
        <w:t xml:space="preserve">          description: Subscription ID</w:t>
      </w:r>
    </w:p>
    <w:p w:rsidR="00CB0DD7" w:rsidRPr="000A0A5F" w:rsidRDefault="00CB0DD7">
      <w:pPr>
        <w:pStyle w:val="PL"/>
      </w:pPr>
      <w:r w:rsidRPr="000A0A5F">
        <w:t xml:space="preserve">          required: true</w:t>
      </w:r>
    </w:p>
    <w:p w:rsidR="00CB0DD7" w:rsidRPr="000A0A5F" w:rsidRDefault="00CB0DD7">
      <w:pPr>
        <w:pStyle w:val="PL"/>
      </w:pPr>
      <w:r w:rsidRPr="000A0A5F">
        <w:t xml:space="preserve">          schema:</w:t>
      </w:r>
    </w:p>
    <w:p w:rsidR="00CB0DD7" w:rsidRPr="000A0A5F" w:rsidRDefault="00CB0DD7">
      <w:pPr>
        <w:pStyle w:val="PL"/>
      </w:pPr>
      <w:r w:rsidRPr="000A0A5F">
        <w:t xml:space="preserve">            type: string</w:t>
      </w:r>
    </w:p>
    <w:p w:rsidR="00CB0DD7" w:rsidRPr="000A0A5F" w:rsidRDefault="00CB0DD7">
      <w:pPr>
        <w:pStyle w:val="PL"/>
      </w:pPr>
      <w:r w:rsidRPr="000A0A5F">
        <w:t xml:space="preserve">        - name: setId</w:t>
      </w:r>
    </w:p>
    <w:p w:rsidR="00CB0DD7" w:rsidRPr="000A0A5F" w:rsidRDefault="00CB0DD7">
      <w:pPr>
        <w:pStyle w:val="PL"/>
      </w:pPr>
      <w:r w:rsidRPr="000A0A5F">
        <w:t xml:space="preserve">          in: path</w:t>
      </w:r>
    </w:p>
    <w:p w:rsidR="00CB0DD7" w:rsidRPr="000A0A5F" w:rsidRDefault="00CB0DD7">
      <w:pPr>
        <w:pStyle w:val="PL"/>
      </w:pPr>
      <w:r w:rsidRPr="000A0A5F">
        <w:t xml:space="preserve">          description: </w:t>
      </w:r>
      <w:r w:rsidRPr="000A0A5F">
        <w:rPr>
          <w:rFonts w:hint="eastAsia"/>
          <w:lang w:eastAsia="zh-CN"/>
        </w:rPr>
        <w:t>Identifier of the CP parameter set</w:t>
      </w:r>
    </w:p>
    <w:p w:rsidR="00CB0DD7" w:rsidRPr="000A0A5F" w:rsidRDefault="00CB0DD7">
      <w:pPr>
        <w:pStyle w:val="PL"/>
      </w:pPr>
      <w:r w:rsidRPr="000A0A5F">
        <w:t xml:space="preserve">          required: true</w:t>
      </w:r>
    </w:p>
    <w:p w:rsidR="00CB0DD7" w:rsidRPr="000A0A5F" w:rsidRDefault="00CB0DD7">
      <w:pPr>
        <w:pStyle w:val="PL"/>
      </w:pPr>
      <w:r w:rsidRPr="000A0A5F">
        <w:t xml:space="preserve">          schema:</w:t>
      </w:r>
    </w:p>
    <w:p w:rsidR="00CB0DD7" w:rsidRPr="000A0A5F" w:rsidRDefault="00CB0DD7">
      <w:pPr>
        <w:pStyle w:val="PL"/>
      </w:pPr>
      <w:r w:rsidRPr="000A0A5F">
        <w:t xml:space="preserve">            type: string</w:t>
      </w:r>
    </w:p>
    <w:p w:rsidR="00CB0DD7" w:rsidRPr="000A0A5F" w:rsidRDefault="00CB0DD7">
      <w:pPr>
        <w:pStyle w:val="PL"/>
      </w:pPr>
      <w:r w:rsidRPr="000A0A5F">
        <w:t xml:space="preserve">      responses:</w:t>
      </w:r>
    </w:p>
    <w:p w:rsidR="00CB0DD7" w:rsidRPr="000A0A5F" w:rsidRDefault="00CB0DD7">
      <w:pPr>
        <w:pStyle w:val="PL"/>
      </w:pPr>
      <w:r w:rsidRPr="000A0A5F">
        <w:t xml:space="preserve">        '200':</w:t>
      </w:r>
    </w:p>
    <w:p w:rsidR="00844CA4" w:rsidRPr="000A0A5F" w:rsidRDefault="00CB0DD7">
      <w:pPr>
        <w:pStyle w:val="PL"/>
      </w:pPr>
      <w:r w:rsidRPr="000A0A5F">
        <w:t xml:space="preserve">          description: </w:t>
      </w:r>
      <w:r w:rsidR="00844CA4" w:rsidRPr="000A0A5F">
        <w:t>&gt;</w:t>
      </w:r>
    </w:p>
    <w:p w:rsidR="00B93E99" w:rsidRPr="000A0A5F" w:rsidRDefault="00B93E99" w:rsidP="00B93E99">
      <w:pPr>
        <w:pStyle w:val="PL"/>
      </w:pPr>
      <w:r w:rsidRPr="000A0A5F">
        <w:t xml:space="preserve">            OK. The CP parameter set resource was modified successfully. The SCEF shall return an</w:t>
      </w:r>
    </w:p>
    <w:p w:rsidR="00B93E99" w:rsidRPr="000A0A5F" w:rsidRDefault="00B93E99" w:rsidP="00B93E99">
      <w:pPr>
        <w:pStyle w:val="PL"/>
      </w:pPr>
      <w:r w:rsidRPr="000A0A5F">
        <w:t xml:space="preserve">            updated CP parameter set resource in the response content.</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application/json:</w:t>
      </w:r>
    </w:p>
    <w:p w:rsidR="00CB0DD7" w:rsidRPr="000A0A5F" w:rsidRDefault="00CB0DD7">
      <w:pPr>
        <w:pStyle w:val="PL"/>
      </w:pPr>
      <w:r w:rsidRPr="000A0A5F">
        <w:t xml:space="preserve">              schema:</w:t>
      </w:r>
    </w:p>
    <w:p w:rsidR="00CB0DD7" w:rsidRPr="000A0A5F" w:rsidRDefault="00CB0DD7">
      <w:pPr>
        <w:pStyle w:val="PL"/>
      </w:pPr>
      <w:r w:rsidRPr="000A0A5F">
        <w:t xml:space="preserve">                $ref: '#/components/schemas/CpParameterSet'</w:t>
      </w:r>
    </w:p>
    <w:p w:rsidR="00F72590" w:rsidRPr="000A0A5F" w:rsidRDefault="00F72590" w:rsidP="00F72590">
      <w:pPr>
        <w:pStyle w:val="PL"/>
      </w:pPr>
      <w:r w:rsidRPr="000A0A5F">
        <w:t xml:space="preserve">        '204':</w:t>
      </w:r>
    </w:p>
    <w:p w:rsidR="00844CA4" w:rsidRPr="000A0A5F" w:rsidRDefault="00F72590" w:rsidP="00F72590">
      <w:pPr>
        <w:pStyle w:val="PL"/>
      </w:pPr>
      <w:r w:rsidRPr="000A0A5F">
        <w:t xml:space="preserve">          description: </w:t>
      </w:r>
      <w:r w:rsidR="00844CA4" w:rsidRPr="000A0A5F">
        <w:t>&gt;</w:t>
      </w:r>
    </w:p>
    <w:p w:rsidR="00844CA4" w:rsidRPr="000A0A5F" w:rsidRDefault="00844CA4" w:rsidP="00F72590">
      <w:pPr>
        <w:pStyle w:val="PL"/>
      </w:pPr>
      <w:r w:rsidRPr="000A0A5F">
        <w:t xml:space="preserve">            </w:t>
      </w:r>
      <w:r w:rsidR="00F72590" w:rsidRPr="000A0A5F">
        <w:t>No Content. The CP parameter set resource was modified successfully and no content</w:t>
      </w:r>
    </w:p>
    <w:p w:rsidR="00F72590" w:rsidRPr="000A0A5F" w:rsidRDefault="00844CA4" w:rsidP="00F72590">
      <w:pPr>
        <w:pStyle w:val="PL"/>
      </w:pPr>
      <w:r w:rsidRPr="000A0A5F">
        <w:t xml:space="preserve">           </w:t>
      </w:r>
      <w:r w:rsidR="00F72590" w:rsidRPr="000A0A5F">
        <w:t xml:space="preserve"> is to be sent in the response message body.</w:t>
      </w:r>
    </w:p>
    <w:p w:rsidR="00CB0DD7" w:rsidRPr="000A0A5F" w:rsidRDefault="00CB0DD7">
      <w:pPr>
        <w:pStyle w:val="PL"/>
      </w:pPr>
      <w:r w:rsidRPr="000A0A5F">
        <w:t xml:space="preserve">        '307':</w:t>
      </w:r>
    </w:p>
    <w:p w:rsidR="00CB0DD7" w:rsidRPr="000A0A5F" w:rsidRDefault="00CB0DD7">
      <w:pPr>
        <w:pStyle w:val="PL"/>
      </w:pPr>
      <w:r w:rsidRPr="000A0A5F">
        <w:t xml:space="preserve">          $ref: 'TS29122_CommonData.yaml#/components/responses/307'</w:t>
      </w:r>
    </w:p>
    <w:p w:rsidR="00CB0DD7" w:rsidRPr="000A0A5F" w:rsidRDefault="00CB0DD7">
      <w:pPr>
        <w:pStyle w:val="PL"/>
      </w:pPr>
      <w:r w:rsidRPr="000A0A5F">
        <w:t xml:space="preserve">        '308':</w:t>
      </w:r>
    </w:p>
    <w:p w:rsidR="00CB0DD7" w:rsidRPr="000A0A5F" w:rsidRDefault="00CB0DD7">
      <w:pPr>
        <w:pStyle w:val="PL"/>
      </w:pPr>
      <w:r w:rsidRPr="000A0A5F">
        <w:t xml:space="preserve">          $ref: 'TS29122_CommonData.yaml#/components/responses/308'</w:t>
      </w:r>
    </w:p>
    <w:p w:rsidR="00CB0DD7" w:rsidRPr="000A0A5F" w:rsidRDefault="00CB0DD7">
      <w:pPr>
        <w:pStyle w:val="PL"/>
      </w:pPr>
      <w:r w:rsidRPr="000A0A5F">
        <w:t xml:space="preserve">        '400':</w:t>
      </w:r>
    </w:p>
    <w:p w:rsidR="00CB0DD7" w:rsidRPr="000A0A5F" w:rsidRDefault="00CB0DD7">
      <w:pPr>
        <w:pStyle w:val="PL"/>
      </w:pPr>
      <w:r w:rsidRPr="000A0A5F">
        <w:t xml:space="preserve">          $ref: 'TS29122_CommonData.yaml#/components/responses/400'</w:t>
      </w:r>
    </w:p>
    <w:p w:rsidR="00CB0DD7" w:rsidRPr="000A0A5F" w:rsidRDefault="00CB0DD7">
      <w:pPr>
        <w:pStyle w:val="PL"/>
      </w:pPr>
      <w:r w:rsidRPr="000A0A5F">
        <w:t xml:space="preserve">        '401':</w:t>
      </w:r>
    </w:p>
    <w:p w:rsidR="00CB0DD7" w:rsidRPr="000A0A5F" w:rsidRDefault="00CB0DD7">
      <w:pPr>
        <w:pStyle w:val="PL"/>
      </w:pPr>
      <w:r w:rsidRPr="000A0A5F">
        <w:t xml:space="preserve">          $ref: 'TS29122_CommonData.yaml#/components/responses/401'</w:t>
      </w:r>
    </w:p>
    <w:p w:rsidR="00CB0DD7" w:rsidRPr="000A0A5F" w:rsidRDefault="00CB0DD7">
      <w:pPr>
        <w:pStyle w:val="PL"/>
      </w:pPr>
      <w:r w:rsidRPr="000A0A5F">
        <w:t xml:space="preserve">        '403':</w:t>
      </w:r>
    </w:p>
    <w:p w:rsidR="00CB0DD7" w:rsidRPr="000A0A5F" w:rsidRDefault="00CB0DD7">
      <w:pPr>
        <w:pStyle w:val="PL"/>
      </w:pPr>
      <w:r w:rsidRPr="000A0A5F">
        <w:t xml:space="preserve">          $ref: 'TS29122_CommonData.yaml#/components/responses/403'</w:t>
      </w:r>
    </w:p>
    <w:p w:rsidR="00CB0DD7" w:rsidRPr="000A0A5F" w:rsidRDefault="00CB0DD7">
      <w:pPr>
        <w:pStyle w:val="PL"/>
      </w:pPr>
      <w:r w:rsidRPr="000A0A5F">
        <w:t xml:space="preserve">        '404':</w:t>
      </w:r>
    </w:p>
    <w:p w:rsidR="00CB0DD7" w:rsidRPr="000A0A5F" w:rsidRDefault="00CB0DD7">
      <w:pPr>
        <w:pStyle w:val="PL"/>
      </w:pPr>
      <w:r w:rsidRPr="000A0A5F">
        <w:t xml:space="preserve">          $ref: 'TS29122_CommonData.yaml#/components/responses/404'</w:t>
      </w:r>
    </w:p>
    <w:p w:rsidR="00CB0DD7" w:rsidRPr="000A0A5F" w:rsidRDefault="00CB0DD7">
      <w:pPr>
        <w:pStyle w:val="PL"/>
      </w:pPr>
      <w:r w:rsidRPr="000A0A5F">
        <w:t xml:space="preserve">        '409':</w:t>
      </w:r>
    </w:p>
    <w:p w:rsidR="00CB0DD7" w:rsidRPr="000A0A5F" w:rsidRDefault="00CB0DD7">
      <w:pPr>
        <w:pStyle w:val="PL"/>
      </w:pPr>
      <w:r w:rsidRPr="000A0A5F">
        <w:t xml:space="preserve">          description: The CP parameters for the CP set were not updated successfully.</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application/json:</w:t>
      </w:r>
    </w:p>
    <w:p w:rsidR="00CB0DD7" w:rsidRPr="000A0A5F" w:rsidRDefault="00CB0DD7">
      <w:pPr>
        <w:pStyle w:val="PL"/>
      </w:pPr>
      <w:r w:rsidRPr="000A0A5F">
        <w:t xml:space="preserve">              schema:</w:t>
      </w:r>
    </w:p>
    <w:p w:rsidR="00CB0DD7" w:rsidRPr="000A0A5F" w:rsidRDefault="00CB0DD7">
      <w:pPr>
        <w:pStyle w:val="PL"/>
        <w:rPr>
          <w:lang w:eastAsia="zh-CN"/>
        </w:rPr>
      </w:pPr>
      <w:r w:rsidRPr="000A0A5F">
        <w:t xml:space="preserve">                $ref: '#/components/schemas/CpReport</w:t>
      </w:r>
      <w:r w:rsidRPr="000A0A5F">
        <w:rPr>
          <w:lang w:eastAsia="zh-CN"/>
        </w:rPr>
        <w:t>'</w:t>
      </w:r>
    </w:p>
    <w:p w:rsidR="00CB0DD7" w:rsidRPr="000A0A5F" w:rsidRDefault="00CB0DD7">
      <w:pPr>
        <w:pStyle w:val="PL"/>
      </w:pPr>
      <w:r w:rsidRPr="000A0A5F">
        <w:t xml:space="preserve">            application/problem+json:</w:t>
      </w:r>
    </w:p>
    <w:p w:rsidR="00CB0DD7" w:rsidRPr="000A0A5F" w:rsidRDefault="00CB0DD7">
      <w:pPr>
        <w:pStyle w:val="PL"/>
      </w:pPr>
      <w:r w:rsidRPr="000A0A5F">
        <w:t xml:space="preserve">              schema:</w:t>
      </w:r>
    </w:p>
    <w:p w:rsidR="00CB0DD7" w:rsidRPr="000A0A5F" w:rsidRDefault="00CB0DD7">
      <w:pPr>
        <w:pStyle w:val="PL"/>
        <w:rPr>
          <w:lang w:eastAsia="zh-CN"/>
        </w:rPr>
      </w:pPr>
      <w:r w:rsidRPr="000A0A5F">
        <w:rPr>
          <w:lang w:eastAsia="zh-CN"/>
        </w:rPr>
        <w:t xml:space="preserve">                $ref: '</w:t>
      </w:r>
      <w:r w:rsidRPr="000A0A5F">
        <w:t>TS29122_CommonData.yaml</w:t>
      </w:r>
      <w:r w:rsidRPr="000A0A5F">
        <w:rPr>
          <w:lang w:eastAsia="zh-CN"/>
        </w:rPr>
        <w:t>#/components/schemas/ProblemDetails'</w:t>
      </w:r>
    </w:p>
    <w:p w:rsidR="00CB0DD7" w:rsidRPr="000A0A5F" w:rsidRDefault="00CB0DD7">
      <w:pPr>
        <w:pStyle w:val="PL"/>
      </w:pPr>
      <w:r w:rsidRPr="000A0A5F">
        <w:t xml:space="preserve">        '411':</w:t>
      </w:r>
    </w:p>
    <w:p w:rsidR="00CB0DD7" w:rsidRPr="000A0A5F" w:rsidRDefault="00CB0DD7">
      <w:pPr>
        <w:pStyle w:val="PL"/>
      </w:pPr>
      <w:r w:rsidRPr="000A0A5F">
        <w:t xml:space="preserve">          $ref: 'TS29122_CommonData.yaml#/components/responses/411'</w:t>
      </w:r>
    </w:p>
    <w:p w:rsidR="00CB0DD7" w:rsidRPr="000A0A5F" w:rsidRDefault="00CB0DD7">
      <w:pPr>
        <w:pStyle w:val="PL"/>
      </w:pPr>
      <w:r w:rsidRPr="000A0A5F">
        <w:t xml:space="preserve">        '413':</w:t>
      </w:r>
    </w:p>
    <w:p w:rsidR="00CB0DD7" w:rsidRPr="000A0A5F" w:rsidRDefault="00CB0DD7">
      <w:pPr>
        <w:pStyle w:val="PL"/>
      </w:pPr>
      <w:r w:rsidRPr="000A0A5F">
        <w:t xml:space="preserve">          $ref: 'TS29122_CommonData.yaml#/components/responses/413'</w:t>
      </w:r>
    </w:p>
    <w:p w:rsidR="00CB0DD7" w:rsidRPr="000A0A5F" w:rsidRDefault="00CB0DD7">
      <w:pPr>
        <w:pStyle w:val="PL"/>
      </w:pPr>
      <w:r w:rsidRPr="000A0A5F">
        <w:t xml:space="preserve">        '415':</w:t>
      </w:r>
    </w:p>
    <w:p w:rsidR="00CB0DD7" w:rsidRPr="000A0A5F" w:rsidRDefault="00CB0DD7">
      <w:pPr>
        <w:pStyle w:val="PL"/>
      </w:pPr>
      <w:r w:rsidRPr="000A0A5F">
        <w:t xml:space="preserve">          $ref: 'TS29122_CommonData.yaml#/components/responses/415'</w:t>
      </w:r>
    </w:p>
    <w:p w:rsidR="00CB0DD7" w:rsidRPr="000A0A5F" w:rsidRDefault="00CB0DD7">
      <w:pPr>
        <w:pStyle w:val="PL"/>
      </w:pPr>
      <w:r w:rsidRPr="000A0A5F">
        <w:t xml:space="preserve">        '429':</w:t>
      </w:r>
    </w:p>
    <w:p w:rsidR="00CB0DD7" w:rsidRPr="000A0A5F" w:rsidRDefault="00CB0DD7">
      <w:pPr>
        <w:pStyle w:val="PL"/>
      </w:pPr>
      <w:r w:rsidRPr="000A0A5F">
        <w:t xml:space="preserve">          $ref: 'TS29122_CommonData.yaml#/components/responses/429'</w:t>
      </w:r>
    </w:p>
    <w:p w:rsidR="00CB0DD7" w:rsidRPr="000A0A5F" w:rsidRDefault="00CB0DD7">
      <w:pPr>
        <w:pStyle w:val="PL"/>
      </w:pPr>
      <w:r w:rsidRPr="000A0A5F">
        <w:t xml:space="preserve">        '500':</w:t>
      </w:r>
    </w:p>
    <w:p w:rsidR="00CB0DD7" w:rsidRPr="000A0A5F" w:rsidRDefault="00CB0DD7">
      <w:pPr>
        <w:pStyle w:val="PL"/>
      </w:pPr>
      <w:r w:rsidRPr="000A0A5F">
        <w:t xml:space="preserve">          description: The CP parameters for the CP set were not updated successfully.</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application/json:</w:t>
      </w:r>
    </w:p>
    <w:p w:rsidR="00CB0DD7" w:rsidRPr="000A0A5F" w:rsidRDefault="00CB0DD7">
      <w:pPr>
        <w:pStyle w:val="PL"/>
      </w:pPr>
      <w:r w:rsidRPr="000A0A5F">
        <w:t xml:space="preserve">              schema:</w:t>
      </w:r>
    </w:p>
    <w:p w:rsidR="00CB0DD7" w:rsidRPr="000A0A5F" w:rsidRDefault="00CB0DD7">
      <w:pPr>
        <w:pStyle w:val="PL"/>
        <w:rPr>
          <w:lang w:eastAsia="zh-CN"/>
        </w:rPr>
      </w:pPr>
      <w:r w:rsidRPr="000A0A5F">
        <w:t xml:space="preserve">                $ref: '#/components/schemas/CpReport</w:t>
      </w:r>
      <w:r w:rsidRPr="000A0A5F">
        <w:rPr>
          <w:lang w:eastAsia="zh-CN"/>
        </w:rPr>
        <w:t>'</w:t>
      </w:r>
    </w:p>
    <w:p w:rsidR="00CB0DD7" w:rsidRPr="000A0A5F" w:rsidRDefault="00CB0DD7">
      <w:pPr>
        <w:pStyle w:val="PL"/>
      </w:pPr>
      <w:r w:rsidRPr="000A0A5F">
        <w:t xml:space="preserve">            application/problem+json:</w:t>
      </w:r>
    </w:p>
    <w:p w:rsidR="00CB0DD7" w:rsidRPr="000A0A5F" w:rsidRDefault="00CB0DD7">
      <w:pPr>
        <w:pStyle w:val="PL"/>
      </w:pPr>
      <w:r w:rsidRPr="000A0A5F">
        <w:t xml:space="preserve">              schema:</w:t>
      </w:r>
    </w:p>
    <w:p w:rsidR="00CB0DD7" w:rsidRPr="000A0A5F" w:rsidRDefault="00CB0DD7">
      <w:pPr>
        <w:pStyle w:val="PL"/>
        <w:rPr>
          <w:lang w:eastAsia="zh-CN"/>
        </w:rPr>
      </w:pPr>
      <w:r w:rsidRPr="000A0A5F">
        <w:rPr>
          <w:lang w:eastAsia="zh-CN"/>
        </w:rPr>
        <w:t xml:space="preserve">                $ref: '</w:t>
      </w:r>
      <w:r w:rsidRPr="000A0A5F">
        <w:t>TS29122_CommonData.yaml</w:t>
      </w:r>
      <w:r w:rsidRPr="000A0A5F">
        <w:rPr>
          <w:lang w:eastAsia="zh-CN"/>
        </w:rPr>
        <w:t>#/components/schemas/ProblemDetails'</w:t>
      </w:r>
    </w:p>
    <w:p w:rsidR="00CB0DD7" w:rsidRPr="000A0A5F" w:rsidRDefault="00CB0DD7">
      <w:pPr>
        <w:pStyle w:val="PL"/>
      </w:pPr>
      <w:r w:rsidRPr="000A0A5F">
        <w:t xml:space="preserve">        '503':</w:t>
      </w:r>
    </w:p>
    <w:p w:rsidR="00CB0DD7" w:rsidRPr="000A0A5F" w:rsidRDefault="00CB0DD7">
      <w:pPr>
        <w:pStyle w:val="PL"/>
      </w:pPr>
      <w:r w:rsidRPr="000A0A5F">
        <w:t xml:space="preserve">          $ref: 'TS29122_CommonData.yaml#/components/responses/503'</w:t>
      </w:r>
    </w:p>
    <w:p w:rsidR="00CB0DD7" w:rsidRPr="000A0A5F" w:rsidRDefault="00CB0DD7">
      <w:pPr>
        <w:pStyle w:val="PL"/>
      </w:pPr>
      <w:r w:rsidRPr="000A0A5F">
        <w:t xml:space="preserve">        default:</w:t>
      </w:r>
    </w:p>
    <w:p w:rsidR="00CB0DD7" w:rsidRPr="000A0A5F" w:rsidRDefault="00CB0DD7">
      <w:pPr>
        <w:pStyle w:val="PL"/>
      </w:pPr>
      <w:r w:rsidRPr="000A0A5F">
        <w:t xml:space="preserve">          $ref: 'TS29122_CommonData.yaml#/components/responses/default'</w:t>
      </w:r>
    </w:p>
    <w:p w:rsidR="00CB0DD7" w:rsidRPr="000A0A5F" w:rsidRDefault="00CB0DD7">
      <w:pPr>
        <w:pStyle w:val="PL"/>
      </w:pPr>
      <w:r w:rsidRPr="000A0A5F">
        <w:t xml:space="preserve">    delete:</w:t>
      </w:r>
    </w:p>
    <w:p w:rsidR="00CB0DD7" w:rsidRPr="000A0A5F" w:rsidRDefault="00CB0DD7">
      <w:pPr>
        <w:pStyle w:val="PL"/>
      </w:pPr>
      <w:r w:rsidRPr="000A0A5F">
        <w:t xml:space="preserve">      parameters:</w:t>
      </w:r>
    </w:p>
    <w:p w:rsidR="00CB0DD7" w:rsidRPr="000A0A5F" w:rsidRDefault="00CB0DD7">
      <w:pPr>
        <w:pStyle w:val="PL"/>
      </w:pPr>
      <w:r w:rsidRPr="000A0A5F">
        <w:t xml:space="preserve">        - name: scsAsId</w:t>
      </w:r>
    </w:p>
    <w:p w:rsidR="00CB0DD7" w:rsidRPr="000A0A5F" w:rsidRDefault="00CB0DD7">
      <w:pPr>
        <w:pStyle w:val="PL"/>
      </w:pPr>
      <w:r w:rsidRPr="000A0A5F">
        <w:t xml:space="preserve">          in: path</w:t>
      </w:r>
    </w:p>
    <w:p w:rsidR="00CB0DD7" w:rsidRPr="000A0A5F" w:rsidRDefault="00CB0DD7">
      <w:pPr>
        <w:pStyle w:val="PL"/>
      </w:pPr>
      <w:r w:rsidRPr="000A0A5F">
        <w:t xml:space="preserve">          description: Identifier of the SCS/AS as defined in clause 5.2.4 of 3GPP TS 29.122.</w:t>
      </w:r>
    </w:p>
    <w:p w:rsidR="00CB0DD7" w:rsidRPr="000A0A5F" w:rsidRDefault="00CB0DD7">
      <w:pPr>
        <w:pStyle w:val="PL"/>
      </w:pPr>
      <w:r w:rsidRPr="000A0A5F">
        <w:t xml:space="preserve">          required: true</w:t>
      </w:r>
    </w:p>
    <w:p w:rsidR="00CB0DD7" w:rsidRPr="000A0A5F" w:rsidRDefault="00CB0DD7">
      <w:pPr>
        <w:pStyle w:val="PL"/>
      </w:pPr>
      <w:r w:rsidRPr="000A0A5F">
        <w:t xml:space="preserve">          schema:</w:t>
      </w:r>
    </w:p>
    <w:p w:rsidR="00CB0DD7" w:rsidRPr="000A0A5F" w:rsidRDefault="00CB0DD7">
      <w:pPr>
        <w:pStyle w:val="PL"/>
      </w:pPr>
      <w:r w:rsidRPr="000A0A5F">
        <w:t xml:space="preserve">            type: string</w:t>
      </w:r>
    </w:p>
    <w:p w:rsidR="00CB0DD7" w:rsidRPr="000A0A5F" w:rsidRDefault="00CB0DD7">
      <w:pPr>
        <w:pStyle w:val="PL"/>
      </w:pPr>
      <w:r w:rsidRPr="000A0A5F">
        <w:t xml:space="preserve">        - name: subscriptionId</w:t>
      </w:r>
    </w:p>
    <w:p w:rsidR="00CB0DD7" w:rsidRPr="000A0A5F" w:rsidRDefault="00CB0DD7">
      <w:pPr>
        <w:pStyle w:val="PL"/>
      </w:pPr>
      <w:r w:rsidRPr="000A0A5F">
        <w:t xml:space="preserve">          in: path</w:t>
      </w:r>
    </w:p>
    <w:p w:rsidR="00CB0DD7" w:rsidRPr="000A0A5F" w:rsidRDefault="00CB0DD7">
      <w:pPr>
        <w:pStyle w:val="PL"/>
      </w:pPr>
      <w:r w:rsidRPr="000A0A5F">
        <w:t xml:space="preserve">          description: Subscription ID</w:t>
      </w:r>
    </w:p>
    <w:p w:rsidR="00CB0DD7" w:rsidRPr="000A0A5F" w:rsidRDefault="00CB0DD7">
      <w:pPr>
        <w:pStyle w:val="PL"/>
      </w:pPr>
      <w:r w:rsidRPr="000A0A5F">
        <w:t xml:space="preserve">          required: true</w:t>
      </w:r>
    </w:p>
    <w:p w:rsidR="00CB0DD7" w:rsidRPr="000A0A5F" w:rsidRDefault="00CB0DD7">
      <w:pPr>
        <w:pStyle w:val="PL"/>
      </w:pPr>
      <w:r w:rsidRPr="000A0A5F">
        <w:t xml:space="preserve">          schema:</w:t>
      </w:r>
    </w:p>
    <w:p w:rsidR="00CB0DD7" w:rsidRPr="000A0A5F" w:rsidRDefault="00CB0DD7">
      <w:pPr>
        <w:pStyle w:val="PL"/>
      </w:pPr>
      <w:r w:rsidRPr="000A0A5F">
        <w:t xml:space="preserve">            type: string</w:t>
      </w:r>
    </w:p>
    <w:p w:rsidR="00CB0DD7" w:rsidRPr="000A0A5F" w:rsidRDefault="00CB0DD7">
      <w:pPr>
        <w:pStyle w:val="PL"/>
      </w:pPr>
      <w:r w:rsidRPr="000A0A5F">
        <w:t xml:space="preserve">        - name: setId</w:t>
      </w:r>
    </w:p>
    <w:p w:rsidR="00CB0DD7" w:rsidRPr="000A0A5F" w:rsidRDefault="00CB0DD7">
      <w:pPr>
        <w:pStyle w:val="PL"/>
      </w:pPr>
      <w:r w:rsidRPr="000A0A5F">
        <w:t xml:space="preserve">          in: path</w:t>
      </w:r>
    </w:p>
    <w:p w:rsidR="00CB0DD7" w:rsidRPr="000A0A5F" w:rsidRDefault="00CB0DD7">
      <w:pPr>
        <w:pStyle w:val="PL"/>
      </w:pPr>
      <w:r w:rsidRPr="000A0A5F">
        <w:t xml:space="preserve">          description: </w:t>
      </w:r>
      <w:r w:rsidRPr="000A0A5F">
        <w:rPr>
          <w:rFonts w:hint="eastAsia"/>
          <w:lang w:eastAsia="zh-CN"/>
        </w:rPr>
        <w:t>Identifier of the CP parameter set</w:t>
      </w:r>
    </w:p>
    <w:p w:rsidR="00CB0DD7" w:rsidRPr="000A0A5F" w:rsidRDefault="00CB0DD7">
      <w:pPr>
        <w:pStyle w:val="PL"/>
      </w:pPr>
      <w:r w:rsidRPr="000A0A5F">
        <w:t xml:space="preserve">          required: true</w:t>
      </w:r>
    </w:p>
    <w:p w:rsidR="00CB0DD7" w:rsidRPr="000A0A5F" w:rsidRDefault="00CB0DD7">
      <w:pPr>
        <w:pStyle w:val="PL"/>
      </w:pPr>
      <w:r w:rsidRPr="000A0A5F">
        <w:t xml:space="preserve">          schema:</w:t>
      </w:r>
    </w:p>
    <w:p w:rsidR="00CB0DD7" w:rsidRPr="000A0A5F" w:rsidRDefault="00CB0DD7">
      <w:pPr>
        <w:pStyle w:val="PL"/>
      </w:pPr>
      <w:r w:rsidRPr="000A0A5F">
        <w:t xml:space="preserve">            type: string</w:t>
      </w:r>
    </w:p>
    <w:p w:rsidR="002C68BF" w:rsidRPr="000A0A5F" w:rsidRDefault="002C68BF" w:rsidP="002C68BF">
      <w:pPr>
        <w:pStyle w:val="PL"/>
      </w:pPr>
      <w:r w:rsidRPr="000A0A5F">
        <w:t xml:space="preserve">      summary: </w:t>
      </w:r>
      <w:r w:rsidRPr="000A0A5F">
        <w:rPr>
          <w:lang w:eastAsia="zh-CN"/>
        </w:rPr>
        <w:t>Delete</w:t>
      </w:r>
      <w:r w:rsidRPr="000A0A5F">
        <w:rPr>
          <w:rFonts w:hint="eastAsia"/>
          <w:lang w:eastAsia="zh-CN"/>
        </w:rPr>
        <w:t xml:space="preserve"> CP at </w:t>
      </w:r>
      <w:r w:rsidRPr="000A0A5F">
        <w:rPr>
          <w:lang w:eastAsia="zh-CN"/>
        </w:rPr>
        <w:t>individual</w:t>
      </w:r>
      <w:r w:rsidRPr="000A0A5F">
        <w:rPr>
          <w:rFonts w:hint="eastAsia"/>
          <w:lang w:eastAsia="zh-CN"/>
        </w:rPr>
        <w:t xml:space="preserve"> </w:t>
      </w:r>
      <w:r w:rsidRPr="000A0A5F">
        <w:rPr>
          <w:lang w:eastAsia="zh-CN"/>
        </w:rPr>
        <w:t xml:space="preserve">CP set(s) level associated with a </w:t>
      </w:r>
      <w:r w:rsidRPr="000A0A5F">
        <w:t>CP parameter set</w:t>
      </w:r>
      <w:r w:rsidRPr="000A0A5F">
        <w:rPr>
          <w:lang w:eastAsia="zh-CN"/>
        </w:rPr>
        <w:t xml:space="preserve"> Id.</w:t>
      </w:r>
    </w:p>
    <w:p w:rsidR="002C68BF" w:rsidRPr="000A0A5F" w:rsidRDefault="002C68BF" w:rsidP="002C68BF">
      <w:pPr>
        <w:pStyle w:val="PL"/>
      </w:pPr>
      <w:r w:rsidRPr="000A0A5F">
        <w:t xml:space="preserve">      </w:t>
      </w:r>
      <w:r w:rsidRPr="000A0A5F">
        <w:rPr>
          <w:rFonts w:cs="Courier New"/>
          <w:szCs w:val="16"/>
        </w:rPr>
        <w:t>operationId: DeleteInd</w:t>
      </w:r>
      <w:r w:rsidRPr="000A0A5F">
        <w:t>CPSetProvisioning</w:t>
      </w:r>
    </w:p>
    <w:p w:rsidR="002C68BF" w:rsidRPr="000A0A5F" w:rsidRDefault="002C68BF" w:rsidP="002C68BF">
      <w:pPr>
        <w:pStyle w:val="PL"/>
      </w:pPr>
      <w:r w:rsidRPr="000A0A5F">
        <w:t xml:space="preserve">      tags:</w:t>
      </w:r>
    </w:p>
    <w:p w:rsidR="002C68BF" w:rsidRPr="000A0A5F" w:rsidRDefault="002C68BF" w:rsidP="002C68BF">
      <w:pPr>
        <w:pStyle w:val="PL"/>
      </w:pPr>
      <w:r w:rsidRPr="000A0A5F">
        <w:t xml:space="preserve">        - Individual CP set Provisioning</w:t>
      </w:r>
    </w:p>
    <w:p w:rsidR="00CB0DD7" w:rsidRPr="000A0A5F" w:rsidRDefault="00CB0DD7">
      <w:pPr>
        <w:pStyle w:val="PL"/>
      </w:pPr>
      <w:r w:rsidRPr="000A0A5F">
        <w:t xml:space="preserve">      responses:</w:t>
      </w:r>
    </w:p>
    <w:p w:rsidR="00CB0DD7" w:rsidRPr="000A0A5F" w:rsidRDefault="00CB0DD7">
      <w:pPr>
        <w:pStyle w:val="PL"/>
      </w:pPr>
      <w:r w:rsidRPr="000A0A5F">
        <w:t xml:space="preserve">        '204':</w:t>
      </w:r>
    </w:p>
    <w:p w:rsidR="00844CA4" w:rsidRPr="000A0A5F" w:rsidRDefault="00CB0DD7">
      <w:pPr>
        <w:pStyle w:val="PL"/>
      </w:pPr>
      <w:r w:rsidRPr="000A0A5F">
        <w:t xml:space="preserve">          description: </w:t>
      </w:r>
      <w:r w:rsidR="00844CA4" w:rsidRPr="000A0A5F">
        <w:t>&gt;</w:t>
      </w:r>
    </w:p>
    <w:p w:rsidR="00B93E99" w:rsidRPr="000A0A5F" w:rsidRDefault="00B93E99" w:rsidP="00B93E99">
      <w:pPr>
        <w:pStyle w:val="PL"/>
      </w:pPr>
      <w:r w:rsidRPr="000A0A5F">
        <w:t xml:space="preserve">            No Content. The </w:t>
      </w:r>
      <w:r w:rsidRPr="000A0A5F">
        <w:rPr>
          <w:lang w:eastAsia="zh-CN"/>
        </w:rPr>
        <w:t>subscription</w:t>
      </w:r>
      <w:r w:rsidRPr="000A0A5F">
        <w:t xml:space="preserve"> was </w:t>
      </w:r>
      <w:r w:rsidRPr="000A0A5F">
        <w:rPr>
          <w:lang w:eastAsia="zh-CN"/>
        </w:rPr>
        <w:t>deleted</w:t>
      </w:r>
      <w:r w:rsidRPr="000A0A5F">
        <w:t xml:space="preserve"> successfully.</w:t>
      </w:r>
      <w:r w:rsidRPr="000A0A5F">
        <w:rPr>
          <w:rFonts w:hint="eastAsia"/>
          <w:lang w:eastAsia="zh-CN"/>
        </w:rPr>
        <w:t xml:space="preserve"> </w:t>
      </w:r>
      <w:r w:rsidRPr="000A0A5F">
        <w:t>The content shall be empty.</w:t>
      </w:r>
    </w:p>
    <w:p w:rsidR="00CB0DD7" w:rsidRPr="000A0A5F" w:rsidRDefault="00CB0DD7">
      <w:pPr>
        <w:pStyle w:val="PL"/>
      </w:pPr>
      <w:r w:rsidRPr="000A0A5F">
        <w:t xml:space="preserve">        '307':</w:t>
      </w:r>
    </w:p>
    <w:p w:rsidR="00CB0DD7" w:rsidRPr="000A0A5F" w:rsidRDefault="00CB0DD7">
      <w:pPr>
        <w:pStyle w:val="PL"/>
      </w:pPr>
      <w:r w:rsidRPr="000A0A5F">
        <w:t xml:space="preserve">          $ref: 'TS29122_CommonData.yaml#/components/responses/307'</w:t>
      </w:r>
    </w:p>
    <w:p w:rsidR="00CB0DD7" w:rsidRPr="000A0A5F" w:rsidRDefault="00CB0DD7">
      <w:pPr>
        <w:pStyle w:val="PL"/>
      </w:pPr>
      <w:r w:rsidRPr="000A0A5F">
        <w:t xml:space="preserve">        '308':</w:t>
      </w:r>
    </w:p>
    <w:p w:rsidR="00CB0DD7" w:rsidRPr="000A0A5F" w:rsidRDefault="00CB0DD7">
      <w:pPr>
        <w:pStyle w:val="PL"/>
      </w:pPr>
      <w:r w:rsidRPr="000A0A5F">
        <w:t xml:space="preserve">          $ref: 'TS29122_CommonData.yaml#/components/responses/308'</w:t>
      </w:r>
    </w:p>
    <w:p w:rsidR="00CB0DD7" w:rsidRPr="000A0A5F" w:rsidRDefault="00CB0DD7">
      <w:pPr>
        <w:pStyle w:val="PL"/>
      </w:pPr>
      <w:r w:rsidRPr="000A0A5F">
        <w:t xml:space="preserve">        '400':</w:t>
      </w:r>
    </w:p>
    <w:p w:rsidR="00CB0DD7" w:rsidRPr="000A0A5F" w:rsidRDefault="00CB0DD7">
      <w:pPr>
        <w:pStyle w:val="PL"/>
      </w:pPr>
      <w:r w:rsidRPr="000A0A5F">
        <w:t xml:space="preserve">          $ref: 'TS29122_CommonData.yaml#/components/responses/400'</w:t>
      </w:r>
    </w:p>
    <w:p w:rsidR="00CB0DD7" w:rsidRPr="000A0A5F" w:rsidRDefault="00CB0DD7">
      <w:pPr>
        <w:pStyle w:val="PL"/>
      </w:pPr>
      <w:r w:rsidRPr="000A0A5F">
        <w:t xml:space="preserve">        '401':</w:t>
      </w:r>
    </w:p>
    <w:p w:rsidR="00CB0DD7" w:rsidRPr="000A0A5F" w:rsidRDefault="00CB0DD7">
      <w:pPr>
        <w:pStyle w:val="PL"/>
      </w:pPr>
      <w:r w:rsidRPr="000A0A5F">
        <w:t xml:space="preserve">          $ref: 'TS29122_CommonData.yaml#/components/responses/401'</w:t>
      </w:r>
    </w:p>
    <w:p w:rsidR="00CB0DD7" w:rsidRPr="000A0A5F" w:rsidRDefault="00CB0DD7">
      <w:pPr>
        <w:pStyle w:val="PL"/>
      </w:pPr>
      <w:r w:rsidRPr="000A0A5F">
        <w:t xml:space="preserve">        '403':</w:t>
      </w:r>
    </w:p>
    <w:p w:rsidR="00CB0DD7" w:rsidRPr="000A0A5F" w:rsidRDefault="00CB0DD7">
      <w:pPr>
        <w:pStyle w:val="PL"/>
      </w:pPr>
      <w:r w:rsidRPr="000A0A5F">
        <w:t xml:space="preserve">          $ref: 'TS29122_CommonData.yaml#/components/responses/403'</w:t>
      </w:r>
    </w:p>
    <w:p w:rsidR="00CB0DD7" w:rsidRPr="000A0A5F" w:rsidRDefault="00CB0DD7">
      <w:pPr>
        <w:pStyle w:val="PL"/>
      </w:pPr>
      <w:r w:rsidRPr="000A0A5F">
        <w:t xml:space="preserve">        '404':</w:t>
      </w:r>
    </w:p>
    <w:p w:rsidR="00CB0DD7" w:rsidRPr="000A0A5F" w:rsidRDefault="00CB0DD7">
      <w:pPr>
        <w:pStyle w:val="PL"/>
      </w:pPr>
      <w:r w:rsidRPr="000A0A5F">
        <w:t xml:space="preserve">          $ref: 'TS29122_CommonData.yaml#/components/responses/404'</w:t>
      </w:r>
    </w:p>
    <w:p w:rsidR="00CB0DD7" w:rsidRPr="000A0A5F" w:rsidRDefault="00CB0DD7">
      <w:pPr>
        <w:pStyle w:val="PL"/>
      </w:pPr>
      <w:r w:rsidRPr="000A0A5F">
        <w:t xml:space="preserve">        '429':</w:t>
      </w:r>
    </w:p>
    <w:p w:rsidR="00CB0DD7" w:rsidRPr="000A0A5F" w:rsidRDefault="00CB0DD7">
      <w:pPr>
        <w:pStyle w:val="PL"/>
      </w:pPr>
      <w:r w:rsidRPr="000A0A5F">
        <w:t xml:space="preserve">          $ref: 'TS29122_CommonData.yaml#/components/responses/429'</w:t>
      </w:r>
    </w:p>
    <w:p w:rsidR="00CB0DD7" w:rsidRPr="000A0A5F" w:rsidRDefault="00CB0DD7">
      <w:pPr>
        <w:pStyle w:val="PL"/>
      </w:pPr>
      <w:r w:rsidRPr="000A0A5F">
        <w:t xml:space="preserve">        '500':</w:t>
      </w:r>
    </w:p>
    <w:p w:rsidR="00CB0DD7" w:rsidRPr="000A0A5F" w:rsidRDefault="00CB0DD7">
      <w:pPr>
        <w:pStyle w:val="PL"/>
      </w:pPr>
      <w:r w:rsidRPr="000A0A5F">
        <w:t xml:space="preserve">          $ref: 'TS29122_CommonData.yaml#/components/responses/500'</w:t>
      </w:r>
    </w:p>
    <w:p w:rsidR="00CB0DD7" w:rsidRPr="000A0A5F" w:rsidRDefault="00CB0DD7">
      <w:pPr>
        <w:pStyle w:val="PL"/>
      </w:pPr>
      <w:r w:rsidRPr="000A0A5F">
        <w:t xml:space="preserve">        '503':</w:t>
      </w:r>
    </w:p>
    <w:p w:rsidR="00CB0DD7" w:rsidRPr="000A0A5F" w:rsidRDefault="00CB0DD7">
      <w:pPr>
        <w:pStyle w:val="PL"/>
      </w:pPr>
      <w:r w:rsidRPr="000A0A5F">
        <w:t xml:space="preserve">          $ref: 'TS29122_CommonData.yaml#/components/responses/503'</w:t>
      </w:r>
    </w:p>
    <w:p w:rsidR="00CB0DD7" w:rsidRPr="000A0A5F" w:rsidRDefault="00CB0DD7">
      <w:pPr>
        <w:pStyle w:val="PL"/>
      </w:pPr>
      <w:r w:rsidRPr="000A0A5F">
        <w:t xml:space="preserve">        default:</w:t>
      </w:r>
    </w:p>
    <w:p w:rsidR="00CB0DD7" w:rsidRPr="000A0A5F" w:rsidRDefault="00CB0DD7">
      <w:pPr>
        <w:pStyle w:val="PL"/>
      </w:pPr>
      <w:r w:rsidRPr="000A0A5F">
        <w:t xml:space="preserve">          $ref: 'TS29122_CommonData.yaml#/components/responses/default'</w:t>
      </w:r>
    </w:p>
    <w:p w:rsidR="00844CA4" w:rsidRPr="000A0A5F" w:rsidRDefault="00844CA4">
      <w:pPr>
        <w:pStyle w:val="PL"/>
      </w:pPr>
    </w:p>
    <w:p w:rsidR="00CB0DD7" w:rsidRPr="000A0A5F" w:rsidRDefault="00CB0DD7">
      <w:pPr>
        <w:pStyle w:val="PL"/>
      </w:pPr>
      <w:r w:rsidRPr="000A0A5F">
        <w:t>components:</w:t>
      </w:r>
    </w:p>
    <w:p w:rsidR="00CB0DD7" w:rsidRPr="000A0A5F" w:rsidRDefault="00CB0DD7">
      <w:pPr>
        <w:pStyle w:val="PL"/>
        <w:rPr>
          <w:lang w:val="en-US"/>
        </w:rPr>
      </w:pPr>
      <w:r w:rsidRPr="000A0A5F">
        <w:rPr>
          <w:lang w:val="en-US"/>
        </w:rPr>
        <w:t xml:space="preserve">  securitySchemes:</w:t>
      </w:r>
    </w:p>
    <w:p w:rsidR="00CB0DD7" w:rsidRPr="000A0A5F" w:rsidRDefault="00CB0DD7">
      <w:pPr>
        <w:pStyle w:val="PL"/>
        <w:rPr>
          <w:lang w:val="en-US"/>
        </w:rPr>
      </w:pPr>
      <w:r w:rsidRPr="000A0A5F">
        <w:rPr>
          <w:lang w:val="en-US"/>
        </w:rPr>
        <w:t xml:space="preserve">    oAuth2ClientCredentials:</w:t>
      </w:r>
    </w:p>
    <w:p w:rsidR="00CB0DD7" w:rsidRPr="000A0A5F" w:rsidRDefault="00CB0DD7">
      <w:pPr>
        <w:pStyle w:val="PL"/>
        <w:rPr>
          <w:lang w:val="en-US"/>
        </w:rPr>
      </w:pPr>
      <w:r w:rsidRPr="000A0A5F">
        <w:rPr>
          <w:lang w:val="en-US"/>
        </w:rPr>
        <w:t xml:space="preserve">      type: oauth2</w:t>
      </w:r>
    </w:p>
    <w:p w:rsidR="00CB0DD7" w:rsidRPr="000A0A5F" w:rsidRDefault="00CB0DD7">
      <w:pPr>
        <w:pStyle w:val="PL"/>
        <w:rPr>
          <w:lang w:val="en-US"/>
        </w:rPr>
      </w:pPr>
      <w:r w:rsidRPr="000A0A5F">
        <w:rPr>
          <w:lang w:val="en-US"/>
        </w:rPr>
        <w:t xml:space="preserve">      flows:</w:t>
      </w:r>
    </w:p>
    <w:p w:rsidR="00CB0DD7" w:rsidRPr="000A0A5F" w:rsidRDefault="00CB0DD7">
      <w:pPr>
        <w:pStyle w:val="PL"/>
        <w:rPr>
          <w:lang w:val="en-US"/>
        </w:rPr>
      </w:pPr>
      <w:r w:rsidRPr="000A0A5F">
        <w:rPr>
          <w:lang w:val="en-US"/>
        </w:rPr>
        <w:t xml:space="preserve">        clientCredentials:</w:t>
      </w:r>
    </w:p>
    <w:p w:rsidR="00CB0DD7" w:rsidRPr="000A0A5F" w:rsidRDefault="00CB0DD7">
      <w:pPr>
        <w:pStyle w:val="PL"/>
        <w:rPr>
          <w:lang w:val="en-US"/>
        </w:rPr>
      </w:pPr>
      <w:r w:rsidRPr="000A0A5F">
        <w:rPr>
          <w:lang w:val="en-US"/>
        </w:rPr>
        <w:t xml:space="preserve">          tokenUrl: '{tokenUrl}'</w:t>
      </w:r>
    </w:p>
    <w:p w:rsidR="00CB0DD7" w:rsidRPr="000A0A5F" w:rsidRDefault="00CB0DD7">
      <w:pPr>
        <w:pStyle w:val="PL"/>
        <w:rPr>
          <w:lang w:val="en-US"/>
        </w:rPr>
      </w:pPr>
      <w:r w:rsidRPr="000A0A5F">
        <w:rPr>
          <w:lang w:val="en-US"/>
        </w:rPr>
        <w:t xml:space="preserve">          scopes: {}</w:t>
      </w:r>
    </w:p>
    <w:p w:rsidR="00844CA4" w:rsidRPr="000A0A5F" w:rsidRDefault="00844CA4">
      <w:pPr>
        <w:pStyle w:val="PL"/>
      </w:pPr>
    </w:p>
    <w:p w:rsidR="00CB0DD7" w:rsidRPr="000A0A5F" w:rsidRDefault="00CB0DD7">
      <w:pPr>
        <w:pStyle w:val="PL"/>
        <w:rPr>
          <w:lang w:eastAsia="zh-CN"/>
        </w:rPr>
      </w:pPr>
      <w:r w:rsidRPr="000A0A5F">
        <w:t xml:space="preserve">  schemas: </w:t>
      </w:r>
    </w:p>
    <w:p w:rsidR="00CB0DD7" w:rsidRPr="000A0A5F" w:rsidRDefault="00CB0DD7">
      <w:pPr>
        <w:pStyle w:val="PL"/>
      </w:pPr>
      <w:r w:rsidRPr="000A0A5F">
        <w:t xml:space="preserve">    CpInfo:</w:t>
      </w:r>
    </w:p>
    <w:p w:rsidR="00CB0DD7" w:rsidRPr="000A0A5F" w:rsidRDefault="00CB0DD7">
      <w:pPr>
        <w:pStyle w:val="PL"/>
      </w:pPr>
      <w:r w:rsidRPr="000A0A5F">
        <w:t xml:space="preserve">      description: Represents the resources for communication pattern parameter provisioning.</w:t>
      </w:r>
    </w:p>
    <w:p w:rsidR="00CB0DD7" w:rsidRPr="000A0A5F" w:rsidRDefault="00CB0DD7">
      <w:pPr>
        <w:pStyle w:val="PL"/>
      </w:pPr>
      <w:r w:rsidRPr="000A0A5F">
        <w:t xml:space="preserve">      type: object</w:t>
      </w:r>
    </w:p>
    <w:p w:rsidR="00CB0DD7" w:rsidRPr="000A0A5F" w:rsidRDefault="00CB0DD7">
      <w:pPr>
        <w:pStyle w:val="PL"/>
      </w:pPr>
      <w:r w:rsidRPr="000A0A5F">
        <w:t xml:space="preserve">      properties:</w:t>
      </w:r>
    </w:p>
    <w:p w:rsidR="00CB0DD7" w:rsidRPr="000A0A5F" w:rsidRDefault="00CB0DD7">
      <w:pPr>
        <w:pStyle w:val="PL"/>
      </w:pPr>
      <w:r w:rsidRPr="000A0A5F">
        <w:t xml:space="preserve">        self:</w:t>
      </w:r>
    </w:p>
    <w:p w:rsidR="00CB0DD7" w:rsidRPr="000A0A5F" w:rsidRDefault="00CB0DD7">
      <w:pPr>
        <w:pStyle w:val="PL"/>
      </w:pPr>
      <w:r w:rsidRPr="000A0A5F">
        <w:t xml:space="preserve">          $ref: 'TS29122_CommonData.yaml#/components/schemas/Link'</w:t>
      </w:r>
    </w:p>
    <w:p w:rsidR="00CB0DD7" w:rsidRPr="000A0A5F" w:rsidRDefault="00CB0DD7">
      <w:pPr>
        <w:pStyle w:val="PL"/>
      </w:pPr>
      <w:r w:rsidRPr="000A0A5F">
        <w:t xml:space="preserve">        </w:t>
      </w:r>
      <w:r w:rsidRPr="000A0A5F">
        <w:rPr>
          <w:lang w:eastAsia="zh-CN"/>
        </w:rPr>
        <w:t>supportedFeatures</w:t>
      </w:r>
      <w:r w:rsidRPr="000A0A5F">
        <w:t>:</w:t>
      </w:r>
    </w:p>
    <w:p w:rsidR="00CB0DD7" w:rsidRPr="000A0A5F" w:rsidRDefault="00CB0DD7">
      <w:pPr>
        <w:pStyle w:val="PL"/>
      </w:pPr>
      <w:r w:rsidRPr="000A0A5F">
        <w:t xml:space="preserve">          $ref: 'TS29571_CommonData.yaml#/components/schemas/</w:t>
      </w:r>
      <w:r w:rsidRPr="000A0A5F">
        <w:rPr>
          <w:lang w:eastAsia="zh-CN"/>
        </w:rPr>
        <w:t>SupportedFeatures</w:t>
      </w:r>
      <w:r w:rsidRPr="000A0A5F">
        <w:t>'</w:t>
      </w:r>
    </w:p>
    <w:p w:rsidR="00CB0DD7" w:rsidRPr="000A0A5F" w:rsidRDefault="00CB0DD7">
      <w:pPr>
        <w:pStyle w:val="PL"/>
      </w:pPr>
      <w:r w:rsidRPr="000A0A5F">
        <w:t xml:space="preserve">        mtcProviderId:</w:t>
      </w:r>
    </w:p>
    <w:p w:rsidR="00CB0DD7" w:rsidRPr="000A0A5F" w:rsidRDefault="00CB0DD7">
      <w:pPr>
        <w:pStyle w:val="PL"/>
      </w:pPr>
      <w:r w:rsidRPr="000A0A5F">
        <w:t xml:space="preserve">          type: string</w:t>
      </w:r>
    </w:p>
    <w:p w:rsidR="00CB0DD7" w:rsidRPr="000A0A5F" w:rsidRDefault="00CB0DD7">
      <w:pPr>
        <w:pStyle w:val="PL"/>
      </w:pPr>
      <w:r w:rsidRPr="000A0A5F">
        <w:t xml:space="preserve">          description: Identifies the MTC Service Provider and/or MTC Application.</w:t>
      </w:r>
    </w:p>
    <w:p w:rsidR="00F2786F" w:rsidRPr="000A0A5F" w:rsidRDefault="00F2786F" w:rsidP="00F2786F">
      <w:pPr>
        <w:pStyle w:val="PL"/>
      </w:pPr>
      <w:r w:rsidRPr="000A0A5F">
        <w:t xml:space="preserve">        dnn:</w:t>
      </w:r>
    </w:p>
    <w:p w:rsidR="00F2786F" w:rsidRPr="000A0A5F" w:rsidRDefault="00F2786F" w:rsidP="00F2786F">
      <w:pPr>
        <w:pStyle w:val="PL"/>
      </w:pPr>
      <w:r w:rsidRPr="000A0A5F">
        <w:t xml:space="preserve">          $ref: 'TS29571_CommonData.yaml#/components/schemas/Dnn'</w:t>
      </w:r>
    </w:p>
    <w:p w:rsidR="00CB0DD7" w:rsidRPr="000A0A5F" w:rsidRDefault="00CB0DD7">
      <w:pPr>
        <w:pStyle w:val="PL"/>
      </w:pPr>
      <w:r w:rsidRPr="000A0A5F">
        <w:t xml:space="preserve">        externalId:</w:t>
      </w:r>
    </w:p>
    <w:p w:rsidR="00CB0DD7" w:rsidRPr="000A0A5F" w:rsidRDefault="00CB0DD7">
      <w:pPr>
        <w:pStyle w:val="PL"/>
      </w:pPr>
      <w:r w:rsidRPr="000A0A5F">
        <w:t xml:space="preserve">          $ref: 'TS29122_CommonData.yaml#/components/schemas/ExternalId'</w:t>
      </w:r>
    </w:p>
    <w:p w:rsidR="00CB0DD7" w:rsidRPr="000A0A5F" w:rsidRDefault="00CB0DD7">
      <w:pPr>
        <w:pStyle w:val="PL"/>
      </w:pPr>
      <w:r w:rsidRPr="000A0A5F">
        <w:t xml:space="preserve">        msisdn:</w:t>
      </w:r>
    </w:p>
    <w:p w:rsidR="00CB0DD7" w:rsidRPr="000A0A5F" w:rsidRDefault="00CB0DD7">
      <w:pPr>
        <w:pStyle w:val="PL"/>
      </w:pPr>
      <w:r w:rsidRPr="000A0A5F">
        <w:t xml:space="preserve">          $ref: 'TS29122_CommonData.yaml#/components/schemas/Msisdn'</w:t>
      </w:r>
    </w:p>
    <w:p w:rsidR="00CB0DD7" w:rsidRPr="000A0A5F" w:rsidRDefault="00CB0DD7">
      <w:pPr>
        <w:pStyle w:val="PL"/>
      </w:pPr>
      <w:r w:rsidRPr="000A0A5F">
        <w:t xml:space="preserve">        externalGroupId:</w:t>
      </w:r>
    </w:p>
    <w:p w:rsidR="00CB0DD7" w:rsidRPr="000A0A5F" w:rsidRDefault="00CB0DD7">
      <w:pPr>
        <w:pStyle w:val="PL"/>
      </w:pPr>
      <w:r w:rsidRPr="000A0A5F">
        <w:t xml:space="preserve">          $ref: 'TS29122_CommonData.yaml#/components/schemas/ExternalGroupId'</w:t>
      </w:r>
    </w:p>
    <w:p w:rsidR="00CB0DD7" w:rsidRPr="000A0A5F" w:rsidRDefault="00CB0DD7">
      <w:pPr>
        <w:pStyle w:val="PL"/>
      </w:pPr>
      <w:r w:rsidRPr="000A0A5F">
        <w:t xml:space="preserve">        cpParameterSets:</w:t>
      </w:r>
    </w:p>
    <w:p w:rsidR="00CB0DD7" w:rsidRPr="000A0A5F" w:rsidRDefault="00CB0DD7">
      <w:pPr>
        <w:pStyle w:val="PL"/>
      </w:pPr>
      <w:r w:rsidRPr="000A0A5F">
        <w:t xml:space="preserve">          type: object</w:t>
      </w:r>
    </w:p>
    <w:p w:rsidR="00CB0DD7" w:rsidRPr="000A0A5F" w:rsidRDefault="00CB0DD7">
      <w:pPr>
        <w:pStyle w:val="PL"/>
      </w:pPr>
      <w:r w:rsidRPr="000A0A5F">
        <w:t xml:space="preserve">          additionalProperties:</w:t>
      </w:r>
    </w:p>
    <w:p w:rsidR="00CB0DD7" w:rsidRPr="000A0A5F" w:rsidRDefault="00CB0DD7">
      <w:pPr>
        <w:pStyle w:val="PL"/>
      </w:pPr>
      <w:r w:rsidRPr="000A0A5F">
        <w:t xml:space="preserve">            $ref: '#/components/schemas/CpParameterSet'</w:t>
      </w:r>
    </w:p>
    <w:p w:rsidR="00CB0DD7" w:rsidRPr="000A0A5F" w:rsidRDefault="00CB0DD7">
      <w:pPr>
        <w:pStyle w:val="PL"/>
      </w:pPr>
      <w:r w:rsidRPr="000A0A5F">
        <w:t xml:space="preserve">          minProperties: 1</w:t>
      </w:r>
    </w:p>
    <w:p w:rsidR="00844CA4" w:rsidRPr="000A0A5F" w:rsidRDefault="00CB0DD7">
      <w:pPr>
        <w:pStyle w:val="PL"/>
      </w:pPr>
      <w:r w:rsidRPr="000A0A5F">
        <w:t xml:space="preserve">          description: </w:t>
      </w:r>
      <w:r w:rsidR="00844CA4" w:rsidRPr="000A0A5F">
        <w:t>&gt;</w:t>
      </w:r>
    </w:p>
    <w:p w:rsidR="00844CA4" w:rsidRPr="000A0A5F" w:rsidRDefault="00844CA4">
      <w:pPr>
        <w:pStyle w:val="PL"/>
      </w:pPr>
      <w:r w:rsidRPr="000A0A5F">
        <w:t xml:space="preserve">            </w:t>
      </w:r>
      <w:r w:rsidR="00CB0DD7" w:rsidRPr="000A0A5F">
        <w:t>Identifies a set of CP parameter information that may be part of this CpInfo structure.</w:t>
      </w:r>
    </w:p>
    <w:p w:rsidR="00CB0DD7" w:rsidRPr="000A0A5F" w:rsidRDefault="00844CA4">
      <w:pPr>
        <w:pStyle w:val="PL"/>
      </w:pPr>
      <w:r w:rsidRPr="000A0A5F">
        <w:t xml:space="preserve">           </w:t>
      </w:r>
      <w:r w:rsidR="00CB0DD7" w:rsidRPr="000A0A5F">
        <w:t xml:space="preserve"> Any string value can be used as a key of the map.</w:t>
      </w:r>
    </w:p>
    <w:p w:rsidR="00CB0DD7" w:rsidRPr="000A0A5F" w:rsidRDefault="00CB0DD7">
      <w:pPr>
        <w:pStyle w:val="PL"/>
      </w:pPr>
      <w:r w:rsidRPr="000A0A5F">
        <w:t xml:space="preserve">        cpReports:</w:t>
      </w:r>
    </w:p>
    <w:p w:rsidR="00CB0DD7" w:rsidRPr="000A0A5F" w:rsidRDefault="00CB0DD7">
      <w:pPr>
        <w:pStyle w:val="PL"/>
      </w:pPr>
      <w:r w:rsidRPr="000A0A5F">
        <w:t xml:space="preserve">          type: object</w:t>
      </w:r>
    </w:p>
    <w:p w:rsidR="00CB0DD7" w:rsidRPr="000A0A5F" w:rsidRDefault="00CB0DD7">
      <w:pPr>
        <w:pStyle w:val="PL"/>
      </w:pPr>
      <w:r w:rsidRPr="000A0A5F">
        <w:t xml:space="preserve">          additionalProperties:</w:t>
      </w:r>
    </w:p>
    <w:p w:rsidR="00CB0DD7" w:rsidRPr="000A0A5F" w:rsidRDefault="00CB0DD7">
      <w:pPr>
        <w:pStyle w:val="PL"/>
      </w:pPr>
      <w:r w:rsidRPr="000A0A5F">
        <w:t xml:space="preserve">            $ref: '#/components/schemas/CpReport'</w:t>
      </w:r>
    </w:p>
    <w:p w:rsidR="00CB0DD7" w:rsidRPr="000A0A5F" w:rsidRDefault="00CB0DD7">
      <w:pPr>
        <w:pStyle w:val="PL"/>
      </w:pPr>
      <w:r w:rsidRPr="000A0A5F">
        <w:t xml:space="preserve">          minProperties: 1</w:t>
      </w:r>
    </w:p>
    <w:p w:rsidR="00844CA4" w:rsidRPr="000A0A5F" w:rsidRDefault="00CB0DD7">
      <w:pPr>
        <w:pStyle w:val="PL"/>
      </w:pPr>
      <w:r w:rsidRPr="000A0A5F">
        <w:t xml:space="preserve">          description: </w:t>
      </w:r>
      <w:r w:rsidR="00844CA4" w:rsidRPr="000A0A5F">
        <w:t>&gt;</w:t>
      </w:r>
    </w:p>
    <w:p w:rsidR="00844CA4" w:rsidRPr="000A0A5F" w:rsidRDefault="00844CA4">
      <w:pPr>
        <w:pStyle w:val="PL"/>
        <w:rPr>
          <w:rFonts w:cs="Arial"/>
          <w:szCs w:val="18"/>
          <w:lang w:eastAsia="zh-CN"/>
        </w:rPr>
      </w:pPr>
      <w:r w:rsidRPr="000A0A5F">
        <w:t xml:space="preserve">            </w:t>
      </w:r>
      <w:r w:rsidR="00CB0DD7" w:rsidRPr="000A0A5F">
        <w:rPr>
          <w:rFonts w:cs="Arial"/>
          <w:szCs w:val="18"/>
          <w:lang w:eastAsia="zh-CN"/>
        </w:rPr>
        <w:t>Supplied by the SCEF and contains the CP set identifiers for which CP parameter(s) are</w:t>
      </w:r>
    </w:p>
    <w:p w:rsidR="00844CA4" w:rsidRPr="000A0A5F" w:rsidRDefault="00844CA4">
      <w:pPr>
        <w:pStyle w:val="PL"/>
        <w:rPr>
          <w:rFonts w:cs="Arial"/>
          <w:szCs w:val="18"/>
          <w:lang w:eastAsia="zh-CN"/>
        </w:rPr>
      </w:pPr>
      <w:r w:rsidRPr="000A0A5F">
        <w:t xml:space="preserve">           </w:t>
      </w:r>
      <w:r w:rsidR="00CB0DD7" w:rsidRPr="000A0A5F">
        <w:rPr>
          <w:rFonts w:cs="Arial"/>
          <w:szCs w:val="18"/>
          <w:lang w:eastAsia="zh-CN"/>
        </w:rPr>
        <w:t xml:space="preserve"> not added or modified successfully. The failure reason is also included. Each element</w:t>
      </w:r>
    </w:p>
    <w:p w:rsidR="00844CA4" w:rsidRPr="000A0A5F" w:rsidRDefault="00844CA4">
      <w:pPr>
        <w:pStyle w:val="PL"/>
        <w:rPr>
          <w:rFonts w:eastAsia="Times New Roman" w:cs="Arial"/>
          <w:szCs w:val="18"/>
        </w:rPr>
      </w:pPr>
      <w:r w:rsidRPr="000A0A5F">
        <w:t xml:space="preserve">           </w:t>
      </w:r>
      <w:r w:rsidR="00CB0DD7" w:rsidRPr="000A0A5F">
        <w:rPr>
          <w:rFonts w:cs="Arial"/>
          <w:szCs w:val="18"/>
          <w:lang w:eastAsia="zh-CN"/>
        </w:rPr>
        <w:t xml:space="preserve"> provides the related information for one or more CP set</w:t>
      </w:r>
      <w:r w:rsidR="00CB0DD7" w:rsidRPr="000A0A5F">
        <w:rPr>
          <w:rFonts w:eastAsia="Times New Roman" w:cs="Arial"/>
          <w:szCs w:val="18"/>
        </w:rPr>
        <w:t xml:space="preserve"> identifier(s) and is identified</w:t>
      </w:r>
    </w:p>
    <w:p w:rsidR="00CB0DD7" w:rsidRPr="000A0A5F" w:rsidRDefault="00844CA4">
      <w:pPr>
        <w:pStyle w:val="PL"/>
      </w:pPr>
      <w:r w:rsidRPr="000A0A5F">
        <w:t xml:space="preserve">           </w:t>
      </w:r>
      <w:r w:rsidR="00CB0DD7" w:rsidRPr="000A0A5F">
        <w:rPr>
          <w:rFonts w:eastAsia="Times New Roman" w:cs="Arial"/>
          <w:szCs w:val="18"/>
        </w:rPr>
        <w:t xml:space="preserve"> in the map via the failure identifier as key.</w:t>
      </w:r>
    </w:p>
    <w:p w:rsidR="00CB0DD7" w:rsidRPr="000A0A5F" w:rsidRDefault="00CB0DD7">
      <w:pPr>
        <w:pStyle w:val="PL"/>
      </w:pPr>
      <w:r w:rsidRPr="000A0A5F">
        <w:t xml:space="preserve">          readOnly: true</w:t>
      </w:r>
    </w:p>
    <w:p w:rsidR="00F2786F" w:rsidRPr="000A0A5F" w:rsidRDefault="00F2786F" w:rsidP="00F2786F">
      <w:pPr>
        <w:pStyle w:val="PL"/>
      </w:pPr>
      <w:r w:rsidRPr="000A0A5F">
        <w:t xml:space="preserve">        snssai:</w:t>
      </w:r>
    </w:p>
    <w:p w:rsidR="00F2786F" w:rsidRPr="000A0A5F" w:rsidRDefault="00F2786F" w:rsidP="00F2786F">
      <w:pPr>
        <w:pStyle w:val="PL"/>
      </w:pPr>
      <w:r w:rsidRPr="000A0A5F">
        <w:t xml:space="preserve">          $ref: 'TS29571_CommonData.yaml#/components/schemas/Snssai'</w:t>
      </w:r>
    </w:p>
    <w:p w:rsidR="00F2786F" w:rsidRPr="000A0A5F" w:rsidRDefault="00F2786F" w:rsidP="00F2786F">
      <w:pPr>
        <w:pStyle w:val="PL"/>
      </w:pPr>
      <w:r w:rsidRPr="000A0A5F">
        <w:t xml:space="preserve">        ueIpAddr:</w:t>
      </w:r>
    </w:p>
    <w:p w:rsidR="00F2786F" w:rsidRPr="000A0A5F" w:rsidRDefault="00F2786F" w:rsidP="00F2786F">
      <w:pPr>
        <w:pStyle w:val="PL"/>
      </w:pPr>
      <w:r w:rsidRPr="000A0A5F">
        <w:t xml:space="preserve">          $ref: 'TS29571_CommonData.yaml#/components/schemas/IpAddr'</w:t>
      </w:r>
    </w:p>
    <w:p w:rsidR="00F2786F" w:rsidRPr="000A0A5F" w:rsidRDefault="00F2786F" w:rsidP="00F2786F">
      <w:pPr>
        <w:pStyle w:val="PL"/>
      </w:pPr>
      <w:r w:rsidRPr="000A0A5F">
        <w:t xml:space="preserve">        ueMacAddr:</w:t>
      </w:r>
    </w:p>
    <w:p w:rsidR="00F2786F" w:rsidRPr="000A0A5F" w:rsidRDefault="00F2786F" w:rsidP="00F2786F">
      <w:pPr>
        <w:pStyle w:val="PL"/>
      </w:pPr>
      <w:r w:rsidRPr="000A0A5F">
        <w:t xml:space="preserve">          $ref: 'TS29571_CommonData.yaml#/components/schemas/MacAddr48'</w:t>
      </w:r>
    </w:p>
    <w:p w:rsidR="00CB0DD7" w:rsidRPr="000A0A5F" w:rsidRDefault="00CB0DD7">
      <w:pPr>
        <w:pStyle w:val="PL"/>
      </w:pPr>
      <w:r w:rsidRPr="000A0A5F">
        <w:t xml:space="preserve">      required:</w:t>
      </w:r>
    </w:p>
    <w:p w:rsidR="00CB0DD7" w:rsidRPr="000A0A5F" w:rsidRDefault="00CB0DD7">
      <w:pPr>
        <w:pStyle w:val="PL"/>
      </w:pPr>
      <w:r w:rsidRPr="000A0A5F">
        <w:t xml:space="preserve">        - cpParameterSets</w:t>
      </w:r>
    </w:p>
    <w:p w:rsidR="00CB0DD7" w:rsidRPr="000A0A5F" w:rsidRDefault="00CB0DD7">
      <w:pPr>
        <w:pStyle w:val="PL"/>
      </w:pPr>
      <w:r w:rsidRPr="000A0A5F">
        <w:t xml:space="preserve">      oneOf:</w:t>
      </w:r>
    </w:p>
    <w:p w:rsidR="00CB0DD7" w:rsidRPr="000A0A5F" w:rsidRDefault="00CB0DD7">
      <w:pPr>
        <w:pStyle w:val="PL"/>
      </w:pPr>
      <w:r w:rsidRPr="000A0A5F">
        <w:t xml:space="preserve">        - required: [externalId]</w:t>
      </w:r>
    </w:p>
    <w:p w:rsidR="00CB0DD7" w:rsidRPr="000A0A5F" w:rsidRDefault="00CB0DD7">
      <w:pPr>
        <w:pStyle w:val="PL"/>
      </w:pPr>
      <w:r w:rsidRPr="000A0A5F">
        <w:t xml:space="preserve">        - required: [msisdn]</w:t>
      </w:r>
    </w:p>
    <w:p w:rsidR="00CB0DD7" w:rsidRPr="000A0A5F" w:rsidRDefault="00CB0DD7">
      <w:pPr>
        <w:pStyle w:val="PL"/>
      </w:pPr>
      <w:r w:rsidRPr="000A0A5F">
        <w:t xml:space="preserve">        - required: [externalGroupId]</w:t>
      </w:r>
    </w:p>
    <w:p w:rsidR="00844CA4" w:rsidRPr="000A0A5F" w:rsidRDefault="00844CA4">
      <w:pPr>
        <w:pStyle w:val="PL"/>
      </w:pPr>
    </w:p>
    <w:p w:rsidR="00CB0DD7" w:rsidRPr="000A0A5F" w:rsidRDefault="00CB0DD7">
      <w:pPr>
        <w:pStyle w:val="PL"/>
      </w:pPr>
      <w:r w:rsidRPr="000A0A5F">
        <w:t xml:space="preserve">    CpParameterSet:</w:t>
      </w:r>
    </w:p>
    <w:p w:rsidR="00CB0DD7" w:rsidRPr="000A0A5F" w:rsidRDefault="00CB0DD7">
      <w:pPr>
        <w:pStyle w:val="PL"/>
      </w:pPr>
      <w:r w:rsidRPr="000A0A5F">
        <w:t xml:space="preserve">      description: Represents an offered communication pattern parameter set.</w:t>
      </w:r>
    </w:p>
    <w:p w:rsidR="00CB0DD7" w:rsidRPr="000A0A5F" w:rsidRDefault="00CB0DD7">
      <w:pPr>
        <w:pStyle w:val="PL"/>
      </w:pPr>
      <w:r w:rsidRPr="000A0A5F">
        <w:t xml:space="preserve">      type: object</w:t>
      </w:r>
    </w:p>
    <w:p w:rsidR="00CB0DD7" w:rsidRPr="000A0A5F" w:rsidRDefault="00CB0DD7">
      <w:pPr>
        <w:pStyle w:val="PL"/>
      </w:pPr>
      <w:r w:rsidRPr="000A0A5F">
        <w:t xml:space="preserve">      properties:</w:t>
      </w:r>
    </w:p>
    <w:p w:rsidR="00CB0DD7" w:rsidRPr="000A0A5F" w:rsidRDefault="00CB0DD7">
      <w:pPr>
        <w:pStyle w:val="PL"/>
      </w:pPr>
      <w:r w:rsidRPr="000A0A5F">
        <w:t xml:space="preserve">        setId:</w:t>
      </w:r>
    </w:p>
    <w:p w:rsidR="00CB0DD7" w:rsidRPr="000A0A5F" w:rsidRDefault="00CB0DD7">
      <w:pPr>
        <w:pStyle w:val="PL"/>
      </w:pPr>
      <w:r w:rsidRPr="000A0A5F">
        <w:t xml:space="preserve">          type: string</w:t>
      </w:r>
    </w:p>
    <w:p w:rsidR="00844CA4" w:rsidRPr="000A0A5F" w:rsidRDefault="00CB0DD7">
      <w:pPr>
        <w:pStyle w:val="PL"/>
      </w:pPr>
      <w:r w:rsidRPr="000A0A5F">
        <w:t xml:space="preserve">          description: </w:t>
      </w:r>
      <w:r w:rsidR="00844CA4" w:rsidRPr="000A0A5F">
        <w:t>&gt;</w:t>
      </w:r>
    </w:p>
    <w:p w:rsidR="00844CA4" w:rsidRPr="000A0A5F" w:rsidRDefault="00844CA4">
      <w:pPr>
        <w:pStyle w:val="PL"/>
      </w:pPr>
      <w:r w:rsidRPr="000A0A5F">
        <w:t xml:space="preserve">            </w:t>
      </w:r>
      <w:r w:rsidR="00CB0DD7" w:rsidRPr="000A0A5F">
        <w:t>SCS/AS-chosen correlator provided by the SCS/AS in the request to create a resource</w:t>
      </w:r>
    </w:p>
    <w:p w:rsidR="00CB0DD7" w:rsidRPr="000A0A5F" w:rsidRDefault="00844CA4">
      <w:pPr>
        <w:pStyle w:val="PL"/>
      </w:pPr>
      <w:r w:rsidRPr="000A0A5F">
        <w:t xml:space="preserve">           </w:t>
      </w:r>
      <w:r w:rsidR="00CB0DD7" w:rsidRPr="000A0A5F">
        <w:t xml:space="preserve"> fo</w:t>
      </w:r>
      <w:r w:rsidRPr="000A0A5F">
        <w:t>r</w:t>
      </w:r>
      <w:r w:rsidR="00CB0DD7" w:rsidRPr="000A0A5F">
        <w:t xml:space="preserve"> CP parameter set(s). </w:t>
      </w:r>
    </w:p>
    <w:p w:rsidR="00CB0DD7" w:rsidRPr="000A0A5F" w:rsidRDefault="00CB0DD7">
      <w:pPr>
        <w:pStyle w:val="PL"/>
      </w:pPr>
      <w:r w:rsidRPr="000A0A5F">
        <w:t xml:space="preserve">        self:</w:t>
      </w:r>
    </w:p>
    <w:p w:rsidR="00CB0DD7" w:rsidRPr="000A0A5F" w:rsidRDefault="00CB0DD7">
      <w:pPr>
        <w:pStyle w:val="PL"/>
      </w:pPr>
      <w:r w:rsidRPr="000A0A5F">
        <w:t xml:space="preserve">          $ref: 'TS29122_CommonData.yaml#/components/schemas/Link'</w:t>
      </w:r>
    </w:p>
    <w:p w:rsidR="00CB0DD7" w:rsidRPr="000A0A5F" w:rsidRDefault="00CB0DD7">
      <w:pPr>
        <w:pStyle w:val="PL"/>
      </w:pPr>
      <w:r w:rsidRPr="000A0A5F">
        <w:t xml:space="preserve">        validityTime:</w:t>
      </w:r>
    </w:p>
    <w:p w:rsidR="00CB0DD7" w:rsidRPr="000A0A5F" w:rsidRDefault="00CB0DD7">
      <w:pPr>
        <w:pStyle w:val="PL"/>
      </w:pPr>
      <w:r w:rsidRPr="000A0A5F">
        <w:t xml:space="preserve">          $ref: 'TS29122_CommonData.yaml#/components/schemas/DateTime'</w:t>
      </w:r>
    </w:p>
    <w:p w:rsidR="00CB0DD7" w:rsidRPr="000A0A5F" w:rsidRDefault="00CB0DD7">
      <w:pPr>
        <w:pStyle w:val="PL"/>
      </w:pPr>
      <w:r w:rsidRPr="000A0A5F">
        <w:t xml:space="preserve">        periodicCommunicationIndicator:</w:t>
      </w:r>
    </w:p>
    <w:p w:rsidR="00CB0DD7" w:rsidRPr="000A0A5F" w:rsidRDefault="00CB0DD7">
      <w:pPr>
        <w:pStyle w:val="PL"/>
      </w:pPr>
      <w:r w:rsidRPr="000A0A5F">
        <w:t xml:space="preserve">          $ref: '#/components/schemas/CommunicationIndicator'</w:t>
      </w:r>
    </w:p>
    <w:p w:rsidR="00CB0DD7" w:rsidRPr="000A0A5F" w:rsidRDefault="00CB0DD7">
      <w:pPr>
        <w:pStyle w:val="PL"/>
      </w:pPr>
      <w:r w:rsidRPr="000A0A5F">
        <w:t xml:space="preserve">        communicationDurationTime:</w:t>
      </w:r>
    </w:p>
    <w:p w:rsidR="00CB0DD7" w:rsidRPr="000A0A5F" w:rsidRDefault="00CB0DD7">
      <w:pPr>
        <w:pStyle w:val="PL"/>
      </w:pPr>
      <w:r w:rsidRPr="000A0A5F">
        <w:t xml:space="preserve">          $ref: 'TS29122_CommonData.yaml#/components/schemas/DurationSec'</w:t>
      </w:r>
    </w:p>
    <w:p w:rsidR="00CB0DD7" w:rsidRPr="000A0A5F" w:rsidRDefault="00CB0DD7">
      <w:pPr>
        <w:pStyle w:val="PL"/>
      </w:pPr>
      <w:r w:rsidRPr="000A0A5F">
        <w:t xml:space="preserve">        periodicTime:</w:t>
      </w:r>
    </w:p>
    <w:p w:rsidR="00CB0DD7" w:rsidRPr="000A0A5F" w:rsidRDefault="00CB0DD7">
      <w:pPr>
        <w:pStyle w:val="PL"/>
      </w:pPr>
      <w:r w:rsidRPr="000A0A5F">
        <w:t xml:space="preserve">          $ref: 'TS29122_CommonData.yaml#/components/schemas/DurationSec'</w:t>
      </w:r>
    </w:p>
    <w:p w:rsidR="00CB0DD7" w:rsidRPr="000A0A5F" w:rsidRDefault="00CB0DD7">
      <w:pPr>
        <w:pStyle w:val="PL"/>
      </w:pPr>
      <w:r w:rsidRPr="000A0A5F">
        <w:t xml:space="preserve">        scheduledCommunicationTime:</w:t>
      </w:r>
    </w:p>
    <w:p w:rsidR="00CB0DD7" w:rsidRPr="000A0A5F" w:rsidRDefault="00CB0DD7">
      <w:pPr>
        <w:pStyle w:val="PL"/>
      </w:pPr>
      <w:r w:rsidRPr="000A0A5F">
        <w:t xml:space="preserve">          $ref: '#/components/schemas/ScheduledCommunicationTime'</w:t>
      </w:r>
    </w:p>
    <w:p w:rsidR="00CB0DD7" w:rsidRPr="000A0A5F" w:rsidRDefault="00CB0DD7">
      <w:pPr>
        <w:pStyle w:val="PL"/>
      </w:pPr>
      <w:r w:rsidRPr="000A0A5F">
        <w:t xml:space="preserve">        scheduledCommunicationType:</w:t>
      </w:r>
    </w:p>
    <w:p w:rsidR="00CB0DD7" w:rsidRPr="000A0A5F" w:rsidRDefault="00CB0DD7">
      <w:pPr>
        <w:pStyle w:val="PL"/>
      </w:pPr>
      <w:r w:rsidRPr="000A0A5F">
        <w:t xml:space="preserve">          $ref: '#/components/schemas/ScheduledCommunicationType'</w:t>
      </w:r>
    </w:p>
    <w:p w:rsidR="00CB0DD7" w:rsidRPr="000A0A5F" w:rsidRDefault="00CB0DD7">
      <w:pPr>
        <w:pStyle w:val="PL"/>
      </w:pPr>
      <w:r w:rsidRPr="000A0A5F">
        <w:t xml:space="preserve">        stationaryIndication:</w:t>
      </w:r>
    </w:p>
    <w:p w:rsidR="00CB0DD7" w:rsidRPr="000A0A5F" w:rsidRDefault="00CB0DD7">
      <w:pPr>
        <w:pStyle w:val="PL"/>
      </w:pPr>
      <w:r w:rsidRPr="000A0A5F">
        <w:t xml:space="preserve">          $ref: '#/components/schemas/StationaryIndication'</w:t>
      </w:r>
    </w:p>
    <w:p w:rsidR="00CB0DD7" w:rsidRPr="000A0A5F" w:rsidRDefault="00CB0DD7">
      <w:pPr>
        <w:pStyle w:val="PL"/>
      </w:pPr>
      <w:r w:rsidRPr="000A0A5F">
        <w:t xml:space="preserve">        batteryInds:</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$ref: '#/components/schemas/BatteryIndication'</w:t>
      </w:r>
    </w:p>
    <w:p w:rsidR="00CB0DD7" w:rsidRPr="000A0A5F" w:rsidRDefault="00CB0DD7">
      <w:pPr>
        <w:pStyle w:val="PL"/>
      </w:pPr>
      <w:r w:rsidRPr="000A0A5F">
        <w:t xml:space="preserve">          minItems: 1</w:t>
      </w:r>
    </w:p>
    <w:p w:rsidR="00CB0DD7" w:rsidRPr="000A0A5F" w:rsidRDefault="00CB0DD7">
      <w:pPr>
        <w:pStyle w:val="PL"/>
      </w:pPr>
      <w:r w:rsidRPr="000A0A5F">
        <w:t xml:space="preserve">        trafficProfile:</w:t>
      </w:r>
    </w:p>
    <w:p w:rsidR="00CB0DD7" w:rsidRPr="000A0A5F" w:rsidRDefault="00CB0DD7">
      <w:pPr>
        <w:pStyle w:val="PL"/>
      </w:pPr>
      <w:r w:rsidRPr="000A0A5F">
        <w:t xml:space="preserve">          $ref: '#/components/schemas/TrafficProfile'</w:t>
      </w:r>
    </w:p>
    <w:p w:rsidR="00CB0DD7" w:rsidRPr="000A0A5F" w:rsidRDefault="00CB0DD7">
      <w:pPr>
        <w:pStyle w:val="PL"/>
      </w:pPr>
      <w:r w:rsidRPr="000A0A5F">
        <w:t xml:space="preserve">        expectedUmts:</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$ref: '#/components/schemas/UmtLocationArea5G'</w:t>
      </w:r>
    </w:p>
    <w:p w:rsidR="00CB0DD7" w:rsidRPr="000A0A5F" w:rsidRDefault="00CB0DD7">
      <w:pPr>
        <w:pStyle w:val="PL"/>
      </w:pPr>
      <w:r w:rsidRPr="000A0A5F">
        <w:t xml:space="preserve">          minItems: 1</w:t>
      </w:r>
    </w:p>
    <w:p w:rsidR="00844CA4" w:rsidRPr="000A0A5F" w:rsidRDefault="00CB0DD7">
      <w:pPr>
        <w:pStyle w:val="PL"/>
      </w:pPr>
      <w:r w:rsidRPr="000A0A5F">
        <w:t xml:space="preserve">          description: </w:t>
      </w:r>
      <w:r w:rsidR="00844CA4" w:rsidRPr="000A0A5F">
        <w:t>&gt;</w:t>
      </w:r>
    </w:p>
    <w:p w:rsidR="00844CA4" w:rsidRPr="000A0A5F" w:rsidRDefault="00844CA4">
      <w:pPr>
        <w:pStyle w:val="PL"/>
      </w:pPr>
      <w:r w:rsidRPr="000A0A5F">
        <w:t xml:space="preserve">            </w:t>
      </w:r>
      <w:r w:rsidR="00CB0DD7" w:rsidRPr="000A0A5F">
        <w:t>Identifies the UE's expected geographical movement. The attribute is only applicable</w:t>
      </w:r>
    </w:p>
    <w:p w:rsidR="00CB0DD7" w:rsidRPr="000A0A5F" w:rsidRDefault="00844CA4">
      <w:pPr>
        <w:pStyle w:val="PL"/>
      </w:pPr>
      <w:r w:rsidRPr="000A0A5F">
        <w:t xml:space="preserve">           </w:t>
      </w:r>
      <w:r w:rsidR="00CB0DD7" w:rsidRPr="000A0A5F">
        <w:t xml:space="preserve"> in 5G.</w:t>
      </w:r>
    </w:p>
    <w:p w:rsidR="00CB0DD7" w:rsidRPr="000A0A5F" w:rsidRDefault="00CB0DD7">
      <w:pPr>
        <w:pStyle w:val="PL"/>
      </w:pPr>
      <w:r w:rsidRPr="000A0A5F">
        <w:t xml:space="preserve">        expectedUmtDays:</w:t>
      </w:r>
    </w:p>
    <w:p w:rsidR="00CB0DD7" w:rsidRPr="000A0A5F" w:rsidRDefault="00CB0DD7">
      <w:pPr>
        <w:pStyle w:val="PL"/>
      </w:pPr>
      <w:r w:rsidRPr="000A0A5F">
        <w:t xml:space="preserve">          $ref: 'TS29122_CommonData.yaml#/components/schemas/DayOfWeek'</w:t>
      </w:r>
    </w:p>
    <w:p w:rsidR="0096105B" w:rsidRPr="000A0A5F" w:rsidRDefault="0096105B" w:rsidP="0096105B">
      <w:pPr>
        <w:pStyle w:val="PL"/>
      </w:pPr>
      <w:r w:rsidRPr="000A0A5F">
        <w:t xml:space="preserve">        expectedUmtDaysAdd:</w:t>
      </w:r>
    </w:p>
    <w:p w:rsidR="0096105B" w:rsidRPr="000A0A5F" w:rsidRDefault="0096105B" w:rsidP="0096105B">
      <w:pPr>
        <w:pStyle w:val="PL"/>
      </w:pPr>
      <w:r w:rsidRPr="000A0A5F">
        <w:t xml:space="preserve">          type: array</w:t>
      </w:r>
    </w:p>
    <w:p w:rsidR="0096105B" w:rsidRPr="000A0A5F" w:rsidRDefault="0096105B" w:rsidP="0096105B">
      <w:pPr>
        <w:pStyle w:val="PL"/>
      </w:pPr>
      <w:r w:rsidRPr="000A0A5F">
        <w:t xml:space="preserve">          items:</w:t>
      </w:r>
    </w:p>
    <w:p w:rsidR="0096105B" w:rsidRPr="000A0A5F" w:rsidRDefault="0096105B" w:rsidP="0096105B">
      <w:pPr>
        <w:pStyle w:val="PL"/>
      </w:pPr>
      <w:r w:rsidRPr="000A0A5F">
        <w:t xml:space="preserve">            $ref: 'TS29122_CommonData.yaml#/components/schemas/DayOfWeek'</w:t>
      </w:r>
    </w:p>
    <w:p w:rsidR="0096105B" w:rsidRPr="000A0A5F" w:rsidRDefault="0096105B" w:rsidP="0096105B">
      <w:pPr>
        <w:pStyle w:val="PL"/>
      </w:pPr>
      <w:r w:rsidRPr="000A0A5F">
        <w:t xml:space="preserve">          minItems: 1</w:t>
      </w:r>
    </w:p>
    <w:p w:rsidR="0096105B" w:rsidRPr="000A0A5F" w:rsidRDefault="0096105B" w:rsidP="0096105B">
      <w:pPr>
        <w:pStyle w:val="PL"/>
      </w:pPr>
      <w:r w:rsidRPr="000A0A5F">
        <w:t xml:space="preserve">          maxItems: 5</w:t>
      </w:r>
    </w:p>
    <w:p w:rsidR="0096105B" w:rsidRPr="000A0A5F" w:rsidRDefault="0096105B" w:rsidP="0096105B">
      <w:pPr>
        <w:pStyle w:val="PL"/>
      </w:pPr>
      <w:r w:rsidRPr="000A0A5F">
        <w:t xml:space="preserve">          description: Identifies the additional day(s) of the week.</w:t>
      </w:r>
    </w:p>
    <w:p w:rsidR="006A2940" w:rsidRPr="000A0A5F" w:rsidRDefault="006A2940" w:rsidP="006A294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0A0A5F">
        <w:rPr>
          <w:rFonts w:ascii="Courier New" w:hAnsi="Courier New"/>
          <w:sz w:val="16"/>
        </w:rPr>
        <w:t xml:space="preserve">        appExpUeBehvs:</w:t>
      </w:r>
    </w:p>
    <w:p w:rsidR="006A2940" w:rsidRPr="000A0A5F" w:rsidRDefault="006A2940" w:rsidP="006A294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0A0A5F">
        <w:rPr>
          <w:rFonts w:ascii="Courier New" w:hAnsi="Courier New"/>
          <w:sz w:val="16"/>
        </w:rPr>
        <w:t xml:space="preserve">          type: array</w:t>
      </w:r>
    </w:p>
    <w:p w:rsidR="006A2940" w:rsidRPr="000A0A5F" w:rsidRDefault="006A2940" w:rsidP="006A294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0A0A5F">
        <w:rPr>
          <w:rFonts w:ascii="Courier New" w:hAnsi="Courier New"/>
          <w:sz w:val="16"/>
        </w:rPr>
        <w:t xml:space="preserve">          items:</w:t>
      </w:r>
    </w:p>
    <w:p w:rsidR="006A2940" w:rsidRPr="000A0A5F" w:rsidRDefault="006A2940" w:rsidP="006A294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0A0A5F">
        <w:rPr>
          <w:rFonts w:ascii="Courier New" w:hAnsi="Courier New"/>
          <w:sz w:val="16"/>
        </w:rPr>
        <w:t xml:space="preserve">            $ref: '#/components/schemas/AppExpUeBehaviour'</w:t>
      </w:r>
    </w:p>
    <w:p w:rsidR="006A2940" w:rsidRPr="000A0A5F" w:rsidRDefault="006A2940" w:rsidP="006A294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0A0A5F">
        <w:rPr>
          <w:rFonts w:ascii="Courier New" w:hAnsi="Courier New"/>
          <w:sz w:val="16"/>
        </w:rPr>
        <w:t xml:space="preserve">          minItems: 1</w:t>
      </w:r>
    </w:p>
    <w:p w:rsidR="006A2940" w:rsidRPr="000A0A5F" w:rsidRDefault="006A2940" w:rsidP="006A294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0A0A5F">
        <w:rPr>
          <w:rFonts w:ascii="Courier New" w:hAnsi="Courier New"/>
          <w:sz w:val="16"/>
        </w:rPr>
        <w:t xml:space="preserve">          description: Contains the Application Specific Expected UE Behaviour parameters.</w:t>
      </w:r>
    </w:p>
    <w:p w:rsidR="00167F1C" w:rsidRPr="000A0A5F" w:rsidRDefault="00167F1C" w:rsidP="00167F1C">
      <w:pPr>
        <w:pStyle w:val="PL"/>
      </w:pPr>
      <w:r w:rsidRPr="000A0A5F">
        <w:t xml:space="preserve">        confidenceLevel:</w:t>
      </w:r>
    </w:p>
    <w:p w:rsidR="00167F1C" w:rsidRPr="000A0A5F" w:rsidRDefault="00167F1C" w:rsidP="00167F1C">
      <w:pPr>
        <w:pStyle w:val="PL"/>
      </w:pPr>
      <w:r w:rsidRPr="000A0A5F">
        <w:t xml:space="preserve">          type: string</w:t>
      </w:r>
    </w:p>
    <w:p w:rsidR="00167F1C" w:rsidRPr="000A0A5F" w:rsidRDefault="00167F1C" w:rsidP="00167F1C">
      <w:pPr>
        <w:pStyle w:val="PL"/>
      </w:pPr>
      <w:r w:rsidRPr="000A0A5F">
        <w:t xml:space="preserve">          pattern: '^[0]\.[0-9]{2}|[1.00]$'</w:t>
      </w:r>
    </w:p>
    <w:p w:rsidR="00167F1C" w:rsidRPr="000A0A5F" w:rsidRDefault="00167F1C" w:rsidP="00167F1C">
      <w:pPr>
        <w:pStyle w:val="PL"/>
      </w:pPr>
      <w:r w:rsidRPr="000A0A5F">
        <w:t xml:space="preserve">        accuracyLevel:</w:t>
      </w:r>
    </w:p>
    <w:p w:rsidR="00167F1C" w:rsidRPr="000A0A5F" w:rsidRDefault="00167F1C" w:rsidP="00167F1C">
      <w:pPr>
        <w:pStyle w:val="PL"/>
      </w:pPr>
      <w:r w:rsidRPr="000A0A5F">
        <w:t xml:space="preserve">          type: string</w:t>
      </w:r>
    </w:p>
    <w:p w:rsidR="00167F1C" w:rsidRPr="000A0A5F" w:rsidRDefault="00167F1C" w:rsidP="00167F1C">
      <w:pPr>
        <w:pStyle w:val="PL"/>
      </w:pPr>
      <w:r w:rsidRPr="000A0A5F">
        <w:t xml:space="preserve">          pattern: '^[0]\.[0-9]{2}|[1.00]$'</w:t>
      </w:r>
    </w:p>
    <w:p w:rsidR="00CB0DD7" w:rsidRPr="000A0A5F" w:rsidRDefault="00CB0DD7">
      <w:pPr>
        <w:pStyle w:val="PL"/>
      </w:pPr>
      <w:r w:rsidRPr="000A0A5F">
        <w:t xml:space="preserve">      required:</w:t>
      </w:r>
    </w:p>
    <w:p w:rsidR="00CB0DD7" w:rsidRPr="000A0A5F" w:rsidRDefault="00CB0DD7">
      <w:pPr>
        <w:pStyle w:val="PL"/>
      </w:pPr>
      <w:r w:rsidRPr="000A0A5F">
        <w:t xml:space="preserve">        - setId</w:t>
      </w:r>
    </w:p>
    <w:p w:rsidR="00844CA4" w:rsidRPr="000A0A5F" w:rsidRDefault="00844CA4">
      <w:pPr>
        <w:pStyle w:val="PL"/>
      </w:pPr>
    </w:p>
    <w:p w:rsidR="00CB0DD7" w:rsidRPr="000A0A5F" w:rsidRDefault="00CB0DD7">
      <w:pPr>
        <w:pStyle w:val="PL"/>
      </w:pPr>
      <w:r w:rsidRPr="000A0A5F">
        <w:t xml:space="preserve">    ScheduledCommunicationTime:</w:t>
      </w:r>
    </w:p>
    <w:p w:rsidR="00CB0DD7" w:rsidRPr="000A0A5F" w:rsidRDefault="00CB0DD7">
      <w:pPr>
        <w:pStyle w:val="PL"/>
      </w:pPr>
      <w:r w:rsidRPr="000A0A5F">
        <w:t xml:space="preserve">      description: Represents an offered scheduled communication time.</w:t>
      </w:r>
    </w:p>
    <w:p w:rsidR="00CB0DD7" w:rsidRPr="000A0A5F" w:rsidRDefault="00CB0DD7">
      <w:pPr>
        <w:pStyle w:val="PL"/>
      </w:pPr>
      <w:r w:rsidRPr="000A0A5F">
        <w:t xml:space="preserve">      type: object</w:t>
      </w:r>
    </w:p>
    <w:p w:rsidR="00CB0DD7" w:rsidRPr="000A0A5F" w:rsidRDefault="00CB0DD7">
      <w:pPr>
        <w:pStyle w:val="PL"/>
      </w:pPr>
      <w:r w:rsidRPr="000A0A5F">
        <w:t xml:space="preserve">      properties:</w:t>
      </w:r>
    </w:p>
    <w:p w:rsidR="00CB0DD7" w:rsidRPr="000A0A5F" w:rsidRDefault="00CB0DD7">
      <w:pPr>
        <w:pStyle w:val="PL"/>
      </w:pPr>
      <w:r w:rsidRPr="000A0A5F">
        <w:t xml:space="preserve">        daysOfWeek:</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$ref: 'TS29122_CommonData.yaml#/components/schemas/DayOfWeek'</w:t>
      </w:r>
    </w:p>
    <w:p w:rsidR="00CB0DD7" w:rsidRPr="000A0A5F" w:rsidRDefault="00CB0DD7">
      <w:pPr>
        <w:pStyle w:val="PL"/>
      </w:pPr>
      <w:r w:rsidRPr="000A0A5F">
        <w:t xml:space="preserve">          minItems: 1</w:t>
      </w:r>
    </w:p>
    <w:p w:rsidR="00CB0DD7" w:rsidRPr="000A0A5F" w:rsidRDefault="00CB0DD7">
      <w:pPr>
        <w:pStyle w:val="PL"/>
      </w:pPr>
      <w:r w:rsidRPr="000A0A5F">
        <w:t xml:space="preserve">          maxItems: 6</w:t>
      </w:r>
    </w:p>
    <w:p w:rsidR="00844CA4" w:rsidRPr="000A0A5F" w:rsidRDefault="00CB0DD7">
      <w:pPr>
        <w:pStyle w:val="PL"/>
      </w:pPr>
      <w:r w:rsidRPr="000A0A5F">
        <w:t xml:space="preserve">          description: </w:t>
      </w:r>
      <w:r w:rsidR="00844CA4" w:rsidRPr="000A0A5F">
        <w:t>&gt;</w:t>
      </w:r>
    </w:p>
    <w:p w:rsidR="00CB0DD7" w:rsidRPr="000A0A5F" w:rsidRDefault="00844CA4">
      <w:pPr>
        <w:pStyle w:val="PL"/>
      </w:pPr>
      <w:r w:rsidRPr="000A0A5F">
        <w:t xml:space="preserve">            </w:t>
      </w:r>
      <w:r w:rsidR="00CB0DD7" w:rsidRPr="000A0A5F">
        <w:t>Identifies the day(s) of the week. If absent, it indicates every day of the week.</w:t>
      </w:r>
    </w:p>
    <w:p w:rsidR="00CB0DD7" w:rsidRPr="000A0A5F" w:rsidRDefault="00CB0DD7">
      <w:pPr>
        <w:pStyle w:val="PL"/>
      </w:pPr>
      <w:r w:rsidRPr="000A0A5F">
        <w:t xml:space="preserve">        timeOfDayStart:</w:t>
      </w:r>
    </w:p>
    <w:p w:rsidR="00CB0DD7" w:rsidRPr="000A0A5F" w:rsidRDefault="00CB0DD7">
      <w:pPr>
        <w:pStyle w:val="PL"/>
      </w:pPr>
      <w:r w:rsidRPr="000A0A5F">
        <w:t xml:space="preserve">          $ref: 'TS29122_CommonData.yaml#/components/schemas/</w:t>
      </w:r>
      <w:r w:rsidRPr="000A0A5F">
        <w:rPr>
          <w:lang w:eastAsia="zh-CN"/>
        </w:rPr>
        <w:t>TimeOfDay</w:t>
      </w:r>
      <w:r w:rsidRPr="000A0A5F">
        <w:t>'</w:t>
      </w:r>
    </w:p>
    <w:p w:rsidR="00CB0DD7" w:rsidRPr="000A0A5F" w:rsidRDefault="00CB0DD7">
      <w:pPr>
        <w:pStyle w:val="PL"/>
      </w:pPr>
      <w:r w:rsidRPr="000A0A5F">
        <w:t xml:space="preserve">        timeOfDayEnd:</w:t>
      </w:r>
    </w:p>
    <w:p w:rsidR="00CB0DD7" w:rsidRPr="000A0A5F" w:rsidRDefault="00CB0DD7">
      <w:pPr>
        <w:pStyle w:val="PL"/>
      </w:pPr>
      <w:r w:rsidRPr="000A0A5F">
        <w:t xml:space="preserve">          $ref: 'TS29122_CommonData.yaml#/components/schemas/</w:t>
      </w:r>
      <w:r w:rsidRPr="000A0A5F">
        <w:rPr>
          <w:lang w:eastAsia="zh-CN"/>
        </w:rPr>
        <w:t>TimeOfDay</w:t>
      </w:r>
      <w:r w:rsidRPr="000A0A5F">
        <w:t>'</w:t>
      </w:r>
    </w:p>
    <w:p w:rsidR="00844CA4" w:rsidRPr="000A0A5F" w:rsidRDefault="00844CA4">
      <w:pPr>
        <w:pStyle w:val="PL"/>
      </w:pPr>
    </w:p>
    <w:p w:rsidR="00CB0DD7" w:rsidRPr="000A0A5F" w:rsidRDefault="00CB0DD7">
      <w:pPr>
        <w:pStyle w:val="PL"/>
      </w:pPr>
      <w:r w:rsidRPr="000A0A5F">
        <w:t xml:space="preserve">    CpReport:</w:t>
      </w:r>
    </w:p>
    <w:p w:rsidR="00844CA4" w:rsidRPr="000A0A5F" w:rsidRDefault="00CB0DD7">
      <w:pPr>
        <w:pStyle w:val="PL"/>
      </w:pPr>
      <w:r w:rsidRPr="000A0A5F">
        <w:t xml:space="preserve">      description: </w:t>
      </w:r>
      <w:r w:rsidR="00844CA4" w:rsidRPr="000A0A5F">
        <w:t>&gt;</w:t>
      </w:r>
    </w:p>
    <w:p w:rsidR="00844CA4" w:rsidRPr="000A0A5F" w:rsidRDefault="00844CA4">
      <w:pPr>
        <w:pStyle w:val="PL"/>
      </w:pPr>
      <w:r w:rsidRPr="000A0A5F">
        <w:t xml:space="preserve">        </w:t>
      </w:r>
      <w:r w:rsidR="00CB0DD7" w:rsidRPr="000A0A5F">
        <w:t>Represents a CP report indicating the CP set identifier(s) which CP parameter(s) are not</w:t>
      </w:r>
    </w:p>
    <w:p w:rsidR="00CB0DD7" w:rsidRPr="000A0A5F" w:rsidRDefault="00844CA4">
      <w:pPr>
        <w:pStyle w:val="PL"/>
      </w:pPr>
      <w:r w:rsidRPr="000A0A5F">
        <w:t xml:space="preserve">       </w:t>
      </w:r>
      <w:r w:rsidR="00CB0DD7" w:rsidRPr="000A0A5F">
        <w:t xml:space="preserve"> added or modified successfully and the corresponding failure cause(s).</w:t>
      </w:r>
    </w:p>
    <w:p w:rsidR="00CB0DD7" w:rsidRPr="000A0A5F" w:rsidRDefault="00CB0DD7">
      <w:pPr>
        <w:pStyle w:val="PL"/>
      </w:pPr>
      <w:r w:rsidRPr="000A0A5F">
        <w:t xml:space="preserve">      type: object</w:t>
      </w:r>
    </w:p>
    <w:p w:rsidR="00CB0DD7" w:rsidRPr="000A0A5F" w:rsidRDefault="00CB0DD7">
      <w:pPr>
        <w:pStyle w:val="PL"/>
      </w:pPr>
      <w:r w:rsidRPr="000A0A5F">
        <w:t xml:space="preserve">      properties:</w:t>
      </w:r>
    </w:p>
    <w:p w:rsidR="00CB0DD7" w:rsidRPr="000A0A5F" w:rsidRDefault="00CB0DD7">
      <w:pPr>
        <w:pStyle w:val="PL"/>
      </w:pPr>
      <w:r w:rsidRPr="000A0A5F">
        <w:t xml:space="preserve">        setIds:</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type: string</w:t>
      </w:r>
    </w:p>
    <w:p w:rsidR="00CB0DD7" w:rsidRPr="000A0A5F" w:rsidRDefault="00CB0DD7">
      <w:pPr>
        <w:pStyle w:val="PL"/>
      </w:pPr>
      <w:r w:rsidRPr="000A0A5F">
        <w:t xml:space="preserve">          minItems: 1</w:t>
      </w:r>
    </w:p>
    <w:p w:rsidR="00844CA4" w:rsidRPr="000A0A5F" w:rsidRDefault="00CB0DD7">
      <w:pPr>
        <w:pStyle w:val="PL"/>
      </w:pPr>
      <w:r w:rsidRPr="000A0A5F">
        <w:t xml:space="preserve">          description: </w:t>
      </w:r>
      <w:r w:rsidR="00844CA4" w:rsidRPr="000A0A5F">
        <w:t>&gt;</w:t>
      </w:r>
    </w:p>
    <w:p w:rsidR="00844CA4" w:rsidRPr="000A0A5F" w:rsidRDefault="00844CA4">
      <w:pPr>
        <w:pStyle w:val="PL"/>
      </w:pPr>
      <w:r w:rsidRPr="000A0A5F">
        <w:t xml:space="preserve">            </w:t>
      </w:r>
      <w:r w:rsidR="00CB0DD7" w:rsidRPr="000A0A5F">
        <w:t>Identifies the CP set identifier(s) which CP parameter(s) are not added or modified</w:t>
      </w:r>
    </w:p>
    <w:p w:rsidR="00CB0DD7" w:rsidRPr="000A0A5F" w:rsidRDefault="00844CA4">
      <w:pPr>
        <w:pStyle w:val="PL"/>
      </w:pPr>
      <w:r w:rsidRPr="000A0A5F">
        <w:t xml:space="preserve">           </w:t>
      </w:r>
      <w:r w:rsidR="00CB0DD7" w:rsidRPr="000A0A5F">
        <w:t xml:space="preserve"> successfully</w:t>
      </w:r>
    </w:p>
    <w:p w:rsidR="00CB0DD7" w:rsidRPr="000A0A5F" w:rsidRDefault="00CB0DD7">
      <w:pPr>
        <w:pStyle w:val="PL"/>
      </w:pPr>
      <w:r w:rsidRPr="000A0A5F">
        <w:t xml:space="preserve">        failureCode:</w:t>
      </w:r>
    </w:p>
    <w:p w:rsidR="00CB0DD7" w:rsidRPr="000A0A5F" w:rsidRDefault="00CB0DD7">
      <w:pPr>
        <w:pStyle w:val="PL"/>
      </w:pPr>
      <w:r w:rsidRPr="000A0A5F">
        <w:t xml:space="preserve">          $ref: '#/components/schemas/CpFailureCode'</w:t>
      </w:r>
    </w:p>
    <w:p w:rsidR="00CB0DD7" w:rsidRPr="000A0A5F" w:rsidRDefault="00CB0DD7">
      <w:pPr>
        <w:pStyle w:val="PL"/>
      </w:pPr>
      <w:r w:rsidRPr="000A0A5F">
        <w:t xml:space="preserve">      required:</w:t>
      </w:r>
    </w:p>
    <w:p w:rsidR="00CB0DD7" w:rsidRPr="000A0A5F" w:rsidRDefault="00CB0DD7">
      <w:pPr>
        <w:pStyle w:val="PL"/>
      </w:pPr>
      <w:r w:rsidRPr="000A0A5F">
        <w:t xml:space="preserve">        - failureCode</w:t>
      </w:r>
    </w:p>
    <w:p w:rsidR="00844CA4" w:rsidRPr="000A0A5F" w:rsidRDefault="00844CA4">
      <w:pPr>
        <w:pStyle w:val="PL"/>
        <w:rPr>
          <w:lang w:val="en-US"/>
        </w:rPr>
      </w:pPr>
    </w:p>
    <w:p w:rsidR="00CB0DD7" w:rsidRPr="000A0A5F" w:rsidRDefault="00CB0DD7">
      <w:pPr>
        <w:pStyle w:val="PL"/>
        <w:rPr>
          <w:lang w:val="en-US"/>
        </w:rPr>
      </w:pPr>
      <w:r w:rsidRPr="000A0A5F">
        <w:rPr>
          <w:lang w:val="en-US"/>
        </w:rPr>
        <w:t xml:space="preserve">    </w:t>
      </w:r>
      <w:r w:rsidRPr="000A0A5F">
        <w:t>UmtLocationArea5G</w:t>
      </w:r>
      <w:r w:rsidRPr="000A0A5F">
        <w:rPr>
          <w:lang w:val="en-US"/>
        </w:rPr>
        <w:t>:</w:t>
      </w:r>
    </w:p>
    <w:p w:rsidR="00CB0DD7" w:rsidRPr="000A0A5F" w:rsidRDefault="00CB0DD7">
      <w:pPr>
        <w:pStyle w:val="PL"/>
      </w:pPr>
      <w:r w:rsidRPr="000A0A5F">
        <w:t xml:space="preserve">      description: Represents the user location area describing the UE moving trajectory.</w:t>
      </w:r>
    </w:p>
    <w:p w:rsidR="00CB0DD7" w:rsidRPr="000A0A5F" w:rsidRDefault="00CB0DD7">
      <w:pPr>
        <w:pStyle w:val="PL"/>
        <w:rPr>
          <w:lang w:val="en-US"/>
        </w:rPr>
      </w:pPr>
      <w:r w:rsidRPr="000A0A5F">
        <w:rPr>
          <w:lang w:val="en-US"/>
        </w:rPr>
        <w:t xml:space="preserve">      allOf:</w:t>
      </w:r>
    </w:p>
    <w:p w:rsidR="00CB0DD7" w:rsidRPr="000A0A5F" w:rsidRDefault="00CB0DD7">
      <w:pPr>
        <w:pStyle w:val="PL"/>
      </w:pPr>
      <w:r w:rsidRPr="000A0A5F">
        <w:t xml:space="preserve">        - $ref: 'TS29122_CommonData.yaml#/components/schemas/LocationArea5G'</w:t>
      </w:r>
    </w:p>
    <w:p w:rsidR="00CB0DD7" w:rsidRPr="000A0A5F" w:rsidRDefault="00CB0DD7">
      <w:pPr>
        <w:pStyle w:val="PL"/>
        <w:rPr>
          <w:lang w:val="en-US"/>
        </w:rPr>
      </w:pPr>
      <w:r w:rsidRPr="000A0A5F">
        <w:rPr>
          <w:lang w:val="en-US"/>
        </w:rPr>
        <w:t xml:space="preserve">        - type: object</w:t>
      </w:r>
    </w:p>
    <w:p w:rsidR="00CB0DD7" w:rsidRPr="000A0A5F" w:rsidRDefault="00CB0DD7">
      <w:pPr>
        <w:pStyle w:val="PL"/>
        <w:rPr>
          <w:lang w:val="en-US"/>
        </w:rPr>
      </w:pPr>
      <w:r w:rsidRPr="000A0A5F">
        <w:rPr>
          <w:lang w:val="en-US"/>
        </w:rPr>
        <w:t xml:space="preserve">          properties:</w:t>
      </w:r>
    </w:p>
    <w:p w:rsidR="00CB0DD7" w:rsidRPr="000A0A5F" w:rsidRDefault="00CB0DD7">
      <w:pPr>
        <w:pStyle w:val="PL"/>
      </w:pPr>
      <w:r w:rsidRPr="000A0A5F">
        <w:t xml:space="preserve">            umtTime:</w:t>
      </w:r>
    </w:p>
    <w:p w:rsidR="00CB0DD7" w:rsidRPr="000A0A5F" w:rsidRDefault="00CB0DD7">
      <w:pPr>
        <w:pStyle w:val="PL"/>
        <w:rPr>
          <w:lang w:val="en-US"/>
        </w:rPr>
      </w:pPr>
      <w:r w:rsidRPr="000A0A5F">
        <w:rPr>
          <w:lang w:val="en-US"/>
        </w:rPr>
        <w:t xml:space="preserve">              $ref: 'TS29122_CommonData.yaml#/components/schemas/TimeOfDay'</w:t>
      </w:r>
    </w:p>
    <w:p w:rsidR="00CB0DD7" w:rsidRPr="000A0A5F" w:rsidRDefault="00CB0DD7">
      <w:pPr>
        <w:pStyle w:val="PL"/>
        <w:rPr>
          <w:lang w:val="en-US"/>
        </w:rPr>
      </w:pPr>
      <w:r w:rsidRPr="000A0A5F">
        <w:rPr>
          <w:lang w:val="en-US"/>
        </w:rPr>
        <w:t xml:space="preserve">            umtDuration:</w:t>
      </w:r>
    </w:p>
    <w:p w:rsidR="00CB0DD7" w:rsidRPr="000A0A5F" w:rsidRDefault="00CB0DD7">
      <w:pPr>
        <w:pStyle w:val="PL"/>
        <w:rPr>
          <w:lang w:val="en-US"/>
        </w:rPr>
      </w:pPr>
      <w:r w:rsidRPr="000A0A5F">
        <w:rPr>
          <w:lang w:val="en-US"/>
        </w:rPr>
        <w:t xml:space="preserve">              $ref: 'TS29122_CommonData.yaml#/components/schemas/DurationSec'</w:t>
      </w:r>
    </w:p>
    <w:p w:rsidR="006A2940" w:rsidRPr="000A0A5F" w:rsidRDefault="006A2940" w:rsidP="006A2940">
      <w:pPr>
        <w:pStyle w:val="PL"/>
      </w:pPr>
    </w:p>
    <w:p w:rsidR="006A2940" w:rsidRPr="000A0A5F" w:rsidRDefault="006A2940" w:rsidP="006A294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0A0A5F">
        <w:rPr>
          <w:rFonts w:ascii="Courier New" w:hAnsi="Courier New"/>
          <w:sz w:val="16"/>
        </w:rPr>
        <w:t xml:space="preserve">    AppExpUeBehaviour:</w:t>
      </w:r>
    </w:p>
    <w:p w:rsidR="006A2940" w:rsidRPr="000A0A5F" w:rsidRDefault="006A2940" w:rsidP="006A294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0A0A5F">
        <w:rPr>
          <w:rFonts w:ascii="Courier New" w:hAnsi="Courier New"/>
          <w:sz w:val="16"/>
        </w:rPr>
        <w:t xml:space="preserve">      description: Contains the Application Specificf Expected UE Behaviour parameters.</w:t>
      </w:r>
    </w:p>
    <w:p w:rsidR="006A2940" w:rsidRPr="000A0A5F" w:rsidRDefault="006A2940" w:rsidP="006A294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0A0A5F">
        <w:rPr>
          <w:rFonts w:ascii="Courier New" w:hAnsi="Courier New"/>
          <w:sz w:val="16"/>
        </w:rPr>
        <w:t xml:space="preserve">      type: object</w:t>
      </w:r>
    </w:p>
    <w:p w:rsidR="006A2940" w:rsidRPr="000A0A5F" w:rsidRDefault="006A2940" w:rsidP="006A294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0A0A5F">
        <w:rPr>
          <w:rFonts w:ascii="Courier New" w:hAnsi="Courier New"/>
          <w:sz w:val="16"/>
        </w:rPr>
        <w:t xml:space="preserve">      properties:</w:t>
      </w:r>
    </w:p>
    <w:p w:rsidR="006A2940" w:rsidRPr="000A0A5F" w:rsidRDefault="006A2940" w:rsidP="006A294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0A0A5F">
        <w:rPr>
          <w:rFonts w:ascii="Courier New" w:hAnsi="Courier New"/>
          <w:sz w:val="16"/>
        </w:rPr>
        <w:t xml:space="preserve">        appId:</w:t>
      </w:r>
    </w:p>
    <w:p w:rsidR="006A2940" w:rsidRPr="000A0A5F" w:rsidRDefault="006A2940" w:rsidP="006A294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0A0A5F">
        <w:rPr>
          <w:rFonts w:ascii="Courier New" w:hAnsi="Courier New"/>
          <w:sz w:val="16"/>
        </w:rPr>
        <w:t xml:space="preserve">          type: string</w:t>
      </w:r>
    </w:p>
    <w:p w:rsidR="006A2940" w:rsidRPr="000A0A5F" w:rsidRDefault="006A2940" w:rsidP="006A294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0A0A5F">
        <w:rPr>
          <w:rFonts w:ascii="Courier New" w:hAnsi="Courier New"/>
          <w:sz w:val="16"/>
        </w:rPr>
        <w:t xml:space="preserve">          description: Indicates the Application Identifier.</w:t>
      </w:r>
    </w:p>
    <w:p w:rsidR="006A2940" w:rsidRPr="000A0A5F" w:rsidRDefault="006A2940" w:rsidP="006A294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0A0A5F">
        <w:rPr>
          <w:rFonts w:ascii="Courier New" w:hAnsi="Courier New"/>
          <w:sz w:val="16"/>
        </w:rPr>
        <w:t xml:space="preserve">        expPduSesInacTm:</w:t>
      </w:r>
    </w:p>
    <w:p w:rsidR="006A2940" w:rsidRPr="000A0A5F" w:rsidRDefault="006A2940" w:rsidP="006A294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0A0A5F">
        <w:rPr>
          <w:rFonts w:ascii="Courier New" w:hAnsi="Courier New"/>
          <w:sz w:val="16"/>
        </w:rPr>
        <w:t xml:space="preserve">          $ref: 'TS29122_CommonData.yaml#/components/schemas/</w:t>
      </w:r>
      <w:r w:rsidRPr="000A0A5F">
        <w:rPr>
          <w:rFonts w:ascii="Courier New" w:hAnsi="Courier New"/>
          <w:sz w:val="16"/>
          <w:lang w:eastAsia="zh-CN"/>
        </w:rPr>
        <w:t>TimeWindow</w:t>
      </w:r>
      <w:r w:rsidRPr="000A0A5F">
        <w:rPr>
          <w:rFonts w:ascii="Courier New" w:hAnsi="Courier New"/>
          <w:sz w:val="16"/>
        </w:rPr>
        <w:t>'</w:t>
      </w:r>
    </w:p>
    <w:p w:rsidR="006A2940" w:rsidRPr="000A0A5F" w:rsidRDefault="006A2940" w:rsidP="006A2940">
      <w:pPr>
        <w:pStyle w:val="PL"/>
      </w:pPr>
      <w:r w:rsidRPr="000A0A5F">
        <w:t xml:space="preserve">        flowDescriptions:</w:t>
      </w:r>
    </w:p>
    <w:p w:rsidR="006A2940" w:rsidRPr="000A0A5F" w:rsidRDefault="006A2940" w:rsidP="006A2940">
      <w:pPr>
        <w:pStyle w:val="PL"/>
      </w:pPr>
      <w:r w:rsidRPr="000A0A5F">
        <w:t xml:space="preserve">          type: array</w:t>
      </w:r>
    </w:p>
    <w:p w:rsidR="006A2940" w:rsidRPr="000A0A5F" w:rsidRDefault="006A2940" w:rsidP="006A2940">
      <w:pPr>
        <w:pStyle w:val="PL"/>
      </w:pPr>
      <w:r w:rsidRPr="000A0A5F">
        <w:t xml:space="preserve">          items:</w:t>
      </w:r>
    </w:p>
    <w:p w:rsidR="006A2940" w:rsidRPr="000A0A5F" w:rsidRDefault="006A2940" w:rsidP="006A2940">
      <w:pPr>
        <w:pStyle w:val="PL"/>
      </w:pPr>
      <w:r w:rsidRPr="000A0A5F">
        <w:t xml:space="preserve">            type: string</w:t>
      </w:r>
    </w:p>
    <w:p w:rsidR="006A2940" w:rsidRPr="000A0A5F" w:rsidRDefault="006A2940" w:rsidP="006A2940">
      <w:pPr>
        <w:pStyle w:val="PL"/>
      </w:pPr>
      <w:r w:rsidRPr="000A0A5F">
        <w:t xml:space="preserve">          minItems: 1</w:t>
      </w:r>
    </w:p>
    <w:p w:rsidR="006A2940" w:rsidRPr="000A0A5F" w:rsidRDefault="006A2940" w:rsidP="006A2940">
      <w:pPr>
        <w:pStyle w:val="PL"/>
      </w:pPr>
      <w:r w:rsidRPr="000A0A5F">
        <w:t xml:space="preserve">          description: &gt;</w:t>
      </w:r>
    </w:p>
    <w:p w:rsidR="006A2940" w:rsidRPr="000A0A5F" w:rsidRDefault="006A2940" w:rsidP="006A2940">
      <w:pPr>
        <w:pStyle w:val="PL"/>
      </w:pPr>
      <w:r w:rsidRPr="000A0A5F">
        <w:t xml:space="preserve">            Represents a 3-tuple with protocol, server ip and server port for UL/DL application</w:t>
      </w:r>
    </w:p>
    <w:p w:rsidR="006A2940" w:rsidRPr="000A0A5F" w:rsidRDefault="006A2940" w:rsidP="006A2940">
      <w:pPr>
        <w:pStyle w:val="PL"/>
      </w:pPr>
      <w:r w:rsidRPr="000A0A5F">
        <w:t xml:space="preserve">            traffic. The content of the string has the same encoding as the IPFilterRule AVP</w:t>
      </w:r>
    </w:p>
    <w:p w:rsidR="006A2940" w:rsidRPr="000A0A5F" w:rsidRDefault="006A2940" w:rsidP="006A2940">
      <w:pPr>
        <w:pStyle w:val="PL"/>
      </w:pPr>
      <w:r w:rsidRPr="000A0A5F">
        <w:t xml:space="preserve">            value as defined in IETF RFC 6733.</w:t>
      </w:r>
    </w:p>
    <w:p w:rsidR="00167F1C" w:rsidRPr="000A0A5F" w:rsidRDefault="00167F1C" w:rsidP="00167F1C">
      <w:pPr>
        <w:pStyle w:val="PL"/>
      </w:pPr>
      <w:r w:rsidRPr="000A0A5F">
        <w:t xml:space="preserve">        confidenceLevel:</w:t>
      </w:r>
    </w:p>
    <w:p w:rsidR="00167F1C" w:rsidRPr="000A0A5F" w:rsidRDefault="00167F1C" w:rsidP="00167F1C">
      <w:pPr>
        <w:pStyle w:val="PL"/>
      </w:pPr>
      <w:r w:rsidRPr="000A0A5F">
        <w:t xml:space="preserve">          type: string</w:t>
      </w:r>
    </w:p>
    <w:p w:rsidR="00167F1C" w:rsidRPr="000A0A5F" w:rsidRDefault="00167F1C" w:rsidP="00167F1C">
      <w:pPr>
        <w:pStyle w:val="PL"/>
      </w:pPr>
      <w:r w:rsidRPr="000A0A5F">
        <w:t xml:space="preserve">          pattern: '^[0]\.[0-9]{2}|[1.00]$'</w:t>
      </w:r>
    </w:p>
    <w:p w:rsidR="001731E9" w:rsidRPr="000A0A5F" w:rsidRDefault="001731E9" w:rsidP="001731E9">
      <w:pPr>
        <w:pStyle w:val="PL"/>
      </w:pPr>
      <w:r w:rsidRPr="000A0A5F">
        <w:t xml:space="preserve">        accuracyLevel:</w:t>
      </w:r>
    </w:p>
    <w:p w:rsidR="001731E9" w:rsidRPr="000A0A5F" w:rsidRDefault="001731E9" w:rsidP="001731E9">
      <w:pPr>
        <w:pStyle w:val="PL"/>
      </w:pPr>
      <w:r w:rsidRPr="000A0A5F">
        <w:t xml:space="preserve">          type: string</w:t>
      </w:r>
    </w:p>
    <w:p w:rsidR="001731E9" w:rsidRPr="000A0A5F" w:rsidRDefault="001731E9" w:rsidP="001731E9">
      <w:pPr>
        <w:pStyle w:val="PL"/>
      </w:pPr>
      <w:r w:rsidRPr="000A0A5F">
        <w:t xml:space="preserve">          pattern: '^[0]\.[0-9]{2}|[1.00]$'</w:t>
      </w:r>
    </w:p>
    <w:p w:rsidR="001731E9" w:rsidRPr="000A0A5F" w:rsidRDefault="001731E9" w:rsidP="001731E9">
      <w:pPr>
        <w:pStyle w:val="PL"/>
      </w:pPr>
      <w:r w:rsidRPr="000A0A5F">
        <w:t xml:space="preserve">        </w:t>
      </w:r>
      <w:r w:rsidRPr="000A0A5F">
        <w:rPr>
          <w:lang w:eastAsia="zh-CN"/>
        </w:rPr>
        <w:t>failureCode</w:t>
      </w:r>
      <w:r w:rsidRPr="000A0A5F">
        <w:t>:</w:t>
      </w:r>
    </w:p>
    <w:p w:rsidR="001731E9" w:rsidRPr="000A0A5F" w:rsidRDefault="001731E9" w:rsidP="001731E9">
      <w:pPr>
        <w:pStyle w:val="PL"/>
      </w:pPr>
      <w:r w:rsidRPr="000A0A5F">
        <w:t xml:space="preserve">          $ref: '#/components/schemas/CpFailureCode'</w:t>
      </w:r>
    </w:p>
    <w:p w:rsidR="001731E9" w:rsidRPr="000A0A5F" w:rsidRDefault="001731E9" w:rsidP="001731E9">
      <w:pPr>
        <w:pStyle w:val="PL"/>
      </w:pPr>
      <w:r w:rsidRPr="000A0A5F">
        <w:t xml:space="preserve">        validityTime:</w:t>
      </w:r>
    </w:p>
    <w:p w:rsidR="001731E9" w:rsidRPr="000A0A5F" w:rsidRDefault="001731E9" w:rsidP="001731E9">
      <w:pPr>
        <w:pStyle w:val="PL"/>
      </w:pPr>
      <w:r w:rsidRPr="000A0A5F">
        <w:t xml:space="preserve">          $ref: 'TS29122_CommonData.yaml#/components/schemas/DateTime'</w:t>
      </w:r>
    </w:p>
    <w:p w:rsidR="006A2940" w:rsidRPr="000A0A5F" w:rsidRDefault="006A2940" w:rsidP="006A2940">
      <w:pPr>
        <w:pStyle w:val="PL"/>
      </w:pPr>
      <w:r w:rsidRPr="000A0A5F">
        <w:t xml:space="preserve">      oneOf:</w:t>
      </w:r>
    </w:p>
    <w:p w:rsidR="006A2940" w:rsidRPr="000A0A5F" w:rsidRDefault="006A2940" w:rsidP="006A2940">
      <w:pPr>
        <w:pStyle w:val="PL"/>
      </w:pPr>
      <w:r w:rsidRPr="000A0A5F">
        <w:t xml:space="preserve">        - required: [appId]</w:t>
      </w:r>
    </w:p>
    <w:p w:rsidR="006A2940" w:rsidRPr="000A0A5F" w:rsidRDefault="006A2940" w:rsidP="006A2940">
      <w:pPr>
        <w:pStyle w:val="PL"/>
      </w:pPr>
      <w:r w:rsidRPr="000A0A5F">
        <w:t xml:space="preserve">        - required: [flowDescriptions]</w:t>
      </w:r>
    </w:p>
    <w:p w:rsidR="00844CA4" w:rsidRPr="000A0A5F" w:rsidRDefault="00844CA4">
      <w:pPr>
        <w:pStyle w:val="PL"/>
      </w:pPr>
    </w:p>
    <w:p w:rsidR="00CB0DD7" w:rsidRPr="000A0A5F" w:rsidRDefault="00CB0DD7">
      <w:pPr>
        <w:pStyle w:val="PL"/>
      </w:pPr>
      <w:r w:rsidRPr="000A0A5F">
        <w:t xml:space="preserve">    CommunicationIndicator:</w:t>
      </w:r>
    </w:p>
    <w:p w:rsidR="00CB0DD7" w:rsidRPr="000A0A5F" w:rsidRDefault="00CB0DD7">
      <w:pPr>
        <w:pStyle w:val="PL"/>
      </w:pPr>
      <w:r w:rsidRPr="000A0A5F">
        <w:t xml:space="preserve">      anyOf:</w:t>
      </w:r>
    </w:p>
    <w:p w:rsidR="00CB0DD7" w:rsidRPr="000A0A5F" w:rsidRDefault="00CB0DD7">
      <w:pPr>
        <w:pStyle w:val="PL"/>
      </w:pPr>
      <w:r w:rsidRPr="000A0A5F">
        <w:t xml:space="preserve">      - type: string</w:t>
      </w:r>
    </w:p>
    <w:p w:rsidR="00CB0DD7" w:rsidRPr="000A0A5F" w:rsidRDefault="00CB0DD7">
      <w:pPr>
        <w:pStyle w:val="PL"/>
      </w:pPr>
      <w:r w:rsidRPr="000A0A5F">
        <w:t xml:space="preserve">        enum:</w:t>
      </w:r>
    </w:p>
    <w:p w:rsidR="00CB0DD7" w:rsidRPr="000A0A5F" w:rsidRDefault="00CB0DD7">
      <w:pPr>
        <w:pStyle w:val="PL"/>
      </w:pPr>
      <w:r w:rsidRPr="000A0A5F">
        <w:t xml:space="preserve">          - PERIODICALLY</w:t>
      </w:r>
    </w:p>
    <w:p w:rsidR="00CB0DD7" w:rsidRPr="000A0A5F" w:rsidRDefault="00CB0DD7">
      <w:pPr>
        <w:pStyle w:val="PL"/>
      </w:pPr>
      <w:r w:rsidRPr="000A0A5F">
        <w:t xml:space="preserve">          - ON_DEMAND</w:t>
      </w:r>
    </w:p>
    <w:p w:rsidR="00CB0DD7" w:rsidRPr="000A0A5F" w:rsidRDefault="00CB0DD7">
      <w:pPr>
        <w:pStyle w:val="PL"/>
      </w:pPr>
      <w:r w:rsidRPr="000A0A5F">
        <w:t xml:space="preserve">      - type: string</w:t>
      </w:r>
    </w:p>
    <w:p w:rsidR="00CB0DD7" w:rsidRPr="000A0A5F" w:rsidRDefault="00CB0DD7">
      <w:pPr>
        <w:pStyle w:val="PL"/>
      </w:pPr>
      <w:r w:rsidRPr="000A0A5F">
        <w:t xml:space="preserve">        description: &gt;</w:t>
      </w:r>
    </w:p>
    <w:p w:rsidR="00CB0DD7" w:rsidRPr="000A0A5F" w:rsidRDefault="00CB0DD7">
      <w:pPr>
        <w:pStyle w:val="PL"/>
      </w:pPr>
      <w:r w:rsidRPr="000A0A5F">
        <w:t xml:space="preserve">          This string provides forward-compatibility with future</w:t>
      </w:r>
    </w:p>
    <w:p w:rsidR="00CB0DD7" w:rsidRPr="000A0A5F" w:rsidRDefault="00CB0DD7">
      <w:pPr>
        <w:pStyle w:val="PL"/>
      </w:pPr>
      <w:r w:rsidRPr="000A0A5F">
        <w:t xml:space="preserve">          extensions to the enumeration but is not used to encode</w:t>
      </w:r>
    </w:p>
    <w:p w:rsidR="00CB0DD7" w:rsidRPr="000A0A5F" w:rsidRDefault="00CB0DD7">
      <w:pPr>
        <w:pStyle w:val="PL"/>
      </w:pPr>
      <w:r w:rsidRPr="000A0A5F">
        <w:t xml:space="preserve">          content defined in the present version of this API.</w:t>
      </w:r>
    </w:p>
    <w:p w:rsidR="00CB0DD7" w:rsidRPr="000A0A5F" w:rsidRDefault="00CB0DD7">
      <w:pPr>
        <w:pStyle w:val="PL"/>
      </w:pPr>
      <w:r w:rsidRPr="000A0A5F">
        <w:t xml:space="preserve">      description: </w:t>
      </w:r>
      <w:r w:rsidR="00844CA4" w:rsidRPr="000A0A5F">
        <w:t>|</w:t>
      </w:r>
    </w:p>
    <w:p w:rsidR="00844CA4" w:rsidRPr="000A0A5F" w:rsidRDefault="00844CA4">
      <w:pPr>
        <w:pStyle w:val="PL"/>
      </w:pPr>
      <w:r w:rsidRPr="000A0A5F">
        <w:t xml:space="preserve">        Represents the type of the communication.  </w:t>
      </w:r>
    </w:p>
    <w:p w:rsidR="00CB0DD7" w:rsidRPr="000A0A5F" w:rsidRDefault="00CB0DD7">
      <w:pPr>
        <w:pStyle w:val="PL"/>
      </w:pPr>
      <w:r w:rsidRPr="000A0A5F">
        <w:t xml:space="preserve">        Possible values are</w:t>
      </w:r>
      <w:r w:rsidR="00844CA4" w:rsidRPr="000A0A5F">
        <w:t>:</w:t>
      </w:r>
    </w:p>
    <w:p w:rsidR="00CB0DD7" w:rsidRPr="000A0A5F" w:rsidRDefault="00CB0DD7">
      <w:pPr>
        <w:pStyle w:val="PL"/>
      </w:pPr>
      <w:r w:rsidRPr="000A0A5F">
        <w:t xml:space="preserve">        - PERIODICALLY: Identifies the UE communicates periodically</w:t>
      </w:r>
    </w:p>
    <w:p w:rsidR="00CB0DD7" w:rsidRPr="000A0A5F" w:rsidRDefault="00CB0DD7">
      <w:pPr>
        <w:pStyle w:val="PL"/>
      </w:pPr>
      <w:r w:rsidRPr="000A0A5F">
        <w:t xml:space="preserve">        - ON_DEMAND: Identifies the UE communicates on demand</w:t>
      </w:r>
    </w:p>
    <w:p w:rsidR="00844CA4" w:rsidRPr="000A0A5F" w:rsidRDefault="00844CA4">
      <w:pPr>
        <w:pStyle w:val="PL"/>
      </w:pPr>
    </w:p>
    <w:p w:rsidR="00CB0DD7" w:rsidRPr="000A0A5F" w:rsidRDefault="00CB0DD7">
      <w:pPr>
        <w:pStyle w:val="PL"/>
      </w:pPr>
      <w:r w:rsidRPr="000A0A5F">
        <w:t xml:space="preserve">    StationaryIndication:</w:t>
      </w:r>
    </w:p>
    <w:p w:rsidR="00CB0DD7" w:rsidRPr="000A0A5F" w:rsidRDefault="00CB0DD7">
      <w:pPr>
        <w:pStyle w:val="PL"/>
      </w:pPr>
      <w:r w:rsidRPr="000A0A5F">
        <w:t xml:space="preserve">      anyOf:</w:t>
      </w:r>
    </w:p>
    <w:p w:rsidR="00CB0DD7" w:rsidRPr="000A0A5F" w:rsidRDefault="00CB0DD7">
      <w:pPr>
        <w:pStyle w:val="PL"/>
      </w:pPr>
      <w:r w:rsidRPr="000A0A5F">
        <w:t xml:space="preserve">      - type: string</w:t>
      </w:r>
    </w:p>
    <w:p w:rsidR="00CB0DD7" w:rsidRPr="000A0A5F" w:rsidRDefault="00CB0DD7">
      <w:pPr>
        <w:pStyle w:val="PL"/>
      </w:pPr>
      <w:r w:rsidRPr="000A0A5F">
        <w:t xml:space="preserve">        enum:</w:t>
      </w:r>
    </w:p>
    <w:p w:rsidR="00CB0DD7" w:rsidRPr="000A0A5F" w:rsidRDefault="00CB0DD7">
      <w:pPr>
        <w:pStyle w:val="PL"/>
      </w:pPr>
      <w:r w:rsidRPr="000A0A5F">
        <w:t xml:space="preserve">          - STATIONARY</w:t>
      </w:r>
    </w:p>
    <w:p w:rsidR="00CB0DD7" w:rsidRPr="000A0A5F" w:rsidRDefault="00CB0DD7">
      <w:pPr>
        <w:pStyle w:val="PL"/>
      </w:pPr>
      <w:r w:rsidRPr="000A0A5F">
        <w:t xml:space="preserve">          - MOBILE</w:t>
      </w:r>
    </w:p>
    <w:p w:rsidR="00CB0DD7" w:rsidRPr="000A0A5F" w:rsidRDefault="00CB0DD7">
      <w:pPr>
        <w:pStyle w:val="PL"/>
      </w:pPr>
      <w:r w:rsidRPr="000A0A5F">
        <w:t xml:space="preserve">      - type: string</w:t>
      </w:r>
    </w:p>
    <w:p w:rsidR="00CB0DD7" w:rsidRPr="000A0A5F" w:rsidRDefault="00CB0DD7">
      <w:pPr>
        <w:pStyle w:val="PL"/>
      </w:pPr>
      <w:r w:rsidRPr="000A0A5F">
        <w:t xml:space="preserve">        description: &gt;</w:t>
      </w:r>
    </w:p>
    <w:p w:rsidR="00CB0DD7" w:rsidRPr="000A0A5F" w:rsidRDefault="00CB0DD7">
      <w:pPr>
        <w:pStyle w:val="PL"/>
      </w:pPr>
      <w:r w:rsidRPr="000A0A5F">
        <w:t xml:space="preserve">          This string provides forward-compatibility with future</w:t>
      </w:r>
    </w:p>
    <w:p w:rsidR="00CB0DD7" w:rsidRPr="000A0A5F" w:rsidRDefault="00CB0DD7">
      <w:pPr>
        <w:pStyle w:val="PL"/>
      </w:pPr>
      <w:r w:rsidRPr="000A0A5F">
        <w:t xml:space="preserve">          extensions to the enumeration but is not used to encode</w:t>
      </w:r>
    </w:p>
    <w:p w:rsidR="00CB0DD7" w:rsidRPr="000A0A5F" w:rsidRDefault="00CB0DD7">
      <w:pPr>
        <w:pStyle w:val="PL"/>
      </w:pPr>
      <w:r w:rsidRPr="000A0A5F">
        <w:t xml:space="preserve">          content defined in the present version of this API.</w:t>
      </w:r>
    </w:p>
    <w:p w:rsidR="00CB0DD7" w:rsidRPr="000A0A5F" w:rsidRDefault="00CB0DD7">
      <w:pPr>
        <w:pStyle w:val="PL"/>
      </w:pPr>
      <w:r w:rsidRPr="000A0A5F">
        <w:t xml:space="preserve">      description: </w:t>
      </w:r>
      <w:r w:rsidR="00844CA4" w:rsidRPr="000A0A5F">
        <w:t>|</w:t>
      </w:r>
    </w:p>
    <w:p w:rsidR="00844CA4" w:rsidRPr="000A0A5F" w:rsidRDefault="00844CA4">
      <w:pPr>
        <w:pStyle w:val="PL"/>
      </w:pPr>
      <w:r w:rsidRPr="000A0A5F">
        <w:t xml:space="preserve">        Represents the stationarity of the UE.  </w:t>
      </w:r>
    </w:p>
    <w:p w:rsidR="00CB0DD7" w:rsidRPr="000A0A5F" w:rsidRDefault="00CB0DD7">
      <w:pPr>
        <w:pStyle w:val="PL"/>
      </w:pPr>
      <w:r w:rsidRPr="000A0A5F">
        <w:t xml:space="preserve">        Possible values are</w:t>
      </w:r>
      <w:r w:rsidR="00844CA4" w:rsidRPr="000A0A5F">
        <w:t>:</w:t>
      </w:r>
    </w:p>
    <w:p w:rsidR="00CB0DD7" w:rsidRPr="000A0A5F" w:rsidRDefault="00CB0DD7">
      <w:pPr>
        <w:pStyle w:val="PL"/>
      </w:pPr>
      <w:r w:rsidRPr="000A0A5F">
        <w:t xml:space="preserve">        - STATIONARY: Identifies the UE is stationary</w:t>
      </w:r>
    </w:p>
    <w:p w:rsidR="00CB0DD7" w:rsidRPr="000A0A5F" w:rsidRDefault="00CB0DD7">
      <w:pPr>
        <w:pStyle w:val="PL"/>
      </w:pPr>
      <w:r w:rsidRPr="000A0A5F">
        <w:t xml:space="preserve">        - MOBILE: Identifies the UE is mobile</w:t>
      </w:r>
    </w:p>
    <w:p w:rsidR="00844CA4" w:rsidRPr="000A0A5F" w:rsidRDefault="00844CA4">
      <w:pPr>
        <w:pStyle w:val="PL"/>
      </w:pPr>
    </w:p>
    <w:p w:rsidR="00CB0DD7" w:rsidRPr="000A0A5F" w:rsidRDefault="00CB0DD7">
      <w:pPr>
        <w:pStyle w:val="PL"/>
      </w:pPr>
      <w:r w:rsidRPr="000A0A5F">
        <w:t xml:space="preserve">    CpFailureCode:</w:t>
      </w:r>
    </w:p>
    <w:p w:rsidR="00CB0DD7" w:rsidRPr="000A0A5F" w:rsidRDefault="00CB0DD7">
      <w:pPr>
        <w:pStyle w:val="PL"/>
      </w:pPr>
      <w:r w:rsidRPr="000A0A5F">
        <w:t xml:space="preserve">      anyOf:</w:t>
      </w:r>
    </w:p>
    <w:p w:rsidR="00CB0DD7" w:rsidRPr="000A0A5F" w:rsidRDefault="00CB0DD7">
      <w:pPr>
        <w:pStyle w:val="PL"/>
      </w:pPr>
      <w:r w:rsidRPr="000A0A5F">
        <w:t xml:space="preserve">      - type: string</w:t>
      </w:r>
    </w:p>
    <w:p w:rsidR="00CB0DD7" w:rsidRPr="000A0A5F" w:rsidRDefault="00CB0DD7">
      <w:pPr>
        <w:pStyle w:val="PL"/>
      </w:pPr>
      <w:r w:rsidRPr="000A0A5F">
        <w:t xml:space="preserve">        enum:</w:t>
      </w:r>
    </w:p>
    <w:p w:rsidR="00CB0DD7" w:rsidRPr="000A0A5F" w:rsidRDefault="00CB0DD7">
      <w:pPr>
        <w:pStyle w:val="PL"/>
      </w:pPr>
      <w:r w:rsidRPr="000A0A5F">
        <w:t xml:space="preserve">          - MALFUNCTION</w:t>
      </w:r>
    </w:p>
    <w:p w:rsidR="00CB0DD7" w:rsidRPr="000A0A5F" w:rsidRDefault="00CB0DD7">
      <w:pPr>
        <w:pStyle w:val="PL"/>
      </w:pPr>
      <w:r w:rsidRPr="000A0A5F">
        <w:t xml:space="preserve">          - SET_ID_DUPLICATED</w:t>
      </w:r>
    </w:p>
    <w:p w:rsidR="00CB0DD7" w:rsidRPr="000A0A5F" w:rsidRDefault="00CB0DD7">
      <w:pPr>
        <w:pStyle w:val="PL"/>
      </w:pPr>
      <w:r w:rsidRPr="000A0A5F">
        <w:t xml:space="preserve">          - OTHER_REASON</w:t>
      </w:r>
    </w:p>
    <w:p w:rsidR="00167F1C" w:rsidRPr="000A0A5F" w:rsidRDefault="00167F1C" w:rsidP="00167F1C">
      <w:pPr>
        <w:pStyle w:val="PL"/>
      </w:pPr>
      <w:r w:rsidRPr="000A0A5F">
        <w:t xml:space="preserve">          - CONFIDENCE_LEVEL_NOT_SUFFICIENT</w:t>
      </w:r>
    </w:p>
    <w:p w:rsidR="00167F1C" w:rsidRPr="000A0A5F" w:rsidRDefault="00167F1C" w:rsidP="00167F1C">
      <w:pPr>
        <w:pStyle w:val="PL"/>
      </w:pPr>
      <w:r w:rsidRPr="000A0A5F">
        <w:t xml:space="preserve">          - ACCURACY_LEVEL_NOT_SUFFICIENT</w:t>
      </w:r>
    </w:p>
    <w:p w:rsidR="00CB0DD7" w:rsidRPr="000A0A5F" w:rsidRDefault="00CB0DD7">
      <w:pPr>
        <w:pStyle w:val="PL"/>
      </w:pPr>
      <w:r w:rsidRPr="000A0A5F">
        <w:t xml:space="preserve">      - type: string</w:t>
      </w:r>
    </w:p>
    <w:p w:rsidR="00CB0DD7" w:rsidRPr="000A0A5F" w:rsidRDefault="00CB0DD7">
      <w:pPr>
        <w:pStyle w:val="PL"/>
      </w:pPr>
      <w:r w:rsidRPr="000A0A5F">
        <w:t xml:space="preserve">        description: &gt;</w:t>
      </w:r>
    </w:p>
    <w:p w:rsidR="00CB0DD7" w:rsidRPr="000A0A5F" w:rsidRDefault="00CB0DD7">
      <w:pPr>
        <w:pStyle w:val="PL"/>
      </w:pPr>
      <w:r w:rsidRPr="000A0A5F">
        <w:t xml:space="preserve">          This string provides forward-compatibility with future</w:t>
      </w:r>
    </w:p>
    <w:p w:rsidR="00CB0DD7" w:rsidRPr="000A0A5F" w:rsidRDefault="00CB0DD7">
      <w:pPr>
        <w:pStyle w:val="PL"/>
      </w:pPr>
      <w:r w:rsidRPr="000A0A5F">
        <w:t xml:space="preserve">          extensions to the enumeration but is not used to encode</w:t>
      </w:r>
    </w:p>
    <w:p w:rsidR="00CB0DD7" w:rsidRPr="000A0A5F" w:rsidRDefault="00CB0DD7">
      <w:pPr>
        <w:pStyle w:val="PL"/>
      </w:pPr>
      <w:r w:rsidRPr="000A0A5F">
        <w:t xml:space="preserve">          content defined in the present version of this API.</w:t>
      </w:r>
    </w:p>
    <w:p w:rsidR="00CB0DD7" w:rsidRPr="000A0A5F" w:rsidRDefault="00CB0DD7">
      <w:pPr>
        <w:pStyle w:val="PL"/>
      </w:pPr>
      <w:r w:rsidRPr="000A0A5F">
        <w:t xml:space="preserve">      description: </w:t>
      </w:r>
      <w:r w:rsidR="00844CA4" w:rsidRPr="000A0A5F">
        <w:t>|</w:t>
      </w:r>
    </w:p>
    <w:p w:rsidR="00844CA4" w:rsidRPr="000A0A5F" w:rsidRDefault="00844CA4">
      <w:pPr>
        <w:pStyle w:val="PL"/>
      </w:pPr>
      <w:r w:rsidRPr="000A0A5F">
        <w:t xml:space="preserve">        Represents the failure reason of the CP parameter provisioning.  </w:t>
      </w:r>
    </w:p>
    <w:p w:rsidR="008754D8" w:rsidRDefault="008754D8" w:rsidP="008754D8">
      <w:pPr>
        <w:pStyle w:val="PL"/>
      </w:pPr>
      <w:r>
        <w:t xml:space="preserve">        Possible values are</w:t>
      </w:r>
    </w:p>
    <w:p w:rsidR="008754D8" w:rsidRDefault="008754D8" w:rsidP="008754D8">
      <w:pPr>
        <w:pStyle w:val="PL"/>
      </w:pPr>
      <w:r>
        <w:t xml:space="preserve">        - MALFUNCTION: This value indicates that something functions wrongly in CP parameter</w:t>
      </w:r>
    </w:p>
    <w:p w:rsidR="008754D8" w:rsidRDefault="008754D8" w:rsidP="008754D8">
      <w:pPr>
        <w:pStyle w:val="PL"/>
      </w:pPr>
      <w:r>
        <w:t xml:space="preserve">          provisioning or the CP parameter provisioning does not function at all.</w:t>
      </w:r>
    </w:p>
    <w:p w:rsidR="008754D8" w:rsidRDefault="008754D8" w:rsidP="008754D8">
      <w:pPr>
        <w:pStyle w:val="PL"/>
      </w:pPr>
      <w:r>
        <w:t xml:space="preserve">        - SET_ID_DUPLICATED: </w:t>
      </w:r>
      <w:r>
        <w:rPr>
          <w:rFonts w:cs="Arial"/>
          <w:bCs/>
          <w:color w:val="333333"/>
          <w:szCs w:val="18"/>
        </w:rPr>
        <w:t>The received CP set identifier(s) are already provisioned.</w:t>
      </w:r>
    </w:p>
    <w:p w:rsidR="008754D8" w:rsidRDefault="008754D8" w:rsidP="008754D8">
      <w:pPr>
        <w:pStyle w:val="PL"/>
      </w:pPr>
      <w:r>
        <w:t xml:space="preserve">        - OTHER_REASON: Other reason unspecified.</w:t>
      </w:r>
    </w:p>
    <w:p w:rsidR="008754D8" w:rsidRDefault="008754D8" w:rsidP="008754D8">
      <w:pPr>
        <w:pStyle w:val="PL"/>
      </w:pPr>
      <w:r>
        <w:t xml:space="preserve">        - CONFIDENCE_LEVEL_NOT_SUFFICIENT: The received confidence level for the expected UE</w:t>
      </w:r>
    </w:p>
    <w:p w:rsidR="008754D8" w:rsidRDefault="008754D8" w:rsidP="008754D8">
      <w:pPr>
        <w:pStyle w:val="PL"/>
      </w:pPr>
      <w:r>
        <w:t xml:space="preserve">          parameter is not sufficient.</w:t>
      </w:r>
    </w:p>
    <w:p w:rsidR="008754D8" w:rsidRDefault="008754D8" w:rsidP="008754D8">
      <w:pPr>
        <w:pStyle w:val="PL"/>
      </w:pPr>
      <w:r>
        <w:t xml:space="preserve">        - ACCURACY_LEVEL_NOT_SUFFICIENT: The received accuracy level for the expected UE parameter</w:t>
      </w:r>
    </w:p>
    <w:p w:rsidR="008754D8" w:rsidRDefault="008754D8" w:rsidP="008754D8">
      <w:pPr>
        <w:pStyle w:val="PL"/>
      </w:pPr>
      <w:r>
        <w:t xml:space="preserve">          is not sufficient.</w:t>
      </w:r>
    </w:p>
    <w:p w:rsidR="00844CA4" w:rsidRPr="000A0A5F" w:rsidRDefault="00844CA4">
      <w:pPr>
        <w:pStyle w:val="PL"/>
      </w:pPr>
    </w:p>
    <w:p w:rsidR="00CB0DD7" w:rsidRPr="000A0A5F" w:rsidRDefault="00CB0DD7">
      <w:pPr>
        <w:pStyle w:val="PL"/>
      </w:pPr>
      <w:r w:rsidRPr="000A0A5F">
        <w:t xml:space="preserve">    BatteryIndication:</w:t>
      </w:r>
    </w:p>
    <w:p w:rsidR="00CB0DD7" w:rsidRPr="000A0A5F" w:rsidRDefault="00CB0DD7">
      <w:pPr>
        <w:pStyle w:val="PL"/>
      </w:pPr>
      <w:r w:rsidRPr="000A0A5F">
        <w:t xml:space="preserve">      anyOf:</w:t>
      </w:r>
    </w:p>
    <w:p w:rsidR="00CB0DD7" w:rsidRPr="000A0A5F" w:rsidRDefault="00CB0DD7">
      <w:pPr>
        <w:pStyle w:val="PL"/>
      </w:pPr>
      <w:r w:rsidRPr="000A0A5F">
        <w:t xml:space="preserve">      - type: string</w:t>
      </w:r>
    </w:p>
    <w:p w:rsidR="00CB0DD7" w:rsidRPr="000A0A5F" w:rsidRDefault="00CB0DD7">
      <w:pPr>
        <w:pStyle w:val="PL"/>
      </w:pPr>
      <w:r w:rsidRPr="000A0A5F">
        <w:t xml:space="preserve">        enum:</w:t>
      </w:r>
    </w:p>
    <w:p w:rsidR="00CB0DD7" w:rsidRPr="000A0A5F" w:rsidRDefault="00CB0DD7">
      <w:pPr>
        <w:pStyle w:val="PL"/>
      </w:pPr>
      <w:r w:rsidRPr="000A0A5F">
        <w:t xml:space="preserve">          - BATTERY_RECHARGE</w:t>
      </w:r>
    </w:p>
    <w:p w:rsidR="00CB0DD7" w:rsidRPr="000A0A5F" w:rsidRDefault="00CB0DD7">
      <w:pPr>
        <w:pStyle w:val="PL"/>
      </w:pPr>
      <w:r w:rsidRPr="000A0A5F">
        <w:t xml:space="preserve">          - BATTERY_REPLACE</w:t>
      </w:r>
    </w:p>
    <w:p w:rsidR="00CB0DD7" w:rsidRPr="000A0A5F" w:rsidRDefault="00CB0DD7">
      <w:pPr>
        <w:pStyle w:val="PL"/>
      </w:pPr>
      <w:r w:rsidRPr="000A0A5F">
        <w:t xml:space="preserve">          - </w:t>
      </w:r>
      <w:r w:rsidRPr="000A0A5F">
        <w:rPr>
          <w:lang w:val="en-US"/>
        </w:rPr>
        <w:t>BATTERY_NO_RECHARGE</w:t>
      </w:r>
    </w:p>
    <w:p w:rsidR="00CB0DD7" w:rsidRPr="000A0A5F" w:rsidRDefault="00CB0DD7">
      <w:pPr>
        <w:pStyle w:val="PL"/>
      </w:pPr>
      <w:r w:rsidRPr="000A0A5F">
        <w:t xml:space="preserve">          - </w:t>
      </w:r>
      <w:r w:rsidRPr="000A0A5F">
        <w:rPr>
          <w:lang w:val="en-US"/>
        </w:rPr>
        <w:t>BATTERY_NO_REPLACE</w:t>
      </w:r>
    </w:p>
    <w:p w:rsidR="00CB0DD7" w:rsidRPr="000A0A5F" w:rsidRDefault="00CB0DD7">
      <w:pPr>
        <w:pStyle w:val="PL"/>
      </w:pPr>
      <w:r w:rsidRPr="000A0A5F">
        <w:t xml:space="preserve">          - NO_BATTERY</w:t>
      </w:r>
    </w:p>
    <w:p w:rsidR="00CB0DD7" w:rsidRPr="000A0A5F" w:rsidRDefault="00CB0DD7">
      <w:pPr>
        <w:pStyle w:val="PL"/>
      </w:pPr>
      <w:r w:rsidRPr="000A0A5F">
        <w:t xml:space="preserve">      - type: string</w:t>
      </w:r>
    </w:p>
    <w:p w:rsidR="00CB0DD7" w:rsidRPr="000A0A5F" w:rsidRDefault="00CB0DD7">
      <w:pPr>
        <w:pStyle w:val="PL"/>
      </w:pPr>
      <w:r w:rsidRPr="000A0A5F">
        <w:t xml:space="preserve">        description: &gt;</w:t>
      </w:r>
    </w:p>
    <w:p w:rsidR="00CB0DD7" w:rsidRPr="000A0A5F" w:rsidRDefault="00CB0DD7">
      <w:pPr>
        <w:pStyle w:val="PL"/>
      </w:pPr>
      <w:r w:rsidRPr="000A0A5F">
        <w:t xml:space="preserve">          This string provides forward-compatibility with future</w:t>
      </w:r>
    </w:p>
    <w:p w:rsidR="00CB0DD7" w:rsidRPr="000A0A5F" w:rsidRDefault="00CB0DD7">
      <w:pPr>
        <w:pStyle w:val="PL"/>
      </w:pPr>
      <w:r w:rsidRPr="000A0A5F">
        <w:t xml:space="preserve">          extensions to the enumeration but is not used to encode</w:t>
      </w:r>
    </w:p>
    <w:p w:rsidR="00CB0DD7" w:rsidRPr="000A0A5F" w:rsidRDefault="00CB0DD7">
      <w:pPr>
        <w:pStyle w:val="PL"/>
      </w:pPr>
      <w:r w:rsidRPr="000A0A5F">
        <w:t xml:space="preserve">          content defined in the present version of this API.</w:t>
      </w:r>
    </w:p>
    <w:p w:rsidR="00CB0DD7" w:rsidRPr="000A0A5F" w:rsidRDefault="00CB0DD7">
      <w:pPr>
        <w:pStyle w:val="PL"/>
      </w:pPr>
      <w:r w:rsidRPr="000A0A5F">
        <w:t xml:space="preserve">      description: </w:t>
      </w:r>
      <w:r w:rsidR="00844CA4" w:rsidRPr="000A0A5F">
        <w:t>|</w:t>
      </w:r>
    </w:p>
    <w:p w:rsidR="00844CA4" w:rsidRPr="000A0A5F" w:rsidRDefault="00844CA4">
      <w:pPr>
        <w:pStyle w:val="PL"/>
      </w:pPr>
      <w:r w:rsidRPr="000A0A5F">
        <w:t xml:space="preserve">        Represents the type of power consumption.  </w:t>
      </w:r>
    </w:p>
    <w:p w:rsidR="00CB0DD7" w:rsidRPr="000A0A5F" w:rsidRDefault="00CB0DD7">
      <w:pPr>
        <w:pStyle w:val="PL"/>
      </w:pPr>
      <w:r w:rsidRPr="000A0A5F">
        <w:t xml:space="preserve">        Possible values are</w:t>
      </w:r>
      <w:r w:rsidR="00844CA4" w:rsidRPr="000A0A5F">
        <w:t>:</w:t>
      </w:r>
    </w:p>
    <w:p w:rsidR="00CB0DD7" w:rsidRPr="000A0A5F" w:rsidRDefault="00CB0DD7">
      <w:pPr>
        <w:pStyle w:val="PL"/>
      </w:pPr>
      <w:r w:rsidRPr="000A0A5F">
        <w:t xml:space="preserve">        - BATTERY_RECHARGE: UE powered with rechargeable battery.</w:t>
      </w:r>
    </w:p>
    <w:p w:rsidR="00CB0DD7" w:rsidRPr="000A0A5F" w:rsidRDefault="00CB0DD7">
      <w:pPr>
        <w:pStyle w:val="PL"/>
      </w:pPr>
      <w:r w:rsidRPr="000A0A5F">
        <w:t xml:space="preserve">        - BATTERY_REPLACE: UE powered with replaceable battery.</w:t>
      </w:r>
    </w:p>
    <w:p w:rsidR="00CB0DD7" w:rsidRPr="000A0A5F" w:rsidRDefault="00CB0DD7">
      <w:pPr>
        <w:pStyle w:val="PL"/>
      </w:pPr>
      <w:r w:rsidRPr="000A0A5F">
        <w:t xml:space="preserve">        - </w:t>
      </w:r>
      <w:r w:rsidRPr="000A0A5F">
        <w:rPr>
          <w:lang w:val="en-US"/>
        </w:rPr>
        <w:t>BATTERY_NO_RECHARGE</w:t>
      </w:r>
      <w:r w:rsidRPr="000A0A5F">
        <w:t>: UE powered with no rechargeable battery.</w:t>
      </w:r>
    </w:p>
    <w:p w:rsidR="00CB0DD7" w:rsidRPr="000A0A5F" w:rsidRDefault="00CB0DD7">
      <w:pPr>
        <w:pStyle w:val="PL"/>
      </w:pPr>
      <w:r w:rsidRPr="000A0A5F">
        <w:t xml:space="preserve">        - </w:t>
      </w:r>
      <w:r w:rsidRPr="000A0A5F">
        <w:rPr>
          <w:lang w:val="en-US"/>
        </w:rPr>
        <w:t>BATTERY_NO_REPLACE</w:t>
      </w:r>
      <w:r w:rsidRPr="000A0A5F">
        <w:t>: UE powered with no replaceable battery.</w:t>
      </w:r>
    </w:p>
    <w:p w:rsidR="00CB0DD7" w:rsidRPr="000A0A5F" w:rsidRDefault="00CB0DD7">
      <w:pPr>
        <w:pStyle w:val="PL"/>
      </w:pPr>
      <w:r w:rsidRPr="000A0A5F">
        <w:t xml:space="preserve">        - NO_BATTERY: UE not battery powered.</w:t>
      </w:r>
    </w:p>
    <w:p w:rsidR="00844CA4" w:rsidRPr="000A0A5F" w:rsidRDefault="00844CA4">
      <w:pPr>
        <w:pStyle w:val="PL"/>
      </w:pPr>
    </w:p>
    <w:p w:rsidR="00CB0DD7" w:rsidRPr="000A0A5F" w:rsidRDefault="00CB0DD7">
      <w:pPr>
        <w:pStyle w:val="PL"/>
      </w:pPr>
      <w:r w:rsidRPr="000A0A5F">
        <w:t xml:space="preserve">    TrafficProfile:</w:t>
      </w:r>
    </w:p>
    <w:p w:rsidR="00CB0DD7" w:rsidRPr="000A0A5F" w:rsidRDefault="00CB0DD7">
      <w:pPr>
        <w:pStyle w:val="PL"/>
      </w:pPr>
      <w:r w:rsidRPr="000A0A5F">
        <w:t xml:space="preserve">      anyOf:</w:t>
      </w:r>
    </w:p>
    <w:p w:rsidR="00CB0DD7" w:rsidRPr="000A0A5F" w:rsidRDefault="00CB0DD7">
      <w:pPr>
        <w:pStyle w:val="PL"/>
      </w:pPr>
      <w:r w:rsidRPr="000A0A5F">
        <w:t xml:space="preserve">      - type: string</w:t>
      </w:r>
    </w:p>
    <w:p w:rsidR="00CB0DD7" w:rsidRPr="000A0A5F" w:rsidRDefault="00CB0DD7">
      <w:pPr>
        <w:pStyle w:val="PL"/>
      </w:pPr>
      <w:r w:rsidRPr="000A0A5F">
        <w:t xml:space="preserve">        enum:</w:t>
      </w:r>
    </w:p>
    <w:p w:rsidR="00CB0DD7" w:rsidRPr="000A0A5F" w:rsidRDefault="00CB0DD7">
      <w:pPr>
        <w:pStyle w:val="PL"/>
      </w:pPr>
      <w:r w:rsidRPr="000A0A5F">
        <w:t xml:space="preserve">          - SINGLE_TRANS_UL</w:t>
      </w:r>
    </w:p>
    <w:p w:rsidR="00CB0DD7" w:rsidRPr="000A0A5F" w:rsidRDefault="00CB0DD7">
      <w:pPr>
        <w:pStyle w:val="PL"/>
      </w:pPr>
      <w:r w:rsidRPr="000A0A5F">
        <w:t xml:space="preserve">          - SINGLE_TRANS_DL</w:t>
      </w:r>
    </w:p>
    <w:p w:rsidR="00CB0DD7" w:rsidRPr="000A0A5F" w:rsidRDefault="00CB0DD7">
      <w:pPr>
        <w:pStyle w:val="PL"/>
      </w:pPr>
      <w:r w:rsidRPr="000A0A5F">
        <w:t xml:space="preserve">          - DUAL_TRANS_UL_FIRST</w:t>
      </w:r>
    </w:p>
    <w:p w:rsidR="00CB0DD7" w:rsidRPr="000A0A5F" w:rsidRDefault="00CB0DD7">
      <w:pPr>
        <w:pStyle w:val="PL"/>
      </w:pPr>
      <w:r w:rsidRPr="000A0A5F">
        <w:t xml:space="preserve">          - DUAL_TRANS_DL_FIRST</w:t>
      </w:r>
    </w:p>
    <w:p w:rsidR="00CB0DD7" w:rsidRPr="000A0A5F" w:rsidRDefault="00CB0DD7">
      <w:pPr>
        <w:pStyle w:val="PL"/>
      </w:pPr>
      <w:r w:rsidRPr="000A0A5F">
        <w:t xml:space="preserve">          - MULTI_TRANS</w:t>
      </w:r>
    </w:p>
    <w:p w:rsidR="00CB0DD7" w:rsidRPr="000A0A5F" w:rsidRDefault="00CB0DD7">
      <w:pPr>
        <w:pStyle w:val="PL"/>
      </w:pPr>
      <w:r w:rsidRPr="000A0A5F">
        <w:t xml:space="preserve">      - type: string</w:t>
      </w:r>
    </w:p>
    <w:p w:rsidR="00CB0DD7" w:rsidRPr="000A0A5F" w:rsidRDefault="00CB0DD7">
      <w:pPr>
        <w:pStyle w:val="PL"/>
      </w:pPr>
      <w:r w:rsidRPr="000A0A5F">
        <w:t xml:space="preserve">        description: &gt;</w:t>
      </w:r>
    </w:p>
    <w:p w:rsidR="00CB0DD7" w:rsidRPr="000A0A5F" w:rsidRDefault="00CB0DD7">
      <w:pPr>
        <w:pStyle w:val="PL"/>
      </w:pPr>
      <w:r w:rsidRPr="000A0A5F">
        <w:t xml:space="preserve">          This string provides forward-compatibility with future</w:t>
      </w:r>
    </w:p>
    <w:p w:rsidR="00CB0DD7" w:rsidRPr="000A0A5F" w:rsidRDefault="00CB0DD7">
      <w:pPr>
        <w:pStyle w:val="PL"/>
      </w:pPr>
      <w:r w:rsidRPr="000A0A5F">
        <w:t xml:space="preserve">          extensions to the enumeration but is not used to encode</w:t>
      </w:r>
    </w:p>
    <w:p w:rsidR="00CB0DD7" w:rsidRPr="000A0A5F" w:rsidRDefault="00CB0DD7">
      <w:pPr>
        <w:pStyle w:val="PL"/>
      </w:pPr>
      <w:r w:rsidRPr="000A0A5F">
        <w:t xml:space="preserve">          content defined in the present version of this API.</w:t>
      </w:r>
    </w:p>
    <w:p w:rsidR="00CB0DD7" w:rsidRPr="000A0A5F" w:rsidRDefault="00CB0DD7">
      <w:pPr>
        <w:pStyle w:val="PL"/>
      </w:pPr>
      <w:r w:rsidRPr="000A0A5F">
        <w:t xml:space="preserve">      description: </w:t>
      </w:r>
      <w:r w:rsidR="00844CA4" w:rsidRPr="000A0A5F">
        <w:t>|</w:t>
      </w:r>
    </w:p>
    <w:p w:rsidR="00844CA4" w:rsidRPr="000A0A5F" w:rsidRDefault="00844CA4">
      <w:pPr>
        <w:pStyle w:val="PL"/>
      </w:pPr>
      <w:r w:rsidRPr="000A0A5F">
        <w:t xml:space="preserve">        Represents the type of data transmission.  </w:t>
      </w:r>
    </w:p>
    <w:p w:rsidR="00CB0DD7" w:rsidRPr="000A0A5F" w:rsidRDefault="00CB0DD7">
      <w:pPr>
        <w:pStyle w:val="PL"/>
      </w:pPr>
      <w:r w:rsidRPr="000A0A5F">
        <w:t xml:space="preserve">        Possible values are</w:t>
      </w:r>
      <w:r w:rsidR="00844CA4" w:rsidRPr="000A0A5F">
        <w:t>:</w:t>
      </w:r>
    </w:p>
    <w:p w:rsidR="00CB0DD7" w:rsidRPr="000A0A5F" w:rsidRDefault="00CB0DD7">
      <w:pPr>
        <w:pStyle w:val="PL"/>
      </w:pPr>
      <w:r w:rsidRPr="000A0A5F">
        <w:t xml:space="preserve">        - SINGLE_TRANS_UL: Uplink single packet transmission.</w:t>
      </w:r>
    </w:p>
    <w:p w:rsidR="00CB0DD7" w:rsidRPr="000A0A5F" w:rsidRDefault="00CB0DD7">
      <w:pPr>
        <w:pStyle w:val="PL"/>
      </w:pPr>
      <w:r w:rsidRPr="000A0A5F">
        <w:t xml:space="preserve">        - SINGLE_TRANS_DL: Downlink single packet transmission.</w:t>
      </w:r>
    </w:p>
    <w:p w:rsidR="00844CA4" w:rsidRPr="000A0A5F" w:rsidRDefault="00CB0DD7">
      <w:pPr>
        <w:pStyle w:val="PL"/>
      </w:pPr>
      <w:r w:rsidRPr="000A0A5F">
        <w:t xml:space="preserve">        - DUAL_TRANS_UL_FIRST: Dual packet transmission, firstly uplink packet transmission with</w:t>
      </w:r>
    </w:p>
    <w:p w:rsidR="00CB0DD7" w:rsidRPr="000A0A5F" w:rsidRDefault="00844CA4">
      <w:pPr>
        <w:pStyle w:val="PL"/>
      </w:pPr>
      <w:r w:rsidRPr="000A0A5F">
        <w:t xml:space="preserve">         </w:t>
      </w:r>
      <w:r w:rsidR="00CB0DD7" w:rsidRPr="000A0A5F">
        <w:t xml:space="preserve"> subsequent downlink packet transmission.</w:t>
      </w:r>
    </w:p>
    <w:p w:rsidR="00844CA4" w:rsidRPr="000A0A5F" w:rsidRDefault="00CB0DD7">
      <w:pPr>
        <w:pStyle w:val="PL"/>
      </w:pPr>
      <w:r w:rsidRPr="000A0A5F">
        <w:t xml:space="preserve">        - DUAL_TRANS_DL_FIRST: Dual packet transmission, firstly downlink packet transmission with</w:t>
      </w:r>
    </w:p>
    <w:p w:rsidR="00CB0DD7" w:rsidRPr="000A0A5F" w:rsidRDefault="00844CA4">
      <w:pPr>
        <w:pStyle w:val="PL"/>
      </w:pPr>
      <w:r w:rsidRPr="000A0A5F">
        <w:t xml:space="preserve">         </w:t>
      </w:r>
      <w:r w:rsidR="00CB0DD7" w:rsidRPr="000A0A5F">
        <w:t xml:space="preserve"> subsequent uplink packet transmission.</w:t>
      </w:r>
    </w:p>
    <w:p w:rsidR="00CB0DD7" w:rsidRPr="000A0A5F" w:rsidRDefault="00CB0DD7">
      <w:pPr>
        <w:pStyle w:val="PL"/>
      </w:pPr>
      <w:r w:rsidRPr="000A0A5F">
        <w:t xml:space="preserve">        - MULTI_TRANS: Multiple packet transmission.</w:t>
      </w:r>
    </w:p>
    <w:p w:rsidR="00844CA4" w:rsidRPr="000A0A5F" w:rsidRDefault="00844CA4">
      <w:pPr>
        <w:pStyle w:val="PL"/>
      </w:pPr>
    </w:p>
    <w:p w:rsidR="00CB0DD7" w:rsidRPr="000A0A5F" w:rsidRDefault="00CB0DD7">
      <w:pPr>
        <w:pStyle w:val="PL"/>
      </w:pPr>
      <w:r w:rsidRPr="000A0A5F">
        <w:t xml:space="preserve">    </w:t>
      </w:r>
      <w:r w:rsidRPr="000A0A5F">
        <w:rPr>
          <w:lang w:eastAsia="zh-CN"/>
        </w:rPr>
        <w:t>ScheduledCommunicationType</w:t>
      </w:r>
      <w:r w:rsidRPr="000A0A5F">
        <w:t>:</w:t>
      </w:r>
    </w:p>
    <w:p w:rsidR="00CB0DD7" w:rsidRPr="000A0A5F" w:rsidRDefault="00CB0DD7">
      <w:pPr>
        <w:pStyle w:val="PL"/>
      </w:pPr>
      <w:r w:rsidRPr="000A0A5F">
        <w:t xml:space="preserve">      anyOf:</w:t>
      </w:r>
    </w:p>
    <w:p w:rsidR="00CB0DD7" w:rsidRPr="000A0A5F" w:rsidRDefault="00CB0DD7">
      <w:pPr>
        <w:pStyle w:val="PL"/>
      </w:pPr>
      <w:r w:rsidRPr="000A0A5F">
        <w:t xml:space="preserve">      - type: string</w:t>
      </w:r>
    </w:p>
    <w:p w:rsidR="00CB0DD7" w:rsidRPr="000A0A5F" w:rsidRDefault="00CB0DD7">
      <w:pPr>
        <w:pStyle w:val="PL"/>
      </w:pPr>
      <w:r w:rsidRPr="000A0A5F">
        <w:t xml:space="preserve">        enum:</w:t>
      </w:r>
    </w:p>
    <w:p w:rsidR="00CB0DD7" w:rsidRPr="000A0A5F" w:rsidRDefault="00CB0DD7">
      <w:pPr>
        <w:pStyle w:val="PL"/>
      </w:pPr>
      <w:r w:rsidRPr="000A0A5F">
        <w:t xml:space="preserve">          - DOWNLINK</w:t>
      </w:r>
    </w:p>
    <w:p w:rsidR="00CB0DD7" w:rsidRPr="000A0A5F" w:rsidRDefault="00CB0DD7">
      <w:pPr>
        <w:pStyle w:val="PL"/>
      </w:pPr>
      <w:r w:rsidRPr="000A0A5F">
        <w:t xml:space="preserve">          - UPLINK</w:t>
      </w:r>
    </w:p>
    <w:p w:rsidR="00CB0DD7" w:rsidRPr="000A0A5F" w:rsidRDefault="00CB0DD7">
      <w:pPr>
        <w:pStyle w:val="PL"/>
      </w:pPr>
      <w:r w:rsidRPr="000A0A5F">
        <w:t xml:space="preserve">          - BIDIRECTIONAL</w:t>
      </w:r>
    </w:p>
    <w:p w:rsidR="00CB0DD7" w:rsidRPr="000A0A5F" w:rsidRDefault="00CB0DD7">
      <w:pPr>
        <w:pStyle w:val="PL"/>
      </w:pPr>
      <w:r w:rsidRPr="000A0A5F">
        <w:t xml:space="preserve">      - type: string</w:t>
      </w:r>
    </w:p>
    <w:p w:rsidR="00CB0DD7" w:rsidRPr="000A0A5F" w:rsidRDefault="00CB0DD7">
      <w:pPr>
        <w:pStyle w:val="PL"/>
      </w:pPr>
      <w:r w:rsidRPr="000A0A5F">
        <w:t xml:space="preserve">        description: &gt;</w:t>
      </w:r>
    </w:p>
    <w:p w:rsidR="00CB0DD7" w:rsidRPr="000A0A5F" w:rsidRDefault="00CB0DD7">
      <w:pPr>
        <w:pStyle w:val="PL"/>
      </w:pPr>
      <w:r w:rsidRPr="000A0A5F">
        <w:t xml:space="preserve">          This string provides forward-compatibility with future</w:t>
      </w:r>
    </w:p>
    <w:p w:rsidR="00CB0DD7" w:rsidRPr="000A0A5F" w:rsidRDefault="00CB0DD7">
      <w:pPr>
        <w:pStyle w:val="PL"/>
      </w:pPr>
      <w:r w:rsidRPr="000A0A5F">
        <w:t xml:space="preserve">          extensions to the enumeration but is not used to encode</w:t>
      </w:r>
    </w:p>
    <w:p w:rsidR="00CB0DD7" w:rsidRPr="000A0A5F" w:rsidRDefault="00CB0DD7">
      <w:pPr>
        <w:pStyle w:val="PL"/>
      </w:pPr>
      <w:r w:rsidRPr="000A0A5F">
        <w:t xml:space="preserve">          content defined in the present version of this API.</w:t>
      </w:r>
    </w:p>
    <w:p w:rsidR="00CB0DD7" w:rsidRPr="000A0A5F" w:rsidRDefault="00CB0DD7">
      <w:pPr>
        <w:pStyle w:val="PL"/>
      </w:pPr>
      <w:r w:rsidRPr="000A0A5F">
        <w:t xml:space="preserve">      description: </w:t>
      </w:r>
      <w:r w:rsidR="00844CA4" w:rsidRPr="000A0A5F">
        <w:t>|</w:t>
      </w:r>
    </w:p>
    <w:p w:rsidR="00844CA4" w:rsidRPr="000A0A5F" w:rsidRDefault="00844CA4">
      <w:pPr>
        <w:pStyle w:val="PL"/>
      </w:pPr>
      <w:r w:rsidRPr="000A0A5F">
        <w:t xml:space="preserve">        Represents the type of scheduled communication.  </w:t>
      </w:r>
    </w:p>
    <w:p w:rsidR="00CB0DD7" w:rsidRPr="000A0A5F" w:rsidRDefault="00CB0DD7">
      <w:pPr>
        <w:pStyle w:val="PL"/>
      </w:pPr>
      <w:r w:rsidRPr="000A0A5F">
        <w:t xml:space="preserve">        Possible values are</w:t>
      </w:r>
      <w:r w:rsidR="00844CA4" w:rsidRPr="000A0A5F">
        <w:t>:</w:t>
      </w:r>
    </w:p>
    <w:p w:rsidR="00CB0DD7" w:rsidRPr="000A0A5F" w:rsidRDefault="00CB0DD7">
      <w:pPr>
        <w:pStyle w:val="PL"/>
      </w:pPr>
      <w:r w:rsidRPr="000A0A5F">
        <w:t xml:space="preserve">        - DOWNLINK: Downlink only.</w:t>
      </w:r>
    </w:p>
    <w:p w:rsidR="00CB0DD7" w:rsidRPr="000A0A5F" w:rsidRDefault="00CB0DD7">
      <w:pPr>
        <w:pStyle w:val="PL"/>
      </w:pPr>
      <w:r w:rsidRPr="000A0A5F">
        <w:t xml:space="preserve">        - UPLINK: Uplink only.</w:t>
      </w:r>
    </w:p>
    <w:p w:rsidR="00CB0DD7" w:rsidRPr="000A0A5F" w:rsidRDefault="00CB0DD7">
      <w:pPr>
        <w:pStyle w:val="PL"/>
      </w:pPr>
      <w:r w:rsidRPr="000A0A5F">
        <w:t xml:space="preserve">        - BIDIRECTIONAL: Bi-directional.</w:t>
      </w:r>
    </w:p>
    <w:p w:rsidR="00CB0DD7" w:rsidRPr="000A0A5F" w:rsidRDefault="00CB0DD7">
      <w:pPr>
        <w:pStyle w:val="PL"/>
      </w:pPr>
    </w:p>
    <w:p w:rsidR="00CB0DD7" w:rsidRPr="000A0A5F" w:rsidRDefault="00CB0DD7" w:rsidP="008D59EF">
      <w:pPr>
        <w:pStyle w:val="Heading1"/>
      </w:pPr>
      <w:bookmarkStart w:id="10401" w:name="_Toc11247940"/>
      <w:bookmarkStart w:id="10402" w:name="_Toc27045122"/>
      <w:bookmarkStart w:id="10403" w:name="_Toc36034173"/>
      <w:bookmarkStart w:id="10404" w:name="_Toc45132321"/>
      <w:bookmarkStart w:id="10405" w:name="_Toc49776606"/>
      <w:bookmarkStart w:id="10406" w:name="_Toc51747526"/>
      <w:bookmarkStart w:id="10407" w:name="_Toc66361108"/>
      <w:bookmarkStart w:id="10408" w:name="_Toc68105613"/>
      <w:bookmarkStart w:id="10409" w:name="_Toc74756245"/>
      <w:bookmarkStart w:id="10410" w:name="_Toc105675122"/>
      <w:bookmarkStart w:id="10411" w:name="_Toc130503200"/>
      <w:bookmarkStart w:id="10412" w:name="_Toc153625992"/>
      <w:r w:rsidRPr="000A0A5F">
        <w:t>A.11</w:t>
      </w:r>
      <w:r w:rsidRPr="000A0A5F">
        <w:tab/>
        <w:t>PfdManagement API</w:t>
      </w:r>
      <w:bookmarkEnd w:id="10401"/>
      <w:bookmarkEnd w:id="10402"/>
      <w:bookmarkEnd w:id="10403"/>
      <w:bookmarkEnd w:id="10404"/>
      <w:bookmarkEnd w:id="10405"/>
      <w:bookmarkEnd w:id="10406"/>
      <w:bookmarkEnd w:id="10407"/>
      <w:bookmarkEnd w:id="10408"/>
      <w:bookmarkEnd w:id="10409"/>
      <w:bookmarkEnd w:id="10410"/>
      <w:bookmarkEnd w:id="10411"/>
      <w:bookmarkEnd w:id="10412"/>
    </w:p>
    <w:p w:rsidR="00CB0DD7" w:rsidRPr="000A0A5F" w:rsidRDefault="00CB0DD7">
      <w:pPr>
        <w:pStyle w:val="PL"/>
      </w:pPr>
      <w:r w:rsidRPr="000A0A5F">
        <w:t>openapi: 3.0.0</w:t>
      </w:r>
    </w:p>
    <w:p w:rsidR="00667EFF" w:rsidRPr="000A0A5F" w:rsidRDefault="00667EFF">
      <w:pPr>
        <w:pStyle w:val="PL"/>
      </w:pPr>
    </w:p>
    <w:p w:rsidR="00CB0DD7" w:rsidRPr="000A0A5F" w:rsidRDefault="00CB0DD7">
      <w:pPr>
        <w:pStyle w:val="PL"/>
      </w:pPr>
      <w:r w:rsidRPr="000A0A5F">
        <w:t>info:</w:t>
      </w:r>
    </w:p>
    <w:p w:rsidR="00CB0DD7" w:rsidRPr="000A0A5F" w:rsidRDefault="00CB0DD7">
      <w:pPr>
        <w:pStyle w:val="PL"/>
      </w:pPr>
      <w:r w:rsidRPr="000A0A5F">
        <w:t xml:space="preserve">  title: 3gpp-pfd-management</w:t>
      </w:r>
    </w:p>
    <w:p w:rsidR="00CB0DD7" w:rsidRPr="000A0A5F" w:rsidRDefault="00CB0DD7">
      <w:pPr>
        <w:pStyle w:val="PL"/>
      </w:pPr>
      <w:r w:rsidRPr="000A0A5F">
        <w:t xml:space="preserve">  version: 1.</w:t>
      </w:r>
      <w:r w:rsidR="00B94C78" w:rsidRPr="000A0A5F">
        <w:t>3</w:t>
      </w:r>
      <w:r w:rsidRPr="000A0A5F">
        <w:t>.0</w:t>
      </w:r>
      <w:r w:rsidR="00B94C78" w:rsidRPr="000A0A5F">
        <w:t>-alpha.</w:t>
      </w:r>
      <w:r w:rsidR="000140FC">
        <w:t>3</w:t>
      </w:r>
    </w:p>
    <w:p w:rsidR="00CB0DD7" w:rsidRPr="000A0A5F" w:rsidRDefault="00CB0DD7">
      <w:pPr>
        <w:pStyle w:val="PL"/>
      </w:pPr>
      <w:r w:rsidRPr="000A0A5F">
        <w:t xml:space="preserve">  description: |</w:t>
      </w:r>
    </w:p>
    <w:p w:rsidR="00CB0DD7" w:rsidRPr="000A0A5F" w:rsidRDefault="00CB0DD7">
      <w:pPr>
        <w:pStyle w:val="PL"/>
      </w:pPr>
      <w:r w:rsidRPr="000A0A5F">
        <w:t xml:space="preserve">    API for PFD management.</w:t>
      </w:r>
      <w:r w:rsidR="00970ACE" w:rsidRPr="000A0A5F">
        <w:t xml:space="preserve">  </w:t>
      </w:r>
    </w:p>
    <w:p w:rsidR="00CB0DD7" w:rsidRPr="000A0A5F" w:rsidRDefault="00CB0DD7">
      <w:pPr>
        <w:pStyle w:val="PL"/>
      </w:pPr>
      <w:r w:rsidRPr="000A0A5F">
        <w:t xml:space="preserve">    © 202</w:t>
      </w:r>
      <w:r w:rsidR="00B94C78" w:rsidRPr="000A0A5F">
        <w:t>3</w:t>
      </w:r>
      <w:r w:rsidRPr="000A0A5F">
        <w:t>, 3GPP Organizational Partners (ARIB, ATIS, CCSA, ETSI, TSDSI, TTA, TTC).</w:t>
      </w:r>
      <w:r w:rsidR="00970ACE" w:rsidRPr="000A0A5F">
        <w:t xml:space="preserve">  </w:t>
      </w:r>
    </w:p>
    <w:p w:rsidR="00CB0DD7" w:rsidRPr="000A0A5F" w:rsidRDefault="00CB0DD7">
      <w:pPr>
        <w:pStyle w:val="PL"/>
      </w:pPr>
      <w:r w:rsidRPr="000A0A5F">
        <w:t xml:space="preserve">    All rights reserved.</w:t>
      </w:r>
    </w:p>
    <w:p w:rsidR="00667EFF" w:rsidRPr="000A0A5F" w:rsidRDefault="00667EFF">
      <w:pPr>
        <w:pStyle w:val="PL"/>
      </w:pPr>
    </w:p>
    <w:p w:rsidR="00CB0DD7" w:rsidRPr="000A0A5F" w:rsidRDefault="00CB0DD7">
      <w:pPr>
        <w:pStyle w:val="PL"/>
      </w:pPr>
      <w:r w:rsidRPr="000A0A5F">
        <w:t>externalDocs:</w:t>
      </w:r>
    </w:p>
    <w:p w:rsidR="00CB0DD7" w:rsidRPr="000A0A5F" w:rsidRDefault="00CB0DD7">
      <w:pPr>
        <w:pStyle w:val="PL"/>
      </w:pPr>
      <w:r w:rsidRPr="000A0A5F">
        <w:t xml:space="preserve">  description: 3GPP TS 29.122 V1</w:t>
      </w:r>
      <w:r w:rsidR="00B94C78" w:rsidRPr="000A0A5F">
        <w:t>8</w:t>
      </w:r>
      <w:r w:rsidRPr="000A0A5F">
        <w:t>.</w:t>
      </w:r>
      <w:r w:rsidR="000140FC">
        <w:t>4</w:t>
      </w:r>
      <w:r w:rsidRPr="000A0A5F">
        <w:t>.0 T8 reference point for Northbound APIs</w:t>
      </w:r>
    </w:p>
    <w:p w:rsidR="00CB0DD7" w:rsidRPr="000A0A5F" w:rsidRDefault="00CB0DD7">
      <w:pPr>
        <w:pStyle w:val="PL"/>
      </w:pPr>
      <w:r w:rsidRPr="000A0A5F">
        <w:t xml:space="preserve">  url: 'http</w:t>
      </w:r>
      <w:r w:rsidR="00970ACE" w:rsidRPr="000A0A5F">
        <w:t>s</w:t>
      </w:r>
      <w:r w:rsidRPr="000A0A5F">
        <w:t>://www.3gpp.org/ftp/Specs/archive/29_series/29.122/'</w:t>
      </w:r>
    </w:p>
    <w:p w:rsidR="00667EFF" w:rsidRPr="000A0A5F" w:rsidRDefault="00667EFF">
      <w:pPr>
        <w:pStyle w:val="PL"/>
      </w:pPr>
    </w:p>
    <w:p w:rsidR="00CB0DD7" w:rsidRPr="000A0A5F" w:rsidRDefault="00CB0DD7">
      <w:pPr>
        <w:pStyle w:val="PL"/>
      </w:pPr>
      <w:r w:rsidRPr="000A0A5F">
        <w:t>security:</w:t>
      </w:r>
    </w:p>
    <w:p w:rsidR="00CB0DD7" w:rsidRPr="000A0A5F" w:rsidRDefault="00CB0DD7">
      <w:pPr>
        <w:pStyle w:val="PL"/>
        <w:rPr>
          <w:lang w:val="en-US"/>
        </w:rPr>
      </w:pPr>
      <w:r w:rsidRPr="000A0A5F">
        <w:rPr>
          <w:lang w:val="en-US"/>
        </w:rPr>
        <w:t xml:space="preserve">  - {}</w:t>
      </w:r>
    </w:p>
    <w:p w:rsidR="00CB0DD7" w:rsidRPr="000A0A5F" w:rsidRDefault="00CB0DD7">
      <w:pPr>
        <w:pStyle w:val="PL"/>
      </w:pPr>
      <w:r w:rsidRPr="000A0A5F">
        <w:t xml:space="preserve">  - oAuth2ClientCredentials: []</w:t>
      </w:r>
    </w:p>
    <w:p w:rsidR="00667EFF" w:rsidRPr="000A0A5F" w:rsidRDefault="00667EFF">
      <w:pPr>
        <w:pStyle w:val="PL"/>
      </w:pPr>
    </w:p>
    <w:p w:rsidR="00CB0DD7" w:rsidRPr="000A0A5F" w:rsidRDefault="00CB0DD7">
      <w:pPr>
        <w:pStyle w:val="PL"/>
      </w:pPr>
      <w:r w:rsidRPr="000A0A5F">
        <w:t>servers:</w:t>
      </w:r>
    </w:p>
    <w:p w:rsidR="00CB0DD7" w:rsidRPr="000A0A5F" w:rsidRDefault="00CB0DD7">
      <w:pPr>
        <w:pStyle w:val="PL"/>
      </w:pPr>
      <w:r w:rsidRPr="000A0A5F">
        <w:t xml:space="preserve">  - url: '{apiRoot}/3gpp-pfd-management/v1'</w:t>
      </w:r>
    </w:p>
    <w:p w:rsidR="00CB0DD7" w:rsidRPr="000A0A5F" w:rsidRDefault="00CB0DD7">
      <w:pPr>
        <w:pStyle w:val="PL"/>
      </w:pPr>
      <w:r w:rsidRPr="000A0A5F">
        <w:t xml:space="preserve">    variables:</w:t>
      </w:r>
    </w:p>
    <w:p w:rsidR="00CB0DD7" w:rsidRPr="000A0A5F" w:rsidRDefault="00CB0DD7">
      <w:pPr>
        <w:pStyle w:val="PL"/>
      </w:pPr>
      <w:r w:rsidRPr="000A0A5F">
        <w:t xml:space="preserve">      apiRoot:</w:t>
      </w:r>
    </w:p>
    <w:p w:rsidR="00CB0DD7" w:rsidRPr="000A0A5F" w:rsidRDefault="00CB0DD7">
      <w:pPr>
        <w:pStyle w:val="PL"/>
      </w:pPr>
      <w:r w:rsidRPr="000A0A5F">
        <w:t xml:space="preserve">        default: https://example.com</w:t>
      </w:r>
    </w:p>
    <w:p w:rsidR="00CB0DD7" w:rsidRPr="000A0A5F" w:rsidRDefault="00CB0DD7">
      <w:pPr>
        <w:pStyle w:val="PL"/>
      </w:pPr>
      <w:r w:rsidRPr="000A0A5F">
        <w:t xml:space="preserve">        description: apiRoot as defined in clause 5.2.4 of 3GPP TS 29.122.</w:t>
      </w:r>
    </w:p>
    <w:p w:rsidR="00667EFF" w:rsidRPr="000A0A5F" w:rsidRDefault="00667EFF">
      <w:pPr>
        <w:pStyle w:val="PL"/>
      </w:pPr>
    </w:p>
    <w:p w:rsidR="00CB0DD7" w:rsidRPr="000A0A5F" w:rsidRDefault="00CB0DD7">
      <w:pPr>
        <w:pStyle w:val="PL"/>
      </w:pPr>
      <w:r w:rsidRPr="000A0A5F">
        <w:t>paths:</w:t>
      </w:r>
    </w:p>
    <w:p w:rsidR="00CB0DD7" w:rsidRPr="000A0A5F" w:rsidRDefault="00CB0DD7">
      <w:pPr>
        <w:pStyle w:val="PL"/>
      </w:pPr>
      <w:r w:rsidRPr="000A0A5F">
        <w:t xml:space="preserve">  /{scsAsId}/transactions:</w:t>
      </w:r>
    </w:p>
    <w:p w:rsidR="00CB0DD7" w:rsidRPr="000A0A5F" w:rsidRDefault="00CB0DD7">
      <w:pPr>
        <w:pStyle w:val="PL"/>
      </w:pPr>
      <w:r w:rsidRPr="000A0A5F">
        <w:t xml:space="preserve">    parameters:</w:t>
      </w:r>
    </w:p>
    <w:p w:rsidR="00CB0DD7" w:rsidRPr="000A0A5F" w:rsidRDefault="00CB0DD7">
      <w:pPr>
        <w:pStyle w:val="PL"/>
      </w:pPr>
      <w:r w:rsidRPr="000A0A5F">
        <w:t xml:space="preserve">      - name: scsAsId</w:t>
      </w:r>
    </w:p>
    <w:p w:rsidR="00CB0DD7" w:rsidRPr="000A0A5F" w:rsidRDefault="00CB0DD7">
      <w:pPr>
        <w:pStyle w:val="PL"/>
      </w:pPr>
      <w:r w:rsidRPr="000A0A5F">
        <w:t xml:space="preserve">        in: path</w:t>
      </w:r>
    </w:p>
    <w:p w:rsidR="00CB0DD7" w:rsidRPr="000A0A5F" w:rsidRDefault="00CB0DD7">
      <w:pPr>
        <w:pStyle w:val="PL"/>
      </w:pPr>
      <w:r w:rsidRPr="000A0A5F">
        <w:t xml:space="preserve">        description: Identifier of the SCS/AS as defined in clause 5.2.4 of 3GPP TS 29.122.</w:t>
      </w:r>
    </w:p>
    <w:p w:rsidR="00CB0DD7" w:rsidRPr="000A0A5F" w:rsidRDefault="00CB0DD7">
      <w:pPr>
        <w:pStyle w:val="PL"/>
      </w:pPr>
      <w:r w:rsidRPr="000A0A5F">
        <w:t xml:space="preserve">        required: true</w:t>
      </w:r>
    </w:p>
    <w:p w:rsidR="00CB0DD7" w:rsidRPr="000A0A5F" w:rsidRDefault="00CB0DD7">
      <w:pPr>
        <w:pStyle w:val="PL"/>
      </w:pPr>
      <w:r w:rsidRPr="000A0A5F">
        <w:t xml:space="preserve">        schema:</w:t>
      </w:r>
    </w:p>
    <w:p w:rsidR="00CB0DD7" w:rsidRPr="000A0A5F" w:rsidRDefault="00CB0DD7">
      <w:pPr>
        <w:pStyle w:val="PL"/>
      </w:pPr>
      <w:r w:rsidRPr="000A0A5F">
        <w:t xml:space="preserve">          type: string</w:t>
      </w:r>
    </w:p>
    <w:p w:rsidR="00CB0DD7" w:rsidRPr="000A0A5F" w:rsidRDefault="00CB0DD7">
      <w:pPr>
        <w:pStyle w:val="PL"/>
      </w:pPr>
      <w:r w:rsidRPr="000A0A5F">
        <w:t xml:space="preserve">    get:</w:t>
      </w:r>
    </w:p>
    <w:p w:rsidR="001059F5" w:rsidRPr="000A0A5F" w:rsidRDefault="001059F5" w:rsidP="001059F5">
      <w:pPr>
        <w:pStyle w:val="PL"/>
      </w:pPr>
      <w:r w:rsidRPr="000A0A5F">
        <w:t xml:space="preserve">      summary: Read all</w:t>
      </w:r>
      <w:r w:rsidR="004A0D08" w:rsidRPr="000A0A5F">
        <w:t xml:space="preserve"> or queried</w:t>
      </w:r>
      <w:r w:rsidRPr="000A0A5F">
        <w:t xml:space="preserve"> PFDs for a given SCS/AS.</w:t>
      </w:r>
    </w:p>
    <w:p w:rsidR="001059F5" w:rsidRPr="000A0A5F" w:rsidRDefault="001059F5" w:rsidP="001059F5">
      <w:pPr>
        <w:pStyle w:val="PL"/>
      </w:pPr>
      <w:r w:rsidRPr="000A0A5F">
        <w:t xml:space="preserve">      </w:t>
      </w:r>
      <w:r w:rsidRPr="000A0A5F">
        <w:rPr>
          <w:rFonts w:cs="Courier New"/>
          <w:szCs w:val="16"/>
        </w:rPr>
        <w:t>operationId: FetchAll</w:t>
      </w:r>
      <w:bookmarkStart w:id="10413" w:name="_Hlk83678639"/>
      <w:r w:rsidRPr="000A0A5F">
        <w:rPr>
          <w:rFonts w:hint="eastAsia"/>
          <w:lang w:eastAsia="zh-CN"/>
        </w:rPr>
        <w:t>PFDManagement</w:t>
      </w:r>
      <w:r w:rsidRPr="000A0A5F">
        <w:t>Transactions</w:t>
      </w:r>
      <w:bookmarkEnd w:id="10413"/>
    </w:p>
    <w:p w:rsidR="001059F5" w:rsidRPr="000A0A5F" w:rsidRDefault="001059F5" w:rsidP="001059F5">
      <w:pPr>
        <w:pStyle w:val="PL"/>
      </w:pPr>
      <w:r w:rsidRPr="000A0A5F">
        <w:t xml:space="preserve">      tags:</w:t>
      </w:r>
    </w:p>
    <w:p w:rsidR="001059F5" w:rsidRPr="000A0A5F" w:rsidRDefault="001059F5" w:rsidP="001059F5">
      <w:pPr>
        <w:pStyle w:val="PL"/>
      </w:pPr>
      <w:r w:rsidRPr="000A0A5F">
        <w:t xml:space="preserve">        - </w:t>
      </w:r>
      <w:r w:rsidRPr="000A0A5F">
        <w:rPr>
          <w:rFonts w:hint="eastAsia"/>
          <w:lang w:eastAsia="zh-CN"/>
        </w:rPr>
        <w:t xml:space="preserve">PFD Management </w:t>
      </w:r>
      <w:r w:rsidRPr="000A0A5F">
        <w:t>Transactions</w:t>
      </w:r>
    </w:p>
    <w:p w:rsidR="004A0D08" w:rsidRPr="000A0A5F" w:rsidRDefault="004A0D08" w:rsidP="004A0D08">
      <w:pPr>
        <w:pStyle w:val="PL"/>
      </w:pPr>
      <w:r w:rsidRPr="000A0A5F">
        <w:t xml:space="preserve">      parameters:</w:t>
      </w:r>
    </w:p>
    <w:p w:rsidR="004A0D08" w:rsidRPr="000A0A5F" w:rsidRDefault="004A0D08" w:rsidP="004A0D08">
      <w:pPr>
        <w:pStyle w:val="PL"/>
      </w:pPr>
      <w:r w:rsidRPr="000A0A5F">
        <w:t xml:space="preserve">        - name: external-app-ids</w:t>
      </w:r>
    </w:p>
    <w:p w:rsidR="004A0D08" w:rsidRPr="000A0A5F" w:rsidRDefault="004A0D08" w:rsidP="004A0D08">
      <w:pPr>
        <w:pStyle w:val="PL"/>
      </w:pPr>
      <w:r w:rsidRPr="000A0A5F">
        <w:t xml:space="preserve">          in: query</w:t>
      </w:r>
    </w:p>
    <w:p w:rsidR="004A0D08" w:rsidRPr="000A0A5F" w:rsidRDefault="004A0D08" w:rsidP="004A0D08">
      <w:pPr>
        <w:pStyle w:val="PL"/>
      </w:pPr>
      <w:r w:rsidRPr="000A0A5F">
        <w:t xml:space="preserve">          description: The external application identifier(s) of the requested PFD data.</w:t>
      </w:r>
    </w:p>
    <w:p w:rsidR="004A0D08" w:rsidRPr="000A0A5F" w:rsidRDefault="004A0D08" w:rsidP="004A0D08">
      <w:pPr>
        <w:pStyle w:val="PL"/>
      </w:pPr>
      <w:r w:rsidRPr="000A0A5F">
        <w:t xml:space="preserve">          required: false</w:t>
      </w:r>
    </w:p>
    <w:p w:rsidR="004A0D08" w:rsidRPr="000A0A5F" w:rsidRDefault="004A0D08" w:rsidP="004A0D08">
      <w:pPr>
        <w:pStyle w:val="PL"/>
      </w:pPr>
      <w:r w:rsidRPr="000A0A5F">
        <w:t xml:space="preserve">          schema:</w:t>
      </w:r>
    </w:p>
    <w:p w:rsidR="004A0D08" w:rsidRPr="000A0A5F" w:rsidRDefault="004A0D08" w:rsidP="004A0D08">
      <w:pPr>
        <w:pStyle w:val="PL"/>
      </w:pPr>
      <w:r w:rsidRPr="000A0A5F">
        <w:t xml:space="preserve">            type: array</w:t>
      </w:r>
    </w:p>
    <w:p w:rsidR="004A0D08" w:rsidRPr="000A0A5F" w:rsidRDefault="004A0D08" w:rsidP="004A0D08">
      <w:pPr>
        <w:pStyle w:val="PL"/>
      </w:pPr>
      <w:r w:rsidRPr="000A0A5F">
        <w:t xml:space="preserve">            items:</w:t>
      </w:r>
    </w:p>
    <w:p w:rsidR="004A0D08" w:rsidRPr="000A0A5F" w:rsidRDefault="004A0D08" w:rsidP="004A0D08">
      <w:pPr>
        <w:pStyle w:val="PL"/>
      </w:pPr>
      <w:r w:rsidRPr="000A0A5F">
        <w:t xml:space="preserve">              type: string</w:t>
      </w:r>
    </w:p>
    <w:p w:rsidR="004A0D08" w:rsidRPr="000A0A5F" w:rsidRDefault="004A0D08" w:rsidP="004A0D08">
      <w:pPr>
        <w:pStyle w:val="PL"/>
      </w:pPr>
      <w:r w:rsidRPr="000A0A5F">
        <w:t xml:space="preserve">            minItems: 1</w:t>
      </w:r>
    </w:p>
    <w:p w:rsidR="00CB0DD7" w:rsidRPr="000A0A5F" w:rsidRDefault="00CB0DD7">
      <w:pPr>
        <w:pStyle w:val="PL"/>
      </w:pPr>
      <w:r w:rsidRPr="000A0A5F">
        <w:t xml:space="preserve">      responses:</w:t>
      </w:r>
    </w:p>
    <w:p w:rsidR="00CB0DD7" w:rsidRPr="000A0A5F" w:rsidRDefault="00CB0DD7">
      <w:pPr>
        <w:pStyle w:val="PL"/>
      </w:pPr>
      <w:r w:rsidRPr="000A0A5F">
        <w:t xml:space="preserve">        '200':</w:t>
      </w:r>
    </w:p>
    <w:p w:rsidR="00CB0DD7" w:rsidRPr="000A0A5F" w:rsidRDefault="00CB0DD7">
      <w:pPr>
        <w:pStyle w:val="PL"/>
      </w:pPr>
      <w:r w:rsidRPr="000A0A5F">
        <w:t xml:space="preserve">          description: OK. All </w:t>
      </w:r>
      <w:r w:rsidR="004A0D08" w:rsidRPr="000A0A5F">
        <w:t xml:space="preserve">or queried </w:t>
      </w:r>
      <w:r w:rsidRPr="000A0A5F">
        <w:t>transactions related to the request URI are returned.</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application/json:</w:t>
      </w:r>
    </w:p>
    <w:p w:rsidR="00CB0DD7" w:rsidRPr="000A0A5F" w:rsidRDefault="00CB0DD7">
      <w:pPr>
        <w:pStyle w:val="PL"/>
      </w:pPr>
      <w:r w:rsidRPr="000A0A5F">
        <w:t xml:space="preserve">              schema:</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$ref: '#/components/schemas/PfdManagement</w:t>
      </w:r>
      <w:r w:rsidRPr="000A0A5F">
        <w:rPr>
          <w:lang w:eastAsia="zh-CN"/>
        </w:rPr>
        <w:t>'</w:t>
      </w:r>
    </w:p>
    <w:p w:rsidR="00CB0DD7" w:rsidRPr="000A0A5F" w:rsidRDefault="00CB0DD7">
      <w:pPr>
        <w:pStyle w:val="PL"/>
      </w:pPr>
      <w:r w:rsidRPr="000A0A5F">
        <w:t xml:space="preserve">        '307':</w:t>
      </w:r>
    </w:p>
    <w:p w:rsidR="00CB0DD7" w:rsidRPr="000A0A5F" w:rsidRDefault="00CB0DD7">
      <w:pPr>
        <w:pStyle w:val="PL"/>
      </w:pPr>
      <w:r w:rsidRPr="000A0A5F">
        <w:t xml:space="preserve">          $ref: 'TS29122_CommonData.yaml#/components/responses/307'</w:t>
      </w:r>
    </w:p>
    <w:p w:rsidR="00CB0DD7" w:rsidRPr="000A0A5F" w:rsidRDefault="00CB0DD7">
      <w:pPr>
        <w:pStyle w:val="PL"/>
      </w:pPr>
      <w:r w:rsidRPr="000A0A5F">
        <w:t xml:space="preserve">        '308':</w:t>
      </w:r>
    </w:p>
    <w:p w:rsidR="00CB0DD7" w:rsidRPr="000A0A5F" w:rsidRDefault="00CB0DD7">
      <w:pPr>
        <w:pStyle w:val="PL"/>
      </w:pPr>
      <w:r w:rsidRPr="000A0A5F">
        <w:t xml:space="preserve">          $ref: 'TS29122_CommonData.yaml#/components/responses/308'</w:t>
      </w:r>
    </w:p>
    <w:p w:rsidR="00CB0DD7" w:rsidRPr="000A0A5F" w:rsidRDefault="00CB0DD7">
      <w:pPr>
        <w:pStyle w:val="PL"/>
      </w:pPr>
      <w:r w:rsidRPr="000A0A5F">
        <w:t xml:space="preserve">        '400':</w:t>
      </w:r>
    </w:p>
    <w:p w:rsidR="00CB0DD7" w:rsidRPr="000A0A5F" w:rsidRDefault="00CB0DD7">
      <w:pPr>
        <w:pStyle w:val="PL"/>
      </w:pPr>
      <w:r w:rsidRPr="000A0A5F">
        <w:t xml:space="preserve">          $ref: 'TS29122_CommonData.yaml#/components/responses/400'</w:t>
      </w:r>
    </w:p>
    <w:p w:rsidR="00CB0DD7" w:rsidRPr="000A0A5F" w:rsidRDefault="00CB0DD7">
      <w:pPr>
        <w:pStyle w:val="PL"/>
      </w:pPr>
      <w:r w:rsidRPr="000A0A5F">
        <w:t xml:space="preserve">        '401':</w:t>
      </w:r>
    </w:p>
    <w:p w:rsidR="00CB0DD7" w:rsidRPr="000A0A5F" w:rsidRDefault="00CB0DD7">
      <w:pPr>
        <w:pStyle w:val="PL"/>
      </w:pPr>
      <w:r w:rsidRPr="000A0A5F">
        <w:t xml:space="preserve">          $ref: 'TS29122_CommonData.yaml#/components/responses/401'</w:t>
      </w:r>
    </w:p>
    <w:p w:rsidR="00CB0DD7" w:rsidRPr="000A0A5F" w:rsidRDefault="00CB0DD7">
      <w:pPr>
        <w:pStyle w:val="PL"/>
      </w:pPr>
      <w:r w:rsidRPr="000A0A5F">
        <w:t xml:space="preserve">        '403':</w:t>
      </w:r>
    </w:p>
    <w:p w:rsidR="00CB0DD7" w:rsidRPr="000A0A5F" w:rsidRDefault="00CB0DD7">
      <w:pPr>
        <w:pStyle w:val="PL"/>
      </w:pPr>
      <w:r w:rsidRPr="000A0A5F">
        <w:t xml:space="preserve">          $ref: 'TS29122_CommonData.yaml#/components/responses/403'</w:t>
      </w:r>
    </w:p>
    <w:p w:rsidR="00CB0DD7" w:rsidRPr="000A0A5F" w:rsidRDefault="00CB0DD7">
      <w:pPr>
        <w:pStyle w:val="PL"/>
      </w:pPr>
      <w:r w:rsidRPr="000A0A5F">
        <w:t xml:space="preserve">        '404':</w:t>
      </w:r>
    </w:p>
    <w:p w:rsidR="00CB0DD7" w:rsidRPr="000A0A5F" w:rsidRDefault="00CB0DD7">
      <w:pPr>
        <w:pStyle w:val="PL"/>
      </w:pPr>
      <w:r w:rsidRPr="000A0A5F">
        <w:t xml:space="preserve">          $ref: 'TS29122_CommonData.yaml#/components/responses/404'</w:t>
      </w:r>
    </w:p>
    <w:p w:rsidR="00CB0DD7" w:rsidRPr="000A0A5F" w:rsidRDefault="00CB0DD7">
      <w:pPr>
        <w:pStyle w:val="PL"/>
      </w:pPr>
      <w:r w:rsidRPr="000A0A5F">
        <w:t xml:space="preserve">        '406':</w:t>
      </w:r>
    </w:p>
    <w:p w:rsidR="00CB0DD7" w:rsidRPr="000A0A5F" w:rsidRDefault="00CB0DD7">
      <w:pPr>
        <w:pStyle w:val="PL"/>
      </w:pPr>
      <w:r w:rsidRPr="000A0A5F">
        <w:t xml:space="preserve">          $ref: 'TS29122_CommonData.yaml#/components/responses/406'</w:t>
      </w:r>
    </w:p>
    <w:p w:rsidR="00CB0DD7" w:rsidRPr="000A0A5F" w:rsidRDefault="00CB0DD7">
      <w:pPr>
        <w:pStyle w:val="PL"/>
      </w:pPr>
      <w:r w:rsidRPr="000A0A5F">
        <w:t xml:space="preserve">        '429':</w:t>
      </w:r>
    </w:p>
    <w:p w:rsidR="00CB0DD7" w:rsidRPr="000A0A5F" w:rsidRDefault="00CB0DD7">
      <w:pPr>
        <w:pStyle w:val="PL"/>
      </w:pPr>
      <w:r w:rsidRPr="000A0A5F">
        <w:t xml:space="preserve">          $ref: 'TS29122_CommonData.yaml#/components/responses/429'</w:t>
      </w:r>
    </w:p>
    <w:p w:rsidR="00CB0DD7" w:rsidRPr="000A0A5F" w:rsidRDefault="00CB0DD7">
      <w:pPr>
        <w:pStyle w:val="PL"/>
      </w:pPr>
      <w:r w:rsidRPr="000A0A5F">
        <w:t xml:space="preserve">        '500':</w:t>
      </w:r>
    </w:p>
    <w:p w:rsidR="00CB0DD7" w:rsidRPr="000A0A5F" w:rsidRDefault="00CB0DD7">
      <w:pPr>
        <w:pStyle w:val="PL"/>
      </w:pPr>
      <w:r w:rsidRPr="000A0A5F">
        <w:t xml:space="preserve">          $ref: 'TS29122_CommonData.yaml#/components/responses/500'</w:t>
      </w:r>
    </w:p>
    <w:p w:rsidR="00CB0DD7" w:rsidRPr="000A0A5F" w:rsidRDefault="00CB0DD7">
      <w:pPr>
        <w:pStyle w:val="PL"/>
      </w:pPr>
      <w:r w:rsidRPr="000A0A5F">
        <w:t xml:space="preserve">        '503':</w:t>
      </w:r>
    </w:p>
    <w:p w:rsidR="00CB0DD7" w:rsidRPr="000A0A5F" w:rsidRDefault="00CB0DD7">
      <w:pPr>
        <w:pStyle w:val="PL"/>
      </w:pPr>
      <w:r w:rsidRPr="000A0A5F">
        <w:t xml:space="preserve">          $ref: 'TS29122_CommonData.yaml#/components/responses/503'</w:t>
      </w:r>
    </w:p>
    <w:p w:rsidR="00CB0DD7" w:rsidRPr="000A0A5F" w:rsidRDefault="00CB0DD7">
      <w:pPr>
        <w:pStyle w:val="PL"/>
      </w:pPr>
      <w:r w:rsidRPr="000A0A5F">
        <w:t xml:space="preserve">        default:</w:t>
      </w:r>
    </w:p>
    <w:p w:rsidR="00CB0DD7" w:rsidRPr="000A0A5F" w:rsidRDefault="00CB0DD7">
      <w:pPr>
        <w:pStyle w:val="PL"/>
      </w:pPr>
      <w:r w:rsidRPr="000A0A5F">
        <w:t xml:space="preserve">          $ref: 'TS29122_CommonData.yaml#/components/responses/default'</w:t>
      </w:r>
    </w:p>
    <w:p w:rsidR="00CB0DD7" w:rsidRPr="000A0A5F" w:rsidRDefault="00CB0DD7">
      <w:pPr>
        <w:pStyle w:val="PL"/>
      </w:pPr>
      <w:r w:rsidRPr="000A0A5F">
        <w:t xml:space="preserve">    post:</w:t>
      </w:r>
    </w:p>
    <w:p w:rsidR="001059F5" w:rsidRPr="000A0A5F" w:rsidRDefault="001059F5" w:rsidP="001059F5">
      <w:pPr>
        <w:pStyle w:val="PL"/>
      </w:pPr>
      <w:r w:rsidRPr="000A0A5F">
        <w:t xml:space="preserve">      summary: Create PFDs </w:t>
      </w:r>
      <w:r w:rsidRPr="000A0A5F">
        <w:rPr>
          <w:lang w:eastAsia="zh-CN"/>
        </w:rPr>
        <w:t>for a given SCS/AS and one or more external Application Identifier(s).</w:t>
      </w:r>
    </w:p>
    <w:p w:rsidR="001059F5" w:rsidRPr="000A0A5F" w:rsidRDefault="001059F5" w:rsidP="001059F5">
      <w:pPr>
        <w:pStyle w:val="PL"/>
      </w:pPr>
      <w:r w:rsidRPr="000A0A5F">
        <w:t xml:space="preserve">      </w:t>
      </w:r>
      <w:r w:rsidRPr="000A0A5F">
        <w:rPr>
          <w:rFonts w:cs="Courier New"/>
          <w:szCs w:val="16"/>
        </w:rPr>
        <w:t>operationId: Create</w:t>
      </w:r>
      <w:r w:rsidRPr="000A0A5F">
        <w:rPr>
          <w:rFonts w:hint="eastAsia"/>
          <w:lang w:eastAsia="zh-CN"/>
        </w:rPr>
        <w:t>PFDManagement</w:t>
      </w:r>
      <w:r w:rsidRPr="000A0A5F">
        <w:t>Transaction</w:t>
      </w:r>
    </w:p>
    <w:p w:rsidR="001059F5" w:rsidRPr="000A0A5F" w:rsidRDefault="001059F5" w:rsidP="001059F5">
      <w:pPr>
        <w:pStyle w:val="PL"/>
      </w:pPr>
      <w:r w:rsidRPr="000A0A5F">
        <w:t xml:space="preserve">      tags:</w:t>
      </w:r>
    </w:p>
    <w:p w:rsidR="001059F5" w:rsidRPr="000A0A5F" w:rsidRDefault="001059F5" w:rsidP="001059F5">
      <w:pPr>
        <w:pStyle w:val="PL"/>
      </w:pPr>
      <w:r w:rsidRPr="000A0A5F">
        <w:t xml:space="preserve">        - </w:t>
      </w:r>
      <w:r w:rsidRPr="000A0A5F">
        <w:rPr>
          <w:rFonts w:hint="eastAsia"/>
          <w:lang w:eastAsia="zh-CN"/>
        </w:rPr>
        <w:t xml:space="preserve">PFD Management </w:t>
      </w:r>
      <w:r w:rsidRPr="000A0A5F">
        <w:t>Transactions</w:t>
      </w:r>
    </w:p>
    <w:p w:rsidR="00CB0DD7" w:rsidRPr="000A0A5F" w:rsidRDefault="00CB0DD7">
      <w:pPr>
        <w:pStyle w:val="PL"/>
      </w:pPr>
      <w:r w:rsidRPr="000A0A5F">
        <w:t xml:space="preserve">      requestBody:</w:t>
      </w:r>
    </w:p>
    <w:p w:rsidR="00CB0DD7" w:rsidRPr="000A0A5F" w:rsidRDefault="00CB0DD7">
      <w:pPr>
        <w:pStyle w:val="PL"/>
      </w:pPr>
      <w:r w:rsidRPr="000A0A5F">
        <w:t xml:space="preserve">        required: true</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application/json:</w:t>
      </w:r>
    </w:p>
    <w:p w:rsidR="00CB0DD7" w:rsidRPr="000A0A5F" w:rsidRDefault="00CB0DD7">
      <w:pPr>
        <w:pStyle w:val="PL"/>
      </w:pPr>
      <w:r w:rsidRPr="000A0A5F">
        <w:t xml:space="preserve">            schema:</w:t>
      </w:r>
    </w:p>
    <w:p w:rsidR="00CB0DD7" w:rsidRPr="000A0A5F" w:rsidRDefault="00CB0DD7">
      <w:pPr>
        <w:pStyle w:val="PL"/>
      </w:pPr>
      <w:r w:rsidRPr="000A0A5F">
        <w:t xml:space="preserve">              $ref: '#/components/schemas/PfdManagement'</w:t>
      </w:r>
    </w:p>
    <w:p w:rsidR="00CB0DD7" w:rsidRPr="000A0A5F" w:rsidRDefault="00CB0DD7">
      <w:pPr>
        <w:pStyle w:val="PL"/>
      </w:pPr>
      <w:r w:rsidRPr="000A0A5F">
        <w:t xml:space="preserve">        description: Create a new transaction for PFD management.</w:t>
      </w:r>
    </w:p>
    <w:p w:rsidR="00CB0DD7" w:rsidRPr="000A0A5F" w:rsidRDefault="00CB0DD7">
      <w:pPr>
        <w:pStyle w:val="PL"/>
      </w:pPr>
      <w:r w:rsidRPr="000A0A5F">
        <w:t xml:space="preserve">      responses:</w:t>
      </w:r>
    </w:p>
    <w:p w:rsidR="00CB0DD7" w:rsidRPr="000A0A5F" w:rsidRDefault="00CB0DD7">
      <w:pPr>
        <w:pStyle w:val="PL"/>
      </w:pPr>
      <w:r w:rsidRPr="000A0A5F">
        <w:t xml:space="preserve">        '201':</w:t>
      </w:r>
    </w:p>
    <w:p w:rsidR="00667EFF" w:rsidRPr="000A0A5F" w:rsidRDefault="00CB0DD7">
      <w:pPr>
        <w:pStyle w:val="PL"/>
      </w:pPr>
      <w:r w:rsidRPr="000A0A5F">
        <w:t xml:space="preserve">          description: </w:t>
      </w:r>
      <w:r w:rsidR="00667EFF" w:rsidRPr="000A0A5F">
        <w:t>&gt;</w:t>
      </w:r>
    </w:p>
    <w:p w:rsidR="00B93E99" w:rsidRPr="000A0A5F" w:rsidRDefault="00B93E99" w:rsidP="00B93E99">
      <w:pPr>
        <w:pStyle w:val="PL"/>
      </w:pPr>
      <w:r w:rsidRPr="000A0A5F">
        <w:t xml:space="preserve">            Created. The transaction was created successfully. The SCEF </w:t>
      </w:r>
      <w:r w:rsidRPr="000A0A5F">
        <w:rPr>
          <w:lang w:eastAsia="zh-CN"/>
        </w:rPr>
        <w:t>shall</w:t>
      </w:r>
      <w:r w:rsidRPr="000A0A5F">
        <w:t xml:space="preserve"> return the created</w:t>
      </w:r>
    </w:p>
    <w:p w:rsidR="00B93E99" w:rsidRPr="000A0A5F" w:rsidRDefault="00B93E99" w:rsidP="00B93E99">
      <w:pPr>
        <w:pStyle w:val="PL"/>
      </w:pPr>
      <w:r w:rsidRPr="000A0A5F">
        <w:t xml:space="preserve">            transaction in the response content. PfdReport may be included to provide detailed</w:t>
      </w:r>
    </w:p>
    <w:p w:rsidR="00CB0DD7" w:rsidRPr="000A0A5F" w:rsidRDefault="00667EFF">
      <w:pPr>
        <w:pStyle w:val="PL"/>
      </w:pPr>
      <w:r w:rsidRPr="000A0A5F">
        <w:t xml:space="preserve">           </w:t>
      </w:r>
      <w:r w:rsidR="00CB0DD7" w:rsidRPr="000A0A5F">
        <w:t xml:space="preserve"> failure information for some applications.</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application/json:</w:t>
      </w:r>
    </w:p>
    <w:p w:rsidR="00CB0DD7" w:rsidRPr="000A0A5F" w:rsidRDefault="00CB0DD7">
      <w:pPr>
        <w:pStyle w:val="PL"/>
      </w:pPr>
      <w:r w:rsidRPr="000A0A5F">
        <w:t xml:space="preserve">              schema:</w:t>
      </w:r>
    </w:p>
    <w:p w:rsidR="00CB0DD7" w:rsidRPr="000A0A5F" w:rsidRDefault="00CB0DD7">
      <w:pPr>
        <w:pStyle w:val="PL"/>
        <w:rPr>
          <w:lang w:eastAsia="zh-CN"/>
        </w:rPr>
      </w:pPr>
      <w:r w:rsidRPr="000A0A5F">
        <w:t xml:space="preserve">                $ref: '#/components/schemas/PfdManagement</w:t>
      </w:r>
      <w:r w:rsidRPr="000A0A5F">
        <w:rPr>
          <w:lang w:eastAsia="zh-CN"/>
        </w:rPr>
        <w:t>'</w:t>
      </w:r>
    </w:p>
    <w:p w:rsidR="00CB0DD7" w:rsidRPr="000A0A5F" w:rsidRDefault="00CB0DD7">
      <w:pPr>
        <w:pStyle w:val="PL"/>
      </w:pPr>
      <w:r w:rsidRPr="000A0A5F">
        <w:t xml:space="preserve">          headers:</w:t>
      </w:r>
    </w:p>
    <w:p w:rsidR="00CB0DD7" w:rsidRPr="000A0A5F" w:rsidRDefault="00CB0DD7">
      <w:pPr>
        <w:pStyle w:val="PL"/>
      </w:pPr>
      <w:r w:rsidRPr="000A0A5F">
        <w:t xml:space="preserve">            Location:</w:t>
      </w:r>
    </w:p>
    <w:p w:rsidR="00CB0DD7" w:rsidRPr="000A0A5F" w:rsidRDefault="00CB0DD7">
      <w:pPr>
        <w:pStyle w:val="PL"/>
      </w:pPr>
      <w:r w:rsidRPr="000A0A5F">
        <w:t xml:space="preserve">              description: 'Contains the URI of the newly created resource'</w:t>
      </w:r>
    </w:p>
    <w:p w:rsidR="00CB0DD7" w:rsidRPr="000A0A5F" w:rsidRDefault="00CB0DD7">
      <w:pPr>
        <w:pStyle w:val="PL"/>
      </w:pPr>
      <w:r w:rsidRPr="000A0A5F">
        <w:t xml:space="preserve">              required: true</w:t>
      </w:r>
    </w:p>
    <w:p w:rsidR="00CB0DD7" w:rsidRPr="000A0A5F" w:rsidRDefault="00CB0DD7">
      <w:pPr>
        <w:pStyle w:val="PL"/>
      </w:pPr>
      <w:r w:rsidRPr="000A0A5F">
        <w:t xml:space="preserve">              schema:</w:t>
      </w:r>
    </w:p>
    <w:p w:rsidR="00CB0DD7" w:rsidRPr="000A0A5F" w:rsidRDefault="00CB0DD7">
      <w:pPr>
        <w:pStyle w:val="PL"/>
      </w:pPr>
      <w:r w:rsidRPr="000A0A5F">
        <w:t xml:space="preserve">                type: string</w:t>
      </w:r>
    </w:p>
    <w:p w:rsidR="00CB0DD7" w:rsidRPr="000A0A5F" w:rsidRDefault="00CB0DD7">
      <w:pPr>
        <w:pStyle w:val="PL"/>
        <w:rPr>
          <w:lang w:eastAsia="zh-CN"/>
        </w:rPr>
      </w:pPr>
      <w:r w:rsidRPr="000A0A5F">
        <w:rPr>
          <w:lang w:eastAsia="zh-CN"/>
        </w:rPr>
        <w:t xml:space="preserve">        '400':</w:t>
      </w:r>
    </w:p>
    <w:p w:rsidR="00CB0DD7" w:rsidRPr="000A0A5F" w:rsidRDefault="00CB0DD7">
      <w:pPr>
        <w:pStyle w:val="PL"/>
        <w:rPr>
          <w:lang w:eastAsia="zh-CN"/>
        </w:rPr>
      </w:pPr>
      <w:r w:rsidRPr="000A0A5F">
        <w:rPr>
          <w:lang w:eastAsia="zh-CN"/>
        </w:rPr>
        <w:t xml:space="preserve">          $ref: 'TS29122_CommonData.yaml#/components/responses/400'</w:t>
      </w:r>
    </w:p>
    <w:p w:rsidR="00CB0DD7" w:rsidRPr="000A0A5F" w:rsidRDefault="00CB0DD7">
      <w:pPr>
        <w:pStyle w:val="PL"/>
        <w:rPr>
          <w:lang w:eastAsia="zh-CN"/>
        </w:rPr>
      </w:pPr>
      <w:r w:rsidRPr="000A0A5F">
        <w:rPr>
          <w:lang w:eastAsia="zh-CN"/>
        </w:rPr>
        <w:t xml:space="preserve">        '401':</w:t>
      </w:r>
    </w:p>
    <w:p w:rsidR="00CB0DD7" w:rsidRPr="000A0A5F" w:rsidRDefault="00CB0DD7">
      <w:pPr>
        <w:pStyle w:val="PL"/>
        <w:rPr>
          <w:lang w:eastAsia="zh-CN"/>
        </w:rPr>
      </w:pPr>
      <w:r w:rsidRPr="000A0A5F">
        <w:rPr>
          <w:lang w:eastAsia="zh-CN"/>
        </w:rPr>
        <w:t xml:space="preserve">          $ref: 'TS29122_CommonData.yaml#/components/responses/401'</w:t>
      </w:r>
    </w:p>
    <w:p w:rsidR="00CB0DD7" w:rsidRPr="000A0A5F" w:rsidRDefault="00CB0DD7">
      <w:pPr>
        <w:pStyle w:val="PL"/>
        <w:rPr>
          <w:lang w:eastAsia="zh-CN"/>
        </w:rPr>
      </w:pPr>
      <w:r w:rsidRPr="000A0A5F">
        <w:rPr>
          <w:lang w:eastAsia="zh-CN"/>
        </w:rPr>
        <w:t xml:space="preserve">        '403':</w:t>
      </w:r>
    </w:p>
    <w:p w:rsidR="00CB0DD7" w:rsidRPr="000A0A5F" w:rsidRDefault="00CB0DD7">
      <w:pPr>
        <w:pStyle w:val="PL"/>
        <w:rPr>
          <w:lang w:eastAsia="zh-CN"/>
        </w:rPr>
      </w:pPr>
      <w:r w:rsidRPr="000A0A5F">
        <w:rPr>
          <w:lang w:eastAsia="zh-CN"/>
        </w:rPr>
        <w:t xml:space="preserve">          $ref: 'TS29122_CommonData.yaml#/components/responses/403'</w:t>
      </w:r>
    </w:p>
    <w:p w:rsidR="00CB0DD7" w:rsidRPr="000A0A5F" w:rsidRDefault="00CB0DD7">
      <w:pPr>
        <w:pStyle w:val="PL"/>
        <w:rPr>
          <w:lang w:eastAsia="zh-CN"/>
        </w:rPr>
      </w:pPr>
      <w:r w:rsidRPr="000A0A5F">
        <w:rPr>
          <w:lang w:eastAsia="zh-CN"/>
        </w:rPr>
        <w:t xml:space="preserve">        '404':</w:t>
      </w:r>
    </w:p>
    <w:p w:rsidR="00CB0DD7" w:rsidRPr="000A0A5F" w:rsidRDefault="00CB0DD7">
      <w:pPr>
        <w:pStyle w:val="PL"/>
        <w:rPr>
          <w:lang w:eastAsia="zh-CN"/>
        </w:rPr>
      </w:pPr>
      <w:r w:rsidRPr="000A0A5F">
        <w:rPr>
          <w:lang w:eastAsia="zh-CN"/>
        </w:rPr>
        <w:t xml:space="preserve">          $ref: 'TS29122_CommonData.yaml#/components/responses/404'</w:t>
      </w:r>
    </w:p>
    <w:p w:rsidR="00CB0DD7" w:rsidRPr="000A0A5F" w:rsidRDefault="00CB0DD7">
      <w:pPr>
        <w:pStyle w:val="PL"/>
        <w:rPr>
          <w:lang w:eastAsia="zh-CN"/>
        </w:rPr>
      </w:pPr>
      <w:r w:rsidRPr="000A0A5F">
        <w:rPr>
          <w:lang w:eastAsia="zh-CN"/>
        </w:rPr>
        <w:t xml:space="preserve">        '411':</w:t>
      </w:r>
    </w:p>
    <w:p w:rsidR="00CB0DD7" w:rsidRPr="000A0A5F" w:rsidRDefault="00CB0DD7">
      <w:pPr>
        <w:pStyle w:val="PL"/>
        <w:rPr>
          <w:lang w:eastAsia="zh-CN"/>
        </w:rPr>
      </w:pPr>
      <w:r w:rsidRPr="000A0A5F">
        <w:rPr>
          <w:lang w:eastAsia="zh-CN"/>
        </w:rPr>
        <w:t xml:space="preserve">          $ref: 'TS29122_CommonData.yaml#/components/responses/411'</w:t>
      </w:r>
    </w:p>
    <w:p w:rsidR="00CB0DD7" w:rsidRPr="000A0A5F" w:rsidRDefault="00CB0DD7">
      <w:pPr>
        <w:pStyle w:val="PL"/>
        <w:rPr>
          <w:lang w:eastAsia="zh-CN"/>
        </w:rPr>
      </w:pPr>
      <w:r w:rsidRPr="000A0A5F">
        <w:rPr>
          <w:lang w:eastAsia="zh-CN"/>
        </w:rPr>
        <w:t xml:space="preserve">        '413':</w:t>
      </w:r>
    </w:p>
    <w:p w:rsidR="00CB0DD7" w:rsidRPr="000A0A5F" w:rsidRDefault="00CB0DD7">
      <w:pPr>
        <w:pStyle w:val="PL"/>
        <w:rPr>
          <w:rFonts w:hint="eastAsia"/>
          <w:lang w:eastAsia="zh-CN"/>
        </w:rPr>
      </w:pPr>
      <w:r w:rsidRPr="000A0A5F">
        <w:rPr>
          <w:lang w:eastAsia="zh-CN"/>
        </w:rPr>
        <w:t xml:space="preserve">          $ref: 'TS29122_CommonData.yaml#/components/responses/413'</w:t>
      </w:r>
    </w:p>
    <w:p w:rsidR="00CB0DD7" w:rsidRPr="000A0A5F" w:rsidRDefault="00CB0DD7">
      <w:pPr>
        <w:pStyle w:val="PL"/>
      </w:pPr>
      <w:r w:rsidRPr="000A0A5F">
        <w:t xml:space="preserve">        '415':</w:t>
      </w:r>
    </w:p>
    <w:p w:rsidR="00CB0DD7" w:rsidRPr="000A0A5F" w:rsidRDefault="00CB0DD7">
      <w:pPr>
        <w:pStyle w:val="PL"/>
      </w:pPr>
      <w:r w:rsidRPr="000A0A5F">
        <w:t xml:space="preserve">          $ref: 'TS29122_CommonData.yaml#/components/responses/415'</w:t>
      </w:r>
    </w:p>
    <w:p w:rsidR="00CB0DD7" w:rsidRPr="000A0A5F" w:rsidRDefault="00CB0DD7">
      <w:pPr>
        <w:pStyle w:val="PL"/>
      </w:pPr>
      <w:r w:rsidRPr="000A0A5F">
        <w:t xml:space="preserve">        '429':</w:t>
      </w:r>
    </w:p>
    <w:p w:rsidR="00CB0DD7" w:rsidRPr="000A0A5F" w:rsidRDefault="00CB0DD7">
      <w:pPr>
        <w:pStyle w:val="PL"/>
      </w:pPr>
      <w:r w:rsidRPr="000A0A5F">
        <w:t xml:space="preserve">          $ref: 'TS29122_CommonData.yaml#/components/responses/429'</w:t>
      </w:r>
    </w:p>
    <w:p w:rsidR="00CB0DD7" w:rsidRPr="000A0A5F" w:rsidRDefault="00CB0DD7">
      <w:pPr>
        <w:pStyle w:val="PL"/>
      </w:pPr>
      <w:r w:rsidRPr="000A0A5F">
        <w:t xml:space="preserve">        '500':</w:t>
      </w:r>
    </w:p>
    <w:p w:rsidR="00667EFF" w:rsidRPr="000A0A5F" w:rsidRDefault="00CB0DD7">
      <w:pPr>
        <w:pStyle w:val="PL"/>
      </w:pPr>
      <w:r w:rsidRPr="000A0A5F">
        <w:t xml:space="preserve">          description: </w:t>
      </w:r>
      <w:r w:rsidR="00667EFF" w:rsidRPr="000A0A5F">
        <w:t>&gt;</w:t>
      </w:r>
    </w:p>
    <w:p w:rsidR="00667EFF" w:rsidRPr="000A0A5F" w:rsidRDefault="00667EFF">
      <w:pPr>
        <w:pStyle w:val="PL"/>
      </w:pPr>
      <w:r w:rsidRPr="000A0A5F">
        <w:t xml:space="preserve">            </w:t>
      </w:r>
      <w:r w:rsidR="00CB0DD7" w:rsidRPr="000A0A5F">
        <w:t>The PFDs for all applications were not created successfully. PfdReport is included with</w:t>
      </w:r>
    </w:p>
    <w:p w:rsidR="00CB0DD7" w:rsidRPr="000A0A5F" w:rsidRDefault="00667EFF">
      <w:pPr>
        <w:pStyle w:val="PL"/>
      </w:pPr>
      <w:r w:rsidRPr="000A0A5F">
        <w:t xml:space="preserve">           </w:t>
      </w:r>
      <w:r w:rsidR="00CB0DD7" w:rsidRPr="000A0A5F">
        <w:t xml:space="preserve"> detailed information.</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application/json:</w:t>
      </w:r>
    </w:p>
    <w:p w:rsidR="00CB0DD7" w:rsidRPr="000A0A5F" w:rsidRDefault="00CB0DD7">
      <w:pPr>
        <w:pStyle w:val="PL"/>
      </w:pPr>
      <w:r w:rsidRPr="000A0A5F">
        <w:t xml:space="preserve">              schema:</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$ref: '#/components/schemas/PfdReport</w:t>
      </w:r>
      <w:r w:rsidRPr="000A0A5F">
        <w:rPr>
          <w:lang w:eastAsia="zh-CN"/>
        </w:rPr>
        <w:t>'</w:t>
      </w:r>
    </w:p>
    <w:p w:rsidR="00CB0DD7" w:rsidRPr="000A0A5F" w:rsidRDefault="00CB0DD7">
      <w:pPr>
        <w:pStyle w:val="PL"/>
      </w:pPr>
      <w:r w:rsidRPr="000A0A5F">
        <w:t xml:space="preserve">                minItems: 1</w:t>
      </w:r>
    </w:p>
    <w:p w:rsidR="00CB0DD7" w:rsidRPr="000A0A5F" w:rsidRDefault="00CB0DD7">
      <w:pPr>
        <w:pStyle w:val="PL"/>
      </w:pPr>
      <w:r w:rsidRPr="000A0A5F">
        <w:t xml:space="preserve">            application/problem+json:</w:t>
      </w:r>
    </w:p>
    <w:p w:rsidR="00CB0DD7" w:rsidRPr="000A0A5F" w:rsidRDefault="00CB0DD7">
      <w:pPr>
        <w:pStyle w:val="PL"/>
      </w:pPr>
      <w:r w:rsidRPr="000A0A5F">
        <w:t xml:space="preserve">              schema:</w:t>
      </w:r>
    </w:p>
    <w:p w:rsidR="00CB0DD7" w:rsidRPr="000A0A5F" w:rsidRDefault="00CB0DD7">
      <w:pPr>
        <w:pStyle w:val="PL"/>
        <w:rPr>
          <w:lang w:eastAsia="zh-CN"/>
        </w:rPr>
      </w:pPr>
      <w:r w:rsidRPr="000A0A5F">
        <w:rPr>
          <w:lang w:eastAsia="zh-CN"/>
        </w:rPr>
        <w:t xml:space="preserve">                $ref: '</w:t>
      </w:r>
      <w:r w:rsidRPr="000A0A5F">
        <w:t>TS29122_CommonData.yaml</w:t>
      </w:r>
      <w:r w:rsidRPr="000A0A5F">
        <w:rPr>
          <w:lang w:eastAsia="zh-CN"/>
        </w:rPr>
        <w:t>#/components/schemas/ProblemDetails'</w:t>
      </w:r>
    </w:p>
    <w:p w:rsidR="00CB0DD7" w:rsidRPr="000A0A5F" w:rsidRDefault="00CB0DD7">
      <w:pPr>
        <w:pStyle w:val="PL"/>
        <w:rPr>
          <w:lang w:eastAsia="zh-CN"/>
        </w:rPr>
      </w:pPr>
      <w:r w:rsidRPr="000A0A5F">
        <w:rPr>
          <w:lang w:eastAsia="zh-CN"/>
        </w:rPr>
        <w:t xml:space="preserve">        '503':</w:t>
      </w:r>
    </w:p>
    <w:p w:rsidR="00CB0DD7" w:rsidRPr="000A0A5F" w:rsidRDefault="00CB0DD7">
      <w:pPr>
        <w:pStyle w:val="PL"/>
        <w:rPr>
          <w:lang w:eastAsia="zh-CN"/>
        </w:rPr>
      </w:pPr>
      <w:r w:rsidRPr="000A0A5F">
        <w:rPr>
          <w:lang w:eastAsia="zh-CN"/>
        </w:rPr>
        <w:t xml:space="preserve">          $ref: 'TS29122_CommonData.yaml#/components/responses/503'</w:t>
      </w:r>
    </w:p>
    <w:p w:rsidR="00CB0DD7" w:rsidRPr="000A0A5F" w:rsidRDefault="00CB0DD7">
      <w:pPr>
        <w:pStyle w:val="PL"/>
        <w:rPr>
          <w:lang w:eastAsia="zh-CN"/>
        </w:rPr>
      </w:pPr>
      <w:r w:rsidRPr="000A0A5F">
        <w:rPr>
          <w:lang w:eastAsia="zh-CN"/>
        </w:rPr>
        <w:t xml:space="preserve">        default:</w:t>
      </w:r>
    </w:p>
    <w:p w:rsidR="00CB0DD7" w:rsidRPr="000A0A5F" w:rsidRDefault="00CB0DD7">
      <w:pPr>
        <w:pStyle w:val="PL"/>
        <w:rPr>
          <w:lang w:eastAsia="zh-CN"/>
        </w:rPr>
      </w:pPr>
      <w:r w:rsidRPr="000A0A5F">
        <w:rPr>
          <w:lang w:eastAsia="zh-CN"/>
        </w:rPr>
        <w:t xml:space="preserve">          $ref: 'TS29122_CommonData.yaml#/components/responses/default'</w:t>
      </w:r>
    </w:p>
    <w:p w:rsidR="00CB0DD7" w:rsidRPr="000A0A5F" w:rsidRDefault="00CB0DD7">
      <w:pPr>
        <w:pStyle w:val="PL"/>
      </w:pPr>
      <w:r w:rsidRPr="000A0A5F">
        <w:t xml:space="preserve">      callbacks:</w:t>
      </w:r>
    </w:p>
    <w:p w:rsidR="00CB0DD7" w:rsidRPr="000A0A5F" w:rsidRDefault="00CB0DD7">
      <w:pPr>
        <w:pStyle w:val="PL"/>
        <w:rPr>
          <w:lang w:val="fr-FR"/>
        </w:rPr>
      </w:pPr>
      <w:r w:rsidRPr="000A0A5F">
        <w:t xml:space="preserve">        </w:t>
      </w:r>
      <w:r w:rsidRPr="000A0A5F">
        <w:rPr>
          <w:lang w:val="fr-FR"/>
        </w:rPr>
        <w:t>notificationDestination:</w:t>
      </w:r>
    </w:p>
    <w:p w:rsidR="00CB0DD7" w:rsidRPr="000A0A5F" w:rsidRDefault="00CB0DD7">
      <w:pPr>
        <w:pStyle w:val="PL"/>
        <w:rPr>
          <w:lang w:val="fr-FR"/>
        </w:rPr>
      </w:pPr>
      <w:r w:rsidRPr="000A0A5F">
        <w:rPr>
          <w:lang w:val="fr-FR"/>
        </w:rPr>
        <w:t xml:space="preserve">          '{request.body#/notificationDestination}':</w:t>
      </w:r>
    </w:p>
    <w:p w:rsidR="00CB0DD7" w:rsidRPr="000A0A5F" w:rsidRDefault="00CB0DD7">
      <w:pPr>
        <w:pStyle w:val="PL"/>
      </w:pPr>
      <w:r w:rsidRPr="000A0A5F">
        <w:rPr>
          <w:lang w:val="fr-FR"/>
        </w:rPr>
        <w:t xml:space="preserve">            </w:t>
      </w:r>
      <w:r w:rsidRPr="000A0A5F">
        <w:t>post:</w:t>
      </w:r>
    </w:p>
    <w:p w:rsidR="00CB0DD7" w:rsidRPr="000A0A5F" w:rsidRDefault="00CB0DD7">
      <w:pPr>
        <w:pStyle w:val="PL"/>
      </w:pPr>
      <w:r w:rsidRPr="000A0A5F">
        <w:t xml:space="preserve">              requestBody:  # contents of the callback message</w:t>
      </w:r>
    </w:p>
    <w:p w:rsidR="00CB0DD7" w:rsidRPr="000A0A5F" w:rsidRDefault="00CB0DD7">
      <w:pPr>
        <w:pStyle w:val="PL"/>
      </w:pPr>
      <w:r w:rsidRPr="000A0A5F">
        <w:t xml:space="preserve">                required: true</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application/json:</w:t>
      </w:r>
    </w:p>
    <w:p w:rsidR="00CB0DD7" w:rsidRPr="000A0A5F" w:rsidRDefault="00CB0DD7">
      <w:pPr>
        <w:pStyle w:val="PL"/>
      </w:pPr>
      <w:r w:rsidRPr="000A0A5F">
        <w:t xml:space="preserve">                    schema:</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$ref: '#/components/schemas/PfdReport'</w:t>
      </w:r>
    </w:p>
    <w:p w:rsidR="00CB0DD7" w:rsidRPr="000A0A5F" w:rsidRDefault="00CB0DD7">
      <w:pPr>
        <w:pStyle w:val="PL"/>
      </w:pPr>
      <w:r w:rsidRPr="000A0A5F">
        <w:t xml:space="preserve">                      minItems: 1</w:t>
      </w:r>
    </w:p>
    <w:p w:rsidR="00CB0DD7" w:rsidRPr="000A0A5F" w:rsidRDefault="00CB0DD7">
      <w:pPr>
        <w:pStyle w:val="PL"/>
      </w:pPr>
      <w:r w:rsidRPr="000A0A5F">
        <w:t xml:space="preserve">              responses:</w:t>
      </w:r>
    </w:p>
    <w:p w:rsidR="00CB0DD7" w:rsidRPr="000A0A5F" w:rsidRDefault="00CB0DD7">
      <w:pPr>
        <w:pStyle w:val="PL"/>
      </w:pPr>
      <w:r w:rsidRPr="000A0A5F">
        <w:t xml:space="preserve">                '204':</w:t>
      </w:r>
    </w:p>
    <w:p w:rsidR="00CB0DD7" w:rsidRPr="000A0A5F" w:rsidRDefault="00CB0DD7">
      <w:pPr>
        <w:pStyle w:val="PL"/>
      </w:pPr>
      <w:r w:rsidRPr="000A0A5F">
        <w:t xml:space="preserve">                  description: No Content (successful notification)</w:t>
      </w:r>
    </w:p>
    <w:p w:rsidR="00CB0DD7" w:rsidRPr="000A0A5F" w:rsidRDefault="00CB0DD7">
      <w:pPr>
        <w:pStyle w:val="PL"/>
      </w:pPr>
      <w:r w:rsidRPr="000A0A5F">
        <w:t xml:space="preserve">                '307':</w:t>
      </w:r>
    </w:p>
    <w:p w:rsidR="00CB0DD7" w:rsidRPr="000A0A5F" w:rsidRDefault="00CB0DD7">
      <w:pPr>
        <w:pStyle w:val="PL"/>
      </w:pPr>
      <w:r w:rsidRPr="000A0A5F">
        <w:t xml:space="preserve">                  $ref: 'TS29122_CommonData.yaml#/components/responses/307'</w:t>
      </w:r>
    </w:p>
    <w:p w:rsidR="00CB0DD7" w:rsidRPr="000A0A5F" w:rsidRDefault="00CB0DD7">
      <w:pPr>
        <w:pStyle w:val="PL"/>
      </w:pPr>
      <w:r w:rsidRPr="000A0A5F">
        <w:t xml:space="preserve">                '308':</w:t>
      </w:r>
    </w:p>
    <w:p w:rsidR="00CB0DD7" w:rsidRPr="000A0A5F" w:rsidRDefault="00CB0DD7">
      <w:pPr>
        <w:pStyle w:val="PL"/>
      </w:pPr>
      <w:r w:rsidRPr="000A0A5F">
        <w:t xml:space="preserve">                  $ref: 'TS29122_CommonData.yaml#/components/responses/308'</w:t>
      </w:r>
    </w:p>
    <w:p w:rsidR="00CB0DD7" w:rsidRPr="000A0A5F" w:rsidRDefault="00CB0DD7">
      <w:pPr>
        <w:pStyle w:val="PL"/>
      </w:pPr>
      <w:r w:rsidRPr="000A0A5F">
        <w:t xml:space="preserve">                '400':</w:t>
      </w:r>
    </w:p>
    <w:p w:rsidR="00CB0DD7" w:rsidRPr="000A0A5F" w:rsidRDefault="00CB0DD7">
      <w:pPr>
        <w:pStyle w:val="PL"/>
      </w:pPr>
      <w:r w:rsidRPr="000A0A5F">
        <w:t xml:space="preserve">                  $ref: 'TS29122_CommonData.yaml#/components/responses/400'</w:t>
      </w:r>
    </w:p>
    <w:p w:rsidR="00CB0DD7" w:rsidRPr="000A0A5F" w:rsidRDefault="00CB0DD7">
      <w:pPr>
        <w:pStyle w:val="PL"/>
      </w:pPr>
      <w:r w:rsidRPr="000A0A5F">
        <w:t xml:space="preserve">                '401':</w:t>
      </w:r>
    </w:p>
    <w:p w:rsidR="00CB0DD7" w:rsidRPr="000A0A5F" w:rsidRDefault="00CB0DD7">
      <w:pPr>
        <w:pStyle w:val="PL"/>
      </w:pPr>
      <w:r w:rsidRPr="000A0A5F">
        <w:t xml:space="preserve">                  $ref: 'TS29122_CommonData.yaml#/components/responses/401'</w:t>
      </w:r>
    </w:p>
    <w:p w:rsidR="00CB0DD7" w:rsidRPr="000A0A5F" w:rsidRDefault="00CB0DD7">
      <w:pPr>
        <w:pStyle w:val="PL"/>
      </w:pPr>
      <w:r w:rsidRPr="000A0A5F">
        <w:t xml:space="preserve">                '403':</w:t>
      </w:r>
    </w:p>
    <w:p w:rsidR="00CB0DD7" w:rsidRPr="000A0A5F" w:rsidRDefault="00CB0DD7">
      <w:pPr>
        <w:pStyle w:val="PL"/>
      </w:pPr>
      <w:r w:rsidRPr="000A0A5F">
        <w:t xml:space="preserve">                  $ref: 'TS29122_CommonData.yaml#/components/responses/403'</w:t>
      </w:r>
    </w:p>
    <w:p w:rsidR="00CB0DD7" w:rsidRPr="000A0A5F" w:rsidRDefault="00CB0DD7">
      <w:pPr>
        <w:pStyle w:val="PL"/>
      </w:pPr>
      <w:r w:rsidRPr="000A0A5F">
        <w:t xml:space="preserve">                '404':</w:t>
      </w:r>
    </w:p>
    <w:p w:rsidR="00CB0DD7" w:rsidRPr="000A0A5F" w:rsidRDefault="00CB0DD7">
      <w:pPr>
        <w:pStyle w:val="PL"/>
      </w:pPr>
      <w:r w:rsidRPr="000A0A5F">
        <w:t xml:space="preserve">                  $ref: 'TS29122_CommonData.yaml#/components/responses/404'</w:t>
      </w:r>
    </w:p>
    <w:p w:rsidR="00CB0DD7" w:rsidRPr="000A0A5F" w:rsidRDefault="00CB0DD7">
      <w:pPr>
        <w:pStyle w:val="PL"/>
      </w:pPr>
      <w:r w:rsidRPr="000A0A5F">
        <w:t xml:space="preserve">                '411':</w:t>
      </w:r>
    </w:p>
    <w:p w:rsidR="00CB0DD7" w:rsidRPr="000A0A5F" w:rsidRDefault="00CB0DD7">
      <w:pPr>
        <w:pStyle w:val="PL"/>
      </w:pPr>
      <w:r w:rsidRPr="000A0A5F">
        <w:t xml:space="preserve">                  $ref: 'TS29122_CommonData.yaml#/components/responses/411'</w:t>
      </w:r>
    </w:p>
    <w:p w:rsidR="00CB0DD7" w:rsidRPr="000A0A5F" w:rsidRDefault="00CB0DD7">
      <w:pPr>
        <w:pStyle w:val="PL"/>
      </w:pPr>
      <w:r w:rsidRPr="000A0A5F">
        <w:t xml:space="preserve">                '413':</w:t>
      </w:r>
    </w:p>
    <w:p w:rsidR="00CB0DD7" w:rsidRPr="000A0A5F" w:rsidRDefault="00CB0DD7">
      <w:pPr>
        <w:pStyle w:val="PL"/>
      </w:pPr>
      <w:r w:rsidRPr="000A0A5F">
        <w:t xml:space="preserve">                  $ref: 'TS29122_CommonData.yaml#/components/responses/413'</w:t>
      </w:r>
    </w:p>
    <w:p w:rsidR="00CB0DD7" w:rsidRPr="000A0A5F" w:rsidRDefault="00CB0DD7">
      <w:pPr>
        <w:pStyle w:val="PL"/>
      </w:pPr>
      <w:r w:rsidRPr="000A0A5F">
        <w:t xml:space="preserve">                '415':</w:t>
      </w:r>
    </w:p>
    <w:p w:rsidR="00CB0DD7" w:rsidRPr="000A0A5F" w:rsidRDefault="00CB0DD7">
      <w:pPr>
        <w:pStyle w:val="PL"/>
      </w:pPr>
      <w:r w:rsidRPr="000A0A5F">
        <w:t xml:space="preserve">                  $ref: 'TS29122_CommonData.yaml#/components/responses/415'</w:t>
      </w:r>
    </w:p>
    <w:p w:rsidR="00CB0DD7" w:rsidRPr="000A0A5F" w:rsidRDefault="00CB0DD7">
      <w:pPr>
        <w:pStyle w:val="PL"/>
      </w:pPr>
      <w:r w:rsidRPr="000A0A5F">
        <w:t xml:space="preserve">                '429':</w:t>
      </w:r>
    </w:p>
    <w:p w:rsidR="00CB0DD7" w:rsidRPr="000A0A5F" w:rsidRDefault="00CB0DD7">
      <w:pPr>
        <w:pStyle w:val="PL"/>
      </w:pPr>
      <w:r w:rsidRPr="000A0A5F">
        <w:t xml:space="preserve">                  $ref: 'TS29122_CommonData.yaml#/components/responses/429'</w:t>
      </w:r>
    </w:p>
    <w:p w:rsidR="00CB0DD7" w:rsidRPr="000A0A5F" w:rsidRDefault="00CB0DD7">
      <w:pPr>
        <w:pStyle w:val="PL"/>
      </w:pPr>
      <w:r w:rsidRPr="000A0A5F">
        <w:t xml:space="preserve">                '500':</w:t>
      </w:r>
    </w:p>
    <w:p w:rsidR="00CB0DD7" w:rsidRPr="000A0A5F" w:rsidRDefault="00CB0DD7">
      <w:pPr>
        <w:pStyle w:val="PL"/>
      </w:pPr>
      <w:r w:rsidRPr="000A0A5F">
        <w:t xml:space="preserve">                  $ref: 'TS29122_CommonData.yaml#/components/responses/500'</w:t>
      </w:r>
    </w:p>
    <w:p w:rsidR="00CB0DD7" w:rsidRPr="000A0A5F" w:rsidRDefault="00CB0DD7">
      <w:pPr>
        <w:pStyle w:val="PL"/>
      </w:pPr>
      <w:r w:rsidRPr="000A0A5F">
        <w:t xml:space="preserve">                '503':</w:t>
      </w:r>
    </w:p>
    <w:p w:rsidR="00CB0DD7" w:rsidRPr="000A0A5F" w:rsidRDefault="00CB0DD7">
      <w:pPr>
        <w:pStyle w:val="PL"/>
      </w:pPr>
      <w:r w:rsidRPr="000A0A5F">
        <w:t xml:space="preserve">                  $ref: 'TS29122_CommonData.yaml#/components/responses/503'</w:t>
      </w:r>
    </w:p>
    <w:p w:rsidR="00CB0DD7" w:rsidRPr="000A0A5F" w:rsidRDefault="00CB0DD7">
      <w:pPr>
        <w:pStyle w:val="PL"/>
      </w:pPr>
      <w:r w:rsidRPr="000A0A5F">
        <w:t xml:space="preserve">                default:</w:t>
      </w:r>
    </w:p>
    <w:p w:rsidR="00CB0DD7" w:rsidRPr="000A0A5F" w:rsidRDefault="00CB0DD7">
      <w:pPr>
        <w:pStyle w:val="PL"/>
      </w:pPr>
      <w:r w:rsidRPr="000A0A5F">
        <w:t xml:space="preserve">                  $ref: 'TS29122_CommonData.yaml#/components/responses/default'</w:t>
      </w:r>
    </w:p>
    <w:p w:rsidR="00CB0DD7" w:rsidRPr="000A0A5F" w:rsidRDefault="00CB0DD7">
      <w:pPr>
        <w:pStyle w:val="PL"/>
      </w:pPr>
      <w:r w:rsidRPr="000A0A5F">
        <w:t xml:space="preserve">  /{scsAsId}/transactions/{transactionId}:</w:t>
      </w:r>
    </w:p>
    <w:p w:rsidR="00CB0DD7" w:rsidRPr="000A0A5F" w:rsidRDefault="00CB0DD7">
      <w:pPr>
        <w:pStyle w:val="PL"/>
      </w:pPr>
      <w:r w:rsidRPr="000A0A5F">
        <w:t xml:space="preserve">    parameters:</w:t>
      </w:r>
    </w:p>
    <w:p w:rsidR="00CB0DD7" w:rsidRPr="000A0A5F" w:rsidRDefault="00CB0DD7">
      <w:pPr>
        <w:pStyle w:val="PL"/>
      </w:pPr>
      <w:r w:rsidRPr="000A0A5F">
        <w:t xml:space="preserve">      - name: scsAsId</w:t>
      </w:r>
    </w:p>
    <w:p w:rsidR="00CB0DD7" w:rsidRPr="000A0A5F" w:rsidRDefault="00CB0DD7">
      <w:pPr>
        <w:pStyle w:val="PL"/>
      </w:pPr>
      <w:r w:rsidRPr="000A0A5F">
        <w:t xml:space="preserve">        in: path</w:t>
      </w:r>
    </w:p>
    <w:p w:rsidR="00CB0DD7" w:rsidRPr="000A0A5F" w:rsidRDefault="00CB0DD7">
      <w:pPr>
        <w:pStyle w:val="PL"/>
      </w:pPr>
      <w:r w:rsidRPr="000A0A5F">
        <w:t xml:space="preserve">        description: Identifier of the SCS/AS as defined in clause 5.2.4 of 3GPP TS 29.122.</w:t>
      </w:r>
    </w:p>
    <w:p w:rsidR="00CB0DD7" w:rsidRPr="000A0A5F" w:rsidRDefault="00CB0DD7">
      <w:pPr>
        <w:pStyle w:val="PL"/>
      </w:pPr>
      <w:r w:rsidRPr="000A0A5F">
        <w:t xml:space="preserve">        required: true</w:t>
      </w:r>
    </w:p>
    <w:p w:rsidR="00CB0DD7" w:rsidRPr="000A0A5F" w:rsidRDefault="00CB0DD7">
      <w:pPr>
        <w:pStyle w:val="PL"/>
      </w:pPr>
      <w:r w:rsidRPr="000A0A5F">
        <w:t xml:space="preserve">        schema:</w:t>
      </w:r>
    </w:p>
    <w:p w:rsidR="00CB0DD7" w:rsidRPr="000A0A5F" w:rsidRDefault="00CB0DD7">
      <w:pPr>
        <w:pStyle w:val="PL"/>
      </w:pPr>
      <w:r w:rsidRPr="000A0A5F">
        <w:t xml:space="preserve">          type: string</w:t>
      </w:r>
    </w:p>
    <w:p w:rsidR="00CB0DD7" w:rsidRPr="000A0A5F" w:rsidRDefault="00CB0DD7">
      <w:pPr>
        <w:pStyle w:val="PL"/>
      </w:pPr>
      <w:r w:rsidRPr="000A0A5F">
        <w:t xml:space="preserve">      - name: transactionId</w:t>
      </w:r>
    </w:p>
    <w:p w:rsidR="00CB0DD7" w:rsidRPr="000A0A5F" w:rsidRDefault="00CB0DD7">
      <w:pPr>
        <w:pStyle w:val="PL"/>
      </w:pPr>
      <w:r w:rsidRPr="000A0A5F">
        <w:t xml:space="preserve">        in: path</w:t>
      </w:r>
    </w:p>
    <w:p w:rsidR="00CB0DD7" w:rsidRPr="000A0A5F" w:rsidRDefault="00CB0DD7">
      <w:pPr>
        <w:pStyle w:val="PL"/>
      </w:pPr>
      <w:r w:rsidRPr="000A0A5F">
        <w:t xml:space="preserve">        description: Transaction ID</w:t>
      </w:r>
    </w:p>
    <w:p w:rsidR="00CB0DD7" w:rsidRPr="000A0A5F" w:rsidRDefault="00CB0DD7">
      <w:pPr>
        <w:pStyle w:val="PL"/>
      </w:pPr>
      <w:r w:rsidRPr="000A0A5F">
        <w:t xml:space="preserve">        required: true</w:t>
      </w:r>
    </w:p>
    <w:p w:rsidR="00CB0DD7" w:rsidRPr="000A0A5F" w:rsidRDefault="00CB0DD7">
      <w:pPr>
        <w:pStyle w:val="PL"/>
      </w:pPr>
      <w:r w:rsidRPr="000A0A5F">
        <w:t xml:space="preserve">        schema:</w:t>
      </w:r>
    </w:p>
    <w:p w:rsidR="00CB0DD7" w:rsidRPr="000A0A5F" w:rsidRDefault="00CB0DD7">
      <w:pPr>
        <w:pStyle w:val="PL"/>
      </w:pPr>
      <w:r w:rsidRPr="000A0A5F">
        <w:t xml:space="preserve">          type: string</w:t>
      </w:r>
    </w:p>
    <w:p w:rsidR="00CB0DD7" w:rsidRPr="000A0A5F" w:rsidRDefault="00CB0DD7">
      <w:pPr>
        <w:pStyle w:val="PL"/>
      </w:pPr>
      <w:r w:rsidRPr="000A0A5F">
        <w:t xml:space="preserve">    get:</w:t>
      </w:r>
    </w:p>
    <w:p w:rsidR="001059F5" w:rsidRPr="000A0A5F" w:rsidRDefault="001059F5" w:rsidP="001059F5">
      <w:pPr>
        <w:pStyle w:val="PL"/>
      </w:pPr>
      <w:r w:rsidRPr="000A0A5F">
        <w:t xml:space="preserve">      summary: Read all PFDs for a given SCS/AS and a transaction </w:t>
      </w:r>
      <w:r w:rsidRPr="000A0A5F">
        <w:rPr>
          <w:lang w:eastAsia="zh-CN"/>
        </w:rPr>
        <w:t>for one or more external Application Identifier(s).</w:t>
      </w:r>
    </w:p>
    <w:p w:rsidR="001059F5" w:rsidRPr="000A0A5F" w:rsidRDefault="001059F5" w:rsidP="001059F5">
      <w:pPr>
        <w:pStyle w:val="PL"/>
      </w:pPr>
      <w:r w:rsidRPr="000A0A5F">
        <w:t xml:space="preserve">      </w:t>
      </w:r>
      <w:r w:rsidRPr="000A0A5F">
        <w:rPr>
          <w:rFonts w:cs="Courier New"/>
          <w:szCs w:val="16"/>
        </w:rPr>
        <w:t>operationId: FetchInd</w:t>
      </w:r>
      <w:r w:rsidRPr="000A0A5F">
        <w:rPr>
          <w:rFonts w:hint="eastAsia"/>
          <w:lang w:eastAsia="zh-CN"/>
        </w:rPr>
        <w:t>PFDManagement</w:t>
      </w:r>
      <w:r w:rsidRPr="000A0A5F">
        <w:t>Transaction</w:t>
      </w:r>
    </w:p>
    <w:p w:rsidR="001059F5" w:rsidRPr="000A0A5F" w:rsidRDefault="001059F5" w:rsidP="001059F5">
      <w:pPr>
        <w:pStyle w:val="PL"/>
      </w:pPr>
      <w:r w:rsidRPr="000A0A5F">
        <w:t xml:space="preserve">      tags:</w:t>
      </w:r>
    </w:p>
    <w:p w:rsidR="001059F5" w:rsidRPr="000A0A5F" w:rsidRDefault="001059F5" w:rsidP="001059F5">
      <w:pPr>
        <w:pStyle w:val="PL"/>
      </w:pPr>
      <w:r w:rsidRPr="000A0A5F">
        <w:t xml:space="preserve">        - </w:t>
      </w:r>
      <w:r w:rsidRPr="000A0A5F">
        <w:rPr>
          <w:lang w:eastAsia="zh-CN"/>
        </w:rPr>
        <w:t xml:space="preserve">Individual </w:t>
      </w:r>
      <w:r w:rsidRPr="000A0A5F">
        <w:rPr>
          <w:rFonts w:hint="eastAsia"/>
          <w:lang w:eastAsia="zh-CN"/>
        </w:rPr>
        <w:t xml:space="preserve">PFD Management </w:t>
      </w:r>
      <w:r w:rsidRPr="000A0A5F">
        <w:t>Transaction</w:t>
      </w:r>
    </w:p>
    <w:p w:rsidR="00CB0DD7" w:rsidRPr="000A0A5F" w:rsidRDefault="00CB0DD7">
      <w:pPr>
        <w:pStyle w:val="PL"/>
      </w:pPr>
      <w:r w:rsidRPr="000A0A5F">
        <w:t xml:space="preserve">      responses:</w:t>
      </w:r>
    </w:p>
    <w:p w:rsidR="00CB0DD7" w:rsidRPr="000A0A5F" w:rsidRDefault="00CB0DD7">
      <w:pPr>
        <w:pStyle w:val="PL"/>
      </w:pPr>
      <w:r w:rsidRPr="000A0A5F">
        <w:t xml:space="preserve">        '200':</w:t>
      </w:r>
    </w:p>
    <w:p w:rsidR="00CB0DD7" w:rsidRPr="000A0A5F" w:rsidRDefault="00CB0DD7">
      <w:pPr>
        <w:pStyle w:val="PL"/>
      </w:pPr>
      <w:r w:rsidRPr="000A0A5F">
        <w:t xml:space="preserve">          description: OK. The transaction information related to the request URI is returned.</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application/json:</w:t>
      </w:r>
    </w:p>
    <w:p w:rsidR="00CB0DD7" w:rsidRPr="000A0A5F" w:rsidRDefault="00CB0DD7">
      <w:pPr>
        <w:pStyle w:val="PL"/>
      </w:pPr>
      <w:r w:rsidRPr="000A0A5F">
        <w:t xml:space="preserve">              schema:</w:t>
      </w:r>
    </w:p>
    <w:p w:rsidR="00CB0DD7" w:rsidRPr="000A0A5F" w:rsidRDefault="00CB0DD7">
      <w:pPr>
        <w:pStyle w:val="PL"/>
      </w:pPr>
      <w:r w:rsidRPr="000A0A5F">
        <w:t xml:space="preserve">                $ref: '#/components/schemas/PfdManagement</w:t>
      </w:r>
      <w:r w:rsidRPr="000A0A5F">
        <w:rPr>
          <w:lang w:eastAsia="zh-CN"/>
        </w:rPr>
        <w:t>'</w:t>
      </w:r>
    </w:p>
    <w:p w:rsidR="00CB0DD7" w:rsidRPr="000A0A5F" w:rsidRDefault="00CB0DD7">
      <w:pPr>
        <w:pStyle w:val="PL"/>
      </w:pPr>
      <w:r w:rsidRPr="000A0A5F">
        <w:t xml:space="preserve">        '307':</w:t>
      </w:r>
    </w:p>
    <w:p w:rsidR="00CB0DD7" w:rsidRPr="000A0A5F" w:rsidRDefault="00CB0DD7">
      <w:pPr>
        <w:pStyle w:val="PL"/>
      </w:pPr>
      <w:r w:rsidRPr="000A0A5F">
        <w:t xml:space="preserve">          $ref: 'TS29122_CommonData.yaml#/components/responses/307'</w:t>
      </w:r>
    </w:p>
    <w:p w:rsidR="00CB0DD7" w:rsidRPr="000A0A5F" w:rsidRDefault="00CB0DD7">
      <w:pPr>
        <w:pStyle w:val="PL"/>
      </w:pPr>
      <w:r w:rsidRPr="000A0A5F">
        <w:t xml:space="preserve">        '308':</w:t>
      </w:r>
    </w:p>
    <w:p w:rsidR="00CB0DD7" w:rsidRPr="000A0A5F" w:rsidRDefault="00CB0DD7">
      <w:pPr>
        <w:pStyle w:val="PL"/>
      </w:pPr>
      <w:r w:rsidRPr="000A0A5F">
        <w:t xml:space="preserve">          $ref: 'TS29122_CommonData.yaml#/components/responses/308'</w:t>
      </w:r>
    </w:p>
    <w:p w:rsidR="00CB0DD7" w:rsidRPr="000A0A5F" w:rsidRDefault="00CB0DD7">
      <w:pPr>
        <w:pStyle w:val="PL"/>
      </w:pPr>
      <w:r w:rsidRPr="000A0A5F">
        <w:t xml:space="preserve">        '400':</w:t>
      </w:r>
    </w:p>
    <w:p w:rsidR="00CB0DD7" w:rsidRPr="000A0A5F" w:rsidRDefault="00CB0DD7">
      <w:pPr>
        <w:pStyle w:val="PL"/>
      </w:pPr>
      <w:r w:rsidRPr="000A0A5F">
        <w:t xml:space="preserve">          $ref: 'TS29122_CommonData.yaml#/components/responses/400'</w:t>
      </w:r>
    </w:p>
    <w:p w:rsidR="00CB0DD7" w:rsidRPr="000A0A5F" w:rsidRDefault="00CB0DD7">
      <w:pPr>
        <w:pStyle w:val="PL"/>
      </w:pPr>
      <w:r w:rsidRPr="000A0A5F">
        <w:t xml:space="preserve">        '401':</w:t>
      </w:r>
    </w:p>
    <w:p w:rsidR="00CB0DD7" w:rsidRPr="000A0A5F" w:rsidRDefault="00CB0DD7">
      <w:pPr>
        <w:pStyle w:val="PL"/>
      </w:pPr>
      <w:r w:rsidRPr="000A0A5F">
        <w:t xml:space="preserve">          $ref: 'TS29122_CommonData.yaml#/components/responses/401'</w:t>
      </w:r>
    </w:p>
    <w:p w:rsidR="00CB0DD7" w:rsidRPr="000A0A5F" w:rsidRDefault="00CB0DD7">
      <w:pPr>
        <w:pStyle w:val="PL"/>
      </w:pPr>
      <w:r w:rsidRPr="000A0A5F">
        <w:t xml:space="preserve">        '403':</w:t>
      </w:r>
    </w:p>
    <w:p w:rsidR="00CB0DD7" w:rsidRPr="000A0A5F" w:rsidRDefault="00CB0DD7">
      <w:pPr>
        <w:pStyle w:val="PL"/>
      </w:pPr>
      <w:r w:rsidRPr="000A0A5F">
        <w:t xml:space="preserve">          $ref: 'TS29122_CommonData.yaml#/components/responses/403'</w:t>
      </w:r>
    </w:p>
    <w:p w:rsidR="00CB0DD7" w:rsidRPr="000A0A5F" w:rsidRDefault="00CB0DD7">
      <w:pPr>
        <w:pStyle w:val="PL"/>
      </w:pPr>
      <w:r w:rsidRPr="000A0A5F">
        <w:t xml:space="preserve">        '404':</w:t>
      </w:r>
    </w:p>
    <w:p w:rsidR="00CB0DD7" w:rsidRPr="000A0A5F" w:rsidRDefault="00CB0DD7">
      <w:pPr>
        <w:pStyle w:val="PL"/>
      </w:pPr>
      <w:r w:rsidRPr="000A0A5F">
        <w:t xml:space="preserve">          $ref: 'TS29122_CommonData.yaml#/components/responses/404'</w:t>
      </w:r>
    </w:p>
    <w:p w:rsidR="00CB0DD7" w:rsidRPr="000A0A5F" w:rsidRDefault="00CB0DD7">
      <w:pPr>
        <w:pStyle w:val="PL"/>
      </w:pPr>
      <w:r w:rsidRPr="000A0A5F">
        <w:t xml:space="preserve">        '406':</w:t>
      </w:r>
    </w:p>
    <w:p w:rsidR="00CB0DD7" w:rsidRPr="000A0A5F" w:rsidRDefault="00CB0DD7">
      <w:pPr>
        <w:pStyle w:val="PL"/>
      </w:pPr>
      <w:r w:rsidRPr="000A0A5F">
        <w:t xml:space="preserve">          $ref: 'TS29122_CommonData.yaml#/components/responses/406'</w:t>
      </w:r>
    </w:p>
    <w:p w:rsidR="00CB0DD7" w:rsidRPr="000A0A5F" w:rsidRDefault="00CB0DD7">
      <w:pPr>
        <w:pStyle w:val="PL"/>
      </w:pPr>
      <w:r w:rsidRPr="000A0A5F">
        <w:t xml:space="preserve">        '429':</w:t>
      </w:r>
    </w:p>
    <w:p w:rsidR="00CB0DD7" w:rsidRPr="000A0A5F" w:rsidRDefault="00CB0DD7">
      <w:pPr>
        <w:pStyle w:val="PL"/>
      </w:pPr>
      <w:r w:rsidRPr="000A0A5F">
        <w:t xml:space="preserve">          $ref: 'TS29122_CommonData.yaml#/components/responses/429'</w:t>
      </w:r>
    </w:p>
    <w:p w:rsidR="00CB0DD7" w:rsidRPr="000A0A5F" w:rsidRDefault="00CB0DD7">
      <w:pPr>
        <w:pStyle w:val="PL"/>
      </w:pPr>
      <w:r w:rsidRPr="000A0A5F">
        <w:t xml:space="preserve">        '500':</w:t>
      </w:r>
    </w:p>
    <w:p w:rsidR="00CB0DD7" w:rsidRPr="000A0A5F" w:rsidRDefault="00CB0DD7">
      <w:pPr>
        <w:pStyle w:val="PL"/>
      </w:pPr>
      <w:r w:rsidRPr="000A0A5F">
        <w:t xml:space="preserve">          $ref: 'TS29122_CommonData.yaml#/components/responses/500'</w:t>
      </w:r>
    </w:p>
    <w:p w:rsidR="00CB0DD7" w:rsidRPr="000A0A5F" w:rsidRDefault="00CB0DD7">
      <w:pPr>
        <w:pStyle w:val="PL"/>
      </w:pPr>
      <w:r w:rsidRPr="000A0A5F">
        <w:t xml:space="preserve">        '503':</w:t>
      </w:r>
    </w:p>
    <w:p w:rsidR="00CB0DD7" w:rsidRPr="000A0A5F" w:rsidRDefault="00CB0DD7">
      <w:pPr>
        <w:pStyle w:val="PL"/>
      </w:pPr>
      <w:r w:rsidRPr="000A0A5F">
        <w:t xml:space="preserve">          $ref: 'TS29122_CommonData.yaml#/components/responses/503'</w:t>
      </w:r>
    </w:p>
    <w:p w:rsidR="00CB0DD7" w:rsidRPr="000A0A5F" w:rsidRDefault="00CB0DD7">
      <w:pPr>
        <w:pStyle w:val="PL"/>
      </w:pPr>
      <w:r w:rsidRPr="000A0A5F">
        <w:t xml:space="preserve">        default:</w:t>
      </w:r>
    </w:p>
    <w:p w:rsidR="00CB0DD7" w:rsidRPr="000A0A5F" w:rsidRDefault="00CB0DD7">
      <w:pPr>
        <w:pStyle w:val="PL"/>
      </w:pPr>
      <w:r w:rsidRPr="000A0A5F">
        <w:t xml:space="preserve">          $ref: 'TS29122_CommonData.yaml#/components/responses/default'</w:t>
      </w:r>
    </w:p>
    <w:p w:rsidR="00CB0DD7" w:rsidRPr="000A0A5F" w:rsidRDefault="00CB0DD7">
      <w:pPr>
        <w:pStyle w:val="PL"/>
      </w:pPr>
      <w:r w:rsidRPr="000A0A5F">
        <w:t xml:space="preserve">    put:</w:t>
      </w:r>
    </w:p>
    <w:p w:rsidR="001059F5" w:rsidRPr="000A0A5F" w:rsidRDefault="001059F5" w:rsidP="001059F5">
      <w:pPr>
        <w:pStyle w:val="PL"/>
      </w:pPr>
      <w:r w:rsidRPr="000A0A5F">
        <w:t xml:space="preserve">      summary: Update PFDs </w:t>
      </w:r>
      <w:r w:rsidRPr="000A0A5F">
        <w:rPr>
          <w:lang w:eastAsia="zh-CN"/>
        </w:rPr>
        <w:t>for a given SCS/AS and a transaction for one or more external Application Identifier(s).</w:t>
      </w:r>
    </w:p>
    <w:p w:rsidR="001059F5" w:rsidRPr="000A0A5F" w:rsidRDefault="001059F5" w:rsidP="001059F5">
      <w:pPr>
        <w:pStyle w:val="PL"/>
      </w:pPr>
      <w:r w:rsidRPr="000A0A5F">
        <w:t xml:space="preserve">      </w:t>
      </w:r>
      <w:r w:rsidRPr="000A0A5F">
        <w:rPr>
          <w:rFonts w:cs="Courier New"/>
          <w:szCs w:val="16"/>
        </w:rPr>
        <w:t>operationId: UpdateInd</w:t>
      </w:r>
      <w:r w:rsidRPr="000A0A5F">
        <w:rPr>
          <w:rFonts w:hint="eastAsia"/>
          <w:lang w:eastAsia="zh-CN"/>
        </w:rPr>
        <w:t>PFDManagement</w:t>
      </w:r>
      <w:r w:rsidRPr="000A0A5F">
        <w:t>Transaction</w:t>
      </w:r>
    </w:p>
    <w:p w:rsidR="001059F5" w:rsidRPr="000A0A5F" w:rsidRDefault="001059F5" w:rsidP="001059F5">
      <w:pPr>
        <w:pStyle w:val="PL"/>
      </w:pPr>
      <w:r w:rsidRPr="000A0A5F">
        <w:t xml:space="preserve">      tags:</w:t>
      </w:r>
    </w:p>
    <w:p w:rsidR="001059F5" w:rsidRPr="000A0A5F" w:rsidRDefault="001059F5" w:rsidP="001059F5">
      <w:pPr>
        <w:pStyle w:val="PL"/>
      </w:pPr>
      <w:r w:rsidRPr="000A0A5F">
        <w:t xml:space="preserve">        - </w:t>
      </w:r>
      <w:r w:rsidRPr="000A0A5F">
        <w:rPr>
          <w:lang w:eastAsia="zh-CN"/>
        </w:rPr>
        <w:t xml:space="preserve">Individual </w:t>
      </w:r>
      <w:r w:rsidRPr="000A0A5F">
        <w:rPr>
          <w:rFonts w:hint="eastAsia"/>
          <w:lang w:eastAsia="zh-CN"/>
        </w:rPr>
        <w:t xml:space="preserve">PFD Management </w:t>
      </w:r>
      <w:r w:rsidRPr="000A0A5F">
        <w:t>Transaction</w:t>
      </w:r>
    </w:p>
    <w:p w:rsidR="00CB0DD7" w:rsidRPr="000A0A5F" w:rsidRDefault="00CB0DD7">
      <w:pPr>
        <w:pStyle w:val="PL"/>
      </w:pPr>
      <w:r w:rsidRPr="000A0A5F">
        <w:t xml:space="preserve">      requestBody:</w:t>
      </w:r>
    </w:p>
    <w:p w:rsidR="00CB0DD7" w:rsidRPr="000A0A5F" w:rsidRDefault="00CB0DD7">
      <w:pPr>
        <w:pStyle w:val="PL"/>
      </w:pPr>
      <w:r w:rsidRPr="000A0A5F">
        <w:t xml:space="preserve">        required: true</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application/json:</w:t>
      </w:r>
    </w:p>
    <w:p w:rsidR="00CB0DD7" w:rsidRPr="000A0A5F" w:rsidRDefault="00CB0DD7">
      <w:pPr>
        <w:pStyle w:val="PL"/>
      </w:pPr>
      <w:r w:rsidRPr="000A0A5F">
        <w:t xml:space="preserve">            schema:</w:t>
      </w:r>
    </w:p>
    <w:p w:rsidR="00CB0DD7" w:rsidRPr="000A0A5F" w:rsidRDefault="00CB0DD7">
      <w:pPr>
        <w:pStyle w:val="PL"/>
      </w:pPr>
      <w:r w:rsidRPr="000A0A5F">
        <w:t xml:space="preserve">              $ref: '#/components/schemas/PfdManagement'</w:t>
      </w:r>
    </w:p>
    <w:p w:rsidR="00CB0DD7" w:rsidRPr="000A0A5F" w:rsidRDefault="00CB0DD7">
      <w:pPr>
        <w:pStyle w:val="PL"/>
      </w:pPr>
      <w:r w:rsidRPr="000A0A5F">
        <w:t xml:space="preserve">        description: Change information in PFD management transaction.</w:t>
      </w:r>
    </w:p>
    <w:p w:rsidR="00CB0DD7" w:rsidRPr="000A0A5F" w:rsidRDefault="00CB0DD7">
      <w:pPr>
        <w:pStyle w:val="PL"/>
      </w:pPr>
      <w:r w:rsidRPr="000A0A5F">
        <w:t xml:space="preserve">      responses:</w:t>
      </w:r>
    </w:p>
    <w:p w:rsidR="00CB0DD7" w:rsidRPr="000A0A5F" w:rsidRDefault="00CB0DD7">
      <w:pPr>
        <w:pStyle w:val="PL"/>
      </w:pPr>
      <w:r w:rsidRPr="000A0A5F">
        <w:t xml:space="preserve">        '200':</w:t>
      </w:r>
    </w:p>
    <w:p w:rsidR="004B4675" w:rsidRPr="000A0A5F" w:rsidRDefault="00CB0DD7">
      <w:pPr>
        <w:pStyle w:val="PL"/>
      </w:pPr>
      <w:r w:rsidRPr="000A0A5F">
        <w:t xml:space="preserve">          description: </w:t>
      </w:r>
      <w:r w:rsidR="004B4675" w:rsidRPr="000A0A5F">
        <w:t>&gt;</w:t>
      </w:r>
    </w:p>
    <w:p w:rsidR="004B4675" w:rsidRPr="000A0A5F" w:rsidRDefault="004B4675">
      <w:pPr>
        <w:pStyle w:val="PL"/>
      </w:pPr>
      <w:r w:rsidRPr="000A0A5F">
        <w:t xml:space="preserve">            </w:t>
      </w:r>
      <w:r w:rsidR="00CB0DD7" w:rsidRPr="000A0A5F">
        <w:t>OK. The transaction was modified successfully. The SCEF shall return an updated</w:t>
      </w:r>
    </w:p>
    <w:p w:rsidR="00CB0DD7" w:rsidRPr="000A0A5F" w:rsidRDefault="004B4675">
      <w:pPr>
        <w:pStyle w:val="PL"/>
      </w:pPr>
      <w:r w:rsidRPr="000A0A5F">
        <w:t xml:space="preserve">           </w:t>
      </w:r>
      <w:r w:rsidR="00CB0DD7" w:rsidRPr="000A0A5F">
        <w:t xml:space="preserve"> transaction in the </w:t>
      </w:r>
      <w:r w:rsidR="00D94FD6" w:rsidRPr="000A0A5F">
        <w:t>response content.</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application/json:</w:t>
      </w:r>
    </w:p>
    <w:p w:rsidR="00CB0DD7" w:rsidRPr="000A0A5F" w:rsidRDefault="00CB0DD7">
      <w:pPr>
        <w:pStyle w:val="PL"/>
      </w:pPr>
      <w:r w:rsidRPr="000A0A5F">
        <w:t xml:space="preserve">              schema:</w:t>
      </w:r>
    </w:p>
    <w:p w:rsidR="00CB0DD7" w:rsidRPr="000A0A5F" w:rsidRDefault="00CB0DD7">
      <w:pPr>
        <w:pStyle w:val="PL"/>
        <w:rPr>
          <w:lang w:eastAsia="zh-CN"/>
        </w:rPr>
      </w:pPr>
      <w:r w:rsidRPr="000A0A5F">
        <w:t xml:space="preserve">                $ref: '#/components/schemas/PfdManagement</w:t>
      </w:r>
      <w:r w:rsidRPr="000A0A5F">
        <w:rPr>
          <w:lang w:eastAsia="zh-CN"/>
        </w:rPr>
        <w:t>'</w:t>
      </w:r>
    </w:p>
    <w:p w:rsidR="00CB0DD7" w:rsidRPr="000A0A5F" w:rsidRDefault="00CB0DD7">
      <w:pPr>
        <w:pStyle w:val="PL"/>
      </w:pPr>
      <w:r w:rsidRPr="000A0A5F">
        <w:t xml:space="preserve">        '204':</w:t>
      </w:r>
    </w:p>
    <w:p w:rsidR="00CB0DD7" w:rsidRPr="000A0A5F" w:rsidRDefault="00CB0DD7">
      <w:pPr>
        <w:pStyle w:val="PL"/>
        <w:rPr>
          <w:lang w:eastAsia="zh-CN"/>
        </w:rPr>
      </w:pPr>
      <w:r w:rsidRPr="000A0A5F">
        <w:t xml:space="preserve">          description: No Content.</w:t>
      </w:r>
    </w:p>
    <w:p w:rsidR="00CB0DD7" w:rsidRPr="000A0A5F" w:rsidRDefault="00CB0DD7">
      <w:pPr>
        <w:pStyle w:val="PL"/>
      </w:pPr>
      <w:r w:rsidRPr="000A0A5F">
        <w:t xml:space="preserve">        '307':</w:t>
      </w:r>
    </w:p>
    <w:p w:rsidR="00CB0DD7" w:rsidRPr="000A0A5F" w:rsidRDefault="00CB0DD7">
      <w:pPr>
        <w:pStyle w:val="PL"/>
      </w:pPr>
      <w:r w:rsidRPr="000A0A5F">
        <w:t xml:space="preserve">          $ref: 'TS29122_CommonData.yaml#/components/responses/307'</w:t>
      </w:r>
    </w:p>
    <w:p w:rsidR="00CB0DD7" w:rsidRPr="000A0A5F" w:rsidRDefault="00CB0DD7">
      <w:pPr>
        <w:pStyle w:val="PL"/>
      </w:pPr>
      <w:r w:rsidRPr="000A0A5F">
        <w:t xml:space="preserve">        '308':</w:t>
      </w:r>
    </w:p>
    <w:p w:rsidR="00CB0DD7" w:rsidRPr="000A0A5F" w:rsidRDefault="00CB0DD7">
      <w:pPr>
        <w:pStyle w:val="PL"/>
      </w:pPr>
      <w:r w:rsidRPr="000A0A5F">
        <w:t xml:space="preserve">          $ref: 'TS29122_CommonData.yaml#/components/responses/308'</w:t>
      </w:r>
    </w:p>
    <w:p w:rsidR="00CB0DD7" w:rsidRPr="000A0A5F" w:rsidRDefault="00CB0DD7">
      <w:pPr>
        <w:pStyle w:val="PL"/>
        <w:rPr>
          <w:lang w:eastAsia="zh-CN"/>
        </w:rPr>
      </w:pPr>
      <w:r w:rsidRPr="000A0A5F">
        <w:rPr>
          <w:lang w:eastAsia="zh-CN"/>
        </w:rPr>
        <w:t xml:space="preserve">        '400':</w:t>
      </w:r>
    </w:p>
    <w:p w:rsidR="00CB0DD7" w:rsidRPr="000A0A5F" w:rsidRDefault="00CB0DD7">
      <w:pPr>
        <w:pStyle w:val="PL"/>
        <w:rPr>
          <w:lang w:eastAsia="zh-CN"/>
        </w:rPr>
      </w:pPr>
      <w:r w:rsidRPr="000A0A5F">
        <w:rPr>
          <w:lang w:eastAsia="zh-CN"/>
        </w:rPr>
        <w:t xml:space="preserve">          $ref: 'TS29122_CommonData.yaml#/components/responses/400'</w:t>
      </w:r>
    </w:p>
    <w:p w:rsidR="00CB0DD7" w:rsidRPr="000A0A5F" w:rsidRDefault="00CB0DD7">
      <w:pPr>
        <w:pStyle w:val="PL"/>
        <w:rPr>
          <w:lang w:eastAsia="zh-CN"/>
        </w:rPr>
      </w:pPr>
      <w:r w:rsidRPr="000A0A5F">
        <w:rPr>
          <w:lang w:eastAsia="zh-CN"/>
        </w:rPr>
        <w:t xml:space="preserve">        '401':</w:t>
      </w:r>
    </w:p>
    <w:p w:rsidR="00CB0DD7" w:rsidRPr="000A0A5F" w:rsidRDefault="00CB0DD7">
      <w:pPr>
        <w:pStyle w:val="PL"/>
        <w:rPr>
          <w:lang w:eastAsia="zh-CN"/>
        </w:rPr>
      </w:pPr>
      <w:r w:rsidRPr="000A0A5F">
        <w:rPr>
          <w:lang w:eastAsia="zh-CN"/>
        </w:rPr>
        <w:t xml:space="preserve">          $ref: 'TS29122_CommonData.yaml#/components/responses/401'</w:t>
      </w:r>
    </w:p>
    <w:p w:rsidR="00CB0DD7" w:rsidRPr="000A0A5F" w:rsidRDefault="00CB0DD7">
      <w:pPr>
        <w:pStyle w:val="PL"/>
        <w:rPr>
          <w:lang w:eastAsia="zh-CN"/>
        </w:rPr>
      </w:pPr>
      <w:r w:rsidRPr="000A0A5F">
        <w:rPr>
          <w:lang w:eastAsia="zh-CN"/>
        </w:rPr>
        <w:t xml:space="preserve">        '403':</w:t>
      </w:r>
    </w:p>
    <w:p w:rsidR="00CB0DD7" w:rsidRPr="000A0A5F" w:rsidRDefault="00CB0DD7">
      <w:pPr>
        <w:pStyle w:val="PL"/>
        <w:rPr>
          <w:lang w:eastAsia="zh-CN"/>
        </w:rPr>
      </w:pPr>
      <w:r w:rsidRPr="000A0A5F">
        <w:rPr>
          <w:lang w:eastAsia="zh-CN"/>
        </w:rPr>
        <w:t xml:space="preserve">          $ref: 'TS29122_CommonData.yaml#/components/responses/403'</w:t>
      </w:r>
    </w:p>
    <w:p w:rsidR="00CB0DD7" w:rsidRPr="000A0A5F" w:rsidRDefault="00CB0DD7">
      <w:pPr>
        <w:pStyle w:val="PL"/>
        <w:rPr>
          <w:lang w:eastAsia="zh-CN"/>
        </w:rPr>
      </w:pPr>
      <w:r w:rsidRPr="000A0A5F">
        <w:rPr>
          <w:lang w:eastAsia="zh-CN"/>
        </w:rPr>
        <w:t xml:space="preserve">        '404':</w:t>
      </w:r>
    </w:p>
    <w:p w:rsidR="00CB0DD7" w:rsidRPr="000A0A5F" w:rsidRDefault="00CB0DD7">
      <w:pPr>
        <w:pStyle w:val="PL"/>
        <w:rPr>
          <w:lang w:eastAsia="zh-CN"/>
        </w:rPr>
      </w:pPr>
      <w:r w:rsidRPr="000A0A5F">
        <w:rPr>
          <w:lang w:eastAsia="zh-CN"/>
        </w:rPr>
        <w:t xml:space="preserve">          $ref: 'TS29122_CommonData.yaml#/components/responses/404'</w:t>
      </w:r>
    </w:p>
    <w:p w:rsidR="00CB0DD7" w:rsidRPr="000A0A5F" w:rsidRDefault="00CB0DD7">
      <w:pPr>
        <w:pStyle w:val="PL"/>
        <w:rPr>
          <w:lang w:eastAsia="zh-CN"/>
        </w:rPr>
      </w:pPr>
      <w:r w:rsidRPr="000A0A5F">
        <w:rPr>
          <w:lang w:eastAsia="zh-CN"/>
        </w:rPr>
        <w:t xml:space="preserve">        '411':</w:t>
      </w:r>
    </w:p>
    <w:p w:rsidR="00CB0DD7" w:rsidRPr="000A0A5F" w:rsidRDefault="00CB0DD7">
      <w:pPr>
        <w:pStyle w:val="PL"/>
        <w:rPr>
          <w:lang w:eastAsia="zh-CN"/>
        </w:rPr>
      </w:pPr>
      <w:r w:rsidRPr="000A0A5F">
        <w:rPr>
          <w:lang w:eastAsia="zh-CN"/>
        </w:rPr>
        <w:t xml:space="preserve">          $ref: 'TS29122_CommonData.yaml#/components/responses/411'</w:t>
      </w:r>
    </w:p>
    <w:p w:rsidR="00CB0DD7" w:rsidRPr="000A0A5F" w:rsidRDefault="00CB0DD7">
      <w:pPr>
        <w:pStyle w:val="PL"/>
        <w:rPr>
          <w:lang w:eastAsia="zh-CN"/>
        </w:rPr>
      </w:pPr>
      <w:r w:rsidRPr="000A0A5F">
        <w:rPr>
          <w:lang w:eastAsia="zh-CN"/>
        </w:rPr>
        <w:t xml:space="preserve">        '413':</w:t>
      </w:r>
    </w:p>
    <w:p w:rsidR="00CB0DD7" w:rsidRPr="000A0A5F" w:rsidRDefault="00CB0DD7">
      <w:pPr>
        <w:pStyle w:val="PL"/>
        <w:rPr>
          <w:rFonts w:hint="eastAsia"/>
          <w:lang w:eastAsia="zh-CN"/>
        </w:rPr>
      </w:pPr>
      <w:r w:rsidRPr="000A0A5F">
        <w:rPr>
          <w:lang w:eastAsia="zh-CN"/>
        </w:rPr>
        <w:t xml:space="preserve">          $ref: 'TS29122_CommonData.yaml#/components/responses/413'</w:t>
      </w:r>
    </w:p>
    <w:p w:rsidR="00CB0DD7" w:rsidRPr="000A0A5F" w:rsidRDefault="00CB0DD7">
      <w:pPr>
        <w:pStyle w:val="PL"/>
      </w:pPr>
      <w:r w:rsidRPr="000A0A5F">
        <w:t xml:space="preserve">        '415':</w:t>
      </w:r>
    </w:p>
    <w:p w:rsidR="00CB0DD7" w:rsidRPr="000A0A5F" w:rsidRDefault="00CB0DD7">
      <w:pPr>
        <w:pStyle w:val="PL"/>
      </w:pPr>
      <w:r w:rsidRPr="000A0A5F">
        <w:t xml:space="preserve">          $ref: 'TS29122_CommonData.yaml#/components/responses/415'</w:t>
      </w:r>
    </w:p>
    <w:p w:rsidR="00CB0DD7" w:rsidRPr="000A0A5F" w:rsidRDefault="00CB0DD7">
      <w:pPr>
        <w:pStyle w:val="PL"/>
      </w:pPr>
      <w:r w:rsidRPr="000A0A5F">
        <w:t xml:space="preserve">        '429':</w:t>
      </w:r>
    </w:p>
    <w:p w:rsidR="00CB0DD7" w:rsidRPr="000A0A5F" w:rsidRDefault="00CB0DD7">
      <w:pPr>
        <w:pStyle w:val="PL"/>
      </w:pPr>
      <w:r w:rsidRPr="000A0A5F">
        <w:t xml:space="preserve">          $ref: 'TS29122_CommonData.yaml#/components/responses/429'</w:t>
      </w:r>
    </w:p>
    <w:p w:rsidR="00CB0DD7" w:rsidRPr="000A0A5F" w:rsidRDefault="00CB0DD7">
      <w:pPr>
        <w:pStyle w:val="PL"/>
      </w:pPr>
      <w:r w:rsidRPr="000A0A5F">
        <w:t xml:space="preserve">        '500':</w:t>
      </w:r>
    </w:p>
    <w:p w:rsidR="004B4675" w:rsidRPr="000A0A5F" w:rsidRDefault="00CB0DD7">
      <w:pPr>
        <w:pStyle w:val="PL"/>
      </w:pPr>
      <w:r w:rsidRPr="000A0A5F">
        <w:t xml:space="preserve">          description: </w:t>
      </w:r>
      <w:r w:rsidR="004B4675" w:rsidRPr="000A0A5F">
        <w:t>&gt;</w:t>
      </w:r>
    </w:p>
    <w:p w:rsidR="004B4675" w:rsidRPr="000A0A5F" w:rsidRDefault="004B4675">
      <w:pPr>
        <w:pStyle w:val="PL"/>
      </w:pPr>
      <w:r w:rsidRPr="000A0A5F">
        <w:t xml:space="preserve">            </w:t>
      </w:r>
      <w:r w:rsidR="00CB0DD7" w:rsidRPr="000A0A5F">
        <w:t>The PFDs for all applications were not updated successfully. PfdReport is included with</w:t>
      </w:r>
    </w:p>
    <w:p w:rsidR="00CB0DD7" w:rsidRPr="000A0A5F" w:rsidRDefault="004B4675">
      <w:pPr>
        <w:pStyle w:val="PL"/>
      </w:pPr>
      <w:r w:rsidRPr="000A0A5F">
        <w:t xml:space="preserve">           </w:t>
      </w:r>
      <w:r w:rsidR="00CB0DD7" w:rsidRPr="000A0A5F">
        <w:t xml:space="preserve"> detailed information.</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application/json:</w:t>
      </w:r>
    </w:p>
    <w:p w:rsidR="00CB0DD7" w:rsidRPr="000A0A5F" w:rsidRDefault="00CB0DD7">
      <w:pPr>
        <w:pStyle w:val="PL"/>
      </w:pPr>
      <w:r w:rsidRPr="000A0A5F">
        <w:t xml:space="preserve">              schema:</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$ref: '#/components/schemas/PfdReport</w:t>
      </w:r>
      <w:r w:rsidRPr="000A0A5F">
        <w:rPr>
          <w:lang w:eastAsia="zh-CN"/>
        </w:rPr>
        <w:t>'</w:t>
      </w:r>
    </w:p>
    <w:p w:rsidR="00CB0DD7" w:rsidRPr="000A0A5F" w:rsidRDefault="00CB0DD7">
      <w:pPr>
        <w:pStyle w:val="PL"/>
      </w:pPr>
      <w:r w:rsidRPr="000A0A5F">
        <w:t xml:space="preserve">                minItems: 1</w:t>
      </w:r>
    </w:p>
    <w:p w:rsidR="00CB0DD7" w:rsidRPr="000A0A5F" w:rsidRDefault="00CB0DD7">
      <w:pPr>
        <w:pStyle w:val="PL"/>
      </w:pPr>
      <w:r w:rsidRPr="000A0A5F">
        <w:t xml:space="preserve">            application/problem+json:</w:t>
      </w:r>
    </w:p>
    <w:p w:rsidR="00CB0DD7" w:rsidRPr="000A0A5F" w:rsidRDefault="00CB0DD7">
      <w:pPr>
        <w:pStyle w:val="PL"/>
      </w:pPr>
      <w:r w:rsidRPr="000A0A5F">
        <w:t xml:space="preserve">              schema:</w:t>
      </w:r>
    </w:p>
    <w:p w:rsidR="00CB0DD7" w:rsidRPr="000A0A5F" w:rsidRDefault="00CB0DD7">
      <w:pPr>
        <w:pStyle w:val="PL"/>
        <w:rPr>
          <w:lang w:eastAsia="zh-CN"/>
        </w:rPr>
      </w:pPr>
      <w:r w:rsidRPr="000A0A5F">
        <w:rPr>
          <w:lang w:eastAsia="zh-CN"/>
        </w:rPr>
        <w:t xml:space="preserve">                $ref: '</w:t>
      </w:r>
      <w:r w:rsidRPr="000A0A5F">
        <w:t>TS29122_CommonData.yaml</w:t>
      </w:r>
      <w:r w:rsidRPr="000A0A5F">
        <w:rPr>
          <w:lang w:eastAsia="zh-CN"/>
        </w:rPr>
        <w:t>#/components/schemas/ProblemDetails'</w:t>
      </w:r>
    </w:p>
    <w:p w:rsidR="00CB0DD7" w:rsidRPr="000A0A5F" w:rsidRDefault="00CB0DD7">
      <w:pPr>
        <w:pStyle w:val="PL"/>
        <w:rPr>
          <w:lang w:eastAsia="zh-CN"/>
        </w:rPr>
      </w:pPr>
      <w:r w:rsidRPr="000A0A5F">
        <w:rPr>
          <w:lang w:eastAsia="zh-CN"/>
        </w:rPr>
        <w:t xml:space="preserve">        '503':</w:t>
      </w:r>
    </w:p>
    <w:p w:rsidR="00CB0DD7" w:rsidRPr="000A0A5F" w:rsidRDefault="00CB0DD7">
      <w:pPr>
        <w:pStyle w:val="PL"/>
        <w:rPr>
          <w:lang w:eastAsia="zh-CN"/>
        </w:rPr>
      </w:pPr>
      <w:r w:rsidRPr="000A0A5F">
        <w:rPr>
          <w:lang w:eastAsia="zh-CN"/>
        </w:rPr>
        <w:t xml:space="preserve">          $ref: 'TS29122_CommonData.yaml#/components/responses/503'</w:t>
      </w:r>
    </w:p>
    <w:p w:rsidR="00CB0DD7" w:rsidRPr="000A0A5F" w:rsidRDefault="00CB0DD7">
      <w:pPr>
        <w:pStyle w:val="PL"/>
        <w:rPr>
          <w:lang w:eastAsia="zh-CN"/>
        </w:rPr>
      </w:pPr>
      <w:r w:rsidRPr="000A0A5F">
        <w:rPr>
          <w:lang w:eastAsia="zh-CN"/>
        </w:rPr>
        <w:t xml:space="preserve">        default:</w:t>
      </w:r>
    </w:p>
    <w:p w:rsidR="00CB0DD7" w:rsidRPr="000A0A5F" w:rsidRDefault="00CB0DD7">
      <w:pPr>
        <w:pStyle w:val="PL"/>
        <w:rPr>
          <w:lang w:eastAsia="zh-CN"/>
        </w:rPr>
      </w:pPr>
      <w:r w:rsidRPr="000A0A5F">
        <w:rPr>
          <w:lang w:eastAsia="zh-CN"/>
        </w:rPr>
        <w:t xml:space="preserve">          $ref: 'TS29122_CommonData.yaml#/components/responses/default'</w:t>
      </w:r>
    </w:p>
    <w:p w:rsidR="00491D21" w:rsidRPr="000A0A5F" w:rsidRDefault="00491D21" w:rsidP="00491D21">
      <w:pPr>
        <w:pStyle w:val="PL"/>
      </w:pPr>
      <w:r w:rsidRPr="000A0A5F">
        <w:t xml:space="preserve">    patch:</w:t>
      </w:r>
    </w:p>
    <w:p w:rsidR="00491D21" w:rsidRPr="000A0A5F" w:rsidRDefault="00491D21" w:rsidP="00491D21">
      <w:pPr>
        <w:pStyle w:val="PL"/>
      </w:pPr>
      <w:r w:rsidRPr="000A0A5F">
        <w:t xml:space="preserve">      summary: Modify an existing PFD Management Transaction resource</w:t>
      </w:r>
      <w:r w:rsidRPr="000A0A5F">
        <w:rPr>
          <w:lang w:eastAsia="zh-CN"/>
        </w:rPr>
        <w:t>.</w:t>
      </w:r>
    </w:p>
    <w:p w:rsidR="00491D21" w:rsidRPr="000A0A5F" w:rsidRDefault="00491D21" w:rsidP="00491D21">
      <w:pPr>
        <w:pStyle w:val="PL"/>
      </w:pPr>
      <w:r w:rsidRPr="000A0A5F">
        <w:t xml:space="preserve">      </w:t>
      </w:r>
      <w:r w:rsidRPr="000A0A5F">
        <w:rPr>
          <w:rFonts w:cs="Courier New"/>
          <w:szCs w:val="16"/>
        </w:rPr>
        <w:t>operationId: ModifyInd</w:t>
      </w:r>
      <w:r w:rsidRPr="000A0A5F">
        <w:rPr>
          <w:rFonts w:hint="eastAsia"/>
          <w:lang w:eastAsia="zh-CN"/>
        </w:rPr>
        <w:t>PFDManagement</w:t>
      </w:r>
      <w:r w:rsidRPr="000A0A5F">
        <w:t>Transaction</w:t>
      </w:r>
    </w:p>
    <w:p w:rsidR="00491D21" w:rsidRPr="000A0A5F" w:rsidRDefault="00491D21" w:rsidP="00491D21">
      <w:pPr>
        <w:pStyle w:val="PL"/>
      </w:pPr>
      <w:r w:rsidRPr="000A0A5F">
        <w:t xml:space="preserve">      tags:</w:t>
      </w:r>
    </w:p>
    <w:p w:rsidR="00491D21" w:rsidRPr="000A0A5F" w:rsidRDefault="00491D21" w:rsidP="00491D21">
      <w:pPr>
        <w:pStyle w:val="PL"/>
      </w:pPr>
      <w:r w:rsidRPr="000A0A5F">
        <w:t xml:space="preserve">        - </w:t>
      </w:r>
      <w:r w:rsidRPr="000A0A5F">
        <w:rPr>
          <w:lang w:eastAsia="zh-CN"/>
        </w:rPr>
        <w:t xml:space="preserve">Individual </w:t>
      </w:r>
      <w:r w:rsidRPr="000A0A5F">
        <w:rPr>
          <w:rFonts w:hint="eastAsia"/>
          <w:lang w:eastAsia="zh-CN"/>
        </w:rPr>
        <w:t xml:space="preserve">PFD Management </w:t>
      </w:r>
      <w:r w:rsidRPr="000A0A5F">
        <w:t>Transaction</w:t>
      </w:r>
    </w:p>
    <w:p w:rsidR="00491D21" w:rsidRPr="000A0A5F" w:rsidRDefault="00491D21" w:rsidP="00491D21">
      <w:pPr>
        <w:pStyle w:val="PL"/>
      </w:pPr>
      <w:r w:rsidRPr="000A0A5F">
        <w:t xml:space="preserve">      requestBody:</w:t>
      </w:r>
    </w:p>
    <w:p w:rsidR="00491D21" w:rsidRPr="000A0A5F" w:rsidRDefault="00491D21" w:rsidP="00491D21">
      <w:pPr>
        <w:pStyle w:val="PL"/>
      </w:pPr>
      <w:r w:rsidRPr="000A0A5F">
        <w:t xml:space="preserve">        required: true</w:t>
      </w:r>
    </w:p>
    <w:p w:rsidR="00491D21" w:rsidRPr="000A0A5F" w:rsidRDefault="00491D21" w:rsidP="00491D21">
      <w:pPr>
        <w:pStyle w:val="PL"/>
        <w:rPr>
          <w:lang w:val="en-US"/>
        </w:rPr>
      </w:pPr>
      <w:r w:rsidRPr="000A0A5F">
        <w:rPr>
          <w:lang w:val="en-US"/>
        </w:rPr>
        <w:t xml:space="preserve">        content:</w:t>
      </w:r>
    </w:p>
    <w:p w:rsidR="00491D21" w:rsidRPr="000A0A5F" w:rsidRDefault="00491D21" w:rsidP="00491D21">
      <w:pPr>
        <w:pStyle w:val="PL"/>
        <w:rPr>
          <w:lang w:val="en-US"/>
        </w:rPr>
      </w:pPr>
      <w:r w:rsidRPr="000A0A5F">
        <w:rPr>
          <w:lang w:val="en-US"/>
        </w:rPr>
        <w:t xml:space="preserve">          application/merge-patch+json:</w:t>
      </w:r>
    </w:p>
    <w:p w:rsidR="00491D21" w:rsidRPr="000A0A5F" w:rsidRDefault="00491D21" w:rsidP="00491D21">
      <w:pPr>
        <w:pStyle w:val="PL"/>
        <w:rPr>
          <w:lang w:val="en-US"/>
        </w:rPr>
      </w:pPr>
      <w:r w:rsidRPr="000A0A5F">
        <w:rPr>
          <w:lang w:val="en-US"/>
        </w:rPr>
        <w:t xml:space="preserve">            schema:</w:t>
      </w:r>
    </w:p>
    <w:p w:rsidR="00491D21" w:rsidRPr="000A0A5F" w:rsidRDefault="00491D21" w:rsidP="00491D21">
      <w:pPr>
        <w:pStyle w:val="PL"/>
        <w:rPr>
          <w:lang w:val="en-US"/>
        </w:rPr>
      </w:pPr>
      <w:r w:rsidRPr="000A0A5F">
        <w:rPr>
          <w:lang w:val="en-US"/>
        </w:rPr>
        <w:t xml:space="preserve">              $ref: '#/components/schemas/</w:t>
      </w:r>
      <w:r w:rsidRPr="000A0A5F">
        <w:t>PfdManagementPatch'</w:t>
      </w:r>
    </w:p>
    <w:p w:rsidR="00491D21" w:rsidRPr="000A0A5F" w:rsidRDefault="00491D21" w:rsidP="00491D21">
      <w:pPr>
        <w:pStyle w:val="PL"/>
      </w:pPr>
      <w:r w:rsidRPr="000A0A5F">
        <w:t xml:space="preserve">      responses:</w:t>
      </w:r>
    </w:p>
    <w:p w:rsidR="00491D21" w:rsidRPr="000A0A5F" w:rsidRDefault="00491D21" w:rsidP="00491D21">
      <w:pPr>
        <w:pStyle w:val="PL"/>
      </w:pPr>
      <w:r w:rsidRPr="000A0A5F">
        <w:t xml:space="preserve">        '200':</w:t>
      </w:r>
    </w:p>
    <w:p w:rsidR="004B4675" w:rsidRPr="000A0A5F" w:rsidRDefault="00491D21" w:rsidP="00491D21">
      <w:pPr>
        <w:pStyle w:val="PL"/>
      </w:pPr>
      <w:r w:rsidRPr="000A0A5F">
        <w:t xml:space="preserve">          description: </w:t>
      </w:r>
      <w:r w:rsidR="004B4675" w:rsidRPr="000A0A5F">
        <w:t>&gt;</w:t>
      </w:r>
    </w:p>
    <w:p w:rsidR="004B4675" w:rsidRPr="000A0A5F" w:rsidRDefault="004B4675" w:rsidP="00491D21">
      <w:pPr>
        <w:pStyle w:val="PL"/>
      </w:pPr>
      <w:r w:rsidRPr="000A0A5F">
        <w:t xml:space="preserve">            </w:t>
      </w:r>
      <w:r w:rsidR="00491D21" w:rsidRPr="000A0A5F">
        <w:t>OK. The PFD Management Transaction was modified successfully. The SCEF shall return an</w:t>
      </w:r>
    </w:p>
    <w:p w:rsidR="00491D21" w:rsidRPr="000A0A5F" w:rsidRDefault="004B4675" w:rsidP="00491D21">
      <w:pPr>
        <w:pStyle w:val="PL"/>
      </w:pPr>
      <w:r w:rsidRPr="000A0A5F">
        <w:t xml:space="preserve">           </w:t>
      </w:r>
      <w:r w:rsidR="00491D21" w:rsidRPr="000A0A5F">
        <w:t xml:space="preserve"> updated representation of the resource in the response body.</w:t>
      </w:r>
    </w:p>
    <w:p w:rsidR="00491D21" w:rsidRPr="000A0A5F" w:rsidRDefault="00491D21" w:rsidP="00491D21">
      <w:pPr>
        <w:pStyle w:val="PL"/>
      </w:pPr>
      <w:r w:rsidRPr="000A0A5F">
        <w:t xml:space="preserve">          content:</w:t>
      </w:r>
    </w:p>
    <w:p w:rsidR="00491D21" w:rsidRPr="000A0A5F" w:rsidRDefault="00491D21" w:rsidP="00491D21">
      <w:pPr>
        <w:pStyle w:val="PL"/>
      </w:pPr>
      <w:r w:rsidRPr="000A0A5F">
        <w:t xml:space="preserve">            application/json:</w:t>
      </w:r>
    </w:p>
    <w:p w:rsidR="00491D21" w:rsidRPr="000A0A5F" w:rsidRDefault="00491D21" w:rsidP="00491D21">
      <w:pPr>
        <w:pStyle w:val="PL"/>
      </w:pPr>
      <w:r w:rsidRPr="000A0A5F">
        <w:t xml:space="preserve">              schema:</w:t>
      </w:r>
    </w:p>
    <w:p w:rsidR="00491D21" w:rsidRPr="000A0A5F" w:rsidRDefault="00491D21" w:rsidP="00491D21">
      <w:pPr>
        <w:pStyle w:val="PL"/>
        <w:rPr>
          <w:lang w:eastAsia="zh-CN"/>
        </w:rPr>
      </w:pPr>
      <w:r w:rsidRPr="000A0A5F">
        <w:t xml:space="preserve">                $ref: '#/components/schemas/PfdManagement</w:t>
      </w:r>
      <w:r w:rsidRPr="000A0A5F">
        <w:rPr>
          <w:lang w:eastAsia="zh-CN"/>
        </w:rPr>
        <w:t>'</w:t>
      </w:r>
    </w:p>
    <w:p w:rsidR="00491D21" w:rsidRPr="000A0A5F" w:rsidRDefault="00491D21" w:rsidP="00491D21">
      <w:pPr>
        <w:pStyle w:val="PL"/>
      </w:pPr>
      <w:r w:rsidRPr="000A0A5F">
        <w:t xml:space="preserve">        '204':</w:t>
      </w:r>
    </w:p>
    <w:p w:rsidR="00491D21" w:rsidRPr="000A0A5F" w:rsidRDefault="00491D21" w:rsidP="00491D21">
      <w:pPr>
        <w:pStyle w:val="PL"/>
        <w:rPr>
          <w:lang w:eastAsia="zh-CN"/>
        </w:rPr>
      </w:pPr>
      <w:r w:rsidRPr="000A0A5F">
        <w:t xml:space="preserve">          description: No Content.</w:t>
      </w:r>
    </w:p>
    <w:p w:rsidR="00491D21" w:rsidRPr="000A0A5F" w:rsidRDefault="00491D21" w:rsidP="00491D21">
      <w:pPr>
        <w:pStyle w:val="PL"/>
      </w:pPr>
      <w:r w:rsidRPr="000A0A5F">
        <w:t xml:space="preserve">        '307':</w:t>
      </w:r>
    </w:p>
    <w:p w:rsidR="00491D21" w:rsidRPr="000A0A5F" w:rsidRDefault="00491D21" w:rsidP="00491D21">
      <w:pPr>
        <w:pStyle w:val="PL"/>
      </w:pPr>
      <w:r w:rsidRPr="000A0A5F">
        <w:t xml:space="preserve">          $ref: 'TS29122_CommonData.yaml#/components/responses/307'</w:t>
      </w:r>
    </w:p>
    <w:p w:rsidR="00491D21" w:rsidRPr="000A0A5F" w:rsidRDefault="00491D21" w:rsidP="00491D21">
      <w:pPr>
        <w:pStyle w:val="PL"/>
      </w:pPr>
      <w:r w:rsidRPr="000A0A5F">
        <w:t xml:space="preserve">        '308':</w:t>
      </w:r>
    </w:p>
    <w:p w:rsidR="00491D21" w:rsidRPr="000A0A5F" w:rsidRDefault="00491D21" w:rsidP="00491D21">
      <w:pPr>
        <w:pStyle w:val="PL"/>
      </w:pPr>
      <w:r w:rsidRPr="000A0A5F">
        <w:t xml:space="preserve">          $ref: 'TS29122_CommonData.yaml#/components/responses/308'</w:t>
      </w:r>
    </w:p>
    <w:p w:rsidR="00491D21" w:rsidRPr="000A0A5F" w:rsidRDefault="00491D21" w:rsidP="00491D21">
      <w:pPr>
        <w:pStyle w:val="PL"/>
        <w:rPr>
          <w:lang w:eastAsia="zh-CN"/>
        </w:rPr>
      </w:pPr>
      <w:r w:rsidRPr="000A0A5F">
        <w:rPr>
          <w:lang w:eastAsia="zh-CN"/>
        </w:rPr>
        <w:t xml:space="preserve">        '400':</w:t>
      </w:r>
    </w:p>
    <w:p w:rsidR="00491D21" w:rsidRPr="000A0A5F" w:rsidRDefault="00491D21" w:rsidP="00491D21">
      <w:pPr>
        <w:pStyle w:val="PL"/>
        <w:rPr>
          <w:lang w:eastAsia="zh-CN"/>
        </w:rPr>
      </w:pPr>
      <w:r w:rsidRPr="000A0A5F">
        <w:rPr>
          <w:lang w:eastAsia="zh-CN"/>
        </w:rPr>
        <w:t xml:space="preserve">          $ref: 'TS29122_CommonData.yaml#/components/responses/400'</w:t>
      </w:r>
    </w:p>
    <w:p w:rsidR="00491D21" w:rsidRPr="000A0A5F" w:rsidRDefault="00491D21" w:rsidP="00491D21">
      <w:pPr>
        <w:pStyle w:val="PL"/>
        <w:rPr>
          <w:lang w:eastAsia="zh-CN"/>
        </w:rPr>
      </w:pPr>
      <w:r w:rsidRPr="000A0A5F">
        <w:rPr>
          <w:lang w:eastAsia="zh-CN"/>
        </w:rPr>
        <w:t xml:space="preserve">        '401':</w:t>
      </w:r>
    </w:p>
    <w:p w:rsidR="00491D21" w:rsidRPr="000A0A5F" w:rsidRDefault="00491D21" w:rsidP="00491D21">
      <w:pPr>
        <w:pStyle w:val="PL"/>
        <w:rPr>
          <w:lang w:eastAsia="zh-CN"/>
        </w:rPr>
      </w:pPr>
      <w:r w:rsidRPr="000A0A5F">
        <w:rPr>
          <w:lang w:eastAsia="zh-CN"/>
        </w:rPr>
        <w:t xml:space="preserve">          $ref: 'TS29122_CommonData.yaml#/components/responses/401'</w:t>
      </w:r>
    </w:p>
    <w:p w:rsidR="00491D21" w:rsidRPr="000A0A5F" w:rsidRDefault="00491D21" w:rsidP="00491D21">
      <w:pPr>
        <w:pStyle w:val="PL"/>
        <w:rPr>
          <w:lang w:eastAsia="zh-CN"/>
        </w:rPr>
      </w:pPr>
      <w:r w:rsidRPr="000A0A5F">
        <w:rPr>
          <w:lang w:eastAsia="zh-CN"/>
        </w:rPr>
        <w:t xml:space="preserve">        '403':</w:t>
      </w:r>
    </w:p>
    <w:p w:rsidR="00491D21" w:rsidRPr="000A0A5F" w:rsidRDefault="00491D21" w:rsidP="00491D21">
      <w:pPr>
        <w:pStyle w:val="PL"/>
        <w:rPr>
          <w:lang w:eastAsia="zh-CN"/>
        </w:rPr>
      </w:pPr>
      <w:r w:rsidRPr="000A0A5F">
        <w:rPr>
          <w:lang w:eastAsia="zh-CN"/>
        </w:rPr>
        <w:t xml:space="preserve">          $ref: 'TS29122_CommonData.yaml#/components/responses/403'</w:t>
      </w:r>
    </w:p>
    <w:p w:rsidR="00491D21" w:rsidRPr="000A0A5F" w:rsidRDefault="00491D21" w:rsidP="00491D21">
      <w:pPr>
        <w:pStyle w:val="PL"/>
        <w:rPr>
          <w:lang w:eastAsia="zh-CN"/>
        </w:rPr>
      </w:pPr>
      <w:r w:rsidRPr="000A0A5F">
        <w:rPr>
          <w:lang w:eastAsia="zh-CN"/>
        </w:rPr>
        <w:t xml:space="preserve">        '404':</w:t>
      </w:r>
    </w:p>
    <w:p w:rsidR="00491D21" w:rsidRPr="000A0A5F" w:rsidRDefault="00491D21" w:rsidP="00491D21">
      <w:pPr>
        <w:pStyle w:val="PL"/>
        <w:rPr>
          <w:lang w:eastAsia="zh-CN"/>
        </w:rPr>
      </w:pPr>
      <w:r w:rsidRPr="000A0A5F">
        <w:rPr>
          <w:lang w:eastAsia="zh-CN"/>
        </w:rPr>
        <w:t xml:space="preserve">          $ref: 'TS29122_CommonData.yaml#/components/responses/404'</w:t>
      </w:r>
    </w:p>
    <w:p w:rsidR="00491D21" w:rsidRPr="000A0A5F" w:rsidRDefault="00491D21" w:rsidP="00491D21">
      <w:pPr>
        <w:pStyle w:val="PL"/>
        <w:rPr>
          <w:lang w:eastAsia="zh-CN"/>
        </w:rPr>
      </w:pPr>
      <w:r w:rsidRPr="000A0A5F">
        <w:rPr>
          <w:lang w:eastAsia="zh-CN"/>
        </w:rPr>
        <w:t xml:space="preserve">        '411':</w:t>
      </w:r>
    </w:p>
    <w:p w:rsidR="00491D21" w:rsidRPr="000A0A5F" w:rsidRDefault="00491D21" w:rsidP="00491D21">
      <w:pPr>
        <w:pStyle w:val="PL"/>
        <w:rPr>
          <w:lang w:eastAsia="zh-CN"/>
        </w:rPr>
      </w:pPr>
      <w:r w:rsidRPr="000A0A5F">
        <w:rPr>
          <w:lang w:eastAsia="zh-CN"/>
        </w:rPr>
        <w:t xml:space="preserve">          $ref: 'TS29122_CommonData.yaml#/components/responses/411'</w:t>
      </w:r>
    </w:p>
    <w:p w:rsidR="00491D21" w:rsidRPr="000A0A5F" w:rsidRDefault="00491D21" w:rsidP="00491D21">
      <w:pPr>
        <w:pStyle w:val="PL"/>
        <w:rPr>
          <w:lang w:eastAsia="zh-CN"/>
        </w:rPr>
      </w:pPr>
      <w:r w:rsidRPr="000A0A5F">
        <w:rPr>
          <w:lang w:eastAsia="zh-CN"/>
        </w:rPr>
        <w:t xml:space="preserve">        '413':</w:t>
      </w:r>
    </w:p>
    <w:p w:rsidR="00491D21" w:rsidRPr="000A0A5F" w:rsidRDefault="00491D21" w:rsidP="00491D21">
      <w:pPr>
        <w:pStyle w:val="PL"/>
        <w:rPr>
          <w:lang w:eastAsia="zh-CN"/>
        </w:rPr>
      </w:pPr>
      <w:r w:rsidRPr="000A0A5F">
        <w:rPr>
          <w:lang w:eastAsia="zh-CN"/>
        </w:rPr>
        <w:t xml:space="preserve">          $ref: 'TS29122_CommonData.yaml#/components/responses/413'</w:t>
      </w:r>
    </w:p>
    <w:p w:rsidR="00491D21" w:rsidRPr="000A0A5F" w:rsidRDefault="00491D21" w:rsidP="00491D21">
      <w:pPr>
        <w:pStyle w:val="PL"/>
      </w:pPr>
      <w:r w:rsidRPr="000A0A5F">
        <w:t xml:space="preserve">        '415':</w:t>
      </w:r>
    </w:p>
    <w:p w:rsidR="00491D21" w:rsidRPr="000A0A5F" w:rsidRDefault="00491D21" w:rsidP="00491D21">
      <w:pPr>
        <w:pStyle w:val="PL"/>
      </w:pPr>
      <w:r w:rsidRPr="000A0A5F">
        <w:t xml:space="preserve">          $ref: 'TS29122_CommonData.yaml#/components/responses/415'</w:t>
      </w:r>
    </w:p>
    <w:p w:rsidR="00491D21" w:rsidRPr="000A0A5F" w:rsidRDefault="00491D21" w:rsidP="00491D21">
      <w:pPr>
        <w:pStyle w:val="PL"/>
      </w:pPr>
      <w:r w:rsidRPr="000A0A5F">
        <w:t xml:space="preserve">        '429':</w:t>
      </w:r>
    </w:p>
    <w:p w:rsidR="00491D21" w:rsidRPr="000A0A5F" w:rsidRDefault="00491D21" w:rsidP="00491D21">
      <w:pPr>
        <w:pStyle w:val="PL"/>
      </w:pPr>
      <w:r w:rsidRPr="000A0A5F">
        <w:t xml:space="preserve">          $ref: 'TS29122_CommonData.yaml#/components/responses/429'</w:t>
      </w:r>
    </w:p>
    <w:p w:rsidR="00491D21" w:rsidRPr="000A0A5F" w:rsidRDefault="00491D21" w:rsidP="00491D21">
      <w:pPr>
        <w:pStyle w:val="PL"/>
      </w:pPr>
      <w:r w:rsidRPr="000A0A5F">
        <w:t xml:space="preserve">        '500':</w:t>
      </w:r>
    </w:p>
    <w:p w:rsidR="004B4675" w:rsidRPr="000A0A5F" w:rsidRDefault="00491D21" w:rsidP="00491D21">
      <w:pPr>
        <w:pStyle w:val="PL"/>
      </w:pPr>
      <w:r w:rsidRPr="000A0A5F">
        <w:t xml:space="preserve">          description: </w:t>
      </w:r>
      <w:r w:rsidR="004B4675" w:rsidRPr="000A0A5F">
        <w:t>&gt;</w:t>
      </w:r>
    </w:p>
    <w:p w:rsidR="004B4675" w:rsidRPr="000A0A5F" w:rsidRDefault="004B4675" w:rsidP="00491D21">
      <w:pPr>
        <w:pStyle w:val="PL"/>
      </w:pPr>
      <w:r w:rsidRPr="000A0A5F">
        <w:t xml:space="preserve">            </w:t>
      </w:r>
      <w:r w:rsidR="00491D21" w:rsidRPr="000A0A5F">
        <w:t>The PFDs for all applications were not modified successfully. A set of PFD Report(s) is</w:t>
      </w:r>
    </w:p>
    <w:p w:rsidR="00491D21" w:rsidRPr="000A0A5F" w:rsidRDefault="004B4675" w:rsidP="00491D21">
      <w:pPr>
        <w:pStyle w:val="PL"/>
      </w:pPr>
      <w:r w:rsidRPr="000A0A5F">
        <w:t xml:space="preserve">           </w:t>
      </w:r>
      <w:r w:rsidR="00491D21" w:rsidRPr="000A0A5F">
        <w:t xml:space="preserve"> included with detailed information.</w:t>
      </w:r>
    </w:p>
    <w:p w:rsidR="00491D21" w:rsidRPr="000A0A5F" w:rsidRDefault="00491D21" w:rsidP="00491D21">
      <w:pPr>
        <w:pStyle w:val="PL"/>
      </w:pPr>
      <w:r w:rsidRPr="000A0A5F">
        <w:t xml:space="preserve">          content:</w:t>
      </w:r>
    </w:p>
    <w:p w:rsidR="00491D21" w:rsidRPr="000A0A5F" w:rsidRDefault="00491D21" w:rsidP="00491D21">
      <w:pPr>
        <w:pStyle w:val="PL"/>
      </w:pPr>
      <w:r w:rsidRPr="000A0A5F">
        <w:t xml:space="preserve">            application/json:</w:t>
      </w:r>
    </w:p>
    <w:p w:rsidR="00491D21" w:rsidRPr="000A0A5F" w:rsidRDefault="00491D21" w:rsidP="00491D21">
      <w:pPr>
        <w:pStyle w:val="PL"/>
      </w:pPr>
      <w:r w:rsidRPr="000A0A5F">
        <w:t xml:space="preserve">              schema:</w:t>
      </w:r>
    </w:p>
    <w:p w:rsidR="00491D21" w:rsidRPr="000A0A5F" w:rsidRDefault="00491D21" w:rsidP="00491D21">
      <w:pPr>
        <w:pStyle w:val="PL"/>
      </w:pPr>
      <w:r w:rsidRPr="000A0A5F">
        <w:t xml:space="preserve">                type: array</w:t>
      </w:r>
    </w:p>
    <w:p w:rsidR="00491D21" w:rsidRPr="000A0A5F" w:rsidRDefault="00491D21" w:rsidP="00491D21">
      <w:pPr>
        <w:pStyle w:val="PL"/>
      </w:pPr>
      <w:r w:rsidRPr="000A0A5F">
        <w:t xml:space="preserve">                items:</w:t>
      </w:r>
    </w:p>
    <w:p w:rsidR="00491D21" w:rsidRPr="000A0A5F" w:rsidRDefault="00491D21" w:rsidP="00491D21">
      <w:pPr>
        <w:pStyle w:val="PL"/>
      </w:pPr>
      <w:r w:rsidRPr="000A0A5F">
        <w:t xml:space="preserve">                  $ref: '#/components/schemas/PfdReport</w:t>
      </w:r>
      <w:r w:rsidRPr="000A0A5F">
        <w:rPr>
          <w:lang w:eastAsia="zh-CN"/>
        </w:rPr>
        <w:t>'</w:t>
      </w:r>
    </w:p>
    <w:p w:rsidR="00491D21" w:rsidRPr="000A0A5F" w:rsidRDefault="00491D21" w:rsidP="00491D21">
      <w:pPr>
        <w:pStyle w:val="PL"/>
      </w:pPr>
      <w:r w:rsidRPr="000A0A5F">
        <w:t xml:space="preserve">                minItems: 1</w:t>
      </w:r>
    </w:p>
    <w:p w:rsidR="00491D21" w:rsidRPr="000A0A5F" w:rsidRDefault="00491D21" w:rsidP="00491D21">
      <w:pPr>
        <w:pStyle w:val="PL"/>
      </w:pPr>
      <w:r w:rsidRPr="000A0A5F">
        <w:t xml:space="preserve">            application/problem+json:</w:t>
      </w:r>
    </w:p>
    <w:p w:rsidR="00491D21" w:rsidRPr="000A0A5F" w:rsidRDefault="00491D21" w:rsidP="00491D21">
      <w:pPr>
        <w:pStyle w:val="PL"/>
      </w:pPr>
      <w:r w:rsidRPr="000A0A5F">
        <w:t xml:space="preserve">              schema:</w:t>
      </w:r>
    </w:p>
    <w:p w:rsidR="00491D21" w:rsidRPr="000A0A5F" w:rsidRDefault="00491D21" w:rsidP="00491D21">
      <w:pPr>
        <w:pStyle w:val="PL"/>
        <w:rPr>
          <w:lang w:eastAsia="zh-CN"/>
        </w:rPr>
      </w:pPr>
      <w:r w:rsidRPr="000A0A5F">
        <w:rPr>
          <w:lang w:eastAsia="zh-CN"/>
        </w:rPr>
        <w:t xml:space="preserve">                $ref: '</w:t>
      </w:r>
      <w:r w:rsidRPr="000A0A5F">
        <w:t>TS29122_CommonData.yaml</w:t>
      </w:r>
      <w:r w:rsidRPr="000A0A5F">
        <w:rPr>
          <w:lang w:eastAsia="zh-CN"/>
        </w:rPr>
        <w:t>#/components/schemas/ProblemDetails'</w:t>
      </w:r>
    </w:p>
    <w:p w:rsidR="00491D21" w:rsidRPr="000A0A5F" w:rsidRDefault="00491D21" w:rsidP="00491D21">
      <w:pPr>
        <w:pStyle w:val="PL"/>
        <w:rPr>
          <w:lang w:eastAsia="zh-CN"/>
        </w:rPr>
      </w:pPr>
      <w:r w:rsidRPr="000A0A5F">
        <w:rPr>
          <w:lang w:eastAsia="zh-CN"/>
        </w:rPr>
        <w:t xml:space="preserve">        '503':</w:t>
      </w:r>
    </w:p>
    <w:p w:rsidR="00491D21" w:rsidRPr="000A0A5F" w:rsidRDefault="00491D21" w:rsidP="00491D21">
      <w:pPr>
        <w:pStyle w:val="PL"/>
        <w:rPr>
          <w:lang w:eastAsia="zh-CN"/>
        </w:rPr>
      </w:pPr>
      <w:r w:rsidRPr="000A0A5F">
        <w:rPr>
          <w:lang w:eastAsia="zh-CN"/>
        </w:rPr>
        <w:t xml:space="preserve">          $ref: 'TS29122_CommonData.yaml#/components/responses/503'</w:t>
      </w:r>
    </w:p>
    <w:p w:rsidR="00491D21" w:rsidRPr="000A0A5F" w:rsidRDefault="00491D21" w:rsidP="00491D21">
      <w:pPr>
        <w:pStyle w:val="PL"/>
        <w:rPr>
          <w:lang w:eastAsia="zh-CN"/>
        </w:rPr>
      </w:pPr>
      <w:r w:rsidRPr="000A0A5F">
        <w:rPr>
          <w:lang w:eastAsia="zh-CN"/>
        </w:rPr>
        <w:t xml:space="preserve">        default:</w:t>
      </w:r>
    </w:p>
    <w:p w:rsidR="00491D21" w:rsidRPr="000A0A5F" w:rsidRDefault="00491D21" w:rsidP="00491D21">
      <w:pPr>
        <w:pStyle w:val="PL"/>
        <w:rPr>
          <w:lang w:eastAsia="zh-CN"/>
        </w:rPr>
      </w:pPr>
      <w:r w:rsidRPr="000A0A5F">
        <w:rPr>
          <w:lang w:eastAsia="zh-CN"/>
        </w:rPr>
        <w:t xml:space="preserve">          $ref: 'TS29122_CommonData.yaml#/components/responses/default'</w:t>
      </w:r>
    </w:p>
    <w:p w:rsidR="00CB0DD7" w:rsidRPr="000A0A5F" w:rsidRDefault="00CB0DD7">
      <w:pPr>
        <w:pStyle w:val="PL"/>
      </w:pPr>
      <w:r w:rsidRPr="000A0A5F">
        <w:t xml:space="preserve">    delete:</w:t>
      </w:r>
    </w:p>
    <w:p w:rsidR="001059F5" w:rsidRPr="000A0A5F" w:rsidRDefault="001059F5" w:rsidP="001059F5">
      <w:pPr>
        <w:pStyle w:val="PL"/>
      </w:pPr>
      <w:r w:rsidRPr="000A0A5F">
        <w:t xml:space="preserve">      summary: Delete PFDs </w:t>
      </w:r>
      <w:r w:rsidRPr="000A0A5F">
        <w:rPr>
          <w:lang w:eastAsia="zh-CN"/>
        </w:rPr>
        <w:t>for a given SCS/AS and a transaction for one or more external Application Identifier(s).</w:t>
      </w:r>
    </w:p>
    <w:p w:rsidR="001059F5" w:rsidRPr="000A0A5F" w:rsidRDefault="001059F5" w:rsidP="001059F5">
      <w:pPr>
        <w:pStyle w:val="PL"/>
      </w:pPr>
      <w:r w:rsidRPr="000A0A5F">
        <w:t xml:space="preserve">      </w:t>
      </w:r>
      <w:r w:rsidRPr="000A0A5F">
        <w:rPr>
          <w:rFonts w:cs="Courier New"/>
          <w:szCs w:val="16"/>
        </w:rPr>
        <w:t>operationId: DeleteInd</w:t>
      </w:r>
      <w:r w:rsidRPr="000A0A5F">
        <w:rPr>
          <w:rFonts w:hint="eastAsia"/>
          <w:lang w:eastAsia="zh-CN"/>
        </w:rPr>
        <w:t>PFDManagement</w:t>
      </w:r>
      <w:r w:rsidRPr="000A0A5F">
        <w:t>Transaction</w:t>
      </w:r>
    </w:p>
    <w:p w:rsidR="001059F5" w:rsidRPr="000A0A5F" w:rsidRDefault="001059F5" w:rsidP="001059F5">
      <w:pPr>
        <w:pStyle w:val="PL"/>
      </w:pPr>
      <w:r w:rsidRPr="000A0A5F">
        <w:t xml:space="preserve">      tags:</w:t>
      </w:r>
    </w:p>
    <w:p w:rsidR="001059F5" w:rsidRPr="000A0A5F" w:rsidRDefault="001059F5" w:rsidP="001059F5">
      <w:pPr>
        <w:pStyle w:val="PL"/>
      </w:pPr>
      <w:r w:rsidRPr="000A0A5F">
        <w:t xml:space="preserve">        - </w:t>
      </w:r>
      <w:r w:rsidRPr="000A0A5F">
        <w:rPr>
          <w:lang w:eastAsia="zh-CN"/>
        </w:rPr>
        <w:t xml:space="preserve">Individual </w:t>
      </w:r>
      <w:r w:rsidRPr="000A0A5F">
        <w:rPr>
          <w:rFonts w:hint="eastAsia"/>
          <w:lang w:eastAsia="zh-CN"/>
        </w:rPr>
        <w:t xml:space="preserve">PFD Management </w:t>
      </w:r>
      <w:r w:rsidRPr="000A0A5F">
        <w:t>Transaction</w:t>
      </w:r>
    </w:p>
    <w:p w:rsidR="00CB0DD7" w:rsidRPr="000A0A5F" w:rsidRDefault="00CB0DD7">
      <w:pPr>
        <w:pStyle w:val="PL"/>
      </w:pPr>
      <w:r w:rsidRPr="000A0A5F">
        <w:t xml:space="preserve">      responses:</w:t>
      </w:r>
    </w:p>
    <w:p w:rsidR="00CB0DD7" w:rsidRPr="000A0A5F" w:rsidRDefault="00CB0DD7">
      <w:pPr>
        <w:pStyle w:val="PL"/>
      </w:pPr>
      <w:r w:rsidRPr="000A0A5F">
        <w:t xml:space="preserve">        '204':</w:t>
      </w:r>
    </w:p>
    <w:p w:rsidR="004B4675" w:rsidRPr="000A0A5F" w:rsidRDefault="00CB0DD7">
      <w:pPr>
        <w:pStyle w:val="PL"/>
      </w:pPr>
      <w:r w:rsidRPr="000A0A5F">
        <w:t xml:space="preserve">          description: </w:t>
      </w:r>
      <w:r w:rsidR="004B4675" w:rsidRPr="000A0A5F">
        <w:t>&gt;</w:t>
      </w:r>
    </w:p>
    <w:p w:rsidR="00D94FD6" w:rsidRPr="000A0A5F" w:rsidRDefault="004B4675" w:rsidP="00D94FD6">
      <w:pPr>
        <w:pStyle w:val="PL"/>
      </w:pPr>
      <w:r w:rsidRPr="000A0A5F">
        <w:t xml:space="preserve">            </w:t>
      </w:r>
      <w:r w:rsidR="00CB0DD7" w:rsidRPr="000A0A5F">
        <w:t xml:space="preserve">No Content. The </w:t>
      </w:r>
      <w:r w:rsidR="00CB0DD7" w:rsidRPr="000A0A5F">
        <w:rPr>
          <w:lang w:eastAsia="zh-CN"/>
        </w:rPr>
        <w:t>transaction</w:t>
      </w:r>
      <w:r w:rsidR="00CB0DD7" w:rsidRPr="000A0A5F">
        <w:t xml:space="preserve"> was </w:t>
      </w:r>
      <w:r w:rsidR="00CB0DD7" w:rsidRPr="000A0A5F">
        <w:rPr>
          <w:lang w:eastAsia="zh-CN"/>
        </w:rPr>
        <w:t>deleted</w:t>
      </w:r>
      <w:r w:rsidR="00CB0DD7" w:rsidRPr="000A0A5F">
        <w:t xml:space="preserve"> successfully.</w:t>
      </w:r>
      <w:r w:rsidR="00CB0DD7" w:rsidRPr="000A0A5F">
        <w:rPr>
          <w:lang w:eastAsia="zh-CN"/>
        </w:rPr>
        <w:t xml:space="preserve"> </w:t>
      </w:r>
      <w:r w:rsidR="00D94FD6" w:rsidRPr="000A0A5F">
        <w:t>The content shall be empty.</w:t>
      </w:r>
    </w:p>
    <w:p w:rsidR="00CB0DD7" w:rsidRPr="000A0A5F" w:rsidRDefault="00CB0DD7">
      <w:pPr>
        <w:pStyle w:val="PL"/>
      </w:pPr>
      <w:r w:rsidRPr="000A0A5F">
        <w:t xml:space="preserve">        '307':</w:t>
      </w:r>
    </w:p>
    <w:p w:rsidR="00CB0DD7" w:rsidRPr="000A0A5F" w:rsidRDefault="00CB0DD7">
      <w:pPr>
        <w:pStyle w:val="PL"/>
      </w:pPr>
      <w:r w:rsidRPr="000A0A5F">
        <w:t xml:space="preserve">          $ref: 'TS29122_CommonData.yaml#/components/responses/307'</w:t>
      </w:r>
    </w:p>
    <w:p w:rsidR="00CB0DD7" w:rsidRPr="000A0A5F" w:rsidRDefault="00CB0DD7">
      <w:pPr>
        <w:pStyle w:val="PL"/>
      </w:pPr>
      <w:r w:rsidRPr="000A0A5F">
        <w:t xml:space="preserve">        '308':</w:t>
      </w:r>
    </w:p>
    <w:p w:rsidR="00CB0DD7" w:rsidRPr="000A0A5F" w:rsidRDefault="00CB0DD7">
      <w:pPr>
        <w:pStyle w:val="PL"/>
      </w:pPr>
      <w:r w:rsidRPr="000A0A5F">
        <w:t xml:space="preserve">          $ref: 'TS29122_CommonData.yaml#/components/responses/308'</w:t>
      </w:r>
    </w:p>
    <w:p w:rsidR="00CB0DD7" w:rsidRPr="000A0A5F" w:rsidRDefault="00CB0DD7">
      <w:pPr>
        <w:pStyle w:val="PL"/>
      </w:pPr>
      <w:r w:rsidRPr="000A0A5F">
        <w:t xml:space="preserve">        '400':</w:t>
      </w:r>
    </w:p>
    <w:p w:rsidR="00CB0DD7" w:rsidRPr="000A0A5F" w:rsidRDefault="00CB0DD7">
      <w:pPr>
        <w:pStyle w:val="PL"/>
      </w:pPr>
      <w:r w:rsidRPr="000A0A5F">
        <w:t xml:space="preserve">          $ref: 'TS29122_CommonData.yaml#/components/responses/400'</w:t>
      </w:r>
    </w:p>
    <w:p w:rsidR="00CB0DD7" w:rsidRPr="000A0A5F" w:rsidRDefault="00CB0DD7">
      <w:pPr>
        <w:pStyle w:val="PL"/>
      </w:pPr>
      <w:r w:rsidRPr="000A0A5F">
        <w:t xml:space="preserve">        '401':</w:t>
      </w:r>
    </w:p>
    <w:p w:rsidR="00CB0DD7" w:rsidRPr="000A0A5F" w:rsidRDefault="00CB0DD7">
      <w:pPr>
        <w:pStyle w:val="PL"/>
      </w:pPr>
      <w:r w:rsidRPr="000A0A5F">
        <w:t xml:space="preserve">          $ref: 'TS29122_CommonData.yaml#/components/responses/401'</w:t>
      </w:r>
    </w:p>
    <w:p w:rsidR="00CB0DD7" w:rsidRPr="000A0A5F" w:rsidRDefault="00CB0DD7">
      <w:pPr>
        <w:pStyle w:val="PL"/>
      </w:pPr>
      <w:r w:rsidRPr="000A0A5F">
        <w:t xml:space="preserve">        '403':</w:t>
      </w:r>
    </w:p>
    <w:p w:rsidR="00CB0DD7" w:rsidRPr="000A0A5F" w:rsidRDefault="00CB0DD7">
      <w:pPr>
        <w:pStyle w:val="PL"/>
      </w:pPr>
      <w:r w:rsidRPr="000A0A5F">
        <w:t xml:space="preserve">          $ref: 'TS29122_CommonData.yaml#/components/responses/403'</w:t>
      </w:r>
    </w:p>
    <w:p w:rsidR="00CB0DD7" w:rsidRPr="000A0A5F" w:rsidRDefault="00CB0DD7">
      <w:pPr>
        <w:pStyle w:val="PL"/>
      </w:pPr>
      <w:r w:rsidRPr="000A0A5F">
        <w:t xml:space="preserve">        '404':</w:t>
      </w:r>
    </w:p>
    <w:p w:rsidR="00CB0DD7" w:rsidRPr="000A0A5F" w:rsidRDefault="00CB0DD7">
      <w:pPr>
        <w:pStyle w:val="PL"/>
      </w:pPr>
      <w:r w:rsidRPr="000A0A5F">
        <w:t xml:space="preserve">          $ref: 'TS29122_CommonData.yaml#/components/responses/404'</w:t>
      </w:r>
    </w:p>
    <w:p w:rsidR="00CB0DD7" w:rsidRPr="000A0A5F" w:rsidRDefault="00CB0DD7">
      <w:pPr>
        <w:pStyle w:val="PL"/>
      </w:pPr>
      <w:r w:rsidRPr="000A0A5F">
        <w:t xml:space="preserve">        '429':</w:t>
      </w:r>
    </w:p>
    <w:p w:rsidR="00CB0DD7" w:rsidRPr="000A0A5F" w:rsidRDefault="00CB0DD7">
      <w:pPr>
        <w:pStyle w:val="PL"/>
      </w:pPr>
      <w:r w:rsidRPr="000A0A5F">
        <w:t xml:space="preserve">          $ref: 'TS29122_CommonData.yaml#/components/responses/429'</w:t>
      </w:r>
    </w:p>
    <w:p w:rsidR="00CB0DD7" w:rsidRPr="000A0A5F" w:rsidRDefault="00CB0DD7">
      <w:pPr>
        <w:pStyle w:val="PL"/>
      </w:pPr>
      <w:r w:rsidRPr="000A0A5F">
        <w:t xml:space="preserve">        '500':</w:t>
      </w:r>
    </w:p>
    <w:p w:rsidR="00CB0DD7" w:rsidRPr="000A0A5F" w:rsidRDefault="00CB0DD7">
      <w:pPr>
        <w:pStyle w:val="PL"/>
      </w:pPr>
      <w:r w:rsidRPr="000A0A5F">
        <w:t xml:space="preserve">          $ref: 'TS29122_CommonData.yaml#/components/responses/500'</w:t>
      </w:r>
    </w:p>
    <w:p w:rsidR="00CB0DD7" w:rsidRPr="000A0A5F" w:rsidRDefault="00CB0DD7">
      <w:pPr>
        <w:pStyle w:val="PL"/>
      </w:pPr>
      <w:r w:rsidRPr="000A0A5F">
        <w:t xml:space="preserve">        '503':</w:t>
      </w:r>
    </w:p>
    <w:p w:rsidR="00CB0DD7" w:rsidRPr="000A0A5F" w:rsidRDefault="00CB0DD7">
      <w:pPr>
        <w:pStyle w:val="PL"/>
      </w:pPr>
      <w:r w:rsidRPr="000A0A5F">
        <w:t xml:space="preserve">          $ref: 'TS29122_CommonData.yaml#/components/responses/503'</w:t>
      </w:r>
    </w:p>
    <w:p w:rsidR="00CB0DD7" w:rsidRPr="000A0A5F" w:rsidRDefault="00CB0DD7">
      <w:pPr>
        <w:pStyle w:val="PL"/>
      </w:pPr>
      <w:r w:rsidRPr="000A0A5F">
        <w:t xml:space="preserve">        default:</w:t>
      </w:r>
    </w:p>
    <w:p w:rsidR="00CB0DD7" w:rsidRPr="000A0A5F" w:rsidRDefault="00CB0DD7">
      <w:pPr>
        <w:pStyle w:val="PL"/>
      </w:pPr>
      <w:r w:rsidRPr="000A0A5F">
        <w:t xml:space="preserve">          $ref: 'TS29122_CommonData.yaml#/components/responses/default'</w:t>
      </w:r>
    </w:p>
    <w:p w:rsidR="00CB0DD7" w:rsidRPr="000A0A5F" w:rsidRDefault="00CB0DD7">
      <w:pPr>
        <w:pStyle w:val="PL"/>
      </w:pPr>
      <w:r w:rsidRPr="000A0A5F">
        <w:t xml:space="preserve">  /{scsAsId}/transactions/{transactionId}/applications/{appId}:</w:t>
      </w:r>
    </w:p>
    <w:p w:rsidR="00CB0DD7" w:rsidRPr="000A0A5F" w:rsidRDefault="00CB0DD7">
      <w:pPr>
        <w:pStyle w:val="PL"/>
      </w:pPr>
      <w:r w:rsidRPr="000A0A5F">
        <w:t xml:space="preserve">    parameters:</w:t>
      </w:r>
    </w:p>
    <w:p w:rsidR="00CB0DD7" w:rsidRPr="000A0A5F" w:rsidRDefault="00CB0DD7">
      <w:pPr>
        <w:pStyle w:val="PL"/>
      </w:pPr>
      <w:r w:rsidRPr="000A0A5F">
        <w:t xml:space="preserve">      - name: scsAsId</w:t>
      </w:r>
    </w:p>
    <w:p w:rsidR="00CB0DD7" w:rsidRPr="000A0A5F" w:rsidRDefault="00CB0DD7">
      <w:pPr>
        <w:pStyle w:val="PL"/>
      </w:pPr>
      <w:r w:rsidRPr="000A0A5F">
        <w:t xml:space="preserve">        in: path</w:t>
      </w:r>
    </w:p>
    <w:p w:rsidR="00CB0DD7" w:rsidRPr="000A0A5F" w:rsidRDefault="00CB0DD7">
      <w:pPr>
        <w:pStyle w:val="PL"/>
      </w:pPr>
      <w:r w:rsidRPr="000A0A5F">
        <w:t xml:space="preserve">        description: Identifier of the SCS/AS as defined in clause 5.2.4 of 3GPP TS 29.122.</w:t>
      </w:r>
    </w:p>
    <w:p w:rsidR="00CB0DD7" w:rsidRPr="000A0A5F" w:rsidRDefault="00CB0DD7">
      <w:pPr>
        <w:pStyle w:val="PL"/>
      </w:pPr>
      <w:r w:rsidRPr="000A0A5F">
        <w:t xml:space="preserve">        required: true</w:t>
      </w:r>
    </w:p>
    <w:p w:rsidR="00CB0DD7" w:rsidRPr="000A0A5F" w:rsidRDefault="00CB0DD7">
      <w:pPr>
        <w:pStyle w:val="PL"/>
      </w:pPr>
      <w:r w:rsidRPr="000A0A5F">
        <w:t xml:space="preserve">        schema:</w:t>
      </w:r>
    </w:p>
    <w:p w:rsidR="00CB0DD7" w:rsidRPr="000A0A5F" w:rsidRDefault="00CB0DD7">
      <w:pPr>
        <w:pStyle w:val="PL"/>
      </w:pPr>
      <w:r w:rsidRPr="000A0A5F">
        <w:t xml:space="preserve">          type: string</w:t>
      </w:r>
    </w:p>
    <w:p w:rsidR="00CB0DD7" w:rsidRPr="000A0A5F" w:rsidRDefault="00CB0DD7">
      <w:pPr>
        <w:pStyle w:val="PL"/>
      </w:pPr>
      <w:r w:rsidRPr="000A0A5F">
        <w:t xml:space="preserve">      - name: transactionId</w:t>
      </w:r>
    </w:p>
    <w:p w:rsidR="00CB0DD7" w:rsidRPr="000A0A5F" w:rsidRDefault="00CB0DD7">
      <w:pPr>
        <w:pStyle w:val="PL"/>
      </w:pPr>
      <w:r w:rsidRPr="000A0A5F">
        <w:t xml:space="preserve">        in: path</w:t>
      </w:r>
    </w:p>
    <w:p w:rsidR="00CB0DD7" w:rsidRPr="000A0A5F" w:rsidRDefault="00CB0DD7">
      <w:pPr>
        <w:pStyle w:val="PL"/>
      </w:pPr>
      <w:r w:rsidRPr="000A0A5F">
        <w:t xml:space="preserve">        description: Transaction ID</w:t>
      </w:r>
    </w:p>
    <w:p w:rsidR="00CB0DD7" w:rsidRPr="000A0A5F" w:rsidRDefault="00CB0DD7">
      <w:pPr>
        <w:pStyle w:val="PL"/>
      </w:pPr>
      <w:r w:rsidRPr="000A0A5F">
        <w:t xml:space="preserve">        required: true</w:t>
      </w:r>
    </w:p>
    <w:p w:rsidR="00CB0DD7" w:rsidRPr="000A0A5F" w:rsidRDefault="00CB0DD7">
      <w:pPr>
        <w:pStyle w:val="PL"/>
      </w:pPr>
      <w:r w:rsidRPr="000A0A5F">
        <w:t xml:space="preserve">        schema:</w:t>
      </w:r>
    </w:p>
    <w:p w:rsidR="00CB0DD7" w:rsidRPr="000A0A5F" w:rsidRDefault="00CB0DD7">
      <w:pPr>
        <w:pStyle w:val="PL"/>
      </w:pPr>
      <w:r w:rsidRPr="000A0A5F">
        <w:t xml:space="preserve">          type: string</w:t>
      </w:r>
    </w:p>
    <w:p w:rsidR="00CB0DD7" w:rsidRPr="000A0A5F" w:rsidRDefault="00CB0DD7">
      <w:pPr>
        <w:pStyle w:val="PL"/>
      </w:pPr>
      <w:r w:rsidRPr="000A0A5F">
        <w:t xml:space="preserve">      - name: appId</w:t>
      </w:r>
    </w:p>
    <w:p w:rsidR="00CB0DD7" w:rsidRPr="000A0A5F" w:rsidRDefault="00CB0DD7">
      <w:pPr>
        <w:pStyle w:val="PL"/>
      </w:pPr>
      <w:r w:rsidRPr="000A0A5F">
        <w:t xml:space="preserve">        in: path</w:t>
      </w:r>
    </w:p>
    <w:p w:rsidR="00CB0DD7" w:rsidRPr="000A0A5F" w:rsidRDefault="00CB0DD7">
      <w:pPr>
        <w:pStyle w:val="PL"/>
      </w:pPr>
      <w:r w:rsidRPr="000A0A5F">
        <w:t xml:space="preserve">        description: Identifier of the application</w:t>
      </w:r>
    </w:p>
    <w:p w:rsidR="00CB0DD7" w:rsidRPr="000A0A5F" w:rsidRDefault="00CB0DD7">
      <w:pPr>
        <w:pStyle w:val="PL"/>
      </w:pPr>
      <w:r w:rsidRPr="000A0A5F">
        <w:t xml:space="preserve">        required: true</w:t>
      </w:r>
    </w:p>
    <w:p w:rsidR="00CB0DD7" w:rsidRPr="000A0A5F" w:rsidRDefault="00CB0DD7">
      <w:pPr>
        <w:pStyle w:val="PL"/>
      </w:pPr>
      <w:r w:rsidRPr="000A0A5F">
        <w:t xml:space="preserve">        schema:</w:t>
      </w:r>
    </w:p>
    <w:p w:rsidR="00CB0DD7" w:rsidRPr="000A0A5F" w:rsidRDefault="00CB0DD7">
      <w:pPr>
        <w:pStyle w:val="PL"/>
      </w:pPr>
      <w:r w:rsidRPr="000A0A5F">
        <w:t xml:space="preserve">          type: string</w:t>
      </w:r>
    </w:p>
    <w:p w:rsidR="00CB0DD7" w:rsidRPr="000A0A5F" w:rsidRDefault="00CB0DD7">
      <w:pPr>
        <w:pStyle w:val="PL"/>
      </w:pPr>
      <w:r w:rsidRPr="000A0A5F">
        <w:t xml:space="preserve">    get:</w:t>
      </w:r>
    </w:p>
    <w:p w:rsidR="001059F5" w:rsidRPr="000A0A5F" w:rsidRDefault="001059F5" w:rsidP="001059F5">
      <w:pPr>
        <w:pStyle w:val="PL"/>
      </w:pPr>
      <w:r w:rsidRPr="000A0A5F">
        <w:t xml:space="preserve">      summary: Read PFDs </w:t>
      </w:r>
      <w:r w:rsidRPr="000A0A5F">
        <w:rPr>
          <w:lang w:eastAsia="zh-CN"/>
        </w:rPr>
        <w:t>at individual application level.</w:t>
      </w:r>
    </w:p>
    <w:p w:rsidR="001059F5" w:rsidRPr="000A0A5F" w:rsidRDefault="001059F5" w:rsidP="001059F5">
      <w:pPr>
        <w:pStyle w:val="PL"/>
      </w:pPr>
      <w:r w:rsidRPr="000A0A5F">
        <w:t xml:space="preserve">      </w:t>
      </w:r>
      <w:r w:rsidRPr="000A0A5F">
        <w:rPr>
          <w:rFonts w:cs="Courier New"/>
          <w:szCs w:val="16"/>
        </w:rPr>
        <w:t>operationId: Fetch</w:t>
      </w:r>
      <w:r w:rsidRPr="000A0A5F">
        <w:t>IndApplicationPFDManagement</w:t>
      </w:r>
    </w:p>
    <w:p w:rsidR="001059F5" w:rsidRPr="000A0A5F" w:rsidRDefault="001059F5" w:rsidP="001059F5">
      <w:pPr>
        <w:pStyle w:val="PL"/>
      </w:pPr>
      <w:r w:rsidRPr="000A0A5F">
        <w:t xml:space="preserve">      tags:</w:t>
      </w:r>
    </w:p>
    <w:p w:rsidR="001059F5" w:rsidRPr="000A0A5F" w:rsidRDefault="001059F5" w:rsidP="001059F5">
      <w:pPr>
        <w:pStyle w:val="PL"/>
      </w:pPr>
      <w:r w:rsidRPr="000A0A5F">
        <w:t xml:space="preserve">        - Individual Application PFD Management</w:t>
      </w:r>
    </w:p>
    <w:p w:rsidR="00CB0DD7" w:rsidRPr="000A0A5F" w:rsidRDefault="00CB0DD7">
      <w:pPr>
        <w:pStyle w:val="PL"/>
      </w:pPr>
      <w:r w:rsidRPr="000A0A5F">
        <w:t xml:space="preserve">      responses:</w:t>
      </w:r>
    </w:p>
    <w:p w:rsidR="00CB0DD7" w:rsidRPr="000A0A5F" w:rsidRDefault="00CB0DD7">
      <w:pPr>
        <w:pStyle w:val="PL"/>
      </w:pPr>
      <w:r w:rsidRPr="000A0A5F">
        <w:t xml:space="preserve">        '200':</w:t>
      </w:r>
    </w:p>
    <w:p w:rsidR="00CB0DD7" w:rsidRPr="000A0A5F" w:rsidRDefault="00CB0DD7">
      <w:pPr>
        <w:pStyle w:val="PL"/>
      </w:pPr>
      <w:r w:rsidRPr="000A0A5F">
        <w:t xml:space="preserve">          description: OK. The application information related to the request URI is returned.</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application/json:</w:t>
      </w:r>
    </w:p>
    <w:p w:rsidR="00CB0DD7" w:rsidRPr="000A0A5F" w:rsidRDefault="00CB0DD7">
      <w:pPr>
        <w:pStyle w:val="PL"/>
      </w:pPr>
      <w:r w:rsidRPr="000A0A5F">
        <w:t xml:space="preserve">              schema:</w:t>
      </w:r>
    </w:p>
    <w:p w:rsidR="00CB0DD7" w:rsidRPr="000A0A5F" w:rsidRDefault="00CB0DD7">
      <w:pPr>
        <w:pStyle w:val="PL"/>
      </w:pPr>
      <w:r w:rsidRPr="000A0A5F">
        <w:t xml:space="preserve">                $ref: '#/components/schemas/PfdData</w:t>
      </w:r>
      <w:r w:rsidRPr="000A0A5F">
        <w:rPr>
          <w:lang w:eastAsia="zh-CN"/>
        </w:rPr>
        <w:t>'</w:t>
      </w:r>
    </w:p>
    <w:p w:rsidR="00CB0DD7" w:rsidRPr="000A0A5F" w:rsidRDefault="00CB0DD7">
      <w:pPr>
        <w:pStyle w:val="PL"/>
      </w:pPr>
      <w:r w:rsidRPr="000A0A5F">
        <w:t xml:space="preserve">        '307':</w:t>
      </w:r>
    </w:p>
    <w:p w:rsidR="00CB0DD7" w:rsidRPr="000A0A5F" w:rsidRDefault="00CB0DD7">
      <w:pPr>
        <w:pStyle w:val="PL"/>
      </w:pPr>
      <w:r w:rsidRPr="000A0A5F">
        <w:t xml:space="preserve">          $ref: 'TS29122_CommonData.yaml#/components/responses/307'</w:t>
      </w:r>
    </w:p>
    <w:p w:rsidR="00CB0DD7" w:rsidRPr="000A0A5F" w:rsidRDefault="00CB0DD7">
      <w:pPr>
        <w:pStyle w:val="PL"/>
      </w:pPr>
      <w:r w:rsidRPr="000A0A5F">
        <w:t xml:space="preserve">        '308':</w:t>
      </w:r>
    </w:p>
    <w:p w:rsidR="00CB0DD7" w:rsidRPr="000A0A5F" w:rsidRDefault="00CB0DD7">
      <w:pPr>
        <w:pStyle w:val="PL"/>
      </w:pPr>
      <w:r w:rsidRPr="000A0A5F">
        <w:t xml:space="preserve">          $ref: 'TS29122_CommonData.yaml#/components/responses/308'</w:t>
      </w:r>
    </w:p>
    <w:p w:rsidR="00CB0DD7" w:rsidRPr="000A0A5F" w:rsidRDefault="00CB0DD7">
      <w:pPr>
        <w:pStyle w:val="PL"/>
      </w:pPr>
      <w:r w:rsidRPr="000A0A5F">
        <w:t xml:space="preserve">        '400':</w:t>
      </w:r>
    </w:p>
    <w:p w:rsidR="00CB0DD7" w:rsidRPr="000A0A5F" w:rsidRDefault="00CB0DD7">
      <w:pPr>
        <w:pStyle w:val="PL"/>
      </w:pPr>
      <w:r w:rsidRPr="000A0A5F">
        <w:t xml:space="preserve">          $ref: 'TS29122_CommonData.yaml#/components/responses/400'</w:t>
      </w:r>
    </w:p>
    <w:p w:rsidR="00CB0DD7" w:rsidRPr="000A0A5F" w:rsidRDefault="00CB0DD7">
      <w:pPr>
        <w:pStyle w:val="PL"/>
      </w:pPr>
      <w:r w:rsidRPr="000A0A5F">
        <w:t xml:space="preserve">        '401':</w:t>
      </w:r>
    </w:p>
    <w:p w:rsidR="00CB0DD7" w:rsidRPr="000A0A5F" w:rsidRDefault="00CB0DD7">
      <w:pPr>
        <w:pStyle w:val="PL"/>
      </w:pPr>
      <w:r w:rsidRPr="000A0A5F">
        <w:t xml:space="preserve">          $ref: 'TS29122_CommonData.yaml#/components/responses/401'</w:t>
      </w:r>
    </w:p>
    <w:p w:rsidR="00CB0DD7" w:rsidRPr="000A0A5F" w:rsidRDefault="00CB0DD7">
      <w:pPr>
        <w:pStyle w:val="PL"/>
      </w:pPr>
      <w:r w:rsidRPr="000A0A5F">
        <w:t xml:space="preserve">        '403':</w:t>
      </w:r>
    </w:p>
    <w:p w:rsidR="00CB0DD7" w:rsidRPr="000A0A5F" w:rsidRDefault="00CB0DD7">
      <w:pPr>
        <w:pStyle w:val="PL"/>
      </w:pPr>
      <w:r w:rsidRPr="000A0A5F">
        <w:t xml:space="preserve">          $ref: 'TS29122_CommonData.yaml#/components/responses/403'</w:t>
      </w:r>
    </w:p>
    <w:p w:rsidR="00CB0DD7" w:rsidRPr="000A0A5F" w:rsidRDefault="00CB0DD7">
      <w:pPr>
        <w:pStyle w:val="PL"/>
      </w:pPr>
      <w:r w:rsidRPr="000A0A5F">
        <w:t xml:space="preserve">        '404':</w:t>
      </w:r>
    </w:p>
    <w:p w:rsidR="00CB0DD7" w:rsidRPr="000A0A5F" w:rsidRDefault="00CB0DD7">
      <w:pPr>
        <w:pStyle w:val="PL"/>
      </w:pPr>
      <w:r w:rsidRPr="000A0A5F">
        <w:t xml:space="preserve">          $ref: 'TS29122_CommonData.yaml#/components/responses/404'</w:t>
      </w:r>
    </w:p>
    <w:p w:rsidR="00CB0DD7" w:rsidRPr="000A0A5F" w:rsidRDefault="00CB0DD7">
      <w:pPr>
        <w:pStyle w:val="PL"/>
      </w:pPr>
      <w:r w:rsidRPr="000A0A5F">
        <w:t xml:space="preserve">        '406':</w:t>
      </w:r>
    </w:p>
    <w:p w:rsidR="00CB0DD7" w:rsidRPr="000A0A5F" w:rsidRDefault="00CB0DD7">
      <w:pPr>
        <w:pStyle w:val="PL"/>
      </w:pPr>
      <w:r w:rsidRPr="000A0A5F">
        <w:t xml:space="preserve">          $ref: 'TS29122_CommonData.yaml#/components/responses/406'</w:t>
      </w:r>
    </w:p>
    <w:p w:rsidR="00CB0DD7" w:rsidRPr="000A0A5F" w:rsidRDefault="00CB0DD7">
      <w:pPr>
        <w:pStyle w:val="PL"/>
      </w:pPr>
      <w:r w:rsidRPr="000A0A5F">
        <w:t xml:space="preserve">        '429':</w:t>
      </w:r>
    </w:p>
    <w:p w:rsidR="00CB0DD7" w:rsidRPr="000A0A5F" w:rsidRDefault="00CB0DD7">
      <w:pPr>
        <w:pStyle w:val="PL"/>
      </w:pPr>
      <w:r w:rsidRPr="000A0A5F">
        <w:t xml:space="preserve">          $ref: 'TS29122_CommonData.yaml#/components/responses/429'</w:t>
      </w:r>
    </w:p>
    <w:p w:rsidR="00CB0DD7" w:rsidRPr="000A0A5F" w:rsidRDefault="00CB0DD7">
      <w:pPr>
        <w:pStyle w:val="PL"/>
      </w:pPr>
      <w:r w:rsidRPr="000A0A5F">
        <w:t xml:space="preserve">        '500':</w:t>
      </w:r>
    </w:p>
    <w:p w:rsidR="00CB0DD7" w:rsidRPr="000A0A5F" w:rsidRDefault="00CB0DD7">
      <w:pPr>
        <w:pStyle w:val="PL"/>
      </w:pPr>
      <w:r w:rsidRPr="000A0A5F">
        <w:t xml:space="preserve">          $ref: 'TS29122_CommonData.yaml#/components/responses/500'</w:t>
      </w:r>
    </w:p>
    <w:p w:rsidR="00CB0DD7" w:rsidRPr="000A0A5F" w:rsidRDefault="00CB0DD7">
      <w:pPr>
        <w:pStyle w:val="PL"/>
      </w:pPr>
      <w:r w:rsidRPr="000A0A5F">
        <w:t xml:space="preserve">        '503':</w:t>
      </w:r>
    </w:p>
    <w:p w:rsidR="00CB0DD7" w:rsidRPr="000A0A5F" w:rsidRDefault="00CB0DD7">
      <w:pPr>
        <w:pStyle w:val="PL"/>
      </w:pPr>
      <w:r w:rsidRPr="000A0A5F">
        <w:t xml:space="preserve">          $ref: 'TS29122_CommonData.yaml#/components/responses/503'</w:t>
      </w:r>
    </w:p>
    <w:p w:rsidR="00CB0DD7" w:rsidRPr="000A0A5F" w:rsidRDefault="00CB0DD7">
      <w:pPr>
        <w:pStyle w:val="PL"/>
      </w:pPr>
      <w:r w:rsidRPr="000A0A5F">
        <w:t xml:space="preserve">        default:</w:t>
      </w:r>
    </w:p>
    <w:p w:rsidR="00CB0DD7" w:rsidRPr="000A0A5F" w:rsidRDefault="00CB0DD7">
      <w:pPr>
        <w:pStyle w:val="PL"/>
      </w:pPr>
      <w:r w:rsidRPr="000A0A5F">
        <w:t xml:space="preserve">          $ref: 'TS29122_CommonData.yaml#/components/responses/default'</w:t>
      </w:r>
    </w:p>
    <w:p w:rsidR="00CB0DD7" w:rsidRPr="000A0A5F" w:rsidRDefault="00CB0DD7">
      <w:pPr>
        <w:pStyle w:val="PL"/>
      </w:pPr>
      <w:r w:rsidRPr="000A0A5F">
        <w:t xml:space="preserve">    put:</w:t>
      </w:r>
    </w:p>
    <w:p w:rsidR="001059F5" w:rsidRPr="000A0A5F" w:rsidRDefault="001059F5" w:rsidP="001059F5">
      <w:pPr>
        <w:pStyle w:val="PL"/>
      </w:pPr>
      <w:r w:rsidRPr="000A0A5F">
        <w:t xml:space="preserve">      summary: Update PFDs </w:t>
      </w:r>
      <w:r w:rsidRPr="000A0A5F">
        <w:rPr>
          <w:lang w:eastAsia="zh-CN"/>
        </w:rPr>
        <w:t>at individual application level.</w:t>
      </w:r>
    </w:p>
    <w:p w:rsidR="001059F5" w:rsidRPr="000A0A5F" w:rsidRDefault="001059F5" w:rsidP="001059F5">
      <w:pPr>
        <w:pStyle w:val="PL"/>
      </w:pPr>
      <w:r w:rsidRPr="000A0A5F">
        <w:t xml:space="preserve">      </w:t>
      </w:r>
      <w:r w:rsidRPr="000A0A5F">
        <w:rPr>
          <w:rFonts w:cs="Courier New"/>
          <w:szCs w:val="16"/>
        </w:rPr>
        <w:t>operationId: Update</w:t>
      </w:r>
      <w:r w:rsidRPr="000A0A5F">
        <w:t>IndApplicationPFDManagement</w:t>
      </w:r>
    </w:p>
    <w:p w:rsidR="001059F5" w:rsidRPr="000A0A5F" w:rsidRDefault="001059F5" w:rsidP="001059F5">
      <w:pPr>
        <w:pStyle w:val="PL"/>
      </w:pPr>
      <w:r w:rsidRPr="000A0A5F">
        <w:t xml:space="preserve">      tags:</w:t>
      </w:r>
    </w:p>
    <w:p w:rsidR="001059F5" w:rsidRPr="000A0A5F" w:rsidRDefault="001059F5" w:rsidP="001059F5">
      <w:pPr>
        <w:pStyle w:val="PL"/>
      </w:pPr>
      <w:r w:rsidRPr="000A0A5F">
        <w:t xml:space="preserve">        - Individual Application PFD Management</w:t>
      </w:r>
    </w:p>
    <w:p w:rsidR="00CB0DD7" w:rsidRPr="000A0A5F" w:rsidRDefault="00CB0DD7">
      <w:pPr>
        <w:pStyle w:val="PL"/>
      </w:pPr>
      <w:r w:rsidRPr="000A0A5F">
        <w:t xml:space="preserve">      requestBody:</w:t>
      </w:r>
    </w:p>
    <w:p w:rsidR="00CB0DD7" w:rsidRPr="000A0A5F" w:rsidRDefault="00CB0DD7">
      <w:pPr>
        <w:pStyle w:val="PL"/>
      </w:pPr>
      <w:r w:rsidRPr="000A0A5F">
        <w:t xml:space="preserve">        required: true</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application/json:</w:t>
      </w:r>
    </w:p>
    <w:p w:rsidR="00CB0DD7" w:rsidRPr="000A0A5F" w:rsidRDefault="00CB0DD7">
      <w:pPr>
        <w:pStyle w:val="PL"/>
      </w:pPr>
      <w:r w:rsidRPr="000A0A5F">
        <w:t xml:space="preserve">            schema:</w:t>
      </w:r>
    </w:p>
    <w:p w:rsidR="00CB0DD7" w:rsidRPr="000A0A5F" w:rsidRDefault="00CB0DD7">
      <w:pPr>
        <w:pStyle w:val="PL"/>
      </w:pPr>
      <w:r w:rsidRPr="000A0A5F">
        <w:t xml:space="preserve">              $ref: '#/components/schemas/PfdData'</w:t>
      </w:r>
    </w:p>
    <w:p w:rsidR="00CB0DD7" w:rsidRPr="000A0A5F" w:rsidRDefault="00CB0DD7">
      <w:pPr>
        <w:pStyle w:val="PL"/>
      </w:pPr>
      <w:r w:rsidRPr="000A0A5F">
        <w:t xml:space="preserve">        description: Change information in application.</w:t>
      </w:r>
    </w:p>
    <w:p w:rsidR="00CB0DD7" w:rsidRPr="000A0A5F" w:rsidRDefault="00CB0DD7">
      <w:pPr>
        <w:pStyle w:val="PL"/>
      </w:pPr>
      <w:r w:rsidRPr="000A0A5F">
        <w:t xml:space="preserve">      responses:</w:t>
      </w:r>
    </w:p>
    <w:p w:rsidR="00CB0DD7" w:rsidRPr="000A0A5F" w:rsidRDefault="00CB0DD7">
      <w:pPr>
        <w:pStyle w:val="PL"/>
      </w:pPr>
      <w:r w:rsidRPr="000A0A5F">
        <w:t xml:space="preserve">        '200':</w:t>
      </w:r>
    </w:p>
    <w:p w:rsidR="004B4675" w:rsidRPr="000A0A5F" w:rsidRDefault="00CB0DD7">
      <w:pPr>
        <w:pStyle w:val="PL"/>
      </w:pPr>
      <w:r w:rsidRPr="000A0A5F">
        <w:t xml:space="preserve">          description: </w:t>
      </w:r>
      <w:r w:rsidR="004B4675" w:rsidRPr="000A0A5F">
        <w:t>&gt;</w:t>
      </w:r>
    </w:p>
    <w:p w:rsidR="004B4675" w:rsidRPr="000A0A5F" w:rsidRDefault="004B4675">
      <w:pPr>
        <w:pStyle w:val="PL"/>
      </w:pPr>
      <w:r w:rsidRPr="000A0A5F">
        <w:t xml:space="preserve">            </w:t>
      </w:r>
      <w:r w:rsidR="00CB0DD7" w:rsidRPr="000A0A5F">
        <w:t>OK. The application resource was modified successfully. The SCEF shall return an updated</w:t>
      </w:r>
    </w:p>
    <w:p w:rsidR="00D94FD6" w:rsidRPr="000A0A5F" w:rsidRDefault="004B4675" w:rsidP="00D94FD6">
      <w:pPr>
        <w:pStyle w:val="PL"/>
      </w:pPr>
      <w:r w:rsidRPr="000A0A5F">
        <w:t xml:space="preserve">           </w:t>
      </w:r>
      <w:r w:rsidR="00CB0DD7" w:rsidRPr="000A0A5F">
        <w:t xml:space="preserve"> application resource in the </w:t>
      </w:r>
      <w:r w:rsidR="00D94FD6" w:rsidRPr="000A0A5F">
        <w:t>response content.</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application/json:</w:t>
      </w:r>
    </w:p>
    <w:p w:rsidR="00CB0DD7" w:rsidRPr="000A0A5F" w:rsidRDefault="00CB0DD7">
      <w:pPr>
        <w:pStyle w:val="PL"/>
      </w:pPr>
      <w:r w:rsidRPr="000A0A5F">
        <w:t xml:space="preserve">              schema:</w:t>
      </w:r>
    </w:p>
    <w:p w:rsidR="00CB0DD7" w:rsidRPr="000A0A5F" w:rsidRDefault="00CB0DD7">
      <w:pPr>
        <w:pStyle w:val="PL"/>
      </w:pPr>
      <w:r w:rsidRPr="000A0A5F">
        <w:t xml:space="preserve">                $ref: '#/components/schemas/PfdData'</w:t>
      </w:r>
    </w:p>
    <w:p w:rsidR="00CB0DD7" w:rsidRPr="000A0A5F" w:rsidRDefault="00CB0DD7">
      <w:pPr>
        <w:pStyle w:val="PL"/>
      </w:pPr>
      <w:r w:rsidRPr="000A0A5F">
        <w:t xml:space="preserve">        '204':</w:t>
      </w:r>
    </w:p>
    <w:p w:rsidR="00CB0DD7" w:rsidRPr="000A0A5F" w:rsidRDefault="00CB0DD7">
      <w:pPr>
        <w:pStyle w:val="PL"/>
        <w:rPr>
          <w:lang w:eastAsia="zh-CN"/>
        </w:rPr>
      </w:pPr>
      <w:r w:rsidRPr="000A0A5F">
        <w:t xml:space="preserve">          description: No Content.</w:t>
      </w:r>
    </w:p>
    <w:p w:rsidR="00CB0DD7" w:rsidRPr="000A0A5F" w:rsidRDefault="00CB0DD7">
      <w:pPr>
        <w:pStyle w:val="PL"/>
      </w:pPr>
      <w:r w:rsidRPr="000A0A5F">
        <w:t xml:space="preserve">        '307':</w:t>
      </w:r>
    </w:p>
    <w:p w:rsidR="00CB0DD7" w:rsidRPr="000A0A5F" w:rsidRDefault="00CB0DD7">
      <w:pPr>
        <w:pStyle w:val="PL"/>
      </w:pPr>
      <w:r w:rsidRPr="000A0A5F">
        <w:t xml:space="preserve">          $ref: 'TS29122_CommonData.yaml#/components/responses/307'</w:t>
      </w:r>
    </w:p>
    <w:p w:rsidR="00CB0DD7" w:rsidRPr="000A0A5F" w:rsidRDefault="00CB0DD7">
      <w:pPr>
        <w:pStyle w:val="PL"/>
      </w:pPr>
      <w:r w:rsidRPr="000A0A5F">
        <w:t xml:space="preserve">        '308':</w:t>
      </w:r>
    </w:p>
    <w:p w:rsidR="00CB0DD7" w:rsidRPr="000A0A5F" w:rsidRDefault="00CB0DD7">
      <w:pPr>
        <w:pStyle w:val="PL"/>
      </w:pPr>
      <w:r w:rsidRPr="000A0A5F">
        <w:t xml:space="preserve">          $ref: 'TS29122_CommonData.yaml#/components/responses/308'</w:t>
      </w:r>
    </w:p>
    <w:p w:rsidR="00CB0DD7" w:rsidRPr="000A0A5F" w:rsidRDefault="00CB0DD7">
      <w:pPr>
        <w:pStyle w:val="PL"/>
      </w:pPr>
      <w:r w:rsidRPr="000A0A5F">
        <w:t xml:space="preserve">        '400':</w:t>
      </w:r>
    </w:p>
    <w:p w:rsidR="00CB0DD7" w:rsidRPr="000A0A5F" w:rsidRDefault="00CB0DD7">
      <w:pPr>
        <w:pStyle w:val="PL"/>
      </w:pPr>
      <w:r w:rsidRPr="000A0A5F">
        <w:t xml:space="preserve">          $ref: 'TS29122_CommonData.yaml#/components/responses/400'</w:t>
      </w:r>
    </w:p>
    <w:p w:rsidR="00CB0DD7" w:rsidRPr="000A0A5F" w:rsidRDefault="00CB0DD7">
      <w:pPr>
        <w:pStyle w:val="PL"/>
      </w:pPr>
      <w:r w:rsidRPr="000A0A5F">
        <w:t xml:space="preserve">        '401':</w:t>
      </w:r>
    </w:p>
    <w:p w:rsidR="00CB0DD7" w:rsidRPr="000A0A5F" w:rsidRDefault="00CB0DD7">
      <w:pPr>
        <w:pStyle w:val="PL"/>
      </w:pPr>
      <w:r w:rsidRPr="000A0A5F">
        <w:t xml:space="preserve">          $ref: 'TS29122_CommonData.yaml#/components/responses/401'</w:t>
      </w:r>
    </w:p>
    <w:p w:rsidR="00CB0DD7" w:rsidRPr="000A0A5F" w:rsidRDefault="00CB0DD7">
      <w:pPr>
        <w:pStyle w:val="PL"/>
      </w:pPr>
      <w:r w:rsidRPr="000A0A5F">
        <w:t xml:space="preserve">        '403':</w:t>
      </w:r>
    </w:p>
    <w:p w:rsidR="00CB0DD7" w:rsidRPr="000A0A5F" w:rsidRDefault="00CB0DD7">
      <w:pPr>
        <w:pStyle w:val="PL"/>
      </w:pPr>
      <w:r w:rsidRPr="000A0A5F">
        <w:t xml:space="preserve">          description: The PFDs for the application were not updated successfully.</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application/json:</w:t>
      </w:r>
    </w:p>
    <w:p w:rsidR="00CB0DD7" w:rsidRPr="000A0A5F" w:rsidRDefault="00CB0DD7">
      <w:pPr>
        <w:pStyle w:val="PL"/>
      </w:pPr>
      <w:r w:rsidRPr="000A0A5F">
        <w:t xml:space="preserve">              schema:</w:t>
      </w:r>
    </w:p>
    <w:p w:rsidR="00CB0DD7" w:rsidRPr="000A0A5F" w:rsidRDefault="00CB0DD7">
      <w:pPr>
        <w:pStyle w:val="PL"/>
        <w:rPr>
          <w:lang w:eastAsia="zh-CN"/>
        </w:rPr>
      </w:pPr>
      <w:r w:rsidRPr="000A0A5F">
        <w:t xml:space="preserve">                $ref: '#/components/schemas/PfdReport</w:t>
      </w:r>
      <w:r w:rsidRPr="000A0A5F">
        <w:rPr>
          <w:lang w:eastAsia="zh-CN"/>
        </w:rPr>
        <w:t>'</w:t>
      </w:r>
    </w:p>
    <w:p w:rsidR="00CB0DD7" w:rsidRPr="000A0A5F" w:rsidRDefault="00CB0DD7">
      <w:pPr>
        <w:pStyle w:val="PL"/>
      </w:pPr>
      <w:r w:rsidRPr="000A0A5F">
        <w:t xml:space="preserve">            application/problem+json:</w:t>
      </w:r>
    </w:p>
    <w:p w:rsidR="00CB0DD7" w:rsidRPr="000A0A5F" w:rsidRDefault="00CB0DD7">
      <w:pPr>
        <w:pStyle w:val="PL"/>
      </w:pPr>
      <w:r w:rsidRPr="000A0A5F">
        <w:t xml:space="preserve">              schema:</w:t>
      </w:r>
    </w:p>
    <w:p w:rsidR="00CB0DD7" w:rsidRPr="000A0A5F" w:rsidRDefault="00CB0DD7">
      <w:pPr>
        <w:pStyle w:val="PL"/>
        <w:rPr>
          <w:lang w:eastAsia="zh-CN"/>
        </w:rPr>
      </w:pPr>
      <w:r w:rsidRPr="000A0A5F">
        <w:rPr>
          <w:lang w:eastAsia="zh-CN"/>
        </w:rPr>
        <w:t xml:space="preserve">                $ref: '</w:t>
      </w:r>
      <w:r w:rsidRPr="000A0A5F">
        <w:t>TS29122_CommonData.yaml</w:t>
      </w:r>
      <w:r w:rsidRPr="000A0A5F">
        <w:rPr>
          <w:lang w:eastAsia="zh-CN"/>
        </w:rPr>
        <w:t>#/components/schemas/ProblemDetails'</w:t>
      </w:r>
    </w:p>
    <w:p w:rsidR="00CB0DD7" w:rsidRPr="000A0A5F" w:rsidRDefault="00CB0DD7">
      <w:pPr>
        <w:pStyle w:val="PL"/>
      </w:pPr>
      <w:r w:rsidRPr="000A0A5F">
        <w:t xml:space="preserve">        '404':</w:t>
      </w:r>
    </w:p>
    <w:p w:rsidR="00CB0DD7" w:rsidRPr="000A0A5F" w:rsidRDefault="00CB0DD7">
      <w:pPr>
        <w:pStyle w:val="PL"/>
      </w:pPr>
      <w:r w:rsidRPr="000A0A5F">
        <w:t xml:space="preserve">          $ref: 'TS29122_CommonData.yaml#/components/responses/404'</w:t>
      </w:r>
    </w:p>
    <w:p w:rsidR="00CB0DD7" w:rsidRPr="000A0A5F" w:rsidRDefault="00CB0DD7">
      <w:pPr>
        <w:pStyle w:val="PL"/>
      </w:pPr>
      <w:r w:rsidRPr="000A0A5F">
        <w:t xml:space="preserve">        '409':</w:t>
      </w:r>
    </w:p>
    <w:p w:rsidR="00CB0DD7" w:rsidRPr="000A0A5F" w:rsidRDefault="00CB0DD7">
      <w:pPr>
        <w:pStyle w:val="PL"/>
      </w:pPr>
      <w:r w:rsidRPr="000A0A5F">
        <w:t xml:space="preserve">          description: The PFDs for the application were not updated successfully.</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application/json:</w:t>
      </w:r>
    </w:p>
    <w:p w:rsidR="00CB0DD7" w:rsidRPr="000A0A5F" w:rsidRDefault="00CB0DD7">
      <w:pPr>
        <w:pStyle w:val="PL"/>
      </w:pPr>
      <w:r w:rsidRPr="000A0A5F">
        <w:t xml:space="preserve">              schema:</w:t>
      </w:r>
    </w:p>
    <w:p w:rsidR="00CB0DD7" w:rsidRPr="000A0A5F" w:rsidRDefault="00CB0DD7">
      <w:pPr>
        <w:pStyle w:val="PL"/>
        <w:rPr>
          <w:lang w:eastAsia="zh-CN"/>
        </w:rPr>
      </w:pPr>
      <w:r w:rsidRPr="000A0A5F">
        <w:t xml:space="preserve">                $ref: '#/components/schemas/PfdReport</w:t>
      </w:r>
      <w:r w:rsidRPr="000A0A5F">
        <w:rPr>
          <w:lang w:eastAsia="zh-CN"/>
        </w:rPr>
        <w:t>'</w:t>
      </w:r>
    </w:p>
    <w:p w:rsidR="00CB0DD7" w:rsidRPr="000A0A5F" w:rsidRDefault="00CB0DD7">
      <w:pPr>
        <w:pStyle w:val="PL"/>
      </w:pPr>
      <w:r w:rsidRPr="000A0A5F">
        <w:t xml:space="preserve">            application/problem+json:</w:t>
      </w:r>
    </w:p>
    <w:p w:rsidR="00CB0DD7" w:rsidRPr="000A0A5F" w:rsidRDefault="00CB0DD7">
      <w:pPr>
        <w:pStyle w:val="PL"/>
      </w:pPr>
      <w:r w:rsidRPr="000A0A5F">
        <w:t xml:space="preserve">              schema:</w:t>
      </w:r>
    </w:p>
    <w:p w:rsidR="00CB0DD7" w:rsidRPr="000A0A5F" w:rsidRDefault="00CB0DD7">
      <w:pPr>
        <w:pStyle w:val="PL"/>
        <w:rPr>
          <w:lang w:eastAsia="zh-CN"/>
        </w:rPr>
      </w:pPr>
      <w:r w:rsidRPr="000A0A5F">
        <w:rPr>
          <w:lang w:eastAsia="zh-CN"/>
        </w:rPr>
        <w:t xml:space="preserve">                $ref: '</w:t>
      </w:r>
      <w:r w:rsidRPr="000A0A5F">
        <w:t>TS29122_CommonData.yaml</w:t>
      </w:r>
      <w:r w:rsidRPr="000A0A5F">
        <w:rPr>
          <w:lang w:eastAsia="zh-CN"/>
        </w:rPr>
        <w:t>#/components/schemas/ProblemDetails'</w:t>
      </w:r>
    </w:p>
    <w:p w:rsidR="00CB0DD7" w:rsidRPr="000A0A5F" w:rsidRDefault="00CB0DD7">
      <w:pPr>
        <w:pStyle w:val="PL"/>
        <w:rPr>
          <w:lang w:eastAsia="zh-CN"/>
        </w:rPr>
      </w:pPr>
      <w:r w:rsidRPr="000A0A5F">
        <w:rPr>
          <w:lang w:eastAsia="zh-CN"/>
        </w:rPr>
        <w:t xml:space="preserve">        '411':</w:t>
      </w:r>
    </w:p>
    <w:p w:rsidR="00CB0DD7" w:rsidRPr="000A0A5F" w:rsidRDefault="00CB0DD7">
      <w:pPr>
        <w:pStyle w:val="PL"/>
      </w:pPr>
      <w:r w:rsidRPr="000A0A5F">
        <w:rPr>
          <w:lang w:eastAsia="zh-CN"/>
        </w:rPr>
        <w:t xml:space="preserve">          $ref: 'TS29122_CommonData.yaml#/components/responses/411'</w:t>
      </w:r>
    </w:p>
    <w:p w:rsidR="00CB0DD7" w:rsidRPr="000A0A5F" w:rsidRDefault="00CB0DD7">
      <w:pPr>
        <w:pStyle w:val="PL"/>
        <w:rPr>
          <w:lang w:eastAsia="zh-CN"/>
        </w:rPr>
      </w:pPr>
      <w:r w:rsidRPr="000A0A5F">
        <w:rPr>
          <w:lang w:eastAsia="zh-CN"/>
        </w:rPr>
        <w:t xml:space="preserve">        '413':</w:t>
      </w:r>
    </w:p>
    <w:p w:rsidR="00CB0DD7" w:rsidRPr="000A0A5F" w:rsidRDefault="00CB0DD7">
      <w:pPr>
        <w:pStyle w:val="PL"/>
      </w:pPr>
      <w:r w:rsidRPr="000A0A5F">
        <w:rPr>
          <w:lang w:eastAsia="zh-CN"/>
        </w:rPr>
        <w:t xml:space="preserve">          $ref: 'TS29122_CommonData.yaml#/components/responses/413'</w:t>
      </w:r>
    </w:p>
    <w:p w:rsidR="00CB0DD7" w:rsidRPr="000A0A5F" w:rsidRDefault="00CB0DD7">
      <w:pPr>
        <w:pStyle w:val="PL"/>
        <w:rPr>
          <w:lang w:eastAsia="zh-CN"/>
        </w:rPr>
      </w:pPr>
      <w:r w:rsidRPr="000A0A5F">
        <w:rPr>
          <w:lang w:eastAsia="zh-CN"/>
        </w:rPr>
        <w:t xml:space="preserve">        '415':</w:t>
      </w:r>
    </w:p>
    <w:p w:rsidR="00CB0DD7" w:rsidRPr="000A0A5F" w:rsidRDefault="00CB0DD7">
      <w:pPr>
        <w:pStyle w:val="PL"/>
      </w:pPr>
      <w:r w:rsidRPr="000A0A5F">
        <w:rPr>
          <w:lang w:eastAsia="zh-CN"/>
        </w:rPr>
        <w:t xml:space="preserve">          $ref: 'TS29122_CommonData.yaml#/components/responses/415'</w:t>
      </w:r>
    </w:p>
    <w:p w:rsidR="00CB0DD7" w:rsidRPr="000A0A5F" w:rsidRDefault="00CB0DD7">
      <w:pPr>
        <w:pStyle w:val="PL"/>
        <w:rPr>
          <w:lang w:eastAsia="zh-CN"/>
        </w:rPr>
      </w:pPr>
      <w:r w:rsidRPr="000A0A5F">
        <w:rPr>
          <w:lang w:eastAsia="zh-CN"/>
        </w:rPr>
        <w:t xml:space="preserve">        '429':</w:t>
      </w:r>
    </w:p>
    <w:p w:rsidR="00CB0DD7" w:rsidRPr="000A0A5F" w:rsidRDefault="00CB0DD7">
      <w:pPr>
        <w:pStyle w:val="PL"/>
      </w:pPr>
      <w:r w:rsidRPr="000A0A5F">
        <w:rPr>
          <w:lang w:eastAsia="zh-CN"/>
        </w:rPr>
        <w:t xml:space="preserve">          $ref: 'TS29122_CommonData.yaml#/components/responses/429'</w:t>
      </w:r>
    </w:p>
    <w:p w:rsidR="00CB0DD7" w:rsidRPr="000A0A5F" w:rsidRDefault="00CB0DD7">
      <w:pPr>
        <w:pStyle w:val="PL"/>
      </w:pPr>
      <w:r w:rsidRPr="000A0A5F">
        <w:t xml:space="preserve">        '500':</w:t>
      </w:r>
    </w:p>
    <w:p w:rsidR="00CB0DD7" w:rsidRPr="000A0A5F" w:rsidRDefault="00CB0DD7">
      <w:pPr>
        <w:pStyle w:val="PL"/>
      </w:pPr>
      <w:r w:rsidRPr="000A0A5F">
        <w:t xml:space="preserve">          description: The PFDs for the application were not updated successfully.</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application/json:</w:t>
      </w:r>
    </w:p>
    <w:p w:rsidR="00CB0DD7" w:rsidRPr="000A0A5F" w:rsidRDefault="00CB0DD7">
      <w:pPr>
        <w:pStyle w:val="PL"/>
      </w:pPr>
      <w:r w:rsidRPr="000A0A5F">
        <w:t xml:space="preserve">              schema:</w:t>
      </w:r>
    </w:p>
    <w:p w:rsidR="00CB0DD7" w:rsidRPr="000A0A5F" w:rsidRDefault="00CB0DD7">
      <w:pPr>
        <w:pStyle w:val="PL"/>
        <w:rPr>
          <w:lang w:eastAsia="zh-CN"/>
        </w:rPr>
      </w:pPr>
      <w:r w:rsidRPr="000A0A5F">
        <w:t xml:space="preserve">                $ref: '#/components/schemas/PfdReport</w:t>
      </w:r>
      <w:r w:rsidRPr="000A0A5F">
        <w:rPr>
          <w:lang w:eastAsia="zh-CN"/>
        </w:rPr>
        <w:t>'</w:t>
      </w:r>
    </w:p>
    <w:p w:rsidR="00CB0DD7" w:rsidRPr="000A0A5F" w:rsidRDefault="00CB0DD7">
      <w:pPr>
        <w:pStyle w:val="PL"/>
      </w:pPr>
      <w:r w:rsidRPr="000A0A5F">
        <w:t xml:space="preserve">            application/problem+json:</w:t>
      </w:r>
    </w:p>
    <w:p w:rsidR="00CB0DD7" w:rsidRPr="000A0A5F" w:rsidRDefault="00CB0DD7">
      <w:pPr>
        <w:pStyle w:val="PL"/>
      </w:pPr>
      <w:r w:rsidRPr="000A0A5F">
        <w:t xml:space="preserve">              schema:</w:t>
      </w:r>
    </w:p>
    <w:p w:rsidR="00CB0DD7" w:rsidRPr="000A0A5F" w:rsidRDefault="00CB0DD7">
      <w:pPr>
        <w:pStyle w:val="PL"/>
        <w:rPr>
          <w:lang w:eastAsia="zh-CN"/>
        </w:rPr>
      </w:pPr>
      <w:r w:rsidRPr="000A0A5F">
        <w:rPr>
          <w:lang w:eastAsia="zh-CN"/>
        </w:rPr>
        <w:t xml:space="preserve">                $ref: '</w:t>
      </w:r>
      <w:r w:rsidRPr="000A0A5F">
        <w:t>TS29122_CommonData.yaml</w:t>
      </w:r>
      <w:r w:rsidRPr="000A0A5F">
        <w:rPr>
          <w:lang w:eastAsia="zh-CN"/>
        </w:rPr>
        <w:t>#/components/schemas/ProblemDetails'</w:t>
      </w:r>
    </w:p>
    <w:p w:rsidR="00CB0DD7" w:rsidRPr="000A0A5F" w:rsidRDefault="00CB0DD7">
      <w:pPr>
        <w:pStyle w:val="PL"/>
        <w:rPr>
          <w:lang w:eastAsia="zh-CN"/>
        </w:rPr>
      </w:pPr>
      <w:r w:rsidRPr="000A0A5F">
        <w:rPr>
          <w:lang w:eastAsia="zh-CN"/>
        </w:rPr>
        <w:t xml:space="preserve">        '503':</w:t>
      </w:r>
    </w:p>
    <w:p w:rsidR="00CB0DD7" w:rsidRPr="000A0A5F" w:rsidRDefault="00CB0DD7">
      <w:pPr>
        <w:pStyle w:val="PL"/>
        <w:rPr>
          <w:lang w:eastAsia="zh-CN"/>
        </w:rPr>
      </w:pPr>
      <w:r w:rsidRPr="000A0A5F">
        <w:rPr>
          <w:lang w:eastAsia="zh-CN"/>
        </w:rPr>
        <w:t xml:space="preserve">          $ref: 'TS29122_CommonData.yaml#/components/responses/503'</w:t>
      </w:r>
    </w:p>
    <w:p w:rsidR="00CB0DD7" w:rsidRPr="000A0A5F" w:rsidRDefault="00CB0DD7">
      <w:pPr>
        <w:pStyle w:val="PL"/>
        <w:rPr>
          <w:lang w:eastAsia="zh-CN"/>
        </w:rPr>
      </w:pPr>
      <w:r w:rsidRPr="000A0A5F">
        <w:rPr>
          <w:lang w:eastAsia="zh-CN"/>
        </w:rPr>
        <w:t xml:space="preserve">        default:</w:t>
      </w:r>
    </w:p>
    <w:p w:rsidR="00CB0DD7" w:rsidRPr="000A0A5F" w:rsidRDefault="00CB0DD7">
      <w:pPr>
        <w:pStyle w:val="PL"/>
        <w:rPr>
          <w:lang w:eastAsia="zh-CN"/>
        </w:rPr>
      </w:pPr>
      <w:r w:rsidRPr="000A0A5F">
        <w:rPr>
          <w:lang w:eastAsia="zh-CN"/>
        </w:rPr>
        <w:t xml:space="preserve">          $ref: 'TS29122_CommonData.yaml#/components/responses/default'</w:t>
      </w:r>
    </w:p>
    <w:p w:rsidR="00CB0DD7" w:rsidRPr="000A0A5F" w:rsidRDefault="00CB0DD7">
      <w:pPr>
        <w:pStyle w:val="PL"/>
      </w:pPr>
      <w:r w:rsidRPr="000A0A5F">
        <w:t xml:space="preserve">    patch:</w:t>
      </w:r>
    </w:p>
    <w:p w:rsidR="001059F5" w:rsidRPr="000A0A5F" w:rsidRDefault="001059F5" w:rsidP="001059F5">
      <w:pPr>
        <w:pStyle w:val="PL"/>
      </w:pPr>
      <w:r w:rsidRPr="000A0A5F">
        <w:t xml:space="preserve">      summary: Update PFDs at individual application level.</w:t>
      </w:r>
    </w:p>
    <w:p w:rsidR="001059F5" w:rsidRPr="000A0A5F" w:rsidRDefault="001059F5" w:rsidP="001059F5">
      <w:pPr>
        <w:pStyle w:val="PL"/>
      </w:pPr>
      <w:r w:rsidRPr="000A0A5F">
        <w:t xml:space="preserve">      </w:t>
      </w:r>
      <w:r w:rsidRPr="000A0A5F">
        <w:rPr>
          <w:rFonts w:cs="Courier New"/>
          <w:szCs w:val="16"/>
        </w:rPr>
        <w:t>operationId: Modify</w:t>
      </w:r>
      <w:r w:rsidRPr="000A0A5F">
        <w:t>IndApplicationPFDManagement</w:t>
      </w:r>
    </w:p>
    <w:p w:rsidR="001059F5" w:rsidRPr="000A0A5F" w:rsidRDefault="001059F5" w:rsidP="001059F5">
      <w:pPr>
        <w:pStyle w:val="PL"/>
      </w:pPr>
      <w:r w:rsidRPr="000A0A5F">
        <w:t xml:space="preserve">      tags:</w:t>
      </w:r>
    </w:p>
    <w:p w:rsidR="001059F5" w:rsidRPr="000A0A5F" w:rsidRDefault="001059F5" w:rsidP="001059F5">
      <w:pPr>
        <w:pStyle w:val="PL"/>
      </w:pPr>
      <w:r w:rsidRPr="000A0A5F">
        <w:t xml:space="preserve">        - Individual Application PFD Management</w:t>
      </w:r>
    </w:p>
    <w:p w:rsidR="00CB0DD7" w:rsidRPr="000A0A5F" w:rsidRDefault="00CB0DD7">
      <w:pPr>
        <w:pStyle w:val="PL"/>
      </w:pPr>
      <w:r w:rsidRPr="000A0A5F">
        <w:t xml:space="preserve">      requestBody:</w:t>
      </w:r>
    </w:p>
    <w:p w:rsidR="00CB0DD7" w:rsidRPr="000A0A5F" w:rsidRDefault="00CB0DD7">
      <w:pPr>
        <w:pStyle w:val="PL"/>
      </w:pPr>
      <w:r w:rsidRPr="000A0A5F">
        <w:t xml:space="preserve">        required: true</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application/merge-patch+json:</w:t>
      </w:r>
    </w:p>
    <w:p w:rsidR="00CB0DD7" w:rsidRPr="000A0A5F" w:rsidRDefault="00CB0DD7">
      <w:pPr>
        <w:pStyle w:val="PL"/>
      </w:pPr>
      <w:r w:rsidRPr="000A0A5F">
        <w:t xml:space="preserve">            schema:</w:t>
      </w:r>
    </w:p>
    <w:p w:rsidR="00CB0DD7" w:rsidRPr="000A0A5F" w:rsidRDefault="00CB0DD7">
      <w:pPr>
        <w:pStyle w:val="PL"/>
      </w:pPr>
      <w:r w:rsidRPr="000A0A5F">
        <w:t xml:space="preserve">              $ref: '#/components/schemas/PfdData</w:t>
      </w:r>
      <w:r w:rsidRPr="000A0A5F">
        <w:rPr>
          <w:lang w:eastAsia="zh-CN"/>
        </w:rPr>
        <w:t>'</w:t>
      </w:r>
    </w:p>
    <w:p w:rsidR="00CB0DD7" w:rsidRPr="000A0A5F" w:rsidRDefault="00CB0DD7">
      <w:pPr>
        <w:pStyle w:val="PL"/>
      </w:pPr>
      <w:r w:rsidRPr="000A0A5F">
        <w:t xml:space="preserve">        description: Change information in PFD management transaction.</w:t>
      </w:r>
    </w:p>
    <w:p w:rsidR="00CB0DD7" w:rsidRPr="000A0A5F" w:rsidRDefault="00CB0DD7">
      <w:pPr>
        <w:pStyle w:val="PL"/>
      </w:pPr>
      <w:r w:rsidRPr="000A0A5F">
        <w:t xml:space="preserve">      responses:</w:t>
      </w:r>
    </w:p>
    <w:p w:rsidR="00CB0DD7" w:rsidRPr="000A0A5F" w:rsidRDefault="00CB0DD7">
      <w:pPr>
        <w:pStyle w:val="PL"/>
      </w:pPr>
      <w:r w:rsidRPr="000A0A5F">
        <w:t xml:space="preserve">        '200':</w:t>
      </w:r>
    </w:p>
    <w:p w:rsidR="004B4675" w:rsidRPr="000A0A5F" w:rsidRDefault="00CB0DD7">
      <w:pPr>
        <w:pStyle w:val="PL"/>
      </w:pPr>
      <w:r w:rsidRPr="000A0A5F">
        <w:t xml:space="preserve">          description: </w:t>
      </w:r>
      <w:r w:rsidR="004B4675" w:rsidRPr="000A0A5F">
        <w:t>&gt;</w:t>
      </w:r>
    </w:p>
    <w:p w:rsidR="004B4675" w:rsidRPr="000A0A5F" w:rsidRDefault="004B4675">
      <w:pPr>
        <w:pStyle w:val="PL"/>
      </w:pPr>
      <w:r w:rsidRPr="000A0A5F">
        <w:t xml:space="preserve">            </w:t>
      </w:r>
      <w:r w:rsidR="00CB0DD7" w:rsidRPr="000A0A5F">
        <w:t>OK. The transaction was modified successfully. The SCEF shall return an updated</w:t>
      </w:r>
    </w:p>
    <w:p w:rsidR="00D94FD6" w:rsidRPr="000A0A5F" w:rsidRDefault="004B4675" w:rsidP="00D94FD6">
      <w:pPr>
        <w:pStyle w:val="PL"/>
      </w:pPr>
      <w:r w:rsidRPr="000A0A5F">
        <w:t xml:space="preserve">           </w:t>
      </w:r>
      <w:r w:rsidR="00CB0DD7" w:rsidRPr="000A0A5F">
        <w:t xml:space="preserve"> transaction in the </w:t>
      </w:r>
      <w:r w:rsidR="00D94FD6" w:rsidRPr="000A0A5F">
        <w:t>response content.</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application/json:</w:t>
      </w:r>
    </w:p>
    <w:p w:rsidR="00CB0DD7" w:rsidRPr="000A0A5F" w:rsidRDefault="00CB0DD7">
      <w:pPr>
        <w:pStyle w:val="PL"/>
      </w:pPr>
      <w:r w:rsidRPr="000A0A5F">
        <w:t xml:space="preserve">              schema:</w:t>
      </w:r>
    </w:p>
    <w:p w:rsidR="00CB0DD7" w:rsidRPr="000A0A5F" w:rsidRDefault="00CB0DD7">
      <w:pPr>
        <w:pStyle w:val="PL"/>
        <w:rPr>
          <w:lang w:eastAsia="zh-CN"/>
        </w:rPr>
      </w:pPr>
      <w:r w:rsidRPr="000A0A5F">
        <w:t xml:space="preserve">                $ref: '#/components/schemas/PfdData</w:t>
      </w:r>
      <w:r w:rsidRPr="000A0A5F">
        <w:rPr>
          <w:lang w:eastAsia="zh-CN"/>
        </w:rPr>
        <w:t>'</w:t>
      </w:r>
    </w:p>
    <w:p w:rsidR="00CB0DD7" w:rsidRPr="000A0A5F" w:rsidRDefault="00CB0DD7">
      <w:pPr>
        <w:pStyle w:val="PL"/>
      </w:pPr>
      <w:r w:rsidRPr="000A0A5F">
        <w:t xml:space="preserve">        '204':</w:t>
      </w:r>
    </w:p>
    <w:p w:rsidR="00CB0DD7" w:rsidRPr="000A0A5F" w:rsidRDefault="00CB0DD7">
      <w:pPr>
        <w:pStyle w:val="PL"/>
        <w:rPr>
          <w:lang w:eastAsia="zh-CN"/>
        </w:rPr>
      </w:pPr>
      <w:r w:rsidRPr="000A0A5F">
        <w:t xml:space="preserve">          description: No Content</w:t>
      </w:r>
    </w:p>
    <w:p w:rsidR="00CB0DD7" w:rsidRPr="000A0A5F" w:rsidRDefault="00CB0DD7">
      <w:pPr>
        <w:pStyle w:val="PL"/>
      </w:pPr>
      <w:r w:rsidRPr="000A0A5F">
        <w:t xml:space="preserve">        '307':</w:t>
      </w:r>
    </w:p>
    <w:p w:rsidR="00CB0DD7" w:rsidRPr="000A0A5F" w:rsidRDefault="00CB0DD7">
      <w:pPr>
        <w:pStyle w:val="PL"/>
      </w:pPr>
      <w:r w:rsidRPr="000A0A5F">
        <w:t xml:space="preserve">          $ref: 'TS29122_CommonData.yaml#/components/responses/307'</w:t>
      </w:r>
    </w:p>
    <w:p w:rsidR="00CB0DD7" w:rsidRPr="000A0A5F" w:rsidRDefault="00CB0DD7">
      <w:pPr>
        <w:pStyle w:val="PL"/>
      </w:pPr>
      <w:r w:rsidRPr="000A0A5F">
        <w:t xml:space="preserve">        '308':</w:t>
      </w:r>
    </w:p>
    <w:p w:rsidR="00CB0DD7" w:rsidRPr="000A0A5F" w:rsidRDefault="00CB0DD7">
      <w:pPr>
        <w:pStyle w:val="PL"/>
      </w:pPr>
      <w:r w:rsidRPr="000A0A5F">
        <w:t xml:space="preserve">          $ref: 'TS29122_CommonData.yaml#/components/responses/308'</w:t>
      </w:r>
    </w:p>
    <w:p w:rsidR="00CB0DD7" w:rsidRPr="000A0A5F" w:rsidRDefault="00CB0DD7">
      <w:pPr>
        <w:pStyle w:val="PL"/>
        <w:rPr>
          <w:lang w:eastAsia="zh-CN"/>
        </w:rPr>
      </w:pPr>
      <w:r w:rsidRPr="000A0A5F">
        <w:rPr>
          <w:lang w:eastAsia="zh-CN"/>
        </w:rPr>
        <w:t xml:space="preserve">        '400':</w:t>
      </w:r>
    </w:p>
    <w:p w:rsidR="00CB0DD7" w:rsidRPr="000A0A5F" w:rsidRDefault="00CB0DD7">
      <w:pPr>
        <w:pStyle w:val="PL"/>
        <w:rPr>
          <w:lang w:eastAsia="zh-CN"/>
        </w:rPr>
      </w:pPr>
      <w:r w:rsidRPr="000A0A5F">
        <w:rPr>
          <w:lang w:eastAsia="zh-CN"/>
        </w:rPr>
        <w:t xml:space="preserve">          $ref: 'TS29122_CommonData.yaml#/components/responses/400'</w:t>
      </w:r>
    </w:p>
    <w:p w:rsidR="00CB0DD7" w:rsidRPr="000A0A5F" w:rsidRDefault="00CB0DD7">
      <w:pPr>
        <w:pStyle w:val="PL"/>
        <w:rPr>
          <w:lang w:eastAsia="zh-CN"/>
        </w:rPr>
      </w:pPr>
      <w:r w:rsidRPr="000A0A5F">
        <w:rPr>
          <w:lang w:eastAsia="zh-CN"/>
        </w:rPr>
        <w:t xml:space="preserve">        '401':</w:t>
      </w:r>
    </w:p>
    <w:p w:rsidR="00CB0DD7" w:rsidRPr="000A0A5F" w:rsidRDefault="00CB0DD7">
      <w:pPr>
        <w:pStyle w:val="PL"/>
        <w:rPr>
          <w:lang w:eastAsia="zh-CN"/>
        </w:rPr>
      </w:pPr>
      <w:r w:rsidRPr="000A0A5F">
        <w:rPr>
          <w:lang w:eastAsia="zh-CN"/>
        </w:rPr>
        <w:t xml:space="preserve">          $ref: 'TS29122_CommonData.yaml#/components/responses/401'</w:t>
      </w:r>
    </w:p>
    <w:p w:rsidR="00CB0DD7" w:rsidRPr="000A0A5F" w:rsidRDefault="00CB0DD7">
      <w:pPr>
        <w:pStyle w:val="PL"/>
        <w:rPr>
          <w:lang w:eastAsia="zh-CN"/>
        </w:rPr>
      </w:pPr>
      <w:r w:rsidRPr="000A0A5F">
        <w:rPr>
          <w:lang w:eastAsia="zh-CN"/>
        </w:rPr>
        <w:t xml:space="preserve">        '403':</w:t>
      </w:r>
    </w:p>
    <w:p w:rsidR="00CB0DD7" w:rsidRPr="000A0A5F" w:rsidRDefault="00CB0DD7">
      <w:pPr>
        <w:pStyle w:val="PL"/>
      </w:pPr>
      <w:r w:rsidRPr="000A0A5F">
        <w:t xml:space="preserve">          description: The PFDs for the application were not updated successfully.</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application/json:</w:t>
      </w:r>
    </w:p>
    <w:p w:rsidR="00CB0DD7" w:rsidRPr="000A0A5F" w:rsidRDefault="00CB0DD7">
      <w:pPr>
        <w:pStyle w:val="PL"/>
      </w:pPr>
      <w:r w:rsidRPr="000A0A5F">
        <w:t xml:space="preserve">              schema:</w:t>
      </w:r>
    </w:p>
    <w:p w:rsidR="00CB0DD7" w:rsidRPr="000A0A5F" w:rsidRDefault="00CB0DD7">
      <w:pPr>
        <w:pStyle w:val="PL"/>
        <w:rPr>
          <w:lang w:eastAsia="zh-CN"/>
        </w:rPr>
      </w:pPr>
      <w:r w:rsidRPr="000A0A5F">
        <w:t xml:space="preserve">                $ref: '#/components/schemas/PfdReport</w:t>
      </w:r>
      <w:r w:rsidRPr="000A0A5F">
        <w:rPr>
          <w:lang w:eastAsia="zh-CN"/>
        </w:rPr>
        <w:t>'</w:t>
      </w:r>
    </w:p>
    <w:p w:rsidR="00CB0DD7" w:rsidRPr="000A0A5F" w:rsidRDefault="00CB0DD7">
      <w:pPr>
        <w:pStyle w:val="PL"/>
      </w:pPr>
      <w:r w:rsidRPr="000A0A5F">
        <w:t xml:space="preserve">            application/problem+json:</w:t>
      </w:r>
    </w:p>
    <w:p w:rsidR="00CB0DD7" w:rsidRPr="000A0A5F" w:rsidRDefault="00CB0DD7">
      <w:pPr>
        <w:pStyle w:val="PL"/>
      </w:pPr>
      <w:r w:rsidRPr="000A0A5F">
        <w:t xml:space="preserve">              schema:</w:t>
      </w:r>
    </w:p>
    <w:p w:rsidR="00CB0DD7" w:rsidRPr="000A0A5F" w:rsidRDefault="00CB0DD7">
      <w:pPr>
        <w:pStyle w:val="PL"/>
        <w:rPr>
          <w:lang w:eastAsia="zh-CN"/>
        </w:rPr>
      </w:pPr>
      <w:r w:rsidRPr="000A0A5F">
        <w:rPr>
          <w:lang w:eastAsia="zh-CN"/>
        </w:rPr>
        <w:t xml:space="preserve">                $ref: '</w:t>
      </w:r>
      <w:r w:rsidRPr="000A0A5F">
        <w:t>TS29122_CommonData.yaml</w:t>
      </w:r>
      <w:r w:rsidRPr="000A0A5F">
        <w:rPr>
          <w:lang w:eastAsia="zh-CN"/>
        </w:rPr>
        <w:t>#/components/schemas/ProblemDetails'</w:t>
      </w:r>
    </w:p>
    <w:p w:rsidR="00CB0DD7" w:rsidRPr="000A0A5F" w:rsidRDefault="00CB0DD7">
      <w:pPr>
        <w:pStyle w:val="PL"/>
        <w:rPr>
          <w:lang w:eastAsia="zh-CN"/>
        </w:rPr>
      </w:pPr>
      <w:r w:rsidRPr="000A0A5F">
        <w:rPr>
          <w:lang w:eastAsia="zh-CN"/>
        </w:rPr>
        <w:t xml:space="preserve">        '404':</w:t>
      </w:r>
    </w:p>
    <w:p w:rsidR="00CB0DD7" w:rsidRPr="000A0A5F" w:rsidRDefault="00CB0DD7">
      <w:pPr>
        <w:pStyle w:val="PL"/>
        <w:rPr>
          <w:lang w:eastAsia="zh-CN"/>
        </w:rPr>
      </w:pPr>
      <w:r w:rsidRPr="000A0A5F">
        <w:rPr>
          <w:lang w:eastAsia="zh-CN"/>
        </w:rPr>
        <w:t xml:space="preserve">          $ref: 'TS29122_CommonData.yaml#/components/responses/404'</w:t>
      </w:r>
    </w:p>
    <w:p w:rsidR="00CB0DD7" w:rsidRPr="000A0A5F" w:rsidRDefault="00CB0DD7">
      <w:pPr>
        <w:pStyle w:val="PL"/>
        <w:rPr>
          <w:lang w:eastAsia="zh-CN"/>
        </w:rPr>
      </w:pPr>
      <w:r w:rsidRPr="000A0A5F">
        <w:rPr>
          <w:lang w:eastAsia="zh-CN"/>
        </w:rPr>
        <w:t xml:space="preserve">        '409':</w:t>
      </w:r>
    </w:p>
    <w:p w:rsidR="00CB0DD7" w:rsidRPr="000A0A5F" w:rsidRDefault="00CB0DD7">
      <w:pPr>
        <w:pStyle w:val="PL"/>
      </w:pPr>
      <w:r w:rsidRPr="000A0A5F">
        <w:t xml:space="preserve">          description: The PFDs for the application were not updated successfully.</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application/json:</w:t>
      </w:r>
    </w:p>
    <w:p w:rsidR="00CB0DD7" w:rsidRPr="000A0A5F" w:rsidRDefault="00CB0DD7">
      <w:pPr>
        <w:pStyle w:val="PL"/>
      </w:pPr>
      <w:r w:rsidRPr="000A0A5F">
        <w:t xml:space="preserve">              schema:</w:t>
      </w:r>
    </w:p>
    <w:p w:rsidR="00CB0DD7" w:rsidRPr="000A0A5F" w:rsidRDefault="00CB0DD7">
      <w:pPr>
        <w:pStyle w:val="PL"/>
        <w:rPr>
          <w:lang w:eastAsia="zh-CN"/>
        </w:rPr>
      </w:pPr>
      <w:r w:rsidRPr="000A0A5F">
        <w:t xml:space="preserve">                $ref: '#/components/schemas/PfdReport</w:t>
      </w:r>
      <w:r w:rsidRPr="000A0A5F">
        <w:rPr>
          <w:lang w:eastAsia="zh-CN"/>
        </w:rPr>
        <w:t>'</w:t>
      </w:r>
    </w:p>
    <w:p w:rsidR="00CB0DD7" w:rsidRPr="000A0A5F" w:rsidRDefault="00CB0DD7">
      <w:pPr>
        <w:pStyle w:val="PL"/>
      </w:pPr>
      <w:r w:rsidRPr="000A0A5F">
        <w:t xml:space="preserve">            application/problem+json:</w:t>
      </w:r>
    </w:p>
    <w:p w:rsidR="00CB0DD7" w:rsidRPr="000A0A5F" w:rsidRDefault="00CB0DD7">
      <w:pPr>
        <w:pStyle w:val="PL"/>
      </w:pPr>
      <w:r w:rsidRPr="000A0A5F">
        <w:t xml:space="preserve">              schema:</w:t>
      </w:r>
    </w:p>
    <w:p w:rsidR="00CB0DD7" w:rsidRPr="000A0A5F" w:rsidRDefault="00CB0DD7">
      <w:pPr>
        <w:pStyle w:val="PL"/>
        <w:rPr>
          <w:lang w:eastAsia="zh-CN"/>
        </w:rPr>
      </w:pPr>
      <w:r w:rsidRPr="000A0A5F">
        <w:rPr>
          <w:lang w:eastAsia="zh-CN"/>
        </w:rPr>
        <w:t xml:space="preserve">                $ref: '</w:t>
      </w:r>
      <w:r w:rsidRPr="000A0A5F">
        <w:t>TS29122_CommonData.yaml</w:t>
      </w:r>
      <w:r w:rsidRPr="000A0A5F">
        <w:rPr>
          <w:lang w:eastAsia="zh-CN"/>
        </w:rPr>
        <w:t>#/components/schemas/ProblemDetails'</w:t>
      </w:r>
    </w:p>
    <w:p w:rsidR="00CB0DD7" w:rsidRPr="000A0A5F" w:rsidRDefault="00CB0DD7">
      <w:pPr>
        <w:pStyle w:val="PL"/>
        <w:rPr>
          <w:lang w:eastAsia="zh-CN"/>
        </w:rPr>
      </w:pPr>
      <w:r w:rsidRPr="000A0A5F">
        <w:rPr>
          <w:lang w:eastAsia="zh-CN"/>
        </w:rPr>
        <w:t xml:space="preserve">        '411':</w:t>
      </w:r>
    </w:p>
    <w:p w:rsidR="00CB0DD7" w:rsidRPr="000A0A5F" w:rsidRDefault="00CB0DD7">
      <w:pPr>
        <w:pStyle w:val="PL"/>
        <w:rPr>
          <w:lang w:eastAsia="zh-CN"/>
        </w:rPr>
      </w:pPr>
      <w:r w:rsidRPr="000A0A5F">
        <w:rPr>
          <w:lang w:eastAsia="zh-CN"/>
        </w:rPr>
        <w:t xml:space="preserve">          $ref: 'TS29122_CommonData.yaml#/components/responses/411'</w:t>
      </w:r>
    </w:p>
    <w:p w:rsidR="00CB0DD7" w:rsidRPr="000A0A5F" w:rsidRDefault="00CB0DD7">
      <w:pPr>
        <w:pStyle w:val="PL"/>
        <w:rPr>
          <w:lang w:eastAsia="zh-CN"/>
        </w:rPr>
      </w:pPr>
      <w:r w:rsidRPr="000A0A5F">
        <w:rPr>
          <w:lang w:eastAsia="zh-CN"/>
        </w:rPr>
        <w:t xml:space="preserve">        '413':</w:t>
      </w:r>
    </w:p>
    <w:p w:rsidR="00CB0DD7" w:rsidRPr="000A0A5F" w:rsidRDefault="00CB0DD7">
      <w:pPr>
        <w:pStyle w:val="PL"/>
        <w:rPr>
          <w:rFonts w:hint="eastAsia"/>
          <w:lang w:eastAsia="zh-CN"/>
        </w:rPr>
      </w:pPr>
      <w:r w:rsidRPr="000A0A5F">
        <w:rPr>
          <w:lang w:eastAsia="zh-CN"/>
        </w:rPr>
        <w:t xml:space="preserve">          $ref: 'TS29122_CommonData.yaml#/components/responses/413'</w:t>
      </w:r>
    </w:p>
    <w:p w:rsidR="00CB0DD7" w:rsidRPr="000A0A5F" w:rsidRDefault="00CB0DD7">
      <w:pPr>
        <w:pStyle w:val="PL"/>
        <w:rPr>
          <w:lang w:eastAsia="zh-CN"/>
        </w:rPr>
      </w:pPr>
      <w:r w:rsidRPr="000A0A5F">
        <w:rPr>
          <w:lang w:eastAsia="zh-CN"/>
        </w:rPr>
        <w:t xml:space="preserve">        '415':</w:t>
      </w:r>
    </w:p>
    <w:p w:rsidR="00CB0DD7" w:rsidRPr="000A0A5F" w:rsidRDefault="00CB0DD7">
      <w:pPr>
        <w:pStyle w:val="PL"/>
      </w:pPr>
      <w:r w:rsidRPr="000A0A5F">
        <w:rPr>
          <w:lang w:eastAsia="zh-CN"/>
        </w:rPr>
        <w:t xml:space="preserve">          $ref: 'TS29122_CommonData.yaml#/components/responses/415'</w:t>
      </w:r>
    </w:p>
    <w:p w:rsidR="00CB0DD7" w:rsidRPr="000A0A5F" w:rsidRDefault="00CB0DD7">
      <w:pPr>
        <w:pStyle w:val="PL"/>
        <w:rPr>
          <w:lang w:eastAsia="zh-CN"/>
        </w:rPr>
      </w:pPr>
      <w:r w:rsidRPr="000A0A5F">
        <w:rPr>
          <w:lang w:eastAsia="zh-CN"/>
        </w:rPr>
        <w:t xml:space="preserve">        '429':</w:t>
      </w:r>
    </w:p>
    <w:p w:rsidR="00CB0DD7" w:rsidRPr="000A0A5F" w:rsidRDefault="00CB0DD7">
      <w:pPr>
        <w:pStyle w:val="PL"/>
      </w:pPr>
      <w:r w:rsidRPr="000A0A5F">
        <w:rPr>
          <w:lang w:eastAsia="zh-CN"/>
        </w:rPr>
        <w:t xml:space="preserve">          $ref: 'TS29122_CommonData.yaml#/components/responses/429'</w:t>
      </w:r>
    </w:p>
    <w:p w:rsidR="00CB0DD7" w:rsidRPr="000A0A5F" w:rsidRDefault="00CB0DD7">
      <w:pPr>
        <w:pStyle w:val="PL"/>
      </w:pPr>
      <w:r w:rsidRPr="000A0A5F">
        <w:t xml:space="preserve">        '500':</w:t>
      </w:r>
    </w:p>
    <w:p w:rsidR="00CB0DD7" w:rsidRPr="000A0A5F" w:rsidRDefault="00CB0DD7">
      <w:pPr>
        <w:pStyle w:val="PL"/>
      </w:pPr>
      <w:r w:rsidRPr="000A0A5F">
        <w:t xml:space="preserve">          description: The PFDs for the application were not updated successfully.</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application/json:</w:t>
      </w:r>
    </w:p>
    <w:p w:rsidR="00CB0DD7" w:rsidRPr="000A0A5F" w:rsidRDefault="00CB0DD7">
      <w:pPr>
        <w:pStyle w:val="PL"/>
      </w:pPr>
      <w:r w:rsidRPr="000A0A5F">
        <w:t xml:space="preserve">              schema:</w:t>
      </w:r>
    </w:p>
    <w:p w:rsidR="00CB0DD7" w:rsidRPr="000A0A5F" w:rsidRDefault="00CB0DD7">
      <w:pPr>
        <w:pStyle w:val="PL"/>
        <w:rPr>
          <w:lang w:eastAsia="zh-CN"/>
        </w:rPr>
      </w:pPr>
      <w:r w:rsidRPr="000A0A5F">
        <w:t xml:space="preserve">                $ref: '#/components/schemas/PfdReport</w:t>
      </w:r>
      <w:r w:rsidRPr="000A0A5F">
        <w:rPr>
          <w:lang w:eastAsia="zh-CN"/>
        </w:rPr>
        <w:t>'</w:t>
      </w:r>
    </w:p>
    <w:p w:rsidR="00CB0DD7" w:rsidRPr="000A0A5F" w:rsidRDefault="00CB0DD7">
      <w:pPr>
        <w:pStyle w:val="PL"/>
      </w:pPr>
      <w:r w:rsidRPr="000A0A5F">
        <w:t xml:space="preserve">            application/problem+json:</w:t>
      </w:r>
    </w:p>
    <w:p w:rsidR="00CB0DD7" w:rsidRPr="000A0A5F" w:rsidRDefault="00CB0DD7">
      <w:pPr>
        <w:pStyle w:val="PL"/>
      </w:pPr>
      <w:r w:rsidRPr="000A0A5F">
        <w:t xml:space="preserve">              schema:</w:t>
      </w:r>
    </w:p>
    <w:p w:rsidR="00CB0DD7" w:rsidRPr="000A0A5F" w:rsidRDefault="00CB0DD7">
      <w:pPr>
        <w:pStyle w:val="PL"/>
        <w:rPr>
          <w:lang w:eastAsia="zh-CN"/>
        </w:rPr>
      </w:pPr>
      <w:r w:rsidRPr="000A0A5F">
        <w:rPr>
          <w:lang w:eastAsia="zh-CN"/>
        </w:rPr>
        <w:t xml:space="preserve">                $ref: '</w:t>
      </w:r>
      <w:r w:rsidRPr="000A0A5F">
        <w:t>TS29122_CommonData.yaml</w:t>
      </w:r>
      <w:r w:rsidRPr="000A0A5F">
        <w:rPr>
          <w:lang w:eastAsia="zh-CN"/>
        </w:rPr>
        <w:t>#/components/schemas/ProblemDetails'</w:t>
      </w:r>
    </w:p>
    <w:p w:rsidR="00CB0DD7" w:rsidRPr="000A0A5F" w:rsidRDefault="00CB0DD7">
      <w:pPr>
        <w:pStyle w:val="PL"/>
        <w:rPr>
          <w:lang w:eastAsia="zh-CN"/>
        </w:rPr>
      </w:pPr>
      <w:r w:rsidRPr="000A0A5F">
        <w:rPr>
          <w:lang w:eastAsia="zh-CN"/>
        </w:rPr>
        <w:t xml:space="preserve">        '503':</w:t>
      </w:r>
    </w:p>
    <w:p w:rsidR="00CB0DD7" w:rsidRPr="000A0A5F" w:rsidRDefault="00CB0DD7">
      <w:pPr>
        <w:pStyle w:val="PL"/>
        <w:rPr>
          <w:lang w:eastAsia="zh-CN"/>
        </w:rPr>
      </w:pPr>
      <w:r w:rsidRPr="000A0A5F">
        <w:rPr>
          <w:lang w:eastAsia="zh-CN"/>
        </w:rPr>
        <w:t xml:space="preserve">          $ref: 'TS29122_CommonData.yaml#/components/responses/503'</w:t>
      </w:r>
    </w:p>
    <w:p w:rsidR="00CB0DD7" w:rsidRPr="000A0A5F" w:rsidRDefault="00CB0DD7">
      <w:pPr>
        <w:pStyle w:val="PL"/>
        <w:rPr>
          <w:lang w:eastAsia="zh-CN"/>
        </w:rPr>
      </w:pPr>
      <w:r w:rsidRPr="000A0A5F">
        <w:rPr>
          <w:lang w:eastAsia="zh-CN"/>
        </w:rPr>
        <w:t xml:space="preserve">        default:</w:t>
      </w:r>
    </w:p>
    <w:p w:rsidR="00CB0DD7" w:rsidRPr="000A0A5F" w:rsidRDefault="00CB0DD7">
      <w:pPr>
        <w:pStyle w:val="PL"/>
        <w:rPr>
          <w:lang w:eastAsia="zh-CN"/>
        </w:rPr>
      </w:pPr>
      <w:r w:rsidRPr="000A0A5F">
        <w:rPr>
          <w:lang w:eastAsia="zh-CN"/>
        </w:rPr>
        <w:t xml:space="preserve">          $ref: 'TS29122_CommonData.yaml#/components/responses/default'</w:t>
      </w:r>
    </w:p>
    <w:p w:rsidR="00CB0DD7" w:rsidRPr="000A0A5F" w:rsidRDefault="00CB0DD7">
      <w:pPr>
        <w:pStyle w:val="PL"/>
      </w:pPr>
      <w:r w:rsidRPr="000A0A5F">
        <w:t xml:space="preserve">    delete:</w:t>
      </w:r>
    </w:p>
    <w:p w:rsidR="001059F5" w:rsidRPr="000A0A5F" w:rsidRDefault="001059F5" w:rsidP="001059F5">
      <w:pPr>
        <w:pStyle w:val="PL"/>
      </w:pPr>
      <w:r w:rsidRPr="000A0A5F">
        <w:t xml:space="preserve">      summary: Delete PFDs </w:t>
      </w:r>
      <w:r w:rsidRPr="000A0A5F">
        <w:rPr>
          <w:lang w:eastAsia="zh-CN"/>
        </w:rPr>
        <w:t>at individual application level.</w:t>
      </w:r>
    </w:p>
    <w:p w:rsidR="001059F5" w:rsidRPr="000A0A5F" w:rsidRDefault="001059F5" w:rsidP="001059F5">
      <w:pPr>
        <w:pStyle w:val="PL"/>
      </w:pPr>
      <w:r w:rsidRPr="000A0A5F">
        <w:t xml:space="preserve">      </w:t>
      </w:r>
      <w:r w:rsidRPr="000A0A5F">
        <w:rPr>
          <w:rFonts w:cs="Courier New"/>
          <w:szCs w:val="16"/>
        </w:rPr>
        <w:t>operationId: Delete</w:t>
      </w:r>
      <w:r w:rsidRPr="000A0A5F">
        <w:t>IndApplicationPFDManagement</w:t>
      </w:r>
    </w:p>
    <w:p w:rsidR="001059F5" w:rsidRPr="000A0A5F" w:rsidRDefault="001059F5" w:rsidP="001059F5">
      <w:pPr>
        <w:pStyle w:val="PL"/>
      </w:pPr>
      <w:r w:rsidRPr="000A0A5F">
        <w:t xml:space="preserve">      tags:</w:t>
      </w:r>
    </w:p>
    <w:p w:rsidR="001059F5" w:rsidRPr="000A0A5F" w:rsidRDefault="001059F5" w:rsidP="001059F5">
      <w:pPr>
        <w:pStyle w:val="PL"/>
      </w:pPr>
      <w:r w:rsidRPr="000A0A5F">
        <w:t xml:space="preserve">        - Individual Application PFD Management</w:t>
      </w:r>
    </w:p>
    <w:p w:rsidR="00CB0DD7" w:rsidRPr="000A0A5F" w:rsidRDefault="00CB0DD7">
      <w:pPr>
        <w:pStyle w:val="PL"/>
      </w:pPr>
      <w:r w:rsidRPr="000A0A5F">
        <w:t xml:space="preserve">      responses:</w:t>
      </w:r>
    </w:p>
    <w:p w:rsidR="00CB0DD7" w:rsidRPr="000A0A5F" w:rsidRDefault="00CB0DD7">
      <w:pPr>
        <w:pStyle w:val="PL"/>
      </w:pPr>
      <w:r w:rsidRPr="000A0A5F">
        <w:t xml:space="preserve">        '204':</w:t>
      </w:r>
    </w:p>
    <w:p w:rsidR="004B4675" w:rsidRPr="000A0A5F" w:rsidRDefault="00CB0DD7">
      <w:pPr>
        <w:pStyle w:val="PL"/>
      </w:pPr>
      <w:r w:rsidRPr="000A0A5F">
        <w:t xml:space="preserve">          description: </w:t>
      </w:r>
      <w:r w:rsidR="004B4675" w:rsidRPr="000A0A5F">
        <w:t>&gt;</w:t>
      </w:r>
    </w:p>
    <w:p w:rsidR="00D94FD6" w:rsidRPr="000A0A5F" w:rsidRDefault="004B4675" w:rsidP="00D94FD6">
      <w:pPr>
        <w:pStyle w:val="PL"/>
      </w:pPr>
      <w:r w:rsidRPr="000A0A5F">
        <w:t xml:space="preserve">            </w:t>
      </w:r>
      <w:r w:rsidR="00CB0DD7" w:rsidRPr="000A0A5F">
        <w:t xml:space="preserve">No Content. The </w:t>
      </w:r>
      <w:r w:rsidR="00CB0DD7" w:rsidRPr="000A0A5F">
        <w:rPr>
          <w:lang w:eastAsia="zh-CN"/>
        </w:rPr>
        <w:t>application</w:t>
      </w:r>
      <w:r w:rsidR="00CB0DD7" w:rsidRPr="000A0A5F">
        <w:t xml:space="preserve"> was </w:t>
      </w:r>
      <w:r w:rsidR="00CB0DD7" w:rsidRPr="000A0A5F">
        <w:rPr>
          <w:lang w:eastAsia="zh-CN"/>
        </w:rPr>
        <w:t>deleted</w:t>
      </w:r>
      <w:r w:rsidR="00CB0DD7" w:rsidRPr="000A0A5F">
        <w:t xml:space="preserve"> successfully.</w:t>
      </w:r>
      <w:r w:rsidR="00CB0DD7" w:rsidRPr="000A0A5F">
        <w:rPr>
          <w:lang w:eastAsia="zh-CN"/>
        </w:rPr>
        <w:t xml:space="preserve"> </w:t>
      </w:r>
      <w:r w:rsidR="00D94FD6" w:rsidRPr="000A0A5F">
        <w:t>The content shall be empty.</w:t>
      </w:r>
    </w:p>
    <w:p w:rsidR="00CB0DD7" w:rsidRPr="000A0A5F" w:rsidRDefault="00CB0DD7">
      <w:pPr>
        <w:pStyle w:val="PL"/>
      </w:pPr>
      <w:r w:rsidRPr="000A0A5F">
        <w:t xml:space="preserve">        '307':</w:t>
      </w:r>
    </w:p>
    <w:p w:rsidR="00CB0DD7" w:rsidRPr="000A0A5F" w:rsidRDefault="00CB0DD7">
      <w:pPr>
        <w:pStyle w:val="PL"/>
      </w:pPr>
      <w:r w:rsidRPr="000A0A5F">
        <w:t xml:space="preserve">          $ref: 'TS29122_CommonData.yaml#/components/responses/307'</w:t>
      </w:r>
    </w:p>
    <w:p w:rsidR="00CB0DD7" w:rsidRPr="000A0A5F" w:rsidRDefault="00CB0DD7">
      <w:pPr>
        <w:pStyle w:val="PL"/>
      </w:pPr>
      <w:r w:rsidRPr="000A0A5F">
        <w:t xml:space="preserve">        '308':</w:t>
      </w:r>
    </w:p>
    <w:p w:rsidR="00CB0DD7" w:rsidRPr="000A0A5F" w:rsidRDefault="00CB0DD7">
      <w:pPr>
        <w:pStyle w:val="PL"/>
      </w:pPr>
      <w:r w:rsidRPr="000A0A5F">
        <w:t xml:space="preserve">          $ref: 'TS29122_CommonData.yaml#/components/responses/308'</w:t>
      </w:r>
    </w:p>
    <w:p w:rsidR="00CB0DD7" w:rsidRPr="000A0A5F" w:rsidRDefault="00CB0DD7">
      <w:pPr>
        <w:pStyle w:val="PL"/>
      </w:pPr>
      <w:r w:rsidRPr="000A0A5F">
        <w:t xml:space="preserve">        '400':</w:t>
      </w:r>
    </w:p>
    <w:p w:rsidR="00CB0DD7" w:rsidRPr="000A0A5F" w:rsidRDefault="00CB0DD7">
      <w:pPr>
        <w:pStyle w:val="PL"/>
      </w:pPr>
      <w:r w:rsidRPr="000A0A5F">
        <w:t xml:space="preserve">          $ref: 'TS29122_CommonData.yaml#/components/responses/400'</w:t>
      </w:r>
    </w:p>
    <w:p w:rsidR="00CB0DD7" w:rsidRPr="000A0A5F" w:rsidRDefault="00CB0DD7">
      <w:pPr>
        <w:pStyle w:val="PL"/>
      </w:pPr>
      <w:r w:rsidRPr="000A0A5F">
        <w:t xml:space="preserve">        '401':</w:t>
      </w:r>
    </w:p>
    <w:p w:rsidR="00CB0DD7" w:rsidRPr="000A0A5F" w:rsidRDefault="00CB0DD7">
      <w:pPr>
        <w:pStyle w:val="PL"/>
      </w:pPr>
      <w:r w:rsidRPr="000A0A5F">
        <w:t xml:space="preserve">          $ref: 'TS29122_CommonData.yaml#/components/responses/401'</w:t>
      </w:r>
    </w:p>
    <w:p w:rsidR="00CB0DD7" w:rsidRPr="000A0A5F" w:rsidRDefault="00CB0DD7">
      <w:pPr>
        <w:pStyle w:val="PL"/>
      </w:pPr>
      <w:r w:rsidRPr="000A0A5F">
        <w:t xml:space="preserve">        '403':</w:t>
      </w:r>
    </w:p>
    <w:p w:rsidR="00CB0DD7" w:rsidRPr="000A0A5F" w:rsidRDefault="00CB0DD7">
      <w:pPr>
        <w:pStyle w:val="PL"/>
      </w:pPr>
      <w:r w:rsidRPr="000A0A5F">
        <w:t xml:space="preserve">          $ref: 'TS29122_CommonData.yaml#/components/responses/403'</w:t>
      </w:r>
    </w:p>
    <w:p w:rsidR="00CB0DD7" w:rsidRPr="000A0A5F" w:rsidRDefault="00CB0DD7">
      <w:pPr>
        <w:pStyle w:val="PL"/>
      </w:pPr>
      <w:r w:rsidRPr="000A0A5F">
        <w:t xml:space="preserve">        '404':</w:t>
      </w:r>
    </w:p>
    <w:p w:rsidR="00CB0DD7" w:rsidRPr="000A0A5F" w:rsidRDefault="00CB0DD7">
      <w:pPr>
        <w:pStyle w:val="PL"/>
      </w:pPr>
      <w:r w:rsidRPr="000A0A5F">
        <w:t xml:space="preserve">          $ref: 'TS29122_CommonData.yaml#/components/responses/404'</w:t>
      </w:r>
    </w:p>
    <w:p w:rsidR="00CB0DD7" w:rsidRPr="000A0A5F" w:rsidRDefault="00CB0DD7">
      <w:pPr>
        <w:pStyle w:val="PL"/>
      </w:pPr>
      <w:r w:rsidRPr="000A0A5F">
        <w:t xml:space="preserve">        '429':</w:t>
      </w:r>
    </w:p>
    <w:p w:rsidR="00CB0DD7" w:rsidRPr="000A0A5F" w:rsidRDefault="00CB0DD7">
      <w:pPr>
        <w:pStyle w:val="PL"/>
      </w:pPr>
      <w:r w:rsidRPr="000A0A5F">
        <w:t xml:space="preserve">          $ref: 'TS29122_CommonData.yaml#/components/responses/429'</w:t>
      </w:r>
    </w:p>
    <w:p w:rsidR="00CB0DD7" w:rsidRPr="000A0A5F" w:rsidRDefault="00CB0DD7">
      <w:pPr>
        <w:pStyle w:val="PL"/>
      </w:pPr>
      <w:r w:rsidRPr="000A0A5F">
        <w:t xml:space="preserve">        '500':</w:t>
      </w:r>
    </w:p>
    <w:p w:rsidR="00CB0DD7" w:rsidRPr="000A0A5F" w:rsidRDefault="00CB0DD7">
      <w:pPr>
        <w:pStyle w:val="PL"/>
      </w:pPr>
      <w:r w:rsidRPr="000A0A5F">
        <w:t xml:space="preserve">          $ref: 'TS29122_CommonData.yaml#/components/responses/500'</w:t>
      </w:r>
    </w:p>
    <w:p w:rsidR="00CB0DD7" w:rsidRPr="000A0A5F" w:rsidRDefault="00CB0DD7">
      <w:pPr>
        <w:pStyle w:val="PL"/>
      </w:pPr>
      <w:r w:rsidRPr="000A0A5F">
        <w:t xml:space="preserve">        '503':</w:t>
      </w:r>
    </w:p>
    <w:p w:rsidR="00CB0DD7" w:rsidRPr="000A0A5F" w:rsidRDefault="00CB0DD7">
      <w:pPr>
        <w:pStyle w:val="PL"/>
      </w:pPr>
      <w:r w:rsidRPr="000A0A5F">
        <w:t xml:space="preserve">          $ref: 'TS29122_CommonData.yaml#/components/responses/503'</w:t>
      </w:r>
    </w:p>
    <w:p w:rsidR="00CB0DD7" w:rsidRPr="000A0A5F" w:rsidRDefault="00CB0DD7">
      <w:pPr>
        <w:pStyle w:val="PL"/>
      </w:pPr>
      <w:r w:rsidRPr="000A0A5F">
        <w:t xml:space="preserve">        default:</w:t>
      </w:r>
    </w:p>
    <w:p w:rsidR="00CB0DD7" w:rsidRPr="000A0A5F" w:rsidRDefault="00CB0DD7">
      <w:pPr>
        <w:pStyle w:val="PL"/>
      </w:pPr>
      <w:r w:rsidRPr="000A0A5F">
        <w:t xml:space="preserve">          $ref: 'TS29122_CommonData.yaml#/components/responses/default'</w:t>
      </w:r>
    </w:p>
    <w:p w:rsidR="007A79E4" w:rsidRPr="000A0A5F" w:rsidRDefault="007A79E4">
      <w:pPr>
        <w:pStyle w:val="PL"/>
      </w:pPr>
    </w:p>
    <w:p w:rsidR="00CB0DD7" w:rsidRPr="000A0A5F" w:rsidRDefault="00CB0DD7">
      <w:pPr>
        <w:pStyle w:val="PL"/>
      </w:pPr>
      <w:r w:rsidRPr="000A0A5F">
        <w:t>components:</w:t>
      </w:r>
    </w:p>
    <w:p w:rsidR="00CB0DD7" w:rsidRPr="000A0A5F" w:rsidRDefault="00CB0DD7">
      <w:pPr>
        <w:pStyle w:val="PL"/>
        <w:rPr>
          <w:lang w:val="en-US"/>
        </w:rPr>
      </w:pPr>
      <w:r w:rsidRPr="000A0A5F">
        <w:rPr>
          <w:lang w:val="en-US"/>
        </w:rPr>
        <w:t xml:space="preserve">  securitySchemes:</w:t>
      </w:r>
    </w:p>
    <w:p w:rsidR="00CB0DD7" w:rsidRPr="000A0A5F" w:rsidRDefault="00CB0DD7">
      <w:pPr>
        <w:pStyle w:val="PL"/>
        <w:rPr>
          <w:lang w:val="en-US"/>
        </w:rPr>
      </w:pPr>
      <w:r w:rsidRPr="000A0A5F">
        <w:rPr>
          <w:lang w:val="en-US"/>
        </w:rPr>
        <w:t xml:space="preserve">    oAuth2ClientCredentials:</w:t>
      </w:r>
    </w:p>
    <w:p w:rsidR="00CB0DD7" w:rsidRPr="000A0A5F" w:rsidRDefault="00CB0DD7">
      <w:pPr>
        <w:pStyle w:val="PL"/>
        <w:rPr>
          <w:lang w:val="en-US"/>
        </w:rPr>
      </w:pPr>
      <w:r w:rsidRPr="000A0A5F">
        <w:rPr>
          <w:lang w:val="en-US"/>
        </w:rPr>
        <w:t xml:space="preserve">      type: oauth2</w:t>
      </w:r>
    </w:p>
    <w:p w:rsidR="00CB0DD7" w:rsidRPr="000A0A5F" w:rsidRDefault="00CB0DD7">
      <w:pPr>
        <w:pStyle w:val="PL"/>
        <w:rPr>
          <w:lang w:val="en-US"/>
        </w:rPr>
      </w:pPr>
      <w:r w:rsidRPr="000A0A5F">
        <w:rPr>
          <w:lang w:val="en-US"/>
        </w:rPr>
        <w:t xml:space="preserve">      flows:</w:t>
      </w:r>
    </w:p>
    <w:p w:rsidR="00CB0DD7" w:rsidRPr="000A0A5F" w:rsidRDefault="00CB0DD7">
      <w:pPr>
        <w:pStyle w:val="PL"/>
        <w:rPr>
          <w:lang w:val="en-US"/>
        </w:rPr>
      </w:pPr>
      <w:r w:rsidRPr="000A0A5F">
        <w:rPr>
          <w:lang w:val="en-US"/>
        </w:rPr>
        <w:t xml:space="preserve">        clientCredentials:</w:t>
      </w:r>
    </w:p>
    <w:p w:rsidR="00CB0DD7" w:rsidRPr="000A0A5F" w:rsidRDefault="00CB0DD7">
      <w:pPr>
        <w:pStyle w:val="PL"/>
        <w:rPr>
          <w:lang w:val="en-US"/>
        </w:rPr>
      </w:pPr>
      <w:r w:rsidRPr="000A0A5F">
        <w:rPr>
          <w:lang w:val="en-US"/>
        </w:rPr>
        <w:t xml:space="preserve">          tokenUrl: '{tokenUrl}'</w:t>
      </w:r>
    </w:p>
    <w:p w:rsidR="00CB0DD7" w:rsidRPr="000A0A5F" w:rsidRDefault="00CB0DD7">
      <w:pPr>
        <w:pStyle w:val="PL"/>
        <w:rPr>
          <w:lang w:val="en-US"/>
        </w:rPr>
      </w:pPr>
      <w:r w:rsidRPr="000A0A5F">
        <w:rPr>
          <w:lang w:val="en-US"/>
        </w:rPr>
        <w:t xml:space="preserve">          scopes: {}</w:t>
      </w:r>
    </w:p>
    <w:p w:rsidR="007A79E4" w:rsidRPr="000A0A5F" w:rsidRDefault="007A79E4">
      <w:pPr>
        <w:pStyle w:val="PL"/>
      </w:pPr>
    </w:p>
    <w:p w:rsidR="00CB0DD7" w:rsidRPr="000A0A5F" w:rsidRDefault="00CB0DD7">
      <w:pPr>
        <w:pStyle w:val="PL"/>
        <w:rPr>
          <w:lang w:eastAsia="zh-CN"/>
        </w:rPr>
      </w:pPr>
      <w:r w:rsidRPr="000A0A5F">
        <w:t xml:space="preserve">  schemas: </w:t>
      </w:r>
    </w:p>
    <w:p w:rsidR="00CB0DD7" w:rsidRPr="000A0A5F" w:rsidRDefault="00CB0DD7">
      <w:pPr>
        <w:pStyle w:val="PL"/>
      </w:pPr>
      <w:r w:rsidRPr="000A0A5F">
        <w:t xml:space="preserve">    PfdManagement:</w:t>
      </w:r>
    </w:p>
    <w:p w:rsidR="00CB0DD7" w:rsidRPr="000A0A5F" w:rsidRDefault="00CB0DD7">
      <w:pPr>
        <w:pStyle w:val="PL"/>
      </w:pPr>
      <w:r w:rsidRPr="000A0A5F">
        <w:t xml:space="preserve">      description: Represents a PFD management resource for a PFD management request</w:t>
      </w:r>
      <w:r w:rsidRPr="000A0A5F">
        <w:rPr>
          <w:rFonts w:cs="Arial"/>
          <w:szCs w:val="18"/>
        </w:rPr>
        <w:t>.</w:t>
      </w:r>
    </w:p>
    <w:p w:rsidR="00CB0DD7" w:rsidRPr="000A0A5F" w:rsidRDefault="00CB0DD7">
      <w:pPr>
        <w:pStyle w:val="PL"/>
      </w:pPr>
      <w:r w:rsidRPr="000A0A5F">
        <w:t xml:space="preserve">      type: object</w:t>
      </w:r>
    </w:p>
    <w:p w:rsidR="00CB0DD7" w:rsidRPr="000A0A5F" w:rsidRDefault="00CB0DD7">
      <w:pPr>
        <w:pStyle w:val="PL"/>
      </w:pPr>
      <w:r w:rsidRPr="000A0A5F">
        <w:t xml:space="preserve">      properties:</w:t>
      </w:r>
    </w:p>
    <w:p w:rsidR="00CB0DD7" w:rsidRPr="000A0A5F" w:rsidRDefault="00CB0DD7">
      <w:pPr>
        <w:pStyle w:val="PL"/>
      </w:pPr>
      <w:r w:rsidRPr="000A0A5F">
        <w:t xml:space="preserve">        self:</w:t>
      </w:r>
    </w:p>
    <w:p w:rsidR="00CB0DD7" w:rsidRPr="000A0A5F" w:rsidRDefault="00CB0DD7">
      <w:pPr>
        <w:pStyle w:val="PL"/>
      </w:pPr>
      <w:r w:rsidRPr="000A0A5F">
        <w:t xml:space="preserve">          $ref: 'TS29122_CommonData.yaml#/components/schemas/Link'</w:t>
      </w:r>
    </w:p>
    <w:p w:rsidR="00CB0DD7" w:rsidRPr="000A0A5F" w:rsidRDefault="00CB0DD7">
      <w:pPr>
        <w:pStyle w:val="PL"/>
      </w:pPr>
      <w:r w:rsidRPr="000A0A5F">
        <w:t xml:space="preserve">        </w:t>
      </w:r>
      <w:r w:rsidRPr="000A0A5F">
        <w:rPr>
          <w:lang w:eastAsia="zh-CN"/>
        </w:rPr>
        <w:t>supportedFeatures</w:t>
      </w:r>
      <w:r w:rsidRPr="000A0A5F">
        <w:t>:</w:t>
      </w:r>
    </w:p>
    <w:p w:rsidR="00CB0DD7" w:rsidRPr="000A0A5F" w:rsidRDefault="00CB0DD7">
      <w:pPr>
        <w:pStyle w:val="PL"/>
      </w:pPr>
      <w:r w:rsidRPr="000A0A5F">
        <w:t xml:space="preserve">          $ref: 'TS29571_CommonData.yaml#/components/schemas/</w:t>
      </w:r>
      <w:r w:rsidRPr="000A0A5F">
        <w:rPr>
          <w:lang w:eastAsia="zh-CN"/>
        </w:rPr>
        <w:t>SupportedFeatures</w:t>
      </w:r>
      <w:r w:rsidRPr="000A0A5F">
        <w:t>'</w:t>
      </w:r>
    </w:p>
    <w:p w:rsidR="00CB0DD7" w:rsidRPr="000A0A5F" w:rsidRDefault="00CB0DD7">
      <w:pPr>
        <w:pStyle w:val="PL"/>
      </w:pPr>
      <w:r w:rsidRPr="000A0A5F">
        <w:t xml:space="preserve">        pfdDatas:</w:t>
      </w:r>
    </w:p>
    <w:p w:rsidR="00CB0DD7" w:rsidRPr="000A0A5F" w:rsidRDefault="00CB0DD7">
      <w:pPr>
        <w:pStyle w:val="PL"/>
      </w:pPr>
      <w:r w:rsidRPr="000A0A5F">
        <w:t xml:space="preserve">          type: object</w:t>
      </w:r>
    </w:p>
    <w:p w:rsidR="00CB0DD7" w:rsidRPr="000A0A5F" w:rsidRDefault="00CB0DD7">
      <w:pPr>
        <w:pStyle w:val="PL"/>
      </w:pPr>
      <w:r w:rsidRPr="000A0A5F">
        <w:t xml:space="preserve">          additionalProperties:</w:t>
      </w:r>
    </w:p>
    <w:p w:rsidR="00CB0DD7" w:rsidRPr="000A0A5F" w:rsidRDefault="00CB0DD7">
      <w:pPr>
        <w:pStyle w:val="PL"/>
      </w:pPr>
      <w:r w:rsidRPr="000A0A5F">
        <w:t xml:space="preserve">            $ref: '#/components/schemas/PfdData'</w:t>
      </w:r>
    </w:p>
    <w:p w:rsidR="00CB0DD7" w:rsidRPr="000A0A5F" w:rsidRDefault="00CB0DD7">
      <w:pPr>
        <w:pStyle w:val="PL"/>
      </w:pPr>
      <w:r w:rsidRPr="000A0A5F">
        <w:t xml:space="preserve">          minProperties: 1</w:t>
      </w:r>
    </w:p>
    <w:p w:rsidR="007A79E4" w:rsidRPr="000A0A5F" w:rsidRDefault="00CB0DD7">
      <w:pPr>
        <w:pStyle w:val="PL"/>
      </w:pPr>
      <w:r w:rsidRPr="000A0A5F">
        <w:t xml:space="preserve">          description: </w:t>
      </w:r>
      <w:r w:rsidR="007A79E4" w:rsidRPr="000A0A5F">
        <w:t>&gt;</w:t>
      </w:r>
    </w:p>
    <w:p w:rsidR="007A79E4" w:rsidRPr="000A0A5F" w:rsidRDefault="007A79E4">
      <w:pPr>
        <w:pStyle w:val="PL"/>
      </w:pPr>
      <w:r w:rsidRPr="000A0A5F">
        <w:t xml:space="preserve">            </w:t>
      </w:r>
      <w:r w:rsidR="00CB0DD7" w:rsidRPr="000A0A5F">
        <w:t>Each element uniquely identifies the PFDs for an external application identifier.</w:t>
      </w:r>
    </w:p>
    <w:p w:rsidR="007A79E4" w:rsidRPr="000A0A5F" w:rsidRDefault="007A79E4">
      <w:pPr>
        <w:pStyle w:val="PL"/>
      </w:pPr>
      <w:r w:rsidRPr="000A0A5F">
        <w:t xml:space="preserve">           </w:t>
      </w:r>
      <w:r w:rsidR="00CB0DD7" w:rsidRPr="000A0A5F">
        <w:t xml:space="preserve"> Each element is identified in the map via an external application identifier as key.</w:t>
      </w:r>
    </w:p>
    <w:p w:rsidR="00CB0DD7" w:rsidRPr="000A0A5F" w:rsidRDefault="007A79E4">
      <w:pPr>
        <w:pStyle w:val="PL"/>
      </w:pPr>
      <w:r w:rsidRPr="000A0A5F">
        <w:t xml:space="preserve">           </w:t>
      </w:r>
      <w:r w:rsidR="00CB0DD7" w:rsidRPr="000A0A5F">
        <w:t xml:space="preserve"> </w:t>
      </w:r>
      <w:r w:rsidR="00CB0DD7" w:rsidRPr="000A0A5F">
        <w:rPr>
          <w:rFonts w:eastAsia="Times New Roman" w:cs="Arial"/>
          <w:szCs w:val="18"/>
        </w:rPr>
        <w:t>The response shall include successfully provisioned PFD data of application(s).</w:t>
      </w:r>
    </w:p>
    <w:p w:rsidR="00CB0DD7" w:rsidRPr="000A0A5F" w:rsidRDefault="00CB0DD7">
      <w:pPr>
        <w:pStyle w:val="PL"/>
      </w:pPr>
      <w:r w:rsidRPr="000A0A5F">
        <w:t xml:space="preserve">        pfdReports:</w:t>
      </w:r>
    </w:p>
    <w:p w:rsidR="00CB0DD7" w:rsidRPr="000A0A5F" w:rsidRDefault="00CB0DD7">
      <w:pPr>
        <w:pStyle w:val="PL"/>
      </w:pPr>
      <w:r w:rsidRPr="000A0A5F">
        <w:t xml:space="preserve">          type: object</w:t>
      </w:r>
    </w:p>
    <w:p w:rsidR="00CB0DD7" w:rsidRPr="000A0A5F" w:rsidRDefault="00CB0DD7">
      <w:pPr>
        <w:pStyle w:val="PL"/>
      </w:pPr>
      <w:r w:rsidRPr="000A0A5F">
        <w:t xml:space="preserve">          additionalProperties:</w:t>
      </w:r>
    </w:p>
    <w:p w:rsidR="00CB0DD7" w:rsidRPr="000A0A5F" w:rsidRDefault="00CB0DD7">
      <w:pPr>
        <w:pStyle w:val="PL"/>
      </w:pPr>
      <w:r w:rsidRPr="000A0A5F">
        <w:t xml:space="preserve">            $ref: '#/components/schemas/PfdReport'</w:t>
      </w:r>
    </w:p>
    <w:p w:rsidR="00CB0DD7" w:rsidRPr="000A0A5F" w:rsidRDefault="00CB0DD7">
      <w:pPr>
        <w:pStyle w:val="PL"/>
      </w:pPr>
      <w:r w:rsidRPr="000A0A5F">
        <w:t xml:space="preserve">          minProperties: 1</w:t>
      </w:r>
    </w:p>
    <w:p w:rsidR="007A79E4" w:rsidRPr="000A0A5F" w:rsidRDefault="00CB0DD7">
      <w:pPr>
        <w:pStyle w:val="PL"/>
      </w:pPr>
      <w:r w:rsidRPr="000A0A5F">
        <w:t xml:space="preserve">          description: </w:t>
      </w:r>
      <w:r w:rsidR="007A79E4" w:rsidRPr="000A0A5F">
        <w:t>&gt;</w:t>
      </w:r>
    </w:p>
    <w:p w:rsidR="007A79E4" w:rsidRPr="000A0A5F" w:rsidRDefault="007A79E4">
      <w:pPr>
        <w:pStyle w:val="PL"/>
      </w:pPr>
      <w:r w:rsidRPr="000A0A5F">
        <w:t xml:space="preserve">            </w:t>
      </w:r>
      <w:r w:rsidR="00CB0DD7" w:rsidRPr="000A0A5F">
        <w:t>Supplied by the SCEF and contains the external application identifiers for which PFD(s)</w:t>
      </w:r>
    </w:p>
    <w:p w:rsidR="007A79E4" w:rsidRPr="000A0A5F" w:rsidRDefault="007A79E4">
      <w:pPr>
        <w:pStyle w:val="PL"/>
      </w:pPr>
      <w:r w:rsidRPr="000A0A5F">
        <w:t xml:space="preserve">           </w:t>
      </w:r>
      <w:r w:rsidR="00CB0DD7" w:rsidRPr="000A0A5F">
        <w:t xml:space="preserve"> are not added or modified successfully. The failure reason is also included.</w:t>
      </w:r>
    </w:p>
    <w:p w:rsidR="007A79E4" w:rsidRPr="000A0A5F" w:rsidRDefault="007A79E4">
      <w:pPr>
        <w:pStyle w:val="PL"/>
      </w:pPr>
      <w:r w:rsidRPr="000A0A5F">
        <w:t xml:space="preserve">           </w:t>
      </w:r>
      <w:r w:rsidR="00CB0DD7" w:rsidRPr="000A0A5F">
        <w:t xml:space="preserve"> Each element provides the related information for one or more external application</w:t>
      </w:r>
    </w:p>
    <w:p w:rsidR="00CB0DD7" w:rsidRPr="000A0A5F" w:rsidRDefault="007A79E4">
      <w:pPr>
        <w:pStyle w:val="PL"/>
      </w:pPr>
      <w:r w:rsidRPr="000A0A5F">
        <w:t xml:space="preserve">           </w:t>
      </w:r>
      <w:r w:rsidR="00CB0DD7" w:rsidRPr="000A0A5F">
        <w:t xml:space="preserve"> identifier(s) and is identified in the map via the failure identifier as key.</w:t>
      </w:r>
    </w:p>
    <w:p w:rsidR="00CB0DD7" w:rsidRPr="000A0A5F" w:rsidRDefault="00CB0DD7">
      <w:pPr>
        <w:pStyle w:val="PL"/>
      </w:pPr>
      <w:r w:rsidRPr="000A0A5F">
        <w:t xml:space="preserve">          readOnly: true</w:t>
      </w:r>
    </w:p>
    <w:p w:rsidR="00CB0DD7" w:rsidRPr="000A0A5F" w:rsidRDefault="00CB0DD7">
      <w:pPr>
        <w:pStyle w:val="PL"/>
      </w:pPr>
      <w:r w:rsidRPr="000A0A5F">
        <w:t xml:space="preserve">        notificationDestination:</w:t>
      </w:r>
    </w:p>
    <w:p w:rsidR="00CB0DD7" w:rsidRPr="000A0A5F" w:rsidRDefault="00CB0DD7">
      <w:pPr>
        <w:pStyle w:val="PL"/>
      </w:pPr>
      <w:r w:rsidRPr="000A0A5F">
        <w:t xml:space="preserve">          $ref: 'TS29122_CommonData.yaml#/components/schemas/Link'</w:t>
      </w:r>
    </w:p>
    <w:p w:rsidR="00CB0DD7" w:rsidRPr="000A0A5F" w:rsidRDefault="00CB0DD7">
      <w:pPr>
        <w:pStyle w:val="PL"/>
      </w:pPr>
      <w:r w:rsidRPr="000A0A5F">
        <w:t xml:space="preserve">        requestTestNotification:</w:t>
      </w:r>
    </w:p>
    <w:p w:rsidR="00CB0DD7" w:rsidRPr="000A0A5F" w:rsidRDefault="00CB0DD7">
      <w:pPr>
        <w:pStyle w:val="PL"/>
      </w:pPr>
      <w:r w:rsidRPr="000A0A5F">
        <w:t xml:space="preserve">          type: boolean</w:t>
      </w:r>
    </w:p>
    <w:p w:rsidR="007A79E4" w:rsidRPr="000A0A5F" w:rsidRDefault="00CB0DD7">
      <w:pPr>
        <w:pStyle w:val="PL"/>
      </w:pPr>
      <w:r w:rsidRPr="000A0A5F">
        <w:t xml:space="preserve">          description: </w:t>
      </w:r>
      <w:r w:rsidR="007A79E4" w:rsidRPr="000A0A5F">
        <w:t>&gt;</w:t>
      </w:r>
    </w:p>
    <w:p w:rsidR="007A79E4" w:rsidRPr="000A0A5F" w:rsidRDefault="007A79E4">
      <w:pPr>
        <w:pStyle w:val="PL"/>
      </w:pPr>
      <w:r w:rsidRPr="000A0A5F">
        <w:t xml:space="preserve">            </w:t>
      </w:r>
      <w:r w:rsidR="00CB0DD7" w:rsidRPr="000A0A5F">
        <w:t>Set to true by the SCS/AS to request the SCEF to send a test notification as defined</w:t>
      </w:r>
    </w:p>
    <w:p w:rsidR="00CB0DD7" w:rsidRPr="000A0A5F" w:rsidRDefault="007A79E4">
      <w:pPr>
        <w:pStyle w:val="PL"/>
      </w:pPr>
      <w:r w:rsidRPr="000A0A5F">
        <w:t xml:space="preserve">           </w:t>
      </w:r>
      <w:r w:rsidR="00CB0DD7" w:rsidRPr="000A0A5F">
        <w:t xml:space="preserve"> in clause</w:t>
      </w:r>
      <w:r w:rsidR="00115EC8" w:rsidRPr="000A0A5F">
        <w:t xml:space="preserve"> </w:t>
      </w:r>
      <w:r w:rsidR="00CB0DD7" w:rsidRPr="000A0A5F">
        <w:t>5.2.5.3. Set to false or omitted otherwise.</w:t>
      </w:r>
    </w:p>
    <w:p w:rsidR="00CB0DD7" w:rsidRPr="000A0A5F" w:rsidRDefault="00CB0DD7">
      <w:pPr>
        <w:pStyle w:val="PL"/>
      </w:pPr>
      <w:r w:rsidRPr="000A0A5F">
        <w:t xml:space="preserve">        websockNotifConfig:</w:t>
      </w:r>
    </w:p>
    <w:p w:rsidR="00CB0DD7" w:rsidRPr="000A0A5F" w:rsidRDefault="00CB0DD7">
      <w:pPr>
        <w:pStyle w:val="PL"/>
      </w:pPr>
      <w:r w:rsidRPr="000A0A5F">
        <w:t xml:space="preserve">          $ref: 'TS29122_CommonData.yaml#/components/schemas/WebsockNotifConfig'</w:t>
      </w:r>
    </w:p>
    <w:p w:rsidR="00CB0DD7" w:rsidRPr="000A0A5F" w:rsidRDefault="00CB0DD7">
      <w:pPr>
        <w:pStyle w:val="PL"/>
      </w:pPr>
      <w:r w:rsidRPr="000A0A5F">
        <w:t xml:space="preserve">      required:</w:t>
      </w:r>
    </w:p>
    <w:p w:rsidR="00CB0DD7" w:rsidRPr="000A0A5F" w:rsidRDefault="00CB0DD7">
      <w:pPr>
        <w:pStyle w:val="PL"/>
      </w:pPr>
      <w:r w:rsidRPr="000A0A5F">
        <w:t xml:space="preserve">        - pfdDatas</w:t>
      </w:r>
    </w:p>
    <w:p w:rsidR="007A79E4" w:rsidRPr="000A0A5F" w:rsidRDefault="007A79E4">
      <w:pPr>
        <w:pStyle w:val="PL"/>
      </w:pPr>
    </w:p>
    <w:p w:rsidR="00CB0DD7" w:rsidRPr="000A0A5F" w:rsidRDefault="00CB0DD7">
      <w:pPr>
        <w:pStyle w:val="PL"/>
      </w:pPr>
      <w:r w:rsidRPr="000A0A5F">
        <w:t xml:space="preserve">    PfdData:</w:t>
      </w:r>
    </w:p>
    <w:p w:rsidR="007A79E4" w:rsidRPr="000A0A5F" w:rsidRDefault="00CB0DD7">
      <w:pPr>
        <w:pStyle w:val="PL"/>
      </w:pPr>
      <w:r w:rsidRPr="000A0A5F">
        <w:t xml:space="preserve">      description: </w:t>
      </w:r>
      <w:r w:rsidR="007A79E4" w:rsidRPr="000A0A5F">
        <w:t>&gt;</w:t>
      </w:r>
    </w:p>
    <w:p w:rsidR="007A79E4" w:rsidRPr="000A0A5F" w:rsidRDefault="007A79E4">
      <w:pPr>
        <w:pStyle w:val="PL"/>
      </w:pPr>
      <w:r w:rsidRPr="000A0A5F">
        <w:t xml:space="preserve">        </w:t>
      </w:r>
      <w:r w:rsidR="00CB0DD7" w:rsidRPr="000A0A5F">
        <w:t>Represents a PFD request to add, update or remove PFD(s) for one external application</w:t>
      </w:r>
    </w:p>
    <w:p w:rsidR="00CB0DD7" w:rsidRPr="000A0A5F" w:rsidRDefault="007A79E4">
      <w:pPr>
        <w:pStyle w:val="PL"/>
      </w:pPr>
      <w:r w:rsidRPr="000A0A5F">
        <w:t xml:space="preserve">       </w:t>
      </w:r>
      <w:r w:rsidR="00CB0DD7" w:rsidRPr="000A0A5F">
        <w:t xml:space="preserve"> identifier</w:t>
      </w:r>
      <w:r w:rsidR="00CB0DD7" w:rsidRPr="000A0A5F">
        <w:rPr>
          <w:rFonts w:cs="Arial"/>
          <w:szCs w:val="18"/>
        </w:rPr>
        <w:t>.</w:t>
      </w:r>
    </w:p>
    <w:p w:rsidR="00CB0DD7" w:rsidRPr="000A0A5F" w:rsidRDefault="00CB0DD7">
      <w:pPr>
        <w:pStyle w:val="PL"/>
      </w:pPr>
      <w:r w:rsidRPr="000A0A5F">
        <w:t xml:space="preserve">      type: object</w:t>
      </w:r>
    </w:p>
    <w:p w:rsidR="00CB0DD7" w:rsidRPr="000A0A5F" w:rsidRDefault="00CB0DD7">
      <w:pPr>
        <w:pStyle w:val="PL"/>
      </w:pPr>
      <w:r w:rsidRPr="000A0A5F">
        <w:t xml:space="preserve">      properties:</w:t>
      </w:r>
    </w:p>
    <w:p w:rsidR="00CB0DD7" w:rsidRPr="000A0A5F" w:rsidRDefault="00CB0DD7">
      <w:pPr>
        <w:pStyle w:val="PL"/>
      </w:pPr>
      <w:r w:rsidRPr="000A0A5F">
        <w:t xml:space="preserve">        externalAppId:</w:t>
      </w:r>
    </w:p>
    <w:p w:rsidR="00CB0DD7" w:rsidRPr="000A0A5F" w:rsidRDefault="00CB0DD7">
      <w:pPr>
        <w:pStyle w:val="PL"/>
      </w:pPr>
      <w:r w:rsidRPr="000A0A5F">
        <w:t xml:space="preserve">          type: string</w:t>
      </w:r>
    </w:p>
    <w:p w:rsidR="00CB0DD7" w:rsidRPr="000A0A5F" w:rsidRDefault="00CB0DD7">
      <w:pPr>
        <w:pStyle w:val="PL"/>
      </w:pPr>
      <w:r w:rsidRPr="000A0A5F">
        <w:t xml:space="preserve">          description: Each element uniquely external application identifier</w:t>
      </w:r>
    </w:p>
    <w:p w:rsidR="00CB0DD7" w:rsidRPr="000A0A5F" w:rsidRDefault="00CB0DD7">
      <w:pPr>
        <w:pStyle w:val="PL"/>
      </w:pPr>
      <w:r w:rsidRPr="000A0A5F">
        <w:t xml:space="preserve">        self:</w:t>
      </w:r>
    </w:p>
    <w:p w:rsidR="00CB0DD7" w:rsidRPr="000A0A5F" w:rsidRDefault="00CB0DD7">
      <w:pPr>
        <w:pStyle w:val="PL"/>
      </w:pPr>
      <w:r w:rsidRPr="000A0A5F">
        <w:t xml:space="preserve">          $ref: 'TS29122_CommonData.yaml#/components/schemas/Link'</w:t>
      </w:r>
    </w:p>
    <w:p w:rsidR="00CB0DD7" w:rsidRPr="000A0A5F" w:rsidRDefault="00CB0DD7">
      <w:pPr>
        <w:pStyle w:val="PL"/>
      </w:pPr>
      <w:r w:rsidRPr="000A0A5F">
        <w:t xml:space="preserve">        pfds:</w:t>
      </w:r>
    </w:p>
    <w:p w:rsidR="00CB0DD7" w:rsidRPr="000A0A5F" w:rsidRDefault="00CB0DD7">
      <w:pPr>
        <w:pStyle w:val="PL"/>
      </w:pPr>
      <w:r w:rsidRPr="000A0A5F">
        <w:t xml:space="preserve">          type: object</w:t>
      </w:r>
    </w:p>
    <w:p w:rsidR="00CB0DD7" w:rsidRPr="000A0A5F" w:rsidRDefault="00CB0DD7">
      <w:pPr>
        <w:pStyle w:val="PL"/>
      </w:pPr>
      <w:r w:rsidRPr="000A0A5F">
        <w:t xml:space="preserve">          additionalProperties:</w:t>
      </w:r>
    </w:p>
    <w:p w:rsidR="00CB0DD7" w:rsidRPr="000A0A5F" w:rsidRDefault="00CB0DD7">
      <w:pPr>
        <w:pStyle w:val="PL"/>
      </w:pPr>
      <w:r w:rsidRPr="000A0A5F">
        <w:t xml:space="preserve">            $ref: '#/components/schemas/Pfd'</w:t>
      </w:r>
    </w:p>
    <w:p w:rsidR="007A79E4" w:rsidRPr="000A0A5F" w:rsidRDefault="00CB0DD7">
      <w:pPr>
        <w:pStyle w:val="PL"/>
      </w:pPr>
      <w:r w:rsidRPr="000A0A5F">
        <w:t xml:space="preserve">          description: </w:t>
      </w:r>
      <w:r w:rsidR="007A79E4" w:rsidRPr="000A0A5F">
        <w:t>&gt;</w:t>
      </w:r>
    </w:p>
    <w:p w:rsidR="007A79E4" w:rsidRPr="000A0A5F" w:rsidRDefault="007A79E4">
      <w:pPr>
        <w:pStyle w:val="PL"/>
      </w:pPr>
      <w:r w:rsidRPr="000A0A5F">
        <w:t xml:space="preserve">            </w:t>
      </w:r>
      <w:r w:rsidR="00CB0DD7" w:rsidRPr="000A0A5F">
        <w:t>Contains the PFDs of the external application identifier. Each PFD is identified in</w:t>
      </w:r>
    </w:p>
    <w:p w:rsidR="00CB0DD7" w:rsidRPr="000A0A5F" w:rsidRDefault="007A79E4">
      <w:pPr>
        <w:pStyle w:val="PL"/>
      </w:pPr>
      <w:r w:rsidRPr="000A0A5F">
        <w:t xml:space="preserve">           </w:t>
      </w:r>
      <w:r w:rsidR="00CB0DD7" w:rsidRPr="000A0A5F">
        <w:t xml:space="preserve"> the map via a key containing the PFD identifier. </w:t>
      </w:r>
    </w:p>
    <w:p w:rsidR="00CB0DD7" w:rsidRPr="000A0A5F" w:rsidRDefault="00CB0DD7">
      <w:pPr>
        <w:pStyle w:val="PL"/>
      </w:pPr>
      <w:r w:rsidRPr="000A0A5F">
        <w:t xml:space="preserve">        allowedDelay:</w:t>
      </w:r>
    </w:p>
    <w:p w:rsidR="00CB0DD7" w:rsidRPr="000A0A5F" w:rsidRDefault="00CB0DD7">
      <w:pPr>
        <w:pStyle w:val="PL"/>
      </w:pPr>
      <w:r w:rsidRPr="000A0A5F">
        <w:t xml:space="preserve">          $ref: 'TS29122_CommonData.yaml#/components/schemas/DurationSecRm'</w:t>
      </w:r>
    </w:p>
    <w:p w:rsidR="00CB0DD7" w:rsidRPr="000A0A5F" w:rsidRDefault="00CB0DD7">
      <w:pPr>
        <w:pStyle w:val="PL"/>
      </w:pPr>
      <w:r w:rsidRPr="000A0A5F">
        <w:t xml:space="preserve">        cachingTime:</w:t>
      </w:r>
    </w:p>
    <w:p w:rsidR="00CB0DD7" w:rsidRPr="000A0A5F" w:rsidRDefault="00CB0DD7">
      <w:pPr>
        <w:pStyle w:val="PL"/>
      </w:pPr>
      <w:r w:rsidRPr="000A0A5F">
        <w:t xml:space="preserve">          $ref: 'TS29122_CommonData.yaml#/components/schemas/DurationSecRo'</w:t>
      </w:r>
    </w:p>
    <w:p w:rsidR="00CB0DD7" w:rsidRPr="000A0A5F" w:rsidRDefault="00CB0DD7">
      <w:pPr>
        <w:pStyle w:val="PL"/>
      </w:pPr>
      <w:r w:rsidRPr="000A0A5F">
        <w:t xml:space="preserve">      required:</w:t>
      </w:r>
    </w:p>
    <w:p w:rsidR="00CB0DD7" w:rsidRPr="000A0A5F" w:rsidRDefault="00CB0DD7">
      <w:pPr>
        <w:pStyle w:val="PL"/>
      </w:pPr>
      <w:r w:rsidRPr="000A0A5F">
        <w:t xml:space="preserve">        - externalAppId</w:t>
      </w:r>
    </w:p>
    <w:p w:rsidR="00CB0DD7" w:rsidRPr="000A0A5F" w:rsidRDefault="00CB0DD7">
      <w:pPr>
        <w:pStyle w:val="PL"/>
      </w:pPr>
      <w:r w:rsidRPr="000A0A5F">
        <w:t xml:space="preserve">        - pfds</w:t>
      </w:r>
    </w:p>
    <w:p w:rsidR="007A79E4" w:rsidRPr="000A0A5F" w:rsidRDefault="007A79E4">
      <w:pPr>
        <w:pStyle w:val="PL"/>
      </w:pPr>
    </w:p>
    <w:p w:rsidR="00CB0DD7" w:rsidRPr="000A0A5F" w:rsidRDefault="00CB0DD7">
      <w:pPr>
        <w:pStyle w:val="PL"/>
      </w:pPr>
      <w:r w:rsidRPr="000A0A5F">
        <w:t xml:space="preserve">    Pfd:</w:t>
      </w:r>
    </w:p>
    <w:p w:rsidR="00CB0DD7" w:rsidRPr="000A0A5F" w:rsidRDefault="00CB0DD7">
      <w:pPr>
        <w:pStyle w:val="PL"/>
      </w:pPr>
      <w:r w:rsidRPr="000A0A5F">
        <w:t xml:space="preserve">      description: Represents a PFD for an external Application Identifier</w:t>
      </w:r>
      <w:r w:rsidRPr="000A0A5F">
        <w:rPr>
          <w:rFonts w:cs="Arial"/>
          <w:szCs w:val="18"/>
        </w:rPr>
        <w:t>.</w:t>
      </w:r>
    </w:p>
    <w:p w:rsidR="00CB0DD7" w:rsidRPr="000A0A5F" w:rsidRDefault="00CB0DD7">
      <w:pPr>
        <w:pStyle w:val="PL"/>
      </w:pPr>
      <w:r w:rsidRPr="000A0A5F">
        <w:t xml:space="preserve">      type: object</w:t>
      </w:r>
    </w:p>
    <w:p w:rsidR="00CB0DD7" w:rsidRPr="000A0A5F" w:rsidRDefault="00CB0DD7">
      <w:pPr>
        <w:pStyle w:val="PL"/>
      </w:pPr>
      <w:r w:rsidRPr="000A0A5F">
        <w:t xml:space="preserve">      properties:</w:t>
      </w:r>
    </w:p>
    <w:p w:rsidR="00CB0DD7" w:rsidRPr="000A0A5F" w:rsidRDefault="00CB0DD7">
      <w:pPr>
        <w:pStyle w:val="PL"/>
      </w:pPr>
      <w:r w:rsidRPr="000A0A5F">
        <w:t xml:space="preserve">        pfdId:</w:t>
      </w:r>
    </w:p>
    <w:p w:rsidR="00CB0DD7" w:rsidRPr="000A0A5F" w:rsidRDefault="00CB0DD7">
      <w:pPr>
        <w:pStyle w:val="PL"/>
      </w:pPr>
      <w:r w:rsidRPr="000A0A5F">
        <w:t xml:space="preserve">          type: string</w:t>
      </w:r>
    </w:p>
    <w:p w:rsidR="00CB0DD7" w:rsidRPr="000A0A5F" w:rsidRDefault="00CB0DD7">
      <w:pPr>
        <w:pStyle w:val="PL"/>
      </w:pPr>
      <w:r w:rsidRPr="000A0A5F">
        <w:t xml:space="preserve">          description: Identifies a PDF of an application identifier.</w:t>
      </w:r>
    </w:p>
    <w:p w:rsidR="00CB0DD7" w:rsidRPr="000A0A5F" w:rsidRDefault="00CB0DD7">
      <w:pPr>
        <w:pStyle w:val="PL"/>
      </w:pPr>
      <w:r w:rsidRPr="000A0A5F">
        <w:t xml:space="preserve">        flowDescriptions:</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type: string</w:t>
      </w:r>
    </w:p>
    <w:p w:rsidR="00CB0DD7" w:rsidRPr="000A0A5F" w:rsidRDefault="00CB0DD7">
      <w:pPr>
        <w:pStyle w:val="PL"/>
      </w:pPr>
      <w:r w:rsidRPr="000A0A5F">
        <w:t xml:space="preserve">          minItems: 1</w:t>
      </w:r>
    </w:p>
    <w:p w:rsidR="007A79E4" w:rsidRPr="000A0A5F" w:rsidRDefault="00CB0DD7">
      <w:pPr>
        <w:pStyle w:val="PL"/>
      </w:pPr>
      <w:r w:rsidRPr="000A0A5F">
        <w:t xml:space="preserve">          description: </w:t>
      </w:r>
      <w:r w:rsidR="007A79E4" w:rsidRPr="000A0A5F">
        <w:t>&gt;</w:t>
      </w:r>
    </w:p>
    <w:p w:rsidR="007A79E4" w:rsidRPr="000A0A5F" w:rsidRDefault="007A79E4">
      <w:pPr>
        <w:pStyle w:val="PL"/>
      </w:pPr>
      <w:r w:rsidRPr="000A0A5F">
        <w:t xml:space="preserve">            </w:t>
      </w:r>
      <w:r w:rsidR="00CB0DD7" w:rsidRPr="000A0A5F">
        <w:t>Represents a 3-tuple with protocol, server ip and server port for UL/DL application</w:t>
      </w:r>
    </w:p>
    <w:p w:rsidR="007A79E4" w:rsidRPr="000A0A5F" w:rsidRDefault="007A79E4">
      <w:pPr>
        <w:pStyle w:val="PL"/>
        <w:rPr>
          <w:rFonts w:eastAsia="Times New Roman"/>
        </w:rPr>
      </w:pPr>
      <w:r w:rsidRPr="000A0A5F">
        <w:t xml:space="preserve">           </w:t>
      </w:r>
      <w:r w:rsidR="00CB0DD7" w:rsidRPr="000A0A5F">
        <w:t xml:space="preserve"> traffic.</w:t>
      </w:r>
      <w:r w:rsidR="00CB0DD7" w:rsidRPr="000A0A5F">
        <w:rPr>
          <w:rFonts w:eastAsia="Times New Roman"/>
        </w:rPr>
        <w:t xml:space="preserve"> The content of the string has the same encoding as the IPFilterRule AVP</w:t>
      </w:r>
    </w:p>
    <w:p w:rsidR="00CB0DD7" w:rsidRPr="000A0A5F" w:rsidRDefault="007A79E4">
      <w:pPr>
        <w:pStyle w:val="PL"/>
      </w:pPr>
      <w:r w:rsidRPr="000A0A5F">
        <w:t xml:space="preserve">           </w:t>
      </w:r>
      <w:r w:rsidR="00CB0DD7" w:rsidRPr="000A0A5F">
        <w:rPr>
          <w:rFonts w:eastAsia="Times New Roman"/>
        </w:rPr>
        <w:t xml:space="preserve"> value as defined in IETF</w:t>
      </w:r>
      <w:r w:rsidR="00115EC8" w:rsidRPr="000A0A5F">
        <w:rPr>
          <w:rFonts w:eastAsia="Times New Roman"/>
        </w:rPr>
        <w:t xml:space="preserve"> </w:t>
      </w:r>
      <w:r w:rsidR="00CB0DD7" w:rsidRPr="000A0A5F">
        <w:rPr>
          <w:rFonts w:eastAsia="Times New Roman"/>
        </w:rPr>
        <w:t>RFC</w:t>
      </w:r>
      <w:r w:rsidR="00115EC8" w:rsidRPr="000A0A5F">
        <w:rPr>
          <w:rFonts w:eastAsia="Times New Roman"/>
        </w:rPr>
        <w:t xml:space="preserve"> </w:t>
      </w:r>
      <w:r w:rsidR="00CB0DD7" w:rsidRPr="000A0A5F">
        <w:rPr>
          <w:rFonts w:eastAsia="Times New Roman"/>
        </w:rPr>
        <w:t>6733.</w:t>
      </w:r>
    </w:p>
    <w:p w:rsidR="00CB0DD7" w:rsidRPr="000A0A5F" w:rsidRDefault="00CB0DD7">
      <w:pPr>
        <w:pStyle w:val="PL"/>
      </w:pPr>
      <w:r w:rsidRPr="000A0A5F">
        <w:t xml:space="preserve">        urls:</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type: string</w:t>
      </w:r>
    </w:p>
    <w:p w:rsidR="00CB0DD7" w:rsidRPr="000A0A5F" w:rsidRDefault="00CB0DD7">
      <w:pPr>
        <w:pStyle w:val="PL"/>
      </w:pPr>
      <w:r w:rsidRPr="000A0A5F">
        <w:t xml:space="preserve">          minItems: 1</w:t>
      </w:r>
    </w:p>
    <w:p w:rsidR="007A79E4" w:rsidRPr="000A0A5F" w:rsidRDefault="00CB0DD7">
      <w:pPr>
        <w:pStyle w:val="PL"/>
      </w:pPr>
      <w:r w:rsidRPr="000A0A5F">
        <w:t xml:space="preserve">          description: </w:t>
      </w:r>
      <w:r w:rsidR="007A79E4" w:rsidRPr="000A0A5F">
        <w:t>&gt;</w:t>
      </w:r>
    </w:p>
    <w:p w:rsidR="007A79E4" w:rsidRPr="000A0A5F" w:rsidRDefault="007A79E4">
      <w:pPr>
        <w:pStyle w:val="PL"/>
      </w:pPr>
      <w:r w:rsidRPr="000A0A5F">
        <w:t xml:space="preserve">            </w:t>
      </w:r>
      <w:r w:rsidR="00CB0DD7" w:rsidRPr="000A0A5F">
        <w:t>Indicates a URL or a regular expression which is used to match the significant parts</w:t>
      </w:r>
    </w:p>
    <w:p w:rsidR="00CB0DD7" w:rsidRPr="000A0A5F" w:rsidRDefault="007A79E4">
      <w:pPr>
        <w:pStyle w:val="PL"/>
      </w:pPr>
      <w:r w:rsidRPr="000A0A5F">
        <w:t xml:space="preserve">           </w:t>
      </w:r>
      <w:r w:rsidR="00CB0DD7" w:rsidRPr="000A0A5F">
        <w:t xml:space="preserve"> of the URL.</w:t>
      </w:r>
    </w:p>
    <w:p w:rsidR="00CB0DD7" w:rsidRPr="000A0A5F" w:rsidRDefault="00CB0DD7">
      <w:pPr>
        <w:pStyle w:val="PL"/>
      </w:pPr>
      <w:r w:rsidRPr="000A0A5F">
        <w:t xml:space="preserve">        domainNames:</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type: string</w:t>
      </w:r>
    </w:p>
    <w:p w:rsidR="00CB0DD7" w:rsidRPr="000A0A5F" w:rsidRDefault="00CB0DD7">
      <w:pPr>
        <w:pStyle w:val="PL"/>
      </w:pPr>
      <w:r w:rsidRPr="000A0A5F">
        <w:t xml:space="preserve">          minItems: 1</w:t>
      </w:r>
    </w:p>
    <w:p w:rsidR="00CB0DD7" w:rsidRPr="000A0A5F" w:rsidRDefault="00CB0DD7">
      <w:pPr>
        <w:pStyle w:val="PL"/>
      </w:pPr>
      <w:r w:rsidRPr="000A0A5F">
        <w:t xml:space="preserve">          description: Indicates an FQDN or a regular expression as a domain name matching criteria.</w:t>
      </w:r>
    </w:p>
    <w:p w:rsidR="00CB0DD7" w:rsidRPr="000A0A5F" w:rsidRDefault="00CB0DD7">
      <w:pPr>
        <w:pStyle w:val="PL"/>
      </w:pPr>
      <w:r w:rsidRPr="000A0A5F">
        <w:t xml:space="preserve">        dnProtocol:</w:t>
      </w:r>
    </w:p>
    <w:p w:rsidR="00CB0DD7" w:rsidRPr="000A0A5F" w:rsidRDefault="00CB0DD7">
      <w:pPr>
        <w:pStyle w:val="PL"/>
      </w:pPr>
      <w:r w:rsidRPr="000A0A5F">
        <w:t xml:space="preserve">          $ref: '#/components/schemas/DomainNameProtocol'</w:t>
      </w:r>
    </w:p>
    <w:p w:rsidR="00CB0DD7" w:rsidRPr="000A0A5F" w:rsidRDefault="00CB0DD7">
      <w:pPr>
        <w:pStyle w:val="PL"/>
      </w:pPr>
      <w:r w:rsidRPr="000A0A5F">
        <w:t xml:space="preserve">      required:</w:t>
      </w:r>
    </w:p>
    <w:p w:rsidR="00CB0DD7" w:rsidRPr="000A0A5F" w:rsidRDefault="00CB0DD7">
      <w:pPr>
        <w:pStyle w:val="PL"/>
      </w:pPr>
      <w:r w:rsidRPr="000A0A5F">
        <w:t xml:space="preserve">        - pfdId</w:t>
      </w:r>
    </w:p>
    <w:p w:rsidR="007A79E4" w:rsidRPr="000A0A5F" w:rsidRDefault="007A79E4">
      <w:pPr>
        <w:pStyle w:val="PL"/>
      </w:pPr>
    </w:p>
    <w:p w:rsidR="00CB0DD7" w:rsidRPr="000A0A5F" w:rsidRDefault="00CB0DD7">
      <w:pPr>
        <w:pStyle w:val="PL"/>
      </w:pPr>
      <w:r w:rsidRPr="000A0A5F">
        <w:t xml:space="preserve">    PfdReport:</w:t>
      </w:r>
    </w:p>
    <w:p w:rsidR="007A79E4" w:rsidRPr="000A0A5F" w:rsidRDefault="00CB0DD7">
      <w:pPr>
        <w:pStyle w:val="PL"/>
      </w:pPr>
      <w:r w:rsidRPr="000A0A5F">
        <w:t xml:space="preserve">      description: </w:t>
      </w:r>
      <w:r w:rsidR="007A79E4" w:rsidRPr="000A0A5F">
        <w:t>&gt;</w:t>
      </w:r>
    </w:p>
    <w:p w:rsidR="007A79E4" w:rsidRPr="000A0A5F" w:rsidRDefault="007A79E4">
      <w:pPr>
        <w:pStyle w:val="PL"/>
      </w:pPr>
      <w:r w:rsidRPr="000A0A5F">
        <w:t xml:space="preserve">        </w:t>
      </w:r>
      <w:r w:rsidR="00CB0DD7" w:rsidRPr="000A0A5F">
        <w:t>Represents a PFD report indicating the external application identifier(s) which PFD(s)</w:t>
      </w:r>
    </w:p>
    <w:p w:rsidR="00CB0DD7" w:rsidRPr="000A0A5F" w:rsidRDefault="007A79E4">
      <w:pPr>
        <w:pStyle w:val="PL"/>
      </w:pPr>
      <w:r w:rsidRPr="000A0A5F">
        <w:t xml:space="preserve">       </w:t>
      </w:r>
      <w:r w:rsidR="00CB0DD7" w:rsidRPr="000A0A5F">
        <w:t xml:space="preserve"> are not added or modified successfully and the corresponding failure cause(s)</w:t>
      </w:r>
      <w:r w:rsidR="00CB0DD7" w:rsidRPr="000A0A5F">
        <w:rPr>
          <w:rFonts w:cs="Arial"/>
          <w:szCs w:val="18"/>
        </w:rPr>
        <w:t>.</w:t>
      </w:r>
    </w:p>
    <w:p w:rsidR="00CB0DD7" w:rsidRPr="000A0A5F" w:rsidRDefault="00CB0DD7">
      <w:pPr>
        <w:pStyle w:val="PL"/>
      </w:pPr>
      <w:r w:rsidRPr="000A0A5F">
        <w:t xml:space="preserve">      type: object</w:t>
      </w:r>
    </w:p>
    <w:p w:rsidR="00CB0DD7" w:rsidRPr="000A0A5F" w:rsidRDefault="00CB0DD7">
      <w:pPr>
        <w:pStyle w:val="PL"/>
      </w:pPr>
      <w:r w:rsidRPr="000A0A5F">
        <w:t xml:space="preserve">      properties:</w:t>
      </w:r>
    </w:p>
    <w:p w:rsidR="00CB0DD7" w:rsidRPr="000A0A5F" w:rsidRDefault="00CB0DD7">
      <w:pPr>
        <w:pStyle w:val="PL"/>
      </w:pPr>
      <w:r w:rsidRPr="000A0A5F">
        <w:t xml:space="preserve">        externalAppIds:</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type: string</w:t>
      </w:r>
    </w:p>
    <w:p w:rsidR="00CB0DD7" w:rsidRPr="000A0A5F" w:rsidRDefault="00CB0DD7">
      <w:pPr>
        <w:pStyle w:val="PL"/>
      </w:pPr>
      <w:r w:rsidRPr="000A0A5F">
        <w:t xml:space="preserve">          minItems: 1</w:t>
      </w:r>
    </w:p>
    <w:p w:rsidR="007A79E4" w:rsidRPr="000A0A5F" w:rsidRDefault="00CB0DD7">
      <w:pPr>
        <w:pStyle w:val="PL"/>
      </w:pPr>
      <w:r w:rsidRPr="000A0A5F">
        <w:t xml:space="preserve">          description: </w:t>
      </w:r>
      <w:r w:rsidR="007A79E4" w:rsidRPr="000A0A5F">
        <w:t>&gt;</w:t>
      </w:r>
    </w:p>
    <w:p w:rsidR="007A79E4" w:rsidRPr="000A0A5F" w:rsidRDefault="007A79E4">
      <w:pPr>
        <w:pStyle w:val="PL"/>
      </w:pPr>
      <w:r w:rsidRPr="000A0A5F">
        <w:t xml:space="preserve">            </w:t>
      </w:r>
      <w:r w:rsidR="00CB0DD7" w:rsidRPr="000A0A5F">
        <w:t>Identifies the external application identifier(s) which PFD(s) are not added or</w:t>
      </w:r>
    </w:p>
    <w:p w:rsidR="00CB0DD7" w:rsidRPr="000A0A5F" w:rsidRDefault="007A79E4">
      <w:pPr>
        <w:pStyle w:val="PL"/>
      </w:pPr>
      <w:r w:rsidRPr="000A0A5F">
        <w:t xml:space="preserve">           </w:t>
      </w:r>
      <w:r w:rsidR="00CB0DD7" w:rsidRPr="000A0A5F">
        <w:t xml:space="preserve"> modified successfully</w:t>
      </w:r>
    </w:p>
    <w:p w:rsidR="00CB0DD7" w:rsidRPr="000A0A5F" w:rsidRDefault="00CB0DD7">
      <w:pPr>
        <w:pStyle w:val="PL"/>
      </w:pPr>
      <w:r w:rsidRPr="000A0A5F">
        <w:t xml:space="preserve">        failureCode:</w:t>
      </w:r>
    </w:p>
    <w:p w:rsidR="00CB0DD7" w:rsidRPr="000A0A5F" w:rsidRDefault="00CB0DD7">
      <w:pPr>
        <w:pStyle w:val="PL"/>
      </w:pPr>
      <w:r w:rsidRPr="000A0A5F">
        <w:t xml:space="preserve">          $ref: '#/components/schemas/FailureCode'</w:t>
      </w:r>
    </w:p>
    <w:p w:rsidR="00CB0DD7" w:rsidRPr="000A0A5F" w:rsidRDefault="00CB0DD7">
      <w:pPr>
        <w:pStyle w:val="PL"/>
      </w:pPr>
      <w:r w:rsidRPr="000A0A5F">
        <w:t xml:space="preserve">        cachingTime:</w:t>
      </w:r>
    </w:p>
    <w:p w:rsidR="00CB0DD7" w:rsidRPr="000A0A5F" w:rsidRDefault="00CB0DD7">
      <w:pPr>
        <w:pStyle w:val="PL"/>
      </w:pPr>
      <w:r w:rsidRPr="000A0A5F">
        <w:t xml:space="preserve">          $ref: 'TS29122_CommonData.yaml#/components/schemas/DurationSec'</w:t>
      </w:r>
    </w:p>
    <w:p w:rsidR="00CB0DD7" w:rsidRPr="000A0A5F" w:rsidRDefault="00CB0DD7">
      <w:pPr>
        <w:pStyle w:val="PL"/>
      </w:pPr>
      <w:r w:rsidRPr="000A0A5F">
        <w:t xml:space="preserve">        locationArea:</w:t>
      </w:r>
    </w:p>
    <w:p w:rsidR="00CB0DD7" w:rsidRPr="000A0A5F" w:rsidRDefault="00CB0DD7">
      <w:pPr>
        <w:pStyle w:val="PL"/>
      </w:pPr>
      <w:r w:rsidRPr="000A0A5F">
        <w:t xml:space="preserve">          $ref: '#/components/schemas/UserPlaneLocationArea'</w:t>
      </w:r>
    </w:p>
    <w:p w:rsidR="00CB0DD7" w:rsidRPr="000A0A5F" w:rsidRDefault="00CB0DD7">
      <w:pPr>
        <w:pStyle w:val="PL"/>
      </w:pPr>
      <w:r w:rsidRPr="000A0A5F">
        <w:t xml:space="preserve">      required:</w:t>
      </w:r>
    </w:p>
    <w:p w:rsidR="00CB0DD7" w:rsidRPr="000A0A5F" w:rsidRDefault="00CB0DD7">
      <w:pPr>
        <w:pStyle w:val="PL"/>
      </w:pPr>
      <w:r w:rsidRPr="000A0A5F">
        <w:t xml:space="preserve">        - externalAppIds</w:t>
      </w:r>
    </w:p>
    <w:p w:rsidR="00CB0DD7" w:rsidRPr="000A0A5F" w:rsidRDefault="00CB0DD7">
      <w:pPr>
        <w:pStyle w:val="PL"/>
      </w:pPr>
      <w:r w:rsidRPr="000A0A5F">
        <w:t xml:space="preserve">        - failureCode</w:t>
      </w:r>
    </w:p>
    <w:p w:rsidR="007A79E4" w:rsidRPr="000A0A5F" w:rsidRDefault="007A79E4">
      <w:pPr>
        <w:pStyle w:val="PL"/>
      </w:pPr>
    </w:p>
    <w:p w:rsidR="00CB0DD7" w:rsidRPr="000A0A5F" w:rsidRDefault="00CB0DD7">
      <w:pPr>
        <w:pStyle w:val="PL"/>
      </w:pPr>
      <w:r w:rsidRPr="000A0A5F">
        <w:t xml:space="preserve">    UserPlaneLocationArea:</w:t>
      </w:r>
    </w:p>
    <w:p w:rsidR="007A79E4" w:rsidRPr="000A0A5F" w:rsidRDefault="00CB0DD7">
      <w:pPr>
        <w:pStyle w:val="PL"/>
      </w:pPr>
      <w:r w:rsidRPr="000A0A5F">
        <w:t xml:space="preserve">      description: </w:t>
      </w:r>
      <w:r w:rsidR="007A79E4" w:rsidRPr="000A0A5F">
        <w:t>&gt;</w:t>
      </w:r>
    </w:p>
    <w:p w:rsidR="007A79E4" w:rsidRPr="000A0A5F" w:rsidRDefault="007A79E4">
      <w:pPr>
        <w:pStyle w:val="PL"/>
      </w:pPr>
      <w:r w:rsidRPr="000A0A5F">
        <w:t xml:space="preserve">        </w:t>
      </w:r>
      <w:r w:rsidR="00CB0DD7" w:rsidRPr="000A0A5F">
        <w:t>Represents location area(s) of the user plane functions which are unable to enforce the</w:t>
      </w:r>
    </w:p>
    <w:p w:rsidR="00CB0DD7" w:rsidRPr="000A0A5F" w:rsidRDefault="007A79E4">
      <w:pPr>
        <w:pStyle w:val="PL"/>
      </w:pPr>
      <w:r w:rsidRPr="000A0A5F">
        <w:t xml:space="preserve">       </w:t>
      </w:r>
      <w:r w:rsidR="00CB0DD7" w:rsidRPr="000A0A5F">
        <w:t xml:space="preserve"> provisioned PFD(s) successfully</w:t>
      </w:r>
      <w:r w:rsidR="00CB0DD7" w:rsidRPr="000A0A5F">
        <w:rPr>
          <w:rFonts w:cs="Arial"/>
          <w:szCs w:val="18"/>
        </w:rPr>
        <w:t>.</w:t>
      </w:r>
    </w:p>
    <w:p w:rsidR="00CB0DD7" w:rsidRPr="000A0A5F" w:rsidRDefault="00CB0DD7">
      <w:pPr>
        <w:pStyle w:val="PL"/>
      </w:pPr>
      <w:r w:rsidRPr="000A0A5F">
        <w:t xml:space="preserve">      type: object</w:t>
      </w:r>
    </w:p>
    <w:p w:rsidR="00CB0DD7" w:rsidRPr="000A0A5F" w:rsidRDefault="00CB0DD7">
      <w:pPr>
        <w:pStyle w:val="PL"/>
      </w:pPr>
      <w:r w:rsidRPr="000A0A5F">
        <w:t xml:space="preserve">      properties:</w:t>
      </w:r>
    </w:p>
    <w:p w:rsidR="00CB0DD7" w:rsidRPr="000A0A5F" w:rsidRDefault="00CB0DD7">
      <w:pPr>
        <w:pStyle w:val="PL"/>
      </w:pPr>
      <w:r w:rsidRPr="000A0A5F">
        <w:t xml:space="preserve">        locationArea:</w:t>
      </w:r>
    </w:p>
    <w:p w:rsidR="00CB0DD7" w:rsidRPr="000A0A5F" w:rsidRDefault="00CB0DD7">
      <w:pPr>
        <w:pStyle w:val="PL"/>
      </w:pPr>
      <w:r w:rsidRPr="000A0A5F">
        <w:t xml:space="preserve">          $ref: 'TS29122_CommonData.yaml#/components/schemas/LocationArea'</w:t>
      </w:r>
    </w:p>
    <w:p w:rsidR="00CB0DD7" w:rsidRPr="000A0A5F" w:rsidRDefault="00CB0DD7">
      <w:pPr>
        <w:pStyle w:val="PL"/>
      </w:pPr>
      <w:r w:rsidRPr="000A0A5F">
        <w:t xml:space="preserve">        locationArea5G:</w:t>
      </w:r>
    </w:p>
    <w:p w:rsidR="00CB0DD7" w:rsidRPr="000A0A5F" w:rsidRDefault="00CB0DD7">
      <w:pPr>
        <w:pStyle w:val="PL"/>
      </w:pPr>
      <w:r w:rsidRPr="000A0A5F">
        <w:t xml:space="preserve">          $ref: 'TS29122_CommonData.yaml#/components/schemas/LocationArea5G'</w:t>
      </w:r>
    </w:p>
    <w:p w:rsidR="00CB0DD7" w:rsidRPr="000A0A5F" w:rsidRDefault="00CB0DD7">
      <w:pPr>
        <w:pStyle w:val="PL"/>
      </w:pPr>
      <w:r w:rsidRPr="000A0A5F">
        <w:t xml:space="preserve">        dnais:</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$ref: 'TS29571_CommonData.yaml#/components/schemas/Dnai'</w:t>
      </w:r>
    </w:p>
    <w:p w:rsidR="00CB0DD7" w:rsidRPr="000A0A5F" w:rsidRDefault="00CB0DD7">
      <w:pPr>
        <w:pStyle w:val="PL"/>
      </w:pPr>
      <w:r w:rsidRPr="000A0A5F">
        <w:t xml:space="preserve">          minItems: 0</w:t>
      </w:r>
    </w:p>
    <w:p w:rsidR="00CB0DD7" w:rsidRPr="000A0A5F" w:rsidRDefault="00CB0DD7">
      <w:pPr>
        <w:pStyle w:val="PL"/>
      </w:pPr>
      <w:r w:rsidRPr="000A0A5F">
        <w:t xml:space="preserve">          description: Identifies a list of DNAI which the user plane functions support.</w:t>
      </w:r>
    </w:p>
    <w:p w:rsidR="007A79E4" w:rsidRPr="000A0A5F" w:rsidRDefault="007A79E4" w:rsidP="00971DEA">
      <w:pPr>
        <w:pStyle w:val="PL"/>
      </w:pPr>
    </w:p>
    <w:p w:rsidR="00971DEA" w:rsidRPr="000A0A5F" w:rsidRDefault="00971DEA" w:rsidP="00971DEA">
      <w:pPr>
        <w:pStyle w:val="PL"/>
      </w:pPr>
      <w:r w:rsidRPr="000A0A5F">
        <w:t xml:space="preserve">    PfdManagementPatch:</w:t>
      </w:r>
    </w:p>
    <w:p w:rsidR="007A79E4" w:rsidRPr="000A0A5F" w:rsidRDefault="00971DEA" w:rsidP="00971DEA">
      <w:pPr>
        <w:pStyle w:val="PL"/>
      </w:pPr>
      <w:r w:rsidRPr="000A0A5F">
        <w:t xml:space="preserve">      description: </w:t>
      </w:r>
      <w:r w:rsidR="007A79E4" w:rsidRPr="000A0A5F">
        <w:t>&gt;</w:t>
      </w:r>
    </w:p>
    <w:p w:rsidR="007A79E4" w:rsidRPr="000A0A5F" w:rsidRDefault="007A79E4" w:rsidP="00971DEA">
      <w:pPr>
        <w:pStyle w:val="PL"/>
      </w:pPr>
      <w:r w:rsidRPr="000A0A5F">
        <w:t xml:space="preserve">        </w:t>
      </w:r>
      <w:r w:rsidR="00971DEA" w:rsidRPr="000A0A5F">
        <w:t>Represents the parameters to request the modification of a PFD management transaction</w:t>
      </w:r>
    </w:p>
    <w:p w:rsidR="00971DEA" w:rsidRPr="000A0A5F" w:rsidRDefault="007A79E4" w:rsidP="00971DEA">
      <w:pPr>
        <w:pStyle w:val="PL"/>
      </w:pPr>
      <w:r w:rsidRPr="000A0A5F">
        <w:t xml:space="preserve">       </w:t>
      </w:r>
      <w:r w:rsidR="00971DEA" w:rsidRPr="000A0A5F">
        <w:t xml:space="preserve"> resource</w:t>
      </w:r>
      <w:r w:rsidR="00971DEA" w:rsidRPr="000A0A5F">
        <w:rPr>
          <w:rFonts w:cs="Arial"/>
          <w:szCs w:val="18"/>
        </w:rPr>
        <w:t>.</w:t>
      </w:r>
    </w:p>
    <w:p w:rsidR="00971DEA" w:rsidRPr="000A0A5F" w:rsidRDefault="00971DEA" w:rsidP="00971DEA">
      <w:pPr>
        <w:pStyle w:val="PL"/>
      </w:pPr>
      <w:r w:rsidRPr="000A0A5F">
        <w:t xml:space="preserve">      type: object</w:t>
      </w:r>
    </w:p>
    <w:p w:rsidR="00971DEA" w:rsidRPr="000A0A5F" w:rsidRDefault="00971DEA" w:rsidP="00971DEA">
      <w:pPr>
        <w:pStyle w:val="PL"/>
      </w:pPr>
      <w:r w:rsidRPr="000A0A5F">
        <w:t xml:space="preserve">      properties:</w:t>
      </w:r>
    </w:p>
    <w:p w:rsidR="00971DEA" w:rsidRPr="000A0A5F" w:rsidRDefault="00971DEA" w:rsidP="00971DEA">
      <w:pPr>
        <w:pStyle w:val="PL"/>
      </w:pPr>
      <w:r w:rsidRPr="000A0A5F">
        <w:t xml:space="preserve">        pfdDatas:</w:t>
      </w:r>
    </w:p>
    <w:p w:rsidR="00971DEA" w:rsidRPr="000A0A5F" w:rsidRDefault="00971DEA" w:rsidP="00971DEA">
      <w:pPr>
        <w:pStyle w:val="PL"/>
      </w:pPr>
      <w:r w:rsidRPr="000A0A5F">
        <w:t xml:space="preserve">          type: object</w:t>
      </w:r>
    </w:p>
    <w:p w:rsidR="00971DEA" w:rsidRPr="000A0A5F" w:rsidRDefault="00971DEA" w:rsidP="00971DEA">
      <w:pPr>
        <w:pStyle w:val="PL"/>
      </w:pPr>
      <w:r w:rsidRPr="000A0A5F">
        <w:t xml:space="preserve">          additionalProperties:</w:t>
      </w:r>
    </w:p>
    <w:p w:rsidR="00971DEA" w:rsidRPr="000A0A5F" w:rsidRDefault="00971DEA" w:rsidP="00971DEA">
      <w:pPr>
        <w:pStyle w:val="PL"/>
      </w:pPr>
      <w:r w:rsidRPr="000A0A5F">
        <w:t xml:space="preserve">            $ref: '#/components/schemas/PfdData'</w:t>
      </w:r>
    </w:p>
    <w:p w:rsidR="00971DEA" w:rsidRPr="000A0A5F" w:rsidRDefault="00971DEA" w:rsidP="00971DEA">
      <w:pPr>
        <w:pStyle w:val="PL"/>
      </w:pPr>
      <w:r w:rsidRPr="000A0A5F">
        <w:t xml:space="preserve">          minProperties: 1</w:t>
      </w:r>
    </w:p>
    <w:p w:rsidR="00971DEA" w:rsidRPr="000A0A5F" w:rsidRDefault="00971DEA" w:rsidP="00971DEA">
      <w:pPr>
        <w:pStyle w:val="PL"/>
      </w:pPr>
      <w:r w:rsidRPr="000A0A5F">
        <w:t xml:space="preserve">        notificationDestination:</w:t>
      </w:r>
    </w:p>
    <w:p w:rsidR="00971DEA" w:rsidRPr="000A0A5F" w:rsidRDefault="00971DEA" w:rsidP="00971DEA">
      <w:pPr>
        <w:pStyle w:val="PL"/>
      </w:pPr>
      <w:r w:rsidRPr="000A0A5F">
        <w:t xml:space="preserve">          $ref: 'TS29122_CommonData.yaml#/components/schemas/Link'</w:t>
      </w:r>
    </w:p>
    <w:p w:rsidR="007A79E4" w:rsidRPr="000A0A5F" w:rsidRDefault="007A79E4">
      <w:pPr>
        <w:pStyle w:val="PL"/>
      </w:pPr>
    </w:p>
    <w:p w:rsidR="00CB0DD7" w:rsidRPr="000A0A5F" w:rsidRDefault="00CB0DD7">
      <w:pPr>
        <w:pStyle w:val="PL"/>
      </w:pPr>
      <w:r w:rsidRPr="000A0A5F">
        <w:t xml:space="preserve">    FailureCode:</w:t>
      </w:r>
    </w:p>
    <w:p w:rsidR="00CB0DD7" w:rsidRPr="000A0A5F" w:rsidRDefault="00CB0DD7">
      <w:pPr>
        <w:pStyle w:val="PL"/>
      </w:pPr>
      <w:r w:rsidRPr="000A0A5F">
        <w:t xml:space="preserve">      anyOf:</w:t>
      </w:r>
    </w:p>
    <w:p w:rsidR="00CB0DD7" w:rsidRPr="000A0A5F" w:rsidRDefault="00CB0DD7">
      <w:pPr>
        <w:pStyle w:val="PL"/>
      </w:pPr>
      <w:r w:rsidRPr="000A0A5F">
        <w:t xml:space="preserve">      - type: string</w:t>
      </w:r>
    </w:p>
    <w:p w:rsidR="00CB0DD7" w:rsidRPr="000A0A5F" w:rsidRDefault="00CB0DD7">
      <w:pPr>
        <w:pStyle w:val="PL"/>
      </w:pPr>
      <w:r w:rsidRPr="000A0A5F">
        <w:t xml:space="preserve">        enum:</w:t>
      </w:r>
    </w:p>
    <w:p w:rsidR="00CB0DD7" w:rsidRPr="000A0A5F" w:rsidRDefault="00CB0DD7">
      <w:pPr>
        <w:pStyle w:val="PL"/>
      </w:pPr>
      <w:r w:rsidRPr="000A0A5F">
        <w:t xml:space="preserve">          - MALFUNCTION</w:t>
      </w:r>
    </w:p>
    <w:p w:rsidR="00CB0DD7" w:rsidRPr="000A0A5F" w:rsidRDefault="00CB0DD7">
      <w:pPr>
        <w:pStyle w:val="PL"/>
      </w:pPr>
      <w:r w:rsidRPr="000A0A5F">
        <w:t xml:space="preserve">          - RESOURCE_LIMITATION</w:t>
      </w:r>
    </w:p>
    <w:p w:rsidR="00CB0DD7" w:rsidRPr="000A0A5F" w:rsidRDefault="00CB0DD7">
      <w:pPr>
        <w:pStyle w:val="PL"/>
      </w:pPr>
      <w:r w:rsidRPr="000A0A5F">
        <w:t xml:space="preserve">          - SHORT_DELAY</w:t>
      </w:r>
    </w:p>
    <w:p w:rsidR="00CB0DD7" w:rsidRPr="000A0A5F" w:rsidRDefault="00CB0DD7">
      <w:pPr>
        <w:pStyle w:val="PL"/>
      </w:pPr>
      <w:r w:rsidRPr="000A0A5F">
        <w:t xml:space="preserve">          - APP_ID_DUPLICATED</w:t>
      </w:r>
    </w:p>
    <w:p w:rsidR="00CB0DD7" w:rsidRPr="000A0A5F" w:rsidRDefault="00CB0DD7">
      <w:pPr>
        <w:pStyle w:val="PL"/>
      </w:pPr>
      <w:r w:rsidRPr="000A0A5F">
        <w:t xml:space="preserve">          - PARTIAL_FAILURE</w:t>
      </w:r>
    </w:p>
    <w:p w:rsidR="00CB0DD7" w:rsidRPr="000A0A5F" w:rsidRDefault="00CB0DD7">
      <w:pPr>
        <w:pStyle w:val="PL"/>
      </w:pPr>
      <w:r w:rsidRPr="000A0A5F">
        <w:t xml:space="preserve">          - OTHER_REASON</w:t>
      </w:r>
    </w:p>
    <w:p w:rsidR="00CB0DD7" w:rsidRPr="000A0A5F" w:rsidRDefault="00CB0DD7">
      <w:pPr>
        <w:pStyle w:val="PL"/>
      </w:pPr>
      <w:r w:rsidRPr="000A0A5F">
        <w:t xml:space="preserve">      - type: string</w:t>
      </w:r>
    </w:p>
    <w:p w:rsidR="00CB0DD7" w:rsidRPr="000A0A5F" w:rsidRDefault="00CB0DD7">
      <w:pPr>
        <w:pStyle w:val="PL"/>
      </w:pPr>
      <w:r w:rsidRPr="000A0A5F">
        <w:t xml:space="preserve">        description: &gt;</w:t>
      </w:r>
    </w:p>
    <w:p w:rsidR="00CB0DD7" w:rsidRPr="000A0A5F" w:rsidRDefault="00CB0DD7">
      <w:pPr>
        <w:pStyle w:val="PL"/>
      </w:pPr>
      <w:r w:rsidRPr="000A0A5F">
        <w:t xml:space="preserve">          This string provides forward-compatibility with future</w:t>
      </w:r>
    </w:p>
    <w:p w:rsidR="00CB0DD7" w:rsidRPr="000A0A5F" w:rsidRDefault="00CB0DD7">
      <w:pPr>
        <w:pStyle w:val="PL"/>
      </w:pPr>
      <w:r w:rsidRPr="000A0A5F">
        <w:t xml:space="preserve">          extensions to the enumeration but is not used to encode</w:t>
      </w:r>
    </w:p>
    <w:p w:rsidR="00CB0DD7" w:rsidRPr="000A0A5F" w:rsidRDefault="00CB0DD7">
      <w:pPr>
        <w:pStyle w:val="PL"/>
      </w:pPr>
      <w:r w:rsidRPr="000A0A5F">
        <w:t xml:space="preserve">          content defined in the present version of this API.</w:t>
      </w:r>
    </w:p>
    <w:p w:rsidR="00CB0DD7" w:rsidRPr="000A0A5F" w:rsidRDefault="00CB0DD7">
      <w:pPr>
        <w:pStyle w:val="PL"/>
      </w:pPr>
      <w:r w:rsidRPr="000A0A5F">
        <w:t xml:space="preserve">      description: </w:t>
      </w:r>
      <w:r w:rsidR="007A79E4" w:rsidRPr="000A0A5F">
        <w:t>|</w:t>
      </w:r>
    </w:p>
    <w:p w:rsidR="007A79E4" w:rsidRPr="000A0A5F" w:rsidRDefault="007A79E4">
      <w:pPr>
        <w:pStyle w:val="PL"/>
      </w:pPr>
      <w:r w:rsidRPr="000A0A5F">
        <w:t xml:space="preserve">        Represents the failure reason of the PFD management.  </w:t>
      </w:r>
    </w:p>
    <w:p w:rsidR="00CB0DD7" w:rsidRPr="000A0A5F" w:rsidRDefault="00CB0DD7">
      <w:pPr>
        <w:pStyle w:val="PL"/>
      </w:pPr>
      <w:r w:rsidRPr="000A0A5F">
        <w:t xml:space="preserve">        Possible values are</w:t>
      </w:r>
      <w:r w:rsidR="007A79E4" w:rsidRPr="000A0A5F">
        <w:t>:</w:t>
      </w:r>
    </w:p>
    <w:p w:rsidR="007A79E4" w:rsidRPr="000A0A5F" w:rsidRDefault="00CB0DD7">
      <w:pPr>
        <w:pStyle w:val="PL"/>
      </w:pPr>
      <w:r w:rsidRPr="000A0A5F">
        <w:t xml:space="preserve">        - MALFUNCTION: This value indicates that something functions wrongly in PFD provisioning</w:t>
      </w:r>
    </w:p>
    <w:p w:rsidR="00CB0DD7" w:rsidRPr="000A0A5F" w:rsidRDefault="007A79E4">
      <w:pPr>
        <w:pStyle w:val="PL"/>
      </w:pPr>
      <w:r w:rsidRPr="000A0A5F">
        <w:t xml:space="preserve">         </w:t>
      </w:r>
      <w:r w:rsidR="00CB0DD7" w:rsidRPr="000A0A5F">
        <w:t xml:space="preserve"> or the PFD provisioning does not function at all.</w:t>
      </w:r>
    </w:p>
    <w:p w:rsidR="00CB0DD7" w:rsidRPr="000A0A5F" w:rsidRDefault="00CB0DD7">
      <w:pPr>
        <w:pStyle w:val="PL"/>
      </w:pPr>
      <w:r w:rsidRPr="000A0A5F">
        <w:t xml:space="preserve">        - RESOURCE_LIMITATION: This value indicates there is resource limitation for PFD storage.</w:t>
      </w:r>
    </w:p>
    <w:p w:rsidR="007A79E4" w:rsidRPr="000A0A5F" w:rsidRDefault="00CB0DD7">
      <w:pPr>
        <w:pStyle w:val="PL"/>
      </w:pPr>
      <w:r w:rsidRPr="000A0A5F">
        <w:t xml:space="preserve">        - SHORT_DELAY: This value indicates that the allowed delay is too short and PFD(s)</w:t>
      </w:r>
    </w:p>
    <w:p w:rsidR="00CB0DD7" w:rsidRPr="000A0A5F" w:rsidRDefault="007A79E4">
      <w:pPr>
        <w:pStyle w:val="PL"/>
      </w:pPr>
      <w:r w:rsidRPr="000A0A5F">
        <w:t xml:space="preserve">         </w:t>
      </w:r>
      <w:r w:rsidR="00CB0DD7" w:rsidRPr="000A0A5F">
        <w:t xml:space="preserve"> are not stored.</w:t>
      </w:r>
    </w:p>
    <w:p w:rsidR="007A79E4" w:rsidRPr="000A0A5F" w:rsidRDefault="00CB0DD7">
      <w:pPr>
        <w:pStyle w:val="PL"/>
        <w:rPr>
          <w:rFonts w:cs="Arial"/>
          <w:bCs/>
          <w:color w:val="333333"/>
          <w:szCs w:val="18"/>
        </w:rPr>
      </w:pPr>
      <w:r w:rsidRPr="000A0A5F">
        <w:t xml:space="preserve">        - APP_ID_DUPLICATED: </w:t>
      </w:r>
      <w:r w:rsidRPr="000A0A5F">
        <w:rPr>
          <w:rFonts w:cs="Arial"/>
          <w:bCs/>
          <w:color w:val="333333"/>
          <w:szCs w:val="18"/>
        </w:rPr>
        <w:t>The received external application identifier(s) are already</w:t>
      </w:r>
    </w:p>
    <w:p w:rsidR="00CB0DD7" w:rsidRPr="000A0A5F" w:rsidRDefault="007A79E4">
      <w:pPr>
        <w:pStyle w:val="PL"/>
        <w:rPr>
          <w:rFonts w:cs="Arial"/>
          <w:bCs/>
          <w:color w:val="333333"/>
          <w:szCs w:val="18"/>
        </w:rPr>
      </w:pPr>
      <w:r w:rsidRPr="000A0A5F">
        <w:t xml:space="preserve">         </w:t>
      </w:r>
      <w:r w:rsidR="00CB0DD7" w:rsidRPr="000A0A5F">
        <w:rPr>
          <w:rFonts w:cs="Arial"/>
          <w:bCs/>
          <w:color w:val="333333"/>
          <w:szCs w:val="18"/>
        </w:rPr>
        <w:t xml:space="preserve"> provisioned.</w:t>
      </w:r>
    </w:p>
    <w:p w:rsidR="00CB0DD7" w:rsidRPr="000A0A5F" w:rsidRDefault="00CB0DD7">
      <w:pPr>
        <w:pStyle w:val="PL"/>
      </w:pPr>
      <w:r w:rsidRPr="000A0A5F">
        <w:t xml:space="preserve">        - PARTIAL_FAILURE: </w:t>
      </w:r>
      <w:r w:rsidRPr="000A0A5F">
        <w:rPr>
          <w:rFonts w:cs="Arial"/>
          <w:bCs/>
          <w:color w:val="333333"/>
          <w:szCs w:val="18"/>
        </w:rPr>
        <w:t>The PFD(s) are not provisioned to all PCEFs/TDFs/SMFs.</w:t>
      </w:r>
    </w:p>
    <w:p w:rsidR="00CB0DD7" w:rsidRPr="000A0A5F" w:rsidRDefault="00CB0DD7">
      <w:pPr>
        <w:pStyle w:val="PL"/>
      </w:pPr>
      <w:r w:rsidRPr="000A0A5F">
        <w:t xml:space="preserve">        - OTHER_REASON: Other reason unspecified.</w:t>
      </w:r>
    </w:p>
    <w:p w:rsidR="007A79E4" w:rsidRPr="000A0A5F" w:rsidRDefault="007A79E4">
      <w:pPr>
        <w:pStyle w:val="PL"/>
      </w:pPr>
    </w:p>
    <w:p w:rsidR="00CB0DD7" w:rsidRPr="000A0A5F" w:rsidRDefault="00CB0DD7">
      <w:pPr>
        <w:pStyle w:val="PL"/>
      </w:pPr>
      <w:r w:rsidRPr="000A0A5F">
        <w:t xml:space="preserve">    DomainNameProtocol:</w:t>
      </w:r>
    </w:p>
    <w:p w:rsidR="00CB0DD7" w:rsidRPr="000A0A5F" w:rsidRDefault="00CB0DD7">
      <w:pPr>
        <w:pStyle w:val="PL"/>
      </w:pPr>
      <w:r w:rsidRPr="000A0A5F">
        <w:t xml:space="preserve">      anyOf:</w:t>
      </w:r>
    </w:p>
    <w:p w:rsidR="00CB0DD7" w:rsidRPr="000A0A5F" w:rsidRDefault="00CB0DD7">
      <w:pPr>
        <w:pStyle w:val="PL"/>
      </w:pPr>
      <w:r w:rsidRPr="000A0A5F">
        <w:t xml:space="preserve">      - type: string</w:t>
      </w:r>
    </w:p>
    <w:p w:rsidR="00CB0DD7" w:rsidRPr="000A0A5F" w:rsidRDefault="00CB0DD7">
      <w:pPr>
        <w:pStyle w:val="PL"/>
      </w:pPr>
      <w:r w:rsidRPr="000A0A5F">
        <w:t xml:space="preserve">        enum:</w:t>
      </w:r>
    </w:p>
    <w:p w:rsidR="00CB0DD7" w:rsidRPr="000A0A5F" w:rsidRDefault="00CB0DD7">
      <w:pPr>
        <w:pStyle w:val="PL"/>
      </w:pPr>
      <w:r w:rsidRPr="000A0A5F">
        <w:t xml:space="preserve">          - DNS_QNAME</w:t>
      </w:r>
    </w:p>
    <w:p w:rsidR="00CB0DD7" w:rsidRPr="000A0A5F" w:rsidRDefault="00CB0DD7">
      <w:pPr>
        <w:pStyle w:val="PL"/>
      </w:pPr>
      <w:r w:rsidRPr="000A0A5F">
        <w:t xml:space="preserve">          - TLS_SNI</w:t>
      </w:r>
    </w:p>
    <w:p w:rsidR="00CB0DD7" w:rsidRPr="000A0A5F" w:rsidRDefault="00CB0DD7">
      <w:pPr>
        <w:pStyle w:val="PL"/>
      </w:pPr>
      <w:r w:rsidRPr="000A0A5F">
        <w:t xml:space="preserve">          - TLS_SAN</w:t>
      </w:r>
    </w:p>
    <w:p w:rsidR="00CB0DD7" w:rsidRPr="000A0A5F" w:rsidRDefault="00CB0DD7">
      <w:pPr>
        <w:pStyle w:val="PL"/>
      </w:pPr>
      <w:r w:rsidRPr="000A0A5F">
        <w:t xml:space="preserve">          - TSL_SCN</w:t>
      </w:r>
    </w:p>
    <w:p w:rsidR="00CB0DD7" w:rsidRPr="000A0A5F" w:rsidRDefault="00CB0DD7">
      <w:pPr>
        <w:pStyle w:val="PL"/>
      </w:pPr>
      <w:r w:rsidRPr="000A0A5F">
        <w:t xml:space="preserve">      - type: string</w:t>
      </w:r>
    </w:p>
    <w:p w:rsidR="00CB0DD7" w:rsidRPr="000A0A5F" w:rsidRDefault="00CB0DD7">
      <w:pPr>
        <w:pStyle w:val="PL"/>
      </w:pPr>
      <w:r w:rsidRPr="000A0A5F">
        <w:t xml:space="preserve">        description: &gt;</w:t>
      </w:r>
    </w:p>
    <w:p w:rsidR="00CB0DD7" w:rsidRPr="000A0A5F" w:rsidRDefault="00CB0DD7">
      <w:pPr>
        <w:pStyle w:val="PL"/>
      </w:pPr>
      <w:r w:rsidRPr="000A0A5F">
        <w:t xml:space="preserve">          This string provides forward-compatibility with future</w:t>
      </w:r>
    </w:p>
    <w:p w:rsidR="00CB0DD7" w:rsidRPr="000A0A5F" w:rsidRDefault="00CB0DD7">
      <w:pPr>
        <w:pStyle w:val="PL"/>
      </w:pPr>
      <w:r w:rsidRPr="000A0A5F">
        <w:t xml:space="preserve">          extensions to the enumeration but is not used to encode</w:t>
      </w:r>
    </w:p>
    <w:p w:rsidR="00CB0DD7" w:rsidRPr="000A0A5F" w:rsidRDefault="00CB0DD7">
      <w:pPr>
        <w:pStyle w:val="PL"/>
      </w:pPr>
      <w:r w:rsidRPr="000A0A5F">
        <w:t xml:space="preserve">          content defined in the present version of this API.</w:t>
      </w:r>
    </w:p>
    <w:p w:rsidR="00CB0DD7" w:rsidRPr="000A0A5F" w:rsidRDefault="00CB0DD7">
      <w:pPr>
        <w:pStyle w:val="PL"/>
      </w:pPr>
      <w:r w:rsidRPr="000A0A5F">
        <w:t xml:space="preserve">      description: </w:t>
      </w:r>
      <w:r w:rsidR="007A79E4" w:rsidRPr="000A0A5F">
        <w:t>|</w:t>
      </w:r>
    </w:p>
    <w:p w:rsidR="007A79E4" w:rsidRPr="000A0A5F" w:rsidRDefault="007A79E4">
      <w:pPr>
        <w:pStyle w:val="PL"/>
      </w:pPr>
      <w:r w:rsidRPr="000A0A5F">
        <w:t xml:space="preserve">        Represents the type of Domain Name Protocol.  </w:t>
      </w:r>
    </w:p>
    <w:p w:rsidR="00CB0DD7" w:rsidRPr="000A0A5F" w:rsidRDefault="00CB0DD7">
      <w:pPr>
        <w:pStyle w:val="PL"/>
      </w:pPr>
      <w:r w:rsidRPr="000A0A5F">
        <w:t xml:space="preserve">        Possible values are</w:t>
      </w:r>
      <w:r w:rsidR="007A79E4" w:rsidRPr="000A0A5F">
        <w:t>:</w:t>
      </w:r>
    </w:p>
    <w:p w:rsidR="00CB0DD7" w:rsidRPr="000A0A5F" w:rsidRDefault="00CB0DD7">
      <w:pPr>
        <w:pStyle w:val="PL"/>
      </w:pPr>
      <w:r w:rsidRPr="000A0A5F">
        <w:t xml:space="preserve">        - DNS_QNAME: </w:t>
      </w:r>
      <w:r w:rsidRPr="000A0A5F">
        <w:rPr>
          <w:rFonts w:hint="eastAsia"/>
          <w:lang w:eastAsia="zh-CN"/>
        </w:rPr>
        <w:t xml:space="preserve">Identifies the </w:t>
      </w:r>
      <w:r w:rsidRPr="000A0A5F">
        <w:rPr>
          <w:lang w:eastAsia="zh-CN"/>
        </w:rPr>
        <w:t>DNS protocol and the question name in DNS query.</w:t>
      </w:r>
    </w:p>
    <w:p w:rsidR="00CB0DD7" w:rsidRPr="000A0A5F" w:rsidRDefault="00CB0DD7">
      <w:pPr>
        <w:pStyle w:val="PL"/>
      </w:pPr>
      <w:r w:rsidRPr="000A0A5F">
        <w:t xml:space="preserve">        - TLS_SNI: </w:t>
      </w:r>
      <w:r w:rsidRPr="000A0A5F">
        <w:rPr>
          <w:rFonts w:hint="eastAsia"/>
          <w:lang w:eastAsia="zh-CN"/>
        </w:rPr>
        <w:t xml:space="preserve">Identifies the </w:t>
      </w:r>
      <w:r w:rsidRPr="000A0A5F">
        <w:rPr>
          <w:lang w:eastAsia="zh-CN"/>
        </w:rPr>
        <w:t>Server Name Indication in TLS ClientHello message.</w:t>
      </w:r>
    </w:p>
    <w:p w:rsidR="00CB0DD7" w:rsidRPr="000A0A5F" w:rsidRDefault="00CB0DD7">
      <w:pPr>
        <w:pStyle w:val="PL"/>
      </w:pPr>
      <w:r w:rsidRPr="000A0A5F">
        <w:t xml:space="preserve">        - TLS_SAN: </w:t>
      </w:r>
      <w:r w:rsidRPr="000A0A5F">
        <w:rPr>
          <w:lang w:eastAsia="zh-CN"/>
        </w:rPr>
        <w:t>Identifies the Subject Alternative Name in TLS ServerCertificate message.</w:t>
      </w:r>
    </w:p>
    <w:p w:rsidR="00CB0DD7" w:rsidRPr="000A0A5F" w:rsidRDefault="00CB0DD7">
      <w:pPr>
        <w:pStyle w:val="PL"/>
      </w:pPr>
      <w:r w:rsidRPr="000A0A5F">
        <w:t xml:space="preserve">        - TS</w:t>
      </w:r>
      <w:r w:rsidR="000838E7" w:rsidRPr="000A0A5F">
        <w:t>L</w:t>
      </w:r>
      <w:r w:rsidRPr="000A0A5F">
        <w:t xml:space="preserve">_SCN: </w:t>
      </w:r>
      <w:r w:rsidRPr="000A0A5F">
        <w:rPr>
          <w:lang w:eastAsia="zh-CN"/>
        </w:rPr>
        <w:t>Identifies the Subject Common Name in TLS ServerCertificate message.</w:t>
      </w:r>
    </w:p>
    <w:p w:rsidR="00CB0DD7" w:rsidRPr="000A0A5F" w:rsidRDefault="00CB0DD7">
      <w:pPr>
        <w:pStyle w:val="PL"/>
      </w:pPr>
    </w:p>
    <w:p w:rsidR="00CB0DD7" w:rsidRPr="000A0A5F" w:rsidRDefault="00CB0DD7" w:rsidP="008D59EF">
      <w:pPr>
        <w:pStyle w:val="Heading1"/>
      </w:pPr>
      <w:bookmarkStart w:id="10414" w:name="_Toc11247941"/>
      <w:bookmarkStart w:id="10415" w:name="_Toc27045123"/>
      <w:bookmarkStart w:id="10416" w:name="_Toc36034174"/>
      <w:bookmarkStart w:id="10417" w:name="_Toc45132322"/>
      <w:bookmarkStart w:id="10418" w:name="_Toc49776607"/>
      <w:bookmarkStart w:id="10419" w:name="_Toc51747527"/>
      <w:bookmarkStart w:id="10420" w:name="_Toc66361109"/>
      <w:bookmarkStart w:id="10421" w:name="_Toc68105614"/>
      <w:bookmarkStart w:id="10422" w:name="_Toc74756246"/>
      <w:bookmarkStart w:id="10423" w:name="_Toc105675123"/>
      <w:bookmarkStart w:id="10424" w:name="_Toc130503201"/>
      <w:bookmarkStart w:id="10425" w:name="_Toc153625993"/>
      <w:r w:rsidRPr="000A0A5F">
        <w:t>A.12</w:t>
      </w:r>
      <w:r w:rsidRPr="000A0A5F">
        <w:tab/>
        <w:t>ECRControl API</w:t>
      </w:r>
      <w:bookmarkEnd w:id="10414"/>
      <w:bookmarkEnd w:id="10415"/>
      <w:bookmarkEnd w:id="10416"/>
      <w:bookmarkEnd w:id="10417"/>
      <w:bookmarkEnd w:id="10418"/>
      <w:bookmarkEnd w:id="10419"/>
      <w:bookmarkEnd w:id="10420"/>
      <w:bookmarkEnd w:id="10421"/>
      <w:bookmarkEnd w:id="10422"/>
      <w:bookmarkEnd w:id="10423"/>
      <w:bookmarkEnd w:id="10424"/>
      <w:bookmarkEnd w:id="10425"/>
    </w:p>
    <w:p w:rsidR="00CB0DD7" w:rsidRPr="000A0A5F" w:rsidRDefault="00CB0DD7">
      <w:pPr>
        <w:pStyle w:val="PL"/>
      </w:pPr>
      <w:r w:rsidRPr="000A0A5F">
        <w:t>openapi: 3.0.0</w:t>
      </w:r>
    </w:p>
    <w:p w:rsidR="00CB0DD7" w:rsidRPr="000A0A5F" w:rsidRDefault="00CB0DD7">
      <w:pPr>
        <w:pStyle w:val="PL"/>
      </w:pPr>
      <w:r w:rsidRPr="000A0A5F">
        <w:t>info:</w:t>
      </w:r>
    </w:p>
    <w:p w:rsidR="00CB0DD7" w:rsidRPr="000A0A5F" w:rsidRDefault="00CB0DD7">
      <w:pPr>
        <w:pStyle w:val="PL"/>
      </w:pPr>
      <w:r w:rsidRPr="000A0A5F">
        <w:t xml:space="preserve">  title: 3gpp-ecr-control</w:t>
      </w:r>
    </w:p>
    <w:p w:rsidR="00CB0DD7" w:rsidRPr="000A0A5F" w:rsidRDefault="00CB0DD7">
      <w:pPr>
        <w:pStyle w:val="PL"/>
      </w:pPr>
      <w:r w:rsidRPr="000A0A5F">
        <w:t xml:space="preserve">  version: 1.2.0</w:t>
      </w:r>
    </w:p>
    <w:p w:rsidR="00CB0DD7" w:rsidRPr="000A0A5F" w:rsidRDefault="00CB0DD7">
      <w:pPr>
        <w:pStyle w:val="PL"/>
      </w:pPr>
      <w:r w:rsidRPr="000A0A5F">
        <w:t xml:space="preserve">  description: |</w:t>
      </w:r>
    </w:p>
    <w:p w:rsidR="00CB0DD7" w:rsidRPr="000A0A5F" w:rsidRDefault="00CB0DD7">
      <w:pPr>
        <w:pStyle w:val="PL"/>
      </w:pPr>
      <w:r w:rsidRPr="000A0A5F">
        <w:t xml:space="preserve">    API for enhanced converage restriction control.</w:t>
      </w:r>
      <w:r w:rsidR="005B6DFB" w:rsidRPr="000A0A5F">
        <w:t xml:space="preserve">  </w:t>
      </w:r>
    </w:p>
    <w:p w:rsidR="00CB0DD7" w:rsidRPr="000A0A5F" w:rsidRDefault="00CB0DD7">
      <w:pPr>
        <w:pStyle w:val="PL"/>
      </w:pPr>
      <w:r w:rsidRPr="000A0A5F">
        <w:t xml:space="preserve">    © 202</w:t>
      </w:r>
      <w:r w:rsidR="005B6DFB" w:rsidRPr="000A0A5F">
        <w:t>2</w:t>
      </w:r>
      <w:r w:rsidRPr="000A0A5F">
        <w:t>, 3GPP Organizational Partners (ARIB, ATIS, CCSA, ETSI, TSDSI, TTA, TTC).</w:t>
      </w:r>
      <w:r w:rsidR="005B6DFB" w:rsidRPr="000A0A5F">
        <w:t xml:space="preserve">  </w:t>
      </w:r>
    </w:p>
    <w:p w:rsidR="00CB0DD7" w:rsidRPr="000A0A5F" w:rsidRDefault="00CB0DD7">
      <w:pPr>
        <w:pStyle w:val="PL"/>
      </w:pPr>
      <w:r w:rsidRPr="000A0A5F">
        <w:t xml:space="preserve">    All rights reserved.</w:t>
      </w:r>
    </w:p>
    <w:p w:rsidR="00CB0DD7" w:rsidRPr="000A0A5F" w:rsidRDefault="00CB0DD7">
      <w:pPr>
        <w:pStyle w:val="PL"/>
      </w:pPr>
      <w:r w:rsidRPr="000A0A5F">
        <w:t>externalDocs:</w:t>
      </w:r>
    </w:p>
    <w:p w:rsidR="00CB0DD7" w:rsidRPr="000A0A5F" w:rsidRDefault="00CB0DD7">
      <w:pPr>
        <w:pStyle w:val="PL"/>
      </w:pPr>
      <w:r w:rsidRPr="000A0A5F">
        <w:t xml:space="preserve">  description: 3GPP TS 29.122 V17.</w:t>
      </w:r>
      <w:r w:rsidR="005B6DFB" w:rsidRPr="000A0A5F">
        <w:t>6</w:t>
      </w:r>
      <w:r w:rsidRPr="000A0A5F">
        <w:t>.0 T8 reference point for Northbound APIs</w:t>
      </w:r>
    </w:p>
    <w:p w:rsidR="00CB0DD7" w:rsidRPr="000A0A5F" w:rsidRDefault="00CB0DD7">
      <w:pPr>
        <w:pStyle w:val="PL"/>
      </w:pPr>
      <w:r w:rsidRPr="000A0A5F">
        <w:t xml:space="preserve">  url: 'http</w:t>
      </w:r>
      <w:r w:rsidR="005B6DFB" w:rsidRPr="000A0A5F">
        <w:t>s</w:t>
      </w:r>
      <w:r w:rsidRPr="000A0A5F">
        <w:t>://www.3gpp.org/ftp/Specs/archive/29_series/29.122/'</w:t>
      </w:r>
    </w:p>
    <w:p w:rsidR="00CB0DD7" w:rsidRPr="000A0A5F" w:rsidRDefault="00CB0DD7">
      <w:pPr>
        <w:pStyle w:val="PL"/>
      </w:pPr>
      <w:r w:rsidRPr="000A0A5F">
        <w:t>security:</w:t>
      </w:r>
    </w:p>
    <w:p w:rsidR="00CB0DD7" w:rsidRPr="000A0A5F" w:rsidRDefault="00CB0DD7">
      <w:pPr>
        <w:pStyle w:val="PL"/>
        <w:rPr>
          <w:lang w:val="en-US"/>
        </w:rPr>
      </w:pPr>
      <w:r w:rsidRPr="000A0A5F">
        <w:rPr>
          <w:lang w:val="en-US"/>
        </w:rPr>
        <w:t xml:space="preserve">  - {}</w:t>
      </w:r>
    </w:p>
    <w:p w:rsidR="00CB0DD7" w:rsidRPr="000A0A5F" w:rsidRDefault="00CB0DD7">
      <w:pPr>
        <w:pStyle w:val="PL"/>
      </w:pPr>
      <w:r w:rsidRPr="000A0A5F">
        <w:t xml:space="preserve">  - oAuth2ClientCredentials: []</w:t>
      </w:r>
    </w:p>
    <w:p w:rsidR="00CB0DD7" w:rsidRPr="000A0A5F" w:rsidRDefault="00CB0DD7">
      <w:pPr>
        <w:pStyle w:val="PL"/>
      </w:pPr>
      <w:r w:rsidRPr="000A0A5F">
        <w:t>servers:</w:t>
      </w:r>
    </w:p>
    <w:p w:rsidR="00CB0DD7" w:rsidRPr="000A0A5F" w:rsidRDefault="00CB0DD7">
      <w:pPr>
        <w:pStyle w:val="PL"/>
      </w:pPr>
      <w:r w:rsidRPr="000A0A5F">
        <w:t xml:space="preserve">  - url: '{apiRoot}/3gpp-ecr-control/v1'</w:t>
      </w:r>
    </w:p>
    <w:p w:rsidR="00CB0DD7" w:rsidRPr="000A0A5F" w:rsidRDefault="00CB0DD7">
      <w:pPr>
        <w:pStyle w:val="PL"/>
      </w:pPr>
      <w:r w:rsidRPr="000A0A5F">
        <w:t xml:space="preserve">    variables:</w:t>
      </w:r>
    </w:p>
    <w:p w:rsidR="00CB0DD7" w:rsidRPr="000A0A5F" w:rsidRDefault="00CB0DD7">
      <w:pPr>
        <w:pStyle w:val="PL"/>
      </w:pPr>
      <w:r w:rsidRPr="000A0A5F">
        <w:t xml:space="preserve">      apiRoot:</w:t>
      </w:r>
    </w:p>
    <w:p w:rsidR="00CB0DD7" w:rsidRPr="000A0A5F" w:rsidRDefault="00CB0DD7">
      <w:pPr>
        <w:pStyle w:val="PL"/>
      </w:pPr>
      <w:r w:rsidRPr="000A0A5F">
        <w:t xml:space="preserve">        default: https://example.com</w:t>
      </w:r>
    </w:p>
    <w:p w:rsidR="00CB0DD7" w:rsidRPr="000A0A5F" w:rsidRDefault="00CB0DD7">
      <w:pPr>
        <w:pStyle w:val="PL"/>
      </w:pPr>
      <w:r w:rsidRPr="000A0A5F">
        <w:t xml:space="preserve">        description: apiRoot as defined in clause 5.2.4 of 3GPP TS 29.122.</w:t>
      </w:r>
    </w:p>
    <w:p w:rsidR="00CB0DD7" w:rsidRPr="000A0A5F" w:rsidRDefault="00CB0DD7">
      <w:pPr>
        <w:pStyle w:val="PL"/>
      </w:pPr>
      <w:r w:rsidRPr="000A0A5F">
        <w:t>paths:</w:t>
      </w:r>
    </w:p>
    <w:p w:rsidR="00CB0DD7" w:rsidRPr="000A0A5F" w:rsidRDefault="00CB0DD7">
      <w:pPr>
        <w:pStyle w:val="PL"/>
      </w:pPr>
      <w:r w:rsidRPr="000A0A5F">
        <w:t xml:space="preserve">  /query:</w:t>
      </w:r>
    </w:p>
    <w:p w:rsidR="00CB0DD7" w:rsidRPr="000A0A5F" w:rsidRDefault="00CB0DD7">
      <w:pPr>
        <w:pStyle w:val="PL"/>
      </w:pPr>
      <w:r w:rsidRPr="000A0A5F">
        <w:t xml:space="preserve">    post:</w:t>
      </w:r>
    </w:p>
    <w:p w:rsidR="00CB0DD7" w:rsidRPr="000A0A5F" w:rsidRDefault="00CB0DD7">
      <w:pPr>
        <w:pStyle w:val="PL"/>
      </w:pPr>
      <w:r w:rsidRPr="000A0A5F">
        <w:t xml:space="preserve">      summary: Query the status of enhanced converage restriction for a UE.</w:t>
      </w:r>
    </w:p>
    <w:p w:rsidR="00CB0DD7" w:rsidRPr="000A0A5F" w:rsidRDefault="00CB0DD7">
      <w:pPr>
        <w:pStyle w:val="PL"/>
      </w:pPr>
      <w:r w:rsidRPr="000A0A5F">
        <w:t xml:space="preserve">      requestBody:</w:t>
      </w:r>
    </w:p>
    <w:p w:rsidR="00CB0DD7" w:rsidRPr="000A0A5F" w:rsidRDefault="00CB0DD7">
      <w:pPr>
        <w:pStyle w:val="PL"/>
      </w:pPr>
      <w:r w:rsidRPr="000A0A5F">
        <w:t xml:space="preserve">        required: true</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application/json:</w:t>
      </w:r>
    </w:p>
    <w:p w:rsidR="00CB0DD7" w:rsidRPr="000A0A5F" w:rsidRDefault="00CB0DD7">
      <w:pPr>
        <w:pStyle w:val="PL"/>
      </w:pPr>
      <w:r w:rsidRPr="000A0A5F">
        <w:t xml:space="preserve">            schema:</w:t>
      </w:r>
    </w:p>
    <w:p w:rsidR="00CB0DD7" w:rsidRPr="000A0A5F" w:rsidRDefault="00CB0DD7">
      <w:pPr>
        <w:pStyle w:val="PL"/>
      </w:pPr>
      <w:r w:rsidRPr="000A0A5F">
        <w:t xml:space="preserve">              $ref: '#/components/schemas/ECRControl'</w:t>
      </w:r>
    </w:p>
    <w:p w:rsidR="00CB0DD7" w:rsidRPr="000A0A5F" w:rsidRDefault="00CB0DD7">
      <w:pPr>
        <w:pStyle w:val="PL"/>
      </w:pPr>
      <w:r w:rsidRPr="000A0A5F">
        <w:t xml:space="preserve">      responses:</w:t>
      </w:r>
    </w:p>
    <w:p w:rsidR="00CB0DD7" w:rsidRPr="000A0A5F" w:rsidRDefault="00CB0DD7">
      <w:pPr>
        <w:pStyle w:val="PL"/>
      </w:pPr>
      <w:r w:rsidRPr="000A0A5F">
        <w:t xml:space="preserve">        '200':</w:t>
      </w:r>
    </w:p>
    <w:p w:rsidR="00CB0DD7" w:rsidRPr="000A0A5F" w:rsidRDefault="00CB0DD7">
      <w:pPr>
        <w:pStyle w:val="PL"/>
      </w:pPr>
      <w:r w:rsidRPr="000A0A5F">
        <w:t xml:space="preserve">          description: The requested information was returned successfully.</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application/json:</w:t>
      </w:r>
    </w:p>
    <w:p w:rsidR="00CB0DD7" w:rsidRPr="000A0A5F" w:rsidRDefault="00CB0DD7">
      <w:pPr>
        <w:pStyle w:val="PL"/>
      </w:pPr>
      <w:r w:rsidRPr="000A0A5F">
        <w:t xml:space="preserve">              schema:</w:t>
      </w:r>
    </w:p>
    <w:p w:rsidR="00CB0DD7" w:rsidRPr="000A0A5F" w:rsidRDefault="00CB0DD7">
      <w:pPr>
        <w:pStyle w:val="PL"/>
      </w:pPr>
      <w:r w:rsidRPr="000A0A5F">
        <w:t xml:space="preserve">                $ref: '#/components/schemas/ECRData'</w:t>
      </w:r>
    </w:p>
    <w:p w:rsidR="00CB0DD7" w:rsidRPr="000A0A5F" w:rsidRDefault="00CB0DD7">
      <w:pPr>
        <w:pStyle w:val="PL"/>
      </w:pPr>
      <w:r w:rsidRPr="000A0A5F">
        <w:t xml:space="preserve">        '307':</w:t>
      </w:r>
    </w:p>
    <w:p w:rsidR="00CB0DD7" w:rsidRPr="000A0A5F" w:rsidRDefault="00CB0DD7">
      <w:pPr>
        <w:pStyle w:val="PL"/>
      </w:pPr>
      <w:r w:rsidRPr="000A0A5F">
        <w:t xml:space="preserve">          $ref: 'TS29122_CommonData.yaml#/components/responses/307'</w:t>
      </w:r>
    </w:p>
    <w:p w:rsidR="00CB0DD7" w:rsidRPr="000A0A5F" w:rsidRDefault="00CB0DD7">
      <w:pPr>
        <w:pStyle w:val="PL"/>
      </w:pPr>
      <w:r w:rsidRPr="000A0A5F">
        <w:t xml:space="preserve">        '308':</w:t>
      </w:r>
    </w:p>
    <w:p w:rsidR="00CB0DD7" w:rsidRPr="000A0A5F" w:rsidRDefault="00CB0DD7">
      <w:pPr>
        <w:pStyle w:val="PL"/>
      </w:pPr>
      <w:r w:rsidRPr="000A0A5F">
        <w:t xml:space="preserve">          $ref: 'TS29122_CommonData.yaml#/components/responses/308'</w:t>
      </w:r>
    </w:p>
    <w:p w:rsidR="00CB0DD7" w:rsidRPr="000A0A5F" w:rsidRDefault="00CB0DD7">
      <w:pPr>
        <w:pStyle w:val="PL"/>
      </w:pPr>
      <w:r w:rsidRPr="000A0A5F">
        <w:t xml:space="preserve">        '400':</w:t>
      </w:r>
    </w:p>
    <w:p w:rsidR="00CB0DD7" w:rsidRPr="000A0A5F" w:rsidRDefault="00CB0DD7">
      <w:pPr>
        <w:pStyle w:val="PL"/>
      </w:pPr>
      <w:r w:rsidRPr="000A0A5F">
        <w:t xml:space="preserve">          $ref: 'TS29122_CommonData.yaml#/components/responses/400'</w:t>
      </w:r>
    </w:p>
    <w:p w:rsidR="00CB0DD7" w:rsidRPr="000A0A5F" w:rsidRDefault="00CB0DD7">
      <w:pPr>
        <w:pStyle w:val="PL"/>
      </w:pPr>
      <w:r w:rsidRPr="000A0A5F">
        <w:t xml:space="preserve">        '401':</w:t>
      </w:r>
    </w:p>
    <w:p w:rsidR="00CB0DD7" w:rsidRPr="000A0A5F" w:rsidRDefault="00CB0DD7">
      <w:pPr>
        <w:pStyle w:val="PL"/>
      </w:pPr>
      <w:r w:rsidRPr="000A0A5F">
        <w:t xml:space="preserve">          $ref: 'TS29122_CommonData.yaml#/components/responses/401'</w:t>
      </w:r>
    </w:p>
    <w:p w:rsidR="00CB0DD7" w:rsidRPr="000A0A5F" w:rsidRDefault="00CB0DD7">
      <w:pPr>
        <w:pStyle w:val="PL"/>
      </w:pPr>
      <w:r w:rsidRPr="000A0A5F">
        <w:t xml:space="preserve">        '403':</w:t>
      </w:r>
    </w:p>
    <w:p w:rsidR="00CB0DD7" w:rsidRPr="000A0A5F" w:rsidRDefault="00CB0DD7">
      <w:pPr>
        <w:pStyle w:val="PL"/>
      </w:pPr>
      <w:r w:rsidRPr="000A0A5F">
        <w:t xml:space="preserve">          $ref: 'TS29122_CommonData.yaml#/components/responses/403'</w:t>
      </w:r>
    </w:p>
    <w:p w:rsidR="00CB0DD7" w:rsidRPr="000A0A5F" w:rsidRDefault="00CB0DD7">
      <w:pPr>
        <w:pStyle w:val="PL"/>
      </w:pPr>
      <w:r w:rsidRPr="000A0A5F">
        <w:t xml:space="preserve">        '404':</w:t>
      </w:r>
    </w:p>
    <w:p w:rsidR="00CB0DD7" w:rsidRPr="000A0A5F" w:rsidRDefault="00CB0DD7">
      <w:pPr>
        <w:pStyle w:val="PL"/>
      </w:pPr>
      <w:r w:rsidRPr="000A0A5F">
        <w:t xml:space="preserve">          $ref: 'TS29122_CommonData.yaml#/components/responses/404'</w:t>
      </w:r>
    </w:p>
    <w:p w:rsidR="00CB0DD7" w:rsidRPr="000A0A5F" w:rsidRDefault="00CB0DD7">
      <w:pPr>
        <w:pStyle w:val="PL"/>
      </w:pPr>
      <w:r w:rsidRPr="000A0A5F">
        <w:t xml:space="preserve">        '411':</w:t>
      </w:r>
    </w:p>
    <w:p w:rsidR="00CB0DD7" w:rsidRPr="000A0A5F" w:rsidRDefault="00CB0DD7">
      <w:pPr>
        <w:pStyle w:val="PL"/>
      </w:pPr>
      <w:r w:rsidRPr="000A0A5F">
        <w:t xml:space="preserve">          $ref: 'TS29122_CommonData.yaml#/components/responses/411'</w:t>
      </w:r>
    </w:p>
    <w:p w:rsidR="00CB0DD7" w:rsidRPr="000A0A5F" w:rsidRDefault="00CB0DD7">
      <w:pPr>
        <w:pStyle w:val="PL"/>
      </w:pPr>
      <w:r w:rsidRPr="000A0A5F">
        <w:t xml:space="preserve">        '413':</w:t>
      </w:r>
    </w:p>
    <w:p w:rsidR="00CB0DD7" w:rsidRPr="000A0A5F" w:rsidRDefault="00CB0DD7">
      <w:pPr>
        <w:pStyle w:val="PL"/>
      </w:pPr>
      <w:r w:rsidRPr="000A0A5F">
        <w:t xml:space="preserve">          $ref: 'TS29122_CommonData.yaml#/components/responses/413'</w:t>
      </w:r>
    </w:p>
    <w:p w:rsidR="00CB0DD7" w:rsidRPr="000A0A5F" w:rsidRDefault="00CB0DD7">
      <w:pPr>
        <w:pStyle w:val="PL"/>
      </w:pPr>
      <w:r w:rsidRPr="000A0A5F">
        <w:t xml:space="preserve">        '415':</w:t>
      </w:r>
    </w:p>
    <w:p w:rsidR="00CB0DD7" w:rsidRPr="000A0A5F" w:rsidRDefault="00CB0DD7">
      <w:pPr>
        <w:pStyle w:val="PL"/>
      </w:pPr>
      <w:r w:rsidRPr="000A0A5F">
        <w:t xml:space="preserve">          $ref: 'TS29122_CommonData.yaml#/components/responses/415'</w:t>
      </w:r>
    </w:p>
    <w:p w:rsidR="00CB0DD7" w:rsidRPr="000A0A5F" w:rsidRDefault="00CB0DD7">
      <w:pPr>
        <w:pStyle w:val="PL"/>
      </w:pPr>
      <w:r w:rsidRPr="000A0A5F">
        <w:t xml:space="preserve">        '429':</w:t>
      </w:r>
    </w:p>
    <w:p w:rsidR="00CB0DD7" w:rsidRPr="000A0A5F" w:rsidRDefault="00CB0DD7">
      <w:pPr>
        <w:pStyle w:val="PL"/>
      </w:pPr>
      <w:r w:rsidRPr="000A0A5F">
        <w:t xml:space="preserve">          $ref: 'TS29122_CommonData.yaml#/components/responses/429'</w:t>
      </w:r>
    </w:p>
    <w:p w:rsidR="00CB0DD7" w:rsidRPr="000A0A5F" w:rsidRDefault="00CB0DD7">
      <w:pPr>
        <w:pStyle w:val="PL"/>
      </w:pPr>
      <w:r w:rsidRPr="000A0A5F">
        <w:t xml:space="preserve">        '500':</w:t>
      </w:r>
    </w:p>
    <w:p w:rsidR="00CB0DD7" w:rsidRPr="000A0A5F" w:rsidRDefault="00CB0DD7">
      <w:pPr>
        <w:pStyle w:val="PL"/>
      </w:pPr>
      <w:r w:rsidRPr="000A0A5F">
        <w:t xml:space="preserve">          $ref: 'TS29122_CommonData.yaml#/components/responses/500'</w:t>
      </w:r>
    </w:p>
    <w:p w:rsidR="00CB0DD7" w:rsidRPr="000A0A5F" w:rsidRDefault="00CB0DD7">
      <w:pPr>
        <w:pStyle w:val="PL"/>
      </w:pPr>
      <w:r w:rsidRPr="000A0A5F">
        <w:t xml:space="preserve">        '503':</w:t>
      </w:r>
    </w:p>
    <w:p w:rsidR="00CB0DD7" w:rsidRPr="000A0A5F" w:rsidRDefault="00CB0DD7">
      <w:pPr>
        <w:pStyle w:val="PL"/>
      </w:pPr>
      <w:r w:rsidRPr="000A0A5F">
        <w:t xml:space="preserve">          $ref: 'TS29122_CommonData.yaml#/components/responses/503'</w:t>
      </w:r>
    </w:p>
    <w:p w:rsidR="00CB0DD7" w:rsidRPr="000A0A5F" w:rsidRDefault="00CB0DD7">
      <w:pPr>
        <w:pStyle w:val="PL"/>
      </w:pPr>
      <w:r w:rsidRPr="000A0A5F">
        <w:t xml:space="preserve">        default:</w:t>
      </w:r>
    </w:p>
    <w:p w:rsidR="00CB0DD7" w:rsidRPr="000A0A5F" w:rsidRDefault="00CB0DD7">
      <w:pPr>
        <w:pStyle w:val="PL"/>
      </w:pPr>
      <w:r w:rsidRPr="000A0A5F">
        <w:t xml:space="preserve">          $ref: 'TS29122_CommonData.yaml#/components/responses/default'</w:t>
      </w:r>
    </w:p>
    <w:p w:rsidR="00CB0DD7" w:rsidRPr="000A0A5F" w:rsidRDefault="00CB0DD7">
      <w:pPr>
        <w:pStyle w:val="PL"/>
      </w:pPr>
    </w:p>
    <w:p w:rsidR="00CB0DD7" w:rsidRPr="000A0A5F" w:rsidRDefault="00CB0DD7">
      <w:pPr>
        <w:pStyle w:val="PL"/>
      </w:pPr>
      <w:r w:rsidRPr="000A0A5F">
        <w:t xml:space="preserve">  /configure:</w:t>
      </w:r>
    </w:p>
    <w:p w:rsidR="00CB0DD7" w:rsidRPr="000A0A5F" w:rsidRDefault="00CB0DD7">
      <w:pPr>
        <w:pStyle w:val="PL"/>
      </w:pPr>
      <w:r w:rsidRPr="000A0A5F">
        <w:t xml:space="preserve">    post:</w:t>
      </w:r>
    </w:p>
    <w:p w:rsidR="00CB0DD7" w:rsidRPr="000A0A5F" w:rsidRDefault="00CB0DD7">
      <w:pPr>
        <w:pStyle w:val="PL"/>
      </w:pPr>
      <w:r w:rsidRPr="000A0A5F">
        <w:t xml:space="preserve">      summary: Configure the enhanced converage restriction for a UE.</w:t>
      </w:r>
    </w:p>
    <w:p w:rsidR="00CB0DD7" w:rsidRPr="000A0A5F" w:rsidRDefault="00CB0DD7">
      <w:pPr>
        <w:pStyle w:val="PL"/>
      </w:pPr>
      <w:r w:rsidRPr="000A0A5F">
        <w:t xml:space="preserve">      requestBody:</w:t>
      </w:r>
    </w:p>
    <w:p w:rsidR="00CB0DD7" w:rsidRPr="000A0A5F" w:rsidRDefault="00CB0DD7">
      <w:pPr>
        <w:pStyle w:val="PL"/>
      </w:pPr>
      <w:r w:rsidRPr="000A0A5F">
        <w:t xml:space="preserve">         required: true</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application/json:</w:t>
      </w:r>
    </w:p>
    <w:p w:rsidR="00CB0DD7" w:rsidRPr="000A0A5F" w:rsidRDefault="00CB0DD7">
      <w:pPr>
        <w:pStyle w:val="PL"/>
      </w:pPr>
      <w:r w:rsidRPr="000A0A5F">
        <w:t xml:space="preserve">            schema:</w:t>
      </w:r>
    </w:p>
    <w:p w:rsidR="00CB0DD7" w:rsidRPr="000A0A5F" w:rsidRDefault="00CB0DD7">
      <w:pPr>
        <w:pStyle w:val="PL"/>
      </w:pPr>
      <w:r w:rsidRPr="000A0A5F">
        <w:t xml:space="preserve">              $ref: '#/components/schemas/ECRControl'</w:t>
      </w:r>
    </w:p>
    <w:p w:rsidR="00CB0DD7" w:rsidRPr="000A0A5F" w:rsidRDefault="00CB0DD7">
      <w:pPr>
        <w:pStyle w:val="PL"/>
      </w:pPr>
      <w:r w:rsidRPr="000A0A5F">
        <w:t xml:space="preserve">      responses:</w:t>
      </w:r>
    </w:p>
    <w:p w:rsidR="00CB0DD7" w:rsidRPr="000A0A5F" w:rsidRDefault="00CB0DD7">
      <w:pPr>
        <w:pStyle w:val="PL"/>
      </w:pPr>
      <w:r w:rsidRPr="000A0A5F">
        <w:t xml:space="preserve">        '200':</w:t>
      </w:r>
    </w:p>
    <w:p w:rsidR="00CB0DD7" w:rsidRPr="000A0A5F" w:rsidRDefault="00CB0DD7">
      <w:pPr>
        <w:pStyle w:val="PL"/>
      </w:pPr>
      <w:r w:rsidRPr="000A0A5F">
        <w:t xml:space="preserve">          description: The Enhanced Coverage Restriction setting was configured successfully.. </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application/json:</w:t>
      </w:r>
    </w:p>
    <w:p w:rsidR="00CB0DD7" w:rsidRPr="000A0A5F" w:rsidRDefault="00CB0DD7">
      <w:pPr>
        <w:pStyle w:val="PL"/>
      </w:pPr>
      <w:r w:rsidRPr="000A0A5F">
        <w:t xml:space="preserve">              schema:</w:t>
      </w:r>
    </w:p>
    <w:p w:rsidR="00CB0DD7" w:rsidRPr="000A0A5F" w:rsidRDefault="00CB0DD7">
      <w:pPr>
        <w:pStyle w:val="PL"/>
      </w:pPr>
      <w:r w:rsidRPr="000A0A5F">
        <w:t xml:space="preserve">                $ref: '#/components/schemas/ECRData'</w:t>
      </w:r>
    </w:p>
    <w:p w:rsidR="00CB0DD7" w:rsidRPr="000A0A5F" w:rsidRDefault="00CB0DD7">
      <w:pPr>
        <w:pStyle w:val="PL"/>
      </w:pPr>
      <w:r w:rsidRPr="000A0A5F">
        <w:t xml:space="preserve">        '307':</w:t>
      </w:r>
    </w:p>
    <w:p w:rsidR="00CB0DD7" w:rsidRPr="000A0A5F" w:rsidRDefault="00CB0DD7">
      <w:pPr>
        <w:pStyle w:val="PL"/>
      </w:pPr>
      <w:r w:rsidRPr="000A0A5F">
        <w:t xml:space="preserve">          $ref: 'TS29122_CommonData.yaml#/components/responses/307'</w:t>
      </w:r>
    </w:p>
    <w:p w:rsidR="00CB0DD7" w:rsidRPr="000A0A5F" w:rsidRDefault="00CB0DD7">
      <w:pPr>
        <w:pStyle w:val="PL"/>
      </w:pPr>
      <w:r w:rsidRPr="000A0A5F">
        <w:t xml:space="preserve">        '308':</w:t>
      </w:r>
    </w:p>
    <w:p w:rsidR="00CB0DD7" w:rsidRPr="000A0A5F" w:rsidRDefault="00CB0DD7">
      <w:pPr>
        <w:pStyle w:val="PL"/>
      </w:pPr>
      <w:r w:rsidRPr="000A0A5F">
        <w:t xml:space="preserve">          $ref: 'TS29122_CommonData.yaml#/components/responses/308'</w:t>
      </w:r>
    </w:p>
    <w:p w:rsidR="00CB0DD7" w:rsidRPr="000A0A5F" w:rsidRDefault="00CB0DD7">
      <w:pPr>
        <w:pStyle w:val="PL"/>
      </w:pPr>
      <w:r w:rsidRPr="000A0A5F">
        <w:t xml:space="preserve">        '400':</w:t>
      </w:r>
    </w:p>
    <w:p w:rsidR="00CB0DD7" w:rsidRPr="000A0A5F" w:rsidRDefault="00CB0DD7">
      <w:pPr>
        <w:pStyle w:val="PL"/>
      </w:pPr>
      <w:r w:rsidRPr="000A0A5F">
        <w:t xml:space="preserve">          $ref: 'TS29122_CommonData.yaml#/components/responses/400'</w:t>
      </w:r>
    </w:p>
    <w:p w:rsidR="00CB0DD7" w:rsidRPr="000A0A5F" w:rsidRDefault="00CB0DD7">
      <w:pPr>
        <w:pStyle w:val="PL"/>
      </w:pPr>
      <w:r w:rsidRPr="000A0A5F">
        <w:t xml:space="preserve">        '401':</w:t>
      </w:r>
    </w:p>
    <w:p w:rsidR="00CB0DD7" w:rsidRPr="000A0A5F" w:rsidRDefault="00CB0DD7">
      <w:pPr>
        <w:pStyle w:val="PL"/>
      </w:pPr>
      <w:r w:rsidRPr="000A0A5F">
        <w:t xml:space="preserve">          $ref: 'TS29122_CommonData.yaml#/components/responses/401'</w:t>
      </w:r>
    </w:p>
    <w:p w:rsidR="00CB0DD7" w:rsidRPr="000A0A5F" w:rsidRDefault="00CB0DD7">
      <w:pPr>
        <w:pStyle w:val="PL"/>
      </w:pPr>
      <w:r w:rsidRPr="000A0A5F">
        <w:t xml:space="preserve">        '403':</w:t>
      </w:r>
    </w:p>
    <w:p w:rsidR="00CB0DD7" w:rsidRPr="000A0A5F" w:rsidRDefault="00CB0DD7">
      <w:pPr>
        <w:pStyle w:val="PL"/>
      </w:pPr>
      <w:r w:rsidRPr="000A0A5F">
        <w:t xml:space="preserve">          $ref: 'TS29122_CommonData.yaml#/components/responses/403'</w:t>
      </w:r>
    </w:p>
    <w:p w:rsidR="00CB0DD7" w:rsidRPr="000A0A5F" w:rsidRDefault="00CB0DD7">
      <w:pPr>
        <w:pStyle w:val="PL"/>
      </w:pPr>
      <w:r w:rsidRPr="000A0A5F">
        <w:t xml:space="preserve">        '404':</w:t>
      </w:r>
    </w:p>
    <w:p w:rsidR="00CB0DD7" w:rsidRPr="000A0A5F" w:rsidRDefault="00CB0DD7">
      <w:pPr>
        <w:pStyle w:val="PL"/>
      </w:pPr>
      <w:r w:rsidRPr="000A0A5F">
        <w:t xml:space="preserve">          $ref: 'TS29122_CommonData.yaml#/components/responses/404'</w:t>
      </w:r>
    </w:p>
    <w:p w:rsidR="00CB0DD7" w:rsidRPr="000A0A5F" w:rsidRDefault="00CB0DD7">
      <w:pPr>
        <w:pStyle w:val="PL"/>
      </w:pPr>
      <w:r w:rsidRPr="000A0A5F">
        <w:t xml:space="preserve">        '411':</w:t>
      </w:r>
    </w:p>
    <w:p w:rsidR="00CB0DD7" w:rsidRPr="000A0A5F" w:rsidRDefault="00CB0DD7">
      <w:pPr>
        <w:pStyle w:val="PL"/>
      </w:pPr>
      <w:r w:rsidRPr="000A0A5F">
        <w:t xml:space="preserve">          $ref: 'TS29122_CommonData.yaml#/components/responses/411'</w:t>
      </w:r>
    </w:p>
    <w:p w:rsidR="00CB0DD7" w:rsidRPr="000A0A5F" w:rsidRDefault="00CB0DD7">
      <w:pPr>
        <w:pStyle w:val="PL"/>
      </w:pPr>
      <w:r w:rsidRPr="000A0A5F">
        <w:t xml:space="preserve">        '413':</w:t>
      </w:r>
    </w:p>
    <w:p w:rsidR="00CB0DD7" w:rsidRPr="000A0A5F" w:rsidRDefault="00CB0DD7">
      <w:pPr>
        <w:pStyle w:val="PL"/>
      </w:pPr>
      <w:r w:rsidRPr="000A0A5F">
        <w:t xml:space="preserve">          $ref: 'TS29122_CommonData.yaml#/components/responses/413'</w:t>
      </w:r>
    </w:p>
    <w:p w:rsidR="00CB0DD7" w:rsidRPr="000A0A5F" w:rsidRDefault="00CB0DD7">
      <w:pPr>
        <w:pStyle w:val="PL"/>
      </w:pPr>
      <w:r w:rsidRPr="000A0A5F">
        <w:t xml:space="preserve">        '415':</w:t>
      </w:r>
    </w:p>
    <w:p w:rsidR="00CB0DD7" w:rsidRPr="000A0A5F" w:rsidRDefault="00CB0DD7">
      <w:pPr>
        <w:pStyle w:val="PL"/>
      </w:pPr>
      <w:r w:rsidRPr="000A0A5F">
        <w:t xml:space="preserve">          $ref: 'TS29122_CommonData.yaml#/components/responses/415'</w:t>
      </w:r>
    </w:p>
    <w:p w:rsidR="00CB0DD7" w:rsidRPr="000A0A5F" w:rsidRDefault="00CB0DD7">
      <w:pPr>
        <w:pStyle w:val="PL"/>
      </w:pPr>
      <w:r w:rsidRPr="000A0A5F">
        <w:t xml:space="preserve">        '429':</w:t>
      </w:r>
    </w:p>
    <w:p w:rsidR="00CB0DD7" w:rsidRPr="000A0A5F" w:rsidRDefault="00CB0DD7">
      <w:pPr>
        <w:pStyle w:val="PL"/>
      </w:pPr>
      <w:r w:rsidRPr="000A0A5F">
        <w:t xml:space="preserve">          $ref: 'TS29122_CommonData.yaml#/components/responses/429'</w:t>
      </w:r>
    </w:p>
    <w:p w:rsidR="00CB0DD7" w:rsidRPr="000A0A5F" w:rsidRDefault="00CB0DD7">
      <w:pPr>
        <w:pStyle w:val="PL"/>
      </w:pPr>
      <w:r w:rsidRPr="000A0A5F">
        <w:t xml:space="preserve">        '500':</w:t>
      </w:r>
    </w:p>
    <w:p w:rsidR="00CB0DD7" w:rsidRPr="000A0A5F" w:rsidRDefault="00CB0DD7">
      <w:pPr>
        <w:pStyle w:val="PL"/>
      </w:pPr>
      <w:r w:rsidRPr="000A0A5F">
        <w:t xml:space="preserve">          $ref: 'TS29122_CommonData.yaml#/components/responses/500'</w:t>
      </w:r>
    </w:p>
    <w:p w:rsidR="00CB0DD7" w:rsidRPr="000A0A5F" w:rsidRDefault="00CB0DD7">
      <w:pPr>
        <w:pStyle w:val="PL"/>
      </w:pPr>
      <w:r w:rsidRPr="000A0A5F">
        <w:t xml:space="preserve">        '503':</w:t>
      </w:r>
    </w:p>
    <w:p w:rsidR="00CB0DD7" w:rsidRPr="000A0A5F" w:rsidRDefault="00CB0DD7">
      <w:pPr>
        <w:pStyle w:val="PL"/>
      </w:pPr>
      <w:r w:rsidRPr="000A0A5F">
        <w:t xml:space="preserve">          $ref: 'TS29122_CommonData.yaml#/components/responses/503'</w:t>
      </w:r>
    </w:p>
    <w:p w:rsidR="00CB0DD7" w:rsidRPr="000A0A5F" w:rsidRDefault="00CB0DD7">
      <w:pPr>
        <w:pStyle w:val="PL"/>
      </w:pPr>
      <w:r w:rsidRPr="000A0A5F">
        <w:t xml:space="preserve">        default:</w:t>
      </w:r>
    </w:p>
    <w:p w:rsidR="00CB0DD7" w:rsidRPr="000A0A5F" w:rsidRDefault="00CB0DD7">
      <w:pPr>
        <w:pStyle w:val="PL"/>
      </w:pPr>
      <w:r w:rsidRPr="000A0A5F">
        <w:t xml:space="preserve">          $ref: 'TS29122_CommonData.yaml#/components/responses/default'</w:t>
      </w:r>
    </w:p>
    <w:p w:rsidR="00CB0DD7" w:rsidRPr="000A0A5F" w:rsidRDefault="00CB0DD7">
      <w:pPr>
        <w:pStyle w:val="PL"/>
      </w:pPr>
      <w:r w:rsidRPr="000A0A5F">
        <w:t>components:</w:t>
      </w:r>
    </w:p>
    <w:p w:rsidR="00CB0DD7" w:rsidRPr="000A0A5F" w:rsidRDefault="00CB0DD7">
      <w:pPr>
        <w:pStyle w:val="PL"/>
        <w:rPr>
          <w:lang w:val="en-US"/>
        </w:rPr>
      </w:pPr>
      <w:r w:rsidRPr="000A0A5F">
        <w:rPr>
          <w:lang w:val="en-US"/>
        </w:rPr>
        <w:t xml:space="preserve">  securitySchemes:</w:t>
      </w:r>
    </w:p>
    <w:p w:rsidR="00CB0DD7" w:rsidRPr="000A0A5F" w:rsidRDefault="00CB0DD7">
      <w:pPr>
        <w:pStyle w:val="PL"/>
        <w:rPr>
          <w:lang w:val="en-US"/>
        </w:rPr>
      </w:pPr>
      <w:r w:rsidRPr="000A0A5F">
        <w:rPr>
          <w:lang w:val="en-US"/>
        </w:rPr>
        <w:t xml:space="preserve">    oAuth2ClientCredentials:</w:t>
      </w:r>
    </w:p>
    <w:p w:rsidR="00CB0DD7" w:rsidRPr="000A0A5F" w:rsidRDefault="00CB0DD7">
      <w:pPr>
        <w:pStyle w:val="PL"/>
        <w:rPr>
          <w:lang w:val="en-US"/>
        </w:rPr>
      </w:pPr>
      <w:r w:rsidRPr="000A0A5F">
        <w:rPr>
          <w:lang w:val="en-US"/>
        </w:rPr>
        <w:t xml:space="preserve">      type: oauth2</w:t>
      </w:r>
    </w:p>
    <w:p w:rsidR="00CB0DD7" w:rsidRPr="000A0A5F" w:rsidRDefault="00CB0DD7">
      <w:pPr>
        <w:pStyle w:val="PL"/>
        <w:rPr>
          <w:lang w:val="en-US"/>
        </w:rPr>
      </w:pPr>
      <w:r w:rsidRPr="000A0A5F">
        <w:rPr>
          <w:lang w:val="en-US"/>
        </w:rPr>
        <w:t xml:space="preserve">      flows:</w:t>
      </w:r>
    </w:p>
    <w:p w:rsidR="00CB0DD7" w:rsidRPr="000A0A5F" w:rsidRDefault="00CB0DD7">
      <w:pPr>
        <w:pStyle w:val="PL"/>
        <w:rPr>
          <w:lang w:val="en-US"/>
        </w:rPr>
      </w:pPr>
      <w:r w:rsidRPr="000A0A5F">
        <w:rPr>
          <w:lang w:val="en-US"/>
        </w:rPr>
        <w:t xml:space="preserve">        clientCredentials:</w:t>
      </w:r>
    </w:p>
    <w:p w:rsidR="00CB0DD7" w:rsidRPr="000A0A5F" w:rsidRDefault="00CB0DD7">
      <w:pPr>
        <w:pStyle w:val="PL"/>
        <w:rPr>
          <w:lang w:val="en-US"/>
        </w:rPr>
      </w:pPr>
      <w:r w:rsidRPr="000A0A5F">
        <w:rPr>
          <w:lang w:val="en-US"/>
        </w:rPr>
        <w:t xml:space="preserve">          tokenUrl: '{tokenUrl}'</w:t>
      </w:r>
    </w:p>
    <w:p w:rsidR="00CB0DD7" w:rsidRPr="000A0A5F" w:rsidRDefault="00CB0DD7">
      <w:pPr>
        <w:pStyle w:val="PL"/>
        <w:rPr>
          <w:lang w:val="en-US"/>
        </w:rPr>
      </w:pPr>
      <w:r w:rsidRPr="000A0A5F">
        <w:rPr>
          <w:lang w:val="en-US"/>
        </w:rPr>
        <w:t xml:space="preserve">          scopes: {}</w:t>
      </w:r>
    </w:p>
    <w:p w:rsidR="00CB0DD7" w:rsidRPr="000A0A5F" w:rsidRDefault="00CB0DD7">
      <w:pPr>
        <w:pStyle w:val="PL"/>
        <w:rPr>
          <w:lang w:eastAsia="zh-CN"/>
        </w:rPr>
      </w:pPr>
      <w:r w:rsidRPr="000A0A5F">
        <w:t xml:space="preserve">  schemas: </w:t>
      </w:r>
    </w:p>
    <w:p w:rsidR="00CB0DD7" w:rsidRPr="000A0A5F" w:rsidRDefault="00CB0DD7">
      <w:pPr>
        <w:pStyle w:val="PL"/>
      </w:pPr>
      <w:r w:rsidRPr="000A0A5F">
        <w:t xml:space="preserve">    ECRControl:</w:t>
      </w:r>
    </w:p>
    <w:p w:rsidR="00CB0DD7" w:rsidRPr="000A0A5F" w:rsidRDefault="00CB0DD7">
      <w:pPr>
        <w:pStyle w:val="PL"/>
      </w:pPr>
      <w:r w:rsidRPr="000A0A5F">
        <w:t xml:space="preserve">      description: Represents the parameters to request Enhanced Coverage Restriction control.</w:t>
      </w:r>
    </w:p>
    <w:p w:rsidR="00CB0DD7" w:rsidRPr="000A0A5F" w:rsidRDefault="00CB0DD7">
      <w:pPr>
        <w:pStyle w:val="PL"/>
      </w:pPr>
      <w:r w:rsidRPr="000A0A5F">
        <w:t xml:space="preserve">      type: object</w:t>
      </w:r>
    </w:p>
    <w:p w:rsidR="00CB0DD7" w:rsidRPr="000A0A5F" w:rsidRDefault="00CB0DD7">
      <w:pPr>
        <w:pStyle w:val="PL"/>
      </w:pPr>
      <w:r w:rsidRPr="000A0A5F">
        <w:t xml:space="preserve">      properties:</w:t>
      </w:r>
    </w:p>
    <w:p w:rsidR="00CB0DD7" w:rsidRPr="000A0A5F" w:rsidRDefault="00CB0DD7">
      <w:pPr>
        <w:pStyle w:val="PL"/>
      </w:pPr>
      <w:r w:rsidRPr="000A0A5F">
        <w:t xml:space="preserve">        </w:t>
      </w:r>
      <w:r w:rsidRPr="000A0A5F">
        <w:rPr>
          <w:lang w:eastAsia="zh-CN"/>
        </w:rPr>
        <w:t>supportedFeatures</w:t>
      </w:r>
      <w:r w:rsidRPr="000A0A5F">
        <w:t>:</w:t>
      </w:r>
    </w:p>
    <w:p w:rsidR="00CB0DD7" w:rsidRPr="000A0A5F" w:rsidRDefault="00CB0DD7">
      <w:pPr>
        <w:pStyle w:val="PL"/>
      </w:pPr>
      <w:r w:rsidRPr="000A0A5F">
        <w:t xml:space="preserve">          $ref: 'TS29571_CommonData.yaml#/components/schemas/</w:t>
      </w:r>
      <w:r w:rsidRPr="000A0A5F">
        <w:rPr>
          <w:lang w:eastAsia="zh-CN"/>
        </w:rPr>
        <w:t>SupportedFeatures</w:t>
      </w:r>
      <w:r w:rsidRPr="000A0A5F">
        <w:t>'</w:t>
      </w:r>
    </w:p>
    <w:p w:rsidR="00CB0DD7" w:rsidRPr="000A0A5F" w:rsidRDefault="00CB0DD7">
      <w:pPr>
        <w:pStyle w:val="PL"/>
      </w:pPr>
      <w:r w:rsidRPr="000A0A5F">
        <w:t xml:space="preserve">        mtcProviderId:</w:t>
      </w:r>
    </w:p>
    <w:p w:rsidR="00CB0DD7" w:rsidRPr="000A0A5F" w:rsidRDefault="00CB0DD7">
      <w:pPr>
        <w:pStyle w:val="PL"/>
      </w:pPr>
      <w:r w:rsidRPr="000A0A5F">
        <w:t xml:space="preserve">          type: string</w:t>
      </w:r>
    </w:p>
    <w:p w:rsidR="00CB0DD7" w:rsidRPr="000A0A5F" w:rsidRDefault="00CB0DD7">
      <w:pPr>
        <w:pStyle w:val="PL"/>
      </w:pPr>
      <w:r w:rsidRPr="000A0A5F">
        <w:t xml:space="preserve">          description: Identifies the MTC Service Provider and/or MTC Application.</w:t>
      </w:r>
    </w:p>
    <w:p w:rsidR="00CB0DD7" w:rsidRPr="000A0A5F" w:rsidRDefault="00CB0DD7">
      <w:pPr>
        <w:pStyle w:val="PL"/>
      </w:pPr>
      <w:r w:rsidRPr="000A0A5F">
        <w:t xml:space="preserve">        scsAsId:</w:t>
      </w:r>
    </w:p>
    <w:p w:rsidR="00CB0DD7" w:rsidRPr="000A0A5F" w:rsidRDefault="00CB0DD7">
      <w:pPr>
        <w:pStyle w:val="PL"/>
      </w:pPr>
      <w:r w:rsidRPr="000A0A5F">
        <w:t xml:space="preserve">          type: string</w:t>
      </w:r>
    </w:p>
    <w:p w:rsidR="00CB0DD7" w:rsidRPr="000A0A5F" w:rsidRDefault="00CB0DD7">
      <w:pPr>
        <w:pStyle w:val="PL"/>
      </w:pPr>
      <w:r w:rsidRPr="000A0A5F">
        <w:t xml:space="preserve">          description: Identifier of the SCS/AS.</w:t>
      </w:r>
    </w:p>
    <w:p w:rsidR="00CB0DD7" w:rsidRPr="000A0A5F" w:rsidRDefault="00CB0DD7">
      <w:pPr>
        <w:pStyle w:val="PL"/>
      </w:pPr>
      <w:r w:rsidRPr="000A0A5F">
        <w:t xml:space="preserve">        externalId:</w:t>
      </w:r>
    </w:p>
    <w:p w:rsidR="00CB0DD7" w:rsidRPr="000A0A5F" w:rsidRDefault="00CB0DD7">
      <w:pPr>
        <w:pStyle w:val="PL"/>
      </w:pPr>
      <w:r w:rsidRPr="000A0A5F">
        <w:t xml:space="preserve">          $ref: 'TS29122_CommonData.yaml#/components/schemas/ExternalId'</w:t>
      </w:r>
    </w:p>
    <w:p w:rsidR="00CB0DD7" w:rsidRPr="000A0A5F" w:rsidRDefault="00CB0DD7">
      <w:pPr>
        <w:pStyle w:val="PL"/>
      </w:pPr>
      <w:r w:rsidRPr="000A0A5F">
        <w:t xml:space="preserve">        msisdn:</w:t>
      </w:r>
    </w:p>
    <w:p w:rsidR="00CB0DD7" w:rsidRPr="000A0A5F" w:rsidRDefault="00CB0DD7">
      <w:pPr>
        <w:pStyle w:val="PL"/>
      </w:pPr>
      <w:r w:rsidRPr="000A0A5F">
        <w:t xml:space="preserve">          $ref: 'TS29122_CommonData.yaml#/components/schemas/Msisdn'</w:t>
      </w:r>
    </w:p>
    <w:p w:rsidR="00CB0DD7" w:rsidRPr="000A0A5F" w:rsidRDefault="00CB0DD7">
      <w:pPr>
        <w:pStyle w:val="PL"/>
      </w:pPr>
      <w:r w:rsidRPr="000A0A5F">
        <w:t xml:space="preserve">        </w:t>
      </w:r>
      <w:r w:rsidRPr="000A0A5F">
        <w:rPr>
          <w:lang w:eastAsia="zh-CN"/>
        </w:rPr>
        <w:t>ecrDataWbs</w:t>
      </w:r>
      <w:r w:rsidRPr="000A0A5F">
        <w:t>:</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$ref: '#/components/schemas/</w:t>
      </w:r>
      <w:r w:rsidRPr="000A0A5F">
        <w:rPr>
          <w:lang w:eastAsia="zh-CN"/>
        </w:rPr>
        <w:t>PlmnEcRestrictionDataWb</w:t>
      </w:r>
      <w:r w:rsidRPr="000A0A5F">
        <w:t>'</w:t>
      </w:r>
    </w:p>
    <w:p w:rsidR="00CB0DD7" w:rsidRPr="000A0A5F" w:rsidRDefault="00CB0DD7">
      <w:pPr>
        <w:pStyle w:val="PL"/>
      </w:pPr>
      <w:r w:rsidRPr="000A0A5F">
        <w:t xml:space="preserve">          minItems: 0</w:t>
      </w:r>
    </w:p>
    <w:p w:rsidR="00CB0DD7" w:rsidRPr="000A0A5F" w:rsidRDefault="00CB0DD7">
      <w:pPr>
        <w:pStyle w:val="PL"/>
      </w:pPr>
      <w:r w:rsidRPr="000A0A5F">
        <w:t xml:space="preserve">        restrictedPlmnIds:</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$ref: 'TS29122_CommonData.yaml#/components/schemas/PlmnId'</w:t>
      </w:r>
    </w:p>
    <w:p w:rsidR="00CB0DD7" w:rsidRPr="000A0A5F" w:rsidRDefault="00CB0DD7">
      <w:pPr>
        <w:pStyle w:val="PL"/>
      </w:pPr>
      <w:r w:rsidRPr="000A0A5F">
        <w:t xml:space="preserve">          minItems: 0</w:t>
      </w:r>
    </w:p>
    <w:p w:rsidR="00CB0DD7" w:rsidRPr="000A0A5F" w:rsidRDefault="00CB0DD7">
      <w:pPr>
        <w:pStyle w:val="PL"/>
      </w:pPr>
      <w:r w:rsidRPr="000A0A5F">
        <w:t xml:space="preserve">          description: Indicates a complete list (and possibly empty) of serving PLMNs where Enhanced Coverage shall be restricted. This attribute shall not be present for the query custom operation.</w:t>
      </w:r>
    </w:p>
    <w:p w:rsidR="00CB0DD7" w:rsidRPr="000A0A5F" w:rsidRDefault="00CB0DD7">
      <w:pPr>
        <w:pStyle w:val="PL"/>
      </w:pPr>
      <w:r w:rsidRPr="000A0A5F">
        <w:t xml:space="preserve">        allowedPlmnIds:</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$ref: 'TS29122_CommonData.yaml#/components/schemas/PlmnId'</w:t>
      </w:r>
    </w:p>
    <w:p w:rsidR="00CB0DD7" w:rsidRPr="000A0A5F" w:rsidRDefault="00CB0DD7">
      <w:pPr>
        <w:pStyle w:val="PL"/>
      </w:pPr>
      <w:r w:rsidRPr="000A0A5F">
        <w:t xml:space="preserve">          minItems: 0</w:t>
      </w:r>
    </w:p>
    <w:p w:rsidR="00CB0DD7" w:rsidRPr="000A0A5F" w:rsidRDefault="00CB0DD7">
      <w:pPr>
        <w:pStyle w:val="PL"/>
      </w:pPr>
      <w:r w:rsidRPr="000A0A5F">
        <w:t xml:space="preserve">          description: Indicates a complete list (and possibly empty) of serving PLMNs where Enhanced Coverage shall be allowed. This attribute shall not be present for the query custom operation.</w:t>
      </w:r>
    </w:p>
    <w:p w:rsidR="00CB0DD7" w:rsidRPr="000A0A5F" w:rsidRDefault="00CB0DD7">
      <w:pPr>
        <w:pStyle w:val="PL"/>
      </w:pPr>
      <w:r w:rsidRPr="000A0A5F">
        <w:t xml:space="preserve">      required:</w:t>
      </w:r>
    </w:p>
    <w:p w:rsidR="00CB0DD7" w:rsidRPr="000A0A5F" w:rsidRDefault="00CB0DD7">
      <w:pPr>
        <w:pStyle w:val="PL"/>
      </w:pPr>
      <w:r w:rsidRPr="000A0A5F">
        <w:t xml:space="preserve">        - </w:t>
      </w:r>
      <w:r w:rsidRPr="000A0A5F">
        <w:rPr>
          <w:lang w:eastAsia="zh-CN"/>
        </w:rPr>
        <w:t>supportedFeatures</w:t>
      </w:r>
    </w:p>
    <w:p w:rsidR="00CB0DD7" w:rsidRPr="000A0A5F" w:rsidRDefault="00CB0DD7">
      <w:pPr>
        <w:pStyle w:val="PL"/>
      </w:pPr>
      <w:r w:rsidRPr="000A0A5F">
        <w:t xml:space="preserve">      oneOf:</w:t>
      </w:r>
    </w:p>
    <w:p w:rsidR="00CB0DD7" w:rsidRPr="000A0A5F" w:rsidRDefault="00CB0DD7">
      <w:pPr>
        <w:pStyle w:val="PL"/>
      </w:pPr>
      <w:r w:rsidRPr="000A0A5F">
        <w:t xml:space="preserve">        - required: [externalId]</w:t>
      </w:r>
    </w:p>
    <w:p w:rsidR="00CB0DD7" w:rsidRPr="000A0A5F" w:rsidRDefault="00CB0DD7">
      <w:pPr>
        <w:pStyle w:val="PL"/>
      </w:pPr>
      <w:r w:rsidRPr="000A0A5F">
        <w:t xml:space="preserve">        - required: [msisdn]</w:t>
      </w:r>
    </w:p>
    <w:p w:rsidR="00CB0DD7" w:rsidRPr="000A0A5F" w:rsidRDefault="00CB0DD7">
      <w:pPr>
        <w:pStyle w:val="PL"/>
      </w:pPr>
      <w:r w:rsidRPr="000A0A5F">
        <w:t xml:space="preserve">      not:</w:t>
      </w:r>
    </w:p>
    <w:p w:rsidR="00CB0DD7" w:rsidRPr="000A0A5F" w:rsidRDefault="00CB0DD7">
      <w:pPr>
        <w:pStyle w:val="PL"/>
      </w:pPr>
      <w:r w:rsidRPr="000A0A5F">
        <w:t xml:space="preserve">        required: [restrictedPlmnIds, allowedPlmnIds]</w:t>
      </w:r>
    </w:p>
    <w:p w:rsidR="00CB0DD7" w:rsidRPr="000A0A5F" w:rsidRDefault="00CB0DD7">
      <w:pPr>
        <w:pStyle w:val="PL"/>
      </w:pPr>
      <w:r w:rsidRPr="000A0A5F">
        <w:t xml:space="preserve">    ECRData:</w:t>
      </w:r>
    </w:p>
    <w:p w:rsidR="00CB0DD7" w:rsidRPr="000A0A5F" w:rsidRDefault="00CB0DD7">
      <w:pPr>
        <w:pStyle w:val="PL"/>
      </w:pPr>
      <w:r w:rsidRPr="000A0A5F">
        <w:t xml:space="preserve">      description: Represents the current visited PLMN (if any) and the current settings of enhanced coverage restriction.</w:t>
      </w:r>
    </w:p>
    <w:p w:rsidR="00CB0DD7" w:rsidRPr="000A0A5F" w:rsidRDefault="00CB0DD7">
      <w:pPr>
        <w:pStyle w:val="PL"/>
      </w:pPr>
      <w:r w:rsidRPr="000A0A5F">
        <w:t xml:space="preserve">      type: object</w:t>
      </w:r>
    </w:p>
    <w:p w:rsidR="00CB0DD7" w:rsidRPr="000A0A5F" w:rsidRDefault="00CB0DD7">
      <w:pPr>
        <w:pStyle w:val="PL"/>
      </w:pPr>
      <w:r w:rsidRPr="000A0A5F">
        <w:t xml:space="preserve">      properties:</w:t>
      </w:r>
    </w:p>
    <w:p w:rsidR="00CB0DD7" w:rsidRPr="000A0A5F" w:rsidRDefault="00CB0DD7">
      <w:pPr>
        <w:pStyle w:val="PL"/>
      </w:pPr>
      <w:r w:rsidRPr="000A0A5F">
        <w:t xml:space="preserve">        </w:t>
      </w:r>
      <w:r w:rsidRPr="000A0A5F">
        <w:rPr>
          <w:lang w:eastAsia="zh-CN"/>
        </w:rPr>
        <w:t>supportedFeatures</w:t>
      </w:r>
      <w:r w:rsidRPr="000A0A5F">
        <w:t>:</w:t>
      </w:r>
    </w:p>
    <w:p w:rsidR="00CB0DD7" w:rsidRPr="000A0A5F" w:rsidRDefault="00CB0DD7">
      <w:pPr>
        <w:pStyle w:val="PL"/>
      </w:pPr>
      <w:r w:rsidRPr="000A0A5F">
        <w:t xml:space="preserve">          $ref: 'TS29571_CommonData.yaml#/components/schemas/</w:t>
      </w:r>
      <w:r w:rsidRPr="000A0A5F">
        <w:rPr>
          <w:lang w:eastAsia="zh-CN"/>
        </w:rPr>
        <w:t>SupportedFeatures</w:t>
      </w:r>
      <w:r w:rsidRPr="000A0A5F">
        <w:t>'</w:t>
      </w:r>
    </w:p>
    <w:p w:rsidR="00CB0DD7" w:rsidRPr="000A0A5F" w:rsidRDefault="00CB0DD7">
      <w:pPr>
        <w:pStyle w:val="PL"/>
      </w:pPr>
      <w:r w:rsidRPr="000A0A5F">
        <w:t xml:space="preserve">        visitedPlmnId:</w:t>
      </w:r>
    </w:p>
    <w:p w:rsidR="00CB0DD7" w:rsidRPr="000A0A5F" w:rsidRDefault="00CB0DD7">
      <w:pPr>
        <w:pStyle w:val="PL"/>
      </w:pPr>
      <w:r w:rsidRPr="000A0A5F">
        <w:t xml:space="preserve">          $ref: 'TS29122_CommonData.yaml#/components/schemas/PlmnId'</w:t>
      </w:r>
    </w:p>
    <w:p w:rsidR="00CB0DD7" w:rsidRPr="000A0A5F" w:rsidRDefault="00CB0DD7">
      <w:pPr>
        <w:pStyle w:val="PL"/>
      </w:pPr>
      <w:r w:rsidRPr="000A0A5F">
        <w:t xml:space="preserve">        </w:t>
      </w:r>
      <w:r w:rsidRPr="000A0A5F">
        <w:rPr>
          <w:lang w:eastAsia="zh-CN"/>
        </w:rPr>
        <w:t>ecrDataWbs</w:t>
      </w:r>
      <w:r w:rsidRPr="000A0A5F">
        <w:t>:</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$ref: '#/components/schemas/</w:t>
      </w:r>
      <w:r w:rsidRPr="000A0A5F">
        <w:rPr>
          <w:lang w:eastAsia="zh-CN"/>
        </w:rPr>
        <w:t>PlmnEcRestrictionDataWb</w:t>
      </w:r>
      <w:r w:rsidRPr="000A0A5F">
        <w:t>'</w:t>
      </w:r>
    </w:p>
    <w:p w:rsidR="00CB0DD7" w:rsidRPr="000A0A5F" w:rsidRDefault="00CB0DD7">
      <w:pPr>
        <w:pStyle w:val="PL"/>
      </w:pPr>
      <w:r w:rsidRPr="000A0A5F">
        <w:t xml:space="preserve">          minItems: 0</w:t>
      </w:r>
    </w:p>
    <w:p w:rsidR="00CB0DD7" w:rsidRPr="000A0A5F" w:rsidRDefault="00CB0DD7">
      <w:pPr>
        <w:pStyle w:val="PL"/>
      </w:pPr>
      <w:r w:rsidRPr="000A0A5F">
        <w:t xml:space="preserve">        restrictedPlmnIds:</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$ref: 'TS29122_CommonData.yaml#/components/schemas/PlmnId'</w:t>
      </w:r>
    </w:p>
    <w:p w:rsidR="00CB0DD7" w:rsidRPr="000A0A5F" w:rsidRDefault="00CB0DD7">
      <w:pPr>
        <w:pStyle w:val="PL"/>
      </w:pPr>
      <w:r w:rsidRPr="000A0A5F">
        <w:t xml:space="preserve">          minItems: 0</w:t>
      </w:r>
    </w:p>
    <w:p w:rsidR="00CB0DD7" w:rsidRPr="000A0A5F" w:rsidRDefault="00CB0DD7">
      <w:pPr>
        <w:pStyle w:val="PL"/>
      </w:pPr>
      <w:r w:rsidRPr="000A0A5F">
        <w:t xml:space="preserve">          description: Indicates a complete list (and possibly empty) of serving PLMNs where Enhanced Coverage shall be restricted.</w:t>
      </w:r>
    </w:p>
    <w:p w:rsidR="00CB0DD7" w:rsidRPr="000A0A5F" w:rsidRDefault="00CB0DD7">
      <w:pPr>
        <w:pStyle w:val="PL"/>
      </w:pPr>
      <w:r w:rsidRPr="000A0A5F">
        <w:t xml:space="preserve">        allowedPlmnIds:</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$ref: 'TS29122_CommonData.yaml#/components/schemas/PlmnId'</w:t>
      </w:r>
    </w:p>
    <w:p w:rsidR="00CB0DD7" w:rsidRPr="000A0A5F" w:rsidRDefault="00CB0DD7">
      <w:pPr>
        <w:pStyle w:val="PL"/>
      </w:pPr>
      <w:r w:rsidRPr="000A0A5F">
        <w:t xml:space="preserve">          minItems: 0</w:t>
      </w:r>
    </w:p>
    <w:p w:rsidR="00CB0DD7" w:rsidRPr="000A0A5F" w:rsidRDefault="00CB0DD7">
      <w:pPr>
        <w:pStyle w:val="PL"/>
      </w:pPr>
      <w:r w:rsidRPr="000A0A5F">
        <w:t xml:space="preserve">          description: Indicates a complete list (and possibly empty) of serving PLMNs where Enhanced Coverage shall be allowed.</w:t>
      </w:r>
    </w:p>
    <w:p w:rsidR="00CB0DD7" w:rsidRPr="000A0A5F" w:rsidRDefault="00CB0DD7">
      <w:pPr>
        <w:pStyle w:val="PL"/>
      </w:pPr>
      <w:r w:rsidRPr="000A0A5F">
        <w:t xml:space="preserve">      required:</w:t>
      </w:r>
    </w:p>
    <w:p w:rsidR="00CB0DD7" w:rsidRPr="000A0A5F" w:rsidRDefault="00CB0DD7">
      <w:pPr>
        <w:pStyle w:val="PL"/>
      </w:pPr>
      <w:r w:rsidRPr="000A0A5F">
        <w:t xml:space="preserve">        - </w:t>
      </w:r>
      <w:r w:rsidRPr="000A0A5F">
        <w:rPr>
          <w:lang w:eastAsia="zh-CN"/>
        </w:rPr>
        <w:t>supportedFeatures</w:t>
      </w:r>
    </w:p>
    <w:p w:rsidR="00CB0DD7" w:rsidRPr="000A0A5F" w:rsidRDefault="00CB0DD7">
      <w:pPr>
        <w:pStyle w:val="PL"/>
      </w:pPr>
      <w:r w:rsidRPr="000A0A5F">
        <w:t xml:space="preserve">      not:</w:t>
      </w:r>
    </w:p>
    <w:p w:rsidR="00CB0DD7" w:rsidRPr="000A0A5F" w:rsidRDefault="00CB0DD7">
      <w:pPr>
        <w:pStyle w:val="PL"/>
      </w:pPr>
      <w:r w:rsidRPr="000A0A5F">
        <w:t xml:space="preserve">        required: [restrictedPlmnIds, allowedPlmnIds]</w:t>
      </w:r>
    </w:p>
    <w:p w:rsidR="00CB0DD7" w:rsidRPr="000A0A5F" w:rsidRDefault="00CB0DD7">
      <w:pPr>
        <w:pStyle w:val="PL"/>
      </w:pPr>
      <w:r w:rsidRPr="000A0A5F">
        <w:t xml:space="preserve">    </w:t>
      </w:r>
      <w:r w:rsidRPr="000A0A5F">
        <w:rPr>
          <w:lang w:eastAsia="zh-CN"/>
        </w:rPr>
        <w:t>PlmnEcRestrictionDataWb</w:t>
      </w:r>
      <w:r w:rsidRPr="000A0A5F">
        <w:t>:</w:t>
      </w:r>
    </w:p>
    <w:p w:rsidR="00CB0DD7" w:rsidRPr="000A0A5F" w:rsidRDefault="00CB0DD7">
      <w:pPr>
        <w:pStyle w:val="PL"/>
      </w:pPr>
      <w:r w:rsidRPr="000A0A5F">
        <w:t xml:space="preserve">      description: Indicates whether enhanced coverage mode is restricted or not for a PLMN ID.</w:t>
      </w:r>
    </w:p>
    <w:p w:rsidR="00CB0DD7" w:rsidRPr="000A0A5F" w:rsidRDefault="00CB0DD7">
      <w:pPr>
        <w:pStyle w:val="PL"/>
      </w:pPr>
      <w:r w:rsidRPr="000A0A5F">
        <w:t xml:space="preserve">      type: object</w:t>
      </w:r>
    </w:p>
    <w:p w:rsidR="00CB0DD7" w:rsidRPr="000A0A5F" w:rsidRDefault="00CB0DD7">
      <w:pPr>
        <w:pStyle w:val="PL"/>
      </w:pPr>
      <w:r w:rsidRPr="000A0A5F">
        <w:t xml:space="preserve">      properties:</w:t>
      </w:r>
    </w:p>
    <w:p w:rsidR="00CB0DD7" w:rsidRPr="000A0A5F" w:rsidRDefault="00CB0DD7">
      <w:pPr>
        <w:pStyle w:val="PL"/>
      </w:pPr>
      <w:r w:rsidRPr="000A0A5F">
        <w:t xml:space="preserve">        </w:t>
      </w:r>
      <w:r w:rsidRPr="000A0A5F">
        <w:rPr>
          <w:lang w:eastAsia="zh-CN"/>
        </w:rPr>
        <w:t>plmnI</w:t>
      </w:r>
      <w:r w:rsidRPr="000A0A5F">
        <w:rPr>
          <w:rFonts w:hint="eastAsia"/>
          <w:lang w:eastAsia="zh-CN"/>
        </w:rPr>
        <w:t>d</w:t>
      </w:r>
      <w:r w:rsidRPr="000A0A5F">
        <w:t>:</w:t>
      </w:r>
    </w:p>
    <w:p w:rsidR="00CB0DD7" w:rsidRPr="000A0A5F" w:rsidRDefault="00CB0DD7">
      <w:pPr>
        <w:pStyle w:val="PL"/>
      </w:pPr>
      <w:r w:rsidRPr="000A0A5F">
        <w:t xml:space="preserve">          $ref: 'TS29122_CommonData.yaml#/components/schemas/PlmnId'</w:t>
      </w:r>
    </w:p>
    <w:p w:rsidR="00CB0DD7" w:rsidRPr="000A0A5F" w:rsidRDefault="00CB0DD7">
      <w:pPr>
        <w:pStyle w:val="PL"/>
      </w:pPr>
      <w:r w:rsidRPr="000A0A5F">
        <w:t xml:space="preserve">        </w:t>
      </w:r>
      <w:r w:rsidRPr="000A0A5F">
        <w:rPr>
          <w:lang w:eastAsia="zh-CN"/>
        </w:rPr>
        <w:t>plmnEcrDataWb</w:t>
      </w:r>
      <w:r w:rsidRPr="000A0A5F">
        <w:t>:</w:t>
      </w:r>
    </w:p>
    <w:p w:rsidR="00CB0DD7" w:rsidRPr="000A0A5F" w:rsidRDefault="00CB0DD7">
      <w:pPr>
        <w:pStyle w:val="PL"/>
      </w:pPr>
      <w:r w:rsidRPr="000A0A5F">
        <w:t xml:space="preserve">          $ref: 'TS29503_Nudm_SDM.yaml#/components/schemas/</w:t>
      </w:r>
      <w:r w:rsidRPr="000A0A5F">
        <w:rPr>
          <w:lang w:eastAsia="zh-CN"/>
        </w:rPr>
        <w:t>EcRestrictionDataWb</w:t>
      </w:r>
      <w:r w:rsidRPr="000A0A5F">
        <w:t>'</w:t>
      </w:r>
    </w:p>
    <w:p w:rsidR="00CB0DD7" w:rsidRPr="000A0A5F" w:rsidRDefault="00CB0DD7">
      <w:pPr>
        <w:pStyle w:val="PL"/>
      </w:pPr>
      <w:r w:rsidRPr="000A0A5F">
        <w:t xml:space="preserve">      required:</w:t>
      </w:r>
    </w:p>
    <w:p w:rsidR="00CB0DD7" w:rsidRPr="000A0A5F" w:rsidRDefault="00CB0DD7">
      <w:pPr>
        <w:pStyle w:val="PL"/>
      </w:pPr>
      <w:r w:rsidRPr="000A0A5F">
        <w:t xml:space="preserve">       </w:t>
      </w:r>
      <w:r w:rsidRPr="000A0A5F">
        <w:rPr>
          <w:lang w:eastAsia="zh-CN"/>
        </w:rPr>
        <w:t xml:space="preserve"> - plmnId</w:t>
      </w:r>
    </w:p>
    <w:p w:rsidR="00CB0DD7" w:rsidRPr="000A0A5F" w:rsidRDefault="00CB0DD7">
      <w:pPr>
        <w:pStyle w:val="PL"/>
      </w:pPr>
    </w:p>
    <w:p w:rsidR="00CB0DD7" w:rsidRPr="000A0A5F" w:rsidRDefault="00CB0DD7" w:rsidP="008D59EF">
      <w:pPr>
        <w:pStyle w:val="Heading1"/>
      </w:pPr>
      <w:bookmarkStart w:id="10426" w:name="_Toc11247942"/>
      <w:bookmarkStart w:id="10427" w:name="_Toc27045124"/>
      <w:bookmarkStart w:id="10428" w:name="_Toc36034175"/>
      <w:bookmarkStart w:id="10429" w:name="_Toc45132323"/>
      <w:bookmarkStart w:id="10430" w:name="_Toc49776608"/>
      <w:bookmarkStart w:id="10431" w:name="_Toc51747528"/>
      <w:bookmarkStart w:id="10432" w:name="_Toc66361110"/>
      <w:bookmarkStart w:id="10433" w:name="_Toc68105615"/>
      <w:bookmarkStart w:id="10434" w:name="_Toc74756247"/>
      <w:bookmarkStart w:id="10435" w:name="_Toc105675124"/>
      <w:bookmarkStart w:id="10436" w:name="_Toc130503202"/>
      <w:bookmarkStart w:id="10437" w:name="_Toc153625994"/>
      <w:r w:rsidRPr="000A0A5F">
        <w:t>A.13</w:t>
      </w:r>
      <w:r w:rsidRPr="000A0A5F">
        <w:tab/>
        <w:t>NpConfiguration API</w:t>
      </w:r>
      <w:bookmarkEnd w:id="10426"/>
      <w:bookmarkEnd w:id="10427"/>
      <w:bookmarkEnd w:id="10428"/>
      <w:bookmarkEnd w:id="10429"/>
      <w:bookmarkEnd w:id="10430"/>
      <w:bookmarkEnd w:id="10431"/>
      <w:bookmarkEnd w:id="10432"/>
      <w:bookmarkEnd w:id="10433"/>
      <w:bookmarkEnd w:id="10434"/>
      <w:bookmarkEnd w:id="10435"/>
      <w:bookmarkEnd w:id="10436"/>
      <w:bookmarkEnd w:id="10437"/>
    </w:p>
    <w:p w:rsidR="00CB0DD7" w:rsidRPr="000A0A5F" w:rsidRDefault="00CB0DD7">
      <w:pPr>
        <w:pStyle w:val="PL"/>
      </w:pPr>
      <w:r w:rsidRPr="000A0A5F">
        <w:t>openapi: 3.0.0</w:t>
      </w:r>
    </w:p>
    <w:p w:rsidR="00CB0DD7" w:rsidRPr="000A0A5F" w:rsidRDefault="00CB0DD7">
      <w:pPr>
        <w:pStyle w:val="PL"/>
      </w:pPr>
      <w:r w:rsidRPr="000A0A5F">
        <w:t>info:</w:t>
      </w:r>
    </w:p>
    <w:p w:rsidR="00CB0DD7" w:rsidRPr="000A0A5F" w:rsidRDefault="00CB0DD7">
      <w:pPr>
        <w:pStyle w:val="PL"/>
      </w:pPr>
      <w:r w:rsidRPr="000A0A5F">
        <w:t xml:space="preserve">  title: 3gpp-network-parameter-configuration</w:t>
      </w:r>
    </w:p>
    <w:p w:rsidR="00CB0DD7" w:rsidRPr="000A0A5F" w:rsidRDefault="00CB0DD7">
      <w:pPr>
        <w:pStyle w:val="PL"/>
      </w:pPr>
      <w:r w:rsidRPr="000A0A5F">
        <w:t xml:space="preserve">  version: 1.2.0</w:t>
      </w:r>
    </w:p>
    <w:p w:rsidR="00CB0DD7" w:rsidRPr="000A0A5F" w:rsidRDefault="00CB0DD7">
      <w:pPr>
        <w:pStyle w:val="PL"/>
      </w:pPr>
      <w:r w:rsidRPr="000A0A5F">
        <w:t xml:space="preserve">  description: |</w:t>
      </w:r>
    </w:p>
    <w:p w:rsidR="00CB0DD7" w:rsidRPr="000A0A5F" w:rsidRDefault="00CB0DD7">
      <w:pPr>
        <w:pStyle w:val="PL"/>
      </w:pPr>
      <w:r w:rsidRPr="000A0A5F">
        <w:t xml:space="preserve">    API for network parameter configuration.</w:t>
      </w:r>
      <w:r w:rsidR="00970ACE" w:rsidRPr="000A0A5F">
        <w:t xml:space="preserve">  </w:t>
      </w:r>
    </w:p>
    <w:p w:rsidR="00CB0DD7" w:rsidRPr="000A0A5F" w:rsidRDefault="00CB0DD7">
      <w:pPr>
        <w:pStyle w:val="PL"/>
      </w:pPr>
      <w:r w:rsidRPr="000A0A5F">
        <w:t xml:space="preserve">    © 202</w:t>
      </w:r>
      <w:r w:rsidR="00970ACE" w:rsidRPr="000A0A5F">
        <w:t>2</w:t>
      </w:r>
      <w:r w:rsidRPr="000A0A5F">
        <w:t>, 3GPP Organizational Partners (ARIB, ATIS, CCSA, ETSI, TSDSI, TTA, TTC).</w:t>
      </w:r>
      <w:r w:rsidR="00970ACE" w:rsidRPr="000A0A5F">
        <w:t xml:space="preserve">  </w:t>
      </w:r>
    </w:p>
    <w:p w:rsidR="00CB0DD7" w:rsidRPr="000A0A5F" w:rsidRDefault="00CB0DD7">
      <w:pPr>
        <w:pStyle w:val="PL"/>
      </w:pPr>
      <w:r w:rsidRPr="000A0A5F">
        <w:t xml:space="preserve">    All rights reserved.</w:t>
      </w:r>
    </w:p>
    <w:p w:rsidR="00CB0DD7" w:rsidRPr="000A0A5F" w:rsidRDefault="00CB0DD7">
      <w:pPr>
        <w:pStyle w:val="PL"/>
      </w:pPr>
      <w:r w:rsidRPr="000A0A5F">
        <w:t>externalDocs:</w:t>
      </w:r>
    </w:p>
    <w:p w:rsidR="00CB0DD7" w:rsidRPr="000A0A5F" w:rsidRDefault="00CB0DD7">
      <w:pPr>
        <w:pStyle w:val="PL"/>
      </w:pPr>
      <w:r w:rsidRPr="000A0A5F">
        <w:t xml:space="preserve">  description: 3GPP TS 29.122 V17.</w:t>
      </w:r>
      <w:r w:rsidR="005B6DFB" w:rsidRPr="000A0A5F">
        <w:t>6</w:t>
      </w:r>
      <w:r w:rsidRPr="000A0A5F">
        <w:t>.0 T8 reference point for Northbound APIs</w:t>
      </w:r>
    </w:p>
    <w:p w:rsidR="00CB0DD7" w:rsidRPr="000A0A5F" w:rsidRDefault="00CB0DD7">
      <w:pPr>
        <w:pStyle w:val="PL"/>
      </w:pPr>
      <w:r w:rsidRPr="000A0A5F">
        <w:t xml:space="preserve">  url: 'http</w:t>
      </w:r>
      <w:r w:rsidR="00970ACE" w:rsidRPr="000A0A5F">
        <w:t>s</w:t>
      </w:r>
      <w:r w:rsidRPr="000A0A5F">
        <w:t>://www.3gpp.org/ftp/Specs/archive/29_series/29.122/'</w:t>
      </w:r>
    </w:p>
    <w:p w:rsidR="00CB0DD7" w:rsidRPr="000A0A5F" w:rsidRDefault="00CB0DD7">
      <w:pPr>
        <w:pStyle w:val="PL"/>
      </w:pPr>
      <w:r w:rsidRPr="000A0A5F">
        <w:t>security:</w:t>
      </w:r>
    </w:p>
    <w:p w:rsidR="00CB0DD7" w:rsidRPr="000A0A5F" w:rsidRDefault="00CB0DD7">
      <w:pPr>
        <w:pStyle w:val="PL"/>
        <w:rPr>
          <w:lang w:val="en-US"/>
        </w:rPr>
      </w:pPr>
      <w:r w:rsidRPr="000A0A5F">
        <w:rPr>
          <w:lang w:val="en-US"/>
        </w:rPr>
        <w:t xml:space="preserve">  - {}</w:t>
      </w:r>
    </w:p>
    <w:p w:rsidR="00CB0DD7" w:rsidRPr="000A0A5F" w:rsidRDefault="00CB0DD7">
      <w:pPr>
        <w:pStyle w:val="PL"/>
      </w:pPr>
      <w:r w:rsidRPr="000A0A5F">
        <w:t xml:space="preserve">  - oAuth2ClientCredentials: []</w:t>
      </w:r>
    </w:p>
    <w:p w:rsidR="00CB0DD7" w:rsidRPr="000A0A5F" w:rsidRDefault="00CB0DD7">
      <w:pPr>
        <w:pStyle w:val="PL"/>
      </w:pPr>
      <w:r w:rsidRPr="000A0A5F">
        <w:t>servers:</w:t>
      </w:r>
    </w:p>
    <w:p w:rsidR="00CB0DD7" w:rsidRPr="000A0A5F" w:rsidRDefault="00CB0DD7">
      <w:pPr>
        <w:pStyle w:val="PL"/>
      </w:pPr>
      <w:r w:rsidRPr="000A0A5F">
        <w:t xml:space="preserve">  - url: '{apiRoot}/3gpp-network-parameter-configuration/v1'</w:t>
      </w:r>
    </w:p>
    <w:p w:rsidR="00CB0DD7" w:rsidRPr="000A0A5F" w:rsidRDefault="00CB0DD7">
      <w:pPr>
        <w:pStyle w:val="PL"/>
      </w:pPr>
      <w:r w:rsidRPr="000A0A5F">
        <w:t xml:space="preserve">    variables:</w:t>
      </w:r>
    </w:p>
    <w:p w:rsidR="00CB0DD7" w:rsidRPr="000A0A5F" w:rsidRDefault="00CB0DD7">
      <w:pPr>
        <w:pStyle w:val="PL"/>
      </w:pPr>
      <w:r w:rsidRPr="000A0A5F">
        <w:t xml:space="preserve">      apiRoot:</w:t>
      </w:r>
    </w:p>
    <w:p w:rsidR="00CB0DD7" w:rsidRPr="000A0A5F" w:rsidRDefault="00CB0DD7">
      <w:pPr>
        <w:pStyle w:val="PL"/>
      </w:pPr>
      <w:r w:rsidRPr="000A0A5F">
        <w:t xml:space="preserve">        default: https://example.com</w:t>
      </w:r>
    </w:p>
    <w:p w:rsidR="00CB0DD7" w:rsidRPr="000A0A5F" w:rsidRDefault="00CB0DD7">
      <w:pPr>
        <w:pStyle w:val="PL"/>
      </w:pPr>
      <w:r w:rsidRPr="000A0A5F">
        <w:t xml:space="preserve">        description: apiRoot as defined in clause of 3GPP TS 29.122.</w:t>
      </w:r>
    </w:p>
    <w:p w:rsidR="00CB0DD7" w:rsidRPr="000A0A5F" w:rsidRDefault="00CB0DD7">
      <w:pPr>
        <w:pStyle w:val="PL"/>
      </w:pPr>
      <w:r w:rsidRPr="000A0A5F">
        <w:t>paths:</w:t>
      </w:r>
    </w:p>
    <w:p w:rsidR="00CB0DD7" w:rsidRPr="000A0A5F" w:rsidRDefault="00CB0DD7">
      <w:pPr>
        <w:pStyle w:val="PL"/>
      </w:pPr>
      <w:r w:rsidRPr="000A0A5F">
        <w:t xml:space="preserve">  /{scsAsId}/configurations:</w:t>
      </w:r>
    </w:p>
    <w:p w:rsidR="00CB0DD7" w:rsidRPr="000A0A5F" w:rsidRDefault="00CB0DD7">
      <w:pPr>
        <w:pStyle w:val="PL"/>
      </w:pPr>
      <w:r w:rsidRPr="000A0A5F">
        <w:t xml:space="preserve">    get:</w:t>
      </w:r>
    </w:p>
    <w:p w:rsidR="00CB0DD7" w:rsidRPr="000A0A5F" w:rsidRDefault="00CB0DD7">
      <w:pPr>
        <w:pStyle w:val="PL"/>
      </w:pPr>
      <w:r w:rsidRPr="000A0A5F">
        <w:t xml:space="preserve">      summary: </w:t>
      </w:r>
      <w:r w:rsidR="00AB4F8B" w:rsidRPr="000A0A5F">
        <w:t>R</w:t>
      </w:r>
      <w:r w:rsidRPr="000A0A5F">
        <w:t>ead all of the active configurations for the SCS/AS</w:t>
      </w:r>
      <w:r w:rsidR="00AB4F8B" w:rsidRPr="000A0A5F">
        <w:t>.</w:t>
      </w:r>
    </w:p>
    <w:p w:rsidR="00AB4F8B" w:rsidRPr="000A0A5F" w:rsidRDefault="00AB4F8B" w:rsidP="00AB4F8B">
      <w:pPr>
        <w:pStyle w:val="PL"/>
      </w:pPr>
      <w:r w:rsidRPr="000A0A5F">
        <w:t xml:space="preserve">      </w:t>
      </w:r>
      <w:r w:rsidRPr="000A0A5F">
        <w:rPr>
          <w:rFonts w:cs="Courier New"/>
          <w:szCs w:val="16"/>
        </w:rPr>
        <w:t>operationId: FetchAll</w:t>
      </w:r>
      <w:r w:rsidRPr="000A0A5F">
        <w:t>NPConfigurations</w:t>
      </w:r>
    </w:p>
    <w:p w:rsidR="00CB0DD7" w:rsidRPr="000A0A5F" w:rsidRDefault="00CB0DD7">
      <w:pPr>
        <w:pStyle w:val="PL"/>
      </w:pPr>
      <w:r w:rsidRPr="000A0A5F">
        <w:t xml:space="preserve">      tags:</w:t>
      </w:r>
    </w:p>
    <w:p w:rsidR="00CB0DD7" w:rsidRPr="000A0A5F" w:rsidRDefault="00CB0DD7">
      <w:pPr>
        <w:pStyle w:val="PL"/>
      </w:pPr>
      <w:r w:rsidRPr="000A0A5F">
        <w:t xml:space="preserve">        - Np</w:t>
      </w:r>
      <w:r w:rsidR="00AB4F8B" w:rsidRPr="000A0A5F">
        <w:t xml:space="preserve"> </w:t>
      </w:r>
      <w:r w:rsidRPr="000A0A5F">
        <w:t>Configuration</w:t>
      </w:r>
      <w:r w:rsidR="00AB4F8B" w:rsidRPr="000A0A5F">
        <w:t>s</w:t>
      </w:r>
    </w:p>
    <w:p w:rsidR="00CB0DD7" w:rsidRPr="000A0A5F" w:rsidRDefault="00CB0DD7">
      <w:pPr>
        <w:pStyle w:val="PL"/>
      </w:pPr>
      <w:r w:rsidRPr="000A0A5F">
        <w:t xml:space="preserve">      parameters:</w:t>
      </w:r>
    </w:p>
    <w:p w:rsidR="00CB0DD7" w:rsidRPr="000A0A5F" w:rsidRDefault="00CB0DD7">
      <w:pPr>
        <w:pStyle w:val="PL"/>
      </w:pPr>
      <w:r w:rsidRPr="000A0A5F">
        <w:t xml:space="preserve">        - name: scsAsId</w:t>
      </w:r>
    </w:p>
    <w:p w:rsidR="00CB0DD7" w:rsidRPr="000A0A5F" w:rsidRDefault="00CB0DD7">
      <w:pPr>
        <w:pStyle w:val="PL"/>
      </w:pPr>
      <w:r w:rsidRPr="000A0A5F">
        <w:t xml:space="preserve">          in: path</w:t>
      </w:r>
    </w:p>
    <w:p w:rsidR="00CB0DD7" w:rsidRPr="000A0A5F" w:rsidRDefault="00CB0DD7">
      <w:pPr>
        <w:pStyle w:val="PL"/>
      </w:pPr>
      <w:r w:rsidRPr="000A0A5F">
        <w:t xml:space="preserve">          description: Identifier of the SCS/AS</w:t>
      </w:r>
    </w:p>
    <w:p w:rsidR="00CB0DD7" w:rsidRPr="000A0A5F" w:rsidRDefault="00CB0DD7">
      <w:pPr>
        <w:pStyle w:val="PL"/>
      </w:pPr>
      <w:r w:rsidRPr="000A0A5F">
        <w:t xml:space="preserve">          required: true</w:t>
      </w:r>
    </w:p>
    <w:p w:rsidR="00CB0DD7" w:rsidRPr="000A0A5F" w:rsidRDefault="00CB0DD7">
      <w:pPr>
        <w:pStyle w:val="PL"/>
      </w:pPr>
      <w:r w:rsidRPr="000A0A5F">
        <w:t xml:space="preserve">          schema:</w:t>
      </w:r>
    </w:p>
    <w:p w:rsidR="00CB0DD7" w:rsidRPr="000A0A5F" w:rsidRDefault="00CB0DD7">
      <w:pPr>
        <w:pStyle w:val="PL"/>
      </w:pPr>
      <w:r w:rsidRPr="000A0A5F">
        <w:t xml:space="preserve">            type: string</w:t>
      </w:r>
    </w:p>
    <w:p w:rsidR="00CB0DD7" w:rsidRPr="000A0A5F" w:rsidRDefault="00CB0DD7">
      <w:pPr>
        <w:pStyle w:val="PL"/>
      </w:pPr>
      <w:r w:rsidRPr="000A0A5F">
        <w:t xml:space="preserve">      responses:</w:t>
      </w:r>
    </w:p>
    <w:p w:rsidR="00CB0DD7" w:rsidRPr="000A0A5F" w:rsidRDefault="00CB0DD7">
      <w:pPr>
        <w:pStyle w:val="PL"/>
      </w:pPr>
      <w:r w:rsidRPr="000A0A5F">
        <w:t xml:space="preserve">        '200':</w:t>
      </w:r>
    </w:p>
    <w:p w:rsidR="00CB0DD7" w:rsidRPr="000A0A5F" w:rsidRDefault="00CB0DD7">
      <w:pPr>
        <w:pStyle w:val="PL"/>
      </w:pPr>
      <w:r w:rsidRPr="000A0A5F">
        <w:t xml:space="preserve">          description: OK (Successful get all of the active NpConfigurations for the SCS/AS)</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application/json:</w:t>
      </w:r>
    </w:p>
    <w:p w:rsidR="00CB0DD7" w:rsidRPr="000A0A5F" w:rsidRDefault="00CB0DD7">
      <w:pPr>
        <w:pStyle w:val="PL"/>
      </w:pPr>
      <w:r w:rsidRPr="000A0A5F">
        <w:t xml:space="preserve">              schema:</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$ref: '#/components/schemas/NpConfiguration'</w:t>
      </w:r>
    </w:p>
    <w:p w:rsidR="00CB0DD7" w:rsidRPr="000A0A5F" w:rsidRDefault="00CB0DD7">
      <w:pPr>
        <w:pStyle w:val="PL"/>
      </w:pPr>
      <w:r w:rsidRPr="000A0A5F">
        <w:t xml:space="preserve">                minItems: 0</w:t>
      </w:r>
    </w:p>
    <w:p w:rsidR="00CB0DD7" w:rsidRPr="000A0A5F" w:rsidRDefault="00CB0DD7">
      <w:pPr>
        <w:pStyle w:val="PL"/>
      </w:pPr>
      <w:r w:rsidRPr="000A0A5F">
        <w:t xml:space="preserve">                description: Network Parameter configurations</w:t>
      </w:r>
    </w:p>
    <w:p w:rsidR="00CB0DD7" w:rsidRPr="000A0A5F" w:rsidRDefault="00CB0DD7">
      <w:pPr>
        <w:pStyle w:val="PL"/>
      </w:pPr>
      <w:r w:rsidRPr="000A0A5F">
        <w:t xml:space="preserve">        '307':</w:t>
      </w:r>
    </w:p>
    <w:p w:rsidR="00CB0DD7" w:rsidRPr="000A0A5F" w:rsidRDefault="00CB0DD7">
      <w:pPr>
        <w:pStyle w:val="PL"/>
      </w:pPr>
      <w:r w:rsidRPr="000A0A5F">
        <w:t xml:space="preserve">          $ref: 'TS29122_CommonData.yaml#/components/responses/307'</w:t>
      </w:r>
    </w:p>
    <w:p w:rsidR="00CB0DD7" w:rsidRPr="000A0A5F" w:rsidRDefault="00CB0DD7">
      <w:pPr>
        <w:pStyle w:val="PL"/>
      </w:pPr>
      <w:r w:rsidRPr="000A0A5F">
        <w:t xml:space="preserve">        '308':</w:t>
      </w:r>
    </w:p>
    <w:p w:rsidR="00CB0DD7" w:rsidRPr="000A0A5F" w:rsidRDefault="00CB0DD7">
      <w:pPr>
        <w:pStyle w:val="PL"/>
      </w:pPr>
      <w:r w:rsidRPr="000A0A5F">
        <w:t xml:space="preserve">          $ref: 'TS29122_CommonData.yaml#/components/responses/308'</w:t>
      </w:r>
    </w:p>
    <w:p w:rsidR="00CB0DD7" w:rsidRPr="000A0A5F" w:rsidRDefault="00CB0DD7">
      <w:pPr>
        <w:pStyle w:val="PL"/>
      </w:pPr>
      <w:r w:rsidRPr="000A0A5F">
        <w:t xml:space="preserve">        '400':</w:t>
      </w:r>
    </w:p>
    <w:p w:rsidR="00CB0DD7" w:rsidRPr="000A0A5F" w:rsidRDefault="00CB0DD7">
      <w:pPr>
        <w:pStyle w:val="PL"/>
      </w:pPr>
      <w:r w:rsidRPr="000A0A5F">
        <w:t xml:space="preserve">          $ref: 'TS29122_CommonData.yaml#/components/responses/400'</w:t>
      </w:r>
    </w:p>
    <w:p w:rsidR="00CB0DD7" w:rsidRPr="000A0A5F" w:rsidRDefault="00CB0DD7">
      <w:pPr>
        <w:pStyle w:val="PL"/>
      </w:pPr>
      <w:r w:rsidRPr="000A0A5F">
        <w:t xml:space="preserve">        '401':</w:t>
      </w:r>
    </w:p>
    <w:p w:rsidR="00CB0DD7" w:rsidRPr="000A0A5F" w:rsidRDefault="00CB0DD7">
      <w:pPr>
        <w:pStyle w:val="PL"/>
      </w:pPr>
      <w:r w:rsidRPr="000A0A5F">
        <w:t xml:space="preserve">          $ref: 'TS29122_CommonData.yaml#/components/responses/401'</w:t>
      </w:r>
    </w:p>
    <w:p w:rsidR="00CB0DD7" w:rsidRPr="000A0A5F" w:rsidRDefault="00CB0DD7">
      <w:pPr>
        <w:pStyle w:val="PL"/>
      </w:pPr>
      <w:r w:rsidRPr="000A0A5F">
        <w:t xml:space="preserve">        '403':</w:t>
      </w:r>
    </w:p>
    <w:p w:rsidR="00CB0DD7" w:rsidRPr="000A0A5F" w:rsidRDefault="00CB0DD7">
      <w:pPr>
        <w:pStyle w:val="PL"/>
      </w:pPr>
      <w:r w:rsidRPr="000A0A5F">
        <w:t xml:space="preserve">          $ref: 'TS29122_CommonData.yaml#/components/responses/403'</w:t>
      </w:r>
    </w:p>
    <w:p w:rsidR="00CB0DD7" w:rsidRPr="000A0A5F" w:rsidRDefault="00CB0DD7">
      <w:pPr>
        <w:pStyle w:val="PL"/>
      </w:pPr>
      <w:r w:rsidRPr="000A0A5F">
        <w:t xml:space="preserve">        '404':</w:t>
      </w:r>
    </w:p>
    <w:p w:rsidR="00CB0DD7" w:rsidRPr="000A0A5F" w:rsidRDefault="00CB0DD7">
      <w:pPr>
        <w:pStyle w:val="PL"/>
      </w:pPr>
      <w:r w:rsidRPr="000A0A5F">
        <w:t xml:space="preserve">          $ref: 'TS29122_CommonData.yaml#/components/responses/404'</w:t>
      </w:r>
    </w:p>
    <w:p w:rsidR="00CB0DD7" w:rsidRPr="000A0A5F" w:rsidRDefault="00CB0DD7">
      <w:pPr>
        <w:pStyle w:val="PL"/>
      </w:pPr>
      <w:r w:rsidRPr="000A0A5F">
        <w:t xml:space="preserve">        '406':</w:t>
      </w:r>
    </w:p>
    <w:p w:rsidR="00CB0DD7" w:rsidRPr="000A0A5F" w:rsidRDefault="00CB0DD7">
      <w:pPr>
        <w:pStyle w:val="PL"/>
      </w:pPr>
      <w:r w:rsidRPr="000A0A5F">
        <w:t xml:space="preserve">          $ref: 'TS29122_CommonData.yaml#/components/responses/406'</w:t>
      </w:r>
    </w:p>
    <w:p w:rsidR="00CB0DD7" w:rsidRPr="000A0A5F" w:rsidRDefault="00CB0DD7">
      <w:pPr>
        <w:pStyle w:val="PL"/>
      </w:pPr>
      <w:r w:rsidRPr="000A0A5F">
        <w:t xml:space="preserve">        '429':</w:t>
      </w:r>
    </w:p>
    <w:p w:rsidR="00CB0DD7" w:rsidRPr="000A0A5F" w:rsidRDefault="00CB0DD7">
      <w:pPr>
        <w:pStyle w:val="PL"/>
      </w:pPr>
      <w:r w:rsidRPr="000A0A5F">
        <w:t xml:space="preserve">          $ref: 'TS29122_CommonData.yaml#/components/responses/429'</w:t>
      </w:r>
    </w:p>
    <w:p w:rsidR="00CB0DD7" w:rsidRPr="000A0A5F" w:rsidRDefault="00CB0DD7">
      <w:pPr>
        <w:pStyle w:val="PL"/>
      </w:pPr>
      <w:r w:rsidRPr="000A0A5F">
        <w:t xml:space="preserve">        '500':</w:t>
      </w:r>
    </w:p>
    <w:p w:rsidR="00CB0DD7" w:rsidRPr="000A0A5F" w:rsidRDefault="00CB0DD7">
      <w:pPr>
        <w:pStyle w:val="PL"/>
      </w:pPr>
      <w:r w:rsidRPr="000A0A5F">
        <w:t xml:space="preserve">          $ref: 'TS29122_CommonData.yaml#/components/responses/500'</w:t>
      </w:r>
    </w:p>
    <w:p w:rsidR="00CB0DD7" w:rsidRPr="000A0A5F" w:rsidRDefault="00CB0DD7">
      <w:pPr>
        <w:pStyle w:val="PL"/>
      </w:pPr>
      <w:r w:rsidRPr="000A0A5F">
        <w:t xml:space="preserve">        '503':</w:t>
      </w:r>
    </w:p>
    <w:p w:rsidR="00CB0DD7" w:rsidRPr="000A0A5F" w:rsidRDefault="00CB0DD7">
      <w:pPr>
        <w:pStyle w:val="PL"/>
      </w:pPr>
      <w:r w:rsidRPr="000A0A5F">
        <w:t xml:space="preserve">          $ref: 'TS29122_CommonData.yaml#/components/responses/503'</w:t>
      </w:r>
    </w:p>
    <w:p w:rsidR="00CB0DD7" w:rsidRPr="000A0A5F" w:rsidRDefault="00CB0DD7">
      <w:pPr>
        <w:pStyle w:val="PL"/>
      </w:pPr>
      <w:r w:rsidRPr="000A0A5F">
        <w:t xml:space="preserve">        default:</w:t>
      </w:r>
    </w:p>
    <w:p w:rsidR="00CB0DD7" w:rsidRPr="000A0A5F" w:rsidRDefault="00CB0DD7">
      <w:pPr>
        <w:pStyle w:val="PL"/>
      </w:pPr>
      <w:r w:rsidRPr="000A0A5F">
        <w:t xml:space="preserve">          $ref: 'TS29122_CommonData.yaml#/components/responses/default'</w:t>
      </w:r>
    </w:p>
    <w:p w:rsidR="00CB0DD7" w:rsidRPr="000A0A5F" w:rsidRDefault="00CB0DD7">
      <w:pPr>
        <w:pStyle w:val="PL"/>
      </w:pPr>
    </w:p>
    <w:p w:rsidR="00CB0DD7" w:rsidRPr="000A0A5F" w:rsidRDefault="00CB0DD7">
      <w:pPr>
        <w:pStyle w:val="PL"/>
      </w:pPr>
      <w:r w:rsidRPr="000A0A5F">
        <w:t xml:space="preserve">    post:</w:t>
      </w:r>
    </w:p>
    <w:p w:rsidR="00CB0DD7" w:rsidRPr="000A0A5F" w:rsidRDefault="00CB0DD7">
      <w:pPr>
        <w:pStyle w:val="PL"/>
      </w:pPr>
      <w:r w:rsidRPr="000A0A5F">
        <w:t xml:space="preserve">      summary: Creates a new configuration resource for network parameter configuration</w:t>
      </w:r>
      <w:r w:rsidR="00AB4F8B" w:rsidRPr="000A0A5F">
        <w:t>.</w:t>
      </w:r>
    </w:p>
    <w:p w:rsidR="00AB4F8B" w:rsidRPr="000A0A5F" w:rsidRDefault="00AB4F8B" w:rsidP="00AB4F8B">
      <w:pPr>
        <w:pStyle w:val="PL"/>
      </w:pPr>
      <w:r w:rsidRPr="000A0A5F">
        <w:t xml:space="preserve">      </w:t>
      </w:r>
      <w:r w:rsidRPr="000A0A5F">
        <w:rPr>
          <w:rFonts w:cs="Courier New"/>
          <w:szCs w:val="16"/>
        </w:rPr>
        <w:t>operationId: Create</w:t>
      </w:r>
      <w:r w:rsidRPr="000A0A5F">
        <w:t>NPConfiguration</w:t>
      </w:r>
    </w:p>
    <w:p w:rsidR="00CB0DD7" w:rsidRPr="000A0A5F" w:rsidRDefault="00CB0DD7">
      <w:pPr>
        <w:pStyle w:val="PL"/>
      </w:pPr>
      <w:r w:rsidRPr="000A0A5F">
        <w:t xml:space="preserve">      tags:</w:t>
      </w:r>
    </w:p>
    <w:p w:rsidR="00CB0DD7" w:rsidRPr="000A0A5F" w:rsidRDefault="00CB0DD7">
      <w:pPr>
        <w:pStyle w:val="PL"/>
      </w:pPr>
      <w:r w:rsidRPr="000A0A5F">
        <w:t xml:space="preserve">        - Np</w:t>
      </w:r>
      <w:r w:rsidR="00AB4F8B" w:rsidRPr="000A0A5F">
        <w:t xml:space="preserve"> </w:t>
      </w:r>
      <w:r w:rsidRPr="000A0A5F">
        <w:t>Configuration</w:t>
      </w:r>
      <w:r w:rsidR="00AB4F8B" w:rsidRPr="000A0A5F">
        <w:t>s</w:t>
      </w:r>
    </w:p>
    <w:p w:rsidR="00CB0DD7" w:rsidRPr="000A0A5F" w:rsidRDefault="00CB0DD7">
      <w:pPr>
        <w:pStyle w:val="PL"/>
      </w:pPr>
      <w:r w:rsidRPr="000A0A5F">
        <w:t xml:space="preserve">      parameters:</w:t>
      </w:r>
    </w:p>
    <w:p w:rsidR="00CB0DD7" w:rsidRPr="000A0A5F" w:rsidRDefault="00CB0DD7">
      <w:pPr>
        <w:pStyle w:val="PL"/>
      </w:pPr>
      <w:r w:rsidRPr="000A0A5F">
        <w:t xml:space="preserve">        - name: scsAsId</w:t>
      </w:r>
    </w:p>
    <w:p w:rsidR="00CB0DD7" w:rsidRPr="000A0A5F" w:rsidRDefault="00CB0DD7">
      <w:pPr>
        <w:pStyle w:val="PL"/>
      </w:pPr>
      <w:r w:rsidRPr="000A0A5F">
        <w:t xml:space="preserve">          in: path</w:t>
      </w:r>
    </w:p>
    <w:p w:rsidR="00CB0DD7" w:rsidRPr="000A0A5F" w:rsidRDefault="00CB0DD7">
      <w:pPr>
        <w:pStyle w:val="PL"/>
      </w:pPr>
      <w:r w:rsidRPr="000A0A5F">
        <w:t xml:space="preserve">          description: Identifier of the SCS/AS</w:t>
      </w:r>
    </w:p>
    <w:p w:rsidR="00CB0DD7" w:rsidRPr="000A0A5F" w:rsidRDefault="00CB0DD7">
      <w:pPr>
        <w:pStyle w:val="PL"/>
      </w:pPr>
      <w:r w:rsidRPr="000A0A5F">
        <w:t xml:space="preserve">          required: true</w:t>
      </w:r>
    </w:p>
    <w:p w:rsidR="00CB0DD7" w:rsidRPr="000A0A5F" w:rsidRDefault="00CB0DD7">
      <w:pPr>
        <w:pStyle w:val="PL"/>
      </w:pPr>
      <w:r w:rsidRPr="000A0A5F">
        <w:t xml:space="preserve">          schema:</w:t>
      </w:r>
    </w:p>
    <w:p w:rsidR="00CB0DD7" w:rsidRPr="000A0A5F" w:rsidRDefault="00CB0DD7">
      <w:pPr>
        <w:pStyle w:val="PL"/>
      </w:pPr>
      <w:r w:rsidRPr="000A0A5F">
        <w:t xml:space="preserve">            type: string</w:t>
      </w:r>
    </w:p>
    <w:p w:rsidR="00CB0DD7" w:rsidRPr="000A0A5F" w:rsidRDefault="00CB0DD7">
      <w:pPr>
        <w:pStyle w:val="PL"/>
      </w:pPr>
      <w:r w:rsidRPr="000A0A5F">
        <w:t xml:space="preserve">      requestBody:</w:t>
      </w:r>
    </w:p>
    <w:p w:rsidR="00CB0DD7" w:rsidRPr="000A0A5F" w:rsidRDefault="00CB0DD7">
      <w:pPr>
        <w:pStyle w:val="PL"/>
      </w:pPr>
      <w:r w:rsidRPr="000A0A5F">
        <w:t xml:space="preserve">        description: new configuration creation</w:t>
      </w:r>
    </w:p>
    <w:p w:rsidR="00CB0DD7" w:rsidRPr="000A0A5F" w:rsidRDefault="00CB0DD7">
      <w:pPr>
        <w:pStyle w:val="PL"/>
      </w:pPr>
      <w:r w:rsidRPr="000A0A5F">
        <w:t xml:space="preserve">        required: true</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application/json:</w:t>
      </w:r>
    </w:p>
    <w:p w:rsidR="00CB0DD7" w:rsidRPr="000A0A5F" w:rsidRDefault="00CB0DD7">
      <w:pPr>
        <w:pStyle w:val="PL"/>
      </w:pPr>
      <w:r w:rsidRPr="000A0A5F">
        <w:t xml:space="preserve">            schema:</w:t>
      </w:r>
    </w:p>
    <w:p w:rsidR="00CB0DD7" w:rsidRPr="000A0A5F" w:rsidRDefault="00CB0DD7">
      <w:pPr>
        <w:pStyle w:val="PL"/>
      </w:pPr>
      <w:r w:rsidRPr="000A0A5F">
        <w:t xml:space="preserve">              $ref: '#/components/schemas/NpConfiguration'</w:t>
      </w:r>
    </w:p>
    <w:p w:rsidR="00CB0DD7" w:rsidRPr="000A0A5F" w:rsidRDefault="00CB0DD7">
      <w:pPr>
        <w:pStyle w:val="PL"/>
      </w:pPr>
      <w:r w:rsidRPr="000A0A5F">
        <w:t xml:space="preserve">      callbacks:</w:t>
      </w:r>
    </w:p>
    <w:p w:rsidR="00CB0DD7" w:rsidRPr="000A0A5F" w:rsidRDefault="00CB0DD7">
      <w:pPr>
        <w:pStyle w:val="PL"/>
        <w:rPr>
          <w:lang w:val="fr-FR"/>
        </w:rPr>
      </w:pPr>
      <w:r w:rsidRPr="000A0A5F">
        <w:t xml:space="preserve">        </w:t>
      </w:r>
      <w:r w:rsidRPr="000A0A5F">
        <w:rPr>
          <w:lang w:val="fr-FR"/>
        </w:rPr>
        <w:t>notificationDestination:</w:t>
      </w:r>
    </w:p>
    <w:p w:rsidR="00CB0DD7" w:rsidRPr="000A0A5F" w:rsidRDefault="00CB0DD7">
      <w:pPr>
        <w:pStyle w:val="PL"/>
        <w:rPr>
          <w:lang w:val="fr-FR"/>
        </w:rPr>
      </w:pPr>
      <w:r w:rsidRPr="000A0A5F">
        <w:rPr>
          <w:lang w:val="fr-FR"/>
        </w:rPr>
        <w:t xml:space="preserve">          '{request.body#/notificationDestination}':</w:t>
      </w:r>
    </w:p>
    <w:p w:rsidR="00CB0DD7" w:rsidRPr="000A0A5F" w:rsidRDefault="00CB0DD7">
      <w:pPr>
        <w:pStyle w:val="PL"/>
      </w:pPr>
      <w:r w:rsidRPr="000A0A5F">
        <w:rPr>
          <w:lang w:val="fr-FR"/>
        </w:rPr>
        <w:t xml:space="preserve">            </w:t>
      </w:r>
      <w:r w:rsidRPr="000A0A5F">
        <w:t>post:</w:t>
      </w:r>
    </w:p>
    <w:p w:rsidR="00CB0DD7" w:rsidRPr="000A0A5F" w:rsidRDefault="00CB0DD7">
      <w:pPr>
        <w:pStyle w:val="PL"/>
      </w:pPr>
      <w:r w:rsidRPr="000A0A5F">
        <w:t xml:space="preserve">              requestBody:  # contents of the callback message</w:t>
      </w:r>
    </w:p>
    <w:p w:rsidR="00CB0DD7" w:rsidRPr="000A0A5F" w:rsidRDefault="00CB0DD7">
      <w:pPr>
        <w:pStyle w:val="PL"/>
      </w:pPr>
      <w:r w:rsidRPr="000A0A5F">
        <w:t xml:space="preserve">                required: true</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application/json:</w:t>
      </w:r>
    </w:p>
    <w:p w:rsidR="00CB0DD7" w:rsidRPr="000A0A5F" w:rsidRDefault="00CB0DD7">
      <w:pPr>
        <w:pStyle w:val="PL"/>
      </w:pPr>
      <w:r w:rsidRPr="000A0A5F">
        <w:t xml:space="preserve">                    schema:</w:t>
      </w:r>
    </w:p>
    <w:p w:rsidR="00CB0DD7" w:rsidRPr="000A0A5F" w:rsidRDefault="00CB0DD7">
      <w:pPr>
        <w:pStyle w:val="PL"/>
      </w:pPr>
      <w:r w:rsidRPr="000A0A5F">
        <w:t xml:space="preserve">                      $ref: '#/components/schemas/ConfigurationNotification'</w:t>
      </w:r>
    </w:p>
    <w:p w:rsidR="00CB0DD7" w:rsidRPr="000A0A5F" w:rsidRDefault="00CB0DD7">
      <w:pPr>
        <w:pStyle w:val="PL"/>
      </w:pPr>
      <w:r w:rsidRPr="000A0A5F">
        <w:t xml:space="preserve">              responses:</w:t>
      </w:r>
    </w:p>
    <w:p w:rsidR="00CB0DD7" w:rsidRPr="000A0A5F" w:rsidRDefault="00CB0DD7">
      <w:pPr>
        <w:pStyle w:val="PL"/>
      </w:pPr>
      <w:r w:rsidRPr="000A0A5F">
        <w:t xml:space="preserve">                '204':</w:t>
      </w:r>
    </w:p>
    <w:p w:rsidR="00CB0DD7" w:rsidRPr="000A0A5F" w:rsidRDefault="00CB0DD7">
      <w:pPr>
        <w:pStyle w:val="PL"/>
      </w:pPr>
      <w:r w:rsidRPr="000A0A5F">
        <w:t xml:space="preserve">                  description: No Content (successful notification)</w:t>
      </w:r>
    </w:p>
    <w:p w:rsidR="00CB0DD7" w:rsidRPr="000A0A5F" w:rsidRDefault="00CB0DD7">
      <w:pPr>
        <w:pStyle w:val="PL"/>
      </w:pPr>
      <w:r w:rsidRPr="000A0A5F">
        <w:t xml:space="preserve">                '307':</w:t>
      </w:r>
    </w:p>
    <w:p w:rsidR="00CB0DD7" w:rsidRPr="000A0A5F" w:rsidRDefault="00CB0DD7">
      <w:pPr>
        <w:pStyle w:val="PL"/>
      </w:pPr>
      <w:r w:rsidRPr="000A0A5F">
        <w:t xml:space="preserve">                  $ref: 'TS29122_CommonData.yaml#/components/responses/307'</w:t>
      </w:r>
    </w:p>
    <w:p w:rsidR="00CB0DD7" w:rsidRPr="000A0A5F" w:rsidRDefault="00CB0DD7">
      <w:pPr>
        <w:pStyle w:val="PL"/>
      </w:pPr>
      <w:r w:rsidRPr="000A0A5F">
        <w:t xml:space="preserve">                '308':</w:t>
      </w:r>
    </w:p>
    <w:p w:rsidR="00CB0DD7" w:rsidRPr="000A0A5F" w:rsidRDefault="00CB0DD7">
      <w:pPr>
        <w:pStyle w:val="PL"/>
      </w:pPr>
      <w:r w:rsidRPr="000A0A5F">
        <w:t xml:space="preserve">                  $ref: 'TS29122_CommonData.yaml#/components/responses/308'</w:t>
      </w:r>
    </w:p>
    <w:p w:rsidR="00CB0DD7" w:rsidRPr="000A0A5F" w:rsidRDefault="00CB0DD7">
      <w:pPr>
        <w:pStyle w:val="PL"/>
      </w:pPr>
      <w:r w:rsidRPr="000A0A5F">
        <w:t xml:space="preserve">                '400':</w:t>
      </w:r>
    </w:p>
    <w:p w:rsidR="00CB0DD7" w:rsidRPr="000A0A5F" w:rsidRDefault="00CB0DD7">
      <w:pPr>
        <w:pStyle w:val="PL"/>
      </w:pPr>
      <w:r w:rsidRPr="000A0A5F">
        <w:t xml:space="preserve">                  $ref: 'TS29122_CommonData.yaml#/components/responses/400'</w:t>
      </w:r>
    </w:p>
    <w:p w:rsidR="00CB0DD7" w:rsidRPr="000A0A5F" w:rsidRDefault="00CB0DD7">
      <w:pPr>
        <w:pStyle w:val="PL"/>
      </w:pPr>
      <w:r w:rsidRPr="000A0A5F">
        <w:t xml:space="preserve">                '401':</w:t>
      </w:r>
    </w:p>
    <w:p w:rsidR="00CB0DD7" w:rsidRPr="000A0A5F" w:rsidRDefault="00CB0DD7">
      <w:pPr>
        <w:pStyle w:val="PL"/>
      </w:pPr>
      <w:r w:rsidRPr="000A0A5F">
        <w:t xml:space="preserve">                  $ref: 'TS29122_CommonData.yaml#/components/responses/401'</w:t>
      </w:r>
    </w:p>
    <w:p w:rsidR="00CB0DD7" w:rsidRPr="000A0A5F" w:rsidRDefault="00CB0DD7">
      <w:pPr>
        <w:pStyle w:val="PL"/>
      </w:pPr>
      <w:r w:rsidRPr="000A0A5F">
        <w:t xml:space="preserve">                '403':</w:t>
      </w:r>
    </w:p>
    <w:p w:rsidR="00CB0DD7" w:rsidRPr="000A0A5F" w:rsidRDefault="00CB0DD7">
      <w:pPr>
        <w:pStyle w:val="PL"/>
      </w:pPr>
      <w:r w:rsidRPr="000A0A5F">
        <w:t xml:space="preserve">                  $ref: 'TS29122_CommonData.yaml#/components/responses/403'</w:t>
      </w:r>
    </w:p>
    <w:p w:rsidR="00CB0DD7" w:rsidRPr="000A0A5F" w:rsidRDefault="00CB0DD7">
      <w:pPr>
        <w:pStyle w:val="PL"/>
      </w:pPr>
      <w:r w:rsidRPr="000A0A5F">
        <w:t xml:space="preserve">                '404':</w:t>
      </w:r>
    </w:p>
    <w:p w:rsidR="00CB0DD7" w:rsidRPr="000A0A5F" w:rsidRDefault="00CB0DD7">
      <w:pPr>
        <w:pStyle w:val="PL"/>
      </w:pPr>
      <w:r w:rsidRPr="000A0A5F">
        <w:t xml:space="preserve">                  $ref: 'TS29122_CommonData.yaml#/components/responses/404'</w:t>
      </w:r>
    </w:p>
    <w:p w:rsidR="00CB0DD7" w:rsidRPr="000A0A5F" w:rsidRDefault="00CB0DD7">
      <w:pPr>
        <w:pStyle w:val="PL"/>
      </w:pPr>
      <w:r w:rsidRPr="000A0A5F">
        <w:t xml:space="preserve">                '411':</w:t>
      </w:r>
    </w:p>
    <w:p w:rsidR="00CB0DD7" w:rsidRPr="000A0A5F" w:rsidRDefault="00CB0DD7">
      <w:pPr>
        <w:pStyle w:val="PL"/>
      </w:pPr>
      <w:r w:rsidRPr="000A0A5F">
        <w:t xml:space="preserve">                  $ref: 'TS29122_CommonData.yaml#/components/responses/411'</w:t>
      </w:r>
    </w:p>
    <w:p w:rsidR="00CB0DD7" w:rsidRPr="000A0A5F" w:rsidRDefault="00CB0DD7">
      <w:pPr>
        <w:pStyle w:val="PL"/>
      </w:pPr>
      <w:r w:rsidRPr="000A0A5F">
        <w:t xml:space="preserve">                '413':</w:t>
      </w:r>
    </w:p>
    <w:p w:rsidR="00CB0DD7" w:rsidRPr="000A0A5F" w:rsidRDefault="00CB0DD7">
      <w:pPr>
        <w:pStyle w:val="PL"/>
      </w:pPr>
      <w:r w:rsidRPr="000A0A5F">
        <w:t xml:space="preserve">                  $ref: 'TS29122_CommonData.yaml#/components/responses/413'</w:t>
      </w:r>
    </w:p>
    <w:p w:rsidR="00CB0DD7" w:rsidRPr="000A0A5F" w:rsidRDefault="00CB0DD7">
      <w:pPr>
        <w:pStyle w:val="PL"/>
      </w:pPr>
      <w:r w:rsidRPr="000A0A5F">
        <w:t xml:space="preserve">                '415':</w:t>
      </w:r>
    </w:p>
    <w:p w:rsidR="00CB0DD7" w:rsidRPr="000A0A5F" w:rsidRDefault="00CB0DD7">
      <w:pPr>
        <w:pStyle w:val="PL"/>
      </w:pPr>
      <w:r w:rsidRPr="000A0A5F">
        <w:t xml:space="preserve">                  $ref: 'TS29122_CommonData.yaml#/components/responses/415'</w:t>
      </w:r>
    </w:p>
    <w:p w:rsidR="00CB0DD7" w:rsidRPr="000A0A5F" w:rsidRDefault="00CB0DD7">
      <w:pPr>
        <w:pStyle w:val="PL"/>
      </w:pPr>
      <w:r w:rsidRPr="000A0A5F">
        <w:t xml:space="preserve">                '429':</w:t>
      </w:r>
    </w:p>
    <w:p w:rsidR="00CB0DD7" w:rsidRPr="000A0A5F" w:rsidRDefault="00CB0DD7">
      <w:pPr>
        <w:pStyle w:val="PL"/>
      </w:pPr>
      <w:r w:rsidRPr="000A0A5F">
        <w:t xml:space="preserve">                  $ref: 'TS29122_CommonData.yaml#/components/responses/429'</w:t>
      </w:r>
    </w:p>
    <w:p w:rsidR="00CB0DD7" w:rsidRPr="000A0A5F" w:rsidRDefault="00CB0DD7">
      <w:pPr>
        <w:pStyle w:val="PL"/>
      </w:pPr>
      <w:r w:rsidRPr="000A0A5F">
        <w:t xml:space="preserve">                '500':</w:t>
      </w:r>
    </w:p>
    <w:p w:rsidR="00CB0DD7" w:rsidRPr="000A0A5F" w:rsidRDefault="00CB0DD7">
      <w:pPr>
        <w:pStyle w:val="PL"/>
      </w:pPr>
      <w:r w:rsidRPr="000A0A5F">
        <w:t xml:space="preserve">                  $ref: 'TS29122_CommonData.yaml#/components/responses/500'</w:t>
      </w:r>
    </w:p>
    <w:p w:rsidR="00CB0DD7" w:rsidRPr="000A0A5F" w:rsidRDefault="00CB0DD7">
      <w:pPr>
        <w:pStyle w:val="PL"/>
      </w:pPr>
      <w:r w:rsidRPr="000A0A5F">
        <w:t xml:space="preserve">                '503':</w:t>
      </w:r>
    </w:p>
    <w:p w:rsidR="00CB0DD7" w:rsidRPr="000A0A5F" w:rsidRDefault="00CB0DD7">
      <w:pPr>
        <w:pStyle w:val="PL"/>
      </w:pPr>
      <w:r w:rsidRPr="000A0A5F">
        <w:t xml:space="preserve">                  $ref: 'TS29122_CommonData.yaml#/components/responses/503'</w:t>
      </w:r>
    </w:p>
    <w:p w:rsidR="00CB0DD7" w:rsidRPr="000A0A5F" w:rsidRDefault="00CB0DD7">
      <w:pPr>
        <w:pStyle w:val="PL"/>
      </w:pPr>
      <w:r w:rsidRPr="000A0A5F">
        <w:t xml:space="preserve">                default:</w:t>
      </w:r>
    </w:p>
    <w:p w:rsidR="00CB0DD7" w:rsidRPr="000A0A5F" w:rsidRDefault="00CB0DD7">
      <w:pPr>
        <w:pStyle w:val="PL"/>
      </w:pPr>
      <w:r w:rsidRPr="000A0A5F">
        <w:t xml:space="preserve">                  $ref: 'TS29122_CommonData.yaml#/components/responses/default'</w:t>
      </w:r>
    </w:p>
    <w:p w:rsidR="00CB0DD7" w:rsidRPr="000A0A5F" w:rsidRDefault="00CB0DD7">
      <w:pPr>
        <w:pStyle w:val="PL"/>
      </w:pPr>
      <w:r w:rsidRPr="000A0A5F">
        <w:t xml:space="preserve">      responses:</w:t>
      </w:r>
    </w:p>
    <w:p w:rsidR="00CB0DD7" w:rsidRPr="000A0A5F" w:rsidRDefault="00CB0DD7">
      <w:pPr>
        <w:pStyle w:val="PL"/>
      </w:pPr>
      <w:r w:rsidRPr="000A0A5F">
        <w:t xml:space="preserve">        '201':</w:t>
      </w:r>
    </w:p>
    <w:p w:rsidR="00CB0DD7" w:rsidRPr="000A0A5F" w:rsidRDefault="00CB0DD7">
      <w:pPr>
        <w:pStyle w:val="PL"/>
      </w:pPr>
      <w:r w:rsidRPr="000A0A5F">
        <w:t xml:space="preserve">          description: Created (Successful creation of configuration)</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application/json:</w:t>
      </w:r>
    </w:p>
    <w:p w:rsidR="00CB0DD7" w:rsidRPr="000A0A5F" w:rsidRDefault="00CB0DD7">
      <w:pPr>
        <w:pStyle w:val="PL"/>
      </w:pPr>
      <w:r w:rsidRPr="000A0A5F">
        <w:t xml:space="preserve">              schema:</w:t>
      </w:r>
    </w:p>
    <w:p w:rsidR="00CB0DD7" w:rsidRPr="000A0A5F" w:rsidRDefault="00CB0DD7">
      <w:pPr>
        <w:pStyle w:val="PL"/>
      </w:pPr>
      <w:r w:rsidRPr="000A0A5F">
        <w:t xml:space="preserve">                $ref: '#/components/schemas/NpConfiguration'</w:t>
      </w:r>
    </w:p>
    <w:p w:rsidR="00CB0DD7" w:rsidRPr="000A0A5F" w:rsidRDefault="00CB0DD7">
      <w:pPr>
        <w:pStyle w:val="PL"/>
      </w:pPr>
      <w:r w:rsidRPr="000A0A5F">
        <w:t xml:space="preserve">          headers:</w:t>
      </w:r>
    </w:p>
    <w:p w:rsidR="00CB0DD7" w:rsidRPr="000A0A5F" w:rsidRDefault="00CB0DD7">
      <w:pPr>
        <w:pStyle w:val="PL"/>
      </w:pPr>
      <w:r w:rsidRPr="000A0A5F">
        <w:t xml:space="preserve">            Location:</w:t>
      </w:r>
    </w:p>
    <w:p w:rsidR="00CB0DD7" w:rsidRPr="000A0A5F" w:rsidRDefault="00CB0DD7">
      <w:pPr>
        <w:pStyle w:val="PL"/>
      </w:pPr>
      <w:r w:rsidRPr="000A0A5F">
        <w:t xml:space="preserve">              description: 'Contains the URI of the newly created resource'</w:t>
      </w:r>
    </w:p>
    <w:p w:rsidR="00CB0DD7" w:rsidRPr="000A0A5F" w:rsidRDefault="00CB0DD7">
      <w:pPr>
        <w:pStyle w:val="PL"/>
      </w:pPr>
      <w:r w:rsidRPr="000A0A5F">
        <w:t xml:space="preserve">              required: true</w:t>
      </w:r>
    </w:p>
    <w:p w:rsidR="00CB0DD7" w:rsidRPr="000A0A5F" w:rsidRDefault="00CB0DD7">
      <w:pPr>
        <w:pStyle w:val="PL"/>
      </w:pPr>
      <w:r w:rsidRPr="000A0A5F">
        <w:t xml:space="preserve">              schema:</w:t>
      </w:r>
    </w:p>
    <w:p w:rsidR="00CB0DD7" w:rsidRPr="000A0A5F" w:rsidRDefault="00CB0DD7">
      <w:pPr>
        <w:pStyle w:val="PL"/>
      </w:pPr>
      <w:r w:rsidRPr="000A0A5F">
        <w:t xml:space="preserve">                type: string</w:t>
      </w:r>
    </w:p>
    <w:p w:rsidR="00CB0DD7" w:rsidRPr="000A0A5F" w:rsidRDefault="00CB0DD7">
      <w:pPr>
        <w:pStyle w:val="PL"/>
      </w:pPr>
      <w:r w:rsidRPr="000A0A5F">
        <w:t xml:space="preserve">        '400':</w:t>
      </w:r>
    </w:p>
    <w:p w:rsidR="00CB0DD7" w:rsidRPr="000A0A5F" w:rsidRDefault="00CB0DD7">
      <w:pPr>
        <w:pStyle w:val="PL"/>
      </w:pPr>
      <w:r w:rsidRPr="000A0A5F">
        <w:t xml:space="preserve">          $ref: 'TS29122_CommonData.yaml#/components/responses/400'</w:t>
      </w:r>
    </w:p>
    <w:p w:rsidR="00CB0DD7" w:rsidRPr="000A0A5F" w:rsidRDefault="00CB0DD7">
      <w:pPr>
        <w:pStyle w:val="PL"/>
      </w:pPr>
      <w:r w:rsidRPr="000A0A5F">
        <w:t xml:space="preserve">        '401':</w:t>
      </w:r>
    </w:p>
    <w:p w:rsidR="00CB0DD7" w:rsidRPr="000A0A5F" w:rsidRDefault="00CB0DD7">
      <w:pPr>
        <w:pStyle w:val="PL"/>
      </w:pPr>
      <w:r w:rsidRPr="000A0A5F">
        <w:t xml:space="preserve">          $ref: 'TS29122_CommonData.yaml#/components/responses/401'</w:t>
      </w:r>
    </w:p>
    <w:p w:rsidR="00CB0DD7" w:rsidRPr="000A0A5F" w:rsidRDefault="00CB0DD7">
      <w:pPr>
        <w:pStyle w:val="PL"/>
      </w:pPr>
      <w:r w:rsidRPr="000A0A5F">
        <w:t xml:space="preserve">        '403':</w:t>
      </w:r>
    </w:p>
    <w:p w:rsidR="00CB0DD7" w:rsidRPr="000A0A5F" w:rsidRDefault="00CB0DD7">
      <w:pPr>
        <w:pStyle w:val="PL"/>
      </w:pPr>
      <w:r w:rsidRPr="000A0A5F">
        <w:t xml:space="preserve">          $ref: 'TS29122_CommonData.yaml#/components/responses/403'</w:t>
      </w:r>
    </w:p>
    <w:p w:rsidR="00CB0DD7" w:rsidRPr="000A0A5F" w:rsidRDefault="00CB0DD7">
      <w:pPr>
        <w:pStyle w:val="PL"/>
      </w:pPr>
      <w:r w:rsidRPr="000A0A5F">
        <w:t xml:space="preserve">        '404':</w:t>
      </w:r>
    </w:p>
    <w:p w:rsidR="00CB0DD7" w:rsidRPr="000A0A5F" w:rsidRDefault="00CB0DD7">
      <w:pPr>
        <w:pStyle w:val="PL"/>
      </w:pPr>
      <w:r w:rsidRPr="000A0A5F">
        <w:t xml:space="preserve">          $ref: 'TS29122_CommonData.yaml#/components/responses/404'</w:t>
      </w:r>
    </w:p>
    <w:p w:rsidR="00CB0DD7" w:rsidRPr="000A0A5F" w:rsidRDefault="00CB0DD7">
      <w:pPr>
        <w:pStyle w:val="PL"/>
      </w:pPr>
      <w:r w:rsidRPr="000A0A5F">
        <w:t xml:space="preserve">        '411':</w:t>
      </w:r>
    </w:p>
    <w:p w:rsidR="00CB0DD7" w:rsidRPr="000A0A5F" w:rsidRDefault="00CB0DD7">
      <w:pPr>
        <w:pStyle w:val="PL"/>
      </w:pPr>
      <w:r w:rsidRPr="000A0A5F">
        <w:t xml:space="preserve">          $ref: 'TS29122_CommonData.yaml#/components/responses/411'</w:t>
      </w:r>
    </w:p>
    <w:p w:rsidR="00CB0DD7" w:rsidRPr="000A0A5F" w:rsidRDefault="00CB0DD7">
      <w:pPr>
        <w:pStyle w:val="PL"/>
      </w:pPr>
      <w:r w:rsidRPr="000A0A5F">
        <w:t xml:space="preserve">        '413':</w:t>
      </w:r>
    </w:p>
    <w:p w:rsidR="00CB0DD7" w:rsidRPr="000A0A5F" w:rsidRDefault="00CB0DD7">
      <w:pPr>
        <w:pStyle w:val="PL"/>
      </w:pPr>
      <w:r w:rsidRPr="000A0A5F">
        <w:t xml:space="preserve">          $ref: 'TS29122_CommonData.yaml#/components/responses/413'</w:t>
      </w:r>
    </w:p>
    <w:p w:rsidR="00CB0DD7" w:rsidRPr="000A0A5F" w:rsidRDefault="00CB0DD7">
      <w:pPr>
        <w:pStyle w:val="PL"/>
      </w:pPr>
      <w:r w:rsidRPr="000A0A5F">
        <w:t xml:space="preserve">        '415':</w:t>
      </w:r>
    </w:p>
    <w:p w:rsidR="00CB0DD7" w:rsidRPr="000A0A5F" w:rsidRDefault="00CB0DD7">
      <w:pPr>
        <w:pStyle w:val="PL"/>
      </w:pPr>
      <w:r w:rsidRPr="000A0A5F">
        <w:t xml:space="preserve">          $ref: 'TS29122_CommonData.yaml#/components/responses/415'</w:t>
      </w:r>
    </w:p>
    <w:p w:rsidR="00CB0DD7" w:rsidRPr="000A0A5F" w:rsidRDefault="00CB0DD7">
      <w:pPr>
        <w:pStyle w:val="PL"/>
      </w:pPr>
      <w:r w:rsidRPr="000A0A5F">
        <w:t xml:space="preserve">        '429':</w:t>
      </w:r>
    </w:p>
    <w:p w:rsidR="00CB0DD7" w:rsidRPr="000A0A5F" w:rsidRDefault="00CB0DD7">
      <w:pPr>
        <w:pStyle w:val="PL"/>
      </w:pPr>
      <w:r w:rsidRPr="000A0A5F">
        <w:t xml:space="preserve">          $ref: 'TS29122_CommonData.yaml#/components/responses/429'</w:t>
      </w:r>
    </w:p>
    <w:p w:rsidR="00CB0DD7" w:rsidRPr="000A0A5F" w:rsidRDefault="00CB0DD7">
      <w:pPr>
        <w:pStyle w:val="PL"/>
      </w:pPr>
      <w:r w:rsidRPr="000A0A5F">
        <w:t xml:space="preserve">        '500':</w:t>
      </w:r>
    </w:p>
    <w:p w:rsidR="00CB0DD7" w:rsidRPr="000A0A5F" w:rsidRDefault="00CB0DD7">
      <w:pPr>
        <w:pStyle w:val="PL"/>
      </w:pPr>
      <w:r w:rsidRPr="000A0A5F">
        <w:t xml:space="preserve">          $ref: 'TS29122_CommonData.yaml#/components/responses/500'</w:t>
      </w:r>
    </w:p>
    <w:p w:rsidR="00CB0DD7" w:rsidRPr="000A0A5F" w:rsidRDefault="00CB0DD7">
      <w:pPr>
        <w:pStyle w:val="PL"/>
      </w:pPr>
      <w:r w:rsidRPr="000A0A5F">
        <w:t xml:space="preserve">        '503':</w:t>
      </w:r>
    </w:p>
    <w:p w:rsidR="00CB0DD7" w:rsidRPr="000A0A5F" w:rsidRDefault="00CB0DD7">
      <w:pPr>
        <w:pStyle w:val="PL"/>
      </w:pPr>
      <w:r w:rsidRPr="000A0A5F">
        <w:t xml:space="preserve">          $ref: 'TS29122_CommonData.yaml#/components/responses/503'</w:t>
      </w:r>
    </w:p>
    <w:p w:rsidR="00CB0DD7" w:rsidRPr="000A0A5F" w:rsidRDefault="00CB0DD7">
      <w:pPr>
        <w:pStyle w:val="PL"/>
      </w:pPr>
      <w:r w:rsidRPr="000A0A5F">
        <w:t xml:space="preserve">        default:</w:t>
      </w:r>
    </w:p>
    <w:p w:rsidR="00CB0DD7" w:rsidRPr="000A0A5F" w:rsidRDefault="00CB0DD7">
      <w:pPr>
        <w:pStyle w:val="PL"/>
      </w:pPr>
      <w:r w:rsidRPr="000A0A5F">
        <w:t xml:space="preserve">          $ref: 'TS29122_CommonData.yaml#/components/responses/default'</w:t>
      </w:r>
    </w:p>
    <w:p w:rsidR="00CB0DD7" w:rsidRPr="000A0A5F" w:rsidRDefault="00CB0DD7">
      <w:pPr>
        <w:pStyle w:val="PL"/>
      </w:pPr>
    </w:p>
    <w:p w:rsidR="00CB0DD7" w:rsidRPr="000A0A5F" w:rsidRDefault="00CB0DD7">
      <w:pPr>
        <w:pStyle w:val="PL"/>
      </w:pPr>
      <w:r w:rsidRPr="000A0A5F">
        <w:t xml:space="preserve">  /{scsAsId}/configurations/{configurationId}:</w:t>
      </w:r>
    </w:p>
    <w:p w:rsidR="00CB0DD7" w:rsidRPr="000A0A5F" w:rsidRDefault="00CB0DD7">
      <w:pPr>
        <w:pStyle w:val="PL"/>
      </w:pPr>
      <w:r w:rsidRPr="000A0A5F">
        <w:t xml:space="preserve">    get:</w:t>
      </w:r>
    </w:p>
    <w:p w:rsidR="00CB0DD7" w:rsidRPr="000A0A5F" w:rsidRDefault="00CB0DD7">
      <w:pPr>
        <w:pStyle w:val="PL"/>
      </w:pPr>
      <w:r w:rsidRPr="000A0A5F">
        <w:t xml:space="preserve">      summary: </w:t>
      </w:r>
      <w:r w:rsidR="00AB4F8B" w:rsidRPr="000A0A5F">
        <w:t>R</w:t>
      </w:r>
      <w:r w:rsidRPr="000A0A5F">
        <w:t>ead an active configuration for the SCS/AS and the configuration Id</w:t>
      </w:r>
      <w:r w:rsidR="00AB4F8B" w:rsidRPr="000A0A5F">
        <w:t>.</w:t>
      </w:r>
    </w:p>
    <w:p w:rsidR="00AB4F8B" w:rsidRPr="000A0A5F" w:rsidRDefault="00AB4F8B" w:rsidP="00AB4F8B">
      <w:pPr>
        <w:pStyle w:val="PL"/>
      </w:pPr>
      <w:r w:rsidRPr="000A0A5F">
        <w:t xml:space="preserve">      </w:t>
      </w:r>
      <w:r w:rsidRPr="000A0A5F">
        <w:rPr>
          <w:rFonts w:cs="Courier New"/>
          <w:szCs w:val="16"/>
        </w:rPr>
        <w:t>operationId: FetchInd</w:t>
      </w:r>
      <w:r w:rsidRPr="000A0A5F">
        <w:t>NPConfiguration</w:t>
      </w:r>
    </w:p>
    <w:p w:rsidR="00CB0DD7" w:rsidRPr="000A0A5F" w:rsidRDefault="00CB0DD7">
      <w:pPr>
        <w:pStyle w:val="PL"/>
      </w:pPr>
      <w:r w:rsidRPr="000A0A5F">
        <w:t xml:space="preserve">      tags:</w:t>
      </w:r>
    </w:p>
    <w:p w:rsidR="00CB0DD7" w:rsidRPr="000A0A5F" w:rsidRDefault="00CB0DD7">
      <w:pPr>
        <w:pStyle w:val="PL"/>
      </w:pPr>
      <w:r w:rsidRPr="000A0A5F">
        <w:t xml:space="preserve">        - </w:t>
      </w:r>
      <w:r w:rsidR="00AB4F8B" w:rsidRPr="000A0A5F">
        <w:t xml:space="preserve">Individual </w:t>
      </w:r>
      <w:r w:rsidRPr="000A0A5F">
        <w:t>Np</w:t>
      </w:r>
      <w:r w:rsidR="00AB4F8B" w:rsidRPr="000A0A5F">
        <w:t xml:space="preserve"> </w:t>
      </w:r>
      <w:r w:rsidRPr="000A0A5F">
        <w:t>Configuration</w:t>
      </w:r>
    </w:p>
    <w:p w:rsidR="00CB0DD7" w:rsidRPr="000A0A5F" w:rsidRDefault="00CB0DD7">
      <w:pPr>
        <w:pStyle w:val="PL"/>
      </w:pPr>
      <w:r w:rsidRPr="000A0A5F">
        <w:t xml:space="preserve">      parameters:</w:t>
      </w:r>
    </w:p>
    <w:p w:rsidR="00CB0DD7" w:rsidRPr="000A0A5F" w:rsidRDefault="00CB0DD7">
      <w:pPr>
        <w:pStyle w:val="PL"/>
      </w:pPr>
      <w:r w:rsidRPr="000A0A5F">
        <w:t xml:space="preserve">        - name: scsAsId</w:t>
      </w:r>
    </w:p>
    <w:p w:rsidR="00CB0DD7" w:rsidRPr="000A0A5F" w:rsidRDefault="00CB0DD7">
      <w:pPr>
        <w:pStyle w:val="PL"/>
      </w:pPr>
      <w:r w:rsidRPr="000A0A5F">
        <w:t xml:space="preserve">          in: path</w:t>
      </w:r>
    </w:p>
    <w:p w:rsidR="00CB0DD7" w:rsidRPr="000A0A5F" w:rsidRDefault="00CB0DD7">
      <w:pPr>
        <w:pStyle w:val="PL"/>
      </w:pPr>
      <w:r w:rsidRPr="000A0A5F">
        <w:t xml:space="preserve">          description: Identifier of the SCS/AS</w:t>
      </w:r>
    </w:p>
    <w:p w:rsidR="00CB0DD7" w:rsidRPr="000A0A5F" w:rsidRDefault="00CB0DD7">
      <w:pPr>
        <w:pStyle w:val="PL"/>
      </w:pPr>
      <w:r w:rsidRPr="000A0A5F">
        <w:t xml:space="preserve">          required: true</w:t>
      </w:r>
    </w:p>
    <w:p w:rsidR="00CB0DD7" w:rsidRPr="000A0A5F" w:rsidRDefault="00CB0DD7">
      <w:pPr>
        <w:pStyle w:val="PL"/>
      </w:pPr>
      <w:r w:rsidRPr="000A0A5F">
        <w:t xml:space="preserve">          schema:</w:t>
      </w:r>
    </w:p>
    <w:p w:rsidR="00CB0DD7" w:rsidRPr="000A0A5F" w:rsidRDefault="00CB0DD7">
      <w:pPr>
        <w:pStyle w:val="PL"/>
      </w:pPr>
      <w:r w:rsidRPr="000A0A5F">
        <w:t xml:space="preserve">            type: string</w:t>
      </w:r>
    </w:p>
    <w:p w:rsidR="00CB0DD7" w:rsidRPr="000A0A5F" w:rsidRDefault="00CB0DD7">
      <w:pPr>
        <w:pStyle w:val="PL"/>
      </w:pPr>
      <w:r w:rsidRPr="000A0A5F">
        <w:t xml:space="preserve">        - name: configurationId</w:t>
      </w:r>
    </w:p>
    <w:p w:rsidR="00CB0DD7" w:rsidRPr="000A0A5F" w:rsidRDefault="00CB0DD7">
      <w:pPr>
        <w:pStyle w:val="PL"/>
      </w:pPr>
      <w:r w:rsidRPr="000A0A5F">
        <w:t xml:space="preserve">          in: path</w:t>
      </w:r>
    </w:p>
    <w:p w:rsidR="00CB0DD7" w:rsidRPr="000A0A5F" w:rsidRDefault="00CB0DD7">
      <w:pPr>
        <w:pStyle w:val="PL"/>
      </w:pPr>
      <w:r w:rsidRPr="000A0A5F">
        <w:t xml:space="preserve">          description: Identifier of the configuration resource</w:t>
      </w:r>
    </w:p>
    <w:p w:rsidR="00CB0DD7" w:rsidRPr="000A0A5F" w:rsidRDefault="00CB0DD7">
      <w:pPr>
        <w:pStyle w:val="PL"/>
      </w:pPr>
      <w:r w:rsidRPr="000A0A5F">
        <w:t xml:space="preserve">          required: true</w:t>
      </w:r>
    </w:p>
    <w:p w:rsidR="00CB0DD7" w:rsidRPr="000A0A5F" w:rsidRDefault="00CB0DD7">
      <w:pPr>
        <w:pStyle w:val="PL"/>
      </w:pPr>
      <w:r w:rsidRPr="000A0A5F">
        <w:t xml:space="preserve">          schema:</w:t>
      </w:r>
    </w:p>
    <w:p w:rsidR="00CB0DD7" w:rsidRPr="000A0A5F" w:rsidRDefault="00CB0DD7">
      <w:pPr>
        <w:pStyle w:val="PL"/>
      </w:pPr>
      <w:r w:rsidRPr="000A0A5F">
        <w:t xml:space="preserve">            type: string</w:t>
      </w:r>
    </w:p>
    <w:p w:rsidR="00CB0DD7" w:rsidRPr="000A0A5F" w:rsidRDefault="00CB0DD7">
      <w:pPr>
        <w:pStyle w:val="PL"/>
      </w:pPr>
      <w:r w:rsidRPr="000A0A5F">
        <w:t xml:space="preserve">      responses:</w:t>
      </w:r>
    </w:p>
    <w:p w:rsidR="00CB0DD7" w:rsidRPr="000A0A5F" w:rsidRDefault="00CB0DD7">
      <w:pPr>
        <w:pStyle w:val="PL"/>
      </w:pPr>
      <w:r w:rsidRPr="000A0A5F">
        <w:t xml:space="preserve">        '200':</w:t>
      </w:r>
    </w:p>
    <w:p w:rsidR="00CB0DD7" w:rsidRPr="000A0A5F" w:rsidRDefault="00CB0DD7">
      <w:pPr>
        <w:pStyle w:val="PL"/>
      </w:pPr>
      <w:r w:rsidRPr="000A0A5F">
        <w:t xml:space="preserve">          description: OK (Successful get the active configuration)</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application/json:</w:t>
      </w:r>
    </w:p>
    <w:p w:rsidR="00CB0DD7" w:rsidRPr="000A0A5F" w:rsidRDefault="00CB0DD7">
      <w:pPr>
        <w:pStyle w:val="PL"/>
      </w:pPr>
      <w:r w:rsidRPr="000A0A5F">
        <w:t xml:space="preserve">              schema:</w:t>
      </w:r>
    </w:p>
    <w:p w:rsidR="00CB0DD7" w:rsidRPr="000A0A5F" w:rsidRDefault="00CB0DD7">
      <w:pPr>
        <w:pStyle w:val="PL"/>
      </w:pPr>
      <w:r w:rsidRPr="000A0A5F">
        <w:t xml:space="preserve">                $ref: '#/components/schemas/NpConfiguration'</w:t>
      </w:r>
    </w:p>
    <w:p w:rsidR="00CB0DD7" w:rsidRPr="000A0A5F" w:rsidRDefault="00CB0DD7">
      <w:pPr>
        <w:pStyle w:val="PL"/>
      </w:pPr>
      <w:r w:rsidRPr="000A0A5F">
        <w:t xml:space="preserve">        '307':</w:t>
      </w:r>
    </w:p>
    <w:p w:rsidR="00CB0DD7" w:rsidRPr="000A0A5F" w:rsidRDefault="00CB0DD7">
      <w:pPr>
        <w:pStyle w:val="PL"/>
      </w:pPr>
      <w:r w:rsidRPr="000A0A5F">
        <w:t xml:space="preserve">          $ref: 'TS29122_CommonData.yaml#/components/responses/307'</w:t>
      </w:r>
    </w:p>
    <w:p w:rsidR="00CB0DD7" w:rsidRPr="000A0A5F" w:rsidRDefault="00CB0DD7">
      <w:pPr>
        <w:pStyle w:val="PL"/>
      </w:pPr>
      <w:r w:rsidRPr="000A0A5F">
        <w:t xml:space="preserve">        '308':</w:t>
      </w:r>
    </w:p>
    <w:p w:rsidR="00CB0DD7" w:rsidRPr="000A0A5F" w:rsidRDefault="00CB0DD7">
      <w:pPr>
        <w:pStyle w:val="PL"/>
      </w:pPr>
      <w:r w:rsidRPr="000A0A5F">
        <w:t xml:space="preserve">          $ref: 'TS29122_CommonData.yaml#/components/responses/308'</w:t>
      </w:r>
    </w:p>
    <w:p w:rsidR="00CB0DD7" w:rsidRPr="000A0A5F" w:rsidRDefault="00CB0DD7">
      <w:pPr>
        <w:pStyle w:val="PL"/>
      </w:pPr>
      <w:r w:rsidRPr="000A0A5F">
        <w:t xml:space="preserve">        '400':</w:t>
      </w:r>
    </w:p>
    <w:p w:rsidR="00CB0DD7" w:rsidRPr="000A0A5F" w:rsidRDefault="00CB0DD7">
      <w:pPr>
        <w:pStyle w:val="PL"/>
      </w:pPr>
      <w:r w:rsidRPr="000A0A5F">
        <w:t xml:space="preserve">          $ref: 'TS29122_CommonData.yaml#/components/responses/400'</w:t>
      </w:r>
    </w:p>
    <w:p w:rsidR="00CB0DD7" w:rsidRPr="000A0A5F" w:rsidRDefault="00CB0DD7">
      <w:pPr>
        <w:pStyle w:val="PL"/>
      </w:pPr>
      <w:r w:rsidRPr="000A0A5F">
        <w:t xml:space="preserve">        '401':</w:t>
      </w:r>
    </w:p>
    <w:p w:rsidR="00CB0DD7" w:rsidRPr="000A0A5F" w:rsidRDefault="00CB0DD7">
      <w:pPr>
        <w:pStyle w:val="PL"/>
      </w:pPr>
      <w:r w:rsidRPr="000A0A5F">
        <w:t xml:space="preserve">          $ref: 'TS29122_CommonData.yaml#/components/responses/401'</w:t>
      </w:r>
    </w:p>
    <w:p w:rsidR="00CB0DD7" w:rsidRPr="000A0A5F" w:rsidRDefault="00CB0DD7">
      <w:pPr>
        <w:pStyle w:val="PL"/>
      </w:pPr>
      <w:r w:rsidRPr="000A0A5F">
        <w:t xml:space="preserve">        '403':</w:t>
      </w:r>
    </w:p>
    <w:p w:rsidR="00CB0DD7" w:rsidRPr="000A0A5F" w:rsidRDefault="00CB0DD7">
      <w:pPr>
        <w:pStyle w:val="PL"/>
      </w:pPr>
      <w:r w:rsidRPr="000A0A5F">
        <w:t xml:space="preserve">          $ref: 'TS29122_CommonData.yaml#/components/responses/403'</w:t>
      </w:r>
    </w:p>
    <w:p w:rsidR="00CB0DD7" w:rsidRPr="000A0A5F" w:rsidRDefault="00CB0DD7">
      <w:pPr>
        <w:pStyle w:val="PL"/>
      </w:pPr>
      <w:r w:rsidRPr="000A0A5F">
        <w:t xml:space="preserve">        '404':</w:t>
      </w:r>
    </w:p>
    <w:p w:rsidR="00CB0DD7" w:rsidRPr="000A0A5F" w:rsidRDefault="00CB0DD7">
      <w:pPr>
        <w:pStyle w:val="PL"/>
      </w:pPr>
      <w:r w:rsidRPr="000A0A5F">
        <w:t xml:space="preserve">          $ref: 'TS29122_CommonData.yaml#/components/responses/404'</w:t>
      </w:r>
    </w:p>
    <w:p w:rsidR="00CB0DD7" w:rsidRPr="000A0A5F" w:rsidRDefault="00CB0DD7">
      <w:pPr>
        <w:pStyle w:val="PL"/>
      </w:pPr>
      <w:r w:rsidRPr="000A0A5F">
        <w:t xml:space="preserve">        '406':</w:t>
      </w:r>
    </w:p>
    <w:p w:rsidR="00CB0DD7" w:rsidRPr="000A0A5F" w:rsidRDefault="00CB0DD7">
      <w:pPr>
        <w:pStyle w:val="PL"/>
      </w:pPr>
      <w:r w:rsidRPr="000A0A5F">
        <w:t xml:space="preserve">          $ref: 'TS29122_CommonData.yaml#/components/responses/406'</w:t>
      </w:r>
    </w:p>
    <w:p w:rsidR="00CB0DD7" w:rsidRPr="000A0A5F" w:rsidRDefault="00CB0DD7">
      <w:pPr>
        <w:pStyle w:val="PL"/>
      </w:pPr>
      <w:r w:rsidRPr="000A0A5F">
        <w:t xml:space="preserve">        '429':</w:t>
      </w:r>
    </w:p>
    <w:p w:rsidR="00CB0DD7" w:rsidRPr="000A0A5F" w:rsidRDefault="00CB0DD7">
      <w:pPr>
        <w:pStyle w:val="PL"/>
      </w:pPr>
      <w:r w:rsidRPr="000A0A5F">
        <w:t xml:space="preserve">          $ref: 'TS29122_CommonData.yaml#/components/responses/429'</w:t>
      </w:r>
    </w:p>
    <w:p w:rsidR="00CB0DD7" w:rsidRPr="000A0A5F" w:rsidRDefault="00CB0DD7">
      <w:pPr>
        <w:pStyle w:val="PL"/>
      </w:pPr>
      <w:r w:rsidRPr="000A0A5F">
        <w:t xml:space="preserve">        '500':</w:t>
      </w:r>
    </w:p>
    <w:p w:rsidR="00CB0DD7" w:rsidRPr="000A0A5F" w:rsidRDefault="00CB0DD7">
      <w:pPr>
        <w:pStyle w:val="PL"/>
      </w:pPr>
      <w:r w:rsidRPr="000A0A5F">
        <w:t xml:space="preserve">          $ref: 'TS29122_CommonData.yaml#/components/responses/500'</w:t>
      </w:r>
    </w:p>
    <w:p w:rsidR="00CB0DD7" w:rsidRPr="000A0A5F" w:rsidRDefault="00CB0DD7">
      <w:pPr>
        <w:pStyle w:val="PL"/>
      </w:pPr>
      <w:r w:rsidRPr="000A0A5F">
        <w:t xml:space="preserve">        '503':</w:t>
      </w:r>
    </w:p>
    <w:p w:rsidR="00CB0DD7" w:rsidRPr="000A0A5F" w:rsidRDefault="00CB0DD7">
      <w:pPr>
        <w:pStyle w:val="PL"/>
      </w:pPr>
      <w:r w:rsidRPr="000A0A5F">
        <w:t xml:space="preserve">          $ref: 'TS29122_CommonData.yaml#/components/responses/503'</w:t>
      </w:r>
    </w:p>
    <w:p w:rsidR="00CB0DD7" w:rsidRPr="000A0A5F" w:rsidRDefault="00CB0DD7">
      <w:pPr>
        <w:pStyle w:val="PL"/>
      </w:pPr>
      <w:r w:rsidRPr="000A0A5F">
        <w:t xml:space="preserve">        default:</w:t>
      </w:r>
    </w:p>
    <w:p w:rsidR="00CB0DD7" w:rsidRPr="000A0A5F" w:rsidRDefault="00CB0DD7">
      <w:pPr>
        <w:pStyle w:val="PL"/>
      </w:pPr>
      <w:r w:rsidRPr="000A0A5F">
        <w:t xml:space="preserve">          $ref: 'TS29122_CommonData.yaml#/components/responses/default'</w:t>
      </w:r>
    </w:p>
    <w:p w:rsidR="00CB0DD7" w:rsidRPr="000A0A5F" w:rsidRDefault="00CB0DD7">
      <w:pPr>
        <w:pStyle w:val="PL"/>
      </w:pPr>
    </w:p>
    <w:p w:rsidR="00CB0DD7" w:rsidRPr="000A0A5F" w:rsidRDefault="00CB0DD7">
      <w:pPr>
        <w:pStyle w:val="PL"/>
      </w:pPr>
      <w:r w:rsidRPr="000A0A5F">
        <w:t xml:space="preserve">    put:</w:t>
      </w:r>
    </w:p>
    <w:p w:rsidR="00CB0DD7" w:rsidRPr="000A0A5F" w:rsidRDefault="00CB0DD7">
      <w:pPr>
        <w:pStyle w:val="PL"/>
      </w:pPr>
      <w:r w:rsidRPr="000A0A5F">
        <w:t xml:space="preserve">      summary: Updates/replaces an existing configuration resource</w:t>
      </w:r>
      <w:r w:rsidR="00AB4F8B" w:rsidRPr="000A0A5F">
        <w:t>.</w:t>
      </w:r>
    </w:p>
    <w:p w:rsidR="00AB4F8B" w:rsidRPr="000A0A5F" w:rsidRDefault="00AB4F8B" w:rsidP="00AB4F8B">
      <w:pPr>
        <w:pStyle w:val="PL"/>
      </w:pPr>
      <w:r w:rsidRPr="000A0A5F">
        <w:t xml:space="preserve">      </w:t>
      </w:r>
      <w:r w:rsidRPr="000A0A5F">
        <w:rPr>
          <w:rFonts w:cs="Courier New"/>
          <w:szCs w:val="16"/>
        </w:rPr>
        <w:t>operationId: UpdateInd</w:t>
      </w:r>
      <w:r w:rsidRPr="000A0A5F">
        <w:t>NPConfiguration</w:t>
      </w:r>
    </w:p>
    <w:p w:rsidR="00CB0DD7" w:rsidRPr="000A0A5F" w:rsidRDefault="00CB0DD7">
      <w:pPr>
        <w:pStyle w:val="PL"/>
      </w:pPr>
      <w:r w:rsidRPr="000A0A5F">
        <w:t xml:space="preserve">      tags:</w:t>
      </w:r>
    </w:p>
    <w:p w:rsidR="00CB0DD7" w:rsidRPr="000A0A5F" w:rsidRDefault="00CB0DD7">
      <w:pPr>
        <w:pStyle w:val="PL"/>
      </w:pPr>
      <w:r w:rsidRPr="000A0A5F">
        <w:t xml:space="preserve">        - </w:t>
      </w:r>
      <w:r w:rsidR="00AB4F8B" w:rsidRPr="000A0A5F">
        <w:t xml:space="preserve">Individual </w:t>
      </w:r>
      <w:r w:rsidRPr="000A0A5F">
        <w:t>Np</w:t>
      </w:r>
      <w:r w:rsidR="00AB4F8B" w:rsidRPr="000A0A5F">
        <w:t xml:space="preserve"> </w:t>
      </w:r>
      <w:r w:rsidRPr="000A0A5F">
        <w:t>Configuration</w:t>
      </w:r>
    </w:p>
    <w:p w:rsidR="00CB0DD7" w:rsidRPr="000A0A5F" w:rsidRDefault="00CB0DD7">
      <w:pPr>
        <w:pStyle w:val="PL"/>
      </w:pPr>
      <w:r w:rsidRPr="000A0A5F">
        <w:t xml:space="preserve">      parameters:</w:t>
      </w:r>
    </w:p>
    <w:p w:rsidR="00CB0DD7" w:rsidRPr="000A0A5F" w:rsidRDefault="00CB0DD7">
      <w:pPr>
        <w:pStyle w:val="PL"/>
      </w:pPr>
      <w:r w:rsidRPr="000A0A5F">
        <w:t xml:space="preserve">        - name: scsAsId</w:t>
      </w:r>
    </w:p>
    <w:p w:rsidR="00CB0DD7" w:rsidRPr="000A0A5F" w:rsidRDefault="00CB0DD7">
      <w:pPr>
        <w:pStyle w:val="PL"/>
      </w:pPr>
      <w:r w:rsidRPr="000A0A5F">
        <w:t xml:space="preserve">          in: path</w:t>
      </w:r>
    </w:p>
    <w:p w:rsidR="00CB0DD7" w:rsidRPr="000A0A5F" w:rsidRDefault="00CB0DD7">
      <w:pPr>
        <w:pStyle w:val="PL"/>
      </w:pPr>
      <w:r w:rsidRPr="000A0A5F">
        <w:t xml:space="preserve">          description: Identifier of the SCS/AS</w:t>
      </w:r>
    </w:p>
    <w:p w:rsidR="00CB0DD7" w:rsidRPr="000A0A5F" w:rsidRDefault="00CB0DD7">
      <w:pPr>
        <w:pStyle w:val="PL"/>
      </w:pPr>
      <w:r w:rsidRPr="000A0A5F">
        <w:t xml:space="preserve">          required: true</w:t>
      </w:r>
    </w:p>
    <w:p w:rsidR="00CB0DD7" w:rsidRPr="000A0A5F" w:rsidRDefault="00CB0DD7">
      <w:pPr>
        <w:pStyle w:val="PL"/>
      </w:pPr>
      <w:r w:rsidRPr="000A0A5F">
        <w:t xml:space="preserve">          schema:</w:t>
      </w:r>
    </w:p>
    <w:p w:rsidR="00CB0DD7" w:rsidRPr="000A0A5F" w:rsidRDefault="00CB0DD7">
      <w:pPr>
        <w:pStyle w:val="PL"/>
      </w:pPr>
      <w:r w:rsidRPr="000A0A5F">
        <w:t xml:space="preserve">            type: string</w:t>
      </w:r>
    </w:p>
    <w:p w:rsidR="00CB0DD7" w:rsidRPr="000A0A5F" w:rsidRDefault="00CB0DD7">
      <w:pPr>
        <w:pStyle w:val="PL"/>
      </w:pPr>
      <w:r w:rsidRPr="000A0A5F">
        <w:t xml:space="preserve">        - name: configurationId</w:t>
      </w:r>
    </w:p>
    <w:p w:rsidR="00CB0DD7" w:rsidRPr="000A0A5F" w:rsidRDefault="00CB0DD7">
      <w:pPr>
        <w:pStyle w:val="PL"/>
      </w:pPr>
      <w:r w:rsidRPr="000A0A5F">
        <w:t xml:space="preserve">          in: path</w:t>
      </w:r>
    </w:p>
    <w:p w:rsidR="00CB0DD7" w:rsidRPr="000A0A5F" w:rsidRDefault="00CB0DD7">
      <w:pPr>
        <w:pStyle w:val="PL"/>
      </w:pPr>
      <w:r w:rsidRPr="000A0A5F">
        <w:t xml:space="preserve">          description: Identifier of the configuration resource</w:t>
      </w:r>
    </w:p>
    <w:p w:rsidR="00CB0DD7" w:rsidRPr="000A0A5F" w:rsidRDefault="00CB0DD7">
      <w:pPr>
        <w:pStyle w:val="PL"/>
      </w:pPr>
      <w:r w:rsidRPr="000A0A5F">
        <w:t xml:space="preserve">          required: true</w:t>
      </w:r>
    </w:p>
    <w:p w:rsidR="00CB0DD7" w:rsidRPr="000A0A5F" w:rsidRDefault="00CB0DD7">
      <w:pPr>
        <w:pStyle w:val="PL"/>
      </w:pPr>
      <w:r w:rsidRPr="000A0A5F">
        <w:t xml:space="preserve">          schema:</w:t>
      </w:r>
    </w:p>
    <w:p w:rsidR="00CB0DD7" w:rsidRPr="000A0A5F" w:rsidRDefault="00CB0DD7">
      <w:pPr>
        <w:pStyle w:val="PL"/>
      </w:pPr>
      <w:r w:rsidRPr="000A0A5F">
        <w:t xml:space="preserve">            type: string</w:t>
      </w:r>
    </w:p>
    <w:p w:rsidR="00CB0DD7" w:rsidRPr="000A0A5F" w:rsidRDefault="00CB0DD7">
      <w:pPr>
        <w:pStyle w:val="PL"/>
      </w:pPr>
      <w:r w:rsidRPr="000A0A5F">
        <w:t xml:space="preserve">      requestBody:</w:t>
      </w:r>
    </w:p>
    <w:p w:rsidR="00CB0DD7" w:rsidRPr="000A0A5F" w:rsidRDefault="00CB0DD7">
      <w:pPr>
        <w:pStyle w:val="PL"/>
      </w:pPr>
      <w:r w:rsidRPr="000A0A5F">
        <w:t xml:space="preserve">        description: Parameters to update/replace the existing configuration</w:t>
      </w:r>
    </w:p>
    <w:p w:rsidR="00CB0DD7" w:rsidRPr="000A0A5F" w:rsidRDefault="00CB0DD7">
      <w:pPr>
        <w:pStyle w:val="PL"/>
      </w:pPr>
      <w:r w:rsidRPr="000A0A5F">
        <w:t xml:space="preserve">        required: true</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application/json:</w:t>
      </w:r>
    </w:p>
    <w:p w:rsidR="00CB0DD7" w:rsidRPr="000A0A5F" w:rsidRDefault="00CB0DD7">
      <w:pPr>
        <w:pStyle w:val="PL"/>
      </w:pPr>
      <w:r w:rsidRPr="000A0A5F">
        <w:t xml:space="preserve">            schema:</w:t>
      </w:r>
    </w:p>
    <w:p w:rsidR="00CB0DD7" w:rsidRPr="000A0A5F" w:rsidRDefault="00CB0DD7">
      <w:pPr>
        <w:pStyle w:val="PL"/>
      </w:pPr>
      <w:r w:rsidRPr="000A0A5F">
        <w:t xml:space="preserve">              $ref: '#/components/schemas/NpConfiguration'</w:t>
      </w:r>
    </w:p>
    <w:p w:rsidR="00CB0DD7" w:rsidRPr="000A0A5F" w:rsidRDefault="00CB0DD7">
      <w:pPr>
        <w:pStyle w:val="PL"/>
      </w:pPr>
      <w:r w:rsidRPr="000A0A5F">
        <w:t xml:space="preserve">      responses:</w:t>
      </w:r>
    </w:p>
    <w:p w:rsidR="00CB0DD7" w:rsidRPr="000A0A5F" w:rsidRDefault="00CB0DD7">
      <w:pPr>
        <w:pStyle w:val="PL"/>
      </w:pPr>
      <w:r w:rsidRPr="000A0A5F">
        <w:t xml:space="preserve">        '200':</w:t>
      </w:r>
    </w:p>
    <w:p w:rsidR="00CB0DD7" w:rsidRPr="000A0A5F" w:rsidRDefault="00CB0DD7">
      <w:pPr>
        <w:pStyle w:val="PL"/>
      </w:pPr>
      <w:r w:rsidRPr="000A0A5F">
        <w:t xml:space="preserve">          description: OK (Successful update of the existing configuration)</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application/json:</w:t>
      </w:r>
    </w:p>
    <w:p w:rsidR="00CB0DD7" w:rsidRPr="000A0A5F" w:rsidRDefault="00CB0DD7">
      <w:pPr>
        <w:pStyle w:val="PL"/>
      </w:pPr>
      <w:r w:rsidRPr="000A0A5F">
        <w:t xml:space="preserve">              schema:</w:t>
      </w:r>
    </w:p>
    <w:p w:rsidR="00CB0DD7" w:rsidRPr="000A0A5F" w:rsidRDefault="00CB0DD7">
      <w:pPr>
        <w:pStyle w:val="PL"/>
      </w:pPr>
      <w:r w:rsidRPr="000A0A5F">
        <w:t xml:space="preserve">                $ref: '#/components/schemas/NpConfiguration'</w:t>
      </w:r>
    </w:p>
    <w:p w:rsidR="00CB0DD7" w:rsidRPr="000A0A5F" w:rsidRDefault="00CB0DD7">
      <w:pPr>
        <w:pStyle w:val="PL"/>
      </w:pPr>
      <w:r w:rsidRPr="000A0A5F">
        <w:t xml:space="preserve">        '204':</w:t>
      </w:r>
    </w:p>
    <w:p w:rsidR="00CB0DD7" w:rsidRPr="000A0A5F" w:rsidRDefault="00CB0DD7">
      <w:pPr>
        <w:pStyle w:val="PL"/>
      </w:pPr>
      <w:r w:rsidRPr="000A0A5F">
        <w:t xml:space="preserve">          description: No Content (Successful update of the configuration)</w:t>
      </w:r>
    </w:p>
    <w:p w:rsidR="00CB0DD7" w:rsidRPr="000A0A5F" w:rsidRDefault="00CB0DD7">
      <w:pPr>
        <w:pStyle w:val="PL"/>
      </w:pPr>
      <w:r w:rsidRPr="000A0A5F">
        <w:t xml:space="preserve">        '307':</w:t>
      </w:r>
    </w:p>
    <w:p w:rsidR="00CB0DD7" w:rsidRPr="000A0A5F" w:rsidRDefault="00CB0DD7">
      <w:pPr>
        <w:pStyle w:val="PL"/>
      </w:pPr>
      <w:r w:rsidRPr="000A0A5F">
        <w:t xml:space="preserve">          $ref: 'TS29122_CommonData.yaml#/components/responses/307'</w:t>
      </w:r>
    </w:p>
    <w:p w:rsidR="00CB0DD7" w:rsidRPr="000A0A5F" w:rsidRDefault="00CB0DD7">
      <w:pPr>
        <w:pStyle w:val="PL"/>
      </w:pPr>
      <w:r w:rsidRPr="000A0A5F">
        <w:t xml:space="preserve">        '308':</w:t>
      </w:r>
    </w:p>
    <w:p w:rsidR="00CB0DD7" w:rsidRPr="000A0A5F" w:rsidRDefault="00CB0DD7">
      <w:pPr>
        <w:pStyle w:val="PL"/>
      </w:pPr>
      <w:r w:rsidRPr="000A0A5F">
        <w:t xml:space="preserve">          $ref: 'TS29122_CommonData.yaml#/components/responses/308'</w:t>
      </w:r>
    </w:p>
    <w:p w:rsidR="00CB0DD7" w:rsidRPr="000A0A5F" w:rsidRDefault="00CB0DD7">
      <w:pPr>
        <w:pStyle w:val="PL"/>
      </w:pPr>
      <w:r w:rsidRPr="000A0A5F">
        <w:t xml:space="preserve">        '400':</w:t>
      </w:r>
    </w:p>
    <w:p w:rsidR="00CB0DD7" w:rsidRPr="000A0A5F" w:rsidRDefault="00CB0DD7">
      <w:pPr>
        <w:pStyle w:val="PL"/>
      </w:pPr>
      <w:r w:rsidRPr="000A0A5F">
        <w:t xml:space="preserve">          $ref: 'TS29122_CommonData.yaml#/components/responses/400'</w:t>
      </w:r>
    </w:p>
    <w:p w:rsidR="00CB0DD7" w:rsidRPr="000A0A5F" w:rsidRDefault="00CB0DD7">
      <w:pPr>
        <w:pStyle w:val="PL"/>
      </w:pPr>
      <w:r w:rsidRPr="000A0A5F">
        <w:t xml:space="preserve">        '401':</w:t>
      </w:r>
    </w:p>
    <w:p w:rsidR="00CB0DD7" w:rsidRPr="000A0A5F" w:rsidRDefault="00CB0DD7">
      <w:pPr>
        <w:pStyle w:val="PL"/>
      </w:pPr>
      <w:r w:rsidRPr="000A0A5F">
        <w:t xml:space="preserve">          $ref: 'TS29122_CommonData.yaml#/components/responses/401'</w:t>
      </w:r>
    </w:p>
    <w:p w:rsidR="00CB0DD7" w:rsidRPr="000A0A5F" w:rsidRDefault="00CB0DD7">
      <w:pPr>
        <w:pStyle w:val="PL"/>
      </w:pPr>
      <w:r w:rsidRPr="000A0A5F">
        <w:t xml:space="preserve">        '403':</w:t>
      </w:r>
    </w:p>
    <w:p w:rsidR="00CB0DD7" w:rsidRPr="000A0A5F" w:rsidRDefault="00CB0DD7">
      <w:pPr>
        <w:pStyle w:val="PL"/>
      </w:pPr>
      <w:r w:rsidRPr="000A0A5F">
        <w:t xml:space="preserve">          $ref: 'TS29122_CommonData.yaml#/components/responses/403'</w:t>
      </w:r>
    </w:p>
    <w:p w:rsidR="00CB0DD7" w:rsidRPr="000A0A5F" w:rsidRDefault="00CB0DD7">
      <w:pPr>
        <w:pStyle w:val="PL"/>
      </w:pPr>
      <w:r w:rsidRPr="000A0A5F">
        <w:t xml:space="preserve">        '404':</w:t>
      </w:r>
    </w:p>
    <w:p w:rsidR="00CB0DD7" w:rsidRPr="000A0A5F" w:rsidRDefault="00CB0DD7">
      <w:pPr>
        <w:pStyle w:val="PL"/>
      </w:pPr>
      <w:r w:rsidRPr="000A0A5F">
        <w:t xml:space="preserve">          $ref: 'TS29122_CommonData.yaml#/components/responses/404'</w:t>
      </w:r>
    </w:p>
    <w:p w:rsidR="00CB0DD7" w:rsidRPr="000A0A5F" w:rsidRDefault="00CB0DD7">
      <w:pPr>
        <w:pStyle w:val="PL"/>
      </w:pPr>
      <w:r w:rsidRPr="000A0A5F">
        <w:t xml:space="preserve">        '411':</w:t>
      </w:r>
    </w:p>
    <w:p w:rsidR="00CB0DD7" w:rsidRPr="000A0A5F" w:rsidRDefault="00CB0DD7">
      <w:pPr>
        <w:pStyle w:val="PL"/>
      </w:pPr>
      <w:r w:rsidRPr="000A0A5F">
        <w:t xml:space="preserve">          $ref: 'TS29122_CommonData.yaml#/components/responses/411'</w:t>
      </w:r>
    </w:p>
    <w:p w:rsidR="00CB0DD7" w:rsidRPr="000A0A5F" w:rsidRDefault="00CB0DD7">
      <w:pPr>
        <w:pStyle w:val="PL"/>
      </w:pPr>
      <w:r w:rsidRPr="000A0A5F">
        <w:t xml:space="preserve">        '413':</w:t>
      </w:r>
    </w:p>
    <w:p w:rsidR="00CB0DD7" w:rsidRPr="000A0A5F" w:rsidRDefault="00CB0DD7">
      <w:pPr>
        <w:pStyle w:val="PL"/>
      </w:pPr>
      <w:r w:rsidRPr="000A0A5F">
        <w:t xml:space="preserve">          $ref: 'TS29122_CommonData.yaml#/components/responses/413'</w:t>
      </w:r>
    </w:p>
    <w:p w:rsidR="00CB0DD7" w:rsidRPr="000A0A5F" w:rsidRDefault="00CB0DD7">
      <w:pPr>
        <w:pStyle w:val="PL"/>
      </w:pPr>
      <w:r w:rsidRPr="000A0A5F">
        <w:t xml:space="preserve">        '415':</w:t>
      </w:r>
    </w:p>
    <w:p w:rsidR="00CB0DD7" w:rsidRPr="000A0A5F" w:rsidRDefault="00CB0DD7">
      <w:pPr>
        <w:pStyle w:val="PL"/>
      </w:pPr>
      <w:r w:rsidRPr="000A0A5F">
        <w:t xml:space="preserve">          $ref: 'TS29122_CommonData.yaml#/components/responses/415'</w:t>
      </w:r>
    </w:p>
    <w:p w:rsidR="00CB0DD7" w:rsidRPr="000A0A5F" w:rsidRDefault="00CB0DD7">
      <w:pPr>
        <w:pStyle w:val="PL"/>
      </w:pPr>
      <w:r w:rsidRPr="000A0A5F">
        <w:t xml:space="preserve">        '429':</w:t>
      </w:r>
    </w:p>
    <w:p w:rsidR="00CB0DD7" w:rsidRPr="000A0A5F" w:rsidRDefault="00CB0DD7">
      <w:pPr>
        <w:pStyle w:val="PL"/>
      </w:pPr>
      <w:r w:rsidRPr="000A0A5F">
        <w:t xml:space="preserve">          $ref: 'TS29122_CommonData.yaml#/components/responses/429'</w:t>
      </w:r>
    </w:p>
    <w:p w:rsidR="00CB0DD7" w:rsidRPr="000A0A5F" w:rsidRDefault="00CB0DD7">
      <w:pPr>
        <w:pStyle w:val="PL"/>
      </w:pPr>
      <w:r w:rsidRPr="000A0A5F">
        <w:t xml:space="preserve">        '500':</w:t>
      </w:r>
    </w:p>
    <w:p w:rsidR="00CB0DD7" w:rsidRPr="000A0A5F" w:rsidRDefault="00CB0DD7">
      <w:pPr>
        <w:pStyle w:val="PL"/>
      </w:pPr>
      <w:r w:rsidRPr="000A0A5F">
        <w:t xml:space="preserve">          $ref: 'TS29122_CommonData.yaml#/components/responses/500'</w:t>
      </w:r>
    </w:p>
    <w:p w:rsidR="00CB0DD7" w:rsidRPr="000A0A5F" w:rsidRDefault="00CB0DD7">
      <w:pPr>
        <w:pStyle w:val="PL"/>
      </w:pPr>
      <w:r w:rsidRPr="000A0A5F">
        <w:t xml:space="preserve">        '503':</w:t>
      </w:r>
    </w:p>
    <w:p w:rsidR="00CB0DD7" w:rsidRPr="000A0A5F" w:rsidRDefault="00CB0DD7">
      <w:pPr>
        <w:pStyle w:val="PL"/>
      </w:pPr>
      <w:r w:rsidRPr="000A0A5F">
        <w:t xml:space="preserve">          $ref: 'TS29122_CommonData.yaml#/components/responses/503'</w:t>
      </w:r>
    </w:p>
    <w:p w:rsidR="00CB0DD7" w:rsidRPr="000A0A5F" w:rsidRDefault="00CB0DD7">
      <w:pPr>
        <w:pStyle w:val="PL"/>
      </w:pPr>
      <w:r w:rsidRPr="000A0A5F">
        <w:t xml:space="preserve">        default:</w:t>
      </w:r>
    </w:p>
    <w:p w:rsidR="00CB0DD7" w:rsidRPr="000A0A5F" w:rsidRDefault="00CB0DD7">
      <w:pPr>
        <w:pStyle w:val="PL"/>
      </w:pPr>
      <w:r w:rsidRPr="000A0A5F">
        <w:t xml:space="preserve">          $ref: 'TS29122_CommonData.yaml#/components/responses/default'</w:t>
      </w:r>
    </w:p>
    <w:p w:rsidR="00CB0DD7" w:rsidRPr="000A0A5F" w:rsidRDefault="00CB0DD7">
      <w:pPr>
        <w:pStyle w:val="PL"/>
      </w:pPr>
    </w:p>
    <w:p w:rsidR="00CB0DD7" w:rsidRPr="000A0A5F" w:rsidRDefault="00CB0DD7">
      <w:pPr>
        <w:pStyle w:val="PL"/>
      </w:pPr>
      <w:r w:rsidRPr="000A0A5F">
        <w:t xml:space="preserve">    patch:</w:t>
      </w:r>
    </w:p>
    <w:p w:rsidR="00CB0DD7" w:rsidRPr="000A0A5F" w:rsidRDefault="00CB0DD7">
      <w:pPr>
        <w:pStyle w:val="PL"/>
      </w:pPr>
      <w:r w:rsidRPr="000A0A5F">
        <w:t xml:space="preserve">      summary: Updates/replaces an existing configuration resource</w:t>
      </w:r>
      <w:r w:rsidR="00AB4F8B" w:rsidRPr="000A0A5F">
        <w:t>.</w:t>
      </w:r>
    </w:p>
    <w:p w:rsidR="00AB4F8B" w:rsidRPr="000A0A5F" w:rsidRDefault="00AB4F8B" w:rsidP="00AB4F8B">
      <w:pPr>
        <w:pStyle w:val="PL"/>
      </w:pPr>
      <w:r w:rsidRPr="000A0A5F">
        <w:t xml:space="preserve">      </w:t>
      </w:r>
      <w:r w:rsidRPr="000A0A5F">
        <w:rPr>
          <w:rFonts w:cs="Courier New"/>
          <w:szCs w:val="16"/>
        </w:rPr>
        <w:t>operationId: ModifyInd</w:t>
      </w:r>
      <w:r w:rsidRPr="000A0A5F">
        <w:t>NPConfiguration</w:t>
      </w:r>
    </w:p>
    <w:p w:rsidR="00CB0DD7" w:rsidRPr="000A0A5F" w:rsidRDefault="00CB0DD7">
      <w:pPr>
        <w:pStyle w:val="PL"/>
      </w:pPr>
      <w:r w:rsidRPr="000A0A5F">
        <w:t xml:space="preserve">      tags:</w:t>
      </w:r>
    </w:p>
    <w:p w:rsidR="00CB0DD7" w:rsidRPr="000A0A5F" w:rsidRDefault="00CB0DD7">
      <w:pPr>
        <w:pStyle w:val="PL"/>
      </w:pPr>
      <w:r w:rsidRPr="000A0A5F">
        <w:t xml:space="preserve">        - </w:t>
      </w:r>
      <w:r w:rsidR="00AB4F8B" w:rsidRPr="000A0A5F">
        <w:t xml:space="preserve">Individual </w:t>
      </w:r>
      <w:r w:rsidRPr="000A0A5F">
        <w:t>Np</w:t>
      </w:r>
      <w:r w:rsidR="00AB4F8B" w:rsidRPr="000A0A5F">
        <w:t xml:space="preserve"> </w:t>
      </w:r>
      <w:r w:rsidRPr="000A0A5F">
        <w:t>Configuration</w:t>
      </w:r>
    </w:p>
    <w:p w:rsidR="00CB0DD7" w:rsidRPr="000A0A5F" w:rsidRDefault="00CB0DD7">
      <w:pPr>
        <w:pStyle w:val="PL"/>
      </w:pPr>
      <w:r w:rsidRPr="000A0A5F">
        <w:t xml:space="preserve">      parameters:</w:t>
      </w:r>
    </w:p>
    <w:p w:rsidR="00CB0DD7" w:rsidRPr="000A0A5F" w:rsidRDefault="00CB0DD7">
      <w:pPr>
        <w:pStyle w:val="PL"/>
      </w:pPr>
      <w:r w:rsidRPr="000A0A5F">
        <w:t xml:space="preserve">        - name: scsAsId</w:t>
      </w:r>
    </w:p>
    <w:p w:rsidR="00CB0DD7" w:rsidRPr="000A0A5F" w:rsidRDefault="00CB0DD7">
      <w:pPr>
        <w:pStyle w:val="PL"/>
      </w:pPr>
      <w:r w:rsidRPr="000A0A5F">
        <w:t xml:space="preserve">          in: path</w:t>
      </w:r>
    </w:p>
    <w:p w:rsidR="00CB0DD7" w:rsidRPr="000A0A5F" w:rsidRDefault="00CB0DD7">
      <w:pPr>
        <w:pStyle w:val="PL"/>
      </w:pPr>
      <w:r w:rsidRPr="000A0A5F">
        <w:t xml:space="preserve">          description: Identifier of the SCS/AS</w:t>
      </w:r>
    </w:p>
    <w:p w:rsidR="00CB0DD7" w:rsidRPr="000A0A5F" w:rsidRDefault="00CB0DD7">
      <w:pPr>
        <w:pStyle w:val="PL"/>
      </w:pPr>
      <w:r w:rsidRPr="000A0A5F">
        <w:t xml:space="preserve">          required: true</w:t>
      </w:r>
    </w:p>
    <w:p w:rsidR="00CB0DD7" w:rsidRPr="000A0A5F" w:rsidRDefault="00CB0DD7">
      <w:pPr>
        <w:pStyle w:val="PL"/>
      </w:pPr>
      <w:r w:rsidRPr="000A0A5F">
        <w:t xml:space="preserve">          schema:</w:t>
      </w:r>
    </w:p>
    <w:p w:rsidR="00CB0DD7" w:rsidRPr="000A0A5F" w:rsidRDefault="00CB0DD7">
      <w:pPr>
        <w:pStyle w:val="PL"/>
      </w:pPr>
      <w:r w:rsidRPr="000A0A5F">
        <w:t xml:space="preserve">            type: string</w:t>
      </w:r>
    </w:p>
    <w:p w:rsidR="00CB0DD7" w:rsidRPr="000A0A5F" w:rsidRDefault="00CB0DD7">
      <w:pPr>
        <w:pStyle w:val="PL"/>
      </w:pPr>
      <w:r w:rsidRPr="000A0A5F">
        <w:t xml:space="preserve">        - name: configurationId</w:t>
      </w:r>
    </w:p>
    <w:p w:rsidR="00CB0DD7" w:rsidRPr="000A0A5F" w:rsidRDefault="00CB0DD7">
      <w:pPr>
        <w:pStyle w:val="PL"/>
      </w:pPr>
      <w:r w:rsidRPr="000A0A5F">
        <w:t xml:space="preserve">          in: path</w:t>
      </w:r>
    </w:p>
    <w:p w:rsidR="00CB0DD7" w:rsidRPr="000A0A5F" w:rsidRDefault="00CB0DD7">
      <w:pPr>
        <w:pStyle w:val="PL"/>
      </w:pPr>
      <w:r w:rsidRPr="000A0A5F">
        <w:t xml:space="preserve">          description: Identifier of the configuration resource</w:t>
      </w:r>
    </w:p>
    <w:p w:rsidR="00CB0DD7" w:rsidRPr="000A0A5F" w:rsidRDefault="00CB0DD7">
      <w:pPr>
        <w:pStyle w:val="PL"/>
      </w:pPr>
      <w:r w:rsidRPr="000A0A5F">
        <w:t xml:space="preserve">          required: true</w:t>
      </w:r>
    </w:p>
    <w:p w:rsidR="00CB0DD7" w:rsidRPr="000A0A5F" w:rsidRDefault="00CB0DD7">
      <w:pPr>
        <w:pStyle w:val="PL"/>
      </w:pPr>
      <w:r w:rsidRPr="000A0A5F">
        <w:t xml:space="preserve">          schema:</w:t>
      </w:r>
    </w:p>
    <w:p w:rsidR="00CB0DD7" w:rsidRPr="000A0A5F" w:rsidRDefault="00CB0DD7">
      <w:pPr>
        <w:pStyle w:val="PL"/>
      </w:pPr>
      <w:r w:rsidRPr="000A0A5F">
        <w:t xml:space="preserve">            type: string</w:t>
      </w:r>
    </w:p>
    <w:p w:rsidR="00CB0DD7" w:rsidRPr="000A0A5F" w:rsidRDefault="00CB0DD7">
      <w:pPr>
        <w:pStyle w:val="PL"/>
      </w:pPr>
      <w:r w:rsidRPr="000A0A5F">
        <w:t xml:space="preserve">      requestBody:</w:t>
      </w:r>
    </w:p>
    <w:p w:rsidR="00CB0DD7" w:rsidRPr="000A0A5F" w:rsidRDefault="00CB0DD7">
      <w:pPr>
        <w:pStyle w:val="PL"/>
      </w:pPr>
      <w:r w:rsidRPr="000A0A5F">
        <w:t xml:space="preserve">        required: true</w:t>
      </w:r>
    </w:p>
    <w:p w:rsidR="00CB0DD7" w:rsidRPr="000A0A5F" w:rsidRDefault="00CB0DD7">
      <w:pPr>
        <w:pStyle w:val="PL"/>
      </w:pPr>
      <w:r w:rsidRPr="000A0A5F">
        <w:t xml:space="preserve">        content:</w:t>
      </w:r>
    </w:p>
    <w:p w:rsidR="00CB0DD7" w:rsidRPr="000A0A5F" w:rsidRDefault="00CB0DD7">
      <w:pPr>
        <w:pStyle w:val="PL"/>
      </w:pPr>
      <w:r w:rsidRPr="000A0A5F">
        <w:t xml:space="preserve">          </w:t>
      </w:r>
      <w:r w:rsidRPr="000A0A5F">
        <w:rPr>
          <w:lang w:val="en-US"/>
        </w:rPr>
        <w:t>application/merge-patch+json</w:t>
      </w:r>
      <w:r w:rsidRPr="000A0A5F">
        <w:t>:</w:t>
      </w:r>
    </w:p>
    <w:p w:rsidR="00CB0DD7" w:rsidRPr="000A0A5F" w:rsidRDefault="00CB0DD7">
      <w:pPr>
        <w:pStyle w:val="PL"/>
      </w:pPr>
      <w:r w:rsidRPr="000A0A5F">
        <w:t xml:space="preserve">            schema:</w:t>
      </w:r>
    </w:p>
    <w:p w:rsidR="00CB0DD7" w:rsidRPr="000A0A5F" w:rsidRDefault="00CB0DD7">
      <w:pPr>
        <w:pStyle w:val="PL"/>
      </w:pPr>
      <w:r w:rsidRPr="000A0A5F">
        <w:t xml:space="preserve">              $ref: '#/components/schemas/NpConfigurationPatch'</w:t>
      </w:r>
    </w:p>
    <w:p w:rsidR="00CB0DD7" w:rsidRPr="000A0A5F" w:rsidRDefault="00CB0DD7">
      <w:pPr>
        <w:pStyle w:val="PL"/>
      </w:pPr>
      <w:r w:rsidRPr="000A0A5F">
        <w:t xml:space="preserve">      responses:</w:t>
      </w:r>
    </w:p>
    <w:p w:rsidR="00CB0DD7" w:rsidRPr="000A0A5F" w:rsidRDefault="00CB0DD7">
      <w:pPr>
        <w:pStyle w:val="PL"/>
      </w:pPr>
      <w:r w:rsidRPr="000A0A5F">
        <w:t xml:space="preserve">        '200':</w:t>
      </w:r>
    </w:p>
    <w:p w:rsidR="00CB0DD7" w:rsidRPr="000A0A5F" w:rsidRDefault="00CB0DD7">
      <w:pPr>
        <w:pStyle w:val="PL"/>
      </w:pPr>
      <w:r w:rsidRPr="000A0A5F">
        <w:t xml:space="preserve">          description: OK. The configuration was modified successfully.</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application/json:</w:t>
      </w:r>
    </w:p>
    <w:p w:rsidR="00CB0DD7" w:rsidRPr="000A0A5F" w:rsidRDefault="00CB0DD7">
      <w:pPr>
        <w:pStyle w:val="PL"/>
      </w:pPr>
      <w:r w:rsidRPr="000A0A5F">
        <w:t xml:space="preserve">              schema:</w:t>
      </w:r>
    </w:p>
    <w:p w:rsidR="00CB0DD7" w:rsidRPr="000A0A5F" w:rsidRDefault="00CB0DD7">
      <w:pPr>
        <w:pStyle w:val="PL"/>
      </w:pPr>
      <w:r w:rsidRPr="000A0A5F">
        <w:t xml:space="preserve">                $ref: '#/components/schemas/NpConfiguration'</w:t>
      </w:r>
    </w:p>
    <w:p w:rsidR="00CB0DD7" w:rsidRPr="000A0A5F" w:rsidRDefault="00CB0DD7">
      <w:pPr>
        <w:pStyle w:val="PL"/>
      </w:pPr>
      <w:r w:rsidRPr="000A0A5F">
        <w:t xml:space="preserve">        '204':</w:t>
      </w:r>
    </w:p>
    <w:p w:rsidR="00CB0DD7" w:rsidRPr="000A0A5F" w:rsidRDefault="00CB0DD7">
      <w:pPr>
        <w:pStyle w:val="PL"/>
      </w:pPr>
      <w:r w:rsidRPr="000A0A5F">
        <w:t xml:space="preserve">          description: No Content. The configuration was modified successfully.</w:t>
      </w:r>
    </w:p>
    <w:p w:rsidR="00CB0DD7" w:rsidRPr="000A0A5F" w:rsidRDefault="00CB0DD7">
      <w:pPr>
        <w:pStyle w:val="PL"/>
      </w:pPr>
      <w:r w:rsidRPr="000A0A5F">
        <w:t xml:space="preserve">        '307':</w:t>
      </w:r>
    </w:p>
    <w:p w:rsidR="00CB0DD7" w:rsidRPr="000A0A5F" w:rsidRDefault="00CB0DD7">
      <w:pPr>
        <w:pStyle w:val="PL"/>
      </w:pPr>
      <w:r w:rsidRPr="000A0A5F">
        <w:t xml:space="preserve">          $ref: 'TS29122_CommonData.yaml#/components/responses/307'</w:t>
      </w:r>
    </w:p>
    <w:p w:rsidR="00CB0DD7" w:rsidRPr="000A0A5F" w:rsidRDefault="00CB0DD7">
      <w:pPr>
        <w:pStyle w:val="PL"/>
      </w:pPr>
      <w:r w:rsidRPr="000A0A5F">
        <w:t xml:space="preserve">        '308':</w:t>
      </w:r>
    </w:p>
    <w:p w:rsidR="00CB0DD7" w:rsidRPr="000A0A5F" w:rsidRDefault="00CB0DD7">
      <w:pPr>
        <w:pStyle w:val="PL"/>
      </w:pPr>
      <w:r w:rsidRPr="000A0A5F">
        <w:t xml:space="preserve">          $ref: 'TS29122_CommonData.yaml#/components/responses/308'</w:t>
      </w:r>
    </w:p>
    <w:p w:rsidR="00CB0DD7" w:rsidRPr="000A0A5F" w:rsidRDefault="00CB0DD7">
      <w:pPr>
        <w:pStyle w:val="PL"/>
      </w:pPr>
      <w:r w:rsidRPr="000A0A5F">
        <w:t xml:space="preserve">        '400':</w:t>
      </w:r>
    </w:p>
    <w:p w:rsidR="00CB0DD7" w:rsidRPr="000A0A5F" w:rsidRDefault="00CB0DD7">
      <w:pPr>
        <w:pStyle w:val="PL"/>
      </w:pPr>
      <w:r w:rsidRPr="000A0A5F">
        <w:t xml:space="preserve">          $ref: 'TS29122_CommonData.yaml#/components/responses/400'</w:t>
      </w:r>
    </w:p>
    <w:p w:rsidR="00CB0DD7" w:rsidRPr="000A0A5F" w:rsidRDefault="00CB0DD7">
      <w:pPr>
        <w:pStyle w:val="PL"/>
      </w:pPr>
      <w:r w:rsidRPr="000A0A5F">
        <w:t xml:space="preserve">        '401':</w:t>
      </w:r>
    </w:p>
    <w:p w:rsidR="00CB0DD7" w:rsidRPr="000A0A5F" w:rsidRDefault="00CB0DD7">
      <w:pPr>
        <w:pStyle w:val="PL"/>
      </w:pPr>
      <w:r w:rsidRPr="000A0A5F">
        <w:t xml:space="preserve">          $ref: 'TS29122_CommonData.yaml#/components/responses/401'</w:t>
      </w:r>
    </w:p>
    <w:p w:rsidR="00CB0DD7" w:rsidRPr="000A0A5F" w:rsidRDefault="00CB0DD7">
      <w:pPr>
        <w:pStyle w:val="PL"/>
      </w:pPr>
      <w:r w:rsidRPr="000A0A5F">
        <w:t xml:space="preserve">        '403':</w:t>
      </w:r>
    </w:p>
    <w:p w:rsidR="00CB0DD7" w:rsidRPr="000A0A5F" w:rsidRDefault="00CB0DD7">
      <w:pPr>
        <w:pStyle w:val="PL"/>
      </w:pPr>
      <w:r w:rsidRPr="000A0A5F">
        <w:t xml:space="preserve">          $ref: 'TS29122_CommonData.yaml#/components/responses/403'</w:t>
      </w:r>
    </w:p>
    <w:p w:rsidR="00CB0DD7" w:rsidRPr="000A0A5F" w:rsidRDefault="00CB0DD7">
      <w:pPr>
        <w:pStyle w:val="PL"/>
      </w:pPr>
      <w:r w:rsidRPr="000A0A5F">
        <w:t xml:space="preserve">        '404':</w:t>
      </w:r>
    </w:p>
    <w:p w:rsidR="00CB0DD7" w:rsidRPr="000A0A5F" w:rsidRDefault="00CB0DD7">
      <w:pPr>
        <w:pStyle w:val="PL"/>
      </w:pPr>
      <w:r w:rsidRPr="000A0A5F">
        <w:t xml:space="preserve">          $ref: 'TS29122_CommonData.yaml#/components/responses/404'</w:t>
      </w:r>
    </w:p>
    <w:p w:rsidR="00CB0DD7" w:rsidRPr="000A0A5F" w:rsidRDefault="00CB0DD7">
      <w:pPr>
        <w:pStyle w:val="PL"/>
      </w:pPr>
      <w:r w:rsidRPr="000A0A5F">
        <w:t xml:space="preserve">        '411':</w:t>
      </w:r>
    </w:p>
    <w:p w:rsidR="00CB0DD7" w:rsidRPr="000A0A5F" w:rsidRDefault="00CB0DD7">
      <w:pPr>
        <w:pStyle w:val="PL"/>
      </w:pPr>
      <w:r w:rsidRPr="000A0A5F">
        <w:t xml:space="preserve">          $ref: 'TS29122_CommonData.yaml#/components/responses/411'</w:t>
      </w:r>
    </w:p>
    <w:p w:rsidR="00CB0DD7" w:rsidRPr="000A0A5F" w:rsidRDefault="00CB0DD7">
      <w:pPr>
        <w:pStyle w:val="PL"/>
      </w:pPr>
      <w:r w:rsidRPr="000A0A5F">
        <w:t xml:space="preserve">        '413':</w:t>
      </w:r>
    </w:p>
    <w:p w:rsidR="00CB0DD7" w:rsidRPr="000A0A5F" w:rsidRDefault="00CB0DD7">
      <w:pPr>
        <w:pStyle w:val="PL"/>
      </w:pPr>
      <w:r w:rsidRPr="000A0A5F">
        <w:t xml:space="preserve">          $ref: 'TS29122_CommonData.yaml#/components/responses/413'</w:t>
      </w:r>
    </w:p>
    <w:p w:rsidR="00CB0DD7" w:rsidRPr="000A0A5F" w:rsidRDefault="00CB0DD7">
      <w:pPr>
        <w:pStyle w:val="PL"/>
      </w:pPr>
      <w:r w:rsidRPr="000A0A5F">
        <w:t xml:space="preserve">        '415':</w:t>
      </w:r>
    </w:p>
    <w:p w:rsidR="00CB0DD7" w:rsidRPr="000A0A5F" w:rsidRDefault="00CB0DD7">
      <w:pPr>
        <w:pStyle w:val="PL"/>
      </w:pPr>
      <w:r w:rsidRPr="000A0A5F">
        <w:t xml:space="preserve">          $ref: 'TS29122_CommonData.yaml#/components/responses/415'</w:t>
      </w:r>
    </w:p>
    <w:p w:rsidR="00CB0DD7" w:rsidRPr="000A0A5F" w:rsidRDefault="00CB0DD7">
      <w:pPr>
        <w:pStyle w:val="PL"/>
      </w:pPr>
      <w:r w:rsidRPr="000A0A5F">
        <w:t xml:space="preserve">        '429':</w:t>
      </w:r>
    </w:p>
    <w:p w:rsidR="00CB0DD7" w:rsidRPr="000A0A5F" w:rsidRDefault="00CB0DD7">
      <w:pPr>
        <w:pStyle w:val="PL"/>
      </w:pPr>
      <w:r w:rsidRPr="000A0A5F">
        <w:t xml:space="preserve">          $ref: 'TS29122_CommonData.yaml#/components/responses/429'</w:t>
      </w:r>
    </w:p>
    <w:p w:rsidR="00CB0DD7" w:rsidRPr="000A0A5F" w:rsidRDefault="00CB0DD7">
      <w:pPr>
        <w:pStyle w:val="PL"/>
      </w:pPr>
      <w:r w:rsidRPr="000A0A5F">
        <w:t xml:space="preserve">        '500':</w:t>
      </w:r>
    </w:p>
    <w:p w:rsidR="00CB0DD7" w:rsidRPr="000A0A5F" w:rsidRDefault="00CB0DD7">
      <w:pPr>
        <w:pStyle w:val="PL"/>
      </w:pPr>
      <w:r w:rsidRPr="000A0A5F">
        <w:t xml:space="preserve">          $ref: 'TS29122_CommonData.yaml#/components/responses/500'</w:t>
      </w:r>
    </w:p>
    <w:p w:rsidR="00CB0DD7" w:rsidRPr="000A0A5F" w:rsidRDefault="00CB0DD7">
      <w:pPr>
        <w:pStyle w:val="PL"/>
      </w:pPr>
      <w:r w:rsidRPr="000A0A5F">
        <w:t xml:space="preserve">        '503':</w:t>
      </w:r>
    </w:p>
    <w:p w:rsidR="00CB0DD7" w:rsidRPr="000A0A5F" w:rsidRDefault="00CB0DD7">
      <w:pPr>
        <w:pStyle w:val="PL"/>
      </w:pPr>
      <w:r w:rsidRPr="000A0A5F">
        <w:t xml:space="preserve">          $ref: 'TS29122_CommonData.yaml#/components/responses/503'</w:t>
      </w:r>
    </w:p>
    <w:p w:rsidR="00CB0DD7" w:rsidRPr="000A0A5F" w:rsidRDefault="00CB0DD7">
      <w:pPr>
        <w:pStyle w:val="PL"/>
      </w:pPr>
      <w:r w:rsidRPr="000A0A5F">
        <w:t xml:space="preserve">        default:</w:t>
      </w:r>
    </w:p>
    <w:p w:rsidR="00CB0DD7" w:rsidRPr="000A0A5F" w:rsidRDefault="00CB0DD7">
      <w:pPr>
        <w:pStyle w:val="PL"/>
      </w:pPr>
      <w:r w:rsidRPr="000A0A5F">
        <w:t xml:space="preserve">          $ref: 'TS29122_CommonData.yaml#/components/responses/default'</w:t>
      </w:r>
    </w:p>
    <w:p w:rsidR="00CB0DD7" w:rsidRPr="000A0A5F" w:rsidRDefault="00CB0DD7">
      <w:pPr>
        <w:pStyle w:val="PL"/>
      </w:pPr>
    </w:p>
    <w:p w:rsidR="00CB0DD7" w:rsidRPr="000A0A5F" w:rsidRDefault="00CB0DD7">
      <w:pPr>
        <w:pStyle w:val="PL"/>
      </w:pPr>
      <w:r w:rsidRPr="000A0A5F">
        <w:t xml:space="preserve">    delete:</w:t>
      </w:r>
    </w:p>
    <w:p w:rsidR="00CB0DD7" w:rsidRPr="000A0A5F" w:rsidRDefault="00CB0DD7">
      <w:pPr>
        <w:pStyle w:val="PL"/>
      </w:pPr>
      <w:r w:rsidRPr="000A0A5F">
        <w:t xml:space="preserve">      summary: Deletes an already existing configuration</w:t>
      </w:r>
      <w:r w:rsidR="00AB4F8B" w:rsidRPr="000A0A5F">
        <w:t>.</w:t>
      </w:r>
    </w:p>
    <w:p w:rsidR="00AB4F8B" w:rsidRPr="000A0A5F" w:rsidRDefault="00AB4F8B" w:rsidP="00AB4F8B">
      <w:pPr>
        <w:pStyle w:val="PL"/>
      </w:pPr>
      <w:r w:rsidRPr="000A0A5F">
        <w:t xml:space="preserve">      </w:t>
      </w:r>
      <w:r w:rsidRPr="000A0A5F">
        <w:rPr>
          <w:rFonts w:cs="Courier New"/>
          <w:szCs w:val="16"/>
        </w:rPr>
        <w:t>operationId: DeleteInd</w:t>
      </w:r>
      <w:r w:rsidRPr="000A0A5F">
        <w:t>NPConfiguration</w:t>
      </w:r>
    </w:p>
    <w:p w:rsidR="00CB0DD7" w:rsidRPr="000A0A5F" w:rsidRDefault="00CB0DD7">
      <w:pPr>
        <w:pStyle w:val="PL"/>
      </w:pPr>
      <w:r w:rsidRPr="000A0A5F">
        <w:t xml:space="preserve">      tags:</w:t>
      </w:r>
    </w:p>
    <w:p w:rsidR="00CB0DD7" w:rsidRPr="000A0A5F" w:rsidRDefault="00CB0DD7">
      <w:pPr>
        <w:pStyle w:val="PL"/>
      </w:pPr>
      <w:r w:rsidRPr="000A0A5F">
        <w:t xml:space="preserve">        - </w:t>
      </w:r>
      <w:bookmarkStart w:id="10438" w:name="_Hlk83679708"/>
      <w:r w:rsidR="00AB4F8B" w:rsidRPr="000A0A5F">
        <w:t>Individual</w:t>
      </w:r>
      <w:bookmarkEnd w:id="10438"/>
      <w:r w:rsidR="00AB4F8B" w:rsidRPr="000A0A5F">
        <w:t xml:space="preserve"> </w:t>
      </w:r>
      <w:r w:rsidRPr="000A0A5F">
        <w:t>Np</w:t>
      </w:r>
      <w:r w:rsidR="00AB4F8B" w:rsidRPr="000A0A5F">
        <w:t xml:space="preserve"> </w:t>
      </w:r>
      <w:r w:rsidRPr="000A0A5F">
        <w:t>Configuration</w:t>
      </w:r>
    </w:p>
    <w:p w:rsidR="00CB0DD7" w:rsidRPr="000A0A5F" w:rsidRDefault="00CB0DD7">
      <w:pPr>
        <w:pStyle w:val="PL"/>
      </w:pPr>
      <w:r w:rsidRPr="000A0A5F">
        <w:t xml:space="preserve">      parameters:</w:t>
      </w:r>
    </w:p>
    <w:p w:rsidR="00CB0DD7" w:rsidRPr="000A0A5F" w:rsidRDefault="00CB0DD7">
      <w:pPr>
        <w:pStyle w:val="PL"/>
      </w:pPr>
      <w:r w:rsidRPr="000A0A5F">
        <w:t xml:space="preserve">        - name: scsAsId</w:t>
      </w:r>
    </w:p>
    <w:p w:rsidR="00CB0DD7" w:rsidRPr="000A0A5F" w:rsidRDefault="00CB0DD7">
      <w:pPr>
        <w:pStyle w:val="PL"/>
      </w:pPr>
      <w:r w:rsidRPr="000A0A5F">
        <w:t xml:space="preserve">          in: path</w:t>
      </w:r>
    </w:p>
    <w:p w:rsidR="00CB0DD7" w:rsidRPr="000A0A5F" w:rsidRDefault="00CB0DD7">
      <w:pPr>
        <w:pStyle w:val="PL"/>
      </w:pPr>
      <w:r w:rsidRPr="000A0A5F">
        <w:t xml:space="preserve">          description: Identifier of the SCS/AS</w:t>
      </w:r>
    </w:p>
    <w:p w:rsidR="00CB0DD7" w:rsidRPr="000A0A5F" w:rsidRDefault="00CB0DD7">
      <w:pPr>
        <w:pStyle w:val="PL"/>
      </w:pPr>
      <w:r w:rsidRPr="000A0A5F">
        <w:t xml:space="preserve">          required: true</w:t>
      </w:r>
    </w:p>
    <w:p w:rsidR="00CB0DD7" w:rsidRPr="000A0A5F" w:rsidRDefault="00CB0DD7">
      <w:pPr>
        <w:pStyle w:val="PL"/>
      </w:pPr>
      <w:r w:rsidRPr="000A0A5F">
        <w:t xml:space="preserve">          schema:</w:t>
      </w:r>
    </w:p>
    <w:p w:rsidR="00CB0DD7" w:rsidRPr="000A0A5F" w:rsidRDefault="00CB0DD7">
      <w:pPr>
        <w:pStyle w:val="PL"/>
      </w:pPr>
      <w:r w:rsidRPr="000A0A5F">
        <w:t xml:space="preserve">            type: string</w:t>
      </w:r>
    </w:p>
    <w:p w:rsidR="00CB0DD7" w:rsidRPr="000A0A5F" w:rsidRDefault="00CB0DD7">
      <w:pPr>
        <w:pStyle w:val="PL"/>
      </w:pPr>
      <w:r w:rsidRPr="000A0A5F">
        <w:t xml:space="preserve">        - name: configurationId</w:t>
      </w:r>
    </w:p>
    <w:p w:rsidR="00CB0DD7" w:rsidRPr="000A0A5F" w:rsidRDefault="00CB0DD7">
      <w:pPr>
        <w:pStyle w:val="PL"/>
      </w:pPr>
      <w:r w:rsidRPr="000A0A5F">
        <w:t xml:space="preserve">          in: path</w:t>
      </w:r>
    </w:p>
    <w:p w:rsidR="00CB0DD7" w:rsidRPr="000A0A5F" w:rsidRDefault="00CB0DD7">
      <w:pPr>
        <w:pStyle w:val="PL"/>
      </w:pPr>
      <w:r w:rsidRPr="000A0A5F">
        <w:t xml:space="preserve">          description: Identifier of the configuration resource</w:t>
      </w:r>
    </w:p>
    <w:p w:rsidR="00CB0DD7" w:rsidRPr="000A0A5F" w:rsidRDefault="00CB0DD7">
      <w:pPr>
        <w:pStyle w:val="PL"/>
      </w:pPr>
      <w:r w:rsidRPr="000A0A5F">
        <w:t xml:space="preserve">          required: true</w:t>
      </w:r>
    </w:p>
    <w:p w:rsidR="00CB0DD7" w:rsidRPr="000A0A5F" w:rsidRDefault="00CB0DD7">
      <w:pPr>
        <w:pStyle w:val="PL"/>
      </w:pPr>
      <w:r w:rsidRPr="000A0A5F">
        <w:t xml:space="preserve">          schema:</w:t>
      </w:r>
    </w:p>
    <w:p w:rsidR="00CB0DD7" w:rsidRPr="000A0A5F" w:rsidRDefault="00CB0DD7">
      <w:pPr>
        <w:pStyle w:val="PL"/>
      </w:pPr>
      <w:r w:rsidRPr="000A0A5F">
        <w:t xml:space="preserve">            type: string</w:t>
      </w:r>
    </w:p>
    <w:p w:rsidR="00CB0DD7" w:rsidRPr="000A0A5F" w:rsidRDefault="00CB0DD7">
      <w:pPr>
        <w:pStyle w:val="PL"/>
      </w:pPr>
      <w:r w:rsidRPr="000A0A5F">
        <w:t xml:space="preserve">      responses:</w:t>
      </w:r>
    </w:p>
    <w:p w:rsidR="00CB0DD7" w:rsidRPr="000A0A5F" w:rsidRDefault="00CB0DD7">
      <w:pPr>
        <w:pStyle w:val="PL"/>
      </w:pPr>
      <w:r w:rsidRPr="000A0A5F">
        <w:t xml:space="preserve">        '204':</w:t>
      </w:r>
    </w:p>
    <w:p w:rsidR="00CB0DD7" w:rsidRPr="000A0A5F" w:rsidRDefault="00CB0DD7">
      <w:pPr>
        <w:pStyle w:val="PL"/>
      </w:pPr>
      <w:r w:rsidRPr="000A0A5F">
        <w:t xml:space="preserve">          description: No Content (Successful deletion of the existing configuration)</w:t>
      </w:r>
    </w:p>
    <w:p w:rsidR="00CB0DD7" w:rsidRPr="000A0A5F" w:rsidRDefault="00CB0DD7">
      <w:pPr>
        <w:pStyle w:val="PL"/>
      </w:pPr>
      <w:r w:rsidRPr="000A0A5F">
        <w:t xml:space="preserve">        '200':</w:t>
      </w:r>
    </w:p>
    <w:p w:rsidR="00CB0DD7" w:rsidRPr="000A0A5F" w:rsidRDefault="00CB0DD7">
      <w:pPr>
        <w:pStyle w:val="PL"/>
      </w:pPr>
      <w:r w:rsidRPr="000A0A5F">
        <w:t xml:space="preserve">          description: OK. (Successful deletion of the existing configuration)</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application/json:</w:t>
      </w:r>
    </w:p>
    <w:p w:rsidR="00CB0DD7" w:rsidRPr="000A0A5F" w:rsidRDefault="00CB0DD7">
      <w:pPr>
        <w:pStyle w:val="PL"/>
      </w:pPr>
      <w:r w:rsidRPr="000A0A5F">
        <w:t xml:space="preserve">              schema:</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$ref: 'TS29122_CommonData.yaml#/components/schemas/ConfigResult'</w:t>
      </w:r>
    </w:p>
    <w:p w:rsidR="00CB0DD7" w:rsidRPr="000A0A5F" w:rsidRDefault="00CB0DD7">
      <w:pPr>
        <w:pStyle w:val="PL"/>
      </w:pPr>
      <w:r w:rsidRPr="000A0A5F">
        <w:t xml:space="preserve">                minItems: 1</w:t>
      </w:r>
    </w:p>
    <w:p w:rsidR="00CB0DD7" w:rsidRPr="000A0A5F" w:rsidRDefault="00CB0DD7">
      <w:pPr>
        <w:pStyle w:val="PL"/>
      </w:pPr>
      <w:r w:rsidRPr="000A0A5F">
        <w:t xml:space="preserve">                description: The configuration was terminated successfully, the configuration failure information for group members shall be included if received</w:t>
      </w:r>
      <w:r w:rsidRPr="000A0A5F">
        <w:rPr>
          <w:lang w:eastAsia="zh-CN"/>
        </w:rPr>
        <w:t>.</w:t>
      </w:r>
    </w:p>
    <w:p w:rsidR="00CB0DD7" w:rsidRPr="000A0A5F" w:rsidRDefault="00CB0DD7">
      <w:pPr>
        <w:pStyle w:val="PL"/>
      </w:pPr>
      <w:r w:rsidRPr="000A0A5F">
        <w:t xml:space="preserve">        '307':</w:t>
      </w:r>
    </w:p>
    <w:p w:rsidR="00CB0DD7" w:rsidRPr="000A0A5F" w:rsidRDefault="00CB0DD7">
      <w:pPr>
        <w:pStyle w:val="PL"/>
      </w:pPr>
      <w:r w:rsidRPr="000A0A5F">
        <w:t xml:space="preserve">          $ref: 'TS29122_CommonData.yaml#/components/responses/307'</w:t>
      </w:r>
    </w:p>
    <w:p w:rsidR="00CB0DD7" w:rsidRPr="000A0A5F" w:rsidRDefault="00CB0DD7">
      <w:pPr>
        <w:pStyle w:val="PL"/>
      </w:pPr>
      <w:r w:rsidRPr="000A0A5F">
        <w:t xml:space="preserve">        '308':</w:t>
      </w:r>
    </w:p>
    <w:p w:rsidR="00CB0DD7" w:rsidRPr="000A0A5F" w:rsidRDefault="00CB0DD7">
      <w:pPr>
        <w:pStyle w:val="PL"/>
      </w:pPr>
      <w:r w:rsidRPr="000A0A5F">
        <w:t xml:space="preserve">          $ref: 'TS29122_CommonData.yaml#/components/responses/308'</w:t>
      </w:r>
    </w:p>
    <w:p w:rsidR="00CB0DD7" w:rsidRPr="000A0A5F" w:rsidRDefault="00CB0DD7">
      <w:pPr>
        <w:pStyle w:val="PL"/>
      </w:pPr>
      <w:r w:rsidRPr="000A0A5F">
        <w:t xml:space="preserve">        '400':</w:t>
      </w:r>
    </w:p>
    <w:p w:rsidR="00CB0DD7" w:rsidRPr="000A0A5F" w:rsidRDefault="00CB0DD7">
      <w:pPr>
        <w:pStyle w:val="PL"/>
      </w:pPr>
      <w:r w:rsidRPr="000A0A5F">
        <w:t xml:space="preserve">          $ref: 'TS29122_CommonData.yaml#/components/responses/400'</w:t>
      </w:r>
    </w:p>
    <w:p w:rsidR="00CB0DD7" w:rsidRPr="000A0A5F" w:rsidRDefault="00CB0DD7">
      <w:pPr>
        <w:pStyle w:val="PL"/>
      </w:pPr>
      <w:r w:rsidRPr="000A0A5F">
        <w:t xml:space="preserve">        '401':</w:t>
      </w:r>
    </w:p>
    <w:p w:rsidR="00CB0DD7" w:rsidRPr="000A0A5F" w:rsidRDefault="00CB0DD7">
      <w:pPr>
        <w:pStyle w:val="PL"/>
      </w:pPr>
      <w:r w:rsidRPr="000A0A5F">
        <w:t xml:space="preserve">          $ref: 'TS29122_CommonData.yaml#/components/responses/401'</w:t>
      </w:r>
    </w:p>
    <w:p w:rsidR="00CB0DD7" w:rsidRPr="000A0A5F" w:rsidRDefault="00CB0DD7">
      <w:pPr>
        <w:pStyle w:val="PL"/>
      </w:pPr>
      <w:r w:rsidRPr="000A0A5F">
        <w:t xml:space="preserve">        '403':</w:t>
      </w:r>
    </w:p>
    <w:p w:rsidR="00CB0DD7" w:rsidRPr="000A0A5F" w:rsidRDefault="00CB0DD7">
      <w:pPr>
        <w:pStyle w:val="PL"/>
      </w:pPr>
      <w:r w:rsidRPr="000A0A5F">
        <w:t xml:space="preserve">          $ref: 'TS29122_CommonData.yaml#/components/responses/403'</w:t>
      </w:r>
    </w:p>
    <w:p w:rsidR="00CB0DD7" w:rsidRPr="000A0A5F" w:rsidRDefault="00CB0DD7">
      <w:pPr>
        <w:pStyle w:val="PL"/>
      </w:pPr>
      <w:r w:rsidRPr="000A0A5F">
        <w:t xml:space="preserve">        '404':</w:t>
      </w:r>
    </w:p>
    <w:p w:rsidR="00CB0DD7" w:rsidRPr="000A0A5F" w:rsidRDefault="00CB0DD7">
      <w:pPr>
        <w:pStyle w:val="PL"/>
      </w:pPr>
      <w:r w:rsidRPr="000A0A5F">
        <w:t xml:space="preserve">          $ref: 'TS29122_CommonData.yaml#/components/responses/404'</w:t>
      </w:r>
    </w:p>
    <w:p w:rsidR="00CB0DD7" w:rsidRPr="000A0A5F" w:rsidRDefault="00CB0DD7">
      <w:pPr>
        <w:pStyle w:val="PL"/>
      </w:pPr>
      <w:r w:rsidRPr="000A0A5F">
        <w:t xml:space="preserve">        '429':</w:t>
      </w:r>
    </w:p>
    <w:p w:rsidR="00CB0DD7" w:rsidRPr="000A0A5F" w:rsidRDefault="00CB0DD7">
      <w:pPr>
        <w:pStyle w:val="PL"/>
      </w:pPr>
      <w:r w:rsidRPr="000A0A5F">
        <w:t xml:space="preserve">          $ref: 'TS29122_CommonData.yaml#/components/responses/429'</w:t>
      </w:r>
    </w:p>
    <w:p w:rsidR="00CB0DD7" w:rsidRPr="000A0A5F" w:rsidRDefault="00CB0DD7">
      <w:pPr>
        <w:pStyle w:val="PL"/>
      </w:pPr>
      <w:r w:rsidRPr="000A0A5F">
        <w:t xml:space="preserve">        '500':</w:t>
      </w:r>
    </w:p>
    <w:p w:rsidR="00CB0DD7" w:rsidRPr="000A0A5F" w:rsidRDefault="00CB0DD7">
      <w:pPr>
        <w:pStyle w:val="PL"/>
      </w:pPr>
      <w:r w:rsidRPr="000A0A5F">
        <w:t xml:space="preserve">          $ref: 'TS29122_CommonData.yaml#/components/responses/500'</w:t>
      </w:r>
    </w:p>
    <w:p w:rsidR="00CB0DD7" w:rsidRPr="000A0A5F" w:rsidRDefault="00CB0DD7">
      <w:pPr>
        <w:pStyle w:val="PL"/>
      </w:pPr>
      <w:r w:rsidRPr="000A0A5F">
        <w:t xml:space="preserve">        '503':</w:t>
      </w:r>
    </w:p>
    <w:p w:rsidR="00CB0DD7" w:rsidRPr="000A0A5F" w:rsidRDefault="00CB0DD7">
      <w:pPr>
        <w:pStyle w:val="PL"/>
      </w:pPr>
      <w:r w:rsidRPr="000A0A5F">
        <w:t xml:space="preserve">          $ref: 'TS29122_CommonData.yaml#/components/responses/503'</w:t>
      </w:r>
    </w:p>
    <w:p w:rsidR="00CB0DD7" w:rsidRPr="000A0A5F" w:rsidRDefault="00CB0DD7">
      <w:pPr>
        <w:pStyle w:val="PL"/>
      </w:pPr>
      <w:r w:rsidRPr="000A0A5F">
        <w:t xml:space="preserve">        default:</w:t>
      </w:r>
    </w:p>
    <w:p w:rsidR="00CB0DD7" w:rsidRPr="000A0A5F" w:rsidRDefault="00CB0DD7">
      <w:pPr>
        <w:pStyle w:val="PL"/>
      </w:pPr>
      <w:r w:rsidRPr="000A0A5F">
        <w:t xml:space="preserve">          $ref: 'TS29122_CommonData.yaml#/components/responses/default'</w:t>
      </w:r>
    </w:p>
    <w:p w:rsidR="00CB0DD7" w:rsidRPr="000A0A5F" w:rsidRDefault="00CB0DD7">
      <w:pPr>
        <w:pStyle w:val="PL"/>
      </w:pPr>
      <w:r w:rsidRPr="000A0A5F">
        <w:t>components:</w:t>
      </w:r>
    </w:p>
    <w:p w:rsidR="00CB0DD7" w:rsidRPr="000A0A5F" w:rsidRDefault="00CB0DD7">
      <w:pPr>
        <w:pStyle w:val="PL"/>
        <w:rPr>
          <w:lang w:val="en-US"/>
        </w:rPr>
      </w:pPr>
      <w:r w:rsidRPr="000A0A5F">
        <w:rPr>
          <w:lang w:val="en-US"/>
        </w:rPr>
        <w:t xml:space="preserve">  securitySchemes:</w:t>
      </w:r>
    </w:p>
    <w:p w:rsidR="00CB0DD7" w:rsidRPr="000A0A5F" w:rsidRDefault="00CB0DD7">
      <w:pPr>
        <w:pStyle w:val="PL"/>
        <w:rPr>
          <w:lang w:val="en-US"/>
        </w:rPr>
      </w:pPr>
      <w:r w:rsidRPr="000A0A5F">
        <w:rPr>
          <w:lang w:val="en-US"/>
        </w:rPr>
        <w:t xml:space="preserve">    oAuth2ClientCredentials:</w:t>
      </w:r>
    </w:p>
    <w:p w:rsidR="00CB0DD7" w:rsidRPr="000A0A5F" w:rsidRDefault="00CB0DD7">
      <w:pPr>
        <w:pStyle w:val="PL"/>
        <w:rPr>
          <w:lang w:val="en-US"/>
        </w:rPr>
      </w:pPr>
      <w:r w:rsidRPr="000A0A5F">
        <w:rPr>
          <w:lang w:val="en-US"/>
        </w:rPr>
        <w:t xml:space="preserve">      type: oauth2</w:t>
      </w:r>
    </w:p>
    <w:p w:rsidR="00CB0DD7" w:rsidRPr="000A0A5F" w:rsidRDefault="00CB0DD7">
      <w:pPr>
        <w:pStyle w:val="PL"/>
        <w:rPr>
          <w:lang w:val="en-US"/>
        </w:rPr>
      </w:pPr>
      <w:r w:rsidRPr="000A0A5F">
        <w:rPr>
          <w:lang w:val="en-US"/>
        </w:rPr>
        <w:t xml:space="preserve">      flows:</w:t>
      </w:r>
    </w:p>
    <w:p w:rsidR="00CB0DD7" w:rsidRPr="000A0A5F" w:rsidRDefault="00CB0DD7">
      <w:pPr>
        <w:pStyle w:val="PL"/>
        <w:rPr>
          <w:lang w:val="en-US"/>
        </w:rPr>
      </w:pPr>
      <w:r w:rsidRPr="000A0A5F">
        <w:rPr>
          <w:lang w:val="en-US"/>
        </w:rPr>
        <w:t xml:space="preserve">        clientCredentials:</w:t>
      </w:r>
    </w:p>
    <w:p w:rsidR="00CB0DD7" w:rsidRPr="000A0A5F" w:rsidRDefault="00CB0DD7">
      <w:pPr>
        <w:pStyle w:val="PL"/>
        <w:rPr>
          <w:lang w:val="en-US"/>
        </w:rPr>
      </w:pPr>
      <w:r w:rsidRPr="000A0A5F">
        <w:rPr>
          <w:lang w:val="en-US"/>
        </w:rPr>
        <w:t xml:space="preserve">          tokenUrl: '{tokenUrl}'</w:t>
      </w:r>
    </w:p>
    <w:p w:rsidR="00CB0DD7" w:rsidRPr="000A0A5F" w:rsidRDefault="00CB0DD7">
      <w:pPr>
        <w:pStyle w:val="PL"/>
        <w:rPr>
          <w:lang w:val="en-US"/>
        </w:rPr>
      </w:pPr>
      <w:r w:rsidRPr="000A0A5F">
        <w:rPr>
          <w:lang w:val="en-US"/>
        </w:rPr>
        <w:t xml:space="preserve">          scopes: {}</w:t>
      </w:r>
    </w:p>
    <w:p w:rsidR="00CB0DD7" w:rsidRPr="000A0A5F" w:rsidRDefault="00CB0DD7">
      <w:pPr>
        <w:pStyle w:val="PL"/>
        <w:rPr>
          <w:lang w:eastAsia="zh-CN"/>
        </w:rPr>
      </w:pPr>
      <w:r w:rsidRPr="000A0A5F">
        <w:t xml:space="preserve">  schemas: </w:t>
      </w:r>
    </w:p>
    <w:p w:rsidR="00CB0DD7" w:rsidRPr="000A0A5F" w:rsidRDefault="00CB0DD7">
      <w:pPr>
        <w:pStyle w:val="PL"/>
      </w:pPr>
      <w:r w:rsidRPr="000A0A5F">
        <w:t xml:space="preserve">    NpConfiguration:</w:t>
      </w:r>
    </w:p>
    <w:p w:rsidR="00CB0DD7" w:rsidRPr="000A0A5F" w:rsidRDefault="00CB0DD7">
      <w:pPr>
        <w:pStyle w:val="PL"/>
      </w:pPr>
      <w:r w:rsidRPr="000A0A5F">
        <w:t xml:space="preserve">      description: Represents a network parameters configuration.</w:t>
      </w:r>
    </w:p>
    <w:p w:rsidR="00CB0DD7" w:rsidRPr="000A0A5F" w:rsidRDefault="00CB0DD7">
      <w:pPr>
        <w:pStyle w:val="PL"/>
      </w:pPr>
      <w:r w:rsidRPr="000A0A5F">
        <w:t xml:space="preserve">      type: object</w:t>
      </w:r>
    </w:p>
    <w:p w:rsidR="00CB0DD7" w:rsidRPr="000A0A5F" w:rsidRDefault="00CB0DD7">
      <w:pPr>
        <w:pStyle w:val="PL"/>
      </w:pPr>
      <w:r w:rsidRPr="000A0A5F">
        <w:t xml:space="preserve">      properties:</w:t>
      </w:r>
    </w:p>
    <w:p w:rsidR="00CB0DD7" w:rsidRPr="000A0A5F" w:rsidRDefault="00CB0DD7">
      <w:pPr>
        <w:pStyle w:val="PL"/>
      </w:pPr>
      <w:r w:rsidRPr="000A0A5F">
        <w:t xml:space="preserve">        self:</w:t>
      </w:r>
    </w:p>
    <w:p w:rsidR="00CB0DD7" w:rsidRPr="000A0A5F" w:rsidRDefault="00CB0DD7">
      <w:pPr>
        <w:pStyle w:val="PL"/>
      </w:pPr>
      <w:r w:rsidRPr="000A0A5F">
        <w:t xml:space="preserve">          $ref: 'TS29122_CommonData.yaml#/components/schemas/Link'</w:t>
      </w:r>
    </w:p>
    <w:p w:rsidR="00CB0DD7" w:rsidRPr="000A0A5F" w:rsidRDefault="00CB0DD7">
      <w:pPr>
        <w:pStyle w:val="PL"/>
      </w:pPr>
      <w:r w:rsidRPr="000A0A5F">
        <w:t xml:space="preserve">        </w:t>
      </w:r>
      <w:r w:rsidRPr="000A0A5F">
        <w:rPr>
          <w:lang w:eastAsia="zh-CN"/>
        </w:rPr>
        <w:t>supportedFeatures</w:t>
      </w:r>
      <w:r w:rsidRPr="000A0A5F">
        <w:t>:</w:t>
      </w:r>
    </w:p>
    <w:p w:rsidR="00CB0DD7" w:rsidRPr="000A0A5F" w:rsidRDefault="00CB0DD7">
      <w:pPr>
        <w:pStyle w:val="PL"/>
      </w:pPr>
      <w:r w:rsidRPr="000A0A5F">
        <w:t xml:space="preserve">          $ref: 'TS29571_CommonData.yaml#/components/schemas/</w:t>
      </w:r>
      <w:r w:rsidRPr="000A0A5F">
        <w:rPr>
          <w:lang w:eastAsia="zh-CN"/>
        </w:rPr>
        <w:t>SupportedFeatures</w:t>
      </w:r>
      <w:r w:rsidRPr="000A0A5F">
        <w:t>'</w:t>
      </w:r>
    </w:p>
    <w:p w:rsidR="00CB0DD7" w:rsidRPr="000A0A5F" w:rsidRDefault="00CB0DD7">
      <w:pPr>
        <w:pStyle w:val="PL"/>
      </w:pPr>
      <w:r w:rsidRPr="000A0A5F">
        <w:t xml:space="preserve">        mtcProviderId:</w:t>
      </w:r>
    </w:p>
    <w:p w:rsidR="00CB0DD7" w:rsidRPr="000A0A5F" w:rsidRDefault="00CB0DD7">
      <w:pPr>
        <w:pStyle w:val="PL"/>
      </w:pPr>
      <w:r w:rsidRPr="000A0A5F">
        <w:t xml:space="preserve">          type: string</w:t>
      </w:r>
    </w:p>
    <w:p w:rsidR="00CB0DD7" w:rsidRPr="000A0A5F" w:rsidRDefault="00CB0DD7">
      <w:pPr>
        <w:pStyle w:val="PL"/>
      </w:pPr>
      <w:r w:rsidRPr="000A0A5F">
        <w:t xml:space="preserve">          description: Identifies the MTC Service Provider and/or MTC Application.</w:t>
      </w:r>
    </w:p>
    <w:p w:rsidR="00F2786F" w:rsidRPr="000A0A5F" w:rsidRDefault="00F2786F" w:rsidP="00F2786F">
      <w:pPr>
        <w:pStyle w:val="PL"/>
      </w:pPr>
      <w:r w:rsidRPr="000A0A5F">
        <w:t xml:space="preserve">        dnn:</w:t>
      </w:r>
    </w:p>
    <w:p w:rsidR="00F2786F" w:rsidRPr="000A0A5F" w:rsidRDefault="00F2786F" w:rsidP="00F2786F">
      <w:pPr>
        <w:pStyle w:val="PL"/>
      </w:pPr>
      <w:r w:rsidRPr="000A0A5F">
        <w:t xml:space="preserve">          $ref: 'TS29571_CommonData.yaml#/components/schemas/Dnn'</w:t>
      </w:r>
    </w:p>
    <w:p w:rsidR="00CB0DD7" w:rsidRPr="000A0A5F" w:rsidRDefault="00CB0DD7">
      <w:pPr>
        <w:pStyle w:val="PL"/>
      </w:pPr>
      <w:r w:rsidRPr="000A0A5F">
        <w:t xml:space="preserve">        externalId:</w:t>
      </w:r>
    </w:p>
    <w:p w:rsidR="00CB0DD7" w:rsidRPr="000A0A5F" w:rsidRDefault="00CB0DD7">
      <w:pPr>
        <w:pStyle w:val="PL"/>
      </w:pPr>
      <w:r w:rsidRPr="000A0A5F">
        <w:t xml:space="preserve">          $ref: 'TS29122_CommonData.yaml#/components/schemas/ExternalId'</w:t>
      </w:r>
    </w:p>
    <w:p w:rsidR="00CB0DD7" w:rsidRPr="000A0A5F" w:rsidRDefault="00CB0DD7">
      <w:pPr>
        <w:pStyle w:val="PL"/>
      </w:pPr>
      <w:r w:rsidRPr="000A0A5F">
        <w:t xml:space="preserve">        msisdn:</w:t>
      </w:r>
    </w:p>
    <w:p w:rsidR="00CB0DD7" w:rsidRPr="000A0A5F" w:rsidRDefault="00CB0DD7">
      <w:pPr>
        <w:pStyle w:val="PL"/>
      </w:pPr>
      <w:r w:rsidRPr="000A0A5F">
        <w:t xml:space="preserve">          $ref: 'TS29122_CommonData.yaml#/components/schemas/Msisdn'</w:t>
      </w:r>
    </w:p>
    <w:p w:rsidR="00CB0DD7" w:rsidRPr="000A0A5F" w:rsidRDefault="00CB0DD7">
      <w:pPr>
        <w:pStyle w:val="PL"/>
      </w:pPr>
      <w:r w:rsidRPr="000A0A5F">
        <w:t xml:space="preserve">        externalGroupId:</w:t>
      </w:r>
    </w:p>
    <w:p w:rsidR="00CB0DD7" w:rsidRPr="000A0A5F" w:rsidRDefault="00CB0DD7">
      <w:pPr>
        <w:pStyle w:val="PL"/>
      </w:pPr>
      <w:r w:rsidRPr="000A0A5F">
        <w:t xml:space="preserve">          $ref: 'TS29122_CommonData.yaml#/components/schemas/ExternalGroupId'</w:t>
      </w:r>
    </w:p>
    <w:p w:rsidR="00CB0DD7" w:rsidRPr="000A0A5F" w:rsidRDefault="00CB0DD7">
      <w:pPr>
        <w:pStyle w:val="PL"/>
      </w:pPr>
      <w:r w:rsidRPr="000A0A5F">
        <w:t xml:space="preserve">        maximumLatency:</w:t>
      </w:r>
    </w:p>
    <w:p w:rsidR="00CB0DD7" w:rsidRPr="000A0A5F" w:rsidRDefault="00CB0DD7">
      <w:pPr>
        <w:pStyle w:val="PL"/>
      </w:pPr>
      <w:r w:rsidRPr="000A0A5F">
        <w:t xml:space="preserve">          $ref: 'TS29122_CommonData.yaml#/components/schemas/DurationSec'</w:t>
      </w:r>
    </w:p>
    <w:p w:rsidR="00CB0DD7" w:rsidRPr="000A0A5F" w:rsidRDefault="00CB0DD7">
      <w:pPr>
        <w:pStyle w:val="PL"/>
      </w:pPr>
      <w:r w:rsidRPr="000A0A5F">
        <w:t xml:space="preserve">        maximumResponseTime:</w:t>
      </w:r>
    </w:p>
    <w:p w:rsidR="00CB0DD7" w:rsidRPr="000A0A5F" w:rsidRDefault="00CB0DD7">
      <w:pPr>
        <w:pStyle w:val="PL"/>
      </w:pPr>
      <w:r w:rsidRPr="000A0A5F">
        <w:t xml:space="preserve">          $ref: 'TS29122_CommonData.yaml#/components/schemas/DurationSec'</w:t>
      </w:r>
    </w:p>
    <w:p w:rsidR="00CB0DD7" w:rsidRPr="000A0A5F" w:rsidRDefault="00CB0DD7">
      <w:pPr>
        <w:pStyle w:val="PL"/>
      </w:pPr>
      <w:r w:rsidRPr="000A0A5F">
        <w:t xml:space="preserve">        suggestedNumberOfDlPackets:</w:t>
      </w:r>
    </w:p>
    <w:p w:rsidR="00CB0DD7" w:rsidRPr="000A0A5F" w:rsidRDefault="00CB0DD7">
      <w:pPr>
        <w:pStyle w:val="PL"/>
      </w:pPr>
      <w:r w:rsidRPr="000A0A5F">
        <w:t xml:space="preserve">          type: integer</w:t>
      </w:r>
    </w:p>
    <w:p w:rsidR="00CB0DD7" w:rsidRPr="000A0A5F" w:rsidRDefault="00CB0DD7">
      <w:pPr>
        <w:pStyle w:val="PL"/>
      </w:pPr>
      <w:r w:rsidRPr="000A0A5F">
        <w:t xml:space="preserve">          minimum: 0</w:t>
      </w:r>
    </w:p>
    <w:p w:rsidR="00CB0DD7" w:rsidRPr="000A0A5F" w:rsidRDefault="00CB0DD7">
      <w:pPr>
        <w:pStyle w:val="PL"/>
      </w:pPr>
      <w:r w:rsidRPr="000A0A5F">
        <w:t xml:space="preserve">          description: This parameter may be included to identify the number of packets that the serving gateway shall buffer in case that the UE is not reachable.</w:t>
      </w:r>
    </w:p>
    <w:p w:rsidR="00CB0DD7" w:rsidRPr="000A0A5F" w:rsidRDefault="00CB0DD7">
      <w:pPr>
        <w:pStyle w:val="PL"/>
      </w:pPr>
      <w:r w:rsidRPr="000A0A5F">
        <w:t xml:space="preserve">        groupReportingGuardTime:</w:t>
      </w:r>
    </w:p>
    <w:p w:rsidR="00CB0DD7" w:rsidRPr="000A0A5F" w:rsidRDefault="00CB0DD7">
      <w:pPr>
        <w:pStyle w:val="PL"/>
      </w:pPr>
      <w:r w:rsidRPr="000A0A5F">
        <w:t xml:space="preserve">          $ref: 'TS29122_CommonData.yaml#/components/schemas/DurationSec'</w:t>
      </w:r>
    </w:p>
    <w:p w:rsidR="00CB0DD7" w:rsidRPr="000A0A5F" w:rsidRDefault="00CB0DD7">
      <w:pPr>
        <w:pStyle w:val="PL"/>
      </w:pPr>
      <w:r w:rsidRPr="000A0A5F">
        <w:t xml:space="preserve">        notificationDestination:</w:t>
      </w:r>
    </w:p>
    <w:p w:rsidR="00CB0DD7" w:rsidRPr="000A0A5F" w:rsidRDefault="00CB0DD7">
      <w:pPr>
        <w:pStyle w:val="PL"/>
      </w:pPr>
      <w:r w:rsidRPr="000A0A5F">
        <w:t xml:space="preserve">          $ref: 'TS29122_CommonData.yaml#/components/schemas/Link'</w:t>
      </w:r>
    </w:p>
    <w:p w:rsidR="00CB0DD7" w:rsidRPr="000A0A5F" w:rsidRDefault="00CB0DD7">
      <w:pPr>
        <w:pStyle w:val="PL"/>
      </w:pPr>
      <w:r w:rsidRPr="000A0A5F">
        <w:t xml:space="preserve">        requestTestNotification:</w:t>
      </w:r>
    </w:p>
    <w:p w:rsidR="00CB0DD7" w:rsidRPr="000A0A5F" w:rsidRDefault="00CB0DD7">
      <w:pPr>
        <w:pStyle w:val="PL"/>
      </w:pPr>
      <w:r w:rsidRPr="000A0A5F">
        <w:t xml:space="preserve">          type: boolean</w:t>
      </w:r>
    </w:p>
    <w:p w:rsidR="00CB0DD7" w:rsidRPr="000A0A5F" w:rsidRDefault="00CB0DD7">
      <w:pPr>
        <w:pStyle w:val="PL"/>
      </w:pPr>
      <w:r w:rsidRPr="000A0A5F">
        <w:t xml:space="preserve">          description: Set to true by the SCS/AS to request the SCEF to send a test notification as defined in clause</w:t>
      </w:r>
      <w:r w:rsidR="00115EC8" w:rsidRPr="000A0A5F">
        <w:t xml:space="preserve"> </w:t>
      </w:r>
      <w:r w:rsidRPr="000A0A5F">
        <w:t>5.2.5.3. Set to false or omitted otherwise.</w:t>
      </w:r>
    </w:p>
    <w:p w:rsidR="00CB0DD7" w:rsidRPr="000A0A5F" w:rsidRDefault="00CB0DD7">
      <w:pPr>
        <w:pStyle w:val="PL"/>
      </w:pPr>
      <w:r w:rsidRPr="000A0A5F">
        <w:t xml:space="preserve">        websockNotifConfig:</w:t>
      </w:r>
    </w:p>
    <w:p w:rsidR="00CB0DD7" w:rsidRPr="000A0A5F" w:rsidRDefault="00CB0DD7">
      <w:pPr>
        <w:pStyle w:val="PL"/>
      </w:pPr>
      <w:r w:rsidRPr="000A0A5F">
        <w:t xml:space="preserve">          $ref: 'TS29122_CommonData.yaml#/components/schemas/WebsockNotifConfig'</w:t>
      </w:r>
    </w:p>
    <w:p w:rsidR="00CB0DD7" w:rsidRPr="000A0A5F" w:rsidRDefault="00CB0DD7">
      <w:pPr>
        <w:pStyle w:val="PL"/>
      </w:pPr>
      <w:r w:rsidRPr="000A0A5F">
        <w:t xml:space="preserve">        validityTime:</w:t>
      </w:r>
    </w:p>
    <w:p w:rsidR="00CB0DD7" w:rsidRPr="000A0A5F" w:rsidRDefault="00CB0DD7">
      <w:pPr>
        <w:pStyle w:val="PL"/>
      </w:pPr>
      <w:r w:rsidRPr="000A0A5F">
        <w:t xml:space="preserve">          $ref: 'TS29122_CommonData.yaml#/components/schemas/DateTime'</w:t>
      </w:r>
    </w:p>
    <w:p w:rsidR="00343916" w:rsidRPr="000A0A5F" w:rsidRDefault="00343916" w:rsidP="00343916">
      <w:pPr>
        <w:pStyle w:val="PL"/>
      </w:pPr>
      <w:r w:rsidRPr="000A0A5F">
        <w:t xml:space="preserve">        snssai:</w:t>
      </w:r>
    </w:p>
    <w:p w:rsidR="00343916" w:rsidRPr="000A0A5F" w:rsidRDefault="00343916" w:rsidP="00343916">
      <w:pPr>
        <w:pStyle w:val="PL"/>
      </w:pPr>
      <w:r w:rsidRPr="000A0A5F">
        <w:t xml:space="preserve">          $ref: 'TS29571_CommonData.yaml#/components/schemas/Snssai'</w:t>
      </w:r>
    </w:p>
    <w:p w:rsidR="00343916" w:rsidRPr="000A0A5F" w:rsidRDefault="00343916" w:rsidP="00343916">
      <w:pPr>
        <w:pStyle w:val="PL"/>
      </w:pPr>
      <w:r w:rsidRPr="000A0A5F">
        <w:t xml:space="preserve">        ueIpAddr:</w:t>
      </w:r>
    </w:p>
    <w:p w:rsidR="00343916" w:rsidRPr="000A0A5F" w:rsidRDefault="00343916" w:rsidP="00343916">
      <w:pPr>
        <w:pStyle w:val="PL"/>
      </w:pPr>
      <w:r w:rsidRPr="000A0A5F">
        <w:t xml:space="preserve">          $ref: 'TS29571_CommonData.yaml#/components/schemas/IpAddr'</w:t>
      </w:r>
    </w:p>
    <w:p w:rsidR="00343916" w:rsidRPr="000A0A5F" w:rsidRDefault="00343916" w:rsidP="00343916">
      <w:pPr>
        <w:pStyle w:val="PL"/>
      </w:pPr>
      <w:r w:rsidRPr="000A0A5F">
        <w:t xml:space="preserve">        ueMacAddr:</w:t>
      </w:r>
    </w:p>
    <w:p w:rsidR="00343916" w:rsidRPr="000A0A5F" w:rsidRDefault="00343916" w:rsidP="00343916">
      <w:pPr>
        <w:pStyle w:val="PL"/>
      </w:pPr>
      <w:r w:rsidRPr="000A0A5F">
        <w:t xml:space="preserve">          $ref: 'TS29571_CommonData.yaml#/components/schemas/MacAddr48'</w:t>
      </w:r>
    </w:p>
    <w:p w:rsidR="00CB0DD7" w:rsidRPr="000A0A5F" w:rsidRDefault="00CB0DD7">
      <w:pPr>
        <w:pStyle w:val="PL"/>
      </w:pPr>
      <w:r w:rsidRPr="000A0A5F">
        <w:t xml:space="preserve">      oneOf:</w:t>
      </w:r>
    </w:p>
    <w:p w:rsidR="00CB0DD7" w:rsidRPr="000A0A5F" w:rsidRDefault="00CB0DD7">
      <w:pPr>
        <w:pStyle w:val="PL"/>
      </w:pPr>
      <w:r w:rsidRPr="000A0A5F">
        <w:t xml:space="preserve">        - required: [externalId]</w:t>
      </w:r>
    </w:p>
    <w:p w:rsidR="00CB0DD7" w:rsidRPr="000A0A5F" w:rsidRDefault="00CB0DD7">
      <w:pPr>
        <w:pStyle w:val="PL"/>
      </w:pPr>
      <w:r w:rsidRPr="000A0A5F">
        <w:t xml:space="preserve">        - required: [msisdn]</w:t>
      </w:r>
    </w:p>
    <w:p w:rsidR="00CB0DD7" w:rsidRPr="000A0A5F" w:rsidRDefault="00CB0DD7">
      <w:pPr>
        <w:pStyle w:val="PL"/>
      </w:pPr>
      <w:r w:rsidRPr="000A0A5F">
        <w:t xml:space="preserve">        - required: [externalGroupId]</w:t>
      </w:r>
    </w:p>
    <w:p w:rsidR="00CB0DD7" w:rsidRPr="000A0A5F" w:rsidRDefault="00CB0DD7">
      <w:pPr>
        <w:pStyle w:val="PL"/>
      </w:pPr>
      <w:r w:rsidRPr="000A0A5F">
        <w:t xml:space="preserve">    NpConfigurationPatch:</w:t>
      </w:r>
    </w:p>
    <w:p w:rsidR="00CB0DD7" w:rsidRPr="000A0A5F" w:rsidRDefault="00CB0DD7">
      <w:pPr>
        <w:pStyle w:val="PL"/>
      </w:pPr>
      <w:r w:rsidRPr="000A0A5F">
        <w:t xml:space="preserve">      description: Represents parameters used to request the modification of a network parameters configuration resource.</w:t>
      </w:r>
    </w:p>
    <w:p w:rsidR="00CB0DD7" w:rsidRPr="000A0A5F" w:rsidRDefault="00CB0DD7">
      <w:pPr>
        <w:pStyle w:val="PL"/>
      </w:pPr>
      <w:r w:rsidRPr="000A0A5F">
        <w:t xml:space="preserve">      type: object</w:t>
      </w:r>
    </w:p>
    <w:p w:rsidR="00CB0DD7" w:rsidRPr="000A0A5F" w:rsidRDefault="00CB0DD7">
      <w:pPr>
        <w:pStyle w:val="PL"/>
      </w:pPr>
      <w:r w:rsidRPr="000A0A5F">
        <w:t xml:space="preserve">      properties:</w:t>
      </w:r>
    </w:p>
    <w:p w:rsidR="00CB0DD7" w:rsidRPr="000A0A5F" w:rsidRDefault="00CB0DD7">
      <w:pPr>
        <w:pStyle w:val="PL"/>
      </w:pPr>
      <w:r w:rsidRPr="000A0A5F">
        <w:t xml:space="preserve">        maximumLatency:</w:t>
      </w:r>
    </w:p>
    <w:p w:rsidR="00CB0DD7" w:rsidRPr="000A0A5F" w:rsidRDefault="00CB0DD7">
      <w:pPr>
        <w:pStyle w:val="PL"/>
      </w:pPr>
      <w:r w:rsidRPr="000A0A5F">
        <w:t xml:space="preserve">          $ref: 'TS29122_CommonData.yaml#/components/schemas/DurationSecRm'</w:t>
      </w:r>
    </w:p>
    <w:p w:rsidR="00CB0DD7" w:rsidRPr="000A0A5F" w:rsidRDefault="00CB0DD7">
      <w:pPr>
        <w:pStyle w:val="PL"/>
      </w:pPr>
      <w:r w:rsidRPr="000A0A5F">
        <w:t xml:space="preserve">        maximumResponseTime:</w:t>
      </w:r>
    </w:p>
    <w:p w:rsidR="00CB0DD7" w:rsidRPr="000A0A5F" w:rsidRDefault="00CB0DD7">
      <w:pPr>
        <w:pStyle w:val="PL"/>
      </w:pPr>
      <w:r w:rsidRPr="000A0A5F">
        <w:t xml:space="preserve">          $ref: 'TS29122_CommonData.yaml#/components/schemas/DurationSecRm'</w:t>
      </w:r>
    </w:p>
    <w:p w:rsidR="00CB0DD7" w:rsidRPr="000A0A5F" w:rsidRDefault="00CB0DD7">
      <w:pPr>
        <w:pStyle w:val="PL"/>
      </w:pPr>
      <w:r w:rsidRPr="000A0A5F">
        <w:t xml:space="preserve">        suggestedNumberOfDlPackets:</w:t>
      </w:r>
    </w:p>
    <w:p w:rsidR="00CB0DD7" w:rsidRPr="000A0A5F" w:rsidRDefault="00CB0DD7">
      <w:pPr>
        <w:pStyle w:val="PL"/>
      </w:pPr>
      <w:r w:rsidRPr="000A0A5F">
        <w:t xml:space="preserve">          type: integer</w:t>
      </w:r>
    </w:p>
    <w:p w:rsidR="00CB0DD7" w:rsidRPr="000A0A5F" w:rsidRDefault="00CB0DD7">
      <w:pPr>
        <w:pStyle w:val="PL"/>
      </w:pPr>
      <w:r w:rsidRPr="000A0A5F">
        <w:t xml:space="preserve">          minimum: 0</w:t>
      </w:r>
    </w:p>
    <w:p w:rsidR="00CB0DD7" w:rsidRPr="000A0A5F" w:rsidRDefault="00CB0DD7">
      <w:pPr>
        <w:pStyle w:val="PL"/>
      </w:pPr>
      <w:r w:rsidRPr="000A0A5F">
        <w:t xml:space="preserve">          description: This parameter may be included to identify the number of packets that the serving gateway shall buffer in case that the UE is not reachable.</w:t>
      </w:r>
    </w:p>
    <w:p w:rsidR="00CB0DD7" w:rsidRPr="000A0A5F" w:rsidRDefault="00CB0DD7">
      <w:pPr>
        <w:pStyle w:val="PL"/>
      </w:pPr>
      <w:r w:rsidRPr="000A0A5F">
        <w:t xml:space="preserve">          nullable: true</w:t>
      </w:r>
    </w:p>
    <w:p w:rsidR="00CB0DD7" w:rsidRPr="000A0A5F" w:rsidRDefault="00CB0DD7">
      <w:pPr>
        <w:pStyle w:val="PL"/>
      </w:pPr>
      <w:r w:rsidRPr="000A0A5F">
        <w:t xml:space="preserve">        groupReportGuardTime:</w:t>
      </w:r>
    </w:p>
    <w:p w:rsidR="00CB0DD7" w:rsidRPr="000A0A5F" w:rsidRDefault="00CB0DD7">
      <w:pPr>
        <w:pStyle w:val="PL"/>
      </w:pPr>
      <w:r w:rsidRPr="000A0A5F">
        <w:t xml:space="preserve">          $ref: 'TS29122_CommonData.yaml#/components/schemas/DurationSecRm'</w:t>
      </w:r>
    </w:p>
    <w:p w:rsidR="00CB0DD7" w:rsidRPr="000A0A5F" w:rsidRDefault="00CB0DD7">
      <w:pPr>
        <w:pStyle w:val="PL"/>
      </w:pPr>
      <w:r w:rsidRPr="000A0A5F">
        <w:t xml:space="preserve">        validityTime:</w:t>
      </w:r>
    </w:p>
    <w:p w:rsidR="00CB0DD7" w:rsidRPr="000A0A5F" w:rsidRDefault="00CB0DD7">
      <w:pPr>
        <w:pStyle w:val="PL"/>
      </w:pPr>
      <w:r w:rsidRPr="000A0A5F">
        <w:t xml:space="preserve">          $ref: 'TS29122_CommonData.yaml#/components/schemas/DateTimeRm'</w:t>
      </w:r>
    </w:p>
    <w:p w:rsidR="00CB0DD7" w:rsidRPr="000A0A5F" w:rsidRDefault="00CB0DD7">
      <w:pPr>
        <w:pStyle w:val="PL"/>
      </w:pPr>
      <w:r w:rsidRPr="000A0A5F">
        <w:t xml:space="preserve">        notificationDestination:</w:t>
      </w:r>
    </w:p>
    <w:p w:rsidR="00CB0DD7" w:rsidRPr="000A0A5F" w:rsidRDefault="00CB0DD7">
      <w:pPr>
        <w:pStyle w:val="PL"/>
      </w:pPr>
      <w:r w:rsidRPr="000A0A5F">
        <w:t xml:space="preserve">          $ref: 'TS29122_CommonData.yaml#/components/schemas/Link'</w:t>
      </w:r>
    </w:p>
    <w:p w:rsidR="00CB0DD7" w:rsidRPr="000A0A5F" w:rsidRDefault="00CB0DD7">
      <w:pPr>
        <w:pStyle w:val="PL"/>
      </w:pPr>
      <w:r w:rsidRPr="000A0A5F">
        <w:t xml:space="preserve">    ConfigurationNotification:</w:t>
      </w:r>
    </w:p>
    <w:p w:rsidR="00CB0DD7" w:rsidRPr="000A0A5F" w:rsidRDefault="00CB0DD7">
      <w:pPr>
        <w:pStyle w:val="PL"/>
      </w:pPr>
      <w:r w:rsidRPr="000A0A5F">
        <w:t xml:space="preserve">      description: Represents a configuration result notification.</w:t>
      </w:r>
    </w:p>
    <w:p w:rsidR="00CB0DD7" w:rsidRPr="000A0A5F" w:rsidRDefault="00CB0DD7">
      <w:pPr>
        <w:pStyle w:val="PL"/>
      </w:pPr>
      <w:r w:rsidRPr="000A0A5F">
        <w:t xml:space="preserve">      type: object</w:t>
      </w:r>
    </w:p>
    <w:p w:rsidR="00CB0DD7" w:rsidRPr="000A0A5F" w:rsidRDefault="00CB0DD7">
      <w:pPr>
        <w:pStyle w:val="PL"/>
      </w:pPr>
      <w:r w:rsidRPr="000A0A5F">
        <w:t xml:space="preserve">      properties:</w:t>
      </w:r>
    </w:p>
    <w:p w:rsidR="00CB0DD7" w:rsidRPr="000A0A5F" w:rsidRDefault="00CB0DD7">
      <w:pPr>
        <w:pStyle w:val="PL"/>
      </w:pPr>
      <w:r w:rsidRPr="000A0A5F">
        <w:t xml:space="preserve">        configuration:</w:t>
      </w:r>
    </w:p>
    <w:p w:rsidR="00CB0DD7" w:rsidRPr="000A0A5F" w:rsidRDefault="00CB0DD7">
      <w:pPr>
        <w:pStyle w:val="PL"/>
      </w:pPr>
      <w:r w:rsidRPr="000A0A5F">
        <w:t xml:space="preserve">          $ref: 'TS29122_CommonData.yaml#/components/schemas/Link'</w:t>
      </w:r>
    </w:p>
    <w:p w:rsidR="00CB0DD7" w:rsidRPr="000A0A5F" w:rsidRDefault="00CB0DD7">
      <w:pPr>
        <w:pStyle w:val="PL"/>
      </w:pPr>
      <w:r w:rsidRPr="000A0A5F">
        <w:t xml:space="preserve">        configResults:</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$ref: 'TS29122_CommonData.yaml#/components/schemas/ConfigResult'</w:t>
      </w:r>
    </w:p>
    <w:p w:rsidR="00CB0DD7" w:rsidRPr="000A0A5F" w:rsidRDefault="00CB0DD7">
      <w:pPr>
        <w:pStyle w:val="PL"/>
      </w:pPr>
      <w:r w:rsidRPr="000A0A5F">
        <w:t xml:space="preserve">          minItems: 1</w:t>
      </w:r>
    </w:p>
    <w:p w:rsidR="00CB0DD7" w:rsidRPr="000A0A5F" w:rsidRDefault="00CB0DD7">
      <w:pPr>
        <w:pStyle w:val="PL"/>
      </w:pPr>
      <w:r w:rsidRPr="000A0A5F">
        <w:t xml:space="preserve">          description: </w:t>
      </w:r>
      <w:r w:rsidRPr="000A0A5F">
        <w:rPr>
          <w:lang w:eastAsia="zh-CN"/>
        </w:rPr>
        <w:t>T</w:t>
      </w:r>
      <w:r w:rsidRPr="000A0A5F">
        <w:rPr>
          <w:rFonts w:hint="eastAsia"/>
          <w:lang w:eastAsia="zh-CN"/>
        </w:rPr>
        <w:t xml:space="preserve">he </w:t>
      </w:r>
      <w:r w:rsidRPr="000A0A5F">
        <w:rPr>
          <w:lang w:eastAsia="zh-CN"/>
        </w:rPr>
        <w:t xml:space="preserve">grouping configuration result </w:t>
      </w:r>
      <w:r w:rsidRPr="000A0A5F">
        <w:rPr>
          <w:rFonts w:hint="eastAsia"/>
          <w:lang w:eastAsia="zh-CN"/>
        </w:rPr>
        <w:t>notification provided by the SCEF</w:t>
      </w:r>
      <w:r w:rsidRPr="000A0A5F">
        <w:t xml:space="preserve">. </w:t>
      </w:r>
    </w:p>
    <w:p w:rsidR="00CB0DD7" w:rsidRPr="000A0A5F" w:rsidRDefault="00CB0DD7">
      <w:pPr>
        <w:pStyle w:val="PL"/>
      </w:pPr>
      <w:r w:rsidRPr="000A0A5F">
        <w:t xml:space="preserve">        appliedParam:</w:t>
      </w:r>
    </w:p>
    <w:p w:rsidR="00CB0DD7" w:rsidRPr="000A0A5F" w:rsidRDefault="00CB0DD7">
      <w:pPr>
        <w:pStyle w:val="PL"/>
      </w:pPr>
      <w:r w:rsidRPr="000A0A5F">
        <w:t xml:space="preserve">          $ref: 'TS29122_MonitoringEvent.yaml#/components/schemas/AppliedParameterConfiguration'</w:t>
      </w:r>
    </w:p>
    <w:p w:rsidR="00CB0DD7" w:rsidRPr="000A0A5F" w:rsidRDefault="00CB0DD7">
      <w:pPr>
        <w:pStyle w:val="PL"/>
      </w:pPr>
      <w:r w:rsidRPr="000A0A5F">
        <w:t xml:space="preserve">      required:</w:t>
      </w:r>
    </w:p>
    <w:p w:rsidR="00CB0DD7" w:rsidRPr="000A0A5F" w:rsidRDefault="00CB0DD7">
      <w:pPr>
        <w:pStyle w:val="PL"/>
      </w:pPr>
      <w:r w:rsidRPr="000A0A5F">
        <w:t xml:space="preserve">        - configuration</w:t>
      </w:r>
    </w:p>
    <w:p w:rsidR="00CB0DD7" w:rsidRPr="000A0A5F" w:rsidRDefault="00CB0DD7" w:rsidP="008D59EF">
      <w:pPr>
        <w:pStyle w:val="Heading1"/>
      </w:pPr>
      <w:bookmarkStart w:id="10439" w:name="_Toc11247943"/>
      <w:bookmarkStart w:id="10440" w:name="_Toc27045125"/>
      <w:bookmarkStart w:id="10441" w:name="_Toc36034176"/>
      <w:bookmarkStart w:id="10442" w:name="_Toc45132324"/>
      <w:bookmarkStart w:id="10443" w:name="_Toc49776609"/>
      <w:bookmarkStart w:id="10444" w:name="_Toc51747529"/>
      <w:bookmarkStart w:id="10445" w:name="_Toc66361111"/>
      <w:bookmarkStart w:id="10446" w:name="_Toc68105616"/>
      <w:bookmarkStart w:id="10447" w:name="_Toc74756248"/>
      <w:bookmarkStart w:id="10448" w:name="_Toc105675125"/>
      <w:bookmarkStart w:id="10449" w:name="_Toc130503203"/>
      <w:bookmarkStart w:id="10450" w:name="_Toc153625995"/>
      <w:r w:rsidRPr="000A0A5F">
        <w:t>A.14</w:t>
      </w:r>
      <w:r w:rsidRPr="000A0A5F">
        <w:tab/>
        <w:t>AsSessionWithQoS API</w:t>
      </w:r>
      <w:bookmarkEnd w:id="10439"/>
      <w:bookmarkEnd w:id="10440"/>
      <w:bookmarkEnd w:id="10441"/>
      <w:bookmarkEnd w:id="10442"/>
      <w:bookmarkEnd w:id="10443"/>
      <w:bookmarkEnd w:id="10444"/>
      <w:bookmarkEnd w:id="10445"/>
      <w:bookmarkEnd w:id="10446"/>
      <w:bookmarkEnd w:id="10447"/>
      <w:bookmarkEnd w:id="10448"/>
      <w:bookmarkEnd w:id="10449"/>
      <w:bookmarkEnd w:id="10450"/>
    </w:p>
    <w:p w:rsidR="00CB0DD7" w:rsidRPr="000A0A5F" w:rsidRDefault="00CB0DD7">
      <w:pPr>
        <w:pStyle w:val="PL"/>
      </w:pPr>
      <w:r w:rsidRPr="000A0A5F">
        <w:t>openapi: 3.0.0</w:t>
      </w:r>
    </w:p>
    <w:p w:rsidR="00E004D9" w:rsidRPr="000A0A5F" w:rsidRDefault="00E004D9">
      <w:pPr>
        <w:pStyle w:val="PL"/>
      </w:pPr>
    </w:p>
    <w:p w:rsidR="00CB0DD7" w:rsidRPr="000A0A5F" w:rsidRDefault="00CB0DD7">
      <w:pPr>
        <w:pStyle w:val="PL"/>
      </w:pPr>
      <w:r w:rsidRPr="000A0A5F">
        <w:t>info:</w:t>
      </w:r>
    </w:p>
    <w:p w:rsidR="00CB0DD7" w:rsidRPr="000A0A5F" w:rsidRDefault="00CB0DD7">
      <w:pPr>
        <w:pStyle w:val="PL"/>
      </w:pPr>
      <w:r w:rsidRPr="000A0A5F">
        <w:t xml:space="preserve">  title: 3gpp-as-session-with-qos</w:t>
      </w:r>
    </w:p>
    <w:p w:rsidR="00CB0DD7" w:rsidRPr="000A0A5F" w:rsidRDefault="00CB0DD7">
      <w:pPr>
        <w:pStyle w:val="PL"/>
      </w:pPr>
      <w:r w:rsidRPr="000A0A5F">
        <w:t xml:space="preserve">  version: 1.</w:t>
      </w:r>
      <w:r w:rsidR="00B94C78" w:rsidRPr="000A0A5F">
        <w:t>3</w:t>
      </w:r>
      <w:r w:rsidRPr="000A0A5F">
        <w:t>.</w:t>
      </w:r>
      <w:r w:rsidR="00B94C78" w:rsidRPr="000A0A5F">
        <w:t>0-alpha.</w:t>
      </w:r>
      <w:r w:rsidR="00E9308F">
        <w:t>4</w:t>
      </w:r>
    </w:p>
    <w:p w:rsidR="00CB0DD7" w:rsidRPr="000A0A5F" w:rsidRDefault="00CB0DD7">
      <w:pPr>
        <w:pStyle w:val="PL"/>
      </w:pPr>
      <w:r w:rsidRPr="000A0A5F">
        <w:t xml:space="preserve">  description: |</w:t>
      </w:r>
    </w:p>
    <w:p w:rsidR="00CB0DD7" w:rsidRPr="000A0A5F" w:rsidRDefault="00CB0DD7">
      <w:pPr>
        <w:pStyle w:val="PL"/>
      </w:pPr>
      <w:r w:rsidRPr="000A0A5F">
        <w:t xml:space="preserve">    API for setting us an AS session with required QoS.</w:t>
      </w:r>
      <w:r w:rsidR="00970ACE" w:rsidRPr="000A0A5F">
        <w:t xml:space="preserve">  </w:t>
      </w:r>
    </w:p>
    <w:p w:rsidR="00CB0DD7" w:rsidRPr="000A0A5F" w:rsidRDefault="00CB0DD7">
      <w:pPr>
        <w:pStyle w:val="PL"/>
      </w:pPr>
      <w:r w:rsidRPr="000A0A5F">
        <w:t xml:space="preserve">    © 202</w:t>
      </w:r>
      <w:r w:rsidR="00B94C78" w:rsidRPr="000A0A5F">
        <w:t>3</w:t>
      </w:r>
      <w:r w:rsidRPr="000A0A5F">
        <w:t>, 3GPP Organizational Partners (ARIB, ATIS, CCSA, ETSI, TSDSI, TTA, TTC).</w:t>
      </w:r>
      <w:r w:rsidR="00970ACE" w:rsidRPr="000A0A5F">
        <w:t xml:space="preserve">  </w:t>
      </w:r>
    </w:p>
    <w:p w:rsidR="00CB0DD7" w:rsidRPr="000A0A5F" w:rsidRDefault="00CB0DD7">
      <w:pPr>
        <w:pStyle w:val="PL"/>
      </w:pPr>
      <w:r w:rsidRPr="000A0A5F">
        <w:t xml:space="preserve">    All rights reserved.</w:t>
      </w:r>
    </w:p>
    <w:p w:rsidR="00E004D9" w:rsidRPr="000A0A5F" w:rsidRDefault="00E004D9">
      <w:pPr>
        <w:pStyle w:val="PL"/>
      </w:pPr>
    </w:p>
    <w:p w:rsidR="00CB0DD7" w:rsidRPr="000A0A5F" w:rsidRDefault="00CB0DD7">
      <w:pPr>
        <w:pStyle w:val="PL"/>
      </w:pPr>
      <w:r w:rsidRPr="000A0A5F">
        <w:t>externalDocs:</w:t>
      </w:r>
    </w:p>
    <w:p w:rsidR="00CB0DD7" w:rsidRPr="000A0A5F" w:rsidRDefault="00CB0DD7">
      <w:pPr>
        <w:pStyle w:val="PL"/>
      </w:pPr>
      <w:r w:rsidRPr="000A0A5F">
        <w:t xml:space="preserve">  description: 3GPP TS 29.122 V1</w:t>
      </w:r>
      <w:r w:rsidR="00B94C78" w:rsidRPr="000A0A5F">
        <w:t>8</w:t>
      </w:r>
      <w:r w:rsidRPr="000A0A5F">
        <w:t>.</w:t>
      </w:r>
      <w:r w:rsidR="00E9308F">
        <w:t>4</w:t>
      </w:r>
      <w:r w:rsidRPr="000A0A5F">
        <w:t>.0 T8 reference point for Northbound APIs</w:t>
      </w:r>
    </w:p>
    <w:p w:rsidR="00CB0DD7" w:rsidRPr="000A0A5F" w:rsidRDefault="00CB0DD7">
      <w:pPr>
        <w:pStyle w:val="PL"/>
      </w:pPr>
      <w:r w:rsidRPr="000A0A5F">
        <w:t xml:space="preserve">  url: 'http</w:t>
      </w:r>
      <w:r w:rsidR="00970ACE" w:rsidRPr="000A0A5F">
        <w:t>s</w:t>
      </w:r>
      <w:r w:rsidRPr="000A0A5F">
        <w:t>://www.3gpp.org/ftp/Specs/archive/29_series/29.122/'</w:t>
      </w:r>
    </w:p>
    <w:p w:rsidR="00E004D9" w:rsidRPr="000A0A5F" w:rsidRDefault="00E004D9">
      <w:pPr>
        <w:pStyle w:val="PL"/>
      </w:pPr>
    </w:p>
    <w:p w:rsidR="00CB0DD7" w:rsidRPr="000A0A5F" w:rsidRDefault="00CB0DD7">
      <w:pPr>
        <w:pStyle w:val="PL"/>
      </w:pPr>
      <w:r w:rsidRPr="000A0A5F">
        <w:t>security:</w:t>
      </w:r>
    </w:p>
    <w:p w:rsidR="00CB0DD7" w:rsidRPr="000A0A5F" w:rsidRDefault="00CB0DD7">
      <w:pPr>
        <w:pStyle w:val="PL"/>
        <w:rPr>
          <w:lang w:val="en-US"/>
        </w:rPr>
      </w:pPr>
      <w:r w:rsidRPr="000A0A5F">
        <w:rPr>
          <w:lang w:val="en-US"/>
        </w:rPr>
        <w:t xml:space="preserve">  - {}</w:t>
      </w:r>
    </w:p>
    <w:p w:rsidR="00CB0DD7" w:rsidRPr="000A0A5F" w:rsidRDefault="00CB0DD7">
      <w:pPr>
        <w:pStyle w:val="PL"/>
      </w:pPr>
      <w:r w:rsidRPr="000A0A5F">
        <w:t xml:space="preserve">  - oAuth2ClientCredentials: []</w:t>
      </w:r>
    </w:p>
    <w:p w:rsidR="00E004D9" w:rsidRPr="000A0A5F" w:rsidRDefault="00E004D9">
      <w:pPr>
        <w:pStyle w:val="PL"/>
      </w:pPr>
    </w:p>
    <w:p w:rsidR="00CB0DD7" w:rsidRPr="000A0A5F" w:rsidRDefault="00CB0DD7">
      <w:pPr>
        <w:pStyle w:val="PL"/>
      </w:pPr>
      <w:r w:rsidRPr="000A0A5F">
        <w:t>servers:</w:t>
      </w:r>
    </w:p>
    <w:p w:rsidR="00CB0DD7" w:rsidRPr="000A0A5F" w:rsidRDefault="00CB0DD7">
      <w:pPr>
        <w:pStyle w:val="PL"/>
      </w:pPr>
      <w:r w:rsidRPr="000A0A5F">
        <w:t xml:space="preserve">  - url: '{apiRoot}/3gpp-as-session-with-qos/v1'</w:t>
      </w:r>
    </w:p>
    <w:p w:rsidR="00CB0DD7" w:rsidRPr="000A0A5F" w:rsidRDefault="00CB0DD7">
      <w:pPr>
        <w:pStyle w:val="PL"/>
      </w:pPr>
      <w:r w:rsidRPr="000A0A5F">
        <w:t xml:space="preserve">    variables:</w:t>
      </w:r>
    </w:p>
    <w:p w:rsidR="00CB0DD7" w:rsidRPr="000A0A5F" w:rsidRDefault="00CB0DD7">
      <w:pPr>
        <w:pStyle w:val="PL"/>
      </w:pPr>
      <w:r w:rsidRPr="000A0A5F">
        <w:t xml:space="preserve">      apiRoot:</w:t>
      </w:r>
    </w:p>
    <w:p w:rsidR="00CB0DD7" w:rsidRPr="000A0A5F" w:rsidRDefault="00CB0DD7">
      <w:pPr>
        <w:pStyle w:val="PL"/>
      </w:pPr>
      <w:r w:rsidRPr="000A0A5F">
        <w:t xml:space="preserve">        default: https://example.com</w:t>
      </w:r>
    </w:p>
    <w:p w:rsidR="00CB0DD7" w:rsidRPr="000A0A5F" w:rsidRDefault="00CB0DD7">
      <w:pPr>
        <w:pStyle w:val="PL"/>
      </w:pPr>
      <w:r w:rsidRPr="000A0A5F">
        <w:t xml:space="preserve">        description: apiRoot as defined in clause 5.2.4 of 3GPP TS 29.122.</w:t>
      </w:r>
    </w:p>
    <w:p w:rsidR="00E004D9" w:rsidRPr="000A0A5F" w:rsidRDefault="00E004D9">
      <w:pPr>
        <w:pStyle w:val="PL"/>
      </w:pPr>
    </w:p>
    <w:p w:rsidR="00CB0DD7" w:rsidRPr="000A0A5F" w:rsidRDefault="00CB0DD7">
      <w:pPr>
        <w:pStyle w:val="PL"/>
      </w:pPr>
      <w:r w:rsidRPr="000A0A5F">
        <w:t>paths:</w:t>
      </w:r>
    </w:p>
    <w:p w:rsidR="00CB0DD7" w:rsidRPr="000A0A5F" w:rsidRDefault="00CB0DD7">
      <w:pPr>
        <w:pStyle w:val="PL"/>
      </w:pPr>
      <w:r w:rsidRPr="000A0A5F">
        <w:t xml:space="preserve">  /{scsAsId}/subscriptions:</w:t>
      </w:r>
    </w:p>
    <w:p w:rsidR="00CB0DD7" w:rsidRPr="000A0A5F" w:rsidRDefault="00CB0DD7">
      <w:pPr>
        <w:pStyle w:val="PL"/>
      </w:pPr>
      <w:r w:rsidRPr="000A0A5F">
        <w:t xml:space="preserve">    get:</w:t>
      </w:r>
    </w:p>
    <w:p w:rsidR="00CB0DD7" w:rsidRPr="000A0A5F" w:rsidRDefault="00CB0DD7">
      <w:pPr>
        <w:pStyle w:val="PL"/>
      </w:pPr>
      <w:r w:rsidRPr="000A0A5F">
        <w:t xml:space="preserve">      summary: </w:t>
      </w:r>
      <w:r w:rsidR="00A1436B" w:rsidRPr="000A0A5F">
        <w:t>R</w:t>
      </w:r>
      <w:r w:rsidRPr="000A0A5F">
        <w:t xml:space="preserve">ead all </w:t>
      </w:r>
      <w:r w:rsidR="00F4764B" w:rsidRPr="000A0A5F">
        <w:t>or queried</w:t>
      </w:r>
      <w:r w:rsidRPr="000A0A5F">
        <w:t xml:space="preserve"> active subscriptions for the SCS/AS</w:t>
      </w:r>
      <w:r w:rsidR="00A1436B" w:rsidRPr="000A0A5F">
        <w:t>.</w:t>
      </w:r>
    </w:p>
    <w:p w:rsidR="00A1436B" w:rsidRPr="000A0A5F" w:rsidRDefault="00A1436B" w:rsidP="00A1436B">
      <w:pPr>
        <w:pStyle w:val="PL"/>
      </w:pPr>
      <w:r w:rsidRPr="000A0A5F">
        <w:t xml:space="preserve">      </w:t>
      </w:r>
      <w:r w:rsidRPr="000A0A5F">
        <w:rPr>
          <w:rFonts w:cs="Courier New"/>
          <w:szCs w:val="16"/>
        </w:rPr>
        <w:t>operationId: FetchAll</w:t>
      </w:r>
      <w:r w:rsidRPr="000A0A5F">
        <w:rPr>
          <w:rFonts w:hint="eastAsia"/>
          <w:lang w:eastAsia="zh-CN"/>
        </w:rPr>
        <w:t>ASSession</w:t>
      </w:r>
      <w:r w:rsidRPr="000A0A5F">
        <w:rPr>
          <w:lang w:eastAsia="zh-CN"/>
        </w:rPr>
        <w:t>W</w:t>
      </w:r>
      <w:r w:rsidRPr="000A0A5F">
        <w:rPr>
          <w:rFonts w:hint="eastAsia"/>
          <w:lang w:eastAsia="zh-CN"/>
        </w:rPr>
        <w:t>ithQoS</w:t>
      </w:r>
      <w:r w:rsidRPr="000A0A5F">
        <w:t>Subscriptions</w:t>
      </w:r>
    </w:p>
    <w:p w:rsidR="00CB0DD7" w:rsidRPr="000A0A5F" w:rsidRDefault="00CB0DD7">
      <w:pPr>
        <w:pStyle w:val="PL"/>
      </w:pPr>
      <w:r w:rsidRPr="000A0A5F">
        <w:t xml:space="preserve">      tags:</w:t>
      </w:r>
    </w:p>
    <w:p w:rsidR="00CB0DD7" w:rsidRPr="000A0A5F" w:rsidRDefault="00CB0DD7">
      <w:pPr>
        <w:pStyle w:val="PL"/>
      </w:pPr>
      <w:r w:rsidRPr="000A0A5F">
        <w:t xml:space="preserve">        - </w:t>
      </w:r>
      <w:r w:rsidR="00A1436B" w:rsidRPr="000A0A5F">
        <w:t>AS Session with Required QoS Subscriptions</w:t>
      </w:r>
    </w:p>
    <w:p w:rsidR="00CB0DD7" w:rsidRPr="000A0A5F" w:rsidRDefault="00CB0DD7">
      <w:pPr>
        <w:pStyle w:val="PL"/>
      </w:pPr>
      <w:r w:rsidRPr="000A0A5F">
        <w:t xml:space="preserve">      parameters:</w:t>
      </w:r>
    </w:p>
    <w:p w:rsidR="00CB0DD7" w:rsidRPr="000A0A5F" w:rsidRDefault="00CB0DD7">
      <w:pPr>
        <w:pStyle w:val="PL"/>
      </w:pPr>
      <w:r w:rsidRPr="000A0A5F">
        <w:t xml:space="preserve">        - name: scsAsId</w:t>
      </w:r>
    </w:p>
    <w:p w:rsidR="00CB0DD7" w:rsidRPr="000A0A5F" w:rsidRDefault="00CB0DD7">
      <w:pPr>
        <w:pStyle w:val="PL"/>
      </w:pPr>
      <w:r w:rsidRPr="000A0A5F">
        <w:t xml:space="preserve">          in: path</w:t>
      </w:r>
    </w:p>
    <w:p w:rsidR="00CB0DD7" w:rsidRPr="000A0A5F" w:rsidRDefault="00CB0DD7">
      <w:pPr>
        <w:pStyle w:val="PL"/>
      </w:pPr>
      <w:r w:rsidRPr="000A0A5F">
        <w:t xml:space="preserve">          description: Identifier of the SCS/AS</w:t>
      </w:r>
    </w:p>
    <w:p w:rsidR="00CB0DD7" w:rsidRPr="000A0A5F" w:rsidRDefault="00CB0DD7">
      <w:pPr>
        <w:pStyle w:val="PL"/>
      </w:pPr>
      <w:r w:rsidRPr="000A0A5F">
        <w:t xml:space="preserve">          required: true</w:t>
      </w:r>
    </w:p>
    <w:p w:rsidR="00CB0DD7" w:rsidRPr="000A0A5F" w:rsidRDefault="00CB0DD7">
      <w:pPr>
        <w:pStyle w:val="PL"/>
      </w:pPr>
      <w:r w:rsidRPr="000A0A5F">
        <w:t xml:space="preserve">          schema:</w:t>
      </w:r>
    </w:p>
    <w:p w:rsidR="00CB0DD7" w:rsidRPr="000A0A5F" w:rsidRDefault="00CB0DD7">
      <w:pPr>
        <w:pStyle w:val="PL"/>
      </w:pPr>
      <w:r w:rsidRPr="000A0A5F">
        <w:t xml:space="preserve">            type: string</w:t>
      </w:r>
    </w:p>
    <w:p w:rsidR="009471F2" w:rsidRPr="000A0A5F" w:rsidRDefault="009471F2" w:rsidP="009471F2">
      <w:pPr>
        <w:pStyle w:val="PL"/>
      </w:pPr>
      <w:r w:rsidRPr="000A0A5F">
        <w:t xml:space="preserve">        - name: ip-addrs</w:t>
      </w:r>
    </w:p>
    <w:p w:rsidR="009471F2" w:rsidRPr="000A0A5F" w:rsidRDefault="009471F2" w:rsidP="009471F2">
      <w:pPr>
        <w:pStyle w:val="PL"/>
      </w:pPr>
      <w:r w:rsidRPr="000A0A5F">
        <w:t xml:space="preserve">          in: query</w:t>
      </w:r>
    </w:p>
    <w:p w:rsidR="009471F2" w:rsidRPr="000A0A5F" w:rsidRDefault="009471F2" w:rsidP="009471F2">
      <w:pPr>
        <w:pStyle w:val="PL"/>
      </w:pPr>
      <w:r w:rsidRPr="000A0A5F">
        <w:t xml:space="preserve">          description: The IP address(es) of the requested UE(s).</w:t>
      </w:r>
    </w:p>
    <w:p w:rsidR="009471F2" w:rsidRPr="000A0A5F" w:rsidRDefault="009471F2" w:rsidP="009471F2">
      <w:pPr>
        <w:pStyle w:val="PL"/>
      </w:pPr>
      <w:r w:rsidRPr="000A0A5F">
        <w:t xml:space="preserve">          required: false</w:t>
      </w:r>
    </w:p>
    <w:p w:rsidR="00491D21" w:rsidRPr="000A0A5F" w:rsidRDefault="00491D21" w:rsidP="00491D21">
      <w:pPr>
        <w:pStyle w:val="PL"/>
      </w:pPr>
      <w:r w:rsidRPr="000A0A5F">
        <w:t xml:space="preserve">          content:</w:t>
      </w:r>
    </w:p>
    <w:p w:rsidR="00491D21" w:rsidRPr="000A0A5F" w:rsidRDefault="00491D21" w:rsidP="00491D21">
      <w:pPr>
        <w:pStyle w:val="PL"/>
      </w:pPr>
      <w:r w:rsidRPr="000A0A5F">
        <w:t xml:space="preserve">            application/json:</w:t>
      </w:r>
    </w:p>
    <w:p w:rsidR="009471F2" w:rsidRPr="000A0A5F" w:rsidRDefault="009471F2" w:rsidP="009471F2">
      <w:pPr>
        <w:pStyle w:val="PL"/>
      </w:pPr>
      <w:r w:rsidRPr="000A0A5F">
        <w:t xml:space="preserve">          </w:t>
      </w:r>
      <w:r w:rsidR="00491D21" w:rsidRPr="000A0A5F">
        <w:t xml:space="preserve">    </w:t>
      </w:r>
      <w:r w:rsidRPr="000A0A5F">
        <w:t>schema:</w:t>
      </w:r>
    </w:p>
    <w:p w:rsidR="009471F2" w:rsidRPr="000A0A5F" w:rsidRDefault="009471F2" w:rsidP="009471F2">
      <w:pPr>
        <w:pStyle w:val="PL"/>
      </w:pPr>
      <w:r w:rsidRPr="000A0A5F">
        <w:t xml:space="preserve">            </w:t>
      </w:r>
      <w:r w:rsidR="00491D21" w:rsidRPr="000A0A5F">
        <w:t xml:space="preserve">    </w:t>
      </w:r>
      <w:r w:rsidRPr="000A0A5F">
        <w:t>type: array</w:t>
      </w:r>
    </w:p>
    <w:p w:rsidR="009471F2" w:rsidRPr="000A0A5F" w:rsidRDefault="009471F2" w:rsidP="009471F2">
      <w:pPr>
        <w:pStyle w:val="PL"/>
      </w:pPr>
      <w:r w:rsidRPr="000A0A5F">
        <w:t xml:space="preserve">            </w:t>
      </w:r>
      <w:r w:rsidR="00491D21" w:rsidRPr="000A0A5F">
        <w:t xml:space="preserve">    </w:t>
      </w:r>
      <w:r w:rsidRPr="000A0A5F">
        <w:t>items:</w:t>
      </w:r>
    </w:p>
    <w:p w:rsidR="009471F2" w:rsidRPr="000A0A5F" w:rsidRDefault="009471F2" w:rsidP="009471F2">
      <w:pPr>
        <w:pStyle w:val="PL"/>
      </w:pPr>
      <w:r w:rsidRPr="000A0A5F">
        <w:t xml:space="preserve">              </w:t>
      </w:r>
      <w:r w:rsidR="00491D21" w:rsidRPr="000A0A5F">
        <w:t xml:space="preserve">    </w:t>
      </w:r>
      <w:r w:rsidRPr="000A0A5F">
        <w:t>$ref: 'TS29571_CommonData.yaml#/components/schemas/IpAddr'</w:t>
      </w:r>
    </w:p>
    <w:p w:rsidR="009471F2" w:rsidRPr="000A0A5F" w:rsidRDefault="009471F2" w:rsidP="009471F2">
      <w:pPr>
        <w:pStyle w:val="PL"/>
      </w:pPr>
      <w:r w:rsidRPr="000A0A5F">
        <w:t xml:space="preserve">            </w:t>
      </w:r>
      <w:r w:rsidR="00491D21" w:rsidRPr="000A0A5F">
        <w:t xml:space="preserve">    </w:t>
      </w:r>
      <w:r w:rsidRPr="000A0A5F">
        <w:t>minItems: 1</w:t>
      </w:r>
    </w:p>
    <w:p w:rsidR="009471F2" w:rsidRPr="000A0A5F" w:rsidRDefault="009471F2" w:rsidP="009471F2">
      <w:pPr>
        <w:pStyle w:val="PL"/>
      </w:pPr>
      <w:r w:rsidRPr="000A0A5F">
        <w:t xml:space="preserve">        - name: ip-domain</w:t>
      </w:r>
    </w:p>
    <w:p w:rsidR="009471F2" w:rsidRPr="000A0A5F" w:rsidRDefault="009471F2" w:rsidP="009471F2">
      <w:pPr>
        <w:pStyle w:val="PL"/>
      </w:pPr>
      <w:r w:rsidRPr="000A0A5F">
        <w:t xml:space="preserve">          in: query</w:t>
      </w:r>
    </w:p>
    <w:p w:rsidR="00E004D9" w:rsidRPr="000A0A5F" w:rsidRDefault="009471F2" w:rsidP="009471F2">
      <w:pPr>
        <w:pStyle w:val="PL"/>
      </w:pPr>
      <w:r w:rsidRPr="000A0A5F">
        <w:t xml:space="preserve">          description: </w:t>
      </w:r>
      <w:r w:rsidR="00E004D9" w:rsidRPr="000A0A5F">
        <w:t>&gt;</w:t>
      </w:r>
    </w:p>
    <w:p w:rsidR="00E004D9" w:rsidRPr="000A0A5F" w:rsidRDefault="00E004D9" w:rsidP="009471F2">
      <w:pPr>
        <w:pStyle w:val="PL"/>
      </w:pPr>
      <w:r w:rsidRPr="000A0A5F">
        <w:t xml:space="preserve">            </w:t>
      </w:r>
      <w:r w:rsidR="009471F2" w:rsidRPr="000A0A5F">
        <w:t>The IPv4 address domain identifier. The attribute may only be provided if IPv4 address</w:t>
      </w:r>
    </w:p>
    <w:p w:rsidR="009471F2" w:rsidRPr="000A0A5F" w:rsidRDefault="00E004D9" w:rsidP="009471F2">
      <w:pPr>
        <w:pStyle w:val="PL"/>
      </w:pPr>
      <w:r w:rsidRPr="000A0A5F">
        <w:t xml:space="preserve">           </w:t>
      </w:r>
      <w:r w:rsidR="009471F2" w:rsidRPr="000A0A5F">
        <w:t xml:space="preserve"> is included in the ip-addrs query parameter.</w:t>
      </w:r>
    </w:p>
    <w:p w:rsidR="009471F2" w:rsidRPr="000A0A5F" w:rsidRDefault="009471F2" w:rsidP="009471F2">
      <w:pPr>
        <w:pStyle w:val="PL"/>
      </w:pPr>
      <w:r w:rsidRPr="000A0A5F">
        <w:t xml:space="preserve">          required: false</w:t>
      </w:r>
    </w:p>
    <w:p w:rsidR="009471F2" w:rsidRPr="000A0A5F" w:rsidRDefault="009471F2" w:rsidP="009471F2">
      <w:pPr>
        <w:pStyle w:val="PL"/>
      </w:pPr>
      <w:r w:rsidRPr="000A0A5F">
        <w:t xml:space="preserve">          schema:</w:t>
      </w:r>
    </w:p>
    <w:p w:rsidR="009471F2" w:rsidRPr="000A0A5F" w:rsidRDefault="009471F2" w:rsidP="009471F2">
      <w:pPr>
        <w:pStyle w:val="PL"/>
      </w:pPr>
      <w:r w:rsidRPr="000A0A5F">
        <w:t xml:space="preserve">            type: string</w:t>
      </w:r>
    </w:p>
    <w:p w:rsidR="009471F2" w:rsidRPr="000A0A5F" w:rsidRDefault="009471F2" w:rsidP="009471F2">
      <w:pPr>
        <w:pStyle w:val="PL"/>
      </w:pPr>
      <w:r w:rsidRPr="000A0A5F">
        <w:t xml:space="preserve">        - name: mac-addrs</w:t>
      </w:r>
    </w:p>
    <w:p w:rsidR="009471F2" w:rsidRPr="000A0A5F" w:rsidRDefault="009471F2" w:rsidP="009471F2">
      <w:pPr>
        <w:pStyle w:val="PL"/>
      </w:pPr>
      <w:r w:rsidRPr="000A0A5F">
        <w:t xml:space="preserve">          in: query</w:t>
      </w:r>
    </w:p>
    <w:p w:rsidR="009471F2" w:rsidRPr="000A0A5F" w:rsidRDefault="009471F2" w:rsidP="009471F2">
      <w:pPr>
        <w:pStyle w:val="PL"/>
      </w:pPr>
      <w:r w:rsidRPr="000A0A5F">
        <w:t xml:space="preserve">          description: The MAC address(es) of the requested UE(s).</w:t>
      </w:r>
    </w:p>
    <w:p w:rsidR="009471F2" w:rsidRPr="000A0A5F" w:rsidRDefault="009471F2" w:rsidP="009471F2">
      <w:pPr>
        <w:pStyle w:val="PL"/>
      </w:pPr>
      <w:r w:rsidRPr="000A0A5F">
        <w:t xml:space="preserve">          required: false</w:t>
      </w:r>
    </w:p>
    <w:p w:rsidR="009471F2" w:rsidRPr="000A0A5F" w:rsidRDefault="009471F2" w:rsidP="009471F2">
      <w:pPr>
        <w:pStyle w:val="PL"/>
      </w:pPr>
      <w:r w:rsidRPr="000A0A5F">
        <w:t xml:space="preserve">          schema:</w:t>
      </w:r>
    </w:p>
    <w:p w:rsidR="009471F2" w:rsidRPr="000A0A5F" w:rsidRDefault="009471F2" w:rsidP="009471F2">
      <w:pPr>
        <w:pStyle w:val="PL"/>
      </w:pPr>
      <w:r w:rsidRPr="000A0A5F">
        <w:t xml:space="preserve">            type: array</w:t>
      </w:r>
    </w:p>
    <w:p w:rsidR="009471F2" w:rsidRPr="000A0A5F" w:rsidRDefault="009471F2" w:rsidP="009471F2">
      <w:pPr>
        <w:pStyle w:val="PL"/>
      </w:pPr>
      <w:r w:rsidRPr="000A0A5F">
        <w:t xml:space="preserve">            items:</w:t>
      </w:r>
    </w:p>
    <w:p w:rsidR="009471F2" w:rsidRPr="000A0A5F" w:rsidRDefault="009471F2" w:rsidP="009471F2">
      <w:pPr>
        <w:pStyle w:val="PL"/>
      </w:pPr>
      <w:r w:rsidRPr="000A0A5F">
        <w:t xml:space="preserve">              $ref: 'TS29571_CommonData.yaml#/components/schemas/MacAddr48'</w:t>
      </w:r>
    </w:p>
    <w:p w:rsidR="009471F2" w:rsidRPr="000A0A5F" w:rsidRDefault="009471F2" w:rsidP="009471F2">
      <w:pPr>
        <w:pStyle w:val="PL"/>
      </w:pPr>
      <w:r w:rsidRPr="000A0A5F">
        <w:t xml:space="preserve">            minItems: 1</w:t>
      </w:r>
    </w:p>
    <w:p w:rsidR="00CB0DD7" w:rsidRPr="000A0A5F" w:rsidRDefault="00CB0DD7" w:rsidP="009471F2">
      <w:pPr>
        <w:pStyle w:val="PL"/>
      </w:pPr>
      <w:r w:rsidRPr="000A0A5F">
        <w:t xml:space="preserve">      responses:</w:t>
      </w:r>
    </w:p>
    <w:p w:rsidR="00CB0DD7" w:rsidRPr="000A0A5F" w:rsidRDefault="00CB0DD7">
      <w:pPr>
        <w:pStyle w:val="PL"/>
      </w:pPr>
      <w:r w:rsidRPr="000A0A5F">
        <w:t xml:space="preserve">        '200':</w:t>
      </w:r>
    </w:p>
    <w:p w:rsidR="00CB0DD7" w:rsidRPr="000A0A5F" w:rsidRDefault="00CB0DD7">
      <w:pPr>
        <w:pStyle w:val="PL"/>
      </w:pPr>
      <w:r w:rsidRPr="000A0A5F">
        <w:t xml:space="preserve">          description: OK.</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application/json:</w:t>
      </w:r>
    </w:p>
    <w:p w:rsidR="00CB0DD7" w:rsidRPr="000A0A5F" w:rsidRDefault="00CB0DD7">
      <w:pPr>
        <w:pStyle w:val="PL"/>
      </w:pPr>
      <w:r w:rsidRPr="000A0A5F">
        <w:t xml:space="preserve">              schema:</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$ref: '#/components/schemas/AsSessionWithQoSSubscription'</w:t>
      </w:r>
    </w:p>
    <w:p w:rsidR="00CB0DD7" w:rsidRPr="000A0A5F" w:rsidRDefault="00CB0DD7">
      <w:pPr>
        <w:pStyle w:val="PL"/>
      </w:pPr>
      <w:r w:rsidRPr="000A0A5F">
        <w:t xml:space="preserve">        '307':</w:t>
      </w:r>
    </w:p>
    <w:p w:rsidR="00CB0DD7" w:rsidRPr="000A0A5F" w:rsidRDefault="00CB0DD7">
      <w:pPr>
        <w:pStyle w:val="PL"/>
      </w:pPr>
      <w:r w:rsidRPr="000A0A5F">
        <w:t xml:space="preserve">          $ref: 'TS29122_CommonData.yaml#/components/responses/307'</w:t>
      </w:r>
    </w:p>
    <w:p w:rsidR="00CB0DD7" w:rsidRPr="000A0A5F" w:rsidRDefault="00CB0DD7">
      <w:pPr>
        <w:pStyle w:val="PL"/>
      </w:pPr>
      <w:r w:rsidRPr="000A0A5F">
        <w:t xml:space="preserve">        '308':</w:t>
      </w:r>
    </w:p>
    <w:p w:rsidR="00CB0DD7" w:rsidRPr="000A0A5F" w:rsidRDefault="00CB0DD7">
      <w:pPr>
        <w:pStyle w:val="PL"/>
      </w:pPr>
      <w:r w:rsidRPr="000A0A5F">
        <w:t xml:space="preserve">          $ref: 'TS29122_CommonData.yaml#/components/responses/308'</w:t>
      </w:r>
    </w:p>
    <w:p w:rsidR="00CB0DD7" w:rsidRPr="000A0A5F" w:rsidRDefault="00CB0DD7">
      <w:pPr>
        <w:pStyle w:val="PL"/>
      </w:pPr>
      <w:r w:rsidRPr="000A0A5F">
        <w:t xml:space="preserve">        '400':</w:t>
      </w:r>
    </w:p>
    <w:p w:rsidR="00CB0DD7" w:rsidRPr="000A0A5F" w:rsidRDefault="00CB0DD7">
      <w:pPr>
        <w:pStyle w:val="PL"/>
      </w:pPr>
      <w:r w:rsidRPr="000A0A5F">
        <w:t xml:space="preserve">          $ref: 'TS29122_CommonData.yaml#/components/responses/400'</w:t>
      </w:r>
    </w:p>
    <w:p w:rsidR="00CB0DD7" w:rsidRPr="000A0A5F" w:rsidRDefault="00CB0DD7">
      <w:pPr>
        <w:pStyle w:val="PL"/>
      </w:pPr>
      <w:r w:rsidRPr="000A0A5F">
        <w:t xml:space="preserve">        '401':</w:t>
      </w:r>
    </w:p>
    <w:p w:rsidR="00CB0DD7" w:rsidRPr="000A0A5F" w:rsidRDefault="00CB0DD7">
      <w:pPr>
        <w:pStyle w:val="PL"/>
      </w:pPr>
      <w:r w:rsidRPr="000A0A5F">
        <w:t xml:space="preserve">          $ref: 'TS29122_CommonData.yaml#/components/responses/401'</w:t>
      </w:r>
    </w:p>
    <w:p w:rsidR="00CB0DD7" w:rsidRPr="000A0A5F" w:rsidRDefault="00CB0DD7">
      <w:pPr>
        <w:pStyle w:val="PL"/>
      </w:pPr>
      <w:r w:rsidRPr="000A0A5F">
        <w:t xml:space="preserve">        '403':</w:t>
      </w:r>
    </w:p>
    <w:p w:rsidR="00CB0DD7" w:rsidRPr="000A0A5F" w:rsidRDefault="00CB0DD7">
      <w:pPr>
        <w:pStyle w:val="PL"/>
      </w:pPr>
      <w:r w:rsidRPr="000A0A5F">
        <w:t xml:space="preserve">          $ref: 'TS29122_CommonData.yaml#/components/responses/403'</w:t>
      </w:r>
    </w:p>
    <w:p w:rsidR="00CB0DD7" w:rsidRPr="000A0A5F" w:rsidRDefault="00CB0DD7">
      <w:pPr>
        <w:pStyle w:val="PL"/>
      </w:pPr>
      <w:r w:rsidRPr="000A0A5F">
        <w:t xml:space="preserve">        '404':</w:t>
      </w:r>
    </w:p>
    <w:p w:rsidR="00CB0DD7" w:rsidRPr="000A0A5F" w:rsidRDefault="00CB0DD7">
      <w:pPr>
        <w:pStyle w:val="PL"/>
      </w:pPr>
      <w:r w:rsidRPr="000A0A5F">
        <w:t xml:space="preserve">          $ref: 'TS29122_CommonData.yaml#/components/responses/404'</w:t>
      </w:r>
    </w:p>
    <w:p w:rsidR="00CB0DD7" w:rsidRPr="000A0A5F" w:rsidRDefault="00CB0DD7">
      <w:pPr>
        <w:pStyle w:val="PL"/>
      </w:pPr>
      <w:r w:rsidRPr="000A0A5F">
        <w:t xml:space="preserve">        '406':</w:t>
      </w:r>
    </w:p>
    <w:p w:rsidR="00CB0DD7" w:rsidRPr="000A0A5F" w:rsidRDefault="00CB0DD7">
      <w:pPr>
        <w:pStyle w:val="PL"/>
      </w:pPr>
      <w:r w:rsidRPr="000A0A5F">
        <w:t xml:space="preserve">          $ref: 'TS29122_CommonData.yaml#/components/responses/406'</w:t>
      </w:r>
    </w:p>
    <w:p w:rsidR="00CB0DD7" w:rsidRPr="000A0A5F" w:rsidRDefault="00CB0DD7">
      <w:pPr>
        <w:pStyle w:val="PL"/>
      </w:pPr>
      <w:r w:rsidRPr="000A0A5F">
        <w:t xml:space="preserve">        '429':</w:t>
      </w:r>
    </w:p>
    <w:p w:rsidR="00CB0DD7" w:rsidRPr="000A0A5F" w:rsidRDefault="00CB0DD7">
      <w:pPr>
        <w:pStyle w:val="PL"/>
      </w:pPr>
      <w:r w:rsidRPr="000A0A5F">
        <w:t xml:space="preserve">          $ref: 'TS29122_CommonData.yaml#/components/responses/429'</w:t>
      </w:r>
    </w:p>
    <w:p w:rsidR="00CB0DD7" w:rsidRPr="000A0A5F" w:rsidRDefault="00CB0DD7">
      <w:pPr>
        <w:pStyle w:val="PL"/>
      </w:pPr>
      <w:r w:rsidRPr="000A0A5F">
        <w:t xml:space="preserve">        '500':</w:t>
      </w:r>
    </w:p>
    <w:p w:rsidR="00CB0DD7" w:rsidRPr="000A0A5F" w:rsidRDefault="00CB0DD7">
      <w:pPr>
        <w:pStyle w:val="PL"/>
      </w:pPr>
      <w:r w:rsidRPr="000A0A5F">
        <w:t xml:space="preserve">          $ref: 'TS29122_CommonData.yaml#/components/responses/500'</w:t>
      </w:r>
    </w:p>
    <w:p w:rsidR="00CB0DD7" w:rsidRPr="000A0A5F" w:rsidRDefault="00CB0DD7">
      <w:pPr>
        <w:pStyle w:val="PL"/>
      </w:pPr>
      <w:r w:rsidRPr="000A0A5F">
        <w:t xml:space="preserve">        '503':</w:t>
      </w:r>
    </w:p>
    <w:p w:rsidR="00CB0DD7" w:rsidRPr="000A0A5F" w:rsidRDefault="00CB0DD7">
      <w:pPr>
        <w:pStyle w:val="PL"/>
      </w:pPr>
      <w:r w:rsidRPr="000A0A5F">
        <w:t xml:space="preserve">          $ref: 'TS29122_CommonData.yaml#/components/responses/503'</w:t>
      </w:r>
    </w:p>
    <w:p w:rsidR="00CB0DD7" w:rsidRPr="000A0A5F" w:rsidRDefault="00CB0DD7">
      <w:pPr>
        <w:pStyle w:val="PL"/>
      </w:pPr>
      <w:r w:rsidRPr="000A0A5F">
        <w:t xml:space="preserve">        default:</w:t>
      </w:r>
    </w:p>
    <w:p w:rsidR="00CB0DD7" w:rsidRPr="000A0A5F" w:rsidRDefault="00CB0DD7">
      <w:pPr>
        <w:pStyle w:val="PL"/>
      </w:pPr>
      <w:r w:rsidRPr="000A0A5F">
        <w:t xml:space="preserve">          $ref: 'TS29122_CommonData.yaml#/components/responses/default'</w:t>
      </w:r>
    </w:p>
    <w:p w:rsidR="00CB0DD7" w:rsidRPr="000A0A5F" w:rsidRDefault="00CB0DD7">
      <w:pPr>
        <w:pStyle w:val="PL"/>
      </w:pPr>
    </w:p>
    <w:p w:rsidR="00CB0DD7" w:rsidRPr="000A0A5F" w:rsidRDefault="00CB0DD7">
      <w:pPr>
        <w:pStyle w:val="PL"/>
      </w:pPr>
      <w:r w:rsidRPr="000A0A5F">
        <w:t xml:space="preserve">    post:</w:t>
      </w:r>
    </w:p>
    <w:p w:rsidR="00CB0DD7" w:rsidRPr="000A0A5F" w:rsidRDefault="00CB0DD7">
      <w:pPr>
        <w:pStyle w:val="PL"/>
      </w:pPr>
      <w:r w:rsidRPr="000A0A5F">
        <w:t xml:space="preserve">      summary: Creates a new subscription resource</w:t>
      </w:r>
      <w:r w:rsidR="00A1436B" w:rsidRPr="000A0A5F">
        <w:t>.</w:t>
      </w:r>
    </w:p>
    <w:p w:rsidR="00A1436B" w:rsidRPr="000A0A5F" w:rsidRDefault="00A1436B" w:rsidP="00A1436B">
      <w:pPr>
        <w:pStyle w:val="PL"/>
      </w:pPr>
      <w:r w:rsidRPr="000A0A5F">
        <w:t xml:space="preserve">      </w:t>
      </w:r>
      <w:r w:rsidRPr="000A0A5F">
        <w:rPr>
          <w:rFonts w:cs="Courier New"/>
          <w:szCs w:val="16"/>
        </w:rPr>
        <w:t>operationId: Create</w:t>
      </w:r>
      <w:r w:rsidRPr="000A0A5F">
        <w:rPr>
          <w:rFonts w:hint="eastAsia"/>
          <w:lang w:eastAsia="zh-CN"/>
        </w:rPr>
        <w:t>ASSession</w:t>
      </w:r>
      <w:r w:rsidRPr="000A0A5F">
        <w:rPr>
          <w:lang w:eastAsia="zh-CN"/>
        </w:rPr>
        <w:t>W</w:t>
      </w:r>
      <w:r w:rsidRPr="000A0A5F">
        <w:rPr>
          <w:rFonts w:hint="eastAsia"/>
          <w:lang w:eastAsia="zh-CN"/>
        </w:rPr>
        <w:t>ithQoS</w:t>
      </w:r>
      <w:r w:rsidRPr="000A0A5F">
        <w:t>Subscription</w:t>
      </w:r>
    </w:p>
    <w:p w:rsidR="00CB0DD7" w:rsidRPr="000A0A5F" w:rsidRDefault="00CB0DD7">
      <w:pPr>
        <w:pStyle w:val="PL"/>
      </w:pPr>
      <w:r w:rsidRPr="000A0A5F">
        <w:t xml:space="preserve">      tags:</w:t>
      </w:r>
    </w:p>
    <w:p w:rsidR="00CB0DD7" w:rsidRPr="000A0A5F" w:rsidRDefault="00CB0DD7">
      <w:pPr>
        <w:pStyle w:val="PL"/>
      </w:pPr>
      <w:r w:rsidRPr="000A0A5F">
        <w:t xml:space="preserve">        - </w:t>
      </w:r>
      <w:r w:rsidR="00A1436B" w:rsidRPr="000A0A5F">
        <w:t>AS Session with Required QoS Subscriptions</w:t>
      </w:r>
    </w:p>
    <w:p w:rsidR="00CB0DD7" w:rsidRPr="000A0A5F" w:rsidRDefault="00CB0DD7">
      <w:pPr>
        <w:pStyle w:val="PL"/>
      </w:pPr>
      <w:r w:rsidRPr="000A0A5F">
        <w:t xml:space="preserve">      parameters:</w:t>
      </w:r>
    </w:p>
    <w:p w:rsidR="00CB0DD7" w:rsidRPr="000A0A5F" w:rsidRDefault="00CB0DD7">
      <w:pPr>
        <w:pStyle w:val="PL"/>
      </w:pPr>
      <w:r w:rsidRPr="000A0A5F">
        <w:t xml:space="preserve">        - name: scsAsId</w:t>
      </w:r>
    </w:p>
    <w:p w:rsidR="00CB0DD7" w:rsidRPr="000A0A5F" w:rsidRDefault="00CB0DD7">
      <w:pPr>
        <w:pStyle w:val="PL"/>
      </w:pPr>
      <w:r w:rsidRPr="000A0A5F">
        <w:t xml:space="preserve">          in: path</w:t>
      </w:r>
    </w:p>
    <w:p w:rsidR="00CB0DD7" w:rsidRPr="000A0A5F" w:rsidRDefault="00CB0DD7">
      <w:pPr>
        <w:pStyle w:val="PL"/>
      </w:pPr>
      <w:r w:rsidRPr="000A0A5F">
        <w:t xml:space="preserve">          description: Identifier of the SCS/AS</w:t>
      </w:r>
    </w:p>
    <w:p w:rsidR="00CB0DD7" w:rsidRPr="000A0A5F" w:rsidRDefault="00CB0DD7">
      <w:pPr>
        <w:pStyle w:val="PL"/>
      </w:pPr>
      <w:r w:rsidRPr="000A0A5F">
        <w:t xml:space="preserve">          required: true</w:t>
      </w:r>
    </w:p>
    <w:p w:rsidR="00CB0DD7" w:rsidRPr="000A0A5F" w:rsidRDefault="00CB0DD7">
      <w:pPr>
        <w:pStyle w:val="PL"/>
      </w:pPr>
      <w:r w:rsidRPr="000A0A5F">
        <w:t xml:space="preserve">          schema:</w:t>
      </w:r>
    </w:p>
    <w:p w:rsidR="00CB0DD7" w:rsidRPr="000A0A5F" w:rsidRDefault="00CB0DD7">
      <w:pPr>
        <w:pStyle w:val="PL"/>
      </w:pPr>
      <w:r w:rsidRPr="000A0A5F">
        <w:t xml:space="preserve">            type: string</w:t>
      </w:r>
    </w:p>
    <w:p w:rsidR="00CB0DD7" w:rsidRPr="000A0A5F" w:rsidRDefault="00CB0DD7">
      <w:pPr>
        <w:pStyle w:val="PL"/>
      </w:pPr>
      <w:r w:rsidRPr="000A0A5F">
        <w:t xml:space="preserve">      requestBody:</w:t>
      </w:r>
    </w:p>
    <w:p w:rsidR="00CB0DD7" w:rsidRPr="000A0A5F" w:rsidRDefault="00CB0DD7">
      <w:pPr>
        <w:pStyle w:val="PL"/>
      </w:pPr>
      <w:r w:rsidRPr="000A0A5F">
        <w:t xml:space="preserve">        description: Request to create a new subscription resource</w:t>
      </w:r>
    </w:p>
    <w:p w:rsidR="00CB0DD7" w:rsidRPr="000A0A5F" w:rsidRDefault="00CB0DD7">
      <w:pPr>
        <w:pStyle w:val="PL"/>
      </w:pPr>
      <w:r w:rsidRPr="000A0A5F">
        <w:t xml:space="preserve">        required: true</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application/json:</w:t>
      </w:r>
    </w:p>
    <w:p w:rsidR="00CB0DD7" w:rsidRPr="000A0A5F" w:rsidRDefault="00CB0DD7">
      <w:pPr>
        <w:pStyle w:val="PL"/>
      </w:pPr>
      <w:r w:rsidRPr="000A0A5F">
        <w:t xml:space="preserve">            schema:</w:t>
      </w:r>
    </w:p>
    <w:p w:rsidR="00CB0DD7" w:rsidRPr="000A0A5F" w:rsidRDefault="00CB0DD7">
      <w:pPr>
        <w:pStyle w:val="PL"/>
      </w:pPr>
      <w:r w:rsidRPr="000A0A5F">
        <w:t xml:space="preserve">              $ref: '#/components/schemas/AsSessionWithQoSSubscription'</w:t>
      </w:r>
    </w:p>
    <w:p w:rsidR="00CB0DD7" w:rsidRPr="000A0A5F" w:rsidRDefault="00CB0DD7">
      <w:pPr>
        <w:pStyle w:val="PL"/>
      </w:pPr>
      <w:r w:rsidRPr="000A0A5F">
        <w:t xml:space="preserve">      callbacks:</w:t>
      </w:r>
    </w:p>
    <w:p w:rsidR="00CB0DD7" w:rsidRPr="000A0A5F" w:rsidRDefault="00CB0DD7">
      <w:pPr>
        <w:pStyle w:val="PL"/>
        <w:rPr>
          <w:lang w:val="fr-FR"/>
        </w:rPr>
      </w:pPr>
      <w:r w:rsidRPr="000A0A5F">
        <w:t xml:space="preserve">        </w:t>
      </w:r>
      <w:r w:rsidRPr="000A0A5F">
        <w:rPr>
          <w:lang w:val="fr-FR"/>
        </w:rPr>
        <w:t>notificationDestination:</w:t>
      </w:r>
    </w:p>
    <w:p w:rsidR="00CB0DD7" w:rsidRPr="000A0A5F" w:rsidRDefault="00CB0DD7">
      <w:pPr>
        <w:pStyle w:val="PL"/>
        <w:rPr>
          <w:lang w:val="fr-FR"/>
        </w:rPr>
      </w:pPr>
      <w:r w:rsidRPr="000A0A5F">
        <w:rPr>
          <w:lang w:val="fr-FR"/>
        </w:rPr>
        <w:t xml:space="preserve">          '{request.body#/notificationDestination}':</w:t>
      </w:r>
    </w:p>
    <w:p w:rsidR="00CB0DD7" w:rsidRPr="000A0A5F" w:rsidRDefault="00CB0DD7">
      <w:pPr>
        <w:pStyle w:val="PL"/>
      </w:pPr>
      <w:r w:rsidRPr="000A0A5F">
        <w:rPr>
          <w:lang w:val="fr-FR"/>
        </w:rPr>
        <w:t xml:space="preserve">            </w:t>
      </w:r>
      <w:r w:rsidRPr="000A0A5F">
        <w:t>post:</w:t>
      </w:r>
    </w:p>
    <w:p w:rsidR="00CB0DD7" w:rsidRPr="000A0A5F" w:rsidRDefault="00CB0DD7">
      <w:pPr>
        <w:pStyle w:val="PL"/>
      </w:pPr>
      <w:r w:rsidRPr="000A0A5F">
        <w:t xml:space="preserve">              requestBody:  # contents of the callback message</w:t>
      </w:r>
    </w:p>
    <w:p w:rsidR="00CB0DD7" w:rsidRPr="000A0A5F" w:rsidRDefault="00CB0DD7">
      <w:pPr>
        <w:pStyle w:val="PL"/>
      </w:pPr>
      <w:r w:rsidRPr="000A0A5F">
        <w:t xml:space="preserve">                required: true</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application/json:</w:t>
      </w:r>
    </w:p>
    <w:p w:rsidR="00CB0DD7" w:rsidRPr="000A0A5F" w:rsidRDefault="00CB0DD7">
      <w:pPr>
        <w:pStyle w:val="PL"/>
      </w:pPr>
      <w:r w:rsidRPr="000A0A5F">
        <w:t xml:space="preserve">                    schema:</w:t>
      </w:r>
    </w:p>
    <w:p w:rsidR="00CB0DD7" w:rsidRPr="000A0A5F" w:rsidRDefault="00CB0DD7">
      <w:pPr>
        <w:pStyle w:val="PL"/>
      </w:pPr>
      <w:r w:rsidRPr="000A0A5F">
        <w:t xml:space="preserve">                      $ref: '#/components/schemas/UserPlaneNotificationData</w:t>
      </w:r>
      <w:r w:rsidRPr="000A0A5F">
        <w:rPr>
          <w:lang w:val="en-US"/>
        </w:rPr>
        <w:t>'</w:t>
      </w:r>
    </w:p>
    <w:p w:rsidR="00CB0DD7" w:rsidRPr="000A0A5F" w:rsidRDefault="00CB0DD7">
      <w:pPr>
        <w:pStyle w:val="PL"/>
      </w:pPr>
      <w:r w:rsidRPr="000A0A5F">
        <w:t xml:space="preserve">              responses:</w:t>
      </w:r>
    </w:p>
    <w:p w:rsidR="00CB0DD7" w:rsidRPr="000A0A5F" w:rsidRDefault="00CB0DD7">
      <w:pPr>
        <w:pStyle w:val="PL"/>
      </w:pPr>
      <w:r w:rsidRPr="000A0A5F">
        <w:t xml:space="preserve">                '204':</w:t>
      </w:r>
    </w:p>
    <w:p w:rsidR="00CB0DD7" w:rsidRPr="000A0A5F" w:rsidRDefault="00CB0DD7">
      <w:pPr>
        <w:pStyle w:val="PL"/>
      </w:pPr>
      <w:r w:rsidRPr="000A0A5F">
        <w:t xml:space="preserve">                  description: No Content (successful notification)</w:t>
      </w:r>
    </w:p>
    <w:p w:rsidR="00CB0DD7" w:rsidRPr="000A0A5F" w:rsidRDefault="00CB0DD7">
      <w:pPr>
        <w:pStyle w:val="PL"/>
      </w:pPr>
      <w:r w:rsidRPr="000A0A5F">
        <w:t xml:space="preserve">                '307':</w:t>
      </w:r>
    </w:p>
    <w:p w:rsidR="00CB0DD7" w:rsidRPr="000A0A5F" w:rsidRDefault="00CB0DD7">
      <w:pPr>
        <w:pStyle w:val="PL"/>
      </w:pPr>
      <w:r w:rsidRPr="000A0A5F">
        <w:t xml:space="preserve">                  $ref: 'TS29122_CommonData.yaml#/components/responses/307'</w:t>
      </w:r>
    </w:p>
    <w:p w:rsidR="00CB0DD7" w:rsidRPr="000A0A5F" w:rsidRDefault="00CB0DD7">
      <w:pPr>
        <w:pStyle w:val="PL"/>
      </w:pPr>
      <w:r w:rsidRPr="000A0A5F">
        <w:t xml:space="preserve">                '308':</w:t>
      </w:r>
    </w:p>
    <w:p w:rsidR="00CB0DD7" w:rsidRPr="000A0A5F" w:rsidRDefault="00CB0DD7">
      <w:pPr>
        <w:pStyle w:val="PL"/>
      </w:pPr>
      <w:r w:rsidRPr="000A0A5F">
        <w:t xml:space="preserve">                  $ref: 'TS29122_CommonData.yaml#/components/responses/308'</w:t>
      </w:r>
    </w:p>
    <w:p w:rsidR="00CB0DD7" w:rsidRPr="000A0A5F" w:rsidRDefault="00CB0DD7">
      <w:pPr>
        <w:pStyle w:val="PL"/>
      </w:pPr>
      <w:r w:rsidRPr="000A0A5F">
        <w:t xml:space="preserve">                '400':</w:t>
      </w:r>
    </w:p>
    <w:p w:rsidR="00CB0DD7" w:rsidRPr="000A0A5F" w:rsidRDefault="00CB0DD7">
      <w:pPr>
        <w:pStyle w:val="PL"/>
      </w:pPr>
      <w:r w:rsidRPr="000A0A5F">
        <w:t xml:space="preserve">                  $ref: 'TS29122_CommonData.yaml#/components/responses/400'</w:t>
      </w:r>
    </w:p>
    <w:p w:rsidR="00CB0DD7" w:rsidRPr="000A0A5F" w:rsidRDefault="00CB0DD7">
      <w:pPr>
        <w:pStyle w:val="PL"/>
      </w:pPr>
      <w:r w:rsidRPr="000A0A5F">
        <w:t xml:space="preserve">                '401':</w:t>
      </w:r>
    </w:p>
    <w:p w:rsidR="00CB0DD7" w:rsidRPr="000A0A5F" w:rsidRDefault="00CB0DD7">
      <w:pPr>
        <w:pStyle w:val="PL"/>
      </w:pPr>
      <w:r w:rsidRPr="000A0A5F">
        <w:t xml:space="preserve">                  $ref: 'TS29122_CommonData.yaml#/components/responses/401'</w:t>
      </w:r>
    </w:p>
    <w:p w:rsidR="00CB0DD7" w:rsidRPr="000A0A5F" w:rsidRDefault="00CB0DD7">
      <w:pPr>
        <w:pStyle w:val="PL"/>
      </w:pPr>
      <w:r w:rsidRPr="000A0A5F">
        <w:t xml:space="preserve">                '403':</w:t>
      </w:r>
    </w:p>
    <w:p w:rsidR="00CB0DD7" w:rsidRPr="000A0A5F" w:rsidRDefault="00CB0DD7">
      <w:pPr>
        <w:pStyle w:val="PL"/>
      </w:pPr>
      <w:r w:rsidRPr="000A0A5F">
        <w:t xml:space="preserve">                  $ref: 'TS29122_CommonData.yaml#/components/responses/403'</w:t>
      </w:r>
    </w:p>
    <w:p w:rsidR="00CB0DD7" w:rsidRPr="000A0A5F" w:rsidRDefault="00CB0DD7">
      <w:pPr>
        <w:pStyle w:val="PL"/>
      </w:pPr>
      <w:r w:rsidRPr="000A0A5F">
        <w:t xml:space="preserve">                '404':</w:t>
      </w:r>
    </w:p>
    <w:p w:rsidR="00CB0DD7" w:rsidRPr="000A0A5F" w:rsidRDefault="00CB0DD7">
      <w:pPr>
        <w:pStyle w:val="PL"/>
      </w:pPr>
      <w:r w:rsidRPr="000A0A5F">
        <w:t xml:space="preserve">                  $ref: 'TS29122_CommonData.yaml#/components/responses/404'</w:t>
      </w:r>
    </w:p>
    <w:p w:rsidR="00CB0DD7" w:rsidRPr="000A0A5F" w:rsidRDefault="00CB0DD7">
      <w:pPr>
        <w:pStyle w:val="PL"/>
      </w:pPr>
      <w:r w:rsidRPr="000A0A5F">
        <w:t xml:space="preserve">                '411':</w:t>
      </w:r>
    </w:p>
    <w:p w:rsidR="00CB0DD7" w:rsidRPr="000A0A5F" w:rsidRDefault="00CB0DD7">
      <w:pPr>
        <w:pStyle w:val="PL"/>
      </w:pPr>
      <w:r w:rsidRPr="000A0A5F">
        <w:t xml:space="preserve">                  $ref: 'TS29122_CommonData.yaml#/components/responses/411'</w:t>
      </w:r>
    </w:p>
    <w:p w:rsidR="00CB0DD7" w:rsidRPr="000A0A5F" w:rsidRDefault="00CB0DD7">
      <w:pPr>
        <w:pStyle w:val="PL"/>
      </w:pPr>
      <w:r w:rsidRPr="000A0A5F">
        <w:t xml:space="preserve">                '413':</w:t>
      </w:r>
    </w:p>
    <w:p w:rsidR="00CB0DD7" w:rsidRPr="000A0A5F" w:rsidRDefault="00CB0DD7">
      <w:pPr>
        <w:pStyle w:val="PL"/>
      </w:pPr>
      <w:r w:rsidRPr="000A0A5F">
        <w:t xml:space="preserve">                  $ref: 'TS29122_CommonData.yaml#/components/responses/413'</w:t>
      </w:r>
    </w:p>
    <w:p w:rsidR="00CB0DD7" w:rsidRPr="000A0A5F" w:rsidRDefault="00CB0DD7">
      <w:pPr>
        <w:pStyle w:val="PL"/>
      </w:pPr>
      <w:r w:rsidRPr="000A0A5F">
        <w:t xml:space="preserve">                '415':</w:t>
      </w:r>
    </w:p>
    <w:p w:rsidR="00CB0DD7" w:rsidRPr="000A0A5F" w:rsidRDefault="00CB0DD7">
      <w:pPr>
        <w:pStyle w:val="PL"/>
      </w:pPr>
      <w:r w:rsidRPr="000A0A5F">
        <w:t xml:space="preserve">                  $ref: 'TS29122_CommonData.yaml#/components/responses/415'</w:t>
      </w:r>
    </w:p>
    <w:p w:rsidR="00CB0DD7" w:rsidRPr="000A0A5F" w:rsidRDefault="00CB0DD7">
      <w:pPr>
        <w:pStyle w:val="PL"/>
      </w:pPr>
      <w:r w:rsidRPr="000A0A5F">
        <w:t xml:space="preserve">                '429':</w:t>
      </w:r>
    </w:p>
    <w:p w:rsidR="00CB0DD7" w:rsidRPr="000A0A5F" w:rsidRDefault="00CB0DD7">
      <w:pPr>
        <w:pStyle w:val="PL"/>
      </w:pPr>
      <w:r w:rsidRPr="000A0A5F">
        <w:t xml:space="preserve">                  $ref: 'TS29122_CommonData.yaml#/components/responses/429'</w:t>
      </w:r>
    </w:p>
    <w:p w:rsidR="00CB0DD7" w:rsidRPr="000A0A5F" w:rsidRDefault="00CB0DD7">
      <w:pPr>
        <w:pStyle w:val="PL"/>
      </w:pPr>
      <w:r w:rsidRPr="000A0A5F">
        <w:t xml:space="preserve">                '500':</w:t>
      </w:r>
    </w:p>
    <w:p w:rsidR="00CB0DD7" w:rsidRPr="000A0A5F" w:rsidRDefault="00CB0DD7">
      <w:pPr>
        <w:pStyle w:val="PL"/>
      </w:pPr>
      <w:r w:rsidRPr="000A0A5F">
        <w:t xml:space="preserve">                  $ref: 'TS29122_CommonData.yaml#/components/responses/500'</w:t>
      </w:r>
    </w:p>
    <w:p w:rsidR="00CB0DD7" w:rsidRPr="000A0A5F" w:rsidRDefault="00CB0DD7">
      <w:pPr>
        <w:pStyle w:val="PL"/>
      </w:pPr>
      <w:r w:rsidRPr="000A0A5F">
        <w:t xml:space="preserve">                '503':</w:t>
      </w:r>
    </w:p>
    <w:p w:rsidR="00CB0DD7" w:rsidRPr="000A0A5F" w:rsidRDefault="00CB0DD7">
      <w:pPr>
        <w:pStyle w:val="PL"/>
      </w:pPr>
      <w:r w:rsidRPr="000A0A5F">
        <w:t xml:space="preserve">                  $ref: 'TS29122_CommonData.yaml#/components/responses/503'</w:t>
      </w:r>
    </w:p>
    <w:p w:rsidR="00CB0DD7" w:rsidRPr="000A0A5F" w:rsidRDefault="00CB0DD7">
      <w:pPr>
        <w:pStyle w:val="PL"/>
      </w:pPr>
      <w:r w:rsidRPr="000A0A5F">
        <w:t xml:space="preserve">                default:</w:t>
      </w:r>
    </w:p>
    <w:p w:rsidR="00CB0DD7" w:rsidRPr="000A0A5F" w:rsidRDefault="00CB0DD7">
      <w:pPr>
        <w:pStyle w:val="PL"/>
      </w:pPr>
      <w:r w:rsidRPr="000A0A5F">
        <w:t xml:space="preserve">                  $ref: 'TS29122_CommonData.yaml#/components/responses/default'</w:t>
      </w:r>
    </w:p>
    <w:p w:rsidR="00CB0DD7" w:rsidRPr="000A0A5F" w:rsidRDefault="00CB0DD7">
      <w:pPr>
        <w:pStyle w:val="PL"/>
      </w:pPr>
      <w:r w:rsidRPr="000A0A5F">
        <w:t xml:space="preserve">      responses:</w:t>
      </w:r>
    </w:p>
    <w:p w:rsidR="00CB0DD7" w:rsidRPr="000A0A5F" w:rsidRDefault="00CB0DD7">
      <w:pPr>
        <w:pStyle w:val="PL"/>
      </w:pPr>
      <w:r w:rsidRPr="000A0A5F">
        <w:t xml:space="preserve">        '201':</w:t>
      </w:r>
    </w:p>
    <w:p w:rsidR="00CB0DD7" w:rsidRPr="000A0A5F" w:rsidRDefault="00CB0DD7">
      <w:pPr>
        <w:pStyle w:val="PL"/>
      </w:pPr>
      <w:r w:rsidRPr="000A0A5F">
        <w:t xml:space="preserve">          description: Created (Successful creation of subscription)</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application/json:</w:t>
      </w:r>
    </w:p>
    <w:p w:rsidR="00CB0DD7" w:rsidRPr="000A0A5F" w:rsidRDefault="00CB0DD7">
      <w:pPr>
        <w:pStyle w:val="PL"/>
      </w:pPr>
      <w:r w:rsidRPr="000A0A5F">
        <w:t xml:space="preserve">              schema:</w:t>
      </w:r>
    </w:p>
    <w:p w:rsidR="00CB0DD7" w:rsidRPr="000A0A5F" w:rsidRDefault="00CB0DD7">
      <w:pPr>
        <w:pStyle w:val="PL"/>
      </w:pPr>
      <w:r w:rsidRPr="000A0A5F">
        <w:t xml:space="preserve">                $ref: '#/components/schemas/AsSessionWithQoSSubscription'</w:t>
      </w:r>
    </w:p>
    <w:p w:rsidR="00CB0DD7" w:rsidRPr="000A0A5F" w:rsidRDefault="00CB0DD7">
      <w:pPr>
        <w:pStyle w:val="PL"/>
      </w:pPr>
      <w:r w:rsidRPr="000A0A5F">
        <w:t xml:space="preserve">          headers:</w:t>
      </w:r>
    </w:p>
    <w:p w:rsidR="00CB0DD7" w:rsidRPr="000A0A5F" w:rsidRDefault="00CB0DD7">
      <w:pPr>
        <w:pStyle w:val="PL"/>
      </w:pPr>
      <w:r w:rsidRPr="000A0A5F">
        <w:t xml:space="preserve">            Location:</w:t>
      </w:r>
    </w:p>
    <w:p w:rsidR="00CB0DD7" w:rsidRPr="000A0A5F" w:rsidRDefault="00CB0DD7">
      <w:pPr>
        <w:pStyle w:val="PL"/>
      </w:pPr>
      <w:r w:rsidRPr="000A0A5F">
        <w:t xml:space="preserve">              description: 'Contains the URI of the newly created resource'</w:t>
      </w:r>
    </w:p>
    <w:p w:rsidR="00CB0DD7" w:rsidRPr="000A0A5F" w:rsidRDefault="00CB0DD7">
      <w:pPr>
        <w:pStyle w:val="PL"/>
      </w:pPr>
      <w:r w:rsidRPr="000A0A5F">
        <w:t xml:space="preserve">              required: true</w:t>
      </w:r>
    </w:p>
    <w:p w:rsidR="00CB0DD7" w:rsidRPr="000A0A5F" w:rsidRDefault="00CB0DD7">
      <w:pPr>
        <w:pStyle w:val="PL"/>
      </w:pPr>
      <w:r w:rsidRPr="000A0A5F">
        <w:t xml:space="preserve">              schema:</w:t>
      </w:r>
    </w:p>
    <w:p w:rsidR="00CB0DD7" w:rsidRPr="000A0A5F" w:rsidRDefault="00CB0DD7">
      <w:pPr>
        <w:pStyle w:val="PL"/>
      </w:pPr>
      <w:r w:rsidRPr="000A0A5F">
        <w:t xml:space="preserve">                type: string</w:t>
      </w:r>
    </w:p>
    <w:p w:rsidR="00CB0DD7" w:rsidRPr="000A0A5F" w:rsidRDefault="00CB0DD7">
      <w:pPr>
        <w:pStyle w:val="PL"/>
      </w:pPr>
      <w:r w:rsidRPr="000A0A5F">
        <w:t xml:space="preserve">        '400':</w:t>
      </w:r>
    </w:p>
    <w:p w:rsidR="00CB0DD7" w:rsidRPr="000A0A5F" w:rsidRDefault="00CB0DD7">
      <w:pPr>
        <w:pStyle w:val="PL"/>
      </w:pPr>
      <w:r w:rsidRPr="000A0A5F">
        <w:t xml:space="preserve">          $ref: 'TS29122_CommonData.yaml#/components/responses/400'</w:t>
      </w:r>
    </w:p>
    <w:p w:rsidR="00CB0DD7" w:rsidRPr="000A0A5F" w:rsidRDefault="00CB0DD7">
      <w:pPr>
        <w:pStyle w:val="PL"/>
      </w:pPr>
      <w:r w:rsidRPr="000A0A5F">
        <w:t xml:space="preserve">        '401':</w:t>
      </w:r>
    </w:p>
    <w:p w:rsidR="00CB0DD7" w:rsidRPr="000A0A5F" w:rsidRDefault="00CB0DD7">
      <w:pPr>
        <w:pStyle w:val="PL"/>
      </w:pPr>
      <w:r w:rsidRPr="000A0A5F">
        <w:t xml:space="preserve">          $ref: 'TS29122_CommonData.yaml#/components/responses/401'</w:t>
      </w:r>
    </w:p>
    <w:p w:rsidR="00CB0DD7" w:rsidRPr="000A0A5F" w:rsidRDefault="00CB0DD7">
      <w:pPr>
        <w:pStyle w:val="PL"/>
      </w:pPr>
      <w:r w:rsidRPr="000A0A5F">
        <w:t xml:space="preserve">        '403':</w:t>
      </w:r>
    </w:p>
    <w:p w:rsidR="008A36D8" w:rsidRPr="000A0A5F" w:rsidRDefault="008A36D8" w:rsidP="008A36D8">
      <w:pPr>
        <w:pStyle w:val="PL"/>
        <w:rPr>
          <w:rFonts w:cs="Courier New"/>
          <w:szCs w:val="16"/>
        </w:rPr>
      </w:pPr>
      <w:r w:rsidRPr="000A0A5F">
        <w:rPr>
          <w:rFonts w:cs="Courier New"/>
          <w:szCs w:val="16"/>
        </w:rPr>
        <w:t xml:space="preserve">          description: Forbidden</w:t>
      </w:r>
    </w:p>
    <w:p w:rsidR="008A36D8" w:rsidRPr="000A0A5F" w:rsidRDefault="008A36D8" w:rsidP="008A36D8">
      <w:pPr>
        <w:pStyle w:val="PL"/>
        <w:rPr>
          <w:rFonts w:cs="Courier New"/>
          <w:szCs w:val="16"/>
        </w:rPr>
      </w:pPr>
      <w:r w:rsidRPr="000A0A5F">
        <w:rPr>
          <w:rFonts w:cs="Courier New"/>
          <w:szCs w:val="16"/>
        </w:rPr>
        <w:t xml:space="preserve">          content:</w:t>
      </w:r>
    </w:p>
    <w:p w:rsidR="008A36D8" w:rsidRPr="000A0A5F" w:rsidRDefault="008A36D8" w:rsidP="008A36D8">
      <w:pPr>
        <w:pStyle w:val="PL"/>
        <w:rPr>
          <w:rFonts w:cs="Courier New"/>
          <w:szCs w:val="16"/>
        </w:rPr>
      </w:pPr>
      <w:r w:rsidRPr="000A0A5F">
        <w:rPr>
          <w:rFonts w:cs="Courier New"/>
          <w:szCs w:val="16"/>
        </w:rPr>
        <w:t xml:space="preserve">            application/problem+json:</w:t>
      </w:r>
    </w:p>
    <w:p w:rsidR="008A36D8" w:rsidRPr="000A0A5F" w:rsidRDefault="008A36D8" w:rsidP="008A36D8">
      <w:pPr>
        <w:pStyle w:val="PL"/>
        <w:rPr>
          <w:rFonts w:cs="Courier New"/>
          <w:szCs w:val="16"/>
        </w:rPr>
      </w:pPr>
      <w:r w:rsidRPr="000A0A5F">
        <w:rPr>
          <w:rFonts w:cs="Courier New"/>
          <w:szCs w:val="16"/>
        </w:rPr>
        <w:t xml:space="preserve">              schema:</w:t>
      </w:r>
    </w:p>
    <w:p w:rsidR="008A36D8" w:rsidRPr="000A0A5F" w:rsidRDefault="008A36D8" w:rsidP="008A36D8">
      <w:pPr>
        <w:pStyle w:val="PL"/>
        <w:rPr>
          <w:rFonts w:cs="Courier New"/>
          <w:szCs w:val="16"/>
        </w:rPr>
      </w:pPr>
      <w:r w:rsidRPr="000A0A5F">
        <w:rPr>
          <w:rFonts w:cs="Courier New"/>
          <w:szCs w:val="16"/>
        </w:rPr>
        <w:t xml:space="preserve">                $ref: '#/components/schemas/</w:t>
      </w:r>
      <w:r w:rsidRPr="000A0A5F">
        <w:t>ProblemDetailsAsSessionWithQos</w:t>
      </w:r>
      <w:r w:rsidRPr="000A0A5F">
        <w:rPr>
          <w:rFonts w:cs="Courier New"/>
          <w:szCs w:val="16"/>
        </w:rPr>
        <w:t>'</w:t>
      </w:r>
    </w:p>
    <w:p w:rsidR="008A36D8" w:rsidRPr="000A0A5F" w:rsidRDefault="008A36D8" w:rsidP="008A36D8">
      <w:pPr>
        <w:pStyle w:val="PL"/>
      </w:pPr>
      <w:r w:rsidRPr="000A0A5F">
        <w:t xml:space="preserve">          headers:</w:t>
      </w:r>
    </w:p>
    <w:p w:rsidR="008A36D8" w:rsidRPr="000A0A5F" w:rsidRDefault="008A36D8" w:rsidP="008A36D8">
      <w:pPr>
        <w:pStyle w:val="PL"/>
      </w:pPr>
      <w:r w:rsidRPr="000A0A5F">
        <w:t xml:space="preserve">            Retry-After:</w:t>
      </w:r>
    </w:p>
    <w:p w:rsidR="008A36D8" w:rsidRPr="000A0A5F" w:rsidRDefault="008A36D8" w:rsidP="008A36D8">
      <w:pPr>
        <w:pStyle w:val="PL"/>
      </w:pPr>
      <w:r w:rsidRPr="000A0A5F">
        <w:t xml:space="preserve">              description: &gt;</w:t>
      </w:r>
    </w:p>
    <w:p w:rsidR="008A36D8" w:rsidRPr="000A0A5F" w:rsidRDefault="008A36D8" w:rsidP="008A36D8">
      <w:pPr>
        <w:pStyle w:val="PL"/>
      </w:pPr>
      <w:r w:rsidRPr="000A0A5F">
        <w:t xml:space="preserve">                Indicates the time the AF has to wait before making a new request. It can be a</w:t>
      </w:r>
    </w:p>
    <w:p w:rsidR="008A36D8" w:rsidRPr="000A0A5F" w:rsidRDefault="008A36D8" w:rsidP="008A36D8">
      <w:pPr>
        <w:pStyle w:val="PL"/>
      </w:pPr>
      <w:r w:rsidRPr="000A0A5F">
        <w:t xml:space="preserve">                non-negative integer (decimal number) indicating the number of seconds the AF</w:t>
      </w:r>
    </w:p>
    <w:p w:rsidR="008A36D8" w:rsidRPr="000A0A5F" w:rsidRDefault="008A36D8" w:rsidP="008A36D8">
      <w:pPr>
        <w:pStyle w:val="PL"/>
      </w:pPr>
      <w:r w:rsidRPr="000A0A5F">
        <w:t xml:space="preserve">                has to wait before making a new request or an HTTP-date after which the AF can</w:t>
      </w:r>
    </w:p>
    <w:p w:rsidR="008A36D8" w:rsidRPr="000A0A5F" w:rsidRDefault="008A36D8" w:rsidP="008A36D8">
      <w:pPr>
        <w:pStyle w:val="PL"/>
      </w:pPr>
      <w:r w:rsidRPr="000A0A5F">
        <w:t xml:space="preserve">                retry a new request.</w:t>
      </w:r>
    </w:p>
    <w:p w:rsidR="008A36D8" w:rsidRPr="000A0A5F" w:rsidRDefault="008A36D8" w:rsidP="008A36D8">
      <w:pPr>
        <w:pStyle w:val="PL"/>
      </w:pPr>
      <w:r w:rsidRPr="000A0A5F">
        <w:t xml:space="preserve">              schema:</w:t>
      </w:r>
    </w:p>
    <w:p w:rsidR="008A36D8" w:rsidRPr="000A0A5F" w:rsidRDefault="008A36D8" w:rsidP="008A36D8">
      <w:pPr>
        <w:pStyle w:val="PL"/>
      </w:pPr>
      <w:r w:rsidRPr="000A0A5F">
        <w:t xml:space="preserve">                type: string</w:t>
      </w:r>
    </w:p>
    <w:p w:rsidR="00CB0DD7" w:rsidRPr="000A0A5F" w:rsidRDefault="00CB0DD7">
      <w:pPr>
        <w:pStyle w:val="PL"/>
      </w:pPr>
      <w:r w:rsidRPr="000A0A5F">
        <w:t xml:space="preserve">        '404':</w:t>
      </w:r>
    </w:p>
    <w:p w:rsidR="00CB0DD7" w:rsidRPr="000A0A5F" w:rsidRDefault="00CB0DD7">
      <w:pPr>
        <w:pStyle w:val="PL"/>
      </w:pPr>
      <w:r w:rsidRPr="000A0A5F">
        <w:t xml:space="preserve">          $ref: 'TS29122_CommonData.yaml#/components/responses/404'</w:t>
      </w:r>
    </w:p>
    <w:p w:rsidR="00CB0DD7" w:rsidRPr="000A0A5F" w:rsidRDefault="00CB0DD7">
      <w:pPr>
        <w:pStyle w:val="PL"/>
      </w:pPr>
      <w:r w:rsidRPr="000A0A5F">
        <w:t xml:space="preserve">        '411':</w:t>
      </w:r>
    </w:p>
    <w:p w:rsidR="00CB0DD7" w:rsidRPr="000A0A5F" w:rsidRDefault="00CB0DD7">
      <w:pPr>
        <w:pStyle w:val="PL"/>
      </w:pPr>
      <w:r w:rsidRPr="000A0A5F">
        <w:t xml:space="preserve">          $ref: 'TS29122_CommonData.yaml#/components/responses/411'</w:t>
      </w:r>
    </w:p>
    <w:p w:rsidR="00CB0DD7" w:rsidRPr="000A0A5F" w:rsidRDefault="00CB0DD7">
      <w:pPr>
        <w:pStyle w:val="PL"/>
      </w:pPr>
      <w:r w:rsidRPr="000A0A5F">
        <w:t xml:space="preserve">        '413':</w:t>
      </w:r>
    </w:p>
    <w:p w:rsidR="00CB0DD7" w:rsidRPr="000A0A5F" w:rsidRDefault="00CB0DD7">
      <w:pPr>
        <w:pStyle w:val="PL"/>
      </w:pPr>
      <w:r w:rsidRPr="000A0A5F">
        <w:t xml:space="preserve">          $ref: 'TS29122_CommonData.yaml#/components/responses/413'</w:t>
      </w:r>
    </w:p>
    <w:p w:rsidR="00CB0DD7" w:rsidRPr="000A0A5F" w:rsidRDefault="00CB0DD7">
      <w:pPr>
        <w:pStyle w:val="PL"/>
      </w:pPr>
      <w:r w:rsidRPr="000A0A5F">
        <w:t xml:space="preserve">        '415':</w:t>
      </w:r>
    </w:p>
    <w:p w:rsidR="00CB0DD7" w:rsidRPr="000A0A5F" w:rsidRDefault="00CB0DD7">
      <w:pPr>
        <w:pStyle w:val="PL"/>
      </w:pPr>
      <w:r w:rsidRPr="000A0A5F">
        <w:t xml:space="preserve">          $ref: 'TS29122_CommonData.yaml#/components/responses/415'</w:t>
      </w:r>
    </w:p>
    <w:p w:rsidR="00CB0DD7" w:rsidRPr="000A0A5F" w:rsidRDefault="00CB0DD7">
      <w:pPr>
        <w:pStyle w:val="PL"/>
      </w:pPr>
      <w:r w:rsidRPr="000A0A5F">
        <w:t xml:space="preserve">        '429':</w:t>
      </w:r>
    </w:p>
    <w:p w:rsidR="00CB0DD7" w:rsidRPr="000A0A5F" w:rsidRDefault="00CB0DD7">
      <w:pPr>
        <w:pStyle w:val="PL"/>
      </w:pPr>
      <w:r w:rsidRPr="000A0A5F">
        <w:t xml:space="preserve">          $ref: 'TS29122_CommonData.yaml#/components/responses/429'</w:t>
      </w:r>
    </w:p>
    <w:p w:rsidR="00CB0DD7" w:rsidRPr="000A0A5F" w:rsidRDefault="00CB0DD7">
      <w:pPr>
        <w:pStyle w:val="PL"/>
      </w:pPr>
      <w:r w:rsidRPr="000A0A5F">
        <w:t xml:space="preserve">        '500':</w:t>
      </w:r>
    </w:p>
    <w:p w:rsidR="00CB0DD7" w:rsidRPr="000A0A5F" w:rsidRDefault="00CB0DD7">
      <w:pPr>
        <w:pStyle w:val="PL"/>
      </w:pPr>
      <w:r w:rsidRPr="000A0A5F">
        <w:t xml:space="preserve">          $ref: 'TS29122_CommonData.yaml#/components/responses/500'</w:t>
      </w:r>
    </w:p>
    <w:p w:rsidR="00CB0DD7" w:rsidRPr="000A0A5F" w:rsidRDefault="00CB0DD7">
      <w:pPr>
        <w:pStyle w:val="PL"/>
      </w:pPr>
      <w:r w:rsidRPr="000A0A5F">
        <w:t xml:space="preserve">        '503':</w:t>
      </w:r>
    </w:p>
    <w:p w:rsidR="00CB0DD7" w:rsidRPr="000A0A5F" w:rsidRDefault="00CB0DD7">
      <w:pPr>
        <w:pStyle w:val="PL"/>
      </w:pPr>
      <w:r w:rsidRPr="000A0A5F">
        <w:t xml:space="preserve">          $ref: 'TS29122_CommonData.yaml#/components/responses/503'</w:t>
      </w:r>
    </w:p>
    <w:p w:rsidR="00CB0DD7" w:rsidRPr="000A0A5F" w:rsidRDefault="00CB0DD7">
      <w:pPr>
        <w:pStyle w:val="PL"/>
      </w:pPr>
      <w:r w:rsidRPr="000A0A5F">
        <w:t xml:space="preserve">        default:</w:t>
      </w:r>
    </w:p>
    <w:p w:rsidR="00CB0DD7" w:rsidRPr="000A0A5F" w:rsidRDefault="00CB0DD7">
      <w:pPr>
        <w:pStyle w:val="PL"/>
      </w:pPr>
      <w:r w:rsidRPr="000A0A5F">
        <w:t xml:space="preserve">          $ref: 'TS29122_CommonData.yaml#/components/responses/default'</w:t>
      </w:r>
    </w:p>
    <w:p w:rsidR="00CB0DD7" w:rsidRPr="000A0A5F" w:rsidRDefault="00CB0DD7">
      <w:pPr>
        <w:pStyle w:val="PL"/>
      </w:pPr>
    </w:p>
    <w:p w:rsidR="00CB0DD7" w:rsidRPr="000A0A5F" w:rsidRDefault="00CB0DD7">
      <w:pPr>
        <w:pStyle w:val="PL"/>
      </w:pPr>
      <w:r w:rsidRPr="000A0A5F">
        <w:t xml:space="preserve">  /{scsAsId}/subscriptions/{subscriptionId}:</w:t>
      </w:r>
    </w:p>
    <w:p w:rsidR="00CB0DD7" w:rsidRPr="000A0A5F" w:rsidRDefault="00CB0DD7">
      <w:pPr>
        <w:pStyle w:val="PL"/>
      </w:pPr>
      <w:r w:rsidRPr="000A0A5F">
        <w:t xml:space="preserve">    get:</w:t>
      </w:r>
    </w:p>
    <w:p w:rsidR="00CB0DD7" w:rsidRPr="000A0A5F" w:rsidRDefault="00CB0DD7">
      <w:pPr>
        <w:pStyle w:val="PL"/>
      </w:pPr>
      <w:r w:rsidRPr="000A0A5F">
        <w:t xml:space="preserve">      summary: </w:t>
      </w:r>
      <w:r w:rsidR="00A1436B" w:rsidRPr="000A0A5F">
        <w:t>R</w:t>
      </w:r>
      <w:r w:rsidRPr="000A0A5F">
        <w:t>ead an active subscriptions for the SCS/AS and the subscription Id</w:t>
      </w:r>
      <w:r w:rsidR="00A1436B" w:rsidRPr="000A0A5F">
        <w:t>.</w:t>
      </w:r>
    </w:p>
    <w:p w:rsidR="00A1436B" w:rsidRPr="000A0A5F" w:rsidRDefault="00A1436B" w:rsidP="00A1436B">
      <w:pPr>
        <w:pStyle w:val="PL"/>
      </w:pPr>
      <w:r w:rsidRPr="000A0A5F">
        <w:t xml:space="preserve">      </w:t>
      </w:r>
      <w:r w:rsidRPr="000A0A5F">
        <w:rPr>
          <w:rFonts w:cs="Courier New"/>
          <w:szCs w:val="16"/>
        </w:rPr>
        <w:t>operationId: FetchInd</w:t>
      </w:r>
      <w:r w:rsidRPr="000A0A5F">
        <w:rPr>
          <w:rFonts w:hint="eastAsia"/>
          <w:lang w:eastAsia="zh-CN"/>
        </w:rPr>
        <w:t>ASSession</w:t>
      </w:r>
      <w:r w:rsidRPr="000A0A5F">
        <w:rPr>
          <w:lang w:eastAsia="zh-CN"/>
        </w:rPr>
        <w:t>W</w:t>
      </w:r>
      <w:r w:rsidRPr="000A0A5F">
        <w:rPr>
          <w:rFonts w:hint="eastAsia"/>
          <w:lang w:eastAsia="zh-CN"/>
        </w:rPr>
        <w:t>ithQoS</w:t>
      </w:r>
      <w:r w:rsidRPr="000A0A5F">
        <w:t>Subscription</w:t>
      </w:r>
    </w:p>
    <w:p w:rsidR="00CB0DD7" w:rsidRPr="000A0A5F" w:rsidRDefault="00CB0DD7">
      <w:pPr>
        <w:pStyle w:val="PL"/>
      </w:pPr>
      <w:r w:rsidRPr="000A0A5F">
        <w:t xml:space="preserve">      tags:</w:t>
      </w:r>
    </w:p>
    <w:p w:rsidR="00CB0DD7" w:rsidRPr="000A0A5F" w:rsidRDefault="00CB0DD7">
      <w:pPr>
        <w:pStyle w:val="PL"/>
      </w:pPr>
      <w:r w:rsidRPr="000A0A5F">
        <w:t xml:space="preserve">        - </w:t>
      </w:r>
      <w:r w:rsidR="00A1436B" w:rsidRPr="000A0A5F">
        <w:rPr>
          <w:rFonts w:hint="eastAsia"/>
          <w:lang w:eastAsia="zh-CN"/>
        </w:rPr>
        <w:t>Ind</w:t>
      </w:r>
      <w:r w:rsidR="00A1436B" w:rsidRPr="000A0A5F">
        <w:rPr>
          <w:lang w:eastAsia="zh-CN"/>
        </w:rPr>
        <w:t>i</w:t>
      </w:r>
      <w:r w:rsidR="00A1436B" w:rsidRPr="000A0A5F">
        <w:rPr>
          <w:rFonts w:hint="eastAsia"/>
          <w:lang w:eastAsia="zh-CN"/>
        </w:rPr>
        <w:t>vidual AS Session with Required QoS</w:t>
      </w:r>
      <w:r w:rsidR="00A1436B" w:rsidRPr="000A0A5F">
        <w:rPr>
          <w:lang w:eastAsia="zh-CN"/>
        </w:rPr>
        <w:t xml:space="preserve"> </w:t>
      </w:r>
      <w:r w:rsidR="00A1436B" w:rsidRPr="000A0A5F">
        <w:t>Subscription</w:t>
      </w:r>
    </w:p>
    <w:p w:rsidR="00CB0DD7" w:rsidRPr="000A0A5F" w:rsidRDefault="00CB0DD7">
      <w:pPr>
        <w:pStyle w:val="PL"/>
      </w:pPr>
      <w:r w:rsidRPr="000A0A5F">
        <w:t xml:space="preserve">      parameters:</w:t>
      </w:r>
    </w:p>
    <w:p w:rsidR="00CB0DD7" w:rsidRPr="000A0A5F" w:rsidRDefault="00CB0DD7">
      <w:pPr>
        <w:pStyle w:val="PL"/>
      </w:pPr>
      <w:r w:rsidRPr="000A0A5F">
        <w:t xml:space="preserve">        - name: scsAsId</w:t>
      </w:r>
    </w:p>
    <w:p w:rsidR="00CB0DD7" w:rsidRPr="000A0A5F" w:rsidRDefault="00CB0DD7">
      <w:pPr>
        <w:pStyle w:val="PL"/>
      </w:pPr>
      <w:r w:rsidRPr="000A0A5F">
        <w:t xml:space="preserve">          in: path</w:t>
      </w:r>
    </w:p>
    <w:p w:rsidR="00CB0DD7" w:rsidRPr="000A0A5F" w:rsidRDefault="00CB0DD7">
      <w:pPr>
        <w:pStyle w:val="PL"/>
      </w:pPr>
      <w:r w:rsidRPr="000A0A5F">
        <w:t xml:space="preserve">          description: Identifier of the SCS/AS</w:t>
      </w:r>
    </w:p>
    <w:p w:rsidR="00CB0DD7" w:rsidRPr="000A0A5F" w:rsidRDefault="00CB0DD7">
      <w:pPr>
        <w:pStyle w:val="PL"/>
      </w:pPr>
      <w:r w:rsidRPr="000A0A5F">
        <w:t xml:space="preserve">          required: true</w:t>
      </w:r>
    </w:p>
    <w:p w:rsidR="00CB0DD7" w:rsidRPr="000A0A5F" w:rsidRDefault="00CB0DD7">
      <w:pPr>
        <w:pStyle w:val="PL"/>
      </w:pPr>
      <w:r w:rsidRPr="000A0A5F">
        <w:t xml:space="preserve">          schema:</w:t>
      </w:r>
    </w:p>
    <w:p w:rsidR="00CB0DD7" w:rsidRPr="000A0A5F" w:rsidRDefault="00CB0DD7">
      <w:pPr>
        <w:pStyle w:val="PL"/>
      </w:pPr>
      <w:r w:rsidRPr="000A0A5F">
        <w:t xml:space="preserve">            type: string</w:t>
      </w:r>
    </w:p>
    <w:p w:rsidR="00CB0DD7" w:rsidRPr="000A0A5F" w:rsidRDefault="00CB0DD7">
      <w:pPr>
        <w:pStyle w:val="PL"/>
      </w:pPr>
      <w:r w:rsidRPr="000A0A5F">
        <w:t xml:space="preserve">        - name: subscriptionId</w:t>
      </w:r>
    </w:p>
    <w:p w:rsidR="00CB0DD7" w:rsidRPr="000A0A5F" w:rsidRDefault="00CB0DD7">
      <w:pPr>
        <w:pStyle w:val="PL"/>
      </w:pPr>
      <w:r w:rsidRPr="000A0A5F">
        <w:t xml:space="preserve">          in: path</w:t>
      </w:r>
    </w:p>
    <w:p w:rsidR="00CB0DD7" w:rsidRPr="000A0A5F" w:rsidRDefault="00CB0DD7">
      <w:pPr>
        <w:pStyle w:val="PL"/>
      </w:pPr>
      <w:r w:rsidRPr="000A0A5F">
        <w:t xml:space="preserve">          description: Identifier of the subscription resource</w:t>
      </w:r>
    </w:p>
    <w:p w:rsidR="00CB0DD7" w:rsidRPr="000A0A5F" w:rsidRDefault="00CB0DD7">
      <w:pPr>
        <w:pStyle w:val="PL"/>
      </w:pPr>
      <w:r w:rsidRPr="000A0A5F">
        <w:t xml:space="preserve">          required: true</w:t>
      </w:r>
    </w:p>
    <w:p w:rsidR="00CB0DD7" w:rsidRPr="000A0A5F" w:rsidRDefault="00CB0DD7">
      <w:pPr>
        <w:pStyle w:val="PL"/>
      </w:pPr>
      <w:r w:rsidRPr="000A0A5F">
        <w:t xml:space="preserve">          schema:</w:t>
      </w:r>
    </w:p>
    <w:p w:rsidR="00CB0DD7" w:rsidRPr="000A0A5F" w:rsidRDefault="00CB0DD7">
      <w:pPr>
        <w:pStyle w:val="PL"/>
      </w:pPr>
      <w:r w:rsidRPr="000A0A5F">
        <w:t xml:space="preserve">            type: string</w:t>
      </w:r>
    </w:p>
    <w:p w:rsidR="00CB0DD7" w:rsidRPr="000A0A5F" w:rsidRDefault="00CB0DD7">
      <w:pPr>
        <w:pStyle w:val="PL"/>
      </w:pPr>
      <w:r w:rsidRPr="000A0A5F">
        <w:t xml:space="preserve">      responses:</w:t>
      </w:r>
    </w:p>
    <w:p w:rsidR="00CB0DD7" w:rsidRPr="000A0A5F" w:rsidRDefault="00CB0DD7">
      <w:pPr>
        <w:pStyle w:val="PL"/>
      </w:pPr>
      <w:r w:rsidRPr="000A0A5F">
        <w:t xml:space="preserve">        '200':</w:t>
      </w:r>
    </w:p>
    <w:p w:rsidR="00CB0DD7" w:rsidRPr="000A0A5F" w:rsidRDefault="00CB0DD7">
      <w:pPr>
        <w:pStyle w:val="PL"/>
      </w:pPr>
      <w:r w:rsidRPr="000A0A5F">
        <w:t xml:space="preserve">          description: OK (Successful get the active subscription)</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application/json:</w:t>
      </w:r>
    </w:p>
    <w:p w:rsidR="00CB0DD7" w:rsidRPr="000A0A5F" w:rsidRDefault="00CB0DD7">
      <w:pPr>
        <w:pStyle w:val="PL"/>
      </w:pPr>
      <w:r w:rsidRPr="000A0A5F">
        <w:t xml:space="preserve">              schema:</w:t>
      </w:r>
    </w:p>
    <w:p w:rsidR="00CB0DD7" w:rsidRPr="000A0A5F" w:rsidRDefault="00CB0DD7">
      <w:pPr>
        <w:pStyle w:val="PL"/>
      </w:pPr>
      <w:r w:rsidRPr="000A0A5F">
        <w:t xml:space="preserve">                $ref: '#/components/schemas/AsSessionWithQoSSubscription'</w:t>
      </w:r>
    </w:p>
    <w:p w:rsidR="00CB0DD7" w:rsidRPr="000A0A5F" w:rsidRDefault="00CB0DD7">
      <w:pPr>
        <w:pStyle w:val="PL"/>
      </w:pPr>
      <w:r w:rsidRPr="000A0A5F">
        <w:t xml:space="preserve">        '307':</w:t>
      </w:r>
    </w:p>
    <w:p w:rsidR="00CB0DD7" w:rsidRPr="000A0A5F" w:rsidRDefault="00CB0DD7">
      <w:pPr>
        <w:pStyle w:val="PL"/>
      </w:pPr>
      <w:r w:rsidRPr="000A0A5F">
        <w:t xml:space="preserve">          $ref: 'TS29122_CommonData.yaml#/components/responses/307'</w:t>
      </w:r>
    </w:p>
    <w:p w:rsidR="00CB0DD7" w:rsidRPr="000A0A5F" w:rsidRDefault="00CB0DD7">
      <w:pPr>
        <w:pStyle w:val="PL"/>
      </w:pPr>
      <w:r w:rsidRPr="000A0A5F">
        <w:t xml:space="preserve">        '308':</w:t>
      </w:r>
    </w:p>
    <w:p w:rsidR="00CB0DD7" w:rsidRPr="000A0A5F" w:rsidRDefault="00CB0DD7">
      <w:pPr>
        <w:pStyle w:val="PL"/>
      </w:pPr>
      <w:r w:rsidRPr="000A0A5F">
        <w:t xml:space="preserve">          $ref: 'TS29122_CommonData.yaml#/components/responses/308'</w:t>
      </w:r>
    </w:p>
    <w:p w:rsidR="00CB0DD7" w:rsidRPr="000A0A5F" w:rsidRDefault="00CB0DD7">
      <w:pPr>
        <w:pStyle w:val="PL"/>
      </w:pPr>
      <w:r w:rsidRPr="000A0A5F">
        <w:t xml:space="preserve">        '400':</w:t>
      </w:r>
    </w:p>
    <w:p w:rsidR="00CB0DD7" w:rsidRPr="000A0A5F" w:rsidRDefault="00CB0DD7">
      <w:pPr>
        <w:pStyle w:val="PL"/>
      </w:pPr>
      <w:r w:rsidRPr="000A0A5F">
        <w:t xml:space="preserve">          $ref: 'TS29122_CommonData.yaml#/components/responses/400'</w:t>
      </w:r>
    </w:p>
    <w:p w:rsidR="00CB0DD7" w:rsidRPr="000A0A5F" w:rsidRDefault="00CB0DD7">
      <w:pPr>
        <w:pStyle w:val="PL"/>
      </w:pPr>
      <w:r w:rsidRPr="000A0A5F">
        <w:t xml:space="preserve">        '401':</w:t>
      </w:r>
    </w:p>
    <w:p w:rsidR="00CB0DD7" w:rsidRPr="000A0A5F" w:rsidRDefault="00CB0DD7">
      <w:pPr>
        <w:pStyle w:val="PL"/>
      </w:pPr>
      <w:r w:rsidRPr="000A0A5F">
        <w:t xml:space="preserve">          $ref: 'TS29122_CommonData.yaml#/components/responses/401'</w:t>
      </w:r>
    </w:p>
    <w:p w:rsidR="00CB0DD7" w:rsidRPr="000A0A5F" w:rsidRDefault="00CB0DD7">
      <w:pPr>
        <w:pStyle w:val="PL"/>
      </w:pPr>
      <w:r w:rsidRPr="000A0A5F">
        <w:t xml:space="preserve">        '403':</w:t>
      </w:r>
    </w:p>
    <w:p w:rsidR="00CB0DD7" w:rsidRPr="000A0A5F" w:rsidRDefault="00CB0DD7">
      <w:pPr>
        <w:pStyle w:val="PL"/>
      </w:pPr>
      <w:r w:rsidRPr="000A0A5F">
        <w:t xml:space="preserve">          $ref: 'TS29122_CommonData.yaml#/components/responses/403'</w:t>
      </w:r>
    </w:p>
    <w:p w:rsidR="00CB0DD7" w:rsidRPr="000A0A5F" w:rsidRDefault="00CB0DD7">
      <w:pPr>
        <w:pStyle w:val="PL"/>
      </w:pPr>
      <w:r w:rsidRPr="000A0A5F">
        <w:t xml:space="preserve">        '404':</w:t>
      </w:r>
    </w:p>
    <w:p w:rsidR="00CB0DD7" w:rsidRPr="000A0A5F" w:rsidRDefault="00CB0DD7">
      <w:pPr>
        <w:pStyle w:val="PL"/>
      </w:pPr>
      <w:r w:rsidRPr="000A0A5F">
        <w:t xml:space="preserve">          $ref: 'TS29122_CommonData.yaml#/components/responses/404'</w:t>
      </w:r>
    </w:p>
    <w:p w:rsidR="00CB0DD7" w:rsidRPr="000A0A5F" w:rsidRDefault="00CB0DD7">
      <w:pPr>
        <w:pStyle w:val="PL"/>
      </w:pPr>
      <w:r w:rsidRPr="000A0A5F">
        <w:t xml:space="preserve">        '406':</w:t>
      </w:r>
    </w:p>
    <w:p w:rsidR="00CB0DD7" w:rsidRPr="000A0A5F" w:rsidRDefault="00CB0DD7">
      <w:pPr>
        <w:pStyle w:val="PL"/>
      </w:pPr>
      <w:r w:rsidRPr="000A0A5F">
        <w:t xml:space="preserve">          $ref: 'TS29122_CommonData.yaml#/components/responses/406'</w:t>
      </w:r>
    </w:p>
    <w:p w:rsidR="00CB0DD7" w:rsidRPr="000A0A5F" w:rsidRDefault="00CB0DD7">
      <w:pPr>
        <w:pStyle w:val="PL"/>
      </w:pPr>
      <w:r w:rsidRPr="000A0A5F">
        <w:t xml:space="preserve">        '429':</w:t>
      </w:r>
    </w:p>
    <w:p w:rsidR="00CB0DD7" w:rsidRPr="000A0A5F" w:rsidRDefault="00CB0DD7">
      <w:pPr>
        <w:pStyle w:val="PL"/>
      </w:pPr>
      <w:r w:rsidRPr="000A0A5F">
        <w:t xml:space="preserve">          $ref: 'TS29122_CommonData.yaml#/components/responses/429'</w:t>
      </w:r>
    </w:p>
    <w:p w:rsidR="00CB0DD7" w:rsidRPr="000A0A5F" w:rsidRDefault="00CB0DD7">
      <w:pPr>
        <w:pStyle w:val="PL"/>
      </w:pPr>
      <w:r w:rsidRPr="000A0A5F">
        <w:t xml:space="preserve">        '500':</w:t>
      </w:r>
    </w:p>
    <w:p w:rsidR="00CB0DD7" w:rsidRPr="000A0A5F" w:rsidRDefault="00CB0DD7">
      <w:pPr>
        <w:pStyle w:val="PL"/>
      </w:pPr>
      <w:r w:rsidRPr="000A0A5F">
        <w:t xml:space="preserve">          $ref: 'TS29122_CommonData.yaml#/components/responses/500'</w:t>
      </w:r>
    </w:p>
    <w:p w:rsidR="00CB0DD7" w:rsidRPr="000A0A5F" w:rsidRDefault="00CB0DD7">
      <w:pPr>
        <w:pStyle w:val="PL"/>
      </w:pPr>
      <w:r w:rsidRPr="000A0A5F">
        <w:t xml:space="preserve">        '503':</w:t>
      </w:r>
    </w:p>
    <w:p w:rsidR="00CB0DD7" w:rsidRPr="000A0A5F" w:rsidRDefault="00CB0DD7">
      <w:pPr>
        <w:pStyle w:val="PL"/>
      </w:pPr>
      <w:r w:rsidRPr="000A0A5F">
        <w:t xml:space="preserve">          $ref: 'TS29122_CommonData.yaml#/components/responses/503'</w:t>
      </w:r>
    </w:p>
    <w:p w:rsidR="00CB0DD7" w:rsidRPr="000A0A5F" w:rsidRDefault="00CB0DD7">
      <w:pPr>
        <w:pStyle w:val="PL"/>
      </w:pPr>
      <w:r w:rsidRPr="000A0A5F">
        <w:t xml:space="preserve">        default:</w:t>
      </w:r>
    </w:p>
    <w:p w:rsidR="00CB0DD7" w:rsidRPr="000A0A5F" w:rsidRDefault="00CB0DD7">
      <w:pPr>
        <w:pStyle w:val="PL"/>
      </w:pPr>
      <w:r w:rsidRPr="000A0A5F">
        <w:t xml:space="preserve">          $ref: 'TS29122_CommonData.yaml#/components/responses/default'</w:t>
      </w:r>
    </w:p>
    <w:p w:rsidR="00CB0DD7" w:rsidRPr="000A0A5F" w:rsidRDefault="00CB0DD7">
      <w:pPr>
        <w:pStyle w:val="PL"/>
      </w:pPr>
    </w:p>
    <w:p w:rsidR="00CB0DD7" w:rsidRPr="000A0A5F" w:rsidRDefault="00CB0DD7">
      <w:pPr>
        <w:pStyle w:val="PL"/>
      </w:pPr>
      <w:r w:rsidRPr="000A0A5F">
        <w:t xml:space="preserve">    put:</w:t>
      </w:r>
    </w:p>
    <w:p w:rsidR="00CB0DD7" w:rsidRPr="000A0A5F" w:rsidRDefault="00CB0DD7">
      <w:pPr>
        <w:pStyle w:val="PL"/>
      </w:pPr>
      <w:r w:rsidRPr="000A0A5F">
        <w:t xml:space="preserve">      summary: Updates/replaces an existing subscription resource</w:t>
      </w:r>
      <w:r w:rsidR="00A1436B" w:rsidRPr="000A0A5F">
        <w:t>.</w:t>
      </w:r>
    </w:p>
    <w:p w:rsidR="00A1436B" w:rsidRPr="000A0A5F" w:rsidRDefault="00A1436B" w:rsidP="00A1436B">
      <w:pPr>
        <w:pStyle w:val="PL"/>
      </w:pPr>
      <w:r w:rsidRPr="000A0A5F">
        <w:t xml:space="preserve">      </w:t>
      </w:r>
      <w:r w:rsidRPr="000A0A5F">
        <w:rPr>
          <w:rFonts w:cs="Courier New"/>
          <w:szCs w:val="16"/>
        </w:rPr>
        <w:t>operationId: UpdateInd</w:t>
      </w:r>
      <w:r w:rsidRPr="000A0A5F">
        <w:rPr>
          <w:rFonts w:hint="eastAsia"/>
          <w:lang w:eastAsia="zh-CN"/>
        </w:rPr>
        <w:t>ASSession</w:t>
      </w:r>
      <w:r w:rsidRPr="000A0A5F">
        <w:rPr>
          <w:lang w:eastAsia="zh-CN"/>
        </w:rPr>
        <w:t>W</w:t>
      </w:r>
      <w:r w:rsidRPr="000A0A5F">
        <w:rPr>
          <w:rFonts w:hint="eastAsia"/>
          <w:lang w:eastAsia="zh-CN"/>
        </w:rPr>
        <w:t>ithQoS</w:t>
      </w:r>
      <w:r w:rsidRPr="000A0A5F">
        <w:t>Subscription</w:t>
      </w:r>
    </w:p>
    <w:p w:rsidR="00CB0DD7" w:rsidRPr="000A0A5F" w:rsidRDefault="00CB0DD7">
      <w:pPr>
        <w:pStyle w:val="PL"/>
      </w:pPr>
      <w:r w:rsidRPr="000A0A5F">
        <w:t xml:space="preserve">      tags:</w:t>
      </w:r>
    </w:p>
    <w:p w:rsidR="00CB0DD7" w:rsidRPr="000A0A5F" w:rsidRDefault="00CB0DD7">
      <w:pPr>
        <w:pStyle w:val="PL"/>
      </w:pPr>
      <w:r w:rsidRPr="000A0A5F">
        <w:t xml:space="preserve">        - </w:t>
      </w:r>
      <w:r w:rsidR="00A1436B" w:rsidRPr="000A0A5F">
        <w:rPr>
          <w:rFonts w:hint="eastAsia"/>
          <w:lang w:eastAsia="zh-CN"/>
        </w:rPr>
        <w:t>Ind</w:t>
      </w:r>
      <w:r w:rsidR="00A1436B" w:rsidRPr="000A0A5F">
        <w:rPr>
          <w:lang w:eastAsia="zh-CN"/>
        </w:rPr>
        <w:t>i</w:t>
      </w:r>
      <w:r w:rsidR="00A1436B" w:rsidRPr="000A0A5F">
        <w:rPr>
          <w:rFonts w:hint="eastAsia"/>
          <w:lang w:eastAsia="zh-CN"/>
        </w:rPr>
        <w:t>vidual AS Session with Required QoS</w:t>
      </w:r>
      <w:r w:rsidR="00A1436B" w:rsidRPr="000A0A5F">
        <w:rPr>
          <w:lang w:eastAsia="zh-CN"/>
        </w:rPr>
        <w:t xml:space="preserve"> </w:t>
      </w:r>
      <w:r w:rsidR="00A1436B" w:rsidRPr="000A0A5F">
        <w:t>Subscription</w:t>
      </w:r>
    </w:p>
    <w:p w:rsidR="00CB0DD7" w:rsidRPr="000A0A5F" w:rsidRDefault="00CB0DD7">
      <w:pPr>
        <w:pStyle w:val="PL"/>
      </w:pPr>
      <w:r w:rsidRPr="000A0A5F">
        <w:t xml:space="preserve">      parameters:</w:t>
      </w:r>
    </w:p>
    <w:p w:rsidR="00CB0DD7" w:rsidRPr="000A0A5F" w:rsidRDefault="00CB0DD7">
      <w:pPr>
        <w:pStyle w:val="PL"/>
      </w:pPr>
      <w:r w:rsidRPr="000A0A5F">
        <w:t xml:space="preserve">        - name: scsAsId</w:t>
      </w:r>
    </w:p>
    <w:p w:rsidR="00CB0DD7" w:rsidRPr="000A0A5F" w:rsidRDefault="00CB0DD7">
      <w:pPr>
        <w:pStyle w:val="PL"/>
      </w:pPr>
      <w:r w:rsidRPr="000A0A5F">
        <w:t xml:space="preserve">          in: path</w:t>
      </w:r>
    </w:p>
    <w:p w:rsidR="00CB0DD7" w:rsidRPr="000A0A5F" w:rsidRDefault="00CB0DD7">
      <w:pPr>
        <w:pStyle w:val="PL"/>
      </w:pPr>
      <w:r w:rsidRPr="000A0A5F">
        <w:t xml:space="preserve">          description: Identifier of the SCS/AS</w:t>
      </w:r>
    </w:p>
    <w:p w:rsidR="00CB0DD7" w:rsidRPr="000A0A5F" w:rsidRDefault="00CB0DD7">
      <w:pPr>
        <w:pStyle w:val="PL"/>
      </w:pPr>
      <w:r w:rsidRPr="000A0A5F">
        <w:t xml:space="preserve">          required: true</w:t>
      </w:r>
    </w:p>
    <w:p w:rsidR="00CB0DD7" w:rsidRPr="000A0A5F" w:rsidRDefault="00CB0DD7">
      <w:pPr>
        <w:pStyle w:val="PL"/>
      </w:pPr>
      <w:r w:rsidRPr="000A0A5F">
        <w:t xml:space="preserve">          schema:</w:t>
      </w:r>
    </w:p>
    <w:p w:rsidR="00CB0DD7" w:rsidRPr="000A0A5F" w:rsidRDefault="00CB0DD7">
      <w:pPr>
        <w:pStyle w:val="PL"/>
      </w:pPr>
      <w:r w:rsidRPr="000A0A5F">
        <w:t xml:space="preserve">            type: string</w:t>
      </w:r>
    </w:p>
    <w:p w:rsidR="00CB0DD7" w:rsidRPr="000A0A5F" w:rsidRDefault="00CB0DD7">
      <w:pPr>
        <w:pStyle w:val="PL"/>
      </w:pPr>
      <w:r w:rsidRPr="000A0A5F">
        <w:t xml:space="preserve">        - name: subscriptionId</w:t>
      </w:r>
    </w:p>
    <w:p w:rsidR="00CB0DD7" w:rsidRPr="000A0A5F" w:rsidRDefault="00CB0DD7">
      <w:pPr>
        <w:pStyle w:val="PL"/>
      </w:pPr>
      <w:r w:rsidRPr="000A0A5F">
        <w:t xml:space="preserve">          in: path</w:t>
      </w:r>
    </w:p>
    <w:p w:rsidR="00CB0DD7" w:rsidRPr="000A0A5F" w:rsidRDefault="00CB0DD7">
      <w:pPr>
        <w:pStyle w:val="PL"/>
      </w:pPr>
      <w:r w:rsidRPr="000A0A5F">
        <w:t xml:space="preserve">          description: Identifier of the subscription resource</w:t>
      </w:r>
    </w:p>
    <w:p w:rsidR="00CB0DD7" w:rsidRPr="000A0A5F" w:rsidRDefault="00CB0DD7">
      <w:pPr>
        <w:pStyle w:val="PL"/>
      </w:pPr>
      <w:r w:rsidRPr="000A0A5F">
        <w:t xml:space="preserve">          required: true</w:t>
      </w:r>
    </w:p>
    <w:p w:rsidR="00CB0DD7" w:rsidRPr="000A0A5F" w:rsidRDefault="00CB0DD7">
      <w:pPr>
        <w:pStyle w:val="PL"/>
      </w:pPr>
      <w:r w:rsidRPr="000A0A5F">
        <w:t xml:space="preserve">          schema:</w:t>
      </w:r>
    </w:p>
    <w:p w:rsidR="00CB0DD7" w:rsidRPr="000A0A5F" w:rsidRDefault="00CB0DD7">
      <w:pPr>
        <w:pStyle w:val="PL"/>
      </w:pPr>
      <w:r w:rsidRPr="000A0A5F">
        <w:t xml:space="preserve">            type: string</w:t>
      </w:r>
    </w:p>
    <w:p w:rsidR="00CB0DD7" w:rsidRPr="000A0A5F" w:rsidRDefault="00CB0DD7">
      <w:pPr>
        <w:pStyle w:val="PL"/>
      </w:pPr>
      <w:r w:rsidRPr="000A0A5F">
        <w:t xml:space="preserve">      requestBody:</w:t>
      </w:r>
    </w:p>
    <w:p w:rsidR="00CB0DD7" w:rsidRPr="000A0A5F" w:rsidRDefault="00CB0DD7">
      <w:pPr>
        <w:pStyle w:val="PL"/>
      </w:pPr>
      <w:r w:rsidRPr="000A0A5F">
        <w:t xml:space="preserve">        description: Parameters to update/replace the existing subscription</w:t>
      </w:r>
    </w:p>
    <w:p w:rsidR="00CB0DD7" w:rsidRPr="000A0A5F" w:rsidRDefault="00CB0DD7">
      <w:pPr>
        <w:pStyle w:val="PL"/>
      </w:pPr>
      <w:r w:rsidRPr="000A0A5F">
        <w:t xml:space="preserve">        required: true</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application/json:</w:t>
      </w:r>
    </w:p>
    <w:p w:rsidR="00CB0DD7" w:rsidRPr="000A0A5F" w:rsidRDefault="00CB0DD7">
      <w:pPr>
        <w:pStyle w:val="PL"/>
      </w:pPr>
      <w:r w:rsidRPr="000A0A5F">
        <w:t xml:space="preserve">            schema:</w:t>
      </w:r>
    </w:p>
    <w:p w:rsidR="00CB0DD7" w:rsidRPr="000A0A5F" w:rsidRDefault="00CB0DD7">
      <w:pPr>
        <w:pStyle w:val="PL"/>
      </w:pPr>
      <w:r w:rsidRPr="000A0A5F">
        <w:t xml:space="preserve">              $ref: '#/components/schemas/AsSessionWithQoSSubscription'</w:t>
      </w:r>
    </w:p>
    <w:p w:rsidR="00CB0DD7" w:rsidRPr="000A0A5F" w:rsidRDefault="00CB0DD7">
      <w:pPr>
        <w:pStyle w:val="PL"/>
      </w:pPr>
      <w:r w:rsidRPr="000A0A5F">
        <w:t xml:space="preserve">      responses:</w:t>
      </w:r>
    </w:p>
    <w:p w:rsidR="00CB0DD7" w:rsidRPr="000A0A5F" w:rsidRDefault="00CB0DD7">
      <w:pPr>
        <w:pStyle w:val="PL"/>
      </w:pPr>
      <w:r w:rsidRPr="000A0A5F">
        <w:t xml:space="preserve">        '200':</w:t>
      </w:r>
    </w:p>
    <w:p w:rsidR="00CB0DD7" w:rsidRPr="000A0A5F" w:rsidRDefault="00CB0DD7">
      <w:pPr>
        <w:pStyle w:val="PL"/>
      </w:pPr>
      <w:r w:rsidRPr="000A0A5F">
        <w:t xml:space="preserve">          description: OK (Successful update of the subscription)</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application/json:</w:t>
      </w:r>
    </w:p>
    <w:p w:rsidR="00CB0DD7" w:rsidRPr="000A0A5F" w:rsidRDefault="00CB0DD7">
      <w:pPr>
        <w:pStyle w:val="PL"/>
      </w:pPr>
      <w:r w:rsidRPr="000A0A5F">
        <w:t xml:space="preserve">              schema:</w:t>
      </w:r>
    </w:p>
    <w:p w:rsidR="00CB0DD7" w:rsidRPr="000A0A5F" w:rsidRDefault="00CB0DD7">
      <w:pPr>
        <w:pStyle w:val="PL"/>
      </w:pPr>
      <w:r w:rsidRPr="000A0A5F">
        <w:t xml:space="preserve">                $ref: '#/components/schemas/AsSessionWithQoSSubscription'</w:t>
      </w:r>
    </w:p>
    <w:p w:rsidR="00CB0DD7" w:rsidRPr="000A0A5F" w:rsidRDefault="00CB0DD7">
      <w:pPr>
        <w:pStyle w:val="PL"/>
      </w:pPr>
      <w:r w:rsidRPr="000A0A5F">
        <w:t xml:space="preserve">        '204':</w:t>
      </w:r>
    </w:p>
    <w:p w:rsidR="00CB0DD7" w:rsidRPr="000A0A5F" w:rsidRDefault="00CB0DD7">
      <w:pPr>
        <w:pStyle w:val="PL"/>
      </w:pPr>
      <w:r w:rsidRPr="000A0A5F">
        <w:t xml:space="preserve">          description: No Content (Successful update of the subscription)</w:t>
      </w:r>
    </w:p>
    <w:p w:rsidR="00CB0DD7" w:rsidRPr="000A0A5F" w:rsidRDefault="00CB0DD7">
      <w:pPr>
        <w:pStyle w:val="PL"/>
      </w:pPr>
      <w:r w:rsidRPr="000A0A5F">
        <w:t xml:space="preserve">        '307':</w:t>
      </w:r>
    </w:p>
    <w:p w:rsidR="00CB0DD7" w:rsidRPr="000A0A5F" w:rsidRDefault="00CB0DD7">
      <w:pPr>
        <w:pStyle w:val="PL"/>
      </w:pPr>
      <w:r w:rsidRPr="000A0A5F">
        <w:t xml:space="preserve">          $ref: 'TS29122_CommonData.yaml#/components/responses/307'</w:t>
      </w:r>
    </w:p>
    <w:p w:rsidR="00CB0DD7" w:rsidRPr="000A0A5F" w:rsidRDefault="00CB0DD7">
      <w:pPr>
        <w:pStyle w:val="PL"/>
      </w:pPr>
      <w:r w:rsidRPr="000A0A5F">
        <w:t xml:space="preserve">        '308':</w:t>
      </w:r>
    </w:p>
    <w:p w:rsidR="00CB0DD7" w:rsidRPr="000A0A5F" w:rsidRDefault="00CB0DD7">
      <w:pPr>
        <w:pStyle w:val="PL"/>
      </w:pPr>
      <w:r w:rsidRPr="000A0A5F">
        <w:t xml:space="preserve">          $ref: 'TS29122_CommonData.yaml#/components/responses/308'</w:t>
      </w:r>
    </w:p>
    <w:p w:rsidR="00CB0DD7" w:rsidRPr="000A0A5F" w:rsidRDefault="00CB0DD7">
      <w:pPr>
        <w:pStyle w:val="PL"/>
      </w:pPr>
      <w:r w:rsidRPr="000A0A5F">
        <w:t xml:space="preserve">        '400':</w:t>
      </w:r>
    </w:p>
    <w:p w:rsidR="00CB0DD7" w:rsidRPr="000A0A5F" w:rsidRDefault="00CB0DD7">
      <w:pPr>
        <w:pStyle w:val="PL"/>
      </w:pPr>
      <w:r w:rsidRPr="000A0A5F">
        <w:t xml:space="preserve">          $ref: 'TS29122_CommonData.yaml#/components/responses/400'</w:t>
      </w:r>
    </w:p>
    <w:p w:rsidR="00CB0DD7" w:rsidRPr="000A0A5F" w:rsidRDefault="00CB0DD7">
      <w:pPr>
        <w:pStyle w:val="PL"/>
      </w:pPr>
      <w:r w:rsidRPr="000A0A5F">
        <w:t xml:space="preserve">        '401':</w:t>
      </w:r>
    </w:p>
    <w:p w:rsidR="00CB0DD7" w:rsidRPr="000A0A5F" w:rsidRDefault="00CB0DD7">
      <w:pPr>
        <w:pStyle w:val="PL"/>
      </w:pPr>
      <w:r w:rsidRPr="000A0A5F">
        <w:t xml:space="preserve">          $ref: 'TS29122_CommonData.yaml#/components/responses/401'</w:t>
      </w:r>
    </w:p>
    <w:p w:rsidR="00CB0DD7" w:rsidRPr="000A0A5F" w:rsidRDefault="00CB0DD7">
      <w:pPr>
        <w:pStyle w:val="PL"/>
      </w:pPr>
      <w:r w:rsidRPr="000A0A5F">
        <w:t xml:space="preserve">        '403':</w:t>
      </w:r>
    </w:p>
    <w:p w:rsidR="00C92DBD" w:rsidRPr="000A0A5F" w:rsidRDefault="00C92DBD" w:rsidP="00C92DBD">
      <w:pPr>
        <w:pStyle w:val="PL"/>
        <w:rPr>
          <w:rFonts w:cs="Courier New"/>
          <w:szCs w:val="16"/>
        </w:rPr>
      </w:pPr>
      <w:r w:rsidRPr="000A0A5F">
        <w:rPr>
          <w:rFonts w:cs="Courier New"/>
          <w:szCs w:val="16"/>
        </w:rPr>
        <w:t xml:space="preserve">          description: Forbidden</w:t>
      </w:r>
    </w:p>
    <w:p w:rsidR="00C92DBD" w:rsidRPr="000A0A5F" w:rsidRDefault="00C92DBD" w:rsidP="00C92DBD">
      <w:pPr>
        <w:pStyle w:val="PL"/>
        <w:rPr>
          <w:rFonts w:cs="Courier New"/>
          <w:szCs w:val="16"/>
        </w:rPr>
      </w:pPr>
      <w:r w:rsidRPr="000A0A5F">
        <w:rPr>
          <w:rFonts w:cs="Courier New"/>
          <w:szCs w:val="16"/>
        </w:rPr>
        <w:t xml:space="preserve">          content:</w:t>
      </w:r>
    </w:p>
    <w:p w:rsidR="00C92DBD" w:rsidRPr="000A0A5F" w:rsidRDefault="00C92DBD" w:rsidP="00C92DBD">
      <w:pPr>
        <w:pStyle w:val="PL"/>
        <w:rPr>
          <w:rFonts w:cs="Courier New"/>
          <w:szCs w:val="16"/>
        </w:rPr>
      </w:pPr>
      <w:r w:rsidRPr="000A0A5F">
        <w:rPr>
          <w:rFonts w:cs="Courier New"/>
          <w:szCs w:val="16"/>
        </w:rPr>
        <w:t xml:space="preserve">            application/problem+json:</w:t>
      </w:r>
    </w:p>
    <w:p w:rsidR="00C92DBD" w:rsidRPr="000A0A5F" w:rsidRDefault="00C92DBD" w:rsidP="00C92DBD">
      <w:pPr>
        <w:pStyle w:val="PL"/>
        <w:rPr>
          <w:rFonts w:cs="Courier New"/>
          <w:szCs w:val="16"/>
        </w:rPr>
      </w:pPr>
      <w:r w:rsidRPr="000A0A5F">
        <w:rPr>
          <w:rFonts w:cs="Courier New"/>
          <w:szCs w:val="16"/>
        </w:rPr>
        <w:t xml:space="preserve">              schema:</w:t>
      </w:r>
    </w:p>
    <w:p w:rsidR="00C92DBD" w:rsidRPr="000A0A5F" w:rsidRDefault="00C92DBD" w:rsidP="00C92DBD">
      <w:pPr>
        <w:pStyle w:val="PL"/>
        <w:rPr>
          <w:rFonts w:cs="Courier New"/>
          <w:szCs w:val="16"/>
        </w:rPr>
      </w:pPr>
      <w:r w:rsidRPr="000A0A5F">
        <w:rPr>
          <w:rFonts w:cs="Courier New"/>
          <w:szCs w:val="16"/>
        </w:rPr>
        <w:t xml:space="preserve">                $ref: '#/components/schemas/</w:t>
      </w:r>
      <w:r w:rsidRPr="000A0A5F">
        <w:t>ProblemDetailsAsSessionWithQos</w:t>
      </w:r>
      <w:r w:rsidRPr="000A0A5F">
        <w:rPr>
          <w:rFonts w:cs="Courier New"/>
          <w:szCs w:val="16"/>
        </w:rPr>
        <w:t>'</w:t>
      </w:r>
    </w:p>
    <w:p w:rsidR="00C92DBD" w:rsidRPr="000A0A5F" w:rsidRDefault="00C92DBD" w:rsidP="00C92DBD">
      <w:pPr>
        <w:pStyle w:val="PL"/>
      </w:pPr>
      <w:r w:rsidRPr="000A0A5F">
        <w:t xml:space="preserve">          headers:</w:t>
      </w:r>
    </w:p>
    <w:p w:rsidR="00C92DBD" w:rsidRPr="000A0A5F" w:rsidRDefault="00C92DBD" w:rsidP="00C92DBD">
      <w:pPr>
        <w:pStyle w:val="PL"/>
      </w:pPr>
      <w:r w:rsidRPr="000A0A5F">
        <w:t xml:space="preserve">            Retry-After:</w:t>
      </w:r>
    </w:p>
    <w:p w:rsidR="00C92DBD" w:rsidRPr="000A0A5F" w:rsidRDefault="00C92DBD" w:rsidP="00C92DBD">
      <w:pPr>
        <w:pStyle w:val="PL"/>
      </w:pPr>
      <w:r w:rsidRPr="000A0A5F">
        <w:t xml:space="preserve">              description: &gt;</w:t>
      </w:r>
    </w:p>
    <w:p w:rsidR="00C92DBD" w:rsidRPr="000A0A5F" w:rsidRDefault="00C92DBD" w:rsidP="00C92DBD">
      <w:pPr>
        <w:pStyle w:val="PL"/>
      </w:pPr>
      <w:r w:rsidRPr="000A0A5F">
        <w:t xml:space="preserve">                Indicates the time the AF has to wait before making a new request. It can be a</w:t>
      </w:r>
    </w:p>
    <w:p w:rsidR="00C92DBD" w:rsidRPr="000A0A5F" w:rsidRDefault="00C92DBD" w:rsidP="00C92DBD">
      <w:pPr>
        <w:pStyle w:val="PL"/>
      </w:pPr>
      <w:r w:rsidRPr="000A0A5F">
        <w:t xml:space="preserve">                non-negative integer (decimal number) indicating the number of seconds the AF</w:t>
      </w:r>
    </w:p>
    <w:p w:rsidR="00C92DBD" w:rsidRPr="000A0A5F" w:rsidRDefault="00C92DBD" w:rsidP="00C92DBD">
      <w:pPr>
        <w:pStyle w:val="PL"/>
      </w:pPr>
      <w:r w:rsidRPr="000A0A5F">
        <w:t xml:space="preserve">                has to wait before making a new request or an HTTP-date after which the AF can</w:t>
      </w:r>
    </w:p>
    <w:p w:rsidR="00C92DBD" w:rsidRPr="000A0A5F" w:rsidRDefault="00C92DBD" w:rsidP="00C92DBD">
      <w:pPr>
        <w:pStyle w:val="PL"/>
      </w:pPr>
      <w:r w:rsidRPr="000A0A5F">
        <w:t xml:space="preserve">                retry a new request.</w:t>
      </w:r>
    </w:p>
    <w:p w:rsidR="00C92DBD" w:rsidRPr="000A0A5F" w:rsidRDefault="00C92DBD" w:rsidP="00C92DBD">
      <w:pPr>
        <w:pStyle w:val="PL"/>
      </w:pPr>
      <w:r w:rsidRPr="000A0A5F">
        <w:t xml:space="preserve">              schema:</w:t>
      </w:r>
    </w:p>
    <w:p w:rsidR="00C92DBD" w:rsidRPr="000A0A5F" w:rsidRDefault="00C92DBD" w:rsidP="00C92DBD">
      <w:pPr>
        <w:pStyle w:val="PL"/>
      </w:pPr>
      <w:r w:rsidRPr="000A0A5F">
        <w:t xml:space="preserve">                type: string</w:t>
      </w:r>
    </w:p>
    <w:p w:rsidR="00CB0DD7" w:rsidRPr="000A0A5F" w:rsidRDefault="00CB0DD7">
      <w:pPr>
        <w:pStyle w:val="PL"/>
      </w:pPr>
      <w:r w:rsidRPr="000A0A5F">
        <w:t xml:space="preserve">        '404':</w:t>
      </w:r>
    </w:p>
    <w:p w:rsidR="00CB0DD7" w:rsidRPr="000A0A5F" w:rsidRDefault="00CB0DD7">
      <w:pPr>
        <w:pStyle w:val="PL"/>
      </w:pPr>
      <w:r w:rsidRPr="000A0A5F">
        <w:t xml:space="preserve">          $ref: 'TS29122_CommonData.yaml#/components/responses/404'</w:t>
      </w:r>
    </w:p>
    <w:p w:rsidR="00CB0DD7" w:rsidRPr="000A0A5F" w:rsidRDefault="00CB0DD7">
      <w:pPr>
        <w:pStyle w:val="PL"/>
      </w:pPr>
      <w:r w:rsidRPr="000A0A5F">
        <w:t xml:space="preserve">        '411':</w:t>
      </w:r>
    </w:p>
    <w:p w:rsidR="00CB0DD7" w:rsidRPr="000A0A5F" w:rsidRDefault="00CB0DD7">
      <w:pPr>
        <w:pStyle w:val="PL"/>
      </w:pPr>
      <w:r w:rsidRPr="000A0A5F">
        <w:t xml:space="preserve">          $ref: 'TS29122_CommonData.yaml#/components/responses/411'</w:t>
      </w:r>
    </w:p>
    <w:p w:rsidR="00CB0DD7" w:rsidRPr="000A0A5F" w:rsidRDefault="00CB0DD7">
      <w:pPr>
        <w:pStyle w:val="PL"/>
      </w:pPr>
      <w:r w:rsidRPr="000A0A5F">
        <w:t xml:space="preserve">        '413':</w:t>
      </w:r>
    </w:p>
    <w:p w:rsidR="00CB0DD7" w:rsidRPr="000A0A5F" w:rsidRDefault="00CB0DD7">
      <w:pPr>
        <w:pStyle w:val="PL"/>
      </w:pPr>
      <w:r w:rsidRPr="000A0A5F">
        <w:t xml:space="preserve">          $ref: 'TS29122_CommonData.yaml#/components/responses/413'</w:t>
      </w:r>
    </w:p>
    <w:p w:rsidR="00CB0DD7" w:rsidRPr="000A0A5F" w:rsidRDefault="00CB0DD7">
      <w:pPr>
        <w:pStyle w:val="PL"/>
      </w:pPr>
      <w:r w:rsidRPr="000A0A5F">
        <w:t xml:space="preserve">        '415':</w:t>
      </w:r>
    </w:p>
    <w:p w:rsidR="00CB0DD7" w:rsidRPr="000A0A5F" w:rsidRDefault="00CB0DD7">
      <w:pPr>
        <w:pStyle w:val="PL"/>
      </w:pPr>
      <w:r w:rsidRPr="000A0A5F">
        <w:t xml:space="preserve">          $ref: 'TS29122_CommonData.yaml#/components/responses/415'</w:t>
      </w:r>
    </w:p>
    <w:p w:rsidR="00CB0DD7" w:rsidRPr="000A0A5F" w:rsidRDefault="00CB0DD7">
      <w:pPr>
        <w:pStyle w:val="PL"/>
      </w:pPr>
      <w:r w:rsidRPr="000A0A5F">
        <w:t xml:space="preserve">        '429':</w:t>
      </w:r>
    </w:p>
    <w:p w:rsidR="00CB0DD7" w:rsidRPr="000A0A5F" w:rsidRDefault="00CB0DD7">
      <w:pPr>
        <w:pStyle w:val="PL"/>
      </w:pPr>
      <w:r w:rsidRPr="000A0A5F">
        <w:t xml:space="preserve">          $ref: 'TS29122_CommonData.yaml#/components/responses/429'</w:t>
      </w:r>
    </w:p>
    <w:p w:rsidR="00CB0DD7" w:rsidRPr="000A0A5F" w:rsidRDefault="00CB0DD7">
      <w:pPr>
        <w:pStyle w:val="PL"/>
      </w:pPr>
      <w:r w:rsidRPr="000A0A5F">
        <w:t xml:space="preserve">        '500':</w:t>
      </w:r>
    </w:p>
    <w:p w:rsidR="00CB0DD7" w:rsidRPr="000A0A5F" w:rsidRDefault="00CB0DD7">
      <w:pPr>
        <w:pStyle w:val="PL"/>
      </w:pPr>
      <w:r w:rsidRPr="000A0A5F">
        <w:t xml:space="preserve">          $ref: 'TS29122_CommonData.yaml#/components/responses/500'</w:t>
      </w:r>
    </w:p>
    <w:p w:rsidR="00CB0DD7" w:rsidRPr="000A0A5F" w:rsidRDefault="00CB0DD7">
      <w:pPr>
        <w:pStyle w:val="PL"/>
      </w:pPr>
      <w:r w:rsidRPr="000A0A5F">
        <w:t xml:space="preserve">        '503':</w:t>
      </w:r>
    </w:p>
    <w:p w:rsidR="00CB0DD7" w:rsidRPr="000A0A5F" w:rsidRDefault="00CB0DD7">
      <w:pPr>
        <w:pStyle w:val="PL"/>
      </w:pPr>
      <w:r w:rsidRPr="000A0A5F">
        <w:t xml:space="preserve">          $ref: 'TS29122_CommonData.yaml#/components/responses/503'</w:t>
      </w:r>
    </w:p>
    <w:p w:rsidR="00CB0DD7" w:rsidRPr="000A0A5F" w:rsidRDefault="00CB0DD7">
      <w:pPr>
        <w:pStyle w:val="PL"/>
      </w:pPr>
      <w:r w:rsidRPr="000A0A5F">
        <w:t xml:space="preserve">        default:</w:t>
      </w:r>
    </w:p>
    <w:p w:rsidR="00CB0DD7" w:rsidRPr="000A0A5F" w:rsidRDefault="00CB0DD7">
      <w:pPr>
        <w:pStyle w:val="PL"/>
      </w:pPr>
      <w:r w:rsidRPr="000A0A5F">
        <w:t xml:space="preserve">          $ref: 'TS29122_CommonData.yaml#/components/responses/default'</w:t>
      </w:r>
    </w:p>
    <w:p w:rsidR="00CB0DD7" w:rsidRPr="000A0A5F" w:rsidRDefault="00CB0DD7">
      <w:pPr>
        <w:pStyle w:val="PL"/>
      </w:pPr>
    </w:p>
    <w:p w:rsidR="00CB0DD7" w:rsidRPr="000A0A5F" w:rsidRDefault="00CB0DD7">
      <w:pPr>
        <w:pStyle w:val="PL"/>
      </w:pPr>
      <w:r w:rsidRPr="000A0A5F">
        <w:t xml:space="preserve">    patch:</w:t>
      </w:r>
    </w:p>
    <w:p w:rsidR="00CB0DD7" w:rsidRPr="000A0A5F" w:rsidRDefault="00CB0DD7">
      <w:pPr>
        <w:pStyle w:val="PL"/>
      </w:pPr>
      <w:r w:rsidRPr="000A0A5F">
        <w:t xml:space="preserve">      summary: Updates/replaces an existing subscription resource</w:t>
      </w:r>
      <w:r w:rsidR="00A1436B" w:rsidRPr="000A0A5F">
        <w:t>.</w:t>
      </w:r>
    </w:p>
    <w:p w:rsidR="00A1436B" w:rsidRPr="000A0A5F" w:rsidRDefault="00A1436B" w:rsidP="00A1436B">
      <w:pPr>
        <w:pStyle w:val="PL"/>
      </w:pPr>
      <w:r w:rsidRPr="000A0A5F">
        <w:t xml:space="preserve">      </w:t>
      </w:r>
      <w:r w:rsidRPr="000A0A5F">
        <w:rPr>
          <w:rFonts w:cs="Courier New"/>
          <w:szCs w:val="16"/>
        </w:rPr>
        <w:t>operationId: ModifyInd</w:t>
      </w:r>
      <w:r w:rsidRPr="000A0A5F">
        <w:rPr>
          <w:rFonts w:hint="eastAsia"/>
          <w:lang w:eastAsia="zh-CN"/>
        </w:rPr>
        <w:t>ASSession</w:t>
      </w:r>
      <w:r w:rsidRPr="000A0A5F">
        <w:rPr>
          <w:lang w:eastAsia="zh-CN"/>
        </w:rPr>
        <w:t>W</w:t>
      </w:r>
      <w:r w:rsidRPr="000A0A5F">
        <w:rPr>
          <w:rFonts w:hint="eastAsia"/>
          <w:lang w:eastAsia="zh-CN"/>
        </w:rPr>
        <w:t>ithQoS</w:t>
      </w:r>
      <w:r w:rsidRPr="000A0A5F">
        <w:t>Subscription</w:t>
      </w:r>
    </w:p>
    <w:p w:rsidR="00CB0DD7" w:rsidRPr="000A0A5F" w:rsidRDefault="00CB0DD7">
      <w:pPr>
        <w:pStyle w:val="PL"/>
      </w:pPr>
      <w:r w:rsidRPr="000A0A5F">
        <w:t xml:space="preserve">      tags:</w:t>
      </w:r>
    </w:p>
    <w:p w:rsidR="00CB0DD7" w:rsidRPr="000A0A5F" w:rsidRDefault="00CB0DD7">
      <w:pPr>
        <w:pStyle w:val="PL"/>
      </w:pPr>
      <w:r w:rsidRPr="000A0A5F">
        <w:t xml:space="preserve">        - </w:t>
      </w:r>
      <w:r w:rsidR="00A1436B" w:rsidRPr="000A0A5F">
        <w:rPr>
          <w:rFonts w:hint="eastAsia"/>
          <w:lang w:eastAsia="zh-CN"/>
        </w:rPr>
        <w:t>Ind</w:t>
      </w:r>
      <w:r w:rsidR="00A1436B" w:rsidRPr="000A0A5F">
        <w:rPr>
          <w:lang w:eastAsia="zh-CN"/>
        </w:rPr>
        <w:t>i</w:t>
      </w:r>
      <w:r w:rsidR="00A1436B" w:rsidRPr="000A0A5F">
        <w:rPr>
          <w:rFonts w:hint="eastAsia"/>
          <w:lang w:eastAsia="zh-CN"/>
        </w:rPr>
        <w:t>vidual AS Session with Required QoS</w:t>
      </w:r>
      <w:r w:rsidR="00A1436B" w:rsidRPr="000A0A5F">
        <w:rPr>
          <w:lang w:eastAsia="zh-CN"/>
        </w:rPr>
        <w:t xml:space="preserve"> </w:t>
      </w:r>
      <w:r w:rsidR="00A1436B" w:rsidRPr="000A0A5F">
        <w:t>Subscription</w:t>
      </w:r>
    </w:p>
    <w:p w:rsidR="00CB0DD7" w:rsidRPr="000A0A5F" w:rsidRDefault="00CB0DD7">
      <w:pPr>
        <w:pStyle w:val="PL"/>
      </w:pPr>
      <w:r w:rsidRPr="000A0A5F">
        <w:t xml:space="preserve">      parameters:</w:t>
      </w:r>
    </w:p>
    <w:p w:rsidR="00CB0DD7" w:rsidRPr="000A0A5F" w:rsidRDefault="00CB0DD7">
      <w:pPr>
        <w:pStyle w:val="PL"/>
      </w:pPr>
      <w:r w:rsidRPr="000A0A5F">
        <w:t xml:space="preserve">        - name: scsAsId</w:t>
      </w:r>
    </w:p>
    <w:p w:rsidR="00CB0DD7" w:rsidRPr="000A0A5F" w:rsidRDefault="00CB0DD7">
      <w:pPr>
        <w:pStyle w:val="PL"/>
      </w:pPr>
      <w:r w:rsidRPr="000A0A5F">
        <w:t xml:space="preserve">          in: path</w:t>
      </w:r>
    </w:p>
    <w:p w:rsidR="00CB0DD7" w:rsidRPr="000A0A5F" w:rsidRDefault="00CB0DD7">
      <w:pPr>
        <w:pStyle w:val="PL"/>
      </w:pPr>
      <w:r w:rsidRPr="000A0A5F">
        <w:t xml:space="preserve">          description: Identifier of the SCS/AS</w:t>
      </w:r>
    </w:p>
    <w:p w:rsidR="00CB0DD7" w:rsidRPr="000A0A5F" w:rsidRDefault="00CB0DD7">
      <w:pPr>
        <w:pStyle w:val="PL"/>
      </w:pPr>
      <w:r w:rsidRPr="000A0A5F">
        <w:t xml:space="preserve">          required: true</w:t>
      </w:r>
    </w:p>
    <w:p w:rsidR="00CB0DD7" w:rsidRPr="000A0A5F" w:rsidRDefault="00CB0DD7">
      <w:pPr>
        <w:pStyle w:val="PL"/>
      </w:pPr>
      <w:r w:rsidRPr="000A0A5F">
        <w:t xml:space="preserve">          schema:</w:t>
      </w:r>
    </w:p>
    <w:p w:rsidR="00CB0DD7" w:rsidRPr="000A0A5F" w:rsidRDefault="00CB0DD7">
      <w:pPr>
        <w:pStyle w:val="PL"/>
      </w:pPr>
      <w:r w:rsidRPr="000A0A5F">
        <w:t xml:space="preserve">            type: string</w:t>
      </w:r>
    </w:p>
    <w:p w:rsidR="00CB0DD7" w:rsidRPr="000A0A5F" w:rsidRDefault="00CB0DD7">
      <w:pPr>
        <w:pStyle w:val="PL"/>
      </w:pPr>
      <w:r w:rsidRPr="000A0A5F">
        <w:t xml:space="preserve">        - name: subscriptionId</w:t>
      </w:r>
    </w:p>
    <w:p w:rsidR="00CB0DD7" w:rsidRPr="000A0A5F" w:rsidRDefault="00CB0DD7">
      <w:pPr>
        <w:pStyle w:val="PL"/>
      </w:pPr>
      <w:r w:rsidRPr="000A0A5F">
        <w:t xml:space="preserve">          in: path</w:t>
      </w:r>
    </w:p>
    <w:p w:rsidR="00CB0DD7" w:rsidRPr="000A0A5F" w:rsidRDefault="00CB0DD7">
      <w:pPr>
        <w:pStyle w:val="PL"/>
      </w:pPr>
      <w:r w:rsidRPr="000A0A5F">
        <w:t xml:space="preserve">          description: Identifier of the subscription resource</w:t>
      </w:r>
    </w:p>
    <w:p w:rsidR="00CB0DD7" w:rsidRPr="000A0A5F" w:rsidRDefault="00CB0DD7">
      <w:pPr>
        <w:pStyle w:val="PL"/>
      </w:pPr>
      <w:r w:rsidRPr="000A0A5F">
        <w:t xml:space="preserve">          required: true</w:t>
      </w:r>
    </w:p>
    <w:p w:rsidR="00CB0DD7" w:rsidRPr="000A0A5F" w:rsidRDefault="00CB0DD7">
      <w:pPr>
        <w:pStyle w:val="PL"/>
      </w:pPr>
      <w:r w:rsidRPr="000A0A5F">
        <w:t xml:space="preserve">          schema:</w:t>
      </w:r>
    </w:p>
    <w:p w:rsidR="00CB0DD7" w:rsidRPr="000A0A5F" w:rsidRDefault="00CB0DD7">
      <w:pPr>
        <w:pStyle w:val="PL"/>
      </w:pPr>
      <w:r w:rsidRPr="000A0A5F">
        <w:t xml:space="preserve">            type: string</w:t>
      </w:r>
    </w:p>
    <w:p w:rsidR="00CB0DD7" w:rsidRPr="000A0A5F" w:rsidRDefault="00CB0DD7">
      <w:pPr>
        <w:pStyle w:val="PL"/>
      </w:pPr>
      <w:r w:rsidRPr="000A0A5F">
        <w:t xml:space="preserve">      requestBody:</w:t>
      </w:r>
    </w:p>
    <w:p w:rsidR="00CB0DD7" w:rsidRPr="000A0A5F" w:rsidRDefault="00CB0DD7">
      <w:pPr>
        <w:pStyle w:val="PL"/>
      </w:pPr>
      <w:r w:rsidRPr="000A0A5F">
        <w:t xml:space="preserve">        required: true</w:t>
      </w:r>
    </w:p>
    <w:p w:rsidR="00CB0DD7" w:rsidRPr="000A0A5F" w:rsidRDefault="00CB0DD7">
      <w:pPr>
        <w:pStyle w:val="PL"/>
      </w:pPr>
      <w:r w:rsidRPr="000A0A5F">
        <w:t xml:space="preserve">        content:</w:t>
      </w:r>
    </w:p>
    <w:p w:rsidR="00CB0DD7" w:rsidRPr="000A0A5F" w:rsidRDefault="00CB0DD7">
      <w:pPr>
        <w:pStyle w:val="PL"/>
      </w:pPr>
      <w:r w:rsidRPr="000A0A5F">
        <w:t xml:space="preserve">          </w:t>
      </w:r>
      <w:r w:rsidRPr="000A0A5F">
        <w:rPr>
          <w:lang w:val="en-US"/>
        </w:rPr>
        <w:t>application/merge-patch+json</w:t>
      </w:r>
      <w:r w:rsidRPr="000A0A5F">
        <w:t>:</w:t>
      </w:r>
    </w:p>
    <w:p w:rsidR="00CB0DD7" w:rsidRPr="000A0A5F" w:rsidRDefault="00CB0DD7">
      <w:pPr>
        <w:pStyle w:val="PL"/>
      </w:pPr>
      <w:r w:rsidRPr="000A0A5F">
        <w:t xml:space="preserve">            schema:</w:t>
      </w:r>
    </w:p>
    <w:p w:rsidR="00CB0DD7" w:rsidRPr="000A0A5F" w:rsidRDefault="00CB0DD7">
      <w:pPr>
        <w:pStyle w:val="PL"/>
      </w:pPr>
      <w:r w:rsidRPr="000A0A5F">
        <w:t xml:space="preserve">              $ref: '#/components/schemas/AsSessionWithQoSSubscriptionPatch'</w:t>
      </w:r>
    </w:p>
    <w:p w:rsidR="00CB0DD7" w:rsidRPr="000A0A5F" w:rsidRDefault="00CB0DD7">
      <w:pPr>
        <w:pStyle w:val="PL"/>
      </w:pPr>
      <w:r w:rsidRPr="000A0A5F">
        <w:t xml:space="preserve">      responses:</w:t>
      </w:r>
    </w:p>
    <w:p w:rsidR="00CB0DD7" w:rsidRPr="000A0A5F" w:rsidRDefault="00CB0DD7">
      <w:pPr>
        <w:pStyle w:val="PL"/>
      </w:pPr>
      <w:r w:rsidRPr="000A0A5F">
        <w:t xml:space="preserve">        '200':</w:t>
      </w:r>
    </w:p>
    <w:p w:rsidR="00CB0DD7" w:rsidRPr="000A0A5F" w:rsidRDefault="00CB0DD7">
      <w:pPr>
        <w:pStyle w:val="PL"/>
      </w:pPr>
      <w:r w:rsidRPr="000A0A5F">
        <w:t xml:space="preserve">          description: OK. The subscription was modified successfully.</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application/json:</w:t>
      </w:r>
    </w:p>
    <w:p w:rsidR="00CB0DD7" w:rsidRPr="000A0A5F" w:rsidRDefault="00CB0DD7">
      <w:pPr>
        <w:pStyle w:val="PL"/>
      </w:pPr>
      <w:r w:rsidRPr="000A0A5F">
        <w:t xml:space="preserve">              schema:</w:t>
      </w:r>
    </w:p>
    <w:p w:rsidR="00CB0DD7" w:rsidRPr="000A0A5F" w:rsidRDefault="00CB0DD7">
      <w:pPr>
        <w:pStyle w:val="PL"/>
      </w:pPr>
      <w:r w:rsidRPr="000A0A5F">
        <w:t xml:space="preserve">                $ref: '#/components/schemas/AsSessionWithQoSSubscription'</w:t>
      </w:r>
    </w:p>
    <w:p w:rsidR="00CB0DD7" w:rsidRPr="000A0A5F" w:rsidRDefault="00CB0DD7">
      <w:pPr>
        <w:pStyle w:val="PL"/>
      </w:pPr>
      <w:r w:rsidRPr="000A0A5F">
        <w:t xml:space="preserve">        '204':</w:t>
      </w:r>
    </w:p>
    <w:p w:rsidR="00CB0DD7" w:rsidRPr="000A0A5F" w:rsidRDefault="00CB0DD7">
      <w:pPr>
        <w:pStyle w:val="PL"/>
      </w:pPr>
      <w:r w:rsidRPr="000A0A5F">
        <w:t xml:space="preserve">          description: No Content. The subscription was modified successfully.</w:t>
      </w:r>
    </w:p>
    <w:p w:rsidR="00CB0DD7" w:rsidRPr="000A0A5F" w:rsidRDefault="00CB0DD7">
      <w:pPr>
        <w:pStyle w:val="PL"/>
      </w:pPr>
      <w:r w:rsidRPr="000A0A5F">
        <w:t xml:space="preserve">        '307':</w:t>
      </w:r>
    </w:p>
    <w:p w:rsidR="00CB0DD7" w:rsidRPr="000A0A5F" w:rsidRDefault="00CB0DD7">
      <w:pPr>
        <w:pStyle w:val="PL"/>
      </w:pPr>
      <w:r w:rsidRPr="000A0A5F">
        <w:t xml:space="preserve">          $ref: 'TS29122_CommonData.yaml#/components/responses/307'</w:t>
      </w:r>
    </w:p>
    <w:p w:rsidR="00CB0DD7" w:rsidRPr="000A0A5F" w:rsidRDefault="00CB0DD7">
      <w:pPr>
        <w:pStyle w:val="PL"/>
      </w:pPr>
      <w:r w:rsidRPr="000A0A5F">
        <w:t xml:space="preserve">        '308':</w:t>
      </w:r>
    </w:p>
    <w:p w:rsidR="00CB0DD7" w:rsidRPr="000A0A5F" w:rsidRDefault="00CB0DD7">
      <w:pPr>
        <w:pStyle w:val="PL"/>
      </w:pPr>
      <w:r w:rsidRPr="000A0A5F">
        <w:t xml:space="preserve">          $ref: 'TS29122_CommonData.yaml#/components/responses/308'</w:t>
      </w:r>
    </w:p>
    <w:p w:rsidR="00CB0DD7" w:rsidRPr="000A0A5F" w:rsidRDefault="00CB0DD7">
      <w:pPr>
        <w:pStyle w:val="PL"/>
      </w:pPr>
      <w:r w:rsidRPr="000A0A5F">
        <w:t xml:space="preserve">        '400':</w:t>
      </w:r>
    </w:p>
    <w:p w:rsidR="00CB0DD7" w:rsidRPr="000A0A5F" w:rsidRDefault="00CB0DD7">
      <w:pPr>
        <w:pStyle w:val="PL"/>
      </w:pPr>
      <w:r w:rsidRPr="000A0A5F">
        <w:t xml:space="preserve">          $ref: 'TS29122_CommonData.yaml#/components/responses/400'</w:t>
      </w:r>
    </w:p>
    <w:p w:rsidR="00CB0DD7" w:rsidRPr="000A0A5F" w:rsidRDefault="00CB0DD7">
      <w:pPr>
        <w:pStyle w:val="PL"/>
      </w:pPr>
      <w:r w:rsidRPr="000A0A5F">
        <w:t xml:space="preserve">        '401':</w:t>
      </w:r>
    </w:p>
    <w:p w:rsidR="00CB0DD7" w:rsidRPr="000A0A5F" w:rsidRDefault="00CB0DD7">
      <w:pPr>
        <w:pStyle w:val="PL"/>
      </w:pPr>
      <w:r w:rsidRPr="000A0A5F">
        <w:t xml:space="preserve">          $ref: 'TS29122_CommonData.yaml#/components/responses/401'</w:t>
      </w:r>
    </w:p>
    <w:p w:rsidR="00CB0DD7" w:rsidRPr="000A0A5F" w:rsidRDefault="00CB0DD7">
      <w:pPr>
        <w:pStyle w:val="PL"/>
      </w:pPr>
      <w:r w:rsidRPr="000A0A5F">
        <w:t xml:space="preserve">        '403':</w:t>
      </w:r>
    </w:p>
    <w:p w:rsidR="00C92DBD" w:rsidRPr="000A0A5F" w:rsidRDefault="00C92DBD" w:rsidP="00C92DBD">
      <w:pPr>
        <w:pStyle w:val="PL"/>
        <w:rPr>
          <w:rFonts w:cs="Courier New"/>
          <w:szCs w:val="16"/>
        </w:rPr>
      </w:pPr>
      <w:r w:rsidRPr="000A0A5F">
        <w:rPr>
          <w:rFonts w:cs="Courier New"/>
          <w:szCs w:val="16"/>
        </w:rPr>
        <w:t xml:space="preserve">          description: Forbidden</w:t>
      </w:r>
    </w:p>
    <w:p w:rsidR="00C92DBD" w:rsidRPr="000A0A5F" w:rsidRDefault="00C92DBD" w:rsidP="00C92DBD">
      <w:pPr>
        <w:pStyle w:val="PL"/>
        <w:rPr>
          <w:rFonts w:cs="Courier New"/>
          <w:szCs w:val="16"/>
        </w:rPr>
      </w:pPr>
      <w:r w:rsidRPr="000A0A5F">
        <w:rPr>
          <w:rFonts w:cs="Courier New"/>
          <w:szCs w:val="16"/>
        </w:rPr>
        <w:t xml:space="preserve">          content:</w:t>
      </w:r>
    </w:p>
    <w:p w:rsidR="00C92DBD" w:rsidRPr="000A0A5F" w:rsidRDefault="00C92DBD" w:rsidP="00C92DBD">
      <w:pPr>
        <w:pStyle w:val="PL"/>
        <w:rPr>
          <w:rFonts w:cs="Courier New"/>
          <w:szCs w:val="16"/>
        </w:rPr>
      </w:pPr>
      <w:r w:rsidRPr="000A0A5F">
        <w:rPr>
          <w:rFonts w:cs="Courier New"/>
          <w:szCs w:val="16"/>
        </w:rPr>
        <w:t xml:space="preserve">            application/problem+json:</w:t>
      </w:r>
    </w:p>
    <w:p w:rsidR="00C92DBD" w:rsidRPr="000A0A5F" w:rsidRDefault="00C92DBD" w:rsidP="00C92DBD">
      <w:pPr>
        <w:pStyle w:val="PL"/>
        <w:rPr>
          <w:rFonts w:cs="Courier New"/>
          <w:szCs w:val="16"/>
        </w:rPr>
      </w:pPr>
      <w:r w:rsidRPr="000A0A5F">
        <w:rPr>
          <w:rFonts w:cs="Courier New"/>
          <w:szCs w:val="16"/>
        </w:rPr>
        <w:t xml:space="preserve">              schema:</w:t>
      </w:r>
    </w:p>
    <w:p w:rsidR="00C92DBD" w:rsidRPr="000A0A5F" w:rsidRDefault="00C92DBD" w:rsidP="00C92DBD">
      <w:pPr>
        <w:pStyle w:val="PL"/>
        <w:rPr>
          <w:rFonts w:cs="Courier New"/>
          <w:szCs w:val="16"/>
        </w:rPr>
      </w:pPr>
      <w:r w:rsidRPr="000A0A5F">
        <w:rPr>
          <w:rFonts w:cs="Courier New"/>
          <w:szCs w:val="16"/>
        </w:rPr>
        <w:t xml:space="preserve">                $ref: '#/components/schemas/</w:t>
      </w:r>
      <w:r w:rsidRPr="000A0A5F">
        <w:t>ProblemDetailsAsSessionWithQos</w:t>
      </w:r>
      <w:r w:rsidRPr="000A0A5F">
        <w:rPr>
          <w:rFonts w:cs="Courier New"/>
          <w:szCs w:val="16"/>
        </w:rPr>
        <w:t>'</w:t>
      </w:r>
    </w:p>
    <w:p w:rsidR="00C92DBD" w:rsidRPr="000A0A5F" w:rsidRDefault="00C92DBD" w:rsidP="00C92DBD">
      <w:pPr>
        <w:pStyle w:val="PL"/>
      </w:pPr>
      <w:r w:rsidRPr="000A0A5F">
        <w:t xml:space="preserve">          headers:</w:t>
      </w:r>
    </w:p>
    <w:p w:rsidR="00C92DBD" w:rsidRPr="000A0A5F" w:rsidRDefault="00C92DBD" w:rsidP="00C92DBD">
      <w:pPr>
        <w:pStyle w:val="PL"/>
      </w:pPr>
      <w:r w:rsidRPr="000A0A5F">
        <w:t xml:space="preserve">            Retry-After:</w:t>
      </w:r>
    </w:p>
    <w:p w:rsidR="00C92DBD" w:rsidRPr="000A0A5F" w:rsidRDefault="00C92DBD" w:rsidP="00C92DBD">
      <w:pPr>
        <w:pStyle w:val="PL"/>
      </w:pPr>
      <w:r w:rsidRPr="000A0A5F">
        <w:t xml:space="preserve">              description: &gt;</w:t>
      </w:r>
    </w:p>
    <w:p w:rsidR="00C92DBD" w:rsidRPr="000A0A5F" w:rsidRDefault="00C92DBD" w:rsidP="00C92DBD">
      <w:pPr>
        <w:pStyle w:val="PL"/>
      </w:pPr>
      <w:r w:rsidRPr="000A0A5F">
        <w:t xml:space="preserve">                Indicates the time the AF has to wait before making a new request. It can be a</w:t>
      </w:r>
    </w:p>
    <w:p w:rsidR="00C92DBD" w:rsidRPr="000A0A5F" w:rsidRDefault="00C92DBD" w:rsidP="00C92DBD">
      <w:pPr>
        <w:pStyle w:val="PL"/>
      </w:pPr>
      <w:r w:rsidRPr="000A0A5F">
        <w:t xml:space="preserve">                non-negative integer (decimal number) indicating the number of seconds the AF</w:t>
      </w:r>
    </w:p>
    <w:p w:rsidR="00C92DBD" w:rsidRPr="000A0A5F" w:rsidRDefault="00C92DBD" w:rsidP="00C92DBD">
      <w:pPr>
        <w:pStyle w:val="PL"/>
      </w:pPr>
      <w:r w:rsidRPr="000A0A5F">
        <w:t xml:space="preserve">                has to wait before making a new request or an HTTP-date after which the AF can</w:t>
      </w:r>
    </w:p>
    <w:p w:rsidR="00C92DBD" w:rsidRPr="000A0A5F" w:rsidRDefault="00C92DBD" w:rsidP="00C92DBD">
      <w:pPr>
        <w:pStyle w:val="PL"/>
      </w:pPr>
      <w:r w:rsidRPr="000A0A5F">
        <w:t xml:space="preserve">                retry a new request.</w:t>
      </w:r>
    </w:p>
    <w:p w:rsidR="00C92DBD" w:rsidRPr="000A0A5F" w:rsidRDefault="00C92DBD" w:rsidP="00C92DBD">
      <w:pPr>
        <w:pStyle w:val="PL"/>
      </w:pPr>
      <w:r w:rsidRPr="000A0A5F">
        <w:t xml:space="preserve">              schema:</w:t>
      </w:r>
    </w:p>
    <w:p w:rsidR="00C92DBD" w:rsidRPr="000A0A5F" w:rsidRDefault="00C92DBD" w:rsidP="00C92DBD">
      <w:pPr>
        <w:pStyle w:val="PL"/>
      </w:pPr>
      <w:r w:rsidRPr="000A0A5F">
        <w:t xml:space="preserve">                type: string</w:t>
      </w:r>
    </w:p>
    <w:p w:rsidR="00CB0DD7" w:rsidRPr="000A0A5F" w:rsidRDefault="00CB0DD7">
      <w:pPr>
        <w:pStyle w:val="PL"/>
      </w:pPr>
      <w:r w:rsidRPr="000A0A5F">
        <w:t xml:space="preserve">        '404':</w:t>
      </w:r>
    </w:p>
    <w:p w:rsidR="00CB0DD7" w:rsidRPr="000A0A5F" w:rsidRDefault="00CB0DD7">
      <w:pPr>
        <w:pStyle w:val="PL"/>
      </w:pPr>
      <w:r w:rsidRPr="000A0A5F">
        <w:t xml:space="preserve">          $ref: 'TS29122_CommonData.yaml#/components/responses/404'</w:t>
      </w:r>
    </w:p>
    <w:p w:rsidR="00CB0DD7" w:rsidRPr="000A0A5F" w:rsidRDefault="00CB0DD7">
      <w:pPr>
        <w:pStyle w:val="PL"/>
      </w:pPr>
      <w:r w:rsidRPr="000A0A5F">
        <w:t xml:space="preserve">        '411':</w:t>
      </w:r>
    </w:p>
    <w:p w:rsidR="00CB0DD7" w:rsidRPr="000A0A5F" w:rsidRDefault="00CB0DD7">
      <w:pPr>
        <w:pStyle w:val="PL"/>
      </w:pPr>
      <w:r w:rsidRPr="000A0A5F">
        <w:t xml:space="preserve">          $ref: 'TS29122_CommonData.yaml#/components/responses/411'</w:t>
      </w:r>
    </w:p>
    <w:p w:rsidR="00CB0DD7" w:rsidRPr="000A0A5F" w:rsidRDefault="00CB0DD7">
      <w:pPr>
        <w:pStyle w:val="PL"/>
      </w:pPr>
      <w:r w:rsidRPr="000A0A5F">
        <w:t xml:space="preserve">        '413':</w:t>
      </w:r>
    </w:p>
    <w:p w:rsidR="00CB0DD7" w:rsidRPr="000A0A5F" w:rsidRDefault="00CB0DD7">
      <w:pPr>
        <w:pStyle w:val="PL"/>
      </w:pPr>
      <w:r w:rsidRPr="000A0A5F">
        <w:t xml:space="preserve">          $ref: 'TS29122_CommonData.yaml#/components/responses/413'</w:t>
      </w:r>
    </w:p>
    <w:p w:rsidR="00CB0DD7" w:rsidRPr="000A0A5F" w:rsidRDefault="00CB0DD7">
      <w:pPr>
        <w:pStyle w:val="PL"/>
      </w:pPr>
      <w:r w:rsidRPr="000A0A5F">
        <w:t xml:space="preserve">        '415':</w:t>
      </w:r>
    </w:p>
    <w:p w:rsidR="00CB0DD7" w:rsidRPr="000A0A5F" w:rsidRDefault="00CB0DD7">
      <w:pPr>
        <w:pStyle w:val="PL"/>
      </w:pPr>
      <w:r w:rsidRPr="000A0A5F">
        <w:t xml:space="preserve">          $ref: 'TS29122_CommonData.yaml#/components/responses/415'</w:t>
      </w:r>
    </w:p>
    <w:p w:rsidR="00CB0DD7" w:rsidRPr="000A0A5F" w:rsidRDefault="00CB0DD7">
      <w:pPr>
        <w:pStyle w:val="PL"/>
      </w:pPr>
      <w:r w:rsidRPr="000A0A5F">
        <w:t xml:space="preserve">        '429':</w:t>
      </w:r>
    </w:p>
    <w:p w:rsidR="00CB0DD7" w:rsidRPr="000A0A5F" w:rsidRDefault="00CB0DD7">
      <w:pPr>
        <w:pStyle w:val="PL"/>
      </w:pPr>
      <w:r w:rsidRPr="000A0A5F">
        <w:t xml:space="preserve">          $ref: 'TS29122_CommonData.yaml#/components/responses/429'</w:t>
      </w:r>
    </w:p>
    <w:p w:rsidR="00CB0DD7" w:rsidRPr="000A0A5F" w:rsidRDefault="00CB0DD7">
      <w:pPr>
        <w:pStyle w:val="PL"/>
      </w:pPr>
      <w:r w:rsidRPr="000A0A5F">
        <w:t xml:space="preserve">        '500':</w:t>
      </w:r>
    </w:p>
    <w:p w:rsidR="00CB0DD7" w:rsidRPr="000A0A5F" w:rsidRDefault="00CB0DD7">
      <w:pPr>
        <w:pStyle w:val="PL"/>
      </w:pPr>
      <w:r w:rsidRPr="000A0A5F">
        <w:t xml:space="preserve">          $ref: 'TS29122_CommonData.yaml#/components/responses/500'</w:t>
      </w:r>
    </w:p>
    <w:p w:rsidR="00CB0DD7" w:rsidRPr="000A0A5F" w:rsidRDefault="00CB0DD7">
      <w:pPr>
        <w:pStyle w:val="PL"/>
      </w:pPr>
      <w:r w:rsidRPr="000A0A5F">
        <w:t xml:space="preserve">        '503':</w:t>
      </w:r>
    </w:p>
    <w:p w:rsidR="00CB0DD7" w:rsidRPr="000A0A5F" w:rsidRDefault="00CB0DD7">
      <w:pPr>
        <w:pStyle w:val="PL"/>
      </w:pPr>
      <w:r w:rsidRPr="000A0A5F">
        <w:t xml:space="preserve">          $ref: 'TS29122_CommonData.yaml#/components/responses/503'</w:t>
      </w:r>
    </w:p>
    <w:p w:rsidR="00CB0DD7" w:rsidRPr="000A0A5F" w:rsidRDefault="00CB0DD7">
      <w:pPr>
        <w:pStyle w:val="PL"/>
      </w:pPr>
      <w:r w:rsidRPr="000A0A5F">
        <w:t xml:space="preserve">        default:</w:t>
      </w:r>
    </w:p>
    <w:p w:rsidR="00CB0DD7" w:rsidRPr="000A0A5F" w:rsidRDefault="00CB0DD7">
      <w:pPr>
        <w:pStyle w:val="PL"/>
      </w:pPr>
      <w:r w:rsidRPr="000A0A5F">
        <w:t xml:space="preserve">          $ref: 'TS29122_CommonData.yaml#/components/responses/default'</w:t>
      </w:r>
    </w:p>
    <w:p w:rsidR="00CB0DD7" w:rsidRPr="000A0A5F" w:rsidRDefault="00CB0DD7">
      <w:pPr>
        <w:pStyle w:val="PL"/>
      </w:pPr>
    </w:p>
    <w:p w:rsidR="00CB0DD7" w:rsidRPr="000A0A5F" w:rsidRDefault="00CB0DD7">
      <w:pPr>
        <w:pStyle w:val="PL"/>
      </w:pPr>
      <w:r w:rsidRPr="000A0A5F">
        <w:t xml:space="preserve">    delete:</w:t>
      </w:r>
    </w:p>
    <w:p w:rsidR="00CB0DD7" w:rsidRPr="000A0A5F" w:rsidRDefault="00CB0DD7">
      <w:pPr>
        <w:pStyle w:val="PL"/>
      </w:pPr>
      <w:r w:rsidRPr="000A0A5F">
        <w:t xml:space="preserve">      summary: Deletes an already existing subscription</w:t>
      </w:r>
      <w:r w:rsidR="00A1436B" w:rsidRPr="000A0A5F">
        <w:t>.</w:t>
      </w:r>
    </w:p>
    <w:p w:rsidR="00A1436B" w:rsidRPr="000A0A5F" w:rsidRDefault="00A1436B" w:rsidP="00A1436B">
      <w:pPr>
        <w:pStyle w:val="PL"/>
      </w:pPr>
      <w:r w:rsidRPr="000A0A5F">
        <w:t xml:space="preserve">      </w:t>
      </w:r>
      <w:r w:rsidRPr="000A0A5F">
        <w:rPr>
          <w:rFonts w:cs="Courier New"/>
          <w:szCs w:val="16"/>
        </w:rPr>
        <w:t>operationId: DeleteInd</w:t>
      </w:r>
      <w:r w:rsidRPr="000A0A5F">
        <w:rPr>
          <w:rFonts w:hint="eastAsia"/>
          <w:lang w:eastAsia="zh-CN"/>
        </w:rPr>
        <w:t>ASSession</w:t>
      </w:r>
      <w:r w:rsidRPr="000A0A5F">
        <w:rPr>
          <w:lang w:eastAsia="zh-CN"/>
        </w:rPr>
        <w:t>W</w:t>
      </w:r>
      <w:r w:rsidRPr="000A0A5F">
        <w:rPr>
          <w:rFonts w:hint="eastAsia"/>
          <w:lang w:eastAsia="zh-CN"/>
        </w:rPr>
        <w:t>ithQoS</w:t>
      </w:r>
      <w:r w:rsidRPr="000A0A5F">
        <w:t>Subscription</w:t>
      </w:r>
    </w:p>
    <w:p w:rsidR="00CB0DD7" w:rsidRPr="000A0A5F" w:rsidRDefault="00CB0DD7">
      <w:pPr>
        <w:pStyle w:val="PL"/>
      </w:pPr>
      <w:r w:rsidRPr="000A0A5F">
        <w:t xml:space="preserve">      tags:</w:t>
      </w:r>
    </w:p>
    <w:p w:rsidR="00CB0DD7" w:rsidRPr="000A0A5F" w:rsidRDefault="00CB0DD7">
      <w:pPr>
        <w:pStyle w:val="PL"/>
      </w:pPr>
      <w:r w:rsidRPr="000A0A5F">
        <w:t xml:space="preserve">        - </w:t>
      </w:r>
      <w:r w:rsidR="00A1436B" w:rsidRPr="000A0A5F">
        <w:rPr>
          <w:rFonts w:hint="eastAsia"/>
          <w:lang w:eastAsia="zh-CN"/>
        </w:rPr>
        <w:t>Ind</w:t>
      </w:r>
      <w:r w:rsidR="00A1436B" w:rsidRPr="000A0A5F">
        <w:rPr>
          <w:lang w:eastAsia="zh-CN"/>
        </w:rPr>
        <w:t>i</w:t>
      </w:r>
      <w:r w:rsidR="00A1436B" w:rsidRPr="000A0A5F">
        <w:rPr>
          <w:rFonts w:hint="eastAsia"/>
          <w:lang w:eastAsia="zh-CN"/>
        </w:rPr>
        <w:t>vidual AS Session with Required QoS</w:t>
      </w:r>
      <w:r w:rsidR="00A1436B" w:rsidRPr="000A0A5F">
        <w:rPr>
          <w:lang w:eastAsia="zh-CN"/>
        </w:rPr>
        <w:t xml:space="preserve"> </w:t>
      </w:r>
      <w:r w:rsidR="00A1436B" w:rsidRPr="000A0A5F">
        <w:t>Subscription</w:t>
      </w:r>
    </w:p>
    <w:p w:rsidR="00CB0DD7" w:rsidRPr="000A0A5F" w:rsidRDefault="00CB0DD7">
      <w:pPr>
        <w:pStyle w:val="PL"/>
      </w:pPr>
      <w:r w:rsidRPr="000A0A5F">
        <w:t xml:space="preserve">      parameters:</w:t>
      </w:r>
    </w:p>
    <w:p w:rsidR="00CB0DD7" w:rsidRPr="000A0A5F" w:rsidRDefault="00CB0DD7">
      <w:pPr>
        <w:pStyle w:val="PL"/>
      </w:pPr>
      <w:r w:rsidRPr="000A0A5F">
        <w:t xml:space="preserve">        - name: scsAsId</w:t>
      </w:r>
    </w:p>
    <w:p w:rsidR="00CB0DD7" w:rsidRPr="000A0A5F" w:rsidRDefault="00CB0DD7">
      <w:pPr>
        <w:pStyle w:val="PL"/>
      </w:pPr>
      <w:r w:rsidRPr="000A0A5F">
        <w:t xml:space="preserve">          in: path</w:t>
      </w:r>
    </w:p>
    <w:p w:rsidR="00CB0DD7" w:rsidRPr="000A0A5F" w:rsidRDefault="00CB0DD7">
      <w:pPr>
        <w:pStyle w:val="PL"/>
      </w:pPr>
      <w:r w:rsidRPr="000A0A5F">
        <w:t xml:space="preserve">          description: Identifier of the SCS/AS</w:t>
      </w:r>
    </w:p>
    <w:p w:rsidR="00CB0DD7" w:rsidRPr="000A0A5F" w:rsidRDefault="00CB0DD7">
      <w:pPr>
        <w:pStyle w:val="PL"/>
      </w:pPr>
      <w:r w:rsidRPr="000A0A5F">
        <w:t xml:space="preserve">          required: true</w:t>
      </w:r>
    </w:p>
    <w:p w:rsidR="00CB0DD7" w:rsidRPr="000A0A5F" w:rsidRDefault="00CB0DD7">
      <w:pPr>
        <w:pStyle w:val="PL"/>
      </w:pPr>
      <w:r w:rsidRPr="000A0A5F">
        <w:t xml:space="preserve">          schema:</w:t>
      </w:r>
    </w:p>
    <w:p w:rsidR="00CB0DD7" w:rsidRPr="000A0A5F" w:rsidRDefault="00CB0DD7">
      <w:pPr>
        <w:pStyle w:val="PL"/>
      </w:pPr>
      <w:r w:rsidRPr="000A0A5F">
        <w:t xml:space="preserve">            type: string</w:t>
      </w:r>
    </w:p>
    <w:p w:rsidR="00CB0DD7" w:rsidRPr="000A0A5F" w:rsidRDefault="00CB0DD7">
      <w:pPr>
        <w:pStyle w:val="PL"/>
      </w:pPr>
      <w:r w:rsidRPr="000A0A5F">
        <w:t xml:space="preserve">        - name: subscriptionId</w:t>
      </w:r>
    </w:p>
    <w:p w:rsidR="00CB0DD7" w:rsidRPr="000A0A5F" w:rsidRDefault="00CB0DD7">
      <w:pPr>
        <w:pStyle w:val="PL"/>
      </w:pPr>
      <w:r w:rsidRPr="000A0A5F">
        <w:t xml:space="preserve">          in: path</w:t>
      </w:r>
    </w:p>
    <w:p w:rsidR="00CB0DD7" w:rsidRPr="000A0A5F" w:rsidRDefault="00CB0DD7">
      <w:pPr>
        <w:pStyle w:val="PL"/>
      </w:pPr>
      <w:r w:rsidRPr="000A0A5F">
        <w:t xml:space="preserve">          description: Identifier of the subscription resource</w:t>
      </w:r>
    </w:p>
    <w:p w:rsidR="00CB0DD7" w:rsidRPr="000A0A5F" w:rsidRDefault="00CB0DD7">
      <w:pPr>
        <w:pStyle w:val="PL"/>
      </w:pPr>
      <w:r w:rsidRPr="000A0A5F">
        <w:t xml:space="preserve">          required: true</w:t>
      </w:r>
    </w:p>
    <w:p w:rsidR="00CB0DD7" w:rsidRPr="000A0A5F" w:rsidRDefault="00CB0DD7">
      <w:pPr>
        <w:pStyle w:val="PL"/>
      </w:pPr>
      <w:r w:rsidRPr="000A0A5F">
        <w:t xml:space="preserve">          schema:</w:t>
      </w:r>
    </w:p>
    <w:p w:rsidR="00CB0DD7" w:rsidRPr="000A0A5F" w:rsidRDefault="00CB0DD7">
      <w:pPr>
        <w:pStyle w:val="PL"/>
      </w:pPr>
      <w:r w:rsidRPr="000A0A5F">
        <w:t xml:space="preserve">            type: string</w:t>
      </w:r>
    </w:p>
    <w:p w:rsidR="00CB0DD7" w:rsidRPr="000A0A5F" w:rsidRDefault="00CB0DD7">
      <w:pPr>
        <w:pStyle w:val="PL"/>
      </w:pPr>
      <w:r w:rsidRPr="000A0A5F">
        <w:t xml:space="preserve">      responses:</w:t>
      </w:r>
    </w:p>
    <w:p w:rsidR="00CB0DD7" w:rsidRPr="000A0A5F" w:rsidRDefault="00CB0DD7">
      <w:pPr>
        <w:pStyle w:val="PL"/>
      </w:pPr>
      <w:r w:rsidRPr="000A0A5F">
        <w:t xml:space="preserve">        '204':</w:t>
      </w:r>
    </w:p>
    <w:p w:rsidR="00CB0DD7" w:rsidRPr="000A0A5F" w:rsidRDefault="00CB0DD7">
      <w:pPr>
        <w:pStyle w:val="PL"/>
        <w:rPr>
          <w:lang w:eastAsia="zh-CN"/>
        </w:rPr>
      </w:pPr>
      <w:r w:rsidRPr="000A0A5F">
        <w:t xml:space="preserve">          description: No Content (Successful deletion of the existing subscription)</w:t>
      </w:r>
    </w:p>
    <w:p w:rsidR="00CB0DD7" w:rsidRPr="000A0A5F" w:rsidRDefault="00CB0DD7">
      <w:pPr>
        <w:pStyle w:val="PL"/>
      </w:pPr>
      <w:r w:rsidRPr="000A0A5F">
        <w:t xml:space="preserve">        '200':</w:t>
      </w:r>
    </w:p>
    <w:p w:rsidR="00CB0DD7" w:rsidRPr="000A0A5F" w:rsidRDefault="00CB0DD7">
      <w:pPr>
        <w:pStyle w:val="PL"/>
      </w:pPr>
      <w:r w:rsidRPr="000A0A5F">
        <w:t xml:space="preserve">          description: OK (Successful deletion of the existing subscription)</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application/json:</w:t>
      </w:r>
    </w:p>
    <w:p w:rsidR="00CB0DD7" w:rsidRPr="000A0A5F" w:rsidRDefault="00CB0DD7">
      <w:pPr>
        <w:pStyle w:val="PL"/>
      </w:pPr>
      <w:r w:rsidRPr="000A0A5F">
        <w:t xml:space="preserve">              schema:</w:t>
      </w:r>
    </w:p>
    <w:p w:rsidR="00CB0DD7" w:rsidRPr="000A0A5F" w:rsidRDefault="00CB0DD7">
      <w:pPr>
        <w:pStyle w:val="PL"/>
      </w:pPr>
      <w:r w:rsidRPr="000A0A5F">
        <w:t xml:space="preserve">                $ref: '#/components/schemas/UserPlaneNotificationData'</w:t>
      </w:r>
    </w:p>
    <w:p w:rsidR="00CB0DD7" w:rsidRPr="000A0A5F" w:rsidRDefault="00CB0DD7">
      <w:pPr>
        <w:pStyle w:val="PL"/>
      </w:pPr>
      <w:r w:rsidRPr="000A0A5F">
        <w:t xml:space="preserve">        '307':</w:t>
      </w:r>
    </w:p>
    <w:p w:rsidR="00CB0DD7" w:rsidRPr="000A0A5F" w:rsidRDefault="00CB0DD7">
      <w:pPr>
        <w:pStyle w:val="PL"/>
      </w:pPr>
      <w:r w:rsidRPr="000A0A5F">
        <w:t xml:space="preserve">          $ref: 'TS29122_CommonData.yaml#/components/responses/307'</w:t>
      </w:r>
    </w:p>
    <w:p w:rsidR="00CB0DD7" w:rsidRPr="000A0A5F" w:rsidRDefault="00CB0DD7">
      <w:pPr>
        <w:pStyle w:val="PL"/>
      </w:pPr>
      <w:r w:rsidRPr="000A0A5F">
        <w:t xml:space="preserve">        '308':</w:t>
      </w:r>
    </w:p>
    <w:p w:rsidR="00CB0DD7" w:rsidRPr="000A0A5F" w:rsidRDefault="00CB0DD7">
      <w:pPr>
        <w:pStyle w:val="PL"/>
      </w:pPr>
      <w:r w:rsidRPr="000A0A5F">
        <w:t xml:space="preserve">          $ref: 'TS29122_CommonData.yaml#/components/responses/308'</w:t>
      </w:r>
    </w:p>
    <w:p w:rsidR="00CB0DD7" w:rsidRPr="000A0A5F" w:rsidRDefault="00CB0DD7">
      <w:pPr>
        <w:pStyle w:val="PL"/>
      </w:pPr>
      <w:r w:rsidRPr="000A0A5F">
        <w:t xml:space="preserve">        '400':</w:t>
      </w:r>
    </w:p>
    <w:p w:rsidR="00CB0DD7" w:rsidRPr="000A0A5F" w:rsidRDefault="00CB0DD7">
      <w:pPr>
        <w:pStyle w:val="PL"/>
      </w:pPr>
      <w:r w:rsidRPr="000A0A5F">
        <w:t xml:space="preserve">          $ref: 'TS29122_CommonData.yaml#/components/responses/400'</w:t>
      </w:r>
    </w:p>
    <w:p w:rsidR="00CB0DD7" w:rsidRPr="000A0A5F" w:rsidRDefault="00CB0DD7">
      <w:pPr>
        <w:pStyle w:val="PL"/>
      </w:pPr>
      <w:r w:rsidRPr="000A0A5F">
        <w:t xml:space="preserve">        '401':</w:t>
      </w:r>
    </w:p>
    <w:p w:rsidR="00CB0DD7" w:rsidRPr="000A0A5F" w:rsidRDefault="00CB0DD7">
      <w:pPr>
        <w:pStyle w:val="PL"/>
      </w:pPr>
      <w:r w:rsidRPr="000A0A5F">
        <w:t xml:space="preserve">          $ref: 'TS29122_CommonData.yaml#/components/responses/401'</w:t>
      </w:r>
    </w:p>
    <w:p w:rsidR="00CB0DD7" w:rsidRPr="000A0A5F" w:rsidRDefault="00CB0DD7">
      <w:pPr>
        <w:pStyle w:val="PL"/>
      </w:pPr>
      <w:r w:rsidRPr="000A0A5F">
        <w:t xml:space="preserve">        '403':</w:t>
      </w:r>
    </w:p>
    <w:p w:rsidR="00CB0DD7" w:rsidRPr="000A0A5F" w:rsidRDefault="00CB0DD7">
      <w:pPr>
        <w:pStyle w:val="PL"/>
      </w:pPr>
      <w:r w:rsidRPr="000A0A5F">
        <w:t xml:space="preserve">          $ref: 'TS29122_CommonData.yaml#/components/responses/403'</w:t>
      </w:r>
    </w:p>
    <w:p w:rsidR="00CB0DD7" w:rsidRPr="000A0A5F" w:rsidRDefault="00CB0DD7">
      <w:pPr>
        <w:pStyle w:val="PL"/>
      </w:pPr>
      <w:r w:rsidRPr="000A0A5F">
        <w:t xml:space="preserve">        '404':</w:t>
      </w:r>
    </w:p>
    <w:p w:rsidR="00CB0DD7" w:rsidRPr="000A0A5F" w:rsidRDefault="00CB0DD7">
      <w:pPr>
        <w:pStyle w:val="PL"/>
      </w:pPr>
      <w:r w:rsidRPr="000A0A5F">
        <w:t xml:space="preserve">          $ref: 'TS29122_CommonData.yaml#/components/responses/404'</w:t>
      </w:r>
    </w:p>
    <w:p w:rsidR="00CB0DD7" w:rsidRPr="000A0A5F" w:rsidRDefault="00CB0DD7">
      <w:pPr>
        <w:pStyle w:val="PL"/>
      </w:pPr>
      <w:r w:rsidRPr="000A0A5F">
        <w:t xml:space="preserve">        '429':</w:t>
      </w:r>
    </w:p>
    <w:p w:rsidR="00CB0DD7" w:rsidRPr="000A0A5F" w:rsidRDefault="00CB0DD7">
      <w:pPr>
        <w:pStyle w:val="PL"/>
      </w:pPr>
      <w:r w:rsidRPr="000A0A5F">
        <w:t xml:space="preserve">          $ref: 'TS29122_CommonData.yaml#/components/responses/429'</w:t>
      </w:r>
    </w:p>
    <w:p w:rsidR="00CB0DD7" w:rsidRPr="000A0A5F" w:rsidRDefault="00CB0DD7">
      <w:pPr>
        <w:pStyle w:val="PL"/>
      </w:pPr>
      <w:r w:rsidRPr="000A0A5F">
        <w:t xml:space="preserve">        '500':</w:t>
      </w:r>
    </w:p>
    <w:p w:rsidR="00CB0DD7" w:rsidRPr="000A0A5F" w:rsidRDefault="00CB0DD7">
      <w:pPr>
        <w:pStyle w:val="PL"/>
      </w:pPr>
      <w:r w:rsidRPr="000A0A5F">
        <w:t xml:space="preserve">          $ref: 'TS29122_CommonData.yaml#/components/responses/500'</w:t>
      </w:r>
    </w:p>
    <w:p w:rsidR="00CB0DD7" w:rsidRPr="000A0A5F" w:rsidRDefault="00CB0DD7">
      <w:pPr>
        <w:pStyle w:val="PL"/>
      </w:pPr>
      <w:r w:rsidRPr="000A0A5F">
        <w:t xml:space="preserve">        '503':</w:t>
      </w:r>
    </w:p>
    <w:p w:rsidR="00CB0DD7" w:rsidRPr="000A0A5F" w:rsidRDefault="00CB0DD7">
      <w:pPr>
        <w:pStyle w:val="PL"/>
      </w:pPr>
      <w:r w:rsidRPr="000A0A5F">
        <w:t xml:space="preserve">          $ref: 'TS29122_CommonData.yaml#/components/responses/503'</w:t>
      </w:r>
    </w:p>
    <w:p w:rsidR="00CB0DD7" w:rsidRPr="000A0A5F" w:rsidRDefault="00CB0DD7">
      <w:pPr>
        <w:pStyle w:val="PL"/>
      </w:pPr>
      <w:r w:rsidRPr="000A0A5F">
        <w:t xml:space="preserve">        default:</w:t>
      </w:r>
    </w:p>
    <w:p w:rsidR="00CB0DD7" w:rsidRPr="000A0A5F" w:rsidRDefault="00CB0DD7">
      <w:pPr>
        <w:pStyle w:val="PL"/>
      </w:pPr>
      <w:r w:rsidRPr="000A0A5F">
        <w:t xml:space="preserve">          $ref: 'TS29122_CommonData.yaml#/components/responses/default'</w:t>
      </w:r>
    </w:p>
    <w:p w:rsidR="00E004D9" w:rsidRPr="000A0A5F" w:rsidRDefault="00E004D9">
      <w:pPr>
        <w:pStyle w:val="PL"/>
      </w:pPr>
    </w:p>
    <w:p w:rsidR="00CB0DD7" w:rsidRPr="000A0A5F" w:rsidRDefault="00CB0DD7">
      <w:pPr>
        <w:pStyle w:val="PL"/>
      </w:pPr>
      <w:r w:rsidRPr="000A0A5F">
        <w:t>components:</w:t>
      </w:r>
    </w:p>
    <w:p w:rsidR="00CB0DD7" w:rsidRPr="000A0A5F" w:rsidRDefault="00CB0DD7">
      <w:pPr>
        <w:pStyle w:val="PL"/>
        <w:rPr>
          <w:lang w:val="en-US"/>
        </w:rPr>
      </w:pPr>
      <w:r w:rsidRPr="000A0A5F">
        <w:rPr>
          <w:lang w:val="en-US"/>
        </w:rPr>
        <w:t xml:space="preserve">  securitySchemes:</w:t>
      </w:r>
    </w:p>
    <w:p w:rsidR="00CB0DD7" w:rsidRPr="000A0A5F" w:rsidRDefault="00CB0DD7">
      <w:pPr>
        <w:pStyle w:val="PL"/>
        <w:rPr>
          <w:lang w:val="en-US"/>
        </w:rPr>
      </w:pPr>
      <w:r w:rsidRPr="000A0A5F">
        <w:rPr>
          <w:lang w:val="en-US"/>
        </w:rPr>
        <w:t xml:space="preserve">    oAuth2ClientCredentials:</w:t>
      </w:r>
    </w:p>
    <w:p w:rsidR="00CB0DD7" w:rsidRPr="000A0A5F" w:rsidRDefault="00CB0DD7">
      <w:pPr>
        <w:pStyle w:val="PL"/>
        <w:rPr>
          <w:lang w:val="en-US"/>
        </w:rPr>
      </w:pPr>
      <w:r w:rsidRPr="000A0A5F">
        <w:rPr>
          <w:lang w:val="en-US"/>
        </w:rPr>
        <w:t xml:space="preserve">      type: oauth2</w:t>
      </w:r>
    </w:p>
    <w:p w:rsidR="00CB0DD7" w:rsidRPr="000A0A5F" w:rsidRDefault="00CB0DD7">
      <w:pPr>
        <w:pStyle w:val="PL"/>
        <w:rPr>
          <w:lang w:val="en-US"/>
        </w:rPr>
      </w:pPr>
      <w:r w:rsidRPr="000A0A5F">
        <w:rPr>
          <w:lang w:val="en-US"/>
        </w:rPr>
        <w:t xml:space="preserve">      flows:</w:t>
      </w:r>
    </w:p>
    <w:p w:rsidR="00CB0DD7" w:rsidRPr="000A0A5F" w:rsidRDefault="00CB0DD7">
      <w:pPr>
        <w:pStyle w:val="PL"/>
        <w:rPr>
          <w:lang w:val="en-US"/>
        </w:rPr>
      </w:pPr>
      <w:r w:rsidRPr="000A0A5F">
        <w:rPr>
          <w:lang w:val="en-US"/>
        </w:rPr>
        <w:t xml:space="preserve">        clientCredentials:</w:t>
      </w:r>
    </w:p>
    <w:p w:rsidR="00CB0DD7" w:rsidRPr="000A0A5F" w:rsidRDefault="00CB0DD7">
      <w:pPr>
        <w:pStyle w:val="PL"/>
        <w:rPr>
          <w:lang w:val="en-US"/>
        </w:rPr>
      </w:pPr>
      <w:r w:rsidRPr="000A0A5F">
        <w:rPr>
          <w:lang w:val="en-US"/>
        </w:rPr>
        <w:t xml:space="preserve">          tokenUrl: '{tokenUrl}'</w:t>
      </w:r>
    </w:p>
    <w:p w:rsidR="00CB0DD7" w:rsidRPr="000A0A5F" w:rsidRDefault="00CB0DD7">
      <w:pPr>
        <w:pStyle w:val="PL"/>
        <w:rPr>
          <w:lang w:val="en-US"/>
        </w:rPr>
      </w:pPr>
      <w:r w:rsidRPr="000A0A5F">
        <w:rPr>
          <w:lang w:val="en-US"/>
        </w:rPr>
        <w:t xml:space="preserve">          scopes: {}</w:t>
      </w:r>
    </w:p>
    <w:p w:rsidR="00E004D9" w:rsidRPr="000A0A5F" w:rsidRDefault="00E004D9">
      <w:pPr>
        <w:pStyle w:val="PL"/>
      </w:pPr>
    </w:p>
    <w:p w:rsidR="00CB0DD7" w:rsidRPr="000A0A5F" w:rsidRDefault="00CB0DD7">
      <w:pPr>
        <w:pStyle w:val="PL"/>
        <w:rPr>
          <w:lang w:eastAsia="zh-CN"/>
        </w:rPr>
      </w:pPr>
      <w:r w:rsidRPr="000A0A5F">
        <w:t xml:space="preserve">  schemas:</w:t>
      </w:r>
    </w:p>
    <w:p w:rsidR="00CB0DD7" w:rsidRPr="000A0A5F" w:rsidRDefault="00CB0DD7">
      <w:pPr>
        <w:pStyle w:val="PL"/>
      </w:pPr>
      <w:r w:rsidRPr="000A0A5F">
        <w:t xml:space="preserve">    AsSessionWithQoSSubscription:</w:t>
      </w:r>
    </w:p>
    <w:p w:rsidR="00CB0DD7" w:rsidRPr="000A0A5F" w:rsidRDefault="00CB0DD7">
      <w:pPr>
        <w:pStyle w:val="PL"/>
      </w:pPr>
      <w:r w:rsidRPr="000A0A5F">
        <w:t xml:space="preserve">      description: Represents an individual AS session with required QoS subscription resource.</w:t>
      </w:r>
    </w:p>
    <w:p w:rsidR="00CB0DD7" w:rsidRPr="000A0A5F" w:rsidRDefault="00CB0DD7">
      <w:pPr>
        <w:pStyle w:val="PL"/>
      </w:pPr>
      <w:r w:rsidRPr="000A0A5F">
        <w:t xml:space="preserve">      type: object</w:t>
      </w:r>
    </w:p>
    <w:p w:rsidR="00CB0DD7" w:rsidRPr="000A0A5F" w:rsidRDefault="00CB0DD7">
      <w:pPr>
        <w:pStyle w:val="PL"/>
      </w:pPr>
      <w:r w:rsidRPr="000A0A5F">
        <w:t xml:space="preserve">      properties:</w:t>
      </w:r>
    </w:p>
    <w:p w:rsidR="00CB0DD7" w:rsidRPr="000A0A5F" w:rsidRDefault="00CB0DD7">
      <w:pPr>
        <w:pStyle w:val="PL"/>
      </w:pPr>
      <w:r w:rsidRPr="000A0A5F">
        <w:t xml:space="preserve">        self:</w:t>
      </w:r>
    </w:p>
    <w:p w:rsidR="00CB0DD7" w:rsidRPr="000A0A5F" w:rsidRDefault="00CB0DD7">
      <w:pPr>
        <w:pStyle w:val="PL"/>
      </w:pPr>
      <w:r w:rsidRPr="000A0A5F">
        <w:t xml:space="preserve">          $ref: 'TS29122_CommonData.yaml#/components/schemas/Link'</w:t>
      </w:r>
    </w:p>
    <w:p w:rsidR="00CB0DD7" w:rsidRPr="000A0A5F" w:rsidRDefault="00CB0DD7">
      <w:pPr>
        <w:pStyle w:val="PL"/>
      </w:pPr>
      <w:r w:rsidRPr="000A0A5F">
        <w:t xml:space="preserve">        </w:t>
      </w:r>
      <w:r w:rsidRPr="000A0A5F">
        <w:rPr>
          <w:lang w:eastAsia="zh-CN"/>
        </w:rPr>
        <w:t>supportedFeatures</w:t>
      </w:r>
      <w:r w:rsidRPr="000A0A5F">
        <w:t>:</w:t>
      </w:r>
    </w:p>
    <w:p w:rsidR="00CB0DD7" w:rsidRPr="000A0A5F" w:rsidRDefault="00CB0DD7">
      <w:pPr>
        <w:pStyle w:val="PL"/>
      </w:pPr>
      <w:r w:rsidRPr="000A0A5F">
        <w:t xml:space="preserve">          $ref: 'TS29571_CommonData.yaml#/components/schemas/</w:t>
      </w:r>
      <w:r w:rsidRPr="000A0A5F">
        <w:rPr>
          <w:lang w:eastAsia="zh-CN"/>
        </w:rPr>
        <w:t>SupportedFeatures</w:t>
      </w:r>
      <w:r w:rsidRPr="000A0A5F">
        <w:t>'</w:t>
      </w:r>
    </w:p>
    <w:p w:rsidR="00CB0DD7" w:rsidRPr="000A0A5F" w:rsidRDefault="00CB0DD7">
      <w:pPr>
        <w:pStyle w:val="PL"/>
      </w:pPr>
      <w:r w:rsidRPr="000A0A5F">
        <w:t xml:space="preserve">        dnn:</w:t>
      </w:r>
    </w:p>
    <w:p w:rsidR="00CB0DD7" w:rsidRPr="000A0A5F" w:rsidRDefault="00CB0DD7">
      <w:pPr>
        <w:pStyle w:val="PL"/>
      </w:pPr>
      <w:r w:rsidRPr="000A0A5F">
        <w:t xml:space="preserve">          $ref: 'TS29571_CommonData.yaml#/components/schemas/Dnn'</w:t>
      </w:r>
    </w:p>
    <w:p w:rsidR="00CB0DD7" w:rsidRPr="000A0A5F" w:rsidRDefault="00CB0DD7">
      <w:pPr>
        <w:pStyle w:val="PL"/>
      </w:pPr>
      <w:r w:rsidRPr="000A0A5F">
        <w:t xml:space="preserve">        snssai:</w:t>
      </w:r>
    </w:p>
    <w:p w:rsidR="00CB0DD7" w:rsidRPr="000A0A5F" w:rsidRDefault="00CB0DD7">
      <w:pPr>
        <w:pStyle w:val="PL"/>
      </w:pPr>
      <w:r w:rsidRPr="000A0A5F">
        <w:t xml:space="preserve">          $ref: 'TS29571_CommonData.yaml#/components/schemas/Snssai'</w:t>
      </w:r>
    </w:p>
    <w:p w:rsidR="00CB0DD7" w:rsidRPr="000A0A5F" w:rsidRDefault="00CB0DD7">
      <w:pPr>
        <w:pStyle w:val="PL"/>
      </w:pPr>
      <w:r w:rsidRPr="000A0A5F">
        <w:t xml:space="preserve">        notificationDestination:</w:t>
      </w:r>
    </w:p>
    <w:p w:rsidR="00CB0DD7" w:rsidRPr="000A0A5F" w:rsidRDefault="00CB0DD7">
      <w:pPr>
        <w:pStyle w:val="PL"/>
      </w:pPr>
      <w:r w:rsidRPr="000A0A5F">
        <w:t xml:space="preserve">          $ref: 'TS29122_CommonData.yaml#/components/schemas/Link'</w:t>
      </w:r>
    </w:p>
    <w:p w:rsidR="00CB0DD7" w:rsidRPr="000A0A5F" w:rsidRDefault="00CB0DD7">
      <w:pPr>
        <w:pStyle w:val="PL"/>
      </w:pPr>
      <w:r w:rsidRPr="000A0A5F">
        <w:t xml:space="preserve">        exterAppId:</w:t>
      </w:r>
    </w:p>
    <w:p w:rsidR="00CB0DD7" w:rsidRPr="000A0A5F" w:rsidRDefault="00CB0DD7">
      <w:pPr>
        <w:pStyle w:val="PL"/>
      </w:pPr>
      <w:r w:rsidRPr="000A0A5F">
        <w:t xml:space="preserve">          </w:t>
      </w:r>
      <w:bookmarkStart w:id="10451" w:name="_Hlk67061759"/>
      <w:r w:rsidRPr="000A0A5F">
        <w:t>type: string</w:t>
      </w:r>
      <w:bookmarkEnd w:id="10451"/>
    </w:p>
    <w:p w:rsidR="00CB0DD7" w:rsidRPr="000A0A5F" w:rsidRDefault="00CB0DD7">
      <w:pPr>
        <w:pStyle w:val="PL"/>
      </w:pPr>
      <w:r w:rsidRPr="000A0A5F">
        <w:t xml:space="preserve">          description: Identifies the external Application Identifier.</w:t>
      </w:r>
    </w:p>
    <w:p w:rsidR="00AE2765" w:rsidRPr="000A0A5F" w:rsidRDefault="00AE2765" w:rsidP="00AE2765">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0A0A5F">
        <w:rPr>
          <w:rFonts w:ascii="Courier New" w:hAnsi="Courier New"/>
          <w:sz w:val="16"/>
        </w:rPr>
        <w:t xml:space="preserve">        extGroupId:</w:t>
      </w:r>
    </w:p>
    <w:p w:rsidR="00AE2765" w:rsidRPr="000A0A5F" w:rsidRDefault="00AE2765" w:rsidP="00AE2765">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0A0A5F">
        <w:rPr>
          <w:rFonts w:ascii="Courier New" w:hAnsi="Courier New"/>
          <w:sz w:val="16"/>
        </w:rPr>
        <w:t xml:space="preserve">          $ref: 'TS29122_CommonData.yaml#/components/schemas/ExternalGroupId'</w:t>
      </w:r>
    </w:p>
    <w:p w:rsidR="00AE2765" w:rsidRPr="000A0A5F" w:rsidRDefault="00AE2765" w:rsidP="00AE2765">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0A0A5F">
        <w:rPr>
          <w:rFonts w:ascii="Courier New" w:hAnsi="Courier New"/>
          <w:sz w:val="16"/>
        </w:rPr>
        <w:t xml:space="preserve">        gpsi:</w:t>
      </w:r>
    </w:p>
    <w:p w:rsidR="00AE2765" w:rsidRPr="000A0A5F" w:rsidRDefault="00AE2765" w:rsidP="00AE2765">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0A0A5F">
        <w:rPr>
          <w:rFonts w:ascii="Courier New" w:hAnsi="Courier New"/>
          <w:sz w:val="16"/>
        </w:rPr>
        <w:t xml:space="preserve">          $ref: 'TS29571_CommonData.yaml#/components/schemas/Gpsi'</w:t>
      </w:r>
    </w:p>
    <w:p w:rsidR="00CB0DD7" w:rsidRPr="000A0A5F" w:rsidRDefault="00CB0DD7">
      <w:pPr>
        <w:pStyle w:val="PL"/>
      </w:pPr>
      <w:r w:rsidRPr="000A0A5F">
        <w:t xml:space="preserve">        flowInfo:</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$ref: 'TS29122_CommonData.yaml#/components/schemas/FlowInfo'</w:t>
      </w:r>
    </w:p>
    <w:p w:rsidR="00CB0DD7" w:rsidRPr="000A0A5F" w:rsidRDefault="00CB0DD7">
      <w:pPr>
        <w:pStyle w:val="PL"/>
      </w:pPr>
      <w:r w:rsidRPr="000A0A5F">
        <w:t xml:space="preserve">          minItems: 1</w:t>
      </w:r>
    </w:p>
    <w:p w:rsidR="00CB0DD7" w:rsidRPr="000A0A5F" w:rsidRDefault="00CB0DD7">
      <w:pPr>
        <w:pStyle w:val="PL"/>
      </w:pPr>
      <w:r w:rsidRPr="000A0A5F">
        <w:t xml:space="preserve">          description: Describe the data flow which requires QoS.</w:t>
      </w:r>
    </w:p>
    <w:p w:rsidR="00CB0DD7" w:rsidRPr="000A0A5F" w:rsidRDefault="00CB0DD7">
      <w:pPr>
        <w:pStyle w:val="PL"/>
      </w:pPr>
      <w:r w:rsidRPr="000A0A5F">
        <w:t xml:space="preserve">        ethFlowInfo:</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$ref: </w:t>
      </w:r>
      <w:r w:rsidRPr="000A0A5F">
        <w:rPr>
          <w:rFonts w:cs="Courier New"/>
          <w:szCs w:val="16"/>
          <w:lang w:val="en-US"/>
        </w:rPr>
        <w:t>'TS29514_</w:t>
      </w:r>
      <w:r w:rsidRPr="000A0A5F">
        <w:t>Npcf_PolicyAuthorization</w:t>
      </w:r>
      <w:r w:rsidRPr="000A0A5F">
        <w:rPr>
          <w:rFonts w:cs="Courier New"/>
          <w:szCs w:val="16"/>
          <w:lang w:val="en-US"/>
        </w:rPr>
        <w:t>.yaml#/components/schemas/EthFlowDescription'</w:t>
      </w:r>
    </w:p>
    <w:p w:rsidR="00CB0DD7" w:rsidRPr="000A0A5F" w:rsidRDefault="00CB0DD7">
      <w:pPr>
        <w:pStyle w:val="PL"/>
      </w:pPr>
      <w:r w:rsidRPr="000A0A5F">
        <w:t xml:space="preserve">          minItems: 1</w:t>
      </w:r>
    </w:p>
    <w:p w:rsidR="00CB0DD7" w:rsidRPr="000A0A5F" w:rsidRDefault="00CB0DD7">
      <w:pPr>
        <w:pStyle w:val="PL"/>
      </w:pPr>
      <w:r w:rsidRPr="000A0A5F">
        <w:t xml:space="preserve">          description: Identifies Ethernet packet flows.</w:t>
      </w:r>
    </w:p>
    <w:p w:rsidR="002453BE" w:rsidRPr="000A0A5F" w:rsidRDefault="002453BE" w:rsidP="002453BE">
      <w:pPr>
        <w:pStyle w:val="PL"/>
      </w:pPr>
      <w:r w:rsidRPr="000A0A5F">
        <w:t xml:space="preserve">        enEthFlowInfo:</w:t>
      </w:r>
    </w:p>
    <w:p w:rsidR="002453BE" w:rsidRPr="000A0A5F" w:rsidRDefault="002453BE" w:rsidP="002453BE">
      <w:pPr>
        <w:pStyle w:val="PL"/>
      </w:pPr>
      <w:r w:rsidRPr="000A0A5F">
        <w:t xml:space="preserve">          type: array</w:t>
      </w:r>
    </w:p>
    <w:p w:rsidR="002453BE" w:rsidRPr="000A0A5F" w:rsidRDefault="002453BE" w:rsidP="002453BE">
      <w:pPr>
        <w:pStyle w:val="PL"/>
      </w:pPr>
      <w:r w:rsidRPr="000A0A5F">
        <w:t xml:space="preserve">          items:</w:t>
      </w:r>
    </w:p>
    <w:p w:rsidR="002453BE" w:rsidRPr="000A0A5F" w:rsidRDefault="002453BE" w:rsidP="002453BE">
      <w:pPr>
        <w:pStyle w:val="PL"/>
      </w:pPr>
      <w:r w:rsidRPr="000A0A5F">
        <w:t xml:space="preserve">            $ref: </w:t>
      </w:r>
      <w:r w:rsidRPr="000A0A5F">
        <w:rPr>
          <w:rFonts w:cs="Courier New"/>
          <w:szCs w:val="16"/>
          <w:lang w:val="en-US"/>
        </w:rPr>
        <w:t>'</w:t>
      </w:r>
      <w:r w:rsidRPr="000A0A5F">
        <w:t>TS29122_CommonData.yaml</w:t>
      </w:r>
      <w:r w:rsidRPr="000A0A5F">
        <w:rPr>
          <w:rFonts w:cs="Courier New"/>
          <w:szCs w:val="16"/>
          <w:lang w:val="en-US"/>
        </w:rPr>
        <w:t>#/components/schemas/EthFlowInfo'</w:t>
      </w:r>
    </w:p>
    <w:p w:rsidR="002453BE" w:rsidRPr="000A0A5F" w:rsidRDefault="002453BE" w:rsidP="002453BE">
      <w:pPr>
        <w:pStyle w:val="PL"/>
      </w:pPr>
      <w:r w:rsidRPr="000A0A5F">
        <w:t xml:space="preserve">          minItems: 1</w:t>
      </w:r>
    </w:p>
    <w:p w:rsidR="002453BE" w:rsidRPr="000A0A5F" w:rsidRDefault="002453BE" w:rsidP="002453BE">
      <w:pPr>
        <w:pStyle w:val="PL"/>
      </w:pPr>
      <w:r w:rsidRPr="000A0A5F">
        <w:t xml:space="preserve">          description: &gt;</w:t>
      </w:r>
    </w:p>
    <w:p w:rsidR="002453BE" w:rsidRPr="000A0A5F" w:rsidRDefault="002453BE" w:rsidP="002453BE">
      <w:pPr>
        <w:pStyle w:val="PL"/>
      </w:pPr>
      <w:r w:rsidRPr="000A0A5F">
        <w:t xml:space="preserve">            Identifies the Ethernet flows which require QoS. Each Ethernet flow consists of a flow</w:t>
      </w:r>
    </w:p>
    <w:p w:rsidR="002453BE" w:rsidRPr="000A0A5F" w:rsidRDefault="002453BE">
      <w:pPr>
        <w:pStyle w:val="PL"/>
      </w:pPr>
      <w:r w:rsidRPr="000A0A5F">
        <w:t xml:space="preserve">            idenifer and the corresponding UL and/or DL flows.</w:t>
      </w:r>
    </w:p>
    <w:p w:rsidR="006C7348" w:rsidRPr="000A0A5F" w:rsidRDefault="006C7348" w:rsidP="006C7348">
      <w:pPr>
        <w:pStyle w:val="PL"/>
      </w:pPr>
      <w:r w:rsidRPr="000A0A5F">
        <w:t xml:space="preserve">        </w:t>
      </w:r>
      <w:r w:rsidRPr="000A0A5F">
        <w:rPr>
          <w:lang w:eastAsia="zh-CN"/>
        </w:rPr>
        <w:t>listUeAddrs</w:t>
      </w:r>
      <w:r w:rsidRPr="000A0A5F">
        <w:t>:</w:t>
      </w:r>
    </w:p>
    <w:p w:rsidR="000C479A" w:rsidRPr="000A0A5F" w:rsidRDefault="000C479A" w:rsidP="000C479A">
      <w:pPr>
        <w:pStyle w:val="PL"/>
      </w:pPr>
      <w:bookmarkStart w:id="10452" w:name="_Hlk144395528"/>
      <w:r w:rsidRPr="000A0A5F">
        <w:t xml:space="preserve">          type: array</w:t>
      </w:r>
    </w:p>
    <w:p w:rsidR="000C479A" w:rsidRPr="000A0A5F" w:rsidRDefault="000C479A" w:rsidP="000C479A">
      <w:pPr>
        <w:pStyle w:val="PL"/>
      </w:pPr>
      <w:r w:rsidRPr="000A0A5F">
        <w:t xml:space="preserve">          items:</w:t>
      </w:r>
    </w:p>
    <w:p w:rsidR="000C479A" w:rsidRPr="000A0A5F" w:rsidRDefault="000C479A" w:rsidP="000C479A">
      <w:pPr>
        <w:pStyle w:val="PL"/>
        <w:rPr>
          <w:rFonts w:cs="Courier New"/>
          <w:szCs w:val="16"/>
        </w:rPr>
      </w:pPr>
      <w:r w:rsidRPr="000A0A5F">
        <w:rPr>
          <w:rFonts w:cs="Courier New"/>
          <w:szCs w:val="16"/>
        </w:rPr>
        <w:t xml:space="preserve">            $ref: '</w:t>
      </w:r>
      <w:r w:rsidRPr="000A0A5F">
        <w:rPr>
          <w:rFonts w:cs="Courier New"/>
          <w:szCs w:val="16"/>
          <w:lang w:val="en-US"/>
        </w:rPr>
        <w:t>#</w:t>
      </w:r>
      <w:r w:rsidRPr="000A0A5F">
        <w:rPr>
          <w:rFonts w:cs="Courier New"/>
          <w:szCs w:val="16"/>
        </w:rPr>
        <w:t>/components/schemas/</w:t>
      </w:r>
      <w:r w:rsidR="008754D8">
        <w:rPr>
          <w:rFonts w:cs="Courier New"/>
          <w:szCs w:val="16"/>
        </w:rPr>
        <w:t>UeAddInfo</w:t>
      </w:r>
      <w:r w:rsidRPr="000A0A5F">
        <w:rPr>
          <w:rFonts w:cs="Courier New"/>
          <w:szCs w:val="16"/>
        </w:rPr>
        <w:t>'</w:t>
      </w:r>
    </w:p>
    <w:bookmarkEnd w:id="10452"/>
    <w:p w:rsidR="006C7348" w:rsidRPr="000A0A5F" w:rsidRDefault="006C7348" w:rsidP="006C7348">
      <w:pPr>
        <w:pStyle w:val="PL"/>
      </w:pPr>
      <w:r w:rsidRPr="000A0A5F">
        <w:t xml:space="preserve">          minItems: 1</w:t>
      </w:r>
    </w:p>
    <w:p w:rsidR="00A66DE6" w:rsidRDefault="00A66DE6" w:rsidP="00A66DE6">
      <w:pPr>
        <w:pStyle w:val="PL"/>
      </w:pPr>
      <w:r>
        <w:t xml:space="preserve">          description: </w:t>
      </w:r>
      <w:r>
        <w:rPr>
          <w:rFonts w:cs="Arial"/>
          <w:szCs w:val="18"/>
        </w:rPr>
        <w:t>Identifies the list of UE address.</w:t>
      </w:r>
    </w:p>
    <w:p w:rsidR="002A7F24" w:rsidRPr="000A0A5F" w:rsidRDefault="002A7F24" w:rsidP="002A7F24">
      <w:pPr>
        <w:pStyle w:val="PL"/>
        <w:rPr>
          <w:rFonts w:cs="Courier New"/>
          <w:szCs w:val="16"/>
        </w:rPr>
      </w:pPr>
      <w:r w:rsidRPr="000A0A5F">
        <w:rPr>
          <w:rFonts w:cs="Courier New"/>
          <w:szCs w:val="16"/>
        </w:rPr>
        <w:t xml:space="preserve">        </w:t>
      </w:r>
      <w:r w:rsidRPr="000A0A5F">
        <w:t>multiModalId</w:t>
      </w:r>
      <w:r w:rsidRPr="000A0A5F">
        <w:rPr>
          <w:rFonts w:cs="Courier New"/>
          <w:szCs w:val="16"/>
        </w:rPr>
        <w:t>:</w:t>
      </w:r>
    </w:p>
    <w:p w:rsidR="002A7F24" w:rsidRPr="000A0A5F" w:rsidRDefault="002A7F24" w:rsidP="002A7F24">
      <w:pPr>
        <w:pStyle w:val="PL"/>
        <w:rPr>
          <w:rFonts w:cs="Courier New"/>
          <w:szCs w:val="16"/>
        </w:rPr>
      </w:pPr>
      <w:r w:rsidRPr="000A0A5F">
        <w:rPr>
          <w:rFonts w:cs="Courier New"/>
          <w:szCs w:val="16"/>
        </w:rPr>
        <w:t xml:space="preserve">          $ref: '</w:t>
      </w:r>
      <w:r w:rsidRPr="000A0A5F">
        <w:rPr>
          <w:rFonts w:cs="Courier New"/>
          <w:szCs w:val="16"/>
          <w:lang w:val="en-US"/>
        </w:rPr>
        <w:t>TS29514_</w:t>
      </w:r>
      <w:r w:rsidRPr="000A0A5F">
        <w:t>Npcf_PolicyAuthorization</w:t>
      </w:r>
      <w:r w:rsidRPr="000A0A5F">
        <w:rPr>
          <w:rFonts w:cs="Courier New"/>
          <w:szCs w:val="16"/>
          <w:lang w:val="en-US"/>
        </w:rPr>
        <w:t>.yaml#</w:t>
      </w:r>
      <w:r w:rsidRPr="000A0A5F">
        <w:rPr>
          <w:rFonts w:cs="Courier New"/>
          <w:szCs w:val="16"/>
        </w:rPr>
        <w:t>/components/schemas/</w:t>
      </w:r>
      <w:r w:rsidRPr="000A0A5F">
        <w:t>MultiModalId</w:t>
      </w:r>
      <w:r w:rsidRPr="000A0A5F">
        <w:rPr>
          <w:rFonts w:cs="Courier New"/>
          <w:szCs w:val="16"/>
        </w:rPr>
        <w:t>'</w:t>
      </w:r>
    </w:p>
    <w:p w:rsidR="00302843" w:rsidRPr="000A0A5F" w:rsidRDefault="00302843" w:rsidP="00302843">
      <w:pPr>
        <w:pStyle w:val="PL"/>
        <w:rPr>
          <w:rFonts w:cs="Courier New"/>
          <w:szCs w:val="16"/>
        </w:rPr>
      </w:pPr>
      <w:r w:rsidRPr="000A0A5F">
        <w:rPr>
          <w:rFonts w:cs="Courier New"/>
          <w:szCs w:val="16"/>
        </w:rPr>
        <w:t xml:space="preserve">        </w:t>
      </w:r>
      <w:r w:rsidRPr="000A0A5F">
        <w:t>protoDesc:</w:t>
      </w:r>
    </w:p>
    <w:p w:rsidR="00302843" w:rsidRPr="000A0A5F" w:rsidRDefault="00302843" w:rsidP="00302843">
      <w:pPr>
        <w:pStyle w:val="PL"/>
        <w:rPr>
          <w:rFonts w:cs="Courier New"/>
          <w:szCs w:val="16"/>
        </w:rPr>
      </w:pPr>
      <w:r w:rsidRPr="000A0A5F">
        <w:rPr>
          <w:rFonts w:cs="Courier New"/>
          <w:szCs w:val="16"/>
        </w:rPr>
        <w:t xml:space="preserve">          $ref: '</w:t>
      </w:r>
      <w:r w:rsidRPr="000A0A5F">
        <w:rPr>
          <w:rFonts w:cs="Courier New"/>
          <w:szCs w:val="16"/>
          <w:lang w:val="en-US"/>
        </w:rPr>
        <w:t>TS29514_</w:t>
      </w:r>
      <w:r w:rsidRPr="000A0A5F">
        <w:t>Npcf_PolicyAuthorization</w:t>
      </w:r>
      <w:r w:rsidRPr="000A0A5F">
        <w:rPr>
          <w:rFonts w:cs="Courier New"/>
          <w:szCs w:val="16"/>
          <w:lang w:val="en-US"/>
        </w:rPr>
        <w:t>.yaml#</w:t>
      </w:r>
      <w:r w:rsidRPr="000A0A5F">
        <w:rPr>
          <w:rFonts w:cs="Courier New"/>
          <w:szCs w:val="16"/>
        </w:rPr>
        <w:t>/components/schemas/</w:t>
      </w:r>
      <w:r w:rsidRPr="000A0A5F">
        <w:t>ProtoDesc</w:t>
      </w:r>
      <w:r w:rsidRPr="000A0A5F">
        <w:rPr>
          <w:rFonts w:cs="Courier New"/>
          <w:szCs w:val="16"/>
        </w:rPr>
        <w:t>'</w:t>
      </w:r>
    </w:p>
    <w:p w:rsidR="00CB0DD7" w:rsidRPr="000A0A5F" w:rsidRDefault="00CB0DD7">
      <w:pPr>
        <w:pStyle w:val="PL"/>
      </w:pPr>
      <w:r w:rsidRPr="000A0A5F">
        <w:t xml:space="preserve">        qosReference:</w:t>
      </w:r>
    </w:p>
    <w:p w:rsidR="00CB0DD7" w:rsidRPr="000A0A5F" w:rsidRDefault="00CB0DD7">
      <w:pPr>
        <w:pStyle w:val="PL"/>
      </w:pPr>
      <w:r w:rsidRPr="000A0A5F">
        <w:t xml:space="preserve">          type: string</w:t>
      </w:r>
    </w:p>
    <w:p w:rsidR="00CB0DD7" w:rsidRPr="000A0A5F" w:rsidRDefault="00CB0DD7">
      <w:pPr>
        <w:pStyle w:val="PL"/>
      </w:pPr>
      <w:r w:rsidRPr="000A0A5F">
        <w:t xml:space="preserve">          description: Identifies a pre-defined QoS information</w:t>
      </w:r>
    </w:p>
    <w:p w:rsidR="00CB0DD7" w:rsidRPr="000A0A5F" w:rsidRDefault="00CB0DD7">
      <w:pPr>
        <w:pStyle w:val="PL"/>
      </w:pPr>
      <w:r w:rsidRPr="000A0A5F">
        <w:t xml:space="preserve">        altQoSReferences:</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type: string</w:t>
      </w:r>
    </w:p>
    <w:p w:rsidR="00CB0DD7" w:rsidRPr="000A0A5F" w:rsidRDefault="00CB0DD7">
      <w:pPr>
        <w:pStyle w:val="PL"/>
      </w:pPr>
      <w:r w:rsidRPr="000A0A5F">
        <w:t xml:space="preserve">          minItems: 1</w:t>
      </w:r>
    </w:p>
    <w:p w:rsidR="003B38C3" w:rsidRPr="000A0A5F" w:rsidRDefault="00CB0DD7">
      <w:pPr>
        <w:pStyle w:val="PL"/>
      </w:pPr>
      <w:r w:rsidRPr="000A0A5F">
        <w:t xml:space="preserve">          description: </w:t>
      </w:r>
      <w:r w:rsidR="003B38C3" w:rsidRPr="000A0A5F">
        <w:t>&gt;</w:t>
      </w:r>
    </w:p>
    <w:p w:rsidR="003B38C3" w:rsidRPr="000A0A5F" w:rsidRDefault="003B38C3">
      <w:pPr>
        <w:pStyle w:val="PL"/>
      </w:pPr>
      <w:r w:rsidRPr="000A0A5F">
        <w:t xml:space="preserve">            </w:t>
      </w:r>
      <w:r w:rsidR="00CB0DD7" w:rsidRPr="000A0A5F">
        <w:rPr>
          <w:rFonts w:cs="Arial"/>
          <w:szCs w:val="18"/>
          <w:lang w:eastAsia="zh-CN"/>
        </w:rPr>
        <w:t xml:space="preserve">Identifies an ordered list of pre-defined QoS information. </w:t>
      </w:r>
      <w:r w:rsidR="00CB0DD7" w:rsidRPr="000A0A5F">
        <w:t>The lower the index of the</w:t>
      </w:r>
    </w:p>
    <w:p w:rsidR="00CB0DD7" w:rsidRPr="000A0A5F" w:rsidRDefault="003B38C3">
      <w:pPr>
        <w:pStyle w:val="PL"/>
      </w:pPr>
      <w:r w:rsidRPr="000A0A5F">
        <w:t xml:space="preserve">           </w:t>
      </w:r>
      <w:r w:rsidR="00CB0DD7" w:rsidRPr="000A0A5F">
        <w:t xml:space="preserve"> array for a given entry, the higher the priority.</w:t>
      </w:r>
    </w:p>
    <w:p w:rsidR="00564BA2" w:rsidRPr="000A0A5F" w:rsidRDefault="00564BA2" w:rsidP="00564BA2">
      <w:pPr>
        <w:pStyle w:val="PL"/>
      </w:pPr>
      <w:r w:rsidRPr="000A0A5F">
        <w:t xml:space="preserve">        altQosReqs:</w:t>
      </w:r>
    </w:p>
    <w:p w:rsidR="00564BA2" w:rsidRPr="000A0A5F" w:rsidRDefault="00564BA2" w:rsidP="00564BA2">
      <w:pPr>
        <w:pStyle w:val="PL"/>
      </w:pPr>
      <w:r w:rsidRPr="000A0A5F">
        <w:t xml:space="preserve">          type: array</w:t>
      </w:r>
    </w:p>
    <w:p w:rsidR="00564BA2" w:rsidRPr="000A0A5F" w:rsidRDefault="00564BA2" w:rsidP="00564BA2">
      <w:pPr>
        <w:pStyle w:val="PL"/>
      </w:pPr>
      <w:r w:rsidRPr="000A0A5F">
        <w:t xml:space="preserve">          items:</w:t>
      </w:r>
    </w:p>
    <w:p w:rsidR="00564BA2" w:rsidRPr="000A0A5F" w:rsidRDefault="00564BA2" w:rsidP="00564BA2">
      <w:pPr>
        <w:pStyle w:val="PL"/>
      </w:pPr>
      <w:r w:rsidRPr="000A0A5F">
        <w:t xml:space="preserve">            </w:t>
      </w:r>
      <w:r w:rsidRPr="000A0A5F">
        <w:rPr>
          <w:rFonts w:cs="Courier New"/>
          <w:szCs w:val="16"/>
        </w:rPr>
        <w:t>$ref: '</w:t>
      </w:r>
      <w:r w:rsidRPr="000A0A5F">
        <w:rPr>
          <w:rFonts w:cs="Courier New"/>
          <w:szCs w:val="16"/>
          <w:lang w:val="en-US"/>
        </w:rPr>
        <w:t>TS29514_</w:t>
      </w:r>
      <w:r w:rsidRPr="000A0A5F">
        <w:t>Npcf_PolicyAuthorization</w:t>
      </w:r>
      <w:r w:rsidRPr="000A0A5F">
        <w:rPr>
          <w:rFonts w:cs="Courier New"/>
          <w:szCs w:val="16"/>
          <w:lang w:val="en-US"/>
        </w:rPr>
        <w:t>.yaml#/components/schemas/</w:t>
      </w:r>
      <w:r w:rsidRPr="000A0A5F">
        <w:rPr>
          <w:rFonts w:cs="Courier New"/>
          <w:szCs w:val="16"/>
        </w:rPr>
        <w:t>AlternativeServiceRequirementsData'</w:t>
      </w:r>
    </w:p>
    <w:p w:rsidR="00564BA2" w:rsidRPr="000A0A5F" w:rsidRDefault="00564BA2" w:rsidP="00564BA2">
      <w:pPr>
        <w:pStyle w:val="PL"/>
      </w:pPr>
      <w:r w:rsidRPr="000A0A5F">
        <w:t xml:space="preserve">          minItems: 1</w:t>
      </w:r>
    </w:p>
    <w:p w:rsidR="003B38C3" w:rsidRPr="000A0A5F" w:rsidRDefault="00564BA2" w:rsidP="00564BA2">
      <w:pPr>
        <w:pStyle w:val="PL"/>
      </w:pPr>
      <w:r w:rsidRPr="000A0A5F">
        <w:t xml:space="preserve">          description: </w:t>
      </w:r>
      <w:r w:rsidR="003B38C3" w:rsidRPr="000A0A5F">
        <w:t>&gt;</w:t>
      </w:r>
    </w:p>
    <w:p w:rsidR="003B38C3" w:rsidRPr="000A0A5F" w:rsidRDefault="003B38C3" w:rsidP="00564BA2">
      <w:pPr>
        <w:pStyle w:val="PL"/>
        <w:rPr>
          <w:rFonts w:eastAsia="Times New Roman"/>
          <w:lang w:val="en-US"/>
        </w:rPr>
      </w:pPr>
      <w:r w:rsidRPr="000A0A5F">
        <w:t xml:space="preserve">            </w:t>
      </w:r>
      <w:r w:rsidR="00564BA2" w:rsidRPr="000A0A5F">
        <w:rPr>
          <w:rFonts w:cs="Arial"/>
          <w:szCs w:val="18"/>
          <w:lang w:eastAsia="zh-CN"/>
        </w:rPr>
        <w:t xml:space="preserve">Identifies an ordered list of </w:t>
      </w:r>
      <w:r w:rsidR="00564BA2" w:rsidRPr="000A0A5F">
        <w:rPr>
          <w:rFonts w:eastAsia="Times New Roman"/>
          <w:lang w:val="en-US"/>
        </w:rPr>
        <w:t>alternative service requirements that include individual</w:t>
      </w:r>
    </w:p>
    <w:p w:rsidR="003B38C3" w:rsidRPr="000A0A5F" w:rsidRDefault="003B38C3" w:rsidP="00564BA2">
      <w:pPr>
        <w:pStyle w:val="PL"/>
      </w:pPr>
      <w:r w:rsidRPr="000A0A5F">
        <w:t xml:space="preserve">           </w:t>
      </w:r>
      <w:r w:rsidR="00564BA2" w:rsidRPr="000A0A5F">
        <w:rPr>
          <w:rFonts w:eastAsia="Times New Roman"/>
          <w:lang w:val="en-US"/>
        </w:rPr>
        <w:t xml:space="preserve"> QoS parameter sets</w:t>
      </w:r>
      <w:r w:rsidR="00564BA2" w:rsidRPr="000A0A5F">
        <w:rPr>
          <w:rFonts w:cs="Arial"/>
          <w:szCs w:val="18"/>
          <w:lang w:eastAsia="zh-CN"/>
        </w:rPr>
        <w:t xml:space="preserve">. </w:t>
      </w:r>
      <w:r w:rsidR="00564BA2" w:rsidRPr="000A0A5F">
        <w:t>The lower the index of the array for a given entry, the higher the</w:t>
      </w:r>
    </w:p>
    <w:p w:rsidR="00564BA2" w:rsidRPr="000A0A5F" w:rsidRDefault="003B38C3" w:rsidP="00564BA2">
      <w:pPr>
        <w:pStyle w:val="PL"/>
      </w:pPr>
      <w:r w:rsidRPr="000A0A5F">
        <w:t xml:space="preserve">           </w:t>
      </w:r>
      <w:r w:rsidR="00564BA2" w:rsidRPr="000A0A5F">
        <w:t xml:space="preserve"> priority.</w:t>
      </w:r>
    </w:p>
    <w:p w:rsidR="00CB0DD7" w:rsidRPr="000A0A5F" w:rsidRDefault="00CB0DD7">
      <w:pPr>
        <w:pStyle w:val="PL"/>
      </w:pPr>
      <w:r w:rsidRPr="000A0A5F">
        <w:t xml:space="preserve">        disUeNotif:</w:t>
      </w:r>
    </w:p>
    <w:p w:rsidR="00B150EF" w:rsidRPr="000A0A5F" w:rsidRDefault="00B150EF" w:rsidP="00B150EF">
      <w:pPr>
        <w:pStyle w:val="PL"/>
      </w:pPr>
      <w:r w:rsidRPr="000A0A5F">
        <w:t xml:space="preserve">          description: &gt;</w:t>
      </w:r>
    </w:p>
    <w:p w:rsidR="00B150EF" w:rsidRPr="000A0A5F" w:rsidRDefault="00B150EF" w:rsidP="00B150EF">
      <w:pPr>
        <w:pStyle w:val="PL"/>
        <w:rPr>
          <w:szCs w:val="18"/>
        </w:rPr>
      </w:pPr>
      <w:r w:rsidRPr="000A0A5F">
        <w:t xml:space="preserve">            </w:t>
      </w:r>
      <w:r w:rsidRPr="000A0A5F">
        <w:rPr>
          <w:szCs w:val="18"/>
        </w:rPr>
        <w:t xml:space="preserve">Indicates </w:t>
      </w:r>
      <w:r w:rsidRPr="000A0A5F">
        <w:rPr>
          <w:lang w:eastAsia="zh-CN"/>
        </w:rPr>
        <w:t>whether</w:t>
      </w:r>
      <w:r w:rsidRPr="000A0A5F">
        <w:rPr>
          <w:szCs w:val="18"/>
        </w:rPr>
        <w:t xml:space="preserve"> </w:t>
      </w:r>
      <w:r w:rsidRPr="000A0A5F">
        <w:t>the</w:t>
      </w:r>
      <w:r w:rsidRPr="000A0A5F">
        <w:rPr>
          <w:szCs w:val="18"/>
        </w:rPr>
        <w:t xml:space="preserve"> QoS flow parameters signalling to the UE when the SMF is notified</w:t>
      </w:r>
    </w:p>
    <w:p w:rsidR="00B150EF" w:rsidRPr="000A0A5F" w:rsidRDefault="00B150EF" w:rsidP="00B150EF">
      <w:pPr>
        <w:pStyle w:val="PL"/>
      </w:pPr>
      <w:r w:rsidRPr="000A0A5F">
        <w:t xml:space="preserve">            </w:t>
      </w:r>
      <w:r w:rsidRPr="000A0A5F">
        <w:rPr>
          <w:szCs w:val="18"/>
        </w:rPr>
        <w:t xml:space="preserve">by the NG-RAN of changes in the fulfilled QoS situation </w:t>
      </w:r>
      <w:r w:rsidRPr="000A0A5F">
        <w:t>is disabled (</w:t>
      </w:r>
      <w:r w:rsidRPr="000A0A5F">
        <w:rPr>
          <w:lang w:eastAsia="zh-CN"/>
        </w:rPr>
        <w:t>true</w:t>
      </w:r>
      <w:r w:rsidRPr="000A0A5F">
        <w:t>) or</w:t>
      </w:r>
    </w:p>
    <w:p w:rsidR="00B150EF" w:rsidRPr="000A0A5F" w:rsidRDefault="00B150EF" w:rsidP="00B150EF">
      <w:pPr>
        <w:pStyle w:val="PL"/>
        <w:rPr>
          <w:szCs w:val="18"/>
        </w:rPr>
      </w:pPr>
      <w:r w:rsidRPr="000A0A5F">
        <w:t xml:space="preserve">            not (</w:t>
      </w:r>
      <w:r w:rsidRPr="000A0A5F">
        <w:rPr>
          <w:lang w:eastAsia="zh-CN"/>
        </w:rPr>
        <w:t>false)</w:t>
      </w:r>
      <w:r w:rsidRPr="000A0A5F">
        <w:t xml:space="preserve">. </w:t>
      </w:r>
      <w:r w:rsidRPr="000A0A5F">
        <w:rPr>
          <w:rFonts w:eastAsia="Times New Roman" w:cs="Arial"/>
          <w:szCs w:val="18"/>
        </w:rPr>
        <w:t>Default value is false</w:t>
      </w:r>
      <w:r w:rsidRPr="000A0A5F">
        <w:t xml:space="preserve">. </w:t>
      </w:r>
      <w:r w:rsidRPr="000A0A5F">
        <w:rPr>
          <w:szCs w:val="18"/>
        </w:rPr>
        <w:t>The fulfilled situation is either the QoS profile</w:t>
      </w:r>
    </w:p>
    <w:p w:rsidR="00B150EF" w:rsidRPr="000A0A5F" w:rsidRDefault="00B150EF">
      <w:pPr>
        <w:pStyle w:val="PL"/>
      </w:pPr>
      <w:r w:rsidRPr="000A0A5F">
        <w:t xml:space="preserve">            </w:t>
      </w:r>
      <w:r w:rsidRPr="000A0A5F">
        <w:rPr>
          <w:szCs w:val="18"/>
        </w:rPr>
        <w:t>or an Alternative QoS Profile.</w:t>
      </w:r>
    </w:p>
    <w:p w:rsidR="00CB0DD7" w:rsidRPr="000A0A5F" w:rsidRDefault="00CB0DD7">
      <w:pPr>
        <w:pStyle w:val="PL"/>
      </w:pPr>
      <w:r w:rsidRPr="000A0A5F">
        <w:t xml:space="preserve">          type: boolean</w:t>
      </w:r>
    </w:p>
    <w:p w:rsidR="00CB0DD7" w:rsidRPr="000A0A5F" w:rsidRDefault="00CB0DD7">
      <w:pPr>
        <w:pStyle w:val="PL"/>
      </w:pPr>
      <w:r w:rsidRPr="000A0A5F">
        <w:t xml:space="preserve">        ueIpv4Addr:</w:t>
      </w:r>
    </w:p>
    <w:p w:rsidR="00CB0DD7" w:rsidRPr="000A0A5F" w:rsidRDefault="00CB0DD7">
      <w:pPr>
        <w:pStyle w:val="PL"/>
      </w:pPr>
      <w:r w:rsidRPr="000A0A5F">
        <w:t xml:space="preserve">          $ref: 'TS29122_CommonData.yaml#/components/schemas/Ipv4Addr'</w:t>
      </w:r>
    </w:p>
    <w:p w:rsidR="00CB0DD7" w:rsidRPr="000A0A5F" w:rsidRDefault="00CB0DD7">
      <w:pPr>
        <w:pStyle w:val="PL"/>
      </w:pPr>
      <w:r w:rsidRPr="000A0A5F">
        <w:t xml:space="preserve">        ipDomain:</w:t>
      </w:r>
    </w:p>
    <w:p w:rsidR="00CB0DD7" w:rsidRPr="000A0A5F" w:rsidRDefault="00CB0DD7">
      <w:pPr>
        <w:pStyle w:val="PL"/>
      </w:pPr>
      <w:r w:rsidRPr="000A0A5F">
        <w:t xml:space="preserve">          type: string</w:t>
      </w:r>
    </w:p>
    <w:p w:rsidR="00CB0DD7" w:rsidRPr="000A0A5F" w:rsidRDefault="00CB0DD7">
      <w:pPr>
        <w:pStyle w:val="PL"/>
      </w:pPr>
      <w:r w:rsidRPr="000A0A5F">
        <w:t xml:space="preserve">        ueIpv6Addr:</w:t>
      </w:r>
    </w:p>
    <w:p w:rsidR="00CB0DD7" w:rsidRPr="000A0A5F" w:rsidRDefault="00CB0DD7">
      <w:pPr>
        <w:pStyle w:val="PL"/>
      </w:pPr>
      <w:r w:rsidRPr="000A0A5F">
        <w:t xml:space="preserve">          $ref: 'TS29122_CommonData.yaml#/components/schemas/Ipv6Addr'</w:t>
      </w:r>
    </w:p>
    <w:p w:rsidR="00CB0DD7" w:rsidRPr="000A0A5F" w:rsidRDefault="00CB0DD7">
      <w:pPr>
        <w:pStyle w:val="PL"/>
      </w:pPr>
      <w:r w:rsidRPr="000A0A5F">
        <w:t xml:space="preserve">        macAddr:</w:t>
      </w:r>
    </w:p>
    <w:p w:rsidR="00CB0DD7" w:rsidRPr="000A0A5F" w:rsidRDefault="00CB0DD7">
      <w:pPr>
        <w:pStyle w:val="PL"/>
      </w:pPr>
      <w:r w:rsidRPr="000A0A5F">
        <w:t xml:space="preserve">          $ref: 'TS29571_CommonData.yaml#/components/schemas/</w:t>
      </w:r>
      <w:r w:rsidRPr="000A0A5F">
        <w:rPr>
          <w:lang w:eastAsia="zh-CN"/>
        </w:rPr>
        <w:t>M</w:t>
      </w:r>
      <w:r w:rsidRPr="000A0A5F">
        <w:rPr>
          <w:rFonts w:hint="eastAsia"/>
          <w:lang w:eastAsia="zh-CN"/>
        </w:rPr>
        <w:t>acAddr</w:t>
      </w:r>
      <w:r w:rsidRPr="000A0A5F">
        <w:rPr>
          <w:lang w:eastAsia="zh-CN"/>
        </w:rPr>
        <w:t>48</w:t>
      </w:r>
      <w:r w:rsidRPr="000A0A5F">
        <w:t>'</w:t>
      </w:r>
    </w:p>
    <w:p w:rsidR="00CB0DD7" w:rsidRPr="000A0A5F" w:rsidRDefault="00CB0DD7">
      <w:pPr>
        <w:pStyle w:val="PL"/>
      </w:pPr>
      <w:r w:rsidRPr="000A0A5F">
        <w:t xml:space="preserve">        usageThreshold:</w:t>
      </w:r>
    </w:p>
    <w:p w:rsidR="00CB0DD7" w:rsidRPr="000A0A5F" w:rsidRDefault="00CB0DD7">
      <w:pPr>
        <w:pStyle w:val="PL"/>
      </w:pPr>
      <w:r w:rsidRPr="000A0A5F">
        <w:t xml:space="preserve">          $ref: 'TS29122_CommonData.yaml#/components/schemas/UsageThreshold'</w:t>
      </w:r>
    </w:p>
    <w:p w:rsidR="00CB0DD7" w:rsidRPr="000A0A5F" w:rsidRDefault="00CB0DD7">
      <w:pPr>
        <w:pStyle w:val="PL"/>
      </w:pPr>
      <w:r w:rsidRPr="000A0A5F">
        <w:t xml:space="preserve">        sponsorInfo:</w:t>
      </w:r>
    </w:p>
    <w:p w:rsidR="00CB0DD7" w:rsidRPr="000A0A5F" w:rsidRDefault="00CB0DD7">
      <w:pPr>
        <w:pStyle w:val="PL"/>
      </w:pPr>
      <w:r w:rsidRPr="000A0A5F">
        <w:t xml:space="preserve">          $ref: 'TS29122_CommonData.yaml#/components/schemas/SponsorInformation'</w:t>
      </w:r>
    </w:p>
    <w:p w:rsidR="009A68D3" w:rsidRPr="000A0A5F" w:rsidRDefault="009A68D3" w:rsidP="009A68D3">
      <w:pPr>
        <w:pStyle w:val="PL"/>
      </w:pPr>
      <w:r w:rsidRPr="000A0A5F">
        <w:t xml:space="preserve">        </w:t>
      </w:r>
      <w:r w:rsidRPr="000A0A5F">
        <w:rPr>
          <w:rFonts w:hint="eastAsia"/>
          <w:lang w:eastAsia="zh-CN"/>
        </w:rPr>
        <w:t>qosMon</w:t>
      </w:r>
      <w:r w:rsidRPr="000A0A5F">
        <w:rPr>
          <w:lang w:eastAsia="zh-CN"/>
        </w:rPr>
        <w:t>Info</w:t>
      </w:r>
      <w:r w:rsidRPr="000A0A5F">
        <w:t>:</w:t>
      </w:r>
    </w:p>
    <w:p w:rsidR="009A68D3" w:rsidRPr="000A0A5F" w:rsidRDefault="009A68D3" w:rsidP="009A68D3">
      <w:pPr>
        <w:pStyle w:val="PL"/>
      </w:pPr>
      <w:r w:rsidRPr="000A0A5F">
        <w:t xml:space="preserve">          $ref: '</w:t>
      </w:r>
      <w:r w:rsidRPr="000A0A5F">
        <w:rPr>
          <w:rFonts w:cs="Courier New"/>
          <w:szCs w:val="16"/>
          <w:lang w:val="en-US"/>
        </w:rPr>
        <w:t>#/components/schemas/</w:t>
      </w:r>
      <w:r w:rsidRPr="000A0A5F">
        <w:t>QosMonitoringInformation'</w:t>
      </w:r>
    </w:p>
    <w:p w:rsidR="009A68D3" w:rsidRPr="000A0A5F" w:rsidRDefault="009A68D3" w:rsidP="009A68D3">
      <w:pPr>
        <w:pStyle w:val="PL"/>
      </w:pPr>
      <w:r w:rsidRPr="000A0A5F">
        <w:t xml:space="preserve">        pdvMon</w:t>
      </w:r>
      <w:r w:rsidRPr="000A0A5F">
        <w:rPr>
          <w:lang w:eastAsia="zh-CN"/>
        </w:rPr>
        <w:t>:</w:t>
      </w:r>
    </w:p>
    <w:p w:rsidR="009A68D3" w:rsidRPr="000A0A5F" w:rsidRDefault="009A68D3" w:rsidP="009A68D3">
      <w:pPr>
        <w:pStyle w:val="PL"/>
      </w:pPr>
      <w:r w:rsidRPr="000A0A5F">
        <w:t xml:space="preserve">          $ref: '</w:t>
      </w:r>
      <w:r w:rsidRPr="000A0A5F">
        <w:rPr>
          <w:rFonts w:cs="Courier New"/>
          <w:szCs w:val="16"/>
          <w:lang w:val="en-US"/>
        </w:rPr>
        <w:t>#/components/schemas/</w:t>
      </w:r>
      <w:r w:rsidRPr="000A0A5F">
        <w:t>QosMonitoringInformation'</w:t>
      </w:r>
    </w:p>
    <w:p w:rsidR="00D06780" w:rsidRPr="000A0A5F" w:rsidRDefault="00D06780" w:rsidP="00D06780">
      <w:pPr>
        <w:pStyle w:val="PL"/>
      </w:pPr>
      <w:r w:rsidRPr="000A0A5F">
        <w:t xml:space="preserve">        </w:t>
      </w:r>
      <w:bookmarkStart w:id="10453" w:name="_Hlk141453916"/>
      <w:r w:rsidRPr="000A0A5F">
        <w:rPr>
          <w:lang w:eastAsia="zh-CN"/>
        </w:rPr>
        <w:t>qosDuration</w:t>
      </w:r>
      <w:r w:rsidRPr="000A0A5F">
        <w:t>:</w:t>
      </w:r>
    </w:p>
    <w:p w:rsidR="00D06780" w:rsidRPr="000A0A5F" w:rsidRDefault="00D06780" w:rsidP="00D06780">
      <w:pPr>
        <w:pStyle w:val="PL"/>
      </w:pPr>
      <w:r w:rsidRPr="000A0A5F">
        <w:t xml:space="preserve">          $ref: '</w:t>
      </w:r>
      <w:r w:rsidRPr="000A0A5F">
        <w:rPr>
          <w:rFonts w:cs="Courier New"/>
          <w:szCs w:val="16"/>
        </w:rPr>
        <w:t>TS29571_CommonData.yaml</w:t>
      </w:r>
      <w:r w:rsidRPr="000A0A5F">
        <w:t>#/components/schemas/DurationSec'</w:t>
      </w:r>
    </w:p>
    <w:p w:rsidR="00D06780" w:rsidRPr="000A0A5F" w:rsidRDefault="00D06780" w:rsidP="00D06780">
      <w:pPr>
        <w:pStyle w:val="PL"/>
      </w:pPr>
      <w:r w:rsidRPr="000A0A5F">
        <w:t xml:space="preserve">        </w:t>
      </w:r>
      <w:r w:rsidRPr="000A0A5F">
        <w:rPr>
          <w:lang w:eastAsia="zh-CN"/>
        </w:rPr>
        <w:t>qosInactInt</w:t>
      </w:r>
      <w:r w:rsidRPr="000A0A5F">
        <w:t>:</w:t>
      </w:r>
    </w:p>
    <w:p w:rsidR="00D06780" w:rsidRPr="000A0A5F" w:rsidRDefault="00D06780" w:rsidP="00D06780">
      <w:pPr>
        <w:pStyle w:val="PL"/>
      </w:pPr>
      <w:r w:rsidRPr="000A0A5F">
        <w:t xml:space="preserve">          $ref: '</w:t>
      </w:r>
      <w:r w:rsidRPr="000A0A5F">
        <w:rPr>
          <w:rFonts w:cs="Courier New"/>
          <w:szCs w:val="16"/>
        </w:rPr>
        <w:t>TS29571_CommonData.yaml</w:t>
      </w:r>
      <w:r w:rsidRPr="000A0A5F">
        <w:t>#/components/schemas/DurationSec'</w:t>
      </w:r>
    </w:p>
    <w:bookmarkEnd w:id="10453"/>
    <w:p w:rsidR="00CB0DD7" w:rsidRPr="000A0A5F" w:rsidRDefault="00CB0DD7">
      <w:pPr>
        <w:pStyle w:val="PL"/>
        <w:rPr>
          <w:rFonts w:cs="Courier New"/>
          <w:szCs w:val="16"/>
        </w:rPr>
      </w:pPr>
      <w:r w:rsidRPr="000A0A5F">
        <w:rPr>
          <w:rFonts w:cs="Courier New"/>
          <w:szCs w:val="16"/>
        </w:rPr>
        <w:t xml:space="preserve">        </w:t>
      </w:r>
      <w:r w:rsidR="00A4579E" w:rsidRPr="000A0A5F">
        <w:rPr>
          <w:lang w:eastAsia="zh-CN"/>
        </w:rPr>
        <w:t>direct</w:t>
      </w:r>
      <w:r w:rsidRPr="000A0A5F">
        <w:rPr>
          <w:lang w:eastAsia="zh-CN"/>
        </w:rPr>
        <w:t>NotifInd</w:t>
      </w:r>
      <w:r w:rsidRPr="000A0A5F">
        <w:rPr>
          <w:rFonts w:cs="Courier New"/>
          <w:szCs w:val="16"/>
        </w:rPr>
        <w:t>:</w:t>
      </w:r>
    </w:p>
    <w:p w:rsidR="00CB0DD7" w:rsidRPr="000A0A5F" w:rsidRDefault="00CB0DD7">
      <w:pPr>
        <w:pStyle w:val="PL"/>
        <w:rPr>
          <w:rFonts w:cs="Courier New"/>
          <w:szCs w:val="16"/>
        </w:rPr>
      </w:pPr>
      <w:r w:rsidRPr="000A0A5F">
        <w:rPr>
          <w:rFonts w:cs="Courier New"/>
          <w:szCs w:val="16"/>
        </w:rPr>
        <w:t xml:space="preserve">          type: boolean</w:t>
      </w:r>
    </w:p>
    <w:p w:rsidR="00CA4E58" w:rsidRPr="000A0A5F" w:rsidRDefault="00CA4E58" w:rsidP="00CA4E58">
      <w:pPr>
        <w:pStyle w:val="PL"/>
      </w:pPr>
      <w:r w:rsidRPr="000A0A5F">
        <w:t xml:space="preserve">          description: &gt;</w:t>
      </w:r>
    </w:p>
    <w:p w:rsidR="00CA4E58" w:rsidRPr="000A0A5F" w:rsidRDefault="00CA4E58" w:rsidP="00CA4E58">
      <w:pPr>
        <w:pStyle w:val="PL"/>
        <w:rPr>
          <w:lang w:eastAsia="zh-CN"/>
        </w:rPr>
      </w:pPr>
      <w:r w:rsidRPr="000A0A5F">
        <w:t xml:space="preserve">            </w:t>
      </w:r>
      <w:r w:rsidRPr="000A0A5F">
        <w:rPr>
          <w:lang w:eastAsia="zh-CN"/>
        </w:rPr>
        <w:t xml:space="preserve">Indicates whether the direct event notification is requested (true) </w:t>
      </w:r>
      <w:r w:rsidRPr="000A0A5F">
        <w:t>or not (</w:t>
      </w:r>
      <w:r w:rsidRPr="000A0A5F">
        <w:rPr>
          <w:lang w:eastAsia="zh-CN"/>
        </w:rPr>
        <w:t>false).</w:t>
      </w:r>
    </w:p>
    <w:p w:rsidR="00CA4E58" w:rsidRPr="000A0A5F" w:rsidRDefault="00CA4E58">
      <w:pPr>
        <w:pStyle w:val="PL"/>
      </w:pPr>
      <w:r w:rsidRPr="000A0A5F">
        <w:t xml:space="preserve">            </w:t>
      </w:r>
      <w:r w:rsidRPr="000A0A5F">
        <w:rPr>
          <w:rFonts w:eastAsia="Times New Roman" w:cs="Arial"/>
          <w:szCs w:val="18"/>
        </w:rPr>
        <w:t>Default value is false</w:t>
      </w:r>
      <w:r w:rsidRPr="000A0A5F">
        <w:t>.</w:t>
      </w:r>
    </w:p>
    <w:p w:rsidR="00CB0DD7" w:rsidRPr="000A0A5F" w:rsidRDefault="00CB0DD7">
      <w:pPr>
        <w:pStyle w:val="PL"/>
      </w:pPr>
      <w:r w:rsidRPr="000A0A5F">
        <w:t xml:space="preserve">        </w:t>
      </w:r>
      <w:r w:rsidRPr="000A0A5F">
        <w:rPr>
          <w:lang w:eastAsia="zh-CN"/>
        </w:rPr>
        <w:t>tscQosReq</w:t>
      </w:r>
      <w:r w:rsidRPr="000A0A5F">
        <w:t>:</w:t>
      </w:r>
    </w:p>
    <w:p w:rsidR="00CB0DD7" w:rsidRPr="000A0A5F" w:rsidRDefault="00CB0DD7">
      <w:pPr>
        <w:pStyle w:val="PL"/>
      </w:pPr>
      <w:r w:rsidRPr="000A0A5F">
        <w:t xml:space="preserve">          $ref: '</w:t>
      </w:r>
      <w:r w:rsidRPr="000A0A5F">
        <w:rPr>
          <w:rFonts w:cs="Courier New"/>
          <w:szCs w:val="16"/>
          <w:lang w:val="en-US"/>
        </w:rPr>
        <w:t>#/components/schemas/</w:t>
      </w:r>
      <w:r w:rsidRPr="000A0A5F">
        <w:rPr>
          <w:lang w:eastAsia="zh-CN"/>
        </w:rPr>
        <w:t>TscQosRequirement</w:t>
      </w:r>
      <w:r w:rsidRPr="000A0A5F">
        <w:t>'</w:t>
      </w:r>
    </w:p>
    <w:p w:rsidR="009045C0" w:rsidRPr="000A0A5F" w:rsidRDefault="009045C0" w:rsidP="009045C0">
      <w:pPr>
        <w:pStyle w:val="PL"/>
        <w:rPr>
          <w:rFonts w:cs="Courier New"/>
          <w:szCs w:val="16"/>
        </w:rPr>
      </w:pPr>
      <w:r w:rsidRPr="000A0A5F">
        <w:rPr>
          <w:rFonts w:cs="Courier New"/>
          <w:szCs w:val="16"/>
        </w:rPr>
        <w:t xml:space="preserve">        l4sInfo:</w:t>
      </w:r>
    </w:p>
    <w:p w:rsidR="009045C0" w:rsidRPr="000A0A5F" w:rsidRDefault="009045C0" w:rsidP="009045C0">
      <w:pPr>
        <w:pStyle w:val="PL"/>
        <w:rPr>
          <w:rFonts w:cs="Courier New"/>
          <w:szCs w:val="16"/>
        </w:rPr>
      </w:pPr>
      <w:r w:rsidRPr="000A0A5F">
        <w:rPr>
          <w:rFonts w:cs="Courier New"/>
          <w:szCs w:val="16"/>
        </w:rPr>
        <w:t xml:space="preserve">          $ref: '</w:t>
      </w:r>
      <w:r w:rsidRPr="000A0A5F">
        <w:rPr>
          <w:rFonts w:cs="Courier New"/>
          <w:szCs w:val="16"/>
          <w:lang w:val="en-US"/>
        </w:rPr>
        <w:t>TS29514_</w:t>
      </w:r>
      <w:r w:rsidRPr="000A0A5F">
        <w:t>Npcf_PolicyAuthorization</w:t>
      </w:r>
      <w:r w:rsidRPr="000A0A5F">
        <w:rPr>
          <w:rFonts w:cs="Courier New"/>
          <w:szCs w:val="16"/>
          <w:lang w:val="en-US"/>
        </w:rPr>
        <w:t>.yaml</w:t>
      </w:r>
      <w:r w:rsidRPr="000A0A5F">
        <w:rPr>
          <w:rFonts w:cs="Courier New"/>
          <w:szCs w:val="16"/>
        </w:rPr>
        <w:t>#/components/schemas/UplinkDownlinkSupport'</w:t>
      </w:r>
    </w:p>
    <w:p w:rsidR="00CB0DD7" w:rsidRPr="000A0A5F" w:rsidRDefault="00CB0DD7">
      <w:pPr>
        <w:pStyle w:val="PL"/>
      </w:pPr>
      <w:r w:rsidRPr="000A0A5F">
        <w:t xml:space="preserve">        requestTestNotification:</w:t>
      </w:r>
    </w:p>
    <w:p w:rsidR="00CB0DD7" w:rsidRPr="000A0A5F" w:rsidRDefault="00CB0DD7">
      <w:pPr>
        <w:pStyle w:val="PL"/>
      </w:pPr>
      <w:r w:rsidRPr="000A0A5F">
        <w:t xml:space="preserve">          type: boolean</w:t>
      </w:r>
    </w:p>
    <w:p w:rsidR="003B38C3" w:rsidRPr="000A0A5F" w:rsidRDefault="00CB0DD7">
      <w:pPr>
        <w:pStyle w:val="PL"/>
      </w:pPr>
      <w:r w:rsidRPr="000A0A5F">
        <w:t xml:space="preserve">          description: </w:t>
      </w:r>
      <w:r w:rsidR="003B38C3" w:rsidRPr="000A0A5F">
        <w:t>&gt;</w:t>
      </w:r>
    </w:p>
    <w:p w:rsidR="003B38C3" w:rsidRPr="000A0A5F" w:rsidRDefault="003B38C3">
      <w:pPr>
        <w:pStyle w:val="PL"/>
      </w:pPr>
      <w:r w:rsidRPr="000A0A5F">
        <w:t xml:space="preserve">            </w:t>
      </w:r>
      <w:r w:rsidR="00CB0DD7" w:rsidRPr="000A0A5F">
        <w:t>Set to true by the SCS/AS to request the SCEF to send a test notification as defined</w:t>
      </w:r>
    </w:p>
    <w:p w:rsidR="00CB0DD7" w:rsidRPr="000A0A5F" w:rsidRDefault="003B38C3">
      <w:pPr>
        <w:pStyle w:val="PL"/>
      </w:pPr>
      <w:r w:rsidRPr="000A0A5F">
        <w:t xml:space="preserve">           </w:t>
      </w:r>
      <w:r w:rsidR="00CB0DD7" w:rsidRPr="000A0A5F">
        <w:t xml:space="preserve"> in clause 5.2.5.3. Set to false or omitted otherwise.</w:t>
      </w:r>
    </w:p>
    <w:p w:rsidR="00CB0DD7" w:rsidRPr="000A0A5F" w:rsidRDefault="00CB0DD7">
      <w:pPr>
        <w:pStyle w:val="PL"/>
      </w:pPr>
      <w:r w:rsidRPr="000A0A5F">
        <w:t xml:space="preserve">        websockNotifConfig:</w:t>
      </w:r>
    </w:p>
    <w:p w:rsidR="00CB0DD7" w:rsidRPr="000A0A5F" w:rsidRDefault="00CB0DD7">
      <w:pPr>
        <w:pStyle w:val="PL"/>
      </w:pPr>
      <w:r w:rsidRPr="000A0A5F">
        <w:t xml:space="preserve">          $ref: 'TS29122_CommonData.yaml#/components/schemas/WebsockNotifConfig'</w:t>
      </w:r>
    </w:p>
    <w:p w:rsidR="00C553C9" w:rsidRPr="000A0A5F" w:rsidRDefault="00C553C9" w:rsidP="00C553C9">
      <w:pPr>
        <w:pStyle w:val="PL"/>
      </w:pPr>
      <w:r w:rsidRPr="000A0A5F">
        <w:t xml:space="preserve">        events:</w:t>
      </w:r>
    </w:p>
    <w:p w:rsidR="003B38C3" w:rsidRPr="000A0A5F" w:rsidRDefault="00C553C9" w:rsidP="00C553C9">
      <w:pPr>
        <w:pStyle w:val="PL"/>
      </w:pPr>
      <w:r w:rsidRPr="000A0A5F">
        <w:t xml:space="preserve">          description: </w:t>
      </w:r>
      <w:r w:rsidR="003B38C3" w:rsidRPr="000A0A5F">
        <w:t>&gt;</w:t>
      </w:r>
    </w:p>
    <w:p w:rsidR="00C553C9" w:rsidRPr="000A0A5F" w:rsidRDefault="003B38C3" w:rsidP="00C553C9">
      <w:pPr>
        <w:pStyle w:val="PL"/>
      </w:pPr>
      <w:r w:rsidRPr="000A0A5F">
        <w:t xml:space="preserve">            </w:t>
      </w:r>
      <w:r w:rsidR="00C553C9" w:rsidRPr="000A0A5F">
        <w:t>Represents the list of user plane e</w:t>
      </w:r>
      <w:r w:rsidR="00C553C9" w:rsidRPr="000A0A5F">
        <w:rPr>
          <w:rFonts w:cs="Arial"/>
          <w:szCs w:val="18"/>
        </w:rPr>
        <w:t>vent(s) to which the SCS/AS requests to subscribe to.</w:t>
      </w:r>
    </w:p>
    <w:p w:rsidR="00C553C9" w:rsidRPr="000A0A5F" w:rsidRDefault="00C553C9" w:rsidP="00C553C9">
      <w:pPr>
        <w:pStyle w:val="PL"/>
      </w:pPr>
      <w:r w:rsidRPr="000A0A5F">
        <w:t xml:space="preserve">          type: array</w:t>
      </w:r>
    </w:p>
    <w:p w:rsidR="00C553C9" w:rsidRPr="000A0A5F" w:rsidRDefault="00C553C9" w:rsidP="00C553C9">
      <w:pPr>
        <w:pStyle w:val="PL"/>
      </w:pPr>
      <w:r w:rsidRPr="000A0A5F">
        <w:t xml:space="preserve">          items:</w:t>
      </w:r>
    </w:p>
    <w:p w:rsidR="00C553C9" w:rsidRPr="000A0A5F" w:rsidRDefault="00C553C9" w:rsidP="00C553C9">
      <w:pPr>
        <w:pStyle w:val="PL"/>
      </w:pPr>
      <w:r w:rsidRPr="000A0A5F">
        <w:t xml:space="preserve">            $ref: </w:t>
      </w:r>
      <w:r w:rsidRPr="000A0A5F">
        <w:rPr>
          <w:rFonts w:cs="Courier New"/>
          <w:szCs w:val="16"/>
          <w:lang w:val="en-US"/>
        </w:rPr>
        <w:t>'#/components/schemas/UserPlaneEvent'</w:t>
      </w:r>
    </w:p>
    <w:p w:rsidR="00C553C9" w:rsidRPr="000A0A5F" w:rsidRDefault="00C553C9" w:rsidP="00C553C9">
      <w:pPr>
        <w:pStyle w:val="PL"/>
      </w:pPr>
      <w:r w:rsidRPr="000A0A5F">
        <w:t xml:space="preserve">          minItems: 1</w:t>
      </w:r>
    </w:p>
    <w:p w:rsidR="0094286E" w:rsidRPr="000A0A5F" w:rsidRDefault="0094286E" w:rsidP="0094286E">
      <w:pPr>
        <w:pStyle w:val="PL"/>
        <w:rPr>
          <w:rFonts w:cs="Courier New"/>
          <w:szCs w:val="16"/>
        </w:rPr>
      </w:pPr>
      <w:r w:rsidRPr="000A0A5F">
        <w:rPr>
          <w:rFonts w:cs="Courier New"/>
          <w:szCs w:val="16"/>
        </w:rPr>
        <w:t xml:space="preserve">        multiModDatFlows:</w:t>
      </w:r>
    </w:p>
    <w:p w:rsidR="0094286E" w:rsidRPr="000A0A5F" w:rsidRDefault="0094286E" w:rsidP="0094286E">
      <w:pPr>
        <w:pStyle w:val="PL"/>
        <w:rPr>
          <w:rFonts w:cs="Courier New"/>
          <w:szCs w:val="16"/>
        </w:rPr>
      </w:pPr>
      <w:r w:rsidRPr="000A0A5F">
        <w:rPr>
          <w:rFonts w:cs="Courier New"/>
          <w:szCs w:val="16"/>
        </w:rPr>
        <w:t xml:space="preserve">          type: object</w:t>
      </w:r>
    </w:p>
    <w:p w:rsidR="0094286E" w:rsidRPr="000A0A5F" w:rsidRDefault="0094286E" w:rsidP="0094286E">
      <w:pPr>
        <w:pStyle w:val="PL"/>
        <w:rPr>
          <w:rFonts w:cs="Courier New"/>
          <w:szCs w:val="16"/>
        </w:rPr>
      </w:pPr>
      <w:r w:rsidRPr="000A0A5F">
        <w:rPr>
          <w:rFonts w:cs="Courier New"/>
          <w:szCs w:val="16"/>
        </w:rPr>
        <w:t xml:space="preserve">          additionalProperties:</w:t>
      </w:r>
    </w:p>
    <w:p w:rsidR="0094286E" w:rsidRPr="000A0A5F" w:rsidRDefault="0094286E" w:rsidP="0094286E">
      <w:pPr>
        <w:pStyle w:val="PL"/>
        <w:rPr>
          <w:rFonts w:cs="Courier New"/>
          <w:szCs w:val="16"/>
        </w:rPr>
      </w:pPr>
      <w:r w:rsidRPr="000A0A5F">
        <w:rPr>
          <w:rFonts w:cs="Courier New"/>
          <w:szCs w:val="16"/>
        </w:rPr>
        <w:t xml:space="preserve">            $ref: '#/components/schemas/AsSessionMediaComponent'</w:t>
      </w:r>
    </w:p>
    <w:p w:rsidR="0094286E" w:rsidRPr="000A0A5F" w:rsidRDefault="0094286E" w:rsidP="0094286E">
      <w:pPr>
        <w:pStyle w:val="PL"/>
      </w:pPr>
      <w:r w:rsidRPr="000A0A5F">
        <w:t xml:space="preserve">          minProperties: 1</w:t>
      </w:r>
    </w:p>
    <w:p w:rsidR="0094286E" w:rsidRPr="000A0A5F" w:rsidRDefault="0094286E" w:rsidP="0094286E">
      <w:pPr>
        <w:pStyle w:val="PL"/>
        <w:rPr>
          <w:rFonts w:cs="Courier New"/>
          <w:szCs w:val="16"/>
        </w:rPr>
      </w:pPr>
      <w:r w:rsidRPr="000A0A5F">
        <w:rPr>
          <w:rFonts w:cs="Courier New"/>
          <w:szCs w:val="16"/>
        </w:rPr>
        <w:t xml:space="preserve">          description: &gt;</w:t>
      </w:r>
    </w:p>
    <w:p w:rsidR="0094286E" w:rsidRPr="000A0A5F" w:rsidRDefault="0094286E" w:rsidP="0094286E">
      <w:pPr>
        <w:pStyle w:val="PL"/>
        <w:rPr>
          <w:rFonts w:cs="Arial"/>
          <w:szCs w:val="18"/>
        </w:rPr>
      </w:pPr>
      <w:r w:rsidRPr="000A0A5F">
        <w:rPr>
          <w:rFonts w:cs="Courier New"/>
          <w:szCs w:val="16"/>
        </w:rPr>
        <w:t xml:space="preserve">            Contains </w:t>
      </w:r>
      <w:r w:rsidRPr="000A0A5F">
        <w:rPr>
          <w:rFonts w:cs="Arial"/>
          <w:szCs w:val="18"/>
        </w:rPr>
        <w:t>media component data for a single-modal data flow(s).</w:t>
      </w:r>
    </w:p>
    <w:p w:rsidR="0094286E" w:rsidRPr="000A0A5F" w:rsidRDefault="0094286E" w:rsidP="0094286E">
      <w:pPr>
        <w:pStyle w:val="PL"/>
        <w:rPr>
          <w:rFonts w:cs="Courier New"/>
          <w:szCs w:val="16"/>
        </w:rPr>
      </w:pPr>
      <w:r w:rsidRPr="000A0A5F">
        <w:rPr>
          <w:rFonts w:cs="Arial"/>
          <w:szCs w:val="18"/>
        </w:rPr>
        <w:t xml:space="preserve">            The key of the map is the </w:t>
      </w:r>
      <w:r w:rsidRPr="000A0A5F">
        <w:t xml:space="preserve">medCompN </w:t>
      </w:r>
      <w:r w:rsidRPr="000A0A5F">
        <w:rPr>
          <w:rFonts w:cs="Arial"/>
          <w:szCs w:val="18"/>
        </w:rPr>
        <w:t>attribute</w:t>
      </w:r>
      <w:r w:rsidRPr="000A0A5F">
        <w:t>.</w:t>
      </w:r>
    </w:p>
    <w:p w:rsidR="00E47140" w:rsidRPr="000A0A5F" w:rsidRDefault="00E47140" w:rsidP="00E47140">
      <w:pPr>
        <w:pStyle w:val="PL"/>
        <w:rPr>
          <w:rFonts w:cs="Courier New"/>
          <w:szCs w:val="16"/>
        </w:rPr>
      </w:pPr>
      <w:r w:rsidRPr="000A0A5F">
        <w:rPr>
          <w:rFonts w:cs="Courier New"/>
          <w:szCs w:val="16"/>
        </w:rPr>
        <w:t xml:space="preserve">        </w:t>
      </w:r>
      <w:r w:rsidRPr="000A0A5F">
        <w:rPr>
          <w:rFonts w:hint="eastAsia"/>
          <w:lang w:eastAsia="zh-CN"/>
        </w:rPr>
        <w:t>p</w:t>
      </w:r>
      <w:r w:rsidRPr="000A0A5F">
        <w:rPr>
          <w:lang w:eastAsia="zh-CN"/>
        </w:rPr>
        <w:t>duSetQos</w:t>
      </w:r>
      <w:r w:rsidRPr="000A0A5F">
        <w:rPr>
          <w:rFonts w:cs="Courier New"/>
          <w:szCs w:val="16"/>
        </w:rPr>
        <w:t>:</w:t>
      </w:r>
    </w:p>
    <w:p w:rsidR="00E47140" w:rsidRPr="000A0A5F" w:rsidRDefault="00E47140" w:rsidP="00E47140">
      <w:pPr>
        <w:pStyle w:val="PL"/>
        <w:rPr>
          <w:rFonts w:cs="Courier New"/>
          <w:szCs w:val="16"/>
        </w:rPr>
      </w:pPr>
      <w:r w:rsidRPr="000A0A5F">
        <w:rPr>
          <w:rFonts w:cs="Courier New"/>
          <w:szCs w:val="16"/>
        </w:rPr>
        <w:t xml:space="preserve">          $ref: '</w:t>
      </w:r>
      <w:r w:rsidRPr="000A0A5F">
        <w:t>TS29571_CommonData.yaml</w:t>
      </w:r>
      <w:r w:rsidR="00C21F7E" w:rsidRPr="000A0A5F">
        <w:rPr>
          <w:rFonts w:cs="Courier New"/>
          <w:szCs w:val="16"/>
        </w:rPr>
        <w:t>#</w:t>
      </w:r>
      <w:r w:rsidRPr="000A0A5F">
        <w:rPr>
          <w:rFonts w:cs="Courier New"/>
          <w:szCs w:val="16"/>
          <w:lang w:val="en-US"/>
        </w:rPr>
        <w:t>/components/schemas/</w:t>
      </w:r>
      <w:r w:rsidRPr="000A0A5F">
        <w:rPr>
          <w:rFonts w:hint="eastAsia"/>
          <w:lang w:eastAsia="zh-CN"/>
        </w:rPr>
        <w:t>P</w:t>
      </w:r>
      <w:r w:rsidRPr="000A0A5F">
        <w:rPr>
          <w:lang w:eastAsia="zh-CN"/>
        </w:rPr>
        <w:t>duSetQosPara</w:t>
      </w:r>
      <w:r w:rsidRPr="000A0A5F">
        <w:rPr>
          <w:rFonts w:cs="Courier New"/>
          <w:szCs w:val="16"/>
        </w:rPr>
        <w:t>'</w:t>
      </w:r>
    </w:p>
    <w:p w:rsidR="00D26587" w:rsidRPr="000A0A5F" w:rsidRDefault="00D26587" w:rsidP="00D26587">
      <w:pPr>
        <w:pStyle w:val="PL"/>
      </w:pPr>
      <w:r w:rsidRPr="000A0A5F">
        <w:t xml:space="preserve">        </w:t>
      </w:r>
      <w:r w:rsidRPr="000A0A5F">
        <w:rPr>
          <w:rFonts w:hint="eastAsia"/>
          <w:lang w:eastAsia="zh-CN"/>
        </w:rPr>
        <w:t>r</w:t>
      </w:r>
      <w:r w:rsidRPr="000A0A5F">
        <w:rPr>
          <w:lang w:eastAsia="zh-CN"/>
        </w:rPr>
        <w:t>TLatencyInd</w:t>
      </w:r>
      <w:r w:rsidRPr="000A0A5F">
        <w:t>:</w:t>
      </w:r>
    </w:p>
    <w:p w:rsidR="00D26587" w:rsidRPr="000A0A5F" w:rsidRDefault="00D26587" w:rsidP="00D26587">
      <w:pPr>
        <w:pStyle w:val="PL"/>
      </w:pPr>
      <w:r w:rsidRPr="000A0A5F">
        <w:t xml:space="preserve">          type: boolean</w:t>
      </w:r>
    </w:p>
    <w:p w:rsidR="00D26587" w:rsidRPr="000A0A5F" w:rsidRDefault="00D26587" w:rsidP="00D26587">
      <w:pPr>
        <w:pStyle w:val="PL"/>
      </w:pPr>
      <w:r w:rsidRPr="000A0A5F">
        <w:t xml:space="preserve">          description: &gt;</w:t>
      </w:r>
    </w:p>
    <w:p w:rsidR="00D26587" w:rsidRPr="000A0A5F" w:rsidRDefault="00D26587" w:rsidP="00D26587">
      <w:pPr>
        <w:pStyle w:val="PL"/>
      </w:pPr>
      <w:r w:rsidRPr="000A0A5F">
        <w:t xml:space="preserve">            Indicates the service data flow needs to meet the Round-Trip (RT) latency requirement of</w:t>
      </w:r>
    </w:p>
    <w:p w:rsidR="00D26587" w:rsidRPr="000A0A5F" w:rsidRDefault="00D26587" w:rsidP="00D26587">
      <w:pPr>
        <w:pStyle w:val="PL"/>
      </w:pPr>
      <w:r w:rsidRPr="000A0A5F">
        <w:t xml:space="preserve">            the service, when it is included and set to "true".</w:t>
      </w:r>
    </w:p>
    <w:p w:rsidR="000B0726" w:rsidRPr="000A0A5F" w:rsidRDefault="00D26587" w:rsidP="000B0726">
      <w:pPr>
        <w:pStyle w:val="PL"/>
      </w:pPr>
      <w:r w:rsidRPr="000A0A5F">
        <w:t xml:space="preserve">            The default value is "false" if omitted.</w:t>
      </w:r>
      <w:r w:rsidR="000B0726" w:rsidRPr="000A0A5F">
        <w:t xml:space="preserve">        </w:t>
      </w:r>
      <w:r w:rsidR="000B0726" w:rsidRPr="000A0A5F">
        <w:rPr>
          <w:lang w:eastAsia="zh-CN"/>
        </w:rPr>
        <w:t>periodInfo</w:t>
      </w:r>
      <w:r w:rsidR="000B0726" w:rsidRPr="000A0A5F">
        <w:t>:</w:t>
      </w:r>
    </w:p>
    <w:p w:rsidR="00086C0E" w:rsidRPr="000A0A5F" w:rsidRDefault="000B0726" w:rsidP="000B0726">
      <w:pPr>
        <w:pStyle w:val="PL"/>
      </w:pPr>
      <w:r w:rsidRPr="000A0A5F">
        <w:t xml:space="preserve">          $ref: '</w:t>
      </w:r>
      <w:r w:rsidRPr="000A0A5F">
        <w:rPr>
          <w:rFonts w:cs="Courier New"/>
          <w:szCs w:val="16"/>
          <w:lang w:val="en-US"/>
        </w:rPr>
        <w:t>TS29514_</w:t>
      </w:r>
      <w:r w:rsidRPr="000A0A5F">
        <w:t>Npcf_PolicyAuthorization</w:t>
      </w:r>
      <w:r w:rsidRPr="000A0A5F">
        <w:rPr>
          <w:rFonts w:cs="Courier New"/>
          <w:szCs w:val="16"/>
          <w:lang w:val="en-US"/>
        </w:rPr>
        <w:t>.yaml</w:t>
      </w:r>
      <w:r w:rsidRPr="000A0A5F">
        <w:t>#/components/schemas/PeriodicityInfo'</w:t>
      </w:r>
    </w:p>
    <w:p w:rsidR="004D0F38" w:rsidRPr="000A0A5F" w:rsidRDefault="004D0F38" w:rsidP="004D0F38">
      <w:pPr>
        <w:pStyle w:val="PL"/>
      </w:pPr>
      <w:r w:rsidRPr="000A0A5F">
        <w:t xml:space="preserve">        </w:t>
      </w:r>
      <w:r w:rsidRPr="000A0A5F">
        <w:rPr>
          <w:lang w:eastAsia="zh-CN"/>
        </w:rPr>
        <w:t>rtt</w:t>
      </w:r>
      <w:r w:rsidRPr="000A0A5F">
        <w:rPr>
          <w:rFonts w:hint="eastAsia"/>
          <w:lang w:eastAsia="zh-CN"/>
        </w:rPr>
        <w:t>Mon</w:t>
      </w:r>
      <w:r w:rsidRPr="000A0A5F">
        <w:t>:</w:t>
      </w:r>
    </w:p>
    <w:p w:rsidR="004D0F38" w:rsidRPr="000A0A5F" w:rsidRDefault="004D0F38" w:rsidP="004D0F38">
      <w:pPr>
        <w:pStyle w:val="PL"/>
      </w:pPr>
      <w:r w:rsidRPr="000A0A5F">
        <w:t xml:space="preserve">          $ref: '</w:t>
      </w:r>
      <w:r w:rsidRPr="000A0A5F">
        <w:rPr>
          <w:rFonts w:cs="Courier New"/>
          <w:szCs w:val="16"/>
          <w:lang w:val="en-US"/>
        </w:rPr>
        <w:t>#/components/schemas/</w:t>
      </w:r>
      <w:r w:rsidRPr="000A0A5F">
        <w:t>QosMonitoringInformation'</w:t>
      </w:r>
    </w:p>
    <w:p w:rsidR="00DC5B3F" w:rsidRPr="000A0A5F" w:rsidRDefault="00DC5B3F" w:rsidP="00DC5B3F">
      <w:pPr>
        <w:pStyle w:val="PL"/>
      </w:pPr>
      <w:r w:rsidRPr="000A0A5F">
        <w:t xml:space="preserve">        qosMonDatRate:</w:t>
      </w:r>
    </w:p>
    <w:p w:rsidR="00DC5B3F" w:rsidRPr="000A0A5F" w:rsidRDefault="00DC5B3F" w:rsidP="00DC5B3F">
      <w:pPr>
        <w:pStyle w:val="PL"/>
      </w:pPr>
      <w:r w:rsidRPr="000A0A5F">
        <w:t xml:space="preserve">          $ref: '</w:t>
      </w:r>
      <w:r w:rsidRPr="000A0A5F">
        <w:rPr>
          <w:rFonts w:cs="Courier New"/>
          <w:szCs w:val="16"/>
          <w:lang w:val="en-US"/>
        </w:rPr>
        <w:t>#/components/schemas/</w:t>
      </w:r>
      <w:r w:rsidRPr="000A0A5F">
        <w:t>QosMonitoringInformation'</w:t>
      </w:r>
    </w:p>
    <w:p w:rsidR="00DC5B3F" w:rsidRPr="000A0A5F" w:rsidRDefault="00DC5B3F" w:rsidP="00DC5B3F">
      <w:pPr>
        <w:pStyle w:val="PL"/>
        <w:rPr>
          <w:rFonts w:cs="Courier New"/>
          <w:szCs w:val="16"/>
        </w:rPr>
      </w:pPr>
      <w:r w:rsidRPr="000A0A5F">
        <w:rPr>
          <w:rFonts w:cs="Courier New"/>
          <w:szCs w:val="16"/>
        </w:rPr>
        <w:t xml:space="preserve">        </w:t>
      </w:r>
      <w:r w:rsidRPr="000A0A5F">
        <w:rPr>
          <w:lang w:eastAsia="zh-CN"/>
        </w:rPr>
        <w:t>avrgWndw</w:t>
      </w:r>
      <w:r w:rsidRPr="000A0A5F">
        <w:rPr>
          <w:rFonts w:cs="Courier New"/>
          <w:szCs w:val="16"/>
        </w:rPr>
        <w:t>:</w:t>
      </w:r>
    </w:p>
    <w:p w:rsidR="00DC5B3F" w:rsidRPr="000A0A5F" w:rsidRDefault="00DC5B3F" w:rsidP="00DC5B3F">
      <w:pPr>
        <w:pStyle w:val="PL"/>
        <w:rPr>
          <w:rFonts w:cs="Courier New"/>
          <w:szCs w:val="16"/>
        </w:rPr>
      </w:pPr>
      <w:r w:rsidRPr="000A0A5F">
        <w:rPr>
          <w:rFonts w:cs="Courier New"/>
          <w:szCs w:val="16"/>
        </w:rPr>
        <w:t xml:space="preserve">          $ref: '</w:t>
      </w:r>
      <w:r w:rsidRPr="000A0A5F">
        <w:t>TS29571_CommonData.yaml</w:t>
      </w:r>
      <w:r w:rsidRPr="000A0A5F">
        <w:rPr>
          <w:rFonts w:cs="Courier New"/>
          <w:szCs w:val="16"/>
        </w:rPr>
        <w:t>#</w:t>
      </w:r>
      <w:r w:rsidRPr="000A0A5F">
        <w:rPr>
          <w:rFonts w:cs="Courier New"/>
          <w:szCs w:val="16"/>
          <w:lang w:val="en-US"/>
        </w:rPr>
        <w:t>/components/schemas/</w:t>
      </w:r>
      <w:r w:rsidRPr="000A0A5F">
        <w:rPr>
          <w:lang w:eastAsia="zh-CN"/>
        </w:rPr>
        <w:t>AverWindow</w:t>
      </w:r>
      <w:r w:rsidRPr="000A0A5F">
        <w:rPr>
          <w:rFonts w:cs="Courier New"/>
          <w:szCs w:val="16"/>
        </w:rPr>
        <w:t>'</w:t>
      </w:r>
    </w:p>
    <w:p w:rsidR="00DC5B3F" w:rsidRPr="000A0A5F" w:rsidRDefault="00DC5B3F" w:rsidP="00DC5B3F">
      <w:pPr>
        <w:pStyle w:val="PL"/>
        <w:rPr>
          <w:rFonts w:cs="Courier New"/>
          <w:szCs w:val="16"/>
        </w:rPr>
      </w:pPr>
      <w:r w:rsidRPr="000A0A5F">
        <w:rPr>
          <w:rFonts w:cs="Courier New"/>
          <w:szCs w:val="16"/>
        </w:rPr>
        <w:t xml:space="preserve">        servAuthInfo:</w:t>
      </w:r>
    </w:p>
    <w:p w:rsidR="00DC5B3F" w:rsidRPr="000A0A5F" w:rsidRDefault="00DC5B3F" w:rsidP="00DC5B3F">
      <w:pPr>
        <w:pStyle w:val="PL"/>
        <w:rPr>
          <w:rFonts w:cs="Courier New"/>
          <w:szCs w:val="16"/>
        </w:rPr>
      </w:pPr>
      <w:r w:rsidRPr="000A0A5F">
        <w:rPr>
          <w:rFonts w:cs="Courier New"/>
          <w:szCs w:val="16"/>
        </w:rPr>
        <w:t xml:space="preserve">          $ref: '</w:t>
      </w:r>
      <w:r w:rsidRPr="000A0A5F">
        <w:rPr>
          <w:rFonts w:cs="Courier New"/>
          <w:szCs w:val="16"/>
          <w:lang w:val="en-US"/>
        </w:rPr>
        <w:t>TS29514_</w:t>
      </w:r>
      <w:r w:rsidRPr="000A0A5F">
        <w:t>Npcf_PolicyAuthorization</w:t>
      </w:r>
      <w:r w:rsidRPr="000A0A5F">
        <w:rPr>
          <w:rFonts w:cs="Courier New"/>
          <w:szCs w:val="16"/>
          <w:lang w:val="en-US"/>
        </w:rPr>
        <w:t>.yaml</w:t>
      </w:r>
      <w:r w:rsidRPr="000A0A5F">
        <w:rPr>
          <w:rFonts w:cs="Courier New"/>
          <w:szCs w:val="16"/>
        </w:rPr>
        <w:t>#/components/schemas/ServAuthInfo'</w:t>
      </w:r>
    </w:p>
    <w:p w:rsidR="003E0CDC" w:rsidRPr="000A0A5F" w:rsidRDefault="003E0CDC" w:rsidP="003E0CDC">
      <w:pPr>
        <w:pStyle w:val="PL"/>
      </w:pPr>
      <w:r w:rsidRPr="000A0A5F">
        <w:t xml:space="preserve">        </w:t>
      </w:r>
      <w:r w:rsidRPr="000A0A5F">
        <w:rPr>
          <w:lang w:eastAsia="zh-CN"/>
        </w:rPr>
        <w:t>qosMonConReq:</w:t>
      </w:r>
    </w:p>
    <w:p w:rsidR="00A66DE6" w:rsidRDefault="00A66DE6" w:rsidP="00A66DE6">
      <w:pPr>
        <w:pStyle w:val="PL"/>
      </w:pPr>
      <w:r>
        <w:t xml:space="preserve">          $ref: '</w:t>
      </w:r>
      <w:r>
        <w:rPr>
          <w:rFonts w:cs="Courier New"/>
          <w:szCs w:val="16"/>
          <w:lang w:val="en-US"/>
        </w:rPr>
        <w:t>#/components/schemas/</w:t>
      </w:r>
      <w:r>
        <w:t>QosMonitoringInformation'</w:t>
      </w:r>
    </w:p>
    <w:p w:rsidR="00A66DE6" w:rsidRDefault="00A66DE6" w:rsidP="00A66DE6">
      <w:pPr>
        <w:pStyle w:val="PL"/>
      </w:pPr>
      <w:r>
        <w:t xml:space="preserve">        listUeConsDtRt:</w:t>
      </w:r>
    </w:p>
    <w:p w:rsidR="00A66DE6" w:rsidRDefault="00A66DE6" w:rsidP="00A66DE6">
      <w:pPr>
        <w:pStyle w:val="PL"/>
      </w:pPr>
      <w:r>
        <w:t xml:space="preserve">          type: array</w:t>
      </w:r>
    </w:p>
    <w:p w:rsidR="00A66DE6" w:rsidRDefault="00A66DE6" w:rsidP="00A66DE6">
      <w:pPr>
        <w:pStyle w:val="PL"/>
      </w:pPr>
      <w:r>
        <w:t xml:space="preserve">          items:</w:t>
      </w:r>
    </w:p>
    <w:p w:rsidR="00A66DE6" w:rsidRDefault="00A66DE6" w:rsidP="00A66DE6">
      <w:pPr>
        <w:pStyle w:val="PL"/>
        <w:rPr>
          <w:rFonts w:cs="Courier New"/>
          <w:szCs w:val="16"/>
        </w:rPr>
      </w:pPr>
      <w:r>
        <w:rPr>
          <w:rFonts w:cs="Courier New"/>
          <w:szCs w:val="16"/>
        </w:rPr>
        <w:t xml:space="preserve">            $ref: '</w:t>
      </w:r>
      <w:r w:rsidRPr="00852C4E">
        <w:rPr>
          <w:rFonts w:cs="Courier New"/>
          <w:szCs w:val="16"/>
        </w:rPr>
        <w:t>TS29571_CommonData.yaml</w:t>
      </w:r>
      <w:r>
        <w:rPr>
          <w:rFonts w:cs="Courier New"/>
          <w:szCs w:val="16"/>
          <w:lang w:val="en-US"/>
        </w:rPr>
        <w:t>#</w:t>
      </w:r>
      <w:r>
        <w:rPr>
          <w:rFonts w:cs="Courier New"/>
          <w:szCs w:val="16"/>
        </w:rPr>
        <w:t>/components/schemas/IpAddr'</w:t>
      </w:r>
    </w:p>
    <w:p w:rsidR="00A66DE6" w:rsidRDefault="00A66DE6" w:rsidP="00A66DE6">
      <w:pPr>
        <w:pStyle w:val="PL"/>
      </w:pPr>
      <w:r>
        <w:t xml:space="preserve">          minItems: 1</w:t>
      </w:r>
    </w:p>
    <w:p w:rsidR="00A66DE6" w:rsidRDefault="00A66DE6" w:rsidP="00A66DE6">
      <w:pPr>
        <w:pStyle w:val="PL"/>
      </w:pPr>
      <w:r>
        <w:t xml:space="preserve">          description: &gt;</w:t>
      </w:r>
    </w:p>
    <w:p w:rsidR="00A66DE6" w:rsidRPr="0012174A" w:rsidRDefault="00A66DE6" w:rsidP="00A66DE6">
      <w:pPr>
        <w:pStyle w:val="PL"/>
      </w:pPr>
      <w:r>
        <w:t xml:space="preserve">            </w:t>
      </w:r>
      <w:r w:rsidRPr="00176399">
        <w:rPr>
          <w:rFonts w:eastAsia="Times New Roman" w:cs="Arial"/>
          <w:szCs w:val="18"/>
        </w:rPr>
        <w:t xml:space="preserve">Identifies </w:t>
      </w:r>
      <w:r>
        <w:t>the list of UE addresses subject for Consolidated Data Rate monitoring.</w:t>
      </w:r>
    </w:p>
    <w:p w:rsidR="00CB0DD7" w:rsidRPr="000A0A5F" w:rsidRDefault="00CB0DD7">
      <w:pPr>
        <w:pStyle w:val="PL"/>
      </w:pPr>
      <w:r w:rsidRPr="000A0A5F">
        <w:t xml:space="preserve">      required:</w:t>
      </w:r>
    </w:p>
    <w:p w:rsidR="00CB0DD7" w:rsidRPr="000A0A5F" w:rsidRDefault="00CB0DD7">
      <w:pPr>
        <w:pStyle w:val="PL"/>
      </w:pPr>
      <w:r w:rsidRPr="000A0A5F">
        <w:t xml:space="preserve">        - notificationDestination</w:t>
      </w:r>
    </w:p>
    <w:p w:rsidR="003B38C3" w:rsidRPr="000A0A5F" w:rsidRDefault="003B38C3">
      <w:pPr>
        <w:pStyle w:val="PL"/>
      </w:pPr>
    </w:p>
    <w:p w:rsidR="00CB0DD7" w:rsidRPr="000A0A5F" w:rsidRDefault="00CB0DD7">
      <w:pPr>
        <w:pStyle w:val="PL"/>
      </w:pPr>
      <w:r w:rsidRPr="000A0A5F">
        <w:t xml:space="preserve">    AsSessionWithQoSSubscriptionPatch:</w:t>
      </w:r>
    </w:p>
    <w:p w:rsidR="00CB0DD7" w:rsidRPr="000A0A5F" w:rsidRDefault="00CB0DD7">
      <w:pPr>
        <w:pStyle w:val="PL"/>
      </w:pPr>
      <w:r w:rsidRPr="000A0A5F">
        <w:t xml:space="preserve">      description: Represents parameters to modify an AS session with specific QoS subscription.</w:t>
      </w:r>
    </w:p>
    <w:p w:rsidR="00CB0DD7" w:rsidRPr="000A0A5F" w:rsidRDefault="00CB0DD7">
      <w:pPr>
        <w:pStyle w:val="PL"/>
      </w:pPr>
      <w:r w:rsidRPr="000A0A5F">
        <w:t xml:space="preserve">      type: object</w:t>
      </w:r>
    </w:p>
    <w:p w:rsidR="00CB0DD7" w:rsidRPr="000A0A5F" w:rsidRDefault="00CB0DD7">
      <w:pPr>
        <w:pStyle w:val="PL"/>
      </w:pPr>
      <w:r w:rsidRPr="000A0A5F">
        <w:t xml:space="preserve">      properties:</w:t>
      </w:r>
    </w:p>
    <w:p w:rsidR="00CB0DD7" w:rsidRPr="000A0A5F" w:rsidRDefault="00CB0DD7">
      <w:pPr>
        <w:pStyle w:val="PL"/>
      </w:pPr>
      <w:r w:rsidRPr="000A0A5F">
        <w:t xml:space="preserve">        exterAppId:</w:t>
      </w:r>
    </w:p>
    <w:p w:rsidR="00CB0DD7" w:rsidRPr="000A0A5F" w:rsidRDefault="00CB0DD7">
      <w:pPr>
        <w:pStyle w:val="PL"/>
      </w:pPr>
      <w:r w:rsidRPr="000A0A5F">
        <w:t xml:space="preserve">          type: string</w:t>
      </w:r>
    </w:p>
    <w:p w:rsidR="00CB0DD7" w:rsidRPr="000A0A5F" w:rsidRDefault="00CB0DD7">
      <w:pPr>
        <w:pStyle w:val="PL"/>
      </w:pPr>
      <w:r w:rsidRPr="000A0A5F">
        <w:t xml:space="preserve">          description: Identifies the external Application Identifier.</w:t>
      </w:r>
    </w:p>
    <w:p w:rsidR="00CB0DD7" w:rsidRPr="000A0A5F" w:rsidRDefault="00CB0DD7">
      <w:pPr>
        <w:pStyle w:val="PL"/>
      </w:pPr>
      <w:r w:rsidRPr="000A0A5F">
        <w:t xml:space="preserve">        flowInfo:</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$ref: 'TS29122_CommonData.yaml#/components/schemas/FlowInfo'</w:t>
      </w:r>
    </w:p>
    <w:p w:rsidR="00CB0DD7" w:rsidRPr="000A0A5F" w:rsidRDefault="00CB0DD7">
      <w:pPr>
        <w:pStyle w:val="PL"/>
      </w:pPr>
      <w:r w:rsidRPr="000A0A5F">
        <w:t xml:space="preserve">          minItems: 1</w:t>
      </w:r>
    </w:p>
    <w:p w:rsidR="00CB0DD7" w:rsidRPr="000A0A5F" w:rsidRDefault="00CB0DD7">
      <w:pPr>
        <w:pStyle w:val="PL"/>
      </w:pPr>
      <w:r w:rsidRPr="000A0A5F">
        <w:t xml:space="preserve">          description: Describe the </w:t>
      </w:r>
      <w:r w:rsidR="002453BE" w:rsidRPr="000A0A5F">
        <w:t xml:space="preserve">IP </w:t>
      </w:r>
      <w:r w:rsidRPr="000A0A5F">
        <w:t>data flow which requires QoS.</w:t>
      </w:r>
    </w:p>
    <w:p w:rsidR="00CB0DD7" w:rsidRPr="000A0A5F" w:rsidRDefault="00CB0DD7">
      <w:pPr>
        <w:pStyle w:val="PL"/>
      </w:pPr>
      <w:r w:rsidRPr="000A0A5F">
        <w:t xml:space="preserve">        ethFlowInfo:</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$ref: </w:t>
      </w:r>
      <w:r w:rsidRPr="000A0A5F">
        <w:rPr>
          <w:rFonts w:cs="Courier New"/>
          <w:szCs w:val="16"/>
          <w:lang w:val="en-US"/>
        </w:rPr>
        <w:t>'TS29514_</w:t>
      </w:r>
      <w:r w:rsidRPr="000A0A5F">
        <w:t>Npcf_PolicyAuthorization</w:t>
      </w:r>
      <w:r w:rsidRPr="000A0A5F">
        <w:rPr>
          <w:rFonts w:cs="Courier New"/>
          <w:szCs w:val="16"/>
          <w:lang w:val="en-US"/>
        </w:rPr>
        <w:t>.yaml#/components/schemas/EthFlowDescription'</w:t>
      </w:r>
    </w:p>
    <w:p w:rsidR="00CB0DD7" w:rsidRPr="000A0A5F" w:rsidRDefault="00CB0DD7">
      <w:pPr>
        <w:pStyle w:val="PL"/>
      </w:pPr>
      <w:r w:rsidRPr="000A0A5F">
        <w:t xml:space="preserve">          minItems: 1</w:t>
      </w:r>
    </w:p>
    <w:p w:rsidR="00CB0DD7" w:rsidRPr="000A0A5F" w:rsidRDefault="00CB0DD7">
      <w:pPr>
        <w:pStyle w:val="PL"/>
      </w:pPr>
      <w:r w:rsidRPr="000A0A5F">
        <w:t xml:space="preserve">          description: Identifies Ethernet packet flows.</w:t>
      </w:r>
    </w:p>
    <w:p w:rsidR="002453BE" w:rsidRPr="000A0A5F" w:rsidRDefault="002453BE" w:rsidP="002453BE">
      <w:pPr>
        <w:pStyle w:val="PL"/>
      </w:pPr>
      <w:r w:rsidRPr="000A0A5F">
        <w:t xml:space="preserve">        enEthFlowInfo:</w:t>
      </w:r>
    </w:p>
    <w:p w:rsidR="002453BE" w:rsidRPr="000A0A5F" w:rsidRDefault="002453BE" w:rsidP="002453BE">
      <w:pPr>
        <w:pStyle w:val="PL"/>
      </w:pPr>
      <w:r w:rsidRPr="000A0A5F">
        <w:t xml:space="preserve">          type: array</w:t>
      </w:r>
    </w:p>
    <w:p w:rsidR="002453BE" w:rsidRPr="000A0A5F" w:rsidRDefault="002453BE" w:rsidP="002453BE">
      <w:pPr>
        <w:pStyle w:val="PL"/>
      </w:pPr>
      <w:r w:rsidRPr="000A0A5F">
        <w:t xml:space="preserve">          items:</w:t>
      </w:r>
    </w:p>
    <w:p w:rsidR="002453BE" w:rsidRPr="000A0A5F" w:rsidRDefault="002453BE" w:rsidP="002453BE">
      <w:pPr>
        <w:pStyle w:val="PL"/>
      </w:pPr>
      <w:r w:rsidRPr="000A0A5F">
        <w:t xml:space="preserve">            $ref: </w:t>
      </w:r>
      <w:r w:rsidRPr="000A0A5F">
        <w:rPr>
          <w:rFonts w:cs="Courier New"/>
          <w:szCs w:val="16"/>
          <w:lang w:val="en-US"/>
        </w:rPr>
        <w:t>'</w:t>
      </w:r>
      <w:r w:rsidRPr="000A0A5F">
        <w:t>TS29122_CommonData.yaml</w:t>
      </w:r>
      <w:r w:rsidRPr="000A0A5F">
        <w:rPr>
          <w:rFonts w:cs="Courier New"/>
          <w:szCs w:val="16"/>
          <w:lang w:val="en-US"/>
        </w:rPr>
        <w:t>#/components/schemas/EthFlowInfo'</w:t>
      </w:r>
    </w:p>
    <w:p w:rsidR="002453BE" w:rsidRPr="000A0A5F" w:rsidRDefault="002453BE" w:rsidP="002453BE">
      <w:pPr>
        <w:pStyle w:val="PL"/>
      </w:pPr>
      <w:r w:rsidRPr="000A0A5F">
        <w:t xml:space="preserve">          minItems: 1</w:t>
      </w:r>
    </w:p>
    <w:p w:rsidR="002453BE" w:rsidRPr="000A0A5F" w:rsidRDefault="002453BE" w:rsidP="002453BE">
      <w:pPr>
        <w:pStyle w:val="PL"/>
      </w:pPr>
      <w:r w:rsidRPr="000A0A5F">
        <w:t xml:space="preserve">          description: &gt;</w:t>
      </w:r>
    </w:p>
    <w:p w:rsidR="002453BE" w:rsidRPr="000A0A5F" w:rsidRDefault="002453BE" w:rsidP="002453BE">
      <w:pPr>
        <w:pStyle w:val="PL"/>
      </w:pPr>
      <w:r w:rsidRPr="000A0A5F">
        <w:t xml:space="preserve">            Identifies the Ethernet flows which require QoS. Each Ethernet flow consists of a flow</w:t>
      </w:r>
    </w:p>
    <w:p w:rsidR="002453BE" w:rsidRPr="000A0A5F" w:rsidRDefault="002453BE">
      <w:pPr>
        <w:pStyle w:val="PL"/>
      </w:pPr>
      <w:r w:rsidRPr="000A0A5F">
        <w:t xml:space="preserve">            idenifer and the corresponding UL and/or DL flows.</w:t>
      </w:r>
    </w:p>
    <w:p w:rsidR="006C7348" w:rsidRPr="000A0A5F" w:rsidRDefault="006C7348" w:rsidP="006C7348">
      <w:pPr>
        <w:pStyle w:val="PL"/>
      </w:pPr>
      <w:r w:rsidRPr="000A0A5F">
        <w:t xml:space="preserve">        </w:t>
      </w:r>
      <w:r w:rsidRPr="000A0A5F">
        <w:rPr>
          <w:lang w:eastAsia="zh-CN"/>
        </w:rPr>
        <w:t>listUeAddrs</w:t>
      </w:r>
      <w:r w:rsidRPr="000A0A5F">
        <w:t>:</w:t>
      </w:r>
    </w:p>
    <w:p w:rsidR="006C7348" w:rsidRPr="000A0A5F" w:rsidRDefault="006C7348" w:rsidP="006C7348">
      <w:pPr>
        <w:pStyle w:val="PL"/>
      </w:pPr>
      <w:r w:rsidRPr="000A0A5F">
        <w:t xml:space="preserve">          type: array</w:t>
      </w:r>
    </w:p>
    <w:p w:rsidR="006C7348" w:rsidRPr="000A0A5F" w:rsidRDefault="006C7348" w:rsidP="006C7348">
      <w:pPr>
        <w:pStyle w:val="PL"/>
      </w:pPr>
      <w:r w:rsidRPr="000A0A5F">
        <w:t xml:space="preserve">          items:</w:t>
      </w:r>
    </w:p>
    <w:p w:rsidR="006C7348" w:rsidRPr="000A0A5F" w:rsidRDefault="006C7348" w:rsidP="006C7348">
      <w:pPr>
        <w:pStyle w:val="PL"/>
        <w:rPr>
          <w:rFonts w:cs="Courier New"/>
          <w:szCs w:val="16"/>
        </w:rPr>
      </w:pPr>
      <w:r w:rsidRPr="000A0A5F">
        <w:rPr>
          <w:rFonts w:cs="Courier New"/>
          <w:szCs w:val="16"/>
        </w:rPr>
        <w:t xml:space="preserve">            $ref: '</w:t>
      </w:r>
      <w:r w:rsidRPr="000A0A5F">
        <w:rPr>
          <w:rFonts w:cs="Courier New"/>
          <w:szCs w:val="16"/>
          <w:lang w:val="en-US"/>
        </w:rPr>
        <w:t>#</w:t>
      </w:r>
      <w:r w:rsidRPr="000A0A5F">
        <w:rPr>
          <w:rFonts w:cs="Courier New"/>
          <w:szCs w:val="16"/>
        </w:rPr>
        <w:t>/components/schemas/</w:t>
      </w:r>
      <w:r w:rsidR="008754D8">
        <w:rPr>
          <w:rFonts w:cs="Courier New"/>
          <w:szCs w:val="16"/>
        </w:rPr>
        <w:t>UeAddInfo</w:t>
      </w:r>
      <w:r w:rsidRPr="000A0A5F">
        <w:rPr>
          <w:rFonts w:cs="Courier New"/>
          <w:szCs w:val="16"/>
        </w:rPr>
        <w:t>'</w:t>
      </w:r>
    </w:p>
    <w:p w:rsidR="006C7348" w:rsidRPr="000A0A5F" w:rsidRDefault="006C7348" w:rsidP="006C7348">
      <w:pPr>
        <w:pStyle w:val="PL"/>
      </w:pPr>
      <w:r w:rsidRPr="000A0A5F">
        <w:t xml:space="preserve">          minItems: 1</w:t>
      </w:r>
    </w:p>
    <w:p w:rsidR="00A66DE6" w:rsidRDefault="00A66DE6" w:rsidP="00A66DE6">
      <w:pPr>
        <w:pStyle w:val="PL"/>
      </w:pPr>
      <w:r>
        <w:t xml:space="preserve">          description: </w:t>
      </w:r>
      <w:r>
        <w:rPr>
          <w:rFonts w:cs="Arial"/>
          <w:szCs w:val="18"/>
        </w:rPr>
        <w:t>Identifies the list of UE address.</w:t>
      </w:r>
    </w:p>
    <w:p w:rsidR="00CB0DD7" w:rsidRPr="000A0A5F" w:rsidRDefault="00CB0DD7">
      <w:pPr>
        <w:pStyle w:val="PL"/>
      </w:pPr>
      <w:r w:rsidRPr="000A0A5F">
        <w:t xml:space="preserve">        qosReference:</w:t>
      </w:r>
    </w:p>
    <w:p w:rsidR="00CB0DD7" w:rsidRPr="000A0A5F" w:rsidRDefault="00CB0DD7">
      <w:pPr>
        <w:pStyle w:val="PL"/>
      </w:pPr>
      <w:r w:rsidRPr="000A0A5F">
        <w:t xml:space="preserve">          type: string</w:t>
      </w:r>
    </w:p>
    <w:p w:rsidR="00CB0DD7" w:rsidRPr="000A0A5F" w:rsidRDefault="00CB0DD7">
      <w:pPr>
        <w:pStyle w:val="PL"/>
      </w:pPr>
      <w:r w:rsidRPr="000A0A5F">
        <w:t xml:space="preserve">          description: Pre-defined QoS reference</w:t>
      </w:r>
    </w:p>
    <w:p w:rsidR="00CB0DD7" w:rsidRPr="000A0A5F" w:rsidRDefault="00CB0DD7">
      <w:pPr>
        <w:pStyle w:val="PL"/>
      </w:pPr>
      <w:r w:rsidRPr="000A0A5F">
        <w:t xml:space="preserve">        altQoSReferences:</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type: string</w:t>
      </w:r>
    </w:p>
    <w:p w:rsidR="00CB0DD7" w:rsidRPr="000A0A5F" w:rsidRDefault="00CB0DD7">
      <w:pPr>
        <w:pStyle w:val="PL"/>
      </w:pPr>
      <w:r w:rsidRPr="000A0A5F">
        <w:t xml:space="preserve">          minItems: 1</w:t>
      </w:r>
    </w:p>
    <w:p w:rsidR="003B38C3" w:rsidRPr="000A0A5F" w:rsidRDefault="00CB0DD7">
      <w:pPr>
        <w:pStyle w:val="PL"/>
      </w:pPr>
      <w:r w:rsidRPr="000A0A5F">
        <w:t xml:space="preserve">          description: </w:t>
      </w:r>
      <w:r w:rsidR="003B38C3" w:rsidRPr="000A0A5F">
        <w:t>&gt;</w:t>
      </w:r>
    </w:p>
    <w:p w:rsidR="003B38C3" w:rsidRPr="000A0A5F" w:rsidRDefault="003B38C3">
      <w:pPr>
        <w:pStyle w:val="PL"/>
      </w:pPr>
      <w:r w:rsidRPr="000A0A5F">
        <w:t xml:space="preserve">            </w:t>
      </w:r>
      <w:r w:rsidR="00CB0DD7" w:rsidRPr="000A0A5F">
        <w:rPr>
          <w:rFonts w:cs="Arial"/>
          <w:szCs w:val="18"/>
          <w:lang w:eastAsia="zh-CN"/>
        </w:rPr>
        <w:t xml:space="preserve">Identifies an ordered list of pre-defined QoS information. </w:t>
      </w:r>
      <w:r w:rsidR="00CB0DD7" w:rsidRPr="000A0A5F">
        <w:t>The lower the index of the</w:t>
      </w:r>
    </w:p>
    <w:p w:rsidR="00CB0DD7" w:rsidRPr="000A0A5F" w:rsidRDefault="003B38C3">
      <w:pPr>
        <w:pStyle w:val="PL"/>
      </w:pPr>
      <w:r w:rsidRPr="000A0A5F">
        <w:t xml:space="preserve">           </w:t>
      </w:r>
      <w:r w:rsidR="00CB0DD7" w:rsidRPr="000A0A5F">
        <w:t xml:space="preserve"> array for a given entry, the higher the priority.</w:t>
      </w:r>
    </w:p>
    <w:p w:rsidR="00564BA2" w:rsidRPr="000A0A5F" w:rsidRDefault="00564BA2" w:rsidP="00564BA2">
      <w:pPr>
        <w:pStyle w:val="PL"/>
      </w:pPr>
      <w:r w:rsidRPr="000A0A5F">
        <w:t xml:space="preserve">        altQosReqs:</w:t>
      </w:r>
    </w:p>
    <w:p w:rsidR="00564BA2" w:rsidRPr="000A0A5F" w:rsidRDefault="00564BA2" w:rsidP="00564BA2">
      <w:pPr>
        <w:pStyle w:val="PL"/>
      </w:pPr>
      <w:r w:rsidRPr="000A0A5F">
        <w:t xml:space="preserve">          type: array</w:t>
      </w:r>
    </w:p>
    <w:p w:rsidR="00564BA2" w:rsidRPr="000A0A5F" w:rsidRDefault="00564BA2" w:rsidP="00564BA2">
      <w:pPr>
        <w:pStyle w:val="PL"/>
      </w:pPr>
      <w:r w:rsidRPr="000A0A5F">
        <w:t xml:space="preserve">          items:</w:t>
      </w:r>
    </w:p>
    <w:p w:rsidR="00564BA2" w:rsidRPr="000A0A5F" w:rsidRDefault="00564BA2" w:rsidP="00564BA2">
      <w:pPr>
        <w:pStyle w:val="PL"/>
      </w:pPr>
      <w:r w:rsidRPr="000A0A5F">
        <w:t xml:space="preserve">            </w:t>
      </w:r>
      <w:r w:rsidRPr="000A0A5F">
        <w:rPr>
          <w:rFonts w:cs="Courier New"/>
          <w:szCs w:val="16"/>
        </w:rPr>
        <w:t>$ref: '</w:t>
      </w:r>
      <w:r w:rsidRPr="000A0A5F">
        <w:rPr>
          <w:rFonts w:cs="Courier New"/>
          <w:szCs w:val="16"/>
          <w:lang w:val="en-US"/>
        </w:rPr>
        <w:t>TS29514_</w:t>
      </w:r>
      <w:r w:rsidRPr="000A0A5F">
        <w:t>Npcf_PolicyAuthorization</w:t>
      </w:r>
      <w:r w:rsidRPr="000A0A5F">
        <w:rPr>
          <w:rFonts w:cs="Courier New"/>
          <w:szCs w:val="16"/>
          <w:lang w:val="en-US"/>
        </w:rPr>
        <w:t>.yaml#/components/schemas/</w:t>
      </w:r>
      <w:r w:rsidRPr="000A0A5F">
        <w:rPr>
          <w:rFonts w:cs="Courier New"/>
          <w:szCs w:val="16"/>
        </w:rPr>
        <w:t>AlternativeServiceRequirementsData'</w:t>
      </w:r>
    </w:p>
    <w:p w:rsidR="00564BA2" w:rsidRPr="000A0A5F" w:rsidRDefault="00564BA2" w:rsidP="00564BA2">
      <w:pPr>
        <w:pStyle w:val="PL"/>
      </w:pPr>
      <w:r w:rsidRPr="000A0A5F">
        <w:t xml:space="preserve">          minItems: 1</w:t>
      </w:r>
    </w:p>
    <w:p w:rsidR="003B38C3" w:rsidRPr="000A0A5F" w:rsidRDefault="00564BA2" w:rsidP="00564BA2">
      <w:pPr>
        <w:pStyle w:val="PL"/>
      </w:pPr>
      <w:r w:rsidRPr="000A0A5F">
        <w:t xml:space="preserve">          description: </w:t>
      </w:r>
      <w:r w:rsidR="003B38C3" w:rsidRPr="000A0A5F">
        <w:t>&gt;</w:t>
      </w:r>
    </w:p>
    <w:p w:rsidR="003B38C3" w:rsidRPr="000A0A5F" w:rsidRDefault="003B38C3" w:rsidP="00564BA2">
      <w:pPr>
        <w:pStyle w:val="PL"/>
        <w:rPr>
          <w:rFonts w:eastAsia="Times New Roman"/>
          <w:lang w:val="en-US"/>
        </w:rPr>
      </w:pPr>
      <w:r w:rsidRPr="000A0A5F">
        <w:t xml:space="preserve">            </w:t>
      </w:r>
      <w:r w:rsidR="00564BA2" w:rsidRPr="000A0A5F">
        <w:rPr>
          <w:rFonts w:cs="Arial"/>
          <w:szCs w:val="18"/>
          <w:lang w:eastAsia="zh-CN"/>
        </w:rPr>
        <w:t xml:space="preserve">Identifies an ordered list of </w:t>
      </w:r>
      <w:r w:rsidR="00564BA2" w:rsidRPr="000A0A5F">
        <w:rPr>
          <w:rFonts w:eastAsia="Times New Roman"/>
          <w:lang w:val="en-US"/>
        </w:rPr>
        <w:t>alternative service requirements that include individual</w:t>
      </w:r>
    </w:p>
    <w:p w:rsidR="003B38C3" w:rsidRPr="000A0A5F" w:rsidRDefault="003B38C3" w:rsidP="00564BA2">
      <w:pPr>
        <w:pStyle w:val="PL"/>
      </w:pPr>
      <w:r w:rsidRPr="000A0A5F">
        <w:t xml:space="preserve">           </w:t>
      </w:r>
      <w:r w:rsidR="00564BA2" w:rsidRPr="000A0A5F">
        <w:rPr>
          <w:rFonts w:eastAsia="Times New Roman"/>
          <w:lang w:val="en-US"/>
        </w:rPr>
        <w:t xml:space="preserve"> QoS parameter sets</w:t>
      </w:r>
      <w:r w:rsidR="00564BA2" w:rsidRPr="000A0A5F">
        <w:rPr>
          <w:rFonts w:cs="Arial"/>
          <w:szCs w:val="18"/>
          <w:lang w:eastAsia="zh-CN"/>
        </w:rPr>
        <w:t xml:space="preserve">. </w:t>
      </w:r>
      <w:r w:rsidR="00564BA2" w:rsidRPr="000A0A5F">
        <w:t>The lower the index of the array for a given entry, the higher the</w:t>
      </w:r>
    </w:p>
    <w:p w:rsidR="00564BA2" w:rsidRPr="000A0A5F" w:rsidRDefault="003B38C3" w:rsidP="00564BA2">
      <w:pPr>
        <w:pStyle w:val="PL"/>
      </w:pPr>
      <w:r w:rsidRPr="000A0A5F">
        <w:t xml:space="preserve">           </w:t>
      </w:r>
      <w:r w:rsidR="00564BA2" w:rsidRPr="000A0A5F">
        <w:t xml:space="preserve"> priority.</w:t>
      </w:r>
    </w:p>
    <w:p w:rsidR="00CB0DD7" w:rsidRPr="000A0A5F" w:rsidRDefault="00CB0DD7">
      <w:pPr>
        <w:pStyle w:val="PL"/>
      </w:pPr>
      <w:r w:rsidRPr="000A0A5F">
        <w:t xml:space="preserve">        disUeNotif:</w:t>
      </w:r>
    </w:p>
    <w:p w:rsidR="00CB0DD7" w:rsidRPr="000A0A5F" w:rsidRDefault="00CB0DD7">
      <w:pPr>
        <w:pStyle w:val="PL"/>
      </w:pPr>
      <w:r w:rsidRPr="000A0A5F">
        <w:t xml:space="preserve">          type: boolean</w:t>
      </w:r>
    </w:p>
    <w:p w:rsidR="008F285C" w:rsidRPr="000A0A5F" w:rsidRDefault="008F285C" w:rsidP="008F285C">
      <w:pPr>
        <w:pStyle w:val="PL"/>
      </w:pPr>
      <w:r w:rsidRPr="000A0A5F">
        <w:t xml:space="preserve">          description: &gt;</w:t>
      </w:r>
    </w:p>
    <w:p w:rsidR="008F285C" w:rsidRPr="000A0A5F" w:rsidRDefault="008F285C" w:rsidP="008F285C">
      <w:pPr>
        <w:pStyle w:val="PL"/>
        <w:rPr>
          <w:szCs w:val="18"/>
        </w:rPr>
      </w:pPr>
      <w:r w:rsidRPr="000A0A5F">
        <w:t xml:space="preserve">            </w:t>
      </w:r>
      <w:r w:rsidRPr="000A0A5F">
        <w:rPr>
          <w:szCs w:val="18"/>
        </w:rPr>
        <w:t xml:space="preserve">Indicates </w:t>
      </w:r>
      <w:r w:rsidRPr="000A0A5F">
        <w:rPr>
          <w:lang w:eastAsia="zh-CN"/>
        </w:rPr>
        <w:t>whether</w:t>
      </w:r>
      <w:r w:rsidRPr="000A0A5F">
        <w:rPr>
          <w:szCs w:val="18"/>
        </w:rPr>
        <w:t xml:space="preserve"> </w:t>
      </w:r>
      <w:r w:rsidRPr="000A0A5F">
        <w:t>the</w:t>
      </w:r>
      <w:r w:rsidRPr="000A0A5F">
        <w:rPr>
          <w:szCs w:val="18"/>
        </w:rPr>
        <w:t xml:space="preserve"> QoS flow parameters signalling to the UE when the SMF is notified</w:t>
      </w:r>
    </w:p>
    <w:p w:rsidR="008F285C" w:rsidRPr="000A0A5F" w:rsidRDefault="008F285C" w:rsidP="008F285C">
      <w:pPr>
        <w:pStyle w:val="PL"/>
      </w:pPr>
      <w:r w:rsidRPr="000A0A5F">
        <w:t xml:space="preserve">            </w:t>
      </w:r>
      <w:r w:rsidRPr="000A0A5F">
        <w:rPr>
          <w:szCs w:val="18"/>
        </w:rPr>
        <w:t xml:space="preserve">by the NG-RAN of changes in the fulfilled QoS situation </w:t>
      </w:r>
      <w:r w:rsidRPr="000A0A5F">
        <w:t>is disabled (</w:t>
      </w:r>
      <w:r w:rsidRPr="000A0A5F">
        <w:rPr>
          <w:lang w:eastAsia="zh-CN"/>
        </w:rPr>
        <w:t>true</w:t>
      </w:r>
      <w:r w:rsidRPr="000A0A5F">
        <w:t>) or</w:t>
      </w:r>
    </w:p>
    <w:p w:rsidR="008F285C" w:rsidRPr="000A0A5F" w:rsidRDefault="008F285C" w:rsidP="008F285C">
      <w:pPr>
        <w:pStyle w:val="PL"/>
        <w:rPr>
          <w:szCs w:val="18"/>
        </w:rPr>
      </w:pPr>
      <w:r w:rsidRPr="000A0A5F">
        <w:t xml:space="preserve">            not (</w:t>
      </w:r>
      <w:r w:rsidRPr="000A0A5F">
        <w:rPr>
          <w:lang w:eastAsia="zh-CN"/>
        </w:rPr>
        <w:t>false)</w:t>
      </w:r>
      <w:r w:rsidRPr="000A0A5F">
        <w:t xml:space="preserve">. </w:t>
      </w:r>
      <w:r w:rsidRPr="000A0A5F">
        <w:rPr>
          <w:szCs w:val="18"/>
        </w:rPr>
        <w:t>The fulfilled situation is either the QoS profile or an Alternative QoS</w:t>
      </w:r>
    </w:p>
    <w:p w:rsidR="008F285C" w:rsidRPr="000A0A5F" w:rsidRDefault="008F285C" w:rsidP="008F285C">
      <w:pPr>
        <w:pStyle w:val="PL"/>
      </w:pPr>
      <w:r w:rsidRPr="000A0A5F">
        <w:t xml:space="preserve">            </w:t>
      </w:r>
      <w:r w:rsidRPr="000A0A5F">
        <w:rPr>
          <w:szCs w:val="18"/>
        </w:rPr>
        <w:t>Profile.</w:t>
      </w:r>
    </w:p>
    <w:p w:rsidR="00CB0DD7" w:rsidRPr="000A0A5F" w:rsidRDefault="00CB0DD7">
      <w:pPr>
        <w:pStyle w:val="PL"/>
      </w:pPr>
      <w:r w:rsidRPr="000A0A5F">
        <w:t xml:space="preserve">        usageThreshold:</w:t>
      </w:r>
    </w:p>
    <w:p w:rsidR="00CB0DD7" w:rsidRPr="000A0A5F" w:rsidRDefault="00CB0DD7">
      <w:pPr>
        <w:pStyle w:val="PL"/>
      </w:pPr>
      <w:r w:rsidRPr="000A0A5F">
        <w:t xml:space="preserve">          $ref: 'TS29122_CommonData.yaml#/components/schemas/UsageThresholdRm'</w:t>
      </w:r>
    </w:p>
    <w:p w:rsidR="00CB0DD7" w:rsidRPr="000A0A5F" w:rsidRDefault="00CB0DD7">
      <w:pPr>
        <w:pStyle w:val="PL"/>
      </w:pPr>
      <w:r w:rsidRPr="000A0A5F">
        <w:t xml:space="preserve">        </w:t>
      </w:r>
      <w:r w:rsidRPr="000A0A5F">
        <w:rPr>
          <w:rFonts w:hint="eastAsia"/>
          <w:lang w:eastAsia="zh-CN"/>
        </w:rPr>
        <w:t>qosMon</w:t>
      </w:r>
      <w:r w:rsidRPr="000A0A5F">
        <w:rPr>
          <w:lang w:eastAsia="zh-CN"/>
        </w:rPr>
        <w:t>Info</w:t>
      </w:r>
      <w:r w:rsidRPr="000A0A5F">
        <w:t>:</w:t>
      </w:r>
    </w:p>
    <w:p w:rsidR="00CB0DD7" w:rsidRPr="000A0A5F" w:rsidRDefault="00CB0DD7">
      <w:pPr>
        <w:pStyle w:val="PL"/>
      </w:pPr>
      <w:r w:rsidRPr="000A0A5F">
        <w:t xml:space="preserve">          $ref: '</w:t>
      </w:r>
      <w:r w:rsidRPr="000A0A5F">
        <w:rPr>
          <w:rFonts w:cs="Courier New"/>
          <w:szCs w:val="16"/>
          <w:lang w:val="en-US"/>
        </w:rPr>
        <w:t>#/components/schemas/</w:t>
      </w:r>
      <w:r w:rsidRPr="000A0A5F">
        <w:t>QosMonitoringInformationRm'</w:t>
      </w:r>
    </w:p>
    <w:p w:rsidR="000D30DD" w:rsidRPr="000A0A5F" w:rsidRDefault="000D30DD" w:rsidP="000D30DD">
      <w:pPr>
        <w:pStyle w:val="PL"/>
      </w:pPr>
      <w:r w:rsidRPr="000A0A5F">
        <w:t xml:space="preserve">        pdvMon</w:t>
      </w:r>
      <w:r w:rsidRPr="000A0A5F">
        <w:rPr>
          <w:lang w:eastAsia="zh-CN"/>
        </w:rPr>
        <w:t>:</w:t>
      </w:r>
    </w:p>
    <w:p w:rsidR="000D30DD" w:rsidRPr="000A0A5F" w:rsidRDefault="000D30DD" w:rsidP="000D30DD">
      <w:pPr>
        <w:pStyle w:val="PL"/>
      </w:pPr>
      <w:r w:rsidRPr="000A0A5F">
        <w:t xml:space="preserve">          $ref: '</w:t>
      </w:r>
      <w:r w:rsidRPr="000A0A5F">
        <w:rPr>
          <w:rFonts w:cs="Courier New"/>
          <w:szCs w:val="16"/>
          <w:lang w:val="en-US"/>
        </w:rPr>
        <w:t>#/components/schemas/</w:t>
      </w:r>
      <w:r w:rsidRPr="000A0A5F">
        <w:t>QosMonitoringInformationRm'</w:t>
      </w:r>
    </w:p>
    <w:p w:rsidR="00CB0DD7" w:rsidRPr="000A0A5F" w:rsidRDefault="00CB0DD7">
      <w:pPr>
        <w:pStyle w:val="PL"/>
        <w:rPr>
          <w:rFonts w:cs="Courier New"/>
          <w:szCs w:val="16"/>
        </w:rPr>
      </w:pPr>
      <w:r w:rsidRPr="000A0A5F">
        <w:rPr>
          <w:rFonts w:cs="Courier New"/>
          <w:szCs w:val="16"/>
        </w:rPr>
        <w:t xml:space="preserve">        </w:t>
      </w:r>
      <w:r w:rsidR="00A4579E" w:rsidRPr="000A0A5F">
        <w:rPr>
          <w:lang w:eastAsia="zh-CN"/>
        </w:rPr>
        <w:t>direct</w:t>
      </w:r>
      <w:r w:rsidRPr="000A0A5F">
        <w:rPr>
          <w:lang w:eastAsia="zh-CN"/>
        </w:rPr>
        <w:t>NotifInd</w:t>
      </w:r>
      <w:r w:rsidRPr="000A0A5F">
        <w:rPr>
          <w:rFonts w:cs="Courier New"/>
          <w:szCs w:val="16"/>
        </w:rPr>
        <w:t>:</w:t>
      </w:r>
    </w:p>
    <w:p w:rsidR="00CB0DD7" w:rsidRPr="000A0A5F" w:rsidRDefault="00CB0DD7">
      <w:pPr>
        <w:pStyle w:val="PL"/>
        <w:rPr>
          <w:rFonts w:cs="Courier New"/>
          <w:szCs w:val="16"/>
        </w:rPr>
      </w:pPr>
      <w:r w:rsidRPr="000A0A5F">
        <w:rPr>
          <w:rFonts w:cs="Courier New"/>
          <w:szCs w:val="16"/>
        </w:rPr>
        <w:t xml:space="preserve">          type: boolean</w:t>
      </w:r>
    </w:p>
    <w:p w:rsidR="008F285C" w:rsidRPr="000A0A5F" w:rsidRDefault="008F285C" w:rsidP="008F285C">
      <w:pPr>
        <w:pStyle w:val="PL"/>
      </w:pPr>
      <w:r w:rsidRPr="000A0A5F">
        <w:t xml:space="preserve">          description: &gt;</w:t>
      </w:r>
    </w:p>
    <w:p w:rsidR="008F285C" w:rsidRPr="000A0A5F" w:rsidRDefault="008F285C" w:rsidP="008F285C">
      <w:pPr>
        <w:pStyle w:val="PL"/>
      </w:pPr>
      <w:r w:rsidRPr="000A0A5F">
        <w:t xml:space="preserve">            </w:t>
      </w:r>
      <w:r w:rsidRPr="000A0A5F">
        <w:rPr>
          <w:lang w:eastAsia="zh-CN"/>
        </w:rPr>
        <w:t>Indicates whether the direct event notification is requested (true) or not</w:t>
      </w:r>
      <w:r w:rsidRPr="000A0A5F">
        <w:rPr>
          <w:rFonts w:cs="Arial"/>
          <w:szCs w:val="18"/>
          <w:lang w:eastAsia="zh-CN"/>
        </w:rPr>
        <w:t xml:space="preserve"> (false).</w:t>
      </w:r>
    </w:p>
    <w:p w:rsidR="00CB0DD7" w:rsidRPr="000A0A5F" w:rsidRDefault="00CB0DD7">
      <w:pPr>
        <w:pStyle w:val="PL"/>
      </w:pPr>
      <w:r w:rsidRPr="000A0A5F">
        <w:t xml:space="preserve">        notificationDestination:</w:t>
      </w:r>
    </w:p>
    <w:p w:rsidR="00CB0DD7" w:rsidRPr="000A0A5F" w:rsidRDefault="00CB0DD7">
      <w:pPr>
        <w:pStyle w:val="PL"/>
      </w:pPr>
      <w:r w:rsidRPr="000A0A5F">
        <w:t xml:space="preserve">          $ref: 'TS29122_CommonData.yaml#/components/schemas/Link'</w:t>
      </w:r>
    </w:p>
    <w:p w:rsidR="00CB0DD7" w:rsidRPr="000A0A5F" w:rsidRDefault="00CB0DD7">
      <w:pPr>
        <w:pStyle w:val="PL"/>
      </w:pPr>
      <w:r w:rsidRPr="000A0A5F">
        <w:t xml:space="preserve">        </w:t>
      </w:r>
      <w:r w:rsidRPr="000A0A5F">
        <w:rPr>
          <w:lang w:eastAsia="zh-CN"/>
        </w:rPr>
        <w:t>tscQosReq</w:t>
      </w:r>
      <w:r w:rsidRPr="000A0A5F">
        <w:t>:</w:t>
      </w:r>
    </w:p>
    <w:p w:rsidR="00CB0DD7" w:rsidRPr="000A0A5F" w:rsidRDefault="00CB0DD7">
      <w:pPr>
        <w:pStyle w:val="PL"/>
      </w:pPr>
      <w:r w:rsidRPr="000A0A5F">
        <w:t xml:space="preserve">          $ref: '</w:t>
      </w:r>
      <w:r w:rsidRPr="000A0A5F">
        <w:rPr>
          <w:rFonts w:cs="Courier New"/>
          <w:szCs w:val="16"/>
          <w:lang w:val="en-US"/>
        </w:rPr>
        <w:t>#/components/schemas/</w:t>
      </w:r>
      <w:r w:rsidRPr="000A0A5F">
        <w:rPr>
          <w:lang w:eastAsia="zh-CN"/>
        </w:rPr>
        <w:t>TscQosRequirementRm</w:t>
      </w:r>
      <w:r w:rsidRPr="000A0A5F">
        <w:t>'</w:t>
      </w:r>
    </w:p>
    <w:p w:rsidR="000B003B" w:rsidRPr="000A0A5F" w:rsidRDefault="000B003B" w:rsidP="000B003B">
      <w:pPr>
        <w:pStyle w:val="PL"/>
        <w:rPr>
          <w:rFonts w:cs="Courier New"/>
          <w:szCs w:val="16"/>
        </w:rPr>
      </w:pPr>
      <w:r w:rsidRPr="000A0A5F">
        <w:rPr>
          <w:rFonts w:cs="Courier New"/>
          <w:szCs w:val="16"/>
        </w:rPr>
        <w:t xml:space="preserve">        l4sInfo:</w:t>
      </w:r>
    </w:p>
    <w:p w:rsidR="000B003B" w:rsidRPr="000A0A5F" w:rsidRDefault="000B003B" w:rsidP="000B003B">
      <w:pPr>
        <w:pStyle w:val="PL"/>
        <w:rPr>
          <w:rFonts w:cs="Courier New"/>
          <w:szCs w:val="16"/>
        </w:rPr>
      </w:pPr>
      <w:r w:rsidRPr="000A0A5F">
        <w:rPr>
          <w:rFonts w:cs="Courier New"/>
          <w:szCs w:val="16"/>
        </w:rPr>
        <w:t xml:space="preserve">          $ref: '</w:t>
      </w:r>
      <w:r w:rsidRPr="000A0A5F">
        <w:rPr>
          <w:rFonts w:cs="Courier New"/>
          <w:szCs w:val="16"/>
          <w:lang w:val="en-US"/>
        </w:rPr>
        <w:t>TS29514_</w:t>
      </w:r>
      <w:r w:rsidRPr="000A0A5F">
        <w:t>Npcf_PolicyAuthorization</w:t>
      </w:r>
      <w:r w:rsidRPr="000A0A5F">
        <w:rPr>
          <w:rFonts w:cs="Courier New"/>
          <w:szCs w:val="16"/>
          <w:lang w:val="en-US"/>
        </w:rPr>
        <w:t>.yaml</w:t>
      </w:r>
      <w:r w:rsidRPr="000A0A5F">
        <w:rPr>
          <w:rFonts w:cs="Courier New"/>
          <w:szCs w:val="16"/>
        </w:rPr>
        <w:t>#/components/schemas/UplinkDownlinkSupport'</w:t>
      </w:r>
    </w:p>
    <w:p w:rsidR="00C553C9" w:rsidRPr="000A0A5F" w:rsidRDefault="00C553C9" w:rsidP="00C553C9">
      <w:pPr>
        <w:pStyle w:val="PL"/>
      </w:pPr>
      <w:r w:rsidRPr="000A0A5F">
        <w:t xml:space="preserve">        events:</w:t>
      </w:r>
    </w:p>
    <w:p w:rsidR="003B38C3" w:rsidRPr="000A0A5F" w:rsidRDefault="00C553C9" w:rsidP="00C553C9">
      <w:pPr>
        <w:pStyle w:val="PL"/>
      </w:pPr>
      <w:r w:rsidRPr="000A0A5F">
        <w:t xml:space="preserve">          description: </w:t>
      </w:r>
      <w:r w:rsidR="003B38C3" w:rsidRPr="000A0A5F">
        <w:t>&gt;</w:t>
      </w:r>
    </w:p>
    <w:p w:rsidR="003B38C3" w:rsidRPr="000A0A5F" w:rsidRDefault="003B38C3" w:rsidP="00C553C9">
      <w:pPr>
        <w:pStyle w:val="PL"/>
        <w:rPr>
          <w:rFonts w:cs="Arial"/>
          <w:szCs w:val="18"/>
        </w:rPr>
      </w:pPr>
      <w:r w:rsidRPr="000A0A5F">
        <w:t xml:space="preserve">            </w:t>
      </w:r>
      <w:r w:rsidR="00C553C9" w:rsidRPr="000A0A5F">
        <w:t>Represents the updated list of user plane e</w:t>
      </w:r>
      <w:r w:rsidR="00C553C9" w:rsidRPr="000A0A5F">
        <w:rPr>
          <w:rFonts w:cs="Arial"/>
          <w:szCs w:val="18"/>
        </w:rPr>
        <w:t>vent(s) to which the SCS/AS requests to</w:t>
      </w:r>
    </w:p>
    <w:p w:rsidR="00C553C9" w:rsidRPr="000A0A5F" w:rsidRDefault="003B38C3" w:rsidP="00C553C9">
      <w:pPr>
        <w:pStyle w:val="PL"/>
      </w:pPr>
      <w:r w:rsidRPr="000A0A5F">
        <w:t xml:space="preserve">           </w:t>
      </w:r>
      <w:r w:rsidR="00C553C9" w:rsidRPr="000A0A5F">
        <w:rPr>
          <w:rFonts w:cs="Arial"/>
          <w:szCs w:val="18"/>
        </w:rPr>
        <w:t xml:space="preserve"> subscribe to.</w:t>
      </w:r>
    </w:p>
    <w:p w:rsidR="00C553C9" w:rsidRPr="000A0A5F" w:rsidRDefault="00C553C9" w:rsidP="00C553C9">
      <w:pPr>
        <w:pStyle w:val="PL"/>
      </w:pPr>
      <w:r w:rsidRPr="000A0A5F">
        <w:t xml:space="preserve">          type: array</w:t>
      </w:r>
    </w:p>
    <w:p w:rsidR="00C553C9" w:rsidRPr="000A0A5F" w:rsidRDefault="00C553C9" w:rsidP="00C553C9">
      <w:pPr>
        <w:pStyle w:val="PL"/>
      </w:pPr>
      <w:r w:rsidRPr="000A0A5F">
        <w:t xml:space="preserve">          items:</w:t>
      </w:r>
    </w:p>
    <w:p w:rsidR="00C553C9" w:rsidRPr="000A0A5F" w:rsidRDefault="00C553C9" w:rsidP="00C553C9">
      <w:pPr>
        <w:pStyle w:val="PL"/>
      </w:pPr>
      <w:r w:rsidRPr="000A0A5F">
        <w:t xml:space="preserve">            $ref: </w:t>
      </w:r>
      <w:r w:rsidRPr="000A0A5F">
        <w:rPr>
          <w:rFonts w:cs="Courier New"/>
          <w:szCs w:val="16"/>
          <w:lang w:val="en-US"/>
        </w:rPr>
        <w:t>'#/components/schemas/UserPlaneEvent'</w:t>
      </w:r>
    </w:p>
    <w:p w:rsidR="00C553C9" w:rsidRPr="000A0A5F" w:rsidRDefault="00C553C9" w:rsidP="00C553C9">
      <w:pPr>
        <w:pStyle w:val="PL"/>
      </w:pPr>
      <w:r w:rsidRPr="000A0A5F">
        <w:t xml:space="preserve">          minItems: 1</w:t>
      </w:r>
    </w:p>
    <w:p w:rsidR="0094286E" w:rsidRPr="000A0A5F" w:rsidRDefault="0094286E" w:rsidP="0094286E">
      <w:pPr>
        <w:pStyle w:val="PL"/>
        <w:rPr>
          <w:rFonts w:cs="Courier New"/>
          <w:szCs w:val="16"/>
        </w:rPr>
      </w:pPr>
      <w:r w:rsidRPr="000A0A5F">
        <w:rPr>
          <w:rFonts w:cs="Courier New"/>
          <w:szCs w:val="16"/>
        </w:rPr>
        <w:t xml:space="preserve">        multiModDatFlows:</w:t>
      </w:r>
    </w:p>
    <w:p w:rsidR="0094286E" w:rsidRPr="000A0A5F" w:rsidRDefault="0094286E" w:rsidP="0094286E">
      <w:pPr>
        <w:pStyle w:val="PL"/>
        <w:rPr>
          <w:rFonts w:cs="Courier New"/>
          <w:szCs w:val="16"/>
        </w:rPr>
      </w:pPr>
      <w:r w:rsidRPr="000A0A5F">
        <w:rPr>
          <w:rFonts w:cs="Courier New"/>
          <w:szCs w:val="16"/>
        </w:rPr>
        <w:t xml:space="preserve">          type: object</w:t>
      </w:r>
    </w:p>
    <w:p w:rsidR="0094286E" w:rsidRPr="000A0A5F" w:rsidRDefault="0094286E" w:rsidP="0094286E">
      <w:pPr>
        <w:pStyle w:val="PL"/>
        <w:rPr>
          <w:rFonts w:cs="Courier New"/>
          <w:szCs w:val="16"/>
        </w:rPr>
      </w:pPr>
      <w:r w:rsidRPr="000A0A5F">
        <w:rPr>
          <w:rFonts w:cs="Courier New"/>
          <w:szCs w:val="16"/>
        </w:rPr>
        <w:t xml:space="preserve">          additionalProperties:</w:t>
      </w:r>
    </w:p>
    <w:p w:rsidR="0094286E" w:rsidRPr="000A0A5F" w:rsidRDefault="0094286E" w:rsidP="0094286E">
      <w:pPr>
        <w:pStyle w:val="PL"/>
        <w:rPr>
          <w:rFonts w:cs="Courier New"/>
          <w:szCs w:val="16"/>
        </w:rPr>
      </w:pPr>
      <w:r w:rsidRPr="000A0A5F">
        <w:rPr>
          <w:rFonts w:cs="Courier New"/>
          <w:szCs w:val="16"/>
        </w:rPr>
        <w:t xml:space="preserve">            $ref: '#/components/schemas/AsSessionMediaComponentRm'</w:t>
      </w:r>
    </w:p>
    <w:p w:rsidR="0094286E" w:rsidRPr="000A0A5F" w:rsidRDefault="0094286E" w:rsidP="0094286E">
      <w:pPr>
        <w:pStyle w:val="PL"/>
      </w:pPr>
      <w:r w:rsidRPr="000A0A5F">
        <w:t xml:space="preserve">          minProperties: 1</w:t>
      </w:r>
    </w:p>
    <w:p w:rsidR="0094286E" w:rsidRPr="000A0A5F" w:rsidRDefault="0094286E" w:rsidP="0094286E">
      <w:pPr>
        <w:pStyle w:val="PL"/>
        <w:rPr>
          <w:rFonts w:cs="Courier New"/>
          <w:szCs w:val="16"/>
        </w:rPr>
      </w:pPr>
      <w:r w:rsidRPr="000A0A5F">
        <w:rPr>
          <w:rFonts w:cs="Courier New"/>
          <w:szCs w:val="16"/>
        </w:rPr>
        <w:t xml:space="preserve">          description: &gt;</w:t>
      </w:r>
    </w:p>
    <w:p w:rsidR="0094286E" w:rsidRPr="000A0A5F" w:rsidRDefault="0094286E" w:rsidP="0094286E">
      <w:pPr>
        <w:pStyle w:val="PL"/>
        <w:rPr>
          <w:rFonts w:cs="Arial"/>
          <w:szCs w:val="18"/>
        </w:rPr>
      </w:pPr>
      <w:r w:rsidRPr="000A0A5F">
        <w:rPr>
          <w:rFonts w:cs="Courier New"/>
          <w:szCs w:val="16"/>
        </w:rPr>
        <w:t xml:space="preserve">            Contains </w:t>
      </w:r>
      <w:r w:rsidRPr="000A0A5F">
        <w:rPr>
          <w:rFonts w:cs="Arial"/>
          <w:szCs w:val="18"/>
        </w:rPr>
        <w:t>media component data for a single-modal data flow(s).</w:t>
      </w:r>
    </w:p>
    <w:p w:rsidR="0094286E" w:rsidRPr="000A0A5F" w:rsidRDefault="0094286E" w:rsidP="0094286E">
      <w:pPr>
        <w:pStyle w:val="PL"/>
        <w:rPr>
          <w:rFonts w:cs="Courier New"/>
          <w:szCs w:val="16"/>
        </w:rPr>
      </w:pPr>
      <w:r w:rsidRPr="000A0A5F">
        <w:rPr>
          <w:rFonts w:cs="Arial"/>
          <w:szCs w:val="18"/>
        </w:rPr>
        <w:t xml:space="preserve">            The key of the map is the </w:t>
      </w:r>
      <w:r w:rsidRPr="000A0A5F">
        <w:t xml:space="preserve">medCompN </w:t>
      </w:r>
      <w:r w:rsidRPr="000A0A5F">
        <w:rPr>
          <w:rFonts w:cs="Arial"/>
          <w:szCs w:val="18"/>
        </w:rPr>
        <w:t>attribute</w:t>
      </w:r>
      <w:r w:rsidRPr="000A0A5F">
        <w:t>.</w:t>
      </w:r>
    </w:p>
    <w:p w:rsidR="00E47140" w:rsidRPr="000A0A5F" w:rsidRDefault="00E47140" w:rsidP="00E47140">
      <w:pPr>
        <w:pStyle w:val="PL"/>
        <w:rPr>
          <w:rFonts w:cs="Courier New"/>
          <w:szCs w:val="16"/>
        </w:rPr>
      </w:pPr>
      <w:r w:rsidRPr="000A0A5F">
        <w:rPr>
          <w:rFonts w:cs="Courier New"/>
          <w:szCs w:val="16"/>
        </w:rPr>
        <w:t xml:space="preserve">        </w:t>
      </w:r>
      <w:r w:rsidRPr="000A0A5F">
        <w:rPr>
          <w:rFonts w:hint="eastAsia"/>
          <w:lang w:eastAsia="zh-CN"/>
        </w:rPr>
        <w:t>p</w:t>
      </w:r>
      <w:r w:rsidRPr="000A0A5F">
        <w:rPr>
          <w:lang w:eastAsia="zh-CN"/>
        </w:rPr>
        <w:t>duSetQos</w:t>
      </w:r>
      <w:r w:rsidRPr="000A0A5F">
        <w:rPr>
          <w:rFonts w:cs="Courier New"/>
          <w:szCs w:val="16"/>
        </w:rPr>
        <w:t>:</w:t>
      </w:r>
    </w:p>
    <w:p w:rsidR="00E47140" w:rsidRPr="000A0A5F" w:rsidRDefault="00E47140" w:rsidP="00E47140">
      <w:pPr>
        <w:pStyle w:val="PL"/>
        <w:rPr>
          <w:rFonts w:cs="Courier New"/>
          <w:szCs w:val="16"/>
        </w:rPr>
      </w:pPr>
      <w:r w:rsidRPr="000A0A5F">
        <w:rPr>
          <w:rFonts w:cs="Courier New"/>
          <w:szCs w:val="16"/>
        </w:rPr>
        <w:t xml:space="preserve">          $ref: '</w:t>
      </w:r>
      <w:r w:rsidRPr="000A0A5F">
        <w:t>TS29571_CommonData.yaml</w:t>
      </w:r>
      <w:r w:rsidRPr="000A0A5F">
        <w:rPr>
          <w:rFonts w:cs="Courier New"/>
          <w:szCs w:val="16"/>
          <w:lang w:val="en-US"/>
        </w:rPr>
        <w:t>#/components/schemas/</w:t>
      </w:r>
      <w:r w:rsidRPr="000A0A5F">
        <w:rPr>
          <w:rFonts w:hint="eastAsia"/>
          <w:lang w:eastAsia="zh-CN"/>
        </w:rPr>
        <w:t>P</w:t>
      </w:r>
      <w:r w:rsidRPr="000A0A5F">
        <w:rPr>
          <w:lang w:eastAsia="zh-CN"/>
        </w:rPr>
        <w:t>duSetQosParaRm</w:t>
      </w:r>
      <w:r w:rsidRPr="000A0A5F">
        <w:rPr>
          <w:rFonts w:cs="Courier New"/>
          <w:szCs w:val="16"/>
        </w:rPr>
        <w:t>'</w:t>
      </w:r>
    </w:p>
    <w:p w:rsidR="00D26587" w:rsidRPr="000A0A5F" w:rsidRDefault="00D26587" w:rsidP="00D26587">
      <w:pPr>
        <w:pStyle w:val="PL"/>
      </w:pPr>
      <w:r w:rsidRPr="000A0A5F">
        <w:t xml:space="preserve">        </w:t>
      </w:r>
      <w:r w:rsidRPr="000A0A5F">
        <w:rPr>
          <w:rFonts w:hint="eastAsia"/>
          <w:lang w:eastAsia="zh-CN"/>
        </w:rPr>
        <w:t>r</w:t>
      </w:r>
      <w:r w:rsidRPr="000A0A5F">
        <w:rPr>
          <w:lang w:eastAsia="zh-CN"/>
        </w:rPr>
        <w:t>TLatencyInd</w:t>
      </w:r>
      <w:r w:rsidRPr="000A0A5F">
        <w:t>:</w:t>
      </w:r>
    </w:p>
    <w:p w:rsidR="00D26587" w:rsidRPr="000A0A5F" w:rsidRDefault="00D26587" w:rsidP="00D26587">
      <w:pPr>
        <w:pStyle w:val="PL"/>
      </w:pPr>
      <w:r w:rsidRPr="000A0A5F">
        <w:t xml:space="preserve">          type: boolean</w:t>
      </w:r>
    </w:p>
    <w:p w:rsidR="00D26587" w:rsidRPr="000A0A5F" w:rsidRDefault="00D26587" w:rsidP="00D26587">
      <w:pPr>
        <w:pStyle w:val="PL"/>
      </w:pPr>
      <w:r w:rsidRPr="000A0A5F">
        <w:t xml:space="preserve">          description: &gt;</w:t>
      </w:r>
    </w:p>
    <w:p w:rsidR="00D26587" w:rsidRPr="000A0A5F" w:rsidRDefault="00D26587" w:rsidP="00D26587">
      <w:pPr>
        <w:pStyle w:val="PL"/>
      </w:pPr>
      <w:r w:rsidRPr="000A0A5F">
        <w:t xml:space="preserve">            Indicates the service data flow needs to meet the Round-Trip (RT) latency requirement of</w:t>
      </w:r>
    </w:p>
    <w:p w:rsidR="00D26587" w:rsidRPr="000A0A5F" w:rsidRDefault="00D26587" w:rsidP="00D26587">
      <w:pPr>
        <w:pStyle w:val="PL"/>
      </w:pPr>
      <w:r w:rsidRPr="000A0A5F">
        <w:t xml:space="preserve">            the service, when it is included and set to "true".</w:t>
      </w:r>
    </w:p>
    <w:p w:rsidR="00D26587" w:rsidRPr="000A0A5F" w:rsidRDefault="00D26587" w:rsidP="00D26587">
      <w:pPr>
        <w:pStyle w:val="PL"/>
      </w:pPr>
      <w:r w:rsidRPr="000A0A5F">
        <w:t xml:space="preserve">            The default value is "false" if omitted.</w:t>
      </w:r>
    </w:p>
    <w:p w:rsidR="00302843" w:rsidRPr="000A0A5F" w:rsidRDefault="00302843" w:rsidP="00302843">
      <w:pPr>
        <w:pStyle w:val="PL"/>
        <w:rPr>
          <w:rFonts w:cs="Courier New"/>
          <w:szCs w:val="16"/>
        </w:rPr>
      </w:pPr>
      <w:r w:rsidRPr="000A0A5F">
        <w:rPr>
          <w:rFonts w:cs="Courier New"/>
          <w:szCs w:val="16"/>
        </w:rPr>
        <w:t xml:space="preserve">        </w:t>
      </w:r>
      <w:r w:rsidRPr="000A0A5F">
        <w:t>protoDesc:</w:t>
      </w:r>
    </w:p>
    <w:p w:rsidR="00302843" w:rsidRPr="000A0A5F" w:rsidRDefault="00302843" w:rsidP="00302843">
      <w:pPr>
        <w:pStyle w:val="PL"/>
        <w:rPr>
          <w:rFonts w:cs="Courier New"/>
          <w:szCs w:val="16"/>
        </w:rPr>
      </w:pPr>
      <w:r w:rsidRPr="000A0A5F">
        <w:rPr>
          <w:rFonts w:cs="Courier New"/>
          <w:szCs w:val="16"/>
        </w:rPr>
        <w:t xml:space="preserve">          $ref: '</w:t>
      </w:r>
      <w:r w:rsidRPr="000A0A5F">
        <w:rPr>
          <w:rFonts w:cs="Courier New"/>
          <w:szCs w:val="16"/>
          <w:lang w:val="en-US"/>
        </w:rPr>
        <w:t>TS29514_</w:t>
      </w:r>
      <w:r w:rsidRPr="000A0A5F">
        <w:t>Npcf_PolicyAuthorization</w:t>
      </w:r>
      <w:r w:rsidRPr="000A0A5F">
        <w:rPr>
          <w:rFonts w:cs="Courier New"/>
          <w:szCs w:val="16"/>
          <w:lang w:val="en-US"/>
        </w:rPr>
        <w:t>.yaml#</w:t>
      </w:r>
      <w:r w:rsidRPr="000A0A5F">
        <w:rPr>
          <w:rFonts w:cs="Courier New"/>
          <w:szCs w:val="16"/>
        </w:rPr>
        <w:t>/components/schemas/</w:t>
      </w:r>
      <w:r w:rsidRPr="000A0A5F">
        <w:t>ProtoDesc</w:t>
      </w:r>
      <w:r w:rsidRPr="000A0A5F">
        <w:rPr>
          <w:rFonts w:cs="Courier New"/>
          <w:szCs w:val="16"/>
        </w:rPr>
        <w:t>'</w:t>
      </w:r>
    </w:p>
    <w:p w:rsidR="000B0726" w:rsidRPr="000A0A5F" w:rsidRDefault="000B0726" w:rsidP="000B0726">
      <w:pPr>
        <w:pStyle w:val="PL"/>
      </w:pPr>
      <w:r w:rsidRPr="000A0A5F">
        <w:t xml:space="preserve">        </w:t>
      </w:r>
      <w:r w:rsidRPr="000A0A5F">
        <w:rPr>
          <w:lang w:eastAsia="zh-CN"/>
        </w:rPr>
        <w:t>periodInfo</w:t>
      </w:r>
      <w:r w:rsidRPr="000A0A5F">
        <w:t>:</w:t>
      </w:r>
    </w:p>
    <w:p w:rsidR="000B0726" w:rsidRPr="000A0A5F" w:rsidRDefault="000B0726" w:rsidP="000B0726">
      <w:pPr>
        <w:pStyle w:val="PL"/>
      </w:pPr>
      <w:r w:rsidRPr="000A0A5F">
        <w:t xml:space="preserve">          $ref: '</w:t>
      </w:r>
      <w:r w:rsidRPr="000A0A5F">
        <w:rPr>
          <w:rFonts w:cs="Courier New"/>
          <w:szCs w:val="16"/>
          <w:lang w:val="en-US"/>
        </w:rPr>
        <w:t>TS29514_</w:t>
      </w:r>
      <w:r w:rsidRPr="000A0A5F">
        <w:t>Npcf_PolicyAuthorization</w:t>
      </w:r>
      <w:r w:rsidRPr="000A0A5F">
        <w:rPr>
          <w:rFonts w:cs="Courier New"/>
          <w:szCs w:val="16"/>
          <w:lang w:val="en-US"/>
        </w:rPr>
        <w:t>.yaml</w:t>
      </w:r>
      <w:r w:rsidRPr="000A0A5F">
        <w:t>#/components/schemas/PeriodicityInfo'</w:t>
      </w:r>
    </w:p>
    <w:p w:rsidR="00D06780" w:rsidRPr="000A0A5F" w:rsidRDefault="00D06780" w:rsidP="00D06780">
      <w:pPr>
        <w:pStyle w:val="PL"/>
      </w:pPr>
      <w:r w:rsidRPr="000A0A5F">
        <w:t xml:space="preserve">        </w:t>
      </w:r>
      <w:r w:rsidRPr="000A0A5F">
        <w:rPr>
          <w:lang w:eastAsia="zh-CN"/>
        </w:rPr>
        <w:t>qosDuration</w:t>
      </w:r>
      <w:r w:rsidRPr="000A0A5F">
        <w:t>:</w:t>
      </w:r>
    </w:p>
    <w:p w:rsidR="00D06780" w:rsidRPr="000A0A5F" w:rsidRDefault="00D06780" w:rsidP="00D06780">
      <w:pPr>
        <w:pStyle w:val="PL"/>
      </w:pPr>
      <w:r w:rsidRPr="000A0A5F">
        <w:t xml:space="preserve">          $ref: '</w:t>
      </w:r>
      <w:r w:rsidRPr="000A0A5F">
        <w:rPr>
          <w:rFonts w:cs="Courier New"/>
          <w:szCs w:val="16"/>
        </w:rPr>
        <w:t>TS29571_CommonData.yaml</w:t>
      </w:r>
      <w:r w:rsidRPr="000A0A5F">
        <w:t>#/components/schemas/DurationSecRm'</w:t>
      </w:r>
    </w:p>
    <w:p w:rsidR="00D06780" w:rsidRPr="000A0A5F" w:rsidRDefault="00D06780" w:rsidP="00D06780">
      <w:pPr>
        <w:pStyle w:val="PL"/>
      </w:pPr>
      <w:r w:rsidRPr="000A0A5F">
        <w:t xml:space="preserve">        </w:t>
      </w:r>
      <w:r w:rsidRPr="000A0A5F">
        <w:rPr>
          <w:lang w:eastAsia="zh-CN"/>
        </w:rPr>
        <w:t>qosInactInt</w:t>
      </w:r>
      <w:r w:rsidRPr="000A0A5F">
        <w:t>:</w:t>
      </w:r>
    </w:p>
    <w:p w:rsidR="00D06780" w:rsidRPr="000A0A5F" w:rsidRDefault="00D06780" w:rsidP="00D06780">
      <w:pPr>
        <w:pStyle w:val="PL"/>
      </w:pPr>
      <w:r w:rsidRPr="000A0A5F">
        <w:t xml:space="preserve">          $ref: '</w:t>
      </w:r>
      <w:r w:rsidRPr="000A0A5F">
        <w:rPr>
          <w:rFonts w:cs="Courier New"/>
          <w:szCs w:val="16"/>
        </w:rPr>
        <w:t>TS29571_CommonData.yaml</w:t>
      </w:r>
      <w:r w:rsidRPr="000A0A5F">
        <w:t>#/components/schemas/DurationSecRm'</w:t>
      </w:r>
    </w:p>
    <w:p w:rsidR="004D0F38" w:rsidRPr="000A0A5F" w:rsidRDefault="004D0F38" w:rsidP="004D0F38">
      <w:pPr>
        <w:pStyle w:val="PL"/>
      </w:pPr>
      <w:r w:rsidRPr="000A0A5F">
        <w:t xml:space="preserve">        </w:t>
      </w:r>
      <w:r w:rsidRPr="000A0A5F">
        <w:rPr>
          <w:lang w:eastAsia="zh-CN"/>
        </w:rPr>
        <w:t>rtt</w:t>
      </w:r>
      <w:r w:rsidRPr="000A0A5F">
        <w:rPr>
          <w:rFonts w:hint="eastAsia"/>
          <w:lang w:eastAsia="zh-CN"/>
        </w:rPr>
        <w:t>Mon</w:t>
      </w:r>
      <w:r w:rsidRPr="000A0A5F">
        <w:t>:</w:t>
      </w:r>
    </w:p>
    <w:p w:rsidR="004D0F38" w:rsidRPr="000A0A5F" w:rsidRDefault="004D0F38" w:rsidP="004D0F38">
      <w:pPr>
        <w:pStyle w:val="PL"/>
      </w:pPr>
      <w:r w:rsidRPr="000A0A5F">
        <w:t xml:space="preserve">          $ref: '</w:t>
      </w:r>
      <w:r w:rsidRPr="000A0A5F">
        <w:rPr>
          <w:rFonts w:cs="Courier New"/>
          <w:szCs w:val="16"/>
          <w:lang w:val="en-US"/>
        </w:rPr>
        <w:t>#/components/schemas/</w:t>
      </w:r>
      <w:r w:rsidRPr="000A0A5F">
        <w:t>QosMonitoringInformationRm'</w:t>
      </w:r>
    </w:p>
    <w:p w:rsidR="00DC5B3F" w:rsidRPr="000A0A5F" w:rsidRDefault="00DC5B3F" w:rsidP="00DC5B3F">
      <w:pPr>
        <w:pStyle w:val="PL"/>
      </w:pPr>
      <w:r w:rsidRPr="000A0A5F">
        <w:t xml:space="preserve">        qosMonDatRate:</w:t>
      </w:r>
    </w:p>
    <w:p w:rsidR="00DC5B3F" w:rsidRPr="000A0A5F" w:rsidRDefault="00DC5B3F" w:rsidP="00DC5B3F">
      <w:pPr>
        <w:pStyle w:val="PL"/>
      </w:pPr>
      <w:r w:rsidRPr="000A0A5F">
        <w:t xml:space="preserve">          $ref: '</w:t>
      </w:r>
      <w:r w:rsidRPr="000A0A5F">
        <w:rPr>
          <w:rFonts w:cs="Courier New"/>
          <w:szCs w:val="16"/>
          <w:lang w:val="en-US"/>
        </w:rPr>
        <w:t>#/components/schemas/</w:t>
      </w:r>
      <w:r w:rsidRPr="000A0A5F">
        <w:t>QosMonitoringInformationRm'</w:t>
      </w:r>
    </w:p>
    <w:p w:rsidR="00DC5B3F" w:rsidRPr="000A0A5F" w:rsidRDefault="00DC5B3F" w:rsidP="00DC5B3F">
      <w:pPr>
        <w:pStyle w:val="PL"/>
        <w:rPr>
          <w:rFonts w:cs="Courier New"/>
          <w:szCs w:val="16"/>
        </w:rPr>
      </w:pPr>
      <w:r w:rsidRPr="000A0A5F">
        <w:rPr>
          <w:rFonts w:cs="Courier New"/>
          <w:szCs w:val="16"/>
        </w:rPr>
        <w:t xml:space="preserve">        </w:t>
      </w:r>
      <w:r w:rsidRPr="000A0A5F">
        <w:rPr>
          <w:lang w:eastAsia="zh-CN"/>
        </w:rPr>
        <w:t>avrgWndw</w:t>
      </w:r>
      <w:r w:rsidRPr="000A0A5F">
        <w:rPr>
          <w:rFonts w:cs="Courier New"/>
          <w:szCs w:val="16"/>
        </w:rPr>
        <w:t>:</w:t>
      </w:r>
    </w:p>
    <w:p w:rsidR="00DC5B3F" w:rsidRPr="000A0A5F" w:rsidRDefault="00DC5B3F" w:rsidP="00DC5B3F">
      <w:pPr>
        <w:pStyle w:val="PL"/>
        <w:rPr>
          <w:rFonts w:cs="Courier New"/>
          <w:szCs w:val="16"/>
        </w:rPr>
      </w:pPr>
      <w:r w:rsidRPr="000A0A5F">
        <w:rPr>
          <w:rFonts w:cs="Courier New"/>
          <w:szCs w:val="16"/>
        </w:rPr>
        <w:t xml:space="preserve">          $ref: '</w:t>
      </w:r>
      <w:r w:rsidRPr="000A0A5F">
        <w:t>TS29571_CommonData.yaml</w:t>
      </w:r>
      <w:r w:rsidRPr="000A0A5F">
        <w:rPr>
          <w:rFonts w:cs="Courier New"/>
          <w:szCs w:val="16"/>
        </w:rPr>
        <w:t>#</w:t>
      </w:r>
      <w:r w:rsidRPr="000A0A5F">
        <w:rPr>
          <w:rFonts w:cs="Courier New"/>
          <w:szCs w:val="16"/>
          <w:lang w:val="en-US"/>
        </w:rPr>
        <w:t>/components/schemas/</w:t>
      </w:r>
      <w:r w:rsidRPr="000A0A5F">
        <w:rPr>
          <w:lang w:eastAsia="zh-CN"/>
        </w:rPr>
        <w:t>AverWindowRm</w:t>
      </w:r>
      <w:r w:rsidRPr="000A0A5F">
        <w:rPr>
          <w:rFonts w:cs="Courier New"/>
          <w:szCs w:val="16"/>
        </w:rPr>
        <w:t>'</w:t>
      </w:r>
    </w:p>
    <w:p w:rsidR="003E0CDC" w:rsidRPr="000A0A5F" w:rsidRDefault="003E0CDC" w:rsidP="003E0CDC">
      <w:pPr>
        <w:pStyle w:val="PL"/>
      </w:pPr>
      <w:r w:rsidRPr="000A0A5F">
        <w:t xml:space="preserve">        </w:t>
      </w:r>
      <w:r w:rsidRPr="000A0A5F">
        <w:rPr>
          <w:lang w:eastAsia="zh-CN"/>
        </w:rPr>
        <w:t>qosMonConReq:</w:t>
      </w:r>
    </w:p>
    <w:p w:rsidR="003E0CDC" w:rsidRPr="000A0A5F" w:rsidRDefault="003E0CDC" w:rsidP="003E0CDC">
      <w:pPr>
        <w:pStyle w:val="PL"/>
      </w:pPr>
      <w:r w:rsidRPr="000A0A5F">
        <w:t xml:space="preserve">          $ref: '</w:t>
      </w:r>
      <w:r w:rsidRPr="000A0A5F">
        <w:rPr>
          <w:rFonts w:cs="Courier New"/>
          <w:szCs w:val="16"/>
          <w:lang w:val="en-US"/>
        </w:rPr>
        <w:t>#/components/schemas/</w:t>
      </w:r>
      <w:r w:rsidRPr="000A0A5F">
        <w:t>QosMonitoringInformationRm'</w:t>
      </w:r>
    </w:p>
    <w:p w:rsidR="00A66DE6" w:rsidRDefault="00A66DE6" w:rsidP="00A66DE6">
      <w:pPr>
        <w:pStyle w:val="PL"/>
      </w:pPr>
      <w:r>
        <w:t xml:space="preserve">        listUeConsDtRt:</w:t>
      </w:r>
    </w:p>
    <w:p w:rsidR="00A66DE6" w:rsidRDefault="00A66DE6" w:rsidP="00A66DE6">
      <w:pPr>
        <w:pStyle w:val="PL"/>
      </w:pPr>
      <w:r>
        <w:t xml:space="preserve">          type: array</w:t>
      </w:r>
    </w:p>
    <w:p w:rsidR="00A66DE6" w:rsidRDefault="00A66DE6" w:rsidP="00A66DE6">
      <w:pPr>
        <w:pStyle w:val="PL"/>
      </w:pPr>
      <w:r>
        <w:t xml:space="preserve">          items:</w:t>
      </w:r>
    </w:p>
    <w:p w:rsidR="00A66DE6" w:rsidRDefault="00A66DE6" w:rsidP="00A66DE6">
      <w:pPr>
        <w:pStyle w:val="PL"/>
        <w:rPr>
          <w:rFonts w:cs="Courier New"/>
          <w:szCs w:val="16"/>
        </w:rPr>
      </w:pPr>
      <w:r>
        <w:rPr>
          <w:rFonts w:cs="Courier New"/>
          <w:szCs w:val="16"/>
        </w:rPr>
        <w:t xml:space="preserve">            $ref: '</w:t>
      </w:r>
      <w:r w:rsidRPr="00852C4E">
        <w:rPr>
          <w:rFonts w:cs="Courier New"/>
          <w:szCs w:val="16"/>
        </w:rPr>
        <w:t>TS29571_CommonData.yaml</w:t>
      </w:r>
      <w:r>
        <w:rPr>
          <w:rFonts w:cs="Courier New"/>
          <w:szCs w:val="16"/>
          <w:lang w:val="en-US"/>
        </w:rPr>
        <w:t>#</w:t>
      </w:r>
      <w:r>
        <w:rPr>
          <w:rFonts w:cs="Courier New"/>
          <w:szCs w:val="16"/>
        </w:rPr>
        <w:t>/components/schemas/IpAddr'</w:t>
      </w:r>
    </w:p>
    <w:p w:rsidR="00A66DE6" w:rsidRDefault="00A66DE6" w:rsidP="00A66DE6">
      <w:pPr>
        <w:pStyle w:val="PL"/>
      </w:pPr>
      <w:r>
        <w:t xml:space="preserve">          minItems: 1</w:t>
      </w:r>
    </w:p>
    <w:p w:rsidR="00A66DE6" w:rsidRDefault="00A66DE6" w:rsidP="00A66DE6">
      <w:pPr>
        <w:pStyle w:val="PL"/>
      </w:pPr>
      <w:r>
        <w:t xml:space="preserve">          description: &gt;</w:t>
      </w:r>
    </w:p>
    <w:p w:rsidR="00A66DE6" w:rsidRPr="0012174A" w:rsidRDefault="00A66DE6" w:rsidP="00A66DE6">
      <w:pPr>
        <w:pStyle w:val="PL"/>
      </w:pPr>
      <w:r>
        <w:t xml:space="preserve">            </w:t>
      </w:r>
      <w:r w:rsidRPr="00176399">
        <w:rPr>
          <w:rFonts w:eastAsia="Times New Roman" w:cs="Arial"/>
          <w:szCs w:val="18"/>
        </w:rPr>
        <w:t xml:space="preserve">Identifies </w:t>
      </w:r>
      <w:r>
        <w:t>the list of UE addresses subject for Consolidated Data Rate monitoring.</w:t>
      </w:r>
    </w:p>
    <w:p w:rsidR="004E4A47" w:rsidRPr="000A0A5F" w:rsidRDefault="004E4A47">
      <w:pPr>
        <w:pStyle w:val="PL"/>
      </w:pPr>
    </w:p>
    <w:p w:rsidR="00CB0DD7" w:rsidRPr="000A0A5F" w:rsidRDefault="00CB0DD7">
      <w:pPr>
        <w:pStyle w:val="PL"/>
      </w:pPr>
      <w:r w:rsidRPr="000A0A5F">
        <w:t xml:space="preserve">    QosMonitoringInformation:</w:t>
      </w:r>
    </w:p>
    <w:p w:rsidR="00CB0DD7" w:rsidRPr="000A0A5F" w:rsidRDefault="00CB0DD7">
      <w:pPr>
        <w:pStyle w:val="PL"/>
      </w:pPr>
      <w:r w:rsidRPr="000A0A5F">
        <w:t xml:space="preserve">      description: Represents QoS monitoring information.</w:t>
      </w:r>
    </w:p>
    <w:p w:rsidR="00CB0DD7" w:rsidRPr="000A0A5F" w:rsidRDefault="00CB0DD7">
      <w:pPr>
        <w:pStyle w:val="PL"/>
      </w:pPr>
      <w:r w:rsidRPr="000A0A5F">
        <w:t xml:space="preserve">      type: object</w:t>
      </w:r>
    </w:p>
    <w:p w:rsidR="00CB0DD7" w:rsidRPr="000A0A5F" w:rsidRDefault="00CB0DD7">
      <w:pPr>
        <w:pStyle w:val="PL"/>
      </w:pPr>
      <w:r w:rsidRPr="000A0A5F">
        <w:t xml:space="preserve">      properties:</w:t>
      </w:r>
    </w:p>
    <w:p w:rsidR="00CB0DD7" w:rsidRPr="000A0A5F" w:rsidRDefault="00CB0DD7">
      <w:pPr>
        <w:pStyle w:val="PL"/>
        <w:rPr>
          <w:rFonts w:cs="Courier New"/>
          <w:szCs w:val="16"/>
        </w:rPr>
      </w:pPr>
      <w:r w:rsidRPr="000A0A5F">
        <w:rPr>
          <w:rFonts w:cs="Courier New"/>
          <w:szCs w:val="16"/>
        </w:rPr>
        <w:t xml:space="preserve">        reqQosMonParams:</w:t>
      </w:r>
    </w:p>
    <w:p w:rsidR="00CB0DD7" w:rsidRPr="000A0A5F" w:rsidRDefault="00CB0DD7">
      <w:pPr>
        <w:pStyle w:val="PL"/>
      </w:pPr>
      <w:r w:rsidRPr="000A0A5F">
        <w:t xml:space="preserve">          type: array</w:t>
      </w:r>
    </w:p>
    <w:p w:rsidR="00CB0DD7" w:rsidRPr="000A0A5F" w:rsidRDefault="00CB0DD7">
      <w:pPr>
        <w:pStyle w:val="PL"/>
        <w:rPr>
          <w:rFonts w:cs="Courier New"/>
          <w:szCs w:val="16"/>
        </w:rPr>
      </w:pPr>
      <w:r w:rsidRPr="000A0A5F">
        <w:t xml:space="preserve">          items:</w:t>
      </w:r>
    </w:p>
    <w:p w:rsidR="00CB0DD7" w:rsidRPr="000A0A5F" w:rsidRDefault="00CB0DD7">
      <w:pPr>
        <w:pStyle w:val="PL"/>
        <w:rPr>
          <w:rFonts w:cs="Courier New"/>
          <w:szCs w:val="16"/>
        </w:rPr>
      </w:pPr>
      <w:r w:rsidRPr="000A0A5F">
        <w:rPr>
          <w:rFonts w:cs="Courier New"/>
          <w:szCs w:val="16"/>
        </w:rPr>
        <w:t xml:space="preserve">          </w:t>
      </w:r>
      <w:r w:rsidRPr="000A0A5F">
        <w:t xml:space="preserve">  </w:t>
      </w:r>
      <w:r w:rsidRPr="000A0A5F">
        <w:rPr>
          <w:rFonts w:cs="Courier New"/>
          <w:szCs w:val="16"/>
        </w:rPr>
        <w:t>$ref: 'TS29512_Npcf_SMPolicyControl.yaml#/components/schemas/</w:t>
      </w:r>
      <w:r w:rsidRPr="000A0A5F">
        <w:rPr>
          <w:lang w:eastAsia="zh-CN"/>
        </w:rPr>
        <w:t>RequestedQosMonitoringParameter</w:t>
      </w:r>
      <w:r w:rsidRPr="000A0A5F">
        <w:rPr>
          <w:rFonts w:cs="Courier New"/>
          <w:szCs w:val="16"/>
        </w:rPr>
        <w:t>'</w:t>
      </w:r>
    </w:p>
    <w:p w:rsidR="00CB0DD7" w:rsidRPr="000A0A5F" w:rsidRDefault="00CB0DD7">
      <w:pPr>
        <w:pStyle w:val="PL"/>
        <w:rPr>
          <w:rFonts w:cs="Courier New"/>
          <w:szCs w:val="16"/>
        </w:rPr>
      </w:pPr>
      <w:r w:rsidRPr="000A0A5F">
        <w:t xml:space="preserve">          minItems: 1</w:t>
      </w:r>
    </w:p>
    <w:p w:rsidR="00CB0DD7" w:rsidRPr="000A0A5F" w:rsidRDefault="00CB0DD7">
      <w:pPr>
        <w:pStyle w:val="PL"/>
        <w:rPr>
          <w:rFonts w:cs="Courier New"/>
          <w:szCs w:val="16"/>
        </w:rPr>
      </w:pPr>
      <w:r w:rsidRPr="000A0A5F">
        <w:rPr>
          <w:rFonts w:cs="Courier New"/>
          <w:szCs w:val="16"/>
        </w:rPr>
        <w:t xml:space="preserve">        </w:t>
      </w:r>
      <w:r w:rsidRPr="000A0A5F">
        <w:rPr>
          <w:lang w:eastAsia="zh-CN"/>
        </w:rPr>
        <w:t>repFreqs</w:t>
      </w:r>
      <w:r w:rsidRPr="000A0A5F">
        <w:rPr>
          <w:rFonts w:cs="Courier New"/>
          <w:szCs w:val="16"/>
        </w:rPr>
        <w:t>:</w:t>
      </w:r>
    </w:p>
    <w:p w:rsidR="00CB0DD7" w:rsidRPr="000A0A5F" w:rsidRDefault="00CB0DD7">
      <w:pPr>
        <w:pStyle w:val="PL"/>
      </w:pPr>
      <w:r w:rsidRPr="000A0A5F">
        <w:t xml:space="preserve">          type: array</w:t>
      </w:r>
    </w:p>
    <w:p w:rsidR="00CB0DD7" w:rsidRPr="000A0A5F" w:rsidRDefault="00CB0DD7">
      <w:pPr>
        <w:pStyle w:val="PL"/>
        <w:rPr>
          <w:rFonts w:cs="Courier New"/>
          <w:szCs w:val="16"/>
        </w:rPr>
      </w:pPr>
      <w:r w:rsidRPr="000A0A5F">
        <w:t xml:space="preserve">          items:</w:t>
      </w:r>
    </w:p>
    <w:p w:rsidR="00CB0DD7" w:rsidRPr="000A0A5F" w:rsidRDefault="00CB0DD7">
      <w:pPr>
        <w:pStyle w:val="PL"/>
        <w:rPr>
          <w:rFonts w:cs="Courier New"/>
          <w:szCs w:val="16"/>
        </w:rPr>
      </w:pPr>
      <w:r w:rsidRPr="000A0A5F">
        <w:rPr>
          <w:rFonts w:cs="Courier New"/>
          <w:szCs w:val="16"/>
        </w:rPr>
        <w:t xml:space="preserve">          </w:t>
      </w:r>
      <w:r w:rsidRPr="000A0A5F">
        <w:t xml:space="preserve">  </w:t>
      </w:r>
      <w:r w:rsidRPr="000A0A5F">
        <w:rPr>
          <w:rFonts w:cs="Courier New"/>
          <w:szCs w:val="16"/>
        </w:rPr>
        <w:t>$ref: 'TS29512_Npcf_SMPolicyControl.yaml#/components/schemas/</w:t>
      </w:r>
      <w:r w:rsidRPr="000A0A5F">
        <w:rPr>
          <w:rFonts w:hint="eastAsia"/>
          <w:lang w:eastAsia="zh-CN"/>
        </w:rPr>
        <w:t>ReportingFrequency</w:t>
      </w:r>
      <w:r w:rsidRPr="000A0A5F">
        <w:rPr>
          <w:rFonts w:cs="Courier New"/>
          <w:szCs w:val="16"/>
        </w:rPr>
        <w:t>'</w:t>
      </w:r>
    </w:p>
    <w:p w:rsidR="00CB0DD7" w:rsidRPr="000A0A5F" w:rsidRDefault="00CB0DD7">
      <w:pPr>
        <w:pStyle w:val="PL"/>
      </w:pPr>
      <w:r w:rsidRPr="000A0A5F">
        <w:t xml:space="preserve">          minItems: 1</w:t>
      </w:r>
    </w:p>
    <w:p w:rsidR="00CB0DD7" w:rsidRPr="000A0A5F" w:rsidRDefault="00CB0DD7">
      <w:pPr>
        <w:pStyle w:val="PL"/>
      </w:pPr>
      <w:r w:rsidRPr="000A0A5F">
        <w:t xml:space="preserve">        </w:t>
      </w:r>
      <w:r w:rsidRPr="000A0A5F">
        <w:rPr>
          <w:lang w:eastAsia="zh-CN"/>
        </w:rPr>
        <w:t>repThreshDl</w:t>
      </w:r>
      <w:r w:rsidRPr="000A0A5F">
        <w:t>:</w:t>
      </w:r>
    </w:p>
    <w:p w:rsidR="00CB0DD7" w:rsidRPr="000A0A5F" w:rsidRDefault="00CB0DD7">
      <w:pPr>
        <w:pStyle w:val="PL"/>
      </w:pPr>
      <w:r w:rsidRPr="000A0A5F">
        <w:t xml:space="preserve">          $ref: '</w:t>
      </w:r>
      <w:r w:rsidRPr="000A0A5F">
        <w:rPr>
          <w:rFonts w:cs="Courier New"/>
          <w:szCs w:val="16"/>
        </w:rPr>
        <w:t>TS29571_CommonData.yaml</w:t>
      </w:r>
      <w:r w:rsidRPr="000A0A5F">
        <w:t>#/components/schemas/Uinteger'</w:t>
      </w:r>
    </w:p>
    <w:p w:rsidR="00CB0DD7" w:rsidRPr="000A0A5F" w:rsidRDefault="00CB0DD7">
      <w:pPr>
        <w:pStyle w:val="PL"/>
      </w:pPr>
      <w:r w:rsidRPr="000A0A5F">
        <w:t xml:space="preserve">        </w:t>
      </w:r>
      <w:r w:rsidRPr="000A0A5F">
        <w:rPr>
          <w:lang w:eastAsia="zh-CN"/>
        </w:rPr>
        <w:t>repThreshUl</w:t>
      </w:r>
      <w:r w:rsidRPr="000A0A5F">
        <w:t>:</w:t>
      </w:r>
    </w:p>
    <w:p w:rsidR="00CB0DD7" w:rsidRPr="000A0A5F" w:rsidRDefault="00CB0DD7">
      <w:pPr>
        <w:pStyle w:val="PL"/>
      </w:pPr>
      <w:r w:rsidRPr="000A0A5F">
        <w:t xml:space="preserve">          $ref: '</w:t>
      </w:r>
      <w:r w:rsidRPr="000A0A5F">
        <w:rPr>
          <w:rFonts w:cs="Courier New"/>
          <w:szCs w:val="16"/>
        </w:rPr>
        <w:t>TS29571_CommonData.yaml</w:t>
      </w:r>
      <w:r w:rsidRPr="000A0A5F">
        <w:t>#/components/schemas/Uinteger'</w:t>
      </w:r>
    </w:p>
    <w:p w:rsidR="00CB0DD7" w:rsidRPr="000A0A5F" w:rsidRDefault="00CB0DD7">
      <w:pPr>
        <w:pStyle w:val="PL"/>
      </w:pPr>
      <w:r w:rsidRPr="000A0A5F">
        <w:t xml:space="preserve">        </w:t>
      </w:r>
      <w:r w:rsidRPr="000A0A5F">
        <w:rPr>
          <w:lang w:eastAsia="zh-CN"/>
        </w:rPr>
        <w:t>repThreshRp</w:t>
      </w:r>
      <w:r w:rsidRPr="000A0A5F">
        <w:t>:</w:t>
      </w:r>
    </w:p>
    <w:p w:rsidR="00CB0DD7" w:rsidRPr="000A0A5F" w:rsidRDefault="00CB0DD7">
      <w:pPr>
        <w:pStyle w:val="PL"/>
      </w:pPr>
      <w:r w:rsidRPr="000A0A5F">
        <w:t xml:space="preserve">          $ref: '</w:t>
      </w:r>
      <w:r w:rsidRPr="000A0A5F">
        <w:rPr>
          <w:rFonts w:cs="Courier New"/>
          <w:szCs w:val="16"/>
        </w:rPr>
        <w:t>TS29571_CommonData.yaml</w:t>
      </w:r>
      <w:r w:rsidRPr="000A0A5F">
        <w:t>#/components/schemas/Uinteger'</w:t>
      </w:r>
    </w:p>
    <w:p w:rsidR="00883D85" w:rsidRPr="000A0A5F" w:rsidRDefault="00883D85" w:rsidP="00883D85">
      <w:pPr>
        <w:pStyle w:val="PL"/>
      </w:pPr>
      <w:r w:rsidRPr="000A0A5F">
        <w:t xml:space="preserve">        </w:t>
      </w:r>
      <w:r w:rsidRPr="000A0A5F">
        <w:rPr>
          <w:lang w:eastAsia="zh-CN"/>
        </w:rPr>
        <w:t>conThreshDl</w:t>
      </w:r>
      <w:r w:rsidRPr="000A0A5F">
        <w:t>:</w:t>
      </w:r>
    </w:p>
    <w:p w:rsidR="00883D85" w:rsidRPr="000A0A5F" w:rsidRDefault="00883D85" w:rsidP="00883D85">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rPr>
      </w:pPr>
      <w:r w:rsidRPr="000A0A5F">
        <w:rPr>
          <w:rFonts w:ascii="Courier New" w:hAnsi="Courier New" w:cs="Courier New"/>
          <w:sz w:val="16"/>
          <w:szCs w:val="16"/>
        </w:rPr>
        <w:t xml:space="preserve">          $ref: 'TS29571_CommonData.yaml#/components/schemas/Uinteger'</w:t>
      </w:r>
    </w:p>
    <w:p w:rsidR="00883D85" w:rsidRPr="000A0A5F" w:rsidRDefault="00883D85" w:rsidP="00883D85">
      <w:pPr>
        <w:pStyle w:val="PL"/>
      </w:pPr>
      <w:r w:rsidRPr="000A0A5F">
        <w:t xml:space="preserve">        </w:t>
      </w:r>
      <w:r w:rsidRPr="000A0A5F">
        <w:rPr>
          <w:lang w:eastAsia="zh-CN"/>
        </w:rPr>
        <w:t>conThreshUl</w:t>
      </w:r>
      <w:r w:rsidRPr="000A0A5F">
        <w:t>:</w:t>
      </w:r>
    </w:p>
    <w:p w:rsidR="00883D85" w:rsidRPr="000A0A5F" w:rsidRDefault="00883D85" w:rsidP="00883D85">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rPr>
      </w:pPr>
      <w:r w:rsidRPr="000A0A5F">
        <w:rPr>
          <w:rFonts w:ascii="Courier New" w:hAnsi="Courier New" w:cs="Courier New"/>
          <w:sz w:val="16"/>
          <w:szCs w:val="16"/>
        </w:rPr>
        <w:t xml:space="preserve">          $ref: 'TS29571_CommonData.yaml#/components/schemas/Uinteger'</w:t>
      </w:r>
    </w:p>
    <w:p w:rsidR="00CB0DD7" w:rsidRPr="000A0A5F" w:rsidRDefault="00CB0DD7">
      <w:pPr>
        <w:pStyle w:val="PL"/>
      </w:pPr>
      <w:r w:rsidRPr="000A0A5F">
        <w:t xml:space="preserve">        waitTime:</w:t>
      </w:r>
    </w:p>
    <w:p w:rsidR="00CB0DD7" w:rsidRPr="000A0A5F" w:rsidRDefault="00CB0DD7">
      <w:pPr>
        <w:pStyle w:val="PL"/>
      </w:pPr>
      <w:r w:rsidRPr="000A0A5F">
        <w:t xml:space="preserve">          $ref: '</w:t>
      </w:r>
      <w:r w:rsidRPr="000A0A5F">
        <w:rPr>
          <w:rFonts w:cs="Courier New"/>
          <w:szCs w:val="16"/>
        </w:rPr>
        <w:t>TS29571_CommonData.yaml</w:t>
      </w:r>
      <w:r w:rsidRPr="000A0A5F">
        <w:t>#/components/schemas/DurationSec'</w:t>
      </w:r>
    </w:p>
    <w:p w:rsidR="00CB0DD7" w:rsidRPr="000A0A5F" w:rsidRDefault="00CB0DD7">
      <w:pPr>
        <w:pStyle w:val="PL"/>
      </w:pPr>
      <w:r w:rsidRPr="000A0A5F">
        <w:t xml:space="preserve">        repPeriod:</w:t>
      </w:r>
    </w:p>
    <w:p w:rsidR="00CB0DD7" w:rsidRPr="000A0A5F" w:rsidRDefault="00CB0DD7">
      <w:pPr>
        <w:pStyle w:val="PL"/>
      </w:pPr>
      <w:r w:rsidRPr="000A0A5F">
        <w:t xml:space="preserve">          $ref: '</w:t>
      </w:r>
      <w:r w:rsidRPr="000A0A5F">
        <w:rPr>
          <w:rFonts w:cs="Courier New"/>
          <w:szCs w:val="16"/>
        </w:rPr>
        <w:t>TS29571_CommonData.yaml</w:t>
      </w:r>
      <w:r w:rsidRPr="000A0A5F">
        <w:t>#/components/schemas/DurationSec'</w:t>
      </w:r>
    </w:p>
    <w:p w:rsidR="00DC5B3F" w:rsidRPr="000A0A5F" w:rsidRDefault="00DC5B3F" w:rsidP="00DC5B3F">
      <w:pPr>
        <w:pStyle w:val="PL"/>
      </w:pPr>
      <w:r w:rsidRPr="000A0A5F">
        <w:t xml:space="preserve">        repThreshDatRateDl:</w:t>
      </w:r>
    </w:p>
    <w:p w:rsidR="00DC5B3F" w:rsidRPr="000A0A5F" w:rsidRDefault="00DC5B3F" w:rsidP="00DC5B3F">
      <w:pPr>
        <w:pStyle w:val="PL"/>
      </w:pPr>
      <w:r w:rsidRPr="000A0A5F">
        <w:t xml:space="preserve">          $ref: '</w:t>
      </w:r>
      <w:r w:rsidRPr="000A0A5F">
        <w:rPr>
          <w:rFonts w:cs="Courier New"/>
          <w:szCs w:val="16"/>
        </w:rPr>
        <w:t>TS29571_CommonData.yaml</w:t>
      </w:r>
      <w:r w:rsidRPr="000A0A5F">
        <w:t>#/components/schemas/BitRate'</w:t>
      </w:r>
    </w:p>
    <w:p w:rsidR="00DC5B3F" w:rsidRPr="000A0A5F" w:rsidRDefault="00DC5B3F" w:rsidP="00DC5B3F">
      <w:pPr>
        <w:pStyle w:val="PL"/>
      </w:pPr>
      <w:r w:rsidRPr="000A0A5F">
        <w:t xml:space="preserve">        repThreshDatRateUl:</w:t>
      </w:r>
    </w:p>
    <w:p w:rsidR="00A66DE6" w:rsidRDefault="00A66DE6" w:rsidP="00A66DE6">
      <w:pPr>
        <w:pStyle w:val="PL"/>
      </w:pPr>
      <w:r>
        <w:t xml:space="preserve">          $ref: '</w:t>
      </w:r>
      <w:r>
        <w:rPr>
          <w:rFonts w:cs="Courier New"/>
          <w:szCs w:val="16"/>
        </w:rPr>
        <w:t>TS29571_CommonData.yaml</w:t>
      </w:r>
      <w:r>
        <w:t>#/components/schemas/BitRate'</w:t>
      </w:r>
    </w:p>
    <w:p w:rsidR="00A66DE6" w:rsidRDefault="00A66DE6" w:rsidP="00A66DE6">
      <w:pPr>
        <w:pStyle w:val="PL"/>
      </w:pPr>
      <w:r>
        <w:t xml:space="preserve">        </w:t>
      </w:r>
      <w:r>
        <w:rPr>
          <w:lang w:eastAsia="zh-CN"/>
        </w:rPr>
        <w:t>consDataRateThrDl</w:t>
      </w:r>
      <w:r>
        <w:t>:</w:t>
      </w:r>
    </w:p>
    <w:p w:rsidR="00A66DE6" w:rsidRDefault="00A66DE6" w:rsidP="00A66DE6">
      <w:pPr>
        <w:pStyle w:val="PL"/>
      </w:pPr>
      <w:r>
        <w:t xml:space="preserve">          $ref: '</w:t>
      </w:r>
      <w:r>
        <w:rPr>
          <w:rFonts w:cs="Courier New"/>
          <w:szCs w:val="16"/>
        </w:rPr>
        <w:t>TS29571_CommonData.yaml</w:t>
      </w:r>
      <w:r>
        <w:t>#/components/schemas/BitRate'</w:t>
      </w:r>
    </w:p>
    <w:p w:rsidR="00A66DE6" w:rsidRDefault="00A66DE6" w:rsidP="00A66DE6">
      <w:pPr>
        <w:pStyle w:val="PL"/>
      </w:pPr>
      <w:r>
        <w:t xml:space="preserve">        </w:t>
      </w:r>
      <w:r>
        <w:rPr>
          <w:lang w:eastAsia="zh-CN"/>
        </w:rPr>
        <w:t>consDataRateThrUl</w:t>
      </w:r>
      <w:r>
        <w:t>:</w:t>
      </w:r>
    </w:p>
    <w:p w:rsidR="00A66DE6" w:rsidRPr="001D1F2B" w:rsidRDefault="00A66DE6" w:rsidP="00A66DE6">
      <w:pPr>
        <w:pStyle w:val="PL"/>
      </w:pPr>
      <w:r>
        <w:t xml:space="preserve">          $ref: 'TS29571_CommonData.yaml#/components/schemas/BitRate'</w:t>
      </w:r>
    </w:p>
    <w:p w:rsidR="00CB0DD7" w:rsidRPr="000A0A5F" w:rsidRDefault="00CB0DD7">
      <w:pPr>
        <w:pStyle w:val="PL"/>
      </w:pPr>
      <w:r w:rsidRPr="000A0A5F">
        <w:t xml:space="preserve">      required:</w:t>
      </w:r>
    </w:p>
    <w:p w:rsidR="00CB0DD7" w:rsidRPr="000A0A5F" w:rsidRDefault="00CB0DD7">
      <w:pPr>
        <w:pStyle w:val="PL"/>
      </w:pPr>
      <w:r w:rsidRPr="000A0A5F">
        <w:t xml:space="preserve">        - reqQosMonParams</w:t>
      </w:r>
    </w:p>
    <w:p w:rsidR="00CB0DD7" w:rsidRPr="000A0A5F" w:rsidRDefault="00CB0DD7">
      <w:pPr>
        <w:pStyle w:val="PL"/>
      </w:pPr>
      <w:r w:rsidRPr="000A0A5F">
        <w:t xml:space="preserve">        - repFreqs</w:t>
      </w:r>
    </w:p>
    <w:p w:rsidR="004E4A47" w:rsidRPr="000A0A5F" w:rsidRDefault="004E4A47">
      <w:pPr>
        <w:pStyle w:val="PL"/>
      </w:pPr>
    </w:p>
    <w:p w:rsidR="00CB0DD7" w:rsidRPr="000A0A5F" w:rsidRDefault="00CB0DD7">
      <w:pPr>
        <w:pStyle w:val="PL"/>
      </w:pPr>
      <w:r w:rsidRPr="000A0A5F">
        <w:t xml:space="preserve">    QosMonitoringInformationRm:</w:t>
      </w:r>
    </w:p>
    <w:p w:rsidR="004E4A47" w:rsidRPr="000A0A5F" w:rsidRDefault="00CB0DD7">
      <w:pPr>
        <w:pStyle w:val="PL"/>
      </w:pPr>
      <w:r w:rsidRPr="000A0A5F">
        <w:t xml:space="preserve">      description: </w:t>
      </w:r>
      <w:r w:rsidR="004E4A47" w:rsidRPr="000A0A5F">
        <w:t>&gt;</w:t>
      </w:r>
    </w:p>
    <w:p w:rsidR="004E4A47" w:rsidRPr="000A0A5F" w:rsidRDefault="004E4A47">
      <w:pPr>
        <w:pStyle w:val="PL"/>
      </w:pPr>
      <w:r w:rsidRPr="000A0A5F">
        <w:t xml:space="preserve">        </w:t>
      </w:r>
      <w:r w:rsidR="00CB0DD7" w:rsidRPr="000A0A5F">
        <w:t>Represents the same as the QosMonitoringInformation data type but with</w:t>
      </w:r>
    </w:p>
    <w:p w:rsidR="00CB0DD7" w:rsidRPr="000A0A5F" w:rsidRDefault="004E4A47">
      <w:pPr>
        <w:pStyle w:val="PL"/>
      </w:pPr>
      <w:r w:rsidRPr="000A0A5F">
        <w:t xml:space="preserve">       </w:t>
      </w:r>
      <w:r w:rsidR="00CB0DD7" w:rsidRPr="000A0A5F">
        <w:t xml:space="preserve"> the nullable:true property.</w:t>
      </w:r>
    </w:p>
    <w:p w:rsidR="00CB0DD7" w:rsidRPr="000A0A5F" w:rsidRDefault="00CB0DD7">
      <w:pPr>
        <w:pStyle w:val="PL"/>
      </w:pPr>
      <w:r w:rsidRPr="000A0A5F">
        <w:t xml:space="preserve">      type: object</w:t>
      </w:r>
    </w:p>
    <w:p w:rsidR="00CB0DD7" w:rsidRPr="000A0A5F" w:rsidRDefault="00CB0DD7">
      <w:pPr>
        <w:pStyle w:val="PL"/>
      </w:pPr>
      <w:r w:rsidRPr="000A0A5F">
        <w:t xml:space="preserve">      properties:</w:t>
      </w:r>
    </w:p>
    <w:p w:rsidR="00CB0DD7" w:rsidRPr="000A0A5F" w:rsidRDefault="00CB0DD7">
      <w:pPr>
        <w:pStyle w:val="PL"/>
        <w:rPr>
          <w:rFonts w:cs="Courier New"/>
          <w:szCs w:val="16"/>
        </w:rPr>
      </w:pPr>
      <w:r w:rsidRPr="000A0A5F">
        <w:rPr>
          <w:rFonts w:cs="Courier New"/>
          <w:szCs w:val="16"/>
        </w:rPr>
        <w:t xml:space="preserve">        reqQosMonParams:</w:t>
      </w:r>
    </w:p>
    <w:p w:rsidR="00CB0DD7" w:rsidRPr="000A0A5F" w:rsidRDefault="00CB0DD7">
      <w:pPr>
        <w:pStyle w:val="PL"/>
      </w:pPr>
      <w:r w:rsidRPr="000A0A5F">
        <w:t xml:space="preserve">          type: array</w:t>
      </w:r>
    </w:p>
    <w:p w:rsidR="00CB0DD7" w:rsidRPr="000A0A5F" w:rsidRDefault="00CB0DD7">
      <w:pPr>
        <w:pStyle w:val="PL"/>
        <w:rPr>
          <w:rFonts w:cs="Courier New"/>
          <w:szCs w:val="16"/>
        </w:rPr>
      </w:pPr>
      <w:r w:rsidRPr="000A0A5F">
        <w:t xml:space="preserve">          items:</w:t>
      </w:r>
    </w:p>
    <w:p w:rsidR="00CB0DD7" w:rsidRPr="000A0A5F" w:rsidRDefault="00CB0DD7">
      <w:pPr>
        <w:pStyle w:val="PL"/>
        <w:rPr>
          <w:rFonts w:cs="Courier New"/>
          <w:szCs w:val="16"/>
        </w:rPr>
      </w:pPr>
      <w:r w:rsidRPr="000A0A5F">
        <w:rPr>
          <w:rFonts w:cs="Courier New"/>
          <w:szCs w:val="16"/>
        </w:rPr>
        <w:t xml:space="preserve">          </w:t>
      </w:r>
      <w:r w:rsidRPr="000A0A5F">
        <w:t xml:space="preserve">  </w:t>
      </w:r>
      <w:r w:rsidRPr="000A0A5F">
        <w:rPr>
          <w:rFonts w:cs="Courier New"/>
          <w:szCs w:val="16"/>
        </w:rPr>
        <w:t>$ref: 'TS29512_Npcf_SMPolicyControl.yaml#/components/schemas/</w:t>
      </w:r>
      <w:r w:rsidRPr="000A0A5F">
        <w:rPr>
          <w:lang w:eastAsia="zh-CN"/>
        </w:rPr>
        <w:t>RequestedQosMonitoringParameter</w:t>
      </w:r>
      <w:r w:rsidRPr="000A0A5F">
        <w:rPr>
          <w:rFonts w:cs="Courier New"/>
          <w:szCs w:val="16"/>
        </w:rPr>
        <w:t>'</w:t>
      </w:r>
    </w:p>
    <w:p w:rsidR="00CB0DD7" w:rsidRPr="000A0A5F" w:rsidRDefault="00CB0DD7">
      <w:pPr>
        <w:pStyle w:val="PL"/>
        <w:rPr>
          <w:rFonts w:cs="Courier New"/>
          <w:szCs w:val="16"/>
        </w:rPr>
      </w:pPr>
      <w:r w:rsidRPr="000A0A5F">
        <w:t xml:space="preserve">          minItems: 1</w:t>
      </w:r>
    </w:p>
    <w:p w:rsidR="00CB0DD7" w:rsidRPr="000A0A5F" w:rsidRDefault="00CB0DD7">
      <w:pPr>
        <w:pStyle w:val="PL"/>
        <w:rPr>
          <w:rFonts w:cs="Courier New"/>
          <w:szCs w:val="16"/>
        </w:rPr>
      </w:pPr>
      <w:r w:rsidRPr="000A0A5F">
        <w:rPr>
          <w:rFonts w:cs="Courier New"/>
          <w:szCs w:val="16"/>
        </w:rPr>
        <w:t xml:space="preserve">        </w:t>
      </w:r>
      <w:r w:rsidRPr="000A0A5F">
        <w:rPr>
          <w:lang w:eastAsia="zh-CN"/>
        </w:rPr>
        <w:t>repFreqs</w:t>
      </w:r>
      <w:r w:rsidRPr="000A0A5F">
        <w:rPr>
          <w:rFonts w:cs="Courier New"/>
          <w:szCs w:val="16"/>
        </w:rPr>
        <w:t>:</w:t>
      </w:r>
    </w:p>
    <w:p w:rsidR="00CB0DD7" w:rsidRPr="000A0A5F" w:rsidRDefault="00CB0DD7">
      <w:pPr>
        <w:pStyle w:val="PL"/>
      </w:pPr>
      <w:r w:rsidRPr="000A0A5F">
        <w:t xml:space="preserve">          type: array</w:t>
      </w:r>
    </w:p>
    <w:p w:rsidR="00CB0DD7" w:rsidRPr="000A0A5F" w:rsidRDefault="00CB0DD7">
      <w:pPr>
        <w:pStyle w:val="PL"/>
        <w:rPr>
          <w:rFonts w:cs="Courier New"/>
          <w:szCs w:val="16"/>
        </w:rPr>
      </w:pPr>
      <w:r w:rsidRPr="000A0A5F">
        <w:t xml:space="preserve">          items:</w:t>
      </w:r>
    </w:p>
    <w:p w:rsidR="00CB0DD7" w:rsidRPr="000A0A5F" w:rsidRDefault="00CB0DD7">
      <w:pPr>
        <w:pStyle w:val="PL"/>
        <w:rPr>
          <w:rFonts w:cs="Courier New"/>
          <w:szCs w:val="16"/>
        </w:rPr>
      </w:pPr>
      <w:r w:rsidRPr="000A0A5F">
        <w:rPr>
          <w:rFonts w:cs="Courier New"/>
          <w:szCs w:val="16"/>
        </w:rPr>
        <w:t xml:space="preserve">          </w:t>
      </w:r>
      <w:r w:rsidRPr="000A0A5F">
        <w:t xml:space="preserve">  </w:t>
      </w:r>
      <w:r w:rsidRPr="000A0A5F">
        <w:rPr>
          <w:rFonts w:cs="Courier New"/>
          <w:szCs w:val="16"/>
        </w:rPr>
        <w:t>$ref: 'TS29512_Npcf_SMPolicyControl.yaml#/components/schemas/</w:t>
      </w:r>
      <w:r w:rsidRPr="000A0A5F">
        <w:rPr>
          <w:rFonts w:hint="eastAsia"/>
          <w:lang w:eastAsia="zh-CN"/>
        </w:rPr>
        <w:t>ReportingFrequency</w:t>
      </w:r>
      <w:r w:rsidRPr="000A0A5F">
        <w:rPr>
          <w:rFonts w:cs="Courier New"/>
          <w:szCs w:val="16"/>
        </w:rPr>
        <w:t>'</w:t>
      </w:r>
    </w:p>
    <w:p w:rsidR="00CB0DD7" w:rsidRPr="000A0A5F" w:rsidRDefault="00CB0DD7">
      <w:pPr>
        <w:pStyle w:val="PL"/>
      </w:pPr>
      <w:r w:rsidRPr="000A0A5F">
        <w:t xml:space="preserve">          minItems: 1</w:t>
      </w:r>
    </w:p>
    <w:p w:rsidR="00CB0DD7" w:rsidRPr="000A0A5F" w:rsidRDefault="00CB0DD7">
      <w:pPr>
        <w:pStyle w:val="PL"/>
      </w:pPr>
      <w:r w:rsidRPr="000A0A5F">
        <w:t xml:space="preserve">        </w:t>
      </w:r>
      <w:r w:rsidRPr="000A0A5F">
        <w:rPr>
          <w:lang w:eastAsia="zh-CN"/>
        </w:rPr>
        <w:t>repThreshDl</w:t>
      </w:r>
      <w:r w:rsidRPr="000A0A5F">
        <w:t>:</w:t>
      </w:r>
    </w:p>
    <w:p w:rsidR="00CB0DD7" w:rsidRPr="000A0A5F" w:rsidRDefault="00CB0DD7">
      <w:pPr>
        <w:pStyle w:val="PL"/>
      </w:pPr>
      <w:r w:rsidRPr="000A0A5F">
        <w:t xml:space="preserve">          $ref: '</w:t>
      </w:r>
      <w:r w:rsidRPr="000A0A5F">
        <w:rPr>
          <w:rFonts w:cs="Courier New"/>
          <w:szCs w:val="16"/>
        </w:rPr>
        <w:t>TS29571_CommonData.yaml</w:t>
      </w:r>
      <w:r w:rsidRPr="000A0A5F">
        <w:t>#/components/schemas/UintegerRm'</w:t>
      </w:r>
    </w:p>
    <w:p w:rsidR="00CB0DD7" w:rsidRPr="000A0A5F" w:rsidRDefault="00CB0DD7">
      <w:pPr>
        <w:pStyle w:val="PL"/>
      </w:pPr>
      <w:r w:rsidRPr="000A0A5F">
        <w:t xml:space="preserve">        </w:t>
      </w:r>
      <w:r w:rsidRPr="000A0A5F">
        <w:rPr>
          <w:lang w:eastAsia="zh-CN"/>
        </w:rPr>
        <w:t>repThreshUl</w:t>
      </w:r>
      <w:r w:rsidRPr="000A0A5F">
        <w:t>:</w:t>
      </w:r>
    </w:p>
    <w:p w:rsidR="00CB0DD7" w:rsidRPr="000A0A5F" w:rsidRDefault="00CB0DD7">
      <w:pPr>
        <w:pStyle w:val="PL"/>
      </w:pPr>
      <w:r w:rsidRPr="000A0A5F">
        <w:t xml:space="preserve">          $ref: '</w:t>
      </w:r>
      <w:r w:rsidRPr="000A0A5F">
        <w:rPr>
          <w:rFonts w:cs="Courier New"/>
          <w:szCs w:val="16"/>
        </w:rPr>
        <w:t>TS29571_CommonData.yaml</w:t>
      </w:r>
      <w:r w:rsidRPr="000A0A5F">
        <w:t>#/components/schemas/UintegerRm'</w:t>
      </w:r>
    </w:p>
    <w:p w:rsidR="00CB0DD7" w:rsidRPr="000A0A5F" w:rsidRDefault="00CB0DD7">
      <w:pPr>
        <w:pStyle w:val="PL"/>
      </w:pPr>
      <w:r w:rsidRPr="000A0A5F">
        <w:t xml:space="preserve">        </w:t>
      </w:r>
      <w:r w:rsidRPr="000A0A5F">
        <w:rPr>
          <w:lang w:eastAsia="zh-CN"/>
        </w:rPr>
        <w:t>repThreshRp</w:t>
      </w:r>
      <w:r w:rsidRPr="000A0A5F">
        <w:t>:</w:t>
      </w:r>
    </w:p>
    <w:p w:rsidR="00CB0DD7" w:rsidRPr="000A0A5F" w:rsidRDefault="00CB0DD7">
      <w:pPr>
        <w:pStyle w:val="PL"/>
      </w:pPr>
      <w:r w:rsidRPr="000A0A5F">
        <w:t xml:space="preserve">          $ref: '</w:t>
      </w:r>
      <w:r w:rsidRPr="000A0A5F">
        <w:rPr>
          <w:rFonts w:cs="Courier New"/>
          <w:szCs w:val="16"/>
        </w:rPr>
        <w:t>TS29571_CommonData.yaml</w:t>
      </w:r>
      <w:r w:rsidRPr="000A0A5F">
        <w:t>#/components/schemas/UintegerRm'</w:t>
      </w:r>
    </w:p>
    <w:p w:rsidR="00883D85" w:rsidRPr="000A0A5F" w:rsidRDefault="00883D85" w:rsidP="00883D85">
      <w:pPr>
        <w:pStyle w:val="PL"/>
      </w:pPr>
      <w:r w:rsidRPr="000A0A5F">
        <w:t xml:space="preserve">        </w:t>
      </w:r>
      <w:r w:rsidRPr="000A0A5F">
        <w:rPr>
          <w:lang w:eastAsia="zh-CN"/>
        </w:rPr>
        <w:t>conThreshDl</w:t>
      </w:r>
      <w:r w:rsidRPr="000A0A5F">
        <w:t>:</w:t>
      </w:r>
    </w:p>
    <w:p w:rsidR="00883D85" w:rsidRPr="000A0A5F" w:rsidRDefault="00883D85" w:rsidP="00883D85">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rPr>
      </w:pPr>
      <w:r w:rsidRPr="000A0A5F">
        <w:rPr>
          <w:rFonts w:ascii="Courier New" w:hAnsi="Courier New" w:cs="Courier New"/>
          <w:sz w:val="16"/>
          <w:szCs w:val="16"/>
        </w:rPr>
        <w:t xml:space="preserve">          $ref: 'TS29571_CommonData.yaml#/components/schemas/UintegerRm'</w:t>
      </w:r>
    </w:p>
    <w:p w:rsidR="00883D85" w:rsidRPr="000A0A5F" w:rsidRDefault="00883D85" w:rsidP="00883D85">
      <w:pPr>
        <w:pStyle w:val="PL"/>
      </w:pPr>
      <w:r w:rsidRPr="000A0A5F">
        <w:t xml:space="preserve">        </w:t>
      </w:r>
      <w:r w:rsidRPr="000A0A5F">
        <w:rPr>
          <w:lang w:eastAsia="zh-CN"/>
        </w:rPr>
        <w:t>conThreshUl</w:t>
      </w:r>
      <w:r w:rsidRPr="000A0A5F">
        <w:t>:</w:t>
      </w:r>
    </w:p>
    <w:p w:rsidR="00883D85" w:rsidRPr="000A0A5F" w:rsidRDefault="00883D85" w:rsidP="00883D85">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rPr>
      </w:pPr>
      <w:r w:rsidRPr="000A0A5F">
        <w:rPr>
          <w:rFonts w:ascii="Courier New" w:hAnsi="Courier New" w:cs="Courier New"/>
          <w:sz w:val="16"/>
          <w:szCs w:val="16"/>
        </w:rPr>
        <w:t xml:space="preserve">          $ref: 'TS29571_CommonData.yaml#/components/schemas/UintegerRm'</w:t>
      </w:r>
    </w:p>
    <w:p w:rsidR="00CB0DD7" w:rsidRPr="000A0A5F" w:rsidRDefault="00CB0DD7">
      <w:pPr>
        <w:pStyle w:val="PL"/>
      </w:pPr>
      <w:r w:rsidRPr="000A0A5F">
        <w:t xml:space="preserve">        waitTime:</w:t>
      </w:r>
    </w:p>
    <w:p w:rsidR="00CB0DD7" w:rsidRPr="000A0A5F" w:rsidRDefault="00CB0DD7">
      <w:pPr>
        <w:pStyle w:val="PL"/>
      </w:pPr>
      <w:r w:rsidRPr="000A0A5F">
        <w:t xml:space="preserve">          $ref: '</w:t>
      </w:r>
      <w:r w:rsidRPr="000A0A5F">
        <w:rPr>
          <w:rFonts w:cs="Courier New"/>
          <w:szCs w:val="16"/>
        </w:rPr>
        <w:t>TS29571_CommonData.yaml</w:t>
      </w:r>
      <w:r w:rsidRPr="000A0A5F">
        <w:t>#/components/schemas/DurationSecRm'</w:t>
      </w:r>
    </w:p>
    <w:p w:rsidR="00CB0DD7" w:rsidRPr="000A0A5F" w:rsidRDefault="00CB0DD7">
      <w:pPr>
        <w:pStyle w:val="PL"/>
      </w:pPr>
      <w:r w:rsidRPr="000A0A5F">
        <w:t xml:space="preserve">        repPeriod:</w:t>
      </w:r>
    </w:p>
    <w:p w:rsidR="00CB0DD7" w:rsidRPr="000A0A5F" w:rsidRDefault="00CB0DD7">
      <w:pPr>
        <w:pStyle w:val="PL"/>
      </w:pPr>
      <w:r w:rsidRPr="000A0A5F">
        <w:t xml:space="preserve">          $ref: '</w:t>
      </w:r>
      <w:r w:rsidRPr="000A0A5F">
        <w:rPr>
          <w:rFonts w:cs="Courier New"/>
          <w:szCs w:val="16"/>
        </w:rPr>
        <w:t>TS29571_CommonData.yaml</w:t>
      </w:r>
      <w:r w:rsidRPr="000A0A5F">
        <w:t>#/components/schemas/DurationSecRm'</w:t>
      </w:r>
    </w:p>
    <w:p w:rsidR="00DC5B3F" w:rsidRPr="000A0A5F" w:rsidRDefault="00DC5B3F" w:rsidP="00DC5B3F">
      <w:pPr>
        <w:pStyle w:val="PL"/>
      </w:pPr>
      <w:r w:rsidRPr="000A0A5F">
        <w:t xml:space="preserve">        repThreshDatRateDl:</w:t>
      </w:r>
    </w:p>
    <w:p w:rsidR="00DC5B3F" w:rsidRPr="000A0A5F" w:rsidRDefault="00DC5B3F" w:rsidP="00DC5B3F">
      <w:pPr>
        <w:pStyle w:val="PL"/>
      </w:pPr>
      <w:r w:rsidRPr="000A0A5F">
        <w:t xml:space="preserve">          $ref: '</w:t>
      </w:r>
      <w:r w:rsidRPr="000A0A5F">
        <w:rPr>
          <w:rFonts w:cs="Courier New"/>
          <w:szCs w:val="16"/>
        </w:rPr>
        <w:t>TS29571_CommonData.yaml</w:t>
      </w:r>
      <w:r w:rsidRPr="000A0A5F">
        <w:t>#/components/schemas/BitRateRm'</w:t>
      </w:r>
    </w:p>
    <w:p w:rsidR="00DC5B3F" w:rsidRPr="000A0A5F" w:rsidRDefault="00DC5B3F" w:rsidP="00DC5B3F">
      <w:pPr>
        <w:pStyle w:val="PL"/>
      </w:pPr>
      <w:r w:rsidRPr="000A0A5F">
        <w:t xml:space="preserve">        repThreshDatRateUl:</w:t>
      </w:r>
    </w:p>
    <w:p w:rsidR="00DC5B3F" w:rsidRPr="000A0A5F" w:rsidRDefault="00DC5B3F" w:rsidP="00DC5B3F">
      <w:pPr>
        <w:pStyle w:val="PL"/>
      </w:pPr>
      <w:r w:rsidRPr="000A0A5F">
        <w:t xml:space="preserve">          $ref: '</w:t>
      </w:r>
      <w:r w:rsidRPr="000A0A5F">
        <w:rPr>
          <w:rFonts w:cs="Courier New"/>
          <w:szCs w:val="16"/>
        </w:rPr>
        <w:t>TS29571_CommonData.yaml</w:t>
      </w:r>
      <w:r w:rsidRPr="000A0A5F">
        <w:t>#/components/schemas/BitRateRm'</w:t>
      </w:r>
    </w:p>
    <w:p w:rsidR="00A66DE6" w:rsidRDefault="00A66DE6" w:rsidP="00A66DE6">
      <w:pPr>
        <w:pStyle w:val="PL"/>
      </w:pPr>
      <w:r>
        <w:t xml:space="preserve">        </w:t>
      </w:r>
      <w:r>
        <w:rPr>
          <w:lang w:eastAsia="zh-CN"/>
        </w:rPr>
        <w:t>consDataRateThrDl</w:t>
      </w:r>
      <w:r>
        <w:t>:</w:t>
      </w:r>
    </w:p>
    <w:p w:rsidR="00A66DE6" w:rsidRDefault="00A66DE6" w:rsidP="00A66DE6">
      <w:pPr>
        <w:pStyle w:val="PL"/>
      </w:pPr>
      <w:r>
        <w:t xml:space="preserve">          $ref: '</w:t>
      </w:r>
      <w:r>
        <w:rPr>
          <w:rFonts w:cs="Courier New"/>
          <w:szCs w:val="16"/>
        </w:rPr>
        <w:t>TS29571_CommonData.yaml</w:t>
      </w:r>
      <w:r>
        <w:t>#/components/schemas/BitRateRm'</w:t>
      </w:r>
    </w:p>
    <w:p w:rsidR="00A66DE6" w:rsidRDefault="00A66DE6" w:rsidP="00A66DE6">
      <w:pPr>
        <w:pStyle w:val="PL"/>
      </w:pPr>
      <w:r>
        <w:t xml:space="preserve">        </w:t>
      </w:r>
      <w:r>
        <w:rPr>
          <w:lang w:eastAsia="zh-CN"/>
        </w:rPr>
        <w:t>consDataRateThrUl</w:t>
      </w:r>
      <w:r>
        <w:t>:</w:t>
      </w:r>
    </w:p>
    <w:p w:rsidR="00A66DE6" w:rsidRDefault="00A66DE6" w:rsidP="00A66DE6">
      <w:pPr>
        <w:pStyle w:val="PL"/>
      </w:pPr>
      <w:r>
        <w:t xml:space="preserve">          $ref: 'TS29571_CommonData.yaml#/components/schemas/BitRateRm'</w:t>
      </w:r>
    </w:p>
    <w:p w:rsidR="004E4A47" w:rsidRPr="000A0A5F" w:rsidRDefault="004E4A47">
      <w:pPr>
        <w:pStyle w:val="PL"/>
      </w:pPr>
    </w:p>
    <w:p w:rsidR="00CB0DD7" w:rsidRPr="000A0A5F" w:rsidRDefault="00CB0DD7">
      <w:pPr>
        <w:pStyle w:val="PL"/>
      </w:pPr>
      <w:r w:rsidRPr="000A0A5F">
        <w:t xml:space="preserve">    QosMonitoringReport:</w:t>
      </w:r>
    </w:p>
    <w:p w:rsidR="00CB0DD7" w:rsidRPr="000A0A5F" w:rsidRDefault="00CB0DD7">
      <w:pPr>
        <w:pStyle w:val="PL"/>
      </w:pPr>
      <w:r w:rsidRPr="000A0A5F">
        <w:t xml:space="preserve">      description: Represents a QoS monitoring report.</w:t>
      </w:r>
    </w:p>
    <w:p w:rsidR="00CB0DD7" w:rsidRPr="000A0A5F" w:rsidRDefault="00CB0DD7">
      <w:pPr>
        <w:pStyle w:val="PL"/>
      </w:pPr>
      <w:r w:rsidRPr="000A0A5F">
        <w:t xml:space="preserve">      type: object</w:t>
      </w:r>
    </w:p>
    <w:p w:rsidR="00CB0DD7" w:rsidRPr="000A0A5F" w:rsidRDefault="00CB0DD7">
      <w:pPr>
        <w:pStyle w:val="PL"/>
      </w:pPr>
      <w:r w:rsidRPr="000A0A5F">
        <w:t xml:space="preserve">      properties:</w:t>
      </w:r>
    </w:p>
    <w:p w:rsidR="00CB0DD7" w:rsidRPr="000A0A5F" w:rsidRDefault="00CB0DD7">
      <w:pPr>
        <w:pStyle w:val="PL"/>
      </w:pPr>
      <w:r w:rsidRPr="000A0A5F">
        <w:t xml:space="preserve">        ulDelays:</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$ref: '</w:t>
      </w:r>
      <w:r w:rsidRPr="000A0A5F">
        <w:rPr>
          <w:rFonts w:cs="Courier New"/>
          <w:szCs w:val="16"/>
        </w:rPr>
        <w:t>TS29571_CommonData.yaml</w:t>
      </w:r>
      <w:r w:rsidRPr="000A0A5F">
        <w:t>#/components/schemas/Uinteger'</w:t>
      </w:r>
    </w:p>
    <w:p w:rsidR="00CB0DD7" w:rsidRPr="000A0A5F" w:rsidRDefault="00CB0DD7">
      <w:pPr>
        <w:pStyle w:val="PL"/>
      </w:pPr>
      <w:r w:rsidRPr="000A0A5F">
        <w:t xml:space="preserve">          minItems: 1</w:t>
      </w:r>
    </w:p>
    <w:p w:rsidR="00CB0DD7" w:rsidRPr="000A0A5F" w:rsidRDefault="00CB0DD7">
      <w:pPr>
        <w:pStyle w:val="PL"/>
      </w:pPr>
      <w:r w:rsidRPr="000A0A5F">
        <w:t xml:space="preserve">        dlDelays:</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$ref: '</w:t>
      </w:r>
      <w:r w:rsidRPr="000A0A5F">
        <w:rPr>
          <w:rFonts w:cs="Courier New"/>
          <w:szCs w:val="16"/>
        </w:rPr>
        <w:t>TS29571_CommonData.yaml</w:t>
      </w:r>
      <w:r w:rsidRPr="000A0A5F">
        <w:t>#/components/schemas/Uinteger'</w:t>
      </w:r>
    </w:p>
    <w:p w:rsidR="00CB0DD7" w:rsidRPr="000A0A5F" w:rsidRDefault="00CB0DD7">
      <w:pPr>
        <w:pStyle w:val="PL"/>
      </w:pPr>
      <w:r w:rsidRPr="000A0A5F">
        <w:t xml:space="preserve">          minItems: 1</w:t>
      </w:r>
    </w:p>
    <w:p w:rsidR="00CB0DD7" w:rsidRPr="000A0A5F" w:rsidRDefault="00CB0DD7">
      <w:pPr>
        <w:pStyle w:val="PL"/>
      </w:pPr>
      <w:r w:rsidRPr="000A0A5F">
        <w:t xml:space="preserve">        rtDelays:</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$ref: '</w:t>
      </w:r>
      <w:r w:rsidRPr="000A0A5F">
        <w:rPr>
          <w:rFonts w:cs="Courier New"/>
          <w:szCs w:val="16"/>
        </w:rPr>
        <w:t>TS29571_CommonData.yaml</w:t>
      </w:r>
      <w:r w:rsidRPr="000A0A5F">
        <w:t>#/components/schemas/Uinteger'</w:t>
      </w:r>
    </w:p>
    <w:p w:rsidR="00CB0DD7" w:rsidRPr="000A0A5F" w:rsidRDefault="00CB0DD7">
      <w:pPr>
        <w:pStyle w:val="PL"/>
      </w:pPr>
      <w:r w:rsidRPr="000A0A5F">
        <w:t xml:space="preserve">          minItems: 1</w:t>
      </w:r>
    </w:p>
    <w:p w:rsidR="00497590" w:rsidRPr="000A0A5F" w:rsidRDefault="00497590" w:rsidP="00497590">
      <w:pPr>
        <w:pStyle w:val="PL"/>
      </w:pPr>
      <w:r w:rsidRPr="000A0A5F">
        <w:t xml:space="preserve">        pdmf:</w:t>
      </w:r>
    </w:p>
    <w:p w:rsidR="00497590" w:rsidRPr="000A0A5F" w:rsidRDefault="00497590" w:rsidP="00497590">
      <w:pPr>
        <w:pStyle w:val="PL"/>
      </w:pPr>
      <w:r w:rsidRPr="000A0A5F">
        <w:t xml:space="preserve">          type: boolean</w:t>
      </w:r>
    </w:p>
    <w:p w:rsidR="004E4A47" w:rsidRPr="000A0A5F" w:rsidRDefault="00497590" w:rsidP="00497590">
      <w:pPr>
        <w:pStyle w:val="PL"/>
      </w:pPr>
      <w:r w:rsidRPr="000A0A5F">
        <w:t xml:space="preserve">          description: </w:t>
      </w:r>
      <w:r w:rsidRPr="000A0A5F">
        <w:rPr>
          <w:color w:val="000000"/>
          <w:lang w:val="en-US" w:eastAsia="fr-FR"/>
        </w:rPr>
        <w:t>Represents the packet delay measurement failure indicator.</w:t>
      </w:r>
    </w:p>
    <w:p w:rsidR="00DC5B3F" w:rsidRPr="000A0A5F" w:rsidRDefault="00DC5B3F" w:rsidP="00DC5B3F">
      <w:pPr>
        <w:pStyle w:val="PL"/>
      </w:pPr>
      <w:r w:rsidRPr="000A0A5F">
        <w:t xml:space="preserve">        ulDataRate:</w:t>
      </w:r>
    </w:p>
    <w:p w:rsidR="00DC5B3F" w:rsidRPr="000A0A5F" w:rsidRDefault="00DC5B3F" w:rsidP="00DC5B3F">
      <w:pPr>
        <w:pStyle w:val="PL"/>
      </w:pPr>
      <w:r w:rsidRPr="000A0A5F">
        <w:t xml:space="preserve">          $ref: '</w:t>
      </w:r>
      <w:r w:rsidRPr="000A0A5F">
        <w:rPr>
          <w:rFonts w:cs="Courier New"/>
          <w:szCs w:val="16"/>
        </w:rPr>
        <w:t>TS29571_CommonData.yaml</w:t>
      </w:r>
      <w:r w:rsidRPr="000A0A5F">
        <w:t>#/components/schemas/BitRate'</w:t>
      </w:r>
    </w:p>
    <w:p w:rsidR="000F14B9" w:rsidRDefault="000F14B9" w:rsidP="000F14B9">
      <w:pPr>
        <w:pStyle w:val="PL"/>
      </w:pPr>
      <w:r>
        <w:t xml:space="preserve">        dlDataRate:</w:t>
      </w:r>
    </w:p>
    <w:p w:rsidR="000F14B9" w:rsidRDefault="000F14B9" w:rsidP="000F14B9">
      <w:pPr>
        <w:pStyle w:val="PL"/>
      </w:pPr>
      <w:r>
        <w:t xml:space="preserve">          $ref: '</w:t>
      </w:r>
      <w:r>
        <w:rPr>
          <w:rFonts w:cs="Courier New"/>
          <w:szCs w:val="16"/>
        </w:rPr>
        <w:t>TS29571_CommonData.yaml</w:t>
      </w:r>
      <w:r>
        <w:t>#/components/schemas/BitRate'</w:t>
      </w:r>
    </w:p>
    <w:p w:rsidR="000F14B9" w:rsidRDefault="000F14B9" w:rsidP="000F14B9">
      <w:pPr>
        <w:pStyle w:val="PL"/>
      </w:pPr>
      <w:r>
        <w:t xml:space="preserve">        ulAggrDataRate:</w:t>
      </w:r>
    </w:p>
    <w:p w:rsidR="000F14B9" w:rsidRDefault="000F14B9" w:rsidP="000F14B9">
      <w:pPr>
        <w:pStyle w:val="PL"/>
      </w:pPr>
      <w:r>
        <w:t xml:space="preserve">          $ref: '</w:t>
      </w:r>
      <w:r>
        <w:rPr>
          <w:rFonts w:cs="Courier New"/>
          <w:szCs w:val="16"/>
        </w:rPr>
        <w:t>TS29571_CommonData.yaml</w:t>
      </w:r>
      <w:r>
        <w:t>#/components/schemas/BitRate'</w:t>
      </w:r>
    </w:p>
    <w:p w:rsidR="000F14B9" w:rsidRDefault="000F14B9" w:rsidP="000F14B9">
      <w:pPr>
        <w:pStyle w:val="PL"/>
      </w:pPr>
      <w:r>
        <w:t xml:space="preserve">        dlAggrDataRate:</w:t>
      </w:r>
    </w:p>
    <w:p w:rsidR="000F14B9" w:rsidRPr="00861E28" w:rsidRDefault="000F14B9" w:rsidP="000F14B9">
      <w:pPr>
        <w:pStyle w:val="PL"/>
      </w:pPr>
      <w:r>
        <w:t xml:space="preserve">          $ref: '</w:t>
      </w:r>
      <w:r>
        <w:rPr>
          <w:rFonts w:cs="Courier New"/>
          <w:szCs w:val="16"/>
        </w:rPr>
        <w:t>TS29571_CommonData.yaml</w:t>
      </w:r>
      <w:r>
        <w:t>#/components/schemas/BitRate'</w:t>
      </w:r>
    </w:p>
    <w:p w:rsidR="00997DE0" w:rsidRPr="000A0A5F" w:rsidRDefault="00997DE0" w:rsidP="00997DE0">
      <w:pPr>
        <w:pStyle w:val="PL"/>
      </w:pPr>
      <w:r w:rsidRPr="000A0A5F">
        <w:t xml:space="preserve">        ulConInfo:</w:t>
      </w:r>
    </w:p>
    <w:p w:rsidR="00997DE0" w:rsidRPr="000A0A5F" w:rsidRDefault="00997DE0" w:rsidP="00997DE0">
      <w:pPr>
        <w:pStyle w:val="PL"/>
      </w:pPr>
      <w:r w:rsidRPr="000A0A5F">
        <w:t xml:space="preserve">          $ref: '</w:t>
      </w:r>
      <w:r w:rsidRPr="000A0A5F">
        <w:rPr>
          <w:rFonts w:cs="Courier New"/>
          <w:szCs w:val="16"/>
        </w:rPr>
        <w:t>TS29571_CommonData.yaml</w:t>
      </w:r>
      <w:r w:rsidRPr="000A0A5F">
        <w:t>#/components/schemas/Uinteger'</w:t>
      </w:r>
    </w:p>
    <w:p w:rsidR="00997DE0" w:rsidRPr="000A0A5F" w:rsidRDefault="00997DE0" w:rsidP="00997DE0">
      <w:pPr>
        <w:pStyle w:val="PL"/>
        <w:rPr>
          <w:rFonts w:cs="Courier New"/>
          <w:szCs w:val="16"/>
        </w:rPr>
      </w:pPr>
      <w:r w:rsidRPr="000A0A5F">
        <w:rPr>
          <w:rFonts w:cs="Courier New"/>
          <w:szCs w:val="16"/>
        </w:rPr>
        <w:t xml:space="preserve">        </w:t>
      </w:r>
      <w:r w:rsidRPr="000A0A5F">
        <w:t>dlConInfo</w:t>
      </w:r>
      <w:r w:rsidRPr="000A0A5F">
        <w:rPr>
          <w:rFonts w:cs="Courier New"/>
          <w:szCs w:val="16"/>
        </w:rPr>
        <w:t>:</w:t>
      </w:r>
    </w:p>
    <w:p w:rsidR="00997DE0" w:rsidRPr="000A0A5F" w:rsidRDefault="00997DE0" w:rsidP="00997DE0">
      <w:pPr>
        <w:pStyle w:val="PL"/>
      </w:pPr>
      <w:r w:rsidRPr="000A0A5F">
        <w:t xml:space="preserve">          $ref: '</w:t>
      </w:r>
      <w:r w:rsidRPr="000A0A5F">
        <w:rPr>
          <w:rFonts w:cs="Courier New"/>
          <w:szCs w:val="16"/>
        </w:rPr>
        <w:t>TS29571_CommonData.yaml</w:t>
      </w:r>
      <w:r w:rsidRPr="000A0A5F">
        <w:t>#/components/schemas/Uinteger'</w:t>
      </w:r>
    </w:p>
    <w:p w:rsidR="00997DE0" w:rsidRPr="000A0A5F" w:rsidRDefault="00997DE0" w:rsidP="00997DE0">
      <w:pPr>
        <w:pStyle w:val="PL"/>
      </w:pPr>
      <w:r w:rsidRPr="000A0A5F">
        <w:t xml:space="preserve">        </w:t>
      </w:r>
      <w:r w:rsidRPr="000A0A5F">
        <w:rPr>
          <w:rFonts w:hint="eastAsia"/>
          <w:lang w:val="en-US" w:eastAsia="zh-CN"/>
        </w:rPr>
        <w:t>ci</w:t>
      </w:r>
      <w:r w:rsidRPr="000A0A5F">
        <w:t>mf:</w:t>
      </w:r>
    </w:p>
    <w:p w:rsidR="00997DE0" w:rsidRPr="000A0A5F" w:rsidRDefault="00997DE0" w:rsidP="00997DE0">
      <w:pPr>
        <w:pStyle w:val="PL"/>
        <w:tabs>
          <w:tab w:val="clear" w:pos="384"/>
          <w:tab w:val="left" w:pos="385"/>
        </w:tabs>
      </w:pPr>
      <w:r w:rsidRPr="000A0A5F">
        <w:t xml:space="preserve">          type: boolean</w:t>
      </w:r>
    </w:p>
    <w:p w:rsidR="00997DE0" w:rsidRPr="000A0A5F" w:rsidRDefault="00997DE0" w:rsidP="00997DE0">
      <w:pPr>
        <w:pStyle w:val="PL"/>
        <w:rPr>
          <w:rFonts w:cs="Courier New"/>
          <w:szCs w:val="16"/>
        </w:rPr>
      </w:pPr>
      <w:r w:rsidRPr="000A0A5F">
        <w:t xml:space="preserve">          description: </w:t>
      </w:r>
      <w:r w:rsidRPr="000A0A5F">
        <w:rPr>
          <w:rFonts w:cs="Courier New"/>
          <w:szCs w:val="16"/>
        </w:rPr>
        <w:t>&gt;</w:t>
      </w:r>
    </w:p>
    <w:p w:rsidR="00997DE0" w:rsidRPr="000A0A5F" w:rsidRDefault="00997DE0" w:rsidP="00997DE0">
      <w:pPr>
        <w:pStyle w:val="PL"/>
        <w:tabs>
          <w:tab w:val="clear" w:pos="384"/>
          <w:tab w:val="left" w:pos="385"/>
        </w:tabs>
      </w:pPr>
      <w:r w:rsidRPr="000A0A5F">
        <w:t xml:space="preserve">            Represents the </w:t>
      </w:r>
      <w:r w:rsidRPr="000A0A5F">
        <w:rPr>
          <w:rFonts w:hint="eastAsia"/>
        </w:rPr>
        <w:t>congestion information</w:t>
      </w:r>
      <w:r w:rsidRPr="000A0A5F">
        <w:t xml:space="preserve"> measurement failure indicator. When set to </w:t>
      </w:r>
      <w:r w:rsidRPr="000A0A5F">
        <w:rPr>
          <w:noProof/>
        </w:rPr>
        <w:t>"</w:t>
      </w:r>
      <w:r w:rsidRPr="000A0A5F">
        <w:t>true</w:t>
      </w:r>
      <w:r w:rsidRPr="000A0A5F">
        <w:rPr>
          <w:noProof/>
        </w:rPr>
        <w:t>"</w:t>
      </w:r>
      <w:r w:rsidRPr="000A0A5F">
        <w:t>,</w:t>
      </w:r>
    </w:p>
    <w:p w:rsidR="00997DE0" w:rsidRPr="000A0A5F" w:rsidRDefault="00997DE0" w:rsidP="00997DE0">
      <w:pPr>
        <w:pStyle w:val="PL"/>
        <w:tabs>
          <w:tab w:val="clear" w:pos="384"/>
          <w:tab w:val="left" w:pos="385"/>
        </w:tabs>
      </w:pPr>
      <w:r w:rsidRPr="000A0A5F">
        <w:t xml:space="preserve">            it indicates that a </w:t>
      </w:r>
      <w:r w:rsidRPr="000A0A5F">
        <w:rPr>
          <w:rFonts w:hint="eastAsia"/>
        </w:rPr>
        <w:t>congestion information</w:t>
      </w:r>
      <w:r w:rsidRPr="000A0A5F">
        <w:t xml:space="preserve"> failure has occurred. Default value is false</w:t>
      </w:r>
    </w:p>
    <w:p w:rsidR="00997DE0" w:rsidRPr="000A0A5F" w:rsidRDefault="00997DE0" w:rsidP="00997DE0">
      <w:pPr>
        <w:pStyle w:val="PL"/>
        <w:tabs>
          <w:tab w:val="clear" w:pos="384"/>
          <w:tab w:val="left" w:pos="385"/>
        </w:tabs>
      </w:pPr>
      <w:r w:rsidRPr="000A0A5F">
        <w:t xml:space="preserve">            if omitted.</w:t>
      </w:r>
    </w:p>
    <w:p w:rsidR="00497590" w:rsidRPr="000A0A5F" w:rsidRDefault="00497590">
      <w:pPr>
        <w:pStyle w:val="PL"/>
      </w:pPr>
    </w:p>
    <w:p w:rsidR="00CB0DD7" w:rsidRPr="000A0A5F" w:rsidRDefault="00CB0DD7">
      <w:pPr>
        <w:pStyle w:val="PL"/>
      </w:pPr>
      <w:r w:rsidRPr="000A0A5F">
        <w:t xml:space="preserve">    UserPlaneNotificationData:</w:t>
      </w:r>
    </w:p>
    <w:p w:rsidR="00CB0DD7" w:rsidRPr="000A0A5F" w:rsidRDefault="00CB0DD7">
      <w:pPr>
        <w:pStyle w:val="PL"/>
      </w:pPr>
      <w:r w:rsidRPr="000A0A5F">
        <w:t xml:space="preserve">      description: Represents the parameters to be conveyed in a user plane event(s) notification.</w:t>
      </w:r>
    </w:p>
    <w:p w:rsidR="00CB0DD7" w:rsidRPr="000A0A5F" w:rsidRDefault="00CB0DD7">
      <w:pPr>
        <w:pStyle w:val="PL"/>
      </w:pPr>
      <w:r w:rsidRPr="000A0A5F">
        <w:t xml:space="preserve">      type: object</w:t>
      </w:r>
    </w:p>
    <w:p w:rsidR="00CB0DD7" w:rsidRPr="000A0A5F" w:rsidRDefault="00CB0DD7">
      <w:pPr>
        <w:pStyle w:val="PL"/>
      </w:pPr>
      <w:r w:rsidRPr="000A0A5F">
        <w:t xml:space="preserve">      properties:</w:t>
      </w:r>
    </w:p>
    <w:p w:rsidR="00CB0DD7" w:rsidRPr="000A0A5F" w:rsidRDefault="00CB0DD7">
      <w:pPr>
        <w:pStyle w:val="PL"/>
      </w:pPr>
      <w:r w:rsidRPr="000A0A5F">
        <w:t xml:space="preserve">        transaction:</w:t>
      </w:r>
    </w:p>
    <w:p w:rsidR="00CB0DD7" w:rsidRPr="000A0A5F" w:rsidRDefault="00CB0DD7">
      <w:pPr>
        <w:pStyle w:val="PL"/>
      </w:pPr>
      <w:r w:rsidRPr="000A0A5F">
        <w:t xml:space="preserve">          $ref: 'TS29122_CommonData.yaml#/components/schemas/Link'</w:t>
      </w:r>
    </w:p>
    <w:p w:rsidR="00CB0DD7" w:rsidRPr="000A0A5F" w:rsidRDefault="00CB0DD7">
      <w:pPr>
        <w:pStyle w:val="PL"/>
      </w:pPr>
      <w:r w:rsidRPr="000A0A5F">
        <w:t xml:space="preserve">        eventReports:</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$ref: '#/components/schemas/UserPlaneEventReport'</w:t>
      </w:r>
    </w:p>
    <w:p w:rsidR="00CB0DD7" w:rsidRPr="000A0A5F" w:rsidRDefault="00CB0DD7">
      <w:pPr>
        <w:pStyle w:val="PL"/>
      </w:pPr>
      <w:r w:rsidRPr="000A0A5F">
        <w:t xml:space="preserve">          minItems: 1</w:t>
      </w:r>
    </w:p>
    <w:p w:rsidR="00CB0DD7" w:rsidRPr="000A0A5F" w:rsidRDefault="00CB0DD7">
      <w:pPr>
        <w:pStyle w:val="PL"/>
      </w:pPr>
      <w:r w:rsidRPr="000A0A5F">
        <w:t xml:space="preserve">          description: Contains the reported event and applicable information</w:t>
      </w:r>
    </w:p>
    <w:p w:rsidR="00CB0DD7" w:rsidRPr="000A0A5F" w:rsidRDefault="00CB0DD7">
      <w:pPr>
        <w:pStyle w:val="PL"/>
      </w:pPr>
      <w:r w:rsidRPr="000A0A5F">
        <w:t xml:space="preserve">      required:</w:t>
      </w:r>
    </w:p>
    <w:p w:rsidR="00CB0DD7" w:rsidRPr="000A0A5F" w:rsidRDefault="00CB0DD7">
      <w:pPr>
        <w:pStyle w:val="PL"/>
      </w:pPr>
      <w:r w:rsidRPr="000A0A5F">
        <w:t xml:space="preserve">        - transaction</w:t>
      </w:r>
    </w:p>
    <w:p w:rsidR="00CB0DD7" w:rsidRPr="000A0A5F" w:rsidRDefault="00CB0DD7">
      <w:pPr>
        <w:pStyle w:val="PL"/>
      </w:pPr>
      <w:r w:rsidRPr="000A0A5F">
        <w:t xml:space="preserve">        - eventReports</w:t>
      </w:r>
    </w:p>
    <w:p w:rsidR="004E4A47" w:rsidRPr="000A0A5F" w:rsidRDefault="004E4A47">
      <w:pPr>
        <w:pStyle w:val="PL"/>
      </w:pPr>
    </w:p>
    <w:p w:rsidR="00CB0DD7" w:rsidRPr="000A0A5F" w:rsidRDefault="00CB0DD7">
      <w:pPr>
        <w:pStyle w:val="PL"/>
      </w:pPr>
      <w:r w:rsidRPr="000A0A5F">
        <w:t xml:space="preserve">    UserPlaneEventReport:</w:t>
      </w:r>
    </w:p>
    <w:p w:rsidR="00CB0DD7" w:rsidRPr="000A0A5F" w:rsidRDefault="00CB0DD7">
      <w:pPr>
        <w:pStyle w:val="PL"/>
      </w:pPr>
      <w:r w:rsidRPr="000A0A5F">
        <w:t xml:space="preserve">      description: Represents an event report for user plane.</w:t>
      </w:r>
    </w:p>
    <w:p w:rsidR="00CB0DD7" w:rsidRPr="000A0A5F" w:rsidRDefault="00CB0DD7">
      <w:pPr>
        <w:pStyle w:val="PL"/>
      </w:pPr>
      <w:r w:rsidRPr="000A0A5F">
        <w:t xml:space="preserve">      type: object</w:t>
      </w:r>
    </w:p>
    <w:p w:rsidR="00CB0DD7" w:rsidRPr="000A0A5F" w:rsidRDefault="00CB0DD7">
      <w:pPr>
        <w:pStyle w:val="PL"/>
      </w:pPr>
      <w:r w:rsidRPr="000A0A5F">
        <w:t xml:space="preserve">      properties:</w:t>
      </w:r>
    </w:p>
    <w:p w:rsidR="00CB0DD7" w:rsidRPr="000A0A5F" w:rsidRDefault="00CB0DD7">
      <w:pPr>
        <w:pStyle w:val="PL"/>
      </w:pPr>
      <w:r w:rsidRPr="000A0A5F">
        <w:t xml:space="preserve">        event:</w:t>
      </w:r>
    </w:p>
    <w:p w:rsidR="00CB0DD7" w:rsidRPr="000A0A5F" w:rsidRDefault="00CB0DD7">
      <w:pPr>
        <w:pStyle w:val="PL"/>
      </w:pPr>
      <w:r w:rsidRPr="000A0A5F">
        <w:t xml:space="preserve">          $ref: '#/components/schemas/UserPlaneEvent'</w:t>
      </w:r>
    </w:p>
    <w:p w:rsidR="00CB0DD7" w:rsidRPr="000A0A5F" w:rsidRDefault="00CB0DD7">
      <w:pPr>
        <w:pStyle w:val="PL"/>
      </w:pPr>
      <w:r w:rsidRPr="000A0A5F">
        <w:t xml:space="preserve">        accumulatedUsage:</w:t>
      </w:r>
    </w:p>
    <w:p w:rsidR="00CB0DD7" w:rsidRPr="000A0A5F" w:rsidRDefault="00CB0DD7">
      <w:pPr>
        <w:pStyle w:val="PL"/>
      </w:pPr>
      <w:r w:rsidRPr="000A0A5F">
        <w:t xml:space="preserve">          $ref: 'TS29122_CommonData.yaml#/components/schemas/AccumulatedUsage'</w:t>
      </w:r>
    </w:p>
    <w:p w:rsidR="00CB0DD7" w:rsidRPr="000A0A5F" w:rsidRDefault="00CB0DD7">
      <w:pPr>
        <w:pStyle w:val="PL"/>
      </w:pPr>
      <w:r w:rsidRPr="000A0A5F">
        <w:t xml:space="preserve">        flowIds:</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type: integer</w:t>
      </w:r>
    </w:p>
    <w:p w:rsidR="00CB0DD7" w:rsidRPr="000A0A5F" w:rsidRDefault="00CB0DD7">
      <w:pPr>
        <w:pStyle w:val="PL"/>
      </w:pPr>
      <w:r w:rsidRPr="000A0A5F">
        <w:t xml:space="preserve">          minItems: 1</w:t>
      </w:r>
    </w:p>
    <w:p w:rsidR="00817026" w:rsidRPr="000A0A5F" w:rsidRDefault="00CB0DD7" w:rsidP="00817026">
      <w:pPr>
        <w:pStyle w:val="PL"/>
      </w:pPr>
      <w:r w:rsidRPr="000A0A5F">
        <w:t xml:space="preserve">          description: </w:t>
      </w:r>
      <w:r w:rsidR="00817026" w:rsidRPr="000A0A5F">
        <w:t>&gt;</w:t>
      </w:r>
    </w:p>
    <w:p w:rsidR="00CA7059" w:rsidRPr="000A0A5F" w:rsidRDefault="00817026" w:rsidP="00817026">
      <w:pPr>
        <w:pStyle w:val="PL"/>
      </w:pPr>
      <w:r w:rsidRPr="000A0A5F">
        <w:t xml:space="preserve">            </w:t>
      </w:r>
      <w:r w:rsidR="00CB0DD7" w:rsidRPr="000A0A5F">
        <w:t xml:space="preserve">Identifies the </w:t>
      </w:r>
      <w:r w:rsidRPr="000A0A5F">
        <w:t>affected</w:t>
      </w:r>
      <w:r w:rsidR="00CB0DD7" w:rsidRPr="000A0A5F">
        <w:t xml:space="preserve"> flows that were sent during event subscription</w:t>
      </w:r>
      <w:r w:rsidR="00CA7059" w:rsidRPr="000A0A5F">
        <w:t>. It might be</w:t>
      </w:r>
    </w:p>
    <w:p w:rsidR="00CB0DD7" w:rsidRPr="000A0A5F" w:rsidRDefault="00CA7059">
      <w:pPr>
        <w:pStyle w:val="PL"/>
      </w:pPr>
      <w:r w:rsidRPr="000A0A5F">
        <w:t xml:space="preserve">        </w:t>
      </w:r>
      <w:r w:rsidR="00EB427C" w:rsidRPr="000A0A5F">
        <w:t xml:space="preserve">  </w:t>
      </w:r>
      <w:r w:rsidRPr="000A0A5F">
        <w:t xml:space="preserve">  omitted when the reported event applies to all the flows sent during the subscription.</w:t>
      </w:r>
    </w:p>
    <w:p w:rsidR="0094286E" w:rsidRPr="000A0A5F" w:rsidRDefault="0094286E" w:rsidP="0094286E">
      <w:pPr>
        <w:pStyle w:val="PL"/>
      </w:pPr>
      <w:r w:rsidRPr="000A0A5F">
        <w:t xml:space="preserve">        multiModFlows:</w:t>
      </w:r>
    </w:p>
    <w:p w:rsidR="0094286E" w:rsidRPr="000A0A5F" w:rsidRDefault="0094286E" w:rsidP="0094286E">
      <w:pPr>
        <w:pStyle w:val="PL"/>
      </w:pPr>
      <w:r w:rsidRPr="000A0A5F">
        <w:t xml:space="preserve">          type: array</w:t>
      </w:r>
    </w:p>
    <w:p w:rsidR="0094286E" w:rsidRPr="000A0A5F" w:rsidRDefault="0094286E" w:rsidP="0094286E">
      <w:pPr>
        <w:pStyle w:val="PL"/>
      </w:pPr>
      <w:r w:rsidRPr="000A0A5F">
        <w:t xml:space="preserve">          items:</w:t>
      </w:r>
    </w:p>
    <w:p w:rsidR="0094286E" w:rsidRPr="000A0A5F" w:rsidRDefault="0094286E" w:rsidP="0094286E">
      <w:pPr>
        <w:pStyle w:val="PL"/>
      </w:pPr>
      <w:r w:rsidRPr="000A0A5F">
        <w:t xml:space="preserve">            $ref: '#/components/schemas/MultiModalFlows'</w:t>
      </w:r>
    </w:p>
    <w:p w:rsidR="0094286E" w:rsidRPr="000A0A5F" w:rsidRDefault="0094286E" w:rsidP="0094286E">
      <w:pPr>
        <w:pStyle w:val="PL"/>
      </w:pPr>
      <w:r w:rsidRPr="000A0A5F">
        <w:t xml:space="preserve">          minItems: 1</w:t>
      </w:r>
    </w:p>
    <w:p w:rsidR="0094286E" w:rsidRPr="000A0A5F" w:rsidRDefault="0094286E" w:rsidP="0094286E">
      <w:pPr>
        <w:pStyle w:val="PL"/>
      </w:pPr>
      <w:r w:rsidRPr="000A0A5F">
        <w:t xml:space="preserve">          description: &gt;</w:t>
      </w:r>
    </w:p>
    <w:p w:rsidR="0094286E" w:rsidRPr="000A0A5F" w:rsidRDefault="0094286E" w:rsidP="0094286E">
      <w:pPr>
        <w:pStyle w:val="PL"/>
      </w:pPr>
      <w:r w:rsidRPr="000A0A5F">
        <w:t xml:space="preserve">            Identifies the </w:t>
      </w:r>
      <w:r w:rsidRPr="000A0A5F">
        <w:rPr>
          <w:lang w:eastAsia="zh-CN"/>
        </w:rPr>
        <w:t>the flow filters for the single-modal data flows that</w:t>
      </w:r>
      <w:r w:rsidRPr="000A0A5F">
        <w:t>were sent</w:t>
      </w:r>
    </w:p>
    <w:p w:rsidR="0094286E" w:rsidRPr="000A0A5F" w:rsidRDefault="0094286E" w:rsidP="0094286E">
      <w:pPr>
        <w:pStyle w:val="PL"/>
      </w:pPr>
      <w:r w:rsidRPr="000A0A5F">
        <w:t xml:space="preserve">            during event subscription.</w:t>
      </w:r>
    </w:p>
    <w:p w:rsidR="0094286E" w:rsidRPr="000A0A5F" w:rsidRDefault="0094286E" w:rsidP="0094286E">
      <w:pPr>
        <w:pStyle w:val="PL"/>
      </w:pPr>
      <w:r w:rsidRPr="000A0A5F">
        <w:t xml:space="preserve">            It may be omitted when the reported event applies to all the</w:t>
      </w:r>
    </w:p>
    <w:p w:rsidR="0094286E" w:rsidRPr="000A0A5F" w:rsidRDefault="0094286E" w:rsidP="0094286E">
      <w:pPr>
        <w:pStyle w:val="PL"/>
      </w:pPr>
      <w:r w:rsidRPr="000A0A5F">
        <w:t xml:space="preserve">            single-modal data flows sent during the subscription.</w:t>
      </w:r>
    </w:p>
    <w:p w:rsidR="00CB0DD7" w:rsidRPr="000A0A5F" w:rsidRDefault="00CB0DD7">
      <w:pPr>
        <w:pStyle w:val="PL"/>
        <w:rPr>
          <w:lang w:eastAsia="zh-CN"/>
        </w:rPr>
      </w:pPr>
      <w:r w:rsidRPr="000A0A5F">
        <w:rPr>
          <w:lang w:eastAsia="zh-CN"/>
        </w:rPr>
        <w:t xml:space="preserve">        appliedQosRef:</w:t>
      </w:r>
    </w:p>
    <w:p w:rsidR="00CB0DD7" w:rsidRPr="000A0A5F" w:rsidRDefault="00CB0DD7">
      <w:pPr>
        <w:pStyle w:val="PL"/>
        <w:rPr>
          <w:lang w:eastAsia="zh-CN"/>
        </w:rPr>
      </w:pPr>
      <w:r w:rsidRPr="000A0A5F">
        <w:rPr>
          <w:lang w:eastAsia="zh-CN"/>
        </w:rPr>
        <w:t xml:space="preserve">          type: string</w:t>
      </w:r>
    </w:p>
    <w:p w:rsidR="004E4A47" w:rsidRPr="000A0A5F" w:rsidRDefault="00CB0DD7">
      <w:pPr>
        <w:pStyle w:val="PL"/>
      </w:pPr>
      <w:r w:rsidRPr="000A0A5F">
        <w:t xml:space="preserve">          description: </w:t>
      </w:r>
      <w:r w:rsidR="004E4A47" w:rsidRPr="000A0A5F">
        <w:t>&gt;</w:t>
      </w:r>
    </w:p>
    <w:p w:rsidR="004E4A47" w:rsidRPr="000A0A5F" w:rsidRDefault="004E4A47">
      <w:pPr>
        <w:pStyle w:val="PL"/>
      </w:pPr>
      <w:r w:rsidRPr="000A0A5F">
        <w:t xml:space="preserve">            </w:t>
      </w:r>
      <w:r w:rsidR="00CB0DD7" w:rsidRPr="000A0A5F">
        <w:rPr>
          <w:lang w:eastAsia="zh-CN"/>
        </w:rPr>
        <w:t>The currently applied QoS reference. Applicable for event</w:t>
      </w:r>
      <w:r w:rsidR="00CB0DD7" w:rsidRPr="000A0A5F">
        <w:t xml:space="preserve"> QOS_NOT_GUARANTEED or</w:t>
      </w:r>
    </w:p>
    <w:p w:rsidR="00CB0DD7" w:rsidRPr="000A0A5F" w:rsidRDefault="004E4A47">
      <w:pPr>
        <w:pStyle w:val="PL"/>
      </w:pPr>
      <w:r w:rsidRPr="000A0A5F">
        <w:t xml:space="preserve">           </w:t>
      </w:r>
      <w:r w:rsidR="00CB0DD7" w:rsidRPr="000A0A5F">
        <w:t xml:space="preserve"> SUCCESSFUL_RESOURCES_ALLOCATION.</w:t>
      </w:r>
    </w:p>
    <w:p w:rsidR="000868B8" w:rsidRPr="000A0A5F" w:rsidRDefault="000868B8" w:rsidP="000868B8">
      <w:pPr>
        <w:pStyle w:val="PL"/>
      </w:pPr>
      <w:r w:rsidRPr="000A0A5F">
        <w:t xml:space="preserve">        altQosNotSuppInd:</w:t>
      </w:r>
    </w:p>
    <w:p w:rsidR="000868B8" w:rsidRPr="000A0A5F" w:rsidRDefault="000868B8" w:rsidP="000868B8">
      <w:pPr>
        <w:pStyle w:val="PL"/>
      </w:pPr>
      <w:r w:rsidRPr="000A0A5F">
        <w:t xml:space="preserve">          type: boolean</w:t>
      </w:r>
    </w:p>
    <w:p w:rsidR="000868B8" w:rsidRPr="000A0A5F" w:rsidRDefault="000868B8" w:rsidP="000868B8">
      <w:pPr>
        <w:pStyle w:val="PL"/>
      </w:pPr>
      <w:r w:rsidRPr="000A0A5F">
        <w:t xml:space="preserve">          description: &gt;</w:t>
      </w:r>
    </w:p>
    <w:p w:rsidR="000868B8" w:rsidRPr="000A0A5F" w:rsidRDefault="000868B8" w:rsidP="000868B8">
      <w:pPr>
        <w:pStyle w:val="PL"/>
      </w:pPr>
      <w:r w:rsidRPr="000A0A5F">
        <w:t xml:space="preserve">            When present and set to true it indicates that the Alternative QoS profiles are not</w:t>
      </w:r>
    </w:p>
    <w:p w:rsidR="000868B8" w:rsidRPr="000A0A5F" w:rsidRDefault="000868B8" w:rsidP="000868B8">
      <w:pPr>
        <w:pStyle w:val="PL"/>
      </w:pPr>
      <w:r w:rsidRPr="000A0A5F">
        <w:t xml:space="preserve">            supported by the access network.</w:t>
      </w:r>
      <w:r w:rsidRPr="000A0A5F">
        <w:rPr>
          <w:lang w:eastAsia="zh-CN"/>
        </w:rPr>
        <w:t xml:space="preserve"> Applicable for event</w:t>
      </w:r>
      <w:r w:rsidRPr="000A0A5F">
        <w:t xml:space="preserve"> QOS_NOT_GUARANTEED.</w:t>
      </w:r>
    </w:p>
    <w:p w:rsidR="008308B2" w:rsidRPr="000A0A5F" w:rsidRDefault="008308B2" w:rsidP="008308B2">
      <w:pPr>
        <w:pStyle w:val="PL"/>
      </w:pPr>
      <w:r w:rsidRPr="000A0A5F">
        <w:t xml:space="preserve">        plmnId:</w:t>
      </w:r>
    </w:p>
    <w:p w:rsidR="008308B2" w:rsidRPr="000A0A5F" w:rsidRDefault="008308B2">
      <w:pPr>
        <w:pStyle w:val="PL"/>
      </w:pPr>
      <w:r w:rsidRPr="000A0A5F">
        <w:t xml:space="preserve">          $ref: 'TS29571_CommonData.yaml#/components/schemas/PlmnIdNid'</w:t>
      </w:r>
    </w:p>
    <w:p w:rsidR="00CB0DD7" w:rsidRPr="000A0A5F" w:rsidRDefault="00CB0DD7">
      <w:pPr>
        <w:pStyle w:val="PL"/>
      </w:pPr>
      <w:r w:rsidRPr="000A0A5F">
        <w:t xml:space="preserve">        </w:t>
      </w:r>
      <w:r w:rsidRPr="000A0A5F">
        <w:rPr>
          <w:rFonts w:hint="eastAsia"/>
          <w:lang w:eastAsia="zh-CN"/>
        </w:rPr>
        <w:t>qosMonReport</w:t>
      </w:r>
      <w:r w:rsidRPr="000A0A5F">
        <w:rPr>
          <w:lang w:eastAsia="zh-CN"/>
        </w:rPr>
        <w:t>s</w:t>
      </w:r>
      <w:r w:rsidRPr="000A0A5F">
        <w:t>:</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$ref: '</w:t>
      </w:r>
      <w:r w:rsidRPr="000A0A5F">
        <w:rPr>
          <w:rFonts w:cs="Courier New"/>
          <w:szCs w:val="16"/>
          <w:lang w:val="en-US"/>
        </w:rPr>
        <w:t>#/components/schemas/</w:t>
      </w:r>
      <w:r w:rsidRPr="000A0A5F">
        <w:t>QosMonitoringReport'</w:t>
      </w:r>
    </w:p>
    <w:p w:rsidR="00CB0DD7" w:rsidRPr="000A0A5F" w:rsidRDefault="00CB0DD7">
      <w:pPr>
        <w:pStyle w:val="PL"/>
      </w:pPr>
      <w:r w:rsidRPr="000A0A5F">
        <w:t xml:space="preserve">          minItems: 1</w:t>
      </w:r>
    </w:p>
    <w:p w:rsidR="00CB0DD7" w:rsidRPr="000A0A5F" w:rsidRDefault="00CB0DD7">
      <w:pPr>
        <w:pStyle w:val="PL"/>
      </w:pPr>
      <w:r w:rsidRPr="000A0A5F">
        <w:t xml:space="preserve">          description: Contains the QoS Monitoring Reporting information</w:t>
      </w:r>
    </w:p>
    <w:p w:rsidR="000D30DD" w:rsidRPr="000A0A5F" w:rsidRDefault="000D30DD" w:rsidP="000D30DD">
      <w:pPr>
        <w:pStyle w:val="PL"/>
      </w:pPr>
      <w:r w:rsidRPr="000A0A5F">
        <w:t xml:space="preserve">        </w:t>
      </w:r>
      <w:r w:rsidRPr="000A0A5F">
        <w:rPr>
          <w:rFonts w:hint="eastAsia"/>
          <w:lang w:val="en-US" w:eastAsia="zh-CN"/>
        </w:rPr>
        <w:t>pdv</w:t>
      </w:r>
      <w:r w:rsidRPr="000A0A5F">
        <w:rPr>
          <w:rFonts w:hint="eastAsia"/>
          <w:lang w:eastAsia="zh-CN"/>
        </w:rPr>
        <w:t>MonReport</w:t>
      </w:r>
      <w:r w:rsidRPr="000A0A5F">
        <w:rPr>
          <w:lang w:eastAsia="zh-CN"/>
        </w:rPr>
        <w:t>s</w:t>
      </w:r>
      <w:r w:rsidRPr="000A0A5F">
        <w:t>:</w:t>
      </w:r>
    </w:p>
    <w:p w:rsidR="000D30DD" w:rsidRPr="000A0A5F" w:rsidRDefault="000D30DD" w:rsidP="000D30DD">
      <w:pPr>
        <w:pStyle w:val="PL"/>
      </w:pPr>
      <w:r w:rsidRPr="000A0A5F">
        <w:t xml:space="preserve">          type: array</w:t>
      </w:r>
    </w:p>
    <w:p w:rsidR="000D30DD" w:rsidRPr="000A0A5F" w:rsidRDefault="000D30DD" w:rsidP="000D30DD">
      <w:pPr>
        <w:pStyle w:val="PL"/>
      </w:pPr>
      <w:r w:rsidRPr="000A0A5F">
        <w:t xml:space="preserve">          items:</w:t>
      </w:r>
    </w:p>
    <w:p w:rsidR="000D30DD" w:rsidRPr="000A0A5F" w:rsidRDefault="000D30DD" w:rsidP="000D30DD">
      <w:pPr>
        <w:pStyle w:val="PL"/>
      </w:pPr>
      <w:r w:rsidRPr="000A0A5F">
        <w:t xml:space="preserve">            </w:t>
      </w:r>
      <w:bookmarkStart w:id="10454" w:name="OLE_LINK4"/>
      <w:r w:rsidRPr="000A0A5F">
        <w:t>$ref: '</w:t>
      </w:r>
      <w:r w:rsidRPr="000A0A5F">
        <w:rPr>
          <w:rFonts w:cs="Courier New"/>
          <w:szCs w:val="16"/>
        </w:rPr>
        <w:t>TS29514_Npcf_PolicyAuthorization.yaml</w:t>
      </w:r>
      <w:r w:rsidRPr="000A0A5F">
        <w:rPr>
          <w:rFonts w:cs="Courier New"/>
          <w:szCs w:val="16"/>
          <w:lang w:val="en-US"/>
        </w:rPr>
        <w:t>#/components/schemas/</w:t>
      </w:r>
      <w:r w:rsidRPr="000A0A5F">
        <w:rPr>
          <w:rFonts w:cs="Courier New" w:hint="eastAsia"/>
          <w:szCs w:val="16"/>
          <w:lang w:val="en-US" w:eastAsia="zh-CN"/>
        </w:rPr>
        <w:t>Pdv</w:t>
      </w:r>
      <w:r w:rsidRPr="000A0A5F">
        <w:t>MonitoringReport'</w:t>
      </w:r>
      <w:bookmarkEnd w:id="10454"/>
    </w:p>
    <w:p w:rsidR="000D30DD" w:rsidRPr="000A0A5F" w:rsidRDefault="000D30DD" w:rsidP="000D30DD">
      <w:pPr>
        <w:pStyle w:val="PL"/>
      </w:pPr>
      <w:r w:rsidRPr="000A0A5F">
        <w:t xml:space="preserve">          minItems: 1</w:t>
      </w:r>
    </w:p>
    <w:p w:rsidR="000D30DD" w:rsidRPr="000A0A5F" w:rsidRDefault="000D30DD" w:rsidP="000D30DD">
      <w:pPr>
        <w:pStyle w:val="PL"/>
      </w:pPr>
      <w:r w:rsidRPr="000A0A5F">
        <w:t xml:space="preserve">          description: Contains the </w:t>
      </w:r>
      <w:r w:rsidRPr="000A0A5F">
        <w:rPr>
          <w:rFonts w:hint="eastAsia"/>
          <w:lang w:val="en-US" w:eastAsia="zh-CN"/>
        </w:rPr>
        <w:t>PDV</w:t>
      </w:r>
      <w:r w:rsidRPr="000A0A5F">
        <w:rPr>
          <w:lang w:eastAsia="zh-CN"/>
        </w:rPr>
        <w:t xml:space="preserve"> Monitoring Reporting information</w:t>
      </w:r>
    </w:p>
    <w:p w:rsidR="00815909" w:rsidRPr="000A0A5F" w:rsidRDefault="00815909" w:rsidP="00815909">
      <w:pPr>
        <w:pStyle w:val="PL"/>
        <w:rPr>
          <w:rFonts w:cs="Courier New"/>
          <w:szCs w:val="16"/>
        </w:rPr>
      </w:pPr>
      <w:r w:rsidRPr="000A0A5F">
        <w:rPr>
          <w:rFonts w:cs="Courier New"/>
          <w:szCs w:val="16"/>
        </w:rPr>
        <w:t xml:space="preserve">        ratType: </w:t>
      </w:r>
    </w:p>
    <w:p w:rsidR="00815909" w:rsidRPr="000A0A5F" w:rsidRDefault="00815909">
      <w:pPr>
        <w:pStyle w:val="PL"/>
        <w:rPr>
          <w:rFonts w:cs="Courier New"/>
          <w:szCs w:val="16"/>
        </w:rPr>
      </w:pPr>
      <w:r w:rsidRPr="000A0A5F">
        <w:rPr>
          <w:rFonts w:cs="Courier New"/>
          <w:szCs w:val="16"/>
        </w:rPr>
        <w:t xml:space="preserve">          $ref: 'TS29571_CommonData.yaml#/components/schemas/RatType'</w:t>
      </w:r>
    </w:p>
    <w:p w:rsidR="00133BEB" w:rsidRPr="000A0A5F" w:rsidRDefault="00133BEB" w:rsidP="00133BE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0A0A5F">
        <w:rPr>
          <w:rFonts w:ascii="Courier New" w:hAnsi="Courier New"/>
          <w:sz w:val="16"/>
        </w:rPr>
        <w:t xml:space="preserve">        batOffsetInfo:</w:t>
      </w:r>
    </w:p>
    <w:p w:rsidR="00133BEB" w:rsidRPr="000A0A5F" w:rsidRDefault="00133BEB" w:rsidP="00133BE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0A0A5F">
        <w:rPr>
          <w:rFonts w:ascii="Courier New" w:hAnsi="Courier New"/>
          <w:sz w:val="16"/>
        </w:rPr>
        <w:t xml:space="preserve">          $ref: 'TS29514_Npcf_PolicyAuthorization.yaml#/components/schemas/BatOffsetInfo'</w:t>
      </w:r>
    </w:p>
    <w:p w:rsidR="00B00D44" w:rsidRPr="000A0A5F" w:rsidRDefault="00B00D44" w:rsidP="00B00D4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0A0A5F">
        <w:rPr>
          <w:rFonts w:ascii="Courier New" w:hAnsi="Courier New"/>
          <w:sz w:val="16"/>
        </w:rPr>
        <w:t xml:space="preserve">        rttMonReports:</w:t>
      </w:r>
    </w:p>
    <w:p w:rsidR="00B00D44" w:rsidRPr="000A0A5F" w:rsidRDefault="00B00D44" w:rsidP="00B00D44">
      <w:pPr>
        <w:pStyle w:val="PL"/>
      </w:pPr>
      <w:r w:rsidRPr="000A0A5F">
        <w:t xml:space="preserve">          type: array</w:t>
      </w:r>
    </w:p>
    <w:p w:rsidR="00B00D44" w:rsidRPr="000A0A5F" w:rsidRDefault="00B00D44" w:rsidP="00B00D44">
      <w:pPr>
        <w:pStyle w:val="PL"/>
      </w:pPr>
      <w:r w:rsidRPr="000A0A5F">
        <w:t xml:space="preserve">          items:</w:t>
      </w:r>
    </w:p>
    <w:p w:rsidR="00B00D44" w:rsidRPr="000A0A5F" w:rsidRDefault="00B00D44" w:rsidP="00B00D44">
      <w:pPr>
        <w:pStyle w:val="PL"/>
      </w:pPr>
      <w:r w:rsidRPr="000A0A5F">
        <w:t xml:space="preserve">            $ref: '</w:t>
      </w:r>
      <w:r w:rsidRPr="000A0A5F">
        <w:rPr>
          <w:rFonts w:cs="Courier New"/>
          <w:szCs w:val="16"/>
          <w:lang w:val="en-US"/>
        </w:rPr>
        <w:t>#/components/schemas/</w:t>
      </w:r>
      <w:r w:rsidRPr="000A0A5F">
        <w:t>QosMonitoringReport'</w:t>
      </w:r>
    </w:p>
    <w:p w:rsidR="00B00D44" w:rsidRPr="000A0A5F" w:rsidRDefault="00B00D44" w:rsidP="00B00D44">
      <w:pPr>
        <w:pStyle w:val="PL"/>
      </w:pPr>
      <w:r w:rsidRPr="000A0A5F">
        <w:t xml:space="preserve">          minItems: 1</w:t>
      </w:r>
    </w:p>
    <w:p w:rsidR="00B00D44" w:rsidRPr="000A0A5F" w:rsidRDefault="00B00D44" w:rsidP="00B00D44">
      <w:pPr>
        <w:pStyle w:val="PL"/>
      </w:pPr>
      <w:r w:rsidRPr="000A0A5F">
        <w:t xml:space="preserve">          description: Contains the </w:t>
      </w:r>
      <w:r w:rsidRPr="000A0A5F">
        <w:rPr>
          <w:lang w:val="en-US" w:eastAsia="zh-CN"/>
        </w:rPr>
        <w:t>round trip delay over two SDFs</w:t>
      </w:r>
      <w:r w:rsidRPr="000A0A5F">
        <w:rPr>
          <w:lang w:eastAsia="zh-CN"/>
        </w:rPr>
        <w:t xml:space="preserve"> reporting information</w:t>
      </w:r>
    </w:p>
    <w:p w:rsidR="009F079F" w:rsidRDefault="009F079F" w:rsidP="009F079F">
      <w:pPr>
        <w:pStyle w:val="PL"/>
      </w:pPr>
      <w:r>
        <w:t xml:space="preserve">        </w:t>
      </w:r>
      <w:r>
        <w:rPr>
          <w:lang w:val="en-US" w:eastAsia="zh-CN"/>
        </w:rPr>
        <w:t>qosMonDatRate</w:t>
      </w:r>
      <w:r>
        <w:rPr>
          <w:rFonts w:hint="eastAsia"/>
          <w:lang w:eastAsia="zh-CN"/>
        </w:rPr>
        <w:t>Rep</w:t>
      </w:r>
      <w:r>
        <w:rPr>
          <w:lang w:eastAsia="zh-CN"/>
        </w:rPr>
        <w:t>s</w:t>
      </w:r>
      <w:r>
        <w:t>:</w:t>
      </w:r>
    </w:p>
    <w:p w:rsidR="009F079F" w:rsidRDefault="009F079F" w:rsidP="009F079F">
      <w:pPr>
        <w:pStyle w:val="PL"/>
      </w:pPr>
      <w:r>
        <w:t xml:space="preserve">          type: array</w:t>
      </w:r>
    </w:p>
    <w:p w:rsidR="009F079F" w:rsidRPr="00340DDC" w:rsidRDefault="009F079F" w:rsidP="009F079F">
      <w:pPr>
        <w:pStyle w:val="PL"/>
      </w:pPr>
      <w:r>
        <w:t xml:space="preserve">          items:</w:t>
      </w:r>
    </w:p>
    <w:p w:rsidR="009F079F" w:rsidRDefault="009F079F" w:rsidP="009F079F">
      <w:pPr>
        <w:pStyle w:val="PL"/>
      </w:pPr>
      <w:r>
        <w:t xml:space="preserve">            $ref: '</w:t>
      </w:r>
      <w:r>
        <w:rPr>
          <w:rFonts w:cs="Courier New"/>
          <w:szCs w:val="16"/>
        </w:rPr>
        <w:t>TS29514_Npcf_PolicyAuthorization.yaml</w:t>
      </w:r>
      <w:r>
        <w:rPr>
          <w:rFonts w:cs="Courier New"/>
          <w:szCs w:val="16"/>
          <w:lang w:val="en-US"/>
        </w:rPr>
        <w:t>#/components/schemas/</w:t>
      </w:r>
      <w:r>
        <w:rPr>
          <w:rFonts w:cs="Courier New"/>
          <w:szCs w:val="16"/>
          <w:lang w:val="en-US" w:eastAsia="zh-CN"/>
        </w:rPr>
        <w:t>Qos</w:t>
      </w:r>
      <w:r>
        <w:t>MonitoringReport'</w:t>
      </w:r>
    </w:p>
    <w:p w:rsidR="009F079F" w:rsidRDefault="009F079F" w:rsidP="009F079F">
      <w:pPr>
        <w:pStyle w:val="PL"/>
      </w:pPr>
      <w:r>
        <w:t xml:space="preserve">          minItems: 1</w:t>
      </w:r>
    </w:p>
    <w:p w:rsidR="009F079F" w:rsidRDefault="009F079F" w:rsidP="009F079F">
      <w:pPr>
        <w:pStyle w:val="PL"/>
      </w:pPr>
      <w:r>
        <w:t xml:space="preserve">          description: &gt;</w:t>
      </w:r>
    </w:p>
    <w:p w:rsidR="009F079F" w:rsidRDefault="009F079F" w:rsidP="009F079F">
      <w:pPr>
        <w:pStyle w:val="PL"/>
        <w:rPr>
          <w:rFonts w:cs="Arial"/>
          <w:szCs w:val="18"/>
        </w:rPr>
      </w:pPr>
      <w:r>
        <w:t xml:space="preserve">            </w:t>
      </w:r>
      <w:r>
        <w:rPr>
          <w:rFonts w:cs="Arial"/>
          <w:szCs w:val="18"/>
        </w:rPr>
        <w:t>Contains QoS Monitoring for data rate information. It shall be present when the notified</w:t>
      </w:r>
    </w:p>
    <w:p w:rsidR="009F079F" w:rsidRPr="004754FB" w:rsidRDefault="009F079F" w:rsidP="009F079F">
      <w:pPr>
        <w:pStyle w:val="PL"/>
      </w:pPr>
      <w:r>
        <w:t xml:space="preserve">           </w:t>
      </w:r>
      <w:r>
        <w:rPr>
          <w:rFonts w:cs="Arial"/>
          <w:szCs w:val="18"/>
        </w:rPr>
        <w:t xml:space="preserve"> event is </w:t>
      </w:r>
      <w:r>
        <w:t>"QOS_MONITORING" and data rate measurements are available.</w:t>
      </w:r>
    </w:p>
    <w:p w:rsidR="009F079F" w:rsidRDefault="009F079F" w:rsidP="009F079F">
      <w:pPr>
        <w:pStyle w:val="PL"/>
      </w:pPr>
      <w:r>
        <w:t xml:space="preserve">        </w:t>
      </w:r>
      <w:r>
        <w:rPr>
          <w:rFonts w:hint="eastAsia"/>
          <w:lang w:eastAsia="zh-CN"/>
        </w:rPr>
        <w:t>a</w:t>
      </w:r>
      <w:r>
        <w:rPr>
          <w:lang w:eastAsia="zh-CN"/>
        </w:rPr>
        <w:t>ggrDataRateRpts</w:t>
      </w:r>
      <w:r>
        <w:t>:</w:t>
      </w:r>
    </w:p>
    <w:p w:rsidR="009F079F" w:rsidRDefault="009F079F" w:rsidP="009F079F">
      <w:pPr>
        <w:pStyle w:val="PL"/>
      </w:pPr>
      <w:r>
        <w:t xml:space="preserve">          type: array</w:t>
      </w:r>
    </w:p>
    <w:p w:rsidR="009F079F" w:rsidRPr="00340DDC" w:rsidRDefault="009F079F" w:rsidP="009F079F">
      <w:pPr>
        <w:pStyle w:val="PL"/>
      </w:pPr>
      <w:r>
        <w:t xml:space="preserve">          items:</w:t>
      </w:r>
    </w:p>
    <w:p w:rsidR="009F079F" w:rsidRDefault="009F079F" w:rsidP="009F079F">
      <w:pPr>
        <w:pStyle w:val="PL"/>
      </w:pPr>
      <w:r>
        <w:t xml:space="preserve">            $ref: '</w:t>
      </w:r>
      <w:r>
        <w:rPr>
          <w:rFonts w:cs="Courier New"/>
          <w:szCs w:val="16"/>
        </w:rPr>
        <w:t>TS29514_Npcf_PolicyAuthorization.yaml</w:t>
      </w:r>
      <w:r>
        <w:rPr>
          <w:rFonts w:cs="Courier New"/>
          <w:szCs w:val="16"/>
          <w:lang w:val="en-US"/>
        </w:rPr>
        <w:t>#/components/schemas/</w:t>
      </w:r>
      <w:r>
        <w:rPr>
          <w:rFonts w:cs="Courier New"/>
          <w:szCs w:val="16"/>
          <w:lang w:val="en-US" w:eastAsia="zh-CN"/>
        </w:rPr>
        <w:t>Qos</w:t>
      </w:r>
      <w:r>
        <w:t>MonitoringReport'</w:t>
      </w:r>
    </w:p>
    <w:p w:rsidR="009F079F" w:rsidRDefault="009F079F" w:rsidP="009F079F">
      <w:pPr>
        <w:pStyle w:val="PL"/>
      </w:pPr>
      <w:r>
        <w:t xml:space="preserve">          minItems: 1</w:t>
      </w:r>
    </w:p>
    <w:p w:rsidR="009F079F" w:rsidRDefault="009F079F" w:rsidP="009F079F">
      <w:pPr>
        <w:pStyle w:val="PL"/>
      </w:pPr>
      <w:r>
        <w:t xml:space="preserve">          description: &gt;</w:t>
      </w:r>
    </w:p>
    <w:p w:rsidR="009F079F" w:rsidRDefault="009F079F" w:rsidP="009F079F">
      <w:pPr>
        <w:pStyle w:val="PL"/>
        <w:rPr>
          <w:rFonts w:cs="Arial"/>
          <w:szCs w:val="18"/>
        </w:rPr>
      </w:pPr>
      <w:r>
        <w:t xml:space="preserve">            </w:t>
      </w:r>
      <w:r>
        <w:rPr>
          <w:rFonts w:cs="Arial"/>
          <w:szCs w:val="18"/>
        </w:rPr>
        <w:t xml:space="preserve">Contains QoS Monitoring for </w:t>
      </w:r>
      <w:r>
        <w:t xml:space="preserve">aggregated </w:t>
      </w:r>
      <w:r>
        <w:rPr>
          <w:rFonts w:cs="Arial"/>
          <w:szCs w:val="18"/>
        </w:rPr>
        <w:t>data rate information. It shall be present when</w:t>
      </w:r>
    </w:p>
    <w:p w:rsidR="009F079F" w:rsidRPr="008353AF" w:rsidRDefault="009F079F" w:rsidP="009F079F">
      <w:pPr>
        <w:pStyle w:val="PL"/>
      </w:pPr>
      <w:r>
        <w:t xml:space="preserve">           </w:t>
      </w:r>
      <w:r>
        <w:rPr>
          <w:rFonts w:cs="Arial"/>
          <w:szCs w:val="18"/>
        </w:rPr>
        <w:t xml:space="preserve"> the notified event is </w:t>
      </w:r>
      <w:r>
        <w:t>"QOS_MONITORING" and data rate measurements are available.</w:t>
      </w:r>
    </w:p>
    <w:p w:rsidR="00997DE0" w:rsidRPr="000A0A5F" w:rsidRDefault="00997DE0" w:rsidP="00997DE0">
      <w:pPr>
        <w:pStyle w:val="PL"/>
      </w:pPr>
      <w:r w:rsidRPr="000A0A5F">
        <w:t xml:space="preserve">        </w:t>
      </w:r>
      <w:r w:rsidRPr="000A0A5F">
        <w:rPr>
          <w:lang w:eastAsia="zh-CN"/>
        </w:rPr>
        <w:t>qosMonConInfoReps</w:t>
      </w:r>
      <w:r w:rsidRPr="000A0A5F">
        <w:t>:</w:t>
      </w:r>
    </w:p>
    <w:p w:rsidR="00997DE0" w:rsidRPr="000A0A5F" w:rsidRDefault="00997DE0" w:rsidP="00997DE0">
      <w:pPr>
        <w:pStyle w:val="PL"/>
      </w:pPr>
      <w:r w:rsidRPr="000A0A5F">
        <w:t xml:space="preserve">          type: array</w:t>
      </w:r>
    </w:p>
    <w:p w:rsidR="00997DE0" w:rsidRPr="000A0A5F" w:rsidRDefault="00997DE0" w:rsidP="00997DE0">
      <w:pPr>
        <w:pStyle w:val="PL"/>
      </w:pPr>
      <w:r w:rsidRPr="000A0A5F">
        <w:t xml:space="preserve">          items:</w:t>
      </w:r>
    </w:p>
    <w:p w:rsidR="00997DE0" w:rsidRPr="000A0A5F" w:rsidRDefault="00997DE0" w:rsidP="00997DE0">
      <w:pPr>
        <w:pStyle w:val="PL"/>
      </w:pPr>
      <w:r w:rsidRPr="000A0A5F">
        <w:t xml:space="preserve">            $ref: '#/components/schemas/QosMonitoringReport'</w:t>
      </w:r>
    </w:p>
    <w:p w:rsidR="00997DE0" w:rsidRPr="000A0A5F" w:rsidRDefault="00997DE0" w:rsidP="00997DE0">
      <w:pPr>
        <w:pStyle w:val="PL"/>
      </w:pPr>
      <w:r w:rsidRPr="000A0A5F">
        <w:t xml:space="preserve">          minItems: 1</w:t>
      </w:r>
    </w:p>
    <w:p w:rsidR="00997DE0" w:rsidRPr="000A0A5F" w:rsidRDefault="00997DE0" w:rsidP="00997DE0">
      <w:pPr>
        <w:pStyle w:val="PL"/>
      </w:pPr>
      <w:r w:rsidRPr="000A0A5F">
        <w:t xml:space="preserve">          description: &gt;</w:t>
      </w:r>
    </w:p>
    <w:p w:rsidR="00997DE0" w:rsidRPr="000A0A5F" w:rsidRDefault="00997DE0" w:rsidP="00997DE0">
      <w:pPr>
        <w:pStyle w:val="PL"/>
        <w:rPr>
          <w:rFonts w:cs="Arial"/>
          <w:szCs w:val="18"/>
        </w:rPr>
      </w:pPr>
      <w:r w:rsidRPr="000A0A5F">
        <w:t xml:space="preserve">            </w:t>
      </w:r>
      <w:r w:rsidRPr="000A0A5F">
        <w:rPr>
          <w:rFonts w:cs="Arial"/>
          <w:szCs w:val="18"/>
        </w:rPr>
        <w:t>Contains QoS Monitoring for congestion information. It shall be present when the</w:t>
      </w:r>
    </w:p>
    <w:p w:rsidR="00997DE0" w:rsidRPr="000A0A5F" w:rsidRDefault="00997DE0" w:rsidP="00997DE0">
      <w:pPr>
        <w:pStyle w:val="PL"/>
      </w:pPr>
      <w:r w:rsidRPr="000A0A5F">
        <w:rPr>
          <w:rFonts w:cs="Arial"/>
          <w:szCs w:val="18"/>
        </w:rPr>
        <w:t xml:space="preserve"> </w:t>
      </w:r>
      <w:r w:rsidRPr="000A0A5F">
        <w:t xml:space="preserve">           </w:t>
      </w:r>
      <w:r w:rsidRPr="000A0A5F">
        <w:rPr>
          <w:rFonts w:cs="Arial"/>
          <w:szCs w:val="18"/>
        </w:rPr>
        <w:t xml:space="preserve">notified event is </w:t>
      </w:r>
      <w:r w:rsidRPr="000A0A5F">
        <w:t>"QOS_MONITORING" and congestion measurements are available.</w:t>
      </w:r>
    </w:p>
    <w:p w:rsidR="00CB0DD7" w:rsidRPr="000A0A5F" w:rsidRDefault="00CB0DD7">
      <w:pPr>
        <w:pStyle w:val="PL"/>
      </w:pPr>
      <w:r w:rsidRPr="000A0A5F">
        <w:t xml:space="preserve">      required:</w:t>
      </w:r>
    </w:p>
    <w:p w:rsidR="00CB0DD7" w:rsidRPr="000A0A5F" w:rsidRDefault="00CB0DD7">
      <w:pPr>
        <w:pStyle w:val="PL"/>
      </w:pPr>
      <w:r w:rsidRPr="000A0A5F">
        <w:t xml:space="preserve">        - event</w:t>
      </w:r>
    </w:p>
    <w:p w:rsidR="004E4A47" w:rsidRPr="000A0A5F" w:rsidRDefault="004E4A47">
      <w:pPr>
        <w:pStyle w:val="PL"/>
      </w:pPr>
    </w:p>
    <w:p w:rsidR="00CB0DD7" w:rsidRPr="000A0A5F" w:rsidRDefault="00CB0DD7">
      <w:pPr>
        <w:pStyle w:val="PL"/>
      </w:pPr>
      <w:r w:rsidRPr="000A0A5F">
        <w:t xml:space="preserve">    </w:t>
      </w:r>
      <w:r w:rsidRPr="000A0A5F">
        <w:rPr>
          <w:lang w:eastAsia="zh-CN"/>
        </w:rPr>
        <w:t>TscQosRequirement</w:t>
      </w:r>
      <w:r w:rsidRPr="000A0A5F">
        <w:t>:</w:t>
      </w:r>
    </w:p>
    <w:p w:rsidR="00CB0DD7" w:rsidRPr="000A0A5F" w:rsidRDefault="00CB0DD7">
      <w:pPr>
        <w:pStyle w:val="PL"/>
      </w:pPr>
      <w:r w:rsidRPr="000A0A5F">
        <w:t xml:space="preserve">      description: Represents QoS requirements for time sensitive communication.</w:t>
      </w:r>
    </w:p>
    <w:p w:rsidR="00CB0DD7" w:rsidRPr="000A0A5F" w:rsidRDefault="00CB0DD7">
      <w:pPr>
        <w:pStyle w:val="PL"/>
      </w:pPr>
      <w:r w:rsidRPr="000A0A5F">
        <w:t xml:space="preserve">      type: object</w:t>
      </w:r>
    </w:p>
    <w:p w:rsidR="00CB0DD7" w:rsidRPr="000A0A5F" w:rsidRDefault="00CB0DD7">
      <w:pPr>
        <w:pStyle w:val="PL"/>
      </w:pPr>
      <w:r w:rsidRPr="000A0A5F">
        <w:t xml:space="preserve">      properties:</w:t>
      </w:r>
    </w:p>
    <w:p w:rsidR="00CB0DD7" w:rsidRPr="000A0A5F" w:rsidRDefault="00CB0DD7">
      <w:pPr>
        <w:pStyle w:val="PL"/>
      </w:pPr>
      <w:r w:rsidRPr="000A0A5F">
        <w:t xml:space="preserve">        reqGbrDl:</w:t>
      </w:r>
    </w:p>
    <w:p w:rsidR="00CB0DD7" w:rsidRPr="000A0A5F" w:rsidRDefault="00CB0DD7">
      <w:pPr>
        <w:pStyle w:val="PL"/>
      </w:pPr>
      <w:r w:rsidRPr="000A0A5F">
        <w:rPr>
          <w:rFonts w:cs="Courier New"/>
          <w:szCs w:val="16"/>
        </w:rPr>
        <w:t xml:space="preserve">          $ref: 'TS29571_CommonData.yaml#/components/schemas/BitRate'</w:t>
      </w:r>
    </w:p>
    <w:p w:rsidR="00CB0DD7" w:rsidRPr="000A0A5F" w:rsidRDefault="00CB0DD7">
      <w:pPr>
        <w:pStyle w:val="PL"/>
      </w:pPr>
      <w:r w:rsidRPr="000A0A5F">
        <w:t xml:space="preserve">        reqGbrUl:</w:t>
      </w:r>
    </w:p>
    <w:p w:rsidR="00CB0DD7" w:rsidRPr="000A0A5F" w:rsidRDefault="00CB0DD7">
      <w:pPr>
        <w:pStyle w:val="PL"/>
      </w:pPr>
      <w:r w:rsidRPr="000A0A5F">
        <w:rPr>
          <w:rFonts w:cs="Courier New"/>
          <w:szCs w:val="16"/>
        </w:rPr>
        <w:t xml:space="preserve">          $ref: 'TS29571_CommonData.yaml#/components/schemas/BitRate'</w:t>
      </w:r>
    </w:p>
    <w:p w:rsidR="00CB0DD7" w:rsidRPr="000A0A5F" w:rsidRDefault="00CB0DD7">
      <w:pPr>
        <w:pStyle w:val="PL"/>
      </w:pPr>
      <w:r w:rsidRPr="000A0A5F">
        <w:t xml:space="preserve">        reqMbrDl:</w:t>
      </w:r>
    </w:p>
    <w:p w:rsidR="00CB0DD7" w:rsidRPr="000A0A5F" w:rsidRDefault="00CB0DD7">
      <w:pPr>
        <w:pStyle w:val="PL"/>
      </w:pPr>
      <w:r w:rsidRPr="000A0A5F">
        <w:rPr>
          <w:rFonts w:cs="Courier New"/>
          <w:szCs w:val="16"/>
        </w:rPr>
        <w:t xml:space="preserve">          $ref: 'TS29571_CommonData.yaml#/components/schemas/BitRate'</w:t>
      </w:r>
    </w:p>
    <w:p w:rsidR="00CB0DD7" w:rsidRPr="000A0A5F" w:rsidRDefault="00CB0DD7">
      <w:pPr>
        <w:pStyle w:val="PL"/>
      </w:pPr>
      <w:r w:rsidRPr="000A0A5F">
        <w:t xml:space="preserve">        reqMbrUl:</w:t>
      </w:r>
    </w:p>
    <w:p w:rsidR="00CB0DD7" w:rsidRPr="000A0A5F" w:rsidRDefault="00CB0DD7">
      <w:pPr>
        <w:pStyle w:val="PL"/>
      </w:pPr>
      <w:r w:rsidRPr="000A0A5F">
        <w:rPr>
          <w:rFonts w:cs="Courier New"/>
          <w:szCs w:val="16"/>
        </w:rPr>
        <w:t xml:space="preserve">          $ref: 'TS29571_CommonData.yaml#/components/schemas/BitRate'</w:t>
      </w:r>
    </w:p>
    <w:p w:rsidR="00CB0DD7" w:rsidRPr="000A0A5F" w:rsidRDefault="00CB0DD7">
      <w:pPr>
        <w:pStyle w:val="PL"/>
      </w:pPr>
      <w:r w:rsidRPr="000A0A5F">
        <w:t xml:space="preserve">        maxTscBurstSize:</w:t>
      </w:r>
    </w:p>
    <w:p w:rsidR="00CB0DD7" w:rsidRPr="000A0A5F" w:rsidRDefault="00CB0DD7">
      <w:pPr>
        <w:pStyle w:val="PL"/>
        <w:rPr>
          <w:rFonts w:cs="Courier New"/>
          <w:szCs w:val="16"/>
        </w:rPr>
      </w:pPr>
      <w:r w:rsidRPr="000A0A5F">
        <w:rPr>
          <w:rFonts w:cs="Courier New"/>
          <w:szCs w:val="16"/>
        </w:rPr>
        <w:t xml:space="preserve">          $ref: 'TS29571_CommonData.yaml#/components/schemas/ExtMaxDataBurstVol'</w:t>
      </w:r>
    </w:p>
    <w:p w:rsidR="00CB0DD7" w:rsidRPr="000A0A5F" w:rsidRDefault="00CB0DD7">
      <w:pPr>
        <w:pStyle w:val="PL"/>
        <w:rPr>
          <w:rFonts w:cs="Courier New"/>
          <w:szCs w:val="16"/>
        </w:rPr>
      </w:pPr>
      <w:r w:rsidRPr="000A0A5F">
        <w:rPr>
          <w:rFonts w:cs="Courier New"/>
          <w:szCs w:val="16"/>
        </w:rPr>
        <w:t xml:space="preserve">        </w:t>
      </w:r>
      <w:r w:rsidRPr="000A0A5F">
        <w:t>req5Gsdelay</w:t>
      </w:r>
      <w:r w:rsidRPr="000A0A5F">
        <w:rPr>
          <w:rFonts w:cs="Courier New"/>
          <w:szCs w:val="16"/>
        </w:rPr>
        <w:t>:</w:t>
      </w:r>
    </w:p>
    <w:p w:rsidR="00CB0DD7" w:rsidRPr="000A0A5F" w:rsidRDefault="00CB0DD7">
      <w:pPr>
        <w:pStyle w:val="PL"/>
        <w:rPr>
          <w:rFonts w:cs="Courier New"/>
          <w:szCs w:val="16"/>
        </w:rPr>
      </w:pPr>
      <w:r w:rsidRPr="000A0A5F">
        <w:rPr>
          <w:rFonts w:cs="Courier New"/>
          <w:szCs w:val="16"/>
        </w:rPr>
        <w:t xml:space="preserve">          $ref: 'TS29571_CommonData.yaml#/components/schemas/PacketDelBudget'</w:t>
      </w:r>
    </w:p>
    <w:p w:rsidR="005C509A" w:rsidRPr="000A0A5F" w:rsidRDefault="005C509A" w:rsidP="005C509A">
      <w:pPr>
        <w:pStyle w:val="PL"/>
        <w:rPr>
          <w:rFonts w:cs="Courier New"/>
          <w:szCs w:val="16"/>
        </w:rPr>
      </w:pPr>
      <w:r w:rsidRPr="000A0A5F">
        <w:rPr>
          <w:rFonts w:cs="Courier New"/>
          <w:szCs w:val="16"/>
        </w:rPr>
        <w:t xml:space="preserve">        </w:t>
      </w:r>
      <w:r w:rsidRPr="000A0A5F">
        <w:t>reqPer</w:t>
      </w:r>
      <w:r w:rsidRPr="000A0A5F">
        <w:rPr>
          <w:rFonts w:cs="Courier New"/>
          <w:szCs w:val="16"/>
        </w:rPr>
        <w:t>:</w:t>
      </w:r>
    </w:p>
    <w:p w:rsidR="005C509A" w:rsidRPr="000A0A5F" w:rsidRDefault="005C509A" w:rsidP="005C509A">
      <w:pPr>
        <w:pStyle w:val="PL"/>
        <w:rPr>
          <w:rFonts w:cs="Courier New"/>
          <w:szCs w:val="16"/>
        </w:rPr>
      </w:pPr>
      <w:r w:rsidRPr="000A0A5F">
        <w:rPr>
          <w:rFonts w:cs="Courier New"/>
          <w:szCs w:val="16"/>
        </w:rPr>
        <w:t xml:space="preserve">          $ref: 'TS29571_CommonData.yaml#/components/schemas/PacketErrRate'</w:t>
      </w:r>
    </w:p>
    <w:p w:rsidR="00A72FF6" w:rsidRPr="000A0A5F" w:rsidRDefault="00A72FF6" w:rsidP="00A72FF6">
      <w:pPr>
        <w:pStyle w:val="PL"/>
        <w:rPr>
          <w:rFonts w:cs="Courier New"/>
          <w:szCs w:val="16"/>
        </w:rPr>
      </w:pPr>
      <w:r w:rsidRPr="000A0A5F">
        <w:rPr>
          <w:rFonts w:cs="Courier New"/>
          <w:szCs w:val="16"/>
        </w:rPr>
        <w:t xml:space="preserve">        priority:</w:t>
      </w:r>
    </w:p>
    <w:p w:rsidR="00A72FF6" w:rsidRPr="000A0A5F" w:rsidRDefault="00A72FF6" w:rsidP="00A72FF6">
      <w:pPr>
        <w:pStyle w:val="PL"/>
        <w:rPr>
          <w:rFonts w:cs="Courier New"/>
          <w:szCs w:val="16"/>
        </w:rPr>
      </w:pPr>
      <w:r w:rsidRPr="000A0A5F">
        <w:rPr>
          <w:rFonts w:cs="Courier New"/>
          <w:szCs w:val="16"/>
        </w:rPr>
        <w:t xml:space="preserve">          $ref: 'TS29514_Npcf_PolicyAuthorization.yaml#/components/schemas/</w:t>
      </w:r>
      <w:r w:rsidRPr="000A0A5F">
        <w:t>TscPriorityLevel</w:t>
      </w:r>
      <w:r w:rsidRPr="000A0A5F">
        <w:rPr>
          <w:rFonts w:cs="Courier New"/>
          <w:szCs w:val="16"/>
        </w:rPr>
        <w:t>'</w:t>
      </w:r>
    </w:p>
    <w:p w:rsidR="00CB0DD7" w:rsidRPr="000A0A5F" w:rsidRDefault="00CB0DD7">
      <w:pPr>
        <w:pStyle w:val="PL"/>
        <w:rPr>
          <w:lang w:eastAsia="zh-CN"/>
        </w:rPr>
      </w:pPr>
      <w:r w:rsidRPr="000A0A5F">
        <w:rPr>
          <w:lang w:eastAsia="zh-CN"/>
        </w:rPr>
        <w:t xml:space="preserve">        </w:t>
      </w:r>
      <w:r w:rsidRPr="000A0A5F">
        <w:t>tscaiTimeDom</w:t>
      </w:r>
      <w:r w:rsidRPr="000A0A5F">
        <w:rPr>
          <w:lang w:eastAsia="zh-CN"/>
        </w:rPr>
        <w:t>:</w:t>
      </w:r>
    </w:p>
    <w:p w:rsidR="00CB0DD7" w:rsidRPr="000A0A5F" w:rsidRDefault="00CB0DD7">
      <w:pPr>
        <w:pStyle w:val="PL"/>
        <w:rPr>
          <w:rFonts w:cs="Courier New"/>
          <w:szCs w:val="16"/>
        </w:rPr>
      </w:pPr>
      <w:r w:rsidRPr="000A0A5F">
        <w:rPr>
          <w:rFonts w:cs="Courier New"/>
          <w:szCs w:val="16"/>
        </w:rPr>
        <w:t xml:space="preserve">          $ref: 'TS29571_CommonData.yaml#/components/schemas/Uinteger'</w:t>
      </w:r>
    </w:p>
    <w:p w:rsidR="00CB0DD7" w:rsidRPr="000A0A5F" w:rsidRDefault="00CB0DD7">
      <w:pPr>
        <w:pStyle w:val="PL"/>
        <w:rPr>
          <w:rFonts w:cs="Courier New"/>
          <w:szCs w:val="16"/>
        </w:rPr>
      </w:pPr>
      <w:r w:rsidRPr="000A0A5F">
        <w:rPr>
          <w:rFonts w:cs="Courier New"/>
          <w:szCs w:val="16"/>
        </w:rPr>
        <w:t xml:space="preserve">        tscaiInputDl:</w:t>
      </w:r>
    </w:p>
    <w:p w:rsidR="00CB0DD7" w:rsidRPr="000A0A5F" w:rsidRDefault="00CB0DD7">
      <w:pPr>
        <w:pStyle w:val="PL"/>
        <w:rPr>
          <w:rFonts w:cs="Courier New"/>
          <w:szCs w:val="16"/>
        </w:rPr>
      </w:pPr>
      <w:r w:rsidRPr="000A0A5F">
        <w:rPr>
          <w:rFonts w:cs="Courier New"/>
          <w:szCs w:val="16"/>
        </w:rPr>
        <w:t xml:space="preserve">          $ref: 'TS29514_Npcf_PolicyAuthorization.yaml#/components/schemas/TscaiInputContainer'</w:t>
      </w:r>
    </w:p>
    <w:p w:rsidR="00CB0DD7" w:rsidRPr="000A0A5F" w:rsidRDefault="00CB0DD7">
      <w:pPr>
        <w:pStyle w:val="PL"/>
        <w:rPr>
          <w:rFonts w:cs="Courier New"/>
          <w:szCs w:val="16"/>
        </w:rPr>
      </w:pPr>
      <w:r w:rsidRPr="000A0A5F">
        <w:rPr>
          <w:rFonts w:cs="Courier New"/>
          <w:szCs w:val="16"/>
        </w:rPr>
        <w:t xml:space="preserve">        tscaiInputUl:</w:t>
      </w:r>
    </w:p>
    <w:p w:rsidR="00CB0DD7" w:rsidRPr="000A0A5F" w:rsidRDefault="00CB0DD7">
      <w:pPr>
        <w:pStyle w:val="PL"/>
        <w:rPr>
          <w:rFonts w:cs="Courier New"/>
          <w:szCs w:val="16"/>
        </w:rPr>
      </w:pPr>
      <w:r w:rsidRPr="000A0A5F">
        <w:rPr>
          <w:rFonts w:cs="Courier New"/>
          <w:szCs w:val="16"/>
        </w:rPr>
        <w:t xml:space="preserve">          $ref: 'TS29514_Npcf_PolicyAuthorization.yaml#/components/schemas/TscaiInputContainer'</w:t>
      </w:r>
    </w:p>
    <w:p w:rsidR="00BC662E" w:rsidRPr="000A0A5F" w:rsidRDefault="00BC662E" w:rsidP="00BC662E">
      <w:pPr>
        <w:pStyle w:val="PL"/>
        <w:rPr>
          <w:rFonts w:cs="Courier New"/>
          <w:szCs w:val="16"/>
        </w:rPr>
      </w:pPr>
      <w:r w:rsidRPr="000A0A5F">
        <w:rPr>
          <w:rFonts w:cs="Courier New"/>
          <w:szCs w:val="16"/>
        </w:rPr>
        <w:t xml:space="preserve">        capBatAdaptation:</w:t>
      </w:r>
    </w:p>
    <w:p w:rsidR="00BC662E" w:rsidRPr="000A0A5F" w:rsidRDefault="00BC662E" w:rsidP="00BC662E">
      <w:pPr>
        <w:pStyle w:val="PL"/>
        <w:rPr>
          <w:rFonts w:cs="Courier New"/>
          <w:szCs w:val="16"/>
        </w:rPr>
      </w:pPr>
      <w:r w:rsidRPr="000A0A5F">
        <w:rPr>
          <w:rFonts w:cs="Courier New"/>
          <w:szCs w:val="16"/>
        </w:rPr>
        <w:t xml:space="preserve">          type: boolean</w:t>
      </w:r>
    </w:p>
    <w:p w:rsidR="00BC662E" w:rsidRPr="000A0A5F" w:rsidRDefault="00BC662E" w:rsidP="00BC662E">
      <w:pPr>
        <w:pStyle w:val="PL"/>
      </w:pPr>
      <w:r w:rsidRPr="000A0A5F">
        <w:t xml:space="preserve">          description: &gt;</w:t>
      </w:r>
    </w:p>
    <w:p w:rsidR="00BC662E" w:rsidRPr="000A0A5F" w:rsidRDefault="00BC662E" w:rsidP="00BC662E">
      <w:pPr>
        <w:pStyle w:val="PL"/>
        <w:rPr>
          <w:rFonts w:cs="Arial"/>
          <w:szCs w:val="18"/>
          <w:lang w:eastAsia="zh-CN"/>
        </w:rPr>
      </w:pPr>
      <w:r w:rsidRPr="000A0A5F">
        <w:rPr>
          <w:rFonts w:cs="Arial"/>
          <w:szCs w:val="18"/>
          <w:lang w:eastAsia="zh-CN"/>
        </w:rPr>
        <w:t xml:space="preserve">            Indicates the capability for AF to adjust the burst sending time, when it is supported</w:t>
      </w:r>
    </w:p>
    <w:p w:rsidR="00BC662E" w:rsidRPr="000A0A5F" w:rsidRDefault="00BC662E">
      <w:pPr>
        <w:pStyle w:val="PL"/>
      </w:pPr>
      <w:r w:rsidRPr="000A0A5F">
        <w:rPr>
          <w:rFonts w:cs="Arial"/>
          <w:szCs w:val="18"/>
          <w:lang w:eastAsia="zh-CN"/>
        </w:rPr>
        <w:t xml:space="preserve">            and set to "true".</w:t>
      </w:r>
      <w:r w:rsidRPr="000A0A5F">
        <w:rPr>
          <w:rFonts w:cs="Arial" w:hint="eastAsia"/>
          <w:szCs w:val="18"/>
          <w:lang w:eastAsia="zh-CN"/>
        </w:rPr>
        <w:t xml:space="preserve"> </w:t>
      </w:r>
      <w:r w:rsidRPr="000A0A5F">
        <w:rPr>
          <w:rFonts w:cs="Arial"/>
          <w:szCs w:val="18"/>
          <w:lang w:eastAsia="zh-CN"/>
        </w:rPr>
        <w:t>The default value is "false" if omitted.</w:t>
      </w:r>
    </w:p>
    <w:p w:rsidR="00CB0DD7" w:rsidRPr="000A0A5F" w:rsidRDefault="00CB0DD7">
      <w:pPr>
        <w:pStyle w:val="PL"/>
      </w:pPr>
      <w:r w:rsidRPr="000A0A5F">
        <w:t xml:space="preserve">    </w:t>
      </w:r>
      <w:r w:rsidRPr="000A0A5F">
        <w:rPr>
          <w:lang w:eastAsia="zh-CN"/>
        </w:rPr>
        <w:t>TscQosRequirement</w:t>
      </w:r>
      <w:r w:rsidRPr="000A0A5F">
        <w:t>Rm:</w:t>
      </w:r>
    </w:p>
    <w:p w:rsidR="004E4A47" w:rsidRPr="000A0A5F" w:rsidRDefault="00CB0DD7">
      <w:pPr>
        <w:pStyle w:val="PL"/>
      </w:pPr>
      <w:r w:rsidRPr="000A0A5F">
        <w:t xml:space="preserve">      description: </w:t>
      </w:r>
      <w:r w:rsidR="004E4A47" w:rsidRPr="000A0A5F">
        <w:t>&gt;</w:t>
      </w:r>
    </w:p>
    <w:p w:rsidR="00CB0DD7" w:rsidRPr="000A0A5F" w:rsidRDefault="004E4A47">
      <w:pPr>
        <w:pStyle w:val="PL"/>
      </w:pPr>
      <w:r w:rsidRPr="000A0A5F">
        <w:t xml:space="preserve">        </w:t>
      </w:r>
      <w:r w:rsidR="00CB0DD7" w:rsidRPr="000A0A5F">
        <w:t>Represents the same as the TscQosRequirement data type but with the nullable:true property.</w:t>
      </w:r>
    </w:p>
    <w:p w:rsidR="00CB0DD7" w:rsidRPr="000A0A5F" w:rsidRDefault="00CB0DD7">
      <w:pPr>
        <w:pStyle w:val="PL"/>
      </w:pPr>
      <w:r w:rsidRPr="000A0A5F">
        <w:t xml:space="preserve">      type: object</w:t>
      </w:r>
    </w:p>
    <w:p w:rsidR="00CB0DD7" w:rsidRPr="000A0A5F" w:rsidRDefault="00CB0DD7">
      <w:pPr>
        <w:pStyle w:val="PL"/>
      </w:pPr>
      <w:r w:rsidRPr="000A0A5F">
        <w:t xml:space="preserve">      properties:</w:t>
      </w:r>
    </w:p>
    <w:p w:rsidR="00CB0DD7" w:rsidRPr="000A0A5F" w:rsidRDefault="00CB0DD7">
      <w:pPr>
        <w:pStyle w:val="PL"/>
      </w:pPr>
      <w:r w:rsidRPr="000A0A5F">
        <w:t xml:space="preserve">        reqGbrDl:</w:t>
      </w:r>
    </w:p>
    <w:p w:rsidR="00CB0DD7" w:rsidRPr="000A0A5F" w:rsidRDefault="00CB0DD7">
      <w:pPr>
        <w:pStyle w:val="PL"/>
      </w:pPr>
      <w:r w:rsidRPr="000A0A5F">
        <w:rPr>
          <w:rFonts w:cs="Courier New"/>
          <w:szCs w:val="16"/>
        </w:rPr>
        <w:t xml:space="preserve">          $ref: 'TS29571_CommonData.yaml#/components/schemas/BitRateRm'</w:t>
      </w:r>
    </w:p>
    <w:p w:rsidR="00CB0DD7" w:rsidRPr="000A0A5F" w:rsidRDefault="00CB0DD7">
      <w:pPr>
        <w:pStyle w:val="PL"/>
      </w:pPr>
      <w:r w:rsidRPr="000A0A5F">
        <w:t xml:space="preserve">        reqGbrUl:</w:t>
      </w:r>
    </w:p>
    <w:p w:rsidR="00CB0DD7" w:rsidRPr="000A0A5F" w:rsidRDefault="00CB0DD7">
      <w:pPr>
        <w:pStyle w:val="PL"/>
      </w:pPr>
      <w:r w:rsidRPr="000A0A5F">
        <w:rPr>
          <w:rFonts w:cs="Courier New"/>
          <w:szCs w:val="16"/>
        </w:rPr>
        <w:t xml:space="preserve">          $ref: 'TS29571_CommonData.yaml#/components/schemas/BitRateRm'</w:t>
      </w:r>
    </w:p>
    <w:p w:rsidR="00CB0DD7" w:rsidRPr="000A0A5F" w:rsidRDefault="00CB0DD7">
      <w:pPr>
        <w:pStyle w:val="PL"/>
      </w:pPr>
      <w:r w:rsidRPr="000A0A5F">
        <w:t xml:space="preserve">        reqMbrDl:</w:t>
      </w:r>
    </w:p>
    <w:p w:rsidR="00CB0DD7" w:rsidRPr="000A0A5F" w:rsidRDefault="00CB0DD7">
      <w:pPr>
        <w:pStyle w:val="PL"/>
      </w:pPr>
      <w:r w:rsidRPr="000A0A5F">
        <w:rPr>
          <w:rFonts w:cs="Courier New"/>
          <w:szCs w:val="16"/>
        </w:rPr>
        <w:t xml:space="preserve">          $ref: 'TS29571_CommonData.yaml#/components/schemas/BitRateRm'</w:t>
      </w:r>
    </w:p>
    <w:p w:rsidR="00CB0DD7" w:rsidRPr="000A0A5F" w:rsidRDefault="00CB0DD7">
      <w:pPr>
        <w:pStyle w:val="PL"/>
      </w:pPr>
      <w:r w:rsidRPr="000A0A5F">
        <w:t xml:space="preserve">        reqMbrUl:</w:t>
      </w:r>
    </w:p>
    <w:p w:rsidR="00CB0DD7" w:rsidRPr="000A0A5F" w:rsidRDefault="00CB0DD7">
      <w:pPr>
        <w:pStyle w:val="PL"/>
      </w:pPr>
      <w:r w:rsidRPr="000A0A5F">
        <w:rPr>
          <w:rFonts w:cs="Courier New"/>
          <w:szCs w:val="16"/>
        </w:rPr>
        <w:t xml:space="preserve">          $ref: 'TS29571_CommonData.yaml#/components/schemas/BitRateRm'</w:t>
      </w:r>
    </w:p>
    <w:p w:rsidR="00CB0DD7" w:rsidRPr="000A0A5F" w:rsidRDefault="00CB0DD7">
      <w:pPr>
        <w:pStyle w:val="PL"/>
      </w:pPr>
      <w:r w:rsidRPr="000A0A5F">
        <w:t xml:space="preserve">        maxTscBurstSize:</w:t>
      </w:r>
    </w:p>
    <w:p w:rsidR="00CB0DD7" w:rsidRPr="000A0A5F" w:rsidRDefault="00CB0DD7">
      <w:pPr>
        <w:pStyle w:val="PL"/>
        <w:rPr>
          <w:rFonts w:cs="Courier New"/>
          <w:szCs w:val="16"/>
        </w:rPr>
      </w:pPr>
      <w:r w:rsidRPr="000A0A5F">
        <w:rPr>
          <w:rFonts w:cs="Courier New"/>
          <w:szCs w:val="16"/>
        </w:rPr>
        <w:t xml:space="preserve">          $ref: 'TS29571_CommonData.yaml#/components/schemas/ExtMaxDataBurstVolRm'</w:t>
      </w:r>
    </w:p>
    <w:p w:rsidR="00CB0DD7" w:rsidRPr="000A0A5F" w:rsidRDefault="00CB0DD7">
      <w:pPr>
        <w:pStyle w:val="PL"/>
        <w:rPr>
          <w:rFonts w:cs="Courier New"/>
          <w:szCs w:val="16"/>
        </w:rPr>
      </w:pPr>
      <w:r w:rsidRPr="000A0A5F">
        <w:rPr>
          <w:rFonts w:cs="Courier New"/>
          <w:szCs w:val="16"/>
        </w:rPr>
        <w:t xml:space="preserve">        </w:t>
      </w:r>
      <w:r w:rsidRPr="000A0A5F">
        <w:t>req5Gsdelay</w:t>
      </w:r>
      <w:r w:rsidRPr="000A0A5F">
        <w:rPr>
          <w:rFonts w:cs="Courier New"/>
          <w:szCs w:val="16"/>
        </w:rPr>
        <w:t>:</w:t>
      </w:r>
    </w:p>
    <w:p w:rsidR="00CB0DD7" w:rsidRPr="000A0A5F" w:rsidRDefault="00CB0DD7">
      <w:pPr>
        <w:pStyle w:val="PL"/>
        <w:rPr>
          <w:rFonts w:cs="Courier New"/>
          <w:szCs w:val="16"/>
        </w:rPr>
      </w:pPr>
      <w:r w:rsidRPr="000A0A5F">
        <w:rPr>
          <w:rFonts w:cs="Courier New"/>
          <w:szCs w:val="16"/>
        </w:rPr>
        <w:t xml:space="preserve">          $ref: 'TS29571_CommonData.yaml#/components/schemas/PacketDelBudgetRm'</w:t>
      </w:r>
    </w:p>
    <w:p w:rsidR="005C509A" w:rsidRPr="000A0A5F" w:rsidRDefault="005C509A" w:rsidP="005C509A">
      <w:pPr>
        <w:pStyle w:val="PL"/>
        <w:rPr>
          <w:rFonts w:cs="Courier New"/>
          <w:szCs w:val="16"/>
        </w:rPr>
      </w:pPr>
      <w:r w:rsidRPr="000A0A5F">
        <w:rPr>
          <w:rFonts w:cs="Courier New"/>
          <w:szCs w:val="16"/>
        </w:rPr>
        <w:t xml:space="preserve">        </w:t>
      </w:r>
      <w:r w:rsidRPr="000A0A5F">
        <w:t>reqPer</w:t>
      </w:r>
      <w:r w:rsidRPr="000A0A5F">
        <w:rPr>
          <w:rFonts w:cs="Courier New"/>
          <w:szCs w:val="16"/>
        </w:rPr>
        <w:t>:</w:t>
      </w:r>
    </w:p>
    <w:p w:rsidR="005C509A" w:rsidRPr="000A0A5F" w:rsidRDefault="005C509A" w:rsidP="005C509A">
      <w:pPr>
        <w:pStyle w:val="PL"/>
        <w:rPr>
          <w:rFonts w:cs="Courier New"/>
          <w:szCs w:val="16"/>
        </w:rPr>
      </w:pPr>
      <w:r w:rsidRPr="000A0A5F">
        <w:rPr>
          <w:rFonts w:cs="Courier New"/>
          <w:szCs w:val="16"/>
        </w:rPr>
        <w:t xml:space="preserve">          $ref: 'TS29571_CommonData.yaml#/components/schemas/PacketErrRateRm'</w:t>
      </w:r>
    </w:p>
    <w:p w:rsidR="00AC6159" w:rsidRPr="000A0A5F" w:rsidRDefault="00AC6159" w:rsidP="00AC6159">
      <w:pPr>
        <w:pStyle w:val="PL"/>
        <w:rPr>
          <w:rFonts w:cs="Courier New"/>
          <w:szCs w:val="16"/>
        </w:rPr>
      </w:pPr>
      <w:r w:rsidRPr="000A0A5F">
        <w:rPr>
          <w:rFonts w:cs="Courier New"/>
          <w:szCs w:val="16"/>
        </w:rPr>
        <w:t xml:space="preserve">        priority:</w:t>
      </w:r>
    </w:p>
    <w:p w:rsidR="00AC6159" w:rsidRPr="000A0A5F" w:rsidRDefault="00AC6159" w:rsidP="00AC6159">
      <w:pPr>
        <w:pStyle w:val="PL"/>
        <w:rPr>
          <w:rFonts w:cs="Courier New"/>
          <w:szCs w:val="16"/>
        </w:rPr>
      </w:pPr>
      <w:r w:rsidRPr="000A0A5F">
        <w:rPr>
          <w:rFonts w:cs="Courier New"/>
          <w:szCs w:val="16"/>
        </w:rPr>
        <w:t xml:space="preserve">          $ref: 'TS29514_Npcf_PolicyAuthorization.yaml#/components/schemas/</w:t>
      </w:r>
      <w:r w:rsidRPr="000A0A5F">
        <w:t>TscPriorityLevelRm</w:t>
      </w:r>
      <w:r w:rsidRPr="000A0A5F">
        <w:rPr>
          <w:rFonts w:cs="Courier New"/>
          <w:szCs w:val="16"/>
        </w:rPr>
        <w:t>'</w:t>
      </w:r>
    </w:p>
    <w:p w:rsidR="00CB0DD7" w:rsidRPr="000A0A5F" w:rsidRDefault="00CB0DD7">
      <w:pPr>
        <w:pStyle w:val="PL"/>
        <w:rPr>
          <w:lang w:eastAsia="zh-CN"/>
        </w:rPr>
      </w:pPr>
      <w:r w:rsidRPr="000A0A5F">
        <w:rPr>
          <w:lang w:eastAsia="zh-CN"/>
        </w:rPr>
        <w:t xml:space="preserve">        </w:t>
      </w:r>
      <w:r w:rsidRPr="000A0A5F">
        <w:t>tscaiTimeDom</w:t>
      </w:r>
      <w:r w:rsidRPr="000A0A5F">
        <w:rPr>
          <w:lang w:eastAsia="zh-CN"/>
        </w:rPr>
        <w:t>:</w:t>
      </w:r>
    </w:p>
    <w:p w:rsidR="00CB0DD7" w:rsidRPr="000A0A5F" w:rsidRDefault="00CB0DD7">
      <w:pPr>
        <w:pStyle w:val="PL"/>
        <w:rPr>
          <w:lang w:eastAsia="zh-CN"/>
        </w:rPr>
      </w:pPr>
      <w:r w:rsidRPr="000A0A5F">
        <w:rPr>
          <w:rFonts w:cs="Courier New"/>
          <w:szCs w:val="16"/>
        </w:rPr>
        <w:t xml:space="preserve">          $ref: 'TS29571_CommonData.yaml#/components/schemas/Uinteger</w:t>
      </w:r>
      <w:r w:rsidR="00AC6159" w:rsidRPr="000A0A5F">
        <w:rPr>
          <w:rFonts w:cs="Courier New"/>
          <w:szCs w:val="16"/>
        </w:rPr>
        <w:t>Rm</w:t>
      </w:r>
      <w:r w:rsidRPr="000A0A5F">
        <w:rPr>
          <w:rFonts w:cs="Courier New"/>
          <w:szCs w:val="16"/>
        </w:rPr>
        <w:t>'</w:t>
      </w:r>
    </w:p>
    <w:p w:rsidR="00CB0DD7" w:rsidRPr="000A0A5F" w:rsidRDefault="00CB0DD7">
      <w:pPr>
        <w:pStyle w:val="PL"/>
        <w:rPr>
          <w:rFonts w:cs="Courier New"/>
          <w:szCs w:val="16"/>
        </w:rPr>
      </w:pPr>
      <w:r w:rsidRPr="000A0A5F">
        <w:rPr>
          <w:rFonts w:cs="Courier New"/>
          <w:szCs w:val="16"/>
        </w:rPr>
        <w:t xml:space="preserve">        tscaiInputDl:</w:t>
      </w:r>
    </w:p>
    <w:p w:rsidR="00CB0DD7" w:rsidRPr="000A0A5F" w:rsidRDefault="00CB0DD7">
      <w:pPr>
        <w:pStyle w:val="PL"/>
        <w:rPr>
          <w:rFonts w:cs="Courier New"/>
          <w:szCs w:val="16"/>
        </w:rPr>
      </w:pPr>
      <w:r w:rsidRPr="000A0A5F">
        <w:rPr>
          <w:rFonts w:cs="Courier New"/>
          <w:szCs w:val="16"/>
        </w:rPr>
        <w:t xml:space="preserve">          $ref: 'TS29514_Npcf_PolicyAuthorization.yaml#/components/schemas/TscaiInputContainer'</w:t>
      </w:r>
    </w:p>
    <w:p w:rsidR="00CB0DD7" w:rsidRPr="000A0A5F" w:rsidRDefault="00CB0DD7">
      <w:pPr>
        <w:pStyle w:val="PL"/>
        <w:rPr>
          <w:rFonts w:cs="Courier New"/>
          <w:szCs w:val="16"/>
        </w:rPr>
      </w:pPr>
      <w:r w:rsidRPr="000A0A5F">
        <w:rPr>
          <w:rFonts w:cs="Courier New"/>
          <w:szCs w:val="16"/>
        </w:rPr>
        <w:t xml:space="preserve">        tscaiInputUl:</w:t>
      </w:r>
    </w:p>
    <w:p w:rsidR="00CB0DD7" w:rsidRPr="000A0A5F" w:rsidRDefault="00CB0DD7">
      <w:pPr>
        <w:pStyle w:val="PL"/>
        <w:rPr>
          <w:rFonts w:cs="Courier New"/>
          <w:szCs w:val="16"/>
        </w:rPr>
      </w:pPr>
      <w:r w:rsidRPr="000A0A5F">
        <w:rPr>
          <w:rFonts w:cs="Courier New"/>
          <w:szCs w:val="16"/>
        </w:rPr>
        <w:t xml:space="preserve">          $ref: 'TS29514_Npcf_PolicyAuthorization.yaml#/components/schemas/TscaiInputContainer'</w:t>
      </w:r>
    </w:p>
    <w:p w:rsidR="00BC662E" w:rsidRPr="000A0A5F" w:rsidRDefault="00BC662E" w:rsidP="00BC662E">
      <w:pPr>
        <w:pStyle w:val="PL"/>
        <w:rPr>
          <w:rFonts w:cs="Courier New"/>
          <w:szCs w:val="16"/>
        </w:rPr>
      </w:pPr>
      <w:r w:rsidRPr="000A0A5F">
        <w:rPr>
          <w:rFonts w:cs="Courier New"/>
          <w:szCs w:val="16"/>
        </w:rPr>
        <w:t xml:space="preserve">        capBatAdaptation:</w:t>
      </w:r>
    </w:p>
    <w:p w:rsidR="00BC662E" w:rsidRPr="000A0A5F" w:rsidRDefault="00BC662E" w:rsidP="00BC662E">
      <w:pPr>
        <w:pStyle w:val="PL"/>
        <w:rPr>
          <w:rFonts w:cs="Courier New"/>
          <w:szCs w:val="16"/>
        </w:rPr>
      </w:pPr>
      <w:r w:rsidRPr="000A0A5F">
        <w:rPr>
          <w:rFonts w:cs="Courier New"/>
          <w:szCs w:val="16"/>
        </w:rPr>
        <w:t xml:space="preserve">          type: boolean</w:t>
      </w:r>
    </w:p>
    <w:p w:rsidR="00BC662E" w:rsidRPr="000A0A5F" w:rsidRDefault="00BC662E" w:rsidP="00BC662E">
      <w:pPr>
        <w:pStyle w:val="PL"/>
      </w:pPr>
      <w:r w:rsidRPr="000A0A5F">
        <w:t xml:space="preserve">          description: &gt;</w:t>
      </w:r>
    </w:p>
    <w:p w:rsidR="00BC662E" w:rsidRPr="000A0A5F" w:rsidRDefault="00BC662E" w:rsidP="00BC662E">
      <w:pPr>
        <w:pStyle w:val="PL"/>
        <w:rPr>
          <w:rFonts w:cs="Arial"/>
          <w:szCs w:val="18"/>
          <w:lang w:eastAsia="zh-CN"/>
        </w:rPr>
      </w:pPr>
      <w:r w:rsidRPr="000A0A5F">
        <w:rPr>
          <w:rFonts w:cs="Arial"/>
          <w:szCs w:val="18"/>
          <w:lang w:eastAsia="zh-CN"/>
        </w:rPr>
        <w:t xml:space="preserve">            Indicates the capability for AF to adjust the burst sending time, when it is supported</w:t>
      </w:r>
    </w:p>
    <w:p w:rsidR="00BC662E" w:rsidRPr="000A0A5F" w:rsidRDefault="00BC662E" w:rsidP="00BC662E">
      <w:pPr>
        <w:pStyle w:val="PL"/>
        <w:rPr>
          <w:rFonts w:cs="Arial"/>
          <w:szCs w:val="18"/>
          <w:lang w:eastAsia="zh-CN"/>
        </w:rPr>
      </w:pPr>
      <w:r w:rsidRPr="000A0A5F">
        <w:rPr>
          <w:rFonts w:cs="Arial"/>
          <w:szCs w:val="18"/>
          <w:lang w:eastAsia="zh-CN"/>
        </w:rPr>
        <w:t xml:space="preserve">            and set to "true".</w:t>
      </w:r>
      <w:r w:rsidRPr="000A0A5F">
        <w:rPr>
          <w:rFonts w:cs="Arial" w:hint="eastAsia"/>
          <w:szCs w:val="18"/>
          <w:lang w:eastAsia="zh-CN"/>
        </w:rPr>
        <w:t xml:space="preserve"> </w:t>
      </w:r>
      <w:r w:rsidRPr="000A0A5F">
        <w:rPr>
          <w:rFonts w:cs="Arial"/>
          <w:szCs w:val="18"/>
          <w:lang w:eastAsia="zh-CN"/>
        </w:rPr>
        <w:t>The default value is "false" if omitted.</w:t>
      </w:r>
    </w:p>
    <w:p w:rsidR="00BC662E" w:rsidRPr="000A0A5F" w:rsidRDefault="00BC662E" w:rsidP="00BC662E">
      <w:pPr>
        <w:pStyle w:val="PL"/>
        <w:rPr>
          <w:rFonts w:cs="Courier New"/>
          <w:szCs w:val="16"/>
        </w:rPr>
      </w:pPr>
      <w:r w:rsidRPr="000A0A5F">
        <w:t xml:space="preserve">          nullable: true</w:t>
      </w:r>
    </w:p>
    <w:p w:rsidR="00C92DBD" w:rsidRPr="000A0A5F" w:rsidRDefault="00C92DBD">
      <w:pPr>
        <w:pStyle w:val="PL"/>
      </w:pPr>
    </w:p>
    <w:p w:rsidR="00C92DBD" w:rsidRPr="000A0A5F" w:rsidRDefault="00C92DBD" w:rsidP="00C92DBD">
      <w:pPr>
        <w:pStyle w:val="PL"/>
      </w:pPr>
      <w:r w:rsidRPr="000A0A5F">
        <w:t xml:space="preserve">    AdditionInfoAsSessionWithQos:</w:t>
      </w:r>
    </w:p>
    <w:p w:rsidR="00C92DBD" w:rsidRPr="000A0A5F" w:rsidRDefault="00C92DBD" w:rsidP="00C92DBD">
      <w:pPr>
        <w:pStyle w:val="PL"/>
        <w:rPr>
          <w:rFonts w:cs="Courier New"/>
          <w:szCs w:val="16"/>
        </w:rPr>
      </w:pPr>
      <w:r w:rsidRPr="000A0A5F">
        <w:rPr>
          <w:rFonts w:cs="Courier New"/>
          <w:szCs w:val="16"/>
        </w:rPr>
        <w:t xml:space="preserve">      description: Describes additional error information specific for this API.</w:t>
      </w:r>
    </w:p>
    <w:p w:rsidR="00C92DBD" w:rsidRPr="000A0A5F" w:rsidRDefault="00C92DBD" w:rsidP="00C92DBD">
      <w:pPr>
        <w:pStyle w:val="PL"/>
        <w:rPr>
          <w:rFonts w:cs="Courier New"/>
          <w:szCs w:val="16"/>
        </w:rPr>
      </w:pPr>
      <w:r w:rsidRPr="000A0A5F">
        <w:rPr>
          <w:rFonts w:cs="Courier New"/>
          <w:szCs w:val="16"/>
        </w:rPr>
        <w:t xml:space="preserve">      type: object</w:t>
      </w:r>
    </w:p>
    <w:p w:rsidR="00C92DBD" w:rsidRPr="000A0A5F" w:rsidRDefault="00C92DBD" w:rsidP="00C92DBD">
      <w:pPr>
        <w:pStyle w:val="PL"/>
        <w:rPr>
          <w:rFonts w:cs="Courier New"/>
          <w:szCs w:val="16"/>
        </w:rPr>
      </w:pPr>
      <w:r w:rsidRPr="000A0A5F">
        <w:rPr>
          <w:rFonts w:cs="Courier New"/>
          <w:szCs w:val="16"/>
        </w:rPr>
        <w:t xml:space="preserve">      properties:</w:t>
      </w:r>
    </w:p>
    <w:p w:rsidR="00C92DBD" w:rsidRPr="000A0A5F" w:rsidRDefault="00C92DBD" w:rsidP="00C92DBD">
      <w:pPr>
        <w:pStyle w:val="PL"/>
        <w:rPr>
          <w:rFonts w:cs="Courier New"/>
          <w:szCs w:val="16"/>
        </w:rPr>
      </w:pPr>
      <w:r w:rsidRPr="000A0A5F">
        <w:rPr>
          <w:rFonts w:cs="Courier New"/>
          <w:szCs w:val="16"/>
        </w:rPr>
        <w:t xml:space="preserve">        acceptableServInfo:</w:t>
      </w:r>
    </w:p>
    <w:p w:rsidR="00C92DBD" w:rsidRPr="000A0A5F" w:rsidRDefault="00C92DBD" w:rsidP="00C92DBD">
      <w:pPr>
        <w:pStyle w:val="PL"/>
        <w:rPr>
          <w:rFonts w:cs="Courier New"/>
          <w:szCs w:val="16"/>
        </w:rPr>
      </w:pPr>
      <w:r w:rsidRPr="000A0A5F">
        <w:rPr>
          <w:rFonts w:cs="Courier New"/>
          <w:szCs w:val="16"/>
        </w:rPr>
        <w:t xml:space="preserve">          $ref: 'TS29514_</w:t>
      </w:r>
      <w:r w:rsidRPr="000A0A5F">
        <w:t>Npcf_PolicyAuthorization</w:t>
      </w:r>
      <w:r w:rsidRPr="000A0A5F">
        <w:rPr>
          <w:rFonts w:cs="Courier New"/>
          <w:szCs w:val="16"/>
        </w:rPr>
        <w:t>.yaml#/components/schemas/AcceptableServiceInfo'</w:t>
      </w:r>
    </w:p>
    <w:p w:rsidR="00C92DBD" w:rsidRPr="000A0A5F" w:rsidRDefault="00C92DBD" w:rsidP="00C92DBD">
      <w:pPr>
        <w:pStyle w:val="PL"/>
      </w:pPr>
    </w:p>
    <w:p w:rsidR="00C92DBD" w:rsidRPr="000A0A5F" w:rsidRDefault="00C92DBD" w:rsidP="00C92DBD">
      <w:pPr>
        <w:pStyle w:val="PL"/>
        <w:rPr>
          <w:rFonts w:cs="Courier New"/>
          <w:szCs w:val="16"/>
        </w:rPr>
      </w:pPr>
      <w:r w:rsidRPr="000A0A5F">
        <w:rPr>
          <w:rFonts w:cs="Courier New"/>
          <w:szCs w:val="16"/>
        </w:rPr>
        <w:t xml:space="preserve">    ProblemDetailsAsSessionWithQos:</w:t>
      </w:r>
    </w:p>
    <w:p w:rsidR="00C92DBD" w:rsidRPr="000A0A5F" w:rsidRDefault="00C92DBD" w:rsidP="00C92DBD">
      <w:pPr>
        <w:pStyle w:val="PL"/>
        <w:rPr>
          <w:rFonts w:cs="Courier New"/>
          <w:szCs w:val="16"/>
        </w:rPr>
      </w:pPr>
      <w:r w:rsidRPr="000A0A5F">
        <w:rPr>
          <w:rFonts w:cs="Courier New"/>
          <w:szCs w:val="16"/>
        </w:rPr>
        <w:t xml:space="preserve">      description: Extends ProblemDetails to also include the acceptable service info.</w:t>
      </w:r>
    </w:p>
    <w:p w:rsidR="00C92DBD" w:rsidRPr="000A0A5F" w:rsidRDefault="00C92DBD" w:rsidP="00C92DBD">
      <w:pPr>
        <w:pStyle w:val="PL"/>
        <w:rPr>
          <w:rFonts w:cs="Courier New"/>
          <w:szCs w:val="16"/>
        </w:rPr>
      </w:pPr>
      <w:r w:rsidRPr="000A0A5F">
        <w:rPr>
          <w:rFonts w:cs="Courier New"/>
          <w:szCs w:val="16"/>
        </w:rPr>
        <w:t xml:space="preserve">      allOf:</w:t>
      </w:r>
    </w:p>
    <w:p w:rsidR="00C92DBD" w:rsidRPr="000A0A5F" w:rsidRDefault="00C92DBD" w:rsidP="00C92DBD">
      <w:pPr>
        <w:pStyle w:val="PL"/>
      </w:pPr>
      <w:r w:rsidRPr="000A0A5F">
        <w:t xml:space="preserve">      - $ref: '</w:t>
      </w:r>
      <w:r w:rsidRPr="000A0A5F">
        <w:rPr>
          <w:rFonts w:cs="Courier New"/>
          <w:szCs w:val="16"/>
        </w:rPr>
        <w:t>TS29122_CommonData.yaml</w:t>
      </w:r>
      <w:r w:rsidRPr="000A0A5F">
        <w:t>#/components/schemas/ProblemDetails'</w:t>
      </w:r>
    </w:p>
    <w:p w:rsidR="00C92DBD" w:rsidRPr="000A0A5F" w:rsidRDefault="00C92DBD" w:rsidP="00C92DBD">
      <w:pPr>
        <w:pStyle w:val="PL"/>
      </w:pPr>
      <w:r w:rsidRPr="000A0A5F">
        <w:t xml:space="preserve">      - $ref: '#/components/schemas/AdditionInfoAsSessionWithQos'</w:t>
      </w:r>
    </w:p>
    <w:p w:rsidR="00C92DBD" w:rsidRPr="000A0A5F" w:rsidRDefault="00C92DBD">
      <w:pPr>
        <w:pStyle w:val="PL"/>
      </w:pPr>
    </w:p>
    <w:p w:rsidR="0094286E" w:rsidRPr="000A0A5F" w:rsidRDefault="0094286E" w:rsidP="0094286E">
      <w:pPr>
        <w:pStyle w:val="PL"/>
      </w:pPr>
      <w:r w:rsidRPr="000A0A5F">
        <w:t xml:space="preserve">    AsSessionMediaComponent:</w:t>
      </w:r>
    </w:p>
    <w:p w:rsidR="0094286E" w:rsidRPr="000A0A5F" w:rsidRDefault="0094286E" w:rsidP="0094286E">
      <w:pPr>
        <w:pStyle w:val="PL"/>
      </w:pPr>
      <w:r w:rsidRPr="000A0A5F">
        <w:t xml:space="preserve">      description: &gt;</w:t>
      </w:r>
    </w:p>
    <w:p w:rsidR="00090953" w:rsidRDefault="00090953" w:rsidP="00090953">
      <w:pPr>
        <w:pStyle w:val="PL"/>
      </w:pPr>
      <w:r>
        <w:t xml:space="preserve">        Representmedia component data for a single-modal data flow of a multi</w:t>
      </w:r>
      <w:r>
        <w:rPr>
          <w:rFonts w:hint="eastAsia"/>
          <w:lang w:eastAsia="zh-CN"/>
        </w:rPr>
        <w:t>-</w:t>
      </w:r>
      <w:r>
        <w:t>modal service.</w:t>
      </w:r>
    </w:p>
    <w:p w:rsidR="0094286E" w:rsidRPr="000A0A5F" w:rsidRDefault="0094286E" w:rsidP="0094286E">
      <w:pPr>
        <w:pStyle w:val="PL"/>
        <w:rPr>
          <w:rFonts w:cs="Courier New"/>
          <w:szCs w:val="16"/>
        </w:rPr>
      </w:pPr>
      <w:r w:rsidRPr="000A0A5F">
        <w:rPr>
          <w:rFonts w:cs="Courier New"/>
          <w:szCs w:val="16"/>
          <w:lang w:val="es-ES"/>
        </w:rPr>
        <w:t xml:space="preserve">      </w:t>
      </w:r>
      <w:r w:rsidRPr="000A0A5F">
        <w:rPr>
          <w:rFonts w:cs="Courier New"/>
          <w:szCs w:val="16"/>
        </w:rPr>
        <w:t>type: object</w:t>
      </w:r>
    </w:p>
    <w:p w:rsidR="0094286E" w:rsidRPr="000A0A5F" w:rsidRDefault="0094286E" w:rsidP="0094286E">
      <w:pPr>
        <w:pStyle w:val="PL"/>
        <w:rPr>
          <w:rFonts w:cs="Courier New"/>
          <w:szCs w:val="16"/>
        </w:rPr>
      </w:pPr>
      <w:r w:rsidRPr="000A0A5F">
        <w:rPr>
          <w:rFonts w:cs="Courier New"/>
          <w:szCs w:val="16"/>
        </w:rPr>
        <w:t xml:space="preserve">      required:</w:t>
      </w:r>
    </w:p>
    <w:p w:rsidR="0094286E" w:rsidRPr="000A0A5F" w:rsidRDefault="0094286E" w:rsidP="0094286E">
      <w:pPr>
        <w:pStyle w:val="PL"/>
        <w:rPr>
          <w:rFonts w:cs="Courier New"/>
          <w:szCs w:val="16"/>
        </w:rPr>
      </w:pPr>
      <w:r w:rsidRPr="000A0A5F">
        <w:rPr>
          <w:rFonts w:cs="Courier New"/>
          <w:szCs w:val="16"/>
        </w:rPr>
        <w:t xml:space="preserve">        - medCompN</w:t>
      </w:r>
    </w:p>
    <w:p w:rsidR="0094286E" w:rsidRPr="000A0A5F" w:rsidRDefault="0094286E" w:rsidP="0094286E">
      <w:pPr>
        <w:pStyle w:val="PL"/>
      </w:pPr>
      <w:r w:rsidRPr="000A0A5F">
        <w:t xml:space="preserve">      allOf:</w:t>
      </w:r>
    </w:p>
    <w:p w:rsidR="0094286E" w:rsidRPr="000A0A5F" w:rsidRDefault="0094286E" w:rsidP="0094286E">
      <w:pPr>
        <w:pStyle w:val="PL"/>
      </w:pPr>
      <w:r w:rsidRPr="000A0A5F">
        <w:t xml:space="preserve">        - not: </w:t>
      </w:r>
    </w:p>
    <w:p w:rsidR="0094286E" w:rsidRPr="000A0A5F" w:rsidRDefault="0094286E" w:rsidP="0094286E">
      <w:pPr>
        <w:pStyle w:val="PL"/>
      </w:pPr>
      <w:r w:rsidRPr="000A0A5F">
        <w:t xml:space="preserve">            required: [altSerReqs,altSerReqsData]</w:t>
      </w:r>
    </w:p>
    <w:p w:rsidR="0094286E" w:rsidRPr="000A0A5F" w:rsidRDefault="0094286E" w:rsidP="0094286E">
      <w:pPr>
        <w:pStyle w:val="PL"/>
      </w:pPr>
      <w:r w:rsidRPr="000A0A5F">
        <w:t xml:space="preserve">        - not: </w:t>
      </w:r>
    </w:p>
    <w:p w:rsidR="0094286E" w:rsidRPr="000A0A5F" w:rsidRDefault="0094286E" w:rsidP="0094286E">
      <w:pPr>
        <w:pStyle w:val="PL"/>
        <w:rPr>
          <w:rFonts w:cs="Courier New"/>
          <w:szCs w:val="16"/>
        </w:rPr>
      </w:pPr>
      <w:r w:rsidRPr="000A0A5F">
        <w:t xml:space="preserve">            required: [qosReference,altSerReqsData]</w:t>
      </w:r>
    </w:p>
    <w:p w:rsidR="0094286E" w:rsidRPr="000A0A5F" w:rsidRDefault="0094286E" w:rsidP="0094286E">
      <w:pPr>
        <w:pStyle w:val="PL"/>
        <w:rPr>
          <w:rFonts w:cs="Courier New"/>
          <w:szCs w:val="16"/>
        </w:rPr>
      </w:pPr>
      <w:r w:rsidRPr="000A0A5F">
        <w:rPr>
          <w:rFonts w:cs="Courier New"/>
          <w:szCs w:val="16"/>
        </w:rPr>
        <w:t xml:space="preserve">      properties:</w:t>
      </w:r>
    </w:p>
    <w:p w:rsidR="0094286E" w:rsidRPr="000A0A5F" w:rsidRDefault="0094286E" w:rsidP="0094286E">
      <w:pPr>
        <w:pStyle w:val="PL"/>
      </w:pPr>
      <w:r w:rsidRPr="000A0A5F">
        <w:t xml:space="preserve">        flowInfos:</w:t>
      </w:r>
    </w:p>
    <w:p w:rsidR="0094286E" w:rsidRPr="000A0A5F" w:rsidRDefault="0094286E" w:rsidP="0094286E">
      <w:pPr>
        <w:pStyle w:val="PL"/>
      </w:pPr>
      <w:r w:rsidRPr="000A0A5F">
        <w:t xml:space="preserve">          type: array</w:t>
      </w:r>
    </w:p>
    <w:p w:rsidR="0094286E" w:rsidRPr="000A0A5F" w:rsidRDefault="0094286E" w:rsidP="0094286E">
      <w:pPr>
        <w:pStyle w:val="PL"/>
      </w:pPr>
      <w:r w:rsidRPr="000A0A5F">
        <w:t xml:space="preserve">          items:</w:t>
      </w:r>
    </w:p>
    <w:p w:rsidR="0094286E" w:rsidRPr="000A0A5F" w:rsidRDefault="0094286E" w:rsidP="0094286E">
      <w:pPr>
        <w:pStyle w:val="PL"/>
      </w:pPr>
      <w:r w:rsidRPr="000A0A5F">
        <w:t xml:space="preserve">            $ref: 'TS29122_CommonData.yaml#/components/schemas/FlowInfo'</w:t>
      </w:r>
    </w:p>
    <w:p w:rsidR="0094286E" w:rsidRPr="000A0A5F" w:rsidRDefault="0094286E" w:rsidP="0094286E">
      <w:pPr>
        <w:pStyle w:val="PL"/>
      </w:pPr>
      <w:r w:rsidRPr="000A0A5F">
        <w:t xml:space="preserve">          minItems: 1</w:t>
      </w:r>
    </w:p>
    <w:p w:rsidR="0094286E" w:rsidRPr="000A0A5F" w:rsidRDefault="0094286E" w:rsidP="0094286E">
      <w:pPr>
        <w:pStyle w:val="PL"/>
        <w:rPr>
          <w:rFonts w:cs="Courier New"/>
          <w:szCs w:val="16"/>
        </w:rPr>
      </w:pPr>
      <w:r w:rsidRPr="000A0A5F">
        <w:rPr>
          <w:rFonts w:cs="Courier New"/>
          <w:szCs w:val="16"/>
        </w:rPr>
        <w:t xml:space="preserve">          nullable: true</w:t>
      </w:r>
    </w:p>
    <w:p w:rsidR="0094286E" w:rsidRPr="000A0A5F" w:rsidRDefault="0094286E" w:rsidP="0094286E">
      <w:pPr>
        <w:pStyle w:val="PL"/>
      </w:pPr>
      <w:r w:rsidRPr="000A0A5F">
        <w:t xml:space="preserve">          description: &gt;</w:t>
      </w:r>
    </w:p>
    <w:p w:rsidR="0094286E" w:rsidRPr="000A0A5F" w:rsidRDefault="0094286E" w:rsidP="0094286E">
      <w:pPr>
        <w:pStyle w:val="PL"/>
      </w:pPr>
      <w:r w:rsidRPr="000A0A5F">
        <w:t xml:space="preserve">            Contains the IP data flow(s) description for a single-modal data flow.</w:t>
      </w:r>
    </w:p>
    <w:p w:rsidR="0094286E" w:rsidRPr="000A0A5F" w:rsidRDefault="0094286E" w:rsidP="0094286E">
      <w:pPr>
        <w:pStyle w:val="PL"/>
        <w:rPr>
          <w:rFonts w:cs="Courier New"/>
          <w:szCs w:val="16"/>
        </w:rPr>
      </w:pPr>
      <w:r w:rsidRPr="000A0A5F">
        <w:rPr>
          <w:rFonts w:cs="Courier New"/>
          <w:szCs w:val="16"/>
        </w:rPr>
        <w:t xml:space="preserve">        </w:t>
      </w:r>
      <w:r w:rsidRPr="000A0A5F">
        <w:rPr>
          <w:lang w:eastAsia="zh-CN"/>
        </w:rPr>
        <w:t>qosReference</w:t>
      </w:r>
      <w:r w:rsidRPr="000A0A5F">
        <w:rPr>
          <w:rFonts w:cs="Courier New"/>
          <w:szCs w:val="16"/>
        </w:rPr>
        <w:t>:</w:t>
      </w:r>
    </w:p>
    <w:p w:rsidR="0094286E" w:rsidRPr="000A0A5F" w:rsidRDefault="0094286E" w:rsidP="0094286E">
      <w:pPr>
        <w:pStyle w:val="PL"/>
        <w:rPr>
          <w:rFonts w:cs="Courier New"/>
          <w:szCs w:val="16"/>
        </w:rPr>
      </w:pPr>
      <w:r w:rsidRPr="000A0A5F">
        <w:rPr>
          <w:rFonts w:cs="Courier New"/>
          <w:szCs w:val="16"/>
        </w:rPr>
        <w:t xml:space="preserve">          type: string</w:t>
      </w:r>
    </w:p>
    <w:p w:rsidR="0094286E" w:rsidRPr="000A0A5F" w:rsidRDefault="0094286E" w:rsidP="0094286E">
      <w:pPr>
        <w:pStyle w:val="PL"/>
        <w:rPr>
          <w:rFonts w:cs="Courier New"/>
          <w:szCs w:val="16"/>
        </w:rPr>
      </w:pPr>
      <w:r w:rsidRPr="000A0A5F">
        <w:rPr>
          <w:rFonts w:cs="Courier New"/>
          <w:szCs w:val="16"/>
        </w:rPr>
        <w:t xml:space="preserve">        </w:t>
      </w:r>
      <w:r w:rsidRPr="000A0A5F">
        <w:rPr>
          <w:lang w:eastAsia="zh-CN"/>
        </w:rPr>
        <w:t>disUeNotif</w:t>
      </w:r>
      <w:r w:rsidRPr="000A0A5F">
        <w:rPr>
          <w:rFonts w:cs="Courier New"/>
          <w:szCs w:val="16"/>
        </w:rPr>
        <w:t>:</w:t>
      </w:r>
    </w:p>
    <w:p w:rsidR="0094286E" w:rsidRPr="000A0A5F" w:rsidRDefault="0094286E" w:rsidP="0094286E">
      <w:pPr>
        <w:pStyle w:val="PL"/>
        <w:rPr>
          <w:rFonts w:cs="Courier New"/>
          <w:szCs w:val="16"/>
        </w:rPr>
      </w:pPr>
      <w:r w:rsidRPr="000A0A5F">
        <w:rPr>
          <w:rFonts w:cs="Courier New"/>
          <w:szCs w:val="16"/>
        </w:rPr>
        <w:t xml:space="preserve">          type: boolean</w:t>
      </w:r>
    </w:p>
    <w:p w:rsidR="0094286E" w:rsidRPr="000A0A5F" w:rsidRDefault="0094286E" w:rsidP="0094286E">
      <w:pPr>
        <w:pStyle w:val="PL"/>
        <w:rPr>
          <w:rFonts w:cs="Courier New"/>
          <w:szCs w:val="16"/>
        </w:rPr>
      </w:pPr>
      <w:r w:rsidRPr="000A0A5F">
        <w:rPr>
          <w:rFonts w:cs="Courier New"/>
          <w:szCs w:val="16"/>
        </w:rPr>
        <w:t xml:space="preserve">        </w:t>
      </w:r>
      <w:r w:rsidRPr="000A0A5F">
        <w:rPr>
          <w:lang w:eastAsia="zh-CN"/>
        </w:rPr>
        <w:t>altSerReqs</w:t>
      </w:r>
      <w:r w:rsidRPr="000A0A5F">
        <w:rPr>
          <w:rFonts w:cs="Courier New"/>
          <w:szCs w:val="16"/>
        </w:rPr>
        <w:t>:</w:t>
      </w:r>
    </w:p>
    <w:p w:rsidR="0094286E" w:rsidRPr="000A0A5F" w:rsidRDefault="0094286E" w:rsidP="0094286E">
      <w:pPr>
        <w:pStyle w:val="PL"/>
        <w:rPr>
          <w:rFonts w:cs="Courier New"/>
          <w:szCs w:val="16"/>
        </w:rPr>
      </w:pPr>
      <w:r w:rsidRPr="000A0A5F">
        <w:rPr>
          <w:rFonts w:cs="Courier New"/>
          <w:szCs w:val="16"/>
        </w:rPr>
        <w:t xml:space="preserve">          type: array</w:t>
      </w:r>
    </w:p>
    <w:p w:rsidR="0094286E" w:rsidRPr="000A0A5F" w:rsidRDefault="0094286E" w:rsidP="0094286E">
      <w:pPr>
        <w:pStyle w:val="PL"/>
        <w:rPr>
          <w:rFonts w:cs="Courier New"/>
          <w:szCs w:val="16"/>
        </w:rPr>
      </w:pPr>
      <w:r w:rsidRPr="000A0A5F">
        <w:rPr>
          <w:rFonts w:cs="Courier New"/>
          <w:szCs w:val="16"/>
        </w:rPr>
        <w:t xml:space="preserve">          items:</w:t>
      </w:r>
    </w:p>
    <w:p w:rsidR="0094286E" w:rsidRPr="000A0A5F" w:rsidRDefault="0094286E" w:rsidP="0094286E">
      <w:pPr>
        <w:pStyle w:val="PL"/>
        <w:rPr>
          <w:rFonts w:cs="Courier New"/>
          <w:szCs w:val="16"/>
        </w:rPr>
      </w:pPr>
      <w:r w:rsidRPr="000A0A5F">
        <w:rPr>
          <w:rFonts w:cs="Courier New"/>
          <w:szCs w:val="16"/>
        </w:rPr>
        <w:t xml:space="preserve">            type: string</w:t>
      </w:r>
    </w:p>
    <w:p w:rsidR="0094286E" w:rsidRPr="000A0A5F" w:rsidRDefault="0094286E" w:rsidP="0094286E">
      <w:pPr>
        <w:pStyle w:val="PL"/>
      </w:pPr>
      <w:r w:rsidRPr="000A0A5F">
        <w:t xml:space="preserve">          minItems: 1</w:t>
      </w:r>
    </w:p>
    <w:p w:rsidR="0094286E" w:rsidRPr="000A0A5F" w:rsidRDefault="0094286E" w:rsidP="0094286E">
      <w:pPr>
        <w:pStyle w:val="PL"/>
        <w:rPr>
          <w:rFonts w:cs="Courier New"/>
          <w:szCs w:val="16"/>
        </w:rPr>
      </w:pPr>
      <w:r w:rsidRPr="000A0A5F">
        <w:rPr>
          <w:rFonts w:cs="Courier New"/>
          <w:szCs w:val="16"/>
        </w:rPr>
        <w:t xml:space="preserve">        </w:t>
      </w:r>
      <w:r w:rsidRPr="000A0A5F">
        <w:rPr>
          <w:lang w:eastAsia="zh-CN"/>
        </w:rPr>
        <w:t>altSerReqsData</w:t>
      </w:r>
      <w:r w:rsidRPr="000A0A5F">
        <w:rPr>
          <w:rFonts w:cs="Courier New"/>
          <w:szCs w:val="16"/>
        </w:rPr>
        <w:t>:</w:t>
      </w:r>
    </w:p>
    <w:p w:rsidR="0094286E" w:rsidRPr="000A0A5F" w:rsidRDefault="0094286E" w:rsidP="0094286E">
      <w:pPr>
        <w:pStyle w:val="PL"/>
        <w:rPr>
          <w:rFonts w:cs="Courier New"/>
          <w:szCs w:val="16"/>
        </w:rPr>
      </w:pPr>
      <w:r w:rsidRPr="000A0A5F">
        <w:rPr>
          <w:rFonts w:cs="Courier New"/>
          <w:szCs w:val="16"/>
        </w:rPr>
        <w:t xml:space="preserve">          type: array</w:t>
      </w:r>
    </w:p>
    <w:p w:rsidR="0094286E" w:rsidRPr="000A0A5F" w:rsidRDefault="0094286E" w:rsidP="0094286E">
      <w:pPr>
        <w:pStyle w:val="PL"/>
        <w:rPr>
          <w:rFonts w:cs="Courier New"/>
          <w:szCs w:val="16"/>
        </w:rPr>
      </w:pPr>
      <w:r w:rsidRPr="000A0A5F">
        <w:rPr>
          <w:rFonts w:cs="Courier New"/>
          <w:szCs w:val="16"/>
        </w:rPr>
        <w:t xml:space="preserve">          items:</w:t>
      </w:r>
    </w:p>
    <w:p w:rsidR="0094286E" w:rsidRPr="000A0A5F" w:rsidRDefault="0094286E" w:rsidP="0094286E">
      <w:pPr>
        <w:pStyle w:val="PL"/>
        <w:rPr>
          <w:rFonts w:cs="Courier New"/>
          <w:szCs w:val="16"/>
        </w:rPr>
      </w:pPr>
      <w:r w:rsidRPr="000A0A5F">
        <w:rPr>
          <w:rFonts w:cs="Courier New"/>
          <w:szCs w:val="16"/>
        </w:rPr>
        <w:t xml:space="preserve">            $ref: 'TS29514_Npcf_PolicyAuthorization.yaml#/components/schemas/AlternativeServiceRequirementsData'</w:t>
      </w:r>
    </w:p>
    <w:p w:rsidR="0094286E" w:rsidRPr="000A0A5F" w:rsidRDefault="0094286E" w:rsidP="0094286E">
      <w:pPr>
        <w:pStyle w:val="PL"/>
      </w:pPr>
      <w:r w:rsidRPr="000A0A5F">
        <w:t xml:space="preserve">          minItems: 1</w:t>
      </w:r>
    </w:p>
    <w:p w:rsidR="0094286E" w:rsidRPr="000A0A5F" w:rsidRDefault="0094286E" w:rsidP="0094286E">
      <w:pPr>
        <w:pStyle w:val="PL"/>
        <w:rPr>
          <w:rFonts w:cs="Courier New"/>
          <w:szCs w:val="16"/>
        </w:rPr>
      </w:pPr>
      <w:r w:rsidRPr="000A0A5F">
        <w:rPr>
          <w:rFonts w:cs="Courier New"/>
          <w:szCs w:val="16"/>
        </w:rPr>
        <w:t xml:space="preserve">          description: &gt;</w:t>
      </w:r>
    </w:p>
    <w:p w:rsidR="0094286E" w:rsidRPr="000A0A5F" w:rsidRDefault="0094286E" w:rsidP="0094286E">
      <w:pPr>
        <w:pStyle w:val="PL"/>
        <w:rPr>
          <w:rFonts w:cs="Courier New"/>
          <w:szCs w:val="16"/>
        </w:rPr>
      </w:pPr>
      <w:r w:rsidRPr="000A0A5F">
        <w:rPr>
          <w:rFonts w:cs="Courier New"/>
          <w:szCs w:val="16"/>
        </w:rPr>
        <w:t xml:space="preserve">            </w:t>
      </w:r>
      <w:r w:rsidRPr="000A0A5F">
        <w:rPr>
          <w:rFonts w:cs="Arial"/>
          <w:szCs w:val="18"/>
        </w:rPr>
        <w:t xml:space="preserve">Contains </w:t>
      </w:r>
      <w:r w:rsidRPr="000A0A5F">
        <w:rPr>
          <w:lang w:val="en-US"/>
        </w:rPr>
        <w:t>alternative service requirements that include individual QoS parameter sets</w:t>
      </w:r>
      <w:r w:rsidRPr="000A0A5F">
        <w:t>.</w:t>
      </w:r>
    </w:p>
    <w:p w:rsidR="0094286E" w:rsidRPr="000A0A5F" w:rsidRDefault="0094286E" w:rsidP="0094286E">
      <w:pPr>
        <w:pStyle w:val="PL"/>
        <w:rPr>
          <w:rFonts w:cs="Courier New"/>
          <w:szCs w:val="16"/>
        </w:rPr>
      </w:pPr>
      <w:r w:rsidRPr="000A0A5F">
        <w:rPr>
          <w:rFonts w:cs="Courier New"/>
          <w:szCs w:val="16"/>
        </w:rPr>
        <w:t xml:space="preserve">        marBwDl:</w:t>
      </w:r>
    </w:p>
    <w:p w:rsidR="0094286E" w:rsidRPr="000A0A5F" w:rsidRDefault="0094286E" w:rsidP="0094286E">
      <w:pPr>
        <w:pStyle w:val="PL"/>
        <w:rPr>
          <w:rFonts w:cs="Courier New"/>
          <w:szCs w:val="16"/>
        </w:rPr>
      </w:pPr>
      <w:r w:rsidRPr="000A0A5F">
        <w:rPr>
          <w:rFonts w:cs="Courier New"/>
          <w:szCs w:val="16"/>
        </w:rPr>
        <w:t xml:space="preserve">          $ref: 'TS29571_CommonData.yaml#/components/schemas/BitRate'</w:t>
      </w:r>
    </w:p>
    <w:p w:rsidR="0094286E" w:rsidRPr="000A0A5F" w:rsidRDefault="0094286E" w:rsidP="0094286E">
      <w:pPr>
        <w:pStyle w:val="PL"/>
        <w:rPr>
          <w:rFonts w:cs="Courier New"/>
          <w:szCs w:val="16"/>
        </w:rPr>
      </w:pPr>
      <w:r w:rsidRPr="000A0A5F">
        <w:rPr>
          <w:rFonts w:cs="Courier New"/>
          <w:szCs w:val="16"/>
        </w:rPr>
        <w:t xml:space="preserve">        marBwUl:</w:t>
      </w:r>
    </w:p>
    <w:p w:rsidR="0094286E" w:rsidRPr="000A0A5F" w:rsidRDefault="0094286E" w:rsidP="0094286E">
      <w:pPr>
        <w:pStyle w:val="PL"/>
        <w:rPr>
          <w:rFonts w:cs="Courier New"/>
          <w:szCs w:val="16"/>
        </w:rPr>
      </w:pPr>
      <w:r w:rsidRPr="000A0A5F">
        <w:rPr>
          <w:rFonts w:cs="Courier New"/>
          <w:szCs w:val="16"/>
        </w:rPr>
        <w:t xml:space="preserve">          $ref: 'TS29571_CommonData.yaml#/components/schemas/BitRate'</w:t>
      </w:r>
    </w:p>
    <w:p w:rsidR="0094286E" w:rsidRPr="000A0A5F" w:rsidRDefault="0094286E" w:rsidP="0094286E">
      <w:pPr>
        <w:pStyle w:val="PL"/>
        <w:rPr>
          <w:rFonts w:cs="Courier New"/>
          <w:szCs w:val="16"/>
        </w:rPr>
      </w:pPr>
      <w:r w:rsidRPr="000A0A5F">
        <w:rPr>
          <w:rFonts w:cs="Courier New"/>
          <w:szCs w:val="16"/>
        </w:rPr>
        <w:t xml:space="preserve">        medCompN:</w:t>
      </w:r>
    </w:p>
    <w:p w:rsidR="0094286E" w:rsidRPr="000A0A5F" w:rsidRDefault="0094286E" w:rsidP="0094286E">
      <w:pPr>
        <w:pStyle w:val="PL"/>
        <w:rPr>
          <w:rFonts w:cs="Courier New"/>
          <w:szCs w:val="16"/>
        </w:rPr>
      </w:pPr>
      <w:r w:rsidRPr="000A0A5F">
        <w:rPr>
          <w:rFonts w:cs="Courier New"/>
          <w:szCs w:val="16"/>
        </w:rPr>
        <w:t xml:space="preserve">          type: integer</w:t>
      </w:r>
    </w:p>
    <w:p w:rsidR="0094286E" w:rsidRPr="000A0A5F" w:rsidRDefault="0094286E" w:rsidP="0094286E">
      <w:pPr>
        <w:pStyle w:val="PL"/>
        <w:rPr>
          <w:rFonts w:cs="Courier New"/>
          <w:szCs w:val="16"/>
        </w:rPr>
      </w:pPr>
      <w:r w:rsidRPr="000A0A5F">
        <w:rPr>
          <w:rFonts w:cs="Courier New"/>
          <w:szCs w:val="16"/>
        </w:rPr>
        <w:t xml:space="preserve">        medType:</w:t>
      </w:r>
    </w:p>
    <w:p w:rsidR="0094286E" w:rsidRPr="000A0A5F" w:rsidRDefault="0094286E" w:rsidP="0094286E">
      <w:pPr>
        <w:pStyle w:val="PL"/>
        <w:rPr>
          <w:rFonts w:cs="Courier New"/>
          <w:szCs w:val="16"/>
        </w:rPr>
      </w:pPr>
      <w:r w:rsidRPr="000A0A5F">
        <w:rPr>
          <w:rFonts w:cs="Courier New"/>
          <w:szCs w:val="16"/>
        </w:rPr>
        <w:t xml:space="preserve">          $ref: 'TS29514_Npcf_PolicyAuthorization.yaml#/components/schemas/MediaType'</w:t>
      </w:r>
    </w:p>
    <w:p w:rsidR="0094286E" w:rsidRPr="000A0A5F" w:rsidRDefault="0094286E" w:rsidP="0094286E">
      <w:pPr>
        <w:pStyle w:val="PL"/>
        <w:rPr>
          <w:rFonts w:cs="Courier New"/>
          <w:szCs w:val="16"/>
        </w:rPr>
      </w:pPr>
      <w:r w:rsidRPr="000A0A5F">
        <w:rPr>
          <w:rFonts w:cs="Courier New"/>
          <w:szCs w:val="16"/>
        </w:rPr>
        <w:t xml:space="preserve">        mirBwDl:</w:t>
      </w:r>
    </w:p>
    <w:p w:rsidR="0094286E" w:rsidRPr="000A0A5F" w:rsidRDefault="0094286E" w:rsidP="0094286E">
      <w:pPr>
        <w:pStyle w:val="PL"/>
        <w:rPr>
          <w:rFonts w:cs="Courier New"/>
          <w:szCs w:val="16"/>
        </w:rPr>
      </w:pPr>
      <w:r w:rsidRPr="000A0A5F">
        <w:rPr>
          <w:rFonts w:cs="Courier New"/>
          <w:szCs w:val="16"/>
        </w:rPr>
        <w:t xml:space="preserve">          $ref: 'TS29571_CommonData.yaml#/components/schemas/BitRate'</w:t>
      </w:r>
    </w:p>
    <w:p w:rsidR="0094286E" w:rsidRPr="000A0A5F" w:rsidRDefault="0094286E" w:rsidP="0094286E">
      <w:pPr>
        <w:pStyle w:val="PL"/>
        <w:rPr>
          <w:rFonts w:cs="Courier New"/>
          <w:szCs w:val="16"/>
        </w:rPr>
      </w:pPr>
      <w:r w:rsidRPr="000A0A5F">
        <w:rPr>
          <w:rFonts w:cs="Courier New"/>
          <w:szCs w:val="16"/>
        </w:rPr>
        <w:t xml:space="preserve">        mirBwUl:</w:t>
      </w:r>
    </w:p>
    <w:p w:rsidR="0094286E" w:rsidRPr="000A0A5F" w:rsidRDefault="0094286E" w:rsidP="0094286E">
      <w:pPr>
        <w:pStyle w:val="PL"/>
        <w:rPr>
          <w:rFonts w:cs="Courier New"/>
          <w:szCs w:val="16"/>
        </w:rPr>
      </w:pPr>
      <w:r w:rsidRPr="000A0A5F">
        <w:rPr>
          <w:rFonts w:cs="Courier New"/>
          <w:szCs w:val="16"/>
        </w:rPr>
        <w:t xml:space="preserve">          $ref: 'TS29571_CommonData.yaml#/components/schemas/BitRate'</w:t>
      </w:r>
    </w:p>
    <w:p w:rsidR="0094286E" w:rsidRPr="000A0A5F" w:rsidRDefault="0094286E" w:rsidP="0094286E">
      <w:pPr>
        <w:pStyle w:val="PL"/>
        <w:rPr>
          <w:rFonts w:cs="Courier New"/>
          <w:szCs w:val="16"/>
        </w:rPr>
      </w:pPr>
      <w:r w:rsidRPr="000A0A5F">
        <w:rPr>
          <w:rFonts w:cs="Courier New"/>
          <w:szCs w:val="16"/>
        </w:rPr>
        <w:t xml:space="preserve">        tsnQos:</w:t>
      </w:r>
    </w:p>
    <w:p w:rsidR="0094286E" w:rsidRPr="000A0A5F" w:rsidRDefault="0094286E" w:rsidP="0094286E">
      <w:pPr>
        <w:pStyle w:val="PL"/>
        <w:rPr>
          <w:rFonts w:cs="Courier New"/>
          <w:szCs w:val="16"/>
        </w:rPr>
      </w:pPr>
      <w:r w:rsidRPr="000A0A5F">
        <w:rPr>
          <w:rFonts w:cs="Courier New"/>
          <w:szCs w:val="16"/>
        </w:rPr>
        <w:t xml:space="preserve">          </w:t>
      </w:r>
      <w:bookmarkStart w:id="10455" w:name="_Hlk33787816"/>
      <w:r w:rsidRPr="000A0A5F">
        <w:rPr>
          <w:rFonts w:cs="Courier New"/>
          <w:szCs w:val="16"/>
        </w:rPr>
        <w:t>$ref: 'TS29514_Npcf_PolicyAuthorization.yaml#/components/schemas/TsnQosContainer'</w:t>
      </w:r>
      <w:bookmarkEnd w:id="10455"/>
    </w:p>
    <w:p w:rsidR="0094286E" w:rsidRPr="000A0A5F" w:rsidRDefault="0094286E" w:rsidP="0094286E">
      <w:pPr>
        <w:pStyle w:val="PL"/>
        <w:rPr>
          <w:rFonts w:cs="Courier New"/>
          <w:szCs w:val="16"/>
        </w:rPr>
      </w:pPr>
      <w:r w:rsidRPr="000A0A5F">
        <w:rPr>
          <w:rFonts w:cs="Courier New"/>
          <w:szCs w:val="16"/>
        </w:rPr>
        <w:t xml:space="preserve">        tscaiInputDl:</w:t>
      </w:r>
    </w:p>
    <w:p w:rsidR="0094286E" w:rsidRPr="000A0A5F" w:rsidRDefault="0094286E" w:rsidP="0094286E">
      <w:pPr>
        <w:pStyle w:val="PL"/>
        <w:rPr>
          <w:rFonts w:cs="Courier New"/>
          <w:szCs w:val="16"/>
        </w:rPr>
      </w:pPr>
      <w:r w:rsidRPr="000A0A5F">
        <w:rPr>
          <w:rFonts w:cs="Courier New"/>
          <w:szCs w:val="16"/>
        </w:rPr>
        <w:t xml:space="preserve">          $ref: 'TS29514_Npcf_PolicyAuthorization.yaml#/components/schemas/TscaiInputContainer'</w:t>
      </w:r>
    </w:p>
    <w:p w:rsidR="0094286E" w:rsidRPr="000A0A5F" w:rsidRDefault="0094286E" w:rsidP="0094286E">
      <w:pPr>
        <w:pStyle w:val="PL"/>
        <w:rPr>
          <w:rFonts w:cs="Courier New"/>
          <w:szCs w:val="16"/>
        </w:rPr>
      </w:pPr>
      <w:r w:rsidRPr="000A0A5F">
        <w:rPr>
          <w:rFonts w:cs="Courier New"/>
          <w:szCs w:val="16"/>
        </w:rPr>
        <w:t xml:space="preserve">        tscaiInputUl:</w:t>
      </w:r>
    </w:p>
    <w:p w:rsidR="0094286E" w:rsidRPr="000A0A5F" w:rsidRDefault="0094286E" w:rsidP="0094286E">
      <w:pPr>
        <w:pStyle w:val="PL"/>
        <w:rPr>
          <w:rFonts w:cs="Courier New"/>
          <w:szCs w:val="16"/>
        </w:rPr>
      </w:pPr>
      <w:r w:rsidRPr="000A0A5F">
        <w:rPr>
          <w:rFonts w:cs="Courier New"/>
          <w:szCs w:val="16"/>
        </w:rPr>
        <w:t xml:space="preserve">          $ref: 'TS29514_Npcf_PolicyAuthorization.yaml#/components/schemas/TscaiInputContainer'</w:t>
      </w:r>
    </w:p>
    <w:p w:rsidR="0094286E" w:rsidRPr="000A0A5F" w:rsidRDefault="0094286E" w:rsidP="0094286E">
      <w:pPr>
        <w:pStyle w:val="PL"/>
        <w:rPr>
          <w:rFonts w:cs="Courier New"/>
          <w:szCs w:val="16"/>
        </w:rPr>
      </w:pPr>
      <w:r w:rsidRPr="000A0A5F">
        <w:rPr>
          <w:rFonts w:cs="Courier New"/>
          <w:szCs w:val="16"/>
        </w:rPr>
        <w:t xml:space="preserve">        </w:t>
      </w:r>
      <w:r w:rsidRPr="000A0A5F">
        <w:t>tscaiTimeDom</w:t>
      </w:r>
      <w:r w:rsidRPr="000A0A5F">
        <w:rPr>
          <w:rFonts w:cs="Courier New"/>
          <w:szCs w:val="16"/>
        </w:rPr>
        <w:t>:</w:t>
      </w:r>
    </w:p>
    <w:p w:rsidR="0094286E" w:rsidRPr="000A0A5F" w:rsidRDefault="0094286E" w:rsidP="0094286E">
      <w:pPr>
        <w:pStyle w:val="PL"/>
        <w:rPr>
          <w:rFonts w:cs="Courier New"/>
          <w:szCs w:val="16"/>
        </w:rPr>
      </w:pPr>
      <w:r w:rsidRPr="000A0A5F">
        <w:rPr>
          <w:rFonts w:cs="Courier New"/>
          <w:szCs w:val="16"/>
        </w:rPr>
        <w:t xml:space="preserve">          $ref: 'TS29571_CommonData.yaml#/components/schemas/Uinteger'</w:t>
      </w:r>
    </w:p>
    <w:p w:rsidR="0094286E" w:rsidRPr="000A0A5F" w:rsidRDefault="0094286E" w:rsidP="0094286E">
      <w:pPr>
        <w:pStyle w:val="PL"/>
      </w:pPr>
      <w:r w:rsidRPr="000A0A5F">
        <w:t xml:space="preserve">        </w:t>
      </w:r>
      <w:r w:rsidRPr="000A0A5F">
        <w:rPr>
          <w:lang w:eastAsia="zh-CN"/>
        </w:rPr>
        <w:t>rTLatencyReq</w:t>
      </w:r>
      <w:r w:rsidRPr="000A0A5F">
        <w:t>:</w:t>
      </w:r>
    </w:p>
    <w:p w:rsidR="0094286E" w:rsidRPr="000A0A5F" w:rsidRDefault="0094286E" w:rsidP="0094286E">
      <w:pPr>
        <w:pStyle w:val="PL"/>
        <w:rPr>
          <w:rFonts w:cs="Courier New"/>
          <w:szCs w:val="16"/>
        </w:rPr>
      </w:pPr>
      <w:r w:rsidRPr="000A0A5F">
        <w:t xml:space="preserve">          </w:t>
      </w:r>
      <w:r w:rsidRPr="000A0A5F">
        <w:rPr>
          <w:rFonts w:cs="Courier New"/>
          <w:szCs w:val="16"/>
        </w:rPr>
        <w:t>type: boolean</w:t>
      </w:r>
    </w:p>
    <w:p w:rsidR="0094286E" w:rsidRPr="000A0A5F" w:rsidRDefault="0094286E" w:rsidP="0094286E">
      <w:pPr>
        <w:pStyle w:val="PL"/>
        <w:rPr>
          <w:rFonts w:cs="Courier New"/>
          <w:szCs w:val="16"/>
        </w:rPr>
      </w:pPr>
      <w:r w:rsidRPr="000A0A5F">
        <w:t xml:space="preserve">          </w:t>
      </w:r>
      <w:r w:rsidRPr="000A0A5F">
        <w:rPr>
          <w:rFonts w:cs="Courier New"/>
          <w:szCs w:val="16"/>
        </w:rPr>
        <w:t>description: Round-Trip latency requirement of the service data flow.</w:t>
      </w:r>
    </w:p>
    <w:p w:rsidR="0094286E" w:rsidRPr="000A0A5F" w:rsidRDefault="0094286E" w:rsidP="0094286E">
      <w:pPr>
        <w:pStyle w:val="PL"/>
        <w:rPr>
          <w:rFonts w:cs="Courier New"/>
          <w:szCs w:val="16"/>
        </w:rPr>
      </w:pPr>
      <w:r w:rsidRPr="000A0A5F">
        <w:rPr>
          <w:rFonts w:cs="Courier New"/>
          <w:szCs w:val="16"/>
        </w:rPr>
        <w:t xml:space="preserve">        </w:t>
      </w:r>
      <w:r w:rsidRPr="000A0A5F">
        <w:rPr>
          <w:rFonts w:cs="Courier New" w:hint="eastAsia"/>
          <w:szCs w:val="16"/>
          <w:lang w:val="en-US" w:eastAsia="zh-CN"/>
        </w:rPr>
        <w:t>pduSet</w:t>
      </w:r>
      <w:r w:rsidRPr="000A0A5F">
        <w:rPr>
          <w:rFonts w:cs="Courier New"/>
          <w:szCs w:val="16"/>
        </w:rPr>
        <w:t>Qos:</w:t>
      </w:r>
    </w:p>
    <w:p w:rsidR="0094286E" w:rsidRPr="000A0A5F" w:rsidRDefault="0094286E" w:rsidP="0094286E">
      <w:pPr>
        <w:pStyle w:val="PL"/>
        <w:rPr>
          <w:rFonts w:cs="Courier New"/>
          <w:szCs w:val="16"/>
        </w:rPr>
      </w:pPr>
      <w:r w:rsidRPr="000A0A5F">
        <w:rPr>
          <w:rFonts w:cs="Courier New"/>
          <w:szCs w:val="16"/>
        </w:rPr>
        <w:t xml:space="preserve">          </w:t>
      </w:r>
      <w:r w:rsidRPr="000A0A5F">
        <w:t>$ref: 'TS29571_CommonData.yaml#/components/schemas/</w:t>
      </w:r>
      <w:r w:rsidRPr="000A0A5F">
        <w:rPr>
          <w:rFonts w:hint="eastAsia"/>
          <w:lang w:eastAsia="zh-CN"/>
        </w:rPr>
        <w:t>P</w:t>
      </w:r>
      <w:r w:rsidRPr="000A0A5F">
        <w:rPr>
          <w:lang w:eastAsia="zh-CN"/>
        </w:rPr>
        <w:t>duSetQosPara</w:t>
      </w:r>
      <w:r w:rsidRPr="000A0A5F">
        <w:t>'</w:t>
      </w:r>
    </w:p>
    <w:p w:rsidR="00DE6211" w:rsidRPr="000A0A5F" w:rsidRDefault="00DE6211" w:rsidP="00DE6211">
      <w:pPr>
        <w:pStyle w:val="PL"/>
      </w:pPr>
      <w:r w:rsidRPr="000A0A5F">
        <w:t xml:space="preserve">        </w:t>
      </w:r>
      <w:r w:rsidRPr="000A0A5F">
        <w:rPr>
          <w:color w:val="000000"/>
        </w:rPr>
        <w:t>evSubsc</w:t>
      </w:r>
      <w:r w:rsidRPr="000A0A5F">
        <w:t>:</w:t>
      </w:r>
    </w:p>
    <w:p w:rsidR="00DE6211" w:rsidRPr="000A0A5F" w:rsidRDefault="00DE6211" w:rsidP="00DE6211">
      <w:pPr>
        <w:pStyle w:val="PL"/>
        <w:rPr>
          <w:rFonts w:cs="Courier New"/>
          <w:szCs w:val="16"/>
        </w:rPr>
      </w:pPr>
      <w:r w:rsidRPr="000A0A5F">
        <w:t xml:space="preserve">          </w:t>
      </w:r>
      <w:r w:rsidRPr="000A0A5F">
        <w:rPr>
          <w:rFonts w:cs="Courier New"/>
          <w:szCs w:val="16"/>
        </w:rPr>
        <w:t>$ref: 'TS2951</w:t>
      </w:r>
      <w:r w:rsidRPr="000A0A5F">
        <w:rPr>
          <w:rFonts w:cs="Courier New" w:hint="eastAsia"/>
          <w:szCs w:val="16"/>
          <w:lang w:val="en-US" w:eastAsia="zh-CN"/>
        </w:rPr>
        <w:t>4</w:t>
      </w:r>
      <w:r w:rsidRPr="000A0A5F">
        <w:rPr>
          <w:rFonts w:cs="Courier New"/>
          <w:szCs w:val="16"/>
        </w:rPr>
        <w:t>_Npcf_PolicyAuthorization.yaml#/components/schemas/</w:t>
      </w:r>
      <w:r w:rsidRPr="000A0A5F">
        <w:rPr>
          <w:color w:val="C45911"/>
        </w:rPr>
        <w:t>EventsSubscReqData</w:t>
      </w:r>
      <w:r w:rsidRPr="000A0A5F">
        <w:rPr>
          <w:rFonts w:cs="Courier New"/>
          <w:szCs w:val="16"/>
        </w:rPr>
        <w:t>'</w:t>
      </w:r>
    </w:p>
    <w:p w:rsidR="0094286E" w:rsidRPr="000A0A5F" w:rsidRDefault="0094286E" w:rsidP="0094286E">
      <w:pPr>
        <w:pStyle w:val="PL"/>
      </w:pPr>
    </w:p>
    <w:p w:rsidR="0094286E" w:rsidRPr="000A0A5F" w:rsidRDefault="0094286E" w:rsidP="0094286E">
      <w:pPr>
        <w:pStyle w:val="PL"/>
      </w:pPr>
      <w:r w:rsidRPr="000A0A5F">
        <w:t xml:space="preserve">    AsSessionMediaComponentRm:</w:t>
      </w:r>
    </w:p>
    <w:p w:rsidR="0094286E" w:rsidRPr="000A0A5F" w:rsidRDefault="0094286E" w:rsidP="0094286E">
      <w:pPr>
        <w:pStyle w:val="PL"/>
      </w:pPr>
      <w:r w:rsidRPr="000A0A5F">
        <w:t xml:space="preserve">      description: &gt;</w:t>
      </w:r>
    </w:p>
    <w:p w:rsidR="0094286E" w:rsidRPr="000A0A5F" w:rsidRDefault="0094286E" w:rsidP="0094286E">
      <w:pPr>
        <w:pStyle w:val="PL"/>
      </w:pPr>
      <w:r w:rsidRPr="000A0A5F">
        <w:t xml:space="preserve">        Represents the AsSessionMediaComponent data type with nullable information.</w:t>
      </w:r>
    </w:p>
    <w:p w:rsidR="0094286E" w:rsidRPr="000A0A5F" w:rsidRDefault="0094286E" w:rsidP="0094286E">
      <w:pPr>
        <w:pStyle w:val="PL"/>
        <w:rPr>
          <w:rFonts w:cs="Courier New"/>
          <w:szCs w:val="16"/>
        </w:rPr>
      </w:pPr>
      <w:r w:rsidRPr="000A0A5F">
        <w:rPr>
          <w:rFonts w:cs="Courier New"/>
          <w:szCs w:val="16"/>
        </w:rPr>
        <w:t xml:space="preserve">      type: object</w:t>
      </w:r>
    </w:p>
    <w:p w:rsidR="0094286E" w:rsidRPr="000A0A5F" w:rsidRDefault="0094286E" w:rsidP="0094286E">
      <w:pPr>
        <w:pStyle w:val="PL"/>
        <w:rPr>
          <w:rFonts w:cs="Courier New"/>
          <w:szCs w:val="16"/>
        </w:rPr>
      </w:pPr>
      <w:r w:rsidRPr="000A0A5F">
        <w:rPr>
          <w:rFonts w:cs="Courier New"/>
          <w:szCs w:val="16"/>
        </w:rPr>
        <w:t xml:space="preserve">      required:</w:t>
      </w:r>
    </w:p>
    <w:p w:rsidR="0094286E" w:rsidRPr="000A0A5F" w:rsidRDefault="0094286E" w:rsidP="0094286E">
      <w:pPr>
        <w:pStyle w:val="PL"/>
        <w:rPr>
          <w:rFonts w:cs="Courier New"/>
          <w:szCs w:val="16"/>
        </w:rPr>
      </w:pPr>
      <w:r w:rsidRPr="000A0A5F">
        <w:rPr>
          <w:rFonts w:cs="Courier New"/>
          <w:szCs w:val="16"/>
        </w:rPr>
        <w:t xml:space="preserve">        - medCompN</w:t>
      </w:r>
    </w:p>
    <w:p w:rsidR="0094286E" w:rsidRPr="000A0A5F" w:rsidRDefault="0094286E" w:rsidP="0094286E">
      <w:pPr>
        <w:pStyle w:val="PL"/>
      </w:pPr>
      <w:r w:rsidRPr="000A0A5F">
        <w:t xml:space="preserve">      not: </w:t>
      </w:r>
    </w:p>
    <w:p w:rsidR="0094286E" w:rsidRPr="000A0A5F" w:rsidRDefault="0094286E" w:rsidP="0094286E">
      <w:pPr>
        <w:pStyle w:val="PL"/>
        <w:rPr>
          <w:rFonts w:cs="Courier New"/>
          <w:szCs w:val="16"/>
        </w:rPr>
      </w:pPr>
      <w:r w:rsidRPr="000A0A5F">
        <w:t xml:space="preserve">        required: [altSerReqs,altSerReqsData]</w:t>
      </w:r>
    </w:p>
    <w:p w:rsidR="0094286E" w:rsidRPr="000A0A5F" w:rsidRDefault="0094286E" w:rsidP="0094286E">
      <w:pPr>
        <w:pStyle w:val="PL"/>
        <w:rPr>
          <w:rFonts w:cs="Courier New"/>
          <w:szCs w:val="16"/>
        </w:rPr>
      </w:pPr>
      <w:r w:rsidRPr="000A0A5F">
        <w:rPr>
          <w:rFonts w:cs="Courier New"/>
          <w:szCs w:val="16"/>
        </w:rPr>
        <w:t xml:space="preserve">      properties:</w:t>
      </w:r>
    </w:p>
    <w:p w:rsidR="0094286E" w:rsidRPr="000A0A5F" w:rsidRDefault="0094286E" w:rsidP="0094286E">
      <w:pPr>
        <w:pStyle w:val="PL"/>
      </w:pPr>
      <w:r w:rsidRPr="000A0A5F">
        <w:t xml:space="preserve">        flowInfos:</w:t>
      </w:r>
    </w:p>
    <w:p w:rsidR="0094286E" w:rsidRPr="000A0A5F" w:rsidRDefault="0094286E" w:rsidP="0094286E">
      <w:pPr>
        <w:pStyle w:val="PL"/>
      </w:pPr>
      <w:r w:rsidRPr="000A0A5F">
        <w:t xml:space="preserve">          type: array</w:t>
      </w:r>
    </w:p>
    <w:p w:rsidR="0094286E" w:rsidRPr="000A0A5F" w:rsidRDefault="0094286E" w:rsidP="0094286E">
      <w:pPr>
        <w:pStyle w:val="PL"/>
      </w:pPr>
      <w:r w:rsidRPr="000A0A5F">
        <w:t xml:space="preserve">          items:</w:t>
      </w:r>
    </w:p>
    <w:p w:rsidR="0094286E" w:rsidRPr="000A0A5F" w:rsidRDefault="0094286E" w:rsidP="0094286E">
      <w:pPr>
        <w:pStyle w:val="PL"/>
      </w:pPr>
      <w:r w:rsidRPr="000A0A5F">
        <w:t xml:space="preserve">            $ref: 'TS29122_CommonData.yaml#/components/schemas/FlowInfo'</w:t>
      </w:r>
    </w:p>
    <w:p w:rsidR="0094286E" w:rsidRPr="000A0A5F" w:rsidRDefault="0094286E" w:rsidP="0094286E">
      <w:pPr>
        <w:pStyle w:val="PL"/>
      </w:pPr>
      <w:r w:rsidRPr="000A0A5F">
        <w:t xml:space="preserve">          minItems: 1</w:t>
      </w:r>
    </w:p>
    <w:p w:rsidR="0094286E" w:rsidRPr="000A0A5F" w:rsidRDefault="0094286E" w:rsidP="0094286E">
      <w:pPr>
        <w:pStyle w:val="PL"/>
        <w:rPr>
          <w:rFonts w:cs="Courier New"/>
          <w:szCs w:val="16"/>
        </w:rPr>
      </w:pPr>
      <w:r w:rsidRPr="000A0A5F">
        <w:rPr>
          <w:rFonts w:cs="Courier New"/>
          <w:szCs w:val="16"/>
        </w:rPr>
        <w:t xml:space="preserve">          nullable: true</w:t>
      </w:r>
    </w:p>
    <w:p w:rsidR="0094286E" w:rsidRPr="000A0A5F" w:rsidRDefault="0094286E" w:rsidP="0094286E">
      <w:pPr>
        <w:pStyle w:val="PL"/>
      </w:pPr>
      <w:r w:rsidRPr="000A0A5F">
        <w:t xml:space="preserve">          description: &gt;</w:t>
      </w:r>
    </w:p>
    <w:p w:rsidR="0094286E" w:rsidRPr="000A0A5F" w:rsidRDefault="0094286E" w:rsidP="0094286E">
      <w:pPr>
        <w:pStyle w:val="PL"/>
      </w:pPr>
      <w:r w:rsidRPr="000A0A5F">
        <w:t xml:space="preserve">            Contains the IP data flow(s) description for a single-modal data flow.</w:t>
      </w:r>
    </w:p>
    <w:p w:rsidR="0094286E" w:rsidRPr="000A0A5F" w:rsidRDefault="0094286E" w:rsidP="0094286E">
      <w:pPr>
        <w:pStyle w:val="PL"/>
        <w:rPr>
          <w:rFonts w:cs="Courier New"/>
          <w:szCs w:val="16"/>
        </w:rPr>
      </w:pPr>
      <w:r w:rsidRPr="000A0A5F">
        <w:rPr>
          <w:rFonts w:cs="Courier New"/>
          <w:szCs w:val="16"/>
        </w:rPr>
        <w:t xml:space="preserve">        </w:t>
      </w:r>
      <w:r w:rsidRPr="000A0A5F">
        <w:rPr>
          <w:lang w:eastAsia="zh-CN"/>
        </w:rPr>
        <w:t>qosReference</w:t>
      </w:r>
      <w:r w:rsidRPr="000A0A5F">
        <w:rPr>
          <w:rFonts w:cs="Courier New"/>
          <w:szCs w:val="16"/>
        </w:rPr>
        <w:t>:</w:t>
      </w:r>
    </w:p>
    <w:p w:rsidR="0094286E" w:rsidRPr="000A0A5F" w:rsidRDefault="0094286E" w:rsidP="0094286E">
      <w:pPr>
        <w:pStyle w:val="PL"/>
        <w:rPr>
          <w:rFonts w:cs="Courier New"/>
          <w:szCs w:val="16"/>
        </w:rPr>
      </w:pPr>
      <w:r w:rsidRPr="000A0A5F">
        <w:rPr>
          <w:rFonts w:cs="Courier New"/>
          <w:szCs w:val="16"/>
        </w:rPr>
        <w:t xml:space="preserve">          type: string</w:t>
      </w:r>
    </w:p>
    <w:p w:rsidR="0094286E" w:rsidRPr="000A0A5F" w:rsidRDefault="0094286E" w:rsidP="0094286E">
      <w:pPr>
        <w:pStyle w:val="PL"/>
        <w:rPr>
          <w:rFonts w:cs="Courier New"/>
          <w:szCs w:val="16"/>
        </w:rPr>
      </w:pPr>
      <w:r w:rsidRPr="000A0A5F">
        <w:rPr>
          <w:rFonts w:cs="Courier New"/>
          <w:szCs w:val="16"/>
        </w:rPr>
        <w:t xml:space="preserve">          nullable: true</w:t>
      </w:r>
    </w:p>
    <w:p w:rsidR="0094286E" w:rsidRPr="000A0A5F" w:rsidRDefault="0094286E" w:rsidP="0094286E">
      <w:pPr>
        <w:pStyle w:val="PL"/>
        <w:rPr>
          <w:rFonts w:cs="Courier New"/>
          <w:szCs w:val="16"/>
        </w:rPr>
      </w:pPr>
      <w:r w:rsidRPr="000A0A5F">
        <w:rPr>
          <w:rFonts w:cs="Courier New"/>
          <w:szCs w:val="16"/>
        </w:rPr>
        <w:t xml:space="preserve">        </w:t>
      </w:r>
      <w:r w:rsidRPr="000A0A5F">
        <w:rPr>
          <w:lang w:eastAsia="zh-CN"/>
        </w:rPr>
        <w:t>altSerReqs</w:t>
      </w:r>
      <w:r w:rsidRPr="000A0A5F">
        <w:rPr>
          <w:rFonts w:cs="Courier New"/>
          <w:szCs w:val="16"/>
        </w:rPr>
        <w:t>:</w:t>
      </w:r>
    </w:p>
    <w:p w:rsidR="0094286E" w:rsidRPr="000A0A5F" w:rsidRDefault="0094286E" w:rsidP="0094286E">
      <w:pPr>
        <w:pStyle w:val="PL"/>
        <w:rPr>
          <w:rFonts w:cs="Courier New"/>
          <w:szCs w:val="16"/>
        </w:rPr>
      </w:pPr>
      <w:r w:rsidRPr="000A0A5F">
        <w:rPr>
          <w:rFonts w:cs="Courier New"/>
          <w:szCs w:val="16"/>
        </w:rPr>
        <w:t xml:space="preserve">          type: array</w:t>
      </w:r>
    </w:p>
    <w:p w:rsidR="0094286E" w:rsidRPr="000A0A5F" w:rsidRDefault="0094286E" w:rsidP="0094286E">
      <w:pPr>
        <w:pStyle w:val="PL"/>
        <w:rPr>
          <w:rFonts w:cs="Courier New"/>
          <w:szCs w:val="16"/>
        </w:rPr>
      </w:pPr>
      <w:r w:rsidRPr="000A0A5F">
        <w:rPr>
          <w:rFonts w:cs="Courier New"/>
          <w:szCs w:val="16"/>
        </w:rPr>
        <w:t xml:space="preserve">          items:</w:t>
      </w:r>
    </w:p>
    <w:p w:rsidR="0094286E" w:rsidRPr="000A0A5F" w:rsidRDefault="0094286E" w:rsidP="0094286E">
      <w:pPr>
        <w:pStyle w:val="PL"/>
        <w:rPr>
          <w:rFonts w:cs="Courier New"/>
          <w:szCs w:val="16"/>
        </w:rPr>
      </w:pPr>
      <w:r w:rsidRPr="000A0A5F">
        <w:rPr>
          <w:rFonts w:cs="Courier New"/>
          <w:szCs w:val="16"/>
        </w:rPr>
        <w:t xml:space="preserve">            type: string</w:t>
      </w:r>
    </w:p>
    <w:p w:rsidR="0094286E" w:rsidRPr="000A0A5F" w:rsidRDefault="0094286E" w:rsidP="0094286E">
      <w:pPr>
        <w:pStyle w:val="PL"/>
        <w:rPr>
          <w:rFonts w:cs="Courier New"/>
          <w:szCs w:val="16"/>
        </w:rPr>
      </w:pPr>
      <w:r w:rsidRPr="000A0A5F">
        <w:t xml:space="preserve">          minItems: 1</w:t>
      </w:r>
    </w:p>
    <w:p w:rsidR="0094286E" w:rsidRPr="000A0A5F" w:rsidRDefault="0094286E" w:rsidP="0094286E">
      <w:pPr>
        <w:pStyle w:val="PL"/>
      </w:pPr>
      <w:r w:rsidRPr="000A0A5F">
        <w:rPr>
          <w:rFonts w:cs="Courier New"/>
          <w:szCs w:val="16"/>
        </w:rPr>
        <w:t xml:space="preserve">          nullable: true</w:t>
      </w:r>
    </w:p>
    <w:p w:rsidR="0094286E" w:rsidRPr="000A0A5F" w:rsidRDefault="0094286E" w:rsidP="0094286E">
      <w:pPr>
        <w:pStyle w:val="PL"/>
        <w:rPr>
          <w:rFonts w:cs="Courier New"/>
          <w:szCs w:val="16"/>
        </w:rPr>
      </w:pPr>
      <w:r w:rsidRPr="000A0A5F">
        <w:rPr>
          <w:rFonts w:cs="Courier New"/>
          <w:szCs w:val="16"/>
        </w:rPr>
        <w:t xml:space="preserve">        </w:t>
      </w:r>
      <w:r w:rsidRPr="000A0A5F">
        <w:rPr>
          <w:lang w:eastAsia="zh-CN"/>
        </w:rPr>
        <w:t>altSerReqsData</w:t>
      </w:r>
      <w:r w:rsidRPr="000A0A5F">
        <w:rPr>
          <w:rFonts w:cs="Courier New"/>
          <w:szCs w:val="16"/>
        </w:rPr>
        <w:t>:</w:t>
      </w:r>
    </w:p>
    <w:p w:rsidR="0094286E" w:rsidRPr="000A0A5F" w:rsidRDefault="0094286E" w:rsidP="0094286E">
      <w:pPr>
        <w:pStyle w:val="PL"/>
        <w:rPr>
          <w:rFonts w:cs="Courier New"/>
          <w:szCs w:val="16"/>
        </w:rPr>
      </w:pPr>
      <w:r w:rsidRPr="000A0A5F">
        <w:rPr>
          <w:rFonts w:cs="Courier New"/>
          <w:szCs w:val="16"/>
        </w:rPr>
        <w:t xml:space="preserve">          type: array</w:t>
      </w:r>
    </w:p>
    <w:p w:rsidR="0094286E" w:rsidRPr="000A0A5F" w:rsidRDefault="0094286E" w:rsidP="0094286E">
      <w:pPr>
        <w:pStyle w:val="PL"/>
        <w:rPr>
          <w:rFonts w:cs="Courier New"/>
          <w:szCs w:val="16"/>
        </w:rPr>
      </w:pPr>
      <w:r w:rsidRPr="000A0A5F">
        <w:rPr>
          <w:rFonts w:cs="Courier New"/>
          <w:szCs w:val="16"/>
        </w:rPr>
        <w:t xml:space="preserve">          items:</w:t>
      </w:r>
    </w:p>
    <w:p w:rsidR="0094286E" w:rsidRPr="000A0A5F" w:rsidRDefault="0094286E" w:rsidP="0094286E">
      <w:pPr>
        <w:pStyle w:val="PL"/>
        <w:rPr>
          <w:rFonts w:cs="Courier New"/>
          <w:szCs w:val="16"/>
        </w:rPr>
      </w:pPr>
      <w:r w:rsidRPr="000A0A5F">
        <w:rPr>
          <w:rFonts w:cs="Courier New"/>
          <w:szCs w:val="16"/>
        </w:rPr>
        <w:t xml:space="preserve">            $ref: 'TS29514_Npcf_PolicyAuthorization.yaml#/components/schemas/AlternativeServiceRequirementsData'</w:t>
      </w:r>
    </w:p>
    <w:p w:rsidR="0094286E" w:rsidRPr="000A0A5F" w:rsidRDefault="0094286E" w:rsidP="0094286E">
      <w:pPr>
        <w:pStyle w:val="PL"/>
      </w:pPr>
      <w:r w:rsidRPr="000A0A5F">
        <w:t xml:space="preserve">          minItems: 1</w:t>
      </w:r>
    </w:p>
    <w:p w:rsidR="0094286E" w:rsidRPr="000A0A5F" w:rsidRDefault="0094286E" w:rsidP="0094286E">
      <w:pPr>
        <w:pStyle w:val="PL"/>
        <w:rPr>
          <w:rFonts w:cs="Courier New"/>
          <w:szCs w:val="16"/>
        </w:rPr>
      </w:pPr>
      <w:r w:rsidRPr="000A0A5F">
        <w:rPr>
          <w:rFonts w:cs="Courier New"/>
          <w:szCs w:val="16"/>
        </w:rPr>
        <w:t xml:space="preserve">          description: &gt;</w:t>
      </w:r>
    </w:p>
    <w:p w:rsidR="0094286E" w:rsidRPr="000A0A5F" w:rsidRDefault="0094286E" w:rsidP="0094286E">
      <w:pPr>
        <w:pStyle w:val="PL"/>
        <w:rPr>
          <w:lang w:val="en-US"/>
        </w:rPr>
      </w:pPr>
      <w:r w:rsidRPr="000A0A5F">
        <w:rPr>
          <w:rFonts w:cs="Courier New"/>
          <w:szCs w:val="16"/>
        </w:rPr>
        <w:t xml:space="preserve">            </w:t>
      </w:r>
      <w:r w:rsidRPr="000A0A5F">
        <w:rPr>
          <w:rFonts w:cs="Arial"/>
          <w:szCs w:val="18"/>
        </w:rPr>
        <w:t xml:space="preserve">Contains removable </w:t>
      </w:r>
      <w:r w:rsidRPr="000A0A5F">
        <w:rPr>
          <w:lang w:val="en-US"/>
        </w:rPr>
        <w:t>alternative service requirements that include individual QoS</w:t>
      </w:r>
    </w:p>
    <w:p w:rsidR="0094286E" w:rsidRPr="000A0A5F" w:rsidRDefault="0094286E" w:rsidP="0094286E">
      <w:pPr>
        <w:pStyle w:val="PL"/>
      </w:pPr>
      <w:r w:rsidRPr="000A0A5F">
        <w:rPr>
          <w:rFonts w:cs="Courier New"/>
          <w:szCs w:val="16"/>
        </w:rPr>
        <w:t xml:space="preserve">            </w:t>
      </w:r>
      <w:r w:rsidRPr="000A0A5F">
        <w:rPr>
          <w:lang w:val="en-US"/>
        </w:rPr>
        <w:t>parameter sets</w:t>
      </w:r>
      <w:r w:rsidRPr="000A0A5F">
        <w:t>.</w:t>
      </w:r>
    </w:p>
    <w:p w:rsidR="0094286E" w:rsidRPr="000A0A5F" w:rsidRDefault="0094286E" w:rsidP="0094286E">
      <w:pPr>
        <w:pStyle w:val="PL"/>
        <w:rPr>
          <w:rFonts w:cs="Courier New"/>
          <w:szCs w:val="16"/>
        </w:rPr>
      </w:pPr>
      <w:r w:rsidRPr="000A0A5F">
        <w:rPr>
          <w:rFonts w:cs="Courier New"/>
          <w:szCs w:val="16"/>
        </w:rPr>
        <w:t xml:space="preserve">          nullable: true</w:t>
      </w:r>
    </w:p>
    <w:p w:rsidR="0094286E" w:rsidRPr="000A0A5F" w:rsidRDefault="0094286E" w:rsidP="0094286E">
      <w:pPr>
        <w:pStyle w:val="PL"/>
        <w:rPr>
          <w:rFonts w:cs="Courier New"/>
          <w:szCs w:val="16"/>
        </w:rPr>
      </w:pPr>
      <w:r w:rsidRPr="000A0A5F">
        <w:rPr>
          <w:rFonts w:cs="Courier New"/>
          <w:szCs w:val="16"/>
        </w:rPr>
        <w:t xml:space="preserve">        disUeNotif:</w:t>
      </w:r>
    </w:p>
    <w:p w:rsidR="0094286E" w:rsidRPr="000A0A5F" w:rsidRDefault="0094286E" w:rsidP="0094286E">
      <w:pPr>
        <w:pStyle w:val="PL"/>
        <w:rPr>
          <w:rFonts w:cs="Courier New"/>
          <w:szCs w:val="16"/>
        </w:rPr>
      </w:pPr>
      <w:r w:rsidRPr="000A0A5F">
        <w:rPr>
          <w:rFonts w:cs="Courier New"/>
          <w:szCs w:val="16"/>
        </w:rPr>
        <w:t xml:space="preserve">          type: boolean</w:t>
      </w:r>
    </w:p>
    <w:p w:rsidR="0094286E" w:rsidRPr="000A0A5F" w:rsidRDefault="0094286E" w:rsidP="0094286E">
      <w:pPr>
        <w:pStyle w:val="PL"/>
      </w:pPr>
      <w:r w:rsidRPr="000A0A5F">
        <w:rPr>
          <w:rFonts w:cs="Courier New"/>
          <w:szCs w:val="16"/>
        </w:rPr>
        <w:t xml:space="preserve">          nullable: true</w:t>
      </w:r>
    </w:p>
    <w:p w:rsidR="0094286E" w:rsidRPr="000A0A5F" w:rsidRDefault="0094286E" w:rsidP="0094286E">
      <w:pPr>
        <w:pStyle w:val="PL"/>
        <w:rPr>
          <w:rFonts w:cs="Courier New"/>
          <w:szCs w:val="16"/>
        </w:rPr>
      </w:pPr>
      <w:r w:rsidRPr="000A0A5F">
        <w:rPr>
          <w:rFonts w:cs="Courier New"/>
          <w:szCs w:val="16"/>
        </w:rPr>
        <w:t xml:space="preserve">        marBwDl:</w:t>
      </w:r>
    </w:p>
    <w:p w:rsidR="0094286E" w:rsidRPr="000A0A5F" w:rsidRDefault="0094286E" w:rsidP="0094286E">
      <w:pPr>
        <w:pStyle w:val="PL"/>
        <w:rPr>
          <w:rFonts w:cs="Courier New"/>
          <w:szCs w:val="16"/>
        </w:rPr>
      </w:pPr>
      <w:r w:rsidRPr="000A0A5F">
        <w:rPr>
          <w:rFonts w:cs="Courier New"/>
          <w:szCs w:val="16"/>
        </w:rPr>
        <w:t xml:space="preserve">          $ref: 'TS29571_CommonData.yaml#/components/schemas/BitRateRm'</w:t>
      </w:r>
    </w:p>
    <w:p w:rsidR="0094286E" w:rsidRPr="000A0A5F" w:rsidRDefault="0094286E" w:rsidP="0094286E">
      <w:pPr>
        <w:pStyle w:val="PL"/>
        <w:rPr>
          <w:rFonts w:cs="Courier New"/>
          <w:szCs w:val="16"/>
        </w:rPr>
      </w:pPr>
      <w:r w:rsidRPr="000A0A5F">
        <w:rPr>
          <w:rFonts w:cs="Courier New"/>
          <w:szCs w:val="16"/>
        </w:rPr>
        <w:t xml:space="preserve">        marBwUl:</w:t>
      </w:r>
    </w:p>
    <w:p w:rsidR="0094286E" w:rsidRPr="000A0A5F" w:rsidRDefault="0094286E" w:rsidP="0094286E">
      <w:pPr>
        <w:pStyle w:val="PL"/>
        <w:rPr>
          <w:rFonts w:cs="Courier New"/>
          <w:szCs w:val="16"/>
        </w:rPr>
      </w:pPr>
      <w:r w:rsidRPr="000A0A5F">
        <w:rPr>
          <w:rFonts w:cs="Courier New"/>
          <w:szCs w:val="16"/>
        </w:rPr>
        <w:t xml:space="preserve">          $ref: 'TS29571_CommonData.yaml#/components/schemas/BitRateRm'</w:t>
      </w:r>
    </w:p>
    <w:p w:rsidR="0094286E" w:rsidRPr="000A0A5F" w:rsidRDefault="0094286E" w:rsidP="0094286E">
      <w:pPr>
        <w:pStyle w:val="PL"/>
        <w:rPr>
          <w:rFonts w:cs="Courier New"/>
          <w:szCs w:val="16"/>
        </w:rPr>
      </w:pPr>
      <w:r w:rsidRPr="000A0A5F">
        <w:rPr>
          <w:rFonts w:cs="Courier New"/>
          <w:szCs w:val="16"/>
        </w:rPr>
        <w:t xml:space="preserve">        medCompN:</w:t>
      </w:r>
    </w:p>
    <w:p w:rsidR="0094286E" w:rsidRPr="000A0A5F" w:rsidRDefault="0094286E" w:rsidP="0094286E">
      <w:pPr>
        <w:pStyle w:val="PL"/>
        <w:rPr>
          <w:rFonts w:cs="Courier New"/>
          <w:szCs w:val="16"/>
        </w:rPr>
      </w:pPr>
      <w:r w:rsidRPr="000A0A5F">
        <w:rPr>
          <w:rFonts w:cs="Courier New"/>
          <w:szCs w:val="16"/>
        </w:rPr>
        <w:t xml:space="preserve">          type: integer</w:t>
      </w:r>
    </w:p>
    <w:p w:rsidR="0094286E" w:rsidRPr="000A0A5F" w:rsidRDefault="0094286E" w:rsidP="0094286E">
      <w:pPr>
        <w:pStyle w:val="PL"/>
        <w:rPr>
          <w:rFonts w:cs="Courier New"/>
          <w:szCs w:val="16"/>
        </w:rPr>
      </w:pPr>
      <w:r w:rsidRPr="000A0A5F">
        <w:rPr>
          <w:rFonts w:cs="Courier New"/>
          <w:szCs w:val="16"/>
        </w:rPr>
        <w:t xml:space="preserve">        medType:</w:t>
      </w:r>
    </w:p>
    <w:p w:rsidR="0094286E" w:rsidRPr="000A0A5F" w:rsidRDefault="0094286E" w:rsidP="0094286E">
      <w:pPr>
        <w:pStyle w:val="PL"/>
        <w:rPr>
          <w:rFonts w:cs="Courier New"/>
          <w:szCs w:val="16"/>
        </w:rPr>
      </w:pPr>
      <w:r w:rsidRPr="000A0A5F">
        <w:rPr>
          <w:rFonts w:cs="Courier New"/>
          <w:szCs w:val="16"/>
        </w:rPr>
        <w:t xml:space="preserve">          $ref: 'TS29514_Npcf_PolicyAuthorization.yaml#/components/schemas/MediaType'</w:t>
      </w:r>
    </w:p>
    <w:p w:rsidR="0094286E" w:rsidRPr="000A0A5F" w:rsidRDefault="0094286E" w:rsidP="0094286E">
      <w:pPr>
        <w:pStyle w:val="PL"/>
        <w:rPr>
          <w:rFonts w:cs="Courier New"/>
          <w:szCs w:val="16"/>
        </w:rPr>
      </w:pPr>
      <w:r w:rsidRPr="000A0A5F">
        <w:rPr>
          <w:rFonts w:cs="Courier New"/>
          <w:szCs w:val="16"/>
        </w:rPr>
        <w:t xml:space="preserve">        mirBwDl:</w:t>
      </w:r>
    </w:p>
    <w:p w:rsidR="0094286E" w:rsidRPr="000A0A5F" w:rsidRDefault="0094286E" w:rsidP="0094286E">
      <w:pPr>
        <w:pStyle w:val="PL"/>
        <w:rPr>
          <w:rFonts w:cs="Courier New"/>
          <w:szCs w:val="16"/>
        </w:rPr>
      </w:pPr>
      <w:r w:rsidRPr="000A0A5F">
        <w:rPr>
          <w:rFonts w:cs="Courier New"/>
          <w:szCs w:val="16"/>
        </w:rPr>
        <w:t xml:space="preserve">          $ref: 'TS29571_CommonData.yaml#/components/schemas/BitRateRm'</w:t>
      </w:r>
    </w:p>
    <w:p w:rsidR="0094286E" w:rsidRPr="000A0A5F" w:rsidRDefault="0094286E" w:rsidP="0094286E">
      <w:pPr>
        <w:pStyle w:val="PL"/>
        <w:rPr>
          <w:rFonts w:cs="Courier New"/>
          <w:szCs w:val="16"/>
        </w:rPr>
      </w:pPr>
      <w:r w:rsidRPr="000A0A5F">
        <w:rPr>
          <w:rFonts w:cs="Courier New"/>
          <w:szCs w:val="16"/>
        </w:rPr>
        <w:t xml:space="preserve">        mirBwUl:</w:t>
      </w:r>
    </w:p>
    <w:p w:rsidR="0094286E" w:rsidRPr="000A0A5F" w:rsidRDefault="0094286E" w:rsidP="0094286E">
      <w:pPr>
        <w:pStyle w:val="PL"/>
        <w:rPr>
          <w:rFonts w:cs="Courier New"/>
          <w:szCs w:val="16"/>
        </w:rPr>
      </w:pPr>
      <w:r w:rsidRPr="000A0A5F">
        <w:rPr>
          <w:rFonts w:cs="Courier New"/>
          <w:szCs w:val="16"/>
        </w:rPr>
        <w:t xml:space="preserve">          $ref: 'TS29571_CommonData.yaml#/components/schemas/BitRateRm'</w:t>
      </w:r>
    </w:p>
    <w:p w:rsidR="0094286E" w:rsidRPr="000A0A5F" w:rsidRDefault="0094286E" w:rsidP="0094286E">
      <w:pPr>
        <w:pStyle w:val="PL"/>
        <w:rPr>
          <w:rFonts w:cs="Courier New"/>
          <w:szCs w:val="16"/>
        </w:rPr>
      </w:pPr>
      <w:r w:rsidRPr="000A0A5F">
        <w:rPr>
          <w:rFonts w:cs="Courier New"/>
          <w:szCs w:val="16"/>
        </w:rPr>
        <w:t xml:space="preserve">        tsnQos:</w:t>
      </w:r>
    </w:p>
    <w:p w:rsidR="0094286E" w:rsidRPr="000A0A5F" w:rsidRDefault="0094286E" w:rsidP="0094286E">
      <w:pPr>
        <w:pStyle w:val="PL"/>
        <w:rPr>
          <w:rFonts w:cs="Courier New"/>
          <w:szCs w:val="16"/>
        </w:rPr>
      </w:pPr>
      <w:r w:rsidRPr="000A0A5F">
        <w:rPr>
          <w:rFonts w:cs="Courier New"/>
          <w:szCs w:val="16"/>
        </w:rPr>
        <w:t xml:space="preserve">          $ref: 'TS29514_Npcf_PolicyAuthorization.yaml#/components/schemas/TsnQosContainerRm'</w:t>
      </w:r>
    </w:p>
    <w:p w:rsidR="0094286E" w:rsidRPr="000A0A5F" w:rsidRDefault="0094286E" w:rsidP="0094286E">
      <w:pPr>
        <w:pStyle w:val="PL"/>
        <w:rPr>
          <w:rFonts w:cs="Courier New"/>
          <w:szCs w:val="16"/>
        </w:rPr>
      </w:pPr>
      <w:r w:rsidRPr="000A0A5F">
        <w:rPr>
          <w:rFonts w:cs="Courier New"/>
          <w:szCs w:val="16"/>
        </w:rPr>
        <w:t xml:space="preserve">        tscaiInputDl:</w:t>
      </w:r>
    </w:p>
    <w:p w:rsidR="0094286E" w:rsidRPr="000A0A5F" w:rsidRDefault="0094286E" w:rsidP="0094286E">
      <w:pPr>
        <w:pStyle w:val="PL"/>
        <w:rPr>
          <w:rFonts w:cs="Courier New"/>
          <w:szCs w:val="16"/>
        </w:rPr>
      </w:pPr>
      <w:r w:rsidRPr="000A0A5F">
        <w:rPr>
          <w:rFonts w:cs="Courier New"/>
          <w:szCs w:val="16"/>
        </w:rPr>
        <w:t xml:space="preserve">          $ref: 'TS29514_Npcf_PolicyAuthorization.yaml#/components/schemas/TscaiInputContainer'</w:t>
      </w:r>
    </w:p>
    <w:p w:rsidR="0094286E" w:rsidRPr="000A0A5F" w:rsidRDefault="0094286E" w:rsidP="0094286E">
      <w:pPr>
        <w:pStyle w:val="PL"/>
        <w:rPr>
          <w:rFonts w:cs="Courier New"/>
          <w:szCs w:val="16"/>
        </w:rPr>
      </w:pPr>
      <w:r w:rsidRPr="000A0A5F">
        <w:rPr>
          <w:rFonts w:cs="Courier New"/>
          <w:szCs w:val="16"/>
        </w:rPr>
        <w:t xml:space="preserve">        tscaiInputUl:</w:t>
      </w:r>
    </w:p>
    <w:p w:rsidR="0094286E" w:rsidRPr="000A0A5F" w:rsidRDefault="0094286E" w:rsidP="0094286E">
      <w:pPr>
        <w:pStyle w:val="PL"/>
        <w:rPr>
          <w:rFonts w:cs="Courier New"/>
          <w:szCs w:val="16"/>
        </w:rPr>
      </w:pPr>
      <w:r w:rsidRPr="000A0A5F">
        <w:rPr>
          <w:rFonts w:cs="Courier New"/>
          <w:szCs w:val="16"/>
        </w:rPr>
        <w:t xml:space="preserve">          $ref: 'TS29514_Npcf_PolicyAuthorization.yaml#/components/schemas/TscaiInputContainer'</w:t>
      </w:r>
    </w:p>
    <w:p w:rsidR="0094286E" w:rsidRPr="000A0A5F" w:rsidRDefault="0094286E" w:rsidP="0094286E">
      <w:pPr>
        <w:pStyle w:val="PL"/>
      </w:pPr>
      <w:r w:rsidRPr="000A0A5F">
        <w:t xml:space="preserve">        </w:t>
      </w:r>
      <w:r w:rsidRPr="000A0A5F">
        <w:rPr>
          <w:lang w:eastAsia="zh-CN"/>
        </w:rPr>
        <w:t>rTLatencyReq</w:t>
      </w:r>
      <w:r w:rsidRPr="000A0A5F">
        <w:t>:</w:t>
      </w:r>
    </w:p>
    <w:p w:rsidR="0094286E" w:rsidRPr="000A0A5F" w:rsidRDefault="0094286E" w:rsidP="0094286E">
      <w:pPr>
        <w:pStyle w:val="PL"/>
        <w:rPr>
          <w:rFonts w:cs="Courier New"/>
          <w:szCs w:val="16"/>
        </w:rPr>
      </w:pPr>
      <w:r w:rsidRPr="000A0A5F">
        <w:t xml:space="preserve">          </w:t>
      </w:r>
      <w:r w:rsidRPr="000A0A5F">
        <w:rPr>
          <w:rFonts w:cs="Courier New"/>
          <w:szCs w:val="16"/>
        </w:rPr>
        <w:t>type: boolean</w:t>
      </w:r>
    </w:p>
    <w:p w:rsidR="0094286E" w:rsidRPr="000A0A5F" w:rsidRDefault="0094286E" w:rsidP="0094286E">
      <w:pPr>
        <w:pStyle w:val="PL"/>
        <w:rPr>
          <w:rFonts w:cs="Courier New"/>
          <w:szCs w:val="16"/>
        </w:rPr>
      </w:pPr>
      <w:r w:rsidRPr="000A0A5F">
        <w:t xml:space="preserve">          </w:t>
      </w:r>
      <w:r w:rsidRPr="000A0A5F">
        <w:rPr>
          <w:rFonts w:cs="Courier New"/>
          <w:szCs w:val="16"/>
        </w:rPr>
        <w:t>description: Round-Trip latency requirement of the service data flow.</w:t>
      </w:r>
    </w:p>
    <w:p w:rsidR="0094286E" w:rsidRPr="000A0A5F" w:rsidRDefault="0094286E" w:rsidP="0094286E">
      <w:pPr>
        <w:pStyle w:val="PL"/>
        <w:rPr>
          <w:rFonts w:cs="Courier New"/>
          <w:szCs w:val="16"/>
        </w:rPr>
      </w:pPr>
      <w:r w:rsidRPr="000A0A5F">
        <w:rPr>
          <w:rFonts w:cs="Courier New"/>
          <w:szCs w:val="16"/>
        </w:rPr>
        <w:t xml:space="preserve">        </w:t>
      </w:r>
      <w:r w:rsidRPr="000A0A5F">
        <w:rPr>
          <w:rFonts w:cs="Courier New" w:hint="eastAsia"/>
          <w:szCs w:val="16"/>
          <w:lang w:val="en-US" w:eastAsia="zh-CN"/>
        </w:rPr>
        <w:t>pduSet</w:t>
      </w:r>
      <w:r w:rsidRPr="000A0A5F">
        <w:rPr>
          <w:rFonts w:cs="Courier New"/>
          <w:szCs w:val="16"/>
        </w:rPr>
        <w:t>Qos:</w:t>
      </w:r>
    </w:p>
    <w:p w:rsidR="0094286E" w:rsidRPr="000A0A5F" w:rsidRDefault="0094286E" w:rsidP="0094286E">
      <w:pPr>
        <w:pStyle w:val="PL"/>
        <w:rPr>
          <w:rFonts w:cs="Courier New"/>
          <w:szCs w:val="16"/>
        </w:rPr>
      </w:pPr>
      <w:r w:rsidRPr="000A0A5F">
        <w:rPr>
          <w:rFonts w:cs="Courier New"/>
          <w:szCs w:val="16"/>
        </w:rPr>
        <w:t xml:space="preserve">          </w:t>
      </w:r>
      <w:r w:rsidRPr="000A0A5F">
        <w:t>$ref: 'TS29571_CommonData.yaml#/components/schemas/</w:t>
      </w:r>
      <w:r w:rsidRPr="000A0A5F">
        <w:rPr>
          <w:rFonts w:hint="eastAsia"/>
          <w:lang w:eastAsia="zh-CN"/>
        </w:rPr>
        <w:t>P</w:t>
      </w:r>
      <w:r w:rsidRPr="000A0A5F">
        <w:rPr>
          <w:lang w:eastAsia="zh-CN"/>
        </w:rPr>
        <w:t>duSetQosPara</w:t>
      </w:r>
      <w:r w:rsidRPr="000A0A5F">
        <w:t>'</w:t>
      </w:r>
    </w:p>
    <w:p w:rsidR="00DE6211" w:rsidRPr="000A0A5F" w:rsidRDefault="00DE6211" w:rsidP="00DE6211">
      <w:pPr>
        <w:pStyle w:val="PL"/>
        <w:rPr>
          <w:rFonts w:cs="Courier New"/>
          <w:szCs w:val="16"/>
        </w:rPr>
      </w:pPr>
      <w:r w:rsidRPr="000A0A5F">
        <w:rPr>
          <w:rFonts w:cs="Courier New"/>
          <w:szCs w:val="16"/>
        </w:rPr>
        <w:t xml:space="preserve">        evSubsc:</w:t>
      </w:r>
    </w:p>
    <w:p w:rsidR="00DE6211" w:rsidRPr="000A0A5F" w:rsidRDefault="00DE6211" w:rsidP="00DE6211">
      <w:pPr>
        <w:pStyle w:val="PL"/>
        <w:rPr>
          <w:rFonts w:cs="Courier New"/>
          <w:szCs w:val="16"/>
        </w:rPr>
      </w:pPr>
      <w:r w:rsidRPr="000A0A5F">
        <w:rPr>
          <w:rFonts w:cs="Courier New"/>
          <w:szCs w:val="16"/>
        </w:rPr>
        <w:t xml:space="preserve">          $ref: 'TS29514_Npcf_PolicyAuthorization.yaml#/components/schemas/EventsSubscReqDataRm'</w:t>
      </w:r>
    </w:p>
    <w:p w:rsidR="0094286E" w:rsidRPr="000A0A5F" w:rsidRDefault="0094286E" w:rsidP="0094286E">
      <w:pPr>
        <w:pStyle w:val="PL"/>
        <w:rPr>
          <w:rFonts w:cs="Courier New"/>
          <w:szCs w:val="16"/>
        </w:rPr>
      </w:pPr>
      <w:r w:rsidRPr="000A0A5F">
        <w:rPr>
          <w:rFonts w:cs="Courier New"/>
          <w:szCs w:val="16"/>
        </w:rPr>
        <w:t xml:space="preserve">      nullable: true</w:t>
      </w:r>
    </w:p>
    <w:p w:rsidR="0094286E" w:rsidRPr="000A0A5F" w:rsidRDefault="0094286E" w:rsidP="0094286E">
      <w:pPr>
        <w:pStyle w:val="PL"/>
      </w:pPr>
    </w:p>
    <w:p w:rsidR="0094286E" w:rsidRPr="000A0A5F" w:rsidRDefault="0094286E" w:rsidP="0094286E">
      <w:pPr>
        <w:pStyle w:val="PL"/>
      </w:pPr>
      <w:r w:rsidRPr="000A0A5F">
        <w:t xml:space="preserve">    MultiModalFlows:</w:t>
      </w:r>
    </w:p>
    <w:p w:rsidR="0094286E" w:rsidRPr="000A0A5F" w:rsidRDefault="0094286E" w:rsidP="0094286E">
      <w:pPr>
        <w:pStyle w:val="PL"/>
      </w:pPr>
      <w:r w:rsidRPr="000A0A5F">
        <w:t xml:space="preserve">      description: Represents a flow information within a single-modal data flow.</w:t>
      </w:r>
    </w:p>
    <w:p w:rsidR="0094286E" w:rsidRPr="000A0A5F" w:rsidRDefault="0094286E" w:rsidP="0094286E">
      <w:pPr>
        <w:pStyle w:val="PL"/>
      </w:pPr>
      <w:r w:rsidRPr="000A0A5F">
        <w:t xml:space="preserve">      type: object</w:t>
      </w:r>
    </w:p>
    <w:p w:rsidR="0094286E" w:rsidRPr="000A0A5F" w:rsidRDefault="0094286E" w:rsidP="0094286E">
      <w:pPr>
        <w:pStyle w:val="PL"/>
      </w:pPr>
      <w:r w:rsidRPr="000A0A5F">
        <w:t xml:space="preserve">      properties:</w:t>
      </w:r>
    </w:p>
    <w:p w:rsidR="0094286E" w:rsidRPr="000A0A5F" w:rsidRDefault="0094286E" w:rsidP="0094286E">
      <w:pPr>
        <w:pStyle w:val="PL"/>
      </w:pPr>
      <w:r w:rsidRPr="000A0A5F">
        <w:t xml:space="preserve">        medCompN:</w:t>
      </w:r>
    </w:p>
    <w:p w:rsidR="0094286E" w:rsidRPr="000A0A5F" w:rsidRDefault="0094286E" w:rsidP="0094286E">
      <w:pPr>
        <w:pStyle w:val="PL"/>
      </w:pPr>
      <w:r w:rsidRPr="000A0A5F">
        <w:t xml:space="preserve">          type: integer</w:t>
      </w:r>
    </w:p>
    <w:p w:rsidR="0094286E" w:rsidRPr="000A0A5F" w:rsidRDefault="0094286E" w:rsidP="0094286E">
      <w:pPr>
        <w:pStyle w:val="PL"/>
      </w:pPr>
      <w:r w:rsidRPr="000A0A5F">
        <w:t xml:space="preserve">          description: &gt;</w:t>
      </w:r>
    </w:p>
    <w:p w:rsidR="0094286E" w:rsidRPr="000A0A5F" w:rsidRDefault="0094286E" w:rsidP="0094286E">
      <w:pPr>
        <w:pStyle w:val="PL"/>
      </w:pPr>
      <w:r w:rsidRPr="000A0A5F">
        <w:t xml:space="preserve">            It contains the ordinal number of the single-modal data flow. Identifies the</w:t>
      </w:r>
    </w:p>
    <w:p w:rsidR="0094286E" w:rsidRPr="000A0A5F" w:rsidRDefault="0094286E" w:rsidP="0094286E">
      <w:pPr>
        <w:pStyle w:val="PL"/>
      </w:pPr>
      <w:r w:rsidRPr="000A0A5F">
        <w:t xml:space="preserve">            single-modal data flow.</w:t>
      </w:r>
    </w:p>
    <w:p w:rsidR="0094286E" w:rsidRPr="000A0A5F" w:rsidRDefault="0094286E" w:rsidP="0094286E">
      <w:pPr>
        <w:pStyle w:val="PL"/>
      </w:pPr>
      <w:r w:rsidRPr="000A0A5F">
        <w:t xml:space="preserve">        flowIds:</w:t>
      </w:r>
    </w:p>
    <w:p w:rsidR="0094286E" w:rsidRPr="000A0A5F" w:rsidRDefault="0094286E" w:rsidP="0094286E">
      <w:pPr>
        <w:pStyle w:val="PL"/>
      </w:pPr>
      <w:r w:rsidRPr="000A0A5F">
        <w:t xml:space="preserve">          type: array</w:t>
      </w:r>
    </w:p>
    <w:p w:rsidR="0094286E" w:rsidRPr="000A0A5F" w:rsidRDefault="0094286E" w:rsidP="0094286E">
      <w:pPr>
        <w:pStyle w:val="PL"/>
      </w:pPr>
      <w:r w:rsidRPr="000A0A5F">
        <w:t xml:space="preserve">          items:</w:t>
      </w:r>
    </w:p>
    <w:p w:rsidR="0094286E" w:rsidRPr="000A0A5F" w:rsidRDefault="0094286E" w:rsidP="0094286E">
      <w:pPr>
        <w:pStyle w:val="PL"/>
      </w:pPr>
      <w:r w:rsidRPr="000A0A5F">
        <w:t xml:space="preserve">            type: integer</w:t>
      </w:r>
    </w:p>
    <w:p w:rsidR="0094286E" w:rsidRPr="000A0A5F" w:rsidRDefault="0094286E" w:rsidP="0094286E">
      <w:pPr>
        <w:pStyle w:val="PL"/>
      </w:pPr>
      <w:r w:rsidRPr="000A0A5F">
        <w:t xml:space="preserve">          minItems: 1</w:t>
      </w:r>
    </w:p>
    <w:p w:rsidR="0094286E" w:rsidRPr="000A0A5F" w:rsidRDefault="0094286E" w:rsidP="0094286E">
      <w:pPr>
        <w:pStyle w:val="PL"/>
      </w:pPr>
      <w:r w:rsidRPr="000A0A5F">
        <w:t xml:space="preserve">          description: &gt;</w:t>
      </w:r>
    </w:p>
    <w:p w:rsidR="0094286E" w:rsidRPr="000A0A5F" w:rsidRDefault="0094286E" w:rsidP="0094286E">
      <w:pPr>
        <w:pStyle w:val="PL"/>
        <w:rPr>
          <w:lang w:eastAsia="zh-CN"/>
        </w:rPr>
      </w:pPr>
      <w:r w:rsidRPr="000A0A5F">
        <w:t xml:space="preserve">            Identifies the affected flow(s) within the </w:t>
      </w:r>
      <w:r w:rsidRPr="000A0A5F">
        <w:rPr>
          <w:lang w:eastAsia="zh-CN"/>
        </w:rPr>
        <w:t>single-modal data flow</w:t>
      </w:r>
    </w:p>
    <w:p w:rsidR="0094286E" w:rsidRPr="000A0A5F" w:rsidRDefault="0094286E" w:rsidP="0094286E">
      <w:pPr>
        <w:pStyle w:val="PL"/>
      </w:pPr>
      <w:r w:rsidRPr="000A0A5F">
        <w:rPr>
          <w:lang w:eastAsia="zh-CN"/>
        </w:rPr>
        <w:t xml:space="preserve">            (identified by the medCompN attribute)</w:t>
      </w:r>
      <w:r w:rsidRPr="000A0A5F">
        <w:t>.</w:t>
      </w:r>
    </w:p>
    <w:p w:rsidR="0094286E" w:rsidRPr="000A0A5F" w:rsidRDefault="0094286E" w:rsidP="0094286E">
      <w:pPr>
        <w:pStyle w:val="PL"/>
      </w:pPr>
      <w:r w:rsidRPr="000A0A5F">
        <w:t xml:space="preserve">            It may be omitted when all flows are affected.</w:t>
      </w:r>
    </w:p>
    <w:p w:rsidR="0094286E" w:rsidRPr="000A0A5F" w:rsidRDefault="0094286E" w:rsidP="0094286E">
      <w:pPr>
        <w:pStyle w:val="PL"/>
      </w:pPr>
      <w:r w:rsidRPr="000A0A5F">
        <w:t xml:space="preserve">      required:</w:t>
      </w:r>
    </w:p>
    <w:p w:rsidR="0094286E" w:rsidRPr="000A0A5F" w:rsidRDefault="0094286E" w:rsidP="0094286E">
      <w:pPr>
        <w:pStyle w:val="PL"/>
      </w:pPr>
      <w:r w:rsidRPr="000A0A5F">
        <w:t xml:space="preserve">        - medCompN</w:t>
      </w:r>
    </w:p>
    <w:p w:rsidR="008754D8" w:rsidRDefault="008754D8" w:rsidP="008754D8">
      <w:pPr>
        <w:pStyle w:val="PL"/>
      </w:pPr>
    </w:p>
    <w:p w:rsidR="008754D8" w:rsidRDefault="008754D8" w:rsidP="008754D8">
      <w:pPr>
        <w:pStyle w:val="PL"/>
      </w:pPr>
      <w:r>
        <w:t xml:space="preserve">    UeAddInfo:</w:t>
      </w:r>
    </w:p>
    <w:p w:rsidR="008754D8" w:rsidRDefault="008754D8" w:rsidP="008754D8">
      <w:pPr>
        <w:pStyle w:val="PL"/>
      </w:pPr>
      <w:r>
        <w:t xml:space="preserve">      description: Represent the UE address information.</w:t>
      </w:r>
    </w:p>
    <w:p w:rsidR="008754D8" w:rsidRDefault="008754D8" w:rsidP="008754D8">
      <w:pPr>
        <w:pStyle w:val="PL"/>
        <w:rPr>
          <w:rFonts w:cs="Courier New"/>
          <w:szCs w:val="16"/>
        </w:rPr>
      </w:pPr>
      <w:r>
        <w:rPr>
          <w:rFonts w:cs="Courier New"/>
          <w:szCs w:val="16"/>
        </w:rPr>
        <w:t xml:space="preserve">      properties:</w:t>
      </w:r>
    </w:p>
    <w:p w:rsidR="008754D8" w:rsidRDefault="008754D8" w:rsidP="008754D8">
      <w:pPr>
        <w:pStyle w:val="PL"/>
      </w:pPr>
      <w:r>
        <w:t xml:space="preserve">        ueIpAddr:</w:t>
      </w:r>
    </w:p>
    <w:p w:rsidR="008754D8" w:rsidRDefault="008754D8" w:rsidP="008754D8">
      <w:pPr>
        <w:pStyle w:val="PL"/>
      </w:pPr>
      <w:r w:rsidRPr="008E0381">
        <w:t xml:space="preserve">          $ref: 'TS29571_CommonData.yaml#/components/schemas/IpAddr'</w:t>
      </w:r>
    </w:p>
    <w:p w:rsidR="008754D8" w:rsidRPr="008E0381" w:rsidRDefault="008754D8" w:rsidP="008754D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8E0381">
        <w:rPr>
          <w:rFonts w:ascii="Courier New" w:hAnsi="Courier New"/>
          <w:sz w:val="16"/>
        </w:rPr>
        <w:t xml:space="preserve">        portNumber:</w:t>
      </w:r>
    </w:p>
    <w:p w:rsidR="008754D8" w:rsidRPr="008E0381" w:rsidRDefault="008754D8" w:rsidP="008754D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8E0381">
        <w:rPr>
          <w:rFonts w:ascii="Courier New" w:hAnsi="Courier New"/>
          <w:sz w:val="16"/>
        </w:rPr>
        <w:t xml:space="preserve">          $ref: 'TS29122_CommonData.yaml#/components/schemas/Port'</w:t>
      </w:r>
    </w:p>
    <w:p w:rsidR="0094286E" w:rsidRPr="000A0A5F" w:rsidRDefault="0094286E" w:rsidP="0094286E">
      <w:pPr>
        <w:pStyle w:val="PL"/>
      </w:pPr>
    </w:p>
    <w:p w:rsidR="00CB0DD7" w:rsidRPr="000A0A5F" w:rsidRDefault="00CB0DD7">
      <w:pPr>
        <w:pStyle w:val="PL"/>
      </w:pPr>
      <w:r w:rsidRPr="000A0A5F">
        <w:t xml:space="preserve">    UserPlaneEvent:</w:t>
      </w:r>
    </w:p>
    <w:p w:rsidR="00CB0DD7" w:rsidRPr="000A0A5F" w:rsidRDefault="00CB0DD7">
      <w:pPr>
        <w:pStyle w:val="PL"/>
      </w:pPr>
      <w:r w:rsidRPr="000A0A5F">
        <w:t xml:space="preserve">      anyOf:</w:t>
      </w:r>
    </w:p>
    <w:p w:rsidR="00CB0DD7" w:rsidRPr="000A0A5F" w:rsidRDefault="00CB0DD7">
      <w:pPr>
        <w:pStyle w:val="PL"/>
      </w:pPr>
      <w:r w:rsidRPr="000A0A5F">
        <w:t xml:space="preserve">      - type: string</w:t>
      </w:r>
    </w:p>
    <w:p w:rsidR="00CB0DD7" w:rsidRPr="000A0A5F" w:rsidRDefault="00CB0DD7">
      <w:pPr>
        <w:pStyle w:val="PL"/>
      </w:pPr>
      <w:r w:rsidRPr="000A0A5F">
        <w:t xml:space="preserve">        enum:</w:t>
      </w:r>
    </w:p>
    <w:p w:rsidR="00CB0DD7" w:rsidRPr="000A0A5F" w:rsidRDefault="00CB0DD7">
      <w:pPr>
        <w:pStyle w:val="PL"/>
      </w:pPr>
      <w:r w:rsidRPr="000A0A5F">
        <w:t xml:space="preserve">          - SESSION_TERMINATION</w:t>
      </w:r>
    </w:p>
    <w:p w:rsidR="00CB0DD7" w:rsidRPr="000A0A5F" w:rsidRDefault="00CB0DD7">
      <w:pPr>
        <w:pStyle w:val="PL"/>
      </w:pPr>
      <w:r w:rsidRPr="000A0A5F">
        <w:t xml:space="preserve">          - LOSS_OF_BEARER</w:t>
      </w:r>
    </w:p>
    <w:p w:rsidR="00CB0DD7" w:rsidRPr="000A0A5F" w:rsidRDefault="00CB0DD7">
      <w:pPr>
        <w:pStyle w:val="PL"/>
      </w:pPr>
      <w:r w:rsidRPr="000A0A5F">
        <w:t xml:space="preserve">          - RECOVERY_OF_BEARER</w:t>
      </w:r>
    </w:p>
    <w:p w:rsidR="00CB0DD7" w:rsidRPr="000A0A5F" w:rsidRDefault="00CB0DD7">
      <w:pPr>
        <w:pStyle w:val="PL"/>
      </w:pPr>
      <w:r w:rsidRPr="000A0A5F">
        <w:t xml:space="preserve">          - RELEASE_OF_BEARER</w:t>
      </w:r>
    </w:p>
    <w:p w:rsidR="00CB0DD7" w:rsidRPr="000A0A5F" w:rsidRDefault="00CB0DD7">
      <w:pPr>
        <w:pStyle w:val="PL"/>
      </w:pPr>
      <w:r w:rsidRPr="000A0A5F">
        <w:t xml:space="preserve">          - USAGE_REPORT</w:t>
      </w:r>
    </w:p>
    <w:p w:rsidR="00CB0DD7" w:rsidRPr="000A0A5F" w:rsidRDefault="00CB0DD7">
      <w:pPr>
        <w:pStyle w:val="PL"/>
      </w:pPr>
      <w:r w:rsidRPr="000A0A5F">
        <w:t xml:space="preserve">          - FAILED_RESOURCES_ALLOCATION</w:t>
      </w:r>
    </w:p>
    <w:p w:rsidR="00CB0DD7" w:rsidRPr="000A0A5F" w:rsidRDefault="00CB0DD7">
      <w:pPr>
        <w:pStyle w:val="PL"/>
      </w:pPr>
      <w:r w:rsidRPr="000A0A5F">
        <w:t xml:space="preserve">          - QOS_GUARANTEED</w:t>
      </w:r>
    </w:p>
    <w:p w:rsidR="00CB0DD7" w:rsidRPr="000A0A5F" w:rsidRDefault="00CB0DD7">
      <w:pPr>
        <w:pStyle w:val="PL"/>
      </w:pPr>
      <w:r w:rsidRPr="000A0A5F">
        <w:t xml:space="preserve">          - QOS_NOT_GUARANTEED</w:t>
      </w:r>
    </w:p>
    <w:p w:rsidR="00CB0DD7" w:rsidRPr="000A0A5F" w:rsidRDefault="00CB0DD7">
      <w:pPr>
        <w:pStyle w:val="PL"/>
      </w:pPr>
      <w:r w:rsidRPr="000A0A5F">
        <w:t xml:space="preserve">          - QOS_MONITORING</w:t>
      </w:r>
    </w:p>
    <w:p w:rsidR="00CB0DD7" w:rsidRPr="000A0A5F" w:rsidRDefault="00CB0DD7">
      <w:pPr>
        <w:pStyle w:val="PL"/>
      </w:pPr>
      <w:r w:rsidRPr="000A0A5F">
        <w:t xml:space="preserve">          - SUCCESSFUL_RESOURCES_ALLOCATION</w:t>
      </w:r>
    </w:p>
    <w:p w:rsidR="003655EB" w:rsidRPr="000A0A5F" w:rsidRDefault="003655EB" w:rsidP="003655EB">
      <w:pPr>
        <w:pStyle w:val="PL"/>
      </w:pPr>
      <w:r w:rsidRPr="000A0A5F">
        <w:t xml:space="preserve">          - ACCESS_TYPE_CHANGE</w:t>
      </w:r>
    </w:p>
    <w:p w:rsidR="003655EB" w:rsidRPr="000A0A5F" w:rsidRDefault="003655EB">
      <w:pPr>
        <w:pStyle w:val="PL"/>
      </w:pPr>
      <w:r w:rsidRPr="000A0A5F">
        <w:t xml:space="preserve">          - PLMN_CHG</w:t>
      </w:r>
    </w:p>
    <w:p w:rsidR="00EC038D" w:rsidRPr="000A0A5F" w:rsidRDefault="00EC038D" w:rsidP="00EC038D">
      <w:pPr>
        <w:pStyle w:val="PL"/>
      </w:pPr>
      <w:r w:rsidRPr="000A0A5F">
        <w:t xml:space="preserve">          - L4S_NOT_AVAILABLE</w:t>
      </w:r>
    </w:p>
    <w:p w:rsidR="00EC038D" w:rsidRPr="000A0A5F" w:rsidRDefault="00EC038D" w:rsidP="00EC038D">
      <w:pPr>
        <w:pStyle w:val="PL"/>
      </w:pPr>
      <w:r w:rsidRPr="000A0A5F">
        <w:t xml:space="preserve">          - L4S_AVAILABLE</w:t>
      </w:r>
    </w:p>
    <w:p w:rsidR="00EC038D" w:rsidRPr="000A0A5F" w:rsidRDefault="00EC038D" w:rsidP="00EC038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0A0A5F">
        <w:rPr>
          <w:rFonts w:ascii="Courier New" w:hAnsi="Courier New"/>
          <w:sz w:val="16"/>
        </w:rPr>
        <w:t xml:space="preserve">          - BAT_OFFSET_INFO</w:t>
      </w:r>
    </w:p>
    <w:p w:rsidR="00B00D44" w:rsidRPr="000A0A5F" w:rsidRDefault="00B00D44" w:rsidP="00B00D4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0A0A5F">
        <w:rPr>
          <w:rFonts w:ascii="Courier New" w:hAnsi="Courier New"/>
          <w:sz w:val="16"/>
        </w:rPr>
        <w:t xml:space="preserve">          - RT_DELAY_TWO_QOS_FLOWS</w:t>
      </w:r>
    </w:p>
    <w:p w:rsidR="00126096" w:rsidRPr="000A0A5F" w:rsidRDefault="00126096" w:rsidP="0012609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0A0A5F">
        <w:rPr>
          <w:rFonts w:ascii="Courier New" w:hAnsi="Courier New"/>
          <w:sz w:val="16"/>
        </w:rPr>
        <w:t xml:space="preserve">          - PACK_DELAY_VAR</w:t>
      </w:r>
    </w:p>
    <w:p w:rsidR="00CB0DD7" w:rsidRPr="000A0A5F" w:rsidRDefault="00CB0DD7">
      <w:pPr>
        <w:pStyle w:val="PL"/>
      </w:pPr>
      <w:r w:rsidRPr="000A0A5F">
        <w:t xml:space="preserve">      - type: string</w:t>
      </w:r>
    </w:p>
    <w:p w:rsidR="00CB0DD7" w:rsidRPr="000A0A5F" w:rsidRDefault="00CB0DD7">
      <w:pPr>
        <w:pStyle w:val="PL"/>
      </w:pPr>
      <w:r w:rsidRPr="000A0A5F">
        <w:t xml:space="preserve">        description: &gt;</w:t>
      </w:r>
    </w:p>
    <w:p w:rsidR="00CB0DD7" w:rsidRPr="000A0A5F" w:rsidRDefault="00CB0DD7">
      <w:pPr>
        <w:pStyle w:val="PL"/>
      </w:pPr>
      <w:r w:rsidRPr="000A0A5F">
        <w:t xml:space="preserve">          This string provides forward-compatibility with future</w:t>
      </w:r>
    </w:p>
    <w:p w:rsidR="00CB0DD7" w:rsidRPr="000A0A5F" w:rsidRDefault="00CB0DD7">
      <w:pPr>
        <w:pStyle w:val="PL"/>
      </w:pPr>
      <w:r w:rsidRPr="000A0A5F">
        <w:t xml:space="preserve">          extensions to the enumeration but is not used to encode</w:t>
      </w:r>
    </w:p>
    <w:p w:rsidR="00CB0DD7" w:rsidRPr="000A0A5F" w:rsidRDefault="00CB0DD7">
      <w:pPr>
        <w:pStyle w:val="PL"/>
      </w:pPr>
      <w:r w:rsidRPr="000A0A5F">
        <w:t xml:space="preserve">          content defined in the present version of this API.</w:t>
      </w:r>
    </w:p>
    <w:p w:rsidR="00CB0DD7" w:rsidRPr="000A0A5F" w:rsidRDefault="00CB0DD7">
      <w:pPr>
        <w:pStyle w:val="PL"/>
      </w:pPr>
      <w:r w:rsidRPr="000A0A5F">
        <w:t xml:space="preserve">      description: </w:t>
      </w:r>
      <w:r w:rsidR="004E4A47" w:rsidRPr="000A0A5F">
        <w:t>|</w:t>
      </w:r>
    </w:p>
    <w:p w:rsidR="004E4A47" w:rsidRPr="000A0A5F" w:rsidRDefault="004E4A47">
      <w:pPr>
        <w:pStyle w:val="PL"/>
      </w:pPr>
      <w:r w:rsidRPr="000A0A5F">
        <w:t xml:space="preserve">        Represents the user plane event.  </w:t>
      </w:r>
    </w:p>
    <w:p w:rsidR="00CB0DD7" w:rsidRPr="000A0A5F" w:rsidRDefault="00CB0DD7">
      <w:pPr>
        <w:pStyle w:val="PL"/>
      </w:pPr>
      <w:r w:rsidRPr="000A0A5F">
        <w:t xml:space="preserve">        Possible values are</w:t>
      </w:r>
      <w:r w:rsidR="004E4A47" w:rsidRPr="000A0A5F">
        <w:t>:</w:t>
      </w:r>
    </w:p>
    <w:p w:rsidR="00CB0DD7" w:rsidRPr="000A0A5F" w:rsidRDefault="00CB0DD7">
      <w:pPr>
        <w:pStyle w:val="PL"/>
      </w:pPr>
      <w:r w:rsidRPr="000A0A5F">
        <w:t xml:space="preserve">        - SESSION_TERMINATION: Indicates that Rx session is terminated.</w:t>
      </w:r>
    </w:p>
    <w:p w:rsidR="00CB0DD7" w:rsidRPr="000A0A5F" w:rsidRDefault="00CB0DD7">
      <w:pPr>
        <w:pStyle w:val="PL"/>
      </w:pPr>
      <w:r w:rsidRPr="000A0A5F">
        <w:t xml:space="preserve">        - LOSS_OF_BEARER : Indicates a loss of a bearer.</w:t>
      </w:r>
    </w:p>
    <w:p w:rsidR="00CB0DD7" w:rsidRPr="000A0A5F" w:rsidRDefault="00CB0DD7">
      <w:pPr>
        <w:pStyle w:val="PL"/>
      </w:pPr>
      <w:r w:rsidRPr="000A0A5F">
        <w:t xml:space="preserve">        - RECOVERY_OF_BEARER: Indicates a recovery of a bearer.</w:t>
      </w:r>
    </w:p>
    <w:p w:rsidR="00CB0DD7" w:rsidRPr="000A0A5F" w:rsidRDefault="00CB0DD7">
      <w:pPr>
        <w:pStyle w:val="PL"/>
      </w:pPr>
      <w:r w:rsidRPr="000A0A5F">
        <w:t xml:space="preserve">        - RELEASE_OF_BEARER: Indicates a release of a bearer.</w:t>
      </w:r>
    </w:p>
    <w:p w:rsidR="00CB0DD7" w:rsidRPr="000A0A5F" w:rsidRDefault="00CB0DD7">
      <w:pPr>
        <w:pStyle w:val="PL"/>
      </w:pPr>
      <w:r w:rsidRPr="000A0A5F">
        <w:t xml:space="preserve">        - USAGE_REPORT: Indicates the usage report event.</w:t>
      </w:r>
    </w:p>
    <w:p w:rsidR="00CB0DD7" w:rsidRPr="000A0A5F" w:rsidRDefault="00CB0DD7">
      <w:pPr>
        <w:pStyle w:val="PL"/>
        <w:rPr>
          <w:lang w:eastAsia="zh-CN"/>
        </w:rPr>
      </w:pPr>
      <w:r w:rsidRPr="000A0A5F">
        <w:t xml:space="preserve">        - FAILED_RESOURCES_ALLOCATION: </w:t>
      </w:r>
      <w:r w:rsidRPr="000A0A5F">
        <w:rPr>
          <w:lang w:eastAsia="zh-CN"/>
        </w:rPr>
        <w:t>Indicates the resource allocation is failed.</w:t>
      </w:r>
    </w:p>
    <w:p w:rsidR="00CB0DD7" w:rsidRPr="000A0A5F" w:rsidRDefault="00CB0DD7">
      <w:pPr>
        <w:pStyle w:val="PL"/>
      </w:pPr>
      <w:r w:rsidRPr="000A0A5F">
        <w:rPr>
          <w:lang w:eastAsia="zh-CN"/>
        </w:rPr>
        <w:t xml:space="preserve">        - </w:t>
      </w:r>
      <w:r w:rsidRPr="000A0A5F">
        <w:t>QOS_GUARANTEED: The QoS targets of one or more SDFs are guaranteed again.</w:t>
      </w:r>
    </w:p>
    <w:p w:rsidR="00CB0DD7" w:rsidRPr="000A0A5F" w:rsidRDefault="00CB0DD7">
      <w:pPr>
        <w:pStyle w:val="PL"/>
      </w:pPr>
      <w:r w:rsidRPr="000A0A5F">
        <w:t xml:space="preserve">        - QOS_NOT_GUARANTEED: The QoS targets of one or more SDFs are not being guaranteed.</w:t>
      </w:r>
    </w:p>
    <w:p w:rsidR="00CB0DD7" w:rsidRPr="000A0A5F" w:rsidRDefault="00CB0DD7">
      <w:pPr>
        <w:pStyle w:val="PL"/>
      </w:pPr>
      <w:r w:rsidRPr="000A0A5F">
        <w:t xml:space="preserve">        - QOS_MONITORING: Indicates a QoS monitoring event.</w:t>
      </w:r>
    </w:p>
    <w:p w:rsidR="00CB0DD7" w:rsidRPr="000A0A5F" w:rsidRDefault="00CB0DD7">
      <w:pPr>
        <w:pStyle w:val="PL"/>
      </w:pPr>
      <w:r w:rsidRPr="000A0A5F">
        <w:t xml:space="preserve">        - SUCCESSFUL_RESOURCES_ALLOCATION: Indicates the resource allocation is successful.</w:t>
      </w:r>
    </w:p>
    <w:p w:rsidR="00693199" w:rsidRPr="000A0A5F" w:rsidRDefault="00693199" w:rsidP="00693199">
      <w:pPr>
        <w:pStyle w:val="PL"/>
        <w:rPr>
          <w:lang w:eastAsia="zh-CN"/>
        </w:rPr>
      </w:pPr>
      <w:r w:rsidRPr="000A0A5F">
        <w:t xml:space="preserve">        - ACCESS_TYPE_CHANGE: </w:t>
      </w:r>
      <w:r w:rsidRPr="000A0A5F">
        <w:rPr>
          <w:rFonts w:hint="eastAsia"/>
          <w:lang w:eastAsia="zh-CN"/>
        </w:rPr>
        <w:t>I</w:t>
      </w:r>
      <w:r w:rsidRPr="000A0A5F">
        <w:rPr>
          <w:lang w:eastAsia="zh-CN"/>
        </w:rPr>
        <w:t>ndicates an Access type change.</w:t>
      </w:r>
    </w:p>
    <w:p w:rsidR="00693199" w:rsidRPr="000A0A5F" w:rsidRDefault="00693199" w:rsidP="00693199">
      <w:pPr>
        <w:pStyle w:val="PL"/>
      </w:pPr>
      <w:r w:rsidRPr="000A0A5F">
        <w:t xml:space="preserve">        - PLMN_CHG: Indicates a PLMN change.</w:t>
      </w:r>
    </w:p>
    <w:p w:rsidR="00EC038D" w:rsidRPr="000A0A5F" w:rsidRDefault="00EC038D" w:rsidP="00EC038D">
      <w:pPr>
        <w:pStyle w:val="PL"/>
      </w:pPr>
      <w:r w:rsidRPr="000A0A5F">
        <w:t xml:space="preserve">        - L4S_NOT_AVAILABLE: The ECN marking for L4S of one or more SDFs is not available.</w:t>
      </w:r>
    </w:p>
    <w:p w:rsidR="00EC038D" w:rsidRPr="000A0A5F" w:rsidRDefault="00EC038D" w:rsidP="00EC038D">
      <w:pPr>
        <w:pStyle w:val="PL"/>
      </w:pPr>
      <w:r w:rsidRPr="000A0A5F">
        <w:t xml:space="preserve">        - L4S_AVAILABLE: The ECN marking for L4S of one or more SDFs is available again.</w:t>
      </w:r>
    </w:p>
    <w:p w:rsidR="00EC038D" w:rsidRPr="000A0A5F" w:rsidRDefault="00EC038D" w:rsidP="00EC038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0A0A5F">
        <w:rPr>
          <w:rFonts w:ascii="Courier New" w:hAnsi="Courier New"/>
          <w:sz w:val="16"/>
        </w:rPr>
        <w:t xml:space="preserve">        - BAT_OFFSET_INFO: Indicates the network provided BAT offset and the optionally adjusted periodicity.</w:t>
      </w:r>
    </w:p>
    <w:p w:rsidR="00B00D44" w:rsidRPr="000A0A5F" w:rsidRDefault="00B00D44" w:rsidP="00B00D44">
      <w:pPr>
        <w:pStyle w:val="PL"/>
      </w:pPr>
      <w:r w:rsidRPr="000A0A5F">
        <w:t xml:space="preserve">        - RT_DELAY_TWO_QOS_FLOWS: Indicates round-trip delay on UL and DL flows over two QoS flows.</w:t>
      </w:r>
    </w:p>
    <w:p w:rsidR="00126096" w:rsidRPr="000A0A5F" w:rsidRDefault="00126096" w:rsidP="0012609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0A0A5F">
        <w:rPr>
          <w:rFonts w:ascii="Courier New" w:hAnsi="Courier New"/>
          <w:sz w:val="16"/>
        </w:rPr>
        <w:t xml:space="preserve">        - PACK_DELAY_VAR: Indicates Packet Delay Variation is enabled for the SDF.</w:t>
      </w:r>
    </w:p>
    <w:p w:rsidR="00CB0DD7" w:rsidRPr="000A0A5F" w:rsidRDefault="00CB0DD7">
      <w:pPr>
        <w:pStyle w:val="PL"/>
      </w:pPr>
    </w:p>
    <w:p w:rsidR="00CB0DD7" w:rsidRPr="000A0A5F" w:rsidRDefault="00CB0DD7" w:rsidP="008D59EF">
      <w:pPr>
        <w:pStyle w:val="Heading1"/>
      </w:pPr>
      <w:bookmarkStart w:id="10456" w:name="_Toc11247944"/>
      <w:bookmarkStart w:id="10457" w:name="_Toc27045126"/>
      <w:bookmarkStart w:id="10458" w:name="_Toc36034177"/>
      <w:bookmarkStart w:id="10459" w:name="_Toc45132325"/>
      <w:bookmarkStart w:id="10460" w:name="_Toc49776610"/>
      <w:bookmarkStart w:id="10461" w:name="_Toc51747530"/>
      <w:bookmarkStart w:id="10462" w:name="_Toc66361112"/>
      <w:bookmarkStart w:id="10463" w:name="_Toc68105617"/>
      <w:bookmarkStart w:id="10464" w:name="_Toc74756249"/>
      <w:bookmarkStart w:id="10465" w:name="_Toc105675126"/>
      <w:bookmarkStart w:id="10466" w:name="_Toc130503204"/>
      <w:bookmarkStart w:id="10467" w:name="_Toc153625996"/>
      <w:r w:rsidRPr="000A0A5F">
        <w:t>A.15</w:t>
      </w:r>
      <w:r w:rsidRPr="000A0A5F">
        <w:tab/>
        <w:t>MsisdnLessMoSms API</w:t>
      </w:r>
      <w:bookmarkEnd w:id="10456"/>
      <w:bookmarkEnd w:id="10457"/>
      <w:bookmarkEnd w:id="10458"/>
      <w:bookmarkEnd w:id="10459"/>
      <w:bookmarkEnd w:id="10460"/>
      <w:bookmarkEnd w:id="10461"/>
      <w:bookmarkEnd w:id="10462"/>
      <w:bookmarkEnd w:id="10463"/>
      <w:bookmarkEnd w:id="10464"/>
      <w:bookmarkEnd w:id="10465"/>
      <w:bookmarkEnd w:id="10466"/>
      <w:bookmarkEnd w:id="10467"/>
    </w:p>
    <w:p w:rsidR="00CB0DD7" w:rsidRPr="000A0A5F" w:rsidRDefault="00CB0DD7">
      <w:pPr>
        <w:pStyle w:val="PL"/>
      </w:pPr>
      <w:r w:rsidRPr="000A0A5F">
        <w:t>openapi: 3.0.0</w:t>
      </w:r>
    </w:p>
    <w:p w:rsidR="00CB0DD7" w:rsidRPr="000A0A5F" w:rsidRDefault="00CB0DD7">
      <w:pPr>
        <w:pStyle w:val="PL"/>
      </w:pPr>
      <w:r w:rsidRPr="000A0A5F">
        <w:t>info:</w:t>
      </w:r>
    </w:p>
    <w:p w:rsidR="00CB0DD7" w:rsidRPr="000A0A5F" w:rsidRDefault="00CB0DD7">
      <w:pPr>
        <w:pStyle w:val="PL"/>
      </w:pPr>
      <w:r w:rsidRPr="000A0A5F">
        <w:t xml:space="preserve">  title: 3gpp-msisdn-less-mo-sms</w:t>
      </w:r>
    </w:p>
    <w:p w:rsidR="00CB0DD7" w:rsidRPr="000A0A5F" w:rsidRDefault="00CB0DD7">
      <w:pPr>
        <w:pStyle w:val="PL"/>
      </w:pPr>
      <w:r w:rsidRPr="000A0A5F">
        <w:t xml:space="preserve">  version: 1.2.0</w:t>
      </w:r>
    </w:p>
    <w:p w:rsidR="00CB0DD7" w:rsidRPr="000A0A5F" w:rsidRDefault="00CB0DD7">
      <w:pPr>
        <w:pStyle w:val="PL"/>
      </w:pPr>
      <w:r w:rsidRPr="000A0A5F">
        <w:t xml:space="preserve">  description: |</w:t>
      </w:r>
    </w:p>
    <w:p w:rsidR="00CB0DD7" w:rsidRPr="000A0A5F" w:rsidRDefault="00CB0DD7">
      <w:pPr>
        <w:pStyle w:val="PL"/>
      </w:pPr>
      <w:r w:rsidRPr="000A0A5F">
        <w:t xml:space="preserve">    API for MSISDN-less Mobile Originated SMS.</w:t>
      </w:r>
      <w:r w:rsidR="005B6DFB" w:rsidRPr="000A0A5F">
        <w:t xml:space="preserve">  </w:t>
      </w:r>
    </w:p>
    <w:p w:rsidR="00CB0DD7" w:rsidRPr="000A0A5F" w:rsidRDefault="00CB0DD7">
      <w:pPr>
        <w:pStyle w:val="PL"/>
      </w:pPr>
      <w:r w:rsidRPr="000A0A5F">
        <w:t xml:space="preserve">    © 202</w:t>
      </w:r>
      <w:r w:rsidR="005B6DFB" w:rsidRPr="000A0A5F">
        <w:t>2</w:t>
      </w:r>
      <w:r w:rsidRPr="000A0A5F">
        <w:t>, 3GPP Organizational Partners (ARIB, ATIS, CCSA, ETSI, TSDSI, TTA, TTC).</w:t>
      </w:r>
      <w:r w:rsidR="005B6DFB" w:rsidRPr="000A0A5F">
        <w:t xml:space="preserve">  </w:t>
      </w:r>
    </w:p>
    <w:p w:rsidR="00CB0DD7" w:rsidRPr="000A0A5F" w:rsidRDefault="00CB0DD7">
      <w:pPr>
        <w:pStyle w:val="PL"/>
      </w:pPr>
      <w:r w:rsidRPr="000A0A5F">
        <w:t xml:space="preserve">    All rights reserved.</w:t>
      </w:r>
    </w:p>
    <w:p w:rsidR="00CB0DD7" w:rsidRPr="000A0A5F" w:rsidRDefault="00CB0DD7">
      <w:pPr>
        <w:pStyle w:val="PL"/>
      </w:pPr>
      <w:r w:rsidRPr="000A0A5F">
        <w:t>externalDocs:</w:t>
      </w:r>
    </w:p>
    <w:p w:rsidR="00CB0DD7" w:rsidRPr="000A0A5F" w:rsidRDefault="00CB0DD7">
      <w:pPr>
        <w:pStyle w:val="PL"/>
      </w:pPr>
      <w:r w:rsidRPr="000A0A5F">
        <w:t xml:space="preserve">  description: 3GPP TS 29.122 V17.</w:t>
      </w:r>
      <w:r w:rsidR="005B6DFB" w:rsidRPr="000A0A5F">
        <w:t>6</w:t>
      </w:r>
      <w:r w:rsidRPr="000A0A5F">
        <w:t>.0 T8 reference point for Northbound APIs</w:t>
      </w:r>
    </w:p>
    <w:p w:rsidR="00CB0DD7" w:rsidRPr="000A0A5F" w:rsidRDefault="00CB0DD7">
      <w:pPr>
        <w:pStyle w:val="PL"/>
      </w:pPr>
      <w:r w:rsidRPr="000A0A5F">
        <w:t xml:space="preserve">  url: 'http</w:t>
      </w:r>
      <w:r w:rsidR="005B6DFB" w:rsidRPr="000A0A5F">
        <w:t>s</w:t>
      </w:r>
      <w:r w:rsidRPr="000A0A5F">
        <w:t>://www.3gpp.org/ftp/Specs/archive/29_series/29.122/'</w:t>
      </w:r>
    </w:p>
    <w:p w:rsidR="00CB0DD7" w:rsidRPr="000A0A5F" w:rsidRDefault="00CB0DD7">
      <w:pPr>
        <w:pStyle w:val="PL"/>
      </w:pPr>
      <w:r w:rsidRPr="000A0A5F">
        <w:t>security:</w:t>
      </w:r>
    </w:p>
    <w:p w:rsidR="00CB0DD7" w:rsidRPr="000A0A5F" w:rsidRDefault="00CB0DD7">
      <w:pPr>
        <w:pStyle w:val="PL"/>
        <w:rPr>
          <w:lang w:val="en-US"/>
        </w:rPr>
      </w:pPr>
      <w:r w:rsidRPr="000A0A5F">
        <w:rPr>
          <w:lang w:val="en-US"/>
        </w:rPr>
        <w:t xml:space="preserve">  - {}</w:t>
      </w:r>
    </w:p>
    <w:p w:rsidR="00CB0DD7" w:rsidRPr="000A0A5F" w:rsidRDefault="00CB0DD7">
      <w:pPr>
        <w:pStyle w:val="PL"/>
      </w:pPr>
      <w:r w:rsidRPr="000A0A5F">
        <w:t xml:space="preserve">  - oAuth2ClientCredentials: []</w:t>
      </w:r>
    </w:p>
    <w:p w:rsidR="00CB0DD7" w:rsidRPr="000A0A5F" w:rsidRDefault="00CB0DD7">
      <w:pPr>
        <w:pStyle w:val="PL"/>
      </w:pPr>
      <w:r w:rsidRPr="000A0A5F">
        <w:t>servers:</w:t>
      </w:r>
    </w:p>
    <w:p w:rsidR="00CB0DD7" w:rsidRPr="000A0A5F" w:rsidRDefault="00CB0DD7">
      <w:pPr>
        <w:pStyle w:val="PL"/>
      </w:pPr>
      <w:r w:rsidRPr="000A0A5F">
        <w:t xml:space="preserve">  - url: '{apiRoot}'</w:t>
      </w:r>
    </w:p>
    <w:p w:rsidR="00CB0DD7" w:rsidRPr="000A0A5F" w:rsidRDefault="00CB0DD7">
      <w:pPr>
        <w:pStyle w:val="PL"/>
      </w:pPr>
      <w:r w:rsidRPr="000A0A5F">
        <w:t xml:space="preserve">    variables:</w:t>
      </w:r>
    </w:p>
    <w:p w:rsidR="00CB0DD7" w:rsidRPr="000A0A5F" w:rsidRDefault="00CB0DD7">
      <w:pPr>
        <w:pStyle w:val="PL"/>
      </w:pPr>
      <w:r w:rsidRPr="000A0A5F">
        <w:t xml:space="preserve">      apiRoot:</w:t>
      </w:r>
    </w:p>
    <w:p w:rsidR="00CB0DD7" w:rsidRPr="000A0A5F" w:rsidRDefault="00CB0DD7">
      <w:pPr>
        <w:pStyle w:val="PL"/>
      </w:pPr>
      <w:r w:rsidRPr="000A0A5F">
        <w:t xml:space="preserve">        default: https://example.com</w:t>
      </w:r>
    </w:p>
    <w:p w:rsidR="00CB0DD7" w:rsidRPr="000A0A5F" w:rsidRDefault="00CB0DD7">
      <w:pPr>
        <w:pStyle w:val="PL"/>
      </w:pPr>
      <w:r w:rsidRPr="000A0A5F">
        <w:t xml:space="preserve">        description: apiRoot as defined in clause 5.2.4 of 3GPP TS 29.122.</w:t>
      </w:r>
    </w:p>
    <w:p w:rsidR="00CB0DD7" w:rsidRPr="000A0A5F" w:rsidRDefault="00CB0DD7">
      <w:pPr>
        <w:pStyle w:val="PL"/>
      </w:pPr>
      <w:r w:rsidRPr="000A0A5F">
        <w:t>paths:</w:t>
      </w:r>
    </w:p>
    <w:p w:rsidR="00CB0DD7" w:rsidRPr="000A0A5F" w:rsidRDefault="00CB0DD7">
      <w:pPr>
        <w:pStyle w:val="PL"/>
      </w:pPr>
      <w:r w:rsidRPr="000A0A5F">
        <w:t xml:space="preserve">  /:</w:t>
      </w:r>
    </w:p>
    <w:p w:rsidR="00CB0DD7" w:rsidRPr="000A0A5F" w:rsidRDefault="00CB0DD7">
      <w:pPr>
        <w:pStyle w:val="PL"/>
      </w:pPr>
      <w:r w:rsidRPr="000A0A5F">
        <w:t xml:space="preserve">    post:</w:t>
      </w:r>
    </w:p>
    <w:p w:rsidR="00D558C1" w:rsidRPr="000A0A5F" w:rsidRDefault="00D558C1" w:rsidP="00D558C1">
      <w:pPr>
        <w:pStyle w:val="PL"/>
      </w:pPr>
      <w:r w:rsidRPr="000A0A5F">
        <w:t xml:space="preserve">      summary: </w:t>
      </w:r>
      <w:r w:rsidRPr="000A0A5F">
        <w:rPr>
          <w:lang w:eastAsia="zh-CN"/>
        </w:rPr>
        <w:t xml:space="preserve">Deliver a received </w:t>
      </w:r>
      <w:r w:rsidRPr="000A0A5F">
        <w:t>MSIDN-less MO SMS</w:t>
      </w:r>
      <w:r w:rsidRPr="000A0A5F">
        <w:rPr>
          <w:lang w:eastAsia="zh-CN"/>
        </w:rPr>
        <w:t xml:space="preserve"> from the SCEF to the SCS/AS.</w:t>
      </w:r>
    </w:p>
    <w:p w:rsidR="00D558C1" w:rsidRPr="000A0A5F" w:rsidRDefault="00D558C1" w:rsidP="00D558C1">
      <w:pPr>
        <w:pStyle w:val="PL"/>
      </w:pPr>
      <w:r w:rsidRPr="000A0A5F">
        <w:t xml:space="preserve">      </w:t>
      </w:r>
      <w:r w:rsidRPr="000A0A5F">
        <w:rPr>
          <w:rFonts w:cs="Courier New"/>
          <w:szCs w:val="16"/>
        </w:rPr>
        <w:t xml:space="preserve">operationId: </w:t>
      </w:r>
      <w:bookmarkStart w:id="10468" w:name="_Hlk83681177"/>
      <w:r w:rsidRPr="000A0A5F">
        <w:rPr>
          <w:rFonts w:cs="Courier New"/>
          <w:szCs w:val="16"/>
        </w:rPr>
        <w:t>Deliver</w:t>
      </w:r>
      <w:r w:rsidRPr="000A0A5F">
        <w:t>MSISDNlessMOSMS</w:t>
      </w:r>
      <w:r w:rsidRPr="000A0A5F">
        <w:rPr>
          <w:rFonts w:hint="eastAsia"/>
          <w:lang w:eastAsia="zh-CN"/>
        </w:rPr>
        <w:t>Notification</w:t>
      </w:r>
      <w:bookmarkEnd w:id="10468"/>
    </w:p>
    <w:p w:rsidR="00D558C1" w:rsidRPr="000A0A5F" w:rsidRDefault="00D558C1" w:rsidP="00D558C1">
      <w:pPr>
        <w:pStyle w:val="PL"/>
      </w:pPr>
      <w:r w:rsidRPr="000A0A5F">
        <w:t xml:space="preserve">      tags:</w:t>
      </w:r>
    </w:p>
    <w:p w:rsidR="00D558C1" w:rsidRPr="000A0A5F" w:rsidRDefault="00D558C1" w:rsidP="00D558C1">
      <w:pPr>
        <w:pStyle w:val="PL"/>
      </w:pPr>
      <w:r w:rsidRPr="000A0A5F">
        <w:t xml:space="preserve">        - MSISDN-less MO SMS </w:t>
      </w:r>
      <w:r w:rsidRPr="000A0A5F">
        <w:rPr>
          <w:rFonts w:hint="eastAsia"/>
          <w:lang w:eastAsia="zh-CN"/>
        </w:rPr>
        <w:t>Notification</w:t>
      </w:r>
    </w:p>
    <w:p w:rsidR="00CB0DD7" w:rsidRPr="000A0A5F" w:rsidRDefault="00CB0DD7">
      <w:pPr>
        <w:pStyle w:val="PL"/>
      </w:pPr>
      <w:r w:rsidRPr="000A0A5F">
        <w:t xml:space="preserve">      requestBody:</w:t>
      </w:r>
    </w:p>
    <w:p w:rsidR="00CB0DD7" w:rsidRPr="000A0A5F" w:rsidRDefault="00CB0DD7">
      <w:pPr>
        <w:pStyle w:val="PL"/>
      </w:pPr>
      <w:r w:rsidRPr="000A0A5F">
        <w:t xml:space="preserve">        required: true</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application/json:</w:t>
      </w:r>
    </w:p>
    <w:p w:rsidR="00CB0DD7" w:rsidRPr="000A0A5F" w:rsidRDefault="00CB0DD7">
      <w:pPr>
        <w:pStyle w:val="PL"/>
      </w:pPr>
      <w:r w:rsidRPr="000A0A5F">
        <w:t xml:space="preserve">            schema:</w:t>
      </w:r>
    </w:p>
    <w:p w:rsidR="00CB0DD7" w:rsidRPr="000A0A5F" w:rsidRDefault="00CB0DD7">
      <w:pPr>
        <w:pStyle w:val="PL"/>
      </w:pPr>
      <w:r w:rsidRPr="000A0A5F">
        <w:t xml:space="preserve">              $ref: '#/components/schemas/MsisdnLessMoSmsNotification'</w:t>
      </w:r>
    </w:p>
    <w:p w:rsidR="00CB0DD7" w:rsidRPr="000A0A5F" w:rsidRDefault="00CB0DD7">
      <w:pPr>
        <w:pStyle w:val="PL"/>
        <w:rPr>
          <w:lang w:val="fr-FR"/>
        </w:rPr>
      </w:pPr>
      <w:r w:rsidRPr="000A0A5F">
        <w:t xml:space="preserve">      </w:t>
      </w:r>
      <w:r w:rsidRPr="000A0A5F">
        <w:rPr>
          <w:lang w:val="fr-FR"/>
        </w:rPr>
        <w:t>responses:</w:t>
      </w:r>
    </w:p>
    <w:p w:rsidR="00CB0DD7" w:rsidRPr="000A0A5F" w:rsidRDefault="00CB0DD7">
      <w:pPr>
        <w:pStyle w:val="PL"/>
        <w:rPr>
          <w:lang w:val="fr-FR"/>
        </w:rPr>
      </w:pPr>
      <w:r w:rsidRPr="000A0A5F">
        <w:rPr>
          <w:lang w:val="fr-FR"/>
        </w:rPr>
        <w:t xml:space="preserve">        '200':</w:t>
      </w:r>
    </w:p>
    <w:p w:rsidR="00CB0DD7" w:rsidRPr="000A0A5F" w:rsidRDefault="00CB0DD7">
      <w:pPr>
        <w:pStyle w:val="PL"/>
        <w:rPr>
          <w:lang w:val="fr-FR"/>
        </w:rPr>
      </w:pPr>
      <w:r w:rsidRPr="000A0A5F">
        <w:rPr>
          <w:lang w:val="fr-FR"/>
        </w:rPr>
        <w:t xml:space="preserve">          description: Success</w:t>
      </w:r>
    </w:p>
    <w:p w:rsidR="00CB0DD7" w:rsidRPr="000A0A5F" w:rsidRDefault="00CB0DD7">
      <w:pPr>
        <w:pStyle w:val="PL"/>
        <w:rPr>
          <w:lang w:val="fr-FR"/>
        </w:rPr>
      </w:pPr>
      <w:r w:rsidRPr="000A0A5F">
        <w:rPr>
          <w:lang w:val="fr-FR"/>
        </w:rPr>
        <w:t xml:space="preserve">          content:</w:t>
      </w:r>
    </w:p>
    <w:p w:rsidR="00CB0DD7" w:rsidRPr="000A0A5F" w:rsidRDefault="00CB0DD7">
      <w:pPr>
        <w:pStyle w:val="PL"/>
      </w:pPr>
      <w:r w:rsidRPr="000A0A5F">
        <w:rPr>
          <w:lang w:val="fr-FR"/>
        </w:rPr>
        <w:t xml:space="preserve">            </w:t>
      </w:r>
      <w:r w:rsidRPr="000A0A5F">
        <w:t>application/json:</w:t>
      </w:r>
    </w:p>
    <w:p w:rsidR="00CB0DD7" w:rsidRPr="000A0A5F" w:rsidRDefault="00CB0DD7">
      <w:pPr>
        <w:pStyle w:val="PL"/>
      </w:pPr>
      <w:r w:rsidRPr="000A0A5F">
        <w:t xml:space="preserve">              schema:</w:t>
      </w:r>
    </w:p>
    <w:p w:rsidR="00CB0DD7" w:rsidRPr="000A0A5F" w:rsidRDefault="00CB0DD7">
      <w:pPr>
        <w:pStyle w:val="PL"/>
      </w:pPr>
      <w:r w:rsidRPr="000A0A5F">
        <w:t xml:space="preserve">                $ref: '#/components/schemas/MsisdnLessMoSmsNotificationReply'</w:t>
      </w:r>
    </w:p>
    <w:p w:rsidR="00CB0DD7" w:rsidRPr="000A0A5F" w:rsidRDefault="00CB0DD7">
      <w:pPr>
        <w:pStyle w:val="PL"/>
      </w:pPr>
      <w:bookmarkStart w:id="10469" w:name="_Hlk513545409"/>
      <w:r w:rsidRPr="000A0A5F">
        <w:t xml:space="preserve">        '307':</w:t>
      </w:r>
    </w:p>
    <w:p w:rsidR="00CB0DD7" w:rsidRPr="000A0A5F" w:rsidRDefault="00CB0DD7">
      <w:pPr>
        <w:pStyle w:val="PL"/>
      </w:pPr>
      <w:r w:rsidRPr="000A0A5F">
        <w:t xml:space="preserve">          $ref: 'TS29122_CommonData.yaml#/components/responses/307'</w:t>
      </w:r>
    </w:p>
    <w:p w:rsidR="00CB0DD7" w:rsidRPr="000A0A5F" w:rsidRDefault="00CB0DD7">
      <w:pPr>
        <w:pStyle w:val="PL"/>
      </w:pPr>
      <w:r w:rsidRPr="000A0A5F">
        <w:t xml:space="preserve">        '308':</w:t>
      </w:r>
    </w:p>
    <w:p w:rsidR="00CB0DD7" w:rsidRPr="000A0A5F" w:rsidRDefault="00CB0DD7">
      <w:pPr>
        <w:pStyle w:val="PL"/>
      </w:pPr>
      <w:r w:rsidRPr="000A0A5F">
        <w:t xml:space="preserve">          $ref: 'TS29122_CommonData.yaml#/components/responses/308'</w:t>
      </w:r>
    </w:p>
    <w:p w:rsidR="00CB0DD7" w:rsidRPr="000A0A5F" w:rsidRDefault="00CB0DD7">
      <w:pPr>
        <w:pStyle w:val="PL"/>
      </w:pPr>
      <w:r w:rsidRPr="000A0A5F">
        <w:t xml:space="preserve">        '400':</w:t>
      </w:r>
    </w:p>
    <w:p w:rsidR="00CB0DD7" w:rsidRPr="000A0A5F" w:rsidRDefault="00CB0DD7">
      <w:pPr>
        <w:pStyle w:val="PL"/>
      </w:pPr>
      <w:r w:rsidRPr="000A0A5F">
        <w:t xml:space="preserve">          $ref: 'TS29122_CommonData.yaml#/components/responses/400'</w:t>
      </w:r>
    </w:p>
    <w:p w:rsidR="00CB0DD7" w:rsidRPr="000A0A5F" w:rsidRDefault="00CB0DD7">
      <w:pPr>
        <w:pStyle w:val="PL"/>
      </w:pPr>
      <w:r w:rsidRPr="000A0A5F">
        <w:t xml:space="preserve">        '401':</w:t>
      </w:r>
    </w:p>
    <w:p w:rsidR="00CB0DD7" w:rsidRPr="000A0A5F" w:rsidRDefault="00CB0DD7">
      <w:pPr>
        <w:pStyle w:val="PL"/>
      </w:pPr>
      <w:r w:rsidRPr="000A0A5F">
        <w:t xml:space="preserve">          $ref: 'TS29122_CommonData.yaml#/components/responses/401'</w:t>
      </w:r>
    </w:p>
    <w:p w:rsidR="00CB0DD7" w:rsidRPr="000A0A5F" w:rsidRDefault="00CB0DD7">
      <w:pPr>
        <w:pStyle w:val="PL"/>
      </w:pPr>
      <w:r w:rsidRPr="000A0A5F">
        <w:t xml:space="preserve">        '403':</w:t>
      </w:r>
    </w:p>
    <w:p w:rsidR="00CB0DD7" w:rsidRPr="000A0A5F" w:rsidRDefault="00CB0DD7">
      <w:pPr>
        <w:pStyle w:val="PL"/>
      </w:pPr>
      <w:r w:rsidRPr="000A0A5F">
        <w:t xml:space="preserve">          $ref: 'TS29122_CommonData.yaml#/components/responses/403'</w:t>
      </w:r>
    </w:p>
    <w:p w:rsidR="00CB0DD7" w:rsidRPr="000A0A5F" w:rsidRDefault="00CB0DD7">
      <w:pPr>
        <w:pStyle w:val="PL"/>
      </w:pPr>
      <w:r w:rsidRPr="000A0A5F">
        <w:t xml:space="preserve">        '404':</w:t>
      </w:r>
    </w:p>
    <w:p w:rsidR="00CB0DD7" w:rsidRPr="000A0A5F" w:rsidRDefault="00CB0DD7">
      <w:pPr>
        <w:pStyle w:val="PL"/>
      </w:pPr>
      <w:r w:rsidRPr="000A0A5F">
        <w:t xml:space="preserve">          $ref: 'TS29122_CommonData.yaml#/components/responses/404'</w:t>
      </w:r>
    </w:p>
    <w:p w:rsidR="00CB0DD7" w:rsidRPr="000A0A5F" w:rsidRDefault="00CB0DD7">
      <w:pPr>
        <w:pStyle w:val="PL"/>
      </w:pPr>
      <w:r w:rsidRPr="000A0A5F">
        <w:t xml:space="preserve">        '411':</w:t>
      </w:r>
    </w:p>
    <w:p w:rsidR="00CB0DD7" w:rsidRPr="000A0A5F" w:rsidRDefault="00CB0DD7">
      <w:pPr>
        <w:pStyle w:val="PL"/>
      </w:pPr>
      <w:r w:rsidRPr="000A0A5F">
        <w:t xml:space="preserve">          $ref: 'TS29122_CommonData.yaml#/components/responses/411'</w:t>
      </w:r>
    </w:p>
    <w:bookmarkEnd w:id="10469"/>
    <w:p w:rsidR="00CB0DD7" w:rsidRPr="000A0A5F" w:rsidRDefault="00CB0DD7">
      <w:pPr>
        <w:pStyle w:val="PL"/>
      </w:pPr>
      <w:r w:rsidRPr="000A0A5F">
        <w:t xml:space="preserve">        '413':</w:t>
      </w:r>
    </w:p>
    <w:p w:rsidR="00CB0DD7" w:rsidRPr="000A0A5F" w:rsidRDefault="00CB0DD7">
      <w:pPr>
        <w:pStyle w:val="PL"/>
      </w:pPr>
      <w:r w:rsidRPr="000A0A5F">
        <w:t xml:space="preserve">          $ref: 'TS29122_CommonData.yaml#/components/responses/413'</w:t>
      </w:r>
    </w:p>
    <w:p w:rsidR="00CB0DD7" w:rsidRPr="000A0A5F" w:rsidRDefault="00CB0DD7">
      <w:pPr>
        <w:pStyle w:val="PL"/>
      </w:pPr>
      <w:r w:rsidRPr="000A0A5F">
        <w:t xml:space="preserve">        '415':</w:t>
      </w:r>
    </w:p>
    <w:p w:rsidR="00CB0DD7" w:rsidRPr="000A0A5F" w:rsidRDefault="00CB0DD7">
      <w:pPr>
        <w:pStyle w:val="PL"/>
      </w:pPr>
      <w:r w:rsidRPr="000A0A5F">
        <w:t xml:space="preserve">          $ref: 'TS29122_CommonData.yaml#/components/responses/415'</w:t>
      </w:r>
    </w:p>
    <w:p w:rsidR="00CB0DD7" w:rsidRPr="000A0A5F" w:rsidRDefault="00CB0DD7">
      <w:pPr>
        <w:pStyle w:val="PL"/>
      </w:pPr>
      <w:r w:rsidRPr="000A0A5F">
        <w:t xml:space="preserve">        '429':</w:t>
      </w:r>
    </w:p>
    <w:p w:rsidR="00CB0DD7" w:rsidRPr="000A0A5F" w:rsidRDefault="00CB0DD7">
      <w:pPr>
        <w:pStyle w:val="PL"/>
      </w:pPr>
      <w:r w:rsidRPr="000A0A5F">
        <w:t xml:space="preserve">          $ref: 'TS29122_CommonData.yaml#/components/responses/429'</w:t>
      </w:r>
    </w:p>
    <w:p w:rsidR="00CB0DD7" w:rsidRPr="000A0A5F" w:rsidRDefault="00CB0DD7">
      <w:pPr>
        <w:pStyle w:val="PL"/>
      </w:pPr>
      <w:r w:rsidRPr="000A0A5F">
        <w:t xml:space="preserve">        '500':</w:t>
      </w:r>
    </w:p>
    <w:p w:rsidR="00CB0DD7" w:rsidRPr="000A0A5F" w:rsidRDefault="00CB0DD7">
      <w:pPr>
        <w:pStyle w:val="PL"/>
      </w:pPr>
      <w:r w:rsidRPr="000A0A5F">
        <w:t xml:space="preserve">          $ref: 'TS29122_CommonData.yaml#/components/responses/500'</w:t>
      </w:r>
    </w:p>
    <w:p w:rsidR="00CB0DD7" w:rsidRPr="000A0A5F" w:rsidRDefault="00CB0DD7">
      <w:pPr>
        <w:pStyle w:val="PL"/>
      </w:pPr>
      <w:r w:rsidRPr="000A0A5F">
        <w:t xml:space="preserve">        '503':</w:t>
      </w:r>
    </w:p>
    <w:p w:rsidR="00CB0DD7" w:rsidRPr="000A0A5F" w:rsidRDefault="00CB0DD7">
      <w:pPr>
        <w:pStyle w:val="PL"/>
      </w:pPr>
      <w:r w:rsidRPr="000A0A5F">
        <w:t xml:space="preserve">          $ref: 'TS29122_CommonData.yaml#/components/responses/503'</w:t>
      </w:r>
    </w:p>
    <w:p w:rsidR="00CB0DD7" w:rsidRPr="000A0A5F" w:rsidRDefault="00CB0DD7">
      <w:pPr>
        <w:pStyle w:val="PL"/>
      </w:pPr>
      <w:r w:rsidRPr="000A0A5F">
        <w:t xml:space="preserve">        default:</w:t>
      </w:r>
    </w:p>
    <w:p w:rsidR="00CB0DD7" w:rsidRPr="000A0A5F" w:rsidRDefault="00CB0DD7">
      <w:pPr>
        <w:pStyle w:val="PL"/>
      </w:pPr>
      <w:r w:rsidRPr="000A0A5F">
        <w:t xml:space="preserve">          $ref: 'TS29122_CommonData.yaml#/components/responses/default'</w:t>
      </w:r>
    </w:p>
    <w:p w:rsidR="00CB0DD7" w:rsidRPr="000A0A5F" w:rsidRDefault="00CB0DD7">
      <w:pPr>
        <w:pStyle w:val="PL"/>
        <w:rPr>
          <w:rFonts w:hint="eastAsia"/>
          <w:lang w:eastAsia="zh-CN"/>
        </w:rPr>
      </w:pPr>
    </w:p>
    <w:p w:rsidR="00CB0DD7" w:rsidRPr="000A0A5F" w:rsidRDefault="00CB0DD7">
      <w:pPr>
        <w:pStyle w:val="PL"/>
      </w:pPr>
      <w:r w:rsidRPr="000A0A5F">
        <w:t>components:</w:t>
      </w:r>
    </w:p>
    <w:p w:rsidR="00CB0DD7" w:rsidRPr="000A0A5F" w:rsidRDefault="00CB0DD7">
      <w:pPr>
        <w:pStyle w:val="PL"/>
        <w:rPr>
          <w:lang w:val="en-US"/>
        </w:rPr>
      </w:pPr>
      <w:r w:rsidRPr="000A0A5F">
        <w:rPr>
          <w:lang w:val="en-US"/>
        </w:rPr>
        <w:t xml:space="preserve">  securitySchemes:</w:t>
      </w:r>
    </w:p>
    <w:p w:rsidR="00CB0DD7" w:rsidRPr="000A0A5F" w:rsidRDefault="00CB0DD7">
      <w:pPr>
        <w:pStyle w:val="PL"/>
        <w:rPr>
          <w:lang w:val="en-US"/>
        </w:rPr>
      </w:pPr>
      <w:r w:rsidRPr="000A0A5F">
        <w:rPr>
          <w:lang w:val="en-US"/>
        </w:rPr>
        <w:t xml:space="preserve">    oAuth2ClientCredentials:</w:t>
      </w:r>
    </w:p>
    <w:p w:rsidR="00CB0DD7" w:rsidRPr="000A0A5F" w:rsidRDefault="00CB0DD7">
      <w:pPr>
        <w:pStyle w:val="PL"/>
        <w:rPr>
          <w:lang w:val="en-US"/>
        </w:rPr>
      </w:pPr>
      <w:r w:rsidRPr="000A0A5F">
        <w:rPr>
          <w:lang w:val="en-US"/>
        </w:rPr>
        <w:t xml:space="preserve">      type: oauth2</w:t>
      </w:r>
    </w:p>
    <w:p w:rsidR="00CB0DD7" w:rsidRPr="000A0A5F" w:rsidRDefault="00CB0DD7">
      <w:pPr>
        <w:pStyle w:val="PL"/>
        <w:rPr>
          <w:lang w:val="en-US"/>
        </w:rPr>
      </w:pPr>
      <w:r w:rsidRPr="000A0A5F">
        <w:rPr>
          <w:lang w:val="en-US"/>
        </w:rPr>
        <w:t xml:space="preserve">      flows:</w:t>
      </w:r>
    </w:p>
    <w:p w:rsidR="00CB0DD7" w:rsidRPr="000A0A5F" w:rsidRDefault="00CB0DD7">
      <w:pPr>
        <w:pStyle w:val="PL"/>
        <w:rPr>
          <w:lang w:val="en-US"/>
        </w:rPr>
      </w:pPr>
      <w:r w:rsidRPr="000A0A5F">
        <w:rPr>
          <w:lang w:val="en-US"/>
        </w:rPr>
        <w:t xml:space="preserve">        clientCredentials:</w:t>
      </w:r>
    </w:p>
    <w:p w:rsidR="00CB0DD7" w:rsidRPr="000A0A5F" w:rsidRDefault="00CB0DD7">
      <w:pPr>
        <w:pStyle w:val="PL"/>
        <w:rPr>
          <w:lang w:val="en-US"/>
        </w:rPr>
      </w:pPr>
      <w:r w:rsidRPr="000A0A5F">
        <w:rPr>
          <w:lang w:val="en-US"/>
        </w:rPr>
        <w:t xml:space="preserve">          tokenUrl: '{tokenUrl}'</w:t>
      </w:r>
    </w:p>
    <w:p w:rsidR="00CB0DD7" w:rsidRPr="000A0A5F" w:rsidRDefault="00CB0DD7">
      <w:pPr>
        <w:pStyle w:val="PL"/>
        <w:rPr>
          <w:lang w:val="en-US"/>
        </w:rPr>
      </w:pPr>
      <w:r w:rsidRPr="000A0A5F">
        <w:rPr>
          <w:lang w:val="en-US"/>
        </w:rPr>
        <w:t xml:space="preserve">          scopes: {}</w:t>
      </w:r>
    </w:p>
    <w:p w:rsidR="00CB0DD7" w:rsidRPr="000A0A5F" w:rsidRDefault="00CB0DD7">
      <w:pPr>
        <w:pStyle w:val="PL"/>
        <w:rPr>
          <w:lang w:eastAsia="zh-CN"/>
        </w:rPr>
      </w:pPr>
      <w:r w:rsidRPr="000A0A5F">
        <w:t xml:space="preserve">  schemas: </w:t>
      </w:r>
    </w:p>
    <w:p w:rsidR="00CB0DD7" w:rsidRPr="000A0A5F" w:rsidRDefault="00CB0DD7">
      <w:pPr>
        <w:pStyle w:val="PL"/>
      </w:pPr>
      <w:r w:rsidRPr="000A0A5F">
        <w:t xml:space="preserve">    MsisdnLessMoSmsNotification:</w:t>
      </w:r>
    </w:p>
    <w:p w:rsidR="00CB0DD7" w:rsidRPr="000A0A5F" w:rsidRDefault="00CB0DD7">
      <w:pPr>
        <w:pStyle w:val="PL"/>
      </w:pPr>
      <w:r w:rsidRPr="000A0A5F">
        <w:t xml:space="preserve">      description: Represents a MSISDN-less MO SMS notification.</w:t>
      </w:r>
    </w:p>
    <w:p w:rsidR="00CB0DD7" w:rsidRPr="000A0A5F" w:rsidRDefault="00CB0DD7">
      <w:pPr>
        <w:pStyle w:val="PL"/>
      </w:pPr>
      <w:r w:rsidRPr="000A0A5F">
        <w:t xml:space="preserve">      type: object</w:t>
      </w:r>
    </w:p>
    <w:p w:rsidR="00CB0DD7" w:rsidRPr="000A0A5F" w:rsidRDefault="00CB0DD7">
      <w:pPr>
        <w:pStyle w:val="PL"/>
      </w:pPr>
      <w:r w:rsidRPr="000A0A5F">
        <w:t xml:space="preserve">      properties:</w:t>
      </w:r>
    </w:p>
    <w:p w:rsidR="00CB0DD7" w:rsidRPr="000A0A5F" w:rsidRDefault="00CB0DD7">
      <w:pPr>
        <w:pStyle w:val="PL"/>
      </w:pPr>
      <w:r w:rsidRPr="000A0A5F">
        <w:t xml:space="preserve">        </w:t>
      </w:r>
      <w:r w:rsidRPr="000A0A5F">
        <w:rPr>
          <w:lang w:eastAsia="zh-CN"/>
        </w:rPr>
        <w:t>supportedFeatures</w:t>
      </w:r>
      <w:r w:rsidRPr="000A0A5F">
        <w:t>:</w:t>
      </w:r>
    </w:p>
    <w:p w:rsidR="00CB0DD7" w:rsidRPr="000A0A5F" w:rsidRDefault="00CB0DD7">
      <w:pPr>
        <w:pStyle w:val="PL"/>
      </w:pPr>
      <w:r w:rsidRPr="000A0A5F">
        <w:t xml:space="preserve">          $ref: 'TS29571_CommonData.yaml#/components/schemas/</w:t>
      </w:r>
      <w:r w:rsidRPr="000A0A5F">
        <w:rPr>
          <w:lang w:eastAsia="zh-CN"/>
        </w:rPr>
        <w:t>SupportedFeatures</w:t>
      </w:r>
      <w:r w:rsidRPr="000A0A5F">
        <w:t>'</w:t>
      </w:r>
    </w:p>
    <w:p w:rsidR="00CB0DD7" w:rsidRPr="000A0A5F" w:rsidRDefault="00CB0DD7">
      <w:pPr>
        <w:pStyle w:val="PL"/>
      </w:pPr>
      <w:r w:rsidRPr="000A0A5F">
        <w:t xml:space="preserve">        sms:</w:t>
      </w:r>
    </w:p>
    <w:p w:rsidR="00CB0DD7" w:rsidRPr="000A0A5F" w:rsidRDefault="00CB0DD7">
      <w:pPr>
        <w:pStyle w:val="PL"/>
      </w:pPr>
      <w:r w:rsidRPr="000A0A5F">
        <w:t xml:space="preserve">          $ref: 'TS29122_CommonData.yaml#/components/schemas/Bytes'</w:t>
      </w:r>
    </w:p>
    <w:p w:rsidR="00CB0DD7" w:rsidRPr="000A0A5F" w:rsidRDefault="00CB0DD7">
      <w:pPr>
        <w:pStyle w:val="PL"/>
      </w:pPr>
      <w:r w:rsidRPr="000A0A5F">
        <w:t xml:space="preserve">        externalId:</w:t>
      </w:r>
    </w:p>
    <w:p w:rsidR="00CB0DD7" w:rsidRPr="000A0A5F" w:rsidRDefault="00CB0DD7">
      <w:pPr>
        <w:pStyle w:val="PL"/>
      </w:pPr>
      <w:r w:rsidRPr="000A0A5F">
        <w:t xml:space="preserve">          type: string</w:t>
      </w:r>
    </w:p>
    <w:p w:rsidR="00CB0DD7" w:rsidRPr="000A0A5F" w:rsidRDefault="00CB0DD7">
      <w:pPr>
        <w:pStyle w:val="PL"/>
      </w:pPr>
      <w:r w:rsidRPr="000A0A5F">
        <w:t xml:space="preserve">          description: External identifier has the form username@realm.</w:t>
      </w:r>
    </w:p>
    <w:p w:rsidR="00CB0DD7" w:rsidRPr="000A0A5F" w:rsidRDefault="00CB0DD7">
      <w:pPr>
        <w:pStyle w:val="PL"/>
      </w:pPr>
      <w:r w:rsidRPr="000A0A5F">
        <w:t xml:space="preserve">        applicationPort:</w:t>
      </w:r>
    </w:p>
    <w:p w:rsidR="00CB0DD7" w:rsidRPr="000A0A5F" w:rsidRDefault="00CB0DD7">
      <w:pPr>
        <w:pStyle w:val="PL"/>
      </w:pPr>
      <w:r w:rsidRPr="000A0A5F">
        <w:t xml:space="preserve">          $ref: 'TS29122_CommonData.yaml#/components/schemas/Port'</w:t>
      </w:r>
    </w:p>
    <w:p w:rsidR="00CB0DD7" w:rsidRPr="000A0A5F" w:rsidRDefault="00CB0DD7">
      <w:pPr>
        <w:pStyle w:val="PL"/>
      </w:pPr>
      <w:r w:rsidRPr="000A0A5F">
        <w:t xml:space="preserve">      required:</w:t>
      </w:r>
    </w:p>
    <w:p w:rsidR="00CB0DD7" w:rsidRPr="000A0A5F" w:rsidRDefault="00CB0DD7">
      <w:pPr>
        <w:pStyle w:val="PL"/>
      </w:pPr>
      <w:r w:rsidRPr="000A0A5F">
        <w:t xml:space="preserve">        - </w:t>
      </w:r>
      <w:r w:rsidRPr="000A0A5F">
        <w:rPr>
          <w:lang w:eastAsia="zh-CN"/>
        </w:rPr>
        <w:t>supportedFeatures</w:t>
      </w:r>
    </w:p>
    <w:p w:rsidR="00CB0DD7" w:rsidRPr="000A0A5F" w:rsidRDefault="00CB0DD7">
      <w:pPr>
        <w:pStyle w:val="PL"/>
      </w:pPr>
      <w:r w:rsidRPr="000A0A5F">
        <w:t xml:space="preserve">        - sms</w:t>
      </w:r>
    </w:p>
    <w:p w:rsidR="00CB0DD7" w:rsidRPr="000A0A5F" w:rsidRDefault="00CB0DD7">
      <w:pPr>
        <w:pStyle w:val="PL"/>
      </w:pPr>
      <w:r w:rsidRPr="000A0A5F">
        <w:t xml:space="preserve">        - externalId</w:t>
      </w:r>
    </w:p>
    <w:p w:rsidR="00CB0DD7" w:rsidRPr="000A0A5F" w:rsidRDefault="00CB0DD7">
      <w:pPr>
        <w:pStyle w:val="PL"/>
      </w:pPr>
      <w:r w:rsidRPr="000A0A5F">
        <w:t xml:space="preserve">        - applicationPort</w:t>
      </w:r>
    </w:p>
    <w:p w:rsidR="00CB0DD7" w:rsidRPr="000A0A5F" w:rsidRDefault="00CB0DD7">
      <w:pPr>
        <w:pStyle w:val="PL"/>
      </w:pPr>
      <w:r w:rsidRPr="000A0A5F">
        <w:t xml:space="preserve">    MsisdnLessMoSmsNotificationReply:</w:t>
      </w:r>
    </w:p>
    <w:p w:rsidR="00CB0DD7" w:rsidRPr="000A0A5F" w:rsidRDefault="00CB0DD7">
      <w:pPr>
        <w:pStyle w:val="PL"/>
      </w:pPr>
      <w:r w:rsidRPr="000A0A5F">
        <w:t xml:space="preserve">      description: Represents a reply to a MSISDN-less MO SMS notification.</w:t>
      </w:r>
    </w:p>
    <w:p w:rsidR="00CB0DD7" w:rsidRPr="000A0A5F" w:rsidRDefault="00CB0DD7">
      <w:pPr>
        <w:pStyle w:val="PL"/>
      </w:pPr>
      <w:r w:rsidRPr="000A0A5F">
        <w:t xml:space="preserve">      type: object</w:t>
      </w:r>
    </w:p>
    <w:p w:rsidR="00CB0DD7" w:rsidRPr="000A0A5F" w:rsidRDefault="00CB0DD7">
      <w:pPr>
        <w:pStyle w:val="PL"/>
      </w:pPr>
      <w:r w:rsidRPr="000A0A5F">
        <w:t xml:space="preserve">      properties:</w:t>
      </w:r>
    </w:p>
    <w:p w:rsidR="00CB0DD7" w:rsidRPr="000A0A5F" w:rsidRDefault="00CB0DD7">
      <w:pPr>
        <w:pStyle w:val="PL"/>
      </w:pPr>
      <w:r w:rsidRPr="000A0A5F">
        <w:t xml:space="preserve">        </w:t>
      </w:r>
      <w:r w:rsidRPr="000A0A5F">
        <w:rPr>
          <w:lang w:eastAsia="zh-CN"/>
        </w:rPr>
        <w:t>supportedFeatures</w:t>
      </w:r>
      <w:r w:rsidRPr="000A0A5F">
        <w:t>:</w:t>
      </w:r>
    </w:p>
    <w:p w:rsidR="00CB0DD7" w:rsidRPr="000A0A5F" w:rsidRDefault="00CB0DD7">
      <w:pPr>
        <w:pStyle w:val="PL"/>
      </w:pPr>
      <w:r w:rsidRPr="000A0A5F">
        <w:t xml:space="preserve">          $ref: 'TS29571_CommonData.yaml#/components/schemas/</w:t>
      </w:r>
      <w:r w:rsidRPr="000A0A5F">
        <w:rPr>
          <w:lang w:eastAsia="zh-CN"/>
        </w:rPr>
        <w:t>SupportedFeatures</w:t>
      </w:r>
      <w:r w:rsidRPr="000A0A5F">
        <w:t>'</w:t>
      </w:r>
    </w:p>
    <w:p w:rsidR="00CB0DD7" w:rsidRPr="000A0A5F" w:rsidRDefault="00CB0DD7">
      <w:pPr>
        <w:pStyle w:val="PL"/>
      </w:pPr>
      <w:r w:rsidRPr="000A0A5F">
        <w:t xml:space="preserve">      required:</w:t>
      </w:r>
    </w:p>
    <w:p w:rsidR="00CB0DD7" w:rsidRPr="000A0A5F" w:rsidRDefault="00CB0DD7">
      <w:pPr>
        <w:pStyle w:val="PL"/>
      </w:pPr>
      <w:r w:rsidRPr="000A0A5F">
        <w:t xml:space="preserve">        - </w:t>
      </w:r>
      <w:r w:rsidRPr="000A0A5F">
        <w:rPr>
          <w:lang w:eastAsia="zh-CN"/>
        </w:rPr>
        <w:t>supportedFeatures</w:t>
      </w:r>
    </w:p>
    <w:p w:rsidR="00CB0DD7" w:rsidRPr="000A0A5F" w:rsidRDefault="00CB0DD7">
      <w:pPr>
        <w:pStyle w:val="PL"/>
      </w:pPr>
    </w:p>
    <w:p w:rsidR="00CB0DD7" w:rsidRPr="000A0A5F" w:rsidRDefault="00CB0DD7" w:rsidP="008D59EF">
      <w:pPr>
        <w:pStyle w:val="Heading1"/>
      </w:pPr>
      <w:bookmarkStart w:id="10470" w:name="_Toc18366568"/>
      <w:bookmarkStart w:id="10471" w:name="_Toc27045127"/>
      <w:bookmarkStart w:id="10472" w:name="_Toc36034178"/>
      <w:bookmarkStart w:id="10473" w:name="_Toc45132326"/>
      <w:bookmarkStart w:id="10474" w:name="_Toc49776611"/>
      <w:bookmarkStart w:id="10475" w:name="_Toc51747531"/>
      <w:bookmarkStart w:id="10476" w:name="_Toc66361113"/>
      <w:bookmarkStart w:id="10477" w:name="_Toc68105618"/>
      <w:bookmarkStart w:id="10478" w:name="_Toc74756250"/>
      <w:bookmarkStart w:id="10479" w:name="_Toc105675127"/>
      <w:bookmarkStart w:id="10480" w:name="_Toc130503205"/>
      <w:bookmarkStart w:id="10481" w:name="_Toc153625997"/>
      <w:r w:rsidRPr="000A0A5F">
        <w:t>A.16</w:t>
      </w:r>
      <w:r w:rsidRPr="000A0A5F">
        <w:tab/>
        <w:t>RacsParameterProvisioning API</w:t>
      </w:r>
      <w:bookmarkEnd w:id="10470"/>
      <w:bookmarkEnd w:id="10471"/>
      <w:bookmarkEnd w:id="10472"/>
      <w:bookmarkEnd w:id="10473"/>
      <w:bookmarkEnd w:id="10474"/>
      <w:bookmarkEnd w:id="10475"/>
      <w:bookmarkEnd w:id="10476"/>
      <w:bookmarkEnd w:id="10477"/>
      <w:bookmarkEnd w:id="10478"/>
      <w:bookmarkEnd w:id="10479"/>
      <w:bookmarkEnd w:id="10480"/>
      <w:bookmarkEnd w:id="10481"/>
    </w:p>
    <w:p w:rsidR="00CB0DD7" w:rsidRPr="000A0A5F" w:rsidRDefault="00CB0DD7">
      <w:pPr>
        <w:pStyle w:val="PL"/>
      </w:pPr>
      <w:r w:rsidRPr="000A0A5F">
        <w:t>openapi: 3.0.0</w:t>
      </w:r>
    </w:p>
    <w:p w:rsidR="00450D7F" w:rsidRPr="000A0A5F" w:rsidRDefault="00450D7F">
      <w:pPr>
        <w:pStyle w:val="PL"/>
      </w:pPr>
    </w:p>
    <w:p w:rsidR="00CB0DD7" w:rsidRPr="000A0A5F" w:rsidRDefault="00CB0DD7">
      <w:pPr>
        <w:pStyle w:val="PL"/>
      </w:pPr>
      <w:r w:rsidRPr="000A0A5F">
        <w:t>info:</w:t>
      </w:r>
    </w:p>
    <w:p w:rsidR="00CB0DD7" w:rsidRPr="000A0A5F" w:rsidRDefault="00CB0DD7">
      <w:pPr>
        <w:pStyle w:val="PL"/>
      </w:pPr>
      <w:r w:rsidRPr="000A0A5F">
        <w:t xml:space="preserve">  title: 3gpp-racs-parameter-provisioning</w:t>
      </w:r>
    </w:p>
    <w:p w:rsidR="00CB0DD7" w:rsidRPr="000A0A5F" w:rsidRDefault="00CB0DD7">
      <w:pPr>
        <w:pStyle w:val="PL"/>
      </w:pPr>
      <w:r w:rsidRPr="000A0A5F">
        <w:t xml:space="preserve">  version: 1.</w:t>
      </w:r>
      <w:r w:rsidR="00B94C78" w:rsidRPr="000A0A5F">
        <w:t>2</w:t>
      </w:r>
      <w:r w:rsidRPr="000A0A5F">
        <w:t>.0</w:t>
      </w:r>
      <w:r w:rsidR="00B94C78" w:rsidRPr="000A0A5F">
        <w:t>-alpha.</w:t>
      </w:r>
      <w:r w:rsidR="00E9308F">
        <w:t>2</w:t>
      </w:r>
    </w:p>
    <w:p w:rsidR="00CB0DD7" w:rsidRPr="000A0A5F" w:rsidRDefault="00CB0DD7">
      <w:pPr>
        <w:pStyle w:val="PL"/>
      </w:pPr>
      <w:r w:rsidRPr="000A0A5F">
        <w:t xml:space="preserve">  description: |</w:t>
      </w:r>
    </w:p>
    <w:p w:rsidR="00CB0DD7" w:rsidRPr="000A0A5F" w:rsidRDefault="00CB0DD7">
      <w:pPr>
        <w:pStyle w:val="PL"/>
      </w:pPr>
      <w:r w:rsidRPr="000A0A5F">
        <w:t xml:space="preserve">    API for provisioning UE radio capability parameters.</w:t>
      </w:r>
      <w:r w:rsidR="005B6DFB" w:rsidRPr="000A0A5F">
        <w:t xml:space="preserve">  </w:t>
      </w:r>
    </w:p>
    <w:p w:rsidR="00CB0DD7" w:rsidRPr="000A0A5F" w:rsidRDefault="00CB0DD7">
      <w:pPr>
        <w:pStyle w:val="PL"/>
      </w:pPr>
      <w:r w:rsidRPr="000A0A5F">
        <w:t xml:space="preserve">    © 202</w:t>
      </w:r>
      <w:r w:rsidR="00B94C78" w:rsidRPr="000A0A5F">
        <w:t>3</w:t>
      </w:r>
      <w:r w:rsidRPr="000A0A5F">
        <w:t>, 3GPP Organizational Partners (ARIB, ATIS, CCSA, ETSI, TSDSI, TTA, TTC).</w:t>
      </w:r>
      <w:r w:rsidR="005B6DFB" w:rsidRPr="000A0A5F">
        <w:t xml:space="preserve">  </w:t>
      </w:r>
    </w:p>
    <w:p w:rsidR="00CB0DD7" w:rsidRPr="000A0A5F" w:rsidRDefault="00CB0DD7">
      <w:pPr>
        <w:pStyle w:val="PL"/>
      </w:pPr>
      <w:r w:rsidRPr="000A0A5F">
        <w:t xml:space="preserve">    All rights reserved.</w:t>
      </w:r>
    </w:p>
    <w:p w:rsidR="00450D7F" w:rsidRPr="000A0A5F" w:rsidRDefault="00450D7F">
      <w:pPr>
        <w:pStyle w:val="PL"/>
      </w:pPr>
    </w:p>
    <w:p w:rsidR="00CB0DD7" w:rsidRPr="000A0A5F" w:rsidRDefault="00CB0DD7">
      <w:pPr>
        <w:pStyle w:val="PL"/>
      </w:pPr>
      <w:r w:rsidRPr="000A0A5F">
        <w:t>externalDocs:</w:t>
      </w:r>
    </w:p>
    <w:p w:rsidR="00CB0DD7" w:rsidRPr="000A0A5F" w:rsidRDefault="00CB0DD7">
      <w:pPr>
        <w:pStyle w:val="PL"/>
      </w:pPr>
      <w:r w:rsidRPr="000A0A5F">
        <w:t xml:space="preserve">  description: 3GPP TS 29.122 V1</w:t>
      </w:r>
      <w:r w:rsidR="00B94C78" w:rsidRPr="000A0A5F">
        <w:t>8</w:t>
      </w:r>
      <w:r w:rsidRPr="000A0A5F">
        <w:t>.</w:t>
      </w:r>
      <w:r w:rsidR="00E9308F">
        <w:t>4</w:t>
      </w:r>
      <w:r w:rsidRPr="000A0A5F">
        <w:t>.0 T8 reference point for Northbound APIs</w:t>
      </w:r>
    </w:p>
    <w:p w:rsidR="00CB0DD7" w:rsidRPr="000A0A5F" w:rsidRDefault="00CB0DD7">
      <w:pPr>
        <w:pStyle w:val="PL"/>
      </w:pPr>
      <w:r w:rsidRPr="000A0A5F">
        <w:t xml:space="preserve">  url: 'http</w:t>
      </w:r>
      <w:r w:rsidR="005B6DFB" w:rsidRPr="000A0A5F">
        <w:t>s</w:t>
      </w:r>
      <w:r w:rsidRPr="000A0A5F">
        <w:t>://www.3gpp.org/ftp/Specs/archive/29_series/29.122/'</w:t>
      </w:r>
    </w:p>
    <w:p w:rsidR="00450D7F" w:rsidRPr="000A0A5F" w:rsidRDefault="00450D7F">
      <w:pPr>
        <w:pStyle w:val="PL"/>
      </w:pPr>
    </w:p>
    <w:p w:rsidR="00CB0DD7" w:rsidRPr="000A0A5F" w:rsidRDefault="00CB0DD7">
      <w:pPr>
        <w:pStyle w:val="PL"/>
      </w:pPr>
      <w:r w:rsidRPr="000A0A5F">
        <w:t>security:</w:t>
      </w:r>
    </w:p>
    <w:p w:rsidR="00CB0DD7" w:rsidRPr="000A0A5F" w:rsidRDefault="00CB0DD7">
      <w:pPr>
        <w:pStyle w:val="PL"/>
        <w:rPr>
          <w:lang w:val="en-US"/>
        </w:rPr>
      </w:pPr>
      <w:r w:rsidRPr="000A0A5F">
        <w:rPr>
          <w:lang w:val="en-US"/>
        </w:rPr>
        <w:t xml:space="preserve">  - {}</w:t>
      </w:r>
    </w:p>
    <w:p w:rsidR="00CB0DD7" w:rsidRPr="000A0A5F" w:rsidRDefault="00CB0DD7">
      <w:pPr>
        <w:pStyle w:val="PL"/>
      </w:pPr>
      <w:r w:rsidRPr="000A0A5F">
        <w:t xml:space="preserve">  - oAuth2ClientCredentials: []</w:t>
      </w:r>
    </w:p>
    <w:p w:rsidR="00450D7F" w:rsidRPr="000A0A5F" w:rsidRDefault="00450D7F">
      <w:pPr>
        <w:pStyle w:val="PL"/>
      </w:pPr>
    </w:p>
    <w:p w:rsidR="00CB0DD7" w:rsidRPr="000A0A5F" w:rsidRDefault="00CB0DD7">
      <w:pPr>
        <w:pStyle w:val="PL"/>
      </w:pPr>
      <w:r w:rsidRPr="000A0A5F">
        <w:t>servers:</w:t>
      </w:r>
    </w:p>
    <w:p w:rsidR="00CB0DD7" w:rsidRPr="000A0A5F" w:rsidRDefault="00CB0DD7">
      <w:pPr>
        <w:pStyle w:val="PL"/>
      </w:pPr>
      <w:r w:rsidRPr="000A0A5F">
        <w:t xml:space="preserve">  - url: '{apiRoot}/3gpp-racs-pp/v1'</w:t>
      </w:r>
    </w:p>
    <w:p w:rsidR="00CB0DD7" w:rsidRPr="000A0A5F" w:rsidRDefault="00CB0DD7">
      <w:pPr>
        <w:pStyle w:val="PL"/>
      </w:pPr>
      <w:r w:rsidRPr="000A0A5F">
        <w:t xml:space="preserve">    variables:</w:t>
      </w:r>
    </w:p>
    <w:p w:rsidR="00CB0DD7" w:rsidRPr="000A0A5F" w:rsidRDefault="00CB0DD7">
      <w:pPr>
        <w:pStyle w:val="PL"/>
      </w:pPr>
      <w:r w:rsidRPr="000A0A5F">
        <w:t xml:space="preserve">      apiRoot:</w:t>
      </w:r>
    </w:p>
    <w:p w:rsidR="00CB0DD7" w:rsidRPr="000A0A5F" w:rsidRDefault="00CB0DD7">
      <w:pPr>
        <w:pStyle w:val="PL"/>
      </w:pPr>
      <w:r w:rsidRPr="000A0A5F">
        <w:t xml:space="preserve">        default: https://example.com</w:t>
      </w:r>
    </w:p>
    <w:p w:rsidR="00CB0DD7" w:rsidRPr="000A0A5F" w:rsidRDefault="00CB0DD7">
      <w:pPr>
        <w:pStyle w:val="PL"/>
      </w:pPr>
      <w:r w:rsidRPr="000A0A5F">
        <w:t xml:space="preserve">        description: apiRoot as defined in clause 5.2.4 of 3GPP TS 29.122.</w:t>
      </w:r>
    </w:p>
    <w:p w:rsidR="00450D7F" w:rsidRPr="000A0A5F" w:rsidRDefault="00450D7F">
      <w:pPr>
        <w:pStyle w:val="PL"/>
      </w:pPr>
    </w:p>
    <w:p w:rsidR="00CB0DD7" w:rsidRPr="000A0A5F" w:rsidRDefault="00CB0DD7">
      <w:pPr>
        <w:pStyle w:val="PL"/>
      </w:pPr>
      <w:r w:rsidRPr="000A0A5F">
        <w:t>paths:</w:t>
      </w:r>
    </w:p>
    <w:p w:rsidR="00CB0DD7" w:rsidRPr="000A0A5F" w:rsidRDefault="00CB0DD7">
      <w:pPr>
        <w:pStyle w:val="PL"/>
      </w:pPr>
      <w:r w:rsidRPr="000A0A5F">
        <w:t xml:space="preserve">  /{scsAsId}/provisionings:</w:t>
      </w:r>
    </w:p>
    <w:p w:rsidR="00CB0DD7" w:rsidRPr="000A0A5F" w:rsidRDefault="00CB0DD7">
      <w:pPr>
        <w:pStyle w:val="PL"/>
      </w:pPr>
      <w:r w:rsidRPr="000A0A5F">
        <w:t xml:space="preserve">    parameters:</w:t>
      </w:r>
    </w:p>
    <w:p w:rsidR="00CB0DD7" w:rsidRPr="000A0A5F" w:rsidRDefault="00CB0DD7">
      <w:pPr>
        <w:pStyle w:val="PL"/>
      </w:pPr>
      <w:r w:rsidRPr="000A0A5F">
        <w:t xml:space="preserve">      - name: scsAsId</w:t>
      </w:r>
    </w:p>
    <w:p w:rsidR="00CB0DD7" w:rsidRPr="000A0A5F" w:rsidRDefault="00CB0DD7">
      <w:pPr>
        <w:pStyle w:val="PL"/>
      </w:pPr>
      <w:r w:rsidRPr="000A0A5F">
        <w:t xml:space="preserve">        in: path</w:t>
      </w:r>
    </w:p>
    <w:p w:rsidR="00CB0DD7" w:rsidRPr="000A0A5F" w:rsidRDefault="00CB0DD7">
      <w:pPr>
        <w:pStyle w:val="PL"/>
      </w:pPr>
      <w:r w:rsidRPr="000A0A5F">
        <w:t xml:space="preserve">        description: Identifier of the SCS/AS as defined in clause 5.2.4 of 3GPP TS 29.122.</w:t>
      </w:r>
    </w:p>
    <w:p w:rsidR="00CB0DD7" w:rsidRPr="000A0A5F" w:rsidRDefault="00CB0DD7">
      <w:pPr>
        <w:pStyle w:val="PL"/>
      </w:pPr>
      <w:r w:rsidRPr="000A0A5F">
        <w:t xml:space="preserve">        required: true</w:t>
      </w:r>
    </w:p>
    <w:p w:rsidR="00CB0DD7" w:rsidRPr="000A0A5F" w:rsidRDefault="00CB0DD7">
      <w:pPr>
        <w:pStyle w:val="PL"/>
      </w:pPr>
      <w:r w:rsidRPr="000A0A5F">
        <w:t xml:space="preserve">        schema:</w:t>
      </w:r>
    </w:p>
    <w:p w:rsidR="00CB0DD7" w:rsidRPr="000A0A5F" w:rsidRDefault="00CB0DD7">
      <w:pPr>
        <w:pStyle w:val="PL"/>
      </w:pPr>
      <w:r w:rsidRPr="000A0A5F">
        <w:t xml:space="preserve">          type: string</w:t>
      </w:r>
    </w:p>
    <w:p w:rsidR="00CB0DD7" w:rsidRPr="000A0A5F" w:rsidRDefault="00CB0DD7">
      <w:pPr>
        <w:pStyle w:val="PL"/>
      </w:pPr>
      <w:r w:rsidRPr="000A0A5F">
        <w:t xml:space="preserve">    get:</w:t>
      </w:r>
    </w:p>
    <w:p w:rsidR="00295FFB" w:rsidRPr="000A0A5F" w:rsidRDefault="00295FFB" w:rsidP="00295FFB">
      <w:pPr>
        <w:pStyle w:val="PL"/>
      </w:pPr>
      <w:r w:rsidRPr="000A0A5F">
        <w:t xml:space="preserve">      summary: Read all RACS parameter provisionings for a given AF.</w:t>
      </w:r>
    </w:p>
    <w:p w:rsidR="00295FFB" w:rsidRPr="000A0A5F" w:rsidRDefault="00295FFB" w:rsidP="00295FFB">
      <w:pPr>
        <w:pStyle w:val="PL"/>
      </w:pPr>
      <w:r w:rsidRPr="000A0A5F">
        <w:t xml:space="preserve">      </w:t>
      </w:r>
      <w:r w:rsidRPr="000A0A5F">
        <w:rPr>
          <w:rFonts w:cs="Courier New"/>
          <w:szCs w:val="16"/>
        </w:rPr>
        <w:t>operationId: FetchAll</w:t>
      </w:r>
      <w:r w:rsidRPr="000A0A5F">
        <w:t>RACSParameterProvisionings</w:t>
      </w:r>
    </w:p>
    <w:p w:rsidR="00295FFB" w:rsidRPr="000A0A5F" w:rsidRDefault="00295FFB" w:rsidP="00295FFB">
      <w:pPr>
        <w:pStyle w:val="PL"/>
      </w:pPr>
      <w:r w:rsidRPr="000A0A5F">
        <w:t xml:space="preserve">      tags:</w:t>
      </w:r>
    </w:p>
    <w:p w:rsidR="00295FFB" w:rsidRPr="000A0A5F" w:rsidRDefault="00295FFB" w:rsidP="00295FFB">
      <w:pPr>
        <w:pStyle w:val="PL"/>
      </w:pPr>
      <w:r w:rsidRPr="000A0A5F">
        <w:t xml:space="preserve">        - RACS Parameter Provisionings</w:t>
      </w:r>
    </w:p>
    <w:p w:rsidR="00CB0DD7" w:rsidRPr="000A0A5F" w:rsidRDefault="00CB0DD7">
      <w:pPr>
        <w:pStyle w:val="PL"/>
      </w:pPr>
      <w:r w:rsidRPr="000A0A5F">
        <w:t xml:space="preserve">      responses:</w:t>
      </w:r>
    </w:p>
    <w:p w:rsidR="00CB0DD7" w:rsidRPr="000A0A5F" w:rsidRDefault="00CB0DD7">
      <w:pPr>
        <w:pStyle w:val="PL"/>
      </w:pPr>
      <w:r w:rsidRPr="000A0A5F">
        <w:t xml:space="preserve">        '200':</w:t>
      </w:r>
    </w:p>
    <w:p w:rsidR="00CB0DD7" w:rsidRPr="000A0A5F" w:rsidRDefault="00CB0DD7">
      <w:pPr>
        <w:pStyle w:val="PL"/>
      </w:pPr>
      <w:r w:rsidRPr="000A0A5F">
        <w:t xml:space="preserve">          description: OK. The provisioning information related to the request URI is returned.</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application/json:</w:t>
      </w:r>
    </w:p>
    <w:p w:rsidR="00CB0DD7" w:rsidRPr="000A0A5F" w:rsidRDefault="00CB0DD7">
      <w:pPr>
        <w:pStyle w:val="PL"/>
      </w:pPr>
      <w:r w:rsidRPr="000A0A5F">
        <w:t xml:space="preserve">              schema:</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$ref: '#/components/schemas/RacsProvisioningData'</w:t>
      </w:r>
    </w:p>
    <w:p w:rsidR="00CB0DD7" w:rsidRPr="000A0A5F" w:rsidRDefault="00CB0DD7">
      <w:pPr>
        <w:pStyle w:val="PL"/>
      </w:pPr>
      <w:r w:rsidRPr="000A0A5F">
        <w:t xml:space="preserve">                minItems: 0</w:t>
      </w:r>
    </w:p>
    <w:p w:rsidR="00CB0DD7" w:rsidRPr="000A0A5F" w:rsidRDefault="00CB0DD7">
      <w:pPr>
        <w:pStyle w:val="PL"/>
      </w:pPr>
      <w:r w:rsidRPr="000A0A5F">
        <w:t xml:space="preserve">        '307':</w:t>
      </w:r>
    </w:p>
    <w:p w:rsidR="00CB0DD7" w:rsidRPr="000A0A5F" w:rsidRDefault="00CB0DD7">
      <w:pPr>
        <w:pStyle w:val="PL"/>
      </w:pPr>
      <w:r w:rsidRPr="000A0A5F">
        <w:t xml:space="preserve">          $ref: 'TS29122_CommonData.yaml#/components/responses/307'</w:t>
      </w:r>
    </w:p>
    <w:p w:rsidR="00CB0DD7" w:rsidRPr="000A0A5F" w:rsidRDefault="00CB0DD7">
      <w:pPr>
        <w:pStyle w:val="PL"/>
      </w:pPr>
      <w:r w:rsidRPr="000A0A5F">
        <w:t xml:space="preserve">        '308':</w:t>
      </w:r>
    </w:p>
    <w:p w:rsidR="00CB0DD7" w:rsidRPr="000A0A5F" w:rsidRDefault="00CB0DD7">
      <w:pPr>
        <w:pStyle w:val="PL"/>
      </w:pPr>
      <w:r w:rsidRPr="000A0A5F">
        <w:t xml:space="preserve">          $ref: 'TS29122_CommonData.yaml#/components/responses/308'</w:t>
      </w:r>
    </w:p>
    <w:p w:rsidR="00CB0DD7" w:rsidRPr="000A0A5F" w:rsidRDefault="00CB0DD7">
      <w:pPr>
        <w:pStyle w:val="PL"/>
      </w:pPr>
      <w:r w:rsidRPr="000A0A5F">
        <w:t xml:space="preserve">        '400':</w:t>
      </w:r>
    </w:p>
    <w:p w:rsidR="00CB0DD7" w:rsidRPr="000A0A5F" w:rsidRDefault="00CB0DD7">
      <w:pPr>
        <w:pStyle w:val="PL"/>
      </w:pPr>
      <w:r w:rsidRPr="000A0A5F">
        <w:t xml:space="preserve">          $ref: 'TS29122_CommonData.yaml#/components/responses/400'</w:t>
      </w:r>
    </w:p>
    <w:p w:rsidR="00CB0DD7" w:rsidRPr="000A0A5F" w:rsidRDefault="00CB0DD7">
      <w:pPr>
        <w:pStyle w:val="PL"/>
      </w:pPr>
      <w:r w:rsidRPr="000A0A5F">
        <w:t xml:space="preserve">        '401':</w:t>
      </w:r>
    </w:p>
    <w:p w:rsidR="00CB0DD7" w:rsidRPr="000A0A5F" w:rsidRDefault="00CB0DD7">
      <w:pPr>
        <w:pStyle w:val="PL"/>
      </w:pPr>
      <w:r w:rsidRPr="000A0A5F">
        <w:t xml:space="preserve">          $ref: 'TS29122_CommonData.yaml#/components/responses/401'</w:t>
      </w:r>
    </w:p>
    <w:p w:rsidR="00CB0DD7" w:rsidRPr="000A0A5F" w:rsidRDefault="00CB0DD7">
      <w:pPr>
        <w:pStyle w:val="PL"/>
      </w:pPr>
      <w:r w:rsidRPr="000A0A5F">
        <w:t xml:space="preserve">        '403':</w:t>
      </w:r>
    </w:p>
    <w:p w:rsidR="00CB0DD7" w:rsidRPr="000A0A5F" w:rsidRDefault="00CB0DD7">
      <w:pPr>
        <w:pStyle w:val="PL"/>
      </w:pPr>
      <w:r w:rsidRPr="000A0A5F">
        <w:t xml:space="preserve">          $ref: 'TS29122_CommonData.yaml#/components/responses/403'</w:t>
      </w:r>
    </w:p>
    <w:p w:rsidR="00CB0DD7" w:rsidRPr="000A0A5F" w:rsidRDefault="00CB0DD7">
      <w:pPr>
        <w:pStyle w:val="PL"/>
      </w:pPr>
      <w:r w:rsidRPr="000A0A5F">
        <w:t xml:space="preserve">        '404':</w:t>
      </w:r>
    </w:p>
    <w:p w:rsidR="00CB0DD7" w:rsidRPr="000A0A5F" w:rsidRDefault="00CB0DD7">
      <w:pPr>
        <w:pStyle w:val="PL"/>
      </w:pPr>
      <w:r w:rsidRPr="000A0A5F">
        <w:t xml:space="preserve">          $ref: 'TS29122_CommonData.yaml#/components/responses/404'</w:t>
      </w:r>
    </w:p>
    <w:p w:rsidR="00CB0DD7" w:rsidRPr="000A0A5F" w:rsidRDefault="00CB0DD7">
      <w:pPr>
        <w:pStyle w:val="PL"/>
      </w:pPr>
      <w:r w:rsidRPr="000A0A5F">
        <w:t xml:space="preserve">        '406':</w:t>
      </w:r>
    </w:p>
    <w:p w:rsidR="00CB0DD7" w:rsidRPr="000A0A5F" w:rsidRDefault="00CB0DD7">
      <w:pPr>
        <w:pStyle w:val="PL"/>
      </w:pPr>
      <w:r w:rsidRPr="000A0A5F">
        <w:t xml:space="preserve">          $ref: 'TS29122_CommonData.yaml#/components/responses/406'</w:t>
      </w:r>
    </w:p>
    <w:p w:rsidR="00CB0DD7" w:rsidRPr="000A0A5F" w:rsidRDefault="00CB0DD7">
      <w:pPr>
        <w:pStyle w:val="PL"/>
      </w:pPr>
      <w:r w:rsidRPr="000A0A5F">
        <w:t xml:space="preserve">        '429':</w:t>
      </w:r>
    </w:p>
    <w:p w:rsidR="00CB0DD7" w:rsidRPr="000A0A5F" w:rsidRDefault="00CB0DD7">
      <w:pPr>
        <w:pStyle w:val="PL"/>
      </w:pPr>
      <w:r w:rsidRPr="000A0A5F">
        <w:t xml:space="preserve">          $ref: 'TS29122_CommonData.yaml#/components/responses/429'</w:t>
      </w:r>
    </w:p>
    <w:p w:rsidR="00CB0DD7" w:rsidRPr="000A0A5F" w:rsidRDefault="00CB0DD7">
      <w:pPr>
        <w:pStyle w:val="PL"/>
      </w:pPr>
      <w:r w:rsidRPr="000A0A5F">
        <w:t xml:space="preserve">        '500':</w:t>
      </w:r>
    </w:p>
    <w:p w:rsidR="00CB0DD7" w:rsidRPr="000A0A5F" w:rsidRDefault="00CB0DD7">
      <w:pPr>
        <w:pStyle w:val="PL"/>
      </w:pPr>
      <w:r w:rsidRPr="000A0A5F">
        <w:t xml:space="preserve">          $ref: 'TS29122_CommonData.yaml#/components/responses/500'</w:t>
      </w:r>
    </w:p>
    <w:p w:rsidR="00CB0DD7" w:rsidRPr="000A0A5F" w:rsidRDefault="00CB0DD7">
      <w:pPr>
        <w:pStyle w:val="PL"/>
      </w:pPr>
      <w:r w:rsidRPr="000A0A5F">
        <w:t xml:space="preserve">        '503':</w:t>
      </w:r>
    </w:p>
    <w:p w:rsidR="00CB0DD7" w:rsidRPr="000A0A5F" w:rsidRDefault="00CB0DD7">
      <w:pPr>
        <w:pStyle w:val="PL"/>
      </w:pPr>
      <w:r w:rsidRPr="000A0A5F">
        <w:t xml:space="preserve">          $ref: 'TS29122_CommonData.yaml#/components/responses/503'</w:t>
      </w:r>
    </w:p>
    <w:p w:rsidR="00CB0DD7" w:rsidRPr="000A0A5F" w:rsidRDefault="00CB0DD7">
      <w:pPr>
        <w:pStyle w:val="PL"/>
      </w:pPr>
      <w:r w:rsidRPr="000A0A5F">
        <w:t xml:space="preserve">        default:</w:t>
      </w:r>
    </w:p>
    <w:p w:rsidR="00CB0DD7" w:rsidRPr="000A0A5F" w:rsidRDefault="00CB0DD7">
      <w:pPr>
        <w:pStyle w:val="PL"/>
      </w:pPr>
      <w:r w:rsidRPr="000A0A5F">
        <w:t xml:space="preserve">          $ref: 'TS29122_CommonData.yaml#/components/responses/default'</w:t>
      </w:r>
    </w:p>
    <w:p w:rsidR="00CB0DD7" w:rsidRPr="000A0A5F" w:rsidRDefault="00CB0DD7">
      <w:pPr>
        <w:pStyle w:val="PL"/>
      </w:pPr>
      <w:r w:rsidRPr="000A0A5F">
        <w:t xml:space="preserve">    post:</w:t>
      </w:r>
    </w:p>
    <w:p w:rsidR="00295FFB" w:rsidRPr="000A0A5F" w:rsidRDefault="00295FFB" w:rsidP="00295FFB">
      <w:pPr>
        <w:pStyle w:val="PL"/>
      </w:pPr>
      <w:r w:rsidRPr="000A0A5F">
        <w:t xml:space="preserve">      summary: Create a new RACS parameter provisioning.</w:t>
      </w:r>
    </w:p>
    <w:p w:rsidR="00295FFB" w:rsidRPr="000A0A5F" w:rsidRDefault="00295FFB" w:rsidP="00295FFB">
      <w:pPr>
        <w:pStyle w:val="PL"/>
      </w:pPr>
      <w:r w:rsidRPr="000A0A5F">
        <w:t xml:space="preserve">      </w:t>
      </w:r>
      <w:r w:rsidRPr="000A0A5F">
        <w:rPr>
          <w:rFonts w:cs="Courier New"/>
          <w:szCs w:val="16"/>
        </w:rPr>
        <w:t>operationId: Create</w:t>
      </w:r>
      <w:r w:rsidRPr="000A0A5F">
        <w:t>RACSParameterProvisioning</w:t>
      </w:r>
    </w:p>
    <w:p w:rsidR="00295FFB" w:rsidRPr="000A0A5F" w:rsidRDefault="00295FFB" w:rsidP="00295FFB">
      <w:pPr>
        <w:pStyle w:val="PL"/>
      </w:pPr>
      <w:r w:rsidRPr="000A0A5F">
        <w:t xml:space="preserve">      tags:</w:t>
      </w:r>
    </w:p>
    <w:p w:rsidR="00295FFB" w:rsidRPr="000A0A5F" w:rsidRDefault="00295FFB" w:rsidP="00295FFB">
      <w:pPr>
        <w:pStyle w:val="PL"/>
      </w:pPr>
      <w:r w:rsidRPr="000A0A5F">
        <w:t xml:space="preserve">        - RACS Parameter Provisionings</w:t>
      </w:r>
    </w:p>
    <w:p w:rsidR="00CB0DD7" w:rsidRPr="000A0A5F" w:rsidRDefault="00CB0DD7">
      <w:pPr>
        <w:pStyle w:val="PL"/>
      </w:pPr>
      <w:r w:rsidRPr="000A0A5F">
        <w:t xml:space="preserve">      requestBody:</w:t>
      </w:r>
    </w:p>
    <w:p w:rsidR="00CB0DD7" w:rsidRPr="000A0A5F" w:rsidRDefault="00CB0DD7">
      <w:pPr>
        <w:pStyle w:val="PL"/>
      </w:pPr>
      <w:r w:rsidRPr="000A0A5F">
        <w:t xml:space="preserve">        description: </w:t>
      </w:r>
      <w:r w:rsidRPr="000A0A5F">
        <w:rPr>
          <w:lang w:eastAsia="zh-CN"/>
        </w:rPr>
        <w:t xml:space="preserve">create </w:t>
      </w:r>
      <w:r w:rsidRPr="000A0A5F">
        <w:t>new</w:t>
      </w:r>
      <w:r w:rsidRPr="000A0A5F">
        <w:rPr>
          <w:lang w:eastAsia="zh-CN"/>
        </w:rPr>
        <w:t xml:space="preserve"> provisionings for a given SCS/AS</w:t>
      </w:r>
      <w:r w:rsidRPr="000A0A5F">
        <w:t>.</w:t>
      </w:r>
    </w:p>
    <w:p w:rsidR="00CB0DD7" w:rsidRPr="000A0A5F" w:rsidRDefault="00CB0DD7">
      <w:pPr>
        <w:pStyle w:val="PL"/>
      </w:pPr>
      <w:r w:rsidRPr="000A0A5F">
        <w:t xml:space="preserve">        required: true</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application/json:</w:t>
      </w:r>
    </w:p>
    <w:p w:rsidR="00CB0DD7" w:rsidRPr="000A0A5F" w:rsidRDefault="00CB0DD7">
      <w:pPr>
        <w:pStyle w:val="PL"/>
      </w:pPr>
      <w:r w:rsidRPr="000A0A5F">
        <w:t xml:space="preserve">            schema:</w:t>
      </w:r>
    </w:p>
    <w:p w:rsidR="00CB0DD7" w:rsidRPr="000A0A5F" w:rsidRDefault="00CB0DD7">
      <w:pPr>
        <w:pStyle w:val="PL"/>
      </w:pPr>
      <w:r w:rsidRPr="000A0A5F">
        <w:t xml:space="preserve">              $ref: '#/components/schemas/RacsProvisioningData'</w:t>
      </w:r>
    </w:p>
    <w:p w:rsidR="00CB0DD7" w:rsidRPr="000A0A5F" w:rsidRDefault="00CB0DD7">
      <w:pPr>
        <w:pStyle w:val="PL"/>
      </w:pPr>
      <w:r w:rsidRPr="000A0A5F">
        <w:t xml:space="preserve">      responses:</w:t>
      </w:r>
    </w:p>
    <w:p w:rsidR="00CB0DD7" w:rsidRPr="000A0A5F" w:rsidRDefault="00CB0DD7">
      <w:pPr>
        <w:pStyle w:val="PL"/>
      </w:pPr>
      <w:r w:rsidRPr="000A0A5F">
        <w:t xml:space="preserve">        '201':</w:t>
      </w:r>
    </w:p>
    <w:p w:rsidR="00CB0DD7" w:rsidRPr="000A0A5F" w:rsidRDefault="00CB0DD7">
      <w:pPr>
        <w:pStyle w:val="PL"/>
      </w:pPr>
      <w:r w:rsidRPr="000A0A5F">
        <w:t xml:space="preserve">          description: Created. The provisioning was created successfully.</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application/json:</w:t>
      </w:r>
    </w:p>
    <w:p w:rsidR="00CB0DD7" w:rsidRPr="000A0A5F" w:rsidRDefault="00CB0DD7">
      <w:pPr>
        <w:pStyle w:val="PL"/>
      </w:pPr>
      <w:r w:rsidRPr="000A0A5F">
        <w:t xml:space="preserve">              schema:</w:t>
      </w:r>
    </w:p>
    <w:p w:rsidR="00CB0DD7" w:rsidRPr="000A0A5F" w:rsidRDefault="00CB0DD7">
      <w:pPr>
        <w:pStyle w:val="PL"/>
      </w:pPr>
      <w:r w:rsidRPr="000A0A5F">
        <w:t xml:space="preserve">                $ref: '#/components/schemas/RacsProvisioningData'</w:t>
      </w:r>
    </w:p>
    <w:p w:rsidR="00CB0DD7" w:rsidRPr="000A0A5F" w:rsidRDefault="00CB0DD7">
      <w:pPr>
        <w:pStyle w:val="PL"/>
      </w:pPr>
      <w:r w:rsidRPr="000A0A5F">
        <w:t xml:space="preserve">          headers:</w:t>
      </w:r>
    </w:p>
    <w:p w:rsidR="00CB0DD7" w:rsidRPr="000A0A5F" w:rsidRDefault="00CB0DD7">
      <w:pPr>
        <w:pStyle w:val="PL"/>
      </w:pPr>
      <w:r w:rsidRPr="000A0A5F">
        <w:t xml:space="preserve">            Location:</w:t>
      </w:r>
    </w:p>
    <w:p w:rsidR="00CB0DD7" w:rsidRPr="000A0A5F" w:rsidRDefault="00CB0DD7">
      <w:pPr>
        <w:pStyle w:val="PL"/>
      </w:pPr>
      <w:r w:rsidRPr="000A0A5F">
        <w:t xml:space="preserve">              description: 'Contains the URI of the newly created resource'</w:t>
      </w:r>
    </w:p>
    <w:p w:rsidR="00CB0DD7" w:rsidRPr="000A0A5F" w:rsidRDefault="00CB0DD7">
      <w:pPr>
        <w:pStyle w:val="PL"/>
      </w:pPr>
      <w:r w:rsidRPr="000A0A5F">
        <w:t xml:space="preserve">              required: true</w:t>
      </w:r>
    </w:p>
    <w:p w:rsidR="00CB0DD7" w:rsidRPr="000A0A5F" w:rsidRDefault="00CB0DD7">
      <w:pPr>
        <w:pStyle w:val="PL"/>
      </w:pPr>
      <w:r w:rsidRPr="000A0A5F">
        <w:t xml:space="preserve">              schema:</w:t>
      </w:r>
    </w:p>
    <w:p w:rsidR="00CB0DD7" w:rsidRPr="000A0A5F" w:rsidRDefault="00CB0DD7">
      <w:pPr>
        <w:pStyle w:val="PL"/>
      </w:pPr>
      <w:r w:rsidRPr="000A0A5F">
        <w:t xml:space="preserve">                type: string</w:t>
      </w:r>
    </w:p>
    <w:p w:rsidR="00CB0DD7" w:rsidRPr="000A0A5F" w:rsidRDefault="00CB0DD7">
      <w:pPr>
        <w:pStyle w:val="PL"/>
      </w:pPr>
      <w:r w:rsidRPr="000A0A5F">
        <w:t xml:space="preserve">        '400':</w:t>
      </w:r>
    </w:p>
    <w:p w:rsidR="00CB0DD7" w:rsidRPr="000A0A5F" w:rsidRDefault="00CB0DD7">
      <w:pPr>
        <w:pStyle w:val="PL"/>
      </w:pPr>
      <w:r w:rsidRPr="000A0A5F">
        <w:t xml:space="preserve">          $ref: 'TS29122_CommonData.yaml#/components/responses/400'</w:t>
      </w:r>
    </w:p>
    <w:p w:rsidR="00CB0DD7" w:rsidRPr="000A0A5F" w:rsidRDefault="00CB0DD7">
      <w:pPr>
        <w:pStyle w:val="PL"/>
      </w:pPr>
      <w:r w:rsidRPr="000A0A5F">
        <w:t xml:space="preserve">        '401':</w:t>
      </w:r>
    </w:p>
    <w:p w:rsidR="00CB0DD7" w:rsidRPr="000A0A5F" w:rsidRDefault="00CB0DD7">
      <w:pPr>
        <w:pStyle w:val="PL"/>
      </w:pPr>
      <w:r w:rsidRPr="000A0A5F">
        <w:t xml:space="preserve">          $ref: 'TS29122_CommonData.yaml#/components/responses/401'</w:t>
      </w:r>
    </w:p>
    <w:p w:rsidR="00CB0DD7" w:rsidRPr="000A0A5F" w:rsidRDefault="00CB0DD7">
      <w:pPr>
        <w:pStyle w:val="PL"/>
      </w:pPr>
      <w:r w:rsidRPr="000A0A5F">
        <w:t xml:space="preserve">        '403':</w:t>
      </w:r>
    </w:p>
    <w:p w:rsidR="00CB0DD7" w:rsidRPr="000A0A5F" w:rsidRDefault="00CB0DD7">
      <w:pPr>
        <w:pStyle w:val="PL"/>
      </w:pPr>
      <w:r w:rsidRPr="000A0A5F">
        <w:t xml:space="preserve">          $ref: 'TS29122_CommonData.yaml#/components/responses/403'</w:t>
      </w:r>
    </w:p>
    <w:p w:rsidR="00CB0DD7" w:rsidRPr="000A0A5F" w:rsidRDefault="00CB0DD7">
      <w:pPr>
        <w:pStyle w:val="PL"/>
      </w:pPr>
      <w:r w:rsidRPr="000A0A5F">
        <w:t xml:space="preserve">        '404':</w:t>
      </w:r>
    </w:p>
    <w:p w:rsidR="00CB0DD7" w:rsidRPr="000A0A5F" w:rsidRDefault="00CB0DD7">
      <w:pPr>
        <w:pStyle w:val="PL"/>
      </w:pPr>
      <w:r w:rsidRPr="000A0A5F">
        <w:t xml:space="preserve">          $ref: 'TS29122_CommonData.yaml#/components/responses/404'</w:t>
      </w:r>
    </w:p>
    <w:p w:rsidR="00CB0DD7" w:rsidRPr="000A0A5F" w:rsidRDefault="00CB0DD7">
      <w:pPr>
        <w:pStyle w:val="PL"/>
      </w:pPr>
      <w:r w:rsidRPr="000A0A5F">
        <w:t xml:space="preserve">        '411':</w:t>
      </w:r>
    </w:p>
    <w:p w:rsidR="00CB0DD7" w:rsidRPr="000A0A5F" w:rsidRDefault="00CB0DD7">
      <w:pPr>
        <w:pStyle w:val="PL"/>
      </w:pPr>
      <w:r w:rsidRPr="000A0A5F">
        <w:t xml:space="preserve">          $ref: 'TS29122_CommonData.yaml#/components/responses/411'</w:t>
      </w:r>
    </w:p>
    <w:p w:rsidR="00CB0DD7" w:rsidRPr="000A0A5F" w:rsidRDefault="00CB0DD7">
      <w:pPr>
        <w:pStyle w:val="PL"/>
      </w:pPr>
      <w:r w:rsidRPr="000A0A5F">
        <w:t xml:space="preserve">        '413':</w:t>
      </w:r>
    </w:p>
    <w:p w:rsidR="00CB0DD7" w:rsidRPr="000A0A5F" w:rsidRDefault="00CB0DD7">
      <w:pPr>
        <w:pStyle w:val="PL"/>
      </w:pPr>
      <w:r w:rsidRPr="000A0A5F">
        <w:t xml:space="preserve">          $ref: 'TS29122_CommonData.yaml#/components/responses/413'</w:t>
      </w:r>
    </w:p>
    <w:p w:rsidR="00CB0DD7" w:rsidRPr="000A0A5F" w:rsidRDefault="00CB0DD7">
      <w:pPr>
        <w:pStyle w:val="PL"/>
      </w:pPr>
      <w:r w:rsidRPr="000A0A5F">
        <w:t xml:space="preserve">        '415':</w:t>
      </w:r>
    </w:p>
    <w:p w:rsidR="00CB0DD7" w:rsidRPr="000A0A5F" w:rsidRDefault="00CB0DD7">
      <w:pPr>
        <w:pStyle w:val="PL"/>
      </w:pPr>
      <w:r w:rsidRPr="000A0A5F">
        <w:t xml:space="preserve">          $ref: 'TS29122_CommonData.yaml#/components/responses/415'</w:t>
      </w:r>
    </w:p>
    <w:p w:rsidR="00CB0DD7" w:rsidRPr="000A0A5F" w:rsidRDefault="00CB0DD7">
      <w:pPr>
        <w:pStyle w:val="PL"/>
      </w:pPr>
      <w:r w:rsidRPr="000A0A5F">
        <w:t xml:space="preserve">        '429':</w:t>
      </w:r>
    </w:p>
    <w:p w:rsidR="00CB0DD7" w:rsidRPr="000A0A5F" w:rsidRDefault="00CB0DD7">
      <w:pPr>
        <w:pStyle w:val="PL"/>
      </w:pPr>
      <w:r w:rsidRPr="000A0A5F">
        <w:t xml:space="preserve">          $ref: 'TS29122_CommonData.yaml#/components/responses/429'</w:t>
      </w:r>
    </w:p>
    <w:p w:rsidR="00CB0DD7" w:rsidRPr="000A0A5F" w:rsidRDefault="00CB0DD7">
      <w:pPr>
        <w:pStyle w:val="PL"/>
      </w:pPr>
      <w:r w:rsidRPr="000A0A5F">
        <w:t xml:space="preserve">        '500':</w:t>
      </w:r>
    </w:p>
    <w:p w:rsidR="00CB0DD7" w:rsidRPr="000A0A5F" w:rsidRDefault="00CB0DD7">
      <w:pPr>
        <w:pStyle w:val="PL"/>
      </w:pPr>
      <w:r w:rsidRPr="000A0A5F">
        <w:t xml:space="preserve">          description: The RACS data for all RACS IDs were not provisioned successfully.</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application/json:</w:t>
      </w:r>
    </w:p>
    <w:p w:rsidR="00CB0DD7" w:rsidRPr="000A0A5F" w:rsidRDefault="00CB0DD7">
      <w:pPr>
        <w:pStyle w:val="PL"/>
      </w:pPr>
      <w:r w:rsidRPr="000A0A5F">
        <w:t xml:space="preserve">              schema:</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$ref: '#/components/schemas/RacsFailureReport</w:t>
      </w:r>
      <w:r w:rsidRPr="000A0A5F">
        <w:rPr>
          <w:lang w:eastAsia="zh-CN"/>
        </w:rPr>
        <w:t>'</w:t>
      </w:r>
    </w:p>
    <w:p w:rsidR="00CB0DD7" w:rsidRPr="000A0A5F" w:rsidRDefault="00CB0DD7">
      <w:pPr>
        <w:pStyle w:val="PL"/>
      </w:pPr>
      <w:r w:rsidRPr="000A0A5F">
        <w:t xml:space="preserve">                minItems: 1</w:t>
      </w:r>
    </w:p>
    <w:p w:rsidR="00CB0DD7" w:rsidRPr="000A0A5F" w:rsidRDefault="00CB0DD7">
      <w:pPr>
        <w:pStyle w:val="PL"/>
      </w:pPr>
      <w:r w:rsidRPr="000A0A5F">
        <w:t xml:space="preserve">            application/problem+json:</w:t>
      </w:r>
    </w:p>
    <w:p w:rsidR="00CB0DD7" w:rsidRPr="000A0A5F" w:rsidRDefault="00CB0DD7">
      <w:pPr>
        <w:pStyle w:val="PL"/>
      </w:pPr>
      <w:r w:rsidRPr="000A0A5F">
        <w:t xml:space="preserve">              schema:</w:t>
      </w:r>
    </w:p>
    <w:p w:rsidR="00CB0DD7" w:rsidRPr="000A0A5F" w:rsidRDefault="00CB0DD7">
      <w:pPr>
        <w:pStyle w:val="PL"/>
        <w:rPr>
          <w:lang w:eastAsia="zh-CN"/>
        </w:rPr>
      </w:pPr>
      <w:r w:rsidRPr="000A0A5F">
        <w:rPr>
          <w:lang w:eastAsia="zh-CN"/>
        </w:rPr>
        <w:t xml:space="preserve">                $ref: '</w:t>
      </w:r>
      <w:r w:rsidRPr="000A0A5F">
        <w:t>TS29122_CommonData.yaml</w:t>
      </w:r>
      <w:r w:rsidRPr="000A0A5F">
        <w:rPr>
          <w:lang w:eastAsia="zh-CN"/>
        </w:rPr>
        <w:t>#/components/schemas/ProblemDetails'</w:t>
      </w:r>
    </w:p>
    <w:p w:rsidR="00CB0DD7" w:rsidRPr="000A0A5F" w:rsidRDefault="00CB0DD7">
      <w:pPr>
        <w:pStyle w:val="PL"/>
      </w:pPr>
      <w:r w:rsidRPr="000A0A5F">
        <w:t xml:space="preserve">        '503':</w:t>
      </w:r>
    </w:p>
    <w:p w:rsidR="00CB0DD7" w:rsidRPr="000A0A5F" w:rsidRDefault="00CB0DD7">
      <w:pPr>
        <w:pStyle w:val="PL"/>
      </w:pPr>
      <w:r w:rsidRPr="000A0A5F">
        <w:t xml:space="preserve">          $ref: 'TS29122_CommonData.yaml#/components/responses/503'</w:t>
      </w:r>
    </w:p>
    <w:p w:rsidR="00CB0DD7" w:rsidRPr="000A0A5F" w:rsidRDefault="00CB0DD7">
      <w:pPr>
        <w:pStyle w:val="PL"/>
      </w:pPr>
      <w:r w:rsidRPr="000A0A5F">
        <w:t xml:space="preserve">        default:</w:t>
      </w:r>
    </w:p>
    <w:p w:rsidR="00CB0DD7" w:rsidRPr="000A0A5F" w:rsidRDefault="00CB0DD7">
      <w:pPr>
        <w:pStyle w:val="PL"/>
      </w:pPr>
      <w:r w:rsidRPr="000A0A5F">
        <w:t xml:space="preserve">          $ref: 'TS29122_CommonData.yaml#/components/responses/default'</w:t>
      </w:r>
    </w:p>
    <w:p w:rsidR="00CB0DD7" w:rsidRPr="000A0A5F" w:rsidRDefault="00CB0DD7">
      <w:pPr>
        <w:pStyle w:val="PL"/>
      </w:pPr>
      <w:r w:rsidRPr="000A0A5F">
        <w:t xml:space="preserve">  /{scsAsId}/provisionings/{provisioningId}:</w:t>
      </w:r>
    </w:p>
    <w:p w:rsidR="00CB0DD7" w:rsidRPr="000A0A5F" w:rsidRDefault="00CB0DD7">
      <w:pPr>
        <w:pStyle w:val="PL"/>
      </w:pPr>
      <w:r w:rsidRPr="000A0A5F">
        <w:t xml:space="preserve">    parameters:</w:t>
      </w:r>
    </w:p>
    <w:p w:rsidR="00CB0DD7" w:rsidRPr="000A0A5F" w:rsidRDefault="00CB0DD7">
      <w:pPr>
        <w:pStyle w:val="PL"/>
      </w:pPr>
      <w:r w:rsidRPr="000A0A5F">
        <w:t xml:space="preserve">      - name: scsAsId</w:t>
      </w:r>
    </w:p>
    <w:p w:rsidR="00CB0DD7" w:rsidRPr="000A0A5F" w:rsidRDefault="00CB0DD7">
      <w:pPr>
        <w:pStyle w:val="PL"/>
      </w:pPr>
      <w:r w:rsidRPr="000A0A5F">
        <w:t xml:space="preserve">        in: path</w:t>
      </w:r>
    </w:p>
    <w:p w:rsidR="00CB0DD7" w:rsidRPr="000A0A5F" w:rsidRDefault="00CB0DD7">
      <w:pPr>
        <w:pStyle w:val="PL"/>
      </w:pPr>
      <w:r w:rsidRPr="000A0A5F">
        <w:t xml:space="preserve">        description: Identifier of the SCS/AS as defined in clause 5.2.4 of 3GPP TS 29.122.</w:t>
      </w:r>
    </w:p>
    <w:p w:rsidR="00CB0DD7" w:rsidRPr="000A0A5F" w:rsidRDefault="00CB0DD7">
      <w:pPr>
        <w:pStyle w:val="PL"/>
      </w:pPr>
      <w:r w:rsidRPr="000A0A5F">
        <w:t xml:space="preserve">        required: true</w:t>
      </w:r>
    </w:p>
    <w:p w:rsidR="00CB0DD7" w:rsidRPr="000A0A5F" w:rsidRDefault="00CB0DD7">
      <w:pPr>
        <w:pStyle w:val="PL"/>
      </w:pPr>
      <w:r w:rsidRPr="000A0A5F">
        <w:t xml:space="preserve">        schema:</w:t>
      </w:r>
    </w:p>
    <w:p w:rsidR="00CB0DD7" w:rsidRPr="000A0A5F" w:rsidRDefault="00CB0DD7">
      <w:pPr>
        <w:pStyle w:val="PL"/>
      </w:pPr>
      <w:r w:rsidRPr="000A0A5F">
        <w:t xml:space="preserve">          type: string</w:t>
      </w:r>
    </w:p>
    <w:p w:rsidR="00CB0DD7" w:rsidRPr="000A0A5F" w:rsidRDefault="00CB0DD7">
      <w:pPr>
        <w:pStyle w:val="PL"/>
      </w:pPr>
      <w:r w:rsidRPr="000A0A5F">
        <w:t xml:space="preserve">      - name: provisioningId</w:t>
      </w:r>
    </w:p>
    <w:p w:rsidR="00CB0DD7" w:rsidRPr="000A0A5F" w:rsidRDefault="00CB0DD7">
      <w:pPr>
        <w:pStyle w:val="PL"/>
      </w:pPr>
      <w:r w:rsidRPr="000A0A5F">
        <w:t xml:space="preserve">        in: path</w:t>
      </w:r>
    </w:p>
    <w:p w:rsidR="00CB0DD7" w:rsidRPr="000A0A5F" w:rsidRDefault="00CB0DD7">
      <w:pPr>
        <w:pStyle w:val="PL"/>
      </w:pPr>
      <w:r w:rsidRPr="000A0A5F">
        <w:t xml:space="preserve">        description: Provisioning ID</w:t>
      </w:r>
    </w:p>
    <w:p w:rsidR="00CB0DD7" w:rsidRPr="000A0A5F" w:rsidRDefault="00CB0DD7">
      <w:pPr>
        <w:pStyle w:val="PL"/>
      </w:pPr>
      <w:r w:rsidRPr="000A0A5F">
        <w:t xml:space="preserve">        required: true</w:t>
      </w:r>
    </w:p>
    <w:p w:rsidR="00CB0DD7" w:rsidRPr="000A0A5F" w:rsidRDefault="00CB0DD7">
      <w:pPr>
        <w:pStyle w:val="PL"/>
      </w:pPr>
      <w:r w:rsidRPr="000A0A5F">
        <w:t xml:space="preserve">        schema:</w:t>
      </w:r>
    </w:p>
    <w:p w:rsidR="00CB0DD7" w:rsidRPr="000A0A5F" w:rsidRDefault="00CB0DD7">
      <w:pPr>
        <w:pStyle w:val="PL"/>
      </w:pPr>
      <w:r w:rsidRPr="000A0A5F">
        <w:t xml:space="preserve">          type: string</w:t>
      </w:r>
    </w:p>
    <w:p w:rsidR="00CB0DD7" w:rsidRPr="000A0A5F" w:rsidRDefault="00CB0DD7">
      <w:pPr>
        <w:pStyle w:val="PL"/>
      </w:pPr>
      <w:r w:rsidRPr="000A0A5F">
        <w:t xml:space="preserve">    get:</w:t>
      </w:r>
    </w:p>
    <w:p w:rsidR="00AE4187" w:rsidRPr="000A0A5F" w:rsidRDefault="00AE4187" w:rsidP="00AE4187">
      <w:pPr>
        <w:pStyle w:val="PL"/>
      </w:pPr>
      <w:r w:rsidRPr="000A0A5F">
        <w:t xml:space="preserve">      summary: Read an existing RACS parameter provisioning.</w:t>
      </w:r>
    </w:p>
    <w:p w:rsidR="00AE4187" w:rsidRPr="000A0A5F" w:rsidRDefault="00AE4187" w:rsidP="00AE4187">
      <w:pPr>
        <w:pStyle w:val="PL"/>
      </w:pPr>
      <w:r w:rsidRPr="000A0A5F">
        <w:t xml:space="preserve">      </w:t>
      </w:r>
      <w:r w:rsidRPr="000A0A5F">
        <w:rPr>
          <w:rFonts w:cs="Courier New"/>
          <w:szCs w:val="16"/>
        </w:rPr>
        <w:t>operationId: FetchInd</w:t>
      </w:r>
      <w:r w:rsidRPr="000A0A5F">
        <w:t>RACSParameterProvisioning</w:t>
      </w:r>
    </w:p>
    <w:p w:rsidR="00AE4187" w:rsidRPr="000A0A5F" w:rsidRDefault="00AE4187" w:rsidP="00AE4187">
      <w:pPr>
        <w:pStyle w:val="PL"/>
      </w:pPr>
      <w:r w:rsidRPr="000A0A5F">
        <w:t xml:space="preserve">      tags:</w:t>
      </w:r>
    </w:p>
    <w:p w:rsidR="00AE4187" w:rsidRPr="000A0A5F" w:rsidRDefault="00AE4187" w:rsidP="00AE4187">
      <w:pPr>
        <w:pStyle w:val="PL"/>
      </w:pPr>
      <w:r w:rsidRPr="000A0A5F">
        <w:t xml:space="preserve">        - Individual RACS Parameter Provisioning</w:t>
      </w:r>
    </w:p>
    <w:p w:rsidR="00CB0DD7" w:rsidRPr="000A0A5F" w:rsidRDefault="00CB0DD7">
      <w:pPr>
        <w:pStyle w:val="PL"/>
      </w:pPr>
      <w:r w:rsidRPr="000A0A5F">
        <w:t xml:space="preserve">      responses:</w:t>
      </w:r>
    </w:p>
    <w:p w:rsidR="00CB0DD7" w:rsidRPr="000A0A5F" w:rsidRDefault="00CB0DD7">
      <w:pPr>
        <w:pStyle w:val="PL"/>
      </w:pPr>
      <w:r w:rsidRPr="000A0A5F">
        <w:t xml:space="preserve">        '200':</w:t>
      </w:r>
    </w:p>
    <w:p w:rsidR="00CB0DD7" w:rsidRPr="000A0A5F" w:rsidRDefault="00CB0DD7">
      <w:pPr>
        <w:pStyle w:val="PL"/>
      </w:pPr>
      <w:r w:rsidRPr="000A0A5F">
        <w:t xml:space="preserve">          description: OK. The provisioning information related to the request URI is returned.</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application/json:</w:t>
      </w:r>
    </w:p>
    <w:p w:rsidR="00CB0DD7" w:rsidRPr="000A0A5F" w:rsidRDefault="00CB0DD7">
      <w:pPr>
        <w:pStyle w:val="PL"/>
      </w:pPr>
      <w:r w:rsidRPr="000A0A5F">
        <w:t xml:space="preserve">              schema:</w:t>
      </w:r>
    </w:p>
    <w:p w:rsidR="00CB0DD7" w:rsidRPr="000A0A5F" w:rsidRDefault="00CB0DD7">
      <w:pPr>
        <w:pStyle w:val="PL"/>
      </w:pPr>
      <w:r w:rsidRPr="000A0A5F">
        <w:t xml:space="preserve">                $ref: '#/components/schemas/RacsProvisioningData'</w:t>
      </w:r>
    </w:p>
    <w:p w:rsidR="00CB0DD7" w:rsidRPr="000A0A5F" w:rsidRDefault="00CB0DD7">
      <w:pPr>
        <w:pStyle w:val="PL"/>
      </w:pPr>
      <w:r w:rsidRPr="000A0A5F">
        <w:t xml:space="preserve">        '307':</w:t>
      </w:r>
    </w:p>
    <w:p w:rsidR="00CB0DD7" w:rsidRPr="000A0A5F" w:rsidRDefault="00CB0DD7">
      <w:pPr>
        <w:pStyle w:val="PL"/>
      </w:pPr>
      <w:r w:rsidRPr="000A0A5F">
        <w:t xml:space="preserve">          $ref: 'TS29122_CommonData.yaml#/components/responses/307'</w:t>
      </w:r>
    </w:p>
    <w:p w:rsidR="00CB0DD7" w:rsidRPr="000A0A5F" w:rsidRDefault="00CB0DD7">
      <w:pPr>
        <w:pStyle w:val="PL"/>
      </w:pPr>
      <w:r w:rsidRPr="000A0A5F">
        <w:t xml:space="preserve">        '308':</w:t>
      </w:r>
    </w:p>
    <w:p w:rsidR="00CB0DD7" w:rsidRPr="000A0A5F" w:rsidRDefault="00CB0DD7">
      <w:pPr>
        <w:pStyle w:val="PL"/>
      </w:pPr>
      <w:r w:rsidRPr="000A0A5F">
        <w:t xml:space="preserve">          $ref: 'TS29122_CommonData.yaml#/components/responses/308'</w:t>
      </w:r>
    </w:p>
    <w:p w:rsidR="00CB0DD7" w:rsidRPr="000A0A5F" w:rsidRDefault="00CB0DD7">
      <w:pPr>
        <w:pStyle w:val="PL"/>
      </w:pPr>
      <w:r w:rsidRPr="000A0A5F">
        <w:t xml:space="preserve">        '400':</w:t>
      </w:r>
    </w:p>
    <w:p w:rsidR="00CB0DD7" w:rsidRPr="000A0A5F" w:rsidRDefault="00CB0DD7">
      <w:pPr>
        <w:pStyle w:val="PL"/>
      </w:pPr>
      <w:r w:rsidRPr="000A0A5F">
        <w:t xml:space="preserve">          $ref: 'TS29122_CommonData.yaml#/components/responses/400'</w:t>
      </w:r>
    </w:p>
    <w:p w:rsidR="00CB0DD7" w:rsidRPr="000A0A5F" w:rsidRDefault="00CB0DD7">
      <w:pPr>
        <w:pStyle w:val="PL"/>
      </w:pPr>
      <w:r w:rsidRPr="000A0A5F">
        <w:t xml:space="preserve">        '401':</w:t>
      </w:r>
    </w:p>
    <w:p w:rsidR="00CB0DD7" w:rsidRPr="000A0A5F" w:rsidRDefault="00CB0DD7">
      <w:pPr>
        <w:pStyle w:val="PL"/>
      </w:pPr>
      <w:r w:rsidRPr="000A0A5F">
        <w:t xml:space="preserve">          $ref: 'TS29122_CommonData.yaml#/components/responses/401'</w:t>
      </w:r>
    </w:p>
    <w:p w:rsidR="00CB0DD7" w:rsidRPr="000A0A5F" w:rsidRDefault="00CB0DD7">
      <w:pPr>
        <w:pStyle w:val="PL"/>
      </w:pPr>
      <w:r w:rsidRPr="000A0A5F">
        <w:t xml:space="preserve">        '403':</w:t>
      </w:r>
    </w:p>
    <w:p w:rsidR="00CB0DD7" w:rsidRPr="000A0A5F" w:rsidRDefault="00CB0DD7">
      <w:pPr>
        <w:pStyle w:val="PL"/>
      </w:pPr>
      <w:r w:rsidRPr="000A0A5F">
        <w:t xml:space="preserve">          $ref: 'TS29122_CommonData.yaml#/components/responses/403'</w:t>
      </w:r>
    </w:p>
    <w:p w:rsidR="00CB0DD7" w:rsidRPr="000A0A5F" w:rsidRDefault="00CB0DD7">
      <w:pPr>
        <w:pStyle w:val="PL"/>
      </w:pPr>
      <w:r w:rsidRPr="000A0A5F">
        <w:t xml:space="preserve">        '404':</w:t>
      </w:r>
    </w:p>
    <w:p w:rsidR="00CB0DD7" w:rsidRPr="000A0A5F" w:rsidRDefault="00CB0DD7">
      <w:pPr>
        <w:pStyle w:val="PL"/>
      </w:pPr>
      <w:r w:rsidRPr="000A0A5F">
        <w:t xml:space="preserve">          $ref: 'TS29122_CommonData.yaml#/components/responses/404'</w:t>
      </w:r>
    </w:p>
    <w:p w:rsidR="00CB0DD7" w:rsidRPr="000A0A5F" w:rsidRDefault="00CB0DD7">
      <w:pPr>
        <w:pStyle w:val="PL"/>
      </w:pPr>
      <w:r w:rsidRPr="000A0A5F">
        <w:t xml:space="preserve">        '406':</w:t>
      </w:r>
    </w:p>
    <w:p w:rsidR="00CB0DD7" w:rsidRPr="000A0A5F" w:rsidRDefault="00CB0DD7">
      <w:pPr>
        <w:pStyle w:val="PL"/>
      </w:pPr>
      <w:r w:rsidRPr="000A0A5F">
        <w:t xml:space="preserve">          $ref: 'TS29122_CommonData.yaml#/components/responses/406'</w:t>
      </w:r>
    </w:p>
    <w:p w:rsidR="00CB0DD7" w:rsidRPr="000A0A5F" w:rsidRDefault="00CB0DD7">
      <w:pPr>
        <w:pStyle w:val="PL"/>
      </w:pPr>
      <w:r w:rsidRPr="000A0A5F">
        <w:t xml:space="preserve">        '429':</w:t>
      </w:r>
    </w:p>
    <w:p w:rsidR="00CB0DD7" w:rsidRPr="000A0A5F" w:rsidRDefault="00CB0DD7">
      <w:pPr>
        <w:pStyle w:val="PL"/>
      </w:pPr>
      <w:r w:rsidRPr="000A0A5F">
        <w:t xml:space="preserve">          $ref: 'TS29122_CommonData.yaml#/components/responses/429'</w:t>
      </w:r>
    </w:p>
    <w:p w:rsidR="00CB0DD7" w:rsidRPr="000A0A5F" w:rsidRDefault="00CB0DD7">
      <w:pPr>
        <w:pStyle w:val="PL"/>
      </w:pPr>
      <w:r w:rsidRPr="000A0A5F">
        <w:t xml:space="preserve">        '500':</w:t>
      </w:r>
    </w:p>
    <w:p w:rsidR="00CB0DD7" w:rsidRPr="000A0A5F" w:rsidRDefault="00CB0DD7">
      <w:pPr>
        <w:pStyle w:val="PL"/>
      </w:pPr>
      <w:r w:rsidRPr="000A0A5F">
        <w:t xml:space="preserve">          $ref: 'TS29122_CommonData.yaml#/components/responses/500'</w:t>
      </w:r>
    </w:p>
    <w:p w:rsidR="00CB0DD7" w:rsidRPr="000A0A5F" w:rsidRDefault="00CB0DD7">
      <w:pPr>
        <w:pStyle w:val="PL"/>
      </w:pPr>
      <w:r w:rsidRPr="000A0A5F">
        <w:t xml:space="preserve">        '503':</w:t>
      </w:r>
    </w:p>
    <w:p w:rsidR="00CB0DD7" w:rsidRPr="000A0A5F" w:rsidRDefault="00CB0DD7">
      <w:pPr>
        <w:pStyle w:val="PL"/>
      </w:pPr>
      <w:r w:rsidRPr="000A0A5F">
        <w:t xml:space="preserve">          $ref: 'TS29122_CommonData.yaml#/components/responses/503'</w:t>
      </w:r>
    </w:p>
    <w:p w:rsidR="00CB0DD7" w:rsidRPr="000A0A5F" w:rsidRDefault="00CB0DD7">
      <w:pPr>
        <w:pStyle w:val="PL"/>
      </w:pPr>
      <w:r w:rsidRPr="000A0A5F">
        <w:t xml:space="preserve">        default:</w:t>
      </w:r>
    </w:p>
    <w:p w:rsidR="00CB0DD7" w:rsidRPr="000A0A5F" w:rsidRDefault="00CB0DD7">
      <w:pPr>
        <w:pStyle w:val="PL"/>
      </w:pPr>
      <w:r w:rsidRPr="000A0A5F">
        <w:t xml:space="preserve">          $ref: 'TS29122_CommonData.yaml#/components/responses/default'</w:t>
      </w:r>
    </w:p>
    <w:p w:rsidR="00CB0DD7" w:rsidRPr="000A0A5F" w:rsidRDefault="00CB0DD7">
      <w:pPr>
        <w:pStyle w:val="PL"/>
      </w:pPr>
      <w:r w:rsidRPr="000A0A5F">
        <w:t xml:space="preserve">    patch:</w:t>
      </w:r>
    </w:p>
    <w:p w:rsidR="00AE4187" w:rsidRPr="000A0A5F" w:rsidRDefault="00AE4187" w:rsidP="00AE4187">
      <w:pPr>
        <w:pStyle w:val="PL"/>
      </w:pPr>
      <w:r w:rsidRPr="000A0A5F">
        <w:t xml:space="preserve">      summary: Modify some properties in an existing RACS parameter provisioning.</w:t>
      </w:r>
    </w:p>
    <w:p w:rsidR="00AE4187" w:rsidRPr="000A0A5F" w:rsidRDefault="00AE4187" w:rsidP="00AE4187">
      <w:pPr>
        <w:pStyle w:val="PL"/>
      </w:pPr>
      <w:r w:rsidRPr="000A0A5F">
        <w:t xml:space="preserve">      </w:t>
      </w:r>
      <w:r w:rsidRPr="000A0A5F">
        <w:rPr>
          <w:rFonts w:cs="Courier New"/>
          <w:szCs w:val="16"/>
        </w:rPr>
        <w:t>operationId: ModifyInd</w:t>
      </w:r>
      <w:r w:rsidRPr="000A0A5F">
        <w:t>RACSParameterProvisioning</w:t>
      </w:r>
    </w:p>
    <w:p w:rsidR="00AE4187" w:rsidRPr="000A0A5F" w:rsidRDefault="00AE4187" w:rsidP="00AE4187">
      <w:pPr>
        <w:pStyle w:val="PL"/>
      </w:pPr>
      <w:r w:rsidRPr="000A0A5F">
        <w:t xml:space="preserve">      tags:</w:t>
      </w:r>
    </w:p>
    <w:p w:rsidR="00AE4187" w:rsidRPr="000A0A5F" w:rsidRDefault="00AE4187" w:rsidP="00AE4187">
      <w:pPr>
        <w:pStyle w:val="PL"/>
      </w:pPr>
      <w:r w:rsidRPr="000A0A5F">
        <w:t xml:space="preserve">        - Individual RACS Parameter Provisioning</w:t>
      </w:r>
    </w:p>
    <w:p w:rsidR="00CB0DD7" w:rsidRPr="000A0A5F" w:rsidRDefault="00CB0DD7">
      <w:pPr>
        <w:pStyle w:val="PL"/>
        <w:rPr>
          <w:lang w:val="en-US"/>
        </w:rPr>
      </w:pPr>
      <w:r w:rsidRPr="000A0A5F">
        <w:rPr>
          <w:lang w:val="en-US"/>
        </w:rPr>
        <w:t xml:space="preserve">      requestBody:</w:t>
      </w:r>
    </w:p>
    <w:p w:rsidR="00CB0DD7" w:rsidRPr="000A0A5F" w:rsidRDefault="00CB0DD7">
      <w:pPr>
        <w:pStyle w:val="PL"/>
        <w:rPr>
          <w:lang w:val="en-US"/>
        </w:rPr>
      </w:pPr>
      <w:r w:rsidRPr="000A0A5F">
        <w:rPr>
          <w:lang w:val="en-US"/>
        </w:rPr>
        <w:t xml:space="preserve">        description: </w:t>
      </w:r>
      <w:r w:rsidRPr="000A0A5F">
        <w:t>update an existing parameter provisioning.</w:t>
      </w:r>
    </w:p>
    <w:p w:rsidR="00CB0DD7" w:rsidRPr="000A0A5F" w:rsidRDefault="00CB0DD7">
      <w:pPr>
        <w:pStyle w:val="PL"/>
        <w:rPr>
          <w:lang w:val="en-US"/>
        </w:rPr>
      </w:pPr>
      <w:r w:rsidRPr="000A0A5F">
        <w:rPr>
          <w:lang w:val="en-US"/>
        </w:rPr>
        <w:t xml:space="preserve">        required: true</w:t>
      </w:r>
    </w:p>
    <w:p w:rsidR="00CB0DD7" w:rsidRPr="000A0A5F" w:rsidRDefault="00CB0DD7">
      <w:pPr>
        <w:pStyle w:val="PL"/>
        <w:rPr>
          <w:lang w:val="en-US"/>
        </w:rPr>
      </w:pPr>
      <w:r w:rsidRPr="000A0A5F">
        <w:rPr>
          <w:lang w:val="en-US"/>
        </w:rPr>
        <w:t xml:space="preserve">        content:</w:t>
      </w:r>
    </w:p>
    <w:p w:rsidR="00CB0DD7" w:rsidRPr="000A0A5F" w:rsidRDefault="00CB0DD7">
      <w:pPr>
        <w:pStyle w:val="PL"/>
        <w:rPr>
          <w:lang w:val="en-US"/>
        </w:rPr>
      </w:pPr>
      <w:r w:rsidRPr="000A0A5F">
        <w:rPr>
          <w:lang w:val="en-US"/>
        </w:rPr>
        <w:t xml:space="preserve">          application/merge-patch+json:</w:t>
      </w:r>
    </w:p>
    <w:p w:rsidR="00CB0DD7" w:rsidRPr="000A0A5F" w:rsidRDefault="00CB0DD7">
      <w:pPr>
        <w:pStyle w:val="PL"/>
        <w:rPr>
          <w:lang w:val="en-US"/>
        </w:rPr>
      </w:pPr>
      <w:r w:rsidRPr="000A0A5F">
        <w:rPr>
          <w:lang w:val="en-US"/>
        </w:rPr>
        <w:t xml:space="preserve">            schema:</w:t>
      </w:r>
    </w:p>
    <w:p w:rsidR="00CB0DD7" w:rsidRPr="000A0A5F" w:rsidRDefault="00CB0DD7">
      <w:pPr>
        <w:pStyle w:val="PL"/>
        <w:rPr>
          <w:lang w:val="en-US"/>
        </w:rPr>
      </w:pPr>
      <w:r w:rsidRPr="000A0A5F">
        <w:rPr>
          <w:lang w:val="en-US"/>
        </w:rPr>
        <w:t xml:space="preserve">              $ref: '#/components/schemas/</w:t>
      </w:r>
      <w:r w:rsidRPr="000A0A5F">
        <w:t>RacsProvisioningDataPatch</w:t>
      </w:r>
      <w:r w:rsidRPr="000A0A5F">
        <w:rPr>
          <w:lang w:val="en-US"/>
        </w:rPr>
        <w:t>'</w:t>
      </w:r>
    </w:p>
    <w:p w:rsidR="00CB0DD7" w:rsidRPr="000A0A5F" w:rsidRDefault="00CB0DD7">
      <w:pPr>
        <w:pStyle w:val="PL"/>
        <w:rPr>
          <w:lang w:val="en-US"/>
        </w:rPr>
      </w:pPr>
      <w:r w:rsidRPr="000A0A5F">
        <w:rPr>
          <w:lang w:val="en-US"/>
        </w:rPr>
        <w:t xml:space="preserve">      responses:</w:t>
      </w:r>
    </w:p>
    <w:p w:rsidR="00CB0DD7" w:rsidRPr="000A0A5F" w:rsidRDefault="00CB0DD7">
      <w:pPr>
        <w:pStyle w:val="PL"/>
        <w:rPr>
          <w:lang w:val="en-US"/>
        </w:rPr>
      </w:pPr>
      <w:r w:rsidRPr="000A0A5F">
        <w:rPr>
          <w:lang w:val="en-US"/>
        </w:rPr>
        <w:t xml:space="preserve">        '200':</w:t>
      </w:r>
    </w:p>
    <w:p w:rsidR="00CB0DD7" w:rsidRPr="000A0A5F" w:rsidRDefault="00CB0DD7">
      <w:pPr>
        <w:pStyle w:val="PL"/>
        <w:rPr>
          <w:lang w:val="en-US"/>
        </w:rPr>
      </w:pPr>
      <w:r w:rsidRPr="000A0A5F">
        <w:rPr>
          <w:lang w:val="en-US"/>
        </w:rPr>
        <w:t xml:space="preserve">          description: </w:t>
      </w:r>
      <w:r w:rsidRPr="000A0A5F">
        <w:t>OK. The provisioning data was updated successfully. The SCEF shall return an updated provisioning information in the response.</w:t>
      </w:r>
    </w:p>
    <w:p w:rsidR="00CB0DD7" w:rsidRPr="000A0A5F" w:rsidRDefault="00CB0DD7">
      <w:pPr>
        <w:pStyle w:val="PL"/>
        <w:rPr>
          <w:lang w:val="en-US"/>
        </w:rPr>
      </w:pPr>
      <w:r w:rsidRPr="000A0A5F">
        <w:rPr>
          <w:lang w:val="en-US"/>
        </w:rPr>
        <w:t xml:space="preserve">          content:</w:t>
      </w:r>
    </w:p>
    <w:p w:rsidR="00CB0DD7" w:rsidRPr="000A0A5F" w:rsidRDefault="00CB0DD7">
      <w:pPr>
        <w:pStyle w:val="PL"/>
        <w:rPr>
          <w:lang w:val="en-US"/>
        </w:rPr>
      </w:pPr>
      <w:r w:rsidRPr="000A0A5F">
        <w:rPr>
          <w:lang w:val="en-US"/>
        </w:rPr>
        <w:t xml:space="preserve">            application/json:</w:t>
      </w:r>
    </w:p>
    <w:p w:rsidR="00CB0DD7" w:rsidRPr="000A0A5F" w:rsidRDefault="00CB0DD7">
      <w:pPr>
        <w:pStyle w:val="PL"/>
        <w:rPr>
          <w:lang w:val="en-US"/>
        </w:rPr>
      </w:pPr>
      <w:r w:rsidRPr="000A0A5F">
        <w:rPr>
          <w:lang w:val="en-US"/>
        </w:rPr>
        <w:t xml:space="preserve">              schema:</w:t>
      </w:r>
    </w:p>
    <w:p w:rsidR="00CB0DD7" w:rsidRPr="000A0A5F" w:rsidRDefault="00CB0DD7">
      <w:pPr>
        <w:pStyle w:val="PL"/>
        <w:rPr>
          <w:lang w:val="en-US"/>
        </w:rPr>
      </w:pPr>
      <w:r w:rsidRPr="000A0A5F">
        <w:rPr>
          <w:lang w:val="en-US"/>
        </w:rPr>
        <w:t xml:space="preserve">                $ref: '#/components/schemas/</w:t>
      </w:r>
      <w:r w:rsidRPr="000A0A5F">
        <w:t>RacsProvisioningData</w:t>
      </w:r>
      <w:r w:rsidRPr="000A0A5F">
        <w:rPr>
          <w:lang w:val="en-US"/>
        </w:rPr>
        <w:t>'</w:t>
      </w:r>
    </w:p>
    <w:p w:rsidR="00CB0DD7" w:rsidRPr="000A0A5F" w:rsidRDefault="00CB0DD7">
      <w:pPr>
        <w:pStyle w:val="PL"/>
      </w:pPr>
      <w:r w:rsidRPr="000A0A5F">
        <w:t xml:space="preserve">        '204':</w:t>
      </w:r>
    </w:p>
    <w:p w:rsidR="00450D7F" w:rsidRPr="000A0A5F" w:rsidRDefault="00CB0DD7">
      <w:pPr>
        <w:pStyle w:val="PL"/>
      </w:pPr>
      <w:r w:rsidRPr="000A0A5F">
        <w:t xml:space="preserve">          description: </w:t>
      </w:r>
      <w:r w:rsidR="00450D7F" w:rsidRPr="000A0A5F">
        <w:t>&gt;</w:t>
      </w:r>
    </w:p>
    <w:p w:rsidR="00450D7F" w:rsidRPr="000A0A5F" w:rsidRDefault="00450D7F">
      <w:pPr>
        <w:pStyle w:val="PL"/>
      </w:pPr>
      <w:r w:rsidRPr="000A0A5F">
        <w:t xml:space="preserve">            </w:t>
      </w:r>
      <w:r w:rsidR="00CB0DD7" w:rsidRPr="000A0A5F">
        <w:t>The provisioning data was updated successfully, and no content is to be sent in</w:t>
      </w:r>
    </w:p>
    <w:p w:rsidR="00CB0DD7" w:rsidRPr="000A0A5F" w:rsidRDefault="00450D7F">
      <w:pPr>
        <w:pStyle w:val="PL"/>
      </w:pPr>
      <w:r w:rsidRPr="000A0A5F">
        <w:t xml:space="preserve">           </w:t>
      </w:r>
      <w:r w:rsidR="00CB0DD7" w:rsidRPr="000A0A5F">
        <w:t xml:space="preserve"> the response message body.</w:t>
      </w:r>
    </w:p>
    <w:p w:rsidR="00CB0DD7" w:rsidRPr="000A0A5F" w:rsidRDefault="00CB0DD7">
      <w:pPr>
        <w:pStyle w:val="PL"/>
      </w:pPr>
      <w:r w:rsidRPr="000A0A5F">
        <w:t xml:space="preserve">        '307':</w:t>
      </w:r>
    </w:p>
    <w:p w:rsidR="00CB0DD7" w:rsidRPr="000A0A5F" w:rsidRDefault="00CB0DD7">
      <w:pPr>
        <w:pStyle w:val="PL"/>
      </w:pPr>
      <w:r w:rsidRPr="000A0A5F">
        <w:t xml:space="preserve">          $ref: 'TS29122_CommonData.yaml#/components/responses/307'</w:t>
      </w:r>
    </w:p>
    <w:p w:rsidR="00CB0DD7" w:rsidRPr="000A0A5F" w:rsidRDefault="00CB0DD7">
      <w:pPr>
        <w:pStyle w:val="PL"/>
      </w:pPr>
      <w:r w:rsidRPr="000A0A5F">
        <w:t xml:space="preserve">        '308':</w:t>
      </w:r>
    </w:p>
    <w:p w:rsidR="00CB0DD7" w:rsidRPr="000A0A5F" w:rsidRDefault="00CB0DD7">
      <w:pPr>
        <w:pStyle w:val="PL"/>
      </w:pPr>
      <w:r w:rsidRPr="000A0A5F">
        <w:t xml:space="preserve">          $ref: 'TS29122_CommonData.yaml#/components/responses/308'</w:t>
      </w:r>
    </w:p>
    <w:p w:rsidR="00CB0DD7" w:rsidRPr="000A0A5F" w:rsidRDefault="00CB0DD7">
      <w:pPr>
        <w:pStyle w:val="PL"/>
      </w:pPr>
      <w:r w:rsidRPr="000A0A5F">
        <w:t xml:space="preserve">        '400':</w:t>
      </w:r>
    </w:p>
    <w:p w:rsidR="00CB0DD7" w:rsidRPr="000A0A5F" w:rsidRDefault="00CB0DD7">
      <w:pPr>
        <w:pStyle w:val="PL"/>
      </w:pPr>
      <w:r w:rsidRPr="000A0A5F">
        <w:t xml:space="preserve">          $ref: 'TS29122_CommonData.yaml#/components/responses/400'</w:t>
      </w:r>
    </w:p>
    <w:p w:rsidR="00CB0DD7" w:rsidRPr="000A0A5F" w:rsidRDefault="00CB0DD7">
      <w:pPr>
        <w:pStyle w:val="PL"/>
      </w:pPr>
      <w:r w:rsidRPr="000A0A5F">
        <w:t xml:space="preserve">        '401':</w:t>
      </w:r>
    </w:p>
    <w:p w:rsidR="00CB0DD7" w:rsidRPr="000A0A5F" w:rsidRDefault="00CB0DD7">
      <w:pPr>
        <w:pStyle w:val="PL"/>
      </w:pPr>
      <w:r w:rsidRPr="000A0A5F">
        <w:t xml:space="preserve">          $ref: 'TS29122_CommonData.yaml#/components/responses/401'</w:t>
      </w:r>
    </w:p>
    <w:p w:rsidR="00CB0DD7" w:rsidRPr="000A0A5F" w:rsidRDefault="00CB0DD7">
      <w:pPr>
        <w:pStyle w:val="PL"/>
      </w:pPr>
      <w:r w:rsidRPr="000A0A5F">
        <w:t xml:space="preserve">        '403':</w:t>
      </w:r>
    </w:p>
    <w:p w:rsidR="00CB0DD7" w:rsidRPr="000A0A5F" w:rsidRDefault="00CB0DD7">
      <w:pPr>
        <w:pStyle w:val="PL"/>
      </w:pPr>
      <w:r w:rsidRPr="000A0A5F">
        <w:t xml:space="preserve">          $ref: 'TS29122_CommonData.yaml#/components/responses/403'</w:t>
      </w:r>
    </w:p>
    <w:p w:rsidR="00CB0DD7" w:rsidRPr="000A0A5F" w:rsidRDefault="00CB0DD7">
      <w:pPr>
        <w:pStyle w:val="PL"/>
      </w:pPr>
      <w:r w:rsidRPr="000A0A5F">
        <w:t xml:space="preserve">        '404':</w:t>
      </w:r>
    </w:p>
    <w:p w:rsidR="00CB0DD7" w:rsidRPr="000A0A5F" w:rsidRDefault="00CB0DD7">
      <w:pPr>
        <w:pStyle w:val="PL"/>
      </w:pPr>
      <w:r w:rsidRPr="000A0A5F">
        <w:t xml:space="preserve">          $ref: 'TS29122_CommonData.yaml#/components/responses/404'</w:t>
      </w:r>
    </w:p>
    <w:p w:rsidR="00CB0DD7" w:rsidRPr="000A0A5F" w:rsidRDefault="00CB0DD7">
      <w:pPr>
        <w:pStyle w:val="PL"/>
      </w:pPr>
      <w:r w:rsidRPr="000A0A5F">
        <w:t xml:space="preserve">        '411':</w:t>
      </w:r>
    </w:p>
    <w:p w:rsidR="00CB0DD7" w:rsidRPr="000A0A5F" w:rsidRDefault="00CB0DD7">
      <w:pPr>
        <w:pStyle w:val="PL"/>
      </w:pPr>
      <w:r w:rsidRPr="000A0A5F">
        <w:t xml:space="preserve">          $ref: 'TS29122_CommonData.yaml#/components/responses/411'</w:t>
      </w:r>
    </w:p>
    <w:p w:rsidR="00CB0DD7" w:rsidRPr="000A0A5F" w:rsidRDefault="00CB0DD7">
      <w:pPr>
        <w:pStyle w:val="PL"/>
      </w:pPr>
      <w:r w:rsidRPr="000A0A5F">
        <w:t xml:space="preserve">        '413':</w:t>
      </w:r>
    </w:p>
    <w:p w:rsidR="00CB0DD7" w:rsidRPr="000A0A5F" w:rsidRDefault="00CB0DD7">
      <w:pPr>
        <w:pStyle w:val="PL"/>
      </w:pPr>
      <w:r w:rsidRPr="000A0A5F">
        <w:t xml:space="preserve">          $ref: 'TS29122_CommonData.yaml#/components/responses/413'</w:t>
      </w:r>
    </w:p>
    <w:p w:rsidR="00CB0DD7" w:rsidRPr="000A0A5F" w:rsidRDefault="00CB0DD7">
      <w:pPr>
        <w:pStyle w:val="PL"/>
      </w:pPr>
      <w:r w:rsidRPr="000A0A5F">
        <w:t xml:space="preserve">        '415':</w:t>
      </w:r>
    </w:p>
    <w:p w:rsidR="00CB0DD7" w:rsidRPr="000A0A5F" w:rsidRDefault="00CB0DD7">
      <w:pPr>
        <w:pStyle w:val="PL"/>
      </w:pPr>
      <w:r w:rsidRPr="000A0A5F">
        <w:t xml:space="preserve">          $ref: 'TS29122_CommonData.yaml#/components/responses/415'</w:t>
      </w:r>
    </w:p>
    <w:p w:rsidR="00CB0DD7" w:rsidRPr="000A0A5F" w:rsidRDefault="00CB0DD7">
      <w:pPr>
        <w:pStyle w:val="PL"/>
      </w:pPr>
      <w:r w:rsidRPr="000A0A5F">
        <w:t xml:space="preserve">        '429':</w:t>
      </w:r>
    </w:p>
    <w:p w:rsidR="00CB0DD7" w:rsidRPr="000A0A5F" w:rsidRDefault="00CB0DD7">
      <w:pPr>
        <w:pStyle w:val="PL"/>
      </w:pPr>
      <w:r w:rsidRPr="000A0A5F">
        <w:t xml:space="preserve">          $ref: 'TS29122_CommonData.yaml#/components/responses/429'</w:t>
      </w:r>
    </w:p>
    <w:p w:rsidR="00CB0DD7" w:rsidRPr="000A0A5F" w:rsidRDefault="00CB0DD7">
      <w:pPr>
        <w:pStyle w:val="PL"/>
      </w:pPr>
      <w:r w:rsidRPr="000A0A5F">
        <w:t xml:space="preserve">        '500':</w:t>
      </w:r>
    </w:p>
    <w:p w:rsidR="00CB0DD7" w:rsidRPr="000A0A5F" w:rsidRDefault="00CB0DD7">
      <w:pPr>
        <w:pStyle w:val="PL"/>
      </w:pPr>
      <w:r w:rsidRPr="000A0A5F">
        <w:t xml:space="preserve">          description: The RACS data for all RACS IDs were not provisioned successfully.</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application/json:</w:t>
      </w:r>
    </w:p>
    <w:p w:rsidR="00CB0DD7" w:rsidRPr="000A0A5F" w:rsidRDefault="00CB0DD7">
      <w:pPr>
        <w:pStyle w:val="PL"/>
      </w:pPr>
      <w:r w:rsidRPr="000A0A5F">
        <w:t xml:space="preserve">              schema:</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$ref: '#/components/schemas/RacsFailureReport</w:t>
      </w:r>
      <w:r w:rsidRPr="000A0A5F">
        <w:rPr>
          <w:lang w:eastAsia="zh-CN"/>
        </w:rPr>
        <w:t>'</w:t>
      </w:r>
    </w:p>
    <w:p w:rsidR="00CB0DD7" w:rsidRPr="000A0A5F" w:rsidRDefault="00CB0DD7">
      <w:pPr>
        <w:pStyle w:val="PL"/>
      </w:pPr>
      <w:r w:rsidRPr="000A0A5F">
        <w:t xml:space="preserve">                minItems: 1</w:t>
      </w:r>
    </w:p>
    <w:p w:rsidR="00CB0DD7" w:rsidRPr="000A0A5F" w:rsidRDefault="00CB0DD7">
      <w:pPr>
        <w:pStyle w:val="PL"/>
      </w:pPr>
      <w:r w:rsidRPr="000A0A5F">
        <w:t xml:space="preserve">            application/problem+json:</w:t>
      </w:r>
    </w:p>
    <w:p w:rsidR="00CB0DD7" w:rsidRPr="000A0A5F" w:rsidRDefault="00CB0DD7">
      <w:pPr>
        <w:pStyle w:val="PL"/>
      </w:pPr>
      <w:r w:rsidRPr="000A0A5F">
        <w:t xml:space="preserve">              schema:</w:t>
      </w:r>
    </w:p>
    <w:p w:rsidR="00CB0DD7" w:rsidRPr="000A0A5F" w:rsidRDefault="00CB0DD7">
      <w:pPr>
        <w:pStyle w:val="PL"/>
        <w:rPr>
          <w:lang w:eastAsia="zh-CN"/>
        </w:rPr>
      </w:pPr>
      <w:r w:rsidRPr="000A0A5F">
        <w:rPr>
          <w:lang w:eastAsia="zh-CN"/>
        </w:rPr>
        <w:t xml:space="preserve">                $ref: '</w:t>
      </w:r>
      <w:r w:rsidRPr="000A0A5F">
        <w:t>TS29122_CommonData.yaml</w:t>
      </w:r>
      <w:r w:rsidRPr="000A0A5F">
        <w:rPr>
          <w:lang w:eastAsia="zh-CN"/>
        </w:rPr>
        <w:t>#/components/schemas/ProblemDetails'</w:t>
      </w:r>
    </w:p>
    <w:p w:rsidR="00CB0DD7" w:rsidRPr="000A0A5F" w:rsidRDefault="00CB0DD7">
      <w:pPr>
        <w:pStyle w:val="PL"/>
      </w:pPr>
      <w:r w:rsidRPr="000A0A5F">
        <w:t xml:space="preserve">        '503':</w:t>
      </w:r>
    </w:p>
    <w:p w:rsidR="00CB0DD7" w:rsidRPr="000A0A5F" w:rsidRDefault="00CB0DD7">
      <w:pPr>
        <w:pStyle w:val="PL"/>
      </w:pPr>
      <w:r w:rsidRPr="000A0A5F">
        <w:t xml:space="preserve">          $ref: 'TS29122_CommonData.yaml#/components/responses/503'</w:t>
      </w:r>
    </w:p>
    <w:p w:rsidR="00CB0DD7" w:rsidRPr="000A0A5F" w:rsidRDefault="00CB0DD7">
      <w:pPr>
        <w:pStyle w:val="PL"/>
      </w:pPr>
      <w:r w:rsidRPr="000A0A5F">
        <w:t xml:space="preserve">        default:</w:t>
      </w:r>
    </w:p>
    <w:p w:rsidR="00CB0DD7" w:rsidRPr="000A0A5F" w:rsidRDefault="00CB0DD7">
      <w:pPr>
        <w:pStyle w:val="PL"/>
      </w:pPr>
      <w:r w:rsidRPr="000A0A5F">
        <w:t xml:space="preserve">          $ref: 'TS29122_CommonData.yaml#/components/responses/default'</w:t>
      </w:r>
    </w:p>
    <w:p w:rsidR="00CB0DD7" w:rsidRPr="000A0A5F" w:rsidRDefault="00CB0DD7">
      <w:pPr>
        <w:pStyle w:val="PL"/>
      </w:pPr>
      <w:r w:rsidRPr="000A0A5F">
        <w:t xml:space="preserve">    put:</w:t>
      </w:r>
    </w:p>
    <w:p w:rsidR="00AE4187" w:rsidRPr="000A0A5F" w:rsidRDefault="00AE4187" w:rsidP="00AE4187">
      <w:pPr>
        <w:pStyle w:val="PL"/>
      </w:pPr>
      <w:r w:rsidRPr="000A0A5F">
        <w:t xml:space="preserve">      summary: Modify all properties in an existing RACS parameter provisioning.</w:t>
      </w:r>
    </w:p>
    <w:p w:rsidR="00AE4187" w:rsidRPr="000A0A5F" w:rsidRDefault="00AE4187" w:rsidP="00AE4187">
      <w:pPr>
        <w:pStyle w:val="PL"/>
      </w:pPr>
      <w:r w:rsidRPr="000A0A5F">
        <w:t xml:space="preserve">      </w:t>
      </w:r>
      <w:r w:rsidRPr="000A0A5F">
        <w:rPr>
          <w:rFonts w:cs="Courier New"/>
          <w:szCs w:val="16"/>
        </w:rPr>
        <w:t>operationId: UpdateInd</w:t>
      </w:r>
      <w:r w:rsidRPr="000A0A5F">
        <w:t>RACSParameterProvisioning</w:t>
      </w:r>
    </w:p>
    <w:p w:rsidR="00AE4187" w:rsidRPr="000A0A5F" w:rsidRDefault="00AE4187" w:rsidP="00AE4187">
      <w:pPr>
        <w:pStyle w:val="PL"/>
      </w:pPr>
      <w:r w:rsidRPr="000A0A5F">
        <w:t xml:space="preserve">      tags:</w:t>
      </w:r>
    </w:p>
    <w:p w:rsidR="00AE4187" w:rsidRPr="000A0A5F" w:rsidRDefault="00AE4187" w:rsidP="00AE4187">
      <w:pPr>
        <w:pStyle w:val="PL"/>
      </w:pPr>
      <w:r w:rsidRPr="000A0A5F">
        <w:t xml:space="preserve">        - Individual RACS Parameter Provisioning</w:t>
      </w:r>
    </w:p>
    <w:p w:rsidR="00CB0DD7" w:rsidRPr="000A0A5F" w:rsidRDefault="00CB0DD7">
      <w:pPr>
        <w:pStyle w:val="PL"/>
      </w:pPr>
      <w:r w:rsidRPr="000A0A5F">
        <w:t xml:space="preserve">      requestBody:</w:t>
      </w:r>
    </w:p>
    <w:p w:rsidR="00CB0DD7" w:rsidRPr="000A0A5F" w:rsidRDefault="00CB0DD7">
      <w:pPr>
        <w:pStyle w:val="PL"/>
      </w:pPr>
      <w:r w:rsidRPr="000A0A5F">
        <w:t xml:space="preserve">        description: update an existing parameter provisioning.</w:t>
      </w:r>
    </w:p>
    <w:p w:rsidR="00CB0DD7" w:rsidRPr="000A0A5F" w:rsidRDefault="00CB0DD7">
      <w:pPr>
        <w:pStyle w:val="PL"/>
      </w:pPr>
      <w:r w:rsidRPr="000A0A5F">
        <w:t xml:space="preserve">        required: true</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application/json:</w:t>
      </w:r>
    </w:p>
    <w:p w:rsidR="00CB0DD7" w:rsidRPr="000A0A5F" w:rsidRDefault="00CB0DD7">
      <w:pPr>
        <w:pStyle w:val="PL"/>
      </w:pPr>
      <w:r w:rsidRPr="000A0A5F">
        <w:t xml:space="preserve">            schema:</w:t>
      </w:r>
    </w:p>
    <w:p w:rsidR="00CB0DD7" w:rsidRPr="000A0A5F" w:rsidRDefault="00CB0DD7">
      <w:pPr>
        <w:pStyle w:val="PL"/>
      </w:pPr>
      <w:r w:rsidRPr="000A0A5F">
        <w:t xml:space="preserve">              $ref: '#/components/schemas/RacsProvisioningData'</w:t>
      </w:r>
    </w:p>
    <w:p w:rsidR="00CB0DD7" w:rsidRPr="000A0A5F" w:rsidRDefault="00CB0DD7">
      <w:pPr>
        <w:pStyle w:val="PL"/>
      </w:pPr>
      <w:r w:rsidRPr="000A0A5F">
        <w:t xml:space="preserve">      responses:</w:t>
      </w:r>
    </w:p>
    <w:p w:rsidR="00CB0DD7" w:rsidRPr="000A0A5F" w:rsidRDefault="00CB0DD7">
      <w:pPr>
        <w:pStyle w:val="PL"/>
      </w:pPr>
      <w:r w:rsidRPr="000A0A5F">
        <w:t xml:space="preserve">        '200':</w:t>
      </w:r>
    </w:p>
    <w:p w:rsidR="00450D7F" w:rsidRPr="000A0A5F" w:rsidRDefault="00CB0DD7">
      <w:pPr>
        <w:pStyle w:val="PL"/>
      </w:pPr>
      <w:r w:rsidRPr="000A0A5F">
        <w:t xml:space="preserve">          description: </w:t>
      </w:r>
      <w:r w:rsidR="00450D7F" w:rsidRPr="000A0A5F">
        <w:t>&gt;</w:t>
      </w:r>
    </w:p>
    <w:p w:rsidR="00450D7F" w:rsidRPr="000A0A5F" w:rsidRDefault="00450D7F">
      <w:pPr>
        <w:pStyle w:val="PL"/>
      </w:pPr>
      <w:r w:rsidRPr="000A0A5F">
        <w:t xml:space="preserve">            </w:t>
      </w:r>
      <w:r w:rsidR="00CB0DD7" w:rsidRPr="000A0A5F">
        <w:t>OK. The provisioning data was updated successfully. The SCEF shall return an updated</w:t>
      </w:r>
    </w:p>
    <w:p w:rsidR="00CB0DD7" w:rsidRPr="000A0A5F" w:rsidRDefault="00450D7F">
      <w:pPr>
        <w:pStyle w:val="PL"/>
      </w:pPr>
      <w:r w:rsidRPr="000A0A5F">
        <w:t xml:space="preserve">           </w:t>
      </w:r>
      <w:r w:rsidR="00CB0DD7" w:rsidRPr="000A0A5F">
        <w:t xml:space="preserve"> provisioning information in the response.</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application/json:</w:t>
      </w:r>
    </w:p>
    <w:p w:rsidR="00CB0DD7" w:rsidRPr="000A0A5F" w:rsidRDefault="00CB0DD7">
      <w:pPr>
        <w:pStyle w:val="PL"/>
      </w:pPr>
      <w:r w:rsidRPr="000A0A5F">
        <w:t xml:space="preserve">              schema:</w:t>
      </w:r>
    </w:p>
    <w:p w:rsidR="00CB0DD7" w:rsidRPr="000A0A5F" w:rsidRDefault="00CB0DD7">
      <w:pPr>
        <w:pStyle w:val="PL"/>
      </w:pPr>
      <w:r w:rsidRPr="000A0A5F">
        <w:t xml:space="preserve">                $ref: '#/components/schemas/RacsProvisioningData'</w:t>
      </w:r>
    </w:p>
    <w:p w:rsidR="00CB0DD7" w:rsidRPr="000A0A5F" w:rsidRDefault="00CB0DD7">
      <w:pPr>
        <w:pStyle w:val="PL"/>
      </w:pPr>
      <w:r w:rsidRPr="000A0A5F">
        <w:t xml:space="preserve">        '204':</w:t>
      </w:r>
    </w:p>
    <w:p w:rsidR="00450D7F" w:rsidRPr="000A0A5F" w:rsidRDefault="00CB0DD7">
      <w:pPr>
        <w:pStyle w:val="PL"/>
      </w:pPr>
      <w:r w:rsidRPr="000A0A5F">
        <w:t xml:space="preserve">          description: </w:t>
      </w:r>
      <w:r w:rsidR="00450D7F" w:rsidRPr="000A0A5F">
        <w:t>&gt;</w:t>
      </w:r>
    </w:p>
    <w:p w:rsidR="00450D7F" w:rsidRPr="000A0A5F" w:rsidRDefault="00450D7F">
      <w:pPr>
        <w:pStyle w:val="PL"/>
      </w:pPr>
      <w:r w:rsidRPr="000A0A5F">
        <w:t xml:space="preserve">            </w:t>
      </w:r>
      <w:r w:rsidR="00CB0DD7" w:rsidRPr="000A0A5F">
        <w:t>The provisioning data was updated successfully, and no content is to be sent in</w:t>
      </w:r>
    </w:p>
    <w:p w:rsidR="00CB0DD7" w:rsidRPr="000A0A5F" w:rsidRDefault="00450D7F">
      <w:pPr>
        <w:pStyle w:val="PL"/>
      </w:pPr>
      <w:r w:rsidRPr="000A0A5F">
        <w:t xml:space="preserve">           </w:t>
      </w:r>
      <w:r w:rsidR="00CB0DD7" w:rsidRPr="000A0A5F">
        <w:t xml:space="preserve"> the response message body.</w:t>
      </w:r>
    </w:p>
    <w:p w:rsidR="00CB0DD7" w:rsidRPr="000A0A5F" w:rsidRDefault="00CB0DD7">
      <w:pPr>
        <w:pStyle w:val="PL"/>
      </w:pPr>
      <w:r w:rsidRPr="000A0A5F">
        <w:t xml:space="preserve">        '307':</w:t>
      </w:r>
    </w:p>
    <w:p w:rsidR="00CB0DD7" w:rsidRPr="000A0A5F" w:rsidRDefault="00CB0DD7">
      <w:pPr>
        <w:pStyle w:val="PL"/>
      </w:pPr>
      <w:r w:rsidRPr="000A0A5F">
        <w:t xml:space="preserve">          $ref: 'TS29122_CommonData.yaml#/components/responses/307'</w:t>
      </w:r>
    </w:p>
    <w:p w:rsidR="00CB0DD7" w:rsidRPr="000A0A5F" w:rsidRDefault="00CB0DD7">
      <w:pPr>
        <w:pStyle w:val="PL"/>
      </w:pPr>
      <w:r w:rsidRPr="000A0A5F">
        <w:t xml:space="preserve">        '308':</w:t>
      </w:r>
    </w:p>
    <w:p w:rsidR="00CB0DD7" w:rsidRPr="000A0A5F" w:rsidRDefault="00CB0DD7">
      <w:pPr>
        <w:pStyle w:val="PL"/>
      </w:pPr>
      <w:r w:rsidRPr="000A0A5F">
        <w:t xml:space="preserve">          $ref: 'TS29122_CommonData.yaml#/components/responses/308'</w:t>
      </w:r>
    </w:p>
    <w:p w:rsidR="00CB0DD7" w:rsidRPr="000A0A5F" w:rsidRDefault="00CB0DD7">
      <w:pPr>
        <w:pStyle w:val="PL"/>
      </w:pPr>
      <w:r w:rsidRPr="000A0A5F">
        <w:t xml:space="preserve">        '400':</w:t>
      </w:r>
    </w:p>
    <w:p w:rsidR="00CB0DD7" w:rsidRPr="000A0A5F" w:rsidRDefault="00CB0DD7">
      <w:pPr>
        <w:pStyle w:val="PL"/>
      </w:pPr>
      <w:r w:rsidRPr="000A0A5F">
        <w:t xml:space="preserve">          $ref: 'TS29122_CommonData.yaml#/components/responses/400'</w:t>
      </w:r>
    </w:p>
    <w:p w:rsidR="00CB0DD7" w:rsidRPr="000A0A5F" w:rsidRDefault="00CB0DD7">
      <w:pPr>
        <w:pStyle w:val="PL"/>
      </w:pPr>
      <w:r w:rsidRPr="000A0A5F">
        <w:t xml:space="preserve">        '401':</w:t>
      </w:r>
    </w:p>
    <w:p w:rsidR="00CB0DD7" w:rsidRPr="000A0A5F" w:rsidRDefault="00CB0DD7">
      <w:pPr>
        <w:pStyle w:val="PL"/>
      </w:pPr>
      <w:r w:rsidRPr="000A0A5F">
        <w:t xml:space="preserve">          $ref: 'TS29122_CommonData.yaml#/components/responses/401'</w:t>
      </w:r>
    </w:p>
    <w:p w:rsidR="00CB0DD7" w:rsidRPr="000A0A5F" w:rsidRDefault="00CB0DD7">
      <w:pPr>
        <w:pStyle w:val="PL"/>
      </w:pPr>
      <w:r w:rsidRPr="000A0A5F">
        <w:t xml:space="preserve">        '403':</w:t>
      </w:r>
    </w:p>
    <w:p w:rsidR="00CB0DD7" w:rsidRPr="000A0A5F" w:rsidRDefault="00CB0DD7">
      <w:pPr>
        <w:pStyle w:val="PL"/>
      </w:pPr>
      <w:r w:rsidRPr="000A0A5F">
        <w:t xml:space="preserve">          $ref: 'TS29122_CommonData.yaml#/components/responses/403'</w:t>
      </w:r>
    </w:p>
    <w:p w:rsidR="00CB0DD7" w:rsidRPr="000A0A5F" w:rsidRDefault="00CB0DD7">
      <w:pPr>
        <w:pStyle w:val="PL"/>
      </w:pPr>
      <w:r w:rsidRPr="000A0A5F">
        <w:t xml:space="preserve">        '404':</w:t>
      </w:r>
    </w:p>
    <w:p w:rsidR="00CB0DD7" w:rsidRPr="000A0A5F" w:rsidRDefault="00CB0DD7">
      <w:pPr>
        <w:pStyle w:val="PL"/>
      </w:pPr>
      <w:r w:rsidRPr="000A0A5F">
        <w:t xml:space="preserve">          $ref: 'TS29122_CommonData.yaml#/components/responses/404'</w:t>
      </w:r>
    </w:p>
    <w:p w:rsidR="00CB0DD7" w:rsidRPr="000A0A5F" w:rsidRDefault="00CB0DD7">
      <w:pPr>
        <w:pStyle w:val="PL"/>
      </w:pPr>
      <w:r w:rsidRPr="000A0A5F">
        <w:t xml:space="preserve">        '411':</w:t>
      </w:r>
    </w:p>
    <w:p w:rsidR="00CB0DD7" w:rsidRPr="000A0A5F" w:rsidRDefault="00CB0DD7">
      <w:pPr>
        <w:pStyle w:val="PL"/>
      </w:pPr>
      <w:r w:rsidRPr="000A0A5F">
        <w:t xml:space="preserve">          $ref: 'TS29122_CommonData.yaml#/components/responses/411'</w:t>
      </w:r>
    </w:p>
    <w:p w:rsidR="00CB0DD7" w:rsidRPr="000A0A5F" w:rsidRDefault="00CB0DD7">
      <w:pPr>
        <w:pStyle w:val="PL"/>
      </w:pPr>
      <w:r w:rsidRPr="000A0A5F">
        <w:t xml:space="preserve">        '413':</w:t>
      </w:r>
    </w:p>
    <w:p w:rsidR="00CB0DD7" w:rsidRPr="000A0A5F" w:rsidRDefault="00CB0DD7">
      <w:pPr>
        <w:pStyle w:val="PL"/>
      </w:pPr>
      <w:r w:rsidRPr="000A0A5F">
        <w:t xml:space="preserve">          $ref: 'TS29122_CommonData.yaml#/components/responses/413'</w:t>
      </w:r>
    </w:p>
    <w:p w:rsidR="00CB0DD7" w:rsidRPr="000A0A5F" w:rsidRDefault="00CB0DD7">
      <w:pPr>
        <w:pStyle w:val="PL"/>
      </w:pPr>
      <w:r w:rsidRPr="000A0A5F">
        <w:t xml:space="preserve">        '415':</w:t>
      </w:r>
    </w:p>
    <w:p w:rsidR="00CB0DD7" w:rsidRPr="000A0A5F" w:rsidRDefault="00CB0DD7">
      <w:pPr>
        <w:pStyle w:val="PL"/>
      </w:pPr>
      <w:r w:rsidRPr="000A0A5F">
        <w:t xml:space="preserve">          $ref: 'TS29122_CommonData.yaml#/components/responses/415'</w:t>
      </w:r>
    </w:p>
    <w:p w:rsidR="00CB0DD7" w:rsidRPr="000A0A5F" w:rsidRDefault="00CB0DD7">
      <w:pPr>
        <w:pStyle w:val="PL"/>
      </w:pPr>
      <w:r w:rsidRPr="000A0A5F">
        <w:t xml:space="preserve">        '429':</w:t>
      </w:r>
    </w:p>
    <w:p w:rsidR="00CB0DD7" w:rsidRPr="000A0A5F" w:rsidRDefault="00CB0DD7">
      <w:pPr>
        <w:pStyle w:val="PL"/>
      </w:pPr>
      <w:r w:rsidRPr="000A0A5F">
        <w:t xml:space="preserve">          $ref: 'TS29122_CommonData.yaml#/components/responses/429'</w:t>
      </w:r>
    </w:p>
    <w:p w:rsidR="00CB0DD7" w:rsidRPr="000A0A5F" w:rsidRDefault="00CB0DD7">
      <w:pPr>
        <w:pStyle w:val="PL"/>
      </w:pPr>
      <w:r w:rsidRPr="000A0A5F">
        <w:t xml:space="preserve">        '500':</w:t>
      </w:r>
    </w:p>
    <w:p w:rsidR="00CB0DD7" w:rsidRPr="000A0A5F" w:rsidRDefault="00CB0DD7">
      <w:pPr>
        <w:pStyle w:val="PL"/>
      </w:pPr>
      <w:r w:rsidRPr="000A0A5F">
        <w:t xml:space="preserve">          description: The RACS data for all RACS IDs were not provisioned successfully.</w:t>
      </w:r>
    </w:p>
    <w:p w:rsidR="00CB0DD7" w:rsidRPr="000A0A5F" w:rsidRDefault="00CB0DD7">
      <w:pPr>
        <w:pStyle w:val="PL"/>
      </w:pPr>
      <w:r w:rsidRPr="000A0A5F">
        <w:t xml:space="preserve">          content:</w:t>
      </w:r>
    </w:p>
    <w:p w:rsidR="00CB0DD7" w:rsidRPr="000A0A5F" w:rsidRDefault="00CB0DD7">
      <w:pPr>
        <w:pStyle w:val="PL"/>
      </w:pPr>
      <w:r w:rsidRPr="000A0A5F">
        <w:t xml:space="preserve">            application/json:</w:t>
      </w:r>
    </w:p>
    <w:p w:rsidR="00CB0DD7" w:rsidRPr="000A0A5F" w:rsidRDefault="00CB0DD7">
      <w:pPr>
        <w:pStyle w:val="PL"/>
      </w:pPr>
      <w:r w:rsidRPr="000A0A5F">
        <w:t xml:space="preserve">              schema:</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$ref: '#/components/schemas/RacsFailureReport</w:t>
      </w:r>
      <w:r w:rsidRPr="000A0A5F">
        <w:rPr>
          <w:lang w:eastAsia="zh-CN"/>
        </w:rPr>
        <w:t>'</w:t>
      </w:r>
    </w:p>
    <w:p w:rsidR="00CB0DD7" w:rsidRPr="000A0A5F" w:rsidRDefault="00CB0DD7">
      <w:pPr>
        <w:pStyle w:val="PL"/>
      </w:pPr>
      <w:r w:rsidRPr="000A0A5F">
        <w:t xml:space="preserve">                minItems: 1</w:t>
      </w:r>
    </w:p>
    <w:p w:rsidR="00CB0DD7" w:rsidRPr="000A0A5F" w:rsidRDefault="00CB0DD7">
      <w:pPr>
        <w:pStyle w:val="PL"/>
      </w:pPr>
      <w:r w:rsidRPr="000A0A5F">
        <w:t xml:space="preserve">            application/problem+json:</w:t>
      </w:r>
    </w:p>
    <w:p w:rsidR="00CB0DD7" w:rsidRPr="000A0A5F" w:rsidRDefault="00CB0DD7">
      <w:pPr>
        <w:pStyle w:val="PL"/>
      </w:pPr>
      <w:r w:rsidRPr="000A0A5F">
        <w:t xml:space="preserve">              schema:</w:t>
      </w:r>
    </w:p>
    <w:p w:rsidR="00CB0DD7" w:rsidRPr="000A0A5F" w:rsidRDefault="00CB0DD7">
      <w:pPr>
        <w:pStyle w:val="PL"/>
        <w:rPr>
          <w:lang w:eastAsia="zh-CN"/>
        </w:rPr>
      </w:pPr>
      <w:r w:rsidRPr="000A0A5F">
        <w:rPr>
          <w:lang w:eastAsia="zh-CN"/>
        </w:rPr>
        <w:t xml:space="preserve">                $ref: '</w:t>
      </w:r>
      <w:r w:rsidRPr="000A0A5F">
        <w:t>TS29122_CommonData.yaml</w:t>
      </w:r>
      <w:r w:rsidRPr="000A0A5F">
        <w:rPr>
          <w:lang w:eastAsia="zh-CN"/>
        </w:rPr>
        <w:t>#/components/schemas/ProblemDetails'</w:t>
      </w:r>
    </w:p>
    <w:p w:rsidR="00CB0DD7" w:rsidRPr="000A0A5F" w:rsidRDefault="00CB0DD7">
      <w:pPr>
        <w:pStyle w:val="PL"/>
      </w:pPr>
      <w:r w:rsidRPr="000A0A5F">
        <w:t xml:space="preserve">        '503':</w:t>
      </w:r>
    </w:p>
    <w:p w:rsidR="00CB0DD7" w:rsidRPr="000A0A5F" w:rsidRDefault="00CB0DD7">
      <w:pPr>
        <w:pStyle w:val="PL"/>
      </w:pPr>
      <w:r w:rsidRPr="000A0A5F">
        <w:t xml:space="preserve">          $ref: 'TS29122_CommonData.yaml#/components/responses/503'</w:t>
      </w:r>
    </w:p>
    <w:p w:rsidR="00CB0DD7" w:rsidRPr="000A0A5F" w:rsidRDefault="00CB0DD7">
      <w:pPr>
        <w:pStyle w:val="PL"/>
      </w:pPr>
      <w:r w:rsidRPr="000A0A5F">
        <w:t xml:space="preserve">        default:</w:t>
      </w:r>
    </w:p>
    <w:p w:rsidR="00CB0DD7" w:rsidRPr="000A0A5F" w:rsidRDefault="00CB0DD7">
      <w:pPr>
        <w:pStyle w:val="PL"/>
      </w:pPr>
      <w:r w:rsidRPr="000A0A5F">
        <w:t xml:space="preserve">          $ref: 'TS29122_CommonData.yaml#/components/responses/default'</w:t>
      </w:r>
    </w:p>
    <w:p w:rsidR="00CB0DD7" w:rsidRPr="000A0A5F" w:rsidRDefault="00CB0DD7">
      <w:pPr>
        <w:pStyle w:val="PL"/>
      </w:pPr>
      <w:r w:rsidRPr="000A0A5F">
        <w:t xml:space="preserve">    delete:</w:t>
      </w:r>
    </w:p>
    <w:p w:rsidR="00AE4187" w:rsidRPr="000A0A5F" w:rsidRDefault="00AE4187" w:rsidP="00AE4187">
      <w:pPr>
        <w:pStyle w:val="PL"/>
      </w:pPr>
      <w:r w:rsidRPr="000A0A5F">
        <w:t xml:space="preserve">      summary: Delete a RACS parameter provisioning.</w:t>
      </w:r>
    </w:p>
    <w:p w:rsidR="00AE4187" w:rsidRPr="000A0A5F" w:rsidRDefault="00AE4187" w:rsidP="00AE4187">
      <w:pPr>
        <w:pStyle w:val="PL"/>
      </w:pPr>
      <w:r w:rsidRPr="000A0A5F">
        <w:t xml:space="preserve">      </w:t>
      </w:r>
      <w:r w:rsidRPr="000A0A5F">
        <w:rPr>
          <w:rFonts w:cs="Courier New"/>
          <w:szCs w:val="16"/>
        </w:rPr>
        <w:t>operationId: DeleteInd</w:t>
      </w:r>
      <w:r w:rsidRPr="000A0A5F">
        <w:t>RACSParameterProvisioning</w:t>
      </w:r>
    </w:p>
    <w:p w:rsidR="00AE4187" w:rsidRPr="000A0A5F" w:rsidRDefault="00AE4187" w:rsidP="00AE4187">
      <w:pPr>
        <w:pStyle w:val="PL"/>
      </w:pPr>
      <w:r w:rsidRPr="000A0A5F">
        <w:t xml:space="preserve">      tags:</w:t>
      </w:r>
    </w:p>
    <w:p w:rsidR="00AE4187" w:rsidRPr="000A0A5F" w:rsidRDefault="00AE4187" w:rsidP="00AE4187">
      <w:pPr>
        <w:pStyle w:val="PL"/>
      </w:pPr>
      <w:r w:rsidRPr="000A0A5F">
        <w:t xml:space="preserve">        - Individual RACS Parameter Provisioning</w:t>
      </w:r>
    </w:p>
    <w:p w:rsidR="00CB0DD7" w:rsidRPr="000A0A5F" w:rsidRDefault="00CB0DD7">
      <w:pPr>
        <w:pStyle w:val="PL"/>
      </w:pPr>
      <w:r w:rsidRPr="000A0A5F">
        <w:t xml:space="preserve">      responses:</w:t>
      </w:r>
    </w:p>
    <w:p w:rsidR="00CB0DD7" w:rsidRPr="000A0A5F" w:rsidRDefault="00CB0DD7">
      <w:pPr>
        <w:pStyle w:val="PL"/>
      </w:pPr>
      <w:r w:rsidRPr="000A0A5F">
        <w:t xml:space="preserve">        '204':</w:t>
      </w:r>
    </w:p>
    <w:p w:rsidR="00450D7F" w:rsidRPr="000A0A5F" w:rsidRDefault="00CB0DD7">
      <w:pPr>
        <w:pStyle w:val="PL"/>
      </w:pPr>
      <w:r w:rsidRPr="000A0A5F">
        <w:t xml:space="preserve">          description: </w:t>
      </w:r>
      <w:r w:rsidR="00450D7F" w:rsidRPr="000A0A5F">
        <w:t>&gt;</w:t>
      </w:r>
    </w:p>
    <w:p w:rsidR="00D94FD6" w:rsidRPr="000A0A5F" w:rsidRDefault="00450D7F" w:rsidP="00D94FD6">
      <w:pPr>
        <w:pStyle w:val="PL"/>
      </w:pPr>
      <w:r w:rsidRPr="000A0A5F">
        <w:t xml:space="preserve">            </w:t>
      </w:r>
      <w:r w:rsidR="00CB0DD7" w:rsidRPr="000A0A5F">
        <w:t>No Content. The provisioning was terminated successfully.</w:t>
      </w:r>
      <w:r w:rsidR="00CB0DD7" w:rsidRPr="000A0A5F">
        <w:rPr>
          <w:rFonts w:hint="eastAsia"/>
          <w:lang w:eastAsia="zh-CN"/>
        </w:rPr>
        <w:t xml:space="preserve"> </w:t>
      </w:r>
      <w:r w:rsidR="00D94FD6" w:rsidRPr="000A0A5F">
        <w:t>The content shall</w:t>
      </w:r>
    </w:p>
    <w:p w:rsidR="00D94FD6" w:rsidRPr="000A0A5F" w:rsidRDefault="00D94FD6" w:rsidP="00D94FD6">
      <w:pPr>
        <w:pStyle w:val="PL"/>
      </w:pPr>
      <w:r w:rsidRPr="000A0A5F">
        <w:t xml:space="preserve">            be empty.</w:t>
      </w:r>
    </w:p>
    <w:p w:rsidR="00CB0DD7" w:rsidRPr="000A0A5F" w:rsidRDefault="00CB0DD7" w:rsidP="00D94FD6">
      <w:pPr>
        <w:pStyle w:val="PL"/>
      </w:pPr>
      <w:r w:rsidRPr="000A0A5F">
        <w:t xml:space="preserve">        '307':</w:t>
      </w:r>
    </w:p>
    <w:p w:rsidR="00CB0DD7" w:rsidRPr="000A0A5F" w:rsidRDefault="00CB0DD7">
      <w:pPr>
        <w:pStyle w:val="PL"/>
      </w:pPr>
      <w:r w:rsidRPr="000A0A5F">
        <w:t xml:space="preserve">          $ref: 'TS29122_CommonData.yaml#/components/responses/307'</w:t>
      </w:r>
    </w:p>
    <w:p w:rsidR="00CB0DD7" w:rsidRPr="000A0A5F" w:rsidRDefault="00CB0DD7">
      <w:pPr>
        <w:pStyle w:val="PL"/>
      </w:pPr>
      <w:r w:rsidRPr="000A0A5F">
        <w:t xml:space="preserve">        '308':</w:t>
      </w:r>
    </w:p>
    <w:p w:rsidR="00CB0DD7" w:rsidRPr="000A0A5F" w:rsidRDefault="00CB0DD7">
      <w:pPr>
        <w:pStyle w:val="PL"/>
      </w:pPr>
      <w:r w:rsidRPr="000A0A5F">
        <w:t xml:space="preserve">          $ref: 'TS29122_CommonData.yaml#/components/responses/308'</w:t>
      </w:r>
    </w:p>
    <w:p w:rsidR="00CB0DD7" w:rsidRPr="000A0A5F" w:rsidRDefault="00CB0DD7">
      <w:pPr>
        <w:pStyle w:val="PL"/>
      </w:pPr>
      <w:r w:rsidRPr="000A0A5F">
        <w:t xml:space="preserve">        '400':</w:t>
      </w:r>
    </w:p>
    <w:p w:rsidR="00CB0DD7" w:rsidRPr="000A0A5F" w:rsidRDefault="00CB0DD7">
      <w:pPr>
        <w:pStyle w:val="PL"/>
      </w:pPr>
      <w:r w:rsidRPr="000A0A5F">
        <w:t xml:space="preserve">          $ref: 'TS29122_CommonData.yaml#/components/responses/400'</w:t>
      </w:r>
    </w:p>
    <w:p w:rsidR="00CB0DD7" w:rsidRPr="000A0A5F" w:rsidRDefault="00CB0DD7">
      <w:pPr>
        <w:pStyle w:val="PL"/>
      </w:pPr>
      <w:r w:rsidRPr="000A0A5F">
        <w:t xml:space="preserve">        '401':</w:t>
      </w:r>
    </w:p>
    <w:p w:rsidR="00CB0DD7" w:rsidRPr="000A0A5F" w:rsidRDefault="00CB0DD7">
      <w:pPr>
        <w:pStyle w:val="PL"/>
      </w:pPr>
      <w:r w:rsidRPr="000A0A5F">
        <w:t xml:space="preserve">          $ref: 'TS29122_CommonData.yaml#/components/responses/401'</w:t>
      </w:r>
    </w:p>
    <w:p w:rsidR="00CB0DD7" w:rsidRPr="000A0A5F" w:rsidRDefault="00CB0DD7">
      <w:pPr>
        <w:pStyle w:val="PL"/>
      </w:pPr>
      <w:r w:rsidRPr="000A0A5F">
        <w:t xml:space="preserve">        '403':</w:t>
      </w:r>
    </w:p>
    <w:p w:rsidR="00CB0DD7" w:rsidRPr="000A0A5F" w:rsidRDefault="00CB0DD7">
      <w:pPr>
        <w:pStyle w:val="PL"/>
      </w:pPr>
      <w:r w:rsidRPr="000A0A5F">
        <w:t xml:space="preserve">          $ref: 'TS29122_CommonData.yaml#/components/responses/403'</w:t>
      </w:r>
    </w:p>
    <w:p w:rsidR="00CB0DD7" w:rsidRPr="000A0A5F" w:rsidRDefault="00CB0DD7">
      <w:pPr>
        <w:pStyle w:val="PL"/>
      </w:pPr>
      <w:r w:rsidRPr="000A0A5F">
        <w:t xml:space="preserve">        '404':</w:t>
      </w:r>
    </w:p>
    <w:p w:rsidR="00CB0DD7" w:rsidRPr="000A0A5F" w:rsidRDefault="00CB0DD7">
      <w:pPr>
        <w:pStyle w:val="PL"/>
      </w:pPr>
      <w:r w:rsidRPr="000A0A5F">
        <w:t xml:space="preserve">          $ref: 'TS29122_CommonData.yaml#/components/responses/404'</w:t>
      </w:r>
    </w:p>
    <w:p w:rsidR="00CB0DD7" w:rsidRPr="000A0A5F" w:rsidRDefault="00CB0DD7">
      <w:pPr>
        <w:pStyle w:val="PL"/>
      </w:pPr>
      <w:r w:rsidRPr="000A0A5F">
        <w:t xml:space="preserve">        '429':</w:t>
      </w:r>
    </w:p>
    <w:p w:rsidR="00CB0DD7" w:rsidRPr="000A0A5F" w:rsidRDefault="00CB0DD7">
      <w:pPr>
        <w:pStyle w:val="PL"/>
      </w:pPr>
      <w:r w:rsidRPr="000A0A5F">
        <w:t xml:space="preserve">          $ref: 'TS29122_CommonData.yaml#/components/responses/429'</w:t>
      </w:r>
    </w:p>
    <w:p w:rsidR="00CB0DD7" w:rsidRPr="000A0A5F" w:rsidRDefault="00CB0DD7">
      <w:pPr>
        <w:pStyle w:val="PL"/>
      </w:pPr>
      <w:r w:rsidRPr="000A0A5F">
        <w:t xml:space="preserve">        '500':</w:t>
      </w:r>
    </w:p>
    <w:p w:rsidR="00CB0DD7" w:rsidRPr="000A0A5F" w:rsidRDefault="00CB0DD7">
      <w:pPr>
        <w:pStyle w:val="PL"/>
      </w:pPr>
      <w:r w:rsidRPr="000A0A5F">
        <w:t xml:space="preserve">          $ref: 'TS29122_CommonData.yaml#/components/responses/500'</w:t>
      </w:r>
    </w:p>
    <w:p w:rsidR="00CB0DD7" w:rsidRPr="000A0A5F" w:rsidRDefault="00CB0DD7">
      <w:pPr>
        <w:pStyle w:val="PL"/>
      </w:pPr>
      <w:r w:rsidRPr="000A0A5F">
        <w:t xml:space="preserve">        '503':</w:t>
      </w:r>
    </w:p>
    <w:p w:rsidR="00CB0DD7" w:rsidRPr="000A0A5F" w:rsidRDefault="00CB0DD7">
      <w:pPr>
        <w:pStyle w:val="PL"/>
      </w:pPr>
      <w:r w:rsidRPr="000A0A5F">
        <w:t xml:space="preserve">          $ref: 'TS29122_CommonData.yaml#/components/responses/503'</w:t>
      </w:r>
    </w:p>
    <w:p w:rsidR="00CB0DD7" w:rsidRPr="000A0A5F" w:rsidRDefault="00CB0DD7">
      <w:pPr>
        <w:pStyle w:val="PL"/>
      </w:pPr>
      <w:r w:rsidRPr="000A0A5F">
        <w:t xml:space="preserve">        default:</w:t>
      </w:r>
    </w:p>
    <w:p w:rsidR="00CB0DD7" w:rsidRPr="000A0A5F" w:rsidRDefault="00CB0DD7">
      <w:pPr>
        <w:pStyle w:val="PL"/>
      </w:pPr>
      <w:r w:rsidRPr="000A0A5F">
        <w:t xml:space="preserve">          $ref: 'TS29122_CommonData.yaml#/components/responses/default'</w:t>
      </w:r>
    </w:p>
    <w:p w:rsidR="00450D7F" w:rsidRPr="000A0A5F" w:rsidRDefault="00450D7F">
      <w:pPr>
        <w:pStyle w:val="PL"/>
      </w:pPr>
    </w:p>
    <w:p w:rsidR="00CB0DD7" w:rsidRPr="000A0A5F" w:rsidRDefault="00CB0DD7">
      <w:pPr>
        <w:pStyle w:val="PL"/>
      </w:pPr>
      <w:r w:rsidRPr="000A0A5F">
        <w:t>components:</w:t>
      </w:r>
    </w:p>
    <w:p w:rsidR="00CB0DD7" w:rsidRPr="000A0A5F" w:rsidRDefault="00CB0DD7">
      <w:pPr>
        <w:pStyle w:val="PL"/>
        <w:rPr>
          <w:lang w:val="en-US"/>
        </w:rPr>
      </w:pPr>
      <w:r w:rsidRPr="000A0A5F">
        <w:rPr>
          <w:lang w:val="en-US"/>
        </w:rPr>
        <w:t xml:space="preserve">  securitySchemes:</w:t>
      </w:r>
    </w:p>
    <w:p w:rsidR="00CB0DD7" w:rsidRPr="000A0A5F" w:rsidRDefault="00CB0DD7">
      <w:pPr>
        <w:pStyle w:val="PL"/>
        <w:rPr>
          <w:lang w:val="en-US"/>
        </w:rPr>
      </w:pPr>
      <w:r w:rsidRPr="000A0A5F">
        <w:rPr>
          <w:lang w:val="en-US"/>
        </w:rPr>
        <w:t xml:space="preserve">    oAuth2ClientCredentials:</w:t>
      </w:r>
    </w:p>
    <w:p w:rsidR="00CB0DD7" w:rsidRPr="000A0A5F" w:rsidRDefault="00CB0DD7">
      <w:pPr>
        <w:pStyle w:val="PL"/>
        <w:rPr>
          <w:lang w:val="en-US"/>
        </w:rPr>
      </w:pPr>
      <w:r w:rsidRPr="000A0A5F">
        <w:rPr>
          <w:lang w:val="en-US"/>
        </w:rPr>
        <w:t xml:space="preserve">      type: oauth2</w:t>
      </w:r>
    </w:p>
    <w:p w:rsidR="00CB0DD7" w:rsidRPr="000A0A5F" w:rsidRDefault="00CB0DD7">
      <w:pPr>
        <w:pStyle w:val="PL"/>
        <w:rPr>
          <w:lang w:val="en-US"/>
        </w:rPr>
      </w:pPr>
      <w:r w:rsidRPr="000A0A5F">
        <w:rPr>
          <w:lang w:val="en-US"/>
        </w:rPr>
        <w:t xml:space="preserve">      flows:</w:t>
      </w:r>
    </w:p>
    <w:p w:rsidR="00CB0DD7" w:rsidRPr="000A0A5F" w:rsidRDefault="00CB0DD7">
      <w:pPr>
        <w:pStyle w:val="PL"/>
        <w:rPr>
          <w:lang w:val="en-US"/>
        </w:rPr>
      </w:pPr>
      <w:r w:rsidRPr="000A0A5F">
        <w:rPr>
          <w:lang w:val="en-US"/>
        </w:rPr>
        <w:t xml:space="preserve">        clientCredentials:</w:t>
      </w:r>
    </w:p>
    <w:p w:rsidR="00CB0DD7" w:rsidRPr="000A0A5F" w:rsidRDefault="00CB0DD7">
      <w:pPr>
        <w:pStyle w:val="PL"/>
        <w:rPr>
          <w:lang w:val="en-US"/>
        </w:rPr>
      </w:pPr>
      <w:r w:rsidRPr="000A0A5F">
        <w:rPr>
          <w:lang w:val="en-US"/>
        </w:rPr>
        <w:t xml:space="preserve">          tokenUrl: '{tokenUrl}'</w:t>
      </w:r>
    </w:p>
    <w:p w:rsidR="00CB0DD7" w:rsidRPr="000A0A5F" w:rsidRDefault="00CB0DD7">
      <w:pPr>
        <w:pStyle w:val="PL"/>
        <w:rPr>
          <w:lang w:val="en-US"/>
        </w:rPr>
      </w:pPr>
      <w:r w:rsidRPr="000A0A5F">
        <w:rPr>
          <w:lang w:val="en-US"/>
        </w:rPr>
        <w:t xml:space="preserve">          scopes: {}</w:t>
      </w:r>
    </w:p>
    <w:p w:rsidR="00450D7F" w:rsidRPr="000A0A5F" w:rsidRDefault="00450D7F">
      <w:pPr>
        <w:pStyle w:val="PL"/>
      </w:pPr>
    </w:p>
    <w:p w:rsidR="00CB0DD7" w:rsidRPr="000A0A5F" w:rsidRDefault="00CB0DD7">
      <w:pPr>
        <w:pStyle w:val="PL"/>
        <w:rPr>
          <w:lang w:eastAsia="zh-CN"/>
        </w:rPr>
      </w:pPr>
      <w:r w:rsidRPr="000A0A5F">
        <w:t xml:space="preserve">  schemas: </w:t>
      </w:r>
    </w:p>
    <w:p w:rsidR="00CB0DD7" w:rsidRPr="000A0A5F" w:rsidRDefault="00CB0DD7">
      <w:pPr>
        <w:pStyle w:val="PL"/>
      </w:pPr>
      <w:r w:rsidRPr="000A0A5F">
        <w:t xml:space="preserve">    RacsProvisioningData:</w:t>
      </w:r>
    </w:p>
    <w:p w:rsidR="00CB0DD7" w:rsidRPr="000A0A5F" w:rsidRDefault="00CB0DD7">
      <w:pPr>
        <w:pStyle w:val="PL"/>
      </w:pPr>
      <w:r w:rsidRPr="000A0A5F">
        <w:t xml:space="preserve">      description: Represents a UE's radio capability data.</w:t>
      </w:r>
    </w:p>
    <w:p w:rsidR="00CB0DD7" w:rsidRPr="000A0A5F" w:rsidRDefault="00CB0DD7">
      <w:pPr>
        <w:pStyle w:val="PL"/>
      </w:pPr>
      <w:r w:rsidRPr="000A0A5F">
        <w:t xml:space="preserve">      type: object</w:t>
      </w:r>
    </w:p>
    <w:p w:rsidR="00CB0DD7" w:rsidRPr="000A0A5F" w:rsidRDefault="00CB0DD7">
      <w:pPr>
        <w:pStyle w:val="PL"/>
      </w:pPr>
      <w:r w:rsidRPr="000A0A5F">
        <w:t xml:space="preserve">      properties:</w:t>
      </w:r>
    </w:p>
    <w:p w:rsidR="00CB0DD7" w:rsidRPr="000A0A5F" w:rsidRDefault="00CB0DD7">
      <w:pPr>
        <w:pStyle w:val="PL"/>
      </w:pPr>
      <w:r w:rsidRPr="000A0A5F">
        <w:t xml:space="preserve">        self:</w:t>
      </w:r>
    </w:p>
    <w:p w:rsidR="00CB0DD7" w:rsidRPr="000A0A5F" w:rsidRDefault="00CB0DD7">
      <w:pPr>
        <w:pStyle w:val="PL"/>
      </w:pPr>
      <w:r w:rsidRPr="000A0A5F">
        <w:t xml:space="preserve">          $ref: 'TS29122_CommonData.yaml#/components/schemas/Link'</w:t>
      </w:r>
    </w:p>
    <w:p w:rsidR="00CB0DD7" w:rsidRPr="000A0A5F" w:rsidRDefault="00CB0DD7">
      <w:pPr>
        <w:pStyle w:val="PL"/>
      </w:pPr>
      <w:r w:rsidRPr="000A0A5F">
        <w:t xml:space="preserve">        </w:t>
      </w:r>
      <w:r w:rsidRPr="000A0A5F">
        <w:rPr>
          <w:lang w:eastAsia="zh-CN"/>
        </w:rPr>
        <w:t>supportedFeatures</w:t>
      </w:r>
      <w:r w:rsidRPr="000A0A5F">
        <w:t>:</w:t>
      </w:r>
    </w:p>
    <w:p w:rsidR="00CB0DD7" w:rsidRPr="000A0A5F" w:rsidRDefault="00CB0DD7">
      <w:pPr>
        <w:pStyle w:val="PL"/>
      </w:pPr>
      <w:r w:rsidRPr="000A0A5F">
        <w:t xml:space="preserve">          $ref: 'TS29571_CommonData.yaml#/components/schemas/</w:t>
      </w:r>
      <w:r w:rsidRPr="000A0A5F">
        <w:rPr>
          <w:lang w:eastAsia="zh-CN"/>
        </w:rPr>
        <w:t>SupportedFeatures</w:t>
      </w:r>
      <w:r w:rsidRPr="000A0A5F">
        <w:t>'</w:t>
      </w:r>
    </w:p>
    <w:p w:rsidR="00CB0DD7" w:rsidRPr="000A0A5F" w:rsidRDefault="00CB0DD7">
      <w:pPr>
        <w:pStyle w:val="PL"/>
      </w:pPr>
      <w:r w:rsidRPr="000A0A5F">
        <w:t xml:space="preserve">        racsConfigs:</w:t>
      </w:r>
    </w:p>
    <w:p w:rsidR="00CB0DD7" w:rsidRPr="000A0A5F" w:rsidRDefault="00CB0DD7">
      <w:pPr>
        <w:pStyle w:val="PL"/>
      </w:pPr>
      <w:r w:rsidRPr="000A0A5F">
        <w:t xml:space="preserve">          type: object</w:t>
      </w:r>
    </w:p>
    <w:p w:rsidR="00CB0DD7" w:rsidRPr="000A0A5F" w:rsidRDefault="00CB0DD7">
      <w:pPr>
        <w:pStyle w:val="PL"/>
      </w:pPr>
      <w:r w:rsidRPr="000A0A5F">
        <w:t xml:space="preserve">          additionalProperties:</w:t>
      </w:r>
    </w:p>
    <w:p w:rsidR="00CB0DD7" w:rsidRPr="000A0A5F" w:rsidRDefault="00CB0DD7">
      <w:pPr>
        <w:pStyle w:val="PL"/>
      </w:pPr>
      <w:r w:rsidRPr="000A0A5F">
        <w:t xml:space="preserve">            $ref: '#/components/schemas/RacsConfiguration'</w:t>
      </w:r>
    </w:p>
    <w:p w:rsidR="00CB0DD7" w:rsidRPr="000A0A5F" w:rsidRDefault="00CB0DD7">
      <w:pPr>
        <w:pStyle w:val="PL"/>
      </w:pPr>
      <w:r w:rsidRPr="000A0A5F">
        <w:t xml:space="preserve">          minProperties: 1</w:t>
      </w:r>
    </w:p>
    <w:p w:rsidR="00450D7F" w:rsidRPr="000A0A5F" w:rsidRDefault="00CB0DD7">
      <w:pPr>
        <w:pStyle w:val="PL"/>
      </w:pPr>
      <w:r w:rsidRPr="000A0A5F">
        <w:t xml:space="preserve">          description: </w:t>
      </w:r>
      <w:r w:rsidR="00450D7F" w:rsidRPr="000A0A5F">
        <w:t>&gt;</w:t>
      </w:r>
    </w:p>
    <w:p w:rsidR="00450D7F" w:rsidRPr="000A0A5F" w:rsidRDefault="00450D7F">
      <w:pPr>
        <w:pStyle w:val="PL"/>
      </w:pPr>
      <w:r w:rsidRPr="000A0A5F">
        <w:t xml:space="preserve">            </w:t>
      </w:r>
      <w:r w:rsidR="00CB0DD7" w:rsidRPr="000A0A5F">
        <w:t>Identifies the configuration related to manufacturer specific UE radio capability.</w:t>
      </w:r>
    </w:p>
    <w:p w:rsidR="00450D7F" w:rsidRPr="000A0A5F" w:rsidRDefault="00450D7F">
      <w:pPr>
        <w:pStyle w:val="PL"/>
      </w:pPr>
      <w:r w:rsidRPr="000A0A5F">
        <w:t xml:space="preserve">           </w:t>
      </w:r>
      <w:r w:rsidR="00CB0DD7" w:rsidRPr="000A0A5F">
        <w:t xml:space="preserve"> Each element uniquely identifies an RACS configuration for an RACS ID and is identified</w:t>
      </w:r>
    </w:p>
    <w:p w:rsidR="00450D7F" w:rsidRPr="000A0A5F" w:rsidRDefault="00450D7F">
      <w:pPr>
        <w:pStyle w:val="PL"/>
      </w:pPr>
      <w:r w:rsidRPr="000A0A5F">
        <w:t xml:space="preserve">           </w:t>
      </w:r>
      <w:r w:rsidR="00CB0DD7" w:rsidRPr="000A0A5F">
        <w:t xml:space="preserve"> in the map via the RACS ID as key. The response shall include successfully provisioned</w:t>
      </w:r>
    </w:p>
    <w:p w:rsidR="00CB0DD7" w:rsidRPr="000A0A5F" w:rsidRDefault="00450D7F">
      <w:pPr>
        <w:pStyle w:val="PL"/>
      </w:pPr>
      <w:r w:rsidRPr="000A0A5F">
        <w:t xml:space="preserve">           </w:t>
      </w:r>
      <w:r w:rsidR="00CB0DD7" w:rsidRPr="000A0A5F">
        <w:t xml:space="preserve"> RACS data.</w:t>
      </w:r>
    </w:p>
    <w:p w:rsidR="00CB0DD7" w:rsidRPr="000A0A5F" w:rsidRDefault="00CB0DD7">
      <w:pPr>
        <w:pStyle w:val="PL"/>
      </w:pPr>
      <w:r w:rsidRPr="000A0A5F">
        <w:t xml:space="preserve">        racsReports:</w:t>
      </w:r>
    </w:p>
    <w:p w:rsidR="00CB0DD7" w:rsidRPr="000A0A5F" w:rsidRDefault="00CB0DD7">
      <w:pPr>
        <w:pStyle w:val="PL"/>
      </w:pPr>
      <w:r w:rsidRPr="000A0A5F">
        <w:t xml:space="preserve">          type: object</w:t>
      </w:r>
    </w:p>
    <w:p w:rsidR="00CB0DD7" w:rsidRPr="000A0A5F" w:rsidRDefault="00CB0DD7">
      <w:pPr>
        <w:pStyle w:val="PL"/>
      </w:pPr>
      <w:r w:rsidRPr="000A0A5F">
        <w:t xml:space="preserve">          additionalProperties:</w:t>
      </w:r>
    </w:p>
    <w:p w:rsidR="00CB0DD7" w:rsidRPr="000A0A5F" w:rsidRDefault="00CB0DD7">
      <w:pPr>
        <w:pStyle w:val="PL"/>
      </w:pPr>
      <w:r w:rsidRPr="000A0A5F">
        <w:t xml:space="preserve">            $ref: '#/components/schemas/RacsFailureReport'</w:t>
      </w:r>
    </w:p>
    <w:p w:rsidR="00CB0DD7" w:rsidRPr="000A0A5F" w:rsidRDefault="00CB0DD7">
      <w:pPr>
        <w:pStyle w:val="PL"/>
      </w:pPr>
      <w:r w:rsidRPr="000A0A5F">
        <w:t xml:space="preserve">          minProperties: 1</w:t>
      </w:r>
    </w:p>
    <w:p w:rsidR="00705C22" w:rsidRPr="000A0A5F" w:rsidRDefault="00CB0DD7">
      <w:pPr>
        <w:pStyle w:val="PL"/>
      </w:pPr>
      <w:r w:rsidRPr="000A0A5F">
        <w:t xml:space="preserve">          description: </w:t>
      </w:r>
      <w:r w:rsidR="00705C22" w:rsidRPr="000A0A5F">
        <w:t>&gt;</w:t>
      </w:r>
    </w:p>
    <w:p w:rsidR="00705C22" w:rsidRPr="000A0A5F" w:rsidRDefault="00705C22">
      <w:pPr>
        <w:pStyle w:val="PL"/>
        <w:rPr>
          <w:rFonts w:cs="Arial"/>
          <w:szCs w:val="18"/>
          <w:lang w:eastAsia="zh-CN"/>
        </w:rPr>
      </w:pPr>
      <w:r w:rsidRPr="000A0A5F">
        <w:t xml:space="preserve">            </w:t>
      </w:r>
      <w:r w:rsidR="00CB0DD7" w:rsidRPr="000A0A5F">
        <w:t xml:space="preserve">Supplied by the SCEF. </w:t>
      </w:r>
      <w:r w:rsidR="00CB0DD7" w:rsidRPr="000A0A5F">
        <w:rPr>
          <w:rFonts w:cs="Arial"/>
          <w:szCs w:val="18"/>
          <w:lang w:eastAsia="zh-CN"/>
        </w:rPr>
        <w:t>Contains the RACS IDs for which the RACS data are not provisioned</w:t>
      </w:r>
    </w:p>
    <w:p w:rsidR="00CB0DD7" w:rsidRPr="000A0A5F" w:rsidRDefault="00705C22">
      <w:pPr>
        <w:pStyle w:val="PL"/>
      </w:pPr>
      <w:r w:rsidRPr="000A0A5F">
        <w:t xml:space="preserve">           </w:t>
      </w:r>
      <w:r w:rsidR="00CB0DD7" w:rsidRPr="000A0A5F">
        <w:rPr>
          <w:rFonts w:cs="Arial"/>
          <w:szCs w:val="18"/>
          <w:lang w:eastAsia="zh-CN"/>
        </w:rPr>
        <w:t xml:space="preserve"> successfully. Any string value can be used as a key of the map.</w:t>
      </w:r>
    </w:p>
    <w:p w:rsidR="00CB0DD7" w:rsidRPr="000A0A5F" w:rsidRDefault="00CB0DD7">
      <w:pPr>
        <w:pStyle w:val="PL"/>
      </w:pPr>
      <w:r w:rsidRPr="000A0A5F">
        <w:t xml:space="preserve">          readOnly: true</w:t>
      </w:r>
    </w:p>
    <w:p w:rsidR="00CB0DD7" w:rsidRPr="000A0A5F" w:rsidRDefault="00CB0DD7">
      <w:pPr>
        <w:pStyle w:val="PL"/>
      </w:pPr>
      <w:r w:rsidRPr="000A0A5F">
        <w:t xml:space="preserve">      required:</w:t>
      </w:r>
    </w:p>
    <w:p w:rsidR="00CB0DD7" w:rsidRPr="000A0A5F" w:rsidRDefault="00CB0DD7">
      <w:pPr>
        <w:pStyle w:val="PL"/>
      </w:pPr>
      <w:r w:rsidRPr="000A0A5F">
        <w:t xml:space="preserve">        - racsConfigs</w:t>
      </w:r>
    </w:p>
    <w:p w:rsidR="00CB0DD7" w:rsidRPr="000A0A5F" w:rsidRDefault="00CB0DD7">
      <w:pPr>
        <w:pStyle w:val="PL"/>
      </w:pPr>
      <w:r w:rsidRPr="000A0A5F">
        <w:t xml:space="preserve">    RacsFailureReport:</w:t>
      </w:r>
    </w:p>
    <w:p w:rsidR="00CB0DD7" w:rsidRPr="000A0A5F" w:rsidRDefault="00CB0DD7">
      <w:pPr>
        <w:pStyle w:val="PL"/>
      </w:pPr>
      <w:r w:rsidRPr="000A0A5F">
        <w:t xml:space="preserve">      description: Represents a radio capability data provisioning failure report.</w:t>
      </w:r>
    </w:p>
    <w:p w:rsidR="00CB0DD7" w:rsidRPr="000A0A5F" w:rsidRDefault="00CB0DD7">
      <w:pPr>
        <w:pStyle w:val="PL"/>
      </w:pPr>
      <w:r w:rsidRPr="000A0A5F">
        <w:t xml:space="preserve">      type: object</w:t>
      </w:r>
    </w:p>
    <w:p w:rsidR="00CB0DD7" w:rsidRPr="000A0A5F" w:rsidRDefault="00CB0DD7">
      <w:pPr>
        <w:pStyle w:val="PL"/>
      </w:pPr>
      <w:r w:rsidRPr="000A0A5F">
        <w:t xml:space="preserve">      properties:</w:t>
      </w:r>
    </w:p>
    <w:p w:rsidR="00CB0DD7" w:rsidRPr="000A0A5F" w:rsidRDefault="00CB0DD7">
      <w:pPr>
        <w:pStyle w:val="PL"/>
      </w:pPr>
      <w:r w:rsidRPr="000A0A5F">
        <w:t xml:space="preserve">        racsIds:</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type: string</w:t>
      </w:r>
    </w:p>
    <w:p w:rsidR="00CB0DD7" w:rsidRPr="000A0A5F" w:rsidRDefault="00CB0DD7">
      <w:pPr>
        <w:pStyle w:val="PL"/>
      </w:pPr>
      <w:r w:rsidRPr="000A0A5F">
        <w:t xml:space="preserve">          minItems: 1</w:t>
      </w:r>
    </w:p>
    <w:p w:rsidR="00705C22" w:rsidRPr="000A0A5F" w:rsidRDefault="00CB0DD7">
      <w:pPr>
        <w:pStyle w:val="PL"/>
      </w:pPr>
      <w:r w:rsidRPr="000A0A5F">
        <w:t xml:space="preserve">          description: </w:t>
      </w:r>
      <w:r w:rsidR="00705C22" w:rsidRPr="000A0A5F">
        <w:t>&gt;</w:t>
      </w:r>
    </w:p>
    <w:p w:rsidR="00CB0DD7" w:rsidRPr="000A0A5F" w:rsidRDefault="00705C22">
      <w:pPr>
        <w:pStyle w:val="PL"/>
      </w:pPr>
      <w:r w:rsidRPr="000A0A5F">
        <w:t xml:space="preserve">            </w:t>
      </w:r>
      <w:r w:rsidR="00CB0DD7" w:rsidRPr="000A0A5F">
        <w:rPr>
          <w:rFonts w:eastAsia="Times New Roman" w:cs="Arial"/>
          <w:szCs w:val="18"/>
        </w:rPr>
        <w:t xml:space="preserve">Identifies </w:t>
      </w:r>
      <w:r w:rsidR="00CB0DD7" w:rsidRPr="000A0A5F">
        <w:t>the RACS ID(s) for which the RACS data are not provisioned successfully.</w:t>
      </w:r>
    </w:p>
    <w:p w:rsidR="00CB0DD7" w:rsidRPr="000A0A5F" w:rsidRDefault="00CB0DD7">
      <w:pPr>
        <w:pStyle w:val="PL"/>
      </w:pPr>
      <w:r w:rsidRPr="000A0A5F">
        <w:t xml:space="preserve">        failureCode:</w:t>
      </w:r>
    </w:p>
    <w:p w:rsidR="00CB0DD7" w:rsidRPr="000A0A5F" w:rsidRDefault="00CB0DD7">
      <w:pPr>
        <w:pStyle w:val="PL"/>
      </w:pPr>
      <w:r w:rsidRPr="000A0A5F">
        <w:t xml:space="preserve">          $ref: '#/components/schemas/RacsFailureCode'</w:t>
      </w:r>
    </w:p>
    <w:p w:rsidR="00CB0DD7" w:rsidRPr="000A0A5F" w:rsidRDefault="00CB0DD7">
      <w:pPr>
        <w:pStyle w:val="PL"/>
      </w:pPr>
      <w:r w:rsidRPr="000A0A5F">
        <w:t xml:space="preserve">      required:</w:t>
      </w:r>
    </w:p>
    <w:p w:rsidR="00CB0DD7" w:rsidRPr="000A0A5F" w:rsidRDefault="00CB0DD7">
      <w:pPr>
        <w:pStyle w:val="PL"/>
      </w:pPr>
      <w:r w:rsidRPr="000A0A5F">
        <w:t xml:space="preserve">        - racsIds</w:t>
      </w:r>
    </w:p>
    <w:p w:rsidR="00CB0DD7" w:rsidRPr="000A0A5F" w:rsidRDefault="00CB0DD7">
      <w:pPr>
        <w:pStyle w:val="PL"/>
      </w:pPr>
      <w:r w:rsidRPr="000A0A5F">
        <w:t xml:space="preserve">        - failureCode</w:t>
      </w:r>
    </w:p>
    <w:p w:rsidR="00705C22" w:rsidRPr="000A0A5F" w:rsidRDefault="00705C22">
      <w:pPr>
        <w:pStyle w:val="PL"/>
      </w:pPr>
    </w:p>
    <w:p w:rsidR="00CB0DD7" w:rsidRPr="000A0A5F" w:rsidRDefault="00CB0DD7">
      <w:pPr>
        <w:pStyle w:val="PL"/>
      </w:pPr>
      <w:r w:rsidRPr="000A0A5F">
        <w:t xml:space="preserve">    RacsConfiguration:</w:t>
      </w:r>
    </w:p>
    <w:p w:rsidR="00CB0DD7" w:rsidRPr="000A0A5F" w:rsidRDefault="00CB0DD7">
      <w:pPr>
        <w:pStyle w:val="PL"/>
      </w:pPr>
      <w:r w:rsidRPr="000A0A5F">
        <w:t xml:space="preserve">      description: Represents a single UE radio capability configuration data.</w:t>
      </w:r>
    </w:p>
    <w:p w:rsidR="00CB0DD7" w:rsidRPr="000A0A5F" w:rsidRDefault="00CB0DD7">
      <w:pPr>
        <w:pStyle w:val="PL"/>
      </w:pPr>
      <w:r w:rsidRPr="000A0A5F">
        <w:t xml:space="preserve">      type: object</w:t>
      </w:r>
    </w:p>
    <w:p w:rsidR="00CB0DD7" w:rsidRPr="000A0A5F" w:rsidRDefault="00CB0DD7">
      <w:pPr>
        <w:pStyle w:val="PL"/>
      </w:pPr>
      <w:r w:rsidRPr="000A0A5F">
        <w:t xml:space="preserve">      properties:</w:t>
      </w:r>
    </w:p>
    <w:p w:rsidR="00CB0DD7" w:rsidRPr="000A0A5F" w:rsidRDefault="00CB0DD7">
      <w:pPr>
        <w:pStyle w:val="PL"/>
      </w:pPr>
      <w:r w:rsidRPr="000A0A5F">
        <w:t xml:space="preserve">        racsId:</w:t>
      </w:r>
    </w:p>
    <w:p w:rsidR="00CB0DD7" w:rsidRPr="000A0A5F" w:rsidRDefault="00CB0DD7">
      <w:pPr>
        <w:pStyle w:val="PL"/>
      </w:pPr>
      <w:r w:rsidRPr="000A0A5F">
        <w:t xml:space="preserve">          type: string</w:t>
      </w:r>
    </w:p>
    <w:p w:rsidR="00705C22" w:rsidRPr="000A0A5F" w:rsidRDefault="00CB0DD7">
      <w:pPr>
        <w:pStyle w:val="PL"/>
      </w:pPr>
      <w:r w:rsidRPr="000A0A5F">
        <w:t xml:space="preserve">          description: </w:t>
      </w:r>
      <w:r w:rsidR="00705C22" w:rsidRPr="000A0A5F">
        <w:t>&gt;</w:t>
      </w:r>
    </w:p>
    <w:p w:rsidR="00705C22" w:rsidRPr="000A0A5F" w:rsidRDefault="00705C22">
      <w:pPr>
        <w:pStyle w:val="PL"/>
        <w:rPr>
          <w:rFonts w:cs="Arial"/>
          <w:szCs w:val="18"/>
          <w:lang w:eastAsia="zh-CN"/>
        </w:rPr>
      </w:pPr>
      <w:r w:rsidRPr="000A0A5F">
        <w:t xml:space="preserve">            </w:t>
      </w:r>
      <w:r w:rsidR="00CB0DD7" w:rsidRPr="000A0A5F">
        <w:rPr>
          <w:rFonts w:cs="Arial"/>
          <w:szCs w:val="18"/>
          <w:lang w:eastAsia="zh-CN"/>
        </w:rPr>
        <w:t>The UE radio capability ID provided by the SCS/AS to identify the UE radio capability</w:t>
      </w:r>
    </w:p>
    <w:p w:rsidR="00CB0DD7" w:rsidRPr="000A0A5F" w:rsidRDefault="00705C22">
      <w:pPr>
        <w:pStyle w:val="PL"/>
      </w:pPr>
      <w:r w:rsidRPr="000A0A5F">
        <w:t xml:space="preserve">           </w:t>
      </w:r>
      <w:r w:rsidR="00CB0DD7" w:rsidRPr="000A0A5F">
        <w:rPr>
          <w:rFonts w:cs="Arial"/>
          <w:szCs w:val="18"/>
          <w:lang w:eastAsia="zh-CN"/>
        </w:rPr>
        <w:t xml:space="preserve"> data. See 3GPP</w:t>
      </w:r>
      <w:r w:rsidR="00115EC8" w:rsidRPr="000A0A5F">
        <w:rPr>
          <w:rFonts w:cs="Arial"/>
          <w:szCs w:val="18"/>
          <w:lang w:eastAsia="zh-CN"/>
        </w:rPr>
        <w:t xml:space="preserve"> </w:t>
      </w:r>
      <w:r w:rsidR="00CB0DD7" w:rsidRPr="000A0A5F">
        <w:rPr>
          <w:rFonts w:cs="Arial"/>
          <w:lang w:eastAsia="ja-JP"/>
        </w:rPr>
        <w:t>TS</w:t>
      </w:r>
      <w:r w:rsidR="00115EC8" w:rsidRPr="000A0A5F">
        <w:rPr>
          <w:rFonts w:cs="Arial"/>
          <w:lang w:eastAsia="ja-JP"/>
        </w:rPr>
        <w:t xml:space="preserve"> </w:t>
      </w:r>
      <w:r w:rsidR="00CB0DD7" w:rsidRPr="000A0A5F">
        <w:rPr>
          <w:rFonts w:cs="Arial"/>
          <w:lang w:eastAsia="ja-JP"/>
        </w:rPr>
        <w:t>23.003</w:t>
      </w:r>
      <w:r w:rsidR="00115EC8" w:rsidRPr="000A0A5F">
        <w:rPr>
          <w:rFonts w:cs="Arial"/>
          <w:lang w:eastAsia="ja-JP"/>
        </w:rPr>
        <w:t xml:space="preserve"> </w:t>
      </w:r>
      <w:r w:rsidR="00CB0DD7" w:rsidRPr="000A0A5F">
        <w:rPr>
          <w:rFonts w:cs="Arial"/>
          <w:lang w:eastAsia="ja-JP"/>
        </w:rPr>
        <w:t>for the encoding.</w:t>
      </w:r>
    </w:p>
    <w:p w:rsidR="00CB0DD7" w:rsidRPr="000A0A5F" w:rsidRDefault="00CB0DD7">
      <w:pPr>
        <w:pStyle w:val="PL"/>
      </w:pPr>
      <w:r w:rsidRPr="000A0A5F">
        <w:t xml:space="preserve">        racsParamE</w:t>
      </w:r>
      <w:r w:rsidRPr="000A0A5F">
        <w:rPr>
          <w:rFonts w:hint="eastAsia"/>
          <w:lang w:eastAsia="zh-CN"/>
        </w:rPr>
        <w:t>ps</w:t>
      </w:r>
      <w:r w:rsidRPr="000A0A5F">
        <w:t>:</w:t>
      </w:r>
    </w:p>
    <w:p w:rsidR="00CB0DD7" w:rsidRPr="000A0A5F" w:rsidRDefault="00CB0DD7">
      <w:pPr>
        <w:pStyle w:val="PL"/>
      </w:pPr>
      <w:r w:rsidRPr="000A0A5F">
        <w:t xml:space="preserve">          type: string</w:t>
      </w:r>
    </w:p>
    <w:p w:rsidR="00CB0DD7" w:rsidRPr="000A0A5F" w:rsidRDefault="00CB0DD7">
      <w:pPr>
        <w:pStyle w:val="PL"/>
      </w:pPr>
      <w:r w:rsidRPr="000A0A5F">
        <w:t xml:space="preserve">          description: The UE radio capability data in EPS.</w:t>
      </w:r>
    </w:p>
    <w:p w:rsidR="00CB0DD7" w:rsidRPr="000A0A5F" w:rsidRDefault="00CB0DD7">
      <w:pPr>
        <w:pStyle w:val="PL"/>
      </w:pPr>
      <w:r w:rsidRPr="000A0A5F">
        <w:t xml:space="preserve">        racsParam5Gs:</w:t>
      </w:r>
    </w:p>
    <w:p w:rsidR="00CB0DD7" w:rsidRPr="000A0A5F" w:rsidRDefault="00CB0DD7">
      <w:pPr>
        <w:pStyle w:val="PL"/>
      </w:pPr>
      <w:r w:rsidRPr="000A0A5F">
        <w:t xml:space="preserve">          type: string</w:t>
      </w:r>
    </w:p>
    <w:p w:rsidR="00CB0DD7" w:rsidRPr="000A0A5F" w:rsidRDefault="00CB0DD7">
      <w:pPr>
        <w:pStyle w:val="PL"/>
      </w:pPr>
      <w:r w:rsidRPr="000A0A5F">
        <w:t xml:space="preserve">          description: The UE radio capability data in 5GS.</w:t>
      </w:r>
    </w:p>
    <w:p w:rsidR="00CB0DD7" w:rsidRPr="000A0A5F" w:rsidRDefault="00CB0DD7">
      <w:pPr>
        <w:pStyle w:val="PL"/>
      </w:pPr>
      <w:r w:rsidRPr="000A0A5F">
        <w:t xml:space="preserve">        imeiTacs:</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$ref: 'TS29571_CommonData.yaml#/components/schemas/TypeAllocationCode'</w:t>
      </w:r>
    </w:p>
    <w:p w:rsidR="00CB0DD7" w:rsidRPr="000A0A5F" w:rsidRDefault="00CB0DD7">
      <w:pPr>
        <w:pStyle w:val="PL"/>
      </w:pPr>
      <w:r w:rsidRPr="000A0A5F">
        <w:t xml:space="preserve">          minItems: 1</w:t>
      </w:r>
    </w:p>
    <w:p w:rsidR="00CB0DD7" w:rsidRPr="000A0A5F" w:rsidRDefault="00CB0DD7">
      <w:pPr>
        <w:pStyle w:val="PL"/>
      </w:pPr>
      <w:r w:rsidRPr="000A0A5F">
        <w:t xml:space="preserve">          description: Related UE model's IMEI-TAC values.</w:t>
      </w:r>
    </w:p>
    <w:p w:rsidR="00CB0DD7" w:rsidRPr="000A0A5F" w:rsidRDefault="00CB0DD7">
      <w:pPr>
        <w:pStyle w:val="PL"/>
      </w:pPr>
      <w:r w:rsidRPr="000A0A5F">
        <w:t xml:space="preserve">      anyOf:</w:t>
      </w:r>
    </w:p>
    <w:p w:rsidR="00CB0DD7" w:rsidRPr="000A0A5F" w:rsidRDefault="00CB0DD7">
      <w:pPr>
        <w:pStyle w:val="PL"/>
      </w:pPr>
      <w:r w:rsidRPr="000A0A5F">
        <w:t xml:space="preserve">        - required: [racsParamE</w:t>
      </w:r>
      <w:r w:rsidRPr="000A0A5F">
        <w:rPr>
          <w:rFonts w:hint="eastAsia"/>
          <w:lang w:eastAsia="zh-CN"/>
        </w:rPr>
        <w:t>ps</w:t>
      </w:r>
      <w:r w:rsidRPr="000A0A5F">
        <w:t>]</w:t>
      </w:r>
    </w:p>
    <w:p w:rsidR="00CB0DD7" w:rsidRPr="000A0A5F" w:rsidRDefault="00CB0DD7">
      <w:pPr>
        <w:pStyle w:val="PL"/>
      </w:pPr>
      <w:r w:rsidRPr="000A0A5F">
        <w:t xml:space="preserve">        - required: [racsParam5Gs]</w:t>
      </w:r>
    </w:p>
    <w:p w:rsidR="00CB0DD7" w:rsidRPr="000A0A5F" w:rsidRDefault="00CB0DD7">
      <w:pPr>
        <w:pStyle w:val="PL"/>
      </w:pPr>
      <w:r w:rsidRPr="000A0A5F">
        <w:t xml:space="preserve">      required:</w:t>
      </w:r>
    </w:p>
    <w:p w:rsidR="00CB0DD7" w:rsidRPr="000A0A5F" w:rsidRDefault="00CB0DD7">
      <w:pPr>
        <w:pStyle w:val="PL"/>
      </w:pPr>
      <w:r w:rsidRPr="000A0A5F">
        <w:t xml:space="preserve">        - racsId</w:t>
      </w:r>
    </w:p>
    <w:p w:rsidR="00CB0DD7" w:rsidRPr="000A0A5F" w:rsidRDefault="00CB0DD7">
      <w:pPr>
        <w:pStyle w:val="PL"/>
      </w:pPr>
      <w:r w:rsidRPr="000A0A5F">
        <w:t xml:space="preserve">        - imeiTacs</w:t>
      </w:r>
    </w:p>
    <w:p w:rsidR="00705C22" w:rsidRPr="000A0A5F" w:rsidRDefault="00705C22">
      <w:pPr>
        <w:pStyle w:val="PL"/>
      </w:pPr>
    </w:p>
    <w:p w:rsidR="00CB0DD7" w:rsidRPr="000A0A5F" w:rsidRDefault="00CB0DD7">
      <w:pPr>
        <w:pStyle w:val="PL"/>
      </w:pPr>
      <w:r w:rsidRPr="000A0A5F">
        <w:t xml:space="preserve">    RacsProvisioningDataPatch:</w:t>
      </w:r>
    </w:p>
    <w:p w:rsidR="00705C22" w:rsidRPr="000A0A5F" w:rsidRDefault="00CB0DD7">
      <w:pPr>
        <w:pStyle w:val="PL"/>
      </w:pPr>
      <w:r w:rsidRPr="000A0A5F">
        <w:t xml:space="preserve">      description: </w:t>
      </w:r>
      <w:r w:rsidR="00705C22" w:rsidRPr="000A0A5F">
        <w:t>&gt;</w:t>
      </w:r>
    </w:p>
    <w:p w:rsidR="00CB0DD7" w:rsidRPr="000A0A5F" w:rsidRDefault="00705C22">
      <w:pPr>
        <w:pStyle w:val="PL"/>
      </w:pPr>
      <w:r w:rsidRPr="000A0A5F">
        <w:t xml:space="preserve">        </w:t>
      </w:r>
      <w:r w:rsidR="00CB0DD7" w:rsidRPr="000A0A5F">
        <w:t>Represents parameters to request the modification of a UE's radio capability data.</w:t>
      </w:r>
    </w:p>
    <w:p w:rsidR="00CB0DD7" w:rsidRPr="000A0A5F" w:rsidRDefault="00CB0DD7">
      <w:pPr>
        <w:pStyle w:val="PL"/>
      </w:pPr>
      <w:r w:rsidRPr="000A0A5F">
        <w:t xml:space="preserve">      type: object</w:t>
      </w:r>
    </w:p>
    <w:p w:rsidR="00CB0DD7" w:rsidRPr="000A0A5F" w:rsidRDefault="00CB0DD7">
      <w:pPr>
        <w:pStyle w:val="PL"/>
      </w:pPr>
      <w:r w:rsidRPr="000A0A5F">
        <w:t xml:space="preserve">      properties:</w:t>
      </w:r>
    </w:p>
    <w:p w:rsidR="00CB0DD7" w:rsidRPr="000A0A5F" w:rsidRDefault="00CB0DD7">
      <w:pPr>
        <w:pStyle w:val="PL"/>
      </w:pPr>
      <w:r w:rsidRPr="000A0A5F">
        <w:t xml:space="preserve">        racsConfigs:</w:t>
      </w:r>
    </w:p>
    <w:p w:rsidR="00CB0DD7" w:rsidRPr="000A0A5F" w:rsidRDefault="00CB0DD7">
      <w:pPr>
        <w:pStyle w:val="PL"/>
      </w:pPr>
      <w:r w:rsidRPr="000A0A5F">
        <w:t xml:space="preserve">          type: object</w:t>
      </w:r>
    </w:p>
    <w:p w:rsidR="00CB0DD7" w:rsidRPr="000A0A5F" w:rsidRDefault="00CB0DD7">
      <w:pPr>
        <w:pStyle w:val="PL"/>
      </w:pPr>
      <w:r w:rsidRPr="000A0A5F">
        <w:t xml:space="preserve">          additionalProperties:</w:t>
      </w:r>
    </w:p>
    <w:p w:rsidR="00CB0DD7" w:rsidRPr="000A0A5F" w:rsidRDefault="00CB0DD7">
      <w:pPr>
        <w:pStyle w:val="PL"/>
      </w:pPr>
      <w:r w:rsidRPr="000A0A5F">
        <w:t xml:space="preserve">            $ref: '#/components/schemas/RacsConfigurationRm'</w:t>
      </w:r>
    </w:p>
    <w:p w:rsidR="00CB0DD7" w:rsidRPr="000A0A5F" w:rsidRDefault="00CB0DD7">
      <w:pPr>
        <w:pStyle w:val="PL"/>
      </w:pPr>
      <w:r w:rsidRPr="000A0A5F">
        <w:t xml:space="preserve">          minProperties: 1</w:t>
      </w:r>
    </w:p>
    <w:p w:rsidR="00705C22" w:rsidRPr="000A0A5F" w:rsidRDefault="00CB0DD7">
      <w:pPr>
        <w:pStyle w:val="PL"/>
      </w:pPr>
      <w:r w:rsidRPr="000A0A5F">
        <w:t xml:space="preserve">          description: </w:t>
      </w:r>
      <w:r w:rsidR="00705C22" w:rsidRPr="000A0A5F">
        <w:t>&gt;</w:t>
      </w:r>
    </w:p>
    <w:p w:rsidR="00705C22" w:rsidRPr="000A0A5F" w:rsidRDefault="00705C22">
      <w:pPr>
        <w:pStyle w:val="PL"/>
      </w:pPr>
      <w:r w:rsidRPr="000A0A5F">
        <w:t xml:space="preserve">            </w:t>
      </w:r>
      <w:r w:rsidR="00CB0DD7" w:rsidRPr="000A0A5F">
        <w:t>Identifies the configuration related to manufactuer specific UE radio capability.</w:t>
      </w:r>
    </w:p>
    <w:p w:rsidR="00705C22" w:rsidRPr="000A0A5F" w:rsidRDefault="00705C22">
      <w:pPr>
        <w:pStyle w:val="PL"/>
      </w:pPr>
      <w:r w:rsidRPr="000A0A5F">
        <w:t xml:space="preserve">           </w:t>
      </w:r>
      <w:r w:rsidR="00CB0DD7" w:rsidRPr="000A0A5F">
        <w:t xml:space="preserve"> Each element uniquely identifies an RACS configuration for an RACS ID and is identified</w:t>
      </w:r>
    </w:p>
    <w:p w:rsidR="00CB0DD7" w:rsidRPr="000A0A5F" w:rsidRDefault="00705C22">
      <w:pPr>
        <w:pStyle w:val="PL"/>
      </w:pPr>
      <w:r w:rsidRPr="000A0A5F">
        <w:t xml:space="preserve">           </w:t>
      </w:r>
      <w:r w:rsidR="00CB0DD7" w:rsidRPr="000A0A5F">
        <w:t xml:space="preserve"> in the map via the RACS ID as key.</w:t>
      </w:r>
    </w:p>
    <w:p w:rsidR="00705C22" w:rsidRPr="000A0A5F" w:rsidRDefault="00705C22">
      <w:pPr>
        <w:pStyle w:val="PL"/>
      </w:pPr>
    </w:p>
    <w:p w:rsidR="00CB0DD7" w:rsidRPr="000A0A5F" w:rsidRDefault="00CB0DD7">
      <w:pPr>
        <w:pStyle w:val="PL"/>
      </w:pPr>
      <w:r w:rsidRPr="000A0A5F">
        <w:t xml:space="preserve">    RacsConfigurationRm:</w:t>
      </w:r>
    </w:p>
    <w:p w:rsidR="00705C22" w:rsidRPr="000A0A5F" w:rsidRDefault="00CB0DD7">
      <w:pPr>
        <w:pStyle w:val="PL"/>
      </w:pPr>
      <w:r w:rsidRPr="000A0A5F">
        <w:t xml:space="preserve">      description: </w:t>
      </w:r>
      <w:r w:rsidR="00705C22" w:rsidRPr="000A0A5F">
        <w:t>&gt;</w:t>
      </w:r>
    </w:p>
    <w:p w:rsidR="00CB0DD7" w:rsidRPr="000A0A5F" w:rsidRDefault="00705C22">
      <w:pPr>
        <w:pStyle w:val="PL"/>
      </w:pPr>
      <w:r w:rsidRPr="000A0A5F">
        <w:t xml:space="preserve">        </w:t>
      </w:r>
      <w:r w:rsidR="00CB0DD7" w:rsidRPr="000A0A5F">
        <w:t>Represents the same as the RacsConfiguration data type but with the nullable:true property.</w:t>
      </w:r>
    </w:p>
    <w:p w:rsidR="00CB0DD7" w:rsidRPr="000A0A5F" w:rsidRDefault="00CB0DD7">
      <w:pPr>
        <w:pStyle w:val="PL"/>
      </w:pPr>
      <w:r w:rsidRPr="000A0A5F">
        <w:t xml:space="preserve">      type: object</w:t>
      </w:r>
    </w:p>
    <w:p w:rsidR="00CB0DD7" w:rsidRPr="000A0A5F" w:rsidRDefault="00CB0DD7">
      <w:pPr>
        <w:pStyle w:val="PL"/>
      </w:pPr>
      <w:r w:rsidRPr="000A0A5F">
        <w:t xml:space="preserve">      properties:</w:t>
      </w:r>
    </w:p>
    <w:p w:rsidR="00CB0DD7" w:rsidRPr="000A0A5F" w:rsidRDefault="00CB0DD7">
      <w:pPr>
        <w:pStyle w:val="PL"/>
      </w:pPr>
      <w:r w:rsidRPr="000A0A5F">
        <w:t xml:space="preserve">        racsParamE</w:t>
      </w:r>
      <w:r w:rsidRPr="000A0A5F">
        <w:rPr>
          <w:rFonts w:hint="eastAsia"/>
          <w:lang w:eastAsia="zh-CN"/>
        </w:rPr>
        <w:t>ps</w:t>
      </w:r>
      <w:r w:rsidRPr="000A0A5F">
        <w:t>:</w:t>
      </w:r>
    </w:p>
    <w:p w:rsidR="00CB0DD7" w:rsidRPr="000A0A5F" w:rsidRDefault="00CB0DD7">
      <w:pPr>
        <w:pStyle w:val="PL"/>
      </w:pPr>
      <w:r w:rsidRPr="000A0A5F">
        <w:t xml:space="preserve">          type: string</w:t>
      </w:r>
    </w:p>
    <w:p w:rsidR="00CB0DD7" w:rsidRPr="000A0A5F" w:rsidRDefault="00CB0DD7">
      <w:pPr>
        <w:pStyle w:val="PL"/>
      </w:pPr>
      <w:r w:rsidRPr="000A0A5F">
        <w:t xml:space="preserve">          description: The UE radio capability data in EPS.</w:t>
      </w:r>
    </w:p>
    <w:p w:rsidR="00CB0DD7" w:rsidRPr="000A0A5F" w:rsidRDefault="00CB0DD7">
      <w:pPr>
        <w:pStyle w:val="PL"/>
      </w:pPr>
      <w:r w:rsidRPr="000A0A5F">
        <w:t xml:space="preserve">          nullable: true</w:t>
      </w:r>
    </w:p>
    <w:p w:rsidR="00CB0DD7" w:rsidRPr="000A0A5F" w:rsidRDefault="00CB0DD7">
      <w:pPr>
        <w:pStyle w:val="PL"/>
      </w:pPr>
      <w:r w:rsidRPr="000A0A5F">
        <w:t xml:space="preserve">        racsParam5Gs:</w:t>
      </w:r>
    </w:p>
    <w:p w:rsidR="00CB0DD7" w:rsidRPr="000A0A5F" w:rsidRDefault="00CB0DD7">
      <w:pPr>
        <w:pStyle w:val="PL"/>
      </w:pPr>
      <w:r w:rsidRPr="000A0A5F">
        <w:t xml:space="preserve">          type: string</w:t>
      </w:r>
    </w:p>
    <w:p w:rsidR="00CB0DD7" w:rsidRPr="000A0A5F" w:rsidRDefault="00CB0DD7">
      <w:pPr>
        <w:pStyle w:val="PL"/>
      </w:pPr>
      <w:r w:rsidRPr="000A0A5F">
        <w:t xml:space="preserve">          description: The UE radio capability data in 5GS.</w:t>
      </w:r>
    </w:p>
    <w:p w:rsidR="00CB0DD7" w:rsidRPr="000A0A5F" w:rsidRDefault="00CB0DD7">
      <w:pPr>
        <w:pStyle w:val="PL"/>
      </w:pPr>
      <w:r w:rsidRPr="000A0A5F">
        <w:t xml:space="preserve">          nullable: true</w:t>
      </w:r>
    </w:p>
    <w:p w:rsidR="00CB0DD7" w:rsidRPr="000A0A5F" w:rsidRDefault="00CB0DD7">
      <w:pPr>
        <w:pStyle w:val="PL"/>
      </w:pPr>
      <w:r w:rsidRPr="000A0A5F">
        <w:t xml:space="preserve">        imeiTacs:</w:t>
      </w:r>
    </w:p>
    <w:p w:rsidR="00CB0DD7" w:rsidRPr="000A0A5F" w:rsidRDefault="00CB0DD7">
      <w:pPr>
        <w:pStyle w:val="PL"/>
      </w:pPr>
      <w:r w:rsidRPr="000A0A5F">
        <w:t xml:space="preserve">          type: array</w:t>
      </w:r>
    </w:p>
    <w:p w:rsidR="00CB0DD7" w:rsidRPr="000A0A5F" w:rsidRDefault="00CB0DD7">
      <w:pPr>
        <w:pStyle w:val="PL"/>
      </w:pPr>
      <w:r w:rsidRPr="000A0A5F">
        <w:t xml:space="preserve">          items:</w:t>
      </w:r>
    </w:p>
    <w:p w:rsidR="00CB0DD7" w:rsidRPr="000A0A5F" w:rsidRDefault="00CB0DD7">
      <w:pPr>
        <w:pStyle w:val="PL"/>
      </w:pPr>
      <w:r w:rsidRPr="000A0A5F">
        <w:t xml:space="preserve">            $ref: 'TS29571_CommonData.yaml#/components/schemas/TypeAllocationCode'</w:t>
      </w:r>
    </w:p>
    <w:p w:rsidR="00CB0DD7" w:rsidRPr="000A0A5F" w:rsidRDefault="00CB0DD7">
      <w:pPr>
        <w:pStyle w:val="PL"/>
      </w:pPr>
      <w:r w:rsidRPr="000A0A5F">
        <w:t xml:space="preserve">          minItems: 1</w:t>
      </w:r>
    </w:p>
    <w:p w:rsidR="00CB0DD7" w:rsidRPr="000A0A5F" w:rsidRDefault="00CB0DD7">
      <w:pPr>
        <w:pStyle w:val="PL"/>
      </w:pPr>
      <w:r w:rsidRPr="000A0A5F">
        <w:t xml:space="preserve">          description: Related UE model's IMEI-TAC values.</w:t>
      </w:r>
    </w:p>
    <w:p w:rsidR="00CB0DD7" w:rsidRPr="000A0A5F" w:rsidRDefault="00CB0DD7">
      <w:pPr>
        <w:pStyle w:val="PL"/>
      </w:pPr>
      <w:r w:rsidRPr="000A0A5F">
        <w:t xml:space="preserve">      nullable: true</w:t>
      </w:r>
    </w:p>
    <w:p w:rsidR="00705C22" w:rsidRPr="000A0A5F" w:rsidRDefault="00705C22">
      <w:pPr>
        <w:pStyle w:val="PL"/>
      </w:pPr>
    </w:p>
    <w:p w:rsidR="00CB0DD7" w:rsidRPr="000A0A5F" w:rsidRDefault="00CB0DD7">
      <w:pPr>
        <w:pStyle w:val="PL"/>
      </w:pPr>
      <w:r w:rsidRPr="000A0A5F">
        <w:t xml:space="preserve">    RacsFailureCode:</w:t>
      </w:r>
    </w:p>
    <w:p w:rsidR="00CB0DD7" w:rsidRPr="000A0A5F" w:rsidRDefault="00CB0DD7">
      <w:pPr>
        <w:pStyle w:val="PL"/>
      </w:pPr>
      <w:r w:rsidRPr="000A0A5F">
        <w:t xml:space="preserve">      anyOf:</w:t>
      </w:r>
    </w:p>
    <w:p w:rsidR="00CB0DD7" w:rsidRPr="000A0A5F" w:rsidRDefault="00CB0DD7">
      <w:pPr>
        <w:pStyle w:val="PL"/>
      </w:pPr>
      <w:r w:rsidRPr="000A0A5F">
        <w:t xml:space="preserve">      - type: string</w:t>
      </w:r>
    </w:p>
    <w:p w:rsidR="00CB0DD7" w:rsidRPr="000A0A5F" w:rsidRDefault="00CB0DD7">
      <w:pPr>
        <w:pStyle w:val="PL"/>
      </w:pPr>
      <w:r w:rsidRPr="000A0A5F">
        <w:t xml:space="preserve">        enum:</w:t>
      </w:r>
    </w:p>
    <w:p w:rsidR="00CB0DD7" w:rsidRPr="000A0A5F" w:rsidRDefault="00CB0DD7">
      <w:pPr>
        <w:pStyle w:val="PL"/>
      </w:pPr>
      <w:r w:rsidRPr="000A0A5F">
        <w:t xml:space="preserve">          - MALFUNCTION</w:t>
      </w:r>
    </w:p>
    <w:p w:rsidR="00CB0DD7" w:rsidRPr="000A0A5F" w:rsidRDefault="00CB0DD7">
      <w:pPr>
        <w:pStyle w:val="PL"/>
      </w:pPr>
      <w:r w:rsidRPr="000A0A5F">
        <w:t xml:space="preserve">          - RESOURCE_LIMITATION</w:t>
      </w:r>
    </w:p>
    <w:p w:rsidR="00CB0DD7" w:rsidRPr="000A0A5F" w:rsidRDefault="00CB0DD7">
      <w:pPr>
        <w:pStyle w:val="PL"/>
      </w:pPr>
      <w:r w:rsidRPr="000A0A5F">
        <w:t xml:space="preserve">          - RACS_ID_DUPLICATED</w:t>
      </w:r>
    </w:p>
    <w:p w:rsidR="00CB0DD7" w:rsidRPr="000A0A5F" w:rsidRDefault="00CB0DD7">
      <w:pPr>
        <w:pStyle w:val="PL"/>
      </w:pPr>
      <w:r w:rsidRPr="000A0A5F">
        <w:t xml:space="preserve">          - OTHER_REASON</w:t>
      </w:r>
    </w:p>
    <w:p w:rsidR="00CB0DD7" w:rsidRPr="000A0A5F" w:rsidRDefault="00CB0DD7">
      <w:pPr>
        <w:pStyle w:val="PL"/>
      </w:pPr>
      <w:r w:rsidRPr="000A0A5F">
        <w:t xml:space="preserve">      - type: string</w:t>
      </w:r>
    </w:p>
    <w:p w:rsidR="00CB0DD7" w:rsidRPr="000A0A5F" w:rsidRDefault="00CB0DD7">
      <w:pPr>
        <w:pStyle w:val="PL"/>
      </w:pPr>
      <w:r w:rsidRPr="000A0A5F">
        <w:t xml:space="preserve">        description: &gt;</w:t>
      </w:r>
    </w:p>
    <w:p w:rsidR="00CB0DD7" w:rsidRPr="000A0A5F" w:rsidRDefault="00CB0DD7">
      <w:pPr>
        <w:pStyle w:val="PL"/>
      </w:pPr>
      <w:r w:rsidRPr="000A0A5F">
        <w:t xml:space="preserve">          This string provides forward-compatibility with future</w:t>
      </w:r>
    </w:p>
    <w:p w:rsidR="00CB0DD7" w:rsidRPr="000A0A5F" w:rsidRDefault="00CB0DD7">
      <w:pPr>
        <w:pStyle w:val="PL"/>
      </w:pPr>
      <w:r w:rsidRPr="000A0A5F">
        <w:t xml:space="preserve">          extensions to the enumeration but is not used to encode</w:t>
      </w:r>
    </w:p>
    <w:p w:rsidR="00CB0DD7" w:rsidRPr="000A0A5F" w:rsidRDefault="00CB0DD7">
      <w:pPr>
        <w:pStyle w:val="PL"/>
      </w:pPr>
      <w:r w:rsidRPr="000A0A5F">
        <w:t xml:space="preserve">          content defined in the present version of this API.</w:t>
      </w:r>
    </w:p>
    <w:p w:rsidR="00CB0DD7" w:rsidRPr="000A0A5F" w:rsidRDefault="00CB0DD7">
      <w:pPr>
        <w:pStyle w:val="PL"/>
      </w:pPr>
      <w:r w:rsidRPr="000A0A5F">
        <w:t xml:space="preserve">      description: </w:t>
      </w:r>
      <w:r w:rsidR="00705C22" w:rsidRPr="000A0A5F">
        <w:t>|</w:t>
      </w:r>
    </w:p>
    <w:p w:rsidR="00705C22" w:rsidRPr="000A0A5F" w:rsidRDefault="00705C22">
      <w:pPr>
        <w:pStyle w:val="PL"/>
      </w:pPr>
      <w:r w:rsidRPr="000A0A5F">
        <w:t xml:space="preserve">        Represents the failure result of UE radio capability provisioning.  </w:t>
      </w:r>
    </w:p>
    <w:p w:rsidR="00CB0DD7" w:rsidRPr="000A0A5F" w:rsidRDefault="00CB0DD7">
      <w:pPr>
        <w:pStyle w:val="PL"/>
      </w:pPr>
      <w:r w:rsidRPr="000A0A5F">
        <w:t xml:space="preserve">        Possible values are</w:t>
      </w:r>
      <w:r w:rsidR="00705C22" w:rsidRPr="000A0A5F">
        <w:t>:</w:t>
      </w:r>
    </w:p>
    <w:p w:rsidR="00705C22" w:rsidRPr="000A0A5F" w:rsidRDefault="00CB0DD7">
      <w:pPr>
        <w:pStyle w:val="PL"/>
        <w:rPr>
          <w:rFonts w:cs="Arial"/>
          <w:bCs/>
          <w:color w:val="333333"/>
          <w:szCs w:val="18"/>
        </w:rPr>
      </w:pPr>
      <w:r w:rsidRPr="000A0A5F">
        <w:t xml:space="preserve">        - MALFUNCTION: </w:t>
      </w:r>
      <w:r w:rsidRPr="000A0A5F">
        <w:rPr>
          <w:rFonts w:cs="Arial"/>
          <w:bCs/>
          <w:color w:val="333333"/>
          <w:szCs w:val="18"/>
        </w:rPr>
        <w:t>This value indicates that something functions wrongly in RACS provisioning or</w:t>
      </w:r>
    </w:p>
    <w:p w:rsidR="00CB0DD7" w:rsidRPr="000A0A5F" w:rsidRDefault="00705C22">
      <w:pPr>
        <w:pStyle w:val="PL"/>
        <w:rPr>
          <w:rFonts w:cs="Arial"/>
          <w:bCs/>
          <w:color w:val="333333"/>
          <w:szCs w:val="18"/>
        </w:rPr>
      </w:pPr>
      <w:r w:rsidRPr="000A0A5F">
        <w:rPr>
          <w:rFonts w:cs="Arial"/>
          <w:bCs/>
          <w:color w:val="333333"/>
          <w:szCs w:val="18"/>
        </w:rPr>
        <w:t xml:space="preserve">         </w:t>
      </w:r>
      <w:r w:rsidR="00CB0DD7" w:rsidRPr="000A0A5F">
        <w:rPr>
          <w:rFonts w:cs="Arial"/>
          <w:bCs/>
          <w:color w:val="333333"/>
          <w:szCs w:val="18"/>
        </w:rPr>
        <w:t xml:space="preserve"> the RACS provisioning does not function at all.</w:t>
      </w:r>
    </w:p>
    <w:p w:rsidR="00705C22" w:rsidRPr="000A0A5F" w:rsidRDefault="00CB0DD7">
      <w:pPr>
        <w:pStyle w:val="PL"/>
        <w:rPr>
          <w:rFonts w:cs="Arial"/>
          <w:bCs/>
          <w:color w:val="333333"/>
          <w:szCs w:val="18"/>
        </w:rPr>
      </w:pPr>
      <w:r w:rsidRPr="000A0A5F">
        <w:t xml:space="preserve">        - RESOURCE_LIMITATION: </w:t>
      </w:r>
      <w:r w:rsidRPr="000A0A5F">
        <w:rPr>
          <w:rFonts w:cs="Arial"/>
          <w:bCs/>
          <w:color w:val="333333"/>
          <w:szCs w:val="18"/>
        </w:rPr>
        <w:t>This value indicates there is resource limitation for RACS data</w:t>
      </w:r>
    </w:p>
    <w:p w:rsidR="00CB0DD7" w:rsidRPr="000A0A5F" w:rsidRDefault="00705C22">
      <w:pPr>
        <w:pStyle w:val="PL"/>
      </w:pPr>
      <w:r w:rsidRPr="000A0A5F">
        <w:rPr>
          <w:rFonts w:cs="Arial"/>
          <w:bCs/>
          <w:color w:val="333333"/>
          <w:szCs w:val="18"/>
        </w:rPr>
        <w:t xml:space="preserve">         </w:t>
      </w:r>
      <w:r w:rsidR="00CB0DD7" w:rsidRPr="000A0A5F">
        <w:rPr>
          <w:rFonts w:cs="Arial"/>
          <w:bCs/>
          <w:color w:val="333333"/>
          <w:szCs w:val="18"/>
        </w:rPr>
        <w:t xml:space="preserve"> storage.</w:t>
      </w:r>
    </w:p>
    <w:p w:rsidR="00CB0DD7" w:rsidRPr="000A0A5F" w:rsidRDefault="00CB0DD7">
      <w:pPr>
        <w:pStyle w:val="PL"/>
      </w:pPr>
      <w:r w:rsidRPr="000A0A5F">
        <w:t xml:space="preserve">        - RACS_ID_DUPLICATED: </w:t>
      </w:r>
      <w:r w:rsidRPr="000A0A5F">
        <w:rPr>
          <w:rFonts w:cs="Arial"/>
          <w:bCs/>
          <w:color w:val="333333"/>
          <w:szCs w:val="18"/>
        </w:rPr>
        <w:t>The received RACS identifier(s) are already provisioned.</w:t>
      </w:r>
    </w:p>
    <w:p w:rsidR="00CB0DD7" w:rsidRPr="000A0A5F" w:rsidRDefault="00CB0DD7">
      <w:pPr>
        <w:pStyle w:val="PL"/>
      </w:pPr>
      <w:r w:rsidRPr="000A0A5F">
        <w:t xml:space="preserve">        - OTHER_REASON: Other reason unspecified.</w:t>
      </w:r>
    </w:p>
    <w:p w:rsidR="00CB0DD7" w:rsidRPr="000A0A5F" w:rsidRDefault="00CB0DD7">
      <w:pPr>
        <w:pStyle w:val="PL"/>
      </w:pPr>
    </w:p>
    <w:p w:rsidR="00C04B00" w:rsidRPr="000A0A5F" w:rsidRDefault="00C04B00" w:rsidP="00C04B00">
      <w:pPr>
        <w:pStyle w:val="Heading8"/>
      </w:pPr>
      <w:bookmarkStart w:id="10482" w:name="_Toc11247945"/>
      <w:bookmarkStart w:id="10483" w:name="_Toc27045128"/>
      <w:bookmarkStart w:id="10484" w:name="_Toc36034179"/>
      <w:bookmarkStart w:id="10485" w:name="_Toc45132327"/>
      <w:bookmarkStart w:id="10486" w:name="_Toc49776612"/>
      <w:bookmarkStart w:id="10487" w:name="_Toc51747532"/>
      <w:bookmarkStart w:id="10488" w:name="_Toc66361114"/>
      <w:bookmarkStart w:id="10489" w:name="_Toc68105619"/>
      <w:bookmarkStart w:id="10490" w:name="_Toc74756251"/>
      <w:bookmarkStart w:id="10491" w:name="_Toc105675128"/>
      <w:bookmarkStart w:id="10492" w:name="_Toc130503206"/>
      <w:bookmarkStart w:id="10493" w:name="_Toc19702529"/>
      <w:bookmarkStart w:id="10494" w:name="_Toc27751690"/>
      <w:bookmarkStart w:id="10495" w:name="_Toc35971776"/>
      <w:bookmarkStart w:id="10496" w:name="_Toc35976025"/>
      <w:bookmarkStart w:id="10497" w:name="_Toc44849482"/>
      <w:bookmarkStart w:id="10498" w:name="_Toc51853124"/>
      <w:bookmarkStart w:id="10499" w:name="_Toc51859797"/>
      <w:bookmarkStart w:id="10500" w:name="_Toc120011583"/>
      <w:bookmarkStart w:id="10501" w:name="_Toc153625998"/>
      <w:r w:rsidRPr="000A0A5F">
        <w:t>Annex B (informative):</w:t>
      </w:r>
      <w:r w:rsidRPr="000A0A5F">
        <w:br/>
        <w:t>TS Skeleton Template</w:t>
      </w:r>
      <w:bookmarkEnd w:id="10493"/>
      <w:bookmarkEnd w:id="10494"/>
      <w:bookmarkEnd w:id="10495"/>
      <w:bookmarkEnd w:id="10496"/>
      <w:bookmarkEnd w:id="10497"/>
      <w:bookmarkEnd w:id="10498"/>
      <w:bookmarkEnd w:id="10499"/>
      <w:bookmarkEnd w:id="10500"/>
      <w:bookmarkEnd w:id="10501"/>
    </w:p>
    <w:p w:rsidR="00C04B00" w:rsidRPr="000A0A5F" w:rsidRDefault="00C04B00" w:rsidP="00C04B00">
      <w:r w:rsidRPr="000A0A5F">
        <w:t>A TS Skeleton Template to be used as a starting point of drafting a 3GPP NBI (i.e. northbound and/or application layer interface) Stage 3 specification is available at the following location:</w:t>
      </w:r>
    </w:p>
    <w:p w:rsidR="00C04B00" w:rsidRPr="000A0A5F" w:rsidRDefault="00C04B00" w:rsidP="00C04B00">
      <w:pPr>
        <w:pStyle w:val="B10"/>
      </w:pPr>
      <w:r w:rsidRPr="000A0A5F">
        <w:t>https://www.3gpp.org/ftp/information/All_Templates/29.xxx-NBI-Stage3-Template.zip</w:t>
      </w:r>
    </w:p>
    <w:p w:rsidR="00CB0DD7" w:rsidRPr="000A0A5F" w:rsidRDefault="00CB0DD7" w:rsidP="0010309A">
      <w:pPr>
        <w:pStyle w:val="Heading8"/>
      </w:pPr>
      <w:bookmarkStart w:id="10502" w:name="_Toc153625999"/>
      <w:r w:rsidRPr="000A0A5F">
        <w:t xml:space="preserve">Annex </w:t>
      </w:r>
      <w:r w:rsidR="00AC4FAA" w:rsidRPr="000A0A5F">
        <w:rPr>
          <w:lang w:eastAsia="zh-CN"/>
        </w:rPr>
        <w:t>C</w:t>
      </w:r>
      <w:r w:rsidRPr="000A0A5F">
        <w:t xml:space="preserve"> (informative):</w:t>
      </w:r>
      <w:r w:rsidRPr="000A0A5F">
        <w:rPr>
          <w:lang w:eastAsia="zh-CN"/>
        </w:rPr>
        <w:br/>
      </w:r>
      <w:r w:rsidRPr="000A0A5F">
        <w:t>Change history</w:t>
      </w:r>
      <w:bookmarkEnd w:id="10482"/>
      <w:bookmarkEnd w:id="10483"/>
      <w:bookmarkEnd w:id="10484"/>
      <w:bookmarkEnd w:id="10485"/>
      <w:bookmarkEnd w:id="10486"/>
      <w:bookmarkEnd w:id="10487"/>
      <w:bookmarkEnd w:id="10488"/>
      <w:bookmarkEnd w:id="10489"/>
      <w:bookmarkEnd w:id="10490"/>
      <w:bookmarkEnd w:id="10491"/>
      <w:bookmarkEnd w:id="10492"/>
      <w:bookmarkEnd w:id="10502"/>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40" w:type="dxa"/>
          <w:right w:w="40" w:type="dxa"/>
        </w:tblCellMar>
        <w:tblLook w:val="0000" w:firstRow="0" w:lastRow="0" w:firstColumn="0" w:lastColumn="0" w:noHBand="0" w:noVBand="0"/>
      </w:tblPr>
      <w:tblGrid>
        <w:gridCol w:w="798"/>
        <w:gridCol w:w="797"/>
        <w:gridCol w:w="1088"/>
        <w:gridCol w:w="524"/>
        <w:gridCol w:w="424"/>
        <w:gridCol w:w="424"/>
        <w:gridCol w:w="4919"/>
        <w:gridCol w:w="707"/>
      </w:tblGrid>
      <w:tr w:rsidR="00F82319" w:rsidRPr="000A0A5F" w:rsidTr="00274CFF">
        <w:trPr>
          <w:cantSplit/>
        </w:trPr>
        <w:tc>
          <w:tcPr>
            <w:tcW w:w="9681" w:type="dxa"/>
            <w:gridSpan w:val="8"/>
            <w:tcBorders>
              <w:bottom w:val="nil"/>
            </w:tcBorders>
            <w:shd w:val="solid" w:color="FFFFFF" w:fill="auto"/>
          </w:tcPr>
          <w:p w:rsidR="00F82319" w:rsidRPr="000A0A5F" w:rsidRDefault="00F82319" w:rsidP="00274CFF">
            <w:pPr>
              <w:pStyle w:val="TAL"/>
              <w:jc w:val="center"/>
              <w:rPr>
                <w:b/>
                <w:sz w:val="16"/>
              </w:rPr>
            </w:pPr>
            <w:r w:rsidRPr="000A0A5F">
              <w:rPr>
                <w:b/>
              </w:rPr>
              <w:t>Change history</w:t>
            </w:r>
          </w:p>
        </w:tc>
      </w:tr>
      <w:tr w:rsidR="00F82319" w:rsidRPr="000A0A5F" w:rsidTr="00274CFF">
        <w:tc>
          <w:tcPr>
            <w:tcW w:w="798" w:type="dxa"/>
            <w:shd w:val="pct10" w:color="auto" w:fill="FFFFFF"/>
          </w:tcPr>
          <w:p w:rsidR="00F82319" w:rsidRPr="000A0A5F" w:rsidRDefault="00F82319" w:rsidP="00274CFF">
            <w:pPr>
              <w:pStyle w:val="TAL"/>
              <w:rPr>
                <w:b/>
                <w:sz w:val="16"/>
              </w:rPr>
            </w:pPr>
            <w:r w:rsidRPr="000A0A5F">
              <w:rPr>
                <w:b/>
                <w:sz w:val="16"/>
              </w:rPr>
              <w:t>Date</w:t>
            </w:r>
          </w:p>
        </w:tc>
        <w:tc>
          <w:tcPr>
            <w:tcW w:w="797" w:type="dxa"/>
            <w:shd w:val="pct10" w:color="auto" w:fill="FFFFFF"/>
          </w:tcPr>
          <w:p w:rsidR="00F82319" w:rsidRPr="000A0A5F" w:rsidRDefault="00F82319" w:rsidP="00274CFF">
            <w:pPr>
              <w:pStyle w:val="TAL"/>
              <w:rPr>
                <w:b/>
                <w:sz w:val="16"/>
              </w:rPr>
            </w:pPr>
            <w:r w:rsidRPr="000A0A5F">
              <w:rPr>
                <w:b/>
                <w:sz w:val="16"/>
              </w:rPr>
              <w:t>Meeting</w:t>
            </w:r>
          </w:p>
        </w:tc>
        <w:tc>
          <w:tcPr>
            <w:tcW w:w="1088" w:type="dxa"/>
            <w:shd w:val="pct10" w:color="auto" w:fill="FFFFFF"/>
          </w:tcPr>
          <w:p w:rsidR="00F82319" w:rsidRPr="000A0A5F" w:rsidRDefault="00F82319" w:rsidP="00274CFF">
            <w:pPr>
              <w:pStyle w:val="TAL"/>
              <w:rPr>
                <w:b/>
                <w:sz w:val="16"/>
              </w:rPr>
            </w:pPr>
            <w:r w:rsidRPr="000A0A5F">
              <w:rPr>
                <w:b/>
                <w:sz w:val="16"/>
              </w:rPr>
              <w:t>TDoc</w:t>
            </w:r>
          </w:p>
        </w:tc>
        <w:tc>
          <w:tcPr>
            <w:tcW w:w="524" w:type="dxa"/>
            <w:shd w:val="pct10" w:color="auto" w:fill="FFFFFF"/>
          </w:tcPr>
          <w:p w:rsidR="00F82319" w:rsidRPr="000A0A5F" w:rsidRDefault="00F82319" w:rsidP="00274CFF">
            <w:pPr>
              <w:pStyle w:val="TAL"/>
              <w:rPr>
                <w:b/>
                <w:sz w:val="16"/>
              </w:rPr>
            </w:pPr>
            <w:r w:rsidRPr="000A0A5F">
              <w:rPr>
                <w:b/>
                <w:sz w:val="16"/>
              </w:rPr>
              <w:t>CR</w:t>
            </w:r>
          </w:p>
        </w:tc>
        <w:tc>
          <w:tcPr>
            <w:tcW w:w="424" w:type="dxa"/>
            <w:shd w:val="pct10" w:color="auto" w:fill="FFFFFF"/>
          </w:tcPr>
          <w:p w:rsidR="00F82319" w:rsidRPr="000A0A5F" w:rsidRDefault="00F82319" w:rsidP="00274CFF">
            <w:pPr>
              <w:pStyle w:val="TAL"/>
              <w:rPr>
                <w:b/>
                <w:sz w:val="16"/>
              </w:rPr>
            </w:pPr>
            <w:r w:rsidRPr="000A0A5F">
              <w:rPr>
                <w:b/>
                <w:sz w:val="16"/>
              </w:rPr>
              <w:t>Rev</w:t>
            </w:r>
          </w:p>
        </w:tc>
        <w:tc>
          <w:tcPr>
            <w:tcW w:w="424" w:type="dxa"/>
            <w:shd w:val="pct10" w:color="auto" w:fill="FFFFFF"/>
          </w:tcPr>
          <w:p w:rsidR="00F82319" w:rsidRPr="000A0A5F" w:rsidRDefault="00F82319" w:rsidP="00274CFF">
            <w:pPr>
              <w:pStyle w:val="TAL"/>
              <w:rPr>
                <w:b/>
                <w:sz w:val="16"/>
              </w:rPr>
            </w:pPr>
            <w:r w:rsidRPr="000A0A5F">
              <w:rPr>
                <w:b/>
                <w:sz w:val="16"/>
              </w:rPr>
              <w:t>Cat</w:t>
            </w:r>
          </w:p>
        </w:tc>
        <w:tc>
          <w:tcPr>
            <w:tcW w:w="4919" w:type="dxa"/>
            <w:shd w:val="pct10" w:color="auto" w:fill="FFFFFF"/>
          </w:tcPr>
          <w:p w:rsidR="00F82319" w:rsidRPr="000A0A5F" w:rsidRDefault="00F82319" w:rsidP="00274CFF">
            <w:pPr>
              <w:pStyle w:val="TAL"/>
              <w:rPr>
                <w:b/>
                <w:sz w:val="16"/>
              </w:rPr>
            </w:pPr>
            <w:r w:rsidRPr="000A0A5F">
              <w:rPr>
                <w:b/>
                <w:sz w:val="16"/>
              </w:rPr>
              <w:t>Subject/Comment</w:t>
            </w:r>
          </w:p>
        </w:tc>
        <w:tc>
          <w:tcPr>
            <w:tcW w:w="707" w:type="dxa"/>
            <w:shd w:val="pct10" w:color="auto" w:fill="FFFFFF"/>
          </w:tcPr>
          <w:p w:rsidR="00F82319" w:rsidRPr="000A0A5F" w:rsidRDefault="00F82319" w:rsidP="00274CFF">
            <w:pPr>
              <w:pStyle w:val="TAL"/>
              <w:rPr>
                <w:b/>
                <w:sz w:val="16"/>
              </w:rPr>
            </w:pPr>
            <w:r w:rsidRPr="000A0A5F">
              <w:rPr>
                <w:b/>
                <w:sz w:val="16"/>
              </w:rPr>
              <w:t>New version</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sz w:val="16"/>
                <w:szCs w:val="16"/>
              </w:rPr>
              <w:t>2017-04</w:t>
            </w:r>
          </w:p>
        </w:tc>
        <w:tc>
          <w:tcPr>
            <w:tcW w:w="797" w:type="dxa"/>
            <w:shd w:val="solid" w:color="FFFFFF" w:fill="auto"/>
          </w:tcPr>
          <w:p w:rsidR="00F82319" w:rsidRPr="000A0A5F" w:rsidRDefault="00F82319" w:rsidP="00F82319">
            <w:pPr>
              <w:pStyle w:val="TAC"/>
              <w:rPr>
                <w:sz w:val="16"/>
                <w:szCs w:val="16"/>
              </w:rPr>
            </w:pPr>
            <w:r w:rsidRPr="000A0A5F">
              <w:rPr>
                <w:rFonts w:hint="eastAsia"/>
                <w:sz w:val="16"/>
                <w:szCs w:val="16"/>
                <w:lang w:eastAsia="zh-CN"/>
              </w:rPr>
              <w:t>CT3#89</w:t>
            </w:r>
          </w:p>
        </w:tc>
        <w:tc>
          <w:tcPr>
            <w:tcW w:w="1088" w:type="dxa"/>
            <w:shd w:val="solid" w:color="FFFFFF" w:fill="auto"/>
          </w:tcPr>
          <w:p w:rsidR="00F82319" w:rsidRPr="000A0A5F" w:rsidRDefault="00F82319" w:rsidP="00F82319">
            <w:pPr>
              <w:pStyle w:val="TAC"/>
              <w:rPr>
                <w:sz w:val="16"/>
                <w:szCs w:val="16"/>
              </w:rPr>
            </w:pPr>
          </w:p>
        </w:tc>
        <w:tc>
          <w:tcPr>
            <w:tcW w:w="524" w:type="dxa"/>
            <w:shd w:val="solid" w:color="FFFFFF" w:fill="auto"/>
          </w:tcPr>
          <w:p w:rsidR="00F82319" w:rsidRPr="000A0A5F" w:rsidRDefault="00F82319" w:rsidP="00F82319">
            <w:pPr>
              <w:pStyle w:val="TAL"/>
              <w:rPr>
                <w:sz w:val="16"/>
                <w:szCs w:val="16"/>
              </w:rPr>
            </w:pPr>
          </w:p>
        </w:tc>
        <w:tc>
          <w:tcPr>
            <w:tcW w:w="424" w:type="dxa"/>
            <w:shd w:val="solid" w:color="FFFFFF" w:fill="auto"/>
          </w:tcPr>
          <w:p w:rsidR="00F82319" w:rsidRPr="000A0A5F" w:rsidRDefault="00F82319" w:rsidP="00F82319">
            <w:pPr>
              <w:pStyle w:val="TAR"/>
              <w:rPr>
                <w:sz w:val="16"/>
                <w:szCs w:val="16"/>
              </w:rPr>
            </w:pPr>
          </w:p>
        </w:tc>
        <w:tc>
          <w:tcPr>
            <w:tcW w:w="424" w:type="dxa"/>
            <w:shd w:val="solid" w:color="FFFFFF" w:fill="auto"/>
          </w:tcPr>
          <w:p w:rsidR="00F82319" w:rsidRPr="000A0A5F" w:rsidRDefault="00F82319" w:rsidP="00F82319">
            <w:pPr>
              <w:pStyle w:val="TAC"/>
              <w:rPr>
                <w:sz w:val="16"/>
                <w:szCs w:val="16"/>
              </w:rPr>
            </w:pPr>
          </w:p>
        </w:tc>
        <w:tc>
          <w:tcPr>
            <w:tcW w:w="4919" w:type="dxa"/>
            <w:shd w:val="solid" w:color="FFFFFF" w:fill="auto"/>
          </w:tcPr>
          <w:p w:rsidR="00F82319" w:rsidRPr="000A0A5F" w:rsidRDefault="00F82319" w:rsidP="00F82319">
            <w:pPr>
              <w:pStyle w:val="TAL"/>
              <w:rPr>
                <w:sz w:val="16"/>
                <w:szCs w:val="16"/>
              </w:rPr>
            </w:pPr>
            <w:r w:rsidRPr="000A0A5F">
              <w:rPr>
                <w:sz w:val="16"/>
                <w:szCs w:val="16"/>
              </w:rPr>
              <w:t>TS skeleton</w:t>
            </w:r>
            <w:r w:rsidRPr="000A0A5F">
              <w:rPr>
                <w:rFonts w:hint="eastAsia"/>
                <w:sz w:val="16"/>
                <w:szCs w:val="16"/>
                <w:lang w:eastAsia="zh-CN"/>
              </w:rPr>
              <w:t xml:space="preserve"> of </w:t>
            </w:r>
            <w:r w:rsidRPr="000A0A5F">
              <w:rPr>
                <w:sz w:val="16"/>
                <w:szCs w:val="16"/>
                <w:lang w:eastAsia="zh-CN"/>
              </w:rPr>
              <w:t>T8</w:t>
            </w:r>
            <w:r w:rsidRPr="000A0A5F">
              <w:rPr>
                <w:rFonts w:hint="eastAsia"/>
                <w:sz w:val="16"/>
                <w:szCs w:val="16"/>
                <w:lang w:eastAsia="zh-CN"/>
              </w:rPr>
              <w:t xml:space="preserve"> reference point stage 3. Inclusion of </w:t>
            </w:r>
            <w:r w:rsidRPr="000A0A5F">
              <w:rPr>
                <w:sz w:val="16"/>
                <w:szCs w:val="16"/>
                <w:lang w:eastAsia="zh-CN"/>
              </w:rPr>
              <w:t>C</w:t>
            </w:r>
            <w:r w:rsidRPr="000A0A5F">
              <w:rPr>
                <w:rFonts w:hint="eastAsia"/>
                <w:sz w:val="16"/>
                <w:szCs w:val="16"/>
                <w:lang w:eastAsia="zh-CN"/>
              </w:rPr>
              <w:t>3-1</w:t>
            </w:r>
            <w:r w:rsidRPr="000A0A5F">
              <w:rPr>
                <w:sz w:val="16"/>
                <w:szCs w:val="16"/>
                <w:lang w:eastAsia="zh-CN"/>
              </w:rPr>
              <w:t>72217</w:t>
            </w:r>
            <w:r w:rsidRPr="000A0A5F">
              <w:rPr>
                <w:rFonts w:hint="eastAsia"/>
                <w:sz w:val="16"/>
                <w:szCs w:val="16"/>
                <w:lang w:eastAsia="zh-CN"/>
              </w:rPr>
              <w:t>, C3-1</w:t>
            </w:r>
            <w:r w:rsidRPr="000A0A5F">
              <w:rPr>
                <w:sz w:val="16"/>
                <w:szCs w:val="16"/>
                <w:lang w:eastAsia="zh-CN"/>
              </w:rPr>
              <w:t>72242, C</w:t>
            </w:r>
            <w:r w:rsidRPr="000A0A5F">
              <w:rPr>
                <w:rFonts w:hint="eastAsia"/>
                <w:sz w:val="16"/>
                <w:szCs w:val="16"/>
                <w:lang w:eastAsia="zh-CN"/>
              </w:rPr>
              <w:t>3-1</w:t>
            </w:r>
            <w:r w:rsidRPr="000A0A5F">
              <w:rPr>
                <w:sz w:val="16"/>
                <w:szCs w:val="16"/>
                <w:lang w:eastAsia="zh-CN"/>
              </w:rPr>
              <w:t>72249</w:t>
            </w:r>
            <w:r w:rsidRPr="000A0A5F">
              <w:rPr>
                <w:rFonts w:hint="eastAsia"/>
                <w:sz w:val="16"/>
                <w:szCs w:val="16"/>
                <w:lang w:eastAsia="zh-CN"/>
              </w:rPr>
              <w:t xml:space="preserve"> and editorial change from Rapporteur.</w:t>
            </w:r>
          </w:p>
        </w:tc>
        <w:tc>
          <w:tcPr>
            <w:tcW w:w="707" w:type="dxa"/>
            <w:shd w:val="solid" w:color="FFFFFF" w:fill="auto"/>
          </w:tcPr>
          <w:p w:rsidR="00F82319" w:rsidRPr="000A0A5F" w:rsidRDefault="00F82319" w:rsidP="00F82319">
            <w:pPr>
              <w:pStyle w:val="TAC"/>
              <w:rPr>
                <w:sz w:val="16"/>
                <w:szCs w:val="16"/>
              </w:rPr>
            </w:pPr>
            <w:r w:rsidRPr="000A0A5F">
              <w:rPr>
                <w:sz w:val="16"/>
                <w:szCs w:val="16"/>
              </w:rPr>
              <w:t>0.0.0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hint="eastAsia"/>
                <w:sz w:val="16"/>
                <w:szCs w:val="16"/>
                <w:lang w:eastAsia="zh-CN"/>
              </w:rPr>
              <w:t>2017-05</w:t>
            </w:r>
          </w:p>
        </w:tc>
        <w:tc>
          <w:tcPr>
            <w:tcW w:w="797" w:type="dxa"/>
            <w:shd w:val="solid" w:color="FFFFFF" w:fill="auto"/>
          </w:tcPr>
          <w:p w:rsidR="00F82319" w:rsidRPr="000A0A5F" w:rsidRDefault="00F82319" w:rsidP="00F82319">
            <w:pPr>
              <w:pStyle w:val="TAC"/>
              <w:rPr>
                <w:sz w:val="16"/>
                <w:szCs w:val="16"/>
              </w:rPr>
            </w:pPr>
            <w:r w:rsidRPr="000A0A5F">
              <w:rPr>
                <w:rFonts w:hint="eastAsia"/>
                <w:sz w:val="16"/>
                <w:szCs w:val="16"/>
                <w:lang w:eastAsia="zh-CN"/>
              </w:rPr>
              <w:t>CT3#90</w:t>
            </w:r>
          </w:p>
        </w:tc>
        <w:tc>
          <w:tcPr>
            <w:tcW w:w="1088" w:type="dxa"/>
            <w:shd w:val="solid" w:color="FFFFFF" w:fill="auto"/>
          </w:tcPr>
          <w:p w:rsidR="00F82319" w:rsidRPr="000A0A5F" w:rsidRDefault="00F82319" w:rsidP="00F82319">
            <w:pPr>
              <w:pStyle w:val="TAC"/>
              <w:rPr>
                <w:sz w:val="16"/>
                <w:szCs w:val="16"/>
              </w:rPr>
            </w:pPr>
          </w:p>
        </w:tc>
        <w:tc>
          <w:tcPr>
            <w:tcW w:w="524" w:type="dxa"/>
            <w:shd w:val="solid" w:color="FFFFFF" w:fill="auto"/>
          </w:tcPr>
          <w:p w:rsidR="00F82319" w:rsidRPr="000A0A5F" w:rsidRDefault="00F82319" w:rsidP="00F82319">
            <w:pPr>
              <w:pStyle w:val="TAL"/>
              <w:rPr>
                <w:sz w:val="16"/>
                <w:szCs w:val="16"/>
              </w:rPr>
            </w:pPr>
          </w:p>
        </w:tc>
        <w:tc>
          <w:tcPr>
            <w:tcW w:w="424" w:type="dxa"/>
            <w:shd w:val="solid" w:color="FFFFFF" w:fill="auto"/>
          </w:tcPr>
          <w:p w:rsidR="00F82319" w:rsidRPr="000A0A5F" w:rsidRDefault="00F82319" w:rsidP="00F82319">
            <w:pPr>
              <w:pStyle w:val="TAR"/>
              <w:rPr>
                <w:sz w:val="16"/>
                <w:szCs w:val="16"/>
              </w:rPr>
            </w:pPr>
          </w:p>
        </w:tc>
        <w:tc>
          <w:tcPr>
            <w:tcW w:w="424" w:type="dxa"/>
            <w:shd w:val="solid" w:color="FFFFFF" w:fill="auto"/>
          </w:tcPr>
          <w:p w:rsidR="00F82319" w:rsidRPr="000A0A5F" w:rsidRDefault="00F82319" w:rsidP="00F82319">
            <w:pPr>
              <w:pStyle w:val="TAC"/>
              <w:rPr>
                <w:sz w:val="16"/>
                <w:szCs w:val="16"/>
              </w:rPr>
            </w:pPr>
          </w:p>
        </w:tc>
        <w:tc>
          <w:tcPr>
            <w:tcW w:w="4919" w:type="dxa"/>
            <w:shd w:val="solid" w:color="FFFFFF" w:fill="auto"/>
          </w:tcPr>
          <w:p w:rsidR="00F82319" w:rsidRPr="000A0A5F" w:rsidRDefault="00F82319" w:rsidP="00F82319">
            <w:pPr>
              <w:pStyle w:val="TAL"/>
              <w:rPr>
                <w:sz w:val="16"/>
                <w:szCs w:val="16"/>
              </w:rPr>
            </w:pPr>
            <w:r w:rsidRPr="000A0A5F">
              <w:rPr>
                <w:rFonts w:hint="eastAsia"/>
                <w:sz w:val="16"/>
                <w:szCs w:val="16"/>
                <w:lang w:eastAsia="zh-CN"/>
              </w:rPr>
              <w:t>Inclusion of C3-1</w:t>
            </w:r>
            <w:r w:rsidRPr="000A0A5F">
              <w:rPr>
                <w:sz w:val="16"/>
                <w:szCs w:val="16"/>
                <w:lang w:eastAsia="zh-CN"/>
              </w:rPr>
              <w:t>73256</w:t>
            </w:r>
            <w:r w:rsidRPr="000A0A5F">
              <w:rPr>
                <w:rFonts w:hint="eastAsia"/>
                <w:sz w:val="16"/>
                <w:szCs w:val="16"/>
                <w:lang w:eastAsia="zh-CN"/>
              </w:rPr>
              <w:t>, C3-1</w:t>
            </w:r>
            <w:r w:rsidRPr="000A0A5F">
              <w:rPr>
                <w:sz w:val="16"/>
                <w:szCs w:val="16"/>
                <w:lang w:eastAsia="zh-CN"/>
              </w:rPr>
              <w:t>73257, C</w:t>
            </w:r>
            <w:r w:rsidRPr="000A0A5F">
              <w:rPr>
                <w:rFonts w:hint="eastAsia"/>
                <w:sz w:val="16"/>
                <w:szCs w:val="16"/>
                <w:lang w:eastAsia="zh-CN"/>
              </w:rPr>
              <w:t>3-1</w:t>
            </w:r>
            <w:r w:rsidRPr="000A0A5F">
              <w:rPr>
                <w:sz w:val="16"/>
                <w:szCs w:val="16"/>
                <w:lang w:eastAsia="zh-CN"/>
              </w:rPr>
              <w:t>73306</w:t>
            </w:r>
            <w:r w:rsidRPr="000A0A5F">
              <w:rPr>
                <w:rFonts w:hint="eastAsia"/>
                <w:sz w:val="16"/>
                <w:szCs w:val="16"/>
                <w:lang w:eastAsia="zh-CN"/>
              </w:rPr>
              <w:t xml:space="preserve">, </w:t>
            </w:r>
            <w:r w:rsidRPr="000A0A5F">
              <w:rPr>
                <w:sz w:val="16"/>
                <w:szCs w:val="16"/>
                <w:lang w:eastAsia="zh-CN"/>
              </w:rPr>
              <w:t>C</w:t>
            </w:r>
            <w:r w:rsidRPr="000A0A5F">
              <w:rPr>
                <w:rFonts w:hint="eastAsia"/>
                <w:sz w:val="16"/>
                <w:szCs w:val="16"/>
                <w:lang w:eastAsia="zh-CN"/>
              </w:rPr>
              <w:t>3-1</w:t>
            </w:r>
            <w:r w:rsidRPr="000A0A5F">
              <w:rPr>
                <w:sz w:val="16"/>
                <w:szCs w:val="16"/>
                <w:lang w:eastAsia="zh-CN"/>
              </w:rPr>
              <w:t>73318</w:t>
            </w:r>
            <w:r w:rsidRPr="000A0A5F">
              <w:rPr>
                <w:rFonts w:hint="eastAsia"/>
                <w:sz w:val="16"/>
                <w:szCs w:val="16"/>
                <w:lang w:eastAsia="zh-CN"/>
              </w:rPr>
              <w:t>, C3-1</w:t>
            </w:r>
            <w:r w:rsidRPr="000A0A5F">
              <w:rPr>
                <w:sz w:val="16"/>
                <w:szCs w:val="16"/>
                <w:lang w:eastAsia="zh-CN"/>
              </w:rPr>
              <w:t>73323</w:t>
            </w:r>
            <w:r w:rsidRPr="000A0A5F">
              <w:rPr>
                <w:rFonts w:hint="eastAsia"/>
                <w:sz w:val="16"/>
                <w:szCs w:val="16"/>
                <w:lang w:eastAsia="zh-CN"/>
              </w:rPr>
              <w:t>, C3-1</w:t>
            </w:r>
            <w:r w:rsidRPr="000A0A5F">
              <w:rPr>
                <w:sz w:val="16"/>
                <w:szCs w:val="16"/>
                <w:lang w:eastAsia="zh-CN"/>
              </w:rPr>
              <w:t>73329</w:t>
            </w:r>
            <w:r w:rsidRPr="000A0A5F">
              <w:rPr>
                <w:rFonts w:hint="eastAsia"/>
                <w:sz w:val="16"/>
                <w:szCs w:val="16"/>
                <w:lang w:eastAsia="zh-CN"/>
              </w:rPr>
              <w:t xml:space="preserve"> and editorial change from Rapporteur.</w:t>
            </w:r>
          </w:p>
        </w:tc>
        <w:tc>
          <w:tcPr>
            <w:tcW w:w="707" w:type="dxa"/>
            <w:shd w:val="solid" w:color="FFFFFF" w:fill="auto"/>
          </w:tcPr>
          <w:p w:rsidR="00F82319" w:rsidRPr="000A0A5F" w:rsidRDefault="00F82319" w:rsidP="00F82319">
            <w:pPr>
              <w:pStyle w:val="TAC"/>
              <w:rPr>
                <w:sz w:val="16"/>
                <w:szCs w:val="16"/>
              </w:rPr>
            </w:pPr>
            <w:r w:rsidRPr="000A0A5F">
              <w:rPr>
                <w:sz w:val="16"/>
                <w:szCs w:val="16"/>
                <w:lang w:eastAsia="zh-CN"/>
              </w:rPr>
              <w:t>0</w:t>
            </w:r>
            <w:r w:rsidRPr="000A0A5F">
              <w:rPr>
                <w:rFonts w:hint="eastAsia"/>
                <w:sz w:val="16"/>
                <w:szCs w:val="16"/>
                <w:lang w:eastAsia="zh-CN"/>
              </w:rPr>
              <w:t>.</w:t>
            </w:r>
            <w:r w:rsidRPr="000A0A5F">
              <w:rPr>
                <w:sz w:val="16"/>
                <w:szCs w:val="16"/>
                <w:lang w:eastAsia="zh-CN"/>
              </w:rPr>
              <w:t>1</w:t>
            </w:r>
            <w:r w:rsidRPr="000A0A5F">
              <w:rPr>
                <w:rFonts w:hint="eastAsia"/>
                <w:sz w:val="16"/>
                <w:szCs w:val="16"/>
                <w:lang w:eastAsia="zh-CN"/>
              </w:rPr>
              <w:t>.0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hint="eastAsia"/>
                <w:sz w:val="16"/>
                <w:szCs w:val="16"/>
                <w:lang w:eastAsia="zh-CN"/>
              </w:rPr>
              <w:t>2017-0</w:t>
            </w:r>
            <w:r w:rsidRPr="000A0A5F">
              <w:rPr>
                <w:sz w:val="16"/>
                <w:szCs w:val="16"/>
                <w:lang w:eastAsia="zh-CN"/>
              </w:rPr>
              <w:t>9</w:t>
            </w:r>
          </w:p>
        </w:tc>
        <w:tc>
          <w:tcPr>
            <w:tcW w:w="797" w:type="dxa"/>
            <w:shd w:val="solid" w:color="FFFFFF" w:fill="auto"/>
          </w:tcPr>
          <w:p w:rsidR="00F82319" w:rsidRPr="000A0A5F" w:rsidRDefault="00F82319" w:rsidP="00F82319">
            <w:pPr>
              <w:pStyle w:val="TAC"/>
              <w:rPr>
                <w:sz w:val="16"/>
                <w:szCs w:val="16"/>
              </w:rPr>
            </w:pPr>
            <w:r w:rsidRPr="000A0A5F">
              <w:rPr>
                <w:rFonts w:hint="eastAsia"/>
                <w:sz w:val="16"/>
                <w:szCs w:val="16"/>
                <w:lang w:eastAsia="zh-CN"/>
              </w:rPr>
              <w:t>CT3#91</w:t>
            </w:r>
          </w:p>
        </w:tc>
        <w:tc>
          <w:tcPr>
            <w:tcW w:w="1088" w:type="dxa"/>
            <w:shd w:val="solid" w:color="FFFFFF" w:fill="auto"/>
          </w:tcPr>
          <w:p w:rsidR="00F82319" w:rsidRPr="000A0A5F" w:rsidRDefault="00F82319" w:rsidP="00F82319">
            <w:pPr>
              <w:pStyle w:val="TAC"/>
              <w:rPr>
                <w:sz w:val="16"/>
                <w:szCs w:val="16"/>
              </w:rPr>
            </w:pPr>
          </w:p>
        </w:tc>
        <w:tc>
          <w:tcPr>
            <w:tcW w:w="524" w:type="dxa"/>
            <w:shd w:val="solid" w:color="FFFFFF" w:fill="auto"/>
          </w:tcPr>
          <w:p w:rsidR="00F82319" w:rsidRPr="000A0A5F" w:rsidRDefault="00F82319" w:rsidP="00F82319">
            <w:pPr>
              <w:pStyle w:val="TAL"/>
              <w:rPr>
                <w:sz w:val="16"/>
                <w:szCs w:val="16"/>
              </w:rPr>
            </w:pPr>
          </w:p>
        </w:tc>
        <w:tc>
          <w:tcPr>
            <w:tcW w:w="424" w:type="dxa"/>
            <w:shd w:val="solid" w:color="FFFFFF" w:fill="auto"/>
          </w:tcPr>
          <w:p w:rsidR="00F82319" w:rsidRPr="000A0A5F" w:rsidRDefault="00F82319" w:rsidP="00F82319">
            <w:pPr>
              <w:pStyle w:val="TAR"/>
              <w:rPr>
                <w:sz w:val="16"/>
                <w:szCs w:val="16"/>
              </w:rPr>
            </w:pPr>
          </w:p>
        </w:tc>
        <w:tc>
          <w:tcPr>
            <w:tcW w:w="424" w:type="dxa"/>
            <w:shd w:val="solid" w:color="FFFFFF" w:fill="auto"/>
          </w:tcPr>
          <w:p w:rsidR="00F82319" w:rsidRPr="000A0A5F" w:rsidRDefault="00F82319" w:rsidP="00F82319">
            <w:pPr>
              <w:pStyle w:val="TAC"/>
              <w:rPr>
                <w:sz w:val="16"/>
                <w:szCs w:val="16"/>
              </w:rPr>
            </w:pPr>
          </w:p>
        </w:tc>
        <w:tc>
          <w:tcPr>
            <w:tcW w:w="4919" w:type="dxa"/>
            <w:shd w:val="solid" w:color="FFFFFF" w:fill="auto"/>
          </w:tcPr>
          <w:p w:rsidR="00F82319" w:rsidRPr="000A0A5F" w:rsidRDefault="00F82319" w:rsidP="00F82319">
            <w:pPr>
              <w:pStyle w:val="TAL"/>
              <w:rPr>
                <w:sz w:val="16"/>
                <w:szCs w:val="16"/>
              </w:rPr>
            </w:pPr>
            <w:r w:rsidRPr="000A0A5F">
              <w:rPr>
                <w:rFonts w:hint="eastAsia"/>
                <w:sz w:val="16"/>
                <w:szCs w:val="16"/>
                <w:lang w:eastAsia="zh-CN"/>
              </w:rPr>
              <w:t xml:space="preserve">Inclusion of </w:t>
            </w:r>
            <w:r w:rsidRPr="000A0A5F">
              <w:rPr>
                <w:sz w:val="16"/>
                <w:szCs w:val="16"/>
                <w:lang w:eastAsia="zh-CN"/>
              </w:rPr>
              <w:t xml:space="preserve">C3-174368, C3-174279, C3-174079, C3-174352, C3-174328, C3-174329, C3-174374, C3-174375, C3-174243, C3-174333, C3-174334, C3-174376, C3-174281, C3-174377, C3-174356, C3-174280, C3-174358, C3-174359, C3-174379, C3-174337, C3-174361, C3-174294, C3-174362, C3-174385, C3-174299 </w:t>
            </w:r>
            <w:r w:rsidRPr="000A0A5F">
              <w:rPr>
                <w:rFonts w:hint="eastAsia"/>
                <w:sz w:val="16"/>
                <w:szCs w:val="16"/>
                <w:lang w:eastAsia="zh-CN"/>
              </w:rPr>
              <w:t>and editorial change from Rapporteur.</w:t>
            </w:r>
          </w:p>
        </w:tc>
        <w:tc>
          <w:tcPr>
            <w:tcW w:w="707" w:type="dxa"/>
            <w:shd w:val="solid" w:color="FFFFFF" w:fill="auto"/>
          </w:tcPr>
          <w:p w:rsidR="00F82319" w:rsidRPr="000A0A5F" w:rsidRDefault="00F82319" w:rsidP="00F82319">
            <w:pPr>
              <w:pStyle w:val="TAC"/>
              <w:rPr>
                <w:sz w:val="16"/>
                <w:szCs w:val="16"/>
              </w:rPr>
            </w:pPr>
            <w:r w:rsidRPr="000A0A5F">
              <w:rPr>
                <w:rFonts w:hint="eastAsia"/>
                <w:sz w:val="16"/>
                <w:szCs w:val="16"/>
                <w:lang w:eastAsia="zh-CN"/>
              </w:rPr>
              <w:t>0.2.0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hint="eastAsia"/>
                <w:sz w:val="16"/>
                <w:szCs w:val="16"/>
                <w:lang w:eastAsia="zh-CN"/>
              </w:rPr>
              <w:t>2017-10</w:t>
            </w:r>
          </w:p>
        </w:tc>
        <w:tc>
          <w:tcPr>
            <w:tcW w:w="797" w:type="dxa"/>
            <w:shd w:val="solid" w:color="FFFFFF" w:fill="auto"/>
          </w:tcPr>
          <w:p w:rsidR="00F82319" w:rsidRPr="000A0A5F" w:rsidRDefault="00F82319" w:rsidP="00F82319">
            <w:pPr>
              <w:pStyle w:val="TAC"/>
              <w:rPr>
                <w:sz w:val="16"/>
                <w:szCs w:val="16"/>
              </w:rPr>
            </w:pPr>
            <w:r w:rsidRPr="000A0A5F">
              <w:rPr>
                <w:rFonts w:hint="eastAsia"/>
                <w:sz w:val="16"/>
                <w:szCs w:val="16"/>
                <w:lang w:eastAsia="zh-CN"/>
              </w:rPr>
              <w:t>CT3#92</w:t>
            </w:r>
          </w:p>
        </w:tc>
        <w:tc>
          <w:tcPr>
            <w:tcW w:w="1088" w:type="dxa"/>
            <w:shd w:val="solid" w:color="FFFFFF" w:fill="auto"/>
          </w:tcPr>
          <w:p w:rsidR="00F82319" w:rsidRPr="000A0A5F" w:rsidRDefault="00F82319" w:rsidP="00F82319">
            <w:pPr>
              <w:pStyle w:val="TAC"/>
              <w:rPr>
                <w:sz w:val="16"/>
                <w:szCs w:val="16"/>
              </w:rPr>
            </w:pPr>
          </w:p>
        </w:tc>
        <w:tc>
          <w:tcPr>
            <w:tcW w:w="524" w:type="dxa"/>
            <w:shd w:val="solid" w:color="FFFFFF" w:fill="auto"/>
          </w:tcPr>
          <w:p w:rsidR="00F82319" w:rsidRPr="000A0A5F" w:rsidRDefault="00F82319" w:rsidP="00F82319">
            <w:pPr>
              <w:pStyle w:val="TAL"/>
              <w:rPr>
                <w:sz w:val="16"/>
                <w:szCs w:val="16"/>
              </w:rPr>
            </w:pPr>
          </w:p>
        </w:tc>
        <w:tc>
          <w:tcPr>
            <w:tcW w:w="424" w:type="dxa"/>
            <w:shd w:val="solid" w:color="FFFFFF" w:fill="auto"/>
          </w:tcPr>
          <w:p w:rsidR="00F82319" w:rsidRPr="000A0A5F" w:rsidRDefault="00F82319" w:rsidP="00F82319">
            <w:pPr>
              <w:pStyle w:val="TAR"/>
              <w:rPr>
                <w:sz w:val="16"/>
                <w:szCs w:val="16"/>
              </w:rPr>
            </w:pPr>
          </w:p>
        </w:tc>
        <w:tc>
          <w:tcPr>
            <w:tcW w:w="424" w:type="dxa"/>
            <w:shd w:val="solid" w:color="FFFFFF" w:fill="auto"/>
          </w:tcPr>
          <w:p w:rsidR="00F82319" w:rsidRPr="000A0A5F" w:rsidRDefault="00F82319" w:rsidP="00F82319">
            <w:pPr>
              <w:pStyle w:val="TAC"/>
              <w:rPr>
                <w:sz w:val="16"/>
                <w:szCs w:val="16"/>
              </w:rPr>
            </w:pPr>
          </w:p>
        </w:tc>
        <w:tc>
          <w:tcPr>
            <w:tcW w:w="4919" w:type="dxa"/>
            <w:shd w:val="solid" w:color="FFFFFF" w:fill="auto"/>
          </w:tcPr>
          <w:p w:rsidR="00F82319" w:rsidRPr="000A0A5F" w:rsidRDefault="00F82319" w:rsidP="00F82319">
            <w:pPr>
              <w:pStyle w:val="TAL"/>
              <w:rPr>
                <w:sz w:val="16"/>
                <w:szCs w:val="16"/>
              </w:rPr>
            </w:pPr>
            <w:r w:rsidRPr="000A0A5F">
              <w:rPr>
                <w:rFonts w:hint="eastAsia"/>
                <w:sz w:val="16"/>
                <w:szCs w:val="16"/>
                <w:lang w:eastAsia="zh-CN"/>
              </w:rPr>
              <w:t>Inclusion of</w:t>
            </w:r>
            <w:r w:rsidRPr="000A0A5F">
              <w:rPr>
                <w:sz w:val="16"/>
                <w:szCs w:val="16"/>
                <w:lang w:eastAsia="zh-CN"/>
              </w:rPr>
              <w:t xml:space="preserve"> C3-175068, C3-175365, C3-175370, C3-175301, C3-175227, C3-175228, C3-175359, C3-175230, C3-175231, C3-175337, C3-175247, C3-175290, C3-175360 </w:t>
            </w:r>
            <w:r w:rsidRPr="000A0A5F">
              <w:rPr>
                <w:rFonts w:hint="eastAsia"/>
                <w:sz w:val="16"/>
                <w:szCs w:val="16"/>
                <w:lang w:eastAsia="zh-CN"/>
              </w:rPr>
              <w:t>and editorial change</w:t>
            </w:r>
            <w:r w:rsidRPr="000A0A5F">
              <w:rPr>
                <w:sz w:val="16"/>
                <w:szCs w:val="16"/>
                <w:lang w:eastAsia="zh-CN"/>
              </w:rPr>
              <w:t>s</w:t>
            </w:r>
            <w:r w:rsidRPr="000A0A5F">
              <w:rPr>
                <w:rFonts w:hint="eastAsia"/>
                <w:sz w:val="16"/>
                <w:szCs w:val="16"/>
                <w:lang w:eastAsia="zh-CN"/>
              </w:rPr>
              <w:t xml:space="preserve"> from Rapporteur.</w:t>
            </w:r>
          </w:p>
        </w:tc>
        <w:tc>
          <w:tcPr>
            <w:tcW w:w="707" w:type="dxa"/>
            <w:shd w:val="solid" w:color="FFFFFF" w:fill="auto"/>
          </w:tcPr>
          <w:p w:rsidR="00F82319" w:rsidRPr="000A0A5F" w:rsidRDefault="00F82319" w:rsidP="00F82319">
            <w:pPr>
              <w:pStyle w:val="TAC"/>
              <w:rPr>
                <w:sz w:val="16"/>
                <w:szCs w:val="16"/>
              </w:rPr>
            </w:pPr>
            <w:r w:rsidRPr="000A0A5F">
              <w:rPr>
                <w:rFonts w:hint="eastAsia"/>
                <w:sz w:val="16"/>
                <w:szCs w:val="16"/>
                <w:lang w:eastAsia="zh-CN"/>
              </w:rPr>
              <w:t>0.3.0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hint="eastAsia"/>
                <w:sz w:val="16"/>
                <w:szCs w:val="16"/>
                <w:lang w:eastAsia="zh-CN"/>
              </w:rPr>
              <w:t>2017-12</w:t>
            </w:r>
          </w:p>
        </w:tc>
        <w:tc>
          <w:tcPr>
            <w:tcW w:w="797" w:type="dxa"/>
            <w:shd w:val="solid" w:color="FFFFFF" w:fill="auto"/>
          </w:tcPr>
          <w:p w:rsidR="00F82319" w:rsidRPr="000A0A5F" w:rsidRDefault="00F82319" w:rsidP="00F82319">
            <w:pPr>
              <w:pStyle w:val="TAC"/>
              <w:rPr>
                <w:sz w:val="16"/>
                <w:szCs w:val="16"/>
              </w:rPr>
            </w:pPr>
            <w:r w:rsidRPr="000A0A5F">
              <w:rPr>
                <w:rFonts w:hint="eastAsia"/>
                <w:sz w:val="16"/>
                <w:szCs w:val="16"/>
                <w:lang w:eastAsia="zh-CN"/>
              </w:rPr>
              <w:t>CT3#93</w:t>
            </w:r>
          </w:p>
        </w:tc>
        <w:tc>
          <w:tcPr>
            <w:tcW w:w="1088" w:type="dxa"/>
            <w:shd w:val="solid" w:color="FFFFFF" w:fill="auto"/>
          </w:tcPr>
          <w:p w:rsidR="00F82319" w:rsidRPr="000A0A5F" w:rsidRDefault="00F82319" w:rsidP="00F82319">
            <w:pPr>
              <w:pStyle w:val="TAC"/>
              <w:rPr>
                <w:sz w:val="16"/>
                <w:szCs w:val="16"/>
              </w:rPr>
            </w:pPr>
          </w:p>
        </w:tc>
        <w:tc>
          <w:tcPr>
            <w:tcW w:w="524" w:type="dxa"/>
            <w:shd w:val="solid" w:color="FFFFFF" w:fill="auto"/>
          </w:tcPr>
          <w:p w:rsidR="00F82319" w:rsidRPr="000A0A5F" w:rsidRDefault="00F82319" w:rsidP="00F82319">
            <w:pPr>
              <w:pStyle w:val="TAL"/>
              <w:rPr>
                <w:sz w:val="16"/>
                <w:szCs w:val="16"/>
              </w:rPr>
            </w:pPr>
          </w:p>
        </w:tc>
        <w:tc>
          <w:tcPr>
            <w:tcW w:w="424" w:type="dxa"/>
            <w:shd w:val="solid" w:color="FFFFFF" w:fill="auto"/>
          </w:tcPr>
          <w:p w:rsidR="00F82319" w:rsidRPr="000A0A5F" w:rsidRDefault="00F82319" w:rsidP="00F82319">
            <w:pPr>
              <w:pStyle w:val="TAR"/>
              <w:rPr>
                <w:sz w:val="16"/>
                <w:szCs w:val="16"/>
              </w:rPr>
            </w:pPr>
          </w:p>
        </w:tc>
        <w:tc>
          <w:tcPr>
            <w:tcW w:w="424" w:type="dxa"/>
            <w:shd w:val="solid" w:color="FFFFFF" w:fill="auto"/>
          </w:tcPr>
          <w:p w:rsidR="00F82319" w:rsidRPr="000A0A5F" w:rsidRDefault="00F82319" w:rsidP="00F82319">
            <w:pPr>
              <w:pStyle w:val="TAC"/>
              <w:rPr>
                <w:sz w:val="16"/>
                <w:szCs w:val="16"/>
              </w:rPr>
            </w:pPr>
          </w:p>
        </w:tc>
        <w:tc>
          <w:tcPr>
            <w:tcW w:w="4919" w:type="dxa"/>
            <w:shd w:val="solid" w:color="FFFFFF" w:fill="auto"/>
          </w:tcPr>
          <w:p w:rsidR="00F82319" w:rsidRPr="000A0A5F" w:rsidRDefault="00F82319" w:rsidP="00F82319">
            <w:pPr>
              <w:pStyle w:val="TAL"/>
              <w:rPr>
                <w:sz w:val="16"/>
                <w:szCs w:val="16"/>
              </w:rPr>
            </w:pPr>
            <w:r w:rsidRPr="000A0A5F">
              <w:rPr>
                <w:rFonts w:hint="eastAsia"/>
                <w:sz w:val="16"/>
                <w:szCs w:val="16"/>
                <w:lang w:eastAsia="zh-CN"/>
              </w:rPr>
              <w:t>Inclusion of</w:t>
            </w:r>
            <w:r w:rsidRPr="000A0A5F">
              <w:rPr>
                <w:sz w:val="16"/>
                <w:szCs w:val="16"/>
                <w:lang w:eastAsia="zh-CN"/>
              </w:rPr>
              <w:t xml:space="preserve"> C3-176329, C3-176218, C3-176356, C3-176375, C3-176357, C3-176334, C3-176378, C3-176067, C3-176335, C3-176073, C3-176337, C3-176380, C3-176390, C3-176362, C3-176339, C3-176340, C3-176233, C3-176089, C3-176267, C3-176383, C3-176365, C3-176366, C3-176272, C3-176273, C3-176274, C3-176391, C3-176368, C3-176369, C3-176385, C3-176279 </w:t>
            </w:r>
            <w:r w:rsidRPr="000A0A5F">
              <w:rPr>
                <w:rFonts w:hint="eastAsia"/>
                <w:sz w:val="16"/>
                <w:szCs w:val="16"/>
                <w:lang w:eastAsia="zh-CN"/>
              </w:rPr>
              <w:t>and editorial change</w:t>
            </w:r>
            <w:r w:rsidRPr="000A0A5F">
              <w:rPr>
                <w:sz w:val="16"/>
                <w:szCs w:val="16"/>
                <w:lang w:eastAsia="zh-CN"/>
              </w:rPr>
              <w:t>s</w:t>
            </w:r>
            <w:r w:rsidRPr="000A0A5F">
              <w:rPr>
                <w:rFonts w:hint="eastAsia"/>
                <w:sz w:val="16"/>
                <w:szCs w:val="16"/>
                <w:lang w:eastAsia="zh-CN"/>
              </w:rPr>
              <w:t xml:space="preserve"> from Rapporteur.</w:t>
            </w:r>
          </w:p>
        </w:tc>
        <w:tc>
          <w:tcPr>
            <w:tcW w:w="707" w:type="dxa"/>
            <w:shd w:val="solid" w:color="FFFFFF" w:fill="auto"/>
          </w:tcPr>
          <w:p w:rsidR="00F82319" w:rsidRPr="000A0A5F" w:rsidRDefault="00F82319" w:rsidP="00F82319">
            <w:pPr>
              <w:pStyle w:val="TAC"/>
              <w:rPr>
                <w:sz w:val="16"/>
                <w:szCs w:val="16"/>
              </w:rPr>
            </w:pPr>
            <w:r w:rsidRPr="000A0A5F">
              <w:rPr>
                <w:rFonts w:hint="eastAsia"/>
                <w:sz w:val="16"/>
                <w:szCs w:val="16"/>
                <w:lang w:eastAsia="zh-CN"/>
              </w:rPr>
              <w:t>0.4.0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hint="eastAsia"/>
                <w:sz w:val="16"/>
                <w:szCs w:val="16"/>
                <w:lang w:eastAsia="zh-CN"/>
              </w:rPr>
              <w:t>2018-01</w:t>
            </w:r>
          </w:p>
        </w:tc>
        <w:tc>
          <w:tcPr>
            <w:tcW w:w="797" w:type="dxa"/>
            <w:shd w:val="solid" w:color="FFFFFF" w:fill="auto"/>
          </w:tcPr>
          <w:p w:rsidR="00F82319" w:rsidRPr="000A0A5F" w:rsidRDefault="00F82319" w:rsidP="00F82319">
            <w:pPr>
              <w:pStyle w:val="TAC"/>
              <w:rPr>
                <w:sz w:val="16"/>
                <w:szCs w:val="16"/>
              </w:rPr>
            </w:pPr>
            <w:r w:rsidRPr="000A0A5F">
              <w:rPr>
                <w:rFonts w:hint="eastAsia"/>
                <w:sz w:val="16"/>
                <w:szCs w:val="16"/>
                <w:lang w:eastAsia="zh-CN"/>
              </w:rPr>
              <w:t>CT3#94</w:t>
            </w:r>
          </w:p>
        </w:tc>
        <w:tc>
          <w:tcPr>
            <w:tcW w:w="1088" w:type="dxa"/>
            <w:shd w:val="solid" w:color="FFFFFF" w:fill="auto"/>
          </w:tcPr>
          <w:p w:rsidR="00F82319" w:rsidRPr="000A0A5F" w:rsidRDefault="00F82319" w:rsidP="00F82319">
            <w:pPr>
              <w:pStyle w:val="TAC"/>
              <w:rPr>
                <w:sz w:val="16"/>
                <w:szCs w:val="16"/>
              </w:rPr>
            </w:pPr>
          </w:p>
        </w:tc>
        <w:tc>
          <w:tcPr>
            <w:tcW w:w="524" w:type="dxa"/>
            <w:shd w:val="solid" w:color="FFFFFF" w:fill="auto"/>
          </w:tcPr>
          <w:p w:rsidR="00F82319" w:rsidRPr="000A0A5F" w:rsidRDefault="00F82319" w:rsidP="00F82319">
            <w:pPr>
              <w:pStyle w:val="TAL"/>
              <w:rPr>
                <w:sz w:val="16"/>
                <w:szCs w:val="16"/>
              </w:rPr>
            </w:pPr>
          </w:p>
        </w:tc>
        <w:tc>
          <w:tcPr>
            <w:tcW w:w="424" w:type="dxa"/>
            <w:shd w:val="solid" w:color="FFFFFF" w:fill="auto"/>
          </w:tcPr>
          <w:p w:rsidR="00F82319" w:rsidRPr="000A0A5F" w:rsidRDefault="00F82319" w:rsidP="00F82319">
            <w:pPr>
              <w:pStyle w:val="TAR"/>
              <w:rPr>
                <w:sz w:val="16"/>
                <w:szCs w:val="16"/>
              </w:rPr>
            </w:pPr>
          </w:p>
        </w:tc>
        <w:tc>
          <w:tcPr>
            <w:tcW w:w="424" w:type="dxa"/>
            <w:shd w:val="solid" w:color="FFFFFF" w:fill="auto"/>
          </w:tcPr>
          <w:p w:rsidR="00F82319" w:rsidRPr="000A0A5F" w:rsidRDefault="00F82319" w:rsidP="00F82319">
            <w:pPr>
              <w:pStyle w:val="TAC"/>
              <w:rPr>
                <w:sz w:val="16"/>
                <w:szCs w:val="16"/>
              </w:rPr>
            </w:pPr>
          </w:p>
        </w:tc>
        <w:tc>
          <w:tcPr>
            <w:tcW w:w="4919" w:type="dxa"/>
            <w:shd w:val="solid" w:color="FFFFFF" w:fill="auto"/>
          </w:tcPr>
          <w:p w:rsidR="00F82319" w:rsidRPr="000A0A5F" w:rsidRDefault="00F82319" w:rsidP="00F82319">
            <w:pPr>
              <w:pStyle w:val="TAL"/>
              <w:rPr>
                <w:sz w:val="16"/>
                <w:szCs w:val="16"/>
              </w:rPr>
            </w:pPr>
            <w:r w:rsidRPr="000A0A5F">
              <w:rPr>
                <w:rFonts w:hint="eastAsia"/>
                <w:sz w:val="16"/>
                <w:szCs w:val="16"/>
                <w:lang w:eastAsia="zh-CN"/>
              </w:rPr>
              <w:t>Inclusion of</w:t>
            </w:r>
            <w:r w:rsidRPr="000A0A5F">
              <w:rPr>
                <w:sz w:val="16"/>
                <w:szCs w:val="16"/>
                <w:lang w:eastAsia="zh-CN"/>
              </w:rPr>
              <w:t xml:space="preserve"> C3-180349, C3-180329, C3-180222, C3-180078, C3-180285, C3-180081, C3-180330, C3-180331, C3-180084, C3-180332, C3-180333, C3-180290, C3-180291, C3-180089, C3-180234, C3-180334, C3-180294, C3-180237, C3-180295, C3-180296, C3-180297, C3-180337, C3-180357, C3-180136, C3-180298 </w:t>
            </w:r>
            <w:r w:rsidRPr="000A0A5F">
              <w:rPr>
                <w:rFonts w:hint="eastAsia"/>
                <w:sz w:val="16"/>
                <w:szCs w:val="16"/>
                <w:lang w:eastAsia="zh-CN"/>
              </w:rPr>
              <w:t>and editorial change</w:t>
            </w:r>
            <w:r w:rsidRPr="000A0A5F">
              <w:rPr>
                <w:sz w:val="16"/>
                <w:szCs w:val="16"/>
                <w:lang w:eastAsia="zh-CN"/>
              </w:rPr>
              <w:t>s</w:t>
            </w:r>
            <w:r w:rsidRPr="000A0A5F">
              <w:rPr>
                <w:rFonts w:hint="eastAsia"/>
                <w:sz w:val="16"/>
                <w:szCs w:val="16"/>
                <w:lang w:eastAsia="zh-CN"/>
              </w:rPr>
              <w:t xml:space="preserve"> from Rapporteur.</w:t>
            </w:r>
          </w:p>
        </w:tc>
        <w:tc>
          <w:tcPr>
            <w:tcW w:w="707" w:type="dxa"/>
            <w:shd w:val="solid" w:color="FFFFFF" w:fill="auto"/>
          </w:tcPr>
          <w:p w:rsidR="00F82319" w:rsidRPr="000A0A5F" w:rsidRDefault="00F82319" w:rsidP="00F82319">
            <w:pPr>
              <w:pStyle w:val="TAC"/>
              <w:rPr>
                <w:sz w:val="16"/>
                <w:szCs w:val="16"/>
              </w:rPr>
            </w:pPr>
            <w:r w:rsidRPr="000A0A5F">
              <w:rPr>
                <w:rFonts w:hint="eastAsia"/>
                <w:sz w:val="16"/>
                <w:szCs w:val="16"/>
                <w:lang w:eastAsia="zh-CN"/>
              </w:rPr>
              <w:t>0.5.0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hint="eastAsia"/>
                <w:sz w:val="16"/>
                <w:szCs w:val="16"/>
                <w:lang w:eastAsia="zh-CN"/>
              </w:rPr>
              <w:t>2018-02</w:t>
            </w:r>
          </w:p>
        </w:tc>
        <w:tc>
          <w:tcPr>
            <w:tcW w:w="797" w:type="dxa"/>
            <w:shd w:val="solid" w:color="FFFFFF" w:fill="auto"/>
          </w:tcPr>
          <w:p w:rsidR="00F82319" w:rsidRPr="000A0A5F" w:rsidRDefault="00F82319" w:rsidP="00F82319">
            <w:pPr>
              <w:pStyle w:val="TAC"/>
              <w:rPr>
                <w:sz w:val="16"/>
                <w:szCs w:val="16"/>
              </w:rPr>
            </w:pPr>
            <w:r w:rsidRPr="000A0A5F">
              <w:rPr>
                <w:rFonts w:hint="eastAsia"/>
                <w:sz w:val="16"/>
                <w:szCs w:val="16"/>
                <w:lang w:eastAsia="zh-CN"/>
              </w:rPr>
              <w:t>CT3#95</w:t>
            </w:r>
          </w:p>
        </w:tc>
        <w:tc>
          <w:tcPr>
            <w:tcW w:w="1088" w:type="dxa"/>
            <w:shd w:val="solid" w:color="FFFFFF" w:fill="auto"/>
          </w:tcPr>
          <w:p w:rsidR="00F82319" w:rsidRPr="000A0A5F" w:rsidRDefault="00F82319" w:rsidP="00F82319">
            <w:pPr>
              <w:pStyle w:val="TAC"/>
              <w:rPr>
                <w:sz w:val="16"/>
                <w:szCs w:val="16"/>
              </w:rPr>
            </w:pPr>
          </w:p>
        </w:tc>
        <w:tc>
          <w:tcPr>
            <w:tcW w:w="524" w:type="dxa"/>
            <w:shd w:val="solid" w:color="FFFFFF" w:fill="auto"/>
          </w:tcPr>
          <w:p w:rsidR="00F82319" w:rsidRPr="000A0A5F" w:rsidRDefault="00F82319" w:rsidP="00F82319">
            <w:pPr>
              <w:pStyle w:val="TAL"/>
              <w:rPr>
                <w:sz w:val="16"/>
                <w:szCs w:val="16"/>
              </w:rPr>
            </w:pPr>
          </w:p>
        </w:tc>
        <w:tc>
          <w:tcPr>
            <w:tcW w:w="424" w:type="dxa"/>
            <w:shd w:val="solid" w:color="FFFFFF" w:fill="auto"/>
          </w:tcPr>
          <w:p w:rsidR="00F82319" w:rsidRPr="000A0A5F" w:rsidRDefault="00F82319" w:rsidP="00F82319">
            <w:pPr>
              <w:pStyle w:val="TAR"/>
              <w:rPr>
                <w:sz w:val="16"/>
                <w:szCs w:val="16"/>
              </w:rPr>
            </w:pPr>
          </w:p>
        </w:tc>
        <w:tc>
          <w:tcPr>
            <w:tcW w:w="424" w:type="dxa"/>
            <w:shd w:val="solid" w:color="FFFFFF" w:fill="auto"/>
          </w:tcPr>
          <w:p w:rsidR="00F82319" w:rsidRPr="000A0A5F" w:rsidRDefault="00F82319" w:rsidP="00F82319">
            <w:pPr>
              <w:pStyle w:val="TAC"/>
              <w:rPr>
                <w:sz w:val="16"/>
                <w:szCs w:val="16"/>
              </w:rPr>
            </w:pPr>
          </w:p>
        </w:tc>
        <w:tc>
          <w:tcPr>
            <w:tcW w:w="4919" w:type="dxa"/>
            <w:shd w:val="solid" w:color="FFFFFF" w:fill="auto"/>
          </w:tcPr>
          <w:p w:rsidR="00F82319" w:rsidRPr="000A0A5F" w:rsidRDefault="00F82319" w:rsidP="00F82319">
            <w:pPr>
              <w:pStyle w:val="TAL"/>
              <w:rPr>
                <w:sz w:val="16"/>
                <w:szCs w:val="16"/>
              </w:rPr>
            </w:pPr>
            <w:r w:rsidRPr="000A0A5F">
              <w:rPr>
                <w:rFonts w:hint="eastAsia"/>
                <w:sz w:val="16"/>
                <w:szCs w:val="16"/>
                <w:lang w:eastAsia="zh-CN"/>
              </w:rPr>
              <w:t>Inclusion of</w:t>
            </w:r>
            <w:r w:rsidRPr="000A0A5F">
              <w:rPr>
                <w:sz w:val="16"/>
                <w:szCs w:val="16"/>
                <w:lang w:eastAsia="zh-CN"/>
              </w:rPr>
              <w:t xml:space="preserve"> C3-181271, C3-181324, C3-181340, C3-181273, C3-181333, C3-181334, C3-181276, C3-181325 </w:t>
            </w:r>
            <w:r w:rsidRPr="000A0A5F">
              <w:rPr>
                <w:rFonts w:hint="eastAsia"/>
                <w:sz w:val="16"/>
                <w:szCs w:val="16"/>
                <w:lang w:eastAsia="zh-CN"/>
              </w:rPr>
              <w:t>and editorial change</w:t>
            </w:r>
            <w:r w:rsidRPr="000A0A5F">
              <w:rPr>
                <w:sz w:val="16"/>
                <w:szCs w:val="16"/>
                <w:lang w:eastAsia="zh-CN"/>
              </w:rPr>
              <w:t>s</w:t>
            </w:r>
            <w:r w:rsidRPr="000A0A5F">
              <w:rPr>
                <w:rFonts w:hint="eastAsia"/>
                <w:sz w:val="16"/>
                <w:szCs w:val="16"/>
                <w:lang w:eastAsia="zh-CN"/>
              </w:rPr>
              <w:t xml:space="preserve"> from Rapporteur.</w:t>
            </w:r>
          </w:p>
        </w:tc>
        <w:tc>
          <w:tcPr>
            <w:tcW w:w="707" w:type="dxa"/>
            <w:shd w:val="solid" w:color="FFFFFF" w:fill="auto"/>
          </w:tcPr>
          <w:p w:rsidR="00F82319" w:rsidRPr="000A0A5F" w:rsidRDefault="00F82319" w:rsidP="00F82319">
            <w:pPr>
              <w:pStyle w:val="TAC"/>
              <w:rPr>
                <w:sz w:val="16"/>
                <w:szCs w:val="16"/>
              </w:rPr>
            </w:pPr>
            <w:r w:rsidRPr="000A0A5F">
              <w:rPr>
                <w:rFonts w:hint="eastAsia"/>
                <w:sz w:val="16"/>
                <w:szCs w:val="16"/>
                <w:lang w:eastAsia="zh-CN"/>
              </w:rPr>
              <w:t>0.6.0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hint="eastAsia"/>
                <w:sz w:val="16"/>
                <w:szCs w:val="16"/>
                <w:lang w:eastAsia="zh-CN"/>
              </w:rPr>
              <w:t>2018-0</w:t>
            </w:r>
            <w:r w:rsidRPr="000A0A5F">
              <w:rPr>
                <w:sz w:val="16"/>
                <w:szCs w:val="16"/>
                <w:lang w:eastAsia="zh-CN"/>
              </w:rPr>
              <w:t>3</w:t>
            </w:r>
          </w:p>
        </w:tc>
        <w:tc>
          <w:tcPr>
            <w:tcW w:w="797" w:type="dxa"/>
            <w:shd w:val="solid" w:color="FFFFFF" w:fill="auto"/>
          </w:tcPr>
          <w:p w:rsidR="00F82319" w:rsidRPr="000A0A5F" w:rsidRDefault="00F82319" w:rsidP="00F82319">
            <w:pPr>
              <w:pStyle w:val="TAC"/>
              <w:rPr>
                <w:sz w:val="16"/>
                <w:szCs w:val="16"/>
              </w:rPr>
            </w:pPr>
            <w:r w:rsidRPr="000A0A5F">
              <w:rPr>
                <w:rFonts w:hint="eastAsia"/>
                <w:sz w:val="16"/>
                <w:szCs w:val="16"/>
                <w:lang w:eastAsia="zh-CN"/>
              </w:rPr>
              <w:t>CT#</w:t>
            </w:r>
            <w:r w:rsidRPr="000A0A5F">
              <w:rPr>
                <w:sz w:val="16"/>
                <w:szCs w:val="16"/>
                <w:lang w:eastAsia="zh-CN"/>
              </w:rPr>
              <w:t>79</w:t>
            </w:r>
          </w:p>
        </w:tc>
        <w:tc>
          <w:tcPr>
            <w:tcW w:w="1088" w:type="dxa"/>
            <w:shd w:val="solid" w:color="FFFFFF" w:fill="auto"/>
          </w:tcPr>
          <w:p w:rsidR="00F82319" w:rsidRPr="000A0A5F" w:rsidRDefault="00F82319" w:rsidP="00F82319">
            <w:pPr>
              <w:pStyle w:val="TAC"/>
              <w:rPr>
                <w:sz w:val="16"/>
                <w:szCs w:val="16"/>
              </w:rPr>
            </w:pPr>
            <w:r w:rsidRPr="000A0A5F">
              <w:rPr>
                <w:sz w:val="16"/>
                <w:szCs w:val="16"/>
              </w:rPr>
              <w:t>CP-181053</w:t>
            </w:r>
          </w:p>
        </w:tc>
        <w:tc>
          <w:tcPr>
            <w:tcW w:w="524" w:type="dxa"/>
            <w:shd w:val="solid" w:color="FFFFFF" w:fill="auto"/>
          </w:tcPr>
          <w:p w:rsidR="00F82319" w:rsidRPr="000A0A5F" w:rsidRDefault="00F82319" w:rsidP="00F82319">
            <w:pPr>
              <w:pStyle w:val="TAL"/>
              <w:rPr>
                <w:sz w:val="16"/>
                <w:szCs w:val="16"/>
              </w:rPr>
            </w:pPr>
          </w:p>
        </w:tc>
        <w:tc>
          <w:tcPr>
            <w:tcW w:w="424" w:type="dxa"/>
            <w:shd w:val="solid" w:color="FFFFFF" w:fill="auto"/>
          </w:tcPr>
          <w:p w:rsidR="00F82319" w:rsidRPr="000A0A5F" w:rsidRDefault="00F82319" w:rsidP="00F82319">
            <w:pPr>
              <w:pStyle w:val="TAR"/>
              <w:rPr>
                <w:sz w:val="16"/>
                <w:szCs w:val="16"/>
              </w:rPr>
            </w:pPr>
          </w:p>
        </w:tc>
        <w:tc>
          <w:tcPr>
            <w:tcW w:w="424" w:type="dxa"/>
            <w:shd w:val="solid" w:color="FFFFFF" w:fill="auto"/>
          </w:tcPr>
          <w:p w:rsidR="00F82319" w:rsidRPr="000A0A5F" w:rsidRDefault="00F82319" w:rsidP="00F82319">
            <w:pPr>
              <w:pStyle w:val="TAC"/>
              <w:rPr>
                <w:sz w:val="16"/>
                <w:szCs w:val="16"/>
              </w:rPr>
            </w:pPr>
          </w:p>
        </w:tc>
        <w:tc>
          <w:tcPr>
            <w:tcW w:w="4919" w:type="dxa"/>
            <w:shd w:val="solid" w:color="FFFFFF" w:fill="auto"/>
          </w:tcPr>
          <w:p w:rsidR="00F82319" w:rsidRPr="000A0A5F" w:rsidRDefault="00F82319" w:rsidP="00F82319">
            <w:pPr>
              <w:pStyle w:val="TAL"/>
              <w:rPr>
                <w:sz w:val="16"/>
                <w:szCs w:val="16"/>
              </w:rPr>
            </w:pPr>
            <w:r w:rsidRPr="000A0A5F">
              <w:rPr>
                <w:sz w:val="16"/>
                <w:szCs w:val="16"/>
                <w:lang w:eastAsia="zh-CN"/>
              </w:rPr>
              <w:t>TS sent to plenary for information</w:t>
            </w:r>
          </w:p>
        </w:tc>
        <w:tc>
          <w:tcPr>
            <w:tcW w:w="707" w:type="dxa"/>
            <w:shd w:val="solid" w:color="FFFFFF" w:fill="auto"/>
          </w:tcPr>
          <w:p w:rsidR="00F82319" w:rsidRPr="000A0A5F" w:rsidRDefault="00F82319" w:rsidP="00F82319">
            <w:pPr>
              <w:pStyle w:val="TAC"/>
              <w:rPr>
                <w:sz w:val="16"/>
                <w:szCs w:val="16"/>
              </w:rPr>
            </w:pPr>
            <w:r w:rsidRPr="000A0A5F">
              <w:rPr>
                <w:sz w:val="16"/>
                <w:szCs w:val="16"/>
                <w:lang w:eastAsia="zh-CN"/>
              </w:rPr>
              <w:t>1</w:t>
            </w:r>
            <w:r w:rsidRPr="000A0A5F">
              <w:rPr>
                <w:rFonts w:hint="eastAsia"/>
                <w:sz w:val="16"/>
                <w:szCs w:val="16"/>
                <w:lang w:eastAsia="zh-CN"/>
              </w:rPr>
              <w:t>.</w:t>
            </w:r>
            <w:r w:rsidRPr="000A0A5F">
              <w:rPr>
                <w:sz w:val="16"/>
                <w:szCs w:val="16"/>
                <w:lang w:eastAsia="zh-CN"/>
              </w:rPr>
              <w:t>0</w:t>
            </w:r>
            <w:r w:rsidRPr="000A0A5F">
              <w:rPr>
                <w:rFonts w:hint="eastAsia"/>
                <w:sz w:val="16"/>
                <w:szCs w:val="16"/>
                <w:lang w:eastAsia="zh-CN"/>
              </w:rPr>
              <w:t>.0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hint="eastAsia"/>
                <w:sz w:val="16"/>
                <w:szCs w:val="16"/>
                <w:lang w:eastAsia="zh-CN"/>
              </w:rPr>
              <w:t>2018-0</w:t>
            </w:r>
            <w:r w:rsidRPr="000A0A5F">
              <w:rPr>
                <w:sz w:val="16"/>
                <w:szCs w:val="16"/>
                <w:lang w:eastAsia="zh-CN"/>
              </w:rPr>
              <w:t>4</w:t>
            </w:r>
          </w:p>
        </w:tc>
        <w:tc>
          <w:tcPr>
            <w:tcW w:w="797" w:type="dxa"/>
            <w:shd w:val="solid" w:color="FFFFFF" w:fill="auto"/>
          </w:tcPr>
          <w:p w:rsidR="00F82319" w:rsidRPr="000A0A5F" w:rsidRDefault="00F82319" w:rsidP="00F82319">
            <w:pPr>
              <w:pStyle w:val="TAC"/>
              <w:rPr>
                <w:sz w:val="16"/>
                <w:szCs w:val="16"/>
              </w:rPr>
            </w:pPr>
            <w:r w:rsidRPr="000A0A5F">
              <w:rPr>
                <w:rFonts w:hint="eastAsia"/>
                <w:sz w:val="16"/>
                <w:szCs w:val="16"/>
                <w:lang w:eastAsia="zh-CN"/>
              </w:rPr>
              <w:t>CT</w:t>
            </w:r>
            <w:r w:rsidRPr="000A0A5F">
              <w:rPr>
                <w:sz w:val="16"/>
                <w:szCs w:val="16"/>
                <w:lang w:eastAsia="zh-CN"/>
              </w:rPr>
              <w:t>3</w:t>
            </w:r>
            <w:r w:rsidRPr="000A0A5F">
              <w:rPr>
                <w:rFonts w:hint="eastAsia"/>
                <w:sz w:val="16"/>
                <w:szCs w:val="16"/>
                <w:lang w:eastAsia="zh-CN"/>
              </w:rPr>
              <w:t>#</w:t>
            </w:r>
            <w:r w:rsidRPr="000A0A5F">
              <w:rPr>
                <w:sz w:val="16"/>
                <w:szCs w:val="16"/>
                <w:lang w:eastAsia="zh-CN"/>
              </w:rPr>
              <w:t>96</w:t>
            </w:r>
          </w:p>
        </w:tc>
        <w:tc>
          <w:tcPr>
            <w:tcW w:w="1088" w:type="dxa"/>
            <w:shd w:val="solid" w:color="FFFFFF" w:fill="auto"/>
          </w:tcPr>
          <w:p w:rsidR="00F82319" w:rsidRPr="000A0A5F" w:rsidRDefault="00F82319" w:rsidP="00F82319">
            <w:pPr>
              <w:pStyle w:val="TAC"/>
              <w:rPr>
                <w:sz w:val="16"/>
                <w:szCs w:val="16"/>
              </w:rPr>
            </w:pPr>
          </w:p>
        </w:tc>
        <w:tc>
          <w:tcPr>
            <w:tcW w:w="524" w:type="dxa"/>
            <w:shd w:val="solid" w:color="FFFFFF" w:fill="auto"/>
          </w:tcPr>
          <w:p w:rsidR="00F82319" w:rsidRPr="000A0A5F" w:rsidRDefault="00F82319" w:rsidP="00F82319">
            <w:pPr>
              <w:pStyle w:val="TAL"/>
              <w:rPr>
                <w:sz w:val="16"/>
                <w:szCs w:val="16"/>
              </w:rPr>
            </w:pPr>
          </w:p>
        </w:tc>
        <w:tc>
          <w:tcPr>
            <w:tcW w:w="424" w:type="dxa"/>
            <w:shd w:val="solid" w:color="FFFFFF" w:fill="auto"/>
          </w:tcPr>
          <w:p w:rsidR="00F82319" w:rsidRPr="000A0A5F" w:rsidRDefault="00F82319" w:rsidP="00F82319">
            <w:pPr>
              <w:pStyle w:val="TAR"/>
              <w:rPr>
                <w:sz w:val="16"/>
                <w:szCs w:val="16"/>
              </w:rPr>
            </w:pPr>
          </w:p>
        </w:tc>
        <w:tc>
          <w:tcPr>
            <w:tcW w:w="424" w:type="dxa"/>
            <w:shd w:val="solid" w:color="FFFFFF" w:fill="auto"/>
          </w:tcPr>
          <w:p w:rsidR="00F82319" w:rsidRPr="000A0A5F" w:rsidRDefault="00F82319" w:rsidP="00F82319">
            <w:pPr>
              <w:pStyle w:val="TAC"/>
              <w:rPr>
                <w:sz w:val="16"/>
                <w:szCs w:val="16"/>
              </w:rPr>
            </w:pPr>
          </w:p>
        </w:tc>
        <w:tc>
          <w:tcPr>
            <w:tcW w:w="4919" w:type="dxa"/>
            <w:shd w:val="solid" w:color="FFFFFF" w:fill="auto"/>
          </w:tcPr>
          <w:p w:rsidR="00F82319" w:rsidRPr="000A0A5F" w:rsidRDefault="00F82319" w:rsidP="00F82319">
            <w:pPr>
              <w:pStyle w:val="TAL"/>
              <w:rPr>
                <w:sz w:val="16"/>
                <w:szCs w:val="16"/>
              </w:rPr>
            </w:pPr>
            <w:r w:rsidRPr="000A0A5F">
              <w:rPr>
                <w:rFonts w:hint="eastAsia"/>
                <w:sz w:val="16"/>
                <w:szCs w:val="16"/>
                <w:lang w:eastAsia="zh-CN"/>
              </w:rPr>
              <w:t>Inclusion of</w:t>
            </w:r>
            <w:r w:rsidRPr="000A0A5F">
              <w:rPr>
                <w:sz w:val="16"/>
                <w:szCs w:val="16"/>
                <w:lang w:eastAsia="zh-CN"/>
              </w:rPr>
              <w:t xml:space="preserve"> C3-182464, C3-182017, C3-182444, C3-182019, C3-182486, C3-182487, C3-182344, C3-182074, C3-182373, C3-182446, C3-182291, C3-182292, C3-182488, C3-182508, C3-182345, C3-182094, C3-182295, C3-182346, C3-182096, C3-182347, C3-182348, C3-182026, C3-182349, C3-182098, C3-182350, C3-182099, C3-182100, C3-182209, C3-182210, C3-182101, C3-182102, C3-182455, C3-182506, C3-182353, C3-182491, C3-182355, C3-182447, C3-182507, C3-182359, C3-182106, C3-182107, C3-182108, C3-182492, C3-182109, C3-182110, C3-182480, C3-182362, C3-182448, C3-182449, C3-182450, C3-182425, C3-182365, C3-182112, C3-182113, C3-182035, C3-182367, C3-182115, C3-182368, C3-182493, C3-182494, C3-182509, C3-182372 </w:t>
            </w:r>
            <w:r w:rsidRPr="000A0A5F">
              <w:rPr>
                <w:rFonts w:hint="eastAsia"/>
                <w:sz w:val="16"/>
                <w:szCs w:val="16"/>
                <w:lang w:eastAsia="zh-CN"/>
              </w:rPr>
              <w:t>and editorial change</w:t>
            </w:r>
            <w:r w:rsidRPr="000A0A5F">
              <w:rPr>
                <w:sz w:val="16"/>
                <w:szCs w:val="16"/>
                <w:lang w:eastAsia="zh-CN"/>
              </w:rPr>
              <w:t>s</w:t>
            </w:r>
            <w:r w:rsidRPr="000A0A5F">
              <w:rPr>
                <w:rFonts w:hint="eastAsia"/>
                <w:sz w:val="16"/>
                <w:szCs w:val="16"/>
                <w:lang w:eastAsia="zh-CN"/>
              </w:rPr>
              <w:t xml:space="preserve"> from Rapporteur.</w:t>
            </w:r>
          </w:p>
        </w:tc>
        <w:tc>
          <w:tcPr>
            <w:tcW w:w="707" w:type="dxa"/>
            <w:shd w:val="solid" w:color="FFFFFF" w:fill="auto"/>
          </w:tcPr>
          <w:p w:rsidR="00F82319" w:rsidRPr="000A0A5F" w:rsidRDefault="00F82319" w:rsidP="00F82319">
            <w:pPr>
              <w:pStyle w:val="TAC"/>
              <w:rPr>
                <w:sz w:val="16"/>
                <w:szCs w:val="16"/>
              </w:rPr>
            </w:pPr>
            <w:r w:rsidRPr="000A0A5F">
              <w:rPr>
                <w:sz w:val="16"/>
                <w:szCs w:val="16"/>
                <w:lang w:eastAsia="zh-CN"/>
              </w:rPr>
              <w:t>1</w:t>
            </w:r>
            <w:r w:rsidRPr="000A0A5F">
              <w:rPr>
                <w:rFonts w:hint="eastAsia"/>
                <w:sz w:val="16"/>
                <w:szCs w:val="16"/>
                <w:lang w:eastAsia="zh-CN"/>
              </w:rPr>
              <w:t>.</w:t>
            </w:r>
            <w:r w:rsidRPr="000A0A5F">
              <w:rPr>
                <w:sz w:val="16"/>
                <w:szCs w:val="16"/>
                <w:lang w:eastAsia="zh-CN"/>
              </w:rPr>
              <w:t>1</w:t>
            </w:r>
            <w:r w:rsidRPr="000A0A5F">
              <w:rPr>
                <w:rFonts w:hint="eastAsia"/>
                <w:sz w:val="16"/>
                <w:szCs w:val="16"/>
                <w:lang w:eastAsia="zh-CN"/>
              </w:rPr>
              <w:t>.0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hint="eastAsia"/>
                <w:sz w:val="16"/>
                <w:szCs w:val="16"/>
                <w:lang w:eastAsia="zh-CN"/>
              </w:rPr>
              <w:t>2018-0</w:t>
            </w:r>
            <w:r w:rsidRPr="000A0A5F">
              <w:rPr>
                <w:sz w:val="16"/>
                <w:szCs w:val="16"/>
                <w:lang w:eastAsia="zh-CN"/>
              </w:rPr>
              <w:t>5</w:t>
            </w:r>
          </w:p>
        </w:tc>
        <w:tc>
          <w:tcPr>
            <w:tcW w:w="797" w:type="dxa"/>
            <w:shd w:val="solid" w:color="FFFFFF" w:fill="auto"/>
          </w:tcPr>
          <w:p w:rsidR="00F82319" w:rsidRPr="000A0A5F" w:rsidRDefault="00F82319" w:rsidP="00F82319">
            <w:pPr>
              <w:pStyle w:val="TAC"/>
              <w:rPr>
                <w:sz w:val="16"/>
                <w:szCs w:val="16"/>
              </w:rPr>
            </w:pPr>
            <w:r w:rsidRPr="000A0A5F">
              <w:rPr>
                <w:rFonts w:hint="eastAsia"/>
                <w:sz w:val="16"/>
                <w:szCs w:val="16"/>
                <w:lang w:eastAsia="zh-CN"/>
              </w:rPr>
              <w:t>CT</w:t>
            </w:r>
            <w:r w:rsidRPr="000A0A5F">
              <w:rPr>
                <w:sz w:val="16"/>
                <w:szCs w:val="16"/>
                <w:lang w:eastAsia="zh-CN"/>
              </w:rPr>
              <w:t>3</w:t>
            </w:r>
            <w:r w:rsidRPr="000A0A5F">
              <w:rPr>
                <w:rFonts w:hint="eastAsia"/>
                <w:sz w:val="16"/>
                <w:szCs w:val="16"/>
                <w:lang w:eastAsia="zh-CN"/>
              </w:rPr>
              <w:t>#</w:t>
            </w:r>
            <w:r w:rsidRPr="000A0A5F">
              <w:rPr>
                <w:sz w:val="16"/>
                <w:szCs w:val="16"/>
                <w:lang w:eastAsia="zh-CN"/>
              </w:rPr>
              <w:t>97</w:t>
            </w:r>
          </w:p>
        </w:tc>
        <w:tc>
          <w:tcPr>
            <w:tcW w:w="1088" w:type="dxa"/>
            <w:shd w:val="solid" w:color="FFFFFF" w:fill="auto"/>
          </w:tcPr>
          <w:p w:rsidR="00F82319" w:rsidRPr="000A0A5F" w:rsidRDefault="00F82319" w:rsidP="00F82319">
            <w:pPr>
              <w:pStyle w:val="TAC"/>
              <w:rPr>
                <w:sz w:val="16"/>
                <w:szCs w:val="16"/>
              </w:rPr>
            </w:pPr>
          </w:p>
        </w:tc>
        <w:tc>
          <w:tcPr>
            <w:tcW w:w="524" w:type="dxa"/>
            <w:shd w:val="solid" w:color="FFFFFF" w:fill="auto"/>
          </w:tcPr>
          <w:p w:rsidR="00F82319" w:rsidRPr="000A0A5F" w:rsidRDefault="00F82319" w:rsidP="00F82319">
            <w:pPr>
              <w:pStyle w:val="TAL"/>
              <w:rPr>
                <w:sz w:val="16"/>
                <w:szCs w:val="16"/>
              </w:rPr>
            </w:pPr>
          </w:p>
        </w:tc>
        <w:tc>
          <w:tcPr>
            <w:tcW w:w="424" w:type="dxa"/>
            <w:shd w:val="solid" w:color="FFFFFF" w:fill="auto"/>
          </w:tcPr>
          <w:p w:rsidR="00F82319" w:rsidRPr="000A0A5F" w:rsidRDefault="00F82319" w:rsidP="00F82319">
            <w:pPr>
              <w:pStyle w:val="TAR"/>
              <w:rPr>
                <w:sz w:val="16"/>
                <w:szCs w:val="16"/>
              </w:rPr>
            </w:pPr>
          </w:p>
        </w:tc>
        <w:tc>
          <w:tcPr>
            <w:tcW w:w="424" w:type="dxa"/>
            <w:shd w:val="solid" w:color="FFFFFF" w:fill="auto"/>
          </w:tcPr>
          <w:p w:rsidR="00F82319" w:rsidRPr="000A0A5F" w:rsidRDefault="00F82319" w:rsidP="00F82319">
            <w:pPr>
              <w:pStyle w:val="TAC"/>
              <w:rPr>
                <w:sz w:val="16"/>
                <w:szCs w:val="16"/>
              </w:rPr>
            </w:pPr>
          </w:p>
        </w:tc>
        <w:tc>
          <w:tcPr>
            <w:tcW w:w="4919" w:type="dxa"/>
            <w:shd w:val="solid" w:color="FFFFFF" w:fill="auto"/>
          </w:tcPr>
          <w:p w:rsidR="00F82319" w:rsidRPr="000A0A5F" w:rsidRDefault="00F82319" w:rsidP="00F82319">
            <w:pPr>
              <w:pStyle w:val="TAL"/>
              <w:rPr>
                <w:sz w:val="16"/>
                <w:szCs w:val="16"/>
              </w:rPr>
            </w:pPr>
            <w:r w:rsidRPr="000A0A5F">
              <w:rPr>
                <w:rFonts w:hint="eastAsia"/>
                <w:sz w:val="16"/>
                <w:szCs w:val="16"/>
                <w:lang w:eastAsia="zh-CN"/>
              </w:rPr>
              <w:t>Inclusion of</w:t>
            </w:r>
            <w:r w:rsidRPr="000A0A5F">
              <w:rPr>
                <w:sz w:val="16"/>
                <w:szCs w:val="16"/>
                <w:lang w:eastAsia="zh-CN"/>
              </w:rPr>
              <w:t xml:space="preserve"> C3-183028, C3-183029, C3-183030, C3-183474, C3-183051, C3-183475, C3-183476, C3-183054, C3-183055, C3-183056, C3-183478, C3-183479, C3-183336, C3-183337, C3-183832, C3-183340, C3-183609, C3-183611, C3-183612, C3-183833, C3-183614, C3-183834, C3-183883, C3-183616, C3-183343, C3-183088, C3-183617, C3-183618, C3-183741, C3-183625, C3-183626, C3-183122, C3-183123, C3-183124, C3-183635, C3-183792, C3-183634, C3-183619, C3-183786, C3-183082, C3-183083, C3-183084, C3-183622, C3-183835, C3-183624, C3-183627, C3-183075, C3-183737, C3-183836, C3-183419, C3-183630, C3-183066, C3-183347, C3-183861, C3-183788, C3-183862, C3-183789, C3-183637, C3-183837, C3-183863, C3-183639, C3-183864, C3-183067, C3-183068, C3-183069, C3-183641, C3-183059, C3-183071, C3-183606, C3-183779 </w:t>
            </w:r>
            <w:r w:rsidRPr="000A0A5F">
              <w:rPr>
                <w:rFonts w:hint="eastAsia"/>
                <w:sz w:val="16"/>
                <w:szCs w:val="16"/>
                <w:lang w:eastAsia="zh-CN"/>
              </w:rPr>
              <w:t>and editorial change</w:t>
            </w:r>
            <w:r w:rsidRPr="000A0A5F">
              <w:rPr>
                <w:sz w:val="16"/>
                <w:szCs w:val="16"/>
                <w:lang w:eastAsia="zh-CN"/>
              </w:rPr>
              <w:t>s</w:t>
            </w:r>
            <w:r w:rsidRPr="000A0A5F">
              <w:rPr>
                <w:rFonts w:hint="eastAsia"/>
                <w:sz w:val="16"/>
                <w:szCs w:val="16"/>
                <w:lang w:eastAsia="zh-CN"/>
              </w:rPr>
              <w:t xml:space="preserve"> from Rapporteur.</w:t>
            </w:r>
          </w:p>
        </w:tc>
        <w:tc>
          <w:tcPr>
            <w:tcW w:w="707" w:type="dxa"/>
            <w:shd w:val="solid" w:color="FFFFFF" w:fill="auto"/>
          </w:tcPr>
          <w:p w:rsidR="00F82319" w:rsidRPr="000A0A5F" w:rsidRDefault="00F82319" w:rsidP="00F82319">
            <w:pPr>
              <w:pStyle w:val="TAC"/>
              <w:rPr>
                <w:sz w:val="16"/>
                <w:szCs w:val="16"/>
              </w:rPr>
            </w:pPr>
            <w:r w:rsidRPr="000A0A5F">
              <w:rPr>
                <w:sz w:val="16"/>
                <w:szCs w:val="16"/>
                <w:lang w:eastAsia="zh-CN"/>
              </w:rPr>
              <w:t>1</w:t>
            </w:r>
            <w:r w:rsidRPr="000A0A5F">
              <w:rPr>
                <w:rFonts w:hint="eastAsia"/>
                <w:sz w:val="16"/>
                <w:szCs w:val="16"/>
                <w:lang w:eastAsia="zh-CN"/>
              </w:rPr>
              <w:t>.</w:t>
            </w:r>
            <w:r w:rsidRPr="000A0A5F">
              <w:rPr>
                <w:sz w:val="16"/>
                <w:szCs w:val="16"/>
                <w:lang w:eastAsia="zh-CN"/>
              </w:rPr>
              <w:t>2</w:t>
            </w:r>
            <w:r w:rsidRPr="000A0A5F">
              <w:rPr>
                <w:rFonts w:hint="eastAsia"/>
                <w:sz w:val="16"/>
                <w:szCs w:val="16"/>
                <w:lang w:eastAsia="zh-CN"/>
              </w:rPr>
              <w:t>.0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hint="eastAsia"/>
                <w:sz w:val="16"/>
                <w:szCs w:val="16"/>
                <w:lang w:eastAsia="zh-CN"/>
              </w:rPr>
              <w:t>2018-0</w:t>
            </w:r>
            <w:r w:rsidRPr="000A0A5F">
              <w:rPr>
                <w:sz w:val="16"/>
                <w:szCs w:val="16"/>
                <w:lang w:eastAsia="zh-CN"/>
              </w:rPr>
              <w:t>6</w:t>
            </w:r>
          </w:p>
        </w:tc>
        <w:tc>
          <w:tcPr>
            <w:tcW w:w="797" w:type="dxa"/>
            <w:shd w:val="solid" w:color="FFFFFF" w:fill="auto"/>
          </w:tcPr>
          <w:p w:rsidR="00F82319" w:rsidRPr="000A0A5F" w:rsidRDefault="00F82319" w:rsidP="00F82319">
            <w:pPr>
              <w:pStyle w:val="TAC"/>
              <w:rPr>
                <w:sz w:val="16"/>
                <w:szCs w:val="16"/>
              </w:rPr>
            </w:pPr>
            <w:r w:rsidRPr="000A0A5F">
              <w:rPr>
                <w:rFonts w:hint="eastAsia"/>
                <w:sz w:val="16"/>
                <w:szCs w:val="16"/>
                <w:lang w:eastAsia="zh-CN"/>
              </w:rPr>
              <w:t>CT#</w:t>
            </w:r>
            <w:r w:rsidRPr="000A0A5F">
              <w:rPr>
                <w:sz w:val="16"/>
                <w:szCs w:val="16"/>
                <w:lang w:eastAsia="zh-CN"/>
              </w:rPr>
              <w:t>80</w:t>
            </w:r>
          </w:p>
        </w:tc>
        <w:tc>
          <w:tcPr>
            <w:tcW w:w="1088" w:type="dxa"/>
            <w:shd w:val="solid" w:color="FFFFFF" w:fill="auto"/>
          </w:tcPr>
          <w:p w:rsidR="00F82319" w:rsidRPr="000A0A5F" w:rsidRDefault="00F82319" w:rsidP="00F82319">
            <w:pPr>
              <w:pStyle w:val="TAC"/>
              <w:rPr>
                <w:sz w:val="16"/>
                <w:szCs w:val="16"/>
              </w:rPr>
            </w:pPr>
            <w:r w:rsidRPr="000A0A5F">
              <w:rPr>
                <w:sz w:val="16"/>
                <w:szCs w:val="16"/>
              </w:rPr>
              <w:t>CP-181038</w:t>
            </w:r>
          </w:p>
        </w:tc>
        <w:tc>
          <w:tcPr>
            <w:tcW w:w="524" w:type="dxa"/>
            <w:shd w:val="solid" w:color="FFFFFF" w:fill="auto"/>
          </w:tcPr>
          <w:p w:rsidR="00F82319" w:rsidRPr="000A0A5F" w:rsidRDefault="00F82319" w:rsidP="00F82319">
            <w:pPr>
              <w:pStyle w:val="TAL"/>
              <w:rPr>
                <w:sz w:val="16"/>
                <w:szCs w:val="16"/>
              </w:rPr>
            </w:pPr>
          </w:p>
        </w:tc>
        <w:tc>
          <w:tcPr>
            <w:tcW w:w="424" w:type="dxa"/>
            <w:shd w:val="solid" w:color="FFFFFF" w:fill="auto"/>
          </w:tcPr>
          <w:p w:rsidR="00F82319" w:rsidRPr="000A0A5F" w:rsidRDefault="00F82319" w:rsidP="00F82319">
            <w:pPr>
              <w:pStyle w:val="TAR"/>
              <w:rPr>
                <w:sz w:val="16"/>
                <w:szCs w:val="16"/>
              </w:rPr>
            </w:pPr>
          </w:p>
        </w:tc>
        <w:tc>
          <w:tcPr>
            <w:tcW w:w="424" w:type="dxa"/>
            <w:shd w:val="solid" w:color="FFFFFF" w:fill="auto"/>
          </w:tcPr>
          <w:p w:rsidR="00F82319" w:rsidRPr="000A0A5F" w:rsidRDefault="00F82319" w:rsidP="00F82319">
            <w:pPr>
              <w:pStyle w:val="TAC"/>
              <w:rPr>
                <w:sz w:val="16"/>
                <w:szCs w:val="16"/>
              </w:rPr>
            </w:pPr>
          </w:p>
        </w:tc>
        <w:tc>
          <w:tcPr>
            <w:tcW w:w="4919" w:type="dxa"/>
            <w:shd w:val="solid" w:color="FFFFFF" w:fill="auto"/>
          </w:tcPr>
          <w:p w:rsidR="00F82319" w:rsidRPr="000A0A5F" w:rsidRDefault="00F82319" w:rsidP="00F82319">
            <w:pPr>
              <w:pStyle w:val="TAL"/>
              <w:rPr>
                <w:sz w:val="16"/>
                <w:szCs w:val="16"/>
              </w:rPr>
            </w:pPr>
            <w:r w:rsidRPr="000A0A5F">
              <w:rPr>
                <w:sz w:val="16"/>
                <w:szCs w:val="16"/>
                <w:lang w:eastAsia="zh-CN"/>
              </w:rPr>
              <w:t>TS sent to plenary for approval</w:t>
            </w:r>
          </w:p>
        </w:tc>
        <w:tc>
          <w:tcPr>
            <w:tcW w:w="707" w:type="dxa"/>
            <w:shd w:val="solid" w:color="FFFFFF" w:fill="auto"/>
          </w:tcPr>
          <w:p w:rsidR="00F82319" w:rsidRPr="000A0A5F" w:rsidRDefault="00F82319" w:rsidP="00F82319">
            <w:pPr>
              <w:pStyle w:val="TAC"/>
              <w:rPr>
                <w:sz w:val="16"/>
                <w:szCs w:val="16"/>
              </w:rPr>
            </w:pPr>
            <w:r w:rsidRPr="000A0A5F">
              <w:rPr>
                <w:sz w:val="16"/>
                <w:szCs w:val="16"/>
                <w:lang w:eastAsia="zh-CN"/>
              </w:rPr>
              <w:t>2.0.</w:t>
            </w:r>
            <w:r w:rsidRPr="000A0A5F">
              <w:rPr>
                <w:rFonts w:hint="eastAsia"/>
                <w:sz w:val="16"/>
                <w:szCs w:val="16"/>
                <w:lang w:eastAsia="zh-CN"/>
              </w:rPr>
              <w:t>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hint="eastAsia"/>
                <w:sz w:val="16"/>
                <w:szCs w:val="16"/>
                <w:lang w:eastAsia="zh-CN"/>
              </w:rPr>
              <w:t>2018-0</w:t>
            </w:r>
            <w:r w:rsidRPr="000A0A5F">
              <w:rPr>
                <w:sz w:val="16"/>
                <w:szCs w:val="16"/>
                <w:lang w:eastAsia="zh-CN"/>
              </w:rPr>
              <w:t>6</w:t>
            </w:r>
          </w:p>
        </w:tc>
        <w:tc>
          <w:tcPr>
            <w:tcW w:w="797" w:type="dxa"/>
            <w:shd w:val="solid" w:color="FFFFFF" w:fill="auto"/>
          </w:tcPr>
          <w:p w:rsidR="00F82319" w:rsidRPr="000A0A5F" w:rsidRDefault="00F82319" w:rsidP="00F82319">
            <w:pPr>
              <w:pStyle w:val="TAC"/>
              <w:rPr>
                <w:sz w:val="16"/>
                <w:szCs w:val="16"/>
              </w:rPr>
            </w:pPr>
            <w:r w:rsidRPr="000A0A5F">
              <w:rPr>
                <w:rFonts w:hint="eastAsia"/>
                <w:sz w:val="16"/>
                <w:szCs w:val="16"/>
                <w:lang w:eastAsia="zh-CN"/>
              </w:rPr>
              <w:t>CT#</w:t>
            </w:r>
            <w:r w:rsidRPr="000A0A5F">
              <w:rPr>
                <w:sz w:val="16"/>
                <w:szCs w:val="16"/>
                <w:lang w:eastAsia="zh-CN"/>
              </w:rPr>
              <w:t>80</w:t>
            </w:r>
          </w:p>
        </w:tc>
        <w:tc>
          <w:tcPr>
            <w:tcW w:w="1088" w:type="dxa"/>
            <w:shd w:val="solid" w:color="FFFFFF" w:fill="auto"/>
          </w:tcPr>
          <w:p w:rsidR="00F82319" w:rsidRPr="000A0A5F" w:rsidRDefault="00F82319" w:rsidP="00F82319">
            <w:pPr>
              <w:pStyle w:val="TAC"/>
              <w:rPr>
                <w:sz w:val="16"/>
                <w:szCs w:val="16"/>
              </w:rPr>
            </w:pPr>
            <w:r w:rsidRPr="000A0A5F">
              <w:rPr>
                <w:sz w:val="16"/>
                <w:szCs w:val="16"/>
              </w:rPr>
              <w:t>CP-181038</w:t>
            </w:r>
          </w:p>
        </w:tc>
        <w:tc>
          <w:tcPr>
            <w:tcW w:w="524" w:type="dxa"/>
            <w:shd w:val="solid" w:color="FFFFFF" w:fill="auto"/>
          </w:tcPr>
          <w:p w:rsidR="00F82319" w:rsidRPr="000A0A5F" w:rsidRDefault="00F82319" w:rsidP="00F82319">
            <w:pPr>
              <w:pStyle w:val="TAL"/>
              <w:rPr>
                <w:sz w:val="16"/>
                <w:szCs w:val="16"/>
              </w:rPr>
            </w:pPr>
          </w:p>
        </w:tc>
        <w:tc>
          <w:tcPr>
            <w:tcW w:w="424" w:type="dxa"/>
            <w:shd w:val="solid" w:color="FFFFFF" w:fill="auto"/>
          </w:tcPr>
          <w:p w:rsidR="00F82319" w:rsidRPr="000A0A5F" w:rsidRDefault="00F82319" w:rsidP="00F82319">
            <w:pPr>
              <w:pStyle w:val="TAR"/>
              <w:rPr>
                <w:sz w:val="16"/>
                <w:szCs w:val="16"/>
              </w:rPr>
            </w:pPr>
          </w:p>
        </w:tc>
        <w:tc>
          <w:tcPr>
            <w:tcW w:w="424" w:type="dxa"/>
            <w:shd w:val="solid" w:color="FFFFFF" w:fill="auto"/>
          </w:tcPr>
          <w:p w:rsidR="00F82319" w:rsidRPr="000A0A5F" w:rsidRDefault="00F82319" w:rsidP="00F82319">
            <w:pPr>
              <w:pStyle w:val="TAC"/>
              <w:rPr>
                <w:sz w:val="16"/>
                <w:szCs w:val="16"/>
              </w:rPr>
            </w:pPr>
          </w:p>
        </w:tc>
        <w:tc>
          <w:tcPr>
            <w:tcW w:w="4919" w:type="dxa"/>
            <w:shd w:val="solid" w:color="FFFFFF" w:fill="auto"/>
          </w:tcPr>
          <w:p w:rsidR="00F82319" w:rsidRPr="000A0A5F" w:rsidRDefault="00F82319" w:rsidP="00F82319">
            <w:pPr>
              <w:pStyle w:val="TAL"/>
              <w:rPr>
                <w:sz w:val="16"/>
                <w:szCs w:val="16"/>
              </w:rPr>
            </w:pPr>
            <w:r w:rsidRPr="000A0A5F">
              <w:rPr>
                <w:sz w:val="16"/>
                <w:szCs w:val="16"/>
                <w:lang w:eastAsia="zh-CN"/>
              </w:rPr>
              <w:t>TS approved by plenary</w:t>
            </w:r>
          </w:p>
        </w:tc>
        <w:tc>
          <w:tcPr>
            <w:tcW w:w="707" w:type="dxa"/>
            <w:shd w:val="solid" w:color="FFFFFF" w:fill="auto"/>
          </w:tcPr>
          <w:p w:rsidR="00F82319" w:rsidRPr="000A0A5F" w:rsidRDefault="00F82319" w:rsidP="00F82319">
            <w:pPr>
              <w:pStyle w:val="TAC"/>
              <w:rPr>
                <w:sz w:val="16"/>
                <w:szCs w:val="16"/>
              </w:rPr>
            </w:pPr>
            <w:r w:rsidRPr="000A0A5F">
              <w:rPr>
                <w:sz w:val="16"/>
                <w:szCs w:val="16"/>
                <w:lang w:eastAsia="zh-CN"/>
              </w:rPr>
              <w:t>15.0.</w:t>
            </w:r>
            <w:r w:rsidRPr="000A0A5F">
              <w:rPr>
                <w:rFonts w:hint="eastAsia"/>
                <w:sz w:val="16"/>
                <w:szCs w:val="16"/>
                <w:lang w:eastAsia="zh-CN"/>
              </w:rPr>
              <w:t>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2018-09</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CT#81</w:t>
            </w:r>
          </w:p>
        </w:tc>
        <w:tc>
          <w:tcPr>
            <w:tcW w:w="108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CP-182022</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0001</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2</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MonitoringEvent API OpenAPI schema</w:t>
            </w:r>
          </w:p>
        </w:tc>
        <w:tc>
          <w:tcPr>
            <w:tcW w:w="707" w:type="dxa"/>
            <w:shd w:val="solid" w:color="FFFFFF" w:fill="auto"/>
          </w:tcPr>
          <w:p w:rsidR="00F82319" w:rsidRPr="000A0A5F" w:rsidRDefault="00F82319" w:rsidP="00F82319">
            <w:pPr>
              <w:pStyle w:val="TAC"/>
              <w:rPr>
                <w:sz w:val="16"/>
                <w:szCs w:val="16"/>
              </w:rPr>
            </w:pPr>
            <w:r w:rsidRPr="000A0A5F">
              <w:rPr>
                <w:sz w:val="16"/>
                <w:szCs w:val="16"/>
                <w:lang w:eastAsia="zh-CN"/>
              </w:rPr>
              <w:t>15.1.0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2018-09</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CT#81</w:t>
            </w:r>
          </w:p>
        </w:tc>
        <w:tc>
          <w:tcPr>
            <w:tcW w:w="108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CP-182022</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0002</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2</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ChargeableParty API OpenAPI schema</w:t>
            </w:r>
          </w:p>
        </w:tc>
        <w:tc>
          <w:tcPr>
            <w:tcW w:w="707" w:type="dxa"/>
            <w:shd w:val="solid" w:color="FFFFFF" w:fill="auto"/>
          </w:tcPr>
          <w:p w:rsidR="00F82319" w:rsidRPr="000A0A5F" w:rsidRDefault="00F82319" w:rsidP="00F82319">
            <w:pPr>
              <w:pStyle w:val="TAC"/>
              <w:rPr>
                <w:sz w:val="16"/>
                <w:szCs w:val="16"/>
              </w:rPr>
            </w:pPr>
            <w:r w:rsidRPr="000A0A5F">
              <w:rPr>
                <w:sz w:val="16"/>
                <w:szCs w:val="16"/>
                <w:lang w:eastAsia="zh-CN"/>
              </w:rPr>
              <w:t>15.1.0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2018-09</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CT#81</w:t>
            </w:r>
          </w:p>
        </w:tc>
        <w:tc>
          <w:tcPr>
            <w:tcW w:w="108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CP-182022</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0003</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2</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GMDviaMBMSbyMB2 API OpenAPI schema</w:t>
            </w:r>
          </w:p>
        </w:tc>
        <w:tc>
          <w:tcPr>
            <w:tcW w:w="707" w:type="dxa"/>
            <w:shd w:val="solid" w:color="FFFFFF" w:fill="auto"/>
          </w:tcPr>
          <w:p w:rsidR="00F82319" w:rsidRPr="000A0A5F" w:rsidRDefault="00F82319" w:rsidP="00F82319">
            <w:pPr>
              <w:pStyle w:val="TAC"/>
              <w:rPr>
                <w:sz w:val="16"/>
                <w:szCs w:val="16"/>
              </w:rPr>
            </w:pPr>
            <w:r w:rsidRPr="000A0A5F">
              <w:rPr>
                <w:sz w:val="16"/>
                <w:szCs w:val="16"/>
                <w:lang w:eastAsia="zh-CN"/>
              </w:rPr>
              <w:t>15.1.0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2018-09</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CT#81</w:t>
            </w:r>
          </w:p>
        </w:tc>
        <w:tc>
          <w:tcPr>
            <w:tcW w:w="108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CP-182022</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0004</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2</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GMDviaMBMSbyxMB API OpenAPI schema</w:t>
            </w:r>
          </w:p>
        </w:tc>
        <w:tc>
          <w:tcPr>
            <w:tcW w:w="707" w:type="dxa"/>
            <w:shd w:val="solid" w:color="FFFFFF" w:fill="auto"/>
          </w:tcPr>
          <w:p w:rsidR="00F82319" w:rsidRPr="000A0A5F" w:rsidRDefault="00F82319" w:rsidP="00F82319">
            <w:pPr>
              <w:pStyle w:val="TAC"/>
              <w:rPr>
                <w:sz w:val="16"/>
                <w:szCs w:val="16"/>
              </w:rPr>
            </w:pPr>
            <w:r w:rsidRPr="000A0A5F">
              <w:rPr>
                <w:sz w:val="16"/>
                <w:szCs w:val="16"/>
                <w:lang w:eastAsia="zh-CN"/>
              </w:rPr>
              <w:t>15.1.0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2018-09</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CT#81</w:t>
            </w:r>
          </w:p>
        </w:tc>
        <w:tc>
          <w:tcPr>
            <w:tcW w:w="108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CP-182022</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0005</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2</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ReportingNetworkStatus API OpenAPI schema</w:t>
            </w:r>
          </w:p>
        </w:tc>
        <w:tc>
          <w:tcPr>
            <w:tcW w:w="707" w:type="dxa"/>
            <w:shd w:val="solid" w:color="FFFFFF" w:fill="auto"/>
          </w:tcPr>
          <w:p w:rsidR="00F82319" w:rsidRPr="000A0A5F" w:rsidRDefault="00F82319" w:rsidP="00F82319">
            <w:pPr>
              <w:pStyle w:val="TAC"/>
              <w:rPr>
                <w:sz w:val="16"/>
                <w:szCs w:val="16"/>
              </w:rPr>
            </w:pPr>
            <w:r w:rsidRPr="000A0A5F">
              <w:rPr>
                <w:sz w:val="16"/>
                <w:szCs w:val="16"/>
                <w:lang w:eastAsia="zh-CN"/>
              </w:rPr>
              <w:t>15.1.0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2018-09</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CT#81</w:t>
            </w:r>
          </w:p>
        </w:tc>
        <w:tc>
          <w:tcPr>
            <w:tcW w:w="108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CP-182022</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0006</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2</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ECRControl API OpenAPI schema</w:t>
            </w:r>
          </w:p>
        </w:tc>
        <w:tc>
          <w:tcPr>
            <w:tcW w:w="707" w:type="dxa"/>
            <w:shd w:val="solid" w:color="FFFFFF" w:fill="auto"/>
          </w:tcPr>
          <w:p w:rsidR="00F82319" w:rsidRPr="000A0A5F" w:rsidRDefault="00F82319" w:rsidP="00F82319">
            <w:pPr>
              <w:pStyle w:val="TAC"/>
              <w:rPr>
                <w:sz w:val="16"/>
                <w:szCs w:val="16"/>
              </w:rPr>
            </w:pPr>
            <w:r w:rsidRPr="000A0A5F">
              <w:rPr>
                <w:sz w:val="16"/>
                <w:szCs w:val="16"/>
                <w:lang w:eastAsia="zh-CN"/>
              </w:rPr>
              <w:t>15.1.0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2018-09</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CT#81</w:t>
            </w:r>
          </w:p>
        </w:tc>
        <w:tc>
          <w:tcPr>
            <w:tcW w:w="108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CP-182022</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0007</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2</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NpConfiguration API OpenAPI schema</w:t>
            </w:r>
          </w:p>
        </w:tc>
        <w:tc>
          <w:tcPr>
            <w:tcW w:w="707" w:type="dxa"/>
            <w:shd w:val="solid" w:color="FFFFFF" w:fill="auto"/>
          </w:tcPr>
          <w:p w:rsidR="00F82319" w:rsidRPr="000A0A5F" w:rsidRDefault="00F82319" w:rsidP="00F82319">
            <w:pPr>
              <w:pStyle w:val="TAC"/>
              <w:rPr>
                <w:sz w:val="16"/>
                <w:szCs w:val="16"/>
              </w:rPr>
            </w:pPr>
            <w:r w:rsidRPr="000A0A5F">
              <w:rPr>
                <w:sz w:val="16"/>
                <w:szCs w:val="16"/>
                <w:lang w:eastAsia="zh-CN"/>
              </w:rPr>
              <w:t>15.1.0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2018-09</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CT#81</w:t>
            </w:r>
          </w:p>
        </w:tc>
        <w:tc>
          <w:tcPr>
            <w:tcW w:w="108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CP-182022</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0008</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2</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AsSessionWithQoS API OpenAPI schema</w:t>
            </w:r>
          </w:p>
        </w:tc>
        <w:tc>
          <w:tcPr>
            <w:tcW w:w="707" w:type="dxa"/>
            <w:shd w:val="solid" w:color="FFFFFF" w:fill="auto"/>
          </w:tcPr>
          <w:p w:rsidR="00F82319" w:rsidRPr="000A0A5F" w:rsidRDefault="00F82319" w:rsidP="00F82319">
            <w:pPr>
              <w:pStyle w:val="TAC"/>
              <w:rPr>
                <w:sz w:val="16"/>
                <w:szCs w:val="16"/>
              </w:rPr>
            </w:pPr>
            <w:r w:rsidRPr="000A0A5F">
              <w:rPr>
                <w:sz w:val="16"/>
                <w:szCs w:val="16"/>
                <w:lang w:eastAsia="zh-CN"/>
              </w:rPr>
              <w:t>15.1.0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2018-09</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CT#81</w:t>
            </w:r>
          </w:p>
        </w:tc>
        <w:tc>
          <w:tcPr>
            <w:tcW w:w="108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CP-182022</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0009</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 </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Update the Error Handling</w:t>
            </w:r>
          </w:p>
        </w:tc>
        <w:tc>
          <w:tcPr>
            <w:tcW w:w="707" w:type="dxa"/>
            <w:shd w:val="solid" w:color="FFFFFF" w:fill="auto"/>
          </w:tcPr>
          <w:p w:rsidR="00F82319" w:rsidRPr="000A0A5F" w:rsidRDefault="00F82319" w:rsidP="00F82319">
            <w:pPr>
              <w:pStyle w:val="TAC"/>
              <w:rPr>
                <w:sz w:val="16"/>
                <w:szCs w:val="16"/>
              </w:rPr>
            </w:pPr>
            <w:r w:rsidRPr="000A0A5F">
              <w:rPr>
                <w:sz w:val="16"/>
                <w:szCs w:val="16"/>
                <w:lang w:eastAsia="zh-CN"/>
              </w:rPr>
              <w:t>15.1.0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2018-09</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CT#81</w:t>
            </w:r>
          </w:p>
        </w:tc>
        <w:tc>
          <w:tcPr>
            <w:tcW w:w="108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CP-182022</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0010</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2</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CpProvisioning OpenAPI schema</w:t>
            </w:r>
          </w:p>
        </w:tc>
        <w:tc>
          <w:tcPr>
            <w:tcW w:w="707" w:type="dxa"/>
            <w:shd w:val="solid" w:color="FFFFFF" w:fill="auto"/>
          </w:tcPr>
          <w:p w:rsidR="00F82319" w:rsidRPr="000A0A5F" w:rsidRDefault="00F82319" w:rsidP="00F82319">
            <w:pPr>
              <w:pStyle w:val="TAC"/>
              <w:rPr>
                <w:sz w:val="16"/>
                <w:szCs w:val="16"/>
              </w:rPr>
            </w:pPr>
            <w:r w:rsidRPr="000A0A5F">
              <w:rPr>
                <w:sz w:val="16"/>
                <w:szCs w:val="16"/>
                <w:lang w:eastAsia="zh-CN"/>
              </w:rPr>
              <w:t>15.1.0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2018-09</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CT#81</w:t>
            </w:r>
          </w:p>
        </w:tc>
        <w:tc>
          <w:tcPr>
            <w:tcW w:w="108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CP-182022</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0011</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2</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Remove the monitoring configuration for a group</w:t>
            </w:r>
          </w:p>
        </w:tc>
        <w:tc>
          <w:tcPr>
            <w:tcW w:w="707" w:type="dxa"/>
            <w:shd w:val="solid" w:color="FFFFFF" w:fill="auto"/>
          </w:tcPr>
          <w:p w:rsidR="00F82319" w:rsidRPr="000A0A5F" w:rsidRDefault="00F82319" w:rsidP="00F82319">
            <w:pPr>
              <w:pStyle w:val="TAC"/>
              <w:rPr>
                <w:sz w:val="16"/>
                <w:szCs w:val="16"/>
              </w:rPr>
            </w:pPr>
            <w:r w:rsidRPr="000A0A5F">
              <w:rPr>
                <w:sz w:val="16"/>
                <w:szCs w:val="16"/>
                <w:lang w:eastAsia="zh-CN"/>
              </w:rPr>
              <w:t>15.1.0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2018-09</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CT#81</w:t>
            </w:r>
          </w:p>
        </w:tc>
        <w:tc>
          <w:tcPr>
            <w:tcW w:w="108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CP-182022</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0012</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Resource description in Procedure subclauses</w:t>
            </w:r>
          </w:p>
        </w:tc>
        <w:tc>
          <w:tcPr>
            <w:tcW w:w="707" w:type="dxa"/>
            <w:shd w:val="solid" w:color="FFFFFF" w:fill="auto"/>
          </w:tcPr>
          <w:p w:rsidR="00F82319" w:rsidRPr="000A0A5F" w:rsidRDefault="00F82319" w:rsidP="00F82319">
            <w:pPr>
              <w:pStyle w:val="TAC"/>
              <w:rPr>
                <w:sz w:val="16"/>
                <w:szCs w:val="16"/>
              </w:rPr>
            </w:pPr>
            <w:r w:rsidRPr="000A0A5F">
              <w:rPr>
                <w:sz w:val="16"/>
                <w:szCs w:val="16"/>
                <w:lang w:eastAsia="zh-CN"/>
              </w:rPr>
              <w:t>15.1.0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2018-09</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CT#81</w:t>
            </w:r>
          </w:p>
        </w:tc>
        <w:tc>
          <w:tcPr>
            <w:tcW w:w="108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CP-182022</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0013</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Monitoring event API Update</w:t>
            </w:r>
          </w:p>
        </w:tc>
        <w:tc>
          <w:tcPr>
            <w:tcW w:w="707" w:type="dxa"/>
            <w:shd w:val="solid" w:color="FFFFFF" w:fill="auto"/>
          </w:tcPr>
          <w:p w:rsidR="00F82319" w:rsidRPr="000A0A5F" w:rsidRDefault="00F82319" w:rsidP="00F82319">
            <w:pPr>
              <w:pStyle w:val="TAC"/>
              <w:rPr>
                <w:sz w:val="16"/>
                <w:szCs w:val="16"/>
              </w:rPr>
            </w:pPr>
            <w:r w:rsidRPr="000A0A5F">
              <w:rPr>
                <w:sz w:val="16"/>
                <w:szCs w:val="16"/>
                <w:lang w:eastAsia="zh-CN"/>
              </w:rPr>
              <w:t>15.1.0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2018-09</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CT#81</w:t>
            </w:r>
          </w:p>
        </w:tc>
        <w:tc>
          <w:tcPr>
            <w:tcW w:w="108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CP-182022</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0014</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2</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BDT API Update</w:t>
            </w:r>
          </w:p>
        </w:tc>
        <w:tc>
          <w:tcPr>
            <w:tcW w:w="707" w:type="dxa"/>
            <w:shd w:val="solid" w:color="FFFFFF" w:fill="auto"/>
          </w:tcPr>
          <w:p w:rsidR="00F82319" w:rsidRPr="000A0A5F" w:rsidRDefault="00F82319" w:rsidP="00F82319">
            <w:pPr>
              <w:pStyle w:val="TAC"/>
              <w:rPr>
                <w:sz w:val="16"/>
                <w:szCs w:val="16"/>
              </w:rPr>
            </w:pPr>
            <w:r w:rsidRPr="000A0A5F">
              <w:rPr>
                <w:sz w:val="16"/>
                <w:szCs w:val="16"/>
                <w:lang w:eastAsia="zh-CN"/>
              </w:rPr>
              <w:t>15.1.0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2018-09</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CT#81</w:t>
            </w:r>
          </w:p>
        </w:tc>
        <w:tc>
          <w:tcPr>
            <w:tcW w:w="108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CP-182022</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0015</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 </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Network Parameter Configuration API Update</w:t>
            </w:r>
          </w:p>
        </w:tc>
        <w:tc>
          <w:tcPr>
            <w:tcW w:w="707" w:type="dxa"/>
            <w:shd w:val="solid" w:color="FFFFFF" w:fill="auto"/>
          </w:tcPr>
          <w:p w:rsidR="00F82319" w:rsidRPr="000A0A5F" w:rsidRDefault="00F82319" w:rsidP="00F82319">
            <w:pPr>
              <w:pStyle w:val="TAC"/>
              <w:rPr>
                <w:sz w:val="16"/>
                <w:szCs w:val="16"/>
              </w:rPr>
            </w:pPr>
            <w:r w:rsidRPr="000A0A5F">
              <w:rPr>
                <w:sz w:val="16"/>
                <w:szCs w:val="16"/>
                <w:lang w:eastAsia="zh-CN"/>
              </w:rPr>
              <w:t>15.1.0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2018-09</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CT#81</w:t>
            </w:r>
          </w:p>
        </w:tc>
        <w:tc>
          <w:tcPr>
            <w:tcW w:w="108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CP-182022</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0016</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Complete the common openAPI definition</w:t>
            </w:r>
          </w:p>
        </w:tc>
        <w:tc>
          <w:tcPr>
            <w:tcW w:w="707" w:type="dxa"/>
            <w:shd w:val="solid" w:color="FFFFFF" w:fill="auto"/>
          </w:tcPr>
          <w:p w:rsidR="00F82319" w:rsidRPr="000A0A5F" w:rsidRDefault="00F82319" w:rsidP="00F82319">
            <w:pPr>
              <w:pStyle w:val="TAC"/>
              <w:rPr>
                <w:sz w:val="16"/>
                <w:szCs w:val="16"/>
              </w:rPr>
            </w:pPr>
            <w:r w:rsidRPr="000A0A5F">
              <w:rPr>
                <w:sz w:val="16"/>
                <w:szCs w:val="16"/>
                <w:lang w:eastAsia="zh-CN"/>
              </w:rPr>
              <w:t>15.1.0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2018-09</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CT#81</w:t>
            </w:r>
          </w:p>
        </w:tc>
        <w:tc>
          <w:tcPr>
            <w:tcW w:w="108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CP-182022</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0017</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2</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Complete the openAPI definition for BDT API</w:t>
            </w:r>
          </w:p>
        </w:tc>
        <w:tc>
          <w:tcPr>
            <w:tcW w:w="707" w:type="dxa"/>
            <w:shd w:val="solid" w:color="FFFFFF" w:fill="auto"/>
          </w:tcPr>
          <w:p w:rsidR="00F82319" w:rsidRPr="000A0A5F" w:rsidRDefault="00F82319" w:rsidP="00F82319">
            <w:pPr>
              <w:pStyle w:val="TAC"/>
              <w:rPr>
                <w:sz w:val="16"/>
                <w:szCs w:val="16"/>
              </w:rPr>
            </w:pPr>
            <w:r w:rsidRPr="000A0A5F">
              <w:rPr>
                <w:sz w:val="16"/>
                <w:szCs w:val="16"/>
                <w:lang w:eastAsia="zh-CN"/>
              </w:rPr>
              <w:t>15.1.0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2018-09</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CT#81</w:t>
            </w:r>
          </w:p>
        </w:tc>
        <w:tc>
          <w:tcPr>
            <w:tcW w:w="108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CP-182022</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0018</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 </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NIDD API cleanup</w:t>
            </w:r>
          </w:p>
        </w:tc>
        <w:tc>
          <w:tcPr>
            <w:tcW w:w="707" w:type="dxa"/>
            <w:shd w:val="solid" w:color="FFFFFF" w:fill="auto"/>
          </w:tcPr>
          <w:p w:rsidR="00F82319" w:rsidRPr="000A0A5F" w:rsidRDefault="00F82319" w:rsidP="00F82319">
            <w:pPr>
              <w:pStyle w:val="TAC"/>
              <w:rPr>
                <w:sz w:val="16"/>
                <w:szCs w:val="16"/>
              </w:rPr>
            </w:pPr>
            <w:r w:rsidRPr="000A0A5F">
              <w:rPr>
                <w:sz w:val="16"/>
                <w:szCs w:val="16"/>
                <w:lang w:eastAsia="zh-CN"/>
              </w:rPr>
              <w:t>15.1.0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2018-09</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CT#81</w:t>
            </w:r>
          </w:p>
        </w:tc>
        <w:tc>
          <w:tcPr>
            <w:tcW w:w="108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CP-182022</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0019</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2</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Complete the openAPI definition for NIDD API</w:t>
            </w:r>
          </w:p>
        </w:tc>
        <w:tc>
          <w:tcPr>
            <w:tcW w:w="707" w:type="dxa"/>
            <w:shd w:val="solid" w:color="FFFFFF" w:fill="auto"/>
          </w:tcPr>
          <w:p w:rsidR="00F82319" w:rsidRPr="000A0A5F" w:rsidRDefault="00F82319" w:rsidP="00F82319">
            <w:pPr>
              <w:pStyle w:val="TAC"/>
              <w:rPr>
                <w:sz w:val="16"/>
                <w:szCs w:val="16"/>
              </w:rPr>
            </w:pPr>
            <w:r w:rsidRPr="000A0A5F">
              <w:rPr>
                <w:sz w:val="16"/>
                <w:szCs w:val="16"/>
                <w:lang w:eastAsia="zh-CN"/>
              </w:rPr>
              <w:t>15.1.0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2018-09</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CT#81</w:t>
            </w:r>
          </w:p>
        </w:tc>
        <w:tc>
          <w:tcPr>
            <w:tcW w:w="108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CP-182022</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0020</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One-time monitoring</w:t>
            </w:r>
          </w:p>
        </w:tc>
        <w:tc>
          <w:tcPr>
            <w:tcW w:w="707" w:type="dxa"/>
            <w:shd w:val="solid" w:color="FFFFFF" w:fill="auto"/>
          </w:tcPr>
          <w:p w:rsidR="00F82319" w:rsidRPr="000A0A5F" w:rsidRDefault="00F82319" w:rsidP="00F82319">
            <w:pPr>
              <w:pStyle w:val="TAC"/>
              <w:rPr>
                <w:sz w:val="16"/>
                <w:szCs w:val="16"/>
              </w:rPr>
            </w:pPr>
            <w:r w:rsidRPr="000A0A5F">
              <w:rPr>
                <w:sz w:val="16"/>
                <w:szCs w:val="16"/>
                <w:lang w:eastAsia="zh-CN"/>
              </w:rPr>
              <w:t>15.1.0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2018-09</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CT#81</w:t>
            </w:r>
          </w:p>
        </w:tc>
        <w:tc>
          <w:tcPr>
            <w:tcW w:w="108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CP-182178</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0021</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3</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PATCH data type in ChargeableParty API</w:t>
            </w:r>
          </w:p>
        </w:tc>
        <w:tc>
          <w:tcPr>
            <w:tcW w:w="707" w:type="dxa"/>
            <w:shd w:val="solid" w:color="FFFFFF" w:fill="auto"/>
          </w:tcPr>
          <w:p w:rsidR="00F82319" w:rsidRPr="000A0A5F" w:rsidRDefault="00F82319" w:rsidP="00F82319">
            <w:pPr>
              <w:pStyle w:val="TAC"/>
              <w:rPr>
                <w:sz w:val="16"/>
                <w:szCs w:val="16"/>
              </w:rPr>
            </w:pPr>
            <w:r w:rsidRPr="000A0A5F">
              <w:rPr>
                <w:sz w:val="16"/>
                <w:szCs w:val="16"/>
                <w:lang w:eastAsia="zh-CN"/>
              </w:rPr>
              <w:t>15.1.0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2018-09</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CT#81</w:t>
            </w:r>
          </w:p>
        </w:tc>
        <w:tc>
          <w:tcPr>
            <w:tcW w:w="108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CP-182022</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0022</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Procedure correction of PFD management error handling</w:t>
            </w:r>
          </w:p>
        </w:tc>
        <w:tc>
          <w:tcPr>
            <w:tcW w:w="707" w:type="dxa"/>
            <w:shd w:val="solid" w:color="FFFFFF" w:fill="auto"/>
          </w:tcPr>
          <w:p w:rsidR="00F82319" w:rsidRPr="000A0A5F" w:rsidRDefault="00F82319" w:rsidP="00F82319">
            <w:pPr>
              <w:pStyle w:val="TAC"/>
              <w:rPr>
                <w:sz w:val="16"/>
                <w:szCs w:val="16"/>
              </w:rPr>
            </w:pPr>
            <w:r w:rsidRPr="000A0A5F">
              <w:rPr>
                <w:sz w:val="16"/>
                <w:szCs w:val="16"/>
                <w:lang w:eastAsia="zh-CN"/>
              </w:rPr>
              <w:t>15.1.0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2018-09</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CT#81</w:t>
            </w:r>
          </w:p>
        </w:tc>
        <w:tc>
          <w:tcPr>
            <w:tcW w:w="108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CP-182022</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0023</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2</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Complete the openAPI definition for PFD API</w:t>
            </w:r>
          </w:p>
        </w:tc>
        <w:tc>
          <w:tcPr>
            <w:tcW w:w="707" w:type="dxa"/>
            <w:shd w:val="solid" w:color="FFFFFF" w:fill="auto"/>
          </w:tcPr>
          <w:p w:rsidR="00F82319" w:rsidRPr="000A0A5F" w:rsidRDefault="00F82319" w:rsidP="00F82319">
            <w:pPr>
              <w:pStyle w:val="TAC"/>
              <w:rPr>
                <w:sz w:val="16"/>
                <w:szCs w:val="16"/>
              </w:rPr>
            </w:pPr>
            <w:r w:rsidRPr="000A0A5F">
              <w:rPr>
                <w:sz w:val="16"/>
                <w:szCs w:val="16"/>
                <w:lang w:eastAsia="zh-CN"/>
              </w:rPr>
              <w:t>15.1.0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2018-09</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CT#81</w:t>
            </w:r>
          </w:p>
        </w:tc>
        <w:tc>
          <w:tcPr>
            <w:tcW w:w="108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CP-182022</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0024</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Essential Corrections on TS 29.122</w:t>
            </w:r>
          </w:p>
        </w:tc>
        <w:tc>
          <w:tcPr>
            <w:tcW w:w="707" w:type="dxa"/>
            <w:shd w:val="solid" w:color="FFFFFF" w:fill="auto"/>
          </w:tcPr>
          <w:p w:rsidR="00F82319" w:rsidRPr="000A0A5F" w:rsidRDefault="00F82319" w:rsidP="00F82319">
            <w:pPr>
              <w:pStyle w:val="TAC"/>
              <w:rPr>
                <w:sz w:val="16"/>
                <w:szCs w:val="16"/>
              </w:rPr>
            </w:pPr>
            <w:r w:rsidRPr="000A0A5F">
              <w:rPr>
                <w:sz w:val="16"/>
                <w:szCs w:val="16"/>
                <w:lang w:eastAsia="zh-CN"/>
              </w:rPr>
              <w:t>15.1.0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2018-09</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CT#81</w:t>
            </w:r>
          </w:p>
        </w:tc>
        <w:tc>
          <w:tcPr>
            <w:tcW w:w="108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CP-182022</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0025</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2</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Allignment of error codes with TS 29.500</w:t>
            </w:r>
          </w:p>
        </w:tc>
        <w:tc>
          <w:tcPr>
            <w:tcW w:w="707" w:type="dxa"/>
            <w:shd w:val="solid" w:color="FFFFFF" w:fill="auto"/>
          </w:tcPr>
          <w:p w:rsidR="00F82319" w:rsidRPr="000A0A5F" w:rsidRDefault="00F82319" w:rsidP="00F82319">
            <w:pPr>
              <w:pStyle w:val="TAC"/>
              <w:rPr>
                <w:sz w:val="16"/>
                <w:szCs w:val="16"/>
              </w:rPr>
            </w:pPr>
            <w:r w:rsidRPr="000A0A5F">
              <w:rPr>
                <w:sz w:val="16"/>
                <w:szCs w:val="16"/>
                <w:lang w:eastAsia="zh-CN"/>
              </w:rPr>
              <w:t>15.1.0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2018-09</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CT#81</w:t>
            </w:r>
          </w:p>
        </w:tc>
        <w:tc>
          <w:tcPr>
            <w:tcW w:w="108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CP-182022</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0026</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2</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OpenAPI updates for Device Triggering</w:t>
            </w:r>
          </w:p>
        </w:tc>
        <w:tc>
          <w:tcPr>
            <w:tcW w:w="707" w:type="dxa"/>
            <w:shd w:val="solid" w:color="FFFFFF" w:fill="auto"/>
          </w:tcPr>
          <w:p w:rsidR="00F82319" w:rsidRPr="000A0A5F" w:rsidRDefault="00F82319" w:rsidP="00F82319">
            <w:pPr>
              <w:pStyle w:val="TAC"/>
              <w:rPr>
                <w:sz w:val="16"/>
                <w:szCs w:val="16"/>
              </w:rPr>
            </w:pPr>
            <w:r w:rsidRPr="000A0A5F">
              <w:rPr>
                <w:sz w:val="16"/>
                <w:szCs w:val="16"/>
                <w:lang w:eastAsia="zh-CN"/>
              </w:rPr>
              <w:t>15.1.0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2018-09</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CT#81</w:t>
            </w:r>
          </w:p>
        </w:tc>
        <w:tc>
          <w:tcPr>
            <w:tcW w:w="108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CP-182022</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0027</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OpenAPI updates for MSISDN-less Mobile Originated SMS</w:t>
            </w:r>
          </w:p>
        </w:tc>
        <w:tc>
          <w:tcPr>
            <w:tcW w:w="707" w:type="dxa"/>
            <w:shd w:val="solid" w:color="FFFFFF" w:fill="auto"/>
          </w:tcPr>
          <w:p w:rsidR="00F82319" w:rsidRPr="000A0A5F" w:rsidRDefault="00F82319" w:rsidP="00F82319">
            <w:pPr>
              <w:pStyle w:val="TAC"/>
              <w:rPr>
                <w:sz w:val="16"/>
                <w:szCs w:val="16"/>
              </w:rPr>
            </w:pPr>
            <w:r w:rsidRPr="000A0A5F">
              <w:rPr>
                <w:sz w:val="16"/>
                <w:szCs w:val="16"/>
                <w:lang w:eastAsia="zh-CN"/>
              </w:rPr>
              <w:t>15.1.0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2018-09</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CT#81</w:t>
            </w:r>
          </w:p>
        </w:tc>
        <w:tc>
          <w:tcPr>
            <w:tcW w:w="108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CP-182022</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0028</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2</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Monitoring event report</w:t>
            </w:r>
          </w:p>
        </w:tc>
        <w:tc>
          <w:tcPr>
            <w:tcW w:w="707" w:type="dxa"/>
            <w:shd w:val="solid" w:color="FFFFFF" w:fill="auto"/>
          </w:tcPr>
          <w:p w:rsidR="00F82319" w:rsidRPr="000A0A5F" w:rsidRDefault="00F82319" w:rsidP="00F82319">
            <w:pPr>
              <w:pStyle w:val="TAC"/>
              <w:rPr>
                <w:sz w:val="16"/>
                <w:szCs w:val="16"/>
              </w:rPr>
            </w:pPr>
            <w:r w:rsidRPr="000A0A5F">
              <w:rPr>
                <w:sz w:val="16"/>
                <w:szCs w:val="16"/>
                <w:lang w:eastAsia="zh-CN"/>
              </w:rPr>
              <w:t>15.1.0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2018-09</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CT#81</w:t>
            </w:r>
          </w:p>
        </w:tc>
        <w:tc>
          <w:tcPr>
            <w:tcW w:w="108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CP-182022</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0030</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 </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Add cause in ProblemDetails data type</w:t>
            </w:r>
          </w:p>
        </w:tc>
        <w:tc>
          <w:tcPr>
            <w:tcW w:w="707" w:type="dxa"/>
            <w:shd w:val="solid" w:color="FFFFFF" w:fill="auto"/>
          </w:tcPr>
          <w:p w:rsidR="00F82319" w:rsidRPr="000A0A5F" w:rsidRDefault="00F82319" w:rsidP="00F82319">
            <w:pPr>
              <w:pStyle w:val="TAC"/>
              <w:rPr>
                <w:sz w:val="16"/>
                <w:szCs w:val="16"/>
              </w:rPr>
            </w:pPr>
            <w:r w:rsidRPr="000A0A5F">
              <w:rPr>
                <w:sz w:val="16"/>
                <w:szCs w:val="16"/>
                <w:lang w:eastAsia="zh-CN"/>
              </w:rPr>
              <w:t>15.1.0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2018-09</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CT#81</w:t>
            </w:r>
          </w:p>
        </w:tc>
        <w:tc>
          <w:tcPr>
            <w:tcW w:w="108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CP-182022</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0031</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Remove format keyword for 3GPP defined data type</w:t>
            </w:r>
          </w:p>
        </w:tc>
        <w:tc>
          <w:tcPr>
            <w:tcW w:w="707" w:type="dxa"/>
            <w:shd w:val="solid" w:color="FFFFFF" w:fill="auto"/>
          </w:tcPr>
          <w:p w:rsidR="00F82319" w:rsidRPr="000A0A5F" w:rsidRDefault="00F82319" w:rsidP="00F82319">
            <w:pPr>
              <w:pStyle w:val="TAC"/>
              <w:rPr>
                <w:sz w:val="16"/>
                <w:szCs w:val="16"/>
              </w:rPr>
            </w:pPr>
            <w:r w:rsidRPr="000A0A5F">
              <w:rPr>
                <w:sz w:val="16"/>
                <w:szCs w:val="16"/>
                <w:lang w:eastAsia="zh-CN"/>
              </w:rPr>
              <w:t>15.1.0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2018-09</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CT#81</w:t>
            </w:r>
          </w:p>
        </w:tc>
        <w:tc>
          <w:tcPr>
            <w:tcW w:w="108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CP-182022</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0032</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 </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Correct supported features</w:t>
            </w:r>
          </w:p>
        </w:tc>
        <w:tc>
          <w:tcPr>
            <w:tcW w:w="707" w:type="dxa"/>
            <w:shd w:val="solid" w:color="FFFFFF" w:fill="auto"/>
          </w:tcPr>
          <w:p w:rsidR="00F82319" w:rsidRPr="000A0A5F" w:rsidRDefault="00F82319" w:rsidP="00F82319">
            <w:pPr>
              <w:pStyle w:val="TAC"/>
              <w:rPr>
                <w:sz w:val="16"/>
                <w:szCs w:val="16"/>
              </w:rPr>
            </w:pPr>
            <w:r w:rsidRPr="000A0A5F">
              <w:rPr>
                <w:sz w:val="16"/>
                <w:szCs w:val="16"/>
                <w:lang w:eastAsia="zh-CN"/>
              </w:rPr>
              <w:t>15.1.0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2018-09</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CT#81</w:t>
            </w:r>
          </w:p>
        </w:tc>
        <w:tc>
          <w:tcPr>
            <w:tcW w:w="108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CP-182022</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0033</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 </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Correct ConfigResult data type for Monitoring API</w:t>
            </w:r>
          </w:p>
        </w:tc>
        <w:tc>
          <w:tcPr>
            <w:tcW w:w="707" w:type="dxa"/>
            <w:shd w:val="solid" w:color="FFFFFF" w:fill="auto"/>
          </w:tcPr>
          <w:p w:rsidR="00F82319" w:rsidRPr="000A0A5F" w:rsidRDefault="00F82319" w:rsidP="00F82319">
            <w:pPr>
              <w:pStyle w:val="TAC"/>
              <w:rPr>
                <w:sz w:val="16"/>
                <w:szCs w:val="16"/>
              </w:rPr>
            </w:pPr>
            <w:r w:rsidRPr="000A0A5F">
              <w:rPr>
                <w:sz w:val="16"/>
                <w:szCs w:val="16"/>
                <w:lang w:eastAsia="zh-CN"/>
              </w:rPr>
              <w:t>15.1.0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2018-09</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CT#81</w:t>
            </w:r>
          </w:p>
        </w:tc>
        <w:tc>
          <w:tcPr>
            <w:tcW w:w="108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CP-182022</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0034</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 </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Correct reachability type in monitoring API</w:t>
            </w:r>
          </w:p>
        </w:tc>
        <w:tc>
          <w:tcPr>
            <w:tcW w:w="707" w:type="dxa"/>
            <w:shd w:val="solid" w:color="FFFFFF" w:fill="auto"/>
          </w:tcPr>
          <w:p w:rsidR="00F82319" w:rsidRPr="000A0A5F" w:rsidRDefault="00F82319" w:rsidP="00F82319">
            <w:pPr>
              <w:pStyle w:val="TAC"/>
              <w:rPr>
                <w:sz w:val="16"/>
                <w:szCs w:val="16"/>
              </w:rPr>
            </w:pPr>
            <w:r w:rsidRPr="000A0A5F">
              <w:rPr>
                <w:sz w:val="16"/>
                <w:szCs w:val="16"/>
                <w:lang w:eastAsia="zh-CN"/>
              </w:rPr>
              <w:t>15.1.0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2018-09</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CT#81</w:t>
            </w:r>
          </w:p>
        </w:tc>
        <w:tc>
          <w:tcPr>
            <w:tcW w:w="108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CP-182022</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0035</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 </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Add HSS interaction for NIDD configuration</w:t>
            </w:r>
          </w:p>
        </w:tc>
        <w:tc>
          <w:tcPr>
            <w:tcW w:w="707" w:type="dxa"/>
            <w:shd w:val="solid" w:color="FFFFFF" w:fill="auto"/>
          </w:tcPr>
          <w:p w:rsidR="00F82319" w:rsidRPr="000A0A5F" w:rsidRDefault="00F82319" w:rsidP="00F82319">
            <w:pPr>
              <w:pStyle w:val="TAC"/>
              <w:rPr>
                <w:sz w:val="16"/>
                <w:szCs w:val="16"/>
              </w:rPr>
            </w:pPr>
            <w:r w:rsidRPr="000A0A5F">
              <w:rPr>
                <w:sz w:val="16"/>
                <w:szCs w:val="16"/>
                <w:lang w:eastAsia="zh-CN"/>
              </w:rPr>
              <w:t>15.1.0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2018-09</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CT#81</w:t>
            </w:r>
          </w:p>
        </w:tc>
        <w:tc>
          <w:tcPr>
            <w:tcW w:w="108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CP-182022</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0036</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 </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Correct NiddConfigurationPatch data type</w:t>
            </w:r>
          </w:p>
        </w:tc>
        <w:tc>
          <w:tcPr>
            <w:tcW w:w="707" w:type="dxa"/>
            <w:shd w:val="solid" w:color="FFFFFF" w:fill="auto"/>
          </w:tcPr>
          <w:p w:rsidR="00F82319" w:rsidRPr="000A0A5F" w:rsidRDefault="00F82319" w:rsidP="00F82319">
            <w:pPr>
              <w:pStyle w:val="TAC"/>
              <w:rPr>
                <w:sz w:val="16"/>
                <w:szCs w:val="16"/>
              </w:rPr>
            </w:pPr>
            <w:r w:rsidRPr="000A0A5F">
              <w:rPr>
                <w:sz w:val="16"/>
                <w:szCs w:val="16"/>
                <w:lang w:eastAsia="zh-CN"/>
              </w:rPr>
              <w:t>15.1.0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2018-09</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CT#81</w:t>
            </w:r>
          </w:p>
        </w:tc>
        <w:tc>
          <w:tcPr>
            <w:tcW w:w="108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CP-182179</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0037</w:t>
            </w:r>
          </w:p>
        </w:tc>
        <w:tc>
          <w:tcPr>
            <w:tcW w:w="424" w:type="dxa"/>
            <w:shd w:val="solid" w:color="FFFFFF" w:fill="auto"/>
          </w:tcPr>
          <w:p w:rsidR="00F82319" w:rsidRPr="000A0A5F" w:rsidRDefault="00F82319" w:rsidP="00F82319">
            <w:pPr>
              <w:pStyle w:val="TAR"/>
              <w:rPr>
                <w:sz w:val="16"/>
                <w:szCs w:val="16"/>
              </w:rPr>
            </w:pPr>
            <w:r w:rsidRPr="000A0A5F">
              <w:rPr>
                <w:sz w:val="16"/>
                <w:szCs w:val="16"/>
                <w:lang w:eastAsia="zh-CN"/>
              </w:rPr>
              <w:t>2</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Removable attribute definition for NIDD configuration</w:t>
            </w:r>
          </w:p>
        </w:tc>
        <w:tc>
          <w:tcPr>
            <w:tcW w:w="707" w:type="dxa"/>
            <w:shd w:val="solid" w:color="FFFFFF" w:fill="auto"/>
          </w:tcPr>
          <w:p w:rsidR="00F82319" w:rsidRPr="000A0A5F" w:rsidRDefault="00F82319" w:rsidP="00F82319">
            <w:pPr>
              <w:pStyle w:val="TAC"/>
              <w:rPr>
                <w:sz w:val="16"/>
                <w:szCs w:val="16"/>
              </w:rPr>
            </w:pPr>
            <w:r w:rsidRPr="000A0A5F">
              <w:rPr>
                <w:sz w:val="16"/>
                <w:szCs w:val="16"/>
                <w:lang w:eastAsia="zh-CN"/>
              </w:rPr>
              <w:t>15.1.0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2018-09</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CT#81</w:t>
            </w:r>
          </w:p>
        </w:tc>
        <w:tc>
          <w:tcPr>
            <w:tcW w:w="108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CP-182180</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0038</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2</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Correct MT NIDD procedure</w:t>
            </w:r>
          </w:p>
        </w:tc>
        <w:tc>
          <w:tcPr>
            <w:tcW w:w="707" w:type="dxa"/>
            <w:shd w:val="solid" w:color="FFFFFF" w:fill="auto"/>
          </w:tcPr>
          <w:p w:rsidR="00F82319" w:rsidRPr="000A0A5F" w:rsidRDefault="00F82319" w:rsidP="00F82319">
            <w:pPr>
              <w:pStyle w:val="TAC"/>
              <w:rPr>
                <w:sz w:val="16"/>
                <w:szCs w:val="16"/>
              </w:rPr>
            </w:pPr>
            <w:r w:rsidRPr="000A0A5F">
              <w:rPr>
                <w:sz w:val="16"/>
                <w:szCs w:val="16"/>
                <w:lang w:eastAsia="zh-CN"/>
              </w:rPr>
              <w:t>15.1.0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2018-09</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CT#81</w:t>
            </w:r>
          </w:p>
        </w:tc>
        <w:tc>
          <w:tcPr>
            <w:tcW w:w="108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CP-182022</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0039</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Correct group NIDD procedure</w:t>
            </w:r>
          </w:p>
        </w:tc>
        <w:tc>
          <w:tcPr>
            <w:tcW w:w="707" w:type="dxa"/>
            <w:shd w:val="solid" w:color="FFFFFF" w:fill="auto"/>
          </w:tcPr>
          <w:p w:rsidR="00F82319" w:rsidRPr="000A0A5F" w:rsidRDefault="00F82319" w:rsidP="00F82319">
            <w:pPr>
              <w:pStyle w:val="TAC"/>
              <w:rPr>
                <w:sz w:val="16"/>
                <w:szCs w:val="16"/>
              </w:rPr>
            </w:pPr>
            <w:r w:rsidRPr="000A0A5F">
              <w:rPr>
                <w:sz w:val="16"/>
                <w:szCs w:val="16"/>
                <w:lang w:eastAsia="zh-CN"/>
              </w:rPr>
              <w:t>15.1.0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2018-09</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CT#81</w:t>
            </w:r>
          </w:p>
        </w:tc>
        <w:tc>
          <w:tcPr>
            <w:tcW w:w="108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CP-182022</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0040</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 </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Device Trigger cleanup</w:t>
            </w:r>
          </w:p>
        </w:tc>
        <w:tc>
          <w:tcPr>
            <w:tcW w:w="707" w:type="dxa"/>
            <w:shd w:val="solid" w:color="FFFFFF" w:fill="auto"/>
          </w:tcPr>
          <w:p w:rsidR="00F82319" w:rsidRPr="000A0A5F" w:rsidRDefault="00F82319" w:rsidP="00F82319">
            <w:pPr>
              <w:pStyle w:val="TAC"/>
              <w:rPr>
                <w:sz w:val="16"/>
                <w:szCs w:val="16"/>
              </w:rPr>
            </w:pPr>
            <w:r w:rsidRPr="000A0A5F">
              <w:rPr>
                <w:sz w:val="16"/>
                <w:szCs w:val="16"/>
                <w:lang w:eastAsia="zh-CN"/>
              </w:rPr>
              <w:t>15.1.0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2018-09</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CT#81</w:t>
            </w:r>
          </w:p>
        </w:tc>
        <w:tc>
          <w:tcPr>
            <w:tcW w:w="108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CP-182022</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0041</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 </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Removable attribute definition for PFD management</w:t>
            </w:r>
          </w:p>
        </w:tc>
        <w:tc>
          <w:tcPr>
            <w:tcW w:w="707" w:type="dxa"/>
            <w:shd w:val="solid" w:color="FFFFFF" w:fill="auto"/>
          </w:tcPr>
          <w:p w:rsidR="00F82319" w:rsidRPr="000A0A5F" w:rsidRDefault="00F82319" w:rsidP="00F82319">
            <w:pPr>
              <w:pStyle w:val="TAC"/>
              <w:rPr>
                <w:sz w:val="16"/>
                <w:szCs w:val="16"/>
              </w:rPr>
            </w:pPr>
            <w:r w:rsidRPr="000A0A5F">
              <w:rPr>
                <w:sz w:val="16"/>
                <w:szCs w:val="16"/>
                <w:lang w:eastAsia="zh-CN"/>
              </w:rPr>
              <w:t>15.1.0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2018-09</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CT#81</w:t>
            </w:r>
          </w:p>
        </w:tc>
        <w:tc>
          <w:tcPr>
            <w:tcW w:w="108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CP-182181</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0042</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2</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Correct PFD error code</w:t>
            </w:r>
          </w:p>
        </w:tc>
        <w:tc>
          <w:tcPr>
            <w:tcW w:w="707" w:type="dxa"/>
            <w:shd w:val="solid" w:color="FFFFFF" w:fill="auto"/>
          </w:tcPr>
          <w:p w:rsidR="00F82319" w:rsidRPr="000A0A5F" w:rsidRDefault="00F82319" w:rsidP="00F82319">
            <w:pPr>
              <w:pStyle w:val="TAC"/>
              <w:rPr>
                <w:sz w:val="16"/>
                <w:szCs w:val="16"/>
              </w:rPr>
            </w:pPr>
            <w:r w:rsidRPr="000A0A5F">
              <w:rPr>
                <w:sz w:val="16"/>
                <w:szCs w:val="16"/>
                <w:lang w:eastAsia="zh-CN"/>
              </w:rPr>
              <w:t>15.1.0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2018-09</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CT#81</w:t>
            </w:r>
          </w:p>
        </w:tc>
        <w:tc>
          <w:tcPr>
            <w:tcW w:w="108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CP-182022</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0043</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 </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Removable attribute definition for NP configuration</w:t>
            </w:r>
          </w:p>
        </w:tc>
        <w:tc>
          <w:tcPr>
            <w:tcW w:w="707" w:type="dxa"/>
            <w:shd w:val="solid" w:color="FFFFFF" w:fill="auto"/>
          </w:tcPr>
          <w:p w:rsidR="00F82319" w:rsidRPr="000A0A5F" w:rsidRDefault="00F82319" w:rsidP="00F82319">
            <w:pPr>
              <w:pStyle w:val="TAC"/>
              <w:rPr>
                <w:sz w:val="16"/>
                <w:szCs w:val="16"/>
              </w:rPr>
            </w:pPr>
            <w:r w:rsidRPr="000A0A5F">
              <w:rPr>
                <w:sz w:val="16"/>
                <w:szCs w:val="16"/>
                <w:lang w:eastAsia="zh-CN"/>
              </w:rPr>
              <w:t>15.1.0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2018-09</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CT#81</w:t>
            </w:r>
          </w:p>
        </w:tc>
        <w:tc>
          <w:tcPr>
            <w:tcW w:w="108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CP-182022</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0044</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 </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Correct ConfigResult data type for NP Provisioning API</w:t>
            </w:r>
          </w:p>
        </w:tc>
        <w:tc>
          <w:tcPr>
            <w:tcW w:w="707" w:type="dxa"/>
            <w:shd w:val="solid" w:color="FFFFFF" w:fill="auto"/>
          </w:tcPr>
          <w:p w:rsidR="00F82319" w:rsidRPr="000A0A5F" w:rsidRDefault="00F82319" w:rsidP="00F82319">
            <w:pPr>
              <w:pStyle w:val="TAC"/>
              <w:rPr>
                <w:sz w:val="16"/>
                <w:szCs w:val="16"/>
              </w:rPr>
            </w:pPr>
            <w:r w:rsidRPr="000A0A5F">
              <w:rPr>
                <w:sz w:val="16"/>
                <w:szCs w:val="16"/>
                <w:lang w:eastAsia="zh-CN"/>
              </w:rPr>
              <w:t>15.1.0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2018-09</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CT#81</w:t>
            </w:r>
          </w:p>
        </w:tc>
        <w:tc>
          <w:tcPr>
            <w:tcW w:w="108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CP-182022</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0045</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 </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Removable attribute definition for AS required QoS</w:t>
            </w:r>
          </w:p>
        </w:tc>
        <w:tc>
          <w:tcPr>
            <w:tcW w:w="707" w:type="dxa"/>
            <w:shd w:val="solid" w:color="FFFFFF" w:fill="auto"/>
          </w:tcPr>
          <w:p w:rsidR="00F82319" w:rsidRPr="000A0A5F" w:rsidRDefault="00F82319" w:rsidP="00F82319">
            <w:pPr>
              <w:pStyle w:val="TAC"/>
              <w:rPr>
                <w:sz w:val="16"/>
                <w:szCs w:val="16"/>
              </w:rPr>
            </w:pPr>
            <w:r w:rsidRPr="000A0A5F">
              <w:rPr>
                <w:sz w:val="16"/>
                <w:szCs w:val="16"/>
                <w:lang w:eastAsia="zh-CN"/>
              </w:rPr>
              <w:t>15.1.0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2018-09</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CT#81</w:t>
            </w:r>
          </w:p>
        </w:tc>
        <w:tc>
          <w:tcPr>
            <w:tcW w:w="108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CP-182022</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0047</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 </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Version numbering update</w:t>
            </w:r>
          </w:p>
        </w:tc>
        <w:tc>
          <w:tcPr>
            <w:tcW w:w="707" w:type="dxa"/>
            <w:shd w:val="solid" w:color="FFFFFF" w:fill="auto"/>
          </w:tcPr>
          <w:p w:rsidR="00F82319" w:rsidRPr="000A0A5F" w:rsidRDefault="00F82319" w:rsidP="00F82319">
            <w:pPr>
              <w:pStyle w:val="TAC"/>
              <w:rPr>
                <w:sz w:val="16"/>
                <w:szCs w:val="16"/>
              </w:rPr>
            </w:pPr>
            <w:r w:rsidRPr="000A0A5F">
              <w:rPr>
                <w:sz w:val="16"/>
                <w:szCs w:val="16"/>
                <w:lang w:eastAsia="zh-CN"/>
              </w:rPr>
              <w:t>15.1.0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2018-09</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CT#81</w:t>
            </w:r>
          </w:p>
        </w:tc>
        <w:tc>
          <w:tcPr>
            <w:tcW w:w="108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CP-182022</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0048</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Removal of external docs field</w:t>
            </w:r>
          </w:p>
        </w:tc>
        <w:tc>
          <w:tcPr>
            <w:tcW w:w="707" w:type="dxa"/>
            <w:shd w:val="solid" w:color="FFFFFF" w:fill="auto"/>
          </w:tcPr>
          <w:p w:rsidR="00F82319" w:rsidRPr="000A0A5F" w:rsidRDefault="00F82319" w:rsidP="00F82319">
            <w:pPr>
              <w:pStyle w:val="TAC"/>
              <w:rPr>
                <w:sz w:val="16"/>
                <w:szCs w:val="16"/>
              </w:rPr>
            </w:pPr>
            <w:r w:rsidRPr="000A0A5F">
              <w:rPr>
                <w:sz w:val="16"/>
                <w:szCs w:val="16"/>
                <w:lang w:eastAsia="zh-CN"/>
              </w:rPr>
              <w:t>15.1.0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2018-09</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CT#81</w:t>
            </w:r>
          </w:p>
        </w:tc>
        <w:tc>
          <w:tcPr>
            <w:tcW w:w="108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CP-182203</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0049</w:t>
            </w:r>
          </w:p>
        </w:tc>
        <w:tc>
          <w:tcPr>
            <w:tcW w:w="424" w:type="dxa"/>
            <w:shd w:val="solid" w:color="FFFFFF" w:fill="auto"/>
          </w:tcPr>
          <w:p w:rsidR="00F82319" w:rsidRPr="000A0A5F" w:rsidRDefault="00F82319" w:rsidP="00F82319">
            <w:pPr>
              <w:pStyle w:val="TAR"/>
              <w:rPr>
                <w:sz w:val="16"/>
                <w:szCs w:val="16"/>
              </w:rPr>
            </w:pP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paths property in A.2</w:t>
            </w:r>
          </w:p>
        </w:tc>
        <w:tc>
          <w:tcPr>
            <w:tcW w:w="707" w:type="dxa"/>
            <w:shd w:val="solid" w:color="FFFFFF" w:fill="auto"/>
          </w:tcPr>
          <w:p w:rsidR="00F82319" w:rsidRPr="000A0A5F" w:rsidRDefault="00F82319" w:rsidP="00F82319">
            <w:pPr>
              <w:pStyle w:val="TAC"/>
              <w:rPr>
                <w:sz w:val="16"/>
                <w:szCs w:val="16"/>
              </w:rPr>
            </w:pPr>
            <w:r w:rsidRPr="000A0A5F">
              <w:rPr>
                <w:sz w:val="16"/>
                <w:szCs w:val="16"/>
                <w:lang w:eastAsia="zh-CN"/>
              </w:rPr>
              <w:t>15.1.0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2018-12</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CT#82</w:t>
            </w:r>
          </w:p>
        </w:tc>
        <w:tc>
          <w:tcPr>
            <w:tcW w:w="1088" w:type="dxa"/>
            <w:shd w:val="solid" w:color="FFFFFF" w:fill="auto"/>
          </w:tcPr>
          <w:p w:rsidR="00F82319" w:rsidRPr="000A0A5F" w:rsidRDefault="00F82319" w:rsidP="00F82319">
            <w:pPr>
              <w:pStyle w:val="TAC"/>
              <w:rPr>
                <w:sz w:val="16"/>
                <w:szCs w:val="16"/>
              </w:rPr>
            </w:pPr>
            <w:r w:rsidRPr="000A0A5F">
              <w:rPr>
                <w:rFonts w:cs="Arial"/>
                <w:color w:val="000000"/>
                <w:sz w:val="16"/>
                <w:szCs w:val="16"/>
              </w:rPr>
              <w:t>CP-183116</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0050</w:t>
            </w:r>
          </w:p>
        </w:tc>
        <w:tc>
          <w:tcPr>
            <w:tcW w:w="424" w:type="dxa"/>
            <w:shd w:val="solid" w:color="FFFFFF" w:fill="auto"/>
          </w:tcPr>
          <w:p w:rsidR="00F82319" w:rsidRPr="000A0A5F" w:rsidRDefault="00F82319" w:rsidP="00F82319">
            <w:pPr>
              <w:pStyle w:val="TAR"/>
              <w:rPr>
                <w:sz w:val="16"/>
                <w:szCs w:val="16"/>
              </w:rPr>
            </w:pP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File naming for Common data type</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15.2.0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2018-12</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CT#82</w:t>
            </w:r>
          </w:p>
        </w:tc>
        <w:tc>
          <w:tcPr>
            <w:tcW w:w="1088" w:type="dxa"/>
            <w:shd w:val="solid" w:color="FFFFFF" w:fill="auto"/>
          </w:tcPr>
          <w:p w:rsidR="00F82319" w:rsidRPr="000A0A5F" w:rsidRDefault="00F82319" w:rsidP="00F82319">
            <w:pPr>
              <w:pStyle w:val="TAC"/>
              <w:rPr>
                <w:sz w:val="16"/>
                <w:szCs w:val="16"/>
              </w:rPr>
            </w:pPr>
            <w:r w:rsidRPr="000A0A5F">
              <w:rPr>
                <w:rFonts w:cs="Arial"/>
                <w:color w:val="000000"/>
                <w:sz w:val="16"/>
                <w:szCs w:val="16"/>
              </w:rPr>
              <w:t>CP-183116</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0051</w:t>
            </w:r>
          </w:p>
        </w:tc>
        <w:tc>
          <w:tcPr>
            <w:tcW w:w="424" w:type="dxa"/>
            <w:shd w:val="solid" w:color="FFFFFF" w:fill="auto"/>
          </w:tcPr>
          <w:p w:rsidR="00F82319" w:rsidRPr="000A0A5F" w:rsidRDefault="00F82319" w:rsidP="00F82319">
            <w:pPr>
              <w:pStyle w:val="TAR"/>
              <w:rPr>
                <w:sz w:val="16"/>
                <w:szCs w:val="16"/>
              </w:rPr>
            </w:pP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UE corrections</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15.2.0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2018-12</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CT#82</w:t>
            </w:r>
          </w:p>
        </w:tc>
        <w:tc>
          <w:tcPr>
            <w:tcW w:w="1088" w:type="dxa"/>
            <w:shd w:val="solid" w:color="FFFFFF" w:fill="auto"/>
          </w:tcPr>
          <w:p w:rsidR="00F82319" w:rsidRPr="000A0A5F" w:rsidRDefault="00F82319" w:rsidP="00F82319">
            <w:pPr>
              <w:pStyle w:val="TAC"/>
              <w:rPr>
                <w:sz w:val="16"/>
                <w:szCs w:val="16"/>
              </w:rPr>
            </w:pPr>
            <w:r w:rsidRPr="000A0A5F">
              <w:rPr>
                <w:rFonts w:cs="Arial"/>
                <w:color w:val="000000"/>
                <w:sz w:val="16"/>
                <w:szCs w:val="16"/>
              </w:rPr>
              <w:t>CP-183116</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0052</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2</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ExternalDocs field</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15.2.0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2018-12</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CT#82</w:t>
            </w:r>
          </w:p>
        </w:tc>
        <w:tc>
          <w:tcPr>
            <w:tcW w:w="1088" w:type="dxa"/>
            <w:shd w:val="solid" w:color="FFFFFF" w:fill="auto"/>
          </w:tcPr>
          <w:p w:rsidR="00F82319" w:rsidRPr="000A0A5F" w:rsidRDefault="00F82319" w:rsidP="00F82319">
            <w:pPr>
              <w:pStyle w:val="TAC"/>
              <w:rPr>
                <w:sz w:val="16"/>
                <w:szCs w:val="16"/>
              </w:rPr>
            </w:pPr>
            <w:r w:rsidRPr="000A0A5F">
              <w:rPr>
                <w:rFonts w:cs="Arial"/>
                <w:color w:val="000000"/>
                <w:sz w:val="16"/>
                <w:szCs w:val="16"/>
              </w:rPr>
              <w:t>CP-183116</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0053</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7</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Enhancement of LocationArea</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15.2.0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2018-12</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CT#82</w:t>
            </w:r>
          </w:p>
        </w:tc>
        <w:tc>
          <w:tcPr>
            <w:tcW w:w="1088" w:type="dxa"/>
            <w:shd w:val="solid" w:color="FFFFFF" w:fill="auto"/>
          </w:tcPr>
          <w:p w:rsidR="00F82319" w:rsidRPr="000A0A5F" w:rsidRDefault="00F82319" w:rsidP="00F82319">
            <w:pPr>
              <w:pStyle w:val="TAC"/>
              <w:rPr>
                <w:sz w:val="16"/>
                <w:szCs w:val="16"/>
              </w:rPr>
            </w:pPr>
            <w:r w:rsidRPr="000A0A5F">
              <w:rPr>
                <w:rFonts w:cs="Arial"/>
                <w:color w:val="000000"/>
                <w:sz w:val="16"/>
                <w:szCs w:val="16"/>
              </w:rPr>
              <w:t>CP-183116</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0054</w:t>
            </w:r>
          </w:p>
        </w:tc>
        <w:tc>
          <w:tcPr>
            <w:tcW w:w="424" w:type="dxa"/>
            <w:shd w:val="solid" w:color="FFFFFF" w:fill="auto"/>
          </w:tcPr>
          <w:p w:rsidR="00F82319" w:rsidRPr="000A0A5F" w:rsidRDefault="00F82319" w:rsidP="00F82319">
            <w:pPr>
              <w:pStyle w:val="TAR"/>
              <w:rPr>
                <w:sz w:val="16"/>
                <w:szCs w:val="16"/>
              </w:rPr>
            </w:pP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Data type for Individual TMGI Allocation PATCH operation</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15.2.0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2018-12</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CT#82</w:t>
            </w:r>
          </w:p>
        </w:tc>
        <w:tc>
          <w:tcPr>
            <w:tcW w:w="1088" w:type="dxa"/>
            <w:shd w:val="solid" w:color="FFFFFF" w:fill="auto"/>
          </w:tcPr>
          <w:p w:rsidR="00F82319" w:rsidRPr="000A0A5F" w:rsidRDefault="00F82319" w:rsidP="00F82319">
            <w:pPr>
              <w:pStyle w:val="TAC"/>
              <w:rPr>
                <w:sz w:val="16"/>
                <w:szCs w:val="16"/>
              </w:rPr>
            </w:pPr>
            <w:r w:rsidRPr="000A0A5F">
              <w:rPr>
                <w:rFonts w:cs="Arial"/>
                <w:color w:val="000000"/>
                <w:sz w:val="16"/>
                <w:szCs w:val="16"/>
              </w:rPr>
              <w:t>CP-183127</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0055</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2</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Correction on Accuracy level</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15.2.0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2018-12</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CT#82</w:t>
            </w:r>
          </w:p>
        </w:tc>
        <w:tc>
          <w:tcPr>
            <w:tcW w:w="1088" w:type="dxa"/>
            <w:shd w:val="solid" w:color="FFFFFF" w:fill="auto"/>
          </w:tcPr>
          <w:p w:rsidR="00F82319" w:rsidRPr="000A0A5F" w:rsidRDefault="00F82319" w:rsidP="00F82319">
            <w:pPr>
              <w:pStyle w:val="TAC"/>
              <w:rPr>
                <w:sz w:val="16"/>
                <w:szCs w:val="16"/>
              </w:rPr>
            </w:pPr>
            <w:r w:rsidRPr="000A0A5F">
              <w:rPr>
                <w:rFonts w:cs="Arial"/>
                <w:color w:val="000000"/>
                <w:sz w:val="16"/>
                <w:szCs w:val="16"/>
              </w:rPr>
              <w:t>CP-183116</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0056</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2</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Correction on type ConfigResult</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15.2.0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2018-12</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CT#82</w:t>
            </w:r>
          </w:p>
        </w:tc>
        <w:tc>
          <w:tcPr>
            <w:tcW w:w="1088" w:type="dxa"/>
            <w:shd w:val="solid" w:color="FFFFFF" w:fill="auto"/>
          </w:tcPr>
          <w:p w:rsidR="00F82319" w:rsidRPr="000A0A5F" w:rsidRDefault="00F82319" w:rsidP="00F82319">
            <w:pPr>
              <w:pStyle w:val="TAC"/>
              <w:rPr>
                <w:sz w:val="16"/>
                <w:szCs w:val="16"/>
              </w:rPr>
            </w:pPr>
            <w:r w:rsidRPr="000A0A5F">
              <w:rPr>
                <w:rFonts w:cs="Arial"/>
                <w:color w:val="000000"/>
                <w:sz w:val="16"/>
                <w:szCs w:val="16"/>
              </w:rPr>
              <w:t>CP-183128</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0057</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5</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Monitoring Event Report</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15.2.0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2018-12</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CT#82</w:t>
            </w:r>
          </w:p>
        </w:tc>
        <w:tc>
          <w:tcPr>
            <w:tcW w:w="1088" w:type="dxa"/>
            <w:shd w:val="solid" w:color="FFFFFF" w:fill="auto"/>
          </w:tcPr>
          <w:p w:rsidR="00F82319" w:rsidRPr="000A0A5F" w:rsidRDefault="00F82319" w:rsidP="00F82319">
            <w:pPr>
              <w:pStyle w:val="TAC"/>
              <w:rPr>
                <w:sz w:val="16"/>
                <w:szCs w:val="16"/>
              </w:rPr>
            </w:pPr>
            <w:r w:rsidRPr="000A0A5F">
              <w:rPr>
                <w:rFonts w:cs="Arial"/>
                <w:color w:val="000000"/>
                <w:sz w:val="16"/>
                <w:szCs w:val="16"/>
              </w:rPr>
              <w:t>CP-183116</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0059</w:t>
            </w:r>
          </w:p>
        </w:tc>
        <w:tc>
          <w:tcPr>
            <w:tcW w:w="424" w:type="dxa"/>
            <w:shd w:val="solid" w:color="FFFFFF" w:fill="auto"/>
          </w:tcPr>
          <w:p w:rsidR="00F82319" w:rsidRPr="000A0A5F" w:rsidRDefault="00F82319" w:rsidP="00F82319">
            <w:pPr>
              <w:pStyle w:val="TAR"/>
              <w:rPr>
                <w:sz w:val="16"/>
                <w:szCs w:val="16"/>
              </w:rPr>
            </w:pP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Correct server definition</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15.2.0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2018-12</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CT#82</w:t>
            </w:r>
          </w:p>
        </w:tc>
        <w:tc>
          <w:tcPr>
            <w:tcW w:w="1088" w:type="dxa"/>
            <w:shd w:val="solid" w:color="FFFFFF" w:fill="auto"/>
          </w:tcPr>
          <w:p w:rsidR="00F82319" w:rsidRPr="000A0A5F" w:rsidRDefault="00F82319" w:rsidP="00F82319">
            <w:pPr>
              <w:pStyle w:val="TAC"/>
              <w:rPr>
                <w:sz w:val="16"/>
                <w:szCs w:val="16"/>
              </w:rPr>
            </w:pPr>
            <w:r w:rsidRPr="000A0A5F">
              <w:rPr>
                <w:rFonts w:cs="Arial"/>
                <w:color w:val="000000"/>
                <w:sz w:val="16"/>
                <w:szCs w:val="16"/>
              </w:rPr>
              <w:t>CP-183116</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0060</w:t>
            </w:r>
          </w:p>
        </w:tc>
        <w:tc>
          <w:tcPr>
            <w:tcW w:w="424" w:type="dxa"/>
            <w:shd w:val="solid" w:color="FFFFFF" w:fill="auto"/>
          </w:tcPr>
          <w:p w:rsidR="00F82319" w:rsidRPr="000A0A5F" w:rsidRDefault="00F82319" w:rsidP="00F82319">
            <w:pPr>
              <w:pStyle w:val="TAR"/>
              <w:rPr>
                <w:sz w:val="16"/>
                <w:szCs w:val="16"/>
              </w:rPr>
            </w:pP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Correct data type for roamingStatus</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15.2.0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2018-12</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CT#82</w:t>
            </w:r>
          </w:p>
        </w:tc>
        <w:tc>
          <w:tcPr>
            <w:tcW w:w="1088" w:type="dxa"/>
            <w:shd w:val="solid" w:color="FFFFFF" w:fill="auto"/>
          </w:tcPr>
          <w:p w:rsidR="00F82319" w:rsidRPr="000A0A5F" w:rsidRDefault="00F82319" w:rsidP="00F82319">
            <w:pPr>
              <w:pStyle w:val="TAC"/>
              <w:rPr>
                <w:sz w:val="16"/>
                <w:szCs w:val="16"/>
              </w:rPr>
            </w:pPr>
            <w:r w:rsidRPr="000A0A5F">
              <w:rPr>
                <w:rFonts w:cs="Arial"/>
                <w:color w:val="000000"/>
                <w:sz w:val="16"/>
                <w:szCs w:val="16"/>
              </w:rPr>
              <w:t>CP-183116</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0061</w:t>
            </w:r>
          </w:p>
        </w:tc>
        <w:tc>
          <w:tcPr>
            <w:tcW w:w="424" w:type="dxa"/>
            <w:shd w:val="solid" w:color="FFFFFF" w:fill="auto"/>
          </w:tcPr>
          <w:p w:rsidR="00F82319" w:rsidRPr="000A0A5F" w:rsidRDefault="00F82319" w:rsidP="00F82319">
            <w:pPr>
              <w:pStyle w:val="TAR"/>
              <w:rPr>
                <w:sz w:val="16"/>
                <w:szCs w:val="16"/>
              </w:rPr>
            </w:pP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Correct external identifier and msisdn</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15.2.0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2018-12</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CT#82</w:t>
            </w:r>
          </w:p>
        </w:tc>
        <w:tc>
          <w:tcPr>
            <w:tcW w:w="1088" w:type="dxa"/>
            <w:shd w:val="solid" w:color="FFFFFF" w:fill="auto"/>
          </w:tcPr>
          <w:p w:rsidR="00F82319" w:rsidRPr="000A0A5F" w:rsidRDefault="00F82319" w:rsidP="00F82319">
            <w:pPr>
              <w:pStyle w:val="TAC"/>
              <w:rPr>
                <w:sz w:val="16"/>
                <w:szCs w:val="16"/>
              </w:rPr>
            </w:pPr>
            <w:r w:rsidRPr="000A0A5F">
              <w:rPr>
                <w:rFonts w:cs="Arial"/>
                <w:color w:val="000000"/>
                <w:sz w:val="16"/>
                <w:szCs w:val="16"/>
              </w:rPr>
              <w:t>CP-183116</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0062</w:t>
            </w:r>
          </w:p>
        </w:tc>
        <w:tc>
          <w:tcPr>
            <w:tcW w:w="424" w:type="dxa"/>
            <w:shd w:val="solid" w:color="FFFFFF" w:fill="auto"/>
          </w:tcPr>
          <w:p w:rsidR="00F82319" w:rsidRPr="000A0A5F" w:rsidRDefault="00F82319" w:rsidP="00F82319">
            <w:pPr>
              <w:pStyle w:val="TAR"/>
              <w:rPr>
                <w:sz w:val="16"/>
                <w:szCs w:val="16"/>
              </w:rPr>
            </w:pP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Correct common data definition</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15.2.0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2018-12</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CT#82</w:t>
            </w:r>
          </w:p>
        </w:tc>
        <w:tc>
          <w:tcPr>
            <w:tcW w:w="1088" w:type="dxa"/>
            <w:shd w:val="solid" w:color="FFFFFF" w:fill="auto"/>
          </w:tcPr>
          <w:p w:rsidR="00F82319" w:rsidRPr="000A0A5F" w:rsidRDefault="00F82319" w:rsidP="00F82319">
            <w:pPr>
              <w:pStyle w:val="TAC"/>
              <w:rPr>
                <w:sz w:val="16"/>
                <w:szCs w:val="16"/>
              </w:rPr>
            </w:pPr>
            <w:r w:rsidRPr="000A0A5F">
              <w:rPr>
                <w:sz w:val="16"/>
                <w:szCs w:val="16"/>
              </w:rPr>
              <w:t>CP-183116</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0063</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3</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rPr>
              <w:t>Additional data type clarification in openAPI</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15.2.0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2018-12</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CT#82</w:t>
            </w:r>
          </w:p>
        </w:tc>
        <w:tc>
          <w:tcPr>
            <w:tcW w:w="1088" w:type="dxa"/>
            <w:shd w:val="solid" w:color="FFFFFF" w:fill="auto"/>
          </w:tcPr>
          <w:p w:rsidR="00F82319" w:rsidRPr="000A0A5F" w:rsidRDefault="00F82319" w:rsidP="00F82319">
            <w:pPr>
              <w:pStyle w:val="TAC"/>
              <w:rPr>
                <w:sz w:val="16"/>
                <w:szCs w:val="16"/>
              </w:rPr>
            </w:pPr>
            <w:r w:rsidRPr="000A0A5F">
              <w:rPr>
                <w:sz w:val="16"/>
                <w:szCs w:val="16"/>
              </w:rPr>
              <w:t>CP-183116</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0064</w:t>
            </w:r>
          </w:p>
        </w:tc>
        <w:tc>
          <w:tcPr>
            <w:tcW w:w="424" w:type="dxa"/>
            <w:shd w:val="solid" w:color="FFFFFF" w:fill="auto"/>
          </w:tcPr>
          <w:p w:rsidR="00F82319" w:rsidRPr="000A0A5F" w:rsidRDefault="00F82319" w:rsidP="00F82319">
            <w:pPr>
              <w:pStyle w:val="TAR"/>
              <w:rPr>
                <w:sz w:val="16"/>
                <w:szCs w:val="16"/>
              </w:rPr>
            </w:pP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Correct Chargeable Party</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15.2.0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2018-12</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CT#82</w:t>
            </w:r>
          </w:p>
        </w:tc>
        <w:tc>
          <w:tcPr>
            <w:tcW w:w="1088" w:type="dxa"/>
            <w:shd w:val="solid" w:color="FFFFFF" w:fill="auto"/>
          </w:tcPr>
          <w:p w:rsidR="00F82319" w:rsidRPr="000A0A5F" w:rsidRDefault="00F82319" w:rsidP="00F82319">
            <w:pPr>
              <w:pStyle w:val="TAC"/>
              <w:rPr>
                <w:sz w:val="16"/>
                <w:szCs w:val="16"/>
              </w:rPr>
            </w:pPr>
            <w:r w:rsidRPr="000A0A5F">
              <w:rPr>
                <w:sz w:val="16"/>
                <w:szCs w:val="16"/>
              </w:rPr>
              <w:t>CP-183116</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0065</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2</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Correct GMD via MB2</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15.2.0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2018-12</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CT#82</w:t>
            </w:r>
          </w:p>
        </w:tc>
        <w:tc>
          <w:tcPr>
            <w:tcW w:w="1088" w:type="dxa"/>
            <w:shd w:val="solid" w:color="FFFFFF" w:fill="auto"/>
          </w:tcPr>
          <w:p w:rsidR="00F82319" w:rsidRPr="000A0A5F" w:rsidRDefault="00F82319" w:rsidP="00F82319">
            <w:pPr>
              <w:pStyle w:val="TAC"/>
              <w:rPr>
                <w:sz w:val="16"/>
                <w:szCs w:val="16"/>
              </w:rPr>
            </w:pPr>
            <w:r w:rsidRPr="000A0A5F">
              <w:rPr>
                <w:sz w:val="16"/>
                <w:szCs w:val="16"/>
              </w:rPr>
              <w:t>CP-183116</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0066</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3</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Correct GMD via xMB</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15.2.0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2018-12</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CT#82</w:t>
            </w:r>
          </w:p>
        </w:tc>
        <w:tc>
          <w:tcPr>
            <w:tcW w:w="1088" w:type="dxa"/>
            <w:shd w:val="solid" w:color="FFFFFF" w:fill="auto"/>
          </w:tcPr>
          <w:p w:rsidR="00F82319" w:rsidRPr="000A0A5F" w:rsidRDefault="00F82319" w:rsidP="00F82319">
            <w:pPr>
              <w:pStyle w:val="TAC"/>
              <w:rPr>
                <w:sz w:val="16"/>
                <w:szCs w:val="16"/>
              </w:rPr>
            </w:pPr>
            <w:r w:rsidRPr="000A0A5F">
              <w:rPr>
                <w:sz w:val="16"/>
                <w:szCs w:val="16"/>
              </w:rPr>
              <w:t>CP-183116</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0067</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5</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Correct MT NIDD</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15.2.0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2018-12</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CT#82</w:t>
            </w:r>
          </w:p>
        </w:tc>
        <w:tc>
          <w:tcPr>
            <w:tcW w:w="1088" w:type="dxa"/>
            <w:shd w:val="solid" w:color="FFFFFF" w:fill="auto"/>
          </w:tcPr>
          <w:p w:rsidR="00F82319" w:rsidRPr="000A0A5F" w:rsidRDefault="00F82319" w:rsidP="00F82319">
            <w:pPr>
              <w:pStyle w:val="TAC"/>
              <w:rPr>
                <w:sz w:val="16"/>
                <w:szCs w:val="16"/>
              </w:rPr>
            </w:pPr>
            <w:r w:rsidRPr="000A0A5F">
              <w:rPr>
                <w:sz w:val="16"/>
                <w:szCs w:val="16"/>
              </w:rPr>
              <w:t>CP-183116</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0068</w:t>
            </w:r>
          </w:p>
        </w:tc>
        <w:tc>
          <w:tcPr>
            <w:tcW w:w="424" w:type="dxa"/>
            <w:shd w:val="solid" w:color="FFFFFF" w:fill="auto"/>
          </w:tcPr>
          <w:p w:rsidR="00F82319" w:rsidRPr="000A0A5F" w:rsidRDefault="00F82319" w:rsidP="00F82319">
            <w:pPr>
              <w:pStyle w:val="TAR"/>
              <w:rPr>
                <w:sz w:val="16"/>
                <w:szCs w:val="16"/>
              </w:rPr>
            </w:pP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Correct monitoring API</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15.2.0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2018-12</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CT#82</w:t>
            </w:r>
          </w:p>
        </w:tc>
        <w:tc>
          <w:tcPr>
            <w:tcW w:w="1088" w:type="dxa"/>
            <w:shd w:val="solid" w:color="FFFFFF" w:fill="auto"/>
          </w:tcPr>
          <w:p w:rsidR="00F82319" w:rsidRPr="000A0A5F" w:rsidRDefault="00F82319" w:rsidP="00F82319">
            <w:pPr>
              <w:pStyle w:val="TAC"/>
              <w:rPr>
                <w:sz w:val="16"/>
                <w:szCs w:val="16"/>
              </w:rPr>
            </w:pPr>
            <w:r w:rsidRPr="000A0A5F">
              <w:rPr>
                <w:sz w:val="16"/>
                <w:szCs w:val="16"/>
              </w:rPr>
              <w:t>CP-183116</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0069</w:t>
            </w:r>
          </w:p>
        </w:tc>
        <w:tc>
          <w:tcPr>
            <w:tcW w:w="424" w:type="dxa"/>
            <w:shd w:val="solid" w:color="FFFFFF" w:fill="auto"/>
          </w:tcPr>
          <w:p w:rsidR="00F82319" w:rsidRPr="000A0A5F" w:rsidRDefault="00F82319" w:rsidP="00F82319">
            <w:pPr>
              <w:pStyle w:val="TAR"/>
              <w:rPr>
                <w:sz w:val="16"/>
                <w:szCs w:val="16"/>
              </w:rPr>
            </w:pP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Correct CP provisioning</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15.2.0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2018-12</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CT#82</w:t>
            </w:r>
          </w:p>
        </w:tc>
        <w:tc>
          <w:tcPr>
            <w:tcW w:w="1088" w:type="dxa"/>
            <w:shd w:val="solid" w:color="FFFFFF" w:fill="auto"/>
          </w:tcPr>
          <w:p w:rsidR="00F82319" w:rsidRPr="000A0A5F" w:rsidRDefault="00F82319" w:rsidP="00F82319">
            <w:pPr>
              <w:pStyle w:val="TAC"/>
              <w:rPr>
                <w:sz w:val="16"/>
                <w:szCs w:val="16"/>
              </w:rPr>
            </w:pPr>
            <w:r w:rsidRPr="000A0A5F">
              <w:rPr>
                <w:sz w:val="16"/>
                <w:szCs w:val="16"/>
              </w:rPr>
              <w:t>CP-183116</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0070</w:t>
            </w:r>
          </w:p>
        </w:tc>
        <w:tc>
          <w:tcPr>
            <w:tcW w:w="424" w:type="dxa"/>
            <w:shd w:val="solid" w:color="FFFFFF" w:fill="auto"/>
          </w:tcPr>
          <w:p w:rsidR="00F82319" w:rsidRPr="000A0A5F" w:rsidRDefault="00F82319" w:rsidP="00F82319">
            <w:pPr>
              <w:pStyle w:val="TAR"/>
              <w:rPr>
                <w:sz w:val="16"/>
                <w:szCs w:val="16"/>
              </w:rPr>
            </w:pP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Correct Device trigger</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15.2.0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2018-12</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CT#82</w:t>
            </w:r>
          </w:p>
        </w:tc>
        <w:tc>
          <w:tcPr>
            <w:tcW w:w="1088" w:type="dxa"/>
            <w:shd w:val="solid" w:color="FFFFFF" w:fill="auto"/>
          </w:tcPr>
          <w:p w:rsidR="00F82319" w:rsidRPr="000A0A5F" w:rsidRDefault="00F82319" w:rsidP="00F82319">
            <w:pPr>
              <w:pStyle w:val="TAC"/>
              <w:rPr>
                <w:sz w:val="16"/>
                <w:szCs w:val="16"/>
              </w:rPr>
            </w:pPr>
            <w:r w:rsidRPr="000A0A5F">
              <w:rPr>
                <w:sz w:val="16"/>
                <w:szCs w:val="16"/>
              </w:rPr>
              <w:t>CP-183116</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0071</w:t>
            </w:r>
          </w:p>
        </w:tc>
        <w:tc>
          <w:tcPr>
            <w:tcW w:w="424" w:type="dxa"/>
            <w:shd w:val="solid" w:color="FFFFFF" w:fill="auto"/>
          </w:tcPr>
          <w:p w:rsidR="00F82319" w:rsidRPr="000A0A5F" w:rsidRDefault="00F82319" w:rsidP="00F82319">
            <w:pPr>
              <w:pStyle w:val="TAR"/>
              <w:rPr>
                <w:sz w:val="16"/>
                <w:szCs w:val="16"/>
              </w:rPr>
            </w:pP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Correct PFD management</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15.2.0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2018-12</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CT#82</w:t>
            </w:r>
          </w:p>
        </w:tc>
        <w:tc>
          <w:tcPr>
            <w:tcW w:w="1088" w:type="dxa"/>
            <w:shd w:val="solid" w:color="FFFFFF" w:fill="auto"/>
          </w:tcPr>
          <w:p w:rsidR="00F82319" w:rsidRPr="000A0A5F" w:rsidRDefault="00F82319" w:rsidP="00F82319">
            <w:pPr>
              <w:pStyle w:val="TAC"/>
              <w:rPr>
                <w:sz w:val="16"/>
                <w:szCs w:val="16"/>
              </w:rPr>
            </w:pPr>
            <w:r w:rsidRPr="000A0A5F">
              <w:rPr>
                <w:sz w:val="16"/>
                <w:szCs w:val="16"/>
              </w:rPr>
              <w:t>CP-183116</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0072</w:t>
            </w:r>
          </w:p>
        </w:tc>
        <w:tc>
          <w:tcPr>
            <w:tcW w:w="424" w:type="dxa"/>
            <w:shd w:val="solid" w:color="FFFFFF" w:fill="auto"/>
          </w:tcPr>
          <w:p w:rsidR="00F82319" w:rsidRPr="000A0A5F" w:rsidRDefault="00F82319" w:rsidP="00F82319">
            <w:pPr>
              <w:pStyle w:val="TAR"/>
              <w:rPr>
                <w:sz w:val="16"/>
                <w:szCs w:val="16"/>
              </w:rPr>
            </w:pP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Correct report network status</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15.2.0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2018-12</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CT#82</w:t>
            </w:r>
          </w:p>
        </w:tc>
        <w:tc>
          <w:tcPr>
            <w:tcW w:w="1088" w:type="dxa"/>
            <w:shd w:val="solid" w:color="FFFFFF" w:fill="auto"/>
          </w:tcPr>
          <w:p w:rsidR="00F82319" w:rsidRPr="000A0A5F" w:rsidRDefault="00F82319" w:rsidP="00F82319">
            <w:pPr>
              <w:pStyle w:val="TAC"/>
              <w:rPr>
                <w:sz w:val="16"/>
                <w:szCs w:val="16"/>
              </w:rPr>
            </w:pPr>
            <w:r w:rsidRPr="000A0A5F">
              <w:rPr>
                <w:sz w:val="16"/>
                <w:szCs w:val="16"/>
              </w:rPr>
              <w:t>CP-183116</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0073</w:t>
            </w:r>
          </w:p>
        </w:tc>
        <w:tc>
          <w:tcPr>
            <w:tcW w:w="424" w:type="dxa"/>
            <w:shd w:val="solid" w:color="FFFFFF" w:fill="auto"/>
          </w:tcPr>
          <w:p w:rsidR="00F82319" w:rsidRPr="000A0A5F" w:rsidRDefault="00F82319" w:rsidP="00F82319">
            <w:pPr>
              <w:pStyle w:val="TAR"/>
              <w:rPr>
                <w:sz w:val="16"/>
                <w:szCs w:val="16"/>
              </w:rPr>
            </w:pP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Correct NP provisioning</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15.2.0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2018-12</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CT#82</w:t>
            </w:r>
          </w:p>
        </w:tc>
        <w:tc>
          <w:tcPr>
            <w:tcW w:w="1088" w:type="dxa"/>
            <w:shd w:val="solid" w:color="FFFFFF" w:fill="auto"/>
          </w:tcPr>
          <w:p w:rsidR="00F82319" w:rsidRPr="000A0A5F" w:rsidRDefault="00F82319" w:rsidP="00F82319">
            <w:pPr>
              <w:pStyle w:val="TAC"/>
              <w:rPr>
                <w:sz w:val="16"/>
                <w:szCs w:val="16"/>
              </w:rPr>
            </w:pPr>
            <w:r w:rsidRPr="000A0A5F">
              <w:rPr>
                <w:sz w:val="16"/>
                <w:szCs w:val="16"/>
              </w:rPr>
              <w:t>CP-183116</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0074</w:t>
            </w:r>
          </w:p>
        </w:tc>
        <w:tc>
          <w:tcPr>
            <w:tcW w:w="424" w:type="dxa"/>
            <w:shd w:val="solid" w:color="FFFFFF" w:fill="auto"/>
          </w:tcPr>
          <w:p w:rsidR="00F82319" w:rsidRPr="000A0A5F" w:rsidRDefault="00F82319" w:rsidP="00F82319">
            <w:pPr>
              <w:pStyle w:val="TAR"/>
              <w:rPr>
                <w:sz w:val="16"/>
                <w:szCs w:val="16"/>
              </w:rPr>
            </w:pP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Correct MO SMS</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15.2.0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2018-12</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CT#82</w:t>
            </w:r>
          </w:p>
        </w:tc>
        <w:tc>
          <w:tcPr>
            <w:tcW w:w="1088" w:type="dxa"/>
            <w:shd w:val="solid" w:color="FFFFFF" w:fill="auto"/>
          </w:tcPr>
          <w:p w:rsidR="00F82319" w:rsidRPr="000A0A5F" w:rsidRDefault="00F82319" w:rsidP="00F82319">
            <w:pPr>
              <w:pStyle w:val="TAC"/>
              <w:rPr>
                <w:sz w:val="16"/>
                <w:szCs w:val="16"/>
              </w:rPr>
            </w:pPr>
            <w:r w:rsidRPr="000A0A5F">
              <w:rPr>
                <w:sz w:val="16"/>
                <w:szCs w:val="16"/>
              </w:rPr>
              <w:t>CP-183116</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0075</w:t>
            </w:r>
          </w:p>
        </w:tc>
        <w:tc>
          <w:tcPr>
            <w:tcW w:w="424" w:type="dxa"/>
            <w:shd w:val="solid" w:color="FFFFFF" w:fill="auto"/>
          </w:tcPr>
          <w:p w:rsidR="00F82319" w:rsidRPr="000A0A5F" w:rsidRDefault="00F82319" w:rsidP="00F82319">
            <w:pPr>
              <w:pStyle w:val="TAR"/>
              <w:rPr>
                <w:sz w:val="16"/>
                <w:szCs w:val="16"/>
              </w:rPr>
            </w:pP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Correct AS session with QoS</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15.2.0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2018-12</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CT#82</w:t>
            </w:r>
          </w:p>
        </w:tc>
        <w:tc>
          <w:tcPr>
            <w:tcW w:w="1088" w:type="dxa"/>
            <w:shd w:val="solid" w:color="FFFFFF" w:fill="auto"/>
          </w:tcPr>
          <w:p w:rsidR="00F82319" w:rsidRPr="000A0A5F" w:rsidRDefault="00F82319" w:rsidP="00F82319">
            <w:pPr>
              <w:pStyle w:val="TAC"/>
              <w:rPr>
                <w:sz w:val="16"/>
                <w:szCs w:val="16"/>
              </w:rPr>
            </w:pPr>
            <w:r w:rsidRPr="000A0A5F">
              <w:rPr>
                <w:sz w:val="16"/>
                <w:szCs w:val="16"/>
              </w:rPr>
              <w:t>CP-183116</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0076</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3</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Error handling</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15.2.0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2018-12</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CT#82</w:t>
            </w:r>
          </w:p>
        </w:tc>
        <w:tc>
          <w:tcPr>
            <w:tcW w:w="1088" w:type="dxa"/>
            <w:shd w:val="solid" w:color="FFFFFF" w:fill="auto"/>
          </w:tcPr>
          <w:p w:rsidR="00F82319" w:rsidRPr="000A0A5F" w:rsidRDefault="00F82319" w:rsidP="00F82319">
            <w:pPr>
              <w:pStyle w:val="TAC"/>
              <w:rPr>
                <w:sz w:val="16"/>
                <w:szCs w:val="16"/>
              </w:rPr>
            </w:pPr>
            <w:r w:rsidRPr="000A0A5F">
              <w:rPr>
                <w:sz w:val="16"/>
                <w:szCs w:val="16"/>
              </w:rPr>
              <w:t>CP-183116</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0077</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Content type</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15.2.0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2018-12</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CT#82</w:t>
            </w:r>
          </w:p>
        </w:tc>
        <w:tc>
          <w:tcPr>
            <w:tcW w:w="1088" w:type="dxa"/>
            <w:shd w:val="solid" w:color="FFFFFF" w:fill="auto"/>
          </w:tcPr>
          <w:p w:rsidR="00F82319" w:rsidRPr="000A0A5F" w:rsidRDefault="00F82319" w:rsidP="00F82319">
            <w:pPr>
              <w:pStyle w:val="TAC"/>
              <w:rPr>
                <w:sz w:val="16"/>
                <w:szCs w:val="16"/>
              </w:rPr>
            </w:pPr>
            <w:r w:rsidRPr="000A0A5F">
              <w:rPr>
                <w:sz w:val="16"/>
                <w:szCs w:val="16"/>
              </w:rPr>
              <w:t>CP-183116</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0078</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2</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Supporting Ethernet UE in Chargeable Party and AF session with QoS</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15.2.0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2018-12</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CT#82</w:t>
            </w:r>
          </w:p>
        </w:tc>
        <w:tc>
          <w:tcPr>
            <w:tcW w:w="1088" w:type="dxa"/>
            <w:shd w:val="solid" w:color="FFFFFF" w:fill="auto"/>
          </w:tcPr>
          <w:p w:rsidR="00F82319" w:rsidRPr="000A0A5F" w:rsidRDefault="00F82319" w:rsidP="00F82319">
            <w:pPr>
              <w:pStyle w:val="TAC"/>
              <w:rPr>
                <w:sz w:val="16"/>
                <w:szCs w:val="16"/>
              </w:rPr>
            </w:pPr>
            <w:r w:rsidRPr="000A0A5F">
              <w:rPr>
                <w:sz w:val="16"/>
                <w:szCs w:val="16"/>
              </w:rPr>
              <w:t>CP-183116</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0079</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2</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Security adaptation for T8 APIs with CAPIF</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15.2.0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2018-12</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CT#82</w:t>
            </w:r>
          </w:p>
        </w:tc>
        <w:tc>
          <w:tcPr>
            <w:tcW w:w="1088" w:type="dxa"/>
            <w:shd w:val="solid" w:color="FFFFFF" w:fill="auto"/>
          </w:tcPr>
          <w:p w:rsidR="00F82319" w:rsidRPr="000A0A5F" w:rsidRDefault="00F82319" w:rsidP="00F82319">
            <w:pPr>
              <w:pStyle w:val="TAC"/>
              <w:rPr>
                <w:sz w:val="16"/>
                <w:szCs w:val="16"/>
              </w:rPr>
            </w:pPr>
            <w:r w:rsidRPr="000A0A5F">
              <w:rPr>
                <w:sz w:val="16"/>
                <w:szCs w:val="16"/>
              </w:rPr>
              <w:t>CP-183116</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0080</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Remove empty array or map for applicable attributes</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15.2.0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2018-12</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CT#82</w:t>
            </w:r>
          </w:p>
        </w:tc>
        <w:tc>
          <w:tcPr>
            <w:tcW w:w="1088" w:type="dxa"/>
            <w:shd w:val="solid" w:color="FFFFFF" w:fill="auto"/>
          </w:tcPr>
          <w:p w:rsidR="00F82319" w:rsidRPr="000A0A5F" w:rsidRDefault="00F82319" w:rsidP="00F82319">
            <w:pPr>
              <w:pStyle w:val="TAC"/>
              <w:rPr>
                <w:sz w:val="16"/>
                <w:szCs w:val="16"/>
              </w:rPr>
            </w:pPr>
            <w:r w:rsidRPr="000A0A5F">
              <w:rPr>
                <w:sz w:val="16"/>
                <w:szCs w:val="16"/>
              </w:rPr>
              <w:t>CP-183116</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0081</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3</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Presence conditions in yaml file</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15.2.0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2018-12</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CT#82</w:t>
            </w:r>
          </w:p>
        </w:tc>
        <w:tc>
          <w:tcPr>
            <w:tcW w:w="1088" w:type="dxa"/>
            <w:shd w:val="solid" w:color="FFFFFF" w:fill="auto"/>
          </w:tcPr>
          <w:p w:rsidR="00F82319" w:rsidRPr="000A0A5F" w:rsidRDefault="00F82319" w:rsidP="00F82319">
            <w:pPr>
              <w:pStyle w:val="TAC"/>
              <w:rPr>
                <w:sz w:val="16"/>
                <w:szCs w:val="16"/>
              </w:rPr>
            </w:pPr>
            <w:r w:rsidRPr="000A0A5F">
              <w:rPr>
                <w:sz w:val="16"/>
                <w:szCs w:val="16"/>
              </w:rPr>
              <w:t>CP-183116</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0082</w:t>
            </w:r>
          </w:p>
        </w:tc>
        <w:tc>
          <w:tcPr>
            <w:tcW w:w="424" w:type="dxa"/>
            <w:shd w:val="solid" w:color="FFFFFF" w:fill="auto"/>
          </w:tcPr>
          <w:p w:rsidR="00F82319" w:rsidRPr="000A0A5F" w:rsidRDefault="00F82319" w:rsidP="00F82319">
            <w:pPr>
              <w:pStyle w:val="TAR"/>
              <w:rPr>
                <w:sz w:val="16"/>
                <w:szCs w:val="16"/>
              </w:rPr>
            </w:pP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Remove format keyword for TimeOfDay data type</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15.2.0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2018-12</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CT#82</w:t>
            </w:r>
          </w:p>
        </w:tc>
        <w:tc>
          <w:tcPr>
            <w:tcW w:w="1088" w:type="dxa"/>
            <w:shd w:val="solid" w:color="FFFFFF" w:fill="auto"/>
          </w:tcPr>
          <w:p w:rsidR="00F82319" w:rsidRPr="000A0A5F" w:rsidRDefault="00F82319" w:rsidP="00F82319">
            <w:pPr>
              <w:pStyle w:val="TAC"/>
              <w:rPr>
                <w:sz w:val="16"/>
                <w:szCs w:val="16"/>
              </w:rPr>
            </w:pPr>
            <w:r w:rsidRPr="000A0A5F">
              <w:rPr>
                <w:sz w:val="16"/>
                <w:szCs w:val="16"/>
              </w:rPr>
              <w:t>CP-183116</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0083</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2</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Additional external group ID for number of UE in an area</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15.2.0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2018-12</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CT#82</w:t>
            </w:r>
          </w:p>
        </w:tc>
        <w:tc>
          <w:tcPr>
            <w:tcW w:w="1088" w:type="dxa"/>
            <w:shd w:val="solid" w:color="FFFFFF" w:fill="auto"/>
          </w:tcPr>
          <w:p w:rsidR="00F82319" w:rsidRPr="000A0A5F" w:rsidRDefault="00F82319" w:rsidP="00F82319">
            <w:pPr>
              <w:pStyle w:val="TAC"/>
              <w:rPr>
                <w:sz w:val="16"/>
                <w:szCs w:val="16"/>
              </w:rPr>
            </w:pPr>
            <w:r w:rsidRPr="000A0A5F">
              <w:rPr>
                <w:sz w:val="16"/>
                <w:szCs w:val="16"/>
              </w:rPr>
              <w:t>CP-183116</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0084</w:t>
            </w:r>
          </w:p>
        </w:tc>
        <w:tc>
          <w:tcPr>
            <w:tcW w:w="424" w:type="dxa"/>
            <w:shd w:val="solid" w:color="FFFFFF" w:fill="auto"/>
          </w:tcPr>
          <w:p w:rsidR="00F82319" w:rsidRPr="000A0A5F" w:rsidRDefault="00F82319" w:rsidP="00F82319">
            <w:pPr>
              <w:pStyle w:val="TAR"/>
              <w:rPr>
                <w:sz w:val="16"/>
                <w:szCs w:val="16"/>
              </w:rPr>
            </w:pP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Correct eDRX cycle length</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15.2.0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2018-12</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CT#82</w:t>
            </w:r>
          </w:p>
        </w:tc>
        <w:tc>
          <w:tcPr>
            <w:tcW w:w="1088" w:type="dxa"/>
            <w:shd w:val="solid" w:color="FFFFFF" w:fill="auto"/>
          </w:tcPr>
          <w:p w:rsidR="00F82319" w:rsidRPr="000A0A5F" w:rsidRDefault="00F82319" w:rsidP="00F82319">
            <w:pPr>
              <w:pStyle w:val="TAC"/>
              <w:rPr>
                <w:sz w:val="16"/>
                <w:szCs w:val="16"/>
              </w:rPr>
            </w:pPr>
            <w:r w:rsidRPr="000A0A5F">
              <w:rPr>
                <w:sz w:val="16"/>
                <w:szCs w:val="16"/>
              </w:rPr>
              <w:t>CP-183116</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0086</w:t>
            </w:r>
          </w:p>
        </w:tc>
        <w:tc>
          <w:tcPr>
            <w:tcW w:w="424" w:type="dxa"/>
            <w:shd w:val="solid" w:color="FFFFFF" w:fill="auto"/>
          </w:tcPr>
          <w:p w:rsidR="00F82319" w:rsidRPr="000A0A5F" w:rsidRDefault="00F82319" w:rsidP="00F82319">
            <w:pPr>
              <w:pStyle w:val="TAR"/>
              <w:rPr>
                <w:sz w:val="16"/>
                <w:szCs w:val="16"/>
              </w:rPr>
            </w:pP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Correct PLMN ID in monitoring API</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15.2.0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2018-12</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CT#82</w:t>
            </w:r>
          </w:p>
        </w:tc>
        <w:tc>
          <w:tcPr>
            <w:tcW w:w="1088" w:type="dxa"/>
            <w:shd w:val="solid" w:color="FFFFFF" w:fill="auto"/>
          </w:tcPr>
          <w:p w:rsidR="00F82319" w:rsidRPr="000A0A5F" w:rsidRDefault="00F82319" w:rsidP="00F82319">
            <w:pPr>
              <w:pStyle w:val="TAC"/>
              <w:rPr>
                <w:sz w:val="16"/>
                <w:szCs w:val="16"/>
              </w:rPr>
            </w:pPr>
            <w:r w:rsidRPr="000A0A5F">
              <w:rPr>
                <w:sz w:val="16"/>
                <w:szCs w:val="16"/>
              </w:rPr>
              <w:t>CP-183116</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0088</w:t>
            </w:r>
          </w:p>
        </w:tc>
        <w:tc>
          <w:tcPr>
            <w:tcW w:w="424" w:type="dxa"/>
            <w:shd w:val="solid" w:color="FFFFFF" w:fill="auto"/>
          </w:tcPr>
          <w:p w:rsidR="00F82319" w:rsidRPr="000A0A5F" w:rsidRDefault="00F82319" w:rsidP="00F82319">
            <w:pPr>
              <w:pStyle w:val="TAR"/>
              <w:rPr>
                <w:sz w:val="16"/>
                <w:szCs w:val="16"/>
              </w:rPr>
            </w:pP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Missing ECRData in ECR configuration response</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15.2.0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2018-12</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CT#82</w:t>
            </w:r>
          </w:p>
        </w:tc>
        <w:tc>
          <w:tcPr>
            <w:tcW w:w="1088" w:type="dxa"/>
            <w:shd w:val="solid" w:color="FFFFFF" w:fill="auto"/>
          </w:tcPr>
          <w:p w:rsidR="00F82319" w:rsidRPr="000A0A5F" w:rsidRDefault="00F82319" w:rsidP="00F82319">
            <w:pPr>
              <w:pStyle w:val="TAC"/>
              <w:rPr>
                <w:sz w:val="16"/>
                <w:szCs w:val="16"/>
              </w:rPr>
            </w:pPr>
            <w:r w:rsidRPr="000A0A5F">
              <w:rPr>
                <w:sz w:val="16"/>
                <w:szCs w:val="16"/>
              </w:rPr>
              <w:t>CP-183116</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0089</w:t>
            </w:r>
          </w:p>
        </w:tc>
        <w:tc>
          <w:tcPr>
            <w:tcW w:w="424" w:type="dxa"/>
            <w:shd w:val="solid" w:color="FFFFFF" w:fill="auto"/>
          </w:tcPr>
          <w:p w:rsidR="00F82319" w:rsidRPr="000A0A5F" w:rsidRDefault="00F82319" w:rsidP="00F82319">
            <w:pPr>
              <w:pStyle w:val="TAR"/>
              <w:rPr>
                <w:sz w:val="16"/>
                <w:szCs w:val="16"/>
              </w:rPr>
            </w:pP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Correct GMD via MBMS</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15.2.0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2018-12</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CT#82</w:t>
            </w:r>
          </w:p>
        </w:tc>
        <w:tc>
          <w:tcPr>
            <w:tcW w:w="1088" w:type="dxa"/>
            <w:shd w:val="solid" w:color="FFFFFF" w:fill="auto"/>
          </w:tcPr>
          <w:p w:rsidR="00F82319" w:rsidRPr="000A0A5F" w:rsidRDefault="00F82319" w:rsidP="00F82319">
            <w:pPr>
              <w:pStyle w:val="TAC"/>
              <w:rPr>
                <w:sz w:val="16"/>
                <w:szCs w:val="16"/>
              </w:rPr>
            </w:pPr>
            <w:r w:rsidRPr="000A0A5F">
              <w:rPr>
                <w:sz w:val="16"/>
                <w:szCs w:val="16"/>
              </w:rPr>
              <w:t>CP-183116</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0090</w:t>
            </w:r>
          </w:p>
        </w:tc>
        <w:tc>
          <w:tcPr>
            <w:tcW w:w="424" w:type="dxa"/>
            <w:shd w:val="solid" w:color="FFFFFF" w:fill="auto"/>
          </w:tcPr>
          <w:p w:rsidR="00F82319" w:rsidRPr="000A0A5F" w:rsidRDefault="00F82319" w:rsidP="00F82319">
            <w:pPr>
              <w:pStyle w:val="TAR"/>
              <w:rPr>
                <w:sz w:val="16"/>
                <w:szCs w:val="16"/>
              </w:rPr>
            </w:pP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Missing UE ID in GMD acknowledgement</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15.2.0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2018-12</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CT#82</w:t>
            </w:r>
          </w:p>
        </w:tc>
        <w:tc>
          <w:tcPr>
            <w:tcW w:w="1088" w:type="dxa"/>
            <w:shd w:val="solid" w:color="FFFFFF" w:fill="auto"/>
          </w:tcPr>
          <w:p w:rsidR="00F82319" w:rsidRPr="000A0A5F" w:rsidRDefault="00F82319" w:rsidP="00F82319">
            <w:pPr>
              <w:pStyle w:val="TAC"/>
              <w:rPr>
                <w:sz w:val="16"/>
                <w:szCs w:val="16"/>
              </w:rPr>
            </w:pPr>
            <w:r w:rsidRPr="000A0A5F">
              <w:rPr>
                <w:sz w:val="16"/>
                <w:szCs w:val="16"/>
              </w:rPr>
              <w:t>CP-183116</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0091</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RDS indication in MT NIDD acknowledgement</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15.2.0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2018-12</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CT#82</w:t>
            </w:r>
          </w:p>
        </w:tc>
        <w:tc>
          <w:tcPr>
            <w:tcW w:w="1088" w:type="dxa"/>
            <w:shd w:val="solid" w:color="FFFFFF" w:fill="auto"/>
          </w:tcPr>
          <w:p w:rsidR="00F82319" w:rsidRPr="000A0A5F" w:rsidRDefault="00F82319" w:rsidP="00F82319">
            <w:pPr>
              <w:pStyle w:val="TAC"/>
              <w:rPr>
                <w:sz w:val="16"/>
                <w:szCs w:val="16"/>
              </w:rPr>
            </w:pPr>
            <w:r w:rsidRPr="000A0A5F">
              <w:rPr>
                <w:sz w:val="16"/>
                <w:szCs w:val="16"/>
              </w:rPr>
              <w:t>CP-183116</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0092</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Correct pfdDatas cardinality in PFD management</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15.2.0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2018-12</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CT#82</w:t>
            </w:r>
          </w:p>
        </w:tc>
        <w:tc>
          <w:tcPr>
            <w:tcW w:w="1088" w:type="dxa"/>
            <w:shd w:val="solid" w:color="FFFFFF" w:fill="auto"/>
          </w:tcPr>
          <w:p w:rsidR="00F82319" w:rsidRPr="000A0A5F" w:rsidRDefault="00F82319" w:rsidP="00F82319">
            <w:pPr>
              <w:pStyle w:val="TAC"/>
              <w:rPr>
                <w:sz w:val="16"/>
                <w:szCs w:val="16"/>
              </w:rPr>
            </w:pPr>
            <w:r w:rsidRPr="000A0A5F">
              <w:rPr>
                <w:sz w:val="16"/>
                <w:szCs w:val="16"/>
              </w:rPr>
              <w:t>CP-183116</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0093</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Correct NP configuration yaml definition</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15.2.0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2018-12</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CT#82</w:t>
            </w:r>
          </w:p>
        </w:tc>
        <w:tc>
          <w:tcPr>
            <w:tcW w:w="1088" w:type="dxa"/>
            <w:shd w:val="solid" w:color="FFFFFF" w:fill="auto"/>
          </w:tcPr>
          <w:p w:rsidR="00F82319" w:rsidRPr="000A0A5F" w:rsidRDefault="00F82319" w:rsidP="00F82319">
            <w:pPr>
              <w:pStyle w:val="TAC"/>
              <w:rPr>
                <w:sz w:val="16"/>
                <w:szCs w:val="16"/>
              </w:rPr>
            </w:pPr>
            <w:r w:rsidRPr="000A0A5F">
              <w:rPr>
                <w:sz w:val="16"/>
                <w:szCs w:val="16"/>
              </w:rPr>
              <w:t>CP-183116</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0094</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6</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noProof/>
                <w:color w:val="000000"/>
                <w:sz w:val="16"/>
                <w:szCs w:val="16"/>
              </w:rPr>
              <w:t>Different results in CP parameter sets provisioning</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15.2.0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2018-12</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CT#82</w:t>
            </w:r>
          </w:p>
        </w:tc>
        <w:tc>
          <w:tcPr>
            <w:tcW w:w="1088" w:type="dxa"/>
            <w:shd w:val="solid" w:color="FFFFFF" w:fill="auto"/>
          </w:tcPr>
          <w:p w:rsidR="00F82319" w:rsidRPr="000A0A5F" w:rsidRDefault="00F82319" w:rsidP="00F82319">
            <w:pPr>
              <w:pStyle w:val="TAC"/>
              <w:rPr>
                <w:sz w:val="16"/>
                <w:szCs w:val="16"/>
              </w:rPr>
            </w:pPr>
            <w:r w:rsidRPr="000A0A5F">
              <w:rPr>
                <w:sz w:val="16"/>
                <w:szCs w:val="16"/>
              </w:rPr>
              <w:t>CP-183116</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0095</w:t>
            </w:r>
          </w:p>
        </w:tc>
        <w:tc>
          <w:tcPr>
            <w:tcW w:w="424" w:type="dxa"/>
            <w:shd w:val="solid" w:color="FFFFFF" w:fill="auto"/>
          </w:tcPr>
          <w:p w:rsidR="00F82319" w:rsidRPr="000A0A5F" w:rsidRDefault="00F82319" w:rsidP="00F82319">
            <w:pPr>
              <w:pStyle w:val="TAR"/>
              <w:rPr>
                <w:sz w:val="16"/>
                <w:szCs w:val="16"/>
              </w:rPr>
            </w:pP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Correct server URI in Device Trigger</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15.2.0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2018-12</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CT#82</w:t>
            </w:r>
          </w:p>
        </w:tc>
        <w:tc>
          <w:tcPr>
            <w:tcW w:w="1088" w:type="dxa"/>
            <w:shd w:val="solid" w:color="FFFFFF" w:fill="auto"/>
          </w:tcPr>
          <w:p w:rsidR="00F82319" w:rsidRPr="000A0A5F" w:rsidRDefault="00F82319" w:rsidP="00F82319">
            <w:pPr>
              <w:pStyle w:val="TAC"/>
              <w:rPr>
                <w:sz w:val="16"/>
                <w:szCs w:val="16"/>
              </w:rPr>
            </w:pPr>
            <w:r w:rsidRPr="000A0A5F">
              <w:rPr>
                <w:sz w:val="16"/>
                <w:szCs w:val="16"/>
              </w:rPr>
              <w:t>CP-183116</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0096</w:t>
            </w:r>
          </w:p>
        </w:tc>
        <w:tc>
          <w:tcPr>
            <w:tcW w:w="424" w:type="dxa"/>
            <w:shd w:val="solid" w:color="FFFFFF" w:fill="auto"/>
          </w:tcPr>
          <w:p w:rsidR="00F82319" w:rsidRPr="000A0A5F" w:rsidRDefault="00F82319" w:rsidP="00F82319">
            <w:pPr>
              <w:pStyle w:val="TAR"/>
              <w:rPr>
                <w:sz w:val="16"/>
                <w:szCs w:val="16"/>
              </w:rPr>
            </w:pP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Implementation of Binary data</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15.2.0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2018-12</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CT#82</w:t>
            </w:r>
          </w:p>
        </w:tc>
        <w:tc>
          <w:tcPr>
            <w:tcW w:w="1088" w:type="dxa"/>
            <w:shd w:val="solid" w:color="FFFFFF" w:fill="auto"/>
          </w:tcPr>
          <w:p w:rsidR="00F82319" w:rsidRPr="000A0A5F" w:rsidRDefault="00F82319" w:rsidP="00F82319">
            <w:pPr>
              <w:pStyle w:val="TAC"/>
              <w:rPr>
                <w:sz w:val="16"/>
                <w:szCs w:val="16"/>
              </w:rPr>
            </w:pPr>
            <w:r w:rsidRPr="000A0A5F">
              <w:rPr>
                <w:sz w:val="16"/>
                <w:szCs w:val="16"/>
              </w:rPr>
              <w:t>CP-183116</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0097</w:t>
            </w:r>
          </w:p>
        </w:tc>
        <w:tc>
          <w:tcPr>
            <w:tcW w:w="424" w:type="dxa"/>
            <w:shd w:val="solid" w:color="FFFFFF" w:fill="auto"/>
          </w:tcPr>
          <w:p w:rsidR="00F82319" w:rsidRPr="000A0A5F" w:rsidRDefault="00F82319" w:rsidP="00F82319">
            <w:pPr>
              <w:pStyle w:val="TAR"/>
              <w:rPr>
                <w:sz w:val="16"/>
                <w:szCs w:val="16"/>
              </w:rPr>
            </w:pP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Missed GET for resource GMD via MBMS by xMB</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15.2.0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2018-12</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CT#82</w:t>
            </w:r>
          </w:p>
        </w:tc>
        <w:tc>
          <w:tcPr>
            <w:tcW w:w="1088" w:type="dxa"/>
            <w:shd w:val="solid" w:color="FFFFFF" w:fill="auto"/>
          </w:tcPr>
          <w:p w:rsidR="00F82319" w:rsidRPr="000A0A5F" w:rsidRDefault="00F82319" w:rsidP="00F82319">
            <w:pPr>
              <w:pStyle w:val="TAC"/>
              <w:rPr>
                <w:sz w:val="16"/>
                <w:szCs w:val="16"/>
              </w:rPr>
            </w:pPr>
            <w:r w:rsidRPr="000A0A5F">
              <w:rPr>
                <w:sz w:val="16"/>
                <w:szCs w:val="16"/>
              </w:rPr>
              <w:t>CP-183116</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0098</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Notification URI Consistency_ChargableParty</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15.2.0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2018-12</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CT#82</w:t>
            </w:r>
          </w:p>
        </w:tc>
        <w:tc>
          <w:tcPr>
            <w:tcW w:w="1088" w:type="dxa"/>
            <w:shd w:val="solid" w:color="FFFFFF" w:fill="auto"/>
          </w:tcPr>
          <w:p w:rsidR="00F82319" w:rsidRPr="000A0A5F" w:rsidRDefault="00F82319" w:rsidP="00F82319">
            <w:pPr>
              <w:pStyle w:val="TAC"/>
              <w:rPr>
                <w:sz w:val="16"/>
                <w:szCs w:val="16"/>
              </w:rPr>
            </w:pPr>
            <w:r w:rsidRPr="000A0A5F">
              <w:rPr>
                <w:sz w:val="16"/>
                <w:szCs w:val="16"/>
              </w:rPr>
              <w:t>CP-183116</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0099</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Notification URI for GMDviaMBMSbyMB2 API</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15.2.0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2018-12</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CT#82</w:t>
            </w:r>
          </w:p>
        </w:tc>
        <w:tc>
          <w:tcPr>
            <w:tcW w:w="1088" w:type="dxa"/>
            <w:shd w:val="solid" w:color="FFFFFF" w:fill="auto"/>
          </w:tcPr>
          <w:p w:rsidR="00F82319" w:rsidRPr="000A0A5F" w:rsidRDefault="00F82319" w:rsidP="00F82319">
            <w:pPr>
              <w:pStyle w:val="TAC"/>
              <w:rPr>
                <w:sz w:val="16"/>
                <w:szCs w:val="16"/>
              </w:rPr>
            </w:pPr>
            <w:r w:rsidRPr="000A0A5F">
              <w:rPr>
                <w:sz w:val="16"/>
                <w:szCs w:val="16"/>
              </w:rPr>
              <w:t>CP-183116</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0100</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Notification URI for GMDviaMBMSbyxMB API</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15.2.0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2018-12</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CT#82</w:t>
            </w:r>
          </w:p>
        </w:tc>
        <w:tc>
          <w:tcPr>
            <w:tcW w:w="1088" w:type="dxa"/>
            <w:shd w:val="solid" w:color="FFFFFF" w:fill="auto"/>
          </w:tcPr>
          <w:p w:rsidR="00F82319" w:rsidRPr="000A0A5F" w:rsidRDefault="00F82319" w:rsidP="00F82319">
            <w:pPr>
              <w:pStyle w:val="TAC"/>
              <w:rPr>
                <w:sz w:val="16"/>
                <w:szCs w:val="16"/>
              </w:rPr>
            </w:pPr>
            <w:r w:rsidRPr="000A0A5F">
              <w:rPr>
                <w:sz w:val="16"/>
                <w:szCs w:val="16"/>
              </w:rPr>
              <w:t>CP-183116</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0101</w:t>
            </w:r>
          </w:p>
        </w:tc>
        <w:tc>
          <w:tcPr>
            <w:tcW w:w="424" w:type="dxa"/>
            <w:shd w:val="solid" w:color="FFFFFF" w:fill="auto"/>
          </w:tcPr>
          <w:p w:rsidR="00F82319" w:rsidRPr="000A0A5F" w:rsidRDefault="00F82319" w:rsidP="00F82319">
            <w:pPr>
              <w:pStyle w:val="TAR"/>
              <w:rPr>
                <w:sz w:val="16"/>
                <w:szCs w:val="16"/>
              </w:rPr>
            </w:pP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Resource usage and Notification URI for NIDD API</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15.2.0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2018-12</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CT#82</w:t>
            </w:r>
          </w:p>
        </w:tc>
        <w:tc>
          <w:tcPr>
            <w:tcW w:w="1088" w:type="dxa"/>
            <w:shd w:val="solid" w:color="FFFFFF" w:fill="auto"/>
          </w:tcPr>
          <w:p w:rsidR="00F82319" w:rsidRPr="000A0A5F" w:rsidRDefault="00F82319" w:rsidP="00F82319">
            <w:pPr>
              <w:pStyle w:val="TAC"/>
              <w:rPr>
                <w:sz w:val="16"/>
                <w:szCs w:val="16"/>
              </w:rPr>
            </w:pPr>
            <w:r w:rsidRPr="000A0A5F">
              <w:rPr>
                <w:sz w:val="16"/>
                <w:szCs w:val="16"/>
              </w:rPr>
              <w:t>CP-183116</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0102</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2</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Security field</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15.2.0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2018-12</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CT#82</w:t>
            </w:r>
          </w:p>
        </w:tc>
        <w:tc>
          <w:tcPr>
            <w:tcW w:w="1088" w:type="dxa"/>
            <w:shd w:val="solid" w:color="FFFFFF" w:fill="auto"/>
          </w:tcPr>
          <w:p w:rsidR="00F82319" w:rsidRPr="000A0A5F" w:rsidRDefault="00F82319" w:rsidP="00F82319">
            <w:pPr>
              <w:pStyle w:val="TAC"/>
              <w:rPr>
                <w:sz w:val="16"/>
                <w:szCs w:val="16"/>
              </w:rPr>
            </w:pPr>
            <w:r w:rsidRPr="000A0A5F">
              <w:rPr>
                <w:sz w:val="16"/>
                <w:szCs w:val="16"/>
              </w:rPr>
              <w:t>CP-183116</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0103</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Status code support for AsSessionWithQoS API</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15.2.0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2018-12</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CT#82</w:t>
            </w:r>
          </w:p>
        </w:tc>
        <w:tc>
          <w:tcPr>
            <w:tcW w:w="1088" w:type="dxa"/>
            <w:shd w:val="solid" w:color="FFFFFF" w:fill="auto"/>
          </w:tcPr>
          <w:p w:rsidR="00F82319" w:rsidRPr="000A0A5F" w:rsidRDefault="00F82319" w:rsidP="00F82319">
            <w:pPr>
              <w:pStyle w:val="TAC"/>
              <w:rPr>
                <w:sz w:val="16"/>
                <w:szCs w:val="16"/>
              </w:rPr>
            </w:pPr>
            <w:r w:rsidRPr="000A0A5F">
              <w:rPr>
                <w:sz w:val="16"/>
                <w:szCs w:val="16"/>
              </w:rPr>
              <w:t>CP-183116</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0104</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Status code support for ChargeableParty API</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15.2.0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2018-12</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CT#82</w:t>
            </w:r>
          </w:p>
        </w:tc>
        <w:tc>
          <w:tcPr>
            <w:tcW w:w="1088" w:type="dxa"/>
            <w:shd w:val="solid" w:color="FFFFFF" w:fill="auto"/>
          </w:tcPr>
          <w:p w:rsidR="00F82319" w:rsidRPr="000A0A5F" w:rsidRDefault="00F82319" w:rsidP="00F82319">
            <w:pPr>
              <w:pStyle w:val="TAC"/>
              <w:rPr>
                <w:sz w:val="16"/>
                <w:szCs w:val="16"/>
              </w:rPr>
            </w:pPr>
            <w:r w:rsidRPr="000A0A5F">
              <w:rPr>
                <w:sz w:val="16"/>
                <w:szCs w:val="16"/>
              </w:rPr>
              <w:t>CP-183116</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0105</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2</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noProof/>
                <w:color w:val="000000"/>
                <w:sz w:val="16"/>
                <w:szCs w:val="16"/>
              </w:rPr>
              <w:t>Status code support for CpProvisioning API</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15.2.0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2018-12</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CT#82</w:t>
            </w:r>
          </w:p>
        </w:tc>
        <w:tc>
          <w:tcPr>
            <w:tcW w:w="1088" w:type="dxa"/>
            <w:shd w:val="solid" w:color="FFFFFF" w:fill="auto"/>
          </w:tcPr>
          <w:p w:rsidR="00F82319" w:rsidRPr="000A0A5F" w:rsidRDefault="00F82319" w:rsidP="00F82319">
            <w:pPr>
              <w:pStyle w:val="TAC"/>
              <w:rPr>
                <w:sz w:val="16"/>
                <w:szCs w:val="16"/>
              </w:rPr>
            </w:pPr>
            <w:r w:rsidRPr="000A0A5F">
              <w:rPr>
                <w:sz w:val="16"/>
                <w:szCs w:val="16"/>
              </w:rPr>
              <w:t>CP-183116</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0106</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Status code support for DeviceTriggering API</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15.2.0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2018-12</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CT#82</w:t>
            </w:r>
          </w:p>
        </w:tc>
        <w:tc>
          <w:tcPr>
            <w:tcW w:w="1088" w:type="dxa"/>
            <w:shd w:val="solid" w:color="FFFFFF" w:fill="auto"/>
          </w:tcPr>
          <w:p w:rsidR="00F82319" w:rsidRPr="000A0A5F" w:rsidRDefault="00F82319" w:rsidP="00F82319">
            <w:pPr>
              <w:pStyle w:val="TAC"/>
              <w:rPr>
                <w:sz w:val="16"/>
                <w:szCs w:val="16"/>
              </w:rPr>
            </w:pPr>
            <w:r w:rsidRPr="000A0A5F">
              <w:rPr>
                <w:sz w:val="16"/>
                <w:szCs w:val="16"/>
              </w:rPr>
              <w:t>CP-183116</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0107</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Status code support for ECRControl API</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15.2.0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2018-12</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CT#82</w:t>
            </w:r>
          </w:p>
        </w:tc>
        <w:tc>
          <w:tcPr>
            <w:tcW w:w="1088" w:type="dxa"/>
            <w:shd w:val="solid" w:color="FFFFFF" w:fill="auto"/>
          </w:tcPr>
          <w:p w:rsidR="00F82319" w:rsidRPr="000A0A5F" w:rsidRDefault="00F82319" w:rsidP="00F82319">
            <w:pPr>
              <w:pStyle w:val="TAC"/>
              <w:rPr>
                <w:sz w:val="16"/>
                <w:szCs w:val="16"/>
              </w:rPr>
            </w:pPr>
            <w:r w:rsidRPr="000A0A5F">
              <w:rPr>
                <w:sz w:val="16"/>
                <w:szCs w:val="16"/>
              </w:rPr>
              <w:t>CP-183116</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0108</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Status code support for GMDviaMBMSbyMB2 API</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15.2.0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2018-12</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CT#82</w:t>
            </w:r>
          </w:p>
        </w:tc>
        <w:tc>
          <w:tcPr>
            <w:tcW w:w="1088" w:type="dxa"/>
            <w:shd w:val="solid" w:color="FFFFFF" w:fill="auto"/>
          </w:tcPr>
          <w:p w:rsidR="00F82319" w:rsidRPr="000A0A5F" w:rsidRDefault="00F82319" w:rsidP="00F82319">
            <w:pPr>
              <w:pStyle w:val="TAC"/>
              <w:rPr>
                <w:sz w:val="16"/>
                <w:szCs w:val="16"/>
              </w:rPr>
            </w:pPr>
            <w:r w:rsidRPr="000A0A5F">
              <w:rPr>
                <w:sz w:val="16"/>
                <w:szCs w:val="16"/>
              </w:rPr>
              <w:t>CP-183116</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0109</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2</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noProof/>
                <w:color w:val="000000"/>
                <w:sz w:val="16"/>
                <w:szCs w:val="16"/>
              </w:rPr>
              <w:t>Status code support for GMDviaMBMSbyxMB API</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15.2.0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2018-12</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CT#82</w:t>
            </w:r>
          </w:p>
        </w:tc>
        <w:tc>
          <w:tcPr>
            <w:tcW w:w="1088" w:type="dxa"/>
            <w:shd w:val="solid" w:color="FFFFFF" w:fill="auto"/>
          </w:tcPr>
          <w:p w:rsidR="00F82319" w:rsidRPr="000A0A5F" w:rsidRDefault="00F82319" w:rsidP="00F82319">
            <w:pPr>
              <w:pStyle w:val="TAC"/>
              <w:rPr>
                <w:sz w:val="16"/>
                <w:szCs w:val="16"/>
              </w:rPr>
            </w:pPr>
            <w:r w:rsidRPr="000A0A5F">
              <w:rPr>
                <w:sz w:val="16"/>
                <w:szCs w:val="16"/>
              </w:rPr>
              <w:t>CP-183116</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0110</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3</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Status code support for MonitoringEvent API</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15.2.0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2018-12</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CT#82</w:t>
            </w:r>
          </w:p>
        </w:tc>
        <w:tc>
          <w:tcPr>
            <w:tcW w:w="1088" w:type="dxa"/>
            <w:shd w:val="solid" w:color="FFFFFF" w:fill="auto"/>
          </w:tcPr>
          <w:p w:rsidR="00F82319" w:rsidRPr="000A0A5F" w:rsidRDefault="00F82319" w:rsidP="00F82319">
            <w:pPr>
              <w:pStyle w:val="TAC"/>
              <w:rPr>
                <w:sz w:val="16"/>
                <w:szCs w:val="16"/>
              </w:rPr>
            </w:pPr>
            <w:r w:rsidRPr="000A0A5F">
              <w:rPr>
                <w:sz w:val="16"/>
                <w:szCs w:val="16"/>
              </w:rPr>
              <w:t>CP-183116</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0111</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Status code support for MsisdnLessMoSms API</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15.2.0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2018-12</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CT#82</w:t>
            </w:r>
          </w:p>
        </w:tc>
        <w:tc>
          <w:tcPr>
            <w:tcW w:w="1088" w:type="dxa"/>
            <w:shd w:val="solid" w:color="FFFFFF" w:fill="auto"/>
          </w:tcPr>
          <w:p w:rsidR="00F82319" w:rsidRPr="000A0A5F" w:rsidRDefault="00F82319" w:rsidP="00F82319">
            <w:pPr>
              <w:pStyle w:val="TAC"/>
              <w:rPr>
                <w:sz w:val="16"/>
                <w:szCs w:val="16"/>
              </w:rPr>
            </w:pPr>
            <w:r w:rsidRPr="000A0A5F">
              <w:rPr>
                <w:sz w:val="16"/>
                <w:szCs w:val="16"/>
              </w:rPr>
              <w:t>CP-183116</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0112</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2</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Status code support for NIDD API</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15.2.0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2018-12</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CT#82</w:t>
            </w:r>
          </w:p>
        </w:tc>
        <w:tc>
          <w:tcPr>
            <w:tcW w:w="1088" w:type="dxa"/>
            <w:shd w:val="solid" w:color="FFFFFF" w:fill="auto"/>
          </w:tcPr>
          <w:p w:rsidR="00F82319" w:rsidRPr="000A0A5F" w:rsidRDefault="00F82319" w:rsidP="00F82319">
            <w:pPr>
              <w:pStyle w:val="TAC"/>
              <w:rPr>
                <w:sz w:val="16"/>
                <w:szCs w:val="16"/>
              </w:rPr>
            </w:pPr>
            <w:r w:rsidRPr="000A0A5F">
              <w:rPr>
                <w:sz w:val="16"/>
                <w:szCs w:val="16"/>
              </w:rPr>
              <w:t>CP-183116</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0113</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Status code support for NpConfiguration API</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15.2.0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2018-12</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CT#82</w:t>
            </w:r>
          </w:p>
        </w:tc>
        <w:tc>
          <w:tcPr>
            <w:tcW w:w="1088" w:type="dxa"/>
            <w:shd w:val="solid" w:color="FFFFFF" w:fill="auto"/>
          </w:tcPr>
          <w:p w:rsidR="00F82319" w:rsidRPr="000A0A5F" w:rsidRDefault="00F82319" w:rsidP="00F82319">
            <w:pPr>
              <w:pStyle w:val="TAC"/>
              <w:rPr>
                <w:sz w:val="16"/>
                <w:szCs w:val="16"/>
              </w:rPr>
            </w:pPr>
            <w:r w:rsidRPr="000A0A5F">
              <w:rPr>
                <w:sz w:val="16"/>
                <w:szCs w:val="16"/>
              </w:rPr>
              <w:t>CP-183116</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0114</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Status code support for PfdManagement API</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15.2.0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2018-12</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CT#82</w:t>
            </w:r>
          </w:p>
        </w:tc>
        <w:tc>
          <w:tcPr>
            <w:tcW w:w="1088" w:type="dxa"/>
            <w:shd w:val="solid" w:color="FFFFFF" w:fill="auto"/>
          </w:tcPr>
          <w:p w:rsidR="00F82319" w:rsidRPr="000A0A5F" w:rsidRDefault="00F82319" w:rsidP="00F82319">
            <w:pPr>
              <w:pStyle w:val="TAC"/>
              <w:rPr>
                <w:sz w:val="16"/>
                <w:szCs w:val="16"/>
              </w:rPr>
            </w:pPr>
            <w:r w:rsidRPr="000A0A5F">
              <w:rPr>
                <w:sz w:val="16"/>
                <w:szCs w:val="16"/>
              </w:rPr>
              <w:t>CP-183116</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0115</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Status code support for ReportingNetworkStatus API</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15.2.0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2018-12</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CT#82</w:t>
            </w:r>
          </w:p>
        </w:tc>
        <w:tc>
          <w:tcPr>
            <w:tcW w:w="1088" w:type="dxa"/>
            <w:shd w:val="solid" w:color="FFFFFF" w:fill="auto"/>
          </w:tcPr>
          <w:p w:rsidR="00F82319" w:rsidRPr="000A0A5F" w:rsidRDefault="00F82319" w:rsidP="00F82319">
            <w:pPr>
              <w:pStyle w:val="TAC"/>
              <w:rPr>
                <w:sz w:val="16"/>
                <w:szCs w:val="16"/>
              </w:rPr>
            </w:pPr>
            <w:r w:rsidRPr="000A0A5F">
              <w:rPr>
                <w:sz w:val="16"/>
                <w:szCs w:val="16"/>
              </w:rPr>
              <w:t>CP-183116</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0116</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Status code support for ResourceManagementOfBdt API</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15.2.0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2018-12</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CT#82</w:t>
            </w:r>
          </w:p>
        </w:tc>
        <w:tc>
          <w:tcPr>
            <w:tcW w:w="1088" w:type="dxa"/>
            <w:shd w:val="solid" w:color="FFFFFF" w:fill="auto"/>
          </w:tcPr>
          <w:p w:rsidR="00F82319" w:rsidRPr="000A0A5F" w:rsidRDefault="00F82319" w:rsidP="00F82319">
            <w:pPr>
              <w:pStyle w:val="TAC"/>
              <w:rPr>
                <w:sz w:val="16"/>
                <w:szCs w:val="16"/>
              </w:rPr>
            </w:pPr>
            <w:r w:rsidRPr="000A0A5F">
              <w:rPr>
                <w:sz w:val="16"/>
                <w:szCs w:val="16"/>
              </w:rPr>
              <w:t>CP-183116</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0117</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noProof/>
                <w:color w:val="000000"/>
                <w:sz w:val="16"/>
                <w:szCs w:val="16"/>
              </w:rPr>
              <w:t>Location header</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15.2.0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2018-12</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CT#82</w:t>
            </w:r>
          </w:p>
        </w:tc>
        <w:tc>
          <w:tcPr>
            <w:tcW w:w="1088" w:type="dxa"/>
            <w:shd w:val="solid" w:color="FFFFFF" w:fill="auto"/>
          </w:tcPr>
          <w:p w:rsidR="00F82319" w:rsidRPr="000A0A5F" w:rsidRDefault="00F82319" w:rsidP="00F82319">
            <w:pPr>
              <w:pStyle w:val="TAC"/>
              <w:rPr>
                <w:sz w:val="16"/>
                <w:szCs w:val="16"/>
              </w:rPr>
            </w:pPr>
            <w:r w:rsidRPr="000A0A5F">
              <w:rPr>
                <w:sz w:val="16"/>
                <w:szCs w:val="16"/>
              </w:rPr>
              <w:t>CP-183116</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0118</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2</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noProof/>
                <w:color w:val="000000"/>
                <w:sz w:val="16"/>
                <w:szCs w:val="16"/>
              </w:rPr>
              <w:t>API Version Update</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15.2.0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2018-12</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CT#82</w:t>
            </w:r>
          </w:p>
        </w:tc>
        <w:tc>
          <w:tcPr>
            <w:tcW w:w="1088" w:type="dxa"/>
            <w:shd w:val="solid" w:color="FFFFFF" w:fill="auto"/>
          </w:tcPr>
          <w:p w:rsidR="00F82319" w:rsidRPr="000A0A5F" w:rsidRDefault="00F82319" w:rsidP="00F82319">
            <w:pPr>
              <w:pStyle w:val="TAC"/>
              <w:rPr>
                <w:sz w:val="16"/>
                <w:szCs w:val="16"/>
              </w:rPr>
            </w:pPr>
            <w:r w:rsidRPr="000A0A5F">
              <w:rPr>
                <w:sz w:val="16"/>
                <w:szCs w:val="16"/>
              </w:rPr>
              <w:t>CP-183116</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0119</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Link of the created resources for AsSessionWithQoS API</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15.2.0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2018-12</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CT#82</w:t>
            </w:r>
          </w:p>
        </w:tc>
        <w:tc>
          <w:tcPr>
            <w:tcW w:w="1088" w:type="dxa"/>
            <w:shd w:val="solid" w:color="FFFFFF" w:fill="auto"/>
          </w:tcPr>
          <w:p w:rsidR="00F82319" w:rsidRPr="000A0A5F" w:rsidRDefault="00F82319" w:rsidP="00F82319">
            <w:pPr>
              <w:pStyle w:val="TAC"/>
              <w:rPr>
                <w:sz w:val="16"/>
                <w:szCs w:val="16"/>
              </w:rPr>
            </w:pPr>
            <w:r w:rsidRPr="000A0A5F">
              <w:rPr>
                <w:sz w:val="16"/>
                <w:szCs w:val="16"/>
              </w:rPr>
              <w:t>CP-183116</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0120</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Link of the created resources for ChargeableParty API</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15.2.0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2018-12</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CT#82</w:t>
            </w:r>
          </w:p>
        </w:tc>
        <w:tc>
          <w:tcPr>
            <w:tcW w:w="1088" w:type="dxa"/>
            <w:shd w:val="solid" w:color="FFFFFF" w:fill="auto"/>
          </w:tcPr>
          <w:p w:rsidR="00F82319" w:rsidRPr="000A0A5F" w:rsidRDefault="00F82319" w:rsidP="00F82319">
            <w:pPr>
              <w:pStyle w:val="TAC"/>
              <w:rPr>
                <w:sz w:val="16"/>
                <w:szCs w:val="16"/>
              </w:rPr>
            </w:pPr>
            <w:r w:rsidRPr="000A0A5F">
              <w:rPr>
                <w:sz w:val="16"/>
                <w:szCs w:val="16"/>
              </w:rPr>
              <w:t>CP-183116</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0121</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Link of the created resources for CpProvisioning API</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15.2.0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2018-12</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CT#82</w:t>
            </w:r>
          </w:p>
        </w:tc>
        <w:tc>
          <w:tcPr>
            <w:tcW w:w="1088" w:type="dxa"/>
            <w:shd w:val="solid" w:color="FFFFFF" w:fill="auto"/>
          </w:tcPr>
          <w:p w:rsidR="00F82319" w:rsidRPr="000A0A5F" w:rsidRDefault="00F82319" w:rsidP="00F82319">
            <w:pPr>
              <w:pStyle w:val="TAC"/>
              <w:rPr>
                <w:sz w:val="16"/>
                <w:szCs w:val="16"/>
              </w:rPr>
            </w:pPr>
            <w:r w:rsidRPr="000A0A5F">
              <w:rPr>
                <w:sz w:val="16"/>
                <w:szCs w:val="16"/>
              </w:rPr>
              <w:t>CP-183116</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0122</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Link of the created resourcesfor DeviceTriggering API</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15.2.0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2018-12</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CT#82</w:t>
            </w:r>
          </w:p>
        </w:tc>
        <w:tc>
          <w:tcPr>
            <w:tcW w:w="1088" w:type="dxa"/>
            <w:shd w:val="solid" w:color="FFFFFF" w:fill="auto"/>
          </w:tcPr>
          <w:p w:rsidR="00F82319" w:rsidRPr="000A0A5F" w:rsidRDefault="00F82319" w:rsidP="00F82319">
            <w:pPr>
              <w:pStyle w:val="TAC"/>
              <w:rPr>
                <w:sz w:val="16"/>
                <w:szCs w:val="16"/>
              </w:rPr>
            </w:pPr>
            <w:r w:rsidRPr="000A0A5F">
              <w:rPr>
                <w:sz w:val="16"/>
                <w:szCs w:val="16"/>
              </w:rPr>
              <w:t>CP-183116</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0123</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Link of the created resources for GMDviaMBMSbyMB2 API</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15.2.0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2018-12</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CT#82</w:t>
            </w:r>
          </w:p>
        </w:tc>
        <w:tc>
          <w:tcPr>
            <w:tcW w:w="1088" w:type="dxa"/>
            <w:shd w:val="solid" w:color="FFFFFF" w:fill="auto"/>
          </w:tcPr>
          <w:p w:rsidR="00F82319" w:rsidRPr="000A0A5F" w:rsidRDefault="00F82319" w:rsidP="00F82319">
            <w:pPr>
              <w:pStyle w:val="TAC"/>
              <w:rPr>
                <w:sz w:val="16"/>
                <w:szCs w:val="16"/>
              </w:rPr>
            </w:pPr>
            <w:r w:rsidRPr="000A0A5F">
              <w:rPr>
                <w:sz w:val="16"/>
                <w:szCs w:val="16"/>
              </w:rPr>
              <w:t>CP-183116</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0124</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Link of the created resources for GMDviaMBMSbyxMB API</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15.2.0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2018-12</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CT#82</w:t>
            </w:r>
          </w:p>
        </w:tc>
        <w:tc>
          <w:tcPr>
            <w:tcW w:w="1088" w:type="dxa"/>
            <w:shd w:val="solid" w:color="FFFFFF" w:fill="auto"/>
          </w:tcPr>
          <w:p w:rsidR="00F82319" w:rsidRPr="000A0A5F" w:rsidRDefault="00F82319" w:rsidP="00F82319">
            <w:pPr>
              <w:pStyle w:val="TAC"/>
              <w:rPr>
                <w:sz w:val="16"/>
                <w:szCs w:val="16"/>
              </w:rPr>
            </w:pPr>
            <w:r w:rsidRPr="000A0A5F">
              <w:rPr>
                <w:sz w:val="16"/>
                <w:szCs w:val="16"/>
              </w:rPr>
              <w:t>CP-183116</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0125</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Link of the created resources for MonitoringEvent API</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15.2.0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2018-12</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CT#82</w:t>
            </w:r>
          </w:p>
        </w:tc>
        <w:tc>
          <w:tcPr>
            <w:tcW w:w="1088" w:type="dxa"/>
            <w:shd w:val="solid" w:color="FFFFFF" w:fill="auto"/>
          </w:tcPr>
          <w:p w:rsidR="00F82319" w:rsidRPr="000A0A5F" w:rsidRDefault="00F82319" w:rsidP="00F82319">
            <w:pPr>
              <w:pStyle w:val="TAC"/>
              <w:rPr>
                <w:sz w:val="16"/>
                <w:szCs w:val="16"/>
              </w:rPr>
            </w:pPr>
            <w:r w:rsidRPr="000A0A5F">
              <w:rPr>
                <w:sz w:val="16"/>
                <w:szCs w:val="16"/>
              </w:rPr>
              <w:t>CP-183116</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0126</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Link of the created resources for NIDD API</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15.2.0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2018-12</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CT#82</w:t>
            </w:r>
          </w:p>
        </w:tc>
        <w:tc>
          <w:tcPr>
            <w:tcW w:w="1088" w:type="dxa"/>
            <w:shd w:val="solid" w:color="FFFFFF" w:fill="auto"/>
          </w:tcPr>
          <w:p w:rsidR="00F82319" w:rsidRPr="000A0A5F" w:rsidRDefault="00F82319" w:rsidP="00F82319">
            <w:pPr>
              <w:pStyle w:val="TAC"/>
              <w:rPr>
                <w:sz w:val="16"/>
                <w:szCs w:val="16"/>
              </w:rPr>
            </w:pPr>
            <w:r w:rsidRPr="000A0A5F">
              <w:rPr>
                <w:sz w:val="16"/>
                <w:szCs w:val="16"/>
              </w:rPr>
              <w:t>CP-183116</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0127</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Link of the created resources for NpConfiguration API</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15.2.0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2018-12</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CT#82</w:t>
            </w:r>
          </w:p>
        </w:tc>
        <w:tc>
          <w:tcPr>
            <w:tcW w:w="1088" w:type="dxa"/>
            <w:shd w:val="solid" w:color="FFFFFF" w:fill="auto"/>
          </w:tcPr>
          <w:p w:rsidR="00F82319" w:rsidRPr="000A0A5F" w:rsidRDefault="00F82319" w:rsidP="00F82319">
            <w:pPr>
              <w:pStyle w:val="TAC"/>
              <w:rPr>
                <w:sz w:val="16"/>
                <w:szCs w:val="16"/>
              </w:rPr>
            </w:pPr>
            <w:r w:rsidRPr="000A0A5F">
              <w:rPr>
                <w:sz w:val="16"/>
                <w:szCs w:val="16"/>
              </w:rPr>
              <w:t>CP-183116</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0128</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Link of the created resources for PfdManagement API</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15.2.0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2018-12</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CT#82</w:t>
            </w:r>
          </w:p>
        </w:tc>
        <w:tc>
          <w:tcPr>
            <w:tcW w:w="1088" w:type="dxa"/>
            <w:shd w:val="solid" w:color="FFFFFF" w:fill="auto"/>
          </w:tcPr>
          <w:p w:rsidR="00F82319" w:rsidRPr="000A0A5F" w:rsidRDefault="00F82319" w:rsidP="00F82319">
            <w:pPr>
              <w:pStyle w:val="TAC"/>
              <w:rPr>
                <w:sz w:val="16"/>
                <w:szCs w:val="16"/>
              </w:rPr>
            </w:pPr>
            <w:r w:rsidRPr="000A0A5F">
              <w:rPr>
                <w:sz w:val="16"/>
                <w:szCs w:val="16"/>
              </w:rPr>
              <w:t>CP-183116</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0129</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Link of the created resources for ReportingNetworkStatus API</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15.2.0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2018-12</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CT#82</w:t>
            </w:r>
          </w:p>
        </w:tc>
        <w:tc>
          <w:tcPr>
            <w:tcW w:w="1088" w:type="dxa"/>
            <w:shd w:val="solid" w:color="FFFFFF" w:fill="auto"/>
          </w:tcPr>
          <w:p w:rsidR="00F82319" w:rsidRPr="000A0A5F" w:rsidRDefault="00F82319" w:rsidP="00F82319">
            <w:pPr>
              <w:pStyle w:val="TAC"/>
              <w:rPr>
                <w:sz w:val="16"/>
                <w:szCs w:val="16"/>
              </w:rPr>
            </w:pPr>
            <w:r w:rsidRPr="000A0A5F">
              <w:rPr>
                <w:sz w:val="16"/>
                <w:szCs w:val="16"/>
              </w:rPr>
              <w:t>CP-183116</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0130</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Link of the created resources for ResourceManagementOfBdt API</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15.2.0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2018-12</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CT#82</w:t>
            </w:r>
          </w:p>
        </w:tc>
        <w:tc>
          <w:tcPr>
            <w:tcW w:w="1088" w:type="dxa"/>
            <w:shd w:val="solid" w:color="FFFFFF" w:fill="auto"/>
          </w:tcPr>
          <w:p w:rsidR="00F82319" w:rsidRPr="000A0A5F" w:rsidRDefault="00F82319" w:rsidP="00F82319">
            <w:pPr>
              <w:pStyle w:val="TAC"/>
              <w:rPr>
                <w:sz w:val="16"/>
                <w:szCs w:val="16"/>
              </w:rPr>
            </w:pPr>
            <w:r w:rsidRPr="000A0A5F">
              <w:rPr>
                <w:sz w:val="16"/>
                <w:szCs w:val="16"/>
              </w:rPr>
              <w:t>CP-183116</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0132</w:t>
            </w:r>
          </w:p>
        </w:tc>
        <w:tc>
          <w:tcPr>
            <w:tcW w:w="424" w:type="dxa"/>
            <w:shd w:val="solid" w:color="FFFFFF" w:fill="auto"/>
          </w:tcPr>
          <w:p w:rsidR="00F82319" w:rsidRPr="000A0A5F" w:rsidRDefault="00F82319" w:rsidP="00F82319">
            <w:pPr>
              <w:pStyle w:val="TAR"/>
              <w:rPr>
                <w:sz w:val="16"/>
                <w:szCs w:val="16"/>
              </w:rPr>
            </w:pP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API version for MonitoringEvent API</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15.2.0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2018-12</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CT#82</w:t>
            </w:r>
          </w:p>
        </w:tc>
        <w:tc>
          <w:tcPr>
            <w:tcW w:w="1088" w:type="dxa"/>
            <w:shd w:val="solid" w:color="FFFFFF" w:fill="auto"/>
          </w:tcPr>
          <w:p w:rsidR="00F82319" w:rsidRPr="000A0A5F" w:rsidRDefault="00F82319" w:rsidP="00F82319">
            <w:pPr>
              <w:pStyle w:val="TAC"/>
              <w:rPr>
                <w:sz w:val="16"/>
                <w:szCs w:val="16"/>
              </w:rPr>
            </w:pPr>
            <w:r w:rsidRPr="000A0A5F">
              <w:rPr>
                <w:sz w:val="16"/>
                <w:szCs w:val="16"/>
              </w:rPr>
              <w:t>CP-183116</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0133</w:t>
            </w:r>
          </w:p>
        </w:tc>
        <w:tc>
          <w:tcPr>
            <w:tcW w:w="424" w:type="dxa"/>
            <w:shd w:val="solid" w:color="FFFFFF" w:fill="auto"/>
          </w:tcPr>
          <w:p w:rsidR="00F82319" w:rsidRPr="000A0A5F" w:rsidRDefault="00F82319" w:rsidP="00F82319">
            <w:pPr>
              <w:pStyle w:val="TAR"/>
              <w:rPr>
                <w:sz w:val="16"/>
                <w:szCs w:val="16"/>
              </w:rPr>
            </w:pP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noProof/>
                <w:color w:val="000000"/>
                <w:sz w:val="16"/>
                <w:szCs w:val="16"/>
              </w:rPr>
              <w:t>Successful code corrections for group message delivery APIs</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15.2.0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2018-12</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CT#82</w:t>
            </w:r>
          </w:p>
        </w:tc>
        <w:tc>
          <w:tcPr>
            <w:tcW w:w="108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CP-183117</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0087</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2</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B</w:t>
            </w:r>
          </w:p>
        </w:tc>
        <w:tc>
          <w:tcPr>
            <w:tcW w:w="4919" w:type="dxa"/>
            <w:shd w:val="solid" w:color="FFFFFF" w:fill="auto"/>
          </w:tcPr>
          <w:p w:rsidR="00F82319" w:rsidRPr="000A0A5F" w:rsidRDefault="00F82319" w:rsidP="00F82319">
            <w:pPr>
              <w:pStyle w:val="TAL"/>
              <w:rPr>
                <w:sz w:val="16"/>
                <w:szCs w:val="16"/>
              </w:rPr>
            </w:pPr>
            <w:r w:rsidRPr="000A0A5F">
              <w:rPr>
                <w:sz w:val="16"/>
                <w:szCs w:val="16"/>
              </w:rPr>
              <w:t>PDN connectivity status monitoring</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16.0.0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2019-03</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CT#83</w:t>
            </w:r>
          </w:p>
        </w:tc>
        <w:tc>
          <w:tcPr>
            <w:tcW w:w="108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CP-190109</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0138</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4</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PFD extension</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16.1.0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2019-03</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CT#83</w:t>
            </w:r>
          </w:p>
        </w:tc>
        <w:tc>
          <w:tcPr>
            <w:tcW w:w="108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CP-190125</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0140</w:t>
            </w:r>
          </w:p>
        </w:tc>
        <w:tc>
          <w:tcPr>
            <w:tcW w:w="424" w:type="dxa"/>
            <w:shd w:val="solid" w:color="FFFFFF" w:fill="auto"/>
          </w:tcPr>
          <w:p w:rsidR="00F82319" w:rsidRPr="000A0A5F" w:rsidRDefault="00F82319" w:rsidP="00F82319">
            <w:pPr>
              <w:pStyle w:val="TAR"/>
              <w:rPr>
                <w:sz w:val="16"/>
                <w:szCs w:val="16"/>
              </w:rPr>
            </w:pP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Remove SHORT_DELAY_STORED</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16.1.0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2019-03</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CT#83</w:t>
            </w:r>
          </w:p>
        </w:tc>
        <w:tc>
          <w:tcPr>
            <w:tcW w:w="108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CP-190125</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0142</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3</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Renew TMGI expiration</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16.1.0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2019-03</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CT#83</w:t>
            </w:r>
          </w:p>
        </w:tc>
        <w:tc>
          <w:tcPr>
            <w:tcW w:w="108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CP-190125</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0144</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2</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Corrections related to mandatory features and and MonitoringEvent API errors</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16.1.0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2019-03</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CT#83</w:t>
            </w:r>
          </w:p>
        </w:tc>
        <w:tc>
          <w:tcPr>
            <w:tcW w:w="108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CP-190125</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0146</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Correction on MacAddr48 data type reference in the OpenAPI file</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16.1.0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2019-03</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CT#83</w:t>
            </w:r>
          </w:p>
        </w:tc>
        <w:tc>
          <w:tcPr>
            <w:tcW w:w="108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CP-190159</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0148</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2</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API Version Update</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16.1.0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2019-03</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CT#83</w:t>
            </w:r>
          </w:p>
        </w:tc>
        <w:tc>
          <w:tcPr>
            <w:tcW w:w="108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CP-190129</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0149</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2</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Moving xMB stage 2 to TS 26.348</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16.1.0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2019-06</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CT#84</w:t>
            </w:r>
          </w:p>
        </w:tc>
        <w:tc>
          <w:tcPr>
            <w:tcW w:w="108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CP-191073</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0151</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A</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Correction on 5G location area</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16.2.0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2019-06</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CT#84</w:t>
            </w:r>
          </w:p>
        </w:tc>
        <w:tc>
          <w:tcPr>
            <w:tcW w:w="108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CP-191092</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0153</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A</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Failure case when feature required by the monitoring type unsupported</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16.2.0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2019-06</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CT#84</w:t>
            </w:r>
          </w:p>
        </w:tc>
        <w:tc>
          <w:tcPr>
            <w:tcW w:w="108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CP-191073</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0155</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A</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5G feature for Number of UEs in an area notification</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16.2.0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2019-06</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CT#84</w:t>
            </w:r>
          </w:p>
        </w:tc>
        <w:tc>
          <w:tcPr>
            <w:tcW w:w="108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CP-191210</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0156</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4</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B</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Notification of Downlink data delivery status and availability after DDN failure notification for multiple Afs</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16.2.0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2019-06</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CT#84</w:t>
            </w:r>
          </w:p>
        </w:tc>
        <w:tc>
          <w:tcPr>
            <w:tcW w:w="108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CP-191090</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0157</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B</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Add External Group Id</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16.2.0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2019-06</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CT#84</w:t>
            </w:r>
          </w:p>
        </w:tc>
        <w:tc>
          <w:tcPr>
            <w:tcW w:w="108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CP-191092</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0160</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A</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Add openAPI definition for 200 OK in MonitoringEvent API</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16.2.0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2019-06</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CT#84</w:t>
            </w:r>
          </w:p>
        </w:tc>
        <w:tc>
          <w:tcPr>
            <w:tcW w:w="108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CP-191100</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0163</w:t>
            </w:r>
          </w:p>
        </w:tc>
        <w:tc>
          <w:tcPr>
            <w:tcW w:w="424" w:type="dxa"/>
            <w:shd w:val="solid" w:color="FFFFFF" w:fill="auto"/>
          </w:tcPr>
          <w:p w:rsidR="00F82319" w:rsidRPr="000A0A5F" w:rsidRDefault="00F82319" w:rsidP="00F82319">
            <w:pPr>
              <w:pStyle w:val="TAR"/>
              <w:rPr>
                <w:sz w:val="16"/>
                <w:szCs w:val="16"/>
              </w:rPr>
            </w:pP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B</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Feature applicability for PDN connectivity status</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16.2.0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2019-06</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CT#84</w:t>
            </w:r>
          </w:p>
        </w:tc>
        <w:tc>
          <w:tcPr>
            <w:tcW w:w="108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CP-191099</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0165</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A</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Support of MTC Provider Id</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16.2.0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2019-06</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CT#84</w:t>
            </w:r>
          </w:p>
        </w:tc>
        <w:tc>
          <w:tcPr>
            <w:tcW w:w="108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CP-191070</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0166</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B</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Network parameter provisioning support</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16.2.0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2019-06</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CT#84</w:t>
            </w:r>
          </w:p>
        </w:tc>
        <w:tc>
          <w:tcPr>
            <w:tcW w:w="108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CP-191092</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0168</w:t>
            </w:r>
          </w:p>
        </w:tc>
        <w:tc>
          <w:tcPr>
            <w:tcW w:w="424" w:type="dxa"/>
            <w:shd w:val="solid" w:color="FFFFFF" w:fill="auto"/>
          </w:tcPr>
          <w:p w:rsidR="00F82319" w:rsidRPr="000A0A5F" w:rsidRDefault="00F82319" w:rsidP="00F82319">
            <w:pPr>
              <w:pStyle w:val="TAR"/>
              <w:rPr>
                <w:sz w:val="16"/>
                <w:szCs w:val="16"/>
              </w:rPr>
            </w:pP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A</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Add openAPI definition for PUT in BDT API</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16.2.0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2019-06</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CT#84</w:t>
            </w:r>
          </w:p>
        </w:tc>
        <w:tc>
          <w:tcPr>
            <w:tcW w:w="108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CP-191103</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0171</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B</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PFD management notification</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16.2.0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2019-06</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CT#84</w:t>
            </w:r>
          </w:p>
        </w:tc>
        <w:tc>
          <w:tcPr>
            <w:tcW w:w="108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CP-191100</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0173</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Clarify number of UE in an area</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16.2.0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2019-06</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CT#84</w:t>
            </w:r>
          </w:p>
        </w:tc>
        <w:tc>
          <w:tcPr>
            <w:tcW w:w="108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CP-191070</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0174</w:t>
            </w:r>
          </w:p>
        </w:tc>
        <w:tc>
          <w:tcPr>
            <w:tcW w:w="424" w:type="dxa"/>
            <w:shd w:val="solid" w:color="FFFFFF" w:fill="auto"/>
          </w:tcPr>
          <w:p w:rsidR="00F82319" w:rsidRPr="000A0A5F" w:rsidRDefault="00F82319" w:rsidP="00F82319">
            <w:pPr>
              <w:pStyle w:val="TAR"/>
              <w:rPr>
                <w:sz w:val="16"/>
                <w:szCs w:val="16"/>
              </w:rPr>
            </w:pP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Update reference to TS 24.250</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16.2.0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2019-06</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CT#84</w:t>
            </w:r>
          </w:p>
        </w:tc>
        <w:tc>
          <w:tcPr>
            <w:tcW w:w="108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CP-191105</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0175</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2</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B</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BDT Warning Notification Support</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16.2.0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2019-06</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CT#84</w:t>
            </w:r>
          </w:p>
        </w:tc>
        <w:tc>
          <w:tcPr>
            <w:tcW w:w="108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CP-191092</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0177</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A</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Precedence and storage of T8 OpenAPI files</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16.2.0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2019-06</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CT#84</w:t>
            </w:r>
          </w:p>
        </w:tc>
        <w:tc>
          <w:tcPr>
            <w:tcW w:w="108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CP-191092</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0179</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2</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A</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Copyright Note in YAML file</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16.2.0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2019-06</w:t>
            </w:r>
          </w:p>
        </w:tc>
        <w:tc>
          <w:tcPr>
            <w:tcW w:w="79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CT#84</w:t>
            </w:r>
          </w:p>
        </w:tc>
        <w:tc>
          <w:tcPr>
            <w:tcW w:w="108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CP-191101</w:t>
            </w:r>
          </w:p>
        </w:tc>
        <w:tc>
          <w:tcPr>
            <w:tcW w:w="524"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0181</w:t>
            </w:r>
          </w:p>
        </w:tc>
        <w:tc>
          <w:tcPr>
            <w:tcW w:w="424" w:type="dxa"/>
            <w:shd w:val="solid" w:color="FFFFFF" w:fill="auto"/>
          </w:tcPr>
          <w:p w:rsidR="00F82319" w:rsidRPr="000A0A5F" w:rsidRDefault="00F82319" w:rsidP="00F82319">
            <w:pPr>
              <w:pStyle w:val="TAR"/>
              <w:rPr>
                <w:sz w:val="16"/>
                <w:szCs w:val="16"/>
              </w:rPr>
            </w:pPr>
            <w:r w:rsidRPr="000A0A5F">
              <w:rPr>
                <w:rFonts w:cs="Arial"/>
                <w:color w:val="000000"/>
                <w:sz w:val="16"/>
                <w:szCs w:val="16"/>
                <w:lang w:eastAsia="zh-CN"/>
              </w:rPr>
              <w:t>2</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API version Update</w:t>
            </w:r>
          </w:p>
        </w:tc>
        <w:tc>
          <w:tcPr>
            <w:tcW w:w="707"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16.2.0</w:t>
            </w:r>
          </w:p>
        </w:tc>
      </w:tr>
      <w:tr w:rsidR="00F82319" w:rsidRPr="000A0A5F" w:rsidTr="00274CFF">
        <w:tc>
          <w:tcPr>
            <w:tcW w:w="798" w:type="dxa"/>
            <w:shd w:val="solid" w:color="FFFFFF" w:fill="auto"/>
          </w:tcPr>
          <w:p w:rsidR="00F82319" w:rsidRPr="000A0A5F" w:rsidRDefault="00F82319" w:rsidP="00F82319">
            <w:pPr>
              <w:pStyle w:val="TAC"/>
              <w:rPr>
                <w:sz w:val="16"/>
                <w:szCs w:val="16"/>
              </w:rPr>
            </w:pPr>
            <w:r w:rsidRPr="000A0A5F">
              <w:rPr>
                <w:rFonts w:cs="Arial" w:hint="eastAsia"/>
                <w:color w:val="000000"/>
                <w:sz w:val="16"/>
                <w:szCs w:val="16"/>
                <w:lang w:eastAsia="zh-CN"/>
              </w:rPr>
              <w:t>2</w:t>
            </w:r>
            <w:r w:rsidRPr="000A0A5F">
              <w:rPr>
                <w:rFonts w:cs="Arial"/>
                <w:color w:val="000000"/>
                <w:sz w:val="16"/>
                <w:szCs w:val="16"/>
                <w:lang w:eastAsia="zh-CN"/>
              </w:rPr>
              <w:t>019-09</w:t>
            </w:r>
          </w:p>
        </w:tc>
        <w:tc>
          <w:tcPr>
            <w:tcW w:w="797" w:type="dxa"/>
            <w:shd w:val="solid" w:color="FFFFFF" w:fill="auto"/>
          </w:tcPr>
          <w:p w:rsidR="00F82319" w:rsidRPr="000A0A5F" w:rsidRDefault="00F82319" w:rsidP="00F82319">
            <w:pPr>
              <w:pStyle w:val="TAC"/>
              <w:rPr>
                <w:sz w:val="16"/>
                <w:szCs w:val="16"/>
              </w:rPr>
            </w:pPr>
            <w:r w:rsidRPr="000A0A5F">
              <w:rPr>
                <w:rFonts w:cs="Arial" w:hint="eastAsia"/>
                <w:color w:val="000000"/>
                <w:sz w:val="16"/>
                <w:szCs w:val="16"/>
                <w:lang w:eastAsia="zh-CN"/>
              </w:rPr>
              <w:t>CT#</w:t>
            </w:r>
            <w:r w:rsidRPr="000A0A5F">
              <w:rPr>
                <w:rFonts w:cs="Arial"/>
                <w:color w:val="000000"/>
                <w:sz w:val="16"/>
                <w:szCs w:val="16"/>
                <w:lang w:eastAsia="zh-CN"/>
              </w:rPr>
              <w:t>8</w:t>
            </w:r>
            <w:r w:rsidRPr="000A0A5F">
              <w:rPr>
                <w:rFonts w:cs="Arial" w:hint="eastAsia"/>
                <w:color w:val="000000"/>
                <w:sz w:val="16"/>
                <w:szCs w:val="16"/>
                <w:lang w:eastAsia="zh-CN"/>
              </w:rPr>
              <w:t>5</w:t>
            </w:r>
          </w:p>
        </w:tc>
        <w:tc>
          <w:tcPr>
            <w:tcW w:w="1088" w:type="dxa"/>
            <w:shd w:val="solid" w:color="FFFFFF" w:fill="auto"/>
          </w:tcPr>
          <w:p w:rsidR="00F82319" w:rsidRPr="000A0A5F" w:rsidRDefault="00F82319" w:rsidP="00F82319">
            <w:pPr>
              <w:pStyle w:val="TAC"/>
              <w:rPr>
                <w:sz w:val="16"/>
                <w:szCs w:val="16"/>
              </w:rPr>
            </w:pPr>
            <w:r w:rsidRPr="000A0A5F">
              <w:rPr>
                <w:rFonts w:cs="Arial" w:hint="eastAsia"/>
                <w:color w:val="000000"/>
                <w:sz w:val="16"/>
                <w:szCs w:val="16"/>
                <w:lang w:eastAsia="zh-CN"/>
              </w:rPr>
              <w:t>C</w:t>
            </w:r>
            <w:r w:rsidRPr="000A0A5F">
              <w:rPr>
                <w:rFonts w:cs="Arial"/>
                <w:color w:val="000000"/>
                <w:sz w:val="16"/>
                <w:szCs w:val="16"/>
                <w:lang w:eastAsia="zh-CN"/>
              </w:rPr>
              <w:t>P</w:t>
            </w:r>
            <w:r w:rsidRPr="000A0A5F">
              <w:rPr>
                <w:rFonts w:cs="Arial" w:hint="eastAsia"/>
                <w:color w:val="000000"/>
                <w:sz w:val="16"/>
                <w:szCs w:val="16"/>
                <w:lang w:eastAsia="zh-CN"/>
              </w:rPr>
              <w:t>-19</w:t>
            </w:r>
            <w:r w:rsidRPr="000A0A5F">
              <w:rPr>
                <w:rFonts w:cs="Arial"/>
                <w:color w:val="000000"/>
                <w:sz w:val="16"/>
                <w:szCs w:val="16"/>
                <w:lang w:eastAsia="zh-CN"/>
              </w:rPr>
              <w:t>2139</w:t>
            </w:r>
          </w:p>
        </w:tc>
        <w:tc>
          <w:tcPr>
            <w:tcW w:w="524" w:type="dxa"/>
            <w:shd w:val="solid" w:color="FFFFFF" w:fill="auto"/>
          </w:tcPr>
          <w:p w:rsidR="00F82319" w:rsidRPr="000A0A5F" w:rsidRDefault="00F82319" w:rsidP="00F82319">
            <w:pPr>
              <w:pStyle w:val="TAL"/>
              <w:rPr>
                <w:sz w:val="16"/>
                <w:szCs w:val="16"/>
              </w:rPr>
            </w:pPr>
            <w:r w:rsidRPr="000A0A5F">
              <w:rPr>
                <w:rFonts w:cs="Arial" w:hint="eastAsia"/>
                <w:color w:val="000000"/>
                <w:sz w:val="16"/>
                <w:szCs w:val="16"/>
                <w:lang w:eastAsia="zh-CN"/>
              </w:rPr>
              <w:t>0183</w:t>
            </w:r>
          </w:p>
        </w:tc>
        <w:tc>
          <w:tcPr>
            <w:tcW w:w="424" w:type="dxa"/>
            <w:shd w:val="solid" w:color="FFFFFF" w:fill="auto"/>
          </w:tcPr>
          <w:p w:rsidR="00F82319" w:rsidRPr="000A0A5F" w:rsidRDefault="00F82319" w:rsidP="00F82319">
            <w:pPr>
              <w:pStyle w:val="TAR"/>
              <w:rPr>
                <w:sz w:val="16"/>
                <w:szCs w:val="16"/>
              </w:rPr>
            </w:pPr>
            <w:r w:rsidRPr="000A0A5F">
              <w:rPr>
                <w:rFonts w:cs="Arial" w:hint="eastAsia"/>
                <w:color w:val="000000"/>
                <w:sz w:val="16"/>
                <w:szCs w:val="16"/>
                <w:lang w:eastAsia="zh-CN"/>
              </w:rPr>
              <w:t>1</w:t>
            </w:r>
          </w:p>
        </w:tc>
        <w:tc>
          <w:tcPr>
            <w:tcW w:w="424" w:type="dxa"/>
            <w:shd w:val="solid" w:color="FFFFFF" w:fill="auto"/>
          </w:tcPr>
          <w:p w:rsidR="00F82319" w:rsidRPr="000A0A5F" w:rsidRDefault="00F82319" w:rsidP="00F82319">
            <w:pPr>
              <w:pStyle w:val="TAC"/>
              <w:rPr>
                <w:sz w:val="16"/>
                <w:szCs w:val="16"/>
              </w:rPr>
            </w:pPr>
            <w:r w:rsidRPr="000A0A5F">
              <w:rPr>
                <w:rFonts w:cs="Arial" w:hint="eastAsia"/>
                <w:color w:val="000000"/>
                <w:sz w:val="16"/>
                <w:szCs w:val="16"/>
                <w:lang w:eastAsia="zh-CN"/>
              </w:rPr>
              <w:t>A</w:t>
            </w:r>
          </w:p>
        </w:tc>
        <w:tc>
          <w:tcPr>
            <w:tcW w:w="4919" w:type="dxa"/>
            <w:shd w:val="solid" w:color="FFFFFF" w:fill="auto"/>
          </w:tcPr>
          <w:p w:rsidR="00F82319" w:rsidRPr="000A0A5F" w:rsidRDefault="00F82319" w:rsidP="00F82319">
            <w:pPr>
              <w:pStyle w:val="TAL"/>
              <w:rPr>
                <w:sz w:val="16"/>
                <w:szCs w:val="16"/>
              </w:rPr>
            </w:pPr>
            <w:r w:rsidRPr="000A0A5F">
              <w:rPr>
                <w:rFonts w:cs="Arial"/>
                <w:color w:val="000000"/>
                <w:sz w:val="16"/>
                <w:szCs w:val="16"/>
                <w:lang w:eastAsia="zh-CN"/>
              </w:rPr>
              <w:t>Correct presence condition in PFD definition</w:t>
            </w:r>
          </w:p>
        </w:tc>
        <w:tc>
          <w:tcPr>
            <w:tcW w:w="707" w:type="dxa"/>
            <w:shd w:val="solid" w:color="FFFFFF" w:fill="auto"/>
          </w:tcPr>
          <w:p w:rsidR="00F82319" w:rsidRPr="000A0A5F" w:rsidRDefault="00F82319" w:rsidP="00F82319">
            <w:pPr>
              <w:pStyle w:val="TAC"/>
              <w:rPr>
                <w:sz w:val="16"/>
                <w:szCs w:val="16"/>
              </w:rPr>
            </w:pPr>
            <w:r w:rsidRPr="000A0A5F">
              <w:rPr>
                <w:rFonts w:cs="Arial" w:hint="eastAsia"/>
                <w:color w:val="000000"/>
                <w:sz w:val="16"/>
                <w:szCs w:val="16"/>
                <w:lang w:eastAsia="zh-CN"/>
              </w:rPr>
              <w:t>16.3.0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w:t>
            </w:r>
            <w:r w:rsidRPr="000A0A5F">
              <w:rPr>
                <w:rFonts w:cs="Arial"/>
                <w:color w:val="000000"/>
                <w:sz w:val="16"/>
                <w:szCs w:val="16"/>
                <w:lang w:eastAsia="zh-CN"/>
              </w:rPr>
              <w:t>019-09</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8</w:t>
            </w:r>
            <w:r w:rsidRPr="000A0A5F">
              <w:rPr>
                <w:rFonts w:cs="Arial" w:hint="eastAsia"/>
                <w:color w:val="000000"/>
                <w:sz w:val="16"/>
                <w:szCs w:val="16"/>
                <w:lang w:eastAsia="zh-CN"/>
              </w:rPr>
              <w:t>5</w:t>
            </w:r>
          </w:p>
        </w:tc>
        <w:tc>
          <w:tcPr>
            <w:tcW w:w="108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w:t>
            </w:r>
            <w:r w:rsidRPr="000A0A5F">
              <w:rPr>
                <w:rFonts w:cs="Arial"/>
                <w:color w:val="000000"/>
                <w:sz w:val="16"/>
                <w:szCs w:val="16"/>
                <w:lang w:eastAsia="zh-CN"/>
              </w:rPr>
              <w:t>P</w:t>
            </w:r>
            <w:r w:rsidRPr="000A0A5F">
              <w:rPr>
                <w:rFonts w:cs="Arial" w:hint="eastAsia"/>
                <w:color w:val="000000"/>
                <w:sz w:val="16"/>
                <w:szCs w:val="16"/>
                <w:lang w:eastAsia="zh-CN"/>
              </w:rPr>
              <w:t>-19</w:t>
            </w:r>
            <w:r w:rsidRPr="000A0A5F">
              <w:rPr>
                <w:rFonts w:cs="Arial"/>
                <w:color w:val="000000"/>
                <w:sz w:val="16"/>
                <w:szCs w:val="16"/>
                <w:lang w:eastAsia="zh-CN"/>
              </w:rPr>
              <w:t>2158</w:t>
            </w:r>
          </w:p>
        </w:tc>
        <w:tc>
          <w:tcPr>
            <w:tcW w:w="524" w:type="dxa"/>
            <w:shd w:val="solid" w:color="FFFFFF" w:fill="auto"/>
          </w:tcPr>
          <w:p w:rsidR="00F82319" w:rsidRPr="000A0A5F" w:rsidRDefault="00F82319" w:rsidP="00F82319">
            <w:pPr>
              <w:pStyle w:val="TAL"/>
              <w:rPr>
                <w:rFonts w:cs="Arial" w:hint="eastAsia"/>
                <w:color w:val="000000"/>
                <w:sz w:val="16"/>
                <w:szCs w:val="16"/>
                <w:lang w:eastAsia="zh-CN"/>
              </w:rPr>
            </w:pPr>
            <w:r w:rsidRPr="000A0A5F">
              <w:rPr>
                <w:rFonts w:cs="Arial" w:hint="eastAsia"/>
                <w:color w:val="000000"/>
                <w:sz w:val="16"/>
                <w:szCs w:val="16"/>
                <w:lang w:eastAsia="zh-CN"/>
              </w:rPr>
              <w:t>0184</w:t>
            </w:r>
          </w:p>
        </w:tc>
        <w:tc>
          <w:tcPr>
            <w:tcW w:w="424" w:type="dxa"/>
            <w:shd w:val="solid" w:color="FFFFFF" w:fill="auto"/>
          </w:tcPr>
          <w:p w:rsidR="00F82319" w:rsidRPr="000A0A5F" w:rsidRDefault="00F82319" w:rsidP="00F82319">
            <w:pPr>
              <w:pStyle w:val="TAR"/>
              <w:rPr>
                <w:rFonts w:cs="Arial" w:hint="eastAsia"/>
                <w:color w:val="000000"/>
                <w:sz w:val="16"/>
                <w:szCs w:val="16"/>
                <w:lang w:eastAsia="zh-CN"/>
              </w:rPr>
            </w:pPr>
            <w:r w:rsidRPr="000A0A5F">
              <w:rPr>
                <w:rFonts w:cs="Arial" w:hint="eastAsia"/>
                <w:color w:val="000000"/>
                <w:sz w:val="16"/>
                <w:szCs w:val="16"/>
                <w:lang w:eastAsia="zh-CN"/>
              </w:rPr>
              <w:t>2</w:t>
            </w:r>
          </w:p>
        </w:tc>
        <w:tc>
          <w:tcPr>
            <w:tcW w:w="424"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B</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Enhancement of Monitoring and Network Parameter Configuration</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16.3.0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w:t>
            </w:r>
            <w:r w:rsidRPr="000A0A5F">
              <w:rPr>
                <w:rFonts w:cs="Arial"/>
                <w:color w:val="000000"/>
                <w:sz w:val="16"/>
                <w:szCs w:val="16"/>
                <w:lang w:eastAsia="zh-CN"/>
              </w:rPr>
              <w:t>019-09</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8</w:t>
            </w:r>
            <w:r w:rsidRPr="000A0A5F">
              <w:rPr>
                <w:rFonts w:cs="Arial" w:hint="eastAsia"/>
                <w:color w:val="000000"/>
                <w:sz w:val="16"/>
                <w:szCs w:val="16"/>
                <w:lang w:eastAsia="zh-CN"/>
              </w:rPr>
              <w:t>5</w:t>
            </w:r>
          </w:p>
        </w:tc>
        <w:tc>
          <w:tcPr>
            <w:tcW w:w="108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w:t>
            </w:r>
            <w:r w:rsidRPr="000A0A5F">
              <w:rPr>
                <w:rFonts w:cs="Arial"/>
                <w:color w:val="000000"/>
                <w:sz w:val="16"/>
                <w:szCs w:val="16"/>
                <w:lang w:eastAsia="zh-CN"/>
              </w:rPr>
              <w:t>P</w:t>
            </w:r>
            <w:r w:rsidRPr="000A0A5F">
              <w:rPr>
                <w:rFonts w:cs="Arial" w:hint="eastAsia"/>
                <w:color w:val="000000"/>
                <w:sz w:val="16"/>
                <w:szCs w:val="16"/>
                <w:lang w:eastAsia="zh-CN"/>
              </w:rPr>
              <w:t>-19</w:t>
            </w:r>
            <w:r w:rsidRPr="000A0A5F">
              <w:rPr>
                <w:rFonts w:cs="Arial"/>
                <w:color w:val="000000"/>
                <w:sz w:val="16"/>
                <w:szCs w:val="16"/>
                <w:lang w:eastAsia="zh-CN"/>
              </w:rPr>
              <w:t>2156</w:t>
            </w:r>
          </w:p>
        </w:tc>
        <w:tc>
          <w:tcPr>
            <w:tcW w:w="524" w:type="dxa"/>
            <w:shd w:val="solid" w:color="FFFFFF" w:fill="auto"/>
          </w:tcPr>
          <w:p w:rsidR="00F82319" w:rsidRPr="000A0A5F" w:rsidRDefault="00F82319" w:rsidP="00F82319">
            <w:pPr>
              <w:pStyle w:val="TAL"/>
              <w:rPr>
                <w:rFonts w:cs="Arial" w:hint="eastAsia"/>
                <w:color w:val="000000"/>
                <w:sz w:val="16"/>
                <w:szCs w:val="16"/>
                <w:lang w:eastAsia="zh-CN"/>
              </w:rPr>
            </w:pPr>
            <w:r w:rsidRPr="000A0A5F">
              <w:rPr>
                <w:rFonts w:cs="Arial" w:hint="eastAsia"/>
                <w:color w:val="000000"/>
                <w:sz w:val="16"/>
                <w:szCs w:val="16"/>
                <w:lang w:eastAsia="zh-CN"/>
              </w:rPr>
              <w:t>0185</w:t>
            </w:r>
          </w:p>
        </w:tc>
        <w:tc>
          <w:tcPr>
            <w:tcW w:w="424" w:type="dxa"/>
            <w:shd w:val="solid" w:color="FFFFFF" w:fill="auto"/>
          </w:tcPr>
          <w:p w:rsidR="00F82319" w:rsidRPr="000A0A5F" w:rsidRDefault="00F82319" w:rsidP="00F82319">
            <w:pPr>
              <w:pStyle w:val="TAR"/>
              <w:rPr>
                <w:rFonts w:cs="Arial" w:hint="eastAsia"/>
                <w:color w:val="000000"/>
                <w:sz w:val="16"/>
                <w:szCs w:val="16"/>
                <w:lang w:eastAsia="zh-CN"/>
              </w:rPr>
            </w:pPr>
            <w:r w:rsidRPr="000A0A5F">
              <w:rPr>
                <w:rFonts w:cs="Arial" w:hint="eastAsia"/>
                <w:color w:val="000000"/>
                <w:sz w:val="16"/>
                <w:szCs w:val="16"/>
                <w:lang w:eastAsia="zh-CN"/>
              </w:rPr>
              <w:t>1</w:t>
            </w:r>
          </w:p>
        </w:tc>
        <w:tc>
          <w:tcPr>
            <w:tcW w:w="424"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B</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Support a set of MAC addresses in traffic filter</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16.3.0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w:t>
            </w:r>
            <w:r w:rsidRPr="000A0A5F">
              <w:rPr>
                <w:rFonts w:cs="Arial"/>
                <w:color w:val="000000"/>
                <w:sz w:val="16"/>
                <w:szCs w:val="16"/>
                <w:lang w:eastAsia="zh-CN"/>
              </w:rPr>
              <w:t>019-09</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8</w:t>
            </w:r>
            <w:r w:rsidRPr="000A0A5F">
              <w:rPr>
                <w:rFonts w:cs="Arial" w:hint="eastAsia"/>
                <w:color w:val="000000"/>
                <w:sz w:val="16"/>
                <w:szCs w:val="16"/>
                <w:lang w:eastAsia="zh-CN"/>
              </w:rPr>
              <w:t>5</w:t>
            </w:r>
          </w:p>
        </w:tc>
        <w:tc>
          <w:tcPr>
            <w:tcW w:w="108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w:t>
            </w:r>
            <w:r w:rsidRPr="000A0A5F">
              <w:rPr>
                <w:rFonts w:cs="Arial"/>
                <w:color w:val="000000"/>
                <w:sz w:val="16"/>
                <w:szCs w:val="16"/>
                <w:lang w:eastAsia="zh-CN"/>
              </w:rPr>
              <w:t>P</w:t>
            </w:r>
            <w:r w:rsidRPr="000A0A5F">
              <w:rPr>
                <w:rFonts w:cs="Arial" w:hint="eastAsia"/>
                <w:color w:val="000000"/>
                <w:sz w:val="16"/>
                <w:szCs w:val="16"/>
                <w:lang w:eastAsia="zh-CN"/>
              </w:rPr>
              <w:t>-19</w:t>
            </w:r>
            <w:r w:rsidRPr="000A0A5F">
              <w:rPr>
                <w:rFonts w:cs="Arial"/>
                <w:color w:val="000000"/>
                <w:sz w:val="16"/>
                <w:szCs w:val="16"/>
                <w:lang w:eastAsia="zh-CN"/>
              </w:rPr>
              <w:t>2165</w:t>
            </w:r>
          </w:p>
        </w:tc>
        <w:tc>
          <w:tcPr>
            <w:tcW w:w="524" w:type="dxa"/>
            <w:shd w:val="solid" w:color="FFFFFF" w:fill="auto"/>
          </w:tcPr>
          <w:p w:rsidR="00F82319" w:rsidRPr="000A0A5F" w:rsidRDefault="00F82319" w:rsidP="00F82319">
            <w:pPr>
              <w:pStyle w:val="TAL"/>
              <w:rPr>
                <w:rFonts w:cs="Arial" w:hint="eastAsia"/>
                <w:color w:val="000000"/>
                <w:sz w:val="16"/>
                <w:szCs w:val="16"/>
                <w:lang w:eastAsia="zh-CN"/>
              </w:rPr>
            </w:pPr>
            <w:r w:rsidRPr="000A0A5F">
              <w:rPr>
                <w:rFonts w:cs="Arial" w:hint="eastAsia"/>
                <w:color w:val="000000"/>
                <w:sz w:val="16"/>
                <w:szCs w:val="16"/>
                <w:lang w:eastAsia="zh-CN"/>
              </w:rPr>
              <w:t>0187</w:t>
            </w:r>
          </w:p>
        </w:tc>
        <w:tc>
          <w:tcPr>
            <w:tcW w:w="424" w:type="dxa"/>
            <w:shd w:val="solid" w:color="FFFFFF" w:fill="auto"/>
          </w:tcPr>
          <w:p w:rsidR="00F82319" w:rsidRPr="000A0A5F" w:rsidRDefault="00F82319" w:rsidP="00F82319">
            <w:pPr>
              <w:pStyle w:val="TAR"/>
              <w:rPr>
                <w:rFonts w:cs="Arial" w:hint="eastAsia"/>
                <w:color w:val="000000"/>
                <w:sz w:val="16"/>
                <w:szCs w:val="16"/>
                <w:lang w:eastAsia="zh-CN"/>
              </w:rPr>
            </w:pPr>
            <w:r w:rsidRPr="000A0A5F">
              <w:rPr>
                <w:rFonts w:cs="Arial" w:hint="eastAsia"/>
                <w:color w:val="000000"/>
                <w:sz w:val="16"/>
                <w:szCs w:val="16"/>
                <w:lang w:eastAsia="zh-CN"/>
              </w:rPr>
              <w:t>2</w:t>
            </w:r>
          </w:p>
        </w:tc>
        <w:tc>
          <w:tcPr>
            <w:tcW w:w="424"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B</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Support parameter provisioning in RACS</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16.3.0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w:t>
            </w:r>
            <w:r w:rsidRPr="000A0A5F">
              <w:rPr>
                <w:rFonts w:cs="Arial"/>
                <w:color w:val="000000"/>
                <w:sz w:val="16"/>
                <w:szCs w:val="16"/>
                <w:lang w:eastAsia="zh-CN"/>
              </w:rPr>
              <w:t>019-09</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8</w:t>
            </w:r>
            <w:r w:rsidRPr="000A0A5F">
              <w:rPr>
                <w:rFonts w:cs="Arial" w:hint="eastAsia"/>
                <w:color w:val="000000"/>
                <w:sz w:val="16"/>
                <w:szCs w:val="16"/>
                <w:lang w:eastAsia="zh-CN"/>
              </w:rPr>
              <w:t>5</w:t>
            </w:r>
          </w:p>
        </w:tc>
        <w:tc>
          <w:tcPr>
            <w:tcW w:w="108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w:t>
            </w:r>
            <w:r w:rsidRPr="000A0A5F">
              <w:rPr>
                <w:rFonts w:cs="Arial"/>
                <w:color w:val="000000"/>
                <w:sz w:val="16"/>
                <w:szCs w:val="16"/>
                <w:lang w:eastAsia="zh-CN"/>
              </w:rPr>
              <w:t>P</w:t>
            </w:r>
            <w:r w:rsidRPr="000A0A5F">
              <w:rPr>
                <w:rFonts w:cs="Arial" w:hint="eastAsia"/>
                <w:color w:val="000000"/>
                <w:sz w:val="16"/>
                <w:szCs w:val="16"/>
                <w:lang w:eastAsia="zh-CN"/>
              </w:rPr>
              <w:t>-19</w:t>
            </w:r>
            <w:r w:rsidRPr="000A0A5F">
              <w:rPr>
                <w:rFonts w:cs="Arial"/>
                <w:color w:val="000000"/>
                <w:sz w:val="16"/>
                <w:szCs w:val="16"/>
                <w:lang w:eastAsia="zh-CN"/>
              </w:rPr>
              <w:t>2200</w:t>
            </w:r>
          </w:p>
        </w:tc>
        <w:tc>
          <w:tcPr>
            <w:tcW w:w="524" w:type="dxa"/>
            <w:shd w:val="solid" w:color="FFFFFF" w:fill="auto"/>
          </w:tcPr>
          <w:p w:rsidR="00F82319" w:rsidRPr="000A0A5F" w:rsidRDefault="00F82319" w:rsidP="00F82319">
            <w:pPr>
              <w:pStyle w:val="TAL"/>
              <w:rPr>
                <w:rFonts w:cs="Arial" w:hint="eastAsia"/>
                <w:color w:val="000000"/>
                <w:sz w:val="16"/>
                <w:szCs w:val="16"/>
                <w:lang w:eastAsia="zh-CN"/>
              </w:rPr>
            </w:pPr>
            <w:r w:rsidRPr="000A0A5F">
              <w:rPr>
                <w:rFonts w:cs="Arial" w:hint="eastAsia"/>
                <w:color w:val="000000"/>
                <w:sz w:val="16"/>
                <w:szCs w:val="16"/>
                <w:lang w:eastAsia="zh-CN"/>
              </w:rPr>
              <w:t>0188</w:t>
            </w:r>
          </w:p>
        </w:tc>
        <w:tc>
          <w:tcPr>
            <w:tcW w:w="424" w:type="dxa"/>
            <w:shd w:val="solid" w:color="FFFFFF" w:fill="auto"/>
          </w:tcPr>
          <w:p w:rsidR="00F82319" w:rsidRPr="000A0A5F" w:rsidRDefault="00F82319" w:rsidP="00F82319">
            <w:pPr>
              <w:pStyle w:val="TAR"/>
              <w:rPr>
                <w:rFonts w:cs="Arial" w:hint="eastAsia"/>
                <w:color w:val="000000"/>
                <w:sz w:val="16"/>
                <w:szCs w:val="16"/>
                <w:lang w:eastAsia="zh-CN"/>
              </w:rPr>
            </w:pPr>
            <w:r w:rsidRPr="000A0A5F">
              <w:rPr>
                <w:rFonts w:cs="Arial" w:hint="eastAsia"/>
                <w:color w:val="000000"/>
                <w:sz w:val="16"/>
                <w:szCs w:val="16"/>
                <w:lang w:eastAsia="zh-CN"/>
              </w:rPr>
              <w:t>3</w:t>
            </w:r>
          </w:p>
        </w:tc>
        <w:tc>
          <w:tcPr>
            <w:tcW w:w="424"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B</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Accurate UE moving trajectory definition</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16.3.0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w:t>
            </w:r>
            <w:r w:rsidRPr="000A0A5F">
              <w:rPr>
                <w:rFonts w:cs="Arial"/>
                <w:color w:val="000000"/>
                <w:sz w:val="16"/>
                <w:szCs w:val="16"/>
                <w:lang w:eastAsia="zh-CN"/>
              </w:rPr>
              <w:t>019-09</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8</w:t>
            </w:r>
            <w:r w:rsidRPr="000A0A5F">
              <w:rPr>
                <w:rFonts w:cs="Arial" w:hint="eastAsia"/>
                <w:color w:val="000000"/>
                <w:sz w:val="16"/>
                <w:szCs w:val="16"/>
                <w:lang w:eastAsia="zh-CN"/>
              </w:rPr>
              <w:t>5</w:t>
            </w:r>
          </w:p>
        </w:tc>
        <w:tc>
          <w:tcPr>
            <w:tcW w:w="108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w:t>
            </w:r>
            <w:r w:rsidRPr="000A0A5F">
              <w:rPr>
                <w:rFonts w:cs="Arial"/>
                <w:color w:val="000000"/>
                <w:sz w:val="16"/>
                <w:szCs w:val="16"/>
                <w:lang w:eastAsia="zh-CN"/>
              </w:rPr>
              <w:t>P</w:t>
            </w:r>
            <w:r w:rsidRPr="000A0A5F">
              <w:rPr>
                <w:rFonts w:cs="Arial" w:hint="eastAsia"/>
                <w:color w:val="000000"/>
                <w:sz w:val="16"/>
                <w:szCs w:val="16"/>
                <w:lang w:eastAsia="zh-CN"/>
              </w:rPr>
              <w:t>-19</w:t>
            </w:r>
            <w:r w:rsidRPr="000A0A5F">
              <w:rPr>
                <w:rFonts w:cs="Arial"/>
                <w:color w:val="000000"/>
                <w:sz w:val="16"/>
                <w:szCs w:val="16"/>
                <w:lang w:eastAsia="zh-CN"/>
              </w:rPr>
              <w:t>2157</w:t>
            </w:r>
          </w:p>
        </w:tc>
        <w:tc>
          <w:tcPr>
            <w:tcW w:w="524" w:type="dxa"/>
            <w:shd w:val="solid" w:color="FFFFFF" w:fill="auto"/>
          </w:tcPr>
          <w:p w:rsidR="00F82319" w:rsidRPr="000A0A5F" w:rsidRDefault="00F82319" w:rsidP="00F82319">
            <w:pPr>
              <w:pStyle w:val="TAL"/>
              <w:rPr>
                <w:rFonts w:cs="Arial" w:hint="eastAsia"/>
                <w:color w:val="000000"/>
                <w:sz w:val="16"/>
                <w:szCs w:val="16"/>
                <w:lang w:eastAsia="zh-CN"/>
              </w:rPr>
            </w:pPr>
            <w:r w:rsidRPr="000A0A5F">
              <w:rPr>
                <w:rFonts w:cs="Arial" w:hint="eastAsia"/>
                <w:color w:val="000000"/>
                <w:sz w:val="16"/>
                <w:szCs w:val="16"/>
                <w:lang w:eastAsia="zh-CN"/>
              </w:rPr>
              <w:t>0189</w:t>
            </w:r>
          </w:p>
        </w:tc>
        <w:tc>
          <w:tcPr>
            <w:tcW w:w="424" w:type="dxa"/>
            <w:shd w:val="solid" w:color="FFFFFF" w:fill="auto"/>
          </w:tcPr>
          <w:p w:rsidR="00F82319" w:rsidRPr="000A0A5F" w:rsidRDefault="00F82319" w:rsidP="00F82319">
            <w:pPr>
              <w:pStyle w:val="TAR"/>
              <w:rPr>
                <w:rFonts w:cs="Arial" w:hint="eastAsia"/>
                <w:color w:val="000000"/>
                <w:sz w:val="16"/>
                <w:szCs w:val="16"/>
                <w:lang w:eastAsia="zh-CN"/>
              </w:rPr>
            </w:pPr>
            <w:r w:rsidRPr="000A0A5F">
              <w:rPr>
                <w:rFonts w:cs="Arial" w:hint="eastAsia"/>
                <w:color w:val="000000"/>
                <w:sz w:val="16"/>
                <w:szCs w:val="16"/>
                <w:lang w:eastAsia="zh-CN"/>
              </w:rPr>
              <w:t>1</w:t>
            </w:r>
          </w:p>
        </w:tc>
        <w:tc>
          <w:tcPr>
            <w:tcW w:w="424"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B</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Removal of a BDT warning notification request</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16.3.0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w:t>
            </w:r>
            <w:r w:rsidRPr="000A0A5F">
              <w:rPr>
                <w:rFonts w:cs="Arial"/>
                <w:color w:val="000000"/>
                <w:sz w:val="16"/>
                <w:szCs w:val="16"/>
                <w:lang w:eastAsia="zh-CN"/>
              </w:rPr>
              <w:t>019-09</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8</w:t>
            </w:r>
            <w:r w:rsidRPr="000A0A5F">
              <w:rPr>
                <w:rFonts w:cs="Arial" w:hint="eastAsia"/>
                <w:color w:val="000000"/>
                <w:sz w:val="16"/>
                <w:szCs w:val="16"/>
                <w:lang w:eastAsia="zh-CN"/>
              </w:rPr>
              <w:t>5</w:t>
            </w:r>
          </w:p>
        </w:tc>
        <w:tc>
          <w:tcPr>
            <w:tcW w:w="108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w:t>
            </w:r>
            <w:r w:rsidRPr="000A0A5F">
              <w:rPr>
                <w:rFonts w:cs="Arial"/>
                <w:color w:val="000000"/>
                <w:sz w:val="16"/>
                <w:szCs w:val="16"/>
                <w:lang w:eastAsia="zh-CN"/>
              </w:rPr>
              <w:t>P</w:t>
            </w:r>
            <w:r w:rsidRPr="000A0A5F">
              <w:rPr>
                <w:rFonts w:cs="Arial" w:hint="eastAsia"/>
                <w:color w:val="000000"/>
                <w:sz w:val="16"/>
                <w:szCs w:val="16"/>
                <w:lang w:eastAsia="zh-CN"/>
              </w:rPr>
              <w:t>-19</w:t>
            </w:r>
            <w:r w:rsidRPr="000A0A5F">
              <w:rPr>
                <w:rFonts w:cs="Arial"/>
                <w:color w:val="000000"/>
                <w:sz w:val="16"/>
                <w:szCs w:val="16"/>
                <w:lang w:eastAsia="zh-CN"/>
              </w:rPr>
              <w:t>2158</w:t>
            </w:r>
          </w:p>
        </w:tc>
        <w:tc>
          <w:tcPr>
            <w:tcW w:w="524" w:type="dxa"/>
            <w:shd w:val="solid" w:color="FFFFFF" w:fill="auto"/>
          </w:tcPr>
          <w:p w:rsidR="00F82319" w:rsidRPr="000A0A5F" w:rsidRDefault="00F82319" w:rsidP="00F82319">
            <w:pPr>
              <w:pStyle w:val="TAL"/>
              <w:rPr>
                <w:rFonts w:cs="Arial" w:hint="eastAsia"/>
                <w:color w:val="000000"/>
                <w:sz w:val="16"/>
                <w:szCs w:val="16"/>
                <w:lang w:eastAsia="zh-CN"/>
              </w:rPr>
            </w:pPr>
            <w:r w:rsidRPr="000A0A5F">
              <w:rPr>
                <w:rFonts w:cs="Arial" w:hint="eastAsia"/>
                <w:color w:val="000000"/>
                <w:sz w:val="16"/>
                <w:szCs w:val="16"/>
                <w:lang w:eastAsia="zh-CN"/>
              </w:rPr>
              <w:t>0190</w:t>
            </w:r>
          </w:p>
        </w:tc>
        <w:tc>
          <w:tcPr>
            <w:tcW w:w="424" w:type="dxa"/>
            <w:shd w:val="solid" w:color="FFFFFF" w:fill="auto"/>
          </w:tcPr>
          <w:p w:rsidR="00F82319" w:rsidRPr="000A0A5F" w:rsidRDefault="00F82319" w:rsidP="00F82319">
            <w:pPr>
              <w:pStyle w:val="TAR"/>
              <w:rPr>
                <w:rFonts w:cs="Arial" w:hint="eastAsia"/>
                <w:color w:val="000000"/>
                <w:sz w:val="16"/>
                <w:szCs w:val="16"/>
                <w:lang w:eastAsia="zh-CN"/>
              </w:rPr>
            </w:pPr>
            <w:r w:rsidRPr="000A0A5F">
              <w:rPr>
                <w:rFonts w:cs="Arial" w:hint="eastAsia"/>
                <w:color w:val="000000"/>
                <w:sz w:val="16"/>
                <w:szCs w:val="16"/>
                <w:lang w:eastAsia="zh-CN"/>
              </w:rPr>
              <w:t>1</w:t>
            </w:r>
          </w:p>
        </w:tc>
        <w:tc>
          <w:tcPr>
            <w:tcW w:w="424"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Correction on MSISDN</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16.3.0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w:t>
            </w:r>
            <w:r w:rsidRPr="000A0A5F">
              <w:rPr>
                <w:rFonts w:cs="Arial"/>
                <w:color w:val="000000"/>
                <w:sz w:val="16"/>
                <w:szCs w:val="16"/>
                <w:lang w:eastAsia="zh-CN"/>
              </w:rPr>
              <w:t>019-09</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8</w:t>
            </w:r>
            <w:r w:rsidRPr="000A0A5F">
              <w:rPr>
                <w:rFonts w:cs="Arial" w:hint="eastAsia"/>
                <w:color w:val="000000"/>
                <w:sz w:val="16"/>
                <w:szCs w:val="16"/>
                <w:lang w:eastAsia="zh-CN"/>
              </w:rPr>
              <w:t>5</w:t>
            </w:r>
          </w:p>
        </w:tc>
        <w:tc>
          <w:tcPr>
            <w:tcW w:w="108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w:t>
            </w:r>
            <w:r w:rsidRPr="000A0A5F">
              <w:rPr>
                <w:rFonts w:cs="Arial"/>
                <w:color w:val="000000"/>
                <w:sz w:val="16"/>
                <w:szCs w:val="16"/>
                <w:lang w:eastAsia="zh-CN"/>
              </w:rPr>
              <w:t>P</w:t>
            </w:r>
            <w:r w:rsidRPr="000A0A5F">
              <w:rPr>
                <w:rFonts w:cs="Arial" w:hint="eastAsia"/>
                <w:color w:val="000000"/>
                <w:sz w:val="16"/>
                <w:szCs w:val="16"/>
                <w:lang w:eastAsia="zh-CN"/>
              </w:rPr>
              <w:t>-19</w:t>
            </w:r>
            <w:r w:rsidRPr="000A0A5F">
              <w:rPr>
                <w:rFonts w:cs="Arial"/>
                <w:color w:val="000000"/>
                <w:sz w:val="16"/>
                <w:szCs w:val="16"/>
                <w:lang w:eastAsia="zh-CN"/>
              </w:rPr>
              <w:t>2158</w:t>
            </w:r>
          </w:p>
        </w:tc>
        <w:tc>
          <w:tcPr>
            <w:tcW w:w="524" w:type="dxa"/>
            <w:shd w:val="solid" w:color="FFFFFF" w:fill="auto"/>
          </w:tcPr>
          <w:p w:rsidR="00F82319" w:rsidRPr="000A0A5F" w:rsidRDefault="00F82319" w:rsidP="00F82319">
            <w:pPr>
              <w:pStyle w:val="TAL"/>
              <w:rPr>
                <w:rFonts w:cs="Arial" w:hint="eastAsia"/>
                <w:color w:val="000000"/>
                <w:sz w:val="16"/>
                <w:szCs w:val="16"/>
                <w:lang w:eastAsia="zh-CN"/>
              </w:rPr>
            </w:pPr>
            <w:r w:rsidRPr="000A0A5F">
              <w:rPr>
                <w:rFonts w:cs="Arial" w:hint="eastAsia"/>
                <w:color w:val="000000"/>
                <w:sz w:val="16"/>
                <w:szCs w:val="16"/>
                <w:lang w:eastAsia="zh-CN"/>
              </w:rPr>
              <w:t>0191</w:t>
            </w:r>
          </w:p>
        </w:tc>
        <w:tc>
          <w:tcPr>
            <w:tcW w:w="424" w:type="dxa"/>
            <w:shd w:val="solid" w:color="FFFFFF" w:fill="auto"/>
          </w:tcPr>
          <w:p w:rsidR="00F82319" w:rsidRPr="000A0A5F" w:rsidRDefault="00F82319" w:rsidP="00F82319">
            <w:pPr>
              <w:pStyle w:val="TAR"/>
              <w:rPr>
                <w:rFonts w:cs="Arial" w:hint="eastAsia"/>
                <w:color w:val="000000"/>
                <w:sz w:val="16"/>
                <w:szCs w:val="16"/>
                <w:lang w:eastAsia="zh-CN"/>
              </w:rPr>
            </w:pPr>
            <w:r w:rsidRPr="000A0A5F">
              <w:rPr>
                <w:rFonts w:cs="Arial" w:hint="eastAsia"/>
                <w:color w:val="000000"/>
                <w:sz w:val="16"/>
                <w:szCs w:val="16"/>
                <w:lang w:eastAsia="zh-CN"/>
              </w:rPr>
              <w:t>1</w:t>
            </w:r>
          </w:p>
        </w:tc>
        <w:tc>
          <w:tcPr>
            <w:tcW w:w="424"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Battery Indication and Traffic Profile for CpProvisioning API</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16.3.0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w:t>
            </w:r>
            <w:r w:rsidRPr="000A0A5F">
              <w:rPr>
                <w:rFonts w:cs="Arial"/>
                <w:color w:val="000000"/>
                <w:sz w:val="16"/>
                <w:szCs w:val="16"/>
                <w:lang w:eastAsia="zh-CN"/>
              </w:rPr>
              <w:t>019-09</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8</w:t>
            </w:r>
            <w:r w:rsidRPr="000A0A5F">
              <w:rPr>
                <w:rFonts w:cs="Arial" w:hint="eastAsia"/>
                <w:color w:val="000000"/>
                <w:sz w:val="16"/>
                <w:szCs w:val="16"/>
                <w:lang w:eastAsia="zh-CN"/>
              </w:rPr>
              <w:t>5</w:t>
            </w:r>
          </w:p>
        </w:tc>
        <w:tc>
          <w:tcPr>
            <w:tcW w:w="108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w:t>
            </w:r>
            <w:r w:rsidRPr="000A0A5F">
              <w:rPr>
                <w:rFonts w:cs="Arial"/>
                <w:color w:val="000000"/>
                <w:sz w:val="16"/>
                <w:szCs w:val="16"/>
                <w:lang w:eastAsia="zh-CN"/>
              </w:rPr>
              <w:t>P</w:t>
            </w:r>
            <w:r w:rsidRPr="000A0A5F">
              <w:rPr>
                <w:rFonts w:cs="Arial" w:hint="eastAsia"/>
                <w:color w:val="000000"/>
                <w:sz w:val="16"/>
                <w:szCs w:val="16"/>
                <w:lang w:eastAsia="zh-CN"/>
              </w:rPr>
              <w:t>-19</w:t>
            </w:r>
            <w:r w:rsidRPr="000A0A5F">
              <w:rPr>
                <w:rFonts w:cs="Arial"/>
                <w:color w:val="000000"/>
                <w:sz w:val="16"/>
                <w:szCs w:val="16"/>
                <w:lang w:eastAsia="zh-CN"/>
              </w:rPr>
              <w:t>2158</w:t>
            </w:r>
          </w:p>
        </w:tc>
        <w:tc>
          <w:tcPr>
            <w:tcW w:w="524" w:type="dxa"/>
            <w:shd w:val="solid" w:color="FFFFFF" w:fill="auto"/>
          </w:tcPr>
          <w:p w:rsidR="00F82319" w:rsidRPr="000A0A5F" w:rsidRDefault="00F82319" w:rsidP="00F82319">
            <w:pPr>
              <w:pStyle w:val="TAL"/>
              <w:rPr>
                <w:rFonts w:cs="Arial" w:hint="eastAsia"/>
                <w:color w:val="000000"/>
                <w:sz w:val="16"/>
                <w:szCs w:val="16"/>
                <w:lang w:eastAsia="zh-CN"/>
              </w:rPr>
            </w:pPr>
            <w:r w:rsidRPr="000A0A5F">
              <w:rPr>
                <w:rFonts w:cs="Arial" w:hint="eastAsia"/>
                <w:color w:val="000000"/>
                <w:sz w:val="16"/>
                <w:szCs w:val="16"/>
                <w:lang w:eastAsia="zh-CN"/>
              </w:rPr>
              <w:t>0192</w:t>
            </w:r>
          </w:p>
        </w:tc>
        <w:tc>
          <w:tcPr>
            <w:tcW w:w="424" w:type="dxa"/>
            <w:shd w:val="solid" w:color="FFFFFF" w:fill="auto"/>
          </w:tcPr>
          <w:p w:rsidR="00F82319" w:rsidRPr="000A0A5F" w:rsidRDefault="00F82319" w:rsidP="00F82319">
            <w:pPr>
              <w:pStyle w:val="TAR"/>
              <w:rPr>
                <w:rFonts w:cs="Arial" w:hint="eastAsia"/>
                <w:color w:val="000000"/>
                <w:sz w:val="16"/>
                <w:szCs w:val="16"/>
                <w:lang w:eastAsia="zh-CN"/>
              </w:rPr>
            </w:pPr>
            <w:r w:rsidRPr="000A0A5F">
              <w:rPr>
                <w:rFonts w:cs="Arial" w:hint="eastAsia"/>
                <w:color w:val="000000"/>
                <w:sz w:val="16"/>
                <w:szCs w:val="16"/>
                <w:lang w:eastAsia="zh-CN"/>
              </w:rPr>
              <w:t>2</w:t>
            </w:r>
          </w:p>
        </w:tc>
        <w:tc>
          <w:tcPr>
            <w:tcW w:w="424"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Northbound API registration and discovery</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16.3.0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w:t>
            </w:r>
            <w:r w:rsidRPr="000A0A5F">
              <w:rPr>
                <w:rFonts w:cs="Arial"/>
                <w:color w:val="000000"/>
                <w:sz w:val="16"/>
                <w:szCs w:val="16"/>
                <w:lang w:eastAsia="zh-CN"/>
              </w:rPr>
              <w:t>019-09</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8</w:t>
            </w:r>
            <w:r w:rsidRPr="000A0A5F">
              <w:rPr>
                <w:rFonts w:cs="Arial" w:hint="eastAsia"/>
                <w:color w:val="000000"/>
                <w:sz w:val="16"/>
                <w:szCs w:val="16"/>
                <w:lang w:eastAsia="zh-CN"/>
              </w:rPr>
              <w:t>5</w:t>
            </w:r>
          </w:p>
        </w:tc>
        <w:tc>
          <w:tcPr>
            <w:tcW w:w="108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w:t>
            </w:r>
            <w:r w:rsidRPr="000A0A5F">
              <w:rPr>
                <w:rFonts w:cs="Arial"/>
                <w:color w:val="000000"/>
                <w:sz w:val="16"/>
                <w:szCs w:val="16"/>
                <w:lang w:eastAsia="zh-CN"/>
              </w:rPr>
              <w:t>P</w:t>
            </w:r>
            <w:r w:rsidRPr="000A0A5F">
              <w:rPr>
                <w:rFonts w:cs="Arial" w:hint="eastAsia"/>
                <w:color w:val="000000"/>
                <w:sz w:val="16"/>
                <w:szCs w:val="16"/>
                <w:lang w:eastAsia="zh-CN"/>
              </w:rPr>
              <w:t>-19</w:t>
            </w:r>
            <w:r w:rsidRPr="000A0A5F">
              <w:rPr>
                <w:rFonts w:cs="Arial"/>
                <w:color w:val="000000"/>
                <w:sz w:val="16"/>
                <w:szCs w:val="16"/>
                <w:lang w:eastAsia="zh-CN"/>
              </w:rPr>
              <w:t>2158</w:t>
            </w:r>
          </w:p>
        </w:tc>
        <w:tc>
          <w:tcPr>
            <w:tcW w:w="524" w:type="dxa"/>
            <w:shd w:val="solid" w:color="FFFFFF" w:fill="auto"/>
          </w:tcPr>
          <w:p w:rsidR="00F82319" w:rsidRPr="000A0A5F" w:rsidRDefault="00F82319" w:rsidP="00F82319">
            <w:pPr>
              <w:pStyle w:val="TAL"/>
              <w:rPr>
                <w:rFonts w:cs="Arial" w:hint="eastAsia"/>
                <w:color w:val="000000"/>
                <w:sz w:val="16"/>
                <w:szCs w:val="16"/>
                <w:lang w:eastAsia="zh-CN"/>
              </w:rPr>
            </w:pPr>
            <w:r w:rsidRPr="000A0A5F">
              <w:rPr>
                <w:rFonts w:cs="Arial" w:hint="eastAsia"/>
                <w:color w:val="000000"/>
                <w:sz w:val="16"/>
                <w:szCs w:val="16"/>
                <w:lang w:eastAsia="zh-CN"/>
              </w:rPr>
              <w:t>0193</w:t>
            </w:r>
          </w:p>
        </w:tc>
        <w:tc>
          <w:tcPr>
            <w:tcW w:w="424" w:type="dxa"/>
            <w:shd w:val="solid" w:color="FFFFFF" w:fill="auto"/>
          </w:tcPr>
          <w:p w:rsidR="00F82319" w:rsidRPr="000A0A5F" w:rsidRDefault="00F82319" w:rsidP="00F82319">
            <w:pPr>
              <w:pStyle w:val="TAR"/>
              <w:rPr>
                <w:rFonts w:cs="Arial" w:hint="eastAsia"/>
                <w:color w:val="000000"/>
                <w:sz w:val="16"/>
                <w:szCs w:val="16"/>
                <w:lang w:eastAsia="zh-CN"/>
              </w:rPr>
            </w:pPr>
            <w:r w:rsidRPr="000A0A5F">
              <w:rPr>
                <w:rFonts w:cs="Arial" w:hint="eastAsia"/>
                <w:color w:val="000000"/>
                <w:sz w:val="16"/>
                <w:szCs w:val="16"/>
                <w:lang w:eastAsia="zh-CN"/>
              </w:rPr>
              <w:t>1</w:t>
            </w:r>
          </w:p>
        </w:tc>
        <w:tc>
          <w:tcPr>
            <w:tcW w:w="424"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Corrections on monitoring type</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16.3.0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w:t>
            </w:r>
            <w:r w:rsidRPr="000A0A5F">
              <w:rPr>
                <w:rFonts w:cs="Arial"/>
                <w:color w:val="000000"/>
                <w:sz w:val="16"/>
                <w:szCs w:val="16"/>
                <w:lang w:eastAsia="zh-CN"/>
              </w:rPr>
              <w:t>019-09</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8</w:t>
            </w:r>
            <w:r w:rsidRPr="000A0A5F">
              <w:rPr>
                <w:rFonts w:cs="Arial" w:hint="eastAsia"/>
                <w:color w:val="000000"/>
                <w:sz w:val="16"/>
                <w:szCs w:val="16"/>
                <w:lang w:eastAsia="zh-CN"/>
              </w:rPr>
              <w:t>5</w:t>
            </w:r>
          </w:p>
        </w:tc>
        <w:tc>
          <w:tcPr>
            <w:tcW w:w="108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w:t>
            </w:r>
            <w:r w:rsidRPr="000A0A5F">
              <w:rPr>
                <w:rFonts w:cs="Arial"/>
                <w:color w:val="000000"/>
                <w:sz w:val="16"/>
                <w:szCs w:val="16"/>
                <w:lang w:eastAsia="zh-CN"/>
              </w:rPr>
              <w:t>P</w:t>
            </w:r>
            <w:r w:rsidRPr="000A0A5F">
              <w:rPr>
                <w:rFonts w:cs="Arial" w:hint="eastAsia"/>
                <w:color w:val="000000"/>
                <w:sz w:val="16"/>
                <w:szCs w:val="16"/>
                <w:lang w:eastAsia="zh-CN"/>
              </w:rPr>
              <w:t>-19</w:t>
            </w:r>
            <w:r w:rsidRPr="000A0A5F">
              <w:rPr>
                <w:rFonts w:cs="Arial"/>
                <w:color w:val="000000"/>
                <w:sz w:val="16"/>
                <w:szCs w:val="16"/>
                <w:lang w:eastAsia="zh-CN"/>
              </w:rPr>
              <w:t>2158</w:t>
            </w:r>
          </w:p>
        </w:tc>
        <w:tc>
          <w:tcPr>
            <w:tcW w:w="524" w:type="dxa"/>
            <w:shd w:val="solid" w:color="FFFFFF" w:fill="auto"/>
          </w:tcPr>
          <w:p w:rsidR="00F82319" w:rsidRPr="000A0A5F" w:rsidRDefault="00F82319" w:rsidP="00F82319">
            <w:pPr>
              <w:pStyle w:val="TAL"/>
              <w:rPr>
                <w:rFonts w:cs="Arial" w:hint="eastAsia"/>
                <w:color w:val="000000"/>
                <w:sz w:val="16"/>
                <w:szCs w:val="16"/>
                <w:lang w:eastAsia="zh-CN"/>
              </w:rPr>
            </w:pPr>
            <w:r w:rsidRPr="000A0A5F">
              <w:rPr>
                <w:rFonts w:cs="Arial" w:hint="eastAsia"/>
                <w:color w:val="000000"/>
                <w:sz w:val="16"/>
                <w:szCs w:val="16"/>
                <w:lang w:eastAsia="zh-CN"/>
              </w:rPr>
              <w:t>0194</w:t>
            </w:r>
          </w:p>
        </w:tc>
        <w:tc>
          <w:tcPr>
            <w:tcW w:w="424" w:type="dxa"/>
            <w:shd w:val="solid" w:color="FFFFFF" w:fill="auto"/>
          </w:tcPr>
          <w:p w:rsidR="00F82319" w:rsidRPr="000A0A5F" w:rsidRDefault="00F82319" w:rsidP="00F82319">
            <w:pPr>
              <w:pStyle w:val="TAR"/>
              <w:rPr>
                <w:rFonts w:cs="Arial" w:hint="eastAsia"/>
                <w:color w:val="000000"/>
                <w:sz w:val="16"/>
                <w:szCs w:val="16"/>
                <w:lang w:eastAsia="zh-CN"/>
              </w:rPr>
            </w:pPr>
            <w:r w:rsidRPr="000A0A5F">
              <w:rPr>
                <w:rFonts w:cs="Arial" w:hint="eastAsia"/>
                <w:color w:val="000000"/>
                <w:sz w:val="16"/>
                <w:szCs w:val="16"/>
                <w:lang w:eastAsia="zh-CN"/>
              </w:rPr>
              <w:t>1</w:t>
            </w:r>
          </w:p>
        </w:tc>
        <w:tc>
          <w:tcPr>
            <w:tcW w:w="424"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Notification of resource allocation failure</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16.3.0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w:t>
            </w:r>
            <w:r w:rsidRPr="000A0A5F">
              <w:rPr>
                <w:rFonts w:cs="Arial"/>
                <w:color w:val="000000"/>
                <w:sz w:val="16"/>
                <w:szCs w:val="16"/>
                <w:lang w:eastAsia="zh-CN"/>
              </w:rPr>
              <w:t>019-09</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8</w:t>
            </w:r>
            <w:r w:rsidRPr="000A0A5F">
              <w:rPr>
                <w:rFonts w:cs="Arial" w:hint="eastAsia"/>
                <w:color w:val="000000"/>
                <w:sz w:val="16"/>
                <w:szCs w:val="16"/>
                <w:lang w:eastAsia="zh-CN"/>
              </w:rPr>
              <w:t>5</w:t>
            </w:r>
          </w:p>
        </w:tc>
        <w:tc>
          <w:tcPr>
            <w:tcW w:w="108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w:t>
            </w:r>
            <w:r w:rsidRPr="000A0A5F">
              <w:rPr>
                <w:rFonts w:cs="Arial"/>
                <w:color w:val="000000"/>
                <w:sz w:val="16"/>
                <w:szCs w:val="16"/>
                <w:lang w:eastAsia="zh-CN"/>
              </w:rPr>
              <w:t>P</w:t>
            </w:r>
            <w:r w:rsidRPr="000A0A5F">
              <w:rPr>
                <w:rFonts w:cs="Arial" w:hint="eastAsia"/>
                <w:color w:val="000000"/>
                <w:sz w:val="16"/>
                <w:szCs w:val="16"/>
                <w:lang w:eastAsia="zh-CN"/>
              </w:rPr>
              <w:t>-19</w:t>
            </w:r>
            <w:r w:rsidRPr="000A0A5F">
              <w:rPr>
                <w:rFonts w:cs="Arial"/>
                <w:color w:val="000000"/>
                <w:sz w:val="16"/>
                <w:szCs w:val="16"/>
                <w:lang w:eastAsia="zh-CN"/>
              </w:rPr>
              <w:t>2197</w:t>
            </w:r>
          </w:p>
        </w:tc>
        <w:tc>
          <w:tcPr>
            <w:tcW w:w="524" w:type="dxa"/>
            <w:shd w:val="solid" w:color="FFFFFF" w:fill="auto"/>
          </w:tcPr>
          <w:p w:rsidR="00F82319" w:rsidRPr="000A0A5F" w:rsidRDefault="00F82319" w:rsidP="00F82319">
            <w:pPr>
              <w:pStyle w:val="TAL"/>
              <w:rPr>
                <w:rFonts w:cs="Arial" w:hint="eastAsia"/>
                <w:color w:val="000000"/>
                <w:sz w:val="16"/>
                <w:szCs w:val="16"/>
                <w:lang w:eastAsia="zh-CN"/>
              </w:rPr>
            </w:pPr>
            <w:r w:rsidRPr="000A0A5F">
              <w:rPr>
                <w:rFonts w:cs="Arial" w:hint="eastAsia"/>
                <w:color w:val="000000"/>
                <w:sz w:val="16"/>
                <w:szCs w:val="16"/>
                <w:lang w:eastAsia="zh-CN"/>
              </w:rPr>
              <w:t>0196</w:t>
            </w:r>
          </w:p>
        </w:tc>
        <w:tc>
          <w:tcPr>
            <w:tcW w:w="424" w:type="dxa"/>
            <w:shd w:val="solid" w:color="FFFFFF" w:fill="auto"/>
          </w:tcPr>
          <w:p w:rsidR="00F82319" w:rsidRPr="000A0A5F" w:rsidRDefault="00F82319" w:rsidP="00F82319">
            <w:pPr>
              <w:pStyle w:val="TAR"/>
              <w:rPr>
                <w:rFonts w:cs="Arial" w:hint="eastAsia"/>
                <w:color w:val="000000"/>
                <w:sz w:val="16"/>
                <w:szCs w:val="16"/>
                <w:lang w:eastAsia="zh-CN"/>
              </w:rPr>
            </w:pPr>
            <w:r w:rsidRPr="000A0A5F">
              <w:rPr>
                <w:rFonts w:cs="Arial" w:hint="eastAsia"/>
                <w:color w:val="000000"/>
                <w:sz w:val="16"/>
                <w:szCs w:val="16"/>
                <w:lang w:eastAsia="zh-CN"/>
              </w:rPr>
              <w:t>3</w:t>
            </w:r>
          </w:p>
        </w:tc>
        <w:tc>
          <w:tcPr>
            <w:tcW w:w="424"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B</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hint="eastAsia"/>
                <w:noProof/>
                <w:sz w:val="16"/>
                <w:szCs w:val="16"/>
                <w:lang w:eastAsia="zh-CN"/>
              </w:rPr>
              <w:t>PFD management partial failure</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16.3.0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w:t>
            </w:r>
            <w:r w:rsidRPr="000A0A5F">
              <w:rPr>
                <w:rFonts w:cs="Arial"/>
                <w:color w:val="000000"/>
                <w:sz w:val="16"/>
                <w:szCs w:val="16"/>
                <w:lang w:eastAsia="zh-CN"/>
              </w:rPr>
              <w:t>019-09</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8</w:t>
            </w:r>
            <w:r w:rsidRPr="000A0A5F">
              <w:rPr>
                <w:rFonts w:cs="Arial" w:hint="eastAsia"/>
                <w:color w:val="000000"/>
                <w:sz w:val="16"/>
                <w:szCs w:val="16"/>
                <w:lang w:eastAsia="zh-CN"/>
              </w:rPr>
              <w:t>5</w:t>
            </w:r>
          </w:p>
        </w:tc>
        <w:tc>
          <w:tcPr>
            <w:tcW w:w="108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w:t>
            </w:r>
            <w:r w:rsidRPr="000A0A5F">
              <w:rPr>
                <w:rFonts w:cs="Arial"/>
                <w:color w:val="000000"/>
                <w:sz w:val="16"/>
                <w:szCs w:val="16"/>
                <w:lang w:eastAsia="zh-CN"/>
              </w:rPr>
              <w:t>P</w:t>
            </w:r>
            <w:r w:rsidRPr="000A0A5F">
              <w:rPr>
                <w:rFonts w:cs="Arial" w:hint="eastAsia"/>
                <w:color w:val="000000"/>
                <w:sz w:val="16"/>
                <w:szCs w:val="16"/>
                <w:lang w:eastAsia="zh-CN"/>
              </w:rPr>
              <w:t>-19</w:t>
            </w:r>
            <w:r w:rsidRPr="000A0A5F">
              <w:rPr>
                <w:rFonts w:cs="Arial"/>
                <w:color w:val="000000"/>
                <w:sz w:val="16"/>
                <w:szCs w:val="16"/>
                <w:lang w:eastAsia="zh-CN"/>
              </w:rPr>
              <w:t>2163</w:t>
            </w:r>
          </w:p>
        </w:tc>
        <w:tc>
          <w:tcPr>
            <w:tcW w:w="524" w:type="dxa"/>
            <w:shd w:val="solid" w:color="FFFFFF" w:fill="auto"/>
          </w:tcPr>
          <w:p w:rsidR="00F82319" w:rsidRPr="000A0A5F" w:rsidRDefault="00F82319" w:rsidP="00F82319">
            <w:pPr>
              <w:pStyle w:val="TAL"/>
              <w:rPr>
                <w:rFonts w:cs="Arial" w:hint="eastAsia"/>
                <w:color w:val="000000"/>
                <w:sz w:val="16"/>
                <w:szCs w:val="16"/>
                <w:lang w:eastAsia="zh-CN"/>
              </w:rPr>
            </w:pPr>
            <w:r w:rsidRPr="000A0A5F">
              <w:rPr>
                <w:rFonts w:cs="Arial" w:hint="eastAsia"/>
                <w:color w:val="000000"/>
                <w:sz w:val="16"/>
                <w:szCs w:val="16"/>
                <w:lang w:eastAsia="zh-CN"/>
              </w:rPr>
              <w:t>0199</w:t>
            </w:r>
          </w:p>
        </w:tc>
        <w:tc>
          <w:tcPr>
            <w:tcW w:w="424" w:type="dxa"/>
            <w:shd w:val="solid" w:color="FFFFFF" w:fill="auto"/>
          </w:tcPr>
          <w:p w:rsidR="00F82319" w:rsidRPr="000A0A5F" w:rsidRDefault="00F82319" w:rsidP="00F82319">
            <w:pPr>
              <w:pStyle w:val="TAR"/>
              <w:rPr>
                <w:rFonts w:cs="Arial" w:hint="eastAsia"/>
                <w:color w:val="000000"/>
                <w:sz w:val="16"/>
                <w:szCs w:val="16"/>
                <w:lang w:eastAsia="zh-CN"/>
              </w:rPr>
            </w:pPr>
          </w:p>
        </w:tc>
        <w:tc>
          <w:tcPr>
            <w:tcW w:w="424"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F</w:t>
            </w:r>
          </w:p>
        </w:tc>
        <w:tc>
          <w:tcPr>
            <w:tcW w:w="4919" w:type="dxa"/>
            <w:shd w:val="solid" w:color="FFFFFF" w:fill="auto"/>
          </w:tcPr>
          <w:p w:rsidR="00F82319" w:rsidRPr="000A0A5F" w:rsidRDefault="00F82319" w:rsidP="00F82319">
            <w:pPr>
              <w:pStyle w:val="TAL"/>
              <w:rPr>
                <w:rFonts w:hint="eastAsia"/>
                <w:noProof/>
                <w:sz w:val="16"/>
                <w:szCs w:val="16"/>
                <w:lang w:eastAsia="zh-CN"/>
              </w:rPr>
            </w:pPr>
            <w:r w:rsidRPr="000A0A5F">
              <w:rPr>
                <w:rFonts w:cs="Arial"/>
                <w:color w:val="000000"/>
                <w:sz w:val="16"/>
                <w:szCs w:val="16"/>
                <w:lang w:eastAsia="zh-CN"/>
              </w:rPr>
              <w:t>Correction on MSISDN</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16.3.0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w:t>
            </w:r>
            <w:r w:rsidRPr="000A0A5F">
              <w:rPr>
                <w:rFonts w:cs="Arial"/>
                <w:color w:val="000000"/>
                <w:sz w:val="16"/>
                <w:szCs w:val="16"/>
                <w:lang w:eastAsia="zh-CN"/>
              </w:rPr>
              <w:t>019-09</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8</w:t>
            </w:r>
            <w:r w:rsidRPr="000A0A5F">
              <w:rPr>
                <w:rFonts w:cs="Arial" w:hint="eastAsia"/>
                <w:color w:val="000000"/>
                <w:sz w:val="16"/>
                <w:szCs w:val="16"/>
                <w:lang w:eastAsia="zh-CN"/>
              </w:rPr>
              <w:t>5</w:t>
            </w:r>
          </w:p>
        </w:tc>
        <w:tc>
          <w:tcPr>
            <w:tcW w:w="108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w:t>
            </w:r>
            <w:r w:rsidRPr="000A0A5F">
              <w:rPr>
                <w:rFonts w:cs="Arial"/>
                <w:color w:val="000000"/>
                <w:sz w:val="16"/>
                <w:szCs w:val="16"/>
                <w:lang w:eastAsia="zh-CN"/>
              </w:rPr>
              <w:t>P</w:t>
            </w:r>
            <w:r w:rsidRPr="000A0A5F">
              <w:rPr>
                <w:rFonts w:cs="Arial" w:hint="eastAsia"/>
                <w:color w:val="000000"/>
                <w:sz w:val="16"/>
                <w:szCs w:val="16"/>
                <w:lang w:eastAsia="zh-CN"/>
              </w:rPr>
              <w:t>-19</w:t>
            </w:r>
            <w:r w:rsidRPr="000A0A5F">
              <w:rPr>
                <w:rFonts w:cs="Arial"/>
                <w:color w:val="000000"/>
                <w:sz w:val="16"/>
                <w:szCs w:val="16"/>
                <w:lang w:eastAsia="zh-CN"/>
              </w:rPr>
              <w:t>2173</w:t>
            </w:r>
          </w:p>
        </w:tc>
        <w:tc>
          <w:tcPr>
            <w:tcW w:w="524" w:type="dxa"/>
            <w:shd w:val="solid" w:color="FFFFFF" w:fill="auto"/>
          </w:tcPr>
          <w:p w:rsidR="00F82319" w:rsidRPr="000A0A5F" w:rsidRDefault="00F82319" w:rsidP="00F82319">
            <w:pPr>
              <w:pStyle w:val="TAL"/>
              <w:rPr>
                <w:rFonts w:cs="Arial" w:hint="eastAsia"/>
                <w:color w:val="000000"/>
                <w:sz w:val="16"/>
                <w:szCs w:val="16"/>
                <w:lang w:eastAsia="zh-CN"/>
              </w:rPr>
            </w:pPr>
            <w:r w:rsidRPr="000A0A5F">
              <w:rPr>
                <w:rFonts w:cs="Arial" w:hint="eastAsia"/>
                <w:color w:val="000000"/>
                <w:sz w:val="16"/>
                <w:szCs w:val="16"/>
                <w:lang w:eastAsia="zh-CN"/>
              </w:rPr>
              <w:t>0200</w:t>
            </w:r>
          </w:p>
        </w:tc>
        <w:tc>
          <w:tcPr>
            <w:tcW w:w="424" w:type="dxa"/>
            <w:shd w:val="solid" w:color="FFFFFF" w:fill="auto"/>
          </w:tcPr>
          <w:p w:rsidR="00F82319" w:rsidRPr="000A0A5F" w:rsidRDefault="00F82319" w:rsidP="00F82319">
            <w:pPr>
              <w:pStyle w:val="TAR"/>
              <w:rPr>
                <w:rFonts w:cs="Arial" w:hint="eastAsia"/>
                <w:color w:val="000000"/>
                <w:sz w:val="16"/>
                <w:szCs w:val="16"/>
                <w:lang w:eastAsia="zh-CN"/>
              </w:rPr>
            </w:pPr>
          </w:p>
        </w:tc>
        <w:tc>
          <w:tcPr>
            <w:tcW w:w="424"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OpenAPI version update for TS 29.122 Rel-16</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16.3.0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color w:val="000000"/>
                <w:sz w:val="16"/>
                <w:szCs w:val="16"/>
                <w:lang w:eastAsia="zh-CN"/>
              </w:rPr>
              <w:t>2019-12</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color w:val="000000"/>
                <w:sz w:val="16"/>
                <w:szCs w:val="16"/>
                <w:lang w:eastAsia="zh-CN"/>
              </w:rPr>
              <w:t>CT#86</w:t>
            </w:r>
          </w:p>
        </w:tc>
        <w:tc>
          <w:tcPr>
            <w:tcW w:w="108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color w:val="000000"/>
                <w:sz w:val="16"/>
                <w:szCs w:val="16"/>
                <w:lang w:eastAsia="zh-CN"/>
              </w:rPr>
              <w:t>CP-193216</w:t>
            </w:r>
          </w:p>
        </w:tc>
        <w:tc>
          <w:tcPr>
            <w:tcW w:w="524" w:type="dxa"/>
            <w:shd w:val="solid" w:color="FFFFFF" w:fill="auto"/>
          </w:tcPr>
          <w:p w:rsidR="00F82319" w:rsidRPr="000A0A5F" w:rsidRDefault="00F82319" w:rsidP="00F82319">
            <w:pPr>
              <w:pStyle w:val="TAL"/>
              <w:rPr>
                <w:rFonts w:cs="Arial" w:hint="eastAsia"/>
                <w:color w:val="000000"/>
                <w:sz w:val="16"/>
                <w:szCs w:val="16"/>
                <w:lang w:eastAsia="zh-CN"/>
              </w:rPr>
            </w:pPr>
            <w:r w:rsidRPr="000A0A5F">
              <w:rPr>
                <w:rFonts w:cs="Arial"/>
                <w:color w:val="000000"/>
                <w:sz w:val="16"/>
                <w:szCs w:val="16"/>
                <w:lang w:eastAsia="zh-CN"/>
              </w:rPr>
              <w:t>0158</w:t>
            </w:r>
          </w:p>
        </w:tc>
        <w:tc>
          <w:tcPr>
            <w:tcW w:w="424" w:type="dxa"/>
            <w:shd w:val="solid" w:color="FFFFFF" w:fill="auto"/>
          </w:tcPr>
          <w:p w:rsidR="00F82319" w:rsidRPr="000A0A5F" w:rsidRDefault="00F82319" w:rsidP="00F82319">
            <w:pPr>
              <w:pStyle w:val="TAR"/>
              <w:rPr>
                <w:rFonts w:cs="Arial" w:hint="eastAsia"/>
                <w:color w:val="000000"/>
                <w:sz w:val="16"/>
                <w:szCs w:val="16"/>
                <w:lang w:eastAsia="zh-CN"/>
              </w:rPr>
            </w:pPr>
            <w:r w:rsidRPr="000A0A5F">
              <w:rPr>
                <w:rFonts w:cs="Arial"/>
                <w:color w:val="000000"/>
                <w:sz w:val="16"/>
                <w:szCs w:val="16"/>
                <w:lang w:eastAsia="zh-CN"/>
              </w:rPr>
              <w:t>9</w:t>
            </w:r>
          </w:p>
        </w:tc>
        <w:tc>
          <w:tcPr>
            <w:tcW w:w="424"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Update to NIDD APIs for RDS Dynamic Port Management</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color w:val="000000"/>
                <w:sz w:val="16"/>
                <w:szCs w:val="16"/>
                <w:lang w:eastAsia="zh-CN"/>
              </w:rPr>
              <w:t>16.4.0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2019-12</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CT#86</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CP-193179</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0202</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Nnef_APISupportCapability Service</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16.4.0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2019-12</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CT#86</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CP-193179</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0203</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Scheduled communication type</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16.4.0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2019-12</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CT#86</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CP-193198</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0204</w:t>
            </w:r>
          </w:p>
        </w:tc>
        <w:tc>
          <w:tcPr>
            <w:tcW w:w="424" w:type="dxa"/>
            <w:shd w:val="solid" w:color="FFFFFF" w:fill="auto"/>
          </w:tcPr>
          <w:p w:rsidR="00F82319" w:rsidRPr="000A0A5F" w:rsidRDefault="00F82319" w:rsidP="00F82319">
            <w:pPr>
              <w:pStyle w:val="TAR"/>
              <w:rPr>
                <w:rFonts w:cs="Arial"/>
                <w:color w:val="000000"/>
                <w:sz w:val="16"/>
                <w:szCs w:val="16"/>
                <w:lang w:eastAsia="zh-CN"/>
              </w:rPr>
            </w:pP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Correct UMT location area</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16.4.0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2019-12</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CT#86</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CP-193199</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0205</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2</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RDS port mismatch in NIDD</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16.4.0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2019-12</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CT#86</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CP-193199</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0206</w:t>
            </w:r>
          </w:p>
        </w:tc>
        <w:tc>
          <w:tcPr>
            <w:tcW w:w="424" w:type="dxa"/>
            <w:shd w:val="solid" w:color="FFFFFF" w:fill="auto"/>
          </w:tcPr>
          <w:p w:rsidR="00F82319" w:rsidRPr="000A0A5F" w:rsidRDefault="00F82319" w:rsidP="00F82319">
            <w:pPr>
              <w:pStyle w:val="TAR"/>
              <w:rPr>
                <w:rFonts w:cs="Arial"/>
                <w:color w:val="000000"/>
                <w:sz w:val="16"/>
                <w:szCs w:val="16"/>
                <w:lang w:eastAsia="zh-CN"/>
              </w:rPr>
            </w:pP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Reference update: RFC 8259</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16.4.0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2019-12</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CT#86</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CP-193206</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0208</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4</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A</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Correct SCEF aggregation</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16.4.0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2019-12</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CT#86</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CP-193209</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0209</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3</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Complete RACS details</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16.4.0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2019-12</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CT#86</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CP-193199</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0210</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BatteryIndication data type</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16.4.0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2019-12</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CT#86</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CP-193220</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0212</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3</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PFD partial failure notification</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16.4.0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2019-12</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CT#86</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CP-193206</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0215</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A</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Correct application port</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16.4.0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2019-12</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CT#86</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CP-193179</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0216</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Support API capability change based on API filter</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16.4.0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2019-12</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CT#86</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CP-193198</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0217</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openAPI correction for ExNotification</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16.4.0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2019-12</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CT#86</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CP-193212</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0218</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Update of API version and TS version in OpenAPI file</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16.4.0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2020-03</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CT#87e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CP-200198</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0220</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Update of the DDD status event and availability of DDN failure event</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16.5.0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2020-03</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CT#87e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CP-200202</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0222</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QoS Monitoring Report</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16.5.0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2020-03</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CT#87e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CP-200198</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0223</w:t>
            </w:r>
          </w:p>
        </w:tc>
        <w:tc>
          <w:tcPr>
            <w:tcW w:w="424" w:type="dxa"/>
            <w:shd w:val="solid" w:color="FFFFFF" w:fill="auto"/>
          </w:tcPr>
          <w:p w:rsidR="00F82319" w:rsidRPr="000A0A5F" w:rsidRDefault="00F82319" w:rsidP="00F82319">
            <w:pPr>
              <w:pStyle w:val="TAR"/>
              <w:rPr>
                <w:rFonts w:cs="Arial"/>
                <w:color w:val="000000"/>
                <w:sz w:val="16"/>
                <w:szCs w:val="16"/>
                <w:lang w:eastAsia="zh-CN"/>
              </w:rPr>
            </w:pP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Clarify empty array for API capability change</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16.5.0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2020-03</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CT#87e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CP-200144</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0224</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Support PDU session status</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16.5.0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2020-03</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CT#87e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CP-200208</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0225</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Support BDT policy candidates in notification</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16.5.0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2020-03</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CT#87e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CP-200212</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0226</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Add alternative QoS requirements</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16.5.0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2020-03</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CT#87e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CP-200219</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0227</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Adding data type for the BDT Reference ID with "nullable: true" property</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16.5.0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2020-03</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CT#87e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CP-200209</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0231</w:t>
            </w:r>
          </w:p>
        </w:tc>
        <w:tc>
          <w:tcPr>
            <w:tcW w:w="424" w:type="dxa"/>
            <w:shd w:val="solid" w:color="FFFFFF" w:fill="auto"/>
          </w:tcPr>
          <w:p w:rsidR="00F82319" w:rsidRPr="000A0A5F" w:rsidRDefault="00F82319" w:rsidP="00F82319">
            <w:pPr>
              <w:pStyle w:val="TAR"/>
              <w:rPr>
                <w:rFonts w:cs="Arial"/>
                <w:color w:val="000000"/>
                <w:sz w:val="16"/>
                <w:szCs w:val="16"/>
                <w:lang w:eastAsia="zh-CN"/>
              </w:rPr>
            </w:pP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Enumeration PdnEstablishmentOptionsRm and "nullable" keyword</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16.5.0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2020-03</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CT#87e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CP-200216</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0232</w:t>
            </w:r>
          </w:p>
        </w:tc>
        <w:tc>
          <w:tcPr>
            <w:tcW w:w="424" w:type="dxa"/>
            <w:shd w:val="solid" w:color="FFFFFF" w:fill="auto"/>
          </w:tcPr>
          <w:p w:rsidR="00F82319" w:rsidRPr="000A0A5F" w:rsidRDefault="00F82319" w:rsidP="00F82319">
            <w:pPr>
              <w:pStyle w:val="TAR"/>
              <w:rPr>
                <w:rFonts w:cs="Arial"/>
                <w:color w:val="000000"/>
                <w:sz w:val="16"/>
                <w:szCs w:val="16"/>
                <w:lang w:eastAsia="zh-CN"/>
              </w:rPr>
            </w:pP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Update of OpenAPI version and TS version in externalDocs field</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16.5.0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20-06</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88e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hint="eastAsia"/>
                <w:color w:val="000000"/>
                <w:sz w:val="16"/>
                <w:szCs w:val="16"/>
                <w:lang w:eastAsia="zh-CN"/>
              </w:rPr>
              <w:t>C</w:t>
            </w:r>
            <w:r w:rsidRPr="000A0A5F">
              <w:rPr>
                <w:rFonts w:cs="Arial"/>
                <w:color w:val="000000"/>
                <w:sz w:val="16"/>
                <w:szCs w:val="16"/>
                <w:lang w:eastAsia="zh-CN"/>
              </w:rPr>
              <w:t>P-201194</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hint="eastAsia"/>
                <w:color w:val="000000"/>
                <w:sz w:val="16"/>
                <w:szCs w:val="16"/>
                <w:lang w:eastAsia="zh-CN"/>
              </w:rPr>
              <w:t>0</w:t>
            </w:r>
            <w:r w:rsidRPr="000A0A5F">
              <w:rPr>
                <w:rFonts w:cs="Arial"/>
                <w:color w:val="000000"/>
                <w:sz w:val="16"/>
                <w:szCs w:val="16"/>
                <w:lang w:eastAsia="zh-CN"/>
              </w:rPr>
              <w:t>228</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7</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hint="eastAsia"/>
                <w:color w:val="000000"/>
                <w:sz w:val="16"/>
                <w:szCs w:val="16"/>
                <w:lang w:eastAsia="zh-CN"/>
              </w:rPr>
              <w:t>B</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Supporting the Location Services via NEF</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6.6.0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20-06</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88e</w:t>
            </w:r>
          </w:p>
        </w:tc>
        <w:tc>
          <w:tcPr>
            <w:tcW w:w="108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w:t>
            </w:r>
            <w:r w:rsidRPr="000A0A5F">
              <w:rPr>
                <w:rFonts w:cs="Arial"/>
                <w:color w:val="000000"/>
                <w:sz w:val="16"/>
                <w:szCs w:val="16"/>
                <w:lang w:eastAsia="zh-CN"/>
              </w:rPr>
              <w:t>P-201243</w:t>
            </w:r>
          </w:p>
        </w:tc>
        <w:tc>
          <w:tcPr>
            <w:tcW w:w="524" w:type="dxa"/>
            <w:shd w:val="solid" w:color="FFFFFF" w:fill="auto"/>
          </w:tcPr>
          <w:p w:rsidR="00F82319" w:rsidRPr="000A0A5F" w:rsidRDefault="00F82319" w:rsidP="00F82319">
            <w:pPr>
              <w:pStyle w:val="TAL"/>
              <w:rPr>
                <w:rFonts w:cs="Arial" w:hint="eastAsia"/>
                <w:color w:val="000000"/>
                <w:sz w:val="16"/>
                <w:szCs w:val="16"/>
                <w:lang w:eastAsia="zh-CN"/>
              </w:rPr>
            </w:pPr>
            <w:r w:rsidRPr="000A0A5F">
              <w:rPr>
                <w:rFonts w:cs="Arial" w:hint="eastAsia"/>
                <w:color w:val="000000"/>
                <w:sz w:val="16"/>
                <w:szCs w:val="16"/>
                <w:lang w:eastAsia="zh-CN"/>
              </w:rPr>
              <w:t>0</w:t>
            </w:r>
            <w:r w:rsidRPr="000A0A5F">
              <w:rPr>
                <w:rFonts w:cs="Arial"/>
                <w:color w:val="000000"/>
                <w:sz w:val="16"/>
                <w:szCs w:val="16"/>
                <w:lang w:eastAsia="zh-CN"/>
              </w:rPr>
              <w:t>233</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hint="eastAsia"/>
                <w:color w:val="000000"/>
                <w:sz w:val="16"/>
                <w:szCs w:val="16"/>
                <w:lang w:eastAsia="zh-CN"/>
              </w:rPr>
              <w:t>1</w:t>
            </w:r>
          </w:p>
        </w:tc>
        <w:tc>
          <w:tcPr>
            <w:tcW w:w="424"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Addition of IMEI/TAC values for RACS operations</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6.6.0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20-06</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88e</w:t>
            </w:r>
          </w:p>
        </w:tc>
        <w:tc>
          <w:tcPr>
            <w:tcW w:w="108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w:t>
            </w:r>
            <w:r w:rsidRPr="000A0A5F">
              <w:rPr>
                <w:rFonts w:cs="Arial"/>
                <w:color w:val="000000"/>
                <w:sz w:val="16"/>
                <w:szCs w:val="16"/>
                <w:lang w:eastAsia="zh-CN"/>
              </w:rPr>
              <w:t>P-201243</w:t>
            </w:r>
          </w:p>
        </w:tc>
        <w:tc>
          <w:tcPr>
            <w:tcW w:w="524" w:type="dxa"/>
            <w:shd w:val="solid" w:color="FFFFFF" w:fill="auto"/>
          </w:tcPr>
          <w:p w:rsidR="00F82319" w:rsidRPr="000A0A5F" w:rsidRDefault="00F82319" w:rsidP="00F82319">
            <w:pPr>
              <w:pStyle w:val="TAL"/>
              <w:rPr>
                <w:rFonts w:cs="Arial" w:hint="eastAsia"/>
                <w:color w:val="000000"/>
                <w:sz w:val="16"/>
                <w:szCs w:val="16"/>
                <w:lang w:eastAsia="zh-CN"/>
              </w:rPr>
            </w:pPr>
            <w:r w:rsidRPr="000A0A5F">
              <w:rPr>
                <w:rFonts w:cs="Arial" w:hint="eastAsia"/>
                <w:color w:val="000000"/>
                <w:sz w:val="16"/>
                <w:szCs w:val="16"/>
                <w:lang w:eastAsia="zh-CN"/>
              </w:rPr>
              <w:t>0</w:t>
            </w:r>
            <w:r w:rsidRPr="000A0A5F">
              <w:rPr>
                <w:rFonts w:cs="Arial"/>
                <w:color w:val="000000"/>
                <w:sz w:val="16"/>
                <w:szCs w:val="16"/>
                <w:lang w:eastAsia="zh-CN"/>
              </w:rPr>
              <w:t>234</w:t>
            </w:r>
          </w:p>
        </w:tc>
        <w:tc>
          <w:tcPr>
            <w:tcW w:w="424" w:type="dxa"/>
            <w:shd w:val="solid" w:color="FFFFFF" w:fill="auto"/>
          </w:tcPr>
          <w:p w:rsidR="00F82319" w:rsidRPr="000A0A5F" w:rsidRDefault="00F82319" w:rsidP="00F82319">
            <w:pPr>
              <w:pStyle w:val="TAR"/>
              <w:rPr>
                <w:rFonts w:cs="Arial" w:hint="eastAsia"/>
                <w:color w:val="000000"/>
                <w:sz w:val="16"/>
                <w:szCs w:val="16"/>
                <w:lang w:eastAsia="zh-CN"/>
              </w:rPr>
            </w:pPr>
            <w:r w:rsidRPr="000A0A5F">
              <w:rPr>
                <w:rFonts w:cs="Arial" w:hint="eastAsia"/>
                <w:color w:val="000000"/>
                <w:sz w:val="16"/>
                <w:szCs w:val="16"/>
                <w:lang w:eastAsia="zh-CN"/>
              </w:rPr>
              <w:t>3</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hint="eastAsia"/>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Corrections to UE radio capability configuration data</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6.6.0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20-06</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88e</w:t>
            </w:r>
          </w:p>
        </w:tc>
        <w:tc>
          <w:tcPr>
            <w:tcW w:w="108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w:t>
            </w:r>
            <w:r w:rsidRPr="000A0A5F">
              <w:rPr>
                <w:rFonts w:cs="Arial"/>
                <w:color w:val="000000"/>
                <w:sz w:val="16"/>
                <w:szCs w:val="16"/>
                <w:lang w:eastAsia="zh-CN"/>
              </w:rPr>
              <w:t>P-201243</w:t>
            </w:r>
          </w:p>
        </w:tc>
        <w:tc>
          <w:tcPr>
            <w:tcW w:w="524" w:type="dxa"/>
            <w:shd w:val="solid" w:color="FFFFFF" w:fill="auto"/>
          </w:tcPr>
          <w:p w:rsidR="00F82319" w:rsidRPr="000A0A5F" w:rsidRDefault="00F82319" w:rsidP="00F82319">
            <w:pPr>
              <w:pStyle w:val="TAL"/>
              <w:rPr>
                <w:rFonts w:cs="Arial" w:hint="eastAsia"/>
                <w:color w:val="000000"/>
                <w:sz w:val="16"/>
                <w:szCs w:val="16"/>
                <w:lang w:eastAsia="zh-CN"/>
              </w:rPr>
            </w:pPr>
            <w:r w:rsidRPr="000A0A5F">
              <w:rPr>
                <w:rFonts w:cs="Arial" w:hint="eastAsia"/>
                <w:color w:val="000000"/>
                <w:sz w:val="16"/>
                <w:szCs w:val="16"/>
                <w:lang w:eastAsia="zh-CN"/>
              </w:rPr>
              <w:t>0</w:t>
            </w:r>
            <w:r w:rsidRPr="000A0A5F">
              <w:rPr>
                <w:rFonts w:cs="Arial"/>
                <w:color w:val="000000"/>
                <w:sz w:val="16"/>
                <w:szCs w:val="16"/>
                <w:lang w:eastAsia="zh-CN"/>
              </w:rPr>
              <w:t>235</w:t>
            </w:r>
          </w:p>
        </w:tc>
        <w:tc>
          <w:tcPr>
            <w:tcW w:w="424" w:type="dxa"/>
            <w:shd w:val="solid" w:color="FFFFFF" w:fill="auto"/>
          </w:tcPr>
          <w:p w:rsidR="00F82319" w:rsidRPr="000A0A5F" w:rsidRDefault="00F82319" w:rsidP="00F82319">
            <w:pPr>
              <w:pStyle w:val="TAR"/>
              <w:rPr>
                <w:rFonts w:cs="Arial" w:hint="eastAsia"/>
                <w:color w:val="000000"/>
                <w:sz w:val="16"/>
                <w:szCs w:val="16"/>
                <w:lang w:eastAsia="zh-CN"/>
              </w:rPr>
            </w:pPr>
            <w:r w:rsidRPr="000A0A5F">
              <w:rPr>
                <w:rFonts w:cs="Arial" w:hint="eastAsia"/>
                <w:color w:val="000000"/>
                <w:sz w:val="16"/>
                <w:szCs w:val="16"/>
                <w:lang w:eastAsia="zh-CN"/>
              </w:rPr>
              <w:t>1</w:t>
            </w:r>
          </w:p>
        </w:tc>
        <w:tc>
          <w:tcPr>
            <w:tcW w:w="424"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Missing bullet in introduction</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6.6.0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20-06</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88e</w:t>
            </w:r>
          </w:p>
        </w:tc>
        <w:tc>
          <w:tcPr>
            <w:tcW w:w="108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w:t>
            </w:r>
            <w:r w:rsidRPr="000A0A5F">
              <w:rPr>
                <w:rFonts w:cs="Arial"/>
                <w:color w:val="000000"/>
                <w:sz w:val="16"/>
                <w:szCs w:val="16"/>
                <w:lang w:eastAsia="zh-CN"/>
              </w:rPr>
              <w:t>P-201241</w:t>
            </w:r>
          </w:p>
        </w:tc>
        <w:tc>
          <w:tcPr>
            <w:tcW w:w="524" w:type="dxa"/>
            <w:shd w:val="solid" w:color="FFFFFF" w:fill="auto"/>
          </w:tcPr>
          <w:p w:rsidR="00F82319" w:rsidRPr="000A0A5F" w:rsidRDefault="00F82319" w:rsidP="00F82319">
            <w:pPr>
              <w:pStyle w:val="TAL"/>
              <w:rPr>
                <w:rFonts w:cs="Arial" w:hint="eastAsia"/>
                <w:color w:val="000000"/>
                <w:sz w:val="16"/>
                <w:szCs w:val="16"/>
                <w:lang w:eastAsia="zh-CN"/>
              </w:rPr>
            </w:pPr>
            <w:r w:rsidRPr="000A0A5F">
              <w:rPr>
                <w:rFonts w:cs="Arial" w:hint="eastAsia"/>
                <w:color w:val="000000"/>
                <w:sz w:val="16"/>
                <w:szCs w:val="16"/>
                <w:lang w:eastAsia="zh-CN"/>
              </w:rPr>
              <w:t>0</w:t>
            </w:r>
            <w:r w:rsidRPr="000A0A5F">
              <w:rPr>
                <w:rFonts w:cs="Arial"/>
                <w:color w:val="000000"/>
                <w:sz w:val="16"/>
                <w:szCs w:val="16"/>
                <w:lang w:eastAsia="zh-CN"/>
              </w:rPr>
              <w:t>237</w:t>
            </w:r>
          </w:p>
        </w:tc>
        <w:tc>
          <w:tcPr>
            <w:tcW w:w="424" w:type="dxa"/>
            <w:shd w:val="solid" w:color="FFFFFF" w:fill="auto"/>
          </w:tcPr>
          <w:p w:rsidR="00F82319" w:rsidRPr="000A0A5F" w:rsidRDefault="00F82319" w:rsidP="00F82319">
            <w:pPr>
              <w:pStyle w:val="TAR"/>
              <w:rPr>
                <w:rFonts w:cs="Arial" w:hint="eastAsia"/>
                <w:color w:val="000000"/>
                <w:sz w:val="16"/>
                <w:szCs w:val="16"/>
                <w:lang w:eastAsia="zh-CN"/>
              </w:rPr>
            </w:pPr>
            <w:r w:rsidRPr="000A0A5F">
              <w:rPr>
                <w:rFonts w:cs="Arial" w:hint="eastAsia"/>
                <w:color w:val="000000"/>
                <w:sz w:val="16"/>
                <w:szCs w:val="16"/>
                <w:lang w:eastAsia="zh-CN"/>
              </w:rPr>
              <w:t>1</w:t>
            </w:r>
          </w:p>
        </w:tc>
        <w:tc>
          <w:tcPr>
            <w:tcW w:w="424"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A</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Event of Usage Threshold</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6.6.0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20-06</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88e</w:t>
            </w:r>
          </w:p>
        </w:tc>
        <w:tc>
          <w:tcPr>
            <w:tcW w:w="108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w:t>
            </w:r>
            <w:r w:rsidRPr="000A0A5F">
              <w:rPr>
                <w:rFonts w:cs="Arial"/>
                <w:color w:val="000000"/>
                <w:sz w:val="16"/>
                <w:szCs w:val="16"/>
                <w:lang w:eastAsia="zh-CN"/>
              </w:rPr>
              <w:t>P-201235</w:t>
            </w:r>
          </w:p>
        </w:tc>
        <w:tc>
          <w:tcPr>
            <w:tcW w:w="524" w:type="dxa"/>
            <w:shd w:val="solid" w:color="FFFFFF" w:fill="auto"/>
          </w:tcPr>
          <w:p w:rsidR="00F82319" w:rsidRPr="000A0A5F" w:rsidRDefault="00F82319" w:rsidP="00F82319">
            <w:pPr>
              <w:pStyle w:val="TAL"/>
              <w:rPr>
                <w:rFonts w:cs="Arial" w:hint="eastAsia"/>
                <w:color w:val="000000"/>
                <w:sz w:val="16"/>
                <w:szCs w:val="16"/>
                <w:lang w:eastAsia="zh-CN"/>
              </w:rPr>
            </w:pPr>
            <w:r w:rsidRPr="000A0A5F">
              <w:rPr>
                <w:rFonts w:cs="Arial" w:hint="eastAsia"/>
                <w:color w:val="000000"/>
                <w:sz w:val="16"/>
                <w:szCs w:val="16"/>
                <w:lang w:eastAsia="zh-CN"/>
              </w:rPr>
              <w:t>0239</w:t>
            </w:r>
          </w:p>
        </w:tc>
        <w:tc>
          <w:tcPr>
            <w:tcW w:w="424" w:type="dxa"/>
            <w:shd w:val="solid" w:color="FFFFFF" w:fill="auto"/>
          </w:tcPr>
          <w:p w:rsidR="00F82319" w:rsidRPr="000A0A5F" w:rsidRDefault="00F82319" w:rsidP="00F82319">
            <w:pPr>
              <w:pStyle w:val="TAR"/>
              <w:rPr>
                <w:rFonts w:cs="Arial" w:hint="eastAsia"/>
                <w:color w:val="000000"/>
                <w:sz w:val="16"/>
                <w:szCs w:val="16"/>
                <w:lang w:eastAsia="zh-CN"/>
              </w:rPr>
            </w:pPr>
            <w:r w:rsidRPr="000A0A5F">
              <w:rPr>
                <w:rFonts w:cs="Arial" w:hint="eastAsia"/>
                <w:color w:val="000000"/>
                <w:sz w:val="16"/>
                <w:szCs w:val="16"/>
                <w:lang w:eastAsia="zh-CN"/>
              </w:rPr>
              <w:t>3</w:t>
            </w:r>
          </w:p>
        </w:tc>
        <w:tc>
          <w:tcPr>
            <w:tcW w:w="424"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Periodic reporting by Nnef</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6.6.0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20-06</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88e</w:t>
            </w:r>
          </w:p>
        </w:tc>
        <w:tc>
          <w:tcPr>
            <w:tcW w:w="108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w:t>
            </w:r>
            <w:r w:rsidRPr="000A0A5F">
              <w:rPr>
                <w:rFonts w:cs="Arial"/>
                <w:color w:val="000000"/>
                <w:sz w:val="16"/>
                <w:szCs w:val="16"/>
                <w:lang w:eastAsia="zh-CN"/>
              </w:rPr>
              <w:t>P-201210</w:t>
            </w:r>
          </w:p>
        </w:tc>
        <w:tc>
          <w:tcPr>
            <w:tcW w:w="524" w:type="dxa"/>
            <w:shd w:val="solid" w:color="FFFFFF" w:fill="auto"/>
          </w:tcPr>
          <w:p w:rsidR="00F82319" w:rsidRPr="000A0A5F" w:rsidRDefault="00F82319" w:rsidP="00F82319">
            <w:pPr>
              <w:pStyle w:val="TAL"/>
              <w:rPr>
                <w:rFonts w:cs="Arial" w:hint="eastAsia"/>
                <w:color w:val="000000"/>
                <w:sz w:val="16"/>
                <w:szCs w:val="16"/>
                <w:lang w:eastAsia="zh-CN"/>
              </w:rPr>
            </w:pPr>
            <w:r w:rsidRPr="000A0A5F">
              <w:rPr>
                <w:rFonts w:cs="Arial" w:hint="eastAsia"/>
                <w:color w:val="000000"/>
                <w:sz w:val="16"/>
                <w:szCs w:val="16"/>
                <w:lang w:eastAsia="zh-CN"/>
              </w:rPr>
              <w:t>0241</w:t>
            </w:r>
          </w:p>
        </w:tc>
        <w:tc>
          <w:tcPr>
            <w:tcW w:w="424" w:type="dxa"/>
            <w:shd w:val="solid" w:color="FFFFFF" w:fill="auto"/>
          </w:tcPr>
          <w:p w:rsidR="00F82319" w:rsidRPr="000A0A5F" w:rsidRDefault="00F82319" w:rsidP="00F82319">
            <w:pPr>
              <w:pStyle w:val="TAR"/>
              <w:rPr>
                <w:rFonts w:cs="Arial" w:hint="eastAsia"/>
                <w:color w:val="000000"/>
                <w:sz w:val="16"/>
                <w:szCs w:val="16"/>
                <w:lang w:eastAsia="zh-CN"/>
              </w:rPr>
            </w:pPr>
            <w:r w:rsidRPr="000A0A5F">
              <w:rPr>
                <w:rFonts w:cs="Arial" w:hint="eastAsia"/>
                <w:color w:val="000000"/>
                <w:sz w:val="16"/>
                <w:szCs w:val="16"/>
                <w:lang w:eastAsia="zh-CN"/>
              </w:rPr>
              <w:t>1</w:t>
            </w:r>
          </w:p>
        </w:tc>
        <w:tc>
          <w:tcPr>
            <w:tcW w:w="424"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Correction to the DDD status event</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6.6.0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20-06</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88e</w:t>
            </w:r>
          </w:p>
        </w:tc>
        <w:tc>
          <w:tcPr>
            <w:tcW w:w="108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w:t>
            </w:r>
            <w:r w:rsidRPr="000A0A5F">
              <w:rPr>
                <w:rFonts w:cs="Arial"/>
                <w:color w:val="000000"/>
                <w:sz w:val="16"/>
                <w:szCs w:val="16"/>
                <w:lang w:eastAsia="zh-CN"/>
              </w:rPr>
              <w:t>P-201241</w:t>
            </w:r>
          </w:p>
        </w:tc>
        <w:tc>
          <w:tcPr>
            <w:tcW w:w="524" w:type="dxa"/>
            <w:shd w:val="solid" w:color="FFFFFF" w:fill="auto"/>
          </w:tcPr>
          <w:p w:rsidR="00F82319" w:rsidRPr="000A0A5F" w:rsidRDefault="00F82319" w:rsidP="00F82319">
            <w:pPr>
              <w:pStyle w:val="TAL"/>
              <w:rPr>
                <w:rFonts w:cs="Arial" w:hint="eastAsia"/>
                <w:color w:val="000000"/>
                <w:sz w:val="16"/>
                <w:szCs w:val="16"/>
                <w:lang w:eastAsia="zh-CN"/>
              </w:rPr>
            </w:pPr>
            <w:r w:rsidRPr="000A0A5F">
              <w:rPr>
                <w:rFonts w:cs="Arial" w:hint="eastAsia"/>
                <w:color w:val="000000"/>
                <w:sz w:val="16"/>
                <w:szCs w:val="16"/>
                <w:lang w:eastAsia="zh-CN"/>
              </w:rPr>
              <w:t>0243</w:t>
            </w:r>
          </w:p>
        </w:tc>
        <w:tc>
          <w:tcPr>
            <w:tcW w:w="424" w:type="dxa"/>
            <w:shd w:val="solid" w:color="FFFFFF" w:fill="auto"/>
          </w:tcPr>
          <w:p w:rsidR="00F82319" w:rsidRPr="000A0A5F" w:rsidRDefault="00F82319" w:rsidP="00F82319">
            <w:pPr>
              <w:pStyle w:val="TAR"/>
              <w:rPr>
                <w:rFonts w:cs="Arial" w:hint="eastAsia"/>
                <w:color w:val="000000"/>
                <w:sz w:val="16"/>
                <w:szCs w:val="16"/>
                <w:lang w:eastAsia="zh-CN"/>
              </w:rPr>
            </w:pPr>
          </w:p>
        </w:tc>
        <w:tc>
          <w:tcPr>
            <w:tcW w:w="424"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A</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Correct GMDviaMBMSbyxMB openAPI error</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6.6.0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20-06</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88e</w:t>
            </w:r>
          </w:p>
        </w:tc>
        <w:tc>
          <w:tcPr>
            <w:tcW w:w="108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w:t>
            </w:r>
            <w:r w:rsidRPr="000A0A5F">
              <w:rPr>
                <w:rFonts w:cs="Arial"/>
                <w:color w:val="000000"/>
                <w:sz w:val="16"/>
                <w:szCs w:val="16"/>
                <w:lang w:eastAsia="zh-CN"/>
              </w:rPr>
              <w:t>P-201292</w:t>
            </w:r>
          </w:p>
        </w:tc>
        <w:tc>
          <w:tcPr>
            <w:tcW w:w="524" w:type="dxa"/>
            <w:shd w:val="solid" w:color="FFFFFF" w:fill="auto"/>
          </w:tcPr>
          <w:p w:rsidR="00F82319" w:rsidRPr="000A0A5F" w:rsidRDefault="00F82319" w:rsidP="00F82319">
            <w:pPr>
              <w:pStyle w:val="TAL"/>
              <w:rPr>
                <w:rFonts w:cs="Arial" w:hint="eastAsia"/>
                <w:color w:val="000000"/>
                <w:sz w:val="16"/>
                <w:szCs w:val="16"/>
                <w:lang w:eastAsia="zh-CN"/>
              </w:rPr>
            </w:pPr>
            <w:r w:rsidRPr="000A0A5F">
              <w:rPr>
                <w:rFonts w:cs="Arial" w:hint="eastAsia"/>
                <w:color w:val="000000"/>
                <w:sz w:val="16"/>
                <w:szCs w:val="16"/>
                <w:lang w:eastAsia="zh-CN"/>
              </w:rPr>
              <w:t>0</w:t>
            </w:r>
            <w:r w:rsidRPr="000A0A5F">
              <w:rPr>
                <w:rFonts w:cs="Arial"/>
                <w:color w:val="000000"/>
                <w:sz w:val="16"/>
                <w:szCs w:val="16"/>
                <w:lang w:eastAsia="zh-CN"/>
              </w:rPr>
              <w:t>245</w:t>
            </w:r>
          </w:p>
        </w:tc>
        <w:tc>
          <w:tcPr>
            <w:tcW w:w="424" w:type="dxa"/>
            <w:shd w:val="solid" w:color="FFFFFF" w:fill="auto"/>
          </w:tcPr>
          <w:p w:rsidR="00F82319" w:rsidRPr="000A0A5F" w:rsidRDefault="00F82319" w:rsidP="00F82319">
            <w:pPr>
              <w:pStyle w:val="TAR"/>
              <w:rPr>
                <w:rFonts w:cs="Arial" w:hint="eastAsia"/>
                <w:color w:val="000000"/>
                <w:sz w:val="16"/>
                <w:szCs w:val="16"/>
                <w:lang w:eastAsia="zh-CN"/>
              </w:rPr>
            </w:pPr>
            <w:r w:rsidRPr="000A0A5F">
              <w:rPr>
                <w:rFonts w:cs="Arial"/>
                <w:color w:val="000000"/>
                <w:sz w:val="16"/>
                <w:szCs w:val="16"/>
                <w:lang w:eastAsia="zh-CN"/>
              </w:rPr>
              <w:t>2</w:t>
            </w:r>
          </w:p>
        </w:tc>
        <w:tc>
          <w:tcPr>
            <w:tcW w:w="424"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A</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Correct NIDD API</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6.6.0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20-06</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88e</w:t>
            </w:r>
          </w:p>
        </w:tc>
        <w:tc>
          <w:tcPr>
            <w:tcW w:w="108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w:t>
            </w:r>
            <w:r w:rsidRPr="000A0A5F">
              <w:rPr>
                <w:rFonts w:cs="Arial"/>
                <w:color w:val="000000"/>
                <w:sz w:val="16"/>
                <w:szCs w:val="16"/>
                <w:lang w:eastAsia="zh-CN"/>
              </w:rPr>
              <w:t>P-201213</w:t>
            </w:r>
          </w:p>
        </w:tc>
        <w:tc>
          <w:tcPr>
            <w:tcW w:w="524" w:type="dxa"/>
            <w:shd w:val="solid" w:color="FFFFFF" w:fill="auto"/>
          </w:tcPr>
          <w:p w:rsidR="00F82319" w:rsidRPr="000A0A5F" w:rsidRDefault="00F82319" w:rsidP="00F82319">
            <w:pPr>
              <w:pStyle w:val="TAL"/>
              <w:rPr>
                <w:rFonts w:cs="Arial" w:hint="eastAsia"/>
                <w:color w:val="000000"/>
                <w:sz w:val="16"/>
                <w:szCs w:val="16"/>
                <w:lang w:eastAsia="zh-CN"/>
              </w:rPr>
            </w:pPr>
            <w:r w:rsidRPr="000A0A5F">
              <w:rPr>
                <w:rFonts w:cs="Arial" w:hint="eastAsia"/>
                <w:color w:val="000000"/>
                <w:sz w:val="16"/>
                <w:szCs w:val="16"/>
                <w:lang w:eastAsia="zh-CN"/>
              </w:rPr>
              <w:t>0246</w:t>
            </w:r>
          </w:p>
        </w:tc>
        <w:tc>
          <w:tcPr>
            <w:tcW w:w="424" w:type="dxa"/>
            <w:shd w:val="solid" w:color="FFFFFF" w:fill="auto"/>
          </w:tcPr>
          <w:p w:rsidR="00F82319" w:rsidRPr="000A0A5F" w:rsidRDefault="00F82319" w:rsidP="00F82319">
            <w:pPr>
              <w:pStyle w:val="TAR"/>
              <w:rPr>
                <w:rFonts w:cs="Arial"/>
                <w:color w:val="000000"/>
                <w:sz w:val="16"/>
                <w:szCs w:val="16"/>
                <w:lang w:eastAsia="zh-CN"/>
              </w:rPr>
            </w:pPr>
          </w:p>
        </w:tc>
        <w:tc>
          <w:tcPr>
            <w:tcW w:w="424"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Correct data type used in QoS monitoring</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6.6.0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20-06</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88e</w:t>
            </w:r>
          </w:p>
        </w:tc>
        <w:tc>
          <w:tcPr>
            <w:tcW w:w="108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w:t>
            </w:r>
            <w:r w:rsidRPr="000A0A5F">
              <w:rPr>
                <w:rFonts w:cs="Arial"/>
                <w:color w:val="000000"/>
                <w:sz w:val="16"/>
                <w:szCs w:val="16"/>
                <w:lang w:eastAsia="zh-CN"/>
              </w:rPr>
              <w:t>P-201235</w:t>
            </w:r>
          </w:p>
        </w:tc>
        <w:tc>
          <w:tcPr>
            <w:tcW w:w="524" w:type="dxa"/>
            <w:shd w:val="solid" w:color="FFFFFF" w:fill="auto"/>
          </w:tcPr>
          <w:p w:rsidR="00F82319" w:rsidRPr="000A0A5F" w:rsidRDefault="00F82319" w:rsidP="00F82319">
            <w:pPr>
              <w:pStyle w:val="TAL"/>
              <w:rPr>
                <w:rFonts w:cs="Arial" w:hint="eastAsia"/>
                <w:color w:val="000000"/>
                <w:sz w:val="16"/>
                <w:szCs w:val="16"/>
                <w:lang w:eastAsia="zh-CN"/>
              </w:rPr>
            </w:pPr>
            <w:r w:rsidRPr="000A0A5F">
              <w:rPr>
                <w:rFonts w:cs="Arial" w:hint="eastAsia"/>
                <w:color w:val="000000"/>
                <w:sz w:val="16"/>
                <w:szCs w:val="16"/>
                <w:lang w:eastAsia="zh-CN"/>
              </w:rPr>
              <w:t>0247</w:t>
            </w:r>
          </w:p>
        </w:tc>
        <w:tc>
          <w:tcPr>
            <w:tcW w:w="424" w:type="dxa"/>
            <w:shd w:val="solid" w:color="FFFFFF" w:fill="auto"/>
          </w:tcPr>
          <w:p w:rsidR="00F82319" w:rsidRPr="000A0A5F" w:rsidRDefault="00F82319" w:rsidP="00F82319">
            <w:pPr>
              <w:pStyle w:val="TAR"/>
              <w:rPr>
                <w:rFonts w:cs="Arial"/>
                <w:color w:val="000000"/>
                <w:sz w:val="16"/>
                <w:szCs w:val="16"/>
                <w:lang w:eastAsia="zh-CN"/>
              </w:rPr>
            </w:pPr>
          </w:p>
        </w:tc>
        <w:tc>
          <w:tcPr>
            <w:tcW w:w="424"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Storage of YAML files</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6.6.0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20-06</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88e</w:t>
            </w:r>
          </w:p>
        </w:tc>
        <w:tc>
          <w:tcPr>
            <w:tcW w:w="108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w:t>
            </w:r>
            <w:r w:rsidRPr="000A0A5F">
              <w:rPr>
                <w:rFonts w:cs="Arial"/>
                <w:color w:val="000000"/>
                <w:sz w:val="16"/>
                <w:szCs w:val="16"/>
                <w:lang w:eastAsia="zh-CN"/>
              </w:rPr>
              <w:t>P-201276</w:t>
            </w:r>
          </w:p>
        </w:tc>
        <w:tc>
          <w:tcPr>
            <w:tcW w:w="524" w:type="dxa"/>
            <w:shd w:val="solid" w:color="FFFFFF" w:fill="auto"/>
          </w:tcPr>
          <w:p w:rsidR="00F82319" w:rsidRPr="000A0A5F" w:rsidRDefault="00F82319" w:rsidP="00F82319">
            <w:pPr>
              <w:pStyle w:val="TAL"/>
              <w:rPr>
                <w:rFonts w:cs="Arial" w:hint="eastAsia"/>
                <w:color w:val="000000"/>
                <w:sz w:val="16"/>
                <w:szCs w:val="16"/>
                <w:lang w:eastAsia="zh-CN"/>
              </w:rPr>
            </w:pPr>
            <w:r w:rsidRPr="000A0A5F">
              <w:rPr>
                <w:rFonts w:cs="Arial" w:hint="eastAsia"/>
                <w:color w:val="000000"/>
                <w:sz w:val="16"/>
                <w:szCs w:val="16"/>
                <w:lang w:eastAsia="zh-CN"/>
              </w:rPr>
              <w:t>0248</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hint="eastAsia"/>
                <w:color w:val="000000"/>
                <w:sz w:val="16"/>
                <w:szCs w:val="16"/>
                <w:lang w:eastAsia="zh-CN"/>
              </w:rPr>
              <w:t>2</w:t>
            </w:r>
          </w:p>
        </w:tc>
        <w:tc>
          <w:tcPr>
            <w:tcW w:w="424"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Traffic descriptor for xBDT</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6.6.0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20-06</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88e</w:t>
            </w:r>
          </w:p>
        </w:tc>
        <w:tc>
          <w:tcPr>
            <w:tcW w:w="108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w:t>
            </w:r>
            <w:r w:rsidRPr="000A0A5F">
              <w:rPr>
                <w:rFonts w:cs="Arial"/>
                <w:color w:val="000000"/>
                <w:sz w:val="16"/>
                <w:szCs w:val="16"/>
                <w:lang w:eastAsia="zh-CN"/>
              </w:rPr>
              <w:t>P-201256</w:t>
            </w:r>
          </w:p>
        </w:tc>
        <w:tc>
          <w:tcPr>
            <w:tcW w:w="524" w:type="dxa"/>
            <w:shd w:val="solid" w:color="FFFFFF" w:fill="auto"/>
          </w:tcPr>
          <w:p w:rsidR="00F82319" w:rsidRPr="000A0A5F" w:rsidRDefault="00F82319" w:rsidP="00F82319">
            <w:pPr>
              <w:pStyle w:val="TAL"/>
              <w:rPr>
                <w:rFonts w:cs="Arial" w:hint="eastAsia"/>
                <w:color w:val="000000"/>
                <w:sz w:val="16"/>
                <w:szCs w:val="16"/>
                <w:lang w:eastAsia="zh-CN"/>
              </w:rPr>
            </w:pPr>
            <w:r w:rsidRPr="000A0A5F">
              <w:rPr>
                <w:rFonts w:cs="Arial" w:hint="eastAsia"/>
                <w:color w:val="000000"/>
                <w:sz w:val="16"/>
                <w:szCs w:val="16"/>
                <w:lang w:eastAsia="zh-CN"/>
              </w:rPr>
              <w:t>0249</w:t>
            </w:r>
          </w:p>
        </w:tc>
        <w:tc>
          <w:tcPr>
            <w:tcW w:w="424" w:type="dxa"/>
            <w:shd w:val="solid" w:color="FFFFFF" w:fill="auto"/>
          </w:tcPr>
          <w:p w:rsidR="00F82319" w:rsidRPr="000A0A5F" w:rsidRDefault="00F82319" w:rsidP="00F82319">
            <w:pPr>
              <w:pStyle w:val="TAR"/>
              <w:rPr>
                <w:rFonts w:cs="Arial" w:hint="eastAsia"/>
                <w:color w:val="000000"/>
                <w:sz w:val="16"/>
                <w:szCs w:val="16"/>
                <w:lang w:eastAsia="zh-CN"/>
              </w:rPr>
            </w:pPr>
            <w:r w:rsidRPr="000A0A5F">
              <w:rPr>
                <w:rFonts w:cs="Arial" w:hint="eastAsia"/>
                <w:color w:val="000000"/>
                <w:sz w:val="16"/>
                <w:szCs w:val="16"/>
                <w:lang w:eastAsia="zh-CN"/>
              </w:rPr>
              <w:t>1</w:t>
            </w:r>
          </w:p>
        </w:tc>
        <w:tc>
          <w:tcPr>
            <w:tcW w:w="424"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URI of the SCEF northbound APIs</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6.6.0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20-06</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88e</w:t>
            </w:r>
          </w:p>
        </w:tc>
        <w:tc>
          <w:tcPr>
            <w:tcW w:w="108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w:t>
            </w:r>
            <w:r w:rsidRPr="000A0A5F">
              <w:rPr>
                <w:rFonts w:cs="Arial"/>
                <w:color w:val="000000"/>
                <w:sz w:val="16"/>
                <w:szCs w:val="16"/>
                <w:lang w:eastAsia="zh-CN"/>
              </w:rPr>
              <w:t>P-201213</w:t>
            </w:r>
          </w:p>
        </w:tc>
        <w:tc>
          <w:tcPr>
            <w:tcW w:w="524" w:type="dxa"/>
            <w:shd w:val="solid" w:color="FFFFFF" w:fill="auto"/>
          </w:tcPr>
          <w:p w:rsidR="00F82319" w:rsidRPr="000A0A5F" w:rsidRDefault="00F82319" w:rsidP="00F82319">
            <w:pPr>
              <w:pStyle w:val="TAL"/>
              <w:rPr>
                <w:rFonts w:cs="Arial" w:hint="eastAsia"/>
                <w:color w:val="000000"/>
                <w:sz w:val="16"/>
                <w:szCs w:val="16"/>
                <w:lang w:eastAsia="zh-CN"/>
              </w:rPr>
            </w:pPr>
            <w:r w:rsidRPr="000A0A5F">
              <w:rPr>
                <w:rFonts w:cs="Arial" w:hint="eastAsia"/>
                <w:color w:val="000000"/>
                <w:sz w:val="16"/>
                <w:szCs w:val="16"/>
                <w:lang w:eastAsia="zh-CN"/>
              </w:rPr>
              <w:t>0</w:t>
            </w:r>
            <w:r w:rsidRPr="000A0A5F">
              <w:rPr>
                <w:rFonts w:cs="Arial"/>
                <w:color w:val="000000"/>
                <w:sz w:val="16"/>
                <w:szCs w:val="16"/>
                <w:lang w:eastAsia="zh-CN"/>
              </w:rPr>
              <w:t>250</w:t>
            </w:r>
          </w:p>
        </w:tc>
        <w:tc>
          <w:tcPr>
            <w:tcW w:w="424" w:type="dxa"/>
            <w:shd w:val="solid" w:color="FFFFFF" w:fill="auto"/>
          </w:tcPr>
          <w:p w:rsidR="00F82319" w:rsidRPr="000A0A5F" w:rsidRDefault="00F82319" w:rsidP="00F82319">
            <w:pPr>
              <w:pStyle w:val="TAR"/>
              <w:rPr>
                <w:rFonts w:cs="Arial" w:hint="eastAsia"/>
                <w:color w:val="000000"/>
                <w:sz w:val="16"/>
                <w:szCs w:val="16"/>
                <w:lang w:eastAsia="zh-CN"/>
              </w:rPr>
            </w:pPr>
            <w:r w:rsidRPr="000A0A5F">
              <w:rPr>
                <w:rFonts w:cs="Arial" w:hint="eastAsia"/>
                <w:color w:val="000000"/>
                <w:sz w:val="16"/>
                <w:szCs w:val="16"/>
                <w:lang w:eastAsia="zh-CN"/>
              </w:rPr>
              <w:t>1</w:t>
            </w:r>
          </w:p>
        </w:tc>
        <w:tc>
          <w:tcPr>
            <w:tcW w:w="424"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Correction to QoS monitoring</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6.6.0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20-06</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88e</w:t>
            </w:r>
          </w:p>
        </w:tc>
        <w:tc>
          <w:tcPr>
            <w:tcW w:w="108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w:t>
            </w:r>
            <w:r w:rsidRPr="000A0A5F">
              <w:rPr>
                <w:rFonts w:cs="Arial"/>
                <w:color w:val="000000"/>
                <w:sz w:val="16"/>
                <w:szCs w:val="16"/>
                <w:lang w:eastAsia="zh-CN"/>
              </w:rPr>
              <w:t>P-201243</w:t>
            </w:r>
          </w:p>
        </w:tc>
        <w:tc>
          <w:tcPr>
            <w:tcW w:w="524" w:type="dxa"/>
            <w:shd w:val="solid" w:color="FFFFFF" w:fill="auto"/>
          </w:tcPr>
          <w:p w:rsidR="00F82319" w:rsidRPr="000A0A5F" w:rsidRDefault="00F82319" w:rsidP="00F82319">
            <w:pPr>
              <w:pStyle w:val="TAL"/>
              <w:rPr>
                <w:rFonts w:cs="Arial" w:hint="eastAsia"/>
                <w:color w:val="000000"/>
                <w:sz w:val="16"/>
                <w:szCs w:val="16"/>
                <w:lang w:eastAsia="zh-CN"/>
              </w:rPr>
            </w:pPr>
            <w:r w:rsidRPr="000A0A5F">
              <w:rPr>
                <w:rFonts w:cs="Arial" w:hint="eastAsia"/>
                <w:color w:val="000000"/>
                <w:sz w:val="16"/>
                <w:szCs w:val="16"/>
                <w:lang w:eastAsia="zh-CN"/>
              </w:rPr>
              <w:t>0</w:t>
            </w:r>
            <w:r w:rsidRPr="000A0A5F">
              <w:rPr>
                <w:rFonts w:cs="Arial"/>
                <w:color w:val="000000"/>
                <w:sz w:val="16"/>
                <w:szCs w:val="16"/>
                <w:lang w:eastAsia="zh-CN"/>
              </w:rPr>
              <w:t>252</w:t>
            </w:r>
          </w:p>
        </w:tc>
        <w:tc>
          <w:tcPr>
            <w:tcW w:w="424" w:type="dxa"/>
            <w:shd w:val="solid" w:color="FFFFFF" w:fill="auto"/>
          </w:tcPr>
          <w:p w:rsidR="00F82319" w:rsidRPr="000A0A5F" w:rsidRDefault="00F82319" w:rsidP="00F82319">
            <w:pPr>
              <w:pStyle w:val="TAR"/>
              <w:rPr>
                <w:rFonts w:cs="Arial" w:hint="eastAsia"/>
                <w:color w:val="000000"/>
                <w:sz w:val="16"/>
                <w:szCs w:val="16"/>
                <w:lang w:eastAsia="zh-CN"/>
              </w:rPr>
            </w:pPr>
          </w:p>
        </w:tc>
        <w:tc>
          <w:tcPr>
            <w:tcW w:w="424"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Avoid using the same data type for PUT and PATCH</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6.6.0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20-06</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88e</w:t>
            </w:r>
          </w:p>
        </w:tc>
        <w:tc>
          <w:tcPr>
            <w:tcW w:w="108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w:t>
            </w:r>
            <w:r w:rsidRPr="000A0A5F">
              <w:rPr>
                <w:rFonts w:cs="Arial"/>
                <w:color w:val="000000"/>
                <w:sz w:val="16"/>
                <w:szCs w:val="16"/>
                <w:lang w:eastAsia="zh-CN"/>
              </w:rPr>
              <w:t>P-201250</w:t>
            </w:r>
          </w:p>
        </w:tc>
        <w:tc>
          <w:tcPr>
            <w:tcW w:w="524" w:type="dxa"/>
            <w:shd w:val="solid" w:color="FFFFFF" w:fill="auto"/>
          </w:tcPr>
          <w:p w:rsidR="00F82319" w:rsidRPr="000A0A5F" w:rsidRDefault="00F82319" w:rsidP="00F82319">
            <w:pPr>
              <w:pStyle w:val="TAL"/>
              <w:rPr>
                <w:rFonts w:cs="Arial" w:hint="eastAsia"/>
                <w:color w:val="000000"/>
                <w:sz w:val="16"/>
                <w:szCs w:val="16"/>
                <w:lang w:eastAsia="zh-CN"/>
              </w:rPr>
            </w:pPr>
            <w:r w:rsidRPr="000A0A5F">
              <w:rPr>
                <w:rFonts w:cs="Arial" w:hint="eastAsia"/>
                <w:color w:val="000000"/>
                <w:sz w:val="16"/>
                <w:szCs w:val="16"/>
                <w:lang w:eastAsia="zh-CN"/>
              </w:rPr>
              <w:t>0</w:t>
            </w:r>
            <w:r w:rsidRPr="000A0A5F">
              <w:rPr>
                <w:rFonts w:cs="Arial"/>
                <w:color w:val="000000"/>
                <w:sz w:val="16"/>
                <w:szCs w:val="16"/>
                <w:lang w:eastAsia="zh-CN"/>
              </w:rPr>
              <w:t>253</w:t>
            </w:r>
          </w:p>
        </w:tc>
        <w:tc>
          <w:tcPr>
            <w:tcW w:w="424" w:type="dxa"/>
            <w:shd w:val="solid" w:color="FFFFFF" w:fill="auto"/>
          </w:tcPr>
          <w:p w:rsidR="00F82319" w:rsidRPr="000A0A5F" w:rsidRDefault="00F82319" w:rsidP="00F82319">
            <w:pPr>
              <w:pStyle w:val="TAR"/>
              <w:rPr>
                <w:rFonts w:cs="Arial" w:hint="eastAsia"/>
                <w:color w:val="000000"/>
                <w:sz w:val="16"/>
                <w:szCs w:val="16"/>
                <w:lang w:eastAsia="zh-CN"/>
              </w:rPr>
            </w:pPr>
            <w:r w:rsidRPr="000A0A5F">
              <w:rPr>
                <w:rFonts w:cs="Arial" w:hint="eastAsia"/>
                <w:color w:val="000000"/>
                <w:sz w:val="16"/>
                <w:szCs w:val="16"/>
                <w:lang w:eastAsia="zh-CN"/>
              </w:rPr>
              <w:t>1</w:t>
            </w:r>
          </w:p>
        </w:tc>
        <w:tc>
          <w:tcPr>
            <w:tcW w:w="424"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B</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Complete and fix RDS Port Management</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6.6.0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20-06</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88e</w:t>
            </w:r>
          </w:p>
        </w:tc>
        <w:tc>
          <w:tcPr>
            <w:tcW w:w="108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w:t>
            </w:r>
            <w:r w:rsidRPr="000A0A5F">
              <w:rPr>
                <w:rFonts w:cs="Arial"/>
                <w:color w:val="000000"/>
                <w:sz w:val="16"/>
                <w:szCs w:val="16"/>
                <w:lang w:eastAsia="zh-CN"/>
              </w:rPr>
              <w:t>P-201246</w:t>
            </w:r>
          </w:p>
        </w:tc>
        <w:tc>
          <w:tcPr>
            <w:tcW w:w="524" w:type="dxa"/>
            <w:shd w:val="solid" w:color="FFFFFF" w:fill="auto"/>
          </w:tcPr>
          <w:p w:rsidR="00F82319" w:rsidRPr="000A0A5F" w:rsidRDefault="00F82319" w:rsidP="00F82319">
            <w:pPr>
              <w:pStyle w:val="TAL"/>
              <w:rPr>
                <w:rFonts w:cs="Arial" w:hint="eastAsia"/>
                <w:color w:val="000000"/>
                <w:sz w:val="16"/>
                <w:szCs w:val="16"/>
                <w:lang w:eastAsia="zh-CN"/>
              </w:rPr>
            </w:pPr>
            <w:r w:rsidRPr="000A0A5F">
              <w:rPr>
                <w:rFonts w:cs="Arial" w:hint="eastAsia"/>
                <w:color w:val="000000"/>
                <w:sz w:val="16"/>
                <w:szCs w:val="16"/>
                <w:lang w:eastAsia="zh-CN"/>
              </w:rPr>
              <w:t>0</w:t>
            </w:r>
            <w:r w:rsidRPr="000A0A5F">
              <w:rPr>
                <w:rFonts w:cs="Arial"/>
                <w:color w:val="000000"/>
                <w:sz w:val="16"/>
                <w:szCs w:val="16"/>
                <w:lang w:eastAsia="zh-CN"/>
              </w:rPr>
              <w:t>254</w:t>
            </w:r>
          </w:p>
        </w:tc>
        <w:tc>
          <w:tcPr>
            <w:tcW w:w="424" w:type="dxa"/>
            <w:shd w:val="solid" w:color="FFFFFF" w:fill="auto"/>
          </w:tcPr>
          <w:p w:rsidR="00F82319" w:rsidRPr="000A0A5F" w:rsidRDefault="00F82319" w:rsidP="00F82319">
            <w:pPr>
              <w:pStyle w:val="TAR"/>
              <w:rPr>
                <w:rFonts w:cs="Arial" w:hint="eastAsia"/>
                <w:color w:val="000000"/>
                <w:sz w:val="16"/>
                <w:szCs w:val="16"/>
                <w:lang w:eastAsia="zh-CN"/>
              </w:rPr>
            </w:pPr>
            <w:r w:rsidRPr="000A0A5F">
              <w:rPr>
                <w:rFonts w:cs="Arial" w:hint="eastAsia"/>
                <w:color w:val="000000"/>
                <w:sz w:val="16"/>
                <w:szCs w:val="16"/>
                <w:lang w:eastAsia="zh-CN"/>
              </w:rPr>
              <w:t>1</w:t>
            </w:r>
          </w:p>
        </w:tc>
        <w:tc>
          <w:tcPr>
            <w:tcW w:w="424"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Move 5G specific procedure to TS 29.522</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6.6.0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20-06</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88e</w:t>
            </w:r>
          </w:p>
        </w:tc>
        <w:tc>
          <w:tcPr>
            <w:tcW w:w="108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w:t>
            </w:r>
            <w:r w:rsidRPr="000A0A5F">
              <w:rPr>
                <w:rFonts w:cs="Arial"/>
                <w:color w:val="000000"/>
                <w:sz w:val="16"/>
                <w:szCs w:val="16"/>
                <w:lang w:eastAsia="zh-CN"/>
              </w:rPr>
              <w:t>P-201210</w:t>
            </w:r>
          </w:p>
        </w:tc>
        <w:tc>
          <w:tcPr>
            <w:tcW w:w="524" w:type="dxa"/>
            <w:shd w:val="solid" w:color="FFFFFF" w:fill="auto"/>
          </w:tcPr>
          <w:p w:rsidR="00F82319" w:rsidRPr="000A0A5F" w:rsidRDefault="00F82319" w:rsidP="00F82319">
            <w:pPr>
              <w:pStyle w:val="TAL"/>
              <w:rPr>
                <w:rFonts w:cs="Arial" w:hint="eastAsia"/>
                <w:color w:val="000000"/>
                <w:sz w:val="16"/>
                <w:szCs w:val="16"/>
                <w:lang w:eastAsia="zh-CN"/>
              </w:rPr>
            </w:pPr>
            <w:r w:rsidRPr="000A0A5F">
              <w:rPr>
                <w:rFonts w:cs="Arial" w:hint="eastAsia"/>
                <w:color w:val="000000"/>
                <w:sz w:val="16"/>
                <w:szCs w:val="16"/>
                <w:lang w:eastAsia="zh-CN"/>
              </w:rPr>
              <w:t>0</w:t>
            </w:r>
            <w:r w:rsidRPr="000A0A5F">
              <w:rPr>
                <w:rFonts w:cs="Arial"/>
                <w:color w:val="000000"/>
                <w:sz w:val="16"/>
                <w:szCs w:val="16"/>
                <w:lang w:eastAsia="zh-CN"/>
              </w:rPr>
              <w:t>255</w:t>
            </w:r>
          </w:p>
        </w:tc>
        <w:tc>
          <w:tcPr>
            <w:tcW w:w="424" w:type="dxa"/>
            <w:shd w:val="solid" w:color="FFFFFF" w:fill="auto"/>
          </w:tcPr>
          <w:p w:rsidR="00F82319" w:rsidRPr="000A0A5F" w:rsidRDefault="00F82319" w:rsidP="00F82319">
            <w:pPr>
              <w:pStyle w:val="TAR"/>
              <w:rPr>
                <w:rFonts w:cs="Arial" w:hint="eastAsia"/>
                <w:color w:val="000000"/>
                <w:sz w:val="16"/>
                <w:szCs w:val="16"/>
                <w:lang w:eastAsia="zh-CN"/>
              </w:rPr>
            </w:pPr>
            <w:r w:rsidRPr="000A0A5F">
              <w:rPr>
                <w:rFonts w:cs="Arial" w:hint="eastAsia"/>
                <w:color w:val="000000"/>
                <w:sz w:val="16"/>
                <w:szCs w:val="16"/>
                <w:lang w:eastAsia="zh-CN"/>
              </w:rPr>
              <w:t>1</w:t>
            </w:r>
          </w:p>
        </w:tc>
        <w:tc>
          <w:tcPr>
            <w:tcW w:w="424"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B</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Support of Enhanced Coverage Mode control</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6.6.0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20-06</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88e</w:t>
            </w:r>
          </w:p>
        </w:tc>
        <w:tc>
          <w:tcPr>
            <w:tcW w:w="108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w:t>
            </w:r>
            <w:r w:rsidRPr="000A0A5F">
              <w:rPr>
                <w:rFonts w:cs="Arial"/>
                <w:color w:val="000000"/>
                <w:sz w:val="16"/>
                <w:szCs w:val="16"/>
                <w:lang w:eastAsia="zh-CN"/>
              </w:rPr>
              <w:t>P-201234</w:t>
            </w:r>
          </w:p>
        </w:tc>
        <w:tc>
          <w:tcPr>
            <w:tcW w:w="524" w:type="dxa"/>
            <w:shd w:val="solid" w:color="FFFFFF" w:fill="auto"/>
          </w:tcPr>
          <w:p w:rsidR="00F82319" w:rsidRPr="000A0A5F" w:rsidRDefault="00F82319" w:rsidP="00F82319">
            <w:pPr>
              <w:pStyle w:val="TAL"/>
              <w:rPr>
                <w:rFonts w:cs="Arial" w:hint="eastAsia"/>
                <w:color w:val="000000"/>
                <w:sz w:val="16"/>
                <w:szCs w:val="16"/>
                <w:lang w:eastAsia="zh-CN"/>
              </w:rPr>
            </w:pPr>
            <w:r w:rsidRPr="000A0A5F">
              <w:rPr>
                <w:rFonts w:cs="Arial" w:hint="eastAsia"/>
                <w:color w:val="000000"/>
                <w:sz w:val="16"/>
                <w:szCs w:val="16"/>
                <w:lang w:eastAsia="zh-CN"/>
              </w:rPr>
              <w:t>0</w:t>
            </w:r>
            <w:r w:rsidRPr="000A0A5F">
              <w:rPr>
                <w:rFonts w:cs="Arial"/>
                <w:color w:val="000000"/>
                <w:sz w:val="16"/>
                <w:szCs w:val="16"/>
                <w:lang w:eastAsia="zh-CN"/>
              </w:rPr>
              <w:t>256</w:t>
            </w:r>
          </w:p>
        </w:tc>
        <w:tc>
          <w:tcPr>
            <w:tcW w:w="424" w:type="dxa"/>
            <w:shd w:val="solid" w:color="FFFFFF" w:fill="auto"/>
          </w:tcPr>
          <w:p w:rsidR="00F82319" w:rsidRPr="000A0A5F" w:rsidRDefault="00F82319" w:rsidP="00F82319">
            <w:pPr>
              <w:pStyle w:val="TAR"/>
              <w:rPr>
                <w:rFonts w:cs="Arial" w:hint="eastAsia"/>
                <w:color w:val="000000"/>
                <w:sz w:val="16"/>
                <w:szCs w:val="16"/>
                <w:lang w:eastAsia="zh-CN"/>
              </w:rPr>
            </w:pPr>
          </w:p>
        </w:tc>
        <w:tc>
          <w:tcPr>
            <w:tcW w:w="424"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Removal of open issue on external Group Id for ResourceManagementOfBdt API</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6.6.0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20-06</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88e</w:t>
            </w:r>
          </w:p>
        </w:tc>
        <w:tc>
          <w:tcPr>
            <w:tcW w:w="108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w:t>
            </w:r>
            <w:r w:rsidRPr="000A0A5F">
              <w:rPr>
                <w:rFonts w:cs="Arial"/>
                <w:color w:val="000000"/>
                <w:sz w:val="16"/>
                <w:szCs w:val="16"/>
                <w:lang w:eastAsia="zh-CN"/>
              </w:rPr>
              <w:t>P-201235</w:t>
            </w:r>
          </w:p>
        </w:tc>
        <w:tc>
          <w:tcPr>
            <w:tcW w:w="524" w:type="dxa"/>
            <w:shd w:val="solid" w:color="FFFFFF" w:fill="auto"/>
          </w:tcPr>
          <w:p w:rsidR="00F82319" w:rsidRPr="000A0A5F" w:rsidRDefault="00F82319" w:rsidP="00F82319">
            <w:pPr>
              <w:pStyle w:val="TAL"/>
              <w:rPr>
                <w:rFonts w:cs="Arial" w:hint="eastAsia"/>
                <w:color w:val="000000"/>
                <w:sz w:val="16"/>
                <w:szCs w:val="16"/>
                <w:lang w:eastAsia="zh-CN"/>
              </w:rPr>
            </w:pPr>
            <w:r w:rsidRPr="000A0A5F">
              <w:rPr>
                <w:rFonts w:cs="Arial" w:hint="eastAsia"/>
                <w:color w:val="000000"/>
                <w:sz w:val="16"/>
                <w:szCs w:val="16"/>
                <w:lang w:eastAsia="zh-CN"/>
              </w:rPr>
              <w:t>0</w:t>
            </w:r>
            <w:r w:rsidRPr="000A0A5F">
              <w:rPr>
                <w:rFonts w:cs="Arial"/>
                <w:color w:val="000000"/>
                <w:sz w:val="16"/>
                <w:szCs w:val="16"/>
                <w:lang w:eastAsia="zh-CN"/>
              </w:rPr>
              <w:t>257</w:t>
            </w:r>
          </w:p>
        </w:tc>
        <w:tc>
          <w:tcPr>
            <w:tcW w:w="424" w:type="dxa"/>
            <w:shd w:val="solid" w:color="FFFFFF" w:fill="auto"/>
          </w:tcPr>
          <w:p w:rsidR="00F82319" w:rsidRPr="000A0A5F" w:rsidRDefault="00F82319" w:rsidP="00F82319">
            <w:pPr>
              <w:pStyle w:val="TAR"/>
              <w:rPr>
                <w:rFonts w:cs="Arial" w:hint="eastAsia"/>
                <w:color w:val="000000"/>
                <w:sz w:val="16"/>
                <w:szCs w:val="16"/>
                <w:lang w:eastAsia="zh-CN"/>
              </w:rPr>
            </w:pPr>
            <w:r w:rsidRPr="000A0A5F">
              <w:rPr>
                <w:rFonts w:cs="Arial" w:hint="eastAsia"/>
                <w:color w:val="000000"/>
                <w:sz w:val="16"/>
                <w:szCs w:val="16"/>
                <w:lang w:eastAsia="zh-CN"/>
              </w:rPr>
              <w:t>1</w:t>
            </w:r>
          </w:p>
        </w:tc>
        <w:tc>
          <w:tcPr>
            <w:tcW w:w="424"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Optionality of ProblemDetails</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6.6.0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20-06</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88e</w:t>
            </w:r>
          </w:p>
        </w:tc>
        <w:tc>
          <w:tcPr>
            <w:tcW w:w="108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w:t>
            </w:r>
            <w:r w:rsidRPr="000A0A5F">
              <w:rPr>
                <w:rFonts w:cs="Arial"/>
                <w:color w:val="000000"/>
                <w:sz w:val="16"/>
                <w:szCs w:val="16"/>
                <w:lang w:eastAsia="zh-CN"/>
              </w:rPr>
              <w:t>P-201241</w:t>
            </w:r>
          </w:p>
        </w:tc>
        <w:tc>
          <w:tcPr>
            <w:tcW w:w="524" w:type="dxa"/>
            <w:shd w:val="solid" w:color="FFFFFF" w:fill="auto"/>
          </w:tcPr>
          <w:p w:rsidR="00F82319" w:rsidRPr="000A0A5F" w:rsidRDefault="00F82319" w:rsidP="00F82319">
            <w:pPr>
              <w:pStyle w:val="TAL"/>
              <w:rPr>
                <w:rFonts w:cs="Arial" w:hint="eastAsia"/>
                <w:color w:val="000000"/>
                <w:sz w:val="16"/>
                <w:szCs w:val="16"/>
                <w:lang w:eastAsia="zh-CN"/>
              </w:rPr>
            </w:pPr>
            <w:r w:rsidRPr="000A0A5F">
              <w:rPr>
                <w:rFonts w:cs="Arial" w:hint="eastAsia"/>
                <w:color w:val="000000"/>
                <w:sz w:val="16"/>
                <w:szCs w:val="16"/>
                <w:lang w:eastAsia="zh-CN"/>
              </w:rPr>
              <w:t>0</w:t>
            </w:r>
            <w:r w:rsidRPr="000A0A5F">
              <w:rPr>
                <w:rFonts w:cs="Arial"/>
                <w:color w:val="000000"/>
                <w:sz w:val="16"/>
                <w:szCs w:val="16"/>
                <w:lang w:eastAsia="zh-CN"/>
              </w:rPr>
              <w:t>259</w:t>
            </w:r>
          </w:p>
        </w:tc>
        <w:tc>
          <w:tcPr>
            <w:tcW w:w="424" w:type="dxa"/>
            <w:shd w:val="solid" w:color="FFFFFF" w:fill="auto"/>
          </w:tcPr>
          <w:p w:rsidR="00F82319" w:rsidRPr="000A0A5F" w:rsidRDefault="00F82319" w:rsidP="00F82319">
            <w:pPr>
              <w:pStyle w:val="TAR"/>
              <w:rPr>
                <w:rFonts w:cs="Arial" w:hint="eastAsia"/>
                <w:color w:val="000000"/>
                <w:sz w:val="16"/>
                <w:szCs w:val="16"/>
                <w:lang w:eastAsia="zh-CN"/>
              </w:rPr>
            </w:pPr>
            <w:r w:rsidRPr="000A0A5F">
              <w:rPr>
                <w:rFonts w:cs="Arial" w:hint="eastAsia"/>
                <w:color w:val="000000"/>
                <w:sz w:val="16"/>
                <w:szCs w:val="16"/>
                <w:lang w:eastAsia="zh-CN"/>
              </w:rPr>
              <w:t>1</w:t>
            </w:r>
          </w:p>
        </w:tc>
        <w:tc>
          <w:tcPr>
            <w:tcW w:w="424"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A</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Correction on PfdManagement for PfdManagement API</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6.6.0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20-06</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88e</w:t>
            </w:r>
          </w:p>
        </w:tc>
        <w:tc>
          <w:tcPr>
            <w:tcW w:w="108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w:t>
            </w:r>
            <w:r w:rsidRPr="000A0A5F">
              <w:rPr>
                <w:rFonts w:cs="Arial"/>
                <w:color w:val="000000"/>
                <w:sz w:val="16"/>
                <w:szCs w:val="16"/>
                <w:lang w:eastAsia="zh-CN"/>
              </w:rPr>
              <w:t>P-201241</w:t>
            </w:r>
          </w:p>
        </w:tc>
        <w:tc>
          <w:tcPr>
            <w:tcW w:w="524" w:type="dxa"/>
            <w:shd w:val="solid" w:color="FFFFFF" w:fill="auto"/>
          </w:tcPr>
          <w:p w:rsidR="00F82319" w:rsidRPr="000A0A5F" w:rsidRDefault="00F82319" w:rsidP="00F82319">
            <w:pPr>
              <w:pStyle w:val="TAL"/>
              <w:rPr>
                <w:rFonts w:cs="Arial" w:hint="eastAsia"/>
                <w:color w:val="000000"/>
                <w:sz w:val="16"/>
                <w:szCs w:val="16"/>
                <w:lang w:eastAsia="zh-CN"/>
              </w:rPr>
            </w:pPr>
            <w:r w:rsidRPr="000A0A5F">
              <w:rPr>
                <w:rFonts w:cs="Arial" w:hint="eastAsia"/>
                <w:color w:val="000000"/>
                <w:sz w:val="16"/>
                <w:szCs w:val="16"/>
                <w:lang w:eastAsia="zh-CN"/>
              </w:rPr>
              <w:t>0</w:t>
            </w:r>
            <w:r w:rsidRPr="000A0A5F">
              <w:rPr>
                <w:rFonts w:cs="Arial"/>
                <w:color w:val="000000"/>
                <w:sz w:val="16"/>
                <w:szCs w:val="16"/>
                <w:lang w:eastAsia="zh-CN"/>
              </w:rPr>
              <w:t>261</w:t>
            </w:r>
          </w:p>
        </w:tc>
        <w:tc>
          <w:tcPr>
            <w:tcW w:w="424" w:type="dxa"/>
            <w:shd w:val="solid" w:color="FFFFFF" w:fill="auto"/>
          </w:tcPr>
          <w:p w:rsidR="00F82319" w:rsidRPr="000A0A5F" w:rsidRDefault="00F82319" w:rsidP="00F82319">
            <w:pPr>
              <w:pStyle w:val="TAR"/>
              <w:rPr>
                <w:rFonts w:cs="Arial" w:hint="eastAsia"/>
                <w:color w:val="000000"/>
                <w:sz w:val="16"/>
                <w:szCs w:val="16"/>
                <w:lang w:eastAsia="zh-CN"/>
              </w:rPr>
            </w:pPr>
            <w:r w:rsidRPr="000A0A5F">
              <w:rPr>
                <w:rFonts w:cs="Arial" w:hint="eastAsia"/>
                <w:color w:val="000000"/>
                <w:sz w:val="16"/>
                <w:szCs w:val="16"/>
                <w:lang w:eastAsia="zh-CN"/>
              </w:rPr>
              <w:t>1</w:t>
            </w:r>
          </w:p>
        </w:tc>
        <w:tc>
          <w:tcPr>
            <w:tcW w:w="424"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A</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Corrections on APP_ID_DUPLICATED error for PfdManagement API</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6.6.0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20-06</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88e</w:t>
            </w:r>
          </w:p>
        </w:tc>
        <w:tc>
          <w:tcPr>
            <w:tcW w:w="108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w:t>
            </w:r>
            <w:r w:rsidRPr="000A0A5F">
              <w:rPr>
                <w:rFonts w:cs="Arial"/>
                <w:color w:val="000000"/>
                <w:sz w:val="16"/>
                <w:szCs w:val="16"/>
                <w:lang w:eastAsia="zh-CN"/>
              </w:rPr>
              <w:t>P-201241</w:t>
            </w:r>
          </w:p>
        </w:tc>
        <w:tc>
          <w:tcPr>
            <w:tcW w:w="524" w:type="dxa"/>
            <w:shd w:val="solid" w:color="FFFFFF" w:fill="auto"/>
          </w:tcPr>
          <w:p w:rsidR="00F82319" w:rsidRPr="000A0A5F" w:rsidRDefault="00F82319" w:rsidP="00F82319">
            <w:pPr>
              <w:pStyle w:val="TAL"/>
              <w:rPr>
                <w:rFonts w:cs="Arial" w:hint="eastAsia"/>
                <w:color w:val="000000"/>
                <w:sz w:val="16"/>
                <w:szCs w:val="16"/>
                <w:lang w:eastAsia="zh-CN"/>
              </w:rPr>
            </w:pPr>
            <w:r w:rsidRPr="000A0A5F">
              <w:rPr>
                <w:rFonts w:cs="Arial" w:hint="eastAsia"/>
                <w:color w:val="000000"/>
                <w:sz w:val="16"/>
                <w:szCs w:val="16"/>
                <w:lang w:eastAsia="zh-CN"/>
              </w:rPr>
              <w:t>0</w:t>
            </w:r>
            <w:r w:rsidRPr="000A0A5F">
              <w:rPr>
                <w:rFonts w:cs="Arial"/>
                <w:color w:val="000000"/>
                <w:sz w:val="16"/>
                <w:szCs w:val="16"/>
                <w:lang w:eastAsia="zh-CN"/>
              </w:rPr>
              <w:t>263</w:t>
            </w:r>
          </w:p>
        </w:tc>
        <w:tc>
          <w:tcPr>
            <w:tcW w:w="424" w:type="dxa"/>
            <w:shd w:val="solid" w:color="FFFFFF" w:fill="auto"/>
          </w:tcPr>
          <w:p w:rsidR="00F82319" w:rsidRPr="000A0A5F" w:rsidRDefault="00F82319" w:rsidP="00F82319">
            <w:pPr>
              <w:pStyle w:val="TAR"/>
              <w:rPr>
                <w:rFonts w:cs="Arial" w:hint="eastAsia"/>
                <w:color w:val="000000"/>
                <w:sz w:val="16"/>
                <w:szCs w:val="16"/>
                <w:lang w:eastAsia="zh-CN"/>
              </w:rPr>
            </w:pPr>
            <w:r w:rsidRPr="000A0A5F">
              <w:rPr>
                <w:rFonts w:cs="Arial" w:hint="eastAsia"/>
                <w:color w:val="000000"/>
                <w:sz w:val="16"/>
                <w:szCs w:val="16"/>
                <w:lang w:eastAsia="zh-CN"/>
              </w:rPr>
              <w:t>1</w:t>
            </w:r>
          </w:p>
        </w:tc>
        <w:tc>
          <w:tcPr>
            <w:tcW w:w="424"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A</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Corrections on SET_ID_DUPLICATED error for CpProvisioning API</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6.6.0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20-06</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88e</w:t>
            </w:r>
          </w:p>
        </w:tc>
        <w:tc>
          <w:tcPr>
            <w:tcW w:w="108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w:t>
            </w:r>
            <w:r w:rsidRPr="000A0A5F">
              <w:rPr>
                <w:rFonts w:cs="Arial"/>
                <w:color w:val="000000"/>
                <w:sz w:val="16"/>
                <w:szCs w:val="16"/>
                <w:lang w:eastAsia="zh-CN"/>
              </w:rPr>
              <w:t>P-201235</w:t>
            </w:r>
          </w:p>
        </w:tc>
        <w:tc>
          <w:tcPr>
            <w:tcW w:w="524" w:type="dxa"/>
            <w:shd w:val="solid" w:color="FFFFFF" w:fill="auto"/>
          </w:tcPr>
          <w:p w:rsidR="00F82319" w:rsidRPr="000A0A5F" w:rsidRDefault="00F82319" w:rsidP="00F82319">
            <w:pPr>
              <w:pStyle w:val="TAL"/>
              <w:rPr>
                <w:rFonts w:cs="Arial" w:hint="eastAsia"/>
                <w:color w:val="000000"/>
                <w:sz w:val="16"/>
                <w:szCs w:val="16"/>
                <w:lang w:eastAsia="zh-CN"/>
              </w:rPr>
            </w:pPr>
            <w:r w:rsidRPr="000A0A5F">
              <w:rPr>
                <w:rFonts w:cs="Arial" w:hint="eastAsia"/>
                <w:color w:val="000000"/>
                <w:sz w:val="16"/>
                <w:szCs w:val="16"/>
                <w:lang w:eastAsia="zh-CN"/>
              </w:rPr>
              <w:t>0</w:t>
            </w:r>
            <w:r w:rsidRPr="000A0A5F">
              <w:rPr>
                <w:rFonts w:cs="Arial"/>
                <w:color w:val="000000"/>
                <w:sz w:val="16"/>
                <w:szCs w:val="16"/>
                <w:lang w:eastAsia="zh-CN"/>
              </w:rPr>
              <w:t>264</w:t>
            </w:r>
          </w:p>
        </w:tc>
        <w:tc>
          <w:tcPr>
            <w:tcW w:w="424" w:type="dxa"/>
            <w:shd w:val="solid" w:color="FFFFFF" w:fill="auto"/>
          </w:tcPr>
          <w:p w:rsidR="00F82319" w:rsidRPr="000A0A5F" w:rsidRDefault="00F82319" w:rsidP="00F82319">
            <w:pPr>
              <w:pStyle w:val="TAR"/>
              <w:rPr>
                <w:rFonts w:cs="Arial" w:hint="eastAsia"/>
                <w:color w:val="000000"/>
                <w:sz w:val="16"/>
                <w:szCs w:val="16"/>
                <w:lang w:eastAsia="zh-CN"/>
              </w:rPr>
            </w:pPr>
          </w:p>
        </w:tc>
        <w:tc>
          <w:tcPr>
            <w:tcW w:w="424"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required field in OpenAPI file</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6.6.0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20-06</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88e</w:t>
            </w:r>
          </w:p>
        </w:tc>
        <w:tc>
          <w:tcPr>
            <w:tcW w:w="108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w:t>
            </w:r>
            <w:r w:rsidRPr="000A0A5F">
              <w:rPr>
                <w:rFonts w:cs="Arial"/>
                <w:color w:val="000000"/>
                <w:sz w:val="16"/>
                <w:szCs w:val="16"/>
                <w:lang w:eastAsia="zh-CN"/>
              </w:rPr>
              <w:t>P-201235</w:t>
            </w:r>
          </w:p>
        </w:tc>
        <w:tc>
          <w:tcPr>
            <w:tcW w:w="524" w:type="dxa"/>
            <w:shd w:val="solid" w:color="FFFFFF" w:fill="auto"/>
          </w:tcPr>
          <w:p w:rsidR="00F82319" w:rsidRPr="000A0A5F" w:rsidRDefault="00F82319" w:rsidP="00F82319">
            <w:pPr>
              <w:pStyle w:val="TAL"/>
              <w:rPr>
                <w:rFonts w:cs="Arial" w:hint="eastAsia"/>
                <w:color w:val="000000"/>
                <w:sz w:val="16"/>
                <w:szCs w:val="16"/>
                <w:lang w:eastAsia="zh-CN"/>
              </w:rPr>
            </w:pPr>
            <w:r w:rsidRPr="000A0A5F">
              <w:rPr>
                <w:rFonts w:cs="Arial" w:hint="eastAsia"/>
                <w:color w:val="000000"/>
                <w:sz w:val="16"/>
                <w:szCs w:val="16"/>
                <w:lang w:eastAsia="zh-CN"/>
              </w:rPr>
              <w:t>0</w:t>
            </w:r>
            <w:r w:rsidRPr="000A0A5F">
              <w:rPr>
                <w:rFonts w:cs="Arial"/>
                <w:color w:val="000000"/>
                <w:sz w:val="16"/>
                <w:szCs w:val="16"/>
                <w:lang w:eastAsia="zh-CN"/>
              </w:rPr>
              <w:t>265</w:t>
            </w:r>
          </w:p>
        </w:tc>
        <w:tc>
          <w:tcPr>
            <w:tcW w:w="424" w:type="dxa"/>
            <w:shd w:val="solid" w:color="FFFFFF" w:fill="auto"/>
          </w:tcPr>
          <w:p w:rsidR="00F82319" w:rsidRPr="000A0A5F" w:rsidRDefault="00F82319" w:rsidP="00F82319">
            <w:pPr>
              <w:pStyle w:val="TAR"/>
              <w:rPr>
                <w:rFonts w:cs="Arial" w:hint="eastAsia"/>
                <w:color w:val="000000"/>
                <w:sz w:val="16"/>
                <w:szCs w:val="16"/>
                <w:lang w:eastAsia="zh-CN"/>
              </w:rPr>
            </w:pPr>
            <w:r w:rsidRPr="000A0A5F">
              <w:rPr>
                <w:rFonts w:cs="Arial" w:hint="eastAsia"/>
                <w:color w:val="000000"/>
                <w:sz w:val="16"/>
                <w:szCs w:val="16"/>
                <w:lang w:eastAsia="zh-CN"/>
              </w:rPr>
              <w:t>1</w:t>
            </w:r>
          </w:p>
        </w:tc>
        <w:tc>
          <w:tcPr>
            <w:tcW w:w="424"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Supported headers, Resource Data type and Operation Name</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6.6.0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20-06</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88e</w:t>
            </w:r>
          </w:p>
        </w:tc>
        <w:tc>
          <w:tcPr>
            <w:tcW w:w="108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w:t>
            </w:r>
            <w:r w:rsidRPr="000A0A5F">
              <w:rPr>
                <w:rFonts w:cs="Arial"/>
                <w:color w:val="000000"/>
                <w:sz w:val="16"/>
                <w:szCs w:val="16"/>
                <w:lang w:eastAsia="zh-CN"/>
              </w:rPr>
              <w:t>P-201255</w:t>
            </w:r>
          </w:p>
        </w:tc>
        <w:tc>
          <w:tcPr>
            <w:tcW w:w="524" w:type="dxa"/>
            <w:shd w:val="solid" w:color="FFFFFF" w:fill="auto"/>
          </w:tcPr>
          <w:p w:rsidR="00F82319" w:rsidRPr="000A0A5F" w:rsidRDefault="00F82319" w:rsidP="00F82319">
            <w:pPr>
              <w:pStyle w:val="TAL"/>
              <w:rPr>
                <w:rFonts w:cs="Arial" w:hint="eastAsia"/>
                <w:color w:val="000000"/>
                <w:sz w:val="16"/>
                <w:szCs w:val="16"/>
                <w:lang w:eastAsia="zh-CN"/>
              </w:rPr>
            </w:pPr>
            <w:r w:rsidRPr="000A0A5F">
              <w:rPr>
                <w:rFonts w:cs="Arial" w:hint="eastAsia"/>
                <w:color w:val="000000"/>
                <w:sz w:val="16"/>
                <w:szCs w:val="16"/>
                <w:lang w:eastAsia="zh-CN"/>
              </w:rPr>
              <w:t>0</w:t>
            </w:r>
            <w:r w:rsidRPr="000A0A5F">
              <w:rPr>
                <w:rFonts w:cs="Arial"/>
                <w:color w:val="000000"/>
                <w:sz w:val="16"/>
                <w:szCs w:val="16"/>
                <w:lang w:eastAsia="zh-CN"/>
              </w:rPr>
              <w:t>267</w:t>
            </w:r>
          </w:p>
        </w:tc>
        <w:tc>
          <w:tcPr>
            <w:tcW w:w="424" w:type="dxa"/>
            <w:shd w:val="solid" w:color="FFFFFF" w:fill="auto"/>
          </w:tcPr>
          <w:p w:rsidR="00F82319" w:rsidRPr="000A0A5F" w:rsidRDefault="00F82319" w:rsidP="00F82319">
            <w:pPr>
              <w:pStyle w:val="TAR"/>
              <w:rPr>
                <w:rFonts w:cs="Arial" w:hint="eastAsia"/>
                <w:color w:val="000000"/>
                <w:sz w:val="16"/>
                <w:szCs w:val="16"/>
                <w:lang w:eastAsia="zh-CN"/>
              </w:rPr>
            </w:pPr>
          </w:p>
        </w:tc>
        <w:tc>
          <w:tcPr>
            <w:tcW w:w="424"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Update of OpenAPI version and TS version in externalDocs field</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6.6.0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w:t>
            </w:r>
            <w:r w:rsidRPr="000A0A5F">
              <w:rPr>
                <w:rFonts w:cs="Arial"/>
                <w:color w:val="000000"/>
                <w:sz w:val="16"/>
                <w:szCs w:val="16"/>
                <w:lang w:eastAsia="zh-CN"/>
              </w:rPr>
              <w:t>020-09</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#89e</w:t>
            </w:r>
          </w:p>
        </w:tc>
        <w:tc>
          <w:tcPr>
            <w:tcW w:w="108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w:t>
            </w:r>
            <w:r w:rsidRPr="000A0A5F">
              <w:rPr>
                <w:rFonts w:cs="Arial"/>
                <w:color w:val="000000"/>
                <w:sz w:val="16"/>
                <w:szCs w:val="16"/>
                <w:lang w:eastAsia="zh-CN"/>
              </w:rPr>
              <w:t>P-202070</w:t>
            </w:r>
          </w:p>
        </w:tc>
        <w:tc>
          <w:tcPr>
            <w:tcW w:w="524" w:type="dxa"/>
            <w:shd w:val="solid" w:color="FFFFFF" w:fill="auto"/>
          </w:tcPr>
          <w:p w:rsidR="00F82319" w:rsidRPr="000A0A5F" w:rsidRDefault="00F82319" w:rsidP="00F82319">
            <w:pPr>
              <w:pStyle w:val="TAL"/>
              <w:rPr>
                <w:rFonts w:cs="Arial" w:hint="eastAsia"/>
                <w:color w:val="000000"/>
                <w:sz w:val="16"/>
                <w:szCs w:val="16"/>
                <w:lang w:eastAsia="zh-CN"/>
              </w:rPr>
            </w:pPr>
            <w:r w:rsidRPr="000A0A5F">
              <w:rPr>
                <w:rFonts w:cs="Arial" w:hint="eastAsia"/>
                <w:color w:val="000000"/>
                <w:sz w:val="16"/>
                <w:szCs w:val="16"/>
                <w:lang w:eastAsia="zh-CN"/>
              </w:rPr>
              <w:t>0</w:t>
            </w:r>
            <w:r w:rsidRPr="000A0A5F">
              <w:rPr>
                <w:rFonts w:cs="Arial"/>
                <w:color w:val="000000"/>
                <w:sz w:val="16"/>
                <w:szCs w:val="16"/>
                <w:lang w:eastAsia="zh-CN"/>
              </w:rPr>
              <w:t>271</w:t>
            </w:r>
          </w:p>
        </w:tc>
        <w:tc>
          <w:tcPr>
            <w:tcW w:w="424" w:type="dxa"/>
            <w:shd w:val="solid" w:color="FFFFFF" w:fill="auto"/>
          </w:tcPr>
          <w:p w:rsidR="00F82319" w:rsidRPr="000A0A5F" w:rsidRDefault="00F82319" w:rsidP="00F82319">
            <w:pPr>
              <w:pStyle w:val="TAR"/>
              <w:rPr>
                <w:rFonts w:cs="Arial" w:hint="eastAsia"/>
                <w:color w:val="000000"/>
                <w:sz w:val="16"/>
                <w:szCs w:val="16"/>
                <w:lang w:eastAsia="zh-CN"/>
              </w:rPr>
            </w:pPr>
          </w:p>
        </w:tc>
        <w:tc>
          <w:tcPr>
            <w:tcW w:w="424"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color w:val="000000"/>
                <w:sz w:val="16"/>
                <w:szCs w:val="16"/>
                <w:lang w:eastAsia="zh-CN"/>
              </w:rPr>
              <w:t>A</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Failure response for AsSessionWithQoS API</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6.7.0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w:t>
            </w:r>
            <w:r w:rsidRPr="000A0A5F">
              <w:rPr>
                <w:rFonts w:cs="Arial"/>
                <w:color w:val="000000"/>
                <w:sz w:val="16"/>
                <w:szCs w:val="16"/>
                <w:lang w:eastAsia="zh-CN"/>
              </w:rPr>
              <w:t>020-09</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#89e</w:t>
            </w:r>
          </w:p>
        </w:tc>
        <w:tc>
          <w:tcPr>
            <w:tcW w:w="108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w:t>
            </w:r>
            <w:r w:rsidRPr="000A0A5F">
              <w:rPr>
                <w:rFonts w:cs="Arial"/>
                <w:color w:val="000000"/>
                <w:sz w:val="16"/>
                <w:szCs w:val="16"/>
                <w:lang w:eastAsia="zh-CN"/>
              </w:rPr>
              <w:t>P-202070</w:t>
            </w:r>
          </w:p>
        </w:tc>
        <w:tc>
          <w:tcPr>
            <w:tcW w:w="524" w:type="dxa"/>
            <w:shd w:val="solid" w:color="FFFFFF" w:fill="auto"/>
          </w:tcPr>
          <w:p w:rsidR="00F82319" w:rsidRPr="000A0A5F" w:rsidRDefault="00F82319" w:rsidP="00F82319">
            <w:pPr>
              <w:pStyle w:val="TAL"/>
              <w:rPr>
                <w:rFonts w:cs="Arial" w:hint="eastAsia"/>
                <w:color w:val="000000"/>
                <w:sz w:val="16"/>
                <w:szCs w:val="16"/>
                <w:lang w:eastAsia="zh-CN"/>
              </w:rPr>
            </w:pPr>
            <w:r w:rsidRPr="000A0A5F">
              <w:rPr>
                <w:rFonts w:cs="Arial" w:hint="eastAsia"/>
                <w:color w:val="000000"/>
                <w:sz w:val="16"/>
                <w:szCs w:val="16"/>
                <w:lang w:eastAsia="zh-CN"/>
              </w:rPr>
              <w:t>0</w:t>
            </w:r>
            <w:r w:rsidRPr="000A0A5F">
              <w:rPr>
                <w:rFonts w:cs="Arial"/>
                <w:color w:val="000000"/>
                <w:sz w:val="16"/>
                <w:szCs w:val="16"/>
                <w:lang w:eastAsia="zh-CN"/>
              </w:rPr>
              <w:t>273</w:t>
            </w:r>
          </w:p>
        </w:tc>
        <w:tc>
          <w:tcPr>
            <w:tcW w:w="424" w:type="dxa"/>
            <w:shd w:val="solid" w:color="FFFFFF" w:fill="auto"/>
          </w:tcPr>
          <w:p w:rsidR="00F82319" w:rsidRPr="000A0A5F" w:rsidRDefault="00F82319" w:rsidP="00F82319">
            <w:pPr>
              <w:pStyle w:val="TAR"/>
              <w:rPr>
                <w:rFonts w:cs="Arial" w:hint="eastAsia"/>
                <w:color w:val="000000"/>
                <w:sz w:val="16"/>
                <w:szCs w:val="16"/>
                <w:lang w:eastAsia="zh-CN"/>
              </w:rPr>
            </w:pP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A</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Same IPv4 address for different PDU sessions</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6.7.0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w:t>
            </w:r>
            <w:r w:rsidRPr="000A0A5F">
              <w:rPr>
                <w:rFonts w:cs="Arial"/>
                <w:color w:val="000000"/>
                <w:sz w:val="16"/>
                <w:szCs w:val="16"/>
                <w:lang w:eastAsia="zh-CN"/>
              </w:rPr>
              <w:t>020-09</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#89e</w:t>
            </w:r>
          </w:p>
        </w:tc>
        <w:tc>
          <w:tcPr>
            <w:tcW w:w="108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w:t>
            </w:r>
            <w:r w:rsidRPr="000A0A5F">
              <w:rPr>
                <w:rFonts w:cs="Arial"/>
                <w:color w:val="000000"/>
                <w:sz w:val="16"/>
                <w:szCs w:val="16"/>
                <w:lang w:eastAsia="zh-CN"/>
              </w:rPr>
              <w:t>P-202077</w:t>
            </w:r>
          </w:p>
        </w:tc>
        <w:tc>
          <w:tcPr>
            <w:tcW w:w="524" w:type="dxa"/>
            <w:shd w:val="solid" w:color="FFFFFF" w:fill="auto"/>
          </w:tcPr>
          <w:p w:rsidR="00F82319" w:rsidRPr="000A0A5F" w:rsidRDefault="00F82319" w:rsidP="00F82319">
            <w:pPr>
              <w:pStyle w:val="TAL"/>
              <w:rPr>
                <w:rFonts w:cs="Arial" w:hint="eastAsia"/>
                <w:color w:val="000000"/>
                <w:sz w:val="16"/>
                <w:szCs w:val="16"/>
                <w:lang w:eastAsia="zh-CN"/>
              </w:rPr>
            </w:pPr>
            <w:r w:rsidRPr="000A0A5F">
              <w:rPr>
                <w:rFonts w:cs="Arial" w:hint="eastAsia"/>
                <w:color w:val="000000"/>
                <w:sz w:val="16"/>
                <w:szCs w:val="16"/>
                <w:lang w:eastAsia="zh-CN"/>
              </w:rPr>
              <w:t>0</w:t>
            </w:r>
            <w:r w:rsidRPr="000A0A5F">
              <w:rPr>
                <w:rFonts w:cs="Arial"/>
                <w:color w:val="000000"/>
                <w:sz w:val="16"/>
                <w:szCs w:val="16"/>
                <w:lang w:eastAsia="zh-CN"/>
              </w:rPr>
              <w:t>274</w:t>
            </w:r>
          </w:p>
        </w:tc>
        <w:tc>
          <w:tcPr>
            <w:tcW w:w="424" w:type="dxa"/>
            <w:shd w:val="solid" w:color="FFFFFF" w:fill="auto"/>
          </w:tcPr>
          <w:p w:rsidR="00F82319" w:rsidRPr="000A0A5F" w:rsidRDefault="00F82319" w:rsidP="00F82319">
            <w:pPr>
              <w:pStyle w:val="TAR"/>
              <w:rPr>
                <w:rFonts w:cs="Arial" w:hint="eastAsia"/>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hint="eastAsia"/>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Remove 5G procedures to TS 29.522</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6.7.0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w:t>
            </w:r>
            <w:r w:rsidRPr="000A0A5F">
              <w:rPr>
                <w:rFonts w:cs="Arial"/>
                <w:color w:val="000000"/>
                <w:sz w:val="16"/>
                <w:szCs w:val="16"/>
                <w:lang w:eastAsia="zh-CN"/>
              </w:rPr>
              <w:t>020-09</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#89e</w:t>
            </w:r>
          </w:p>
        </w:tc>
        <w:tc>
          <w:tcPr>
            <w:tcW w:w="108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w:t>
            </w:r>
            <w:r w:rsidRPr="000A0A5F">
              <w:rPr>
                <w:rFonts w:cs="Arial"/>
                <w:color w:val="000000"/>
                <w:sz w:val="16"/>
                <w:szCs w:val="16"/>
                <w:lang w:eastAsia="zh-CN"/>
              </w:rPr>
              <w:t>P-202072</w:t>
            </w:r>
          </w:p>
        </w:tc>
        <w:tc>
          <w:tcPr>
            <w:tcW w:w="524" w:type="dxa"/>
            <w:shd w:val="solid" w:color="FFFFFF" w:fill="auto"/>
          </w:tcPr>
          <w:p w:rsidR="00F82319" w:rsidRPr="000A0A5F" w:rsidRDefault="00F82319" w:rsidP="00F82319">
            <w:pPr>
              <w:pStyle w:val="TAL"/>
              <w:rPr>
                <w:rFonts w:cs="Arial" w:hint="eastAsia"/>
                <w:color w:val="000000"/>
                <w:sz w:val="16"/>
                <w:szCs w:val="16"/>
                <w:lang w:eastAsia="zh-CN"/>
              </w:rPr>
            </w:pPr>
            <w:r w:rsidRPr="000A0A5F">
              <w:rPr>
                <w:rFonts w:cs="Arial" w:hint="eastAsia"/>
                <w:color w:val="000000"/>
                <w:sz w:val="16"/>
                <w:szCs w:val="16"/>
                <w:lang w:eastAsia="zh-CN"/>
              </w:rPr>
              <w:t>0</w:t>
            </w:r>
            <w:r w:rsidRPr="000A0A5F">
              <w:rPr>
                <w:rFonts w:cs="Arial"/>
                <w:color w:val="000000"/>
                <w:sz w:val="16"/>
                <w:szCs w:val="16"/>
                <w:lang w:eastAsia="zh-CN"/>
              </w:rPr>
              <w:t>275</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hint="eastAsia"/>
                <w:color w:val="000000"/>
                <w:sz w:val="16"/>
                <w:szCs w:val="16"/>
                <w:lang w:eastAsia="zh-CN"/>
              </w:rPr>
              <w:t>1</w:t>
            </w:r>
          </w:p>
        </w:tc>
        <w:tc>
          <w:tcPr>
            <w:tcW w:w="424"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Unique RACS Id</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6.7.0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w:t>
            </w:r>
            <w:r w:rsidRPr="000A0A5F">
              <w:rPr>
                <w:rFonts w:cs="Arial"/>
                <w:color w:val="000000"/>
                <w:sz w:val="16"/>
                <w:szCs w:val="16"/>
                <w:lang w:eastAsia="zh-CN"/>
              </w:rPr>
              <w:t>020-09</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#89e</w:t>
            </w:r>
          </w:p>
        </w:tc>
        <w:tc>
          <w:tcPr>
            <w:tcW w:w="108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w:t>
            </w:r>
            <w:r w:rsidRPr="000A0A5F">
              <w:rPr>
                <w:rFonts w:cs="Arial"/>
                <w:color w:val="000000"/>
                <w:sz w:val="16"/>
                <w:szCs w:val="16"/>
                <w:lang w:eastAsia="zh-CN"/>
              </w:rPr>
              <w:t>P-202072</w:t>
            </w:r>
          </w:p>
        </w:tc>
        <w:tc>
          <w:tcPr>
            <w:tcW w:w="524" w:type="dxa"/>
            <w:shd w:val="solid" w:color="FFFFFF" w:fill="auto"/>
          </w:tcPr>
          <w:p w:rsidR="00F82319" w:rsidRPr="000A0A5F" w:rsidRDefault="00F82319" w:rsidP="00F82319">
            <w:pPr>
              <w:pStyle w:val="TAL"/>
              <w:rPr>
                <w:rFonts w:cs="Arial" w:hint="eastAsia"/>
                <w:color w:val="000000"/>
                <w:sz w:val="16"/>
                <w:szCs w:val="16"/>
                <w:lang w:eastAsia="zh-CN"/>
              </w:rPr>
            </w:pPr>
            <w:r w:rsidRPr="000A0A5F">
              <w:rPr>
                <w:rFonts w:cs="Arial" w:hint="eastAsia"/>
                <w:color w:val="000000"/>
                <w:sz w:val="16"/>
                <w:szCs w:val="16"/>
                <w:lang w:eastAsia="zh-CN"/>
              </w:rPr>
              <w:t>0</w:t>
            </w:r>
            <w:r w:rsidRPr="000A0A5F">
              <w:rPr>
                <w:rFonts w:cs="Arial"/>
                <w:color w:val="000000"/>
                <w:sz w:val="16"/>
                <w:szCs w:val="16"/>
                <w:lang w:eastAsia="zh-CN"/>
              </w:rPr>
              <w:t>276</w:t>
            </w:r>
          </w:p>
        </w:tc>
        <w:tc>
          <w:tcPr>
            <w:tcW w:w="424" w:type="dxa"/>
            <w:shd w:val="solid" w:color="FFFFFF" w:fill="auto"/>
          </w:tcPr>
          <w:p w:rsidR="00F82319" w:rsidRPr="000A0A5F" w:rsidRDefault="00F82319" w:rsidP="00F82319">
            <w:pPr>
              <w:pStyle w:val="TAR"/>
              <w:rPr>
                <w:rFonts w:cs="Arial" w:hint="eastAsia"/>
                <w:color w:val="000000"/>
                <w:sz w:val="16"/>
                <w:szCs w:val="16"/>
                <w:lang w:eastAsia="zh-CN"/>
              </w:rPr>
            </w:pPr>
          </w:p>
        </w:tc>
        <w:tc>
          <w:tcPr>
            <w:tcW w:w="424"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Failure response</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6.7.0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w:t>
            </w:r>
            <w:r w:rsidRPr="000A0A5F">
              <w:rPr>
                <w:rFonts w:cs="Arial"/>
                <w:color w:val="000000"/>
                <w:sz w:val="16"/>
                <w:szCs w:val="16"/>
                <w:lang w:eastAsia="zh-CN"/>
              </w:rPr>
              <w:t>020-09</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#89e</w:t>
            </w:r>
          </w:p>
        </w:tc>
        <w:tc>
          <w:tcPr>
            <w:tcW w:w="108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w:t>
            </w:r>
            <w:r w:rsidRPr="000A0A5F">
              <w:rPr>
                <w:rFonts w:cs="Arial"/>
                <w:color w:val="000000"/>
                <w:sz w:val="16"/>
                <w:szCs w:val="16"/>
                <w:lang w:eastAsia="zh-CN"/>
              </w:rPr>
              <w:t>P-202048</w:t>
            </w:r>
          </w:p>
        </w:tc>
        <w:tc>
          <w:tcPr>
            <w:tcW w:w="524" w:type="dxa"/>
            <w:shd w:val="solid" w:color="FFFFFF" w:fill="auto"/>
          </w:tcPr>
          <w:p w:rsidR="00F82319" w:rsidRPr="000A0A5F" w:rsidRDefault="00F82319" w:rsidP="00F82319">
            <w:pPr>
              <w:pStyle w:val="TAL"/>
              <w:rPr>
                <w:rFonts w:cs="Arial" w:hint="eastAsia"/>
                <w:color w:val="000000"/>
                <w:sz w:val="16"/>
                <w:szCs w:val="16"/>
                <w:lang w:eastAsia="zh-CN"/>
              </w:rPr>
            </w:pPr>
            <w:r w:rsidRPr="000A0A5F">
              <w:rPr>
                <w:rFonts w:cs="Arial" w:hint="eastAsia"/>
                <w:color w:val="000000"/>
                <w:sz w:val="16"/>
                <w:szCs w:val="16"/>
                <w:lang w:eastAsia="zh-CN"/>
              </w:rPr>
              <w:t>0</w:t>
            </w:r>
            <w:r w:rsidRPr="000A0A5F">
              <w:rPr>
                <w:rFonts w:cs="Arial"/>
                <w:color w:val="000000"/>
                <w:sz w:val="16"/>
                <w:szCs w:val="16"/>
                <w:lang w:eastAsia="zh-CN"/>
              </w:rPr>
              <w:t>277</w:t>
            </w:r>
          </w:p>
        </w:tc>
        <w:tc>
          <w:tcPr>
            <w:tcW w:w="424" w:type="dxa"/>
            <w:shd w:val="solid" w:color="FFFFFF" w:fill="auto"/>
          </w:tcPr>
          <w:p w:rsidR="00F82319" w:rsidRPr="000A0A5F" w:rsidRDefault="00F82319" w:rsidP="00F82319">
            <w:pPr>
              <w:pStyle w:val="TAR"/>
              <w:rPr>
                <w:rFonts w:cs="Arial" w:hint="eastAsia"/>
                <w:color w:val="000000"/>
                <w:sz w:val="16"/>
                <w:szCs w:val="16"/>
                <w:lang w:eastAsia="zh-CN"/>
              </w:rPr>
            </w:pPr>
            <w:r w:rsidRPr="000A0A5F">
              <w:rPr>
                <w:rFonts w:cs="Arial" w:hint="eastAsia"/>
                <w:color w:val="000000"/>
                <w:sz w:val="16"/>
                <w:szCs w:val="16"/>
                <w:lang w:eastAsia="zh-CN"/>
              </w:rPr>
              <w:t>1</w:t>
            </w:r>
          </w:p>
        </w:tc>
        <w:tc>
          <w:tcPr>
            <w:tcW w:w="424"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Initial report for multiple PDN connections</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6.7.0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w:t>
            </w:r>
            <w:r w:rsidRPr="000A0A5F">
              <w:rPr>
                <w:rFonts w:cs="Arial"/>
                <w:color w:val="000000"/>
                <w:sz w:val="16"/>
                <w:szCs w:val="16"/>
                <w:lang w:eastAsia="zh-CN"/>
              </w:rPr>
              <w:t>020-09</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#89e</w:t>
            </w:r>
          </w:p>
        </w:tc>
        <w:tc>
          <w:tcPr>
            <w:tcW w:w="108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w:t>
            </w:r>
            <w:r w:rsidRPr="000A0A5F">
              <w:rPr>
                <w:rFonts w:cs="Arial"/>
                <w:color w:val="000000"/>
                <w:sz w:val="16"/>
                <w:szCs w:val="16"/>
                <w:lang w:eastAsia="zh-CN"/>
              </w:rPr>
              <w:t>P-202070</w:t>
            </w:r>
          </w:p>
        </w:tc>
        <w:tc>
          <w:tcPr>
            <w:tcW w:w="524" w:type="dxa"/>
            <w:shd w:val="solid" w:color="FFFFFF" w:fill="auto"/>
          </w:tcPr>
          <w:p w:rsidR="00F82319" w:rsidRPr="000A0A5F" w:rsidRDefault="00F82319" w:rsidP="00F82319">
            <w:pPr>
              <w:pStyle w:val="TAL"/>
              <w:rPr>
                <w:rFonts w:cs="Arial" w:hint="eastAsia"/>
                <w:color w:val="000000"/>
                <w:sz w:val="16"/>
                <w:szCs w:val="16"/>
                <w:lang w:eastAsia="zh-CN"/>
              </w:rPr>
            </w:pPr>
            <w:r w:rsidRPr="000A0A5F">
              <w:rPr>
                <w:rFonts w:cs="Arial" w:hint="eastAsia"/>
                <w:color w:val="000000"/>
                <w:sz w:val="16"/>
                <w:szCs w:val="16"/>
                <w:lang w:eastAsia="zh-CN"/>
              </w:rPr>
              <w:t>0</w:t>
            </w:r>
            <w:r w:rsidRPr="000A0A5F">
              <w:rPr>
                <w:rFonts w:cs="Arial"/>
                <w:color w:val="000000"/>
                <w:sz w:val="16"/>
                <w:szCs w:val="16"/>
                <w:lang w:eastAsia="zh-CN"/>
              </w:rPr>
              <w:t>281</w:t>
            </w:r>
          </w:p>
        </w:tc>
        <w:tc>
          <w:tcPr>
            <w:tcW w:w="424" w:type="dxa"/>
            <w:shd w:val="solid" w:color="FFFFFF" w:fill="auto"/>
          </w:tcPr>
          <w:p w:rsidR="00F82319" w:rsidRPr="000A0A5F" w:rsidRDefault="00F82319" w:rsidP="00F82319">
            <w:pPr>
              <w:pStyle w:val="TAR"/>
              <w:rPr>
                <w:rFonts w:cs="Arial" w:hint="eastAsia"/>
                <w:color w:val="000000"/>
                <w:sz w:val="16"/>
                <w:szCs w:val="16"/>
                <w:lang w:eastAsia="zh-CN"/>
              </w:rPr>
            </w:pPr>
          </w:p>
        </w:tc>
        <w:tc>
          <w:tcPr>
            <w:tcW w:w="424"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color w:val="000000"/>
                <w:sz w:val="16"/>
                <w:szCs w:val="16"/>
                <w:lang w:eastAsia="zh-CN"/>
              </w:rPr>
              <w:t>A</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Use correct code for deleting individual ChargeableParty transaction</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6.7.0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w:t>
            </w:r>
            <w:r w:rsidRPr="000A0A5F">
              <w:rPr>
                <w:rFonts w:cs="Arial"/>
                <w:color w:val="000000"/>
                <w:sz w:val="16"/>
                <w:szCs w:val="16"/>
                <w:lang w:eastAsia="zh-CN"/>
              </w:rPr>
              <w:t>020-09</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#89e</w:t>
            </w:r>
          </w:p>
        </w:tc>
        <w:tc>
          <w:tcPr>
            <w:tcW w:w="108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w:t>
            </w:r>
            <w:r w:rsidRPr="000A0A5F">
              <w:rPr>
                <w:rFonts w:cs="Arial"/>
                <w:color w:val="000000"/>
                <w:sz w:val="16"/>
                <w:szCs w:val="16"/>
                <w:lang w:eastAsia="zh-CN"/>
              </w:rPr>
              <w:t>P-202021</w:t>
            </w:r>
          </w:p>
        </w:tc>
        <w:tc>
          <w:tcPr>
            <w:tcW w:w="524" w:type="dxa"/>
            <w:shd w:val="solid" w:color="FFFFFF" w:fill="auto"/>
          </w:tcPr>
          <w:p w:rsidR="00F82319" w:rsidRPr="000A0A5F" w:rsidRDefault="00F82319" w:rsidP="00F82319">
            <w:pPr>
              <w:pStyle w:val="TAL"/>
              <w:rPr>
                <w:rFonts w:cs="Arial" w:hint="eastAsia"/>
                <w:color w:val="000000"/>
                <w:sz w:val="16"/>
                <w:szCs w:val="16"/>
                <w:lang w:eastAsia="zh-CN"/>
              </w:rPr>
            </w:pPr>
            <w:r w:rsidRPr="000A0A5F">
              <w:rPr>
                <w:rFonts w:cs="Arial"/>
                <w:color w:val="000000"/>
                <w:sz w:val="16"/>
                <w:szCs w:val="16"/>
                <w:lang w:eastAsia="zh-CN"/>
              </w:rPr>
              <w:t>0283</w:t>
            </w:r>
          </w:p>
        </w:tc>
        <w:tc>
          <w:tcPr>
            <w:tcW w:w="424" w:type="dxa"/>
            <w:shd w:val="solid" w:color="FFFFFF" w:fill="auto"/>
          </w:tcPr>
          <w:p w:rsidR="00F82319" w:rsidRPr="000A0A5F" w:rsidRDefault="00F82319" w:rsidP="00F82319">
            <w:pPr>
              <w:pStyle w:val="TAR"/>
              <w:rPr>
                <w:rFonts w:cs="Arial" w:hint="eastAsia"/>
                <w:color w:val="000000"/>
                <w:sz w:val="16"/>
                <w:szCs w:val="16"/>
                <w:lang w:eastAsia="zh-CN"/>
              </w:rPr>
            </w:pPr>
            <w:r w:rsidRPr="000A0A5F">
              <w:rPr>
                <w:rFonts w:cs="Arial"/>
                <w:color w:val="000000"/>
                <w:sz w:val="16"/>
                <w:szCs w:val="16"/>
                <w:lang w:eastAsia="zh-CN"/>
              </w:rPr>
              <w:t>2</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A</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Removal of an established AS session</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6.7.0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w:t>
            </w:r>
            <w:r w:rsidRPr="000A0A5F">
              <w:rPr>
                <w:rFonts w:cs="Arial"/>
                <w:color w:val="000000"/>
                <w:sz w:val="16"/>
                <w:szCs w:val="16"/>
                <w:lang w:eastAsia="zh-CN"/>
              </w:rPr>
              <w:t>020-09</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#89e</w:t>
            </w:r>
          </w:p>
        </w:tc>
        <w:tc>
          <w:tcPr>
            <w:tcW w:w="108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w:t>
            </w:r>
            <w:r w:rsidRPr="000A0A5F">
              <w:rPr>
                <w:rFonts w:cs="Arial"/>
                <w:color w:val="000000"/>
                <w:sz w:val="16"/>
                <w:szCs w:val="16"/>
                <w:lang w:eastAsia="zh-CN"/>
              </w:rPr>
              <w:t>P-202072</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hint="eastAsia"/>
                <w:color w:val="000000"/>
                <w:sz w:val="16"/>
                <w:szCs w:val="16"/>
                <w:lang w:eastAsia="zh-CN"/>
              </w:rPr>
              <w:t>0</w:t>
            </w:r>
            <w:r w:rsidRPr="000A0A5F">
              <w:rPr>
                <w:rFonts w:cs="Arial"/>
                <w:color w:val="000000"/>
                <w:sz w:val="16"/>
                <w:szCs w:val="16"/>
                <w:lang w:eastAsia="zh-CN"/>
              </w:rPr>
              <w:t>284</w:t>
            </w:r>
          </w:p>
        </w:tc>
        <w:tc>
          <w:tcPr>
            <w:tcW w:w="424" w:type="dxa"/>
            <w:shd w:val="solid" w:color="FFFFFF" w:fill="auto"/>
          </w:tcPr>
          <w:p w:rsidR="00F82319" w:rsidRPr="000A0A5F" w:rsidRDefault="00F82319" w:rsidP="00F82319">
            <w:pPr>
              <w:pStyle w:val="TAR"/>
              <w:rPr>
                <w:rFonts w:cs="Arial"/>
                <w:color w:val="000000"/>
                <w:sz w:val="16"/>
                <w:szCs w:val="16"/>
                <w:lang w:eastAsia="zh-CN"/>
              </w:rPr>
            </w:pP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hint="eastAsia"/>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Usage of PUT and PATCH</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6.7.0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w:t>
            </w:r>
            <w:r w:rsidRPr="000A0A5F">
              <w:rPr>
                <w:rFonts w:cs="Arial"/>
                <w:color w:val="000000"/>
                <w:sz w:val="16"/>
                <w:szCs w:val="16"/>
                <w:lang w:eastAsia="zh-CN"/>
              </w:rPr>
              <w:t>020-09</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#89e</w:t>
            </w:r>
          </w:p>
        </w:tc>
        <w:tc>
          <w:tcPr>
            <w:tcW w:w="108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w:t>
            </w:r>
            <w:r w:rsidRPr="000A0A5F">
              <w:rPr>
                <w:rFonts w:cs="Arial"/>
                <w:color w:val="000000"/>
                <w:sz w:val="16"/>
                <w:szCs w:val="16"/>
                <w:lang w:eastAsia="zh-CN"/>
              </w:rPr>
              <w:t>P-202070</w:t>
            </w:r>
          </w:p>
        </w:tc>
        <w:tc>
          <w:tcPr>
            <w:tcW w:w="524" w:type="dxa"/>
            <w:shd w:val="solid" w:color="FFFFFF" w:fill="auto"/>
          </w:tcPr>
          <w:p w:rsidR="00F82319" w:rsidRPr="000A0A5F" w:rsidRDefault="00F82319" w:rsidP="00F82319">
            <w:pPr>
              <w:pStyle w:val="TAL"/>
              <w:rPr>
                <w:rFonts w:cs="Arial" w:hint="eastAsia"/>
                <w:color w:val="000000"/>
                <w:sz w:val="16"/>
                <w:szCs w:val="16"/>
                <w:lang w:eastAsia="zh-CN"/>
              </w:rPr>
            </w:pPr>
            <w:r w:rsidRPr="000A0A5F">
              <w:rPr>
                <w:rFonts w:cs="Arial" w:hint="eastAsia"/>
                <w:color w:val="000000"/>
                <w:sz w:val="16"/>
                <w:szCs w:val="16"/>
                <w:lang w:eastAsia="zh-CN"/>
              </w:rPr>
              <w:t>0</w:t>
            </w:r>
            <w:r w:rsidRPr="000A0A5F">
              <w:rPr>
                <w:rFonts w:cs="Arial"/>
                <w:color w:val="000000"/>
                <w:sz w:val="16"/>
                <w:szCs w:val="16"/>
                <w:lang w:eastAsia="zh-CN"/>
              </w:rPr>
              <w:t>286</w:t>
            </w:r>
          </w:p>
        </w:tc>
        <w:tc>
          <w:tcPr>
            <w:tcW w:w="424" w:type="dxa"/>
            <w:shd w:val="solid" w:color="FFFFFF" w:fill="auto"/>
          </w:tcPr>
          <w:p w:rsidR="00F82319" w:rsidRPr="000A0A5F" w:rsidRDefault="00F82319" w:rsidP="00F82319">
            <w:pPr>
              <w:pStyle w:val="TAR"/>
              <w:rPr>
                <w:rFonts w:cs="Arial"/>
                <w:color w:val="000000"/>
                <w:sz w:val="16"/>
                <w:szCs w:val="16"/>
                <w:lang w:eastAsia="zh-CN"/>
              </w:rPr>
            </w:pPr>
          </w:p>
        </w:tc>
        <w:tc>
          <w:tcPr>
            <w:tcW w:w="424"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color w:val="000000"/>
                <w:sz w:val="16"/>
                <w:szCs w:val="16"/>
                <w:lang w:eastAsia="zh-CN"/>
              </w:rPr>
              <w:t>A</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Corrections to mtcProviderId</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6.7.0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w:t>
            </w:r>
            <w:r w:rsidRPr="000A0A5F">
              <w:rPr>
                <w:rFonts w:cs="Arial"/>
                <w:color w:val="000000"/>
                <w:sz w:val="16"/>
                <w:szCs w:val="16"/>
                <w:lang w:eastAsia="zh-CN"/>
              </w:rPr>
              <w:t>020-09</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#89e</w:t>
            </w:r>
          </w:p>
        </w:tc>
        <w:tc>
          <w:tcPr>
            <w:tcW w:w="108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w:t>
            </w:r>
            <w:r w:rsidRPr="000A0A5F">
              <w:rPr>
                <w:rFonts w:cs="Arial"/>
                <w:color w:val="000000"/>
                <w:sz w:val="16"/>
                <w:szCs w:val="16"/>
                <w:lang w:eastAsia="zh-CN"/>
              </w:rPr>
              <w:t>P-202086</w:t>
            </w:r>
          </w:p>
        </w:tc>
        <w:tc>
          <w:tcPr>
            <w:tcW w:w="524" w:type="dxa"/>
            <w:shd w:val="solid" w:color="FFFFFF" w:fill="auto"/>
          </w:tcPr>
          <w:p w:rsidR="00F82319" w:rsidRPr="000A0A5F" w:rsidRDefault="00F82319" w:rsidP="00F82319">
            <w:pPr>
              <w:pStyle w:val="TAL"/>
              <w:rPr>
                <w:rFonts w:cs="Arial" w:hint="eastAsia"/>
                <w:color w:val="000000"/>
                <w:sz w:val="16"/>
                <w:szCs w:val="16"/>
                <w:lang w:eastAsia="zh-CN"/>
              </w:rPr>
            </w:pPr>
            <w:r w:rsidRPr="000A0A5F">
              <w:rPr>
                <w:rFonts w:cs="Arial" w:hint="eastAsia"/>
                <w:color w:val="000000"/>
                <w:sz w:val="16"/>
                <w:szCs w:val="16"/>
                <w:lang w:eastAsia="zh-CN"/>
              </w:rPr>
              <w:t>0</w:t>
            </w:r>
            <w:r w:rsidRPr="000A0A5F">
              <w:rPr>
                <w:rFonts w:cs="Arial"/>
                <w:color w:val="000000"/>
                <w:sz w:val="16"/>
                <w:szCs w:val="16"/>
                <w:lang w:eastAsia="zh-CN"/>
              </w:rPr>
              <w:t>287</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hint="eastAsia"/>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hint="eastAsia"/>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Updates NpConfiguration with mtcProviderId</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6.7.0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w:t>
            </w:r>
            <w:r w:rsidRPr="000A0A5F">
              <w:rPr>
                <w:rFonts w:cs="Arial"/>
                <w:color w:val="000000"/>
                <w:sz w:val="16"/>
                <w:szCs w:val="16"/>
                <w:lang w:eastAsia="zh-CN"/>
              </w:rPr>
              <w:t>020-09</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#89e</w:t>
            </w:r>
          </w:p>
        </w:tc>
        <w:tc>
          <w:tcPr>
            <w:tcW w:w="108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w:t>
            </w:r>
            <w:r w:rsidRPr="000A0A5F">
              <w:rPr>
                <w:rFonts w:cs="Arial"/>
                <w:color w:val="000000"/>
                <w:sz w:val="16"/>
                <w:szCs w:val="16"/>
                <w:lang w:eastAsia="zh-CN"/>
              </w:rPr>
              <w:t>P-202084</w:t>
            </w:r>
          </w:p>
        </w:tc>
        <w:tc>
          <w:tcPr>
            <w:tcW w:w="524" w:type="dxa"/>
            <w:shd w:val="solid" w:color="FFFFFF" w:fill="auto"/>
          </w:tcPr>
          <w:p w:rsidR="00F82319" w:rsidRPr="000A0A5F" w:rsidRDefault="00F82319" w:rsidP="00F82319">
            <w:pPr>
              <w:pStyle w:val="TAL"/>
              <w:rPr>
                <w:rFonts w:cs="Arial" w:hint="eastAsia"/>
                <w:color w:val="000000"/>
                <w:sz w:val="16"/>
                <w:szCs w:val="16"/>
                <w:lang w:eastAsia="zh-CN"/>
              </w:rPr>
            </w:pPr>
            <w:r w:rsidRPr="000A0A5F">
              <w:rPr>
                <w:rFonts w:cs="Arial" w:hint="eastAsia"/>
                <w:color w:val="000000"/>
                <w:sz w:val="16"/>
                <w:szCs w:val="16"/>
                <w:lang w:eastAsia="zh-CN"/>
              </w:rPr>
              <w:t>0</w:t>
            </w:r>
            <w:r w:rsidRPr="000A0A5F">
              <w:rPr>
                <w:rFonts w:cs="Arial"/>
                <w:color w:val="000000"/>
                <w:sz w:val="16"/>
                <w:szCs w:val="16"/>
                <w:lang w:eastAsia="zh-CN"/>
              </w:rPr>
              <w:t>289</w:t>
            </w:r>
          </w:p>
        </w:tc>
        <w:tc>
          <w:tcPr>
            <w:tcW w:w="424" w:type="dxa"/>
            <w:shd w:val="solid" w:color="FFFFFF" w:fill="auto"/>
          </w:tcPr>
          <w:p w:rsidR="00F82319" w:rsidRPr="000A0A5F" w:rsidRDefault="00F82319" w:rsidP="00F82319">
            <w:pPr>
              <w:pStyle w:val="TAR"/>
              <w:rPr>
                <w:rFonts w:cs="Arial" w:hint="eastAsia"/>
                <w:color w:val="000000"/>
                <w:sz w:val="16"/>
                <w:szCs w:val="16"/>
                <w:lang w:eastAsia="zh-CN"/>
              </w:rPr>
            </w:pPr>
          </w:p>
        </w:tc>
        <w:tc>
          <w:tcPr>
            <w:tcW w:w="424"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Update of OpenAPI version and TS version in externalDocs field</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6.7.0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20-12</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#90e</w:t>
            </w:r>
          </w:p>
        </w:tc>
        <w:tc>
          <w:tcPr>
            <w:tcW w:w="108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w:t>
            </w:r>
            <w:r w:rsidRPr="000A0A5F">
              <w:rPr>
                <w:rFonts w:cs="Arial"/>
                <w:color w:val="000000"/>
                <w:sz w:val="16"/>
                <w:szCs w:val="16"/>
                <w:lang w:eastAsia="zh-CN"/>
              </w:rPr>
              <w:t>P-203139</w:t>
            </w:r>
          </w:p>
        </w:tc>
        <w:tc>
          <w:tcPr>
            <w:tcW w:w="524" w:type="dxa"/>
            <w:shd w:val="solid" w:color="FFFFFF" w:fill="auto"/>
          </w:tcPr>
          <w:p w:rsidR="00F82319" w:rsidRPr="000A0A5F" w:rsidRDefault="00F82319" w:rsidP="00F82319">
            <w:pPr>
              <w:pStyle w:val="TAL"/>
              <w:rPr>
                <w:rFonts w:cs="Arial" w:hint="eastAsia"/>
                <w:color w:val="000000"/>
                <w:sz w:val="16"/>
                <w:szCs w:val="16"/>
                <w:lang w:eastAsia="zh-CN"/>
              </w:rPr>
            </w:pPr>
            <w:r w:rsidRPr="000A0A5F">
              <w:rPr>
                <w:rFonts w:cs="Arial" w:hint="eastAsia"/>
                <w:color w:val="000000"/>
                <w:sz w:val="16"/>
                <w:szCs w:val="16"/>
                <w:lang w:eastAsia="zh-CN"/>
              </w:rPr>
              <w:t>0</w:t>
            </w:r>
            <w:r w:rsidRPr="000A0A5F">
              <w:rPr>
                <w:rFonts w:cs="Arial"/>
                <w:color w:val="000000"/>
                <w:sz w:val="16"/>
                <w:szCs w:val="16"/>
                <w:lang w:eastAsia="zh-CN"/>
              </w:rPr>
              <w:t>291</w:t>
            </w:r>
          </w:p>
        </w:tc>
        <w:tc>
          <w:tcPr>
            <w:tcW w:w="424" w:type="dxa"/>
            <w:shd w:val="solid" w:color="FFFFFF" w:fill="auto"/>
          </w:tcPr>
          <w:p w:rsidR="00F82319" w:rsidRPr="000A0A5F" w:rsidRDefault="00F82319" w:rsidP="00F82319">
            <w:pPr>
              <w:pStyle w:val="TAR"/>
              <w:rPr>
                <w:rFonts w:cs="Arial" w:hint="eastAsia"/>
                <w:color w:val="000000"/>
                <w:sz w:val="16"/>
                <w:szCs w:val="16"/>
                <w:lang w:eastAsia="zh-CN"/>
              </w:rPr>
            </w:pPr>
            <w:r w:rsidRPr="000A0A5F">
              <w:rPr>
                <w:rFonts w:cs="Arial" w:hint="eastAsia"/>
                <w:color w:val="000000"/>
                <w:sz w:val="16"/>
                <w:szCs w:val="16"/>
                <w:lang w:eastAsia="zh-CN"/>
              </w:rPr>
              <w:t>1</w:t>
            </w:r>
          </w:p>
        </w:tc>
        <w:tc>
          <w:tcPr>
            <w:tcW w:w="424"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TS 29.122 Essential Corrections and alignments</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16</w:t>
            </w:r>
            <w:r w:rsidRPr="000A0A5F">
              <w:rPr>
                <w:rFonts w:cs="Arial"/>
                <w:color w:val="000000"/>
                <w:sz w:val="16"/>
                <w:szCs w:val="16"/>
                <w:lang w:eastAsia="zh-CN"/>
              </w:rPr>
              <w:t>.8.0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20-12</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#90e</w:t>
            </w:r>
          </w:p>
        </w:tc>
        <w:tc>
          <w:tcPr>
            <w:tcW w:w="108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w:t>
            </w:r>
            <w:r w:rsidRPr="000A0A5F">
              <w:rPr>
                <w:rFonts w:cs="Arial"/>
                <w:color w:val="000000"/>
                <w:sz w:val="16"/>
                <w:szCs w:val="16"/>
                <w:lang w:eastAsia="zh-CN"/>
              </w:rPr>
              <w:t>P-203079</w:t>
            </w:r>
          </w:p>
        </w:tc>
        <w:tc>
          <w:tcPr>
            <w:tcW w:w="524" w:type="dxa"/>
            <w:shd w:val="solid" w:color="FFFFFF" w:fill="auto"/>
          </w:tcPr>
          <w:p w:rsidR="00F82319" w:rsidRPr="000A0A5F" w:rsidRDefault="00F82319" w:rsidP="00F82319">
            <w:pPr>
              <w:pStyle w:val="TAL"/>
              <w:rPr>
                <w:rFonts w:cs="Arial" w:hint="eastAsia"/>
                <w:color w:val="000000"/>
                <w:sz w:val="16"/>
                <w:szCs w:val="16"/>
                <w:lang w:eastAsia="zh-CN"/>
              </w:rPr>
            </w:pPr>
            <w:r w:rsidRPr="000A0A5F">
              <w:rPr>
                <w:rFonts w:cs="Arial" w:hint="eastAsia"/>
                <w:color w:val="000000"/>
                <w:sz w:val="16"/>
                <w:szCs w:val="16"/>
                <w:lang w:eastAsia="zh-CN"/>
              </w:rPr>
              <w:t>02</w:t>
            </w:r>
            <w:r w:rsidRPr="000A0A5F">
              <w:rPr>
                <w:rFonts w:cs="Arial"/>
                <w:color w:val="000000"/>
                <w:sz w:val="16"/>
                <w:szCs w:val="16"/>
                <w:lang w:eastAsia="zh-CN"/>
              </w:rPr>
              <w:t>94</w:t>
            </w:r>
          </w:p>
        </w:tc>
        <w:tc>
          <w:tcPr>
            <w:tcW w:w="424" w:type="dxa"/>
            <w:shd w:val="solid" w:color="FFFFFF" w:fill="auto"/>
          </w:tcPr>
          <w:p w:rsidR="00F82319" w:rsidRPr="000A0A5F" w:rsidRDefault="00F82319" w:rsidP="00F82319">
            <w:pPr>
              <w:pStyle w:val="TAR"/>
              <w:rPr>
                <w:rFonts w:cs="Arial" w:hint="eastAsia"/>
                <w:color w:val="000000"/>
                <w:sz w:val="16"/>
                <w:szCs w:val="16"/>
                <w:lang w:eastAsia="zh-CN"/>
              </w:rPr>
            </w:pPr>
            <w:r w:rsidRPr="000A0A5F">
              <w:rPr>
                <w:rFonts w:cs="Arial"/>
                <w:color w:val="000000"/>
                <w:sz w:val="16"/>
                <w:szCs w:val="16"/>
                <w:lang w:eastAsia="zh-CN"/>
              </w:rPr>
              <w:t>2</w:t>
            </w:r>
          </w:p>
        </w:tc>
        <w:tc>
          <w:tcPr>
            <w:tcW w:w="424"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Essential Corrections to eLCS related monitoring events</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16</w:t>
            </w:r>
            <w:r w:rsidRPr="000A0A5F">
              <w:rPr>
                <w:rFonts w:cs="Arial"/>
                <w:color w:val="000000"/>
                <w:sz w:val="16"/>
                <w:szCs w:val="16"/>
                <w:lang w:eastAsia="zh-CN"/>
              </w:rPr>
              <w:t>.8.0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20-12</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#90e</w:t>
            </w:r>
          </w:p>
        </w:tc>
        <w:tc>
          <w:tcPr>
            <w:tcW w:w="108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w:t>
            </w:r>
            <w:r w:rsidRPr="000A0A5F">
              <w:rPr>
                <w:rFonts w:cs="Arial"/>
                <w:color w:val="000000"/>
                <w:sz w:val="16"/>
                <w:szCs w:val="16"/>
                <w:lang w:eastAsia="zh-CN"/>
              </w:rPr>
              <w:t>P-203132</w:t>
            </w:r>
          </w:p>
        </w:tc>
        <w:tc>
          <w:tcPr>
            <w:tcW w:w="524" w:type="dxa"/>
            <w:shd w:val="solid" w:color="FFFFFF" w:fill="auto"/>
          </w:tcPr>
          <w:p w:rsidR="00F82319" w:rsidRPr="000A0A5F" w:rsidRDefault="00F82319" w:rsidP="00F82319">
            <w:pPr>
              <w:pStyle w:val="TAL"/>
              <w:rPr>
                <w:rFonts w:cs="Arial" w:hint="eastAsia"/>
                <w:color w:val="000000"/>
                <w:sz w:val="16"/>
                <w:szCs w:val="16"/>
                <w:lang w:eastAsia="zh-CN"/>
              </w:rPr>
            </w:pPr>
            <w:r w:rsidRPr="000A0A5F">
              <w:rPr>
                <w:rFonts w:cs="Arial" w:hint="eastAsia"/>
                <w:color w:val="000000"/>
                <w:sz w:val="16"/>
                <w:szCs w:val="16"/>
                <w:lang w:eastAsia="zh-CN"/>
              </w:rPr>
              <w:t>0</w:t>
            </w:r>
            <w:r w:rsidRPr="000A0A5F">
              <w:rPr>
                <w:rFonts w:cs="Arial"/>
                <w:color w:val="000000"/>
                <w:sz w:val="16"/>
                <w:szCs w:val="16"/>
                <w:lang w:eastAsia="zh-CN"/>
              </w:rPr>
              <w:t>295</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hint="eastAsia"/>
                <w:color w:val="000000"/>
                <w:sz w:val="16"/>
                <w:szCs w:val="16"/>
                <w:lang w:eastAsia="zh-CN"/>
              </w:rPr>
              <w:t>1</w:t>
            </w:r>
          </w:p>
        </w:tc>
        <w:tc>
          <w:tcPr>
            <w:tcW w:w="424"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Correction to Alternative QoS Parameter</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16</w:t>
            </w:r>
            <w:r w:rsidRPr="000A0A5F">
              <w:rPr>
                <w:rFonts w:cs="Arial"/>
                <w:color w:val="000000"/>
                <w:sz w:val="16"/>
                <w:szCs w:val="16"/>
                <w:lang w:eastAsia="zh-CN"/>
              </w:rPr>
              <w:t>.8.0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20-12</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#90e</w:t>
            </w:r>
          </w:p>
        </w:tc>
        <w:tc>
          <w:tcPr>
            <w:tcW w:w="108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w:t>
            </w:r>
            <w:r w:rsidRPr="000A0A5F">
              <w:rPr>
                <w:rFonts w:cs="Arial"/>
                <w:color w:val="000000"/>
                <w:sz w:val="16"/>
                <w:szCs w:val="16"/>
                <w:lang w:eastAsia="zh-CN"/>
              </w:rPr>
              <w:t>P-203139</w:t>
            </w:r>
          </w:p>
        </w:tc>
        <w:tc>
          <w:tcPr>
            <w:tcW w:w="524" w:type="dxa"/>
            <w:shd w:val="solid" w:color="FFFFFF" w:fill="auto"/>
          </w:tcPr>
          <w:p w:rsidR="00F82319" w:rsidRPr="000A0A5F" w:rsidRDefault="00F82319" w:rsidP="00F82319">
            <w:pPr>
              <w:pStyle w:val="TAL"/>
              <w:rPr>
                <w:rFonts w:cs="Arial" w:hint="eastAsia"/>
                <w:color w:val="000000"/>
                <w:sz w:val="16"/>
                <w:szCs w:val="16"/>
                <w:lang w:eastAsia="zh-CN"/>
              </w:rPr>
            </w:pPr>
            <w:r w:rsidRPr="000A0A5F">
              <w:rPr>
                <w:rFonts w:cs="Arial" w:hint="eastAsia"/>
                <w:color w:val="000000"/>
                <w:sz w:val="16"/>
                <w:szCs w:val="16"/>
                <w:lang w:eastAsia="zh-CN"/>
              </w:rPr>
              <w:t>02</w:t>
            </w:r>
            <w:r w:rsidRPr="000A0A5F">
              <w:rPr>
                <w:rFonts w:cs="Arial"/>
                <w:color w:val="000000"/>
                <w:sz w:val="16"/>
                <w:szCs w:val="16"/>
                <w:lang w:eastAsia="zh-CN"/>
              </w:rPr>
              <w:t>96</w:t>
            </w:r>
          </w:p>
        </w:tc>
        <w:tc>
          <w:tcPr>
            <w:tcW w:w="424" w:type="dxa"/>
            <w:shd w:val="solid" w:color="FFFFFF" w:fill="auto"/>
          </w:tcPr>
          <w:p w:rsidR="00F82319" w:rsidRPr="000A0A5F" w:rsidRDefault="00F82319" w:rsidP="00F82319">
            <w:pPr>
              <w:pStyle w:val="TAR"/>
              <w:rPr>
                <w:rFonts w:cs="Arial" w:hint="eastAsia"/>
                <w:color w:val="000000"/>
                <w:sz w:val="16"/>
                <w:szCs w:val="16"/>
                <w:lang w:eastAsia="zh-CN"/>
              </w:rPr>
            </w:pP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hint="eastAsia"/>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Storage of YAML files in 3GPP Forge</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16</w:t>
            </w:r>
            <w:r w:rsidRPr="000A0A5F">
              <w:rPr>
                <w:rFonts w:cs="Arial"/>
                <w:color w:val="000000"/>
                <w:sz w:val="16"/>
                <w:szCs w:val="16"/>
                <w:lang w:eastAsia="zh-CN"/>
              </w:rPr>
              <w:t>.8.0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20-12</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#90e</w:t>
            </w:r>
          </w:p>
        </w:tc>
        <w:tc>
          <w:tcPr>
            <w:tcW w:w="108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w:t>
            </w:r>
            <w:r w:rsidRPr="000A0A5F">
              <w:rPr>
                <w:rFonts w:cs="Arial"/>
                <w:color w:val="000000"/>
                <w:sz w:val="16"/>
                <w:szCs w:val="16"/>
                <w:lang w:eastAsia="zh-CN"/>
              </w:rPr>
              <w:t>P-203108</w:t>
            </w:r>
          </w:p>
        </w:tc>
        <w:tc>
          <w:tcPr>
            <w:tcW w:w="524" w:type="dxa"/>
            <w:shd w:val="solid" w:color="FFFFFF" w:fill="auto"/>
          </w:tcPr>
          <w:p w:rsidR="00F82319" w:rsidRPr="000A0A5F" w:rsidRDefault="00F82319" w:rsidP="00F82319">
            <w:pPr>
              <w:pStyle w:val="TAL"/>
              <w:rPr>
                <w:rFonts w:cs="Arial" w:hint="eastAsia"/>
                <w:color w:val="000000"/>
                <w:sz w:val="16"/>
                <w:szCs w:val="16"/>
                <w:lang w:eastAsia="zh-CN"/>
              </w:rPr>
            </w:pPr>
            <w:r w:rsidRPr="000A0A5F">
              <w:rPr>
                <w:rFonts w:cs="Arial" w:hint="eastAsia"/>
                <w:color w:val="000000"/>
                <w:sz w:val="16"/>
                <w:szCs w:val="16"/>
                <w:lang w:eastAsia="zh-CN"/>
              </w:rPr>
              <w:t>02</w:t>
            </w:r>
            <w:r w:rsidRPr="000A0A5F">
              <w:rPr>
                <w:rFonts w:cs="Arial"/>
                <w:color w:val="000000"/>
                <w:sz w:val="16"/>
                <w:szCs w:val="16"/>
                <w:lang w:eastAsia="zh-CN"/>
              </w:rPr>
              <w:t>99</w:t>
            </w:r>
          </w:p>
        </w:tc>
        <w:tc>
          <w:tcPr>
            <w:tcW w:w="424" w:type="dxa"/>
            <w:shd w:val="solid" w:color="FFFFFF" w:fill="auto"/>
          </w:tcPr>
          <w:p w:rsidR="00F82319" w:rsidRPr="000A0A5F" w:rsidRDefault="00F82319" w:rsidP="00F82319">
            <w:pPr>
              <w:pStyle w:val="TAR"/>
              <w:rPr>
                <w:rFonts w:cs="Arial" w:hint="eastAsia"/>
                <w:color w:val="000000"/>
                <w:sz w:val="16"/>
                <w:szCs w:val="16"/>
                <w:lang w:eastAsia="zh-CN"/>
              </w:rPr>
            </w:pPr>
            <w:r w:rsidRPr="000A0A5F">
              <w:rPr>
                <w:rFonts w:cs="Arial" w:hint="eastAsia"/>
                <w:color w:val="000000"/>
                <w:sz w:val="16"/>
                <w:szCs w:val="16"/>
                <w:lang w:eastAsia="zh-CN"/>
              </w:rPr>
              <w:t>1</w:t>
            </w:r>
          </w:p>
        </w:tc>
        <w:tc>
          <w:tcPr>
            <w:tcW w:w="424"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Corrections to MonitoringEventReport</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16</w:t>
            </w:r>
            <w:r w:rsidRPr="000A0A5F">
              <w:rPr>
                <w:rFonts w:cs="Arial"/>
                <w:color w:val="000000"/>
                <w:sz w:val="16"/>
                <w:szCs w:val="16"/>
                <w:lang w:eastAsia="zh-CN"/>
              </w:rPr>
              <w:t>.8.0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20-12</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#90e</w:t>
            </w:r>
          </w:p>
        </w:tc>
        <w:tc>
          <w:tcPr>
            <w:tcW w:w="108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w:t>
            </w:r>
            <w:r w:rsidRPr="000A0A5F">
              <w:rPr>
                <w:rFonts w:cs="Arial"/>
                <w:color w:val="000000"/>
                <w:sz w:val="16"/>
                <w:szCs w:val="16"/>
                <w:lang w:eastAsia="zh-CN"/>
              </w:rPr>
              <w:t>P-203111</w:t>
            </w:r>
          </w:p>
        </w:tc>
        <w:tc>
          <w:tcPr>
            <w:tcW w:w="524" w:type="dxa"/>
            <w:shd w:val="solid" w:color="FFFFFF" w:fill="auto"/>
          </w:tcPr>
          <w:p w:rsidR="00F82319" w:rsidRPr="000A0A5F" w:rsidRDefault="00F82319" w:rsidP="00F82319">
            <w:pPr>
              <w:pStyle w:val="TAL"/>
              <w:rPr>
                <w:rFonts w:cs="Arial" w:hint="eastAsia"/>
                <w:color w:val="000000"/>
                <w:sz w:val="16"/>
                <w:szCs w:val="16"/>
                <w:lang w:eastAsia="zh-CN"/>
              </w:rPr>
            </w:pPr>
            <w:r w:rsidRPr="000A0A5F">
              <w:rPr>
                <w:rFonts w:cs="Arial" w:hint="eastAsia"/>
                <w:color w:val="000000"/>
                <w:sz w:val="16"/>
                <w:szCs w:val="16"/>
                <w:lang w:eastAsia="zh-CN"/>
              </w:rPr>
              <w:t>03</w:t>
            </w:r>
            <w:r w:rsidRPr="000A0A5F">
              <w:rPr>
                <w:rFonts w:cs="Arial"/>
                <w:color w:val="000000"/>
                <w:sz w:val="16"/>
                <w:szCs w:val="16"/>
                <w:lang w:eastAsia="zh-CN"/>
              </w:rPr>
              <w:t>00</w:t>
            </w:r>
          </w:p>
        </w:tc>
        <w:tc>
          <w:tcPr>
            <w:tcW w:w="424" w:type="dxa"/>
            <w:shd w:val="solid" w:color="FFFFFF" w:fill="auto"/>
          </w:tcPr>
          <w:p w:rsidR="00F82319" w:rsidRPr="000A0A5F" w:rsidRDefault="00F82319" w:rsidP="00F82319">
            <w:pPr>
              <w:pStyle w:val="TAR"/>
              <w:rPr>
                <w:rFonts w:cs="Arial" w:hint="eastAsia"/>
                <w:color w:val="000000"/>
                <w:sz w:val="16"/>
                <w:szCs w:val="16"/>
                <w:lang w:eastAsia="zh-CN"/>
              </w:rPr>
            </w:pPr>
            <w:r w:rsidRPr="000A0A5F">
              <w:rPr>
                <w:rFonts w:cs="Arial" w:hint="eastAsia"/>
                <w:color w:val="000000"/>
                <w:sz w:val="16"/>
                <w:szCs w:val="16"/>
                <w:lang w:eastAsia="zh-CN"/>
              </w:rPr>
              <w:t>1</w:t>
            </w:r>
          </w:p>
        </w:tc>
        <w:tc>
          <w:tcPr>
            <w:tcW w:w="424"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Incorrect definition of QosMonitoringInformation</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16</w:t>
            </w:r>
            <w:r w:rsidRPr="000A0A5F">
              <w:rPr>
                <w:rFonts w:cs="Arial"/>
                <w:color w:val="000000"/>
                <w:sz w:val="16"/>
                <w:szCs w:val="16"/>
                <w:lang w:eastAsia="zh-CN"/>
              </w:rPr>
              <w:t>.8.0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20-12</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#90e</w:t>
            </w:r>
          </w:p>
        </w:tc>
        <w:tc>
          <w:tcPr>
            <w:tcW w:w="108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w:t>
            </w:r>
            <w:r w:rsidRPr="000A0A5F">
              <w:rPr>
                <w:rFonts w:cs="Arial"/>
                <w:color w:val="000000"/>
                <w:sz w:val="16"/>
                <w:szCs w:val="16"/>
                <w:lang w:eastAsia="zh-CN"/>
              </w:rPr>
              <w:t>P-203139</w:t>
            </w:r>
          </w:p>
        </w:tc>
        <w:tc>
          <w:tcPr>
            <w:tcW w:w="524" w:type="dxa"/>
            <w:shd w:val="solid" w:color="FFFFFF" w:fill="auto"/>
          </w:tcPr>
          <w:p w:rsidR="00F82319" w:rsidRPr="000A0A5F" w:rsidRDefault="00F82319" w:rsidP="00F82319">
            <w:pPr>
              <w:pStyle w:val="TAL"/>
              <w:rPr>
                <w:rFonts w:cs="Arial" w:hint="eastAsia"/>
                <w:color w:val="000000"/>
                <w:sz w:val="16"/>
                <w:szCs w:val="16"/>
                <w:lang w:eastAsia="zh-CN"/>
              </w:rPr>
            </w:pPr>
            <w:r w:rsidRPr="000A0A5F">
              <w:rPr>
                <w:rFonts w:cs="Arial" w:hint="eastAsia"/>
                <w:color w:val="000000"/>
                <w:sz w:val="16"/>
                <w:szCs w:val="16"/>
                <w:lang w:eastAsia="zh-CN"/>
              </w:rPr>
              <w:t>03</w:t>
            </w:r>
            <w:r w:rsidRPr="000A0A5F">
              <w:rPr>
                <w:rFonts w:cs="Arial"/>
                <w:color w:val="000000"/>
                <w:sz w:val="16"/>
                <w:szCs w:val="16"/>
                <w:lang w:eastAsia="zh-CN"/>
              </w:rPr>
              <w:t>01</w:t>
            </w:r>
          </w:p>
        </w:tc>
        <w:tc>
          <w:tcPr>
            <w:tcW w:w="424" w:type="dxa"/>
            <w:shd w:val="solid" w:color="FFFFFF" w:fill="auto"/>
          </w:tcPr>
          <w:p w:rsidR="00F82319" w:rsidRPr="000A0A5F" w:rsidRDefault="00F82319" w:rsidP="00F82319">
            <w:pPr>
              <w:pStyle w:val="TAR"/>
              <w:rPr>
                <w:rFonts w:cs="Arial" w:hint="eastAsia"/>
                <w:color w:val="000000"/>
                <w:sz w:val="16"/>
                <w:szCs w:val="16"/>
                <w:lang w:eastAsia="zh-CN"/>
              </w:rPr>
            </w:pPr>
            <w:r w:rsidRPr="000A0A5F">
              <w:rPr>
                <w:rFonts w:cs="Arial" w:hint="eastAsia"/>
                <w:color w:val="000000"/>
                <w:sz w:val="16"/>
                <w:szCs w:val="16"/>
                <w:lang w:eastAsia="zh-CN"/>
              </w:rPr>
              <w:t>1</w:t>
            </w:r>
          </w:p>
        </w:tc>
        <w:tc>
          <w:tcPr>
            <w:tcW w:w="424"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Callback URI correction</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16</w:t>
            </w:r>
            <w:r w:rsidRPr="000A0A5F">
              <w:rPr>
                <w:rFonts w:cs="Arial"/>
                <w:color w:val="000000"/>
                <w:sz w:val="16"/>
                <w:szCs w:val="16"/>
                <w:lang w:eastAsia="zh-CN"/>
              </w:rPr>
              <w:t>.8.0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20-12</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#90e</w:t>
            </w:r>
          </w:p>
        </w:tc>
        <w:tc>
          <w:tcPr>
            <w:tcW w:w="108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w:t>
            </w:r>
            <w:r w:rsidRPr="000A0A5F">
              <w:rPr>
                <w:rFonts w:cs="Arial"/>
                <w:color w:val="000000"/>
                <w:sz w:val="16"/>
                <w:szCs w:val="16"/>
                <w:lang w:eastAsia="zh-CN"/>
              </w:rPr>
              <w:t>P-203133</w:t>
            </w:r>
          </w:p>
        </w:tc>
        <w:tc>
          <w:tcPr>
            <w:tcW w:w="524" w:type="dxa"/>
            <w:shd w:val="solid" w:color="FFFFFF" w:fill="auto"/>
          </w:tcPr>
          <w:p w:rsidR="00F82319" w:rsidRPr="000A0A5F" w:rsidRDefault="00F82319" w:rsidP="00F82319">
            <w:pPr>
              <w:pStyle w:val="TAL"/>
              <w:rPr>
                <w:rFonts w:cs="Arial" w:hint="eastAsia"/>
                <w:color w:val="000000"/>
                <w:sz w:val="16"/>
                <w:szCs w:val="16"/>
                <w:lang w:eastAsia="zh-CN"/>
              </w:rPr>
            </w:pPr>
            <w:r w:rsidRPr="000A0A5F">
              <w:rPr>
                <w:rFonts w:cs="Arial" w:hint="eastAsia"/>
                <w:color w:val="000000"/>
                <w:sz w:val="16"/>
                <w:szCs w:val="16"/>
                <w:lang w:eastAsia="zh-CN"/>
              </w:rPr>
              <w:t>0305</w:t>
            </w:r>
          </w:p>
        </w:tc>
        <w:tc>
          <w:tcPr>
            <w:tcW w:w="424" w:type="dxa"/>
            <w:shd w:val="solid" w:color="FFFFFF" w:fill="auto"/>
          </w:tcPr>
          <w:p w:rsidR="00F82319" w:rsidRPr="000A0A5F" w:rsidRDefault="00F82319" w:rsidP="00F82319">
            <w:pPr>
              <w:pStyle w:val="TAR"/>
              <w:rPr>
                <w:rFonts w:cs="Arial" w:hint="eastAsia"/>
                <w:color w:val="000000"/>
                <w:sz w:val="16"/>
                <w:szCs w:val="16"/>
                <w:lang w:eastAsia="zh-CN"/>
              </w:rPr>
            </w:pP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A</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Successful response code for Event Notification</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16</w:t>
            </w:r>
            <w:r w:rsidRPr="000A0A5F">
              <w:rPr>
                <w:rFonts w:cs="Arial"/>
                <w:color w:val="000000"/>
                <w:sz w:val="16"/>
                <w:szCs w:val="16"/>
                <w:lang w:eastAsia="zh-CN"/>
              </w:rPr>
              <w:t>.8.0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20-12</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#90e</w:t>
            </w:r>
          </w:p>
        </w:tc>
        <w:tc>
          <w:tcPr>
            <w:tcW w:w="108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w:t>
            </w:r>
            <w:r w:rsidRPr="000A0A5F">
              <w:rPr>
                <w:rFonts w:cs="Arial"/>
                <w:color w:val="000000"/>
                <w:sz w:val="16"/>
                <w:szCs w:val="16"/>
                <w:lang w:eastAsia="zh-CN"/>
              </w:rPr>
              <w:t>P-203133</w:t>
            </w:r>
          </w:p>
        </w:tc>
        <w:tc>
          <w:tcPr>
            <w:tcW w:w="524" w:type="dxa"/>
            <w:shd w:val="solid" w:color="FFFFFF" w:fill="auto"/>
          </w:tcPr>
          <w:p w:rsidR="00F82319" w:rsidRPr="000A0A5F" w:rsidRDefault="00F82319" w:rsidP="00F82319">
            <w:pPr>
              <w:pStyle w:val="TAL"/>
              <w:rPr>
                <w:rFonts w:cs="Arial" w:hint="eastAsia"/>
                <w:color w:val="000000"/>
                <w:sz w:val="16"/>
                <w:szCs w:val="16"/>
                <w:lang w:eastAsia="zh-CN"/>
              </w:rPr>
            </w:pPr>
            <w:r w:rsidRPr="000A0A5F">
              <w:rPr>
                <w:rFonts w:cs="Arial" w:hint="eastAsia"/>
                <w:color w:val="000000"/>
                <w:sz w:val="16"/>
                <w:szCs w:val="16"/>
                <w:lang w:eastAsia="zh-CN"/>
              </w:rPr>
              <w:t>0307</w:t>
            </w:r>
          </w:p>
        </w:tc>
        <w:tc>
          <w:tcPr>
            <w:tcW w:w="424" w:type="dxa"/>
            <w:shd w:val="solid" w:color="FFFFFF" w:fill="auto"/>
          </w:tcPr>
          <w:p w:rsidR="00F82319" w:rsidRPr="000A0A5F" w:rsidRDefault="00F82319" w:rsidP="00F82319">
            <w:pPr>
              <w:pStyle w:val="TAR"/>
              <w:rPr>
                <w:rFonts w:cs="Arial" w:hint="eastAsia"/>
                <w:color w:val="000000"/>
                <w:sz w:val="16"/>
                <w:szCs w:val="16"/>
                <w:lang w:eastAsia="zh-CN"/>
              </w:rPr>
            </w:pPr>
            <w:r w:rsidRPr="000A0A5F">
              <w:rPr>
                <w:rFonts w:cs="Arial" w:hint="eastAsia"/>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hint="eastAsia"/>
                <w:color w:val="000000"/>
                <w:sz w:val="16"/>
                <w:szCs w:val="16"/>
                <w:lang w:eastAsia="zh-CN"/>
              </w:rPr>
              <w:t>A</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Failure response for SCEF northbound APIs</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16</w:t>
            </w:r>
            <w:r w:rsidRPr="000A0A5F">
              <w:rPr>
                <w:rFonts w:cs="Arial"/>
                <w:color w:val="000000"/>
                <w:sz w:val="16"/>
                <w:szCs w:val="16"/>
                <w:lang w:eastAsia="zh-CN"/>
              </w:rPr>
              <w:t>.8.0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20-12</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#90e</w:t>
            </w:r>
          </w:p>
        </w:tc>
        <w:tc>
          <w:tcPr>
            <w:tcW w:w="108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w:t>
            </w:r>
            <w:r w:rsidRPr="000A0A5F">
              <w:rPr>
                <w:rFonts w:cs="Arial"/>
                <w:color w:val="000000"/>
                <w:sz w:val="16"/>
                <w:szCs w:val="16"/>
                <w:lang w:eastAsia="zh-CN"/>
              </w:rPr>
              <w:t>P-203109</w:t>
            </w:r>
          </w:p>
        </w:tc>
        <w:tc>
          <w:tcPr>
            <w:tcW w:w="524" w:type="dxa"/>
            <w:shd w:val="solid" w:color="FFFFFF" w:fill="auto"/>
          </w:tcPr>
          <w:p w:rsidR="00F82319" w:rsidRPr="000A0A5F" w:rsidRDefault="00F82319" w:rsidP="00F82319">
            <w:pPr>
              <w:pStyle w:val="TAL"/>
              <w:rPr>
                <w:rFonts w:cs="Arial" w:hint="eastAsia"/>
                <w:color w:val="000000"/>
                <w:sz w:val="16"/>
                <w:szCs w:val="16"/>
                <w:lang w:eastAsia="zh-CN"/>
              </w:rPr>
            </w:pPr>
            <w:r w:rsidRPr="000A0A5F">
              <w:rPr>
                <w:rFonts w:cs="Arial" w:hint="eastAsia"/>
                <w:color w:val="000000"/>
                <w:sz w:val="16"/>
                <w:szCs w:val="16"/>
                <w:lang w:eastAsia="zh-CN"/>
              </w:rPr>
              <w:t>0308</w:t>
            </w:r>
          </w:p>
        </w:tc>
        <w:tc>
          <w:tcPr>
            <w:tcW w:w="424" w:type="dxa"/>
            <w:shd w:val="solid" w:color="FFFFFF" w:fill="auto"/>
          </w:tcPr>
          <w:p w:rsidR="00F82319" w:rsidRPr="000A0A5F" w:rsidRDefault="00F82319" w:rsidP="00F82319">
            <w:pPr>
              <w:pStyle w:val="TAR"/>
              <w:rPr>
                <w:rFonts w:cs="Arial" w:hint="eastAsia"/>
                <w:color w:val="000000"/>
                <w:sz w:val="16"/>
                <w:szCs w:val="16"/>
                <w:lang w:eastAsia="zh-CN"/>
              </w:rPr>
            </w:pPr>
          </w:p>
        </w:tc>
        <w:tc>
          <w:tcPr>
            <w:tcW w:w="424"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Correction on Location Service via NEF</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16</w:t>
            </w:r>
            <w:r w:rsidRPr="000A0A5F">
              <w:rPr>
                <w:rFonts w:cs="Arial"/>
                <w:color w:val="000000"/>
                <w:sz w:val="16"/>
                <w:szCs w:val="16"/>
                <w:lang w:eastAsia="zh-CN"/>
              </w:rPr>
              <w:t>.8.0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20-12</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#90e</w:t>
            </w:r>
          </w:p>
        </w:tc>
        <w:tc>
          <w:tcPr>
            <w:tcW w:w="108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w:t>
            </w:r>
            <w:r w:rsidRPr="000A0A5F">
              <w:rPr>
                <w:rFonts w:cs="Arial"/>
                <w:color w:val="000000"/>
                <w:sz w:val="16"/>
                <w:szCs w:val="16"/>
                <w:lang w:eastAsia="zh-CN"/>
              </w:rPr>
              <w:t>P-203131</w:t>
            </w:r>
          </w:p>
        </w:tc>
        <w:tc>
          <w:tcPr>
            <w:tcW w:w="524" w:type="dxa"/>
            <w:shd w:val="solid" w:color="FFFFFF" w:fill="auto"/>
          </w:tcPr>
          <w:p w:rsidR="00F82319" w:rsidRPr="000A0A5F" w:rsidRDefault="00F82319" w:rsidP="00F82319">
            <w:pPr>
              <w:pStyle w:val="TAL"/>
              <w:rPr>
                <w:rFonts w:cs="Arial" w:hint="eastAsia"/>
                <w:color w:val="000000"/>
                <w:sz w:val="16"/>
                <w:szCs w:val="16"/>
                <w:lang w:eastAsia="zh-CN"/>
              </w:rPr>
            </w:pPr>
            <w:r w:rsidRPr="000A0A5F">
              <w:rPr>
                <w:rFonts w:cs="Arial" w:hint="eastAsia"/>
                <w:color w:val="000000"/>
                <w:sz w:val="16"/>
                <w:szCs w:val="16"/>
                <w:lang w:eastAsia="zh-CN"/>
              </w:rPr>
              <w:t>0310</w:t>
            </w:r>
          </w:p>
        </w:tc>
        <w:tc>
          <w:tcPr>
            <w:tcW w:w="424" w:type="dxa"/>
            <w:shd w:val="solid" w:color="FFFFFF" w:fill="auto"/>
          </w:tcPr>
          <w:p w:rsidR="00F82319" w:rsidRPr="000A0A5F" w:rsidRDefault="00F82319" w:rsidP="00F82319">
            <w:pPr>
              <w:pStyle w:val="TAR"/>
              <w:rPr>
                <w:rFonts w:cs="Arial" w:hint="eastAsia"/>
                <w:color w:val="000000"/>
                <w:sz w:val="16"/>
                <w:szCs w:val="16"/>
                <w:lang w:eastAsia="zh-CN"/>
              </w:rPr>
            </w:pPr>
            <w:r w:rsidRPr="000A0A5F">
              <w:rPr>
                <w:rFonts w:cs="Arial" w:hint="eastAsia"/>
                <w:color w:val="000000"/>
                <w:sz w:val="16"/>
                <w:szCs w:val="16"/>
                <w:lang w:eastAsia="zh-CN"/>
              </w:rPr>
              <w:t>1</w:t>
            </w:r>
          </w:p>
        </w:tc>
        <w:tc>
          <w:tcPr>
            <w:tcW w:w="424"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Protocol or application errors</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16</w:t>
            </w:r>
            <w:r w:rsidRPr="000A0A5F">
              <w:rPr>
                <w:rFonts w:cs="Arial"/>
                <w:color w:val="000000"/>
                <w:sz w:val="16"/>
                <w:szCs w:val="16"/>
                <w:lang w:eastAsia="zh-CN"/>
              </w:rPr>
              <w:t>.8.0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20-12</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#90e</w:t>
            </w:r>
          </w:p>
        </w:tc>
        <w:tc>
          <w:tcPr>
            <w:tcW w:w="108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w:t>
            </w:r>
            <w:r w:rsidRPr="000A0A5F">
              <w:rPr>
                <w:rFonts w:cs="Arial"/>
                <w:color w:val="000000"/>
                <w:sz w:val="16"/>
                <w:szCs w:val="16"/>
                <w:lang w:eastAsia="zh-CN"/>
              </w:rPr>
              <w:t>P-203133</w:t>
            </w:r>
          </w:p>
        </w:tc>
        <w:tc>
          <w:tcPr>
            <w:tcW w:w="524" w:type="dxa"/>
            <w:shd w:val="solid" w:color="FFFFFF" w:fill="auto"/>
          </w:tcPr>
          <w:p w:rsidR="00F82319" w:rsidRPr="000A0A5F" w:rsidRDefault="00F82319" w:rsidP="00F82319">
            <w:pPr>
              <w:pStyle w:val="TAL"/>
              <w:rPr>
                <w:rFonts w:cs="Arial" w:hint="eastAsia"/>
                <w:color w:val="000000"/>
                <w:sz w:val="16"/>
                <w:szCs w:val="16"/>
                <w:lang w:eastAsia="zh-CN"/>
              </w:rPr>
            </w:pPr>
            <w:r w:rsidRPr="000A0A5F">
              <w:rPr>
                <w:rFonts w:cs="Arial" w:hint="eastAsia"/>
                <w:color w:val="000000"/>
                <w:sz w:val="16"/>
                <w:szCs w:val="16"/>
                <w:lang w:eastAsia="zh-CN"/>
              </w:rPr>
              <w:t>0312</w:t>
            </w:r>
          </w:p>
        </w:tc>
        <w:tc>
          <w:tcPr>
            <w:tcW w:w="424" w:type="dxa"/>
            <w:shd w:val="solid" w:color="FFFFFF" w:fill="auto"/>
          </w:tcPr>
          <w:p w:rsidR="00F82319" w:rsidRPr="000A0A5F" w:rsidRDefault="00F82319" w:rsidP="00F82319">
            <w:pPr>
              <w:pStyle w:val="TAR"/>
              <w:rPr>
                <w:rFonts w:cs="Arial" w:hint="eastAsia"/>
                <w:color w:val="000000"/>
                <w:sz w:val="16"/>
                <w:szCs w:val="16"/>
                <w:lang w:eastAsia="zh-CN"/>
              </w:rPr>
            </w:pPr>
            <w:r w:rsidRPr="000A0A5F">
              <w:rPr>
                <w:rFonts w:cs="Arial" w:hint="eastAsia"/>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hint="eastAsia"/>
                <w:color w:val="000000"/>
                <w:sz w:val="16"/>
                <w:szCs w:val="16"/>
                <w:lang w:eastAsia="zh-CN"/>
              </w:rPr>
              <w:t>A</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Solve IP address overlapping for Chargeable Party</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16</w:t>
            </w:r>
            <w:r w:rsidRPr="000A0A5F">
              <w:rPr>
                <w:rFonts w:cs="Arial"/>
                <w:color w:val="000000"/>
                <w:sz w:val="16"/>
                <w:szCs w:val="16"/>
                <w:lang w:eastAsia="zh-CN"/>
              </w:rPr>
              <w:t>.8.0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20-12</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#90e</w:t>
            </w:r>
          </w:p>
        </w:tc>
        <w:tc>
          <w:tcPr>
            <w:tcW w:w="108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w:t>
            </w:r>
            <w:r w:rsidRPr="000A0A5F">
              <w:rPr>
                <w:rFonts w:cs="Arial"/>
                <w:color w:val="000000"/>
                <w:sz w:val="16"/>
                <w:szCs w:val="16"/>
                <w:lang w:eastAsia="zh-CN"/>
              </w:rPr>
              <w:t>P-203100</w:t>
            </w:r>
          </w:p>
        </w:tc>
        <w:tc>
          <w:tcPr>
            <w:tcW w:w="524" w:type="dxa"/>
            <w:shd w:val="solid" w:color="FFFFFF" w:fill="auto"/>
          </w:tcPr>
          <w:p w:rsidR="00F82319" w:rsidRPr="000A0A5F" w:rsidRDefault="00F82319" w:rsidP="00F82319">
            <w:pPr>
              <w:pStyle w:val="TAL"/>
              <w:rPr>
                <w:rFonts w:cs="Arial" w:hint="eastAsia"/>
                <w:color w:val="000000"/>
                <w:sz w:val="16"/>
                <w:szCs w:val="16"/>
                <w:lang w:eastAsia="zh-CN"/>
              </w:rPr>
            </w:pPr>
            <w:r w:rsidRPr="000A0A5F">
              <w:rPr>
                <w:rFonts w:cs="Arial" w:hint="eastAsia"/>
                <w:color w:val="000000"/>
                <w:sz w:val="16"/>
                <w:szCs w:val="16"/>
                <w:lang w:eastAsia="zh-CN"/>
              </w:rPr>
              <w:t>0314</w:t>
            </w:r>
          </w:p>
        </w:tc>
        <w:tc>
          <w:tcPr>
            <w:tcW w:w="424" w:type="dxa"/>
            <w:shd w:val="solid" w:color="FFFFFF" w:fill="auto"/>
          </w:tcPr>
          <w:p w:rsidR="00F82319" w:rsidRPr="000A0A5F" w:rsidRDefault="00F82319" w:rsidP="00F82319">
            <w:pPr>
              <w:pStyle w:val="TAR"/>
              <w:rPr>
                <w:rFonts w:cs="Arial" w:hint="eastAsia"/>
                <w:color w:val="000000"/>
                <w:sz w:val="16"/>
                <w:szCs w:val="16"/>
                <w:lang w:eastAsia="zh-CN"/>
              </w:rPr>
            </w:pPr>
            <w:r w:rsidRPr="000A0A5F">
              <w:rPr>
                <w:rFonts w:cs="Arial"/>
                <w:color w:val="000000"/>
                <w:sz w:val="16"/>
                <w:szCs w:val="16"/>
                <w:lang w:eastAsia="zh-CN"/>
              </w:rPr>
              <w:t>2</w:t>
            </w:r>
          </w:p>
        </w:tc>
        <w:tc>
          <w:tcPr>
            <w:tcW w:w="424"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A</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Correction to NIDD configuration cancellation procedure</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16</w:t>
            </w:r>
            <w:r w:rsidRPr="000A0A5F">
              <w:rPr>
                <w:rFonts w:cs="Arial"/>
                <w:color w:val="000000"/>
                <w:sz w:val="16"/>
                <w:szCs w:val="16"/>
                <w:lang w:eastAsia="zh-CN"/>
              </w:rPr>
              <w:t>.8.0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20-12</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#90e</w:t>
            </w:r>
          </w:p>
        </w:tc>
        <w:tc>
          <w:tcPr>
            <w:tcW w:w="108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w:t>
            </w:r>
            <w:r w:rsidRPr="000A0A5F">
              <w:rPr>
                <w:rFonts w:cs="Arial"/>
                <w:color w:val="000000"/>
                <w:sz w:val="16"/>
                <w:szCs w:val="16"/>
                <w:lang w:eastAsia="zh-CN"/>
              </w:rPr>
              <w:t>P-203133</w:t>
            </w:r>
          </w:p>
        </w:tc>
        <w:tc>
          <w:tcPr>
            <w:tcW w:w="524" w:type="dxa"/>
            <w:shd w:val="solid" w:color="FFFFFF" w:fill="auto"/>
          </w:tcPr>
          <w:p w:rsidR="00F82319" w:rsidRPr="000A0A5F" w:rsidRDefault="00F82319" w:rsidP="00F82319">
            <w:pPr>
              <w:pStyle w:val="TAL"/>
              <w:rPr>
                <w:rFonts w:cs="Arial" w:hint="eastAsia"/>
                <w:color w:val="000000"/>
                <w:sz w:val="16"/>
                <w:szCs w:val="16"/>
                <w:lang w:eastAsia="zh-CN"/>
              </w:rPr>
            </w:pPr>
            <w:r w:rsidRPr="000A0A5F">
              <w:rPr>
                <w:rFonts w:cs="Arial" w:hint="eastAsia"/>
                <w:color w:val="000000"/>
                <w:sz w:val="16"/>
                <w:szCs w:val="16"/>
                <w:lang w:eastAsia="zh-CN"/>
              </w:rPr>
              <w:t>0316</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hint="eastAsia"/>
                <w:color w:val="000000"/>
                <w:sz w:val="16"/>
                <w:szCs w:val="16"/>
                <w:lang w:eastAsia="zh-CN"/>
              </w:rPr>
              <w:t>1</w:t>
            </w:r>
          </w:p>
        </w:tc>
        <w:tc>
          <w:tcPr>
            <w:tcW w:w="424"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A</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Correction to device triggering recall procedure</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16</w:t>
            </w:r>
            <w:r w:rsidRPr="000A0A5F">
              <w:rPr>
                <w:rFonts w:cs="Arial"/>
                <w:color w:val="000000"/>
                <w:sz w:val="16"/>
                <w:szCs w:val="16"/>
                <w:lang w:eastAsia="zh-CN"/>
              </w:rPr>
              <w:t>.8.0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20-12</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#90e</w:t>
            </w:r>
          </w:p>
        </w:tc>
        <w:tc>
          <w:tcPr>
            <w:tcW w:w="108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w:t>
            </w:r>
            <w:r w:rsidRPr="000A0A5F">
              <w:rPr>
                <w:rFonts w:cs="Arial"/>
                <w:color w:val="000000"/>
                <w:sz w:val="16"/>
                <w:szCs w:val="16"/>
                <w:lang w:eastAsia="zh-CN"/>
              </w:rPr>
              <w:t>P-203152</w:t>
            </w:r>
          </w:p>
        </w:tc>
        <w:tc>
          <w:tcPr>
            <w:tcW w:w="524" w:type="dxa"/>
            <w:shd w:val="solid" w:color="FFFFFF" w:fill="auto"/>
          </w:tcPr>
          <w:p w:rsidR="00F82319" w:rsidRPr="000A0A5F" w:rsidRDefault="00F82319" w:rsidP="00F82319">
            <w:pPr>
              <w:pStyle w:val="TAL"/>
              <w:rPr>
                <w:rFonts w:cs="Arial" w:hint="eastAsia"/>
                <w:color w:val="000000"/>
                <w:sz w:val="16"/>
                <w:szCs w:val="16"/>
                <w:lang w:eastAsia="zh-CN"/>
              </w:rPr>
            </w:pPr>
            <w:r w:rsidRPr="000A0A5F">
              <w:rPr>
                <w:rFonts w:cs="Arial" w:hint="eastAsia"/>
                <w:color w:val="000000"/>
                <w:sz w:val="16"/>
                <w:szCs w:val="16"/>
                <w:lang w:eastAsia="zh-CN"/>
              </w:rPr>
              <w:t>0322</w:t>
            </w:r>
          </w:p>
        </w:tc>
        <w:tc>
          <w:tcPr>
            <w:tcW w:w="424" w:type="dxa"/>
            <w:shd w:val="solid" w:color="FFFFFF" w:fill="auto"/>
          </w:tcPr>
          <w:p w:rsidR="00F82319" w:rsidRPr="000A0A5F" w:rsidRDefault="00F82319" w:rsidP="00F82319">
            <w:pPr>
              <w:pStyle w:val="TAR"/>
              <w:rPr>
                <w:rFonts w:cs="Arial" w:hint="eastAsia"/>
                <w:color w:val="000000"/>
                <w:sz w:val="16"/>
                <w:szCs w:val="16"/>
                <w:lang w:eastAsia="zh-CN"/>
              </w:rPr>
            </w:pPr>
          </w:p>
        </w:tc>
        <w:tc>
          <w:tcPr>
            <w:tcW w:w="424"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Update of OpenAPI version and TS version in externalDocs field</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16</w:t>
            </w:r>
            <w:r w:rsidRPr="000A0A5F">
              <w:rPr>
                <w:rFonts w:cs="Arial"/>
                <w:color w:val="000000"/>
                <w:sz w:val="16"/>
                <w:szCs w:val="16"/>
                <w:lang w:eastAsia="zh-CN"/>
              </w:rPr>
              <w:t>.8.0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20-12</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#90e</w:t>
            </w:r>
          </w:p>
        </w:tc>
        <w:tc>
          <w:tcPr>
            <w:tcW w:w="108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w:t>
            </w:r>
            <w:r w:rsidRPr="000A0A5F">
              <w:rPr>
                <w:rFonts w:cs="Arial"/>
                <w:color w:val="000000"/>
                <w:sz w:val="16"/>
                <w:szCs w:val="16"/>
                <w:lang w:eastAsia="zh-CN"/>
              </w:rPr>
              <w:t>P-203140</w:t>
            </w:r>
          </w:p>
        </w:tc>
        <w:tc>
          <w:tcPr>
            <w:tcW w:w="524" w:type="dxa"/>
            <w:shd w:val="solid" w:color="FFFFFF" w:fill="auto"/>
          </w:tcPr>
          <w:p w:rsidR="00F82319" w:rsidRPr="000A0A5F" w:rsidRDefault="00F82319" w:rsidP="00F82319">
            <w:pPr>
              <w:pStyle w:val="TAL"/>
              <w:rPr>
                <w:rFonts w:cs="Arial" w:hint="eastAsia"/>
                <w:color w:val="000000"/>
                <w:sz w:val="16"/>
                <w:szCs w:val="16"/>
                <w:lang w:eastAsia="zh-CN"/>
              </w:rPr>
            </w:pPr>
            <w:r w:rsidRPr="000A0A5F">
              <w:rPr>
                <w:rFonts w:cs="Arial" w:hint="eastAsia"/>
                <w:color w:val="000000"/>
                <w:sz w:val="16"/>
                <w:szCs w:val="16"/>
                <w:lang w:eastAsia="zh-CN"/>
              </w:rPr>
              <w:t>0</w:t>
            </w:r>
            <w:r w:rsidRPr="000A0A5F">
              <w:rPr>
                <w:rFonts w:cs="Arial"/>
                <w:color w:val="000000"/>
                <w:sz w:val="16"/>
                <w:szCs w:val="16"/>
                <w:lang w:eastAsia="zh-CN"/>
              </w:rPr>
              <w:t>290</w:t>
            </w:r>
          </w:p>
        </w:tc>
        <w:tc>
          <w:tcPr>
            <w:tcW w:w="424" w:type="dxa"/>
            <w:shd w:val="solid" w:color="FFFFFF" w:fill="auto"/>
          </w:tcPr>
          <w:p w:rsidR="00F82319" w:rsidRPr="000A0A5F" w:rsidRDefault="00F82319" w:rsidP="00F82319">
            <w:pPr>
              <w:pStyle w:val="TAR"/>
              <w:rPr>
                <w:rFonts w:cs="Arial" w:hint="eastAsia"/>
                <w:color w:val="000000"/>
                <w:sz w:val="16"/>
                <w:szCs w:val="16"/>
                <w:lang w:eastAsia="zh-CN"/>
              </w:rPr>
            </w:pPr>
          </w:p>
        </w:tc>
        <w:tc>
          <w:tcPr>
            <w:tcW w:w="424"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DateTime Enhancement</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7.0.0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20-12</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#90e</w:t>
            </w:r>
          </w:p>
        </w:tc>
        <w:tc>
          <w:tcPr>
            <w:tcW w:w="108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w:t>
            </w:r>
            <w:r w:rsidRPr="000A0A5F">
              <w:rPr>
                <w:rFonts w:cs="Arial"/>
                <w:color w:val="000000"/>
                <w:sz w:val="16"/>
                <w:szCs w:val="16"/>
                <w:lang w:eastAsia="zh-CN"/>
              </w:rPr>
              <w:t>P-203137</w:t>
            </w:r>
          </w:p>
        </w:tc>
        <w:tc>
          <w:tcPr>
            <w:tcW w:w="524" w:type="dxa"/>
            <w:shd w:val="solid" w:color="FFFFFF" w:fill="auto"/>
          </w:tcPr>
          <w:p w:rsidR="00F82319" w:rsidRPr="000A0A5F" w:rsidRDefault="00F82319" w:rsidP="00F82319">
            <w:pPr>
              <w:pStyle w:val="TAL"/>
              <w:rPr>
                <w:rFonts w:cs="Arial" w:hint="eastAsia"/>
                <w:color w:val="000000"/>
                <w:sz w:val="16"/>
                <w:szCs w:val="16"/>
                <w:lang w:eastAsia="zh-CN"/>
              </w:rPr>
            </w:pPr>
            <w:r w:rsidRPr="000A0A5F">
              <w:rPr>
                <w:rFonts w:cs="Arial" w:hint="eastAsia"/>
                <w:color w:val="000000"/>
                <w:sz w:val="16"/>
                <w:szCs w:val="16"/>
                <w:lang w:eastAsia="zh-CN"/>
              </w:rPr>
              <w:t>0</w:t>
            </w:r>
            <w:r w:rsidRPr="000A0A5F">
              <w:rPr>
                <w:rFonts w:cs="Arial"/>
                <w:color w:val="000000"/>
                <w:sz w:val="16"/>
                <w:szCs w:val="16"/>
                <w:lang w:eastAsia="zh-CN"/>
              </w:rPr>
              <w:t>293</w:t>
            </w:r>
          </w:p>
        </w:tc>
        <w:tc>
          <w:tcPr>
            <w:tcW w:w="424" w:type="dxa"/>
            <w:shd w:val="solid" w:color="FFFFFF" w:fill="auto"/>
          </w:tcPr>
          <w:p w:rsidR="00F82319" w:rsidRPr="000A0A5F" w:rsidRDefault="00F82319" w:rsidP="00F82319">
            <w:pPr>
              <w:pStyle w:val="TAR"/>
              <w:rPr>
                <w:rFonts w:cs="Arial" w:hint="eastAsia"/>
                <w:color w:val="000000"/>
                <w:sz w:val="16"/>
                <w:szCs w:val="16"/>
                <w:lang w:eastAsia="zh-CN"/>
              </w:rPr>
            </w:pPr>
            <w:r w:rsidRPr="000A0A5F">
              <w:rPr>
                <w:rFonts w:cs="Arial" w:hint="eastAsia"/>
                <w:color w:val="000000"/>
                <w:sz w:val="16"/>
                <w:szCs w:val="16"/>
                <w:lang w:eastAsia="zh-CN"/>
              </w:rPr>
              <w:t>1</w:t>
            </w:r>
          </w:p>
        </w:tc>
        <w:tc>
          <w:tcPr>
            <w:tcW w:w="424"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B</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Adding Support for Indicating Serialization Format in RDS</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7.0.0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20-12</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#90e</w:t>
            </w:r>
          </w:p>
        </w:tc>
        <w:tc>
          <w:tcPr>
            <w:tcW w:w="108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w:t>
            </w:r>
            <w:r w:rsidRPr="000A0A5F">
              <w:rPr>
                <w:rFonts w:cs="Arial"/>
                <w:color w:val="000000"/>
                <w:sz w:val="16"/>
                <w:szCs w:val="16"/>
                <w:lang w:eastAsia="zh-CN"/>
              </w:rPr>
              <w:t>P-203153</w:t>
            </w:r>
          </w:p>
        </w:tc>
        <w:tc>
          <w:tcPr>
            <w:tcW w:w="524" w:type="dxa"/>
            <w:shd w:val="solid" w:color="FFFFFF" w:fill="auto"/>
          </w:tcPr>
          <w:p w:rsidR="00F82319" w:rsidRPr="000A0A5F" w:rsidRDefault="00F82319" w:rsidP="00F82319">
            <w:pPr>
              <w:pStyle w:val="TAL"/>
              <w:rPr>
                <w:rFonts w:cs="Arial" w:hint="eastAsia"/>
                <w:color w:val="000000"/>
                <w:sz w:val="16"/>
                <w:szCs w:val="16"/>
                <w:lang w:eastAsia="zh-CN"/>
              </w:rPr>
            </w:pPr>
            <w:r w:rsidRPr="000A0A5F">
              <w:rPr>
                <w:rFonts w:cs="Arial" w:hint="eastAsia"/>
                <w:color w:val="000000"/>
                <w:sz w:val="16"/>
                <w:szCs w:val="16"/>
                <w:lang w:eastAsia="zh-CN"/>
              </w:rPr>
              <w:t>0</w:t>
            </w:r>
            <w:r w:rsidRPr="000A0A5F">
              <w:rPr>
                <w:rFonts w:cs="Arial"/>
                <w:color w:val="000000"/>
                <w:sz w:val="16"/>
                <w:szCs w:val="16"/>
                <w:lang w:eastAsia="zh-CN"/>
              </w:rPr>
              <w:t>323</w:t>
            </w:r>
          </w:p>
        </w:tc>
        <w:tc>
          <w:tcPr>
            <w:tcW w:w="424" w:type="dxa"/>
            <w:shd w:val="solid" w:color="FFFFFF" w:fill="auto"/>
          </w:tcPr>
          <w:p w:rsidR="00F82319" w:rsidRPr="000A0A5F" w:rsidRDefault="00F82319" w:rsidP="00F82319">
            <w:pPr>
              <w:pStyle w:val="TAR"/>
              <w:rPr>
                <w:rFonts w:cs="Arial" w:hint="eastAsia"/>
                <w:color w:val="000000"/>
                <w:sz w:val="16"/>
                <w:szCs w:val="16"/>
                <w:lang w:eastAsia="zh-CN"/>
              </w:rPr>
            </w:pPr>
          </w:p>
        </w:tc>
        <w:tc>
          <w:tcPr>
            <w:tcW w:w="424"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Update of OpenAPI version and TS version in externalDocs field</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7.0.0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20-12</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#90e</w:t>
            </w:r>
          </w:p>
        </w:tc>
        <w:tc>
          <w:tcPr>
            <w:tcW w:w="108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w:t>
            </w:r>
            <w:r w:rsidRPr="000A0A5F">
              <w:rPr>
                <w:rFonts w:cs="Arial"/>
                <w:color w:val="000000"/>
                <w:sz w:val="16"/>
                <w:szCs w:val="16"/>
                <w:lang w:eastAsia="zh-CN"/>
              </w:rPr>
              <w:t>P-203149</w:t>
            </w:r>
          </w:p>
        </w:tc>
        <w:tc>
          <w:tcPr>
            <w:tcW w:w="524" w:type="dxa"/>
            <w:shd w:val="solid" w:color="FFFFFF" w:fill="auto"/>
          </w:tcPr>
          <w:p w:rsidR="00F82319" w:rsidRPr="000A0A5F" w:rsidRDefault="00F82319" w:rsidP="00F82319">
            <w:pPr>
              <w:pStyle w:val="TAL"/>
              <w:rPr>
                <w:rFonts w:cs="Arial" w:hint="eastAsia"/>
                <w:color w:val="000000"/>
                <w:sz w:val="16"/>
                <w:szCs w:val="16"/>
                <w:lang w:eastAsia="zh-CN"/>
              </w:rPr>
            </w:pPr>
            <w:r w:rsidRPr="000A0A5F">
              <w:rPr>
                <w:rFonts w:cs="Arial" w:hint="eastAsia"/>
                <w:color w:val="000000"/>
                <w:sz w:val="16"/>
                <w:szCs w:val="16"/>
                <w:lang w:eastAsia="zh-CN"/>
              </w:rPr>
              <w:t>0</w:t>
            </w:r>
            <w:r w:rsidRPr="000A0A5F">
              <w:rPr>
                <w:rFonts w:cs="Arial"/>
                <w:color w:val="000000"/>
                <w:sz w:val="16"/>
                <w:szCs w:val="16"/>
                <w:lang w:eastAsia="zh-CN"/>
              </w:rPr>
              <w:t>324</w:t>
            </w:r>
          </w:p>
        </w:tc>
        <w:tc>
          <w:tcPr>
            <w:tcW w:w="424" w:type="dxa"/>
            <w:shd w:val="solid" w:color="FFFFFF" w:fill="auto"/>
          </w:tcPr>
          <w:p w:rsidR="00F82319" w:rsidRPr="000A0A5F" w:rsidRDefault="00F82319" w:rsidP="00F82319">
            <w:pPr>
              <w:pStyle w:val="TAR"/>
              <w:rPr>
                <w:rFonts w:cs="Arial" w:hint="eastAsia"/>
                <w:color w:val="000000"/>
                <w:sz w:val="16"/>
                <w:szCs w:val="16"/>
                <w:lang w:eastAsia="zh-CN"/>
              </w:rPr>
            </w:pPr>
          </w:p>
        </w:tc>
        <w:tc>
          <w:tcPr>
            <w:tcW w:w="424"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Faliure authorization result of BDT reference Id for ChargeableParty API request</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7.0.0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21-03</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#91e</w:t>
            </w:r>
          </w:p>
        </w:tc>
        <w:tc>
          <w:tcPr>
            <w:tcW w:w="108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color w:val="000000"/>
                <w:sz w:val="16"/>
                <w:szCs w:val="16"/>
                <w:lang w:eastAsia="zh-CN"/>
              </w:rPr>
              <w:t>CP-210224</w:t>
            </w:r>
          </w:p>
        </w:tc>
        <w:tc>
          <w:tcPr>
            <w:tcW w:w="524" w:type="dxa"/>
            <w:shd w:val="solid" w:color="FFFFFF" w:fill="auto"/>
          </w:tcPr>
          <w:p w:rsidR="00F82319" w:rsidRPr="000A0A5F" w:rsidRDefault="00F82319" w:rsidP="00F82319">
            <w:pPr>
              <w:pStyle w:val="TAL"/>
              <w:rPr>
                <w:rFonts w:cs="Arial" w:hint="eastAsia"/>
                <w:color w:val="000000"/>
                <w:sz w:val="16"/>
                <w:szCs w:val="16"/>
                <w:lang w:eastAsia="zh-CN"/>
              </w:rPr>
            </w:pPr>
            <w:r w:rsidRPr="000A0A5F">
              <w:rPr>
                <w:rFonts w:cs="Arial"/>
                <w:color w:val="000000"/>
                <w:sz w:val="16"/>
                <w:szCs w:val="16"/>
                <w:lang w:eastAsia="zh-CN"/>
              </w:rPr>
              <w:t>0325</w:t>
            </w:r>
          </w:p>
        </w:tc>
        <w:tc>
          <w:tcPr>
            <w:tcW w:w="424" w:type="dxa"/>
            <w:shd w:val="solid" w:color="FFFFFF" w:fill="auto"/>
          </w:tcPr>
          <w:p w:rsidR="00F82319" w:rsidRPr="000A0A5F" w:rsidRDefault="00F82319" w:rsidP="00F82319">
            <w:pPr>
              <w:pStyle w:val="TAR"/>
              <w:rPr>
                <w:rFonts w:cs="Arial" w:hint="eastAsia"/>
                <w:color w:val="000000"/>
                <w:sz w:val="16"/>
                <w:szCs w:val="16"/>
                <w:lang w:eastAsia="zh-CN"/>
              </w:rPr>
            </w:pPr>
          </w:p>
        </w:tc>
        <w:tc>
          <w:tcPr>
            <w:tcW w:w="424"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Clarification of eLCS feature applicability only to 5G</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7.1.0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21-03</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#91e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sz w:val="16"/>
                <w:szCs w:val="16"/>
              </w:rPr>
              <w:t>CP-210210</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0327</w:t>
            </w:r>
          </w:p>
        </w:tc>
        <w:tc>
          <w:tcPr>
            <w:tcW w:w="424" w:type="dxa"/>
            <w:shd w:val="solid" w:color="FFFFFF" w:fill="auto"/>
          </w:tcPr>
          <w:p w:rsidR="00F82319" w:rsidRPr="000A0A5F" w:rsidRDefault="00F82319" w:rsidP="00F82319">
            <w:pPr>
              <w:pStyle w:val="TAR"/>
              <w:rPr>
                <w:rFonts w:cs="Arial" w:hint="eastAsia"/>
                <w:color w:val="000000"/>
                <w:sz w:val="16"/>
                <w:szCs w:val="16"/>
                <w:lang w:eastAsia="zh-CN"/>
              </w:rPr>
            </w:pP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A</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Correct applied QoS reference for QoS not guaranteed</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7.1.0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21-03</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#91e</w:t>
            </w:r>
          </w:p>
        </w:tc>
        <w:tc>
          <w:tcPr>
            <w:tcW w:w="1088" w:type="dxa"/>
            <w:shd w:val="solid" w:color="FFFFFF" w:fill="auto"/>
          </w:tcPr>
          <w:p w:rsidR="00F82319" w:rsidRPr="000A0A5F" w:rsidRDefault="00F82319" w:rsidP="00F82319">
            <w:pPr>
              <w:pStyle w:val="TAC"/>
              <w:rPr>
                <w:sz w:val="16"/>
                <w:szCs w:val="16"/>
              </w:rPr>
            </w:pPr>
            <w:r w:rsidRPr="000A0A5F">
              <w:rPr>
                <w:sz w:val="16"/>
                <w:szCs w:val="16"/>
              </w:rPr>
              <w:t>CP-210210</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0331</w:t>
            </w:r>
          </w:p>
        </w:tc>
        <w:tc>
          <w:tcPr>
            <w:tcW w:w="424" w:type="dxa"/>
            <w:shd w:val="solid" w:color="FFFFFF" w:fill="auto"/>
          </w:tcPr>
          <w:p w:rsidR="00F82319" w:rsidRPr="000A0A5F" w:rsidRDefault="00F82319" w:rsidP="00F82319">
            <w:pPr>
              <w:pStyle w:val="TAR"/>
              <w:rPr>
                <w:rFonts w:cs="Arial" w:hint="eastAsia"/>
                <w:color w:val="000000"/>
                <w:sz w:val="16"/>
                <w:szCs w:val="16"/>
                <w:lang w:eastAsia="zh-CN"/>
              </w:rPr>
            </w:pPr>
            <w:r w:rsidRPr="000A0A5F">
              <w:rPr>
                <w:rFonts w:cs="Arial"/>
                <w:color w:val="000000"/>
                <w:sz w:val="16"/>
                <w:szCs w:val="16"/>
                <w:lang w:eastAsia="zh-CN"/>
              </w:rPr>
              <w:t>2</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A</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Disable UE notifications at changes related to Alternative QoS Profiles</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7.1.0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21-03</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#91e</w:t>
            </w:r>
          </w:p>
        </w:tc>
        <w:tc>
          <w:tcPr>
            <w:tcW w:w="1088" w:type="dxa"/>
            <w:shd w:val="solid" w:color="FFFFFF" w:fill="auto"/>
          </w:tcPr>
          <w:p w:rsidR="00F82319" w:rsidRPr="000A0A5F" w:rsidRDefault="00F82319" w:rsidP="00F82319">
            <w:pPr>
              <w:pStyle w:val="TAC"/>
              <w:rPr>
                <w:sz w:val="16"/>
                <w:szCs w:val="16"/>
              </w:rPr>
            </w:pPr>
            <w:r w:rsidRPr="000A0A5F">
              <w:rPr>
                <w:sz w:val="16"/>
                <w:szCs w:val="16"/>
              </w:rPr>
              <w:t>CP-210207</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0333</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2</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A</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Last known location report</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7.1.0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21-03</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#91e</w:t>
            </w:r>
          </w:p>
        </w:tc>
        <w:tc>
          <w:tcPr>
            <w:tcW w:w="1088" w:type="dxa"/>
            <w:shd w:val="solid" w:color="FFFFFF" w:fill="auto"/>
          </w:tcPr>
          <w:p w:rsidR="00F82319" w:rsidRPr="000A0A5F" w:rsidRDefault="00F82319" w:rsidP="00F82319">
            <w:pPr>
              <w:pStyle w:val="TAC"/>
              <w:rPr>
                <w:sz w:val="16"/>
                <w:szCs w:val="16"/>
              </w:rPr>
            </w:pPr>
            <w:r w:rsidRPr="000A0A5F">
              <w:rPr>
                <w:sz w:val="16"/>
                <w:szCs w:val="16"/>
              </w:rPr>
              <w:t>CP-210207</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0335</w:t>
            </w:r>
          </w:p>
        </w:tc>
        <w:tc>
          <w:tcPr>
            <w:tcW w:w="424" w:type="dxa"/>
            <w:shd w:val="solid" w:color="FFFFFF" w:fill="auto"/>
          </w:tcPr>
          <w:p w:rsidR="00F82319" w:rsidRPr="000A0A5F" w:rsidRDefault="00F82319" w:rsidP="00F82319">
            <w:pPr>
              <w:pStyle w:val="TAR"/>
              <w:rPr>
                <w:rFonts w:cs="Arial"/>
                <w:color w:val="000000"/>
                <w:sz w:val="16"/>
                <w:szCs w:val="16"/>
                <w:lang w:eastAsia="zh-CN"/>
              </w:rPr>
            </w:pP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A</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Default value of accuary</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7.1.0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21-03</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#91e</w:t>
            </w:r>
          </w:p>
        </w:tc>
        <w:tc>
          <w:tcPr>
            <w:tcW w:w="1088" w:type="dxa"/>
            <w:shd w:val="solid" w:color="FFFFFF" w:fill="auto"/>
          </w:tcPr>
          <w:p w:rsidR="00F82319" w:rsidRPr="000A0A5F" w:rsidRDefault="00F82319" w:rsidP="00F82319">
            <w:pPr>
              <w:pStyle w:val="TAC"/>
              <w:rPr>
                <w:sz w:val="16"/>
                <w:szCs w:val="16"/>
              </w:rPr>
            </w:pPr>
            <w:r w:rsidRPr="000A0A5F">
              <w:rPr>
                <w:sz w:val="16"/>
                <w:szCs w:val="16"/>
              </w:rPr>
              <w:t>CP-210207</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0337</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3</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A</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Support Redirection for MonitoringEvent API</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7.1.0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21-03</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#91e</w:t>
            </w:r>
          </w:p>
        </w:tc>
        <w:tc>
          <w:tcPr>
            <w:tcW w:w="108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CP-210219</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0338</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OpenAPI "description" fields in data type definitions</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7.1.0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21-03</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#91e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sz w:val="16"/>
                <w:szCs w:val="16"/>
              </w:rPr>
              <w:t>CP-210218</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0339</w:t>
            </w:r>
          </w:p>
        </w:tc>
        <w:tc>
          <w:tcPr>
            <w:tcW w:w="424" w:type="dxa"/>
            <w:shd w:val="solid" w:color="FFFFFF" w:fill="auto"/>
          </w:tcPr>
          <w:p w:rsidR="00F82319" w:rsidRPr="000A0A5F" w:rsidRDefault="00F82319" w:rsidP="00F82319">
            <w:pPr>
              <w:pStyle w:val="TAR"/>
              <w:rPr>
                <w:rFonts w:cs="Arial"/>
                <w:color w:val="000000"/>
                <w:sz w:val="16"/>
                <w:szCs w:val="16"/>
                <w:lang w:eastAsia="zh-CN"/>
              </w:rPr>
            </w:pP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Update of "description" field for map data types</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7.1.0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21-03</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#91e</w:t>
            </w:r>
          </w:p>
        </w:tc>
        <w:tc>
          <w:tcPr>
            <w:tcW w:w="1088" w:type="dxa"/>
            <w:shd w:val="solid" w:color="FFFFFF" w:fill="auto"/>
          </w:tcPr>
          <w:p w:rsidR="00F82319" w:rsidRPr="000A0A5F" w:rsidRDefault="00F82319" w:rsidP="00F82319">
            <w:pPr>
              <w:pStyle w:val="TAC"/>
              <w:rPr>
                <w:sz w:val="16"/>
                <w:szCs w:val="16"/>
              </w:rPr>
            </w:pPr>
            <w:r w:rsidRPr="000A0A5F">
              <w:rPr>
                <w:sz w:val="16"/>
                <w:szCs w:val="16"/>
              </w:rPr>
              <w:t>CP-210218</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0340</w:t>
            </w:r>
          </w:p>
        </w:tc>
        <w:tc>
          <w:tcPr>
            <w:tcW w:w="424" w:type="dxa"/>
            <w:shd w:val="solid" w:color="FFFFFF" w:fill="auto"/>
          </w:tcPr>
          <w:p w:rsidR="00F82319" w:rsidRPr="000A0A5F" w:rsidRDefault="00F82319" w:rsidP="00F82319">
            <w:pPr>
              <w:pStyle w:val="TAR"/>
              <w:rPr>
                <w:rFonts w:cs="Arial"/>
                <w:color w:val="000000"/>
                <w:sz w:val="16"/>
                <w:szCs w:val="16"/>
                <w:lang w:eastAsia="zh-CN"/>
              </w:rPr>
            </w:pP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OpenAPI reference</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7.1.0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21-03</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#91e</w:t>
            </w:r>
          </w:p>
        </w:tc>
        <w:tc>
          <w:tcPr>
            <w:tcW w:w="1088" w:type="dxa"/>
            <w:shd w:val="solid" w:color="FFFFFF" w:fill="auto"/>
          </w:tcPr>
          <w:p w:rsidR="00F82319" w:rsidRPr="000A0A5F" w:rsidRDefault="00F82319" w:rsidP="00F82319">
            <w:pPr>
              <w:pStyle w:val="TAC"/>
              <w:rPr>
                <w:sz w:val="16"/>
                <w:szCs w:val="16"/>
              </w:rPr>
            </w:pPr>
            <w:r w:rsidRPr="000A0A5F">
              <w:rPr>
                <w:sz w:val="16"/>
                <w:szCs w:val="16"/>
              </w:rPr>
              <w:t>CP-210189</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hint="eastAsia"/>
                <w:color w:val="000000"/>
                <w:sz w:val="16"/>
                <w:szCs w:val="16"/>
                <w:lang w:eastAsia="zh-CN"/>
              </w:rPr>
              <w:t>03</w:t>
            </w:r>
            <w:r w:rsidRPr="000A0A5F">
              <w:rPr>
                <w:rFonts w:cs="Arial"/>
                <w:color w:val="000000"/>
                <w:sz w:val="16"/>
                <w:szCs w:val="16"/>
                <w:lang w:eastAsia="zh-CN"/>
              </w:rPr>
              <w:t>44</w:t>
            </w:r>
          </w:p>
        </w:tc>
        <w:tc>
          <w:tcPr>
            <w:tcW w:w="424" w:type="dxa"/>
            <w:shd w:val="solid" w:color="FFFFFF" w:fill="auto"/>
          </w:tcPr>
          <w:p w:rsidR="00F82319" w:rsidRPr="000A0A5F" w:rsidRDefault="00F82319" w:rsidP="00F82319">
            <w:pPr>
              <w:pStyle w:val="TAR"/>
              <w:rPr>
                <w:rFonts w:cs="Arial"/>
                <w:color w:val="000000"/>
                <w:sz w:val="16"/>
                <w:szCs w:val="16"/>
                <w:lang w:eastAsia="zh-CN"/>
              </w:rPr>
            </w:pP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A</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Correction to AF ID in ECRControl API</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7.1.0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21-03</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#91e</w:t>
            </w:r>
          </w:p>
        </w:tc>
        <w:tc>
          <w:tcPr>
            <w:tcW w:w="1088" w:type="dxa"/>
            <w:shd w:val="solid" w:color="FFFFFF" w:fill="auto"/>
          </w:tcPr>
          <w:p w:rsidR="00F82319" w:rsidRPr="000A0A5F" w:rsidRDefault="00F82319" w:rsidP="00F82319">
            <w:pPr>
              <w:pStyle w:val="TAC"/>
              <w:rPr>
                <w:sz w:val="16"/>
                <w:szCs w:val="16"/>
              </w:rPr>
            </w:pPr>
            <w:r w:rsidRPr="000A0A5F">
              <w:rPr>
                <w:sz w:val="16"/>
                <w:szCs w:val="16"/>
              </w:rPr>
              <w:t>CP-210189</w:t>
            </w:r>
          </w:p>
        </w:tc>
        <w:tc>
          <w:tcPr>
            <w:tcW w:w="524" w:type="dxa"/>
            <w:shd w:val="solid" w:color="FFFFFF" w:fill="auto"/>
          </w:tcPr>
          <w:p w:rsidR="00F82319" w:rsidRPr="000A0A5F" w:rsidRDefault="00F82319" w:rsidP="00F82319">
            <w:pPr>
              <w:pStyle w:val="TAL"/>
              <w:rPr>
                <w:rFonts w:cs="Arial" w:hint="eastAsia"/>
                <w:color w:val="000000"/>
                <w:sz w:val="16"/>
                <w:szCs w:val="16"/>
                <w:lang w:eastAsia="zh-CN"/>
              </w:rPr>
            </w:pPr>
            <w:r w:rsidRPr="000A0A5F">
              <w:rPr>
                <w:rFonts w:cs="Arial"/>
                <w:color w:val="000000"/>
                <w:sz w:val="16"/>
                <w:szCs w:val="16"/>
                <w:lang w:eastAsia="zh-CN"/>
              </w:rPr>
              <w:t>0346</w:t>
            </w:r>
          </w:p>
        </w:tc>
        <w:tc>
          <w:tcPr>
            <w:tcW w:w="424" w:type="dxa"/>
            <w:shd w:val="solid" w:color="FFFFFF" w:fill="auto"/>
          </w:tcPr>
          <w:p w:rsidR="00F82319" w:rsidRPr="000A0A5F" w:rsidRDefault="00F82319" w:rsidP="00F82319">
            <w:pPr>
              <w:pStyle w:val="TAR"/>
              <w:rPr>
                <w:rFonts w:cs="Arial"/>
                <w:color w:val="000000"/>
                <w:sz w:val="16"/>
                <w:szCs w:val="16"/>
                <w:lang w:eastAsia="zh-CN"/>
              </w:rPr>
            </w:pP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A</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Correction to mtcProviderId in ECRControl API</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7.1.0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21-03</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#91e</w:t>
            </w:r>
          </w:p>
        </w:tc>
        <w:tc>
          <w:tcPr>
            <w:tcW w:w="108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CP-210221</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0352</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hint="eastAsia"/>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Removal of invalid tabulations is some attributes description in the MonitoringEvent API OpenAPI file</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7.1.0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21-03</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#91e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CP-210234</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0353</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color w:val="000000"/>
                <w:sz w:val="16"/>
                <w:szCs w:val="16"/>
                <w:lang w:eastAsia="zh-CN"/>
              </w:rPr>
              <w:t>D</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Text style correction</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7.1.0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21-03</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#91e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CP-210231</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0355</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hint="eastAsia"/>
                <w:noProof/>
                <w:sz w:val="16"/>
                <w:szCs w:val="16"/>
                <w:lang w:eastAsia="zh-CN"/>
              </w:rPr>
              <w:t>S</w:t>
            </w:r>
            <w:r w:rsidRPr="000A0A5F">
              <w:rPr>
                <w:noProof/>
                <w:sz w:val="16"/>
                <w:szCs w:val="16"/>
                <w:lang w:eastAsia="zh-CN"/>
              </w:rPr>
              <w:t xml:space="preserve">upported features within </w:t>
            </w:r>
            <w:r w:rsidRPr="000A0A5F">
              <w:rPr>
                <w:sz w:val="16"/>
                <w:szCs w:val="16"/>
              </w:rPr>
              <w:t>ProblemDetails</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7.1.0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21-03</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#91e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CP-210221</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0356</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F82319" w:rsidRPr="000A0A5F" w:rsidRDefault="00F82319" w:rsidP="00F82319">
            <w:pPr>
              <w:pStyle w:val="TAL"/>
              <w:rPr>
                <w:rFonts w:hint="eastAsia"/>
                <w:noProof/>
                <w:sz w:val="16"/>
                <w:szCs w:val="16"/>
                <w:lang w:eastAsia="zh-CN"/>
              </w:rPr>
            </w:pPr>
            <w:r w:rsidRPr="000A0A5F">
              <w:rPr>
                <w:rFonts w:cs="Arial"/>
                <w:color w:val="000000"/>
                <w:sz w:val="16"/>
                <w:szCs w:val="16"/>
                <w:lang w:eastAsia="zh-CN"/>
              </w:rPr>
              <w:t>Supported features within ProblemDetails</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7.1.0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21-03</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#91e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CP-210234</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0359</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Notification URI Correction for AsSessionWithQoS API</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7.1.0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21-03</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#91e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sz w:val="16"/>
                <w:szCs w:val="16"/>
              </w:rPr>
              <w:t>CP-210207</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0361</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A</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Support Redirection for NIDD API</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7.1.0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21-03</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#91e</w:t>
            </w:r>
          </w:p>
        </w:tc>
        <w:tc>
          <w:tcPr>
            <w:tcW w:w="1088" w:type="dxa"/>
            <w:shd w:val="solid" w:color="FFFFFF" w:fill="auto"/>
          </w:tcPr>
          <w:p w:rsidR="00F82319" w:rsidRPr="000A0A5F" w:rsidRDefault="00F82319" w:rsidP="00F82319">
            <w:pPr>
              <w:pStyle w:val="TAC"/>
              <w:rPr>
                <w:sz w:val="16"/>
                <w:szCs w:val="16"/>
              </w:rPr>
            </w:pPr>
            <w:r w:rsidRPr="000A0A5F">
              <w:rPr>
                <w:sz w:val="16"/>
                <w:szCs w:val="16"/>
              </w:rPr>
              <w:t>CP-210207</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0363</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sz w:val="16"/>
                <w:szCs w:val="16"/>
              </w:rPr>
              <w:t>A</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Support Redirection for ChargeableParty API</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7.1.0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21-03</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#91e</w:t>
            </w:r>
          </w:p>
        </w:tc>
        <w:tc>
          <w:tcPr>
            <w:tcW w:w="1088" w:type="dxa"/>
            <w:shd w:val="solid" w:color="FFFFFF" w:fill="auto"/>
          </w:tcPr>
          <w:p w:rsidR="00F82319" w:rsidRPr="000A0A5F" w:rsidRDefault="00F82319" w:rsidP="00F82319">
            <w:pPr>
              <w:pStyle w:val="TAC"/>
              <w:rPr>
                <w:sz w:val="16"/>
                <w:szCs w:val="16"/>
              </w:rPr>
            </w:pPr>
            <w:r w:rsidRPr="000A0A5F">
              <w:rPr>
                <w:sz w:val="16"/>
                <w:szCs w:val="16"/>
              </w:rPr>
              <w:t>CP-210207</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0365</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sz w:val="16"/>
                <w:szCs w:val="16"/>
              </w:rPr>
            </w:pPr>
            <w:r w:rsidRPr="000A0A5F">
              <w:rPr>
                <w:sz w:val="16"/>
                <w:szCs w:val="16"/>
              </w:rPr>
              <w:t>A</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Support Redirection for CpProvisioning API</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7.1.0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21-03</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#91e</w:t>
            </w:r>
          </w:p>
        </w:tc>
        <w:tc>
          <w:tcPr>
            <w:tcW w:w="1088" w:type="dxa"/>
            <w:shd w:val="solid" w:color="FFFFFF" w:fill="auto"/>
          </w:tcPr>
          <w:p w:rsidR="00F82319" w:rsidRPr="000A0A5F" w:rsidRDefault="00F82319" w:rsidP="00F82319">
            <w:pPr>
              <w:pStyle w:val="TAC"/>
              <w:rPr>
                <w:sz w:val="16"/>
                <w:szCs w:val="16"/>
              </w:rPr>
            </w:pPr>
            <w:r w:rsidRPr="000A0A5F">
              <w:rPr>
                <w:sz w:val="16"/>
                <w:szCs w:val="16"/>
              </w:rPr>
              <w:t>CP-210207</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0367</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sz w:val="16"/>
                <w:szCs w:val="16"/>
              </w:rPr>
            </w:pPr>
            <w:r w:rsidRPr="000A0A5F">
              <w:rPr>
                <w:sz w:val="16"/>
                <w:szCs w:val="16"/>
              </w:rPr>
              <w:t>A</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Support Redirection for DeviceTriggering API</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7.1.0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21-03</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#91e</w:t>
            </w:r>
          </w:p>
        </w:tc>
        <w:tc>
          <w:tcPr>
            <w:tcW w:w="1088" w:type="dxa"/>
            <w:shd w:val="solid" w:color="FFFFFF" w:fill="auto"/>
          </w:tcPr>
          <w:p w:rsidR="00F82319" w:rsidRPr="000A0A5F" w:rsidRDefault="00F82319" w:rsidP="00F82319">
            <w:pPr>
              <w:pStyle w:val="TAC"/>
              <w:rPr>
                <w:sz w:val="16"/>
                <w:szCs w:val="16"/>
              </w:rPr>
            </w:pPr>
            <w:r w:rsidRPr="000A0A5F">
              <w:rPr>
                <w:sz w:val="16"/>
                <w:szCs w:val="16"/>
              </w:rPr>
              <w:t>CP-210208</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0369</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sz w:val="16"/>
                <w:szCs w:val="16"/>
              </w:rPr>
            </w:pPr>
            <w:r w:rsidRPr="000A0A5F">
              <w:rPr>
                <w:sz w:val="16"/>
                <w:szCs w:val="16"/>
              </w:rPr>
              <w:t>A</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Support Redirection for AsSessionWithQoS API</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7.1.0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21-03</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#91e</w:t>
            </w:r>
          </w:p>
        </w:tc>
        <w:tc>
          <w:tcPr>
            <w:tcW w:w="1088" w:type="dxa"/>
            <w:shd w:val="solid" w:color="FFFFFF" w:fill="auto"/>
          </w:tcPr>
          <w:p w:rsidR="00F82319" w:rsidRPr="000A0A5F" w:rsidRDefault="00F82319" w:rsidP="00F82319">
            <w:pPr>
              <w:pStyle w:val="TAC"/>
              <w:rPr>
                <w:sz w:val="16"/>
                <w:szCs w:val="16"/>
              </w:rPr>
            </w:pPr>
            <w:r w:rsidRPr="000A0A5F">
              <w:rPr>
                <w:sz w:val="16"/>
                <w:szCs w:val="16"/>
              </w:rPr>
              <w:t>CP-210208</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0371</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sz w:val="16"/>
                <w:szCs w:val="16"/>
              </w:rPr>
            </w:pPr>
            <w:r w:rsidRPr="000A0A5F">
              <w:rPr>
                <w:sz w:val="16"/>
                <w:szCs w:val="16"/>
              </w:rPr>
              <w:t>A</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Support Redirection for ECRControl API</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7.1.0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21-03</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#91e</w:t>
            </w:r>
          </w:p>
        </w:tc>
        <w:tc>
          <w:tcPr>
            <w:tcW w:w="1088" w:type="dxa"/>
            <w:shd w:val="solid" w:color="FFFFFF" w:fill="auto"/>
          </w:tcPr>
          <w:p w:rsidR="00F82319" w:rsidRPr="000A0A5F" w:rsidRDefault="00F82319" w:rsidP="00F82319">
            <w:pPr>
              <w:pStyle w:val="TAC"/>
              <w:rPr>
                <w:sz w:val="16"/>
                <w:szCs w:val="16"/>
              </w:rPr>
            </w:pPr>
            <w:r w:rsidRPr="000A0A5F">
              <w:rPr>
                <w:sz w:val="16"/>
                <w:szCs w:val="16"/>
              </w:rPr>
              <w:t>CP-210208</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0373</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sz w:val="16"/>
                <w:szCs w:val="16"/>
              </w:rPr>
            </w:pPr>
            <w:r w:rsidRPr="000A0A5F">
              <w:rPr>
                <w:sz w:val="16"/>
                <w:szCs w:val="16"/>
              </w:rPr>
              <w:t>A</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Support Redirection for MsisdnLessMoSms API</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7.1.0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21-03</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#91e</w:t>
            </w:r>
          </w:p>
        </w:tc>
        <w:tc>
          <w:tcPr>
            <w:tcW w:w="1088" w:type="dxa"/>
            <w:shd w:val="solid" w:color="FFFFFF" w:fill="auto"/>
          </w:tcPr>
          <w:p w:rsidR="00F82319" w:rsidRPr="000A0A5F" w:rsidRDefault="00F82319" w:rsidP="00F82319">
            <w:pPr>
              <w:pStyle w:val="TAC"/>
              <w:rPr>
                <w:sz w:val="16"/>
                <w:szCs w:val="16"/>
              </w:rPr>
            </w:pPr>
            <w:r w:rsidRPr="000A0A5F">
              <w:rPr>
                <w:sz w:val="16"/>
                <w:szCs w:val="16"/>
              </w:rPr>
              <w:t>CP-210208</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0375</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sz w:val="16"/>
                <w:szCs w:val="16"/>
              </w:rPr>
            </w:pPr>
            <w:r w:rsidRPr="000A0A5F">
              <w:rPr>
                <w:sz w:val="16"/>
                <w:szCs w:val="16"/>
              </w:rPr>
              <w:t>A</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Support Redirection for NpConfiguration API</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7.1.0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21-03</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#91e</w:t>
            </w:r>
          </w:p>
        </w:tc>
        <w:tc>
          <w:tcPr>
            <w:tcW w:w="1088" w:type="dxa"/>
            <w:shd w:val="solid" w:color="FFFFFF" w:fill="auto"/>
          </w:tcPr>
          <w:p w:rsidR="00F82319" w:rsidRPr="000A0A5F" w:rsidRDefault="00F82319" w:rsidP="00F82319">
            <w:pPr>
              <w:pStyle w:val="TAC"/>
              <w:rPr>
                <w:sz w:val="16"/>
                <w:szCs w:val="16"/>
              </w:rPr>
            </w:pPr>
            <w:r w:rsidRPr="000A0A5F">
              <w:rPr>
                <w:sz w:val="16"/>
                <w:szCs w:val="16"/>
              </w:rPr>
              <w:t>CP-210208</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0377</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sz w:val="16"/>
                <w:szCs w:val="16"/>
              </w:rPr>
            </w:pPr>
            <w:r w:rsidRPr="000A0A5F">
              <w:rPr>
                <w:sz w:val="16"/>
                <w:szCs w:val="16"/>
              </w:rPr>
              <w:t>A</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Support Redirection for PfdManagement API</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7.1.0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21-03</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#91e</w:t>
            </w:r>
          </w:p>
        </w:tc>
        <w:tc>
          <w:tcPr>
            <w:tcW w:w="1088" w:type="dxa"/>
            <w:shd w:val="solid" w:color="FFFFFF" w:fill="auto"/>
          </w:tcPr>
          <w:p w:rsidR="00F82319" w:rsidRPr="000A0A5F" w:rsidRDefault="00F82319" w:rsidP="00F82319">
            <w:pPr>
              <w:pStyle w:val="TAC"/>
              <w:rPr>
                <w:sz w:val="16"/>
                <w:szCs w:val="16"/>
              </w:rPr>
            </w:pPr>
            <w:r w:rsidRPr="000A0A5F">
              <w:rPr>
                <w:sz w:val="16"/>
                <w:szCs w:val="16"/>
              </w:rPr>
              <w:t>CP-210208</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0379</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sz w:val="16"/>
                <w:szCs w:val="16"/>
              </w:rPr>
            </w:pPr>
            <w:r w:rsidRPr="000A0A5F">
              <w:rPr>
                <w:sz w:val="16"/>
                <w:szCs w:val="16"/>
              </w:rPr>
              <w:t>A</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Support Redirection for RacsParameterProvisioning API</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7.1.0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21-03</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#91e</w:t>
            </w:r>
          </w:p>
        </w:tc>
        <w:tc>
          <w:tcPr>
            <w:tcW w:w="1088" w:type="dxa"/>
            <w:shd w:val="solid" w:color="FFFFFF" w:fill="auto"/>
          </w:tcPr>
          <w:p w:rsidR="00F82319" w:rsidRPr="000A0A5F" w:rsidRDefault="00F82319" w:rsidP="00F82319">
            <w:pPr>
              <w:pStyle w:val="TAC"/>
              <w:rPr>
                <w:sz w:val="16"/>
                <w:szCs w:val="16"/>
              </w:rPr>
            </w:pPr>
            <w:r w:rsidRPr="000A0A5F">
              <w:rPr>
                <w:sz w:val="16"/>
                <w:szCs w:val="16"/>
              </w:rPr>
              <w:t>CP-210208</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0381</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sz w:val="16"/>
                <w:szCs w:val="16"/>
              </w:rPr>
            </w:pPr>
            <w:r w:rsidRPr="000A0A5F">
              <w:rPr>
                <w:sz w:val="16"/>
                <w:szCs w:val="16"/>
              </w:rPr>
              <w:t>A</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Support Redirection for ResourceManagementOfBdt API</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7.1.0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21-03</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#91e</w:t>
            </w:r>
          </w:p>
        </w:tc>
        <w:tc>
          <w:tcPr>
            <w:tcW w:w="108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CP-210209</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0383</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A</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Usage threshold update</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7.1.0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21-03</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#91e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CP-210248</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0385</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2</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A</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Updates to Location Failure Cause</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7.1.0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21-03</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#91e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CP-210212</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0387</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A</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Resource allocation status</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7.1.0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21-03</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#91e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CP-210240</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0389</w:t>
            </w:r>
          </w:p>
        </w:tc>
        <w:tc>
          <w:tcPr>
            <w:tcW w:w="424" w:type="dxa"/>
            <w:shd w:val="solid" w:color="FFFFFF" w:fill="auto"/>
          </w:tcPr>
          <w:p w:rsidR="00F82319" w:rsidRPr="000A0A5F" w:rsidRDefault="00F82319" w:rsidP="00F82319">
            <w:pPr>
              <w:pStyle w:val="TAR"/>
              <w:rPr>
                <w:rFonts w:cs="Arial"/>
                <w:color w:val="000000"/>
                <w:sz w:val="16"/>
                <w:szCs w:val="16"/>
                <w:lang w:eastAsia="zh-CN"/>
              </w:rPr>
            </w:pP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hint="eastAsia"/>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Update of OpenAPI version and TS version in externalDocs field</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7.1.0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21-06</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#92e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sz w:val="16"/>
                <w:szCs w:val="16"/>
              </w:rPr>
              <w:t>CP-211271</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0341</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3</w:t>
            </w:r>
          </w:p>
        </w:tc>
        <w:tc>
          <w:tcPr>
            <w:tcW w:w="424"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Updates to AF Application Identifier in ChargeableParty API</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7.2.0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21-06</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#92e</w:t>
            </w:r>
          </w:p>
        </w:tc>
        <w:tc>
          <w:tcPr>
            <w:tcW w:w="1088" w:type="dxa"/>
            <w:shd w:val="solid" w:color="FFFFFF" w:fill="auto"/>
          </w:tcPr>
          <w:p w:rsidR="00F82319" w:rsidRPr="000A0A5F" w:rsidRDefault="00F82319" w:rsidP="00F82319">
            <w:pPr>
              <w:pStyle w:val="TAC"/>
              <w:rPr>
                <w:sz w:val="16"/>
                <w:szCs w:val="16"/>
              </w:rPr>
            </w:pPr>
            <w:r w:rsidRPr="000A0A5F">
              <w:rPr>
                <w:sz w:val="16"/>
                <w:szCs w:val="16"/>
              </w:rPr>
              <w:t>CP-211271</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0342</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3</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Updates to AF Application Identifier in AsSessionWithQoS API</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7.2.0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21-06</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#92e</w:t>
            </w:r>
          </w:p>
        </w:tc>
        <w:tc>
          <w:tcPr>
            <w:tcW w:w="1088" w:type="dxa"/>
            <w:shd w:val="solid" w:color="FFFFFF" w:fill="auto"/>
          </w:tcPr>
          <w:p w:rsidR="00F82319" w:rsidRPr="000A0A5F" w:rsidRDefault="00F82319" w:rsidP="00F82319">
            <w:pPr>
              <w:pStyle w:val="TAC"/>
              <w:rPr>
                <w:sz w:val="16"/>
                <w:szCs w:val="16"/>
              </w:rPr>
            </w:pPr>
            <w:r w:rsidRPr="000A0A5F">
              <w:rPr>
                <w:sz w:val="16"/>
                <w:szCs w:val="16"/>
              </w:rPr>
              <w:t>CP-211282</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0347</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5</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Update DNN and S-NSSAI in ChargeableParty API</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7.2.0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21-06</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#92e</w:t>
            </w:r>
          </w:p>
        </w:tc>
        <w:tc>
          <w:tcPr>
            <w:tcW w:w="1088" w:type="dxa"/>
            <w:shd w:val="solid" w:color="FFFFFF" w:fill="auto"/>
          </w:tcPr>
          <w:p w:rsidR="00F82319" w:rsidRPr="000A0A5F" w:rsidRDefault="00F82319" w:rsidP="00F82319">
            <w:pPr>
              <w:pStyle w:val="TAC"/>
              <w:rPr>
                <w:sz w:val="16"/>
                <w:szCs w:val="16"/>
              </w:rPr>
            </w:pPr>
            <w:r w:rsidRPr="000A0A5F">
              <w:rPr>
                <w:sz w:val="16"/>
                <w:szCs w:val="16"/>
              </w:rPr>
              <w:t>CP-211282</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0348</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5</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Update DNN and S-NSSAI in AsSessionWithQoS API</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7.2.0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21-06</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#92e</w:t>
            </w:r>
          </w:p>
        </w:tc>
        <w:tc>
          <w:tcPr>
            <w:tcW w:w="1088" w:type="dxa"/>
            <w:shd w:val="solid" w:color="FFFFFF" w:fill="auto"/>
          </w:tcPr>
          <w:p w:rsidR="00F82319" w:rsidRPr="000A0A5F" w:rsidRDefault="00F82319" w:rsidP="00F82319">
            <w:pPr>
              <w:pStyle w:val="TAC"/>
              <w:rPr>
                <w:sz w:val="16"/>
                <w:szCs w:val="16"/>
              </w:rPr>
            </w:pPr>
            <w:r w:rsidRPr="000A0A5F">
              <w:rPr>
                <w:sz w:val="16"/>
                <w:szCs w:val="16"/>
              </w:rPr>
              <w:t>CP-211238</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0390</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hint="eastAsia"/>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Adding some missing description fields to data type definitions in OpenAPI specification files of the CommonData API</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7.2.0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21-06</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#92e</w:t>
            </w:r>
          </w:p>
        </w:tc>
        <w:tc>
          <w:tcPr>
            <w:tcW w:w="1088" w:type="dxa"/>
            <w:shd w:val="solid" w:color="FFFFFF" w:fill="auto"/>
          </w:tcPr>
          <w:p w:rsidR="00F82319" w:rsidRPr="000A0A5F" w:rsidRDefault="00F82319" w:rsidP="00F82319">
            <w:pPr>
              <w:pStyle w:val="TAC"/>
              <w:rPr>
                <w:sz w:val="16"/>
                <w:szCs w:val="16"/>
              </w:rPr>
            </w:pPr>
            <w:r w:rsidRPr="000A0A5F">
              <w:rPr>
                <w:sz w:val="16"/>
                <w:szCs w:val="16"/>
              </w:rPr>
              <w:t>CP-211238</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0392</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Adding some missing description fields to data type definitions in OpenAPI specification files of the ResourceManagementOfBdt API</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7.2.0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21-06</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#92e</w:t>
            </w:r>
          </w:p>
        </w:tc>
        <w:tc>
          <w:tcPr>
            <w:tcW w:w="1088" w:type="dxa"/>
            <w:shd w:val="solid" w:color="FFFFFF" w:fill="auto"/>
          </w:tcPr>
          <w:p w:rsidR="00F82319" w:rsidRPr="000A0A5F" w:rsidRDefault="00F82319" w:rsidP="00F82319">
            <w:pPr>
              <w:pStyle w:val="TAC"/>
              <w:rPr>
                <w:sz w:val="16"/>
                <w:szCs w:val="16"/>
              </w:rPr>
            </w:pPr>
            <w:r w:rsidRPr="000A0A5F">
              <w:rPr>
                <w:sz w:val="16"/>
                <w:szCs w:val="16"/>
              </w:rPr>
              <w:t>CP-211238</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0393</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Adding some missing description fields to data type definitions in OpenAPI specification files of the ChargeableParty API</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7.2.0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21-06</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#92e</w:t>
            </w:r>
          </w:p>
        </w:tc>
        <w:tc>
          <w:tcPr>
            <w:tcW w:w="1088" w:type="dxa"/>
            <w:shd w:val="solid" w:color="FFFFFF" w:fill="auto"/>
          </w:tcPr>
          <w:p w:rsidR="00F82319" w:rsidRPr="000A0A5F" w:rsidRDefault="00F82319" w:rsidP="00F82319">
            <w:pPr>
              <w:pStyle w:val="TAC"/>
              <w:rPr>
                <w:sz w:val="16"/>
                <w:szCs w:val="16"/>
              </w:rPr>
            </w:pPr>
            <w:r w:rsidRPr="000A0A5F">
              <w:rPr>
                <w:sz w:val="16"/>
                <w:szCs w:val="16"/>
              </w:rPr>
              <w:t>CP-211238</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0394</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Adding some missing description fields to data type definitions in OpenAPI specification files of the NIDD API</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7.2.0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21-06</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#92e</w:t>
            </w:r>
          </w:p>
        </w:tc>
        <w:tc>
          <w:tcPr>
            <w:tcW w:w="1088" w:type="dxa"/>
            <w:shd w:val="solid" w:color="FFFFFF" w:fill="auto"/>
          </w:tcPr>
          <w:p w:rsidR="00F82319" w:rsidRPr="000A0A5F" w:rsidRDefault="00F82319" w:rsidP="00F82319">
            <w:pPr>
              <w:pStyle w:val="TAC"/>
              <w:rPr>
                <w:sz w:val="16"/>
                <w:szCs w:val="16"/>
              </w:rPr>
            </w:pPr>
            <w:r w:rsidRPr="000A0A5F">
              <w:rPr>
                <w:sz w:val="16"/>
                <w:szCs w:val="16"/>
              </w:rPr>
              <w:t>CP-211238</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0395</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Adding some missing description fields to data type definitions in OpenAPI specification files of the DeviceTriggering API</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7.2.0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21-06</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#92e</w:t>
            </w:r>
          </w:p>
        </w:tc>
        <w:tc>
          <w:tcPr>
            <w:tcW w:w="1088" w:type="dxa"/>
            <w:shd w:val="solid" w:color="FFFFFF" w:fill="auto"/>
          </w:tcPr>
          <w:p w:rsidR="00F82319" w:rsidRPr="000A0A5F" w:rsidRDefault="00F82319" w:rsidP="00F82319">
            <w:pPr>
              <w:pStyle w:val="TAC"/>
              <w:rPr>
                <w:sz w:val="16"/>
                <w:szCs w:val="16"/>
              </w:rPr>
            </w:pPr>
            <w:r w:rsidRPr="000A0A5F">
              <w:rPr>
                <w:sz w:val="16"/>
                <w:szCs w:val="16"/>
              </w:rPr>
              <w:t>CP-211238</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0396</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Adding some missing description fields to data type definitions in OpenAPI specification files of the GMDViaMBMS APIs</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7.2.0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21-06</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#92e</w:t>
            </w:r>
          </w:p>
        </w:tc>
        <w:tc>
          <w:tcPr>
            <w:tcW w:w="1088" w:type="dxa"/>
            <w:shd w:val="solid" w:color="FFFFFF" w:fill="auto"/>
          </w:tcPr>
          <w:p w:rsidR="00F82319" w:rsidRPr="000A0A5F" w:rsidRDefault="00F82319" w:rsidP="00F82319">
            <w:pPr>
              <w:pStyle w:val="TAC"/>
              <w:rPr>
                <w:sz w:val="16"/>
                <w:szCs w:val="16"/>
              </w:rPr>
            </w:pPr>
            <w:r w:rsidRPr="000A0A5F">
              <w:rPr>
                <w:sz w:val="16"/>
                <w:szCs w:val="16"/>
              </w:rPr>
              <w:t>CP-211238</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0397</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Adding some missing description fields to data type definitions in OpenAPI specification files of the ReportingNetworkStatus API</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7.2.0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21-06</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#92e</w:t>
            </w:r>
          </w:p>
        </w:tc>
        <w:tc>
          <w:tcPr>
            <w:tcW w:w="1088" w:type="dxa"/>
            <w:shd w:val="solid" w:color="FFFFFF" w:fill="auto"/>
          </w:tcPr>
          <w:p w:rsidR="00F82319" w:rsidRPr="000A0A5F" w:rsidRDefault="00F82319" w:rsidP="00F82319">
            <w:pPr>
              <w:pStyle w:val="TAC"/>
              <w:rPr>
                <w:sz w:val="16"/>
                <w:szCs w:val="16"/>
              </w:rPr>
            </w:pPr>
            <w:r w:rsidRPr="000A0A5F">
              <w:rPr>
                <w:sz w:val="16"/>
                <w:szCs w:val="16"/>
              </w:rPr>
              <w:t>CP-211238</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0398</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Adding some missing description fields to data type definitions in OpenAPI specification files of the CpProvisioning API</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7.2.0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21-06</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#92e</w:t>
            </w:r>
          </w:p>
        </w:tc>
        <w:tc>
          <w:tcPr>
            <w:tcW w:w="1088" w:type="dxa"/>
            <w:shd w:val="solid" w:color="FFFFFF" w:fill="auto"/>
          </w:tcPr>
          <w:p w:rsidR="00F82319" w:rsidRPr="000A0A5F" w:rsidRDefault="00F82319" w:rsidP="00F82319">
            <w:pPr>
              <w:pStyle w:val="TAC"/>
              <w:rPr>
                <w:sz w:val="16"/>
                <w:szCs w:val="16"/>
              </w:rPr>
            </w:pPr>
            <w:r w:rsidRPr="000A0A5F">
              <w:rPr>
                <w:sz w:val="16"/>
                <w:szCs w:val="16"/>
              </w:rPr>
              <w:t>CP-211238</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0399</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Adding some missing description fields to data type definitions in OpenAPI specification files of the PfdManagement API</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7.2.0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21-06</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#92e</w:t>
            </w:r>
          </w:p>
        </w:tc>
        <w:tc>
          <w:tcPr>
            <w:tcW w:w="1088" w:type="dxa"/>
            <w:shd w:val="solid" w:color="FFFFFF" w:fill="auto"/>
          </w:tcPr>
          <w:p w:rsidR="00F82319" w:rsidRPr="000A0A5F" w:rsidRDefault="00F82319" w:rsidP="00F82319">
            <w:pPr>
              <w:pStyle w:val="TAC"/>
              <w:rPr>
                <w:sz w:val="16"/>
                <w:szCs w:val="16"/>
              </w:rPr>
            </w:pPr>
            <w:r w:rsidRPr="000A0A5F">
              <w:rPr>
                <w:sz w:val="16"/>
                <w:szCs w:val="16"/>
              </w:rPr>
              <w:t>CP-211238</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0400</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Adding some missing description fields to data type definitions in OpenAPI specification files of the ECRControl API</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7.2.0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21-06</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#92e</w:t>
            </w:r>
          </w:p>
        </w:tc>
        <w:tc>
          <w:tcPr>
            <w:tcW w:w="1088" w:type="dxa"/>
            <w:shd w:val="solid" w:color="FFFFFF" w:fill="auto"/>
          </w:tcPr>
          <w:p w:rsidR="00F82319" w:rsidRPr="000A0A5F" w:rsidRDefault="00F82319" w:rsidP="00F82319">
            <w:pPr>
              <w:pStyle w:val="TAC"/>
              <w:rPr>
                <w:sz w:val="16"/>
                <w:szCs w:val="16"/>
              </w:rPr>
            </w:pPr>
            <w:r w:rsidRPr="000A0A5F">
              <w:rPr>
                <w:sz w:val="16"/>
                <w:szCs w:val="16"/>
              </w:rPr>
              <w:t>CP-211238</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0401</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Adding some missing description fields to data type definitions in OpenAPI specification files of the NpConfiguration API</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7.2.0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21-06</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#92e</w:t>
            </w:r>
          </w:p>
        </w:tc>
        <w:tc>
          <w:tcPr>
            <w:tcW w:w="1088" w:type="dxa"/>
            <w:shd w:val="solid" w:color="FFFFFF" w:fill="auto"/>
          </w:tcPr>
          <w:p w:rsidR="00F82319" w:rsidRPr="000A0A5F" w:rsidRDefault="00F82319" w:rsidP="00F82319">
            <w:pPr>
              <w:pStyle w:val="TAC"/>
              <w:rPr>
                <w:sz w:val="16"/>
                <w:szCs w:val="16"/>
              </w:rPr>
            </w:pPr>
            <w:r w:rsidRPr="000A0A5F">
              <w:rPr>
                <w:sz w:val="16"/>
                <w:szCs w:val="16"/>
              </w:rPr>
              <w:t>CP-211238</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0402</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Adding some missing description fields to data type definitions in OpenAPI specification files of the AsSessionWithQoS API</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7.2.0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21-06</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#92e</w:t>
            </w:r>
          </w:p>
        </w:tc>
        <w:tc>
          <w:tcPr>
            <w:tcW w:w="1088" w:type="dxa"/>
            <w:shd w:val="solid" w:color="FFFFFF" w:fill="auto"/>
          </w:tcPr>
          <w:p w:rsidR="00F82319" w:rsidRPr="000A0A5F" w:rsidRDefault="00F82319" w:rsidP="00F82319">
            <w:pPr>
              <w:pStyle w:val="TAC"/>
              <w:rPr>
                <w:sz w:val="16"/>
                <w:szCs w:val="16"/>
              </w:rPr>
            </w:pPr>
            <w:r w:rsidRPr="000A0A5F">
              <w:rPr>
                <w:sz w:val="16"/>
                <w:szCs w:val="16"/>
              </w:rPr>
              <w:t>CP-211238</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0403</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Adding some missing description fields to data type definitions in OpenAPI specification files of the MsisdnLessMoSms API</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7.2.0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21-06</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#92e</w:t>
            </w:r>
          </w:p>
        </w:tc>
        <w:tc>
          <w:tcPr>
            <w:tcW w:w="1088" w:type="dxa"/>
            <w:shd w:val="solid" w:color="FFFFFF" w:fill="auto"/>
          </w:tcPr>
          <w:p w:rsidR="00F82319" w:rsidRPr="000A0A5F" w:rsidRDefault="00F82319" w:rsidP="00F82319">
            <w:pPr>
              <w:pStyle w:val="TAC"/>
              <w:rPr>
                <w:sz w:val="16"/>
                <w:szCs w:val="16"/>
              </w:rPr>
            </w:pPr>
            <w:r w:rsidRPr="000A0A5F">
              <w:rPr>
                <w:sz w:val="16"/>
                <w:szCs w:val="16"/>
              </w:rPr>
              <w:t>CP-211238</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0404</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Adding some missing description fields to data type definitions in OpenAPI specification files of the RacsParameterProvisioning API</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7.2.0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21-06</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#92e</w:t>
            </w:r>
          </w:p>
        </w:tc>
        <w:tc>
          <w:tcPr>
            <w:tcW w:w="1088" w:type="dxa"/>
            <w:shd w:val="solid" w:color="FFFFFF" w:fill="auto"/>
          </w:tcPr>
          <w:p w:rsidR="00F82319" w:rsidRPr="000A0A5F" w:rsidRDefault="00F82319" w:rsidP="00F82319">
            <w:pPr>
              <w:pStyle w:val="TAC"/>
              <w:rPr>
                <w:sz w:val="16"/>
                <w:szCs w:val="16"/>
              </w:rPr>
            </w:pPr>
            <w:r w:rsidRPr="000A0A5F">
              <w:rPr>
                <w:sz w:val="16"/>
                <w:szCs w:val="16"/>
              </w:rPr>
              <w:t>CP-211238</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0405</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Removal of invalid unbreakable spaces is some attributes description in the GMDViaMBMS and ReportingNetworkStatus APIs</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7.2.0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21-06</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#92e</w:t>
            </w:r>
          </w:p>
        </w:tc>
        <w:tc>
          <w:tcPr>
            <w:tcW w:w="1088" w:type="dxa"/>
            <w:shd w:val="solid" w:color="FFFFFF" w:fill="auto"/>
          </w:tcPr>
          <w:p w:rsidR="00F82319" w:rsidRPr="000A0A5F" w:rsidRDefault="00F82319" w:rsidP="00F82319">
            <w:pPr>
              <w:pStyle w:val="TAC"/>
              <w:rPr>
                <w:sz w:val="16"/>
                <w:szCs w:val="16"/>
              </w:rPr>
            </w:pPr>
            <w:r w:rsidRPr="000A0A5F">
              <w:rPr>
                <w:sz w:val="16"/>
                <w:szCs w:val="16"/>
              </w:rPr>
              <w:t>CP-211241</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0406</w:t>
            </w:r>
          </w:p>
        </w:tc>
        <w:tc>
          <w:tcPr>
            <w:tcW w:w="424" w:type="dxa"/>
            <w:shd w:val="solid" w:color="FFFFFF" w:fill="auto"/>
          </w:tcPr>
          <w:p w:rsidR="00F82319" w:rsidRPr="000A0A5F" w:rsidRDefault="00F82319" w:rsidP="00F82319">
            <w:pPr>
              <w:pStyle w:val="TAR"/>
              <w:rPr>
                <w:rFonts w:cs="Arial"/>
                <w:color w:val="000000"/>
                <w:sz w:val="16"/>
                <w:szCs w:val="16"/>
                <w:lang w:eastAsia="zh-CN"/>
              </w:rPr>
            </w:pPr>
          </w:p>
        </w:tc>
        <w:tc>
          <w:tcPr>
            <w:tcW w:w="424"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Support redirection for pure 4G SCEF northbound APIs</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7.2.0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21-06</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#92e</w:t>
            </w:r>
          </w:p>
        </w:tc>
        <w:tc>
          <w:tcPr>
            <w:tcW w:w="1088" w:type="dxa"/>
            <w:shd w:val="solid" w:color="FFFFFF" w:fill="auto"/>
          </w:tcPr>
          <w:p w:rsidR="00F82319" w:rsidRPr="000A0A5F" w:rsidRDefault="00F82319" w:rsidP="00F82319">
            <w:pPr>
              <w:pStyle w:val="TAC"/>
              <w:rPr>
                <w:sz w:val="16"/>
                <w:szCs w:val="16"/>
              </w:rPr>
            </w:pPr>
            <w:r w:rsidRPr="000A0A5F">
              <w:rPr>
                <w:sz w:val="16"/>
                <w:szCs w:val="16"/>
              </w:rPr>
              <w:t>CP-211241</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0407</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MonitoringEvent API: TAB and missing "description" fields</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7.2.0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21-06</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#92e</w:t>
            </w:r>
          </w:p>
        </w:tc>
        <w:tc>
          <w:tcPr>
            <w:tcW w:w="108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CP-211178</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0408</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3</w:t>
            </w:r>
          </w:p>
        </w:tc>
        <w:tc>
          <w:tcPr>
            <w:tcW w:w="424"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Support Time Sensitive Communication</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7.2.0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21-06</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#92e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CP-211232</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0410</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A</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Clarification on Manufacturer Assigned URC</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7.2.0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21-06</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#92e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CP-211199</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0412</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A</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Correction to LDR geographic area</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7.2.0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21-06</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#92e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CP-211227</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0415</w:t>
            </w:r>
          </w:p>
        </w:tc>
        <w:tc>
          <w:tcPr>
            <w:tcW w:w="424" w:type="dxa"/>
            <w:shd w:val="solid" w:color="FFFFFF" w:fill="auto"/>
          </w:tcPr>
          <w:p w:rsidR="00F82319" w:rsidRPr="000A0A5F" w:rsidRDefault="00F82319" w:rsidP="00F82319">
            <w:pPr>
              <w:pStyle w:val="TAR"/>
              <w:rPr>
                <w:rFonts w:cs="Arial"/>
                <w:color w:val="000000"/>
                <w:sz w:val="16"/>
                <w:szCs w:val="16"/>
                <w:lang w:eastAsia="zh-CN"/>
              </w:rPr>
            </w:pP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A</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hint="eastAsia"/>
                <w:color w:val="000000"/>
                <w:sz w:val="16"/>
                <w:szCs w:val="16"/>
                <w:lang w:eastAsia="zh-CN"/>
              </w:rPr>
              <w:t>R</w:t>
            </w:r>
            <w:r w:rsidRPr="000A0A5F">
              <w:rPr>
                <w:rFonts w:cs="Arial"/>
                <w:color w:val="000000"/>
                <w:sz w:val="16"/>
                <w:szCs w:val="16"/>
                <w:lang w:eastAsia="zh-CN"/>
              </w:rPr>
              <w:t>esource corrections for SCEF Northbound APIs</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7.2.0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21-06</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#92e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CP-211228</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0418</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A</w:t>
            </w:r>
          </w:p>
        </w:tc>
        <w:tc>
          <w:tcPr>
            <w:tcW w:w="4919" w:type="dxa"/>
            <w:shd w:val="solid" w:color="FFFFFF" w:fill="auto"/>
          </w:tcPr>
          <w:p w:rsidR="00F82319" w:rsidRPr="000A0A5F" w:rsidRDefault="00F82319" w:rsidP="00F82319">
            <w:pPr>
              <w:pStyle w:val="TAL"/>
              <w:rPr>
                <w:rFonts w:cs="Arial" w:hint="eastAsia"/>
                <w:color w:val="000000"/>
                <w:sz w:val="16"/>
                <w:szCs w:val="16"/>
                <w:lang w:eastAsia="zh-CN"/>
              </w:rPr>
            </w:pPr>
            <w:r w:rsidRPr="000A0A5F">
              <w:rPr>
                <w:rFonts w:cs="Arial"/>
                <w:color w:val="000000"/>
                <w:sz w:val="16"/>
                <w:szCs w:val="16"/>
                <w:lang w:eastAsia="zh-CN"/>
              </w:rPr>
              <w:t>TWAN level accuracy applicability</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7.2.0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21-06</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#92e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CP-211119</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0422</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hint="eastAsia"/>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New Network slice status reporting events for the MonitoringEvent API</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7.2.0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21-06</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#92e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CP-211241</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0426</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Respecting 3GPP Forge executing rules</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7.2.0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21-06</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#92e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CP-211240</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0427</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Support of 204 No content response code for PFDs update(NBI17)</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7.2.0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21-06</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#92e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CP-211218</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0428</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Support of Network Exposure to EAS via Local NEF</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7.2.0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21-06</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#92e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CP-211239</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0429</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 </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hint="eastAsia"/>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Adding notificationDestination in NpConfigurationPatch data type</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7.2.0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21-06</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#92e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sz w:val="16"/>
                <w:szCs w:val="16"/>
              </w:rPr>
              <w:t>CP-211240</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0430</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Supporting 204 No Content during configuration procedure on NpConfiguration API</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7.2.0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21-06</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#92e</w:t>
            </w:r>
          </w:p>
        </w:tc>
        <w:tc>
          <w:tcPr>
            <w:tcW w:w="1088" w:type="dxa"/>
            <w:shd w:val="solid" w:color="FFFFFF" w:fill="auto"/>
          </w:tcPr>
          <w:p w:rsidR="00F82319" w:rsidRPr="000A0A5F" w:rsidRDefault="00F82319" w:rsidP="00F82319">
            <w:pPr>
              <w:pStyle w:val="TAC"/>
              <w:rPr>
                <w:sz w:val="16"/>
                <w:szCs w:val="16"/>
              </w:rPr>
            </w:pPr>
            <w:r w:rsidRPr="000A0A5F">
              <w:rPr>
                <w:sz w:val="16"/>
                <w:szCs w:val="16"/>
              </w:rPr>
              <w:t>CP-211240</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0431</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204 No Content during modification procedure on MonitoringEvent API</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7.2.0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21-06</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#92e</w:t>
            </w:r>
          </w:p>
        </w:tc>
        <w:tc>
          <w:tcPr>
            <w:tcW w:w="108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CP-211240</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0432</w:t>
            </w:r>
          </w:p>
        </w:tc>
        <w:tc>
          <w:tcPr>
            <w:tcW w:w="424" w:type="dxa"/>
            <w:shd w:val="solid" w:color="FFFFFF" w:fill="auto"/>
          </w:tcPr>
          <w:p w:rsidR="00F82319" w:rsidRPr="000A0A5F" w:rsidRDefault="00F82319" w:rsidP="00F82319">
            <w:pPr>
              <w:pStyle w:val="TAR"/>
              <w:rPr>
                <w:rFonts w:cs="Arial"/>
                <w:color w:val="000000"/>
                <w:sz w:val="16"/>
                <w:szCs w:val="16"/>
                <w:lang w:eastAsia="zh-CN"/>
              </w:rPr>
            </w:pPr>
          </w:p>
        </w:tc>
        <w:tc>
          <w:tcPr>
            <w:tcW w:w="424"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204 No Content during modification procedure on AsSessionWithQoS API</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7.2.0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21-06</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#92e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CP-211185</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0433</w:t>
            </w:r>
          </w:p>
        </w:tc>
        <w:tc>
          <w:tcPr>
            <w:tcW w:w="424" w:type="dxa"/>
            <w:shd w:val="solid" w:color="FFFFFF" w:fill="auto"/>
          </w:tcPr>
          <w:p w:rsidR="00F82319" w:rsidRPr="000A0A5F" w:rsidRDefault="00F82319" w:rsidP="00F82319">
            <w:pPr>
              <w:pStyle w:val="TAR"/>
              <w:rPr>
                <w:rFonts w:cs="Arial"/>
                <w:color w:val="000000"/>
                <w:sz w:val="16"/>
                <w:szCs w:val="16"/>
                <w:lang w:eastAsia="zh-CN"/>
              </w:rPr>
            </w:pPr>
          </w:p>
        </w:tc>
        <w:tc>
          <w:tcPr>
            <w:tcW w:w="424"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204 No Content during modification procedure on ChargeableParty API</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7.2.0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21-06</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#92e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sz w:val="16"/>
                <w:szCs w:val="16"/>
              </w:rPr>
              <w:t>CP-211240</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0434</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Update of notification destination for ResourceManagementOfBdt API</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7.2.0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21-06</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#92e</w:t>
            </w:r>
          </w:p>
        </w:tc>
        <w:tc>
          <w:tcPr>
            <w:tcW w:w="1088" w:type="dxa"/>
            <w:shd w:val="solid" w:color="FFFFFF" w:fill="auto"/>
          </w:tcPr>
          <w:p w:rsidR="00F82319" w:rsidRPr="000A0A5F" w:rsidRDefault="00F82319" w:rsidP="00F82319">
            <w:pPr>
              <w:pStyle w:val="TAC"/>
              <w:rPr>
                <w:sz w:val="16"/>
                <w:szCs w:val="16"/>
              </w:rPr>
            </w:pPr>
            <w:r w:rsidRPr="000A0A5F">
              <w:rPr>
                <w:sz w:val="16"/>
                <w:szCs w:val="16"/>
              </w:rPr>
              <w:t>CP-211240</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0435</w:t>
            </w:r>
          </w:p>
        </w:tc>
        <w:tc>
          <w:tcPr>
            <w:tcW w:w="424" w:type="dxa"/>
            <w:shd w:val="solid" w:color="FFFFFF" w:fill="auto"/>
          </w:tcPr>
          <w:p w:rsidR="00F82319" w:rsidRPr="000A0A5F" w:rsidRDefault="00F82319" w:rsidP="00F82319">
            <w:pPr>
              <w:pStyle w:val="TAR"/>
              <w:rPr>
                <w:rFonts w:cs="Arial"/>
                <w:color w:val="000000"/>
                <w:sz w:val="16"/>
                <w:szCs w:val="16"/>
                <w:lang w:eastAsia="zh-CN"/>
              </w:rPr>
            </w:pPr>
          </w:p>
        </w:tc>
        <w:tc>
          <w:tcPr>
            <w:tcW w:w="424"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Update of notification destination for ChargeableParty API</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7.2.0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21-06</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#92e</w:t>
            </w:r>
          </w:p>
        </w:tc>
        <w:tc>
          <w:tcPr>
            <w:tcW w:w="108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CP-211240</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0436</w:t>
            </w:r>
          </w:p>
        </w:tc>
        <w:tc>
          <w:tcPr>
            <w:tcW w:w="424" w:type="dxa"/>
            <w:shd w:val="solid" w:color="FFFFFF" w:fill="auto"/>
          </w:tcPr>
          <w:p w:rsidR="00F82319" w:rsidRPr="000A0A5F" w:rsidRDefault="00F82319" w:rsidP="00F82319">
            <w:pPr>
              <w:pStyle w:val="TAR"/>
              <w:rPr>
                <w:rFonts w:cs="Arial"/>
                <w:color w:val="000000"/>
                <w:sz w:val="16"/>
                <w:szCs w:val="16"/>
                <w:lang w:eastAsia="zh-CN"/>
              </w:rPr>
            </w:pPr>
          </w:p>
        </w:tc>
        <w:tc>
          <w:tcPr>
            <w:tcW w:w="424"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Update of notification destination for AsSessionWithQoS API</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7.2.0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21-06</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#92e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CP-211248</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0437</w:t>
            </w:r>
          </w:p>
        </w:tc>
        <w:tc>
          <w:tcPr>
            <w:tcW w:w="424" w:type="dxa"/>
            <w:shd w:val="solid" w:color="FFFFFF" w:fill="auto"/>
          </w:tcPr>
          <w:p w:rsidR="00F82319" w:rsidRPr="000A0A5F" w:rsidRDefault="00F82319" w:rsidP="00F82319">
            <w:pPr>
              <w:pStyle w:val="TAR"/>
              <w:rPr>
                <w:rFonts w:cs="Arial"/>
                <w:color w:val="000000"/>
                <w:sz w:val="16"/>
                <w:szCs w:val="16"/>
                <w:lang w:eastAsia="zh-CN"/>
              </w:rPr>
            </w:pPr>
          </w:p>
        </w:tc>
        <w:tc>
          <w:tcPr>
            <w:tcW w:w="424"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eCAPIF support</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7.2.0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21-06</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#92e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sz w:val="16"/>
                <w:szCs w:val="16"/>
              </w:rPr>
              <w:t>CP-211269</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0438</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Update procedures to support HSS initiated GEM partial cancellation</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7.2.0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21-06</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#92e</w:t>
            </w:r>
          </w:p>
        </w:tc>
        <w:tc>
          <w:tcPr>
            <w:tcW w:w="1088" w:type="dxa"/>
            <w:shd w:val="solid" w:color="FFFFFF" w:fill="auto"/>
          </w:tcPr>
          <w:p w:rsidR="00F82319" w:rsidRPr="000A0A5F" w:rsidRDefault="00F82319" w:rsidP="00F82319">
            <w:pPr>
              <w:pStyle w:val="TAC"/>
              <w:rPr>
                <w:sz w:val="16"/>
                <w:szCs w:val="16"/>
              </w:rPr>
            </w:pPr>
            <w:r w:rsidRPr="000A0A5F">
              <w:rPr>
                <w:sz w:val="16"/>
                <w:szCs w:val="16"/>
              </w:rPr>
              <w:t>CP-211269</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0439</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Updates to support notification of GEM partial cancellation</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7.2.0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21-06</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#92e</w:t>
            </w:r>
          </w:p>
        </w:tc>
        <w:tc>
          <w:tcPr>
            <w:tcW w:w="1088" w:type="dxa"/>
            <w:shd w:val="solid" w:color="FFFFFF" w:fill="auto"/>
          </w:tcPr>
          <w:p w:rsidR="00F82319" w:rsidRPr="000A0A5F" w:rsidRDefault="00F82319" w:rsidP="00F82319">
            <w:pPr>
              <w:pStyle w:val="TAC"/>
              <w:rPr>
                <w:sz w:val="16"/>
                <w:szCs w:val="16"/>
              </w:rPr>
            </w:pPr>
            <w:r w:rsidRPr="000A0A5F">
              <w:rPr>
                <w:sz w:val="16"/>
                <w:szCs w:val="16"/>
              </w:rPr>
              <w:t>CP-211240</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0440</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hint="eastAsia"/>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Updates 204 No Content in NIDD API</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7.2.0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21-06</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#92e</w:t>
            </w:r>
          </w:p>
        </w:tc>
        <w:tc>
          <w:tcPr>
            <w:tcW w:w="1088" w:type="dxa"/>
            <w:shd w:val="solid" w:color="FFFFFF" w:fill="auto"/>
          </w:tcPr>
          <w:p w:rsidR="00F82319" w:rsidRPr="000A0A5F" w:rsidRDefault="00F82319" w:rsidP="00F82319">
            <w:pPr>
              <w:pStyle w:val="TAC"/>
              <w:rPr>
                <w:sz w:val="16"/>
                <w:szCs w:val="16"/>
              </w:rPr>
            </w:pPr>
            <w:r w:rsidRPr="000A0A5F">
              <w:rPr>
                <w:sz w:val="16"/>
                <w:szCs w:val="16"/>
              </w:rPr>
              <w:t>CP-211240</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0441</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Updates 204 No Content in RacsParameterProvisioning API</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7.2.0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21-06</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#92e</w:t>
            </w:r>
          </w:p>
        </w:tc>
        <w:tc>
          <w:tcPr>
            <w:tcW w:w="108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CP-211241</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0444</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Updates notification destination via PATCH operation in NIDD API</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7.2.0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21-06</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#92e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CP-211228</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0447</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A</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Format of location information</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7.2.0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21-06</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#92e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sz w:val="16"/>
                <w:szCs w:val="16"/>
              </w:rPr>
              <w:t>CP-211227</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0450</w:t>
            </w:r>
          </w:p>
        </w:tc>
        <w:tc>
          <w:tcPr>
            <w:tcW w:w="424" w:type="dxa"/>
            <w:shd w:val="solid" w:color="FFFFFF" w:fill="auto"/>
          </w:tcPr>
          <w:p w:rsidR="00F82319" w:rsidRPr="000A0A5F" w:rsidRDefault="00F82319" w:rsidP="00F82319">
            <w:pPr>
              <w:pStyle w:val="TAR"/>
              <w:rPr>
                <w:rFonts w:cs="Arial"/>
                <w:color w:val="000000"/>
                <w:sz w:val="16"/>
                <w:szCs w:val="16"/>
                <w:lang w:eastAsia="zh-CN"/>
              </w:rPr>
            </w:pP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A</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Corrections on PATCH operation for ChargeableParty API</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7.2.0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21-06</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#92e</w:t>
            </w:r>
          </w:p>
        </w:tc>
        <w:tc>
          <w:tcPr>
            <w:tcW w:w="1088" w:type="dxa"/>
            <w:shd w:val="solid" w:color="FFFFFF" w:fill="auto"/>
          </w:tcPr>
          <w:p w:rsidR="00F82319" w:rsidRPr="000A0A5F" w:rsidRDefault="00F82319" w:rsidP="00F82319">
            <w:pPr>
              <w:pStyle w:val="TAC"/>
              <w:rPr>
                <w:sz w:val="16"/>
                <w:szCs w:val="16"/>
              </w:rPr>
            </w:pPr>
            <w:r w:rsidRPr="000A0A5F">
              <w:rPr>
                <w:sz w:val="16"/>
                <w:szCs w:val="16"/>
              </w:rPr>
              <w:t>CP-211227</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0453</w:t>
            </w:r>
          </w:p>
        </w:tc>
        <w:tc>
          <w:tcPr>
            <w:tcW w:w="424" w:type="dxa"/>
            <w:shd w:val="solid" w:color="FFFFFF" w:fill="auto"/>
          </w:tcPr>
          <w:p w:rsidR="00F82319" w:rsidRPr="000A0A5F" w:rsidRDefault="00F82319" w:rsidP="00F82319">
            <w:pPr>
              <w:pStyle w:val="TAR"/>
              <w:rPr>
                <w:rFonts w:cs="Arial"/>
                <w:color w:val="000000"/>
                <w:sz w:val="16"/>
                <w:szCs w:val="16"/>
                <w:lang w:eastAsia="zh-CN"/>
              </w:rPr>
            </w:pP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A</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Essential corrections to 204 in PATCH in NIDD API</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7.2.0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21-06</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#92e</w:t>
            </w:r>
          </w:p>
        </w:tc>
        <w:tc>
          <w:tcPr>
            <w:tcW w:w="1088" w:type="dxa"/>
            <w:shd w:val="solid" w:color="FFFFFF" w:fill="auto"/>
          </w:tcPr>
          <w:p w:rsidR="00F82319" w:rsidRPr="000A0A5F" w:rsidRDefault="00F82319" w:rsidP="00F82319">
            <w:pPr>
              <w:pStyle w:val="TAC"/>
              <w:rPr>
                <w:sz w:val="16"/>
                <w:szCs w:val="16"/>
              </w:rPr>
            </w:pPr>
            <w:r w:rsidRPr="000A0A5F">
              <w:rPr>
                <w:rFonts w:cs="Arial"/>
                <w:color w:val="000000"/>
                <w:sz w:val="16"/>
                <w:szCs w:val="16"/>
                <w:lang w:eastAsia="zh-CN"/>
              </w:rPr>
              <w:t>CP-211265</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0454</w:t>
            </w:r>
          </w:p>
        </w:tc>
        <w:tc>
          <w:tcPr>
            <w:tcW w:w="424" w:type="dxa"/>
            <w:shd w:val="solid" w:color="FFFFFF" w:fill="auto"/>
          </w:tcPr>
          <w:p w:rsidR="00F82319" w:rsidRPr="000A0A5F" w:rsidRDefault="00F82319" w:rsidP="00F82319">
            <w:pPr>
              <w:pStyle w:val="TAR"/>
              <w:rPr>
                <w:rFonts w:cs="Arial"/>
                <w:color w:val="000000"/>
                <w:sz w:val="16"/>
                <w:szCs w:val="16"/>
                <w:lang w:eastAsia="zh-CN"/>
              </w:rPr>
            </w:pP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A</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Update of OpenAPI version and TS version in externalDocs field</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7.2.0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21-09</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#93e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CP-212215</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0455</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Resource URI corrections for PfdManagement and NpConfiguration APIs</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7.3.0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21-09</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#93e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CP-212224</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0456</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Clarification to type FlowInfo</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7.3.0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21-09</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#93e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CP-212214</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0457</w:t>
            </w:r>
          </w:p>
        </w:tc>
        <w:tc>
          <w:tcPr>
            <w:tcW w:w="424" w:type="dxa"/>
            <w:shd w:val="solid" w:color="FFFFFF" w:fill="auto"/>
          </w:tcPr>
          <w:p w:rsidR="00F82319" w:rsidRPr="000A0A5F" w:rsidRDefault="00F82319" w:rsidP="00F82319">
            <w:pPr>
              <w:pStyle w:val="TAR"/>
              <w:rPr>
                <w:rFonts w:cs="Arial"/>
                <w:color w:val="000000"/>
                <w:sz w:val="16"/>
                <w:szCs w:val="16"/>
                <w:lang w:eastAsia="zh-CN"/>
              </w:rPr>
            </w:pP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Correction to Resource URI of ResourceManagementOfBdt API</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7.3.0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21-09</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#93e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CP-212210</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0458</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UAV Presence Monitoring</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7.3.0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21-09</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#93e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CP-212215</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0459</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Resource allocation status for Chargeable Party</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7.3.0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21-09</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#93e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CP-212224</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0460</w:t>
            </w:r>
          </w:p>
        </w:tc>
        <w:tc>
          <w:tcPr>
            <w:tcW w:w="424" w:type="dxa"/>
            <w:shd w:val="solid" w:color="FFFFFF" w:fill="auto"/>
          </w:tcPr>
          <w:p w:rsidR="00F82319" w:rsidRPr="000A0A5F" w:rsidRDefault="00F82319" w:rsidP="00F82319">
            <w:pPr>
              <w:pStyle w:val="TAR"/>
              <w:rPr>
                <w:rFonts w:cs="Arial"/>
                <w:color w:val="000000"/>
                <w:sz w:val="16"/>
                <w:szCs w:val="16"/>
                <w:lang w:eastAsia="zh-CN"/>
              </w:rPr>
            </w:pP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Fix AppId feature description</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7.3.0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21-09</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#93e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CP-212215</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0463</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Supporting 204 No Content during configuration procedure on DeviceTriggering API</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7.3.0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21-09</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#93e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CP-212215</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0464</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Supporting 204 No Content during configuration procedure on ReportingNetworkStatus API</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7.3.0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21-09</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#93e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CP-212186</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0466</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A</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Accuracy attribute correction</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7.3.0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21-09</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#93e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CP-212213</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0469</w:t>
            </w:r>
          </w:p>
        </w:tc>
        <w:tc>
          <w:tcPr>
            <w:tcW w:w="424" w:type="dxa"/>
            <w:shd w:val="solid" w:color="FFFFFF" w:fill="auto"/>
          </w:tcPr>
          <w:p w:rsidR="00F82319" w:rsidRPr="000A0A5F" w:rsidRDefault="00F82319" w:rsidP="00F82319">
            <w:pPr>
              <w:pStyle w:val="TAR"/>
              <w:rPr>
                <w:rFonts w:cs="Arial"/>
                <w:color w:val="000000"/>
                <w:sz w:val="16"/>
                <w:szCs w:val="16"/>
                <w:lang w:eastAsia="zh-CN"/>
              </w:rPr>
            </w:pP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A</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Correction on Configuration data</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7.3.0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21-09</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#93e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CP-212204</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0471</w:t>
            </w:r>
          </w:p>
        </w:tc>
        <w:tc>
          <w:tcPr>
            <w:tcW w:w="424" w:type="dxa"/>
            <w:shd w:val="solid" w:color="FFFFFF" w:fill="auto"/>
          </w:tcPr>
          <w:p w:rsidR="00F82319" w:rsidRPr="000A0A5F" w:rsidRDefault="00F82319" w:rsidP="00F82319">
            <w:pPr>
              <w:pStyle w:val="TAR"/>
              <w:rPr>
                <w:rFonts w:cs="Arial"/>
                <w:color w:val="000000"/>
                <w:sz w:val="16"/>
                <w:szCs w:val="16"/>
                <w:lang w:eastAsia="zh-CN"/>
              </w:rPr>
            </w:pP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A</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Correction on User Plane Notification data</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7.3.0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21-09</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#93e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CP-212214</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0472</w:t>
            </w:r>
          </w:p>
        </w:tc>
        <w:tc>
          <w:tcPr>
            <w:tcW w:w="424" w:type="dxa"/>
            <w:shd w:val="solid" w:color="FFFFFF" w:fill="auto"/>
          </w:tcPr>
          <w:p w:rsidR="00F82319" w:rsidRPr="000A0A5F" w:rsidRDefault="00F82319" w:rsidP="00F82319">
            <w:pPr>
              <w:pStyle w:val="TAR"/>
              <w:rPr>
                <w:rFonts w:cs="Arial"/>
                <w:color w:val="000000"/>
                <w:sz w:val="16"/>
                <w:szCs w:val="16"/>
                <w:lang w:eastAsia="zh-CN"/>
              </w:rPr>
            </w:pP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Corrections on resource root structure and resource URI on MonitoringEvent API</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7.3.0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21-09</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#93e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CP-212215</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0473</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Rel-17 Resource URI corrections on AsSessionWithQoS API</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7.3.0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21-09</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#93e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CP-212214</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0474</w:t>
            </w:r>
          </w:p>
        </w:tc>
        <w:tc>
          <w:tcPr>
            <w:tcW w:w="424" w:type="dxa"/>
            <w:shd w:val="solid" w:color="FFFFFF" w:fill="auto"/>
          </w:tcPr>
          <w:p w:rsidR="00F82319" w:rsidRPr="000A0A5F" w:rsidRDefault="00F82319" w:rsidP="00F82319">
            <w:pPr>
              <w:pStyle w:val="TAR"/>
              <w:rPr>
                <w:rFonts w:cs="Arial"/>
                <w:color w:val="000000"/>
                <w:sz w:val="16"/>
                <w:szCs w:val="16"/>
                <w:lang w:eastAsia="zh-CN"/>
              </w:rPr>
            </w:pP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Resource URI corrections on ChargeableParty API</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7.3.0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21-09</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#93e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CP-212214</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0475</w:t>
            </w:r>
          </w:p>
        </w:tc>
        <w:tc>
          <w:tcPr>
            <w:tcW w:w="424" w:type="dxa"/>
            <w:shd w:val="solid" w:color="FFFFFF" w:fill="auto"/>
          </w:tcPr>
          <w:p w:rsidR="00F82319" w:rsidRPr="000A0A5F" w:rsidRDefault="00F82319" w:rsidP="00F82319">
            <w:pPr>
              <w:pStyle w:val="TAR"/>
              <w:rPr>
                <w:rFonts w:cs="Arial"/>
                <w:color w:val="000000"/>
                <w:sz w:val="16"/>
                <w:szCs w:val="16"/>
                <w:lang w:eastAsia="zh-CN"/>
              </w:rPr>
            </w:pP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Resource URI correction on DeviceTriggering API</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7.3.0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21-09</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#93e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CP-212214</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0476</w:t>
            </w:r>
          </w:p>
        </w:tc>
        <w:tc>
          <w:tcPr>
            <w:tcW w:w="424" w:type="dxa"/>
            <w:shd w:val="solid" w:color="FFFFFF" w:fill="auto"/>
          </w:tcPr>
          <w:p w:rsidR="00F82319" w:rsidRPr="000A0A5F" w:rsidRDefault="00F82319" w:rsidP="00F82319">
            <w:pPr>
              <w:pStyle w:val="TAR"/>
              <w:rPr>
                <w:rFonts w:cs="Arial"/>
                <w:color w:val="000000"/>
                <w:sz w:val="16"/>
                <w:szCs w:val="16"/>
                <w:lang w:eastAsia="zh-CN"/>
              </w:rPr>
            </w:pP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Resource URI correction on ReportingNetworkStatus API</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7.3.0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21-09</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#93e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CP-212215</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0477</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Add list of data types table to the CommonData API</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7.3.0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21-09</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#93e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CP-212214</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0478</w:t>
            </w:r>
          </w:p>
        </w:tc>
        <w:tc>
          <w:tcPr>
            <w:tcW w:w="424" w:type="dxa"/>
            <w:shd w:val="solid" w:color="FFFFFF" w:fill="auto"/>
          </w:tcPr>
          <w:p w:rsidR="00F82319" w:rsidRPr="000A0A5F" w:rsidRDefault="00F82319" w:rsidP="00F82319">
            <w:pPr>
              <w:pStyle w:val="TAR"/>
              <w:rPr>
                <w:rFonts w:cs="Arial"/>
                <w:color w:val="000000"/>
                <w:sz w:val="16"/>
                <w:szCs w:val="16"/>
                <w:lang w:eastAsia="zh-CN"/>
              </w:rPr>
            </w:pP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Correction of some remaining invalid characters in OpenAPI specification files</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7.3.0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21-09</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#93e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CP-212214</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0479</w:t>
            </w:r>
          </w:p>
        </w:tc>
        <w:tc>
          <w:tcPr>
            <w:tcW w:w="424" w:type="dxa"/>
            <w:shd w:val="solid" w:color="FFFFFF" w:fill="auto"/>
          </w:tcPr>
          <w:p w:rsidR="00F82319" w:rsidRPr="000A0A5F" w:rsidRDefault="00F82319" w:rsidP="00F82319">
            <w:pPr>
              <w:pStyle w:val="TAR"/>
              <w:rPr>
                <w:rFonts w:cs="Arial"/>
                <w:color w:val="000000"/>
                <w:sz w:val="16"/>
                <w:szCs w:val="16"/>
                <w:lang w:eastAsia="zh-CN"/>
              </w:rPr>
            </w:pP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Miscellaneous corrections</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7.3.0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21-09</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#93e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CP-212215</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0480</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Resource URI correction in the GMD via MBMS APIs</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7.3.0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21-09</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#93e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CP-212214</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0481</w:t>
            </w:r>
          </w:p>
        </w:tc>
        <w:tc>
          <w:tcPr>
            <w:tcW w:w="424" w:type="dxa"/>
            <w:shd w:val="solid" w:color="FFFFFF" w:fill="auto"/>
          </w:tcPr>
          <w:p w:rsidR="00F82319" w:rsidRPr="000A0A5F" w:rsidRDefault="00F82319" w:rsidP="00F82319">
            <w:pPr>
              <w:pStyle w:val="TAR"/>
              <w:rPr>
                <w:rFonts w:cs="Arial"/>
                <w:color w:val="000000"/>
                <w:sz w:val="16"/>
                <w:szCs w:val="16"/>
                <w:lang w:eastAsia="zh-CN"/>
              </w:rPr>
            </w:pP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Correction to MAC address in MonitoringEvent API</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7.3.0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21-09</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#93e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CP-212214</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0482</w:t>
            </w:r>
          </w:p>
        </w:tc>
        <w:tc>
          <w:tcPr>
            <w:tcW w:w="424" w:type="dxa"/>
            <w:shd w:val="solid" w:color="FFFFFF" w:fill="auto"/>
          </w:tcPr>
          <w:p w:rsidR="00F82319" w:rsidRPr="000A0A5F" w:rsidRDefault="00F82319" w:rsidP="00F82319">
            <w:pPr>
              <w:pStyle w:val="TAR"/>
              <w:rPr>
                <w:rFonts w:cs="Arial"/>
                <w:color w:val="000000"/>
                <w:sz w:val="16"/>
                <w:szCs w:val="16"/>
                <w:lang w:eastAsia="zh-CN"/>
              </w:rPr>
            </w:pP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Updates 204 No Content in GMDviaMBMSbyMB2 API</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7.3.0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21-09</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#93e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CP-212214</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0483</w:t>
            </w:r>
          </w:p>
        </w:tc>
        <w:tc>
          <w:tcPr>
            <w:tcW w:w="424" w:type="dxa"/>
            <w:shd w:val="solid" w:color="FFFFFF" w:fill="auto"/>
          </w:tcPr>
          <w:p w:rsidR="00F82319" w:rsidRPr="000A0A5F" w:rsidRDefault="00F82319" w:rsidP="00F82319">
            <w:pPr>
              <w:pStyle w:val="TAR"/>
              <w:rPr>
                <w:rFonts w:cs="Arial"/>
                <w:color w:val="000000"/>
                <w:sz w:val="16"/>
                <w:szCs w:val="16"/>
                <w:lang w:eastAsia="zh-CN"/>
              </w:rPr>
            </w:pP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Updates 204 No Content in GMDviaMBMSbyxMB API</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7.3.0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21-09</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#93e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CP-212214</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0484</w:t>
            </w:r>
          </w:p>
        </w:tc>
        <w:tc>
          <w:tcPr>
            <w:tcW w:w="424" w:type="dxa"/>
            <w:shd w:val="solid" w:color="FFFFFF" w:fill="auto"/>
          </w:tcPr>
          <w:p w:rsidR="00F82319" w:rsidRPr="000A0A5F" w:rsidRDefault="00F82319" w:rsidP="00F82319">
            <w:pPr>
              <w:pStyle w:val="TAR"/>
              <w:rPr>
                <w:rFonts w:cs="Arial"/>
                <w:color w:val="000000"/>
                <w:sz w:val="16"/>
                <w:szCs w:val="16"/>
                <w:lang w:eastAsia="zh-CN"/>
              </w:rPr>
            </w:pP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Updates notification destination via PATCH operation in GMDviaMBMSbyMB2 API</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7.3.0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21-09</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#93e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CP-212214</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0485</w:t>
            </w:r>
          </w:p>
        </w:tc>
        <w:tc>
          <w:tcPr>
            <w:tcW w:w="424" w:type="dxa"/>
            <w:shd w:val="solid" w:color="FFFFFF" w:fill="auto"/>
          </w:tcPr>
          <w:p w:rsidR="00F82319" w:rsidRPr="000A0A5F" w:rsidRDefault="00F82319" w:rsidP="00F82319">
            <w:pPr>
              <w:pStyle w:val="TAR"/>
              <w:rPr>
                <w:rFonts w:cs="Arial"/>
                <w:color w:val="000000"/>
                <w:sz w:val="16"/>
                <w:szCs w:val="16"/>
                <w:lang w:eastAsia="zh-CN"/>
              </w:rPr>
            </w:pP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Updates notification destination via PATCH operation in GMDviaMBMSbyxMB API</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7.3.0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21-09</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#93e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CP-212215</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0486</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Correct resource URI in NIDD API</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7.3.0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21-09</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#93e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CP-212215</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0487</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Correct resource URI in RacsParameterProvisioning API</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7.3.0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21-09</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#93e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CP-212224</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0488</w:t>
            </w:r>
          </w:p>
        </w:tc>
        <w:tc>
          <w:tcPr>
            <w:tcW w:w="424" w:type="dxa"/>
            <w:shd w:val="solid" w:color="FFFFFF" w:fill="auto"/>
          </w:tcPr>
          <w:p w:rsidR="00F82319" w:rsidRPr="000A0A5F" w:rsidRDefault="00F82319" w:rsidP="00F82319">
            <w:pPr>
              <w:pStyle w:val="TAR"/>
              <w:rPr>
                <w:rFonts w:cs="Arial"/>
                <w:color w:val="000000"/>
                <w:sz w:val="16"/>
                <w:szCs w:val="16"/>
                <w:lang w:eastAsia="zh-CN"/>
              </w:rPr>
            </w:pP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Update DNN and S-NSSAI in MonitoringEvent API</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7.3.0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21-09</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#93e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CP-212226</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0489</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Update procedures to support SCSAS initiated GEM partial cancellation</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7.3.0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21-09</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#93e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CP-212237</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0490</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Updates to support GEM partial cancellation</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7.3.0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21-09</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#93e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CP-212187</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0491</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Support for Multiple QoS Class in deferred location request</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7.3.0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21-09</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#93e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CP-212215</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0492</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2</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Supporting Load and Overload Control for northbound APIs</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7.3.0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21-09</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#93e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CP-212211</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0494</w:t>
            </w:r>
          </w:p>
        </w:tc>
        <w:tc>
          <w:tcPr>
            <w:tcW w:w="424" w:type="dxa"/>
            <w:shd w:val="solid" w:color="FFFFFF" w:fill="auto"/>
          </w:tcPr>
          <w:p w:rsidR="00F82319" w:rsidRPr="000A0A5F" w:rsidRDefault="00F82319" w:rsidP="00F82319">
            <w:pPr>
              <w:pStyle w:val="TAR"/>
              <w:rPr>
                <w:rFonts w:cs="Arial"/>
                <w:color w:val="000000"/>
                <w:sz w:val="16"/>
                <w:szCs w:val="16"/>
                <w:lang w:eastAsia="zh-CN"/>
              </w:rPr>
            </w:pP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Update of TscQosRequirement and TscQosRequirementRm</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7.3.0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21-09</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#93e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CP-212223</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0495</w:t>
            </w:r>
          </w:p>
        </w:tc>
        <w:tc>
          <w:tcPr>
            <w:tcW w:w="424" w:type="dxa"/>
            <w:shd w:val="solid" w:color="FFFFFF" w:fill="auto"/>
          </w:tcPr>
          <w:p w:rsidR="00F82319" w:rsidRPr="000A0A5F" w:rsidRDefault="00F82319" w:rsidP="00F82319">
            <w:pPr>
              <w:pStyle w:val="TAR"/>
              <w:rPr>
                <w:rFonts w:cs="Arial"/>
                <w:color w:val="000000"/>
                <w:sz w:val="16"/>
                <w:szCs w:val="16"/>
                <w:lang w:eastAsia="zh-CN"/>
              </w:rPr>
            </w:pP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Update of OpenAPI version and TS version in externalDocs field</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7.3.0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21-12</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#94e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CP-213233</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0496</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2</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Enhance MonitoringEvent API to support UAV list</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7.4.0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21-12</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#94e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CP-213247</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0497</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Correcting "JSON Patch" encoding of changes</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7.4.0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21-12</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#94e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CP-213235</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0498</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Updates GET Query in AsSessionWithQoS API</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7.4.0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21-12</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#94e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CP-213235</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0499</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Updates GET Query in ChargeableParty API</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7.4.0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21-12</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#94e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CP-213234</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0500</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Adding alternative QoS related parameters to AsSessionWithQoS</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7.4.0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21-12</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#94e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CP-213260</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0502</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2</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Update the data type definition for MonitoringEvent API</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7.4.0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21-12</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#94e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CP-213235</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0503</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Removal of errors from MonitoringEvent OpenAPI file</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7.4.0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21-12</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#94e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CP-213235</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0504</w:t>
            </w:r>
          </w:p>
        </w:tc>
        <w:tc>
          <w:tcPr>
            <w:tcW w:w="424" w:type="dxa"/>
            <w:shd w:val="solid" w:color="FFFFFF" w:fill="auto"/>
          </w:tcPr>
          <w:p w:rsidR="00F82319" w:rsidRPr="000A0A5F" w:rsidRDefault="00F82319" w:rsidP="00F82319">
            <w:pPr>
              <w:pStyle w:val="TAR"/>
              <w:rPr>
                <w:rFonts w:cs="Arial"/>
                <w:color w:val="000000"/>
                <w:sz w:val="16"/>
                <w:szCs w:val="16"/>
                <w:lang w:eastAsia="zh-CN"/>
              </w:rPr>
            </w:pP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ResourceManagementOfBdt: adding summary, operationId and tags fields</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7.4.0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21-12</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#94e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CP-213235</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0505</w:t>
            </w:r>
          </w:p>
        </w:tc>
        <w:tc>
          <w:tcPr>
            <w:tcW w:w="424" w:type="dxa"/>
            <w:shd w:val="solid" w:color="FFFFFF" w:fill="auto"/>
          </w:tcPr>
          <w:p w:rsidR="00F82319" w:rsidRPr="000A0A5F" w:rsidRDefault="00F82319" w:rsidP="00F82319">
            <w:pPr>
              <w:pStyle w:val="TAR"/>
              <w:rPr>
                <w:rFonts w:cs="Arial"/>
                <w:color w:val="000000"/>
                <w:sz w:val="16"/>
                <w:szCs w:val="16"/>
                <w:lang w:eastAsia="zh-CN"/>
              </w:rPr>
            </w:pP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ChargeableParty: adding operationId fields</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7.4.0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21-12</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#94e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CP-213235</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0506</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NIDD: adding summary, operationId and tags fields</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7.4.0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21-12</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#94e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CP-213235</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0507</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DeviceTriggering: adding operationId fields</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7.4.0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21-12</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#94e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CP-213235</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0508</w:t>
            </w:r>
          </w:p>
        </w:tc>
        <w:tc>
          <w:tcPr>
            <w:tcW w:w="424" w:type="dxa"/>
            <w:shd w:val="solid" w:color="FFFFFF" w:fill="auto"/>
          </w:tcPr>
          <w:p w:rsidR="00F82319" w:rsidRPr="000A0A5F" w:rsidRDefault="00F82319" w:rsidP="00F82319">
            <w:pPr>
              <w:pStyle w:val="TAR"/>
              <w:rPr>
                <w:rFonts w:cs="Arial"/>
                <w:color w:val="000000"/>
                <w:sz w:val="16"/>
                <w:szCs w:val="16"/>
                <w:lang w:eastAsia="zh-CN"/>
              </w:rPr>
            </w:pP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GMDviaMBMSbyMB2: adding operationId fields</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7.4.0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21-12</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#94e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CP-213235</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0509</w:t>
            </w:r>
          </w:p>
        </w:tc>
        <w:tc>
          <w:tcPr>
            <w:tcW w:w="424" w:type="dxa"/>
            <w:shd w:val="solid" w:color="FFFFFF" w:fill="auto"/>
          </w:tcPr>
          <w:p w:rsidR="00F82319" w:rsidRPr="000A0A5F" w:rsidRDefault="00F82319" w:rsidP="00F82319">
            <w:pPr>
              <w:pStyle w:val="TAR"/>
              <w:rPr>
                <w:rFonts w:cs="Arial"/>
                <w:color w:val="000000"/>
                <w:sz w:val="16"/>
                <w:szCs w:val="16"/>
                <w:lang w:eastAsia="zh-CN"/>
              </w:rPr>
            </w:pP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GMDviaMBMSbyxMB: adding operationId fields</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7.4.0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21-12</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#94e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CP-213235</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0510</w:t>
            </w:r>
          </w:p>
        </w:tc>
        <w:tc>
          <w:tcPr>
            <w:tcW w:w="424" w:type="dxa"/>
            <w:shd w:val="solid" w:color="FFFFFF" w:fill="auto"/>
          </w:tcPr>
          <w:p w:rsidR="00F82319" w:rsidRPr="000A0A5F" w:rsidRDefault="00F82319" w:rsidP="00F82319">
            <w:pPr>
              <w:pStyle w:val="TAR"/>
              <w:rPr>
                <w:rFonts w:cs="Arial"/>
                <w:color w:val="000000"/>
                <w:sz w:val="16"/>
                <w:szCs w:val="16"/>
                <w:lang w:eastAsia="zh-CN"/>
              </w:rPr>
            </w:pP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ReportingNetworkStatus: adding operationId and tags fields</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7.4.0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21-12</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#94e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CP-213235</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0511</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CpProvisioning: adding summary, operationId and tags fields</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7.4.0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21-12</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#94e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CP-213235</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0512</w:t>
            </w:r>
          </w:p>
        </w:tc>
        <w:tc>
          <w:tcPr>
            <w:tcW w:w="424" w:type="dxa"/>
            <w:shd w:val="solid" w:color="FFFFFF" w:fill="auto"/>
          </w:tcPr>
          <w:p w:rsidR="00F82319" w:rsidRPr="000A0A5F" w:rsidRDefault="00F82319" w:rsidP="00F82319">
            <w:pPr>
              <w:pStyle w:val="TAR"/>
              <w:rPr>
                <w:rFonts w:cs="Arial"/>
                <w:color w:val="000000"/>
                <w:sz w:val="16"/>
                <w:szCs w:val="16"/>
                <w:lang w:eastAsia="zh-CN"/>
              </w:rPr>
            </w:pP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PfdManagement: adding summary, operationId and tags fields</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7.4.0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21-12</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#94e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CP-213235</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0513</w:t>
            </w:r>
          </w:p>
        </w:tc>
        <w:tc>
          <w:tcPr>
            <w:tcW w:w="424" w:type="dxa"/>
            <w:shd w:val="solid" w:color="FFFFFF" w:fill="auto"/>
          </w:tcPr>
          <w:p w:rsidR="00F82319" w:rsidRPr="000A0A5F" w:rsidRDefault="00F82319" w:rsidP="00F82319">
            <w:pPr>
              <w:pStyle w:val="TAR"/>
              <w:rPr>
                <w:rFonts w:cs="Arial"/>
                <w:color w:val="000000"/>
                <w:sz w:val="16"/>
                <w:szCs w:val="16"/>
                <w:lang w:eastAsia="zh-CN"/>
              </w:rPr>
            </w:pP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NpConfiguration: adding operationId fields</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7.4.0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21-12</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#94e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CP-213235</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0514</w:t>
            </w:r>
          </w:p>
        </w:tc>
        <w:tc>
          <w:tcPr>
            <w:tcW w:w="424" w:type="dxa"/>
            <w:shd w:val="solid" w:color="FFFFFF" w:fill="auto"/>
          </w:tcPr>
          <w:p w:rsidR="00F82319" w:rsidRPr="000A0A5F" w:rsidRDefault="00F82319" w:rsidP="00F82319">
            <w:pPr>
              <w:pStyle w:val="TAR"/>
              <w:rPr>
                <w:rFonts w:cs="Arial"/>
                <w:color w:val="000000"/>
                <w:sz w:val="16"/>
                <w:szCs w:val="16"/>
                <w:lang w:eastAsia="zh-CN"/>
              </w:rPr>
            </w:pP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AsSessionWithQoS: adding operationId fields</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7.4.0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21-12</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#94e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CP-213235</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0515</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MsisdnLessMoSms: adding summary, operationId and tags fields</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7.4.0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21-12</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#94e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CP-213235</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0516</w:t>
            </w:r>
          </w:p>
        </w:tc>
        <w:tc>
          <w:tcPr>
            <w:tcW w:w="424" w:type="dxa"/>
            <w:shd w:val="solid" w:color="FFFFFF" w:fill="auto"/>
          </w:tcPr>
          <w:p w:rsidR="00F82319" w:rsidRPr="000A0A5F" w:rsidRDefault="00F82319" w:rsidP="00F82319">
            <w:pPr>
              <w:pStyle w:val="TAR"/>
              <w:rPr>
                <w:rFonts w:cs="Arial"/>
                <w:color w:val="000000"/>
                <w:sz w:val="16"/>
                <w:szCs w:val="16"/>
                <w:lang w:eastAsia="zh-CN"/>
              </w:rPr>
            </w:pP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RacsParameterProvisioning: adding summary, operationId and tags fields</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7.4.0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21-12</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#94e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CP-213247</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0517</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Update error handling procedures for GEM partial cancellation</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7.4.0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21-12</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#94e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CP-213212</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0518</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Resolve editor note for Multiple QoS Class</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7.4.0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21-12</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#94e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CP-213230</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0519</w:t>
            </w:r>
          </w:p>
        </w:tc>
        <w:tc>
          <w:tcPr>
            <w:tcW w:w="424" w:type="dxa"/>
            <w:shd w:val="solid" w:color="FFFFFF" w:fill="auto"/>
          </w:tcPr>
          <w:p w:rsidR="00F82319" w:rsidRPr="000A0A5F" w:rsidRDefault="00F82319" w:rsidP="00F82319">
            <w:pPr>
              <w:pStyle w:val="TAR"/>
              <w:rPr>
                <w:rFonts w:cs="Arial"/>
                <w:color w:val="000000"/>
                <w:sz w:val="16"/>
                <w:szCs w:val="16"/>
                <w:lang w:eastAsia="zh-CN"/>
              </w:rPr>
            </w:pP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Resolving the subscription to NSAC events related ENs</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7.4.0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21-12</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#94e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CP-213230</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0520</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Resolving the reporting type related ENs for NSAC event subscriptions</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7.4.0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21-12</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#94e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CP-213268</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0521</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2</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Supporting explicit subscription to user plane events for the AsSessionWithQoS API</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7.4.0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21-12</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#94e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CP-213235</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0522</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Updating the support of explicit subscription to bearer events for the ChargeableParty API</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7.4.0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21-12</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#94e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CP-213235</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0523</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Supporting 204 No Content during configuration procedure on ResourceManagementOfBdt API</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7.4.0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21-12</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#94e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CP-213236</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0524</w:t>
            </w:r>
          </w:p>
        </w:tc>
        <w:tc>
          <w:tcPr>
            <w:tcW w:w="424" w:type="dxa"/>
            <w:shd w:val="solid" w:color="FFFFFF" w:fill="auto"/>
          </w:tcPr>
          <w:p w:rsidR="00F82319" w:rsidRPr="000A0A5F" w:rsidRDefault="00F82319" w:rsidP="00F82319">
            <w:pPr>
              <w:pStyle w:val="TAR"/>
              <w:rPr>
                <w:rFonts w:cs="Arial"/>
                <w:color w:val="000000"/>
                <w:sz w:val="16"/>
                <w:szCs w:val="16"/>
                <w:lang w:eastAsia="zh-CN"/>
              </w:rPr>
            </w:pP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Correction to Resource URI of CpProvisioning API</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7.4.0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21-12</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#94e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CP-213236</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0525</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Support of 204 No Content during modification procedure on CpProvisioning API</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7.4.0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21-12</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#94e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CP-213220</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0526</w:t>
            </w:r>
          </w:p>
        </w:tc>
        <w:tc>
          <w:tcPr>
            <w:tcW w:w="424" w:type="dxa"/>
            <w:shd w:val="solid" w:color="FFFFFF" w:fill="auto"/>
          </w:tcPr>
          <w:p w:rsidR="00F82319" w:rsidRPr="000A0A5F" w:rsidRDefault="00F82319" w:rsidP="00F82319">
            <w:pPr>
              <w:pStyle w:val="TAR"/>
              <w:rPr>
                <w:rFonts w:cs="Arial"/>
                <w:color w:val="000000"/>
                <w:sz w:val="16"/>
                <w:szCs w:val="16"/>
                <w:lang w:eastAsia="zh-CN"/>
              </w:rPr>
            </w:pP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Alignment with SA3 supported TLS profiles</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7.4.0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21-12</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#94e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CP-213223</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0527</w:t>
            </w:r>
          </w:p>
        </w:tc>
        <w:tc>
          <w:tcPr>
            <w:tcW w:w="424" w:type="dxa"/>
            <w:shd w:val="solid" w:color="FFFFFF" w:fill="auto"/>
          </w:tcPr>
          <w:p w:rsidR="00F82319" w:rsidRPr="000A0A5F" w:rsidRDefault="00F82319" w:rsidP="00F82319">
            <w:pPr>
              <w:pStyle w:val="TAR"/>
              <w:rPr>
                <w:rFonts w:cs="Arial"/>
                <w:color w:val="000000"/>
                <w:sz w:val="16"/>
                <w:szCs w:val="16"/>
                <w:lang w:eastAsia="zh-CN"/>
              </w:rPr>
            </w:pP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Clarification of direct notification</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7.4.0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21-12</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#94e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CP-213230</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0528</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Supporting network slice status retrieval</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7.4.0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21-12</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#94e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CP-213236</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0532</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Updates GET Query in MonitoringEvent API</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7.4.0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21-12</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#94e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CP-213236</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0533</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Adding a list of APIs table</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7.4.0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21-12</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#94e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CP-213267</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0534</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2</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Supporting multiple events per subscription on MonitoringEvent API</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7.4.0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21-12</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#94e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CP-213236</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0536</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Adding the MonitoringEvent API specific data types tables</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7.4.0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21-12</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#94e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CP-213236</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0537</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Adding the DeviceTriggering API specific data types tables</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7.4.0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21-12</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#94e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CP-213236</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0538</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Adding the ReportingNetworkStatus API specific data types tables</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7.4.0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21-12</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#94e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CP-213236</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0539</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Adding the ECRControl API specific data types tables</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7.4.0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21-12</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#94e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CP-213236</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0540</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Adding the NpConfiguration API specific data types tables</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7.4.0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20</w:t>
            </w:r>
            <w:r w:rsidRPr="000A0A5F">
              <w:rPr>
                <w:rFonts w:cs="Arial"/>
                <w:color w:val="000000"/>
                <w:sz w:val="16"/>
                <w:szCs w:val="16"/>
                <w:lang w:eastAsia="zh-CN"/>
              </w:rPr>
              <w:t>21-12</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CT</w:t>
            </w:r>
            <w:r w:rsidRPr="000A0A5F">
              <w:rPr>
                <w:rFonts w:cs="Arial"/>
                <w:color w:val="000000"/>
                <w:sz w:val="16"/>
                <w:szCs w:val="16"/>
                <w:lang w:eastAsia="zh-CN"/>
              </w:rPr>
              <w:t>#94e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CP-213246</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0541</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hint="eastAsia"/>
                <w:color w:val="000000"/>
                <w:sz w:val="16"/>
                <w:szCs w:val="16"/>
                <w:lang w:eastAsia="zh-CN"/>
              </w:rPr>
              <w:t>Update of OpenAPI version and TS version in externalDocs field</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1</w:t>
            </w:r>
            <w:r w:rsidRPr="000A0A5F">
              <w:rPr>
                <w:rFonts w:cs="Arial"/>
                <w:color w:val="000000"/>
                <w:sz w:val="16"/>
                <w:szCs w:val="16"/>
                <w:lang w:eastAsia="zh-CN"/>
              </w:rPr>
              <w:t>7.4.0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color w:val="000000"/>
                <w:sz w:val="16"/>
                <w:szCs w:val="16"/>
                <w:lang w:eastAsia="zh-CN"/>
              </w:rPr>
              <w:t>2022-03</w:t>
            </w:r>
          </w:p>
        </w:tc>
        <w:tc>
          <w:tcPr>
            <w:tcW w:w="79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color w:val="000000"/>
                <w:sz w:val="16"/>
                <w:szCs w:val="16"/>
                <w:lang w:eastAsia="zh-CN"/>
              </w:rPr>
              <w:t>CT</w:t>
            </w:r>
            <w:r w:rsidRPr="000A0A5F">
              <w:rPr>
                <w:rFonts w:eastAsia="Malgun Gothic" w:cs="Arial" w:hint="eastAsia"/>
                <w:color w:val="000000"/>
                <w:sz w:val="16"/>
                <w:szCs w:val="16"/>
                <w:lang w:eastAsia="ko-KR"/>
              </w:rPr>
              <w:t>#</w:t>
            </w:r>
            <w:r w:rsidRPr="000A0A5F">
              <w:rPr>
                <w:rFonts w:eastAsia="Malgun Gothic" w:cs="Arial"/>
                <w:color w:val="000000"/>
                <w:sz w:val="16"/>
                <w:szCs w:val="16"/>
                <w:lang w:eastAsia="ko-KR"/>
              </w:rPr>
              <w:t>95e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CP-220203</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0542</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 </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hint="eastAsia"/>
                <w:color w:val="000000"/>
                <w:sz w:val="16"/>
                <w:szCs w:val="16"/>
                <w:lang w:eastAsia="zh-CN"/>
              </w:rPr>
            </w:pPr>
            <w:r w:rsidRPr="000A0A5F">
              <w:rPr>
                <w:rFonts w:cs="Arial"/>
                <w:color w:val="000000"/>
                <w:sz w:val="16"/>
                <w:szCs w:val="16"/>
                <w:lang w:eastAsia="zh-CN"/>
              </w:rPr>
              <w:t>Correction of mbmsLocArea attribute for GMDViaMBMS APIs</w:t>
            </w:r>
          </w:p>
        </w:tc>
        <w:tc>
          <w:tcPr>
            <w:tcW w:w="707"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color w:val="000000"/>
                <w:sz w:val="16"/>
                <w:szCs w:val="16"/>
                <w:lang w:eastAsia="zh-CN"/>
              </w:rPr>
              <w:t>17.5.0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2022-03</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w:t>
            </w:r>
            <w:r w:rsidRPr="000A0A5F">
              <w:rPr>
                <w:rFonts w:eastAsia="Malgun Gothic" w:cs="Arial" w:hint="eastAsia"/>
                <w:color w:val="000000"/>
                <w:sz w:val="16"/>
                <w:szCs w:val="16"/>
                <w:lang w:eastAsia="ko-KR"/>
              </w:rPr>
              <w:t>#</w:t>
            </w:r>
            <w:r w:rsidRPr="000A0A5F">
              <w:rPr>
                <w:rFonts w:eastAsia="Malgun Gothic" w:cs="Arial"/>
                <w:color w:val="000000"/>
                <w:sz w:val="16"/>
                <w:szCs w:val="16"/>
                <w:lang w:eastAsia="ko-KR"/>
              </w:rPr>
              <w:t>95e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CP-220203</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0543</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 </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Adding the ChargeableParty API specific data types table</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17.5.0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2022-03</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w:t>
            </w:r>
            <w:r w:rsidRPr="000A0A5F">
              <w:rPr>
                <w:rFonts w:eastAsia="Malgun Gothic" w:cs="Arial" w:hint="eastAsia"/>
                <w:color w:val="000000"/>
                <w:sz w:val="16"/>
                <w:szCs w:val="16"/>
                <w:lang w:eastAsia="ko-KR"/>
              </w:rPr>
              <w:t>#</w:t>
            </w:r>
            <w:r w:rsidRPr="000A0A5F">
              <w:rPr>
                <w:rFonts w:eastAsia="Malgun Gothic" w:cs="Arial"/>
                <w:color w:val="000000"/>
                <w:sz w:val="16"/>
                <w:szCs w:val="16"/>
                <w:lang w:eastAsia="ko-KR"/>
              </w:rPr>
              <w:t>95e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CP-220203</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0544</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 </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Adding the PfdManagement API specific data types table</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17.5.0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2022-03</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w:t>
            </w:r>
            <w:r w:rsidRPr="000A0A5F">
              <w:rPr>
                <w:rFonts w:eastAsia="Malgun Gothic" w:cs="Arial" w:hint="eastAsia"/>
                <w:color w:val="000000"/>
                <w:sz w:val="16"/>
                <w:szCs w:val="16"/>
                <w:lang w:eastAsia="ko-KR"/>
              </w:rPr>
              <w:t>#</w:t>
            </w:r>
            <w:r w:rsidRPr="000A0A5F">
              <w:rPr>
                <w:rFonts w:eastAsia="Malgun Gothic" w:cs="Arial"/>
                <w:color w:val="000000"/>
                <w:sz w:val="16"/>
                <w:szCs w:val="16"/>
                <w:lang w:eastAsia="ko-KR"/>
              </w:rPr>
              <w:t>95e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CP-220203</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0545</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Adding the ResourceManagementOfBdt API specific data types table</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17.5.0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2022-03</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w:t>
            </w:r>
            <w:r w:rsidRPr="000A0A5F">
              <w:rPr>
                <w:rFonts w:eastAsia="Malgun Gothic" w:cs="Arial" w:hint="eastAsia"/>
                <w:color w:val="000000"/>
                <w:sz w:val="16"/>
                <w:szCs w:val="16"/>
                <w:lang w:eastAsia="ko-KR"/>
              </w:rPr>
              <w:t>#</w:t>
            </w:r>
            <w:r w:rsidRPr="000A0A5F">
              <w:rPr>
                <w:rFonts w:eastAsia="Malgun Gothic" w:cs="Arial"/>
                <w:color w:val="000000"/>
                <w:sz w:val="16"/>
                <w:szCs w:val="16"/>
                <w:lang w:eastAsia="ko-KR"/>
              </w:rPr>
              <w:t>95e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CP-220203</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0546</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Updating the AsSessionWithQoS API data types table</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17.5.0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2022-03</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w:t>
            </w:r>
            <w:r w:rsidRPr="000A0A5F">
              <w:rPr>
                <w:rFonts w:eastAsia="Malgun Gothic" w:cs="Arial" w:hint="eastAsia"/>
                <w:color w:val="000000"/>
                <w:sz w:val="16"/>
                <w:szCs w:val="16"/>
                <w:lang w:eastAsia="ko-KR"/>
              </w:rPr>
              <w:t>#</w:t>
            </w:r>
            <w:r w:rsidRPr="000A0A5F">
              <w:rPr>
                <w:rFonts w:eastAsia="Malgun Gothic" w:cs="Arial"/>
                <w:color w:val="000000"/>
                <w:sz w:val="16"/>
                <w:szCs w:val="16"/>
                <w:lang w:eastAsia="ko-KR"/>
              </w:rPr>
              <w:t>95e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CP-220204</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0547</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2</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Add the support for PATCH method for the update of a NIDD DL Data transfer resource</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17.5.0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2022-03</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w:t>
            </w:r>
            <w:r w:rsidRPr="000A0A5F">
              <w:rPr>
                <w:rFonts w:eastAsia="Malgun Gothic" w:cs="Arial" w:hint="eastAsia"/>
                <w:color w:val="000000"/>
                <w:sz w:val="16"/>
                <w:szCs w:val="16"/>
                <w:lang w:eastAsia="ko-KR"/>
              </w:rPr>
              <w:t>#</w:t>
            </w:r>
            <w:r w:rsidRPr="000A0A5F">
              <w:rPr>
                <w:rFonts w:eastAsia="Malgun Gothic" w:cs="Arial"/>
                <w:color w:val="000000"/>
                <w:sz w:val="16"/>
                <w:szCs w:val="16"/>
                <w:lang w:eastAsia="ko-KR"/>
              </w:rPr>
              <w:t>95e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CP-220204</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0548</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3</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Add the support of PATCH for the update of a Device Triggering Transaction resource</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17.5.0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2022-03</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w:t>
            </w:r>
            <w:r w:rsidRPr="000A0A5F">
              <w:rPr>
                <w:rFonts w:eastAsia="Malgun Gothic" w:cs="Arial" w:hint="eastAsia"/>
                <w:color w:val="000000"/>
                <w:sz w:val="16"/>
                <w:szCs w:val="16"/>
                <w:lang w:eastAsia="ko-KR"/>
              </w:rPr>
              <w:t>#</w:t>
            </w:r>
            <w:r w:rsidRPr="000A0A5F">
              <w:rPr>
                <w:rFonts w:eastAsia="Malgun Gothic" w:cs="Arial"/>
                <w:color w:val="000000"/>
                <w:sz w:val="16"/>
                <w:szCs w:val="16"/>
                <w:lang w:eastAsia="ko-KR"/>
              </w:rPr>
              <w:t>95e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CP-220203</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0549</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Adding the NIDD API specific data types table</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17.5.0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2022-03</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w:t>
            </w:r>
            <w:r w:rsidRPr="000A0A5F">
              <w:rPr>
                <w:rFonts w:eastAsia="Malgun Gothic" w:cs="Arial" w:hint="eastAsia"/>
                <w:color w:val="000000"/>
                <w:sz w:val="16"/>
                <w:szCs w:val="16"/>
                <w:lang w:eastAsia="ko-KR"/>
              </w:rPr>
              <w:t>#</w:t>
            </w:r>
            <w:r w:rsidRPr="000A0A5F">
              <w:rPr>
                <w:rFonts w:eastAsia="Malgun Gothic" w:cs="Arial"/>
                <w:color w:val="000000"/>
                <w:sz w:val="16"/>
                <w:szCs w:val="16"/>
                <w:lang w:eastAsia="ko-KR"/>
              </w:rPr>
              <w:t>95e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CP-220203</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0550</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 </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Adding the GMDViaMBMS APIs specific data types tables</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17.5.0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2022-03</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w:t>
            </w:r>
            <w:r w:rsidRPr="000A0A5F">
              <w:rPr>
                <w:rFonts w:eastAsia="Malgun Gothic" w:cs="Arial" w:hint="eastAsia"/>
                <w:color w:val="000000"/>
                <w:sz w:val="16"/>
                <w:szCs w:val="16"/>
                <w:lang w:eastAsia="ko-KR"/>
              </w:rPr>
              <w:t>#</w:t>
            </w:r>
            <w:r w:rsidRPr="000A0A5F">
              <w:rPr>
                <w:rFonts w:eastAsia="Malgun Gothic" w:cs="Arial"/>
                <w:color w:val="000000"/>
                <w:sz w:val="16"/>
                <w:szCs w:val="16"/>
                <w:lang w:eastAsia="ko-KR"/>
              </w:rPr>
              <w:t>95e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CP-220203</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0551</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 </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Adding the CpProvisioning API specific data types table</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17.5.0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2022-03</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w:t>
            </w:r>
            <w:r w:rsidRPr="000A0A5F">
              <w:rPr>
                <w:rFonts w:eastAsia="Malgun Gothic" w:cs="Arial" w:hint="eastAsia"/>
                <w:color w:val="000000"/>
                <w:sz w:val="16"/>
                <w:szCs w:val="16"/>
                <w:lang w:eastAsia="ko-KR"/>
              </w:rPr>
              <w:t>#</w:t>
            </w:r>
            <w:r w:rsidRPr="000A0A5F">
              <w:rPr>
                <w:rFonts w:eastAsia="Malgun Gothic" w:cs="Arial"/>
                <w:color w:val="000000"/>
                <w:sz w:val="16"/>
                <w:szCs w:val="16"/>
                <w:lang w:eastAsia="ko-KR"/>
              </w:rPr>
              <w:t>95e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CP-220203</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0552</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 </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Adding the MsisdnLessMoSms API specific data types table</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17.5.0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2022-03</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w:t>
            </w:r>
            <w:r w:rsidRPr="000A0A5F">
              <w:rPr>
                <w:rFonts w:eastAsia="Malgun Gothic" w:cs="Arial" w:hint="eastAsia"/>
                <w:color w:val="000000"/>
                <w:sz w:val="16"/>
                <w:szCs w:val="16"/>
                <w:lang w:eastAsia="ko-KR"/>
              </w:rPr>
              <w:t>#</w:t>
            </w:r>
            <w:r w:rsidRPr="000A0A5F">
              <w:rPr>
                <w:rFonts w:eastAsia="Malgun Gothic" w:cs="Arial"/>
                <w:color w:val="000000"/>
                <w:sz w:val="16"/>
                <w:szCs w:val="16"/>
                <w:lang w:eastAsia="ko-KR"/>
              </w:rPr>
              <w:t>95e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CP-220203</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0553</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 </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Adding the RacsParameterProvisioning API specific data types table</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17.5.0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2022-03</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w:t>
            </w:r>
            <w:r w:rsidRPr="000A0A5F">
              <w:rPr>
                <w:rFonts w:eastAsia="Malgun Gothic" w:cs="Arial" w:hint="eastAsia"/>
                <w:color w:val="000000"/>
                <w:sz w:val="16"/>
                <w:szCs w:val="16"/>
                <w:lang w:eastAsia="ko-KR"/>
              </w:rPr>
              <w:t>#</w:t>
            </w:r>
            <w:r w:rsidRPr="000A0A5F">
              <w:rPr>
                <w:rFonts w:eastAsia="Malgun Gothic" w:cs="Arial"/>
                <w:color w:val="000000"/>
                <w:sz w:val="16"/>
                <w:szCs w:val="16"/>
                <w:lang w:eastAsia="ko-KR"/>
              </w:rPr>
              <w:t>95e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CP-220181</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0554</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Add the support of the civic address type of accuracy</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17.5.0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2022-03</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w:t>
            </w:r>
            <w:r w:rsidRPr="000A0A5F">
              <w:rPr>
                <w:rFonts w:eastAsia="Malgun Gothic" w:cs="Arial" w:hint="eastAsia"/>
                <w:color w:val="000000"/>
                <w:sz w:val="16"/>
                <w:szCs w:val="16"/>
                <w:lang w:eastAsia="ko-KR"/>
              </w:rPr>
              <w:t>#</w:t>
            </w:r>
            <w:r w:rsidRPr="000A0A5F">
              <w:rPr>
                <w:rFonts w:eastAsia="Malgun Gothic" w:cs="Arial"/>
                <w:color w:val="000000"/>
                <w:sz w:val="16"/>
                <w:szCs w:val="16"/>
                <w:lang w:eastAsia="ko-KR"/>
              </w:rPr>
              <w:t>95e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CP-220187</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0555</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Defining the reporting format for NSAC</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17.5.0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2022-03</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w:t>
            </w:r>
            <w:r w:rsidRPr="000A0A5F">
              <w:rPr>
                <w:rFonts w:eastAsia="Malgun Gothic" w:cs="Arial" w:hint="eastAsia"/>
                <w:color w:val="000000"/>
                <w:sz w:val="16"/>
                <w:szCs w:val="16"/>
                <w:lang w:eastAsia="ko-KR"/>
              </w:rPr>
              <w:t>#</w:t>
            </w:r>
            <w:r w:rsidRPr="000A0A5F">
              <w:rPr>
                <w:rFonts w:eastAsia="Malgun Gothic" w:cs="Arial"/>
                <w:color w:val="000000"/>
                <w:sz w:val="16"/>
                <w:szCs w:val="16"/>
                <w:lang w:eastAsia="ko-KR"/>
              </w:rPr>
              <w:t>95e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CP-220203</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0556</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Description of JSON body with "JSON Patch" encoding of changes</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17.5.0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2022-03</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w:t>
            </w:r>
            <w:r w:rsidRPr="000A0A5F">
              <w:rPr>
                <w:rFonts w:eastAsia="Malgun Gothic" w:cs="Arial" w:hint="eastAsia"/>
                <w:color w:val="000000"/>
                <w:sz w:val="16"/>
                <w:szCs w:val="16"/>
                <w:lang w:eastAsia="ko-KR"/>
              </w:rPr>
              <w:t>#</w:t>
            </w:r>
            <w:r w:rsidRPr="000A0A5F">
              <w:rPr>
                <w:rFonts w:eastAsia="Malgun Gothic" w:cs="Arial"/>
                <w:color w:val="000000"/>
                <w:sz w:val="16"/>
                <w:szCs w:val="16"/>
                <w:lang w:eastAsia="ko-KR"/>
              </w:rPr>
              <w:t>95e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CP-220203</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0557</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 </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Updates to GET query supporting in collection level</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17.5.0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2022-03</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w:t>
            </w:r>
            <w:r w:rsidRPr="000A0A5F">
              <w:rPr>
                <w:rFonts w:eastAsia="Malgun Gothic" w:cs="Arial" w:hint="eastAsia"/>
                <w:color w:val="000000"/>
                <w:sz w:val="16"/>
                <w:szCs w:val="16"/>
                <w:lang w:eastAsia="ko-KR"/>
              </w:rPr>
              <w:t>#</w:t>
            </w:r>
            <w:r w:rsidRPr="000A0A5F">
              <w:rPr>
                <w:rFonts w:eastAsia="Malgun Gothic" w:cs="Arial"/>
                <w:color w:val="000000"/>
                <w:sz w:val="16"/>
                <w:szCs w:val="16"/>
                <w:lang w:eastAsia="ko-KR"/>
              </w:rPr>
              <w:t>95e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CP-220203</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0558</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 </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Updates GET query in PfdManagement API</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17.5.0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2022-03</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w:t>
            </w:r>
            <w:r w:rsidRPr="000A0A5F">
              <w:rPr>
                <w:rFonts w:eastAsia="Malgun Gothic" w:cs="Arial" w:hint="eastAsia"/>
                <w:color w:val="000000"/>
                <w:sz w:val="16"/>
                <w:szCs w:val="16"/>
                <w:lang w:eastAsia="ko-KR"/>
              </w:rPr>
              <w:t>#</w:t>
            </w:r>
            <w:r w:rsidRPr="000A0A5F">
              <w:rPr>
                <w:rFonts w:eastAsia="Malgun Gothic" w:cs="Arial"/>
                <w:color w:val="000000"/>
                <w:sz w:val="16"/>
                <w:szCs w:val="16"/>
                <w:lang w:eastAsia="ko-KR"/>
              </w:rPr>
              <w:t>95e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CP-220183</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0559</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Adding alternative QoS related parameter sets to AsSessionWithQoS</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17.5.0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2022-03</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w:t>
            </w:r>
            <w:r w:rsidRPr="000A0A5F">
              <w:rPr>
                <w:rFonts w:eastAsia="Malgun Gothic" w:cs="Arial" w:hint="eastAsia"/>
                <w:color w:val="000000"/>
                <w:sz w:val="16"/>
                <w:szCs w:val="16"/>
                <w:lang w:eastAsia="ko-KR"/>
              </w:rPr>
              <w:t>#</w:t>
            </w:r>
            <w:r w:rsidRPr="000A0A5F">
              <w:rPr>
                <w:rFonts w:eastAsia="Malgun Gothic" w:cs="Arial"/>
                <w:color w:val="000000"/>
                <w:sz w:val="16"/>
                <w:szCs w:val="16"/>
                <w:lang w:eastAsia="ko-KR"/>
              </w:rPr>
              <w:t>95e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CP-220203</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0560</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 </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Correction of the encoding of complex query parameters</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17.5.0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2022-03</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w:t>
            </w:r>
            <w:r w:rsidRPr="000A0A5F">
              <w:rPr>
                <w:rFonts w:eastAsia="Malgun Gothic" w:cs="Arial" w:hint="eastAsia"/>
                <w:color w:val="000000"/>
                <w:sz w:val="16"/>
                <w:szCs w:val="16"/>
                <w:lang w:eastAsia="ko-KR"/>
              </w:rPr>
              <w:t>#</w:t>
            </w:r>
            <w:r w:rsidRPr="000A0A5F">
              <w:rPr>
                <w:rFonts w:eastAsia="Malgun Gothic" w:cs="Arial"/>
                <w:color w:val="000000"/>
                <w:sz w:val="16"/>
                <w:szCs w:val="16"/>
                <w:lang w:eastAsia="ko-KR"/>
              </w:rPr>
              <w:t>95e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CP-220199</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0561</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Support GEM partial addition</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17.5.0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2022-03</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w:t>
            </w:r>
            <w:r w:rsidRPr="000A0A5F">
              <w:rPr>
                <w:rFonts w:eastAsia="Malgun Gothic" w:cs="Arial" w:hint="eastAsia"/>
                <w:color w:val="000000"/>
                <w:sz w:val="16"/>
                <w:szCs w:val="16"/>
                <w:lang w:eastAsia="ko-KR"/>
              </w:rPr>
              <w:t>#</w:t>
            </w:r>
            <w:r w:rsidRPr="000A0A5F">
              <w:rPr>
                <w:rFonts w:eastAsia="Malgun Gothic" w:cs="Arial"/>
                <w:color w:val="000000"/>
                <w:sz w:val="16"/>
                <w:szCs w:val="16"/>
                <w:lang w:eastAsia="ko-KR"/>
              </w:rPr>
              <w:t>95e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CP-220185</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0562</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 </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Feature support handling for Edge Computing</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17.5.0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2022-03</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w:t>
            </w:r>
            <w:r w:rsidRPr="000A0A5F">
              <w:rPr>
                <w:rFonts w:eastAsia="Malgun Gothic" w:cs="Arial" w:hint="eastAsia"/>
                <w:color w:val="000000"/>
                <w:sz w:val="16"/>
                <w:szCs w:val="16"/>
                <w:lang w:eastAsia="ko-KR"/>
              </w:rPr>
              <w:t>#</w:t>
            </w:r>
            <w:r w:rsidRPr="000A0A5F">
              <w:rPr>
                <w:rFonts w:eastAsia="Malgun Gothic" w:cs="Arial"/>
                <w:color w:val="000000"/>
                <w:sz w:val="16"/>
                <w:szCs w:val="16"/>
                <w:lang w:eastAsia="ko-KR"/>
              </w:rPr>
              <w:t>95e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CP-220187</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0564</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One-time reporting</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17.5.0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2022-03</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w:t>
            </w:r>
            <w:r w:rsidRPr="000A0A5F">
              <w:rPr>
                <w:rFonts w:eastAsia="Malgun Gothic" w:cs="Arial" w:hint="eastAsia"/>
                <w:color w:val="000000"/>
                <w:sz w:val="16"/>
                <w:szCs w:val="16"/>
                <w:lang w:eastAsia="ko-KR"/>
              </w:rPr>
              <w:t>#</w:t>
            </w:r>
            <w:r w:rsidRPr="000A0A5F">
              <w:rPr>
                <w:rFonts w:eastAsia="Malgun Gothic" w:cs="Arial"/>
                <w:color w:val="000000"/>
                <w:sz w:val="16"/>
                <w:szCs w:val="16"/>
                <w:lang w:eastAsia="ko-KR"/>
              </w:rPr>
              <w:t>95e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CP-220169</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0567</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 </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A</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Incorrect resource name and attribute name</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17.5.0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2022-03</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w:t>
            </w:r>
            <w:r w:rsidRPr="000A0A5F">
              <w:rPr>
                <w:rFonts w:eastAsia="Malgun Gothic" w:cs="Arial" w:hint="eastAsia"/>
                <w:color w:val="000000"/>
                <w:sz w:val="16"/>
                <w:szCs w:val="16"/>
                <w:lang w:eastAsia="ko-KR"/>
              </w:rPr>
              <w:t>#</w:t>
            </w:r>
            <w:r w:rsidRPr="000A0A5F">
              <w:rPr>
                <w:rFonts w:eastAsia="Malgun Gothic" w:cs="Arial"/>
                <w:color w:val="000000"/>
                <w:sz w:val="16"/>
                <w:szCs w:val="16"/>
                <w:lang w:eastAsia="ko-KR"/>
              </w:rPr>
              <w:t>95e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CP-220181</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0568</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Support AF specific UE ID retrieval in MonitoringEvent API</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17.5.0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2022-03</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w:t>
            </w:r>
            <w:r w:rsidRPr="000A0A5F">
              <w:rPr>
                <w:rFonts w:eastAsia="Malgun Gothic" w:cs="Arial" w:hint="eastAsia"/>
                <w:color w:val="000000"/>
                <w:sz w:val="16"/>
                <w:szCs w:val="16"/>
                <w:lang w:eastAsia="ko-KR"/>
              </w:rPr>
              <w:t>#</w:t>
            </w:r>
            <w:r w:rsidRPr="000A0A5F">
              <w:rPr>
                <w:rFonts w:eastAsia="Malgun Gothic" w:cs="Arial"/>
                <w:color w:val="000000"/>
                <w:sz w:val="16"/>
                <w:szCs w:val="16"/>
                <w:lang w:eastAsia="ko-KR"/>
              </w:rPr>
              <w:t>95e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CP-220181</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0569</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Support AF specific UE ID retrieval in CpProvisioning API</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17.5.0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2022-03</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w:t>
            </w:r>
            <w:r w:rsidRPr="000A0A5F">
              <w:rPr>
                <w:rFonts w:eastAsia="Malgun Gothic" w:cs="Arial" w:hint="eastAsia"/>
                <w:color w:val="000000"/>
                <w:sz w:val="16"/>
                <w:szCs w:val="16"/>
                <w:lang w:eastAsia="ko-KR"/>
              </w:rPr>
              <w:t>#</w:t>
            </w:r>
            <w:r w:rsidRPr="000A0A5F">
              <w:rPr>
                <w:rFonts w:eastAsia="Malgun Gothic" w:cs="Arial"/>
                <w:color w:val="000000"/>
                <w:sz w:val="16"/>
                <w:szCs w:val="16"/>
                <w:lang w:eastAsia="ko-KR"/>
              </w:rPr>
              <w:t>95e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CP-220181</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0570</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Support AF specific UE ID retrieval in NpConfiguration API</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17.5.0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2022-03</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w:t>
            </w:r>
            <w:r w:rsidRPr="000A0A5F">
              <w:rPr>
                <w:rFonts w:eastAsia="Malgun Gothic" w:cs="Arial" w:hint="eastAsia"/>
                <w:color w:val="000000"/>
                <w:sz w:val="16"/>
                <w:szCs w:val="16"/>
                <w:lang w:eastAsia="ko-KR"/>
              </w:rPr>
              <w:t>#</w:t>
            </w:r>
            <w:r w:rsidRPr="000A0A5F">
              <w:rPr>
                <w:rFonts w:eastAsia="Malgun Gothic" w:cs="Arial"/>
                <w:color w:val="000000"/>
                <w:sz w:val="16"/>
                <w:szCs w:val="16"/>
                <w:lang w:eastAsia="ko-KR"/>
              </w:rPr>
              <w:t>95e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CP-220204</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0571</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Support PATCH for the update of a PFD Management Transaction resource</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17.5.0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2022-03</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w:t>
            </w:r>
            <w:r w:rsidRPr="000A0A5F">
              <w:rPr>
                <w:rFonts w:eastAsia="Malgun Gothic" w:cs="Arial" w:hint="eastAsia"/>
                <w:color w:val="000000"/>
                <w:sz w:val="16"/>
                <w:szCs w:val="16"/>
                <w:lang w:eastAsia="ko-KR"/>
              </w:rPr>
              <w:t>#</w:t>
            </w:r>
            <w:r w:rsidRPr="000A0A5F">
              <w:rPr>
                <w:rFonts w:eastAsia="Malgun Gothic" w:cs="Arial"/>
                <w:color w:val="000000"/>
                <w:sz w:val="16"/>
                <w:szCs w:val="16"/>
                <w:lang w:eastAsia="ko-KR"/>
              </w:rPr>
              <w:t>95e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CP-220204</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0572</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Support PATCH for the update of Network Status Reporting Subscription resource</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17.5.0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2022-03</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w:t>
            </w:r>
            <w:r w:rsidRPr="000A0A5F">
              <w:rPr>
                <w:rFonts w:eastAsia="Malgun Gothic" w:cs="Arial" w:hint="eastAsia"/>
                <w:color w:val="000000"/>
                <w:sz w:val="16"/>
                <w:szCs w:val="16"/>
                <w:lang w:eastAsia="ko-KR"/>
              </w:rPr>
              <w:t>#</w:t>
            </w:r>
            <w:r w:rsidRPr="000A0A5F">
              <w:rPr>
                <w:rFonts w:eastAsia="Malgun Gothic" w:cs="Arial"/>
                <w:color w:val="000000"/>
                <w:sz w:val="16"/>
                <w:szCs w:val="16"/>
                <w:lang w:eastAsia="ko-KR"/>
              </w:rPr>
              <w:t>95e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CP-220194</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0573</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 </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Update of info and externalDocs fields</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17.5.0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2022-06</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w:t>
            </w:r>
            <w:r w:rsidRPr="000A0A5F">
              <w:rPr>
                <w:rFonts w:eastAsia="Malgun Gothic" w:cs="Arial" w:hint="eastAsia"/>
                <w:color w:val="000000"/>
                <w:sz w:val="16"/>
                <w:szCs w:val="16"/>
                <w:lang w:eastAsia="ko-KR"/>
              </w:rPr>
              <w:t>#</w:t>
            </w:r>
            <w:r w:rsidRPr="000A0A5F">
              <w:rPr>
                <w:rFonts w:eastAsia="Malgun Gothic" w:cs="Arial"/>
                <w:color w:val="000000"/>
                <w:sz w:val="16"/>
                <w:szCs w:val="16"/>
                <w:lang w:eastAsia="ko-KR"/>
              </w:rPr>
              <w:t>96</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CP-221145</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0575</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Mutual exclusivity of QoS reference and individual QoS parameters</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17.6.0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2022-06</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w:t>
            </w:r>
            <w:r w:rsidRPr="000A0A5F">
              <w:rPr>
                <w:rFonts w:eastAsia="Malgun Gothic" w:cs="Arial" w:hint="eastAsia"/>
                <w:color w:val="000000"/>
                <w:sz w:val="16"/>
                <w:szCs w:val="16"/>
                <w:lang w:eastAsia="ko-KR"/>
              </w:rPr>
              <w:t>#</w:t>
            </w:r>
            <w:r w:rsidRPr="000A0A5F">
              <w:rPr>
                <w:rFonts w:eastAsia="Malgun Gothic" w:cs="Arial"/>
                <w:color w:val="000000"/>
                <w:sz w:val="16"/>
                <w:szCs w:val="16"/>
                <w:lang w:eastAsia="ko-KR"/>
              </w:rPr>
              <w:t>96</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CP-221139</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0576</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Corrections to the AF provided inputs for NSAC</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17.6.0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2022-06</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w:t>
            </w:r>
            <w:r w:rsidRPr="000A0A5F">
              <w:rPr>
                <w:rFonts w:eastAsia="Malgun Gothic" w:cs="Arial" w:hint="eastAsia"/>
                <w:color w:val="000000"/>
                <w:sz w:val="16"/>
                <w:szCs w:val="16"/>
                <w:lang w:eastAsia="ko-KR"/>
              </w:rPr>
              <w:t>#</w:t>
            </w:r>
            <w:r w:rsidRPr="000A0A5F">
              <w:rPr>
                <w:rFonts w:eastAsia="Malgun Gothic" w:cs="Arial"/>
                <w:color w:val="000000"/>
                <w:sz w:val="16"/>
                <w:szCs w:val="16"/>
                <w:lang w:eastAsia="ko-KR"/>
              </w:rPr>
              <w:t>96</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CP-221147</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0577</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Aligning the naming conventions for resource URI components and enumerations with 5GC APIs</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17.6.0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2022-06</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w:t>
            </w:r>
            <w:r w:rsidRPr="000A0A5F">
              <w:rPr>
                <w:rFonts w:eastAsia="Malgun Gothic" w:cs="Arial" w:hint="eastAsia"/>
                <w:color w:val="000000"/>
                <w:sz w:val="16"/>
                <w:szCs w:val="16"/>
                <w:lang w:eastAsia="ko-KR"/>
              </w:rPr>
              <w:t>#</w:t>
            </w:r>
            <w:r w:rsidRPr="000A0A5F">
              <w:rPr>
                <w:rFonts w:eastAsia="Malgun Gothic" w:cs="Arial"/>
                <w:color w:val="000000"/>
                <w:sz w:val="16"/>
                <w:szCs w:val="16"/>
                <w:lang w:eastAsia="ko-KR"/>
              </w:rPr>
              <w:t>96</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CP-221147</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0578</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Resolving the naming convention issues</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17.6.0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2022-06</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w:t>
            </w:r>
            <w:r w:rsidRPr="000A0A5F">
              <w:rPr>
                <w:rFonts w:eastAsia="Malgun Gothic" w:cs="Arial" w:hint="eastAsia"/>
                <w:color w:val="000000"/>
                <w:sz w:val="16"/>
                <w:szCs w:val="16"/>
                <w:lang w:eastAsia="ko-KR"/>
              </w:rPr>
              <w:t>#</w:t>
            </w:r>
            <w:r w:rsidRPr="000A0A5F">
              <w:rPr>
                <w:rFonts w:eastAsia="Malgun Gothic" w:cs="Arial"/>
                <w:color w:val="000000"/>
                <w:sz w:val="16"/>
                <w:szCs w:val="16"/>
                <w:lang w:eastAsia="ko-KR"/>
              </w:rPr>
              <w:t>96</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CP-221144</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0580</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Support of QoS notification control for requested alternative QoS parameters</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17.6.0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2022-06</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w:t>
            </w:r>
            <w:r w:rsidRPr="000A0A5F">
              <w:rPr>
                <w:rFonts w:eastAsia="Malgun Gothic" w:cs="Arial" w:hint="eastAsia"/>
                <w:color w:val="000000"/>
                <w:sz w:val="16"/>
                <w:szCs w:val="16"/>
                <w:lang w:eastAsia="ko-KR"/>
              </w:rPr>
              <w:t>#</w:t>
            </w:r>
            <w:r w:rsidRPr="000A0A5F">
              <w:rPr>
                <w:rFonts w:eastAsia="Malgun Gothic" w:cs="Arial"/>
                <w:color w:val="000000"/>
                <w:sz w:val="16"/>
                <w:szCs w:val="16"/>
                <w:lang w:eastAsia="ko-KR"/>
              </w:rPr>
              <w:t>96</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CP-221159</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0581</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 </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Adding Link data type with "nullable: true" property</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17.6.0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2022-06</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w:t>
            </w:r>
            <w:r w:rsidRPr="000A0A5F">
              <w:rPr>
                <w:rFonts w:eastAsia="Malgun Gothic" w:cs="Arial" w:hint="eastAsia"/>
                <w:color w:val="000000"/>
                <w:sz w:val="16"/>
                <w:szCs w:val="16"/>
                <w:lang w:eastAsia="ko-KR"/>
              </w:rPr>
              <w:t>#</w:t>
            </w:r>
            <w:r w:rsidRPr="000A0A5F">
              <w:rPr>
                <w:rFonts w:eastAsia="Malgun Gothic" w:cs="Arial"/>
                <w:color w:val="000000"/>
                <w:sz w:val="16"/>
                <w:szCs w:val="16"/>
                <w:lang w:eastAsia="ko-KR"/>
              </w:rPr>
              <w:t>96</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CP-221159</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0583</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 </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sz w:val="16"/>
                <w:szCs w:val="16"/>
              </w:rPr>
              <w:t>B</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sz w:val="16"/>
                <w:szCs w:val="16"/>
              </w:rPr>
              <w:t>Missing application errors in the Monitoring API</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17.6.0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2022-06</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w:t>
            </w:r>
            <w:r w:rsidRPr="000A0A5F">
              <w:rPr>
                <w:rFonts w:eastAsia="Malgun Gothic" w:cs="Arial" w:hint="eastAsia"/>
                <w:color w:val="000000"/>
                <w:sz w:val="16"/>
                <w:szCs w:val="16"/>
                <w:lang w:eastAsia="ko-KR"/>
              </w:rPr>
              <w:t>#</w:t>
            </w:r>
            <w:r w:rsidRPr="000A0A5F">
              <w:rPr>
                <w:rFonts w:eastAsia="Malgun Gothic" w:cs="Arial"/>
                <w:color w:val="000000"/>
                <w:sz w:val="16"/>
                <w:szCs w:val="16"/>
                <w:lang w:eastAsia="ko-KR"/>
              </w:rPr>
              <w:t>96</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CP-221159</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0584</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 </w:t>
            </w:r>
          </w:p>
        </w:tc>
        <w:tc>
          <w:tcPr>
            <w:tcW w:w="424" w:type="dxa"/>
            <w:shd w:val="solid" w:color="FFFFFF" w:fill="auto"/>
          </w:tcPr>
          <w:p w:rsidR="00F82319" w:rsidRPr="000A0A5F" w:rsidRDefault="00F82319" w:rsidP="00F82319">
            <w:pPr>
              <w:pStyle w:val="TAC"/>
              <w:rPr>
                <w:rFonts w:cs="Arial"/>
                <w:sz w:val="16"/>
                <w:szCs w:val="16"/>
              </w:rPr>
            </w:pPr>
            <w:r w:rsidRPr="000A0A5F">
              <w:rPr>
                <w:rFonts w:cs="Arial"/>
                <w:sz w:val="16"/>
                <w:szCs w:val="16"/>
              </w:rPr>
              <w:t>F</w:t>
            </w:r>
          </w:p>
        </w:tc>
        <w:tc>
          <w:tcPr>
            <w:tcW w:w="4919" w:type="dxa"/>
            <w:shd w:val="solid" w:color="FFFFFF" w:fill="auto"/>
          </w:tcPr>
          <w:p w:rsidR="00F82319" w:rsidRPr="000A0A5F" w:rsidRDefault="00F82319" w:rsidP="00F82319">
            <w:pPr>
              <w:pStyle w:val="TAL"/>
              <w:rPr>
                <w:rFonts w:cs="Arial"/>
                <w:sz w:val="16"/>
                <w:szCs w:val="16"/>
              </w:rPr>
            </w:pPr>
            <w:r w:rsidRPr="000A0A5F">
              <w:rPr>
                <w:rFonts w:cs="Arial"/>
                <w:sz w:val="16"/>
                <w:szCs w:val="16"/>
              </w:rPr>
              <w:t>Correction to TscQosRequirement and TscQosRequirementRm</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17.6.0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2022-06</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w:t>
            </w:r>
            <w:r w:rsidRPr="000A0A5F">
              <w:rPr>
                <w:rFonts w:eastAsia="Malgun Gothic" w:cs="Arial" w:hint="eastAsia"/>
                <w:color w:val="000000"/>
                <w:sz w:val="16"/>
                <w:szCs w:val="16"/>
                <w:lang w:eastAsia="ko-KR"/>
              </w:rPr>
              <w:t>#</w:t>
            </w:r>
            <w:r w:rsidRPr="000A0A5F">
              <w:rPr>
                <w:rFonts w:eastAsia="Malgun Gothic" w:cs="Arial"/>
                <w:color w:val="000000"/>
                <w:sz w:val="16"/>
                <w:szCs w:val="16"/>
                <w:lang w:eastAsia="ko-KR"/>
              </w:rPr>
              <w:t>96</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CP-221159</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0585</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 </w:t>
            </w:r>
          </w:p>
        </w:tc>
        <w:tc>
          <w:tcPr>
            <w:tcW w:w="424" w:type="dxa"/>
            <w:shd w:val="solid" w:color="FFFFFF" w:fill="auto"/>
          </w:tcPr>
          <w:p w:rsidR="00F82319" w:rsidRPr="000A0A5F" w:rsidRDefault="00F82319" w:rsidP="00F82319">
            <w:pPr>
              <w:pStyle w:val="TAC"/>
              <w:rPr>
                <w:rFonts w:cs="Arial"/>
                <w:sz w:val="16"/>
                <w:szCs w:val="16"/>
              </w:rPr>
            </w:pPr>
            <w:r w:rsidRPr="000A0A5F">
              <w:rPr>
                <w:rFonts w:cs="Arial"/>
                <w:sz w:val="16"/>
                <w:szCs w:val="16"/>
              </w:rPr>
              <w:t>B</w:t>
            </w:r>
          </w:p>
        </w:tc>
        <w:tc>
          <w:tcPr>
            <w:tcW w:w="4919" w:type="dxa"/>
            <w:shd w:val="solid" w:color="FFFFFF" w:fill="auto"/>
          </w:tcPr>
          <w:p w:rsidR="00F82319" w:rsidRPr="000A0A5F" w:rsidRDefault="00F82319" w:rsidP="00F82319">
            <w:pPr>
              <w:pStyle w:val="TAL"/>
              <w:rPr>
                <w:rFonts w:cs="Arial"/>
                <w:sz w:val="16"/>
                <w:szCs w:val="16"/>
              </w:rPr>
            </w:pPr>
            <w:r w:rsidRPr="000A0A5F">
              <w:rPr>
                <w:rFonts w:cs="Arial"/>
                <w:sz w:val="16"/>
                <w:szCs w:val="16"/>
              </w:rPr>
              <w:t>Supporting user consent revocation for EDGEAPP on the Nnef_EventExposure API</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17.6.0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2022-06</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w:t>
            </w:r>
            <w:r w:rsidRPr="000A0A5F">
              <w:rPr>
                <w:rFonts w:eastAsia="Malgun Gothic" w:cs="Arial" w:hint="eastAsia"/>
                <w:color w:val="000000"/>
                <w:sz w:val="16"/>
                <w:szCs w:val="16"/>
                <w:lang w:eastAsia="ko-KR"/>
              </w:rPr>
              <w:t>#</w:t>
            </w:r>
            <w:r w:rsidRPr="000A0A5F">
              <w:rPr>
                <w:rFonts w:eastAsia="Malgun Gothic" w:cs="Arial"/>
                <w:color w:val="000000"/>
                <w:sz w:val="16"/>
                <w:szCs w:val="16"/>
                <w:lang w:eastAsia="ko-KR"/>
              </w:rPr>
              <w:t>96</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CP-221159</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0588</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 </w:t>
            </w:r>
          </w:p>
        </w:tc>
        <w:tc>
          <w:tcPr>
            <w:tcW w:w="424" w:type="dxa"/>
            <w:shd w:val="solid" w:color="FFFFFF" w:fill="auto"/>
          </w:tcPr>
          <w:p w:rsidR="00F82319" w:rsidRPr="000A0A5F" w:rsidRDefault="00F82319" w:rsidP="00F82319">
            <w:pPr>
              <w:pStyle w:val="TAC"/>
              <w:rPr>
                <w:rFonts w:cs="Arial"/>
                <w:sz w:val="16"/>
                <w:szCs w:val="16"/>
              </w:rPr>
            </w:pPr>
            <w:r w:rsidRPr="000A0A5F">
              <w:rPr>
                <w:rFonts w:cs="Arial"/>
                <w:sz w:val="16"/>
                <w:szCs w:val="16"/>
              </w:rPr>
              <w:t>A</w:t>
            </w:r>
          </w:p>
        </w:tc>
        <w:tc>
          <w:tcPr>
            <w:tcW w:w="4919" w:type="dxa"/>
            <w:shd w:val="solid" w:color="FFFFFF" w:fill="auto"/>
          </w:tcPr>
          <w:p w:rsidR="00F82319" w:rsidRPr="000A0A5F" w:rsidRDefault="00F82319" w:rsidP="00F82319">
            <w:pPr>
              <w:pStyle w:val="TAL"/>
              <w:rPr>
                <w:rFonts w:cs="Arial"/>
                <w:sz w:val="16"/>
                <w:szCs w:val="16"/>
              </w:rPr>
            </w:pPr>
            <w:r w:rsidRPr="000A0A5F">
              <w:rPr>
                <w:rFonts w:cs="Arial"/>
                <w:sz w:val="16"/>
                <w:szCs w:val="16"/>
              </w:rPr>
              <w:t>Correcting the DateTime data type name</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17.6.0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2022-06</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w:t>
            </w:r>
            <w:r w:rsidRPr="000A0A5F">
              <w:rPr>
                <w:rFonts w:eastAsia="Malgun Gothic" w:cs="Arial" w:hint="eastAsia"/>
                <w:color w:val="000000"/>
                <w:sz w:val="16"/>
                <w:szCs w:val="16"/>
                <w:lang w:eastAsia="ko-KR"/>
              </w:rPr>
              <w:t>#</w:t>
            </w:r>
            <w:r w:rsidRPr="000A0A5F">
              <w:rPr>
                <w:rFonts w:eastAsia="Malgun Gothic" w:cs="Arial"/>
                <w:color w:val="000000"/>
                <w:sz w:val="16"/>
                <w:szCs w:val="16"/>
                <w:lang w:eastAsia="ko-KR"/>
              </w:rPr>
              <w:t>96</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CP-221159</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0589</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 </w:t>
            </w:r>
          </w:p>
        </w:tc>
        <w:tc>
          <w:tcPr>
            <w:tcW w:w="424" w:type="dxa"/>
            <w:shd w:val="solid" w:color="FFFFFF" w:fill="auto"/>
          </w:tcPr>
          <w:p w:rsidR="00F82319" w:rsidRPr="000A0A5F" w:rsidRDefault="00F82319" w:rsidP="00F82319">
            <w:pPr>
              <w:pStyle w:val="TAC"/>
              <w:rPr>
                <w:rFonts w:cs="Arial"/>
                <w:sz w:val="16"/>
                <w:szCs w:val="16"/>
              </w:rPr>
            </w:pPr>
            <w:r w:rsidRPr="000A0A5F">
              <w:rPr>
                <w:rFonts w:cs="Arial"/>
                <w:sz w:val="16"/>
                <w:szCs w:val="16"/>
              </w:rPr>
              <w:t>F</w:t>
            </w:r>
          </w:p>
        </w:tc>
        <w:tc>
          <w:tcPr>
            <w:tcW w:w="4919" w:type="dxa"/>
            <w:shd w:val="solid" w:color="FFFFFF" w:fill="auto"/>
          </w:tcPr>
          <w:p w:rsidR="00F82319" w:rsidRPr="000A0A5F" w:rsidRDefault="00F82319" w:rsidP="00F82319">
            <w:pPr>
              <w:pStyle w:val="TAL"/>
              <w:rPr>
                <w:rFonts w:cs="Arial"/>
                <w:sz w:val="16"/>
                <w:szCs w:val="16"/>
              </w:rPr>
            </w:pPr>
            <w:r w:rsidRPr="000A0A5F">
              <w:rPr>
                <w:rFonts w:cs="Arial"/>
                <w:sz w:val="16"/>
                <w:szCs w:val="16"/>
              </w:rPr>
              <w:t>Removing the MonitoringEventSubscriptionPatch data type</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17.6.0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2022-06</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w:t>
            </w:r>
            <w:r w:rsidRPr="000A0A5F">
              <w:rPr>
                <w:rFonts w:eastAsia="Malgun Gothic" w:cs="Arial" w:hint="eastAsia"/>
                <w:color w:val="000000"/>
                <w:sz w:val="16"/>
                <w:szCs w:val="16"/>
                <w:lang w:eastAsia="ko-KR"/>
              </w:rPr>
              <w:t>#</w:t>
            </w:r>
            <w:r w:rsidRPr="000A0A5F">
              <w:rPr>
                <w:rFonts w:eastAsia="Malgun Gothic" w:cs="Arial"/>
                <w:color w:val="000000"/>
                <w:sz w:val="16"/>
                <w:szCs w:val="16"/>
                <w:lang w:eastAsia="ko-KR"/>
              </w:rPr>
              <w:t>96</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CP-221159</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0590</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 </w:t>
            </w:r>
          </w:p>
        </w:tc>
        <w:tc>
          <w:tcPr>
            <w:tcW w:w="424" w:type="dxa"/>
            <w:shd w:val="solid" w:color="FFFFFF" w:fill="auto"/>
          </w:tcPr>
          <w:p w:rsidR="00F82319" w:rsidRPr="000A0A5F" w:rsidRDefault="00F82319" w:rsidP="00F82319">
            <w:pPr>
              <w:pStyle w:val="TAC"/>
              <w:rPr>
                <w:rFonts w:cs="Arial"/>
                <w:sz w:val="16"/>
                <w:szCs w:val="16"/>
              </w:rPr>
            </w:pPr>
            <w:r w:rsidRPr="000A0A5F">
              <w:rPr>
                <w:rFonts w:cs="Arial"/>
                <w:sz w:val="16"/>
                <w:szCs w:val="16"/>
              </w:rPr>
              <w:t>F</w:t>
            </w:r>
          </w:p>
        </w:tc>
        <w:tc>
          <w:tcPr>
            <w:tcW w:w="4919" w:type="dxa"/>
            <w:shd w:val="solid" w:color="FFFFFF" w:fill="auto"/>
          </w:tcPr>
          <w:p w:rsidR="00F82319" w:rsidRPr="000A0A5F" w:rsidRDefault="00F82319" w:rsidP="00F82319">
            <w:pPr>
              <w:pStyle w:val="TAL"/>
              <w:rPr>
                <w:rFonts w:cs="Arial"/>
                <w:sz w:val="16"/>
                <w:szCs w:val="16"/>
              </w:rPr>
            </w:pPr>
            <w:r w:rsidRPr="000A0A5F">
              <w:rPr>
                <w:rFonts w:cs="Arial"/>
                <w:sz w:val="16"/>
                <w:szCs w:val="16"/>
              </w:rPr>
              <w:t>Defining the default logical relationship between query parameters</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17.6.0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2022-06</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w:t>
            </w:r>
            <w:r w:rsidRPr="000A0A5F">
              <w:rPr>
                <w:rFonts w:eastAsia="Malgun Gothic" w:cs="Arial" w:hint="eastAsia"/>
                <w:color w:val="000000"/>
                <w:sz w:val="16"/>
                <w:szCs w:val="16"/>
                <w:lang w:eastAsia="ko-KR"/>
              </w:rPr>
              <w:t>#</w:t>
            </w:r>
            <w:r w:rsidRPr="000A0A5F">
              <w:rPr>
                <w:rFonts w:eastAsia="Malgun Gothic" w:cs="Arial"/>
                <w:color w:val="000000"/>
                <w:sz w:val="16"/>
                <w:szCs w:val="16"/>
                <w:lang w:eastAsia="ko-KR"/>
              </w:rPr>
              <w:t>96</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CP-221159</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0591</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 </w:t>
            </w:r>
          </w:p>
        </w:tc>
        <w:tc>
          <w:tcPr>
            <w:tcW w:w="424" w:type="dxa"/>
            <w:shd w:val="solid" w:color="FFFFFF" w:fill="auto"/>
          </w:tcPr>
          <w:p w:rsidR="00F82319" w:rsidRPr="000A0A5F" w:rsidRDefault="00F82319" w:rsidP="00F82319">
            <w:pPr>
              <w:pStyle w:val="TAC"/>
              <w:rPr>
                <w:rFonts w:cs="Arial"/>
                <w:sz w:val="16"/>
                <w:szCs w:val="16"/>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sz w:val="16"/>
                <w:szCs w:val="16"/>
              </w:rPr>
            </w:pPr>
            <w:r w:rsidRPr="000A0A5F">
              <w:rPr>
                <w:rFonts w:cs="Arial"/>
                <w:color w:val="000000"/>
                <w:sz w:val="16"/>
                <w:szCs w:val="16"/>
                <w:lang w:eastAsia="zh-CN"/>
              </w:rPr>
              <w:t>Update of info and externalDocs fields</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17.6.0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2022-09</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CT#97e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CP-222097</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0592</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Updates error handling for AF specific UE Id retrieval in MonitoringEvent API</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17.7.0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2022-09</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CT#97e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CP-222097</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0593</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Updates error handling for AF specific UE Id retrieval in CpProvisioning API</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17.7.0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2022-09</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CT#97e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CP-222097</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0594</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Updates error handling for AF specific UE Id retrieval in NpConfiguration API</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17.7.0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2022-09</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CT#97e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CP-222118</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0595</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The events subscribed by the NEF</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17.7.0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2022-09</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CT#97e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CP-222113</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0596</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Fixing TSC related reused data types in AsSessionWithQoS</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17.7.0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2022-09</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CT#97e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CP-222118</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0597</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Application errors handling for the NpConfiguration API</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17.7.0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2022-09</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CT#97e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CP-222117</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0598</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fldChar w:fldCharType="begin"/>
            </w:r>
            <w:r w:rsidRPr="000A0A5F">
              <w:rPr>
                <w:rFonts w:cs="Arial"/>
                <w:color w:val="000000"/>
                <w:sz w:val="16"/>
                <w:szCs w:val="16"/>
                <w:lang w:eastAsia="zh-CN"/>
              </w:rPr>
              <w:instrText xml:space="preserve"> DOCPROPERTY  CrTitle  \* MERGEFORMAT </w:instrText>
            </w:r>
            <w:r w:rsidRPr="000A0A5F">
              <w:rPr>
                <w:rFonts w:cs="Arial"/>
                <w:color w:val="000000"/>
                <w:sz w:val="16"/>
                <w:szCs w:val="16"/>
                <w:lang w:eastAsia="zh-CN"/>
              </w:rPr>
              <w:fldChar w:fldCharType="separate"/>
            </w:r>
            <w:r w:rsidRPr="000A0A5F">
              <w:rPr>
                <w:rFonts w:cs="Arial"/>
                <w:color w:val="000000"/>
                <w:sz w:val="16"/>
                <w:szCs w:val="16"/>
                <w:lang w:eastAsia="zh-CN"/>
              </w:rPr>
              <w:t>Application errors handling for the RacsParameterProvisioning API</w:t>
            </w:r>
            <w:r w:rsidRPr="000A0A5F">
              <w:rPr>
                <w:rFonts w:cs="Arial"/>
                <w:color w:val="000000"/>
                <w:sz w:val="16"/>
                <w:szCs w:val="16"/>
                <w:lang w:eastAsia="zh-CN"/>
              </w:rPr>
              <w:fldChar w:fldCharType="end"/>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17.7.0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2022-09</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CT#97e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CP-222117</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0599</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Usage of the "tags" field and URI structure</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17.7.0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2022-09</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CT#97e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CP-222117</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0600</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Application errors handling for the NIDD API</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17.7.0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2022-09</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CT#97e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CP-222117</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0601</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Application errors handling for the ReportingNetworkStatus API</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17.7.0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2022-09</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CT#97e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CP-222117</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0602</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Application errors handling for the ECRControl API</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17.7.0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2022-09</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CT#97e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CP-222117</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0603</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"Error handling" clause: alignment with other NBI and 5GS APIs</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17.7.0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2022-09</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CT#97e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CP-222125</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0605</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Correction of User Plane Event Report</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17.7.0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2022-09</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CT#97e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CP-222125</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0607</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Reporting condition for QoS Monitoring Information</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17.7.0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2022-09</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CT#97e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CP-222090</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0609</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A</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Corrections on location reporting</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17.7.0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2022-09</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CT#97e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CP-222117</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0612</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Boolean types in partial modification</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17.7.0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2022-09</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CT#97e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CP-222117</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0613</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Updates on PATCH in MonitoringEvent API</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17.7.0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2022-09</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CT#97e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CP-222118</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0614</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Missing description field for enumeration data type in MonitoringEvent API</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17.7.0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2022-09</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CT#97e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CP-222097</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0615</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Correcting the name of the application errors related to user consent revocation support</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17.7.0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2022-09</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CT#97e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CP-222117</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0616</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Application errors handling for the MontoringEvent API</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17.7.0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2022-09</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CT#97e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CP-222121</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0620</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Update of info and externalDocs fields</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17.7.0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2022-12</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CT#98e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CP-223184</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0623</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Corrections on PLMN_CHG event</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17.8.0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2022-12</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CT#98e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CP-223184</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0624</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Corrections on ACCESS_TYPE_CHANGE event</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17.8.0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2022-12</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CT#98e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CP-223188</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0626</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hint="eastAsia"/>
                <w:color w:val="000000"/>
                <w:sz w:val="16"/>
                <w:szCs w:val="16"/>
                <w:lang w:eastAsia="zh-CN"/>
              </w:rPr>
              <w:t>-</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Update of info and externalDocs fields</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17.8.0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hint="eastAsia"/>
                <w:color w:val="000000"/>
                <w:sz w:val="16"/>
                <w:szCs w:val="16"/>
                <w:lang w:eastAsia="zh-CN"/>
              </w:rPr>
              <w:t>2</w:t>
            </w:r>
            <w:r w:rsidRPr="000A0A5F">
              <w:rPr>
                <w:rFonts w:cs="Arial"/>
                <w:color w:val="000000"/>
                <w:sz w:val="16"/>
                <w:szCs w:val="16"/>
                <w:lang w:eastAsia="zh-CN"/>
              </w:rPr>
              <w:t>022-12</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CT#98e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CP-223185</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0622</w:t>
            </w:r>
          </w:p>
        </w:tc>
        <w:tc>
          <w:tcPr>
            <w:tcW w:w="424" w:type="dxa"/>
            <w:shd w:val="solid" w:color="FFFFFF" w:fill="auto"/>
          </w:tcPr>
          <w:p w:rsidR="00F82319" w:rsidRPr="000A0A5F" w:rsidRDefault="00F82319" w:rsidP="00F82319">
            <w:pPr>
              <w:pStyle w:val="TAR"/>
              <w:rPr>
                <w:rFonts w:cs="Arial" w:hint="eastAsia"/>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ResultReason enumeration definition in the OpenAPI file</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18.0.0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hint="eastAsia"/>
                <w:color w:val="000000"/>
                <w:sz w:val="16"/>
                <w:szCs w:val="16"/>
                <w:lang w:eastAsia="zh-CN"/>
              </w:rPr>
              <w:t>2</w:t>
            </w:r>
            <w:r w:rsidRPr="000A0A5F">
              <w:rPr>
                <w:rFonts w:cs="Arial"/>
                <w:color w:val="000000"/>
                <w:sz w:val="16"/>
                <w:szCs w:val="16"/>
                <w:lang w:eastAsia="zh-CN"/>
              </w:rPr>
              <w:t>022-12</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CT#98e</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CP-223189</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0625</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hint="eastAsia"/>
                <w:color w:val="000000"/>
                <w:sz w:val="16"/>
                <w:szCs w:val="16"/>
                <w:lang w:eastAsia="zh-CN"/>
              </w:rPr>
              <w:t>-</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Update of info and externalDocs fields</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18.0.0</w:t>
            </w:r>
          </w:p>
        </w:tc>
      </w:tr>
      <w:tr w:rsidR="00F82319" w:rsidRPr="000A0A5F" w:rsidTr="00274CFF">
        <w:tc>
          <w:tcPr>
            <w:tcW w:w="798" w:type="dxa"/>
            <w:shd w:val="solid" w:color="FFFFFF" w:fill="auto"/>
          </w:tcPr>
          <w:p w:rsidR="00F82319" w:rsidRPr="000A0A5F" w:rsidRDefault="00F82319" w:rsidP="00F82319">
            <w:pPr>
              <w:pStyle w:val="TAC"/>
              <w:rPr>
                <w:rFonts w:cs="Arial" w:hint="eastAsia"/>
                <w:color w:val="000000"/>
                <w:sz w:val="16"/>
                <w:szCs w:val="16"/>
                <w:lang w:eastAsia="zh-CN"/>
              </w:rPr>
            </w:pPr>
            <w:r w:rsidRPr="000A0A5F">
              <w:rPr>
                <w:rFonts w:cs="Arial"/>
                <w:color w:val="000000"/>
                <w:sz w:val="16"/>
                <w:szCs w:val="16"/>
                <w:lang w:eastAsia="zh-CN"/>
              </w:rPr>
              <w:t>2023-03</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CT#99</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CP-230179</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0628</w:t>
            </w:r>
          </w:p>
        </w:tc>
        <w:tc>
          <w:tcPr>
            <w:tcW w:w="424" w:type="dxa"/>
            <w:shd w:val="solid" w:color="FFFFFF" w:fill="auto"/>
          </w:tcPr>
          <w:p w:rsidR="00F82319" w:rsidRPr="000A0A5F" w:rsidRDefault="00F82319" w:rsidP="00F82319">
            <w:pPr>
              <w:pStyle w:val="TAR"/>
              <w:rPr>
                <w:rFonts w:cs="Arial" w:hint="eastAsia"/>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Adding PER to AF Session with QoS API</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18.1.0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2023-03</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CT#99</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CP-230172</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0629</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Unavailability Period feature for Monitoring Event API</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18.1.0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2023-03</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CT#99</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CP-230157</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0632</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Correction of expectedUmtDays attribute</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18.1.0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2023-03</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CT#99</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CP-230156</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0634</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Update Flow Description Information with ToSTC in ChargeableParty API</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18.1.0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2023-03</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CT#99</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CP-230156</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0636</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Update Flow Description Information with ToSTC in AsSessionWithQoS API</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18.1.0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2023-03</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CT#99</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CP-230157</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0640</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2</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Updates on location reporting</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18.1.0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2023-03</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CT#99</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CP-230281</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0641</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2</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Updates to immediate reporting in MonitoringEvent API</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18.1.0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2023-03</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CT#99</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CP-230156</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0642</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Correction of the description fields in enumerations</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18.1.0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2023-03</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CT#99</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CP-230156</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0643</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Description fields in enumerations</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18.1.0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2023-03</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CT#99</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CP-230173</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0650</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A</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Correction on handling of Packet Delay Failure report Threshold</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18.1.0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2023-03</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CT#99</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CP-230174</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0651</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Generalization of QoS monitoring control description</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18.1.0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2023-03</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CT#99</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CP-230182</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0652</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Support of Nnef_AFsessionWithQoS_Create service update for Multi-Modal service XR and Media Services</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18.1.0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2023-03</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CT#99</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CP-230157</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0653</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Vendor specific extensions</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18.1.0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2023-03</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CT#99</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CP-230155</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0655</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A</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Corrections in MonitoringEvent API</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18.1.0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2023-03</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CT#99</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CP-230277</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0656</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Specification of application errors for QoS requests</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18.1.0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2023-03</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CT#99</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CP-230175</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0657</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Indication of Alternative Service Requirements not supported</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18.1.0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2023-03</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CT#99</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CP-230179</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0658</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Support of BAT window and capability for BAT adaptation</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18.1.0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2023-03</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CT#99</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CP-230153</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0659</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Support of Group Member List Change event</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18.1.0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2023-03</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CT#99</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CP-230157</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0660</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Clarification on bearer related events in AsSessionWithQoS API</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18.1.0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2023-03</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CT#99</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CP-230305</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0662</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2</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A</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Correction of the procedure when the NEF reject the AF update request</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18.1.0</w:t>
            </w:r>
          </w:p>
        </w:tc>
      </w:tr>
      <w:tr w:rsidR="00F82319" w:rsidRPr="000A0A5F" w:rsidTr="00274CFF">
        <w:tc>
          <w:tcPr>
            <w:tcW w:w="79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2023-03</w:t>
            </w:r>
          </w:p>
        </w:tc>
        <w:tc>
          <w:tcPr>
            <w:tcW w:w="79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CT#99</w:t>
            </w:r>
          </w:p>
        </w:tc>
        <w:tc>
          <w:tcPr>
            <w:tcW w:w="1088"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CP-230161</w:t>
            </w:r>
          </w:p>
        </w:tc>
        <w:tc>
          <w:tcPr>
            <w:tcW w:w="524" w:type="dxa"/>
            <w:shd w:val="solid" w:color="FFFFFF" w:fill="auto"/>
          </w:tcPr>
          <w:p w:rsidR="00F82319" w:rsidRPr="000A0A5F" w:rsidRDefault="00F82319" w:rsidP="00F82319">
            <w:pPr>
              <w:pStyle w:val="TAL"/>
              <w:rPr>
                <w:rFonts w:cs="Arial"/>
                <w:color w:val="000000"/>
                <w:sz w:val="16"/>
                <w:szCs w:val="16"/>
                <w:lang w:eastAsia="zh-CN"/>
              </w:rPr>
            </w:pPr>
            <w:r w:rsidRPr="000A0A5F">
              <w:rPr>
                <w:rFonts w:cs="Arial"/>
                <w:color w:val="000000"/>
                <w:sz w:val="16"/>
                <w:szCs w:val="16"/>
                <w:lang w:eastAsia="zh-CN"/>
              </w:rPr>
              <w:t>0664</w:t>
            </w:r>
          </w:p>
        </w:tc>
        <w:tc>
          <w:tcPr>
            <w:tcW w:w="424" w:type="dxa"/>
            <w:shd w:val="solid" w:color="FFFFFF" w:fill="auto"/>
          </w:tcPr>
          <w:p w:rsidR="00F82319" w:rsidRPr="000A0A5F" w:rsidRDefault="00F82319" w:rsidP="00F82319">
            <w:pPr>
              <w:pStyle w:val="TAR"/>
              <w:rPr>
                <w:rFonts w:cs="Arial"/>
                <w:color w:val="000000"/>
                <w:sz w:val="16"/>
                <w:szCs w:val="16"/>
                <w:lang w:eastAsia="zh-CN"/>
              </w:rPr>
            </w:pPr>
            <w:r w:rsidRPr="000A0A5F">
              <w:rPr>
                <w:rFonts w:cs="Arial"/>
                <w:color w:val="000000"/>
                <w:sz w:val="16"/>
                <w:szCs w:val="16"/>
                <w:lang w:eastAsia="zh-CN"/>
              </w:rPr>
              <w:t>-</w:t>
            </w:r>
          </w:p>
        </w:tc>
        <w:tc>
          <w:tcPr>
            <w:tcW w:w="424"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F82319" w:rsidRPr="000A0A5F" w:rsidRDefault="00F82319" w:rsidP="00F82319">
            <w:pPr>
              <w:pStyle w:val="TAL"/>
              <w:rPr>
                <w:rFonts w:cs="Arial"/>
                <w:color w:val="000000"/>
                <w:sz w:val="16"/>
                <w:szCs w:val="16"/>
                <w:lang w:eastAsia="zh-CN"/>
              </w:rPr>
            </w:pPr>
            <w:r w:rsidRPr="000A0A5F">
              <w:rPr>
                <w:sz w:val="16"/>
              </w:rPr>
              <w:t>Update of info and externalDocs fields</w:t>
            </w:r>
          </w:p>
        </w:tc>
        <w:tc>
          <w:tcPr>
            <w:tcW w:w="707" w:type="dxa"/>
            <w:shd w:val="solid" w:color="FFFFFF" w:fill="auto"/>
          </w:tcPr>
          <w:p w:rsidR="00F82319" w:rsidRPr="000A0A5F" w:rsidRDefault="00F82319" w:rsidP="00F82319">
            <w:pPr>
              <w:pStyle w:val="TAC"/>
              <w:rPr>
                <w:rFonts w:cs="Arial"/>
                <w:color w:val="000000"/>
                <w:sz w:val="16"/>
                <w:szCs w:val="16"/>
                <w:lang w:eastAsia="zh-CN"/>
              </w:rPr>
            </w:pPr>
            <w:r w:rsidRPr="000A0A5F">
              <w:rPr>
                <w:rFonts w:cs="Arial"/>
                <w:color w:val="000000"/>
                <w:sz w:val="16"/>
                <w:szCs w:val="16"/>
                <w:lang w:eastAsia="zh-CN"/>
              </w:rPr>
              <w:t>18.1.0</w:t>
            </w:r>
          </w:p>
        </w:tc>
      </w:tr>
      <w:tr w:rsidR="00D76A33" w:rsidRPr="000A0A5F" w:rsidTr="00274CFF">
        <w:tc>
          <w:tcPr>
            <w:tcW w:w="798" w:type="dxa"/>
            <w:shd w:val="solid" w:color="FFFFFF" w:fill="auto"/>
          </w:tcPr>
          <w:p w:rsidR="00D76A33" w:rsidRPr="000A0A5F" w:rsidRDefault="00D76A33" w:rsidP="00F82319">
            <w:pPr>
              <w:pStyle w:val="TAC"/>
              <w:rPr>
                <w:rFonts w:cs="Arial"/>
                <w:color w:val="000000"/>
                <w:sz w:val="16"/>
                <w:szCs w:val="16"/>
                <w:lang w:eastAsia="zh-CN"/>
              </w:rPr>
            </w:pPr>
            <w:r w:rsidRPr="000A0A5F">
              <w:rPr>
                <w:rFonts w:cs="Arial"/>
                <w:color w:val="000000"/>
                <w:sz w:val="16"/>
                <w:szCs w:val="16"/>
                <w:lang w:eastAsia="zh-CN"/>
              </w:rPr>
              <w:t>2023-06</w:t>
            </w:r>
          </w:p>
        </w:tc>
        <w:tc>
          <w:tcPr>
            <w:tcW w:w="797" w:type="dxa"/>
            <w:shd w:val="solid" w:color="FFFFFF" w:fill="auto"/>
          </w:tcPr>
          <w:p w:rsidR="00D76A33" w:rsidRPr="000A0A5F" w:rsidRDefault="00D76A33" w:rsidP="00F82319">
            <w:pPr>
              <w:pStyle w:val="TAC"/>
              <w:rPr>
                <w:rFonts w:cs="Arial"/>
                <w:color w:val="000000"/>
                <w:sz w:val="16"/>
                <w:szCs w:val="16"/>
                <w:lang w:eastAsia="zh-CN"/>
              </w:rPr>
            </w:pPr>
            <w:r w:rsidRPr="000A0A5F">
              <w:rPr>
                <w:rFonts w:cs="Arial"/>
                <w:color w:val="000000"/>
                <w:sz w:val="16"/>
                <w:szCs w:val="16"/>
                <w:lang w:eastAsia="zh-CN"/>
              </w:rPr>
              <w:t>CT#100</w:t>
            </w:r>
          </w:p>
        </w:tc>
        <w:tc>
          <w:tcPr>
            <w:tcW w:w="1088" w:type="dxa"/>
            <w:shd w:val="solid" w:color="FFFFFF" w:fill="auto"/>
          </w:tcPr>
          <w:p w:rsidR="00D76A33" w:rsidRPr="000A0A5F" w:rsidRDefault="00D76A33" w:rsidP="00F82319">
            <w:pPr>
              <w:pStyle w:val="TAC"/>
              <w:rPr>
                <w:rFonts w:cs="Arial"/>
                <w:color w:val="000000"/>
                <w:sz w:val="16"/>
                <w:szCs w:val="16"/>
                <w:lang w:eastAsia="zh-CN"/>
              </w:rPr>
            </w:pPr>
            <w:r w:rsidRPr="000A0A5F">
              <w:rPr>
                <w:rFonts w:cs="Arial"/>
                <w:color w:val="000000"/>
                <w:sz w:val="16"/>
                <w:szCs w:val="16"/>
                <w:lang w:eastAsia="zh-CN"/>
              </w:rPr>
              <w:t>CP-23</w:t>
            </w:r>
            <w:r w:rsidR="00185906" w:rsidRPr="000A0A5F">
              <w:rPr>
                <w:rFonts w:cs="Arial"/>
                <w:color w:val="000000"/>
                <w:sz w:val="16"/>
                <w:szCs w:val="16"/>
                <w:lang w:eastAsia="zh-CN"/>
              </w:rPr>
              <w:t>1169</w:t>
            </w:r>
          </w:p>
        </w:tc>
        <w:tc>
          <w:tcPr>
            <w:tcW w:w="524" w:type="dxa"/>
            <w:shd w:val="solid" w:color="FFFFFF" w:fill="auto"/>
          </w:tcPr>
          <w:p w:rsidR="00D76A33" w:rsidRPr="000A0A5F" w:rsidRDefault="00F53D4C" w:rsidP="00F82319">
            <w:pPr>
              <w:pStyle w:val="TAL"/>
              <w:rPr>
                <w:rFonts w:cs="Arial"/>
                <w:color w:val="000000"/>
                <w:sz w:val="16"/>
                <w:szCs w:val="16"/>
                <w:lang w:eastAsia="zh-CN"/>
              </w:rPr>
            </w:pPr>
            <w:r w:rsidRPr="000A0A5F">
              <w:rPr>
                <w:rFonts w:cs="Arial"/>
                <w:color w:val="000000"/>
                <w:sz w:val="16"/>
                <w:szCs w:val="16"/>
                <w:lang w:eastAsia="zh-CN"/>
              </w:rPr>
              <w:t>0639</w:t>
            </w:r>
          </w:p>
        </w:tc>
        <w:tc>
          <w:tcPr>
            <w:tcW w:w="424" w:type="dxa"/>
            <w:shd w:val="solid" w:color="FFFFFF" w:fill="auto"/>
          </w:tcPr>
          <w:p w:rsidR="00D76A33" w:rsidRPr="000A0A5F" w:rsidRDefault="00F53D4C" w:rsidP="00F82319">
            <w:pPr>
              <w:pStyle w:val="TAR"/>
              <w:rPr>
                <w:rFonts w:cs="Arial"/>
                <w:color w:val="000000"/>
                <w:sz w:val="16"/>
                <w:szCs w:val="16"/>
                <w:lang w:eastAsia="zh-CN"/>
              </w:rPr>
            </w:pPr>
            <w:r w:rsidRPr="000A0A5F">
              <w:rPr>
                <w:rFonts w:cs="Arial"/>
                <w:color w:val="000000"/>
                <w:sz w:val="16"/>
                <w:szCs w:val="16"/>
                <w:lang w:eastAsia="zh-CN"/>
              </w:rPr>
              <w:t>2</w:t>
            </w:r>
          </w:p>
        </w:tc>
        <w:tc>
          <w:tcPr>
            <w:tcW w:w="424" w:type="dxa"/>
            <w:shd w:val="solid" w:color="FFFFFF" w:fill="auto"/>
          </w:tcPr>
          <w:p w:rsidR="00D76A33" w:rsidRPr="000A0A5F" w:rsidRDefault="00F53D4C" w:rsidP="00F82319">
            <w:pPr>
              <w:pStyle w:val="TAC"/>
              <w:rPr>
                <w:rFonts w:cs="Arial"/>
                <w:color w:val="000000"/>
                <w:sz w:val="16"/>
                <w:szCs w:val="16"/>
                <w:lang w:eastAsia="zh-CN"/>
              </w:rPr>
            </w:pPr>
            <w:r w:rsidRPr="000A0A5F">
              <w:rPr>
                <w:rFonts w:cs="Arial"/>
                <w:color w:val="000000"/>
                <w:sz w:val="16"/>
                <w:szCs w:val="16"/>
                <w:lang w:eastAsia="zh-CN"/>
              </w:rPr>
              <w:t>A</w:t>
            </w:r>
          </w:p>
        </w:tc>
        <w:tc>
          <w:tcPr>
            <w:tcW w:w="4919" w:type="dxa"/>
            <w:shd w:val="solid" w:color="FFFFFF" w:fill="auto"/>
          </w:tcPr>
          <w:p w:rsidR="00D76A33" w:rsidRPr="000A0A5F" w:rsidRDefault="00F53D4C" w:rsidP="00F82319">
            <w:pPr>
              <w:pStyle w:val="TAL"/>
              <w:rPr>
                <w:sz w:val="16"/>
              </w:rPr>
            </w:pPr>
            <w:r w:rsidRPr="000A0A5F">
              <w:rPr>
                <w:sz w:val="16"/>
              </w:rPr>
              <w:t>Correction on TLS_SCN in PFD data</w:t>
            </w:r>
          </w:p>
        </w:tc>
        <w:tc>
          <w:tcPr>
            <w:tcW w:w="707" w:type="dxa"/>
            <w:shd w:val="solid" w:color="FFFFFF" w:fill="auto"/>
          </w:tcPr>
          <w:p w:rsidR="00D76A33" w:rsidRPr="000A0A5F" w:rsidRDefault="00D76A33" w:rsidP="00F82319">
            <w:pPr>
              <w:pStyle w:val="TAC"/>
              <w:rPr>
                <w:rFonts w:cs="Arial"/>
                <w:color w:val="000000"/>
                <w:sz w:val="16"/>
                <w:szCs w:val="16"/>
                <w:lang w:eastAsia="zh-CN"/>
              </w:rPr>
            </w:pPr>
            <w:r w:rsidRPr="000A0A5F">
              <w:rPr>
                <w:rFonts w:cs="Arial"/>
                <w:color w:val="000000"/>
                <w:sz w:val="16"/>
                <w:szCs w:val="16"/>
                <w:lang w:eastAsia="zh-CN"/>
              </w:rPr>
              <w:t>18.2.0</w:t>
            </w:r>
          </w:p>
        </w:tc>
      </w:tr>
      <w:tr w:rsidR="00D76A33" w:rsidRPr="000A0A5F" w:rsidTr="00274CFF">
        <w:tc>
          <w:tcPr>
            <w:tcW w:w="798"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2023-06</w:t>
            </w:r>
          </w:p>
        </w:tc>
        <w:tc>
          <w:tcPr>
            <w:tcW w:w="797"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CT#100</w:t>
            </w:r>
          </w:p>
        </w:tc>
        <w:tc>
          <w:tcPr>
            <w:tcW w:w="1088"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CP-23</w:t>
            </w:r>
            <w:r w:rsidR="00185906" w:rsidRPr="000A0A5F">
              <w:rPr>
                <w:rFonts w:cs="Arial"/>
                <w:color w:val="000000"/>
                <w:sz w:val="16"/>
                <w:szCs w:val="16"/>
                <w:lang w:eastAsia="zh-CN"/>
              </w:rPr>
              <w:t>1139</w:t>
            </w:r>
          </w:p>
        </w:tc>
        <w:tc>
          <w:tcPr>
            <w:tcW w:w="524" w:type="dxa"/>
            <w:shd w:val="solid" w:color="FFFFFF" w:fill="auto"/>
          </w:tcPr>
          <w:p w:rsidR="00D76A33" w:rsidRPr="000A0A5F" w:rsidRDefault="00F53D4C" w:rsidP="00D76A33">
            <w:pPr>
              <w:pStyle w:val="TAL"/>
              <w:rPr>
                <w:rFonts w:cs="Arial"/>
                <w:color w:val="000000"/>
                <w:sz w:val="16"/>
                <w:szCs w:val="16"/>
                <w:lang w:eastAsia="zh-CN"/>
              </w:rPr>
            </w:pPr>
            <w:r w:rsidRPr="000A0A5F">
              <w:rPr>
                <w:rFonts w:cs="Arial"/>
                <w:color w:val="000000"/>
                <w:sz w:val="16"/>
                <w:szCs w:val="16"/>
                <w:lang w:eastAsia="zh-CN"/>
              </w:rPr>
              <w:t>0665</w:t>
            </w:r>
          </w:p>
        </w:tc>
        <w:tc>
          <w:tcPr>
            <w:tcW w:w="424" w:type="dxa"/>
            <w:shd w:val="solid" w:color="FFFFFF" w:fill="auto"/>
          </w:tcPr>
          <w:p w:rsidR="00D76A33" w:rsidRPr="000A0A5F" w:rsidRDefault="00F53D4C" w:rsidP="00D76A33">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D76A33" w:rsidRPr="000A0A5F" w:rsidRDefault="00F53D4C" w:rsidP="00D76A33">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D76A33" w:rsidRPr="000A0A5F" w:rsidRDefault="00F53D4C" w:rsidP="00D76A33">
            <w:pPr>
              <w:pStyle w:val="TAL"/>
              <w:rPr>
                <w:sz w:val="16"/>
              </w:rPr>
            </w:pPr>
            <w:r w:rsidRPr="000A0A5F">
              <w:rPr>
                <w:sz w:val="16"/>
              </w:rPr>
              <w:t>Corrections on applicability of ToS Traffic Class</w:t>
            </w:r>
          </w:p>
        </w:tc>
        <w:tc>
          <w:tcPr>
            <w:tcW w:w="707"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18.2.0</w:t>
            </w:r>
          </w:p>
        </w:tc>
      </w:tr>
      <w:tr w:rsidR="00D76A33" w:rsidRPr="000A0A5F" w:rsidTr="00274CFF">
        <w:tc>
          <w:tcPr>
            <w:tcW w:w="798"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2023-06</w:t>
            </w:r>
          </w:p>
        </w:tc>
        <w:tc>
          <w:tcPr>
            <w:tcW w:w="797"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CT#100</w:t>
            </w:r>
          </w:p>
        </w:tc>
        <w:tc>
          <w:tcPr>
            <w:tcW w:w="1088"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CP-23</w:t>
            </w:r>
            <w:r w:rsidR="00185906" w:rsidRPr="000A0A5F">
              <w:rPr>
                <w:rFonts w:cs="Arial"/>
                <w:color w:val="000000"/>
                <w:sz w:val="16"/>
                <w:szCs w:val="16"/>
                <w:lang w:eastAsia="zh-CN"/>
              </w:rPr>
              <w:t>1130</w:t>
            </w:r>
          </w:p>
        </w:tc>
        <w:tc>
          <w:tcPr>
            <w:tcW w:w="524" w:type="dxa"/>
            <w:shd w:val="solid" w:color="FFFFFF" w:fill="auto"/>
          </w:tcPr>
          <w:p w:rsidR="00D76A33" w:rsidRPr="000A0A5F" w:rsidRDefault="00F53D4C" w:rsidP="00D76A33">
            <w:pPr>
              <w:pStyle w:val="TAL"/>
              <w:rPr>
                <w:rFonts w:cs="Arial"/>
                <w:color w:val="000000"/>
                <w:sz w:val="16"/>
                <w:szCs w:val="16"/>
                <w:lang w:eastAsia="zh-CN"/>
              </w:rPr>
            </w:pPr>
            <w:r w:rsidRPr="000A0A5F">
              <w:rPr>
                <w:rFonts w:cs="Arial"/>
                <w:color w:val="000000"/>
                <w:sz w:val="16"/>
                <w:szCs w:val="16"/>
                <w:lang w:eastAsia="zh-CN"/>
              </w:rPr>
              <w:t>0666</w:t>
            </w:r>
          </w:p>
        </w:tc>
        <w:tc>
          <w:tcPr>
            <w:tcW w:w="424" w:type="dxa"/>
            <w:shd w:val="solid" w:color="FFFFFF" w:fill="auto"/>
          </w:tcPr>
          <w:p w:rsidR="00D76A33" w:rsidRPr="000A0A5F" w:rsidRDefault="00F53D4C" w:rsidP="00D76A33">
            <w:pPr>
              <w:pStyle w:val="TAR"/>
              <w:rPr>
                <w:rFonts w:cs="Arial"/>
                <w:color w:val="000000"/>
                <w:sz w:val="16"/>
                <w:szCs w:val="16"/>
                <w:lang w:eastAsia="zh-CN"/>
              </w:rPr>
            </w:pPr>
            <w:r w:rsidRPr="000A0A5F">
              <w:rPr>
                <w:rFonts w:cs="Arial"/>
                <w:color w:val="000000"/>
                <w:sz w:val="16"/>
                <w:szCs w:val="16"/>
                <w:lang w:eastAsia="zh-CN"/>
              </w:rPr>
              <w:t>2</w:t>
            </w:r>
          </w:p>
        </w:tc>
        <w:tc>
          <w:tcPr>
            <w:tcW w:w="424" w:type="dxa"/>
            <w:shd w:val="solid" w:color="FFFFFF" w:fill="auto"/>
          </w:tcPr>
          <w:p w:rsidR="00D76A33" w:rsidRPr="000A0A5F" w:rsidRDefault="00F53D4C" w:rsidP="00D76A33">
            <w:pPr>
              <w:pStyle w:val="TAC"/>
              <w:rPr>
                <w:rFonts w:cs="Arial"/>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D76A33" w:rsidRPr="000A0A5F" w:rsidRDefault="00F53D4C" w:rsidP="00F53D4C">
            <w:pPr>
              <w:pStyle w:val="TAL"/>
              <w:rPr>
                <w:sz w:val="16"/>
              </w:rPr>
            </w:pPr>
            <w:r w:rsidRPr="000A0A5F">
              <w:rPr>
                <w:sz w:val="16"/>
              </w:rPr>
              <w:t>AsSessionWithQoS enhancements to support multi-modal services</w:t>
            </w:r>
          </w:p>
        </w:tc>
        <w:tc>
          <w:tcPr>
            <w:tcW w:w="707"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18.2.0</w:t>
            </w:r>
          </w:p>
        </w:tc>
      </w:tr>
      <w:tr w:rsidR="00D76A33" w:rsidRPr="000A0A5F" w:rsidTr="00274CFF">
        <w:tc>
          <w:tcPr>
            <w:tcW w:w="798"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2023-06</w:t>
            </w:r>
          </w:p>
        </w:tc>
        <w:tc>
          <w:tcPr>
            <w:tcW w:w="797"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CT#100</w:t>
            </w:r>
          </w:p>
        </w:tc>
        <w:tc>
          <w:tcPr>
            <w:tcW w:w="1088"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CP-23</w:t>
            </w:r>
            <w:r w:rsidR="00185906" w:rsidRPr="000A0A5F">
              <w:rPr>
                <w:rFonts w:cs="Arial"/>
                <w:color w:val="000000"/>
                <w:sz w:val="16"/>
                <w:szCs w:val="16"/>
                <w:lang w:eastAsia="zh-CN"/>
              </w:rPr>
              <w:t>1139</w:t>
            </w:r>
          </w:p>
        </w:tc>
        <w:tc>
          <w:tcPr>
            <w:tcW w:w="524" w:type="dxa"/>
            <w:shd w:val="solid" w:color="FFFFFF" w:fill="auto"/>
          </w:tcPr>
          <w:p w:rsidR="00D76A33" w:rsidRPr="000A0A5F" w:rsidRDefault="00F53D4C" w:rsidP="00D76A33">
            <w:pPr>
              <w:pStyle w:val="TAL"/>
              <w:rPr>
                <w:rFonts w:cs="Arial"/>
                <w:color w:val="000000"/>
                <w:sz w:val="16"/>
                <w:szCs w:val="16"/>
                <w:lang w:eastAsia="zh-CN"/>
              </w:rPr>
            </w:pPr>
            <w:r w:rsidRPr="000A0A5F">
              <w:rPr>
                <w:rFonts w:cs="Arial"/>
                <w:color w:val="000000"/>
                <w:sz w:val="16"/>
                <w:szCs w:val="16"/>
                <w:lang w:eastAsia="zh-CN"/>
              </w:rPr>
              <w:t>0669</w:t>
            </w:r>
          </w:p>
        </w:tc>
        <w:tc>
          <w:tcPr>
            <w:tcW w:w="424" w:type="dxa"/>
            <w:shd w:val="solid" w:color="FFFFFF" w:fill="auto"/>
          </w:tcPr>
          <w:p w:rsidR="00D76A33" w:rsidRPr="000A0A5F" w:rsidRDefault="00F53D4C" w:rsidP="00D76A33">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D76A33" w:rsidRPr="000A0A5F" w:rsidRDefault="00F53D4C" w:rsidP="00D76A33">
            <w:pPr>
              <w:pStyle w:val="TAC"/>
              <w:rPr>
                <w:rFonts w:cs="Arial"/>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D76A33" w:rsidRPr="000A0A5F" w:rsidRDefault="00F53D4C" w:rsidP="00D76A33">
            <w:pPr>
              <w:pStyle w:val="TAL"/>
              <w:rPr>
                <w:sz w:val="16"/>
              </w:rPr>
            </w:pPr>
            <w:r w:rsidRPr="000A0A5F">
              <w:rPr>
                <w:sz w:val="16"/>
              </w:rPr>
              <w:t>Vendor specific extensions – resolve EN</w:t>
            </w:r>
          </w:p>
        </w:tc>
        <w:tc>
          <w:tcPr>
            <w:tcW w:w="707"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18.2.0</w:t>
            </w:r>
          </w:p>
        </w:tc>
      </w:tr>
      <w:tr w:rsidR="00D76A33" w:rsidRPr="000A0A5F" w:rsidTr="00274CFF">
        <w:tc>
          <w:tcPr>
            <w:tcW w:w="798"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2023-06</w:t>
            </w:r>
          </w:p>
        </w:tc>
        <w:tc>
          <w:tcPr>
            <w:tcW w:w="797"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CT#100</w:t>
            </w:r>
          </w:p>
        </w:tc>
        <w:tc>
          <w:tcPr>
            <w:tcW w:w="1088"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CP-23</w:t>
            </w:r>
            <w:r w:rsidR="00185906" w:rsidRPr="000A0A5F">
              <w:rPr>
                <w:rFonts w:cs="Arial"/>
                <w:color w:val="000000"/>
                <w:sz w:val="16"/>
                <w:szCs w:val="16"/>
                <w:lang w:eastAsia="zh-CN"/>
              </w:rPr>
              <w:t>1130</w:t>
            </w:r>
          </w:p>
        </w:tc>
        <w:tc>
          <w:tcPr>
            <w:tcW w:w="524" w:type="dxa"/>
            <w:shd w:val="solid" w:color="FFFFFF" w:fill="auto"/>
          </w:tcPr>
          <w:p w:rsidR="00D76A33" w:rsidRPr="000A0A5F" w:rsidRDefault="00F53D4C" w:rsidP="00D76A33">
            <w:pPr>
              <w:pStyle w:val="TAL"/>
              <w:rPr>
                <w:rFonts w:cs="Arial"/>
                <w:color w:val="000000"/>
                <w:sz w:val="16"/>
                <w:szCs w:val="16"/>
                <w:lang w:eastAsia="zh-CN"/>
              </w:rPr>
            </w:pPr>
            <w:r w:rsidRPr="000A0A5F">
              <w:rPr>
                <w:rFonts w:cs="Arial"/>
                <w:color w:val="000000"/>
                <w:sz w:val="16"/>
                <w:szCs w:val="16"/>
                <w:lang w:eastAsia="zh-CN"/>
              </w:rPr>
              <w:t>0671</w:t>
            </w:r>
          </w:p>
        </w:tc>
        <w:tc>
          <w:tcPr>
            <w:tcW w:w="424" w:type="dxa"/>
            <w:shd w:val="solid" w:color="FFFFFF" w:fill="auto"/>
          </w:tcPr>
          <w:p w:rsidR="00D76A33" w:rsidRPr="000A0A5F" w:rsidRDefault="00F53D4C" w:rsidP="00D76A33">
            <w:pPr>
              <w:pStyle w:val="TAR"/>
              <w:rPr>
                <w:rFonts w:cs="Arial"/>
                <w:color w:val="000000"/>
                <w:sz w:val="16"/>
                <w:szCs w:val="16"/>
                <w:lang w:eastAsia="zh-CN"/>
              </w:rPr>
            </w:pPr>
            <w:r w:rsidRPr="000A0A5F">
              <w:rPr>
                <w:rFonts w:cs="Arial"/>
                <w:color w:val="000000"/>
                <w:sz w:val="16"/>
                <w:szCs w:val="16"/>
                <w:lang w:eastAsia="zh-CN"/>
              </w:rPr>
              <w:t>2</w:t>
            </w:r>
          </w:p>
        </w:tc>
        <w:tc>
          <w:tcPr>
            <w:tcW w:w="424" w:type="dxa"/>
            <w:shd w:val="solid" w:color="FFFFFF" w:fill="auto"/>
          </w:tcPr>
          <w:p w:rsidR="00D76A33" w:rsidRPr="000A0A5F" w:rsidRDefault="00F53D4C" w:rsidP="00D76A33">
            <w:pPr>
              <w:pStyle w:val="TAC"/>
              <w:rPr>
                <w:rFonts w:cs="Arial"/>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D76A33" w:rsidRPr="000A0A5F" w:rsidRDefault="00F53D4C" w:rsidP="00D76A33">
            <w:pPr>
              <w:pStyle w:val="TAL"/>
              <w:rPr>
                <w:sz w:val="16"/>
              </w:rPr>
            </w:pPr>
            <w:r w:rsidRPr="000A0A5F">
              <w:rPr>
                <w:sz w:val="16"/>
              </w:rPr>
              <w:t>Support of ECN marking for L4S</w:t>
            </w:r>
          </w:p>
        </w:tc>
        <w:tc>
          <w:tcPr>
            <w:tcW w:w="707"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18.2.0</w:t>
            </w:r>
          </w:p>
        </w:tc>
      </w:tr>
      <w:tr w:rsidR="00D76A33" w:rsidRPr="000A0A5F" w:rsidTr="00274CFF">
        <w:tc>
          <w:tcPr>
            <w:tcW w:w="798"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2023-06</w:t>
            </w:r>
          </w:p>
        </w:tc>
        <w:tc>
          <w:tcPr>
            <w:tcW w:w="797"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CT#100</w:t>
            </w:r>
          </w:p>
        </w:tc>
        <w:tc>
          <w:tcPr>
            <w:tcW w:w="1088"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CP-23</w:t>
            </w:r>
            <w:r w:rsidR="00185906" w:rsidRPr="000A0A5F">
              <w:rPr>
                <w:rFonts w:cs="Arial"/>
                <w:color w:val="000000"/>
                <w:sz w:val="16"/>
                <w:szCs w:val="16"/>
                <w:lang w:eastAsia="zh-CN"/>
              </w:rPr>
              <w:t>1139</w:t>
            </w:r>
          </w:p>
        </w:tc>
        <w:tc>
          <w:tcPr>
            <w:tcW w:w="524" w:type="dxa"/>
            <w:shd w:val="solid" w:color="FFFFFF" w:fill="auto"/>
          </w:tcPr>
          <w:p w:rsidR="00D76A33" w:rsidRPr="000A0A5F" w:rsidRDefault="00F53D4C" w:rsidP="00D76A33">
            <w:pPr>
              <w:pStyle w:val="TAL"/>
              <w:rPr>
                <w:rFonts w:cs="Arial"/>
                <w:color w:val="000000"/>
                <w:sz w:val="16"/>
                <w:szCs w:val="16"/>
                <w:lang w:eastAsia="zh-CN"/>
              </w:rPr>
            </w:pPr>
            <w:r w:rsidRPr="000A0A5F">
              <w:rPr>
                <w:rFonts w:cs="Arial"/>
                <w:color w:val="000000"/>
                <w:sz w:val="16"/>
                <w:szCs w:val="16"/>
                <w:lang w:eastAsia="zh-CN"/>
              </w:rPr>
              <w:t>0672</w:t>
            </w:r>
          </w:p>
        </w:tc>
        <w:tc>
          <w:tcPr>
            <w:tcW w:w="424" w:type="dxa"/>
            <w:shd w:val="solid" w:color="FFFFFF" w:fill="auto"/>
          </w:tcPr>
          <w:p w:rsidR="00D76A33" w:rsidRPr="000A0A5F" w:rsidRDefault="00F53D4C" w:rsidP="00D76A33">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D76A33" w:rsidRPr="000A0A5F" w:rsidRDefault="00F53D4C" w:rsidP="00D76A33">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D76A33" w:rsidRPr="000A0A5F" w:rsidRDefault="00F53D4C" w:rsidP="00D76A33">
            <w:pPr>
              <w:pStyle w:val="TAL"/>
              <w:rPr>
                <w:sz w:val="16"/>
              </w:rPr>
            </w:pPr>
            <w:r w:rsidRPr="000A0A5F">
              <w:rPr>
                <w:sz w:val="16"/>
              </w:rPr>
              <w:t>Defining a TS skeleton for TSs documenting NBI APIs</w:t>
            </w:r>
          </w:p>
        </w:tc>
        <w:tc>
          <w:tcPr>
            <w:tcW w:w="707"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18.2.0</w:t>
            </w:r>
          </w:p>
        </w:tc>
      </w:tr>
      <w:tr w:rsidR="00D76A33" w:rsidRPr="000A0A5F" w:rsidTr="00274CFF">
        <w:tc>
          <w:tcPr>
            <w:tcW w:w="798"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2023-06</w:t>
            </w:r>
          </w:p>
        </w:tc>
        <w:tc>
          <w:tcPr>
            <w:tcW w:w="797"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CT#100</w:t>
            </w:r>
          </w:p>
        </w:tc>
        <w:tc>
          <w:tcPr>
            <w:tcW w:w="1088"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CP-23</w:t>
            </w:r>
            <w:r w:rsidR="00185906" w:rsidRPr="000A0A5F">
              <w:rPr>
                <w:rFonts w:cs="Arial"/>
                <w:color w:val="000000"/>
                <w:sz w:val="16"/>
                <w:szCs w:val="16"/>
                <w:lang w:eastAsia="zh-CN"/>
              </w:rPr>
              <w:t>1143</w:t>
            </w:r>
          </w:p>
        </w:tc>
        <w:tc>
          <w:tcPr>
            <w:tcW w:w="524" w:type="dxa"/>
            <w:shd w:val="solid" w:color="FFFFFF" w:fill="auto"/>
          </w:tcPr>
          <w:p w:rsidR="00D76A33" w:rsidRPr="000A0A5F" w:rsidRDefault="00F53D4C" w:rsidP="00D76A33">
            <w:pPr>
              <w:pStyle w:val="TAL"/>
              <w:rPr>
                <w:rFonts w:cs="Arial"/>
                <w:color w:val="000000"/>
                <w:sz w:val="16"/>
                <w:szCs w:val="16"/>
                <w:lang w:eastAsia="zh-CN"/>
              </w:rPr>
            </w:pPr>
            <w:r w:rsidRPr="000A0A5F">
              <w:rPr>
                <w:rFonts w:cs="Arial"/>
                <w:color w:val="000000"/>
                <w:sz w:val="16"/>
                <w:szCs w:val="16"/>
                <w:lang w:eastAsia="zh-CN"/>
              </w:rPr>
              <w:t>0675</w:t>
            </w:r>
          </w:p>
        </w:tc>
        <w:tc>
          <w:tcPr>
            <w:tcW w:w="424" w:type="dxa"/>
            <w:shd w:val="solid" w:color="FFFFFF" w:fill="auto"/>
          </w:tcPr>
          <w:p w:rsidR="00D76A33" w:rsidRPr="000A0A5F" w:rsidRDefault="00F53D4C" w:rsidP="00D76A33">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D76A33" w:rsidRPr="000A0A5F" w:rsidRDefault="00F53D4C" w:rsidP="00D76A33">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D76A33" w:rsidRPr="000A0A5F" w:rsidRDefault="00F53D4C" w:rsidP="00D76A33">
            <w:pPr>
              <w:pStyle w:val="TAL"/>
              <w:rPr>
                <w:sz w:val="16"/>
              </w:rPr>
            </w:pPr>
            <w:r w:rsidRPr="000A0A5F">
              <w:rPr>
                <w:sz w:val="16"/>
              </w:rPr>
              <w:t>Support of BAT offset and adjusted periodicity</w:t>
            </w:r>
          </w:p>
        </w:tc>
        <w:tc>
          <w:tcPr>
            <w:tcW w:w="707"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18.2.0</w:t>
            </w:r>
          </w:p>
        </w:tc>
      </w:tr>
      <w:tr w:rsidR="00D76A33" w:rsidRPr="000A0A5F" w:rsidTr="00274CFF">
        <w:tc>
          <w:tcPr>
            <w:tcW w:w="798"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2023-06</w:t>
            </w:r>
          </w:p>
        </w:tc>
        <w:tc>
          <w:tcPr>
            <w:tcW w:w="797"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CT#100</w:t>
            </w:r>
          </w:p>
        </w:tc>
        <w:tc>
          <w:tcPr>
            <w:tcW w:w="1088"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CP-23</w:t>
            </w:r>
            <w:r w:rsidR="00BF1D37" w:rsidRPr="000A0A5F">
              <w:rPr>
                <w:rFonts w:cs="Arial"/>
                <w:color w:val="000000"/>
                <w:sz w:val="16"/>
                <w:szCs w:val="16"/>
                <w:lang w:eastAsia="zh-CN"/>
              </w:rPr>
              <w:t>1300</w:t>
            </w:r>
          </w:p>
        </w:tc>
        <w:tc>
          <w:tcPr>
            <w:tcW w:w="524" w:type="dxa"/>
            <w:shd w:val="solid" w:color="FFFFFF" w:fill="auto"/>
          </w:tcPr>
          <w:p w:rsidR="00D76A33" w:rsidRPr="000A0A5F" w:rsidRDefault="00F53D4C" w:rsidP="00D76A33">
            <w:pPr>
              <w:pStyle w:val="TAL"/>
              <w:rPr>
                <w:rFonts w:cs="Arial"/>
                <w:color w:val="000000"/>
                <w:sz w:val="16"/>
                <w:szCs w:val="16"/>
                <w:lang w:eastAsia="zh-CN"/>
              </w:rPr>
            </w:pPr>
            <w:r w:rsidRPr="000A0A5F">
              <w:rPr>
                <w:rFonts w:cs="Arial"/>
                <w:color w:val="000000"/>
                <w:sz w:val="16"/>
                <w:szCs w:val="16"/>
                <w:lang w:eastAsia="zh-CN"/>
              </w:rPr>
              <w:t>0677</w:t>
            </w:r>
          </w:p>
        </w:tc>
        <w:tc>
          <w:tcPr>
            <w:tcW w:w="424" w:type="dxa"/>
            <w:shd w:val="solid" w:color="FFFFFF" w:fill="auto"/>
          </w:tcPr>
          <w:p w:rsidR="00D76A33" w:rsidRPr="000A0A5F" w:rsidRDefault="00F53D4C" w:rsidP="00D76A33">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D76A33" w:rsidRPr="000A0A5F" w:rsidRDefault="00F53D4C" w:rsidP="00D76A33">
            <w:pPr>
              <w:pStyle w:val="TAC"/>
              <w:rPr>
                <w:rFonts w:cs="Arial"/>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D76A33" w:rsidRPr="000A0A5F" w:rsidRDefault="00F53D4C" w:rsidP="00D76A33">
            <w:pPr>
              <w:pStyle w:val="TAL"/>
              <w:rPr>
                <w:sz w:val="16"/>
              </w:rPr>
            </w:pPr>
            <w:r w:rsidRPr="000A0A5F">
              <w:rPr>
                <w:sz w:val="16"/>
              </w:rPr>
              <w:t>Support of PDU Set QoS Parameters</w:t>
            </w:r>
          </w:p>
        </w:tc>
        <w:tc>
          <w:tcPr>
            <w:tcW w:w="707"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18.2.0</w:t>
            </w:r>
          </w:p>
        </w:tc>
      </w:tr>
      <w:tr w:rsidR="00D76A33" w:rsidRPr="000A0A5F" w:rsidTr="00274CFF">
        <w:tc>
          <w:tcPr>
            <w:tcW w:w="798"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2023-06</w:t>
            </w:r>
          </w:p>
        </w:tc>
        <w:tc>
          <w:tcPr>
            <w:tcW w:w="797"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CT#100</w:t>
            </w:r>
          </w:p>
        </w:tc>
        <w:tc>
          <w:tcPr>
            <w:tcW w:w="1088"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CP-23</w:t>
            </w:r>
            <w:r w:rsidR="00185906" w:rsidRPr="000A0A5F">
              <w:rPr>
                <w:rFonts w:cs="Arial"/>
                <w:color w:val="000000"/>
                <w:sz w:val="16"/>
                <w:szCs w:val="16"/>
                <w:lang w:eastAsia="zh-CN"/>
              </w:rPr>
              <w:t>1129</w:t>
            </w:r>
          </w:p>
        </w:tc>
        <w:tc>
          <w:tcPr>
            <w:tcW w:w="524" w:type="dxa"/>
            <w:shd w:val="solid" w:color="FFFFFF" w:fill="auto"/>
          </w:tcPr>
          <w:p w:rsidR="00D76A33" w:rsidRPr="000A0A5F" w:rsidRDefault="00F53D4C" w:rsidP="00D76A33">
            <w:pPr>
              <w:pStyle w:val="TAL"/>
              <w:rPr>
                <w:rFonts w:cs="Arial"/>
                <w:color w:val="000000"/>
                <w:sz w:val="16"/>
                <w:szCs w:val="16"/>
                <w:lang w:eastAsia="zh-CN"/>
              </w:rPr>
            </w:pPr>
            <w:r w:rsidRPr="000A0A5F">
              <w:rPr>
                <w:rFonts w:cs="Arial"/>
                <w:color w:val="000000"/>
                <w:sz w:val="16"/>
                <w:szCs w:val="16"/>
                <w:lang w:eastAsia="zh-CN"/>
              </w:rPr>
              <w:t>0678</w:t>
            </w:r>
          </w:p>
        </w:tc>
        <w:tc>
          <w:tcPr>
            <w:tcW w:w="424" w:type="dxa"/>
            <w:shd w:val="solid" w:color="FFFFFF" w:fill="auto"/>
          </w:tcPr>
          <w:p w:rsidR="00D76A33" w:rsidRPr="000A0A5F" w:rsidRDefault="00F53D4C" w:rsidP="00D76A33">
            <w:pPr>
              <w:pStyle w:val="TAR"/>
              <w:rPr>
                <w:rFonts w:cs="Arial"/>
                <w:color w:val="000000"/>
                <w:sz w:val="16"/>
                <w:szCs w:val="16"/>
                <w:lang w:eastAsia="zh-CN"/>
              </w:rPr>
            </w:pPr>
            <w:r w:rsidRPr="000A0A5F">
              <w:rPr>
                <w:rFonts w:cs="Arial"/>
                <w:color w:val="000000"/>
                <w:sz w:val="16"/>
                <w:szCs w:val="16"/>
                <w:lang w:eastAsia="zh-CN"/>
              </w:rPr>
              <w:t>3</w:t>
            </w:r>
          </w:p>
        </w:tc>
        <w:tc>
          <w:tcPr>
            <w:tcW w:w="424" w:type="dxa"/>
            <w:shd w:val="solid" w:color="FFFFFF" w:fill="auto"/>
          </w:tcPr>
          <w:p w:rsidR="00D76A33" w:rsidRPr="000A0A5F" w:rsidRDefault="00F53D4C" w:rsidP="00D76A33">
            <w:pPr>
              <w:pStyle w:val="TAC"/>
              <w:rPr>
                <w:rFonts w:cs="Arial"/>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D76A33" w:rsidRPr="000A0A5F" w:rsidRDefault="00F53D4C" w:rsidP="00D76A33">
            <w:pPr>
              <w:pStyle w:val="TAL"/>
              <w:rPr>
                <w:sz w:val="16"/>
              </w:rPr>
            </w:pPr>
            <w:r w:rsidRPr="000A0A5F">
              <w:rPr>
                <w:sz w:val="16"/>
              </w:rPr>
              <w:t>Support of Uplink Downlink transmission coordination to meet RT latency requirement</w:t>
            </w:r>
          </w:p>
        </w:tc>
        <w:tc>
          <w:tcPr>
            <w:tcW w:w="707"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18.2.0</w:t>
            </w:r>
          </w:p>
        </w:tc>
      </w:tr>
      <w:tr w:rsidR="00D76A33" w:rsidRPr="000A0A5F" w:rsidTr="00274CFF">
        <w:tc>
          <w:tcPr>
            <w:tcW w:w="798"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2023-06</w:t>
            </w:r>
          </w:p>
        </w:tc>
        <w:tc>
          <w:tcPr>
            <w:tcW w:w="797"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CT#100</w:t>
            </w:r>
          </w:p>
        </w:tc>
        <w:tc>
          <w:tcPr>
            <w:tcW w:w="1088"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CP-23</w:t>
            </w:r>
            <w:r w:rsidR="00185906" w:rsidRPr="000A0A5F">
              <w:rPr>
                <w:rFonts w:cs="Arial"/>
                <w:color w:val="000000"/>
                <w:sz w:val="16"/>
                <w:szCs w:val="16"/>
                <w:lang w:eastAsia="zh-CN"/>
              </w:rPr>
              <w:t>1139</w:t>
            </w:r>
          </w:p>
        </w:tc>
        <w:tc>
          <w:tcPr>
            <w:tcW w:w="524" w:type="dxa"/>
            <w:shd w:val="solid" w:color="FFFFFF" w:fill="auto"/>
          </w:tcPr>
          <w:p w:rsidR="00D76A33" w:rsidRPr="000A0A5F" w:rsidRDefault="00F53D4C" w:rsidP="00D76A33">
            <w:pPr>
              <w:pStyle w:val="TAL"/>
              <w:rPr>
                <w:rFonts w:cs="Arial"/>
                <w:color w:val="000000"/>
                <w:sz w:val="16"/>
                <w:szCs w:val="16"/>
                <w:lang w:eastAsia="zh-CN"/>
              </w:rPr>
            </w:pPr>
            <w:r w:rsidRPr="000A0A5F">
              <w:rPr>
                <w:rFonts w:cs="Arial"/>
                <w:color w:val="000000"/>
                <w:sz w:val="16"/>
                <w:szCs w:val="16"/>
                <w:lang w:eastAsia="zh-CN"/>
              </w:rPr>
              <w:t>0680</w:t>
            </w:r>
          </w:p>
        </w:tc>
        <w:tc>
          <w:tcPr>
            <w:tcW w:w="424" w:type="dxa"/>
            <w:shd w:val="solid" w:color="FFFFFF" w:fill="auto"/>
          </w:tcPr>
          <w:p w:rsidR="00D76A33" w:rsidRPr="000A0A5F" w:rsidRDefault="00F53D4C" w:rsidP="00D76A33">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D76A33" w:rsidRPr="000A0A5F" w:rsidRDefault="00F53D4C" w:rsidP="00D76A33">
            <w:pPr>
              <w:pStyle w:val="TAC"/>
              <w:rPr>
                <w:rFonts w:cs="Arial"/>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D76A33" w:rsidRPr="000A0A5F" w:rsidRDefault="00F53D4C" w:rsidP="00D76A33">
            <w:pPr>
              <w:pStyle w:val="TAL"/>
              <w:rPr>
                <w:sz w:val="16"/>
              </w:rPr>
            </w:pPr>
            <w:r w:rsidRPr="000A0A5F">
              <w:rPr>
                <w:sz w:val="16"/>
              </w:rPr>
              <w:t>Updates in NpConfiguration API</w:t>
            </w:r>
          </w:p>
        </w:tc>
        <w:tc>
          <w:tcPr>
            <w:tcW w:w="707"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18.2.0</w:t>
            </w:r>
          </w:p>
        </w:tc>
      </w:tr>
      <w:tr w:rsidR="00D76A33" w:rsidRPr="000A0A5F" w:rsidTr="00274CFF">
        <w:tc>
          <w:tcPr>
            <w:tcW w:w="798"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2023-06</w:t>
            </w:r>
          </w:p>
        </w:tc>
        <w:tc>
          <w:tcPr>
            <w:tcW w:w="797"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CT#100</w:t>
            </w:r>
          </w:p>
        </w:tc>
        <w:tc>
          <w:tcPr>
            <w:tcW w:w="1088"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CP-23</w:t>
            </w:r>
            <w:r w:rsidR="00185906" w:rsidRPr="000A0A5F">
              <w:rPr>
                <w:rFonts w:cs="Arial"/>
                <w:color w:val="000000"/>
                <w:sz w:val="16"/>
                <w:szCs w:val="16"/>
                <w:lang w:eastAsia="zh-CN"/>
              </w:rPr>
              <w:t>1186</w:t>
            </w:r>
          </w:p>
        </w:tc>
        <w:tc>
          <w:tcPr>
            <w:tcW w:w="524" w:type="dxa"/>
            <w:shd w:val="solid" w:color="FFFFFF" w:fill="auto"/>
          </w:tcPr>
          <w:p w:rsidR="00D76A33" w:rsidRPr="000A0A5F" w:rsidRDefault="00620BCA" w:rsidP="00D76A33">
            <w:pPr>
              <w:pStyle w:val="TAL"/>
              <w:rPr>
                <w:rFonts w:cs="Arial"/>
                <w:color w:val="000000"/>
                <w:sz w:val="16"/>
                <w:szCs w:val="16"/>
                <w:lang w:eastAsia="zh-CN"/>
              </w:rPr>
            </w:pPr>
            <w:r w:rsidRPr="000A0A5F">
              <w:rPr>
                <w:rFonts w:cs="Arial"/>
                <w:color w:val="000000"/>
                <w:sz w:val="16"/>
                <w:szCs w:val="16"/>
                <w:lang w:eastAsia="zh-CN"/>
              </w:rPr>
              <w:t>0681</w:t>
            </w:r>
          </w:p>
        </w:tc>
        <w:tc>
          <w:tcPr>
            <w:tcW w:w="424" w:type="dxa"/>
            <w:shd w:val="solid" w:color="FFFFFF" w:fill="auto"/>
          </w:tcPr>
          <w:p w:rsidR="00D76A33" w:rsidRPr="000A0A5F" w:rsidRDefault="00D76A33" w:rsidP="00D76A33">
            <w:pPr>
              <w:pStyle w:val="TAR"/>
              <w:rPr>
                <w:rFonts w:cs="Arial"/>
                <w:color w:val="000000"/>
                <w:sz w:val="16"/>
                <w:szCs w:val="16"/>
                <w:lang w:eastAsia="zh-CN"/>
              </w:rPr>
            </w:pPr>
          </w:p>
        </w:tc>
        <w:tc>
          <w:tcPr>
            <w:tcW w:w="424" w:type="dxa"/>
            <w:shd w:val="solid" w:color="FFFFFF" w:fill="auto"/>
          </w:tcPr>
          <w:p w:rsidR="00D76A33" w:rsidRPr="000A0A5F" w:rsidRDefault="00620BCA" w:rsidP="00D76A33">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D76A33" w:rsidRPr="000A0A5F" w:rsidRDefault="00620BCA" w:rsidP="00D76A33">
            <w:pPr>
              <w:pStyle w:val="TAL"/>
              <w:rPr>
                <w:sz w:val="16"/>
              </w:rPr>
            </w:pPr>
            <w:r w:rsidRPr="000A0A5F">
              <w:rPr>
                <w:sz w:val="16"/>
              </w:rPr>
              <w:t>Clarification on Loss_of_connectivity_notification_5G</w:t>
            </w:r>
          </w:p>
        </w:tc>
        <w:tc>
          <w:tcPr>
            <w:tcW w:w="707"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18.2.0</w:t>
            </w:r>
          </w:p>
        </w:tc>
      </w:tr>
      <w:tr w:rsidR="00D76A33" w:rsidRPr="000A0A5F" w:rsidTr="00274CFF">
        <w:tc>
          <w:tcPr>
            <w:tcW w:w="798"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2023-06</w:t>
            </w:r>
          </w:p>
        </w:tc>
        <w:tc>
          <w:tcPr>
            <w:tcW w:w="797"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CT#100</w:t>
            </w:r>
          </w:p>
        </w:tc>
        <w:tc>
          <w:tcPr>
            <w:tcW w:w="1088"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CP-23</w:t>
            </w:r>
            <w:r w:rsidR="00185906" w:rsidRPr="000A0A5F">
              <w:rPr>
                <w:rFonts w:cs="Arial"/>
                <w:color w:val="000000"/>
                <w:sz w:val="16"/>
                <w:szCs w:val="16"/>
                <w:lang w:eastAsia="zh-CN"/>
              </w:rPr>
              <w:t>1126</w:t>
            </w:r>
          </w:p>
        </w:tc>
        <w:tc>
          <w:tcPr>
            <w:tcW w:w="524" w:type="dxa"/>
            <w:shd w:val="solid" w:color="FFFFFF" w:fill="auto"/>
          </w:tcPr>
          <w:p w:rsidR="00D76A33" w:rsidRPr="000A0A5F" w:rsidRDefault="00620BCA" w:rsidP="00D76A33">
            <w:pPr>
              <w:pStyle w:val="TAL"/>
              <w:rPr>
                <w:rFonts w:cs="Arial"/>
                <w:color w:val="000000"/>
                <w:sz w:val="16"/>
                <w:szCs w:val="16"/>
                <w:lang w:eastAsia="zh-CN"/>
              </w:rPr>
            </w:pPr>
            <w:r w:rsidRPr="000A0A5F">
              <w:rPr>
                <w:rFonts w:cs="Arial"/>
                <w:color w:val="000000"/>
                <w:sz w:val="16"/>
                <w:szCs w:val="16"/>
                <w:lang w:eastAsia="zh-CN"/>
              </w:rPr>
              <w:t>0682</w:t>
            </w:r>
          </w:p>
        </w:tc>
        <w:tc>
          <w:tcPr>
            <w:tcW w:w="424" w:type="dxa"/>
            <w:shd w:val="solid" w:color="FFFFFF" w:fill="auto"/>
          </w:tcPr>
          <w:p w:rsidR="00D76A33" w:rsidRPr="000A0A5F" w:rsidRDefault="00620BCA" w:rsidP="00D76A33">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D76A33" w:rsidRPr="000A0A5F" w:rsidRDefault="00620BCA" w:rsidP="00D76A33">
            <w:pPr>
              <w:pStyle w:val="TAC"/>
              <w:rPr>
                <w:rFonts w:cs="Arial"/>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D76A33" w:rsidRPr="000A0A5F" w:rsidRDefault="00972CA8" w:rsidP="00D76A33">
            <w:pPr>
              <w:pStyle w:val="TAL"/>
              <w:rPr>
                <w:sz w:val="16"/>
              </w:rPr>
            </w:pPr>
            <w:r w:rsidRPr="000A0A5F">
              <w:rPr>
                <w:sz w:val="16"/>
              </w:rPr>
              <w:t>Enhanced data management for the Monitoring API</w:t>
            </w:r>
          </w:p>
        </w:tc>
        <w:tc>
          <w:tcPr>
            <w:tcW w:w="707"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18.2.0</w:t>
            </w:r>
          </w:p>
        </w:tc>
      </w:tr>
      <w:tr w:rsidR="00D76A33" w:rsidRPr="000A0A5F" w:rsidTr="00274CFF">
        <w:tc>
          <w:tcPr>
            <w:tcW w:w="798"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2023-06</w:t>
            </w:r>
          </w:p>
        </w:tc>
        <w:tc>
          <w:tcPr>
            <w:tcW w:w="797"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CT#100</w:t>
            </w:r>
          </w:p>
        </w:tc>
        <w:tc>
          <w:tcPr>
            <w:tcW w:w="1088"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CP-23</w:t>
            </w:r>
            <w:r w:rsidR="00185906" w:rsidRPr="000A0A5F">
              <w:rPr>
                <w:rFonts w:cs="Arial"/>
                <w:color w:val="000000"/>
                <w:sz w:val="16"/>
                <w:szCs w:val="16"/>
                <w:lang w:eastAsia="zh-CN"/>
              </w:rPr>
              <w:t>1164</w:t>
            </w:r>
          </w:p>
        </w:tc>
        <w:tc>
          <w:tcPr>
            <w:tcW w:w="524" w:type="dxa"/>
            <w:shd w:val="solid" w:color="FFFFFF" w:fill="auto"/>
          </w:tcPr>
          <w:p w:rsidR="00D76A33" w:rsidRPr="000A0A5F" w:rsidRDefault="00972CA8" w:rsidP="00D76A33">
            <w:pPr>
              <w:pStyle w:val="TAL"/>
              <w:rPr>
                <w:rFonts w:cs="Arial"/>
                <w:color w:val="000000"/>
                <w:sz w:val="16"/>
                <w:szCs w:val="16"/>
                <w:lang w:eastAsia="zh-CN"/>
              </w:rPr>
            </w:pPr>
            <w:r w:rsidRPr="000A0A5F">
              <w:rPr>
                <w:rFonts w:cs="Arial"/>
                <w:color w:val="000000"/>
                <w:sz w:val="16"/>
                <w:szCs w:val="16"/>
                <w:lang w:eastAsia="zh-CN"/>
              </w:rPr>
              <w:t>0686</w:t>
            </w:r>
          </w:p>
        </w:tc>
        <w:tc>
          <w:tcPr>
            <w:tcW w:w="424" w:type="dxa"/>
            <w:shd w:val="solid" w:color="FFFFFF" w:fill="auto"/>
          </w:tcPr>
          <w:p w:rsidR="00D76A33" w:rsidRPr="000A0A5F" w:rsidRDefault="00972CA8" w:rsidP="00D76A33">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D76A33" w:rsidRPr="000A0A5F" w:rsidRDefault="00972CA8" w:rsidP="00D76A33">
            <w:pPr>
              <w:pStyle w:val="TAC"/>
              <w:rPr>
                <w:rFonts w:cs="Arial"/>
                <w:color w:val="000000"/>
                <w:sz w:val="16"/>
                <w:szCs w:val="16"/>
                <w:lang w:eastAsia="zh-CN"/>
              </w:rPr>
            </w:pPr>
            <w:r w:rsidRPr="000A0A5F">
              <w:rPr>
                <w:rFonts w:cs="Arial"/>
                <w:color w:val="000000"/>
                <w:sz w:val="16"/>
                <w:szCs w:val="16"/>
                <w:lang w:eastAsia="zh-CN"/>
              </w:rPr>
              <w:t>A</w:t>
            </w:r>
          </w:p>
        </w:tc>
        <w:tc>
          <w:tcPr>
            <w:tcW w:w="4919" w:type="dxa"/>
            <w:shd w:val="solid" w:color="FFFFFF" w:fill="auto"/>
          </w:tcPr>
          <w:p w:rsidR="00D76A33" w:rsidRPr="000A0A5F" w:rsidRDefault="00972CA8" w:rsidP="00D76A33">
            <w:pPr>
              <w:pStyle w:val="TAL"/>
              <w:rPr>
                <w:sz w:val="16"/>
              </w:rPr>
            </w:pPr>
            <w:r w:rsidRPr="000A0A5F">
              <w:rPr>
                <w:sz w:val="16"/>
              </w:rPr>
              <w:t>Corrections in the Notification mechanism description</w:t>
            </w:r>
          </w:p>
        </w:tc>
        <w:tc>
          <w:tcPr>
            <w:tcW w:w="707"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18.2.0</w:t>
            </w:r>
          </w:p>
        </w:tc>
      </w:tr>
      <w:tr w:rsidR="00D76A33" w:rsidRPr="000A0A5F" w:rsidTr="00274CFF">
        <w:tc>
          <w:tcPr>
            <w:tcW w:w="798"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2023-06</w:t>
            </w:r>
          </w:p>
        </w:tc>
        <w:tc>
          <w:tcPr>
            <w:tcW w:w="797"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CT#100</w:t>
            </w:r>
          </w:p>
        </w:tc>
        <w:tc>
          <w:tcPr>
            <w:tcW w:w="1088"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CP-23</w:t>
            </w:r>
            <w:r w:rsidR="00185906" w:rsidRPr="000A0A5F">
              <w:rPr>
                <w:rFonts w:cs="Arial"/>
                <w:color w:val="000000"/>
                <w:sz w:val="16"/>
                <w:szCs w:val="16"/>
                <w:lang w:eastAsia="zh-CN"/>
              </w:rPr>
              <w:t>1153</w:t>
            </w:r>
          </w:p>
        </w:tc>
        <w:tc>
          <w:tcPr>
            <w:tcW w:w="524" w:type="dxa"/>
            <w:shd w:val="solid" w:color="FFFFFF" w:fill="auto"/>
          </w:tcPr>
          <w:p w:rsidR="00D76A33" w:rsidRPr="000A0A5F" w:rsidRDefault="00972CA8" w:rsidP="00D76A33">
            <w:pPr>
              <w:pStyle w:val="TAL"/>
              <w:rPr>
                <w:rFonts w:cs="Arial"/>
                <w:color w:val="000000"/>
                <w:sz w:val="16"/>
                <w:szCs w:val="16"/>
                <w:lang w:eastAsia="zh-CN"/>
              </w:rPr>
            </w:pPr>
            <w:r w:rsidRPr="000A0A5F">
              <w:rPr>
                <w:rFonts w:cs="Arial"/>
                <w:color w:val="000000"/>
                <w:sz w:val="16"/>
                <w:szCs w:val="16"/>
                <w:lang w:eastAsia="zh-CN"/>
              </w:rPr>
              <w:t>0688</w:t>
            </w:r>
          </w:p>
        </w:tc>
        <w:tc>
          <w:tcPr>
            <w:tcW w:w="424" w:type="dxa"/>
            <w:shd w:val="solid" w:color="FFFFFF" w:fill="auto"/>
          </w:tcPr>
          <w:p w:rsidR="00D76A33" w:rsidRPr="000A0A5F" w:rsidRDefault="00972CA8" w:rsidP="00D76A33">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D76A33" w:rsidRPr="000A0A5F" w:rsidRDefault="00972CA8" w:rsidP="00D76A33">
            <w:pPr>
              <w:pStyle w:val="TAC"/>
              <w:rPr>
                <w:rFonts w:cs="Arial"/>
                <w:color w:val="000000"/>
                <w:sz w:val="16"/>
                <w:szCs w:val="16"/>
                <w:lang w:eastAsia="zh-CN"/>
              </w:rPr>
            </w:pPr>
            <w:r w:rsidRPr="000A0A5F">
              <w:rPr>
                <w:rFonts w:cs="Arial"/>
                <w:color w:val="000000"/>
                <w:sz w:val="16"/>
                <w:szCs w:val="16"/>
                <w:lang w:eastAsia="zh-CN"/>
              </w:rPr>
              <w:t>A</w:t>
            </w:r>
          </w:p>
        </w:tc>
        <w:tc>
          <w:tcPr>
            <w:tcW w:w="4919" w:type="dxa"/>
            <w:shd w:val="solid" w:color="FFFFFF" w:fill="auto"/>
          </w:tcPr>
          <w:p w:rsidR="00D76A33" w:rsidRPr="000A0A5F" w:rsidRDefault="00972CA8" w:rsidP="00D76A33">
            <w:pPr>
              <w:pStyle w:val="TAL"/>
              <w:rPr>
                <w:sz w:val="16"/>
              </w:rPr>
            </w:pPr>
            <w:r w:rsidRPr="000A0A5F">
              <w:rPr>
                <w:sz w:val="16"/>
              </w:rPr>
              <w:t>MonitoringEvent resources update for an Error case</w:t>
            </w:r>
          </w:p>
        </w:tc>
        <w:tc>
          <w:tcPr>
            <w:tcW w:w="707"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18.2.0</w:t>
            </w:r>
          </w:p>
        </w:tc>
      </w:tr>
      <w:tr w:rsidR="00D76A33" w:rsidRPr="000A0A5F" w:rsidTr="00274CFF">
        <w:tc>
          <w:tcPr>
            <w:tcW w:w="798"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2023-06</w:t>
            </w:r>
          </w:p>
        </w:tc>
        <w:tc>
          <w:tcPr>
            <w:tcW w:w="797"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CT#100</w:t>
            </w:r>
          </w:p>
        </w:tc>
        <w:tc>
          <w:tcPr>
            <w:tcW w:w="1088"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CP-23</w:t>
            </w:r>
            <w:r w:rsidR="00AE0D3A" w:rsidRPr="000A0A5F">
              <w:rPr>
                <w:rFonts w:cs="Arial"/>
                <w:color w:val="000000"/>
                <w:sz w:val="16"/>
                <w:szCs w:val="16"/>
                <w:lang w:eastAsia="zh-CN"/>
              </w:rPr>
              <w:t>1262</w:t>
            </w:r>
          </w:p>
        </w:tc>
        <w:tc>
          <w:tcPr>
            <w:tcW w:w="524" w:type="dxa"/>
            <w:shd w:val="solid" w:color="FFFFFF" w:fill="auto"/>
          </w:tcPr>
          <w:p w:rsidR="00D76A33" w:rsidRPr="000A0A5F" w:rsidRDefault="00972CA8" w:rsidP="00D76A33">
            <w:pPr>
              <w:pStyle w:val="TAL"/>
              <w:rPr>
                <w:rFonts w:cs="Arial"/>
                <w:color w:val="000000"/>
                <w:sz w:val="16"/>
                <w:szCs w:val="16"/>
                <w:lang w:eastAsia="zh-CN"/>
              </w:rPr>
            </w:pPr>
            <w:r w:rsidRPr="000A0A5F">
              <w:rPr>
                <w:rFonts w:cs="Arial"/>
                <w:color w:val="000000"/>
                <w:sz w:val="16"/>
                <w:szCs w:val="16"/>
                <w:lang w:eastAsia="zh-CN"/>
              </w:rPr>
              <w:t>0689</w:t>
            </w:r>
          </w:p>
        </w:tc>
        <w:tc>
          <w:tcPr>
            <w:tcW w:w="424" w:type="dxa"/>
            <w:shd w:val="solid" w:color="FFFFFF" w:fill="auto"/>
          </w:tcPr>
          <w:p w:rsidR="00D76A33" w:rsidRPr="000A0A5F" w:rsidRDefault="00972CA8" w:rsidP="00D76A33">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D76A33" w:rsidRPr="000A0A5F" w:rsidRDefault="00972CA8" w:rsidP="00D76A33">
            <w:pPr>
              <w:pStyle w:val="TAC"/>
              <w:rPr>
                <w:rFonts w:cs="Arial"/>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D76A33" w:rsidRPr="000A0A5F" w:rsidRDefault="00972CA8" w:rsidP="00D76A33">
            <w:pPr>
              <w:pStyle w:val="TAL"/>
              <w:rPr>
                <w:sz w:val="16"/>
              </w:rPr>
            </w:pPr>
            <w:r w:rsidRPr="000A0A5F">
              <w:rPr>
                <w:sz w:val="16"/>
              </w:rPr>
              <w:t>Adding Monitoring event for application traffic detection.</w:t>
            </w:r>
          </w:p>
        </w:tc>
        <w:tc>
          <w:tcPr>
            <w:tcW w:w="707"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18.2.0</w:t>
            </w:r>
          </w:p>
        </w:tc>
      </w:tr>
      <w:tr w:rsidR="00D76A33" w:rsidRPr="000A0A5F" w:rsidTr="00274CFF">
        <w:tc>
          <w:tcPr>
            <w:tcW w:w="798"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2023-06</w:t>
            </w:r>
          </w:p>
        </w:tc>
        <w:tc>
          <w:tcPr>
            <w:tcW w:w="797"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CT#100</w:t>
            </w:r>
          </w:p>
        </w:tc>
        <w:tc>
          <w:tcPr>
            <w:tcW w:w="1088"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CP-23</w:t>
            </w:r>
            <w:r w:rsidR="00185906" w:rsidRPr="000A0A5F">
              <w:rPr>
                <w:rFonts w:cs="Arial"/>
                <w:color w:val="000000"/>
                <w:sz w:val="16"/>
                <w:szCs w:val="16"/>
                <w:lang w:eastAsia="zh-CN"/>
              </w:rPr>
              <w:t>1130</w:t>
            </w:r>
          </w:p>
        </w:tc>
        <w:tc>
          <w:tcPr>
            <w:tcW w:w="524" w:type="dxa"/>
            <w:shd w:val="solid" w:color="FFFFFF" w:fill="auto"/>
          </w:tcPr>
          <w:p w:rsidR="00D76A33" w:rsidRPr="000A0A5F" w:rsidRDefault="00972CA8" w:rsidP="00D76A33">
            <w:pPr>
              <w:pStyle w:val="TAL"/>
              <w:rPr>
                <w:rFonts w:cs="Arial"/>
                <w:color w:val="000000"/>
                <w:sz w:val="16"/>
                <w:szCs w:val="16"/>
                <w:lang w:eastAsia="zh-CN"/>
              </w:rPr>
            </w:pPr>
            <w:r w:rsidRPr="000A0A5F">
              <w:rPr>
                <w:rFonts w:cs="Arial"/>
                <w:color w:val="000000"/>
                <w:sz w:val="16"/>
                <w:szCs w:val="16"/>
                <w:lang w:eastAsia="zh-CN"/>
              </w:rPr>
              <w:t>0690</w:t>
            </w:r>
          </w:p>
        </w:tc>
        <w:tc>
          <w:tcPr>
            <w:tcW w:w="424" w:type="dxa"/>
            <w:shd w:val="solid" w:color="FFFFFF" w:fill="auto"/>
          </w:tcPr>
          <w:p w:rsidR="00D76A33" w:rsidRPr="000A0A5F" w:rsidRDefault="00972CA8" w:rsidP="00D76A33">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D76A33" w:rsidRPr="000A0A5F" w:rsidRDefault="00972CA8" w:rsidP="00D76A33">
            <w:pPr>
              <w:pStyle w:val="TAC"/>
              <w:rPr>
                <w:rFonts w:cs="Arial"/>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D76A33" w:rsidRPr="000A0A5F" w:rsidRDefault="00972CA8" w:rsidP="00D76A33">
            <w:pPr>
              <w:pStyle w:val="TAL"/>
              <w:rPr>
                <w:sz w:val="16"/>
              </w:rPr>
            </w:pPr>
            <w:r w:rsidRPr="000A0A5F">
              <w:rPr>
                <w:sz w:val="16"/>
              </w:rPr>
              <w:t>Protocol description parameter support in AS Session with QoS</w:t>
            </w:r>
          </w:p>
        </w:tc>
        <w:tc>
          <w:tcPr>
            <w:tcW w:w="707"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18.2.0</w:t>
            </w:r>
          </w:p>
        </w:tc>
      </w:tr>
      <w:tr w:rsidR="00D76A33" w:rsidRPr="000A0A5F" w:rsidTr="00274CFF">
        <w:tc>
          <w:tcPr>
            <w:tcW w:w="798"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2023-06</w:t>
            </w:r>
          </w:p>
        </w:tc>
        <w:tc>
          <w:tcPr>
            <w:tcW w:w="797"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CT#100</w:t>
            </w:r>
          </w:p>
        </w:tc>
        <w:tc>
          <w:tcPr>
            <w:tcW w:w="1088"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CP-23</w:t>
            </w:r>
            <w:r w:rsidR="00185906" w:rsidRPr="000A0A5F">
              <w:rPr>
                <w:rFonts w:cs="Arial"/>
                <w:color w:val="000000"/>
                <w:sz w:val="16"/>
                <w:szCs w:val="16"/>
                <w:lang w:eastAsia="zh-CN"/>
              </w:rPr>
              <w:t>1147</w:t>
            </w:r>
          </w:p>
        </w:tc>
        <w:tc>
          <w:tcPr>
            <w:tcW w:w="524" w:type="dxa"/>
            <w:shd w:val="solid" w:color="FFFFFF" w:fill="auto"/>
          </w:tcPr>
          <w:p w:rsidR="00D76A33" w:rsidRPr="000A0A5F" w:rsidRDefault="001A02F2" w:rsidP="00D76A33">
            <w:pPr>
              <w:pStyle w:val="TAL"/>
              <w:rPr>
                <w:rFonts w:cs="Arial"/>
                <w:color w:val="000000"/>
                <w:sz w:val="16"/>
                <w:szCs w:val="16"/>
                <w:lang w:eastAsia="zh-CN"/>
              </w:rPr>
            </w:pPr>
            <w:r w:rsidRPr="000A0A5F">
              <w:rPr>
                <w:rFonts w:cs="Arial"/>
                <w:color w:val="000000"/>
                <w:sz w:val="16"/>
                <w:szCs w:val="16"/>
                <w:lang w:eastAsia="zh-CN"/>
              </w:rPr>
              <w:t>0694</w:t>
            </w:r>
          </w:p>
        </w:tc>
        <w:tc>
          <w:tcPr>
            <w:tcW w:w="424" w:type="dxa"/>
            <w:shd w:val="solid" w:color="FFFFFF" w:fill="auto"/>
          </w:tcPr>
          <w:p w:rsidR="00D76A33" w:rsidRPr="000A0A5F" w:rsidRDefault="00D76A33" w:rsidP="00D76A33">
            <w:pPr>
              <w:pStyle w:val="TAR"/>
              <w:rPr>
                <w:rFonts w:cs="Arial"/>
                <w:color w:val="000000"/>
                <w:sz w:val="16"/>
                <w:szCs w:val="16"/>
                <w:lang w:eastAsia="zh-CN"/>
              </w:rPr>
            </w:pPr>
          </w:p>
        </w:tc>
        <w:tc>
          <w:tcPr>
            <w:tcW w:w="424" w:type="dxa"/>
            <w:shd w:val="solid" w:color="FFFFFF" w:fill="auto"/>
          </w:tcPr>
          <w:p w:rsidR="00D76A33" w:rsidRPr="000A0A5F" w:rsidRDefault="001A02F2" w:rsidP="00D76A33">
            <w:pPr>
              <w:pStyle w:val="TAC"/>
              <w:rPr>
                <w:rFonts w:cs="Arial"/>
                <w:color w:val="000000"/>
                <w:sz w:val="16"/>
                <w:szCs w:val="16"/>
                <w:lang w:eastAsia="zh-CN"/>
              </w:rPr>
            </w:pPr>
            <w:r w:rsidRPr="000A0A5F">
              <w:rPr>
                <w:rFonts w:cs="Arial"/>
                <w:color w:val="000000"/>
                <w:sz w:val="16"/>
                <w:szCs w:val="16"/>
                <w:lang w:eastAsia="zh-CN"/>
              </w:rPr>
              <w:t>A</w:t>
            </w:r>
          </w:p>
        </w:tc>
        <w:tc>
          <w:tcPr>
            <w:tcW w:w="4919" w:type="dxa"/>
            <w:shd w:val="solid" w:color="FFFFFF" w:fill="auto"/>
          </w:tcPr>
          <w:p w:rsidR="00D76A33" w:rsidRPr="000A0A5F" w:rsidRDefault="001A02F2" w:rsidP="00D76A33">
            <w:pPr>
              <w:pStyle w:val="TAL"/>
              <w:rPr>
                <w:sz w:val="16"/>
              </w:rPr>
            </w:pPr>
            <w:r w:rsidRPr="000A0A5F">
              <w:rPr>
                <w:sz w:val="16"/>
              </w:rPr>
              <w:t>Removal of unspecified QoS monitoring control options</w:t>
            </w:r>
          </w:p>
        </w:tc>
        <w:tc>
          <w:tcPr>
            <w:tcW w:w="707"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18.2.0</w:t>
            </w:r>
          </w:p>
        </w:tc>
      </w:tr>
      <w:tr w:rsidR="00D76A33" w:rsidRPr="000A0A5F" w:rsidTr="00274CFF">
        <w:tc>
          <w:tcPr>
            <w:tcW w:w="798"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2023-06</w:t>
            </w:r>
          </w:p>
        </w:tc>
        <w:tc>
          <w:tcPr>
            <w:tcW w:w="797"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CT#100</w:t>
            </w:r>
          </w:p>
        </w:tc>
        <w:tc>
          <w:tcPr>
            <w:tcW w:w="1088"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CP-23</w:t>
            </w:r>
            <w:r w:rsidR="00185906" w:rsidRPr="000A0A5F">
              <w:rPr>
                <w:rFonts w:cs="Arial"/>
                <w:color w:val="000000"/>
                <w:sz w:val="16"/>
                <w:szCs w:val="16"/>
                <w:lang w:eastAsia="zh-CN"/>
              </w:rPr>
              <w:t>1129</w:t>
            </w:r>
          </w:p>
        </w:tc>
        <w:tc>
          <w:tcPr>
            <w:tcW w:w="524" w:type="dxa"/>
            <w:shd w:val="solid" w:color="FFFFFF" w:fill="auto"/>
          </w:tcPr>
          <w:p w:rsidR="00D76A33" w:rsidRPr="000A0A5F" w:rsidRDefault="001A02F2" w:rsidP="00D76A33">
            <w:pPr>
              <w:pStyle w:val="TAL"/>
              <w:rPr>
                <w:rFonts w:cs="Arial"/>
                <w:color w:val="000000"/>
                <w:sz w:val="16"/>
                <w:szCs w:val="16"/>
                <w:lang w:eastAsia="zh-CN"/>
              </w:rPr>
            </w:pPr>
            <w:r w:rsidRPr="000A0A5F">
              <w:rPr>
                <w:rFonts w:cs="Arial"/>
                <w:color w:val="000000"/>
                <w:sz w:val="16"/>
                <w:szCs w:val="16"/>
                <w:lang w:eastAsia="zh-CN"/>
              </w:rPr>
              <w:t>0696</w:t>
            </w:r>
          </w:p>
        </w:tc>
        <w:tc>
          <w:tcPr>
            <w:tcW w:w="424" w:type="dxa"/>
            <w:shd w:val="solid" w:color="FFFFFF" w:fill="auto"/>
          </w:tcPr>
          <w:p w:rsidR="00D76A33" w:rsidRPr="000A0A5F" w:rsidRDefault="00D76A33" w:rsidP="00D76A33">
            <w:pPr>
              <w:pStyle w:val="TAR"/>
              <w:rPr>
                <w:rFonts w:cs="Arial"/>
                <w:color w:val="000000"/>
                <w:sz w:val="16"/>
                <w:szCs w:val="16"/>
                <w:lang w:eastAsia="zh-CN"/>
              </w:rPr>
            </w:pPr>
          </w:p>
        </w:tc>
        <w:tc>
          <w:tcPr>
            <w:tcW w:w="424" w:type="dxa"/>
            <w:shd w:val="solid" w:color="FFFFFF" w:fill="auto"/>
          </w:tcPr>
          <w:p w:rsidR="00D76A33" w:rsidRPr="000A0A5F" w:rsidRDefault="001A02F2" w:rsidP="00D76A33">
            <w:pPr>
              <w:pStyle w:val="TAC"/>
              <w:rPr>
                <w:rFonts w:cs="Arial"/>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D76A33" w:rsidRPr="000A0A5F" w:rsidRDefault="001A02F2" w:rsidP="00D76A33">
            <w:pPr>
              <w:pStyle w:val="TAL"/>
              <w:rPr>
                <w:sz w:val="16"/>
              </w:rPr>
            </w:pPr>
            <w:r w:rsidRPr="000A0A5F">
              <w:rPr>
                <w:sz w:val="16"/>
              </w:rPr>
              <w:t>Support of periodicity measurement and reporting for power saving</w:t>
            </w:r>
          </w:p>
        </w:tc>
        <w:tc>
          <w:tcPr>
            <w:tcW w:w="707"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18.2.0</w:t>
            </w:r>
          </w:p>
        </w:tc>
      </w:tr>
      <w:tr w:rsidR="00D76A33" w:rsidRPr="000A0A5F" w:rsidTr="00274CFF">
        <w:tc>
          <w:tcPr>
            <w:tcW w:w="798"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2023-06</w:t>
            </w:r>
          </w:p>
        </w:tc>
        <w:tc>
          <w:tcPr>
            <w:tcW w:w="797"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CT#100</w:t>
            </w:r>
          </w:p>
        </w:tc>
        <w:tc>
          <w:tcPr>
            <w:tcW w:w="1088"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CP-23</w:t>
            </w:r>
            <w:r w:rsidR="009B3C53" w:rsidRPr="000A0A5F">
              <w:rPr>
                <w:rFonts w:cs="Arial"/>
                <w:color w:val="000000"/>
                <w:sz w:val="16"/>
                <w:szCs w:val="16"/>
                <w:lang w:eastAsia="zh-CN"/>
              </w:rPr>
              <w:t>1128</w:t>
            </w:r>
          </w:p>
        </w:tc>
        <w:tc>
          <w:tcPr>
            <w:tcW w:w="524" w:type="dxa"/>
            <w:shd w:val="solid" w:color="FFFFFF" w:fill="auto"/>
          </w:tcPr>
          <w:p w:rsidR="00D76A33" w:rsidRPr="000A0A5F" w:rsidRDefault="001A02F2" w:rsidP="00D76A33">
            <w:pPr>
              <w:pStyle w:val="TAL"/>
              <w:rPr>
                <w:rFonts w:cs="Arial"/>
                <w:color w:val="000000"/>
                <w:sz w:val="16"/>
                <w:szCs w:val="16"/>
                <w:lang w:eastAsia="zh-CN"/>
              </w:rPr>
            </w:pPr>
            <w:r w:rsidRPr="000A0A5F">
              <w:rPr>
                <w:rFonts w:cs="Arial"/>
                <w:color w:val="000000"/>
                <w:sz w:val="16"/>
                <w:szCs w:val="16"/>
                <w:lang w:eastAsia="zh-CN"/>
              </w:rPr>
              <w:t>0697</w:t>
            </w:r>
          </w:p>
        </w:tc>
        <w:tc>
          <w:tcPr>
            <w:tcW w:w="424" w:type="dxa"/>
            <w:shd w:val="solid" w:color="FFFFFF" w:fill="auto"/>
          </w:tcPr>
          <w:p w:rsidR="00D76A33" w:rsidRPr="000A0A5F" w:rsidRDefault="00D76A33" w:rsidP="00D76A33">
            <w:pPr>
              <w:pStyle w:val="TAR"/>
              <w:rPr>
                <w:rFonts w:cs="Arial"/>
                <w:color w:val="000000"/>
                <w:sz w:val="16"/>
                <w:szCs w:val="16"/>
                <w:lang w:eastAsia="zh-CN"/>
              </w:rPr>
            </w:pPr>
          </w:p>
        </w:tc>
        <w:tc>
          <w:tcPr>
            <w:tcW w:w="424" w:type="dxa"/>
            <w:shd w:val="solid" w:color="FFFFFF" w:fill="auto"/>
          </w:tcPr>
          <w:p w:rsidR="00D76A33" w:rsidRPr="000A0A5F" w:rsidRDefault="001A02F2" w:rsidP="00D76A33">
            <w:pPr>
              <w:pStyle w:val="TAC"/>
              <w:rPr>
                <w:rFonts w:cs="Arial"/>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D76A33" w:rsidRPr="000A0A5F" w:rsidRDefault="001A02F2" w:rsidP="00D76A33">
            <w:pPr>
              <w:pStyle w:val="TAL"/>
              <w:rPr>
                <w:sz w:val="16"/>
              </w:rPr>
            </w:pPr>
            <w:r w:rsidRPr="000A0A5F">
              <w:rPr>
                <w:sz w:val="16"/>
              </w:rPr>
              <w:t>Support Application-Specific Expected UE Behaviour parameters</w:t>
            </w:r>
          </w:p>
        </w:tc>
        <w:tc>
          <w:tcPr>
            <w:tcW w:w="707"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18.2.0</w:t>
            </w:r>
          </w:p>
        </w:tc>
      </w:tr>
      <w:tr w:rsidR="00D76A33" w:rsidRPr="000A0A5F" w:rsidTr="00274CFF">
        <w:tc>
          <w:tcPr>
            <w:tcW w:w="798"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2023-06</w:t>
            </w:r>
          </w:p>
        </w:tc>
        <w:tc>
          <w:tcPr>
            <w:tcW w:w="797"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CT#100</w:t>
            </w:r>
          </w:p>
        </w:tc>
        <w:tc>
          <w:tcPr>
            <w:tcW w:w="1088"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CP-23</w:t>
            </w:r>
            <w:r w:rsidR="00BF1D37" w:rsidRPr="000A0A5F">
              <w:rPr>
                <w:rFonts w:cs="Arial"/>
                <w:color w:val="000000"/>
                <w:sz w:val="16"/>
                <w:szCs w:val="16"/>
                <w:lang w:eastAsia="zh-CN"/>
              </w:rPr>
              <w:t>1311</w:t>
            </w:r>
          </w:p>
        </w:tc>
        <w:tc>
          <w:tcPr>
            <w:tcW w:w="524" w:type="dxa"/>
            <w:shd w:val="solid" w:color="FFFFFF" w:fill="auto"/>
          </w:tcPr>
          <w:p w:rsidR="00D76A33" w:rsidRPr="000A0A5F" w:rsidRDefault="001A02F2" w:rsidP="00D76A33">
            <w:pPr>
              <w:pStyle w:val="TAL"/>
              <w:rPr>
                <w:rFonts w:cs="Arial"/>
                <w:color w:val="000000"/>
                <w:sz w:val="16"/>
                <w:szCs w:val="16"/>
                <w:lang w:eastAsia="zh-CN"/>
              </w:rPr>
            </w:pPr>
            <w:r w:rsidRPr="000A0A5F">
              <w:rPr>
                <w:rFonts w:cs="Arial"/>
                <w:color w:val="000000"/>
                <w:sz w:val="16"/>
                <w:szCs w:val="16"/>
                <w:lang w:eastAsia="zh-CN"/>
              </w:rPr>
              <w:t>0699</w:t>
            </w:r>
          </w:p>
        </w:tc>
        <w:tc>
          <w:tcPr>
            <w:tcW w:w="424" w:type="dxa"/>
            <w:shd w:val="solid" w:color="FFFFFF" w:fill="auto"/>
          </w:tcPr>
          <w:p w:rsidR="00D76A33" w:rsidRPr="000A0A5F" w:rsidRDefault="001A02F2" w:rsidP="00D76A33">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D76A33" w:rsidRPr="000A0A5F" w:rsidRDefault="001A02F2" w:rsidP="00D76A33">
            <w:pPr>
              <w:pStyle w:val="TAC"/>
              <w:rPr>
                <w:rFonts w:cs="Arial"/>
                <w:color w:val="000000"/>
                <w:sz w:val="16"/>
                <w:szCs w:val="16"/>
                <w:lang w:eastAsia="zh-CN"/>
              </w:rPr>
            </w:pPr>
            <w:r w:rsidRPr="000A0A5F">
              <w:rPr>
                <w:rFonts w:cs="Arial"/>
                <w:color w:val="000000"/>
                <w:sz w:val="16"/>
                <w:szCs w:val="16"/>
                <w:lang w:eastAsia="zh-CN"/>
              </w:rPr>
              <w:t>A</w:t>
            </w:r>
          </w:p>
        </w:tc>
        <w:tc>
          <w:tcPr>
            <w:tcW w:w="4919" w:type="dxa"/>
            <w:shd w:val="solid" w:color="FFFFFF" w:fill="auto"/>
          </w:tcPr>
          <w:p w:rsidR="00D76A33" w:rsidRPr="000A0A5F" w:rsidRDefault="001A02F2" w:rsidP="00D76A33">
            <w:pPr>
              <w:pStyle w:val="TAL"/>
              <w:rPr>
                <w:sz w:val="16"/>
              </w:rPr>
            </w:pPr>
            <w:r w:rsidRPr="000A0A5F">
              <w:rPr>
                <w:sz w:val="16"/>
              </w:rPr>
              <w:t>Corrections to boolean type in MonitoringEventSubscription</w:t>
            </w:r>
          </w:p>
        </w:tc>
        <w:tc>
          <w:tcPr>
            <w:tcW w:w="707"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18.2.0</w:t>
            </w:r>
          </w:p>
        </w:tc>
      </w:tr>
      <w:tr w:rsidR="00D76A33" w:rsidRPr="000A0A5F" w:rsidTr="00274CFF">
        <w:tc>
          <w:tcPr>
            <w:tcW w:w="798"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2023-06</w:t>
            </w:r>
          </w:p>
        </w:tc>
        <w:tc>
          <w:tcPr>
            <w:tcW w:w="797"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CT#100</w:t>
            </w:r>
          </w:p>
        </w:tc>
        <w:tc>
          <w:tcPr>
            <w:tcW w:w="1088"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CP-23</w:t>
            </w:r>
            <w:r w:rsidR="009B3C53" w:rsidRPr="000A0A5F">
              <w:rPr>
                <w:rFonts w:cs="Arial"/>
                <w:color w:val="000000"/>
                <w:sz w:val="16"/>
                <w:szCs w:val="16"/>
                <w:lang w:eastAsia="zh-CN"/>
              </w:rPr>
              <w:t>1140</w:t>
            </w:r>
          </w:p>
        </w:tc>
        <w:tc>
          <w:tcPr>
            <w:tcW w:w="524" w:type="dxa"/>
            <w:shd w:val="solid" w:color="FFFFFF" w:fill="auto"/>
          </w:tcPr>
          <w:p w:rsidR="00D76A33" w:rsidRPr="000A0A5F" w:rsidRDefault="001A02F2" w:rsidP="00D76A33">
            <w:pPr>
              <w:pStyle w:val="TAL"/>
              <w:rPr>
                <w:rFonts w:cs="Arial"/>
                <w:color w:val="000000"/>
                <w:sz w:val="16"/>
                <w:szCs w:val="16"/>
                <w:lang w:eastAsia="zh-CN"/>
              </w:rPr>
            </w:pPr>
            <w:r w:rsidRPr="000A0A5F">
              <w:rPr>
                <w:rFonts w:cs="Arial"/>
                <w:color w:val="000000"/>
                <w:sz w:val="16"/>
                <w:szCs w:val="16"/>
                <w:lang w:eastAsia="zh-CN"/>
              </w:rPr>
              <w:t>0700</w:t>
            </w:r>
          </w:p>
        </w:tc>
        <w:tc>
          <w:tcPr>
            <w:tcW w:w="424" w:type="dxa"/>
            <w:shd w:val="solid" w:color="FFFFFF" w:fill="auto"/>
          </w:tcPr>
          <w:p w:rsidR="00D76A33" w:rsidRPr="000A0A5F" w:rsidRDefault="001A02F2" w:rsidP="00D76A33">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D76A33" w:rsidRPr="000A0A5F" w:rsidRDefault="001A02F2" w:rsidP="00D76A33">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D76A33" w:rsidRPr="000A0A5F" w:rsidRDefault="001A02F2" w:rsidP="00D76A33">
            <w:pPr>
              <w:pStyle w:val="TAL"/>
              <w:rPr>
                <w:sz w:val="16"/>
              </w:rPr>
            </w:pPr>
            <w:r w:rsidRPr="000A0A5F">
              <w:rPr>
                <w:sz w:val="16"/>
              </w:rPr>
              <w:t>Corrections to immediate reporting in MonitoringEvent API</w:t>
            </w:r>
          </w:p>
        </w:tc>
        <w:tc>
          <w:tcPr>
            <w:tcW w:w="707"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18.2.0</w:t>
            </w:r>
          </w:p>
        </w:tc>
      </w:tr>
      <w:tr w:rsidR="00D76A33" w:rsidRPr="000A0A5F" w:rsidTr="00274CFF">
        <w:tc>
          <w:tcPr>
            <w:tcW w:w="798"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2023-06</w:t>
            </w:r>
          </w:p>
        </w:tc>
        <w:tc>
          <w:tcPr>
            <w:tcW w:w="797"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CT#100</w:t>
            </w:r>
          </w:p>
        </w:tc>
        <w:tc>
          <w:tcPr>
            <w:tcW w:w="1088"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CP-23</w:t>
            </w:r>
            <w:r w:rsidR="00807ABF" w:rsidRPr="000A0A5F">
              <w:rPr>
                <w:rFonts w:cs="Arial"/>
                <w:color w:val="000000"/>
                <w:sz w:val="16"/>
                <w:szCs w:val="16"/>
                <w:lang w:eastAsia="zh-CN"/>
              </w:rPr>
              <w:t>1140</w:t>
            </w:r>
          </w:p>
        </w:tc>
        <w:tc>
          <w:tcPr>
            <w:tcW w:w="524" w:type="dxa"/>
            <w:shd w:val="solid" w:color="FFFFFF" w:fill="auto"/>
          </w:tcPr>
          <w:p w:rsidR="00D76A33" w:rsidRPr="000A0A5F" w:rsidRDefault="001A02F2" w:rsidP="00D76A33">
            <w:pPr>
              <w:pStyle w:val="TAL"/>
              <w:rPr>
                <w:rFonts w:cs="Arial"/>
                <w:color w:val="000000"/>
                <w:sz w:val="16"/>
                <w:szCs w:val="16"/>
                <w:lang w:eastAsia="zh-CN"/>
              </w:rPr>
            </w:pPr>
            <w:r w:rsidRPr="000A0A5F">
              <w:rPr>
                <w:rFonts w:cs="Arial"/>
                <w:color w:val="000000"/>
                <w:sz w:val="16"/>
                <w:szCs w:val="16"/>
                <w:lang w:eastAsia="zh-CN"/>
              </w:rPr>
              <w:t>0701</w:t>
            </w:r>
          </w:p>
        </w:tc>
        <w:tc>
          <w:tcPr>
            <w:tcW w:w="424" w:type="dxa"/>
            <w:shd w:val="solid" w:color="FFFFFF" w:fill="auto"/>
          </w:tcPr>
          <w:p w:rsidR="00D76A33" w:rsidRPr="000A0A5F" w:rsidRDefault="001A02F2" w:rsidP="00D76A33">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D76A33" w:rsidRPr="000A0A5F" w:rsidRDefault="001A02F2" w:rsidP="00D76A33">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D76A33" w:rsidRPr="000A0A5F" w:rsidRDefault="001A02F2" w:rsidP="00D76A33">
            <w:pPr>
              <w:pStyle w:val="TAL"/>
              <w:rPr>
                <w:sz w:val="16"/>
              </w:rPr>
            </w:pPr>
            <w:r w:rsidRPr="000A0A5F">
              <w:rPr>
                <w:sz w:val="16"/>
              </w:rPr>
              <w:t>Corrections to Location Type and immediate reporting in MonitoringEvent API</w:t>
            </w:r>
          </w:p>
        </w:tc>
        <w:tc>
          <w:tcPr>
            <w:tcW w:w="707"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18.2.0</w:t>
            </w:r>
          </w:p>
        </w:tc>
      </w:tr>
      <w:tr w:rsidR="00D76A33" w:rsidRPr="000A0A5F" w:rsidTr="00274CFF">
        <w:tc>
          <w:tcPr>
            <w:tcW w:w="798"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2023-06</w:t>
            </w:r>
          </w:p>
        </w:tc>
        <w:tc>
          <w:tcPr>
            <w:tcW w:w="797"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CT#100</w:t>
            </w:r>
          </w:p>
        </w:tc>
        <w:tc>
          <w:tcPr>
            <w:tcW w:w="1088"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CP-23</w:t>
            </w:r>
            <w:r w:rsidR="001C3B1C" w:rsidRPr="000A0A5F">
              <w:rPr>
                <w:rFonts w:cs="Arial"/>
                <w:color w:val="000000"/>
                <w:sz w:val="16"/>
                <w:szCs w:val="16"/>
                <w:lang w:eastAsia="zh-CN"/>
              </w:rPr>
              <w:t>13</w:t>
            </w:r>
            <w:r w:rsidR="00807ABF" w:rsidRPr="000A0A5F">
              <w:rPr>
                <w:rFonts w:cs="Arial"/>
                <w:color w:val="000000"/>
                <w:sz w:val="16"/>
                <w:szCs w:val="16"/>
                <w:lang w:eastAsia="zh-CN"/>
              </w:rPr>
              <w:t>13</w:t>
            </w:r>
          </w:p>
        </w:tc>
        <w:tc>
          <w:tcPr>
            <w:tcW w:w="524" w:type="dxa"/>
            <w:shd w:val="solid" w:color="FFFFFF" w:fill="auto"/>
          </w:tcPr>
          <w:p w:rsidR="00D76A33" w:rsidRPr="000A0A5F" w:rsidRDefault="001A02F2" w:rsidP="00D76A33">
            <w:pPr>
              <w:pStyle w:val="TAL"/>
              <w:rPr>
                <w:rFonts w:cs="Arial"/>
                <w:color w:val="000000"/>
                <w:sz w:val="16"/>
                <w:szCs w:val="16"/>
                <w:lang w:eastAsia="zh-CN"/>
              </w:rPr>
            </w:pPr>
            <w:r w:rsidRPr="000A0A5F">
              <w:rPr>
                <w:rFonts w:cs="Arial"/>
                <w:color w:val="000000"/>
                <w:sz w:val="16"/>
                <w:szCs w:val="16"/>
                <w:lang w:eastAsia="zh-CN"/>
              </w:rPr>
              <w:t>0702</w:t>
            </w:r>
          </w:p>
        </w:tc>
        <w:tc>
          <w:tcPr>
            <w:tcW w:w="424" w:type="dxa"/>
            <w:shd w:val="solid" w:color="FFFFFF" w:fill="auto"/>
          </w:tcPr>
          <w:p w:rsidR="00D76A33" w:rsidRPr="000A0A5F" w:rsidRDefault="001A02F2" w:rsidP="00D76A33">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D76A33" w:rsidRPr="000A0A5F" w:rsidRDefault="001A02F2" w:rsidP="00D76A33">
            <w:pPr>
              <w:pStyle w:val="TAC"/>
              <w:rPr>
                <w:rFonts w:cs="Arial"/>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D76A33" w:rsidRPr="000A0A5F" w:rsidRDefault="001A02F2" w:rsidP="00D76A33">
            <w:pPr>
              <w:pStyle w:val="TAL"/>
              <w:rPr>
                <w:sz w:val="16"/>
              </w:rPr>
            </w:pPr>
            <w:r w:rsidRPr="000A0A5F">
              <w:rPr>
                <w:sz w:val="16"/>
              </w:rPr>
              <w:t>Updates to BDT on ASP Id</w:t>
            </w:r>
          </w:p>
        </w:tc>
        <w:tc>
          <w:tcPr>
            <w:tcW w:w="707"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18.2.0</w:t>
            </w:r>
          </w:p>
        </w:tc>
      </w:tr>
      <w:tr w:rsidR="00D76A33" w:rsidRPr="000A0A5F" w:rsidTr="00274CFF">
        <w:tc>
          <w:tcPr>
            <w:tcW w:w="798"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2023-06</w:t>
            </w:r>
          </w:p>
        </w:tc>
        <w:tc>
          <w:tcPr>
            <w:tcW w:w="797"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CT#100</w:t>
            </w:r>
          </w:p>
        </w:tc>
        <w:tc>
          <w:tcPr>
            <w:tcW w:w="1088"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CP-23</w:t>
            </w:r>
            <w:r w:rsidR="00807ABF" w:rsidRPr="000A0A5F">
              <w:rPr>
                <w:rFonts w:cs="Arial"/>
                <w:color w:val="000000"/>
                <w:sz w:val="16"/>
                <w:szCs w:val="16"/>
                <w:lang w:eastAsia="zh-CN"/>
              </w:rPr>
              <w:t>1167</w:t>
            </w:r>
          </w:p>
        </w:tc>
        <w:tc>
          <w:tcPr>
            <w:tcW w:w="524" w:type="dxa"/>
            <w:shd w:val="solid" w:color="FFFFFF" w:fill="auto"/>
          </w:tcPr>
          <w:p w:rsidR="00D76A33" w:rsidRPr="000A0A5F" w:rsidRDefault="001A02F2" w:rsidP="00D76A33">
            <w:pPr>
              <w:pStyle w:val="TAL"/>
              <w:rPr>
                <w:rFonts w:cs="Arial"/>
                <w:color w:val="000000"/>
                <w:sz w:val="16"/>
                <w:szCs w:val="16"/>
                <w:lang w:eastAsia="zh-CN"/>
              </w:rPr>
            </w:pPr>
            <w:r w:rsidRPr="000A0A5F">
              <w:rPr>
                <w:rFonts w:cs="Arial"/>
                <w:color w:val="000000"/>
                <w:sz w:val="16"/>
                <w:szCs w:val="16"/>
                <w:lang w:eastAsia="zh-CN"/>
              </w:rPr>
              <w:t>0705</w:t>
            </w:r>
          </w:p>
        </w:tc>
        <w:tc>
          <w:tcPr>
            <w:tcW w:w="424" w:type="dxa"/>
            <w:shd w:val="solid" w:color="FFFFFF" w:fill="auto"/>
          </w:tcPr>
          <w:p w:rsidR="00D76A33" w:rsidRPr="000A0A5F" w:rsidRDefault="00D76A33" w:rsidP="00D76A33">
            <w:pPr>
              <w:pStyle w:val="TAR"/>
              <w:rPr>
                <w:rFonts w:cs="Arial"/>
                <w:color w:val="000000"/>
                <w:sz w:val="16"/>
                <w:szCs w:val="16"/>
                <w:lang w:eastAsia="zh-CN"/>
              </w:rPr>
            </w:pPr>
          </w:p>
        </w:tc>
        <w:tc>
          <w:tcPr>
            <w:tcW w:w="424" w:type="dxa"/>
            <w:shd w:val="solid" w:color="FFFFFF" w:fill="auto"/>
          </w:tcPr>
          <w:p w:rsidR="00D76A33" w:rsidRPr="000A0A5F" w:rsidRDefault="001A02F2" w:rsidP="00D76A33">
            <w:pPr>
              <w:pStyle w:val="TAC"/>
              <w:rPr>
                <w:rFonts w:cs="Arial"/>
                <w:color w:val="000000"/>
                <w:sz w:val="16"/>
                <w:szCs w:val="16"/>
                <w:lang w:eastAsia="zh-CN"/>
              </w:rPr>
            </w:pPr>
            <w:r w:rsidRPr="000A0A5F">
              <w:rPr>
                <w:rFonts w:cs="Arial"/>
                <w:color w:val="000000"/>
                <w:sz w:val="16"/>
                <w:szCs w:val="16"/>
                <w:lang w:eastAsia="zh-CN"/>
              </w:rPr>
              <w:t>A</w:t>
            </w:r>
          </w:p>
        </w:tc>
        <w:tc>
          <w:tcPr>
            <w:tcW w:w="4919" w:type="dxa"/>
            <w:shd w:val="solid" w:color="FFFFFF" w:fill="auto"/>
          </w:tcPr>
          <w:p w:rsidR="00D76A33" w:rsidRPr="000A0A5F" w:rsidRDefault="001A02F2" w:rsidP="00D76A33">
            <w:pPr>
              <w:pStyle w:val="TAL"/>
              <w:rPr>
                <w:sz w:val="16"/>
              </w:rPr>
            </w:pPr>
            <w:r w:rsidRPr="000A0A5F">
              <w:rPr>
                <w:sz w:val="16"/>
              </w:rPr>
              <w:t>Reporting format for one-time reporting</w:t>
            </w:r>
          </w:p>
        </w:tc>
        <w:tc>
          <w:tcPr>
            <w:tcW w:w="707"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18.2.0</w:t>
            </w:r>
          </w:p>
        </w:tc>
      </w:tr>
      <w:tr w:rsidR="00D76A33" w:rsidRPr="000A0A5F" w:rsidTr="00274CFF">
        <w:tc>
          <w:tcPr>
            <w:tcW w:w="798"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2023-06</w:t>
            </w:r>
          </w:p>
        </w:tc>
        <w:tc>
          <w:tcPr>
            <w:tcW w:w="797"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CT#100</w:t>
            </w:r>
          </w:p>
        </w:tc>
        <w:tc>
          <w:tcPr>
            <w:tcW w:w="1088"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CP-23</w:t>
            </w:r>
            <w:r w:rsidR="00807ABF" w:rsidRPr="000A0A5F">
              <w:rPr>
                <w:rFonts w:cs="Arial"/>
                <w:color w:val="000000"/>
                <w:sz w:val="16"/>
                <w:szCs w:val="16"/>
                <w:lang w:eastAsia="zh-CN"/>
              </w:rPr>
              <w:t>1130</w:t>
            </w:r>
          </w:p>
        </w:tc>
        <w:tc>
          <w:tcPr>
            <w:tcW w:w="524" w:type="dxa"/>
            <w:shd w:val="solid" w:color="FFFFFF" w:fill="auto"/>
          </w:tcPr>
          <w:p w:rsidR="00D76A33" w:rsidRPr="000A0A5F" w:rsidRDefault="001A02F2" w:rsidP="00D76A33">
            <w:pPr>
              <w:pStyle w:val="TAL"/>
              <w:rPr>
                <w:rFonts w:cs="Arial"/>
                <w:color w:val="000000"/>
                <w:sz w:val="16"/>
                <w:szCs w:val="16"/>
                <w:lang w:eastAsia="zh-CN"/>
              </w:rPr>
            </w:pPr>
            <w:r w:rsidRPr="000A0A5F">
              <w:rPr>
                <w:rFonts w:cs="Arial"/>
                <w:color w:val="000000"/>
                <w:sz w:val="16"/>
                <w:szCs w:val="16"/>
                <w:lang w:eastAsia="zh-CN"/>
              </w:rPr>
              <w:t>0707</w:t>
            </w:r>
          </w:p>
        </w:tc>
        <w:tc>
          <w:tcPr>
            <w:tcW w:w="424" w:type="dxa"/>
            <w:shd w:val="solid" w:color="FFFFFF" w:fill="auto"/>
          </w:tcPr>
          <w:p w:rsidR="00D76A33" w:rsidRPr="000A0A5F" w:rsidRDefault="001A02F2" w:rsidP="00D76A33">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D76A33" w:rsidRPr="000A0A5F" w:rsidRDefault="001A02F2" w:rsidP="00D76A33">
            <w:pPr>
              <w:pStyle w:val="TAC"/>
              <w:rPr>
                <w:rFonts w:cs="Arial"/>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D76A33" w:rsidRPr="000A0A5F" w:rsidRDefault="001A02F2" w:rsidP="00D76A33">
            <w:pPr>
              <w:pStyle w:val="TAL"/>
              <w:rPr>
                <w:sz w:val="16"/>
              </w:rPr>
            </w:pPr>
            <w:r w:rsidRPr="000A0A5F">
              <w:rPr>
                <w:sz w:val="16"/>
              </w:rPr>
              <w:t>Support of Packet Delay Variation monitoring and reporting</w:t>
            </w:r>
          </w:p>
        </w:tc>
        <w:tc>
          <w:tcPr>
            <w:tcW w:w="707"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18.2.0</w:t>
            </w:r>
          </w:p>
        </w:tc>
      </w:tr>
      <w:tr w:rsidR="00D76A33" w:rsidRPr="000A0A5F" w:rsidTr="00274CFF">
        <w:tc>
          <w:tcPr>
            <w:tcW w:w="798"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2023-06</w:t>
            </w:r>
          </w:p>
        </w:tc>
        <w:tc>
          <w:tcPr>
            <w:tcW w:w="797"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CT#100</w:t>
            </w:r>
          </w:p>
        </w:tc>
        <w:tc>
          <w:tcPr>
            <w:tcW w:w="1088"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CP-23</w:t>
            </w:r>
            <w:r w:rsidR="00807ABF" w:rsidRPr="000A0A5F">
              <w:rPr>
                <w:rFonts w:cs="Arial"/>
                <w:color w:val="000000"/>
                <w:sz w:val="16"/>
                <w:szCs w:val="16"/>
                <w:lang w:eastAsia="zh-CN"/>
              </w:rPr>
              <w:t>1139</w:t>
            </w:r>
          </w:p>
        </w:tc>
        <w:tc>
          <w:tcPr>
            <w:tcW w:w="524" w:type="dxa"/>
            <w:shd w:val="solid" w:color="FFFFFF" w:fill="auto"/>
          </w:tcPr>
          <w:p w:rsidR="00D76A33" w:rsidRPr="000A0A5F" w:rsidRDefault="001A02F2" w:rsidP="00D76A33">
            <w:pPr>
              <w:pStyle w:val="TAL"/>
              <w:rPr>
                <w:rFonts w:cs="Arial"/>
                <w:color w:val="000000"/>
                <w:sz w:val="16"/>
                <w:szCs w:val="16"/>
                <w:lang w:eastAsia="zh-CN"/>
              </w:rPr>
            </w:pPr>
            <w:r w:rsidRPr="000A0A5F">
              <w:rPr>
                <w:rFonts w:cs="Arial"/>
                <w:color w:val="000000"/>
                <w:sz w:val="16"/>
                <w:szCs w:val="16"/>
                <w:lang w:eastAsia="zh-CN"/>
              </w:rPr>
              <w:t>0711</w:t>
            </w:r>
          </w:p>
        </w:tc>
        <w:tc>
          <w:tcPr>
            <w:tcW w:w="424" w:type="dxa"/>
            <w:shd w:val="solid" w:color="FFFFFF" w:fill="auto"/>
          </w:tcPr>
          <w:p w:rsidR="00D76A33" w:rsidRPr="000A0A5F" w:rsidRDefault="00D76A33" w:rsidP="00D76A33">
            <w:pPr>
              <w:pStyle w:val="TAR"/>
              <w:rPr>
                <w:rFonts w:cs="Arial"/>
                <w:color w:val="000000"/>
                <w:sz w:val="16"/>
                <w:szCs w:val="16"/>
                <w:lang w:eastAsia="zh-CN"/>
              </w:rPr>
            </w:pPr>
          </w:p>
        </w:tc>
        <w:tc>
          <w:tcPr>
            <w:tcW w:w="424" w:type="dxa"/>
            <w:shd w:val="solid" w:color="FFFFFF" w:fill="auto"/>
          </w:tcPr>
          <w:p w:rsidR="00D76A33" w:rsidRPr="000A0A5F" w:rsidRDefault="001A02F2" w:rsidP="00D76A33">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D76A33" w:rsidRPr="000A0A5F" w:rsidRDefault="001A02F2" w:rsidP="00D76A33">
            <w:pPr>
              <w:pStyle w:val="TAL"/>
              <w:rPr>
                <w:sz w:val="16"/>
              </w:rPr>
            </w:pPr>
            <w:r w:rsidRPr="000A0A5F">
              <w:rPr>
                <w:sz w:val="16"/>
              </w:rPr>
              <w:t>Corrections to the resource update related provisions for the MonitoringEvent API</w:t>
            </w:r>
          </w:p>
        </w:tc>
        <w:tc>
          <w:tcPr>
            <w:tcW w:w="707"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18.2.0</w:t>
            </w:r>
          </w:p>
        </w:tc>
      </w:tr>
      <w:tr w:rsidR="00D76A33" w:rsidRPr="000A0A5F" w:rsidTr="00274CFF">
        <w:tc>
          <w:tcPr>
            <w:tcW w:w="798"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2023-06</w:t>
            </w:r>
          </w:p>
        </w:tc>
        <w:tc>
          <w:tcPr>
            <w:tcW w:w="797"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CT#100</w:t>
            </w:r>
          </w:p>
        </w:tc>
        <w:tc>
          <w:tcPr>
            <w:tcW w:w="1088"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CP-23</w:t>
            </w:r>
            <w:r w:rsidR="00807ABF" w:rsidRPr="000A0A5F">
              <w:rPr>
                <w:rFonts w:cs="Arial"/>
                <w:color w:val="000000"/>
                <w:sz w:val="16"/>
                <w:szCs w:val="16"/>
                <w:lang w:eastAsia="zh-CN"/>
              </w:rPr>
              <w:t>1139</w:t>
            </w:r>
          </w:p>
        </w:tc>
        <w:tc>
          <w:tcPr>
            <w:tcW w:w="524" w:type="dxa"/>
            <w:shd w:val="solid" w:color="FFFFFF" w:fill="auto"/>
          </w:tcPr>
          <w:p w:rsidR="00D76A33" w:rsidRPr="000A0A5F" w:rsidRDefault="001A02F2" w:rsidP="00D76A33">
            <w:pPr>
              <w:pStyle w:val="TAL"/>
              <w:rPr>
                <w:rFonts w:cs="Arial"/>
                <w:color w:val="000000"/>
                <w:sz w:val="16"/>
                <w:szCs w:val="16"/>
                <w:lang w:eastAsia="zh-CN"/>
              </w:rPr>
            </w:pPr>
            <w:r w:rsidRPr="000A0A5F">
              <w:rPr>
                <w:rFonts w:cs="Arial"/>
                <w:color w:val="000000"/>
                <w:sz w:val="16"/>
                <w:szCs w:val="16"/>
                <w:lang w:eastAsia="zh-CN"/>
              </w:rPr>
              <w:t>0712</w:t>
            </w:r>
          </w:p>
        </w:tc>
        <w:tc>
          <w:tcPr>
            <w:tcW w:w="424" w:type="dxa"/>
            <w:shd w:val="solid" w:color="FFFFFF" w:fill="auto"/>
          </w:tcPr>
          <w:p w:rsidR="00D76A33" w:rsidRPr="000A0A5F" w:rsidRDefault="00D76A33" w:rsidP="00D76A33">
            <w:pPr>
              <w:pStyle w:val="TAR"/>
              <w:rPr>
                <w:rFonts w:cs="Arial"/>
                <w:color w:val="000000"/>
                <w:sz w:val="16"/>
                <w:szCs w:val="16"/>
                <w:lang w:eastAsia="zh-CN"/>
              </w:rPr>
            </w:pPr>
          </w:p>
        </w:tc>
        <w:tc>
          <w:tcPr>
            <w:tcW w:w="424" w:type="dxa"/>
            <w:shd w:val="solid" w:color="FFFFFF" w:fill="auto"/>
          </w:tcPr>
          <w:p w:rsidR="00D76A33" w:rsidRPr="000A0A5F" w:rsidRDefault="001A02F2" w:rsidP="00D76A33">
            <w:pPr>
              <w:pStyle w:val="TAC"/>
              <w:rPr>
                <w:rFonts w:cs="Arial"/>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D76A33" w:rsidRPr="000A0A5F" w:rsidRDefault="001A02F2" w:rsidP="00D76A33">
            <w:pPr>
              <w:pStyle w:val="TAL"/>
              <w:rPr>
                <w:sz w:val="16"/>
              </w:rPr>
            </w:pPr>
            <w:r w:rsidRPr="000A0A5F">
              <w:rPr>
                <w:sz w:val="16"/>
              </w:rPr>
              <w:t>Editor Note removal for userLocation attribute</w:t>
            </w:r>
          </w:p>
        </w:tc>
        <w:tc>
          <w:tcPr>
            <w:tcW w:w="707" w:type="dxa"/>
            <w:shd w:val="solid" w:color="FFFFFF" w:fill="auto"/>
          </w:tcPr>
          <w:p w:rsidR="00D76A33" w:rsidRPr="000A0A5F" w:rsidRDefault="00D76A33" w:rsidP="00D76A33">
            <w:pPr>
              <w:pStyle w:val="TAC"/>
              <w:rPr>
                <w:rFonts w:cs="Arial"/>
                <w:color w:val="000000"/>
                <w:sz w:val="16"/>
                <w:szCs w:val="16"/>
                <w:lang w:eastAsia="zh-CN"/>
              </w:rPr>
            </w:pPr>
            <w:r w:rsidRPr="000A0A5F">
              <w:rPr>
                <w:rFonts w:cs="Arial"/>
                <w:color w:val="000000"/>
                <w:sz w:val="16"/>
                <w:szCs w:val="16"/>
                <w:lang w:eastAsia="zh-CN"/>
              </w:rPr>
              <w:t>18.2.0</w:t>
            </w:r>
          </w:p>
        </w:tc>
      </w:tr>
      <w:tr w:rsidR="00E64CA6" w:rsidRPr="000A0A5F" w:rsidTr="00274CFF">
        <w:tc>
          <w:tcPr>
            <w:tcW w:w="798" w:type="dxa"/>
            <w:shd w:val="solid" w:color="FFFFFF" w:fill="auto"/>
          </w:tcPr>
          <w:p w:rsidR="00E64CA6" w:rsidRPr="000A0A5F" w:rsidRDefault="00E64CA6" w:rsidP="00E64CA6">
            <w:pPr>
              <w:pStyle w:val="TAC"/>
              <w:rPr>
                <w:rFonts w:cs="Arial"/>
                <w:color w:val="000000"/>
                <w:sz w:val="16"/>
                <w:szCs w:val="16"/>
                <w:lang w:eastAsia="zh-CN"/>
              </w:rPr>
            </w:pPr>
            <w:r w:rsidRPr="000A0A5F">
              <w:rPr>
                <w:rFonts w:cs="Arial"/>
                <w:color w:val="000000"/>
                <w:sz w:val="16"/>
                <w:szCs w:val="16"/>
                <w:lang w:eastAsia="zh-CN"/>
              </w:rPr>
              <w:t>2023-06</w:t>
            </w:r>
          </w:p>
        </w:tc>
        <w:tc>
          <w:tcPr>
            <w:tcW w:w="797" w:type="dxa"/>
            <w:shd w:val="solid" w:color="FFFFFF" w:fill="auto"/>
          </w:tcPr>
          <w:p w:rsidR="00E64CA6" w:rsidRPr="000A0A5F" w:rsidRDefault="00E64CA6" w:rsidP="00E64CA6">
            <w:pPr>
              <w:pStyle w:val="TAC"/>
              <w:rPr>
                <w:rFonts w:cs="Arial"/>
                <w:color w:val="000000"/>
                <w:sz w:val="16"/>
                <w:szCs w:val="16"/>
                <w:lang w:eastAsia="zh-CN"/>
              </w:rPr>
            </w:pPr>
            <w:r w:rsidRPr="000A0A5F">
              <w:rPr>
                <w:rFonts w:cs="Arial"/>
                <w:color w:val="000000"/>
                <w:sz w:val="16"/>
                <w:szCs w:val="16"/>
                <w:lang w:eastAsia="zh-CN"/>
              </w:rPr>
              <w:t>CT#100</w:t>
            </w:r>
          </w:p>
        </w:tc>
        <w:tc>
          <w:tcPr>
            <w:tcW w:w="1088" w:type="dxa"/>
            <w:shd w:val="solid" w:color="FFFFFF" w:fill="auto"/>
          </w:tcPr>
          <w:p w:rsidR="00E64CA6" w:rsidRPr="000A0A5F" w:rsidRDefault="00E64CA6" w:rsidP="00E64CA6">
            <w:pPr>
              <w:pStyle w:val="TAC"/>
              <w:rPr>
                <w:rFonts w:cs="Arial"/>
                <w:color w:val="000000"/>
                <w:sz w:val="16"/>
                <w:szCs w:val="16"/>
                <w:lang w:eastAsia="zh-CN"/>
              </w:rPr>
            </w:pPr>
            <w:r w:rsidRPr="000A0A5F">
              <w:rPr>
                <w:rFonts w:cs="Arial"/>
                <w:color w:val="000000"/>
                <w:sz w:val="16"/>
                <w:szCs w:val="16"/>
                <w:lang w:eastAsia="zh-CN"/>
              </w:rPr>
              <w:t>CP-23</w:t>
            </w:r>
            <w:r w:rsidR="00807ABF" w:rsidRPr="000A0A5F">
              <w:rPr>
                <w:rFonts w:cs="Arial"/>
                <w:color w:val="000000"/>
                <w:sz w:val="16"/>
                <w:szCs w:val="16"/>
                <w:lang w:eastAsia="zh-CN"/>
              </w:rPr>
              <w:t>1141</w:t>
            </w:r>
          </w:p>
        </w:tc>
        <w:tc>
          <w:tcPr>
            <w:tcW w:w="524" w:type="dxa"/>
            <w:shd w:val="solid" w:color="FFFFFF" w:fill="auto"/>
          </w:tcPr>
          <w:p w:rsidR="00E64CA6" w:rsidRPr="000A0A5F" w:rsidRDefault="00E64CA6" w:rsidP="00E64CA6">
            <w:pPr>
              <w:pStyle w:val="TAL"/>
              <w:rPr>
                <w:rFonts w:cs="Arial"/>
                <w:color w:val="000000"/>
                <w:sz w:val="16"/>
                <w:szCs w:val="16"/>
                <w:lang w:eastAsia="zh-CN"/>
              </w:rPr>
            </w:pPr>
            <w:r w:rsidRPr="000A0A5F">
              <w:rPr>
                <w:rFonts w:cs="Arial"/>
                <w:color w:val="000000"/>
                <w:sz w:val="16"/>
                <w:szCs w:val="16"/>
                <w:lang w:eastAsia="zh-CN"/>
              </w:rPr>
              <w:t>0715</w:t>
            </w:r>
          </w:p>
        </w:tc>
        <w:tc>
          <w:tcPr>
            <w:tcW w:w="424" w:type="dxa"/>
            <w:shd w:val="solid" w:color="FFFFFF" w:fill="auto"/>
          </w:tcPr>
          <w:p w:rsidR="00E64CA6" w:rsidRPr="000A0A5F" w:rsidRDefault="00E64CA6" w:rsidP="00E64CA6">
            <w:pPr>
              <w:pStyle w:val="TAR"/>
              <w:rPr>
                <w:rFonts w:cs="Arial"/>
                <w:color w:val="000000"/>
                <w:sz w:val="16"/>
                <w:szCs w:val="16"/>
                <w:lang w:eastAsia="zh-CN"/>
              </w:rPr>
            </w:pPr>
          </w:p>
        </w:tc>
        <w:tc>
          <w:tcPr>
            <w:tcW w:w="424" w:type="dxa"/>
            <w:shd w:val="solid" w:color="FFFFFF" w:fill="auto"/>
          </w:tcPr>
          <w:p w:rsidR="00E64CA6" w:rsidRPr="000A0A5F" w:rsidRDefault="00E64CA6" w:rsidP="00E64CA6">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E64CA6" w:rsidRPr="000A0A5F" w:rsidRDefault="00E64CA6" w:rsidP="00E64CA6">
            <w:pPr>
              <w:pStyle w:val="TAL"/>
              <w:rPr>
                <w:sz w:val="16"/>
              </w:rPr>
            </w:pPr>
            <w:r w:rsidRPr="000A0A5F">
              <w:rPr>
                <w:sz w:val="16"/>
              </w:rPr>
              <w:t>Update of info and externalDocs fields</w:t>
            </w:r>
          </w:p>
        </w:tc>
        <w:tc>
          <w:tcPr>
            <w:tcW w:w="707" w:type="dxa"/>
            <w:shd w:val="solid" w:color="FFFFFF" w:fill="auto"/>
          </w:tcPr>
          <w:p w:rsidR="00E64CA6" w:rsidRPr="000A0A5F" w:rsidRDefault="00E64CA6" w:rsidP="00E64CA6">
            <w:pPr>
              <w:pStyle w:val="TAC"/>
              <w:rPr>
                <w:rFonts w:cs="Arial"/>
                <w:color w:val="000000"/>
                <w:sz w:val="16"/>
                <w:szCs w:val="16"/>
                <w:lang w:eastAsia="zh-CN"/>
              </w:rPr>
            </w:pPr>
            <w:r w:rsidRPr="000A0A5F">
              <w:rPr>
                <w:rFonts w:cs="Arial"/>
                <w:color w:val="000000"/>
                <w:sz w:val="16"/>
                <w:szCs w:val="16"/>
                <w:lang w:eastAsia="zh-CN"/>
              </w:rPr>
              <w:t>18.2.0</w:t>
            </w:r>
          </w:p>
        </w:tc>
      </w:tr>
      <w:tr w:rsidR="00A7771A" w:rsidRPr="000A0A5F" w:rsidTr="00274CFF">
        <w:tc>
          <w:tcPr>
            <w:tcW w:w="798" w:type="dxa"/>
            <w:shd w:val="solid" w:color="FFFFFF" w:fill="auto"/>
          </w:tcPr>
          <w:p w:rsidR="00A7771A" w:rsidRPr="000A0A5F" w:rsidRDefault="00BC1FE3" w:rsidP="00E64CA6">
            <w:pPr>
              <w:pStyle w:val="TAC"/>
              <w:rPr>
                <w:rFonts w:cs="Arial"/>
                <w:color w:val="000000"/>
                <w:sz w:val="16"/>
                <w:szCs w:val="16"/>
                <w:lang w:eastAsia="zh-CN"/>
              </w:rPr>
            </w:pPr>
            <w:r w:rsidRPr="000A0A5F">
              <w:rPr>
                <w:rFonts w:cs="Arial"/>
                <w:color w:val="000000"/>
                <w:sz w:val="16"/>
                <w:szCs w:val="16"/>
                <w:lang w:eastAsia="zh-CN"/>
              </w:rPr>
              <w:t>2023-09</w:t>
            </w:r>
          </w:p>
        </w:tc>
        <w:tc>
          <w:tcPr>
            <w:tcW w:w="797" w:type="dxa"/>
            <w:shd w:val="solid" w:color="FFFFFF" w:fill="auto"/>
          </w:tcPr>
          <w:p w:rsidR="00A7771A" w:rsidRPr="000A0A5F" w:rsidRDefault="00BC1FE3" w:rsidP="00E64CA6">
            <w:pPr>
              <w:pStyle w:val="TAC"/>
              <w:rPr>
                <w:rFonts w:cs="Arial"/>
                <w:color w:val="000000"/>
                <w:sz w:val="16"/>
                <w:szCs w:val="16"/>
                <w:lang w:eastAsia="zh-CN"/>
              </w:rPr>
            </w:pPr>
            <w:r w:rsidRPr="000A0A5F">
              <w:rPr>
                <w:rFonts w:cs="Arial"/>
                <w:color w:val="000000"/>
                <w:sz w:val="16"/>
                <w:szCs w:val="16"/>
                <w:lang w:eastAsia="zh-CN"/>
              </w:rPr>
              <w:t>CT#101</w:t>
            </w:r>
          </w:p>
        </w:tc>
        <w:tc>
          <w:tcPr>
            <w:tcW w:w="1088" w:type="dxa"/>
            <w:shd w:val="solid" w:color="FFFFFF" w:fill="auto"/>
          </w:tcPr>
          <w:p w:rsidR="00A7771A" w:rsidRPr="000A0A5F" w:rsidRDefault="00BC1FE3" w:rsidP="00E64CA6">
            <w:pPr>
              <w:pStyle w:val="TAC"/>
              <w:rPr>
                <w:rFonts w:cs="Arial"/>
                <w:color w:val="000000"/>
                <w:sz w:val="16"/>
                <w:szCs w:val="16"/>
                <w:lang w:eastAsia="zh-CN"/>
              </w:rPr>
            </w:pPr>
            <w:r w:rsidRPr="000A0A5F">
              <w:rPr>
                <w:rFonts w:cs="Arial"/>
                <w:color w:val="000000"/>
                <w:sz w:val="16"/>
                <w:szCs w:val="16"/>
                <w:lang w:eastAsia="zh-CN"/>
              </w:rPr>
              <w:t>CP-232</w:t>
            </w:r>
            <w:r w:rsidR="0036575F" w:rsidRPr="000A0A5F">
              <w:rPr>
                <w:rFonts w:cs="Arial"/>
                <w:color w:val="000000"/>
                <w:sz w:val="16"/>
                <w:szCs w:val="16"/>
                <w:lang w:eastAsia="zh-CN"/>
              </w:rPr>
              <w:t>091</w:t>
            </w:r>
          </w:p>
        </w:tc>
        <w:tc>
          <w:tcPr>
            <w:tcW w:w="524" w:type="dxa"/>
            <w:shd w:val="solid" w:color="FFFFFF" w:fill="auto"/>
          </w:tcPr>
          <w:p w:rsidR="00A7771A" w:rsidRPr="000A0A5F" w:rsidRDefault="00A7771A" w:rsidP="00E64CA6">
            <w:pPr>
              <w:pStyle w:val="TAL"/>
              <w:rPr>
                <w:rFonts w:cs="Arial"/>
                <w:color w:val="000000"/>
                <w:sz w:val="16"/>
                <w:szCs w:val="16"/>
                <w:lang w:eastAsia="zh-CN"/>
              </w:rPr>
            </w:pPr>
            <w:r w:rsidRPr="000A0A5F">
              <w:rPr>
                <w:rFonts w:cs="Arial"/>
                <w:color w:val="000000"/>
                <w:sz w:val="16"/>
                <w:szCs w:val="16"/>
                <w:lang w:eastAsia="zh-CN"/>
              </w:rPr>
              <w:t>0721</w:t>
            </w:r>
          </w:p>
        </w:tc>
        <w:tc>
          <w:tcPr>
            <w:tcW w:w="424" w:type="dxa"/>
            <w:shd w:val="solid" w:color="FFFFFF" w:fill="auto"/>
          </w:tcPr>
          <w:p w:rsidR="00A7771A" w:rsidRPr="000A0A5F" w:rsidRDefault="00A7771A" w:rsidP="00E64CA6">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A7771A" w:rsidRPr="000A0A5F" w:rsidRDefault="00A7771A" w:rsidP="00E64CA6">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A7771A" w:rsidRPr="000A0A5F" w:rsidRDefault="00A7771A" w:rsidP="00E64CA6">
            <w:pPr>
              <w:pStyle w:val="TAL"/>
              <w:rPr>
                <w:sz w:val="16"/>
              </w:rPr>
            </w:pPr>
            <w:r w:rsidRPr="000A0A5F">
              <w:rPr>
                <w:sz w:val="16"/>
              </w:rPr>
              <w:t>Wrong applicability of AsSessionWithQoS error</w:t>
            </w:r>
          </w:p>
        </w:tc>
        <w:tc>
          <w:tcPr>
            <w:tcW w:w="707" w:type="dxa"/>
            <w:shd w:val="solid" w:color="FFFFFF" w:fill="auto"/>
          </w:tcPr>
          <w:p w:rsidR="00A7771A" w:rsidRPr="000A0A5F" w:rsidRDefault="00BC1FE3" w:rsidP="00E64CA6">
            <w:pPr>
              <w:pStyle w:val="TAC"/>
              <w:rPr>
                <w:rFonts w:cs="Arial"/>
                <w:color w:val="000000"/>
                <w:sz w:val="16"/>
                <w:szCs w:val="16"/>
                <w:lang w:eastAsia="zh-CN"/>
              </w:rPr>
            </w:pPr>
            <w:r w:rsidRPr="000A0A5F">
              <w:rPr>
                <w:rFonts w:cs="Arial"/>
                <w:color w:val="000000"/>
                <w:sz w:val="16"/>
                <w:szCs w:val="16"/>
                <w:lang w:eastAsia="zh-CN"/>
              </w:rPr>
              <w:t>18.3.0</w:t>
            </w:r>
          </w:p>
        </w:tc>
      </w:tr>
      <w:tr w:rsidR="00BC1FE3" w:rsidRPr="000A0A5F" w:rsidTr="00274CFF">
        <w:tc>
          <w:tcPr>
            <w:tcW w:w="798" w:type="dxa"/>
            <w:shd w:val="solid" w:color="FFFFFF" w:fill="auto"/>
          </w:tcPr>
          <w:p w:rsidR="00BC1FE3" w:rsidRPr="000A0A5F" w:rsidRDefault="00BC1FE3" w:rsidP="00BC1FE3">
            <w:pPr>
              <w:pStyle w:val="TAC"/>
              <w:rPr>
                <w:rFonts w:cs="Arial"/>
                <w:color w:val="000000"/>
                <w:sz w:val="16"/>
                <w:szCs w:val="16"/>
                <w:lang w:eastAsia="zh-CN"/>
              </w:rPr>
            </w:pPr>
            <w:r w:rsidRPr="000A0A5F">
              <w:rPr>
                <w:rFonts w:cs="Arial"/>
                <w:color w:val="000000"/>
                <w:sz w:val="16"/>
                <w:szCs w:val="16"/>
                <w:lang w:eastAsia="zh-CN"/>
              </w:rPr>
              <w:t>2023-09</w:t>
            </w:r>
          </w:p>
        </w:tc>
        <w:tc>
          <w:tcPr>
            <w:tcW w:w="797" w:type="dxa"/>
            <w:shd w:val="solid" w:color="FFFFFF" w:fill="auto"/>
          </w:tcPr>
          <w:p w:rsidR="00BC1FE3" w:rsidRPr="000A0A5F" w:rsidRDefault="00BC1FE3" w:rsidP="00BC1FE3">
            <w:pPr>
              <w:pStyle w:val="TAC"/>
              <w:rPr>
                <w:rFonts w:cs="Arial"/>
                <w:color w:val="000000"/>
                <w:sz w:val="16"/>
                <w:szCs w:val="16"/>
                <w:lang w:eastAsia="zh-CN"/>
              </w:rPr>
            </w:pPr>
            <w:r w:rsidRPr="000A0A5F">
              <w:rPr>
                <w:rFonts w:cs="Arial"/>
                <w:color w:val="000000"/>
                <w:sz w:val="16"/>
                <w:szCs w:val="16"/>
                <w:lang w:eastAsia="zh-CN"/>
              </w:rPr>
              <w:t>CT#101</w:t>
            </w:r>
          </w:p>
        </w:tc>
        <w:tc>
          <w:tcPr>
            <w:tcW w:w="1088" w:type="dxa"/>
            <w:shd w:val="solid" w:color="FFFFFF" w:fill="auto"/>
          </w:tcPr>
          <w:p w:rsidR="00BC1FE3" w:rsidRPr="000A0A5F" w:rsidRDefault="00BC1FE3" w:rsidP="00BC1FE3">
            <w:pPr>
              <w:pStyle w:val="TAC"/>
              <w:rPr>
                <w:rFonts w:cs="Arial"/>
                <w:color w:val="000000"/>
                <w:sz w:val="16"/>
                <w:szCs w:val="16"/>
                <w:lang w:eastAsia="zh-CN"/>
              </w:rPr>
            </w:pPr>
            <w:r w:rsidRPr="000A0A5F">
              <w:rPr>
                <w:rFonts w:cs="Arial"/>
                <w:color w:val="000000"/>
                <w:sz w:val="16"/>
                <w:szCs w:val="16"/>
                <w:lang w:eastAsia="zh-CN"/>
              </w:rPr>
              <w:t>CP-232</w:t>
            </w:r>
            <w:r w:rsidR="0036575F" w:rsidRPr="000A0A5F">
              <w:rPr>
                <w:rFonts w:cs="Arial"/>
                <w:color w:val="000000"/>
                <w:sz w:val="16"/>
                <w:szCs w:val="16"/>
                <w:lang w:eastAsia="zh-CN"/>
              </w:rPr>
              <w:t>086</w:t>
            </w:r>
          </w:p>
        </w:tc>
        <w:tc>
          <w:tcPr>
            <w:tcW w:w="524" w:type="dxa"/>
            <w:shd w:val="solid" w:color="FFFFFF" w:fill="auto"/>
          </w:tcPr>
          <w:p w:rsidR="00BC1FE3" w:rsidRPr="000A0A5F" w:rsidRDefault="00BC1FE3" w:rsidP="00BC1FE3">
            <w:pPr>
              <w:pStyle w:val="TAL"/>
              <w:rPr>
                <w:rFonts w:cs="Arial"/>
                <w:color w:val="000000"/>
                <w:sz w:val="16"/>
                <w:szCs w:val="16"/>
                <w:lang w:eastAsia="zh-CN"/>
              </w:rPr>
            </w:pPr>
            <w:r w:rsidRPr="000A0A5F">
              <w:rPr>
                <w:rFonts w:cs="Arial"/>
                <w:color w:val="000000"/>
                <w:sz w:val="16"/>
                <w:szCs w:val="16"/>
                <w:lang w:eastAsia="zh-CN"/>
              </w:rPr>
              <w:t>0722</w:t>
            </w:r>
          </w:p>
        </w:tc>
        <w:tc>
          <w:tcPr>
            <w:tcW w:w="424" w:type="dxa"/>
            <w:shd w:val="solid" w:color="FFFFFF" w:fill="auto"/>
          </w:tcPr>
          <w:p w:rsidR="00BC1FE3" w:rsidRPr="000A0A5F" w:rsidRDefault="00BC1FE3" w:rsidP="00BC1FE3">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BC1FE3" w:rsidRPr="000A0A5F" w:rsidRDefault="00BC1FE3" w:rsidP="00BC1FE3">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BC1FE3" w:rsidRPr="000A0A5F" w:rsidRDefault="00BC1FE3" w:rsidP="00BC1FE3">
            <w:pPr>
              <w:pStyle w:val="TAL"/>
              <w:rPr>
                <w:sz w:val="16"/>
              </w:rPr>
            </w:pPr>
            <w:r w:rsidRPr="000A0A5F">
              <w:rPr>
                <w:sz w:val="16"/>
              </w:rPr>
              <w:t>Applicability of new AfSessionWithQoS errors</w:t>
            </w:r>
          </w:p>
        </w:tc>
        <w:tc>
          <w:tcPr>
            <w:tcW w:w="707" w:type="dxa"/>
            <w:shd w:val="solid" w:color="FFFFFF" w:fill="auto"/>
          </w:tcPr>
          <w:p w:rsidR="00BC1FE3" w:rsidRPr="000A0A5F" w:rsidRDefault="00BC1FE3" w:rsidP="00BC1FE3">
            <w:pPr>
              <w:pStyle w:val="TAC"/>
              <w:rPr>
                <w:rFonts w:cs="Arial"/>
                <w:color w:val="000000"/>
                <w:sz w:val="16"/>
                <w:szCs w:val="16"/>
                <w:lang w:eastAsia="zh-CN"/>
              </w:rPr>
            </w:pPr>
            <w:r w:rsidRPr="000A0A5F">
              <w:rPr>
                <w:rFonts w:cs="Arial"/>
                <w:color w:val="000000"/>
                <w:sz w:val="16"/>
                <w:szCs w:val="16"/>
                <w:lang w:eastAsia="zh-CN"/>
              </w:rPr>
              <w:t>18.3.0</w:t>
            </w:r>
          </w:p>
        </w:tc>
      </w:tr>
      <w:tr w:rsidR="00BC1FE3" w:rsidRPr="000A0A5F" w:rsidTr="00274CFF">
        <w:tc>
          <w:tcPr>
            <w:tcW w:w="798" w:type="dxa"/>
            <w:shd w:val="solid" w:color="FFFFFF" w:fill="auto"/>
          </w:tcPr>
          <w:p w:rsidR="00BC1FE3" w:rsidRPr="000A0A5F" w:rsidRDefault="00BC1FE3" w:rsidP="00BC1FE3">
            <w:pPr>
              <w:pStyle w:val="TAC"/>
              <w:rPr>
                <w:rFonts w:cs="Arial"/>
                <w:color w:val="000000"/>
                <w:sz w:val="16"/>
                <w:szCs w:val="16"/>
                <w:lang w:eastAsia="zh-CN"/>
              </w:rPr>
            </w:pPr>
            <w:r w:rsidRPr="000A0A5F">
              <w:rPr>
                <w:rFonts w:cs="Arial"/>
                <w:color w:val="000000"/>
                <w:sz w:val="16"/>
                <w:szCs w:val="16"/>
                <w:lang w:eastAsia="zh-CN"/>
              </w:rPr>
              <w:t>2023-09</w:t>
            </w:r>
          </w:p>
        </w:tc>
        <w:tc>
          <w:tcPr>
            <w:tcW w:w="797" w:type="dxa"/>
            <w:shd w:val="solid" w:color="FFFFFF" w:fill="auto"/>
          </w:tcPr>
          <w:p w:rsidR="00BC1FE3" w:rsidRPr="000A0A5F" w:rsidRDefault="00BC1FE3" w:rsidP="00BC1FE3">
            <w:pPr>
              <w:pStyle w:val="TAC"/>
              <w:rPr>
                <w:rFonts w:cs="Arial"/>
                <w:color w:val="000000"/>
                <w:sz w:val="16"/>
                <w:szCs w:val="16"/>
                <w:lang w:eastAsia="zh-CN"/>
              </w:rPr>
            </w:pPr>
            <w:r w:rsidRPr="000A0A5F">
              <w:rPr>
                <w:rFonts w:cs="Arial"/>
                <w:color w:val="000000"/>
                <w:sz w:val="16"/>
                <w:szCs w:val="16"/>
                <w:lang w:eastAsia="zh-CN"/>
              </w:rPr>
              <w:t>CT#101</w:t>
            </w:r>
          </w:p>
        </w:tc>
        <w:tc>
          <w:tcPr>
            <w:tcW w:w="1088" w:type="dxa"/>
            <w:shd w:val="solid" w:color="FFFFFF" w:fill="auto"/>
          </w:tcPr>
          <w:p w:rsidR="00BC1FE3" w:rsidRPr="000A0A5F" w:rsidRDefault="00BC1FE3" w:rsidP="00BC1FE3">
            <w:pPr>
              <w:pStyle w:val="TAC"/>
              <w:rPr>
                <w:rFonts w:cs="Arial"/>
                <w:color w:val="000000"/>
                <w:sz w:val="16"/>
                <w:szCs w:val="16"/>
                <w:lang w:eastAsia="zh-CN"/>
              </w:rPr>
            </w:pPr>
            <w:r w:rsidRPr="000A0A5F">
              <w:rPr>
                <w:rFonts w:cs="Arial"/>
                <w:color w:val="000000"/>
                <w:sz w:val="16"/>
                <w:szCs w:val="16"/>
                <w:lang w:eastAsia="zh-CN"/>
              </w:rPr>
              <w:t>CP-232</w:t>
            </w:r>
            <w:r w:rsidR="0036575F" w:rsidRPr="000A0A5F">
              <w:rPr>
                <w:rFonts w:cs="Arial"/>
                <w:color w:val="000000"/>
                <w:sz w:val="16"/>
                <w:szCs w:val="16"/>
                <w:lang w:eastAsia="zh-CN"/>
              </w:rPr>
              <w:t>124</w:t>
            </w:r>
          </w:p>
        </w:tc>
        <w:tc>
          <w:tcPr>
            <w:tcW w:w="524" w:type="dxa"/>
            <w:shd w:val="solid" w:color="FFFFFF" w:fill="auto"/>
          </w:tcPr>
          <w:p w:rsidR="00BC1FE3" w:rsidRPr="000A0A5F" w:rsidRDefault="00BC1FE3" w:rsidP="00BC1FE3">
            <w:pPr>
              <w:pStyle w:val="TAL"/>
              <w:rPr>
                <w:rFonts w:cs="Arial"/>
                <w:color w:val="000000"/>
                <w:sz w:val="16"/>
                <w:szCs w:val="16"/>
                <w:lang w:eastAsia="zh-CN"/>
              </w:rPr>
            </w:pPr>
            <w:r w:rsidRPr="000A0A5F">
              <w:rPr>
                <w:rFonts w:cs="Arial"/>
                <w:color w:val="000000"/>
                <w:sz w:val="16"/>
                <w:szCs w:val="16"/>
                <w:lang w:eastAsia="zh-CN"/>
              </w:rPr>
              <w:t>0723</w:t>
            </w:r>
          </w:p>
        </w:tc>
        <w:tc>
          <w:tcPr>
            <w:tcW w:w="424" w:type="dxa"/>
            <w:shd w:val="solid" w:color="FFFFFF" w:fill="auto"/>
          </w:tcPr>
          <w:p w:rsidR="00BC1FE3" w:rsidRPr="000A0A5F" w:rsidRDefault="00BC1FE3" w:rsidP="00BC1FE3">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BC1FE3" w:rsidRPr="000A0A5F" w:rsidRDefault="00BC1FE3" w:rsidP="00BC1FE3">
            <w:pPr>
              <w:pStyle w:val="TAC"/>
              <w:rPr>
                <w:rFonts w:cs="Arial"/>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BC1FE3" w:rsidRPr="000A0A5F" w:rsidRDefault="00BC1FE3" w:rsidP="00BC1FE3">
            <w:pPr>
              <w:pStyle w:val="TAL"/>
              <w:rPr>
                <w:sz w:val="16"/>
              </w:rPr>
            </w:pPr>
            <w:r w:rsidRPr="000A0A5F">
              <w:rPr>
                <w:sz w:val="16"/>
              </w:rPr>
              <w:t>Update application detection event exposure</w:t>
            </w:r>
          </w:p>
        </w:tc>
        <w:tc>
          <w:tcPr>
            <w:tcW w:w="707" w:type="dxa"/>
            <w:shd w:val="solid" w:color="FFFFFF" w:fill="auto"/>
          </w:tcPr>
          <w:p w:rsidR="00BC1FE3" w:rsidRPr="000A0A5F" w:rsidRDefault="00BC1FE3" w:rsidP="00BC1FE3">
            <w:pPr>
              <w:pStyle w:val="TAC"/>
              <w:rPr>
                <w:rFonts w:cs="Arial"/>
                <w:color w:val="000000"/>
                <w:sz w:val="16"/>
                <w:szCs w:val="16"/>
                <w:lang w:eastAsia="zh-CN"/>
              </w:rPr>
            </w:pPr>
            <w:r w:rsidRPr="000A0A5F">
              <w:rPr>
                <w:rFonts w:cs="Arial"/>
                <w:color w:val="000000"/>
                <w:sz w:val="16"/>
                <w:szCs w:val="16"/>
                <w:lang w:eastAsia="zh-CN"/>
              </w:rPr>
              <w:t>18.3.0</w:t>
            </w:r>
          </w:p>
        </w:tc>
      </w:tr>
      <w:tr w:rsidR="00BC1FE3" w:rsidRPr="000A0A5F" w:rsidTr="00274CFF">
        <w:tc>
          <w:tcPr>
            <w:tcW w:w="798" w:type="dxa"/>
            <w:shd w:val="solid" w:color="FFFFFF" w:fill="auto"/>
          </w:tcPr>
          <w:p w:rsidR="00BC1FE3" w:rsidRPr="000A0A5F" w:rsidRDefault="00BC1FE3" w:rsidP="00BC1FE3">
            <w:pPr>
              <w:pStyle w:val="TAC"/>
              <w:rPr>
                <w:rFonts w:cs="Arial"/>
                <w:color w:val="000000"/>
                <w:sz w:val="16"/>
                <w:szCs w:val="16"/>
                <w:lang w:eastAsia="zh-CN"/>
              </w:rPr>
            </w:pPr>
            <w:r w:rsidRPr="000A0A5F">
              <w:rPr>
                <w:rFonts w:cs="Arial"/>
                <w:color w:val="000000"/>
                <w:sz w:val="16"/>
                <w:szCs w:val="16"/>
                <w:lang w:eastAsia="zh-CN"/>
              </w:rPr>
              <w:t>2023-09</w:t>
            </w:r>
          </w:p>
        </w:tc>
        <w:tc>
          <w:tcPr>
            <w:tcW w:w="797" w:type="dxa"/>
            <w:shd w:val="solid" w:color="FFFFFF" w:fill="auto"/>
          </w:tcPr>
          <w:p w:rsidR="00BC1FE3" w:rsidRPr="000A0A5F" w:rsidRDefault="00BC1FE3" w:rsidP="00BC1FE3">
            <w:pPr>
              <w:pStyle w:val="TAC"/>
              <w:rPr>
                <w:rFonts w:cs="Arial"/>
                <w:color w:val="000000"/>
                <w:sz w:val="16"/>
                <w:szCs w:val="16"/>
                <w:lang w:eastAsia="zh-CN"/>
              </w:rPr>
            </w:pPr>
            <w:r w:rsidRPr="000A0A5F">
              <w:rPr>
                <w:rFonts w:cs="Arial"/>
                <w:color w:val="000000"/>
                <w:sz w:val="16"/>
                <w:szCs w:val="16"/>
                <w:lang w:eastAsia="zh-CN"/>
              </w:rPr>
              <w:t>CT#101</w:t>
            </w:r>
          </w:p>
        </w:tc>
        <w:tc>
          <w:tcPr>
            <w:tcW w:w="1088" w:type="dxa"/>
            <w:shd w:val="solid" w:color="FFFFFF" w:fill="auto"/>
          </w:tcPr>
          <w:p w:rsidR="00BC1FE3" w:rsidRPr="000A0A5F" w:rsidRDefault="00BC1FE3" w:rsidP="00BC1FE3">
            <w:pPr>
              <w:pStyle w:val="TAC"/>
              <w:rPr>
                <w:rFonts w:cs="Arial"/>
                <w:color w:val="000000"/>
                <w:sz w:val="16"/>
                <w:szCs w:val="16"/>
                <w:lang w:eastAsia="zh-CN"/>
              </w:rPr>
            </w:pPr>
            <w:r w:rsidRPr="000A0A5F">
              <w:rPr>
                <w:rFonts w:cs="Arial"/>
                <w:color w:val="000000"/>
                <w:sz w:val="16"/>
                <w:szCs w:val="16"/>
                <w:lang w:eastAsia="zh-CN"/>
              </w:rPr>
              <w:t>CP-232</w:t>
            </w:r>
            <w:r w:rsidR="0036575F" w:rsidRPr="000A0A5F">
              <w:rPr>
                <w:rFonts w:cs="Arial"/>
                <w:color w:val="000000"/>
                <w:sz w:val="16"/>
                <w:szCs w:val="16"/>
                <w:lang w:eastAsia="zh-CN"/>
              </w:rPr>
              <w:t>087</w:t>
            </w:r>
          </w:p>
        </w:tc>
        <w:tc>
          <w:tcPr>
            <w:tcW w:w="524" w:type="dxa"/>
            <w:shd w:val="solid" w:color="FFFFFF" w:fill="auto"/>
          </w:tcPr>
          <w:p w:rsidR="00BC1FE3" w:rsidRPr="000A0A5F" w:rsidRDefault="00BC1FE3" w:rsidP="00BC1FE3">
            <w:pPr>
              <w:pStyle w:val="TAL"/>
              <w:rPr>
                <w:rFonts w:cs="Arial"/>
                <w:color w:val="000000"/>
                <w:sz w:val="16"/>
                <w:szCs w:val="16"/>
                <w:lang w:eastAsia="zh-CN"/>
              </w:rPr>
            </w:pPr>
            <w:r w:rsidRPr="000A0A5F">
              <w:rPr>
                <w:rFonts w:cs="Arial"/>
                <w:color w:val="000000"/>
                <w:sz w:val="16"/>
                <w:szCs w:val="16"/>
                <w:lang w:eastAsia="zh-CN"/>
              </w:rPr>
              <w:t>0724</w:t>
            </w:r>
          </w:p>
        </w:tc>
        <w:tc>
          <w:tcPr>
            <w:tcW w:w="424" w:type="dxa"/>
            <w:shd w:val="solid" w:color="FFFFFF" w:fill="auto"/>
          </w:tcPr>
          <w:p w:rsidR="00BC1FE3" w:rsidRPr="000A0A5F" w:rsidRDefault="00BC1FE3" w:rsidP="00BC1FE3">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BC1FE3" w:rsidRPr="000A0A5F" w:rsidRDefault="00BC1FE3" w:rsidP="00BC1FE3">
            <w:pPr>
              <w:pStyle w:val="TAC"/>
              <w:rPr>
                <w:rFonts w:cs="Arial"/>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BC1FE3" w:rsidRPr="000A0A5F" w:rsidRDefault="00BC1FE3" w:rsidP="00BC1FE3">
            <w:pPr>
              <w:pStyle w:val="TAL"/>
              <w:rPr>
                <w:sz w:val="16"/>
              </w:rPr>
            </w:pPr>
            <w:r w:rsidRPr="000A0A5F">
              <w:rPr>
                <w:sz w:val="16"/>
              </w:rPr>
              <w:t>AF QoS Timing info addition</w:t>
            </w:r>
          </w:p>
        </w:tc>
        <w:tc>
          <w:tcPr>
            <w:tcW w:w="707" w:type="dxa"/>
            <w:shd w:val="solid" w:color="FFFFFF" w:fill="auto"/>
          </w:tcPr>
          <w:p w:rsidR="00BC1FE3" w:rsidRPr="000A0A5F" w:rsidRDefault="00BC1FE3" w:rsidP="00BC1FE3">
            <w:pPr>
              <w:pStyle w:val="TAC"/>
              <w:rPr>
                <w:rFonts w:cs="Arial"/>
                <w:color w:val="000000"/>
                <w:sz w:val="16"/>
                <w:szCs w:val="16"/>
                <w:lang w:eastAsia="zh-CN"/>
              </w:rPr>
            </w:pPr>
            <w:r w:rsidRPr="000A0A5F">
              <w:rPr>
                <w:rFonts w:cs="Arial"/>
                <w:color w:val="000000"/>
                <w:sz w:val="16"/>
                <w:szCs w:val="16"/>
                <w:lang w:eastAsia="zh-CN"/>
              </w:rPr>
              <w:t>18.3.0</w:t>
            </w:r>
          </w:p>
        </w:tc>
      </w:tr>
      <w:tr w:rsidR="00BC1FE3" w:rsidRPr="000A0A5F" w:rsidTr="00274CFF">
        <w:tc>
          <w:tcPr>
            <w:tcW w:w="798" w:type="dxa"/>
            <w:shd w:val="solid" w:color="FFFFFF" w:fill="auto"/>
          </w:tcPr>
          <w:p w:rsidR="00BC1FE3" w:rsidRPr="000A0A5F" w:rsidRDefault="00BC1FE3" w:rsidP="00BC1FE3">
            <w:pPr>
              <w:pStyle w:val="TAC"/>
              <w:rPr>
                <w:rFonts w:cs="Arial"/>
                <w:color w:val="000000"/>
                <w:sz w:val="16"/>
                <w:szCs w:val="16"/>
                <w:lang w:eastAsia="zh-CN"/>
              </w:rPr>
            </w:pPr>
            <w:r w:rsidRPr="000A0A5F">
              <w:rPr>
                <w:rFonts w:cs="Arial"/>
                <w:color w:val="000000"/>
                <w:sz w:val="16"/>
                <w:szCs w:val="16"/>
                <w:lang w:eastAsia="zh-CN"/>
              </w:rPr>
              <w:t>2023-09</w:t>
            </w:r>
          </w:p>
        </w:tc>
        <w:tc>
          <w:tcPr>
            <w:tcW w:w="797" w:type="dxa"/>
            <w:shd w:val="solid" w:color="FFFFFF" w:fill="auto"/>
          </w:tcPr>
          <w:p w:rsidR="00BC1FE3" w:rsidRPr="000A0A5F" w:rsidRDefault="00BC1FE3" w:rsidP="00BC1FE3">
            <w:pPr>
              <w:pStyle w:val="TAC"/>
              <w:rPr>
                <w:rFonts w:cs="Arial"/>
                <w:color w:val="000000"/>
                <w:sz w:val="16"/>
                <w:szCs w:val="16"/>
                <w:lang w:eastAsia="zh-CN"/>
              </w:rPr>
            </w:pPr>
            <w:r w:rsidRPr="000A0A5F">
              <w:rPr>
                <w:rFonts w:cs="Arial"/>
                <w:color w:val="000000"/>
                <w:sz w:val="16"/>
                <w:szCs w:val="16"/>
                <w:lang w:eastAsia="zh-CN"/>
              </w:rPr>
              <w:t>CT#101</w:t>
            </w:r>
          </w:p>
        </w:tc>
        <w:tc>
          <w:tcPr>
            <w:tcW w:w="1088" w:type="dxa"/>
            <w:shd w:val="solid" w:color="FFFFFF" w:fill="auto"/>
          </w:tcPr>
          <w:p w:rsidR="00BC1FE3" w:rsidRPr="000A0A5F" w:rsidRDefault="00BC1FE3" w:rsidP="00BC1FE3">
            <w:pPr>
              <w:pStyle w:val="TAC"/>
              <w:rPr>
                <w:rFonts w:cs="Arial"/>
                <w:color w:val="000000"/>
                <w:sz w:val="16"/>
                <w:szCs w:val="16"/>
                <w:lang w:eastAsia="zh-CN"/>
              </w:rPr>
            </w:pPr>
            <w:r w:rsidRPr="000A0A5F">
              <w:rPr>
                <w:rFonts w:cs="Arial"/>
                <w:color w:val="000000"/>
                <w:sz w:val="16"/>
                <w:szCs w:val="16"/>
                <w:lang w:eastAsia="zh-CN"/>
              </w:rPr>
              <w:t>CP-232</w:t>
            </w:r>
            <w:r w:rsidR="00201745" w:rsidRPr="000A0A5F">
              <w:rPr>
                <w:rFonts w:cs="Arial"/>
                <w:color w:val="000000"/>
                <w:sz w:val="16"/>
                <w:szCs w:val="16"/>
                <w:lang w:eastAsia="zh-CN"/>
              </w:rPr>
              <w:t>172</w:t>
            </w:r>
          </w:p>
        </w:tc>
        <w:tc>
          <w:tcPr>
            <w:tcW w:w="524" w:type="dxa"/>
            <w:shd w:val="solid" w:color="FFFFFF" w:fill="auto"/>
          </w:tcPr>
          <w:p w:rsidR="00BC1FE3" w:rsidRPr="000A0A5F" w:rsidRDefault="00BC1FE3" w:rsidP="00BC1FE3">
            <w:pPr>
              <w:pStyle w:val="TAL"/>
              <w:rPr>
                <w:rFonts w:cs="Arial"/>
                <w:color w:val="000000"/>
                <w:sz w:val="16"/>
                <w:szCs w:val="16"/>
                <w:lang w:eastAsia="zh-CN"/>
              </w:rPr>
            </w:pPr>
            <w:r w:rsidRPr="000A0A5F">
              <w:rPr>
                <w:rFonts w:cs="Arial"/>
                <w:color w:val="000000"/>
                <w:sz w:val="16"/>
                <w:szCs w:val="16"/>
                <w:lang w:eastAsia="zh-CN"/>
              </w:rPr>
              <w:t>0725</w:t>
            </w:r>
          </w:p>
        </w:tc>
        <w:tc>
          <w:tcPr>
            <w:tcW w:w="424" w:type="dxa"/>
            <w:shd w:val="solid" w:color="FFFFFF" w:fill="auto"/>
          </w:tcPr>
          <w:p w:rsidR="00BC1FE3" w:rsidRPr="000A0A5F" w:rsidRDefault="00201745" w:rsidP="00BC1FE3">
            <w:pPr>
              <w:pStyle w:val="TAR"/>
              <w:rPr>
                <w:rFonts w:cs="Arial"/>
                <w:color w:val="000000"/>
                <w:sz w:val="16"/>
                <w:szCs w:val="16"/>
                <w:lang w:eastAsia="zh-CN"/>
              </w:rPr>
            </w:pPr>
            <w:r w:rsidRPr="000A0A5F">
              <w:rPr>
                <w:rFonts w:cs="Arial"/>
                <w:color w:val="000000"/>
                <w:sz w:val="16"/>
                <w:szCs w:val="16"/>
                <w:lang w:eastAsia="zh-CN"/>
              </w:rPr>
              <w:t>2</w:t>
            </w:r>
          </w:p>
        </w:tc>
        <w:tc>
          <w:tcPr>
            <w:tcW w:w="424" w:type="dxa"/>
            <w:shd w:val="solid" w:color="FFFFFF" w:fill="auto"/>
          </w:tcPr>
          <w:p w:rsidR="00BC1FE3" w:rsidRPr="000A0A5F" w:rsidRDefault="00BC1FE3" w:rsidP="00BC1FE3">
            <w:pPr>
              <w:pStyle w:val="TAC"/>
              <w:rPr>
                <w:rFonts w:cs="Arial"/>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BC1FE3" w:rsidRPr="000A0A5F" w:rsidRDefault="00BC1FE3" w:rsidP="00BC1FE3">
            <w:pPr>
              <w:pStyle w:val="TAL"/>
              <w:rPr>
                <w:sz w:val="16"/>
              </w:rPr>
            </w:pPr>
            <w:r w:rsidRPr="000A0A5F">
              <w:rPr>
                <w:sz w:val="16"/>
              </w:rPr>
              <w:t>AIMLsys service data model update for ASsessionWithQoS</w:t>
            </w:r>
          </w:p>
        </w:tc>
        <w:tc>
          <w:tcPr>
            <w:tcW w:w="707" w:type="dxa"/>
            <w:shd w:val="solid" w:color="FFFFFF" w:fill="auto"/>
          </w:tcPr>
          <w:p w:rsidR="00BC1FE3" w:rsidRPr="000A0A5F" w:rsidRDefault="00BC1FE3" w:rsidP="00BC1FE3">
            <w:pPr>
              <w:pStyle w:val="TAC"/>
              <w:rPr>
                <w:rFonts w:cs="Arial"/>
                <w:color w:val="000000"/>
                <w:sz w:val="16"/>
                <w:szCs w:val="16"/>
                <w:lang w:eastAsia="zh-CN"/>
              </w:rPr>
            </w:pPr>
            <w:r w:rsidRPr="000A0A5F">
              <w:rPr>
                <w:rFonts w:cs="Arial"/>
                <w:color w:val="000000"/>
                <w:sz w:val="16"/>
                <w:szCs w:val="16"/>
                <w:lang w:eastAsia="zh-CN"/>
              </w:rPr>
              <w:t>18.3.0</w:t>
            </w:r>
          </w:p>
        </w:tc>
      </w:tr>
      <w:tr w:rsidR="00BC1FE3" w:rsidRPr="000A0A5F" w:rsidTr="00274CFF">
        <w:tc>
          <w:tcPr>
            <w:tcW w:w="798" w:type="dxa"/>
            <w:shd w:val="solid" w:color="FFFFFF" w:fill="auto"/>
          </w:tcPr>
          <w:p w:rsidR="00BC1FE3" w:rsidRPr="000A0A5F" w:rsidRDefault="00BC1FE3" w:rsidP="00BC1FE3">
            <w:pPr>
              <w:pStyle w:val="TAC"/>
              <w:rPr>
                <w:rFonts w:cs="Arial"/>
                <w:color w:val="000000"/>
                <w:sz w:val="16"/>
                <w:szCs w:val="16"/>
                <w:lang w:eastAsia="zh-CN"/>
              </w:rPr>
            </w:pPr>
            <w:r w:rsidRPr="000A0A5F">
              <w:rPr>
                <w:rFonts w:cs="Arial"/>
                <w:color w:val="000000"/>
                <w:sz w:val="16"/>
                <w:szCs w:val="16"/>
                <w:lang w:eastAsia="zh-CN"/>
              </w:rPr>
              <w:t>2023-09</w:t>
            </w:r>
          </w:p>
        </w:tc>
        <w:tc>
          <w:tcPr>
            <w:tcW w:w="797" w:type="dxa"/>
            <w:shd w:val="solid" w:color="FFFFFF" w:fill="auto"/>
          </w:tcPr>
          <w:p w:rsidR="00BC1FE3" w:rsidRPr="000A0A5F" w:rsidRDefault="00BC1FE3" w:rsidP="00BC1FE3">
            <w:pPr>
              <w:pStyle w:val="TAC"/>
              <w:rPr>
                <w:rFonts w:cs="Arial"/>
                <w:color w:val="000000"/>
                <w:sz w:val="16"/>
                <w:szCs w:val="16"/>
                <w:lang w:eastAsia="zh-CN"/>
              </w:rPr>
            </w:pPr>
            <w:r w:rsidRPr="000A0A5F">
              <w:rPr>
                <w:rFonts w:cs="Arial"/>
                <w:color w:val="000000"/>
                <w:sz w:val="16"/>
                <w:szCs w:val="16"/>
                <w:lang w:eastAsia="zh-CN"/>
              </w:rPr>
              <w:t>CT#101</w:t>
            </w:r>
          </w:p>
        </w:tc>
        <w:tc>
          <w:tcPr>
            <w:tcW w:w="1088" w:type="dxa"/>
            <w:shd w:val="solid" w:color="FFFFFF" w:fill="auto"/>
          </w:tcPr>
          <w:p w:rsidR="00BC1FE3" w:rsidRPr="000A0A5F" w:rsidRDefault="00BC1FE3" w:rsidP="00BC1FE3">
            <w:pPr>
              <w:pStyle w:val="TAC"/>
              <w:rPr>
                <w:rFonts w:cs="Arial"/>
                <w:color w:val="000000"/>
                <w:sz w:val="16"/>
                <w:szCs w:val="16"/>
                <w:lang w:eastAsia="zh-CN"/>
              </w:rPr>
            </w:pPr>
            <w:r w:rsidRPr="000A0A5F">
              <w:rPr>
                <w:rFonts w:cs="Arial"/>
                <w:color w:val="000000"/>
                <w:sz w:val="16"/>
                <w:szCs w:val="16"/>
                <w:lang w:eastAsia="zh-CN"/>
              </w:rPr>
              <w:t>CP-232</w:t>
            </w:r>
            <w:r w:rsidR="003D3C50" w:rsidRPr="000A0A5F">
              <w:rPr>
                <w:rFonts w:cs="Arial"/>
                <w:color w:val="000000"/>
                <w:sz w:val="16"/>
                <w:szCs w:val="16"/>
                <w:lang w:eastAsia="zh-CN"/>
              </w:rPr>
              <w:t>158</w:t>
            </w:r>
          </w:p>
        </w:tc>
        <w:tc>
          <w:tcPr>
            <w:tcW w:w="524" w:type="dxa"/>
            <w:shd w:val="solid" w:color="FFFFFF" w:fill="auto"/>
          </w:tcPr>
          <w:p w:rsidR="00BC1FE3" w:rsidRPr="000A0A5F" w:rsidRDefault="00BC1FE3" w:rsidP="00BC1FE3">
            <w:pPr>
              <w:pStyle w:val="TAL"/>
              <w:rPr>
                <w:rFonts w:cs="Arial"/>
                <w:color w:val="000000"/>
                <w:sz w:val="16"/>
                <w:szCs w:val="16"/>
                <w:lang w:eastAsia="zh-CN"/>
              </w:rPr>
            </w:pPr>
            <w:r w:rsidRPr="000A0A5F">
              <w:rPr>
                <w:rFonts w:cs="Arial"/>
                <w:color w:val="000000"/>
                <w:sz w:val="16"/>
                <w:szCs w:val="16"/>
                <w:lang w:eastAsia="zh-CN"/>
              </w:rPr>
              <w:t>0727</w:t>
            </w:r>
          </w:p>
        </w:tc>
        <w:tc>
          <w:tcPr>
            <w:tcW w:w="424" w:type="dxa"/>
            <w:shd w:val="solid" w:color="FFFFFF" w:fill="auto"/>
          </w:tcPr>
          <w:p w:rsidR="00BC1FE3" w:rsidRPr="000A0A5F" w:rsidRDefault="00BC1FE3" w:rsidP="00BC1FE3">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BC1FE3" w:rsidRPr="000A0A5F" w:rsidRDefault="00BC1FE3" w:rsidP="00BC1FE3">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BC1FE3" w:rsidRPr="000A0A5F" w:rsidRDefault="00BC1FE3" w:rsidP="00BC1FE3">
            <w:pPr>
              <w:pStyle w:val="TAL"/>
              <w:rPr>
                <w:sz w:val="16"/>
              </w:rPr>
            </w:pPr>
            <w:r w:rsidRPr="000A0A5F">
              <w:rPr>
                <w:sz w:val="16"/>
              </w:rPr>
              <w:t>Editor note removal for Multimodal id</w:t>
            </w:r>
          </w:p>
        </w:tc>
        <w:tc>
          <w:tcPr>
            <w:tcW w:w="707" w:type="dxa"/>
            <w:shd w:val="solid" w:color="FFFFFF" w:fill="auto"/>
          </w:tcPr>
          <w:p w:rsidR="00BC1FE3" w:rsidRPr="000A0A5F" w:rsidRDefault="00BC1FE3" w:rsidP="00BC1FE3">
            <w:pPr>
              <w:pStyle w:val="TAC"/>
              <w:rPr>
                <w:rFonts w:cs="Arial"/>
                <w:color w:val="000000"/>
                <w:sz w:val="16"/>
                <w:szCs w:val="16"/>
                <w:lang w:eastAsia="zh-CN"/>
              </w:rPr>
            </w:pPr>
            <w:r w:rsidRPr="000A0A5F">
              <w:rPr>
                <w:rFonts w:cs="Arial"/>
                <w:color w:val="000000"/>
                <w:sz w:val="16"/>
                <w:szCs w:val="16"/>
                <w:lang w:eastAsia="zh-CN"/>
              </w:rPr>
              <w:t>18.3.0</w:t>
            </w:r>
          </w:p>
        </w:tc>
      </w:tr>
      <w:tr w:rsidR="00BC1FE3" w:rsidRPr="000A0A5F" w:rsidTr="00274CFF">
        <w:tc>
          <w:tcPr>
            <w:tcW w:w="798" w:type="dxa"/>
            <w:shd w:val="solid" w:color="FFFFFF" w:fill="auto"/>
          </w:tcPr>
          <w:p w:rsidR="00BC1FE3" w:rsidRPr="000A0A5F" w:rsidRDefault="00BC1FE3" w:rsidP="00BC1FE3">
            <w:pPr>
              <w:pStyle w:val="TAC"/>
              <w:rPr>
                <w:rFonts w:cs="Arial"/>
                <w:color w:val="000000"/>
                <w:sz w:val="16"/>
                <w:szCs w:val="16"/>
                <w:lang w:eastAsia="zh-CN"/>
              </w:rPr>
            </w:pPr>
            <w:r w:rsidRPr="000A0A5F">
              <w:rPr>
                <w:rFonts w:cs="Arial"/>
                <w:color w:val="000000"/>
                <w:sz w:val="16"/>
                <w:szCs w:val="16"/>
                <w:lang w:eastAsia="zh-CN"/>
              </w:rPr>
              <w:t>2023-09</w:t>
            </w:r>
          </w:p>
        </w:tc>
        <w:tc>
          <w:tcPr>
            <w:tcW w:w="797" w:type="dxa"/>
            <w:shd w:val="solid" w:color="FFFFFF" w:fill="auto"/>
          </w:tcPr>
          <w:p w:rsidR="00BC1FE3" w:rsidRPr="000A0A5F" w:rsidRDefault="00BC1FE3" w:rsidP="00BC1FE3">
            <w:pPr>
              <w:pStyle w:val="TAC"/>
              <w:rPr>
                <w:rFonts w:cs="Arial"/>
                <w:color w:val="000000"/>
                <w:sz w:val="16"/>
                <w:szCs w:val="16"/>
                <w:lang w:eastAsia="zh-CN"/>
              </w:rPr>
            </w:pPr>
            <w:r w:rsidRPr="000A0A5F">
              <w:rPr>
                <w:rFonts w:cs="Arial"/>
                <w:color w:val="000000"/>
                <w:sz w:val="16"/>
                <w:szCs w:val="16"/>
                <w:lang w:eastAsia="zh-CN"/>
              </w:rPr>
              <w:t>CT#101</w:t>
            </w:r>
          </w:p>
        </w:tc>
        <w:tc>
          <w:tcPr>
            <w:tcW w:w="1088" w:type="dxa"/>
            <w:shd w:val="solid" w:color="FFFFFF" w:fill="auto"/>
          </w:tcPr>
          <w:p w:rsidR="00BC1FE3" w:rsidRPr="000A0A5F" w:rsidRDefault="00BC1FE3" w:rsidP="00BC1FE3">
            <w:pPr>
              <w:pStyle w:val="TAC"/>
              <w:rPr>
                <w:rFonts w:cs="Arial"/>
                <w:color w:val="000000"/>
                <w:sz w:val="16"/>
                <w:szCs w:val="16"/>
                <w:lang w:eastAsia="zh-CN"/>
              </w:rPr>
            </w:pPr>
            <w:r w:rsidRPr="000A0A5F">
              <w:rPr>
                <w:rFonts w:cs="Arial"/>
                <w:color w:val="000000"/>
                <w:sz w:val="16"/>
                <w:szCs w:val="16"/>
                <w:lang w:eastAsia="zh-CN"/>
              </w:rPr>
              <w:t>CP-232</w:t>
            </w:r>
            <w:r w:rsidR="003D3C50" w:rsidRPr="000A0A5F">
              <w:rPr>
                <w:rFonts w:cs="Arial"/>
                <w:color w:val="000000"/>
                <w:sz w:val="16"/>
                <w:szCs w:val="16"/>
                <w:lang w:eastAsia="zh-CN"/>
              </w:rPr>
              <w:t>090</w:t>
            </w:r>
          </w:p>
        </w:tc>
        <w:tc>
          <w:tcPr>
            <w:tcW w:w="524" w:type="dxa"/>
            <w:shd w:val="solid" w:color="FFFFFF" w:fill="auto"/>
          </w:tcPr>
          <w:p w:rsidR="00BC1FE3" w:rsidRPr="000A0A5F" w:rsidRDefault="00BC1FE3" w:rsidP="00BC1FE3">
            <w:pPr>
              <w:pStyle w:val="TAL"/>
              <w:rPr>
                <w:rFonts w:cs="Arial"/>
                <w:color w:val="000000"/>
                <w:sz w:val="16"/>
                <w:szCs w:val="16"/>
                <w:lang w:eastAsia="zh-CN"/>
              </w:rPr>
            </w:pPr>
            <w:r w:rsidRPr="000A0A5F">
              <w:rPr>
                <w:rFonts w:cs="Arial"/>
                <w:color w:val="000000"/>
                <w:sz w:val="16"/>
                <w:szCs w:val="16"/>
                <w:lang w:eastAsia="zh-CN"/>
              </w:rPr>
              <w:t>0729</w:t>
            </w:r>
          </w:p>
        </w:tc>
        <w:tc>
          <w:tcPr>
            <w:tcW w:w="424" w:type="dxa"/>
            <w:shd w:val="solid" w:color="FFFFFF" w:fill="auto"/>
          </w:tcPr>
          <w:p w:rsidR="00BC1FE3" w:rsidRPr="000A0A5F" w:rsidRDefault="00BC1FE3" w:rsidP="00BC1FE3">
            <w:pPr>
              <w:pStyle w:val="TAR"/>
              <w:rPr>
                <w:rFonts w:cs="Arial"/>
                <w:color w:val="000000"/>
                <w:sz w:val="16"/>
                <w:szCs w:val="16"/>
                <w:lang w:eastAsia="zh-CN"/>
              </w:rPr>
            </w:pPr>
          </w:p>
        </w:tc>
        <w:tc>
          <w:tcPr>
            <w:tcW w:w="424" w:type="dxa"/>
            <w:shd w:val="solid" w:color="FFFFFF" w:fill="auto"/>
          </w:tcPr>
          <w:p w:rsidR="00BC1FE3" w:rsidRPr="000A0A5F" w:rsidRDefault="00BC1FE3" w:rsidP="00BC1FE3">
            <w:pPr>
              <w:pStyle w:val="TAC"/>
              <w:rPr>
                <w:rFonts w:cs="Arial"/>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BC1FE3" w:rsidRPr="000A0A5F" w:rsidRDefault="00BC1FE3" w:rsidP="00BC1FE3">
            <w:pPr>
              <w:pStyle w:val="TAL"/>
              <w:rPr>
                <w:sz w:val="16"/>
              </w:rPr>
            </w:pPr>
            <w:r w:rsidRPr="000A0A5F">
              <w:rPr>
                <w:sz w:val="16"/>
              </w:rPr>
              <w:t>AF request QoS for target UE in AsSessionWithQoS API</w:t>
            </w:r>
          </w:p>
        </w:tc>
        <w:tc>
          <w:tcPr>
            <w:tcW w:w="707" w:type="dxa"/>
            <w:shd w:val="solid" w:color="FFFFFF" w:fill="auto"/>
          </w:tcPr>
          <w:p w:rsidR="00BC1FE3" w:rsidRPr="000A0A5F" w:rsidRDefault="00BC1FE3" w:rsidP="00BC1FE3">
            <w:pPr>
              <w:pStyle w:val="TAC"/>
              <w:rPr>
                <w:rFonts w:cs="Arial"/>
                <w:color w:val="000000"/>
                <w:sz w:val="16"/>
                <w:szCs w:val="16"/>
                <w:lang w:eastAsia="zh-CN"/>
              </w:rPr>
            </w:pPr>
            <w:r w:rsidRPr="000A0A5F">
              <w:rPr>
                <w:rFonts w:cs="Arial"/>
                <w:color w:val="000000"/>
                <w:sz w:val="16"/>
                <w:szCs w:val="16"/>
                <w:lang w:eastAsia="zh-CN"/>
              </w:rPr>
              <w:t>18.3.0</w:t>
            </w:r>
          </w:p>
        </w:tc>
      </w:tr>
      <w:tr w:rsidR="00BC1FE3" w:rsidRPr="000A0A5F" w:rsidTr="00274CFF">
        <w:tc>
          <w:tcPr>
            <w:tcW w:w="798" w:type="dxa"/>
            <w:shd w:val="solid" w:color="FFFFFF" w:fill="auto"/>
          </w:tcPr>
          <w:p w:rsidR="00BC1FE3" w:rsidRPr="000A0A5F" w:rsidRDefault="00BC1FE3" w:rsidP="00BC1FE3">
            <w:pPr>
              <w:pStyle w:val="TAC"/>
              <w:rPr>
                <w:rFonts w:cs="Arial"/>
                <w:color w:val="000000"/>
                <w:sz w:val="16"/>
                <w:szCs w:val="16"/>
                <w:lang w:eastAsia="zh-CN"/>
              </w:rPr>
            </w:pPr>
            <w:r w:rsidRPr="000A0A5F">
              <w:rPr>
                <w:rFonts w:cs="Arial"/>
                <w:color w:val="000000"/>
                <w:sz w:val="16"/>
                <w:szCs w:val="16"/>
                <w:lang w:eastAsia="zh-CN"/>
              </w:rPr>
              <w:t>2023-09</w:t>
            </w:r>
          </w:p>
        </w:tc>
        <w:tc>
          <w:tcPr>
            <w:tcW w:w="797" w:type="dxa"/>
            <w:shd w:val="solid" w:color="FFFFFF" w:fill="auto"/>
          </w:tcPr>
          <w:p w:rsidR="00BC1FE3" w:rsidRPr="000A0A5F" w:rsidRDefault="00BC1FE3" w:rsidP="00BC1FE3">
            <w:pPr>
              <w:pStyle w:val="TAC"/>
              <w:rPr>
                <w:rFonts w:cs="Arial"/>
                <w:color w:val="000000"/>
                <w:sz w:val="16"/>
                <w:szCs w:val="16"/>
                <w:lang w:eastAsia="zh-CN"/>
              </w:rPr>
            </w:pPr>
            <w:r w:rsidRPr="000A0A5F">
              <w:rPr>
                <w:rFonts w:cs="Arial"/>
                <w:color w:val="000000"/>
                <w:sz w:val="16"/>
                <w:szCs w:val="16"/>
                <w:lang w:eastAsia="zh-CN"/>
              </w:rPr>
              <w:t>CT#101</w:t>
            </w:r>
          </w:p>
        </w:tc>
        <w:tc>
          <w:tcPr>
            <w:tcW w:w="1088" w:type="dxa"/>
            <w:shd w:val="solid" w:color="FFFFFF" w:fill="auto"/>
          </w:tcPr>
          <w:p w:rsidR="00BC1FE3" w:rsidRPr="000A0A5F" w:rsidRDefault="00BC1FE3" w:rsidP="00BC1FE3">
            <w:pPr>
              <w:pStyle w:val="TAC"/>
              <w:rPr>
                <w:rFonts w:cs="Arial"/>
                <w:color w:val="000000"/>
                <w:sz w:val="16"/>
                <w:szCs w:val="16"/>
                <w:lang w:eastAsia="zh-CN"/>
              </w:rPr>
            </w:pPr>
            <w:r w:rsidRPr="000A0A5F">
              <w:rPr>
                <w:rFonts w:cs="Arial"/>
                <w:color w:val="000000"/>
                <w:sz w:val="16"/>
                <w:szCs w:val="16"/>
                <w:lang w:eastAsia="zh-CN"/>
              </w:rPr>
              <w:t>CP-232</w:t>
            </w:r>
            <w:r w:rsidR="003D3C50" w:rsidRPr="000A0A5F">
              <w:rPr>
                <w:rFonts w:cs="Arial"/>
                <w:color w:val="000000"/>
                <w:sz w:val="16"/>
                <w:szCs w:val="16"/>
                <w:lang w:eastAsia="zh-CN"/>
              </w:rPr>
              <w:t>109</w:t>
            </w:r>
          </w:p>
        </w:tc>
        <w:tc>
          <w:tcPr>
            <w:tcW w:w="524" w:type="dxa"/>
            <w:shd w:val="solid" w:color="FFFFFF" w:fill="auto"/>
          </w:tcPr>
          <w:p w:rsidR="00BC1FE3" w:rsidRPr="000A0A5F" w:rsidRDefault="00BC1FE3" w:rsidP="00BC1FE3">
            <w:pPr>
              <w:pStyle w:val="TAL"/>
              <w:rPr>
                <w:rFonts w:cs="Arial"/>
                <w:color w:val="000000"/>
                <w:sz w:val="16"/>
                <w:szCs w:val="16"/>
                <w:lang w:eastAsia="zh-CN"/>
              </w:rPr>
            </w:pPr>
            <w:r w:rsidRPr="000A0A5F">
              <w:rPr>
                <w:rFonts w:cs="Arial"/>
                <w:color w:val="000000"/>
                <w:sz w:val="16"/>
                <w:szCs w:val="16"/>
                <w:lang w:eastAsia="zh-CN"/>
              </w:rPr>
              <w:t>0731</w:t>
            </w:r>
          </w:p>
        </w:tc>
        <w:tc>
          <w:tcPr>
            <w:tcW w:w="424" w:type="dxa"/>
            <w:shd w:val="solid" w:color="FFFFFF" w:fill="auto"/>
          </w:tcPr>
          <w:p w:rsidR="00BC1FE3" w:rsidRPr="000A0A5F" w:rsidRDefault="00BC1FE3" w:rsidP="00BC1FE3">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BC1FE3" w:rsidRPr="000A0A5F" w:rsidRDefault="00BC1FE3" w:rsidP="00BC1FE3">
            <w:pPr>
              <w:pStyle w:val="TAC"/>
              <w:rPr>
                <w:rFonts w:cs="Arial"/>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BC1FE3" w:rsidRPr="000A0A5F" w:rsidRDefault="00BC1FE3" w:rsidP="00BC1FE3">
            <w:pPr>
              <w:pStyle w:val="TAL"/>
              <w:rPr>
                <w:sz w:val="16"/>
              </w:rPr>
            </w:pPr>
            <w:r w:rsidRPr="000A0A5F">
              <w:rPr>
                <w:sz w:val="16"/>
              </w:rPr>
              <w:t>Reject Location request when area does not overlap with configured "event report allowed area"</w:t>
            </w:r>
          </w:p>
        </w:tc>
        <w:tc>
          <w:tcPr>
            <w:tcW w:w="707" w:type="dxa"/>
            <w:shd w:val="solid" w:color="FFFFFF" w:fill="auto"/>
          </w:tcPr>
          <w:p w:rsidR="00BC1FE3" w:rsidRPr="000A0A5F" w:rsidRDefault="00BC1FE3" w:rsidP="00BC1FE3">
            <w:pPr>
              <w:pStyle w:val="TAC"/>
              <w:rPr>
                <w:rFonts w:cs="Arial"/>
                <w:color w:val="000000"/>
                <w:sz w:val="16"/>
                <w:szCs w:val="16"/>
                <w:lang w:eastAsia="zh-CN"/>
              </w:rPr>
            </w:pPr>
            <w:r w:rsidRPr="000A0A5F">
              <w:rPr>
                <w:rFonts w:cs="Arial"/>
                <w:color w:val="000000"/>
                <w:sz w:val="16"/>
                <w:szCs w:val="16"/>
                <w:lang w:eastAsia="zh-CN"/>
              </w:rPr>
              <w:t>18.3.0</w:t>
            </w:r>
          </w:p>
        </w:tc>
      </w:tr>
      <w:tr w:rsidR="00BC1FE3" w:rsidRPr="000A0A5F" w:rsidTr="00274CFF">
        <w:tc>
          <w:tcPr>
            <w:tcW w:w="798" w:type="dxa"/>
            <w:shd w:val="solid" w:color="FFFFFF" w:fill="auto"/>
          </w:tcPr>
          <w:p w:rsidR="00BC1FE3" w:rsidRPr="000A0A5F" w:rsidRDefault="00BC1FE3" w:rsidP="00BC1FE3">
            <w:pPr>
              <w:pStyle w:val="TAC"/>
              <w:rPr>
                <w:rFonts w:cs="Arial"/>
                <w:color w:val="000000"/>
                <w:sz w:val="16"/>
                <w:szCs w:val="16"/>
                <w:lang w:eastAsia="zh-CN"/>
              </w:rPr>
            </w:pPr>
            <w:r w:rsidRPr="000A0A5F">
              <w:rPr>
                <w:rFonts w:cs="Arial"/>
                <w:color w:val="000000"/>
                <w:sz w:val="16"/>
                <w:szCs w:val="16"/>
                <w:lang w:eastAsia="zh-CN"/>
              </w:rPr>
              <w:t>2023-09</w:t>
            </w:r>
          </w:p>
        </w:tc>
        <w:tc>
          <w:tcPr>
            <w:tcW w:w="797" w:type="dxa"/>
            <w:shd w:val="solid" w:color="FFFFFF" w:fill="auto"/>
          </w:tcPr>
          <w:p w:rsidR="00BC1FE3" w:rsidRPr="000A0A5F" w:rsidRDefault="00BC1FE3" w:rsidP="00BC1FE3">
            <w:pPr>
              <w:pStyle w:val="TAC"/>
              <w:rPr>
                <w:rFonts w:cs="Arial"/>
                <w:color w:val="000000"/>
                <w:sz w:val="16"/>
                <w:szCs w:val="16"/>
                <w:lang w:eastAsia="zh-CN"/>
              </w:rPr>
            </w:pPr>
            <w:r w:rsidRPr="000A0A5F">
              <w:rPr>
                <w:rFonts w:cs="Arial"/>
                <w:color w:val="000000"/>
                <w:sz w:val="16"/>
                <w:szCs w:val="16"/>
                <w:lang w:eastAsia="zh-CN"/>
              </w:rPr>
              <w:t>CT#101</w:t>
            </w:r>
          </w:p>
        </w:tc>
        <w:tc>
          <w:tcPr>
            <w:tcW w:w="1088" w:type="dxa"/>
            <w:shd w:val="solid" w:color="FFFFFF" w:fill="auto"/>
          </w:tcPr>
          <w:p w:rsidR="00BC1FE3" w:rsidRPr="000A0A5F" w:rsidRDefault="00BC1FE3" w:rsidP="00BC1FE3">
            <w:pPr>
              <w:pStyle w:val="TAC"/>
              <w:rPr>
                <w:rFonts w:cs="Arial"/>
                <w:color w:val="000000"/>
                <w:sz w:val="16"/>
                <w:szCs w:val="16"/>
                <w:lang w:eastAsia="zh-CN"/>
              </w:rPr>
            </w:pPr>
            <w:r w:rsidRPr="000A0A5F">
              <w:rPr>
                <w:rFonts w:cs="Arial"/>
                <w:color w:val="000000"/>
                <w:sz w:val="16"/>
                <w:szCs w:val="16"/>
                <w:lang w:eastAsia="zh-CN"/>
              </w:rPr>
              <w:t>CP-232</w:t>
            </w:r>
            <w:r w:rsidR="003D3C50" w:rsidRPr="000A0A5F">
              <w:rPr>
                <w:rFonts w:cs="Arial"/>
                <w:color w:val="000000"/>
                <w:sz w:val="16"/>
                <w:szCs w:val="16"/>
                <w:lang w:eastAsia="zh-CN"/>
              </w:rPr>
              <w:t>113</w:t>
            </w:r>
          </w:p>
        </w:tc>
        <w:tc>
          <w:tcPr>
            <w:tcW w:w="524" w:type="dxa"/>
            <w:shd w:val="solid" w:color="FFFFFF" w:fill="auto"/>
          </w:tcPr>
          <w:p w:rsidR="00BC1FE3" w:rsidRPr="000A0A5F" w:rsidRDefault="00BC1FE3" w:rsidP="00BC1FE3">
            <w:pPr>
              <w:pStyle w:val="TAL"/>
              <w:rPr>
                <w:rFonts w:cs="Arial"/>
                <w:color w:val="000000"/>
                <w:sz w:val="16"/>
                <w:szCs w:val="16"/>
                <w:lang w:eastAsia="zh-CN"/>
              </w:rPr>
            </w:pPr>
            <w:r w:rsidRPr="000A0A5F">
              <w:rPr>
                <w:rFonts w:cs="Arial"/>
                <w:color w:val="000000"/>
                <w:sz w:val="16"/>
                <w:szCs w:val="16"/>
                <w:lang w:eastAsia="zh-CN"/>
              </w:rPr>
              <w:t>0732</w:t>
            </w:r>
          </w:p>
        </w:tc>
        <w:tc>
          <w:tcPr>
            <w:tcW w:w="424" w:type="dxa"/>
            <w:shd w:val="solid" w:color="FFFFFF" w:fill="auto"/>
          </w:tcPr>
          <w:p w:rsidR="00BC1FE3" w:rsidRPr="000A0A5F" w:rsidRDefault="00BC1FE3" w:rsidP="00BC1FE3">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BC1FE3" w:rsidRPr="000A0A5F" w:rsidRDefault="00BC1FE3" w:rsidP="00BC1FE3">
            <w:pPr>
              <w:pStyle w:val="TAC"/>
              <w:rPr>
                <w:rFonts w:cs="Arial"/>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BC1FE3" w:rsidRPr="000A0A5F" w:rsidRDefault="00BC1FE3" w:rsidP="00BC1FE3">
            <w:pPr>
              <w:pStyle w:val="TAL"/>
              <w:rPr>
                <w:sz w:val="16"/>
              </w:rPr>
            </w:pPr>
            <w:r w:rsidRPr="000A0A5F">
              <w:rPr>
                <w:sz w:val="16"/>
              </w:rPr>
              <w:t>Network slice admission control notification update for UE with atleast one PDU session/PDN connection</w:t>
            </w:r>
          </w:p>
        </w:tc>
        <w:tc>
          <w:tcPr>
            <w:tcW w:w="707" w:type="dxa"/>
            <w:shd w:val="solid" w:color="FFFFFF" w:fill="auto"/>
          </w:tcPr>
          <w:p w:rsidR="00BC1FE3" w:rsidRPr="000A0A5F" w:rsidRDefault="00BC1FE3" w:rsidP="00BC1FE3">
            <w:pPr>
              <w:pStyle w:val="TAC"/>
              <w:rPr>
                <w:rFonts w:cs="Arial"/>
                <w:color w:val="000000"/>
                <w:sz w:val="16"/>
                <w:szCs w:val="16"/>
                <w:lang w:eastAsia="zh-CN"/>
              </w:rPr>
            </w:pPr>
            <w:r w:rsidRPr="000A0A5F">
              <w:rPr>
                <w:rFonts w:cs="Arial"/>
                <w:color w:val="000000"/>
                <w:sz w:val="16"/>
                <w:szCs w:val="16"/>
                <w:lang w:eastAsia="zh-CN"/>
              </w:rPr>
              <w:t>18.3.0</w:t>
            </w:r>
          </w:p>
        </w:tc>
      </w:tr>
      <w:tr w:rsidR="00BC1FE3" w:rsidRPr="000A0A5F" w:rsidTr="00274CFF">
        <w:tc>
          <w:tcPr>
            <w:tcW w:w="798" w:type="dxa"/>
            <w:shd w:val="solid" w:color="FFFFFF" w:fill="auto"/>
          </w:tcPr>
          <w:p w:rsidR="00BC1FE3" w:rsidRPr="000A0A5F" w:rsidRDefault="00BC1FE3" w:rsidP="00BC1FE3">
            <w:pPr>
              <w:pStyle w:val="TAC"/>
              <w:rPr>
                <w:rFonts w:cs="Arial"/>
                <w:color w:val="000000"/>
                <w:sz w:val="16"/>
                <w:szCs w:val="16"/>
                <w:lang w:eastAsia="zh-CN"/>
              </w:rPr>
            </w:pPr>
            <w:r w:rsidRPr="000A0A5F">
              <w:rPr>
                <w:rFonts w:cs="Arial"/>
                <w:color w:val="000000"/>
                <w:sz w:val="16"/>
                <w:szCs w:val="16"/>
                <w:lang w:eastAsia="zh-CN"/>
              </w:rPr>
              <w:t>2023-09</w:t>
            </w:r>
          </w:p>
        </w:tc>
        <w:tc>
          <w:tcPr>
            <w:tcW w:w="797" w:type="dxa"/>
            <w:shd w:val="solid" w:color="FFFFFF" w:fill="auto"/>
          </w:tcPr>
          <w:p w:rsidR="00BC1FE3" w:rsidRPr="000A0A5F" w:rsidRDefault="00BC1FE3" w:rsidP="00BC1FE3">
            <w:pPr>
              <w:pStyle w:val="TAC"/>
              <w:rPr>
                <w:rFonts w:cs="Arial"/>
                <w:color w:val="000000"/>
                <w:sz w:val="16"/>
                <w:szCs w:val="16"/>
                <w:lang w:eastAsia="zh-CN"/>
              </w:rPr>
            </w:pPr>
            <w:r w:rsidRPr="000A0A5F">
              <w:rPr>
                <w:rFonts w:cs="Arial"/>
                <w:color w:val="000000"/>
                <w:sz w:val="16"/>
                <w:szCs w:val="16"/>
                <w:lang w:eastAsia="zh-CN"/>
              </w:rPr>
              <w:t>CT#101</w:t>
            </w:r>
          </w:p>
        </w:tc>
        <w:tc>
          <w:tcPr>
            <w:tcW w:w="1088" w:type="dxa"/>
            <w:shd w:val="solid" w:color="FFFFFF" w:fill="auto"/>
          </w:tcPr>
          <w:p w:rsidR="00BC1FE3" w:rsidRPr="000A0A5F" w:rsidRDefault="00BC1FE3" w:rsidP="00BC1FE3">
            <w:pPr>
              <w:pStyle w:val="TAC"/>
              <w:rPr>
                <w:rFonts w:cs="Arial"/>
                <w:color w:val="000000"/>
                <w:sz w:val="16"/>
                <w:szCs w:val="16"/>
                <w:lang w:eastAsia="zh-CN"/>
              </w:rPr>
            </w:pPr>
            <w:r w:rsidRPr="000A0A5F">
              <w:rPr>
                <w:rFonts w:cs="Arial"/>
                <w:color w:val="000000"/>
                <w:sz w:val="16"/>
                <w:szCs w:val="16"/>
                <w:lang w:eastAsia="zh-CN"/>
              </w:rPr>
              <w:t>CP-232</w:t>
            </w:r>
            <w:r w:rsidR="002A7411" w:rsidRPr="000A0A5F">
              <w:rPr>
                <w:rFonts w:cs="Arial"/>
                <w:color w:val="000000"/>
                <w:sz w:val="16"/>
                <w:szCs w:val="16"/>
                <w:lang w:eastAsia="zh-CN"/>
              </w:rPr>
              <w:t>086</w:t>
            </w:r>
          </w:p>
        </w:tc>
        <w:tc>
          <w:tcPr>
            <w:tcW w:w="524" w:type="dxa"/>
            <w:shd w:val="solid" w:color="FFFFFF" w:fill="auto"/>
          </w:tcPr>
          <w:p w:rsidR="00BC1FE3" w:rsidRPr="000A0A5F" w:rsidRDefault="00BC1FE3" w:rsidP="00BC1FE3">
            <w:pPr>
              <w:pStyle w:val="TAL"/>
              <w:rPr>
                <w:rFonts w:cs="Arial"/>
                <w:color w:val="000000"/>
                <w:sz w:val="16"/>
                <w:szCs w:val="16"/>
                <w:lang w:eastAsia="zh-CN"/>
              </w:rPr>
            </w:pPr>
            <w:r w:rsidRPr="000A0A5F">
              <w:rPr>
                <w:rFonts w:cs="Arial"/>
                <w:color w:val="000000"/>
                <w:sz w:val="16"/>
                <w:szCs w:val="16"/>
                <w:lang w:eastAsia="zh-CN"/>
              </w:rPr>
              <w:t>0735</w:t>
            </w:r>
          </w:p>
        </w:tc>
        <w:tc>
          <w:tcPr>
            <w:tcW w:w="424" w:type="dxa"/>
            <w:shd w:val="solid" w:color="FFFFFF" w:fill="auto"/>
          </w:tcPr>
          <w:p w:rsidR="00BC1FE3" w:rsidRPr="000A0A5F" w:rsidRDefault="00BC1FE3" w:rsidP="00BC1FE3">
            <w:pPr>
              <w:pStyle w:val="TAR"/>
              <w:rPr>
                <w:rFonts w:cs="Arial"/>
                <w:color w:val="000000"/>
                <w:sz w:val="16"/>
                <w:szCs w:val="16"/>
                <w:lang w:eastAsia="zh-CN"/>
              </w:rPr>
            </w:pPr>
          </w:p>
        </w:tc>
        <w:tc>
          <w:tcPr>
            <w:tcW w:w="424" w:type="dxa"/>
            <w:shd w:val="solid" w:color="FFFFFF" w:fill="auto"/>
          </w:tcPr>
          <w:p w:rsidR="00BC1FE3" w:rsidRPr="000A0A5F" w:rsidRDefault="00BC1FE3" w:rsidP="00BC1FE3">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BC1FE3" w:rsidRPr="000A0A5F" w:rsidRDefault="00BC1FE3" w:rsidP="00BC1FE3">
            <w:pPr>
              <w:pStyle w:val="TAL"/>
              <w:rPr>
                <w:sz w:val="16"/>
              </w:rPr>
            </w:pPr>
            <w:r w:rsidRPr="000A0A5F">
              <w:rPr>
                <w:sz w:val="16"/>
              </w:rPr>
              <w:t>Correction in Feature numbering</w:t>
            </w:r>
          </w:p>
        </w:tc>
        <w:tc>
          <w:tcPr>
            <w:tcW w:w="707" w:type="dxa"/>
            <w:shd w:val="solid" w:color="FFFFFF" w:fill="auto"/>
          </w:tcPr>
          <w:p w:rsidR="00BC1FE3" w:rsidRPr="000A0A5F" w:rsidRDefault="00BC1FE3" w:rsidP="00BC1FE3">
            <w:pPr>
              <w:pStyle w:val="TAC"/>
              <w:rPr>
                <w:rFonts w:cs="Arial"/>
                <w:color w:val="000000"/>
                <w:sz w:val="16"/>
                <w:szCs w:val="16"/>
                <w:lang w:eastAsia="zh-CN"/>
              </w:rPr>
            </w:pPr>
            <w:r w:rsidRPr="000A0A5F">
              <w:rPr>
                <w:rFonts w:cs="Arial"/>
                <w:color w:val="000000"/>
                <w:sz w:val="16"/>
                <w:szCs w:val="16"/>
                <w:lang w:eastAsia="zh-CN"/>
              </w:rPr>
              <w:t>18.3.0</w:t>
            </w:r>
          </w:p>
        </w:tc>
      </w:tr>
      <w:tr w:rsidR="00BC1FE3" w:rsidRPr="000A0A5F" w:rsidTr="00274CFF">
        <w:tc>
          <w:tcPr>
            <w:tcW w:w="798" w:type="dxa"/>
            <w:shd w:val="solid" w:color="FFFFFF" w:fill="auto"/>
          </w:tcPr>
          <w:p w:rsidR="00BC1FE3" w:rsidRPr="000A0A5F" w:rsidRDefault="00BC1FE3" w:rsidP="00BC1FE3">
            <w:pPr>
              <w:pStyle w:val="TAC"/>
              <w:rPr>
                <w:rFonts w:cs="Arial"/>
                <w:color w:val="000000"/>
                <w:sz w:val="16"/>
                <w:szCs w:val="16"/>
                <w:lang w:eastAsia="zh-CN"/>
              </w:rPr>
            </w:pPr>
            <w:r w:rsidRPr="000A0A5F">
              <w:rPr>
                <w:rFonts w:cs="Arial"/>
                <w:color w:val="000000"/>
                <w:sz w:val="16"/>
                <w:szCs w:val="16"/>
                <w:lang w:eastAsia="zh-CN"/>
              </w:rPr>
              <w:t>2023-09</w:t>
            </w:r>
          </w:p>
        </w:tc>
        <w:tc>
          <w:tcPr>
            <w:tcW w:w="797" w:type="dxa"/>
            <w:shd w:val="solid" w:color="FFFFFF" w:fill="auto"/>
          </w:tcPr>
          <w:p w:rsidR="00BC1FE3" w:rsidRPr="000A0A5F" w:rsidRDefault="00BC1FE3" w:rsidP="00BC1FE3">
            <w:pPr>
              <w:pStyle w:val="TAC"/>
              <w:rPr>
                <w:rFonts w:cs="Arial"/>
                <w:color w:val="000000"/>
                <w:sz w:val="16"/>
                <w:szCs w:val="16"/>
                <w:lang w:eastAsia="zh-CN"/>
              </w:rPr>
            </w:pPr>
            <w:r w:rsidRPr="000A0A5F">
              <w:rPr>
                <w:rFonts w:cs="Arial"/>
                <w:color w:val="000000"/>
                <w:sz w:val="16"/>
                <w:szCs w:val="16"/>
                <w:lang w:eastAsia="zh-CN"/>
              </w:rPr>
              <w:t>CT#101</w:t>
            </w:r>
          </w:p>
        </w:tc>
        <w:tc>
          <w:tcPr>
            <w:tcW w:w="1088" w:type="dxa"/>
            <w:shd w:val="solid" w:color="FFFFFF" w:fill="auto"/>
          </w:tcPr>
          <w:p w:rsidR="00BC1FE3" w:rsidRPr="000A0A5F" w:rsidRDefault="00BC1FE3" w:rsidP="00BC1FE3">
            <w:pPr>
              <w:pStyle w:val="TAC"/>
              <w:rPr>
                <w:rFonts w:cs="Arial"/>
                <w:color w:val="000000"/>
                <w:sz w:val="16"/>
                <w:szCs w:val="16"/>
                <w:lang w:eastAsia="zh-CN"/>
              </w:rPr>
            </w:pPr>
            <w:r w:rsidRPr="000A0A5F">
              <w:rPr>
                <w:rFonts w:cs="Arial"/>
                <w:color w:val="000000"/>
                <w:sz w:val="16"/>
                <w:szCs w:val="16"/>
                <w:lang w:eastAsia="zh-CN"/>
              </w:rPr>
              <w:t>CP-232</w:t>
            </w:r>
            <w:r w:rsidR="00201745" w:rsidRPr="000A0A5F">
              <w:rPr>
                <w:rFonts w:cs="Arial"/>
                <w:color w:val="000000"/>
                <w:sz w:val="16"/>
                <w:szCs w:val="16"/>
                <w:lang w:eastAsia="zh-CN"/>
              </w:rPr>
              <w:t>086</w:t>
            </w:r>
          </w:p>
        </w:tc>
        <w:tc>
          <w:tcPr>
            <w:tcW w:w="524" w:type="dxa"/>
            <w:shd w:val="solid" w:color="FFFFFF" w:fill="auto"/>
          </w:tcPr>
          <w:p w:rsidR="00BC1FE3" w:rsidRPr="000A0A5F" w:rsidRDefault="00BC1FE3" w:rsidP="00BC1FE3">
            <w:pPr>
              <w:pStyle w:val="TAL"/>
              <w:rPr>
                <w:rFonts w:cs="Arial"/>
                <w:color w:val="000000"/>
                <w:sz w:val="16"/>
                <w:szCs w:val="16"/>
                <w:lang w:eastAsia="zh-CN"/>
              </w:rPr>
            </w:pPr>
            <w:r w:rsidRPr="000A0A5F">
              <w:rPr>
                <w:rFonts w:cs="Arial"/>
                <w:color w:val="000000"/>
                <w:sz w:val="16"/>
                <w:szCs w:val="16"/>
                <w:lang w:eastAsia="zh-CN"/>
              </w:rPr>
              <w:t>0736</w:t>
            </w:r>
          </w:p>
        </w:tc>
        <w:tc>
          <w:tcPr>
            <w:tcW w:w="424" w:type="dxa"/>
            <w:shd w:val="solid" w:color="FFFFFF" w:fill="auto"/>
          </w:tcPr>
          <w:p w:rsidR="00BC1FE3" w:rsidRPr="000A0A5F" w:rsidRDefault="00BC1FE3" w:rsidP="00BC1FE3">
            <w:pPr>
              <w:pStyle w:val="TAR"/>
              <w:rPr>
                <w:rFonts w:cs="Arial"/>
                <w:color w:val="000000"/>
                <w:sz w:val="16"/>
                <w:szCs w:val="16"/>
                <w:lang w:eastAsia="zh-CN"/>
              </w:rPr>
            </w:pPr>
          </w:p>
        </w:tc>
        <w:tc>
          <w:tcPr>
            <w:tcW w:w="424" w:type="dxa"/>
            <w:shd w:val="solid" w:color="FFFFFF" w:fill="auto"/>
          </w:tcPr>
          <w:p w:rsidR="00BC1FE3" w:rsidRPr="000A0A5F" w:rsidRDefault="00BC1FE3" w:rsidP="00BC1FE3">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BC1FE3" w:rsidRPr="000A0A5F" w:rsidRDefault="00BC1FE3" w:rsidP="00BC1FE3">
            <w:pPr>
              <w:pStyle w:val="TAL"/>
              <w:rPr>
                <w:sz w:val="16"/>
              </w:rPr>
            </w:pPr>
            <w:r w:rsidRPr="000A0A5F">
              <w:rPr>
                <w:sz w:val="16"/>
              </w:rPr>
              <w:t>remove useless BdtReferenceIdRm</w:t>
            </w:r>
          </w:p>
        </w:tc>
        <w:tc>
          <w:tcPr>
            <w:tcW w:w="707" w:type="dxa"/>
            <w:shd w:val="solid" w:color="FFFFFF" w:fill="auto"/>
          </w:tcPr>
          <w:p w:rsidR="00BC1FE3" w:rsidRPr="000A0A5F" w:rsidRDefault="00BC1FE3" w:rsidP="00BC1FE3">
            <w:pPr>
              <w:pStyle w:val="TAC"/>
              <w:rPr>
                <w:rFonts w:cs="Arial"/>
                <w:color w:val="000000"/>
                <w:sz w:val="16"/>
                <w:szCs w:val="16"/>
                <w:lang w:eastAsia="zh-CN"/>
              </w:rPr>
            </w:pPr>
            <w:r w:rsidRPr="000A0A5F">
              <w:rPr>
                <w:rFonts w:cs="Arial"/>
                <w:color w:val="000000"/>
                <w:sz w:val="16"/>
                <w:szCs w:val="16"/>
                <w:lang w:eastAsia="zh-CN"/>
              </w:rPr>
              <w:t>18.3.0</w:t>
            </w:r>
          </w:p>
        </w:tc>
      </w:tr>
      <w:tr w:rsidR="00BC1FE3" w:rsidRPr="000A0A5F" w:rsidTr="00274CFF">
        <w:tc>
          <w:tcPr>
            <w:tcW w:w="798" w:type="dxa"/>
            <w:shd w:val="solid" w:color="FFFFFF" w:fill="auto"/>
          </w:tcPr>
          <w:p w:rsidR="00BC1FE3" w:rsidRPr="000A0A5F" w:rsidRDefault="00BC1FE3" w:rsidP="00BC1FE3">
            <w:pPr>
              <w:pStyle w:val="TAC"/>
              <w:rPr>
                <w:rFonts w:cs="Arial"/>
                <w:color w:val="000000"/>
                <w:sz w:val="16"/>
                <w:szCs w:val="16"/>
                <w:lang w:eastAsia="zh-CN"/>
              </w:rPr>
            </w:pPr>
            <w:r w:rsidRPr="000A0A5F">
              <w:rPr>
                <w:rFonts w:cs="Arial"/>
                <w:color w:val="000000"/>
                <w:sz w:val="16"/>
                <w:szCs w:val="16"/>
                <w:lang w:eastAsia="zh-CN"/>
              </w:rPr>
              <w:t>2023-09</w:t>
            </w:r>
          </w:p>
        </w:tc>
        <w:tc>
          <w:tcPr>
            <w:tcW w:w="797" w:type="dxa"/>
            <w:shd w:val="solid" w:color="FFFFFF" w:fill="auto"/>
          </w:tcPr>
          <w:p w:rsidR="00BC1FE3" w:rsidRPr="000A0A5F" w:rsidRDefault="00BC1FE3" w:rsidP="00BC1FE3">
            <w:pPr>
              <w:pStyle w:val="TAC"/>
              <w:rPr>
                <w:rFonts w:cs="Arial"/>
                <w:color w:val="000000"/>
                <w:sz w:val="16"/>
                <w:szCs w:val="16"/>
                <w:lang w:eastAsia="zh-CN"/>
              </w:rPr>
            </w:pPr>
            <w:r w:rsidRPr="000A0A5F">
              <w:rPr>
                <w:rFonts w:cs="Arial"/>
                <w:color w:val="000000"/>
                <w:sz w:val="16"/>
                <w:szCs w:val="16"/>
                <w:lang w:eastAsia="zh-CN"/>
              </w:rPr>
              <w:t>CT#101</w:t>
            </w:r>
          </w:p>
        </w:tc>
        <w:tc>
          <w:tcPr>
            <w:tcW w:w="1088" w:type="dxa"/>
            <w:shd w:val="solid" w:color="FFFFFF" w:fill="auto"/>
          </w:tcPr>
          <w:p w:rsidR="00BC1FE3" w:rsidRPr="000A0A5F" w:rsidRDefault="00BC1FE3" w:rsidP="00BC1FE3">
            <w:pPr>
              <w:pStyle w:val="TAC"/>
              <w:rPr>
                <w:rFonts w:cs="Arial"/>
                <w:color w:val="000000"/>
                <w:sz w:val="16"/>
                <w:szCs w:val="16"/>
                <w:lang w:eastAsia="zh-CN"/>
              </w:rPr>
            </w:pPr>
            <w:r w:rsidRPr="000A0A5F">
              <w:rPr>
                <w:rFonts w:cs="Arial"/>
                <w:color w:val="000000"/>
                <w:sz w:val="16"/>
                <w:szCs w:val="16"/>
                <w:lang w:eastAsia="zh-CN"/>
              </w:rPr>
              <w:t>CP-232</w:t>
            </w:r>
            <w:r w:rsidR="00201745" w:rsidRPr="000A0A5F">
              <w:rPr>
                <w:rFonts w:cs="Arial"/>
                <w:color w:val="000000"/>
                <w:sz w:val="16"/>
                <w:szCs w:val="16"/>
                <w:lang w:eastAsia="zh-CN"/>
              </w:rPr>
              <w:t>091</w:t>
            </w:r>
          </w:p>
        </w:tc>
        <w:tc>
          <w:tcPr>
            <w:tcW w:w="524" w:type="dxa"/>
            <w:shd w:val="solid" w:color="FFFFFF" w:fill="auto"/>
          </w:tcPr>
          <w:p w:rsidR="00BC1FE3" w:rsidRPr="000A0A5F" w:rsidRDefault="00BC1FE3" w:rsidP="00BC1FE3">
            <w:pPr>
              <w:pStyle w:val="TAL"/>
              <w:rPr>
                <w:rFonts w:cs="Arial"/>
                <w:color w:val="000000"/>
                <w:sz w:val="16"/>
                <w:szCs w:val="16"/>
                <w:lang w:eastAsia="zh-CN"/>
              </w:rPr>
            </w:pPr>
            <w:r w:rsidRPr="000A0A5F">
              <w:rPr>
                <w:rFonts w:cs="Arial"/>
                <w:color w:val="000000"/>
                <w:sz w:val="16"/>
                <w:szCs w:val="16"/>
                <w:lang w:eastAsia="zh-CN"/>
              </w:rPr>
              <w:t>0738</w:t>
            </w:r>
          </w:p>
        </w:tc>
        <w:tc>
          <w:tcPr>
            <w:tcW w:w="424" w:type="dxa"/>
            <w:shd w:val="solid" w:color="FFFFFF" w:fill="auto"/>
          </w:tcPr>
          <w:p w:rsidR="00BC1FE3" w:rsidRPr="000A0A5F" w:rsidRDefault="00BC1FE3" w:rsidP="00BC1FE3">
            <w:pPr>
              <w:pStyle w:val="TAR"/>
              <w:rPr>
                <w:rFonts w:cs="Arial"/>
                <w:color w:val="000000"/>
                <w:sz w:val="16"/>
                <w:szCs w:val="16"/>
                <w:lang w:eastAsia="zh-CN"/>
              </w:rPr>
            </w:pPr>
          </w:p>
        </w:tc>
        <w:tc>
          <w:tcPr>
            <w:tcW w:w="424" w:type="dxa"/>
            <w:shd w:val="solid" w:color="FFFFFF" w:fill="auto"/>
          </w:tcPr>
          <w:p w:rsidR="00BC1FE3" w:rsidRPr="000A0A5F" w:rsidRDefault="00BC1FE3" w:rsidP="00BC1FE3">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BC1FE3" w:rsidRPr="000A0A5F" w:rsidRDefault="00BC1FE3" w:rsidP="00BC1FE3">
            <w:pPr>
              <w:pStyle w:val="TAL"/>
              <w:rPr>
                <w:sz w:val="16"/>
              </w:rPr>
            </w:pPr>
            <w:r w:rsidRPr="000A0A5F">
              <w:rPr>
                <w:sz w:val="16"/>
              </w:rPr>
              <w:t>Corrections on the roaming status report</w:t>
            </w:r>
          </w:p>
        </w:tc>
        <w:tc>
          <w:tcPr>
            <w:tcW w:w="707" w:type="dxa"/>
            <w:shd w:val="solid" w:color="FFFFFF" w:fill="auto"/>
          </w:tcPr>
          <w:p w:rsidR="00BC1FE3" w:rsidRPr="000A0A5F" w:rsidRDefault="00BC1FE3" w:rsidP="00BC1FE3">
            <w:pPr>
              <w:pStyle w:val="TAC"/>
              <w:rPr>
                <w:rFonts w:cs="Arial"/>
                <w:color w:val="000000"/>
                <w:sz w:val="16"/>
                <w:szCs w:val="16"/>
                <w:lang w:eastAsia="zh-CN"/>
              </w:rPr>
            </w:pPr>
            <w:r w:rsidRPr="000A0A5F">
              <w:rPr>
                <w:rFonts w:cs="Arial"/>
                <w:color w:val="000000"/>
                <w:sz w:val="16"/>
                <w:szCs w:val="16"/>
                <w:lang w:eastAsia="zh-CN"/>
              </w:rPr>
              <w:t>18.3.0</w:t>
            </w:r>
          </w:p>
        </w:tc>
      </w:tr>
      <w:tr w:rsidR="00BC1FE3" w:rsidRPr="000A0A5F" w:rsidTr="00274CFF">
        <w:tc>
          <w:tcPr>
            <w:tcW w:w="798" w:type="dxa"/>
            <w:shd w:val="solid" w:color="FFFFFF" w:fill="auto"/>
          </w:tcPr>
          <w:p w:rsidR="00BC1FE3" w:rsidRPr="000A0A5F" w:rsidRDefault="00BC1FE3" w:rsidP="00BC1FE3">
            <w:pPr>
              <w:pStyle w:val="TAC"/>
              <w:rPr>
                <w:rFonts w:cs="Arial"/>
                <w:color w:val="000000"/>
                <w:sz w:val="16"/>
                <w:szCs w:val="16"/>
                <w:lang w:eastAsia="zh-CN"/>
              </w:rPr>
            </w:pPr>
            <w:r w:rsidRPr="000A0A5F">
              <w:rPr>
                <w:rFonts w:cs="Arial"/>
                <w:color w:val="000000"/>
                <w:sz w:val="16"/>
                <w:szCs w:val="16"/>
                <w:lang w:eastAsia="zh-CN"/>
              </w:rPr>
              <w:t>2023-09</w:t>
            </w:r>
          </w:p>
        </w:tc>
        <w:tc>
          <w:tcPr>
            <w:tcW w:w="797" w:type="dxa"/>
            <w:shd w:val="solid" w:color="FFFFFF" w:fill="auto"/>
          </w:tcPr>
          <w:p w:rsidR="00BC1FE3" w:rsidRPr="000A0A5F" w:rsidRDefault="00BC1FE3" w:rsidP="00BC1FE3">
            <w:pPr>
              <w:pStyle w:val="TAC"/>
              <w:rPr>
                <w:rFonts w:cs="Arial"/>
                <w:color w:val="000000"/>
                <w:sz w:val="16"/>
                <w:szCs w:val="16"/>
                <w:lang w:eastAsia="zh-CN"/>
              </w:rPr>
            </w:pPr>
            <w:r w:rsidRPr="000A0A5F">
              <w:rPr>
                <w:rFonts w:cs="Arial"/>
                <w:color w:val="000000"/>
                <w:sz w:val="16"/>
                <w:szCs w:val="16"/>
                <w:lang w:eastAsia="zh-CN"/>
              </w:rPr>
              <w:t>CT#101</w:t>
            </w:r>
          </w:p>
        </w:tc>
        <w:tc>
          <w:tcPr>
            <w:tcW w:w="1088" w:type="dxa"/>
            <w:shd w:val="solid" w:color="FFFFFF" w:fill="auto"/>
          </w:tcPr>
          <w:p w:rsidR="00BC1FE3" w:rsidRPr="000A0A5F" w:rsidRDefault="00BC1FE3" w:rsidP="00BC1FE3">
            <w:pPr>
              <w:pStyle w:val="TAC"/>
              <w:rPr>
                <w:rFonts w:cs="Arial"/>
                <w:color w:val="000000"/>
                <w:sz w:val="16"/>
                <w:szCs w:val="16"/>
                <w:lang w:eastAsia="zh-CN"/>
              </w:rPr>
            </w:pPr>
            <w:r w:rsidRPr="000A0A5F">
              <w:rPr>
                <w:rFonts w:cs="Arial"/>
                <w:color w:val="000000"/>
                <w:sz w:val="16"/>
                <w:szCs w:val="16"/>
                <w:lang w:eastAsia="zh-CN"/>
              </w:rPr>
              <w:t>CP-232</w:t>
            </w:r>
            <w:r w:rsidR="00201745" w:rsidRPr="000A0A5F">
              <w:rPr>
                <w:rFonts w:cs="Arial"/>
                <w:color w:val="000000"/>
                <w:sz w:val="16"/>
                <w:szCs w:val="16"/>
                <w:lang w:eastAsia="zh-CN"/>
              </w:rPr>
              <w:t>084</w:t>
            </w:r>
          </w:p>
        </w:tc>
        <w:tc>
          <w:tcPr>
            <w:tcW w:w="524" w:type="dxa"/>
            <w:shd w:val="solid" w:color="FFFFFF" w:fill="auto"/>
          </w:tcPr>
          <w:p w:rsidR="00BC1FE3" w:rsidRPr="000A0A5F" w:rsidRDefault="00BC1FE3" w:rsidP="00BC1FE3">
            <w:pPr>
              <w:pStyle w:val="TAL"/>
              <w:rPr>
                <w:rFonts w:cs="Arial"/>
                <w:color w:val="000000"/>
                <w:sz w:val="16"/>
                <w:szCs w:val="16"/>
                <w:lang w:eastAsia="zh-CN"/>
              </w:rPr>
            </w:pPr>
            <w:r w:rsidRPr="000A0A5F">
              <w:rPr>
                <w:rFonts w:cs="Arial"/>
                <w:color w:val="000000"/>
                <w:sz w:val="16"/>
                <w:szCs w:val="16"/>
                <w:lang w:eastAsia="zh-CN"/>
              </w:rPr>
              <w:t>0739</w:t>
            </w:r>
          </w:p>
        </w:tc>
        <w:tc>
          <w:tcPr>
            <w:tcW w:w="424" w:type="dxa"/>
            <w:shd w:val="solid" w:color="FFFFFF" w:fill="auto"/>
          </w:tcPr>
          <w:p w:rsidR="00BC1FE3" w:rsidRPr="000A0A5F" w:rsidRDefault="00BC1FE3" w:rsidP="00BC1FE3">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BC1FE3" w:rsidRPr="000A0A5F" w:rsidRDefault="00BC1FE3" w:rsidP="00BC1FE3">
            <w:pPr>
              <w:pStyle w:val="TAC"/>
              <w:rPr>
                <w:rFonts w:cs="Arial"/>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BC1FE3" w:rsidRPr="000A0A5F" w:rsidRDefault="00BC1FE3" w:rsidP="00BC1FE3">
            <w:pPr>
              <w:pStyle w:val="TAL"/>
              <w:rPr>
                <w:sz w:val="16"/>
              </w:rPr>
            </w:pPr>
            <w:r w:rsidRPr="000A0A5F">
              <w:rPr>
                <w:sz w:val="16"/>
              </w:rPr>
              <w:t>Subscription to Round-Trip delay over two service data flows</w:t>
            </w:r>
          </w:p>
        </w:tc>
        <w:tc>
          <w:tcPr>
            <w:tcW w:w="707" w:type="dxa"/>
            <w:shd w:val="solid" w:color="FFFFFF" w:fill="auto"/>
          </w:tcPr>
          <w:p w:rsidR="00BC1FE3" w:rsidRPr="000A0A5F" w:rsidRDefault="00BC1FE3" w:rsidP="00BC1FE3">
            <w:pPr>
              <w:pStyle w:val="TAC"/>
              <w:rPr>
                <w:rFonts w:cs="Arial"/>
                <w:color w:val="000000"/>
                <w:sz w:val="16"/>
                <w:szCs w:val="16"/>
                <w:lang w:eastAsia="zh-CN"/>
              </w:rPr>
            </w:pPr>
            <w:r w:rsidRPr="000A0A5F">
              <w:rPr>
                <w:rFonts w:cs="Arial"/>
                <w:color w:val="000000"/>
                <w:sz w:val="16"/>
                <w:szCs w:val="16"/>
                <w:lang w:eastAsia="zh-CN"/>
              </w:rPr>
              <w:t>18.3.0</w:t>
            </w:r>
          </w:p>
        </w:tc>
      </w:tr>
      <w:tr w:rsidR="00BC1FE3" w:rsidRPr="000A0A5F" w:rsidTr="00274CFF">
        <w:tc>
          <w:tcPr>
            <w:tcW w:w="798" w:type="dxa"/>
            <w:shd w:val="solid" w:color="FFFFFF" w:fill="auto"/>
          </w:tcPr>
          <w:p w:rsidR="00BC1FE3" w:rsidRPr="000A0A5F" w:rsidRDefault="00BC1FE3" w:rsidP="00BC1FE3">
            <w:pPr>
              <w:pStyle w:val="TAC"/>
              <w:rPr>
                <w:rFonts w:cs="Arial"/>
                <w:color w:val="000000"/>
                <w:sz w:val="16"/>
                <w:szCs w:val="16"/>
                <w:lang w:eastAsia="zh-CN"/>
              </w:rPr>
            </w:pPr>
            <w:r w:rsidRPr="000A0A5F">
              <w:rPr>
                <w:rFonts w:cs="Arial"/>
                <w:color w:val="000000"/>
                <w:sz w:val="16"/>
                <w:szCs w:val="16"/>
                <w:lang w:eastAsia="zh-CN"/>
              </w:rPr>
              <w:t>2023-09</w:t>
            </w:r>
          </w:p>
        </w:tc>
        <w:tc>
          <w:tcPr>
            <w:tcW w:w="797" w:type="dxa"/>
            <w:shd w:val="solid" w:color="FFFFFF" w:fill="auto"/>
          </w:tcPr>
          <w:p w:rsidR="00BC1FE3" w:rsidRPr="000A0A5F" w:rsidRDefault="00BC1FE3" w:rsidP="00BC1FE3">
            <w:pPr>
              <w:pStyle w:val="TAC"/>
              <w:rPr>
                <w:rFonts w:cs="Arial"/>
                <w:color w:val="000000"/>
                <w:sz w:val="16"/>
                <w:szCs w:val="16"/>
                <w:lang w:eastAsia="zh-CN"/>
              </w:rPr>
            </w:pPr>
            <w:r w:rsidRPr="000A0A5F">
              <w:rPr>
                <w:rFonts w:cs="Arial"/>
                <w:color w:val="000000"/>
                <w:sz w:val="16"/>
                <w:szCs w:val="16"/>
                <w:lang w:eastAsia="zh-CN"/>
              </w:rPr>
              <w:t>CT#101</w:t>
            </w:r>
          </w:p>
        </w:tc>
        <w:tc>
          <w:tcPr>
            <w:tcW w:w="1088" w:type="dxa"/>
            <w:shd w:val="solid" w:color="FFFFFF" w:fill="auto"/>
          </w:tcPr>
          <w:p w:rsidR="00BC1FE3" w:rsidRPr="000A0A5F" w:rsidRDefault="00BC1FE3" w:rsidP="00BC1FE3">
            <w:pPr>
              <w:pStyle w:val="TAC"/>
              <w:rPr>
                <w:rFonts w:cs="Arial"/>
                <w:color w:val="000000"/>
                <w:sz w:val="16"/>
                <w:szCs w:val="16"/>
                <w:lang w:eastAsia="zh-CN"/>
              </w:rPr>
            </w:pPr>
            <w:r w:rsidRPr="000A0A5F">
              <w:rPr>
                <w:rFonts w:cs="Arial"/>
                <w:color w:val="000000"/>
                <w:sz w:val="16"/>
                <w:szCs w:val="16"/>
                <w:lang w:eastAsia="zh-CN"/>
              </w:rPr>
              <w:t>CP-232</w:t>
            </w:r>
            <w:r w:rsidR="00201745" w:rsidRPr="000A0A5F">
              <w:rPr>
                <w:rFonts w:cs="Arial"/>
                <w:color w:val="000000"/>
                <w:sz w:val="16"/>
                <w:szCs w:val="16"/>
                <w:lang w:eastAsia="zh-CN"/>
              </w:rPr>
              <w:t>158</w:t>
            </w:r>
          </w:p>
        </w:tc>
        <w:tc>
          <w:tcPr>
            <w:tcW w:w="524" w:type="dxa"/>
            <w:shd w:val="solid" w:color="FFFFFF" w:fill="auto"/>
          </w:tcPr>
          <w:p w:rsidR="00BC1FE3" w:rsidRPr="000A0A5F" w:rsidRDefault="00BC1FE3" w:rsidP="00BC1FE3">
            <w:pPr>
              <w:pStyle w:val="TAL"/>
              <w:rPr>
                <w:rFonts w:cs="Arial"/>
                <w:color w:val="000000"/>
                <w:sz w:val="16"/>
                <w:szCs w:val="16"/>
                <w:lang w:eastAsia="zh-CN"/>
              </w:rPr>
            </w:pPr>
            <w:r w:rsidRPr="000A0A5F">
              <w:rPr>
                <w:rFonts w:cs="Arial"/>
                <w:color w:val="000000"/>
                <w:sz w:val="16"/>
                <w:szCs w:val="16"/>
                <w:lang w:eastAsia="zh-CN"/>
              </w:rPr>
              <w:t>0740</w:t>
            </w:r>
          </w:p>
        </w:tc>
        <w:tc>
          <w:tcPr>
            <w:tcW w:w="424" w:type="dxa"/>
            <w:shd w:val="solid" w:color="FFFFFF" w:fill="auto"/>
          </w:tcPr>
          <w:p w:rsidR="00BC1FE3" w:rsidRPr="000A0A5F" w:rsidRDefault="00BC1FE3" w:rsidP="00BC1FE3">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BC1FE3" w:rsidRPr="000A0A5F" w:rsidRDefault="00BC1FE3" w:rsidP="00BC1FE3">
            <w:pPr>
              <w:pStyle w:val="TAC"/>
              <w:rPr>
                <w:rFonts w:cs="Arial"/>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BC1FE3" w:rsidRPr="000A0A5F" w:rsidRDefault="00BC1FE3" w:rsidP="00BC1FE3">
            <w:pPr>
              <w:pStyle w:val="TAL"/>
              <w:rPr>
                <w:sz w:val="16"/>
              </w:rPr>
            </w:pPr>
            <w:r w:rsidRPr="000A0A5F">
              <w:rPr>
                <w:sz w:val="16"/>
              </w:rPr>
              <w:t>Subscription to data rate monitoring</w:t>
            </w:r>
          </w:p>
        </w:tc>
        <w:tc>
          <w:tcPr>
            <w:tcW w:w="707" w:type="dxa"/>
            <w:shd w:val="solid" w:color="FFFFFF" w:fill="auto"/>
          </w:tcPr>
          <w:p w:rsidR="00BC1FE3" w:rsidRPr="000A0A5F" w:rsidRDefault="00BC1FE3" w:rsidP="00BC1FE3">
            <w:pPr>
              <w:pStyle w:val="TAC"/>
              <w:rPr>
                <w:rFonts w:cs="Arial"/>
                <w:color w:val="000000"/>
                <w:sz w:val="16"/>
                <w:szCs w:val="16"/>
                <w:lang w:eastAsia="zh-CN"/>
              </w:rPr>
            </w:pPr>
            <w:r w:rsidRPr="000A0A5F">
              <w:rPr>
                <w:rFonts w:cs="Arial"/>
                <w:color w:val="000000"/>
                <w:sz w:val="16"/>
                <w:szCs w:val="16"/>
                <w:lang w:eastAsia="zh-CN"/>
              </w:rPr>
              <w:t>18.3.0</w:t>
            </w:r>
          </w:p>
        </w:tc>
      </w:tr>
      <w:tr w:rsidR="00BC1FE3" w:rsidRPr="000A0A5F" w:rsidTr="00274CFF">
        <w:tc>
          <w:tcPr>
            <w:tcW w:w="798" w:type="dxa"/>
            <w:shd w:val="solid" w:color="FFFFFF" w:fill="auto"/>
          </w:tcPr>
          <w:p w:rsidR="00BC1FE3" w:rsidRPr="000A0A5F" w:rsidRDefault="00BC1FE3" w:rsidP="00BC1FE3">
            <w:pPr>
              <w:pStyle w:val="TAC"/>
              <w:rPr>
                <w:rFonts w:cs="Arial"/>
                <w:color w:val="000000"/>
                <w:sz w:val="16"/>
                <w:szCs w:val="16"/>
                <w:lang w:eastAsia="zh-CN"/>
              </w:rPr>
            </w:pPr>
            <w:r w:rsidRPr="000A0A5F">
              <w:rPr>
                <w:rFonts w:cs="Arial"/>
                <w:color w:val="000000"/>
                <w:sz w:val="16"/>
                <w:szCs w:val="16"/>
                <w:lang w:eastAsia="zh-CN"/>
              </w:rPr>
              <w:t>2023-09</w:t>
            </w:r>
          </w:p>
        </w:tc>
        <w:tc>
          <w:tcPr>
            <w:tcW w:w="797" w:type="dxa"/>
            <w:shd w:val="solid" w:color="FFFFFF" w:fill="auto"/>
          </w:tcPr>
          <w:p w:rsidR="00BC1FE3" w:rsidRPr="000A0A5F" w:rsidRDefault="00BC1FE3" w:rsidP="00BC1FE3">
            <w:pPr>
              <w:pStyle w:val="TAC"/>
              <w:rPr>
                <w:rFonts w:cs="Arial"/>
                <w:color w:val="000000"/>
                <w:sz w:val="16"/>
                <w:szCs w:val="16"/>
                <w:lang w:eastAsia="zh-CN"/>
              </w:rPr>
            </w:pPr>
            <w:r w:rsidRPr="000A0A5F">
              <w:rPr>
                <w:rFonts w:cs="Arial"/>
                <w:color w:val="000000"/>
                <w:sz w:val="16"/>
                <w:szCs w:val="16"/>
                <w:lang w:eastAsia="zh-CN"/>
              </w:rPr>
              <w:t>CT#101</w:t>
            </w:r>
          </w:p>
        </w:tc>
        <w:tc>
          <w:tcPr>
            <w:tcW w:w="1088" w:type="dxa"/>
            <w:shd w:val="solid" w:color="FFFFFF" w:fill="auto"/>
          </w:tcPr>
          <w:p w:rsidR="00BC1FE3" w:rsidRPr="000A0A5F" w:rsidRDefault="00BC1FE3" w:rsidP="00BC1FE3">
            <w:pPr>
              <w:pStyle w:val="TAC"/>
              <w:rPr>
                <w:rFonts w:cs="Arial"/>
                <w:color w:val="000000"/>
                <w:sz w:val="16"/>
                <w:szCs w:val="16"/>
                <w:lang w:eastAsia="zh-CN"/>
              </w:rPr>
            </w:pPr>
            <w:r w:rsidRPr="000A0A5F">
              <w:rPr>
                <w:rFonts w:cs="Arial"/>
                <w:color w:val="000000"/>
                <w:sz w:val="16"/>
                <w:szCs w:val="16"/>
                <w:lang w:eastAsia="zh-CN"/>
              </w:rPr>
              <w:t>CP-232</w:t>
            </w:r>
            <w:r w:rsidR="00201745" w:rsidRPr="000A0A5F">
              <w:rPr>
                <w:rFonts w:cs="Arial"/>
                <w:color w:val="000000"/>
                <w:sz w:val="16"/>
                <w:szCs w:val="16"/>
                <w:lang w:eastAsia="zh-CN"/>
              </w:rPr>
              <w:t>158</w:t>
            </w:r>
          </w:p>
        </w:tc>
        <w:tc>
          <w:tcPr>
            <w:tcW w:w="524" w:type="dxa"/>
            <w:shd w:val="solid" w:color="FFFFFF" w:fill="auto"/>
          </w:tcPr>
          <w:p w:rsidR="00BC1FE3" w:rsidRPr="000A0A5F" w:rsidRDefault="00BC1FE3" w:rsidP="00BC1FE3">
            <w:pPr>
              <w:pStyle w:val="TAL"/>
              <w:rPr>
                <w:rFonts w:cs="Arial"/>
                <w:color w:val="000000"/>
                <w:sz w:val="16"/>
                <w:szCs w:val="16"/>
                <w:lang w:eastAsia="zh-CN"/>
              </w:rPr>
            </w:pPr>
            <w:r w:rsidRPr="000A0A5F">
              <w:rPr>
                <w:rFonts w:cs="Arial"/>
                <w:color w:val="000000"/>
                <w:sz w:val="16"/>
                <w:szCs w:val="16"/>
                <w:lang w:eastAsia="zh-CN"/>
              </w:rPr>
              <w:t>0741</w:t>
            </w:r>
          </w:p>
        </w:tc>
        <w:tc>
          <w:tcPr>
            <w:tcW w:w="424" w:type="dxa"/>
            <w:shd w:val="solid" w:color="FFFFFF" w:fill="auto"/>
          </w:tcPr>
          <w:p w:rsidR="00BC1FE3" w:rsidRPr="000A0A5F" w:rsidRDefault="00BC1FE3" w:rsidP="00BC1FE3">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BC1FE3" w:rsidRPr="000A0A5F" w:rsidRDefault="00BC1FE3" w:rsidP="00BC1FE3">
            <w:pPr>
              <w:pStyle w:val="TAC"/>
              <w:rPr>
                <w:rFonts w:cs="Arial"/>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BC1FE3" w:rsidRPr="000A0A5F" w:rsidRDefault="00BC1FE3" w:rsidP="00BC1FE3">
            <w:pPr>
              <w:pStyle w:val="TAL"/>
              <w:rPr>
                <w:sz w:val="16"/>
              </w:rPr>
            </w:pPr>
            <w:r w:rsidRPr="000A0A5F">
              <w:rPr>
                <w:sz w:val="16"/>
              </w:rPr>
              <w:t>Support of the congestion information measurement and reporting</w:t>
            </w:r>
          </w:p>
        </w:tc>
        <w:tc>
          <w:tcPr>
            <w:tcW w:w="707" w:type="dxa"/>
            <w:shd w:val="solid" w:color="FFFFFF" w:fill="auto"/>
          </w:tcPr>
          <w:p w:rsidR="00BC1FE3" w:rsidRPr="000A0A5F" w:rsidRDefault="00BC1FE3" w:rsidP="00BC1FE3">
            <w:pPr>
              <w:pStyle w:val="TAC"/>
              <w:rPr>
                <w:rFonts w:cs="Arial"/>
                <w:color w:val="000000"/>
                <w:sz w:val="16"/>
                <w:szCs w:val="16"/>
                <w:lang w:eastAsia="zh-CN"/>
              </w:rPr>
            </w:pPr>
            <w:r w:rsidRPr="000A0A5F">
              <w:rPr>
                <w:rFonts w:cs="Arial"/>
                <w:color w:val="000000"/>
                <w:sz w:val="16"/>
                <w:szCs w:val="16"/>
                <w:lang w:eastAsia="zh-CN"/>
              </w:rPr>
              <w:t>18.3.0</w:t>
            </w:r>
          </w:p>
        </w:tc>
      </w:tr>
      <w:tr w:rsidR="00BC1FE3" w:rsidRPr="000A0A5F" w:rsidTr="00274CFF">
        <w:tc>
          <w:tcPr>
            <w:tcW w:w="798" w:type="dxa"/>
            <w:shd w:val="solid" w:color="FFFFFF" w:fill="auto"/>
          </w:tcPr>
          <w:p w:rsidR="00BC1FE3" w:rsidRPr="000A0A5F" w:rsidRDefault="00BC1FE3" w:rsidP="00BC1FE3">
            <w:pPr>
              <w:pStyle w:val="TAC"/>
              <w:rPr>
                <w:rFonts w:cs="Arial"/>
                <w:color w:val="000000"/>
                <w:sz w:val="16"/>
                <w:szCs w:val="16"/>
                <w:lang w:eastAsia="zh-CN"/>
              </w:rPr>
            </w:pPr>
            <w:r w:rsidRPr="000A0A5F">
              <w:rPr>
                <w:rFonts w:cs="Arial"/>
                <w:color w:val="000000"/>
                <w:sz w:val="16"/>
                <w:szCs w:val="16"/>
                <w:lang w:eastAsia="zh-CN"/>
              </w:rPr>
              <w:t>2023-09</w:t>
            </w:r>
          </w:p>
        </w:tc>
        <w:tc>
          <w:tcPr>
            <w:tcW w:w="797" w:type="dxa"/>
            <w:shd w:val="solid" w:color="FFFFFF" w:fill="auto"/>
          </w:tcPr>
          <w:p w:rsidR="00BC1FE3" w:rsidRPr="000A0A5F" w:rsidRDefault="00BC1FE3" w:rsidP="00BC1FE3">
            <w:pPr>
              <w:pStyle w:val="TAC"/>
              <w:rPr>
                <w:rFonts w:cs="Arial"/>
                <w:color w:val="000000"/>
                <w:sz w:val="16"/>
                <w:szCs w:val="16"/>
                <w:lang w:eastAsia="zh-CN"/>
              </w:rPr>
            </w:pPr>
            <w:r w:rsidRPr="000A0A5F">
              <w:rPr>
                <w:rFonts w:cs="Arial"/>
                <w:color w:val="000000"/>
                <w:sz w:val="16"/>
                <w:szCs w:val="16"/>
                <w:lang w:eastAsia="zh-CN"/>
              </w:rPr>
              <w:t>CT#101</w:t>
            </w:r>
          </w:p>
        </w:tc>
        <w:tc>
          <w:tcPr>
            <w:tcW w:w="1088" w:type="dxa"/>
            <w:shd w:val="solid" w:color="FFFFFF" w:fill="auto"/>
          </w:tcPr>
          <w:p w:rsidR="00BC1FE3" w:rsidRPr="000A0A5F" w:rsidRDefault="00BC1FE3" w:rsidP="00BC1FE3">
            <w:pPr>
              <w:pStyle w:val="TAC"/>
              <w:rPr>
                <w:rFonts w:cs="Arial"/>
                <w:color w:val="000000"/>
                <w:sz w:val="16"/>
                <w:szCs w:val="16"/>
                <w:lang w:eastAsia="zh-CN"/>
              </w:rPr>
            </w:pPr>
            <w:r w:rsidRPr="000A0A5F">
              <w:rPr>
                <w:rFonts w:cs="Arial"/>
                <w:color w:val="000000"/>
                <w:sz w:val="16"/>
                <w:szCs w:val="16"/>
                <w:lang w:eastAsia="zh-CN"/>
              </w:rPr>
              <w:t>CP-232</w:t>
            </w:r>
            <w:r w:rsidR="00201745" w:rsidRPr="000A0A5F">
              <w:rPr>
                <w:rFonts w:cs="Arial"/>
                <w:color w:val="000000"/>
                <w:sz w:val="16"/>
                <w:szCs w:val="16"/>
                <w:lang w:eastAsia="zh-CN"/>
              </w:rPr>
              <w:t>158</w:t>
            </w:r>
          </w:p>
        </w:tc>
        <w:tc>
          <w:tcPr>
            <w:tcW w:w="524" w:type="dxa"/>
            <w:shd w:val="solid" w:color="FFFFFF" w:fill="auto"/>
          </w:tcPr>
          <w:p w:rsidR="00BC1FE3" w:rsidRPr="000A0A5F" w:rsidRDefault="00BC1FE3" w:rsidP="00BC1FE3">
            <w:pPr>
              <w:pStyle w:val="TAL"/>
              <w:rPr>
                <w:rFonts w:cs="Arial"/>
                <w:color w:val="000000"/>
                <w:sz w:val="16"/>
                <w:szCs w:val="16"/>
                <w:lang w:eastAsia="zh-CN"/>
              </w:rPr>
            </w:pPr>
            <w:r w:rsidRPr="000A0A5F">
              <w:rPr>
                <w:rFonts w:cs="Arial"/>
                <w:color w:val="000000"/>
                <w:sz w:val="16"/>
                <w:szCs w:val="16"/>
                <w:lang w:eastAsia="zh-CN"/>
              </w:rPr>
              <w:t>0742</w:t>
            </w:r>
          </w:p>
        </w:tc>
        <w:tc>
          <w:tcPr>
            <w:tcW w:w="424" w:type="dxa"/>
            <w:shd w:val="solid" w:color="FFFFFF" w:fill="auto"/>
          </w:tcPr>
          <w:p w:rsidR="00BC1FE3" w:rsidRPr="000A0A5F" w:rsidRDefault="00BC1FE3" w:rsidP="00BC1FE3">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BC1FE3" w:rsidRPr="000A0A5F" w:rsidRDefault="00BC1FE3" w:rsidP="00BC1FE3">
            <w:pPr>
              <w:pStyle w:val="TAC"/>
              <w:rPr>
                <w:rFonts w:cs="Arial"/>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BC1FE3" w:rsidRPr="000A0A5F" w:rsidRDefault="00BC1FE3" w:rsidP="00BC1FE3">
            <w:pPr>
              <w:pStyle w:val="TAL"/>
              <w:rPr>
                <w:sz w:val="16"/>
              </w:rPr>
            </w:pPr>
            <w:r w:rsidRPr="000A0A5F">
              <w:rPr>
                <w:sz w:val="16"/>
              </w:rPr>
              <w:t>Support of the Packet Delay Variation monitoring</w:t>
            </w:r>
          </w:p>
        </w:tc>
        <w:tc>
          <w:tcPr>
            <w:tcW w:w="707" w:type="dxa"/>
            <w:shd w:val="solid" w:color="FFFFFF" w:fill="auto"/>
          </w:tcPr>
          <w:p w:rsidR="00BC1FE3" w:rsidRPr="000A0A5F" w:rsidRDefault="00BC1FE3" w:rsidP="00BC1FE3">
            <w:pPr>
              <w:pStyle w:val="TAC"/>
              <w:rPr>
                <w:rFonts w:cs="Arial"/>
                <w:color w:val="000000"/>
                <w:sz w:val="16"/>
                <w:szCs w:val="16"/>
                <w:lang w:eastAsia="zh-CN"/>
              </w:rPr>
            </w:pPr>
            <w:r w:rsidRPr="000A0A5F">
              <w:rPr>
                <w:rFonts w:cs="Arial"/>
                <w:color w:val="000000"/>
                <w:sz w:val="16"/>
                <w:szCs w:val="16"/>
                <w:lang w:eastAsia="zh-CN"/>
              </w:rPr>
              <w:t>18.3.0</w:t>
            </w:r>
          </w:p>
        </w:tc>
      </w:tr>
      <w:tr w:rsidR="00BC1FE3" w:rsidRPr="000A0A5F" w:rsidTr="00274CFF">
        <w:tc>
          <w:tcPr>
            <w:tcW w:w="798" w:type="dxa"/>
            <w:shd w:val="solid" w:color="FFFFFF" w:fill="auto"/>
          </w:tcPr>
          <w:p w:rsidR="00BC1FE3" w:rsidRPr="000A0A5F" w:rsidRDefault="00BC1FE3" w:rsidP="00BC1FE3">
            <w:pPr>
              <w:pStyle w:val="TAC"/>
              <w:rPr>
                <w:rFonts w:cs="Arial"/>
                <w:color w:val="000000"/>
                <w:sz w:val="16"/>
                <w:szCs w:val="16"/>
                <w:lang w:eastAsia="zh-CN"/>
              </w:rPr>
            </w:pPr>
            <w:r w:rsidRPr="000A0A5F">
              <w:rPr>
                <w:rFonts w:cs="Arial"/>
                <w:color w:val="000000"/>
                <w:sz w:val="16"/>
                <w:szCs w:val="16"/>
                <w:lang w:eastAsia="zh-CN"/>
              </w:rPr>
              <w:t>2023-09</w:t>
            </w:r>
          </w:p>
        </w:tc>
        <w:tc>
          <w:tcPr>
            <w:tcW w:w="797" w:type="dxa"/>
            <w:shd w:val="solid" w:color="FFFFFF" w:fill="auto"/>
          </w:tcPr>
          <w:p w:rsidR="00BC1FE3" w:rsidRPr="000A0A5F" w:rsidRDefault="00BC1FE3" w:rsidP="00BC1FE3">
            <w:pPr>
              <w:pStyle w:val="TAC"/>
              <w:rPr>
                <w:rFonts w:cs="Arial"/>
                <w:color w:val="000000"/>
                <w:sz w:val="16"/>
                <w:szCs w:val="16"/>
                <w:lang w:eastAsia="zh-CN"/>
              </w:rPr>
            </w:pPr>
            <w:r w:rsidRPr="000A0A5F">
              <w:rPr>
                <w:rFonts w:cs="Arial"/>
                <w:color w:val="000000"/>
                <w:sz w:val="16"/>
                <w:szCs w:val="16"/>
                <w:lang w:eastAsia="zh-CN"/>
              </w:rPr>
              <w:t>CT#101</w:t>
            </w:r>
          </w:p>
        </w:tc>
        <w:tc>
          <w:tcPr>
            <w:tcW w:w="1088" w:type="dxa"/>
            <w:shd w:val="solid" w:color="FFFFFF" w:fill="auto"/>
          </w:tcPr>
          <w:p w:rsidR="00BC1FE3" w:rsidRPr="000A0A5F" w:rsidRDefault="00BC1FE3" w:rsidP="00BC1FE3">
            <w:pPr>
              <w:pStyle w:val="TAC"/>
              <w:rPr>
                <w:rFonts w:cs="Arial"/>
                <w:color w:val="000000"/>
                <w:sz w:val="16"/>
                <w:szCs w:val="16"/>
                <w:lang w:eastAsia="zh-CN"/>
              </w:rPr>
            </w:pPr>
            <w:r w:rsidRPr="000A0A5F">
              <w:rPr>
                <w:rFonts w:cs="Arial"/>
                <w:color w:val="000000"/>
                <w:sz w:val="16"/>
                <w:szCs w:val="16"/>
                <w:lang w:eastAsia="zh-CN"/>
              </w:rPr>
              <w:t>CP-232</w:t>
            </w:r>
            <w:r w:rsidR="00201745" w:rsidRPr="000A0A5F">
              <w:rPr>
                <w:rFonts w:cs="Arial"/>
                <w:color w:val="000000"/>
                <w:sz w:val="16"/>
                <w:szCs w:val="16"/>
                <w:lang w:eastAsia="zh-CN"/>
              </w:rPr>
              <w:t>087</w:t>
            </w:r>
          </w:p>
        </w:tc>
        <w:tc>
          <w:tcPr>
            <w:tcW w:w="524" w:type="dxa"/>
            <w:shd w:val="solid" w:color="FFFFFF" w:fill="auto"/>
          </w:tcPr>
          <w:p w:rsidR="00BC1FE3" w:rsidRPr="000A0A5F" w:rsidRDefault="00BC1FE3" w:rsidP="00BC1FE3">
            <w:pPr>
              <w:pStyle w:val="TAL"/>
              <w:rPr>
                <w:rFonts w:cs="Arial"/>
                <w:color w:val="000000"/>
                <w:sz w:val="16"/>
                <w:szCs w:val="16"/>
                <w:lang w:eastAsia="zh-CN"/>
              </w:rPr>
            </w:pPr>
            <w:r w:rsidRPr="000A0A5F">
              <w:rPr>
                <w:rFonts w:cs="Arial"/>
                <w:color w:val="000000"/>
                <w:sz w:val="16"/>
                <w:szCs w:val="16"/>
                <w:lang w:eastAsia="zh-CN"/>
              </w:rPr>
              <w:t>0745</w:t>
            </w:r>
          </w:p>
        </w:tc>
        <w:tc>
          <w:tcPr>
            <w:tcW w:w="424" w:type="dxa"/>
            <w:shd w:val="solid" w:color="FFFFFF" w:fill="auto"/>
          </w:tcPr>
          <w:p w:rsidR="00BC1FE3" w:rsidRPr="000A0A5F" w:rsidRDefault="00BC1FE3" w:rsidP="00BC1FE3">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BC1FE3" w:rsidRPr="000A0A5F" w:rsidRDefault="00BC1FE3" w:rsidP="00BC1FE3">
            <w:pPr>
              <w:pStyle w:val="TAC"/>
              <w:rPr>
                <w:rFonts w:cs="Arial"/>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BC1FE3" w:rsidRPr="000A0A5F" w:rsidRDefault="00BC1FE3" w:rsidP="00BC1FE3">
            <w:pPr>
              <w:pStyle w:val="TAL"/>
              <w:rPr>
                <w:sz w:val="16"/>
              </w:rPr>
            </w:pPr>
            <w:r w:rsidRPr="000A0A5F">
              <w:rPr>
                <w:sz w:val="16"/>
              </w:rPr>
              <w:t>Confidence and accuracy levels for UE behaviour parameters</w:t>
            </w:r>
          </w:p>
        </w:tc>
        <w:tc>
          <w:tcPr>
            <w:tcW w:w="707" w:type="dxa"/>
            <w:shd w:val="solid" w:color="FFFFFF" w:fill="auto"/>
          </w:tcPr>
          <w:p w:rsidR="00BC1FE3" w:rsidRPr="000A0A5F" w:rsidRDefault="00BC1FE3" w:rsidP="00BC1FE3">
            <w:pPr>
              <w:pStyle w:val="TAC"/>
              <w:rPr>
                <w:rFonts w:cs="Arial"/>
                <w:color w:val="000000"/>
                <w:sz w:val="16"/>
                <w:szCs w:val="16"/>
                <w:lang w:eastAsia="zh-CN"/>
              </w:rPr>
            </w:pPr>
            <w:r w:rsidRPr="000A0A5F">
              <w:rPr>
                <w:rFonts w:cs="Arial"/>
                <w:color w:val="000000"/>
                <w:sz w:val="16"/>
                <w:szCs w:val="16"/>
                <w:lang w:eastAsia="zh-CN"/>
              </w:rPr>
              <w:t>18.3.0</w:t>
            </w:r>
          </w:p>
        </w:tc>
      </w:tr>
      <w:tr w:rsidR="00BC1FE3" w:rsidRPr="000A0A5F" w:rsidTr="00274CFF">
        <w:tc>
          <w:tcPr>
            <w:tcW w:w="798" w:type="dxa"/>
            <w:shd w:val="solid" w:color="FFFFFF" w:fill="auto"/>
          </w:tcPr>
          <w:p w:rsidR="00BC1FE3" w:rsidRPr="000A0A5F" w:rsidRDefault="00BC1FE3" w:rsidP="00BC1FE3">
            <w:pPr>
              <w:pStyle w:val="TAC"/>
              <w:rPr>
                <w:rFonts w:cs="Arial"/>
                <w:color w:val="000000"/>
                <w:sz w:val="16"/>
                <w:szCs w:val="16"/>
                <w:lang w:eastAsia="zh-CN"/>
              </w:rPr>
            </w:pPr>
            <w:r w:rsidRPr="000A0A5F">
              <w:rPr>
                <w:rFonts w:cs="Arial"/>
                <w:color w:val="000000"/>
                <w:sz w:val="16"/>
                <w:szCs w:val="16"/>
                <w:lang w:eastAsia="zh-CN"/>
              </w:rPr>
              <w:t>2023-09</w:t>
            </w:r>
          </w:p>
        </w:tc>
        <w:tc>
          <w:tcPr>
            <w:tcW w:w="797" w:type="dxa"/>
            <w:shd w:val="solid" w:color="FFFFFF" w:fill="auto"/>
          </w:tcPr>
          <w:p w:rsidR="00BC1FE3" w:rsidRPr="000A0A5F" w:rsidRDefault="00BC1FE3" w:rsidP="00BC1FE3">
            <w:pPr>
              <w:pStyle w:val="TAC"/>
              <w:rPr>
                <w:rFonts w:cs="Arial"/>
                <w:color w:val="000000"/>
                <w:sz w:val="16"/>
                <w:szCs w:val="16"/>
                <w:lang w:eastAsia="zh-CN"/>
              </w:rPr>
            </w:pPr>
            <w:r w:rsidRPr="000A0A5F">
              <w:rPr>
                <w:rFonts w:cs="Arial"/>
                <w:color w:val="000000"/>
                <w:sz w:val="16"/>
                <w:szCs w:val="16"/>
                <w:lang w:eastAsia="zh-CN"/>
              </w:rPr>
              <w:t>CT#101</w:t>
            </w:r>
          </w:p>
        </w:tc>
        <w:tc>
          <w:tcPr>
            <w:tcW w:w="1088" w:type="dxa"/>
            <w:shd w:val="solid" w:color="FFFFFF" w:fill="auto"/>
          </w:tcPr>
          <w:p w:rsidR="00BC1FE3" w:rsidRPr="000A0A5F" w:rsidRDefault="00BC1FE3" w:rsidP="00BC1FE3">
            <w:pPr>
              <w:pStyle w:val="TAC"/>
              <w:rPr>
                <w:rFonts w:cs="Arial"/>
                <w:color w:val="000000"/>
                <w:sz w:val="16"/>
                <w:szCs w:val="16"/>
                <w:lang w:eastAsia="zh-CN"/>
              </w:rPr>
            </w:pPr>
            <w:r w:rsidRPr="000A0A5F">
              <w:rPr>
                <w:rFonts w:cs="Arial"/>
                <w:color w:val="000000"/>
                <w:sz w:val="16"/>
                <w:szCs w:val="16"/>
                <w:lang w:eastAsia="zh-CN"/>
              </w:rPr>
              <w:t>CP-232</w:t>
            </w:r>
            <w:r w:rsidR="00201745" w:rsidRPr="000A0A5F">
              <w:rPr>
                <w:rFonts w:cs="Arial"/>
                <w:color w:val="000000"/>
                <w:sz w:val="16"/>
                <w:szCs w:val="16"/>
                <w:lang w:eastAsia="zh-CN"/>
              </w:rPr>
              <w:t>103</w:t>
            </w:r>
          </w:p>
        </w:tc>
        <w:tc>
          <w:tcPr>
            <w:tcW w:w="524" w:type="dxa"/>
            <w:shd w:val="solid" w:color="FFFFFF" w:fill="auto"/>
          </w:tcPr>
          <w:p w:rsidR="00BC1FE3" w:rsidRPr="000A0A5F" w:rsidRDefault="00BC1FE3" w:rsidP="00BC1FE3">
            <w:pPr>
              <w:pStyle w:val="TAL"/>
              <w:rPr>
                <w:rFonts w:cs="Arial"/>
                <w:color w:val="000000"/>
                <w:sz w:val="16"/>
                <w:szCs w:val="16"/>
                <w:lang w:eastAsia="zh-CN"/>
              </w:rPr>
            </w:pPr>
            <w:r w:rsidRPr="000A0A5F">
              <w:rPr>
                <w:rFonts w:cs="Arial"/>
                <w:color w:val="000000"/>
                <w:sz w:val="16"/>
                <w:szCs w:val="16"/>
                <w:lang w:eastAsia="zh-CN"/>
              </w:rPr>
              <w:t>0746</w:t>
            </w:r>
          </w:p>
        </w:tc>
        <w:tc>
          <w:tcPr>
            <w:tcW w:w="424" w:type="dxa"/>
            <w:shd w:val="solid" w:color="FFFFFF" w:fill="auto"/>
          </w:tcPr>
          <w:p w:rsidR="00BC1FE3" w:rsidRPr="000A0A5F" w:rsidRDefault="00BC1FE3" w:rsidP="00BC1FE3">
            <w:pPr>
              <w:pStyle w:val="TAR"/>
              <w:rPr>
                <w:rFonts w:cs="Arial"/>
                <w:color w:val="000000"/>
                <w:sz w:val="16"/>
                <w:szCs w:val="16"/>
                <w:lang w:eastAsia="zh-CN"/>
              </w:rPr>
            </w:pPr>
            <w:r w:rsidRPr="000A0A5F">
              <w:rPr>
                <w:rFonts w:cs="Arial"/>
                <w:color w:val="000000"/>
                <w:sz w:val="16"/>
                <w:szCs w:val="16"/>
                <w:lang w:eastAsia="zh-CN"/>
              </w:rPr>
              <w:t>2</w:t>
            </w:r>
          </w:p>
        </w:tc>
        <w:tc>
          <w:tcPr>
            <w:tcW w:w="424" w:type="dxa"/>
            <w:shd w:val="solid" w:color="FFFFFF" w:fill="auto"/>
          </w:tcPr>
          <w:p w:rsidR="00BC1FE3" w:rsidRPr="000A0A5F" w:rsidRDefault="00BC1FE3" w:rsidP="00BC1FE3">
            <w:pPr>
              <w:pStyle w:val="TAC"/>
              <w:rPr>
                <w:rFonts w:cs="Arial"/>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BC1FE3" w:rsidRPr="000A0A5F" w:rsidRDefault="00BC1FE3" w:rsidP="00BC1FE3">
            <w:pPr>
              <w:pStyle w:val="TAL"/>
              <w:rPr>
                <w:sz w:val="16"/>
              </w:rPr>
            </w:pPr>
            <w:r w:rsidRPr="000A0A5F">
              <w:rPr>
                <w:sz w:val="16"/>
              </w:rPr>
              <w:t>Location exposure for Ranging_SL</w:t>
            </w:r>
          </w:p>
        </w:tc>
        <w:tc>
          <w:tcPr>
            <w:tcW w:w="707" w:type="dxa"/>
            <w:shd w:val="solid" w:color="FFFFFF" w:fill="auto"/>
          </w:tcPr>
          <w:p w:rsidR="00BC1FE3" w:rsidRPr="000A0A5F" w:rsidRDefault="00BC1FE3" w:rsidP="00BC1FE3">
            <w:pPr>
              <w:pStyle w:val="TAC"/>
              <w:rPr>
                <w:rFonts w:cs="Arial"/>
                <w:color w:val="000000"/>
                <w:sz w:val="16"/>
                <w:szCs w:val="16"/>
                <w:lang w:eastAsia="zh-CN"/>
              </w:rPr>
            </w:pPr>
            <w:r w:rsidRPr="000A0A5F">
              <w:rPr>
                <w:rFonts w:cs="Arial"/>
                <w:color w:val="000000"/>
                <w:sz w:val="16"/>
                <w:szCs w:val="16"/>
                <w:lang w:eastAsia="zh-CN"/>
              </w:rPr>
              <w:t>18.3.0</w:t>
            </w:r>
          </w:p>
        </w:tc>
      </w:tr>
      <w:tr w:rsidR="00BC1FE3" w:rsidRPr="000A0A5F" w:rsidTr="00274CFF">
        <w:tc>
          <w:tcPr>
            <w:tcW w:w="798" w:type="dxa"/>
            <w:shd w:val="solid" w:color="FFFFFF" w:fill="auto"/>
          </w:tcPr>
          <w:p w:rsidR="00BC1FE3" w:rsidRPr="000A0A5F" w:rsidRDefault="00BC1FE3" w:rsidP="00BC1FE3">
            <w:pPr>
              <w:pStyle w:val="TAC"/>
              <w:rPr>
                <w:rFonts w:cs="Arial"/>
                <w:color w:val="000000"/>
                <w:sz w:val="16"/>
                <w:szCs w:val="16"/>
                <w:lang w:eastAsia="zh-CN"/>
              </w:rPr>
            </w:pPr>
            <w:r w:rsidRPr="000A0A5F">
              <w:rPr>
                <w:rFonts w:cs="Arial"/>
                <w:color w:val="000000"/>
                <w:sz w:val="16"/>
                <w:szCs w:val="16"/>
                <w:lang w:eastAsia="zh-CN"/>
              </w:rPr>
              <w:t>2023-09</w:t>
            </w:r>
          </w:p>
        </w:tc>
        <w:tc>
          <w:tcPr>
            <w:tcW w:w="797" w:type="dxa"/>
            <w:shd w:val="solid" w:color="FFFFFF" w:fill="auto"/>
          </w:tcPr>
          <w:p w:rsidR="00BC1FE3" w:rsidRPr="000A0A5F" w:rsidRDefault="00BC1FE3" w:rsidP="00BC1FE3">
            <w:pPr>
              <w:pStyle w:val="TAC"/>
              <w:rPr>
                <w:rFonts w:cs="Arial"/>
                <w:color w:val="000000"/>
                <w:sz w:val="16"/>
                <w:szCs w:val="16"/>
                <w:lang w:eastAsia="zh-CN"/>
              </w:rPr>
            </w:pPr>
            <w:r w:rsidRPr="000A0A5F">
              <w:rPr>
                <w:rFonts w:cs="Arial"/>
                <w:color w:val="000000"/>
                <w:sz w:val="16"/>
                <w:szCs w:val="16"/>
                <w:lang w:eastAsia="zh-CN"/>
              </w:rPr>
              <w:t>CT#101</w:t>
            </w:r>
          </w:p>
        </w:tc>
        <w:tc>
          <w:tcPr>
            <w:tcW w:w="1088" w:type="dxa"/>
            <w:shd w:val="solid" w:color="FFFFFF" w:fill="auto"/>
          </w:tcPr>
          <w:p w:rsidR="00BC1FE3" w:rsidRPr="000A0A5F" w:rsidRDefault="00BC1FE3" w:rsidP="00BC1FE3">
            <w:pPr>
              <w:pStyle w:val="TAC"/>
              <w:rPr>
                <w:rFonts w:cs="Arial"/>
                <w:color w:val="000000"/>
                <w:sz w:val="16"/>
                <w:szCs w:val="16"/>
                <w:lang w:eastAsia="zh-CN"/>
              </w:rPr>
            </w:pPr>
            <w:r w:rsidRPr="000A0A5F">
              <w:rPr>
                <w:rFonts w:cs="Arial"/>
                <w:color w:val="000000"/>
                <w:sz w:val="16"/>
                <w:szCs w:val="16"/>
                <w:lang w:eastAsia="zh-CN"/>
              </w:rPr>
              <w:t>CP-232</w:t>
            </w:r>
            <w:r w:rsidR="00201745" w:rsidRPr="000A0A5F">
              <w:rPr>
                <w:rFonts w:cs="Arial"/>
                <w:color w:val="000000"/>
                <w:sz w:val="16"/>
                <w:szCs w:val="16"/>
                <w:lang w:eastAsia="zh-CN"/>
              </w:rPr>
              <w:t>087</w:t>
            </w:r>
          </w:p>
        </w:tc>
        <w:tc>
          <w:tcPr>
            <w:tcW w:w="524" w:type="dxa"/>
            <w:shd w:val="solid" w:color="FFFFFF" w:fill="auto"/>
          </w:tcPr>
          <w:p w:rsidR="00BC1FE3" w:rsidRPr="000A0A5F" w:rsidRDefault="00BC1FE3" w:rsidP="00BC1FE3">
            <w:pPr>
              <w:pStyle w:val="TAL"/>
              <w:rPr>
                <w:rFonts w:cs="Arial"/>
                <w:color w:val="000000"/>
                <w:sz w:val="16"/>
                <w:szCs w:val="16"/>
                <w:lang w:eastAsia="zh-CN"/>
              </w:rPr>
            </w:pPr>
            <w:r w:rsidRPr="000A0A5F">
              <w:rPr>
                <w:rFonts w:cs="Arial"/>
                <w:color w:val="000000"/>
                <w:sz w:val="16"/>
                <w:szCs w:val="16"/>
                <w:lang w:eastAsia="zh-CN"/>
              </w:rPr>
              <w:t>0747</w:t>
            </w:r>
          </w:p>
        </w:tc>
        <w:tc>
          <w:tcPr>
            <w:tcW w:w="424" w:type="dxa"/>
            <w:shd w:val="solid" w:color="FFFFFF" w:fill="auto"/>
          </w:tcPr>
          <w:p w:rsidR="00BC1FE3" w:rsidRPr="000A0A5F" w:rsidRDefault="00BC1FE3" w:rsidP="00BC1FE3">
            <w:pPr>
              <w:pStyle w:val="TAR"/>
              <w:rPr>
                <w:rFonts w:cs="Arial"/>
                <w:color w:val="000000"/>
                <w:sz w:val="16"/>
                <w:szCs w:val="16"/>
                <w:lang w:eastAsia="zh-CN"/>
              </w:rPr>
            </w:pPr>
            <w:r w:rsidRPr="000A0A5F">
              <w:rPr>
                <w:rFonts w:cs="Arial"/>
                <w:color w:val="000000"/>
                <w:sz w:val="16"/>
                <w:szCs w:val="16"/>
                <w:lang w:eastAsia="zh-CN"/>
              </w:rPr>
              <w:t>1</w:t>
            </w:r>
          </w:p>
        </w:tc>
        <w:tc>
          <w:tcPr>
            <w:tcW w:w="424" w:type="dxa"/>
            <w:shd w:val="solid" w:color="FFFFFF" w:fill="auto"/>
          </w:tcPr>
          <w:p w:rsidR="00BC1FE3" w:rsidRPr="000A0A5F" w:rsidRDefault="00BC1FE3" w:rsidP="00BC1FE3">
            <w:pPr>
              <w:pStyle w:val="TAC"/>
              <w:rPr>
                <w:rFonts w:cs="Arial"/>
                <w:color w:val="000000"/>
                <w:sz w:val="16"/>
                <w:szCs w:val="16"/>
                <w:lang w:eastAsia="zh-CN"/>
              </w:rPr>
            </w:pPr>
            <w:r w:rsidRPr="000A0A5F">
              <w:rPr>
                <w:rFonts w:cs="Arial"/>
                <w:color w:val="000000"/>
                <w:sz w:val="16"/>
                <w:szCs w:val="16"/>
                <w:lang w:eastAsia="zh-CN"/>
              </w:rPr>
              <w:t>B</w:t>
            </w:r>
          </w:p>
        </w:tc>
        <w:tc>
          <w:tcPr>
            <w:tcW w:w="4919" w:type="dxa"/>
            <w:shd w:val="solid" w:color="FFFFFF" w:fill="auto"/>
          </w:tcPr>
          <w:p w:rsidR="00BC1FE3" w:rsidRPr="000A0A5F" w:rsidRDefault="00BC1FE3" w:rsidP="00BC1FE3">
            <w:pPr>
              <w:pStyle w:val="TAL"/>
              <w:rPr>
                <w:sz w:val="16"/>
              </w:rPr>
            </w:pPr>
            <w:r w:rsidRPr="000A0A5F">
              <w:rPr>
                <w:sz w:val="16"/>
              </w:rPr>
              <w:t>Resolve EN for Application-Specific Expected UE Behaviour parameters</w:t>
            </w:r>
          </w:p>
        </w:tc>
        <w:tc>
          <w:tcPr>
            <w:tcW w:w="707" w:type="dxa"/>
            <w:shd w:val="solid" w:color="FFFFFF" w:fill="auto"/>
          </w:tcPr>
          <w:p w:rsidR="00BC1FE3" w:rsidRPr="000A0A5F" w:rsidRDefault="00BC1FE3" w:rsidP="00BC1FE3">
            <w:pPr>
              <w:pStyle w:val="TAC"/>
              <w:rPr>
                <w:rFonts w:cs="Arial"/>
                <w:color w:val="000000"/>
                <w:sz w:val="16"/>
                <w:szCs w:val="16"/>
                <w:lang w:eastAsia="zh-CN"/>
              </w:rPr>
            </w:pPr>
            <w:r w:rsidRPr="000A0A5F">
              <w:rPr>
                <w:rFonts w:cs="Arial"/>
                <w:color w:val="000000"/>
                <w:sz w:val="16"/>
                <w:szCs w:val="16"/>
                <w:lang w:eastAsia="zh-CN"/>
              </w:rPr>
              <w:t>18.3.0</w:t>
            </w:r>
          </w:p>
        </w:tc>
      </w:tr>
      <w:tr w:rsidR="00BC1FE3" w:rsidRPr="00481D2D" w:rsidTr="00274CFF">
        <w:tc>
          <w:tcPr>
            <w:tcW w:w="798" w:type="dxa"/>
            <w:shd w:val="solid" w:color="FFFFFF" w:fill="auto"/>
          </w:tcPr>
          <w:p w:rsidR="00BC1FE3" w:rsidRPr="000A0A5F" w:rsidRDefault="00BC1FE3" w:rsidP="00BC1FE3">
            <w:pPr>
              <w:pStyle w:val="TAC"/>
              <w:rPr>
                <w:rFonts w:cs="Arial"/>
                <w:color w:val="000000"/>
                <w:sz w:val="16"/>
                <w:szCs w:val="16"/>
                <w:lang w:eastAsia="zh-CN"/>
              </w:rPr>
            </w:pPr>
            <w:r w:rsidRPr="000A0A5F">
              <w:rPr>
                <w:rFonts w:cs="Arial"/>
                <w:color w:val="000000"/>
                <w:sz w:val="16"/>
                <w:szCs w:val="16"/>
                <w:lang w:eastAsia="zh-CN"/>
              </w:rPr>
              <w:t>2023-09</w:t>
            </w:r>
          </w:p>
        </w:tc>
        <w:tc>
          <w:tcPr>
            <w:tcW w:w="797" w:type="dxa"/>
            <w:shd w:val="solid" w:color="FFFFFF" w:fill="auto"/>
          </w:tcPr>
          <w:p w:rsidR="00BC1FE3" w:rsidRPr="000A0A5F" w:rsidRDefault="00BC1FE3" w:rsidP="00BC1FE3">
            <w:pPr>
              <w:pStyle w:val="TAC"/>
              <w:rPr>
                <w:rFonts w:cs="Arial"/>
                <w:color w:val="000000"/>
                <w:sz w:val="16"/>
                <w:szCs w:val="16"/>
                <w:lang w:eastAsia="zh-CN"/>
              </w:rPr>
            </w:pPr>
            <w:r w:rsidRPr="000A0A5F">
              <w:rPr>
                <w:rFonts w:cs="Arial"/>
                <w:color w:val="000000"/>
                <w:sz w:val="16"/>
                <w:szCs w:val="16"/>
                <w:lang w:eastAsia="zh-CN"/>
              </w:rPr>
              <w:t>CT#101</w:t>
            </w:r>
          </w:p>
        </w:tc>
        <w:tc>
          <w:tcPr>
            <w:tcW w:w="1088" w:type="dxa"/>
            <w:shd w:val="solid" w:color="FFFFFF" w:fill="auto"/>
          </w:tcPr>
          <w:p w:rsidR="00BC1FE3" w:rsidRPr="000A0A5F" w:rsidRDefault="00BC1FE3" w:rsidP="00BC1FE3">
            <w:pPr>
              <w:pStyle w:val="TAC"/>
              <w:rPr>
                <w:rFonts w:cs="Arial"/>
                <w:color w:val="000000"/>
                <w:sz w:val="16"/>
                <w:szCs w:val="16"/>
                <w:lang w:eastAsia="zh-CN"/>
              </w:rPr>
            </w:pPr>
            <w:r w:rsidRPr="000A0A5F">
              <w:rPr>
                <w:rFonts w:cs="Arial"/>
                <w:color w:val="000000"/>
                <w:sz w:val="16"/>
                <w:szCs w:val="16"/>
                <w:lang w:eastAsia="zh-CN"/>
              </w:rPr>
              <w:t>CP-232</w:t>
            </w:r>
            <w:r w:rsidR="00201745" w:rsidRPr="000A0A5F">
              <w:rPr>
                <w:rFonts w:cs="Arial"/>
                <w:color w:val="000000"/>
                <w:sz w:val="16"/>
                <w:szCs w:val="16"/>
                <w:lang w:eastAsia="zh-CN"/>
              </w:rPr>
              <w:t>085</w:t>
            </w:r>
          </w:p>
        </w:tc>
        <w:tc>
          <w:tcPr>
            <w:tcW w:w="524" w:type="dxa"/>
            <w:shd w:val="solid" w:color="FFFFFF" w:fill="auto"/>
          </w:tcPr>
          <w:p w:rsidR="00BC1FE3" w:rsidRPr="000A0A5F" w:rsidRDefault="00BC1FE3" w:rsidP="00BC1FE3">
            <w:pPr>
              <w:pStyle w:val="TAL"/>
              <w:rPr>
                <w:rFonts w:cs="Arial"/>
                <w:color w:val="000000"/>
                <w:sz w:val="16"/>
                <w:szCs w:val="16"/>
                <w:lang w:eastAsia="zh-CN"/>
              </w:rPr>
            </w:pPr>
            <w:r w:rsidRPr="000A0A5F">
              <w:rPr>
                <w:rFonts w:cs="Arial"/>
                <w:color w:val="000000"/>
                <w:sz w:val="16"/>
                <w:szCs w:val="16"/>
                <w:lang w:eastAsia="zh-CN"/>
              </w:rPr>
              <w:t>0748</w:t>
            </w:r>
          </w:p>
        </w:tc>
        <w:tc>
          <w:tcPr>
            <w:tcW w:w="424" w:type="dxa"/>
            <w:shd w:val="solid" w:color="FFFFFF" w:fill="auto"/>
          </w:tcPr>
          <w:p w:rsidR="00BC1FE3" w:rsidRPr="000A0A5F" w:rsidRDefault="00BC1FE3" w:rsidP="00BC1FE3">
            <w:pPr>
              <w:pStyle w:val="TAR"/>
              <w:rPr>
                <w:rFonts w:cs="Arial"/>
                <w:color w:val="000000"/>
                <w:sz w:val="16"/>
                <w:szCs w:val="16"/>
                <w:lang w:eastAsia="zh-CN"/>
              </w:rPr>
            </w:pPr>
          </w:p>
        </w:tc>
        <w:tc>
          <w:tcPr>
            <w:tcW w:w="424" w:type="dxa"/>
            <w:shd w:val="solid" w:color="FFFFFF" w:fill="auto"/>
          </w:tcPr>
          <w:p w:rsidR="00BC1FE3" w:rsidRPr="000A0A5F" w:rsidRDefault="00BC1FE3" w:rsidP="00BC1FE3">
            <w:pPr>
              <w:pStyle w:val="TAC"/>
              <w:rPr>
                <w:rFonts w:cs="Arial"/>
                <w:color w:val="000000"/>
                <w:sz w:val="16"/>
                <w:szCs w:val="16"/>
                <w:lang w:eastAsia="zh-CN"/>
              </w:rPr>
            </w:pPr>
            <w:r w:rsidRPr="000A0A5F">
              <w:rPr>
                <w:rFonts w:cs="Arial"/>
                <w:color w:val="000000"/>
                <w:sz w:val="16"/>
                <w:szCs w:val="16"/>
                <w:lang w:eastAsia="zh-CN"/>
              </w:rPr>
              <w:t>F</w:t>
            </w:r>
          </w:p>
        </w:tc>
        <w:tc>
          <w:tcPr>
            <w:tcW w:w="4919" w:type="dxa"/>
            <w:shd w:val="solid" w:color="FFFFFF" w:fill="auto"/>
          </w:tcPr>
          <w:p w:rsidR="00BC1FE3" w:rsidRPr="000A0A5F" w:rsidRDefault="00BC1FE3" w:rsidP="00BC1FE3">
            <w:pPr>
              <w:pStyle w:val="TAL"/>
              <w:rPr>
                <w:sz w:val="16"/>
              </w:rPr>
            </w:pPr>
            <w:r w:rsidRPr="000A0A5F">
              <w:rPr>
                <w:sz w:val="16"/>
              </w:rPr>
              <w:t>Update of info and externalDocs fields</w:t>
            </w:r>
          </w:p>
        </w:tc>
        <w:tc>
          <w:tcPr>
            <w:tcW w:w="707" w:type="dxa"/>
            <w:shd w:val="solid" w:color="FFFFFF" w:fill="auto"/>
          </w:tcPr>
          <w:p w:rsidR="00BC1FE3" w:rsidRPr="00A956F6" w:rsidRDefault="00BC1FE3" w:rsidP="00BC1FE3">
            <w:pPr>
              <w:pStyle w:val="TAC"/>
              <w:rPr>
                <w:rFonts w:cs="Arial"/>
                <w:color w:val="000000"/>
                <w:sz w:val="16"/>
                <w:szCs w:val="16"/>
                <w:lang w:eastAsia="zh-CN"/>
              </w:rPr>
            </w:pPr>
            <w:r w:rsidRPr="000A0A5F">
              <w:rPr>
                <w:rFonts w:cs="Arial"/>
                <w:color w:val="000000"/>
                <w:sz w:val="16"/>
                <w:szCs w:val="16"/>
                <w:lang w:eastAsia="zh-CN"/>
              </w:rPr>
              <w:t>18.3.0</w:t>
            </w:r>
          </w:p>
        </w:tc>
      </w:tr>
      <w:tr w:rsidR="005779B8" w:rsidRPr="00481D2D" w:rsidTr="00274CFF">
        <w:tc>
          <w:tcPr>
            <w:tcW w:w="798" w:type="dxa"/>
            <w:shd w:val="solid" w:color="FFFFFF" w:fill="auto"/>
          </w:tcPr>
          <w:p w:rsidR="005779B8" w:rsidRPr="000A0A5F" w:rsidRDefault="005779B8" w:rsidP="005779B8">
            <w:pPr>
              <w:pStyle w:val="TAC"/>
              <w:rPr>
                <w:rFonts w:cs="Arial"/>
                <w:color w:val="000000"/>
                <w:sz w:val="16"/>
                <w:szCs w:val="16"/>
                <w:lang w:eastAsia="zh-CN"/>
              </w:rPr>
            </w:pPr>
            <w:r>
              <w:rPr>
                <w:rFonts w:cs="Arial"/>
                <w:sz w:val="16"/>
                <w:szCs w:val="16"/>
              </w:rPr>
              <w:t>2023-12</w:t>
            </w:r>
          </w:p>
        </w:tc>
        <w:tc>
          <w:tcPr>
            <w:tcW w:w="797" w:type="dxa"/>
            <w:shd w:val="solid" w:color="FFFFFF" w:fill="auto"/>
          </w:tcPr>
          <w:p w:rsidR="005779B8" w:rsidRPr="000A0A5F" w:rsidRDefault="005779B8" w:rsidP="005779B8">
            <w:pPr>
              <w:pStyle w:val="TAC"/>
              <w:rPr>
                <w:rFonts w:cs="Arial"/>
                <w:color w:val="000000"/>
                <w:sz w:val="16"/>
                <w:szCs w:val="16"/>
                <w:lang w:eastAsia="zh-CN"/>
              </w:rPr>
            </w:pPr>
            <w:r>
              <w:rPr>
                <w:rFonts w:cs="Arial"/>
                <w:sz w:val="16"/>
                <w:szCs w:val="16"/>
              </w:rPr>
              <w:t>CT#102</w:t>
            </w:r>
          </w:p>
        </w:tc>
        <w:tc>
          <w:tcPr>
            <w:tcW w:w="1088" w:type="dxa"/>
            <w:shd w:val="solid" w:color="FFFFFF" w:fill="auto"/>
          </w:tcPr>
          <w:p w:rsidR="005779B8" w:rsidRPr="000A0A5F" w:rsidRDefault="005779B8" w:rsidP="005779B8">
            <w:pPr>
              <w:pStyle w:val="TAC"/>
              <w:rPr>
                <w:rFonts w:cs="Arial"/>
                <w:color w:val="000000"/>
                <w:sz w:val="16"/>
                <w:szCs w:val="16"/>
                <w:lang w:eastAsia="zh-CN"/>
              </w:rPr>
            </w:pPr>
            <w:r>
              <w:rPr>
                <w:rFonts w:cs="Arial"/>
                <w:sz w:val="16"/>
                <w:szCs w:val="16"/>
              </w:rPr>
              <w:t>CP-233231</w:t>
            </w:r>
          </w:p>
        </w:tc>
        <w:tc>
          <w:tcPr>
            <w:tcW w:w="524" w:type="dxa"/>
            <w:shd w:val="solid" w:color="FFFFFF" w:fill="auto"/>
          </w:tcPr>
          <w:p w:rsidR="005779B8" w:rsidRPr="000A0A5F" w:rsidRDefault="005779B8" w:rsidP="005779B8">
            <w:pPr>
              <w:pStyle w:val="TAL"/>
              <w:rPr>
                <w:rFonts w:cs="Arial"/>
                <w:color w:val="000000"/>
                <w:sz w:val="16"/>
                <w:szCs w:val="16"/>
                <w:lang w:eastAsia="zh-CN"/>
              </w:rPr>
            </w:pPr>
            <w:r>
              <w:rPr>
                <w:rFonts w:cs="Arial"/>
                <w:sz w:val="16"/>
                <w:szCs w:val="16"/>
              </w:rPr>
              <w:t>0691</w:t>
            </w:r>
          </w:p>
        </w:tc>
        <w:tc>
          <w:tcPr>
            <w:tcW w:w="424" w:type="dxa"/>
            <w:shd w:val="solid" w:color="FFFFFF" w:fill="auto"/>
          </w:tcPr>
          <w:p w:rsidR="005779B8" w:rsidRPr="000A0A5F" w:rsidRDefault="005779B8" w:rsidP="005779B8">
            <w:pPr>
              <w:pStyle w:val="TAR"/>
              <w:rPr>
                <w:rFonts w:cs="Arial"/>
                <w:color w:val="000000"/>
                <w:sz w:val="16"/>
                <w:szCs w:val="16"/>
                <w:lang w:eastAsia="zh-CN"/>
              </w:rPr>
            </w:pPr>
            <w:r>
              <w:rPr>
                <w:rFonts w:cs="Arial"/>
                <w:sz w:val="16"/>
                <w:szCs w:val="16"/>
              </w:rPr>
              <w:t>4</w:t>
            </w:r>
          </w:p>
        </w:tc>
        <w:tc>
          <w:tcPr>
            <w:tcW w:w="424" w:type="dxa"/>
            <w:shd w:val="solid" w:color="FFFFFF" w:fill="auto"/>
          </w:tcPr>
          <w:p w:rsidR="005779B8" w:rsidRPr="000A0A5F" w:rsidRDefault="005779B8" w:rsidP="005779B8">
            <w:pPr>
              <w:pStyle w:val="TAC"/>
              <w:rPr>
                <w:rFonts w:cs="Arial"/>
                <w:color w:val="000000"/>
                <w:sz w:val="16"/>
                <w:szCs w:val="16"/>
                <w:lang w:eastAsia="zh-CN"/>
              </w:rPr>
            </w:pPr>
            <w:r>
              <w:rPr>
                <w:rFonts w:cs="Arial"/>
                <w:sz w:val="16"/>
                <w:szCs w:val="16"/>
              </w:rPr>
              <w:t>B</w:t>
            </w:r>
          </w:p>
        </w:tc>
        <w:tc>
          <w:tcPr>
            <w:tcW w:w="4919" w:type="dxa"/>
            <w:shd w:val="solid" w:color="FFFFFF" w:fill="auto"/>
          </w:tcPr>
          <w:p w:rsidR="005779B8" w:rsidRPr="000A0A5F" w:rsidRDefault="005779B8" w:rsidP="005779B8">
            <w:pPr>
              <w:pStyle w:val="TAL"/>
              <w:rPr>
                <w:sz w:val="16"/>
              </w:rPr>
            </w:pPr>
            <w:r>
              <w:rPr>
                <w:rFonts w:cs="Arial"/>
                <w:sz w:val="16"/>
                <w:szCs w:val="16"/>
              </w:rPr>
              <w:t>Supporting query parameters extensibility</w:t>
            </w:r>
          </w:p>
        </w:tc>
        <w:tc>
          <w:tcPr>
            <w:tcW w:w="707" w:type="dxa"/>
            <w:shd w:val="solid" w:color="FFFFFF" w:fill="auto"/>
          </w:tcPr>
          <w:p w:rsidR="005779B8" w:rsidRPr="000A0A5F" w:rsidRDefault="005779B8" w:rsidP="005779B8">
            <w:pPr>
              <w:pStyle w:val="TAC"/>
              <w:rPr>
                <w:rFonts w:cs="Arial"/>
                <w:color w:val="000000"/>
                <w:sz w:val="16"/>
                <w:szCs w:val="16"/>
                <w:lang w:eastAsia="zh-CN"/>
              </w:rPr>
            </w:pPr>
            <w:r w:rsidRPr="000A0A5F">
              <w:rPr>
                <w:rFonts w:cs="Arial"/>
                <w:color w:val="000000"/>
                <w:sz w:val="16"/>
                <w:szCs w:val="16"/>
                <w:lang w:eastAsia="zh-CN"/>
              </w:rPr>
              <w:t>18.</w:t>
            </w:r>
            <w:r>
              <w:rPr>
                <w:rFonts w:cs="Arial"/>
                <w:color w:val="000000"/>
                <w:sz w:val="16"/>
                <w:szCs w:val="16"/>
                <w:lang w:eastAsia="zh-CN"/>
              </w:rPr>
              <w:t>4</w:t>
            </w:r>
            <w:r w:rsidRPr="000A0A5F">
              <w:rPr>
                <w:rFonts w:cs="Arial"/>
                <w:color w:val="000000"/>
                <w:sz w:val="16"/>
                <w:szCs w:val="16"/>
                <w:lang w:eastAsia="zh-CN"/>
              </w:rPr>
              <w:t>.0</w:t>
            </w:r>
          </w:p>
        </w:tc>
      </w:tr>
      <w:tr w:rsidR="005779B8" w:rsidRPr="00481D2D" w:rsidTr="00274CFF">
        <w:tc>
          <w:tcPr>
            <w:tcW w:w="798" w:type="dxa"/>
            <w:shd w:val="solid" w:color="FFFFFF" w:fill="auto"/>
          </w:tcPr>
          <w:p w:rsidR="005779B8" w:rsidRPr="000A0A5F" w:rsidRDefault="005779B8" w:rsidP="005779B8">
            <w:pPr>
              <w:pStyle w:val="TAC"/>
              <w:rPr>
                <w:rFonts w:cs="Arial"/>
                <w:color w:val="000000"/>
                <w:sz w:val="16"/>
                <w:szCs w:val="16"/>
                <w:lang w:eastAsia="zh-CN"/>
              </w:rPr>
            </w:pPr>
            <w:r>
              <w:rPr>
                <w:rFonts w:cs="Arial"/>
                <w:sz w:val="16"/>
                <w:szCs w:val="16"/>
              </w:rPr>
              <w:t>2023-12</w:t>
            </w:r>
          </w:p>
        </w:tc>
        <w:tc>
          <w:tcPr>
            <w:tcW w:w="797" w:type="dxa"/>
            <w:shd w:val="solid" w:color="FFFFFF" w:fill="auto"/>
          </w:tcPr>
          <w:p w:rsidR="005779B8" w:rsidRPr="000A0A5F" w:rsidRDefault="005779B8" w:rsidP="005779B8">
            <w:pPr>
              <w:pStyle w:val="TAC"/>
              <w:rPr>
                <w:rFonts w:cs="Arial"/>
                <w:color w:val="000000"/>
                <w:sz w:val="16"/>
                <w:szCs w:val="16"/>
                <w:lang w:eastAsia="zh-CN"/>
              </w:rPr>
            </w:pPr>
            <w:r>
              <w:rPr>
                <w:rFonts w:cs="Arial"/>
                <w:sz w:val="16"/>
                <w:szCs w:val="16"/>
              </w:rPr>
              <w:t>CT#102</w:t>
            </w:r>
          </w:p>
        </w:tc>
        <w:tc>
          <w:tcPr>
            <w:tcW w:w="1088" w:type="dxa"/>
            <w:shd w:val="solid" w:color="FFFFFF" w:fill="auto"/>
          </w:tcPr>
          <w:p w:rsidR="005779B8" w:rsidRPr="000A0A5F" w:rsidRDefault="005779B8" w:rsidP="005779B8">
            <w:pPr>
              <w:pStyle w:val="TAC"/>
              <w:rPr>
                <w:rFonts w:cs="Arial"/>
                <w:color w:val="000000"/>
                <w:sz w:val="16"/>
                <w:szCs w:val="16"/>
                <w:lang w:eastAsia="zh-CN"/>
              </w:rPr>
            </w:pPr>
            <w:r>
              <w:rPr>
                <w:rFonts w:cs="Arial"/>
                <w:sz w:val="16"/>
                <w:szCs w:val="16"/>
              </w:rPr>
              <w:t>CP-233263</w:t>
            </w:r>
          </w:p>
        </w:tc>
        <w:tc>
          <w:tcPr>
            <w:tcW w:w="524" w:type="dxa"/>
            <w:shd w:val="solid" w:color="FFFFFF" w:fill="auto"/>
          </w:tcPr>
          <w:p w:rsidR="005779B8" w:rsidRPr="000A0A5F" w:rsidRDefault="005779B8" w:rsidP="005779B8">
            <w:pPr>
              <w:pStyle w:val="TAL"/>
              <w:rPr>
                <w:rFonts w:cs="Arial"/>
                <w:color w:val="000000"/>
                <w:sz w:val="16"/>
                <w:szCs w:val="16"/>
                <w:lang w:eastAsia="zh-CN"/>
              </w:rPr>
            </w:pPr>
            <w:r>
              <w:rPr>
                <w:rFonts w:cs="Arial"/>
                <w:sz w:val="16"/>
                <w:szCs w:val="16"/>
              </w:rPr>
              <w:t>0718</w:t>
            </w:r>
          </w:p>
        </w:tc>
        <w:tc>
          <w:tcPr>
            <w:tcW w:w="424" w:type="dxa"/>
            <w:shd w:val="solid" w:color="FFFFFF" w:fill="auto"/>
          </w:tcPr>
          <w:p w:rsidR="005779B8" w:rsidRPr="000A0A5F" w:rsidRDefault="005779B8" w:rsidP="005779B8">
            <w:pPr>
              <w:pStyle w:val="TAR"/>
              <w:rPr>
                <w:rFonts w:cs="Arial"/>
                <w:color w:val="000000"/>
                <w:sz w:val="16"/>
                <w:szCs w:val="16"/>
                <w:lang w:eastAsia="zh-CN"/>
              </w:rPr>
            </w:pPr>
            <w:r>
              <w:rPr>
                <w:rFonts w:cs="Arial"/>
                <w:sz w:val="16"/>
                <w:szCs w:val="16"/>
              </w:rPr>
              <w:t>1</w:t>
            </w:r>
          </w:p>
        </w:tc>
        <w:tc>
          <w:tcPr>
            <w:tcW w:w="424" w:type="dxa"/>
            <w:shd w:val="solid" w:color="FFFFFF" w:fill="auto"/>
          </w:tcPr>
          <w:p w:rsidR="005779B8" w:rsidRPr="000A0A5F" w:rsidRDefault="005779B8" w:rsidP="005779B8">
            <w:pPr>
              <w:pStyle w:val="TAC"/>
              <w:rPr>
                <w:rFonts w:cs="Arial"/>
                <w:color w:val="000000"/>
                <w:sz w:val="16"/>
                <w:szCs w:val="16"/>
                <w:lang w:eastAsia="zh-CN"/>
              </w:rPr>
            </w:pPr>
            <w:r>
              <w:rPr>
                <w:rFonts w:cs="Arial"/>
                <w:sz w:val="16"/>
                <w:szCs w:val="16"/>
              </w:rPr>
              <w:t>A</w:t>
            </w:r>
          </w:p>
        </w:tc>
        <w:tc>
          <w:tcPr>
            <w:tcW w:w="4919" w:type="dxa"/>
            <w:shd w:val="solid" w:color="FFFFFF" w:fill="auto"/>
          </w:tcPr>
          <w:p w:rsidR="005779B8" w:rsidRPr="000A0A5F" w:rsidRDefault="005779B8" w:rsidP="005779B8">
            <w:pPr>
              <w:pStyle w:val="TAL"/>
              <w:rPr>
                <w:sz w:val="16"/>
              </w:rPr>
            </w:pPr>
            <w:r>
              <w:rPr>
                <w:rFonts w:cs="Arial"/>
                <w:sz w:val="16"/>
                <w:szCs w:val="16"/>
              </w:rPr>
              <w:t>Resolving the remaining LOLC related ENs</w:t>
            </w:r>
          </w:p>
        </w:tc>
        <w:tc>
          <w:tcPr>
            <w:tcW w:w="707" w:type="dxa"/>
            <w:shd w:val="solid" w:color="FFFFFF" w:fill="auto"/>
          </w:tcPr>
          <w:p w:rsidR="005779B8" w:rsidRPr="000A0A5F" w:rsidRDefault="005779B8" w:rsidP="005779B8">
            <w:pPr>
              <w:pStyle w:val="TAC"/>
              <w:rPr>
                <w:rFonts w:cs="Arial"/>
                <w:color w:val="000000"/>
                <w:sz w:val="16"/>
                <w:szCs w:val="16"/>
                <w:lang w:eastAsia="zh-CN"/>
              </w:rPr>
            </w:pPr>
            <w:r w:rsidRPr="00691B2D">
              <w:rPr>
                <w:rFonts w:cs="Arial"/>
                <w:color w:val="000000"/>
                <w:sz w:val="16"/>
                <w:szCs w:val="16"/>
                <w:lang w:eastAsia="zh-CN"/>
              </w:rPr>
              <w:t>18.4.0</w:t>
            </w:r>
          </w:p>
        </w:tc>
      </w:tr>
      <w:tr w:rsidR="005779B8" w:rsidRPr="00481D2D" w:rsidTr="00274CFF">
        <w:tc>
          <w:tcPr>
            <w:tcW w:w="798" w:type="dxa"/>
            <w:shd w:val="solid" w:color="FFFFFF" w:fill="auto"/>
          </w:tcPr>
          <w:p w:rsidR="005779B8" w:rsidRPr="000A0A5F" w:rsidRDefault="005779B8" w:rsidP="005779B8">
            <w:pPr>
              <w:pStyle w:val="TAC"/>
              <w:rPr>
                <w:rFonts w:cs="Arial"/>
                <w:color w:val="000000"/>
                <w:sz w:val="16"/>
                <w:szCs w:val="16"/>
                <w:lang w:eastAsia="zh-CN"/>
              </w:rPr>
            </w:pPr>
            <w:r>
              <w:rPr>
                <w:rFonts w:cs="Arial"/>
                <w:sz w:val="16"/>
                <w:szCs w:val="16"/>
              </w:rPr>
              <w:t>2023-12</w:t>
            </w:r>
          </w:p>
        </w:tc>
        <w:tc>
          <w:tcPr>
            <w:tcW w:w="797" w:type="dxa"/>
            <w:shd w:val="solid" w:color="FFFFFF" w:fill="auto"/>
          </w:tcPr>
          <w:p w:rsidR="005779B8" w:rsidRPr="000A0A5F" w:rsidRDefault="005779B8" w:rsidP="005779B8">
            <w:pPr>
              <w:pStyle w:val="TAC"/>
              <w:rPr>
                <w:rFonts w:cs="Arial"/>
                <w:color w:val="000000"/>
                <w:sz w:val="16"/>
                <w:szCs w:val="16"/>
                <w:lang w:eastAsia="zh-CN"/>
              </w:rPr>
            </w:pPr>
            <w:r>
              <w:rPr>
                <w:rFonts w:cs="Arial"/>
                <w:sz w:val="16"/>
                <w:szCs w:val="16"/>
              </w:rPr>
              <w:t>CT#102</w:t>
            </w:r>
          </w:p>
        </w:tc>
        <w:tc>
          <w:tcPr>
            <w:tcW w:w="1088" w:type="dxa"/>
            <w:shd w:val="solid" w:color="FFFFFF" w:fill="auto"/>
          </w:tcPr>
          <w:p w:rsidR="005779B8" w:rsidRPr="000A0A5F" w:rsidRDefault="005779B8" w:rsidP="005779B8">
            <w:pPr>
              <w:pStyle w:val="TAC"/>
              <w:rPr>
                <w:rFonts w:cs="Arial"/>
                <w:color w:val="000000"/>
                <w:sz w:val="16"/>
                <w:szCs w:val="16"/>
                <w:lang w:eastAsia="zh-CN"/>
              </w:rPr>
            </w:pPr>
            <w:r>
              <w:rPr>
                <w:rFonts w:cs="Arial"/>
                <w:sz w:val="16"/>
                <w:szCs w:val="16"/>
              </w:rPr>
              <w:t>CP-233262</w:t>
            </w:r>
          </w:p>
        </w:tc>
        <w:tc>
          <w:tcPr>
            <w:tcW w:w="524" w:type="dxa"/>
            <w:shd w:val="solid" w:color="FFFFFF" w:fill="auto"/>
          </w:tcPr>
          <w:p w:rsidR="005779B8" w:rsidRPr="000A0A5F" w:rsidRDefault="005779B8" w:rsidP="005779B8">
            <w:pPr>
              <w:pStyle w:val="TAL"/>
              <w:rPr>
                <w:rFonts w:cs="Arial"/>
                <w:color w:val="000000"/>
                <w:sz w:val="16"/>
                <w:szCs w:val="16"/>
                <w:lang w:eastAsia="zh-CN"/>
              </w:rPr>
            </w:pPr>
            <w:r>
              <w:rPr>
                <w:rFonts w:cs="Arial"/>
                <w:sz w:val="16"/>
                <w:szCs w:val="16"/>
              </w:rPr>
              <w:t>0719</w:t>
            </w:r>
          </w:p>
        </w:tc>
        <w:tc>
          <w:tcPr>
            <w:tcW w:w="424" w:type="dxa"/>
            <w:shd w:val="solid" w:color="FFFFFF" w:fill="auto"/>
          </w:tcPr>
          <w:p w:rsidR="005779B8" w:rsidRPr="000A0A5F" w:rsidRDefault="005779B8" w:rsidP="005779B8">
            <w:pPr>
              <w:pStyle w:val="TAR"/>
              <w:rPr>
                <w:rFonts w:cs="Arial"/>
                <w:color w:val="000000"/>
                <w:sz w:val="16"/>
                <w:szCs w:val="16"/>
                <w:lang w:eastAsia="zh-CN"/>
              </w:rPr>
            </w:pPr>
            <w:r>
              <w:rPr>
                <w:rFonts w:cs="Arial"/>
                <w:sz w:val="16"/>
                <w:szCs w:val="16"/>
              </w:rPr>
              <w:t>2</w:t>
            </w:r>
          </w:p>
        </w:tc>
        <w:tc>
          <w:tcPr>
            <w:tcW w:w="424" w:type="dxa"/>
            <w:shd w:val="solid" w:color="FFFFFF" w:fill="auto"/>
          </w:tcPr>
          <w:p w:rsidR="005779B8" w:rsidRPr="000A0A5F" w:rsidRDefault="005779B8" w:rsidP="005779B8">
            <w:pPr>
              <w:pStyle w:val="TAC"/>
              <w:rPr>
                <w:rFonts w:cs="Arial"/>
                <w:color w:val="000000"/>
                <w:sz w:val="16"/>
                <w:szCs w:val="16"/>
                <w:lang w:eastAsia="zh-CN"/>
              </w:rPr>
            </w:pPr>
            <w:r>
              <w:rPr>
                <w:rFonts w:cs="Arial"/>
                <w:sz w:val="16"/>
                <w:szCs w:val="16"/>
              </w:rPr>
              <w:t>B</w:t>
            </w:r>
          </w:p>
        </w:tc>
        <w:tc>
          <w:tcPr>
            <w:tcW w:w="4919" w:type="dxa"/>
            <w:shd w:val="solid" w:color="FFFFFF" w:fill="auto"/>
          </w:tcPr>
          <w:p w:rsidR="005779B8" w:rsidRPr="000A0A5F" w:rsidRDefault="005779B8" w:rsidP="005779B8">
            <w:pPr>
              <w:pStyle w:val="TAL"/>
              <w:rPr>
                <w:sz w:val="16"/>
              </w:rPr>
            </w:pPr>
            <w:r>
              <w:rPr>
                <w:rFonts w:cs="Arial"/>
                <w:sz w:val="16"/>
                <w:szCs w:val="16"/>
              </w:rPr>
              <w:t>Support of user plane positioning</w:t>
            </w:r>
          </w:p>
        </w:tc>
        <w:tc>
          <w:tcPr>
            <w:tcW w:w="707" w:type="dxa"/>
            <w:shd w:val="solid" w:color="FFFFFF" w:fill="auto"/>
          </w:tcPr>
          <w:p w:rsidR="005779B8" w:rsidRPr="000A0A5F" w:rsidRDefault="005779B8" w:rsidP="005779B8">
            <w:pPr>
              <w:pStyle w:val="TAC"/>
              <w:rPr>
                <w:rFonts w:cs="Arial"/>
                <w:color w:val="000000"/>
                <w:sz w:val="16"/>
                <w:szCs w:val="16"/>
                <w:lang w:eastAsia="zh-CN"/>
              </w:rPr>
            </w:pPr>
            <w:r w:rsidRPr="00691B2D">
              <w:rPr>
                <w:rFonts w:cs="Arial"/>
                <w:color w:val="000000"/>
                <w:sz w:val="16"/>
                <w:szCs w:val="16"/>
                <w:lang w:eastAsia="zh-CN"/>
              </w:rPr>
              <w:t>18.4.0</w:t>
            </w:r>
          </w:p>
        </w:tc>
      </w:tr>
      <w:tr w:rsidR="005779B8" w:rsidRPr="00481D2D" w:rsidTr="00274CFF">
        <w:tc>
          <w:tcPr>
            <w:tcW w:w="798" w:type="dxa"/>
            <w:shd w:val="solid" w:color="FFFFFF" w:fill="auto"/>
          </w:tcPr>
          <w:p w:rsidR="005779B8" w:rsidRPr="000A0A5F" w:rsidRDefault="005779B8" w:rsidP="005779B8">
            <w:pPr>
              <w:pStyle w:val="TAC"/>
              <w:rPr>
                <w:rFonts w:cs="Arial"/>
                <w:color w:val="000000"/>
                <w:sz w:val="16"/>
                <w:szCs w:val="16"/>
                <w:lang w:eastAsia="zh-CN"/>
              </w:rPr>
            </w:pPr>
            <w:r>
              <w:rPr>
                <w:rFonts w:cs="Arial"/>
                <w:sz w:val="16"/>
                <w:szCs w:val="16"/>
              </w:rPr>
              <w:t>2023-12</w:t>
            </w:r>
          </w:p>
        </w:tc>
        <w:tc>
          <w:tcPr>
            <w:tcW w:w="797" w:type="dxa"/>
            <w:shd w:val="solid" w:color="FFFFFF" w:fill="auto"/>
          </w:tcPr>
          <w:p w:rsidR="005779B8" w:rsidRPr="000A0A5F" w:rsidRDefault="005779B8" w:rsidP="005779B8">
            <w:pPr>
              <w:pStyle w:val="TAC"/>
              <w:rPr>
                <w:rFonts w:cs="Arial"/>
                <w:color w:val="000000"/>
                <w:sz w:val="16"/>
                <w:szCs w:val="16"/>
                <w:lang w:eastAsia="zh-CN"/>
              </w:rPr>
            </w:pPr>
            <w:r>
              <w:rPr>
                <w:rFonts w:cs="Arial"/>
                <w:sz w:val="16"/>
                <w:szCs w:val="16"/>
              </w:rPr>
              <w:t>CT#102</w:t>
            </w:r>
          </w:p>
        </w:tc>
        <w:tc>
          <w:tcPr>
            <w:tcW w:w="1088" w:type="dxa"/>
            <w:shd w:val="solid" w:color="FFFFFF" w:fill="auto"/>
          </w:tcPr>
          <w:p w:rsidR="005779B8" w:rsidRPr="000A0A5F" w:rsidRDefault="005779B8" w:rsidP="005779B8">
            <w:pPr>
              <w:pStyle w:val="TAC"/>
              <w:rPr>
                <w:rFonts w:cs="Arial"/>
                <w:color w:val="000000"/>
                <w:sz w:val="16"/>
                <w:szCs w:val="16"/>
                <w:lang w:eastAsia="zh-CN"/>
              </w:rPr>
            </w:pPr>
            <w:r>
              <w:rPr>
                <w:rFonts w:cs="Arial"/>
                <w:sz w:val="16"/>
                <w:szCs w:val="16"/>
              </w:rPr>
              <w:t>CP-233231</w:t>
            </w:r>
          </w:p>
        </w:tc>
        <w:tc>
          <w:tcPr>
            <w:tcW w:w="524" w:type="dxa"/>
            <w:shd w:val="solid" w:color="FFFFFF" w:fill="auto"/>
          </w:tcPr>
          <w:p w:rsidR="005779B8" w:rsidRPr="000A0A5F" w:rsidRDefault="005779B8" w:rsidP="005779B8">
            <w:pPr>
              <w:pStyle w:val="TAL"/>
              <w:rPr>
                <w:rFonts w:cs="Arial"/>
                <w:color w:val="000000"/>
                <w:sz w:val="16"/>
                <w:szCs w:val="16"/>
                <w:lang w:eastAsia="zh-CN"/>
              </w:rPr>
            </w:pPr>
            <w:r>
              <w:rPr>
                <w:rFonts w:cs="Arial"/>
                <w:sz w:val="16"/>
                <w:szCs w:val="16"/>
              </w:rPr>
              <w:t>0734</w:t>
            </w:r>
          </w:p>
        </w:tc>
        <w:tc>
          <w:tcPr>
            <w:tcW w:w="424" w:type="dxa"/>
            <w:shd w:val="solid" w:color="FFFFFF" w:fill="auto"/>
          </w:tcPr>
          <w:p w:rsidR="005779B8" w:rsidRPr="000A0A5F" w:rsidRDefault="005779B8" w:rsidP="005779B8">
            <w:pPr>
              <w:pStyle w:val="TAR"/>
              <w:rPr>
                <w:rFonts w:cs="Arial"/>
                <w:color w:val="000000"/>
                <w:sz w:val="16"/>
                <w:szCs w:val="16"/>
                <w:lang w:eastAsia="zh-CN"/>
              </w:rPr>
            </w:pPr>
            <w:r>
              <w:rPr>
                <w:rFonts w:cs="Arial"/>
                <w:sz w:val="16"/>
                <w:szCs w:val="16"/>
              </w:rPr>
              <w:t>3</w:t>
            </w:r>
          </w:p>
        </w:tc>
        <w:tc>
          <w:tcPr>
            <w:tcW w:w="424" w:type="dxa"/>
            <w:shd w:val="solid" w:color="FFFFFF" w:fill="auto"/>
          </w:tcPr>
          <w:p w:rsidR="005779B8" w:rsidRPr="000A0A5F" w:rsidRDefault="005779B8" w:rsidP="005779B8">
            <w:pPr>
              <w:pStyle w:val="TAC"/>
              <w:rPr>
                <w:rFonts w:cs="Arial"/>
                <w:color w:val="000000"/>
                <w:sz w:val="16"/>
                <w:szCs w:val="16"/>
                <w:lang w:eastAsia="zh-CN"/>
              </w:rPr>
            </w:pPr>
            <w:r>
              <w:rPr>
                <w:rFonts w:cs="Arial"/>
                <w:sz w:val="16"/>
                <w:szCs w:val="16"/>
              </w:rPr>
              <w:t>F</w:t>
            </w:r>
          </w:p>
        </w:tc>
        <w:tc>
          <w:tcPr>
            <w:tcW w:w="4919" w:type="dxa"/>
            <w:shd w:val="solid" w:color="FFFFFF" w:fill="auto"/>
          </w:tcPr>
          <w:p w:rsidR="005779B8" w:rsidRPr="000A0A5F" w:rsidRDefault="005779B8" w:rsidP="005779B8">
            <w:pPr>
              <w:pStyle w:val="TAL"/>
              <w:rPr>
                <w:sz w:val="16"/>
              </w:rPr>
            </w:pPr>
            <w:r>
              <w:rPr>
                <w:rFonts w:cs="Arial"/>
                <w:sz w:val="16"/>
                <w:szCs w:val="16"/>
              </w:rPr>
              <w:t>Corrections to MonitoringEventReport</w:t>
            </w:r>
          </w:p>
        </w:tc>
        <w:tc>
          <w:tcPr>
            <w:tcW w:w="707" w:type="dxa"/>
            <w:shd w:val="solid" w:color="FFFFFF" w:fill="auto"/>
          </w:tcPr>
          <w:p w:rsidR="005779B8" w:rsidRPr="000A0A5F" w:rsidRDefault="005779B8" w:rsidP="005779B8">
            <w:pPr>
              <w:pStyle w:val="TAC"/>
              <w:rPr>
                <w:rFonts w:cs="Arial"/>
                <w:color w:val="000000"/>
                <w:sz w:val="16"/>
                <w:szCs w:val="16"/>
                <w:lang w:eastAsia="zh-CN"/>
              </w:rPr>
            </w:pPr>
            <w:r w:rsidRPr="00691B2D">
              <w:rPr>
                <w:rFonts w:cs="Arial"/>
                <w:color w:val="000000"/>
                <w:sz w:val="16"/>
                <w:szCs w:val="16"/>
                <w:lang w:eastAsia="zh-CN"/>
              </w:rPr>
              <w:t>18.4.0</w:t>
            </w:r>
          </w:p>
        </w:tc>
      </w:tr>
      <w:tr w:rsidR="005779B8" w:rsidRPr="00481D2D" w:rsidTr="00274CFF">
        <w:tc>
          <w:tcPr>
            <w:tcW w:w="798" w:type="dxa"/>
            <w:shd w:val="solid" w:color="FFFFFF" w:fill="auto"/>
          </w:tcPr>
          <w:p w:rsidR="005779B8" w:rsidRPr="000A0A5F" w:rsidRDefault="005779B8" w:rsidP="005779B8">
            <w:pPr>
              <w:pStyle w:val="TAC"/>
              <w:rPr>
                <w:rFonts w:cs="Arial"/>
                <w:color w:val="000000"/>
                <w:sz w:val="16"/>
                <w:szCs w:val="16"/>
                <w:lang w:eastAsia="zh-CN"/>
              </w:rPr>
            </w:pPr>
            <w:r>
              <w:rPr>
                <w:rFonts w:cs="Arial"/>
                <w:sz w:val="16"/>
                <w:szCs w:val="16"/>
              </w:rPr>
              <w:t>2023-12</w:t>
            </w:r>
          </w:p>
        </w:tc>
        <w:tc>
          <w:tcPr>
            <w:tcW w:w="797" w:type="dxa"/>
            <w:shd w:val="solid" w:color="FFFFFF" w:fill="auto"/>
          </w:tcPr>
          <w:p w:rsidR="005779B8" w:rsidRPr="000A0A5F" w:rsidRDefault="005779B8" w:rsidP="005779B8">
            <w:pPr>
              <w:pStyle w:val="TAC"/>
              <w:rPr>
                <w:rFonts w:cs="Arial"/>
                <w:color w:val="000000"/>
                <w:sz w:val="16"/>
                <w:szCs w:val="16"/>
                <w:lang w:eastAsia="zh-CN"/>
              </w:rPr>
            </w:pPr>
            <w:r>
              <w:rPr>
                <w:rFonts w:cs="Arial"/>
                <w:sz w:val="16"/>
                <w:szCs w:val="16"/>
              </w:rPr>
              <w:t>CT#102</w:t>
            </w:r>
          </w:p>
        </w:tc>
        <w:tc>
          <w:tcPr>
            <w:tcW w:w="1088" w:type="dxa"/>
            <w:shd w:val="solid" w:color="FFFFFF" w:fill="auto"/>
          </w:tcPr>
          <w:p w:rsidR="005779B8" w:rsidRPr="000A0A5F" w:rsidRDefault="005779B8" w:rsidP="005779B8">
            <w:pPr>
              <w:pStyle w:val="TAC"/>
              <w:rPr>
                <w:rFonts w:cs="Arial"/>
                <w:color w:val="000000"/>
                <w:sz w:val="16"/>
                <w:szCs w:val="16"/>
                <w:lang w:eastAsia="zh-CN"/>
              </w:rPr>
            </w:pPr>
            <w:r>
              <w:rPr>
                <w:rFonts w:cs="Arial"/>
                <w:sz w:val="16"/>
                <w:szCs w:val="16"/>
              </w:rPr>
              <w:t>CP-233235</w:t>
            </w:r>
          </w:p>
        </w:tc>
        <w:tc>
          <w:tcPr>
            <w:tcW w:w="524" w:type="dxa"/>
            <w:shd w:val="solid" w:color="FFFFFF" w:fill="auto"/>
          </w:tcPr>
          <w:p w:rsidR="005779B8" w:rsidRPr="000A0A5F" w:rsidRDefault="005779B8" w:rsidP="005779B8">
            <w:pPr>
              <w:pStyle w:val="TAL"/>
              <w:rPr>
                <w:rFonts w:cs="Arial"/>
                <w:color w:val="000000"/>
                <w:sz w:val="16"/>
                <w:szCs w:val="16"/>
                <w:lang w:eastAsia="zh-CN"/>
              </w:rPr>
            </w:pPr>
            <w:r>
              <w:rPr>
                <w:rFonts w:cs="Arial"/>
                <w:sz w:val="16"/>
                <w:szCs w:val="16"/>
              </w:rPr>
              <w:t>0749</w:t>
            </w:r>
          </w:p>
        </w:tc>
        <w:tc>
          <w:tcPr>
            <w:tcW w:w="424" w:type="dxa"/>
            <w:shd w:val="solid" w:color="FFFFFF" w:fill="auto"/>
          </w:tcPr>
          <w:p w:rsidR="005779B8" w:rsidRPr="000A0A5F" w:rsidRDefault="005779B8" w:rsidP="005779B8">
            <w:pPr>
              <w:pStyle w:val="TAR"/>
              <w:rPr>
                <w:rFonts w:cs="Arial"/>
                <w:color w:val="000000"/>
                <w:sz w:val="16"/>
                <w:szCs w:val="16"/>
                <w:lang w:eastAsia="zh-CN"/>
              </w:rPr>
            </w:pPr>
          </w:p>
        </w:tc>
        <w:tc>
          <w:tcPr>
            <w:tcW w:w="424" w:type="dxa"/>
            <w:shd w:val="solid" w:color="FFFFFF" w:fill="auto"/>
          </w:tcPr>
          <w:p w:rsidR="005779B8" w:rsidRPr="000A0A5F" w:rsidRDefault="005779B8" w:rsidP="005779B8">
            <w:pPr>
              <w:pStyle w:val="TAC"/>
              <w:rPr>
                <w:rFonts w:cs="Arial"/>
                <w:color w:val="000000"/>
                <w:sz w:val="16"/>
                <w:szCs w:val="16"/>
                <w:lang w:eastAsia="zh-CN"/>
              </w:rPr>
            </w:pPr>
            <w:r>
              <w:rPr>
                <w:rFonts w:cs="Arial"/>
                <w:sz w:val="16"/>
                <w:szCs w:val="16"/>
              </w:rPr>
              <w:t>F</w:t>
            </w:r>
          </w:p>
        </w:tc>
        <w:tc>
          <w:tcPr>
            <w:tcW w:w="4919" w:type="dxa"/>
            <w:shd w:val="solid" w:color="FFFFFF" w:fill="auto"/>
          </w:tcPr>
          <w:p w:rsidR="005779B8" w:rsidRPr="000A0A5F" w:rsidRDefault="005779B8" w:rsidP="005779B8">
            <w:pPr>
              <w:pStyle w:val="TAL"/>
              <w:rPr>
                <w:sz w:val="16"/>
              </w:rPr>
            </w:pPr>
            <w:r>
              <w:rPr>
                <w:rFonts w:cs="Arial"/>
                <w:sz w:val="16"/>
                <w:szCs w:val="16"/>
              </w:rPr>
              <w:t>Correct the attribute names and add abbreviation</w:t>
            </w:r>
          </w:p>
        </w:tc>
        <w:tc>
          <w:tcPr>
            <w:tcW w:w="707" w:type="dxa"/>
            <w:shd w:val="solid" w:color="FFFFFF" w:fill="auto"/>
          </w:tcPr>
          <w:p w:rsidR="005779B8" w:rsidRPr="000A0A5F" w:rsidRDefault="005779B8" w:rsidP="005779B8">
            <w:pPr>
              <w:pStyle w:val="TAC"/>
              <w:rPr>
                <w:rFonts w:cs="Arial"/>
                <w:color w:val="000000"/>
                <w:sz w:val="16"/>
                <w:szCs w:val="16"/>
                <w:lang w:eastAsia="zh-CN"/>
              </w:rPr>
            </w:pPr>
            <w:r w:rsidRPr="00691B2D">
              <w:rPr>
                <w:rFonts w:cs="Arial"/>
                <w:color w:val="000000"/>
                <w:sz w:val="16"/>
                <w:szCs w:val="16"/>
                <w:lang w:eastAsia="zh-CN"/>
              </w:rPr>
              <w:t>18.4.0</w:t>
            </w:r>
          </w:p>
        </w:tc>
      </w:tr>
      <w:tr w:rsidR="005779B8" w:rsidRPr="00481D2D" w:rsidTr="00274CFF">
        <w:tc>
          <w:tcPr>
            <w:tcW w:w="798" w:type="dxa"/>
            <w:shd w:val="solid" w:color="FFFFFF" w:fill="auto"/>
          </w:tcPr>
          <w:p w:rsidR="005779B8" w:rsidRPr="000A0A5F" w:rsidRDefault="005779B8" w:rsidP="005779B8">
            <w:pPr>
              <w:pStyle w:val="TAC"/>
              <w:rPr>
                <w:rFonts w:cs="Arial"/>
                <w:color w:val="000000"/>
                <w:sz w:val="16"/>
                <w:szCs w:val="16"/>
                <w:lang w:eastAsia="zh-CN"/>
              </w:rPr>
            </w:pPr>
            <w:r>
              <w:rPr>
                <w:rFonts w:cs="Arial"/>
                <w:sz w:val="16"/>
                <w:szCs w:val="16"/>
              </w:rPr>
              <w:t>2023-12</w:t>
            </w:r>
          </w:p>
        </w:tc>
        <w:tc>
          <w:tcPr>
            <w:tcW w:w="797" w:type="dxa"/>
            <w:shd w:val="solid" w:color="FFFFFF" w:fill="auto"/>
          </w:tcPr>
          <w:p w:rsidR="005779B8" w:rsidRPr="000A0A5F" w:rsidRDefault="005779B8" w:rsidP="005779B8">
            <w:pPr>
              <w:pStyle w:val="TAC"/>
              <w:rPr>
                <w:rFonts w:cs="Arial"/>
                <w:color w:val="000000"/>
                <w:sz w:val="16"/>
                <w:szCs w:val="16"/>
                <w:lang w:eastAsia="zh-CN"/>
              </w:rPr>
            </w:pPr>
            <w:r>
              <w:rPr>
                <w:rFonts w:cs="Arial"/>
                <w:sz w:val="16"/>
                <w:szCs w:val="16"/>
              </w:rPr>
              <w:t>CT#102</w:t>
            </w:r>
          </w:p>
        </w:tc>
        <w:tc>
          <w:tcPr>
            <w:tcW w:w="1088" w:type="dxa"/>
            <w:shd w:val="solid" w:color="FFFFFF" w:fill="auto"/>
          </w:tcPr>
          <w:p w:rsidR="005779B8" w:rsidRPr="000A0A5F" w:rsidRDefault="005779B8" w:rsidP="005779B8">
            <w:pPr>
              <w:pStyle w:val="TAC"/>
              <w:rPr>
                <w:rFonts w:cs="Arial"/>
                <w:color w:val="000000"/>
                <w:sz w:val="16"/>
                <w:szCs w:val="16"/>
                <w:lang w:eastAsia="zh-CN"/>
              </w:rPr>
            </w:pPr>
            <w:r>
              <w:rPr>
                <w:rFonts w:cs="Arial"/>
                <w:sz w:val="16"/>
                <w:szCs w:val="16"/>
              </w:rPr>
              <w:t>CP-233233</w:t>
            </w:r>
          </w:p>
        </w:tc>
        <w:tc>
          <w:tcPr>
            <w:tcW w:w="524" w:type="dxa"/>
            <w:shd w:val="solid" w:color="FFFFFF" w:fill="auto"/>
          </w:tcPr>
          <w:p w:rsidR="005779B8" w:rsidRPr="000A0A5F" w:rsidRDefault="005779B8" w:rsidP="005779B8">
            <w:pPr>
              <w:pStyle w:val="TAL"/>
              <w:rPr>
                <w:rFonts w:cs="Arial"/>
                <w:color w:val="000000"/>
                <w:sz w:val="16"/>
                <w:szCs w:val="16"/>
                <w:lang w:eastAsia="zh-CN"/>
              </w:rPr>
            </w:pPr>
            <w:r>
              <w:rPr>
                <w:rFonts w:cs="Arial"/>
                <w:sz w:val="16"/>
                <w:szCs w:val="16"/>
              </w:rPr>
              <w:t>0750</w:t>
            </w:r>
          </w:p>
        </w:tc>
        <w:tc>
          <w:tcPr>
            <w:tcW w:w="424" w:type="dxa"/>
            <w:shd w:val="solid" w:color="FFFFFF" w:fill="auto"/>
          </w:tcPr>
          <w:p w:rsidR="005779B8" w:rsidRPr="000A0A5F" w:rsidRDefault="005779B8" w:rsidP="005779B8">
            <w:pPr>
              <w:pStyle w:val="TAR"/>
              <w:rPr>
                <w:rFonts w:cs="Arial"/>
                <w:color w:val="000000"/>
                <w:sz w:val="16"/>
                <w:szCs w:val="16"/>
                <w:lang w:eastAsia="zh-CN"/>
              </w:rPr>
            </w:pPr>
            <w:r>
              <w:rPr>
                <w:rFonts w:cs="Arial"/>
                <w:sz w:val="16"/>
                <w:szCs w:val="16"/>
              </w:rPr>
              <w:t>1</w:t>
            </w:r>
          </w:p>
        </w:tc>
        <w:tc>
          <w:tcPr>
            <w:tcW w:w="424" w:type="dxa"/>
            <w:shd w:val="solid" w:color="FFFFFF" w:fill="auto"/>
          </w:tcPr>
          <w:p w:rsidR="005779B8" w:rsidRPr="000A0A5F" w:rsidRDefault="005779B8" w:rsidP="005779B8">
            <w:pPr>
              <w:pStyle w:val="TAC"/>
              <w:rPr>
                <w:rFonts w:cs="Arial"/>
                <w:color w:val="000000"/>
                <w:sz w:val="16"/>
                <w:szCs w:val="16"/>
                <w:lang w:eastAsia="zh-CN"/>
              </w:rPr>
            </w:pPr>
            <w:r>
              <w:rPr>
                <w:rFonts w:cs="Arial"/>
                <w:sz w:val="16"/>
                <w:szCs w:val="16"/>
              </w:rPr>
              <w:t>B</w:t>
            </w:r>
          </w:p>
        </w:tc>
        <w:tc>
          <w:tcPr>
            <w:tcW w:w="4919" w:type="dxa"/>
            <w:shd w:val="solid" w:color="FFFFFF" w:fill="auto"/>
          </w:tcPr>
          <w:p w:rsidR="005779B8" w:rsidRPr="000A0A5F" w:rsidRDefault="005779B8" w:rsidP="005779B8">
            <w:pPr>
              <w:pStyle w:val="TAL"/>
              <w:rPr>
                <w:sz w:val="16"/>
              </w:rPr>
            </w:pPr>
            <w:r>
              <w:rPr>
                <w:rFonts w:cs="Arial"/>
                <w:sz w:val="16"/>
                <w:szCs w:val="16"/>
              </w:rPr>
              <w:t>Introduction of new features for PDU set handle and RT latency</w:t>
            </w:r>
          </w:p>
        </w:tc>
        <w:tc>
          <w:tcPr>
            <w:tcW w:w="707" w:type="dxa"/>
            <w:shd w:val="solid" w:color="FFFFFF" w:fill="auto"/>
          </w:tcPr>
          <w:p w:rsidR="005779B8" w:rsidRPr="000A0A5F" w:rsidRDefault="005779B8" w:rsidP="005779B8">
            <w:pPr>
              <w:pStyle w:val="TAC"/>
              <w:rPr>
                <w:rFonts w:cs="Arial"/>
                <w:color w:val="000000"/>
                <w:sz w:val="16"/>
                <w:szCs w:val="16"/>
                <w:lang w:eastAsia="zh-CN"/>
              </w:rPr>
            </w:pPr>
            <w:r w:rsidRPr="00691B2D">
              <w:rPr>
                <w:rFonts w:cs="Arial"/>
                <w:color w:val="000000"/>
                <w:sz w:val="16"/>
                <w:szCs w:val="16"/>
                <w:lang w:eastAsia="zh-CN"/>
              </w:rPr>
              <w:t>18.4.0</w:t>
            </w:r>
          </w:p>
        </w:tc>
      </w:tr>
      <w:tr w:rsidR="005779B8" w:rsidRPr="00481D2D" w:rsidTr="00274CFF">
        <w:tc>
          <w:tcPr>
            <w:tcW w:w="798" w:type="dxa"/>
            <w:shd w:val="solid" w:color="FFFFFF" w:fill="auto"/>
          </w:tcPr>
          <w:p w:rsidR="005779B8" w:rsidRPr="000A0A5F" w:rsidRDefault="005779B8" w:rsidP="005779B8">
            <w:pPr>
              <w:pStyle w:val="TAC"/>
              <w:rPr>
                <w:rFonts w:cs="Arial"/>
                <w:color w:val="000000"/>
                <w:sz w:val="16"/>
                <w:szCs w:val="16"/>
                <w:lang w:eastAsia="zh-CN"/>
              </w:rPr>
            </w:pPr>
            <w:r>
              <w:rPr>
                <w:rFonts w:cs="Arial"/>
                <w:sz w:val="16"/>
                <w:szCs w:val="16"/>
              </w:rPr>
              <w:t>2023-12</w:t>
            </w:r>
          </w:p>
        </w:tc>
        <w:tc>
          <w:tcPr>
            <w:tcW w:w="797" w:type="dxa"/>
            <w:shd w:val="solid" w:color="FFFFFF" w:fill="auto"/>
          </w:tcPr>
          <w:p w:rsidR="005779B8" w:rsidRPr="000A0A5F" w:rsidRDefault="005779B8" w:rsidP="005779B8">
            <w:pPr>
              <w:pStyle w:val="TAC"/>
              <w:rPr>
                <w:rFonts w:cs="Arial"/>
                <w:color w:val="000000"/>
                <w:sz w:val="16"/>
                <w:szCs w:val="16"/>
                <w:lang w:eastAsia="zh-CN"/>
              </w:rPr>
            </w:pPr>
            <w:r>
              <w:rPr>
                <w:rFonts w:cs="Arial"/>
                <w:sz w:val="16"/>
                <w:szCs w:val="16"/>
              </w:rPr>
              <w:t>CT#102</w:t>
            </w:r>
          </w:p>
        </w:tc>
        <w:tc>
          <w:tcPr>
            <w:tcW w:w="1088" w:type="dxa"/>
            <w:shd w:val="solid" w:color="FFFFFF" w:fill="auto"/>
          </w:tcPr>
          <w:p w:rsidR="005779B8" w:rsidRPr="000A0A5F" w:rsidRDefault="005779B8" w:rsidP="005779B8">
            <w:pPr>
              <w:pStyle w:val="TAC"/>
              <w:rPr>
                <w:rFonts w:cs="Arial"/>
                <w:color w:val="000000"/>
                <w:sz w:val="16"/>
                <w:szCs w:val="16"/>
                <w:lang w:eastAsia="zh-CN"/>
              </w:rPr>
            </w:pPr>
            <w:r>
              <w:rPr>
                <w:rFonts w:cs="Arial"/>
                <w:sz w:val="16"/>
                <w:szCs w:val="16"/>
              </w:rPr>
              <w:t>CP-233233</w:t>
            </w:r>
          </w:p>
        </w:tc>
        <w:tc>
          <w:tcPr>
            <w:tcW w:w="524" w:type="dxa"/>
            <w:shd w:val="solid" w:color="FFFFFF" w:fill="auto"/>
          </w:tcPr>
          <w:p w:rsidR="005779B8" w:rsidRPr="000A0A5F" w:rsidRDefault="005779B8" w:rsidP="005779B8">
            <w:pPr>
              <w:pStyle w:val="TAL"/>
              <w:rPr>
                <w:rFonts w:cs="Arial"/>
                <w:color w:val="000000"/>
                <w:sz w:val="16"/>
                <w:szCs w:val="16"/>
                <w:lang w:eastAsia="zh-CN"/>
              </w:rPr>
            </w:pPr>
            <w:r>
              <w:rPr>
                <w:rFonts w:cs="Arial"/>
                <w:sz w:val="16"/>
                <w:szCs w:val="16"/>
              </w:rPr>
              <w:t>0752</w:t>
            </w:r>
          </w:p>
        </w:tc>
        <w:tc>
          <w:tcPr>
            <w:tcW w:w="424" w:type="dxa"/>
            <w:shd w:val="solid" w:color="FFFFFF" w:fill="auto"/>
          </w:tcPr>
          <w:p w:rsidR="005779B8" w:rsidRPr="000A0A5F" w:rsidRDefault="005779B8" w:rsidP="005779B8">
            <w:pPr>
              <w:pStyle w:val="TAR"/>
              <w:rPr>
                <w:rFonts w:cs="Arial"/>
                <w:color w:val="000000"/>
                <w:sz w:val="16"/>
                <w:szCs w:val="16"/>
                <w:lang w:eastAsia="zh-CN"/>
              </w:rPr>
            </w:pPr>
          </w:p>
        </w:tc>
        <w:tc>
          <w:tcPr>
            <w:tcW w:w="424" w:type="dxa"/>
            <w:shd w:val="solid" w:color="FFFFFF" w:fill="auto"/>
          </w:tcPr>
          <w:p w:rsidR="005779B8" w:rsidRPr="000A0A5F" w:rsidRDefault="005779B8" w:rsidP="005779B8">
            <w:pPr>
              <w:pStyle w:val="TAC"/>
              <w:rPr>
                <w:rFonts w:cs="Arial"/>
                <w:color w:val="000000"/>
                <w:sz w:val="16"/>
                <w:szCs w:val="16"/>
                <w:lang w:eastAsia="zh-CN"/>
              </w:rPr>
            </w:pPr>
            <w:r>
              <w:rPr>
                <w:rFonts w:cs="Arial"/>
                <w:sz w:val="16"/>
                <w:szCs w:val="16"/>
              </w:rPr>
              <w:t>B</w:t>
            </w:r>
          </w:p>
        </w:tc>
        <w:tc>
          <w:tcPr>
            <w:tcW w:w="4919" w:type="dxa"/>
            <w:shd w:val="solid" w:color="FFFFFF" w:fill="auto"/>
          </w:tcPr>
          <w:p w:rsidR="005779B8" w:rsidRPr="000A0A5F" w:rsidRDefault="005779B8" w:rsidP="005779B8">
            <w:pPr>
              <w:pStyle w:val="TAL"/>
              <w:rPr>
                <w:sz w:val="16"/>
              </w:rPr>
            </w:pPr>
            <w:r>
              <w:rPr>
                <w:rFonts w:cs="Arial"/>
                <w:sz w:val="16"/>
                <w:szCs w:val="16"/>
              </w:rPr>
              <w:t>Update Data Rate monitoring</w:t>
            </w:r>
          </w:p>
        </w:tc>
        <w:tc>
          <w:tcPr>
            <w:tcW w:w="707" w:type="dxa"/>
            <w:shd w:val="solid" w:color="FFFFFF" w:fill="auto"/>
          </w:tcPr>
          <w:p w:rsidR="005779B8" w:rsidRPr="000A0A5F" w:rsidRDefault="005779B8" w:rsidP="005779B8">
            <w:pPr>
              <w:pStyle w:val="TAC"/>
              <w:rPr>
                <w:rFonts w:cs="Arial"/>
                <w:color w:val="000000"/>
                <w:sz w:val="16"/>
                <w:szCs w:val="16"/>
                <w:lang w:eastAsia="zh-CN"/>
              </w:rPr>
            </w:pPr>
            <w:r w:rsidRPr="00691B2D">
              <w:rPr>
                <w:rFonts w:cs="Arial"/>
                <w:color w:val="000000"/>
                <w:sz w:val="16"/>
                <w:szCs w:val="16"/>
                <w:lang w:eastAsia="zh-CN"/>
              </w:rPr>
              <w:t>18.4.0</w:t>
            </w:r>
          </w:p>
        </w:tc>
      </w:tr>
      <w:tr w:rsidR="005779B8" w:rsidRPr="00481D2D" w:rsidTr="00274CFF">
        <w:tc>
          <w:tcPr>
            <w:tcW w:w="798" w:type="dxa"/>
            <w:shd w:val="solid" w:color="FFFFFF" w:fill="auto"/>
          </w:tcPr>
          <w:p w:rsidR="005779B8" w:rsidRPr="000A0A5F" w:rsidRDefault="005779B8" w:rsidP="005779B8">
            <w:pPr>
              <w:pStyle w:val="TAC"/>
              <w:rPr>
                <w:rFonts w:cs="Arial"/>
                <w:color w:val="000000"/>
                <w:sz w:val="16"/>
                <w:szCs w:val="16"/>
                <w:lang w:eastAsia="zh-CN"/>
              </w:rPr>
            </w:pPr>
            <w:r>
              <w:rPr>
                <w:rFonts w:cs="Arial"/>
                <w:sz w:val="16"/>
                <w:szCs w:val="16"/>
              </w:rPr>
              <w:t>2023-12</w:t>
            </w:r>
          </w:p>
        </w:tc>
        <w:tc>
          <w:tcPr>
            <w:tcW w:w="797" w:type="dxa"/>
            <w:shd w:val="solid" w:color="FFFFFF" w:fill="auto"/>
          </w:tcPr>
          <w:p w:rsidR="005779B8" w:rsidRPr="000A0A5F" w:rsidRDefault="005779B8" w:rsidP="005779B8">
            <w:pPr>
              <w:pStyle w:val="TAC"/>
              <w:rPr>
                <w:rFonts w:cs="Arial"/>
                <w:color w:val="000000"/>
                <w:sz w:val="16"/>
                <w:szCs w:val="16"/>
                <w:lang w:eastAsia="zh-CN"/>
              </w:rPr>
            </w:pPr>
            <w:r>
              <w:rPr>
                <w:rFonts w:cs="Arial"/>
                <w:sz w:val="16"/>
                <w:szCs w:val="16"/>
              </w:rPr>
              <w:t>CT#102</w:t>
            </w:r>
          </w:p>
        </w:tc>
        <w:tc>
          <w:tcPr>
            <w:tcW w:w="1088" w:type="dxa"/>
            <w:shd w:val="solid" w:color="FFFFFF" w:fill="auto"/>
          </w:tcPr>
          <w:p w:rsidR="005779B8" w:rsidRPr="000A0A5F" w:rsidRDefault="005779B8" w:rsidP="005779B8">
            <w:pPr>
              <w:pStyle w:val="TAC"/>
              <w:rPr>
                <w:rFonts w:cs="Arial"/>
                <w:color w:val="000000"/>
                <w:sz w:val="16"/>
                <w:szCs w:val="16"/>
                <w:lang w:eastAsia="zh-CN"/>
              </w:rPr>
            </w:pPr>
            <w:r>
              <w:rPr>
                <w:rFonts w:cs="Arial"/>
                <w:sz w:val="16"/>
                <w:szCs w:val="16"/>
              </w:rPr>
              <w:t>CP-233231</w:t>
            </w:r>
          </w:p>
        </w:tc>
        <w:tc>
          <w:tcPr>
            <w:tcW w:w="524" w:type="dxa"/>
            <w:shd w:val="solid" w:color="FFFFFF" w:fill="auto"/>
          </w:tcPr>
          <w:p w:rsidR="005779B8" w:rsidRPr="000A0A5F" w:rsidRDefault="005779B8" w:rsidP="005779B8">
            <w:pPr>
              <w:pStyle w:val="TAL"/>
              <w:rPr>
                <w:rFonts w:cs="Arial"/>
                <w:color w:val="000000"/>
                <w:sz w:val="16"/>
                <w:szCs w:val="16"/>
                <w:lang w:eastAsia="zh-CN"/>
              </w:rPr>
            </w:pPr>
            <w:r>
              <w:rPr>
                <w:rFonts w:cs="Arial"/>
                <w:sz w:val="16"/>
                <w:szCs w:val="16"/>
              </w:rPr>
              <w:t>0753</w:t>
            </w:r>
          </w:p>
        </w:tc>
        <w:tc>
          <w:tcPr>
            <w:tcW w:w="424" w:type="dxa"/>
            <w:shd w:val="solid" w:color="FFFFFF" w:fill="auto"/>
          </w:tcPr>
          <w:p w:rsidR="005779B8" w:rsidRPr="000A0A5F" w:rsidRDefault="005779B8" w:rsidP="005779B8">
            <w:pPr>
              <w:pStyle w:val="TAR"/>
              <w:rPr>
                <w:rFonts w:cs="Arial"/>
                <w:color w:val="000000"/>
                <w:sz w:val="16"/>
                <w:szCs w:val="16"/>
                <w:lang w:eastAsia="zh-CN"/>
              </w:rPr>
            </w:pPr>
          </w:p>
        </w:tc>
        <w:tc>
          <w:tcPr>
            <w:tcW w:w="424" w:type="dxa"/>
            <w:shd w:val="solid" w:color="FFFFFF" w:fill="auto"/>
          </w:tcPr>
          <w:p w:rsidR="005779B8" w:rsidRPr="000A0A5F" w:rsidRDefault="005779B8" w:rsidP="005779B8">
            <w:pPr>
              <w:pStyle w:val="TAC"/>
              <w:rPr>
                <w:rFonts w:cs="Arial"/>
                <w:color w:val="000000"/>
                <w:sz w:val="16"/>
                <w:szCs w:val="16"/>
                <w:lang w:eastAsia="zh-CN"/>
              </w:rPr>
            </w:pPr>
            <w:r>
              <w:rPr>
                <w:rFonts w:cs="Arial"/>
                <w:sz w:val="16"/>
                <w:szCs w:val="16"/>
              </w:rPr>
              <w:t>F</w:t>
            </w:r>
          </w:p>
        </w:tc>
        <w:tc>
          <w:tcPr>
            <w:tcW w:w="4919" w:type="dxa"/>
            <w:shd w:val="solid" w:color="FFFFFF" w:fill="auto"/>
          </w:tcPr>
          <w:p w:rsidR="005779B8" w:rsidRPr="000A0A5F" w:rsidRDefault="005779B8" w:rsidP="005779B8">
            <w:pPr>
              <w:pStyle w:val="TAL"/>
              <w:rPr>
                <w:sz w:val="16"/>
              </w:rPr>
            </w:pPr>
            <w:r>
              <w:rPr>
                <w:rFonts w:cs="Arial"/>
                <w:sz w:val="16"/>
                <w:szCs w:val="16"/>
              </w:rPr>
              <w:t>Corrections to the monitoringType and addnMonTypes attributes</w:t>
            </w:r>
          </w:p>
        </w:tc>
        <w:tc>
          <w:tcPr>
            <w:tcW w:w="707" w:type="dxa"/>
            <w:shd w:val="solid" w:color="FFFFFF" w:fill="auto"/>
          </w:tcPr>
          <w:p w:rsidR="005779B8" w:rsidRPr="000A0A5F" w:rsidRDefault="005779B8" w:rsidP="005779B8">
            <w:pPr>
              <w:pStyle w:val="TAC"/>
              <w:rPr>
                <w:rFonts w:cs="Arial"/>
                <w:color w:val="000000"/>
                <w:sz w:val="16"/>
                <w:szCs w:val="16"/>
                <w:lang w:eastAsia="zh-CN"/>
              </w:rPr>
            </w:pPr>
            <w:r w:rsidRPr="00691B2D">
              <w:rPr>
                <w:rFonts w:cs="Arial"/>
                <w:color w:val="000000"/>
                <w:sz w:val="16"/>
                <w:szCs w:val="16"/>
                <w:lang w:eastAsia="zh-CN"/>
              </w:rPr>
              <w:t>18.4.0</w:t>
            </w:r>
          </w:p>
        </w:tc>
      </w:tr>
      <w:tr w:rsidR="005779B8" w:rsidRPr="00481D2D" w:rsidTr="00274CFF">
        <w:tc>
          <w:tcPr>
            <w:tcW w:w="798" w:type="dxa"/>
            <w:shd w:val="solid" w:color="FFFFFF" w:fill="auto"/>
          </w:tcPr>
          <w:p w:rsidR="005779B8" w:rsidRPr="000A0A5F" w:rsidRDefault="005779B8" w:rsidP="005779B8">
            <w:pPr>
              <w:pStyle w:val="TAC"/>
              <w:rPr>
                <w:rFonts w:cs="Arial"/>
                <w:color w:val="000000"/>
                <w:sz w:val="16"/>
                <w:szCs w:val="16"/>
                <w:lang w:eastAsia="zh-CN"/>
              </w:rPr>
            </w:pPr>
            <w:r>
              <w:rPr>
                <w:rFonts w:cs="Arial"/>
                <w:sz w:val="16"/>
                <w:szCs w:val="16"/>
              </w:rPr>
              <w:t>2023-12</w:t>
            </w:r>
          </w:p>
        </w:tc>
        <w:tc>
          <w:tcPr>
            <w:tcW w:w="797" w:type="dxa"/>
            <w:shd w:val="solid" w:color="FFFFFF" w:fill="auto"/>
          </w:tcPr>
          <w:p w:rsidR="005779B8" w:rsidRPr="000A0A5F" w:rsidRDefault="005779B8" w:rsidP="005779B8">
            <w:pPr>
              <w:pStyle w:val="TAC"/>
              <w:rPr>
                <w:rFonts w:cs="Arial"/>
                <w:color w:val="000000"/>
                <w:sz w:val="16"/>
                <w:szCs w:val="16"/>
                <w:lang w:eastAsia="zh-CN"/>
              </w:rPr>
            </w:pPr>
            <w:r>
              <w:rPr>
                <w:rFonts w:cs="Arial"/>
                <w:sz w:val="16"/>
                <w:szCs w:val="16"/>
              </w:rPr>
              <w:t>CT#102</w:t>
            </w:r>
          </w:p>
        </w:tc>
        <w:tc>
          <w:tcPr>
            <w:tcW w:w="1088" w:type="dxa"/>
            <w:shd w:val="solid" w:color="FFFFFF" w:fill="auto"/>
          </w:tcPr>
          <w:p w:rsidR="005779B8" w:rsidRPr="000A0A5F" w:rsidRDefault="005779B8" w:rsidP="005779B8">
            <w:pPr>
              <w:pStyle w:val="TAC"/>
              <w:rPr>
                <w:rFonts w:cs="Arial"/>
                <w:color w:val="000000"/>
                <w:sz w:val="16"/>
                <w:szCs w:val="16"/>
                <w:lang w:eastAsia="zh-CN"/>
              </w:rPr>
            </w:pPr>
            <w:r>
              <w:rPr>
                <w:rFonts w:cs="Arial"/>
                <w:sz w:val="16"/>
                <w:szCs w:val="16"/>
              </w:rPr>
              <w:t>CP-233231</w:t>
            </w:r>
          </w:p>
        </w:tc>
        <w:tc>
          <w:tcPr>
            <w:tcW w:w="524" w:type="dxa"/>
            <w:shd w:val="solid" w:color="FFFFFF" w:fill="auto"/>
          </w:tcPr>
          <w:p w:rsidR="005779B8" w:rsidRPr="000A0A5F" w:rsidRDefault="005779B8" w:rsidP="005779B8">
            <w:pPr>
              <w:pStyle w:val="TAL"/>
              <w:rPr>
                <w:rFonts w:cs="Arial"/>
                <w:color w:val="000000"/>
                <w:sz w:val="16"/>
                <w:szCs w:val="16"/>
                <w:lang w:eastAsia="zh-CN"/>
              </w:rPr>
            </w:pPr>
            <w:r>
              <w:rPr>
                <w:rFonts w:cs="Arial"/>
                <w:sz w:val="16"/>
                <w:szCs w:val="16"/>
              </w:rPr>
              <w:t>0754</w:t>
            </w:r>
          </w:p>
        </w:tc>
        <w:tc>
          <w:tcPr>
            <w:tcW w:w="424" w:type="dxa"/>
            <w:shd w:val="solid" w:color="FFFFFF" w:fill="auto"/>
          </w:tcPr>
          <w:p w:rsidR="005779B8" w:rsidRPr="000A0A5F" w:rsidRDefault="005779B8" w:rsidP="005779B8">
            <w:pPr>
              <w:pStyle w:val="TAR"/>
              <w:rPr>
                <w:rFonts w:cs="Arial"/>
                <w:color w:val="000000"/>
                <w:sz w:val="16"/>
                <w:szCs w:val="16"/>
                <w:lang w:eastAsia="zh-CN"/>
              </w:rPr>
            </w:pPr>
            <w:r>
              <w:rPr>
                <w:rFonts w:cs="Arial"/>
                <w:sz w:val="16"/>
                <w:szCs w:val="16"/>
              </w:rPr>
              <w:t>1</w:t>
            </w:r>
          </w:p>
        </w:tc>
        <w:tc>
          <w:tcPr>
            <w:tcW w:w="424" w:type="dxa"/>
            <w:shd w:val="solid" w:color="FFFFFF" w:fill="auto"/>
          </w:tcPr>
          <w:p w:rsidR="005779B8" w:rsidRPr="000A0A5F" w:rsidRDefault="005779B8" w:rsidP="005779B8">
            <w:pPr>
              <w:pStyle w:val="TAC"/>
              <w:rPr>
                <w:rFonts w:cs="Arial"/>
                <w:color w:val="000000"/>
                <w:sz w:val="16"/>
                <w:szCs w:val="16"/>
                <w:lang w:eastAsia="zh-CN"/>
              </w:rPr>
            </w:pPr>
            <w:r>
              <w:rPr>
                <w:rFonts w:cs="Arial"/>
                <w:sz w:val="16"/>
                <w:szCs w:val="16"/>
              </w:rPr>
              <w:t>F</w:t>
            </w:r>
          </w:p>
        </w:tc>
        <w:tc>
          <w:tcPr>
            <w:tcW w:w="4919" w:type="dxa"/>
            <w:shd w:val="solid" w:color="FFFFFF" w:fill="auto"/>
          </w:tcPr>
          <w:p w:rsidR="005779B8" w:rsidRPr="000A0A5F" w:rsidRDefault="005779B8" w:rsidP="005779B8">
            <w:pPr>
              <w:pStyle w:val="TAL"/>
              <w:rPr>
                <w:sz w:val="16"/>
              </w:rPr>
            </w:pPr>
            <w:r>
              <w:rPr>
                <w:rFonts w:cs="Arial"/>
                <w:sz w:val="16"/>
                <w:szCs w:val="16"/>
              </w:rPr>
              <w:t>Corrections to the User Consent Revocation Notification definition</w:t>
            </w:r>
          </w:p>
        </w:tc>
        <w:tc>
          <w:tcPr>
            <w:tcW w:w="707" w:type="dxa"/>
            <w:shd w:val="solid" w:color="FFFFFF" w:fill="auto"/>
          </w:tcPr>
          <w:p w:rsidR="005779B8" w:rsidRPr="000A0A5F" w:rsidRDefault="005779B8" w:rsidP="005779B8">
            <w:pPr>
              <w:pStyle w:val="TAC"/>
              <w:rPr>
                <w:rFonts w:cs="Arial"/>
                <w:color w:val="000000"/>
                <w:sz w:val="16"/>
                <w:szCs w:val="16"/>
                <w:lang w:eastAsia="zh-CN"/>
              </w:rPr>
            </w:pPr>
            <w:r w:rsidRPr="00691B2D">
              <w:rPr>
                <w:rFonts w:cs="Arial"/>
                <w:color w:val="000000"/>
                <w:sz w:val="16"/>
                <w:szCs w:val="16"/>
                <w:lang w:eastAsia="zh-CN"/>
              </w:rPr>
              <w:t>18.4.0</w:t>
            </w:r>
          </w:p>
        </w:tc>
      </w:tr>
      <w:tr w:rsidR="005779B8" w:rsidRPr="00481D2D" w:rsidTr="00274CFF">
        <w:tc>
          <w:tcPr>
            <w:tcW w:w="798" w:type="dxa"/>
            <w:shd w:val="solid" w:color="FFFFFF" w:fill="auto"/>
          </w:tcPr>
          <w:p w:rsidR="005779B8" w:rsidRPr="000A0A5F" w:rsidRDefault="005779B8" w:rsidP="005779B8">
            <w:pPr>
              <w:pStyle w:val="TAC"/>
              <w:rPr>
                <w:rFonts w:cs="Arial"/>
                <w:color w:val="000000"/>
                <w:sz w:val="16"/>
                <w:szCs w:val="16"/>
                <w:lang w:eastAsia="zh-CN"/>
              </w:rPr>
            </w:pPr>
            <w:r>
              <w:rPr>
                <w:rFonts w:cs="Arial"/>
                <w:sz w:val="16"/>
                <w:szCs w:val="16"/>
              </w:rPr>
              <w:t>2023-12</w:t>
            </w:r>
          </w:p>
        </w:tc>
        <w:tc>
          <w:tcPr>
            <w:tcW w:w="797" w:type="dxa"/>
            <w:shd w:val="solid" w:color="FFFFFF" w:fill="auto"/>
          </w:tcPr>
          <w:p w:rsidR="005779B8" w:rsidRPr="000A0A5F" w:rsidRDefault="005779B8" w:rsidP="005779B8">
            <w:pPr>
              <w:pStyle w:val="TAC"/>
              <w:rPr>
                <w:rFonts w:cs="Arial"/>
                <w:color w:val="000000"/>
                <w:sz w:val="16"/>
                <w:szCs w:val="16"/>
                <w:lang w:eastAsia="zh-CN"/>
              </w:rPr>
            </w:pPr>
            <w:r>
              <w:rPr>
                <w:rFonts w:cs="Arial"/>
                <w:sz w:val="16"/>
                <w:szCs w:val="16"/>
              </w:rPr>
              <w:t>CT#102</w:t>
            </w:r>
          </w:p>
        </w:tc>
        <w:tc>
          <w:tcPr>
            <w:tcW w:w="1088" w:type="dxa"/>
            <w:shd w:val="solid" w:color="FFFFFF" w:fill="auto"/>
          </w:tcPr>
          <w:p w:rsidR="005779B8" w:rsidRPr="000A0A5F" w:rsidRDefault="005779B8" w:rsidP="005779B8">
            <w:pPr>
              <w:pStyle w:val="TAC"/>
              <w:rPr>
                <w:rFonts w:cs="Arial"/>
                <w:color w:val="000000"/>
                <w:sz w:val="16"/>
                <w:szCs w:val="16"/>
                <w:lang w:eastAsia="zh-CN"/>
              </w:rPr>
            </w:pPr>
            <w:r>
              <w:rPr>
                <w:rFonts w:cs="Arial"/>
                <w:sz w:val="16"/>
                <w:szCs w:val="16"/>
              </w:rPr>
              <w:t>CP-233234</w:t>
            </w:r>
          </w:p>
        </w:tc>
        <w:tc>
          <w:tcPr>
            <w:tcW w:w="524" w:type="dxa"/>
            <w:shd w:val="solid" w:color="FFFFFF" w:fill="auto"/>
          </w:tcPr>
          <w:p w:rsidR="005779B8" w:rsidRPr="000A0A5F" w:rsidRDefault="005779B8" w:rsidP="005779B8">
            <w:pPr>
              <w:pStyle w:val="TAL"/>
              <w:rPr>
                <w:rFonts w:cs="Arial"/>
                <w:color w:val="000000"/>
                <w:sz w:val="16"/>
                <w:szCs w:val="16"/>
                <w:lang w:eastAsia="zh-CN"/>
              </w:rPr>
            </w:pPr>
            <w:r>
              <w:rPr>
                <w:rFonts w:cs="Arial"/>
                <w:sz w:val="16"/>
                <w:szCs w:val="16"/>
              </w:rPr>
              <w:t>0755</w:t>
            </w:r>
          </w:p>
        </w:tc>
        <w:tc>
          <w:tcPr>
            <w:tcW w:w="424" w:type="dxa"/>
            <w:shd w:val="solid" w:color="FFFFFF" w:fill="auto"/>
          </w:tcPr>
          <w:p w:rsidR="005779B8" w:rsidRPr="000A0A5F" w:rsidRDefault="005779B8" w:rsidP="005779B8">
            <w:pPr>
              <w:pStyle w:val="TAR"/>
              <w:rPr>
                <w:rFonts w:cs="Arial"/>
                <w:color w:val="000000"/>
                <w:sz w:val="16"/>
                <w:szCs w:val="16"/>
                <w:lang w:eastAsia="zh-CN"/>
              </w:rPr>
            </w:pPr>
            <w:r>
              <w:rPr>
                <w:rFonts w:cs="Arial"/>
                <w:sz w:val="16"/>
                <w:szCs w:val="16"/>
              </w:rPr>
              <w:t>3</w:t>
            </w:r>
          </w:p>
        </w:tc>
        <w:tc>
          <w:tcPr>
            <w:tcW w:w="424" w:type="dxa"/>
            <w:shd w:val="solid" w:color="FFFFFF" w:fill="auto"/>
          </w:tcPr>
          <w:p w:rsidR="005779B8" w:rsidRPr="000A0A5F" w:rsidRDefault="005779B8" w:rsidP="005779B8">
            <w:pPr>
              <w:pStyle w:val="TAC"/>
              <w:rPr>
                <w:rFonts w:cs="Arial"/>
                <w:color w:val="000000"/>
                <w:sz w:val="16"/>
                <w:szCs w:val="16"/>
                <w:lang w:eastAsia="zh-CN"/>
              </w:rPr>
            </w:pPr>
            <w:r>
              <w:rPr>
                <w:rFonts w:cs="Arial"/>
                <w:sz w:val="16"/>
                <w:szCs w:val="16"/>
              </w:rPr>
              <w:t>B</w:t>
            </w:r>
          </w:p>
        </w:tc>
        <w:tc>
          <w:tcPr>
            <w:tcW w:w="4919" w:type="dxa"/>
            <w:shd w:val="solid" w:color="FFFFFF" w:fill="auto"/>
          </w:tcPr>
          <w:p w:rsidR="005779B8" w:rsidRPr="000A0A5F" w:rsidRDefault="005779B8" w:rsidP="005779B8">
            <w:pPr>
              <w:pStyle w:val="TAL"/>
              <w:rPr>
                <w:sz w:val="16"/>
              </w:rPr>
            </w:pPr>
            <w:r>
              <w:rPr>
                <w:rFonts w:cs="Arial"/>
                <w:sz w:val="16"/>
                <w:szCs w:val="16"/>
              </w:rPr>
              <w:t>Support of subscription to flow level events</w:t>
            </w:r>
          </w:p>
        </w:tc>
        <w:tc>
          <w:tcPr>
            <w:tcW w:w="707" w:type="dxa"/>
            <w:shd w:val="solid" w:color="FFFFFF" w:fill="auto"/>
          </w:tcPr>
          <w:p w:rsidR="005779B8" w:rsidRPr="000A0A5F" w:rsidRDefault="005779B8" w:rsidP="005779B8">
            <w:pPr>
              <w:pStyle w:val="TAC"/>
              <w:rPr>
                <w:rFonts w:cs="Arial"/>
                <w:color w:val="000000"/>
                <w:sz w:val="16"/>
                <w:szCs w:val="16"/>
                <w:lang w:eastAsia="zh-CN"/>
              </w:rPr>
            </w:pPr>
            <w:r w:rsidRPr="00691B2D">
              <w:rPr>
                <w:rFonts w:cs="Arial"/>
                <w:color w:val="000000"/>
                <w:sz w:val="16"/>
                <w:szCs w:val="16"/>
                <w:lang w:eastAsia="zh-CN"/>
              </w:rPr>
              <w:t>18.4.0</w:t>
            </w:r>
          </w:p>
        </w:tc>
      </w:tr>
      <w:tr w:rsidR="005779B8" w:rsidRPr="00481D2D" w:rsidTr="00274CFF">
        <w:tc>
          <w:tcPr>
            <w:tcW w:w="798" w:type="dxa"/>
            <w:shd w:val="solid" w:color="FFFFFF" w:fill="auto"/>
          </w:tcPr>
          <w:p w:rsidR="005779B8" w:rsidRDefault="005779B8" w:rsidP="005779B8">
            <w:pPr>
              <w:pStyle w:val="TAC"/>
              <w:rPr>
                <w:rFonts w:cs="Arial"/>
                <w:sz w:val="16"/>
                <w:szCs w:val="16"/>
              </w:rPr>
            </w:pPr>
            <w:r>
              <w:rPr>
                <w:rFonts w:cs="Arial"/>
                <w:sz w:val="16"/>
                <w:szCs w:val="16"/>
              </w:rPr>
              <w:t>2023-12</w:t>
            </w:r>
          </w:p>
        </w:tc>
        <w:tc>
          <w:tcPr>
            <w:tcW w:w="797" w:type="dxa"/>
            <w:shd w:val="solid" w:color="FFFFFF" w:fill="auto"/>
          </w:tcPr>
          <w:p w:rsidR="005779B8" w:rsidRDefault="005779B8" w:rsidP="005779B8">
            <w:pPr>
              <w:pStyle w:val="TAC"/>
              <w:rPr>
                <w:rFonts w:cs="Arial"/>
                <w:sz w:val="16"/>
                <w:szCs w:val="16"/>
              </w:rPr>
            </w:pPr>
            <w:r>
              <w:rPr>
                <w:rFonts w:cs="Arial"/>
                <w:sz w:val="16"/>
                <w:szCs w:val="16"/>
              </w:rPr>
              <w:t>CT#102</w:t>
            </w:r>
          </w:p>
        </w:tc>
        <w:tc>
          <w:tcPr>
            <w:tcW w:w="1088" w:type="dxa"/>
            <w:shd w:val="solid" w:color="FFFFFF" w:fill="auto"/>
          </w:tcPr>
          <w:p w:rsidR="005779B8" w:rsidRDefault="005779B8" w:rsidP="005779B8">
            <w:pPr>
              <w:pStyle w:val="TAC"/>
              <w:rPr>
                <w:rFonts w:cs="Arial"/>
                <w:sz w:val="16"/>
                <w:szCs w:val="16"/>
              </w:rPr>
            </w:pPr>
            <w:r>
              <w:rPr>
                <w:rFonts w:cs="Arial"/>
                <w:sz w:val="16"/>
                <w:szCs w:val="16"/>
              </w:rPr>
              <w:t>CP-233233</w:t>
            </w:r>
          </w:p>
        </w:tc>
        <w:tc>
          <w:tcPr>
            <w:tcW w:w="524" w:type="dxa"/>
            <w:shd w:val="solid" w:color="FFFFFF" w:fill="auto"/>
          </w:tcPr>
          <w:p w:rsidR="005779B8" w:rsidRDefault="005779B8" w:rsidP="005779B8">
            <w:pPr>
              <w:pStyle w:val="TAL"/>
              <w:rPr>
                <w:rFonts w:cs="Arial"/>
                <w:sz w:val="16"/>
                <w:szCs w:val="16"/>
              </w:rPr>
            </w:pPr>
            <w:r>
              <w:rPr>
                <w:rFonts w:cs="Arial"/>
                <w:sz w:val="16"/>
                <w:szCs w:val="16"/>
              </w:rPr>
              <w:t>0756</w:t>
            </w:r>
          </w:p>
        </w:tc>
        <w:tc>
          <w:tcPr>
            <w:tcW w:w="424" w:type="dxa"/>
            <w:shd w:val="solid" w:color="FFFFFF" w:fill="auto"/>
          </w:tcPr>
          <w:p w:rsidR="005779B8" w:rsidRDefault="005779B8" w:rsidP="005779B8">
            <w:pPr>
              <w:pStyle w:val="TAR"/>
              <w:rPr>
                <w:rFonts w:cs="Arial"/>
                <w:sz w:val="16"/>
                <w:szCs w:val="16"/>
              </w:rPr>
            </w:pPr>
            <w:r>
              <w:rPr>
                <w:rFonts w:cs="Arial"/>
                <w:sz w:val="16"/>
                <w:szCs w:val="16"/>
              </w:rPr>
              <w:t>1</w:t>
            </w:r>
          </w:p>
        </w:tc>
        <w:tc>
          <w:tcPr>
            <w:tcW w:w="424" w:type="dxa"/>
            <w:shd w:val="solid" w:color="FFFFFF" w:fill="auto"/>
          </w:tcPr>
          <w:p w:rsidR="005779B8" w:rsidRDefault="005779B8" w:rsidP="005779B8">
            <w:pPr>
              <w:pStyle w:val="TAC"/>
              <w:rPr>
                <w:rFonts w:cs="Arial"/>
                <w:sz w:val="16"/>
                <w:szCs w:val="16"/>
              </w:rPr>
            </w:pPr>
            <w:r>
              <w:rPr>
                <w:rFonts w:cs="Arial"/>
                <w:sz w:val="16"/>
                <w:szCs w:val="16"/>
              </w:rPr>
              <w:t>F</w:t>
            </w:r>
          </w:p>
        </w:tc>
        <w:tc>
          <w:tcPr>
            <w:tcW w:w="4919" w:type="dxa"/>
            <w:shd w:val="solid" w:color="FFFFFF" w:fill="auto"/>
          </w:tcPr>
          <w:p w:rsidR="005779B8" w:rsidRDefault="005779B8" w:rsidP="005779B8">
            <w:pPr>
              <w:pStyle w:val="TAL"/>
              <w:rPr>
                <w:rFonts w:cs="Arial"/>
                <w:sz w:val="16"/>
                <w:szCs w:val="16"/>
              </w:rPr>
            </w:pPr>
            <w:r>
              <w:rPr>
                <w:rFonts w:cs="Arial"/>
                <w:sz w:val="16"/>
                <w:szCs w:val="16"/>
              </w:rPr>
              <w:t>Support of the new feature name EnQoSMon</w:t>
            </w:r>
          </w:p>
        </w:tc>
        <w:tc>
          <w:tcPr>
            <w:tcW w:w="707" w:type="dxa"/>
            <w:shd w:val="solid" w:color="FFFFFF" w:fill="auto"/>
          </w:tcPr>
          <w:p w:rsidR="005779B8" w:rsidRPr="000A0A5F" w:rsidRDefault="005779B8" w:rsidP="005779B8">
            <w:pPr>
              <w:pStyle w:val="TAC"/>
              <w:rPr>
                <w:rFonts w:cs="Arial"/>
                <w:color w:val="000000"/>
                <w:sz w:val="16"/>
                <w:szCs w:val="16"/>
                <w:lang w:eastAsia="zh-CN"/>
              </w:rPr>
            </w:pPr>
            <w:r w:rsidRPr="00691B2D">
              <w:rPr>
                <w:rFonts w:cs="Arial"/>
                <w:color w:val="000000"/>
                <w:sz w:val="16"/>
                <w:szCs w:val="16"/>
                <w:lang w:eastAsia="zh-CN"/>
              </w:rPr>
              <w:t>18.4.0</w:t>
            </w:r>
          </w:p>
        </w:tc>
      </w:tr>
      <w:tr w:rsidR="005779B8" w:rsidRPr="00481D2D" w:rsidTr="00274CFF">
        <w:tc>
          <w:tcPr>
            <w:tcW w:w="798" w:type="dxa"/>
            <w:shd w:val="solid" w:color="FFFFFF" w:fill="auto"/>
          </w:tcPr>
          <w:p w:rsidR="005779B8" w:rsidRDefault="005779B8" w:rsidP="005779B8">
            <w:pPr>
              <w:pStyle w:val="TAC"/>
              <w:rPr>
                <w:rFonts w:cs="Arial"/>
                <w:sz w:val="16"/>
                <w:szCs w:val="16"/>
              </w:rPr>
            </w:pPr>
            <w:r>
              <w:rPr>
                <w:rFonts w:cs="Arial"/>
                <w:sz w:val="16"/>
                <w:szCs w:val="16"/>
              </w:rPr>
              <w:t>2023-12</w:t>
            </w:r>
          </w:p>
        </w:tc>
        <w:tc>
          <w:tcPr>
            <w:tcW w:w="797" w:type="dxa"/>
            <w:shd w:val="solid" w:color="FFFFFF" w:fill="auto"/>
          </w:tcPr>
          <w:p w:rsidR="005779B8" w:rsidRDefault="005779B8" w:rsidP="005779B8">
            <w:pPr>
              <w:pStyle w:val="TAC"/>
              <w:rPr>
                <w:rFonts w:cs="Arial"/>
                <w:sz w:val="16"/>
                <w:szCs w:val="16"/>
              </w:rPr>
            </w:pPr>
            <w:r>
              <w:rPr>
                <w:rFonts w:cs="Arial"/>
                <w:sz w:val="16"/>
                <w:szCs w:val="16"/>
              </w:rPr>
              <w:t>CT#102</w:t>
            </w:r>
          </w:p>
        </w:tc>
        <w:tc>
          <w:tcPr>
            <w:tcW w:w="1088" w:type="dxa"/>
            <w:shd w:val="solid" w:color="FFFFFF" w:fill="auto"/>
          </w:tcPr>
          <w:p w:rsidR="005779B8" w:rsidRDefault="005779B8" w:rsidP="005779B8">
            <w:pPr>
              <w:pStyle w:val="TAC"/>
              <w:rPr>
                <w:rFonts w:cs="Arial"/>
                <w:sz w:val="16"/>
                <w:szCs w:val="16"/>
              </w:rPr>
            </w:pPr>
            <w:r>
              <w:rPr>
                <w:rFonts w:cs="Arial"/>
                <w:sz w:val="16"/>
                <w:szCs w:val="16"/>
              </w:rPr>
              <w:t>CP-233231</w:t>
            </w:r>
          </w:p>
        </w:tc>
        <w:tc>
          <w:tcPr>
            <w:tcW w:w="524" w:type="dxa"/>
            <w:shd w:val="solid" w:color="FFFFFF" w:fill="auto"/>
          </w:tcPr>
          <w:p w:rsidR="005779B8" w:rsidRDefault="005779B8" w:rsidP="005779B8">
            <w:pPr>
              <w:pStyle w:val="TAL"/>
              <w:rPr>
                <w:rFonts w:cs="Arial"/>
                <w:sz w:val="16"/>
                <w:szCs w:val="16"/>
              </w:rPr>
            </w:pPr>
            <w:r>
              <w:rPr>
                <w:rFonts w:cs="Arial"/>
                <w:sz w:val="16"/>
                <w:szCs w:val="16"/>
              </w:rPr>
              <w:t>0757</w:t>
            </w:r>
          </w:p>
        </w:tc>
        <w:tc>
          <w:tcPr>
            <w:tcW w:w="424" w:type="dxa"/>
            <w:shd w:val="solid" w:color="FFFFFF" w:fill="auto"/>
          </w:tcPr>
          <w:p w:rsidR="005779B8" w:rsidRDefault="005779B8" w:rsidP="005779B8">
            <w:pPr>
              <w:pStyle w:val="TAR"/>
              <w:rPr>
                <w:rFonts w:cs="Arial"/>
                <w:sz w:val="16"/>
                <w:szCs w:val="16"/>
              </w:rPr>
            </w:pPr>
            <w:r>
              <w:rPr>
                <w:rFonts w:cs="Arial"/>
                <w:sz w:val="16"/>
                <w:szCs w:val="16"/>
              </w:rPr>
              <w:t>2</w:t>
            </w:r>
          </w:p>
        </w:tc>
        <w:tc>
          <w:tcPr>
            <w:tcW w:w="424" w:type="dxa"/>
            <w:shd w:val="solid" w:color="FFFFFF" w:fill="auto"/>
          </w:tcPr>
          <w:p w:rsidR="005779B8" w:rsidRDefault="005779B8" w:rsidP="005779B8">
            <w:pPr>
              <w:pStyle w:val="TAC"/>
              <w:rPr>
                <w:rFonts w:cs="Arial"/>
                <w:sz w:val="16"/>
                <w:szCs w:val="16"/>
              </w:rPr>
            </w:pPr>
            <w:r>
              <w:rPr>
                <w:rFonts w:cs="Arial"/>
                <w:sz w:val="16"/>
                <w:szCs w:val="16"/>
              </w:rPr>
              <w:t>F</w:t>
            </w:r>
          </w:p>
        </w:tc>
        <w:tc>
          <w:tcPr>
            <w:tcW w:w="4919" w:type="dxa"/>
            <w:shd w:val="solid" w:color="FFFFFF" w:fill="auto"/>
          </w:tcPr>
          <w:p w:rsidR="005779B8" w:rsidRDefault="005779B8" w:rsidP="005779B8">
            <w:pPr>
              <w:pStyle w:val="TAL"/>
              <w:rPr>
                <w:rFonts w:cs="Arial"/>
                <w:sz w:val="16"/>
                <w:szCs w:val="16"/>
              </w:rPr>
            </w:pPr>
            <w:r>
              <w:rPr>
                <w:rFonts w:cs="Arial"/>
                <w:sz w:val="16"/>
                <w:szCs w:val="16"/>
              </w:rPr>
              <w:t>Updating the obsoleted IETF HTTP RFCs</w:t>
            </w:r>
          </w:p>
        </w:tc>
        <w:tc>
          <w:tcPr>
            <w:tcW w:w="707" w:type="dxa"/>
            <w:shd w:val="solid" w:color="FFFFFF" w:fill="auto"/>
          </w:tcPr>
          <w:p w:rsidR="005779B8" w:rsidRPr="000A0A5F" w:rsidRDefault="005779B8" w:rsidP="005779B8">
            <w:pPr>
              <w:pStyle w:val="TAC"/>
              <w:rPr>
                <w:rFonts w:cs="Arial"/>
                <w:color w:val="000000"/>
                <w:sz w:val="16"/>
                <w:szCs w:val="16"/>
                <w:lang w:eastAsia="zh-CN"/>
              </w:rPr>
            </w:pPr>
            <w:r w:rsidRPr="00691B2D">
              <w:rPr>
                <w:rFonts w:cs="Arial"/>
                <w:color w:val="000000"/>
                <w:sz w:val="16"/>
                <w:szCs w:val="16"/>
                <w:lang w:eastAsia="zh-CN"/>
              </w:rPr>
              <w:t>18.4.0</w:t>
            </w:r>
          </w:p>
        </w:tc>
      </w:tr>
      <w:tr w:rsidR="005779B8" w:rsidRPr="00481D2D" w:rsidTr="00274CFF">
        <w:tc>
          <w:tcPr>
            <w:tcW w:w="798" w:type="dxa"/>
            <w:shd w:val="solid" w:color="FFFFFF" w:fill="auto"/>
          </w:tcPr>
          <w:p w:rsidR="005779B8" w:rsidRDefault="005779B8" w:rsidP="005779B8">
            <w:pPr>
              <w:pStyle w:val="TAC"/>
              <w:rPr>
                <w:rFonts w:cs="Arial"/>
                <w:sz w:val="16"/>
                <w:szCs w:val="16"/>
              </w:rPr>
            </w:pPr>
            <w:r>
              <w:rPr>
                <w:rFonts w:cs="Arial"/>
                <w:sz w:val="16"/>
                <w:szCs w:val="16"/>
              </w:rPr>
              <w:t>2023-12</w:t>
            </w:r>
          </w:p>
        </w:tc>
        <w:tc>
          <w:tcPr>
            <w:tcW w:w="797" w:type="dxa"/>
            <w:shd w:val="solid" w:color="FFFFFF" w:fill="auto"/>
          </w:tcPr>
          <w:p w:rsidR="005779B8" w:rsidRDefault="005779B8" w:rsidP="005779B8">
            <w:pPr>
              <w:pStyle w:val="TAC"/>
              <w:rPr>
                <w:rFonts w:cs="Arial"/>
                <w:sz w:val="16"/>
                <w:szCs w:val="16"/>
              </w:rPr>
            </w:pPr>
            <w:r>
              <w:rPr>
                <w:rFonts w:cs="Arial"/>
                <w:sz w:val="16"/>
                <w:szCs w:val="16"/>
              </w:rPr>
              <w:t>CT#102</w:t>
            </w:r>
          </w:p>
        </w:tc>
        <w:tc>
          <w:tcPr>
            <w:tcW w:w="1088" w:type="dxa"/>
            <w:shd w:val="solid" w:color="FFFFFF" w:fill="auto"/>
          </w:tcPr>
          <w:p w:rsidR="005779B8" w:rsidRDefault="005779B8" w:rsidP="005779B8">
            <w:pPr>
              <w:pStyle w:val="TAC"/>
              <w:rPr>
                <w:rFonts w:cs="Arial"/>
                <w:sz w:val="16"/>
                <w:szCs w:val="16"/>
              </w:rPr>
            </w:pPr>
            <w:r>
              <w:rPr>
                <w:rFonts w:cs="Arial"/>
                <w:sz w:val="16"/>
                <w:szCs w:val="16"/>
              </w:rPr>
              <w:t>CP-233235</w:t>
            </w:r>
          </w:p>
        </w:tc>
        <w:tc>
          <w:tcPr>
            <w:tcW w:w="524" w:type="dxa"/>
            <w:shd w:val="solid" w:color="FFFFFF" w:fill="auto"/>
          </w:tcPr>
          <w:p w:rsidR="005779B8" w:rsidRDefault="005779B8" w:rsidP="005779B8">
            <w:pPr>
              <w:pStyle w:val="TAL"/>
              <w:rPr>
                <w:rFonts w:cs="Arial"/>
                <w:sz w:val="16"/>
                <w:szCs w:val="16"/>
              </w:rPr>
            </w:pPr>
            <w:r>
              <w:rPr>
                <w:rFonts w:cs="Arial"/>
                <w:sz w:val="16"/>
                <w:szCs w:val="16"/>
              </w:rPr>
              <w:t>0760</w:t>
            </w:r>
          </w:p>
        </w:tc>
        <w:tc>
          <w:tcPr>
            <w:tcW w:w="424" w:type="dxa"/>
            <w:shd w:val="solid" w:color="FFFFFF" w:fill="auto"/>
          </w:tcPr>
          <w:p w:rsidR="005779B8" w:rsidRDefault="005779B8" w:rsidP="005779B8">
            <w:pPr>
              <w:pStyle w:val="TAR"/>
              <w:rPr>
                <w:rFonts w:cs="Arial"/>
                <w:sz w:val="16"/>
                <w:szCs w:val="16"/>
              </w:rPr>
            </w:pPr>
            <w:r>
              <w:rPr>
                <w:rFonts w:cs="Arial"/>
                <w:sz w:val="16"/>
                <w:szCs w:val="16"/>
              </w:rPr>
              <w:t>1</w:t>
            </w:r>
          </w:p>
        </w:tc>
        <w:tc>
          <w:tcPr>
            <w:tcW w:w="424" w:type="dxa"/>
            <w:shd w:val="solid" w:color="FFFFFF" w:fill="auto"/>
          </w:tcPr>
          <w:p w:rsidR="005779B8" w:rsidRDefault="005779B8" w:rsidP="005779B8">
            <w:pPr>
              <w:pStyle w:val="TAC"/>
              <w:rPr>
                <w:rFonts w:cs="Arial"/>
                <w:sz w:val="16"/>
                <w:szCs w:val="16"/>
              </w:rPr>
            </w:pPr>
            <w:r>
              <w:rPr>
                <w:rFonts w:cs="Arial"/>
                <w:sz w:val="16"/>
                <w:szCs w:val="16"/>
              </w:rPr>
              <w:t>F</w:t>
            </w:r>
          </w:p>
        </w:tc>
        <w:tc>
          <w:tcPr>
            <w:tcW w:w="4919" w:type="dxa"/>
            <w:shd w:val="solid" w:color="FFFFFF" w:fill="auto"/>
          </w:tcPr>
          <w:p w:rsidR="005779B8" w:rsidRDefault="005779B8" w:rsidP="005779B8">
            <w:pPr>
              <w:pStyle w:val="TAL"/>
              <w:rPr>
                <w:rFonts w:cs="Arial"/>
                <w:sz w:val="16"/>
                <w:szCs w:val="16"/>
              </w:rPr>
            </w:pPr>
            <w:r>
              <w:rPr>
                <w:rFonts w:cs="Arial"/>
                <w:sz w:val="16"/>
                <w:szCs w:val="16"/>
              </w:rPr>
              <w:t>associate attributes with corresponding NOTE</w:t>
            </w:r>
          </w:p>
        </w:tc>
        <w:tc>
          <w:tcPr>
            <w:tcW w:w="707" w:type="dxa"/>
            <w:shd w:val="solid" w:color="FFFFFF" w:fill="auto"/>
          </w:tcPr>
          <w:p w:rsidR="005779B8" w:rsidRPr="000A0A5F" w:rsidRDefault="005779B8" w:rsidP="005779B8">
            <w:pPr>
              <w:pStyle w:val="TAC"/>
              <w:rPr>
                <w:rFonts w:cs="Arial"/>
                <w:color w:val="000000"/>
                <w:sz w:val="16"/>
                <w:szCs w:val="16"/>
                <w:lang w:eastAsia="zh-CN"/>
              </w:rPr>
            </w:pPr>
            <w:r w:rsidRPr="00691B2D">
              <w:rPr>
                <w:rFonts w:cs="Arial"/>
                <w:color w:val="000000"/>
                <w:sz w:val="16"/>
                <w:szCs w:val="16"/>
                <w:lang w:eastAsia="zh-CN"/>
              </w:rPr>
              <w:t>18.4.0</w:t>
            </w:r>
          </w:p>
        </w:tc>
      </w:tr>
      <w:tr w:rsidR="005779B8" w:rsidRPr="00481D2D" w:rsidTr="00274CFF">
        <w:tc>
          <w:tcPr>
            <w:tcW w:w="798" w:type="dxa"/>
            <w:shd w:val="solid" w:color="FFFFFF" w:fill="auto"/>
          </w:tcPr>
          <w:p w:rsidR="005779B8" w:rsidRDefault="005779B8" w:rsidP="005779B8">
            <w:pPr>
              <w:pStyle w:val="TAC"/>
              <w:rPr>
                <w:rFonts w:cs="Arial"/>
                <w:sz w:val="16"/>
                <w:szCs w:val="16"/>
              </w:rPr>
            </w:pPr>
            <w:r>
              <w:rPr>
                <w:rFonts w:cs="Arial"/>
                <w:sz w:val="16"/>
                <w:szCs w:val="16"/>
              </w:rPr>
              <w:t>2023-12</w:t>
            </w:r>
          </w:p>
        </w:tc>
        <w:tc>
          <w:tcPr>
            <w:tcW w:w="797" w:type="dxa"/>
            <w:shd w:val="solid" w:color="FFFFFF" w:fill="auto"/>
          </w:tcPr>
          <w:p w:rsidR="005779B8" w:rsidRDefault="005779B8" w:rsidP="005779B8">
            <w:pPr>
              <w:pStyle w:val="TAC"/>
              <w:rPr>
                <w:rFonts w:cs="Arial"/>
                <w:sz w:val="16"/>
                <w:szCs w:val="16"/>
              </w:rPr>
            </w:pPr>
            <w:r>
              <w:rPr>
                <w:rFonts w:cs="Arial"/>
                <w:sz w:val="16"/>
                <w:szCs w:val="16"/>
              </w:rPr>
              <w:t>CT#102</w:t>
            </w:r>
          </w:p>
        </w:tc>
        <w:tc>
          <w:tcPr>
            <w:tcW w:w="1088" w:type="dxa"/>
            <w:shd w:val="solid" w:color="FFFFFF" w:fill="auto"/>
          </w:tcPr>
          <w:p w:rsidR="005779B8" w:rsidRDefault="005779B8" w:rsidP="005779B8">
            <w:pPr>
              <w:pStyle w:val="TAC"/>
              <w:rPr>
                <w:rFonts w:cs="Arial"/>
                <w:sz w:val="16"/>
                <w:szCs w:val="16"/>
              </w:rPr>
            </w:pPr>
            <w:r>
              <w:rPr>
                <w:rFonts w:cs="Arial"/>
                <w:sz w:val="16"/>
                <w:szCs w:val="16"/>
              </w:rPr>
              <w:t>CP-233231</w:t>
            </w:r>
          </w:p>
        </w:tc>
        <w:tc>
          <w:tcPr>
            <w:tcW w:w="524" w:type="dxa"/>
            <w:shd w:val="solid" w:color="FFFFFF" w:fill="auto"/>
          </w:tcPr>
          <w:p w:rsidR="005779B8" w:rsidRDefault="005779B8" w:rsidP="005779B8">
            <w:pPr>
              <w:pStyle w:val="TAL"/>
              <w:rPr>
                <w:rFonts w:cs="Arial"/>
                <w:sz w:val="16"/>
                <w:szCs w:val="16"/>
              </w:rPr>
            </w:pPr>
            <w:r>
              <w:rPr>
                <w:rFonts w:cs="Arial"/>
                <w:sz w:val="16"/>
                <w:szCs w:val="16"/>
              </w:rPr>
              <w:t>0761</w:t>
            </w:r>
          </w:p>
        </w:tc>
        <w:tc>
          <w:tcPr>
            <w:tcW w:w="424" w:type="dxa"/>
            <w:shd w:val="solid" w:color="FFFFFF" w:fill="auto"/>
          </w:tcPr>
          <w:p w:rsidR="005779B8" w:rsidRDefault="005779B8" w:rsidP="005779B8">
            <w:pPr>
              <w:pStyle w:val="TAR"/>
              <w:rPr>
                <w:rFonts w:cs="Arial"/>
                <w:sz w:val="16"/>
                <w:szCs w:val="16"/>
              </w:rPr>
            </w:pPr>
          </w:p>
        </w:tc>
        <w:tc>
          <w:tcPr>
            <w:tcW w:w="424" w:type="dxa"/>
            <w:shd w:val="solid" w:color="FFFFFF" w:fill="auto"/>
          </w:tcPr>
          <w:p w:rsidR="005779B8" w:rsidRDefault="005779B8" w:rsidP="005779B8">
            <w:pPr>
              <w:pStyle w:val="TAC"/>
              <w:rPr>
                <w:rFonts w:cs="Arial"/>
                <w:sz w:val="16"/>
                <w:szCs w:val="16"/>
              </w:rPr>
            </w:pPr>
            <w:r>
              <w:rPr>
                <w:rFonts w:cs="Arial"/>
                <w:sz w:val="16"/>
                <w:szCs w:val="16"/>
              </w:rPr>
              <w:t>B</w:t>
            </w:r>
          </w:p>
        </w:tc>
        <w:tc>
          <w:tcPr>
            <w:tcW w:w="4919" w:type="dxa"/>
            <w:shd w:val="solid" w:color="FFFFFF" w:fill="auto"/>
          </w:tcPr>
          <w:p w:rsidR="005779B8" w:rsidRDefault="005779B8" w:rsidP="005779B8">
            <w:pPr>
              <w:pStyle w:val="TAL"/>
              <w:rPr>
                <w:rFonts w:cs="Arial"/>
                <w:sz w:val="16"/>
                <w:szCs w:val="16"/>
              </w:rPr>
            </w:pPr>
            <w:r>
              <w:rPr>
                <w:rFonts w:cs="Arial"/>
                <w:sz w:val="16"/>
                <w:szCs w:val="16"/>
              </w:rPr>
              <w:t>ProblemDetails RFC 7807 obsoleted by RFC 9457</w:t>
            </w:r>
          </w:p>
        </w:tc>
        <w:tc>
          <w:tcPr>
            <w:tcW w:w="707" w:type="dxa"/>
            <w:shd w:val="solid" w:color="FFFFFF" w:fill="auto"/>
          </w:tcPr>
          <w:p w:rsidR="005779B8" w:rsidRPr="000A0A5F" w:rsidRDefault="005779B8" w:rsidP="005779B8">
            <w:pPr>
              <w:pStyle w:val="TAC"/>
              <w:rPr>
                <w:rFonts w:cs="Arial"/>
                <w:color w:val="000000"/>
                <w:sz w:val="16"/>
                <w:szCs w:val="16"/>
                <w:lang w:eastAsia="zh-CN"/>
              </w:rPr>
            </w:pPr>
            <w:r w:rsidRPr="00691B2D">
              <w:rPr>
                <w:rFonts w:cs="Arial"/>
                <w:color w:val="000000"/>
                <w:sz w:val="16"/>
                <w:szCs w:val="16"/>
                <w:lang w:eastAsia="zh-CN"/>
              </w:rPr>
              <w:t>18.4.0</w:t>
            </w:r>
          </w:p>
        </w:tc>
      </w:tr>
      <w:tr w:rsidR="005779B8" w:rsidRPr="00481D2D" w:rsidTr="00274CFF">
        <w:tc>
          <w:tcPr>
            <w:tcW w:w="798" w:type="dxa"/>
            <w:shd w:val="solid" w:color="FFFFFF" w:fill="auto"/>
          </w:tcPr>
          <w:p w:rsidR="005779B8" w:rsidRDefault="005779B8" w:rsidP="005779B8">
            <w:pPr>
              <w:pStyle w:val="TAC"/>
              <w:rPr>
                <w:rFonts w:cs="Arial"/>
                <w:sz w:val="16"/>
                <w:szCs w:val="16"/>
              </w:rPr>
            </w:pPr>
            <w:r>
              <w:rPr>
                <w:rFonts w:cs="Arial"/>
                <w:sz w:val="16"/>
                <w:szCs w:val="16"/>
              </w:rPr>
              <w:t>2023-12</w:t>
            </w:r>
          </w:p>
        </w:tc>
        <w:tc>
          <w:tcPr>
            <w:tcW w:w="797" w:type="dxa"/>
            <w:shd w:val="solid" w:color="FFFFFF" w:fill="auto"/>
          </w:tcPr>
          <w:p w:rsidR="005779B8" w:rsidRDefault="005779B8" w:rsidP="005779B8">
            <w:pPr>
              <w:pStyle w:val="TAC"/>
              <w:rPr>
                <w:rFonts w:cs="Arial"/>
                <w:sz w:val="16"/>
                <w:szCs w:val="16"/>
              </w:rPr>
            </w:pPr>
            <w:r>
              <w:rPr>
                <w:rFonts w:cs="Arial"/>
                <w:sz w:val="16"/>
                <w:szCs w:val="16"/>
              </w:rPr>
              <w:t>CT#102</w:t>
            </w:r>
          </w:p>
        </w:tc>
        <w:tc>
          <w:tcPr>
            <w:tcW w:w="1088" w:type="dxa"/>
            <w:shd w:val="solid" w:color="FFFFFF" w:fill="auto"/>
          </w:tcPr>
          <w:p w:rsidR="005779B8" w:rsidRDefault="005779B8" w:rsidP="005779B8">
            <w:pPr>
              <w:pStyle w:val="TAC"/>
              <w:rPr>
                <w:rFonts w:cs="Arial"/>
                <w:sz w:val="16"/>
                <w:szCs w:val="16"/>
              </w:rPr>
            </w:pPr>
            <w:r>
              <w:rPr>
                <w:rFonts w:cs="Arial"/>
                <w:sz w:val="16"/>
                <w:szCs w:val="16"/>
              </w:rPr>
              <w:t>CP-233268</w:t>
            </w:r>
          </w:p>
        </w:tc>
        <w:tc>
          <w:tcPr>
            <w:tcW w:w="524" w:type="dxa"/>
            <w:shd w:val="solid" w:color="FFFFFF" w:fill="auto"/>
          </w:tcPr>
          <w:p w:rsidR="005779B8" w:rsidRDefault="005779B8" w:rsidP="005779B8">
            <w:pPr>
              <w:pStyle w:val="TAL"/>
              <w:rPr>
                <w:rFonts w:cs="Arial"/>
                <w:sz w:val="16"/>
                <w:szCs w:val="16"/>
              </w:rPr>
            </w:pPr>
            <w:r>
              <w:rPr>
                <w:rFonts w:cs="Arial"/>
                <w:sz w:val="16"/>
                <w:szCs w:val="16"/>
              </w:rPr>
              <w:t>0762</w:t>
            </w:r>
          </w:p>
        </w:tc>
        <w:tc>
          <w:tcPr>
            <w:tcW w:w="424" w:type="dxa"/>
            <w:shd w:val="solid" w:color="FFFFFF" w:fill="auto"/>
          </w:tcPr>
          <w:p w:rsidR="005779B8" w:rsidRDefault="005779B8" w:rsidP="005779B8">
            <w:pPr>
              <w:pStyle w:val="TAR"/>
              <w:rPr>
                <w:rFonts w:cs="Arial"/>
                <w:sz w:val="16"/>
                <w:szCs w:val="16"/>
              </w:rPr>
            </w:pPr>
            <w:r>
              <w:rPr>
                <w:rFonts w:cs="Arial"/>
                <w:sz w:val="16"/>
                <w:szCs w:val="16"/>
              </w:rPr>
              <w:t>1</w:t>
            </w:r>
          </w:p>
        </w:tc>
        <w:tc>
          <w:tcPr>
            <w:tcW w:w="424" w:type="dxa"/>
            <w:shd w:val="solid" w:color="FFFFFF" w:fill="auto"/>
          </w:tcPr>
          <w:p w:rsidR="005779B8" w:rsidRDefault="005779B8" w:rsidP="005779B8">
            <w:pPr>
              <w:pStyle w:val="TAC"/>
              <w:rPr>
                <w:rFonts w:cs="Arial"/>
                <w:sz w:val="16"/>
                <w:szCs w:val="16"/>
              </w:rPr>
            </w:pPr>
            <w:r>
              <w:rPr>
                <w:rFonts w:cs="Arial"/>
                <w:sz w:val="16"/>
                <w:szCs w:val="16"/>
              </w:rPr>
              <w:t>B</w:t>
            </w:r>
          </w:p>
        </w:tc>
        <w:tc>
          <w:tcPr>
            <w:tcW w:w="4919" w:type="dxa"/>
            <w:shd w:val="solid" w:color="FFFFFF" w:fill="auto"/>
          </w:tcPr>
          <w:p w:rsidR="005779B8" w:rsidRDefault="005779B8" w:rsidP="005779B8">
            <w:pPr>
              <w:pStyle w:val="TAL"/>
              <w:rPr>
                <w:rFonts w:cs="Arial"/>
                <w:sz w:val="16"/>
                <w:szCs w:val="16"/>
              </w:rPr>
            </w:pPr>
            <w:r>
              <w:rPr>
                <w:rFonts w:cs="Arial"/>
                <w:sz w:val="16"/>
                <w:szCs w:val="16"/>
              </w:rPr>
              <w:t>Update Location exposure for Ranging_SL</w:t>
            </w:r>
          </w:p>
        </w:tc>
        <w:tc>
          <w:tcPr>
            <w:tcW w:w="707" w:type="dxa"/>
            <w:shd w:val="solid" w:color="FFFFFF" w:fill="auto"/>
          </w:tcPr>
          <w:p w:rsidR="005779B8" w:rsidRPr="000A0A5F" w:rsidRDefault="005779B8" w:rsidP="005779B8">
            <w:pPr>
              <w:pStyle w:val="TAC"/>
              <w:rPr>
                <w:rFonts w:cs="Arial"/>
                <w:color w:val="000000"/>
                <w:sz w:val="16"/>
                <w:szCs w:val="16"/>
                <w:lang w:eastAsia="zh-CN"/>
              </w:rPr>
            </w:pPr>
            <w:r w:rsidRPr="00691B2D">
              <w:rPr>
                <w:rFonts w:cs="Arial"/>
                <w:color w:val="000000"/>
                <w:sz w:val="16"/>
                <w:szCs w:val="16"/>
                <w:lang w:eastAsia="zh-CN"/>
              </w:rPr>
              <w:t>18.4.0</w:t>
            </w:r>
          </w:p>
        </w:tc>
      </w:tr>
      <w:tr w:rsidR="005779B8" w:rsidRPr="00481D2D" w:rsidTr="00274CFF">
        <w:tc>
          <w:tcPr>
            <w:tcW w:w="798" w:type="dxa"/>
            <w:shd w:val="solid" w:color="FFFFFF" w:fill="auto"/>
          </w:tcPr>
          <w:p w:rsidR="005779B8" w:rsidRDefault="005779B8" w:rsidP="005779B8">
            <w:pPr>
              <w:pStyle w:val="TAC"/>
              <w:rPr>
                <w:rFonts w:cs="Arial"/>
                <w:sz w:val="16"/>
                <w:szCs w:val="16"/>
              </w:rPr>
            </w:pPr>
            <w:r>
              <w:rPr>
                <w:rFonts w:cs="Arial"/>
                <w:sz w:val="16"/>
                <w:szCs w:val="16"/>
              </w:rPr>
              <w:t>2023-12</w:t>
            </w:r>
          </w:p>
        </w:tc>
        <w:tc>
          <w:tcPr>
            <w:tcW w:w="797" w:type="dxa"/>
            <w:shd w:val="solid" w:color="FFFFFF" w:fill="auto"/>
          </w:tcPr>
          <w:p w:rsidR="005779B8" w:rsidRDefault="005779B8" w:rsidP="005779B8">
            <w:pPr>
              <w:pStyle w:val="TAC"/>
              <w:rPr>
                <w:rFonts w:cs="Arial"/>
                <w:sz w:val="16"/>
                <w:szCs w:val="16"/>
              </w:rPr>
            </w:pPr>
            <w:r>
              <w:rPr>
                <w:rFonts w:cs="Arial"/>
                <w:sz w:val="16"/>
                <w:szCs w:val="16"/>
              </w:rPr>
              <w:t>CT#102</w:t>
            </w:r>
          </w:p>
        </w:tc>
        <w:tc>
          <w:tcPr>
            <w:tcW w:w="1088" w:type="dxa"/>
            <w:shd w:val="solid" w:color="FFFFFF" w:fill="auto"/>
          </w:tcPr>
          <w:p w:rsidR="005779B8" w:rsidRDefault="005779B8" w:rsidP="005779B8">
            <w:pPr>
              <w:pStyle w:val="TAC"/>
              <w:rPr>
                <w:rFonts w:cs="Arial"/>
                <w:sz w:val="16"/>
                <w:szCs w:val="16"/>
              </w:rPr>
            </w:pPr>
            <w:r>
              <w:rPr>
                <w:rFonts w:cs="Arial"/>
                <w:sz w:val="16"/>
                <w:szCs w:val="16"/>
              </w:rPr>
              <w:t>CP-233257</w:t>
            </w:r>
          </w:p>
        </w:tc>
        <w:tc>
          <w:tcPr>
            <w:tcW w:w="524" w:type="dxa"/>
            <w:shd w:val="solid" w:color="FFFFFF" w:fill="auto"/>
          </w:tcPr>
          <w:p w:rsidR="005779B8" w:rsidRDefault="005779B8" w:rsidP="005779B8">
            <w:pPr>
              <w:pStyle w:val="TAL"/>
              <w:rPr>
                <w:rFonts w:cs="Arial"/>
                <w:sz w:val="16"/>
                <w:szCs w:val="16"/>
              </w:rPr>
            </w:pPr>
            <w:r>
              <w:rPr>
                <w:rFonts w:cs="Arial"/>
                <w:sz w:val="16"/>
                <w:szCs w:val="16"/>
              </w:rPr>
              <w:t>0763</w:t>
            </w:r>
          </w:p>
        </w:tc>
        <w:tc>
          <w:tcPr>
            <w:tcW w:w="424" w:type="dxa"/>
            <w:shd w:val="solid" w:color="FFFFFF" w:fill="auto"/>
          </w:tcPr>
          <w:p w:rsidR="005779B8" w:rsidRDefault="005779B8" w:rsidP="005779B8">
            <w:pPr>
              <w:pStyle w:val="TAR"/>
              <w:rPr>
                <w:rFonts w:cs="Arial"/>
                <w:sz w:val="16"/>
                <w:szCs w:val="16"/>
              </w:rPr>
            </w:pPr>
            <w:r>
              <w:rPr>
                <w:rFonts w:cs="Arial"/>
                <w:sz w:val="16"/>
                <w:szCs w:val="16"/>
              </w:rPr>
              <w:t>1</w:t>
            </w:r>
          </w:p>
        </w:tc>
        <w:tc>
          <w:tcPr>
            <w:tcW w:w="424" w:type="dxa"/>
            <w:shd w:val="solid" w:color="FFFFFF" w:fill="auto"/>
          </w:tcPr>
          <w:p w:rsidR="005779B8" w:rsidRDefault="005779B8" w:rsidP="005779B8">
            <w:pPr>
              <w:pStyle w:val="TAC"/>
              <w:rPr>
                <w:rFonts w:cs="Arial"/>
                <w:sz w:val="16"/>
                <w:szCs w:val="16"/>
              </w:rPr>
            </w:pPr>
            <w:r>
              <w:rPr>
                <w:rFonts w:cs="Arial"/>
                <w:sz w:val="16"/>
                <w:szCs w:val="16"/>
              </w:rPr>
              <w:t>F</w:t>
            </w:r>
          </w:p>
        </w:tc>
        <w:tc>
          <w:tcPr>
            <w:tcW w:w="4919" w:type="dxa"/>
            <w:shd w:val="solid" w:color="FFFFFF" w:fill="auto"/>
          </w:tcPr>
          <w:p w:rsidR="005779B8" w:rsidRDefault="005779B8" w:rsidP="005779B8">
            <w:pPr>
              <w:pStyle w:val="TAL"/>
              <w:rPr>
                <w:rFonts w:cs="Arial"/>
                <w:sz w:val="16"/>
                <w:szCs w:val="16"/>
              </w:rPr>
            </w:pPr>
            <w:r>
              <w:rPr>
                <w:rFonts w:cs="Arial"/>
                <w:sz w:val="16"/>
                <w:szCs w:val="16"/>
              </w:rPr>
              <w:t>Corrections in MonitoringEventReport</w:t>
            </w:r>
          </w:p>
        </w:tc>
        <w:tc>
          <w:tcPr>
            <w:tcW w:w="707" w:type="dxa"/>
            <w:shd w:val="solid" w:color="FFFFFF" w:fill="auto"/>
          </w:tcPr>
          <w:p w:rsidR="005779B8" w:rsidRPr="000A0A5F" w:rsidRDefault="005779B8" w:rsidP="005779B8">
            <w:pPr>
              <w:pStyle w:val="TAC"/>
              <w:rPr>
                <w:rFonts w:cs="Arial"/>
                <w:color w:val="000000"/>
                <w:sz w:val="16"/>
                <w:szCs w:val="16"/>
                <w:lang w:eastAsia="zh-CN"/>
              </w:rPr>
            </w:pPr>
            <w:r w:rsidRPr="00691B2D">
              <w:rPr>
                <w:rFonts w:cs="Arial"/>
                <w:color w:val="000000"/>
                <w:sz w:val="16"/>
                <w:szCs w:val="16"/>
                <w:lang w:eastAsia="zh-CN"/>
              </w:rPr>
              <w:t>18.4.0</w:t>
            </w:r>
          </w:p>
        </w:tc>
      </w:tr>
      <w:tr w:rsidR="005779B8" w:rsidRPr="00481D2D" w:rsidTr="00274CFF">
        <w:tc>
          <w:tcPr>
            <w:tcW w:w="798" w:type="dxa"/>
            <w:shd w:val="solid" w:color="FFFFFF" w:fill="auto"/>
          </w:tcPr>
          <w:p w:rsidR="005779B8" w:rsidRDefault="005779B8" w:rsidP="005779B8">
            <w:pPr>
              <w:pStyle w:val="TAC"/>
              <w:rPr>
                <w:rFonts w:cs="Arial"/>
                <w:sz w:val="16"/>
                <w:szCs w:val="16"/>
              </w:rPr>
            </w:pPr>
            <w:r>
              <w:rPr>
                <w:rFonts w:cs="Arial"/>
                <w:sz w:val="16"/>
                <w:szCs w:val="16"/>
              </w:rPr>
              <w:t>2023-12</w:t>
            </w:r>
          </w:p>
        </w:tc>
        <w:tc>
          <w:tcPr>
            <w:tcW w:w="797" w:type="dxa"/>
            <w:shd w:val="solid" w:color="FFFFFF" w:fill="auto"/>
          </w:tcPr>
          <w:p w:rsidR="005779B8" w:rsidRDefault="005779B8" w:rsidP="005779B8">
            <w:pPr>
              <w:pStyle w:val="TAC"/>
              <w:rPr>
                <w:rFonts w:cs="Arial"/>
                <w:sz w:val="16"/>
                <w:szCs w:val="16"/>
              </w:rPr>
            </w:pPr>
            <w:r>
              <w:rPr>
                <w:rFonts w:cs="Arial"/>
                <w:sz w:val="16"/>
                <w:szCs w:val="16"/>
              </w:rPr>
              <w:t>CT#102</w:t>
            </w:r>
          </w:p>
        </w:tc>
        <w:tc>
          <w:tcPr>
            <w:tcW w:w="1088" w:type="dxa"/>
            <w:shd w:val="solid" w:color="FFFFFF" w:fill="auto"/>
          </w:tcPr>
          <w:p w:rsidR="005779B8" w:rsidRDefault="005779B8" w:rsidP="005779B8">
            <w:pPr>
              <w:pStyle w:val="TAC"/>
              <w:rPr>
                <w:rFonts w:cs="Arial"/>
                <w:sz w:val="16"/>
                <w:szCs w:val="16"/>
              </w:rPr>
            </w:pPr>
            <w:r>
              <w:rPr>
                <w:rFonts w:cs="Arial"/>
                <w:sz w:val="16"/>
                <w:szCs w:val="16"/>
              </w:rPr>
              <w:t>CP-233233</w:t>
            </w:r>
          </w:p>
        </w:tc>
        <w:tc>
          <w:tcPr>
            <w:tcW w:w="524" w:type="dxa"/>
            <w:shd w:val="solid" w:color="FFFFFF" w:fill="auto"/>
          </w:tcPr>
          <w:p w:rsidR="005779B8" w:rsidRDefault="005779B8" w:rsidP="005779B8">
            <w:pPr>
              <w:pStyle w:val="TAL"/>
              <w:rPr>
                <w:rFonts w:cs="Arial"/>
                <w:sz w:val="16"/>
                <w:szCs w:val="16"/>
              </w:rPr>
            </w:pPr>
            <w:r>
              <w:rPr>
                <w:rFonts w:cs="Arial"/>
                <w:sz w:val="16"/>
                <w:szCs w:val="16"/>
              </w:rPr>
              <w:t>0764</w:t>
            </w:r>
          </w:p>
        </w:tc>
        <w:tc>
          <w:tcPr>
            <w:tcW w:w="424" w:type="dxa"/>
            <w:shd w:val="solid" w:color="FFFFFF" w:fill="auto"/>
          </w:tcPr>
          <w:p w:rsidR="005779B8" w:rsidRDefault="005779B8" w:rsidP="005779B8">
            <w:pPr>
              <w:pStyle w:val="TAR"/>
              <w:rPr>
                <w:rFonts w:cs="Arial"/>
                <w:sz w:val="16"/>
                <w:szCs w:val="16"/>
              </w:rPr>
            </w:pPr>
          </w:p>
        </w:tc>
        <w:tc>
          <w:tcPr>
            <w:tcW w:w="424" w:type="dxa"/>
            <w:shd w:val="solid" w:color="FFFFFF" w:fill="auto"/>
          </w:tcPr>
          <w:p w:rsidR="005779B8" w:rsidRDefault="005779B8" w:rsidP="005779B8">
            <w:pPr>
              <w:pStyle w:val="TAC"/>
              <w:rPr>
                <w:rFonts w:cs="Arial"/>
                <w:sz w:val="16"/>
                <w:szCs w:val="16"/>
              </w:rPr>
            </w:pPr>
            <w:r>
              <w:rPr>
                <w:rFonts w:cs="Arial"/>
                <w:sz w:val="16"/>
                <w:szCs w:val="16"/>
              </w:rPr>
              <w:t>B</w:t>
            </w:r>
          </w:p>
        </w:tc>
        <w:tc>
          <w:tcPr>
            <w:tcW w:w="4919" w:type="dxa"/>
            <w:shd w:val="solid" w:color="FFFFFF" w:fill="auto"/>
          </w:tcPr>
          <w:p w:rsidR="005779B8" w:rsidRDefault="005779B8" w:rsidP="005779B8">
            <w:pPr>
              <w:pStyle w:val="TAL"/>
              <w:rPr>
                <w:rFonts w:cs="Arial"/>
                <w:sz w:val="16"/>
                <w:szCs w:val="16"/>
              </w:rPr>
            </w:pPr>
            <w:r>
              <w:rPr>
                <w:rFonts w:cs="Arial"/>
                <w:sz w:val="16"/>
                <w:szCs w:val="16"/>
              </w:rPr>
              <w:t>Protocol description - End of burst indication update</w:t>
            </w:r>
          </w:p>
        </w:tc>
        <w:tc>
          <w:tcPr>
            <w:tcW w:w="707" w:type="dxa"/>
            <w:shd w:val="solid" w:color="FFFFFF" w:fill="auto"/>
          </w:tcPr>
          <w:p w:rsidR="005779B8" w:rsidRPr="000A0A5F" w:rsidRDefault="005779B8" w:rsidP="005779B8">
            <w:pPr>
              <w:pStyle w:val="TAC"/>
              <w:rPr>
                <w:rFonts w:cs="Arial"/>
                <w:color w:val="000000"/>
                <w:sz w:val="16"/>
                <w:szCs w:val="16"/>
                <w:lang w:eastAsia="zh-CN"/>
              </w:rPr>
            </w:pPr>
            <w:r w:rsidRPr="00691B2D">
              <w:rPr>
                <w:rFonts w:cs="Arial"/>
                <w:color w:val="000000"/>
                <w:sz w:val="16"/>
                <w:szCs w:val="16"/>
                <w:lang w:eastAsia="zh-CN"/>
              </w:rPr>
              <w:t>18.4.0</w:t>
            </w:r>
          </w:p>
        </w:tc>
      </w:tr>
      <w:tr w:rsidR="005779B8" w:rsidRPr="00481D2D" w:rsidTr="00274CFF">
        <w:tc>
          <w:tcPr>
            <w:tcW w:w="798" w:type="dxa"/>
            <w:shd w:val="solid" w:color="FFFFFF" w:fill="auto"/>
          </w:tcPr>
          <w:p w:rsidR="005779B8" w:rsidRDefault="005779B8" w:rsidP="005779B8">
            <w:pPr>
              <w:pStyle w:val="TAC"/>
              <w:rPr>
                <w:rFonts w:cs="Arial"/>
                <w:sz w:val="16"/>
                <w:szCs w:val="16"/>
              </w:rPr>
            </w:pPr>
            <w:r>
              <w:rPr>
                <w:rFonts w:cs="Arial"/>
                <w:sz w:val="16"/>
                <w:szCs w:val="16"/>
              </w:rPr>
              <w:t>2023-12</w:t>
            </w:r>
          </w:p>
        </w:tc>
        <w:tc>
          <w:tcPr>
            <w:tcW w:w="797" w:type="dxa"/>
            <w:shd w:val="solid" w:color="FFFFFF" w:fill="auto"/>
          </w:tcPr>
          <w:p w:rsidR="005779B8" w:rsidRDefault="005779B8" w:rsidP="005779B8">
            <w:pPr>
              <w:pStyle w:val="TAC"/>
              <w:rPr>
                <w:rFonts w:cs="Arial"/>
                <w:sz w:val="16"/>
                <w:szCs w:val="16"/>
              </w:rPr>
            </w:pPr>
            <w:r>
              <w:rPr>
                <w:rFonts w:cs="Arial"/>
                <w:sz w:val="16"/>
                <w:szCs w:val="16"/>
              </w:rPr>
              <w:t>CT#102</w:t>
            </w:r>
          </w:p>
        </w:tc>
        <w:tc>
          <w:tcPr>
            <w:tcW w:w="1088" w:type="dxa"/>
            <w:shd w:val="solid" w:color="FFFFFF" w:fill="auto"/>
          </w:tcPr>
          <w:p w:rsidR="005779B8" w:rsidRDefault="005779B8" w:rsidP="005779B8">
            <w:pPr>
              <w:pStyle w:val="TAC"/>
              <w:rPr>
                <w:rFonts w:cs="Arial"/>
                <w:sz w:val="16"/>
                <w:szCs w:val="16"/>
              </w:rPr>
            </w:pPr>
            <w:r>
              <w:rPr>
                <w:rFonts w:cs="Arial"/>
                <w:sz w:val="16"/>
                <w:szCs w:val="16"/>
              </w:rPr>
              <w:t>CP-233208</w:t>
            </w:r>
          </w:p>
        </w:tc>
        <w:tc>
          <w:tcPr>
            <w:tcW w:w="524" w:type="dxa"/>
            <w:shd w:val="solid" w:color="FFFFFF" w:fill="auto"/>
          </w:tcPr>
          <w:p w:rsidR="005779B8" w:rsidRDefault="005779B8" w:rsidP="005779B8">
            <w:pPr>
              <w:pStyle w:val="TAL"/>
              <w:rPr>
                <w:rFonts w:cs="Arial"/>
                <w:sz w:val="16"/>
                <w:szCs w:val="16"/>
              </w:rPr>
            </w:pPr>
            <w:r>
              <w:rPr>
                <w:rFonts w:cs="Arial"/>
                <w:sz w:val="16"/>
                <w:szCs w:val="16"/>
              </w:rPr>
              <w:t>0765</w:t>
            </w:r>
          </w:p>
        </w:tc>
        <w:tc>
          <w:tcPr>
            <w:tcW w:w="424" w:type="dxa"/>
            <w:shd w:val="solid" w:color="FFFFFF" w:fill="auto"/>
          </w:tcPr>
          <w:p w:rsidR="005779B8" w:rsidRDefault="005779B8" w:rsidP="005779B8">
            <w:pPr>
              <w:pStyle w:val="TAR"/>
              <w:rPr>
                <w:rFonts w:cs="Arial"/>
                <w:sz w:val="16"/>
                <w:szCs w:val="16"/>
              </w:rPr>
            </w:pPr>
            <w:r>
              <w:rPr>
                <w:rFonts w:cs="Arial"/>
                <w:sz w:val="16"/>
                <w:szCs w:val="16"/>
              </w:rPr>
              <w:t>2</w:t>
            </w:r>
          </w:p>
        </w:tc>
        <w:tc>
          <w:tcPr>
            <w:tcW w:w="424" w:type="dxa"/>
            <w:shd w:val="solid" w:color="FFFFFF" w:fill="auto"/>
          </w:tcPr>
          <w:p w:rsidR="005779B8" w:rsidRDefault="005779B8" w:rsidP="005779B8">
            <w:pPr>
              <w:pStyle w:val="TAC"/>
              <w:rPr>
                <w:rFonts w:cs="Arial"/>
                <w:sz w:val="16"/>
                <w:szCs w:val="16"/>
              </w:rPr>
            </w:pPr>
            <w:r>
              <w:rPr>
                <w:rFonts w:cs="Arial"/>
                <w:sz w:val="16"/>
                <w:szCs w:val="16"/>
              </w:rPr>
              <w:t>B</w:t>
            </w:r>
          </w:p>
        </w:tc>
        <w:tc>
          <w:tcPr>
            <w:tcW w:w="4919" w:type="dxa"/>
            <w:shd w:val="solid" w:color="FFFFFF" w:fill="auto"/>
          </w:tcPr>
          <w:p w:rsidR="005779B8" w:rsidRDefault="005779B8" w:rsidP="005779B8">
            <w:pPr>
              <w:pStyle w:val="TAL"/>
              <w:rPr>
                <w:rFonts w:cs="Arial"/>
                <w:sz w:val="16"/>
                <w:szCs w:val="16"/>
              </w:rPr>
            </w:pPr>
            <w:r>
              <w:rPr>
                <w:rFonts w:cs="Arial"/>
                <w:sz w:val="16"/>
                <w:szCs w:val="16"/>
              </w:rPr>
              <w:t>Feature granularity and definition for MultiModal &amp; PowerSaving</w:t>
            </w:r>
          </w:p>
        </w:tc>
        <w:tc>
          <w:tcPr>
            <w:tcW w:w="707" w:type="dxa"/>
            <w:shd w:val="solid" w:color="FFFFFF" w:fill="auto"/>
          </w:tcPr>
          <w:p w:rsidR="005779B8" w:rsidRPr="000A0A5F" w:rsidRDefault="005779B8" w:rsidP="005779B8">
            <w:pPr>
              <w:pStyle w:val="TAC"/>
              <w:rPr>
                <w:rFonts w:cs="Arial"/>
                <w:color w:val="000000"/>
                <w:sz w:val="16"/>
                <w:szCs w:val="16"/>
                <w:lang w:eastAsia="zh-CN"/>
              </w:rPr>
            </w:pPr>
            <w:r w:rsidRPr="00691B2D">
              <w:rPr>
                <w:rFonts w:cs="Arial"/>
                <w:color w:val="000000"/>
                <w:sz w:val="16"/>
                <w:szCs w:val="16"/>
                <w:lang w:eastAsia="zh-CN"/>
              </w:rPr>
              <w:t>18.4.0</w:t>
            </w:r>
          </w:p>
        </w:tc>
      </w:tr>
      <w:tr w:rsidR="005779B8" w:rsidRPr="00481D2D" w:rsidTr="00274CFF">
        <w:tc>
          <w:tcPr>
            <w:tcW w:w="798" w:type="dxa"/>
            <w:shd w:val="solid" w:color="FFFFFF" w:fill="auto"/>
          </w:tcPr>
          <w:p w:rsidR="005779B8" w:rsidRDefault="005779B8" w:rsidP="005779B8">
            <w:pPr>
              <w:pStyle w:val="TAC"/>
              <w:rPr>
                <w:rFonts w:cs="Arial"/>
                <w:sz w:val="16"/>
                <w:szCs w:val="16"/>
              </w:rPr>
            </w:pPr>
            <w:r>
              <w:rPr>
                <w:rFonts w:cs="Arial"/>
                <w:sz w:val="16"/>
                <w:szCs w:val="16"/>
              </w:rPr>
              <w:t>2023-12</w:t>
            </w:r>
          </w:p>
        </w:tc>
        <w:tc>
          <w:tcPr>
            <w:tcW w:w="797" w:type="dxa"/>
            <w:shd w:val="solid" w:color="FFFFFF" w:fill="auto"/>
          </w:tcPr>
          <w:p w:rsidR="005779B8" w:rsidRDefault="005779B8" w:rsidP="005779B8">
            <w:pPr>
              <w:pStyle w:val="TAC"/>
              <w:rPr>
                <w:rFonts w:cs="Arial"/>
                <w:sz w:val="16"/>
                <w:szCs w:val="16"/>
              </w:rPr>
            </w:pPr>
            <w:r>
              <w:rPr>
                <w:rFonts w:cs="Arial"/>
                <w:sz w:val="16"/>
                <w:szCs w:val="16"/>
              </w:rPr>
              <w:t>CT#102</w:t>
            </w:r>
          </w:p>
        </w:tc>
        <w:tc>
          <w:tcPr>
            <w:tcW w:w="1088" w:type="dxa"/>
            <w:shd w:val="solid" w:color="FFFFFF" w:fill="auto"/>
          </w:tcPr>
          <w:p w:rsidR="005779B8" w:rsidRDefault="005779B8" w:rsidP="005779B8">
            <w:pPr>
              <w:pStyle w:val="TAC"/>
              <w:rPr>
                <w:rFonts w:cs="Arial"/>
                <w:sz w:val="16"/>
                <w:szCs w:val="16"/>
              </w:rPr>
            </w:pPr>
            <w:r>
              <w:rPr>
                <w:rFonts w:cs="Arial"/>
                <w:sz w:val="16"/>
                <w:szCs w:val="16"/>
              </w:rPr>
              <w:t>CP-233245</w:t>
            </w:r>
          </w:p>
        </w:tc>
        <w:tc>
          <w:tcPr>
            <w:tcW w:w="524" w:type="dxa"/>
            <w:shd w:val="solid" w:color="FFFFFF" w:fill="auto"/>
          </w:tcPr>
          <w:p w:rsidR="005779B8" w:rsidRDefault="005779B8" w:rsidP="005779B8">
            <w:pPr>
              <w:pStyle w:val="TAL"/>
              <w:rPr>
                <w:rFonts w:cs="Arial"/>
                <w:sz w:val="16"/>
                <w:szCs w:val="16"/>
              </w:rPr>
            </w:pPr>
            <w:r>
              <w:rPr>
                <w:rFonts w:cs="Arial"/>
                <w:sz w:val="16"/>
                <w:szCs w:val="16"/>
              </w:rPr>
              <w:t>0766</w:t>
            </w:r>
          </w:p>
        </w:tc>
        <w:tc>
          <w:tcPr>
            <w:tcW w:w="424" w:type="dxa"/>
            <w:shd w:val="solid" w:color="FFFFFF" w:fill="auto"/>
          </w:tcPr>
          <w:p w:rsidR="005779B8" w:rsidRDefault="005779B8" w:rsidP="005779B8">
            <w:pPr>
              <w:pStyle w:val="TAR"/>
              <w:rPr>
                <w:rFonts w:cs="Arial"/>
                <w:sz w:val="16"/>
                <w:szCs w:val="16"/>
              </w:rPr>
            </w:pPr>
            <w:r>
              <w:rPr>
                <w:rFonts w:cs="Arial"/>
                <w:sz w:val="16"/>
                <w:szCs w:val="16"/>
              </w:rPr>
              <w:t>1</w:t>
            </w:r>
          </w:p>
        </w:tc>
        <w:tc>
          <w:tcPr>
            <w:tcW w:w="424" w:type="dxa"/>
            <w:shd w:val="solid" w:color="FFFFFF" w:fill="auto"/>
          </w:tcPr>
          <w:p w:rsidR="005779B8" w:rsidRDefault="005779B8" w:rsidP="005779B8">
            <w:pPr>
              <w:pStyle w:val="TAC"/>
              <w:rPr>
                <w:rFonts w:cs="Arial"/>
                <w:sz w:val="16"/>
                <w:szCs w:val="16"/>
              </w:rPr>
            </w:pPr>
            <w:r>
              <w:rPr>
                <w:rFonts w:cs="Arial"/>
                <w:sz w:val="16"/>
                <w:szCs w:val="16"/>
              </w:rPr>
              <w:t>F</w:t>
            </w:r>
          </w:p>
        </w:tc>
        <w:tc>
          <w:tcPr>
            <w:tcW w:w="4919" w:type="dxa"/>
            <w:shd w:val="solid" w:color="FFFFFF" w:fill="auto"/>
          </w:tcPr>
          <w:p w:rsidR="005779B8" w:rsidRDefault="005779B8" w:rsidP="005779B8">
            <w:pPr>
              <w:pStyle w:val="TAL"/>
              <w:rPr>
                <w:rFonts w:cs="Arial"/>
                <w:sz w:val="16"/>
                <w:szCs w:val="16"/>
              </w:rPr>
            </w:pPr>
            <w:r>
              <w:rPr>
                <w:rFonts w:cs="Arial"/>
                <w:sz w:val="16"/>
                <w:szCs w:val="16"/>
              </w:rPr>
              <w:t>Correction on formulating conditions based on feature support</w:t>
            </w:r>
          </w:p>
        </w:tc>
        <w:tc>
          <w:tcPr>
            <w:tcW w:w="707" w:type="dxa"/>
            <w:shd w:val="solid" w:color="FFFFFF" w:fill="auto"/>
          </w:tcPr>
          <w:p w:rsidR="005779B8" w:rsidRPr="000A0A5F" w:rsidRDefault="005779B8" w:rsidP="005779B8">
            <w:pPr>
              <w:pStyle w:val="TAC"/>
              <w:rPr>
                <w:rFonts w:cs="Arial"/>
                <w:color w:val="000000"/>
                <w:sz w:val="16"/>
                <w:szCs w:val="16"/>
                <w:lang w:eastAsia="zh-CN"/>
              </w:rPr>
            </w:pPr>
            <w:r w:rsidRPr="00691B2D">
              <w:rPr>
                <w:rFonts w:cs="Arial"/>
                <w:color w:val="000000"/>
                <w:sz w:val="16"/>
                <w:szCs w:val="16"/>
                <w:lang w:eastAsia="zh-CN"/>
              </w:rPr>
              <w:t>18.4.0</w:t>
            </w:r>
          </w:p>
        </w:tc>
      </w:tr>
      <w:tr w:rsidR="005779B8" w:rsidRPr="00481D2D" w:rsidTr="00274CFF">
        <w:tc>
          <w:tcPr>
            <w:tcW w:w="798" w:type="dxa"/>
            <w:shd w:val="solid" w:color="FFFFFF" w:fill="auto"/>
          </w:tcPr>
          <w:p w:rsidR="005779B8" w:rsidRDefault="005779B8" w:rsidP="005779B8">
            <w:pPr>
              <w:pStyle w:val="TAC"/>
              <w:rPr>
                <w:rFonts w:cs="Arial"/>
                <w:sz w:val="16"/>
                <w:szCs w:val="16"/>
              </w:rPr>
            </w:pPr>
            <w:r>
              <w:rPr>
                <w:rFonts w:cs="Arial"/>
                <w:sz w:val="16"/>
                <w:szCs w:val="16"/>
              </w:rPr>
              <w:t>2023-12</w:t>
            </w:r>
          </w:p>
        </w:tc>
        <w:tc>
          <w:tcPr>
            <w:tcW w:w="797" w:type="dxa"/>
            <w:shd w:val="solid" w:color="FFFFFF" w:fill="auto"/>
          </w:tcPr>
          <w:p w:rsidR="005779B8" w:rsidRDefault="005779B8" w:rsidP="005779B8">
            <w:pPr>
              <w:pStyle w:val="TAC"/>
              <w:rPr>
                <w:rFonts w:cs="Arial"/>
                <w:sz w:val="16"/>
                <w:szCs w:val="16"/>
              </w:rPr>
            </w:pPr>
            <w:r>
              <w:rPr>
                <w:rFonts w:cs="Arial"/>
                <w:sz w:val="16"/>
                <w:szCs w:val="16"/>
              </w:rPr>
              <w:t>CT#102</w:t>
            </w:r>
          </w:p>
        </w:tc>
        <w:tc>
          <w:tcPr>
            <w:tcW w:w="1088" w:type="dxa"/>
            <w:shd w:val="solid" w:color="FFFFFF" w:fill="auto"/>
          </w:tcPr>
          <w:p w:rsidR="005779B8" w:rsidRDefault="005779B8" w:rsidP="005779B8">
            <w:pPr>
              <w:pStyle w:val="TAC"/>
              <w:rPr>
                <w:rFonts w:cs="Arial"/>
                <w:sz w:val="16"/>
                <w:szCs w:val="16"/>
              </w:rPr>
            </w:pPr>
            <w:r>
              <w:rPr>
                <w:rFonts w:cs="Arial"/>
                <w:sz w:val="16"/>
                <w:szCs w:val="16"/>
              </w:rPr>
              <w:t>CP-233233</w:t>
            </w:r>
          </w:p>
        </w:tc>
        <w:tc>
          <w:tcPr>
            <w:tcW w:w="524" w:type="dxa"/>
            <w:shd w:val="solid" w:color="FFFFFF" w:fill="auto"/>
          </w:tcPr>
          <w:p w:rsidR="005779B8" w:rsidRDefault="005779B8" w:rsidP="005779B8">
            <w:pPr>
              <w:pStyle w:val="TAL"/>
              <w:rPr>
                <w:rFonts w:cs="Arial"/>
                <w:sz w:val="16"/>
                <w:szCs w:val="16"/>
              </w:rPr>
            </w:pPr>
            <w:r>
              <w:rPr>
                <w:rFonts w:cs="Arial"/>
                <w:sz w:val="16"/>
                <w:szCs w:val="16"/>
              </w:rPr>
              <w:t>0771</w:t>
            </w:r>
          </w:p>
        </w:tc>
        <w:tc>
          <w:tcPr>
            <w:tcW w:w="424" w:type="dxa"/>
            <w:shd w:val="solid" w:color="FFFFFF" w:fill="auto"/>
          </w:tcPr>
          <w:p w:rsidR="005779B8" w:rsidRDefault="005779B8" w:rsidP="005779B8">
            <w:pPr>
              <w:pStyle w:val="TAR"/>
              <w:rPr>
                <w:rFonts w:cs="Arial"/>
                <w:sz w:val="16"/>
                <w:szCs w:val="16"/>
              </w:rPr>
            </w:pPr>
          </w:p>
        </w:tc>
        <w:tc>
          <w:tcPr>
            <w:tcW w:w="424" w:type="dxa"/>
            <w:shd w:val="solid" w:color="FFFFFF" w:fill="auto"/>
          </w:tcPr>
          <w:p w:rsidR="005779B8" w:rsidRDefault="005779B8" w:rsidP="005779B8">
            <w:pPr>
              <w:pStyle w:val="TAC"/>
              <w:rPr>
                <w:rFonts w:cs="Arial"/>
                <w:sz w:val="16"/>
                <w:szCs w:val="16"/>
              </w:rPr>
            </w:pPr>
            <w:r>
              <w:rPr>
                <w:rFonts w:cs="Arial"/>
                <w:sz w:val="16"/>
                <w:szCs w:val="16"/>
              </w:rPr>
              <w:t>B</w:t>
            </w:r>
          </w:p>
        </w:tc>
        <w:tc>
          <w:tcPr>
            <w:tcW w:w="4919" w:type="dxa"/>
            <w:shd w:val="solid" w:color="FFFFFF" w:fill="auto"/>
          </w:tcPr>
          <w:p w:rsidR="005779B8" w:rsidRDefault="005779B8" w:rsidP="005779B8">
            <w:pPr>
              <w:pStyle w:val="TAL"/>
              <w:rPr>
                <w:rFonts w:cs="Arial"/>
                <w:sz w:val="16"/>
                <w:szCs w:val="16"/>
              </w:rPr>
            </w:pPr>
            <w:r>
              <w:rPr>
                <w:rFonts w:cs="Arial"/>
                <w:sz w:val="16"/>
                <w:szCs w:val="16"/>
              </w:rPr>
              <w:t>Definition of L4S feature</w:t>
            </w:r>
          </w:p>
        </w:tc>
        <w:tc>
          <w:tcPr>
            <w:tcW w:w="707" w:type="dxa"/>
            <w:shd w:val="solid" w:color="FFFFFF" w:fill="auto"/>
          </w:tcPr>
          <w:p w:rsidR="005779B8" w:rsidRPr="000A0A5F" w:rsidRDefault="005779B8" w:rsidP="005779B8">
            <w:pPr>
              <w:pStyle w:val="TAC"/>
              <w:rPr>
                <w:rFonts w:cs="Arial"/>
                <w:color w:val="000000"/>
                <w:sz w:val="16"/>
                <w:szCs w:val="16"/>
                <w:lang w:eastAsia="zh-CN"/>
              </w:rPr>
            </w:pPr>
            <w:r w:rsidRPr="00691B2D">
              <w:rPr>
                <w:rFonts w:cs="Arial"/>
                <w:color w:val="000000"/>
                <w:sz w:val="16"/>
                <w:szCs w:val="16"/>
                <w:lang w:eastAsia="zh-CN"/>
              </w:rPr>
              <w:t>18.4.0</w:t>
            </w:r>
          </w:p>
        </w:tc>
      </w:tr>
      <w:tr w:rsidR="005779B8" w:rsidRPr="00481D2D" w:rsidTr="00274CFF">
        <w:tc>
          <w:tcPr>
            <w:tcW w:w="798" w:type="dxa"/>
            <w:shd w:val="solid" w:color="FFFFFF" w:fill="auto"/>
          </w:tcPr>
          <w:p w:rsidR="005779B8" w:rsidRDefault="005779B8" w:rsidP="005779B8">
            <w:pPr>
              <w:pStyle w:val="TAC"/>
              <w:rPr>
                <w:rFonts w:cs="Arial"/>
                <w:sz w:val="16"/>
                <w:szCs w:val="16"/>
              </w:rPr>
            </w:pPr>
            <w:r>
              <w:rPr>
                <w:rFonts w:cs="Arial"/>
                <w:sz w:val="16"/>
                <w:szCs w:val="16"/>
              </w:rPr>
              <w:t>2023-12</w:t>
            </w:r>
          </w:p>
        </w:tc>
        <w:tc>
          <w:tcPr>
            <w:tcW w:w="797" w:type="dxa"/>
            <w:shd w:val="solid" w:color="FFFFFF" w:fill="auto"/>
          </w:tcPr>
          <w:p w:rsidR="005779B8" w:rsidRDefault="005779B8" w:rsidP="005779B8">
            <w:pPr>
              <w:pStyle w:val="TAC"/>
              <w:rPr>
                <w:rFonts w:cs="Arial"/>
                <w:sz w:val="16"/>
                <w:szCs w:val="16"/>
              </w:rPr>
            </w:pPr>
            <w:r>
              <w:rPr>
                <w:rFonts w:cs="Arial"/>
                <w:sz w:val="16"/>
                <w:szCs w:val="16"/>
              </w:rPr>
              <w:t>CT#102</w:t>
            </w:r>
          </w:p>
        </w:tc>
        <w:tc>
          <w:tcPr>
            <w:tcW w:w="1088" w:type="dxa"/>
            <w:shd w:val="solid" w:color="FFFFFF" w:fill="auto"/>
          </w:tcPr>
          <w:p w:rsidR="005779B8" w:rsidRDefault="005779B8" w:rsidP="005779B8">
            <w:pPr>
              <w:pStyle w:val="TAC"/>
              <w:rPr>
                <w:rFonts w:cs="Arial"/>
                <w:sz w:val="16"/>
                <w:szCs w:val="16"/>
              </w:rPr>
            </w:pPr>
            <w:r>
              <w:rPr>
                <w:rFonts w:cs="Arial"/>
                <w:sz w:val="16"/>
                <w:szCs w:val="16"/>
              </w:rPr>
              <w:t>CP-233236</w:t>
            </w:r>
          </w:p>
        </w:tc>
        <w:tc>
          <w:tcPr>
            <w:tcW w:w="524" w:type="dxa"/>
            <w:shd w:val="solid" w:color="FFFFFF" w:fill="auto"/>
          </w:tcPr>
          <w:p w:rsidR="005779B8" w:rsidRDefault="005779B8" w:rsidP="005779B8">
            <w:pPr>
              <w:pStyle w:val="TAL"/>
              <w:rPr>
                <w:rFonts w:cs="Arial"/>
                <w:sz w:val="16"/>
                <w:szCs w:val="16"/>
              </w:rPr>
            </w:pPr>
            <w:r>
              <w:rPr>
                <w:rFonts w:cs="Arial"/>
                <w:sz w:val="16"/>
                <w:szCs w:val="16"/>
              </w:rPr>
              <w:t>0772</w:t>
            </w:r>
          </w:p>
        </w:tc>
        <w:tc>
          <w:tcPr>
            <w:tcW w:w="424" w:type="dxa"/>
            <w:shd w:val="solid" w:color="FFFFFF" w:fill="auto"/>
          </w:tcPr>
          <w:p w:rsidR="005779B8" w:rsidRDefault="005779B8" w:rsidP="005779B8">
            <w:pPr>
              <w:pStyle w:val="TAR"/>
              <w:rPr>
                <w:rFonts w:cs="Arial"/>
                <w:sz w:val="16"/>
                <w:szCs w:val="16"/>
              </w:rPr>
            </w:pPr>
            <w:r>
              <w:rPr>
                <w:rFonts w:cs="Arial"/>
                <w:sz w:val="16"/>
                <w:szCs w:val="16"/>
              </w:rPr>
              <w:t>3</w:t>
            </w:r>
          </w:p>
        </w:tc>
        <w:tc>
          <w:tcPr>
            <w:tcW w:w="424" w:type="dxa"/>
            <w:shd w:val="solid" w:color="FFFFFF" w:fill="auto"/>
          </w:tcPr>
          <w:p w:rsidR="005779B8" w:rsidRDefault="005779B8" w:rsidP="005779B8">
            <w:pPr>
              <w:pStyle w:val="TAC"/>
              <w:rPr>
                <w:rFonts w:cs="Arial"/>
                <w:sz w:val="16"/>
                <w:szCs w:val="16"/>
              </w:rPr>
            </w:pPr>
            <w:r>
              <w:rPr>
                <w:rFonts w:cs="Arial"/>
                <w:sz w:val="16"/>
                <w:szCs w:val="16"/>
              </w:rPr>
              <w:t>B</w:t>
            </w:r>
          </w:p>
        </w:tc>
        <w:tc>
          <w:tcPr>
            <w:tcW w:w="4919" w:type="dxa"/>
            <w:shd w:val="solid" w:color="FFFFFF" w:fill="auto"/>
          </w:tcPr>
          <w:p w:rsidR="005779B8" w:rsidRDefault="005779B8" w:rsidP="005779B8">
            <w:pPr>
              <w:pStyle w:val="TAL"/>
              <w:rPr>
                <w:rFonts w:cs="Arial"/>
                <w:sz w:val="16"/>
                <w:szCs w:val="16"/>
              </w:rPr>
            </w:pPr>
            <w:r>
              <w:rPr>
                <w:rFonts w:cs="Arial"/>
                <w:sz w:val="16"/>
                <w:szCs w:val="16"/>
              </w:rPr>
              <w:t>Updates to AppExpUeBehaviour Data Type in CpProvisioning API</w:t>
            </w:r>
          </w:p>
        </w:tc>
        <w:tc>
          <w:tcPr>
            <w:tcW w:w="707" w:type="dxa"/>
            <w:shd w:val="solid" w:color="FFFFFF" w:fill="auto"/>
          </w:tcPr>
          <w:p w:rsidR="005779B8" w:rsidRPr="000A0A5F" w:rsidRDefault="005779B8" w:rsidP="005779B8">
            <w:pPr>
              <w:pStyle w:val="TAC"/>
              <w:rPr>
                <w:rFonts w:cs="Arial"/>
                <w:color w:val="000000"/>
                <w:sz w:val="16"/>
                <w:szCs w:val="16"/>
                <w:lang w:eastAsia="zh-CN"/>
              </w:rPr>
            </w:pPr>
            <w:r w:rsidRPr="00691B2D">
              <w:rPr>
                <w:rFonts w:cs="Arial"/>
                <w:color w:val="000000"/>
                <w:sz w:val="16"/>
                <w:szCs w:val="16"/>
                <w:lang w:eastAsia="zh-CN"/>
              </w:rPr>
              <w:t>18.4.0</w:t>
            </w:r>
          </w:p>
        </w:tc>
      </w:tr>
      <w:tr w:rsidR="005779B8" w:rsidRPr="00481D2D" w:rsidTr="00274CFF">
        <w:tc>
          <w:tcPr>
            <w:tcW w:w="798" w:type="dxa"/>
            <w:shd w:val="solid" w:color="FFFFFF" w:fill="auto"/>
          </w:tcPr>
          <w:p w:rsidR="005779B8" w:rsidRDefault="005779B8" w:rsidP="005779B8">
            <w:pPr>
              <w:pStyle w:val="TAC"/>
              <w:rPr>
                <w:rFonts w:cs="Arial"/>
                <w:sz w:val="16"/>
                <w:szCs w:val="16"/>
              </w:rPr>
            </w:pPr>
            <w:r>
              <w:rPr>
                <w:rFonts w:cs="Arial"/>
                <w:sz w:val="16"/>
                <w:szCs w:val="16"/>
              </w:rPr>
              <w:t>2023-12</w:t>
            </w:r>
          </w:p>
        </w:tc>
        <w:tc>
          <w:tcPr>
            <w:tcW w:w="797" w:type="dxa"/>
            <w:shd w:val="solid" w:color="FFFFFF" w:fill="auto"/>
          </w:tcPr>
          <w:p w:rsidR="005779B8" w:rsidRDefault="005779B8" w:rsidP="005779B8">
            <w:pPr>
              <w:pStyle w:val="TAC"/>
              <w:rPr>
                <w:rFonts w:cs="Arial"/>
                <w:sz w:val="16"/>
                <w:szCs w:val="16"/>
              </w:rPr>
            </w:pPr>
            <w:r>
              <w:rPr>
                <w:rFonts w:cs="Arial"/>
                <w:sz w:val="16"/>
                <w:szCs w:val="16"/>
              </w:rPr>
              <w:t>CT#102</w:t>
            </w:r>
          </w:p>
        </w:tc>
        <w:tc>
          <w:tcPr>
            <w:tcW w:w="1088" w:type="dxa"/>
            <w:shd w:val="solid" w:color="FFFFFF" w:fill="auto"/>
          </w:tcPr>
          <w:p w:rsidR="005779B8" w:rsidRDefault="005779B8" w:rsidP="005779B8">
            <w:pPr>
              <w:pStyle w:val="TAC"/>
              <w:rPr>
                <w:rFonts w:cs="Arial"/>
                <w:sz w:val="16"/>
                <w:szCs w:val="16"/>
              </w:rPr>
            </w:pPr>
            <w:r>
              <w:rPr>
                <w:rFonts w:cs="Arial"/>
                <w:sz w:val="16"/>
                <w:szCs w:val="16"/>
              </w:rPr>
              <w:t>CP-233235</w:t>
            </w:r>
          </w:p>
        </w:tc>
        <w:tc>
          <w:tcPr>
            <w:tcW w:w="524" w:type="dxa"/>
            <w:shd w:val="solid" w:color="FFFFFF" w:fill="auto"/>
          </w:tcPr>
          <w:p w:rsidR="005779B8" w:rsidRDefault="005779B8" w:rsidP="005779B8">
            <w:pPr>
              <w:pStyle w:val="TAL"/>
              <w:rPr>
                <w:rFonts w:cs="Arial"/>
                <w:sz w:val="16"/>
                <w:szCs w:val="16"/>
              </w:rPr>
            </w:pPr>
            <w:r>
              <w:rPr>
                <w:rFonts w:cs="Arial"/>
                <w:sz w:val="16"/>
                <w:szCs w:val="16"/>
              </w:rPr>
              <w:t>0774</w:t>
            </w:r>
          </w:p>
        </w:tc>
        <w:tc>
          <w:tcPr>
            <w:tcW w:w="424" w:type="dxa"/>
            <w:shd w:val="solid" w:color="FFFFFF" w:fill="auto"/>
          </w:tcPr>
          <w:p w:rsidR="005779B8" w:rsidRDefault="005779B8" w:rsidP="005779B8">
            <w:pPr>
              <w:pStyle w:val="TAR"/>
              <w:rPr>
                <w:rFonts w:cs="Arial"/>
                <w:sz w:val="16"/>
                <w:szCs w:val="16"/>
              </w:rPr>
            </w:pPr>
          </w:p>
        </w:tc>
        <w:tc>
          <w:tcPr>
            <w:tcW w:w="424" w:type="dxa"/>
            <w:shd w:val="solid" w:color="FFFFFF" w:fill="auto"/>
          </w:tcPr>
          <w:p w:rsidR="005779B8" w:rsidRDefault="005779B8" w:rsidP="005779B8">
            <w:pPr>
              <w:pStyle w:val="TAC"/>
              <w:rPr>
                <w:rFonts w:cs="Arial"/>
                <w:sz w:val="16"/>
                <w:szCs w:val="16"/>
              </w:rPr>
            </w:pPr>
            <w:r>
              <w:rPr>
                <w:rFonts w:cs="Arial"/>
                <w:sz w:val="16"/>
                <w:szCs w:val="16"/>
              </w:rPr>
              <w:t>F</w:t>
            </w:r>
          </w:p>
        </w:tc>
        <w:tc>
          <w:tcPr>
            <w:tcW w:w="4919" w:type="dxa"/>
            <w:shd w:val="solid" w:color="FFFFFF" w:fill="auto"/>
          </w:tcPr>
          <w:p w:rsidR="005779B8" w:rsidRDefault="005779B8" w:rsidP="005779B8">
            <w:pPr>
              <w:pStyle w:val="TAL"/>
              <w:rPr>
                <w:rFonts w:cs="Arial"/>
                <w:sz w:val="16"/>
                <w:szCs w:val="16"/>
              </w:rPr>
            </w:pPr>
            <w:r>
              <w:rPr>
                <w:rFonts w:cs="Arial"/>
                <w:sz w:val="16"/>
                <w:szCs w:val="16"/>
              </w:rPr>
              <w:t>Update the feature description for Application-Specific Expected UE Behaviour</w:t>
            </w:r>
          </w:p>
        </w:tc>
        <w:tc>
          <w:tcPr>
            <w:tcW w:w="707" w:type="dxa"/>
            <w:shd w:val="solid" w:color="FFFFFF" w:fill="auto"/>
          </w:tcPr>
          <w:p w:rsidR="005779B8" w:rsidRPr="000A0A5F" w:rsidRDefault="005779B8" w:rsidP="005779B8">
            <w:pPr>
              <w:pStyle w:val="TAC"/>
              <w:rPr>
                <w:rFonts w:cs="Arial"/>
                <w:color w:val="000000"/>
                <w:sz w:val="16"/>
                <w:szCs w:val="16"/>
                <w:lang w:eastAsia="zh-CN"/>
              </w:rPr>
            </w:pPr>
            <w:r w:rsidRPr="00691B2D">
              <w:rPr>
                <w:rFonts w:cs="Arial"/>
                <w:color w:val="000000"/>
                <w:sz w:val="16"/>
                <w:szCs w:val="16"/>
                <w:lang w:eastAsia="zh-CN"/>
              </w:rPr>
              <w:t>18.4.0</w:t>
            </w:r>
          </w:p>
        </w:tc>
      </w:tr>
      <w:tr w:rsidR="005779B8" w:rsidRPr="00481D2D" w:rsidTr="00274CFF">
        <w:tc>
          <w:tcPr>
            <w:tcW w:w="798" w:type="dxa"/>
            <w:shd w:val="solid" w:color="FFFFFF" w:fill="auto"/>
          </w:tcPr>
          <w:p w:rsidR="005779B8" w:rsidRDefault="005779B8" w:rsidP="005779B8">
            <w:pPr>
              <w:pStyle w:val="TAC"/>
              <w:rPr>
                <w:rFonts w:cs="Arial"/>
                <w:sz w:val="16"/>
                <w:szCs w:val="16"/>
              </w:rPr>
            </w:pPr>
            <w:r>
              <w:rPr>
                <w:rFonts w:cs="Arial"/>
                <w:sz w:val="16"/>
                <w:szCs w:val="16"/>
              </w:rPr>
              <w:t>2023-12</w:t>
            </w:r>
          </w:p>
        </w:tc>
        <w:tc>
          <w:tcPr>
            <w:tcW w:w="797" w:type="dxa"/>
            <w:shd w:val="solid" w:color="FFFFFF" w:fill="auto"/>
          </w:tcPr>
          <w:p w:rsidR="005779B8" w:rsidRDefault="005779B8" w:rsidP="005779B8">
            <w:pPr>
              <w:pStyle w:val="TAC"/>
              <w:rPr>
                <w:rFonts w:cs="Arial"/>
                <w:sz w:val="16"/>
                <w:szCs w:val="16"/>
              </w:rPr>
            </w:pPr>
            <w:r>
              <w:rPr>
                <w:rFonts w:cs="Arial"/>
                <w:sz w:val="16"/>
                <w:szCs w:val="16"/>
              </w:rPr>
              <w:t>CT#102</w:t>
            </w:r>
          </w:p>
        </w:tc>
        <w:tc>
          <w:tcPr>
            <w:tcW w:w="1088" w:type="dxa"/>
            <w:shd w:val="solid" w:color="FFFFFF" w:fill="auto"/>
          </w:tcPr>
          <w:p w:rsidR="005779B8" w:rsidRDefault="005779B8" w:rsidP="005779B8">
            <w:pPr>
              <w:pStyle w:val="TAC"/>
              <w:rPr>
                <w:rFonts w:cs="Arial"/>
                <w:sz w:val="16"/>
                <w:szCs w:val="16"/>
              </w:rPr>
            </w:pPr>
            <w:r>
              <w:rPr>
                <w:rFonts w:cs="Arial"/>
                <w:sz w:val="16"/>
                <w:szCs w:val="16"/>
              </w:rPr>
              <w:t>CP-233257</w:t>
            </w:r>
          </w:p>
        </w:tc>
        <w:tc>
          <w:tcPr>
            <w:tcW w:w="524" w:type="dxa"/>
            <w:shd w:val="solid" w:color="FFFFFF" w:fill="auto"/>
          </w:tcPr>
          <w:p w:rsidR="005779B8" w:rsidRDefault="005779B8" w:rsidP="005779B8">
            <w:pPr>
              <w:pStyle w:val="TAL"/>
              <w:rPr>
                <w:rFonts w:cs="Arial"/>
                <w:sz w:val="16"/>
                <w:szCs w:val="16"/>
              </w:rPr>
            </w:pPr>
            <w:r>
              <w:rPr>
                <w:rFonts w:cs="Arial"/>
                <w:sz w:val="16"/>
                <w:szCs w:val="16"/>
              </w:rPr>
              <w:t>0775</w:t>
            </w:r>
          </w:p>
        </w:tc>
        <w:tc>
          <w:tcPr>
            <w:tcW w:w="424" w:type="dxa"/>
            <w:shd w:val="solid" w:color="FFFFFF" w:fill="auto"/>
          </w:tcPr>
          <w:p w:rsidR="005779B8" w:rsidRDefault="005779B8" w:rsidP="005779B8">
            <w:pPr>
              <w:pStyle w:val="TAR"/>
              <w:rPr>
                <w:rFonts w:cs="Arial"/>
                <w:sz w:val="16"/>
                <w:szCs w:val="16"/>
              </w:rPr>
            </w:pPr>
            <w:r>
              <w:rPr>
                <w:rFonts w:cs="Arial"/>
                <w:sz w:val="16"/>
                <w:szCs w:val="16"/>
              </w:rPr>
              <w:t>1</w:t>
            </w:r>
          </w:p>
        </w:tc>
        <w:tc>
          <w:tcPr>
            <w:tcW w:w="424" w:type="dxa"/>
            <w:shd w:val="solid" w:color="FFFFFF" w:fill="auto"/>
          </w:tcPr>
          <w:p w:rsidR="005779B8" w:rsidRDefault="005779B8" w:rsidP="005779B8">
            <w:pPr>
              <w:pStyle w:val="TAC"/>
              <w:rPr>
                <w:rFonts w:cs="Arial"/>
                <w:sz w:val="16"/>
                <w:szCs w:val="16"/>
              </w:rPr>
            </w:pPr>
            <w:r>
              <w:rPr>
                <w:rFonts w:cs="Arial"/>
                <w:sz w:val="16"/>
                <w:szCs w:val="16"/>
              </w:rPr>
              <w:t>B</w:t>
            </w:r>
          </w:p>
        </w:tc>
        <w:tc>
          <w:tcPr>
            <w:tcW w:w="4919" w:type="dxa"/>
            <w:shd w:val="solid" w:color="FFFFFF" w:fill="auto"/>
          </w:tcPr>
          <w:p w:rsidR="005779B8" w:rsidRDefault="005779B8" w:rsidP="005779B8">
            <w:pPr>
              <w:pStyle w:val="TAL"/>
              <w:rPr>
                <w:rFonts w:cs="Arial"/>
                <w:sz w:val="16"/>
                <w:szCs w:val="16"/>
              </w:rPr>
            </w:pPr>
            <w:r>
              <w:rPr>
                <w:rFonts w:cs="Arial"/>
                <w:sz w:val="16"/>
                <w:szCs w:val="16"/>
              </w:rPr>
              <w:t>Update application detection event exposure</w:t>
            </w:r>
          </w:p>
        </w:tc>
        <w:tc>
          <w:tcPr>
            <w:tcW w:w="707" w:type="dxa"/>
            <w:shd w:val="solid" w:color="FFFFFF" w:fill="auto"/>
          </w:tcPr>
          <w:p w:rsidR="005779B8" w:rsidRPr="000A0A5F" w:rsidRDefault="005779B8" w:rsidP="005779B8">
            <w:pPr>
              <w:pStyle w:val="TAC"/>
              <w:rPr>
                <w:rFonts w:cs="Arial"/>
                <w:color w:val="000000"/>
                <w:sz w:val="16"/>
                <w:szCs w:val="16"/>
                <w:lang w:eastAsia="zh-CN"/>
              </w:rPr>
            </w:pPr>
            <w:r w:rsidRPr="00691B2D">
              <w:rPr>
                <w:rFonts w:cs="Arial"/>
                <w:color w:val="000000"/>
                <w:sz w:val="16"/>
                <w:szCs w:val="16"/>
                <w:lang w:eastAsia="zh-CN"/>
              </w:rPr>
              <w:t>18.4.0</w:t>
            </w:r>
          </w:p>
        </w:tc>
      </w:tr>
      <w:tr w:rsidR="005779B8" w:rsidRPr="00481D2D" w:rsidTr="00274CFF">
        <w:tc>
          <w:tcPr>
            <w:tcW w:w="798" w:type="dxa"/>
            <w:shd w:val="solid" w:color="FFFFFF" w:fill="auto"/>
          </w:tcPr>
          <w:p w:rsidR="005779B8" w:rsidRDefault="005779B8" w:rsidP="005779B8">
            <w:pPr>
              <w:pStyle w:val="TAC"/>
              <w:rPr>
                <w:rFonts w:cs="Arial"/>
                <w:sz w:val="16"/>
                <w:szCs w:val="16"/>
              </w:rPr>
            </w:pPr>
            <w:r>
              <w:rPr>
                <w:rFonts w:cs="Arial"/>
                <w:sz w:val="16"/>
                <w:szCs w:val="16"/>
              </w:rPr>
              <w:t>2023-12</w:t>
            </w:r>
          </w:p>
        </w:tc>
        <w:tc>
          <w:tcPr>
            <w:tcW w:w="797" w:type="dxa"/>
            <w:shd w:val="solid" w:color="FFFFFF" w:fill="auto"/>
          </w:tcPr>
          <w:p w:rsidR="005779B8" w:rsidRDefault="005779B8" w:rsidP="005779B8">
            <w:pPr>
              <w:pStyle w:val="TAC"/>
              <w:rPr>
                <w:rFonts w:cs="Arial"/>
                <w:sz w:val="16"/>
                <w:szCs w:val="16"/>
              </w:rPr>
            </w:pPr>
            <w:r>
              <w:rPr>
                <w:rFonts w:cs="Arial"/>
                <w:sz w:val="16"/>
                <w:szCs w:val="16"/>
              </w:rPr>
              <w:t>CT#102</w:t>
            </w:r>
          </w:p>
        </w:tc>
        <w:tc>
          <w:tcPr>
            <w:tcW w:w="1088" w:type="dxa"/>
            <w:shd w:val="solid" w:color="FFFFFF" w:fill="auto"/>
          </w:tcPr>
          <w:p w:rsidR="005779B8" w:rsidRDefault="005779B8" w:rsidP="005779B8">
            <w:pPr>
              <w:pStyle w:val="TAC"/>
              <w:rPr>
                <w:rFonts w:cs="Arial"/>
                <w:sz w:val="16"/>
                <w:szCs w:val="16"/>
              </w:rPr>
            </w:pPr>
            <w:r>
              <w:rPr>
                <w:rFonts w:cs="Arial"/>
                <w:sz w:val="16"/>
                <w:szCs w:val="16"/>
              </w:rPr>
              <w:t>CP-233262</w:t>
            </w:r>
          </w:p>
        </w:tc>
        <w:tc>
          <w:tcPr>
            <w:tcW w:w="524" w:type="dxa"/>
            <w:shd w:val="solid" w:color="FFFFFF" w:fill="auto"/>
          </w:tcPr>
          <w:p w:rsidR="005779B8" w:rsidRDefault="005779B8" w:rsidP="005779B8">
            <w:pPr>
              <w:pStyle w:val="TAL"/>
              <w:rPr>
                <w:rFonts w:cs="Arial"/>
                <w:sz w:val="16"/>
                <w:szCs w:val="16"/>
              </w:rPr>
            </w:pPr>
            <w:r>
              <w:rPr>
                <w:rFonts w:cs="Arial"/>
                <w:sz w:val="16"/>
                <w:szCs w:val="16"/>
              </w:rPr>
              <w:t>0776</w:t>
            </w:r>
          </w:p>
        </w:tc>
        <w:tc>
          <w:tcPr>
            <w:tcW w:w="424" w:type="dxa"/>
            <w:shd w:val="solid" w:color="FFFFFF" w:fill="auto"/>
          </w:tcPr>
          <w:p w:rsidR="005779B8" w:rsidRDefault="005779B8" w:rsidP="005779B8">
            <w:pPr>
              <w:pStyle w:val="TAR"/>
              <w:rPr>
                <w:rFonts w:cs="Arial"/>
                <w:sz w:val="16"/>
                <w:szCs w:val="16"/>
              </w:rPr>
            </w:pPr>
            <w:r>
              <w:rPr>
                <w:rFonts w:cs="Arial"/>
                <w:sz w:val="16"/>
                <w:szCs w:val="16"/>
              </w:rPr>
              <w:t>1</w:t>
            </w:r>
          </w:p>
        </w:tc>
        <w:tc>
          <w:tcPr>
            <w:tcW w:w="424" w:type="dxa"/>
            <w:shd w:val="solid" w:color="FFFFFF" w:fill="auto"/>
          </w:tcPr>
          <w:p w:rsidR="005779B8" w:rsidRDefault="005779B8" w:rsidP="005779B8">
            <w:pPr>
              <w:pStyle w:val="TAC"/>
              <w:rPr>
                <w:rFonts w:cs="Arial"/>
                <w:sz w:val="16"/>
                <w:szCs w:val="16"/>
              </w:rPr>
            </w:pPr>
            <w:r>
              <w:rPr>
                <w:rFonts w:cs="Arial"/>
                <w:sz w:val="16"/>
                <w:szCs w:val="16"/>
              </w:rPr>
              <w:t>B</w:t>
            </w:r>
          </w:p>
        </w:tc>
        <w:tc>
          <w:tcPr>
            <w:tcW w:w="4919" w:type="dxa"/>
            <w:shd w:val="solid" w:color="FFFFFF" w:fill="auto"/>
          </w:tcPr>
          <w:p w:rsidR="005779B8" w:rsidRDefault="005779B8" w:rsidP="005779B8">
            <w:pPr>
              <w:pStyle w:val="TAL"/>
              <w:rPr>
                <w:rFonts w:cs="Arial"/>
                <w:sz w:val="16"/>
                <w:szCs w:val="16"/>
              </w:rPr>
            </w:pPr>
            <w:r>
              <w:rPr>
                <w:rFonts w:cs="Arial"/>
                <w:sz w:val="16"/>
                <w:szCs w:val="16"/>
              </w:rPr>
              <w:t>Support of cumulative event report</w:t>
            </w:r>
          </w:p>
        </w:tc>
        <w:tc>
          <w:tcPr>
            <w:tcW w:w="707" w:type="dxa"/>
            <w:shd w:val="solid" w:color="FFFFFF" w:fill="auto"/>
          </w:tcPr>
          <w:p w:rsidR="005779B8" w:rsidRPr="000A0A5F" w:rsidRDefault="005779B8" w:rsidP="005779B8">
            <w:pPr>
              <w:pStyle w:val="TAC"/>
              <w:rPr>
                <w:rFonts w:cs="Arial"/>
                <w:color w:val="000000"/>
                <w:sz w:val="16"/>
                <w:szCs w:val="16"/>
                <w:lang w:eastAsia="zh-CN"/>
              </w:rPr>
            </w:pPr>
            <w:r w:rsidRPr="00691B2D">
              <w:rPr>
                <w:rFonts w:cs="Arial"/>
                <w:color w:val="000000"/>
                <w:sz w:val="16"/>
                <w:szCs w:val="16"/>
                <w:lang w:eastAsia="zh-CN"/>
              </w:rPr>
              <w:t>18.4.0</w:t>
            </w:r>
          </w:p>
        </w:tc>
      </w:tr>
      <w:tr w:rsidR="005779B8" w:rsidRPr="00481D2D" w:rsidTr="00274CFF">
        <w:tc>
          <w:tcPr>
            <w:tcW w:w="798" w:type="dxa"/>
            <w:shd w:val="solid" w:color="FFFFFF" w:fill="auto"/>
          </w:tcPr>
          <w:p w:rsidR="005779B8" w:rsidRDefault="005779B8" w:rsidP="005779B8">
            <w:pPr>
              <w:pStyle w:val="TAC"/>
              <w:rPr>
                <w:rFonts w:cs="Arial"/>
                <w:sz w:val="16"/>
                <w:szCs w:val="16"/>
              </w:rPr>
            </w:pPr>
            <w:r>
              <w:rPr>
                <w:rFonts w:cs="Arial"/>
                <w:sz w:val="16"/>
                <w:szCs w:val="16"/>
              </w:rPr>
              <w:t>2023-12</w:t>
            </w:r>
          </w:p>
        </w:tc>
        <w:tc>
          <w:tcPr>
            <w:tcW w:w="797" w:type="dxa"/>
            <w:shd w:val="solid" w:color="FFFFFF" w:fill="auto"/>
          </w:tcPr>
          <w:p w:rsidR="005779B8" w:rsidRDefault="005779B8" w:rsidP="005779B8">
            <w:pPr>
              <w:pStyle w:val="TAC"/>
              <w:rPr>
                <w:rFonts w:cs="Arial"/>
                <w:sz w:val="16"/>
                <w:szCs w:val="16"/>
              </w:rPr>
            </w:pPr>
            <w:r>
              <w:rPr>
                <w:rFonts w:cs="Arial"/>
                <w:sz w:val="16"/>
                <w:szCs w:val="16"/>
              </w:rPr>
              <w:t>CT#102</w:t>
            </w:r>
          </w:p>
        </w:tc>
        <w:tc>
          <w:tcPr>
            <w:tcW w:w="1088" w:type="dxa"/>
            <w:shd w:val="solid" w:color="FFFFFF" w:fill="auto"/>
          </w:tcPr>
          <w:p w:rsidR="005779B8" w:rsidRDefault="005779B8" w:rsidP="005779B8">
            <w:pPr>
              <w:pStyle w:val="TAC"/>
              <w:rPr>
                <w:rFonts w:cs="Arial"/>
                <w:sz w:val="16"/>
                <w:szCs w:val="16"/>
              </w:rPr>
            </w:pPr>
            <w:r>
              <w:rPr>
                <w:rFonts w:cs="Arial"/>
                <w:sz w:val="16"/>
                <w:szCs w:val="16"/>
              </w:rPr>
              <w:t>CP-233235</w:t>
            </w:r>
          </w:p>
        </w:tc>
        <w:tc>
          <w:tcPr>
            <w:tcW w:w="524" w:type="dxa"/>
            <w:shd w:val="solid" w:color="FFFFFF" w:fill="auto"/>
          </w:tcPr>
          <w:p w:rsidR="005779B8" w:rsidRDefault="005779B8" w:rsidP="005779B8">
            <w:pPr>
              <w:pStyle w:val="TAL"/>
              <w:rPr>
                <w:rFonts w:cs="Arial"/>
                <w:sz w:val="16"/>
                <w:szCs w:val="16"/>
              </w:rPr>
            </w:pPr>
            <w:r>
              <w:rPr>
                <w:rFonts w:cs="Arial"/>
                <w:sz w:val="16"/>
                <w:szCs w:val="16"/>
              </w:rPr>
              <w:t>0777</w:t>
            </w:r>
          </w:p>
        </w:tc>
        <w:tc>
          <w:tcPr>
            <w:tcW w:w="424" w:type="dxa"/>
            <w:shd w:val="solid" w:color="FFFFFF" w:fill="auto"/>
          </w:tcPr>
          <w:p w:rsidR="005779B8" w:rsidRDefault="005779B8" w:rsidP="005779B8">
            <w:pPr>
              <w:pStyle w:val="TAR"/>
              <w:rPr>
                <w:rFonts w:cs="Arial"/>
                <w:sz w:val="16"/>
                <w:szCs w:val="16"/>
              </w:rPr>
            </w:pPr>
          </w:p>
        </w:tc>
        <w:tc>
          <w:tcPr>
            <w:tcW w:w="424" w:type="dxa"/>
            <w:shd w:val="solid" w:color="FFFFFF" w:fill="auto"/>
          </w:tcPr>
          <w:p w:rsidR="005779B8" w:rsidRDefault="005779B8" w:rsidP="005779B8">
            <w:pPr>
              <w:pStyle w:val="TAC"/>
              <w:rPr>
                <w:rFonts w:cs="Arial"/>
                <w:sz w:val="16"/>
                <w:szCs w:val="16"/>
              </w:rPr>
            </w:pPr>
            <w:r>
              <w:rPr>
                <w:rFonts w:cs="Arial"/>
                <w:sz w:val="16"/>
                <w:szCs w:val="16"/>
              </w:rPr>
              <w:t>F</w:t>
            </w:r>
          </w:p>
        </w:tc>
        <w:tc>
          <w:tcPr>
            <w:tcW w:w="4919" w:type="dxa"/>
            <w:shd w:val="solid" w:color="FFFFFF" w:fill="auto"/>
          </w:tcPr>
          <w:p w:rsidR="005779B8" w:rsidRDefault="005779B8" w:rsidP="005779B8">
            <w:pPr>
              <w:pStyle w:val="TAL"/>
              <w:rPr>
                <w:rFonts w:cs="Arial"/>
                <w:sz w:val="16"/>
                <w:szCs w:val="16"/>
              </w:rPr>
            </w:pPr>
            <w:r>
              <w:rPr>
                <w:rFonts w:cs="Arial"/>
                <w:sz w:val="16"/>
                <w:szCs w:val="16"/>
              </w:rPr>
              <w:t>Remove the redundant features</w:t>
            </w:r>
          </w:p>
        </w:tc>
        <w:tc>
          <w:tcPr>
            <w:tcW w:w="707" w:type="dxa"/>
            <w:shd w:val="solid" w:color="FFFFFF" w:fill="auto"/>
          </w:tcPr>
          <w:p w:rsidR="005779B8" w:rsidRPr="000A0A5F" w:rsidRDefault="005779B8" w:rsidP="005779B8">
            <w:pPr>
              <w:pStyle w:val="TAC"/>
              <w:rPr>
                <w:rFonts w:cs="Arial"/>
                <w:color w:val="000000"/>
                <w:sz w:val="16"/>
                <w:szCs w:val="16"/>
                <w:lang w:eastAsia="zh-CN"/>
              </w:rPr>
            </w:pPr>
            <w:r w:rsidRPr="00691B2D">
              <w:rPr>
                <w:rFonts w:cs="Arial"/>
                <w:color w:val="000000"/>
                <w:sz w:val="16"/>
                <w:szCs w:val="16"/>
                <w:lang w:eastAsia="zh-CN"/>
              </w:rPr>
              <w:t>18.4.0</w:t>
            </w:r>
          </w:p>
        </w:tc>
      </w:tr>
      <w:tr w:rsidR="005779B8" w:rsidRPr="00481D2D" w:rsidTr="00274CFF">
        <w:tc>
          <w:tcPr>
            <w:tcW w:w="798" w:type="dxa"/>
            <w:shd w:val="solid" w:color="FFFFFF" w:fill="auto"/>
          </w:tcPr>
          <w:p w:rsidR="005779B8" w:rsidRDefault="005779B8" w:rsidP="005779B8">
            <w:pPr>
              <w:pStyle w:val="TAC"/>
              <w:rPr>
                <w:rFonts w:cs="Arial"/>
                <w:sz w:val="16"/>
                <w:szCs w:val="16"/>
              </w:rPr>
            </w:pPr>
            <w:r>
              <w:rPr>
                <w:rFonts w:cs="Arial"/>
                <w:sz w:val="16"/>
                <w:szCs w:val="16"/>
              </w:rPr>
              <w:t>2023-12</w:t>
            </w:r>
          </w:p>
        </w:tc>
        <w:tc>
          <w:tcPr>
            <w:tcW w:w="797" w:type="dxa"/>
            <w:shd w:val="solid" w:color="FFFFFF" w:fill="auto"/>
          </w:tcPr>
          <w:p w:rsidR="005779B8" w:rsidRDefault="005779B8" w:rsidP="005779B8">
            <w:pPr>
              <w:pStyle w:val="TAC"/>
              <w:rPr>
                <w:rFonts w:cs="Arial"/>
                <w:sz w:val="16"/>
                <w:szCs w:val="16"/>
              </w:rPr>
            </w:pPr>
            <w:r>
              <w:rPr>
                <w:rFonts w:cs="Arial"/>
                <w:sz w:val="16"/>
                <w:szCs w:val="16"/>
              </w:rPr>
              <w:t>CT#102</w:t>
            </w:r>
          </w:p>
        </w:tc>
        <w:tc>
          <w:tcPr>
            <w:tcW w:w="1088" w:type="dxa"/>
            <w:shd w:val="solid" w:color="FFFFFF" w:fill="auto"/>
          </w:tcPr>
          <w:p w:rsidR="005779B8" w:rsidRDefault="005779B8" w:rsidP="005779B8">
            <w:pPr>
              <w:pStyle w:val="TAC"/>
              <w:rPr>
                <w:rFonts w:cs="Arial"/>
                <w:sz w:val="16"/>
                <w:szCs w:val="16"/>
              </w:rPr>
            </w:pPr>
            <w:r>
              <w:rPr>
                <w:rFonts w:cs="Arial"/>
                <w:sz w:val="16"/>
                <w:szCs w:val="16"/>
              </w:rPr>
              <w:t>CP-233235</w:t>
            </w:r>
          </w:p>
        </w:tc>
        <w:tc>
          <w:tcPr>
            <w:tcW w:w="524" w:type="dxa"/>
            <w:shd w:val="solid" w:color="FFFFFF" w:fill="auto"/>
          </w:tcPr>
          <w:p w:rsidR="005779B8" w:rsidRDefault="005779B8" w:rsidP="005779B8">
            <w:pPr>
              <w:pStyle w:val="TAL"/>
              <w:rPr>
                <w:rFonts w:cs="Arial"/>
                <w:sz w:val="16"/>
                <w:szCs w:val="16"/>
              </w:rPr>
            </w:pPr>
            <w:r>
              <w:rPr>
                <w:rFonts w:cs="Arial"/>
                <w:sz w:val="16"/>
                <w:szCs w:val="16"/>
              </w:rPr>
              <w:t>0778</w:t>
            </w:r>
          </w:p>
        </w:tc>
        <w:tc>
          <w:tcPr>
            <w:tcW w:w="424" w:type="dxa"/>
            <w:shd w:val="solid" w:color="FFFFFF" w:fill="auto"/>
          </w:tcPr>
          <w:p w:rsidR="005779B8" w:rsidRDefault="005779B8" w:rsidP="005779B8">
            <w:pPr>
              <w:pStyle w:val="TAR"/>
              <w:rPr>
                <w:rFonts w:cs="Arial"/>
                <w:sz w:val="16"/>
                <w:szCs w:val="16"/>
              </w:rPr>
            </w:pPr>
            <w:r>
              <w:rPr>
                <w:rFonts w:cs="Arial"/>
                <w:sz w:val="16"/>
                <w:szCs w:val="16"/>
              </w:rPr>
              <w:t>1</w:t>
            </w:r>
          </w:p>
        </w:tc>
        <w:tc>
          <w:tcPr>
            <w:tcW w:w="424" w:type="dxa"/>
            <w:shd w:val="solid" w:color="FFFFFF" w:fill="auto"/>
          </w:tcPr>
          <w:p w:rsidR="005779B8" w:rsidRDefault="005779B8" w:rsidP="005779B8">
            <w:pPr>
              <w:pStyle w:val="TAC"/>
              <w:rPr>
                <w:rFonts w:cs="Arial"/>
                <w:sz w:val="16"/>
                <w:szCs w:val="16"/>
              </w:rPr>
            </w:pPr>
            <w:r>
              <w:rPr>
                <w:rFonts w:cs="Arial"/>
                <w:sz w:val="16"/>
                <w:szCs w:val="16"/>
              </w:rPr>
              <w:t>B</w:t>
            </w:r>
          </w:p>
        </w:tc>
        <w:tc>
          <w:tcPr>
            <w:tcW w:w="4919" w:type="dxa"/>
            <w:shd w:val="solid" w:color="FFFFFF" w:fill="auto"/>
          </w:tcPr>
          <w:p w:rsidR="005779B8" w:rsidRDefault="005779B8" w:rsidP="005779B8">
            <w:pPr>
              <w:pStyle w:val="TAL"/>
              <w:rPr>
                <w:rFonts w:cs="Arial"/>
                <w:sz w:val="16"/>
                <w:szCs w:val="16"/>
              </w:rPr>
            </w:pPr>
            <w:r>
              <w:rPr>
                <w:rFonts w:cs="Arial"/>
                <w:sz w:val="16"/>
                <w:szCs w:val="16"/>
              </w:rPr>
              <w:t>Support of Consolidated Data Rate for Multi-member AF session</w:t>
            </w:r>
          </w:p>
        </w:tc>
        <w:tc>
          <w:tcPr>
            <w:tcW w:w="707" w:type="dxa"/>
            <w:shd w:val="solid" w:color="FFFFFF" w:fill="auto"/>
          </w:tcPr>
          <w:p w:rsidR="005779B8" w:rsidRPr="000A0A5F" w:rsidRDefault="005779B8" w:rsidP="005779B8">
            <w:pPr>
              <w:pStyle w:val="TAC"/>
              <w:rPr>
                <w:rFonts w:cs="Arial"/>
                <w:color w:val="000000"/>
                <w:sz w:val="16"/>
                <w:szCs w:val="16"/>
                <w:lang w:eastAsia="zh-CN"/>
              </w:rPr>
            </w:pPr>
            <w:r w:rsidRPr="00691B2D">
              <w:rPr>
                <w:rFonts w:cs="Arial"/>
                <w:color w:val="000000"/>
                <w:sz w:val="16"/>
                <w:szCs w:val="16"/>
                <w:lang w:eastAsia="zh-CN"/>
              </w:rPr>
              <w:t>18.4.0</w:t>
            </w:r>
          </w:p>
        </w:tc>
      </w:tr>
      <w:tr w:rsidR="005779B8" w:rsidRPr="00481D2D" w:rsidTr="00274CFF">
        <w:tc>
          <w:tcPr>
            <w:tcW w:w="798" w:type="dxa"/>
            <w:shd w:val="solid" w:color="FFFFFF" w:fill="auto"/>
          </w:tcPr>
          <w:p w:rsidR="005779B8" w:rsidRDefault="005779B8" w:rsidP="005779B8">
            <w:pPr>
              <w:pStyle w:val="TAC"/>
              <w:rPr>
                <w:rFonts w:cs="Arial"/>
                <w:sz w:val="16"/>
                <w:szCs w:val="16"/>
              </w:rPr>
            </w:pPr>
            <w:r>
              <w:rPr>
                <w:rFonts w:cs="Arial"/>
                <w:sz w:val="16"/>
                <w:szCs w:val="16"/>
              </w:rPr>
              <w:t>2023-12</w:t>
            </w:r>
          </w:p>
        </w:tc>
        <w:tc>
          <w:tcPr>
            <w:tcW w:w="797" w:type="dxa"/>
            <w:shd w:val="solid" w:color="FFFFFF" w:fill="auto"/>
          </w:tcPr>
          <w:p w:rsidR="005779B8" w:rsidRDefault="005779B8" w:rsidP="005779B8">
            <w:pPr>
              <w:pStyle w:val="TAC"/>
              <w:rPr>
                <w:rFonts w:cs="Arial"/>
                <w:sz w:val="16"/>
                <w:szCs w:val="16"/>
              </w:rPr>
            </w:pPr>
            <w:r>
              <w:rPr>
                <w:rFonts w:cs="Arial"/>
                <w:sz w:val="16"/>
                <w:szCs w:val="16"/>
              </w:rPr>
              <w:t>CT#102</w:t>
            </w:r>
          </w:p>
        </w:tc>
        <w:tc>
          <w:tcPr>
            <w:tcW w:w="1088" w:type="dxa"/>
            <w:shd w:val="solid" w:color="FFFFFF" w:fill="auto"/>
          </w:tcPr>
          <w:p w:rsidR="005779B8" w:rsidRDefault="005779B8" w:rsidP="005779B8">
            <w:pPr>
              <w:pStyle w:val="TAC"/>
              <w:rPr>
                <w:rFonts w:cs="Arial"/>
                <w:sz w:val="16"/>
                <w:szCs w:val="16"/>
              </w:rPr>
            </w:pPr>
            <w:r>
              <w:rPr>
                <w:rFonts w:cs="Arial"/>
                <w:sz w:val="16"/>
                <w:szCs w:val="16"/>
              </w:rPr>
              <w:t>CP-233209</w:t>
            </w:r>
          </w:p>
        </w:tc>
        <w:tc>
          <w:tcPr>
            <w:tcW w:w="524" w:type="dxa"/>
            <w:shd w:val="solid" w:color="FFFFFF" w:fill="auto"/>
          </w:tcPr>
          <w:p w:rsidR="005779B8" w:rsidRDefault="005779B8" w:rsidP="005779B8">
            <w:pPr>
              <w:pStyle w:val="TAL"/>
              <w:rPr>
                <w:rFonts w:cs="Arial"/>
                <w:sz w:val="16"/>
                <w:szCs w:val="16"/>
              </w:rPr>
            </w:pPr>
            <w:r>
              <w:rPr>
                <w:rFonts w:cs="Arial"/>
                <w:sz w:val="16"/>
                <w:szCs w:val="16"/>
              </w:rPr>
              <w:t>0780</w:t>
            </w:r>
          </w:p>
        </w:tc>
        <w:tc>
          <w:tcPr>
            <w:tcW w:w="424" w:type="dxa"/>
            <w:shd w:val="solid" w:color="FFFFFF" w:fill="auto"/>
          </w:tcPr>
          <w:p w:rsidR="005779B8" w:rsidRDefault="005779B8" w:rsidP="005779B8">
            <w:pPr>
              <w:pStyle w:val="TAR"/>
              <w:rPr>
                <w:rFonts w:cs="Arial"/>
                <w:sz w:val="16"/>
                <w:szCs w:val="16"/>
              </w:rPr>
            </w:pPr>
            <w:r>
              <w:rPr>
                <w:rFonts w:cs="Arial"/>
                <w:sz w:val="16"/>
                <w:szCs w:val="16"/>
              </w:rPr>
              <w:t>2</w:t>
            </w:r>
          </w:p>
        </w:tc>
        <w:tc>
          <w:tcPr>
            <w:tcW w:w="424" w:type="dxa"/>
            <w:shd w:val="solid" w:color="FFFFFF" w:fill="auto"/>
          </w:tcPr>
          <w:p w:rsidR="005779B8" w:rsidRDefault="005779B8" w:rsidP="005779B8">
            <w:pPr>
              <w:pStyle w:val="TAC"/>
              <w:rPr>
                <w:rFonts w:cs="Arial"/>
                <w:sz w:val="16"/>
                <w:szCs w:val="16"/>
              </w:rPr>
            </w:pPr>
            <w:r>
              <w:rPr>
                <w:rFonts w:cs="Arial"/>
                <w:sz w:val="16"/>
                <w:szCs w:val="16"/>
              </w:rPr>
              <w:t>B</w:t>
            </w:r>
          </w:p>
        </w:tc>
        <w:tc>
          <w:tcPr>
            <w:tcW w:w="4919" w:type="dxa"/>
            <w:shd w:val="solid" w:color="FFFFFF" w:fill="auto"/>
          </w:tcPr>
          <w:p w:rsidR="005779B8" w:rsidRDefault="005779B8" w:rsidP="005779B8">
            <w:pPr>
              <w:pStyle w:val="TAL"/>
              <w:rPr>
                <w:rFonts w:cs="Arial"/>
                <w:sz w:val="16"/>
                <w:szCs w:val="16"/>
              </w:rPr>
            </w:pPr>
            <w:r>
              <w:rPr>
                <w:rFonts w:cs="Arial"/>
                <w:sz w:val="16"/>
                <w:szCs w:val="16"/>
              </w:rPr>
              <w:t>Port handling with AsSessionWithQoS</w:t>
            </w:r>
          </w:p>
        </w:tc>
        <w:tc>
          <w:tcPr>
            <w:tcW w:w="707" w:type="dxa"/>
            <w:shd w:val="solid" w:color="FFFFFF" w:fill="auto"/>
          </w:tcPr>
          <w:p w:rsidR="005779B8" w:rsidRPr="000A0A5F" w:rsidRDefault="005779B8" w:rsidP="005779B8">
            <w:pPr>
              <w:pStyle w:val="TAC"/>
              <w:rPr>
                <w:rFonts w:cs="Arial"/>
                <w:color w:val="000000"/>
                <w:sz w:val="16"/>
                <w:szCs w:val="16"/>
                <w:lang w:eastAsia="zh-CN"/>
              </w:rPr>
            </w:pPr>
            <w:r w:rsidRPr="00691B2D">
              <w:rPr>
                <w:rFonts w:cs="Arial"/>
                <w:color w:val="000000"/>
                <w:sz w:val="16"/>
                <w:szCs w:val="16"/>
                <w:lang w:eastAsia="zh-CN"/>
              </w:rPr>
              <w:t>18.4.0</w:t>
            </w:r>
          </w:p>
        </w:tc>
      </w:tr>
      <w:tr w:rsidR="005779B8" w:rsidRPr="00481D2D" w:rsidTr="00274CFF">
        <w:tc>
          <w:tcPr>
            <w:tcW w:w="798" w:type="dxa"/>
            <w:shd w:val="solid" w:color="FFFFFF" w:fill="auto"/>
          </w:tcPr>
          <w:p w:rsidR="005779B8" w:rsidRDefault="005779B8" w:rsidP="005779B8">
            <w:pPr>
              <w:pStyle w:val="TAC"/>
              <w:rPr>
                <w:rFonts w:cs="Arial"/>
                <w:sz w:val="16"/>
                <w:szCs w:val="16"/>
              </w:rPr>
            </w:pPr>
            <w:r>
              <w:rPr>
                <w:rFonts w:cs="Arial"/>
                <w:sz w:val="16"/>
                <w:szCs w:val="16"/>
              </w:rPr>
              <w:t>2023-12</w:t>
            </w:r>
          </w:p>
        </w:tc>
        <w:tc>
          <w:tcPr>
            <w:tcW w:w="797" w:type="dxa"/>
            <w:shd w:val="solid" w:color="FFFFFF" w:fill="auto"/>
          </w:tcPr>
          <w:p w:rsidR="005779B8" w:rsidRDefault="005779B8" w:rsidP="005779B8">
            <w:pPr>
              <w:pStyle w:val="TAC"/>
              <w:rPr>
                <w:rFonts w:cs="Arial"/>
                <w:sz w:val="16"/>
                <w:szCs w:val="16"/>
              </w:rPr>
            </w:pPr>
            <w:r>
              <w:rPr>
                <w:rFonts w:cs="Arial"/>
                <w:sz w:val="16"/>
                <w:szCs w:val="16"/>
              </w:rPr>
              <w:t>CT#102</w:t>
            </w:r>
          </w:p>
        </w:tc>
        <w:tc>
          <w:tcPr>
            <w:tcW w:w="1088" w:type="dxa"/>
            <w:shd w:val="solid" w:color="FFFFFF" w:fill="auto"/>
          </w:tcPr>
          <w:p w:rsidR="005779B8" w:rsidRDefault="005779B8" w:rsidP="005779B8">
            <w:pPr>
              <w:pStyle w:val="TAC"/>
              <w:rPr>
                <w:rFonts w:cs="Arial"/>
                <w:sz w:val="16"/>
                <w:szCs w:val="16"/>
              </w:rPr>
            </w:pPr>
            <w:r>
              <w:rPr>
                <w:rFonts w:cs="Arial"/>
                <w:sz w:val="16"/>
                <w:szCs w:val="16"/>
              </w:rPr>
              <w:t>CP-233236</w:t>
            </w:r>
          </w:p>
        </w:tc>
        <w:tc>
          <w:tcPr>
            <w:tcW w:w="524" w:type="dxa"/>
            <w:shd w:val="solid" w:color="FFFFFF" w:fill="auto"/>
          </w:tcPr>
          <w:p w:rsidR="005779B8" w:rsidRDefault="005779B8" w:rsidP="005779B8">
            <w:pPr>
              <w:pStyle w:val="TAL"/>
              <w:rPr>
                <w:rFonts w:cs="Arial"/>
                <w:sz w:val="16"/>
                <w:szCs w:val="16"/>
              </w:rPr>
            </w:pPr>
            <w:r>
              <w:rPr>
                <w:rFonts w:cs="Arial"/>
                <w:sz w:val="16"/>
                <w:szCs w:val="16"/>
              </w:rPr>
              <w:t>0781</w:t>
            </w:r>
          </w:p>
        </w:tc>
        <w:tc>
          <w:tcPr>
            <w:tcW w:w="424" w:type="dxa"/>
            <w:shd w:val="solid" w:color="FFFFFF" w:fill="auto"/>
          </w:tcPr>
          <w:p w:rsidR="005779B8" w:rsidRDefault="005779B8" w:rsidP="005779B8">
            <w:pPr>
              <w:pStyle w:val="TAR"/>
              <w:rPr>
                <w:rFonts w:cs="Arial"/>
                <w:sz w:val="16"/>
                <w:szCs w:val="16"/>
              </w:rPr>
            </w:pPr>
            <w:r>
              <w:rPr>
                <w:rFonts w:cs="Arial"/>
                <w:sz w:val="16"/>
                <w:szCs w:val="16"/>
              </w:rPr>
              <w:t>1</w:t>
            </w:r>
          </w:p>
        </w:tc>
        <w:tc>
          <w:tcPr>
            <w:tcW w:w="424" w:type="dxa"/>
            <w:shd w:val="solid" w:color="FFFFFF" w:fill="auto"/>
          </w:tcPr>
          <w:p w:rsidR="005779B8" w:rsidRDefault="005779B8" w:rsidP="005779B8">
            <w:pPr>
              <w:pStyle w:val="TAC"/>
              <w:rPr>
                <w:rFonts w:cs="Arial"/>
                <w:sz w:val="16"/>
                <w:szCs w:val="16"/>
              </w:rPr>
            </w:pPr>
            <w:r>
              <w:rPr>
                <w:rFonts w:cs="Arial"/>
                <w:sz w:val="16"/>
                <w:szCs w:val="16"/>
              </w:rPr>
              <w:t>B</w:t>
            </w:r>
          </w:p>
        </w:tc>
        <w:tc>
          <w:tcPr>
            <w:tcW w:w="4919" w:type="dxa"/>
            <w:shd w:val="solid" w:color="FFFFFF" w:fill="auto"/>
          </w:tcPr>
          <w:p w:rsidR="005779B8" w:rsidRDefault="005779B8" w:rsidP="005779B8">
            <w:pPr>
              <w:pStyle w:val="TAL"/>
              <w:rPr>
                <w:rFonts w:cs="Arial"/>
                <w:sz w:val="16"/>
                <w:szCs w:val="16"/>
              </w:rPr>
            </w:pPr>
            <w:r>
              <w:rPr>
                <w:rFonts w:cs="Arial"/>
                <w:sz w:val="16"/>
                <w:szCs w:val="16"/>
              </w:rPr>
              <w:t>Multiple AF Expected UE behaviour</w:t>
            </w:r>
          </w:p>
        </w:tc>
        <w:tc>
          <w:tcPr>
            <w:tcW w:w="707" w:type="dxa"/>
            <w:shd w:val="solid" w:color="FFFFFF" w:fill="auto"/>
          </w:tcPr>
          <w:p w:rsidR="005779B8" w:rsidRPr="000A0A5F" w:rsidRDefault="005779B8" w:rsidP="005779B8">
            <w:pPr>
              <w:pStyle w:val="TAC"/>
              <w:rPr>
                <w:rFonts w:cs="Arial"/>
                <w:color w:val="000000"/>
                <w:sz w:val="16"/>
                <w:szCs w:val="16"/>
                <w:lang w:eastAsia="zh-CN"/>
              </w:rPr>
            </w:pPr>
            <w:r w:rsidRPr="00691B2D">
              <w:rPr>
                <w:rFonts w:cs="Arial"/>
                <w:color w:val="000000"/>
                <w:sz w:val="16"/>
                <w:szCs w:val="16"/>
                <w:lang w:eastAsia="zh-CN"/>
              </w:rPr>
              <w:t>18.4.0</w:t>
            </w:r>
          </w:p>
        </w:tc>
      </w:tr>
      <w:tr w:rsidR="005779B8" w:rsidRPr="00481D2D" w:rsidTr="00274CFF">
        <w:tc>
          <w:tcPr>
            <w:tcW w:w="798" w:type="dxa"/>
            <w:shd w:val="solid" w:color="FFFFFF" w:fill="auto"/>
          </w:tcPr>
          <w:p w:rsidR="005779B8" w:rsidRDefault="005779B8" w:rsidP="005779B8">
            <w:pPr>
              <w:pStyle w:val="TAC"/>
              <w:rPr>
                <w:rFonts w:cs="Arial"/>
                <w:sz w:val="16"/>
                <w:szCs w:val="16"/>
              </w:rPr>
            </w:pPr>
            <w:r>
              <w:rPr>
                <w:rFonts w:cs="Arial"/>
                <w:sz w:val="16"/>
                <w:szCs w:val="16"/>
              </w:rPr>
              <w:t>2023-12</w:t>
            </w:r>
          </w:p>
        </w:tc>
        <w:tc>
          <w:tcPr>
            <w:tcW w:w="797" w:type="dxa"/>
            <w:shd w:val="solid" w:color="FFFFFF" w:fill="auto"/>
          </w:tcPr>
          <w:p w:rsidR="005779B8" w:rsidRDefault="005779B8" w:rsidP="005779B8">
            <w:pPr>
              <w:pStyle w:val="TAC"/>
              <w:rPr>
                <w:rFonts w:cs="Arial"/>
                <w:sz w:val="16"/>
                <w:szCs w:val="16"/>
              </w:rPr>
            </w:pPr>
            <w:r>
              <w:rPr>
                <w:rFonts w:cs="Arial"/>
                <w:sz w:val="16"/>
                <w:szCs w:val="16"/>
              </w:rPr>
              <w:t>CT#102</w:t>
            </w:r>
          </w:p>
        </w:tc>
        <w:tc>
          <w:tcPr>
            <w:tcW w:w="1088" w:type="dxa"/>
            <w:shd w:val="solid" w:color="FFFFFF" w:fill="auto"/>
          </w:tcPr>
          <w:p w:rsidR="005779B8" w:rsidRDefault="005779B8" w:rsidP="005779B8">
            <w:pPr>
              <w:pStyle w:val="TAC"/>
              <w:rPr>
                <w:rFonts w:cs="Arial"/>
                <w:sz w:val="16"/>
                <w:szCs w:val="16"/>
              </w:rPr>
            </w:pPr>
            <w:r>
              <w:rPr>
                <w:rFonts w:cs="Arial"/>
                <w:sz w:val="16"/>
                <w:szCs w:val="16"/>
              </w:rPr>
              <w:t>CP-233225</w:t>
            </w:r>
          </w:p>
        </w:tc>
        <w:tc>
          <w:tcPr>
            <w:tcW w:w="524" w:type="dxa"/>
            <w:shd w:val="solid" w:color="FFFFFF" w:fill="auto"/>
          </w:tcPr>
          <w:p w:rsidR="005779B8" w:rsidRDefault="005779B8" w:rsidP="005779B8">
            <w:pPr>
              <w:pStyle w:val="TAL"/>
              <w:rPr>
                <w:rFonts w:cs="Arial"/>
                <w:sz w:val="16"/>
                <w:szCs w:val="16"/>
              </w:rPr>
            </w:pPr>
            <w:r>
              <w:rPr>
                <w:rFonts w:cs="Arial"/>
                <w:sz w:val="16"/>
                <w:szCs w:val="16"/>
              </w:rPr>
              <w:t>0782</w:t>
            </w:r>
          </w:p>
        </w:tc>
        <w:tc>
          <w:tcPr>
            <w:tcW w:w="424" w:type="dxa"/>
            <w:shd w:val="solid" w:color="FFFFFF" w:fill="auto"/>
          </w:tcPr>
          <w:p w:rsidR="005779B8" w:rsidRDefault="005779B8" w:rsidP="005779B8">
            <w:pPr>
              <w:pStyle w:val="TAR"/>
              <w:rPr>
                <w:rFonts w:cs="Arial"/>
                <w:sz w:val="16"/>
                <w:szCs w:val="16"/>
              </w:rPr>
            </w:pPr>
          </w:p>
        </w:tc>
        <w:tc>
          <w:tcPr>
            <w:tcW w:w="424" w:type="dxa"/>
            <w:shd w:val="solid" w:color="FFFFFF" w:fill="auto"/>
          </w:tcPr>
          <w:p w:rsidR="005779B8" w:rsidRDefault="005779B8" w:rsidP="005779B8">
            <w:pPr>
              <w:pStyle w:val="TAC"/>
              <w:rPr>
                <w:rFonts w:cs="Arial"/>
                <w:sz w:val="16"/>
                <w:szCs w:val="16"/>
              </w:rPr>
            </w:pPr>
            <w:r>
              <w:rPr>
                <w:rFonts w:cs="Arial"/>
                <w:sz w:val="16"/>
                <w:szCs w:val="16"/>
              </w:rPr>
              <w:t>F</w:t>
            </w:r>
          </w:p>
        </w:tc>
        <w:tc>
          <w:tcPr>
            <w:tcW w:w="4919" w:type="dxa"/>
            <w:shd w:val="solid" w:color="FFFFFF" w:fill="auto"/>
          </w:tcPr>
          <w:p w:rsidR="005779B8" w:rsidRDefault="005779B8" w:rsidP="005779B8">
            <w:pPr>
              <w:pStyle w:val="TAL"/>
              <w:rPr>
                <w:rFonts w:cs="Arial"/>
                <w:sz w:val="16"/>
                <w:szCs w:val="16"/>
              </w:rPr>
            </w:pPr>
            <w:r>
              <w:rPr>
                <w:rFonts w:cs="Arial"/>
                <w:sz w:val="16"/>
                <w:szCs w:val="16"/>
              </w:rPr>
              <w:t>Removal of EN related to data management</w:t>
            </w:r>
          </w:p>
        </w:tc>
        <w:tc>
          <w:tcPr>
            <w:tcW w:w="707" w:type="dxa"/>
            <w:shd w:val="solid" w:color="FFFFFF" w:fill="auto"/>
          </w:tcPr>
          <w:p w:rsidR="005779B8" w:rsidRPr="000A0A5F" w:rsidRDefault="005779B8" w:rsidP="005779B8">
            <w:pPr>
              <w:pStyle w:val="TAC"/>
              <w:rPr>
                <w:rFonts w:cs="Arial"/>
                <w:color w:val="000000"/>
                <w:sz w:val="16"/>
                <w:szCs w:val="16"/>
                <w:lang w:eastAsia="zh-CN"/>
              </w:rPr>
            </w:pPr>
            <w:r w:rsidRPr="00691B2D">
              <w:rPr>
                <w:rFonts w:cs="Arial"/>
                <w:color w:val="000000"/>
                <w:sz w:val="16"/>
                <w:szCs w:val="16"/>
                <w:lang w:eastAsia="zh-CN"/>
              </w:rPr>
              <w:t>18.4.0</w:t>
            </w:r>
          </w:p>
        </w:tc>
      </w:tr>
      <w:tr w:rsidR="005779B8" w:rsidRPr="00481D2D" w:rsidTr="00274CFF">
        <w:tc>
          <w:tcPr>
            <w:tcW w:w="798" w:type="dxa"/>
            <w:shd w:val="solid" w:color="FFFFFF" w:fill="auto"/>
          </w:tcPr>
          <w:p w:rsidR="005779B8" w:rsidRDefault="005779B8" w:rsidP="005779B8">
            <w:pPr>
              <w:pStyle w:val="TAC"/>
              <w:rPr>
                <w:rFonts w:cs="Arial"/>
                <w:sz w:val="16"/>
                <w:szCs w:val="16"/>
              </w:rPr>
            </w:pPr>
            <w:r>
              <w:rPr>
                <w:rFonts w:cs="Arial"/>
                <w:sz w:val="16"/>
                <w:szCs w:val="16"/>
              </w:rPr>
              <w:t>2023-12</w:t>
            </w:r>
          </w:p>
        </w:tc>
        <w:tc>
          <w:tcPr>
            <w:tcW w:w="797" w:type="dxa"/>
            <w:shd w:val="solid" w:color="FFFFFF" w:fill="auto"/>
          </w:tcPr>
          <w:p w:rsidR="005779B8" w:rsidRDefault="005779B8" w:rsidP="005779B8">
            <w:pPr>
              <w:pStyle w:val="TAC"/>
              <w:rPr>
                <w:rFonts w:cs="Arial"/>
                <w:sz w:val="16"/>
                <w:szCs w:val="16"/>
              </w:rPr>
            </w:pPr>
            <w:r>
              <w:rPr>
                <w:rFonts w:cs="Arial"/>
                <w:sz w:val="16"/>
                <w:szCs w:val="16"/>
              </w:rPr>
              <w:t>CT#102</w:t>
            </w:r>
          </w:p>
        </w:tc>
        <w:tc>
          <w:tcPr>
            <w:tcW w:w="1088" w:type="dxa"/>
            <w:shd w:val="solid" w:color="FFFFFF" w:fill="auto"/>
          </w:tcPr>
          <w:p w:rsidR="005779B8" w:rsidRDefault="005779B8" w:rsidP="005779B8">
            <w:pPr>
              <w:pStyle w:val="TAC"/>
              <w:rPr>
                <w:rFonts w:cs="Arial"/>
                <w:sz w:val="16"/>
                <w:szCs w:val="16"/>
              </w:rPr>
            </w:pPr>
            <w:r>
              <w:rPr>
                <w:rFonts w:cs="Arial"/>
                <w:sz w:val="16"/>
                <w:szCs w:val="16"/>
              </w:rPr>
              <w:t>CP-233257</w:t>
            </w:r>
          </w:p>
        </w:tc>
        <w:tc>
          <w:tcPr>
            <w:tcW w:w="524" w:type="dxa"/>
            <w:shd w:val="solid" w:color="FFFFFF" w:fill="auto"/>
          </w:tcPr>
          <w:p w:rsidR="005779B8" w:rsidRDefault="005779B8" w:rsidP="005779B8">
            <w:pPr>
              <w:pStyle w:val="TAL"/>
              <w:rPr>
                <w:rFonts w:cs="Arial"/>
                <w:sz w:val="16"/>
                <w:szCs w:val="16"/>
              </w:rPr>
            </w:pPr>
            <w:r>
              <w:rPr>
                <w:rFonts w:cs="Arial"/>
                <w:sz w:val="16"/>
                <w:szCs w:val="16"/>
              </w:rPr>
              <w:t>0783</w:t>
            </w:r>
          </w:p>
        </w:tc>
        <w:tc>
          <w:tcPr>
            <w:tcW w:w="424" w:type="dxa"/>
            <w:shd w:val="solid" w:color="FFFFFF" w:fill="auto"/>
          </w:tcPr>
          <w:p w:rsidR="005779B8" w:rsidRDefault="005779B8" w:rsidP="005779B8">
            <w:pPr>
              <w:pStyle w:val="TAR"/>
              <w:rPr>
                <w:rFonts w:cs="Arial"/>
                <w:sz w:val="16"/>
                <w:szCs w:val="16"/>
              </w:rPr>
            </w:pPr>
            <w:r>
              <w:rPr>
                <w:rFonts w:cs="Arial"/>
                <w:sz w:val="16"/>
                <w:szCs w:val="16"/>
              </w:rPr>
              <w:t>1</w:t>
            </w:r>
          </w:p>
        </w:tc>
        <w:tc>
          <w:tcPr>
            <w:tcW w:w="424" w:type="dxa"/>
            <w:shd w:val="solid" w:color="FFFFFF" w:fill="auto"/>
          </w:tcPr>
          <w:p w:rsidR="005779B8" w:rsidRDefault="005779B8" w:rsidP="005779B8">
            <w:pPr>
              <w:pStyle w:val="TAC"/>
              <w:rPr>
                <w:rFonts w:cs="Arial"/>
                <w:sz w:val="16"/>
                <w:szCs w:val="16"/>
              </w:rPr>
            </w:pPr>
            <w:r>
              <w:rPr>
                <w:rFonts w:cs="Arial"/>
                <w:sz w:val="16"/>
                <w:szCs w:val="16"/>
              </w:rPr>
              <w:t>F</w:t>
            </w:r>
          </w:p>
        </w:tc>
        <w:tc>
          <w:tcPr>
            <w:tcW w:w="4919" w:type="dxa"/>
            <w:shd w:val="solid" w:color="FFFFFF" w:fill="auto"/>
          </w:tcPr>
          <w:p w:rsidR="005779B8" w:rsidRDefault="005779B8" w:rsidP="005779B8">
            <w:pPr>
              <w:pStyle w:val="TAL"/>
              <w:rPr>
                <w:rFonts w:cs="Arial"/>
                <w:sz w:val="16"/>
                <w:szCs w:val="16"/>
              </w:rPr>
            </w:pPr>
            <w:r>
              <w:rPr>
                <w:rFonts w:cs="Arial"/>
                <w:sz w:val="16"/>
                <w:szCs w:val="16"/>
              </w:rPr>
              <w:t>Wrong attribute name</w:t>
            </w:r>
          </w:p>
        </w:tc>
        <w:tc>
          <w:tcPr>
            <w:tcW w:w="707" w:type="dxa"/>
            <w:shd w:val="solid" w:color="FFFFFF" w:fill="auto"/>
          </w:tcPr>
          <w:p w:rsidR="005779B8" w:rsidRPr="000A0A5F" w:rsidRDefault="005779B8" w:rsidP="005779B8">
            <w:pPr>
              <w:pStyle w:val="TAC"/>
              <w:rPr>
                <w:rFonts w:cs="Arial"/>
                <w:color w:val="000000"/>
                <w:sz w:val="16"/>
                <w:szCs w:val="16"/>
                <w:lang w:eastAsia="zh-CN"/>
              </w:rPr>
            </w:pPr>
            <w:r w:rsidRPr="00691B2D">
              <w:rPr>
                <w:rFonts w:cs="Arial"/>
                <w:color w:val="000000"/>
                <w:sz w:val="16"/>
                <w:szCs w:val="16"/>
                <w:lang w:eastAsia="zh-CN"/>
              </w:rPr>
              <w:t>18.4.0</w:t>
            </w:r>
          </w:p>
        </w:tc>
      </w:tr>
      <w:tr w:rsidR="005779B8" w:rsidRPr="00481D2D" w:rsidTr="00274CFF">
        <w:tc>
          <w:tcPr>
            <w:tcW w:w="798" w:type="dxa"/>
            <w:shd w:val="solid" w:color="FFFFFF" w:fill="auto"/>
          </w:tcPr>
          <w:p w:rsidR="005779B8" w:rsidRDefault="005779B8" w:rsidP="005779B8">
            <w:pPr>
              <w:pStyle w:val="TAC"/>
              <w:rPr>
                <w:rFonts w:cs="Arial"/>
                <w:sz w:val="16"/>
                <w:szCs w:val="16"/>
              </w:rPr>
            </w:pPr>
            <w:r>
              <w:rPr>
                <w:rFonts w:cs="Arial"/>
                <w:sz w:val="16"/>
                <w:szCs w:val="16"/>
              </w:rPr>
              <w:t>2023-12</w:t>
            </w:r>
          </w:p>
        </w:tc>
        <w:tc>
          <w:tcPr>
            <w:tcW w:w="797" w:type="dxa"/>
            <w:shd w:val="solid" w:color="FFFFFF" w:fill="auto"/>
          </w:tcPr>
          <w:p w:rsidR="005779B8" w:rsidRDefault="005779B8" w:rsidP="005779B8">
            <w:pPr>
              <w:pStyle w:val="TAC"/>
              <w:rPr>
                <w:rFonts w:cs="Arial"/>
                <w:sz w:val="16"/>
                <w:szCs w:val="16"/>
              </w:rPr>
            </w:pPr>
            <w:r>
              <w:rPr>
                <w:rFonts w:cs="Arial"/>
                <w:sz w:val="16"/>
                <w:szCs w:val="16"/>
              </w:rPr>
              <w:t>CT#102</w:t>
            </w:r>
          </w:p>
        </w:tc>
        <w:tc>
          <w:tcPr>
            <w:tcW w:w="1088" w:type="dxa"/>
            <w:shd w:val="solid" w:color="FFFFFF" w:fill="auto"/>
          </w:tcPr>
          <w:p w:rsidR="005779B8" w:rsidRDefault="005779B8" w:rsidP="005779B8">
            <w:pPr>
              <w:pStyle w:val="TAC"/>
              <w:rPr>
                <w:rFonts w:cs="Arial"/>
                <w:sz w:val="16"/>
                <w:szCs w:val="16"/>
              </w:rPr>
            </w:pPr>
            <w:r>
              <w:rPr>
                <w:rFonts w:cs="Arial"/>
                <w:sz w:val="16"/>
                <w:szCs w:val="16"/>
              </w:rPr>
              <w:t>CP-233231</w:t>
            </w:r>
          </w:p>
        </w:tc>
        <w:tc>
          <w:tcPr>
            <w:tcW w:w="524" w:type="dxa"/>
            <w:shd w:val="solid" w:color="FFFFFF" w:fill="auto"/>
          </w:tcPr>
          <w:p w:rsidR="005779B8" w:rsidRDefault="005779B8" w:rsidP="005779B8">
            <w:pPr>
              <w:pStyle w:val="TAL"/>
              <w:rPr>
                <w:rFonts w:cs="Arial"/>
                <w:sz w:val="16"/>
                <w:szCs w:val="16"/>
              </w:rPr>
            </w:pPr>
            <w:r>
              <w:rPr>
                <w:rFonts w:cs="Arial"/>
                <w:sz w:val="16"/>
                <w:szCs w:val="16"/>
              </w:rPr>
              <w:t>0784</w:t>
            </w:r>
          </w:p>
        </w:tc>
        <w:tc>
          <w:tcPr>
            <w:tcW w:w="424" w:type="dxa"/>
            <w:shd w:val="solid" w:color="FFFFFF" w:fill="auto"/>
          </w:tcPr>
          <w:p w:rsidR="005779B8" w:rsidRDefault="005779B8" w:rsidP="005779B8">
            <w:pPr>
              <w:pStyle w:val="TAR"/>
              <w:rPr>
                <w:rFonts w:cs="Arial"/>
                <w:sz w:val="16"/>
                <w:szCs w:val="16"/>
              </w:rPr>
            </w:pPr>
          </w:p>
        </w:tc>
        <w:tc>
          <w:tcPr>
            <w:tcW w:w="424" w:type="dxa"/>
            <w:shd w:val="solid" w:color="FFFFFF" w:fill="auto"/>
          </w:tcPr>
          <w:p w:rsidR="005779B8" w:rsidRDefault="005779B8" w:rsidP="005779B8">
            <w:pPr>
              <w:pStyle w:val="TAC"/>
              <w:rPr>
                <w:rFonts w:cs="Arial"/>
                <w:sz w:val="16"/>
                <w:szCs w:val="16"/>
              </w:rPr>
            </w:pPr>
            <w:r>
              <w:rPr>
                <w:rFonts w:cs="Arial"/>
                <w:sz w:val="16"/>
                <w:szCs w:val="16"/>
              </w:rPr>
              <w:t>F</w:t>
            </w:r>
          </w:p>
        </w:tc>
        <w:tc>
          <w:tcPr>
            <w:tcW w:w="4919" w:type="dxa"/>
            <w:shd w:val="solid" w:color="FFFFFF" w:fill="auto"/>
          </w:tcPr>
          <w:p w:rsidR="005779B8" w:rsidRDefault="005779B8" w:rsidP="005779B8">
            <w:pPr>
              <w:pStyle w:val="TAL"/>
              <w:rPr>
                <w:rFonts w:cs="Arial"/>
                <w:sz w:val="16"/>
                <w:szCs w:val="16"/>
              </w:rPr>
            </w:pPr>
            <w:r>
              <w:rPr>
                <w:rFonts w:cs="Arial"/>
                <w:sz w:val="16"/>
                <w:szCs w:val="16"/>
              </w:rPr>
              <w:t>Corrections on monitoring event</w:t>
            </w:r>
          </w:p>
        </w:tc>
        <w:tc>
          <w:tcPr>
            <w:tcW w:w="707" w:type="dxa"/>
            <w:shd w:val="solid" w:color="FFFFFF" w:fill="auto"/>
          </w:tcPr>
          <w:p w:rsidR="005779B8" w:rsidRPr="000A0A5F" w:rsidRDefault="005779B8" w:rsidP="005779B8">
            <w:pPr>
              <w:pStyle w:val="TAC"/>
              <w:rPr>
                <w:rFonts w:cs="Arial"/>
                <w:color w:val="000000"/>
                <w:sz w:val="16"/>
                <w:szCs w:val="16"/>
                <w:lang w:eastAsia="zh-CN"/>
              </w:rPr>
            </w:pPr>
            <w:r w:rsidRPr="00691B2D">
              <w:rPr>
                <w:rFonts w:cs="Arial"/>
                <w:color w:val="000000"/>
                <w:sz w:val="16"/>
                <w:szCs w:val="16"/>
                <w:lang w:eastAsia="zh-CN"/>
              </w:rPr>
              <w:t>18.4.0</w:t>
            </w:r>
          </w:p>
        </w:tc>
      </w:tr>
      <w:tr w:rsidR="005779B8" w:rsidRPr="00481D2D" w:rsidTr="00274CFF">
        <w:tc>
          <w:tcPr>
            <w:tcW w:w="798" w:type="dxa"/>
            <w:shd w:val="solid" w:color="FFFFFF" w:fill="auto"/>
          </w:tcPr>
          <w:p w:rsidR="005779B8" w:rsidRDefault="005779B8" w:rsidP="005779B8">
            <w:pPr>
              <w:pStyle w:val="TAC"/>
              <w:rPr>
                <w:rFonts w:cs="Arial"/>
                <w:sz w:val="16"/>
                <w:szCs w:val="16"/>
              </w:rPr>
            </w:pPr>
            <w:r>
              <w:rPr>
                <w:rFonts w:cs="Arial"/>
                <w:sz w:val="16"/>
                <w:szCs w:val="16"/>
              </w:rPr>
              <w:t>2023-12</w:t>
            </w:r>
          </w:p>
        </w:tc>
        <w:tc>
          <w:tcPr>
            <w:tcW w:w="797" w:type="dxa"/>
            <w:shd w:val="solid" w:color="FFFFFF" w:fill="auto"/>
          </w:tcPr>
          <w:p w:rsidR="005779B8" w:rsidRDefault="005779B8" w:rsidP="005779B8">
            <w:pPr>
              <w:pStyle w:val="TAC"/>
              <w:rPr>
                <w:rFonts w:cs="Arial"/>
                <w:sz w:val="16"/>
                <w:szCs w:val="16"/>
              </w:rPr>
            </w:pPr>
            <w:r>
              <w:rPr>
                <w:rFonts w:cs="Arial"/>
                <w:sz w:val="16"/>
                <w:szCs w:val="16"/>
              </w:rPr>
              <w:t>CT#102</w:t>
            </w:r>
          </w:p>
        </w:tc>
        <w:tc>
          <w:tcPr>
            <w:tcW w:w="1088" w:type="dxa"/>
            <w:shd w:val="solid" w:color="FFFFFF" w:fill="auto"/>
          </w:tcPr>
          <w:p w:rsidR="005779B8" w:rsidRDefault="005779B8" w:rsidP="005779B8">
            <w:pPr>
              <w:pStyle w:val="TAC"/>
              <w:rPr>
                <w:rFonts w:cs="Arial"/>
                <w:sz w:val="16"/>
                <w:szCs w:val="16"/>
              </w:rPr>
            </w:pPr>
            <w:r>
              <w:rPr>
                <w:rFonts w:cs="Arial"/>
                <w:sz w:val="16"/>
                <w:szCs w:val="16"/>
              </w:rPr>
              <w:t>CP-233234</w:t>
            </w:r>
          </w:p>
        </w:tc>
        <w:tc>
          <w:tcPr>
            <w:tcW w:w="524" w:type="dxa"/>
            <w:shd w:val="solid" w:color="FFFFFF" w:fill="auto"/>
          </w:tcPr>
          <w:p w:rsidR="005779B8" w:rsidRDefault="005779B8" w:rsidP="005779B8">
            <w:pPr>
              <w:pStyle w:val="TAL"/>
              <w:rPr>
                <w:rFonts w:cs="Arial"/>
                <w:sz w:val="16"/>
                <w:szCs w:val="16"/>
              </w:rPr>
            </w:pPr>
            <w:r>
              <w:rPr>
                <w:rFonts w:cs="Arial"/>
                <w:sz w:val="16"/>
                <w:szCs w:val="16"/>
              </w:rPr>
              <w:t>0785</w:t>
            </w:r>
          </w:p>
        </w:tc>
        <w:tc>
          <w:tcPr>
            <w:tcW w:w="424" w:type="dxa"/>
            <w:shd w:val="solid" w:color="FFFFFF" w:fill="auto"/>
          </w:tcPr>
          <w:p w:rsidR="005779B8" w:rsidRDefault="005779B8" w:rsidP="005779B8">
            <w:pPr>
              <w:pStyle w:val="TAR"/>
              <w:rPr>
                <w:rFonts w:cs="Arial"/>
                <w:sz w:val="16"/>
                <w:szCs w:val="16"/>
              </w:rPr>
            </w:pPr>
          </w:p>
        </w:tc>
        <w:tc>
          <w:tcPr>
            <w:tcW w:w="424" w:type="dxa"/>
            <w:shd w:val="solid" w:color="FFFFFF" w:fill="auto"/>
          </w:tcPr>
          <w:p w:rsidR="005779B8" w:rsidRDefault="005779B8" w:rsidP="005779B8">
            <w:pPr>
              <w:pStyle w:val="TAC"/>
              <w:rPr>
                <w:rFonts w:cs="Arial"/>
                <w:sz w:val="16"/>
                <w:szCs w:val="16"/>
              </w:rPr>
            </w:pPr>
            <w:r>
              <w:rPr>
                <w:rFonts w:cs="Arial"/>
                <w:sz w:val="16"/>
                <w:szCs w:val="16"/>
              </w:rPr>
              <w:t>F</w:t>
            </w:r>
          </w:p>
        </w:tc>
        <w:tc>
          <w:tcPr>
            <w:tcW w:w="4919" w:type="dxa"/>
            <w:shd w:val="solid" w:color="FFFFFF" w:fill="auto"/>
          </w:tcPr>
          <w:p w:rsidR="005779B8" w:rsidRDefault="005779B8" w:rsidP="005779B8">
            <w:pPr>
              <w:pStyle w:val="TAL"/>
              <w:rPr>
                <w:rFonts w:cs="Arial"/>
                <w:sz w:val="16"/>
                <w:szCs w:val="16"/>
              </w:rPr>
            </w:pPr>
            <w:r>
              <w:rPr>
                <w:rFonts w:cs="Arial"/>
                <w:sz w:val="16"/>
                <w:szCs w:val="16"/>
              </w:rPr>
              <w:t>Remove the multiModalId in the update message and update the terminology</w:t>
            </w:r>
          </w:p>
        </w:tc>
        <w:tc>
          <w:tcPr>
            <w:tcW w:w="707" w:type="dxa"/>
            <w:shd w:val="solid" w:color="FFFFFF" w:fill="auto"/>
          </w:tcPr>
          <w:p w:rsidR="005779B8" w:rsidRPr="000A0A5F" w:rsidRDefault="005779B8" w:rsidP="005779B8">
            <w:pPr>
              <w:pStyle w:val="TAC"/>
              <w:rPr>
                <w:rFonts w:cs="Arial"/>
                <w:color w:val="000000"/>
                <w:sz w:val="16"/>
                <w:szCs w:val="16"/>
                <w:lang w:eastAsia="zh-CN"/>
              </w:rPr>
            </w:pPr>
            <w:r w:rsidRPr="00691B2D">
              <w:rPr>
                <w:rFonts w:cs="Arial"/>
                <w:color w:val="000000"/>
                <w:sz w:val="16"/>
                <w:szCs w:val="16"/>
                <w:lang w:eastAsia="zh-CN"/>
              </w:rPr>
              <w:t>18.4.0</w:t>
            </w:r>
          </w:p>
        </w:tc>
      </w:tr>
      <w:tr w:rsidR="005779B8" w:rsidRPr="00481D2D" w:rsidTr="00274CFF">
        <w:tc>
          <w:tcPr>
            <w:tcW w:w="798" w:type="dxa"/>
            <w:shd w:val="solid" w:color="FFFFFF" w:fill="auto"/>
          </w:tcPr>
          <w:p w:rsidR="005779B8" w:rsidRDefault="005779B8" w:rsidP="005779B8">
            <w:pPr>
              <w:pStyle w:val="TAC"/>
              <w:rPr>
                <w:rFonts w:cs="Arial"/>
                <w:sz w:val="16"/>
                <w:szCs w:val="16"/>
              </w:rPr>
            </w:pPr>
            <w:r>
              <w:rPr>
                <w:rFonts w:cs="Arial"/>
                <w:sz w:val="16"/>
                <w:szCs w:val="16"/>
              </w:rPr>
              <w:t>2023-12</w:t>
            </w:r>
          </w:p>
        </w:tc>
        <w:tc>
          <w:tcPr>
            <w:tcW w:w="797" w:type="dxa"/>
            <w:shd w:val="solid" w:color="FFFFFF" w:fill="auto"/>
          </w:tcPr>
          <w:p w:rsidR="005779B8" w:rsidRDefault="005779B8" w:rsidP="005779B8">
            <w:pPr>
              <w:pStyle w:val="TAC"/>
              <w:rPr>
                <w:rFonts w:cs="Arial"/>
                <w:sz w:val="16"/>
                <w:szCs w:val="16"/>
              </w:rPr>
            </w:pPr>
            <w:r>
              <w:rPr>
                <w:rFonts w:cs="Arial"/>
                <w:sz w:val="16"/>
                <w:szCs w:val="16"/>
              </w:rPr>
              <w:t>CT#102</w:t>
            </w:r>
          </w:p>
        </w:tc>
        <w:tc>
          <w:tcPr>
            <w:tcW w:w="1088" w:type="dxa"/>
            <w:shd w:val="solid" w:color="FFFFFF" w:fill="auto"/>
          </w:tcPr>
          <w:p w:rsidR="005779B8" w:rsidRPr="00483CD0" w:rsidRDefault="005779B8" w:rsidP="005779B8">
            <w:pPr>
              <w:pStyle w:val="TAC"/>
              <w:rPr>
                <w:rFonts w:cs="Arial"/>
                <w:color w:val="000000"/>
                <w:sz w:val="16"/>
                <w:szCs w:val="16"/>
                <w:lang w:eastAsia="zh-CN"/>
              </w:rPr>
            </w:pPr>
            <w:r>
              <w:rPr>
                <w:rFonts w:cs="Arial"/>
                <w:sz w:val="16"/>
                <w:szCs w:val="16"/>
              </w:rPr>
              <w:t>CP-233237</w:t>
            </w:r>
          </w:p>
        </w:tc>
        <w:tc>
          <w:tcPr>
            <w:tcW w:w="524" w:type="dxa"/>
            <w:shd w:val="solid" w:color="FFFFFF" w:fill="auto"/>
          </w:tcPr>
          <w:p w:rsidR="005779B8" w:rsidRDefault="005779B8" w:rsidP="005779B8">
            <w:pPr>
              <w:pStyle w:val="TAL"/>
              <w:rPr>
                <w:rFonts w:cs="Arial"/>
                <w:sz w:val="16"/>
                <w:szCs w:val="16"/>
              </w:rPr>
            </w:pPr>
            <w:r>
              <w:rPr>
                <w:rFonts w:cs="Arial"/>
                <w:sz w:val="16"/>
                <w:szCs w:val="16"/>
              </w:rPr>
              <w:t>0787</w:t>
            </w:r>
          </w:p>
        </w:tc>
        <w:tc>
          <w:tcPr>
            <w:tcW w:w="424" w:type="dxa"/>
            <w:shd w:val="solid" w:color="FFFFFF" w:fill="auto"/>
          </w:tcPr>
          <w:p w:rsidR="005779B8" w:rsidRDefault="005779B8" w:rsidP="005779B8">
            <w:pPr>
              <w:pStyle w:val="TAR"/>
              <w:rPr>
                <w:rFonts w:cs="Arial"/>
                <w:sz w:val="16"/>
                <w:szCs w:val="16"/>
              </w:rPr>
            </w:pPr>
          </w:p>
        </w:tc>
        <w:tc>
          <w:tcPr>
            <w:tcW w:w="424" w:type="dxa"/>
            <w:shd w:val="solid" w:color="FFFFFF" w:fill="auto"/>
          </w:tcPr>
          <w:p w:rsidR="005779B8" w:rsidRDefault="005779B8" w:rsidP="005779B8">
            <w:pPr>
              <w:pStyle w:val="TAC"/>
              <w:rPr>
                <w:rFonts w:cs="Arial"/>
                <w:sz w:val="16"/>
                <w:szCs w:val="16"/>
              </w:rPr>
            </w:pPr>
            <w:r>
              <w:rPr>
                <w:rFonts w:cs="Arial"/>
                <w:sz w:val="16"/>
                <w:szCs w:val="16"/>
              </w:rPr>
              <w:t>F</w:t>
            </w:r>
          </w:p>
        </w:tc>
        <w:tc>
          <w:tcPr>
            <w:tcW w:w="4919" w:type="dxa"/>
            <w:shd w:val="solid" w:color="FFFFFF" w:fill="auto"/>
          </w:tcPr>
          <w:p w:rsidR="005779B8" w:rsidRDefault="005779B8" w:rsidP="005779B8">
            <w:pPr>
              <w:pStyle w:val="TAL"/>
              <w:rPr>
                <w:rFonts w:cs="Arial"/>
                <w:sz w:val="16"/>
                <w:szCs w:val="16"/>
              </w:rPr>
            </w:pPr>
            <w:r w:rsidRPr="008029B6">
              <w:rPr>
                <w:rFonts w:cs="Arial"/>
                <w:sz w:val="16"/>
                <w:szCs w:val="16"/>
              </w:rPr>
              <w:t>Update of info and externalDocs fields</w:t>
            </w:r>
          </w:p>
        </w:tc>
        <w:tc>
          <w:tcPr>
            <w:tcW w:w="707" w:type="dxa"/>
            <w:shd w:val="solid" w:color="FFFFFF" w:fill="auto"/>
          </w:tcPr>
          <w:p w:rsidR="005779B8" w:rsidRPr="00691B2D" w:rsidRDefault="005779B8" w:rsidP="005779B8">
            <w:pPr>
              <w:pStyle w:val="TAC"/>
              <w:rPr>
                <w:rFonts w:cs="Arial"/>
                <w:color w:val="000000"/>
                <w:sz w:val="16"/>
                <w:szCs w:val="16"/>
                <w:lang w:eastAsia="zh-CN"/>
              </w:rPr>
            </w:pPr>
            <w:r w:rsidRPr="00691B2D">
              <w:rPr>
                <w:rFonts w:cs="Arial"/>
                <w:color w:val="000000"/>
                <w:sz w:val="16"/>
                <w:szCs w:val="16"/>
                <w:lang w:eastAsia="zh-CN"/>
              </w:rPr>
              <w:t>18.4.0</w:t>
            </w:r>
          </w:p>
        </w:tc>
      </w:tr>
    </w:tbl>
    <w:p w:rsidR="00F82319" w:rsidRDefault="00F82319"/>
    <w:sectPr w:rsidR="00F82319">
      <w:headerReference w:type="default" r:id="rId15"/>
      <w:footerReference w:type="default" r:id="rId16"/>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140B" w:rsidRDefault="00DD140B">
      <w:r>
        <w:separator/>
      </w:r>
    </w:p>
  </w:endnote>
  <w:endnote w:type="continuationSeparator" w:id="0">
    <w:p w:rsidR="00DD140B" w:rsidRDefault="00DD1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Symbol">
    <w:panose1 w:val="020B0502040204020203"/>
    <w:charset w:val="00"/>
    <w:family w:val="swiss"/>
    <w:pitch w:val="variable"/>
    <w:sig w:usb0="800001E3" w:usb1="1200FFEF" w:usb2="00040000" w:usb3="00000000" w:csb0="00000001" w:csb1="00000000"/>
  </w:font>
  <w:font w:name="MS Mincho">
    <w:altName w:val="MS Mincho"/>
    <w:panose1 w:val="02020609040205080304"/>
    <w:charset w:val="80"/>
    <w:family w:val="modern"/>
    <w:pitch w:val="fixed"/>
    <w:sig w:usb0="E00002FF" w:usb1="6AC7FDFB" w:usb2="08000012" w:usb3="00000000" w:csb0="0002009F" w:csb1="00000000"/>
  </w:font>
  <w:font w:name="Arial Unicode MS">
    <w:altName w:val="Microsoft YaHei"/>
    <w:panose1 w:val="020B0604020202020204"/>
    <w:charset w:val="80"/>
    <w:family w:val="swiss"/>
    <w:pitch w:val="variable"/>
    <w:sig w:usb0="F7FFAFFF" w:usb1="E9DFFFFF" w:usb2="0000003F" w:usb3="00000000" w:csb0="003F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DE6" w:rsidRDefault="00A66DE6">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140B" w:rsidRDefault="00DD140B">
      <w:r>
        <w:separator/>
      </w:r>
    </w:p>
  </w:footnote>
  <w:footnote w:type="continuationSeparator" w:id="0">
    <w:p w:rsidR="00DD140B" w:rsidRDefault="00DD14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DE6" w:rsidRDefault="00A66DE6">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7D56C6">
      <w:rPr>
        <w:rFonts w:ascii="Arial" w:hAnsi="Arial" w:cs="Arial"/>
        <w:b/>
        <w:noProof/>
        <w:sz w:val="18"/>
        <w:szCs w:val="18"/>
      </w:rPr>
      <w:t>3GPP TS 29.122 V18.4.0 (2023-12)</w:t>
    </w:r>
    <w:r>
      <w:rPr>
        <w:rFonts w:ascii="Arial" w:hAnsi="Arial" w:cs="Arial"/>
        <w:b/>
        <w:sz w:val="18"/>
        <w:szCs w:val="18"/>
      </w:rPr>
      <w:fldChar w:fldCharType="end"/>
    </w:r>
  </w:p>
  <w:p w:rsidR="00A66DE6" w:rsidRDefault="00A66DE6">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485</w:t>
    </w:r>
    <w:r>
      <w:rPr>
        <w:rFonts w:ascii="Arial" w:hAnsi="Arial" w:cs="Arial"/>
        <w:b/>
        <w:sz w:val="18"/>
        <w:szCs w:val="18"/>
      </w:rPr>
      <w:fldChar w:fldCharType="end"/>
    </w:r>
  </w:p>
  <w:p w:rsidR="00A66DE6" w:rsidRDefault="00A66DE6">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7D56C6">
      <w:rPr>
        <w:rFonts w:ascii="Arial" w:hAnsi="Arial" w:cs="Arial"/>
        <w:b/>
        <w:noProof/>
        <w:sz w:val="18"/>
        <w:szCs w:val="18"/>
      </w:rPr>
      <w:t>Release 18</w:t>
    </w:r>
    <w:r>
      <w:rPr>
        <w:rFonts w:ascii="Arial" w:hAnsi="Arial" w:cs="Arial"/>
        <w:b/>
        <w:sz w:val="18"/>
        <w:szCs w:val="18"/>
      </w:rPr>
      <w:fldChar w:fldCharType="end"/>
    </w:r>
  </w:p>
  <w:p w:rsidR="00A66DE6" w:rsidRDefault="00A66D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3FE153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C481A4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AB289D2"/>
    <w:lvl w:ilvl="0">
      <w:start w:val="1"/>
      <w:numFmt w:val="decimal"/>
      <w:pStyle w:val="ListNumber3"/>
      <w:lvlText w:val="%1."/>
      <w:lvlJc w:val="left"/>
      <w:pPr>
        <w:tabs>
          <w:tab w:val="num" w:pos="926"/>
        </w:tabs>
        <w:ind w:left="926" w:hanging="360"/>
      </w:pPr>
    </w:lvl>
  </w:abstractNum>
  <w:abstractNum w:abstractNumId="3" w15:restartNumberingAfterBreak="0">
    <w:nsid w:val="FFFFFF88"/>
    <w:multiLevelType w:val="singleLevel"/>
    <w:tmpl w:val="3176D438"/>
    <w:lvl w:ilvl="0">
      <w:start w:val="1"/>
      <w:numFmt w:val="decimal"/>
      <w:pStyle w:val="ListNumber"/>
      <w:lvlText w:val="%1."/>
      <w:lvlJc w:val="left"/>
      <w:pPr>
        <w:tabs>
          <w:tab w:val="num" w:pos="360"/>
        </w:tabs>
        <w:ind w:left="360" w:hangingChars="200" w:hanging="360"/>
      </w:pPr>
    </w:lvl>
  </w:abstractNum>
  <w:abstractNum w:abstractNumId="4"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4AB47A9"/>
    <w:multiLevelType w:val="hybridMultilevel"/>
    <w:tmpl w:val="23FAAC08"/>
    <w:lvl w:ilvl="0" w:tplc="01580B9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intFractionalCharacterWidth/>
  <w:embedSystemFonts/>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3074"/>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161B9"/>
    <w:rsid w:val="00001B88"/>
    <w:rsid w:val="00003D9D"/>
    <w:rsid w:val="00005D57"/>
    <w:rsid w:val="00011189"/>
    <w:rsid w:val="0001210E"/>
    <w:rsid w:val="00013D45"/>
    <w:rsid w:val="000140FC"/>
    <w:rsid w:val="00014BE5"/>
    <w:rsid w:val="00016FF3"/>
    <w:rsid w:val="00021E8D"/>
    <w:rsid w:val="000244CE"/>
    <w:rsid w:val="00025BEB"/>
    <w:rsid w:val="00025D06"/>
    <w:rsid w:val="00025F22"/>
    <w:rsid w:val="000334E2"/>
    <w:rsid w:val="000336D1"/>
    <w:rsid w:val="00034FEE"/>
    <w:rsid w:val="000375BF"/>
    <w:rsid w:val="00042ABB"/>
    <w:rsid w:val="000470EB"/>
    <w:rsid w:val="0004793C"/>
    <w:rsid w:val="000501A6"/>
    <w:rsid w:val="000601EE"/>
    <w:rsid w:val="000616DB"/>
    <w:rsid w:val="00065201"/>
    <w:rsid w:val="00065505"/>
    <w:rsid w:val="00066EEA"/>
    <w:rsid w:val="00071144"/>
    <w:rsid w:val="00075BA0"/>
    <w:rsid w:val="00077C4B"/>
    <w:rsid w:val="00080029"/>
    <w:rsid w:val="00080988"/>
    <w:rsid w:val="0008146A"/>
    <w:rsid w:val="000838E7"/>
    <w:rsid w:val="000863AC"/>
    <w:rsid w:val="000868B8"/>
    <w:rsid w:val="00086C0E"/>
    <w:rsid w:val="000902D9"/>
    <w:rsid w:val="00090953"/>
    <w:rsid w:val="00091859"/>
    <w:rsid w:val="000925DE"/>
    <w:rsid w:val="00092A14"/>
    <w:rsid w:val="00092CDF"/>
    <w:rsid w:val="000A0A5F"/>
    <w:rsid w:val="000A0A6A"/>
    <w:rsid w:val="000A76E7"/>
    <w:rsid w:val="000B003B"/>
    <w:rsid w:val="000B0726"/>
    <w:rsid w:val="000B0A5C"/>
    <w:rsid w:val="000B0BCC"/>
    <w:rsid w:val="000B308F"/>
    <w:rsid w:val="000B39CC"/>
    <w:rsid w:val="000B3A6A"/>
    <w:rsid w:val="000B5340"/>
    <w:rsid w:val="000C060D"/>
    <w:rsid w:val="000C235A"/>
    <w:rsid w:val="000C479A"/>
    <w:rsid w:val="000C669F"/>
    <w:rsid w:val="000C6C8D"/>
    <w:rsid w:val="000D14D2"/>
    <w:rsid w:val="000D1EEC"/>
    <w:rsid w:val="000D30DD"/>
    <w:rsid w:val="000E12B9"/>
    <w:rsid w:val="000E4E99"/>
    <w:rsid w:val="000F14B9"/>
    <w:rsid w:val="000F2220"/>
    <w:rsid w:val="000F4BCE"/>
    <w:rsid w:val="000F63C1"/>
    <w:rsid w:val="000F703E"/>
    <w:rsid w:val="000F7468"/>
    <w:rsid w:val="0010309A"/>
    <w:rsid w:val="00103873"/>
    <w:rsid w:val="001059F5"/>
    <w:rsid w:val="00105D78"/>
    <w:rsid w:val="00112C1A"/>
    <w:rsid w:val="001130DB"/>
    <w:rsid w:val="00115EC8"/>
    <w:rsid w:val="00117810"/>
    <w:rsid w:val="001211B9"/>
    <w:rsid w:val="00125191"/>
    <w:rsid w:val="00126096"/>
    <w:rsid w:val="00127816"/>
    <w:rsid w:val="00127C5A"/>
    <w:rsid w:val="00133BEB"/>
    <w:rsid w:val="00136C72"/>
    <w:rsid w:val="00143850"/>
    <w:rsid w:val="001445A0"/>
    <w:rsid w:val="001476A9"/>
    <w:rsid w:val="001510AE"/>
    <w:rsid w:val="001515B5"/>
    <w:rsid w:val="00153659"/>
    <w:rsid w:val="00153C67"/>
    <w:rsid w:val="00155C75"/>
    <w:rsid w:val="00156FD3"/>
    <w:rsid w:val="00162760"/>
    <w:rsid w:val="001643BE"/>
    <w:rsid w:val="00165576"/>
    <w:rsid w:val="00165EA4"/>
    <w:rsid w:val="00167F1C"/>
    <w:rsid w:val="001720ED"/>
    <w:rsid w:val="001731E9"/>
    <w:rsid w:val="00175843"/>
    <w:rsid w:val="00176399"/>
    <w:rsid w:val="001807E5"/>
    <w:rsid w:val="00183C3B"/>
    <w:rsid w:val="00185906"/>
    <w:rsid w:val="00187DF2"/>
    <w:rsid w:val="00191106"/>
    <w:rsid w:val="00193652"/>
    <w:rsid w:val="001A02F2"/>
    <w:rsid w:val="001A353C"/>
    <w:rsid w:val="001A7C33"/>
    <w:rsid w:val="001B28F3"/>
    <w:rsid w:val="001B4357"/>
    <w:rsid w:val="001B646A"/>
    <w:rsid w:val="001C3B1C"/>
    <w:rsid w:val="001C3F34"/>
    <w:rsid w:val="001C4C08"/>
    <w:rsid w:val="001C717D"/>
    <w:rsid w:val="001C7A08"/>
    <w:rsid w:val="001D1EAA"/>
    <w:rsid w:val="001D35D9"/>
    <w:rsid w:val="001D36CD"/>
    <w:rsid w:val="001D4C74"/>
    <w:rsid w:val="001D5695"/>
    <w:rsid w:val="001D7395"/>
    <w:rsid w:val="001E102B"/>
    <w:rsid w:val="001E10F7"/>
    <w:rsid w:val="001E35AE"/>
    <w:rsid w:val="001F6018"/>
    <w:rsid w:val="00200A4E"/>
    <w:rsid w:val="00201745"/>
    <w:rsid w:val="00201D52"/>
    <w:rsid w:val="002037E7"/>
    <w:rsid w:val="00207CE7"/>
    <w:rsid w:val="00211CF4"/>
    <w:rsid w:val="00212F06"/>
    <w:rsid w:val="00220170"/>
    <w:rsid w:val="00221543"/>
    <w:rsid w:val="002217FB"/>
    <w:rsid w:val="002232D9"/>
    <w:rsid w:val="0022396D"/>
    <w:rsid w:val="00223DE1"/>
    <w:rsid w:val="00225B46"/>
    <w:rsid w:val="0022703C"/>
    <w:rsid w:val="00231CEA"/>
    <w:rsid w:val="0023438B"/>
    <w:rsid w:val="002453BE"/>
    <w:rsid w:val="002464EC"/>
    <w:rsid w:val="00250EC0"/>
    <w:rsid w:val="00251A9D"/>
    <w:rsid w:val="002550F4"/>
    <w:rsid w:val="002551B1"/>
    <w:rsid w:val="002551CB"/>
    <w:rsid w:val="002651F3"/>
    <w:rsid w:val="002741FB"/>
    <w:rsid w:val="00274860"/>
    <w:rsid w:val="00274CFF"/>
    <w:rsid w:val="002757B6"/>
    <w:rsid w:val="00275E03"/>
    <w:rsid w:val="0027788D"/>
    <w:rsid w:val="002842BB"/>
    <w:rsid w:val="00294313"/>
    <w:rsid w:val="00294F1C"/>
    <w:rsid w:val="00295FFB"/>
    <w:rsid w:val="002961BB"/>
    <w:rsid w:val="002A2D02"/>
    <w:rsid w:val="002A7411"/>
    <w:rsid w:val="002A7F24"/>
    <w:rsid w:val="002B02B2"/>
    <w:rsid w:val="002B3218"/>
    <w:rsid w:val="002B35CA"/>
    <w:rsid w:val="002B45A7"/>
    <w:rsid w:val="002B6B05"/>
    <w:rsid w:val="002B72FC"/>
    <w:rsid w:val="002C1CAD"/>
    <w:rsid w:val="002C21E6"/>
    <w:rsid w:val="002C31F8"/>
    <w:rsid w:val="002C4C80"/>
    <w:rsid w:val="002C68BF"/>
    <w:rsid w:val="002C6C61"/>
    <w:rsid w:val="002C711C"/>
    <w:rsid w:val="002D1CC7"/>
    <w:rsid w:val="002D3D3A"/>
    <w:rsid w:val="002E0589"/>
    <w:rsid w:val="002E38FE"/>
    <w:rsid w:val="002E466A"/>
    <w:rsid w:val="002F6485"/>
    <w:rsid w:val="00302843"/>
    <w:rsid w:val="00302A0E"/>
    <w:rsid w:val="003032EC"/>
    <w:rsid w:val="00304356"/>
    <w:rsid w:val="003043B0"/>
    <w:rsid w:val="0030459D"/>
    <w:rsid w:val="00305B31"/>
    <w:rsid w:val="00305F4B"/>
    <w:rsid w:val="00307040"/>
    <w:rsid w:val="00313C9C"/>
    <w:rsid w:val="00314B21"/>
    <w:rsid w:val="00325120"/>
    <w:rsid w:val="003313DE"/>
    <w:rsid w:val="00337644"/>
    <w:rsid w:val="00341006"/>
    <w:rsid w:val="00343916"/>
    <w:rsid w:val="00343D44"/>
    <w:rsid w:val="00344FF3"/>
    <w:rsid w:val="00350998"/>
    <w:rsid w:val="00350E69"/>
    <w:rsid w:val="00355091"/>
    <w:rsid w:val="00356CCC"/>
    <w:rsid w:val="00360413"/>
    <w:rsid w:val="00361FDD"/>
    <w:rsid w:val="0036364B"/>
    <w:rsid w:val="003655EB"/>
    <w:rsid w:val="0036575F"/>
    <w:rsid w:val="0037730B"/>
    <w:rsid w:val="00382470"/>
    <w:rsid w:val="003848D8"/>
    <w:rsid w:val="00391DDC"/>
    <w:rsid w:val="003A0761"/>
    <w:rsid w:val="003A0D29"/>
    <w:rsid w:val="003A4BAF"/>
    <w:rsid w:val="003A543A"/>
    <w:rsid w:val="003B2495"/>
    <w:rsid w:val="003B38C3"/>
    <w:rsid w:val="003B4209"/>
    <w:rsid w:val="003B4721"/>
    <w:rsid w:val="003C0782"/>
    <w:rsid w:val="003C0C7C"/>
    <w:rsid w:val="003C0FCF"/>
    <w:rsid w:val="003C1A86"/>
    <w:rsid w:val="003C3461"/>
    <w:rsid w:val="003C43F4"/>
    <w:rsid w:val="003D2058"/>
    <w:rsid w:val="003D2BE9"/>
    <w:rsid w:val="003D3C50"/>
    <w:rsid w:val="003D43FE"/>
    <w:rsid w:val="003D5989"/>
    <w:rsid w:val="003D6642"/>
    <w:rsid w:val="003D6C1A"/>
    <w:rsid w:val="003D7A14"/>
    <w:rsid w:val="003E0CDC"/>
    <w:rsid w:val="003E21C2"/>
    <w:rsid w:val="003E3000"/>
    <w:rsid w:val="003F0F5A"/>
    <w:rsid w:val="003F6BEC"/>
    <w:rsid w:val="00400CBC"/>
    <w:rsid w:val="00404E91"/>
    <w:rsid w:val="00405709"/>
    <w:rsid w:val="0040610D"/>
    <w:rsid w:val="00406DE2"/>
    <w:rsid w:val="004076F3"/>
    <w:rsid w:val="004110A9"/>
    <w:rsid w:val="0041302A"/>
    <w:rsid w:val="0041320B"/>
    <w:rsid w:val="00413D22"/>
    <w:rsid w:val="00414CAC"/>
    <w:rsid w:val="00417E4D"/>
    <w:rsid w:val="00420E57"/>
    <w:rsid w:val="0042133C"/>
    <w:rsid w:val="004242EE"/>
    <w:rsid w:val="00424E45"/>
    <w:rsid w:val="00425DF9"/>
    <w:rsid w:val="00426EAF"/>
    <w:rsid w:val="00430192"/>
    <w:rsid w:val="004317C8"/>
    <w:rsid w:val="00431DCD"/>
    <w:rsid w:val="00434B8C"/>
    <w:rsid w:val="00437748"/>
    <w:rsid w:val="00437978"/>
    <w:rsid w:val="004418EE"/>
    <w:rsid w:val="004426BD"/>
    <w:rsid w:val="004454CE"/>
    <w:rsid w:val="00446A39"/>
    <w:rsid w:val="00450D7F"/>
    <w:rsid w:val="00452B94"/>
    <w:rsid w:val="0045736C"/>
    <w:rsid w:val="00457A02"/>
    <w:rsid w:val="0046017D"/>
    <w:rsid w:val="004703AB"/>
    <w:rsid w:val="0047241A"/>
    <w:rsid w:val="004728BB"/>
    <w:rsid w:val="00476954"/>
    <w:rsid w:val="004820DC"/>
    <w:rsid w:val="00483A24"/>
    <w:rsid w:val="00486293"/>
    <w:rsid w:val="0048643D"/>
    <w:rsid w:val="00486D78"/>
    <w:rsid w:val="0048735E"/>
    <w:rsid w:val="00487527"/>
    <w:rsid w:val="00491D21"/>
    <w:rsid w:val="00492243"/>
    <w:rsid w:val="00493B19"/>
    <w:rsid w:val="00495B91"/>
    <w:rsid w:val="00497590"/>
    <w:rsid w:val="00497C9E"/>
    <w:rsid w:val="004A0D08"/>
    <w:rsid w:val="004A1A90"/>
    <w:rsid w:val="004A276D"/>
    <w:rsid w:val="004A2E07"/>
    <w:rsid w:val="004A7074"/>
    <w:rsid w:val="004B272F"/>
    <w:rsid w:val="004B38F0"/>
    <w:rsid w:val="004B4675"/>
    <w:rsid w:val="004B6619"/>
    <w:rsid w:val="004C13CC"/>
    <w:rsid w:val="004C382C"/>
    <w:rsid w:val="004C4B21"/>
    <w:rsid w:val="004C6435"/>
    <w:rsid w:val="004C73E1"/>
    <w:rsid w:val="004C7C2C"/>
    <w:rsid w:val="004D0A6C"/>
    <w:rsid w:val="004D0F38"/>
    <w:rsid w:val="004D1043"/>
    <w:rsid w:val="004D1E0A"/>
    <w:rsid w:val="004D2FD6"/>
    <w:rsid w:val="004D410E"/>
    <w:rsid w:val="004D74D9"/>
    <w:rsid w:val="004E1B5E"/>
    <w:rsid w:val="004E4A47"/>
    <w:rsid w:val="004E63B5"/>
    <w:rsid w:val="004E6AB3"/>
    <w:rsid w:val="004E7246"/>
    <w:rsid w:val="004F313B"/>
    <w:rsid w:val="004F3906"/>
    <w:rsid w:val="004F59B9"/>
    <w:rsid w:val="004F7B26"/>
    <w:rsid w:val="00501807"/>
    <w:rsid w:val="0050213F"/>
    <w:rsid w:val="0050227F"/>
    <w:rsid w:val="00502809"/>
    <w:rsid w:val="005067CE"/>
    <w:rsid w:val="005102C1"/>
    <w:rsid w:val="00510DDC"/>
    <w:rsid w:val="00511E8B"/>
    <w:rsid w:val="00517DF6"/>
    <w:rsid w:val="0052236B"/>
    <w:rsid w:val="00524755"/>
    <w:rsid w:val="005248FF"/>
    <w:rsid w:val="00527BE0"/>
    <w:rsid w:val="00527CCF"/>
    <w:rsid w:val="005316DE"/>
    <w:rsid w:val="005335DC"/>
    <w:rsid w:val="005348E3"/>
    <w:rsid w:val="00542565"/>
    <w:rsid w:val="00546DB9"/>
    <w:rsid w:val="005475C6"/>
    <w:rsid w:val="0055725B"/>
    <w:rsid w:val="00564BA2"/>
    <w:rsid w:val="005706B4"/>
    <w:rsid w:val="005734B8"/>
    <w:rsid w:val="005779B8"/>
    <w:rsid w:val="00580C1F"/>
    <w:rsid w:val="00581ED3"/>
    <w:rsid w:val="00590167"/>
    <w:rsid w:val="00590561"/>
    <w:rsid w:val="00590A80"/>
    <w:rsid w:val="00591974"/>
    <w:rsid w:val="00591E97"/>
    <w:rsid w:val="00592666"/>
    <w:rsid w:val="005A0F87"/>
    <w:rsid w:val="005A5CEC"/>
    <w:rsid w:val="005A609A"/>
    <w:rsid w:val="005A6CD8"/>
    <w:rsid w:val="005B3BD0"/>
    <w:rsid w:val="005B4939"/>
    <w:rsid w:val="005B5748"/>
    <w:rsid w:val="005B5A0C"/>
    <w:rsid w:val="005B6DFB"/>
    <w:rsid w:val="005B705B"/>
    <w:rsid w:val="005C0B9B"/>
    <w:rsid w:val="005C4552"/>
    <w:rsid w:val="005C509A"/>
    <w:rsid w:val="005C601F"/>
    <w:rsid w:val="005D21FB"/>
    <w:rsid w:val="005D2EA0"/>
    <w:rsid w:val="005D303C"/>
    <w:rsid w:val="005E1007"/>
    <w:rsid w:val="005E718C"/>
    <w:rsid w:val="005F1226"/>
    <w:rsid w:val="005F1442"/>
    <w:rsid w:val="005F476A"/>
    <w:rsid w:val="005F4987"/>
    <w:rsid w:val="0060070B"/>
    <w:rsid w:val="00601245"/>
    <w:rsid w:val="0060798E"/>
    <w:rsid w:val="00610F7B"/>
    <w:rsid w:val="00611E90"/>
    <w:rsid w:val="00614B38"/>
    <w:rsid w:val="006161B9"/>
    <w:rsid w:val="00616268"/>
    <w:rsid w:val="00620BCA"/>
    <w:rsid w:val="006219BB"/>
    <w:rsid w:val="00624C74"/>
    <w:rsid w:val="006366F5"/>
    <w:rsid w:val="00641176"/>
    <w:rsid w:val="00643BBC"/>
    <w:rsid w:val="00647116"/>
    <w:rsid w:val="00647C73"/>
    <w:rsid w:val="00654723"/>
    <w:rsid w:val="00654C58"/>
    <w:rsid w:val="00657BB0"/>
    <w:rsid w:val="006609B5"/>
    <w:rsid w:val="00661986"/>
    <w:rsid w:val="00667DF2"/>
    <w:rsid w:val="00667EFF"/>
    <w:rsid w:val="00670EA1"/>
    <w:rsid w:val="00675CD5"/>
    <w:rsid w:val="006832DC"/>
    <w:rsid w:val="00685E81"/>
    <w:rsid w:val="00687AC5"/>
    <w:rsid w:val="00687C0F"/>
    <w:rsid w:val="006902C7"/>
    <w:rsid w:val="00692F48"/>
    <w:rsid w:val="00693199"/>
    <w:rsid w:val="00693B9A"/>
    <w:rsid w:val="006A2752"/>
    <w:rsid w:val="006A2940"/>
    <w:rsid w:val="006A354A"/>
    <w:rsid w:val="006A3B56"/>
    <w:rsid w:val="006A5554"/>
    <w:rsid w:val="006A7755"/>
    <w:rsid w:val="006B1DB6"/>
    <w:rsid w:val="006B5337"/>
    <w:rsid w:val="006B7F5D"/>
    <w:rsid w:val="006C1282"/>
    <w:rsid w:val="006C3D24"/>
    <w:rsid w:val="006C480E"/>
    <w:rsid w:val="006C7348"/>
    <w:rsid w:val="006C767E"/>
    <w:rsid w:val="006D0C73"/>
    <w:rsid w:val="006D144E"/>
    <w:rsid w:val="006D1926"/>
    <w:rsid w:val="006D4DA5"/>
    <w:rsid w:val="006D571E"/>
    <w:rsid w:val="006E0FD7"/>
    <w:rsid w:val="006E2F19"/>
    <w:rsid w:val="006E33A8"/>
    <w:rsid w:val="006E5D35"/>
    <w:rsid w:val="006E7005"/>
    <w:rsid w:val="006F2841"/>
    <w:rsid w:val="006F4A10"/>
    <w:rsid w:val="006F58E0"/>
    <w:rsid w:val="00702473"/>
    <w:rsid w:val="007037F2"/>
    <w:rsid w:val="00705B0E"/>
    <w:rsid w:val="00705C22"/>
    <w:rsid w:val="00705E85"/>
    <w:rsid w:val="00706FFD"/>
    <w:rsid w:val="00715BDD"/>
    <w:rsid w:val="00715FB8"/>
    <w:rsid w:val="00716D56"/>
    <w:rsid w:val="007172FC"/>
    <w:rsid w:val="00717590"/>
    <w:rsid w:val="0072301C"/>
    <w:rsid w:val="00725D9D"/>
    <w:rsid w:val="00727CE8"/>
    <w:rsid w:val="0073522B"/>
    <w:rsid w:val="00736F77"/>
    <w:rsid w:val="00745268"/>
    <w:rsid w:val="00750386"/>
    <w:rsid w:val="00752978"/>
    <w:rsid w:val="00752EAD"/>
    <w:rsid w:val="007547CF"/>
    <w:rsid w:val="00756853"/>
    <w:rsid w:val="00757FA2"/>
    <w:rsid w:val="007608B8"/>
    <w:rsid w:val="00760EB0"/>
    <w:rsid w:val="00761EE9"/>
    <w:rsid w:val="0076414F"/>
    <w:rsid w:val="007649C6"/>
    <w:rsid w:val="00765F4D"/>
    <w:rsid w:val="007677EA"/>
    <w:rsid w:val="00770D69"/>
    <w:rsid w:val="00771F41"/>
    <w:rsid w:val="00772793"/>
    <w:rsid w:val="00777CCD"/>
    <w:rsid w:val="00780C0A"/>
    <w:rsid w:val="00783878"/>
    <w:rsid w:val="00790FC9"/>
    <w:rsid w:val="007910B1"/>
    <w:rsid w:val="0079683F"/>
    <w:rsid w:val="007A39EF"/>
    <w:rsid w:val="007A41B3"/>
    <w:rsid w:val="007A722E"/>
    <w:rsid w:val="007A79E4"/>
    <w:rsid w:val="007B467F"/>
    <w:rsid w:val="007B493E"/>
    <w:rsid w:val="007B538E"/>
    <w:rsid w:val="007B6A1A"/>
    <w:rsid w:val="007C50E0"/>
    <w:rsid w:val="007C6E94"/>
    <w:rsid w:val="007D3857"/>
    <w:rsid w:val="007D44E2"/>
    <w:rsid w:val="007D4681"/>
    <w:rsid w:val="007D48AF"/>
    <w:rsid w:val="007D4AAD"/>
    <w:rsid w:val="007D56C6"/>
    <w:rsid w:val="007E19C5"/>
    <w:rsid w:val="007E593B"/>
    <w:rsid w:val="007E5BFF"/>
    <w:rsid w:val="007F217C"/>
    <w:rsid w:val="007F2E78"/>
    <w:rsid w:val="007F3A07"/>
    <w:rsid w:val="007F7EB7"/>
    <w:rsid w:val="008029B6"/>
    <w:rsid w:val="0080605F"/>
    <w:rsid w:val="0080783E"/>
    <w:rsid w:val="00807ABF"/>
    <w:rsid w:val="00814A12"/>
    <w:rsid w:val="008152BD"/>
    <w:rsid w:val="00815301"/>
    <w:rsid w:val="00815909"/>
    <w:rsid w:val="00815FEF"/>
    <w:rsid w:val="00817026"/>
    <w:rsid w:val="0082034F"/>
    <w:rsid w:val="00822C69"/>
    <w:rsid w:val="00824266"/>
    <w:rsid w:val="00827E91"/>
    <w:rsid w:val="00830023"/>
    <w:rsid w:val="008308B2"/>
    <w:rsid w:val="00831253"/>
    <w:rsid w:val="00832BA0"/>
    <w:rsid w:val="0083541C"/>
    <w:rsid w:val="00837C4C"/>
    <w:rsid w:val="00840C99"/>
    <w:rsid w:val="0084215D"/>
    <w:rsid w:val="00844CA4"/>
    <w:rsid w:val="00846044"/>
    <w:rsid w:val="008463BA"/>
    <w:rsid w:val="0085426A"/>
    <w:rsid w:val="0086156B"/>
    <w:rsid w:val="00863ED0"/>
    <w:rsid w:val="00864C4D"/>
    <w:rsid w:val="0086706F"/>
    <w:rsid w:val="008754D8"/>
    <w:rsid w:val="00877D3F"/>
    <w:rsid w:val="00883D85"/>
    <w:rsid w:val="0089078D"/>
    <w:rsid w:val="00892018"/>
    <w:rsid w:val="008935B4"/>
    <w:rsid w:val="00893E74"/>
    <w:rsid w:val="0089557B"/>
    <w:rsid w:val="0089739F"/>
    <w:rsid w:val="008A0ABB"/>
    <w:rsid w:val="008A177C"/>
    <w:rsid w:val="008A36D8"/>
    <w:rsid w:val="008A40EE"/>
    <w:rsid w:val="008B0721"/>
    <w:rsid w:val="008B3260"/>
    <w:rsid w:val="008B4EEE"/>
    <w:rsid w:val="008B5011"/>
    <w:rsid w:val="008C3F3F"/>
    <w:rsid w:val="008D1CEB"/>
    <w:rsid w:val="008D34A0"/>
    <w:rsid w:val="008D59EF"/>
    <w:rsid w:val="008D6D83"/>
    <w:rsid w:val="008E0EDC"/>
    <w:rsid w:val="008E138E"/>
    <w:rsid w:val="008E4E1E"/>
    <w:rsid w:val="008F09E4"/>
    <w:rsid w:val="008F285C"/>
    <w:rsid w:val="008F3174"/>
    <w:rsid w:val="008F3B95"/>
    <w:rsid w:val="008F6955"/>
    <w:rsid w:val="008F7FD0"/>
    <w:rsid w:val="00903C01"/>
    <w:rsid w:val="009045C0"/>
    <w:rsid w:val="00904A48"/>
    <w:rsid w:val="00905D83"/>
    <w:rsid w:val="00907E04"/>
    <w:rsid w:val="00911F1E"/>
    <w:rsid w:val="0091648F"/>
    <w:rsid w:val="00920668"/>
    <w:rsid w:val="009207FB"/>
    <w:rsid w:val="00922CE5"/>
    <w:rsid w:val="0092305F"/>
    <w:rsid w:val="00923362"/>
    <w:rsid w:val="00925B40"/>
    <w:rsid w:val="00926B92"/>
    <w:rsid w:val="00926D64"/>
    <w:rsid w:val="00936861"/>
    <w:rsid w:val="0094105D"/>
    <w:rsid w:val="0094286E"/>
    <w:rsid w:val="009471F2"/>
    <w:rsid w:val="00947F1D"/>
    <w:rsid w:val="00950287"/>
    <w:rsid w:val="00957637"/>
    <w:rsid w:val="0096105B"/>
    <w:rsid w:val="0096153A"/>
    <w:rsid w:val="00964FC1"/>
    <w:rsid w:val="0096725A"/>
    <w:rsid w:val="00970ACE"/>
    <w:rsid w:val="0097141E"/>
    <w:rsid w:val="00971DEA"/>
    <w:rsid w:val="009723F4"/>
    <w:rsid w:val="00972CA8"/>
    <w:rsid w:val="009805D1"/>
    <w:rsid w:val="00985056"/>
    <w:rsid w:val="0098524E"/>
    <w:rsid w:val="0098776B"/>
    <w:rsid w:val="00991F03"/>
    <w:rsid w:val="00997DE0"/>
    <w:rsid w:val="009A3679"/>
    <w:rsid w:val="009A43E0"/>
    <w:rsid w:val="009A49FD"/>
    <w:rsid w:val="009A56FF"/>
    <w:rsid w:val="009A68D3"/>
    <w:rsid w:val="009A74B9"/>
    <w:rsid w:val="009A78CB"/>
    <w:rsid w:val="009B2288"/>
    <w:rsid w:val="009B3C53"/>
    <w:rsid w:val="009B4CB4"/>
    <w:rsid w:val="009B7A6E"/>
    <w:rsid w:val="009C605C"/>
    <w:rsid w:val="009D0A56"/>
    <w:rsid w:val="009D15EF"/>
    <w:rsid w:val="009D5B71"/>
    <w:rsid w:val="009D6406"/>
    <w:rsid w:val="009E353F"/>
    <w:rsid w:val="009E4BF4"/>
    <w:rsid w:val="009F079F"/>
    <w:rsid w:val="009F3663"/>
    <w:rsid w:val="00A01FC4"/>
    <w:rsid w:val="00A06276"/>
    <w:rsid w:val="00A066DE"/>
    <w:rsid w:val="00A06A93"/>
    <w:rsid w:val="00A1436B"/>
    <w:rsid w:val="00A313ED"/>
    <w:rsid w:val="00A31571"/>
    <w:rsid w:val="00A33189"/>
    <w:rsid w:val="00A337F0"/>
    <w:rsid w:val="00A34B09"/>
    <w:rsid w:val="00A34B45"/>
    <w:rsid w:val="00A36F4E"/>
    <w:rsid w:val="00A3745F"/>
    <w:rsid w:val="00A43E1E"/>
    <w:rsid w:val="00A4579E"/>
    <w:rsid w:val="00A47E7C"/>
    <w:rsid w:val="00A517D3"/>
    <w:rsid w:val="00A52DA9"/>
    <w:rsid w:val="00A568CA"/>
    <w:rsid w:val="00A56FB0"/>
    <w:rsid w:val="00A60F32"/>
    <w:rsid w:val="00A62BEC"/>
    <w:rsid w:val="00A64DC1"/>
    <w:rsid w:val="00A66584"/>
    <w:rsid w:val="00A66A1E"/>
    <w:rsid w:val="00A66DE6"/>
    <w:rsid w:val="00A670F5"/>
    <w:rsid w:val="00A6789E"/>
    <w:rsid w:val="00A72FF6"/>
    <w:rsid w:val="00A73C4E"/>
    <w:rsid w:val="00A7771A"/>
    <w:rsid w:val="00A84191"/>
    <w:rsid w:val="00A84408"/>
    <w:rsid w:val="00A84DCA"/>
    <w:rsid w:val="00A85853"/>
    <w:rsid w:val="00A87452"/>
    <w:rsid w:val="00A9327B"/>
    <w:rsid w:val="00A93D01"/>
    <w:rsid w:val="00A978F2"/>
    <w:rsid w:val="00AA05D2"/>
    <w:rsid w:val="00AA06EE"/>
    <w:rsid w:val="00AA5C3D"/>
    <w:rsid w:val="00AB3A35"/>
    <w:rsid w:val="00AB426B"/>
    <w:rsid w:val="00AB426E"/>
    <w:rsid w:val="00AB4F8B"/>
    <w:rsid w:val="00AB567A"/>
    <w:rsid w:val="00AB61DB"/>
    <w:rsid w:val="00AC0BB8"/>
    <w:rsid w:val="00AC0E52"/>
    <w:rsid w:val="00AC4FAA"/>
    <w:rsid w:val="00AC5551"/>
    <w:rsid w:val="00AC6159"/>
    <w:rsid w:val="00AC7221"/>
    <w:rsid w:val="00AC79C0"/>
    <w:rsid w:val="00AD10F3"/>
    <w:rsid w:val="00AD2213"/>
    <w:rsid w:val="00AD22E3"/>
    <w:rsid w:val="00AD325D"/>
    <w:rsid w:val="00AD335D"/>
    <w:rsid w:val="00AD392F"/>
    <w:rsid w:val="00AD5724"/>
    <w:rsid w:val="00AD64AC"/>
    <w:rsid w:val="00AD7AAD"/>
    <w:rsid w:val="00AD7D72"/>
    <w:rsid w:val="00AE0BB9"/>
    <w:rsid w:val="00AE0D3A"/>
    <w:rsid w:val="00AE2765"/>
    <w:rsid w:val="00AE4187"/>
    <w:rsid w:val="00AE4280"/>
    <w:rsid w:val="00B004CD"/>
    <w:rsid w:val="00B00D44"/>
    <w:rsid w:val="00B03BFC"/>
    <w:rsid w:val="00B069C5"/>
    <w:rsid w:val="00B07BC4"/>
    <w:rsid w:val="00B11BD6"/>
    <w:rsid w:val="00B1236A"/>
    <w:rsid w:val="00B150EF"/>
    <w:rsid w:val="00B160C4"/>
    <w:rsid w:val="00B21474"/>
    <w:rsid w:val="00B21B40"/>
    <w:rsid w:val="00B26E8B"/>
    <w:rsid w:val="00B277D5"/>
    <w:rsid w:val="00B33E8C"/>
    <w:rsid w:val="00B34053"/>
    <w:rsid w:val="00B40D37"/>
    <w:rsid w:val="00B602AD"/>
    <w:rsid w:val="00B61C3B"/>
    <w:rsid w:val="00B61DAD"/>
    <w:rsid w:val="00B61F83"/>
    <w:rsid w:val="00B7088D"/>
    <w:rsid w:val="00B74E7B"/>
    <w:rsid w:val="00B7617E"/>
    <w:rsid w:val="00B7752F"/>
    <w:rsid w:val="00B803CC"/>
    <w:rsid w:val="00B82323"/>
    <w:rsid w:val="00B8322E"/>
    <w:rsid w:val="00B87E07"/>
    <w:rsid w:val="00B908F5"/>
    <w:rsid w:val="00B93494"/>
    <w:rsid w:val="00B93E99"/>
    <w:rsid w:val="00B94C78"/>
    <w:rsid w:val="00B97EBD"/>
    <w:rsid w:val="00BA03F9"/>
    <w:rsid w:val="00BA095D"/>
    <w:rsid w:val="00BA24BC"/>
    <w:rsid w:val="00BA2DC6"/>
    <w:rsid w:val="00BA4067"/>
    <w:rsid w:val="00BA7108"/>
    <w:rsid w:val="00BB037D"/>
    <w:rsid w:val="00BB0406"/>
    <w:rsid w:val="00BB0643"/>
    <w:rsid w:val="00BB21C9"/>
    <w:rsid w:val="00BB6BA9"/>
    <w:rsid w:val="00BC037A"/>
    <w:rsid w:val="00BC17FB"/>
    <w:rsid w:val="00BC1FE3"/>
    <w:rsid w:val="00BC3962"/>
    <w:rsid w:val="00BC662E"/>
    <w:rsid w:val="00BC6E27"/>
    <w:rsid w:val="00BD183D"/>
    <w:rsid w:val="00BD2AFC"/>
    <w:rsid w:val="00BD3D12"/>
    <w:rsid w:val="00BD73A8"/>
    <w:rsid w:val="00BE6B94"/>
    <w:rsid w:val="00BF174A"/>
    <w:rsid w:val="00BF18A5"/>
    <w:rsid w:val="00BF1D37"/>
    <w:rsid w:val="00BF3AE5"/>
    <w:rsid w:val="00BF4023"/>
    <w:rsid w:val="00C00F2D"/>
    <w:rsid w:val="00C0139B"/>
    <w:rsid w:val="00C01559"/>
    <w:rsid w:val="00C02E69"/>
    <w:rsid w:val="00C0350E"/>
    <w:rsid w:val="00C037F6"/>
    <w:rsid w:val="00C03825"/>
    <w:rsid w:val="00C04B00"/>
    <w:rsid w:val="00C050E8"/>
    <w:rsid w:val="00C063FE"/>
    <w:rsid w:val="00C11AB8"/>
    <w:rsid w:val="00C12122"/>
    <w:rsid w:val="00C16710"/>
    <w:rsid w:val="00C21D6F"/>
    <w:rsid w:val="00C21F7E"/>
    <w:rsid w:val="00C258EF"/>
    <w:rsid w:val="00C359B4"/>
    <w:rsid w:val="00C3685A"/>
    <w:rsid w:val="00C41D6E"/>
    <w:rsid w:val="00C433E3"/>
    <w:rsid w:val="00C43CEB"/>
    <w:rsid w:val="00C43F17"/>
    <w:rsid w:val="00C462FF"/>
    <w:rsid w:val="00C47492"/>
    <w:rsid w:val="00C47FD0"/>
    <w:rsid w:val="00C520FB"/>
    <w:rsid w:val="00C52223"/>
    <w:rsid w:val="00C553C9"/>
    <w:rsid w:val="00C55DCD"/>
    <w:rsid w:val="00C563B5"/>
    <w:rsid w:val="00C6074D"/>
    <w:rsid w:val="00C6186F"/>
    <w:rsid w:val="00C6258E"/>
    <w:rsid w:val="00C63ED1"/>
    <w:rsid w:val="00C64DF2"/>
    <w:rsid w:val="00C7286E"/>
    <w:rsid w:val="00C72A64"/>
    <w:rsid w:val="00C746D4"/>
    <w:rsid w:val="00C7542E"/>
    <w:rsid w:val="00C76608"/>
    <w:rsid w:val="00C77CE0"/>
    <w:rsid w:val="00C86877"/>
    <w:rsid w:val="00C917E3"/>
    <w:rsid w:val="00C92A31"/>
    <w:rsid w:val="00C92DBD"/>
    <w:rsid w:val="00C93EA8"/>
    <w:rsid w:val="00C9518B"/>
    <w:rsid w:val="00C9553A"/>
    <w:rsid w:val="00C9682D"/>
    <w:rsid w:val="00C97A09"/>
    <w:rsid w:val="00CA10F5"/>
    <w:rsid w:val="00CA3915"/>
    <w:rsid w:val="00CA4E58"/>
    <w:rsid w:val="00CA6250"/>
    <w:rsid w:val="00CA6F8C"/>
    <w:rsid w:val="00CA7059"/>
    <w:rsid w:val="00CB08CC"/>
    <w:rsid w:val="00CB0DD7"/>
    <w:rsid w:val="00CB47E4"/>
    <w:rsid w:val="00CD2CC7"/>
    <w:rsid w:val="00CD4CBC"/>
    <w:rsid w:val="00CE3ECA"/>
    <w:rsid w:val="00CF0DEC"/>
    <w:rsid w:val="00CF3CB0"/>
    <w:rsid w:val="00CF6AD3"/>
    <w:rsid w:val="00D01ECB"/>
    <w:rsid w:val="00D05059"/>
    <w:rsid w:val="00D05524"/>
    <w:rsid w:val="00D0644E"/>
    <w:rsid w:val="00D06780"/>
    <w:rsid w:val="00D06913"/>
    <w:rsid w:val="00D10AC9"/>
    <w:rsid w:val="00D1157A"/>
    <w:rsid w:val="00D142EF"/>
    <w:rsid w:val="00D2185B"/>
    <w:rsid w:val="00D224E9"/>
    <w:rsid w:val="00D26587"/>
    <w:rsid w:val="00D34F4A"/>
    <w:rsid w:val="00D375AC"/>
    <w:rsid w:val="00D4163F"/>
    <w:rsid w:val="00D50DCF"/>
    <w:rsid w:val="00D513B1"/>
    <w:rsid w:val="00D513D3"/>
    <w:rsid w:val="00D527E2"/>
    <w:rsid w:val="00D558C1"/>
    <w:rsid w:val="00D57F67"/>
    <w:rsid w:val="00D617C4"/>
    <w:rsid w:val="00D62F68"/>
    <w:rsid w:val="00D7134F"/>
    <w:rsid w:val="00D74503"/>
    <w:rsid w:val="00D76A33"/>
    <w:rsid w:val="00D84951"/>
    <w:rsid w:val="00D84ED4"/>
    <w:rsid w:val="00D85C5A"/>
    <w:rsid w:val="00D87276"/>
    <w:rsid w:val="00D919E0"/>
    <w:rsid w:val="00D94FD6"/>
    <w:rsid w:val="00D9709A"/>
    <w:rsid w:val="00DA1808"/>
    <w:rsid w:val="00DB0C85"/>
    <w:rsid w:val="00DB22D0"/>
    <w:rsid w:val="00DB4838"/>
    <w:rsid w:val="00DB6559"/>
    <w:rsid w:val="00DC2791"/>
    <w:rsid w:val="00DC285A"/>
    <w:rsid w:val="00DC2C48"/>
    <w:rsid w:val="00DC5B3F"/>
    <w:rsid w:val="00DC7AA9"/>
    <w:rsid w:val="00DD140B"/>
    <w:rsid w:val="00DD1624"/>
    <w:rsid w:val="00DD4832"/>
    <w:rsid w:val="00DD5CEE"/>
    <w:rsid w:val="00DD5DCC"/>
    <w:rsid w:val="00DD71B9"/>
    <w:rsid w:val="00DD7282"/>
    <w:rsid w:val="00DD7906"/>
    <w:rsid w:val="00DE03DE"/>
    <w:rsid w:val="00DE08B9"/>
    <w:rsid w:val="00DE4D25"/>
    <w:rsid w:val="00DE6211"/>
    <w:rsid w:val="00DE6C1B"/>
    <w:rsid w:val="00DF0CA7"/>
    <w:rsid w:val="00DF3E61"/>
    <w:rsid w:val="00DF4401"/>
    <w:rsid w:val="00DF670A"/>
    <w:rsid w:val="00E004D9"/>
    <w:rsid w:val="00E057E3"/>
    <w:rsid w:val="00E11E91"/>
    <w:rsid w:val="00E1424F"/>
    <w:rsid w:val="00E17205"/>
    <w:rsid w:val="00E20464"/>
    <w:rsid w:val="00E20C6A"/>
    <w:rsid w:val="00E248FE"/>
    <w:rsid w:val="00E26AD8"/>
    <w:rsid w:val="00E32D31"/>
    <w:rsid w:val="00E34307"/>
    <w:rsid w:val="00E356BF"/>
    <w:rsid w:val="00E3668B"/>
    <w:rsid w:val="00E37664"/>
    <w:rsid w:val="00E422E4"/>
    <w:rsid w:val="00E431E1"/>
    <w:rsid w:val="00E4481A"/>
    <w:rsid w:val="00E46196"/>
    <w:rsid w:val="00E46E76"/>
    <w:rsid w:val="00E47140"/>
    <w:rsid w:val="00E50DF1"/>
    <w:rsid w:val="00E555E6"/>
    <w:rsid w:val="00E64CA6"/>
    <w:rsid w:val="00E70914"/>
    <w:rsid w:val="00E70FE6"/>
    <w:rsid w:val="00E71A0A"/>
    <w:rsid w:val="00E72255"/>
    <w:rsid w:val="00E72E26"/>
    <w:rsid w:val="00E73A03"/>
    <w:rsid w:val="00E7552B"/>
    <w:rsid w:val="00E77E8C"/>
    <w:rsid w:val="00E804CC"/>
    <w:rsid w:val="00E826AB"/>
    <w:rsid w:val="00E8286F"/>
    <w:rsid w:val="00E82ACB"/>
    <w:rsid w:val="00E83567"/>
    <w:rsid w:val="00E869A6"/>
    <w:rsid w:val="00E9308F"/>
    <w:rsid w:val="00E93FF7"/>
    <w:rsid w:val="00EA1FA3"/>
    <w:rsid w:val="00EA2083"/>
    <w:rsid w:val="00EA302F"/>
    <w:rsid w:val="00EA4CAB"/>
    <w:rsid w:val="00EA58C7"/>
    <w:rsid w:val="00EA7B49"/>
    <w:rsid w:val="00EB427C"/>
    <w:rsid w:val="00EB46E1"/>
    <w:rsid w:val="00EC038D"/>
    <w:rsid w:val="00EC08A3"/>
    <w:rsid w:val="00EC3A1E"/>
    <w:rsid w:val="00EC464B"/>
    <w:rsid w:val="00ED2FA8"/>
    <w:rsid w:val="00ED301D"/>
    <w:rsid w:val="00ED7FD7"/>
    <w:rsid w:val="00EE07B8"/>
    <w:rsid w:val="00EE10DE"/>
    <w:rsid w:val="00EE1A2D"/>
    <w:rsid w:val="00EE2712"/>
    <w:rsid w:val="00EE3969"/>
    <w:rsid w:val="00EE3CA6"/>
    <w:rsid w:val="00EE525F"/>
    <w:rsid w:val="00EF0103"/>
    <w:rsid w:val="00EF15B6"/>
    <w:rsid w:val="00EF253C"/>
    <w:rsid w:val="00EF4A16"/>
    <w:rsid w:val="00EF5DF9"/>
    <w:rsid w:val="00EF6916"/>
    <w:rsid w:val="00EF6BB4"/>
    <w:rsid w:val="00EF7E64"/>
    <w:rsid w:val="00F040BC"/>
    <w:rsid w:val="00F06ECE"/>
    <w:rsid w:val="00F07F9F"/>
    <w:rsid w:val="00F11A5C"/>
    <w:rsid w:val="00F20C23"/>
    <w:rsid w:val="00F20E75"/>
    <w:rsid w:val="00F2786F"/>
    <w:rsid w:val="00F3643C"/>
    <w:rsid w:val="00F42772"/>
    <w:rsid w:val="00F43991"/>
    <w:rsid w:val="00F44EA4"/>
    <w:rsid w:val="00F45175"/>
    <w:rsid w:val="00F4764B"/>
    <w:rsid w:val="00F53D4C"/>
    <w:rsid w:val="00F53F60"/>
    <w:rsid w:val="00F60317"/>
    <w:rsid w:val="00F70163"/>
    <w:rsid w:val="00F70320"/>
    <w:rsid w:val="00F7106A"/>
    <w:rsid w:val="00F72479"/>
    <w:rsid w:val="00F72590"/>
    <w:rsid w:val="00F73158"/>
    <w:rsid w:val="00F804ED"/>
    <w:rsid w:val="00F82319"/>
    <w:rsid w:val="00F82559"/>
    <w:rsid w:val="00F83684"/>
    <w:rsid w:val="00F85004"/>
    <w:rsid w:val="00F85630"/>
    <w:rsid w:val="00F9278D"/>
    <w:rsid w:val="00F94964"/>
    <w:rsid w:val="00F95C3B"/>
    <w:rsid w:val="00FA36FD"/>
    <w:rsid w:val="00FA513D"/>
    <w:rsid w:val="00FA5FCC"/>
    <w:rsid w:val="00FB0326"/>
    <w:rsid w:val="00FB4ADC"/>
    <w:rsid w:val="00FB6024"/>
    <w:rsid w:val="00FB6052"/>
    <w:rsid w:val="00FC17F0"/>
    <w:rsid w:val="00FC4199"/>
    <w:rsid w:val="00FD1738"/>
    <w:rsid w:val="00FD3F92"/>
    <w:rsid w:val="00FE3C4C"/>
    <w:rsid w:val="00FF0869"/>
    <w:rsid w:val="00FF0AF8"/>
    <w:rsid w:val="00FF0C39"/>
    <w:rsid w:val="00FF4D14"/>
    <w:rsid w:val="00FF7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4E3DB322-EE8E-4159-A6C5-5F2EF3E52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footer" w:qFormat="1"/>
    <w:lsdException w:name="caption" w:semiHidden="1" w:unhideWhenUsed="1" w:qFormat="1"/>
    <w:lsdException w:name="List Bullet 2"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180"/>
    </w:pPr>
    <w:rPr>
      <w:lang w:val="en-GB"/>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val="en-GB"/>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customStyle="1" w:styleId="H6">
    <w:name w:val="H6"/>
    <w:basedOn w:val="Heading5"/>
    <w:next w:val="Normal"/>
    <w:link w:val="H60"/>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val="en-GB"/>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link w:val="HeaderChar"/>
    <w:pPr>
      <w:widowControl w:val="0"/>
      <w:overflowPunct w:val="0"/>
      <w:autoSpaceDE w:val="0"/>
      <w:autoSpaceDN w:val="0"/>
      <w:adjustRightInd w:val="0"/>
      <w:textAlignment w:val="baseline"/>
    </w:pPr>
    <w:rPr>
      <w:rFonts w:ascii="Arial" w:hAnsi="Arial"/>
      <w:b/>
      <w:sz w:val="18"/>
      <w:lang w:val="en-GB" w:eastAsia="ja-JP"/>
    </w:rPr>
  </w:style>
  <w:style w:type="paragraph" w:customStyle="1" w:styleId="ZD">
    <w:name w:val="ZD"/>
    <w:pPr>
      <w:framePr w:wrap="notBeside" w:vAnchor="page" w:hAnchor="margin" w:y="15764"/>
      <w:widowControl w:val="0"/>
    </w:pPr>
    <w:rPr>
      <w:rFonts w:ascii="Arial" w:hAnsi="Arial"/>
      <w:noProof/>
      <w:sz w:val="32"/>
      <w:lang w:val="en-GB"/>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qFormat/>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qFormat/>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val="en-GB"/>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har"/>
    <w:qFormat/>
    <w:rPr>
      <w:b/>
    </w:rPr>
  </w:style>
  <w:style w:type="paragraph" w:customStyle="1" w:styleId="TAC">
    <w:name w:val="TAC"/>
    <w:basedOn w:val="TAL"/>
    <w:link w:val="TACChar"/>
    <w:qFormat/>
    <w:pPr>
      <w:jc w:val="center"/>
    </w:pPr>
  </w:style>
  <w:style w:type="paragraph" w:customStyle="1" w:styleId="LD">
    <w:name w:val="LD"/>
    <w:pPr>
      <w:keepNext/>
      <w:keepLines/>
      <w:spacing w:line="180" w:lineRule="exact"/>
    </w:pPr>
    <w:rPr>
      <w:rFonts w:ascii="Courier New" w:hAnsi="Courier New"/>
      <w:lang w:val="en-GB"/>
    </w:rPr>
  </w:style>
  <w:style w:type="paragraph" w:customStyle="1" w:styleId="EX">
    <w:name w:val="EX"/>
    <w:basedOn w:val="Normal"/>
    <w:link w:val="EXCar"/>
    <w:qFormat/>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link w:val="EWChar"/>
    <w:qFormat/>
    <w:pPr>
      <w:spacing w:after="0"/>
    </w:pPr>
  </w:style>
  <w:style w:type="paragraph" w:customStyle="1" w:styleId="B10">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Editor's Noteormal"/>
    <w:basedOn w:val="NO"/>
    <w:link w:val="EditorsNoteChar"/>
    <w:qFormat/>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rPr>
  </w:style>
  <w:style w:type="paragraph" w:customStyle="1" w:styleId="ZT">
    <w:name w:val="ZT"/>
    <w:pPr>
      <w:framePr w:wrap="notBeside" w:hAnchor="margin" w:yAlign="center"/>
      <w:widowControl w:val="0"/>
      <w:spacing w:line="240" w:lineRule="atLeast"/>
      <w:jc w:val="right"/>
    </w:pPr>
    <w:rPr>
      <w:rFonts w:ascii="Arial" w:hAnsi="Arial"/>
      <w:b/>
      <w:sz w:val="34"/>
      <w:lang w:val="en-GB"/>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rPr>
  </w:style>
  <w:style w:type="paragraph" w:customStyle="1" w:styleId="TAN">
    <w:name w:val="TAN"/>
    <w:basedOn w:val="TAL"/>
    <w:link w:val="TANChar"/>
    <w:qFormat/>
    <w:pPr>
      <w:ind w:left="851" w:hanging="851"/>
    </w:pPr>
  </w:style>
  <w:style w:type="paragraph" w:customStyle="1" w:styleId="ZH">
    <w:name w:val="ZH"/>
    <w:pPr>
      <w:framePr w:wrap="notBeside" w:vAnchor="page" w:hAnchor="margin" w:xAlign="center" w:y="6805"/>
      <w:widowControl w:val="0"/>
    </w:pPr>
    <w:rPr>
      <w:rFonts w:ascii="Arial" w:hAnsi="Arial"/>
      <w:noProof/>
      <w:lang w:val="en-GB"/>
    </w:rPr>
  </w:style>
  <w:style w:type="paragraph" w:customStyle="1" w:styleId="TF">
    <w:name w:val="TF"/>
    <w:aliases w:val="left"/>
    <w:basedOn w:val="TH"/>
    <w:link w:val="TFChar"/>
    <w:qFormat/>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rPr>
  </w:style>
  <w:style w:type="paragraph" w:customStyle="1" w:styleId="B2">
    <w:name w:val="B2"/>
    <w:basedOn w:val="Normal"/>
    <w:link w:val="B2Char"/>
    <w:qFormat/>
    <w:pPr>
      <w:ind w:left="851" w:hanging="284"/>
    </w:pPr>
  </w:style>
  <w:style w:type="paragraph" w:customStyle="1" w:styleId="B3">
    <w:name w:val="B3"/>
    <w:basedOn w:val="Normal"/>
    <w:qFormat/>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DocumentMap">
    <w:name w:val="Document Map"/>
    <w:basedOn w:val="Normal"/>
    <w:link w:val="DocumentMapChar"/>
    <w:rPr>
      <w:rFonts w:ascii="SimSun"/>
      <w:sz w:val="18"/>
      <w:szCs w:val="18"/>
    </w:rPr>
  </w:style>
  <w:style w:type="character" w:customStyle="1" w:styleId="DocumentMapChar">
    <w:name w:val="Document Map Char"/>
    <w:link w:val="DocumentMap"/>
    <w:rPr>
      <w:rFonts w:ascii="SimSun"/>
      <w:sz w:val="18"/>
      <w:szCs w:val="18"/>
      <w:lang w:eastAsia="en-US"/>
    </w:rPr>
  </w:style>
  <w:style w:type="paragraph" w:styleId="TOCHeading">
    <w:name w:val="TOC Heading"/>
    <w:basedOn w:val="Heading1"/>
    <w:next w:val="Normal"/>
    <w:uiPriority w:val="39"/>
    <w:unhideWhenUsed/>
    <w:qFormat/>
    <w:pPr>
      <w:pBdr>
        <w:top w:val="none" w:sz="0" w:space="0" w:color="auto"/>
      </w:pBdr>
      <w:spacing w:before="480" w:after="0" w:line="276" w:lineRule="auto"/>
      <w:ind w:left="0" w:firstLine="0"/>
      <w:outlineLvl w:val="9"/>
    </w:pPr>
    <w:rPr>
      <w:rFonts w:ascii="Cambria" w:hAnsi="Cambria"/>
      <w:b/>
      <w:bCs/>
      <w:color w:val="365F91"/>
      <w:sz w:val="28"/>
      <w:szCs w:val="28"/>
      <w:lang w:eastAsia="zh-CN"/>
    </w:rPr>
  </w:style>
  <w:style w:type="character" w:styleId="Hyperlink">
    <w:name w:val="Hyperlink"/>
    <w:uiPriority w:val="99"/>
    <w:unhideWhenUsed/>
    <w:rPr>
      <w:color w:val="0000FF"/>
      <w:u w:val="single"/>
    </w:rPr>
  </w:style>
  <w:style w:type="character" w:customStyle="1" w:styleId="EXCar">
    <w:name w:val="EX Car"/>
    <w:link w:val="EX"/>
    <w:qFormat/>
    <w:rPr>
      <w:lang w:eastAsia="en-US"/>
    </w:rPr>
  </w:style>
  <w:style w:type="character" w:customStyle="1" w:styleId="THChar">
    <w:name w:val="TH Char"/>
    <w:link w:val="TH"/>
    <w:qFormat/>
    <w:rPr>
      <w:rFonts w:ascii="Arial" w:hAnsi="Arial"/>
      <w:b/>
      <w:lang w:eastAsia="en-US"/>
    </w:rPr>
  </w:style>
  <w:style w:type="character" w:customStyle="1" w:styleId="EditorsNoteChar">
    <w:name w:val="Editor's Note Char"/>
    <w:aliases w:val="EN Char"/>
    <w:link w:val="EditorsNote"/>
    <w:qFormat/>
    <w:rPr>
      <w:color w:val="FF0000"/>
      <w:lang w:eastAsia="en-US"/>
    </w:rPr>
  </w:style>
  <w:style w:type="paragraph" w:styleId="ListBullet">
    <w:name w:val="List Bullet"/>
    <w:basedOn w:val="List"/>
    <w:pPr>
      <w:ind w:left="568" w:firstLineChars="0" w:hanging="284"/>
      <w:contextualSpacing w:val="0"/>
    </w:pPr>
    <w:rPr>
      <w:rFonts w:eastAsia="Batang"/>
    </w:rPr>
  </w:style>
  <w:style w:type="character" w:customStyle="1" w:styleId="TAHChar">
    <w:name w:val="TAH Char"/>
    <w:link w:val="TAH"/>
    <w:qFormat/>
    <w:rPr>
      <w:rFonts w:ascii="Arial" w:hAnsi="Arial"/>
      <w:b/>
      <w:sz w:val="18"/>
      <w:lang w:eastAsia="en-US"/>
    </w:rPr>
  </w:style>
  <w:style w:type="character" w:customStyle="1" w:styleId="TALChar">
    <w:name w:val="TAL Char"/>
    <w:link w:val="TAL"/>
    <w:qFormat/>
    <w:rPr>
      <w:rFonts w:ascii="Arial" w:hAnsi="Arial"/>
      <w:sz w:val="18"/>
      <w:lang w:eastAsia="en-US"/>
    </w:rPr>
  </w:style>
  <w:style w:type="paragraph" w:customStyle="1" w:styleId="TempNote">
    <w:name w:val="TempNote"/>
    <w:basedOn w:val="Normal"/>
    <w:qFormat/>
    <w:pPr>
      <w:overflowPunct w:val="0"/>
      <w:autoSpaceDE w:val="0"/>
      <w:autoSpaceDN w:val="0"/>
      <w:adjustRightInd w:val="0"/>
      <w:spacing w:after="0"/>
      <w:textAlignment w:val="baseline"/>
    </w:pPr>
    <w:rPr>
      <w:rFonts w:ascii="Arial" w:eastAsia="Times New Roman" w:hAnsi="Arial"/>
      <w:i/>
      <w:color w:val="0070C0"/>
    </w:rPr>
  </w:style>
  <w:style w:type="paragraph" w:customStyle="1" w:styleId="B1">
    <w:name w:val="B1+"/>
    <w:basedOn w:val="B10"/>
    <w:pPr>
      <w:numPr>
        <w:numId w:val="1"/>
      </w:numPr>
      <w:overflowPunct w:val="0"/>
      <w:autoSpaceDE w:val="0"/>
      <w:autoSpaceDN w:val="0"/>
      <w:adjustRightInd w:val="0"/>
      <w:textAlignment w:val="baseline"/>
    </w:pPr>
    <w:rPr>
      <w:rFonts w:eastAsia="Times New Roman"/>
    </w:rPr>
  </w:style>
  <w:style w:type="paragraph" w:styleId="List">
    <w:name w:val="List"/>
    <w:basedOn w:val="Normal"/>
    <w:pPr>
      <w:ind w:left="200" w:hangingChars="200" w:hanging="200"/>
      <w:contextualSpacing/>
    </w:pPr>
  </w:style>
  <w:style w:type="character" w:customStyle="1" w:styleId="B1Char">
    <w:name w:val="B1 Char"/>
    <w:link w:val="B10"/>
    <w:qFormat/>
    <w:rPr>
      <w:lang w:eastAsia="en-US"/>
    </w:rPr>
  </w:style>
  <w:style w:type="character" w:customStyle="1" w:styleId="Heading3Char">
    <w:name w:val="Heading 3 Char"/>
    <w:link w:val="Heading3"/>
    <w:rPr>
      <w:rFonts w:ascii="Arial" w:hAnsi="Arial"/>
      <w:sz w:val="28"/>
      <w:lang w:eastAsia="en-US"/>
    </w:rPr>
  </w:style>
  <w:style w:type="character" w:customStyle="1" w:styleId="TFChar">
    <w:name w:val="TF Char"/>
    <w:link w:val="TF"/>
    <w:qFormat/>
    <w:rPr>
      <w:rFonts w:ascii="Arial" w:hAnsi="Arial"/>
      <w:b/>
      <w:lang w:eastAsia="en-US"/>
    </w:rPr>
  </w:style>
  <w:style w:type="character" w:customStyle="1" w:styleId="NOZchn">
    <w:name w:val="NO Zchn"/>
    <w:link w:val="NO"/>
    <w:qFormat/>
    <w:rPr>
      <w:lang w:eastAsia="en-US"/>
    </w:rPr>
  </w:style>
  <w:style w:type="character" w:customStyle="1" w:styleId="Heading4Char">
    <w:name w:val="Heading 4 Char"/>
    <w:link w:val="Heading4"/>
    <w:rPr>
      <w:rFonts w:ascii="Arial" w:hAnsi="Arial"/>
      <w:sz w:val="24"/>
      <w:lang w:eastAsia="en-US"/>
    </w:rPr>
  </w:style>
  <w:style w:type="character" w:customStyle="1" w:styleId="NOChar">
    <w:name w:val="NO Char"/>
    <w:qFormat/>
    <w:rPr>
      <w:lang w:val="en-GB" w:eastAsia="en-US"/>
    </w:rPr>
  </w:style>
  <w:style w:type="character" w:customStyle="1" w:styleId="TANChar">
    <w:name w:val="TAN Char"/>
    <w:link w:val="TAN"/>
    <w:qFormat/>
    <w:rPr>
      <w:rFonts w:ascii="Arial" w:hAnsi="Arial"/>
      <w:sz w:val="18"/>
      <w:lang w:eastAsia="en-US"/>
    </w:rPr>
  </w:style>
  <w:style w:type="character" w:customStyle="1" w:styleId="TACChar">
    <w:name w:val="TAC Char"/>
    <w:link w:val="TAC"/>
    <w:qFormat/>
    <w:rPr>
      <w:rFonts w:ascii="Arial" w:hAnsi="Arial"/>
      <w:sz w:val="18"/>
      <w:lang w:eastAsia="en-US"/>
    </w:rPr>
  </w:style>
  <w:style w:type="paragraph" w:styleId="BalloonText">
    <w:name w:val="Balloon Text"/>
    <w:basedOn w:val="Normal"/>
    <w:link w:val="BalloonTextChar"/>
    <w:pPr>
      <w:spacing w:after="0"/>
    </w:pPr>
    <w:rPr>
      <w:rFonts w:ascii="Segoe UI" w:hAnsi="Segoe UI"/>
      <w:sz w:val="18"/>
      <w:szCs w:val="18"/>
    </w:rPr>
  </w:style>
  <w:style w:type="character" w:customStyle="1" w:styleId="BalloonTextChar">
    <w:name w:val="Balloon Text Char"/>
    <w:link w:val="BalloonText"/>
    <w:rPr>
      <w:rFonts w:ascii="Segoe UI" w:hAnsi="Segoe UI"/>
      <w:sz w:val="18"/>
      <w:szCs w:val="18"/>
      <w:lang w:eastAsia="en-US"/>
    </w:rPr>
  </w:style>
  <w:style w:type="character" w:styleId="CommentReference">
    <w:name w:val="annotation reference"/>
    <w:rPr>
      <w:sz w:val="16"/>
      <w:szCs w:val="16"/>
    </w:rPr>
  </w:style>
  <w:style w:type="paragraph" w:styleId="CommentText">
    <w:name w:val="annotation text"/>
    <w:basedOn w:val="Normal"/>
    <w:link w:val="CommentTextChar"/>
    <w:qFormat/>
  </w:style>
  <w:style w:type="character" w:customStyle="1" w:styleId="CommentTextChar">
    <w:name w:val="Comment Text Char"/>
    <w:link w:val="CommentText"/>
    <w:rPr>
      <w:lang w:eastAsia="en-US"/>
    </w:rPr>
  </w:style>
  <w:style w:type="paragraph" w:styleId="CommentSubject">
    <w:name w:val="annotation subject"/>
    <w:basedOn w:val="CommentText"/>
    <w:next w:val="CommentText"/>
    <w:link w:val="CommentSubjectChar"/>
    <w:rPr>
      <w:b/>
      <w:bCs/>
    </w:rPr>
  </w:style>
  <w:style w:type="character" w:customStyle="1" w:styleId="CommentSubjectChar">
    <w:name w:val="Comment Subject Char"/>
    <w:link w:val="CommentSubject"/>
    <w:rPr>
      <w:b/>
      <w:bCs/>
      <w:lang w:eastAsia="en-US"/>
    </w:rPr>
  </w:style>
  <w:style w:type="character" w:styleId="FollowedHyperlink">
    <w:name w:val="FollowedHyperlink"/>
    <w:rPr>
      <w:color w:val="954F72"/>
      <w:u w:val="single"/>
    </w:rPr>
  </w:style>
  <w:style w:type="character" w:styleId="UnresolvedMention">
    <w:name w:val="Unresolved Mention"/>
    <w:uiPriority w:val="99"/>
    <w:semiHidden/>
    <w:unhideWhenUsed/>
    <w:rPr>
      <w:color w:val="808080"/>
      <w:shd w:val="clear" w:color="auto" w:fill="E6E6E6"/>
    </w:rPr>
  </w:style>
  <w:style w:type="paragraph" w:styleId="Index1">
    <w:name w:val="index 1"/>
    <w:basedOn w:val="Normal"/>
    <w:next w:val="Normal"/>
    <w:pPr>
      <w:ind w:left="200" w:hanging="200"/>
    </w:pPr>
  </w:style>
  <w:style w:type="paragraph" w:customStyle="1" w:styleId="CRCoverPage">
    <w:name w:val="CR Cover Page"/>
    <w:link w:val="CRCoverPageZchn"/>
    <w:pPr>
      <w:spacing w:after="120"/>
    </w:pPr>
    <w:rPr>
      <w:rFonts w:ascii="Arial" w:eastAsia="Batang" w:hAnsi="Arial"/>
      <w:lang w:val="en-GB"/>
    </w:rPr>
  </w:style>
  <w:style w:type="paragraph" w:styleId="ListNumber">
    <w:name w:val="List Number"/>
    <w:basedOn w:val="Normal"/>
    <w:pPr>
      <w:numPr>
        <w:numId w:val="2"/>
      </w:numPr>
      <w:contextualSpacing/>
    </w:pPr>
  </w:style>
  <w:style w:type="paragraph" w:customStyle="1" w:styleId="b20">
    <w:name w:val="b2"/>
    <w:basedOn w:val="Normal"/>
    <w:pPr>
      <w:spacing w:before="100" w:beforeAutospacing="1" w:after="100" w:afterAutospacing="1"/>
    </w:pPr>
    <w:rPr>
      <w:rFonts w:ascii="SimSun" w:hAnsi="SimSun" w:cs="SimSun"/>
      <w:sz w:val="24"/>
      <w:szCs w:val="24"/>
      <w:lang w:eastAsia="zh-CN"/>
    </w:rPr>
  </w:style>
  <w:style w:type="character" w:customStyle="1" w:styleId="Heading5Char">
    <w:name w:val="Heading 5 Char"/>
    <w:link w:val="Heading5"/>
    <w:rPr>
      <w:rFonts w:ascii="Arial" w:hAnsi="Arial"/>
      <w:sz w:val="22"/>
      <w:lang w:eastAsia="en-US"/>
    </w:rPr>
  </w:style>
  <w:style w:type="character" w:styleId="Emphasis">
    <w:name w:val="Emphasis"/>
    <w:qFormat/>
    <w:rPr>
      <w:i/>
      <w:iCs/>
    </w:rPr>
  </w:style>
  <w:style w:type="paragraph" w:styleId="NormalWeb">
    <w:name w:val="Normal (Web)"/>
    <w:basedOn w:val="Normal"/>
    <w:uiPriority w:val="99"/>
    <w:unhideWhenUsed/>
    <w:pPr>
      <w:spacing w:before="100" w:beforeAutospacing="1" w:after="100" w:afterAutospacing="1"/>
    </w:pPr>
    <w:rPr>
      <w:rFonts w:ascii="SimSun" w:hAnsi="SimSun" w:cs="SimSun"/>
      <w:sz w:val="24"/>
      <w:szCs w:val="24"/>
      <w:lang w:eastAsia="zh-CN"/>
    </w:rPr>
  </w:style>
  <w:style w:type="paragraph" w:customStyle="1" w:styleId="tal0">
    <w:name w:val="tal"/>
    <w:basedOn w:val="Normal"/>
    <w:pPr>
      <w:spacing w:before="100" w:beforeAutospacing="1" w:after="100" w:afterAutospacing="1"/>
    </w:pPr>
    <w:rPr>
      <w:rFonts w:ascii="SimSun" w:hAnsi="SimSun" w:cs="SimSun"/>
      <w:sz w:val="24"/>
      <w:szCs w:val="24"/>
      <w:lang w:eastAsia="zh-CN"/>
    </w:rPr>
  </w:style>
  <w:style w:type="paragraph" w:styleId="Index2">
    <w:name w:val="index 2"/>
    <w:basedOn w:val="Index1"/>
    <w:pPr>
      <w:keepLines/>
      <w:spacing w:after="0"/>
      <w:ind w:left="284" w:firstLine="0"/>
    </w:pPr>
    <w:rPr>
      <w:rFonts w:eastAsia="Batang"/>
    </w:rPr>
  </w:style>
  <w:style w:type="paragraph" w:styleId="ListNumber2">
    <w:name w:val="List Number 2"/>
    <w:basedOn w:val="ListNumber"/>
    <w:pPr>
      <w:tabs>
        <w:tab w:val="clear" w:pos="360"/>
      </w:tabs>
      <w:ind w:left="851" w:firstLineChars="0" w:hanging="284"/>
      <w:contextualSpacing w:val="0"/>
    </w:pPr>
    <w:rPr>
      <w:rFonts w:eastAsia="Batang"/>
    </w:rPr>
  </w:style>
  <w:style w:type="character" w:styleId="FootnoteReference">
    <w:name w:val="footnote reference"/>
    <w:rPr>
      <w:b/>
      <w:position w:val="6"/>
      <w:sz w:val="16"/>
    </w:rPr>
  </w:style>
  <w:style w:type="paragraph" w:styleId="FootnoteText">
    <w:name w:val="footnote text"/>
    <w:basedOn w:val="Normal"/>
    <w:link w:val="FootnoteTextChar"/>
    <w:pPr>
      <w:keepLines/>
      <w:spacing w:after="0"/>
      <w:ind w:left="454" w:hanging="454"/>
    </w:pPr>
    <w:rPr>
      <w:rFonts w:eastAsia="Batang"/>
      <w:sz w:val="16"/>
    </w:rPr>
  </w:style>
  <w:style w:type="character" w:customStyle="1" w:styleId="FootnoteTextChar">
    <w:name w:val="Footnote Text Char"/>
    <w:link w:val="FootnoteText"/>
    <w:rPr>
      <w:rFonts w:eastAsia="Batang"/>
      <w:sz w:val="16"/>
      <w:lang w:eastAsia="en-US"/>
    </w:rPr>
  </w:style>
  <w:style w:type="paragraph" w:styleId="ListBullet2">
    <w:name w:val="List Bullet 2"/>
    <w:basedOn w:val="ListBullet"/>
    <w:qFormat/>
    <w:pPr>
      <w:ind w:left="851"/>
    </w:pPr>
  </w:style>
  <w:style w:type="paragraph" w:styleId="ListBullet3">
    <w:name w:val="List Bullet 3"/>
    <w:basedOn w:val="ListBullet2"/>
    <w:pPr>
      <w:ind w:left="1135"/>
    </w:pPr>
  </w:style>
  <w:style w:type="paragraph" w:styleId="List2">
    <w:name w:val="List 2"/>
    <w:basedOn w:val="List"/>
    <w:pPr>
      <w:ind w:left="851" w:firstLineChars="0" w:hanging="284"/>
      <w:contextualSpacing w:val="0"/>
    </w:pPr>
    <w:rPr>
      <w:rFonts w:eastAsia="Batang"/>
    </w:r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tdoc-header">
    <w:name w:val="tdoc-header"/>
    <w:rPr>
      <w:rFonts w:ascii="Arial" w:eastAsia="Batang" w:hAnsi="Arial"/>
      <w:sz w:val="24"/>
      <w:lang w:val="en-GB"/>
    </w:rPr>
  </w:style>
  <w:style w:type="character" w:styleId="Strong">
    <w:name w:val="Strong"/>
    <w:qFormat/>
    <w:rPr>
      <w:b/>
      <w:bCs/>
    </w:rPr>
  </w:style>
  <w:style w:type="character" w:customStyle="1" w:styleId="PLChar">
    <w:name w:val="PL Char"/>
    <w:link w:val="PL"/>
    <w:qFormat/>
    <w:rPr>
      <w:rFonts w:ascii="Courier New" w:hAnsi="Courier New"/>
      <w:sz w:val="16"/>
      <w:lang w:eastAsia="en-US"/>
    </w:rPr>
  </w:style>
  <w:style w:type="character" w:customStyle="1" w:styleId="B2Char">
    <w:name w:val="B2 Char"/>
    <w:link w:val="B2"/>
    <w:qFormat/>
    <w:rPr>
      <w:lang w:eastAsia="en-US"/>
    </w:rPr>
  </w:style>
  <w:style w:type="character" w:customStyle="1" w:styleId="Heading2Char">
    <w:name w:val="Heading 2 Char"/>
    <w:link w:val="Heading2"/>
    <w:rPr>
      <w:rFonts w:ascii="Arial" w:hAnsi="Arial"/>
      <w:sz w:val="32"/>
      <w:lang w:eastAsia="en-US"/>
    </w:rPr>
  </w:style>
  <w:style w:type="paragraph" w:styleId="Revision">
    <w:name w:val="Revision"/>
    <w:hidden/>
    <w:uiPriority w:val="99"/>
    <w:semiHidden/>
    <w:rPr>
      <w:lang w:val="en-GB"/>
    </w:rPr>
  </w:style>
  <w:style w:type="character" w:customStyle="1" w:styleId="EditorsNoteCharChar">
    <w:name w:val="Editor's Note Char Char"/>
    <w:locked/>
    <w:rPr>
      <w:color w:val="FF0000"/>
      <w:lang w:val="en-GB" w:eastAsia="en-US"/>
    </w:rPr>
  </w:style>
  <w:style w:type="character" w:customStyle="1" w:styleId="EXChar">
    <w:name w:val="EX Char"/>
    <w:rPr>
      <w:rFonts w:ascii="Times New Roman" w:hAnsi="Times New Roman"/>
      <w:lang w:val="en-GB"/>
    </w:rPr>
  </w:style>
  <w:style w:type="character" w:customStyle="1" w:styleId="EditorsNoteZchn">
    <w:name w:val="Editor's Note Zchn"/>
    <w:rPr>
      <w:rFonts w:ascii="Times New Roman" w:hAnsi="Times New Roman"/>
      <w:color w:val="FF0000"/>
      <w:lang w:val="en-GB"/>
    </w:rPr>
  </w:style>
  <w:style w:type="character" w:customStyle="1" w:styleId="Heading6Char">
    <w:name w:val="Heading 6 Char"/>
    <w:link w:val="Heading6"/>
    <w:rPr>
      <w:rFonts w:ascii="Arial" w:hAnsi="Arial"/>
      <w:lang w:eastAsia="en-US"/>
    </w:rPr>
  </w:style>
  <w:style w:type="character" w:customStyle="1" w:styleId="EWChar">
    <w:name w:val="EW Char"/>
    <w:link w:val="EW"/>
    <w:qFormat/>
    <w:locked/>
    <w:rPr>
      <w:lang w:eastAsia="en-US"/>
    </w:rPr>
  </w:style>
  <w:style w:type="paragraph" w:styleId="ListParagraph">
    <w:name w:val="List Paragraph"/>
    <w:basedOn w:val="Normal"/>
    <w:uiPriority w:val="34"/>
    <w:qFormat/>
    <w:pPr>
      <w:ind w:firstLineChars="200" w:firstLine="420"/>
    </w:pPr>
  </w:style>
  <w:style w:type="paragraph" w:styleId="Bibliography">
    <w:name w:val="Bibliography"/>
    <w:basedOn w:val="Normal"/>
    <w:next w:val="Normal"/>
    <w:uiPriority w:val="37"/>
    <w:semiHidden/>
    <w:unhideWhenUsed/>
    <w:rsid w:val="00FF0AF8"/>
  </w:style>
  <w:style w:type="paragraph" w:styleId="BlockText">
    <w:name w:val="Block Text"/>
    <w:basedOn w:val="Normal"/>
    <w:rsid w:val="00FF0AF8"/>
    <w:pPr>
      <w:spacing w:after="120"/>
      <w:ind w:left="1440" w:right="1440"/>
    </w:pPr>
  </w:style>
  <w:style w:type="paragraph" w:styleId="BodyText">
    <w:name w:val="Body Text"/>
    <w:basedOn w:val="Normal"/>
    <w:link w:val="BodyTextChar"/>
    <w:rsid w:val="00FF0AF8"/>
    <w:pPr>
      <w:spacing w:after="120"/>
    </w:pPr>
  </w:style>
  <w:style w:type="character" w:customStyle="1" w:styleId="BodyTextChar">
    <w:name w:val="Body Text Char"/>
    <w:link w:val="BodyText"/>
    <w:rsid w:val="00FF0AF8"/>
    <w:rPr>
      <w:lang w:eastAsia="en-US"/>
    </w:rPr>
  </w:style>
  <w:style w:type="paragraph" w:styleId="BodyText2">
    <w:name w:val="Body Text 2"/>
    <w:basedOn w:val="Normal"/>
    <w:link w:val="BodyText2Char"/>
    <w:rsid w:val="00FF0AF8"/>
    <w:pPr>
      <w:spacing w:after="120" w:line="480" w:lineRule="auto"/>
    </w:pPr>
  </w:style>
  <w:style w:type="character" w:customStyle="1" w:styleId="BodyText2Char">
    <w:name w:val="Body Text 2 Char"/>
    <w:link w:val="BodyText2"/>
    <w:rsid w:val="00FF0AF8"/>
    <w:rPr>
      <w:lang w:eastAsia="en-US"/>
    </w:rPr>
  </w:style>
  <w:style w:type="paragraph" w:styleId="BodyText3">
    <w:name w:val="Body Text 3"/>
    <w:basedOn w:val="Normal"/>
    <w:link w:val="BodyText3Char"/>
    <w:rsid w:val="00FF0AF8"/>
    <w:pPr>
      <w:spacing w:after="120"/>
    </w:pPr>
    <w:rPr>
      <w:sz w:val="16"/>
      <w:szCs w:val="16"/>
    </w:rPr>
  </w:style>
  <w:style w:type="character" w:customStyle="1" w:styleId="BodyText3Char">
    <w:name w:val="Body Text 3 Char"/>
    <w:link w:val="BodyText3"/>
    <w:rsid w:val="00FF0AF8"/>
    <w:rPr>
      <w:sz w:val="16"/>
      <w:szCs w:val="16"/>
      <w:lang w:eastAsia="en-US"/>
    </w:rPr>
  </w:style>
  <w:style w:type="paragraph" w:styleId="BodyTextFirstIndent">
    <w:name w:val="Body Text First Indent"/>
    <w:basedOn w:val="BodyText"/>
    <w:link w:val="BodyTextFirstIndentChar"/>
    <w:rsid w:val="00FF0AF8"/>
    <w:pPr>
      <w:ind w:firstLine="210"/>
    </w:pPr>
  </w:style>
  <w:style w:type="character" w:customStyle="1" w:styleId="BodyTextFirstIndentChar">
    <w:name w:val="Body Text First Indent Char"/>
    <w:basedOn w:val="BodyTextChar"/>
    <w:link w:val="BodyTextFirstIndent"/>
    <w:rsid w:val="00FF0AF8"/>
    <w:rPr>
      <w:lang w:eastAsia="en-US"/>
    </w:rPr>
  </w:style>
  <w:style w:type="paragraph" w:styleId="BodyTextIndent">
    <w:name w:val="Body Text Indent"/>
    <w:basedOn w:val="Normal"/>
    <w:link w:val="BodyTextIndentChar"/>
    <w:rsid w:val="00FF0AF8"/>
    <w:pPr>
      <w:spacing w:after="120"/>
      <w:ind w:left="283"/>
    </w:pPr>
  </w:style>
  <w:style w:type="character" w:customStyle="1" w:styleId="BodyTextIndentChar">
    <w:name w:val="Body Text Indent Char"/>
    <w:link w:val="BodyTextIndent"/>
    <w:rsid w:val="00FF0AF8"/>
    <w:rPr>
      <w:lang w:eastAsia="en-US"/>
    </w:rPr>
  </w:style>
  <w:style w:type="paragraph" w:styleId="BodyTextFirstIndent2">
    <w:name w:val="Body Text First Indent 2"/>
    <w:basedOn w:val="BodyTextIndent"/>
    <w:link w:val="BodyTextFirstIndent2Char"/>
    <w:rsid w:val="00FF0AF8"/>
    <w:pPr>
      <w:ind w:firstLine="210"/>
    </w:pPr>
  </w:style>
  <w:style w:type="character" w:customStyle="1" w:styleId="BodyTextFirstIndent2Char">
    <w:name w:val="Body Text First Indent 2 Char"/>
    <w:basedOn w:val="BodyTextIndentChar"/>
    <w:link w:val="BodyTextFirstIndent2"/>
    <w:rsid w:val="00FF0AF8"/>
    <w:rPr>
      <w:lang w:eastAsia="en-US"/>
    </w:rPr>
  </w:style>
  <w:style w:type="paragraph" w:styleId="BodyTextIndent2">
    <w:name w:val="Body Text Indent 2"/>
    <w:basedOn w:val="Normal"/>
    <w:link w:val="BodyTextIndent2Char"/>
    <w:rsid w:val="00FF0AF8"/>
    <w:pPr>
      <w:spacing w:after="120" w:line="480" w:lineRule="auto"/>
      <w:ind w:left="283"/>
    </w:pPr>
  </w:style>
  <w:style w:type="character" w:customStyle="1" w:styleId="BodyTextIndent2Char">
    <w:name w:val="Body Text Indent 2 Char"/>
    <w:link w:val="BodyTextIndent2"/>
    <w:rsid w:val="00FF0AF8"/>
    <w:rPr>
      <w:lang w:eastAsia="en-US"/>
    </w:rPr>
  </w:style>
  <w:style w:type="paragraph" w:styleId="BodyTextIndent3">
    <w:name w:val="Body Text Indent 3"/>
    <w:basedOn w:val="Normal"/>
    <w:link w:val="BodyTextIndent3Char"/>
    <w:rsid w:val="00FF0AF8"/>
    <w:pPr>
      <w:spacing w:after="120"/>
      <w:ind w:left="283"/>
    </w:pPr>
    <w:rPr>
      <w:sz w:val="16"/>
      <w:szCs w:val="16"/>
    </w:rPr>
  </w:style>
  <w:style w:type="character" w:customStyle="1" w:styleId="BodyTextIndent3Char">
    <w:name w:val="Body Text Indent 3 Char"/>
    <w:link w:val="BodyTextIndent3"/>
    <w:rsid w:val="00FF0AF8"/>
    <w:rPr>
      <w:sz w:val="16"/>
      <w:szCs w:val="16"/>
      <w:lang w:eastAsia="en-US"/>
    </w:rPr>
  </w:style>
  <w:style w:type="paragraph" w:styleId="Caption">
    <w:name w:val="caption"/>
    <w:basedOn w:val="Normal"/>
    <w:next w:val="Normal"/>
    <w:semiHidden/>
    <w:unhideWhenUsed/>
    <w:qFormat/>
    <w:rsid w:val="00FF0AF8"/>
    <w:rPr>
      <w:b/>
      <w:bCs/>
    </w:rPr>
  </w:style>
  <w:style w:type="paragraph" w:styleId="Closing">
    <w:name w:val="Closing"/>
    <w:basedOn w:val="Normal"/>
    <w:link w:val="ClosingChar"/>
    <w:rsid w:val="00FF0AF8"/>
    <w:pPr>
      <w:ind w:left="4252"/>
    </w:pPr>
  </w:style>
  <w:style w:type="character" w:customStyle="1" w:styleId="ClosingChar">
    <w:name w:val="Closing Char"/>
    <w:link w:val="Closing"/>
    <w:rsid w:val="00FF0AF8"/>
    <w:rPr>
      <w:lang w:eastAsia="en-US"/>
    </w:rPr>
  </w:style>
  <w:style w:type="paragraph" w:styleId="Date">
    <w:name w:val="Date"/>
    <w:basedOn w:val="Normal"/>
    <w:next w:val="Normal"/>
    <w:link w:val="DateChar"/>
    <w:rsid w:val="00FF0AF8"/>
  </w:style>
  <w:style w:type="character" w:customStyle="1" w:styleId="DateChar">
    <w:name w:val="Date Char"/>
    <w:link w:val="Date"/>
    <w:rsid w:val="00FF0AF8"/>
    <w:rPr>
      <w:lang w:eastAsia="en-US"/>
    </w:rPr>
  </w:style>
  <w:style w:type="paragraph" w:styleId="E-mailSignature">
    <w:name w:val="E-mail Signature"/>
    <w:basedOn w:val="Normal"/>
    <w:link w:val="E-mailSignatureChar"/>
    <w:rsid w:val="00FF0AF8"/>
  </w:style>
  <w:style w:type="character" w:customStyle="1" w:styleId="E-mailSignatureChar">
    <w:name w:val="E-mail Signature Char"/>
    <w:link w:val="E-mailSignature"/>
    <w:rsid w:val="00FF0AF8"/>
    <w:rPr>
      <w:lang w:eastAsia="en-US"/>
    </w:rPr>
  </w:style>
  <w:style w:type="paragraph" w:styleId="EndnoteText">
    <w:name w:val="endnote text"/>
    <w:basedOn w:val="Normal"/>
    <w:link w:val="EndnoteTextChar"/>
    <w:rsid w:val="00FF0AF8"/>
  </w:style>
  <w:style w:type="character" w:customStyle="1" w:styleId="EndnoteTextChar">
    <w:name w:val="Endnote Text Char"/>
    <w:link w:val="EndnoteText"/>
    <w:rsid w:val="00FF0AF8"/>
    <w:rPr>
      <w:lang w:eastAsia="en-US"/>
    </w:rPr>
  </w:style>
  <w:style w:type="paragraph" w:styleId="EnvelopeAddress">
    <w:name w:val="envelope address"/>
    <w:basedOn w:val="Normal"/>
    <w:rsid w:val="00FF0AF8"/>
    <w:pPr>
      <w:framePr w:w="7920" w:h="1980" w:hRule="exact" w:hSpace="180" w:wrap="auto" w:hAnchor="page" w:xAlign="center" w:yAlign="bottom"/>
      <w:ind w:left="2880"/>
    </w:pPr>
    <w:rPr>
      <w:rFonts w:ascii="Calibri Light" w:eastAsia="Yu Gothic Light" w:hAnsi="Calibri Light"/>
      <w:sz w:val="24"/>
      <w:szCs w:val="24"/>
    </w:rPr>
  </w:style>
  <w:style w:type="paragraph" w:styleId="EnvelopeReturn">
    <w:name w:val="envelope return"/>
    <w:basedOn w:val="Normal"/>
    <w:rsid w:val="00FF0AF8"/>
    <w:rPr>
      <w:rFonts w:ascii="Calibri Light" w:eastAsia="Yu Gothic Light" w:hAnsi="Calibri Light"/>
    </w:rPr>
  </w:style>
  <w:style w:type="paragraph" w:styleId="HTMLAddress">
    <w:name w:val="HTML Address"/>
    <w:basedOn w:val="Normal"/>
    <w:link w:val="HTMLAddressChar"/>
    <w:rsid w:val="00FF0AF8"/>
    <w:rPr>
      <w:i/>
      <w:iCs/>
    </w:rPr>
  </w:style>
  <w:style w:type="character" w:customStyle="1" w:styleId="HTMLAddressChar">
    <w:name w:val="HTML Address Char"/>
    <w:link w:val="HTMLAddress"/>
    <w:rsid w:val="00FF0AF8"/>
    <w:rPr>
      <w:i/>
      <w:iCs/>
      <w:lang w:eastAsia="en-US"/>
    </w:rPr>
  </w:style>
  <w:style w:type="paragraph" w:styleId="HTMLPreformatted">
    <w:name w:val="HTML Preformatted"/>
    <w:basedOn w:val="Normal"/>
    <w:link w:val="HTMLPreformattedChar"/>
    <w:rsid w:val="00FF0AF8"/>
    <w:rPr>
      <w:rFonts w:ascii="Courier New" w:hAnsi="Courier New" w:cs="Courier New"/>
    </w:rPr>
  </w:style>
  <w:style w:type="character" w:customStyle="1" w:styleId="HTMLPreformattedChar">
    <w:name w:val="HTML Preformatted Char"/>
    <w:link w:val="HTMLPreformatted"/>
    <w:rsid w:val="00FF0AF8"/>
    <w:rPr>
      <w:rFonts w:ascii="Courier New" w:hAnsi="Courier New" w:cs="Courier New"/>
      <w:lang w:eastAsia="en-US"/>
    </w:rPr>
  </w:style>
  <w:style w:type="paragraph" w:styleId="Index3">
    <w:name w:val="index 3"/>
    <w:basedOn w:val="Normal"/>
    <w:next w:val="Normal"/>
    <w:rsid w:val="00FF0AF8"/>
    <w:pPr>
      <w:ind w:left="600" w:hanging="200"/>
    </w:pPr>
  </w:style>
  <w:style w:type="paragraph" w:styleId="Index4">
    <w:name w:val="index 4"/>
    <w:basedOn w:val="Normal"/>
    <w:next w:val="Normal"/>
    <w:rsid w:val="00FF0AF8"/>
    <w:pPr>
      <w:ind w:left="800" w:hanging="200"/>
    </w:pPr>
  </w:style>
  <w:style w:type="paragraph" w:styleId="Index5">
    <w:name w:val="index 5"/>
    <w:basedOn w:val="Normal"/>
    <w:next w:val="Normal"/>
    <w:rsid w:val="00FF0AF8"/>
    <w:pPr>
      <w:ind w:left="1000" w:hanging="200"/>
    </w:pPr>
  </w:style>
  <w:style w:type="paragraph" w:styleId="Index6">
    <w:name w:val="index 6"/>
    <w:basedOn w:val="Normal"/>
    <w:next w:val="Normal"/>
    <w:rsid w:val="00FF0AF8"/>
    <w:pPr>
      <w:ind w:left="1200" w:hanging="200"/>
    </w:pPr>
  </w:style>
  <w:style w:type="paragraph" w:styleId="Index7">
    <w:name w:val="index 7"/>
    <w:basedOn w:val="Normal"/>
    <w:next w:val="Normal"/>
    <w:rsid w:val="00FF0AF8"/>
    <w:pPr>
      <w:ind w:left="1400" w:hanging="200"/>
    </w:pPr>
  </w:style>
  <w:style w:type="paragraph" w:styleId="Index8">
    <w:name w:val="index 8"/>
    <w:basedOn w:val="Normal"/>
    <w:next w:val="Normal"/>
    <w:rsid w:val="00FF0AF8"/>
    <w:pPr>
      <w:ind w:left="1600" w:hanging="200"/>
    </w:pPr>
  </w:style>
  <w:style w:type="paragraph" w:styleId="Index9">
    <w:name w:val="index 9"/>
    <w:basedOn w:val="Normal"/>
    <w:next w:val="Normal"/>
    <w:rsid w:val="00FF0AF8"/>
    <w:pPr>
      <w:ind w:left="1800" w:hanging="200"/>
    </w:pPr>
  </w:style>
  <w:style w:type="paragraph" w:styleId="IndexHeading">
    <w:name w:val="index heading"/>
    <w:basedOn w:val="Normal"/>
    <w:next w:val="Index1"/>
    <w:rsid w:val="00FF0AF8"/>
    <w:rPr>
      <w:rFonts w:ascii="Calibri Light" w:eastAsia="Yu Gothic Light" w:hAnsi="Calibri Light"/>
      <w:b/>
      <w:bCs/>
    </w:rPr>
  </w:style>
  <w:style w:type="paragraph" w:styleId="IntenseQuote">
    <w:name w:val="Intense Quote"/>
    <w:basedOn w:val="Normal"/>
    <w:next w:val="Normal"/>
    <w:link w:val="IntenseQuoteChar"/>
    <w:uiPriority w:val="30"/>
    <w:qFormat/>
    <w:rsid w:val="00FF0AF8"/>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FF0AF8"/>
    <w:rPr>
      <w:i/>
      <w:iCs/>
      <w:color w:val="4472C4"/>
      <w:lang w:eastAsia="en-US"/>
    </w:rPr>
  </w:style>
  <w:style w:type="paragraph" w:styleId="ListContinue">
    <w:name w:val="List Continue"/>
    <w:basedOn w:val="Normal"/>
    <w:rsid w:val="00FF0AF8"/>
    <w:pPr>
      <w:spacing w:after="120"/>
      <w:ind w:left="283"/>
      <w:contextualSpacing/>
    </w:pPr>
  </w:style>
  <w:style w:type="paragraph" w:styleId="ListContinue2">
    <w:name w:val="List Continue 2"/>
    <w:basedOn w:val="Normal"/>
    <w:rsid w:val="00FF0AF8"/>
    <w:pPr>
      <w:spacing w:after="120"/>
      <w:ind w:left="566"/>
      <w:contextualSpacing/>
    </w:pPr>
  </w:style>
  <w:style w:type="paragraph" w:styleId="ListContinue3">
    <w:name w:val="List Continue 3"/>
    <w:basedOn w:val="Normal"/>
    <w:rsid w:val="00FF0AF8"/>
    <w:pPr>
      <w:spacing w:after="120"/>
      <w:ind w:left="849"/>
      <w:contextualSpacing/>
    </w:pPr>
  </w:style>
  <w:style w:type="paragraph" w:styleId="ListContinue4">
    <w:name w:val="List Continue 4"/>
    <w:basedOn w:val="Normal"/>
    <w:rsid w:val="00FF0AF8"/>
    <w:pPr>
      <w:spacing w:after="120"/>
      <w:ind w:left="1132"/>
      <w:contextualSpacing/>
    </w:pPr>
  </w:style>
  <w:style w:type="paragraph" w:styleId="ListContinue5">
    <w:name w:val="List Continue 5"/>
    <w:basedOn w:val="Normal"/>
    <w:rsid w:val="00FF0AF8"/>
    <w:pPr>
      <w:spacing w:after="120"/>
      <w:ind w:left="1415"/>
      <w:contextualSpacing/>
    </w:pPr>
  </w:style>
  <w:style w:type="paragraph" w:styleId="ListNumber3">
    <w:name w:val="List Number 3"/>
    <w:basedOn w:val="Normal"/>
    <w:rsid w:val="00FF0AF8"/>
    <w:pPr>
      <w:numPr>
        <w:numId w:val="3"/>
      </w:numPr>
      <w:contextualSpacing/>
    </w:pPr>
  </w:style>
  <w:style w:type="paragraph" w:styleId="ListNumber4">
    <w:name w:val="List Number 4"/>
    <w:basedOn w:val="Normal"/>
    <w:rsid w:val="00FF0AF8"/>
    <w:pPr>
      <w:numPr>
        <w:numId w:val="4"/>
      </w:numPr>
      <w:contextualSpacing/>
    </w:pPr>
  </w:style>
  <w:style w:type="paragraph" w:styleId="ListNumber5">
    <w:name w:val="List Number 5"/>
    <w:basedOn w:val="Normal"/>
    <w:rsid w:val="00FF0AF8"/>
    <w:pPr>
      <w:numPr>
        <w:numId w:val="5"/>
      </w:numPr>
      <w:contextualSpacing/>
    </w:pPr>
  </w:style>
  <w:style w:type="paragraph" w:styleId="MacroText">
    <w:name w:val="macro"/>
    <w:link w:val="MacroTextChar"/>
    <w:rsid w:val="00FF0AF8"/>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val="en-GB"/>
    </w:rPr>
  </w:style>
  <w:style w:type="character" w:customStyle="1" w:styleId="MacroTextChar">
    <w:name w:val="Macro Text Char"/>
    <w:link w:val="MacroText"/>
    <w:rsid w:val="00FF0AF8"/>
    <w:rPr>
      <w:rFonts w:ascii="Courier New" w:hAnsi="Courier New" w:cs="Courier New"/>
      <w:lang w:eastAsia="en-US"/>
    </w:rPr>
  </w:style>
  <w:style w:type="paragraph" w:styleId="MessageHeader">
    <w:name w:val="Message Header"/>
    <w:basedOn w:val="Normal"/>
    <w:link w:val="MessageHeaderChar"/>
    <w:rsid w:val="00FF0AF8"/>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eastAsia="Yu Gothic Light" w:hAnsi="Calibri Light"/>
      <w:sz w:val="24"/>
      <w:szCs w:val="24"/>
    </w:rPr>
  </w:style>
  <w:style w:type="character" w:customStyle="1" w:styleId="MessageHeaderChar">
    <w:name w:val="Message Header Char"/>
    <w:link w:val="MessageHeader"/>
    <w:rsid w:val="00FF0AF8"/>
    <w:rPr>
      <w:rFonts w:ascii="Calibri Light" w:eastAsia="Yu Gothic Light" w:hAnsi="Calibri Light"/>
      <w:sz w:val="24"/>
      <w:szCs w:val="24"/>
      <w:shd w:val="pct20" w:color="auto" w:fill="auto"/>
      <w:lang w:eastAsia="en-US"/>
    </w:rPr>
  </w:style>
  <w:style w:type="paragraph" w:styleId="NoSpacing">
    <w:name w:val="No Spacing"/>
    <w:uiPriority w:val="1"/>
    <w:qFormat/>
    <w:rsid w:val="00FF0AF8"/>
    <w:rPr>
      <w:lang w:val="en-GB"/>
    </w:rPr>
  </w:style>
  <w:style w:type="paragraph" w:styleId="NormalIndent">
    <w:name w:val="Normal Indent"/>
    <w:basedOn w:val="Normal"/>
    <w:rsid w:val="00FF0AF8"/>
    <w:pPr>
      <w:ind w:left="720"/>
    </w:pPr>
  </w:style>
  <w:style w:type="paragraph" w:styleId="NoteHeading">
    <w:name w:val="Note Heading"/>
    <w:basedOn w:val="Normal"/>
    <w:next w:val="Normal"/>
    <w:link w:val="NoteHeadingChar"/>
    <w:rsid w:val="00FF0AF8"/>
  </w:style>
  <w:style w:type="character" w:customStyle="1" w:styleId="NoteHeadingChar">
    <w:name w:val="Note Heading Char"/>
    <w:link w:val="NoteHeading"/>
    <w:rsid w:val="00FF0AF8"/>
    <w:rPr>
      <w:lang w:eastAsia="en-US"/>
    </w:rPr>
  </w:style>
  <w:style w:type="paragraph" w:styleId="PlainText">
    <w:name w:val="Plain Text"/>
    <w:basedOn w:val="Normal"/>
    <w:link w:val="PlainTextChar"/>
    <w:rsid w:val="00FF0AF8"/>
    <w:rPr>
      <w:rFonts w:ascii="Courier New" w:hAnsi="Courier New" w:cs="Courier New"/>
    </w:rPr>
  </w:style>
  <w:style w:type="character" w:customStyle="1" w:styleId="PlainTextChar">
    <w:name w:val="Plain Text Char"/>
    <w:link w:val="PlainText"/>
    <w:rsid w:val="00FF0AF8"/>
    <w:rPr>
      <w:rFonts w:ascii="Courier New" w:hAnsi="Courier New" w:cs="Courier New"/>
      <w:lang w:eastAsia="en-US"/>
    </w:rPr>
  </w:style>
  <w:style w:type="paragraph" w:styleId="Quote">
    <w:name w:val="Quote"/>
    <w:basedOn w:val="Normal"/>
    <w:next w:val="Normal"/>
    <w:link w:val="QuoteChar"/>
    <w:uiPriority w:val="29"/>
    <w:qFormat/>
    <w:rsid w:val="00FF0AF8"/>
    <w:pPr>
      <w:spacing w:before="200" w:after="160"/>
      <w:ind w:left="864" w:right="864"/>
      <w:jc w:val="center"/>
    </w:pPr>
    <w:rPr>
      <w:i/>
      <w:iCs/>
      <w:color w:val="404040"/>
    </w:rPr>
  </w:style>
  <w:style w:type="character" w:customStyle="1" w:styleId="QuoteChar">
    <w:name w:val="Quote Char"/>
    <w:link w:val="Quote"/>
    <w:uiPriority w:val="29"/>
    <w:rsid w:val="00FF0AF8"/>
    <w:rPr>
      <w:i/>
      <w:iCs/>
      <w:color w:val="404040"/>
      <w:lang w:eastAsia="en-US"/>
    </w:rPr>
  </w:style>
  <w:style w:type="paragraph" w:styleId="Salutation">
    <w:name w:val="Salutation"/>
    <w:basedOn w:val="Normal"/>
    <w:next w:val="Normal"/>
    <w:link w:val="SalutationChar"/>
    <w:rsid w:val="00FF0AF8"/>
  </w:style>
  <w:style w:type="character" w:customStyle="1" w:styleId="SalutationChar">
    <w:name w:val="Salutation Char"/>
    <w:link w:val="Salutation"/>
    <w:rsid w:val="00FF0AF8"/>
    <w:rPr>
      <w:lang w:eastAsia="en-US"/>
    </w:rPr>
  </w:style>
  <w:style w:type="paragraph" w:styleId="Signature">
    <w:name w:val="Signature"/>
    <w:basedOn w:val="Normal"/>
    <w:link w:val="SignatureChar"/>
    <w:rsid w:val="00FF0AF8"/>
    <w:pPr>
      <w:ind w:left="4252"/>
    </w:pPr>
  </w:style>
  <w:style w:type="character" w:customStyle="1" w:styleId="SignatureChar">
    <w:name w:val="Signature Char"/>
    <w:link w:val="Signature"/>
    <w:rsid w:val="00FF0AF8"/>
    <w:rPr>
      <w:lang w:eastAsia="en-US"/>
    </w:rPr>
  </w:style>
  <w:style w:type="paragraph" w:styleId="Subtitle">
    <w:name w:val="Subtitle"/>
    <w:basedOn w:val="Normal"/>
    <w:next w:val="Normal"/>
    <w:link w:val="SubtitleChar"/>
    <w:qFormat/>
    <w:rsid w:val="00FF0AF8"/>
    <w:pPr>
      <w:spacing w:after="60"/>
      <w:jc w:val="center"/>
      <w:outlineLvl w:val="1"/>
    </w:pPr>
    <w:rPr>
      <w:rFonts w:ascii="Calibri Light" w:eastAsia="Yu Gothic Light" w:hAnsi="Calibri Light"/>
      <w:sz w:val="24"/>
      <w:szCs w:val="24"/>
    </w:rPr>
  </w:style>
  <w:style w:type="character" w:customStyle="1" w:styleId="SubtitleChar">
    <w:name w:val="Subtitle Char"/>
    <w:link w:val="Subtitle"/>
    <w:rsid w:val="00FF0AF8"/>
    <w:rPr>
      <w:rFonts w:ascii="Calibri Light" w:eastAsia="Yu Gothic Light" w:hAnsi="Calibri Light"/>
      <w:sz w:val="24"/>
      <w:szCs w:val="24"/>
      <w:lang w:eastAsia="en-US"/>
    </w:rPr>
  </w:style>
  <w:style w:type="paragraph" w:styleId="TableofAuthorities">
    <w:name w:val="table of authorities"/>
    <w:basedOn w:val="Normal"/>
    <w:next w:val="Normal"/>
    <w:rsid w:val="00FF0AF8"/>
    <w:pPr>
      <w:ind w:left="200" w:hanging="200"/>
    </w:pPr>
  </w:style>
  <w:style w:type="paragraph" w:styleId="TableofFigures">
    <w:name w:val="table of figures"/>
    <w:basedOn w:val="Normal"/>
    <w:next w:val="Normal"/>
    <w:rsid w:val="00FF0AF8"/>
  </w:style>
  <w:style w:type="paragraph" w:styleId="Title">
    <w:name w:val="Title"/>
    <w:basedOn w:val="Normal"/>
    <w:next w:val="Normal"/>
    <w:link w:val="TitleChar"/>
    <w:qFormat/>
    <w:rsid w:val="00FF0AF8"/>
    <w:pPr>
      <w:spacing w:before="240" w:after="60"/>
      <w:jc w:val="center"/>
      <w:outlineLvl w:val="0"/>
    </w:pPr>
    <w:rPr>
      <w:rFonts w:ascii="Calibri Light" w:eastAsia="Yu Gothic Light" w:hAnsi="Calibri Light"/>
      <w:b/>
      <w:bCs/>
      <w:kern w:val="28"/>
      <w:sz w:val="32"/>
      <w:szCs w:val="32"/>
    </w:rPr>
  </w:style>
  <w:style w:type="character" w:customStyle="1" w:styleId="TitleChar">
    <w:name w:val="Title Char"/>
    <w:link w:val="Title"/>
    <w:rsid w:val="00FF0AF8"/>
    <w:rPr>
      <w:rFonts w:ascii="Calibri Light" w:eastAsia="Yu Gothic Light" w:hAnsi="Calibri Light"/>
      <w:b/>
      <w:bCs/>
      <w:kern w:val="28"/>
      <w:sz w:val="32"/>
      <w:szCs w:val="32"/>
      <w:lang w:eastAsia="en-US"/>
    </w:rPr>
  </w:style>
  <w:style w:type="paragraph" w:styleId="TOAHeading">
    <w:name w:val="toa heading"/>
    <w:basedOn w:val="Normal"/>
    <w:next w:val="Normal"/>
    <w:rsid w:val="00FF0AF8"/>
    <w:pPr>
      <w:spacing w:before="120"/>
    </w:pPr>
    <w:rPr>
      <w:rFonts w:ascii="Calibri Light" w:eastAsia="Yu Gothic Light" w:hAnsi="Calibri Light"/>
      <w:b/>
      <w:bCs/>
      <w:sz w:val="24"/>
      <w:szCs w:val="24"/>
    </w:rPr>
  </w:style>
  <w:style w:type="character" w:customStyle="1" w:styleId="Heading8Char">
    <w:name w:val="Heading 8 Char"/>
    <w:link w:val="Heading8"/>
    <w:rsid w:val="004076F3"/>
    <w:rPr>
      <w:rFonts w:ascii="Arial" w:hAnsi="Arial"/>
      <w:sz w:val="36"/>
      <w:lang w:eastAsia="en-US"/>
    </w:rPr>
  </w:style>
  <w:style w:type="table" w:styleId="TableGrid">
    <w:name w:val="Table Grid"/>
    <w:basedOn w:val="TableNormal"/>
    <w:uiPriority w:val="39"/>
    <w:rsid w:val="004076F3"/>
    <w:rPr>
      <w:rFonts w:eastAsia="DengXi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uiPriority w:val="99"/>
    <w:semiHidden/>
    <w:unhideWhenUsed/>
    <w:rsid w:val="004076F3"/>
    <w:rPr>
      <w:color w:val="605E5C"/>
      <w:shd w:val="clear" w:color="auto" w:fill="E1DFDD"/>
    </w:rPr>
  </w:style>
  <w:style w:type="paragraph" w:customStyle="1" w:styleId="TemplateH4">
    <w:name w:val="TemplateH4"/>
    <w:basedOn w:val="Normal"/>
    <w:qFormat/>
    <w:rsid w:val="004076F3"/>
    <w:pPr>
      <w:overflowPunct w:val="0"/>
      <w:autoSpaceDE w:val="0"/>
      <w:autoSpaceDN w:val="0"/>
      <w:adjustRightInd w:val="0"/>
      <w:textAlignment w:val="baseline"/>
    </w:pPr>
    <w:rPr>
      <w:rFonts w:ascii="Arial" w:eastAsia="Times New Roman" w:hAnsi="Arial" w:cs="Arial"/>
      <w:sz w:val="24"/>
      <w:szCs w:val="24"/>
      <w:lang w:eastAsia="en-GB"/>
    </w:rPr>
  </w:style>
  <w:style w:type="paragraph" w:customStyle="1" w:styleId="AltNormal">
    <w:name w:val="AltNormal"/>
    <w:basedOn w:val="Normal"/>
    <w:link w:val="AltNormalChar"/>
    <w:rsid w:val="004076F3"/>
    <w:pPr>
      <w:overflowPunct w:val="0"/>
      <w:autoSpaceDE w:val="0"/>
      <w:autoSpaceDN w:val="0"/>
      <w:adjustRightInd w:val="0"/>
      <w:spacing w:before="120" w:after="0"/>
      <w:textAlignment w:val="baseline"/>
    </w:pPr>
    <w:rPr>
      <w:rFonts w:ascii="Arial" w:eastAsia="Times New Roman" w:hAnsi="Arial"/>
      <w:lang w:eastAsia="en-GB"/>
    </w:rPr>
  </w:style>
  <w:style w:type="character" w:customStyle="1" w:styleId="AltNormalChar">
    <w:name w:val="AltNormal Char"/>
    <w:link w:val="AltNormal"/>
    <w:rsid w:val="004076F3"/>
    <w:rPr>
      <w:rFonts w:ascii="Arial" w:eastAsia="Times New Roman" w:hAnsi="Arial"/>
      <w:lang w:eastAsia="en-GB"/>
    </w:rPr>
  </w:style>
  <w:style w:type="paragraph" w:customStyle="1" w:styleId="TemplateH3">
    <w:name w:val="TemplateH3"/>
    <w:basedOn w:val="Normal"/>
    <w:qFormat/>
    <w:rsid w:val="004076F3"/>
    <w:pPr>
      <w:overflowPunct w:val="0"/>
      <w:autoSpaceDE w:val="0"/>
      <w:autoSpaceDN w:val="0"/>
      <w:adjustRightInd w:val="0"/>
      <w:textAlignment w:val="baseline"/>
    </w:pPr>
    <w:rPr>
      <w:rFonts w:ascii="Arial" w:eastAsia="Times New Roman" w:hAnsi="Arial" w:cs="Arial"/>
      <w:sz w:val="28"/>
      <w:szCs w:val="28"/>
      <w:lang w:eastAsia="en-GB"/>
    </w:rPr>
  </w:style>
  <w:style w:type="paragraph" w:customStyle="1" w:styleId="TemplateH2">
    <w:name w:val="TemplateH2"/>
    <w:basedOn w:val="Normal"/>
    <w:qFormat/>
    <w:rsid w:val="004076F3"/>
    <w:pPr>
      <w:overflowPunct w:val="0"/>
      <w:autoSpaceDE w:val="0"/>
      <w:autoSpaceDN w:val="0"/>
      <w:adjustRightInd w:val="0"/>
      <w:textAlignment w:val="baseline"/>
    </w:pPr>
    <w:rPr>
      <w:rFonts w:ascii="Arial" w:eastAsia="Times New Roman" w:hAnsi="Arial" w:cs="Arial"/>
      <w:sz w:val="32"/>
      <w:szCs w:val="32"/>
      <w:lang w:eastAsia="en-GB"/>
    </w:rPr>
  </w:style>
  <w:style w:type="character" w:customStyle="1" w:styleId="CRCoverPageZchn">
    <w:name w:val="CR Cover Page Zchn"/>
    <w:link w:val="CRCoverPage"/>
    <w:rsid w:val="004076F3"/>
    <w:rPr>
      <w:rFonts w:ascii="Arial" w:eastAsia="Batang" w:hAnsi="Arial"/>
      <w:lang w:eastAsia="en-US"/>
    </w:rPr>
  </w:style>
  <w:style w:type="character" w:customStyle="1" w:styleId="HeaderChar">
    <w:name w:val="Header Char"/>
    <w:link w:val="Header"/>
    <w:rsid w:val="004076F3"/>
    <w:rPr>
      <w:rFonts w:ascii="Arial" w:hAnsi="Arial"/>
      <w:b/>
      <w:sz w:val="18"/>
    </w:rPr>
  </w:style>
  <w:style w:type="character" w:customStyle="1" w:styleId="Code">
    <w:name w:val="Code"/>
    <w:uiPriority w:val="1"/>
    <w:qFormat/>
    <w:rsid w:val="004076F3"/>
    <w:rPr>
      <w:rFonts w:ascii="Arial" w:hAnsi="Arial"/>
      <w:i/>
      <w:sz w:val="18"/>
      <w:bdr w:val="none" w:sz="0" w:space="0" w:color="auto"/>
      <w:shd w:val="clear" w:color="auto" w:fill="auto"/>
    </w:rPr>
  </w:style>
  <w:style w:type="character" w:customStyle="1" w:styleId="ui-provider">
    <w:name w:val="ui-provider"/>
    <w:rsid w:val="0096105B"/>
  </w:style>
  <w:style w:type="character" w:customStyle="1" w:styleId="TAHCar">
    <w:name w:val="TAH Car"/>
    <w:rsid w:val="00765F4D"/>
    <w:rPr>
      <w:rFonts w:ascii="Arial" w:hAnsi="Arial"/>
      <w:b/>
      <w:sz w:val="18"/>
      <w:lang w:val="en-GB" w:eastAsia="en-US"/>
    </w:rPr>
  </w:style>
  <w:style w:type="character" w:customStyle="1" w:styleId="st1">
    <w:name w:val="st1"/>
    <w:rsid w:val="00765F4D"/>
  </w:style>
  <w:style w:type="character" w:customStyle="1" w:styleId="opdict3font24">
    <w:name w:val="op_dict3_font24"/>
    <w:rsid w:val="00765F4D"/>
  </w:style>
  <w:style w:type="character" w:customStyle="1" w:styleId="UnresolvedMention2">
    <w:name w:val="Unresolved Mention2"/>
    <w:uiPriority w:val="99"/>
    <w:semiHidden/>
    <w:unhideWhenUsed/>
    <w:rsid w:val="00765F4D"/>
    <w:rPr>
      <w:color w:val="605E5C"/>
      <w:shd w:val="clear" w:color="auto" w:fill="E1DFDD"/>
    </w:rPr>
  </w:style>
  <w:style w:type="character" w:customStyle="1" w:styleId="H60">
    <w:name w:val="H6 (文字)"/>
    <w:link w:val="H6"/>
    <w:rsid w:val="00176399"/>
    <w:rPr>
      <w:rFonts w:ascii="Arial" w:hAnsi="Aria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58156">
      <w:bodyDiv w:val="1"/>
      <w:marLeft w:val="0"/>
      <w:marRight w:val="0"/>
      <w:marTop w:val="0"/>
      <w:marBottom w:val="0"/>
      <w:divBdr>
        <w:top w:val="none" w:sz="0" w:space="0" w:color="auto"/>
        <w:left w:val="none" w:sz="0" w:space="0" w:color="auto"/>
        <w:bottom w:val="none" w:sz="0" w:space="0" w:color="auto"/>
        <w:right w:val="none" w:sz="0" w:space="0" w:color="auto"/>
      </w:divBdr>
    </w:div>
    <w:div w:id="178466506">
      <w:bodyDiv w:val="1"/>
      <w:marLeft w:val="0"/>
      <w:marRight w:val="0"/>
      <w:marTop w:val="0"/>
      <w:marBottom w:val="0"/>
      <w:divBdr>
        <w:top w:val="none" w:sz="0" w:space="0" w:color="auto"/>
        <w:left w:val="none" w:sz="0" w:space="0" w:color="auto"/>
        <w:bottom w:val="none" w:sz="0" w:space="0" w:color="auto"/>
        <w:right w:val="none" w:sz="0" w:space="0" w:color="auto"/>
      </w:divBdr>
    </w:div>
    <w:div w:id="261887321">
      <w:bodyDiv w:val="1"/>
      <w:marLeft w:val="0"/>
      <w:marRight w:val="0"/>
      <w:marTop w:val="0"/>
      <w:marBottom w:val="0"/>
      <w:divBdr>
        <w:top w:val="none" w:sz="0" w:space="0" w:color="auto"/>
        <w:left w:val="none" w:sz="0" w:space="0" w:color="auto"/>
        <w:bottom w:val="none" w:sz="0" w:space="0" w:color="auto"/>
        <w:right w:val="none" w:sz="0" w:space="0" w:color="auto"/>
      </w:divBdr>
    </w:div>
    <w:div w:id="1018314290">
      <w:bodyDiv w:val="1"/>
      <w:marLeft w:val="0"/>
      <w:marRight w:val="0"/>
      <w:marTop w:val="0"/>
      <w:marBottom w:val="0"/>
      <w:divBdr>
        <w:top w:val="none" w:sz="0" w:space="0" w:color="auto"/>
        <w:left w:val="none" w:sz="0" w:space="0" w:color="auto"/>
        <w:bottom w:val="none" w:sz="0" w:space="0" w:color="auto"/>
        <w:right w:val="none" w:sz="0" w:space="0" w:color="auto"/>
      </w:divBdr>
    </w:div>
    <w:div w:id="1033076290">
      <w:bodyDiv w:val="1"/>
      <w:marLeft w:val="0"/>
      <w:marRight w:val="0"/>
      <w:marTop w:val="0"/>
      <w:marBottom w:val="0"/>
      <w:divBdr>
        <w:top w:val="none" w:sz="0" w:space="0" w:color="auto"/>
        <w:left w:val="none" w:sz="0" w:space="0" w:color="auto"/>
        <w:bottom w:val="none" w:sz="0" w:space="0" w:color="auto"/>
        <w:right w:val="none" w:sz="0" w:space="0" w:color="auto"/>
      </w:divBdr>
    </w:div>
    <w:div w:id="1041828076">
      <w:bodyDiv w:val="1"/>
      <w:marLeft w:val="0"/>
      <w:marRight w:val="0"/>
      <w:marTop w:val="0"/>
      <w:marBottom w:val="0"/>
      <w:divBdr>
        <w:top w:val="none" w:sz="0" w:space="0" w:color="auto"/>
        <w:left w:val="none" w:sz="0" w:space="0" w:color="auto"/>
        <w:bottom w:val="none" w:sz="0" w:space="0" w:color="auto"/>
        <w:right w:val="none" w:sz="0" w:space="0" w:color="auto"/>
      </w:divBdr>
    </w:div>
    <w:div w:id="1215115852">
      <w:bodyDiv w:val="1"/>
      <w:marLeft w:val="0"/>
      <w:marRight w:val="0"/>
      <w:marTop w:val="0"/>
      <w:marBottom w:val="0"/>
      <w:divBdr>
        <w:top w:val="none" w:sz="0" w:space="0" w:color="auto"/>
        <w:left w:val="none" w:sz="0" w:space="0" w:color="auto"/>
        <w:bottom w:val="none" w:sz="0" w:space="0" w:color="auto"/>
        <w:right w:val="none" w:sz="0" w:space="0" w:color="auto"/>
      </w:divBdr>
    </w:div>
    <w:div w:id="1419907038">
      <w:bodyDiv w:val="1"/>
      <w:marLeft w:val="0"/>
      <w:marRight w:val="0"/>
      <w:marTop w:val="0"/>
      <w:marBottom w:val="0"/>
      <w:divBdr>
        <w:top w:val="none" w:sz="0" w:space="0" w:color="auto"/>
        <w:left w:val="none" w:sz="0" w:space="0" w:color="auto"/>
        <w:bottom w:val="none" w:sz="0" w:space="0" w:color="auto"/>
        <w:right w:val="none" w:sz="0" w:space="0" w:color="auto"/>
      </w:divBdr>
    </w:div>
    <w:div w:id="1669478629">
      <w:bodyDiv w:val="1"/>
      <w:marLeft w:val="0"/>
      <w:marRight w:val="0"/>
      <w:marTop w:val="0"/>
      <w:marBottom w:val="0"/>
      <w:divBdr>
        <w:top w:val="none" w:sz="0" w:space="0" w:color="auto"/>
        <w:left w:val="none" w:sz="0" w:space="0" w:color="auto"/>
        <w:bottom w:val="none" w:sz="0" w:space="0" w:color="auto"/>
        <w:right w:val="none" w:sz="0" w:space="0" w:color="auto"/>
      </w:divBdr>
    </w:div>
    <w:div w:id="1866747886">
      <w:bodyDiv w:val="1"/>
      <w:marLeft w:val="0"/>
      <w:marRight w:val="0"/>
      <w:marTop w:val="0"/>
      <w:marBottom w:val="0"/>
      <w:divBdr>
        <w:top w:val="none" w:sz="0" w:space="0" w:color="auto"/>
        <w:left w:val="none" w:sz="0" w:space="0" w:color="auto"/>
        <w:bottom w:val="none" w:sz="0" w:space="0" w:color="auto"/>
        <w:right w:val="none" w:sz="0" w:space="0" w:color="auto"/>
      </w:divBdr>
    </w:div>
    <w:div w:id="2041204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yaml.org/spec/1.2/spec.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ana.org/assignments/http-status-code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2.bin"/></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6A13C4-1595-4400-99F0-BDFB33FD4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Template>
  <TotalTime>0</TotalTime>
  <Pages>2</Pages>
  <Words>204384</Words>
  <Characters>1164994</Characters>
  <Application>Microsoft Office Word</Application>
  <DocSecurity>0</DocSecurity>
  <Lines>9708</Lines>
  <Paragraphs>2733</Paragraphs>
  <ScaleCrop>false</ScaleCrop>
  <HeadingPairs>
    <vt:vector size="2" baseType="variant">
      <vt:variant>
        <vt:lpstr>Title</vt:lpstr>
      </vt:variant>
      <vt:variant>
        <vt:i4>1</vt:i4>
      </vt:variant>
    </vt:vector>
  </HeadingPairs>
  <TitlesOfParts>
    <vt:vector size="1" baseType="lpstr">
      <vt:lpstr>3GPP TS 29.122</vt:lpstr>
    </vt:vector>
  </TitlesOfParts>
  <Company>ETSI-MCC</Company>
  <LinksUpToDate>false</LinksUpToDate>
  <CharactersWithSpaces>1366645</CharactersWithSpaces>
  <SharedDoc>false</SharedDoc>
  <HyperlinkBase/>
  <HLinks>
    <vt:vector size="18" baseType="variant">
      <vt:variant>
        <vt:i4>8126587</vt:i4>
      </vt:variant>
      <vt:variant>
        <vt:i4>2982</vt:i4>
      </vt:variant>
      <vt:variant>
        <vt:i4>0</vt:i4>
      </vt:variant>
      <vt:variant>
        <vt:i4>5</vt:i4>
      </vt:variant>
      <vt:variant>
        <vt:lpwstr>http://www.yaml.org/spec/1.2/spec.html</vt:lpwstr>
      </vt:variant>
      <vt:variant>
        <vt:lpwstr/>
      </vt:variant>
      <vt:variant>
        <vt:i4>917511</vt:i4>
      </vt:variant>
      <vt:variant>
        <vt:i4>2979</vt:i4>
      </vt:variant>
      <vt:variant>
        <vt:i4>0</vt:i4>
      </vt:variant>
      <vt:variant>
        <vt:i4>5</vt:i4>
      </vt:variant>
      <vt:variant>
        <vt:lpwstr>https://spec.openapis.org/oas/v3.0.0</vt:lpwstr>
      </vt:variant>
      <vt:variant>
        <vt:lpwstr/>
      </vt:variant>
      <vt:variant>
        <vt:i4>5308440</vt:i4>
      </vt:variant>
      <vt:variant>
        <vt:i4>2976</vt:i4>
      </vt:variant>
      <vt:variant>
        <vt:i4>0</vt:i4>
      </vt:variant>
      <vt:variant>
        <vt:i4>5</vt:i4>
      </vt:variant>
      <vt:variant>
        <vt:lpwstr>http://www.iana.org/assignments/http-status-codes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29.122</dc:title>
  <dc:subject>T8 reference point for Northbound APIs; (Release 18)</dc:subject>
  <dc:creator>MCC Support</dc:creator>
  <cp:keywords>SCEF, SCS/AS, HTTP</cp:keywords>
  <dc:description/>
  <cp:lastModifiedBy>Andrei Laurentiu BORNEA</cp:lastModifiedBy>
  <cp:revision>2</cp:revision>
  <cp:lastPrinted>2014-03-14T12:41:00Z</cp:lastPrinted>
  <dcterms:created xsi:type="dcterms:W3CDTF">2024-03-14T08:12:00Z</dcterms:created>
  <dcterms:modified xsi:type="dcterms:W3CDTF">2024-03-14T08:12:00Z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_ms_pID_72543">
    <vt:lpwstr>(3)czd5APFrxF6l4Xu3C+Krl7YusR871MuaiQ/8h/BiNmWE4NP6fQVZgj0vrTOnthFmosQ1ZDkG_x000d_
v2M/VfFIzvnbI/1qNrxvB2C3xle4pwmya3dGnTnoq6J+uD2OufHL4s02f9caFNQmI/m1kPPh_x000d_
rPsE2cF/nANavQiuk6fJULi63FaVZoK8zAazb8TSwlyEuO55NBtt+U5L9BKbqBUtilrpc8Fj_x000d_
U3Y9cQ4DLlL6QxG7bY</vt:lpwstr>
  </property>
  <property fmtid="{D5CDD505-2E9C-101B-9397-08002B2CF9AE}" pid="3" name="_new_ms_pID_72543_00">
    <vt:lpwstr>_new_ms_pID_72543</vt:lpwstr>
  </property>
  <property fmtid="{D5CDD505-2E9C-101B-9397-08002B2CF9AE}" pid="4" name="_new_ms_pID_725431">
    <vt:lpwstr>0gyyD94xJvoj7DX4qPtc7INzjxzAvCC6Ost7SamIsoKWvpXwwbIfcm_x000d_
Psbj5Nu1hGMh+NLm8DXUOtb3z3vnFebpUe9dbltbYUvbX95Zwdvnku6gw5FRaXcKbRE6pAS5_x000d_
pUBTddFq6UT90r4pRSLGB4II4MZ53et+wB3AKyvUsODYw786GgVlKEH1ziXOt1NHv8PG6sZO_x000d_
NTjpcsTK9OCSd6+fIV6o4q8o39TvBJA4INPU</vt:lpwstr>
  </property>
  <property fmtid="{D5CDD505-2E9C-101B-9397-08002B2CF9AE}" pid="5" name="_new_ms_pID_725431_00">
    <vt:lpwstr>_new_ms_pID_725431</vt:lpwstr>
  </property>
  <property fmtid="{D5CDD505-2E9C-101B-9397-08002B2CF9AE}" pid="6" name="_new_ms_pID_725432">
    <vt:lpwstr>PIaA9GA2JUX9PdUUBOcLjtpaJ2KoSdj2U+Ga_x000d_
NQpmj21FLExJk+aKzFa6/fIwkOuuPCwgdGi8IBezhzA32dJ1ze37nlGLVMyvTu1LabNOQ4rd_x000d_
cZtGSxaB2LXCShQ57G2UUYiOS6op7KhUXmkExf5kG9i25BfCIlY2pykBMmK5JRha</vt:lpwstr>
  </property>
  <property fmtid="{D5CDD505-2E9C-101B-9397-08002B2CF9AE}" pid="7" name="_new_ms_pID_725432_00">
    <vt:lpwstr>_new_ms_pID_725432</vt:lpwstr>
  </property>
  <property fmtid="{D5CDD505-2E9C-101B-9397-08002B2CF9AE}" pid="8" name="_2015_ms_pID_725343">
    <vt:lpwstr>(3)wyhxBgWGo3CQ1vQpmJGcYADTooTxHz6Vl0UneRiJmsZyMoBpp3JINY4WEXpDNXdX/XQEgyQ6
2n1Zu46N8qamTU5gPlupcHZTPrKVuPNKXMkMjPPzOi2dnNz+c/L2CF9aflaZWJPT4oEoX/sM
C9q7saRVrYP/Ma4cRvYCBW1ynjJ91l8YL7sAiO9THyvmxhYBqvzyB4nILGZO9KlYa7G8ZNdl
043ESbTlRfSdDmzwcA</vt:lpwstr>
  </property>
  <property fmtid="{D5CDD505-2E9C-101B-9397-08002B2CF9AE}" pid="9" name="_2015_ms_pID_725343_00">
    <vt:lpwstr>_2015_ms_pID_725343</vt:lpwstr>
  </property>
  <property fmtid="{D5CDD505-2E9C-101B-9397-08002B2CF9AE}" pid="10" name="_2015_ms_pID_7253431">
    <vt:lpwstr>mCQGXwJYYiOZmGFLmKX7tOJHNM6p8Rb8KCHMlgIu5K0uQe4WsfmUTu
45f2qDqYdFKS9TVx/IutHuSEMjO0YClaiV4Ced+SkdVFogPUE6B9+F7Vb0PSRbyVUlV+h5cM
TvIMgvpx4iWx9HbaKrMeAqhojtvtQzPxIPSolZLWTd1TMWgzpbk2LrEwLrr+v6iLwY4mvRyq
V+N5X77R495T6aKdCRrPuGxsOGInnPDfkVXY</vt:lpwstr>
  </property>
  <property fmtid="{D5CDD505-2E9C-101B-9397-08002B2CF9AE}" pid="11" name="_2015_ms_pID_7253431_00">
    <vt:lpwstr>_2015_ms_pID_7253431</vt:lpwstr>
  </property>
  <property fmtid="{D5CDD505-2E9C-101B-9397-08002B2CF9AE}" pid="12" name="_2015_ms_pID_7253432">
    <vt:lpwstr>AA==</vt:lpwstr>
  </property>
  <property fmtid="{D5CDD505-2E9C-101B-9397-08002B2CF9AE}" pid="13" name="_readonly">
    <vt:lpwstr/>
  </property>
  <property fmtid="{D5CDD505-2E9C-101B-9397-08002B2CF9AE}" pid="14" name="_change">
    <vt:lpwstr/>
  </property>
  <property fmtid="{D5CDD505-2E9C-101B-9397-08002B2CF9AE}" pid="15" name="_full-control">
    <vt:lpwstr/>
  </property>
  <property fmtid="{D5CDD505-2E9C-101B-9397-08002B2CF9AE}" pid="16" name="sflag">
    <vt:lpwstr>1702534506</vt:lpwstr>
  </property>
</Properties>
</file>